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3</wp:posOffset>
            </wp:positionV>
            <wp:extent cx="7559999" cy="106920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7559999" cy="10692000"/>
                    </a:xfrm>
                    <a:prstGeom prst="rect">
                      <a:avLst/>
                    </a:prstGeom>
                  </pic:spPr>
                </pic:pic>
              </a:graphicData>
            </a:graphic>
          </wp:anchor>
        </w:drawing>
      </w:r>
    </w:p>
    <w:p>
      <w:pPr>
        <w:spacing w:after="0"/>
        <w:rPr>
          <w:sz w:val="17"/>
        </w:rPr>
        <w:sectPr>
          <w:footerReference w:type="default" r:id="rId5"/>
          <w:type w:val="continuous"/>
          <w:pgSz w:w="11910" w:h="16840"/>
          <w:pgMar w:header="0" w:footer="0" w:top="1920" w:bottom="280" w:left="0" w:right="0"/>
          <w:pgNumType w:start="7"/>
        </w:sectPr>
      </w:pPr>
    </w:p>
    <w:p>
      <w:pPr>
        <w:pStyle w:val="BodyText"/>
        <w:spacing w:before="4"/>
        <w:rPr>
          <w:sz w:val="17"/>
        </w:rPr>
      </w:pPr>
    </w:p>
    <w:p>
      <w:pPr>
        <w:spacing w:after="0"/>
        <w:rPr>
          <w:sz w:val="17"/>
        </w:rPr>
        <w:sectPr>
          <w:pgSz w:w="11910" w:h="16840"/>
          <w:pgMar w:header="0" w:footer="0" w:top="1920" w:bottom="280" w:left="0" w:right="0"/>
        </w:sectPr>
      </w:pPr>
    </w:p>
    <w:p>
      <w:pPr>
        <w:pStyle w:val="BodyText"/>
        <w:spacing w:before="282"/>
        <w:rPr>
          <w:sz w:val="64"/>
        </w:rPr>
      </w:pPr>
    </w:p>
    <w:p>
      <w:pPr>
        <w:spacing w:line="740" w:lineRule="exact" w:before="0"/>
        <w:ind w:left="413" w:right="413" w:firstLine="0"/>
        <w:jc w:val="center"/>
        <w:rPr>
          <w:rFonts w:ascii="Trebuchet MS"/>
          <w:b/>
          <w:sz w:val="64"/>
        </w:rPr>
      </w:pPr>
      <w:r>
        <w:rPr>
          <w:rFonts w:ascii="Trebuchet MS"/>
          <w:b/>
          <w:color w:val="E3C620"/>
          <w:sz w:val="64"/>
        </w:rPr>
        <w:t>National</w:t>
      </w:r>
      <w:r>
        <w:rPr>
          <w:rFonts w:ascii="Trebuchet MS"/>
          <w:b/>
          <w:color w:val="E3C620"/>
          <w:spacing w:val="-3"/>
          <w:sz w:val="64"/>
        </w:rPr>
        <w:t> </w:t>
      </w:r>
      <w:r>
        <w:rPr>
          <w:rFonts w:ascii="Trebuchet MS"/>
          <w:b/>
          <w:color w:val="E3C620"/>
          <w:sz w:val="64"/>
        </w:rPr>
        <w:t>Knowledge </w:t>
      </w:r>
      <w:r>
        <w:rPr>
          <w:rFonts w:ascii="Trebuchet MS"/>
          <w:b/>
          <w:color w:val="E3C620"/>
          <w:spacing w:val="-2"/>
          <w:sz w:val="64"/>
        </w:rPr>
        <w:t>Commission</w:t>
      </w:r>
    </w:p>
    <w:p>
      <w:pPr>
        <w:spacing w:line="247" w:lineRule="auto" w:before="0"/>
        <w:ind w:left="2877" w:right="2878" w:firstLine="0"/>
        <w:jc w:val="center"/>
        <w:rPr>
          <w:rFonts w:ascii="Trebuchet MS"/>
          <w:b/>
          <w:sz w:val="52"/>
        </w:rPr>
      </w:pPr>
      <w:r>
        <w:rPr>
          <w:rFonts w:ascii="Trebuchet MS"/>
          <w:b/>
          <w:color w:val="2B614A"/>
          <w:sz w:val="52"/>
        </w:rPr>
        <w:t>Report</w:t>
      </w:r>
      <w:r>
        <w:rPr>
          <w:rFonts w:ascii="Trebuchet MS"/>
          <w:b/>
          <w:color w:val="2B614A"/>
          <w:spacing w:val="-13"/>
          <w:sz w:val="52"/>
        </w:rPr>
        <w:t> </w:t>
      </w:r>
      <w:r>
        <w:rPr>
          <w:rFonts w:ascii="Trebuchet MS"/>
          <w:b/>
          <w:color w:val="2B614A"/>
          <w:sz w:val="52"/>
        </w:rPr>
        <w:t>to</w:t>
      </w:r>
      <w:r>
        <w:rPr>
          <w:rFonts w:ascii="Trebuchet MS"/>
          <w:b/>
          <w:color w:val="2B614A"/>
          <w:spacing w:val="-13"/>
          <w:sz w:val="52"/>
        </w:rPr>
        <w:t> </w:t>
      </w:r>
      <w:r>
        <w:rPr>
          <w:rFonts w:ascii="Trebuchet MS"/>
          <w:b/>
          <w:color w:val="2B614A"/>
          <w:sz w:val="52"/>
        </w:rPr>
        <w:t>the</w:t>
      </w:r>
      <w:r>
        <w:rPr>
          <w:rFonts w:ascii="Trebuchet MS"/>
          <w:b/>
          <w:color w:val="2B614A"/>
          <w:spacing w:val="-12"/>
          <w:sz w:val="52"/>
        </w:rPr>
        <w:t> </w:t>
      </w:r>
      <w:r>
        <w:rPr>
          <w:rFonts w:ascii="Trebuchet MS"/>
          <w:b/>
          <w:color w:val="2B614A"/>
          <w:sz w:val="52"/>
        </w:rPr>
        <w:t>Nation 2006 - 2009</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3"/>
        <w:rPr>
          <w:rFonts w:ascii="Trebuchet MS"/>
          <w:b/>
          <w:sz w:val="20"/>
        </w:rPr>
      </w:pPr>
      <w:r>
        <w:rPr/>
        <w:drawing>
          <wp:anchor distT="0" distB="0" distL="0" distR="0" allowOverlap="1" layoutInCell="1" locked="0" behindDoc="1" simplePos="0" relativeHeight="487588352">
            <wp:simplePos x="0" y="0"/>
            <wp:positionH relativeFrom="page">
              <wp:posOffset>3463337</wp:posOffset>
            </wp:positionH>
            <wp:positionV relativeFrom="paragraph">
              <wp:posOffset>171533</wp:posOffset>
            </wp:positionV>
            <wp:extent cx="632668" cy="981456"/>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632668" cy="981456"/>
                    </a:xfrm>
                    <a:prstGeom prst="rect">
                      <a:avLst/>
                    </a:prstGeom>
                  </pic:spPr>
                </pic:pic>
              </a:graphicData>
            </a:graphic>
          </wp:anchor>
        </w:drawing>
      </w:r>
    </w:p>
    <w:p>
      <w:pPr>
        <w:spacing w:before="79"/>
        <w:ind w:left="413" w:right="413" w:firstLine="0"/>
        <w:jc w:val="center"/>
        <w:rPr>
          <w:rFonts w:ascii="Trebuchet MS"/>
          <w:b/>
          <w:sz w:val="28"/>
        </w:rPr>
      </w:pPr>
      <w:r>
        <w:rPr>
          <w:rFonts w:ascii="Trebuchet MS"/>
          <w:b/>
          <w:sz w:val="28"/>
        </w:rPr>
        <w:t>Government</w:t>
      </w:r>
      <w:r>
        <w:rPr>
          <w:rFonts w:ascii="Trebuchet MS"/>
          <w:b/>
          <w:spacing w:val="-6"/>
          <w:sz w:val="28"/>
        </w:rPr>
        <w:t> </w:t>
      </w:r>
      <w:r>
        <w:rPr>
          <w:rFonts w:ascii="Trebuchet MS"/>
          <w:b/>
          <w:sz w:val="28"/>
        </w:rPr>
        <w:t>of</w:t>
      </w:r>
      <w:r>
        <w:rPr>
          <w:rFonts w:ascii="Trebuchet MS"/>
          <w:b/>
          <w:spacing w:val="-4"/>
          <w:sz w:val="28"/>
        </w:rPr>
        <w:t> </w:t>
      </w:r>
      <w:r>
        <w:rPr>
          <w:rFonts w:ascii="Trebuchet MS"/>
          <w:b/>
          <w:spacing w:val="-2"/>
          <w:sz w:val="28"/>
        </w:rPr>
        <w:t>India</w:t>
      </w:r>
    </w:p>
    <w:p>
      <w:pPr>
        <w:spacing w:after="0"/>
        <w:jc w:val="center"/>
        <w:rPr>
          <w:rFonts w:ascii="Trebuchet MS"/>
          <w:sz w:val="28"/>
        </w:rPr>
        <w:sectPr>
          <w:pgSz w:w="11910" w:h="16840"/>
          <w:pgMar w:header="0" w:footer="0" w:top="1920" w:bottom="280" w:left="0" w:right="0"/>
        </w:sectPr>
      </w:pPr>
    </w:p>
    <w:p>
      <w:pPr>
        <w:spacing w:before="179"/>
        <w:ind w:left="1403" w:right="0" w:firstLine="0"/>
        <w:jc w:val="left"/>
        <w:rPr>
          <w:sz w:val="21"/>
        </w:rPr>
      </w:pPr>
      <w:r>
        <w:rPr>
          <w:spacing w:val="-4"/>
          <w:sz w:val="21"/>
        </w:rPr>
        <w:t>©</w:t>
      </w:r>
      <w:r>
        <w:rPr>
          <w:sz w:val="21"/>
        </w:rPr>
        <w:t> </w:t>
      </w:r>
      <w:r>
        <w:rPr>
          <w:spacing w:val="-4"/>
          <w:sz w:val="21"/>
        </w:rPr>
        <w:t>National</w:t>
      </w:r>
      <w:r>
        <w:rPr>
          <w:sz w:val="21"/>
        </w:rPr>
        <w:t> </w:t>
      </w:r>
      <w:r>
        <w:rPr>
          <w:spacing w:val="-4"/>
          <w:sz w:val="21"/>
        </w:rPr>
        <w:t>Knowledge</w:t>
      </w:r>
      <w:r>
        <w:rPr>
          <w:spacing w:val="1"/>
          <w:sz w:val="21"/>
        </w:rPr>
        <w:t> </w:t>
      </w:r>
      <w:r>
        <w:rPr>
          <w:spacing w:val="-4"/>
          <w:sz w:val="21"/>
        </w:rPr>
        <w:t>Commission,</w:t>
      </w:r>
      <w:r>
        <w:rPr>
          <w:sz w:val="21"/>
        </w:rPr>
        <w:t> </w:t>
      </w:r>
      <w:r>
        <w:rPr>
          <w:spacing w:val="-4"/>
          <w:sz w:val="21"/>
        </w:rPr>
        <w:t>March</w:t>
      </w:r>
      <w:r>
        <w:rPr>
          <w:spacing w:val="1"/>
          <w:sz w:val="21"/>
        </w:rPr>
        <w:t> </w:t>
      </w:r>
      <w:r>
        <w:rPr>
          <w:spacing w:val="-4"/>
          <w:sz w:val="21"/>
        </w:rPr>
        <w:t>2009</w:t>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02"/>
        <w:rPr>
          <w:sz w:val="21"/>
        </w:rPr>
      </w:pPr>
    </w:p>
    <w:p>
      <w:pPr>
        <w:spacing w:before="1"/>
        <w:ind w:left="1403" w:right="0" w:firstLine="0"/>
        <w:jc w:val="left"/>
        <w:rPr>
          <w:sz w:val="21"/>
        </w:rPr>
      </w:pPr>
      <w:r>
        <w:rPr>
          <w:spacing w:val="-4"/>
          <w:sz w:val="21"/>
        </w:rPr>
        <w:t>Published</w:t>
      </w:r>
      <w:r>
        <w:rPr>
          <w:spacing w:val="-2"/>
          <w:sz w:val="21"/>
        </w:rPr>
        <w:t> </w:t>
      </w:r>
      <w:r>
        <w:rPr>
          <w:spacing w:val="-5"/>
          <w:sz w:val="21"/>
        </w:rPr>
        <w:t>by:</w:t>
      </w:r>
    </w:p>
    <w:p>
      <w:pPr>
        <w:spacing w:line="278" w:lineRule="auto" w:before="38"/>
        <w:ind w:left="1403" w:right="7532" w:firstLine="0"/>
        <w:jc w:val="left"/>
        <w:rPr>
          <w:sz w:val="21"/>
        </w:rPr>
      </w:pPr>
      <w:r>
        <w:rPr>
          <w:spacing w:val="-4"/>
          <w:sz w:val="21"/>
        </w:rPr>
        <w:t>National</w:t>
      </w:r>
      <w:r>
        <w:rPr>
          <w:spacing w:val="-10"/>
          <w:sz w:val="21"/>
        </w:rPr>
        <w:t> </w:t>
      </w:r>
      <w:r>
        <w:rPr>
          <w:spacing w:val="-4"/>
          <w:sz w:val="21"/>
        </w:rPr>
        <w:t>Knowledge</w:t>
      </w:r>
      <w:r>
        <w:rPr>
          <w:spacing w:val="-9"/>
          <w:sz w:val="21"/>
        </w:rPr>
        <w:t> </w:t>
      </w:r>
      <w:r>
        <w:rPr>
          <w:spacing w:val="-4"/>
          <w:sz w:val="21"/>
        </w:rPr>
        <w:t>Commission </w:t>
      </w:r>
      <w:r>
        <w:rPr>
          <w:sz w:val="21"/>
        </w:rPr>
        <w:t>Government of India</w:t>
      </w:r>
    </w:p>
    <w:p>
      <w:pPr>
        <w:spacing w:line="278" w:lineRule="auto" w:before="0"/>
        <w:ind w:left="1403" w:right="4604" w:firstLine="0"/>
        <w:jc w:val="left"/>
        <w:rPr>
          <w:sz w:val="21"/>
        </w:rPr>
      </w:pPr>
      <w:r>
        <w:rPr>
          <w:spacing w:val="-2"/>
          <w:sz w:val="21"/>
        </w:rPr>
        <w:t>Dharma</w:t>
      </w:r>
      <w:r>
        <w:rPr>
          <w:spacing w:val="-6"/>
          <w:sz w:val="21"/>
        </w:rPr>
        <w:t> </w:t>
      </w:r>
      <w:r>
        <w:rPr>
          <w:spacing w:val="-2"/>
          <w:sz w:val="21"/>
        </w:rPr>
        <w:t>Marg,</w:t>
      </w:r>
      <w:r>
        <w:rPr>
          <w:spacing w:val="-6"/>
          <w:sz w:val="21"/>
        </w:rPr>
        <w:t> </w:t>
      </w:r>
      <w:r>
        <w:rPr>
          <w:spacing w:val="-2"/>
          <w:sz w:val="21"/>
        </w:rPr>
        <w:t>Chanakyapuri,</w:t>
      </w:r>
      <w:r>
        <w:rPr>
          <w:spacing w:val="-6"/>
          <w:sz w:val="21"/>
        </w:rPr>
        <w:t> </w:t>
      </w:r>
      <w:r>
        <w:rPr>
          <w:spacing w:val="-2"/>
          <w:sz w:val="21"/>
        </w:rPr>
        <w:t>New</w:t>
      </w:r>
      <w:r>
        <w:rPr>
          <w:spacing w:val="-6"/>
          <w:sz w:val="21"/>
        </w:rPr>
        <w:t> </w:t>
      </w:r>
      <w:r>
        <w:rPr>
          <w:spacing w:val="-2"/>
          <w:sz w:val="21"/>
        </w:rPr>
        <w:t>Delhi-110</w:t>
      </w:r>
      <w:r>
        <w:rPr>
          <w:spacing w:val="-6"/>
          <w:sz w:val="21"/>
        </w:rPr>
        <w:t> </w:t>
      </w:r>
      <w:r>
        <w:rPr>
          <w:spacing w:val="-2"/>
          <w:sz w:val="21"/>
        </w:rPr>
        <w:t>021 </w:t>
      </w:r>
      <w:hyperlink r:id="rId8">
        <w:r>
          <w:rPr>
            <w:spacing w:val="-2"/>
            <w:sz w:val="21"/>
          </w:rPr>
          <w:t>www.knowledgecommission.gov.in</w:t>
        </w:r>
      </w:hyperlink>
    </w:p>
    <w:p>
      <w:pPr>
        <w:pStyle w:val="BodyText"/>
        <w:rPr>
          <w:sz w:val="21"/>
        </w:rPr>
      </w:pPr>
    </w:p>
    <w:p>
      <w:pPr>
        <w:pStyle w:val="BodyText"/>
        <w:rPr>
          <w:sz w:val="21"/>
        </w:rPr>
      </w:pPr>
    </w:p>
    <w:p>
      <w:pPr>
        <w:pStyle w:val="BodyText"/>
        <w:spacing w:before="115"/>
        <w:rPr>
          <w:sz w:val="21"/>
        </w:rPr>
      </w:pPr>
    </w:p>
    <w:p>
      <w:pPr>
        <w:spacing w:before="0"/>
        <w:ind w:left="1403" w:right="0" w:firstLine="0"/>
        <w:jc w:val="left"/>
        <w:rPr>
          <w:sz w:val="21"/>
        </w:rPr>
      </w:pPr>
      <w:r>
        <w:rPr>
          <w:spacing w:val="-2"/>
          <w:sz w:val="21"/>
        </w:rPr>
        <w:t>Copy</w:t>
      </w:r>
      <w:r>
        <w:rPr>
          <w:spacing w:val="-6"/>
          <w:sz w:val="21"/>
        </w:rPr>
        <w:t> </w:t>
      </w:r>
      <w:r>
        <w:rPr>
          <w:spacing w:val="-2"/>
          <w:sz w:val="21"/>
        </w:rPr>
        <w:t>editing,</w:t>
      </w:r>
      <w:r>
        <w:rPr>
          <w:spacing w:val="-6"/>
          <w:sz w:val="21"/>
        </w:rPr>
        <w:t> </w:t>
      </w:r>
      <w:r>
        <w:rPr>
          <w:spacing w:val="-2"/>
          <w:sz w:val="21"/>
        </w:rPr>
        <w:t>design</w:t>
      </w:r>
      <w:r>
        <w:rPr>
          <w:spacing w:val="-5"/>
          <w:sz w:val="21"/>
        </w:rPr>
        <w:t> </w:t>
      </w:r>
      <w:r>
        <w:rPr>
          <w:spacing w:val="-2"/>
          <w:sz w:val="21"/>
        </w:rPr>
        <w:t>and</w:t>
      </w:r>
      <w:r>
        <w:rPr>
          <w:spacing w:val="-6"/>
          <w:sz w:val="21"/>
        </w:rPr>
        <w:t> </w:t>
      </w:r>
      <w:r>
        <w:rPr>
          <w:spacing w:val="-2"/>
          <w:sz w:val="21"/>
        </w:rPr>
        <w:t>printing:</w:t>
      </w:r>
    </w:p>
    <w:p>
      <w:pPr>
        <w:spacing w:line="278" w:lineRule="auto" w:before="39"/>
        <w:ind w:left="1403" w:right="4604" w:firstLine="0"/>
        <w:jc w:val="left"/>
        <w:rPr>
          <w:sz w:val="21"/>
        </w:rPr>
      </w:pPr>
      <w:r>
        <w:rPr>
          <w:spacing w:val="-2"/>
          <w:sz w:val="21"/>
        </w:rPr>
        <w:t>New</w:t>
      </w:r>
      <w:r>
        <w:rPr>
          <w:spacing w:val="-7"/>
          <w:sz w:val="21"/>
        </w:rPr>
        <w:t> </w:t>
      </w:r>
      <w:r>
        <w:rPr>
          <w:spacing w:val="-2"/>
          <w:sz w:val="21"/>
        </w:rPr>
        <w:t>Concept</w:t>
      </w:r>
      <w:r>
        <w:rPr>
          <w:spacing w:val="-7"/>
          <w:sz w:val="21"/>
        </w:rPr>
        <w:t> </w:t>
      </w:r>
      <w:r>
        <w:rPr>
          <w:spacing w:val="-2"/>
          <w:sz w:val="21"/>
        </w:rPr>
        <w:t>Information</w:t>
      </w:r>
      <w:r>
        <w:rPr>
          <w:spacing w:val="-7"/>
          <w:sz w:val="21"/>
        </w:rPr>
        <w:t> </w:t>
      </w:r>
      <w:r>
        <w:rPr>
          <w:spacing w:val="-2"/>
          <w:sz w:val="21"/>
        </w:rPr>
        <w:t>Systems</w:t>
      </w:r>
      <w:r>
        <w:rPr>
          <w:spacing w:val="-7"/>
          <w:sz w:val="21"/>
        </w:rPr>
        <w:t> </w:t>
      </w:r>
      <w:r>
        <w:rPr>
          <w:spacing w:val="-2"/>
          <w:sz w:val="21"/>
        </w:rPr>
        <w:t>Pvt.</w:t>
      </w:r>
      <w:r>
        <w:rPr>
          <w:spacing w:val="-7"/>
          <w:sz w:val="21"/>
        </w:rPr>
        <w:t> </w:t>
      </w:r>
      <w:r>
        <w:rPr>
          <w:spacing w:val="-2"/>
          <w:sz w:val="21"/>
        </w:rPr>
        <w:t>Ltd.,</w:t>
      </w:r>
      <w:r>
        <w:rPr>
          <w:spacing w:val="-7"/>
          <w:sz w:val="21"/>
        </w:rPr>
        <w:t> </w:t>
      </w:r>
      <w:r>
        <w:rPr>
          <w:spacing w:val="-2"/>
          <w:sz w:val="21"/>
        </w:rPr>
        <w:t>New</w:t>
      </w:r>
      <w:r>
        <w:rPr>
          <w:spacing w:val="-7"/>
          <w:sz w:val="21"/>
        </w:rPr>
        <w:t> </w:t>
      </w:r>
      <w:r>
        <w:rPr>
          <w:spacing w:val="-2"/>
          <w:sz w:val="21"/>
        </w:rPr>
        <w:t>Delhi-110</w:t>
      </w:r>
      <w:r>
        <w:rPr>
          <w:spacing w:val="-7"/>
          <w:sz w:val="21"/>
        </w:rPr>
        <w:t> </w:t>
      </w:r>
      <w:r>
        <w:rPr>
          <w:spacing w:val="-2"/>
          <w:sz w:val="21"/>
        </w:rPr>
        <w:t>076 </w:t>
      </w:r>
      <w:hyperlink r:id="rId9">
        <w:r>
          <w:rPr>
            <w:spacing w:val="-2"/>
            <w:sz w:val="21"/>
          </w:rPr>
          <w:t>www.newconceptinfo.com</w:t>
        </w:r>
      </w:hyperlink>
    </w:p>
    <w:p>
      <w:pPr>
        <w:spacing w:after="0" w:line="278" w:lineRule="auto"/>
        <w:jc w:val="left"/>
        <w:rPr>
          <w:sz w:val="21"/>
        </w:rPr>
        <w:sectPr>
          <w:pgSz w:w="11910" w:h="16840"/>
          <w:pgMar w:header="0" w:footer="0"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6"/>
        <w:rPr>
          <w:sz w:val="20"/>
        </w:rPr>
      </w:pPr>
    </w:p>
    <w:p>
      <w:pPr>
        <w:spacing w:after="0"/>
        <w:rPr>
          <w:sz w:val="20"/>
        </w:rPr>
        <w:sectPr>
          <w:pgSz w:w="11910" w:h="16840"/>
          <w:pgMar w:header="0" w:footer="0" w:top="0" w:bottom="280" w:left="0" w:right="0"/>
        </w:sectPr>
      </w:pPr>
    </w:p>
    <w:p>
      <w:pPr>
        <w:pStyle w:val="BodyText"/>
        <w:spacing w:line="266" w:lineRule="auto" w:before="82"/>
        <w:ind w:left="1080"/>
        <w:jc w:val="both"/>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ragraph">
                  <wp:posOffset>-2281874</wp:posOffset>
                </wp:positionV>
                <wp:extent cx="7560309" cy="175260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60309" cy="1752600"/>
                          <a:chExt cx="7560309" cy="1752600"/>
                        </a:xfrm>
                      </wpg:grpSpPr>
                      <pic:pic>
                        <pic:nvPicPr>
                          <pic:cNvPr id="4" name="Image 4"/>
                          <pic:cNvPicPr/>
                        </pic:nvPicPr>
                        <pic:blipFill>
                          <a:blip r:embed="rId10" cstate="print"/>
                          <a:stretch>
                            <a:fillRect/>
                          </a:stretch>
                        </pic:blipFill>
                        <pic:spPr>
                          <a:xfrm>
                            <a:off x="0" y="0"/>
                            <a:ext cx="7559999" cy="1752600"/>
                          </a:xfrm>
                          <a:prstGeom prst="rect">
                            <a:avLst/>
                          </a:prstGeom>
                        </pic:spPr>
                      </pic:pic>
                      <wps:wsp>
                        <wps:cNvPr id="5" name="Textbox 5"/>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pacing w:val="-2"/>
                                  <w:sz w:val="68"/>
                                </w:rPr>
                                <w:t>Foreword</w:t>
                              </w:r>
                            </w:p>
                          </w:txbxContent>
                        </wps:txbx>
                        <wps:bodyPr wrap="square" lIns="0" tIns="0" rIns="0" bIns="0" rtlCol="0">
                          <a:noAutofit/>
                        </wps:bodyPr>
                      </wps:wsp>
                    </wpg:wgp>
                  </a:graphicData>
                </a:graphic>
              </wp:anchor>
            </w:drawing>
          </mc:Choice>
          <mc:Fallback>
            <w:pict>
              <v:group style="position:absolute;margin-left:0pt;margin-top:-179.675125pt;width:595.3pt;height:138pt;mso-position-horizontal-relative:page;mso-position-vertical-relative:paragraph;z-index:15729664" id="docshapegroup1" coordorigin="0,-3594" coordsize="11906,2760">
                <v:shape style="position:absolute;left:0;top:-3594;width:11906;height:2760" type="#_x0000_t75" id="docshape2" stroked="false">
                  <v:imagedata r:id="rId10" o:title=""/>
                </v:shape>
                <v:shapetype id="_x0000_t202" o:spt="202" coordsize="21600,21600" path="m,l,21600r21600,l21600,xe">
                  <v:stroke joinstyle="miter"/>
                  <v:path gradientshapeok="t" o:connecttype="rect"/>
                </v:shapetype>
                <v:shape style="position:absolute;left:0;top:-3594;width:11906;height:2760" type="#_x0000_t202" id="docshape3"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pacing w:val="-2"/>
                            <w:sz w:val="68"/>
                          </w:rPr>
                          <w:t>Foreword</w:t>
                        </w:r>
                      </w:p>
                    </w:txbxContent>
                  </v:textbox>
                  <w10:wrap type="none"/>
                </v:shape>
                <w10:wrap type="none"/>
              </v:group>
            </w:pict>
          </mc:Fallback>
        </mc:AlternateContent>
      </w:r>
      <w:r>
        <w:rPr>
          <w:spacing w:val="-6"/>
        </w:rPr>
        <w:t>The</w:t>
      </w:r>
      <w:r>
        <w:rPr>
          <w:spacing w:val="-8"/>
        </w:rPr>
        <w:t> </w:t>
      </w:r>
      <w:r>
        <w:rPr>
          <w:spacing w:val="-6"/>
        </w:rPr>
        <w:t>National</w:t>
      </w:r>
      <w:r>
        <w:rPr>
          <w:spacing w:val="-8"/>
        </w:rPr>
        <w:t> </w:t>
      </w:r>
      <w:r>
        <w:rPr>
          <w:spacing w:val="-6"/>
        </w:rPr>
        <w:t>Knowledge</w:t>
      </w:r>
      <w:r>
        <w:rPr>
          <w:spacing w:val="-8"/>
        </w:rPr>
        <w:t> </w:t>
      </w:r>
      <w:r>
        <w:rPr>
          <w:spacing w:val="-6"/>
        </w:rPr>
        <w:t>Commission</w:t>
      </w:r>
      <w:r>
        <w:rPr>
          <w:spacing w:val="-7"/>
        </w:rPr>
        <w:t> </w:t>
      </w:r>
      <w:r>
        <w:rPr>
          <w:spacing w:val="-6"/>
        </w:rPr>
        <w:t>(NKC)</w:t>
      </w:r>
      <w:r>
        <w:rPr>
          <w:spacing w:val="-8"/>
        </w:rPr>
        <w:t> </w:t>
      </w:r>
      <w:r>
        <w:rPr>
          <w:spacing w:val="-6"/>
        </w:rPr>
        <w:t>is</w:t>
      </w:r>
      <w:r>
        <w:rPr>
          <w:spacing w:val="-8"/>
        </w:rPr>
        <w:t> </w:t>
      </w:r>
      <w:r>
        <w:rPr>
          <w:spacing w:val="-6"/>
        </w:rPr>
        <w:t>pleased </w:t>
      </w:r>
      <w:r>
        <w:rPr>
          <w:spacing w:val="-2"/>
        </w:rPr>
        <w:t>to</w:t>
      </w:r>
      <w:r>
        <w:rPr>
          <w:spacing w:val="-9"/>
        </w:rPr>
        <w:t> </w:t>
      </w:r>
      <w:r>
        <w:rPr>
          <w:spacing w:val="-2"/>
        </w:rPr>
        <w:t>submit</w:t>
      </w:r>
      <w:r>
        <w:rPr>
          <w:spacing w:val="-9"/>
        </w:rPr>
        <w:t> </w:t>
      </w:r>
      <w:r>
        <w:rPr>
          <w:spacing w:val="-2"/>
        </w:rPr>
        <w:t>its</w:t>
      </w:r>
      <w:r>
        <w:rPr>
          <w:spacing w:val="-9"/>
        </w:rPr>
        <w:t> </w:t>
      </w:r>
      <w:r>
        <w:rPr>
          <w:spacing w:val="-2"/>
        </w:rPr>
        <w:t>final</w:t>
      </w:r>
      <w:r>
        <w:rPr>
          <w:spacing w:val="-9"/>
        </w:rPr>
        <w:t> </w:t>
      </w:r>
      <w:r>
        <w:rPr>
          <w:spacing w:val="-2"/>
        </w:rPr>
        <w:t>Report</w:t>
      </w:r>
      <w:r>
        <w:rPr>
          <w:spacing w:val="-9"/>
        </w:rPr>
        <w:t> </w:t>
      </w:r>
      <w:r>
        <w:rPr>
          <w:spacing w:val="-2"/>
        </w:rPr>
        <w:t>to</w:t>
      </w:r>
      <w:r>
        <w:rPr>
          <w:spacing w:val="-9"/>
        </w:rPr>
        <w:t> </w:t>
      </w:r>
      <w:r>
        <w:rPr>
          <w:spacing w:val="-2"/>
        </w:rPr>
        <w:t>the</w:t>
      </w:r>
      <w:r>
        <w:rPr>
          <w:spacing w:val="-9"/>
        </w:rPr>
        <w:t> </w:t>
      </w:r>
      <w:r>
        <w:rPr>
          <w:spacing w:val="-2"/>
        </w:rPr>
        <w:t>Nation.</w:t>
      </w:r>
      <w:r>
        <w:rPr>
          <w:spacing w:val="-9"/>
        </w:rPr>
        <w:t> </w:t>
      </w:r>
      <w:r>
        <w:rPr>
          <w:spacing w:val="-2"/>
        </w:rPr>
        <w:t>It</w:t>
      </w:r>
      <w:r>
        <w:rPr>
          <w:spacing w:val="-9"/>
        </w:rPr>
        <w:t> </w:t>
      </w:r>
      <w:r>
        <w:rPr>
          <w:spacing w:val="-2"/>
        </w:rPr>
        <w:t>is</w:t>
      </w:r>
      <w:r>
        <w:rPr>
          <w:spacing w:val="-9"/>
        </w:rPr>
        <w:t> </w:t>
      </w:r>
      <w:r>
        <w:rPr>
          <w:spacing w:val="-2"/>
        </w:rPr>
        <w:t>essentially </w:t>
      </w:r>
      <w:r>
        <w:rPr>
          <w:spacing w:val="-4"/>
        </w:rPr>
        <w:t>a</w:t>
      </w:r>
      <w:r>
        <w:rPr>
          <w:spacing w:val="-9"/>
        </w:rPr>
        <w:t> </w:t>
      </w:r>
      <w:r>
        <w:rPr>
          <w:spacing w:val="-4"/>
        </w:rPr>
        <w:t>compilation</w:t>
      </w:r>
      <w:r>
        <w:rPr>
          <w:spacing w:val="-9"/>
        </w:rPr>
        <w:t> </w:t>
      </w:r>
      <w:r>
        <w:rPr>
          <w:spacing w:val="-4"/>
        </w:rPr>
        <w:t>of</w:t>
      </w:r>
      <w:r>
        <w:rPr>
          <w:spacing w:val="-9"/>
        </w:rPr>
        <w:t> </w:t>
      </w:r>
      <w:r>
        <w:rPr>
          <w:spacing w:val="-4"/>
        </w:rPr>
        <w:t>our</w:t>
      </w:r>
      <w:r>
        <w:rPr>
          <w:spacing w:val="-9"/>
        </w:rPr>
        <w:t> </w:t>
      </w:r>
      <w:r>
        <w:rPr>
          <w:spacing w:val="-4"/>
        </w:rPr>
        <w:t>various</w:t>
      </w:r>
      <w:r>
        <w:rPr>
          <w:spacing w:val="-9"/>
        </w:rPr>
        <w:t> </w:t>
      </w:r>
      <w:r>
        <w:rPr>
          <w:spacing w:val="-4"/>
        </w:rPr>
        <w:t>reports</w:t>
      </w:r>
      <w:r>
        <w:rPr>
          <w:spacing w:val="-9"/>
        </w:rPr>
        <w:t> </w:t>
      </w:r>
      <w:r>
        <w:rPr>
          <w:spacing w:val="-4"/>
        </w:rPr>
        <w:t>from</w:t>
      </w:r>
      <w:r>
        <w:rPr>
          <w:spacing w:val="-9"/>
        </w:rPr>
        <w:t> </w:t>
      </w:r>
      <w:r>
        <w:rPr>
          <w:spacing w:val="-4"/>
        </w:rPr>
        <w:t>2006</w:t>
      </w:r>
      <w:r>
        <w:rPr>
          <w:spacing w:val="-9"/>
        </w:rPr>
        <w:t> </w:t>
      </w:r>
      <w:r>
        <w:rPr>
          <w:spacing w:val="-4"/>
        </w:rPr>
        <w:t>to</w:t>
      </w:r>
      <w:r>
        <w:rPr>
          <w:spacing w:val="-9"/>
        </w:rPr>
        <w:t> </w:t>
      </w:r>
      <w:r>
        <w:rPr>
          <w:spacing w:val="-4"/>
        </w:rPr>
        <w:t>2009. </w:t>
      </w:r>
      <w:r>
        <w:rPr/>
        <w:t>The Commission was set up by the Prime Minister Dr. Manmohan Singh to prepare a blueprint to tap into</w:t>
      </w:r>
      <w:r>
        <w:rPr>
          <w:spacing w:val="-10"/>
        </w:rPr>
        <w:t> </w:t>
      </w:r>
      <w:r>
        <w:rPr/>
        <w:t>the</w:t>
      </w:r>
      <w:r>
        <w:rPr>
          <w:spacing w:val="-10"/>
        </w:rPr>
        <w:t> </w:t>
      </w:r>
      <w:r>
        <w:rPr/>
        <w:t>enormous</w:t>
      </w:r>
      <w:r>
        <w:rPr>
          <w:spacing w:val="-10"/>
        </w:rPr>
        <w:t> </w:t>
      </w:r>
      <w:r>
        <w:rPr/>
        <w:t>reservoir</w:t>
      </w:r>
      <w:r>
        <w:rPr>
          <w:spacing w:val="-10"/>
        </w:rPr>
        <w:t> </w:t>
      </w:r>
      <w:r>
        <w:rPr/>
        <w:t>of</w:t>
      </w:r>
      <w:r>
        <w:rPr>
          <w:spacing w:val="-10"/>
        </w:rPr>
        <w:t> </w:t>
      </w:r>
      <w:r>
        <w:rPr/>
        <w:t>our</w:t>
      </w:r>
      <w:r>
        <w:rPr>
          <w:spacing w:val="-10"/>
        </w:rPr>
        <w:t> </w:t>
      </w:r>
      <w:r>
        <w:rPr/>
        <w:t>knowledge</w:t>
      </w:r>
      <w:r>
        <w:rPr>
          <w:spacing w:val="-10"/>
        </w:rPr>
        <w:t> </w:t>
      </w:r>
      <w:r>
        <w:rPr/>
        <w:t>base</w:t>
      </w:r>
      <w:r>
        <w:rPr>
          <w:spacing w:val="-10"/>
        </w:rPr>
        <w:t> </w:t>
      </w:r>
      <w:r>
        <w:rPr/>
        <w:t>so that</w:t>
      </w:r>
      <w:r>
        <w:rPr>
          <w:spacing w:val="-7"/>
        </w:rPr>
        <w:t> </w:t>
      </w:r>
      <w:r>
        <w:rPr/>
        <w:t>our</w:t>
      </w:r>
      <w:r>
        <w:rPr>
          <w:spacing w:val="-7"/>
        </w:rPr>
        <w:t> </w:t>
      </w:r>
      <w:r>
        <w:rPr/>
        <w:t>people</w:t>
      </w:r>
      <w:r>
        <w:rPr>
          <w:spacing w:val="-7"/>
        </w:rPr>
        <w:t> </w:t>
      </w:r>
      <w:r>
        <w:rPr/>
        <w:t>can</w:t>
      </w:r>
      <w:r>
        <w:rPr>
          <w:spacing w:val="-7"/>
        </w:rPr>
        <w:t> </w:t>
      </w:r>
      <w:r>
        <w:rPr/>
        <w:t>confidently</w:t>
      </w:r>
      <w:r>
        <w:rPr>
          <w:spacing w:val="-7"/>
        </w:rPr>
        <w:t> </w:t>
      </w:r>
      <w:r>
        <w:rPr/>
        <w:t>face</w:t>
      </w:r>
      <w:r>
        <w:rPr>
          <w:spacing w:val="-7"/>
        </w:rPr>
        <w:t> </w:t>
      </w:r>
      <w:r>
        <w:rPr/>
        <w:t>the</w:t>
      </w:r>
      <w:r>
        <w:rPr>
          <w:spacing w:val="-7"/>
        </w:rPr>
        <w:t> </w:t>
      </w:r>
      <w:r>
        <w:rPr/>
        <w:t>challenges</w:t>
      </w:r>
      <w:r>
        <w:rPr>
          <w:spacing w:val="-7"/>
        </w:rPr>
        <w:t> </w:t>
      </w:r>
      <w:r>
        <w:rPr/>
        <w:t>of the 21st century. We were conscious that this was a daunting</w:t>
      </w:r>
      <w:r>
        <w:rPr>
          <w:spacing w:val="-1"/>
        </w:rPr>
        <w:t> </w:t>
      </w:r>
      <w:r>
        <w:rPr/>
        <w:t>task,</w:t>
      </w:r>
      <w:r>
        <w:rPr>
          <w:spacing w:val="-1"/>
        </w:rPr>
        <w:t> </w:t>
      </w:r>
      <w:r>
        <w:rPr/>
        <w:t>which</w:t>
      </w:r>
      <w:r>
        <w:rPr>
          <w:spacing w:val="-1"/>
        </w:rPr>
        <w:t> </w:t>
      </w:r>
      <w:r>
        <w:rPr/>
        <w:t>required</w:t>
      </w:r>
      <w:r>
        <w:rPr>
          <w:spacing w:val="-1"/>
        </w:rPr>
        <w:t> </w:t>
      </w:r>
      <w:r>
        <w:rPr/>
        <w:t>not</w:t>
      </w:r>
      <w:r>
        <w:rPr>
          <w:spacing w:val="-1"/>
        </w:rPr>
        <w:t> </w:t>
      </w:r>
      <w:r>
        <w:rPr/>
        <w:t>only</w:t>
      </w:r>
      <w:r>
        <w:rPr>
          <w:spacing w:val="-1"/>
        </w:rPr>
        <w:t> </w:t>
      </w:r>
      <w:r>
        <w:rPr/>
        <w:t>resources</w:t>
      </w:r>
      <w:r>
        <w:rPr>
          <w:spacing w:val="-1"/>
        </w:rPr>
        <w:t> </w:t>
      </w:r>
      <w:r>
        <w:rPr/>
        <w:t>and time, but also a bold vision and a long-term focus on speedy implementation.</w:t>
      </w:r>
    </w:p>
    <w:p>
      <w:pPr>
        <w:pStyle w:val="BodyText"/>
        <w:spacing w:before="18"/>
      </w:pPr>
    </w:p>
    <w:p>
      <w:pPr>
        <w:pStyle w:val="BodyText"/>
        <w:spacing w:line="266" w:lineRule="auto" w:before="1"/>
        <w:ind w:left="1080"/>
        <w:jc w:val="both"/>
      </w:pPr>
      <w:r>
        <w:rPr/>
        <w:t>At the heart of NKC’s mandate are five key areas related</w:t>
      </w:r>
      <w:r>
        <w:rPr>
          <w:spacing w:val="28"/>
        </w:rPr>
        <w:t>  </w:t>
      </w:r>
      <w:r>
        <w:rPr/>
        <w:t>to</w:t>
      </w:r>
      <w:r>
        <w:rPr>
          <w:spacing w:val="29"/>
        </w:rPr>
        <w:t>  </w:t>
      </w:r>
      <w:r>
        <w:rPr/>
        <w:t>ACCESS,</w:t>
      </w:r>
      <w:r>
        <w:rPr>
          <w:spacing w:val="28"/>
        </w:rPr>
        <w:t>  </w:t>
      </w:r>
      <w:r>
        <w:rPr/>
        <w:t>CONCEPTS,</w:t>
      </w:r>
      <w:r>
        <w:rPr>
          <w:spacing w:val="29"/>
        </w:rPr>
        <w:t>  </w:t>
      </w:r>
      <w:r>
        <w:rPr>
          <w:spacing w:val="-2"/>
        </w:rPr>
        <w:t>CREATION,</w:t>
      </w:r>
    </w:p>
    <w:p>
      <w:pPr>
        <w:pStyle w:val="BodyText"/>
        <w:spacing w:line="266" w:lineRule="auto"/>
        <w:ind w:left="1080"/>
        <w:jc w:val="both"/>
      </w:pPr>
      <w:r>
        <w:rPr>
          <w:spacing w:val="-4"/>
        </w:rPr>
        <w:t>APPLICATIONS</w:t>
      </w:r>
      <w:r>
        <w:rPr>
          <w:spacing w:val="-6"/>
        </w:rPr>
        <w:t> </w:t>
      </w:r>
      <w:r>
        <w:rPr>
          <w:spacing w:val="-4"/>
        </w:rPr>
        <w:t>and</w:t>
      </w:r>
      <w:r>
        <w:rPr>
          <w:spacing w:val="-6"/>
        </w:rPr>
        <w:t> </w:t>
      </w:r>
      <w:r>
        <w:rPr>
          <w:spacing w:val="-4"/>
        </w:rPr>
        <w:t>SERVICES.</w:t>
      </w:r>
      <w:r>
        <w:rPr>
          <w:spacing w:val="-8"/>
        </w:rPr>
        <w:t> </w:t>
      </w:r>
      <w:r>
        <w:rPr>
          <w:spacing w:val="-4"/>
        </w:rPr>
        <w:t>We</w:t>
      </w:r>
      <w:r>
        <w:rPr>
          <w:spacing w:val="-6"/>
        </w:rPr>
        <w:t> </w:t>
      </w:r>
      <w:r>
        <w:rPr>
          <w:spacing w:val="-4"/>
        </w:rPr>
        <w:t>have</w:t>
      </w:r>
      <w:r>
        <w:rPr>
          <w:spacing w:val="-6"/>
        </w:rPr>
        <w:t> </w:t>
      </w:r>
      <w:r>
        <w:rPr>
          <w:spacing w:val="-4"/>
        </w:rPr>
        <w:t>addressed </w:t>
      </w:r>
      <w:r>
        <w:rPr>
          <w:spacing w:val="-2"/>
        </w:rPr>
        <w:t>the</w:t>
      </w:r>
      <w:r>
        <w:rPr>
          <w:spacing w:val="-8"/>
        </w:rPr>
        <w:t> </w:t>
      </w:r>
      <w:r>
        <w:rPr>
          <w:spacing w:val="-2"/>
        </w:rPr>
        <w:t>question</w:t>
      </w:r>
      <w:r>
        <w:rPr>
          <w:spacing w:val="-8"/>
        </w:rPr>
        <w:t> </w:t>
      </w:r>
      <w:r>
        <w:rPr>
          <w:spacing w:val="-2"/>
        </w:rPr>
        <w:t>of</w:t>
      </w:r>
      <w:r>
        <w:rPr>
          <w:spacing w:val="-8"/>
        </w:rPr>
        <w:t> </w:t>
      </w:r>
      <w:r>
        <w:rPr>
          <w:spacing w:val="-2"/>
        </w:rPr>
        <w:t>how</w:t>
      </w:r>
      <w:r>
        <w:rPr>
          <w:spacing w:val="-8"/>
        </w:rPr>
        <w:t> </w:t>
      </w:r>
      <w:r>
        <w:rPr>
          <w:spacing w:val="-2"/>
        </w:rPr>
        <w:t>to</w:t>
      </w:r>
      <w:r>
        <w:rPr>
          <w:spacing w:val="-8"/>
        </w:rPr>
        <w:t> </w:t>
      </w:r>
      <w:r>
        <w:rPr>
          <w:spacing w:val="-2"/>
        </w:rPr>
        <w:t>build</w:t>
      </w:r>
      <w:r>
        <w:rPr>
          <w:spacing w:val="-8"/>
        </w:rPr>
        <w:t> </w:t>
      </w:r>
      <w:r>
        <w:rPr>
          <w:spacing w:val="-2"/>
        </w:rPr>
        <w:t>a</w:t>
      </w:r>
      <w:r>
        <w:rPr>
          <w:spacing w:val="-8"/>
        </w:rPr>
        <w:t> </w:t>
      </w:r>
      <w:r>
        <w:rPr>
          <w:spacing w:val="-2"/>
        </w:rPr>
        <w:t>knowledge</w:t>
      </w:r>
      <w:r>
        <w:rPr>
          <w:spacing w:val="-8"/>
        </w:rPr>
        <w:t> </w:t>
      </w:r>
      <w:r>
        <w:rPr>
          <w:spacing w:val="-2"/>
        </w:rPr>
        <w:t>society</w:t>
      </w:r>
      <w:r>
        <w:rPr>
          <w:spacing w:val="-8"/>
        </w:rPr>
        <w:t> </w:t>
      </w:r>
      <w:r>
        <w:rPr>
          <w:spacing w:val="-2"/>
        </w:rPr>
        <w:t>from </w:t>
      </w:r>
      <w:r>
        <w:rPr/>
        <w:t>these perspectives, with particular focus on access</w:t>
      </w:r>
      <w:r>
        <w:rPr>
          <w:spacing w:val="80"/>
          <w:w w:val="150"/>
        </w:rPr>
        <w:t> </w:t>
      </w:r>
      <w:r>
        <w:rPr/>
        <w:t>to knowledge. Under these five focus areas we have </w:t>
      </w:r>
      <w:r>
        <w:rPr>
          <w:spacing w:val="-2"/>
        </w:rPr>
        <w:t>covered</w:t>
      </w:r>
      <w:r>
        <w:rPr>
          <w:spacing w:val="-10"/>
        </w:rPr>
        <w:t> </w:t>
      </w:r>
      <w:r>
        <w:rPr>
          <w:spacing w:val="-2"/>
        </w:rPr>
        <w:t>various</w:t>
      </w:r>
      <w:r>
        <w:rPr>
          <w:spacing w:val="-10"/>
        </w:rPr>
        <w:t> </w:t>
      </w:r>
      <w:r>
        <w:rPr>
          <w:spacing w:val="-2"/>
        </w:rPr>
        <w:t>subjects</w:t>
      </w:r>
      <w:r>
        <w:rPr>
          <w:spacing w:val="-10"/>
        </w:rPr>
        <w:t> </w:t>
      </w:r>
      <w:r>
        <w:rPr>
          <w:spacing w:val="-2"/>
        </w:rPr>
        <w:t>related</w:t>
      </w:r>
      <w:r>
        <w:rPr>
          <w:spacing w:val="-10"/>
        </w:rPr>
        <w:t> </w:t>
      </w:r>
      <w:r>
        <w:rPr>
          <w:spacing w:val="-2"/>
        </w:rPr>
        <w:t>to</w:t>
      </w:r>
      <w:r>
        <w:rPr>
          <w:spacing w:val="-10"/>
        </w:rPr>
        <w:t> </w:t>
      </w:r>
      <w:r>
        <w:rPr>
          <w:spacing w:val="-2"/>
        </w:rPr>
        <w:t>Right</w:t>
      </w:r>
      <w:r>
        <w:rPr>
          <w:spacing w:val="-10"/>
        </w:rPr>
        <w:t> </w:t>
      </w:r>
      <w:r>
        <w:rPr>
          <w:spacing w:val="-2"/>
        </w:rPr>
        <w:t>to</w:t>
      </w:r>
      <w:r>
        <w:rPr>
          <w:spacing w:val="-10"/>
        </w:rPr>
        <w:t> </w:t>
      </w:r>
      <w:r>
        <w:rPr>
          <w:spacing w:val="-2"/>
        </w:rPr>
        <w:t>Education, Language,</w:t>
      </w:r>
      <w:r>
        <w:rPr>
          <w:spacing w:val="-12"/>
        </w:rPr>
        <w:t> </w:t>
      </w:r>
      <w:r>
        <w:rPr>
          <w:spacing w:val="-2"/>
        </w:rPr>
        <w:t>Translation,</w:t>
      </w:r>
      <w:r>
        <w:rPr>
          <w:spacing w:val="-12"/>
        </w:rPr>
        <w:t> </w:t>
      </w:r>
      <w:r>
        <w:rPr>
          <w:spacing w:val="-2"/>
        </w:rPr>
        <w:t>Libraries,</w:t>
      </w:r>
      <w:r>
        <w:rPr>
          <w:spacing w:val="-12"/>
        </w:rPr>
        <w:t> </w:t>
      </w:r>
      <w:r>
        <w:rPr>
          <w:spacing w:val="-2"/>
        </w:rPr>
        <w:t>National</w:t>
      </w:r>
      <w:r>
        <w:rPr>
          <w:spacing w:val="-11"/>
        </w:rPr>
        <w:t> </w:t>
      </w:r>
      <w:r>
        <w:rPr>
          <w:spacing w:val="-2"/>
        </w:rPr>
        <w:t>Knowledge </w:t>
      </w:r>
      <w:r>
        <w:rPr>
          <w:spacing w:val="-4"/>
        </w:rPr>
        <w:t>Network, Portals, Health Information Network, School </w:t>
      </w:r>
      <w:r>
        <w:rPr>
          <w:spacing w:val="-2"/>
        </w:rPr>
        <w:t>Education,</w:t>
      </w:r>
      <w:r>
        <w:rPr>
          <w:spacing w:val="-12"/>
        </w:rPr>
        <w:t> </w:t>
      </w:r>
      <w:r>
        <w:rPr>
          <w:spacing w:val="-2"/>
        </w:rPr>
        <w:t>Vocational</w:t>
      </w:r>
      <w:r>
        <w:rPr>
          <w:spacing w:val="-12"/>
        </w:rPr>
        <w:t> </w:t>
      </w:r>
      <w:r>
        <w:rPr>
          <w:spacing w:val="-2"/>
        </w:rPr>
        <w:t>Education</w:t>
      </w:r>
      <w:r>
        <w:rPr>
          <w:spacing w:val="-12"/>
        </w:rPr>
        <w:t> </w:t>
      </w:r>
      <w:r>
        <w:rPr>
          <w:spacing w:val="-2"/>
        </w:rPr>
        <w:t>and</w:t>
      </w:r>
      <w:r>
        <w:rPr>
          <w:spacing w:val="-11"/>
        </w:rPr>
        <w:t> </w:t>
      </w:r>
      <w:r>
        <w:rPr>
          <w:spacing w:val="-2"/>
        </w:rPr>
        <w:t>Training,</w:t>
      </w:r>
      <w:r>
        <w:rPr>
          <w:spacing w:val="-12"/>
        </w:rPr>
        <w:t> </w:t>
      </w:r>
      <w:r>
        <w:rPr>
          <w:spacing w:val="-2"/>
        </w:rPr>
        <w:t>Higher </w:t>
      </w:r>
      <w:r>
        <w:rPr/>
        <w:t>Education, More Students in Maths and Science, Professional Education, More Quality Ph.Ds, Open and Distance Education, Open Education Resources, </w:t>
      </w:r>
      <w:r>
        <w:rPr>
          <w:spacing w:val="-8"/>
        </w:rPr>
        <w:t>Intellectual</w:t>
      </w:r>
      <w:r>
        <w:rPr/>
        <w:t> </w:t>
      </w:r>
      <w:r>
        <w:rPr>
          <w:spacing w:val="-8"/>
        </w:rPr>
        <w:t>Property</w:t>
      </w:r>
      <w:r>
        <w:rPr/>
        <w:t> </w:t>
      </w:r>
      <w:r>
        <w:rPr>
          <w:spacing w:val="-8"/>
        </w:rPr>
        <w:t>Rights,</w:t>
      </w:r>
      <w:r>
        <w:rPr/>
        <w:t> </w:t>
      </w:r>
      <w:r>
        <w:rPr>
          <w:spacing w:val="-8"/>
        </w:rPr>
        <w:t>Legal</w:t>
      </w:r>
      <w:r>
        <w:rPr/>
        <w:t> </w:t>
      </w:r>
      <w:r>
        <w:rPr>
          <w:spacing w:val="-8"/>
        </w:rPr>
        <w:t>Framework</w:t>
      </w:r>
      <w:r>
        <w:rPr/>
        <w:t> </w:t>
      </w:r>
      <w:r>
        <w:rPr>
          <w:spacing w:val="-8"/>
        </w:rPr>
        <w:t>for</w:t>
      </w:r>
      <w:r>
        <w:rPr/>
        <w:t> </w:t>
      </w:r>
      <w:r>
        <w:rPr>
          <w:spacing w:val="-8"/>
        </w:rPr>
        <w:t>Public </w:t>
      </w:r>
      <w:r>
        <w:rPr>
          <w:spacing w:val="-2"/>
        </w:rPr>
        <w:t>Funded</w:t>
      </w:r>
      <w:r>
        <w:rPr>
          <w:spacing w:val="-12"/>
        </w:rPr>
        <w:t> </w:t>
      </w:r>
      <w:r>
        <w:rPr>
          <w:spacing w:val="-2"/>
        </w:rPr>
        <w:t>Research,</w:t>
      </w:r>
      <w:r>
        <w:rPr>
          <w:spacing w:val="-12"/>
        </w:rPr>
        <w:t> </w:t>
      </w:r>
      <w:r>
        <w:rPr>
          <w:spacing w:val="-2"/>
        </w:rPr>
        <w:t>National</w:t>
      </w:r>
      <w:r>
        <w:rPr>
          <w:spacing w:val="-12"/>
        </w:rPr>
        <w:t> </w:t>
      </w:r>
      <w:r>
        <w:rPr>
          <w:spacing w:val="-2"/>
        </w:rPr>
        <w:t>Science</w:t>
      </w:r>
      <w:r>
        <w:rPr>
          <w:spacing w:val="-11"/>
        </w:rPr>
        <w:t> </w:t>
      </w:r>
      <w:r>
        <w:rPr>
          <w:spacing w:val="-2"/>
        </w:rPr>
        <w:t>and</w:t>
      </w:r>
      <w:r>
        <w:rPr>
          <w:spacing w:val="-12"/>
        </w:rPr>
        <w:t> </w:t>
      </w:r>
      <w:r>
        <w:rPr>
          <w:spacing w:val="-2"/>
        </w:rPr>
        <w:t>Social</w:t>
      </w:r>
      <w:r>
        <w:rPr>
          <w:spacing w:val="-12"/>
        </w:rPr>
        <w:t> </w:t>
      </w:r>
      <w:r>
        <w:rPr>
          <w:spacing w:val="-2"/>
        </w:rPr>
        <w:t>Science Foundation,</w:t>
      </w:r>
      <w:r>
        <w:rPr>
          <w:spacing w:val="-7"/>
        </w:rPr>
        <w:t> </w:t>
      </w:r>
      <w:r>
        <w:rPr>
          <w:spacing w:val="-2"/>
        </w:rPr>
        <w:t>Innovation,</w:t>
      </w:r>
      <w:r>
        <w:rPr>
          <w:spacing w:val="-6"/>
        </w:rPr>
        <w:t> </w:t>
      </w:r>
      <w:r>
        <w:rPr>
          <w:spacing w:val="-2"/>
        </w:rPr>
        <w:t>Entrepreneurship,</w:t>
      </w:r>
      <w:r>
        <w:rPr>
          <w:spacing w:val="-12"/>
        </w:rPr>
        <w:t> </w:t>
      </w:r>
      <w:r>
        <w:rPr>
          <w:spacing w:val="-2"/>
        </w:rPr>
        <w:t>Traditional </w:t>
      </w:r>
      <w:r>
        <w:rPr>
          <w:spacing w:val="-4"/>
        </w:rPr>
        <w:t>Health</w:t>
      </w:r>
      <w:r>
        <w:rPr>
          <w:spacing w:val="-7"/>
        </w:rPr>
        <w:t> </w:t>
      </w:r>
      <w:r>
        <w:rPr>
          <w:spacing w:val="-4"/>
        </w:rPr>
        <w:t>systems,</w:t>
      </w:r>
      <w:r>
        <w:rPr>
          <w:spacing w:val="-7"/>
        </w:rPr>
        <w:t> </w:t>
      </w:r>
      <w:r>
        <w:rPr>
          <w:spacing w:val="-4"/>
        </w:rPr>
        <w:t>Agriculture,</w:t>
      </w:r>
      <w:r>
        <w:rPr>
          <w:spacing w:val="-7"/>
        </w:rPr>
        <w:t> </w:t>
      </w:r>
      <w:r>
        <w:rPr>
          <w:spacing w:val="-4"/>
        </w:rPr>
        <w:t>Enhancing</w:t>
      </w:r>
      <w:r>
        <w:rPr>
          <w:spacing w:val="-7"/>
        </w:rPr>
        <w:t> </w:t>
      </w:r>
      <w:r>
        <w:rPr>
          <w:spacing w:val="-4"/>
        </w:rPr>
        <w:t>Quality</w:t>
      </w:r>
      <w:r>
        <w:rPr>
          <w:spacing w:val="-7"/>
        </w:rPr>
        <w:t> </w:t>
      </w:r>
      <w:r>
        <w:rPr>
          <w:spacing w:val="-4"/>
        </w:rPr>
        <w:t>of</w:t>
      </w:r>
      <w:r>
        <w:rPr>
          <w:spacing w:val="-7"/>
        </w:rPr>
        <w:t> </w:t>
      </w:r>
      <w:r>
        <w:rPr>
          <w:spacing w:val="-4"/>
        </w:rPr>
        <w:t>Life </w:t>
      </w:r>
      <w:r>
        <w:rPr/>
        <w:t>and E-governance.</w:t>
      </w:r>
    </w:p>
    <w:p>
      <w:pPr>
        <w:pStyle w:val="BodyText"/>
        <w:spacing w:before="12"/>
      </w:pPr>
    </w:p>
    <w:p>
      <w:pPr>
        <w:pStyle w:val="BodyText"/>
        <w:spacing w:line="266" w:lineRule="auto"/>
        <w:ind w:left="1080"/>
        <w:jc w:val="both"/>
      </w:pPr>
      <w:r>
        <w:rPr/>
        <w:t>In</w:t>
      </w:r>
      <w:r>
        <w:rPr>
          <w:spacing w:val="-3"/>
        </w:rPr>
        <w:t> </w:t>
      </w:r>
      <w:r>
        <w:rPr/>
        <w:t>most</w:t>
      </w:r>
      <w:r>
        <w:rPr>
          <w:spacing w:val="-3"/>
        </w:rPr>
        <w:t> </w:t>
      </w:r>
      <w:r>
        <w:rPr/>
        <w:t>of</w:t>
      </w:r>
      <w:r>
        <w:rPr>
          <w:spacing w:val="-3"/>
        </w:rPr>
        <w:t> </w:t>
      </w:r>
      <w:r>
        <w:rPr/>
        <w:t>these</w:t>
      </w:r>
      <w:r>
        <w:rPr>
          <w:spacing w:val="-3"/>
        </w:rPr>
        <w:t> </w:t>
      </w:r>
      <w:r>
        <w:rPr/>
        <w:t>areas</w:t>
      </w:r>
      <w:r>
        <w:rPr>
          <w:spacing w:val="-3"/>
        </w:rPr>
        <w:t> </w:t>
      </w:r>
      <w:r>
        <w:rPr/>
        <w:t>we</w:t>
      </w:r>
      <w:r>
        <w:rPr>
          <w:spacing w:val="-3"/>
        </w:rPr>
        <w:t> </w:t>
      </w:r>
      <w:r>
        <w:rPr/>
        <w:t>organised</w:t>
      </w:r>
      <w:r>
        <w:rPr>
          <w:spacing w:val="-6"/>
        </w:rPr>
        <w:t> </w:t>
      </w:r>
      <w:r>
        <w:rPr/>
        <w:t>Working</w:t>
      </w:r>
      <w:r>
        <w:rPr>
          <w:spacing w:val="-3"/>
        </w:rPr>
        <w:t> </w:t>
      </w:r>
      <w:r>
        <w:rPr/>
        <w:t>Groups consisting of domain experts from the government, academia,</w:t>
      </w:r>
      <w:r>
        <w:rPr>
          <w:spacing w:val="-4"/>
        </w:rPr>
        <w:t> </w:t>
      </w:r>
      <w:r>
        <w:rPr/>
        <w:t>industry,</w:t>
      </w:r>
      <w:r>
        <w:rPr>
          <w:spacing w:val="-4"/>
        </w:rPr>
        <w:t> </w:t>
      </w:r>
      <w:r>
        <w:rPr/>
        <w:t>civil</w:t>
      </w:r>
      <w:r>
        <w:rPr>
          <w:spacing w:val="-4"/>
        </w:rPr>
        <w:t> </w:t>
      </w:r>
      <w:r>
        <w:rPr/>
        <w:t>society,</w:t>
      </w:r>
      <w:r>
        <w:rPr>
          <w:spacing w:val="-4"/>
        </w:rPr>
        <w:t> </w:t>
      </w:r>
      <w:r>
        <w:rPr/>
        <w:t>media</w:t>
      </w:r>
      <w:r>
        <w:rPr>
          <w:spacing w:val="-4"/>
        </w:rPr>
        <w:t> </w:t>
      </w:r>
      <w:r>
        <w:rPr/>
        <w:t>and</w:t>
      </w:r>
      <w:r>
        <w:rPr>
          <w:spacing w:val="-4"/>
        </w:rPr>
        <w:t> </w:t>
      </w:r>
      <w:r>
        <w:rPr/>
        <w:t>others</w:t>
      </w:r>
      <w:r>
        <w:rPr>
          <w:spacing w:val="-4"/>
        </w:rPr>
        <w:t> </w:t>
      </w:r>
      <w:r>
        <w:rPr/>
        <w:t>to make the entire process democratic, transparent and participative.</w:t>
      </w:r>
      <w:r>
        <w:rPr>
          <w:spacing w:val="-12"/>
        </w:rPr>
        <w:t> </w:t>
      </w:r>
      <w:r>
        <w:rPr/>
        <w:t>The</w:t>
      </w:r>
      <w:r>
        <w:rPr>
          <w:spacing w:val="-9"/>
        </w:rPr>
        <w:t> </w:t>
      </w:r>
      <w:r>
        <w:rPr/>
        <w:t>Working</w:t>
      </w:r>
      <w:r>
        <w:rPr>
          <w:spacing w:val="-6"/>
        </w:rPr>
        <w:t> </w:t>
      </w:r>
      <w:r>
        <w:rPr/>
        <w:t>Groups</w:t>
      </w:r>
      <w:r>
        <w:rPr>
          <w:spacing w:val="-6"/>
        </w:rPr>
        <w:t> </w:t>
      </w:r>
      <w:r>
        <w:rPr/>
        <w:t>were</w:t>
      </w:r>
      <w:r>
        <w:rPr>
          <w:spacing w:val="-6"/>
        </w:rPr>
        <w:t> </w:t>
      </w:r>
      <w:r>
        <w:rPr/>
        <w:t>requested</w:t>
      </w:r>
      <w:r>
        <w:rPr>
          <w:spacing w:val="-6"/>
        </w:rPr>
        <w:t> </w:t>
      </w:r>
      <w:r>
        <w:rPr/>
        <w:t>to have</w:t>
      </w:r>
      <w:r>
        <w:rPr>
          <w:spacing w:val="-2"/>
        </w:rPr>
        <w:t> </w:t>
      </w:r>
      <w:r>
        <w:rPr/>
        <w:t>various</w:t>
      </w:r>
      <w:r>
        <w:rPr>
          <w:spacing w:val="-2"/>
        </w:rPr>
        <w:t> </w:t>
      </w:r>
      <w:r>
        <w:rPr/>
        <w:t>consultations</w:t>
      </w:r>
      <w:r>
        <w:rPr>
          <w:spacing w:val="-2"/>
        </w:rPr>
        <w:t> </w:t>
      </w:r>
      <w:r>
        <w:rPr/>
        <w:t>and</w:t>
      </w:r>
      <w:r>
        <w:rPr>
          <w:spacing w:val="-2"/>
        </w:rPr>
        <w:t> </w:t>
      </w:r>
      <w:r>
        <w:rPr/>
        <w:t>prepare</w:t>
      </w:r>
      <w:r>
        <w:rPr>
          <w:spacing w:val="-2"/>
        </w:rPr>
        <w:t> </w:t>
      </w:r>
      <w:r>
        <w:rPr/>
        <w:t>a</w:t>
      </w:r>
      <w:r>
        <w:rPr>
          <w:spacing w:val="-2"/>
        </w:rPr>
        <w:t> </w:t>
      </w:r>
      <w:r>
        <w:rPr/>
        <w:t>white</w:t>
      </w:r>
      <w:r>
        <w:rPr>
          <w:spacing w:val="-2"/>
        </w:rPr>
        <w:t> </w:t>
      </w:r>
      <w:r>
        <w:rPr/>
        <w:t>paper for discussion and debate at the Commission. Based on this methodology, a final set of recommendations was agreed upon by the majority of the members of the Commission. As a result, we believe that these </w:t>
      </w:r>
      <w:r>
        <w:rPr>
          <w:spacing w:val="-2"/>
        </w:rPr>
        <w:t>recommendations</w:t>
      </w:r>
      <w:r>
        <w:rPr>
          <w:spacing w:val="4"/>
        </w:rPr>
        <w:t> </w:t>
      </w:r>
      <w:r>
        <w:rPr>
          <w:spacing w:val="-2"/>
        </w:rPr>
        <w:t>reflect</w:t>
      </w:r>
      <w:r>
        <w:rPr>
          <w:spacing w:val="4"/>
        </w:rPr>
        <w:t> </w:t>
      </w:r>
      <w:r>
        <w:rPr>
          <w:spacing w:val="-2"/>
        </w:rPr>
        <w:t>and</w:t>
      </w:r>
      <w:r>
        <w:rPr>
          <w:spacing w:val="4"/>
        </w:rPr>
        <w:t> </w:t>
      </w:r>
      <w:r>
        <w:rPr>
          <w:spacing w:val="-2"/>
        </w:rPr>
        <w:t>incorporate</w:t>
      </w:r>
      <w:r>
        <w:rPr>
          <w:spacing w:val="4"/>
        </w:rPr>
        <w:t> </w:t>
      </w:r>
      <w:r>
        <w:rPr>
          <w:spacing w:val="-2"/>
        </w:rPr>
        <w:t>the</w:t>
      </w:r>
      <w:r>
        <w:rPr>
          <w:spacing w:val="4"/>
        </w:rPr>
        <w:t> </w:t>
      </w:r>
      <w:r>
        <w:rPr>
          <w:spacing w:val="-5"/>
        </w:rPr>
        <w:t>concerns</w:t>
      </w:r>
    </w:p>
    <w:p>
      <w:pPr>
        <w:pStyle w:val="BodyText"/>
        <w:spacing w:line="266" w:lineRule="auto" w:before="83"/>
        <w:ind w:left="319" w:right="1078"/>
        <w:jc w:val="both"/>
      </w:pPr>
      <w:r>
        <w:rPr/>
        <w:br w:type="column"/>
      </w:r>
      <w:r>
        <w:rPr>
          <w:spacing w:val="-2"/>
        </w:rPr>
        <w:t>and</w:t>
      </w:r>
      <w:r>
        <w:rPr>
          <w:spacing w:val="-8"/>
        </w:rPr>
        <w:t> </w:t>
      </w:r>
      <w:r>
        <w:rPr>
          <w:spacing w:val="-2"/>
        </w:rPr>
        <w:t>aspirations</w:t>
      </w:r>
      <w:r>
        <w:rPr>
          <w:spacing w:val="-9"/>
        </w:rPr>
        <w:t> </w:t>
      </w:r>
      <w:r>
        <w:rPr>
          <w:spacing w:val="-2"/>
        </w:rPr>
        <w:t>of</w:t>
      </w:r>
      <w:r>
        <w:rPr>
          <w:spacing w:val="-9"/>
        </w:rPr>
        <w:t> </w:t>
      </w:r>
      <w:r>
        <w:rPr>
          <w:spacing w:val="-2"/>
        </w:rPr>
        <w:t>domain</w:t>
      </w:r>
      <w:r>
        <w:rPr>
          <w:spacing w:val="-9"/>
        </w:rPr>
        <w:t> </w:t>
      </w:r>
      <w:r>
        <w:rPr>
          <w:spacing w:val="-2"/>
        </w:rPr>
        <w:t>experts</w:t>
      </w:r>
      <w:r>
        <w:rPr>
          <w:spacing w:val="-8"/>
        </w:rPr>
        <w:t> </w:t>
      </w:r>
      <w:r>
        <w:rPr>
          <w:spacing w:val="-2"/>
        </w:rPr>
        <w:t>and</w:t>
      </w:r>
      <w:r>
        <w:rPr>
          <w:spacing w:val="-9"/>
        </w:rPr>
        <w:t> </w:t>
      </w:r>
      <w:r>
        <w:rPr>
          <w:spacing w:val="-2"/>
        </w:rPr>
        <w:t>other</w:t>
      </w:r>
      <w:r>
        <w:rPr>
          <w:spacing w:val="-8"/>
        </w:rPr>
        <w:t> </w:t>
      </w:r>
      <w:r>
        <w:rPr>
          <w:spacing w:val="-2"/>
        </w:rPr>
        <w:t>concerned stakeholders.</w:t>
      </w:r>
    </w:p>
    <w:p>
      <w:pPr>
        <w:pStyle w:val="BodyText"/>
        <w:spacing w:before="25"/>
      </w:pPr>
    </w:p>
    <w:p>
      <w:pPr>
        <w:pStyle w:val="BodyText"/>
        <w:spacing w:line="266" w:lineRule="auto"/>
        <w:ind w:left="319" w:right="1077"/>
        <w:jc w:val="both"/>
      </w:pPr>
      <w:r>
        <w:rPr/>
        <w:t>In the last three years NKC has submitted around</w:t>
      </w:r>
      <w:r>
        <w:rPr>
          <w:spacing w:val="40"/>
        </w:rPr>
        <w:t> </w:t>
      </w:r>
      <w:r>
        <w:rPr/>
        <w:t>300 recommendations on 27 subjects in the form </w:t>
      </w:r>
      <w:r>
        <w:rPr/>
        <w:t>of letters</w:t>
      </w:r>
      <w:r>
        <w:rPr>
          <w:spacing w:val="-4"/>
        </w:rPr>
        <w:t> </w:t>
      </w:r>
      <w:r>
        <w:rPr/>
        <w:t>to</w:t>
      </w:r>
      <w:r>
        <w:rPr>
          <w:spacing w:val="-4"/>
        </w:rPr>
        <w:t> </w:t>
      </w:r>
      <w:r>
        <w:rPr/>
        <w:t>the</w:t>
      </w:r>
      <w:r>
        <w:rPr>
          <w:spacing w:val="-4"/>
        </w:rPr>
        <w:t> </w:t>
      </w:r>
      <w:r>
        <w:rPr/>
        <w:t>Prime</w:t>
      </w:r>
      <w:r>
        <w:rPr>
          <w:spacing w:val="-4"/>
        </w:rPr>
        <w:t> </w:t>
      </w:r>
      <w:r>
        <w:rPr/>
        <w:t>Minister.</w:t>
      </w:r>
      <w:r>
        <w:rPr>
          <w:spacing w:val="-11"/>
        </w:rPr>
        <w:t> </w:t>
      </w:r>
      <w:r>
        <w:rPr/>
        <w:t>These</w:t>
      </w:r>
      <w:r>
        <w:rPr>
          <w:spacing w:val="-4"/>
        </w:rPr>
        <w:t> </w:t>
      </w:r>
      <w:r>
        <w:rPr/>
        <w:t>have</w:t>
      </w:r>
      <w:r>
        <w:rPr>
          <w:spacing w:val="-4"/>
        </w:rPr>
        <w:t> </w:t>
      </w:r>
      <w:r>
        <w:rPr/>
        <w:t>been</w:t>
      </w:r>
      <w:r>
        <w:rPr>
          <w:spacing w:val="-4"/>
        </w:rPr>
        <w:t> </w:t>
      </w:r>
      <w:r>
        <w:rPr/>
        <w:t>widely disseminated in our Reports to the Nation, seminars, conferences,</w:t>
      </w:r>
      <w:r>
        <w:rPr>
          <w:spacing w:val="-7"/>
        </w:rPr>
        <w:t> </w:t>
      </w:r>
      <w:r>
        <w:rPr/>
        <w:t>discussions</w:t>
      </w:r>
      <w:r>
        <w:rPr>
          <w:spacing w:val="-7"/>
        </w:rPr>
        <w:t> </w:t>
      </w:r>
      <w:r>
        <w:rPr/>
        <w:t>and</w:t>
      </w:r>
      <w:r>
        <w:rPr>
          <w:spacing w:val="-7"/>
        </w:rPr>
        <w:t> </w:t>
      </w:r>
      <w:r>
        <w:rPr/>
        <w:t>covered</w:t>
      </w:r>
      <w:r>
        <w:rPr>
          <w:spacing w:val="-7"/>
        </w:rPr>
        <w:t> </w:t>
      </w:r>
      <w:r>
        <w:rPr/>
        <w:t>by</w:t>
      </w:r>
      <w:r>
        <w:rPr>
          <w:spacing w:val="-7"/>
        </w:rPr>
        <w:t> </w:t>
      </w:r>
      <w:r>
        <w:rPr/>
        <w:t>national</w:t>
      </w:r>
      <w:r>
        <w:rPr>
          <w:spacing w:val="-7"/>
        </w:rPr>
        <w:t> </w:t>
      </w:r>
      <w:r>
        <w:rPr/>
        <w:t>and regional media. These recommendations are also accessible</w:t>
      </w:r>
      <w:r>
        <w:rPr>
          <w:spacing w:val="-5"/>
        </w:rPr>
        <w:t> </w:t>
      </w:r>
      <w:r>
        <w:rPr/>
        <w:t>through</w:t>
      </w:r>
      <w:r>
        <w:rPr>
          <w:spacing w:val="-5"/>
        </w:rPr>
        <w:t> </w:t>
      </w:r>
      <w:r>
        <w:rPr/>
        <w:t>the</w:t>
      </w:r>
      <w:r>
        <w:rPr>
          <w:spacing w:val="-5"/>
        </w:rPr>
        <w:t> </w:t>
      </w:r>
      <w:r>
        <w:rPr/>
        <w:t>NKC</w:t>
      </w:r>
      <w:r>
        <w:rPr>
          <w:spacing w:val="-5"/>
        </w:rPr>
        <w:t> </w:t>
      </w:r>
      <w:r>
        <w:rPr/>
        <w:t>website</w:t>
      </w:r>
      <w:r>
        <w:rPr>
          <w:spacing w:val="-5"/>
        </w:rPr>
        <w:t> </w:t>
      </w:r>
      <w:r>
        <w:rPr/>
        <w:t>in</w:t>
      </w:r>
      <w:r>
        <w:rPr>
          <w:spacing w:val="-5"/>
        </w:rPr>
        <w:t> </w:t>
      </w:r>
      <w:r>
        <w:rPr/>
        <w:t>10</w:t>
      </w:r>
      <w:r>
        <w:rPr>
          <w:spacing w:val="-5"/>
        </w:rPr>
        <w:t> </w:t>
      </w:r>
      <w:r>
        <w:rPr/>
        <w:t>languages. As part of our outreach program we have organised various conferences and workshops in collaboration </w:t>
      </w:r>
      <w:r>
        <w:rPr>
          <w:spacing w:val="-4"/>
        </w:rPr>
        <w:t>with</w:t>
      </w:r>
      <w:r>
        <w:rPr>
          <w:spacing w:val="-6"/>
        </w:rPr>
        <w:t> </w:t>
      </w:r>
      <w:r>
        <w:rPr>
          <w:spacing w:val="-4"/>
        </w:rPr>
        <w:t>universities,</w:t>
      </w:r>
      <w:r>
        <w:rPr>
          <w:spacing w:val="-6"/>
        </w:rPr>
        <w:t> </w:t>
      </w:r>
      <w:r>
        <w:rPr>
          <w:spacing w:val="-4"/>
        </w:rPr>
        <w:t>colleges,</w:t>
      </w:r>
      <w:r>
        <w:rPr>
          <w:spacing w:val="-6"/>
        </w:rPr>
        <w:t> </w:t>
      </w:r>
      <w:r>
        <w:rPr>
          <w:spacing w:val="-4"/>
        </w:rPr>
        <w:t>schools,</w:t>
      </w:r>
      <w:r>
        <w:rPr>
          <w:spacing w:val="-6"/>
        </w:rPr>
        <w:t> </w:t>
      </w:r>
      <w:r>
        <w:rPr>
          <w:spacing w:val="-4"/>
        </w:rPr>
        <w:t>CII,</w:t>
      </w:r>
      <w:r>
        <w:rPr>
          <w:spacing w:val="-6"/>
        </w:rPr>
        <w:t> </w:t>
      </w:r>
      <w:r>
        <w:rPr>
          <w:spacing w:val="-4"/>
        </w:rPr>
        <w:t>FICCI,</w:t>
      </w:r>
      <w:r>
        <w:rPr>
          <w:spacing w:val="-6"/>
        </w:rPr>
        <w:t> </w:t>
      </w:r>
      <w:r>
        <w:rPr>
          <w:spacing w:val="-4"/>
        </w:rPr>
        <w:t>AIMA, </w:t>
      </w:r>
      <w:r>
        <w:rPr/>
        <w:t>and</w:t>
      </w:r>
      <w:r>
        <w:rPr>
          <w:spacing w:val="-11"/>
        </w:rPr>
        <w:t> </w:t>
      </w:r>
      <w:r>
        <w:rPr/>
        <w:t>others.</w:t>
      </w:r>
      <w:r>
        <w:rPr>
          <w:spacing w:val="-13"/>
        </w:rPr>
        <w:t> </w:t>
      </w:r>
      <w:r>
        <w:rPr/>
        <w:t>We</w:t>
      </w:r>
      <w:r>
        <w:rPr>
          <w:spacing w:val="-11"/>
        </w:rPr>
        <w:t> </w:t>
      </w:r>
      <w:r>
        <w:rPr/>
        <w:t>have</w:t>
      </w:r>
      <w:r>
        <w:rPr>
          <w:spacing w:val="-11"/>
        </w:rPr>
        <w:t> </w:t>
      </w:r>
      <w:r>
        <w:rPr/>
        <w:t>also</w:t>
      </w:r>
      <w:r>
        <w:rPr>
          <w:spacing w:val="-11"/>
        </w:rPr>
        <w:t> </w:t>
      </w:r>
      <w:r>
        <w:rPr/>
        <w:t>been</w:t>
      </w:r>
      <w:r>
        <w:rPr>
          <w:spacing w:val="-11"/>
        </w:rPr>
        <w:t> </w:t>
      </w:r>
      <w:r>
        <w:rPr/>
        <w:t>reaching</w:t>
      </w:r>
      <w:r>
        <w:rPr>
          <w:spacing w:val="-11"/>
        </w:rPr>
        <w:t> </w:t>
      </w:r>
      <w:r>
        <w:rPr/>
        <w:t>out</w:t>
      </w:r>
      <w:r>
        <w:rPr>
          <w:spacing w:val="-11"/>
        </w:rPr>
        <w:t> </w:t>
      </w:r>
      <w:r>
        <w:rPr/>
        <w:t>to</w:t>
      </w:r>
      <w:r>
        <w:rPr>
          <w:spacing w:val="-11"/>
        </w:rPr>
        <w:t> </w:t>
      </w:r>
      <w:r>
        <w:rPr/>
        <w:t>various State Governments to discuss recommendations and associated implementation at the state level. The response</w:t>
      </w:r>
      <w:r>
        <w:rPr>
          <w:spacing w:val="-6"/>
        </w:rPr>
        <w:t> </w:t>
      </w:r>
      <w:r>
        <w:rPr/>
        <w:t>from</w:t>
      </w:r>
      <w:r>
        <w:rPr>
          <w:spacing w:val="-6"/>
        </w:rPr>
        <w:t> </w:t>
      </w:r>
      <w:r>
        <w:rPr/>
        <w:t>most</w:t>
      </w:r>
      <w:r>
        <w:rPr>
          <w:spacing w:val="-6"/>
        </w:rPr>
        <w:t> </w:t>
      </w:r>
      <w:r>
        <w:rPr/>
        <w:t>of</w:t>
      </w:r>
      <w:r>
        <w:rPr>
          <w:spacing w:val="-6"/>
        </w:rPr>
        <w:t> </w:t>
      </w:r>
      <w:r>
        <w:rPr/>
        <w:t>the</w:t>
      </w:r>
      <w:r>
        <w:rPr>
          <w:spacing w:val="-6"/>
        </w:rPr>
        <w:t> </w:t>
      </w:r>
      <w:r>
        <w:rPr/>
        <w:t>states</w:t>
      </w:r>
      <w:r>
        <w:rPr>
          <w:spacing w:val="-6"/>
        </w:rPr>
        <w:t> </w:t>
      </w:r>
      <w:r>
        <w:rPr/>
        <w:t>has</w:t>
      </w:r>
      <w:r>
        <w:rPr>
          <w:spacing w:val="-6"/>
        </w:rPr>
        <w:t> </w:t>
      </w:r>
      <w:r>
        <w:rPr/>
        <w:t>been</w:t>
      </w:r>
      <w:r>
        <w:rPr>
          <w:spacing w:val="-6"/>
        </w:rPr>
        <w:t> </w:t>
      </w:r>
      <w:r>
        <w:rPr/>
        <w:t>very</w:t>
      </w:r>
      <w:r>
        <w:rPr>
          <w:spacing w:val="-6"/>
        </w:rPr>
        <w:t> </w:t>
      </w:r>
      <w:r>
        <w:rPr/>
        <w:t>good.</w:t>
      </w:r>
    </w:p>
    <w:p>
      <w:pPr>
        <w:pStyle w:val="BodyText"/>
        <w:spacing w:before="15"/>
      </w:pPr>
    </w:p>
    <w:p>
      <w:pPr>
        <w:pStyle w:val="BodyText"/>
        <w:spacing w:line="266" w:lineRule="auto" w:before="1"/>
        <w:ind w:left="319" w:right="1077"/>
        <w:jc w:val="both"/>
      </w:pPr>
      <w:r>
        <w:rPr/>
        <w:t>The</w:t>
      </w:r>
      <w:r>
        <w:rPr>
          <w:spacing w:val="-11"/>
        </w:rPr>
        <w:t> </w:t>
      </w:r>
      <w:r>
        <w:rPr/>
        <w:t>UPA’s</w:t>
      </w:r>
      <w:r>
        <w:rPr>
          <w:spacing w:val="-11"/>
        </w:rPr>
        <w:t> </w:t>
      </w:r>
      <w:r>
        <w:rPr/>
        <w:t>commitment</w:t>
      </w:r>
      <w:r>
        <w:rPr>
          <w:spacing w:val="-11"/>
        </w:rPr>
        <w:t> </w:t>
      </w:r>
      <w:r>
        <w:rPr/>
        <w:t>to</w:t>
      </w:r>
      <w:r>
        <w:rPr>
          <w:spacing w:val="-11"/>
        </w:rPr>
        <w:t> </w:t>
      </w:r>
      <w:r>
        <w:rPr/>
        <w:t>NKC’s</w:t>
      </w:r>
      <w:r>
        <w:rPr>
          <w:spacing w:val="-13"/>
        </w:rPr>
        <w:t> </w:t>
      </w:r>
      <w:r>
        <w:rPr/>
        <w:t>Vision</w:t>
      </w:r>
      <w:r>
        <w:rPr>
          <w:spacing w:val="-11"/>
        </w:rPr>
        <w:t> </w:t>
      </w:r>
      <w:r>
        <w:rPr/>
        <w:t>is</w:t>
      </w:r>
      <w:r>
        <w:rPr>
          <w:spacing w:val="-11"/>
        </w:rPr>
        <w:t> </w:t>
      </w:r>
      <w:r>
        <w:rPr/>
        <w:t>reflected in the 11th Five Year Plan adopted by the National Development Council. The Plan places high priority on education as a central instrument for achieving rapid</w:t>
      </w:r>
      <w:r>
        <w:rPr>
          <w:spacing w:val="-4"/>
        </w:rPr>
        <w:t> </w:t>
      </w:r>
      <w:r>
        <w:rPr/>
        <w:t>and</w:t>
      </w:r>
      <w:r>
        <w:rPr>
          <w:spacing w:val="-4"/>
        </w:rPr>
        <w:t> </w:t>
      </w:r>
      <w:r>
        <w:rPr/>
        <w:t>inclusive</w:t>
      </w:r>
      <w:r>
        <w:rPr>
          <w:spacing w:val="-4"/>
        </w:rPr>
        <w:t> </w:t>
      </w:r>
      <w:r>
        <w:rPr/>
        <w:t>growth</w:t>
      </w:r>
      <w:r>
        <w:rPr>
          <w:spacing w:val="-4"/>
        </w:rPr>
        <w:t> </w:t>
      </w:r>
      <w:r>
        <w:rPr/>
        <w:t>with</w:t>
      </w:r>
      <w:r>
        <w:rPr>
          <w:spacing w:val="-4"/>
        </w:rPr>
        <w:t> </w:t>
      </w:r>
      <w:r>
        <w:rPr/>
        <w:t>specific</w:t>
      </w:r>
      <w:r>
        <w:rPr>
          <w:spacing w:val="-4"/>
        </w:rPr>
        <w:t> </w:t>
      </w:r>
      <w:r>
        <w:rPr/>
        <w:t>emphasis</w:t>
      </w:r>
      <w:r>
        <w:rPr>
          <w:spacing w:val="-4"/>
        </w:rPr>
        <w:t> </w:t>
      </w:r>
      <w:r>
        <w:rPr/>
        <w:t>on </w:t>
      </w:r>
      <w:r>
        <w:rPr>
          <w:spacing w:val="-6"/>
        </w:rPr>
        <w:t>expansion,</w:t>
      </w:r>
      <w:r>
        <w:rPr>
          <w:spacing w:val="-8"/>
        </w:rPr>
        <w:t> </w:t>
      </w:r>
      <w:r>
        <w:rPr>
          <w:spacing w:val="-6"/>
        </w:rPr>
        <w:t>excellence,</w:t>
      </w:r>
      <w:r>
        <w:rPr>
          <w:spacing w:val="-8"/>
        </w:rPr>
        <w:t> </w:t>
      </w:r>
      <w:r>
        <w:rPr>
          <w:spacing w:val="-6"/>
        </w:rPr>
        <w:t>and</w:t>
      </w:r>
      <w:r>
        <w:rPr>
          <w:spacing w:val="-8"/>
        </w:rPr>
        <w:t> </w:t>
      </w:r>
      <w:r>
        <w:rPr>
          <w:spacing w:val="-6"/>
        </w:rPr>
        <w:t>equity.</w:t>
      </w:r>
      <w:r>
        <w:rPr>
          <w:spacing w:val="-7"/>
        </w:rPr>
        <w:t> </w:t>
      </w:r>
      <w:r>
        <w:rPr>
          <w:spacing w:val="-6"/>
        </w:rPr>
        <w:t>This</w:t>
      </w:r>
      <w:r>
        <w:rPr>
          <w:spacing w:val="-8"/>
        </w:rPr>
        <w:t> </w:t>
      </w:r>
      <w:r>
        <w:rPr>
          <w:spacing w:val="-6"/>
        </w:rPr>
        <w:t>is</w:t>
      </w:r>
      <w:r>
        <w:rPr>
          <w:spacing w:val="-8"/>
        </w:rPr>
        <w:t> </w:t>
      </w:r>
      <w:r>
        <w:rPr>
          <w:spacing w:val="-6"/>
        </w:rPr>
        <w:t>reflected</w:t>
      </w:r>
      <w:r>
        <w:rPr>
          <w:spacing w:val="-8"/>
        </w:rPr>
        <w:t> </w:t>
      </w:r>
      <w:r>
        <w:rPr>
          <w:spacing w:val="-6"/>
        </w:rPr>
        <w:t>in</w:t>
      </w:r>
      <w:r>
        <w:rPr>
          <w:spacing w:val="-7"/>
        </w:rPr>
        <w:t> </w:t>
      </w:r>
      <w:r>
        <w:rPr>
          <w:spacing w:val="-6"/>
        </w:rPr>
        <w:t>the </w:t>
      </w:r>
      <w:r>
        <w:rPr>
          <w:spacing w:val="-4"/>
        </w:rPr>
        <w:t>proposed</w:t>
      </w:r>
      <w:r>
        <w:rPr>
          <w:spacing w:val="-10"/>
        </w:rPr>
        <w:t> </w:t>
      </w:r>
      <w:r>
        <w:rPr>
          <w:spacing w:val="-4"/>
        </w:rPr>
        <w:t>allocation</w:t>
      </w:r>
      <w:r>
        <w:rPr>
          <w:spacing w:val="-10"/>
        </w:rPr>
        <w:t> </w:t>
      </w:r>
      <w:r>
        <w:rPr>
          <w:spacing w:val="-4"/>
        </w:rPr>
        <w:t>of</w:t>
      </w:r>
      <w:r>
        <w:rPr>
          <w:spacing w:val="-10"/>
        </w:rPr>
        <w:t> </w:t>
      </w:r>
      <w:r>
        <w:rPr>
          <w:spacing w:val="-4"/>
        </w:rPr>
        <w:t>Rs.</w:t>
      </w:r>
      <w:r>
        <w:rPr>
          <w:spacing w:val="-9"/>
        </w:rPr>
        <w:t> </w:t>
      </w:r>
      <w:r>
        <w:rPr>
          <w:spacing w:val="-4"/>
        </w:rPr>
        <w:t>3</w:t>
      </w:r>
      <w:r>
        <w:rPr>
          <w:spacing w:val="-10"/>
        </w:rPr>
        <w:t> </w:t>
      </w:r>
      <w:r>
        <w:rPr>
          <w:spacing w:val="-4"/>
        </w:rPr>
        <w:t>trillion,</w:t>
      </w:r>
      <w:r>
        <w:rPr>
          <w:spacing w:val="-10"/>
        </w:rPr>
        <w:t> </w:t>
      </w:r>
      <w:r>
        <w:rPr>
          <w:spacing w:val="-4"/>
        </w:rPr>
        <w:t>a</w:t>
      </w:r>
      <w:r>
        <w:rPr>
          <w:spacing w:val="-10"/>
        </w:rPr>
        <w:t> </w:t>
      </w:r>
      <w:r>
        <w:rPr>
          <w:spacing w:val="-4"/>
        </w:rPr>
        <w:t>four-fold</w:t>
      </w:r>
      <w:r>
        <w:rPr>
          <w:spacing w:val="-9"/>
        </w:rPr>
        <w:t> </w:t>
      </w:r>
      <w:r>
        <w:rPr>
          <w:spacing w:val="-4"/>
        </w:rPr>
        <w:t>increase </w:t>
      </w:r>
      <w:r>
        <w:rPr>
          <w:spacing w:val="-2"/>
        </w:rPr>
        <w:t>over</w:t>
      </w:r>
      <w:r>
        <w:rPr>
          <w:spacing w:val="-12"/>
        </w:rPr>
        <w:t> </w:t>
      </w:r>
      <w:r>
        <w:rPr>
          <w:spacing w:val="-2"/>
        </w:rPr>
        <w:t>the</w:t>
      </w:r>
      <w:r>
        <w:rPr>
          <w:spacing w:val="-12"/>
        </w:rPr>
        <w:t> </w:t>
      </w:r>
      <w:r>
        <w:rPr>
          <w:spacing w:val="-2"/>
        </w:rPr>
        <w:t>Tenth</w:t>
      </w:r>
      <w:r>
        <w:rPr>
          <w:spacing w:val="-12"/>
        </w:rPr>
        <w:t> </w:t>
      </w:r>
      <w:r>
        <w:rPr>
          <w:spacing w:val="-2"/>
        </w:rPr>
        <w:t>Plan.</w:t>
      </w:r>
      <w:r>
        <w:rPr>
          <w:spacing w:val="-11"/>
        </w:rPr>
        <w:t> </w:t>
      </w:r>
      <w:r>
        <w:rPr>
          <w:spacing w:val="-2"/>
        </w:rPr>
        <w:t>The</w:t>
      </w:r>
      <w:r>
        <w:rPr>
          <w:spacing w:val="-12"/>
        </w:rPr>
        <w:t> </w:t>
      </w:r>
      <w:r>
        <w:rPr>
          <w:spacing w:val="-2"/>
        </w:rPr>
        <w:t>share</w:t>
      </w:r>
      <w:r>
        <w:rPr>
          <w:spacing w:val="-12"/>
        </w:rPr>
        <w:t> </w:t>
      </w:r>
      <w:r>
        <w:rPr>
          <w:spacing w:val="-2"/>
        </w:rPr>
        <w:t>of</w:t>
      </w:r>
      <w:r>
        <w:rPr>
          <w:spacing w:val="-12"/>
        </w:rPr>
        <w:t> </w:t>
      </w:r>
      <w:r>
        <w:rPr>
          <w:spacing w:val="-2"/>
        </w:rPr>
        <w:t>Education</w:t>
      </w:r>
      <w:r>
        <w:rPr>
          <w:spacing w:val="-11"/>
        </w:rPr>
        <w:t> </w:t>
      </w:r>
      <w:r>
        <w:rPr>
          <w:spacing w:val="-2"/>
        </w:rPr>
        <w:t>in</w:t>
      </w:r>
      <w:r>
        <w:rPr>
          <w:spacing w:val="-12"/>
        </w:rPr>
        <w:t> </w:t>
      </w:r>
      <w:r>
        <w:rPr>
          <w:spacing w:val="-2"/>
        </w:rPr>
        <w:t>the</w:t>
      </w:r>
      <w:r>
        <w:rPr>
          <w:spacing w:val="-12"/>
        </w:rPr>
        <w:t> </w:t>
      </w:r>
      <w:r>
        <w:rPr>
          <w:spacing w:val="-2"/>
        </w:rPr>
        <w:t>total </w:t>
      </w:r>
      <w:r>
        <w:rPr/>
        <w:t>Plan</w:t>
      </w:r>
      <w:r>
        <w:rPr>
          <w:spacing w:val="-14"/>
        </w:rPr>
        <w:t> </w:t>
      </w:r>
      <w:r>
        <w:rPr/>
        <w:t>will</w:t>
      </w:r>
      <w:r>
        <w:rPr>
          <w:spacing w:val="-14"/>
        </w:rPr>
        <w:t> </w:t>
      </w:r>
      <w:r>
        <w:rPr/>
        <w:t>accordingly</w:t>
      </w:r>
      <w:r>
        <w:rPr>
          <w:spacing w:val="-14"/>
        </w:rPr>
        <w:t> </w:t>
      </w:r>
      <w:r>
        <w:rPr/>
        <w:t>increase</w:t>
      </w:r>
      <w:r>
        <w:rPr>
          <w:spacing w:val="-13"/>
        </w:rPr>
        <w:t> </w:t>
      </w:r>
      <w:r>
        <w:rPr/>
        <w:t>from</w:t>
      </w:r>
      <w:r>
        <w:rPr>
          <w:spacing w:val="-14"/>
        </w:rPr>
        <w:t> </w:t>
      </w:r>
      <w:r>
        <w:rPr/>
        <w:t>7.7</w:t>
      </w:r>
      <w:r>
        <w:rPr>
          <w:spacing w:val="-14"/>
        </w:rPr>
        <w:t> </w:t>
      </w:r>
      <w:r>
        <w:rPr/>
        <w:t>to</w:t>
      </w:r>
      <w:r>
        <w:rPr>
          <w:spacing w:val="-14"/>
        </w:rPr>
        <w:t> </w:t>
      </w:r>
      <w:r>
        <w:rPr/>
        <w:t>20</w:t>
      </w:r>
      <w:r>
        <w:rPr>
          <w:spacing w:val="-13"/>
        </w:rPr>
        <w:t> </w:t>
      </w:r>
      <w:r>
        <w:rPr/>
        <w:t>per</w:t>
      </w:r>
      <w:r>
        <w:rPr>
          <w:spacing w:val="-14"/>
        </w:rPr>
        <w:t> </w:t>
      </w:r>
      <w:r>
        <w:rPr/>
        <w:t>cent, representing</w:t>
      </w:r>
      <w:r>
        <w:rPr>
          <w:spacing w:val="-2"/>
        </w:rPr>
        <w:t> </w:t>
      </w:r>
      <w:r>
        <w:rPr/>
        <w:t>a</w:t>
      </w:r>
      <w:r>
        <w:rPr>
          <w:spacing w:val="-2"/>
        </w:rPr>
        <w:t> </w:t>
      </w:r>
      <w:r>
        <w:rPr/>
        <w:t>credible</w:t>
      </w:r>
      <w:r>
        <w:rPr>
          <w:spacing w:val="-2"/>
        </w:rPr>
        <w:t> </w:t>
      </w:r>
      <w:r>
        <w:rPr/>
        <w:t>progress</w:t>
      </w:r>
      <w:r>
        <w:rPr>
          <w:spacing w:val="-2"/>
        </w:rPr>
        <w:t> </w:t>
      </w:r>
      <w:r>
        <w:rPr/>
        <w:t>towards</w:t>
      </w:r>
      <w:r>
        <w:rPr>
          <w:spacing w:val="-2"/>
        </w:rPr>
        <w:t> </w:t>
      </w:r>
      <w:r>
        <w:rPr/>
        <w:t>the</w:t>
      </w:r>
      <w:r>
        <w:rPr>
          <w:spacing w:val="-2"/>
        </w:rPr>
        <w:t> </w:t>
      </w:r>
      <w:r>
        <w:rPr/>
        <w:t>target</w:t>
      </w:r>
      <w:r>
        <w:rPr>
          <w:spacing w:val="-2"/>
        </w:rPr>
        <w:t> </w:t>
      </w:r>
      <w:r>
        <w:rPr/>
        <w:t>of 6 per cent of GDP. The vision of the Prime Minister and</w:t>
      </w:r>
      <w:r>
        <w:rPr>
          <w:spacing w:val="-14"/>
        </w:rPr>
        <w:t> </w:t>
      </w:r>
      <w:r>
        <w:rPr/>
        <w:t>support</w:t>
      </w:r>
      <w:r>
        <w:rPr>
          <w:spacing w:val="-13"/>
        </w:rPr>
        <w:t> </w:t>
      </w:r>
      <w:r>
        <w:rPr/>
        <w:t>of</w:t>
      </w:r>
      <w:r>
        <w:rPr>
          <w:spacing w:val="-14"/>
        </w:rPr>
        <w:t> </w:t>
      </w:r>
      <w:r>
        <w:rPr/>
        <w:t>our</w:t>
      </w:r>
      <w:r>
        <w:rPr>
          <w:spacing w:val="-13"/>
        </w:rPr>
        <w:t> </w:t>
      </w:r>
      <w:r>
        <w:rPr/>
        <w:t>leadership</w:t>
      </w:r>
      <w:r>
        <w:rPr>
          <w:spacing w:val="-14"/>
        </w:rPr>
        <w:t> </w:t>
      </w:r>
      <w:r>
        <w:rPr/>
        <w:t>from</w:t>
      </w:r>
      <w:r>
        <w:rPr>
          <w:spacing w:val="-13"/>
        </w:rPr>
        <w:t> </w:t>
      </w:r>
      <w:r>
        <w:rPr/>
        <w:t>across</w:t>
      </w:r>
      <w:r>
        <w:rPr>
          <w:spacing w:val="-14"/>
        </w:rPr>
        <w:t> </w:t>
      </w:r>
      <w:r>
        <w:rPr/>
        <w:t>the</w:t>
      </w:r>
      <w:r>
        <w:rPr>
          <w:spacing w:val="-13"/>
        </w:rPr>
        <w:t> </w:t>
      </w:r>
      <w:r>
        <w:rPr/>
        <w:t>political </w:t>
      </w:r>
      <w:r>
        <w:rPr>
          <w:spacing w:val="-6"/>
        </w:rPr>
        <w:t>spectrum</w:t>
      </w:r>
      <w:r>
        <w:rPr>
          <w:spacing w:val="-10"/>
        </w:rPr>
        <w:t> </w:t>
      </w:r>
      <w:r>
        <w:rPr>
          <w:spacing w:val="-6"/>
        </w:rPr>
        <w:t>is</w:t>
      </w:r>
      <w:r>
        <w:rPr>
          <w:spacing w:val="-8"/>
        </w:rPr>
        <w:t> </w:t>
      </w:r>
      <w:r>
        <w:rPr>
          <w:spacing w:val="-6"/>
        </w:rPr>
        <w:t>indeed</w:t>
      </w:r>
      <w:r>
        <w:rPr>
          <w:spacing w:val="-8"/>
        </w:rPr>
        <w:t> </w:t>
      </w:r>
      <w:r>
        <w:rPr>
          <w:spacing w:val="-6"/>
        </w:rPr>
        <w:t>laudable.</w:t>
      </w:r>
      <w:r>
        <w:rPr>
          <w:spacing w:val="-7"/>
        </w:rPr>
        <w:t> </w:t>
      </w:r>
      <w:r>
        <w:rPr>
          <w:spacing w:val="-6"/>
        </w:rPr>
        <w:t>This</w:t>
      </w:r>
      <w:r>
        <w:rPr>
          <w:spacing w:val="-8"/>
        </w:rPr>
        <w:t> </w:t>
      </w:r>
      <w:r>
        <w:rPr>
          <w:spacing w:val="-6"/>
        </w:rPr>
        <w:t>is</w:t>
      </w:r>
      <w:r>
        <w:rPr>
          <w:spacing w:val="-8"/>
        </w:rPr>
        <w:t> </w:t>
      </w:r>
      <w:r>
        <w:rPr>
          <w:spacing w:val="-6"/>
        </w:rPr>
        <w:t>a</w:t>
      </w:r>
      <w:r>
        <w:rPr>
          <w:spacing w:val="-8"/>
        </w:rPr>
        <w:t> </w:t>
      </w:r>
      <w:r>
        <w:rPr>
          <w:spacing w:val="-6"/>
        </w:rPr>
        <w:t>landmark</w:t>
      </w:r>
      <w:r>
        <w:rPr>
          <w:spacing w:val="-7"/>
        </w:rPr>
        <w:t> </w:t>
      </w:r>
      <w:r>
        <w:rPr>
          <w:spacing w:val="-6"/>
        </w:rPr>
        <w:t>initiative </w:t>
      </w:r>
      <w:r>
        <w:rPr>
          <w:spacing w:val="-2"/>
        </w:rPr>
        <w:t>in</w:t>
      </w:r>
      <w:r>
        <w:rPr>
          <w:spacing w:val="-9"/>
        </w:rPr>
        <w:t> </w:t>
      </w:r>
      <w:r>
        <w:rPr>
          <w:spacing w:val="-2"/>
        </w:rPr>
        <w:t>the</w:t>
      </w:r>
      <w:r>
        <w:rPr>
          <w:spacing w:val="-9"/>
        </w:rPr>
        <w:t> </w:t>
      </w:r>
      <w:r>
        <w:rPr>
          <w:spacing w:val="-2"/>
        </w:rPr>
        <w:t>history</w:t>
      </w:r>
      <w:r>
        <w:rPr>
          <w:spacing w:val="-9"/>
        </w:rPr>
        <w:t> </w:t>
      </w:r>
      <w:r>
        <w:rPr>
          <w:spacing w:val="-2"/>
        </w:rPr>
        <w:t>of</w:t>
      </w:r>
      <w:r>
        <w:rPr>
          <w:spacing w:val="-9"/>
        </w:rPr>
        <w:t> </w:t>
      </w:r>
      <w:r>
        <w:rPr>
          <w:spacing w:val="-2"/>
        </w:rPr>
        <w:t>government</w:t>
      </w:r>
      <w:r>
        <w:rPr>
          <w:spacing w:val="-9"/>
        </w:rPr>
        <w:t> </w:t>
      </w:r>
      <w:r>
        <w:rPr>
          <w:spacing w:val="-2"/>
        </w:rPr>
        <w:t>planning.</w:t>
      </w:r>
      <w:r>
        <w:rPr>
          <w:spacing w:val="-11"/>
        </w:rPr>
        <w:t> </w:t>
      </w:r>
      <w:r>
        <w:rPr>
          <w:spacing w:val="-2"/>
        </w:rPr>
        <w:t>We</w:t>
      </w:r>
      <w:r>
        <w:rPr>
          <w:spacing w:val="-9"/>
        </w:rPr>
        <w:t> </w:t>
      </w:r>
      <w:r>
        <w:rPr>
          <w:spacing w:val="-2"/>
        </w:rPr>
        <w:t>believe</w:t>
      </w:r>
      <w:r>
        <w:rPr>
          <w:spacing w:val="-9"/>
        </w:rPr>
        <w:t> </w:t>
      </w:r>
      <w:r>
        <w:rPr>
          <w:spacing w:val="-2"/>
        </w:rPr>
        <w:t>that </w:t>
      </w:r>
      <w:r>
        <w:rPr/>
        <w:t>the education agenda outlined in the 11th Plan is a </w:t>
      </w:r>
      <w:r>
        <w:rPr>
          <w:spacing w:val="-8"/>
        </w:rPr>
        <w:t>critical step</w:t>
      </w:r>
      <w:r>
        <w:rPr>
          <w:spacing w:val="-6"/>
        </w:rPr>
        <w:t> </w:t>
      </w:r>
      <w:r>
        <w:rPr>
          <w:spacing w:val="-8"/>
        </w:rPr>
        <w:t>towards</w:t>
      </w:r>
      <w:r>
        <w:rPr>
          <w:spacing w:val="-6"/>
        </w:rPr>
        <w:t> </w:t>
      </w:r>
      <w:r>
        <w:rPr>
          <w:spacing w:val="-8"/>
        </w:rPr>
        <w:t>realising</w:t>
      </w:r>
      <w:r>
        <w:rPr>
          <w:spacing w:val="-5"/>
        </w:rPr>
        <w:t> </w:t>
      </w:r>
      <w:r>
        <w:rPr>
          <w:spacing w:val="-8"/>
        </w:rPr>
        <w:t>the</w:t>
      </w:r>
      <w:r>
        <w:rPr>
          <w:spacing w:val="-6"/>
        </w:rPr>
        <w:t> </w:t>
      </w:r>
      <w:r>
        <w:rPr>
          <w:spacing w:val="-8"/>
        </w:rPr>
        <w:t>objective</w:t>
      </w:r>
      <w:r>
        <w:rPr>
          <w:spacing w:val="-6"/>
        </w:rPr>
        <w:t> </w:t>
      </w:r>
      <w:r>
        <w:rPr>
          <w:spacing w:val="-8"/>
        </w:rPr>
        <w:t>of</w:t>
      </w:r>
      <w:r>
        <w:rPr>
          <w:spacing w:val="-6"/>
        </w:rPr>
        <w:t> </w:t>
      </w:r>
      <w:r>
        <w:rPr>
          <w:spacing w:val="-8"/>
        </w:rPr>
        <w:t>an</w:t>
      </w:r>
      <w:r>
        <w:rPr>
          <w:spacing w:val="-5"/>
        </w:rPr>
        <w:t> </w:t>
      </w:r>
      <w:r>
        <w:rPr>
          <w:spacing w:val="-8"/>
        </w:rPr>
        <w:t>equitable </w:t>
      </w:r>
      <w:r>
        <w:rPr>
          <w:spacing w:val="-4"/>
        </w:rPr>
        <w:t>society.</w:t>
      </w:r>
      <w:r>
        <w:rPr>
          <w:spacing w:val="-10"/>
        </w:rPr>
        <w:t> </w:t>
      </w:r>
      <w:r>
        <w:rPr>
          <w:spacing w:val="-4"/>
        </w:rPr>
        <w:t>It</w:t>
      </w:r>
      <w:r>
        <w:rPr>
          <w:spacing w:val="-10"/>
        </w:rPr>
        <w:t> </w:t>
      </w:r>
      <w:r>
        <w:rPr>
          <w:spacing w:val="-4"/>
        </w:rPr>
        <w:t>is</w:t>
      </w:r>
      <w:r>
        <w:rPr>
          <w:spacing w:val="-10"/>
        </w:rPr>
        <w:t> </w:t>
      </w:r>
      <w:r>
        <w:rPr>
          <w:spacing w:val="-4"/>
        </w:rPr>
        <w:t>also</w:t>
      </w:r>
      <w:r>
        <w:rPr>
          <w:spacing w:val="-9"/>
        </w:rPr>
        <w:t> </w:t>
      </w:r>
      <w:r>
        <w:rPr>
          <w:spacing w:val="-4"/>
        </w:rPr>
        <w:t>fundamental</w:t>
      </w:r>
      <w:r>
        <w:rPr>
          <w:spacing w:val="-10"/>
        </w:rPr>
        <w:t> </w:t>
      </w:r>
      <w:r>
        <w:rPr>
          <w:spacing w:val="-4"/>
        </w:rPr>
        <w:t>to</w:t>
      </w:r>
      <w:r>
        <w:rPr>
          <w:spacing w:val="-10"/>
        </w:rPr>
        <w:t> </w:t>
      </w:r>
      <w:r>
        <w:rPr>
          <w:spacing w:val="-4"/>
        </w:rPr>
        <w:t>our</w:t>
      </w:r>
      <w:r>
        <w:rPr>
          <w:spacing w:val="-10"/>
        </w:rPr>
        <w:t> </w:t>
      </w:r>
      <w:r>
        <w:rPr>
          <w:spacing w:val="-4"/>
        </w:rPr>
        <w:t>continuing</w:t>
      </w:r>
      <w:r>
        <w:rPr>
          <w:spacing w:val="-9"/>
        </w:rPr>
        <w:t> </w:t>
      </w:r>
      <w:r>
        <w:rPr>
          <w:spacing w:val="-4"/>
        </w:rPr>
        <w:t>growth, </w:t>
      </w:r>
      <w:r>
        <w:rPr/>
        <w:t>employment generation, infrastructure development and other developmental priorities.</w:t>
      </w:r>
    </w:p>
    <w:p>
      <w:pPr>
        <w:pStyle w:val="BodyText"/>
        <w:spacing w:before="11"/>
      </w:pPr>
    </w:p>
    <w:p>
      <w:pPr>
        <w:pStyle w:val="BodyText"/>
        <w:spacing w:line="266" w:lineRule="auto"/>
        <w:ind w:left="319" w:right="1077"/>
        <w:jc w:val="both"/>
      </w:pPr>
      <w:r>
        <w:rPr/>
        <w:t>While releasing the first NKC Report to the Nation</w:t>
      </w:r>
      <w:r>
        <w:rPr>
          <w:spacing w:val="40"/>
        </w:rPr>
        <w:t> </w:t>
      </w:r>
      <w:r>
        <w:rPr/>
        <w:t>in January 12 2007, the PM emphasised that the Commission “must be involved in ensuring </w:t>
      </w:r>
      <w:r>
        <w:rPr/>
        <w:t>the </w:t>
      </w:r>
      <w:r>
        <w:rPr>
          <w:spacing w:val="-4"/>
        </w:rPr>
        <w:t>implementation</w:t>
      </w:r>
      <w:r>
        <w:rPr>
          <w:spacing w:val="-5"/>
        </w:rPr>
        <w:t> </w:t>
      </w:r>
      <w:r>
        <w:rPr>
          <w:spacing w:val="-4"/>
        </w:rPr>
        <w:t>of</w:t>
      </w:r>
      <w:r>
        <w:rPr>
          <w:spacing w:val="-2"/>
        </w:rPr>
        <w:t> </w:t>
      </w:r>
      <w:r>
        <w:rPr>
          <w:spacing w:val="-4"/>
        </w:rPr>
        <w:t>their</w:t>
      </w:r>
      <w:r>
        <w:rPr>
          <w:spacing w:val="-2"/>
        </w:rPr>
        <w:t> </w:t>
      </w:r>
      <w:r>
        <w:rPr>
          <w:spacing w:val="-4"/>
        </w:rPr>
        <w:t>innovative</w:t>
      </w:r>
      <w:r>
        <w:rPr>
          <w:spacing w:val="-2"/>
        </w:rPr>
        <w:t> </w:t>
      </w:r>
      <w:r>
        <w:rPr>
          <w:spacing w:val="-4"/>
        </w:rPr>
        <w:t>ideas”.</w:t>
      </w:r>
      <w:r>
        <w:rPr>
          <w:spacing w:val="-10"/>
        </w:rPr>
        <w:t> </w:t>
      </w:r>
      <w:r>
        <w:rPr>
          <w:spacing w:val="-4"/>
        </w:rPr>
        <w:t>The</w:t>
      </w:r>
      <w:r>
        <w:rPr>
          <w:spacing w:val="-3"/>
        </w:rPr>
        <w:t> </w:t>
      </w:r>
      <w:r>
        <w:rPr>
          <w:spacing w:val="-4"/>
        </w:rPr>
        <w:t>focus</w:t>
      </w:r>
      <w:r>
        <w:rPr>
          <w:spacing w:val="-2"/>
        </w:rPr>
        <w:t> </w:t>
      </w:r>
      <w:r>
        <w:rPr>
          <w:spacing w:val="-5"/>
        </w:rPr>
        <w:t>of</w:t>
      </w:r>
    </w:p>
    <w:p>
      <w:pPr>
        <w:spacing w:after="0" w:line="266" w:lineRule="auto"/>
        <w:jc w:val="both"/>
        <w:sectPr>
          <w:type w:val="continuous"/>
          <w:pgSz w:w="11910" w:h="16840"/>
          <w:pgMar w:header="0" w:footer="0" w:top="1920" w:bottom="280" w:left="0" w:right="0"/>
          <w:cols w:num="2" w:equalWidth="0">
            <w:col w:w="5774" w:space="40"/>
            <w:col w:w="6096"/>
          </w:cols>
        </w:sectPr>
      </w:pPr>
    </w:p>
    <w:p>
      <w:pPr>
        <w:pStyle w:val="BodyText"/>
        <w:spacing w:line="266" w:lineRule="auto" w:before="57"/>
        <w:ind w:left="1079"/>
        <w:jc w:val="both"/>
      </w:pPr>
      <w:r>
        <w:rPr/>
        <w:t>our</w:t>
      </w:r>
      <w:r>
        <w:rPr>
          <w:spacing w:val="-1"/>
        </w:rPr>
        <w:t> </w:t>
      </w:r>
      <w:r>
        <w:rPr/>
        <w:t>work</w:t>
      </w:r>
      <w:r>
        <w:rPr>
          <w:spacing w:val="-1"/>
        </w:rPr>
        <w:t> </w:t>
      </w:r>
      <w:r>
        <w:rPr/>
        <w:t>has</w:t>
      </w:r>
      <w:r>
        <w:rPr>
          <w:spacing w:val="-1"/>
        </w:rPr>
        <w:t> </w:t>
      </w:r>
      <w:r>
        <w:rPr/>
        <w:t>been</w:t>
      </w:r>
      <w:r>
        <w:rPr>
          <w:spacing w:val="-1"/>
        </w:rPr>
        <w:t> </w:t>
      </w:r>
      <w:r>
        <w:rPr/>
        <w:t>on</w:t>
      </w:r>
      <w:r>
        <w:rPr>
          <w:spacing w:val="-1"/>
        </w:rPr>
        <w:t> </w:t>
      </w:r>
      <w:r>
        <w:rPr/>
        <w:t>ensuring</w:t>
      </w:r>
      <w:r>
        <w:rPr>
          <w:spacing w:val="-1"/>
        </w:rPr>
        <w:t> </w:t>
      </w:r>
      <w:r>
        <w:rPr/>
        <w:t>that</w:t>
      </w:r>
      <w:r>
        <w:rPr>
          <w:spacing w:val="-1"/>
        </w:rPr>
        <w:t> </w:t>
      </w:r>
      <w:r>
        <w:rPr/>
        <w:t>while</w:t>
      </w:r>
      <w:r>
        <w:rPr>
          <w:spacing w:val="-1"/>
        </w:rPr>
        <w:t> </w:t>
      </w:r>
      <w:r>
        <w:rPr/>
        <w:t>the</w:t>
      </w:r>
      <w:r>
        <w:rPr>
          <w:spacing w:val="-1"/>
        </w:rPr>
        <w:t> </w:t>
      </w:r>
      <w:r>
        <w:rPr/>
        <w:t>Central </w:t>
      </w:r>
      <w:r>
        <w:rPr>
          <w:spacing w:val="-6"/>
        </w:rPr>
        <w:t>Government designs appropriate strategies supported by financial</w:t>
      </w:r>
      <w:r>
        <w:rPr>
          <w:spacing w:val="-8"/>
        </w:rPr>
        <w:t> </w:t>
      </w:r>
      <w:r>
        <w:rPr>
          <w:spacing w:val="-6"/>
        </w:rPr>
        <w:t>allocations</w:t>
      </w:r>
      <w:r>
        <w:rPr>
          <w:spacing w:val="-8"/>
        </w:rPr>
        <w:t> </w:t>
      </w:r>
      <w:r>
        <w:rPr>
          <w:spacing w:val="-6"/>
        </w:rPr>
        <w:t>to</w:t>
      </w:r>
      <w:r>
        <w:rPr>
          <w:spacing w:val="-8"/>
        </w:rPr>
        <w:t> </w:t>
      </w:r>
      <w:r>
        <w:rPr>
          <w:spacing w:val="-6"/>
        </w:rPr>
        <w:t>implement</w:t>
      </w:r>
      <w:r>
        <w:rPr>
          <w:spacing w:val="-7"/>
        </w:rPr>
        <w:t> </w:t>
      </w:r>
      <w:r>
        <w:rPr>
          <w:spacing w:val="-6"/>
        </w:rPr>
        <w:t>our</w:t>
      </w:r>
      <w:r>
        <w:rPr>
          <w:spacing w:val="-8"/>
        </w:rPr>
        <w:t> </w:t>
      </w:r>
      <w:r>
        <w:rPr>
          <w:spacing w:val="-6"/>
        </w:rPr>
        <w:t>recommendations, </w:t>
      </w:r>
      <w:r>
        <w:rPr/>
        <w:t>we engage simultaneously with diverse stakeholders to build a groundswell of favourable opinion and assist preparation of implementation strategies at the </w:t>
      </w:r>
      <w:r>
        <w:rPr>
          <w:spacing w:val="-6"/>
        </w:rPr>
        <w:t>grassroots. Continuing dialogue with a wide and diverse set</w:t>
      </w:r>
      <w:r>
        <w:rPr>
          <w:spacing w:val="-8"/>
        </w:rPr>
        <w:t> </w:t>
      </w:r>
      <w:r>
        <w:rPr>
          <w:spacing w:val="-6"/>
        </w:rPr>
        <w:t>of</w:t>
      </w:r>
      <w:r>
        <w:rPr>
          <w:spacing w:val="-8"/>
        </w:rPr>
        <w:t> </w:t>
      </w:r>
      <w:r>
        <w:rPr>
          <w:spacing w:val="-6"/>
        </w:rPr>
        <w:t>stakeholders</w:t>
      </w:r>
      <w:r>
        <w:rPr>
          <w:spacing w:val="-7"/>
        </w:rPr>
        <w:t> </w:t>
      </w:r>
      <w:r>
        <w:rPr>
          <w:spacing w:val="-6"/>
        </w:rPr>
        <w:t>has</w:t>
      </w:r>
      <w:r>
        <w:rPr>
          <w:spacing w:val="-8"/>
        </w:rPr>
        <w:t> </w:t>
      </w:r>
      <w:r>
        <w:rPr>
          <w:spacing w:val="-6"/>
        </w:rPr>
        <w:t>been</w:t>
      </w:r>
      <w:r>
        <w:rPr>
          <w:spacing w:val="-8"/>
        </w:rPr>
        <w:t> </w:t>
      </w:r>
      <w:r>
        <w:rPr>
          <w:spacing w:val="-6"/>
        </w:rPr>
        <w:t>a</w:t>
      </w:r>
      <w:r>
        <w:rPr>
          <w:spacing w:val="-7"/>
        </w:rPr>
        <w:t> </w:t>
      </w:r>
      <w:r>
        <w:rPr>
          <w:spacing w:val="-6"/>
        </w:rPr>
        <w:t>critical</w:t>
      </w:r>
      <w:r>
        <w:rPr>
          <w:spacing w:val="-8"/>
        </w:rPr>
        <w:t> </w:t>
      </w:r>
      <w:r>
        <w:rPr>
          <w:spacing w:val="-6"/>
        </w:rPr>
        <w:t>part</w:t>
      </w:r>
      <w:r>
        <w:rPr>
          <w:spacing w:val="-8"/>
        </w:rPr>
        <w:t> </w:t>
      </w:r>
      <w:r>
        <w:rPr>
          <w:spacing w:val="-6"/>
        </w:rPr>
        <w:t>of</w:t>
      </w:r>
      <w:r>
        <w:rPr>
          <w:spacing w:val="-7"/>
        </w:rPr>
        <w:t> </w:t>
      </w:r>
      <w:r>
        <w:rPr>
          <w:spacing w:val="-6"/>
        </w:rPr>
        <w:t>our</w:t>
      </w:r>
      <w:r>
        <w:rPr>
          <w:spacing w:val="-8"/>
        </w:rPr>
        <w:t> </w:t>
      </w:r>
      <w:r>
        <w:rPr>
          <w:spacing w:val="-6"/>
        </w:rPr>
        <w:t>process, </w:t>
      </w:r>
      <w:r>
        <w:rPr>
          <w:spacing w:val="-2"/>
        </w:rPr>
        <w:t>both</w:t>
      </w:r>
      <w:r>
        <w:rPr>
          <w:spacing w:val="-9"/>
        </w:rPr>
        <w:t> </w:t>
      </w:r>
      <w:r>
        <w:rPr>
          <w:spacing w:val="-2"/>
        </w:rPr>
        <w:t>in</w:t>
      </w:r>
      <w:r>
        <w:rPr>
          <w:spacing w:val="-9"/>
        </w:rPr>
        <w:t> </w:t>
      </w:r>
      <w:r>
        <w:rPr>
          <w:spacing w:val="-2"/>
        </w:rPr>
        <w:t>the</w:t>
      </w:r>
      <w:r>
        <w:rPr>
          <w:spacing w:val="-9"/>
        </w:rPr>
        <w:t> </w:t>
      </w:r>
      <w:r>
        <w:rPr>
          <w:spacing w:val="-2"/>
        </w:rPr>
        <w:t>formulation</w:t>
      </w:r>
      <w:r>
        <w:rPr>
          <w:spacing w:val="-9"/>
        </w:rPr>
        <w:t> </w:t>
      </w:r>
      <w:r>
        <w:rPr>
          <w:spacing w:val="-2"/>
        </w:rPr>
        <w:t>of</w:t>
      </w:r>
      <w:r>
        <w:rPr>
          <w:spacing w:val="-9"/>
        </w:rPr>
        <w:t> </w:t>
      </w:r>
      <w:r>
        <w:rPr>
          <w:spacing w:val="-2"/>
        </w:rPr>
        <w:t>the</w:t>
      </w:r>
      <w:r>
        <w:rPr>
          <w:spacing w:val="-9"/>
        </w:rPr>
        <w:t> </w:t>
      </w:r>
      <w:r>
        <w:rPr>
          <w:spacing w:val="-2"/>
        </w:rPr>
        <w:t>recommendations</w:t>
      </w:r>
      <w:r>
        <w:rPr>
          <w:spacing w:val="-9"/>
        </w:rPr>
        <w:t> </w:t>
      </w:r>
      <w:r>
        <w:rPr>
          <w:spacing w:val="-2"/>
        </w:rPr>
        <w:t>and</w:t>
      </w:r>
      <w:r>
        <w:rPr>
          <w:spacing w:val="-9"/>
        </w:rPr>
        <w:t> </w:t>
      </w:r>
      <w:r>
        <w:rPr>
          <w:spacing w:val="-2"/>
        </w:rPr>
        <w:t>in </w:t>
      </w:r>
      <w:r>
        <w:rPr/>
        <w:t>the subsequent dissemination.</w:t>
      </w:r>
    </w:p>
    <w:p>
      <w:pPr>
        <w:pStyle w:val="BodyText"/>
        <w:spacing w:before="19"/>
      </w:pPr>
    </w:p>
    <w:p>
      <w:pPr>
        <w:pStyle w:val="BodyText"/>
        <w:spacing w:line="266" w:lineRule="auto"/>
        <w:ind w:left="1079"/>
        <w:jc w:val="both"/>
      </w:pPr>
      <w:r>
        <w:rPr>
          <w:spacing w:val="-2"/>
        </w:rPr>
        <w:t>Regarding</w:t>
      </w:r>
      <w:r>
        <w:rPr>
          <w:spacing w:val="-12"/>
        </w:rPr>
        <w:t> </w:t>
      </w:r>
      <w:r>
        <w:rPr>
          <w:spacing w:val="-2"/>
        </w:rPr>
        <w:t>implementation,</w:t>
      </w:r>
      <w:r>
        <w:rPr>
          <w:spacing w:val="-12"/>
        </w:rPr>
        <w:t> </w:t>
      </w:r>
      <w:r>
        <w:rPr>
          <w:spacing w:val="-2"/>
        </w:rPr>
        <w:t>we</w:t>
      </w:r>
      <w:r>
        <w:rPr>
          <w:spacing w:val="-12"/>
        </w:rPr>
        <w:t> </w:t>
      </w:r>
      <w:r>
        <w:rPr>
          <w:spacing w:val="-2"/>
        </w:rPr>
        <w:t>find</w:t>
      </w:r>
      <w:r>
        <w:rPr>
          <w:spacing w:val="-11"/>
        </w:rPr>
        <w:t> </w:t>
      </w:r>
      <w:r>
        <w:rPr>
          <w:spacing w:val="-2"/>
        </w:rPr>
        <w:t>that</w:t>
      </w:r>
      <w:r>
        <w:rPr>
          <w:spacing w:val="-12"/>
        </w:rPr>
        <w:t> </w:t>
      </w:r>
      <w:r>
        <w:rPr>
          <w:spacing w:val="-2"/>
        </w:rPr>
        <w:t>there</w:t>
      </w:r>
      <w:r>
        <w:rPr>
          <w:spacing w:val="-12"/>
        </w:rPr>
        <w:t> </w:t>
      </w:r>
      <w:r>
        <w:rPr>
          <w:spacing w:val="-2"/>
        </w:rPr>
        <w:t>is</w:t>
      </w:r>
      <w:r>
        <w:rPr>
          <w:spacing w:val="-12"/>
        </w:rPr>
        <w:t> </w:t>
      </w:r>
      <w:r>
        <w:rPr>
          <w:spacing w:val="-2"/>
        </w:rPr>
        <w:t>indeed </w:t>
      </w:r>
      <w:r>
        <w:rPr>
          <w:spacing w:val="-6"/>
        </w:rPr>
        <w:t>a great deal of enthusiasm and emphasis on education as </w:t>
      </w:r>
      <w:r>
        <w:rPr>
          <w:w w:val="90"/>
        </w:rPr>
        <w:t>a means of achieving personal growth and development. </w:t>
      </w:r>
      <w:r>
        <w:rPr>
          <w:spacing w:val="-2"/>
        </w:rPr>
        <w:t>The</w:t>
      </w:r>
      <w:r>
        <w:rPr>
          <w:spacing w:val="-11"/>
        </w:rPr>
        <w:t> </w:t>
      </w:r>
      <w:r>
        <w:rPr>
          <w:spacing w:val="-2"/>
        </w:rPr>
        <w:t>growing</w:t>
      </w:r>
      <w:r>
        <w:rPr>
          <w:spacing w:val="-11"/>
        </w:rPr>
        <w:t> </w:t>
      </w:r>
      <w:r>
        <w:rPr>
          <w:spacing w:val="-2"/>
        </w:rPr>
        <w:t>aspirations</w:t>
      </w:r>
      <w:r>
        <w:rPr>
          <w:spacing w:val="-11"/>
        </w:rPr>
        <w:t> </w:t>
      </w:r>
      <w:r>
        <w:rPr>
          <w:spacing w:val="-2"/>
        </w:rPr>
        <w:t>of</w:t>
      </w:r>
      <w:r>
        <w:rPr>
          <w:spacing w:val="-11"/>
        </w:rPr>
        <w:t> </w:t>
      </w:r>
      <w:r>
        <w:rPr>
          <w:spacing w:val="-2"/>
        </w:rPr>
        <w:t>children</w:t>
      </w:r>
      <w:r>
        <w:rPr>
          <w:spacing w:val="-11"/>
        </w:rPr>
        <w:t> </w:t>
      </w:r>
      <w:r>
        <w:rPr>
          <w:spacing w:val="-2"/>
        </w:rPr>
        <w:t>and</w:t>
      </w:r>
      <w:r>
        <w:rPr>
          <w:spacing w:val="-11"/>
        </w:rPr>
        <w:t> </w:t>
      </w:r>
      <w:r>
        <w:rPr>
          <w:spacing w:val="-2"/>
        </w:rPr>
        <w:t>parents</w:t>
      </w:r>
      <w:r>
        <w:rPr>
          <w:spacing w:val="-11"/>
        </w:rPr>
        <w:t> </w:t>
      </w:r>
      <w:r>
        <w:rPr>
          <w:spacing w:val="-2"/>
        </w:rPr>
        <w:t>across </w:t>
      </w:r>
      <w:r>
        <w:rPr>
          <w:w w:val="90"/>
        </w:rPr>
        <w:t>the cross-section of society are reflected in an increasing </w:t>
      </w:r>
      <w:r>
        <w:rPr/>
        <w:t>demand for education, which has far exceeded the supply.</w:t>
      </w:r>
      <w:r>
        <w:rPr>
          <w:spacing w:val="-14"/>
        </w:rPr>
        <w:t> </w:t>
      </w:r>
      <w:r>
        <w:rPr/>
        <w:t>There</w:t>
      </w:r>
      <w:r>
        <w:rPr>
          <w:spacing w:val="-13"/>
        </w:rPr>
        <w:t> </w:t>
      </w:r>
      <w:r>
        <w:rPr/>
        <w:t>is</w:t>
      </w:r>
      <w:r>
        <w:rPr>
          <w:spacing w:val="-11"/>
        </w:rPr>
        <w:t> </w:t>
      </w:r>
      <w:r>
        <w:rPr/>
        <w:t>still</w:t>
      </w:r>
      <w:r>
        <w:rPr>
          <w:spacing w:val="-11"/>
        </w:rPr>
        <w:t> </w:t>
      </w:r>
      <w:r>
        <w:rPr/>
        <w:t>resistance</w:t>
      </w:r>
      <w:r>
        <w:rPr>
          <w:spacing w:val="-11"/>
        </w:rPr>
        <w:t> </w:t>
      </w:r>
      <w:r>
        <w:rPr/>
        <w:t>at</w:t>
      </w:r>
      <w:r>
        <w:rPr>
          <w:spacing w:val="-11"/>
        </w:rPr>
        <w:t> </w:t>
      </w:r>
      <w:r>
        <w:rPr/>
        <w:t>various</w:t>
      </w:r>
      <w:r>
        <w:rPr>
          <w:spacing w:val="-11"/>
        </w:rPr>
        <w:t> </w:t>
      </w:r>
      <w:r>
        <w:rPr/>
        <w:t>levels</w:t>
      </w:r>
      <w:r>
        <w:rPr>
          <w:spacing w:val="-11"/>
        </w:rPr>
        <w:t> </w:t>
      </w:r>
      <w:r>
        <w:rPr/>
        <w:t>in</w:t>
      </w:r>
      <w:r>
        <w:rPr>
          <w:spacing w:val="-11"/>
        </w:rPr>
        <w:t> </w:t>
      </w:r>
      <w:r>
        <w:rPr/>
        <w:t>the </w:t>
      </w:r>
      <w:r>
        <w:rPr>
          <w:spacing w:val="-2"/>
        </w:rPr>
        <w:t>government</w:t>
      </w:r>
      <w:r>
        <w:rPr>
          <w:spacing w:val="-11"/>
        </w:rPr>
        <w:t> </w:t>
      </w:r>
      <w:r>
        <w:rPr>
          <w:spacing w:val="-2"/>
        </w:rPr>
        <w:t>to</w:t>
      </w:r>
      <w:r>
        <w:rPr>
          <w:spacing w:val="-11"/>
        </w:rPr>
        <w:t> </w:t>
      </w:r>
      <w:r>
        <w:rPr>
          <w:spacing w:val="-2"/>
        </w:rPr>
        <w:t>new</w:t>
      </w:r>
      <w:r>
        <w:rPr>
          <w:spacing w:val="-11"/>
        </w:rPr>
        <w:t> </w:t>
      </w:r>
      <w:r>
        <w:rPr>
          <w:spacing w:val="-2"/>
        </w:rPr>
        <w:t>ideas,</w:t>
      </w:r>
      <w:r>
        <w:rPr>
          <w:spacing w:val="-11"/>
        </w:rPr>
        <w:t> </w:t>
      </w:r>
      <w:r>
        <w:rPr>
          <w:spacing w:val="-2"/>
        </w:rPr>
        <w:t>experimentation,</w:t>
      </w:r>
      <w:r>
        <w:rPr>
          <w:spacing w:val="-11"/>
        </w:rPr>
        <w:t> </w:t>
      </w:r>
      <w:r>
        <w:rPr>
          <w:spacing w:val="-2"/>
        </w:rPr>
        <w:t>process</w:t>
      </w:r>
      <w:r>
        <w:rPr>
          <w:spacing w:val="-11"/>
        </w:rPr>
        <w:t> </w:t>
      </w:r>
      <w:r>
        <w:rPr>
          <w:spacing w:val="-2"/>
        </w:rPr>
        <w:t>re- </w:t>
      </w:r>
      <w:r>
        <w:rPr/>
        <w:t>engineering,</w:t>
      </w:r>
      <w:r>
        <w:rPr>
          <w:spacing w:val="-4"/>
        </w:rPr>
        <w:t> </w:t>
      </w:r>
      <w:r>
        <w:rPr/>
        <w:t>external</w:t>
      </w:r>
      <w:r>
        <w:rPr>
          <w:spacing w:val="-4"/>
        </w:rPr>
        <w:t> </w:t>
      </w:r>
      <w:r>
        <w:rPr/>
        <w:t>interventions,</w:t>
      </w:r>
      <w:r>
        <w:rPr>
          <w:spacing w:val="-4"/>
        </w:rPr>
        <w:t> </w:t>
      </w:r>
      <w:r>
        <w:rPr/>
        <w:t>transparency</w:t>
      </w:r>
      <w:r>
        <w:rPr>
          <w:spacing w:val="-4"/>
        </w:rPr>
        <w:t> </w:t>
      </w:r>
      <w:r>
        <w:rPr/>
        <w:t>and accountability, due to rigid organisational structures </w:t>
      </w:r>
      <w:r>
        <w:rPr>
          <w:spacing w:val="-2"/>
        </w:rPr>
        <w:t>with</w:t>
      </w:r>
      <w:r>
        <w:rPr>
          <w:spacing w:val="-9"/>
        </w:rPr>
        <w:t> </w:t>
      </w:r>
      <w:r>
        <w:rPr>
          <w:spacing w:val="-2"/>
        </w:rPr>
        <w:t>territorial</w:t>
      </w:r>
      <w:r>
        <w:rPr>
          <w:spacing w:val="-9"/>
        </w:rPr>
        <w:t> </w:t>
      </w:r>
      <w:r>
        <w:rPr>
          <w:spacing w:val="-2"/>
        </w:rPr>
        <w:t>mindsets.</w:t>
      </w:r>
      <w:r>
        <w:rPr>
          <w:spacing w:val="-9"/>
        </w:rPr>
        <w:t> </w:t>
      </w:r>
      <w:r>
        <w:rPr>
          <w:spacing w:val="-2"/>
        </w:rPr>
        <w:t>As</w:t>
      </w:r>
      <w:r>
        <w:rPr>
          <w:spacing w:val="-9"/>
        </w:rPr>
        <w:t> </w:t>
      </w:r>
      <w:r>
        <w:rPr>
          <w:spacing w:val="-2"/>
        </w:rPr>
        <w:t>a</w:t>
      </w:r>
      <w:r>
        <w:rPr>
          <w:spacing w:val="-9"/>
        </w:rPr>
        <w:t> </w:t>
      </w:r>
      <w:r>
        <w:rPr>
          <w:spacing w:val="-2"/>
        </w:rPr>
        <w:t>result,</w:t>
      </w:r>
      <w:r>
        <w:rPr>
          <w:spacing w:val="-9"/>
        </w:rPr>
        <w:t> </w:t>
      </w:r>
      <w:r>
        <w:rPr>
          <w:spacing w:val="-2"/>
        </w:rPr>
        <w:t>the</w:t>
      </w:r>
      <w:r>
        <w:rPr>
          <w:spacing w:val="-9"/>
        </w:rPr>
        <w:t> </w:t>
      </w:r>
      <w:r>
        <w:rPr>
          <w:spacing w:val="-2"/>
        </w:rPr>
        <w:t>real</w:t>
      </w:r>
      <w:r>
        <w:rPr>
          <w:spacing w:val="-9"/>
        </w:rPr>
        <w:t> </w:t>
      </w:r>
      <w:r>
        <w:rPr>
          <w:spacing w:val="-2"/>
        </w:rPr>
        <w:t>challenge </w:t>
      </w:r>
      <w:r>
        <w:rPr/>
        <w:t>lies</w:t>
      </w:r>
      <w:r>
        <w:rPr>
          <w:spacing w:val="-1"/>
        </w:rPr>
        <w:t> </w:t>
      </w:r>
      <w:r>
        <w:rPr/>
        <w:t>in</w:t>
      </w:r>
      <w:r>
        <w:rPr>
          <w:spacing w:val="-1"/>
        </w:rPr>
        <w:t> </w:t>
      </w:r>
      <w:r>
        <w:rPr/>
        <w:t>organisational</w:t>
      </w:r>
      <w:r>
        <w:rPr>
          <w:spacing w:val="-1"/>
        </w:rPr>
        <w:t> </w:t>
      </w:r>
      <w:r>
        <w:rPr/>
        <w:t>innovation</w:t>
      </w:r>
      <w:r>
        <w:rPr>
          <w:spacing w:val="-1"/>
        </w:rPr>
        <w:t> </w:t>
      </w:r>
      <w:r>
        <w:rPr/>
        <w:t>with</w:t>
      </w:r>
      <w:r>
        <w:rPr>
          <w:spacing w:val="-1"/>
        </w:rPr>
        <w:t> </w:t>
      </w:r>
      <w:r>
        <w:rPr/>
        <w:t>new</w:t>
      </w:r>
      <w:r>
        <w:rPr>
          <w:spacing w:val="-1"/>
        </w:rPr>
        <w:t> </w:t>
      </w:r>
      <w:r>
        <w:rPr/>
        <w:t>regulatory </w:t>
      </w:r>
      <w:r>
        <w:rPr>
          <w:w w:val="90"/>
        </w:rPr>
        <w:t>frameworks, new delivery systems and new processes. In </w:t>
      </w:r>
      <w:r>
        <w:rPr>
          <w:spacing w:val="-2"/>
        </w:rPr>
        <w:t>their</w:t>
      </w:r>
      <w:r>
        <w:rPr>
          <w:spacing w:val="-7"/>
        </w:rPr>
        <w:t> </w:t>
      </w:r>
      <w:r>
        <w:rPr>
          <w:spacing w:val="-2"/>
        </w:rPr>
        <w:t>absence,</w:t>
      </w:r>
      <w:r>
        <w:rPr>
          <w:spacing w:val="-7"/>
        </w:rPr>
        <w:t> </w:t>
      </w:r>
      <w:r>
        <w:rPr>
          <w:spacing w:val="-2"/>
        </w:rPr>
        <w:t>increasing</w:t>
      </w:r>
      <w:r>
        <w:rPr>
          <w:spacing w:val="-7"/>
        </w:rPr>
        <w:t> </w:t>
      </w:r>
      <w:r>
        <w:rPr>
          <w:spacing w:val="-2"/>
        </w:rPr>
        <w:t>resources</w:t>
      </w:r>
      <w:r>
        <w:rPr>
          <w:spacing w:val="-7"/>
        </w:rPr>
        <w:t> </w:t>
      </w:r>
      <w:r>
        <w:rPr>
          <w:spacing w:val="-2"/>
        </w:rPr>
        <w:t>could</w:t>
      </w:r>
      <w:r>
        <w:rPr>
          <w:spacing w:val="-7"/>
        </w:rPr>
        <w:t> </w:t>
      </w:r>
      <w:r>
        <w:rPr>
          <w:spacing w:val="-2"/>
        </w:rPr>
        <w:t>well</w:t>
      </w:r>
      <w:r>
        <w:rPr>
          <w:spacing w:val="-7"/>
        </w:rPr>
        <w:t> </w:t>
      </w:r>
      <w:r>
        <w:rPr>
          <w:spacing w:val="-2"/>
        </w:rPr>
        <w:t>result</w:t>
      </w:r>
      <w:r>
        <w:rPr>
          <w:spacing w:val="-7"/>
        </w:rPr>
        <w:t> </w:t>
      </w:r>
      <w:r>
        <w:rPr>
          <w:spacing w:val="-2"/>
        </w:rPr>
        <w:t>in </w:t>
      </w:r>
      <w:r>
        <w:rPr/>
        <w:t>more</w:t>
      </w:r>
      <w:r>
        <w:rPr>
          <w:spacing w:val="-14"/>
        </w:rPr>
        <w:t> </w:t>
      </w:r>
      <w:r>
        <w:rPr/>
        <w:t>of</w:t>
      </w:r>
      <w:r>
        <w:rPr>
          <w:spacing w:val="-13"/>
        </w:rPr>
        <w:t> </w:t>
      </w:r>
      <w:r>
        <w:rPr/>
        <w:t>the</w:t>
      </w:r>
      <w:r>
        <w:rPr>
          <w:spacing w:val="-14"/>
        </w:rPr>
        <w:t> </w:t>
      </w:r>
      <w:r>
        <w:rPr/>
        <w:t>same</w:t>
      </w:r>
      <w:r>
        <w:rPr>
          <w:spacing w:val="-13"/>
        </w:rPr>
        <w:t> </w:t>
      </w:r>
      <w:r>
        <w:rPr/>
        <w:t>things</w:t>
      </w:r>
      <w:r>
        <w:rPr>
          <w:spacing w:val="-14"/>
        </w:rPr>
        <w:t> </w:t>
      </w:r>
      <w:r>
        <w:rPr/>
        <w:t>being</w:t>
      </w:r>
      <w:r>
        <w:rPr>
          <w:spacing w:val="-13"/>
        </w:rPr>
        <w:t> </w:t>
      </w:r>
      <w:r>
        <w:rPr/>
        <w:t>replicated.</w:t>
      </w:r>
      <w:r>
        <w:rPr>
          <w:spacing w:val="-14"/>
        </w:rPr>
        <w:t> </w:t>
      </w:r>
      <w:r>
        <w:rPr/>
        <w:t>Our</w:t>
      </w:r>
      <w:r>
        <w:rPr>
          <w:spacing w:val="-13"/>
        </w:rPr>
        <w:t> </w:t>
      </w:r>
      <w:r>
        <w:rPr/>
        <w:t>country is</w:t>
      </w:r>
      <w:r>
        <w:rPr>
          <w:spacing w:val="-8"/>
        </w:rPr>
        <w:t> </w:t>
      </w:r>
      <w:r>
        <w:rPr/>
        <w:t>too</w:t>
      </w:r>
      <w:r>
        <w:rPr>
          <w:spacing w:val="-8"/>
        </w:rPr>
        <w:t> </w:t>
      </w:r>
      <w:r>
        <w:rPr/>
        <w:t>large,</w:t>
      </w:r>
      <w:r>
        <w:rPr>
          <w:spacing w:val="-8"/>
        </w:rPr>
        <w:t> </w:t>
      </w:r>
      <w:r>
        <w:rPr/>
        <w:t>too</w:t>
      </w:r>
      <w:r>
        <w:rPr>
          <w:spacing w:val="-8"/>
        </w:rPr>
        <w:t> </w:t>
      </w:r>
      <w:r>
        <w:rPr/>
        <w:t>complex</w:t>
      </w:r>
      <w:r>
        <w:rPr>
          <w:spacing w:val="-8"/>
        </w:rPr>
        <w:t> </w:t>
      </w:r>
      <w:r>
        <w:rPr/>
        <w:t>and</w:t>
      </w:r>
      <w:r>
        <w:rPr>
          <w:spacing w:val="-8"/>
        </w:rPr>
        <w:t> </w:t>
      </w:r>
      <w:r>
        <w:rPr/>
        <w:t>too</w:t>
      </w:r>
      <w:r>
        <w:rPr>
          <w:spacing w:val="-8"/>
        </w:rPr>
        <w:t> </w:t>
      </w:r>
      <w:r>
        <w:rPr/>
        <w:t>diverse</w:t>
      </w:r>
      <w:r>
        <w:rPr>
          <w:spacing w:val="-8"/>
        </w:rPr>
        <w:t> </w:t>
      </w:r>
      <w:r>
        <w:rPr/>
        <w:t>for</w:t>
      </w:r>
      <w:r>
        <w:rPr>
          <w:spacing w:val="-8"/>
        </w:rPr>
        <w:t> </w:t>
      </w:r>
      <w:r>
        <w:rPr/>
        <w:t>‘one</w:t>
      </w:r>
      <w:r>
        <w:rPr>
          <w:spacing w:val="-8"/>
        </w:rPr>
        <w:t> </w:t>
      </w:r>
      <w:r>
        <w:rPr/>
        <w:t>size fits all’ solutions. Decentralisation and community participation at the local level would be the key to devising effective programs for implementation.</w:t>
      </w:r>
    </w:p>
    <w:p>
      <w:pPr>
        <w:pStyle w:val="BodyText"/>
        <w:spacing w:before="12"/>
      </w:pPr>
    </w:p>
    <w:p>
      <w:pPr>
        <w:pStyle w:val="BodyText"/>
        <w:spacing w:line="266" w:lineRule="auto"/>
        <w:ind w:left="1079"/>
        <w:jc w:val="both"/>
      </w:pPr>
      <w:r>
        <w:rPr/>
        <w:t>We hope that our recommendations find </w:t>
      </w:r>
      <w:r>
        <w:rPr/>
        <w:t>enthusiasm and support at various levels at State and Central </w:t>
      </w:r>
      <w:r>
        <w:rPr>
          <w:spacing w:val="-6"/>
        </w:rPr>
        <w:t>Government</w:t>
      </w:r>
      <w:r>
        <w:rPr>
          <w:spacing w:val="-8"/>
        </w:rPr>
        <w:t> </w:t>
      </w:r>
      <w:r>
        <w:rPr>
          <w:spacing w:val="-6"/>
        </w:rPr>
        <w:t>for</w:t>
      </w:r>
      <w:r>
        <w:rPr>
          <w:spacing w:val="-8"/>
        </w:rPr>
        <w:t> </w:t>
      </w:r>
      <w:r>
        <w:rPr>
          <w:spacing w:val="-6"/>
        </w:rPr>
        <w:t>speedy</w:t>
      </w:r>
      <w:r>
        <w:rPr>
          <w:spacing w:val="-8"/>
        </w:rPr>
        <w:t> </w:t>
      </w:r>
      <w:r>
        <w:rPr>
          <w:spacing w:val="-6"/>
        </w:rPr>
        <w:t>implementation.</w:t>
      </w:r>
      <w:r>
        <w:rPr>
          <w:spacing w:val="-7"/>
        </w:rPr>
        <w:t> </w:t>
      </w:r>
      <w:r>
        <w:rPr>
          <w:spacing w:val="-6"/>
        </w:rPr>
        <w:t>We</w:t>
      </w:r>
      <w:r>
        <w:rPr>
          <w:spacing w:val="-8"/>
        </w:rPr>
        <w:t> </w:t>
      </w:r>
      <w:r>
        <w:rPr>
          <w:spacing w:val="-6"/>
        </w:rPr>
        <w:t>believe</w:t>
      </w:r>
      <w:r>
        <w:rPr>
          <w:spacing w:val="-8"/>
        </w:rPr>
        <w:t> </w:t>
      </w:r>
      <w:r>
        <w:rPr>
          <w:spacing w:val="-6"/>
        </w:rPr>
        <w:t>that </w:t>
      </w:r>
      <w:r>
        <w:rPr/>
        <w:t>implementation</w:t>
      </w:r>
      <w:r>
        <w:rPr>
          <w:spacing w:val="-13"/>
        </w:rPr>
        <w:t> </w:t>
      </w:r>
      <w:r>
        <w:rPr/>
        <w:t>is</w:t>
      </w:r>
      <w:r>
        <w:rPr>
          <w:spacing w:val="-13"/>
        </w:rPr>
        <w:t> </w:t>
      </w:r>
      <w:r>
        <w:rPr/>
        <w:t>the</w:t>
      </w:r>
      <w:r>
        <w:rPr>
          <w:spacing w:val="-13"/>
        </w:rPr>
        <w:t> </w:t>
      </w:r>
      <w:r>
        <w:rPr/>
        <w:t>key</w:t>
      </w:r>
      <w:r>
        <w:rPr>
          <w:spacing w:val="-13"/>
        </w:rPr>
        <w:t> </w:t>
      </w:r>
      <w:r>
        <w:rPr/>
        <w:t>in</w:t>
      </w:r>
      <w:r>
        <w:rPr>
          <w:spacing w:val="-13"/>
        </w:rPr>
        <w:t> </w:t>
      </w:r>
      <w:r>
        <w:rPr/>
        <w:t>going</w:t>
      </w:r>
      <w:r>
        <w:rPr>
          <w:spacing w:val="-13"/>
        </w:rPr>
        <w:t> </w:t>
      </w:r>
      <w:r>
        <w:rPr/>
        <w:t>forward</w:t>
      </w:r>
      <w:r>
        <w:rPr>
          <w:spacing w:val="-13"/>
        </w:rPr>
        <w:t> </w:t>
      </w:r>
      <w:r>
        <w:rPr/>
        <w:t>to</w:t>
      </w:r>
      <w:r>
        <w:rPr>
          <w:spacing w:val="-13"/>
        </w:rPr>
        <w:t> </w:t>
      </w:r>
      <w:r>
        <w:rPr/>
        <w:t>address </w:t>
      </w:r>
      <w:r>
        <w:rPr>
          <w:spacing w:val="-6"/>
        </w:rPr>
        <w:t>the</w:t>
      </w:r>
      <w:r>
        <w:rPr>
          <w:spacing w:val="-7"/>
        </w:rPr>
        <w:t> </w:t>
      </w:r>
      <w:r>
        <w:rPr>
          <w:spacing w:val="-6"/>
        </w:rPr>
        <w:t>three</w:t>
      </w:r>
      <w:r>
        <w:rPr>
          <w:spacing w:val="-7"/>
        </w:rPr>
        <w:t> </w:t>
      </w:r>
      <w:r>
        <w:rPr>
          <w:spacing w:val="-6"/>
        </w:rPr>
        <w:t>fundamental</w:t>
      </w:r>
      <w:r>
        <w:rPr>
          <w:spacing w:val="-7"/>
        </w:rPr>
        <w:t> </w:t>
      </w:r>
      <w:r>
        <w:rPr>
          <w:spacing w:val="-6"/>
        </w:rPr>
        <w:t>challenges</w:t>
      </w:r>
      <w:r>
        <w:rPr>
          <w:spacing w:val="-7"/>
        </w:rPr>
        <w:t> </w:t>
      </w:r>
      <w:r>
        <w:rPr>
          <w:spacing w:val="-6"/>
        </w:rPr>
        <w:t>related</w:t>
      </w:r>
      <w:r>
        <w:rPr>
          <w:spacing w:val="-7"/>
        </w:rPr>
        <w:t> </w:t>
      </w:r>
      <w:r>
        <w:rPr>
          <w:spacing w:val="-6"/>
        </w:rPr>
        <w:t>to</w:t>
      </w:r>
      <w:r>
        <w:rPr>
          <w:spacing w:val="-7"/>
        </w:rPr>
        <w:t> </w:t>
      </w:r>
      <w:r>
        <w:rPr>
          <w:spacing w:val="-6"/>
        </w:rPr>
        <w:t>demography, </w:t>
      </w:r>
      <w:r>
        <w:rPr>
          <w:spacing w:val="-4"/>
        </w:rPr>
        <w:t>disparity and development. Knowledge, education, and </w:t>
      </w:r>
      <w:r>
        <w:rPr>
          <w:spacing w:val="-2"/>
        </w:rPr>
        <w:t>innovations</w:t>
      </w:r>
      <w:r>
        <w:rPr>
          <w:spacing w:val="-10"/>
        </w:rPr>
        <w:t> </w:t>
      </w:r>
      <w:r>
        <w:rPr>
          <w:spacing w:val="-2"/>
        </w:rPr>
        <w:t>are</w:t>
      </w:r>
      <w:r>
        <w:rPr>
          <w:spacing w:val="-10"/>
        </w:rPr>
        <w:t> </w:t>
      </w:r>
      <w:r>
        <w:rPr>
          <w:spacing w:val="-2"/>
        </w:rPr>
        <w:t>critical</w:t>
      </w:r>
      <w:r>
        <w:rPr>
          <w:spacing w:val="-10"/>
        </w:rPr>
        <w:t> </w:t>
      </w:r>
      <w:r>
        <w:rPr>
          <w:spacing w:val="-2"/>
        </w:rPr>
        <w:t>to</w:t>
      </w:r>
      <w:r>
        <w:rPr>
          <w:spacing w:val="-10"/>
        </w:rPr>
        <w:t> </w:t>
      </w:r>
      <w:r>
        <w:rPr>
          <w:spacing w:val="-2"/>
        </w:rPr>
        <w:t>provide</w:t>
      </w:r>
      <w:r>
        <w:rPr>
          <w:spacing w:val="-10"/>
        </w:rPr>
        <w:t> </w:t>
      </w:r>
      <w:r>
        <w:rPr>
          <w:spacing w:val="-2"/>
        </w:rPr>
        <w:t>opportunities</w:t>
      </w:r>
      <w:r>
        <w:rPr>
          <w:spacing w:val="-10"/>
        </w:rPr>
        <w:t> </w:t>
      </w:r>
      <w:r>
        <w:rPr>
          <w:spacing w:val="-2"/>
        </w:rPr>
        <w:t>for</w:t>
      </w:r>
      <w:r>
        <w:rPr>
          <w:spacing w:val="-10"/>
        </w:rPr>
        <w:t> </w:t>
      </w:r>
      <w:r>
        <w:rPr>
          <w:spacing w:val="-2"/>
        </w:rPr>
        <w:t>the </w:t>
      </w:r>
      <w:r>
        <w:rPr/>
        <w:t>poor</w:t>
      </w:r>
      <w:r>
        <w:rPr>
          <w:spacing w:val="6"/>
        </w:rPr>
        <w:t> </w:t>
      </w:r>
      <w:r>
        <w:rPr/>
        <w:t>and</w:t>
      </w:r>
      <w:r>
        <w:rPr>
          <w:spacing w:val="6"/>
        </w:rPr>
        <w:t> </w:t>
      </w:r>
      <w:r>
        <w:rPr/>
        <w:t>underprivileged</w:t>
      </w:r>
      <w:r>
        <w:rPr>
          <w:spacing w:val="6"/>
        </w:rPr>
        <w:t> </w:t>
      </w:r>
      <w:r>
        <w:rPr/>
        <w:t>to</w:t>
      </w:r>
      <w:r>
        <w:rPr>
          <w:spacing w:val="6"/>
        </w:rPr>
        <w:t> </w:t>
      </w:r>
      <w:r>
        <w:rPr/>
        <w:t>reduce</w:t>
      </w:r>
      <w:r>
        <w:rPr>
          <w:spacing w:val="6"/>
        </w:rPr>
        <w:t> </w:t>
      </w:r>
      <w:r>
        <w:rPr/>
        <w:t>disparities</w:t>
      </w:r>
      <w:r>
        <w:rPr>
          <w:spacing w:val="6"/>
        </w:rPr>
        <w:t> </w:t>
      </w:r>
      <w:r>
        <w:rPr/>
        <w:t>in</w:t>
      </w:r>
      <w:r>
        <w:rPr>
          <w:spacing w:val="6"/>
        </w:rPr>
        <w:t> </w:t>
      </w:r>
      <w:r>
        <w:rPr>
          <w:spacing w:val="-5"/>
        </w:rPr>
        <w:t>our</w:t>
      </w:r>
    </w:p>
    <w:p>
      <w:pPr>
        <w:pStyle w:val="BodyText"/>
        <w:spacing w:line="266" w:lineRule="auto" w:before="57"/>
        <w:ind w:left="319" w:right="1077"/>
        <w:jc w:val="both"/>
      </w:pPr>
      <w:r>
        <w:rPr/>
        <w:br w:type="column"/>
      </w:r>
      <w:r>
        <w:rPr/>
        <w:t>society. These are equally important to expedite </w:t>
      </w:r>
      <w:r>
        <w:rPr/>
        <w:t>the process</w:t>
      </w:r>
      <w:r>
        <w:rPr>
          <w:spacing w:val="-1"/>
        </w:rPr>
        <w:t> </w:t>
      </w:r>
      <w:r>
        <w:rPr/>
        <w:t>of</w:t>
      </w:r>
      <w:r>
        <w:rPr>
          <w:spacing w:val="-1"/>
        </w:rPr>
        <w:t> </w:t>
      </w:r>
      <w:r>
        <w:rPr/>
        <w:t>development</w:t>
      </w:r>
      <w:r>
        <w:rPr>
          <w:spacing w:val="-1"/>
        </w:rPr>
        <w:t> </w:t>
      </w:r>
      <w:r>
        <w:rPr/>
        <w:t>and</w:t>
      </w:r>
      <w:r>
        <w:rPr>
          <w:spacing w:val="-1"/>
        </w:rPr>
        <w:t> </w:t>
      </w:r>
      <w:r>
        <w:rPr/>
        <w:t>to</w:t>
      </w:r>
      <w:r>
        <w:rPr>
          <w:spacing w:val="-1"/>
        </w:rPr>
        <w:t> </w:t>
      </w:r>
      <w:r>
        <w:rPr/>
        <w:t>improve</w:t>
      </w:r>
      <w:r>
        <w:rPr>
          <w:spacing w:val="-1"/>
        </w:rPr>
        <w:t> </w:t>
      </w:r>
      <w:r>
        <w:rPr/>
        <w:t>productivity, </w:t>
      </w:r>
      <w:r>
        <w:rPr>
          <w:spacing w:val="-4"/>
        </w:rPr>
        <w:t>efficiency,</w:t>
      </w:r>
      <w:r>
        <w:rPr>
          <w:spacing w:val="-10"/>
        </w:rPr>
        <w:t> </w:t>
      </w:r>
      <w:r>
        <w:rPr>
          <w:spacing w:val="-4"/>
        </w:rPr>
        <w:t>and</w:t>
      </w:r>
      <w:r>
        <w:rPr>
          <w:spacing w:val="-10"/>
        </w:rPr>
        <w:t> </w:t>
      </w:r>
      <w:r>
        <w:rPr>
          <w:spacing w:val="-4"/>
        </w:rPr>
        <w:t>reduce</w:t>
      </w:r>
      <w:r>
        <w:rPr>
          <w:spacing w:val="-10"/>
        </w:rPr>
        <w:t> </w:t>
      </w:r>
      <w:r>
        <w:rPr>
          <w:spacing w:val="-4"/>
        </w:rPr>
        <w:t>cost.</w:t>
      </w:r>
      <w:r>
        <w:rPr>
          <w:spacing w:val="-9"/>
        </w:rPr>
        <w:t> </w:t>
      </w:r>
      <w:r>
        <w:rPr>
          <w:spacing w:val="-4"/>
        </w:rPr>
        <w:t>To</w:t>
      </w:r>
      <w:r>
        <w:rPr>
          <w:spacing w:val="-10"/>
        </w:rPr>
        <w:t> </w:t>
      </w:r>
      <w:r>
        <w:rPr>
          <w:spacing w:val="-4"/>
        </w:rPr>
        <w:t>get</w:t>
      </w:r>
      <w:r>
        <w:rPr>
          <w:spacing w:val="-10"/>
        </w:rPr>
        <w:t> </w:t>
      </w:r>
      <w:r>
        <w:rPr>
          <w:spacing w:val="-4"/>
        </w:rPr>
        <w:t>the</w:t>
      </w:r>
      <w:r>
        <w:rPr>
          <w:spacing w:val="-10"/>
        </w:rPr>
        <w:t> </w:t>
      </w:r>
      <w:r>
        <w:rPr>
          <w:spacing w:val="-4"/>
        </w:rPr>
        <w:t>real</w:t>
      </w:r>
      <w:r>
        <w:rPr>
          <w:spacing w:val="-9"/>
        </w:rPr>
        <w:t> </w:t>
      </w:r>
      <w:r>
        <w:rPr>
          <w:spacing w:val="-4"/>
        </w:rPr>
        <w:t>demographic </w:t>
      </w:r>
      <w:r>
        <w:rPr/>
        <w:t>dividends we need to empower and educate the 550 million young below the age of 25 through proper education to build future growth and prosperity. The destiny of India is in their hands.</w:t>
      </w:r>
    </w:p>
    <w:p>
      <w:pPr>
        <w:pStyle w:val="BodyText"/>
        <w:spacing w:before="22"/>
      </w:pPr>
    </w:p>
    <w:p>
      <w:pPr>
        <w:pStyle w:val="BodyText"/>
        <w:spacing w:line="266" w:lineRule="auto"/>
        <w:ind w:left="319" w:right="1077"/>
        <w:jc w:val="both"/>
      </w:pPr>
      <w:r>
        <w:rPr/>
        <w:t>While making the recommendations we have been guided</w:t>
      </w:r>
      <w:r>
        <w:rPr>
          <w:spacing w:val="40"/>
        </w:rPr>
        <w:t> </w:t>
      </w:r>
      <w:r>
        <w:rPr/>
        <w:t>by</w:t>
      </w:r>
      <w:r>
        <w:rPr>
          <w:spacing w:val="40"/>
        </w:rPr>
        <w:t> </w:t>
      </w:r>
      <w:r>
        <w:rPr/>
        <w:t>how</w:t>
      </w:r>
      <w:r>
        <w:rPr>
          <w:spacing w:val="40"/>
        </w:rPr>
        <w:t> </w:t>
      </w:r>
      <w:r>
        <w:rPr/>
        <w:t>knowledge</w:t>
      </w:r>
      <w:r>
        <w:rPr>
          <w:spacing w:val="40"/>
        </w:rPr>
        <w:t> </w:t>
      </w:r>
      <w:r>
        <w:rPr/>
        <w:t>will</w:t>
      </w:r>
      <w:r>
        <w:rPr>
          <w:spacing w:val="40"/>
        </w:rPr>
        <w:t> </w:t>
      </w:r>
      <w:r>
        <w:rPr/>
        <w:t>impact</w:t>
      </w:r>
      <w:r>
        <w:rPr>
          <w:spacing w:val="40"/>
        </w:rPr>
        <w:t> </w:t>
      </w:r>
      <w:r>
        <w:rPr/>
        <w:t>the</w:t>
      </w:r>
      <w:r>
        <w:rPr>
          <w:spacing w:val="40"/>
        </w:rPr>
        <w:t> </w:t>
      </w:r>
      <w:r>
        <w:rPr/>
        <w:t>lives</w:t>
      </w:r>
      <w:r>
        <w:rPr>
          <w:spacing w:val="80"/>
        </w:rPr>
        <w:t> </w:t>
      </w:r>
      <w:r>
        <w:rPr/>
        <w:t>of ordinary people of India. We are conscious that knowledge</w:t>
      </w:r>
      <w:r>
        <w:rPr>
          <w:spacing w:val="-9"/>
        </w:rPr>
        <w:t> </w:t>
      </w:r>
      <w:r>
        <w:rPr/>
        <w:t>is</w:t>
      </w:r>
      <w:r>
        <w:rPr>
          <w:spacing w:val="-9"/>
        </w:rPr>
        <w:t> </w:t>
      </w:r>
      <w:r>
        <w:rPr/>
        <w:t>about</w:t>
      </w:r>
      <w:r>
        <w:rPr>
          <w:spacing w:val="-9"/>
        </w:rPr>
        <w:t> </w:t>
      </w:r>
      <w:r>
        <w:rPr/>
        <w:t>farmers</w:t>
      </w:r>
      <w:r>
        <w:rPr>
          <w:spacing w:val="-9"/>
        </w:rPr>
        <w:t> </w:t>
      </w:r>
      <w:r>
        <w:rPr/>
        <w:t>having</w:t>
      </w:r>
      <w:r>
        <w:rPr>
          <w:spacing w:val="-9"/>
        </w:rPr>
        <w:t> </w:t>
      </w:r>
      <w:r>
        <w:rPr/>
        <w:t>access</w:t>
      </w:r>
      <w:r>
        <w:rPr>
          <w:spacing w:val="-9"/>
        </w:rPr>
        <w:t> </w:t>
      </w:r>
      <w:r>
        <w:rPr/>
        <w:t>to</w:t>
      </w:r>
      <w:r>
        <w:rPr>
          <w:spacing w:val="-9"/>
        </w:rPr>
        <w:t> </w:t>
      </w:r>
      <w:r>
        <w:rPr/>
        <w:t>accurate information</w:t>
      </w:r>
      <w:r>
        <w:rPr>
          <w:spacing w:val="-14"/>
        </w:rPr>
        <w:t> </w:t>
      </w:r>
      <w:r>
        <w:rPr/>
        <w:t>about</w:t>
      </w:r>
      <w:r>
        <w:rPr>
          <w:spacing w:val="-14"/>
        </w:rPr>
        <w:t> </w:t>
      </w:r>
      <w:r>
        <w:rPr/>
        <w:t>water,</w:t>
      </w:r>
      <w:r>
        <w:rPr>
          <w:spacing w:val="-13"/>
        </w:rPr>
        <w:t> </w:t>
      </w:r>
      <w:r>
        <w:rPr/>
        <w:t>land,</w:t>
      </w:r>
      <w:r>
        <w:rPr>
          <w:spacing w:val="-14"/>
        </w:rPr>
        <w:t> </w:t>
      </w:r>
      <w:r>
        <w:rPr/>
        <w:t>weather</w:t>
      </w:r>
      <w:r>
        <w:rPr>
          <w:spacing w:val="-14"/>
        </w:rPr>
        <w:t> </w:t>
      </w:r>
      <w:r>
        <w:rPr/>
        <w:t>and</w:t>
      </w:r>
      <w:r>
        <w:rPr>
          <w:spacing w:val="-13"/>
        </w:rPr>
        <w:t> </w:t>
      </w:r>
      <w:r>
        <w:rPr/>
        <w:t>fertilisers; students having access to quality education and jobs; scientists having access to laboratories; industry having access to skilled work force; and people feeling</w:t>
      </w:r>
      <w:r>
        <w:rPr>
          <w:spacing w:val="-14"/>
        </w:rPr>
        <w:t> </w:t>
      </w:r>
      <w:r>
        <w:rPr/>
        <w:t>empowered</w:t>
      </w:r>
      <w:r>
        <w:rPr>
          <w:spacing w:val="-14"/>
        </w:rPr>
        <w:t> </w:t>
      </w:r>
      <w:r>
        <w:rPr/>
        <w:t>with</w:t>
      </w:r>
      <w:r>
        <w:rPr>
          <w:spacing w:val="-14"/>
        </w:rPr>
        <w:t> </w:t>
      </w:r>
      <w:r>
        <w:rPr/>
        <w:t>good</w:t>
      </w:r>
      <w:r>
        <w:rPr>
          <w:spacing w:val="-13"/>
        </w:rPr>
        <w:t> </w:t>
      </w:r>
      <w:r>
        <w:rPr/>
        <w:t>governance</w:t>
      </w:r>
      <w:r>
        <w:rPr>
          <w:spacing w:val="-14"/>
        </w:rPr>
        <w:t> </w:t>
      </w:r>
      <w:r>
        <w:rPr/>
        <w:t>in</w:t>
      </w:r>
      <w:r>
        <w:rPr>
          <w:spacing w:val="-14"/>
        </w:rPr>
        <w:t> </w:t>
      </w:r>
      <w:r>
        <w:rPr/>
        <w:t>a</w:t>
      </w:r>
      <w:r>
        <w:rPr>
          <w:spacing w:val="-14"/>
        </w:rPr>
        <w:t> </w:t>
      </w:r>
      <w:r>
        <w:rPr/>
        <w:t>vibrant </w:t>
      </w:r>
      <w:r>
        <w:rPr>
          <w:spacing w:val="-2"/>
        </w:rPr>
        <w:t>democracy.</w:t>
      </w:r>
    </w:p>
    <w:p>
      <w:pPr>
        <w:pStyle w:val="BodyText"/>
        <w:spacing w:before="18"/>
      </w:pPr>
    </w:p>
    <w:p>
      <w:pPr>
        <w:pStyle w:val="BodyText"/>
        <w:spacing w:line="266" w:lineRule="auto" w:before="1"/>
        <w:ind w:left="319" w:right="1077"/>
        <w:jc w:val="both"/>
      </w:pPr>
      <w:r>
        <w:rPr>
          <w:spacing w:val="-2"/>
        </w:rPr>
        <w:t>Finally,</w:t>
      </w:r>
      <w:r>
        <w:rPr>
          <w:spacing w:val="-10"/>
        </w:rPr>
        <w:t> </w:t>
      </w:r>
      <w:r>
        <w:rPr>
          <w:spacing w:val="-2"/>
        </w:rPr>
        <w:t>I</w:t>
      </w:r>
      <w:r>
        <w:rPr>
          <w:spacing w:val="-10"/>
        </w:rPr>
        <w:t> </w:t>
      </w:r>
      <w:r>
        <w:rPr>
          <w:spacing w:val="-2"/>
        </w:rPr>
        <w:t>want</w:t>
      </w:r>
      <w:r>
        <w:rPr>
          <w:spacing w:val="-10"/>
        </w:rPr>
        <w:t> </w:t>
      </w:r>
      <w:r>
        <w:rPr>
          <w:spacing w:val="-2"/>
        </w:rPr>
        <w:t>to</w:t>
      </w:r>
      <w:r>
        <w:rPr>
          <w:spacing w:val="-10"/>
        </w:rPr>
        <w:t> </w:t>
      </w:r>
      <w:r>
        <w:rPr>
          <w:spacing w:val="-2"/>
        </w:rPr>
        <w:t>thank</w:t>
      </w:r>
      <w:r>
        <w:rPr>
          <w:spacing w:val="-10"/>
        </w:rPr>
        <w:t> </w:t>
      </w:r>
      <w:r>
        <w:rPr>
          <w:spacing w:val="-2"/>
        </w:rPr>
        <w:t>all</w:t>
      </w:r>
      <w:r>
        <w:rPr>
          <w:spacing w:val="-10"/>
        </w:rPr>
        <w:t> </w:t>
      </w:r>
      <w:r>
        <w:rPr>
          <w:spacing w:val="-2"/>
        </w:rPr>
        <w:t>the</w:t>
      </w:r>
      <w:r>
        <w:rPr>
          <w:spacing w:val="-10"/>
        </w:rPr>
        <w:t> </w:t>
      </w:r>
      <w:r>
        <w:rPr>
          <w:spacing w:val="-2"/>
        </w:rPr>
        <w:t>members</w:t>
      </w:r>
      <w:r>
        <w:rPr>
          <w:spacing w:val="-10"/>
        </w:rPr>
        <w:t> </w:t>
      </w:r>
      <w:r>
        <w:rPr>
          <w:spacing w:val="-2"/>
        </w:rPr>
        <w:t>and</w:t>
      </w:r>
      <w:r>
        <w:rPr>
          <w:spacing w:val="-10"/>
        </w:rPr>
        <w:t> </w:t>
      </w:r>
      <w:r>
        <w:rPr>
          <w:spacing w:val="-2"/>
        </w:rPr>
        <w:t>our</w:t>
      </w:r>
      <w:r>
        <w:rPr>
          <w:spacing w:val="-10"/>
        </w:rPr>
        <w:t> </w:t>
      </w:r>
      <w:r>
        <w:rPr>
          <w:spacing w:val="-2"/>
        </w:rPr>
        <w:t>young </w:t>
      </w:r>
      <w:r>
        <w:rPr/>
        <w:t>associates</w:t>
      </w:r>
      <w:r>
        <w:rPr>
          <w:spacing w:val="-7"/>
        </w:rPr>
        <w:t> </w:t>
      </w:r>
      <w:r>
        <w:rPr/>
        <w:t>for</w:t>
      </w:r>
      <w:r>
        <w:rPr>
          <w:spacing w:val="-7"/>
        </w:rPr>
        <w:t> </w:t>
      </w:r>
      <w:r>
        <w:rPr/>
        <w:t>their</w:t>
      </w:r>
      <w:r>
        <w:rPr>
          <w:spacing w:val="-7"/>
        </w:rPr>
        <w:t> </w:t>
      </w:r>
      <w:r>
        <w:rPr/>
        <w:t>exceptional</w:t>
      </w:r>
      <w:r>
        <w:rPr>
          <w:spacing w:val="-7"/>
        </w:rPr>
        <w:t> </w:t>
      </w:r>
      <w:r>
        <w:rPr/>
        <w:t>hard</w:t>
      </w:r>
      <w:r>
        <w:rPr>
          <w:spacing w:val="-7"/>
        </w:rPr>
        <w:t> </w:t>
      </w:r>
      <w:r>
        <w:rPr/>
        <w:t>work,</w:t>
      </w:r>
      <w:r>
        <w:rPr>
          <w:spacing w:val="-7"/>
        </w:rPr>
        <w:t> </w:t>
      </w:r>
      <w:r>
        <w:rPr/>
        <w:t>dedication and ongoing support. I would also like to thank the members</w:t>
      </w:r>
      <w:r>
        <w:rPr>
          <w:spacing w:val="-11"/>
        </w:rPr>
        <w:t> </w:t>
      </w:r>
      <w:r>
        <w:rPr/>
        <w:t>of</w:t>
      </w:r>
      <w:r>
        <w:rPr>
          <w:spacing w:val="-11"/>
        </w:rPr>
        <w:t> </w:t>
      </w:r>
      <w:r>
        <w:rPr/>
        <w:t>various</w:t>
      </w:r>
      <w:r>
        <w:rPr>
          <w:spacing w:val="-12"/>
        </w:rPr>
        <w:t> </w:t>
      </w:r>
      <w:r>
        <w:rPr/>
        <w:t>Working</w:t>
      </w:r>
      <w:r>
        <w:rPr>
          <w:spacing w:val="-11"/>
        </w:rPr>
        <w:t> </w:t>
      </w:r>
      <w:r>
        <w:rPr/>
        <w:t>Groups</w:t>
      </w:r>
      <w:r>
        <w:rPr>
          <w:spacing w:val="-11"/>
        </w:rPr>
        <w:t> </w:t>
      </w:r>
      <w:r>
        <w:rPr/>
        <w:t>and</w:t>
      </w:r>
      <w:r>
        <w:rPr>
          <w:spacing w:val="-11"/>
        </w:rPr>
        <w:t> </w:t>
      </w:r>
      <w:r>
        <w:rPr/>
        <w:t>workshops, </w:t>
      </w:r>
      <w:r>
        <w:rPr>
          <w:spacing w:val="-4"/>
        </w:rPr>
        <w:t>the Planning Commission, the Prime Minister’s Office, </w:t>
      </w:r>
      <w:r>
        <w:rPr/>
        <w:t>and various other individuals and organisations in</w:t>
      </w:r>
      <w:r>
        <w:rPr>
          <w:spacing w:val="40"/>
        </w:rPr>
        <w:t> </w:t>
      </w:r>
      <w:r>
        <w:rPr/>
        <w:t>the</w:t>
      </w:r>
      <w:r>
        <w:rPr>
          <w:spacing w:val="-13"/>
        </w:rPr>
        <w:t> </w:t>
      </w:r>
      <w:r>
        <w:rPr/>
        <w:t>government</w:t>
      </w:r>
      <w:r>
        <w:rPr>
          <w:spacing w:val="-13"/>
        </w:rPr>
        <w:t> </w:t>
      </w:r>
      <w:r>
        <w:rPr/>
        <w:t>and</w:t>
      </w:r>
      <w:r>
        <w:rPr>
          <w:spacing w:val="-13"/>
        </w:rPr>
        <w:t> </w:t>
      </w:r>
      <w:r>
        <w:rPr/>
        <w:t>industry</w:t>
      </w:r>
      <w:r>
        <w:rPr>
          <w:spacing w:val="-13"/>
        </w:rPr>
        <w:t> </w:t>
      </w:r>
      <w:r>
        <w:rPr/>
        <w:t>for</w:t>
      </w:r>
      <w:r>
        <w:rPr>
          <w:spacing w:val="-13"/>
        </w:rPr>
        <w:t> </w:t>
      </w:r>
      <w:r>
        <w:rPr/>
        <w:t>the</w:t>
      </w:r>
      <w:r>
        <w:rPr>
          <w:spacing w:val="-13"/>
        </w:rPr>
        <w:t> </w:t>
      </w:r>
      <w:r>
        <w:rPr/>
        <w:t>their</w:t>
      </w:r>
      <w:r>
        <w:rPr>
          <w:spacing w:val="-13"/>
        </w:rPr>
        <w:t> </w:t>
      </w:r>
      <w:r>
        <w:rPr/>
        <w:t>contribution and support.</w:t>
      </w:r>
    </w:p>
    <w:p>
      <w:pPr>
        <w:pStyle w:val="BodyText"/>
        <w:spacing w:before="20"/>
      </w:pPr>
    </w:p>
    <w:p>
      <w:pPr>
        <w:pStyle w:val="BodyText"/>
        <w:spacing w:line="266" w:lineRule="auto"/>
        <w:ind w:left="319" w:right="1078"/>
        <w:jc w:val="both"/>
      </w:pPr>
      <w:r>
        <w:rPr/>
        <w:t>As we have said in the past, the recommendations </w:t>
      </w:r>
      <w:r>
        <w:rPr/>
        <w:t>of the National Knowledge Commission are really a</w:t>
      </w:r>
      <w:r>
        <w:rPr>
          <w:spacing w:val="40"/>
        </w:rPr>
        <w:t> </w:t>
      </w:r>
      <w:r>
        <w:rPr/>
        <w:t>call to action. It is time to act and implement these recommendations now.</w:t>
      </w:r>
    </w:p>
    <w:p>
      <w:pPr>
        <w:pStyle w:val="BodyText"/>
      </w:pPr>
    </w:p>
    <w:p>
      <w:pPr>
        <w:pStyle w:val="BodyText"/>
      </w:pPr>
    </w:p>
    <w:p>
      <w:pPr>
        <w:pStyle w:val="BodyText"/>
      </w:pPr>
    </w:p>
    <w:p>
      <w:pPr>
        <w:pStyle w:val="BodyText"/>
        <w:spacing w:before="103"/>
      </w:pPr>
    </w:p>
    <w:p>
      <w:pPr>
        <w:pStyle w:val="Heading9"/>
        <w:ind w:left="0" w:right="1079"/>
        <w:jc w:val="right"/>
      </w:pPr>
      <w:r>
        <w:rPr>
          <w:w w:val="90"/>
        </w:rPr>
        <w:t>Sam</w:t>
      </w:r>
      <w:r>
        <w:rPr/>
        <w:t> </w:t>
      </w:r>
      <w:r>
        <w:rPr>
          <w:spacing w:val="-2"/>
        </w:rPr>
        <w:t>Pitroda</w:t>
      </w:r>
    </w:p>
    <w:p>
      <w:pPr>
        <w:pStyle w:val="BodyText"/>
        <w:spacing w:line="266" w:lineRule="auto" w:before="27"/>
        <w:ind w:left="2121" w:right="1077" w:firstLine="2027"/>
        <w:jc w:val="right"/>
      </w:pPr>
      <w:r>
        <w:rPr>
          <w:spacing w:val="-2"/>
        </w:rPr>
        <w:t>Chairman</w:t>
      </w:r>
      <w:r>
        <w:rPr>
          <w:spacing w:val="-2"/>
        </w:rPr>
        <w:t> </w:t>
      </w:r>
      <w:r>
        <w:rPr>
          <w:spacing w:val="-6"/>
        </w:rPr>
        <w:t>National</w:t>
      </w:r>
      <w:r>
        <w:rPr>
          <w:spacing w:val="6"/>
        </w:rPr>
        <w:t> </w:t>
      </w:r>
      <w:r>
        <w:rPr>
          <w:spacing w:val="-6"/>
        </w:rPr>
        <w:t>Knowledge</w:t>
      </w:r>
      <w:r>
        <w:rPr>
          <w:spacing w:val="6"/>
        </w:rPr>
        <w:t> </w:t>
      </w:r>
      <w:r>
        <w:rPr>
          <w:spacing w:val="-6"/>
        </w:rPr>
        <w:t>Commission</w:t>
      </w:r>
    </w:p>
    <w:p>
      <w:pPr>
        <w:spacing w:after="0" w:line="266" w:lineRule="auto"/>
        <w:jc w:val="right"/>
        <w:sectPr>
          <w:pgSz w:w="11910" w:h="16840"/>
          <w:pgMar w:header="0" w:footer="0" w:top="960" w:bottom="280" w:left="0" w:right="0"/>
          <w:cols w:num="2" w:equalWidth="0">
            <w:col w:w="5774" w:space="40"/>
            <w:col w:w="609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8"/>
      </w:pPr>
    </w:p>
    <w:p>
      <w:pPr>
        <w:pStyle w:val="Heading9"/>
        <w:tabs>
          <w:tab w:pos="10719" w:val="right" w:leader="none"/>
        </w:tabs>
        <w:spacing w:before="1"/>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ragraph">
                  <wp:posOffset>-2354259</wp:posOffset>
                </wp:positionV>
                <wp:extent cx="7560309" cy="175260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560309" cy="1752600"/>
                          <a:chExt cx="7560309" cy="1752600"/>
                        </a:xfrm>
                      </wpg:grpSpPr>
                      <pic:pic>
                        <pic:nvPicPr>
                          <pic:cNvPr id="7" name="Image 7"/>
                          <pic:cNvPicPr/>
                        </pic:nvPicPr>
                        <pic:blipFill>
                          <a:blip r:embed="rId11" cstate="print"/>
                          <a:stretch>
                            <a:fillRect/>
                          </a:stretch>
                        </pic:blipFill>
                        <pic:spPr>
                          <a:xfrm>
                            <a:off x="0" y="0"/>
                            <a:ext cx="7559999" cy="1752601"/>
                          </a:xfrm>
                          <a:prstGeom prst="rect">
                            <a:avLst/>
                          </a:prstGeom>
                        </pic:spPr>
                      </pic:pic>
                      <wps:wsp>
                        <wps:cNvPr id="8" name="Textbox 8"/>
                        <wps:cNvSpPr txBox="1"/>
                        <wps:spPr>
                          <a:xfrm>
                            <a:off x="0" y="0"/>
                            <a:ext cx="7560309" cy="1752600"/>
                          </a:xfrm>
                          <a:prstGeom prst="rect">
                            <a:avLst/>
                          </a:prstGeom>
                        </wps:spPr>
                        <wps:txbx>
                          <w:txbxContent>
                            <w:p>
                              <w:pPr>
                                <w:spacing w:before="943"/>
                                <w:ind w:left="1080" w:right="0" w:firstLine="0"/>
                                <w:jc w:val="left"/>
                                <w:rPr>
                                  <w:rFonts w:ascii="Trebuchet MS"/>
                                  <w:b/>
                                  <w:sz w:val="68"/>
                                </w:rPr>
                              </w:pPr>
                              <w:r>
                                <w:rPr>
                                  <w:rFonts w:ascii="Trebuchet MS"/>
                                  <w:b/>
                                  <w:color w:val="FFFFFF"/>
                                  <w:spacing w:val="-2"/>
                                  <w:sz w:val="68"/>
                                </w:rPr>
                                <w:t>Contents</w:t>
                              </w:r>
                            </w:p>
                          </w:txbxContent>
                        </wps:txbx>
                        <wps:bodyPr wrap="square" lIns="0" tIns="0" rIns="0" bIns="0" rtlCol="0">
                          <a:noAutofit/>
                        </wps:bodyPr>
                      </wps:wsp>
                    </wpg:wgp>
                  </a:graphicData>
                </a:graphic>
              </wp:anchor>
            </w:drawing>
          </mc:Choice>
          <mc:Fallback>
            <w:pict>
              <v:group style="position:absolute;margin-left:0pt;margin-top:-185.374725pt;width:595.3pt;height:138pt;mso-position-horizontal-relative:page;mso-position-vertical-relative:paragraph;z-index:15730176" id="docshapegroup4" coordorigin="0,-3707" coordsize="11906,2760">
                <v:shape style="position:absolute;left:0;top:-3708;width:11906;height:2760" type="#_x0000_t75" id="docshape5" stroked="false">
                  <v:imagedata r:id="rId11" o:title=""/>
                </v:shape>
                <v:shape style="position:absolute;left:0;top:-3708;width:11906;height:2760" type="#_x0000_t202" id="docshape6" filled="false" stroked="false">
                  <v:textbox inset="0,0,0,0">
                    <w:txbxContent>
                      <w:p>
                        <w:pPr>
                          <w:spacing w:before="943"/>
                          <w:ind w:left="1080" w:right="0" w:firstLine="0"/>
                          <w:jc w:val="left"/>
                          <w:rPr>
                            <w:rFonts w:ascii="Trebuchet MS"/>
                            <w:b/>
                            <w:sz w:val="68"/>
                          </w:rPr>
                        </w:pPr>
                        <w:r>
                          <w:rPr>
                            <w:rFonts w:ascii="Trebuchet MS"/>
                            <w:b/>
                            <w:color w:val="FFFFFF"/>
                            <w:spacing w:val="-2"/>
                            <w:sz w:val="68"/>
                          </w:rPr>
                          <w:t>Contents</w:t>
                        </w:r>
                      </w:p>
                    </w:txbxContent>
                  </v:textbox>
                  <w10:wrap type="none"/>
                </v:shape>
                <w10:wrap type="none"/>
              </v:group>
            </w:pict>
          </mc:Fallback>
        </mc:AlternateContent>
      </w:r>
      <w:r>
        <w:rPr>
          <w:color w:val="2E614A"/>
          <w:spacing w:val="-2"/>
        </w:rPr>
        <w:t>OVERVIEW</w:t>
      </w:r>
      <w:r>
        <w:rPr>
          <w:color w:val="2E614A"/>
        </w:rPr>
        <w:tab/>
      </w:r>
      <w:r>
        <w:rPr>
          <w:spacing w:val="-10"/>
        </w:rPr>
        <w:t>1</w:t>
      </w:r>
    </w:p>
    <w:p>
      <w:pPr>
        <w:pStyle w:val="BodyText"/>
        <w:tabs>
          <w:tab w:pos="10719" w:val="right" w:leader="none"/>
        </w:tabs>
        <w:spacing w:before="106"/>
        <w:ind w:left="1439"/>
      </w:pPr>
      <w:r>
        <w:rPr>
          <w:spacing w:val="-2"/>
        </w:rPr>
        <w:t>Introduction</w:t>
      </w:r>
      <w:r>
        <w:rPr/>
        <w:tab/>
      </w:r>
      <w:r>
        <w:rPr>
          <w:spacing w:val="-10"/>
        </w:rPr>
        <w:t>3</w:t>
      </w:r>
    </w:p>
    <w:p>
      <w:pPr>
        <w:pStyle w:val="BodyText"/>
        <w:tabs>
          <w:tab w:pos="10719" w:val="right" w:leader="none"/>
        </w:tabs>
        <w:spacing w:before="106"/>
        <w:ind w:left="1439"/>
      </w:pPr>
      <w:r>
        <w:rPr>
          <w:spacing w:val="-6"/>
        </w:rPr>
        <w:t>Terms</w:t>
      </w:r>
      <w:r>
        <w:rPr>
          <w:spacing w:val="-4"/>
        </w:rPr>
        <w:t> </w:t>
      </w:r>
      <w:r>
        <w:rPr>
          <w:spacing w:val="-6"/>
        </w:rPr>
        <w:t>of</w:t>
      </w:r>
      <w:r>
        <w:rPr>
          <w:spacing w:val="-4"/>
        </w:rPr>
        <w:t> </w:t>
      </w:r>
      <w:r>
        <w:rPr>
          <w:spacing w:val="-6"/>
        </w:rPr>
        <w:t>Reference</w:t>
      </w:r>
      <w:r>
        <w:rPr>
          <w:spacing w:val="-4"/>
        </w:rPr>
        <w:t> </w:t>
      </w:r>
      <w:r>
        <w:rPr>
          <w:spacing w:val="-6"/>
        </w:rPr>
        <w:t>and</w:t>
      </w:r>
      <w:r>
        <w:rPr>
          <w:spacing w:val="-3"/>
        </w:rPr>
        <w:t> </w:t>
      </w:r>
      <w:r>
        <w:rPr>
          <w:spacing w:val="-6"/>
        </w:rPr>
        <w:t>Organisation</w:t>
      </w:r>
      <w:r>
        <w:rPr/>
        <w:tab/>
      </w:r>
      <w:r>
        <w:rPr>
          <w:spacing w:val="-10"/>
        </w:rPr>
        <w:t>4</w:t>
      </w:r>
    </w:p>
    <w:p>
      <w:pPr>
        <w:pStyle w:val="BodyText"/>
        <w:tabs>
          <w:tab w:pos="10719" w:val="right" w:leader="none"/>
        </w:tabs>
        <w:spacing w:before="106"/>
        <w:ind w:left="1439"/>
      </w:pPr>
      <w:r>
        <w:rPr>
          <w:spacing w:val="-2"/>
        </w:rPr>
        <w:t>Members</w:t>
      </w:r>
      <w:r>
        <w:rPr/>
        <w:tab/>
      </w:r>
      <w:r>
        <w:rPr>
          <w:spacing w:val="-10"/>
        </w:rPr>
        <w:t>5</w:t>
      </w:r>
    </w:p>
    <w:p>
      <w:pPr>
        <w:pStyle w:val="BodyText"/>
        <w:tabs>
          <w:tab w:pos="10719" w:val="right" w:leader="none"/>
        </w:tabs>
        <w:spacing w:before="106"/>
        <w:ind w:left="1439"/>
      </w:pPr>
      <w:r>
        <w:rPr>
          <w:spacing w:val="-2"/>
        </w:rPr>
        <w:t>Methodology</w:t>
      </w:r>
      <w:r>
        <w:rPr/>
        <w:tab/>
      </w:r>
      <w:r>
        <w:rPr>
          <w:spacing w:val="-10"/>
        </w:rPr>
        <w:t>9</w:t>
      </w:r>
    </w:p>
    <w:p>
      <w:pPr>
        <w:pStyle w:val="BodyText"/>
        <w:tabs>
          <w:tab w:pos="10719" w:val="right" w:leader="none"/>
        </w:tabs>
        <w:spacing w:before="107"/>
        <w:ind w:left="1439"/>
      </w:pPr>
      <w:r>
        <w:rPr/>
        <w:t>NKC</w:t>
      </w:r>
      <w:r>
        <w:rPr>
          <w:spacing w:val="-3"/>
        </w:rPr>
        <w:t> </w:t>
      </w:r>
      <w:r>
        <w:rPr>
          <w:spacing w:val="-2"/>
        </w:rPr>
        <w:t>Snapshot</w:t>
      </w:r>
      <w:r>
        <w:rPr/>
        <w:tab/>
      </w:r>
      <w:r>
        <w:rPr>
          <w:spacing w:val="-5"/>
        </w:rPr>
        <w:t>10</w:t>
      </w:r>
    </w:p>
    <w:p>
      <w:pPr>
        <w:pStyle w:val="BodyText"/>
        <w:tabs>
          <w:tab w:pos="10719" w:val="right" w:leader="none"/>
        </w:tabs>
        <w:spacing w:before="106"/>
        <w:ind w:left="1439"/>
      </w:pPr>
      <w:r>
        <w:rPr>
          <w:spacing w:val="-4"/>
        </w:rPr>
        <w:t>Summary</w:t>
      </w:r>
      <w:r>
        <w:rPr>
          <w:spacing w:val="-9"/>
        </w:rPr>
        <w:t> </w:t>
      </w:r>
      <w:r>
        <w:rPr>
          <w:spacing w:val="-4"/>
        </w:rPr>
        <w:t>of</w:t>
      </w:r>
      <w:r>
        <w:rPr>
          <w:spacing w:val="-8"/>
        </w:rPr>
        <w:t> </w:t>
      </w:r>
      <w:r>
        <w:rPr>
          <w:spacing w:val="-4"/>
        </w:rPr>
        <w:t>Recommendations</w:t>
      </w:r>
      <w:r>
        <w:rPr/>
        <w:tab/>
      </w:r>
      <w:r>
        <w:rPr>
          <w:spacing w:val="-5"/>
        </w:rPr>
        <w:t>13</w:t>
      </w:r>
    </w:p>
    <w:p>
      <w:pPr>
        <w:pStyle w:val="Heading9"/>
        <w:tabs>
          <w:tab w:pos="10719" w:val="right" w:leader="none"/>
        </w:tabs>
        <w:spacing w:before="307"/>
      </w:pPr>
      <w:r>
        <w:rPr>
          <w:color w:val="2E614A"/>
          <w:spacing w:val="-2"/>
        </w:rPr>
        <w:t>RECOMMENDATIONS</w:t>
      </w:r>
      <w:r>
        <w:rPr>
          <w:color w:val="2E614A"/>
        </w:rPr>
        <w:tab/>
      </w:r>
      <w:r>
        <w:rPr>
          <w:spacing w:val="-5"/>
        </w:rPr>
        <w:t>21</w:t>
      </w:r>
    </w:p>
    <w:p>
      <w:pPr>
        <w:pStyle w:val="Heading9"/>
        <w:tabs>
          <w:tab w:pos="10719" w:val="right" w:leader="none"/>
        </w:tabs>
        <w:spacing w:before="106"/>
        <w:ind w:left="1079"/>
      </w:pPr>
      <w:r>
        <w:rPr>
          <w:spacing w:val="-2"/>
        </w:rPr>
        <w:t>ACCESS</w:t>
      </w:r>
      <w:r>
        <w:rPr/>
        <w:tab/>
      </w:r>
      <w:r>
        <w:rPr>
          <w:spacing w:val="-5"/>
        </w:rPr>
        <w:t>23</w:t>
      </w:r>
    </w:p>
    <w:p>
      <w:pPr>
        <w:pStyle w:val="BodyText"/>
        <w:tabs>
          <w:tab w:pos="10719" w:val="right" w:leader="none"/>
        </w:tabs>
        <w:spacing w:before="106"/>
        <w:ind w:left="1439"/>
      </w:pPr>
      <w:r>
        <w:rPr/>
        <w:t>Right</w:t>
      </w:r>
      <w:r>
        <w:rPr>
          <w:spacing w:val="-7"/>
        </w:rPr>
        <w:t> </w:t>
      </w:r>
      <w:r>
        <w:rPr/>
        <w:t>to</w:t>
      </w:r>
      <w:r>
        <w:rPr>
          <w:spacing w:val="-6"/>
        </w:rPr>
        <w:t> </w:t>
      </w:r>
      <w:r>
        <w:rPr>
          <w:spacing w:val="-2"/>
        </w:rPr>
        <w:t>Education</w:t>
      </w:r>
      <w:r>
        <w:rPr/>
        <w:tab/>
      </w:r>
      <w:r>
        <w:rPr>
          <w:spacing w:val="-7"/>
        </w:rPr>
        <w:t>25</w:t>
      </w:r>
    </w:p>
    <w:p>
      <w:pPr>
        <w:pStyle w:val="BodyText"/>
        <w:tabs>
          <w:tab w:pos="10719" w:val="right" w:leader="none"/>
        </w:tabs>
        <w:spacing w:before="107"/>
        <w:ind w:left="1439"/>
      </w:pPr>
      <w:r>
        <w:rPr>
          <w:spacing w:val="-2"/>
        </w:rPr>
        <w:t>Language</w:t>
      </w:r>
      <w:r>
        <w:rPr/>
        <w:tab/>
      </w:r>
      <w:r>
        <w:rPr>
          <w:spacing w:val="-5"/>
        </w:rPr>
        <w:t>27</w:t>
      </w:r>
    </w:p>
    <w:p>
      <w:pPr>
        <w:pStyle w:val="BodyText"/>
        <w:tabs>
          <w:tab w:pos="10719" w:val="right" w:leader="none"/>
        </w:tabs>
        <w:spacing w:before="106"/>
        <w:ind w:left="1439"/>
      </w:pPr>
      <w:r>
        <w:rPr>
          <w:spacing w:val="-2"/>
        </w:rPr>
        <w:t>Translation</w:t>
      </w:r>
      <w:r>
        <w:rPr/>
        <w:tab/>
      </w:r>
      <w:r>
        <w:rPr>
          <w:spacing w:val="-5"/>
        </w:rPr>
        <w:t>29</w:t>
      </w:r>
    </w:p>
    <w:p>
      <w:pPr>
        <w:pStyle w:val="BodyText"/>
        <w:tabs>
          <w:tab w:pos="10719" w:val="right" w:leader="none"/>
        </w:tabs>
        <w:spacing w:before="106"/>
        <w:ind w:left="1439"/>
      </w:pPr>
      <w:r>
        <w:rPr>
          <w:spacing w:val="-2"/>
        </w:rPr>
        <w:t>Libraries</w:t>
      </w:r>
      <w:r>
        <w:rPr/>
        <w:tab/>
      </w:r>
      <w:r>
        <w:rPr>
          <w:spacing w:val="-5"/>
        </w:rPr>
        <w:t>31</w:t>
      </w:r>
    </w:p>
    <w:p>
      <w:pPr>
        <w:pStyle w:val="BodyText"/>
        <w:tabs>
          <w:tab w:pos="10719" w:val="right" w:leader="none"/>
        </w:tabs>
        <w:spacing w:before="106"/>
        <w:ind w:left="1439"/>
      </w:pPr>
      <w:r>
        <w:rPr>
          <w:w w:val="90"/>
        </w:rPr>
        <w:t>Knowledge</w:t>
      </w:r>
      <w:r>
        <w:rPr>
          <w:spacing w:val="29"/>
        </w:rPr>
        <w:t> </w:t>
      </w:r>
      <w:r>
        <w:rPr>
          <w:spacing w:val="-2"/>
        </w:rPr>
        <w:t>Network</w:t>
      </w:r>
      <w:r>
        <w:rPr/>
        <w:tab/>
      </w:r>
      <w:r>
        <w:rPr>
          <w:spacing w:val="-5"/>
        </w:rPr>
        <w:t>33</w:t>
      </w:r>
    </w:p>
    <w:p>
      <w:pPr>
        <w:pStyle w:val="BodyText"/>
        <w:tabs>
          <w:tab w:pos="10719" w:val="right" w:leader="none"/>
        </w:tabs>
        <w:spacing w:before="107"/>
        <w:ind w:left="1439"/>
      </w:pPr>
      <w:r>
        <w:rPr/>
        <w:t>Health</w:t>
      </w:r>
      <w:r>
        <w:rPr>
          <w:spacing w:val="-8"/>
        </w:rPr>
        <w:t> </w:t>
      </w:r>
      <w:r>
        <w:rPr/>
        <w:t>Information</w:t>
      </w:r>
      <w:r>
        <w:rPr>
          <w:spacing w:val="-8"/>
        </w:rPr>
        <w:t> </w:t>
      </w:r>
      <w:r>
        <w:rPr>
          <w:spacing w:val="-2"/>
        </w:rPr>
        <w:t>Network</w:t>
      </w:r>
      <w:r>
        <w:rPr/>
        <w:tab/>
      </w:r>
      <w:r>
        <w:rPr>
          <w:spacing w:val="-5"/>
        </w:rPr>
        <w:t>36</w:t>
      </w:r>
    </w:p>
    <w:p>
      <w:pPr>
        <w:pStyle w:val="BodyText"/>
        <w:tabs>
          <w:tab w:pos="10719" w:val="right" w:leader="none"/>
        </w:tabs>
        <w:spacing w:before="106"/>
        <w:ind w:left="1439"/>
      </w:pPr>
      <w:r>
        <w:rPr>
          <w:spacing w:val="-2"/>
        </w:rPr>
        <w:t>Portals</w:t>
      </w:r>
      <w:r>
        <w:rPr/>
        <w:tab/>
      </w:r>
      <w:r>
        <w:rPr>
          <w:spacing w:val="-5"/>
        </w:rPr>
        <w:t>39</w:t>
      </w:r>
    </w:p>
    <w:p>
      <w:pPr>
        <w:pStyle w:val="Heading9"/>
        <w:tabs>
          <w:tab w:pos="10719" w:val="right" w:leader="none"/>
        </w:tabs>
        <w:spacing w:before="307"/>
        <w:ind w:left="1079"/>
      </w:pPr>
      <w:r>
        <w:rPr>
          <w:spacing w:val="-2"/>
        </w:rPr>
        <w:t>CONCEPTS</w:t>
      </w:r>
      <w:r>
        <w:rPr/>
        <w:tab/>
      </w:r>
      <w:r>
        <w:rPr>
          <w:spacing w:val="-5"/>
        </w:rPr>
        <w:t>41</w:t>
      </w:r>
    </w:p>
    <w:p>
      <w:pPr>
        <w:pStyle w:val="BodyText"/>
        <w:tabs>
          <w:tab w:pos="10719" w:val="right" w:leader="none"/>
        </w:tabs>
        <w:spacing w:before="106"/>
        <w:ind w:left="1439"/>
      </w:pPr>
      <w:r>
        <w:rPr>
          <w:spacing w:val="-5"/>
        </w:rPr>
        <w:t>School</w:t>
      </w:r>
      <w:r>
        <w:rPr>
          <w:spacing w:val="-7"/>
        </w:rPr>
        <w:t> </w:t>
      </w:r>
      <w:r>
        <w:rPr>
          <w:spacing w:val="-2"/>
        </w:rPr>
        <w:t>Education</w:t>
      </w:r>
      <w:r>
        <w:rPr/>
        <w:tab/>
      </w:r>
      <w:r>
        <w:rPr>
          <w:spacing w:val="-5"/>
        </w:rPr>
        <w:t>43</w:t>
      </w:r>
    </w:p>
    <w:p>
      <w:pPr>
        <w:pStyle w:val="BodyText"/>
        <w:tabs>
          <w:tab w:pos="10719" w:val="right" w:leader="none"/>
        </w:tabs>
        <w:spacing w:before="106"/>
        <w:ind w:left="1439"/>
      </w:pPr>
      <w:r>
        <w:rPr/>
        <w:t>Note</w:t>
      </w:r>
      <w:r>
        <w:rPr>
          <w:spacing w:val="-13"/>
        </w:rPr>
        <w:t> </w:t>
      </w:r>
      <w:r>
        <w:rPr/>
        <w:t>on</w:t>
      </w:r>
      <w:r>
        <w:rPr>
          <w:spacing w:val="-12"/>
        </w:rPr>
        <w:t> </w:t>
      </w:r>
      <w:r>
        <w:rPr/>
        <w:t>School</w:t>
      </w:r>
      <w:r>
        <w:rPr>
          <w:spacing w:val="-12"/>
        </w:rPr>
        <w:t> </w:t>
      </w:r>
      <w:r>
        <w:rPr>
          <w:spacing w:val="-2"/>
        </w:rPr>
        <w:t>Education</w:t>
      </w:r>
      <w:r>
        <w:rPr/>
        <w:tab/>
      </w:r>
      <w:r>
        <w:rPr>
          <w:spacing w:val="-5"/>
        </w:rPr>
        <w:t>46</w:t>
      </w:r>
    </w:p>
    <w:p>
      <w:pPr>
        <w:pStyle w:val="BodyText"/>
        <w:tabs>
          <w:tab w:pos="10719" w:val="right" w:leader="none"/>
        </w:tabs>
        <w:spacing w:before="106"/>
        <w:ind w:left="1439"/>
      </w:pPr>
      <w:r>
        <w:rPr>
          <w:spacing w:val="-4"/>
        </w:rPr>
        <w:t>Vocational</w:t>
      </w:r>
      <w:r>
        <w:rPr>
          <w:spacing w:val="-9"/>
        </w:rPr>
        <w:t> </w:t>
      </w:r>
      <w:r>
        <w:rPr>
          <w:spacing w:val="-4"/>
        </w:rPr>
        <w:t>Education and</w:t>
      </w:r>
      <w:r>
        <w:rPr>
          <w:spacing w:val="-10"/>
        </w:rPr>
        <w:t> </w:t>
      </w:r>
      <w:r>
        <w:rPr>
          <w:spacing w:val="-4"/>
        </w:rPr>
        <w:t>Training</w:t>
      </w:r>
      <w:r>
        <w:rPr/>
        <w:tab/>
      </w:r>
      <w:r>
        <w:rPr>
          <w:spacing w:val="-5"/>
        </w:rPr>
        <w:t>59</w:t>
      </w:r>
    </w:p>
    <w:p>
      <w:pPr>
        <w:pStyle w:val="BodyText"/>
        <w:tabs>
          <w:tab w:pos="10719" w:val="right" w:leader="none"/>
        </w:tabs>
        <w:spacing w:before="107"/>
        <w:ind w:left="1439"/>
      </w:pPr>
      <w:r>
        <w:rPr/>
        <w:t>Higher</w:t>
      </w:r>
      <w:r>
        <w:rPr>
          <w:spacing w:val="-14"/>
        </w:rPr>
        <w:t> </w:t>
      </w:r>
      <w:r>
        <w:rPr>
          <w:spacing w:val="-2"/>
        </w:rPr>
        <w:t>Education</w:t>
      </w:r>
      <w:r>
        <w:rPr/>
        <w:tab/>
      </w:r>
      <w:r>
        <w:rPr>
          <w:spacing w:val="-5"/>
        </w:rPr>
        <w:t>62</w:t>
      </w:r>
    </w:p>
    <w:p>
      <w:pPr>
        <w:pStyle w:val="BodyText"/>
        <w:tabs>
          <w:tab w:pos="10719" w:val="right" w:leader="none"/>
        </w:tabs>
        <w:spacing w:before="106"/>
        <w:ind w:left="1439"/>
      </w:pPr>
      <w:r>
        <w:rPr/>
        <w:t>Note</w:t>
      </w:r>
      <w:r>
        <w:rPr>
          <w:spacing w:val="-5"/>
        </w:rPr>
        <w:t> </w:t>
      </w:r>
      <w:r>
        <w:rPr/>
        <w:t>on</w:t>
      </w:r>
      <w:r>
        <w:rPr>
          <w:spacing w:val="-5"/>
        </w:rPr>
        <w:t> </w:t>
      </w:r>
      <w:r>
        <w:rPr/>
        <w:t>Higher</w:t>
      </w:r>
      <w:r>
        <w:rPr>
          <w:spacing w:val="-4"/>
        </w:rPr>
        <w:t> </w:t>
      </w:r>
      <w:r>
        <w:rPr>
          <w:spacing w:val="-2"/>
        </w:rPr>
        <w:t>Education</w:t>
      </w:r>
      <w:r>
        <w:rPr/>
        <w:tab/>
      </w:r>
      <w:r>
        <w:rPr>
          <w:spacing w:val="-7"/>
        </w:rPr>
        <w:t>66</w:t>
      </w:r>
    </w:p>
    <w:p>
      <w:pPr>
        <w:pStyle w:val="BodyText"/>
        <w:tabs>
          <w:tab w:pos="10719" w:val="right" w:leader="none"/>
        </w:tabs>
        <w:spacing w:before="106"/>
        <w:ind w:left="1439"/>
      </w:pPr>
      <w:r>
        <w:rPr>
          <w:spacing w:val="-2"/>
        </w:rPr>
        <w:t>Appointment</w:t>
      </w:r>
      <w:r>
        <w:rPr>
          <w:spacing w:val="-6"/>
        </w:rPr>
        <w:t> </w:t>
      </w:r>
      <w:r>
        <w:rPr>
          <w:spacing w:val="-2"/>
        </w:rPr>
        <w:t>of</w:t>
      </w:r>
      <w:r>
        <w:rPr>
          <w:spacing w:val="-6"/>
        </w:rPr>
        <w:t> </w:t>
      </w:r>
      <w:r>
        <w:rPr>
          <w:spacing w:val="-2"/>
        </w:rPr>
        <w:t>Heads</w:t>
      </w:r>
      <w:r>
        <w:rPr>
          <w:spacing w:val="-5"/>
        </w:rPr>
        <w:t> </w:t>
      </w:r>
      <w:r>
        <w:rPr>
          <w:spacing w:val="-2"/>
        </w:rPr>
        <w:t>of</w:t>
      </w:r>
      <w:r>
        <w:rPr>
          <w:spacing w:val="-6"/>
        </w:rPr>
        <w:t> </w:t>
      </w:r>
      <w:r>
        <w:rPr>
          <w:spacing w:val="-2"/>
        </w:rPr>
        <w:t>Institutions</w:t>
      </w:r>
      <w:r>
        <w:rPr/>
        <w:tab/>
      </w:r>
      <w:r>
        <w:rPr>
          <w:spacing w:val="-5"/>
        </w:rPr>
        <w:t>78</w:t>
      </w:r>
    </w:p>
    <w:p>
      <w:pPr>
        <w:pStyle w:val="BodyText"/>
        <w:tabs>
          <w:tab w:pos="10719" w:val="right" w:leader="none"/>
        </w:tabs>
        <w:spacing w:before="106"/>
        <w:ind w:left="1439"/>
      </w:pPr>
      <w:r>
        <w:rPr>
          <w:w w:val="90"/>
        </w:rPr>
        <w:t>Legal</w:t>
      </w:r>
      <w:r>
        <w:rPr>
          <w:spacing w:val="-7"/>
        </w:rPr>
        <w:t> </w:t>
      </w:r>
      <w:r>
        <w:rPr>
          <w:spacing w:val="-2"/>
        </w:rPr>
        <w:t>Education</w:t>
      </w:r>
      <w:r>
        <w:rPr/>
        <w:tab/>
      </w:r>
      <w:r>
        <w:rPr>
          <w:spacing w:val="-5"/>
        </w:rPr>
        <w:t>79</w:t>
      </w:r>
    </w:p>
    <w:p>
      <w:pPr>
        <w:pStyle w:val="BodyText"/>
        <w:tabs>
          <w:tab w:pos="10719" w:val="right" w:leader="none"/>
        </w:tabs>
        <w:spacing w:before="107"/>
        <w:ind w:left="1439"/>
      </w:pPr>
      <w:r>
        <w:rPr>
          <w:spacing w:val="-6"/>
        </w:rPr>
        <w:t>Medical</w:t>
      </w:r>
      <w:r>
        <w:rPr>
          <w:spacing w:val="-3"/>
        </w:rPr>
        <w:t> </w:t>
      </w:r>
      <w:r>
        <w:rPr>
          <w:spacing w:val="-2"/>
        </w:rPr>
        <w:t>Education</w:t>
      </w:r>
      <w:r>
        <w:rPr/>
        <w:tab/>
      </w:r>
      <w:r>
        <w:rPr>
          <w:spacing w:val="-5"/>
        </w:rPr>
        <w:t>82</w:t>
      </w:r>
    </w:p>
    <w:p>
      <w:pPr>
        <w:pStyle w:val="BodyText"/>
        <w:tabs>
          <w:tab w:pos="10719" w:val="right" w:leader="none"/>
        </w:tabs>
        <w:spacing w:before="106"/>
        <w:ind w:left="1439"/>
      </w:pPr>
      <w:r>
        <w:rPr>
          <w:spacing w:val="-4"/>
        </w:rPr>
        <w:t>Management</w:t>
      </w:r>
      <w:r>
        <w:rPr>
          <w:spacing w:val="2"/>
        </w:rPr>
        <w:t> </w:t>
      </w:r>
      <w:r>
        <w:rPr>
          <w:spacing w:val="-2"/>
        </w:rPr>
        <w:t>Education</w:t>
      </w:r>
      <w:r>
        <w:rPr/>
        <w:tab/>
      </w:r>
      <w:r>
        <w:rPr>
          <w:spacing w:val="-5"/>
        </w:rPr>
        <w:t>85</w:t>
      </w:r>
    </w:p>
    <w:p>
      <w:pPr>
        <w:pStyle w:val="BodyText"/>
        <w:tabs>
          <w:tab w:pos="10719" w:val="right" w:leader="none"/>
        </w:tabs>
        <w:spacing w:before="106"/>
        <w:ind w:left="1439"/>
      </w:pPr>
      <w:r>
        <w:rPr>
          <w:spacing w:val="-5"/>
        </w:rPr>
        <w:t>Engineering</w:t>
      </w:r>
      <w:r>
        <w:rPr>
          <w:spacing w:val="-1"/>
        </w:rPr>
        <w:t> </w:t>
      </w:r>
      <w:r>
        <w:rPr>
          <w:spacing w:val="-2"/>
        </w:rPr>
        <w:t>Education</w:t>
      </w:r>
      <w:r>
        <w:rPr/>
        <w:tab/>
      </w:r>
      <w:r>
        <w:rPr>
          <w:spacing w:val="-5"/>
        </w:rPr>
        <w:t>88</w:t>
      </w:r>
    </w:p>
    <w:p>
      <w:pPr>
        <w:pStyle w:val="BodyText"/>
        <w:tabs>
          <w:tab w:pos="10719" w:val="right" w:leader="none"/>
        </w:tabs>
        <w:spacing w:before="106"/>
        <w:ind w:left="1439"/>
      </w:pPr>
      <w:r>
        <w:rPr/>
        <w:t>Open</w:t>
      </w:r>
      <w:r>
        <w:rPr>
          <w:spacing w:val="-8"/>
        </w:rPr>
        <w:t> </w:t>
      </w:r>
      <w:r>
        <w:rPr/>
        <w:t>and</w:t>
      </w:r>
      <w:r>
        <w:rPr>
          <w:spacing w:val="-8"/>
        </w:rPr>
        <w:t> </w:t>
      </w:r>
      <w:r>
        <w:rPr/>
        <w:t>Distance</w:t>
      </w:r>
      <w:r>
        <w:rPr>
          <w:spacing w:val="-7"/>
        </w:rPr>
        <w:t> </w:t>
      </w:r>
      <w:r>
        <w:rPr>
          <w:spacing w:val="-2"/>
        </w:rPr>
        <w:t>Education</w:t>
      </w:r>
      <w:r>
        <w:rPr/>
        <w:tab/>
      </w:r>
      <w:r>
        <w:rPr>
          <w:spacing w:val="-5"/>
        </w:rPr>
        <w:t>91</w:t>
      </w:r>
    </w:p>
    <w:p>
      <w:pPr>
        <w:pStyle w:val="BodyText"/>
        <w:tabs>
          <w:tab w:pos="10719" w:val="right" w:leader="none"/>
        </w:tabs>
        <w:spacing w:before="106"/>
        <w:ind w:left="1439"/>
      </w:pPr>
      <w:r>
        <w:rPr>
          <w:spacing w:val="-2"/>
        </w:rPr>
        <w:t>Open</w:t>
      </w:r>
      <w:r>
        <w:rPr/>
        <w:t> </w:t>
      </w:r>
      <w:r>
        <w:rPr>
          <w:spacing w:val="-2"/>
        </w:rPr>
        <w:t>Educational</w:t>
      </w:r>
      <w:r>
        <w:rPr>
          <w:spacing w:val="1"/>
        </w:rPr>
        <w:t> </w:t>
      </w:r>
      <w:r>
        <w:rPr>
          <w:spacing w:val="-2"/>
        </w:rPr>
        <w:t>Resources</w:t>
      </w:r>
      <w:r>
        <w:rPr/>
        <w:tab/>
      </w:r>
      <w:r>
        <w:rPr>
          <w:spacing w:val="-7"/>
        </w:rPr>
        <w:t>94</w:t>
      </w:r>
    </w:p>
    <w:p>
      <w:pPr>
        <w:pStyle w:val="BodyText"/>
        <w:tabs>
          <w:tab w:pos="10719" w:val="right" w:leader="none"/>
        </w:tabs>
        <w:spacing w:before="107"/>
        <w:ind w:left="1439"/>
      </w:pPr>
      <w:r>
        <w:rPr>
          <w:spacing w:val="-2"/>
        </w:rPr>
        <w:t>More</w:t>
      </w:r>
      <w:r>
        <w:rPr>
          <w:spacing w:val="-12"/>
        </w:rPr>
        <w:t> </w:t>
      </w:r>
      <w:r>
        <w:rPr>
          <w:spacing w:val="-2"/>
        </w:rPr>
        <w:t>Talented</w:t>
      </w:r>
      <w:r>
        <w:rPr>
          <w:spacing w:val="-12"/>
        </w:rPr>
        <w:t> </w:t>
      </w:r>
      <w:r>
        <w:rPr>
          <w:spacing w:val="-2"/>
        </w:rPr>
        <w:t>Students</w:t>
      </w:r>
      <w:r>
        <w:rPr>
          <w:spacing w:val="-8"/>
        </w:rPr>
        <w:t> </w:t>
      </w:r>
      <w:r>
        <w:rPr>
          <w:spacing w:val="-2"/>
        </w:rPr>
        <w:t>in</w:t>
      </w:r>
      <w:r>
        <w:rPr>
          <w:spacing w:val="-7"/>
        </w:rPr>
        <w:t> </w:t>
      </w:r>
      <w:r>
        <w:rPr>
          <w:spacing w:val="-2"/>
        </w:rPr>
        <w:t>Maths</w:t>
      </w:r>
      <w:r>
        <w:rPr>
          <w:spacing w:val="-8"/>
        </w:rPr>
        <w:t> </w:t>
      </w:r>
      <w:r>
        <w:rPr>
          <w:spacing w:val="-2"/>
        </w:rPr>
        <w:t>and</w:t>
      </w:r>
      <w:r>
        <w:rPr>
          <w:spacing w:val="-7"/>
        </w:rPr>
        <w:t> </w:t>
      </w:r>
      <w:r>
        <w:rPr>
          <w:spacing w:val="-2"/>
        </w:rPr>
        <w:t>Science</w:t>
      </w:r>
      <w:r>
        <w:rPr/>
        <w:tab/>
      </w:r>
      <w:r>
        <w:rPr>
          <w:spacing w:val="-5"/>
        </w:rPr>
        <w:t>96</w:t>
      </w:r>
    </w:p>
    <w:p>
      <w:pPr>
        <w:pStyle w:val="BodyText"/>
        <w:tabs>
          <w:tab w:pos="10719" w:val="right" w:leader="none"/>
        </w:tabs>
        <w:spacing w:before="106"/>
        <w:ind w:left="1439"/>
      </w:pPr>
      <w:r>
        <w:rPr>
          <w:spacing w:val="-2"/>
        </w:rPr>
        <w:t>Note</w:t>
      </w:r>
      <w:r>
        <w:rPr>
          <w:spacing w:val="-8"/>
        </w:rPr>
        <w:t> </w:t>
      </w:r>
      <w:r>
        <w:rPr>
          <w:spacing w:val="-2"/>
        </w:rPr>
        <w:t>on</w:t>
      </w:r>
      <w:r>
        <w:rPr>
          <w:spacing w:val="-4"/>
        </w:rPr>
        <w:t> </w:t>
      </w:r>
      <w:r>
        <w:rPr>
          <w:spacing w:val="-2"/>
        </w:rPr>
        <w:t>More</w:t>
      </w:r>
      <w:r>
        <w:rPr>
          <w:spacing w:val="-12"/>
        </w:rPr>
        <w:t> </w:t>
      </w:r>
      <w:r>
        <w:rPr>
          <w:spacing w:val="-2"/>
        </w:rPr>
        <w:t>Talented</w:t>
      </w:r>
      <w:r>
        <w:rPr>
          <w:spacing w:val="-4"/>
        </w:rPr>
        <w:t> </w:t>
      </w:r>
      <w:r>
        <w:rPr>
          <w:spacing w:val="-2"/>
        </w:rPr>
        <w:t>Students</w:t>
      </w:r>
      <w:r>
        <w:rPr>
          <w:spacing w:val="-4"/>
        </w:rPr>
        <w:t> </w:t>
      </w:r>
      <w:r>
        <w:rPr>
          <w:spacing w:val="-2"/>
        </w:rPr>
        <w:t>in</w:t>
      </w:r>
      <w:r>
        <w:rPr>
          <w:spacing w:val="-4"/>
        </w:rPr>
        <w:t> </w:t>
      </w:r>
      <w:r>
        <w:rPr>
          <w:spacing w:val="-2"/>
        </w:rPr>
        <w:t>Maths</w:t>
      </w:r>
      <w:r>
        <w:rPr>
          <w:spacing w:val="-4"/>
        </w:rPr>
        <w:t> </w:t>
      </w:r>
      <w:r>
        <w:rPr>
          <w:spacing w:val="-2"/>
        </w:rPr>
        <w:t>and</w:t>
      </w:r>
      <w:r>
        <w:rPr>
          <w:spacing w:val="-4"/>
        </w:rPr>
        <w:t> </w:t>
      </w:r>
      <w:r>
        <w:rPr>
          <w:spacing w:val="-2"/>
        </w:rPr>
        <w:t>Science</w:t>
      </w:r>
      <w:r>
        <w:rPr/>
        <w:tab/>
      </w:r>
      <w:r>
        <w:rPr>
          <w:spacing w:val="-5"/>
        </w:rPr>
        <w:t>99</w:t>
      </w:r>
    </w:p>
    <w:p>
      <w:pPr>
        <w:pStyle w:val="BodyText"/>
        <w:tabs>
          <w:tab w:pos="10719" w:val="right" w:leader="none"/>
        </w:tabs>
        <w:spacing w:before="106"/>
        <w:ind w:left="1440"/>
      </w:pPr>
      <w:r>
        <w:rPr>
          <w:spacing w:val="-2"/>
        </w:rPr>
        <w:t>More</w:t>
      </w:r>
      <w:r>
        <w:rPr>
          <w:spacing w:val="-5"/>
        </w:rPr>
        <w:t> </w:t>
      </w:r>
      <w:r>
        <w:rPr>
          <w:spacing w:val="-2"/>
        </w:rPr>
        <w:t>Quality</w:t>
      </w:r>
      <w:r>
        <w:rPr>
          <w:spacing w:val="-4"/>
        </w:rPr>
        <w:t> </w:t>
      </w:r>
      <w:r>
        <w:rPr>
          <w:spacing w:val="-2"/>
        </w:rPr>
        <w:t>Ph.Ds</w:t>
      </w:r>
      <w:r>
        <w:rPr/>
        <w:tab/>
      </w:r>
      <w:r>
        <w:rPr>
          <w:spacing w:val="-5"/>
        </w:rPr>
        <w:t>111</w:t>
      </w:r>
    </w:p>
    <w:p>
      <w:pPr>
        <w:pStyle w:val="BodyText"/>
        <w:tabs>
          <w:tab w:pos="10719" w:val="right" w:leader="none"/>
        </w:tabs>
        <w:spacing w:before="106"/>
        <w:ind w:left="1439"/>
      </w:pPr>
      <w:r>
        <w:rPr/>
        <w:t>Note</w:t>
      </w:r>
      <w:r>
        <w:rPr>
          <w:spacing w:val="-8"/>
        </w:rPr>
        <w:t> </w:t>
      </w:r>
      <w:r>
        <w:rPr/>
        <w:t>on</w:t>
      </w:r>
      <w:r>
        <w:rPr>
          <w:spacing w:val="-8"/>
        </w:rPr>
        <w:t> </w:t>
      </w:r>
      <w:r>
        <w:rPr/>
        <w:t>More</w:t>
      </w:r>
      <w:r>
        <w:rPr>
          <w:spacing w:val="-8"/>
        </w:rPr>
        <w:t> </w:t>
      </w:r>
      <w:r>
        <w:rPr/>
        <w:t>Quality</w:t>
      </w:r>
      <w:r>
        <w:rPr>
          <w:spacing w:val="-7"/>
        </w:rPr>
        <w:t> </w:t>
      </w:r>
      <w:r>
        <w:rPr>
          <w:spacing w:val="-2"/>
        </w:rPr>
        <w:t>Ph.Ds</w:t>
      </w:r>
      <w:r>
        <w:rPr/>
        <w:tab/>
      </w:r>
      <w:r>
        <w:rPr>
          <w:spacing w:val="-5"/>
        </w:rPr>
        <w:t>114</w:t>
      </w:r>
    </w:p>
    <w:p>
      <w:pPr>
        <w:spacing w:after="0"/>
        <w:sectPr>
          <w:pgSz w:w="11910" w:h="16840"/>
          <w:pgMar w:header="0" w:footer="0" w:top="0" w:bottom="280" w:left="0" w:right="0"/>
        </w:sectPr>
      </w:pPr>
    </w:p>
    <w:sdt>
      <w:sdtPr>
        <w:docPartObj>
          <w:docPartGallery w:val="Table of Contents"/>
          <w:docPartUnique/>
        </w:docPartObj>
      </w:sdtPr>
      <w:sdtEndPr/>
      <w:sdtContent>
        <w:p>
          <w:pPr>
            <w:pStyle w:val="TOC1"/>
            <w:tabs>
              <w:tab w:pos="10719" w:val="right" w:leader="none"/>
            </w:tabs>
            <w:spacing w:before="57"/>
          </w:pPr>
          <w:hyperlink w:history="true" w:anchor="_TOC_250004">
            <w:r>
              <w:rPr>
                <w:spacing w:val="-2"/>
              </w:rPr>
              <w:t>CREATION</w:t>
            </w:r>
            <w:r>
              <w:rPr/>
              <w:tab/>
            </w:r>
            <w:r>
              <w:rPr>
                <w:spacing w:val="-5"/>
              </w:rPr>
              <w:t>129</w:t>
            </w:r>
          </w:hyperlink>
        </w:p>
        <w:p>
          <w:pPr>
            <w:pStyle w:val="TOC2"/>
            <w:tabs>
              <w:tab w:pos="10719" w:val="right" w:leader="none"/>
            </w:tabs>
          </w:pPr>
          <w:hyperlink w:history="true" w:anchor="_TOC_250003">
            <w:r>
              <w:rPr>
                <w:spacing w:val="-6"/>
              </w:rPr>
              <w:t>National</w:t>
            </w:r>
            <w:r>
              <w:rPr/>
              <w:t> </w:t>
            </w:r>
            <w:r>
              <w:rPr>
                <w:spacing w:val="-6"/>
              </w:rPr>
              <w:t>Science</w:t>
            </w:r>
            <w:r>
              <w:rPr/>
              <w:t> </w:t>
            </w:r>
            <w:r>
              <w:rPr>
                <w:spacing w:val="-6"/>
              </w:rPr>
              <w:t>and</w:t>
            </w:r>
            <w:r>
              <w:rPr>
                <w:spacing w:val="1"/>
              </w:rPr>
              <w:t> </w:t>
            </w:r>
            <w:r>
              <w:rPr>
                <w:spacing w:val="-6"/>
              </w:rPr>
              <w:t>Social</w:t>
            </w:r>
            <w:r>
              <w:rPr/>
              <w:t> </w:t>
            </w:r>
            <w:r>
              <w:rPr>
                <w:spacing w:val="-6"/>
              </w:rPr>
              <w:t>Science</w:t>
            </w:r>
            <w:r>
              <w:rPr>
                <w:spacing w:val="1"/>
              </w:rPr>
              <w:t> </w:t>
            </w:r>
            <w:r>
              <w:rPr>
                <w:spacing w:val="-6"/>
              </w:rPr>
              <w:t>Foundation</w:t>
            </w:r>
            <w:r>
              <w:rPr/>
              <w:tab/>
            </w:r>
            <w:r>
              <w:rPr>
                <w:spacing w:val="-5"/>
              </w:rPr>
              <w:t>131</w:t>
            </w:r>
          </w:hyperlink>
        </w:p>
        <w:p>
          <w:pPr>
            <w:pStyle w:val="TOC2"/>
            <w:tabs>
              <w:tab w:pos="10719" w:val="right" w:leader="none"/>
            </w:tabs>
          </w:pPr>
          <w:r>
            <w:rPr>
              <w:spacing w:val="-4"/>
            </w:rPr>
            <w:t>Legal</w:t>
          </w:r>
          <w:r>
            <w:rPr>
              <w:spacing w:val="-10"/>
            </w:rPr>
            <w:t> </w:t>
          </w:r>
          <w:r>
            <w:rPr>
              <w:spacing w:val="-4"/>
            </w:rPr>
            <w:t>Framework</w:t>
          </w:r>
          <w:r>
            <w:rPr>
              <w:spacing w:val="-9"/>
            </w:rPr>
            <w:t> </w:t>
          </w:r>
          <w:r>
            <w:rPr>
              <w:spacing w:val="-4"/>
            </w:rPr>
            <w:t>for</w:t>
          </w:r>
          <w:r>
            <w:rPr>
              <w:spacing w:val="-10"/>
            </w:rPr>
            <w:t> </w:t>
          </w:r>
          <w:r>
            <w:rPr>
              <w:spacing w:val="-4"/>
            </w:rPr>
            <w:t>Public</w:t>
          </w:r>
          <w:r>
            <w:rPr>
              <w:spacing w:val="-9"/>
            </w:rPr>
            <w:t> </w:t>
          </w:r>
          <w:r>
            <w:rPr>
              <w:spacing w:val="-4"/>
            </w:rPr>
            <w:t>Funded</w:t>
          </w:r>
          <w:r>
            <w:rPr>
              <w:spacing w:val="-10"/>
            </w:rPr>
            <w:t> </w:t>
          </w:r>
          <w:r>
            <w:rPr>
              <w:spacing w:val="-4"/>
            </w:rPr>
            <w:t>Research</w:t>
          </w:r>
          <w:r>
            <w:rPr/>
            <w:tab/>
          </w:r>
          <w:r>
            <w:rPr>
              <w:spacing w:val="-5"/>
            </w:rPr>
            <w:t>133</w:t>
          </w:r>
        </w:p>
        <w:p>
          <w:pPr>
            <w:pStyle w:val="TOC2"/>
            <w:tabs>
              <w:tab w:pos="10719" w:val="right" w:leader="none"/>
            </w:tabs>
          </w:pPr>
          <w:hyperlink w:history="true" w:anchor="_TOC_250002">
            <w:r>
              <w:rPr>
                <w:spacing w:val="-4"/>
              </w:rPr>
              <w:t>Intellectual</w:t>
            </w:r>
            <w:r>
              <w:rPr>
                <w:spacing w:val="-2"/>
              </w:rPr>
              <w:t> </w:t>
            </w:r>
            <w:r>
              <w:rPr>
                <w:spacing w:val="-4"/>
              </w:rPr>
              <w:t>Property</w:t>
            </w:r>
            <w:r>
              <w:rPr>
                <w:spacing w:val="-2"/>
              </w:rPr>
              <w:t> </w:t>
            </w:r>
            <w:r>
              <w:rPr>
                <w:spacing w:val="-4"/>
              </w:rPr>
              <w:t>Rights</w:t>
            </w:r>
            <w:r>
              <w:rPr/>
              <w:tab/>
            </w:r>
            <w:r>
              <w:rPr>
                <w:spacing w:val="-5"/>
              </w:rPr>
              <w:t>135</w:t>
            </w:r>
          </w:hyperlink>
        </w:p>
        <w:p>
          <w:pPr>
            <w:pStyle w:val="TOC2"/>
            <w:tabs>
              <w:tab w:pos="10719" w:val="right" w:leader="none"/>
            </w:tabs>
          </w:pPr>
          <w:hyperlink w:history="true" w:anchor="_TOC_250001">
            <w:r>
              <w:rPr>
                <w:spacing w:val="-2"/>
              </w:rPr>
              <w:t>Innovation</w:t>
            </w:r>
            <w:r>
              <w:rPr/>
              <w:tab/>
            </w:r>
            <w:r>
              <w:rPr>
                <w:spacing w:val="-5"/>
              </w:rPr>
              <w:t>140</w:t>
            </w:r>
          </w:hyperlink>
        </w:p>
        <w:p>
          <w:pPr>
            <w:pStyle w:val="TOC2"/>
            <w:tabs>
              <w:tab w:pos="10719" w:val="right" w:leader="none"/>
            </w:tabs>
          </w:pPr>
          <w:hyperlink w:history="true" w:anchor="_TOC_250000">
            <w:r>
              <w:rPr>
                <w:spacing w:val="-2"/>
              </w:rPr>
              <w:t>Entrepreneurship</w:t>
            </w:r>
            <w:r>
              <w:rPr/>
              <w:tab/>
            </w:r>
            <w:r>
              <w:rPr>
                <w:spacing w:val="-5"/>
              </w:rPr>
              <w:t>141</w:t>
            </w:r>
          </w:hyperlink>
        </w:p>
        <w:p>
          <w:pPr>
            <w:pStyle w:val="TOC1"/>
            <w:tabs>
              <w:tab w:pos="10719" w:val="right" w:leader="none"/>
            </w:tabs>
            <w:ind w:left="1079"/>
          </w:pPr>
          <w:r>
            <w:rPr>
              <w:spacing w:val="-2"/>
            </w:rPr>
            <w:t>APPLICATIONS</w:t>
          </w:r>
          <w:r>
            <w:rPr/>
            <w:tab/>
          </w:r>
          <w:r>
            <w:rPr>
              <w:spacing w:val="-5"/>
            </w:rPr>
            <w:t>143</w:t>
          </w:r>
        </w:p>
        <w:p>
          <w:pPr>
            <w:pStyle w:val="TOC2"/>
            <w:tabs>
              <w:tab w:pos="10719" w:val="right" w:leader="none"/>
            </w:tabs>
          </w:pPr>
          <w:r>
            <w:rPr>
              <w:spacing w:val="-2"/>
            </w:rPr>
            <w:t>Traditional</w:t>
          </w:r>
          <w:r>
            <w:rPr>
              <w:spacing w:val="-7"/>
            </w:rPr>
            <w:t> </w:t>
          </w:r>
          <w:r>
            <w:rPr>
              <w:spacing w:val="-2"/>
            </w:rPr>
            <w:t>Health</w:t>
          </w:r>
          <w:r>
            <w:rPr>
              <w:spacing w:val="-7"/>
            </w:rPr>
            <w:t> </w:t>
          </w:r>
          <w:r>
            <w:rPr>
              <w:spacing w:val="-2"/>
            </w:rPr>
            <w:t>Systems</w:t>
          </w:r>
          <w:r>
            <w:rPr/>
            <w:tab/>
          </w:r>
          <w:r>
            <w:rPr>
              <w:spacing w:val="-5"/>
            </w:rPr>
            <w:t>145</w:t>
          </w:r>
        </w:p>
        <w:p>
          <w:pPr>
            <w:pStyle w:val="TOC2"/>
            <w:tabs>
              <w:tab w:pos="10719" w:val="right" w:leader="none"/>
            </w:tabs>
            <w:spacing w:before="118"/>
          </w:pPr>
          <w:r>
            <w:rPr>
              <w:spacing w:val="-2"/>
            </w:rPr>
            <w:t>Agriculture</w:t>
          </w:r>
          <w:r>
            <w:rPr/>
            <w:tab/>
          </w:r>
          <w:r>
            <w:rPr>
              <w:spacing w:val="-5"/>
            </w:rPr>
            <w:t>148</w:t>
          </w:r>
        </w:p>
        <w:p>
          <w:pPr>
            <w:pStyle w:val="TOC2"/>
            <w:tabs>
              <w:tab w:pos="10719" w:val="right" w:leader="none"/>
            </w:tabs>
          </w:pPr>
          <w:r>
            <w:rPr>
              <w:spacing w:val="-2"/>
            </w:rPr>
            <w:t>Enhancing</w:t>
          </w:r>
          <w:r>
            <w:rPr>
              <w:spacing w:val="-5"/>
            </w:rPr>
            <w:t> </w:t>
          </w:r>
          <w:r>
            <w:rPr>
              <w:spacing w:val="-2"/>
            </w:rPr>
            <w:t>Quality</w:t>
          </w:r>
          <w:r>
            <w:rPr>
              <w:spacing w:val="-4"/>
            </w:rPr>
            <w:t> </w:t>
          </w:r>
          <w:r>
            <w:rPr>
              <w:spacing w:val="-2"/>
            </w:rPr>
            <w:t>of</w:t>
          </w:r>
          <w:r>
            <w:rPr>
              <w:spacing w:val="-4"/>
            </w:rPr>
            <w:t> Life</w:t>
          </w:r>
          <w:r>
            <w:rPr/>
            <w:tab/>
          </w:r>
          <w:r>
            <w:rPr>
              <w:spacing w:val="-5"/>
            </w:rPr>
            <w:t>152</w:t>
          </w:r>
        </w:p>
        <w:p>
          <w:pPr>
            <w:pStyle w:val="TOC1"/>
            <w:tabs>
              <w:tab w:pos="10719" w:val="right" w:leader="none"/>
            </w:tabs>
            <w:ind w:left="1079"/>
          </w:pPr>
          <w:r>
            <w:rPr>
              <w:spacing w:val="-2"/>
            </w:rPr>
            <w:t>SERVICES</w:t>
          </w:r>
          <w:r>
            <w:rPr/>
            <w:tab/>
          </w:r>
          <w:r>
            <w:rPr>
              <w:spacing w:val="-5"/>
            </w:rPr>
            <w:t>157</w:t>
          </w:r>
        </w:p>
        <w:p>
          <w:pPr>
            <w:pStyle w:val="TOC2"/>
            <w:tabs>
              <w:tab w:pos="10719" w:val="right" w:leader="none"/>
            </w:tabs>
            <w:spacing w:before="27"/>
          </w:pPr>
          <w:r>
            <w:rPr>
              <w:spacing w:val="-7"/>
            </w:rPr>
            <w:t>E-</w:t>
          </w:r>
          <w:r>
            <w:rPr>
              <w:spacing w:val="-2"/>
            </w:rPr>
            <w:t>governance</w:t>
          </w:r>
          <w:r>
            <w:rPr/>
            <w:tab/>
          </w:r>
          <w:r>
            <w:rPr>
              <w:spacing w:val="-5"/>
            </w:rPr>
            <w:t>159</w:t>
          </w:r>
        </w:p>
        <w:p>
          <w:pPr>
            <w:pStyle w:val="TOC1"/>
            <w:tabs>
              <w:tab w:pos="10719" w:val="right" w:leader="none"/>
            </w:tabs>
          </w:pPr>
          <w:r>
            <w:rPr>
              <w:color w:val="2E614A"/>
              <w:spacing w:val="-11"/>
            </w:rPr>
            <w:t>NKC:</w:t>
          </w:r>
          <w:r>
            <w:rPr>
              <w:color w:val="2E614A"/>
              <w:spacing w:val="1"/>
            </w:rPr>
            <w:t> </w:t>
          </w:r>
          <w:r>
            <w:rPr>
              <w:color w:val="2E614A"/>
              <w:spacing w:val="-2"/>
            </w:rPr>
            <w:t>IMPACT</w:t>
          </w:r>
          <w:r>
            <w:rPr>
              <w:color w:val="2E614A"/>
            </w:rPr>
            <w:tab/>
          </w:r>
          <w:r>
            <w:rPr>
              <w:spacing w:val="-5"/>
            </w:rPr>
            <w:t>163</w:t>
          </w:r>
        </w:p>
        <w:p>
          <w:pPr>
            <w:pStyle w:val="TOC2"/>
            <w:tabs>
              <w:tab w:pos="10719" w:val="right" w:leader="none"/>
            </w:tabs>
          </w:pPr>
          <w:r>
            <w:rPr>
              <w:spacing w:val="-6"/>
            </w:rPr>
            <w:t>Knowledge</w:t>
          </w:r>
          <w:r>
            <w:rPr>
              <w:spacing w:val="-8"/>
            </w:rPr>
            <w:t> </w:t>
          </w:r>
          <w:r>
            <w:rPr>
              <w:spacing w:val="-6"/>
            </w:rPr>
            <w:t>Initiatives</w:t>
          </w:r>
          <w:r>
            <w:rPr>
              <w:spacing w:val="-8"/>
            </w:rPr>
            <w:t> </w:t>
          </w:r>
          <w:r>
            <w:rPr>
              <w:spacing w:val="-6"/>
            </w:rPr>
            <w:t>in</w:t>
          </w:r>
          <w:r>
            <w:rPr>
              <w:spacing w:val="-7"/>
            </w:rPr>
            <w:t> </w:t>
          </w:r>
          <w:r>
            <w:rPr>
              <w:spacing w:val="-6"/>
            </w:rPr>
            <w:t>the</w:t>
          </w:r>
          <w:r>
            <w:rPr>
              <w:spacing w:val="-7"/>
            </w:rPr>
            <w:t> </w:t>
          </w:r>
          <w:r>
            <w:rPr>
              <w:spacing w:val="-6"/>
            </w:rPr>
            <w:t>Eleventh</w:t>
          </w:r>
          <w:r>
            <w:rPr>
              <w:spacing w:val="-7"/>
            </w:rPr>
            <w:t> </w:t>
          </w:r>
          <w:r>
            <w:rPr>
              <w:spacing w:val="-6"/>
            </w:rPr>
            <w:t>Five</w:t>
          </w:r>
          <w:r>
            <w:rPr>
              <w:spacing w:val="-8"/>
            </w:rPr>
            <w:t> </w:t>
          </w:r>
          <w:r>
            <w:rPr>
              <w:spacing w:val="-6"/>
            </w:rPr>
            <w:t>Year Plan</w:t>
          </w:r>
          <w:r>
            <w:rPr/>
            <w:tab/>
          </w:r>
          <w:r>
            <w:rPr>
              <w:spacing w:val="-5"/>
            </w:rPr>
            <w:t>165</w:t>
          </w:r>
        </w:p>
        <w:p>
          <w:pPr>
            <w:pStyle w:val="TOC2"/>
            <w:tabs>
              <w:tab w:pos="10719" w:val="right" w:leader="none"/>
            </w:tabs>
          </w:pPr>
          <w:r>
            <w:rPr/>
            <w:t>Follow</w:t>
          </w:r>
          <w:r>
            <w:rPr>
              <w:spacing w:val="-13"/>
            </w:rPr>
            <w:t> </w:t>
          </w:r>
          <w:r>
            <w:rPr/>
            <w:t>Up</w:t>
          </w:r>
          <w:r>
            <w:rPr>
              <w:spacing w:val="-13"/>
            </w:rPr>
            <w:t> </w:t>
          </w:r>
          <w:r>
            <w:rPr/>
            <w:t>on</w:t>
          </w:r>
          <w:r>
            <w:rPr>
              <w:spacing w:val="-13"/>
            </w:rPr>
            <w:t> </w:t>
          </w:r>
          <w:r>
            <w:rPr/>
            <w:t>NKC</w:t>
          </w:r>
          <w:r>
            <w:rPr>
              <w:spacing w:val="-13"/>
            </w:rPr>
            <w:t> </w:t>
          </w:r>
          <w:r>
            <w:rPr>
              <w:spacing w:val="-2"/>
            </w:rPr>
            <w:t>Recommendations</w:t>
          </w:r>
          <w:r>
            <w:rPr/>
            <w:tab/>
          </w:r>
          <w:r>
            <w:rPr>
              <w:spacing w:val="-5"/>
            </w:rPr>
            <w:t>168</w:t>
          </w:r>
        </w:p>
        <w:p>
          <w:pPr>
            <w:pStyle w:val="TOC2"/>
            <w:tabs>
              <w:tab w:pos="10719" w:val="right" w:leader="none"/>
            </w:tabs>
          </w:pPr>
          <w:r>
            <w:rPr>
              <w:spacing w:val="-6"/>
            </w:rPr>
            <w:t>NKC: State</w:t>
          </w:r>
          <w:r>
            <w:rPr>
              <w:spacing w:val="-5"/>
            </w:rPr>
            <w:t> </w:t>
          </w:r>
          <w:r>
            <w:rPr>
              <w:spacing w:val="-6"/>
            </w:rPr>
            <w:t>Level</w:t>
          </w:r>
          <w:r>
            <w:rPr>
              <w:spacing w:val="-5"/>
            </w:rPr>
            <w:t> </w:t>
          </w:r>
          <w:r>
            <w:rPr>
              <w:spacing w:val="-6"/>
            </w:rPr>
            <w:t>Initiatives</w:t>
          </w:r>
          <w:r>
            <w:rPr/>
            <w:tab/>
          </w:r>
          <w:r>
            <w:rPr>
              <w:spacing w:val="-5"/>
            </w:rPr>
            <w:t>170</w:t>
          </w:r>
        </w:p>
        <w:p>
          <w:pPr>
            <w:pStyle w:val="TOC1"/>
            <w:tabs>
              <w:tab w:pos="10719" w:val="right" w:leader="none"/>
            </w:tabs>
          </w:pPr>
          <w:r>
            <w:rPr>
              <w:color w:val="2E614A"/>
              <w:spacing w:val="-8"/>
            </w:rPr>
            <w:t>ANNEXURE</w:t>
          </w:r>
          <w:r>
            <w:rPr>
              <w:color w:val="2E614A"/>
              <w:spacing w:val="-3"/>
            </w:rPr>
            <w:t> </w:t>
          </w:r>
          <w:r>
            <w:rPr>
              <w:color w:val="2E614A"/>
              <w:spacing w:val="-8"/>
            </w:rPr>
            <w:t>I:</w:t>
          </w:r>
          <w:r>
            <w:rPr>
              <w:color w:val="2E614A"/>
              <w:spacing w:val="-3"/>
            </w:rPr>
            <w:t> </w:t>
          </w:r>
          <w:r>
            <w:rPr>
              <w:color w:val="2E614A"/>
              <w:spacing w:val="-8"/>
            </w:rPr>
            <w:t>BASELINE</w:t>
          </w:r>
          <w:r>
            <w:rPr>
              <w:color w:val="2E614A"/>
            </w:rPr>
            <w:tab/>
          </w:r>
          <w:r>
            <w:rPr>
              <w:spacing w:val="-5"/>
            </w:rPr>
            <w:t>171</w:t>
          </w:r>
        </w:p>
        <w:p>
          <w:pPr>
            <w:pStyle w:val="TOC1"/>
            <w:tabs>
              <w:tab w:pos="10719" w:val="right" w:leader="none"/>
            </w:tabs>
          </w:pPr>
          <w:r>
            <w:rPr>
              <w:color w:val="2E614A"/>
              <w:spacing w:val="-10"/>
            </w:rPr>
            <w:t>ANNEXURE</w:t>
          </w:r>
          <w:r>
            <w:rPr>
              <w:color w:val="2E614A"/>
              <w:spacing w:val="4"/>
            </w:rPr>
            <w:t> </w:t>
          </w:r>
          <w:r>
            <w:rPr>
              <w:color w:val="2E614A"/>
              <w:spacing w:val="-10"/>
            </w:rPr>
            <w:t>II:</w:t>
          </w:r>
          <w:r>
            <w:rPr>
              <w:color w:val="2E614A"/>
              <w:spacing w:val="4"/>
            </w:rPr>
            <w:t> </w:t>
          </w:r>
          <w:r>
            <w:rPr>
              <w:color w:val="2E614A"/>
              <w:spacing w:val="-10"/>
            </w:rPr>
            <w:t>CONSULTATIONS</w:t>
          </w:r>
          <w:r>
            <w:rPr>
              <w:color w:val="2E614A"/>
            </w:rPr>
            <w:tab/>
          </w:r>
          <w:r>
            <w:rPr>
              <w:spacing w:val="-5"/>
            </w:rPr>
            <w:t>219</w:t>
          </w:r>
        </w:p>
      </w:sdtContent>
    </w:sdt>
    <w:p>
      <w:pPr>
        <w:spacing w:after="0"/>
        <w:sectPr>
          <w:pgSz w:w="11910" w:h="16840"/>
          <w:pgMar w:header="0" w:footer="0" w:top="960" w:bottom="280" w:left="0" w:right="0"/>
        </w:sectPr>
      </w:pPr>
    </w:p>
    <w:p>
      <w:pPr>
        <w:pStyle w:val="BodyText"/>
        <w:spacing w:before="4"/>
        <w:rPr>
          <w:b/>
          <w:sz w:val="17"/>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38</wp:posOffset>
                </wp:positionV>
                <wp:extent cx="7560309" cy="1069213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560309" cy="10692130"/>
                        </a:xfrm>
                        <a:custGeom>
                          <a:avLst/>
                          <a:gdLst/>
                          <a:ahLst/>
                          <a:cxnLst/>
                          <a:rect l="l" t="t" r="r" b="b"/>
                          <a:pathLst>
                            <a:path w="7560309" h="10692130">
                              <a:moveTo>
                                <a:pt x="7559999" y="0"/>
                              </a:moveTo>
                              <a:lnTo>
                                <a:pt x="0" y="0"/>
                              </a:lnTo>
                              <a:lnTo>
                                <a:pt x="0" y="10691964"/>
                              </a:lnTo>
                              <a:lnTo>
                                <a:pt x="7559999" y="10691964"/>
                              </a:lnTo>
                              <a:lnTo>
                                <a:pt x="7559999" y="0"/>
                              </a:lnTo>
                              <a:close/>
                            </a:path>
                          </a:pathLst>
                        </a:custGeom>
                        <a:solidFill>
                          <a:srgbClr val="F5E7AB"/>
                        </a:solidFill>
                      </wps:spPr>
                      <wps:bodyPr wrap="square" lIns="0" tIns="0" rIns="0" bIns="0" rtlCol="0">
                        <a:prstTxWarp prst="textNoShape">
                          <a:avLst/>
                        </a:prstTxWarp>
                        <a:noAutofit/>
                      </wps:bodyPr>
                    </wps:wsp>
                  </a:graphicData>
                </a:graphic>
              </wp:anchor>
            </w:drawing>
          </mc:Choice>
          <mc:Fallback>
            <w:pict>
              <v:rect style="position:absolute;margin-left:0pt;margin-top:.003055pt;width:595.27557pt;height:841.88696pt;mso-position-horizontal-relative:page;mso-position-vertical-relative:page;z-index:15730688" id="docshape7" filled="true" fillcolor="#f5e7ab" stroked="false">
                <v:fill type="solid"/>
                <w10:wrap type="none"/>
              </v:rect>
            </w:pict>
          </mc:Fallback>
        </mc:AlternateContent>
      </w:r>
      <w:r>
        <w:rPr/>
        <w:drawing>
          <wp:anchor distT="0" distB="0" distL="0" distR="0" allowOverlap="1" layoutInCell="1" locked="0" behindDoc="0" simplePos="0" relativeHeight="15731200">
            <wp:simplePos x="0" y="0"/>
            <wp:positionH relativeFrom="page">
              <wp:posOffset>0</wp:posOffset>
            </wp:positionH>
            <wp:positionV relativeFrom="page">
              <wp:posOffset>38</wp:posOffset>
            </wp:positionV>
            <wp:extent cx="4223041" cy="10691964"/>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4223041" cy="10691964"/>
                    </a:xfrm>
                    <a:prstGeom prst="rect">
                      <a:avLst/>
                    </a:prstGeom>
                  </pic:spPr>
                </pic:pic>
              </a:graphicData>
            </a:graphic>
          </wp:anchor>
        </w:drawing>
      </w:r>
      <w:r>
        <w:rPr/>
        <mc:AlternateContent>
          <mc:Choice Requires="wps">
            <w:drawing>
              <wp:anchor distT="0" distB="0" distL="0" distR="0" allowOverlap="1" layoutInCell="1" locked="0" behindDoc="0" simplePos="0" relativeHeight="15731712">
                <wp:simplePos x="0" y="0"/>
                <wp:positionH relativeFrom="page">
                  <wp:posOffset>3191236</wp:posOffset>
                </wp:positionH>
                <wp:positionV relativeFrom="page">
                  <wp:posOffset>3356315</wp:posOffset>
                </wp:positionV>
                <wp:extent cx="1057910" cy="397954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057910" cy="3979545"/>
                        </a:xfrm>
                        <a:prstGeom prst="rect">
                          <a:avLst/>
                        </a:prstGeom>
                      </wps:spPr>
                      <wps:txbx>
                        <w:txbxContent>
                          <w:p>
                            <w:pPr>
                              <w:spacing w:before="20"/>
                              <w:ind w:left="20" w:right="0" w:firstLine="0"/>
                              <w:jc w:val="left"/>
                              <w:rPr>
                                <w:rFonts w:ascii="Trebuchet MS"/>
                                <w:b/>
                                <w:sz w:val="140"/>
                              </w:rPr>
                            </w:pPr>
                            <w:r>
                              <w:rPr>
                                <w:rFonts w:ascii="Trebuchet MS"/>
                                <w:b/>
                                <w:color w:val="E3C626"/>
                                <w:spacing w:val="-2"/>
                                <w:sz w:val="140"/>
                              </w:rPr>
                              <w:t>Overview</w:t>
                            </w:r>
                          </w:p>
                        </w:txbxContent>
                      </wps:txbx>
                      <wps:bodyPr wrap="square" lIns="0" tIns="0" rIns="0" bIns="0" rtlCol="0" vert="vert270">
                        <a:noAutofit/>
                      </wps:bodyPr>
                    </wps:wsp>
                  </a:graphicData>
                </a:graphic>
              </wp:anchor>
            </w:drawing>
          </mc:Choice>
          <mc:Fallback>
            <w:pict>
              <v:shape style="position:absolute;margin-left:251.278473pt;margin-top:264.276794pt;width:83.3pt;height:313.350pt;mso-position-horizontal-relative:page;mso-position-vertical-relative:page;z-index:15731712" type="#_x0000_t202" id="docshape8" filled="false" stroked="false">
                <v:textbox inset="0,0,0,0" style="layout-flow:vertical;mso-layout-flow-alt:bottom-to-top">
                  <w:txbxContent>
                    <w:p>
                      <w:pPr>
                        <w:spacing w:before="20"/>
                        <w:ind w:left="20" w:right="0" w:firstLine="0"/>
                        <w:jc w:val="left"/>
                        <w:rPr>
                          <w:rFonts w:ascii="Trebuchet MS"/>
                          <w:b/>
                          <w:sz w:val="140"/>
                        </w:rPr>
                      </w:pPr>
                      <w:r>
                        <w:rPr>
                          <w:rFonts w:ascii="Trebuchet MS"/>
                          <w:b/>
                          <w:color w:val="E3C626"/>
                          <w:spacing w:val="-2"/>
                          <w:sz w:val="140"/>
                        </w:rPr>
                        <w:t>Overview</w:t>
                      </w:r>
                    </w:p>
                  </w:txbxContent>
                </v:textbox>
                <w10:wrap type="none"/>
              </v:shape>
            </w:pict>
          </mc:Fallback>
        </mc:AlternateContent>
      </w:r>
    </w:p>
    <w:p>
      <w:pPr>
        <w:spacing w:after="0"/>
        <w:rPr>
          <w:sz w:val="17"/>
        </w:rPr>
        <w:sectPr>
          <w:pgSz w:w="11910" w:h="16840"/>
          <w:pgMar w:header="0" w:footer="0" w:top="0" w:bottom="0" w:left="0" w:right="0"/>
        </w:sectPr>
      </w:pPr>
    </w:p>
    <w:p>
      <w:pPr>
        <w:pStyle w:val="BodyText"/>
        <w:spacing w:before="4"/>
        <w:rPr>
          <w:b/>
          <w:sz w:val="17"/>
        </w:rPr>
      </w:pPr>
    </w:p>
    <w:p>
      <w:pPr>
        <w:spacing w:after="0"/>
        <w:rPr>
          <w:sz w:val="17"/>
        </w:rPr>
        <w:sectPr>
          <w:pgSz w:w="11910" w:h="16840"/>
          <w:pgMar w:header="0" w:footer="0" w:top="192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8"/>
        <w:rPr>
          <w:b/>
          <w:sz w:val="20"/>
        </w:rPr>
      </w:pPr>
    </w:p>
    <w:p>
      <w:pPr>
        <w:spacing w:after="0"/>
        <w:rPr>
          <w:sz w:val="20"/>
        </w:rPr>
        <w:sectPr>
          <w:footerReference w:type="default" r:id="rId13"/>
          <w:footerReference w:type="even" r:id="rId14"/>
          <w:pgSz w:w="11910" w:h="16840"/>
          <w:pgMar w:header="0" w:footer="675" w:top="0" w:bottom="860" w:left="0" w:right="0"/>
          <w:pgNumType w:start="3"/>
        </w:sectPr>
      </w:pPr>
    </w:p>
    <w:p>
      <w:pPr>
        <w:pStyle w:val="BodyText"/>
        <w:spacing w:line="266" w:lineRule="auto" w:before="82"/>
        <w:ind w:left="1787"/>
        <w:jc w:val="both"/>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ragraph">
                  <wp:posOffset>-2264058</wp:posOffset>
                </wp:positionV>
                <wp:extent cx="7560309" cy="175260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560309" cy="1752600"/>
                          <a:chExt cx="7560309" cy="1752600"/>
                        </a:xfrm>
                      </wpg:grpSpPr>
                      <pic:pic>
                        <pic:nvPicPr>
                          <pic:cNvPr id="22" name="Image 22"/>
                          <pic:cNvPicPr/>
                        </pic:nvPicPr>
                        <pic:blipFill>
                          <a:blip r:embed="rId11" cstate="print"/>
                          <a:stretch>
                            <a:fillRect/>
                          </a:stretch>
                        </pic:blipFill>
                        <pic:spPr>
                          <a:xfrm>
                            <a:off x="0" y="0"/>
                            <a:ext cx="7559999" cy="1752562"/>
                          </a:xfrm>
                          <a:prstGeom prst="rect">
                            <a:avLst/>
                          </a:prstGeom>
                        </pic:spPr>
                      </pic:pic>
                      <wps:wsp>
                        <wps:cNvPr id="23" name="Textbox 23"/>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pacing w:val="-2"/>
                                  <w:sz w:val="68"/>
                                </w:rPr>
                                <w:t>Introduction</w:t>
                              </w:r>
                            </w:p>
                          </w:txbxContent>
                        </wps:txbx>
                        <wps:bodyPr wrap="square" lIns="0" tIns="0" rIns="0" bIns="0" rtlCol="0">
                          <a:noAutofit/>
                        </wps:bodyPr>
                      </wps:wsp>
                    </wpg:wgp>
                  </a:graphicData>
                </a:graphic>
              </wp:anchor>
            </w:drawing>
          </mc:Choice>
          <mc:Fallback>
            <w:pict>
              <v:group style="position:absolute;margin-left:0pt;margin-top:-178.272308pt;width:595.3pt;height:138pt;mso-position-horizontal-relative:page;mso-position-vertical-relative:paragraph;z-index:15732224" id="docshapegroup18" coordorigin="0,-3565" coordsize="11906,2760">
                <v:shape style="position:absolute;left:0;top:-3566;width:11906;height:2760" type="#_x0000_t75" id="docshape19" stroked="false">
                  <v:imagedata r:id="rId11" o:title=""/>
                </v:shape>
                <v:shape style="position:absolute;left:0;top:-3566;width:11906;height:2760" type="#_x0000_t202" id="docshape20"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pacing w:val="-2"/>
                            <w:sz w:val="68"/>
                          </w:rPr>
                          <w:t>Introduction</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09312">
                <wp:simplePos x="0" y="0"/>
                <wp:positionH relativeFrom="page">
                  <wp:posOffset>685800</wp:posOffset>
                </wp:positionH>
                <wp:positionV relativeFrom="paragraph">
                  <wp:posOffset>-36942</wp:posOffset>
                </wp:positionV>
                <wp:extent cx="456565" cy="75755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56565" cy="757555"/>
                        </a:xfrm>
                        <a:prstGeom prst="rect">
                          <a:avLst/>
                        </a:prstGeom>
                      </wps:spPr>
                      <wps:txbx>
                        <w:txbxContent>
                          <w:p>
                            <w:pPr>
                              <w:spacing w:line="1135" w:lineRule="exact" w:before="0"/>
                              <w:ind w:left="0" w:right="0" w:firstLine="0"/>
                              <w:jc w:val="left"/>
                              <w:rPr>
                                <w:sz w:val="106"/>
                              </w:rPr>
                            </w:pPr>
                            <w:r>
                              <w:rPr>
                                <w:color w:val="9CBF3B"/>
                                <w:spacing w:val="-10"/>
                                <w:w w:val="90"/>
                                <w:sz w:val="106"/>
                              </w:rPr>
                              <w:t>K</w:t>
                            </w:r>
                          </w:p>
                        </w:txbxContent>
                      </wps:txbx>
                      <wps:bodyPr wrap="square" lIns="0" tIns="0" rIns="0" bIns="0" rtlCol="0">
                        <a:noAutofit/>
                      </wps:bodyPr>
                    </wps:wsp>
                  </a:graphicData>
                </a:graphic>
              </wp:anchor>
            </w:drawing>
          </mc:Choice>
          <mc:Fallback>
            <w:pict>
              <v:shape style="position:absolute;margin-left:54pt;margin-top:-2.90889pt;width:35.950pt;height:59.65pt;mso-position-horizontal-relative:page;mso-position-vertical-relative:paragraph;z-index:-24007168" type="#_x0000_t202" id="docshape21" filled="false" stroked="false">
                <v:textbox inset="0,0,0,0">
                  <w:txbxContent>
                    <w:p>
                      <w:pPr>
                        <w:spacing w:line="1135" w:lineRule="exact" w:before="0"/>
                        <w:ind w:left="0" w:right="0" w:firstLine="0"/>
                        <w:jc w:val="left"/>
                        <w:rPr>
                          <w:sz w:val="106"/>
                        </w:rPr>
                      </w:pPr>
                      <w:r>
                        <w:rPr>
                          <w:color w:val="9CBF3B"/>
                          <w:spacing w:val="-10"/>
                          <w:w w:val="90"/>
                          <w:sz w:val="106"/>
                        </w:rPr>
                        <w:t>K</w:t>
                      </w:r>
                    </w:p>
                  </w:txbxContent>
                </v:textbox>
                <w10:wrap type="none"/>
              </v:shape>
            </w:pict>
          </mc:Fallback>
        </mc:AlternateContent>
      </w:r>
      <w:r>
        <w:rPr>
          <w:spacing w:val="-8"/>
        </w:rPr>
        <w:t>nowledge</w:t>
      </w:r>
      <w:r>
        <w:rPr>
          <w:spacing w:val="-6"/>
        </w:rPr>
        <w:t> </w:t>
      </w:r>
      <w:r>
        <w:rPr>
          <w:spacing w:val="-8"/>
        </w:rPr>
        <w:t>has</w:t>
      </w:r>
      <w:r>
        <w:rPr>
          <w:spacing w:val="-6"/>
        </w:rPr>
        <w:t> </w:t>
      </w:r>
      <w:r>
        <w:rPr>
          <w:spacing w:val="-8"/>
        </w:rPr>
        <w:t>been</w:t>
      </w:r>
      <w:r>
        <w:rPr>
          <w:spacing w:val="-6"/>
        </w:rPr>
        <w:t> </w:t>
      </w:r>
      <w:r>
        <w:rPr>
          <w:spacing w:val="-8"/>
        </w:rPr>
        <w:t>recognised</w:t>
      </w:r>
      <w:r>
        <w:rPr>
          <w:spacing w:val="-5"/>
        </w:rPr>
        <w:t> </w:t>
      </w:r>
      <w:r>
        <w:rPr>
          <w:spacing w:val="-8"/>
        </w:rPr>
        <w:t>as</w:t>
      </w:r>
      <w:r>
        <w:rPr>
          <w:spacing w:val="-6"/>
        </w:rPr>
        <w:t> </w:t>
      </w:r>
      <w:r>
        <w:rPr>
          <w:spacing w:val="-8"/>
        </w:rPr>
        <w:t>the</w:t>
      </w:r>
      <w:r>
        <w:rPr>
          <w:spacing w:val="-6"/>
        </w:rPr>
        <w:t> </w:t>
      </w:r>
      <w:r>
        <w:rPr>
          <w:spacing w:val="-8"/>
        </w:rPr>
        <w:t>key</w:t>
      </w:r>
      <w:r>
        <w:rPr>
          <w:spacing w:val="-6"/>
        </w:rPr>
        <w:t> </w:t>
      </w:r>
      <w:r>
        <w:rPr>
          <w:spacing w:val="-8"/>
        </w:rPr>
        <w:t>driving </w:t>
      </w:r>
      <w:r>
        <w:rPr/>
        <w:t>force</w:t>
      </w:r>
      <w:r>
        <w:rPr>
          <w:spacing w:val="-10"/>
        </w:rPr>
        <w:t> </w:t>
      </w:r>
      <w:r>
        <w:rPr/>
        <w:t>in</w:t>
      </w:r>
      <w:r>
        <w:rPr>
          <w:spacing w:val="-10"/>
        </w:rPr>
        <w:t> </w:t>
      </w:r>
      <w:r>
        <w:rPr/>
        <w:t>the</w:t>
      </w:r>
      <w:r>
        <w:rPr>
          <w:spacing w:val="-10"/>
        </w:rPr>
        <w:t> </w:t>
      </w:r>
      <w:r>
        <w:rPr/>
        <w:t>21st</w:t>
      </w:r>
      <w:r>
        <w:rPr>
          <w:spacing w:val="-10"/>
        </w:rPr>
        <w:t> </w:t>
      </w:r>
      <w:r>
        <w:rPr/>
        <w:t>century</w:t>
      </w:r>
      <w:r>
        <w:rPr>
          <w:spacing w:val="-10"/>
        </w:rPr>
        <w:t> </w:t>
      </w:r>
      <w:r>
        <w:rPr/>
        <w:t>and</w:t>
      </w:r>
      <w:r>
        <w:rPr>
          <w:spacing w:val="-10"/>
        </w:rPr>
        <w:t> </w:t>
      </w:r>
      <w:r>
        <w:rPr/>
        <w:t>India’s</w:t>
      </w:r>
      <w:r>
        <w:rPr>
          <w:spacing w:val="-10"/>
        </w:rPr>
        <w:t> </w:t>
      </w:r>
      <w:r>
        <w:rPr/>
        <w:t>ability</w:t>
      </w:r>
      <w:r>
        <w:rPr>
          <w:spacing w:val="-10"/>
        </w:rPr>
        <w:t> </w:t>
      </w:r>
      <w:r>
        <w:rPr/>
        <w:t>to </w:t>
      </w:r>
      <w:r>
        <w:rPr>
          <w:spacing w:val="-2"/>
        </w:rPr>
        <w:t>emerge</w:t>
      </w:r>
      <w:r>
        <w:rPr>
          <w:spacing w:val="23"/>
        </w:rPr>
        <w:t> </w:t>
      </w:r>
      <w:r>
        <w:rPr>
          <w:spacing w:val="-2"/>
        </w:rPr>
        <w:t>as</w:t>
      </w:r>
      <w:r>
        <w:rPr>
          <w:spacing w:val="24"/>
        </w:rPr>
        <w:t> </w:t>
      </w:r>
      <w:r>
        <w:rPr>
          <w:spacing w:val="-2"/>
        </w:rPr>
        <w:t>a</w:t>
      </w:r>
      <w:r>
        <w:rPr>
          <w:spacing w:val="24"/>
        </w:rPr>
        <w:t> </w:t>
      </w:r>
      <w:r>
        <w:rPr>
          <w:spacing w:val="-2"/>
        </w:rPr>
        <w:t>globally</w:t>
      </w:r>
      <w:r>
        <w:rPr>
          <w:spacing w:val="24"/>
        </w:rPr>
        <w:t> </w:t>
      </w:r>
      <w:r>
        <w:rPr>
          <w:spacing w:val="-2"/>
        </w:rPr>
        <w:t>competitive</w:t>
      </w:r>
      <w:r>
        <w:rPr>
          <w:spacing w:val="24"/>
        </w:rPr>
        <w:t> </w:t>
      </w:r>
      <w:r>
        <w:rPr>
          <w:spacing w:val="-2"/>
        </w:rPr>
        <w:t>player</w:t>
      </w:r>
      <w:r>
        <w:rPr>
          <w:spacing w:val="24"/>
        </w:rPr>
        <w:t> </w:t>
      </w:r>
      <w:r>
        <w:rPr>
          <w:spacing w:val="-4"/>
        </w:rPr>
        <w:t>will</w:t>
      </w:r>
    </w:p>
    <w:p>
      <w:pPr>
        <w:pStyle w:val="BodyText"/>
        <w:spacing w:line="266" w:lineRule="auto"/>
        <w:ind w:left="1079"/>
        <w:jc w:val="both"/>
      </w:pPr>
      <w:r>
        <w:rPr>
          <w:spacing w:val="-10"/>
        </w:rPr>
        <w:t>substantially</w:t>
      </w:r>
      <w:r>
        <w:rPr>
          <w:spacing w:val="-4"/>
        </w:rPr>
        <w:t> </w:t>
      </w:r>
      <w:r>
        <w:rPr>
          <w:spacing w:val="-10"/>
        </w:rPr>
        <w:t>depend</w:t>
      </w:r>
      <w:r>
        <w:rPr/>
        <w:t> </w:t>
      </w:r>
      <w:r>
        <w:rPr>
          <w:spacing w:val="-10"/>
        </w:rPr>
        <w:t>on</w:t>
      </w:r>
      <w:r>
        <w:rPr/>
        <w:t> </w:t>
      </w:r>
      <w:r>
        <w:rPr>
          <w:spacing w:val="-10"/>
        </w:rPr>
        <w:t>its</w:t>
      </w:r>
      <w:r>
        <w:rPr/>
        <w:t> </w:t>
      </w:r>
      <w:r>
        <w:rPr>
          <w:spacing w:val="-10"/>
        </w:rPr>
        <w:t>knowledge</w:t>
      </w:r>
      <w:r>
        <w:rPr/>
        <w:t> </w:t>
      </w:r>
      <w:r>
        <w:rPr>
          <w:spacing w:val="-10"/>
        </w:rPr>
        <w:t>resources.</w:t>
      </w:r>
      <w:r>
        <w:rPr>
          <w:spacing w:val="-4"/>
        </w:rPr>
        <w:t> </w:t>
      </w:r>
      <w:r>
        <w:rPr>
          <w:spacing w:val="-10"/>
        </w:rPr>
        <w:t>To</w:t>
      </w:r>
      <w:r>
        <w:rPr/>
        <w:t> </w:t>
      </w:r>
      <w:r>
        <w:rPr>
          <w:spacing w:val="-10"/>
        </w:rPr>
        <w:t>foster generational</w:t>
      </w:r>
      <w:r>
        <w:rPr/>
        <w:t> </w:t>
      </w:r>
      <w:r>
        <w:rPr>
          <w:spacing w:val="-10"/>
        </w:rPr>
        <w:t>change,</w:t>
      </w:r>
      <w:r>
        <w:rPr/>
        <w:t> </w:t>
      </w:r>
      <w:r>
        <w:rPr>
          <w:spacing w:val="-10"/>
        </w:rPr>
        <w:t>a</w:t>
      </w:r>
      <w:r>
        <w:rPr/>
        <w:t> </w:t>
      </w:r>
      <w:r>
        <w:rPr>
          <w:spacing w:val="-10"/>
        </w:rPr>
        <w:t>systemic</w:t>
      </w:r>
      <w:r>
        <w:rPr/>
        <w:t> </w:t>
      </w:r>
      <w:r>
        <w:rPr>
          <w:spacing w:val="-10"/>
        </w:rPr>
        <w:t>transformation</w:t>
      </w:r>
      <w:r>
        <w:rPr/>
        <w:t> </w:t>
      </w:r>
      <w:r>
        <w:rPr>
          <w:spacing w:val="-10"/>
        </w:rPr>
        <w:t>is</w:t>
      </w:r>
      <w:r>
        <w:rPr/>
        <w:t> </w:t>
      </w:r>
      <w:r>
        <w:rPr>
          <w:spacing w:val="-10"/>
        </w:rPr>
        <w:t>required </w:t>
      </w:r>
      <w:r>
        <w:rPr>
          <w:spacing w:val="-8"/>
        </w:rPr>
        <w:t>that</w:t>
      </w:r>
      <w:r>
        <w:rPr>
          <w:spacing w:val="-6"/>
        </w:rPr>
        <w:t> </w:t>
      </w:r>
      <w:r>
        <w:rPr>
          <w:spacing w:val="-8"/>
        </w:rPr>
        <w:t>seeks</w:t>
      </w:r>
      <w:r>
        <w:rPr>
          <w:spacing w:val="-6"/>
        </w:rPr>
        <w:t> </w:t>
      </w:r>
      <w:r>
        <w:rPr>
          <w:spacing w:val="-8"/>
        </w:rPr>
        <w:t>to</w:t>
      </w:r>
      <w:r>
        <w:rPr>
          <w:spacing w:val="-6"/>
        </w:rPr>
        <w:t> </w:t>
      </w:r>
      <w:r>
        <w:rPr>
          <w:spacing w:val="-8"/>
        </w:rPr>
        <w:t>address</w:t>
      </w:r>
      <w:r>
        <w:rPr>
          <w:spacing w:val="-5"/>
        </w:rPr>
        <w:t> </w:t>
      </w:r>
      <w:r>
        <w:rPr>
          <w:spacing w:val="-8"/>
        </w:rPr>
        <w:t>the</w:t>
      </w:r>
      <w:r>
        <w:rPr>
          <w:spacing w:val="-6"/>
        </w:rPr>
        <w:t> </w:t>
      </w:r>
      <w:r>
        <w:rPr>
          <w:spacing w:val="-8"/>
        </w:rPr>
        <w:t>concerns</w:t>
      </w:r>
      <w:r>
        <w:rPr>
          <w:spacing w:val="-6"/>
        </w:rPr>
        <w:t> </w:t>
      </w:r>
      <w:r>
        <w:rPr>
          <w:spacing w:val="-8"/>
        </w:rPr>
        <w:t>of</w:t>
      </w:r>
      <w:r>
        <w:rPr>
          <w:spacing w:val="-6"/>
        </w:rPr>
        <w:t> </w:t>
      </w:r>
      <w:r>
        <w:rPr>
          <w:spacing w:val="-8"/>
        </w:rPr>
        <w:t>the</w:t>
      </w:r>
      <w:r>
        <w:rPr>
          <w:spacing w:val="-5"/>
        </w:rPr>
        <w:t> </w:t>
      </w:r>
      <w:r>
        <w:rPr>
          <w:spacing w:val="-8"/>
        </w:rPr>
        <w:t>entire</w:t>
      </w:r>
      <w:r>
        <w:rPr>
          <w:spacing w:val="-6"/>
        </w:rPr>
        <w:t> </w:t>
      </w:r>
      <w:r>
        <w:rPr>
          <w:spacing w:val="-8"/>
        </w:rPr>
        <w:t>knowledge </w:t>
      </w:r>
      <w:r>
        <w:rPr/>
        <w:t>spectrum.</w:t>
      </w:r>
      <w:r>
        <w:rPr>
          <w:spacing w:val="-14"/>
        </w:rPr>
        <w:t> </w:t>
      </w:r>
      <w:r>
        <w:rPr/>
        <w:t>This</w:t>
      </w:r>
      <w:r>
        <w:rPr>
          <w:spacing w:val="-14"/>
        </w:rPr>
        <w:t> </w:t>
      </w:r>
      <w:r>
        <w:rPr/>
        <w:t>massive</w:t>
      </w:r>
      <w:r>
        <w:rPr>
          <w:spacing w:val="-14"/>
        </w:rPr>
        <w:t> </w:t>
      </w:r>
      <w:r>
        <w:rPr/>
        <w:t>endeavour</w:t>
      </w:r>
      <w:r>
        <w:rPr>
          <w:spacing w:val="-13"/>
        </w:rPr>
        <w:t> </w:t>
      </w:r>
      <w:r>
        <w:rPr/>
        <w:t>involves</w:t>
      </w:r>
      <w:r>
        <w:rPr>
          <w:spacing w:val="-14"/>
        </w:rPr>
        <w:t> </w:t>
      </w:r>
      <w:r>
        <w:rPr/>
        <w:t>creating</w:t>
      </w:r>
      <w:r>
        <w:rPr>
          <w:spacing w:val="-14"/>
        </w:rPr>
        <w:t> </w:t>
      </w:r>
      <w:r>
        <w:rPr/>
        <w:t>a </w:t>
      </w:r>
      <w:r>
        <w:rPr>
          <w:spacing w:val="-6"/>
        </w:rPr>
        <w:t>roadmap</w:t>
      </w:r>
      <w:r>
        <w:rPr>
          <w:spacing w:val="-8"/>
        </w:rPr>
        <w:t> </w:t>
      </w:r>
      <w:r>
        <w:rPr>
          <w:spacing w:val="-6"/>
        </w:rPr>
        <w:t>for</w:t>
      </w:r>
      <w:r>
        <w:rPr>
          <w:spacing w:val="-8"/>
        </w:rPr>
        <w:t> </w:t>
      </w:r>
      <w:r>
        <w:rPr>
          <w:spacing w:val="-6"/>
        </w:rPr>
        <w:t>reform</w:t>
      </w:r>
      <w:r>
        <w:rPr>
          <w:spacing w:val="-8"/>
        </w:rPr>
        <w:t> </w:t>
      </w:r>
      <w:r>
        <w:rPr>
          <w:spacing w:val="-6"/>
        </w:rPr>
        <w:t>of</w:t>
      </w:r>
      <w:r>
        <w:rPr>
          <w:spacing w:val="-7"/>
        </w:rPr>
        <w:t> </w:t>
      </w:r>
      <w:r>
        <w:rPr>
          <w:spacing w:val="-6"/>
        </w:rPr>
        <w:t>the</w:t>
      </w:r>
      <w:r>
        <w:rPr>
          <w:spacing w:val="-8"/>
        </w:rPr>
        <w:t> </w:t>
      </w:r>
      <w:r>
        <w:rPr>
          <w:spacing w:val="-6"/>
        </w:rPr>
        <w:t>knowledge</w:t>
      </w:r>
      <w:r>
        <w:rPr>
          <w:spacing w:val="-8"/>
        </w:rPr>
        <w:t> </w:t>
      </w:r>
      <w:r>
        <w:rPr>
          <w:spacing w:val="-6"/>
        </w:rPr>
        <w:t>sector</w:t>
      </w:r>
      <w:r>
        <w:rPr>
          <w:spacing w:val="-8"/>
        </w:rPr>
        <w:t> </w:t>
      </w:r>
      <w:r>
        <w:rPr>
          <w:spacing w:val="-6"/>
        </w:rPr>
        <w:t>that</w:t>
      </w:r>
      <w:r>
        <w:rPr>
          <w:spacing w:val="-7"/>
        </w:rPr>
        <w:t> </w:t>
      </w:r>
      <w:r>
        <w:rPr>
          <w:spacing w:val="-6"/>
        </w:rPr>
        <w:t>focuses </w:t>
      </w:r>
      <w:r>
        <w:rPr/>
        <w:t>on enhancing access to knowledge, fundamentally </w:t>
      </w:r>
      <w:r>
        <w:rPr>
          <w:spacing w:val="-10"/>
        </w:rPr>
        <w:t>improving</w:t>
      </w:r>
      <w:r>
        <w:rPr>
          <w:spacing w:val="-4"/>
        </w:rPr>
        <w:t> </w:t>
      </w:r>
      <w:r>
        <w:rPr>
          <w:spacing w:val="-10"/>
        </w:rPr>
        <w:t>education</w:t>
      </w:r>
      <w:r>
        <w:rPr>
          <w:spacing w:val="-4"/>
        </w:rPr>
        <w:t> </w:t>
      </w:r>
      <w:r>
        <w:rPr>
          <w:spacing w:val="-10"/>
        </w:rPr>
        <w:t>systems</w:t>
      </w:r>
      <w:r>
        <w:rPr>
          <w:spacing w:val="-4"/>
        </w:rPr>
        <w:t> </w:t>
      </w:r>
      <w:r>
        <w:rPr>
          <w:spacing w:val="-10"/>
        </w:rPr>
        <w:t>and</w:t>
      </w:r>
      <w:r>
        <w:rPr>
          <w:spacing w:val="-3"/>
        </w:rPr>
        <w:t> </w:t>
      </w:r>
      <w:r>
        <w:rPr>
          <w:spacing w:val="-10"/>
        </w:rPr>
        <w:t>their</w:t>
      </w:r>
      <w:r>
        <w:rPr>
          <w:spacing w:val="-4"/>
        </w:rPr>
        <w:t> </w:t>
      </w:r>
      <w:r>
        <w:rPr>
          <w:spacing w:val="-10"/>
        </w:rPr>
        <w:t>delivery,</w:t>
      </w:r>
      <w:r>
        <w:rPr>
          <w:spacing w:val="-4"/>
        </w:rPr>
        <w:t> </w:t>
      </w:r>
      <w:r>
        <w:rPr>
          <w:spacing w:val="-10"/>
        </w:rPr>
        <w:t>re-shaping </w:t>
      </w:r>
      <w:r>
        <w:rPr>
          <w:spacing w:val="-6"/>
        </w:rPr>
        <w:t>the</w:t>
      </w:r>
      <w:r>
        <w:rPr>
          <w:spacing w:val="-8"/>
        </w:rPr>
        <w:t> </w:t>
      </w:r>
      <w:r>
        <w:rPr>
          <w:spacing w:val="-6"/>
        </w:rPr>
        <w:t>research,</w:t>
      </w:r>
      <w:r>
        <w:rPr>
          <w:spacing w:val="-8"/>
        </w:rPr>
        <w:t> </w:t>
      </w:r>
      <w:r>
        <w:rPr>
          <w:spacing w:val="-6"/>
        </w:rPr>
        <w:t>development</w:t>
      </w:r>
      <w:r>
        <w:rPr>
          <w:spacing w:val="-8"/>
        </w:rPr>
        <w:t> </w:t>
      </w:r>
      <w:r>
        <w:rPr>
          <w:spacing w:val="-6"/>
        </w:rPr>
        <w:t>and</w:t>
      </w:r>
      <w:r>
        <w:rPr>
          <w:spacing w:val="-7"/>
        </w:rPr>
        <w:t> </w:t>
      </w:r>
      <w:r>
        <w:rPr>
          <w:spacing w:val="-6"/>
        </w:rPr>
        <w:t>innovation</w:t>
      </w:r>
      <w:r>
        <w:rPr>
          <w:spacing w:val="-8"/>
        </w:rPr>
        <w:t> </w:t>
      </w:r>
      <w:r>
        <w:rPr>
          <w:spacing w:val="-6"/>
        </w:rPr>
        <w:t>structures,</w:t>
      </w:r>
      <w:r>
        <w:rPr>
          <w:spacing w:val="-8"/>
        </w:rPr>
        <w:t> </w:t>
      </w:r>
      <w:r>
        <w:rPr>
          <w:spacing w:val="-6"/>
        </w:rPr>
        <w:t>and </w:t>
      </w:r>
      <w:r>
        <w:rPr>
          <w:spacing w:val="-4"/>
        </w:rPr>
        <w:t>harnessing</w:t>
      </w:r>
      <w:r>
        <w:rPr>
          <w:spacing w:val="-10"/>
        </w:rPr>
        <w:t> </w:t>
      </w:r>
      <w:r>
        <w:rPr>
          <w:spacing w:val="-4"/>
        </w:rPr>
        <w:t>knowledge</w:t>
      </w:r>
      <w:r>
        <w:rPr>
          <w:spacing w:val="-10"/>
        </w:rPr>
        <w:t> </w:t>
      </w:r>
      <w:r>
        <w:rPr>
          <w:spacing w:val="-4"/>
        </w:rPr>
        <w:t>applications</w:t>
      </w:r>
      <w:r>
        <w:rPr>
          <w:spacing w:val="-10"/>
        </w:rPr>
        <w:t> </w:t>
      </w:r>
      <w:r>
        <w:rPr>
          <w:spacing w:val="-4"/>
        </w:rPr>
        <w:t>for</w:t>
      </w:r>
      <w:r>
        <w:rPr>
          <w:spacing w:val="-9"/>
        </w:rPr>
        <w:t> </w:t>
      </w:r>
      <w:r>
        <w:rPr>
          <w:spacing w:val="-4"/>
        </w:rPr>
        <w:t>generating</w:t>
      </w:r>
      <w:r>
        <w:rPr>
          <w:spacing w:val="-10"/>
        </w:rPr>
        <w:t> </w:t>
      </w:r>
      <w:r>
        <w:rPr>
          <w:spacing w:val="-4"/>
        </w:rPr>
        <w:t>better </w:t>
      </w:r>
      <w:r>
        <w:rPr>
          <w:spacing w:val="-6"/>
        </w:rPr>
        <w:t>services.</w:t>
      </w:r>
      <w:r>
        <w:rPr>
          <w:spacing w:val="-10"/>
        </w:rPr>
        <w:t> </w:t>
      </w:r>
      <w:r>
        <w:rPr>
          <w:spacing w:val="-6"/>
        </w:rPr>
        <w:t>Such</w:t>
      </w:r>
      <w:r>
        <w:rPr>
          <w:spacing w:val="-8"/>
        </w:rPr>
        <w:t> </w:t>
      </w:r>
      <w:r>
        <w:rPr>
          <w:spacing w:val="-6"/>
        </w:rPr>
        <w:t>a</w:t>
      </w:r>
      <w:r>
        <w:rPr>
          <w:spacing w:val="-8"/>
        </w:rPr>
        <w:t> </w:t>
      </w:r>
      <w:r>
        <w:rPr>
          <w:spacing w:val="-6"/>
        </w:rPr>
        <w:t>knowledge</w:t>
      </w:r>
      <w:r>
        <w:rPr>
          <w:spacing w:val="-7"/>
        </w:rPr>
        <w:t> </w:t>
      </w:r>
      <w:r>
        <w:rPr>
          <w:spacing w:val="-6"/>
        </w:rPr>
        <w:t>revolution</w:t>
      </w:r>
      <w:r>
        <w:rPr>
          <w:spacing w:val="-8"/>
        </w:rPr>
        <w:t> </w:t>
      </w:r>
      <w:r>
        <w:rPr>
          <w:spacing w:val="-6"/>
        </w:rPr>
        <w:t>that</w:t>
      </w:r>
      <w:r>
        <w:rPr>
          <w:spacing w:val="-8"/>
        </w:rPr>
        <w:t> </w:t>
      </w:r>
      <w:r>
        <w:rPr>
          <w:spacing w:val="-6"/>
        </w:rPr>
        <w:t>seeks</w:t>
      </w:r>
      <w:r>
        <w:rPr>
          <w:spacing w:val="-8"/>
        </w:rPr>
        <w:t> </w:t>
      </w:r>
      <w:r>
        <w:rPr>
          <w:spacing w:val="-6"/>
        </w:rPr>
        <w:t>to</w:t>
      </w:r>
      <w:r>
        <w:rPr>
          <w:spacing w:val="-7"/>
        </w:rPr>
        <w:t> </w:t>
      </w:r>
      <w:r>
        <w:rPr>
          <w:spacing w:val="-6"/>
        </w:rPr>
        <w:t>build </w:t>
      </w:r>
      <w:r>
        <w:rPr>
          <w:spacing w:val="-4"/>
        </w:rPr>
        <w:t>capacity</w:t>
      </w:r>
      <w:r>
        <w:rPr>
          <w:spacing w:val="-7"/>
        </w:rPr>
        <w:t> </w:t>
      </w:r>
      <w:r>
        <w:rPr>
          <w:spacing w:val="-4"/>
        </w:rPr>
        <w:t>and</w:t>
      </w:r>
      <w:r>
        <w:rPr>
          <w:spacing w:val="-7"/>
        </w:rPr>
        <w:t> </w:t>
      </w:r>
      <w:r>
        <w:rPr>
          <w:spacing w:val="-4"/>
        </w:rPr>
        <w:t>generate</w:t>
      </w:r>
      <w:r>
        <w:rPr>
          <w:spacing w:val="-7"/>
        </w:rPr>
        <w:t> </w:t>
      </w:r>
      <w:r>
        <w:rPr>
          <w:spacing w:val="-4"/>
        </w:rPr>
        <w:t>quality</w:t>
      </w:r>
      <w:r>
        <w:rPr>
          <w:spacing w:val="-7"/>
        </w:rPr>
        <w:t> </w:t>
      </w:r>
      <w:r>
        <w:rPr>
          <w:spacing w:val="-4"/>
        </w:rPr>
        <w:t>will</w:t>
      </w:r>
      <w:r>
        <w:rPr>
          <w:spacing w:val="-7"/>
        </w:rPr>
        <w:t> </w:t>
      </w:r>
      <w:r>
        <w:rPr>
          <w:spacing w:val="-4"/>
        </w:rPr>
        <w:t>enable</w:t>
      </w:r>
      <w:r>
        <w:rPr>
          <w:spacing w:val="-7"/>
        </w:rPr>
        <w:t> </w:t>
      </w:r>
      <w:r>
        <w:rPr>
          <w:spacing w:val="-4"/>
        </w:rPr>
        <w:t>our</w:t>
      </w:r>
      <w:r>
        <w:rPr>
          <w:spacing w:val="-7"/>
        </w:rPr>
        <w:t> </w:t>
      </w:r>
      <w:r>
        <w:rPr>
          <w:spacing w:val="-4"/>
        </w:rPr>
        <w:t>country</w:t>
      </w:r>
      <w:r>
        <w:rPr>
          <w:spacing w:val="-7"/>
        </w:rPr>
        <w:t> </w:t>
      </w:r>
      <w:r>
        <w:rPr>
          <w:spacing w:val="-4"/>
        </w:rPr>
        <w:t>to </w:t>
      </w:r>
      <w:r>
        <w:rPr>
          <w:spacing w:val="-2"/>
        </w:rPr>
        <w:t>empower</w:t>
      </w:r>
      <w:r>
        <w:rPr>
          <w:spacing w:val="-11"/>
        </w:rPr>
        <w:t> </w:t>
      </w:r>
      <w:r>
        <w:rPr>
          <w:spacing w:val="-2"/>
        </w:rPr>
        <w:t>its</w:t>
      </w:r>
      <w:r>
        <w:rPr>
          <w:spacing w:val="-11"/>
        </w:rPr>
        <w:t> </w:t>
      </w:r>
      <w:r>
        <w:rPr>
          <w:spacing w:val="-2"/>
        </w:rPr>
        <w:t>human</w:t>
      </w:r>
      <w:r>
        <w:rPr>
          <w:spacing w:val="-11"/>
        </w:rPr>
        <w:t> </w:t>
      </w:r>
      <w:r>
        <w:rPr>
          <w:spacing w:val="-2"/>
        </w:rPr>
        <w:t>capital</w:t>
      </w:r>
      <w:r>
        <w:rPr>
          <w:spacing w:val="-11"/>
        </w:rPr>
        <w:t> </w:t>
      </w:r>
      <w:r>
        <w:rPr>
          <w:spacing w:val="-2"/>
        </w:rPr>
        <w:t>–</w:t>
      </w:r>
      <w:r>
        <w:rPr>
          <w:spacing w:val="-11"/>
        </w:rPr>
        <w:t> </w:t>
      </w:r>
      <w:r>
        <w:rPr>
          <w:spacing w:val="-2"/>
        </w:rPr>
        <w:t>including</w:t>
      </w:r>
      <w:r>
        <w:rPr>
          <w:spacing w:val="-11"/>
        </w:rPr>
        <w:t> </w:t>
      </w:r>
      <w:r>
        <w:rPr>
          <w:spacing w:val="-2"/>
        </w:rPr>
        <w:t>the</w:t>
      </w:r>
      <w:r>
        <w:rPr>
          <w:spacing w:val="-11"/>
        </w:rPr>
        <w:t> </w:t>
      </w:r>
      <w:r>
        <w:rPr>
          <w:spacing w:val="-2"/>
        </w:rPr>
        <w:t>550</w:t>
      </w:r>
      <w:r>
        <w:rPr>
          <w:spacing w:val="-11"/>
        </w:rPr>
        <w:t> </w:t>
      </w:r>
      <w:r>
        <w:rPr>
          <w:spacing w:val="-2"/>
        </w:rPr>
        <w:t>million </w:t>
      </w:r>
      <w:r>
        <w:rPr>
          <w:spacing w:val="-4"/>
        </w:rPr>
        <w:t>below</w:t>
      </w:r>
      <w:r>
        <w:rPr>
          <w:spacing w:val="-5"/>
        </w:rPr>
        <w:t> </w:t>
      </w:r>
      <w:r>
        <w:rPr>
          <w:spacing w:val="-4"/>
        </w:rPr>
        <w:t>the</w:t>
      </w:r>
      <w:r>
        <w:rPr>
          <w:spacing w:val="-5"/>
        </w:rPr>
        <w:t> </w:t>
      </w:r>
      <w:r>
        <w:rPr>
          <w:spacing w:val="-4"/>
        </w:rPr>
        <w:t>age</w:t>
      </w:r>
      <w:r>
        <w:rPr>
          <w:spacing w:val="-5"/>
        </w:rPr>
        <w:t> </w:t>
      </w:r>
      <w:r>
        <w:rPr>
          <w:spacing w:val="-4"/>
        </w:rPr>
        <w:t>of</w:t>
      </w:r>
      <w:r>
        <w:rPr>
          <w:spacing w:val="-5"/>
        </w:rPr>
        <w:t> </w:t>
      </w:r>
      <w:r>
        <w:rPr>
          <w:spacing w:val="-4"/>
        </w:rPr>
        <w:t>25.</w:t>
      </w:r>
      <w:r>
        <w:rPr>
          <w:spacing w:val="-5"/>
        </w:rPr>
        <w:t> </w:t>
      </w:r>
      <w:r>
        <w:rPr>
          <w:spacing w:val="-4"/>
        </w:rPr>
        <w:t>Our</w:t>
      </w:r>
      <w:r>
        <w:rPr>
          <w:spacing w:val="-5"/>
        </w:rPr>
        <w:t> </w:t>
      </w:r>
      <w:r>
        <w:rPr>
          <w:spacing w:val="-4"/>
        </w:rPr>
        <w:t>unique</w:t>
      </w:r>
      <w:r>
        <w:rPr>
          <w:spacing w:val="-5"/>
        </w:rPr>
        <w:t> </w:t>
      </w:r>
      <w:r>
        <w:rPr>
          <w:spacing w:val="-4"/>
        </w:rPr>
        <w:t>demographic</w:t>
      </w:r>
      <w:r>
        <w:rPr>
          <w:spacing w:val="-5"/>
        </w:rPr>
        <w:t> </w:t>
      </w:r>
      <w:r>
        <w:rPr>
          <w:spacing w:val="-4"/>
        </w:rPr>
        <w:t>dividend </w:t>
      </w:r>
      <w:r>
        <w:rPr/>
        <w:t>offers</w:t>
      </w:r>
      <w:r>
        <w:rPr>
          <w:spacing w:val="-8"/>
        </w:rPr>
        <w:t> </w:t>
      </w:r>
      <w:r>
        <w:rPr/>
        <w:t>a</w:t>
      </w:r>
      <w:r>
        <w:rPr>
          <w:spacing w:val="-8"/>
        </w:rPr>
        <w:t> </w:t>
      </w:r>
      <w:r>
        <w:rPr/>
        <w:t>tremendous</w:t>
      </w:r>
      <w:r>
        <w:rPr>
          <w:spacing w:val="-8"/>
        </w:rPr>
        <w:t> </w:t>
      </w:r>
      <w:r>
        <w:rPr/>
        <w:t>opportunity</w:t>
      </w:r>
      <w:r>
        <w:rPr>
          <w:spacing w:val="-8"/>
        </w:rPr>
        <w:t> </w:t>
      </w:r>
      <w:r>
        <w:rPr/>
        <w:t>as</w:t>
      </w:r>
      <w:r>
        <w:rPr>
          <w:spacing w:val="-8"/>
        </w:rPr>
        <w:t> </w:t>
      </w:r>
      <w:r>
        <w:rPr/>
        <w:t>well</w:t>
      </w:r>
      <w:r>
        <w:rPr>
          <w:spacing w:val="-8"/>
        </w:rPr>
        <w:t> </w:t>
      </w:r>
      <w:r>
        <w:rPr/>
        <w:t>as</w:t>
      </w:r>
      <w:r>
        <w:rPr>
          <w:spacing w:val="-8"/>
        </w:rPr>
        <w:t> </w:t>
      </w:r>
      <w:r>
        <w:rPr/>
        <w:t>a</w:t>
      </w:r>
      <w:r>
        <w:rPr>
          <w:spacing w:val="-8"/>
        </w:rPr>
        <w:t> </w:t>
      </w:r>
      <w:r>
        <w:rPr/>
        <w:t>daunting challenge</w:t>
      </w:r>
      <w:r>
        <w:rPr>
          <w:spacing w:val="-10"/>
        </w:rPr>
        <w:t> </w:t>
      </w:r>
      <w:r>
        <w:rPr/>
        <w:t>which</w:t>
      </w:r>
      <w:r>
        <w:rPr>
          <w:spacing w:val="-10"/>
        </w:rPr>
        <w:t> </w:t>
      </w:r>
      <w:r>
        <w:rPr/>
        <w:t>requires</w:t>
      </w:r>
      <w:r>
        <w:rPr>
          <w:spacing w:val="-10"/>
        </w:rPr>
        <w:t> </w:t>
      </w:r>
      <w:r>
        <w:rPr/>
        <w:t>creative</w:t>
      </w:r>
      <w:r>
        <w:rPr>
          <w:spacing w:val="-10"/>
        </w:rPr>
        <w:t> </w:t>
      </w:r>
      <w:r>
        <w:rPr/>
        <w:t>strategies</w:t>
      </w:r>
      <w:r>
        <w:rPr>
          <w:spacing w:val="-10"/>
        </w:rPr>
        <w:t> </w:t>
      </w:r>
      <w:r>
        <w:rPr/>
        <w:t>for</w:t>
      </w:r>
      <w:r>
        <w:rPr>
          <w:spacing w:val="-10"/>
        </w:rPr>
        <w:t> </w:t>
      </w:r>
      <w:r>
        <w:rPr/>
        <w:t>a</w:t>
      </w:r>
      <w:r>
        <w:rPr>
          <w:spacing w:val="-10"/>
        </w:rPr>
        <w:t> </w:t>
      </w:r>
      <w:r>
        <w:rPr/>
        <w:t>new knowledge</w:t>
      </w:r>
      <w:r>
        <w:rPr>
          <w:spacing w:val="-9"/>
        </w:rPr>
        <w:t> </w:t>
      </w:r>
      <w:r>
        <w:rPr/>
        <w:t>oriented</w:t>
      </w:r>
      <w:r>
        <w:rPr>
          <w:spacing w:val="-9"/>
        </w:rPr>
        <w:t> </w:t>
      </w:r>
      <w:r>
        <w:rPr/>
        <w:t>paradigm.</w:t>
      </w:r>
    </w:p>
    <w:p>
      <w:pPr>
        <w:pStyle w:val="BodyText"/>
        <w:spacing w:before="2"/>
      </w:pPr>
    </w:p>
    <w:p>
      <w:pPr>
        <w:pStyle w:val="BodyText"/>
        <w:spacing w:line="266" w:lineRule="auto"/>
        <w:ind w:left="1079"/>
        <w:jc w:val="both"/>
      </w:pPr>
      <w:r>
        <w:rPr/>
        <w:t>Keeping this scenario in mind, the </w:t>
      </w:r>
      <w:r>
        <w:rPr/>
        <w:t>National Knowledge Commission (NKC) was constituted in June 2005 by the Prime Minister Dr. Manmohan Singh,</w:t>
      </w:r>
      <w:r>
        <w:rPr>
          <w:spacing w:val="40"/>
        </w:rPr>
        <w:t> </w:t>
      </w:r>
      <w:r>
        <w:rPr/>
        <w:t>under</w:t>
      </w:r>
      <w:r>
        <w:rPr>
          <w:spacing w:val="40"/>
        </w:rPr>
        <w:t> </w:t>
      </w:r>
      <w:r>
        <w:rPr/>
        <w:t>the</w:t>
      </w:r>
      <w:r>
        <w:rPr>
          <w:spacing w:val="40"/>
        </w:rPr>
        <w:t> </w:t>
      </w:r>
      <w:r>
        <w:rPr/>
        <w:t>Chairmanship</w:t>
      </w:r>
      <w:r>
        <w:rPr>
          <w:spacing w:val="40"/>
        </w:rPr>
        <w:t> </w:t>
      </w:r>
      <w:r>
        <w:rPr/>
        <w:t>of</w:t>
      </w:r>
      <w:r>
        <w:rPr>
          <w:spacing w:val="40"/>
        </w:rPr>
        <w:t> </w:t>
      </w:r>
      <w:r>
        <w:rPr/>
        <w:t>Mr.</w:t>
      </w:r>
      <w:r>
        <w:rPr>
          <w:spacing w:val="40"/>
        </w:rPr>
        <w:t> </w:t>
      </w:r>
      <w:r>
        <w:rPr/>
        <w:t>Sam Pitroda, to prepare a blueprint for reform of our knowledge related institutions and infrastructure which</w:t>
      </w:r>
      <w:r>
        <w:rPr>
          <w:spacing w:val="40"/>
        </w:rPr>
        <w:t> </w:t>
      </w:r>
      <w:r>
        <w:rPr/>
        <w:t>would</w:t>
      </w:r>
      <w:r>
        <w:rPr>
          <w:spacing w:val="40"/>
        </w:rPr>
        <w:t> </w:t>
      </w:r>
      <w:r>
        <w:rPr/>
        <w:t>enable</w:t>
      </w:r>
      <w:r>
        <w:rPr>
          <w:spacing w:val="40"/>
        </w:rPr>
        <w:t> </w:t>
      </w:r>
      <w:r>
        <w:rPr/>
        <w:t>India</w:t>
      </w:r>
      <w:r>
        <w:rPr>
          <w:spacing w:val="40"/>
        </w:rPr>
        <w:t> </w:t>
      </w:r>
      <w:r>
        <w:rPr/>
        <w:t>to</w:t>
      </w:r>
      <w:r>
        <w:rPr>
          <w:spacing w:val="40"/>
        </w:rPr>
        <w:t> </w:t>
      </w:r>
      <w:r>
        <w:rPr/>
        <w:t>meet</w:t>
      </w:r>
      <w:r>
        <w:rPr>
          <w:spacing w:val="40"/>
        </w:rPr>
        <w:t> </w:t>
      </w:r>
      <w:r>
        <w:rPr/>
        <w:t>the</w:t>
      </w:r>
      <w:r>
        <w:rPr>
          <w:spacing w:val="40"/>
        </w:rPr>
        <w:t> </w:t>
      </w:r>
      <w:r>
        <w:rPr/>
        <w:t>challenges of</w:t>
      </w:r>
      <w:r>
        <w:rPr>
          <w:spacing w:val="-3"/>
        </w:rPr>
        <w:t> </w:t>
      </w:r>
      <w:r>
        <w:rPr/>
        <w:t>the</w:t>
      </w:r>
      <w:r>
        <w:rPr>
          <w:spacing w:val="-3"/>
        </w:rPr>
        <w:t> </w:t>
      </w:r>
      <w:r>
        <w:rPr/>
        <w:t>future.</w:t>
      </w:r>
      <w:r>
        <w:rPr>
          <w:spacing w:val="-12"/>
        </w:rPr>
        <w:t> </w:t>
      </w:r>
      <w:r>
        <w:rPr/>
        <w:t>The</w:t>
      </w:r>
      <w:r>
        <w:rPr>
          <w:spacing w:val="-12"/>
        </w:rPr>
        <w:t> </w:t>
      </w:r>
      <w:r>
        <w:rPr/>
        <w:t>Terms</w:t>
      </w:r>
      <w:r>
        <w:rPr>
          <w:spacing w:val="-3"/>
        </w:rPr>
        <w:t> </w:t>
      </w:r>
      <w:r>
        <w:rPr/>
        <w:t>of</w:t>
      </w:r>
      <w:r>
        <w:rPr>
          <w:spacing w:val="-3"/>
        </w:rPr>
        <w:t> </w:t>
      </w:r>
      <w:r>
        <w:rPr/>
        <w:t>Reference</w:t>
      </w:r>
      <w:r>
        <w:rPr>
          <w:spacing w:val="-3"/>
        </w:rPr>
        <w:t> </w:t>
      </w:r>
      <w:r>
        <w:rPr/>
        <w:t>of</w:t>
      </w:r>
      <w:r>
        <w:rPr>
          <w:spacing w:val="-3"/>
        </w:rPr>
        <w:t> </w:t>
      </w:r>
      <w:r>
        <w:rPr/>
        <w:t>NKC</w:t>
      </w:r>
      <w:r>
        <w:rPr>
          <w:spacing w:val="-3"/>
        </w:rPr>
        <w:t> </w:t>
      </w:r>
      <w:r>
        <w:rPr/>
        <w:t>are:</w:t>
      </w:r>
    </w:p>
    <w:p>
      <w:pPr>
        <w:pStyle w:val="ListParagraph"/>
        <w:numPr>
          <w:ilvl w:val="0"/>
          <w:numId w:val="1"/>
        </w:numPr>
        <w:tabs>
          <w:tab w:pos="1439" w:val="left" w:leader="none"/>
        </w:tabs>
        <w:spacing w:line="266" w:lineRule="auto" w:before="0" w:after="0"/>
        <w:ind w:left="1439" w:right="0" w:hanging="360"/>
        <w:jc w:val="both"/>
        <w:rPr>
          <w:sz w:val="22"/>
        </w:rPr>
      </w:pPr>
      <w:r>
        <w:rPr>
          <w:spacing w:val="-2"/>
          <w:sz w:val="22"/>
        </w:rPr>
        <w:t>Build</w:t>
      </w:r>
      <w:r>
        <w:rPr>
          <w:spacing w:val="-12"/>
          <w:sz w:val="22"/>
        </w:rPr>
        <w:t> </w:t>
      </w:r>
      <w:r>
        <w:rPr>
          <w:spacing w:val="-2"/>
          <w:sz w:val="22"/>
        </w:rPr>
        <w:t>excellence</w:t>
      </w:r>
      <w:r>
        <w:rPr>
          <w:spacing w:val="-12"/>
          <w:sz w:val="22"/>
        </w:rPr>
        <w:t> </w:t>
      </w:r>
      <w:r>
        <w:rPr>
          <w:spacing w:val="-2"/>
          <w:sz w:val="22"/>
        </w:rPr>
        <w:t>in</w:t>
      </w:r>
      <w:r>
        <w:rPr>
          <w:spacing w:val="-12"/>
          <w:sz w:val="22"/>
        </w:rPr>
        <w:t> </w:t>
      </w:r>
      <w:r>
        <w:rPr>
          <w:spacing w:val="-2"/>
          <w:sz w:val="22"/>
        </w:rPr>
        <w:t>the</w:t>
      </w:r>
      <w:r>
        <w:rPr>
          <w:spacing w:val="-11"/>
          <w:sz w:val="22"/>
        </w:rPr>
        <w:t> </w:t>
      </w:r>
      <w:r>
        <w:rPr>
          <w:spacing w:val="-2"/>
          <w:sz w:val="22"/>
        </w:rPr>
        <w:t>educational</w:t>
      </w:r>
      <w:r>
        <w:rPr>
          <w:spacing w:val="-12"/>
          <w:sz w:val="22"/>
        </w:rPr>
        <w:t> </w:t>
      </w:r>
      <w:r>
        <w:rPr>
          <w:spacing w:val="-2"/>
          <w:sz w:val="22"/>
        </w:rPr>
        <w:t>system</w:t>
      </w:r>
      <w:r>
        <w:rPr>
          <w:spacing w:val="-12"/>
          <w:sz w:val="22"/>
        </w:rPr>
        <w:t> </w:t>
      </w:r>
      <w:r>
        <w:rPr>
          <w:spacing w:val="-2"/>
          <w:sz w:val="22"/>
        </w:rPr>
        <w:t>to</w:t>
      </w:r>
      <w:r>
        <w:rPr>
          <w:spacing w:val="-12"/>
          <w:sz w:val="22"/>
        </w:rPr>
        <w:t> </w:t>
      </w:r>
      <w:r>
        <w:rPr>
          <w:spacing w:val="-2"/>
          <w:sz w:val="22"/>
        </w:rPr>
        <w:t>meet </w:t>
      </w:r>
      <w:r>
        <w:rPr>
          <w:sz w:val="22"/>
        </w:rPr>
        <w:t>the</w:t>
      </w:r>
      <w:r>
        <w:rPr>
          <w:spacing w:val="-7"/>
          <w:sz w:val="22"/>
        </w:rPr>
        <w:t> </w:t>
      </w:r>
      <w:r>
        <w:rPr>
          <w:sz w:val="22"/>
        </w:rPr>
        <w:t>knowledge</w:t>
      </w:r>
      <w:r>
        <w:rPr>
          <w:spacing w:val="-7"/>
          <w:sz w:val="22"/>
        </w:rPr>
        <w:t> </w:t>
      </w:r>
      <w:r>
        <w:rPr>
          <w:sz w:val="22"/>
        </w:rPr>
        <w:t>challenges</w:t>
      </w:r>
      <w:r>
        <w:rPr>
          <w:spacing w:val="-7"/>
          <w:sz w:val="22"/>
        </w:rPr>
        <w:t> </w:t>
      </w:r>
      <w:r>
        <w:rPr>
          <w:sz w:val="22"/>
        </w:rPr>
        <w:t>of</w:t>
      </w:r>
      <w:r>
        <w:rPr>
          <w:spacing w:val="-7"/>
          <w:sz w:val="22"/>
        </w:rPr>
        <w:t> </w:t>
      </w:r>
      <w:r>
        <w:rPr>
          <w:sz w:val="22"/>
        </w:rPr>
        <w:t>the</w:t>
      </w:r>
      <w:r>
        <w:rPr>
          <w:spacing w:val="-7"/>
          <w:sz w:val="22"/>
        </w:rPr>
        <w:t> </w:t>
      </w:r>
      <w:r>
        <w:rPr>
          <w:sz w:val="22"/>
        </w:rPr>
        <w:t>21st</w:t>
      </w:r>
      <w:r>
        <w:rPr>
          <w:spacing w:val="-7"/>
          <w:sz w:val="22"/>
        </w:rPr>
        <w:t> </w:t>
      </w:r>
      <w:r>
        <w:rPr>
          <w:sz w:val="22"/>
        </w:rPr>
        <w:t>century</w:t>
      </w:r>
      <w:r>
        <w:rPr>
          <w:spacing w:val="-7"/>
          <w:sz w:val="22"/>
        </w:rPr>
        <w:t> </w:t>
      </w:r>
      <w:r>
        <w:rPr>
          <w:sz w:val="22"/>
        </w:rPr>
        <w:t>and </w:t>
      </w:r>
      <w:r>
        <w:rPr>
          <w:spacing w:val="-2"/>
          <w:sz w:val="22"/>
        </w:rPr>
        <w:t>increase</w:t>
      </w:r>
      <w:r>
        <w:rPr>
          <w:spacing w:val="-9"/>
          <w:sz w:val="22"/>
        </w:rPr>
        <w:t> </w:t>
      </w:r>
      <w:r>
        <w:rPr>
          <w:spacing w:val="-2"/>
          <w:sz w:val="22"/>
        </w:rPr>
        <w:t>India’s</w:t>
      </w:r>
      <w:r>
        <w:rPr>
          <w:spacing w:val="-9"/>
          <w:sz w:val="22"/>
        </w:rPr>
        <w:t> </w:t>
      </w:r>
      <w:r>
        <w:rPr>
          <w:spacing w:val="-2"/>
          <w:sz w:val="22"/>
        </w:rPr>
        <w:t>competitive</w:t>
      </w:r>
      <w:r>
        <w:rPr>
          <w:spacing w:val="-9"/>
          <w:sz w:val="22"/>
        </w:rPr>
        <w:t> </w:t>
      </w:r>
      <w:r>
        <w:rPr>
          <w:spacing w:val="-2"/>
          <w:sz w:val="22"/>
        </w:rPr>
        <w:t>advantage</w:t>
      </w:r>
      <w:r>
        <w:rPr>
          <w:spacing w:val="-9"/>
          <w:sz w:val="22"/>
        </w:rPr>
        <w:t> </w:t>
      </w:r>
      <w:r>
        <w:rPr>
          <w:spacing w:val="-2"/>
          <w:sz w:val="22"/>
        </w:rPr>
        <w:t>in</w:t>
      </w:r>
      <w:r>
        <w:rPr>
          <w:spacing w:val="-9"/>
          <w:sz w:val="22"/>
        </w:rPr>
        <w:t> </w:t>
      </w:r>
      <w:r>
        <w:rPr>
          <w:spacing w:val="-2"/>
          <w:sz w:val="22"/>
        </w:rPr>
        <w:t>fields</w:t>
      </w:r>
      <w:r>
        <w:rPr>
          <w:spacing w:val="-9"/>
          <w:sz w:val="22"/>
        </w:rPr>
        <w:t> </w:t>
      </w:r>
      <w:r>
        <w:rPr>
          <w:spacing w:val="-2"/>
          <w:sz w:val="22"/>
        </w:rPr>
        <w:t>of knowledge.</w:t>
      </w:r>
    </w:p>
    <w:p>
      <w:pPr>
        <w:pStyle w:val="ListParagraph"/>
        <w:numPr>
          <w:ilvl w:val="0"/>
          <w:numId w:val="1"/>
        </w:numPr>
        <w:tabs>
          <w:tab w:pos="1439" w:val="left" w:leader="none"/>
        </w:tabs>
        <w:spacing w:line="266" w:lineRule="auto" w:before="0" w:after="0"/>
        <w:ind w:left="1439" w:right="0" w:hanging="360"/>
        <w:jc w:val="both"/>
        <w:rPr>
          <w:sz w:val="22"/>
        </w:rPr>
      </w:pPr>
      <w:r>
        <w:rPr>
          <w:sz w:val="22"/>
        </w:rPr>
        <w:t>Promote creation of knowledge in Science </w:t>
      </w:r>
      <w:r>
        <w:rPr>
          <w:sz w:val="22"/>
        </w:rPr>
        <w:t>&amp; Technology laboratories.</w:t>
      </w:r>
    </w:p>
    <w:p>
      <w:pPr>
        <w:pStyle w:val="ListParagraph"/>
        <w:numPr>
          <w:ilvl w:val="0"/>
          <w:numId w:val="1"/>
        </w:numPr>
        <w:tabs>
          <w:tab w:pos="679" w:val="left" w:leader="none"/>
        </w:tabs>
        <w:spacing w:line="266" w:lineRule="auto" w:before="87" w:after="0"/>
        <w:ind w:left="679" w:right="1078" w:hanging="360"/>
        <w:jc w:val="both"/>
        <w:rPr>
          <w:sz w:val="22"/>
        </w:rPr>
      </w:pPr>
      <w:r>
        <w:rPr/>
        <w:br w:type="column"/>
      </w:r>
      <w:r>
        <w:rPr>
          <w:sz w:val="22"/>
        </w:rPr>
        <w:t>Improve</w:t>
      </w:r>
      <w:r>
        <w:rPr>
          <w:spacing w:val="-2"/>
          <w:sz w:val="22"/>
        </w:rPr>
        <w:t> </w:t>
      </w:r>
      <w:r>
        <w:rPr>
          <w:sz w:val="22"/>
        </w:rPr>
        <w:t>the</w:t>
      </w:r>
      <w:r>
        <w:rPr>
          <w:spacing w:val="-2"/>
          <w:sz w:val="22"/>
        </w:rPr>
        <w:t> </w:t>
      </w:r>
      <w:r>
        <w:rPr>
          <w:sz w:val="22"/>
        </w:rPr>
        <w:t>management</w:t>
      </w:r>
      <w:r>
        <w:rPr>
          <w:spacing w:val="-2"/>
          <w:sz w:val="22"/>
        </w:rPr>
        <w:t> </w:t>
      </w:r>
      <w:r>
        <w:rPr>
          <w:sz w:val="22"/>
        </w:rPr>
        <w:t>of</w:t>
      </w:r>
      <w:r>
        <w:rPr>
          <w:spacing w:val="-2"/>
          <w:sz w:val="22"/>
        </w:rPr>
        <w:t> </w:t>
      </w:r>
      <w:r>
        <w:rPr>
          <w:sz w:val="22"/>
        </w:rPr>
        <w:t>institutions</w:t>
      </w:r>
      <w:r>
        <w:rPr>
          <w:spacing w:val="-2"/>
          <w:sz w:val="22"/>
        </w:rPr>
        <w:t> </w:t>
      </w:r>
      <w:r>
        <w:rPr>
          <w:sz w:val="22"/>
        </w:rPr>
        <w:t>engaged in Intellectual Property Rights.</w:t>
      </w:r>
    </w:p>
    <w:p>
      <w:pPr>
        <w:pStyle w:val="ListParagraph"/>
        <w:numPr>
          <w:ilvl w:val="0"/>
          <w:numId w:val="1"/>
        </w:numPr>
        <w:tabs>
          <w:tab w:pos="679" w:val="left" w:leader="none"/>
        </w:tabs>
        <w:spacing w:line="266" w:lineRule="auto" w:before="0" w:after="0"/>
        <w:ind w:left="679" w:right="1077" w:hanging="360"/>
        <w:jc w:val="both"/>
        <w:rPr>
          <w:sz w:val="22"/>
        </w:rPr>
      </w:pPr>
      <w:r>
        <w:rPr>
          <w:spacing w:val="-4"/>
          <w:sz w:val="22"/>
        </w:rPr>
        <w:t>Promote</w:t>
      </w:r>
      <w:r>
        <w:rPr>
          <w:spacing w:val="-10"/>
          <w:sz w:val="22"/>
        </w:rPr>
        <w:t> </w:t>
      </w:r>
      <w:r>
        <w:rPr>
          <w:spacing w:val="-4"/>
          <w:sz w:val="22"/>
        </w:rPr>
        <w:t>knowledge</w:t>
      </w:r>
      <w:r>
        <w:rPr>
          <w:spacing w:val="-10"/>
          <w:sz w:val="22"/>
        </w:rPr>
        <w:t> </w:t>
      </w:r>
      <w:r>
        <w:rPr>
          <w:spacing w:val="-4"/>
          <w:sz w:val="22"/>
        </w:rPr>
        <w:t>applications</w:t>
      </w:r>
      <w:r>
        <w:rPr>
          <w:spacing w:val="-10"/>
          <w:sz w:val="22"/>
        </w:rPr>
        <w:t> </w:t>
      </w:r>
      <w:r>
        <w:rPr>
          <w:spacing w:val="-4"/>
          <w:sz w:val="22"/>
        </w:rPr>
        <w:t>in</w:t>
      </w:r>
      <w:r>
        <w:rPr>
          <w:spacing w:val="-9"/>
          <w:sz w:val="22"/>
        </w:rPr>
        <w:t> </w:t>
      </w:r>
      <w:r>
        <w:rPr>
          <w:spacing w:val="-4"/>
          <w:sz w:val="22"/>
        </w:rPr>
        <w:t>Agriculture</w:t>
      </w:r>
      <w:r>
        <w:rPr>
          <w:spacing w:val="-10"/>
          <w:sz w:val="22"/>
        </w:rPr>
        <w:t> </w:t>
      </w:r>
      <w:r>
        <w:rPr>
          <w:spacing w:val="-4"/>
          <w:sz w:val="22"/>
        </w:rPr>
        <w:t>and </w:t>
      </w:r>
      <w:r>
        <w:rPr>
          <w:spacing w:val="-2"/>
          <w:sz w:val="22"/>
        </w:rPr>
        <w:t>Industry.</w:t>
      </w:r>
    </w:p>
    <w:p>
      <w:pPr>
        <w:pStyle w:val="ListParagraph"/>
        <w:numPr>
          <w:ilvl w:val="0"/>
          <w:numId w:val="1"/>
        </w:numPr>
        <w:tabs>
          <w:tab w:pos="679" w:val="left" w:leader="none"/>
        </w:tabs>
        <w:spacing w:line="266" w:lineRule="auto" w:before="0" w:after="0"/>
        <w:ind w:left="679" w:right="1078" w:hanging="360"/>
        <w:jc w:val="both"/>
        <w:rPr>
          <w:sz w:val="22"/>
        </w:rPr>
      </w:pPr>
      <w:r>
        <w:rPr>
          <w:sz w:val="22"/>
        </w:rPr>
        <w:t>Promote the use of knowledge capabilities </w:t>
      </w:r>
      <w:r>
        <w:rPr>
          <w:sz w:val="22"/>
        </w:rPr>
        <w:t>in making</w:t>
      </w:r>
      <w:r>
        <w:rPr>
          <w:spacing w:val="-3"/>
          <w:sz w:val="22"/>
        </w:rPr>
        <w:t> </w:t>
      </w:r>
      <w:r>
        <w:rPr>
          <w:sz w:val="22"/>
        </w:rPr>
        <w:t>government</w:t>
      </w:r>
      <w:r>
        <w:rPr>
          <w:spacing w:val="-3"/>
          <w:sz w:val="22"/>
        </w:rPr>
        <w:t> </w:t>
      </w:r>
      <w:r>
        <w:rPr>
          <w:sz w:val="22"/>
        </w:rPr>
        <w:t>an</w:t>
      </w:r>
      <w:r>
        <w:rPr>
          <w:spacing w:val="-3"/>
          <w:sz w:val="22"/>
        </w:rPr>
        <w:t> </w:t>
      </w:r>
      <w:r>
        <w:rPr>
          <w:sz w:val="22"/>
        </w:rPr>
        <w:t>effective,</w:t>
      </w:r>
      <w:r>
        <w:rPr>
          <w:spacing w:val="-3"/>
          <w:sz w:val="22"/>
        </w:rPr>
        <w:t> </w:t>
      </w:r>
      <w:r>
        <w:rPr>
          <w:sz w:val="22"/>
        </w:rPr>
        <w:t>transparent</w:t>
      </w:r>
      <w:r>
        <w:rPr>
          <w:spacing w:val="-3"/>
          <w:sz w:val="22"/>
        </w:rPr>
        <w:t> </w:t>
      </w:r>
      <w:r>
        <w:rPr>
          <w:sz w:val="22"/>
        </w:rPr>
        <w:t>and accountable service provider to the citizen and promote widespread sharing of knowledge to maximise public benefit.</w:t>
      </w:r>
    </w:p>
    <w:p>
      <w:pPr>
        <w:pStyle w:val="BodyText"/>
        <w:spacing w:before="20"/>
      </w:pPr>
    </w:p>
    <w:p>
      <w:pPr>
        <w:pStyle w:val="BodyText"/>
        <w:spacing w:line="266" w:lineRule="auto"/>
        <w:ind w:left="319" w:right="1077"/>
        <w:jc w:val="both"/>
      </w:pPr>
      <w:r>
        <w:rPr/>
        <w:t>To</w:t>
      </w:r>
      <w:r>
        <w:rPr>
          <w:spacing w:val="-7"/>
        </w:rPr>
        <w:t> </w:t>
      </w:r>
      <w:r>
        <w:rPr/>
        <w:t>take</w:t>
      </w:r>
      <w:r>
        <w:rPr>
          <w:spacing w:val="-8"/>
        </w:rPr>
        <w:t> </w:t>
      </w:r>
      <w:r>
        <w:rPr/>
        <w:t>its</w:t>
      </w:r>
      <w:r>
        <w:rPr>
          <w:spacing w:val="-7"/>
        </w:rPr>
        <w:t> </w:t>
      </w:r>
      <w:r>
        <w:rPr/>
        <w:t>mandate</w:t>
      </w:r>
      <w:r>
        <w:rPr>
          <w:spacing w:val="-8"/>
        </w:rPr>
        <w:t> </w:t>
      </w:r>
      <w:r>
        <w:rPr/>
        <w:t>forward</w:t>
      </w:r>
      <w:r>
        <w:rPr>
          <w:spacing w:val="-7"/>
        </w:rPr>
        <w:t> </w:t>
      </w:r>
      <w:r>
        <w:rPr/>
        <w:t>the</w:t>
      </w:r>
      <w:r>
        <w:rPr>
          <w:spacing w:val="-7"/>
        </w:rPr>
        <w:t> </w:t>
      </w:r>
      <w:r>
        <w:rPr/>
        <w:t>Commission</w:t>
      </w:r>
      <w:r>
        <w:rPr>
          <w:spacing w:val="-8"/>
        </w:rPr>
        <w:t> </w:t>
      </w:r>
      <w:r>
        <w:rPr/>
        <w:t>focused on five key aspects of knowledge: enhancing access to knowledge, reinvigorating institutions where </w:t>
      </w:r>
      <w:r>
        <w:rPr>
          <w:spacing w:val="-6"/>
        </w:rPr>
        <w:t>knowledge concepts are imparted, creating a world class </w:t>
      </w:r>
      <w:r>
        <w:rPr/>
        <w:t>environment for creation of knowledge, promoting applications</w:t>
      </w:r>
      <w:r>
        <w:rPr>
          <w:spacing w:val="-12"/>
        </w:rPr>
        <w:t> </w:t>
      </w:r>
      <w:r>
        <w:rPr/>
        <w:t>of</w:t>
      </w:r>
      <w:r>
        <w:rPr>
          <w:spacing w:val="-12"/>
        </w:rPr>
        <w:t> </w:t>
      </w:r>
      <w:r>
        <w:rPr/>
        <w:t>knowledge</w:t>
      </w:r>
      <w:r>
        <w:rPr>
          <w:spacing w:val="-12"/>
        </w:rPr>
        <w:t> </w:t>
      </w:r>
      <w:r>
        <w:rPr/>
        <w:t>for</w:t>
      </w:r>
      <w:r>
        <w:rPr>
          <w:spacing w:val="-12"/>
        </w:rPr>
        <w:t> </w:t>
      </w:r>
      <w:r>
        <w:rPr/>
        <w:t>sustained</w:t>
      </w:r>
      <w:r>
        <w:rPr>
          <w:spacing w:val="-12"/>
        </w:rPr>
        <w:t> </w:t>
      </w:r>
      <w:r>
        <w:rPr/>
        <w:t>and</w:t>
      </w:r>
      <w:r>
        <w:rPr>
          <w:spacing w:val="-12"/>
        </w:rPr>
        <w:t> </w:t>
      </w:r>
      <w:r>
        <w:rPr/>
        <w:t>inclusive growth</w:t>
      </w:r>
      <w:r>
        <w:rPr>
          <w:spacing w:val="-4"/>
        </w:rPr>
        <w:t> </w:t>
      </w:r>
      <w:r>
        <w:rPr/>
        <w:t>and</w:t>
      </w:r>
      <w:r>
        <w:rPr>
          <w:spacing w:val="-4"/>
        </w:rPr>
        <w:t> </w:t>
      </w:r>
      <w:r>
        <w:rPr/>
        <w:t>using</w:t>
      </w:r>
      <w:r>
        <w:rPr>
          <w:spacing w:val="-4"/>
        </w:rPr>
        <w:t> </w:t>
      </w:r>
      <w:r>
        <w:rPr/>
        <w:t>knowledge</w:t>
      </w:r>
      <w:r>
        <w:rPr>
          <w:spacing w:val="-4"/>
        </w:rPr>
        <w:t> </w:t>
      </w:r>
      <w:r>
        <w:rPr/>
        <w:t>applications</w:t>
      </w:r>
      <w:r>
        <w:rPr>
          <w:spacing w:val="-4"/>
        </w:rPr>
        <w:t> </w:t>
      </w:r>
      <w:r>
        <w:rPr/>
        <w:t>in</w:t>
      </w:r>
      <w:r>
        <w:rPr>
          <w:spacing w:val="-4"/>
        </w:rPr>
        <w:t> </w:t>
      </w:r>
      <w:r>
        <w:rPr/>
        <w:t>efficient delivery</w:t>
      </w:r>
      <w:r>
        <w:rPr>
          <w:spacing w:val="-3"/>
        </w:rPr>
        <w:t> </w:t>
      </w:r>
      <w:r>
        <w:rPr/>
        <w:t>of</w:t>
      </w:r>
      <w:r>
        <w:rPr>
          <w:spacing w:val="-3"/>
        </w:rPr>
        <w:t> </w:t>
      </w:r>
      <w:r>
        <w:rPr/>
        <w:t>public</w:t>
      </w:r>
      <w:r>
        <w:rPr>
          <w:spacing w:val="-3"/>
        </w:rPr>
        <w:t> </w:t>
      </w:r>
      <w:r>
        <w:rPr/>
        <w:t>services.</w:t>
      </w:r>
      <w:r>
        <w:rPr>
          <w:spacing w:val="-3"/>
        </w:rPr>
        <w:t> </w:t>
      </w:r>
      <w:r>
        <w:rPr/>
        <w:t>Specific</w:t>
      </w:r>
      <w:r>
        <w:rPr>
          <w:spacing w:val="-3"/>
        </w:rPr>
        <w:t> </w:t>
      </w:r>
      <w:r>
        <w:rPr/>
        <w:t>focus</w:t>
      </w:r>
      <w:r>
        <w:rPr>
          <w:spacing w:val="-3"/>
        </w:rPr>
        <w:t> </w:t>
      </w:r>
      <w:r>
        <w:rPr/>
        <w:t>areas</w:t>
      </w:r>
      <w:r>
        <w:rPr>
          <w:spacing w:val="-3"/>
        </w:rPr>
        <w:t> </w:t>
      </w:r>
      <w:r>
        <w:rPr/>
        <w:t>were identified to realise each of these objectives. NKC </w:t>
      </w:r>
      <w:r>
        <w:rPr>
          <w:spacing w:val="-4"/>
        </w:rPr>
        <w:t>carried</w:t>
      </w:r>
      <w:r>
        <w:rPr>
          <w:spacing w:val="-5"/>
        </w:rPr>
        <w:t> </w:t>
      </w:r>
      <w:r>
        <w:rPr>
          <w:spacing w:val="-4"/>
        </w:rPr>
        <w:t>out</w:t>
      </w:r>
      <w:r>
        <w:rPr>
          <w:spacing w:val="-5"/>
        </w:rPr>
        <w:t> </w:t>
      </w:r>
      <w:r>
        <w:rPr>
          <w:spacing w:val="-4"/>
        </w:rPr>
        <w:t>wide</w:t>
      </w:r>
      <w:r>
        <w:rPr>
          <w:spacing w:val="-6"/>
        </w:rPr>
        <w:t> </w:t>
      </w:r>
      <w:r>
        <w:rPr>
          <w:spacing w:val="-4"/>
        </w:rPr>
        <w:t>stakeholder</w:t>
      </w:r>
      <w:r>
        <w:rPr>
          <w:spacing w:val="-6"/>
        </w:rPr>
        <w:t> </w:t>
      </w:r>
      <w:r>
        <w:rPr>
          <w:spacing w:val="-4"/>
        </w:rPr>
        <w:t>consultations,</w:t>
      </w:r>
      <w:r>
        <w:rPr>
          <w:spacing w:val="-6"/>
        </w:rPr>
        <w:t> </w:t>
      </w:r>
      <w:r>
        <w:rPr>
          <w:spacing w:val="-4"/>
        </w:rPr>
        <w:t>in</w:t>
      </w:r>
      <w:r>
        <w:rPr>
          <w:spacing w:val="-6"/>
        </w:rPr>
        <w:t> </w:t>
      </w:r>
      <w:r>
        <w:rPr>
          <w:spacing w:val="-4"/>
        </w:rPr>
        <w:t>particular </w:t>
      </w:r>
      <w:r>
        <w:rPr/>
        <w:t>engaging non-government organisations and experts in the form of Working Groups, while formulating </w:t>
      </w:r>
      <w:r>
        <w:rPr>
          <w:spacing w:val="-2"/>
        </w:rPr>
        <w:t>recommendations.</w:t>
      </w:r>
    </w:p>
    <w:p>
      <w:pPr>
        <w:pStyle w:val="BodyText"/>
        <w:spacing w:before="16"/>
      </w:pPr>
    </w:p>
    <w:p>
      <w:pPr>
        <w:pStyle w:val="BodyText"/>
        <w:spacing w:line="266" w:lineRule="auto"/>
        <w:ind w:left="319" w:right="1077"/>
        <w:jc w:val="both"/>
      </w:pPr>
      <w:r>
        <w:rPr/>
        <w:t>In three years NKC has submitted </w:t>
      </w:r>
      <w:r>
        <w:rPr/>
        <w:t>recommendations on 27 focus areas in the form of letters to the Prime </w:t>
      </w:r>
      <w:r>
        <w:rPr>
          <w:spacing w:val="-4"/>
        </w:rPr>
        <w:t>Minister.</w:t>
      </w:r>
      <w:r>
        <w:rPr>
          <w:spacing w:val="-10"/>
        </w:rPr>
        <w:t> </w:t>
      </w:r>
      <w:r>
        <w:rPr>
          <w:spacing w:val="-4"/>
        </w:rPr>
        <w:t>These</w:t>
      </w:r>
      <w:r>
        <w:rPr>
          <w:spacing w:val="-10"/>
        </w:rPr>
        <w:t> </w:t>
      </w:r>
      <w:r>
        <w:rPr>
          <w:spacing w:val="-4"/>
        </w:rPr>
        <w:t>have</w:t>
      </w:r>
      <w:r>
        <w:rPr>
          <w:spacing w:val="-8"/>
        </w:rPr>
        <w:t> </w:t>
      </w:r>
      <w:r>
        <w:rPr>
          <w:spacing w:val="-4"/>
        </w:rPr>
        <w:t>been</w:t>
      </w:r>
      <w:r>
        <w:rPr>
          <w:spacing w:val="-7"/>
        </w:rPr>
        <w:t> </w:t>
      </w:r>
      <w:r>
        <w:rPr>
          <w:spacing w:val="-4"/>
        </w:rPr>
        <w:t>widely</w:t>
      </w:r>
      <w:r>
        <w:rPr>
          <w:spacing w:val="-7"/>
        </w:rPr>
        <w:t> </w:t>
      </w:r>
      <w:r>
        <w:rPr>
          <w:spacing w:val="-4"/>
        </w:rPr>
        <w:t>disseminated</w:t>
      </w:r>
      <w:r>
        <w:rPr>
          <w:spacing w:val="-7"/>
        </w:rPr>
        <w:t> </w:t>
      </w:r>
      <w:r>
        <w:rPr>
          <w:spacing w:val="-4"/>
        </w:rPr>
        <w:t>in</w:t>
      </w:r>
      <w:r>
        <w:rPr>
          <w:spacing w:val="-7"/>
        </w:rPr>
        <w:t> </w:t>
      </w:r>
      <w:r>
        <w:rPr>
          <w:spacing w:val="-4"/>
        </w:rPr>
        <w:t>three </w:t>
      </w:r>
      <w:r>
        <w:rPr/>
        <w:t>compilations: ‘Report to the Nation 2006’, ‘Report</w:t>
      </w:r>
      <w:r>
        <w:rPr>
          <w:spacing w:val="40"/>
        </w:rPr>
        <w:t> </w:t>
      </w:r>
      <w:r>
        <w:rPr/>
        <w:t>to</w:t>
      </w:r>
      <w:r>
        <w:rPr>
          <w:spacing w:val="-10"/>
        </w:rPr>
        <w:t> </w:t>
      </w:r>
      <w:r>
        <w:rPr/>
        <w:t>the</w:t>
      </w:r>
      <w:r>
        <w:rPr>
          <w:spacing w:val="-10"/>
        </w:rPr>
        <w:t> </w:t>
      </w:r>
      <w:r>
        <w:rPr/>
        <w:t>Nation</w:t>
      </w:r>
      <w:r>
        <w:rPr>
          <w:spacing w:val="-10"/>
        </w:rPr>
        <w:t> </w:t>
      </w:r>
      <w:r>
        <w:rPr/>
        <w:t>2007’</w:t>
      </w:r>
      <w:r>
        <w:rPr>
          <w:spacing w:val="-10"/>
        </w:rPr>
        <w:t> </w:t>
      </w:r>
      <w:r>
        <w:rPr/>
        <w:t>as</w:t>
      </w:r>
      <w:r>
        <w:rPr>
          <w:spacing w:val="-10"/>
        </w:rPr>
        <w:t> </w:t>
      </w:r>
      <w:r>
        <w:rPr/>
        <w:t>well</w:t>
      </w:r>
      <w:r>
        <w:rPr>
          <w:spacing w:val="-10"/>
        </w:rPr>
        <w:t> </w:t>
      </w:r>
      <w:r>
        <w:rPr/>
        <w:t>as</w:t>
      </w:r>
      <w:r>
        <w:rPr>
          <w:spacing w:val="-10"/>
        </w:rPr>
        <w:t> </w:t>
      </w:r>
      <w:r>
        <w:rPr/>
        <w:t>‘Towards</w:t>
      </w:r>
      <w:r>
        <w:rPr>
          <w:spacing w:val="-10"/>
        </w:rPr>
        <w:t> </w:t>
      </w:r>
      <w:r>
        <w:rPr/>
        <w:t>a</w:t>
      </w:r>
      <w:r>
        <w:rPr>
          <w:spacing w:val="-10"/>
        </w:rPr>
        <w:t> </w:t>
      </w:r>
      <w:r>
        <w:rPr/>
        <w:t>Knowledge Society’ which is a compilation of the education </w:t>
      </w:r>
      <w:r>
        <w:rPr>
          <w:spacing w:val="-8"/>
        </w:rPr>
        <w:t>recommendations.</w:t>
      </w:r>
      <w:r>
        <w:rPr>
          <w:spacing w:val="-6"/>
        </w:rPr>
        <w:t> </w:t>
      </w:r>
      <w:r>
        <w:rPr>
          <w:spacing w:val="-8"/>
        </w:rPr>
        <w:t>The</w:t>
      </w:r>
      <w:r>
        <w:rPr/>
        <w:t> </w:t>
      </w:r>
      <w:r>
        <w:rPr>
          <w:spacing w:val="-8"/>
        </w:rPr>
        <w:t>recommendations,</w:t>
      </w:r>
      <w:r>
        <w:rPr/>
        <w:t> </w:t>
      </w:r>
      <w:r>
        <w:rPr>
          <w:spacing w:val="-8"/>
        </w:rPr>
        <w:t>also</w:t>
      </w:r>
      <w:r>
        <w:rPr/>
        <w:t> </w:t>
      </w:r>
      <w:r>
        <w:rPr>
          <w:spacing w:val="-8"/>
        </w:rPr>
        <w:t>accessible </w:t>
      </w:r>
      <w:r>
        <w:rPr/>
        <w:t>through</w:t>
      </w:r>
      <w:r>
        <w:rPr>
          <w:spacing w:val="-6"/>
        </w:rPr>
        <w:t> </w:t>
      </w:r>
      <w:r>
        <w:rPr/>
        <w:t>the</w:t>
      </w:r>
      <w:r>
        <w:rPr>
          <w:spacing w:val="-6"/>
        </w:rPr>
        <w:t> </w:t>
      </w:r>
      <w:r>
        <w:rPr/>
        <w:t>NKC</w:t>
      </w:r>
      <w:r>
        <w:rPr>
          <w:spacing w:val="-6"/>
        </w:rPr>
        <w:t> </w:t>
      </w:r>
      <w:r>
        <w:rPr/>
        <w:t>website,</w:t>
      </w:r>
      <w:r>
        <w:rPr>
          <w:spacing w:val="-6"/>
        </w:rPr>
        <w:t> </w:t>
      </w:r>
      <w:r>
        <w:rPr/>
        <w:t>have</w:t>
      </w:r>
      <w:r>
        <w:rPr>
          <w:spacing w:val="-6"/>
        </w:rPr>
        <w:t> </w:t>
      </w:r>
      <w:r>
        <w:rPr/>
        <w:t>been</w:t>
      </w:r>
      <w:r>
        <w:rPr>
          <w:spacing w:val="-6"/>
        </w:rPr>
        <w:t> </w:t>
      </w:r>
      <w:r>
        <w:rPr/>
        <w:t>widely</w:t>
      </w:r>
      <w:r>
        <w:rPr>
          <w:spacing w:val="-6"/>
        </w:rPr>
        <w:t> </w:t>
      </w:r>
      <w:r>
        <w:rPr/>
        <w:t>debated. NKC has also reached out to State Governments for developing</w:t>
      </w:r>
      <w:r>
        <w:rPr>
          <w:spacing w:val="-13"/>
        </w:rPr>
        <w:t> </w:t>
      </w:r>
      <w:r>
        <w:rPr/>
        <w:t>knowledge</w:t>
      </w:r>
      <w:r>
        <w:rPr>
          <w:spacing w:val="-14"/>
        </w:rPr>
        <w:t> </w:t>
      </w:r>
      <w:r>
        <w:rPr/>
        <w:t>initiatives</w:t>
      </w:r>
      <w:r>
        <w:rPr>
          <w:spacing w:val="-13"/>
        </w:rPr>
        <w:t> </w:t>
      </w:r>
      <w:r>
        <w:rPr/>
        <w:t>at</w:t>
      </w:r>
      <w:r>
        <w:rPr>
          <w:spacing w:val="-13"/>
        </w:rPr>
        <w:t> </w:t>
      </w:r>
      <w:r>
        <w:rPr/>
        <w:t>the</w:t>
      </w:r>
      <w:r>
        <w:rPr>
          <w:spacing w:val="-14"/>
        </w:rPr>
        <w:t> </w:t>
      </w:r>
      <w:r>
        <w:rPr/>
        <w:t>state</w:t>
      </w:r>
      <w:r>
        <w:rPr>
          <w:spacing w:val="-13"/>
        </w:rPr>
        <w:t> </w:t>
      </w:r>
      <w:r>
        <w:rPr/>
        <w:t>level.</w:t>
      </w:r>
    </w:p>
    <w:p>
      <w:pPr>
        <w:spacing w:after="0" w:line="266" w:lineRule="auto"/>
        <w:jc w:val="both"/>
        <w:sectPr>
          <w:type w:val="continuous"/>
          <w:pgSz w:w="11910" w:h="16840"/>
          <w:pgMar w:header="0" w:footer="675" w:top="1920" w:bottom="280" w:left="0" w:right="0"/>
          <w:cols w:num="2" w:equalWidth="0">
            <w:col w:w="5774" w:space="40"/>
            <w:col w:w="6096"/>
          </w:cols>
        </w:sectPr>
      </w:pPr>
    </w:p>
    <w:p>
      <w:pPr>
        <w:spacing w:before="89"/>
        <w:ind w:left="1104" w:right="0" w:firstLine="0"/>
        <w:jc w:val="left"/>
        <w:rPr>
          <w:rFonts w:ascii="Trebuchet MS"/>
          <w:b/>
          <w:sz w:val="56"/>
        </w:rPr>
      </w:pPr>
      <w:r>
        <w:rPr>
          <w:rFonts w:ascii="Trebuchet MS"/>
          <w:b/>
          <w:color w:val="2E614A"/>
          <w:sz w:val="56"/>
        </w:rPr>
        <w:t>Terms</w:t>
      </w:r>
      <w:r>
        <w:rPr>
          <w:rFonts w:ascii="Trebuchet MS"/>
          <w:b/>
          <w:color w:val="2E614A"/>
          <w:spacing w:val="-16"/>
          <w:sz w:val="56"/>
        </w:rPr>
        <w:t> </w:t>
      </w:r>
      <w:r>
        <w:rPr>
          <w:rFonts w:ascii="Trebuchet MS"/>
          <w:b/>
          <w:color w:val="2E614A"/>
          <w:sz w:val="56"/>
        </w:rPr>
        <w:t>of</w:t>
      </w:r>
      <w:r>
        <w:rPr>
          <w:rFonts w:ascii="Trebuchet MS"/>
          <w:b/>
          <w:color w:val="2E614A"/>
          <w:spacing w:val="-16"/>
          <w:sz w:val="56"/>
        </w:rPr>
        <w:t> </w:t>
      </w:r>
      <w:r>
        <w:rPr>
          <w:rFonts w:ascii="Trebuchet MS"/>
          <w:b/>
          <w:color w:val="2E614A"/>
          <w:sz w:val="56"/>
        </w:rPr>
        <w:t>Reference</w:t>
      </w:r>
      <w:r>
        <w:rPr>
          <w:rFonts w:ascii="Trebuchet MS"/>
          <w:b/>
          <w:color w:val="2E614A"/>
          <w:spacing w:val="-16"/>
          <w:sz w:val="56"/>
        </w:rPr>
        <w:t> </w:t>
      </w:r>
      <w:r>
        <w:rPr>
          <w:rFonts w:ascii="Trebuchet MS"/>
          <w:b/>
          <w:color w:val="2E614A"/>
          <w:sz w:val="56"/>
        </w:rPr>
        <w:t>and</w:t>
      </w:r>
      <w:r>
        <w:rPr>
          <w:rFonts w:ascii="Trebuchet MS"/>
          <w:b/>
          <w:color w:val="2E614A"/>
          <w:spacing w:val="-15"/>
          <w:sz w:val="56"/>
        </w:rPr>
        <w:t> </w:t>
      </w:r>
      <w:r>
        <w:rPr>
          <w:rFonts w:ascii="Trebuchet MS"/>
          <w:b/>
          <w:color w:val="2E614A"/>
          <w:spacing w:val="-2"/>
          <w:sz w:val="56"/>
        </w:rPr>
        <w:t>Organisation</w:t>
      </w:r>
    </w:p>
    <w:p>
      <w:pPr>
        <w:pStyle w:val="BodyText"/>
        <w:rPr>
          <w:rFonts w:ascii="Trebuchet MS"/>
          <w:b/>
          <w:sz w:val="20"/>
        </w:rPr>
      </w:pPr>
    </w:p>
    <w:p>
      <w:pPr>
        <w:pStyle w:val="BodyText"/>
        <w:spacing w:before="13"/>
        <w:rPr>
          <w:rFonts w:ascii="Trebuchet MS"/>
          <w:b/>
          <w:sz w:val="20"/>
        </w:rPr>
      </w:pPr>
    </w:p>
    <w:p>
      <w:pPr>
        <w:spacing w:after="0"/>
        <w:rPr>
          <w:rFonts w:ascii="Trebuchet MS"/>
          <w:sz w:val="20"/>
        </w:rPr>
        <w:sectPr>
          <w:pgSz w:w="11910" w:h="16840"/>
          <w:pgMar w:header="0" w:footer="675" w:top="860" w:bottom="860" w:left="0" w:right="0"/>
        </w:sectPr>
      </w:pPr>
    </w:p>
    <w:p>
      <w:pPr>
        <w:pStyle w:val="BodyText"/>
        <w:spacing w:line="266" w:lineRule="auto" w:before="82"/>
        <w:ind w:left="1079"/>
        <w:jc w:val="both"/>
      </w:pPr>
      <w:r>
        <w:rPr/>
        <w:t>The National Knowledge Commission (NKC) </w:t>
      </w:r>
      <w:r>
        <w:rPr/>
        <w:t>was constituted</w:t>
      </w:r>
      <w:r>
        <w:rPr>
          <w:spacing w:val="-14"/>
        </w:rPr>
        <w:t> </w:t>
      </w:r>
      <w:r>
        <w:rPr/>
        <w:t>on</w:t>
      </w:r>
      <w:r>
        <w:rPr>
          <w:spacing w:val="-13"/>
        </w:rPr>
        <w:t> </w:t>
      </w:r>
      <w:r>
        <w:rPr/>
        <w:t>13th</w:t>
      </w:r>
      <w:r>
        <w:rPr>
          <w:spacing w:val="-14"/>
        </w:rPr>
        <w:t> </w:t>
      </w:r>
      <w:r>
        <w:rPr/>
        <w:t>June</w:t>
      </w:r>
      <w:r>
        <w:rPr>
          <w:spacing w:val="-13"/>
        </w:rPr>
        <w:t> </w:t>
      </w:r>
      <w:r>
        <w:rPr/>
        <w:t>2005</w:t>
      </w:r>
      <w:r>
        <w:rPr>
          <w:spacing w:val="-14"/>
        </w:rPr>
        <w:t> </w:t>
      </w:r>
      <w:r>
        <w:rPr/>
        <w:t>as</w:t>
      </w:r>
      <w:r>
        <w:rPr>
          <w:spacing w:val="-13"/>
        </w:rPr>
        <w:t> </w:t>
      </w:r>
      <w:r>
        <w:rPr/>
        <w:t>a</w:t>
      </w:r>
      <w:r>
        <w:rPr>
          <w:spacing w:val="-14"/>
        </w:rPr>
        <w:t> </w:t>
      </w:r>
      <w:r>
        <w:rPr/>
        <w:t>high</w:t>
      </w:r>
      <w:r>
        <w:rPr>
          <w:spacing w:val="-13"/>
        </w:rPr>
        <w:t> </w:t>
      </w:r>
      <w:r>
        <w:rPr/>
        <w:t>level</w:t>
      </w:r>
      <w:r>
        <w:rPr>
          <w:spacing w:val="-14"/>
        </w:rPr>
        <w:t> </w:t>
      </w:r>
      <w:r>
        <w:rPr/>
        <w:t>advisory body to the Prime Minister of India. The vision for NKC</w:t>
      </w:r>
      <w:r>
        <w:rPr>
          <w:spacing w:val="-10"/>
        </w:rPr>
        <w:t> </w:t>
      </w:r>
      <w:r>
        <w:rPr/>
        <w:t>was</w:t>
      </w:r>
      <w:r>
        <w:rPr>
          <w:spacing w:val="-10"/>
        </w:rPr>
        <w:t> </w:t>
      </w:r>
      <w:r>
        <w:rPr/>
        <w:t>articulated</w:t>
      </w:r>
      <w:r>
        <w:rPr>
          <w:spacing w:val="-10"/>
        </w:rPr>
        <w:t> </w:t>
      </w:r>
      <w:r>
        <w:rPr/>
        <w:t>by</w:t>
      </w:r>
      <w:r>
        <w:rPr>
          <w:spacing w:val="-10"/>
        </w:rPr>
        <w:t> </w:t>
      </w:r>
      <w:r>
        <w:rPr/>
        <w:t>Dr.</w:t>
      </w:r>
      <w:r>
        <w:rPr>
          <w:spacing w:val="-10"/>
        </w:rPr>
        <w:t> </w:t>
      </w:r>
      <w:r>
        <w:rPr/>
        <w:t>Manmohan</w:t>
      </w:r>
      <w:r>
        <w:rPr>
          <w:spacing w:val="-10"/>
        </w:rPr>
        <w:t> </w:t>
      </w:r>
      <w:r>
        <w:rPr/>
        <w:t>Singh,</w:t>
      </w:r>
      <w:r>
        <w:rPr>
          <w:spacing w:val="-10"/>
        </w:rPr>
        <w:t> </w:t>
      </w:r>
      <w:r>
        <w:rPr/>
        <w:t>Prime Minister of India, in the following words:</w:t>
      </w:r>
    </w:p>
    <w:p>
      <w:pPr>
        <w:pStyle w:val="BodyText"/>
        <w:spacing w:before="22"/>
      </w:pPr>
    </w:p>
    <w:p>
      <w:pPr>
        <w:pStyle w:val="BodyText"/>
        <w:spacing w:line="266" w:lineRule="auto" w:before="1"/>
        <w:ind w:left="1079" w:right="1"/>
        <w:jc w:val="both"/>
      </w:pPr>
      <w:r>
        <w:rPr>
          <w:spacing w:val="-8"/>
        </w:rPr>
        <w:t>“The</w:t>
      </w:r>
      <w:r>
        <w:rPr>
          <w:spacing w:val="-6"/>
        </w:rPr>
        <w:t> </w:t>
      </w:r>
      <w:r>
        <w:rPr>
          <w:spacing w:val="-8"/>
        </w:rPr>
        <w:t>time</w:t>
      </w:r>
      <w:r>
        <w:rPr>
          <w:spacing w:val="-6"/>
        </w:rPr>
        <w:t> </w:t>
      </w:r>
      <w:r>
        <w:rPr>
          <w:spacing w:val="-8"/>
        </w:rPr>
        <w:t>has</w:t>
      </w:r>
      <w:r>
        <w:rPr>
          <w:spacing w:val="-6"/>
        </w:rPr>
        <w:t> </w:t>
      </w:r>
      <w:r>
        <w:rPr>
          <w:spacing w:val="-8"/>
        </w:rPr>
        <w:t>come</w:t>
      </w:r>
      <w:r>
        <w:rPr>
          <w:spacing w:val="-5"/>
        </w:rPr>
        <w:t> </w:t>
      </w:r>
      <w:r>
        <w:rPr>
          <w:spacing w:val="-8"/>
        </w:rPr>
        <w:t>to</w:t>
      </w:r>
      <w:r>
        <w:rPr>
          <w:spacing w:val="-6"/>
        </w:rPr>
        <w:t> </w:t>
      </w:r>
      <w:r>
        <w:rPr>
          <w:spacing w:val="-8"/>
        </w:rPr>
        <w:t>create</w:t>
      </w:r>
      <w:r>
        <w:rPr>
          <w:spacing w:val="-6"/>
        </w:rPr>
        <w:t> </w:t>
      </w:r>
      <w:r>
        <w:rPr>
          <w:spacing w:val="-8"/>
        </w:rPr>
        <w:t>a</w:t>
      </w:r>
      <w:r>
        <w:rPr>
          <w:spacing w:val="-6"/>
        </w:rPr>
        <w:t> </w:t>
      </w:r>
      <w:r>
        <w:rPr>
          <w:spacing w:val="-8"/>
        </w:rPr>
        <w:t>second</w:t>
      </w:r>
      <w:r>
        <w:rPr>
          <w:spacing w:val="-5"/>
        </w:rPr>
        <w:t> </w:t>
      </w:r>
      <w:r>
        <w:rPr>
          <w:spacing w:val="-8"/>
        </w:rPr>
        <w:t>wave</w:t>
      </w:r>
      <w:r>
        <w:rPr>
          <w:spacing w:val="-6"/>
        </w:rPr>
        <w:t> </w:t>
      </w:r>
      <w:r>
        <w:rPr>
          <w:spacing w:val="-8"/>
        </w:rPr>
        <w:t>of</w:t>
      </w:r>
      <w:r>
        <w:rPr>
          <w:spacing w:val="-6"/>
        </w:rPr>
        <w:t> </w:t>
      </w:r>
      <w:r>
        <w:rPr>
          <w:spacing w:val="-8"/>
        </w:rPr>
        <w:t>institution </w:t>
      </w:r>
      <w:r>
        <w:rPr/>
        <w:t>building,</w:t>
      </w:r>
      <w:r>
        <w:rPr>
          <w:spacing w:val="-4"/>
        </w:rPr>
        <w:t> </w:t>
      </w:r>
      <w:r>
        <w:rPr/>
        <w:t>and</w:t>
      </w:r>
      <w:r>
        <w:rPr>
          <w:spacing w:val="-4"/>
        </w:rPr>
        <w:t> </w:t>
      </w:r>
      <w:r>
        <w:rPr/>
        <w:t>of</w:t>
      </w:r>
      <w:r>
        <w:rPr>
          <w:spacing w:val="-4"/>
        </w:rPr>
        <w:t> </w:t>
      </w:r>
      <w:r>
        <w:rPr/>
        <w:t>excellence</w:t>
      </w:r>
      <w:r>
        <w:rPr>
          <w:spacing w:val="-4"/>
        </w:rPr>
        <w:t> </w:t>
      </w:r>
      <w:r>
        <w:rPr/>
        <w:t>in</w:t>
      </w:r>
      <w:r>
        <w:rPr>
          <w:spacing w:val="-4"/>
        </w:rPr>
        <w:t> </w:t>
      </w:r>
      <w:r>
        <w:rPr/>
        <w:t>the</w:t>
      </w:r>
      <w:r>
        <w:rPr>
          <w:spacing w:val="-4"/>
        </w:rPr>
        <w:t> </w:t>
      </w:r>
      <w:r>
        <w:rPr/>
        <w:t>fields</w:t>
      </w:r>
      <w:r>
        <w:rPr>
          <w:spacing w:val="-4"/>
        </w:rPr>
        <w:t> </w:t>
      </w:r>
      <w:r>
        <w:rPr/>
        <w:t>of</w:t>
      </w:r>
      <w:r>
        <w:rPr>
          <w:spacing w:val="-4"/>
        </w:rPr>
        <w:t> </w:t>
      </w:r>
      <w:r>
        <w:rPr/>
        <w:t>education, research and capability building.”</w:t>
      </w:r>
    </w:p>
    <w:p>
      <w:pPr>
        <w:pStyle w:val="BodyText"/>
        <w:spacing w:before="24"/>
      </w:pPr>
    </w:p>
    <w:p>
      <w:pPr>
        <w:pStyle w:val="BodyText"/>
        <w:ind w:left="1079"/>
        <w:jc w:val="both"/>
      </w:pPr>
      <w:r>
        <w:rPr>
          <w:spacing w:val="-4"/>
        </w:rPr>
        <w:t>The</w:t>
      </w:r>
      <w:r>
        <w:rPr>
          <w:spacing w:val="-10"/>
        </w:rPr>
        <w:t> </w:t>
      </w:r>
      <w:r>
        <w:rPr>
          <w:spacing w:val="-4"/>
        </w:rPr>
        <w:t>Terms</w:t>
      </w:r>
      <w:r>
        <w:rPr>
          <w:spacing w:val="-10"/>
        </w:rPr>
        <w:t> </w:t>
      </w:r>
      <w:r>
        <w:rPr>
          <w:spacing w:val="-4"/>
        </w:rPr>
        <w:t>of</w:t>
      </w:r>
      <w:r>
        <w:rPr>
          <w:spacing w:val="-10"/>
        </w:rPr>
        <w:t> </w:t>
      </w:r>
      <w:r>
        <w:rPr>
          <w:spacing w:val="-4"/>
        </w:rPr>
        <w:t>Reference</w:t>
      </w:r>
      <w:r>
        <w:rPr>
          <w:spacing w:val="-7"/>
        </w:rPr>
        <w:t> </w:t>
      </w:r>
      <w:r>
        <w:rPr>
          <w:spacing w:val="-4"/>
        </w:rPr>
        <w:t>of</w:t>
      </w:r>
      <w:r>
        <w:rPr>
          <w:spacing w:val="-8"/>
        </w:rPr>
        <w:t> </w:t>
      </w:r>
      <w:r>
        <w:rPr>
          <w:spacing w:val="-4"/>
        </w:rPr>
        <w:t>NKC</w:t>
      </w:r>
      <w:r>
        <w:rPr>
          <w:spacing w:val="-7"/>
        </w:rPr>
        <w:t> </w:t>
      </w:r>
      <w:r>
        <w:rPr>
          <w:spacing w:val="-4"/>
        </w:rPr>
        <w:t>are:</w:t>
      </w:r>
    </w:p>
    <w:p>
      <w:pPr>
        <w:pStyle w:val="BodyText"/>
        <w:spacing w:before="54"/>
      </w:pPr>
    </w:p>
    <w:p>
      <w:pPr>
        <w:pStyle w:val="ListParagraph"/>
        <w:numPr>
          <w:ilvl w:val="0"/>
          <w:numId w:val="2"/>
        </w:numPr>
        <w:tabs>
          <w:tab w:pos="1439" w:val="left" w:leader="none"/>
        </w:tabs>
        <w:spacing w:line="266" w:lineRule="auto" w:before="0" w:after="0"/>
        <w:ind w:left="1439" w:right="0" w:hanging="360"/>
        <w:jc w:val="both"/>
        <w:rPr>
          <w:sz w:val="22"/>
        </w:rPr>
      </w:pPr>
      <w:r>
        <w:rPr>
          <w:spacing w:val="-2"/>
          <w:sz w:val="22"/>
        </w:rPr>
        <w:t>Build</w:t>
      </w:r>
      <w:r>
        <w:rPr>
          <w:spacing w:val="-12"/>
          <w:sz w:val="22"/>
        </w:rPr>
        <w:t> </w:t>
      </w:r>
      <w:r>
        <w:rPr>
          <w:spacing w:val="-2"/>
          <w:sz w:val="22"/>
        </w:rPr>
        <w:t>excellence</w:t>
      </w:r>
      <w:r>
        <w:rPr>
          <w:spacing w:val="-12"/>
          <w:sz w:val="22"/>
        </w:rPr>
        <w:t> </w:t>
      </w:r>
      <w:r>
        <w:rPr>
          <w:spacing w:val="-2"/>
          <w:sz w:val="22"/>
        </w:rPr>
        <w:t>in</w:t>
      </w:r>
      <w:r>
        <w:rPr>
          <w:spacing w:val="-12"/>
          <w:sz w:val="22"/>
        </w:rPr>
        <w:t> </w:t>
      </w:r>
      <w:r>
        <w:rPr>
          <w:spacing w:val="-2"/>
          <w:sz w:val="22"/>
        </w:rPr>
        <w:t>the</w:t>
      </w:r>
      <w:r>
        <w:rPr>
          <w:spacing w:val="-11"/>
          <w:sz w:val="22"/>
        </w:rPr>
        <w:t> </w:t>
      </w:r>
      <w:r>
        <w:rPr>
          <w:spacing w:val="-2"/>
          <w:sz w:val="22"/>
        </w:rPr>
        <w:t>educational</w:t>
      </w:r>
      <w:r>
        <w:rPr>
          <w:spacing w:val="-12"/>
          <w:sz w:val="22"/>
        </w:rPr>
        <w:t> </w:t>
      </w:r>
      <w:r>
        <w:rPr>
          <w:spacing w:val="-2"/>
          <w:sz w:val="22"/>
        </w:rPr>
        <w:t>system</w:t>
      </w:r>
      <w:r>
        <w:rPr>
          <w:spacing w:val="-12"/>
          <w:sz w:val="22"/>
        </w:rPr>
        <w:t> </w:t>
      </w:r>
      <w:r>
        <w:rPr>
          <w:spacing w:val="-2"/>
          <w:sz w:val="22"/>
        </w:rPr>
        <w:t>to</w:t>
      </w:r>
      <w:r>
        <w:rPr>
          <w:spacing w:val="-12"/>
          <w:sz w:val="22"/>
        </w:rPr>
        <w:t> </w:t>
      </w:r>
      <w:r>
        <w:rPr>
          <w:spacing w:val="-2"/>
          <w:sz w:val="22"/>
        </w:rPr>
        <w:t>meet </w:t>
      </w:r>
      <w:r>
        <w:rPr>
          <w:sz w:val="22"/>
        </w:rPr>
        <w:t>the</w:t>
      </w:r>
      <w:r>
        <w:rPr>
          <w:spacing w:val="-7"/>
          <w:sz w:val="22"/>
        </w:rPr>
        <w:t> </w:t>
      </w:r>
      <w:r>
        <w:rPr>
          <w:sz w:val="22"/>
        </w:rPr>
        <w:t>knowledge</w:t>
      </w:r>
      <w:r>
        <w:rPr>
          <w:spacing w:val="-7"/>
          <w:sz w:val="22"/>
        </w:rPr>
        <w:t> </w:t>
      </w:r>
      <w:r>
        <w:rPr>
          <w:sz w:val="22"/>
        </w:rPr>
        <w:t>challenges</w:t>
      </w:r>
      <w:r>
        <w:rPr>
          <w:spacing w:val="-7"/>
          <w:sz w:val="22"/>
        </w:rPr>
        <w:t> </w:t>
      </w:r>
      <w:r>
        <w:rPr>
          <w:sz w:val="22"/>
        </w:rPr>
        <w:t>of</w:t>
      </w:r>
      <w:r>
        <w:rPr>
          <w:spacing w:val="-7"/>
          <w:sz w:val="22"/>
        </w:rPr>
        <w:t> </w:t>
      </w:r>
      <w:r>
        <w:rPr>
          <w:sz w:val="22"/>
        </w:rPr>
        <w:t>the</w:t>
      </w:r>
      <w:r>
        <w:rPr>
          <w:spacing w:val="-7"/>
          <w:sz w:val="22"/>
        </w:rPr>
        <w:t> </w:t>
      </w:r>
      <w:r>
        <w:rPr>
          <w:sz w:val="22"/>
        </w:rPr>
        <w:t>21st</w:t>
      </w:r>
      <w:r>
        <w:rPr>
          <w:spacing w:val="-7"/>
          <w:sz w:val="22"/>
        </w:rPr>
        <w:t> </w:t>
      </w:r>
      <w:r>
        <w:rPr>
          <w:sz w:val="22"/>
        </w:rPr>
        <w:t>century</w:t>
      </w:r>
      <w:r>
        <w:rPr>
          <w:spacing w:val="-7"/>
          <w:sz w:val="22"/>
        </w:rPr>
        <w:t> </w:t>
      </w:r>
      <w:r>
        <w:rPr>
          <w:sz w:val="22"/>
        </w:rPr>
        <w:t>and </w:t>
      </w:r>
      <w:r>
        <w:rPr>
          <w:spacing w:val="-2"/>
          <w:sz w:val="22"/>
        </w:rPr>
        <w:t>increase</w:t>
      </w:r>
      <w:r>
        <w:rPr>
          <w:spacing w:val="-9"/>
          <w:sz w:val="22"/>
        </w:rPr>
        <w:t> </w:t>
      </w:r>
      <w:r>
        <w:rPr>
          <w:spacing w:val="-2"/>
          <w:sz w:val="22"/>
        </w:rPr>
        <w:t>India’s</w:t>
      </w:r>
      <w:r>
        <w:rPr>
          <w:spacing w:val="-9"/>
          <w:sz w:val="22"/>
        </w:rPr>
        <w:t> </w:t>
      </w:r>
      <w:r>
        <w:rPr>
          <w:spacing w:val="-2"/>
          <w:sz w:val="22"/>
        </w:rPr>
        <w:t>competitive</w:t>
      </w:r>
      <w:r>
        <w:rPr>
          <w:spacing w:val="-9"/>
          <w:sz w:val="22"/>
        </w:rPr>
        <w:t> </w:t>
      </w:r>
      <w:r>
        <w:rPr>
          <w:spacing w:val="-2"/>
          <w:sz w:val="22"/>
        </w:rPr>
        <w:t>advantage</w:t>
      </w:r>
      <w:r>
        <w:rPr>
          <w:spacing w:val="-9"/>
          <w:sz w:val="22"/>
        </w:rPr>
        <w:t> </w:t>
      </w:r>
      <w:r>
        <w:rPr>
          <w:spacing w:val="-2"/>
          <w:sz w:val="22"/>
        </w:rPr>
        <w:t>in</w:t>
      </w:r>
      <w:r>
        <w:rPr>
          <w:spacing w:val="-9"/>
          <w:sz w:val="22"/>
        </w:rPr>
        <w:t> </w:t>
      </w:r>
      <w:r>
        <w:rPr>
          <w:spacing w:val="-2"/>
          <w:sz w:val="22"/>
        </w:rPr>
        <w:t>fields</w:t>
      </w:r>
      <w:r>
        <w:rPr>
          <w:spacing w:val="-9"/>
          <w:sz w:val="22"/>
        </w:rPr>
        <w:t> </w:t>
      </w:r>
      <w:r>
        <w:rPr>
          <w:spacing w:val="-2"/>
          <w:sz w:val="22"/>
        </w:rPr>
        <w:t>of knowledge.</w:t>
      </w:r>
    </w:p>
    <w:p>
      <w:pPr>
        <w:pStyle w:val="ListParagraph"/>
        <w:numPr>
          <w:ilvl w:val="0"/>
          <w:numId w:val="2"/>
        </w:numPr>
        <w:tabs>
          <w:tab w:pos="1439" w:val="left" w:leader="none"/>
        </w:tabs>
        <w:spacing w:line="266" w:lineRule="auto" w:before="0" w:after="0"/>
        <w:ind w:left="1439" w:right="0" w:hanging="360"/>
        <w:jc w:val="both"/>
        <w:rPr>
          <w:sz w:val="22"/>
        </w:rPr>
      </w:pPr>
      <w:r>
        <w:rPr>
          <w:sz w:val="22"/>
        </w:rPr>
        <w:t>Promote creation of knowledge in Science </w:t>
      </w:r>
      <w:r>
        <w:rPr>
          <w:sz w:val="22"/>
        </w:rPr>
        <w:t>&amp; Technology laboratories.</w:t>
      </w:r>
    </w:p>
    <w:p>
      <w:pPr>
        <w:pStyle w:val="ListParagraph"/>
        <w:numPr>
          <w:ilvl w:val="0"/>
          <w:numId w:val="2"/>
        </w:numPr>
        <w:tabs>
          <w:tab w:pos="1439" w:val="left" w:leader="none"/>
        </w:tabs>
        <w:spacing w:line="266" w:lineRule="auto" w:before="0" w:after="0"/>
        <w:ind w:left="1439" w:right="1" w:hanging="360"/>
        <w:jc w:val="both"/>
        <w:rPr>
          <w:sz w:val="22"/>
        </w:rPr>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ragraph">
                  <wp:posOffset>691717</wp:posOffset>
                </wp:positionV>
                <wp:extent cx="7560309" cy="470535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560309" cy="4705350"/>
                          <a:chExt cx="7560309" cy="4705350"/>
                        </a:xfrm>
                      </wpg:grpSpPr>
                      <wps:wsp>
                        <wps:cNvPr id="26" name="Graphic 26"/>
                        <wps:cNvSpPr/>
                        <wps:spPr>
                          <a:xfrm>
                            <a:off x="0" y="0"/>
                            <a:ext cx="7560309" cy="4705350"/>
                          </a:xfrm>
                          <a:custGeom>
                            <a:avLst/>
                            <a:gdLst/>
                            <a:ahLst/>
                            <a:cxnLst/>
                            <a:rect l="l" t="t" r="r" b="b"/>
                            <a:pathLst>
                              <a:path w="7560309" h="4705350">
                                <a:moveTo>
                                  <a:pt x="0" y="0"/>
                                </a:moveTo>
                                <a:lnTo>
                                  <a:pt x="0" y="4705350"/>
                                </a:lnTo>
                                <a:lnTo>
                                  <a:pt x="7559999" y="4705350"/>
                                </a:lnTo>
                                <a:lnTo>
                                  <a:pt x="7559999" y="0"/>
                                </a:lnTo>
                                <a:lnTo>
                                  <a:pt x="0" y="0"/>
                                </a:lnTo>
                                <a:close/>
                              </a:path>
                            </a:pathLst>
                          </a:custGeom>
                          <a:solidFill>
                            <a:srgbClr val="2E614A"/>
                          </a:solidFill>
                        </wps:spPr>
                        <wps:bodyPr wrap="square" lIns="0" tIns="0" rIns="0" bIns="0" rtlCol="0">
                          <a:prstTxWarp prst="textNoShape">
                            <a:avLst/>
                          </a:prstTxWarp>
                          <a:noAutofit/>
                        </wps:bodyPr>
                      </wps:wsp>
                      <wps:wsp>
                        <wps:cNvPr id="27" name="Graphic 27"/>
                        <wps:cNvSpPr/>
                        <wps:spPr>
                          <a:xfrm>
                            <a:off x="3798570" y="2760899"/>
                            <a:ext cx="937260" cy="467995"/>
                          </a:xfrm>
                          <a:custGeom>
                            <a:avLst/>
                            <a:gdLst/>
                            <a:ahLst/>
                            <a:cxnLst/>
                            <a:rect l="l" t="t" r="r" b="b"/>
                            <a:pathLst>
                              <a:path w="937260" h="467995">
                                <a:moveTo>
                                  <a:pt x="124650" y="187604"/>
                                </a:moveTo>
                                <a:lnTo>
                                  <a:pt x="88303" y="187604"/>
                                </a:lnTo>
                                <a:lnTo>
                                  <a:pt x="88303" y="0"/>
                                </a:lnTo>
                                <a:lnTo>
                                  <a:pt x="36347" y="0"/>
                                </a:lnTo>
                                <a:lnTo>
                                  <a:pt x="36347" y="187604"/>
                                </a:lnTo>
                                <a:lnTo>
                                  <a:pt x="0" y="187604"/>
                                </a:lnTo>
                                <a:lnTo>
                                  <a:pt x="62331" y="295554"/>
                                </a:lnTo>
                                <a:lnTo>
                                  <a:pt x="124650" y="187604"/>
                                </a:lnTo>
                                <a:close/>
                              </a:path>
                              <a:path w="937260" h="467995">
                                <a:moveTo>
                                  <a:pt x="937044" y="405218"/>
                                </a:moveTo>
                                <a:lnTo>
                                  <a:pt x="829094" y="342900"/>
                                </a:lnTo>
                                <a:lnTo>
                                  <a:pt x="829094" y="379247"/>
                                </a:lnTo>
                                <a:lnTo>
                                  <a:pt x="641477" y="379247"/>
                                </a:lnTo>
                                <a:lnTo>
                                  <a:pt x="641477" y="431203"/>
                                </a:lnTo>
                                <a:lnTo>
                                  <a:pt x="829094" y="431203"/>
                                </a:lnTo>
                                <a:lnTo>
                                  <a:pt x="829094" y="467550"/>
                                </a:lnTo>
                                <a:lnTo>
                                  <a:pt x="937044" y="405218"/>
                                </a:lnTo>
                                <a:close/>
                              </a:path>
                            </a:pathLst>
                          </a:custGeom>
                          <a:solidFill>
                            <a:srgbClr val="8B9D90"/>
                          </a:solidFill>
                        </wps:spPr>
                        <wps:bodyPr wrap="square" lIns="0" tIns="0" rIns="0" bIns="0" rtlCol="0">
                          <a:prstTxWarp prst="textNoShape">
                            <a:avLst/>
                          </a:prstTxWarp>
                          <a:noAutofit/>
                        </wps:bodyPr>
                      </wps:wsp>
                      <pic:pic>
                        <pic:nvPicPr>
                          <pic:cNvPr id="28" name="Image 28"/>
                          <pic:cNvPicPr/>
                        </pic:nvPicPr>
                        <pic:blipFill>
                          <a:blip r:embed="rId15" cstate="print"/>
                          <a:stretch>
                            <a:fillRect/>
                          </a:stretch>
                        </pic:blipFill>
                        <pic:spPr>
                          <a:xfrm>
                            <a:off x="2983017" y="3103789"/>
                            <a:ext cx="301913" cy="207200"/>
                          </a:xfrm>
                          <a:prstGeom prst="rect">
                            <a:avLst/>
                          </a:prstGeom>
                        </pic:spPr>
                      </pic:pic>
                      <wps:wsp>
                        <wps:cNvPr id="29" name="Graphic 29"/>
                        <wps:cNvSpPr/>
                        <wps:spPr>
                          <a:xfrm>
                            <a:off x="4433697" y="3186349"/>
                            <a:ext cx="295910" cy="125095"/>
                          </a:xfrm>
                          <a:custGeom>
                            <a:avLst/>
                            <a:gdLst/>
                            <a:ahLst/>
                            <a:cxnLst/>
                            <a:rect l="l" t="t" r="r" b="b"/>
                            <a:pathLst>
                              <a:path w="295910" h="125095">
                                <a:moveTo>
                                  <a:pt x="295567" y="36347"/>
                                </a:moveTo>
                                <a:lnTo>
                                  <a:pt x="107950" y="36347"/>
                                </a:lnTo>
                                <a:lnTo>
                                  <a:pt x="107950" y="0"/>
                                </a:lnTo>
                                <a:lnTo>
                                  <a:pt x="0" y="62318"/>
                                </a:lnTo>
                                <a:lnTo>
                                  <a:pt x="107950" y="124650"/>
                                </a:lnTo>
                                <a:lnTo>
                                  <a:pt x="107950" y="88303"/>
                                </a:lnTo>
                                <a:lnTo>
                                  <a:pt x="295567" y="88303"/>
                                </a:lnTo>
                                <a:lnTo>
                                  <a:pt x="295567" y="36347"/>
                                </a:lnTo>
                                <a:close/>
                              </a:path>
                            </a:pathLst>
                          </a:custGeom>
                          <a:solidFill>
                            <a:srgbClr val="8B9D90"/>
                          </a:solidFill>
                        </wps:spPr>
                        <wps:bodyPr wrap="square" lIns="0" tIns="0" rIns="0" bIns="0" rtlCol="0">
                          <a:prstTxWarp prst="textNoShape">
                            <a:avLst/>
                          </a:prstTxWarp>
                          <a:noAutofit/>
                        </wps:bodyPr>
                      </wps:wsp>
                      <wps:wsp>
                        <wps:cNvPr id="30" name="Textbox 30"/>
                        <wps:cNvSpPr txBox="1"/>
                        <wps:spPr>
                          <a:xfrm>
                            <a:off x="0" y="0"/>
                            <a:ext cx="7560309" cy="4705350"/>
                          </a:xfrm>
                          <a:prstGeom prst="rect">
                            <a:avLst/>
                          </a:prstGeom>
                        </wps:spPr>
                        <wps:txbx>
                          <w:txbxContent>
                            <w:p>
                              <w:pPr>
                                <w:spacing w:before="266"/>
                                <w:ind w:left="0" w:right="75" w:firstLine="0"/>
                                <w:jc w:val="center"/>
                                <w:rPr>
                                  <w:rFonts w:ascii="Trebuchet MS"/>
                                  <w:b/>
                                  <w:sz w:val="36"/>
                                </w:rPr>
                              </w:pPr>
                              <w:r>
                                <w:rPr>
                                  <w:rFonts w:ascii="Trebuchet MS"/>
                                  <w:b/>
                                  <w:color w:val="FFFFFF"/>
                                  <w:spacing w:val="-2"/>
                                  <w:sz w:val="36"/>
                                </w:rPr>
                                <w:t>Organisation</w:t>
                              </w:r>
                            </w:p>
                            <w:p>
                              <w:pPr>
                                <w:spacing w:line="266" w:lineRule="auto" w:before="130"/>
                                <w:ind w:left="1958" w:right="2053" w:firstLine="0"/>
                                <w:jc w:val="left"/>
                                <w:rPr>
                                  <w:sz w:val="22"/>
                                </w:rPr>
                              </w:pPr>
                              <w:r>
                                <w:rPr>
                                  <w:color w:val="FFFFFF"/>
                                  <w:spacing w:val="-2"/>
                                  <w:sz w:val="22"/>
                                </w:rPr>
                                <w:t>NKC</w:t>
                              </w:r>
                              <w:r>
                                <w:rPr>
                                  <w:color w:val="FFFFFF"/>
                                  <w:spacing w:val="-10"/>
                                  <w:sz w:val="22"/>
                                </w:rPr>
                                <w:t> </w:t>
                              </w:r>
                              <w:r>
                                <w:rPr>
                                  <w:color w:val="FFFFFF"/>
                                  <w:spacing w:val="-2"/>
                                  <w:sz w:val="22"/>
                                </w:rPr>
                                <w:t>consists</w:t>
                              </w:r>
                              <w:r>
                                <w:rPr>
                                  <w:color w:val="FFFFFF"/>
                                  <w:spacing w:val="-10"/>
                                  <w:sz w:val="22"/>
                                </w:rPr>
                                <w:t> </w:t>
                              </w:r>
                              <w:r>
                                <w:rPr>
                                  <w:color w:val="FFFFFF"/>
                                  <w:spacing w:val="-2"/>
                                  <w:sz w:val="22"/>
                                </w:rPr>
                                <w:t>of</w:t>
                              </w:r>
                              <w:r>
                                <w:rPr>
                                  <w:color w:val="FFFFFF"/>
                                  <w:spacing w:val="-10"/>
                                  <w:sz w:val="22"/>
                                </w:rPr>
                                <w:t> </w:t>
                              </w:r>
                              <w:r>
                                <w:rPr>
                                  <w:color w:val="FFFFFF"/>
                                  <w:spacing w:val="-2"/>
                                  <w:sz w:val="22"/>
                                </w:rPr>
                                <w:t>eight</w:t>
                              </w:r>
                              <w:r>
                                <w:rPr>
                                  <w:color w:val="FFFFFF"/>
                                  <w:spacing w:val="-10"/>
                                  <w:sz w:val="22"/>
                                </w:rPr>
                                <w:t> </w:t>
                              </w:r>
                              <w:r>
                                <w:rPr>
                                  <w:color w:val="FFFFFF"/>
                                  <w:spacing w:val="-2"/>
                                  <w:sz w:val="22"/>
                                </w:rPr>
                                <w:t>Members,</w:t>
                              </w:r>
                              <w:r>
                                <w:rPr>
                                  <w:color w:val="FFFFFF"/>
                                  <w:spacing w:val="-10"/>
                                  <w:sz w:val="22"/>
                                </w:rPr>
                                <w:t> </w:t>
                              </w:r>
                              <w:r>
                                <w:rPr>
                                  <w:color w:val="FFFFFF"/>
                                  <w:spacing w:val="-2"/>
                                  <w:sz w:val="22"/>
                                </w:rPr>
                                <w:t>including</w:t>
                              </w:r>
                              <w:r>
                                <w:rPr>
                                  <w:color w:val="FFFFFF"/>
                                  <w:spacing w:val="-10"/>
                                  <w:sz w:val="22"/>
                                </w:rPr>
                                <w:t> </w:t>
                              </w:r>
                              <w:r>
                                <w:rPr>
                                  <w:color w:val="FFFFFF"/>
                                  <w:spacing w:val="-2"/>
                                  <w:sz w:val="22"/>
                                </w:rPr>
                                <w:t>the</w:t>
                              </w:r>
                              <w:r>
                                <w:rPr>
                                  <w:color w:val="FFFFFF"/>
                                  <w:spacing w:val="-10"/>
                                  <w:sz w:val="22"/>
                                </w:rPr>
                                <w:t> </w:t>
                              </w:r>
                              <w:r>
                                <w:rPr>
                                  <w:color w:val="FFFFFF"/>
                                  <w:spacing w:val="-2"/>
                                  <w:sz w:val="22"/>
                                </w:rPr>
                                <w:t>Chairman.</w:t>
                              </w:r>
                              <w:r>
                                <w:rPr>
                                  <w:color w:val="FFFFFF"/>
                                  <w:spacing w:val="-10"/>
                                  <w:sz w:val="22"/>
                                </w:rPr>
                                <w:t> </w:t>
                              </w:r>
                              <w:r>
                                <w:rPr>
                                  <w:color w:val="FFFFFF"/>
                                  <w:spacing w:val="-2"/>
                                  <w:sz w:val="22"/>
                                </w:rPr>
                                <w:t>All</w:t>
                              </w:r>
                              <w:r>
                                <w:rPr>
                                  <w:color w:val="FFFFFF"/>
                                  <w:spacing w:val="-10"/>
                                  <w:sz w:val="22"/>
                                </w:rPr>
                                <w:t> </w:t>
                              </w:r>
                              <w:r>
                                <w:rPr>
                                  <w:color w:val="FFFFFF"/>
                                  <w:spacing w:val="-2"/>
                                  <w:sz w:val="22"/>
                                </w:rPr>
                                <w:t>Members</w:t>
                              </w:r>
                              <w:r>
                                <w:rPr>
                                  <w:color w:val="FFFFFF"/>
                                  <w:spacing w:val="-10"/>
                                  <w:sz w:val="22"/>
                                </w:rPr>
                                <w:t> </w:t>
                              </w:r>
                              <w:r>
                                <w:rPr>
                                  <w:color w:val="FFFFFF"/>
                                  <w:spacing w:val="-2"/>
                                  <w:sz w:val="22"/>
                                </w:rPr>
                                <w:t>perform</w:t>
                              </w:r>
                              <w:r>
                                <w:rPr>
                                  <w:color w:val="FFFFFF"/>
                                  <w:spacing w:val="-10"/>
                                  <w:sz w:val="22"/>
                                </w:rPr>
                                <w:t> </w:t>
                              </w:r>
                              <w:r>
                                <w:rPr>
                                  <w:color w:val="FFFFFF"/>
                                  <w:spacing w:val="-2"/>
                                  <w:sz w:val="22"/>
                                </w:rPr>
                                <w:t>their</w:t>
                              </w:r>
                              <w:r>
                                <w:rPr>
                                  <w:color w:val="FFFFFF"/>
                                  <w:spacing w:val="-10"/>
                                  <w:sz w:val="22"/>
                                </w:rPr>
                                <w:t> </w:t>
                              </w:r>
                              <w:r>
                                <w:rPr>
                                  <w:color w:val="FFFFFF"/>
                                  <w:spacing w:val="-2"/>
                                  <w:sz w:val="22"/>
                                </w:rPr>
                                <w:t>duties </w:t>
                              </w:r>
                              <w:r>
                                <w:rPr>
                                  <w:color w:val="FFFFFF"/>
                                  <w:sz w:val="22"/>
                                </w:rPr>
                                <w:t>on a part-time basis and do not claim any remuneration.</w:t>
                              </w:r>
                            </w:p>
                            <w:p>
                              <w:pPr>
                                <w:spacing w:line="240" w:lineRule="auto" w:before="25"/>
                                <w:rPr>
                                  <w:sz w:val="22"/>
                                </w:rPr>
                              </w:pPr>
                            </w:p>
                            <w:p>
                              <w:pPr>
                                <w:spacing w:line="266" w:lineRule="auto" w:before="0"/>
                                <w:ind w:left="1958" w:right="2076" w:firstLine="0"/>
                                <w:jc w:val="left"/>
                                <w:rPr>
                                  <w:sz w:val="22"/>
                                </w:rPr>
                              </w:pPr>
                              <w:r>
                                <w:rPr>
                                  <w:color w:val="FFFFFF"/>
                                  <w:spacing w:val="-4"/>
                                  <w:sz w:val="22"/>
                                </w:rPr>
                                <w:t>The</w:t>
                              </w:r>
                              <w:r>
                                <w:rPr>
                                  <w:color w:val="FFFFFF"/>
                                  <w:spacing w:val="-12"/>
                                  <w:sz w:val="22"/>
                                </w:rPr>
                                <w:t> </w:t>
                              </w:r>
                              <w:r>
                                <w:rPr>
                                  <w:color w:val="FFFFFF"/>
                                  <w:spacing w:val="-4"/>
                                  <w:sz w:val="22"/>
                                </w:rPr>
                                <w:t>Members</w:t>
                              </w:r>
                              <w:r>
                                <w:rPr>
                                  <w:color w:val="FFFFFF"/>
                                  <w:spacing w:val="-10"/>
                                  <w:sz w:val="22"/>
                                </w:rPr>
                                <w:t> </w:t>
                              </w:r>
                              <w:r>
                                <w:rPr>
                                  <w:color w:val="FFFFFF"/>
                                  <w:spacing w:val="-4"/>
                                  <w:sz w:val="22"/>
                                </w:rPr>
                                <w:t>are</w:t>
                              </w:r>
                              <w:r>
                                <w:rPr>
                                  <w:color w:val="FFFFFF"/>
                                  <w:spacing w:val="-10"/>
                                  <w:sz w:val="22"/>
                                </w:rPr>
                                <w:t> </w:t>
                              </w:r>
                              <w:r>
                                <w:rPr>
                                  <w:color w:val="FFFFFF"/>
                                  <w:spacing w:val="-4"/>
                                  <w:sz w:val="22"/>
                                </w:rPr>
                                <w:t>assisted</w:t>
                              </w:r>
                              <w:r>
                                <w:rPr>
                                  <w:color w:val="FFFFFF"/>
                                  <w:spacing w:val="-9"/>
                                  <w:sz w:val="22"/>
                                </w:rPr>
                                <w:t> </w:t>
                              </w:r>
                              <w:r>
                                <w:rPr>
                                  <w:color w:val="FFFFFF"/>
                                  <w:spacing w:val="-4"/>
                                  <w:sz w:val="22"/>
                                </w:rPr>
                                <w:t>in</w:t>
                              </w:r>
                              <w:r>
                                <w:rPr>
                                  <w:color w:val="FFFFFF"/>
                                  <w:spacing w:val="-10"/>
                                  <w:sz w:val="22"/>
                                </w:rPr>
                                <w:t> </w:t>
                              </w:r>
                              <w:r>
                                <w:rPr>
                                  <w:color w:val="FFFFFF"/>
                                  <w:spacing w:val="-4"/>
                                  <w:sz w:val="22"/>
                                </w:rPr>
                                <w:t>their</w:t>
                              </w:r>
                              <w:r>
                                <w:rPr>
                                  <w:color w:val="FFFFFF"/>
                                  <w:spacing w:val="-10"/>
                                  <w:sz w:val="22"/>
                                </w:rPr>
                                <w:t> </w:t>
                              </w:r>
                              <w:r>
                                <w:rPr>
                                  <w:color w:val="FFFFFF"/>
                                  <w:spacing w:val="-4"/>
                                  <w:sz w:val="22"/>
                                </w:rPr>
                                <w:t>duties</w:t>
                              </w:r>
                              <w:r>
                                <w:rPr>
                                  <w:color w:val="FFFFFF"/>
                                  <w:spacing w:val="-10"/>
                                  <w:sz w:val="22"/>
                                </w:rPr>
                                <w:t> </w:t>
                              </w:r>
                              <w:r>
                                <w:rPr>
                                  <w:color w:val="FFFFFF"/>
                                  <w:spacing w:val="-4"/>
                                  <w:sz w:val="22"/>
                                </w:rPr>
                                <w:t>by</w:t>
                              </w:r>
                              <w:r>
                                <w:rPr>
                                  <w:color w:val="FFFFFF"/>
                                  <w:spacing w:val="-9"/>
                                  <w:sz w:val="22"/>
                                </w:rPr>
                                <w:t> </w:t>
                              </w:r>
                              <w:r>
                                <w:rPr>
                                  <w:color w:val="FFFFFF"/>
                                  <w:spacing w:val="-4"/>
                                  <w:sz w:val="22"/>
                                </w:rPr>
                                <w:t>a</w:t>
                              </w:r>
                              <w:r>
                                <w:rPr>
                                  <w:color w:val="FFFFFF"/>
                                  <w:spacing w:val="-10"/>
                                  <w:sz w:val="22"/>
                                </w:rPr>
                                <w:t> </w:t>
                              </w:r>
                              <w:r>
                                <w:rPr>
                                  <w:color w:val="FFFFFF"/>
                                  <w:spacing w:val="-4"/>
                                  <w:sz w:val="22"/>
                                </w:rPr>
                                <w:t>small</w:t>
                              </w:r>
                              <w:r>
                                <w:rPr>
                                  <w:color w:val="FFFFFF"/>
                                  <w:spacing w:val="-16"/>
                                  <w:sz w:val="22"/>
                                </w:rPr>
                                <w:t> </w:t>
                              </w:r>
                              <w:r>
                                <w:rPr>
                                  <w:color w:val="FFFFFF"/>
                                  <w:spacing w:val="-4"/>
                                  <w:sz w:val="22"/>
                                </w:rPr>
                                <w:t>Technical</w:t>
                              </w:r>
                              <w:r>
                                <w:rPr>
                                  <w:color w:val="FFFFFF"/>
                                  <w:spacing w:val="-10"/>
                                  <w:sz w:val="22"/>
                                </w:rPr>
                                <w:t> </w:t>
                              </w:r>
                              <w:r>
                                <w:rPr>
                                  <w:color w:val="FFFFFF"/>
                                  <w:spacing w:val="-4"/>
                                  <w:sz w:val="22"/>
                                </w:rPr>
                                <w:t>Support</w:t>
                              </w:r>
                              <w:r>
                                <w:rPr>
                                  <w:color w:val="FFFFFF"/>
                                  <w:spacing w:val="-10"/>
                                  <w:sz w:val="22"/>
                                </w:rPr>
                                <w:t> </w:t>
                              </w:r>
                              <w:r>
                                <w:rPr>
                                  <w:color w:val="FFFFFF"/>
                                  <w:spacing w:val="-4"/>
                                  <w:sz w:val="22"/>
                                </w:rPr>
                                <w:t>Staff.</w:t>
                              </w:r>
                              <w:r>
                                <w:rPr>
                                  <w:color w:val="FFFFFF"/>
                                  <w:spacing w:val="-16"/>
                                  <w:sz w:val="22"/>
                                </w:rPr>
                                <w:t> </w:t>
                              </w:r>
                              <w:r>
                                <w:rPr>
                                  <w:color w:val="FFFFFF"/>
                                  <w:spacing w:val="-4"/>
                                  <w:sz w:val="22"/>
                                </w:rPr>
                                <w:t>The</w:t>
                              </w:r>
                              <w:r>
                                <w:rPr>
                                  <w:color w:val="FFFFFF"/>
                                  <w:spacing w:val="-9"/>
                                  <w:sz w:val="22"/>
                                </w:rPr>
                                <w:t> </w:t>
                              </w:r>
                              <w:r>
                                <w:rPr>
                                  <w:color w:val="FFFFFF"/>
                                  <w:spacing w:val="-4"/>
                                  <w:sz w:val="22"/>
                                </w:rPr>
                                <w:t>Commission </w:t>
                              </w:r>
                              <w:r>
                                <w:rPr>
                                  <w:color w:val="FFFFFF"/>
                                  <w:sz w:val="22"/>
                                </w:rPr>
                                <w:t>is</w:t>
                              </w:r>
                              <w:r>
                                <w:rPr>
                                  <w:color w:val="FFFFFF"/>
                                  <w:spacing w:val="-9"/>
                                  <w:sz w:val="22"/>
                                </w:rPr>
                                <w:t> </w:t>
                              </w:r>
                              <w:r>
                                <w:rPr>
                                  <w:color w:val="FFFFFF"/>
                                  <w:sz w:val="22"/>
                                </w:rPr>
                                <w:t>also</w:t>
                              </w:r>
                              <w:r>
                                <w:rPr>
                                  <w:color w:val="FFFFFF"/>
                                  <w:spacing w:val="-9"/>
                                  <w:sz w:val="22"/>
                                </w:rPr>
                                <w:t> </w:t>
                              </w:r>
                              <w:r>
                                <w:rPr>
                                  <w:color w:val="FFFFFF"/>
                                  <w:sz w:val="22"/>
                                </w:rPr>
                                <w:t>free</w:t>
                              </w:r>
                              <w:r>
                                <w:rPr>
                                  <w:color w:val="FFFFFF"/>
                                  <w:spacing w:val="-9"/>
                                  <w:sz w:val="22"/>
                                </w:rPr>
                                <w:t> </w:t>
                              </w:r>
                              <w:r>
                                <w:rPr>
                                  <w:color w:val="FFFFFF"/>
                                  <w:sz w:val="22"/>
                                </w:rPr>
                                <w:t>to</w:t>
                              </w:r>
                              <w:r>
                                <w:rPr>
                                  <w:color w:val="FFFFFF"/>
                                  <w:spacing w:val="-9"/>
                                  <w:sz w:val="22"/>
                                </w:rPr>
                                <w:t> </w:t>
                              </w:r>
                              <w:r>
                                <w:rPr>
                                  <w:color w:val="FFFFFF"/>
                                  <w:sz w:val="22"/>
                                </w:rPr>
                                <w:t>co-opt</w:t>
                              </w:r>
                              <w:r>
                                <w:rPr>
                                  <w:color w:val="FFFFFF"/>
                                  <w:spacing w:val="-9"/>
                                  <w:sz w:val="22"/>
                                </w:rPr>
                                <w:t> </w:t>
                              </w:r>
                              <w:r>
                                <w:rPr>
                                  <w:color w:val="FFFFFF"/>
                                  <w:sz w:val="22"/>
                                </w:rPr>
                                <w:t>experts</w:t>
                              </w:r>
                              <w:r>
                                <w:rPr>
                                  <w:color w:val="FFFFFF"/>
                                  <w:spacing w:val="-9"/>
                                  <w:sz w:val="22"/>
                                </w:rPr>
                                <w:t> </w:t>
                              </w:r>
                              <w:r>
                                <w:rPr>
                                  <w:color w:val="FFFFFF"/>
                                  <w:sz w:val="22"/>
                                </w:rPr>
                                <w:t>to</w:t>
                              </w:r>
                              <w:r>
                                <w:rPr>
                                  <w:color w:val="FFFFFF"/>
                                  <w:spacing w:val="-9"/>
                                  <w:sz w:val="22"/>
                                </w:rPr>
                                <w:t> </w:t>
                              </w:r>
                              <w:r>
                                <w:rPr>
                                  <w:color w:val="FFFFFF"/>
                                  <w:sz w:val="22"/>
                                </w:rPr>
                                <w:t>assist</w:t>
                              </w:r>
                              <w:r>
                                <w:rPr>
                                  <w:color w:val="FFFFFF"/>
                                  <w:spacing w:val="-9"/>
                                  <w:sz w:val="22"/>
                                </w:rPr>
                                <w:t> </w:t>
                              </w:r>
                              <w:r>
                                <w:rPr>
                                  <w:color w:val="FFFFFF"/>
                                  <w:sz w:val="22"/>
                                </w:rPr>
                                <w:t>in</w:t>
                              </w:r>
                              <w:r>
                                <w:rPr>
                                  <w:color w:val="FFFFFF"/>
                                  <w:spacing w:val="-9"/>
                                  <w:sz w:val="22"/>
                                </w:rPr>
                                <w:t> </w:t>
                              </w:r>
                              <w:r>
                                <w:rPr>
                                  <w:color w:val="FFFFFF"/>
                                  <w:sz w:val="22"/>
                                </w:rPr>
                                <w:t>the</w:t>
                              </w:r>
                              <w:r>
                                <w:rPr>
                                  <w:color w:val="FFFFFF"/>
                                  <w:spacing w:val="-9"/>
                                  <w:sz w:val="22"/>
                                </w:rPr>
                                <w:t> </w:t>
                              </w:r>
                              <w:r>
                                <w:rPr>
                                  <w:color w:val="FFFFFF"/>
                                  <w:sz w:val="22"/>
                                </w:rPr>
                                <w:t>management</w:t>
                              </w:r>
                              <w:r>
                                <w:rPr>
                                  <w:color w:val="FFFFFF"/>
                                  <w:spacing w:val="-9"/>
                                  <w:sz w:val="22"/>
                                </w:rPr>
                                <w:t> </w:t>
                              </w:r>
                              <w:r>
                                <w:rPr>
                                  <w:color w:val="FFFFFF"/>
                                  <w:sz w:val="22"/>
                                </w:rPr>
                                <w:t>of</w:t>
                              </w:r>
                              <w:r>
                                <w:rPr>
                                  <w:color w:val="FFFFFF"/>
                                  <w:spacing w:val="-9"/>
                                  <w:sz w:val="22"/>
                                </w:rPr>
                                <w:t> </w:t>
                              </w:r>
                              <w:r>
                                <w:rPr>
                                  <w:color w:val="FFFFFF"/>
                                  <w:sz w:val="22"/>
                                </w:rPr>
                                <w:t>its</w:t>
                              </w:r>
                              <w:r>
                                <w:rPr>
                                  <w:color w:val="FFFFFF"/>
                                  <w:spacing w:val="-9"/>
                                  <w:sz w:val="22"/>
                                </w:rPr>
                                <w:t> </w:t>
                              </w:r>
                              <w:r>
                                <w:rPr>
                                  <w:color w:val="FFFFFF"/>
                                  <w:sz w:val="22"/>
                                </w:rPr>
                                <w:t>tasks.</w:t>
                              </w:r>
                            </w:p>
                            <w:p>
                              <w:pPr>
                                <w:spacing w:line="240" w:lineRule="auto" w:before="25"/>
                                <w:rPr>
                                  <w:sz w:val="22"/>
                                </w:rPr>
                              </w:pPr>
                            </w:p>
                            <w:p>
                              <w:pPr>
                                <w:spacing w:line="266" w:lineRule="auto" w:before="0"/>
                                <w:ind w:left="1958" w:right="2053" w:firstLine="0"/>
                                <w:jc w:val="left"/>
                                <w:rPr>
                                  <w:sz w:val="22"/>
                                </w:rPr>
                              </w:pPr>
                              <w:r>
                                <w:rPr>
                                  <w:color w:val="FFFFFF"/>
                                  <w:sz w:val="22"/>
                                </w:rPr>
                                <w:t>The Planning Commission is the nodal agency for the NKC for planning and budgeting </w:t>
                              </w:r>
                              <w:r>
                                <w:rPr>
                                  <w:color w:val="FFFFFF"/>
                                  <w:spacing w:val="-2"/>
                                  <w:sz w:val="22"/>
                                </w:rPr>
                                <w:t>purposes</w:t>
                              </w:r>
                              <w:r>
                                <w:rPr>
                                  <w:color w:val="FFFFFF"/>
                                  <w:spacing w:val="-5"/>
                                  <w:sz w:val="22"/>
                                </w:rPr>
                                <w:t> </w:t>
                              </w:r>
                              <w:r>
                                <w:rPr>
                                  <w:color w:val="FFFFFF"/>
                                  <w:spacing w:val="-2"/>
                                  <w:sz w:val="22"/>
                                </w:rPr>
                                <w:t>as</w:t>
                              </w:r>
                              <w:r>
                                <w:rPr>
                                  <w:color w:val="FFFFFF"/>
                                  <w:spacing w:val="-5"/>
                                  <w:sz w:val="22"/>
                                </w:rPr>
                                <w:t> </w:t>
                              </w:r>
                              <w:r>
                                <w:rPr>
                                  <w:color w:val="FFFFFF"/>
                                  <w:spacing w:val="-2"/>
                                  <w:sz w:val="22"/>
                                </w:rPr>
                                <w:t>well</w:t>
                              </w:r>
                              <w:r>
                                <w:rPr>
                                  <w:color w:val="FFFFFF"/>
                                  <w:spacing w:val="-5"/>
                                  <w:sz w:val="22"/>
                                </w:rPr>
                                <w:t> </w:t>
                              </w:r>
                              <w:r>
                                <w:rPr>
                                  <w:color w:val="FFFFFF"/>
                                  <w:spacing w:val="-2"/>
                                  <w:sz w:val="22"/>
                                </w:rPr>
                                <w:t>as</w:t>
                              </w:r>
                              <w:r>
                                <w:rPr>
                                  <w:color w:val="FFFFFF"/>
                                  <w:spacing w:val="-5"/>
                                  <w:sz w:val="22"/>
                                </w:rPr>
                                <w:t> </w:t>
                              </w:r>
                              <w:r>
                                <w:rPr>
                                  <w:color w:val="FFFFFF"/>
                                  <w:spacing w:val="-2"/>
                                  <w:sz w:val="22"/>
                                </w:rPr>
                                <w:t>for</w:t>
                              </w:r>
                              <w:r>
                                <w:rPr>
                                  <w:color w:val="FFFFFF"/>
                                  <w:spacing w:val="-5"/>
                                  <w:sz w:val="22"/>
                                </w:rPr>
                                <w:t> </w:t>
                              </w:r>
                              <w:r>
                                <w:rPr>
                                  <w:color w:val="FFFFFF"/>
                                  <w:spacing w:val="-2"/>
                                  <w:sz w:val="22"/>
                                </w:rPr>
                                <w:t>handling</w:t>
                              </w:r>
                              <w:r>
                                <w:rPr>
                                  <w:color w:val="FFFFFF"/>
                                  <w:spacing w:val="-5"/>
                                  <w:sz w:val="22"/>
                                </w:rPr>
                                <w:t> </w:t>
                              </w:r>
                              <w:r>
                                <w:rPr>
                                  <w:color w:val="FFFFFF"/>
                                  <w:spacing w:val="-2"/>
                                  <w:sz w:val="22"/>
                                </w:rPr>
                                <w:t>Parliament</w:t>
                              </w:r>
                              <w:r>
                                <w:rPr>
                                  <w:color w:val="FFFFFF"/>
                                  <w:spacing w:val="-5"/>
                                  <w:sz w:val="22"/>
                                </w:rPr>
                                <w:t> </w:t>
                              </w:r>
                              <w:r>
                                <w:rPr>
                                  <w:color w:val="FFFFFF"/>
                                  <w:spacing w:val="-2"/>
                                  <w:sz w:val="22"/>
                                </w:rPr>
                                <w:t>submissions</w:t>
                              </w:r>
                              <w:r>
                                <w:rPr>
                                  <w:color w:val="FFFFFF"/>
                                  <w:spacing w:val="-5"/>
                                  <w:sz w:val="22"/>
                                </w:rPr>
                                <w:t> </w:t>
                              </w:r>
                              <w:r>
                                <w:rPr>
                                  <w:color w:val="FFFFFF"/>
                                  <w:spacing w:val="-2"/>
                                  <w:sz w:val="22"/>
                                </w:rPr>
                                <w:t>or</w:t>
                              </w:r>
                              <w:r>
                                <w:rPr>
                                  <w:color w:val="FFFFFF"/>
                                  <w:spacing w:val="-5"/>
                                  <w:sz w:val="22"/>
                                </w:rPr>
                                <w:t> </w:t>
                              </w:r>
                              <w:r>
                                <w:rPr>
                                  <w:color w:val="FFFFFF"/>
                                  <w:spacing w:val="-2"/>
                                  <w:sz w:val="22"/>
                                </w:rPr>
                                <w:t>responses.</w:t>
                              </w:r>
                            </w:p>
                          </w:txbxContent>
                        </wps:txbx>
                        <wps:bodyPr wrap="square" lIns="0" tIns="0" rIns="0" bIns="0" rtlCol="0">
                          <a:noAutofit/>
                        </wps:bodyPr>
                      </wps:wsp>
                      <wps:wsp>
                        <wps:cNvPr id="31" name="Textbox 31"/>
                        <wps:cNvSpPr txBox="1"/>
                        <wps:spPr>
                          <a:xfrm>
                            <a:off x="3289404" y="3100593"/>
                            <a:ext cx="1143000" cy="774700"/>
                          </a:xfrm>
                          <a:prstGeom prst="rect">
                            <a:avLst/>
                          </a:prstGeom>
                          <a:solidFill>
                            <a:srgbClr val="2E614A"/>
                          </a:solidFill>
                          <a:ln w="6350">
                            <a:solidFill>
                              <a:srgbClr val="FFFFFF"/>
                            </a:solidFill>
                            <a:prstDash val="solid"/>
                          </a:ln>
                        </wps:spPr>
                        <wps:txbx>
                          <w:txbxContent>
                            <w:p>
                              <w:pPr>
                                <w:spacing w:before="49"/>
                                <w:ind w:left="0" w:right="0" w:firstLine="0"/>
                                <w:jc w:val="center"/>
                                <w:rPr>
                                  <w:rFonts w:ascii="Trebuchet MS"/>
                                  <w:b/>
                                  <w:color w:val="000000"/>
                                  <w:sz w:val="20"/>
                                </w:rPr>
                              </w:pPr>
                              <w:r>
                                <w:rPr>
                                  <w:rFonts w:ascii="Trebuchet MS"/>
                                  <w:b/>
                                  <w:color w:val="FFFFFF"/>
                                  <w:spacing w:val="-5"/>
                                  <w:sz w:val="20"/>
                                </w:rPr>
                                <w:t>NKC</w:t>
                              </w:r>
                            </w:p>
                            <w:p>
                              <w:pPr>
                                <w:tabs>
                                  <w:tab w:pos="470" w:val="left" w:leader="none"/>
                                  <w:tab w:pos="1782" w:val="left" w:leader="none"/>
                                </w:tabs>
                                <w:spacing w:before="48"/>
                                <w:ind w:left="19" w:right="0" w:firstLine="0"/>
                                <w:jc w:val="left"/>
                                <w:rPr>
                                  <w:rFonts w:ascii="Trebuchet MS"/>
                                  <w:color w:val="000000"/>
                                  <w:sz w:val="20"/>
                                </w:rPr>
                              </w:pPr>
                              <w:r>
                                <w:rPr>
                                  <w:color w:val="FFFFFF"/>
                                  <w:sz w:val="20"/>
                                  <w:shd w:fill="8B9D90" w:color="auto" w:val="clear"/>
                                </w:rPr>
                                <w:tab/>
                              </w:r>
                              <w:r>
                                <w:rPr>
                                  <w:rFonts w:ascii="Trebuchet MS"/>
                                  <w:color w:val="FFFFFF"/>
                                  <w:spacing w:val="-2"/>
                                  <w:sz w:val="20"/>
                                  <w:shd w:fill="8B9D90" w:color="auto" w:val="clear"/>
                                </w:rPr>
                                <w:t>Chairman</w:t>
                              </w:r>
                              <w:r>
                                <w:rPr>
                                  <w:rFonts w:ascii="Trebuchet MS"/>
                                  <w:color w:val="FFFFFF"/>
                                  <w:sz w:val="20"/>
                                  <w:shd w:fill="8B9D90" w:color="auto" w:val="clear"/>
                                </w:rPr>
                                <w:tab/>
                              </w:r>
                            </w:p>
                            <w:p>
                              <w:pPr>
                                <w:tabs>
                                  <w:tab w:pos="496" w:val="left" w:leader="none"/>
                                  <w:tab w:pos="1776" w:val="left" w:leader="none"/>
                                </w:tabs>
                                <w:spacing w:before="48"/>
                                <w:ind w:left="12" w:right="0" w:firstLine="0"/>
                                <w:jc w:val="left"/>
                                <w:rPr>
                                  <w:rFonts w:ascii="Trebuchet MS"/>
                                  <w:color w:val="000000"/>
                                  <w:sz w:val="20"/>
                                </w:rPr>
                              </w:pPr>
                              <w:r>
                                <w:rPr>
                                  <w:color w:val="FFFFFF"/>
                                  <w:sz w:val="20"/>
                                  <w:shd w:fill="8B9D90" w:color="auto" w:val="clear"/>
                                </w:rPr>
                                <w:tab/>
                              </w:r>
                              <w:r>
                                <w:rPr>
                                  <w:rFonts w:ascii="Trebuchet MS"/>
                                  <w:color w:val="FFFFFF"/>
                                  <w:spacing w:val="-2"/>
                                  <w:sz w:val="20"/>
                                  <w:shd w:fill="8B9D90" w:color="auto" w:val="clear"/>
                                </w:rPr>
                                <w:t>Members</w:t>
                              </w:r>
                              <w:r>
                                <w:rPr>
                                  <w:rFonts w:ascii="Trebuchet MS"/>
                                  <w:color w:val="FFFFFF"/>
                                  <w:sz w:val="20"/>
                                  <w:shd w:fill="8B9D90" w:color="auto" w:val="clear"/>
                                </w:rPr>
                                <w:tab/>
                              </w:r>
                            </w:p>
                            <w:p>
                              <w:pPr>
                                <w:tabs>
                                  <w:tab w:pos="680" w:val="left" w:leader="none"/>
                                  <w:tab w:pos="1776" w:val="left" w:leader="none"/>
                                </w:tabs>
                                <w:spacing w:before="48"/>
                                <w:ind w:left="12" w:right="0" w:firstLine="0"/>
                                <w:jc w:val="left"/>
                                <w:rPr>
                                  <w:rFonts w:ascii="Trebuchet MS"/>
                                  <w:color w:val="000000"/>
                                  <w:sz w:val="20"/>
                                </w:rPr>
                              </w:pPr>
                              <w:r>
                                <w:rPr>
                                  <w:color w:val="FFFFFF"/>
                                  <w:sz w:val="20"/>
                                  <w:shd w:fill="8B9D90" w:color="auto" w:val="clear"/>
                                </w:rPr>
                                <w:tab/>
                              </w:r>
                              <w:r>
                                <w:rPr>
                                  <w:rFonts w:ascii="Trebuchet MS"/>
                                  <w:color w:val="FFFFFF"/>
                                  <w:spacing w:val="-2"/>
                                  <w:sz w:val="20"/>
                                  <w:shd w:fill="8B9D90" w:color="auto" w:val="clear"/>
                                </w:rPr>
                                <w:t>Staff</w:t>
                              </w:r>
                              <w:r>
                                <w:rPr>
                                  <w:rFonts w:ascii="Trebuchet MS"/>
                                  <w:color w:val="FFFFFF"/>
                                  <w:sz w:val="20"/>
                                  <w:shd w:fill="8B9D90" w:color="auto" w:val="clear"/>
                                </w:rPr>
                                <w:tab/>
                              </w:r>
                            </w:p>
                          </w:txbxContent>
                        </wps:txbx>
                        <wps:bodyPr wrap="square" lIns="0" tIns="0" rIns="0" bIns="0" rtlCol="0">
                          <a:noAutofit/>
                        </wps:bodyPr>
                      </wps:wsp>
                      <wps:wsp>
                        <wps:cNvPr id="32" name="Textbox 32"/>
                        <wps:cNvSpPr txBox="1"/>
                        <wps:spPr>
                          <a:xfrm>
                            <a:off x="4764192" y="3098313"/>
                            <a:ext cx="876300" cy="360680"/>
                          </a:xfrm>
                          <a:prstGeom prst="rect">
                            <a:avLst/>
                          </a:prstGeom>
                          <a:ln w="6350">
                            <a:solidFill>
                              <a:srgbClr val="FFFFFF"/>
                            </a:solidFill>
                            <a:prstDash val="solid"/>
                          </a:ln>
                        </wps:spPr>
                        <wps:txbx>
                          <w:txbxContent>
                            <w:p>
                              <w:pPr>
                                <w:spacing w:line="290" w:lineRule="auto" w:before="0"/>
                                <w:ind w:left="400" w:right="225" w:hanging="174"/>
                                <w:jc w:val="left"/>
                                <w:rPr>
                                  <w:rFonts w:ascii="Trebuchet MS"/>
                                  <w:b/>
                                  <w:sz w:val="20"/>
                                </w:rPr>
                              </w:pPr>
                              <w:r>
                                <w:rPr>
                                  <w:rFonts w:ascii="Trebuchet MS"/>
                                  <w:b/>
                                  <w:color w:val="FFFFFF"/>
                                  <w:spacing w:val="-2"/>
                                  <w:sz w:val="20"/>
                                </w:rPr>
                                <w:t>Ministers/ States</w:t>
                              </w:r>
                            </w:p>
                          </w:txbxContent>
                        </wps:txbx>
                        <wps:bodyPr wrap="square" lIns="0" tIns="0" rIns="0" bIns="0" rtlCol="0">
                          <a:noAutofit/>
                        </wps:bodyPr>
                      </wps:wsp>
                      <wps:wsp>
                        <wps:cNvPr id="33" name="Textbox 33"/>
                        <wps:cNvSpPr txBox="1"/>
                        <wps:spPr>
                          <a:xfrm>
                            <a:off x="2137889" y="3097736"/>
                            <a:ext cx="850900" cy="371475"/>
                          </a:xfrm>
                          <a:prstGeom prst="rect">
                            <a:avLst/>
                          </a:prstGeom>
                          <a:ln w="6350">
                            <a:solidFill>
                              <a:srgbClr val="FFFFFF"/>
                            </a:solidFill>
                            <a:prstDash val="solid"/>
                          </a:ln>
                        </wps:spPr>
                        <wps:txbx>
                          <w:txbxContent>
                            <w:p>
                              <w:pPr>
                                <w:spacing w:line="290" w:lineRule="auto" w:before="13"/>
                                <w:ind w:left="113" w:right="112" w:firstLine="152"/>
                                <w:jc w:val="left"/>
                                <w:rPr>
                                  <w:rFonts w:ascii="Trebuchet MS"/>
                                  <w:b/>
                                  <w:sz w:val="20"/>
                                </w:rPr>
                              </w:pPr>
                              <w:r>
                                <w:rPr>
                                  <w:rFonts w:ascii="Trebuchet MS"/>
                                  <w:b/>
                                  <w:color w:val="FFFFFF"/>
                                  <w:spacing w:val="-2"/>
                                  <w:sz w:val="20"/>
                                </w:rPr>
                                <w:t>Planning Commission</w:t>
                              </w:r>
                            </w:p>
                          </w:txbxContent>
                        </wps:txbx>
                        <wps:bodyPr wrap="square" lIns="0" tIns="0" rIns="0" bIns="0" rtlCol="0">
                          <a:noAutofit/>
                        </wps:bodyPr>
                      </wps:wsp>
                      <wps:wsp>
                        <wps:cNvPr id="34" name="Textbox 34"/>
                        <wps:cNvSpPr txBox="1"/>
                        <wps:spPr>
                          <a:xfrm>
                            <a:off x="3289404" y="2551636"/>
                            <a:ext cx="1143000" cy="203200"/>
                          </a:xfrm>
                          <a:prstGeom prst="rect">
                            <a:avLst/>
                          </a:prstGeom>
                          <a:ln w="6350">
                            <a:solidFill>
                              <a:srgbClr val="FFFFFF"/>
                            </a:solidFill>
                            <a:prstDash val="solid"/>
                          </a:ln>
                        </wps:spPr>
                        <wps:txbx>
                          <w:txbxContent>
                            <w:p>
                              <w:pPr>
                                <w:spacing w:before="40"/>
                                <w:ind w:left="214" w:right="0" w:firstLine="0"/>
                                <w:jc w:val="left"/>
                                <w:rPr>
                                  <w:rFonts w:ascii="Trebuchet MS"/>
                                  <w:b/>
                                  <w:sz w:val="20"/>
                                </w:rPr>
                              </w:pPr>
                              <w:r>
                                <w:rPr>
                                  <w:rFonts w:ascii="Trebuchet MS"/>
                                  <w:b/>
                                  <w:color w:val="FFFFFF"/>
                                  <w:sz w:val="20"/>
                                </w:rPr>
                                <w:t>Prime </w:t>
                              </w:r>
                              <w:r>
                                <w:rPr>
                                  <w:rFonts w:ascii="Trebuchet MS"/>
                                  <w:b/>
                                  <w:color w:val="FFFFFF"/>
                                  <w:spacing w:val="-2"/>
                                  <w:sz w:val="20"/>
                                </w:rPr>
                                <w:t>Minister</w:t>
                              </w:r>
                            </w:p>
                          </w:txbxContent>
                        </wps:txbx>
                        <wps:bodyPr wrap="square" lIns="0" tIns="0" rIns="0" bIns="0" rtlCol="0">
                          <a:noAutofit/>
                        </wps:bodyPr>
                      </wps:wsp>
                    </wpg:wgp>
                  </a:graphicData>
                </a:graphic>
              </wp:anchor>
            </w:drawing>
          </mc:Choice>
          <mc:Fallback>
            <w:pict>
              <v:group style="position:absolute;margin-left:0pt;margin-top:54.465935pt;width:595.3pt;height:370.5pt;mso-position-horizontal-relative:page;mso-position-vertical-relative:paragraph;z-index:15733248" id="docshapegroup22" coordorigin="0,1089" coordsize="11906,7410">
                <v:rect style="position:absolute;left:0;top:1089;width:11906;height:7410" id="docshape23" filled="true" fillcolor="#2e614a" stroked="false">
                  <v:fill type="solid"/>
                </v:rect>
                <v:shape style="position:absolute;left:5982;top:5437;width:1476;height:737" id="docshape24" coordorigin="5982,5437" coordsize="1476,737" path="m6178,5733l6121,5733,6121,5437,6039,5437,6039,5733,5982,5733,6080,5903,6178,5733xm7458,6075l7288,5977,7288,6034,6992,6034,6992,6116,7288,6116,7288,6173,7458,6075xe" filled="true" fillcolor="#8b9d90" stroked="false">
                  <v:path arrowok="t"/>
                  <v:fill type="solid"/>
                </v:shape>
                <v:shape style="position:absolute;left:4697;top:5977;width:476;height:327" type="#_x0000_t75" id="docshape25" stroked="false">
                  <v:imagedata r:id="rId15" o:title=""/>
                </v:shape>
                <v:shape style="position:absolute;left:6982;top:6107;width:466;height:197" id="docshape26" coordorigin="6982,6107" coordsize="466,197" path="m7448,6164l7152,6164,7152,6107,6982,6205,7152,6303,7152,6246,7448,6246,7448,6164xe" filled="true" fillcolor="#8b9d90" stroked="false">
                  <v:path arrowok="t"/>
                  <v:fill type="solid"/>
                </v:shape>
                <v:shape style="position:absolute;left:0;top:1089;width:11906;height:7410" type="#_x0000_t202" id="docshape27" filled="false" stroked="false">
                  <v:textbox inset="0,0,0,0">
                    <w:txbxContent>
                      <w:p>
                        <w:pPr>
                          <w:spacing w:before="266"/>
                          <w:ind w:left="0" w:right="75" w:firstLine="0"/>
                          <w:jc w:val="center"/>
                          <w:rPr>
                            <w:rFonts w:ascii="Trebuchet MS"/>
                            <w:b/>
                            <w:sz w:val="36"/>
                          </w:rPr>
                        </w:pPr>
                        <w:r>
                          <w:rPr>
                            <w:rFonts w:ascii="Trebuchet MS"/>
                            <w:b/>
                            <w:color w:val="FFFFFF"/>
                            <w:spacing w:val="-2"/>
                            <w:sz w:val="36"/>
                          </w:rPr>
                          <w:t>Organisation</w:t>
                        </w:r>
                      </w:p>
                      <w:p>
                        <w:pPr>
                          <w:spacing w:line="266" w:lineRule="auto" w:before="130"/>
                          <w:ind w:left="1958" w:right="2053" w:firstLine="0"/>
                          <w:jc w:val="left"/>
                          <w:rPr>
                            <w:sz w:val="22"/>
                          </w:rPr>
                        </w:pPr>
                        <w:r>
                          <w:rPr>
                            <w:color w:val="FFFFFF"/>
                            <w:spacing w:val="-2"/>
                            <w:sz w:val="22"/>
                          </w:rPr>
                          <w:t>NKC</w:t>
                        </w:r>
                        <w:r>
                          <w:rPr>
                            <w:color w:val="FFFFFF"/>
                            <w:spacing w:val="-10"/>
                            <w:sz w:val="22"/>
                          </w:rPr>
                          <w:t> </w:t>
                        </w:r>
                        <w:r>
                          <w:rPr>
                            <w:color w:val="FFFFFF"/>
                            <w:spacing w:val="-2"/>
                            <w:sz w:val="22"/>
                          </w:rPr>
                          <w:t>consists</w:t>
                        </w:r>
                        <w:r>
                          <w:rPr>
                            <w:color w:val="FFFFFF"/>
                            <w:spacing w:val="-10"/>
                            <w:sz w:val="22"/>
                          </w:rPr>
                          <w:t> </w:t>
                        </w:r>
                        <w:r>
                          <w:rPr>
                            <w:color w:val="FFFFFF"/>
                            <w:spacing w:val="-2"/>
                            <w:sz w:val="22"/>
                          </w:rPr>
                          <w:t>of</w:t>
                        </w:r>
                        <w:r>
                          <w:rPr>
                            <w:color w:val="FFFFFF"/>
                            <w:spacing w:val="-10"/>
                            <w:sz w:val="22"/>
                          </w:rPr>
                          <w:t> </w:t>
                        </w:r>
                        <w:r>
                          <w:rPr>
                            <w:color w:val="FFFFFF"/>
                            <w:spacing w:val="-2"/>
                            <w:sz w:val="22"/>
                          </w:rPr>
                          <w:t>eight</w:t>
                        </w:r>
                        <w:r>
                          <w:rPr>
                            <w:color w:val="FFFFFF"/>
                            <w:spacing w:val="-10"/>
                            <w:sz w:val="22"/>
                          </w:rPr>
                          <w:t> </w:t>
                        </w:r>
                        <w:r>
                          <w:rPr>
                            <w:color w:val="FFFFFF"/>
                            <w:spacing w:val="-2"/>
                            <w:sz w:val="22"/>
                          </w:rPr>
                          <w:t>Members,</w:t>
                        </w:r>
                        <w:r>
                          <w:rPr>
                            <w:color w:val="FFFFFF"/>
                            <w:spacing w:val="-10"/>
                            <w:sz w:val="22"/>
                          </w:rPr>
                          <w:t> </w:t>
                        </w:r>
                        <w:r>
                          <w:rPr>
                            <w:color w:val="FFFFFF"/>
                            <w:spacing w:val="-2"/>
                            <w:sz w:val="22"/>
                          </w:rPr>
                          <w:t>including</w:t>
                        </w:r>
                        <w:r>
                          <w:rPr>
                            <w:color w:val="FFFFFF"/>
                            <w:spacing w:val="-10"/>
                            <w:sz w:val="22"/>
                          </w:rPr>
                          <w:t> </w:t>
                        </w:r>
                        <w:r>
                          <w:rPr>
                            <w:color w:val="FFFFFF"/>
                            <w:spacing w:val="-2"/>
                            <w:sz w:val="22"/>
                          </w:rPr>
                          <w:t>the</w:t>
                        </w:r>
                        <w:r>
                          <w:rPr>
                            <w:color w:val="FFFFFF"/>
                            <w:spacing w:val="-10"/>
                            <w:sz w:val="22"/>
                          </w:rPr>
                          <w:t> </w:t>
                        </w:r>
                        <w:r>
                          <w:rPr>
                            <w:color w:val="FFFFFF"/>
                            <w:spacing w:val="-2"/>
                            <w:sz w:val="22"/>
                          </w:rPr>
                          <w:t>Chairman.</w:t>
                        </w:r>
                        <w:r>
                          <w:rPr>
                            <w:color w:val="FFFFFF"/>
                            <w:spacing w:val="-10"/>
                            <w:sz w:val="22"/>
                          </w:rPr>
                          <w:t> </w:t>
                        </w:r>
                        <w:r>
                          <w:rPr>
                            <w:color w:val="FFFFFF"/>
                            <w:spacing w:val="-2"/>
                            <w:sz w:val="22"/>
                          </w:rPr>
                          <w:t>All</w:t>
                        </w:r>
                        <w:r>
                          <w:rPr>
                            <w:color w:val="FFFFFF"/>
                            <w:spacing w:val="-10"/>
                            <w:sz w:val="22"/>
                          </w:rPr>
                          <w:t> </w:t>
                        </w:r>
                        <w:r>
                          <w:rPr>
                            <w:color w:val="FFFFFF"/>
                            <w:spacing w:val="-2"/>
                            <w:sz w:val="22"/>
                          </w:rPr>
                          <w:t>Members</w:t>
                        </w:r>
                        <w:r>
                          <w:rPr>
                            <w:color w:val="FFFFFF"/>
                            <w:spacing w:val="-10"/>
                            <w:sz w:val="22"/>
                          </w:rPr>
                          <w:t> </w:t>
                        </w:r>
                        <w:r>
                          <w:rPr>
                            <w:color w:val="FFFFFF"/>
                            <w:spacing w:val="-2"/>
                            <w:sz w:val="22"/>
                          </w:rPr>
                          <w:t>perform</w:t>
                        </w:r>
                        <w:r>
                          <w:rPr>
                            <w:color w:val="FFFFFF"/>
                            <w:spacing w:val="-10"/>
                            <w:sz w:val="22"/>
                          </w:rPr>
                          <w:t> </w:t>
                        </w:r>
                        <w:r>
                          <w:rPr>
                            <w:color w:val="FFFFFF"/>
                            <w:spacing w:val="-2"/>
                            <w:sz w:val="22"/>
                          </w:rPr>
                          <w:t>their</w:t>
                        </w:r>
                        <w:r>
                          <w:rPr>
                            <w:color w:val="FFFFFF"/>
                            <w:spacing w:val="-10"/>
                            <w:sz w:val="22"/>
                          </w:rPr>
                          <w:t> </w:t>
                        </w:r>
                        <w:r>
                          <w:rPr>
                            <w:color w:val="FFFFFF"/>
                            <w:spacing w:val="-2"/>
                            <w:sz w:val="22"/>
                          </w:rPr>
                          <w:t>duties </w:t>
                        </w:r>
                        <w:r>
                          <w:rPr>
                            <w:color w:val="FFFFFF"/>
                            <w:sz w:val="22"/>
                          </w:rPr>
                          <w:t>on a part-time basis and do not claim any remuneration.</w:t>
                        </w:r>
                      </w:p>
                      <w:p>
                        <w:pPr>
                          <w:spacing w:line="240" w:lineRule="auto" w:before="25"/>
                          <w:rPr>
                            <w:sz w:val="22"/>
                          </w:rPr>
                        </w:pPr>
                      </w:p>
                      <w:p>
                        <w:pPr>
                          <w:spacing w:line="266" w:lineRule="auto" w:before="0"/>
                          <w:ind w:left="1958" w:right="2076" w:firstLine="0"/>
                          <w:jc w:val="left"/>
                          <w:rPr>
                            <w:sz w:val="22"/>
                          </w:rPr>
                        </w:pPr>
                        <w:r>
                          <w:rPr>
                            <w:color w:val="FFFFFF"/>
                            <w:spacing w:val="-4"/>
                            <w:sz w:val="22"/>
                          </w:rPr>
                          <w:t>The</w:t>
                        </w:r>
                        <w:r>
                          <w:rPr>
                            <w:color w:val="FFFFFF"/>
                            <w:spacing w:val="-12"/>
                            <w:sz w:val="22"/>
                          </w:rPr>
                          <w:t> </w:t>
                        </w:r>
                        <w:r>
                          <w:rPr>
                            <w:color w:val="FFFFFF"/>
                            <w:spacing w:val="-4"/>
                            <w:sz w:val="22"/>
                          </w:rPr>
                          <w:t>Members</w:t>
                        </w:r>
                        <w:r>
                          <w:rPr>
                            <w:color w:val="FFFFFF"/>
                            <w:spacing w:val="-10"/>
                            <w:sz w:val="22"/>
                          </w:rPr>
                          <w:t> </w:t>
                        </w:r>
                        <w:r>
                          <w:rPr>
                            <w:color w:val="FFFFFF"/>
                            <w:spacing w:val="-4"/>
                            <w:sz w:val="22"/>
                          </w:rPr>
                          <w:t>are</w:t>
                        </w:r>
                        <w:r>
                          <w:rPr>
                            <w:color w:val="FFFFFF"/>
                            <w:spacing w:val="-10"/>
                            <w:sz w:val="22"/>
                          </w:rPr>
                          <w:t> </w:t>
                        </w:r>
                        <w:r>
                          <w:rPr>
                            <w:color w:val="FFFFFF"/>
                            <w:spacing w:val="-4"/>
                            <w:sz w:val="22"/>
                          </w:rPr>
                          <w:t>assisted</w:t>
                        </w:r>
                        <w:r>
                          <w:rPr>
                            <w:color w:val="FFFFFF"/>
                            <w:spacing w:val="-9"/>
                            <w:sz w:val="22"/>
                          </w:rPr>
                          <w:t> </w:t>
                        </w:r>
                        <w:r>
                          <w:rPr>
                            <w:color w:val="FFFFFF"/>
                            <w:spacing w:val="-4"/>
                            <w:sz w:val="22"/>
                          </w:rPr>
                          <w:t>in</w:t>
                        </w:r>
                        <w:r>
                          <w:rPr>
                            <w:color w:val="FFFFFF"/>
                            <w:spacing w:val="-10"/>
                            <w:sz w:val="22"/>
                          </w:rPr>
                          <w:t> </w:t>
                        </w:r>
                        <w:r>
                          <w:rPr>
                            <w:color w:val="FFFFFF"/>
                            <w:spacing w:val="-4"/>
                            <w:sz w:val="22"/>
                          </w:rPr>
                          <w:t>their</w:t>
                        </w:r>
                        <w:r>
                          <w:rPr>
                            <w:color w:val="FFFFFF"/>
                            <w:spacing w:val="-10"/>
                            <w:sz w:val="22"/>
                          </w:rPr>
                          <w:t> </w:t>
                        </w:r>
                        <w:r>
                          <w:rPr>
                            <w:color w:val="FFFFFF"/>
                            <w:spacing w:val="-4"/>
                            <w:sz w:val="22"/>
                          </w:rPr>
                          <w:t>duties</w:t>
                        </w:r>
                        <w:r>
                          <w:rPr>
                            <w:color w:val="FFFFFF"/>
                            <w:spacing w:val="-10"/>
                            <w:sz w:val="22"/>
                          </w:rPr>
                          <w:t> </w:t>
                        </w:r>
                        <w:r>
                          <w:rPr>
                            <w:color w:val="FFFFFF"/>
                            <w:spacing w:val="-4"/>
                            <w:sz w:val="22"/>
                          </w:rPr>
                          <w:t>by</w:t>
                        </w:r>
                        <w:r>
                          <w:rPr>
                            <w:color w:val="FFFFFF"/>
                            <w:spacing w:val="-9"/>
                            <w:sz w:val="22"/>
                          </w:rPr>
                          <w:t> </w:t>
                        </w:r>
                        <w:r>
                          <w:rPr>
                            <w:color w:val="FFFFFF"/>
                            <w:spacing w:val="-4"/>
                            <w:sz w:val="22"/>
                          </w:rPr>
                          <w:t>a</w:t>
                        </w:r>
                        <w:r>
                          <w:rPr>
                            <w:color w:val="FFFFFF"/>
                            <w:spacing w:val="-10"/>
                            <w:sz w:val="22"/>
                          </w:rPr>
                          <w:t> </w:t>
                        </w:r>
                        <w:r>
                          <w:rPr>
                            <w:color w:val="FFFFFF"/>
                            <w:spacing w:val="-4"/>
                            <w:sz w:val="22"/>
                          </w:rPr>
                          <w:t>small</w:t>
                        </w:r>
                        <w:r>
                          <w:rPr>
                            <w:color w:val="FFFFFF"/>
                            <w:spacing w:val="-16"/>
                            <w:sz w:val="22"/>
                          </w:rPr>
                          <w:t> </w:t>
                        </w:r>
                        <w:r>
                          <w:rPr>
                            <w:color w:val="FFFFFF"/>
                            <w:spacing w:val="-4"/>
                            <w:sz w:val="22"/>
                          </w:rPr>
                          <w:t>Technical</w:t>
                        </w:r>
                        <w:r>
                          <w:rPr>
                            <w:color w:val="FFFFFF"/>
                            <w:spacing w:val="-10"/>
                            <w:sz w:val="22"/>
                          </w:rPr>
                          <w:t> </w:t>
                        </w:r>
                        <w:r>
                          <w:rPr>
                            <w:color w:val="FFFFFF"/>
                            <w:spacing w:val="-4"/>
                            <w:sz w:val="22"/>
                          </w:rPr>
                          <w:t>Support</w:t>
                        </w:r>
                        <w:r>
                          <w:rPr>
                            <w:color w:val="FFFFFF"/>
                            <w:spacing w:val="-10"/>
                            <w:sz w:val="22"/>
                          </w:rPr>
                          <w:t> </w:t>
                        </w:r>
                        <w:r>
                          <w:rPr>
                            <w:color w:val="FFFFFF"/>
                            <w:spacing w:val="-4"/>
                            <w:sz w:val="22"/>
                          </w:rPr>
                          <w:t>Staff.</w:t>
                        </w:r>
                        <w:r>
                          <w:rPr>
                            <w:color w:val="FFFFFF"/>
                            <w:spacing w:val="-16"/>
                            <w:sz w:val="22"/>
                          </w:rPr>
                          <w:t> </w:t>
                        </w:r>
                        <w:r>
                          <w:rPr>
                            <w:color w:val="FFFFFF"/>
                            <w:spacing w:val="-4"/>
                            <w:sz w:val="22"/>
                          </w:rPr>
                          <w:t>The</w:t>
                        </w:r>
                        <w:r>
                          <w:rPr>
                            <w:color w:val="FFFFFF"/>
                            <w:spacing w:val="-9"/>
                            <w:sz w:val="22"/>
                          </w:rPr>
                          <w:t> </w:t>
                        </w:r>
                        <w:r>
                          <w:rPr>
                            <w:color w:val="FFFFFF"/>
                            <w:spacing w:val="-4"/>
                            <w:sz w:val="22"/>
                          </w:rPr>
                          <w:t>Commission </w:t>
                        </w:r>
                        <w:r>
                          <w:rPr>
                            <w:color w:val="FFFFFF"/>
                            <w:sz w:val="22"/>
                          </w:rPr>
                          <w:t>is</w:t>
                        </w:r>
                        <w:r>
                          <w:rPr>
                            <w:color w:val="FFFFFF"/>
                            <w:spacing w:val="-9"/>
                            <w:sz w:val="22"/>
                          </w:rPr>
                          <w:t> </w:t>
                        </w:r>
                        <w:r>
                          <w:rPr>
                            <w:color w:val="FFFFFF"/>
                            <w:sz w:val="22"/>
                          </w:rPr>
                          <w:t>also</w:t>
                        </w:r>
                        <w:r>
                          <w:rPr>
                            <w:color w:val="FFFFFF"/>
                            <w:spacing w:val="-9"/>
                            <w:sz w:val="22"/>
                          </w:rPr>
                          <w:t> </w:t>
                        </w:r>
                        <w:r>
                          <w:rPr>
                            <w:color w:val="FFFFFF"/>
                            <w:sz w:val="22"/>
                          </w:rPr>
                          <w:t>free</w:t>
                        </w:r>
                        <w:r>
                          <w:rPr>
                            <w:color w:val="FFFFFF"/>
                            <w:spacing w:val="-9"/>
                            <w:sz w:val="22"/>
                          </w:rPr>
                          <w:t> </w:t>
                        </w:r>
                        <w:r>
                          <w:rPr>
                            <w:color w:val="FFFFFF"/>
                            <w:sz w:val="22"/>
                          </w:rPr>
                          <w:t>to</w:t>
                        </w:r>
                        <w:r>
                          <w:rPr>
                            <w:color w:val="FFFFFF"/>
                            <w:spacing w:val="-9"/>
                            <w:sz w:val="22"/>
                          </w:rPr>
                          <w:t> </w:t>
                        </w:r>
                        <w:r>
                          <w:rPr>
                            <w:color w:val="FFFFFF"/>
                            <w:sz w:val="22"/>
                          </w:rPr>
                          <w:t>co-opt</w:t>
                        </w:r>
                        <w:r>
                          <w:rPr>
                            <w:color w:val="FFFFFF"/>
                            <w:spacing w:val="-9"/>
                            <w:sz w:val="22"/>
                          </w:rPr>
                          <w:t> </w:t>
                        </w:r>
                        <w:r>
                          <w:rPr>
                            <w:color w:val="FFFFFF"/>
                            <w:sz w:val="22"/>
                          </w:rPr>
                          <w:t>experts</w:t>
                        </w:r>
                        <w:r>
                          <w:rPr>
                            <w:color w:val="FFFFFF"/>
                            <w:spacing w:val="-9"/>
                            <w:sz w:val="22"/>
                          </w:rPr>
                          <w:t> </w:t>
                        </w:r>
                        <w:r>
                          <w:rPr>
                            <w:color w:val="FFFFFF"/>
                            <w:sz w:val="22"/>
                          </w:rPr>
                          <w:t>to</w:t>
                        </w:r>
                        <w:r>
                          <w:rPr>
                            <w:color w:val="FFFFFF"/>
                            <w:spacing w:val="-9"/>
                            <w:sz w:val="22"/>
                          </w:rPr>
                          <w:t> </w:t>
                        </w:r>
                        <w:r>
                          <w:rPr>
                            <w:color w:val="FFFFFF"/>
                            <w:sz w:val="22"/>
                          </w:rPr>
                          <w:t>assist</w:t>
                        </w:r>
                        <w:r>
                          <w:rPr>
                            <w:color w:val="FFFFFF"/>
                            <w:spacing w:val="-9"/>
                            <w:sz w:val="22"/>
                          </w:rPr>
                          <w:t> </w:t>
                        </w:r>
                        <w:r>
                          <w:rPr>
                            <w:color w:val="FFFFFF"/>
                            <w:sz w:val="22"/>
                          </w:rPr>
                          <w:t>in</w:t>
                        </w:r>
                        <w:r>
                          <w:rPr>
                            <w:color w:val="FFFFFF"/>
                            <w:spacing w:val="-9"/>
                            <w:sz w:val="22"/>
                          </w:rPr>
                          <w:t> </w:t>
                        </w:r>
                        <w:r>
                          <w:rPr>
                            <w:color w:val="FFFFFF"/>
                            <w:sz w:val="22"/>
                          </w:rPr>
                          <w:t>the</w:t>
                        </w:r>
                        <w:r>
                          <w:rPr>
                            <w:color w:val="FFFFFF"/>
                            <w:spacing w:val="-9"/>
                            <w:sz w:val="22"/>
                          </w:rPr>
                          <w:t> </w:t>
                        </w:r>
                        <w:r>
                          <w:rPr>
                            <w:color w:val="FFFFFF"/>
                            <w:sz w:val="22"/>
                          </w:rPr>
                          <w:t>management</w:t>
                        </w:r>
                        <w:r>
                          <w:rPr>
                            <w:color w:val="FFFFFF"/>
                            <w:spacing w:val="-9"/>
                            <w:sz w:val="22"/>
                          </w:rPr>
                          <w:t> </w:t>
                        </w:r>
                        <w:r>
                          <w:rPr>
                            <w:color w:val="FFFFFF"/>
                            <w:sz w:val="22"/>
                          </w:rPr>
                          <w:t>of</w:t>
                        </w:r>
                        <w:r>
                          <w:rPr>
                            <w:color w:val="FFFFFF"/>
                            <w:spacing w:val="-9"/>
                            <w:sz w:val="22"/>
                          </w:rPr>
                          <w:t> </w:t>
                        </w:r>
                        <w:r>
                          <w:rPr>
                            <w:color w:val="FFFFFF"/>
                            <w:sz w:val="22"/>
                          </w:rPr>
                          <w:t>its</w:t>
                        </w:r>
                        <w:r>
                          <w:rPr>
                            <w:color w:val="FFFFFF"/>
                            <w:spacing w:val="-9"/>
                            <w:sz w:val="22"/>
                          </w:rPr>
                          <w:t> </w:t>
                        </w:r>
                        <w:r>
                          <w:rPr>
                            <w:color w:val="FFFFFF"/>
                            <w:sz w:val="22"/>
                          </w:rPr>
                          <w:t>tasks.</w:t>
                        </w:r>
                      </w:p>
                      <w:p>
                        <w:pPr>
                          <w:spacing w:line="240" w:lineRule="auto" w:before="25"/>
                          <w:rPr>
                            <w:sz w:val="22"/>
                          </w:rPr>
                        </w:pPr>
                      </w:p>
                      <w:p>
                        <w:pPr>
                          <w:spacing w:line="266" w:lineRule="auto" w:before="0"/>
                          <w:ind w:left="1958" w:right="2053" w:firstLine="0"/>
                          <w:jc w:val="left"/>
                          <w:rPr>
                            <w:sz w:val="22"/>
                          </w:rPr>
                        </w:pPr>
                        <w:r>
                          <w:rPr>
                            <w:color w:val="FFFFFF"/>
                            <w:sz w:val="22"/>
                          </w:rPr>
                          <w:t>The Planning Commission is the nodal agency for the NKC for planning and budgeting </w:t>
                        </w:r>
                        <w:r>
                          <w:rPr>
                            <w:color w:val="FFFFFF"/>
                            <w:spacing w:val="-2"/>
                            <w:sz w:val="22"/>
                          </w:rPr>
                          <w:t>purposes</w:t>
                        </w:r>
                        <w:r>
                          <w:rPr>
                            <w:color w:val="FFFFFF"/>
                            <w:spacing w:val="-5"/>
                            <w:sz w:val="22"/>
                          </w:rPr>
                          <w:t> </w:t>
                        </w:r>
                        <w:r>
                          <w:rPr>
                            <w:color w:val="FFFFFF"/>
                            <w:spacing w:val="-2"/>
                            <w:sz w:val="22"/>
                          </w:rPr>
                          <w:t>as</w:t>
                        </w:r>
                        <w:r>
                          <w:rPr>
                            <w:color w:val="FFFFFF"/>
                            <w:spacing w:val="-5"/>
                            <w:sz w:val="22"/>
                          </w:rPr>
                          <w:t> </w:t>
                        </w:r>
                        <w:r>
                          <w:rPr>
                            <w:color w:val="FFFFFF"/>
                            <w:spacing w:val="-2"/>
                            <w:sz w:val="22"/>
                          </w:rPr>
                          <w:t>well</w:t>
                        </w:r>
                        <w:r>
                          <w:rPr>
                            <w:color w:val="FFFFFF"/>
                            <w:spacing w:val="-5"/>
                            <w:sz w:val="22"/>
                          </w:rPr>
                          <w:t> </w:t>
                        </w:r>
                        <w:r>
                          <w:rPr>
                            <w:color w:val="FFFFFF"/>
                            <w:spacing w:val="-2"/>
                            <w:sz w:val="22"/>
                          </w:rPr>
                          <w:t>as</w:t>
                        </w:r>
                        <w:r>
                          <w:rPr>
                            <w:color w:val="FFFFFF"/>
                            <w:spacing w:val="-5"/>
                            <w:sz w:val="22"/>
                          </w:rPr>
                          <w:t> </w:t>
                        </w:r>
                        <w:r>
                          <w:rPr>
                            <w:color w:val="FFFFFF"/>
                            <w:spacing w:val="-2"/>
                            <w:sz w:val="22"/>
                          </w:rPr>
                          <w:t>for</w:t>
                        </w:r>
                        <w:r>
                          <w:rPr>
                            <w:color w:val="FFFFFF"/>
                            <w:spacing w:val="-5"/>
                            <w:sz w:val="22"/>
                          </w:rPr>
                          <w:t> </w:t>
                        </w:r>
                        <w:r>
                          <w:rPr>
                            <w:color w:val="FFFFFF"/>
                            <w:spacing w:val="-2"/>
                            <w:sz w:val="22"/>
                          </w:rPr>
                          <w:t>handling</w:t>
                        </w:r>
                        <w:r>
                          <w:rPr>
                            <w:color w:val="FFFFFF"/>
                            <w:spacing w:val="-5"/>
                            <w:sz w:val="22"/>
                          </w:rPr>
                          <w:t> </w:t>
                        </w:r>
                        <w:r>
                          <w:rPr>
                            <w:color w:val="FFFFFF"/>
                            <w:spacing w:val="-2"/>
                            <w:sz w:val="22"/>
                          </w:rPr>
                          <w:t>Parliament</w:t>
                        </w:r>
                        <w:r>
                          <w:rPr>
                            <w:color w:val="FFFFFF"/>
                            <w:spacing w:val="-5"/>
                            <w:sz w:val="22"/>
                          </w:rPr>
                          <w:t> </w:t>
                        </w:r>
                        <w:r>
                          <w:rPr>
                            <w:color w:val="FFFFFF"/>
                            <w:spacing w:val="-2"/>
                            <w:sz w:val="22"/>
                          </w:rPr>
                          <w:t>submissions</w:t>
                        </w:r>
                        <w:r>
                          <w:rPr>
                            <w:color w:val="FFFFFF"/>
                            <w:spacing w:val="-5"/>
                            <w:sz w:val="22"/>
                          </w:rPr>
                          <w:t> </w:t>
                        </w:r>
                        <w:r>
                          <w:rPr>
                            <w:color w:val="FFFFFF"/>
                            <w:spacing w:val="-2"/>
                            <w:sz w:val="22"/>
                          </w:rPr>
                          <w:t>or</w:t>
                        </w:r>
                        <w:r>
                          <w:rPr>
                            <w:color w:val="FFFFFF"/>
                            <w:spacing w:val="-5"/>
                            <w:sz w:val="22"/>
                          </w:rPr>
                          <w:t> </w:t>
                        </w:r>
                        <w:r>
                          <w:rPr>
                            <w:color w:val="FFFFFF"/>
                            <w:spacing w:val="-2"/>
                            <w:sz w:val="22"/>
                          </w:rPr>
                          <w:t>responses.</w:t>
                        </w:r>
                      </w:p>
                    </w:txbxContent>
                  </v:textbox>
                  <w10:wrap type="none"/>
                </v:shape>
                <v:shape style="position:absolute;left:5180;top:5972;width:1800;height:1220" type="#_x0000_t202" id="docshape28" filled="true" fillcolor="#2e614a" stroked="true" strokeweight=".5pt" strokecolor="#ffffff">
                  <v:textbox inset="0,0,0,0">
                    <w:txbxContent>
                      <w:p>
                        <w:pPr>
                          <w:spacing w:before="49"/>
                          <w:ind w:left="0" w:right="0" w:firstLine="0"/>
                          <w:jc w:val="center"/>
                          <w:rPr>
                            <w:rFonts w:ascii="Trebuchet MS"/>
                            <w:b/>
                            <w:color w:val="000000"/>
                            <w:sz w:val="20"/>
                          </w:rPr>
                        </w:pPr>
                        <w:r>
                          <w:rPr>
                            <w:rFonts w:ascii="Trebuchet MS"/>
                            <w:b/>
                            <w:color w:val="FFFFFF"/>
                            <w:spacing w:val="-5"/>
                            <w:sz w:val="20"/>
                          </w:rPr>
                          <w:t>NKC</w:t>
                        </w:r>
                      </w:p>
                      <w:p>
                        <w:pPr>
                          <w:tabs>
                            <w:tab w:pos="470" w:val="left" w:leader="none"/>
                            <w:tab w:pos="1782" w:val="left" w:leader="none"/>
                          </w:tabs>
                          <w:spacing w:before="48"/>
                          <w:ind w:left="19" w:right="0" w:firstLine="0"/>
                          <w:jc w:val="left"/>
                          <w:rPr>
                            <w:rFonts w:ascii="Trebuchet MS"/>
                            <w:color w:val="000000"/>
                            <w:sz w:val="20"/>
                          </w:rPr>
                        </w:pPr>
                        <w:r>
                          <w:rPr>
                            <w:color w:val="FFFFFF"/>
                            <w:sz w:val="20"/>
                            <w:shd w:fill="8B9D90" w:color="auto" w:val="clear"/>
                          </w:rPr>
                          <w:tab/>
                        </w:r>
                        <w:r>
                          <w:rPr>
                            <w:rFonts w:ascii="Trebuchet MS"/>
                            <w:color w:val="FFFFFF"/>
                            <w:spacing w:val="-2"/>
                            <w:sz w:val="20"/>
                            <w:shd w:fill="8B9D90" w:color="auto" w:val="clear"/>
                          </w:rPr>
                          <w:t>Chairman</w:t>
                        </w:r>
                        <w:r>
                          <w:rPr>
                            <w:rFonts w:ascii="Trebuchet MS"/>
                            <w:color w:val="FFFFFF"/>
                            <w:sz w:val="20"/>
                            <w:shd w:fill="8B9D90" w:color="auto" w:val="clear"/>
                          </w:rPr>
                          <w:tab/>
                        </w:r>
                      </w:p>
                      <w:p>
                        <w:pPr>
                          <w:tabs>
                            <w:tab w:pos="496" w:val="left" w:leader="none"/>
                            <w:tab w:pos="1776" w:val="left" w:leader="none"/>
                          </w:tabs>
                          <w:spacing w:before="48"/>
                          <w:ind w:left="12" w:right="0" w:firstLine="0"/>
                          <w:jc w:val="left"/>
                          <w:rPr>
                            <w:rFonts w:ascii="Trebuchet MS"/>
                            <w:color w:val="000000"/>
                            <w:sz w:val="20"/>
                          </w:rPr>
                        </w:pPr>
                        <w:r>
                          <w:rPr>
                            <w:color w:val="FFFFFF"/>
                            <w:sz w:val="20"/>
                            <w:shd w:fill="8B9D90" w:color="auto" w:val="clear"/>
                          </w:rPr>
                          <w:tab/>
                        </w:r>
                        <w:r>
                          <w:rPr>
                            <w:rFonts w:ascii="Trebuchet MS"/>
                            <w:color w:val="FFFFFF"/>
                            <w:spacing w:val="-2"/>
                            <w:sz w:val="20"/>
                            <w:shd w:fill="8B9D90" w:color="auto" w:val="clear"/>
                          </w:rPr>
                          <w:t>Members</w:t>
                        </w:r>
                        <w:r>
                          <w:rPr>
                            <w:rFonts w:ascii="Trebuchet MS"/>
                            <w:color w:val="FFFFFF"/>
                            <w:sz w:val="20"/>
                            <w:shd w:fill="8B9D90" w:color="auto" w:val="clear"/>
                          </w:rPr>
                          <w:tab/>
                        </w:r>
                      </w:p>
                      <w:p>
                        <w:pPr>
                          <w:tabs>
                            <w:tab w:pos="680" w:val="left" w:leader="none"/>
                            <w:tab w:pos="1776" w:val="left" w:leader="none"/>
                          </w:tabs>
                          <w:spacing w:before="48"/>
                          <w:ind w:left="12" w:right="0" w:firstLine="0"/>
                          <w:jc w:val="left"/>
                          <w:rPr>
                            <w:rFonts w:ascii="Trebuchet MS"/>
                            <w:color w:val="000000"/>
                            <w:sz w:val="20"/>
                          </w:rPr>
                        </w:pPr>
                        <w:r>
                          <w:rPr>
                            <w:color w:val="FFFFFF"/>
                            <w:sz w:val="20"/>
                            <w:shd w:fill="8B9D90" w:color="auto" w:val="clear"/>
                          </w:rPr>
                          <w:tab/>
                        </w:r>
                        <w:r>
                          <w:rPr>
                            <w:rFonts w:ascii="Trebuchet MS"/>
                            <w:color w:val="FFFFFF"/>
                            <w:spacing w:val="-2"/>
                            <w:sz w:val="20"/>
                            <w:shd w:fill="8B9D90" w:color="auto" w:val="clear"/>
                          </w:rPr>
                          <w:t>Staff</w:t>
                        </w:r>
                        <w:r>
                          <w:rPr>
                            <w:rFonts w:ascii="Trebuchet MS"/>
                            <w:color w:val="FFFFFF"/>
                            <w:sz w:val="20"/>
                            <w:shd w:fill="8B9D90" w:color="auto" w:val="clear"/>
                          </w:rPr>
                          <w:tab/>
                        </w:r>
                      </w:p>
                    </w:txbxContent>
                  </v:textbox>
                  <v:fill type="solid"/>
                  <v:stroke dashstyle="solid"/>
                  <w10:wrap type="none"/>
                </v:shape>
                <v:shape style="position:absolute;left:7502;top:5968;width:1380;height:568" type="#_x0000_t202" id="docshape29" filled="false" stroked="true" strokeweight=".5pt" strokecolor="#ffffff">
                  <v:textbox inset="0,0,0,0">
                    <w:txbxContent>
                      <w:p>
                        <w:pPr>
                          <w:spacing w:line="290" w:lineRule="auto" w:before="0"/>
                          <w:ind w:left="400" w:right="225" w:hanging="174"/>
                          <w:jc w:val="left"/>
                          <w:rPr>
                            <w:rFonts w:ascii="Trebuchet MS"/>
                            <w:b/>
                            <w:sz w:val="20"/>
                          </w:rPr>
                        </w:pPr>
                        <w:r>
                          <w:rPr>
                            <w:rFonts w:ascii="Trebuchet MS"/>
                            <w:b/>
                            <w:color w:val="FFFFFF"/>
                            <w:spacing w:val="-2"/>
                            <w:sz w:val="20"/>
                          </w:rPr>
                          <w:t>Ministers/ States</w:t>
                        </w:r>
                      </w:p>
                    </w:txbxContent>
                  </v:textbox>
                  <v:stroke dashstyle="solid"/>
                  <w10:wrap type="none"/>
                </v:shape>
                <v:shape style="position:absolute;left:3366;top:5967;width:1340;height:585" type="#_x0000_t202" id="docshape30" filled="false" stroked="true" strokeweight=".5pt" strokecolor="#ffffff">
                  <v:textbox inset="0,0,0,0">
                    <w:txbxContent>
                      <w:p>
                        <w:pPr>
                          <w:spacing w:line="290" w:lineRule="auto" w:before="13"/>
                          <w:ind w:left="113" w:right="112" w:firstLine="152"/>
                          <w:jc w:val="left"/>
                          <w:rPr>
                            <w:rFonts w:ascii="Trebuchet MS"/>
                            <w:b/>
                            <w:sz w:val="20"/>
                          </w:rPr>
                        </w:pPr>
                        <w:r>
                          <w:rPr>
                            <w:rFonts w:ascii="Trebuchet MS"/>
                            <w:b/>
                            <w:color w:val="FFFFFF"/>
                            <w:spacing w:val="-2"/>
                            <w:sz w:val="20"/>
                          </w:rPr>
                          <w:t>Planning Commission</w:t>
                        </w:r>
                      </w:p>
                    </w:txbxContent>
                  </v:textbox>
                  <v:stroke dashstyle="solid"/>
                  <w10:wrap type="none"/>
                </v:shape>
                <v:shape style="position:absolute;left:5180;top:5107;width:1800;height:320" type="#_x0000_t202" id="docshape31" filled="false" stroked="true" strokeweight=".5pt" strokecolor="#ffffff">
                  <v:textbox inset="0,0,0,0">
                    <w:txbxContent>
                      <w:p>
                        <w:pPr>
                          <w:spacing w:before="40"/>
                          <w:ind w:left="214" w:right="0" w:firstLine="0"/>
                          <w:jc w:val="left"/>
                          <w:rPr>
                            <w:rFonts w:ascii="Trebuchet MS"/>
                            <w:b/>
                            <w:sz w:val="20"/>
                          </w:rPr>
                        </w:pPr>
                        <w:r>
                          <w:rPr>
                            <w:rFonts w:ascii="Trebuchet MS"/>
                            <w:b/>
                            <w:color w:val="FFFFFF"/>
                            <w:sz w:val="20"/>
                          </w:rPr>
                          <w:t>Prime </w:t>
                        </w:r>
                        <w:r>
                          <w:rPr>
                            <w:rFonts w:ascii="Trebuchet MS"/>
                            <w:b/>
                            <w:color w:val="FFFFFF"/>
                            <w:spacing w:val="-2"/>
                            <w:sz w:val="20"/>
                          </w:rPr>
                          <w:t>Minister</w:t>
                        </w:r>
                      </w:p>
                    </w:txbxContent>
                  </v:textbox>
                  <v:stroke dashstyle="solid"/>
                  <w10:wrap type="none"/>
                </v:shape>
                <w10:wrap type="none"/>
              </v:group>
            </w:pict>
          </mc:Fallback>
        </mc:AlternateContent>
      </w:r>
      <w:r>
        <w:rPr>
          <w:sz w:val="22"/>
        </w:rPr>
        <w:t>Improve</w:t>
      </w:r>
      <w:r>
        <w:rPr>
          <w:spacing w:val="-3"/>
          <w:sz w:val="22"/>
        </w:rPr>
        <w:t> </w:t>
      </w:r>
      <w:r>
        <w:rPr>
          <w:sz w:val="22"/>
        </w:rPr>
        <w:t>the</w:t>
      </w:r>
      <w:r>
        <w:rPr>
          <w:spacing w:val="-3"/>
          <w:sz w:val="22"/>
        </w:rPr>
        <w:t> </w:t>
      </w:r>
      <w:r>
        <w:rPr>
          <w:sz w:val="22"/>
        </w:rPr>
        <w:t>management</w:t>
      </w:r>
      <w:r>
        <w:rPr>
          <w:spacing w:val="-3"/>
          <w:sz w:val="22"/>
        </w:rPr>
        <w:t> </w:t>
      </w:r>
      <w:r>
        <w:rPr>
          <w:sz w:val="22"/>
        </w:rPr>
        <w:t>of</w:t>
      </w:r>
      <w:r>
        <w:rPr>
          <w:spacing w:val="-3"/>
          <w:sz w:val="22"/>
        </w:rPr>
        <w:t> </w:t>
      </w:r>
      <w:r>
        <w:rPr>
          <w:sz w:val="22"/>
        </w:rPr>
        <w:t>institutions</w:t>
      </w:r>
      <w:r>
        <w:rPr>
          <w:spacing w:val="-3"/>
          <w:sz w:val="22"/>
        </w:rPr>
        <w:t> </w:t>
      </w:r>
      <w:r>
        <w:rPr>
          <w:sz w:val="22"/>
        </w:rPr>
        <w:t>engaged in Intellectual Property Rights.</w:t>
      </w:r>
    </w:p>
    <w:p>
      <w:pPr>
        <w:pStyle w:val="ListParagraph"/>
        <w:numPr>
          <w:ilvl w:val="0"/>
          <w:numId w:val="2"/>
        </w:numPr>
        <w:tabs>
          <w:tab w:pos="679" w:val="left" w:leader="none"/>
        </w:tabs>
        <w:spacing w:line="266" w:lineRule="auto" w:before="87" w:after="0"/>
        <w:ind w:left="679" w:right="1077" w:hanging="360"/>
        <w:jc w:val="both"/>
        <w:rPr>
          <w:sz w:val="22"/>
        </w:rPr>
      </w:pPr>
      <w:r>
        <w:rPr/>
        <w:br w:type="column"/>
      </w:r>
      <w:r>
        <w:rPr>
          <w:spacing w:val="-4"/>
          <w:sz w:val="22"/>
        </w:rPr>
        <w:t>Promote</w:t>
      </w:r>
      <w:r>
        <w:rPr>
          <w:spacing w:val="-10"/>
          <w:sz w:val="22"/>
        </w:rPr>
        <w:t> </w:t>
      </w:r>
      <w:r>
        <w:rPr>
          <w:spacing w:val="-4"/>
          <w:sz w:val="22"/>
        </w:rPr>
        <w:t>knowledge</w:t>
      </w:r>
      <w:r>
        <w:rPr>
          <w:spacing w:val="-10"/>
          <w:sz w:val="22"/>
        </w:rPr>
        <w:t> </w:t>
      </w:r>
      <w:r>
        <w:rPr>
          <w:spacing w:val="-4"/>
          <w:sz w:val="22"/>
        </w:rPr>
        <w:t>applications</w:t>
      </w:r>
      <w:r>
        <w:rPr>
          <w:spacing w:val="-10"/>
          <w:sz w:val="22"/>
        </w:rPr>
        <w:t> </w:t>
      </w:r>
      <w:r>
        <w:rPr>
          <w:spacing w:val="-4"/>
          <w:sz w:val="22"/>
        </w:rPr>
        <w:t>in</w:t>
      </w:r>
      <w:r>
        <w:rPr>
          <w:spacing w:val="-9"/>
          <w:sz w:val="22"/>
        </w:rPr>
        <w:t> </w:t>
      </w:r>
      <w:r>
        <w:rPr>
          <w:spacing w:val="-4"/>
          <w:sz w:val="22"/>
        </w:rPr>
        <w:t>Agriculture</w:t>
      </w:r>
      <w:r>
        <w:rPr>
          <w:spacing w:val="-10"/>
          <w:sz w:val="22"/>
        </w:rPr>
        <w:t> </w:t>
      </w:r>
      <w:r>
        <w:rPr>
          <w:spacing w:val="-4"/>
          <w:sz w:val="22"/>
        </w:rPr>
        <w:t>and </w:t>
      </w:r>
      <w:r>
        <w:rPr>
          <w:spacing w:val="-2"/>
          <w:sz w:val="22"/>
        </w:rPr>
        <w:t>Industry.</w:t>
      </w:r>
    </w:p>
    <w:p>
      <w:pPr>
        <w:pStyle w:val="ListParagraph"/>
        <w:numPr>
          <w:ilvl w:val="0"/>
          <w:numId w:val="2"/>
        </w:numPr>
        <w:tabs>
          <w:tab w:pos="679" w:val="left" w:leader="none"/>
        </w:tabs>
        <w:spacing w:line="266" w:lineRule="auto" w:before="0" w:after="0"/>
        <w:ind w:left="679" w:right="1078" w:hanging="360"/>
        <w:jc w:val="both"/>
        <w:rPr>
          <w:sz w:val="22"/>
        </w:rPr>
      </w:pPr>
      <w:r>
        <w:rPr>
          <w:sz w:val="22"/>
        </w:rPr>
        <w:t>Promote the use of knowledge capabilities </w:t>
      </w:r>
      <w:r>
        <w:rPr>
          <w:sz w:val="22"/>
        </w:rPr>
        <w:t>in making</w:t>
      </w:r>
      <w:r>
        <w:rPr>
          <w:spacing w:val="-3"/>
          <w:sz w:val="22"/>
        </w:rPr>
        <w:t> </w:t>
      </w:r>
      <w:r>
        <w:rPr>
          <w:sz w:val="22"/>
        </w:rPr>
        <w:t>government</w:t>
      </w:r>
      <w:r>
        <w:rPr>
          <w:spacing w:val="-3"/>
          <w:sz w:val="22"/>
        </w:rPr>
        <w:t> </w:t>
      </w:r>
      <w:r>
        <w:rPr>
          <w:sz w:val="22"/>
        </w:rPr>
        <w:t>an</w:t>
      </w:r>
      <w:r>
        <w:rPr>
          <w:spacing w:val="-3"/>
          <w:sz w:val="22"/>
        </w:rPr>
        <w:t> </w:t>
      </w:r>
      <w:r>
        <w:rPr>
          <w:sz w:val="22"/>
        </w:rPr>
        <w:t>effective,</w:t>
      </w:r>
      <w:r>
        <w:rPr>
          <w:spacing w:val="-3"/>
          <w:sz w:val="22"/>
        </w:rPr>
        <w:t> </w:t>
      </w:r>
      <w:r>
        <w:rPr>
          <w:sz w:val="22"/>
        </w:rPr>
        <w:t>transparent</w:t>
      </w:r>
      <w:r>
        <w:rPr>
          <w:spacing w:val="-3"/>
          <w:sz w:val="22"/>
        </w:rPr>
        <w:t> </w:t>
      </w:r>
      <w:r>
        <w:rPr>
          <w:sz w:val="22"/>
        </w:rPr>
        <w:t>and accountable service provider to the citizen and promote widespread sharing of knowledge to maximise public benefit.</w:t>
      </w:r>
    </w:p>
    <w:p>
      <w:pPr>
        <w:pStyle w:val="BodyText"/>
        <w:spacing w:before="21"/>
      </w:pPr>
    </w:p>
    <w:p>
      <w:pPr>
        <w:pStyle w:val="BodyText"/>
        <w:spacing w:line="266" w:lineRule="auto"/>
        <w:ind w:left="319" w:right="1077"/>
        <w:jc w:val="both"/>
      </w:pPr>
      <w:r>
        <w:rPr>
          <w:color w:val="2E614A"/>
        </w:rPr>
        <w:t>National Knowledge Commission had a </w:t>
      </w:r>
      <w:r>
        <w:rPr>
          <w:color w:val="2E614A"/>
        </w:rPr>
        <w:t>designated time-frame</w:t>
      </w:r>
      <w:r>
        <w:rPr>
          <w:color w:val="2E614A"/>
          <w:spacing w:val="40"/>
        </w:rPr>
        <w:t> </w:t>
      </w:r>
      <w:r>
        <w:rPr>
          <w:color w:val="2E614A"/>
        </w:rPr>
        <w:t>of</w:t>
      </w:r>
      <w:r>
        <w:rPr>
          <w:color w:val="2E614A"/>
          <w:spacing w:val="40"/>
        </w:rPr>
        <w:t> </w:t>
      </w:r>
      <w:r>
        <w:rPr>
          <w:color w:val="2E614A"/>
        </w:rPr>
        <w:t>three</w:t>
      </w:r>
      <w:r>
        <w:rPr>
          <w:color w:val="2E614A"/>
          <w:spacing w:val="40"/>
        </w:rPr>
        <w:t> </w:t>
      </w:r>
      <w:r>
        <w:rPr>
          <w:color w:val="2E614A"/>
        </w:rPr>
        <w:t>years</w:t>
      </w:r>
      <w:r>
        <w:rPr>
          <w:color w:val="2E614A"/>
          <w:spacing w:val="40"/>
        </w:rPr>
        <w:t> </w:t>
      </w:r>
      <w:r>
        <w:rPr>
          <w:color w:val="2E614A"/>
        </w:rPr>
        <w:t>from</w:t>
      </w:r>
      <w:r>
        <w:rPr>
          <w:color w:val="2E614A"/>
          <w:spacing w:val="40"/>
        </w:rPr>
        <w:t> </w:t>
      </w:r>
      <w:r>
        <w:rPr>
          <w:color w:val="2E614A"/>
        </w:rPr>
        <w:t>2nd</w:t>
      </w:r>
      <w:r>
        <w:rPr>
          <w:color w:val="2E614A"/>
          <w:spacing w:val="40"/>
        </w:rPr>
        <w:t> </w:t>
      </w:r>
      <w:r>
        <w:rPr>
          <w:color w:val="2E614A"/>
        </w:rPr>
        <w:t>October</w:t>
      </w:r>
      <w:r>
        <w:rPr>
          <w:color w:val="2E614A"/>
          <w:spacing w:val="40"/>
        </w:rPr>
        <w:t> </w:t>
      </w:r>
      <w:r>
        <w:rPr>
          <w:color w:val="2E614A"/>
        </w:rPr>
        <w:t>2005 to</w:t>
      </w:r>
      <w:r>
        <w:rPr>
          <w:color w:val="2E614A"/>
          <w:spacing w:val="80"/>
        </w:rPr>
        <w:t> </w:t>
      </w:r>
      <w:r>
        <w:rPr>
          <w:color w:val="2E614A"/>
        </w:rPr>
        <w:t>2nd</w:t>
      </w:r>
      <w:r>
        <w:rPr>
          <w:color w:val="2E614A"/>
          <w:spacing w:val="80"/>
        </w:rPr>
        <w:t> </w:t>
      </w:r>
      <w:r>
        <w:rPr>
          <w:color w:val="2E614A"/>
        </w:rPr>
        <w:t>October</w:t>
      </w:r>
      <w:r>
        <w:rPr>
          <w:color w:val="2E614A"/>
          <w:spacing w:val="80"/>
        </w:rPr>
        <w:t> </w:t>
      </w:r>
      <w:r>
        <w:rPr>
          <w:color w:val="2E614A"/>
        </w:rPr>
        <w:t>2008,</w:t>
      </w:r>
      <w:r>
        <w:rPr>
          <w:color w:val="2E614A"/>
          <w:spacing w:val="80"/>
        </w:rPr>
        <w:t> </w:t>
      </w:r>
      <w:r>
        <w:rPr>
          <w:color w:val="2E614A"/>
        </w:rPr>
        <w:t>which</w:t>
      </w:r>
      <w:r>
        <w:rPr>
          <w:color w:val="2E614A"/>
          <w:spacing w:val="80"/>
        </w:rPr>
        <w:t> </w:t>
      </w:r>
      <w:r>
        <w:rPr>
          <w:color w:val="2E614A"/>
        </w:rPr>
        <w:t>was</w:t>
      </w:r>
      <w:r>
        <w:rPr>
          <w:color w:val="2E614A"/>
          <w:spacing w:val="80"/>
        </w:rPr>
        <w:t> </w:t>
      </w:r>
      <w:r>
        <w:rPr>
          <w:color w:val="2E614A"/>
        </w:rPr>
        <w:t>extended</w:t>
      </w:r>
      <w:r>
        <w:rPr>
          <w:color w:val="2E614A"/>
          <w:spacing w:val="80"/>
        </w:rPr>
        <w:t> </w:t>
      </w:r>
      <w:r>
        <w:rPr>
          <w:color w:val="2E614A"/>
        </w:rPr>
        <w:t>to 31st March 2009.</w:t>
      </w:r>
    </w:p>
    <w:p>
      <w:pPr>
        <w:pStyle w:val="BodyText"/>
        <w:spacing w:before="24"/>
      </w:pPr>
    </w:p>
    <w:p>
      <w:pPr>
        <w:pStyle w:val="BodyText"/>
        <w:spacing w:line="266" w:lineRule="auto"/>
        <w:ind w:left="319" w:right="1077"/>
        <w:jc w:val="both"/>
      </w:pPr>
      <w:r>
        <w:rPr/>
        <w:t>The final Report of NKC contains the full text of all the recommendations submitted by the Commission in</w:t>
      </w:r>
      <w:r>
        <w:rPr>
          <w:spacing w:val="-14"/>
        </w:rPr>
        <w:t> </w:t>
      </w:r>
      <w:r>
        <w:rPr/>
        <w:t>the</w:t>
      </w:r>
      <w:r>
        <w:rPr>
          <w:spacing w:val="-14"/>
        </w:rPr>
        <w:t> </w:t>
      </w:r>
      <w:r>
        <w:rPr/>
        <w:t>last</w:t>
      </w:r>
      <w:r>
        <w:rPr>
          <w:spacing w:val="-14"/>
        </w:rPr>
        <w:t> </w:t>
      </w:r>
      <w:r>
        <w:rPr/>
        <w:t>three</w:t>
      </w:r>
      <w:r>
        <w:rPr>
          <w:spacing w:val="-13"/>
        </w:rPr>
        <w:t> </w:t>
      </w:r>
      <w:r>
        <w:rPr/>
        <w:t>years.</w:t>
      </w:r>
      <w:r>
        <w:rPr>
          <w:spacing w:val="-14"/>
        </w:rPr>
        <w:t> </w:t>
      </w:r>
      <w:r>
        <w:rPr/>
        <w:t>It</w:t>
      </w:r>
      <w:r>
        <w:rPr>
          <w:spacing w:val="-14"/>
        </w:rPr>
        <w:t> </w:t>
      </w:r>
      <w:r>
        <w:rPr/>
        <w:t>also</w:t>
      </w:r>
      <w:r>
        <w:rPr>
          <w:spacing w:val="-14"/>
        </w:rPr>
        <w:t> </w:t>
      </w:r>
      <w:r>
        <w:rPr/>
        <w:t>includes</w:t>
      </w:r>
      <w:r>
        <w:rPr>
          <w:spacing w:val="-13"/>
        </w:rPr>
        <w:t> </w:t>
      </w:r>
      <w:r>
        <w:rPr/>
        <w:t>follow</w:t>
      </w:r>
      <w:r>
        <w:rPr>
          <w:spacing w:val="-14"/>
        </w:rPr>
        <w:t> </w:t>
      </w:r>
      <w:r>
        <w:rPr/>
        <w:t>up</w:t>
      </w:r>
      <w:r>
        <w:rPr>
          <w:spacing w:val="-14"/>
        </w:rPr>
        <w:t> </w:t>
      </w:r>
      <w:r>
        <w:rPr/>
        <w:t>on</w:t>
      </w:r>
      <w:r>
        <w:rPr>
          <w:spacing w:val="-14"/>
        </w:rPr>
        <w:t> </w:t>
      </w:r>
      <w:r>
        <w:rPr/>
        <w:t>the recommendations, baseline figures on the key focus areas as well as details of NKC consultations.</w:t>
      </w:r>
    </w:p>
    <w:p>
      <w:pPr>
        <w:spacing w:after="0" w:line="266" w:lineRule="auto"/>
        <w:jc w:val="both"/>
        <w:sectPr>
          <w:type w:val="continuous"/>
          <w:pgSz w:w="11910" w:h="16840"/>
          <w:pgMar w:header="0" w:footer="675" w:top="1920" w:bottom="280" w:left="0" w:right="0"/>
          <w:cols w:num="2" w:equalWidth="0">
            <w:col w:w="5774" w:space="40"/>
            <w:col w:w="6096"/>
          </w:cols>
        </w:sectPr>
      </w:pPr>
    </w:p>
    <w:p>
      <w:pPr>
        <w:spacing w:after="0" w:line="266" w:lineRule="auto"/>
        <w:jc w:val="both"/>
        <w:sectPr>
          <w:type w:val="continuous"/>
          <w:pgSz w:w="11910" w:h="16840"/>
          <w:pgMar w:header="0" w:footer="675"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rPr>
          <w:sz w:val="20"/>
        </w:rPr>
      </w:pPr>
    </w:p>
    <w:p>
      <w:pPr>
        <w:spacing w:after="0"/>
        <w:rPr>
          <w:sz w:val="20"/>
        </w:rPr>
        <w:sectPr>
          <w:pgSz w:w="11910" w:h="16840"/>
          <w:pgMar w:header="0" w:footer="675" w:top="0" w:bottom="860" w:left="0" w:right="0"/>
        </w:sectPr>
      </w:pPr>
    </w:p>
    <w:p>
      <w:pPr>
        <w:pStyle w:val="Heading7"/>
        <w:spacing w:before="82"/>
        <w:ind w:left="1080"/>
        <w:jc w:val="both"/>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ragraph">
                  <wp:posOffset>-2276123</wp:posOffset>
                </wp:positionV>
                <wp:extent cx="7560309" cy="175260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7560309" cy="1752600"/>
                          <a:chExt cx="7560309" cy="1752600"/>
                        </a:xfrm>
                      </wpg:grpSpPr>
                      <pic:pic>
                        <pic:nvPicPr>
                          <pic:cNvPr id="36" name="Image 36"/>
                          <pic:cNvPicPr/>
                        </pic:nvPicPr>
                        <pic:blipFill>
                          <a:blip r:embed="rId11" cstate="print"/>
                          <a:stretch>
                            <a:fillRect/>
                          </a:stretch>
                        </pic:blipFill>
                        <pic:spPr>
                          <a:xfrm>
                            <a:off x="0" y="0"/>
                            <a:ext cx="7559999" cy="1752562"/>
                          </a:xfrm>
                          <a:prstGeom prst="rect">
                            <a:avLst/>
                          </a:prstGeom>
                        </pic:spPr>
                      </pic:pic>
                      <wps:wsp>
                        <wps:cNvPr id="37" name="Textbox 37"/>
                        <wps:cNvSpPr txBox="1"/>
                        <wps:spPr>
                          <a:xfrm>
                            <a:off x="0" y="0"/>
                            <a:ext cx="7560309" cy="1752600"/>
                          </a:xfrm>
                          <a:prstGeom prst="rect">
                            <a:avLst/>
                          </a:prstGeom>
                        </wps:spPr>
                        <wps:txbx>
                          <w:txbxContent>
                            <w:p>
                              <w:pPr>
                                <w:spacing w:line="240" w:lineRule="auto" w:before="201"/>
                                <w:rPr>
                                  <w:sz w:val="68"/>
                                </w:rPr>
                              </w:pPr>
                            </w:p>
                            <w:p>
                              <w:pPr>
                                <w:spacing w:before="1"/>
                                <w:ind w:left="1080" w:right="0" w:firstLine="0"/>
                                <w:jc w:val="left"/>
                                <w:rPr>
                                  <w:rFonts w:ascii="Trebuchet MS"/>
                                  <w:b/>
                                  <w:sz w:val="68"/>
                                </w:rPr>
                              </w:pPr>
                              <w:r>
                                <w:rPr>
                                  <w:rFonts w:ascii="Trebuchet MS"/>
                                  <w:b/>
                                  <w:color w:val="FFFFFF"/>
                                  <w:spacing w:val="-2"/>
                                  <w:sz w:val="68"/>
                                </w:rPr>
                                <w:t>Members</w:t>
                              </w:r>
                            </w:p>
                          </w:txbxContent>
                        </wps:txbx>
                        <wps:bodyPr wrap="square" lIns="0" tIns="0" rIns="0" bIns="0" rtlCol="0">
                          <a:noAutofit/>
                        </wps:bodyPr>
                      </wps:wsp>
                    </wpg:wgp>
                  </a:graphicData>
                </a:graphic>
              </wp:anchor>
            </w:drawing>
          </mc:Choice>
          <mc:Fallback>
            <w:pict>
              <v:group style="position:absolute;margin-left:0pt;margin-top:-179.222305pt;width:595.3pt;height:138pt;mso-position-horizontal-relative:page;mso-position-vertical-relative:paragraph;z-index:15733760" id="docshapegroup32" coordorigin="0,-3584" coordsize="11906,2760">
                <v:shape style="position:absolute;left:0;top:-3585;width:11906;height:2760" type="#_x0000_t75" id="docshape33" stroked="false">
                  <v:imagedata r:id="rId11" o:title=""/>
                </v:shape>
                <v:shape style="position:absolute;left:0;top:-3585;width:11906;height:2760" type="#_x0000_t202" id="docshape34" filled="false" stroked="false">
                  <v:textbox inset="0,0,0,0">
                    <w:txbxContent>
                      <w:p>
                        <w:pPr>
                          <w:spacing w:line="240" w:lineRule="auto" w:before="201"/>
                          <w:rPr>
                            <w:sz w:val="68"/>
                          </w:rPr>
                        </w:pPr>
                      </w:p>
                      <w:p>
                        <w:pPr>
                          <w:spacing w:before="1"/>
                          <w:ind w:left="1080" w:right="0" w:firstLine="0"/>
                          <w:jc w:val="left"/>
                          <w:rPr>
                            <w:rFonts w:ascii="Trebuchet MS"/>
                            <w:b/>
                            <w:sz w:val="68"/>
                          </w:rPr>
                        </w:pPr>
                        <w:r>
                          <w:rPr>
                            <w:rFonts w:ascii="Trebuchet MS"/>
                            <w:b/>
                            <w:color w:val="FFFFFF"/>
                            <w:spacing w:val="-2"/>
                            <w:sz w:val="68"/>
                          </w:rPr>
                          <w:t>Members</w:t>
                        </w:r>
                      </w:p>
                    </w:txbxContent>
                  </v:textbox>
                  <w10:wrap type="none"/>
                </v:shape>
                <w10:wrap type="none"/>
              </v:group>
            </w:pict>
          </mc:Fallback>
        </mc:AlternateContent>
      </w:r>
      <w:r>
        <w:rPr>
          <w:color w:val="2E614A"/>
          <w:w w:val="90"/>
        </w:rPr>
        <w:t>Mr.</w:t>
      </w:r>
      <w:r>
        <w:rPr>
          <w:color w:val="2E614A"/>
          <w:spacing w:val="-1"/>
        </w:rPr>
        <w:t> </w:t>
      </w:r>
      <w:r>
        <w:rPr>
          <w:color w:val="2E614A"/>
          <w:w w:val="90"/>
        </w:rPr>
        <w:t>Sam</w:t>
      </w:r>
      <w:r>
        <w:rPr>
          <w:color w:val="2E614A"/>
        </w:rPr>
        <w:t> </w:t>
      </w:r>
      <w:r>
        <w:rPr>
          <w:color w:val="2E614A"/>
          <w:w w:val="90"/>
        </w:rPr>
        <w:t>Pitroda</w:t>
      </w:r>
      <w:r>
        <w:rPr>
          <w:color w:val="2E614A"/>
        </w:rPr>
        <w:t> </w:t>
      </w:r>
      <w:r>
        <w:rPr>
          <w:color w:val="2E614A"/>
          <w:spacing w:val="-2"/>
          <w:w w:val="90"/>
        </w:rPr>
        <w:t>(Chairman)</w:t>
      </w:r>
    </w:p>
    <w:p>
      <w:pPr>
        <w:pStyle w:val="BodyText"/>
        <w:spacing w:line="266" w:lineRule="auto" w:before="278"/>
        <w:ind w:left="1080"/>
        <w:jc w:val="both"/>
      </w:pPr>
      <w:r>
        <w:rPr/>
        <w:t>Mr. Pitroda has spent four decades in the world of </w:t>
      </w:r>
      <w:r>
        <w:rPr>
          <w:spacing w:val="-6"/>
        </w:rPr>
        <w:t>telecommunications,</w:t>
      </w:r>
      <w:r>
        <w:rPr>
          <w:spacing w:val="-8"/>
        </w:rPr>
        <w:t> </w:t>
      </w:r>
      <w:r>
        <w:rPr>
          <w:spacing w:val="-6"/>
        </w:rPr>
        <w:t>having</w:t>
      </w:r>
      <w:r>
        <w:rPr>
          <w:spacing w:val="-8"/>
        </w:rPr>
        <w:t> </w:t>
      </w:r>
      <w:r>
        <w:rPr>
          <w:spacing w:val="-6"/>
        </w:rPr>
        <w:t>pioneered</w:t>
      </w:r>
      <w:r>
        <w:rPr>
          <w:spacing w:val="-8"/>
        </w:rPr>
        <w:t> </w:t>
      </w:r>
      <w:r>
        <w:rPr>
          <w:spacing w:val="-6"/>
        </w:rPr>
        <w:t>its</w:t>
      </w:r>
      <w:r>
        <w:rPr>
          <w:spacing w:val="-7"/>
        </w:rPr>
        <w:t> </w:t>
      </w:r>
      <w:r>
        <w:rPr>
          <w:spacing w:val="-6"/>
        </w:rPr>
        <w:t>use</w:t>
      </w:r>
      <w:r>
        <w:rPr>
          <w:spacing w:val="-8"/>
        </w:rPr>
        <w:t> </w:t>
      </w:r>
      <w:r>
        <w:rPr>
          <w:spacing w:val="-6"/>
        </w:rPr>
        <w:t>as</w:t>
      </w:r>
      <w:r>
        <w:rPr>
          <w:spacing w:val="-8"/>
        </w:rPr>
        <w:t> </w:t>
      </w:r>
      <w:r>
        <w:rPr>
          <w:spacing w:val="-6"/>
        </w:rPr>
        <w:t>a</w:t>
      </w:r>
      <w:r>
        <w:rPr>
          <w:spacing w:val="-8"/>
        </w:rPr>
        <w:t> </w:t>
      </w:r>
      <w:r>
        <w:rPr>
          <w:spacing w:val="-6"/>
        </w:rPr>
        <w:t>means </w:t>
      </w:r>
      <w:r>
        <w:rPr/>
        <w:t>to expedite the process of development and nation building, and in bridging the global communications divide. His professional career has been divided between the three continents of North America,</w:t>
      </w:r>
      <w:r>
        <w:rPr>
          <w:spacing w:val="80"/>
          <w:w w:val="150"/>
        </w:rPr>
        <w:t> </w:t>
      </w:r>
      <w:r>
        <w:rPr/>
        <w:t>Asia and Europe, and he has received international acclaim for using telecommunications as a tool for national development.</w:t>
      </w:r>
    </w:p>
    <w:p>
      <w:pPr>
        <w:pStyle w:val="BodyText"/>
        <w:spacing w:before="19"/>
      </w:pPr>
    </w:p>
    <w:p>
      <w:pPr>
        <w:pStyle w:val="BodyText"/>
        <w:spacing w:line="266" w:lineRule="auto"/>
        <w:ind w:left="1080"/>
        <w:jc w:val="both"/>
      </w:pP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ragraph">
                  <wp:posOffset>804729</wp:posOffset>
                </wp:positionV>
                <wp:extent cx="14604" cy="470535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4604" cy="4705350"/>
                        </a:xfrm>
                        <a:custGeom>
                          <a:avLst/>
                          <a:gdLst/>
                          <a:ahLst/>
                          <a:cxnLst/>
                          <a:rect l="l" t="t" r="r" b="b"/>
                          <a:pathLst>
                            <a:path w="14604" h="4705350">
                              <a:moveTo>
                                <a:pt x="14465" y="0"/>
                              </a:moveTo>
                              <a:lnTo>
                                <a:pt x="0" y="0"/>
                              </a:lnTo>
                              <a:lnTo>
                                <a:pt x="0" y="4705350"/>
                              </a:lnTo>
                              <a:lnTo>
                                <a:pt x="14465" y="4705350"/>
                              </a:lnTo>
                              <a:lnTo>
                                <a:pt x="14465" y="0"/>
                              </a:lnTo>
                              <a:close/>
                            </a:path>
                          </a:pathLst>
                        </a:custGeom>
                        <a:solidFill>
                          <a:srgbClr val="2E614A"/>
                        </a:solidFill>
                      </wps:spPr>
                      <wps:bodyPr wrap="square" lIns="0" tIns="0" rIns="0" bIns="0" rtlCol="0">
                        <a:prstTxWarp prst="textNoShape">
                          <a:avLst/>
                        </a:prstTxWarp>
                        <a:noAutofit/>
                      </wps:bodyPr>
                    </wps:wsp>
                  </a:graphicData>
                </a:graphic>
              </wp:anchor>
            </w:drawing>
          </mc:Choice>
          <mc:Fallback>
            <w:pict>
              <v:rect style="position:absolute;margin-left:0pt;margin-top:63.364544pt;width:1.138980pt;height:370.5pt;mso-position-horizontal-relative:page;mso-position-vertical-relative:paragraph;z-index:15734272" id="docshape35" filled="true" fillcolor="#2e614a" stroked="false">
                <v:fill type="solid"/>
                <w10:wrap type="none"/>
              </v:rect>
            </w:pict>
          </mc:Fallback>
        </mc:AlternateContent>
      </w:r>
      <w:r>
        <w:rPr/>
        <w:t>As</w:t>
      </w:r>
      <w:r>
        <w:rPr>
          <w:spacing w:val="80"/>
        </w:rPr>
        <w:t> </w:t>
      </w:r>
      <w:r>
        <w:rPr/>
        <w:t>Adviser</w:t>
      </w:r>
      <w:r>
        <w:rPr>
          <w:spacing w:val="80"/>
        </w:rPr>
        <w:t> </w:t>
      </w:r>
      <w:r>
        <w:rPr/>
        <w:t>to</w:t>
      </w:r>
      <w:r>
        <w:rPr>
          <w:spacing w:val="80"/>
        </w:rPr>
        <w:t> </w:t>
      </w:r>
      <w:r>
        <w:rPr/>
        <w:t>Prime</w:t>
      </w:r>
      <w:r>
        <w:rPr>
          <w:spacing w:val="80"/>
        </w:rPr>
        <w:t> </w:t>
      </w:r>
      <w:r>
        <w:rPr/>
        <w:t>Minister</w:t>
      </w:r>
      <w:r>
        <w:rPr>
          <w:spacing w:val="80"/>
        </w:rPr>
        <w:t> </w:t>
      </w:r>
      <w:r>
        <w:rPr/>
        <w:t>Rajiv</w:t>
      </w:r>
      <w:r>
        <w:rPr>
          <w:spacing w:val="80"/>
        </w:rPr>
        <w:t> </w:t>
      </w:r>
      <w:r>
        <w:rPr/>
        <w:t>Gandhi, </w:t>
      </w:r>
      <w:r>
        <w:rPr>
          <w:spacing w:val="-4"/>
        </w:rPr>
        <w:t>Mr.</w:t>
      </w:r>
      <w:r>
        <w:rPr>
          <w:spacing w:val="-6"/>
        </w:rPr>
        <w:t> </w:t>
      </w:r>
      <w:r>
        <w:rPr>
          <w:spacing w:val="-4"/>
        </w:rPr>
        <w:t>Pitroda</w:t>
      </w:r>
      <w:r>
        <w:rPr>
          <w:spacing w:val="-6"/>
        </w:rPr>
        <w:t> </w:t>
      </w:r>
      <w:r>
        <w:rPr>
          <w:spacing w:val="-4"/>
        </w:rPr>
        <w:t>helped</w:t>
      </w:r>
      <w:r>
        <w:rPr>
          <w:spacing w:val="-6"/>
        </w:rPr>
        <w:t> </w:t>
      </w:r>
      <w:r>
        <w:rPr>
          <w:spacing w:val="-4"/>
        </w:rPr>
        <w:t>to</w:t>
      </w:r>
      <w:r>
        <w:rPr>
          <w:spacing w:val="-6"/>
        </w:rPr>
        <w:t> </w:t>
      </w:r>
      <w:r>
        <w:rPr>
          <w:spacing w:val="-4"/>
        </w:rPr>
        <w:t>build</w:t>
      </w:r>
      <w:r>
        <w:rPr>
          <w:spacing w:val="-6"/>
        </w:rPr>
        <w:t> </w:t>
      </w:r>
      <w:r>
        <w:rPr>
          <w:spacing w:val="-4"/>
        </w:rPr>
        <w:t>India’s</w:t>
      </w:r>
      <w:r>
        <w:rPr>
          <w:spacing w:val="-6"/>
        </w:rPr>
        <w:t> </w:t>
      </w:r>
      <w:r>
        <w:rPr>
          <w:spacing w:val="-4"/>
        </w:rPr>
        <w:t>telecommunications </w:t>
      </w:r>
      <w:r>
        <w:rPr>
          <w:spacing w:val="-2"/>
        </w:rPr>
        <w:t>and</w:t>
      </w:r>
      <w:r>
        <w:rPr>
          <w:spacing w:val="-4"/>
        </w:rPr>
        <w:t> </w:t>
      </w:r>
      <w:r>
        <w:rPr>
          <w:spacing w:val="-2"/>
        </w:rPr>
        <w:t>information</w:t>
      </w:r>
      <w:r>
        <w:rPr>
          <w:spacing w:val="-4"/>
        </w:rPr>
        <w:t> </w:t>
      </w:r>
      <w:r>
        <w:rPr>
          <w:spacing w:val="-2"/>
        </w:rPr>
        <w:t>technology</w:t>
      </w:r>
      <w:r>
        <w:rPr>
          <w:spacing w:val="-4"/>
        </w:rPr>
        <w:t> </w:t>
      </w:r>
      <w:r>
        <w:rPr>
          <w:spacing w:val="-2"/>
        </w:rPr>
        <w:t>infrastructure.</w:t>
      </w:r>
      <w:r>
        <w:rPr>
          <w:spacing w:val="-4"/>
        </w:rPr>
        <w:t> </w:t>
      </w:r>
      <w:r>
        <w:rPr>
          <w:spacing w:val="-2"/>
        </w:rPr>
        <w:t>He</w:t>
      </w:r>
      <w:r>
        <w:rPr>
          <w:spacing w:val="-4"/>
        </w:rPr>
        <w:t> </w:t>
      </w:r>
      <w:r>
        <w:rPr>
          <w:spacing w:val="-2"/>
        </w:rPr>
        <w:t>was</w:t>
      </w:r>
      <w:r>
        <w:rPr>
          <w:spacing w:val="-4"/>
        </w:rPr>
        <w:t> </w:t>
      </w:r>
      <w:r>
        <w:rPr>
          <w:spacing w:val="-2"/>
        </w:rPr>
        <w:t>the </w:t>
      </w:r>
      <w:r>
        <w:rPr/>
        <w:t>founding Chairman of the Telecom Commission in </w:t>
      </w:r>
      <w:r>
        <w:rPr>
          <w:spacing w:val="-4"/>
        </w:rPr>
        <w:t>India</w:t>
      </w:r>
      <w:r>
        <w:rPr>
          <w:spacing w:val="-8"/>
        </w:rPr>
        <w:t> </w:t>
      </w:r>
      <w:r>
        <w:rPr>
          <w:spacing w:val="-4"/>
        </w:rPr>
        <w:t>and headed the National</w:t>
      </w:r>
      <w:r>
        <w:rPr>
          <w:spacing w:val="-10"/>
        </w:rPr>
        <w:t> </w:t>
      </w:r>
      <w:r>
        <w:rPr>
          <w:spacing w:val="-4"/>
        </w:rPr>
        <w:t>Technology Missions on </w:t>
      </w:r>
      <w:r>
        <w:rPr>
          <w:spacing w:val="-2"/>
        </w:rPr>
        <w:t>Drinking</w:t>
      </w:r>
      <w:r>
        <w:rPr>
          <w:spacing w:val="-12"/>
        </w:rPr>
        <w:t> </w:t>
      </w:r>
      <w:r>
        <w:rPr>
          <w:spacing w:val="-2"/>
        </w:rPr>
        <w:t>Water,</w:t>
      </w:r>
      <w:r>
        <w:rPr>
          <w:spacing w:val="-12"/>
        </w:rPr>
        <w:t> </w:t>
      </w:r>
      <w:r>
        <w:rPr>
          <w:spacing w:val="-2"/>
        </w:rPr>
        <w:t>Literacy,</w:t>
      </w:r>
      <w:r>
        <w:rPr>
          <w:spacing w:val="-10"/>
        </w:rPr>
        <w:t> </w:t>
      </w:r>
      <w:r>
        <w:rPr>
          <w:spacing w:val="-2"/>
        </w:rPr>
        <w:t>Immunisation,</w:t>
      </w:r>
      <w:r>
        <w:rPr>
          <w:spacing w:val="-11"/>
        </w:rPr>
        <w:t> </w:t>
      </w:r>
      <w:r>
        <w:rPr>
          <w:spacing w:val="-2"/>
        </w:rPr>
        <w:t>Oilseeds</w:t>
      </w:r>
      <w:r>
        <w:rPr>
          <w:spacing w:val="-11"/>
        </w:rPr>
        <w:t> </w:t>
      </w:r>
      <w:r>
        <w:rPr>
          <w:spacing w:val="-2"/>
        </w:rPr>
        <w:t>and Dairy.</w:t>
      </w:r>
      <w:r>
        <w:rPr>
          <w:spacing w:val="-11"/>
        </w:rPr>
        <w:t> </w:t>
      </w:r>
      <w:r>
        <w:rPr>
          <w:spacing w:val="-2"/>
        </w:rPr>
        <w:t>In</w:t>
      </w:r>
      <w:r>
        <w:rPr>
          <w:spacing w:val="-11"/>
        </w:rPr>
        <w:t> </w:t>
      </w:r>
      <w:r>
        <w:rPr>
          <w:spacing w:val="-2"/>
        </w:rPr>
        <w:t>these</w:t>
      </w:r>
      <w:r>
        <w:rPr>
          <w:spacing w:val="-11"/>
        </w:rPr>
        <w:t> </w:t>
      </w:r>
      <w:r>
        <w:rPr>
          <w:spacing w:val="-2"/>
        </w:rPr>
        <w:t>roles,</w:t>
      </w:r>
      <w:r>
        <w:rPr>
          <w:spacing w:val="-11"/>
        </w:rPr>
        <w:t> </w:t>
      </w:r>
      <w:r>
        <w:rPr>
          <w:spacing w:val="-2"/>
        </w:rPr>
        <w:t>he</w:t>
      </w:r>
      <w:r>
        <w:rPr>
          <w:spacing w:val="-11"/>
        </w:rPr>
        <w:t> </w:t>
      </w:r>
      <w:r>
        <w:rPr>
          <w:spacing w:val="-2"/>
        </w:rPr>
        <w:t>made</w:t>
      </w:r>
      <w:r>
        <w:rPr>
          <w:spacing w:val="-11"/>
        </w:rPr>
        <w:t> </w:t>
      </w:r>
      <w:r>
        <w:rPr>
          <w:spacing w:val="-2"/>
        </w:rPr>
        <w:t>a</w:t>
      </w:r>
      <w:r>
        <w:rPr>
          <w:spacing w:val="-11"/>
        </w:rPr>
        <w:t> </w:t>
      </w:r>
      <w:r>
        <w:rPr>
          <w:spacing w:val="-2"/>
        </w:rPr>
        <w:t>notable</w:t>
      </w:r>
      <w:r>
        <w:rPr>
          <w:spacing w:val="-11"/>
        </w:rPr>
        <w:t> </w:t>
      </w:r>
      <w:r>
        <w:rPr>
          <w:spacing w:val="-2"/>
        </w:rPr>
        <w:t>contribution</w:t>
      </w:r>
      <w:r>
        <w:rPr>
          <w:spacing w:val="-11"/>
        </w:rPr>
        <w:t> </w:t>
      </w:r>
      <w:r>
        <w:rPr>
          <w:spacing w:val="-2"/>
        </w:rPr>
        <w:t>to </w:t>
      </w:r>
      <w:r>
        <w:rPr>
          <w:spacing w:val="-4"/>
        </w:rPr>
        <w:t>India’s developmental planning and policy approaches. </w:t>
      </w:r>
      <w:r>
        <w:rPr/>
        <w:t>Mr. Pitroda has owned and run several companies in the</w:t>
      </w:r>
      <w:r>
        <w:rPr>
          <w:spacing w:val="-5"/>
        </w:rPr>
        <w:t> </w:t>
      </w:r>
      <w:r>
        <w:rPr/>
        <w:t>United</w:t>
      </w:r>
      <w:r>
        <w:rPr>
          <w:spacing w:val="-5"/>
        </w:rPr>
        <w:t> </w:t>
      </w:r>
      <w:r>
        <w:rPr/>
        <w:t>States</w:t>
      </w:r>
      <w:r>
        <w:rPr>
          <w:spacing w:val="-5"/>
        </w:rPr>
        <w:t> </w:t>
      </w:r>
      <w:r>
        <w:rPr/>
        <w:t>and</w:t>
      </w:r>
      <w:r>
        <w:rPr>
          <w:spacing w:val="-5"/>
        </w:rPr>
        <w:t> </w:t>
      </w:r>
      <w:r>
        <w:rPr/>
        <w:t>Europe;</w:t>
      </w:r>
      <w:r>
        <w:rPr>
          <w:spacing w:val="-5"/>
        </w:rPr>
        <w:t> </w:t>
      </w:r>
      <w:r>
        <w:rPr/>
        <w:t>as</w:t>
      </w:r>
      <w:r>
        <w:rPr>
          <w:spacing w:val="-5"/>
        </w:rPr>
        <w:t> </w:t>
      </w:r>
      <w:r>
        <w:rPr/>
        <w:t>an</w:t>
      </w:r>
      <w:r>
        <w:rPr>
          <w:spacing w:val="-5"/>
        </w:rPr>
        <w:t> </w:t>
      </w:r>
      <w:r>
        <w:rPr/>
        <w:t>inventor</w:t>
      </w:r>
      <w:r>
        <w:rPr>
          <w:spacing w:val="-5"/>
        </w:rPr>
        <w:t> </w:t>
      </w:r>
      <w:r>
        <w:rPr/>
        <w:t>he</w:t>
      </w:r>
      <w:r>
        <w:rPr>
          <w:spacing w:val="-5"/>
        </w:rPr>
        <w:t> </w:t>
      </w:r>
      <w:r>
        <w:rPr/>
        <w:t>owns more</w:t>
      </w:r>
      <w:r>
        <w:rPr>
          <w:spacing w:val="-14"/>
        </w:rPr>
        <w:t> </w:t>
      </w:r>
      <w:r>
        <w:rPr/>
        <w:t>than</w:t>
      </w:r>
      <w:r>
        <w:rPr>
          <w:spacing w:val="-14"/>
        </w:rPr>
        <w:t> </w:t>
      </w:r>
      <w:r>
        <w:rPr/>
        <w:t>75</w:t>
      </w:r>
      <w:r>
        <w:rPr>
          <w:spacing w:val="-14"/>
        </w:rPr>
        <w:t> </w:t>
      </w:r>
      <w:r>
        <w:rPr/>
        <w:t>patents</w:t>
      </w:r>
      <w:r>
        <w:rPr>
          <w:spacing w:val="-13"/>
        </w:rPr>
        <w:t> </w:t>
      </w:r>
      <w:r>
        <w:rPr/>
        <w:t>worldwide.</w:t>
      </w:r>
      <w:r>
        <w:rPr>
          <w:spacing w:val="-14"/>
        </w:rPr>
        <w:t> </w:t>
      </w:r>
      <w:r>
        <w:rPr/>
        <w:t>He</w:t>
      </w:r>
      <w:r>
        <w:rPr>
          <w:spacing w:val="-14"/>
        </w:rPr>
        <w:t> </w:t>
      </w:r>
      <w:r>
        <w:rPr/>
        <w:t>is</w:t>
      </w:r>
      <w:r>
        <w:rPr>
          <w:spacing w:val="-14"/>
        </w:rPr>
        <w:t> </w:t>
      </w:r>
      <w:r>
        <w:rPr/>
        <w:t>also</w:t>
      </w:r>
      <w:r>
        <w:rPr>
          <w:spacing w:val="-13"/>
        </w:rPr>
        <w:t> </w:t>
      </w:r>
      <w:r>
        <w:rPr/>
        <w:t>a</w:t>
      </w:r>
      <w:r>
        <w:rPr>
          <w:spacing w:val="-14"/>
        </w:rPr>
        <w:t> </w:t>
      </w:r>
      <w:r>
        <w:rPr/>
        <w:t>recipient of the Padma Bhushan.</w:t>
      </w:r>
    </w:p>
    <w:p>
      <w:pPr>
        <w:pStyle w:val="Heading7"/>
        <w:spacing w:before="233"/>
        <w:ind w:left="1080"/>
        <w:jc w:val="both"/>
      </w:pPr>
      <w:r>
        <w:rPr>
          <w:color w:val="2E614A"/>
          <w:spacing w:val="-12"/>
        </w:rPr>
        <w:t>Dr.</w:t>
      </w:r>
      <w:r>
        <w:rPr>
          <w:color w:val="2E614A"/>
          <w:spacing w:val="-1"/>
        </w:rPr>
        <w:t> </w:t>
      </w:r>
      <w:r>
        <w:rPr>
          <w:color w:val="2E614A"/>
          <w:spacing w:val="-12"/>
        </w:rPr>
        <w:t>Ashok</w:t>
      </w:r>
      <w:r>
        <w:rPr>
          <w:color w:val="2E614A"/>
          <w:spacing w:val="-1"/>
        </w:rPr>
        <w:t> </w:t>
      </w:r>
      <w:r>
        <w:rPr>
          <w:color w:val="2E614A"/>
          <w:spacing w:val="-12"/>
        </w:rPr>
        <w:t>Ganguly</w:t>
      </w:r>
    </w:p>
    <w:p>
      <w:pPr>
        <w:pStyle w:val="BodyText"/>
        <w:rPr>
          <w:b/>
          <w:sz w:val="26"/>
        </w:rPr>
      </w:pPr>
    </w:p>
    <w:p>
      <w:pPr>
        <w:pStyle w:val="BodyText"/>
        <w:spacing w:line="266" w:lineRule="auto"/>
        <w:ind w:left="1080"/>
        <w:jc w:val="both"/>
      </w:pPr>
      <w:r>
        <w:rPr/>
        <w:t>Dr. Ganguly is the Chairman of Firstsource Ltd. and ABP</w:t>
      </w:r>
      <w:r>
        <w:rPr>
          <w:spacing w:val="-7"/>
        </w:rPr>
        <w:t> </w:t>
      </w:r>
      <w:r>
        <w:rPr/>
        <w:t>Pvt.</w:t>
      </w:r>
      <w:r>
        <w:rPr>
          <w:spacing w:val="-8"/>
        </w:rPr>
        <w:t> </w:t>
      </w:r>
      <w:r>
        <w:rPr/>
        <w:t>Ltd.,</w:t>
      </w:r>
      <w:r>
        <w:rPr>
          <w:spacing w:val="-10"/>
        </w:rPr>
        <w:t> </w:t>
      </w:r>
      <w:r>
        <w:rPr/>
        <w:t>and</w:t>
      </w:r>
      <w:r>
        <w:rPr>
          <w:spacing w:val="-10"/>
        </w:rPr>
        <w:t> </w:t>
      </w:r>
      <w:r>
        <w:rPr/>
        <w:t>a</w:t>
      </w:r>
      <w:r>
        <w:rPr>
          <w:spacing w:val="-10"/>
        </w:rPr>
        <w:t> </w:t>
      </w:r>
      <w:r>
        <w:rPr/>
        <w:t>Director</w:t>
      </w:r>
      <w:r>
        <w:rPr>
          <w:spacing w:val="-10"/>
        </w:rPr>
        <w:t> </w:t>
      </w:r>
      <w:r>
        <w:rPr/>
        <w:t>on</w:t>
      </w:r>
      <w:r>
        <w:rPr>
          <w:spacing w:val="-10"/>
        </w:rPr>
        <w:t> </w:t>
      </w:r>
      <w:r>
        <w:rPr/>
        <w:t>the</w:t>
      </w:r>
      <w:r>
        <w:rPr>
          <w:spacing w:val="-10"/>
        </w:rPr>
        <w:t> </w:t>
      </w:r>
      <w:r>
        <w:rPr/>
        <w:t>Central</w:t>
      </w:r>
      <w:r>
        <w:rPr>
          <w:spacing w:val="-10"/>
        </w:rPr>
        <w:t> </w:t>
      </w:r>
      <w:r>
        <w:rPr/>
        <w:t>Board</w:t>
      </w:r>
      <w:r>
        <w:rPr>
          <w:spacing w:val="-10"/>
        </w:rPr>
        <w:t> </w:t>
      </w:r>
      <w:r>
        <w:rPr/>
        <w:t>of the</w:t>
      </w:r>
      <w:r>
        <w:rPr>
          <w:spacing w:val="-7"/>
        </w:rPr>
        <w:t> </w:t>
      </w:r>
      <w:r>
        <w:rPr/>
        <w:t>Reserve</w:t>
      </w:r>
      <w:r>
        <w:rPr>
          <w:spacing w:val="-7"/>
        </w:rPr>
        <w:t> </w:t>
      </w:r>
      <w:r>
        <w:rPr/>
        <w:t>Bank</w:t>
      </w:r>
      <w:r>
        <w:rPr>
          <w:spacing w:val="-7"/>
        </w:rPr>
        <w:t> </w:t>
      </w:r>
      <w:r>
        <w:rPr/>
        <w:t>of</w:t>
      </w:r>
      <w:r>
        <w:rPr>
          <w:spacing w:val="-7"/>
        </w:rPr>
        <w:t> </w:t>
      </w:r>
      <w:r>
        <w:rPr/>
        <w:t>India,</w:t>
      </w:r>
      <w:r>
        <w:rPr>
          <w:spacing w:val="-7"/>
        </w:rPr>
        <w:t> </w:t>
      </w:r>
      <w:r>
        <w:rPr/>
        <w:t>since</w:t>
      </w:r>
      <w:r>
        <w:rPr>
          <w:spacing w:val="-7"/>
        </w:rPr>
        <w:t> </w:t>
      </w:r>
      <w:r>
        <w:rPr/>
        <w:t>November</w:t>
      </w:r>
      <w:r>
        <w:rPr>
          <w:spacing w:val="-7"/>
        </w:rPr>
        <w:t> </w:t>
      </w:r>
      <w:r>
        <w:rPr/>
        <w:t>2000.</w:t>
      </w:r>
      <w:r>
        <w:rPr>
          <w:spacing w:val="-7"/>
        </w:rPr>
        <w:t> </w:t>
      </w:r>
      <w:r>
        <w:rPr/>
        <w:t>He </w:t>
      </w:r>
      <w:r>
        <w:rPr>
          <w:spacing w:val="-8"/>
        </w:rPr>
        <w:t>heads</w:t>
      </w:r>
      <w:r>
        <w:rPr>
          <w:spacing w:val="-6"/>
        </w:rPr>
        <w:t> </w:t>
      </w:r>
      <w:r>
        <w:rPr>
          <w:spacing w:val="-8"/>
        </w:rPr>
        <w:t>his</w:t>
      </w:r>
      <w:r>
        <w:rPr>
          <w:spacing w:val="-6"/>
        </w:rPr>
        <w:t> </w:t>
      </w:r>
      <w:r>
        <w:rPr>
          <w:spacing w:val="-8"/>
        </w:rPr>
        <w:t>own</w:t>
      </w:r>
      <w:r>
        <w:rPr>
          <w:spacing w:val="-6"/>
        </w:rPr>
        <w:t> </w:t>
      </w:r>
      <w:r>
        <w:rPr>
          <w:spacing w:val="-8"/>
        </w:rPr>
        <w:t>consulting</w:t>
      </w:r>
      <w:r>
        <w:rPr>
          <w:spacing w:val="-5"/>
        </w:rPr>
        <w:t> </w:t>
      </w:r>
      <w:r>
        <w:rPr>
          <w:spacing w:val="-8"/>
        </w:rPr>
        <w:t>company,</w:t>
      </w:r>
      <w:r>
        <w:rPr>
          <w:spacing w:val="-6"/>
        </w:rPr>
        <w:t> </w:t>
      </w:r>
      <w:r>
        <w:rPr>
          <w:spacing w:val="-8"/>
        </w:rPr>
        <w:t>Technology</w:t>
      </w:r>
      <w:r>
        <w:rPr>
          <w:spacing w:val="-6"/>
        </w:rPr>
        <w:t> </w:t>
      </w:r>
      <w:r>
        <w:rPr>
          <w:spacing w:val="-8"/>
        </w:rPr>
        <w:t>Network </w:t>
      </w:r>
      <w:r>
        <w:rPr>
          <w:spacing w:val="-10"/>
        </w:rPr>
        <w:t>India</w:t>
      </w:r>
      <w:r>
        <w:rPr/>
        <w:t> </w:t>
      </w:r>
      <w:r>
        <w:rPr>
          <w:spacing w:val="-10"/>
        </w:rPr>
        <w:t>Pvt.</w:t>
      </w:r>
      <w:r>
        <w:rPr/>
        <w:t> </w:t>
      </w:r>
      <w:r>
        <w:rPr>
          <w:spacing w:val="-10"/>
        </w:rPr>
        <w:t>Ltd.</w:t>
      </w:r>
      <w:r>
        <w:rPr/>
        <w:t> </w:t>
      </w:r>
      <w:r>
        <w:rPr>
          <w:spacing w:val="-10"/>
        </w:rPr>
        <w:t>He</w:t>
      </w:r>
      <w:r>
        <w:rPr/>
        <w:t> </w:t>
      </w:r>
      <w:r>
        <w:rPr>
          <w:spacing w:val="-10"/>
        </w:rPr>
        <w:t>also</w:t>
      </w:r>
      <w:r>
        <w:rPr/>
        <w:t> </w:t>
      </w:r>
      <w:r>
        <w:rPr>
          <w:spacing w:val="-10"/>
        </w:rPr>
        <w:t>currently</w:t>
      </w:r>
      <w:r>
        <w:rPr/>
        <w:t> </w:t>
      </w:r>
      <w:r>
        <w:rPr>
          <w:spacing w:val="-10"/>
        </w:rPr>
        <w:t>serves</w:t>
      </w:r>
      <w:r>
        <w:rPr/>
        <w:t> </w:t>
      </w:r>
      <w:r>
        <w:rPr>
          <w:spacing w:val="-10"/>
        </w:rPr>
        <w:t>as</w:t>
      </w:r>
      <w:r>
        <w:rPr/>
        <w:t> </w:t>
      </w:r>
      <w:r>
        <w:rPr>
          <w:spacing w:val="-10"/>
        </w:rPr>
        <w:t>a</w:t>
      </w:r>
      <w:r>
        <w:rPr/>
        <w:t> </w:t>
      </w:r>
      <w:r>
        <w:rPr>
          <w:spacing w:val="-10"/>
        </w:rPr>
        <w:t>non-executive </w:t>
      </w:r>
      <w:r>
        <w:rPr>
          <w:spacing w:val="-6"/>
        </w:rPr>
        <w:t>director</w:t>
      </w:r>
      <w:r>
        <w:rPr>
          <w:spacing w:val="-8"/>
        </w:rPr>
        <w:t> </w:t>
      </w:r>
      <w:r>
        <w:rPr>
          <w:spacing w:val="-6"/>
        </w:rPr>
        <w:t>of</w:t>
      </w:r>
      <w:r>
        <w:rPr>
          <w:spacing w:val="-2"/>
        </w:rPr>
        <w:t> </w:t>
      </w:r>
      <w:r>
        <w:rPr>
          <w:spacing w:val="-6"/>
        </w:rPr>
        <w:t>Mahindra</w:t>
      </w:r>
      <w:r>
        <w:rPr>
          <w:spacing w:val="-2"/>
        </w:rPr>
        <w:t> </w:t>
      </w:r>
      <w:r>
        <w:rPr>
          <w:spacing w:val="-6"/>
        </w:rPr>
        <w:t>&amp;</w:t>
      </w:r>
      <w:r>
        <w:rPr>
          <w:spacing w:val="-2"/>
        </w:rPr>
        <w:t> </w:t>
      </w:r>
      <w:r>
        <w:rPr>
          <w:spacing w:val="-6"/>
        </w:rPr>
        <w:t>Mahindra,</w:t>
      </w:r>
      <w:r>
        <w:rPr>
          <w:spacing w:val="-7"/>
        </w:rPr>
        <w:t> </w:t>
      </w:r>
      <w:r>
        <w:rPr>
          <w:spacing w:val="-6"/>
        </w:rPr>
        <w:t>Wipro</w:t>
      </w:r>
      <w:r>
        <w:rPr>
          <w:spacing w:val="-2"/>
        </w:rPr>
        <w:t> </w:t>
      </w:r>
      <w:r>
        <w:rPr>
          <w:spacing w:val="-6"/>
        </w:rPr>
        <w:t>Ltd.</w:t>
      </w:r>
      <w:r>
        <w:rPr>
          <w:spacing w:val="-8"/>
        </w:rPr>
        <w:t> </w:t>
      </w:r>
      <w:r>
        <w:rPr>
          <w:spacing w:val="-6"/>
        </w:rPr>
        <w:t>Tata</w:t>
      </w:r>
      <w:r>
        <w:rPr>
          <w:spacing w:val="-2"/>
        </w:rPr>
        <w:t> </w:t>
      </w:r>
      <w:r>
        <w:rPr>
          <w:spacing w:val="-6"/>
        </w:rPr>
        <w:t>AIG </w:t>
      </w:r>
      <w:r>
        <w:rPr/>
        <w:t>Life</w:t>
      </w:r>
      <w:r>
        <w:rPr>
          <w:spacing w:val="-10"/>
        </w:rPr>
        <w:t> </w:t>
      </w:r>
      <w:r>
        <w:rPr/>
        <w:t>Insurance</w:t>
      </w:r>
      <w:r>
        <w:rPr>
          <w:spacing w:val="-10"/>
        </w:rPr>
        <w:t> </w:t>
      </w:r>
      <w:r>
        <w:rPr/>
        <w:t>Co</w:t>
      </w:r>
      <w:r>
        <w:rPr>
          <w:spacing w:val="-10"/>
        </w:rPr>
        <w:t> </w:t>
      </w:r>
      <w:r>
        <w:rPr/>
        <w:t>Ltd.</w:t>
      </w:r>
      <w:r>
        <w:rPr>
          <w:spacing w:val="-10"/>
        </w:rPr>
        <w:t> </w:t>
      </w:r>
      <w:r>
        <w:rPr/>
        <w:t>and</w:t>
      </w:r>
      <w:r>
        <w:rPr>
          <w:spacing w:val="-6"/>
        </w:rPr>
        <w:t> </w:t>
      </w:r>
      <w:r>
        <w:rPr/>
        <w:t>ICICI</w:t>
      </w:r>
      <w:r>
        <w:rPr>
          <w:spacing w:val="-6"/>
        </w:rPr>
        <w:t> </w:t>
      </w:r>
      <w:r>
        <w:rPr/>
        <w:t>Knowledge</w:t>
      </w:r>
      <w:r>
        <w:rPr>
          <w:spacing w:val="-6"/>
        </w:rPr>
        <w:t> </w:t>
      </w:r>
      <w:r>
        <w:rPr/>
        <w:t>Park.</w:t>
      </w:r>
    </w:p>
    <w:p>
      <w:pPr>
        <w:pStyle w:val="BodyText"/>
        <w:spacing w:before="21"/>
      </w:pPr>
    </w:p>
    <w:p>
      <w:pPr>
        <w:pStyle w:val="BodyText"/>
        <w:spacing w:line="266" w:lineRule="auto"/>
        <w:ind w:left="1080"/>
        <w:jc w:val="both"/>
      </w:pPr>
      <w:r>
        <w:rPr>
          <w:spacing w:val="-8"/>
        </w:rPr>
        <w:t>He</w:t>
      </w:r>
      <w:r>
        <w:rPr>
          <w:spacing w:val="-6"/>
        </w:rPr>
        <w:t> </w:t>
      </w:r>
      <w:r>
        <w:rPr>
          <w:spacing w:val="-8"/>
        </w:rPr>
        <w:t>is</w:t>
      </w:r>
      <w:r>
        <w:rPr>
          <w:spacing w:val="-6"/>
        </w:rPr>
        <w:t> </w:t>
      </w:r>
      <w:r>
        <w:rPr>
          <w:spacing w:val="-8"/>
        </w:rPr>
        <w:t>a</w:t>
      </w:r>
      <w:r>
        <w:rPr>
          <w:spacing w:val="-6"/>
        </w:rPr>
        <w:t> </w:t>
      </w:r>
      <w:r>
        <w:rPr>
          <w:spacing w:val="-8"/>
        </w:rPr>
        <w:t>member</w:t>
      </w:r>
      <w:r>
        <w:rPr>
          <w:spacing w:val="-5"/>
        </w:rPr>
        <w:t> </w:t>
      </w:r>
      <w:r>
        <w:rPr>
          <w:spacing w:val="-8"/>
        </w:rPr>
        <w:t>of</w:t>
      </w:r>
      <w:r>
        <w:rPr>
          <w:spacing w:val="-6"/>
        </w:rPr>
        <w:t> </w:t>
      </w:r>
      <w:r>
        <w:rPr>
          <w:spacing w:val="-8"/>
        </w:rPr>
        <w:t>the</w:t>
      </w:r>
      <w:r>
        <w:rPr>
          <w:spacing w:val="-6"/>
        </w:rPr>
        <w:t> </w:t>
      </w:r>
      <w:r>
        <w:rPr>
          <w:spacing w:val="-8"/>
        </w:rPr>
        <w:t>Prime</w:t>
      </w:r>
      <w:r>
        <w:rPr>
          <w:spacing w:val="-6"/>
        </w:rPr>
        <w:t> </w:t>
      </w:r>
      <w:r>
        <w:rPr>
          <w:spacing w:val="-8"/>
        </w:rPr>
        <w:t>Minister’s</w:t>
      </w:r>
      <w:r>
        <w:rPr>
          <w:spacing w:val="-5"/>
        </w:rPr>
        <w:t> </w:t>
      </w:r>
      <w:r>
        <w:rPr>
          <w:spacing w:val="-8"/>
        </w:rPr>
        <w:t>Council</w:t>
      </w:r>
      <w:r>
        <w:rPr>
          <w:spacing w:val="-6"/>
        </w:rPr>
        <w:t> </w:t>
      </w:r>
      <w:r>
        <w:rPr>
          <w:spacing w:val="-8"/>
        </w:rPr>
        <w:t>on</w:t>
      </w:r>
      <w:r>
        <w:rPr>
          <w:spacing w:val="-6"/>
        </w:rPr>
        <w:t> </w:t>
      </w:r>
      <w:r>
        <w:rPr>
          <w:spacing w:val="-8"/>
        </w:rPr>
        <w:t>Trade </w:t>
      </w:r>
      <w:r>
        <w:rPr/>
        <w:t>and Industry as well as the Investment Commission. </w:t>
      </w:r>
      <w:r>
        <w:rPr>
          <w:spacing w:val="-6"/>
        </w:rPr>
        <w:t>Dr.</w:t>
      </w:r>
      <w:r>
        <w:rPr>
          <w:spacing w:val="-8"/>
        </w:rPr>
        <w:t> </w:t>
      </w:r>
      <w:r>
        <w:rPr>
          <w:spacing w:val="-6"/>
        </w:rPr>
        <w:t>Ganguly’s</w:t>
      </w:r>
      <w:r>
        <w:rPr>
          <w:spacing w:val="-8"/>
        </w:rPr>
        <w:t> </w:t>
      </w:r>
      <w:r>
        <w:rPr>
          <w:spacing w:val="-6"/>
        </w:rPr>
        <w:t>professional</w:t>
      </w:r>
      <w:r>
        <w:rPr>
          <w:spacing w:val="-8"/>
        </w:rPr>
        <w:t> </w:t>
      </w:r>
      <w:r>
        <w:rPr>
          <w:spacing w:val="-6"/>
        </w:rPr>
        <w:t>career</w:t>
      </w:r>
      <w:r>
        <w:rPr>
          <w:spacing w:val="-7"/>
        </w:rPr>
        <w:t> </w:t>
      </w:r>
      <w:r>
        <w:rPr>
          <w:spacing w:val="-6"/>
        </w:rPr>
        <w:t>spanned</w:t>
      </w:r>
      <w:r>
        <w:rPr>
          <w:spacing w:val="-8"/>
        </w:rPr>
        <w:t> </w:t>
      </w:r>
      <w:r>
        <w:rPr>
          <w:spacing w:val="-6"/>
        </w:rPr>
        <w:t>35</w:t>
      </w:r>
      <w:r>
        <w:rPr>
          <w:spacing w:val="-8"/>
        </w:rPr>
        <w:t> </w:t>
      </w:r>
      <w:r>
        <w:rPr>
          <w:spacing w:val="-6"/>
        </w:rPr>
        <w:t>years</w:t>
      </w:r>
      <w:r>
        <w:rPr>
          <w:spacing w:val="-8"/>
        </w:rPr>
        <w:t> </w:t>
      </w:r>
      <w:r>
        <w:rPr>
          <w:spacing w:val="-6"/>
        </w:rPr>
        <w:t>with </w:t>
      </w:r>
      <w:r>
        <w:rPr/>
        <w:t>Unilever</w:t>
      </w:r>
      <w:r>
        <w:rPr>
          <w:spacing w:val="-14"/>
        </w:rPr>
        <w:t> </w:t>
      </w:r>
      <w:r>
        <w:rPr/>
        <w:t>Plc/N.V.</w:t>
      </w:r>
      <w:r>
        <w:rPr>
          <w:spacing w:val="-14"/>
        </w:rPr>
        <w:t> </w:t>
      </w:r>
      <w:r>
        <w:rPr/>
        <w:t>He</w:t>
      </w:r>
      <w:r>
        <w:rPr>
          <w:spacing w:val="-13"/>
        </w:rPr>
        <w:t> </w:t>
      </w:r>
      <w:r>
        <w:rPr/>
        <w:t>was</w:t>
      </w:r>
      <w:r>
        <w:rPr>
          <w:spacing w:val="-14"/>
        </w:rPr>
        <w:t> </w:t>
      </w:r>
      <w:r>
        <w:rPr/>
        <w:t>the</w:t>
      </w:r>
      <w:r>
        <w:rPr>
          <w:spacing w:val="-14"/>
        </w:rPr>
        <w:t> </w:t>
      </w:r>
      <w:r>
        <w:rPr/>
        <w:t>Chairman</w:t>
      </w:r>
      <w:r>
        <w:rPr>
          <w:spacing w:val="-13"/>
        </w:rPr>
        <w:t> </w:t>
      </w:r>
      <w:r>
        <w:rPr/>
        <w:t>of</w:t>
      </w:r>
      <w:r>
        <w:rPr>
          <w:spacing w:val="-14"/>
        </w:rPr>
        <w:t> </w:t>
      </w:r>
      <w:r>
        <w:rPr/>
        <w:t>Hindustan Lever Ltd. from 1980 to 1990 and a member of the </w:t>
      </w:r>
      <w:r>
        <w:rPr>
          <w:spacing w:val="-2"/>
        </w:rPr>
        <w:t>Unilever</w:t>
      </w:r>
      <w:r>
        <w:rPr>
          <w:spacing w:val="-10"/>
        </w:rPr>
        <w:t> </w:t>
      </w:r>
      <w:r>
        <w:rPr>
          <w:spacing w:val="-2"/>
        </w:rPr>
        <w:t>Board</w:t>
      </w:r>
      <w:r>
        <w:rPr>
          <w:spacing w:val="-10"/>
        </w:rPr>
        <w:t> </w:t>
      </w:r>
      <w:r>
        <w:rPr>
          <w:spacing w:val="-2"/>
        </w:rPr>
        <w:t>from</w:t>
      </w:r>
      <w:r>
        <w:rPr>
          <w:spacing w:val="-10"/>
        </w:rPr>
        <w:t> </w:t>
      </w:r>
      <w:r>
        <w:rPr>
          <w:spacing w:val="-2"/>
        </w:rPr>
        <w:t>1990</w:t>
      </w:r>
      <w:r>
        <w:rPr>
          <w:spacing w:val="-10"/>
        </w:rPr>
        <w:t> </w:t>
      </w:r>
      <w:r>
        <w:rPr>
          <w:spacing w:val="-2"/>
        </w:rPr>
        <w:t>to</w:t>
      </w:r>
      <w:r>
        <w:rPr>
          <w:spacing w:val="-10"/>
        </w:rPr>
        <w:t> </w:t>
      </w:r>
      <w:r>
        <w:rPr>
          <w:spacing w:val="-2"/>
        </w:rPr>
        <w:t>1997,</w:t>
      </w:r>
      <w:r>
        <w:rPr>
          <w:spacing w:val="-10"/>
        </w:rPr>
        <w:t> </w:t>
      </w:r>
      <w:r>
        <w:rPr>
          <w:spacing w:val="-2"/>
        </w:rPr>
        <w:t>with</w:t>
      </w:r>
      <w:r>
        <w:rPr>
          <w:spacing w:val="-10"/>
        </w:rPr>
        <w:t> </w:t>
      </w:r>
      <w:r>
        <w:rPr>
          <w:spacing w:val="-2"/>
        </w:rPr>
        <w:t>responsibility </w:t>
      </w:r>
      <w:r>
        <w:rPr/>
        <w:t>for</w:t>
      </w:r>
      <w:r>
        <w:rPr>
          <w:spacing w:val="-6"/>
        </w:rPr>
        <w:t> </w:t>
      </w:r>
      <w:r>
        <w:rPr/>
        <w:t>worldwide</w:t>
      </w:r>
      <w:r>
        <w:rPr>
          <w:spacing w:val="-6"/>
        </w:rPr>
        <w:t> </w:t>
      </w:r>
      <w:r>
        <w:rPr/>
        <w:t>research</w:t>
      </w:r>
      <w:r>
        <w:rPr>
          <w:spacing w:val="-6"/>
        </w:rPr>
        <w:t> </w:t>
      </w:r>
      <w:r>
        <w:rPr/>
        <w:t>and</w:t>
      </w:r>
      <w:r>
        <w:rPr>
          <w:spacing w:val="-6"/>
        </w:rPr>
        <w:t> </w:t>
      </w:r>
      <w:r>
        <w:rPr/>
        <w:t>technology.</w:t>
      </w:r>
    </w:p>
    <w:p>
      <w:pPr>
        <w:spacing w:line="266" w:lineRule="auto" w:before="86"/>
        <w:ind w:left="319" w:right="1077" w:firstLine="0"/>
        <w:jc w:val="both"/>
        <w:rPr>
          <w:i/>
          <w:sz w:val="22"/>
        </w:rPr>
      </w:pPr>
      <w:r>
        <w:rPr/>
        <w:br w:type="column"/>
      </w:r>
      <w:r>
        <w:rPr>
          <w:sz w:val="22"/>
        </w:rPr>
        <w:t>He</w:t>
      </w:r>
      <w:r>
        <w:rPr>
          <w:spacing w:val="-9"/>
          <w:sz w:val="22"/>
        </w:rPr>
        <w:t> </w:t>
      </w:r>
      <w:r>
        <w:rPr>
          <w:sz w:val="22"/>
        </w:rPr>
        <w:t>was</w:t>
      </w:r>
      <w:r>
        <w:rPr>
          <w:spacing w:val="-9"/>
          <w:sz w:val="22"/>
        </w:rPr>
        <w:t> </w:t>
      </w:r>
      <w:r>
        <w:rPr>
          <w:sz w:val="22"/>
        </w:rPr>
        <w:t>a</w:t>
      </w:r>
      <w:r>
        <w:rPr>
          <w:spacing w:val="-9"/>
          <w:sz w:val="22"/>
        </w:rPr>
        <w:t> </w:t>
      </w:r>
      <w:r>
        <w:rPr>
          <w:sz w:val="22"/>
        </w:rPr>
        <w:t>member</w:t>
      </w:r>
      <w:r>
        <w:rPr>
          <w:spacing w:val="-9"/>
          <w:sz w:val="22"/>
        </w:rPr>
        <w:t> </w:t>
      </w:r>
      <w:r>
        <w:rPr>
          <w:sz w:val="22"/>
        </w:rPr>
        <w:t>of</w:t>
      </w:r>
      <w:r>
        <w:rPr>
          <w:spacing w:val="-9"/>
          <w:sz w:val="22"/>
        </w:rPr>
        <w:t> </w:t>
      </w:r>
      <w:r>
        <w:rPr>
          <w:sz w:val="22"/>
        </w:rPr>
        <w:t>the</w:t>
      </w:r>
      <w:r>
        <w:rPr>
          <w:spacing w:val="-9"/>
          <w:sz w:val="22"/>
        </w:rPr>
        <w:t> </w:t>
      </w:r>
      <w:r>
        <w:rPr>
          <w:sz w:val="22"/>
        </w:rPr>
        <w:t>Science</w:t>
      </w:r>
      <w:r>
        <w:rPr>
          <w:spacing w:val="-9"/>
          <w:sz w:val="22"/>
        </w:rPr>
        <w:t> </w:t>
      </w:r>
      <w:r>
        <w:rPr>
          <w:sz w:val="22"/>
        </w:rPr>
        <w:t>Advisory</w:t>
      </w:r>
      <w:r>
        <w:rPr>
          <w:spacing w:val="-9"/>
          <w:sz w:val="22"/>
        </w:rPr>
        <w:t> </w:t>
      </w:r>
      <w:r>
        <w:rPr>
          <w:sz w:val="22"/>
        </w:rPr>
        <w:t>Council</w:t>
      </w:r>
      <w:r>
        <w:rPr>
          <w:spacing w:val="-9"/>
          <w:sz w:val="22"/>
        </w:rPr>
        <w:t> </w:t>
      </w:r>
      <w:r>
        <w:rPr>
          <w:sz w:val="22"/>
        </w:rPr>
        <w:t>to the Prime Minister of India (1985-89) and the UK Advisory Board of Research Councils (1991-94). A recipient of the Padma Vibhushan and an Honorary Professor</w:t>
      </w:r>
      <w:r>
        <w:rPr>
          <w:spacing w:val="80"/>
          <w:sz w:val="22"/>
        </w:rPr>
        <w:t> </w:t>
      </w:r>
      <w:r>
        <w:rPr>
          <w:sz w:val="22"/>
        </w:rPr>
        <w:t>at</w:t>
      </w:r>
      <w:r>
        <w:rPr>
          <w:spacing w:val="80"/>
          <w:sz w:val="22"/>
        </w:rPr>
        <w:t> </w:t>
      </w:r>
      <w:r>
        <w:rPr>
          <w:sz w:val="22"/>
        </w:rPr>
        <w:t>the</w:t>
      </w:r>
      <w:r>
        <w:rPr>
          <w:spacing w:val="80"/>
          <w:sz w:val="22"/>
        </w:rPr>
        <w:t> </w:t>
      </w:r>
      <w:r>
        <w:rPr>
          <w:sz w:val="22"/>
        </w:rPr>
        <w:t>Chinese</w:t>
      </w:r>
      <w:r>
        <w:rPr>
          <w:spacing w:val="80"/>
          <w:sz w:val="22"/>
        </w:rPr>
        <w:t> </w:t>
      </w:r>
      <w:r>
        <w:rPr>
          <w:sz w:val="22"/>
        </w:rPr>
        <w:t>Academy</w:t>
      </w:r>
      <w:r>
        <w:rPr>
          <w:spacing w:val="80"/>
          <w:sz w:val="22"/>
        </w:rPr>
        <w:t> </w:t>
      </w:r>
      <w:r>
        <w:rPr>
          <w:sz w:val="22"/>
        </w:rPr>
        <w:t>of</w:t>
      </w:r>
      <w:r>
        <w:rPr>
          <w:spacing w:val="80"/>
          <w:sz w:val="22"/>
        </w:rPr>
        <w:t> </w:t>
      </w:r>
      <w:r>
        <w:rPr>
          <w:sz w:val="22"/>
        </w:rPr>
        <w:t>Science, Dr.</w:t>
      </w:r>
      <w:r>
        <w:rPr>
          <w:spacing w:val="-4"/>
          <w:sz w:val="22"/>
        </w:rPr>
        <w:t> </w:t>
      </w:r>
      <w:r>
        <w:rPr>
          <w:sz w:val="22"/>
        </w:rPr>
        <w:t>Ganguly</w:t>
      </w:r>
      <w:r>
        <w:rPr>
          <w:spacing w:val="-4"/>
          <w:sz w:val="22"/>
        </w:rPr>
        <w:t> </w:t>
      </w:r>
      <w:r>
        <w:rPr>
          <w:sz w:val="22"/>
        </w:rPr>
        <w:t>has</w:t>
      </w:r>
      <w:r>
        <w:rPr>
          <w:spacing w:val="-4"/>
          <w:sz w:val="22"/>
        </w:rPr>
        <w:t> </w:t>
      </w:r>
      <w:r>
        <w:rPr>
          <w:sz w:val="22"/>
        </w:rPr>
        <w:t>authored</w:t>
      </w:r>
      <w:r>
        <w:rPr>
          <w:spacing w:val="-4"/>
          <w:sz w:val="22"/>
        </w:rPr>
        <w:t> </w:t>
      </w:r>
      <w:r>
        <w:rPr>
          <w:sz w:val="22"/>
        </w:rPr>
        <w:t>three</w:t>
      </w:r>
      <w:r>
        <w:rPr>
          <w:spacing w:val="-4"/>
          <w:sz w:val="22"/>
        </w:rPr>
        <w:t> </w:t>
      </w:r>
      <w:r>
        <w:rPr>
          <w:sz w:val="22"/>
        </w:rPr>
        <w:t>books</w:t>
      </w:r>
      <w:r>
        <w:rPr>
          <w:spacing w:val="-4"/>
          <w:sz w:val="22"/>
        </w:rPr>
        <w:t> </w:t>
      </w:r>
      <w:r>
        <w:rPr>
          <w:sz w:val="22"/>
        </w:rPr>
        <w:t>–</w:t>
      </w:r>
      <w:r>
        <w:rPr>
          <w:spacing w:val="-4"/>
          <w:sz w:val="22"/>
        </w:rPr>
        <w:t> </w:t>
      </w:r>
      <w:r>
        <w:rPr>
          <w:i/>
          <w:sz w:val="22"/>
        </w:rPr>
        <w:t>Industry</w:t>
      </w:r>
      <w:r>
        <w:rPr>
          <w:i/>
          <w:spacing w:val="-4"/>
          <w:sz w:val="22"/>
        </w:rPr>
        <w:t> </w:t>
      </w:r>
      <w:r>
        <w:rPr>
          <w:i/>
          <w:sz w:val="22"/>
        </w:rPr>
        <w:t>and </w:t>
      </w:r>
      <w:r>
        <w:rPr>
          <w:i/>
          <w:w w:val="90"/>
          <w:sz w:val="22"/>
        </w:rPr>
        <w:t>Liberalisation, Strategic Manufacturing for Competitive </w:t>
      </w:r>
      <w:r>
        <w:rPr>
          <w:i/>
          <w:sz w:val="22"/>
        </w:rPr>
        <w:t>Advantage </w:t>
      </w:r>
      <w:r>
        <w:rPr>
          <w:sz w:val="22"/>
        </w:rPr>
        <w:t>and </w:t>
      </w:r>
      <w:r>
        <w:rPr>
          <w:i/>
          <w:sz w:val="22"/>
        </w:rPr>
        <w:t>Business Driven R&amp;D - Managing Knowledge</w:t>
      </w:r>
      <w:r>
        <w:rPr>
          <w:i/>
          <w:spacing w:val="-14"/>
          <w:sz w:val="22"/>
        </w:rPr>
        <w:t> </w:t>
      </w:r>
      <w:r>
        <w:rPr>
          <w:i/>
          <w:sz w:val="22"/>
        </w:rPr>
        <w:t>to</w:t>
      </w:r>
      <w:r>
        <w:rPr>
          <w:i/>
          <w:spacing w:val="-14"/>
          <w:sz w:val="22"/>
        </w:rPr>
        <w:t> </w:t>
      </w:r>
      <w:r>
        <w:rPr>
          <w:i/>
          <w:sz w:val="22"/>
        </w:rPr>
        <w:t>Create</w:t>
      </w:r>
      <w:r>
        <w:rPr>
          <w:i/>
          <w:spacing w:val="-14"/>
          <w:sz w:val="22"/>
        </w:rPr>
        <w:t> </w:t>
      </w:r>
      <w:r>
        <w:rPr>
          <w:i/>
          <w:sz w:val="22"/>
        </w:rPr>
        <w:t>Wealth.</w:t>
      </w:r>
    </w:p>
    <w:p>
      <w:pPr>
        <w:pStyle w:val="Heading7"/>
        <w:spacing w:before="235"/>
        <w:jc w:val="both"/>
      </w:pPr>
      <w:r>
        <w:rPr>
          <w:color w:val="2E614A"/>
          <w:spacing w:val="-16"/>
        </w:rPr>
        <w:t>Dr.</w:t>
      </w:r>
      <w:r>
        <w:rPr>
          <w:color w:val="2E614A"/>
        </w:rPr>
        <w:t> </w:t>
      </w:r>
      <w:r>
        <w:rPr>
          <w:color w:val="2E614A"/>
          <w:spacing w:val="-16"/>
        </w:rPr>
        <w:t>P.</w:t>
      </w:r>
      <w:r>
        <w:rPr>
          <w:color w:val="2E614A"/>
        </w:rPr>
        <w:t> </w:t>
      </w:r>
      <w:r>
        <w:rPr>
          <w:color w:val="2E614A"/>
          <w:spacing w:val="-16"/>
        </w:rPr>
        <w:t>Balaram</w:t>
      </w:r>
    </w:p>
    <w:p>
      <w:pPr>
        <w:pStyle w:val="BodyText"/>
        <w:rPr>
          <w:b/>
          <w:sz w:val="26"/>
        </w:rPr>
      </w:pPr>
    </w:p>
    <w:p>
      <w:pPr>
        <w:pStyle w:val="BodyText"/>
        <w:spacing w:line="266" w:lineRule="auto"/>
        <w:ind w:left="319" w:right="1077"/>
        <w:jc w:val="both"/>
      </w:pPr>
      <w:r>
        <w:rPr/>
        <w:t>Professor P. Balaram is a Professor of Molecular Biophysics and currently the Director of the </w:t>
      </w:r>
      <w:r>
        <w:rPr/>
        <w:t>Indian Institute of Science, Bangalore. Prior to this, he was Lecturer (1973-77), Assistant Professor (1977-82), Associate</w:t>
      </w:r>
      <w:r>
        <w:rPr>
          <w:spacing w:val="-2"/>
        </w:rPr>
        <w:t> </w:t>
      </w:r>
      <w:r>
        <w:rPr/>
        <w:t>Professor</w:t>
      </w:r>
      <w:r>
        <w:rPr>
          <w:spacing w:val="-2"/>
        </w:rPr>
        <w:t> </w:t>
      </w:r>
      <w:r>
        <w:rPr/>
        <w:t>(1982-85),</w:t>
      </w:r>
      <w:r>
        <w:rPr>
          <w:spacing w:val="-2"/>
        </w:rPr>
        <w:t> </w:t>
      </w:r>
      <w:r>
        <w:rPr/>
        <w:t>Chairman,</w:t>
      </w:r>
      <w:r>
        <w:rPr>
          <w:spacing w:val="-2"/>
        </w:rPr>
        <w:t> </w:t>
      </w:r>
      <w:r>
        <w:rPr/>
        <w:t>Molecular Biophysics</w:t>
      </w:r>
      <w:r>
        <w:rPr>
          <w:spacing w:val="-14"/>
        </w:rPr>
        <w:t> </w:t>
      </w:r>
      <w:r>
        <w:rPr/>
        <w:t>Unit</w:t>
      </w:r>
      <w:r>
        <w:rPr>
          <w:spacing w:val="-14"/>
        </w:rPr>
        <w:t> </w:t>
      </w:r>
      <w:r>
        <w:rPr/>
        <w:t>(1995-2000)</w:t>
      </w:r>
      <w:r>
        <w:rPr>
          <w:spacing w:val="-14"/>
        </w:rPr>
        <w:t> </w:t>
      </w:r>
      <w:r>
        <w:rPr/>
        <w:t>and</w:t>
      </w:r>
      <w:r>
        <w:rPr>
          <w:spacing w:val="-13"/>
        </w:rPr>
        <w:t> </w:t>
      </w:r>
      <w:r>
        <w:rPr/>
        <w:t>Chairman,</w:t>
      </w:r>
      <w:r>
        <w:rPr>
          <w:spacing w:val="-14"/>
        </w:rPr>
        <w:t> </w:t>
      </w:r>
      <w:r>
        <w:rPr/>
        <w:t>Division of Biological Sciences (2002-05) at the Institute. His main research interests are in bio-organic chemistry </w:t>
      </w:r>
      <w:r>
        <w:rPr>
          <w:spacing w:val="-2"/>
        </w:rPr>
        <w:t>and</w:t>
      </w:r>
      <w:r>
        <w:rPr>
          <w:spacing w:val="-9"/>
        </w:rPr>
        <w:t> </w:t>
      </w:r>
      <w:r>
        <w:rPr>
          <w:spacing w:val="-2"/>
        </w:rPr>
        <w:t>molecular</w:t>
      </w:r>
      <w:r>
        <w:rPr>
          <w:spacing w:val="-9"/>
        </w:rPr>
        <w:t> </w:t>
      </w:r>
      <w:r>
        <w:rPr>
          <w:spacing w:val="-2"/>
        </w:rPr>
        <w:t>biophysics.</w:t>
      </w:r>
      <w:r>
        <w:rPr>
          <w:spacing w:val="-9"/>
        </w:rPr>
        <w:t> </w:t>
      </w:r>
      <w:r>
        <w:rPr>
          <w:spacing w:val="-2"/>
        </w:rPr>
        <w:t>He</w:t>
      </w:r>
      <w:r>
        <w:rPr>
          <w:spacing w:val="-9"/>
        </w:rPr>
        <w:t> </w:t>
      </w:r>
      <w:r>
        <w:rPr>
          <w:spacing w:val="-2"/>
        </w:rPr>
        <w:t>is</w:t>
      </w:r>
      <w:r>
        <w:rPr>
          <w:spacing w:val="-9"/>
        </w:rPr>
        <w:t> </w:t>
      </w:r>
      <w:r>
        <w:rPr>
          <w:spacing w:val="-2"/>
        </w:rPr>
        <w:t>the</w:t>
      </w:r>
      <w:r>
        <w:rPr>
          <w:spacing w:val="-9"/>
        </w:rPr>
        <w:t> </w:t>
      </w:r>
      <w:r>
        <w:rPr>
          <w:spacing w:val="-2"/>
        </w:rPr>
        <w:t>author</w:t>
      </w:r>
      <w:r>
        <w:rPr>
          <w:spacing w:val="-9"/>
        </w:rPr>
        <w:t> </w:t>
      </w:r>
      <w:r>
        <w:rPr>
          <w:spacing w:val="-2"/>
        </w:rPr>
        <w:t>of</w:t>
      </w:r>
      <w:r>
        <w:rPr>
          <w:spacing w:val="-9"/>
        </w:rPr>
        <w:t> </w:t>
      </w:r>
      <w:r>
        <w:rPr>
          <w:spacing w:val="-2"/>
        </w:rPr>
        <w:t>over</w:t>
      </w:r>
      <w:r>
        <w:rPr>
          <w:spacing w:val="-9"/>
        </w:rPr>
        <w:t> </w:t>
      </w:r>
      <w:r>
        <w:rPr>
          <w:spacing w:val="-2"/>
        </w:rPr>
        <w:t>370 </w:t>
      </w:r>
      <w:r>
        <w:rPr>
          <w:spacing w:val="-4"/>
        </w:rPr>
        <w:t>research</w:t>
      </w:r>
      <w:r>
        <w:rPr>
          <w:spacing w:val="-8"/>
        </w:rPr>
        <w:t> </w:t>
      </w:r>
      <w:r>
        <w:rPr>
          <w:spacing w:val="-4"/>
        </w:rPr>
        <w:t>papers.</w:t>
      </w:r>
      <w:r>
        <w:rPr>
          <w:spacing w:val="-8"/>
        </w:rPr>
        <w:t> </w:t>
      </w:r>
      <w:r>
        <w:rPr>
          <w:spacing w:val="-4"/>
        </w:rPr>
        <w:t>He</w:t>
      </w:r>
      <w:r>
        <w:rPr>
          <w:spacing w:val="-8"/>
        </w:rPr>
        <w:t> </w:t>
      </w:r>
      <w:r>
        <w:rPr>
          <w:spacing w:val="-4"/>
        </w:rPr>
        <w:t>received</w:t>
      </w:r>
      <w:r>
        <w:rPr>
          <w:spacing w:val="-8"/>
        </w:rPr>
        <w:t> </w:t>
      </w:r>
      <w:r>
        <w:rPr>
          <w:spacing w:val="-4"/>
        </w:rPr>
        <w:t>his</w:t>
      </w:r>
      <w:r>
        <w:rPr>
          <w:spacing w:val="-8"/>
        </w:rPr>
        <w:t> </w:t>
      </w:r>
      <w:r>
        <w:rPr>
          <w:spacing w:val="-4"/>
        </w:rPr>
        <w:t>M.Sc</w:t>
      </w:r>
      <w:r>
        <w:rPr>
          <w:spacing w:val="-8"/>
        </w:rPr>
        <w:t> </w:t>
      </w:r>
      <w:r>
        <w:rPr>
          <w:spacing w:val="-4"/>
        </w:rPr>
        <w:t>from</w:t>
      </w:r>
      <w:r>
        <w:rPr>
          <w:spacing w:val="-8"/>
        </w:rPr>
        <w:t> </w:t>
      </w:r>
      <w:r>
        <w:rPr>
          <w:spacing w:val="-4"/>
        </w:rPr>
        <w:t>IIT</w:t>
      </w:r>
      <w:r>
        <w:rPr>
          <w:spacing w:val="-8"/>
        </w:rPr>
        <w:t> </w:t>
      </w:r>
      <w:r>
        <w:rPr>
          <w:spacing w:val="-4"/>
        </w:rPr>
        <w:t>Kanpur </w:t>
      </w:r>
      <w:r>
        <w:rPr/>
        <w:t>(1969)</w:t>
      </w:r>
      <w:r>
        <w:rPr>
          <w:spacing w:val="-14"/>
        </w:rPr>
        <w:t> </w:t>
      </w:r>
      <w:r>
        <w:rPr/>
        <w:t>and</w:t>
      </w:r>
      <w:r>
        <w:rPr>
          <w:spacing w:val="-14"/>
        </w:rPr>
        <w:t> </w:t>
      </w:r>
      <w:r>
        <w:rPr/>
        <w:t>Ph.D</w:t>
      </w:r>
      <w:r>
        <w:rPr>
          <w:spacing w:val="-14"/>
        </w:rPr>
        <w:t> </w:t>
      </w:r>
      <w:r>
        <w:rPr/>
        <w:t>in</w:t>
      </w:r>
      <w:r>
        <w:rPr>
          <w:spacing w:val="-13"/>
        </w:rPr>
        <w:t> </w:t>
      </w:r>
      <w:r>
        <w:rPr/>
        <w:t>Chemistry</w:t>
      </w:r>
      <w:r>
        <w:rPr>
          <w:spacing w:val="-14"/>
        </w:rPr>
        <w:t> </w:t>
      </w:r>
      <w:r>
        <w:rPr/>
        <w:t>from</w:t>
      </w:r>
      <w:r>
        <w:rPr>
          <w:spacing w:val="-14"/>
        </w:rPr>
        <w:t> </w:t>
      </w:r>
      <w:r>
        <w:rPr/>
        <w:t>Carnegie-Mellon, Pittsburgh, USA (1972).</w:t>
      </w:r>
    </w:p>
    <w:p>
      <w:pPr>
        <w:pStyle w:val="BodyText"/>
        <w:spacing w:before="17"/>
      </w:pPr>
    </w:p>
    <w:p>
      <w:pPr>
        <w:pStyle w:val="BodyText"/>
        <w:spacing w:line="266" w:lineRule="auto"/>
        <w:ind w:left="319" w:right="1077"/>
        <w:jc w:val="both"/>
      </w:pPr>
      <w:r>
        <w:rPr/>
        <w:t>Professor</w:t>
      </w:r>
      <w:r>
        <w:rPr>
          <w:spacing w:val="-9"/>
        </w:rPr>
        <w:t> </w:t>
      </w:r>
      <w:r>
        <w:rPr/>
        <w:t>Balaram</w:t>
      </w:r>
      <w:r>
        <w:rPr>
          <w:spacing w:val="-9"/>
        </w:rPr>
        <w:t> </w:t>
      </w:r>
      <w:r>
        <w:rPr/>
        <w:t>is</w:t>
      </w:r>
      <w:r>
        <w:rPr>
          <w:spacing w:val="-9"/>
        </w:rPr>
        <w:t> </w:t>
      </w:r>
      <w:r>
        <w:rPr/>
        <w:t>a</w:t>
      </w:r>
      <w:r>
        <w:rPr>
          <w:spacing w:val="-9"/>
        </w:rPr>
        <w:t> </w:t>
      </w:r>
      <w:r>
        <w:rPr/>
        <w:t>Fellow</w:t>
      </w:r>
      <w:r>
        <w:rPr>
          <w:spacing w:val="-9"/>
        </w:rPr>
        <w:t> </w:t>
      </w:r>
      <w:r>
        <w:rPr/>
        <w:t>of</w:t>
      </w:r>
      <w:r>
        <w:rPr>
          <w:spacing w:val="-9"/>
        </w:rPr>
        <w:t> </w:t>
      </w:r>
      <w:r>
        <w:rPr/>
        <w:t>the</w:t>
      </w:r>
      <w:r>
        <w:rPr>
          <w:spacing w:val="-9"/>
        </w:rPr>
        <w:t> </w:t>
      </w:r>
      <w:r>
        <w:rPr/>
        <w:t>Indian</w:t>
      </w:r>
      <w:r>
        <w:rPr>
          <w:spacing w:val="-9"/>
        </w:rPr>
        <w:t> </w:t>
      </w:r>
      <w:r>
        <w:rPr/>
        <w:t>Academy of Sciences, Indian National Science Academy </w:t>
      </w:r>
      <w:r>
        <w:rPr/>
        <w:t>and the</w:t>
      </w:r>
      <w:r>
        <w:rPr>
          <w:spacing w:val="-7"/>
        </w:rPr>
        <w:t> </w:t>
      </w:r>
      <w:r>
        <w:rPr/>
        <w:t>Third</w:t>
      </w:r>
      <w:r>
        <w:rPr>
          <w:spacing w:val="-3"/>
        </w:rPr>
        <w:t> </w:t>
      </w:r>
      <w:r>
        <w:rPr/>
        <w:t>World</w:t>
      </w:r>
      <w:r>
        <w:rPr>
          <w:spacing w:val="-1"/>
        </w:rPr>
        <w:t> </w:t>
      </w:r>
      <w:r>
        <w:rPr/>
        <w:t>Academy</w:t>
      </w:r>
      <w:r>
        <w:rPr>
          <w:spacing w:val="-1"/>
        </w:rPr>
        <w:t> </w:t>
      </w:r>
      <w:r>
        <w:rPr/>
        <w:t>of</w:t>
      </w:r>
      <w:r>
        <w:rPr>
          <w:spacing w:val="-1"/>
        </w:rPr>
        <w:t> </w:t>
      </w:r>
      <w:r>
        <w:rPr/>
        <w:t>Sciences,</w:t>
      </w:r>
      <w:r>
        <w:rPr>
          <w:spacing w:val="-7"/>
        </w:rPr>
        <w:t> </w:t>
      </w:r>
      <w:r>
        <w:rPr/>
        <w:t>Trieste,</w:t>
      </w:r>
      <w:r>
        <w:rPr>
          <w:spacing w:val="-1"/>
        </w:rPr>
        <w:t> </w:t>
      </w:r>
      <w:r>
        <w:rPr/>
        <w:t>Italy. Professor Balaram has received many awards and </w:t>
      </w:r>
      <w:r>
        <w:rPr>
          <w:spacing w:val="-4"/>
        </w:rPr>
        <w:t>honours</w:t>
      </w:r>
      <w:r>
        <w:rPr>
          <w:spacing w:val="-10"/>
        </w:rPr>
        <w:t> </w:t>
      </w:r>
      <w:r>
        <w:rPr>
          <w:spacing w:val="-4"/>
        </w:rPr>
        <w:t>in</w:t>
      </w:r>
      <w:r>
        <w:rPr>
          <w:spacing w:val="-10"/>
        </w:rPr>
        <w:t> </w:t>
      </w:r>
      <w:r>
        <w:rPr>
          <w:spacing w:val="-4"/>
        </w:rPr>
        <w:t>recognition</w:t>
      </w:r>
      <w:r>
        <w:rPr>
          <w:spacing w:val="-10"/>
        </w:rPr>
        <w:t> </w:t>
      </w:r>
      <w:r>
        <w:rPr>
          <w:spacing w:val="-4"/>
        </w:rPr>
        <w:t>of</w:t>
      </w:r>
      <w:r>
        <w:rPr>
          <w:spacing w:val="-9"/>
        </w:rPr>
        <w:t> </w:t>
      </w:r>
      <w:r>
        <w:rPr>
          <w:spacing w:val="-4"/>
        </w:rPr>
        <w:t>his</w:t>
      </w:r>
      <w:r>
        <w:rPr>
          <w:spacing w:val="-10"/>
        </w:rPr>
        <w:t> </w:t>
      </w:r>
      <w:r>
        <w:rPr>
          <w:spacing w:val="-4"/>
        </w:rPr>
        <w:t>work,</w:t>
      </w:r>
      <w:r>
        <w:rPr>
          <w:spacing w:val="-10"/>
        </w:rPr>
        <w:t> </w:t>
      </w:r>
      <w:r>
        <w:rPr>
          <w:spacing w:val="-4"/>
        </w:rPr>
        <w:t>including</w:t>
      </w:r>
      <w:r>
        <w:rPr>
          <w:spacing w:val="-10"/>
        </w:rPr>
        <w:t> </w:t>
      </w:r>
      <w:r>
        <w:rPr>
          <w:spacing w:val="-4"/>
        </w:rPr>
        <w:t>the</w:t>
      </w:r>
      <w:r>
        <w:rPr>
          <w:spacing w:val="-9"/>
        </w:rPr>
        <w:t> </w:t>
      </w:r>
      <w:r>
        <w:rPr>
          <w:spacing w:val="-4"/>
        </w:rPr>
        <w:t>Shanti </w:t>
      </w:r>
      <w:r>
        <w:rPr>
          <w:spacing w:val="-2"/>
        </w:rPr>
        <w:t>Swarup</w:t>
      </w:r>
      <w:r>
        <w:rPr>
          <w:spacing w:val="-12"/>
        </w:rPr>
        <w:t> </w:t>
      </w:r>
      <w:r>
        <w:rPr>
          <w:spacing w:val="-2"/>
        </w:rPr>
        <w:t>Bhatnagar</w:t>
      </w:r>
      <w:r>
        <w:rPr>
          <w:spacing w:val="-12"/>
        </w:rPr>
        <w:t> </w:t>
      </w:r>
      <w:r>
        <w:rPr>
          <w:spacing w:val="-2"/>
        </w:rPr>
        <w:t>Prize,</w:t>
      </w:r>
      <w:r>
        <w:rPr>
          <w:spacing w:val="-11"/>
        </w:rPr>
        <w:t> </w:t>
      </w:r>
      <w:r>
        <w:rPr>
          <w:spacing w:val="-2"/>
        </w:rPr>
        <w:t>CSIR</w:t>
      </w:r>
      <w:r>
        <w:rPr>
          <w:spacing w:val="-12"/>
        </w:rPr>
        <w:t> </w:t>
      </w:r>
      <w:r>
        <w:rPr>
          <w:spacing w:val="-2"/>
        </w:rPr>
        <w:t>(1986),</w:t>
      </w:r>
      <w:r>
        <w:rPr>
          <w:spacing w:val="-12"/>
        </w:rPr>
        <w:t> </w:t>
      </w:r>
      <w:r>
        <w:rPr>
          <w:spacing w:val="-2"/>
        </w:rPr>
        <w:t>Alumni</w:t>
      </w:r>
      <w:r>
        <w:rPr>
          <w:spacing w:val="-11"/>
        </w:rPr>
        <w:t> </w:t>
      </w:r>
      <w:r>
        <w:rPr>
          <w:spacing w:val="-2"/>
        </w:rPr>
        <w:t>Award </w:t>
      </w:r>
      <w:r>
        <w:rPr>
          <w:spacing w:val="-4"/>
        </w:rPr>
        <w:t>for</w:t>
      </w:r>
      <w:r>
        <w:rPr>
          <w:spacing w:val="-5"/>
        </w:rPr>
        <w:t> </w:t>
      </w:r>
      <w:r>
        <w:rPr>
          <w:spacing w:val="-4"/>
        </w:rPr>
        <w:t>Excellence in Research, IISc (1991),</w:t>
      </w:r>
      <w:r>
        <w:rPr>
          <w:spacing w:val="-10"/>
        </w:rPr>
        <w:t> </w:t>
      </w:r>
      <w:r>
        <w:rPr>
          <w:spacing w:val="-4"/>
        </w:rPr>
        <w:t>TWAS Award </w:t>
      </w:r>
      <w:r>
        <w:rPr/>
        <w:t>in</w:t>
      </w:r>
      <w:r>
        <w:rPr>
          <w:spacing w:val="-3"/>
        </w:rPr>
        <w:t> </w:t>
      </w:r>
      <w:r>
        <w:rPr/>
        <w:t>Chemistry</w:t>
      </w:r>
      <w:r>
        <w:rPr>
          <w:spacing w:val="-3"/>
        </w:rPr>
        <w:t> </w:t>
      </w:r>
      <w:r>
        <w:rPr/>
        <w:t>(1994),</w:t>
      </w:r>
      <w:r>
        <w:rPr>
          <w:spacing w:val="-3"/>
        </w:rPr>
        <w:t> </w:t>
      </w:r>
      <w:r>
        <w:rPr/>
        <w:t>G.D.</w:t>
      </w:r>
      <w:r>
        <w:rPr>
          <w:spacing w:val="-3"/>
        </w:rPr>
        <w:t> </w:t>
      </w:r>
      <w:r>
        <w:rPr/>
        <w:t>Birla</w:t>
      </w:r>
      <w:r>
        <w:rPr>
          <w:spacing w:val="-3"/>
        </w:rPr>
        <w:t> </w:t>
      </w:r>
      <w:r>
        <w:rPr/>
        <w:t>Award</w:t>
      </w:r>
      <w:r>
        <w:rPr>
          <w:spacing w:val="-3"/>
        </w:rPr>
        <w:t> </w:t>
      </w:r>
      <w:r>
        <w:rPr/>
        <w:t>for</w:t>
      </w:r>
      <w:r>
        <w:rPr>
          <w:spacing w:val="-3"/>
        </w:rPr>
        <w:t> </w:t>
      </w:r>
      <w:r>
        <w:rPr/>
        <w:t>Scientific Research (1994) and the Padma Shri awarded by the Government of India (2002).</w:t>
      </w:r>
    </w:p>
    <w:p>
      <w:pPr>
        <w:pStyle w:val="BodyText"/>
        <w:spacing w:before="19"/>
      </w:pPr>
    </w:p>
    <w:p>
      <w:pPr>
        <w:pStyle w:val="BodyText"/>
        <w:spacing w:line="266" w:lineRule="auto"/>
        <w:ind w:left="319" w:right="1077"/>
        <w:jc w:val="both"/>
      </w:pPr>
      <w:r>
        <w:rPr>
          <w:spacing w:val="-6"/>
        </w:rPr>
        <w:t>Professor Balaram currently serves on many </w:t>
      </w:r>
      <w:r>
        <w:rPr>
          <w:spacing w:val="-6"/>
        </w:rPr>
        <w:t>committees </w:t>
      </w:r>
      <w:r>
        <w:rPr/>
        <w:t>of</w:t>
      </w:r>
      <w:r>
        <w:rPr>
          <w:spacing w:val="-14"/>
        </w:rPr>
        <w:t> </w:t>
      </w:r>
      <w:r>
        <w:rPr/>
        <w:t>the</w:t>
      </w:r>
      <w:r>
        <w:rPr>
          <w:spacing w:val="-14"/>
        </w:rPr>
        <w:t> </w:t>
      </w:r>
      <w:r>
        <w:rPr/>
        <w:t>Government</w:t>
      </w:r>
      <w:r>
        <w:rPr>
          <w:spacing w:val="-14"/>
        </w:rPr>
        <w:t> </w:t>
      </w:r>
      <w:r>
        <w:rPr/>
        <w:t>of</w:t>
      </w:r>
      <w:r>
        <w:rPr>
          <w:spacing w:val="-13"/>
        </w:rPr>
        <w:t> </w:t>
      </w:r>
      <w:r>
        <w:rPr/>
        <w:t>India,</w:t>
      </w:r>
      <w:r>
        <w:rPr>
          <w:spacing w:val="-14"/>
        </w:rPr>
        <w:t> </w:t>
      </w:r>
      <w:r>
        <w:rPr/>
        <w:t>and</w:t>
      </w:r>
      <w:r>
        <w:rPr>
          <w:spacing w:val="-14"/>
        </w:rPr>
        <w:t> </w:t>
      </w:r>
      <w:r>
        <w:rPr/>
        <w:t>is</w:t>
      </w:r>
      <w:r>
        <w:rPr>
          <w:spacing w:val="-14"/>
        </w:rPr>
        <w:t> </w:t>
      </w:r>
      <w:r>
        <w:rPr/>
        <w:t>a</w:t>
      </w:r>
      <w:r>
        <w:rPr>
          <w:spacing w:val="-13"/>
        </w:rPr>
        <w:t> </w:t>
      </w:r>
      <w:r>
        <w:rPr/>
        <w:t>Member,</w:t>
      </w:r>
      <w:r>
        <w:rPr>
          <w:spacing w:val="-14"/>
        </w:rPr>
        <w:t> </w:t>
      </w:r>
      <w:r>
        <w:rPr/>
        <w:t>Science Advisory Committee to the Union Cabinet, Board of </w:t>
      </w:r>
      <w:r>
        <w:rPr>
          <w:spacing w:val="-2"/>
        </w:rPr>
        <w:t>Research</w:t>
      </w:r>
      <w:r>
        <w:rPr>
          <w:spacing w:val="-7"/>
        </w:rPr>
        <w:t> </w:t>
      </w:r>
      <w:r>
        <w:rPr>
          <w:spacing w:val="-2"/>
        </w:rPr>
        <w:t>in</w:t>
      </w:r>
      <w:r>
        <w:rPr>
          <w:spacing w:val="-7"/>
        </w:rPr>
        <w:t> </w:t>
      </w:r>
      <w:r>
        <w:rPr>
          <w:spacing w:val="-2"/>
        </w:rPr>
        <w:t>Nuclear</w:t>
      </w:r>
      <w:r>
        <w:rPr>
          <w:spacing w:val="-7"/>
        </w:rPr>
        <w:t> </w:t>
      </w:r>
      <w:r>
        <w:rPr>
          <w:spacing w:val="-2"/>
        </w:rPr>
        <w:t>Science</w:t>
      </w:r>
      <w:r>
        <w:rPr>
          <w:spacing w:val="-7"/>
        </w:rPr>
        <w:t> </w:t>
      </w:r>
      <w:r>
        <w:rPr>
          <w:spacing w:val="-2"/>
        </w:rPr>
        <w:t>of</w:t>
      </w:r>
      <w:r>
        <w:rPr>
          <w:spacing w:val="-7"/>
        </w:rPr>
        <w:t> </w:t>
      </w:r>
      <w:r>
        <w:rPr>
          <w:spacing w:val="-2"/>
        </w:rPr>
        <w:t>DAE,</w:t>
      </w:r>
      <w:r>
        <w:rPr>
          <w:spacing w:val="-7"/>
        </w:rPr>
        <w:t> </w:t>
      </w:r>
      <w:r>
        <w:rPr>
          <w:spacing w:val="-2"/>
        </w:rPr>
        <w:t>Advisory</w:t>
      </w:r>
      <w:r>
        <w:rPr>
          <w:spacing w:val="-7"/>
        </w:rPr>
        <w:t> </w:t>
      </w:r>
      <w:r>
        <w:rPr>
          <w:spacing w:val="-2"/>
        </w:rPr>
        <w:t>Board </w:t>
      </w:r>
      <w:r>
        <w:rPr/>
        <w:t>of</w:t>
      </w:r>
      <w:r>
        <w:rPr>
          <w:spacing w:val="-12"/>
        </w:rPr>
        <w:t> </w:t>
      </w:r>
      <w:r>
        <w:rPr/>
        <w:t>CSIR</w:t>
      </w:r>
      <w:r>
        <w:rPr>
          <w:spacing w:val="-12"/>
        </w:rPr>
        <w:t> </w:t>
      </w:r>
      <w:r>
        <w:rPr/>
        <w:t>and</w:t>
      </w:r>
      <w:r>
        <w:rPr>
          <w:spacing w:val="-12"/>
        </w:rPr>
        <w:t> </w:t>
      </w:r>
      <w:r>
        <w:rPr/>
        <w:t>Scientific</w:t>
      </w:r>
      <w:r>
        <w:rPr>
          <w:spacing w:val="-12"/>
        </w:rPr>
        <w:t> </w:t>
      </w:r>
      <w:r>
        <w:rPr/>
        <w:t>Advisory</w:t>
      </w:r>
      <w:r>
        <w:rPr>
          <w:spacing w:val="-12"/>
        </w:rPr>
        <w:t> </w:t>
      </w:r>
      <w:r>
        <w:rPr/>
        <w:t>Council</w:t>
      </w:r>
      <w:r>
        <w:rPr>
          <w:spacing w:val="-12"/>
        </w:rPr>
        <w:t> </w:t>
      </w:r>
      <w:r>
        <w:rPr/>
        <w:t>to</w:t>
      </w:r>
      <w:r>
        <w:rPr>
          <w:spacing w:val="-12"/>
        </w:rPr>
        <w:t> </w:t>
      </w:r>
      <w:r>
        <w:rPr/>
        <w:t>the</w:t>
      </w:r>
      <w:r>
        <w:rPr>
          <w:spacing w:val="-12"/>
        </w:rPr>
        <w:t> </w:t>
      </w:r>
      <w:r>
        <w:rPr/>
        <w:t>Prime Minister.</w:t>
      </w:r>
      <w:r>
        <w:rPr>
          <w:spacing w:val="-13"/>
        </w:rPr>
        <w:t> </w:t>
      </w:r>
      <w:r>
        <w:rPr/>
        <w:t>He</w:t>
      </w:r>
      <w:r>
        <w:rPr>
          <w:spacing w:val="-13"/>
        </w:rPr>
        <w:t> </w:t>
      </w:r>
      <w:r>
        <w:rPr/>
        <w:t>has</w:t>
      </w:r>
      <w:r>
        <w:rPr>
          <w:spacing w:val="-13"/>
        </w:rPr>
        <w:t> </w:t>
      </w:r>
      <w:r>
        <w:rPr/>
        <w:t>been</w:t>
      </w:r>
      <w:r>
        <w:rPr>
          <w:spacing w:val="-13"/>
        </w:rPr>
        <w:t> </w:t>
      </w:r>
      <w:r>
        <w:rPr/>
        <w:t>the</w:t>
      </w:r>
      <w:r>
        <w:rPr>
          <w:spacing w:val="-13"/>
        </w:rPr>
        <w:t> </w:t>
      </w:r>
      <w:r>
        <w:rPr/>
        <w:t>Editor</w:t>
      </w:r>
      <w:r>
        <w:rPr>
          <w:spacing w:val="-13"/>
        </w:rPr>
        <w:t> </w:t>
      </w:r>
      <w:r>
        <w:rPr/>
        <w:t>of</w:t>
      </w:r>
      <w:r>
        <w:rPr>
          <w:spacing w:val="-13"/>
        </w:rPr>
        <w:t> </w:t>
      </w:r>
      <w:r>
        <w:rPr/>
        <w:t>“Current</w:t>
      </w:r>
      <w:r>
        <w:rPr>
          <w:spacing w:val="-13"/>
        </w:rPr>
        <w:t> </w:t>
      </w:r>
      <w:r>
        <w:rPr/>
        <w:t>Science” for over ten years.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7"/>
        <w:spacing w:before="69"/>
        <w:ind w:left="1080"/>
        <w:jc w:val="both"/>
      </w:pPr>
      <w:r>
        <w:rPr>
          <w:color w:val="2E614A"/>
          <w:spacing w:val="-2"/>
          <w:w w:val="90"/>
        </w:rPr>
        <w:t>Dr.</w:t>
      </w:r>
      <w:r>
        <w:rPr>
          <w:color w:val="2E614A"/>
          <w:spacing w:val="-9"/>
        </w:rPr>
        <w:t> </w:t>
      </w:r>
      <w:r>
        <w:rPr>
          <w:color w:val="2E614A"/>
          <w:spacing w:val="-2"/>
          <w:w w:val="90"/>
        </w:rPr>
        <w:t>Jayati</w:t>
      </w:r>
      <w:r>
        <w:rPr>
          <w:color w:val="2E614A"/>
          <w:spacing w:val="-8"/>
        </w:rPr>
        <w:t> </w:t>
      </w:r>
      <w:r>
        <w:rPr>
          <w:color w:val="2E614A"/>
          <w:spacing w:val="-2"/>
          <w:w w:val="90"/>
        </w:rPr>
        <w:t>Ghosh</w:t>
      </w:r>
    </w:p>
    <w:p>
      <w:pPr>
        <w:pStyle w:val="BodyText"/>
        <w:spacing w:line="266" w:lineRule="auto" w:before="299"/>
        <w:ind w:left="1080"/>
        <w:jc w:val="both"/>
      </w:pPr>
      <w:r>
        <w:rPr>
          <w:spacing w:val="-4"/>
        </w:rPr>
        <w:t>Dr.</w:t>
      </w:r>
      <w:r>
        <w:rPr>
          <w:spacing w:val="-10"/>
        </w:rPr>
        <w:t> </w:t>
      </w:r>
      <w:r>
        <w:rPr>
          <w:spacing w:val="-4"/>
        </w:rPr>
        <w:t>Ghosh</w:t>
      </w:r>
      <w:r>
        <w:rPr>
          <w:spacing w:val="-10"/>
        </w:rPr>
        <w:t> </w:t>
      </w:r>
      <w:r>
        <w:rPr>
          <w:spacing w:val="-4"/>
        </w:rPr>
        <w:t>is</w:t>
      </w:r>
      <w:r>
        <w:rPr>
          <w:spacing w:val="-10"/>
        </w:rPr>
        <w:t> </w:t>
      </w:r>
      <w:r>
        <w:rPr>
          <w:spacing w:val="-4"/>
        </w:rPr>
        <w:t>a</w:t>
      </w:r>
      <w:r>
        <w:rPr>
          <w:spacing w:val="-9"/>
        </w:rPr>
        <w:t> </w:t>
      </w:r>
      <w:r>
        <w:rPr>
          <w:spacing w:val="-4"/>
        </w:rPr>
        <w:t>Professor</w:t>
      </w:r>
      <w:r>
        <w:rPr>
          <w:spacing w:val="-10"/>
        </w:rPr>
        <w:t> </w:t>
      </w:r>
      <w:r>
        <w:rPr>
          <w:spacing w:val="-4"/>
        </w:rPr>
        <w:t>of</w:t>
      </w:r>
      <w:r>
        <w:rPr>
          <w:spacing w:val="-10"/>
        </w:rPr>
        <w:t> </w:t>
      </w:r>
      <w:r>
        <w:rPr>
          <w:spacing w:val="-4"/>
        </w:rPr>
        <w:t>Economics</w:t>
      </w:r>
      <w:r>
        <w:rPr>
          <w:spacing w:val="-10"/>
        </w:rPr>
        <w:t> </w:t>
      </w:r>
      <w:r>
        <w:rPr>
          <w:spacing w:val="-4"/>
        </w:rPr>
        <w:t>and</w:t>
      </w:r>
      <w:r>
        <w:rPr>
          <w:spacing w:val="-9"/>
        </w:rPr>
        <w:t> </w:t>
      </w:r>
      <w:r>
        <w:rPr>
          <w:spacing w:val="-4"/>
        </w:rPr>
        <w:t>Chairperson </w:t>
      </w:r>
      <w:r>
        <w:rPr/>
        <w:t>of the Centre for Economic Studies and Planning, </w:t>
      </w:r>
      <w:r>
        <w:rPr>
          <w:spacing w:val="-6"/>
        </w:rPr>
        <w:t>School of Social Sciences, Jawaharlal Nehru University, </w:t>
      </w:r>
      <w:r>
        <w:rPr/>
        <w:t>and is an alumnus of Delhi University, Jawaharlal </w:t>
      </w:r>
      <w:r>
        <w:rPr>
          <w:spacing w:val="-4"/>
        </w:rPr>
        <w:t>Nehru</w:t>
      </w:r>
      <w:r>
        <w:rPr>
          <w:spacing w:val="-10"/>
        </w:rPr>
        <w:t> </w:t>
      </w:r>
      <w:r>
        <w:rPr>
          <w:spacing w:val="-4"/>
        </w:rPr>
        <w:t>University</w:t>
      </w:r>
      <w:r>
        <w:rPr>
          <w:spacing w:val="-10"/>
        </w:rPr>
        <w:t> </w:t>
      </w:r>
      <w:r>
        <w:rPr>
          <w:spacing w:val="-4"/>
        </w:rPr>
        <w:t>and</w:t>
      </w:r>
      <w:r>
        <w:rPr>
          <w:spacing w:val="-10"/>
        </w:rPr>
        <w:t> </w:t>
      </w:r>
      <w:r>
        <w:rPr>
          <w:spacing w:val="-4"/>
        </w:rPr>
        <w:t>the</w:t>
      </w:r>
      <w:r>
        <w:rPr>
          <w:spacing w:val="-9"/>
        </w:rPr>
        <w:t> </w:t>
      </w:r>
      <w:r>
        <w:rPr>
          <w:spacing w:val="-4"/>
        </w:rPr>
        <w:t>University</w:t>
      </w:r>
      <w:r>
        <w:rPr>
          <w:spacing w:val="-10"/>
        </w:rPr>
        <w:t> </w:t>
      </w:r>
      <w:r>
        <w:rPr>
          <w:spacing w:val="-4"/>
        </w:rPr>
        <w:t>of</w:t>
      </w:r>
      <w:r>
        <w:rPr>
          <w:spacing w:val="-10"/>
        </w:rPr>
        <w:t> </w:t>
      </w:r>
      <w:r>
        <w:rPr>
          <w:spacing w:val="-4"/>
        </w:rPr>
        <w:t>Cambridge.</w:t>
      </w:r>
      <w:r>
        <w:rPr>
          <w:spacing w:val="-10"/>
        </w:rPr>
        <w:t> </w:t>
      </w:r>
      <w:r>
        <w:rPr>
          <w:spacing w:val="-4"/>
        </w:rPr>
        <w:t>Her </w:t>
      </w:r>
      <w:r>
        <w:rPr/>
        <w:t>research interests include globalisation, international trade</w:t>
      </w:r>
      <w:r>
        <w:rPr>
          <w:spacing w:val="-14"/>
        </w:rPr>
        <w:t> </w:t>
      </w:r>
      <w:r>
        <w:rPr/>
        <w:t>and</w:t>
      </w:r>
      <w:r>
        <w:rPr>
          <w:spacing w:val="-14"/>
        </w:rPr>
        <w:t> </w:t>
      </w:r>
      <w:r>
        <w:rPr/>
        <w:t>finance,</w:t>
      </w:r>
      <w:r>
        <w:rPr>
          <w:spacing w:val="-13"/>
        </w:rPr>
        <w:t> </w:t>
      </w:r>
      <w:r>
        <w:rPr/>
        <w:t>employment</w:t>
      </w:r>
      <w:r>
        <w:rPr>
          <w:spacing w:val="-14"/>
        </w:rPr>
        <w:t> </w:t>
      </w:r>
      <w:r>
        <w:rPr/>
        <w:t>patterns</w:t>
      </w:r>
      <w:r>
        <w:rPr>
          <w:spacing w:val="-14"/>
        </w:rPr>
        <w:t> </w:t>
      </w:r>
      <w:r>
        <w:rPr/>
        <w:t>in</w:t>
      </w:r>
      <w:r>
        <w:rPr>
          <w:spacing w:val="-13"/>
        </w:rPr>
        <w:t> </w:t>
      </w:r>
      <w:r>
        <w:rPr/>
        <w:t>developing </w:t>
      </w:r>
      <w:r>
        <w:rPr>
          <w:spacing w:val="-2"/>
        </w:rPr>
        <w:t>countries,</w:t>
      </w:r>
      <w:r>
        <w:rPr>
          <w:spacing w:val="-11"/>
        </w:rPr>
        <w:t> </w:t>
      </w:r>
      <w:r>
        <w:rPr>
          <w:spacing w:val="-2"/>
        </w:rPr>
        <w:t>macroeconomic</w:t>
      </w:r>
      <w:r>
        <w:rPr>
          <w:spacing w:val="-11"/>
        </w:rPr>
        <w:t> </w:t>
      </w:r>
      <w:r>
        <w:rPr>
          <w:spacing w:val="-2"/>
        </w:rPr>
        <w:t>policy,</w:t>
      </w:r>
      <w:r>
        <w:rPr>
          <w:spacing w:val="-11"/>
        </w:rPr>
        <w:t> </w:t>
      </w:r>
      <w:r>
        <w:rPr>
          <w:spacing w:val="-2"/>
        </w:rPr>
        <w:t>and</w:t>
      </w:r>
      <w:r>
        <w:rPr>
          <w:spacing w:val="-11"/>
        </w:rPr>
        <w:t> </w:t>
      </w:r>
      <w:r>
        <w:rPr>
          <w:spacing w:val="-2"/>
        </w:rPr>
        <w:t>issues</w:t>
      </w:r>
      <w:r>
        <w:rPr>
          <w:spacing w:val="-11"/>
        </w:rPr>
        <w:t> </w:t>
      </w:r>
      <w:r>
        <w:rPr>
          <w:spacing w:val="-2"/>
        </w:rPr>
        <w:t>related</w:t>
      </w:r>
      <w:r>
        <w:rPr>
          <w:spacing w:val="-11"/>
        </w:rPr>
        <w:t> </w:t>
      </w:r>
      <w:r>
        <w:rPr>
          <w:spacing w:val="-2"/>
        </w:rPr>
        <w:t>to </w:t>
      </w:r>
      <w:r>
        <w:rPr/>
        <w:t>gender and development.</w:t>
      </w:r>
    </w:p>
    <w:p>
      <w:pPr>
        <w:pStyle w:val="BodyText"/>
        <w:spacing w:before="9"/>
      </w:pPr>
    </w:p>
    <w:p>
      <w:pPr>
        <w:pStyle w:val="BodyText"/>
        <w:spacing w:line="266" w:lineRule="auto"/>
        <w:ind w:left="1080"/>
        <w:jc w:val="both"/>
      </w:pPr>
      <w:r>
        <w:rPr/>
        <w:t>Her published works include </w:t>
      </w:r>
      <w:r>
        <w:rPr>
          <w:i/>
        </w:rPr>
        <w:t>Crisis as a </w:t>
      </w:r>
      <w:r>
        <w:rPr>
          <w:i/>
        </w:rPr>
        <w:t>Conquest: Learning from East Asia, The Market that Failed: A </w:t>
      </w:r>
      <w:r>
        <w:rPr>
          <w:i/>
          <w:spacing w:val="-2"/>
        </w:rPr>
        <w:t>Decade</w:t>
      </w:r>
      <w:r>
        <w:rPr>
          <w:i/>
          <w:spacing w:val="-7"/>
        </w:rPr>
        <w:t> </w:t>
      </w:r>
      <w:r>
        <w:rPr>
          <w:i/>
          <w:spacing w:val="-2"/>
        </w:rPr>
        <w:t>of</w:t>
      </w:r>
      <w:r>
        <w:rPr>
          <w:i/>
          <w:spacing w:val="-7"/>
        </w:rPr>
        <w:t> </w:t>
      </w:r>
      <w:r>
        <w:rPr>
          <w:i/>
          <w:spacing w:val="-2"/>
        </w:rPr>
        <w:t>Neoliberal</w:t>
      </w:r>
      <w:r>
        <w:rPr>
          <w:i/>
          <w:spacing w:val="-7"/>
        </w:rPr>
        <w:t> </w:t>
      </w:r>
      <w:r>
        <w:rPr>
          <w:i/>
          <w:spacing w:val="-2"/>
        </w:rPr>
        <w:t>Economic</w:t>
      </w:r>
      <w:r>
        <w:rPr>
          <w:i/>
          <w:spacing w:val="-7"/>
        </w:rPr>
        <w:t> </w:t>
      </w:r>
      <w:r>
        <w:rPr>
          <w:i/>
          <w:spacing w:val="-2"/>
        </w:rPr>
        <w:t>Reforms</w:t>
      </w:r>
      <w:r>
        <w:rPr>
          <w:i/>
          <w:spacing w:val="-7"/>
        </w:rPr>
        <w:t> </w:t>
      </w:r>
      <w:r>
        <w:rPr>
          <w:i/>
          <w:spacing w:val="-2"/>
        </w:rPr>
        <w:t>in</w:t>
      </w:r>
      <w:r>
        <w:rPr>
          <w:i/>
          <w:spacing w:val="-7"/>
        </w:rPr>
        <w:t> </w:t>
      </w:r>
      <w:r>
        <w:rPr>
          <w:i/>
          <w:spacing w:val="-2"/>
        </w:rPr>
        <w:t>India,</w:t>
      </w:r>
      <w:r>
        <w:rPr>
          <w:i/>
          <w:spacing w:val="-7"/>
        </w:rPr>
        <w:t> </w:t>
      </w:r>
      <w:r>
        <w:rPr>
          <w:spacing w:val="-2"/>
        </w:rPr>
        <w:t>and </w:t>
      </w:r>
      <w:r>
        <w:rPr>
          <w:i/>
          <w:spacing w:val="-6"/>
        </w:rPr>
        <w:t>Work</w:t>
      </w:r>
      <w:r>
        <w:rPr>
          <w:i/>
          <w:spacing w:val="-10"/>
        </w:rPr>
        <w:t> </w:t>
      </w:r>
      <w:r>
        <w:rPr>
          <w:i/>
          <w:spacing w:val="-6"/>
        </w:rPr>
        <w:t>and</w:t>
      </w:r>
      <w:r>
        <w:rPr>
          <w:i/>
          <w:spacing w:val="-8"/>
        </w:rPr>
        <w:t> </w:t>
      </w:r>
      <w:r>
        <w:rPr>
          <w:i/>
          <w:spacing w:val="-6"/>
        </w:rPr>
        <w:t>Well-being</w:t>
      </w:r>
      <w:r>
        <w:rPr>
          <w:i/>
          <w:spacing w:val="-8"/>
        </w:rPr>
        <w:t> </w:t>
      </w:r>
      <w:r>
        <w:rPr>
          <w:i/>
          <w:spacing w:val="-6"/>
        </w:rPr>
        <w:t>in</w:t>
      </w:r>
      <w:r>
        <w:rPr>
          <w:i/>
          <w:spacing w:val="-7"/>
        </w:rPr>
        <w:t> </w:t>
      </w:r>
      <w:r>
        <w:rPr>
          <w:i/>
          <w:spacing w:val="-6"/>
        </w:rPr>
        <w:t>the</w:t>
      </w:r>
      <w:r>
        <w:rPr>
          <w:i/>
          <w:spacing w:val="-8"/>
        </w:rPr>
        <w:t> </w:t>
      </w:r>
      <w:r>
        <w:rPr>
          <w:i/>
          <w:spacing w:val="-6"/>
        </w:rPr>
        <w:t>Age</w:t>
      </w:r>
      <w:r>
        <w:rPr>
          <w:i/>
          <w:spacing w:val="-8"/>
        </w:rPr>
        <w:t> </w:t>
      </w:r>
      <w:r>
        <w:rPr>
          <w:i/>
          <w:spacing w:val="-6"/>
        </w:rPr>
        <w:t>of</w:t>
      </w:r>
      <w:r>
        <w:rPr>
          <w:i/>
          <w:spacing w:val="-8"/>
        </w:rPr>
        <w:t> </w:t>
      </w:r>
      <w:r>
        <w:rPr>
          <w:i/>
          <w:spacing w:val="-6"/>
        </w:rPr>
        <w:t>Finance</w:t>
      </w:r>
      <w:r>
        <w:rPr>
          <w:i/>
          <w:spacing w:val="-7"/>
        </w:rPr>
        <w:t> </w:t>
      </w:r>
      <w:r>
        <w:rPr>
          <w:spacing w:val="-6"/>
        </w:rPr>
        <w:t>(co-authored </w:t>
      </w:r>
      <w:r>
        <w:rPr>
          <w:spacing w:val="-4"/>
        </w:rPr>
        <w:t>with Prof. C.P. Chandrashekhar). She was the principal </w:t>
      </w:r>
      <w:r>
        <w:rPr/>
        <w:t>author of the West Bengal Human Development Report 2004 which received the UNDP Award for </w:t>
      </w:r>
      <w:r>
        <w:rPr>
          <w:spacing w:val="-2"/>
        </w:rPr>
        <w:t>excellence</w:t>
      </w:r>
      <w:r>
        <w:rPr>
          <w:spacing w:val="-12"/>
        </w:rPr>
        <w:t> </w:t>
      </w:r>
      <w:r>
        <w:rPr>
          <w:spacing w:val="-2"/>
        </w:rPr>
        <w:t>in</w:t>
      </w:r>
      <w:r>
        <w:rPr>
          <w:spacing w:val="-12"/>
        </w:rPr>
        <w:t> </w:t>
      </w:r>
      <w:r>
        <w:rPr>
          <w:spacing w:val="-2"/>
        </w:rPr>
        <w:t>analysis,</w:t>
      </w:r>
      <w:r>
        <w:rPr>
          <w:spacing w:val="-12"/>
        </w:rPr>
        <w:t> </w:t>
      </w:r>
      <w:r>
        <w:rPr>
          <w:spacing w:val="-2"/>
        </w:rPr>
        <w:t>and</w:t>
      </w:r>
      <w:r>
        <w:rPr>
          <w:spacing w:val="-11"/>
        </w:rPr>
        <w:t> </w:t>
      </w:r>
      <w:r>
        <w:rPr>
          <w:spacing w:val="-2"/>
        </w:rPr>
        <w:t>numerous</w:t>
      </w:r>
      <w:r>
        <w:rPr>
          <w:spacing w:val="-12"/>
        </w:rPr>
        <w:t> </w:t>
      </w:r>
      <w:r>
        <w:rPr>
          <w:spacing w:val="-2"/>
        </w:rPr>
        <w:t>academic</w:t>
      </w:r>
      <w:r>
        <w:rPr>
          <w:spacing w:val="-12"/>
        </w:rPr>
        <w:t> </w:t>
      </w:r>
      <w:r>
        <w:rPr>
          <w:spacing w:val="-2"/>
        </w:rPr>
        <w:t>papers. </w:t>
      </w:r>
      <w:r>
        <w:rPr/>
        <w:t>She is a regular columnist for leading journals and </w:t>
      </w:r>
      <w:r>
        <w:rPr>
          <w:spacing w:val="-2"/>
        </w:rPr>
        <w:t>periodicals.</w:t>
      </w:r>
      <w:r>
        <w:rPr>
          <w:spacing w:val="-12"/>
        </w:rPr>
        <w:t> </w:t>
      </w:r>
      <w:r>
        <w:rPr>
          <w:spacing w:val="-2"/>
        </w:rPr>
        <w:t>Dr.</w:t>
      </w:r>
      <w:r>
        <w:rPr>
          <w:spacing w:val="-12"/>
        </w:rPr>
        <w:t> </w:t>
      </w:r>
      <w:r>
        <w:rPr>
          <w:spacing w:val="-2"/>
        </w:rPr>
        <w:t>Ghosh</w:t>
      </w:r>
      <w:r>
        <w:rPr>
          <w:spacing w:val="-12"/>
        </w:rPr>
        <w:t> </w:t>
      </w:r>
      <w:r>
        <w:rPr>
          <w:spacing w:val="-2"/>
        </w:rPr>
        <w:t>is</w:t>
      </w:r>
      <w:r>
        <w:rPr>
          <w:spacing w:val="-11"/>
        </w:rPr>
        <w:t> </w:t>
      </w:r>
      <w:r>
        <w:rPr>
          <w:spacing w:val="-2"/>
        </w:rPr>
        <w:t>involved</w:t>
      </w:r>
      <w:r>
        <w:rPr>
          <w:spacing w:val="-12"/>
        </w:rPr>
        <w:t> </w:t>
      </w:r>
      <w:r>
        <w:rPr>
          <w:spacing w:val="-2"/>
        </w:rPr>
        <w:t>in</w:t>
      </w:r>
      <w:r>
        <w:rPr>
          <w:spacing w:val="-12"/>
        </w:rPr>
        <w:t> </w:t>
      </w:r>
      <w:r>
        <w:rPr>
          <w:spacing w:val="-2"/>
        </w:rPr>
        <w:t>managing</w:t>
      </w:r>
      <w:r>
        <w:rPr>
          <w:spacing w:val="-12"/>
        </w:rPr>
        <w:t> </w:t>
      </w:r>
      <w:r>
        <w:rPr>
          <w:spacing w:val="-2"/>
        </w:rPr>
        <w:t>several </w:t>
      </w:r>
      <w:r>
        <w:rPr>
          <w:spacing w:val="-4"/>
        </w:rPr>
        <w:t>public</w:t>
      </w:r>
      <w:r>
        <w:rPr>
          <w:spacing w:val="-10"/>
        </w:rPr>
        <w:t> </w:t>
      </w:r>
      <w:r>
        <w:rPr>
          <w:spacing w:val="-4"/>
        </w:rPr>
        <w:t>information</w:t>
      </w:r>
      <w:r>
        <w:rPr>
          <w:spacing w:val="-10"/>
        </w:rPr>
        <w:t> </w:t>
      </w:r>
      <w:r>
        <w:rPr>
          <w:spacing w:val="-4"/>
        </w:rPr>
        <w:t>websites,</w:t>
      </w:r>
      <w:r>
        <w:rPr>
          <w:spacing w:val="-10"/>
        </w:rPr>
        <w:t> </w:t>
      </w:r>
      <w:r>
        <w:rPr>
          <w:spacing w:val="-4"/>
        </w:rPr>
        <w:t>a</w:t>
      </w:r>
      <w:r>
        <w:rPr>
          <w:spacing w:val="-9"/>
        </w:rPr>
        <w:t> </w:t>
      </w:r>
      <w:r>
        <w:rPr>
          <w:spacing w:val="-4"/>
        </w:rPr>
        <w:t>founder</w:t>
      </w:r>
      <w:r>
        <w:rPr>
          <w:spacing w:val="-10"/>
        </w:rPr>
        <w:t> </w:t>
      </w:r>
      <w:r>
        <w:rPr>
          <w:spacing w:val="-4"/>
        </w:rPr>
        <w:t>of</w:t>
      </w:r>
      <w:r>
        <w:rPr>
          <w:spacing w:val="-10"/>
        </w:rPr>
        <w:t> </w:t>
      </w:r>
      <w:r>
        <w:rPr>
          <w:spacing w:val="-4"/>
        </w:rPr>
        <w:t>the</w:t>
      </w:r>
      <w:r>
        <w:rPr>
          <w:spacing w:val="-10"/>
        </w:rPr>
        <w:t> </w:t>
      </w:r>
      <w:r>
        <w:rPr>
          <w:spacing w:val="-4"/>
        </w:rPr>
        <w:t>Economic </w:t>
      </w:r>
      <w:r>
        <w:rPr/>
        <w:t>Research Foundation, and is the Executive Secretary of International Development Economics Associates (IDEAS), an international network of heterodox development economists. She chaired the Andhra Pradesh Commission on Farmers’ Welfare in 2004, and</w:t>
      </w:r>
      <w:r>
        <w:rPr>
          <w:spacing w:val="-2"/>
        </w:rPr>
        <w:t> </w:t>
      </w:r>
      <w:r>
        <w:rPr/>
        <w:t>continues</w:t>
      </w:r>
      <w:r>
        <w:rPr>
          <w:spacing w:val="-2"/>
        </w:rPr>
        <w:t> </w:t>
      </w:r>
      <w:r>
        <w:rPr/>
        <w:t>to</w:t>
      </w:r>
      <w:r>
        <w:rPr>
          <w:spacing w:val="-2"/>
        </w:rPr>
        <w:t> </w:t>
      </w:r>
      <w:r>
        <w:rPr/>
        <w:t>be</w:t>
      </w:r>
      <w:r>
        <w:rPr>
          <w:spacing w:val="-2"/>
        </w:rPr>
        <w:t> </w:t>
      </w:r>
      <w:r>
        <w:rPr/>
        <w:t>closely</w:t>
      </w:r>
      <w:r>
        <w:rPr>
          <w:spacing w:val="-2"/>
        </w:rPr>
        <w:t> </w:t>
      </w:r>
      <w:r>
        <w:rPr/>
        <w:t>involved</w:t>
      </w:r>
      <w:r>
        <w:rPr>
          <w:spacing w:val="-2"/>
        </w:rPr>
        <w:t> </w:t>
      </w:r>
      <w:r>
        <w:rPr/>
        <w:t>in</w:t>
      </w:r>
      <w:r>
        <w:rPr>
          <w:spacing w:val="-2"/>
        </w:rPr>
        <w:t> </w:t>
      </w:r>
      <w:r>
        <w:rPr/>
        <w:t>working</w:t>
      </w:r>
      <w:r>
        <w:rPr>
          <w:spacing w:val="-2"/>
        </w:rPr>
        <w:t> </w:t>
      </w:r>
      <w:r>
        <w:rPr/>
        <w:t>with progressive</w:t>
      </w:r>
      <w:r>
        <w:rPr>
          <w:spacing w:val="-14"/>
        </w:rPr>
        <w:t> </w:t>
      </w:r>
      <w:r>
        <w:rPr/>
        <w:t>organisations</w:t>
      </w:r>
      <w:r>
        <w:rPr>
          <w:spacing w:val="-14"/>
        </w:rPr>
        <w:t> </w:t>
      </w:r>
      <w:r>
        <w:rPr/>
        <w:t>and</w:t>
      </w:r>
      <w:r>
        <w:rPr>
          <w:spacing w:val="-14"/>
        </w:rPr>
        <w:t> </w:t>
      </w:r>
      <w:r>
        <w:rPr/>
        <w:t>social</w:t>
      </w:r>
      <w:r>
        <w:rPr>
          <w:spacing w:val="-13"/>
        </w:rPr>
        <w:t> </w:t>
      </w:r>
      <w:r>
        <w:rPr/>
        <w:t>movements.</w:t>
      </w:r>
    </w:p>
    <w:p>
      <w:pPr>
        <w:pStyle w:val="Heading7"/>
        <w:spacing w:before="218"/>
        <w:ind w:left="1080"/>
        <w:jc w:val="both"/>
      </w:pPr>
      <w:r>
        <w:rPr>
          <w:color w:val="2E614A"/>
          <w:spacing w:val="-8"/>
        </w:rPr>
        <w:t>Dr.</w:t>
      </w:r>
      <w:r>
        <w:rPr>
          <w:color w:val="2E614A"/>
          <w:spacing w:val="-7"/>
        </w:rPr>
        <w:t> </w:t>
      </w:r>
      <w:r>
        <w:rPr>
          <w:color w:val="2E614A"/>
          <w:spacing w:val="-8"/>
        </w:rPr>
        <w:t>Deepak</w:t>
      </w:r>
      <w:r>
        <w:rPr>
          <w:color w:val="2E614A"/>
          <w:spacing w:val="-7"/>
        </w:rPr>
        <w:t> </w:t>
      </w:r>
      <w:r>
        <w:rPr>
          <w:color w:val="2E614A"/>
          <w:spacing w:val="-8"/>
        </w:rPr>
        <w:t>Nayyar</w:t>
      </w:r>
    </w:p>
    <w:p>
      <w:pPr>
        <w:pStyle w:val="BodyText"/>
        <w:rPr>
          <w:b/>
          <w:sz w:val="26"/>
        </w:rPr>
      </w:pPr>
    </w:p>
    <w:p>
      <w:pPr>
        <w:pStyle w:val="BodyText"/>
        <w:spacing w:line="266" w:lineRule="auto"/>
        <w:ind w:left="1080"/>
        <w:jc w:val="both"/>
      </w:pPr>
      <w:r>
        <w:rPr/>
        <w:t>Dr Nayyar is Professor of Economics at </w:t>
      </w:r>
      <w:r>
        <w:rPr/>
        <w:t>Jawaharlal </w:t>
      </w:r>
      <w:r>
        <w:rPr>
          <w:spacing w:val="-2"/>
        </w:rPr>
        <w:t>Nehru</w:t>
      </w:r>
      <w:r>
        <w:rPr>
          <w:spacing w:val="-7"/>
        </w:rPr>
        <w:t> </w:t>
      </w:r>
      <w:r>
        <w:rPr>
          <w:spacing w:val="-2"/>
        </w:rPr>
        <w:t>University,</w:t>
      </w:r>
      <w:r>
        <w:rPr>
          <w:spacing w:val="-7"/>
        </w:rPr>
        <w:t> </w:t>
      </w:r>
      <w:r>
        <w:rPr>
          <w:spacing w:val="-2"/>
        </w:rPr>
        <w:t>New</w:t>
      </w:r>
      <w:r>
        <w:rPr>
          <w:spacing w:val="-7"/>
        </w:rPr>
        <w:t> </w:t>
      </w:r>
      <w:r>
        <w:rPr>
          <w:spacing w:val="-2"/>
        </w:rPr>
        <w:t>Delhi.</w:t>
      </w:r>
      <w:r>
        <w:rPr>
          <w:spacing w:val="-7"/>
        </w:rPr>
        <w:t> </w:t>
      </w:r>
      <w:r>
        <w:rPr>
          <w:spacing w:val="-2"/>
        </w:rPr>
        <w:t>Earlier,</w:t>
      </w:r>
      <w:r>
        <w:rPr>
          <w:spacing w:val="-7"/>
        </w:rPr>
        <w:t> </w:t>
      </w:r>
      <w:r>
        <w:rPr>
          <w:spacing w:val="-2"/>
        </w:rPr>
        <w:t>he</w:t>
      </w:r>
      <w:r>
        <w:rPr>
          <w:spacing w:val="-7"/>
        </w:rPr>
        <w:t> </w:t>
      </w:r>
      <w:r>
        <w:rPr>
          <w:spacing w:val="-2"/>
        </w:rPr>
        <w:t>has</w:t>
      </w:r>
      <w:r>
        <w:rPr>
          <w:spacing w:val="-7"/>
        </w:rPr>
        <w:t> </w:t>
      </w:r>
      <w:r>
        <w:rPr>
          <w:spacing w:val="-2"/>
        </w:rPr>
        <w:t>taught</w:t>
      </w:r>
      <w:r>
        <w:rPr>
          <w:spacing w:val="-7"/>
        </w:rPr>
        <w:t> </w:t>
      </w:r>
      <w:r>
        <w:rPr>
          <w:spacing w:val="-2"/>
        </w:rPr>
        <w:t>at </w:t>
      </w:r>
      <w:r>
        <w:rPr>
          <w:spacing w:val="-4"/>
        </w:rPr>
        <w:t>the</w:t>
      </w:r>
      <w:r>
        <w:rPr>
          <w:spacing w:val="-5"/>
        </w:rPr>
        <w:t> </w:t>
      </w:r>
      <w:r>
        <w:rPr>
          <w:spacing w:val="-4"/>
        </w:rPr>
        <w:t>University</w:t>
      </w:r>
      <w:r>
        <w:rPr>
          <w:spacing w:val="-5"/>
        </w:rPr>
        <w:t> </w:t>
      </w:r>
      <w:r>
        <w:rPr>
          <w:spacing w:val="-4"/>
        </w:rPr>
        <w:t>of</w:t>
      </w:r>
      <w:r>
        <w:rPr>
          <w:spacing w:val="-5"/>
        </w:rPr>
        <w:t> </w:t>
      </w:r>
      <w:r>
        <w:rPr>
          <w:spacing w:val="-4"/>
        </w:rPr>
        <w:t>Oxford,</w:t>
      </w:r>
      <w:r>
        <w:rPr>
          <w:spacing w:val="-5"/>
        </w:rPr>
        <w:t> </w:t>
      </w:r>
      <w:r>
        <w:rPr>
          <w:spacing w:val="-4"/>
        </w:rPr>
        <w:t>the</w:t>
      </w:r>
      <w:r>
        <w:rPr>
          <w:spacing w:val="-5"/>
        </w:rPr>
        <w:t> </w:t>
      </w:r>
      <w:r>
        <w:rPr>
          <w:spacing w:val="-4"/>
        </w:rPr>
        <w:t>University</w:t>
      </w:r>
      <w:r>
        <w:rPr>
          <w:spacing w:val="-5"/>
        </w:rPr>
        <w:t> </w:t>
      </w:r>
      <w:r>
        <w:rPr>
          <w:spacing w:val="-4"/>
        </w:rPr>
        <w:t>of</w:t>
      </w:r>
      <w:r>
        <w:rPr>
          <w:spacing w:val="-5"/>
        </w:rPr>
        <w:t> </w:t>
      </w:r>
      <w:r>
        <w:rPr>
          <w:spacing w:val="-4"/>
        </w:rPr>
        <w:t>Sussex,</w:t>
      </w:r>
      <w:r>
        <w:rPr>
          <w:spacing w:val="-5"/>
        </w:rPr>
        <w:t> </w:t>
      </w:r>
      <w:r>
        <w:rPr>
          <w:spacing w:val="-4"/>
        </w:rPr>
        <w:t>and the</w:t>
      </w:r>
      <w:r>
        <w:rPr>
          <w:spacing w:val="-7"/>
        </w:rPr>
        <w:t> </w:t>
      </w:r>
      <w:r>
        <w:rPr>
          <w:spacing w:val="-4"/>
        </w:rPr>
        <w:t>Indian</w:t>
      </w:r>
      <w:r>
        <w:rPr>
          <w:spacing w:val="-7"/>
        </w:rPr>
        <w:t> </w:t>
      </w:r>
      <w:r>
        <w:rPr>
          <w:spacing w:val="-4"/>
        </w:rPr>
        <w:t>Institute</w:t>
      </w:r>
      <w:r>
        <w:rPr>
          <w:spacing w:val="-7"/>
        </w:rPr>
        <w:t> </w:t>
      </w:r>
      <w:r>
        <w:rPr>
          <w:spacing w:val="-4"/>
        </w:rPr>
        <w:t>of</w:t>
      </w:r>
      <w:r>
        <w:rPr>
          <w:spacing w:val="-7"/>
        </w:rPr>
        <w:t> </w:t>
      </w:r>
      <w:r>
        <w:rPr>
          <w:spacing w:val="-4"/>
        </w:rPr>
        <w:t>Management,</w:t>
      </w:r>
      <w:r>
        <w:rPr>
          <w:spacing w:val="-7"/>
        </w:rPr>
        <w:t> </w:t>
      </w:r>
      <w:r>
        <w:rPr>
          <w:spacing w:val="-4"/>
        </w:rPr>
        <w:t>Calcutta.</w:t>
      </w:r>
      <w:r>
        <w:rPr>
          <w:spacing w:val="-7"/>
        </w:rPr>
        <w:t> </w:t>
      </w:r>
      <w:r>
        <w:rPr>
          <w:spacing w:val="-4"/>
        </w:rPr>
        <w:t>Professor </w:t>
      </w:r>
      <w:r>
        <w:rPr>
          <w:spacing w:val="-2"/>
        </w:rPr>
        <w:t>Nayyar</w:t>
      </w:r>
      <w:r>
        <w:rPr>
          <w:spacing w:val="-12"/>
        </w:rPr>
        <w:t> </w:t>
      </w:r>
      <w:r>
        <w:rPr>
          <w:spacing w:val="-2"/>
        </w:rPr>
        <w:t>was</w:t>
      </w:r>
      <w:r>
        <w:rPr>
          <w:spacing w:val="-12"/>
        </w:rPr>
        <w:t> </w:t>
      </w:r>
      <w:r>
        <w:rPr>
          <w:spacing w:val="-2"/>
        </w:rPr>
        <w:t>Vice</w:t>
      </w:r>
      <w:r>
        <w:rPr>
          <w:spacing w:val="-12"/>
        </w:rPr>
        <w:t> </w:t>
      </w:r>
      <w:r>
        <w:rPr>
          <w:spacing w:val="-2"/>
        </w:rPr>
        <w:t>Chancellor</w:t>
      </w:r>
      <w:r>
        <w:rPr>
          <w:spacing w:val="-11"/>
        </w:rPr>
        <w:t> </w:t>
      </w:r>
      <w:r>
        <w:rPr>
          <w:spacing w:val="-2"/>
        </w:rPr>
        <w:t>of</w:t>
      </w:r>
      <w:r>
        <w:rPr>
          <w:spacing w:val="-12"/>
        </w:rPr>
        <w:t> </w:t>
      </w:r>
      <w:r>
        <w:rPr>
          <w:spacing w:val="-2"/>
        </w:rPr>
        <w:t>the</w:t>
      </w:r>
      <w:r>
        <w:rPr>
          <w:spacing w:val="-12"/>
        </w:rPr>
        <w:t> </w:t>
      </w:r>
      <w:r>
        <w:rPr>
          <w:spacing w:val="-2"/>
        </w:rPr>
        <w:t>University</w:t>
      </w:r>
      <w:r>
        <w:rPr>
          <w:spacing w:val="-12"/>
        </w:rPr>
        <w:t> </w:t>
      </w:r>
      <w:r>
        <w:rPr>
          <w:spacing w:val="-2"/>
        </w:rPr>
        <w:t>of</w:t>
      </w:r>
      <w:r>
        <w:rPr>
          <w:spacing w:val="-11"/>
        </w:rPr>
        <w:t> </w:t>
      </w:r>
      <w:r>
        <w:rPr>
          <w:spacing w:val="-2"/>
        </w:rPr>
        <w:t>Delhi </w:t>
      </w:r>
      <w:r>
        <w:rPr/>
        <w:t>from</w:t>
      </w:r>
      <w:r>
        <w:rPr>
          <w:spacing w:val="-14"/>
        </w:rPr>
        <w:t> </w:t>
      </w:r>
      <w:r>
        <w:rPr/>
        <w:t>2000</w:t>
      </w:r>
      <w:r>
        <w:rPr>
          <w:spacing w:val="-14"/>
        </w:rPr>
        <w:t> </w:t>
      </w:r>
      <w:r>
        <w:rPr/>
        <w:t>to</w:t>
      </w:r>
      <w:r>
        <w:rPr>
          <w:spacing w:val="-14"/>
        </w:rPr>
        <w:t> </w:t>
      </w:r>
      <w:r>
        <w:rPr/>
        <w:t>2005.</w:t>
      </w:r>
      <w:r>
        <w:rPr>
          <w:spacing w:val="-13"/>
        </w:rPr>
        <w:t> </w:t>
      </w:r>
      <w:r>
        <w:rPr/>
        <w:t>He</w:t>
      </w:r>
      <w:r>
        <w:rPr>
          <w:spacing w:val="-14"/>
        </w:rPr>
        <w:t> </w:t>
      </w:r>
      <w:r>
        <w:rPr/>
        <w:t>also</w:t>
      </w:r>
      <w:r>
        <w:rPr>
          <w:spacing w:val="-14"/>
        </w:rPr>
        <w:t> </w:t>
      </w:r>
      <w:r>
        <w:rPr/>
        <w:t>served</w:t>
      </w:r>
      <w:r>
        <w:rPr>
          <w:spacing w:val="-14"/>
        </w:rPr>
        <w:t> </w:t>
      </w:r>
      <w:r>
        <w:rPr/>
        <w:t>as</w:t>
      </w:r>
      <w:r>
        <w:rPr>
          <w:spacing w:val="-13"/>
        </w:rPr>
        <w:t> </w:t>
      </w:r>
      <w:r>
        <w:rPr/>
        <w:t>Chief</w:t>
      </w:r>
      <w:r>
        <w:rPr>
          <w:spacing w:val="-14"/>
        </w:rPr>
        <w:t> </w:t>
      </w:r>
      <w:r>
        <w:rPr/>
        <w:t>Economic </w:t>
      </w:r>
      <w:r>
        <w:rPr>
          <w:spacing w:val="-4"/>
        </w:rPr>
        <w:t>Adviser</w:t>
      </w:r>
      <w:r>
        <w:rPr>
          <w:spacing w:val="-10"/>
        </w:rPr>
        <w:t> </w:t>
      </w:r>
      <w:r>
        <w:rPr>
          <w:spacing w:val="-4"/>
        </w:rPr>
        <w:t>to</w:t>
      </w:r>
      <w:r>
        <w:rPr>
          <w:spacing w:val="-10"/>
        </w:rPr>
        <w:t> </w:t>
      </w:r>
      <w:r>
        <w:rPr>
          <w:spacing w:val="-4"/>
        </w:rPr>
        <w:t>the</w:t>
      </w:r>
      <w:r>
        <w:rPr>
          <w:spacing w:val="-10"/>
        </w:rPr>
        <w:t> </w:t>
      </w:r>
      <w:r>
        <w:rPr>
          <w:spacing w:val="-4"/>
        </w:rPr>
        <w:t>Government</w:t>
      </w:r>
      <w:r>
        <w:rPr>
          <w:spacing w:val="-9"/>
        </w:rPr>
        <w:t> </w:t>
      </w:r>
      <w:r>
        <w:rPr>
          <w:spacing w:val="-4"/>
        </w:rPr>
        <w:t>of</w:t>
      </w:r>
      <w:r>
        <w:rPr>
          <w:spacing w:val="-10"/>
        </w:rPr>
        <w:t> </w:t>
      </w:r>
      <w:r>
        <w:rPr>
          <w:spacing w:val="-4"/>
        </w:rPr>
        <w:t>India</w:t>
      </w:r>
      <w:r>
        <w:rPr>
          <w:spacing w:val="-10"/>
        </w:rPr>
        <w:t> </w:t>
      </w:r>
      <w:r>
        <w:rPr>
          <w:spacing w:val="-4"/>
        </w:rPr>
        <w:t>and</w:t>
      </w:r>
      <w:r>
        <w:rPr>
          <w:spacing w:val="-10"/>
        </w:rPr>
        <w:t> </w:t>
      </w:r>
      <w:r>
        <w:rPr>
          <w:spacing w:val="-4"/>
        </w:rPr>
        <w:t>Secretary</w:t>
      </w:r>
      <w:r>
        <w:rPr>
          <w:spacing w:val="-9"/>
        </w:rPr>
        <w:t> </w:t>
      </w:r>
      <w:r>
        <w:rPr>
          <w:spacing w:val="-4"/>
        </w:rPr>
        <w:t>in</w:t>
      </w:r>
      <w:r>
        <w:rPr>
          <w:spacing w:val="-10"/>
        </w:rPr>
        <w:t> </w:t>
      </w:r>
      <w:r>
        <w:rPr>
          <w:spacing w:val="-4"/>
        </w:rPr>
        <w:t>the </w:t>
      </w:r>
      <w:r>
        <w:rPr/>
        <w:t>Ministry of Finance.</w:t>
      </w:r>
    </w:p>
    <w:p>
      <w:pPr>
        <w:pStyle w:val="BodyText"/>
        <w:spacing w:before="20"/>
      </w:pPr>
    </w:p>
    <w:p>
      <w:pPr>
        <w:pStyle w:val="BodyText"/>
        <w:spacing w:line="266" w:lineRule="auto"/>
        <w:ind w:left="1080"/>
        <w:jc w:val="both"/>
      </w:pPr>
      <w:r>
        <w:rPr>
          <w:spacing w:val="-4"/>
        </w:rPr>
        <w:t>He</w:t>
      </w:r>
      <w:r>
        <w:rPr>
          <w:spacing w:val="-10"/>
        </w:rPr>
        <w:t> </w:t>
      </w:r>
      <w:r>
        <w:rPr>
          <w:spacing w:val="-4"/>
        </w:rPr>
        <w:t>was</w:t>
      </w:r>
      <w:r>
        <w:rPr>
          <w:spacing w:val="-10"/>
        </w:rPr>
        <w:t> </w:t>
      </w:r>
      <w:r>
        <w:rPr>
          <w:spacing w:val="-4"/>
        </w:rPr>
        <w:t>educated</w:t>
      </w:r>
      <w:r>
        <w:rPr>
          <w:spacing w:val="-10"/>
        </w:rPr>
        <w:t> </w:t>
      </w:r>
      <w:r>
        <w:rPr>
          <w:spacing w:val="-4"/>
        </w:rPr>
        <w:t>at</w:t>
      </w:r>
      <w:r>
        <w:rPr>
          <w:spacing w:val="-9"/>
        </w:rPr>
        <w:t> </w:t>
      </w:r>
      <w:r>
        <w:rPr>
          <w:spacing w:val="-4"/>
        </w:rPr>
        <w:t>St.</w:t>
      </w:r>
      <w:r>
        <w:rPr>
          <w:spacing w:val="-10"/>
        </w:rPr>
        <w:t> </w:t>
      </w:r>
      <w:r>
        <w:rPr>
          <w:spacing w:val="-4"/>
        </w:rPr>
        <w:t>Stephen’s</w:t>
      </w:r>
      <w:r>
        <w:rPr>
          <w:spacing w:val="-10"/>
        </w:rPr>
        <w:t> </w:t>
      </w:r>
      <w:r>
        <w:rPr>
          <w:spacing w:val="-4"/>
        </w:rPr>
        <w:t>College,</w:t>
      </w:r>
      <w:r>
        <w:rPr>
          <w:spacing w:val="-10"/>
        </w:rPr>
        <w:t> </w:t>
      </w:r>
      <w:r>
        <w:rPr>
          <w:spacing w:val="-4"/>
        </w:rPr>
        <w:t>University</w:t>
      </w:r>
      <w:r>
        <w:rPr>
          <w:spacing w:val="-9"/>
        </w:rPr>
        <w:t> </w:t>
      </w:r>
      <w:r>
        <w:rPr>
          <w:spacing w:val="-4"/>
        </w:rPr>
        <w:t>of </w:t>
      </w:r>
      <w:r>
        <w:rPr/>
        <w:t>Delhi.</w:t>
      </w:r>
      <w:r>
        <w:rPr>
          <w:spacing w:val="-12"/>
        </w:rPr>
        <w:t> </w:t>
      </w:r>
      <w:r>
        <w:rPr/>
        <w:t>Thereafter,</w:t>
      </w:r>
      <w:r>
        <w:rPr>
          <w:spacing w:val="-5"/>
        </w:rPr>
        <w:t> </w:t>
      </w:r>
      <w:r>
        <w:rPr/>
        <w:t>as</w:t>
      </w:r>
      <w:r>
        <w:rPr>
          <w:spacing w:val="-5"/>
        </w:rPr>
        <w:t> </w:t>
      </w:r>
      <w:r>
        <w:rPr/>
        <w:t>a</w:t>
      </w:r>
      <w:r>
        <w:rPr>
          <w:spacing w:val="-5"/>
        </w:rPr>
        <w:t> </w:t>
      </w:r>
      <w:r>
        <w:rPr/>
        <w:t>Rhodes</w:t>
      </w:r>
      <w:r>
        <w:rPr>
          <w:spacing w:val="-5"/>
        </w:rPr>
        <w:t> </w:t>
      </w:r>
      <w:r>
        <w:rPr/>
        <w:t>Scholar,</w:t>
      </w:r>
      <w:r>
        <w:rPr>
          <w:spacing w:val="-5"/>
        </w:rPr>
        <w:t> </w:t>
      </w:r>
      <w:r>
        <w:rPr/>
        <w:t>he</w:t>
      </w:r>
      <w:r>
        <w:rPr>
          <w:spacing w:val="-5"/>
        </w:rPr>
        <w:t> </w:t>
      </w:r>
      <w:r>
        <w:rPr/>
        <w:t>went</w:t>
      </w:r>
      <w:r>
        <w:rPr>
          <w:spacing w:val="-5"/>
        </w:rPr>
        <w:t> </w:t>
      </w:r>
      <w:r>
        <w:rPr/>
        <w:t>on</w:t>
      </w:r>
      <w:r>
        <w:rPr>
          <w:spacing w:val="-5"/>
        </w:rPr>
        <w:t> </w:t>
      </w:r>
      <w:r>
        <w:rPr/>
        <w:t>to </w:t>
      </w:r>
      <w:r>
        <w:rPr>
          <w:spacing w:val="-6"/>
        </w:rPr>
        <w:t>study at Balliol College, University of Oxford, where he </w:t>
      </w:r>
      <w:r>
        <w:rPr/>
        <w:t>obtained</w:t>
      </w:r>
      <w:r>
        <w:rPr>
          <w:spacing w:val="-10"/>
        </w:rPr>
        <w:t> </w:t>
      </w:r>
      <w:r>
        <w:rPr/>
        <w:t>a</w:t>
      </w:r>
      <w:r>
        <w:rPr>
          <w:spacing w:val="-10"/>
        </w:rPr>
        <w:t> </w:t>
      </w:r>
      <w:r>
        <w:rPr/>
        <w:t>B.</w:t>
      </w:r>
      <w:r>
        <w:rPr>
          <w:spacing w:val="-10"/>
        </w:rPr>
        <w:t> </w:t>
      </w:r>
      <w:r>
        <w:rPr/>
        <w:t>Phil</w:t>
      </w:r>
      <w:r>
        <w:rPr>
          <w:spacing w:val="-10"/>
        </w:rPr>
        <w:t> </w:t>
      </w:r>
      <w:r>
        <w:rPr/>
        <w:t>and</w:t>
      </w:r>
      <w:r>
        <w:rPr>
          <w:spacing w:val="-10"/>
        </w:rPr>
        <w:t> </w:t>
      </w:r>
      <w:r>
        <w:rPr/>
        <w:t>a</w:t>
      </w:r>
      <w:r>
        <w:rPr>
          <w:spacing w:val="-10"/>
        </w:rPr>
        <w:t> </w:t>
      </w:r>
      <w:r>
        <w:rPr/>
        <w:t>D.</w:t>
      </w:r>
      <w:r>
        <w:rPr>
          <w:spacing w:val="-10"/>
        </w:rPr>
        <w:t> </w:t>
      </w:r>
      <w:r>
        <w:rPr/>
        <w:t>Phil</w:t>
      </w:r>
      <w:r>
        <w:rPr>
          <w:spacing w:val="-10"/>
        </w:rPr>
        <w:t> </w:t>
      </w:r>
      <w:r>
        <w:rPr/>
        <w:t>in</w:t>
      </w:r>
      <w:r>
        <w:rPr>
          <w:spacing w:val="-10"/>
        </w:rPr>
        <w:t> </w:t>
      </w:r>
      <w:r>
        <w:rPr/>
        <w:t>Economics.</w:t>
      </w:r>
      <w:r>
        <w:rPr>
          <w:spacing w:val="-10"/>
        </w:rPr>
        <w:t> </w:t>
      </w:r>
      <w:r>
        <w:rPr/>
        <w:t>He</w:t>
      </w:r>
      <w:r>
        <w:rPr>
          <w:spacing w:val="-10"/>
        </w:rPr>
        <w:t> </w:t>
      </w:r>
      <w:r>
        <w:rPr/>
        <w:t>has </w:t>
      </w:r>
      <w:r>
        <w:rPr>
          <w:spacing w:val="-2"/>
        </w:rPr>
        <w:t>received</w:t>
      </w:r>
      <w:r>
        <w:rPr>
          <w:spacing w:val="-6"/>
        </w:rPr>
        <w:t> </w:t>
      </w:r>
      <w:r>
        <w:rPr>
          <w:spacing w:val="-2"/>
        </w:rPr>
        <w:t>the</w:t>
      </w:r>
      <w:r>
        <w:rPr>
          <w:spacing w:val="-8"/>
        </w:rPr>
        <w:t> </w:t>
      </w:r>
      <w:r>
        <w:rPr>
          <w:spacing w:val="-2"/>
        </w:rPr>
        <w:t>V.K.R.V.</w:t>
      </w:r>
      <w:r>
        <w:rPr>
          <w:spacing w:val="-6"/>
        </w:rPr>
        <w:t> </w:t>
      </w:r>
      <w:r>
        <w:rPr>
          <w:spacing w:val="-2"/>
        </w:rPr>
        <w:t>Rao</w:t>
      </w:r>
      <w:r>
        <w:rPr>
          <w:spacing w:val="-6"/>
        </w:rPr>
        <w:t> </w:t>
      </w:r>
      <w:r>
        <w:rPr>
          <w:spacing w:val="-2"/>
        </w:rPr>
        <w:t>Award</w:t>
      </w:r>
      <w:r>
        <w:rPr>
          <w:spacing w:val="-6"/>
        </w:rPr>
        <w:t> </w:t>
      </w:r>
      <w:r>
        <w:rPr>
          <w:spacing w:val="-2"/>
        </w:rPr>
        <w:t>for</w:t>
      </w:r>
      <w:r>
        <w:rPr>
          <w:spacing w:val="-6"/>
        </w:rPr>
        <w:t> </w:t>
      </w:r>
      <w:r>
        <w:rPr>
          <w:spacing w:val="-2"/>
        </w:rPr>
        <w:t>his</w:t>
      </w:r>
      <w:r>
        <w:rPr>
          <w:spacing w:val="-6"/>
        </w:rPr>
        <w:t> </w:t>
      </w:r>
      <w:r>
        <w:rPr>
          <w:spacing w:val="-2"/>
        </w:rPr>
        <w:t>contribution to</w:t>
      </w:r>
      <w:r>
        <w:rPr>
          <w:spacing w:val="-12"/>
        </w:rPr>
        <w:t> </w:t>
      </w:r>
      <w:r>
        <w:rPr>
          <w:spacing w:val="-2"/>
        </w:rPr>
        <w:t>research</w:t>
      </w:r>
      <w:r>
        <w:rPr>
          <w:spacing w:val="-12"/>
        </w:rPr>
        <w:t> </w:t>
      </w:r>
      <w:r>
        <w:rPr>
          <w:spacing w:val="-2"/>
        </w:rPr>
        <w:t>in</w:t>
      </w:r>
      <w:r>
        <w:rPr>
          <w:spacing w:val="-12"/>
        </w:rPr>
        <w:t> </w:t>
      </w:r>
      <w:r>
        <w:rPr>
          <w:spacing w:val="-2"/>
        </w:rPr>
        <w:t>Economics.</w:t>
      </w:r>
      <w:r>
        <w:rPr>
          <w:spacing w:val="-11"/>
        </w:rPr>
        <w:t> </w:t>
      </w:r>
      <w:r>
        <w:rPr>
          <w:spacing w:val="-2"/>
        </w:rPr>
        <w:t>He</w:t>
      </w:r>
      <w:r>
        <w:rPr>
          <w:spacing w:val="-12"/>
        </w:rPr>
        <w:t> </w:t>
      </w:r>
      <w:r>
        <w:rPr>
          <w:spacing w:val="-2"/>
        </w:rPr>
        <w:t>is</w:t>
      </w:r>
      <w:r>
        <w:rPr>
          <w:spacing w:val="-12"/>
        </w:rPr>
        <w:t> </w:t>
      </w:r>
      <w:r>
        <w:rPr>
          <w:spacing w:val="-2"/>
        </w:rPr>
        <w:t>an</w:t>
      </w:r>
      <w:r>
        <w:rPr>
          <w:spacing w:val="-12"/>
        </w:rPr>
        <w:t> </w:t>
      </w:r>
      <w:r>
        <w:rPr>
          <w:spacing w:val="-2"/>
        </w:rPr>
        <w:t>Honorary</w:t>
      </w:r>
      <w:r>
        <w:rPr>
          <w:spacing w:val="-11"/>
        </w:rPr>
        <w:t> </w:t>
      </w:r>
      <w:r>
        <w:rPr>
          <w:spacing w:val="-2"/>
        </w:rPr>
        <w:t>Fellow</w:t>
      </w:r>
      <w:r>
        <w:rPr>
          <w:spacing w:val="-12"/>
        </w:rPr>
        <w:t> </w:t>
      </w:r>
      <w:r>
        <w:rPr>
          <w:spacing w:val="-2"/>
        </w:rPr>
        <w:t>of </w:t>
      </w:r>
      <w:r>
        <w:rPr/>
        <w:t>Balliol College, Oxford.</w:t>
      </w:r>
    </w:p>
    <w:p>
      <w:pPr>
        <w:pStyle w:val="BodyText"/>
        <w:spacing w:before="21"/>
      </w:pPr>
    </w:p>
    <w:p>
      <w:pPr>
        <w:pStyle w:val="BodyText"/>
        <w:spacing w:line="266" w:lineRule="auto" w:before="1"/>
        <w:ind w:left="1080"/>
        <w:jc w:val="both"/>
      </w:pPr>
      <w:r>
        <w:rPr/>
        <w:t>He has published more than 50 papers in </w:t>
      </w:r>
      <w:r>
        <w:rPr/>
        <w:t>academic journals</w:t>
      </w:r>
      <w:r>
        <w:rPr>
          <w:spacing w:val="63"/>
          <w:w w:val="150"/>
        </w:rPr>
        <w:t> </w:t>
      </w:r>
      <w:r>
        <w:rPr/>
        <w:t>and</w:t>
      </w:r>
      <w:r>
        <w:rPr>
          <w:spacing w:val="64"/>
          <w:w w:val="150"/>
        </w:rPr>
        <w:t> </w:t>
      </w:r>
      <w:r>
        <w:rPr/>
        <w:t>is</w:t>
      </w:r>
      <w:r>
        <w:rPr>
          <w:spacing w:val="63"/>
          <w:w w:val="150"/>
        </w:rPr>
        <w:t> </w:t>
      </w:r>
      <w:r>
        <w:rPr/>
        <w:t>the</w:t>
      </w:r>
      <w:r>
        <w:rPr>
          <w:spacing w:val="64"/>
          <w:w w:val="150"/>
        </w:rPr>
        <w:t> </w:t>
      </w:r>
      <w:r>
        <w:rPr/>
        <w:t>author</w:t>
      </w:r>
      <w:r>
        <w:rPr>
          <w:spacing w:val="63"/>
          <w:w w:val="150"/>
        </w:rPr>
        <w:t> </w:t>
      </w:r>
      <w:r>
        <w:rPr/>
        <w:t>of</w:t>
      </w:r>
      <w:r>
        <w:rPr>
          <w:spacing w:val="64"/>
          <w:w w:val="150"/>
        </w:rPr>
        <w:t> </w:t>
      </w:r>
      <w:r>
        <w:rPr/>
        <w:t>12</w:t>
      </w:r>
      <w:r>
        <w:rPr>
          <w:spacing w:val="63"/>
          <w:w w:val="150"/>
        </w:rPr>
        <w:t> </w:t>
      </w:r>
      <w:r>
        <w:rPr/>
        <w:t>books,</w:t>
      </w:r>
      <w:r>
        <w:rPr>
          <w:spacing w:val="64"/>
          <w:w w:val="150"/>
        </w:rPr>
        <w:t> </w:t>
      </w:r>
      <w:r>
        <w:rPr>
          <w:spacing w:val="-2"/>
        </w:rPr>
        <w:t>which</w:t>
      </w:r>
    </w:p>
    <w:p>
      <w:pPr>
        <w:spacing w:line="266" w:lineRule="auto" w:before="92"/>
        <w:ind w:left="319" w:right="1077" w:firstLine="0"/>
        <w:jc w:val="both"/>
        <w:rPr>
          <w:i/>
          <w:sz w:val="22"/>
        </w:rPr>
      </w:pPr>
      <w:r>
        <w:rPr/>
        <w:br w:type="column"/>
      </w:r>
      <w:r>
        <w:rPr>
          <w:spacing w:val="-4"/>
          <w:sz w:val="22"/>
        </w:rPr>
        <w:t>include</w:t>
      </w:r>
      <w:r>
        <w:rPr>
          <w:spacing w:val="-10"/>
          <w:sz w:val="22"/>
        </w:rPr>
        <w:t> </w:t>
      </w:r>
      <w:r>
        <w:rPr>
          <w:i/>
          <w:spacing w:val="-4"/>
          <w:sz w:val="22"/>
        </w:rPr>
        <w:t>India’s</w:t>
      </w:r>
      <w:r>
        <w:rPr>
          <w:i/>
          <w:spacing w:val="-10"/>
          <w:sz w:val="22"/>
        </w:rPr>
        <w:t> </w:t>
      </w:r>
      <w:r>
        <w:rPr>
          <w:i/>
          <w:spacing w:val="-4"/>
          <w:sz w:val="22"/>
        </w:rPr>
        <w:t>Exports</w:t>
      </w:r>
      <w:r>
        <w:rPr>
          <w:i/>
          <w:spacing w:val="-10"/>
          <w:sz w:val="22"/>
        </w:rPr>
        <w:t> </w:t>
      </w:r>
      <w:r>
        <w:rPr>
          <w:i/>
          <w:spacing w:val="-4"/>
          <w:sz w:val="22"/>
        </w:rPr>
        <w:t>and</w:t>
      </w:r>
      <w:r>
        <w:rPr>
          <w:i/>
          <w:spacing w:val="-9"/>
          <w:sz w:val="22"/>
        </w:rPr>
        <w:t> </w:t>
      </w:r>
      <w:r>
        <w:rPr>
          <w:i/>
          <w:spacing w:val="-4"/>
          <w:sz w:val="22"/>
        </w:rPr>
        <w:t>Export</w:t>
      </w:r>
      <w:r>
        <w:rPr>
          <w:i/>
          <w:spacing w:val="-10"/>
          <w:sz w:val="22"/>
        </w:rPr>
        <w:t> </w:t>
      </w:r>
      <w:r>
        <w:rPr>
          <w:i/>
          <w:spacing w:val="-4"/>
          <w:sz w:val="22"/>
        </w:rPr>
        <w:t>Policies;</w:t>
      </w:r>
      <w:r>
        <w:rPr>
          <w:i/>
          <w:spacing w:val="-10"/>
          <w:sz w:val="22"/>
        </w:rPr>
        <w:t> </w:t>
      </w:r>
      <w:r>
        <w:rPr>
          <w:i/>
          <w:spacing w:val="-4"/>
          <w:sz w:val="22"/>
        </w:rPr>
        <w:t>Migration, </w:t>
      </w:r>
      <w:r>
        <w:rPr>
          <w:i/>
          <w:spacing w:val="-6"/>
          <w:sz w:val="22"/>
        </w:rPr>
        <w:t>Remittances</w:t>
      </w:r>
      <w:r>
        <w:rPr>
          <w:i/>
          <w:spacing w:val="-8"/>
          <w:sz w:val="22"/>
        </w:rPr>
        <w:t> </w:t>
      </w:r>
      <w:r>
        <w:rPr>
          <w:i/>
          <w:spacing w:val="-6"/>
          <w:sz w:val="22"/>
        </w:rPr>
        <w:t>and</w:t>
      </w:r>
      <w:r>
        <w:rPr>
          <w:i/>
          <w:spacing w:val="-8"/>
          <w:sz w:val="22"/>
        </w:rPr>
        <w:t> </w:t>
      </w:r>
      <w:r>
        <w:rPr>
          <w:i/>
          <w:spacing w:val="-6"/>
          <w:sz w:val="22"/>
        </w:rPr>
        <w:t>Capital</w:t>
      </w:r>
      <w:r>
        <w:rPr>
          <w:i/>
          <w:spacing w:val="-8"/>
          <w:sz w:val="22"/>
        </w:rPr>
        <w:t> </w:t>
      </w:r>
      <w:r>
        <w:rPr>
          <w:i/>
          <w:spacing w:val="-6"/>
          <w:sz w:val="22"/>
        </w:rPr>
        <w:t>Flows;</w:t>
      </w:r>
      <w:r>
        <w:rPr>
          <w:i/>
          <w:spacing w:val="-7"/>
          <w:sz w:val="22"/>
        </w:rPr>
        <w:t> </w:t>
      </w:r>
      <w:r>
        <w:rPr>
          <w:i/>
          <w:spacing w:val="-6"/>
          <w:sz w:val="22"/>
        </w:rPr>
        <w:t>The</w:t>
      </w:r>
      <w:r>
        <w:rPr>
          <w:i/>
          <w:spacing w:val="-8"/>
          <w:sz w:val="22"/>
        </w:rPr>
        <w:t> </w:t>
      </w:r>
      <w:r>
        <w:rPr>
          <w:i/>
          <w:spacing w:val="-6"/>
          <w:sz w:val="22"/>
        </w:rPr>
        <w:t>Intelligent</w:t>
      </w:r>
      <w:r>
        <w:rPr>
          <w:i/>
          <w:spacing w:val="-8"/>
          <w:sz w:val="22"/>
        </w:rPr>
        <w:t> </w:t>
      </w:r>
      <w:r>
        <w:rPr>
          <w:i/>
          <w:spacing w:val="-6"/>
          <w:sz w:val="22"/>
        </w:rPr>
        <w:t>Person’s </w:t>
      </w:r>
      <w:r>
        <w:rPr>
          <w:i/>
          <w:w w:val="90"/>
          <w:sz w:val="22"/>
        </w:rPr>
        <w:t>Guide to Liberalization; Governing Globalization: Issues and Institutions; Stability with Growth: Macroeconomics, Liberalization</w:t>
      </w:r>
      <w:r>
        <w:rPr>
          <w:i/>
          <w:spacing w:val="-9"/>
          <w:w w:val="90"/>
          <w:sz w:val="22"/>
        </w:rPr>
        <w:t> </w:t>
      </w:r>
      <w:r>
        <w:rPr>
          <w:i/>
          <w:w w:val="90"/>
          <w:sz w:val="22"/>
        </w:rPr>
        <w:t>and</w:t>
      </w:r>
      <w:r>
        <w:rPr>
          <w:i/>
          <w:spacing w:val="-8"/>
          <w:w w:val="90"/>
          <w:sz w:val="22"/>
        </w:rPr>
        <w:t> </w:t>
      </w:r>
      <w:r>
        <w:rPr>
          <w:i/>
          <w:w w:val="90"/>
          <w:sz w:val="22"/>
        </w:rPr>
        <w:t>Development;</w:t>
      </w:r>
      <w:r>
        <w:rPr>
          <w:i/>
          <w:spacing w:val="-8"/>
          <w:w w:val="90"/>
          <w:sz w:val="22"/>
        </w:rPr>
        <w:t> </w:t>
      </w:r>
      <w:r>
        <w:rPr>
          <w:i/>
          <w:w w:val="90"/>
          <w:sz w:val="22"/>
        </w:rPr>
        <w:t>Trade</w:t>
      </w:r>
      <w:r>
        <w:rPr>
          <w:i/>
          <w:spacing w:val="-8"/>
          <w:w w:val="90"/>
          <w:sz w:val="22"/>
        </w:rPr>
        <w:t> </w:t>
      </w:r>
      <w:r>
        <w:rPr>
          <w:i/>
          <w:w w:val="90"/>
          <w:sz w:val="22"/>
        </w:rPr>
        <w:t>and</w:t>
      </w:r>
      <w:r>
        <w:rPr>
          <w:i/>
          <w:spacing w:val="-9"/>
          <w:w w:val="90"/>
          <w:sz w:val="22"/>
        </w:rPr>
        <w:t> </w:t>
      </w:r>
      <w:r>
        <w:rPr>
          <w:i/>
          <w:w w:val="90"/>
          <w:sz w:val="22"/>
        </w:rPr>
        <w:t>Globalization; </w:t>
      </w:r>
      <w:r>
        <w:rPr>
          <w:sz w:val="22"/>
        </w:rPr>
        <w:t>and</w:t>
      </w:r>
      <w:r>
        <w:rPr>
          <w:spacing w:val="-14"/>
          <w:sz w:val="22"/>
        </w:rPr>
        <w:t> </w:t>
      </w:r>
      <w:r>
        <w:rPr>
          <w:i/>
          <w:sz w:val="22"/>
        </w:rPr>
        <w:t>Liberalization</w:t>
      </w:r>
      <w:r>
        <w:rPr>
          <w:i/>
          <w:spacing w:val="-14"/>
          <w:sz w:val="22"/>
        </w:rPr>
        <w:t> </w:t>
      </w:r>
      <w:r>
        <w:rPr>
          <w:i/>
          <w:sz w:val="22"/>
        </w:rPr>
        <w:t>and</w:t>
      </w:r>
      <w:r>
        <w:rPr>
          <w:i/>
          <w:spacing w:val="-14"/>
          <w:sz w:val="22"/>
        </w:rPr>
        <w:t> </w:t>
      </w:r>
      <w:r>
        <w:rPr>
          <w:i/>
          <w:sz w:val="22"/>
        </w:rPr>
        <w:t>Development.</w:t>
      </w:r>
    </w:p>
    <w:p>
      <w:pPr>
        <w:pStyle w:val="BodyText"/>
        <w:spacing w:before="21"/>
        <w:rPr>
          <w:i/>
        </w:rPr>
      </w:pPr>
    </w:p>
    <w:p>
      <w:pPr>
        <w:pStyle w:val="BodyText"/>
        <w:spacing w:line="266" w:lineRule="auto" w:before="1"/>
        <w:ind w:left="319" w:right="1077"/>
        <w:jc w:val="both"/>
      </w:pPr>
      <w:r>
        <w:rPr>
          <w:spacing w:val="-8"/>
        </w:rPr>
        <w:t>Professor</w:t>
      </w:r>
      <w:r>
        <w:rPr>
          <w:spacing w:val="-1"/>
        </w:rPr>
        <w:t> </w:t>
      </w:r>
      <w:r>
        <w:rPr>
          <w:spacing w:val="-8"/>
        </w:rPr>
        <w:t>Nayyar</w:t>
      </w:r>
      <w:r>
        <w:rPr>
          <w:spacing w:val="-1"/>
        </w:rPr>
        <w:t> </w:t>
      </w:r>
      <w:r>
        <w:rPr>
          <w:spacing w:val="-8"/>
        </w:rPr>
        <w:t>is</w:t>
      </w:r>
      <w:r>
        <w:rPr>
          <w:spacing w:val="-1"/>
        </w:rPr>
        <w:t> </w:t>
      </w:r>
      <w:r>
        <w:rPr>
          <w:spacing w:val="-8"/>
        </w:rPr>
        <w:t>Chairman</w:t>
      </w:r>
      <w:r>
        <w:rPr>
          <w:spacing w:val="-1"/>
        </w:rPr>
        <w:t> </w:t>
      </w:r>
      <w:r>
        <w:rPr>
          <w:spacing w:val="-8"/>
        </w:rPr>
        <w:t>of</w:t>
      </w:r>
      <w:r>
        <w:rPr>
          <w:spacing w:val="-1"/>
        </w:rPr>
        <w:t> </w:t>
      </w:r>
      <w:r>
        <w:rPr>
          <w:spacing w:val="-8"/>
        </w:rPr>
        <w:t>the</w:t>
      </w:r>
      <w:r>
        <w:rPr>
          <w:spacing w:val="-1"/>
        </w:rPr>
        <w:t> </w:t>
      </w:r>
      <w:r>
        <w:rPr>
          <w:spacing w:val="-8"/>
        </w:rPr>
        <w:t>Board</w:t>
      </w:r>
      <w:r>
        <w:rPr>
          <w:spacing w:val="-1"/>
        </w:rPr>
        <w:t> </w:t>
      </w:r>
      <w:r>
        <w:rPr>
          <w:spacing w:val="-8"/>
        </w:rPr>
        <w:t>of</w:t>
      </w:r>
      <w:r>
        <w:rPr>
          <w:spacing w:val="-1"/>
        </w:rPr>
        <w:t> </w:t>
      </w:r>
      <w:r>
        <w:rPr>
          <w:spacing w:val="-8"/>
        </w:rPr>
        <w:t>Governors </w:t>
      </w:r>
      <w:r>
        <w:rPr/>
        <w:t>of the UNU World Institute for Development </w:t>
      </w:r>
      <w:r>
        <w:rPr>
          <w:spacing w:val="-2"/>
        </w:rPr>
        <w:t>Economics</w:t>
      </w:r>
      <w:r>
        <w:rPr>
          <w:spacing w:val="-12"/>
        </w:rPr>
        <w:t> </w:t>
      </w:r>
      <w:r>
        <w:rPr>
          <w:spacing w:val="-2"/>
        </w:rPr>
        <w:t>Research,</w:t>
      </w:r>
      <w:r>
        <w:rPr>
          <w:spacing w:val="-12"/>
        </w:rPr>
        <w:t> </w:t>
      </w:r>
      <w:r>
        <w:rPr>
          <w:spacing w:val="-2"/>
        </w:rPr>
        <w:t>Helsinki</w:t>
      </w:r>
      <w:r>
        <w:rPr>
          <w:spacing w:val="-12"/>
        </w:rPr>
        <w:t> </w:t>
      </w:r>
      <w:r>
        <w:rPr>
          <w:spacing w:val="-2"/>
        </w:rPr>
        <w:t>and</w:t>
      </w:r>
      <w:r>
        <w:rPr>
          <w:spacing w:val="-11"/>
        </w:rPr>
        <w:t> </w:t>
      </w:r>
      <w:r>
        <w:rPr>
          <w:spacing w:val="-2"/>
        </w:rPr>
        <w:t>is</w:t>
      </w:r>
      <w:r>
        <w:rPr>
          <w:spacing w:val="-12"/>
        </w:rPr>
        <w:t> </w:t>
      </w:r>
      <w:r>
        <w:rPr>
          <w:spacing w:val="-2"/>
        </w:rPr>
        <w:t>Vice</w:t>
      </w:r>
      <w:r>
        <w:rPr>
          <w:spacing w:val="-12"/>
        </w:rPr>
        <w:t> </w:t>
      </w:r>
      <w:r>
        <w:rPr>
          <w:spacing w:val="-2"/>
        </w:rPr>
        <w:t>President</w:t>
      </w:r>
      <w:r>
        <w:rPr>
          <w:spacing w:val="-12"/>
        </w:rPr>
        <w:t> </w:t>
      </w:r>
      <w:r>
        <w:rPr>
          <w:spacing w:val="-2"/>
        </w:rPr>
        <w:t>of the</w:t>
      </w:r>
      <w:r>
        <w:rPr>
          <w:spacing w:val="-10"/>
        </w:rPr>
        <w:t> </w:t>
      </w:r>
      <w:r>
        <w:rPr>
          <w:spacing w:val="-2"/>
        </w:rPr>
        <w:t>International</w:t>
      </w:r>
      <w:r>
        <w:rPr>
          <w:spacing w:val="-10"/>
        </w:rPr>
        <w:t> </w:t>
      </w:r>
      <w:r>
        <w:rPr>
          <w:spacing w:val="-2"/>
        </w:rPr>
        <w:t>Association</w:t>
      </w:r>
      <w:r>
        <w:rPr>
          <w:spacing w:val="-10"/>
        </w:rPr>
        <w:t> </w:t>
      </w:r>
      <w:r>
        <w:rPr>
          <w:spacing w:val="-2"/>
        </w:rPr>
        <w:t>of</w:t>
      </w:r>
      <w:r>
        <w:rPr>
          <w:spacing w:val="-10"/>
        </w:rPr>
        <w:t> </w:t>
      </w:r>
      <w:r>
        <w:rPr>
          <w:spacing w:val="-2"/>
        </w:rPr>
        <w:t>Universities,</w:t>
      </w:r>
      <w:r>
        <w:rPr>
          <w:spacing w:val="-10"/>
        </w:rPr>
        <w:t> </w:t>
      </w:r>
      <w:r>
        <w:rPr>
          <w:spacing w:val="-2"/>
        </w:rPr>
        <w:t>Paris.</w:t>
      </w:r>
      <w:r>
        <w:rPr>
          <w:spacing w:val="-10"/>
        </w:rPr>
        <w:t> </w:t>
      </w:r>
      <w:r>
        <w:rPr>
          <w:spacing w:val="-2"/>
        </w:rPr>
        <w:t>He </w:t>
      </w:r>
      <w:r>
        <w:rPr/>
        <w:t>has</w:t>
      </w:r>
      <w:r>
        <w:rPr>
          <w:spacing w:val="-13"/>
        </w:rPr>
        <w:t> </w:t>
      </w:r>
      <w:r>
        <w:rPr/>
        <w:t>also</w:t>
      </w:r>
      <w:r>
        <w:rPr>
          <w:spacing w:val="-13"/>
        </w:rPr>
        <w:t> </w:t>
      </w:r>
      <w:r>
        <w:rPr/>
        <w:t>served</w:t>
      </w:r>
      <w:r>
        <w:rPr>
          <w:spacing w:val="-13"/>
        </w:rPr>
        <w:t> </w:t>
      </w:r>
      <w:r>
        <w:rPr/>
        <w:t>as</w:t>
      </w:r>
      <w:r>
        <w:rPr>
          <w:spacing w:val="-13"/>
        </w:rPr>
        <w:t> </w:t>
      </w:r>
      <w:r>
        <w:rPr/>
        <w:t>a</w:t>
      </w:r>
      <w:r>
        <w:rPr>
          <w:spacing w:val="-13"/>
        </w:rPr>
        <w:t> </w:t>
      </w:r>
      <w:r>
        <w:rPr/>
        <w:t>Member</w:t>
      </w:r>
      <w:r>
        <w:rPr>
          <w:spacing w:val="-13"/>
        </w:rPr>
        <w:t> </w:t>
      </w:r>
      <w:r>
        <w:rPr/>
        <w:t>of</w:t>
      </w:r>
      <w:r>
        <w:rPr>
          <w:spacing w:val="-13"/>
        </w:rPr>
        <w:t> </w:t>
      </w:r>
      <w:r>
        <w:rPr/>
        <w:t>the</w:t>
      </w:r>
      <w:r>
        <w:rPr>
          <w:spacing w:val="-13"/>
        </w:rPr>
        <w:t> </w:t>
      </w:r>
      <w:r>
        <w:rPr/>
        <w:t>Board</w:t>
      </w:r>
      <w:r>
        <w:rPr>
          <w:spacing w:val="-13"/>
        </w:rPr>
        <w:t> </w:t>
      </w:r>
      <w:r>
        <w:rPr/>
        <w:t>of</w:t>
      </w:r>
      <w:r>
        <w:rPr>
          <w:spacing w:val="-13"/>
        </w:rPr>
        <w:t> </w:t>
      </w:r>
      <w:r>
        <w:rPr/>
        <w:t>Directors of</w:t>
      </w:r>
      <w:r>
        <w:rPr>
          <w:spacing w:val="-1"/>
        </w:rPr>
        <w:t> </w:t>
      </w:r>
      <w:r>
        <w:rPr/>
        <w:t>the</w:t>
      </w:r>
      <w:r>
        <w:rPr>
          <w:spacing w:val="-1"/>
        </w:rPr>
        <w:t> </w:t>
      </w:r>
      <w:r>
        <w:rPr/>
        <w:t>Social</w:t>
      </w:r>
      <w:r>
        <w:rPr>
          <w:spacing w:val="-1"/>
        </w:rPr>
        <w:t> </w:t>
      </w:r>
      <w:r>
        <w:rPr/>
        <w:t>Science</w:t>
      </w:r>
      <w:r>
        <w:rPr>
          <w:spacing w:val="-1"/>
        </w:rPr>
        <w:t> </w:t>
      </w:r>
      <w:r>
        <w:rPr/>
        <w:t>Research</w:t>
      </w:r>
      <w:r>
        <w:rPr>
          <w:spacing w:val="-1"/>
        </w:rPr>
        <w:t> </w:t>
      </w:r>
      <w:r>
        <w:rPr/>
        <w:t>Council</w:t>
      </w:r>
      <w:r>
        <w:rPr>
          <w:spacing w:val="-1"/>
        </w:rPr>
        <w:t> </w:t>
      </w:r>
      <w:r>
        <w:rPr/>
        <w:t>in</w:t>
      </w:r>
      <w:r>
        <w:rPr>
          <w:spacing w:val="-1"/>
        </w:rPr>
        <w:t> </w:t>
      </w:r>
      <w:r>
        <w:rPr/>
        <w:t>the</w:t>
      </w:r>
      <w:r>
        <w:rPr>
          <w:spacing w:val="-1"/>
        </w:rPr>
        <w:t> </w:t>
      </w:r>
      <w:r>
        <w:rPr/>
        <w:t>United States,</w:t>
      </w:r>
      <w:r>
        <w:rPr>
          <w:spacing w:val="-5"/>
        </w:rPr>
        <w:t> </w:t>
      </w:r>
      <w:r>
        <w:rPr/>
        <w:t>and</w:t>
      </w:r>
      <w:r>
        <w:rPr>
          <w:spacing w:val="-5"/>
        </w:rPr>
        <w:t> </w:t>
      </w:r>
      <w:r>
        <w:rPr/>
        <w:t>Chairman</w:t>
      </w:r>
      <w:r>
        <w:rPr>
          <w:spacing w:val="-5"/>
        </w:rPr>
        <w:t> </w:t>
      </w:r>
      <w:r>
        <w:rPr/>
        <w:t>of</w:t>
      </w:r>
      <w:r>
        <w:rPr>
          <w:spacing w:val="-5"/>
        </w:rPr>
        <w:t> </w:t>
      </w:r>
      <w:r>
        <w:rPr/>
        <w:t>the</w:t>
      </w:r>
      <w:r>
        <w:rPr>
          <w:spacing w:val="-5"/>
        </w:rPr>
        <w:t> </w:t>
      </w:r>
      <w:r>
        <w:rPr/>
        <w:t>Advisory</w:t>
      </w:r>
      <w:r>
        <w:rPr>
          <w:spacing w:val="-5"/>
        </w:rPr>
        <w:t> </w:t>
      </w:r>
      <w:r>
        <w:rPr/>
        <w:t>Council</w:t>
      </w:r>
      <w:r>
        <w:rPr>
          <w:spacing w:val="-5"/>
        </w:rPr>
        <w:t> </w:t>
      </w:r>
      <w:r>
        <w:rPr/>
        <w:t>for</w:t>
      </w:r>
      <w:r>
        <w:rPr>
          <w:spacing w:val="-5"/>
        </w:rPr>
        <w:t> </w:t>
      </w:r>
      <w:r>
        <w:rPr/>
        <w:t>the Department of International Development, Queen Elizabeth House, University of Oxford. He was a Member of the World Commission on the Social Dimension of Globalization.</w:t>
      </w:r>
    </w:p>
    <w:p>
      <w:pPr>
        <w:pStyle w:val="Heading7"/>
        <w:spacing w:before="233"/>
        <w:jc w:val="both"/>
      </w:pPr>
      <w:r>
        <w:rPr>
          <w:color w:val="2E614A"/>
          <w:spacing w:val="-12"/>
        </w:rPr>
        <w:t>Mr.</w:t>
      </w:r>
      <w:r>
        <w:rPr>
          <w:color w:val="2E614A"/>
        </w:rPr>
        <w:t> </w:t>
      </w:r>
      <w:r>
        <w:rPr>
          <w:color w:val="2E614A"/>
          <w:spacing w:val="-12"/>
        </w:rPr>
        <w:t>Nandan</w:t>
      </w:r>
      <w:r>
        <w:rPr>
          <w:color w:val="2E614A"/>
        </w:rPr>
        <w:t> </w:t>
      </w:r>
      <w:r>
        <w:rPr>
          <w:color w:val="2E614A"/>
          <w:spacing w:val="-12"/>
        </w:rPr>
        <w:t>Nilekani</w:t>
      </w:r>
    </w:p>
    <w:p>
      <w:pPr>
        <w:pStyle w:val="BodyText"/>
        <w:spacing w:line="266" w:lineRule="auto" w:before="299"/>
        <w:ind w:left="319" w:right="1077"/>
        <w:jc w:val="both"/>
      </w:pPr>
      <w:r>
        <w:rPr/>
        <w:t>One of the founders of Infosys Technologies Ltd.</w:t>
      </w:r>
      <w:r>
        <w:rPr>
          <w:spacing w:val="40"/>
        </w:rPr>
        <w:t> </w:t>
      </w:r>
      <w:r>
        <w:rPr/>
        <w:t>Mr. Nilekani is the Co-Chairman of the Board of Directors.</w:t>
      </w:r>
      <w:r>
        <w:rPr>
          <w:spacing w:val="-8"/>
        </w:rPr>
        <w:t> </w:t>
      </w:r>
      <w:r>
        <w:rPr/>
        <w:t>He</w:t>
      </w:r>
      <w:r>
        <w:rPr>
          <w:spacing w:val="-8"/>
        </w:rPr>
        <w:t> </w:t>
      </w:r>
      <w:r>
        <w:rPr/>
        <w:t>has</w:t>
      </w:r>
      <w:r>
        <w:rPr>
          <w:spacing w:val="-8"/>
        </w:rPr>
        <w:t> </w:t>
      </w:r>
      <w:r>
        <w:rPr/>
        <w:t>formerly</w:t>
      </w:r>
      <w:r>
        <w:rPr>
          <w:spacing w:val="-8"/>
        </w:rPr>
        <w:t> </w:t>
      </w:r>
      <w:r>
        <w:rPr/>
        <w:t>held</w:t>
      </w:r>
      <w:r>
        <w:rPr>
          <w:spacing w:val="-8"/>
        </w:rPr>
        <w:t> </w:t>
      </w:r>
      <w:r>
        <w:rPr/>
        <w:t>the</w:t>
      </w:r>
      <w:r>
        <w:rPr>
          <w:spacing w:val="-8"/>
        </w:rPr>
        <w:t> </w:t>
      </w:r>
      <w:r>
        <w:rPr/>
        <w:t>post</w:t>
      </w:r>
      <w:r>
        <w:rPr>
          <w:spacing w:val="-8"/>
        </w:rPr>
        <w:t> </w:t>
      </w:r>
      <w:r>
        <w:rPr/>
        <w:t>of</w:t>
      </w:r>
      <w:r>
        <w:rPr>
          <w:spacing w:val="-8"/>
        </w:rPr>
        <w:t> </w:t>
      </w:r>
      <w:r>
        <w:rPr/>
        <w:t>Managing Director, President and Chief Operating Officer at Infosys. Mr. Nilekani co-founded India’s National Association of Software and Service Companies (NASSCOM). He is Vice-Chairman of The Conference</w:t>
      </w:r>
      <w:r>
        <w:rPr>
          <w:spacing w:val="-7"/>
        </w:rPr>
        <w:t> </w:t>
      </w:r>
      <w:r>
        <w:rPr/>
        <w:t>Board,</w:t>
      </w:r>
      <w:r>
        <w:rPr>
          <w:spacing w:val="-7"/>
        </w:rPr>
        <w:t> </w:t>
      </w:r>
      <w:r>
        <w:rPr/>
        <w:t>Inc.,</w:t>
      </w:r>
      <w:r>
        <w:rPr>
          <w:spacing w:val="-7"/>
        </w:rPr>
        <w:t> </w:t>
      </w:r>
      <w:r>
        <w:rPr/>
        <w:t>an</w:t>
      </w:r>
      <w:r>
        <w:rPr>
          <w:spacing w:val="-7"/>
        </w:rPr>
        <w:t> </w:t>
      </w:r>
      <w:r>
        <w:rPr/>
        <w:t>international</w:t>
      </w:r>
      <w:r>
        <w:rPr>
          <w:spacing w:val="-7"/>
        </w:rPr>
        <w:t> </w:t>
      </w:r>
      <w:r>
        <w:rPr/>
        <w:t>research</w:t>
      </w:r>
      <w:r>
        <w:rPr>
          <w:spacing w:val="-7"/>
        </w:rPr>
        <w:t> </w:t>
      </w:r>
      <w:r>
        <w:rPr/>
        <w:t>and business membership organisation and Member of the</w:t>
      </w:r>
      <w:r>
        <w:rPr>
          <w:spacing w:val="-1"/>
        </w:rPr>
        <w:t> </w:t>
      </w:r>
      <w:r>
        <w:rPr/>
        <w:t>London</w:t>
      </w:r>
      <w:r>
        <w:rPr>
          <w:spacing w:val="-1"/>
        </w:rPr>
        <w:t> </w:t>
      </w:r>
      <w:r>
        <w:rPr/>
        <w:t>Business</w:t>
      </w:r>
      <w:r>
        <w:rPr>
          <w:spacing w:val="-1"/>
        </w:rPr>
        <w:t> </w:t>
      </w:r>
      <w:r>
        <w:rPr/>
        <w:t>School’s</w:t>
      </w:r>
      <w:r>
        <w:rPr>
          <w:spacing w:val="-1"/>
        </w:rPr>
        <w:t> </w:t>
      </w:r>
      <w:r>
        <w:rPr/>
        <w:t>Asia-Pacific</w:t>
      </w:r>
      <w:r>
        <w:rPr>
          <w:spacing w:val="-1"/>
        </w:rPr>
        <w:t> </w:t>
      </w:r>
      <w:r>
        <w:rPr/>
        <w:t>Regional Advisory Board. He has served as Chairman of the Government of India’s IT Task Force for the power sector. He was a member of the insider trading subcommittee of the Securities and Exchange Board of India (SEBI), and of the Reserve Bank of India’s Advisory Group on corporate governance. He is also a member of the review committee of the Jawaharlal </w:t>
      </w:r>
      <w:r>
        <w:rPr>
          <w:spacing w:val="-2"/>
        </w:rPr>
        <w:t>Nehru</w:t>
      </w:r>
      <w:r>
        <w:rPr>
          <w:spacing w:val="-9"/>
        </w:rPr>
        <w:t> </w:t>
      </w:r>
      <w:r>
        <w:rPr>
          <w:spacing w:val="-2"/>
        </w:rPr>
        <w:t>National</w:t>
      </w:r>
      <w:r>
        <w:rPr>
          <w:spacing w:val="-9"/>
        </w:rPr>
        <w:t> </w:t>
      </w:r>
      <w:r>
        <w:rPr>
          <w:spacing w:val="-2"/>
        </w:rPr>
        <w:t>Urban</w:t>
      </w:r>
      <w:r>
        <w:rPr>
          <w:spacing w:val="-9"/>
        </w:rPr>
        <w:t> </w:t>
      </w:r>
      <w:r>
        <w:rPr>
          <w:spacing w:val="-2"/>
        </w:rPr>
        <w:t>Renewal</w:t>
      </w:r>
      <w:r>
        <w:rPr>
          <w:spacing w:val="-9"/>
        </w:rPr>
        <w:t> </w:t>
      </w:r>
      <w:r>
        <w:rPr>
          <w:spacing w:val="-2"/>
        </w:rPr>
        <w:t>Mission</w:t>
      </w:r>
      <w:r>
        <w:rPr>
          <w:spacing w:val="-9"/>
        </w:rPr>
        <w:t> </w:t>
      </w:r>
      <w:r>
        <w:rPr>
          <w:spacing w:val="-2"/>
        </w:rPr>
        <w:t>and</w:t>
      </w:r>
      <w:r>
        <w:rPr>
          <w:spacing w:val="-9"/>
        </w:rPr>
        <w:t> </w:t>
      </w:r>
      <w:r>
        <w:rPr>
          <w:spacing w:val="-2"/>
        </w:rPr>
        <w:t>serves</w:t>
      </w:r>
      <w:r>
        <w:rPr>
          <w:spacing w:val="-9"/>
        </w:rPr>
        <w:t> </w:t>
      </w:r>
      <w:r>
        <w:rPr>
          <w:spacing w:val="-2"/>
        </w:rPr>
        <w:t>on </w:t>
      </w:r>
      <w:r>
        <w:rPr/>
        <w:t>the Board of Reuters as a non-executive member.</w:t>
      </w:r>
    </w:p>
    <w:p>
      <w:pPr>
        <w:pStyle w:val="BodyText"/>
        <w:spacing w:before="11"/>
      </w:pPr>
    </w:p>
    <w:p>
      <w:pPr>
        <w:pStyle w:val="BodyText"/>
        <w:spacing w:line="266" w:lineRule="auto"/>
        <w:ind w:left="319" w:right="1077"/>
        <w:jc w:val="both"/>
      </w:pPr>
      <w:r>
        <w:rPr>
          <w:spacing w:val="-2"/>
        </w:rPr>
        <w:t>His</w:t>
      </w:r>
      <w:r>
        <w:rPr>
          <w:spacing w:val="-9"/>
        </w:rPr>
        <w:t> </w:t>
      </w:r>
      <w:r>
        <w:rPr>
          <w:spacing w:val="-2"/>
        </w:rPr>
        <w:t>many</w:t>
      </w:r>
      <w:r>
        <w:rPr>
          <w:spacing w:val="-9"/>
        </w:rPr>
        <w:t> </w:t>
      </w:r>
      <w:r>
        <w:rPr>
          <w:spacing w:val="-2"/>
        </w:rPr>
        <w:t>honours</w:t>
      </w:r>
      <w:r>
        <w:rPr>
          <w:spacing w:val="-9"/>
        </w:rPr>
        <w:t> </w:t>
      </w:r>
      <w:r>
        <w:rPr>
          <w:spacing w:val="-2"/>
        </w:rPr>
        <w:t>include</w:t>
      </w:r>
      <w:r>
        <w:rPr>
          <w:spacing w:val="-9"/>
        </w:rPr>
        <w:t> </w:t>
      </w:r>
      <w:r>
        <w:rPr>
          <w:spacing w:val="-2"/>
        </w:rPr>
        <w:t>Fortune</w:t>
      </w:r>
      <w:r>
        <w:rPr>
          <w:spacing w:val="-9"/>
        </w:rPr>
        <w:t> </w:t>
      </w:r>
      <w:r>
        <w:rPr>
          <w:spacing w:val="-2"/>
        </w:rPr>
        <w:t>magazine’s</w:t>
      </w:r>
      <w:r>
        <w:rPr>
          <w:spacing w:val="-9"/>
        </w:rPr>
        <w:t> </w:t>
      </w:r>
      <w:r>
        <w:rPr>
          <w:spacing w:val="-2"/>
        </w:rPr>
        <w:t>‘Asia’s </w:t>
      </w:r>
      <w:r>
        <w:rPr>
          <w:spacing w:val="-10"/>
        </w:rPr>
        <w:t>Businessmen</w:t>
      </w:r>
      <w:r>
        <w:rPr/>
        <w:t> </w:t>
      </w:r>
      <w:r>
        <w:rPr>
          <w:spacing w:val="-10"/>
        </w:rPr>
        <w:t>of</w:t>
      </w:r>
      <w:r>
        <w:rPr/>
        <w:t> </w:t>
      </w:r>
      <w:r>
        <w:rPr>
          <w:spacing w:val="-10"/>
        </w:rPr>
        <w:t>the</w:t>
      </w:r>
      <w:r>
        <w:rPr>
          <w:spacing w:val="-4"/>
        </w:rPr>
        <w:t> </w:t>
      </w:r>
      <w:r>
        <w:rPr>
          <w:spacing w:val="-10"/>
        </w:rPr>
        <w:t>Year</w:t>
      </w:r>
      <w:r>
        <w:rPr/>
        <w:t> </w:t>
      </w:r>
      <w:r>
        <w:rPr>
          <w:spacing w:val="-10"/>
        </w:rPr>
        <w:t>2003’</w:t>
      </w:r>
      <w:r>
        <w:rPr/>
        <w:t> </w:t>
      </w:r>
      <w:r>
        <w:rPr>
          <w:spacing w:val="-10"/>
        </w:rPr>
        <w:t>award</w:t>
      </w:r>
      <w:r>
        <w:rPr>
          <w:spacing w:val="-1"/>
        </w:rPr>
        <w:t> </w:t>
      </w:r>
      <w:r>
        <w:rPr>
          <w:spacing w:val="-10"/>
        </w:rPr>
        <w:t>(along</w:t>
      </w:r>
      <w:r>
        <w:rPr/>
        <w:t> </w:t>
      </w:r>
      <w:r>
        <w:rPr>
          <w:spacing w:val="-10"/>
        </w:rPr>
        <w:t>with</w:t>
      </w:r>
      <w:r>
        <w:rPr>
          <w:spacing w:val="-1"/>
        </w:rPr>
        <w:t> </w:t>
      </w:r>
      <w:r>
        <w:rPr>
          <w:spacing w:val="-10"/>
        </w:rPr>
        <w:t>Infosys </w:t>
      </w:r>
      <w:r>
        <w:rPr/>
        <w:t>Chairman</w:t>
      </w:r>
      <w:r>
        <w:rPr>
          <w:spacing w:val="-10"/>
        </w:rPr>
        <w:t> </w:t>
      </w:r>
      <w:r>
        <w:rPr/>
        <w:t>Mr.</w:t>
      </w:r>
      <w:r>
        <w:rPr>
          <w:spacing w:val="-10"/>
        </w:rPr>
        <w:t> </w:t>
      </w:r>
      <w:r>
        <w:rPr/>
        <w:t>N.R.</w:t>
      </w:r>
      <w:r>
        <w:rPr>
          <w:spacing w:val="-10"/>
        </w:rPr>
        <w:t> </w:t>
      </w:r>
      <w:r>
        <w:rPr/>
        <w:t>Narayana</w:t>
      </w:r>
      <w:r>
        <w:rPr>
          <w:spacing w:val="-10"/>
        </w:rPr>
        <w:t> </w:t>
      </w:r>
      <w:r>
        <w:rPr/>
        <w:t>Murthy),</w:t>
      </w:r>
      <w:r>
        <w:rPr>
          <w:spacing w:val="-10"/>
        </w:rPr>
        <w:t> </w:t>
      </w:r>
      <w:r>
        <w:rPr/>
        <w:t>the</w:t>
      </w:r>
      <w:r>
        <w:rPr>
          <w:spacing w:val="-10"/>
        </w:rPr>
        <w:t> </w:t>
      </w:r>
      <w:r>
        <w:rPr/>
        <w:t>Corporate </w:t>
      </w:r>
      <w:r>
        <w:rPr>
          <w:spacing w:val="-2"/>
        </w:rPr>
        <w:t>Citizen</w:t>
      </w:r>
      <w:r>
        <w:rPr>
          <w:spacing w:val="-10"/>
        </w:rPr>
        <w:t> </w:t>
      </w:r>
      <w:r>
        <w:rPr>
          <w:spacing w:val="-2"/>
        </w:rPr>
        <w:t>of</w:t>
      </w:r>
      <w:r>
        <w:rPr>
          <w:spacing w:val="-10"/>
        </w:rPr>
        <w:t> </w:t>
      </w:r>
      <w:r>
        <w:rPr>
          <w:spacing w:val="-2"/>
        </w:rPr>
        <w:t>the</w:t>
      </w:r>
      <w:r>
        <w:rPr>
          <w:spacing w:val="-11"/>
        </w:rPr>
        <w:t> </w:t>
      </w:r>
      <w:r>
        <w:rPr>
          <w:spacing w:val="-2"/>
        </w:rPr>
        <w:t>Year</w:t>
      </w:r>
      <w:r>
        <w:rPr>
          <w:spacing w:val="-10"/>
        </w:rPr>
        <w:t> </w:t>
      </w:r>
      <w:r>
        <w:rPr>
          <w:spacing w:val="-2"/>
        </w:rPr>
        <w:t>Award</w:t>
      </w:r>
      <w:r>
        <w:rPr>
          <w:spacing w:val="-10"/>
        </w:rPr>
        <w:t> </w:t>
      </w:r>
      <w:r>
        <w:rPr>
          <w:spacing w:val="-2"/>
        </w:rPr>
        <w:t>at</w:t>
      </w:r>
      <w:r>
        <w:rPr>
          <w:spacing w:val="-10"/>
        </w:rPr>
        <w:t> </w:t>
      </w:r>
      <w:r>
        <w:rPr>
          <w:spacing w:val="-2"/>
        </w:rPr>
        <w:t>the</w:t>
      </w:r>
      <w:r>
        <w:rPr>
          <w:spacing w:val="-10"/>
        </w:rPr>
        <w:t> </w:t>
      </w:r>
      <w:r>
        <w:rPr>
          <w:spacing w:val="-2"/>
        </w:rPr>
        <w:t>Asia</w:t>
      </w:r>
      <w:r>
        <w:rPr>
          <w:spacing w:val="-10"/>
        </w:rPr>
        <w:t> </w:t>
      </w:r>
      <w:r>
        <w:rPr>
          <w:spacing w:val="-2"/>
        </w:rPr>
        <w:t>Business</w:t>
      </w:r>
      <w:r>
        <w:rPr>
          <w:spacing w:val="-10"/>
        </w:rPr>
        <w:t> </w:t>
      </w:r>
      <w:r>
        <w:rPr>
          <w:spacing w:val="-2"/>
        </w:rPr>
        <w:t>Leader </w:t>
      </w:r>
      <w:r>
        <w:rPr>
          <w:spacing w:val="-6"/>
        </w:rPr>
        <w:t>Awards</w:t>
      </w:r>
      <w:r>
        <w:rPr>
          <w:spacing w:val="-8"/>
        </w:rPr>
        <w:t> </w:t>
      </w:r>
      <w:r>
        <w:rPr>
          <w:spacing w:val="-6"/>
        </w:rPr>
        <w:t>(2004)</w:t>
      </w:r>
      <w:r>
        <w:rPr>
          <w:spacing w:val="-8"/>
        </w:rPr>
        <w:t> </w:t>
      </w:r>
      <w:r>
        <w:rPr>
          <w:spacing w:val="-6"/>
        </w:rPr>
        <w:t>and</w:t>
      </w:r>
      <w:r>
        <w:rPr>
          <w:spacing w:val="-8"/>
        </w:rPr>
        <w:t> </w:t>
      </w:r>
      <w:r>
        <w:rPr>
          <w:spacing w:val="-6"/>
        </w:rPr>
        <w:t>Padma</w:t>
      </w:r>
      <w:r>
        <w:rPr>
          <w:spacing w:val="-7"/>
        </w:rPr>
        <w:t> </w:t>
      </w:r>
      <w:r>
        <w:rPr>
          <w:spacing w:val="-6"/>
        </w:rPr>
        <w:t>Bhushan</w:t>
      </w:r>
      <w:r>
        <w:rPr>
          <w:spacing w:val="-8"/>
        </w:rPr>
        <w:t> </w:t>
      </w:r>
      <w:r>
        <w:rPr>
          <w:spacing w:val="-6"/>
        </w:rPr>
        <w:t>(2006).</w:t>
      </w:r>
      <w:r>
        <w:rPr>
          <w:spacing w:val="-8"/>
        </w:rPr>
        <w:t> </w:t>
      </w:r>
      <w:r>
        <w:rPr>
          <w:spacing w:val="-6"/>
        </w:rPr>
        <w:t>In</w:t>
      </w:r>
      <w:r>
        <w:rPr>
          <w:spacing w:val="-8"/>
        </w:rPr>
        <w:t> </w:t>
      </w:r>
      <w:r>
        <w:rPr>
          <w:spacing w:val="-6"/>
        </w:rPr>
        <w:t>2002</w:t>
      </w:r>
      <w:r>
        <w:rPr>
          <w:spacing w:val="-7"/>
        </w:rPr>
        <w:t> </w:t>
      </w:r>
      <w:r>
        <w:rPr>
          <w:spacing w:val="-6"/>
        </w:rPr>
        <w:t>and </w:t>
      </w:r>
      <w:r>
        <w:rPr>
          <w:spacing w:val="-8"/>
        </w:rPr>
        <w:t>2003</w:t>
      </w:r>
      <w:r>
        <w:rPr>
          <w:spacing w:val="-4"/>
        </w:rPr>
        <w:t> </w:t>
      </w:r>
      <w:r>
        <w:rPr>
          <w:spacing w:val="-8"/>
        </w:rPr>
        <w:t>he</w:t>
      </w:r>
      <w:r>
        <w:rPr>
          <w:spacing w:val="-4"/>
        </w:rPr>
        <w:t> </w:t>
      </w:r>
      <w:r>
        <w:rPr>
          <w:spacing w:val="-8"/>
        </w:rPr>
        <w:t>was</w:t>
      </w:r>
      <w:r>
        <w:rPr>
          <w:spacing w:val="-4"/>
        </w:rPr>
        <w:t> </w:t>
      </w:r>
      <w:r>
        <w:rPr>
          <w:spacing w:val="-8"/>
        </w:rPr>
        <w:t>named</w:t>
      </w:r>
      <w:r>
        <w:rPr>
          <w:spacing w:val="-4"/>
        </w:rPr>
        <w:t> </w:t>
      </w:r>
      <w:r>
        <w:rPr>
          <w:spacing w:val="-8"/>
        </w:rPr>
        <w:t>among</w:t>
      </w:r>
      <w:r>
        <w:rPr>
          <w:spacing w:val="-4"/>
        </w:rPr>
        <w:t> </w:t>
      </w:r>
      <w:r>
        <w:rPr>
          <w:spacing w:val="-8"/>
        </w:rPr>
        <w:t>the</w:t>
      </w:r>
      <w:r>
        <w:rPr>
          <w:spacing w:val="-4"/>
        </w:rPr>
        <w:t> </w:t>
      </w:r>
      <w:r>
        <w:rPr>
          <w:spacing w:val="-8"/>
        </w:rPr>
        <w:t>‘World’s</w:t>
      </w:r>
      <w:r>
        <w:rPr>
          <w:spacing w:val="-4"/>
        </w:rPr>
        <w:t> </w:t>
      </w:r>
      <w:r>
        <w:rPr>
          <w:spacing w:val="-8"/>
        </w:rPr>
        <w:t>Most</w:t>
      </w:r>
      <w:r>
        <w:rPr>
          <w:spacing w:val="-4"/>
        </w:rPr>
        <w:t> </w:t>
      </w:r>
      <w:r>
        <w:rPr>
          <w:spacing w:val="-8"/>
        </w:rPr>
        <w:t>Respected </w:t>
      </w:r>
      <w:r>
        <w:rPr>
          <w:spacing w:val="-2"/>
          <w:w w:val="90"/>
        </w:rPr>
        <w:t>Business</w:t>
      </w:r>
      <w:r>
        <w:rPr>
          <w:spacing w:val="-7"/>
          <w:w w:val="90"/>
        </w:rPr>
        <w:t> </w:t>
      </w:r>
      <w:r>
        <w:rPr>
          <w:spacing w:val="-2"/>
          <w:w w:val="90"/>
        </w:rPr>
        <w:t>Leaders’</w:t>
      </w:r>
      <w:r>
        <w:rPr>
          <w:spacing w:val="-6"/>
          <w:w w:val="90"/>
        </w:rPr>
        <w:t> </w:t>
      </w:r>
      <w:r>
        <w:rPr>
          <w:spacing w:val="-2"/>
          <w:w w:val="90"/>
        </w:rPr>
        <w:t>in</w:t>
      </w:r>
      <w:r>
        <w:rPr>
          <w:spacing w:val="-6"/>
          <w:w w:val="90"/>
        </w:rPr>
        <w:t> </w:t>
      </w:r>
      <w:r>
        <w:rPr>
          <w:spacing w:val="-2"/>
          <w:w w:val="90"/>
        </w:rPr>
        <w:t>a</w:t>
      </w:r>
      <w:r>
        <w:rPr>
          <w:spacing w:val="-6"/>
          <w:w w:val="90"/>
        </w:rPr>
        <w:t> </w:t>
      </w:r>
      <w:r>
        <w:rPr>
          <w:spacing w:val="-2"/>
          <w:w w:val="90"/>
        </w:rPr>
        <w:t>global</w:t>
      </w:r>
      <w:r>
        <w:rPr>
          <w:spacing w:val="-7"/>
          <w:w w:val="90"/>
        </w:rPr>
        <w:t> </w:t>
      </w:r>
      <w:r>
        <w:rPr>
          <w:spacing w:val="-2"/>
          <w:w w:val="90"/>
        </w:rPr>
        <w:t>survey</w:t>
      </w:r>
      <w:r>
        <w:rPr>
          <w:spacing w:val="-6"/>
          <w:w w:val="90"/>
        </w:rPr>
        <w:t> </w:t>
      </w:r>
      <w:r>
        <w:rPr>
          <w:spacing w:val="-2"/>
          <w:w w:val="90"/>
        </w:rPr>
        <w:t>by</w:t>
      </w:r>
      <w:r>
        <w:rPr>
          <w:spacing w:val="-6"/>
          <w:w w:val="90"/>
        </w:rPr>
        <w:t> </w:t>
      </w:r>
      <w:r>
        <w:rPr>
          <w:spacing w:val="-2"/>
          <w:w w:val="90"/>
        </w:rPr>
        <w:t>Financial</w:t>
      </w:r>
      <w:r>
        <w:rPr>
          <w:spacing w:val="-6"/>
          <w:w w:val="90"/>
        </w:rPr>
        <w:t> </w:t>
      </w:r>
      <w:r>
        <w:rPr>
          <w:spacing w:val="-2"/>
          <w:w w:val="90"/>
        </w:rPr>
        <w:t>Times</w:t>
      </w:r>
      <w:r>
        <w:rPr>
          <w:spacing w:val="-7"/>
          <w:w w:val="90"/>
        </w:rPr>
        <w:t> </w:t>
      </w:r>
      <w:r>
        <w:rPr>
          <w:spacing w:val="-2"/>
          <w:w w:val="90"/>
        </w:rPr>
        <w:t>and </w:t>
      </w:r>
      <w:r>
        <w:rPr>
          <w:spacing w:val="-2"/>
        </w:rPr>
        <w:t>PricewaterhouseCoopers.</w:t>
      </w:r>
    </w:p>
    <w:p>
      <w:pPr>
        <w:pStyle w:val="BodyText"/>
        <w:spacing w:before="21"/>
      </w:pPr>
    </w:p>
    <w:p>
      <w:pPr>
        <w:pStyle w:val="BodyText"/>
        <w:spacing w:line="266" w:lineRule="auto"/>
        <w:ind w:left="319" w:right="1077"/>
        <w:jc w:val="both"/>
      </w:pPr>
      <w:r>
        <w:rPr>
          <w:spacing w:val="-4"/>
        </w:rPr>
        <w:t>Mr.</w:t>
      </w:r>
      <w:r>
        <w:rPr>
          <w:spacing w:val="-8"/>
        </w:rPr>
        <w:t> </w:t>
      </w:r>
      <w:r>
        <w:rPr>
          <w:spacing w:val="-4"/>
        </w:rPr>
        <w:t>Nilekani</w:t>
      </w:r>
      <w:r>
        <w:rPr>
          <w:spacing w:val="-8"/>
        </w:rPr>
        <w:t> </w:t>
      </w:r>
      <w:r>
        <w:rPr>
          <w:spacing w:val="-4"/>
        </w:rPr>
        <w:t>became</w:t>
      </w:r>
      <w:r>
        <w:rPr>
          <w:spacing w:val="-8"/>
        </w:rPr>
        <w:t> </w:t>
      </w:r>
      <w:r>
        <w:rPr>
          <w:spacing w:val="-4"/>
        </w:rPr>
        <w:t>one</w:t>
      </w:r>
      <w:r>
        <w:rPr>
          <w:spacing w:val="-8"/>
        </w:rPr>
        <w:t> </w:t>
      </w:r>
      <w:r>
        <w:rPr>
          <w:spacing w:val="-4"/>
        </w:rPr>
        <w:t>of</w:t>
      </w:r>
      <w:r>
        <w:rPr>
          <w:spacing w:val="-8"/>
        </w:rPr>
        <w:t> </w:t>
      </w:r>
      <w:r>
        <w:rPr>
          <w:spacing w:val="-4"/>
        </w:rPr>
        <w:t>the</w:t>
      </w:r>
      <w:r>
        <w:rPr>
          <w:spacing w:val="-8"/>
        </w:rPr>
        <w:t> </w:t>
      </w:r>
      <w:r>
        <w:rPr>
          <w:spacing w:val="-4"/>
        </w:rPr>
        <w:t>youngest</w:t>
      </w:r>
      <w:r>
        <w:rPr>
          <w:spacing w:val="-8"/>
        </w:rPr>
        <w:t> </w:t>
      </w:r>
      <w:r>
        <w:rPr>
          <w:spacing w:val="-4"/>
        </w:rPr>
        <w:t>entrepreneurs </w:t>
      </w:r>
      <w:r>
        <w:rPr/>
        <w:t>to</w:t>
      </w:r>
      <w:r>
        <w:rPr>
          <w:spacing w:val="42"/>
        </w:rPr>
        <w:t> </w:t>
      </w:r>
      <w:r>
        <w:rPr/>
        <w:t>join</w:t>
      </w:r>
      <w:r>
        <w:rPr>
          <w:spacing w:val="43"/>
        </w:rPr>
        <w:t> </w:t>
      </w:r>
      <w:r>
        <w:rPr/>
        <w:t>20</w:t>
      </w:r>
      <w:r>
        <w:rPr>
          <w:spacing w:val="42"/>
        </w:rPr>
        <w:t> </w:t>
      </w:r>
      <w:r>
        <w:rPr/>
        <w:t>global</w:t>
      </w:r>
      <w:r>
        <w:rPr>
          <w:spacing w:val="43"/>
        </w:rPr>
        <w:t> </w:t>
      </w:r>
      <w:r>
        <w:rPr/>
        <w:t>leaders</w:t>
      </w:r>
      <w:r>
        <w:rPr>
          <w:spacing w:val="42"/>
        </w:rPr>
        <w:t> </w:t>
      </w:r>
      <w:r>
        <w:rPr/>
        <w:t>on</w:t>
      </w:r>
      <w:r>
        <w:rPr>
          <w:spacing w:val="43"/>
        </w:rPr>
        <w:t> </w:t>
      </w:r>
      <w:r>
        <w:rPr/>
        <w:t>the</w:t>
      </w:r>
      <w:r>
        <w:rPr>
          <w:spacing w:val="42"/>
        </w:rPr>
        <w:t> </w:t>
      </w:r>
      <w:r>
        <w:rPr/>
        <w:t>prestigious</w:t>
      </w:r>
      <w:r>
        <w:rPr>
          <w:spacing w:val="40"/>
        </w:rPr>
        <w:t> </w:t>
      </w:r>
      <w:r>
        <w:rPr>
          <w:spacing w:val="-4"/>
        </w:rPr>
        <w:t>World</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77"/>
        <w:ind w:left="1080"/>
        <w:jc w:val="both"/>
      </w:pPr>
      <w:r>
        <w:rPr/>
        <w:t>Economic Forum (WEF) Foundation Board </w:t>
      </w:r>
      <w:r>
        <w:rPr/>
        <w:t>in January 2006.</w:t>
      </w:r>
    </w:p>
    <w:p>
      <w:pPr>
        <w:pStyle w:val="Heading7"/>
        <w:spacing w:before="241"/>
        <w:ind w:left="1080"/>
        <w:jc w:val="both"/>
      </w:pPr>
      <w:r>
        <w:rPr>
          <w:color w:val="2E614A"/>
          <w:w w:val="90"/>
        </w:rPr>
        <w:t>Dr.</w:t>
      </w:r>
      <w:r>
        <w:rPr>
          <w:color w:val="2E614A"/>
          <w:spacing w:val="-6"/>
        </w:rPr>
        <w:t> </w:t>
      </w:r>
      <w:r>
        <w:rPr>
          <w:color w:val="2E614A"/>
          <w:w w:val="90"/>
        </w:rPr>
        <w:t>Sujatha</w:t>
      </w:r>
      <w:r>
        <w:rPr>
          <w:color w:val="2E614A"/>
          <w:spacing w:val="-6"/>
        </w:rPr>
        <w:t> </w:t>
      </w:r>
      <w:r>
        <w:rPr>
          <w:color w:val="2E614A"/>
          <w:spacing w:val="-2"/>
          <w:w w:val="90"/>
        </w:rPr>
        <w:t>Ramdorai</w:t>
      </w:r>
    </w:p>
    <w:p>
      <w:pPr>
        <w:pStyle w:val="BodyText"/>
        <w:spacing w:line="266" w:lineRule="auto" w:before="299"/>
        <w:ind w:left="1080"/>
        <w:jc w:val="both"/>
      </w:pPr>
      <w:r>
        <w:rPr/>
        <w:t>Dr. Sujatha Ramdorai is a Professor at the School </w:t>
      </w:r>
      <w:r>
        <w:rPr/>
        <w:t>of Mathematics,</w:t>
      </w:r>
      <w:r>
        <w:rPr>
          <w:spacing w:val="-14"/>
        </w:rPr>
        <w:t> </w:t>
      </w:r>
      <w:r>
        <w:rPr/>
        <w:t>Tata</w:t>
      </w:r>
      <w:r>
        <w:rPr>
          <w:spacing w:val="-14"/>
        </w:rPr>
        <w:t> </w:t>
      </w:r>
      <w:r>
        <w:rPr/>
        <w:t>Institute</w:t>
      </w:r>
      <w:r>
        <w:rPr>
          <w:spacing w:val="-12"/>
        </w:rPr>
        <w:t> </w:t>
      </w:r>
      <w:r>
        <w:rPr/>
        <w:t>of</w:t>
      </w:r>
      <w:r>
        <w:rPr>
          <w:spacing w:val="-12"/>
        </w:rPr>
        <w:t> </w:t>
      </w:r>
      <w:r>
        <w:rPr/>
        <w:t>Fundamental</w:t>
      </w:r>
      <w:r>
        <w:rPr>
          <w:spacing w:val="-12"/>
        </w:rPr>
        <w:t> </w:t>
      </w:r>
      <w:r>
        <w:rPr/>
        <w:t>Research (TIFR). She has held visiting positions in several </w:t>
      </w:r>
      <w:r>
        <w:rPr>
          <w:spacing w:val="-2"/>
        </w:rPr>
        <w:t>universities</w:t>
      </w:r>
      <w:r>
        <w:rPr>
          <w:spacing w:val="-12"/>
        </w:rPr>
        <w:t> </w:t>
      </w:r>
      <w:r>
        <w:rPr>
          <w:spacing w:val="-2"/>
        </w:rPr>
        <w:t>and</w:t>
      </w:r>
      <w:r>
        <w:rPr>
          <w:spacing w:val="-11"/>
        </w:rPr>
        <w:t> </w:t>
      </w:r>
      <w:r>
        <w:rPr>
          <w:spacing w:val="-2"/>
        </w:rPr>
        <w:t>research</w:t>
      </w:r>
      <w:r>
        <w:rPr>
          <w:spacing w:val="-12"/>
        </w:rPr>
        <w:t> </w:t>
      </w:r>
      <w:r>
        <w:rPr>
          <w:spacing w:val="-2"/>
        </w:rPr>
        <w:t>institutions</w:t>
      </w:r>
      <w:r>
        <w:rPr>
          <w:spacing w:val="-11"/>
        </w:rPr>
        <w:t> </w:t>
      </w:r>
      <w:r>
        <w:rPr>
          <w:spacing w:val="-2"/>
        </w:rPr>
        <w:t>around</w:t>
      </w:r>
      <w:r>
        <w:rPr>
          <w:spacing w:val="-12"/>
        </w:rPr>
        <w:t> </w:t>
      </w:r>
      <w:r>
        <w:rPr>
          <w:spacing w:val="-2"/>
        </w:rPr>
        <w:t>the</w:t>
      </w:r>
      <w:r>
        <w:rPr>
          <w:spacing w:val="-11"/>
        </w:rPr>
        <w:t> </w:t>
      </w:r>
      <w:r>
        <w:rPr>
          <w:spacing w:val="-2"/>
        </w:rPr>
        <w:t>world. </w:t>
      </w:r>
      <w:r>
        <w:rPr/>
        <w:t>Currently she is a visiting Professor at the Chennai Mathematical Institute.</w:t>
      </w:r>
    </w:p>
    <w:p>
      <w:pPr>
        <w:pStyle w:val="BodyText"/>
        <w:spacing w:before="22"/>
      </w:pPr>
    </w:p>
    <w:p>
      <w:pPr>
        <w:pStyle w:val="BodyText"/>
        <w:spacing w:line="266" w:lineRule="auto"/>
        <w:ind w:left="1080"/>
        <w:jc w:val="both"/>
        <w:rPr>
          <w:i/>
        </w:rPr>
      </w:pPr>
      <w:r>
        <w:rPr/>
        <w:t>Dr. Ramdorai is a recipient of the Shanti Swarup Bhatnagar</w:t>
      </w:r>
      <w:r>
        <w:rPr>
          <w:spacing w:val="-11"/>
        </w:rPr>
        <w:t> </w:t>
      </w:r>
      <w:r>
        <w:rPr/>
        <w:t>Award</w:t>
      </w:r>
      <w:r>
        <w:rPr>
          <w:spacing w:val="-11"/>
        </w:rPr>
        <w:t> </w:t>
      </w:r>
      <w:r>
        <w:rPr/>
        <w:t>and</w:t>
      </w:r>
      <w:r>
        <w:rPr>
          <w:spacing w:val="-11"/>
        </w:rPr>
        <w:t> </w:t>
      </w:r>
      <w:r>
        <w:rPr/>
        <w:t>the</w:t>
      </w:r>
      <w:r>
        <w:rPr>
          <w:spacing w:val="-11"/>
        </w:rPr>
        <w:t> </w:t>
      </w:r>
      <w:r>
        <w:rPr/>
        <w:t>ICTP</w:t>
      </w:r>
      <w:r>
        <w:rPr>
          <w:spacing w:val="-11"/>
        </w:rPr>
        <w:t> </w:t>
      </w:r>
      <w:r>
        <w:rPr/>
        <w:t>Srinivasa</w:t>
      </w:r>
      <w:r>
        <w:rPr>
          <w:spacing w:val="-11"/>
        </w:rPr>
        <w:t> </w:t>
      </w:r>
      <w:r>
        <w:rPr/>
        <w:t>Ramanujan </w:t>
      </w:r>
      <w:r>
        <w:rPr>
          <w:spacing w:val="-4"/>
        </w:rPr>
        <w:t>Medal</w:t>
      </w:r>
      <w:r>
        <w:rPr>
          <w:spacing w:val="-7"/>
        </w:rPr>
        <w:t> </w:t>
      </w:r>
      <w:r>
        <w:rPr>
          <w:spacing w:val="-4"/>
        </w:rPr>
        <w:t>awarded</w:t>
      </w:r>
      <w:r>
        <w:rPr>
          <w:spacing w:val="-7"/>
        </w:rPr>
        <w:t> </w:t>
      </w:r>
      <w:r>
        <w:rPr>
          <w:spacing w:val="-4"/>
        </w:rPr>
        <w:t>by</w:t>
      </w:r>
      <w:r>
        <w:rPr>
          <w:spacing w:val="-7"/>
        </w:rPr>
        <w:t> </w:t>
      </w:r>
      <w:r>
        <w:rPr>
          <w:spacing w:val="-4"/>
        </w:rPr>
        <w:t>the</w:t>
      </w:r>
      <w:r>
        <w:rPr>
          <w:spacing w:val="-7"/>
        </w:rPr>
        <w:t> </w:t>
      </w:r>
      <w:r>
        <w:rPr>
          <w:spacing w:val="-4"/>
        </w:rPr>
        <w:t>Norwegian</w:t>
      </w:r>
      <w:r>
        <w:rPr>
          <w:spacing w:val="-7"/>
        </w:rPr>
        <w:t> </w:t>
      </w:r>
      <w:r>
        <w:rPr>
          <w:spacing w:val="-4"/>
        </w:rPr>
        <w:t>Academy</w:t>
      </w:r>
      <w:r>
        <w:rPr>
          <w:spacing w:val="-7"/>
        </w:rPr>
        <w:t> </w:t>
      </w:r>
      <w:r>
        <w:rPr>
          <w:spacing w:val="-4"/>
        </w:rPr>
        <w:t>of</w:t>
      </w:r>
      <w:r>
        <w:rPr>
          <w:spacing w:val="-7"/>
        </w:rPr>
        <w:t> </w:t>
      </w:r>
      <w:r>
        <w:rPr>
          <w:spacing w:val="-4"/>
        </w:rPr>
        <w:t>Science and</w:t>
      </w:r>
      <w:r>
        <w:rPr>
          <w:spacing w:val="-8"/>
        </w:rPr>
        <w:t> </w:t>
      </w:r>
      <w:r>
        <w:rPr>
          <w:spacing w:val="-4"/>
        </w:rPr>
        <w:t>Letters</w:t>
      </w:r>
      <w:r>
        <w:rPr>
          <w:spacing w:val="-8"/>
        </w:rPr>
        <w:t> </w:t>
      </w:r>
      <w:r>
        <w:rPr>
          <w:spacing w:val="-4"/>
        </w:rPr>
        <w:t>for</w:t>
      </w:r>
      <w:r>
        <w:rPr>
          <w:spacing w:val="-8"/>
        </w:rPr>
        <w:t> </w:t>
      </w:r>
      <w:r>
        <w:rPr>
          <w:spacing w:val="-4"/>
        </w:rPr>
        <w:t>her</w:t>
      </w:r>
      <w:r>
        <w:rPr>
          <w:spacing w:val="-8"/>
        </w:rPr>
        <w:t> </w:t>
      </w:r>
      <w:r>
        <w:rPr>
          <w:spacing w:val="-4"/>
        </w:rPr>
        <w:t>research</w:t>
      </w:r>
      <w:r>
        <w:rPr>
          <w:spacing w:val="-8"/>
        </w:rPr>
        <w:t> </w:t>
      </w:r>
      <w:r>
        <w:rPr>
          <w:spacing w:val="-4"/>
        </w:rPr>
        <w:t>in</w:t>
      </w:r>
      <w:r>
        <w:rPr>
          <w:spacing w:val="-8"/>
        </w:rPr>
        <w:t> </w:t>
      </w:r>
      <w:r>
        <w:rPr>
          <w:spacing w:val="-4"/>
        </w:rPr>
        <w:t>algebraic</w:t>
      </w:r>
      <w:r>
        <w:rPr>
          <w:spacing w:val="-8"/>
        </w:rPr>
        <w:t> </w:t>
      </w:r>
      <w:r>
        <w:rPr>
          <w:spacing w:val="-4"/>
        </w:rPr>
        <w:t>number</w:t>
      </w:r>
      <w:r>
        <w:rPr>
          <w:spacing w:val="-8"/>
        </w:rPr>
        <w:t> </w:t>
      </w:r>
      <w:r>
        <w:rPr>
          <w:spacing w:val="-4"/>
        </w:rPr>
        <w:t>theory. </w:t>
      </w:r>
      <w:r>
        <w:rPr/>
        <w:t>She</w:t>
      </w:r>
      <w:r>
        <w:rPr>
          <w:spacing w:val="-14"/>
        </w:rPr>
        <w:t> </w:t>
      </w:r>
      <w:r>
        <w:rPr/>
        <w:t>has</w:t>
      </w:r>
      <w:r>
        <w:rPr>
          <w:spacing w:val="-14"/>
        </w:rPr>
        <w:t> </w:t>
      </w:r>
      <w:r>
        <w:rPr/>
        <w:t>been</w:t>
      </w:r>
      <w:r>
        <w:rPr>
          <w:spacing w:val="-14"/>
        </w:rPr>
        <w:t> </w:t>
      </w:r>
      <w:r>
        <w:rPr/>
        <w:t>involved</w:t>
      </w:r>
      <w:r>
        <w:rPr>
          <w:spacing w:val="-13"/>
        </w:rPr>
        <w:t> </w:t>
      </w:r>
      <w:r>
        <w:rPr/>
        <w:t>with</w:t>
      </w:r>
      <w:r>
        <w:rPr>
          <w:spacing w:val="-14"/>
        </w:rPr>
        <w:t> </w:t>
      </w:r>
      <w:r>
        <w:rPr/>
        <w:t>issues</w:t>
      </w:r>
      <w:r>
        <w:rPr>
          <w:spacing w:val="-14"/>
        </w:rPr>
        <w:t> </w:t>
      </w:r>
      <w:r>
        <w:rPr/>
        <w:t>related</w:t>
      </w:r>
      <w:r>
        <w:rPr>
          <w:spacing w:val="-14"/>
        </w:rPr>
        <w:t> </w:t>
      </w:r>
      <w:r>
        <w:rPr/>
        <w:t>to</w:t>
      </w:r>
      <w:r>
        <w:rPr>
          <w:spacing w:val="-13"/>
        </w:rPr>
        <w:t> </w:t>
      </w:r>
      <w:r>
        <w:rPr/>
        <w:t>education and</w:t>
      </w:r>
      <w:r>
        <w:rPr>
          <w:spacing w:val="-2"/>
        </w:rPr>
        <w:t> </w:t>
      </w:r>
      <w:r>
        <w:rPr/>
        <w:t>research,</w:t>
      </w:r>
      <w:r>
        <w:rPr>
          <w:spacing w:val="-2"/>
        </w:rPr>
        <w:t> </w:t>
      </w:r>
      <w:r>
        <w:rPr/>
        <w:t>especially</w:t>
      </w:r>
      <w:r>
        <w:rPr>
          <w:spacing w:val="-2"/>
        </w:rPr>
        <w:t> </w:t>
      </w:r>
      <w:r>
        <w:rPr/>
        <w:t>research</w:t>
      </w:r>
      <w:r>
        <w:rPr>
          <w:spacing w:val="-2"/>
        </w:rPr>
        <w:t> </w:t>
      </w:r>
      <w:r>
        <w:rPr/>
        <w:t>in</w:t>
      </w:r>
      <w:r>
        <w:rPr>
          <w:spacing w:val="-2"/>
        </w:rPr>
        <w:t> </w:t>
      </w:r>
      <w:r>
        <w:rPr/>
        <w:t>the</w:t>
      </w:r>
      <w:r>
        <w:rPr>
          <w:spacing w:val="-2"/>
        </w:rPr>
        <w:t> </w:t>
      </w:r>
      <w:r>
        <w:rPr/>
        <w:t>pure</w:t>
      </w:r>
      <w:r>
        <w:rPr>
          <w:spacing w:val="-2"/>
        </w:rPr>
        <w:t> </w:t>
      </w:r>
      <w:r>
        <w:rPr/>
        <w:t>sciences in India. She has authored several research papers in internationally reputed journals and has collaborated </w:t>
      </w:r>
      <w:r>
        <w:rPr>
          <w:spacing w:val="-2"/>
        </w:rPr>
        <w:t>widely</w:t>
      </w:r>
      <w:r>
        <w:rPr>
          <w:spacing w:val="-11"/>
        </w:rPr>
        <w:t> </w:t>
      </w:r>
      <w:r>
        <w:rPr>
          <w:spacing w:val="-2"/>
        </w:rPr>
        <w:t>in</w:t>
      </w:r>
      <w:r>
        <w:rPr>
          <w:spacing w:val="-11"/>
        </w:rPr>
        <w:t> </w:t>
      </w:r>
      <w:r>
        <w:rPr>
          <w:spacing w:val="-2"/>
        </w:rPr>
        <w:t>her</w:t>
      </w:r>
      <w:r>
        <w:rPr>
          <w:spacing w:val="-11"/>
        </w:rPr>
        <w:t> </w:t>
      </w:r>
      <w:r>
        <w:rPr>
          <w:spacing w:val="-2"/>
        </w:rPr>
        <w:t>research</w:t>
      </w:r>
      <w:r>
        <w:rPr>
          <w:spacing w:val="-11"/>
        </w:rPr>
        <w:t> </w:t>
      </w:r>
      <w:r>
        <w:rPr>
          <w:spacing w:val="-2"/>
        </w:rPr>
        <w:t>work.</w:t>
      </w:r>
      <w:r>
        <w:rPr>
          <w:spacing w:val="-11"/>
        </w:rPr>
        <w:t> </w:t>
      </w:r>
      <w:r>
        <w:rPr>
          <w:spacing w:val="-2"/>
        </w:rPr>
        <w:t>She</w:t>
      </w:r>
      <w:r>
        <w:rPr>
          <w:spacing w:val="-11"/>
        </w:rPr>
        <w:t> </w:t>
      </w:r>
      <w:r>
        <w:rPr>
          <w:spacing w:val="-2"/>
        </w:rPr>
        <w:t>is</w:t>
      </w:r>
      <w:r>
        <w:rPr>
          <w:spacing w:val="-11"/>
        </w:rPr>
        <w:t> </w:t>
      </w:r>
      <w:r>
        <w:rPr>
          <w:spacing w:val="-2"/>
        </w:rPr>
        <w:t>the</w:t>
      </w:r>
      <w:r>
        <w:rPr>
          <w:spacing w:val="-11"/>
        </w:rPr>
        <w:t> </w:t>
      </w:r>
      <w:r>
        <w:rPr>
          <w:spacing w:val="-2"/>
        </w:rPr>
        <w:t>co-author</w:t>
      </w:r>
      <w:r>
        <w:rPr>
          <w:spacing w:val="-11"/>
        </w:rPr>
        <w:t> </w:t>
      </w:r>
      <w:r>
        <w:rPr>
          <w:spacing w:val="-2"/>
        </w:rPr>
        <w:t>(with </w:t>
      </w:r>
      <w:r>
        <w:rPr>
          <w:spacing w:val="-4"/>
        </w:rPr>
        <w:t>Prof.</w:t>
      </w:r>
      <w:r>
        <w:rPr>
          <w:spacing w:val="-10"/>
        </w:rPr>
        <w:t> </w:t>
      </w:r>
      <w:r>
        <w:rPr>
          <w:spacing w:val="-4"/>
        </w:rPr>
        <w:t>J.</w:t>
      </w:r>
      <w:r>
        <w:rPr>
          <w:spacing w:val="-10"/>
        </w:rPr>
        <w:t> </w:t>
      </w:r>
      <w:r>
        <w:rPr>
          <w:spacing w:val="-4"/>
        </w:rPr>
        <w:t>Coates)</w:t>
      </w:r>
      <w:r>
        <w:rPr>
          <w:spacing w:val="-10"/>
        </w:rPr>
        <w:t> </w:t>
      </w:r>
      <w:r>
        <w:rPr>
          <w:spacing w:val="-4"/>
        </w:rPr>
        <w:t>of</w:t>
      </w:r>
      <w:r>
        <w:rPr>
          <w:spacing w:val="-9"/>
        </w:rPr>
        <w:t> </w:t>
      </w:r>
      <w:r>
        <w:rPr>
          <w:i/>
          <w:spacing w:val="-4"/>
        </w:rPr>
        <w:t>Cyclotomic</w:t>
      </w:r>
      <w:r>
        <w:rPr>
          <w:i/>
          <w:spacing w:val="-10"/>
        </w:rPr>
        <w:t> </w:t>
      </w:r>
      <w:r>
        <w:rPr>
          <w:i/>
          <w:spacing w:val="-4"/>
        </w:rPr>
        <w:t>Fields</w:t>
      </w:r>
      <w:r>
        <w:rPr>
          <w:i/>
          <w:spacing w:val="-10"/>
        </w:rPr>
        <w:t> </w:t>
      </w:r>
      <w:r>
        <w:rPr>
          <w:i/>
          <w:spacing w:val="-4"/>
        </w:rPr>
        <w:t>and</w:t>
      </w:r>
      <w:r>
        <w:rPr>
          <w:i/>
          <w:spacing w:val="-8"/>
        </w:rPr>
        <w:t> </w:t>
      </w:r>
      <w:r>
        <w:rPr>
          <w:i/>
          <w:spacing w:val="-4"/>
        </w:rPr>
        <w:t>Zeta</w:t>
      </w:r>
      <w:r>
        <w:rPr>
          <w:i/>
          <w:spacing w:val="-11"/>
        </w:rPr>
        <w:t> </w:t>
      </w:r>
      <w:r>
        <w:rPr>
          <w:i/>
          <w:spacing w:val="-4"/>
        </w:rPr>
        <w:t>Values.</w:t>
      </w:r>
    </w:p>
    <w:p>
      <w:pPr>
        <w:pStyle w:val="Heading7"/>
        <w:spacing w:before="69"/>
        <w:jc w:val="both"/>
      </w:pPr>
      <w:r>
        <w:rPr>
          <w:b w:val="0"/>
        </w:rPr>
        <w:br w:type="column"/>
      </w:r>
      <w:r>
        <w:rPr>
          <w:color w:val="2E614A"/>
          <w:w w:val="90"/>
        </w:rPr>
        <w:t>Dr.</w:t>
      </w:r>
      <w:r>
        <w:rPr>
          <w:color w:val="2E614A"/>
          <w:spacing w:val="9"/>
        </w:rPr>
        <w:t> </w:t>
      </w:r>
      <w:r>
        <w:rPr>
          <w:color w:val="2E614A"/>
          <w:w w:val="90"/>
        </w:rPr>
        <w:t>Amitabh</w:t>
      </w:r>
      <w:r>
        <w:rPr>
          <w:color w:val="2E614A"/>
          <w:spacing w:val="10"/>
        </w:rPr>
        <w:t> </w:t>
      </w:r>
      <w:r>
        <w:rPr>
          <w:color w:val="2E614A"/>
          <w:spacing w:val="-2"/>
          <w:w w:val="90"/>
        </w:rPr>
        <w:t>Mattoo</w:t>
      </w:r>
    </w:p>
    <w:p>
      <w:pPr>
        <w:pStyle w:val="BodyText"/>
        <w:spacing w:line="266" w:lineRule="auto" w:before="299"/>
        <w:ind w:left="319" w:right="1077"/>
        <w:jc w:val="both"/>
      </w:pPr>
      <w:r>
        <w:rPr>
          <w:spacing w:val="-8"/>
        </w:rPr>
        <w:t>Professor</w:t>
      </w:r>
      <w:r>
        <w:rPr>
          <w:spacing w:val="-4"/>
        </w:rPr>
        <w:t> </w:t>
      </w:r>
      <w:r>
        <w:rPr>
          <w:spacing w:val="-8"/>
        </w:rPr>
        <w:t>Mattoo</w:t>
      </w:r>
      <w:r>
        <w:rPr>
          <w:spacing w:val="-4"/>
        </w:rPr>
        <w:t> </w:t>
      </w:r>
      <w:r>
        <w:rPr>
          <w:spacing w:val="-8"/>
        </w:rPr>
        <w:t>is</w:t>
      </w:r>
      <w:r>
        <w:rPr>
          <w:spacing w:val="-4"/>
        </w:rPr>
        <w:t> </w:t>
      </w:r>
      <w:r>
        <w:rPr>
          <w:spacing w:val="-8"/>
        </w:rPr>
        <w:t>a</w:t>
      </w:r>
      <w:r>
        <w:rPr>
          <w:spacing w:val="-4"/>
        </w:rPr>
        <w:t> </w:t>
      </w:r>
      <w:r>
        <w:rPr>
          <w:spacing w:val="-8"/>
        </w:rPr>
        <w:t>Doctorate</w:t>
      </w:r>
      <w:r>
        <w:rPr>
          <w:spacing w:val="-4"/>
        </w:rPr>
        <w:t> </w:t>
      </w:r>
      <w:r>
        <w:rPr>
          <w:spacing w:val="-8"/>
        </w:rPr>
        <w:t>in</w:t>
      </w:r>
      <w:r>
        <w:rPr>
          <w:spacing w:val="-4"/>
        </w:rPr>
        <w:t> </w:t>
      </w:r>
      <w:r>
        <w:rPr>
          <w:spacing w:val="-8"/>
        </w:rPr>
        <w:t>International</w:t>
      </w:r>
      <w:r>
        <w:rPr>
          <w:spacing w:val="-4"/>
        </w:rPr>
        <w:t> </w:t>
      </w:r>
      <w:r>
        <w:rPr>
          <w:spacing w:val="-8"/>
        </w:rPr>
        <w:t>Relations </w:t>
      </w:r>
      <w:r>
        <w:rPr>
          <w:spacing w:val="-2"/>
        </w:rPr>
        <w:t>from</w:t>
      </w:r>
      <w:r>
        <w:rPr>
          <w:spacing w:val="-10"/>
        </w:rPr>
        <w:t> </w:t>
      </w:r>
      <w:r>
        <w:rPr>
          <w:spacing w:val="-2"/>
        </w:rPr>
        <w:t>the</w:t>
      </w:r>
      <w:r>
        <w:rPr>
          <w:spacing w:val="-10"/>
        </w:rPr>
        <w:t> </w:t>
      </w:r>
      <w:r>
        <w:rPr>
          <w:spacing w:val="-2"/>
        </w:rPr>
        <w:t>University</w:t>
      </w:r>
      <w:r>
        <w:rPr>
          <w:spacing w:val="-10"/>
        </w:rPr>
        <w:t> </w:t>
      </w:r>
      <w:r>
        <w:rPr>
          <w:spacing w:val="-2"/>
        </w:rPr>
        <w:t>of</w:t>
      </w:r>
      <w:r>
        <w:rPr>
          <w:spacing w:val="-10"/>
        </w:rPr>
        <w:t> </w:t>
      </w:r>
      <w:r>
        <w:rPr>
          <w:spacing w:val="-2"/>
        </w:rPr>
        <w:t>Oxford,</w:t>
      </w:r>
      <w:r>
        <w:rPr>
          <w:spacing w:val="-10"/>
        </w:rPr>
        <w:t> </w:t>
      </w:r>
      <w:r>
        <w:rPr>
          <w:spacing w:val="-2"/>
        </w:rPr>
        <w:t>United</w:t>
      </w:r>
      <w:r>
        <w:rPr>
          <w:spacing w:val="-10"/>
        </w:rPr>
        <w:t> </w:t>
      </w:r>
      <w:r>
        <w:rPr>
          <w:spacing w:val="-2"/>
        </w:rPr>
        <w:t>Kingdom.</w:t>
      </w:r>
      <w:r>
        <w:rPr>
          <w:spacing w:val="-10"/>
        </w:rPr>
        <w:t> </w:t>
      </w:r>
      <w:r>
        <w:rPr>
          <w:spacing w:val="-2"/>
        </w:rPr>
        <w:t>He</w:t>
      </w:r>
      <w:r>
        <w:rPr>
          <w:spacing w:val="-10"/>
        </w:rPr>
        <w:t> </w:t>
      </w:r>
      <w:r>
        <w:rPr>
          <w:spacing w:val="-2"/>
        </w:rPr>
        <w:t>is </w:t>
      </w:r>
      <w:r>
        <w:rPr>
          <w:spacing w:val="-4"/>
        </w:rPr>
        <w:t>the</w:t>
      </w:r>
      <w:r>
        <w:rPr>
          <w:spacing w:val="-10"/>
        </w:rPr>
        <w:t> </w:t>
      </w:r>
      <w:r>
        <w:rPr>
          <w:spacing w:val="-4"/>
        </w:rPr>
        <w:t>former</w:t>
      </w:r>
      <w:r>
        <w:rPr>
          <w:spacing w:val="-10"/>
        </w:rPr>
        <w:t> </w:t>
      </w:r>
      <w:r>
        <w:rPr>
          <w:spacing w:val="-4"/>
        </w:rPr>
        <w:t>Vice</w:t>
      </w:r>
      <w:r>
        <w:rPr>
          <w:spacing w:val="-10"/>
        </w:rPr>
        <w:t> </w:t>
      </w:r>
      <w:r>
        <w:rPr>
          <w:spacing w:val="-4"/>
        </w:rPr>
        <w:t>Chancellor</w:t>
      </w:r>
      <w:r>
        <w:rPr>
          <w:spacing w:val="-9"/>
        </w:rPr>
        <w:t> </w:t>
      </w:r>
      <w:r>
        <w:rPr>
          <w:spacing w:val="-4"/>
        </w:rPr>
        <w:t>of</w:t>
      </w:r>
      <w:r>
        <w:rPr>
          <w:spacing w:val="-10"/>
        </w:rPr>
        <w:t> </w:t>
      </w:r>
      <w:r>
        <w:rPr>
          <w:spacing w:val="-4"/>
        </w:rPr>
        <w:t>the</w:t>
      </w:r>
      <w:r>
        <w:rPr>
          <w:spacing w:val="-10"/>
        </w:rPr>
        <w:t> </w:t>
      </w:r>
      <w:r>
        <w:rPr>
          <w:spacing w:val="-4"/>
        </w:rPr>
        <w:t>University</w:t>
      </w:r>
      <w:r>
        <w:rPr>
          <w:spacing w:val="-10"/>
        </w:rPr>
        <w:t> </w:t>
      </w:r>
      <w:r>
        <w:rPr>
          <w:spacing w:val="-4"/>
        </w:rPr>
        <w:t>of</w:t>
      </w:r>
      <w:r>
        <w:rPr>
          <w:spacing w:val="-9"/>
        </w:rPr>
        <w:t> </w:t>
      </w:r>
      <w:r>
        <w:rPr>
          <w:spacing w:val="-4"/>
        </w:rPr>
        <w:t>Jammu. </w:t>
      </w:r>
      <w:r>
        <w:rPr/>
        <w:t>He was also Professor of International Relations at </w:t>
      </w:r>
      <w:r>
        <w:rPr>
          <w:spacing w:val="-4"/>
        </w:rPr>
        <w:t>Jawaharlal Nehru University and concurrently Director </w:t>
      </w:r>
      <w:r>
        <w:rPr/>
        <w:t>of</w:t>
      </w:r>
      <w:r>
        <w:rPr>
          <w:spacing w:val="-5"/>
        </w:rPr>
        <w:t> </w:t>
      </w:r>
      <w:r>
        <w:rPr/>
        <w:t>the</w:t>
      </w:r>
      <w:r>
        <w:rPr>
          <w:spacing w:val="-5"/>
        </w:rPr>
        <w:t> </w:t>
      </w:r>
      <w:r>
        <w:rPr/>
        <w:t>Core</w:t>
      </w:r>
      <w:r>
        <w:rPr>
          <w:spacing w:val="-5"/>
        </w:rPr>
        <w:t> </w:t>
      </w:r>
      <w:r>
        <w:rPr/>
        <w:t>Group</w:t>
      </w:r>
      <w:r>
        <w:rPr>
          <w:spacing w:val="-5"/>
        </w:rPr>
        <w:t> </w:t>
      </w:r>
      <w:r>
        <w:rPr/>
        <w:t>for</w:t>
      </w:r>
      <w:r>
        <w:rPr>
          <w:spacing w:val="-5"/>
        </w:rPr>
        <w:t> </w:t>
      </w:r>
      <w:r>
        <w:rPr/>
        <w:t>the</w:t>
      </w:r>
      <w:r>
        <w:rPr>
          <w:spacing w:val="-5"/>
        </w:rPr>
        <w:t> </w:t>
      </w:r>
      <w:r>
        <w:rPr/>
        <w:t>Study</w:t>
      </w:r>
      <w:r>
        <w:rPr>
          <w:spacing w:val="-5"/>
        </w:rPr>
        <w:t> </w:t>
      </w:r>
      <w:r>
        <w:rPr/>
        <w:t>of</w:t>
      </w:r>
      <w:r>
        <w:rPr>
          <w:spacing w:val="-5"/>
        </w:rPr>
        <w:t> </w:t>
      </w:r>
      <w:r>
        <w:rPr/>
        <w:t>National</w:t>
      </w:r>
      <w:r>
        <w:rPr>
          <w:spacing w:val="-5"/>
        </w:rPr>
        <w:t> </w:t>
      </w:r>
      <w:r>
        <w:rPr/>
        <w:t>Security. Professor Mattoo is on the Governing Council of </w:t>
      </w:r>
      <w:r>
        <w:rPr/>
        <w:t>the </w:t>
      </w:r>
      <w:r>
        <w:rPr>
          <w:spacing w:val="-4"/>
        </w:rPr>
        <w:t>Pugwash</w:t>
      </w:r>
      <w:r>
        <w:rPr>
          <w:spacing w:val="-6"/>
        </w:rPr>
        <w:t> </w:t>
      </w:r>
      <w:r>
        <w:rPr>
          <w:spacing w:val="-4"/>
        </w:rPr>
        <w:t>Conference</w:t>
      </w:r>
      <w:r>
        <w:rPr>
          <w:spacing w:val="-6"/>
        </w:rPr>
        <w:t> </w:t>
      </w:r>
      <w:r>
        <w:rPr>
          <w:spacing w:val="-4"/>
        </w:rPr>
        <w:t>on</w:t>
      </w:r>
      <w:r>
        <w:rPr>
          <w:spacing w:val="-6"/>
        </w:rPr>
        <w:t> </w:t>
      </w:r>
      <w:r>
        <w:rPr>
          <w:spacing w:val="-4"/>
        </w:rPr>
        <w:t>Science</w:t>
      </w:r>
      <w:r>
        <w:rPr>
          <w:spacing w:val="-6"/>
        </w:rPr>
        <w:t> </w:t>
      </w:r>
      <w:r>
        <w:rPr>
          <w:spacing w:val="-4"/>
        </w:rPr>
        <w:t>and</w:t>
      </w:r>
      <w:r>
        <w:rPr>
          <w:spacing w:val="-8"/>
        </w:rPr>
        <w:t> </w:t>
      </w:r>
      <w:r>
        <w:rPr>
          <w:spacing w:val="-4"/>
        </w:rPr>
        <w:t>World</w:t>
      </w:r>
      <w:r>
        <w:rPr>
          <w:spacing w:val="-6"/>
        </w:rPr>
        <w:t> </w:t>
      </w:r>
      <w:r>
        <w:rPr>
          <w:spacing w:val="-4"/>
        </w:rPr>
        <w:t>Affairs,</w:t>
      </w:r>
      <w:r>
        <w:rPr>
          <w:spacing w:val="-6"/>
        </w:rPr>
        <w:t> </w:t>
      </w:r>
      <w:r>
        <w:rPr>
          <w:spacing w:val="-4"/>
        </w:rPr>
        <w:t>on </w:t>
      </w:r>
      <w:r>
        <w:rPr>
          <w:spacing w:val="-2"/>
        </w:rPr>
        <w:t>the</w:t>
      </w:r>
      <w:r>
        <w:rPr>
          <w:spacing w:val="-12"/>
        </w:rPr>
        <w:t> </w:t>
      </w:r>
      <w:r>
        <w:rPr>
          <w:spacing w:val="-2"/>
        </w:rPr>
        <w:t>Board</w:t>
      </w:r>
      <w:r>
        <w:rPr>
          <w:spacing w:val="-12"/>
        </w:rPr>
        <w:t> </w:t>
      </w:r>
      <w:r>
        <w:rPr>
          <w:spacing w:val="-2"/>
        </w:rPr>
        <w:t>of</w:t>
      </w:r>
      <w:r>
        <w:rPr>
          <w:spacing w:val="-12"/>
        </w:rPr>
        <w:t> </w:t>
      </w:r>
      <w:r>
        <w:rPr>
          <w:spacing w:val="-2"/>
        </w:rPr>
        <w:t>the</w:t>
      </w:r>
      <w:r>
        <w:rPr>
          <w:spacing w:val="-11"/>
        </w:rPr>
        <w:t> </w:t>
      </w:r>
      <w:r>
        <w:rPr>
          <w:spacing w:val="-2"/>
        </w:rPr>
        <w:t>India-Afghanistan</w:t>
      </w:r>
      <w:r>
        <w:rPr>
          <w:spacing w:val="-12"/>
        </w:rPr>
        <w:t> </w:t>
      </w:r>
      <w:r>
        <w:rPr>
          <w:spacing w:val="-2"/>
        </w:rPr>
        <w:t>Foundation</w:t>
      </w:r>
      <w:r>
        <w:rPr>
          <w:spacing w:val="-12"/>
        </w:rPr>
        <w:t> </w:t>
      </w:r>
      <w:r>
        <w:rPr>
          <w:spacing w:val="-2"/>
        </w:rPr>
        <w:t>and</w:t>
      </w:r>
      <w:r>
        <w:rPr>
          <w:spacing w:val="-12"/>
        </w:rPr>
        <w:t> </w:t>
      </w:r>
      <w:r>
        <w:rPr>
          <w:spacing w:val="-2"/>
        </w:rPr>
        <w:t>the </w:t>
      </w:r>
      <w:r>
        <w:rPr/>
        <w:t>President</w:t>
      </w:r>
      <w:r>
        <w:rPr>
          <w:spacing w:val="-14"/>
        </w:rPr>
        <w:t> </w:t>
      </w:r>
      <w:r>
        <w:rPr/>
        <w:t>of</w:t>
      </w:r>
      <w:r>
        <w:rPr>
          <w:spacing w:val="-14"/>
        </w:rPr>
        <w:t> </w:t>
      </w:r>
      <w:r>
        <w:rPr/>
        <w:t>the</w:t>
      </w:r>
      <w:r>
        <w:rPr>
          <w:spacing w:val="-14"/>
        </w:rPr>
        <w:t> </w:t>
      </w:r>
      <w:r>
        <w:rPr/>
        <w:t>Jammu</w:t>
      </w:r>
      <w:r>
        <w:rPr>
          <w:spacing w:val="-13"/>
        </w:rPr>
        <w:t> </w:t>
      </w:r>
      <w:r>
        <w:rPr/>
        <w:t>and</w:t>
      </w:r>
      <w:r>
        <w:rPr>
          <w:spacing w:val="-14"/>
        </w:rPr>
        <w:t> </w:t>
      </w:r>
      <w:r>
        <w:rPr/>
        <w:t>Kashmir</w:t>
      </w:r>
      <w:r>
        <w:rPr>
          <w:spacing w:val="-14"/>
        </w:rPr>
        <w:t> </w:t>
      </w:r>
      <w:r>
        <w:rPr/>
        <w:t>chapter</w:t>
      </w:r>
      <w:r>
        <w:rPr>
          <w:spacing w:val="-14"/>
        </w:rPr>
        <w:t> </w:t>
      </w:r>
      <w:r>
        <w:rPr/>
        <w:t>of</w:t>
      </w:r>
      <w:r>
        <w:rPr>
          <w:spacing w:val="-13"/>
        </w:rPr>
        <w:t> </w:t>
      </w:r>
      <w:r>
        <w:rPr/>
        <w:t>SPIC- </w:t>
      </w:r>
      <w:r>
        <w:rPr>
          <w:spacing w:val="-2"/>
        </w:rPr>
        <w:t>MACAY.</w:t>
      </w:r>
    </w:p>
    <w:p>
      <w:pPr>
        <w:pStyle w:val="BodyText"/>
        <w:spacing w:before="17"/>
      </w:pPr>
    </w:p>
    <w:p>
      <w:pPr>
        <w:pStyle w:val="BodyText"/>
        <w:spacing w:line="266" w:lineRule="auto" w:before="1"/>
        <w:ind w:left="319" w:right="1077"/>
        <w:jc w:val="both"/>
      </w:pPr>
      <w:r>
        <w:rPr>
          <w:spacing w:val="-4"/>
        </w:rPr>
        <w:t>Professor</w:t>
      </w:r>
      <w:r>
        <w:rPr>
          <w:spacing w:val="-10"/>
        </w:rPr>
        <w:t> </w:t>
      </w:r>
      <w:r>
        <w:rPr>
          <w:spacing w:val="-4"/>
        </w:rPr>
        <w:t>Mattoo</w:t>
      </w:r>
      <w:r>
        <w:rPr>
          <w:spacing w:val="-10"/>
        </w:rPr>
        <w:t> </w:t>
      </w:r>
      <w:r>
        <w:rPr>
          <w:spacing w:val="-4"/>
        </w:rPr>
        <w:t>has</w:t>
      </w:r>
      <w:r>
        <w:rPr>
          <w:spacing w:val="-10"/>
        </w:rPr>
        <w:t> </w:t>
      </w:r>
      <w:r>
        <w:rPr>
          <w:spacing w:val="-4"/>
        </w:rPr>
        <w:t>been</w:t>
      </w:r>
      <w:r>
        <w:rPr>
          <w:spacing w:val="-9"/>
        </w:rPr>
        <w:t> </w:t>
      </w:r>
      <w:r>
        <w:rPr>
          <w:spacing w:val="-4"/>
        </w:rPr>
        <w:t>on</w:t>
      </w:r>
      <w:r>
        <w:rPr>
          <w:spacing w:val="-10"/>
        </w:rPr>
        <w:t> </w:t>
      </w:r>
      <w:r>
        <w:rPr>
          <w:spacing w:val="-4"/>
        </w:rPr>
        <w:t>the</w:t>
      </w:r>
      <w:r>
        <w:rPr>
          <w:spacing w:val="-10"/>
        </w:rPr>
        <w:t> </w:t>
      </w:r>
      <w:r>
        <w:rPr>
          <w:spacing w:val="-4"/>
        </w:rPr>
        <w:t>Governing</w:t>
      </w:r>
      <w:r>
        <w:rPr>
          <w:spacing w:val="-10"/>
        </w:rPr>
        <w:t> </w:t>
      </w:r>
      <w:r>
        <w:rPr>
          <w:spacing w:val="-4"/>
        </w:rPr>
        <w:t>Council</w:t>
      </w:r>
      <w:r>
        <w:rPr>
          <w:spacing w:val="-9"/>
        </w:rPr>
        <w:t> </w:t>
      </w:r>
      <w:r>
        <w:rPr>
          <w:spacing w:val="-4"/>
        </w:rPr>
        <w:t>of </w:t>
      </w:r>
      <w:r>
        <w:rPr/>
        <w:t>the</w:t>
      </w:r>
      <w:r>
        <w:rPr>
          <w:spacing w:val="-14"/>
        </w:rPr>
        <w:t> </w:t>
      </w:r>
      <w:r>
        <w:rPr/>
        <w:t>Nuclear</w:t>
      </w:r>
      <w:r>
        <w:rPr>
          <w:spacing w:val="-14"/>
        </w:rPr>
        <w:t> </w:t>
      </w:r>
      <w:r>
        <w:rPr/>
        <w:t>Science</w:t>
      </w:r>
      <w:r>
        <w:rPr>
          <w:spacing w:val="-14"/>
        </w:rPr>
        <w:t> </w:t>
      </w:r>
      <w:r>
        <w:rPr/>
        <w:t>Centre;</w:t>
      </w:r>
      <w:r>
        <w:rPr>
          <w:spacing w:val="-13"/>
        </w:rPr>
        <w:t> </w:t>
      </w:r>
      <w:r>
        <w:rPr/>
        <w:t>a</w:t>
      </w:r>
      <w:r>
        <w:rPr>
          <w:spacing w:val="-14"/>
        </w:rPr>
        <w:t> </w:t>
      </w:r>
      <w:r>
        <w:rPr/>
        <w:t>member</w:t>
      </w:r>
      <w:r>
        <w:rPr>
          <w:spacing w:val="-14"/>
        </w:rPr>
        <w:t> </w:t>
      </w:r>
      <w:r>
        <w:rPr/>
        <w:t>of</w:t>
      </w:r>
      <w:r>
        <w:rPr>
          <w:spacing w:val="-14"/>
        </w:rPr>
        <w:t> </w:t>
      </w:r>
      <w:r>
        <w:rPr/>
        <w:t>the</w:t>
      </w:r>
      <w:r>
        <w:rPr>
          <w:spacing w:val="-13"/>
        </w:rPr>
        <w:t> </w:t>
      </w:r>
      <w:r>
        <w:rPr/>
        <w:t>Standing </w:t>
      </w:r>
      <w:r>
        <w:rPr>
          <w:spacing w:val="-8"/>
        </w:rPr>
        <w:t>Committee</w:t>
      </w:r>
      <w:r>
        <w:rPr/>
        <w:t> </w:t>
      </w:r>
      <w:r>
        <w:rPr>
          <w:spacing w:val="-8"/>
        </w:rPr>
        <w:t>of</w:t>
      </w:r>
      <w:r>
        <w:rPr/>
        <w:t> </w:t>
      </w:r>
      <w:r>
        <w:rPr>
          <w:spacing w:val="-8"/>
        </w:rPr>
        <w:t>the</w:t>
      </w:r>
      <w:r>
        <w:rPr/>
        <w:t> </w:t>
      </w:r>
      <w:r>
        <w:rPr>
          <w:spacing w:val="-8"/>
        </w:rPr>
        <w:t>Association</w:t>
      </w:r>
      <w:r>
        <w:rPr/>
        <w:t> </w:t>
      </w:r>
      <w:r>
        <w:rPr>
          <w:spacing w:val="-8"/>
        </w:rPr>
        <w:t>of</w:t>
      </w:r>
      <w:r>
        <w:rPr/>
        <w:t> </w:t>
      </w:r>
      <w:r>
        <w:rPr>
          <w:spacing w:val="-8"/>
        </w:rPr>
        <w:t>Indian</w:t>
      </w:r>
      <w:r>
        <w:rPr/>
        <w:t> </w:t>
      </w:r>
      <w:r>
        <w:rPr>
          <w:spacing w:val="-8"/>
        </w:rPr>
        <w:t>Universities;</w:t>
      </w:r>
      <w:r>
        <w:rPr/>
        <w:t> </w:t>
      </w:r>
      <w:r>
        <w:rPr>
          <w:spacing w:val="-8"/>
        </w:rPr>
        <w:t>and </w:t>
      </w:r>
      <w:r>
        <w:rPr>
          <w:spacing w:val="-6"/>
        </w:rPr>
        <w:t>on the Executive Council of several Universities. He has </w:t>
      </w:r>
      <w:r>
        <w:rPr/>
        <w:t>been</w:t>
      </w:r>
      <w:r>
        <w:rPr>
          <w:spacing w:val="-14"/>
        </w:rPr>
        <w:t> </w:t>
      </w:r>
      <w:r>
        <w:rPr/>
        <w:t>the</w:t>
      </w:r>
      <w:r>
        <w:rPr>
          <w:spacing w:val="-14"/>
        </w:rPr>
        <w:t> </w:t>
      </w:r>
      <w:r>
        <w:rPr/>
        <w:t>recipient</w:t>
      </w:r>
      <w:r>
        <w:rPr>
          <w:spacing w:val="-14"/>
        </w:rPr>
        <w:t> </w:t>
      </w:r>
      <w:r>
        <w:rPr/>
        <w:t>of</w:t>
      </w:r>
      <w:r>
        <w:rPr>
          <w:spacing w:val="-13"/>
        </w:rPr>
        <w:t> </w:t>
      </w:r>
      <w:r>
        <w:rPr/>
        <w:t>several</w:t>
      </w:r>
      <w:r>
        <w:rPr>
          <w:spacing w:val="-14"/>
        </w:rPr>
        <w:t> </w:t>
      </w:r>
      <w:r>
        <w:rPr/>
        <w:t>national</w:t>
      </w:r>
      <w:r>
        <w:rPr>
          <w:spacing w:val="-14"/>
        </w:rPr>
        <w:t> </w:t>
      </w:r>
      <w:r>
        <w:rPr/>
        <w:t>and</w:t>
      </w:r>
      <w:r>
        <w:rPr>
          <w:spacing w:val="-14"/>
        </w:rPr>
        <w:t> </w:t>
      </w:r>
      <w:r>
        <w:rPr/>
        <w:t>international </w:t>
      </w:r>
      <w:r>
        <w:rPr>
          <w:spacing w:val="-10"/>
        </w:rPr>
        <w:t>awards</w:t>
      </w:r>
      <w:r>
        <w:rPr>
          <w:spacing w:val="-4"/>
        </w:rPr>
        <w:t> </w:t>
      </w:r>
      <w:r>
        <w:rPr>
          <w:spacing w:val="-10"/>
        </w:rPr>
        <w:t>and</w:t>
      </w:r>
      <w:r>
        <w:rPr>
          <w:spacing w:val="-4"/>
        </w:rPr>
        <w:t> </w:t>
      </w:r>
      <w:r>
        <w:rPr>
          <w:spacing w:val="-10"/>
        </w:rPr>
        <w:t>was,</w:t>
      </w:r>
      <w:r>
        <w:rPr>
          <w:spacing w:val="-4"/>
        </w:rPr>
        <w:t> </w:t>
      </w:r>
      <w:r>
        <w:rPr>
          <w:spacing w:val="-10"/>
        </w:rPr>
        <w:t>till</w:t>
      </w:r>
      <w:r>
        <w:rPr>
          <w:spacing w:val="-3"/>
        </w:rPr>
        <w:t> </w:t>
      </w:r>
      <w:r>
        <w:rPr>
          <w:spacing w:val="-10"/>
        </w:rPr>
        <w:t>recently,</w:t>
      </w:r>
      <w:r>
        <w:rPr>
          <w:spacing w:val="-4"/>
        </w:rPr>
        <w:t> </w:t>
      </w:r>
      <w:r>
        <w:rPr>
          <w:spacing w:val="-10"/>
        </w:rPr>
        <w:t>a</w:t>
      </w:r>
      <w:r>
        <w:rPr>
          <w:spacing w:val="-4"/>
        </w:rPr>
        <w:t> </w:t>
      </w:r>
      <w:r>
        <w:rPr>
          <w:spacing w:val="-10"/>
        </w:rPr>
        <w:t>member</w:t>
      </w:r>
      <w:r>
        <w:rPr>
          <w:spacing w:val="-4"/>
        </w:rPr>
        <w:t> </w:t>
      </w:r>
      <w:r>
        <w:rPr>
          <w:spacing w:val="-10"/>
        </w:rPr>
        <w:t>of</w:t>
      </w:r>
      <w:r>
        <w:rPr>
          <w:spacing w:val="-3"/>
        </w:rPr>
        <w:t> </w:t>
      </w:r>
      <w:r>
        <w:rPr>
          <w:spacing w:val="-10"/>
        </w:rPr>
        <w:t>India’s</w:t>
      </w:r>
      <w:r>
        <w:rPr>
          <w:spacing w:val="-4"/>
        </w:rPr>
        <w:t> </w:t>
      </w:r>
      <w:r>
        <w:rPr>
          <w:spacing w:val="-10"/>
        </w:rPr>
        <w:t>National </w:t>
      </w:r>
      <w:r>
        <w:rPr/>
        <w:t>Security Council’s Advisory Board. In 2008 he was conferred</w:t>
      </w:r>
      <w:r>
        <w:rPr>
          <w:spacing w:val="-14"/>
        </w:rPr>
        <w:t> </w:t>
      </w:r>
      <w:r>
        <w:rPr/>
        <w:t>the</w:t>
      </w:r>
      <w:r>
        <w:rPr>
          <w:spacing w:val="-14"/>
        </w:rPr>
        <w:t> </w:t>
      </w:r>
      <w:r>
        <w:rPr/>
        <w:t>Padma</w:t>
      </w:r>
      <w:r>
        <w:rPr>
          <w:spacing w:val="-14"/>
        </w:rPr>
        <w:t> </w:t>
      </w:r>
      <w:r>
        <w:rPr/>
        <w:t>Shri</w:t>
      </w:r>
      <w:r>
        <w:rPr>
          <w:spacing w:val="-13"/>
        </w:rPr>
        <w:t> </w:t>
      </w:r>
      <w:r>
        <w:rPr/>
        <w:t>by</w:t>
      </w:r>
      <w:r>
        <w:rPr>
          <w:spacing w:val="-14"/>
        </w:rPr>
        <w:t> </w:t>
      </w:r>
      <w:r>
        <w:rPr/>
        <w:t>the</w:t>
      </w:r>
      <w:r>
        <w:rPr>
          <w:spacing w:val="-14"/>
        </w:rPr>
        <w:t> </w:t>
      </w:r>
      <w:r>
        <w:rPr/>
        <w:t>Government</w:t>
      </w:r>
      <w:r>
        <w:rPr>
          <w:spacing w:val="-14"/>
        </w:rPr>
        <w:t> </w:t>
      </w:r>
      <w:r>
        <w:rPr/>
        <w:t>of</w:t>
      </w:r>
      <w:r>
        <w:rPr>
          <w:spacing w:val="-13"/>
        </w:rPr>
        <w:t> </w:t>
      </w:r>
      <w:r>
        <w:rPr/>
        <w:t>India.</w:t>
      </w:r>
    </w:p>
    <w:p>
      <w:pPr>
        <w:spacing w:after="0" w:line="266" w:lineRule="auto"/>
        <w:jc w:val="both"/>
        <w:sectPr>
          <w:pgSz w:w="11910" w:h="16840"/>
          <w:pgMar w:header="0" w:footer="675" w:top="940" w:bottom="860" w:left="0" w:right="0"/>
          <w:cols w:num="2" w:equalWidth="0">
            <w:col w:w="5774" w:space="40"/>
            <w:col w:w="6096"/>
          </w:cols>
        </w:sectPr>
      </w:pPr>
    </w:p>
    <w:p>
      <w:pPr>
        <w:spacing w:before="82"/>
        <w:ind w:left="1247" w:right="0" w:firstLine="0"/>
        <w:jc w:val="left"/>
        <w:rPr>
          <w:rFonts w:ascii="Trebuchet MS"/>
          <w:b/>
          <w:sz w:val="68"/>
        </w:rPr>
      </w:pPr>
      <w:r>
        <w:rPr>
          <w:rFonts w:ascii="Trebuchet MS"/>
          <w:b/>
          <w:color w:val="2E614A"/>
          <w:spacing w:val="-2"/>
          <w:sz w:val="68"/>
        </w:rPr>
        <w:t>Methodology</w:t>
      </w:r>
    </w:p>
    <w:p>
      <w:pPr>
        <w:pStyle w:val="BodyText"/>
        <w:spacing w:before="123"/>
        <w:rPr>
          <w:rFonts w:ascii="Trebuchet MS"/>
          <w:b/>
          <w:sz w:val="68"/>
        </w:rPr>
      </w:pPr>
    </w:p>
    <w:p>
      <w:pPr>
        <w:pStyle w:val="ListParagraph"/>
        <w:numPr>
          <w:ilvl w:val="0"/>
          <w:numId w:val="3"/>
        </w:numPr>
        <w:tabs>
          <w:tab w:pos="1651" w:val="left" w:leader="none"/>
        </w:tabs>
        <w:spacing w:line="240" w:lineRule="auto" w:before="1" w:after="0"/>
        <w:ind w:left="1651" w:right="0" w:hanging="360"/>
        <w:jc w:val="left"/>
        <w:rPr>
          <w:sz w:val="20"/>
        </w:rPr>
      </w:pPr>
      <w:r>
        <w:rPr>
          <w:spacing w:val="-4"/>
          <w:sz w:val="20"/>
        </w:rPr>
        <w:t>Identification of key focus areas</w:t>
      </w:r>
    </w:p>
    <w:p>
      <w:pPr>
        <w:pStyle w:val="BodyText"/>
        <w:rPr>
          <w:sz w:val="20"/>
        </w:rPr>
      </w:pPr>
    </w:p>
    <w:p>
      <w:pPr>
        <w:pStyle w:val="ListParagraph"/>
        <w:numPr>
          <w:ilvl w:val="0"/>
          <w:numId w:val="3"/>
        </w:numPr>
        <w:tabs>
          <w:tab w:pos="1651" w:val="left" w:leader="none"/>
        </w:tabs>
        <w:spacing w:line="240" w:lineRule="auto" w:before="0" w:after="0"/>
        <w:ind w:left="1651" w:right="0" w:hanging="360"/>
        <w:jc w:val="left"/>
        <w:rPr>
          <w:sz w:val="20"/>
        </w:rPr>
      </w:pPr>
      <w:r>
        <w:rPr>
          <w:spacing w:val="-4"/>
          <w:sz w:val="20"/>
        </w:rPr>
        <w:t>Identification</w:t>
      </w:r>
      <w:r>
        <w:rPr>
          <w:spacing w:val="2"/>
          <w:sz w:val="20"/>
        </w:rPr>
        <w:t> </w:t>
      </w:r>
      <w:r>
        <w:rPr>
          <w:spacing w:val="-4"/>
          <w:sz w:val="20"/>
        </w:rPr>
        <w:t>of</w:t>
      </w:r>
      <w:r>
        <w:rPr>
          <w:spacing w:val="1"/>
          <w:sz w:val="20"/>
        </w:rPr>
        <w:t> </w:t>
      </w:r>
      <w:r>
        <w:rPr>
          <w:spacing w:val="-4"/>
          <w:sz w:val="20"/>
        </w:rPr>
        <w:t>diverse</w:t>
      </w:r>
      <w:r>
        <w:rPr>
          <w:spacing w:val="2"/>
          <w:sz w:val="20"/>
        </w:rPr>
        <w:t> </w:t>
      </w:r>
      <w:r>
        <w:rPr>
          <w:spacing w:val="-4"/>
          <w:sz w:val="20"/>
        </w:rPr>
        <w:t>stakeholders</w:t>
      </w:r>
      <w:r>
        <w:rPr>
          <w:spacing w:val="2"/>
          <w:sz w:val="20"/>
        </w:rPr>
        <w:t> </w:t>
      </w:r>
      <w:r>
        <w:rPr>
          <w:spacing w:val="-4"/>
          <w:sz w:val="20"/>
        </w:rPr>
        <w:t>and</w:t>
      </w:r>
      <w:r>
        <w:rPr>
          <w:spacing w:val="2"/>
          <w:sz w:val="20"/>
        </w:rPr>
        <w:t> </w:t>
      </w:r>
      <w:r>
        <w:rPr>
          <w:spacing w:val="-4"/>
          <w:sz w:val="20"/>
        </w:rPr>
        <w:t>understanding</w:t>
      </w:r>
      <w:r>
        <w:rPr>
          <w:spacing w:val="2"/>
          <w:sz w:val="20"/>
        </w:rPr>
        <w:t> </w:t>
      </w:r>
      <w:r>
        <w:rPr>
          <w:spacing w:val="-4"/>
          <w:sz w:val="20"/>
        </w:rPr>
        <w:t>major</w:t>
      </w:r>
      <w:r>
        <w:rPr>
          <w:spacing w:val="2"/>
          <w:sz w:val="20"/>
        </w:rPr>
        <w:t> </w:t>
      </w:r>
      <w:r>
        <w:rPr>
          <w:spacing w:val="-4"/>
          <w:sz w:val="20"/>
        </w:rPr>
        <w:t>issues</w:t>
      </w:r>
    </w:p>
    <w:p>
      <w:pPr>
        <w:pStyle w:val="BodyText"/>
        <w:rPr>
          <w:sz w:val="20"/>
        </w:rPr>
      </w:pPr>
    </w:p>
    <w:p>
      <w:pPr>
        <w:pStyle w:val="ListParagraph"/>
        <w:numPr>
          <w:ilvl w:val="0"/>
          <w:numId w:val="3"/>
        </w:numPr>
        <w:tabs>
          <w:tab w:pos="1651" w:val="left" w:leader="none"/>
        </w:tabs>
        <w:spacing w:line="292" w:lineRule="auto" w:before="0" w:after="0"/>
        <w:ind w:left="1651" w:right="1630" w:hanging="360"/>
        <w:jc w:val="left"/>
        <w:rPr>
          <w:sz w:val="20"/>
        </w:rPr>
      </w:pPr>
      <w:r>
        <w:rPr>
          <w:spacing w:val="-4"/>
          <w:sz w:val="20"/>
        </w:rPr>
        <w:t>Constitution of Working Groups and organising of workshops/seminars, extensive consultations with concerned </w:t>
      </w:r>
      <w:r>
        <w:rPr>
          <w:sz w:val="20"/>
        </w:rPr>
        <w:t>experts and stakeholders</w:t>
      </w:r>
    </w:p>
    <w:p>
      <w:pPr>
        <w:pStyle w:val="ListParagraph"/>
        <w:numPr>
          <w:ilvl w:val="0"/>
          <w:numId w:val="3"/>
        </w:numPr>
        <w:tabs>
          <w:tab w:pos="1651" w:val="left" w:leader="none"/>
        </w:tabs>
        <w:spacing w:line="240" w:lineRule="auto" w:before="179" w:after="0"/>
        <w:ind w:left="1651" w:right="0" w:hanging="360"/>
        <w:jc w:val="left"/>
        <w:rPr>
          <w:sz w:val="20"/>
        </w:rPr>
      </w:pPr>
      <w:r>
        <w:rPr>
          <w:spacing w:val="-2"/>
          <w:sz w:val="20"/>
        </w:rPr>
        <w:t>Consultation</w:t>
      </w:r>
      <w:r>
        <w:rPr>
          <w:spacing w:val="-4"/>
          <w:sz w:val="20"/>
        </w:rPr>
        <w:t> </w:t>
      </w:r>
      <w:r>
        <w:rPr>
          <w:spacing w:val="-2"/>
          <w:sz w:val="20"/>
        </w:rPr>
        <w:t>with</w:t>
      </w:r>
      <w:r>
        <w:rPr>
          <w:spacing w:val="-4"/>
          <w:sz w:val="20"/>
        </w:rPr>
        <w:t> </w:t>
      </w:r>
      <w:r>
        <w:rPr>
          <w:spacing w:val="-2"/>
          <w:sz w:val="20"/>
        </w:rPr>
        <w:t>administrative</w:t>
      </w:r>
      <w:r>
        <w:rPr>
          <w:spacing w:val="-3"/>
          <w:sz w:val="20"/>
        </w:rPr>
        <w:t> </w:t>
      </w:r>
      <w:r>
        <w:rPr>
          <w:spacing w:val="-2"/>
          <w:sz w:val="20"/>
        </w:rPr>
        <w:t>Ministries</w:t>
      </w:r>
      <w:r>
        <w:rPr>
          <w:spacing w:val="-4"/>
          <w:sz w:val="20"/>
        </w:rPr>
        <w:t> </w:t>
      </w:r>
      <w:r>
        <w:rPr>
          <w:spacing w:val="-2"/>
          <w:sz w:val="20"/>
        </w:rPr>
        <w:t>&amp;</w:t>
      </w:r>
      <w:r>
        <w:rPr>
          <w:spacing w:val="-3"/>
          <w:sz w:val="20"/>
        </w:rPr>
        <w:t> </w:t>
      </w:r>
      <w:r>
        <w:rPr>
          <w:spacing w:val="-2"/>
          <w:sz w:val="20"/>
        </w:rPr>
        <w:t>the</w:t>
      </w:r>
      <w:r>
        <w:rPr>
          <w:spacing w:val="-4"/>
          <w:sz w:val="20"/>
        </w:rPr>
        <w:t> </w:t>
      </w:r>
      <w:r>
        <w:rPr>
          <w:spacing w:val="-2"/>
          <w:sz w:val="20"/>
        </w:rPr>
        <w:t>Planning</w:t>
      </w:r>
      <w:r>
        <w:rPr>
          <w:spacing w:val="-4"/>
          <w:sz w:val="20"/>
        </w:rPr>
        <w:t> </w:t>
      </w:r>
      <w:r>
        <w:rPr>
          <w:spacing w:val="-2"/>
          <w:sz w:val="20"/>
        </w:rPr>
        <w:t>Commission</w:t>
      </w:r>
    </w:p>
    <w:p>
      <w:pPr>
        <w:pStyle w:val="ListParagraph"/>
        <w:numPr>
          <w:ilvl w:val="0"/>
          <w:numId w:val="3"/>
        </w:numPr>
        <w:tabs>
          <w:tab w:pos="1651" w:val="left" w:leader="none"/>
        </w:tabs>
        <w:spacing w:line="240" w:lineRule="auto" w:before="230" w:after="0"/>
        <w:ind w:left="1651" w:right="0" w:hanging="360"/>
        <w:jc w:val="left"/>
        <w:rPr>
          <w:sz w:val="20"/>
        </w:rPr>
      </w:pPr>
      <w:r>
        <w:rPr>
          <w:spacing w:val="-2"/>
          <w:sz w:val="20"/>
        </w:rPr>
        <w:t>Discussion</w:t>
      </w:r>
      <w:r>
        <w:rPr>
          <w:spacing w:val="-5"/>
          <w:sz w:val="20"/>
        </w:rPr>
        <w:t> </w:t>
      </w:r>
      <w:r>
        <w:rPr>
          <w:spacing w:val="-2"/>
          <w:sz w:val="20"/>
        </w:rPr>
        <w:t>in</w:t>
      </w:r>
      <w:r>
        <w:rPr>
          <w:spacing w:val="-4"/>
          <w:sz w:val="20"/>
        </w:rPr>
        <w:t> </w:t>
      </w:r>
      <w:r>
        <w:rPr>
          <w:spacing w:val="-2"/>
          <w:sz w:val="20"/>
        </w:rPr>
        <w:t>NKC</w:t>
      </w:r>
      <w:r>
        <w:rPr>
          <w:spacing w:val="-4"/>
          <w:sz w:val="20"/>
        </w:rPr>
        <w:t> </w:t>
      </w:r>
      <w:r>
        <w:rPr>
          <w:spacing w:val="-2"/>
          <w:sz w:val="20"/>
        </w:rPr>
        <w:t>to</w:t>
      </w:r>
      <w:r>
        <w:rPr>
          <w:spacing w:val="-4"/>
          <w:sz w:val="20"/>
        </w:rPr>
        <w:t> </w:t>
      </w:r>
      <w:r>
        <w:rPr>
          <w:spacing w:val="-2"/>
          <w:sz w:val="20"/>
        </w:rPr>
        <w:t>finalise</w:t>
      </w:r>
      <w:r>
        <w:rPr>
          <w:spacing w:val="-4"/>
          <w:sz w:val="20"/>
        </w:rPr>
        <w:t> </w:t>
      </w:r>
      <w:r>
        <w:rPr>
          <w:spacing w:val="-2"/>
          <w:sz w:val="20"/>
        </w:rPr>
        <w:t>recommendations</w:t>
      </w:r>
      <w:r>
        <w:rPr>
          <w:spacing w:val="-4"/>
          <w:sz w:val="20"/>
        </w:rPr>
        <w:t> </w:t>
      </w:r>
      <w:r>
        <w:rPr>
          <w:spacing w:val="-2"/>
          <w:sz w:val="20"/>
        </w:rPr>
        <w:t>in</w:t>
      </w:r>
      <w:r>
        <w:rPr>
          <w:spacing w:val="-4"/>
          <w:sz w:val="20"/>
        </w:rPr>
        <w:t> </w:t>
      </w:r>
      <w:r>
        <w:rPr>
          <w:spacing w:val="-2"/>
          <w:sz w:val="20"/>
        </w:rPr>
        <w:t>the</w:t>
      </w:r>
      <w:r>
        <w:rPr>
          <w:spacing w:val="-4"/>
          <w:sz w:val="20"/>
        </w:rPr>
        <w:t> </w:t>
      </w:r>
      <w:r>
        <w:rPr>
          <w:spacing w:val="-2"/>
          <w:sz w:val="20"/>
        </w:rPr>
        <w:t>form</w:t>
      </w:r>
      <w:r>
        <w:rPr>
          <w:spacing w:val="-4"/>
          <w:sz w:val="20"/>
        </w:rPr>
        <w:t> </w:t>
      </w:r>
      <w:r>
        <w:rPr>
          <w:spacing w:val="-2"/>
          <w:sz w:val="20"/>
        </w:rPr>
        <w:t>of</w:t>
      </w:r>
      <w:r>
        <w:rPr>
          <w:spacing w:val="-4"/>
          <w:sz w:val="20"/>
        </w:rPr>
        <w:t> </w:t>
      </w:r>
      <w:r>
        <w:rPr>
          <w:spacing w:val="-2"/>
          <w:sz w:val="20"/>
        </w:rPr>
        <w:t>letter</w:t>
      </w:r>
      <w:r>
        <w:rPr>
          <w:spacing w:val="-4"/>
          <w:sz w:val="20"/>
        </w:rPr>
        <w:t> </w:t>
      </w:r>
      <w:r>
        <w:rPr>
          <w:spacing w:val="-2"/>
          <w:sz w:val="20"/>
        </w:rPr>
        <w:t>to</w:t>
      </w:r>
      <w:r>
        <w:rPr>
          <w:spacing w:val="-4"/>
          <w:sz w:val="20"/>
        </w:rPr>
        <w:t> </w:t>
      </w:r>
      <w:r>
        <w:rPr>
          <w:spacing w:val="-2"/>
          <w:sz w:val="20"/>
        </w:rPr>
        <w:t>the</w:t>
      </w:r>
      <w:r>
        <w:rPr>
          <w:spacing w:val="-4"/>
          <w:sz w:val="20"/>
        </w:rPr>
        <w:t> </w:t>
      </w:r>
      <w:r>
        <w:rPr>
          <w:spacing w:val="-2"/>
          <w:sz w:val="20"/>
        </w:rPr>
        <w:t>PM</w:t>
      </w:r>
      <w:r>
        <w:rPr>
          <w:spacing w:val="-4"/>
          <w:sz w:val="20"/>
        </w:rPr>
        <w:t> </w:t>
      </w:r>
      <w:r>
        <w:rPr>
          <w:spacing w:val="-2"/>
          <w:sz w:val="20"/>
        </w:rPr>
        <w:t>from</w:t>
      </w:r>
      <w:r>
        <w:rPr>
          <w:spacing w:val="-4"/>
          <w:sz w:val="20"/>
        </w:rPr>
        <w:t> </w:t>
      </w:r>
      <w:r>
        <w:rPr>
          <w:spacing w:val="-2"/>
          <w:sz w:val="20"/>
        </w:rPr>
        <w:t>the</w:t>
      </w:r>
      <w:r>
        <w:rPr>
          <w:spacing w:val="-4"/>
          <w:sz w:val="20"/>
        </w:rPr>
        <w:t> </w:t>
      </w:r>
      <w:r>
        <w:rPr>
          <w:spacing w:val="-2"/>
          <w:sz w:val="20"/>
        </w:rPr>
        <w:t>Chairman</w:t>
      </w:r>
    </w:p>
    <w:p>
      <w:pPr>
        <w:pStyle w:val="ListParagraph"/>
        <w:numPr>
          <w:ilvl w:val="0"/>
          <w:numId w:val="3"/>
        </w:numPr>
        <w:tabs>
          <w:tab w:pos="1651" w:val="left" w:leader="none"/>
        </w:tabs>
        <w:spacing w:line="292" w:lineRule="auto" w:before="230" w:after="0"/>
        <w:ind w:left="1651" w:right="1631" w:hanging="360"/>
        <w:jc w:val="left"/>
        <w:rPr>
          <w:sz w:val="20"/>
        </w:rPr>
      </w:pPr>
      <w:r>
        <w:rPr>
          <w:spacing w:val="-2"/>
          <w:sz w:val="20"/>
        </w:rPr>
        <w:t>Letter</w:t>
      </w:r>
      <w:r>
        <w:rPr>
          <w:spacing w:val="-5"/>
          <w:sz w:val="20"/>
        </w:rPr>
        <w:t> </w:t>
      </w:r>
      <w:r>
        <w:rPr>
          <w:spacing w:val="-2"/>
          <w:sz w:val="20"/>
        </w:rPr>
        <w:t>to</w:t>
      </w:r>
      <w:r>
        <w:rPr>
          <w:spacing w:val="-5"/>
          <w:sz w:val="20"/>
        </w:rPr>
        <w:t> </w:t>
      </w:r>
      <w:r>
        <w:rPr>
          <w:spacing w:val="-2"/>
          <w:sz w:val="20"/>
        </w:rPr>
        <w:t>PM</w:t>
      </w:r>
      <w:r>
        <w:rPr>
          <w:spacing w:val="-5"/>
          <w:sz w:val="20"/>
        </w:rPr>
        <w:t> </w:t>
      </w:r>
      <w:r>
        <w:rPr>
          <w:spacing w:val="-2"/>
          <w:sz w:val="20"/>
        </w:rPr>
        <w:t>containing</w:t>
      </w:r>
      <w:r>
        <w:rPr>
          <w:spacing w:val="-5"/>
          <w:sz w:val="20"/>
        </w:rPr>
        <w:t> </w:t>
      </w:r>
      <w:r>
        <w:rPr>
          <w:spacing w:val="-2"/>
          <w:sz w:val="20"/>
        </w:rPr>
        <w:t>key</w:t>
      </w:r>
      <w:r>
        <w:rPr>
          <w:spacing w:val="-5"/>
          <w:sz w:val="20"/>
        </w:rPr>
        <w:t> </w:t>
      </w:r>
      <w:r>
        <w:rPr>
          <w:spacing w:val="-2"/>
          <w:sz w:val="20"/>
        </w:rPr>
        <w:t>recommendations,</w:t>
      </w:r>
      <w:r>
        <w:rPr>
          <w:spacing w:val="-5"/>
          <w:sz w:val="20"/>
        </w:rPr>
        <w:t> </w:t>
      </w:r>
      <w:r>
        <w:rPr>
          <w:spacing w:val="-2"/>
          <w:sz w:val="20"/>
        </w:rPr>
        <w:t>first</w:t>
      </w:r>
      <w:r>
        <w:rPr>
          <w:spacing w:val="-5"/>
          <w:sz w:val="20"/>
        </w:rPr>
        <w:t> </w:t>
      </w:r>
      <w:r>
        <w:rPr>
          <w:spacing w:val="-2"/>
          <w:sz w:val="20"/>
        </w:rPr>
        <w:t>steps,</w:t>
      </w:r>
      <w:r>
        <w:rPr>
          <w:spacing w:val="-5"/>
          <w:sz w:val="20"/>
        </w:rPr>
        <w:t> </w:t>
      </w:r>
      <w:r>
        <w:rPr>
          <w:spacing w:val="-2"/>
          <w:sz w:val="20"/>
        </w:rPr>
        <w:t>financial</w:t>
      </w:r>
      <w:r>
        <w:rPr>
          <w:spacing w:val="-5"/>
          <w:sz w:val="20"/>
        </w:rPr>
        <w:t> </w:t>
      </w:r>
      <w:r>
        <w:rPr>
          <w:spacing w:val="-2"/>
          <w:sz w:val="20"/>
        </w:rPr>
        <w:t>implications</w:t>
      </w:r>
      <w:r>
        <w:rPr>
          <w:spacing w:val="-5"/>
          <w:sz w:val="20"/>
        </w:rPr>
        <w:t> </w:t>
      </w:r>
      <w:r>
        <w:rPr>
          <w:spacing w:val="-2"/>
          <w:sz w:val="20"/>
        </w:rPr>
        <w:t>etc.</w:t>
      </w:r>
      <w:r>
        <w:rPr>
          <w:spacing w:val="-5"/>
          <w:sz w:val="20"/>
        </w:rPr>
        <w:t> </w:t>
      </w:r>
      <w:r>
        <w:rPr>
          <w:spacing w:val="-2"/>
          <w:sz w:val="20"/>
        </w:rPr>
        <w:t>supported</w:t>
      </w:r>
      <w:r>
        <w:rPr>
          <w:spacing w:val="-5"/>
          <w:sz w:val="20"/>
        </w:rPr>
        <w:t> </w:t>
      </w:r>
      <w:r>
        <w:rPr>
          <w:spacing w:val="-2"/>
          <w:sz w:val="20"/>
        </w:rPr>
        <w:t>by</w:t>
      </w:r>
      <w:r>
        <w:rPr>
          <w:spacing w:val="-5"/>
          <w:sz w:val="20"/>
        </w:rPr>
        <w:t> </w:t>
      </w:r>
      <w:r>
        <w:rPr>
          <w:spacing w:val="-2"/>
          <w:sz w:val="20"/>
        </w:rPr>
        <w:t>the</w:t>
      </w:r>
      <w:r>
        <w:rPr>
          <w:spacing w:val="-5"/>
          <w:sz w:val="20"/>
        </w:rPr>
        <w:t> </w:t>
      </w:r>
      <w:r>
        <w:rPr>
          <w:spacing w:val="-2"/>
          <w:sz w:val="20"/>
        </w:rPr>
        <w:t>relevant </w:t>
      </w:r>
      <w:r>
        <w:rPr>
          <w:sz w:val="20"/>
        </w:rPr>
        <w:t>explanatory documents by NKC</w:t>
      </w:r>
    </w:p>
    <w:p>
      <w:pPr>
        <w:pStyle w:val="ListParagraph"/>
        <w:numPr>
          <w:ilvl w:val="0"/>
          <w:numId w:val="3"/>
        </w:numPr>
        <w:tabs>
          <w:tab w:pos="1651" w:val="left" w:leader="none"/>
        </w:tabs>
        <w:spacing w:line="240" w:lineRule="auto" w:before="178" w:after="0"/>
        <w:ind w:left="1651" w:right="0" w:hanging="360"/>
        <w:jc w:val="left"/>
        <w:rPr>
          <w:sz w:val="20"/>
        </w:rPr>
      </w:pPr>
      <w:r>
        <w:rPr>
          <w:spacing w:val="-4"/>
          <w:sz w:val="20"/>
        </w:rPr>
        <w:t>Dissemination</w:t>
      </w:r>
      <w:r>
        <w:rPr>
          <w:spacing w:val="2"/>
          <w:sz w:val="20"/>
        </w:rPr>
        <w:t> </w:t>
      </w:r>
      <w:r>
        <w:rPr>
          <w:spacing w:val="-4"/>
          <w:sz w:val="20"/>
        </w:rPr>
        <w:t>of</w:t>
      </w:r>
      <w:r>
        <w:rPr>
          <w:spacing w:val="2"/>
          <w:sz w:val="20"/>
        </w:rPr>
        <w:t> </w:t>
      </w:r>
      <w:r>
        <w:rPr>
          <w:spacing w:val="-4"/>
          <w:sz w:val="20"/>
        </w:rPr>
        <w:t>recommendations</w:t>
      </w:r>
      <w:r>
        <w:rPr>
          <w:spacing w:val="3"/>
          <w:sz w:val="20"/>
        </w:rPr>
        <w:t> </w:t>
      </w:r>
      <w:r>
        <w:rPr>
          <w:spacing w:val="-4"/>
          <w:sz w:val="20"/>
        </w:rPr>
        <w:t>to</w:t>
      </w:r>
      <w:r>
        <w:rPr>
          <w:spacing w:val="2"/>
          <w:sz w:val="20"/>
        </w:rPr>
        <w:t> </w:t>
      </w:r>
      <w:r>
        <w:rPr>
          <w:spacing w:val="-4"/>
          <w:sz w:val="20"/>
        </w:rPr>
        <w:t>State</w:t>
      </w:r>
      <w:r>
        <w:rPr>
          <w:spacing w:val="3"/>
          <w:sz w:val="20"/>
        </w:rPr>
        <w:t> </w:t>
      </w:r>
      <w:r>
        <w:rPr>
          <w:spacing w:val="-4"/>
          <w:sz w:val="20"/>
        </w:rPr>
        <w:t>Governments,</w:t>
      </w:r>
      <w:r>
        <w:rPr>
          <w:spacing w:val="2"/>
          <w:sz w:val="20"/>
        </w:rPr>
        <w:t> </w:t>
      </w:r>
      <w:r>
        <w:rPr>
          <w:spacing w:val="-4"/>
          <w:sz w:val="20"/>
        </w:rPr>
        <w:t>civil</w:t>
      </w:r>
      <w:r>
        <w:rPr>
          <w:spacing w:val="3"/>
          <w:sz w:val="20"/>
        </w:rPr>
        <w:t> </w:t>
      </w:r>
      <w:r>
        <w:rPr>
          <w:spacing w:val="-4"/>
          <w:sz w:val="20"/>
        </w:rPr>
        <w:t>society</w:t>
      </w:r>
      <w:r>
        <w:rPr>
          <w:spacing w:val="2"/>
          <w:sz w:val="20"/>
        </w:rPr>
        <w:t> </w:t>
      </w:r>
      <w:r>
        <w:rPr>
          <w:spacing w:val="-4"/>
          <w:sz w:val="20"/>
        </w:rPr>
        <w:t>and</w:t>
      </w:r>
      <w:r>
        <w:rPr>
          <w:spacing w:val="3"/>
          <w:sz w:val="20"/>
        </w:rPr>
        <w:t> </w:t>
      </w:r>
      <w:r>
        <w:rPr>
          <w:spacing w:val="-4"/>
          <w:sz w:val="20"/>
        </w:rPr>
        <w:t>other</w:t>
      </w:r>
      <w:r>
        <w:rPr>
          <w:spacing w:val="2"/>
          <w:sz w:val="20"/>
        </w:rPr>
        <w:t> </w:t>
      </w:r>
      <w:r>
        <w:rPr>
          <w:spacing w:val="-4"/>
          <w:sz w:val="20"/>
        </w:rPr>
        <w:t>stakeholders</w:t>
      </w:r>
    </w:p>
    <w:p>
      <w:pPr>
        <w:pStyle w:val="BodyText"/>
        <w:rPr>
          <w:sz w:val="20"/>
        </w:rPr>
      </w:pPr>
    </w:p>
    <w:p>
      <w:pPr>
        <w:pStyle w:val="ListParagraph"/>
        <w:numPr>
          <w:ilvl w:val="0"/>
          <w:numId w:val="3"/>
        </w:numPr>
        <w:tabs>
          <w:tab w:pos="1651" w:val="left" w:leader="none"/>
        </w:tabs>
        <w:spacing w:line="240" w:lineRule="auto" w:before="1" w:after="0"/>
        <w:ind w:left="1651" w:right="0" w:hanging="360"/>
        <w:jc w:val="left"/>
        <w:rPr>
          <w:sz w:val="20"/>
        </w:rPr>
      </w:pPr>
      <w:r>
        <w:rPr>
          <w:spacing w:val="-2"/>
          <w:sz w:val="20"/>
        </w:rPr>
        <w:t>Initiating</w:t>
      </w:r>
      <w:r>
        <w:rPr>
          <w:spacing w:val="-9"/>
          <w:sz w:val="20"/>
        </w:rPr>
        <w:t> </w:t>
      </w:r>
      <w:r>
        <w:rPr>
          <w:spacing w:val="-2"/>
          <w:sz w:val="20"/>
        </w:rPr>
        <w:t>the</w:t>
      </w:r>
      <w:r>
        <w:rPr>
          <w:spacing w:val="-9"/>
          <w:sz w:val="20"/>
        </w:rPr>
        <w:t> </w:t>
      </w:r>
      <w:r>
        <w:rPr>
          <w:spacing w:val="-2"/>
          <w:sz w:val="20"/>
        </w:rPr>
        <w:t>implementation</w:t>
      </w:r>
      <w:r>
        <w:rPr>
          <w:spacing w:val="-8"/>
          <w:sz w:val="20"/>
        </w:rPr>
        <w:t> </w:t>
      </w:r>
      <w:r>
        <w:rPr>
          <w:spacing w:val="-2"/>
          <w:sz w:val="20"/>
        </w:rPr>
        <w:t>of</w:t>
      </w:r>
      <w:r>
        <w:rPr>
          <w:spacing w:val="-9"/>
          <w:sz w:val="20"/>
        </w:rPr>
        <w:t> </w:t>
      </w:r>
      <w:r>
        <w:rPr>
          <w:spacing w:val="-2"/>
          <w:sz w:val="20"/>
        </w:rPr>
        <w:t>the</w:t>
      </w:r>
      <w:r>
        <w:rPr>
          <w:spacing w:val="-9"/>
          <w:sz w:val="20"/>
        </w:rPr>
        <w:t> </w:t>
      </w:r>
      <w:r>
        <w:rPr>
          <w:spacing w:val="-2"/>
          <w:sz w:val="20"/>
        </w:rPr>
        <w:t>recommendations</w:t>
      </w:r>
      <w:r>
        <w:rPr>
          <w:spacing w:val="-8"/>
          <w:sz w:val="20"/>
        </w:rPr>
        <w:t> </w:t>
      </w:r>
      <w:r>
        <w:rPr>
          <w:spacing w:val="-2"/>
          <w:sz w:val="20"/>
        </w:rPr>
        <w:t>under</w:t>
      </w:r>
      <w:r>
        <w:rPr>
          <w:spacing w:val="-9"/>
          <w:sz w:val="20"/>
        </w:rPr>
        <w:t> </w:t>
      </w:r>
      <w:r>
        <w:rPr>
          <w:spacing w:val="-2"/>
          <w:sz w:val="20"/>
        </w:rPr>
        <w:t>the</w:t>
      </w:r>
      <w:r>
        <w:rPr>
          <w:spacing w:val="-9"/>
          <w:sz w:val="20"/>
        </w:rPr>
        <w:t> </w:t>
      </w:r>
      <w:r>
        <w:rPr>
          <w:spacing w:val="-2"/>
          <w:sz w:val="20"/>
        </w:rPr>
        <w:t>aegis</w:t>
      </w:r>
      <w:r>
        <w:rPr>
          <w:spacing w:val="-8"/>
          <w:sz w:val="20"/>
        </w:rPr>
        <w:t> </w:t>
      </w:r>
      <w:r>
        <w:rPr>
          <w:spacing w:val="-2"/>
          <w:sz w:val="20"/>
        </w:rPr>
        <w:t>of</w:t>
      </w:r>
      <w:r>
        <w:rPr>
          <w:spacing w:val="-9"/>
          <w:sz w:val="20"/>
        </w:rPr>
        <w:t> </w:t>
      </w:r>
      <w:r>
        <w:rPr>
          <w:spacing w:val="-2"/>
          <w:sz w:val="20"/>
        </w:rPr>
        <w:t>the</w:t>
      </w:r>
      <w:r>
        <w:rPr>
          <w:spacing w:val="-9"/>
          <w:sz w:val="20"/>
        </w:rPr>
        <w:t> </w:t>
      </w:r>
      <w:r>
        <w:rPr>
          <w:spacing w:val="-2"/>
          <w:sz w:val="20"/>
        </w:rPr>
        <w:t>Prime</w:t>
      </w:r>
      <w:r>
        <w:rPr>
          <w:spacing w:val="-8"/>
          <w:sz w:val="20"/>
        </w:rPr>
        <w:t> </w:t>
      </w:r>
      <w:r>
        <w:rPr>
          <w:spacing w:val="-2"/>
          <w:sz w:val="20"/>
        </w:rPr>
        <w:t>Minister’s</w:t>
      </w:r>
      <w:r>
        <w:rPr>
          <w:spacing w:val="-9"/>
          <w:sz w:val="20"/>
        </w:rPr>
        <w:t> </w:t>
      </w:r>
      <w:r>
        <w:rPr>
          <w:spacing w:val="-2"/>
          <w:sz w:val="20"/>
        </w:rPr>
        <w:t>Office</w:t>
      </w:r>
    </w:p>
    <w:p>
      <w:pPr>
        <w:pStyle w:val="ListParagraph"/>
        <w:numPr>
          <w:ilvl w:val="0"/>
          <w:numId w:val="3"/>
        </w:numPr>
        <w:tabs>
          <w:tab w:pos="1651" w:val="left" w:leader="none"/>
        </w:tabs>
        <w:spacing w:line="240" w:lineRule="auto" w:before="230" w:after="0"/>
        <w:ind w:left="1651" w:right="0" w:hanging="360"/>
        <w:jc w:val="left"/>
        <w:rPr>
          <w:sz w:val="20"/>
        </w:rPr>
      </w:pPr>
      <w:r>
        <w:rPr>
          <w:spacing w:val="-2"/>
          <w:sz w:val="20"/>
        </w:rPr>
        <w:t>Coordinating</w:t>
      </w:r>
      <w:r>
        <w:rPr>
          <w:spacing w:val="-5"/>
          <w:sz w:val="20"/>
        </w:rPr>
        <w:t> </w:t>
      </w:r>
      <w:r>
        <w:rPr>
          <w:spacing w:val="-2"/>
          <w:sz w:val="20"/>
        </w:rPr>
        <w:t>and</w:t>
      </w:r>
      <w:r>
        <w:rPr>
          <w:spacing w:val="-4"/>
          <w:sz w:val="20"/>
        </w:rPr>
        <w:t> </w:t>
      </w:r>
      <w:r>
        <w:rPr>
          <w:spacing w:val="-2"/>
          <w:sz w:val="20"/>
        </w:rPr>
        <w:t>following</w:t>
      </w:r>
      <w:r>
        <w:rPr>
          <w:spacing w:val="-5"/>
          <w:sz w:val="20"/>
        </w:rPr>
        <w:t> </w:t>
      </w:r>
      <w:r>
        <w:rPr>
          <w:spacing w:val="-2"/>
          <w:sz w:val="20"/>
        </w:rPr>
        <w:t>up</w:t>
      </w:r>
      <w:r>
        <w:rPr>
          <w:spacing w:val="-4"/>
          <w:sz w:val="20"/>
        </w:rPr>
        <w:t> </w:t>
      </w:r>
      <w:r>
        <w:rPr>
          <w:spacing w:val="-2"/>
          <w:sz w:val="20"/>
        </w:rPr>
        <w:t>implementation</w:t>
      </w:r>
      <w:r>
        <w:rPr>
          <w:spacing w:val="-5"/>
          <w:sz w:val="20"/>
        </w:rPr>
        <w:t> </w:t>
      </w:r>
      <w:r>
        <w:rPr>
          <w:spacing w:val="-2"/>
          <w:sz w:val="20"/>
        </w:rPr>
        <w:t>of</w:t>
      </w:r>
      <w:r>
        <w:rPr>
          <w:spacing w:val="-4"/>
          <w:sz w:val="20"/>
        </w:rPr>
        <w:t> </w:t>
      </w:r>
      <w:r>
        <w:rPr>
          <w:spacing w:val="-2"/>
          <w:sz w:val="20"/>
        </w:rPr>
        <w:t>proposals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0"/>
        <w:rPr>
          <w:sz w:val="20"/>
        </w:rPr>
      </w:pPr>
    </w:p>
    <w:p>
      <w:pPr>
        <w:spacing w:after="0"/>
        <w:rPr>
          <w:sz w:val="20"/>
        </w:rPr>
        <w:sectPr>
          <w:footerReference w:type="even" r:id="rId16"/>
          <w:pgSz w:w="11910" w:h="16840"/>
          <w:pgMar w:header="0" w:footer="0" w:top="1720" w:bottom="280" w:left="0" w:right="0"/>
        </w:sectPr>
      </w:pPr>
    </w:p>
    <w:p>
      <w:pPr>
        <w:pStyle w:val="Heading4"/>
      </w:pPr>
      <w:r>
        <w:rPr/>
        <mc:AlternateContent>
          <mc:Choice Requires="wps">
            <w:drawing>
              <wp:anchor distT="0" distB="0" distL="0" distR="0" allowOverlap="1" layoutInCell="1" locked="0" behindDoc="1" simplePos="0" relativeHeight="479311360">
                <wp:simplePos x="0" y="0"/>
                <wp:positionH relativeFrom="page">
                  <wp:posOffset>376728</wp:posOffset>
                </wp:positionH>
                <wp:positionV relativeFrom="page">
                  <wp:posOffset>10297722</wp:posOffset>
                </wp:positionV>
                <wp:extent cx="1951989" cy="1479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951989" cy="147955"/>
                        </a:xfrm>
                        <a:prstGeom prst="rect">
                          <a:avLst/>
                        </a:prstGeom>
                      </wps:spPr>
                      <wps:txbx>
                        <w:txbxContent>
                          <w:p>
                            <w:pPr>
                              <w:tabs>
                                <w:tab w:pos="477" w:val="left" w:leader="none"/>
                              </w:tabs>
                              <w:spacing w:before="0"/>
                              <w:ind w:left="0" w:right="0" w:firstLine="0"/>
                              <w:jc w:val="left"/>
                              <w:rPr>
                                <w:rFonts w:ascii="Trebuchet MS"/>
                                <w:sz w:val="18"/>
                              </w:rPr>
                            </w:pPr>
                            <w:r>
                              <w:rPr>
                                <w:rFonts w:ascii="Trebuchet MS"/>
                                <w:spacing w:val="-10"/>
                                <w:sz w:val="20"/>
                              </w:rPr>
                              <w:t>8</w:t>
                            </w:r>
                            <w:r>
                              <w:rPr>
                                <w:rFonts w:ascii="Trebuchet MS"/>
                                <w:sz w:val="20"/>
                              </w:rPr>
                              <w:tab/>
                            </w: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29.66367pt;margin-top:810.844299pt;width:153.7pt;height:11.65pt;mso-position-horizontal-relative:page;mso-position-vertical-relative:page;z-index:-24005120" type="#_x0000_t202" id="docshape36" filled="false" stroked="false">
                <v:textbox inset="0,0,0,0">
                  <w:txbxContent>
                    <w:p>
                      <w:pPr>
                        <w:tabs>
                          <w:tab w:pos="477" w:val="left" w:leader="none"/>
                        </w:tabs>
                        <w:spacing w:before="0"/>
                        <w:ind w:left="0" w:right="0" w:firstLine="0"/>
                        <w:jc w:val="left"/>
                        <w:rPr>
                          <w:rFonts w:ascii="Trebuchet MS"/>
                          <w:sz w:val="18"/>
                        </w:rPr>
                      </w:pPr>
                      <w:r>
                        <w:rPr>
                          <w:rFonts w:ascii="Trebuchet MS"/>
                          <w:spacing w:val="-10"/>
                          <w:sz w:val="20"/>
                        </w:rPr>
                        <w:t>8</w:t>
                      </w:r>
                      <w:r>
                        <w:rPr>
                          <w:rFonts w:ascii="Trebuchet MS"/>
                          <w:sz w:val="20"/>
                        </w:rPr>
                        <w:tab/>
                      </w: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r>
        <w:rPr/>
        <mc:AlternateContent>
          <mc:Choice Requires="wps">
            <w:drawing>
              <wp:anchor distT="0" distB="0" distL="0" distR="0" allowOverlap="1" layoutInCell="1" locked="0" behindDoc="1" simplePos="0" relativeHeight="479311872">
                <wp:simplePos x="0" y="0"/>
                <wp:positionH relativeFrom="page">
                  <wp:posOffset>0</wp:posOffset>
                </wp:positionH>
                <wp:positionV relativeFrom="page">
                  <wp:posOffset>38</wp:posOffset>
                </wp:positionV>
                <wp:extent cx="7560309" cy="1069213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560309" cy="10692130"/>
                          <a:chExt cx="7560309" cy="10692130"/>
                        </a:xfrm>
                      </wpg:grpSpPr>
                      <pic:pic>
                        <pic:nvPicPr>
                          <pic:cNvPr id="41" name="Image 41"/>
                          <pic:cNvPicPr/>
                        </pic:nvPicPr>
                        <pic:blipFill>
                          <a:blip r:embed="rId17" cstate="print"/>
                          <a:stretch>
                            <a:fillRect/>
                          </a:stretch>
                        </pic:blipFill>
                        <pic:spPr>
                          <a:xfrm>
                            <a:off x="162877" y="10136123"/>
                            <a:ext cx="504863" cy="266946"/>
                          </a:xfrm>
                          <a:prstGeom prst="rect">
                            <a:avLst/>
                          </a:prstGeom>
                        </pic:spPr>
                      </pic:pic>
                      <pic:pic>
                        <pic:nvPicPr>
                          <pic:cNvPr id="42" name="Image 42"/>
                          <pic:cNvPicPr/>
                        </pic:nvPicPr>
                        <pic:blipFill>
                          <a:blip r:embed="rId18" cstate="print"/>
                          <a:stretch>
                            <a:fillRect/>
                          </a:stretch>
                        </pic:blipFill>
                        <pic:spPr>
                          <a:xfrm>
                            <a:off x="162877" y="10402598"/>
                            <a:ext cx="504863" cy="266962"/>
                          </a:xfrm>
                          <a:prstGeom prst="rect">
                            <a:avLst/>
                          </a:prstGeom>
                        </pic:spPr>
                      </pic:pic>
                      <pic:pic>
                        <pic:nvPicPr>
                          <pic:cNvPr id="43" name="Image 43"/>
                          <pic:cNvPicPr/>
                        </pic:nvPicPr>
                        <pic:blipFill>
                          <a:blip r:embed="rId19" cstate="print"/>
                          <a:stretch>
                            <a:fillRect/>
                          </a:stretch>
                        </pic:blipFill>
                        <pic:spPr>
                          <a:xfrm>
                            <a:off x="0" y="0"/>
                            <a:ext cx="7559999" cy="10691964"/>
                          </a:xfrm>
                          <a:prstGeom prst="rect">
                            <a:avLst/>
                          </a:prstGeom>
                        </pic:spPr>
                      </pic:pic>
                      <wps:wsp>
                        <wps:cNvPr id="44" name="Graphic 44"/>
                        <wps:cNvSpPr/>
                        <wps:spPr>
                          <a:xfrm>
                            <a:off x="607200" y="1049156"/>
                            <a:ext cx="6325235" cy="824865"/>
                          </a:xfrm>
                          <a:custGeom>
                            <a:avLst/>
                            <a:gdLst/>
                            <a:ahLst/>
                            <a:cxnLst/>
                            <a:rect l="l" t="t" r="r" b="b"/>
                            <a:pathLst>
                              <a:path w="6325235" h="824865">
                                <a:moveTo>
                                  <a:pt x="6324712" y="0"/>
                                </a:moveTo>
                                <a:lnTo>
                                  <a:pt x="0" y="0"/>
                                </a:lnTo>
                                <a:lnTo>
                                  <a:pt x="0" y="824616"/>
                                </a:lnTo>
                                <a:lnTo>
                                  <a:pt x="6324712" y="824616"/>
                                </a:lnTo>
                                <a:lnTo>
                                  <a:pt x="6324712" y="0"/>
                                </a:lnTo>
                                <a:close/>
                              </a:path>
                            </a:pathLst>
                          </a:custGeom>
                          <a:solidFill>
                            <a:srgbClr val="ECD56A"/>
                          </a:solidFill>
                        </wps:spPr>
                        <wps:bodyPr wrap="square" lIns="0" tIns="0" rIns="0" bIns="0" rtlCol="0">
                          <a:prstTxWarp prst="textNoShape">
                            <a:avLst/>
                          </a:prstTxWarp>
                          <a:noAutofit/>
                        </wps:bodyPr>
                      </wps:wsp>
                      <wps:wsp>
                        <wps:cNvPr id="45" name="Graphic 45"/>
                        <wps:cNvSpPr/>
                        <wps:spPr>
                          <a:xfrm>
                            <a:off x="607455" y="1873772"/>
                            <a:ext cx="6325235" cy="3652520"/>
                          </a:xfrm>
                          <a:custGeom>
                            <a:avLst/>
                            <a:gdLst/>
                            <a:ahLst/>
                            <a:cxnLst/>
                            <a:rect l="l" t="t" r="r" b="b"/>
                            <a:pathLst>
                              <a:path w="6325235" h="3652520">
                                <a:moveTo>
                                  <a:pt x="6324703" y="0"/>
                                </a:moveTo>
                                <a:lnTo>
                                  <a:pt x="0" y="0"/>
                                </a:lnTo>
                                <a:lnTo>
                                  <a:pt x="0" y="3652133"/>
                                </a:lnTo>
                                <a:lnTo>
                                  <a:pt x="6324703" y="3652133"/>
                                </a:lnTo>
                                <a:lnTo>
                                  <a:pt x="6324703" y="0"/>
                                </a:lnTo>
                                <a:close/>
                              </a:path>
                            </a:pathLst>
                          </a:custGeom>
                          <a:solidFill>
                            <a:srgbClr val="F9F4B8"/>
                          </a:solidFill>
                        </wps:spPr>
                        <wps:bodyPr wrap="square" lIns="0" tIns="0" rIns="0" bIns="0" rtlCol="0">
                          <a:prstTxWarp prst="textNoShape">
                            <a:avLst/>
                          </a:prstTxWarp>
                          <a:noAutofit/>
                        </wps:bodyPr>
                      </wps:wsp>
                    </wpg:wgp>
                  </a:graphicData>
                </a:graphic>
              </wp:anchor>
            </w:drawing>
          </mc:Choice>
          <mc:Fallback>
            <w:pict>
              <v:group style="position:absolute;margin-left:0pt;margin-top:.003055pt;width:595.3pt;height:841.9pt;mso-position-horizontal-relative:page;mso-position-vertical-relative:page;z-index:-24004608" id="docshapegroup37" coordorigin="0,0" coordsize="11906,16838">
                <v:shape style="position:absolute;left:256;top:15962;width:796;height:421" type="#_x0000_t75" id="docshape38" stroked="false">
                  <v:imagedata r:id="rId17" o:title=""/>
                </v:shape>
                <v:shape style="position:absolute;left:256;top:16382;width:796;height:421" type="#_x0000_t75" id="docshape39" stroked="false">
                  <v:imagedata r:id="rId18" o:title=""/>
                </v:shape>
                <v:shape style="position:absolute;left:0;top:0;width:11906;height:16838" type="#_x0000_t75" id="docshape40" stroked="false">
                  <v:imagedata r:id="rId19" o:title=""/>
                </v:shape>
                <v:rect style="position:absolute;left:956;top:1652;width:9961;height:1299" id="docshape41" filled="true" fillcolor="#ecd56a" stroked="false">
                  <v:fill type="solid"/>
                </v:rect>
                <v:rect style="position:absolute;left:956;top:2950;width:9961;height:5752" id="docshape42" filled="true" fillcolor="#f9f4b8" stroked="false">
                  <v:fill type="solid"/>
                </v:rect>
                <w10:wrap type="none"/>
              </v:group>
            </w:pict>
          </mc:Fallback>
        </mc:AlternateContent>
      </w:r>
      <w:r>
        <w:rPr>
          <w:color w:val="E3C626"/>
        </w:rPr>
        <w:t>Working</w:t>
      </w:r>
      <w:r>
        <w:rPr>
          <w:color w:val="E3C626"/>
          <w:spacing w:val="-10"/>
        </w:rPr>
        <w:t> </w:t>
      </w:r>
      <w:r>
        <w:rPr>
          <w:color w:val="E3C626"/>
          <w:spacing w:val="-2"/>
        </w:rPr>
        <w:t>Groups</w:t>
      </w:r>
    </w:p>
    <w:p>
      <w:pPr>
        <w:pStyle w:val="BodyText"/>
        <w:spacing w:line="266" w:lineRule="auto" w:before="228"/>
        <w:ind w:left="960"/>
        <w:jc w:val="both"/>
      </w:pPr>
      <w:r>
        <w:rPr>
          <w:color w:val="FFFFFF"/>
        </w:rPr>
        <w:t>Libraries, Language, Knowledge Applications </w:t>
      </w:r>
      <w:r>
        <w:rPr>
          <w:color w:val="FFFFFF"/>
        </w:rPr>
        <w:t>in Agriculture, Health Information Network, Higher Education, Medical Education, Legal Education, Management Education, Engineering Education, Traditional</w:t>
      </w:r>
      <w:r>
        <w:rPr>
          <w:color w:val="FFFFFF"/>
          <w:spacing w:val="-2"/>
        </w:rPr>
        <w:t> </w:t>
      </w:r>
      <w:r>
        <w:rPr>
          <w:color w:val="FFFFFF"/>
        </w:rPr>
        <w:t>Health</w:t>
      </w:r>
      <w:r>
        <w:rPr>
          <w:color w:val="FFFFFF"/>
          <w:spacing w:val="-2"/>
        </w:rPr>
        <w:t> </w:t>
      </w:r>
      <w:r>
        <w:rPr>
          <w:color w:val="FFFFFF"/>
        </w:rPr>
        <w:t>Systems,</w:t>
      </w:r>
      <w:r>
        <w:rPr>
          <w:color w:val="FFFFFF"/>
          <w:spacing w:val="-2"/>
        </w:rPr>
        <w:t> </w:t>
      </w:r>
      <w:r>
        <w:rPr>
          <w:color w:val="FFFFFF"/>
        </w:rPr>
        <w:t>More</w:t>
      </w:r>
      <w:r>
        <w:rPr>
          <w:color w:val="FFFFFF"/>
          <w:spacing w:val="-2"/>
        </w:rPr>
        <w:t> </w:t>
      </w:r>
      <w:r>
        <w:rPr>
          <w:color w:val="FFFFFF"/>
        </w:rPr>
        <w:t>Students</w:t>
      </w:r>
      <w:r>
        <w:rPr>
          <w:color w:val="FFFFFF"/>
          <w:spacing w:val="-2"/>
        </w:rPr>
        <w:t> </w:t>
      </w:r>
      <w:r>
        <w:rPr>
          <w:color w:val="FFFFFF"/>
        </w:rPr>
        <w:t>in</w:t>
      </w:r>
      <w:r>
        <w:rPr>
          <w:color w:val="FFFFFF"/>
          <w:spacing w:val="-2"/>
        </w:rPr>
        <w:t> </w:t>
      </w:r>
      <w:r>
        <w:rPr>
          <w:color w:val="FFFFFF"/>
        </w:rPr>
        <w:t>Maths and Science, Open and Distance Education, Using Knowledge for Enhancing Quality of Life</w:t>
      </w:r>
    </w:p>
    <w:p>
      <w:pPr>
        <w:pStyle w:val="BodyText"/>
        <w:spacing w:before="97"/>
      </w:pPr>
    </w:p>
    <w:p>
      <w:pPr>
        <w:pStyle w:val="Heading4"/>
        <w:spacing w:before="0"/>
      </w:pPr>
      <w:r>
        <w:rPr>
          <w:color w:val="E3C626"/>
          <w:spacing w:val="-2"/>
        </w:rPr>
        <w:t>Surveys</w:t>
      </w:r>
    </w:p>
    <w:p>
      <w:pPr>
        <w:pStyle w:val="BodyText"/>
        <w:spacing w:line="266" w:lineRule="auto" w:before="228"/>
        <w:ind w:left="960" w:right="303"/>
        <w:jc w:val="both"/>
      </w:pPr>
      <w:r>
        <w:rPr>
          <w:color w:val="FFFFFF"/>
        </w:rPr>
        <w:t>Innovation, Health Information </w:t>
      </w:r>
      <w:r>
        <w:rPr>
          <w:color w:val="FFFFFF"/>
        </w:rPr>
        <w:t>Network, Traditional Health Systems, Entrepreneurship, More Quality Ph.Ds</w:t>
      </w:r>
    </w:p>
    <w:p>
      <w:pPr>
        <w:pStyle w:val="Heading4"/>
        <w:ind w:left="0" w:right="192"/>
        <w:jc w:val="center"/>
      </w:pPr>
      <w:r>
        <w:rPr>
          <w:b w:val="0"/>
        </w:rPr>
        <w:br w:type="column"/>
      </w:r>
      <w:r>
        <w:rPr>
          <w:color w:val="E3C626"/>
          <w:spacing w:val="-2"/>
        </w:rPr>
        <w:t>Workshops/Seminars</w:t>
      </w:r>
    </w:p>
    <w:p>
      <w:pPr>
        <w:pStyle w:val="BodyText"/>
        <w:spacing w:line="266" w:lineRule="auto" w:before="228"/>
        <w:ind w:left="558" w:right="904"/>
        <w:jc w:val="both"/>
      </w:pPr>
      <w:r>
        <w:rPr>
          <w:color w:val="FFFFFF"/>
        </w:rPr>
        <w:t>Literacy, Translation, Networks, School </w:t>
      </w:r>
      <w:r>
        <w:rPr>
          <w:color w:val="FFFFFF"/>
        </w:rPr>
        <w:t>Education, Muslim Education, Vocational Education, Open and Distance Education, Intellectual Property Rights, Science</w:t>
      </w:r>
      <w:r>
        <w:rPr>
          <w:color w:val="FFFFFF"/>
          <w:spacing w:val="-14"/>
        </w:rPr>
        <w:t> </w:t>
      </w:r>
      <w:r>
        <w:rPr>
          <w:color w:val="FFFFFF"/>
        </w:rPr>
        <w:t>and</w:t>
      </w:r>
      <w:r>
        <w:rPr>
          <w:color w:val="FFFFFF"/>
          <w:spacing w:val="-14"/>
        </w:rPr>
        <w:t> </w:t>
      </w:r>
      <w:r>
        <w:rPr>
          <w:color w:val="FFFFFF"/>
        </w:rPr>
        <w:t>Technology,</w:t>
      </w:r>
      <w:r>
        <w:rPr>
          <w:color w:val="FFFFFF"/>
          <w:spacing w:val="-14"/>
        </w:rPr>
        <w:t> </w:t>
      </w:r>
      <w:r>
        <w:rPr>
          <w:color w:val="FFFFFF"/>
        </w:rPr>
        <w:t>Agriculture,</w:t>
      </w:r>
      <w:r>
        <w:rPr>
          <w:color w:val="FFFFFF"/>
          <w:spacing w:val="-13"/>
        </w:rPr>
        <w:t> </w:t>
      </w:r>
      <w:r>
        <w:rPr>
          <w:color w:val="FFFFFF"/>
        </w:rPr>
        <w:t>Open</w:t>
      </w:r>
      <w:r>
        <w:rPr>
          <w:color w:val="FFFFFF"/>
          <w:spacing w:val="-14"/>
        </w:rPr>
        <w:t> </w:t>
      </w:r>
      <w:r>
        <w:rPr>
          <w:color w:val="FFFFFF"/>
        </w:rPr>
        <w:t>Education </w:t>
      </w:r>
      <w:r>
        <w:rPr>
          <w:color w:val="FFFFFF"/>
          <w:spacing w:val="-4"/>
        </w:rPr>
        <w:t>Resources,</w:t>
      </w:r>
      <w:r>
        <w:rPr>
          <w:color w:val="FFFFFF"/>
          <w:spacing w:val="-6"/>
        </w:rPr>
        <w:t> </w:t>
      </w:r>
      <w:r>
        <w:rPr>
          <w:color w:val="FFFFFF"/>
          <w:spacing w:val="-4"/>
        </w:rPr>
        <w:t>Portals,</w:t>
      </w:r>
      <w:r>
        <w:rPr>
          <w:color w:val="FFFFFF"/>
          <w:spacing w:val="-6"/>
        </w:rPr>
        <w:t> </w:t>
      </w:r>
      <w:r>
        <w:rPr>
          <w:color w:val="FFFFFF"/>
          <w:spacing w:val="-4"/>
        </w:rPr>
        <w:t>Quality</w:t>
      </w:r>
      <w:r>
        <w:rPr>
          <w:color w:val="FFFFFF"/>
          <w:spacing w:val="-5"/>
        </w:rPr>
        <w:t> </w:t>
      </w:r>
      <w:r>
        <w:rPr>
          <w:color w:val="FFFFFF"/>
          <w:spacing w:val="-4"/>
        </w:rPr>
        <w:t>of</w:t>
      </w:r>
      <w:r>
        <w:rPr>
          <w:color w:val="FFFFFF"/>
          <w:spacing w:val="-6"/>
        </w:rPr>
        <w:t> </w:t>
      </w:r>
      <w:r>
        <w:rPr>
          <w:color w:val="FFFFFF"/>
          <w:spacing w:val="-4"/>
        </w:rPr>
        <w:t>Life,</w:t>
      </w:r>
      <w:r>
        <w:rPr>
          <w:color w:val="FFFFFF"/>
          <w:spacing w:val="-6"/>
        </w:rPr>
        <w:t> </w:t>
      </w:r>
      <w:r>
        <w:rPr>
          <w:color w:val="FFFFFF"/>
          <w:spacing w:val="-4"/>
        </w:rPr>
        <w:t>More</w:t>
      </w:r>
      <w:r>
        <w:rPr>
          <w:color w:val="FFFFFF"/>
          <w:spacing w:val="-5"/>
        </w:rPr>
        <w:t> </w:t>
      </w:r>
      <w:r>
        <w:rPr>
          <w:color w:val="FFFFFF"/>
          <w:spacing w:val="-4"/>
        </w:rPr>
        <w:t>Quality</w:t>
      </w:r>
      <w:r>
        <w:rPr>
          <w:color w:val="FFFFFF"/>
          <w:spacing w:val="-6"/>
        </w:rPr>
        <w:t> </w:t>
      </w:r>
      <w:r>
        <w:rPr>
          <w:color w:val="FFFFFF"/>
          <w:spacing w:val="-4"/>
        </w:rPr>
        <w:t>Ph.Ds</w:t>
      </w:r>
    </w:p>
    <w:p>
      <w:pPr>
        <w:spacing w:after="0" w:line="266" w:lineRule="auto"/>
        <w:jc w:val="both"/>
        <w:sectPr>
          <w:type w:val="continuous"/>
          <w:pgSz w:w="11910" w:h="16840"/>
          <w:pgMar w:header="0" w:footer="0" w:top="1920" w:bottom="280" w:left="0" w:right="0"/>
          <w:cols w:num="2" w:equalWidth="0">
            <w:col w:w="5629" w:space="40"/>
            <w:col w:w="624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9"/>
        <w:rPr>
          <w:sz w:val="20"/>
        </w:rPr>
      </w:pPr>
    </w:p>
    <w:p>
      <w:pPr>
        <w:spacing w:after="0"/>
        <w:rPr>
          <w:sz w:val="20"/>
        </w:rPr>
        <w:sectPr>
          <w:footerReference w:type="default" r:id="rId20"/>
          <w:pgSz w:w="11910" w:h="16840"/>
          <w:pgMar w:header="0" w:footer="675" w:top="0" w:bottom="860" w:left="0" w:right="0"/>
          <w:pgNumType w:start="9"/>
        </w:sectPr>
      </w:pPr>
    </w:p>
    <w:p>
      <w:pPr>
        <w:pStyle w:val="BodyText"/>
        <w:spacing w:line="266" w:lineRule="auto" w:before="82"/>
        <w:ind w:left="1782"/>
        <w:jc w:val="both"/>
      </w:pPr>
      <w:r>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ragraph">
                  <wp:posOffset>-2232943</wp:posOffset>
                </wp:positionV>
                <wp:extent cx="7560309" cy="175260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560309" cy="1752600"/>
                          <a:chExt cx="7560309" cy="1752600"/>
                        </a:xfrm>
                      </wpg:grpSpPr>
                      <pic:pic>
                        <pic:nvPicPr>
                          <pic:cNvPr id="51" name="Image 51"/>
                          <pic:cNvPicPr/>
                        </pic:nvPicPr>
                        <pic:blipFill>
                          <a:blip r:embed="rId21" cstate="print"/>
                          <a:stretch>
                            <a:fillRect/>
                          </a:stretch>
                        </pic:blipFill>
                        <pic:spPr>
                          <a:xfrm>
                            <a:off x="0" y="0"/>
                            <a:ext cx="7559999" cy="1752562"/>
                          </a:xfrm>
                          <a:prstGeom prst="rect">
                            <a:avLst/>
                          </a:prstGeom>
                        </pic:spPr>
                      </pic:pic>
                      <wps:wsp>
                        <wps:cNvPr id="52" name="Textbox 52"/>
                        <wps:cNvSpPr txBox="1"/>
                        <wps:spPr>
                          <a:xfrm>
                            <a:off x="0" y="0"/>
                            <a:ext cx="7560309" cy="1752600"/>
                          </a:xfrm>
                          <a:prstGeom prst="rect">
                            <a:avLst/>
                          </a:prstGeom>
                        </wps:spPr>
                        <wps:txbx>
                          <w:txbxContent>
                            <w:p>
                              <w:pPr>
                                <w:spacing w:line="240" w:lineRule="auto" w:before="201"/>
                                <w:rPr>
                                  <w:sz w:val="68"/>
                                </w:rPr>
                              </w:pPr>
                            </w:p>
                            <w:p>
                              <w:pPr>
                                <w:spacing w:before="1"/>
                                <w:ind w:left="1080" w:right="0" w:firstLine="0"/>
                                <w:jc w:val="left"/>
                                <w:rPr>
                                  <w:rFonts w:ascii="Trebuchet MS"/>
                                  <w:b/>
                                  <w:sz w:val="68"/>
                                </w:rPr>
                              </w:pPr>
                              <w:r>
                                <w:rPr>
                                  <w:rFonts w:ascii="Trebuchet MS"/>
                                  <w:b/>
                                  <w:color w:val="FFFFFF"/>
                                  <w:spacing w:val="-2"/>
                                  <w:sz w:val="68"/>
                                </w:rPr>
                                <w:t>Methodology</w:t>
                              </w:r>
                            </w:p>
                          </w:txbxContent>
                        </wps:txbx>
                        <wps:bodyPr wrap="square" lIns="0" tIns="0" rIns="0" bIns="0" rtlCol="0">
                          <a:noAutofit/>
                        </wps:bodyPr>
                      </wps:wsp>
                    </wpg:wgp>
                  </a:graphicData>
                </a:graphic>
              </wp:anchor>
            </w:drawing>
          </mc:Choice>
          <mc:Fallback>
            <w:pict>
              <v:group style="position:absolute;margin-left:0pt;margin-top:-175.822311pt;width:595.3pt;height:138pt;mso-position-horizontal-relative:page;mso-position-vertical-relative:paragraph;z-index:15735808" id="docshapegroup47" coordorigin="0,-3516" coordsize="11906,2760">
                <v:shape style="position:absolute;left:0;top:-3517;width:11906;height:2760" type="#_x0000_t75" id="docshape48" stroked="false">
                  <v:imagedata r:id="rId21" o:title=""/>
                </v:shape>
                <v:shape style="position:absolute;left:0;top:-3517;width:11906;height:2760" type="#_x0000_t202" id="docshape49" filled="false" stroked="false">
                  <v:textbox inset="0,0,0,0">
                    <w:txbxContent>
                      <w:p>
                        <w:pPr>
                          <w:spacing w:line="240" w:lineRule="auto" w:before="201"/>
                          <w:rPr>
                            <w:sz w:val="68"/>
                          </w:rPr>
                        </w:pPr>
                      </w:p>
                      <w:p>
                        <w:pPr>
                          <w:spacing w:before="1"/>
                          <w:ind w:left="1080" w:right="0" w:firstLine="0"/>
                          <w:jc w:val="left"/>
                          <w:rPr>
                            <w:rFonts w:ascii="Trebuchet MS"/>
                            <w:b/>
                            <w:sz w:val="68"/>
                          </w:rPr>
                        </w:pPr>
                        <w:r>
                          <w:rPr>
                            <w:rFonts w:ascii="Trebuchet MS"/>
                            <w:b/>
                            <w:color w:val="FFFFFF"/>
                            <w:spacing w:val="-2"/>
                            <w:sz w:val="68"/>
                          </w:rPr>
                          <w:t>Methodology</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12896">
                <wp:simplePos x="0" y="0"/>
                <wp:positionH relativeFrom="page">
                  <wp:posOffset>685800</wp:posOffset>
                </wp:positionH>
                <wp:positionV relativeFrom="paragraph">
                  <wp:posOffset>-36738</wp:posOffset>
                </wp:positionV>
                <wp:extent cx="446405" cy="75755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4pt;margin-top:-2.89279pt;width:35.15pt;height:59.65pt;mso-position-horizontal-relative:page;mso-position-vertical-relative:paragraph;z-index:-24003584" type="#_x0000_t202" id="docshape50"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methodology followed by the </w:t>
      </w:r>
      <w:r>
        <w:rPr/>
        <w:t>National </w:t>
      </w:r>
      <w:r>
        <w:rPr>
          <w:spacing w:val="-6"/>
        </w:rPr>
        <w:t>Knowledge Commission involves identification </w:t>
      </w:r>
      <w:r>
        <w:rPr>
          <w:w w:val="90"/>
        </w:rPr>
        <w:t>of</w:t>
      </w:r>
      <w:r>
        <w:rPr>
          <w:spacing w:val="5"/>
        </w:rPr>
        <w:t> </w:t>
      </w:r>
      <w:r>
        <w:rPr>
          <w:w w:val="90"/>
        </w:rPr>
        <w:t>focus</w:t>
      </w:r>
      <w:r>
        <w:rPr>
          <w:spacing w:val="6"/>
        </w:rPr>
        <w:t> </w:t>
      </w:r>
      <w:r>
        <w:rPr>
          <w:w w:val="90"/>
        </w:rPr>
        <w:t>areas</w:t>
      </w:r>
      <w:r>
        <w:rPr>
          <w:spacing w:val="5"/>
        </w:rPr>
        <w:t> </w:t>
      </w:r>
      <w:r>
        <w:rPr>
          <w:w w:val="90"/>
        </w:rPr>
        <w:t>in</w:t>
      </w:r>
      <w:r>
        <w:rPr>
          <w:spacing w:val="6"/>
        </w:rPr>
        <w:t> </w:t>
      </w:r>
      <w:r>
        <w:rPr>
          <w:w w:val="90"/>
        </w:rPr>
        <w:t>the</w:t>
      </w:r>
      <w:r>
        <w:rPr>
          <w:spacing w:val="5"/>
        </w:rPr>
        <w:t> </w:t>
      </w:r>
      <w:r>
        <w:rPr>
          <w:w w:val="90"/>
        </w:rPr>
        <w:t>first</w:t>
      </w:r>
      <w:r>
        <w:rPr>
          <w:spacing w:val="6"/>
        </w:rPr>
        <w:t> </w:t>
      </w:r>
      <w:r>
        <w:rPr>
          <w:w w:val="90"/>
        </w:rPr>
        <w:t>instance.</w:t>
      </w:r>
      <w:r>
        <w:rPr>
          <w:spacing w:val="-3"/>
          <w:w w:val="90"/>
        </w:rPr>
        <w:t> </w:t>
      </w:r>
      <w:r>
        <w:rPr>
          <w:w w:val="90"/>
        </w:rPr>
        <w:t>This</w:t>
      </w:r>
      <w:r>
        <w:rPr>
          <w:spacing w:val="5"/>
        </w:rPr>
        <w:t> </w:t>
      </w:r>
      <w:r>
        <w:rPr>
          <w:spacing w:val="-2"/>
          <w:w w:val="90"/>
        </w:rPr>
        <w:t>selection</w:t>
      </w:r>
    </w:p>
    <w:p>
      <w:pPr>
        <w:pStyle w:val="BodyText"/>
        <w:spacing w:line="266" w:lineRule="auto"/>
        <w:ind w:left="1080"/>
        <w:jc w:val="both"/>
      </w:pPr>
      <w:r>
        <w:rPr/>
        <w:t>arises</w:t>
      </w:r>
      <w:r>
        <w:rPr>
          <w:spacing w:val="-1"/>
        </w:rPr>
        <w:t> </w:t>
      </w:r>
      <w:r>
        <w:rPr/>
        <w:t>from</w:t>
      </w:r>
      <w:r>
        <w:rPr>
          <w:spacing w:val="-1"/>
        </w:rPr>
        <w:t> </w:t>
      </w:r>
      <w:r>
        <w:rPr/>
        <w:t>wide</w:t>
      </w:r>
      <w:r>
        <w:rPr>
          <w:spacing w:val="-1"/>
        </w:rPr>
        <w:t> </w:t>
      </w:r>
      <w:r>
        <w:rPr/>
        <w:t>consultation,</w:t>
      </w:r>
      <w:r>
        <w:rPr>
          <w:spacing w:val="-1"/>
        </w:rPr>
        <w:t> </w:t>
      </w:r>
      <w:r>
        <w:rPr/>
        <w:t>within</w:t>
      </w:r>
      <w:r>
        <w:rPr>
          <w:spacing w:val="-1"/>
        </w:rPr>
        <w:t> </w:t>
      </w:r>
      <w:r>
        <w:rPr/>
        <w:t>and</w:t>
      </w:r>
      <w:r>
        <w:rPr>
          <w:spacing w:val="-1"/>
        </w:rPr>
        <w:t> </w:t>
      </w:r>
      <w:r>
        <w:rPr/>
        <w:t>outside</w:t>
      </w:r>
      <w:r>
        <w:rPr>
          <w:spacing w:val="-1"/>
        </w:rPr>
        <w:t> </w:t>
      </w:r>
      <w:r>
        <w:rPr/>
        <w:t>the government. After the identification of focus areas, Working Groups of specialists and practitioners are constituted.</w:t>
      </w:r>
      <w:r>
        <w:rPr>
          <w:spacing w:val="-7"/>
        </w:rPr>
        <w:t> </w:t>
      </w:r>
      <w:r>
        <w:rPr/>
        <w:t>Working</w:t>
      </w:r>
      <w:r>
        <w:rPr>
          <w:spacing w:val="-6"/>
        </w:rPr>
        <w:t> </w:t>
      </w:r>
      <w:r>
        <w:rPr/>
        <w:t>Groups</w:t>
      </w:r>
      <w:r>
        <w:rPr>
          <w:spacing w:val="-6"/>
        </w:rPr>
        <w:t> </w:t>
      </w:r>
      <w:r>
        <w:rPr/>
        <w:t>typically</w:t>
      </w:r>
      <w:r>
        <w:rPr>
          <w:spacing w:val="-6"/>
        </w:rPr>
        <w:t> </w:t>
      </w:r>
      <w:r>
        <w:rPr/>
        <w:t>consist</w:t>
      </w:r>
      <w:r>
        <w:rPr>
          <w:spacing w:val="-6"/>
        </w:rPr>
        <w:t> </w:t>
      </w:r>
      <w:r>
        <w:rPr/>
        <w:t>of</w:t>
      </w:r>
      <w:r>
        <w:rPr>
          <w:spacing w:val="-6"/>
        </w:rPr>
        <w:t> </w:t>
      </w:r>
      <w:r>
        <w:rPr/>
        <w:t>five to</w:t>
      </w:r>
      <w:r>
        <w:rPr>
          <w:spacing w:val="-14"/>
        </w:rPr>
        <w:t> </w:t>
      </w:r>
      <w:r>
        <w:rPr/>
        <w:t>ten</w:t>
      </w:r>
      <w:r>
        <w:rPr>
          <w:spacing w:val="-14"/>
        </w:rPr>
        <w:t> </w:t>
      </w:r>
      <w:r>
        <w:rPr/>
        <w:t>experts,</w:t>
      </w:r>
      <w:r>
        <w:rPr>
          <w:spacing w:val="-14"/>
        </w:rPr>
        <w:t> </w:t>
      </w:r>
      <w:r>
        <w:rPr/>
        <w:t>and</w:t>
      </w:r>
      <w:r>
        <w:rPr>
          <w:spacing w:val="-13"/>
        </w:rPr>
        <w:t> </w:t>
      </w:r>
      <w:r>
        <w:rPr/>
        <w:t>meet</w:t>
      </w:r>
      <w:r>
        <w:rPr>
          <w:spacing w:val="-14"/>
        </w:rPr>
        <w:t> </w:t>
      </w:r>
      <w:r>
        <w:rPr/>
        <w:t>periodically</w:t>
      </w:r>
      <w:r>
        <w:rPr>
          <w:spacing w:val="-14"/>
        </w:rPr>
        <w:t> </w:t>
      </w:r>
      <w:r>
        <w:rPr/>
        <w:t>over</w:t>
      </w:r>
      <w:r>
        <w:rPr>
          <w:spacing w:val="-14"/>
        </w:rPr>
        <w:t> </w:t>
      </w:r>
      <w:r>
        <w:rPr/>
        <w:t>three</w:t>
      </w:r>
      <w:r>
        <w:rPr>
          <w:spacing w:val="-13"/>
        </w:rPr>
        <w:t> </w:t>
      </w:r>
      <w:r>
        <w:rPr/>
        <w:t>to</w:t>
      </w:r>
      <w:r>
        <w:rPr>
          <w:spacing w:val="-14"/>
        </w:rPr>
        <w:t> </w:t>
      </w:r>
      <w:r>
        <w:rPr/>
        <w:t>four months in order to prepare a report. Working Group reports</w:t>
      </w:r>
      <w:r>
        <w:rPr>
          <w:spacing w:val="-2"/>
        </w:rPr>
        <w:t> </w:t>
      </w:r>
      <w:r>
        <w:rPr/>
        <w:t>are</w:t>
      </w:r>
      <w:r>
        <w:rPr>
          <w:spacing w:val="-2"/>
        </w:rPr>
        <w:t> </w:t>
      </w:r>
      <w:r>
        <w:rPr/>
        <w:t>one</w:t>
      </w:r>
      <w:r>
        <w:rPr>
          <w:spacing w:val="-2"/>
        </w:rPr>
        <w:t> </w:t>
      </w:r>
      <w:r>
        <w:rPr/>
        <w:t>of</w:t>
      </w:r>
      <w:r>
        <w:rPr>
          <w:spacing w:val="-2"/>
        </w:rPr>
        <w:t> </w:t>
      </w:r>
      <w:r>
        <w:rPr/>
        <w:t>the</w:t>
      </w:r>
      <w:r>
        <w:rPr>
          <w:spacing w:val="-2"/>
        </w:rPr>
        <w:t> </w:t>
      </w:r>
      <w:r>
        <w:rPr/>
        <w:t>inputs</w:t>
      </w:r>
      <w:r>
        <w:rPr>
          <w:spacing w:val="-2"/>
        </w:rPr>
        <w:t> </w:t>
      </w:r>
      <w:r>
        <w:rPr/>
        <w:t>used</w:t>
      </w:r>
      <w:r>
        <w:rPr>
          <w:spacing w:val="-2"/>
        </w:rPr>
        <w:t> </w:t>
      </w:r>
      <w:r>
        <w:rPr/>
        <w:t>by</w:t>
      </w:r>
      <w:r>
        <w:rPr>
          <w:spacing w:val="-2"/>
        </w:rPr>
        <w:t> </w:t>
      </w:r>
      <w:r>
        <w:rPr/>
        <w:t>the</w:t>
      </w:r>
      <w:r>
        <w:rPr>
          <w:spacing w:val="-2"/>
        </w:rPr>
        <w:t> </w:t>
      </w:r>
      <w:r>
        <w:rPr/>
        <w:t>NKC</w:t>
      </w:r>
      <w:r>
        <w:rPr>
          <w:spacing w:val="-2"/>
        </w:rPr>
        <w:t> </w:t>
      </w:r>
      <w:r>
        <w:rPr/>
        <w:t>during </w:t>
      </w:r>
      <w:r>
        <w:rPr>
          <w:spacing w:val="-4"/>
        </w:rPr>
        <w:t>deliberations</w:t>
      </w:r>
      <w:r>
        <w:rPr>
          <w:spacing w:val="-10"/>
        </w:rPr>
        <w:t> </w:t>
      </w:r>
      <w:r>
        <w:rPr>
          <w:spacing w:val="-4"/>
        </w:rPr>
        <w:t>to</w:t>
      </w:r>
      <w:r>
        <w:rPr>
          <w:spacing w:val="-10"/>
        </w:rPr>
        <w:t> </w:t>
      </w:r>
      <w:r>
        <w:rPr>
          <w:spacing w:val="-4"/>
        </w:rPr>
        <w:t>frame</w:t>
      </w:r>
      <w:r>
        <w:rPr>
          <w:spacing w:val="-10"/>
        </w:rPr>
        <w:t> </w:t>
      </w:r>
      <w:r>
        <w:rPr>
          <w:spacing w:val="-4"/>
        </w:rPr>
        <w:t>its</w:t>
      </w:r>
      <w:r>
        <w:rPr>
          <w:spacing w:val="-9"/>
        </w:rPr>
        <w:t> </w:t>
      </w:r>
      <w:r>
        <w:rPr>
          <w:spacing w:val="-4"/>
        </w:rPr>
        <w:t>recommendations.</w:t>
      </w:r>
      <w:r>
        <w:rPr>
          <w:spacing w:val="-10"/>
        </w:rPr>
        <w:t> </w:t>
      </w:r>
      <w:r>
        <w:rPr>
          <w:spacing w:val="-4"/>
        </w:rPr>
        <w:t>In</w:t>
      </w:r>
      <w:r>
        <w:rPr>
          <w:spacing w:val="-10"/>
        </w:rPr>
        <w:t> </w:t>
      </w:r>
      <w:r>
        <w:rPr>
          <w:spacing w:val="-4"/>
        </w:rPr>
        <w:t>addition, </w:t>
      </w:r>
      <w:r>
        <w:rPr/>
        <w:t>workshops and seminars are held periodically along with informal consultations with concerned experts and</w:t>
      </w:r>
      <w:r>
        <w:rPr>
          <w:spacing w:val="-14"/>
        </w:rPr>
        <w:t> </w:t>
      </w:r>
      <w:r>
        <w:rPr/>
        <w:t>stakeholders</w:t>
      </w:r>
      <w:r>
        <w:rPr>
          <w:spacing w:val="-14"/>
        </w:rPr>
        <w:t> </w:t>
      </w:r>
      <w:r>
        <w:rPr/>
        <w:t>to</w:t>
      </w:r>
      <w:r>
        <w:rPr>
          <w:spacing w:val="-11"/>
        </w:rPr>
        <w:t> </w:t>
      </w:r>
      <w:r>
        <w:rPr/>
        <w:t>get</w:t>
      </w:r>
      <w:r>
        <w:rPr>
          <w:spacing w:val="-13"/>
        </w:rPr>
        <w:t> </w:t>
      </w:r>
      <w:r>
        <w:rPr/>
        <w:t>as</w:t>
      </w:r>
      <w:r>
        <w:rPr>
          <w:spacing w:val="-12"/>
        </w:rPr>
        <w:t> </w:t>
      </w:r>
      <w:r>
        <w:rPr/>
        <w:t>broad-based</w:t>
      </w:r>
      <w:r>
        <w:rPr>
          <w:spacing w:val="-14"/>
        </w:rPr>
        <w:t> </w:t>
      </w:r>
      <w:r>
        <w:rPr/>
        <w:t>a</w:t>
      </w:r>
      <w:r>
        <w:rPr>
          <w:spacing w:val="-14"/>
        </w:rPr>
        <w:t> </w:t>
      </w:r>
      <w:r>
        <w:rPr/>
        <w:t>point</w:t>
      </w:r>
      <w:r>
        <w:rPr>
          <w:spacing w:val="-14"/>
        </w:rPr>
        <w:t> </w:t>
      </w:r>
      <w:r>
        <w:rPr/>
        <w:t>of</w:t>
      </w:r>
      <w:r>
        <w:rPr>
          <w:spacing w:val="-13"/>
        </w:rPr>
        <w:t> </w:t>
      </w:r>
      <w:r>
        <w:rPr/>
        <w:t>view as possible.</w:t>
      </w:r>
    </w:p>
    <w:p>
      <w:pPr>
        <w:pStyle w:val="BodyText"/>
        <w:spacing w:before="15"/>
      </w:pPr>
    </w:p>
    <w:p>
      <w:pPr>
        <w:pStyle w:val="BodyText"/>
        <w:spacing w:line="266" w:lineRule="auto"/>
        <w:ind w:left="1080"/>
        <w:jc w:val="both"/>
      </w:pPr>
      <w:r>
        <w:rPr>
          <w:spacing w:val="-4"/>
        </w:rPr>
        <w:t>Following</w:t>
      </w:r>
      <w:r>
        <w:rPr>
          <w:spacing w:val="-10"/>
        </w:rPr>
        <w:t> </w:t>
      </w:r>
      <w:r>
        <w:rPr>
          <w:spacing w:val="-4"/>
        </w:rPr>
        <w:t>this,</w:t>
      </w:r>
      <w:r>
        <w:rPr>
          <w:spacing w:val="-10"/>
        </w:rPr>
        <w:t> </w:t>
      </w:r>
      <w:r>
        <w:rPr>
          <w:spacing w:val="-4"/>
        </w:rPr>
        <w:t>NKC</w:t>
      </w:r>
      <w:r>
        <w:rPr>
          <w:spacing w:val="-10"/>
        </w:rPr>
        <w:t> </w:t>
      </w:r>
      <w:r>
        <w:rPr>
          <w:spacing w:val="-4"/>
        </w:rPr>
        <w:t>Members</w:t>
      </w:r>
      <w:r>
        <w:rPr>
          <w:spacing w:val="-9"/>
        </w:rPr>
        <w:t> </w:t>
      </w:r>
      <w:r>
        <w:rPr>
          <w:spacing w:val="-4"/>
        </w:rPr>
        <w:t>discuss</w:t>
      </w:r>
      <w:r>
        <w:rPr>
          <w:spacing w:val="-10"/>
        </w:rPr>
        <w:t> </w:t>
      </w:r>
      <w:r>
        <w:rPr>
          <w:spacing w:val="-4"/>
        </w:rPr>
        <w:t>the</w:t>
      </w:r>
      <w:r>
        <w:rPr>
          <w:spacing w:val="-10"/>
        </w:rPr>
        <w:t> </w:t>
      </w:r>
      <w:r>
        <w:rPr>
          <w:spacing w:val="-4"/>
        </w:rPr>
        <w:t>issues</w:t>
      </w:r>
      <w:r>
        <w:rPr>
          <w:spacing w:val="-10"/>
        </w:rPr>
        <w:t> </w:t>
      </w:r>
      <w:r>
        <w:rPr>
          <w:spacing w:val="-4"/>
        </w:rPr>
        <w:t>raised </w:t>
      </w:r>
      <w:r>
        <w:rPr/>
        <w:t>during Consultations and in the Working Group Reports to finalise recommendations. After several rounds of deliberations, a letter is sent to the Prime </w:t>
      </w:r>
      <w:r>
        <w:rPr>
          <w:spacing w:val="-4"/>
        </w:rPr>
        <w:t>Minister</w:t>
      </w:r>
      <w:r>
        <w:rPr>
          <w:spacing w:val="-10"/>
        </w:rPr>
        <w:t> </w:t>
      </w:r>
      <w:r>
        <w:rPr>
          <w:spacing w:val="-4"/>
        </w:rPr>
        <w:t>containing</w:t>
      </w:r>
      <w:r>
        <w:rPr>
          <w:spacing w:val="-10"/>
        </w:rPr>
        <w:t> </w:t>
      </w:r>
      <w:r>
        <w:rPr>
          <w:spacing w:val="-4"/>
        </w:rPr>
        <w:t>key</w:t>
      </w:r>
      <w:r>
        <w:rPr>
          <w:spacing w:val="-10"/>
        </w:rPr>
        <w:t> </w:t>
      </w:r>
      <w:r>
        <w:rPr>
          <w:spacing w:val="-4"/>
        </w:rPr>
        <w:t>recommendations.</w:t>
      </w:r>
      <w:r>
        <w:rPr>
          <w:spacing w:val="-9"/>
        </w:rPr>
        <w:t> </w:t>
      </w:r>
      <w:r>
        <w:rPr>
          <w:spacing w:val="-4"/>
        </w:rPr>
        <w:t>Widespread </w:t>
      </w:r>
      <w:r>
        <w:rPr/>
        <w:t>dissemination of NKC recommendations to </w:t>
      </w:r>
      <w:r>
        <w:rPr/>
        <w:t>State </w:t>
      </w:r>
      <w:r>
        <w:rPr>
          <w:spacing w:val="-4"/>
        </w:rPr>
        <w:t>Governments,</w:t>
      </w:r>
      <w:r>
        <w:rPr>
          <w:spacing w:val="-10"/>
        </w:rPr>
        <w:t> </w:t>
      </w:r>
      <w:r>
        <w:rPr>
          <w:spacing w:val="-4"/>
        </w:rPr>
        <w:t>civil</w:t>
      </w:r>
      <w:r>
        <w:rPr>
          <w:spacing w:val="-10"/>
        </w:rPr>
        <w:t> </w:t>
      </w:r>
      <w:r>
        <w:rPr>
          <w:spacing w:val="-4"/>
        </w:rPr>
        <w:t>society</w:t>
      </w:r>
      <w:r>
        <w:rPr>
          <w:spacing w:val="-9"/>
        </w:rPr>
        <w:t> </w:t>
      </w:r>
      <w:r>
        <w:rPr>
          <w:spacing w:val="-4"/>
        </w:rPr>
        <w:t>and</w:t>
      </w:r>
      <w:r>
        <w:rPr>
          <w:spacing w:val="-10"/>
        </w:rPr>
        <w:t> </w:t>
      </w:r>
      <w:r>
        <w:rPr>
          <w:spacing w:val="-4"/>
        </w:rPr>
        <w:t>other</w:t>
      </w:r>
      <w:r>
        <w:rPr>
          <w:spacing w:val="-10"/>
        </w:rPr>
        <w:t> </w:t>
      </w:r>
      <w:r>
        <w:rPr>
          <w:spacing w:val="-4"/>
        </w:rPr>
        <w:t>stakeholders</w:t>
      </w:r>
      <w:r>
        <w:rPr>
          <w:spacing w:val="-9"/>
        </w:rPr>
        <w:t> </w:t>
      </w:r>
      <w:r>
        <w:rPr>
          <w:spacing w:val="-4"/>
        </w:rPr>
        <w:t>takes </w:t>
      </w:r>
      <w:r>
        <w:rPr/>
        <w:t>place after the recommendations have been received by</w:t>
      </w:r>
      <w:r>
        <w:rPr>
          <w:spacing w:val="-14"/>
        </w:rPr>
        <w:t> </w:t>
      </w:r>
      <w:r>
        <w:rPr/>
        <w:t>the</w:t>
      </w:r>
      <w:r>
        <w:rPr>
          <w:spacing w:val="-14"/>
        </w:rPr>
        <w:t> </w:t>
      </w:r>
      <w:r>
        <w:rPr/>
        <w:t>Prime</w:t>
      </w:r>
      <w:r>
        <w:rPr>
          <w:spacing w:val="-13"/>
        </w:rPr>
        <w:t> </w:t>
      </w:r>
      <w:r>
        <w:rPr/>
        <w:t>Minister</w:t>
      </w:r>
      <w:r>
        <w:rPr>
          <w:spacing w:val="-11"/>
        </w:rPr>
        <w:t> </w:t>
      </w:r>
      <w:r>
        <w:rPr/>
        <w:t>and</w:t>
      </w:r>
      <w:r>
        <w:rPr>
          <w:spacing w:val="-11"/>
        </w:rPr>
        <w:t> </w:t>
      </w:r>
      <w:r>
        <w:rPr/>
        <w:t>the</w:t>
      </w:r>
      <w:r>
        <w:rPr>
          <w:spacing w:val="-12"/>
        </w:rPr>
        <w:t> </w:t>
      </w:r>
      <w:r>
        <w:rPr/>
        <w:t>relevant</w:t>
      </w:r>
      <w:r>
        <w:rPr>
          <w:spacing w:val="-11"/>
        </w:rPr>
        <w:t> </w:t>
      </w:r>
      <w:r>
        <w:rPr/>
        <w:t>ministries.</w:t>
      </w:r>
      <w:r>
        <w:rPr>
          <w:spacing w:val="-14"/>
        </w:rPr>
        <w:t> </w:t>
      </w:r>
      <w:r>
        <w:rPr>
          <w:spacing w:val="-5"/>
        </w:rPr>
        <w:t>The</w:t>
      </w:r>
    </w:p>
    <w:p>
      <w:pPr>
        <w:pStyle w:val="BodyText"/>
        <w:spacing w:line="266" w:lineRule="auto" w:before="82"/>
        <w:ind w:left="319" w:right="1077"/>
        <w:jc w:val="both"/>
      </w:pPr>
      <w:r>
        <w:rPr/>
        <w:br w:type="column"/>
      </w:r>
      <w:r>
        <w:rPr/>
        <w:t>implementation of the recommendations under the aegis of the Prime Minister’s Office is then initiated, along with coordination and follow up with various implementing agencies. Key steps include:</w:t>
      </w:r>
    </w:p>
    <w:p>
      <w:pPr>
        <w:pStyle w:val="ListParagraph"/>
        <w:numPr>
          <w:ilvl w:val="0"/>
          <w:numId w:val="4"/>
        </w:numPr>
        <w:tabs>
          <w:tab w:pos="678" w:val="left" w:leader="none"/>
        </w:tabs>
        <w:spacing w:line="250" w:lineRule="exact" w:before="0" w:after="0"/>
        <w:ind w:left="678" w:right="0" w:hanging="359"/>
        <w:jc w:val="both"/>
        <w:rPr>
          <w:sz w:val="22"/>
        </w:rPr>
      </w:pPr>
      <w:r>
        <w:rPr>
          <w:spacing w:val="-4"/>
          <w:sz w:val="22"/>
        </w:rPr>
        <w:t>Identification</w:t>
      </w:r>
      <w:r>
        <w:rPr>
          <w:spacing w:val="-7"/>
          <w:sz w:val="22"/>
        </w:rPr>
        <w:t> </w:t>
      </w:r>
      <w:r>
        <w:rPr>
          <w:spacing w:val="-4"/>
          <w:sz w:val="22"/>
        </w:rPr>
        <w:t>of</w:t>
      </w:r>
      <w:r>
        <w:rPr>
          <w:spacing w:val="-6"/>
          <w:sz w:val="22"/>
        </w:rPr>
        <w:t> </w:t>
      </w:r>
      <w:r>
        <w:rPr>
          <w:spacing w:val="-4"/>
          <w:sz w:val="22"/>
        </w:rPr>
        <w:t>key</w:t>
      </w:r>
      <w:r>
        <w:rPr>
          <w:spacing w:val="-7"/>
          <w:sz w:val="22"/>
        </w:rPr>
        <w:t> </w:t>
      </w:r>
      <w:r>
        <w:rPr>
          <w:spacing w:val="-4"/>
          <w:sz w:val="22"/>
        </w:rPr>
        <w:t>focus</w:t>
      </w:r>
      <w:r>
        <w:rPr>
          <w:spacing w:val="-6"/>
          <w:sz w:val="22"/>
        </w:rPr>
        <w:t> </w:t>
      </w:r>
      <w:r>
        <w:rPr>
          <w:spacing w:val="-4"/>
          <w:sz w:val="22"/>
        </w:rPr>
        <w:t>areas</w:t>
      </w:r>
    </w:p>
    <w:p>
      <w:pPr>
        <w:pStyle w:val="ListParagraph"/>
        <w:numPr>
          <w:ilvl w:val="0"/>
          <w:numId w:val="4"/>
        </w:numPr>
        <w:tabs>
          <w:tab w:pos="679" w:val="left" w:leader="none"/>
        </w:tabs>
        <w:spacing w:line="266" w:lineRule="auto" w:before="28" w:after="0"/>
        <w:ind w:left="679" w:right="1077" w:hanging="360"/>
        <w:jc w:val="both"/>
        <w:rPr>
          <w:sz w:val="22"/>
        </w:rPr>
      </w:pPr>
      <w:r>
        <w:rPr>
          <w:sz w:val="22"/>
        </w:rPr>
        <w:t>Identification of diverse stakeholders </w:t>
      </w:r>
      <w:r>
        <w:rPr>
          <w:sz w:val="22"/>
        </w:rPr>
        <w:t>and understanding major issues in the area</w:t>
      </w:r>
    </w:p>
    <w:p>
      <w:pPr>
        <w:pStyle w:val="ListParagraph"/>
        <w:numPr>
          <w:ilvl w:val="0"/>
          <w:numId w:val="4"/>
        </w:numPr>
        <w:tabs>
          <w:tab w:pos="679" w:val="left" w:leader="none"/>
        </w:tabs>
        <w:spacing w:line="266" w:lineRule="auto" w:before="0" w:after="0"/>
        <w:ind w:left="679" w:right="1078" w:hanging="360"/>
        <w:jc w:val="both"/>
        <w:rPr>
          <w:sz w:val="22"/>
        </w:rPr>
      </w:pPr>
      <w:r>
        <w:rPr>
          <w:sz w:val="22"/>
        </w:rPr>
        <w:t>Constitution of Working Groups and organising of workshops/seminars, extensive formal </w:t>
      </w:r>
      <w:r>
        <w:rPr>
          <w:sz w:val="22"/>
        </w:rPr>
        <w:t>and </w:t>
      </w:r>
      <w:r>
        <w:rPr>
          <w:spacing w:val="-2"/>
          <w:sz w:val="22"/>
        </w:rPr>
        <w:t>informal</w:t>
      </w:r>
      <w:r>
        <w:rPr>
          <w:spacing w:val="-11"/>
          <w:sz w:val="22"/>
        </w:rPr>
        <w:t> </w:t>
      </w:r>
      <w:r>
        <w:rPr>
          <w:spacing w:val="-2"/>
          <w:sz w:val="22"/>
        </w:rPr>
        <w:t>consultations</w:t>
      </w:r>
      <w:r>
        <w:rPr>
          <w:spacing w:val="-11"/>
          <w:sz w:val="22"/>
        </w:rPr>
        <w:t> </w:t>
      </w:r>
      <w:r>
        <w:rPr>
          <w:spacing w:val="-2"/>
          <w:sz w:val="22"/>
        </w:rPr>
        <w:t>with</w:t>
      </w:r>
      <w:r>
        <w:rPr>
          <w:spacing w:val="-11"/>
          <w:sz w:val="22"/>
        </w:rPr>
        <w:t> </w:t>
      </w:r>
      <w:r>
        <w:rPr>
          <w:spacing w:val="-2"/>
          <w:sz w:val="22"/>
        </w:rPr>
        <w:t>concerned</w:t>
      </w:r>
      <w:r>
        <w:rPr>
          <w:spacing w:val="-11"/>
          <w:sz w:val="22"/>
        </w:rPr>
        <w:t> </w:t>
      </w:r>
      <w:r>
        <w:rPr>
          <w:spacing w:val="-2"/>
          <w:sz w:val="22"/>
        </w:rPr>
        <w:t>experts</w:t>
      </w:r>
      <w:r>
        <w:rPr>
          <w:spacing w:val="-11"/>
          <w:sz w:val="22"/>
        </w:rPr>
        <w:t> </w:t>
      </w:r>
      <w:r>
        <w:rPr>
          <w:spacing w:val="-2"/>
          <w:sz w:val="22"/>
        </w:rPr>
        <w:t>and stakeholders</w:t>
      </w:r>
    </w:p>
    <w:p>
      <w:pPr>
        <w:pStyle w:val="ListParagraph"/>
        <w:numPr>
          <w:ilvl w:val="0"/>
          <w:numId w:val="4"/>
        </w:numPr>
        <w:tabs>
          <w:tab w:pos="679" w:val="left" w:leader="none"/>
        </w:tabs>
        <w:spacing w:line="266" w:lineRule="auto" w:before="0" w:after="0"/>
        <w:ind w:left="679" w:right="1078" w:hanging="360"/>
        <w:jc w:val="both"/>
        <w:rPr>
          <w:sz w:val="22"/>
        </w:rPr>
      </w:pPr>
      <w:r>
        <w:rPr>
          <w:sz w:val="22"/>
        </w:rPr>
        <w:t>Consultation</w:t>
      </w:r>
      <w:r>
        <w:rPr>
          <w:spacing w:val="-14"/>
          <w:sz w:val="22"/>
        </w:rPr>
        <w:t> </w:t>
      </w:r>
      <w:r>
        <w:rPr>
          <w:sz w:val="22"/>
        </w:rPr>
        <w:t>with</w:t>
      </w:r>
      <w:r>
        <w:rPr>
          <w:spacing w:val="-14"/>
          <w:sz w:val="22"/>
        </w:rPr>
        <w:t> </w:t>
      </w:r>
      <w:r>
        <w:rPr>
          <w:sz w:val="22"/>
        </w:rPr>
        <w:t>administrative</w:t>
      </w:r>
      <w:r>
        <w:rPr>
          <w:spacing w:val="-14"/>
          <w:sz w:val="22"/>
        </w:rPr>
        <w:t> </w:t>
      </w:r>
      <w:r>
        <w:rPr>
          <w:sz w:val="22"/>
        </w:rPr>
        <w:t>Ministries</w:t>
      </w:r>
      <w:r>
        <w:rPr>
          <w:spacing w:val="-13"/>
          <w:sz w:val="22"/>
        </w:rPr>
        <w:t> </w:t>
      </w:r>
      <w:r>
        <w:rPr>
          <w:sz w:val="22"/>
        </w:rPr>
        <w:t>&amp;</w:t>
      </w:r>
      <w:r>
        <w:rPr>
          <w:spacing w:val="-14"/>
          <w:sz w:val="22"/>
        </w:rPr>
        <w:t> </w:t>
      </w:r>
      <w:r>
        <w:rPr>
          <w:sz w:val="22"/>
        </w:rPr>
        <w:t>the Planning Commission</w:t>
      </w:r>
    </w:p>
    <w:p>
      <w:pPr>
        <w:pStyle w:val="ListParagraph"/>
        <w:numPr>
          <w:ilvl w:val="0"/>
          <w:numId w:val="4"/>
        </w:numPr>
        <w:tabs>
          <w:tab w:pos="679" w:val="left" w:leader="none"/>
        </w:tabs>
        <w:spacing w:line="266" w:lineRule="auto" w:before="0" w:after="0"/>
        <w:ind w:left="679" w:right="1077" w:hanging="360"/>
        <w:jc w:val="both"/>
        <w:rPr>
          <w:sz w:val="22"/>
        </w:rPr>
      </w:pPr>
      <w:r>
        <w:rPr>
          <w:spacing w:val="-4"/>
          <w:sz w:val="22"/>
        </w:rPr>
        <w:t>Discussion in NKC to finalise recommendations </w:t>
      </w:r>
      <w:r>
        <w:rPr>
          <w:spacing w:val="-4"/>
          <w:sz w:val="22"/>
        </w:rPr>
        <w:t>in </w:t>
      </w:r>
      <w:r>
        <w:rPr>
          <w:sz w:val="22"/>
        </w:rPr>
        <w:t>the form of letter to the PM from the Chairman</w:t>
      </w:r>
    </w:p>
    <w:p>
      <w:pPr>
        <w:pStyle w:val="ListParagraph"/>
        <w:numPr>
          <w:ilvl w:val="0"/>
          <w:numId w:val="4"/>
        </w:numPr>
        <w:tabs>
          <w:tab w:pos="679" w:val="left" w:leader="none"/>
        </w:tabs>
        <w:spacing w:line="266" w:lineRule="auto" w:before="0" w:after="0"/>
        <w:ind w:left="679" w:right="1078" w:hanging="360"/>
        <w:jc w:val="both"/>
        <w:rPr>
          <w:sz w:val="22"/>
        </w:rPr>
      </w:pPr>
      <w:r>
        <w:rPr>
          <w:sz w:val="22"/>
        </w:rPr>
        <w:t>Letter to PM containing key </w:t>
      </w:r>
      <w:r>
        <w:rPr>
          <w:sz w:val="22"/>
        </w:rPr>
        <w:t>recommendations, </w:t>
      </w:r>
      <w:r>
        <w:rPr>
          <w:spacing w:val="-2"/>
          <w:sz w:val="22"/>
        </w:rPr>
        <w:t>first</w:t>
      </w:r>
      <w:r>
        <w:rPr>
          <w:spacing w:val="-8"/>
          <w:sz w:val="22"/>
        </w:rPr>
        <w:t> </w:t>
      </w:r>
      <w:r>
        <w:rPr>
          <w:spacing w:val="-2"/>
          <w:sz w:val="22"/>
        </w:rPr>
        <w:t>steps,</w:t>
      </w:r>
      <w:r>
        <w:rPr>
          <w:spacing w:val="-8"/>
          <w:sz w:val="22"/>
        </w:rPr>
        <w:t> </w:t>
      </w:r>
      <w:r>
        <w:rPr>
          <w:spacing w:val="-2"/>
          <w:sz w:val="22"/>
        </w:rPr>
        <w:t>financial</w:t>
      </w:r>
      <w:r>
        <w:rPr>
          <w:spacing w:val="-8"/>
          <w:sz w:val="22"/>
        </w:rPr>
        <w:t> </w:t>
      </w:r>
      <w:r>
        <w:rPr>
          <w:spacing w:val="-2"/>
          <w:sz w:val="22"/>
        </w:rPr>
        <w:t>implications</w:t>
      </w:r>
      <w:r>
        <w:rPr>
          <w:spacing w:val="-8"/>
          <w:sz w:val="22"/>
        </w:rPr>
        <w:t> </w:t>
      </w:r>
      <w:r>
        <w:rPr>
          <w:spacing w:val="-2"/>
          <w:sz w:val="22"/>
        </w:rPr>
        <w:t>etc.</w:t>
      </w:r>
      <w:r>
        <w:rPr>
          <w:spacing w:val="-8"/>
          <w:sz w:val="22"/>
        </w:rPr>
        <w:t> </w:t>
      </w:r>
      <w:r>
        <w:rPr>
          <w:spacing w:val="-2"/>
          <w:sz w:val="22"/>
        </w:rPr>
        <w:t>supported</w:t>
      </w:r>
      <w:r>
        <w:rPr>
          <w:spacing w:val="-8"/>
          <w:sz w:val="22"/>
        </w:rPr>
        <w:t> </w:t>
      </w:r>
      <w:r>
        <w:rPr>
          <w:spacing w:val="-2"/>
          <w:sz w:val="22"/>
        </w:rPr>
        <w:t>by </w:t>
      </w:r>
      <w:r>
        <w:rPr>
          <w:sz w:val="22"/>
        </w:rPr>
        <w:t>the</w:t>
      </w:r>
      <w:r>
        <w:rPr>
          <w:spacing w:val="-14"/>
          <w:sz w:val="22"/>
        </w:rPr>
        <w:t> </w:t>
      </w:r>
      <w:r>
        <w:rPr>
          <w:sz w:val="22"/>
        </w:rPr>
        <w:t>relevant</w:t>
      </w:r>
      <w:r>
        <w:rPr>
          <w:spacing w:val="-14"/>
          <w:sz w:val="22"/>
        </w:rPr>
        <w:t> </w:t>
      </w:r>
      <w:r>
        <w:rPr>
          <w:sz w:val="22"/>
        </w:rPr>
        <w:t>explanatory</w:t>
      </w:r>
      <w:r>
        <w:rPr>
          <w:spacing w:val="-14"/>
          <w:sz w:val="22"/>
        </w:rPr>
        <w:t> </w:t>
      </w:r>
      <w:r>
        <w:rPr>
          <w:sz w:val="22"/>
        </w:rPr>
        <w:t>documents</w:t>
      </w:r>
      <w:r>
        <w:rPr>
          <w:spacing w:val="-13"/>
          <w:sz w:val="22"/>
        </w:rPr>
        <w:t> </w:t>
      </w:r>
      <w:r>
        <w:rPr>
          <w:sz w:val="22"/>
        </w:rPr>
        <w:t>by</w:t>
      </w:r>
      <w:r>
        <w:rPr>
          <w:spacing w:val="-14"/>
          <w:sz w:val="22"/>
        </w:rPr>
        <w:t> </w:t>
      </w:r>
      <w:r>
        <w:rPr>
          <w:sz w:val="22"/>
        </w:rPr>
        <w:t>NKC</w:t>
      </w:r>
    </w:p>
    <w:p>
      <w:pPr>
        <w:pStyle w:val="ListParagraph"/>
        <w:numPr>
          <w:ilvl w:val="0"/>
          <w:numId w:val="4"/>
        </w:numPr>
        <w:tabs>
          <w:tab w:pos="679" w:val="left" w:leader="none"/>
        </w:tabs>
        <w:spacing w:line="266" w:lineRule="auto" w:before="0" w:after="0"/>
        <w:ind w:left="679" w:right="1078" w:hanging="360"/>
        <w:jc w:val="both"/>
        <w:rPr>
          <w:sz w:val="22"/>
        </w:rPr>
      </w:pPr>
      <w:r>
        <w:rPr>
          <w:sz w:val="22"/>
        </w:rPr>
        <w:t>Dissemination of recommendations to </w:t>
      </w:r>
      <w:r>
        <w:rPr>
          <w:sz w:val="22"/>
        </w:rPr>
        <w:t>State </w:t>
      </w:r>
      <w:r>
        <w:rPr>
          <w:spacing w:val="-2"/>
          <w:sz w:val="22"/>
        </w:rPr>
        <w:t>Governments,</w:t>
      </w:r>
      <w:r>
        <w:rPr>
          <w:spacing w:val="-3"/>
          <w:sz w:val="22"/>
        </w:rPr>
        <w:t> </w:t>
      </w:r>
      <w:r>
        <w:rPr>
          <w:spacing w:val="-2"/>
          <w:sz w:val="22"/>
        </w:rPr>
        <w:t>civil</w:t>
      </w:r>
      <w:r>
        <w:rPr>
          <w:spacing w:val="-3"/>
          <w:sz w:val="22"/>
        </w:rPr>
        <w:t> </w:t>
      </w:r>
      <w:r>
        <w:rPr>
          <w:spacing w:val="-2"/>
          <w:sz w:val="22"/>
        </w:rPr>
        <w:t>society</w:t>
      </w:r>
      <w:r>
        <w:rPr>
          <w:spacing w:val="-3"/>
          <w:sz w:val="22"/>
        </w:rPr>
        <w:t> </w:t>
      </w:r>
      <w:r>
        <w:rPr>
          <w:spacing w:val="-2"/>
          <w:sz w:val="22"/>
        </w:rPr>
        <w:t>and</w:t>
      </w:r>
      <w:r>
        <w:rPr>
          <w:spacing w:val="-3"/>
          <w:sz w:val="22"/>
        </w:rPr>
        <w:t> </w:t>
      </w:r>
      <w:r>
        <w:rPr>
          <w:spacing w:val="-2"/>
          <w:sz w:val="22"/>
        </w:rPr>
        <w:t>other</w:t>
      </w:r>
      <w:r>
        <w:rPr>
          <w:spacing w:val="-3"/>
          <w:sz w:val="22"/>
        </w:rPr>
        <w:t> </w:t>
      </w:r>
      <w:r>
        <w:rPr>
          <w:spacing w:val="-2"/>
          <w:sz w:val="22"/>
        </w:rPr>
        <w:t>stakeholders</w:t>
      </w:r>
    </w:p>
    <w:p>
      <w:pPr>
        <w:pStyle w:val="ListParagraph"/>
        <w:numPr>
          <w:ilvl w:val="0"/>
          <w:numId w:val="4"/>
        </w:numPr>
        <w:tabs>
          <w:tab w:pos="679" w:val="left" w:leader="none"/>
        </w:tabs>
        <w:spacing w:line="266" w:lineRule="auto" w:before="0" w:after="0"/>
        <w:ind w:left="679" w:right="1077" w:hanging="360"/>
        <w:jc w:val="both"/>
        <w:rPr>
          <w:sz w:val="22"/>
        </w:rPr>
      </w:pPr>
      <w:r>
        <w:rPr>
          <w:sz w:val="22"/>
        </w:rPr>
        <w:t>Initiating the implementation of </w:t>
      </w:r>
      <w:r>
        <w:rPr>
          <w:sz w:val="22"/>
        </w:rPr>
        <w:t>the recommendations under the aegis of the Prime Minister’s Office</w:t>
      </w:r>
    </w:p>
    <w:p>
      <w:pPr>
        <w:pStyle w:val="ListParagraph"/>
        <w:numPr>
          <w:ilvl w:val="0"/>
          <w:numId w:val="4"/>
        </w:numPr>
        <w:tabs>
          <w:tab w:pos="679" w:val="left" w:leader="none"/>
        </w:tabs>
        <w:spacing w:line="266" w:lineRule="auto" w:before="0" w:after="0"/>
        <w:ind w:left="679" w:right="1078" w:hanging="360"/>
        <w:jc w:val="both"/>
        <w:rPr>
          <w:sz w:val="22"/>
        </w:rPr>
      </w:pPr>
      <w:r>
        <w:rPr>
          <w:sz w:val="22"/>
        </w:rPr>
        <w:t>Coordinating</w:t>
      </w:r>
      <w:r>
        <w:rPr>
          <w:spacing w:val="-14"/>
          <w:sz w:val="22"/>
        </w:rPr>
        <w:t> </w:t>
      </w:r>
      <w:r>
        <w:rPr>
          <w:sz w:val="22"/>
        </w:rPr>
        <w:t>and</w:t>
      </w:r>
      <w:r>
        <w:rPr>
          <w:spacing w:val="-14"/>
          <w:sz w:val="22"/>
        </w:rPr>
        <w:t> </w:t>
      </w:r>
      <w:r>
        <w:rPr>
          <w:sz w:val="22"/>
        </w:rPr>
        <w:t>following</w:t>
      </w:r>
      <w:r>
        <w:rPr>
          <w:spacing w:val="-14"/>
          <w:sz w:val="22"/>
        </w:rPr>
        <w:t> </w:t>
      </w:r>
      <w:r>
        <w:rPr>
          <w:sz w:val="22"/>
        </w:rPr>
        <w:t>up</w:t>
      </w:r>
      <w:r>
        <w:rPr>
          <w:spacing w:val="-13"/>
          <w:sz w:val="22"/>
        </w:rPr>
        <w:t> </w:t>
      </w:r>
      <w:r>
        <w:rPr>
          <w:sz w:val="22"/>
        </w:rPr>
        <w:t>implementation</w:t>
      </w:r>
      <w:r>
        <w:rPr>
          <w:spacing w:val="-14"/>
          <w:sz w:val="22"/>
        </w:rPr>
        <w:t> </w:t>
      </w:r>
      <w:r>
        <w:rPr>
          <w:sz w:val="22"/>
        </w:rPr>
        <w:t>of </w:t>
      </w:r>
      <w:r>
        <w:rPr>
          <w:spacing w:val="-2"/>
          <w:sz w:val="22"/>
        </w:rPr>
        <w:t>proposals.</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BodyText"/>
        <w:spacing w:before="342"/>
        <w:rPr>
          <w:sz w:val="78"/>
        </w:rPr>
      </w:pPr>
      <w:r>
        <w:rPr/>
        <mc:AlternateContent>
          <mc:Choice Requires="wps">
            <w:drawing>
              <wp:anchor distT="0" distB="0" distL="0" distR="0" allowOverlap="1" layoutInCell="1" locked="0" behindDoc="1" simplePos="0" relativeHeight="479314944">
                <wp:simplePos x="0" y="0"/>
                <wp:positionH relativeFrom="page">
                  <wp:posOffset>1471252</wp:posOffset>
                </wp:positionH>
                <wp:positionV relativeFrom="page">
                  <wp:posOffset>38</wp:posOffset>
                </wp:positionV>
                <wp:extent cx="4545330" cy="1069213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545330" cy="10692130"/>
                        </a:xfrm>
                        <a:custGeom>
                          <a:avLst/>
                          <a:gdLst/>
                          <a:ahLst/>
                          <a:cxnLst/>
                          <a:rect l="l" t="t" r="r" b="b"/>
                          <a:pathLst>
                            <a:path w="4545330" h="10692130">
                              <a:moveTo>
                                <a:pt x="4545291" y="0"/>
                              </a:moveTo>
                              <a:lnTo>
                                <a:pt x="0" y="0"/>
                              </a:lnTo>
                              <a:lnTo>
                                <a:pt x="0" y="10691964"/>
                              </a:lnTo>
                              <a:lnTo>
                                <a:pt x="4545291" y="10691964"/>
                              </a:lnTo>
                              <a:lnTo>
                                <a:pt x="4545291" y="0"/>
                              </a:lnTo>
                              <a:close/>
                            </a:path>
                          </a:pathLst>
                        </a:custGeom>
                        <a:solidFill>
                          <a:srgbClr val="FAF5E6"/>
                        </a:solidFill>
                      </wps:spPr>
                      <wps:bodyPr wrap="square" lIns="0" tIns="0" rIns="0" bIns="0" rtlCol="0">
                        <a:prstTxWarp prst="textNoShape">
                          <a:avLst/>
                        </a:prstTxWarp>
                        <a:noAutofit/>
                      </wps:bodyPr>
                    </wps:wsp>
                  </a:graphicData>
                </a:graphic>
              </wp:anchor>
            </w:drawing>
          </mc:Choice>
          <mc:Fallback>
            <w:pict>
              <v:rect style="position:absolute;margin-left:115.846649pt;margin-top:.003055pt;width:357.89694pt;height:841.88696pt;mso-position-horizontal-relative:page;mso-position-vertical-relative:page;z-index:-24001536" id="docshape51" filled="true" fillcolor="#faf5e6" stroked="false">
                <v:fill type="solid"/>
                <w10:wrap type="none"/>
              </v:rect>
            </w:pict>
          </mc:Fallback>
        </mc:AlternateContent>
      </w:r>
    </w:p>
    <w:p>
      <w:pPr>
        <w:spacing w:line="802" w:lineRule="exact" w:before="0"/>
        <w:ind w:left="3277" w:right="0" w:firstLine="0"/>
        <w:jc w:val="left"/>
        <w:rPr>
          <w:rFonts w:ascii="Trebuchet MS"/>
          <w:sz w:val="78"/>
        </w:rPr>
      </w:pPr>
      <w:r>
        <w:rPr>
          <w:rFonts w:ascii="Trebuchet MS"/>
          <w:color w:val="2E614A"/>
          <w:spacing w:val="-5"/>
          <w:sz w:val="78"/>
        </w:rPr>
        <w:t>NKC</w:t>
      </w:r>
    </w:p>
    <w:p>
      <w:pPr>
        <w:spacing w:line="802" w:lineRule="exact" w:before="0"/>
        <w:ind w:left="194" w:right="413" w:firstLine="0"/>
        <w:jc w:val="center"/>
        <w:rPr>
          <w:rFonts w:ascii="Trebuchet MS"/>
          <w:sz w:val="78"/>
        </w:rPr>
      </w:pPr>
      <w:r>
        <w:rPr>
          <w:rFonts w:ascii="Trebuchet MS"/>
          <w:color w:val="9CBF3B"/>
          <w:spacing w:val="-2"/>
          <w:sz w:val="78"/>
        </w:rPr>
        <w:t>Snapshot</w:t>
      </w:r>
    </w:p>
    <w:p>
      <w:pPr>
        <w:pStyle w:val="BodyText"/>
        <w:spacing w:before="80"/>
        <w:rPr>
          <w:rFonts w:ascii="Trebuchet MS"/>
          <w:sz w:val="36"/>
        </w:rPr>
      </w:pPr>
    </w:p>
    <w:p>
      <w:pPr>
        <w:spacing w:before="1"/>
        <w:ind w:left="165" w:right="413" w:firstLine="0"/>
        <w:jc w:val="center"/>
        <w:rPr>
          <w:b/>
          <w:sz w:val="36"/>
        </w:rPr>
      </w:pPr>
      <w:r>
        <w:rPr>
          <w:b/>
          <w:color w:val="2E614A"/>
          <w:w w:val="90"/>
          <w:sz w:val="36"/>
        </w:rPr>
        <w:t>Recommendations</w:t>
      </w:r>
      <w:r>
        <w:rPr>
          <w:b/>
          <w:color w:val="2E614A"/>
          <w:spacing w:val="46"/>
          <w:sz w:val="36"/>
        </w:rPr>
        <w:t> </w:t>
      </w:r>
      <w:r>
        <w:rPr>
          <w:b/>
          <w:color w:val="2E614A"/>
          <w:w w:val="90"/>
          <w:sz w:val="36"/>
        </w:rPr>
        <w:t>submitted</w:t>
      </w:r>
      <w:r>
        <w:rPr>
          <w:b/>
          <w:color w:val="2E614A"/>
          <w:spacing w:val="47"/>
          <w:sz w:val="36"/>
        </w:rPr>
        <w:t> </w:t>
      </w:r>
      <w:r>
        <w:rPr>
          <w:b/>
          <w:color w:val="2E614A"/>
          <w:w w:val="90"/>
          <w:sz w:val="36"/>
        </w:rPr>
        <w:t>in</w:t>
      </w:r>
      <w:r>
        <w:rPr>
          <w:b/>
          <w:color w:val="2E614A"/>
          <w:spacing w:val="46"/>
          <w:sz w:val="36"/>
        </w:rPr>
        <w:t> </w:t>
      </w:r>
      <w:r>
        <w:rPr>
          <w:b/>
          <w:color w:val="2E614A"/>
          <w:spacing w:val="-4"/>
          <w:w w:val="90"/>
          <w:sz w:val="36"/>
        </w:rPr>
        <w:t>2006</w:t>
      </w:r>
    </w:p>
    <w:p>
      <w:pPr>
        <w:pStyle w:val="BodyText"/>
        <w:spacing w:before="9"/>
        <w:rPr>
          <w:b/>
          <w:sz w:val="6"/>
        </w:rPr>
      </w:pPr>
      <w:r>
        <w:rPr/>
        <mc:AlternateContent>
          <mc:Choice Requires="wps">
            <w:drawing>
              <wp:anchor distT="0" distB="0" distL="0" distR="0" allowOverlap="1" layoutInCell="1" locked="0" behindDoc="1" simplePos="0" relativeHeight="487596032">
                <wp:simplePos x="0" y="0"/>
                <wp:positionH relativeFrom="page">
                  <wp:posOffset>1992719</wp:posOffset>
                </wp:positionH>
                <wp:positionV relativeFrom="paragraph">
                  <wp:posOffset>64856</wp:posOffset>
                </wp:positionV>
                <wp:extent cx="3635375" cy="635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3635375" cy="6350"/>
                        </a:xfrm>
                        <a:custGeom>
                          <a:avLst/>
                          <a:gdLst/>
                          <a:ahLst/>
                          <a:cxnLst/>
                          <a:rect l="l" t="t" r="r" b="b"/>
                          <a:pathLst>
                            <a:path w="3635375" h="6350">
                              <a:moveTo>
                                <a:pt x="3635259" y="0"/>
                              </a:moveTo>
                              <a:lnTo>
                                <a:pt x="0" y="0"/>
                              </a:lnTo>
                              <a:lnTo>
                                <a:pt x="0" y="6350"/>
                              </a:lnTo>
                              <a:lnTo>
                                <a:pt x="3635259" y="6350"/>
                              </a:lnTo>
                              <a:lnTo>
                                <a:pt x="3635259" y="0"/>
                              </a:lnTo>
                              <a:close/>
                            </a:path>
                          </a:pathLst>
                        </a:custGeom>
                        <a:solidFill>
                          <a:srgbClr val="9CBF3B"/>
                        </a:solidFill>
                      </wps:spPr>
                      <wps:bodyPr wrap="square" lIns="0" tIns="0" rIns="0" bIns="0" rtlCol="0">
                        <a:prstTxWarp prst="textNoShape">
                          <a:avLst/>
                        </a:prstTxWarp>
                        <a:noAutofit/>
                      </wps:bodyPr>
                    </wps:wsp>
                  </a:graphicData>
                </a:graphic>
              </wp:anchor>
            </w:drawing>
          </mc:Choice>
          <mc:Fallback>
            <w:pict>
              <v:rect style="position:absolute;margin-left:156.907043pt;margin-top:5.106776pt;width:286.24091pt;height:.5pt;mso-position-horizontal-relative:page;mso-position-vertical-relative:paragraph;z-index:-15720448;mso-wrap-distance-left:0;mso-wrap-distance-right:0" id="docshape52" filled="true" fillcolor="#9cbf3b" stroked="false">
                <v:fill type="solid"/>
                <w10:wrap type="topAndBottom"/>
              </v:rect>
            </w:pict>
          </mc:Fallback>
        </mc:AlternateContent>
      </w:r>
    </w:p>
    <w:p>
      <w:pPr>
        <w:pStyle w:val="ListParagraph"/>
        <w:numPr>
          <w:ilvl w:val="1"/>
          <w:numId w:val="4"/>
        </w:numPr>
        <w:tabs>
          <w:tab w:pos="3489" w:val="left" w:leader="none"/>
        </w:tabs>
        <w:spacing w:line="240" w:lineRule="auto" w:before="145" w:after="0"/>
        <w:ind w:left="3489" w:right="0" w:hanging="360"/>
        <w:jc w:val="left"/>
        <w:rPr>
          <w:sz w:val="24"/>
        </w:rPr>
      </w:pPr>
      <w:r>
        <w:rPr>
          <w:spacing w:val="-2"/>
          <w:sz w:val="24"/>
        </w:rPr>
        <w:t>Libraries</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Translation</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Language</w:t>
      </w:r>
    </w:p>
    <w:p>
      <w:pPr>
        <w:pStyle w:val="ListParagraph"/>
        <w:numPr>
          <w:ilvl w:val="1"/>
          <w:numId w:val="4"/>
        </w:numPr>
        <w:tabs>
          <w:tab w:pos="3489" w:val="left" w:leader="none"/>
        </w:tabs>
        <w:spacing w:line="240" w:lineRule="auto" w:before="5" w:after="0"/>
        <w:ind w:left="3489" w:right="0" w:hanging="360"/>
        <w:jc w:val="left"/>
        <w:rPr>
          <w:sz w:val="24"/>
        </w:rPr>
      </w:pPr>
      <w:r>
        <w:rPr>
          <w:spacing w:val="-6"/>
          <w:sz w:val="24"/>
        </w:rPr>
        <w:t>National</w:t>
      </w:r>
      <w:r>
        <w:rPr>
          <w:spacing w:val="1"/>
          <w:sz w:val="24"/>
        </w:rPr>
        <w:t> </w:t>
      </w:r>
      <w:r>
        <w:rPr>
          <w:spacing w:val="-6"/>
          <w:sz w:val="24"/>
        </w:rPr>
        <w:t>Knowledge</w:t>
      </w:r>
      <w:r>
        <w:rPr>
          <w:spacing w:val="2"/>
          <w:sz w:val="24"/>
        </w:rPr>
        <w:t> </w:t>
      </w:r>
      <w:r>
        <w:rPr>
          <w:spacing w:val="-6"/>
          <w:sz w:val="24"/>
        </w:rPr>
        <w:t>Network</w:t>
      </w:r>
    </w:p>
    <w:p>
      <w:pPr>
        <w:pStyle w:val="ListParagraph"/>
        <w:numPr>
          <w:ilvl w:val="1"/>
          <w:numId w:val="4"/>
        </w:numPr>
        <w:tabs>
          <w:tab w:pos="3489" w:val="left" w:leader="none"/>
        </w:tabs>
        <w:spacing w:line="240" w:lineRule="auto" w:before="4" w:after="0"/>
        <w:ind w:left="3489" w:right="0" w:hanging="360"/>
        <w:jc w:val="left"/>
        <w:rPr>
          <w:sz w:val="24"/>
        </w:rPr>
      </w:pPr>
      <w:r>
        <w:rPr>
          <w:sz w:val="24"/>
        </w:rPr>
        <w:t>Right</w:t>
      </w:r>
      <w:r>
        <w:rPr>
          <w:spacing w:val="-8"/>
          <w:sz w:val="24"/>
        </w:rPr>
        <w:t> </w:t>
      </w:r>
      <w:r>
        <w:rPr>
          <w:sz w:val="24"/>
        </w:rPr>
        <w:t>to</w:t>
      </w:r>
      <w:r>
        <w:rPr>
          <w:spacing w:val="-7"/>
          <w:sz w:val="24"/>
        </w:rPr>
        <w:t> </w:t>
      </w:r>
      <w:r>
        <w:rPr>
          <w:spacing w:val="-2"/>
          <w:sz w:val="24"/>
        </w:rPr>
        <w:t>Education</w:t>
      </w:r>
    </w:p>
    <w:p>
      <w:pPr>
        <w:pStyle w:val="ListParagraph"/>
        <w:numPr>
          <w:ilvl w:val="1"/>
          <w:numId w:val="4"/>
        </w:numPr>
        <w:tabs>
          <w:tab w:pos="3489" w:val="left" w:leader="none"/>
        </w:tabs>
        <w:spacing w:line="240" w:lineRule="auto" w:before="4" w:after="0"/>
        <w:ind w:left="3489" w:right="0" w:hanging="360"/>
        <w:jc w:val="left"/>
        <w:rPr>
          <w:sz w:val="24"/>
        </w:rPr>
      </w:pPr>
      <w:r>
        <w:rPr>
          <w:spacing w:val="-4"/>
          <w:sz w:val="24"/>
        </w:rPr>
        <w:t>Vocational</w:t>
      </w:r>
      <w:r>
        <w:rPr>
          <w:spacing w:val="-11"/>
          <w:sz w:val="24"/>
        </w:rPr>
        <w:t> </w:t>
      </w:r>
      <w:r>
        <w:rPr>
          <w:spacing w:val="-4"/>
          <w:sz w:val="24"/>
        </w:rPr>
        <w:t>Education</w:t>
      </w:r>
      <w:r>
        <w:rPr>
          <w:spacing w:val="-6"/>
          <w:sz w:val="24"/>
        </w:rPr>
        <w:t> </w:t>
      </w:r>
      <w:r>
        <w:rPr>
          <w:spacing w:val="-4"/>
          <w:sz w:val="24"/>
        </w:rPr>
        <w:t>&amp;</w:t>
      </w:r>
      <w:r>
        <w:rPr>
          <w:spacing w:val="-11"/>
          <w:sz w:val="24"/>
        </w:rPr>
        <w:t> </w:t>
      </w:r>
      <w:r>
        <w:rPr>
          <w:spacing w:val="-4"/>
          <w:sz w:val="24"/>
        </w:rPr>
        <w:t>Training</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Higher</w:t>
      </w:r>
      <w:r>
        <w:rPr>
          <w:spacing w:val="-4"/>
          <w:sz w:val="24"/>
        </w:rPr>
        <w:t> </w:t>
      </w:r>
      <w:r>
        <w:rPr>
          <w:spacing w:val="-2"/>
          <w:sz w:val="24"/>
        </w:rPr>
        <w:t>Education</w:t>
      </w:r>
    </w:p>
    <w:p>
      <w:pPr>
        <w:pStyle w:val="ListParagraph"/>
        <w:numPr>
          <w:ilvl w:val="1"/>
          <w:numId w:val="4"/>
        </w:numPr>
        <w:tabs>
          <w:tab w:pos="3489" w:val="left" w:leader="none"/>
        </w:tabs>
        <w:spacing w:line="240" w:lineRule="auto" w:before="4" w:after="0"/>
        <w:ind w:left="3489" w:right="0" w:hanging="360"/>
        <w:jc w:val="left"/>
        <w:rPr>
          <w:sz w:val="24"/>
        </w:rPr>
      </w:pPr>
      <w:r>
        <w:rPr>
          <w:spacing w:val="-6"/>
          <w:sz w:val="24"/>
        </w:rPr>
        <w:t>National</w:t>
      </w:r>
      <w:r>
        <w:rPr>
          <w:spacing w:val="-3"/>
          <w:sz w:val="24"/>
        </w:rPr>
        <w:t> </w:t>
      </w:r>
      <w:r>
        <w:rPr>
          <w:spacing w:val="-6"/>
          <w:sz w:val="24"/>
        </w:rPr>
        <w:t>Science</w:t>
      </w:r>
      <w:r>
        <w:rPr>
          <w:spacing w:val="-3"/>
          <w:sz w:val="24"/>
        </w:rPr>
        <w:t> </w:t>
      </w:r>
      <w:r>
        <w:rPr>
          <w:spacing w:val="-6"/>
          <w:sz w:val="24"/>
        </w:rPr>
        <w:t>and</w:t>
      </w:r>
      <w:r>
        <w:rPr>
          <w:spacing w:val="-3"/>
          <w:sz w:val="24"/>
        </w:rPr>
        <w:t> </w:t>
      </w:r>
      <w:r>
        <w:rPr>
          <w:spacing w:val="-6"/>
          <w:sz w:val="24"/>
        </w:rPr>
        <w:t>Social</w:t>
      </w:r>
      <w:r>
        <w:rPr>
          <w:spacing w:val="-3"/>
          <w:sz w:val="24"/>
        </w:rPr>
        <w:t> </w:t>
      </w:r>
      <w:r>
        <w:rPr>
          <w:spacing w:val="-6"/>
          <w:sz w:val="24"/>
        </w:rPr>
        <w:t>Science</w:t>
      </w:r>
      <w:r>
        <w:rPr>
          <w:spacing w:val="-3"/>
          <w:sz w:val="24"/>
        </w:rPr>
        <w:t> </w:t>
      </w:r>
      <w:r>
        <w:rPr>
          <w:spacing w:val="-6"/>
          <w:sz w:val="24"/>
        </w:rPr>
        <w:t>Foundation</w:t>
      </w:r>
    </w:p>
    <w:p>
      <w:pPr>
        <w:pStyle w:val="ListParagraph"/>
        <w:numPr>
          <w:ilvl w:val="1"/>
          <w:numId w:val="4"/>
        </w:numPr>
        <w:tabs>
          <w:tab w:pos="3489" w:val="left" w:leader="none"/>
        </w:tabs>
        <w:spacing w:line="240" w:lineRule="auto" w:before="4" w:after="0"/>
        <w:ind w:left="3489" w:right="0" w:hanging="360"/>
        <w:jc w:val="left"/>
        <w:rPr>
          <w:sz w:val="24"/>
        </w:rPr>
      </w:pPr>
      <w:r>
        <w:rPr>
          <w:w w:val="90"/>
          <w:sz w:val="24"/>
        </w:rPr>
        <w:t>E-</w:t>
      </w:r>
      <w:r>
        <w:rPr>
          <w:spacing w:val="-2"/>
          <w:sz w:val="24"/>
        </w:rPr>
        <w:t>governance</w:t>
      </w:r>
    </w:p>
    <w:p>
      <w:pPr>
        <w:spacing w:before="172"/>
        <w:ind w:left="165" w:right="413" w:firstLine="0"/>
        <w:jc w:val="center"/>
        <w:rPr>
          <w:b/>
          <w:sz w:val="36"/>
        </w:rPr>
      </w:pPr>
      <w:r>
        <w:rPr/>
        <mc:AlternateContent>
          <mc:Choice Requires="wps">
            <w:drawing>
              <wp:anchor distT="0" distB="0" distL="0" distR="0" allowOverlap="1" layoutInCell="1" locked="0" behindDoc="1" simplePos="0" relativeHeight="487596544">
                <wp:simplePos x="0" y="0"/>
                <wp:positionH relativeFrom="page">
                  <wp:posOffset>1992719</wp:posOffset>
                </wp:positionH>
                <wp:positionV relativeFrom="paragraph">
                  <wp:posOffset>409414</wp:posOffset>
                </wp:positionV>
                <wp:extent cx="3635375" cy="635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3635375" cy="6350"/>
                        </a:xfrm>
                        <a:custGeom>
                          <a:avLst/>
                          <a:gdLst/>
                          <a:ahLst/>
                          <a:cxnLst/>
                          <a:rect l="l" t="t" r="r" b="b"/>
                          <a:pathLst>
                            <a:path w="3635375" h="6350">
                              <a:moveTo>
                                <a:pt x="3635259" y="0"/>
                              </a:moveTo>
                              <a:lnTo>
                                <a:pt x="0" y="0"/>
                              </a:lnTo>
                              <a:lnTo>
                                <a:pt x="0" y="6350"/>
                              </a:lnTo>
                              <a:lnTo>
                                <a:pt x="3635259" y="6350"/>
                              </a:lnTo>
                              <a:lnTo>
                                <a:pt x="3635259" y="0"/>
                              </a:lnTo>
                              <a:close/>
                            </a:path>
                          </a:pathLst>
                        </a:custGeom>
                        <a:solidFill>
                          <a:srgbClr val="9CBF3B"/>
                        </a:solidFill>
                      </wps:spPr>
                      <wps:bodyPr wrap="square" lIns="0" tIns="0" rIns="0" bIns="0" rtlCol="0">
                        <a:prstTxWarp prst="textNoShape">
                          <a:avLst/>
                        </a:prstTxWarp>
                        <a:noAutofit/>
                      </wps:bodyPr>
                    </wps:wsp>
                  </a:graphicData>
                </a:graphic>
              </wp:anchor>
            </w:drawing>
          </mc:Choice>
          <mc:Fallback>
            <w:pict>
              <v:rect style="position:absolute;margin-left:156.907043pt;margin-top:32.237328pt;width:286.24091pt;height:.5pt;mso-position-horizontal-relative:page;mso-position-vertical-relative:paragraph;z-index:-15719936;mso-wrap-distance-left:0;mso-wrap-distance-right:0" id="docshape53" filled="true" fillcolor="#9cbf3b" stroked="false">
                <v:fill type="solid"/>
                <w10:wrap type="topAndBottom"/>
              </v:rect>
            </w:pict>
          </mc:Fallback>
        </mc:AlternateContent>
      </w:r>
      <w:r>
        <w:rPr>
          <w:b/>
          <w:color w:val="2E614A"/>
          <w:w w:val="90"/>
          <w:sz w:val="36"/>
        </w:rPr>
        <w:t>Recommendations</w:t>
      </w:r>
      <w:r>
        <w:rPr>
          <w:b/>
          <w:color w:val="2E614A"/>
          <w:spacing w:val="46"/>
          <w:sz w:val="36"/>
        </w:rPr>
        <w:t> </w:t>
      </w:r>
      <w:r>
        <w:rPr>
          <w:b/>
          <w:color w:val="2E614A"/>
          <w:w w:val="90"/>
          <w:sz w:val="36"/>
        </w:rPr>
        <w:t>submitted</w:t>
      </w:r>
      <w:r>
        <w:rPr>
          <w:b/>
          <w:color w:val="2E614A"/>
          <w:spacing w:val="47"/>
          <w:sz w:val="36"/>
        </w:rPr>
        <w:t> </w:t>
      </w:r>
      <w:r>
        <w:rPr>
          <w:b/>
          <w:color w:val="2E614A"/>
          <w:w w:val="90"/>
          <w:sz w:val="36"/>
        </w:rPr>
        <w:t>in</w:t>
      </w:r>
      <w:r>
        <w:rPr>
          <w:b/>
          <w:color w:val="2E614A"/>
          <w:spacing w:val="46"/>
          <w:sz w:val="36"/>
        </w:rPr>
        <w:t> </w:t>
      </w:r>
      <w:r>
        <w:rPr>
          <w:b/>
          <w:color w:val="2E614A"/>
          <w:spacing w:val="-4"/>
          <w:w w:val="90"/>
          <w:sz w:val="36"/>
        </w:rPr>
        <w:t>2007</w:t>
      </w:r>
    </w:p>
    <w:p>
      <w:pPr>
        <w:pStyle w:val="ListParagraph"/>
        <w:numPr>
          <w:ilvl w:val="1"/>
          <w:numId w:val="4"/>
        </w:numPr>
        <w:tabs>
          <w:tab w:pos="3489" w:val="left" w:leader="none"/>
        </w:tabs>
        <w:spacing w:line="240" w:lineRule="auto" w:before="189" w:after="0"/>
        <w:ind w:left="3489" w:right="0" w:hanging="360"/>
        <w:jc w:val="left"/>
        <w:rPr>
          <w:sz w:val="24"/>
        </w:rPr>
      </w:pPr>
      <w:r>
        <w:rPr>
          <w:sz w:val="24"/>
        </w:rPr>
        <w:t>Health</w:t>
      </w:r>
      <w:r>
        <w:rPr>
          <w:spacing w:val="-9"/>
          <w:sz w:val="24"/>
        </w:rPr>
        <w:t> </w:t>
      </w:r>
      <w:r>
        <w:rPr>
          <w:sz w:val="24"/>
        </w:rPr>
        <w:t>Information</w:t>
      </w:r>
      <w:r>
        <w:rPr>
          <w:spacing w:val="-9"/>
          <w:sz w:val="24"/>
        </w:rPr>
        <w:t> </w:t>
      </w:r>
      <w:r>
        <w:rPr>
          <w:spacing w:val="-2"/>
          <w:sz w:val="24"/>
        </w:rPr>
        <w:t>Network</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Portals</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Open</w:t>
      </w:r>
      <w:r>
        <w:rPr>
          <w:spacing w:val="-1"/>
          <w:sz w:val="24"/>
        </w:rPr>
        <w:t> </w:t>
      </w:r>
      <w:r>
        <w:rPr>
          <w:spacing w:val="-2"/>
          <w:sz w:val="24"/>
        </w:rPr>
        <w:t>Educational</w:t>
      </w:r>
      <w:r>
        <w:rPr>
          <w:sz w:val="24"/>
        </w:rPr>
        <w:t> </w:t>
      </w:r>
      <w:r>
        <w:rPr>
          <w:spacing w:val="-2"/>
          <w:sz w:val="24"/>
        </w:rPr>
        <w:t>Resources</w:t>
      </w:r>
    </w:p>
    <w:p>
      <w:pPr>
        <w:pStyle w:val="ListParagraph"/>
        <w:numPr>
          <w:ilvl w:val="1"/>
          <w:numId w:val="4"/>
        </w:numPr>
        <w:tabs>
          <w:tab w:pos="3489" w:val="left" w:leader="none"/>
        </w:tabs>
        <w:spacing w:line="240" w:lineRule="auto" w:before="4" w:after="0"/>
        <w:ind w:left="3489" w:right="0" w:hanging="360"/>
        <w:jc w:val="left"/>
        <w:rPr>
          <w:sz w:val="24"/>
        </w:rPr>
      </w:pPr>
      <w:r>
        <w:rPr>
          <w:w w:val="90"/>
          <w:sz w:val="24"/>
        </w:rPr>
        <w:t>Legal</w:t>
      </w:r>
      <w:r>
        <w:rPr>
          <w:spacing w:val="-6"/>
          <w:sz w:val="24"/>
        </w:rPr>
        <w:t> </w:t>
      </w:r>
      <w:r>
        <w:rPr>
          <w:spacing w:val="-2"/>
          <w:sz w:val="24"/>
        </w:rPr>
        <w:t>Education</w:t>
      </w:r>
    </w:p>
    <w:p>
      <w:pPr>
        <w:pStyle w:val="ListParagraph"/>
        <w:numPr>
          <w:ilvl w:val="1"/>
          <w:numId w:val="4"/>
        </w:numPr>
        <w:tabs>
          <w:tab w:pos="3489" w:val="left" w:leader="none"/>
        </w:tabs>
        <w:spacing w:line="240" w:lineRule="auto" w:before="4" w:after="0"/>
        <w:ind w:left="3489" w:right="0" w:hanging="360"/>
        <w:jc w:val="left"/>
        <w:rPr>
          <w:sz w:val="24"/>
        </w:rPr>
      </w:pPr>
      <w:r>
        <w:rPr>
          <w:spacing w:val="-6"/>
          <w:sz w:val="24"/>
        </w:rPr>
        <w:t>Medical </w:t>
      </w:r>
      <w:r>
        <w:rPr>
          <w:spacing w:val="-2"/>
          <w:sz w:val="24"/>
        </w:rPr>
        <w:t>Education</w:t>
      </w:r>
    </w:p>
    <w:p>
      <w:pPr>
        <w:pStyle w:val="ListParagraph"/>
        <w:numPr>
          <w:ilvl w:val="1"/>
          <w:numId w:val="4"/>
        </w:numPr>
        <w:tabs>
          <w:tab w:pos="3489" w:val="left" w:leader="none"/>
        </w:tabs>
        <w:spacing w:line="240" w:lineRule="auto" w:before="4" w:after="0"/>
        <w:ind w:left="3489" w:right="0" w:hanging="360"/>
        <w:jc w:val="left"/>
        <w:rPr>
          <w:sz w:val="24"/>
        </w:rPr>
      </w:pPr>
      <w:r>
        <w:rPr>
          <w:spacing w:val="-4"/>
          <w:sz w:val="24"/>
        </w:rPr>
        <w:t>Management</w:t>
      </w:r>
      <w:r>
        <w:rPr>
          <w:spacing w:val="-1"/>
          <w:sz w:val="24"/>
        </w:rPr>
        <w:t> </w:t>
      </w:r>
      <w:r>
        <w:rPr>
          <w:spacing w:val="-2"/>
          <w:sz w:val="24"/>
        </w:rPr>
        <w:t>Education</w:t>
      </w:r>
    </w:p>
    <w:p>
      <w:pPr>
        <w:pStyle w:val="ListParagraph"/>
        <w:numPr>
          <w:ilvl w:val="1"/>
          <w:numId w:val="4"/>
        </w:numPr>
        <w:tabs>
          <w:tab w:pos="3489" w:val="left" w:leader="none"/>
        </w:tabs>
        <w:spacing w:line="240" w:lineRule="auto" w:before="4" w:after="0"/>
        <w:ind w:left="3489" w:right="0" w:hanging="360"/>
        <w:jc w:val="left"/>
        <w:rPr>
          <w:sz w:val="24"/>
        </w:rPr>
      </w:pPr>
      <w:r>
        <w:rPr>
          <w:sz w:val="24"/>
        </w:rPr>
        <w:t>Open</w:t>
      </w:r>
      <w:r>
        <w:rPr>
          <w:spacing w:val="-9"/>
          <w:sz w:val="24"/>
        </w:rPr>
        <w:t> </w:t>
      </w:r>
      <w:r>
        <w:rPr>
          <w:sz w:val="24"/>
        </w:rPr>
        <w:t>and</w:t>
      </w:r>
      <w:r>
        <w:rPr>
          <w:spacing w:val="-8"/>
          <w:sz w:val="24"/>
        </w:rPr>
        <w:t> </w:t>
      </w:r>
      <w:r>
        <w:rPr>
          <w:sz w:val="24"/>
        </w:rPr>
        <w:t>Distance</w:t>
      </w:r>
      <w:r>
        <w:rPr>
          <w:spacing w:val="-8"/>
          <w:sz w:val="24"/>
        </w:rPr>
        <w:t> </w:t>
      </w:r>
      <w:r>
        <w:rPr>
          <w:spacing w:val="-2"/>
          <w:sz w:val="24"/>
        </w:rPr>
        <w:t>Education</w:t>
      </w:r>
    </w:p>
    <w:p>
      <w:pPr>
        <w:pStyle w:val="ListParagraph"/>
        <w:numPr>
          <w:ilvl w:val="1"/>
          <w:numId w:val="4"/>
        </w:numPr>
        <w:tabs>
          <w:tab w:pos="3489" w:val="left" w:leader="none"/>
        </w:tabs>
        <w:spacing w:line="240" w:lineRule="auto" w:before="4" w:after="0"/>
        <w:ind w:left="3489" w:right="0" w:hanging="360"/>
        <w:jc w:val="left"/>
        <w:rPr>
          <w:sz w:val="24"/>
        </w:rPr>
      </w:pPr>
      <w:r>
        <w:rPr>
          <w:spacing w:val="-4"/>
          <w:sz w:val="24"/>
        </w:rPr>
        <w:t>Intellectual</w:t>
      </w:r>
      <w:r>
        <w:rPr>
          <w:spacing w:val="-6"/>
          <w:sz w:val="24"/>
        </w:rPr>
        <w:t> </w:t>
      </w:r>
      <w:r>
        <w:rPr>
          <w:spacing w:val="-4"/>
          <w:sz w:val="24"/>
        </w:rPr>
        <w:t>Property</w:t>
      </w:r>
      <w:r>
        <w:rPr>
          <w:spacing w:val="-6"/>
          <w:sz w:val="24"/>
        </w:rPr>
        <w:t> </w:t>
      </w:r>
      <w:r>
        <w:rPr>
          <w:spacing w:val="-4"/>
          <w:sz w:val="24"/>
        </w:rPr>
        <w:t>Rights</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Innovation</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Traditional</w:t>
      </w:r>
      <w:r>
        <w:rPr>
          <w:spacing w:val="-10"/>
          <w:sz w:val="24"/>
        </w:rPr>
        <w:t> </w:t>
      </w:r>
      <w:r>
        <w:rPr>
          <w:spacing w:val="-2"/>
          <w:sz w:val="24"/>
        </w:rPr>
        <w:t>Health</w:t>
      </w:r>
      <w:r>
        <w:rPr>
          <w:spacing w:val="-9"/>
          <w:sz w:val="24"/>
        </w:rPr>
        <w:t> </w:t>
      </w:r>
      <w:r>
        <w:rPr>
          <w:spacing w:val="-2"/>
          <w:sz w:val="24"/>
        </w:rPr>
        <w:t>Systems</w:t>
      </w:r>
    </w:p>
    <w:p>
      <w:pPr>
        <w:pStyle w:val="ListParagraph"/>
        <w:numPr>
          <w:ilvl w:val="1"/>
          <w:numId w:val="4"/>
        </w:numPr>
        <w:tabs>
          <w:tab w:pos="3489" w:val="left" w:leader="none"/>
        </w:tabs>
        <w:spacing w:line="240" w:lineRule="auto" w:before="4" w:after="0"/>
        <w:ind w:left="3489" w:right="0" w:hanging="360"/>
        <w:jc w:val="left"/>
        <w:rPr>
          <w:sz w:val="24"/>
        </w:rPr>
      </w:pPr>
      <w:r>
        <w:rPr>
          <w:spacing w:val="-6"/>
          <w:sz w:val="24"/>
        </w:rPr>
        <w:t>Legal</w:t>
      </w:r>
      <w:r>
        <w:rPr>
          <w:spacing w:val="-1"/>
          <w:sz w:val="24"/>
        </w:rPr>
        <w:t> </w:t>
      </w:r>
      <w:r>
        <w:rPr>
          <w:spacing w:val="-6"/>
          <w:sz w:val="24"/>
        </w:rPr>
        <w:t>Framework</w:t>
      </w:r>
      <w:r>
        <w:rPr>
          <w:spacing w:val="-1"/>
          <w:sz w:val="24"/>
        </w:rPr>
        <w:t> </w:t>
      </w:r>
      <w:r>
        <w:rPr>
          <w:spacing w:val="-6"/>
          <w:sz w:val="24"/>
        </w:rPr>
        <w:t>for</w:t>
      </w:r>
      <w:r>
        <w:rPr>
          <w:spacing w:val="-1"/>
          <w:sz w:val="24"/>
        </w:rPr>
        <w:t> </w:t>
      </w:r>
      <w:r>
        <w:rPr>
          <w:spacing w:val="-6"/>
          <w:sz w:val="24"/>
        </w:rPr>
        <w:t>Public</w:t>
      </w:r>
      <w:r>
        <w:rPr>
          <w:spacing w:val="-1"/>
          <w:sz w:val="24"/>
        </w:rPr>
        <w:t> </w:t>
      </w:r>
      <w:r>
        <w:rPr>
          <w:spacing w:val="-6"/>
          <w:sz w:val="24"/>
        </w:rPr>
        <w:t>Funded</w:t>
      </w:r>
      <w:r>
        <w:rPr>
          <w:spacing w:val="-1"/>
          <w:sz w:val="24"/>
        </w:rPr>
        <w:t> </w:t>
      </w:r>
      <w:r>
        <w:rPr>
          <w:spacing w:val="-6"/>
          <w:sz w:val="24"/>
        </w:rPr>
        <w:t>Research</w:t>
      </w:r>
    </w:p>
    <w:p>
      <w:pPr>
        <w:spacing w:before="172"/>
        <w:ind w:left="165" w:right="413" w:firstLine="0"/>
        <w:jc w:val="center"/>
        <w:rPr>
          <w:b/>
          <w:sz w:val="36"/>
        </w:rPr>
      </w:pPr>
      <w:r>
        <w:rPr>
          <w:b/>
          <w:color w:val="2E614A"/>
          <w:w w:val="90"/>
          <w:sz w:val="36"/>
          <w:u w:val="single" w:color="9CBF3B"/>
        </w:rPr>
        <w:t>Recommendations</w:t>
      </w:r>
      <w:r>
        <w:rPr>
          <w:b/>
          <w:color w:val="2E614A"/>
          <w:spacing w:val="51"/>
          <w:sz w:val="36"/>
          <w:u w:val="single" w:color="9CBF3B"/>
        </w:rPr>
        <w:t> </w:t>
      </w:r>
      <w:r>
        <w:rPr>
          <w:b/>
          <w:color w:val="2E614A"/>
          <w:w w:val="90"/>
          <w:sz w:val="36"/>
          <w:u w:val="single" w:color="9CBF3B"/>
        </w:rPr>
        <w:t>submitted</w:t>
      </w:r>
      <w:r>
        <w:rPr>
          <w:b/>
          <w:color w:val="2E614A"/>
          <w:spacing w:val="51"/>
          <w:sz w:val="36"/>
          <w:u w:val="single" w:color="9CBF3B"/>
        </w:rPr>
        <w:t> </w:t>
      </w:r>
      <w:r>
        <w:rPr>
          <w:b/>
          <w:color w:val="2E614A"/>
          <w:w w:val="90"/>
          <w:sz w:val="36"/>
          <w:u w:val="single" w:color="9CBF3B"/>
        </w:rPr>
        <w:t>in</w:t>
      </w:r>
      <w:r>
        <w:rPr>
          <w:b/>
          <w:color w:val="2E614A"/>
          <w:spacing w:val="51"/>
          <w:sz w:val="36"/>
          <w:u w:val="single" w:color="9CBF3B"/>
        </w:rPr>
        <w:t> </w:t>
      </w:r>
      <w:r>
        <w:rPr>
          <w:b/>
          <w:color w:val="2E614A"/>
          <w:spacing w:val="-4"/>
          <w:w w:val="90"/>
          <w:sz w:val="36"/>
          <w:u w:val="single" w:color="9CBF3B"/>
        </w:rPr>
        <w:t>2008</w:t>
      </w:r>
    </w:p>
    <w:p>
      <w:pPr>
        <w:pStyle w:val="ListParagraph"/>
        <w:numPr>
          <w:ilvl w:val="1"/>
          <w:numId w:val="4"/>
        </w:numPr>
        <w:tabs>
          <w:tab w:pos="3489" w:val="left" w:leader="none"/>
        </w:tabs>
        <w:spacing w:line="240" w:lineRule="auto" w:before="258" w:after="0"/>
        <w:ind w:left="3489" w:right="0" w:hanging="360"/>
        <w:jc w:val="left"/>
        <w:rPr>
          <w:sz w:val="24"/>
        </w:rPr>
      </w:pPr>
      <w:r>
        <w:rPr>
          <w:spacing w:val="-6"/>
          <w:sz w:val="24"/>
        </w:rPr>
        <w:t>School </w:t>
      </w:r>
      <w:r>
        <w:rPr>
          <w:spacing w:val="-2"/>
          <w:sz w:val="24"/>
        </w:rPr>
        <w:t>Education</w:t>
      </w:r>
    </w:p>
    <w:p>
      <w:pPr>
        <w:pStyle w:val="ListParagraph"/>
        <w:numPr>
          <w:ilvl w:val="1"/>
          <w:numId w:val="4"/>
        </w:numPr>
        <w:tabs>
          <w:tab w:pos="3489" w:val="left" w:leader="none"/>
        </w:tabs>
        <w:spacing w:line="240" w:lineRule="auto" w:before="4" w:after="0"/>
        <w:ind w:left="3489" w:right="0" w:hanging="360"/>
        <w:jc w:val="left"/>
        <w:rPr>
          <w:sz w:val="24"/>
        </w:rPr>
      </w:pPr>
      <w:r>
        <w:rPr>
          <w:spacing w:val="-6"/>
          <w:sz w:val="24"/>
        </w:rPr>
        <w:t>Engineering</w:t>
      </w:r>
      <w:r>
        <w:rPr>
          <w:spacing w:val="5"/>
          <w:sz w:val="24"/>
        </w:rPr>
        <w:t> </w:t>
      </w:r>
      <w:r>
        <w:rPr>
          <w:spacing w:val="-2"/>
          <w:sz w:val="24"/>
        </w:rPr>
        <w:t>Education</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More</w:t>
      </w:r>
      <w:r>
        <w:rPr>
          <w:spacing w:val="-13"/>
          <w:sz w:val="24"/>
        </w:rPr>
        <w:t> </w:t>
      </w:r>
      <w:r>
        <w:rPr>
          <w:spacing w:val="-2"/>
          <w:sz w:val="24"/>
        </w:rPr>
        <w:t>Talented</w:t>
      </w:r>
      <w:r>
        <w:rPr>
          <w:spacing w:val="-13"/>
          <w:sz w:val="24"/>
        </w:rPr>
        <w:t> </w:t>
      </w:r>
      <w:r>
        <w:rPr>
          <w:spacing w:val="-2"/>
          <w:sz w:val="24"/>
        </w:rPr>
        <w:t>Students</w:t>
      </w:r>
      <w:r>
        <w:rPr>
          <w:spacing w:val="-10"/>
          <w:sz w:val="24"/>
        </w:rPr>
        <w:t> </w:t>
      </w:r>
      <w:r>
        <w:rPr>
          <w:spacing w:val="-2"/>
          <w:sz w:val="24"/>
        </w:rPr>
        <w:t>in</w:t>
      </w:r>
      <w:r>
        <w:rPr>
          <w:spacing w:val="-9"/>
          <w:sz w:val="24"/>
        </w:rPr>
        <w:t> </w:t>
      </w:r>
      <w:r>
        <w:rPr>
          <w:spacing w:val="-2"/>
          <w:sz w:val="24"/>
        </w:rPr>
        <w:t>Maths</w:t>
      </w:r>
      <w:r>
        <w:rPr>
          <w:spacing w:val="-10"/>
          <w:sz w:val="24"/>
        </w:rPr>
        <w:t> </w:t>
      </w:r>
      <w:r>
        <w:rPr>
          <w:spacing w:val="-2"/>
          <w:sz w:val="24"/>
        </w:rPr>
        <w:t>and</w:t>
      </w:r>
      <w:r>
        <w:rPr>
          <w:spacing w:val="-9"/>
          <w:sz w:val="24"/>
        </w:rPr>
        <w:t> </w:t>
      </w:r>
      <w:r>
        <w:rPr>
          <w:spacing w:val="-2"/>
          <w:sz w:val="24"/>
        </w:rPr>
        <w:t>Science</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More</w:t>
      </w:r>
      <w:r>
        <w:rPr>
          <w:spacing w:val="-6"/>
          <w:sz w:val="24"/>
        </w:rPr>
        <w:t> </w:t>
      </w:r>
      <w:r>
        <w:rPr>
          <w:spacing w:val="-2"/>
          <w:sz w:val="24"/>
        </w:rPr>
        <w:t>Quality</w:t>
      </w:r>
      <w:r>
        <w:rPr>
          <w:spacing w:val="-5"/>
          <w:sz w:val="24"/>
        </w:rPr>
        <w:t> </w:t>
      </w:r>
      <w:r>
        <w:rPr>
          <w:spacing w:val="-2"/>
          <w:sz w:val="24"/>
        </w:rPr>
        <w:t>Ph.Ds</w:t>
      </w:r>
    </w:p>
    <w:p>
      <w:pPr>
        <w:pStyle w:val="ListParagraph"/>
        <w:numPr>
          <w:ilvl w:val="1"/>
          <w:numId w:val="4"/>
        </w:numPr>
        <w:tabs>
          <w:tab w:pos="3489" w:val="left" w:leader="none"/>
        </w:tabs>
        <w:spacing w:line="240" w:lineRule="auto" w:before="4" w:after="0"/>
        <w:ind w:left="3489" w:right="0" w:hanging="360"/>
        <w:jc w:val="left"/>
        <w:rPr>
          <w:sz w:val="24"/>
        </w:rPr>
      </w:pPr>
      <w:r>
        <w:rPr>
          <w:spacing w:val="-2"/>
          <w:sz w:val="24"/>
        </w:rPr>
        <w:t>Entrepreneurship</w:t>
      </w:r>
    </w:p>
    <w:p>
      <w:pPr>
        <w:spacing w:before="172"/>
        <w:ind w:left="165" w:right="413" w:firstLine="0"/>
        <w:jc w:val="center"/>
        <w:rPr>
          <w:b/>
          <w:sz w:val="36"/>
        </w:rPr>
      </w:pPr>
      <w:r>
        <w:rPr>
          <w:b/>
          <w:color w:val="2E614A"/>
          <w:w w:val="90"/>
          <w:sz w:val="36"/>
        </w:rPr>
        <w:t>Recommendations</w:t>
      </w:r>
      <w:r>
        <w:rPr>
          <w:b/>
          <w:color w:val="2E614A"/>
          <w:spacing w:val="50"/>
          <w:sz w:val="36"/>
        </w:rPr>
        <w:t> </w:t>
      </w:r>
      <w:r>
        <w:rPr>
          <w:b/>
          <w:color w:val="2E614A"/>
          <w:w w:val="90"/>
          <w:sz w:val="36"/>
        </w:rPr>
        <w:t>submitted</w:t>
      </w:r>
      <w:r>
        <w:rPr>
          <w:b/>
          <w:color w:val="2E614A"/>
          <w:spacing w:val="51"/>
          <w:sz w:val="36"/>
        </w:rPr>
        <w:t> </w:t>
      </w:r>
      <w:r>
        <w:rPr>
          <w:b/>
          <w:color w:val="2E614A"/>
          <w:w w:val="90"/>
          <w:sz w:val="36"/>
        </w:rPr>
        <w:t>in</w:t>
      </w:r>
      <w:r>
        <w:rPr>
          <w:b/>
          <w:color w:val="2E614A"/>
          <w:spacing w:val="50"/>
          <w:sz w:val="36"/>
        </w:rPr>
        <w:t> </w:t>
      </w:r>
      <w:r>
        <w:rPr>
          <w:b/>
          <w:color w:val="2E614A"/>
          <w:spacing w:val="-4"/>
          <w:w w:val="90"/>
          <w:sz w:val="36"/>
        </w:rPr>
        <w:t>2009</w:t>
      </w:r>
    </w:p>
    <w:p>
      <w:pPr>
        <w:pStyle w:val="BodyText"/>
        <w:spacing w:before="6"/>
        <w:rPr>
          <w:b/>
          <w:sz w:val="3"/>
        </w:rPr>
      </w:pPr>
      <w:r>
        <w:rPr/>
        <mc:AlternateContent>
          <mc:Choice Requires="wps">
            <w:drawing>
              <wp:anchor distT="0" distB="0" distL="0" distR="0" allowOverlap="1" layoutInCell="1" locked="0" behindDoc="1" simplePos="0" relativeHeight="487597056">
                <wp:simplePos x="0" y="0"/>
                <wp:positionH relativeFrom="page">
                  <wp:posOffset>1992719</wp:posOffset>
                </wp:positionH>
                <wp:positionV relativeFrom="paragraph">
                  <wp:posOffset>41147</wp:posOffset>
                </wp:positionV>
                <wp:extent cx="3635375" cy="635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3635375" cy="6350"/>
                        </a:xfrm>
                        <a:custGeom>
                          <a:avLst/>
                          <a:gdLst/>
                          <a:ahLst/>
                          <a:cxnLst/>
                          <a:rect l="l" t="t" r="r" b="b"/>
                          <a:pathLst>
                            <a:path w="3635375" h="6350">
                              <a:moveTo>
                                <a:pt x="3635259" y="0"/>
                              </a:moveTo>
                              <a:lnTo>
                                <a:pt x="0" y="0"/>
                              </a:lnTo>
                              <a:lnTo>
                                <a:pt x="0" y="6350"/>
                              </a:lnTo>
                              <a:lnTo>
                                <a:pt x="3635259" y="6350"/>
                              </a:lnTo>
                              <a:lnTo>
                                <a:pt x="3635259" y="0"/>
                              </a:lnTo>
                              <a:close/>
                            </a:path>
                          </a:pathLst>
                        </a:custGeom>
                        <a:solidFill>
                          <a:srgbClr val="9CBF3B"/>
                        </a:solidFill>
                      </wps:spPr>
                      <wps:bodyPr wrap="square" lIns="0" tIns="0" rIns="0" bIns="0" rtlCol="0">
                        <a:prstTxWarp prst="textNoShape">
                          <a:avLst/>
                        </a:prstTxWarp>
                        <a:noAutofit/>
                      </wps:bodyPr>
                    </wps:wsp>
                  </a:graphicData>
                </a:graphic>
              </wp:anchor>
            </w:drawing>
          </mc:Choice>
          <mc:Fallback>
            <w:pict>
              <v:rect style="position:absolute;margin-left:156.907043pt;margin-top:3.239966pt;width:286.24091pt;height:.5pt;mso-position-horizontal-relative:page;mso-position-vertical-relative:paragraph;z-index:-15719424;mso-wrap-distance-left:0;mso-wrap-distance-right:0" id="docshape54" filled="true" fillcolor="#9cbf3b" stroked="false">
                <v:fill type="solid"/>
                <w10:wrap type="topAndBottom"/>
              </v:rect>
            </w:pict>
          </mc:Fallback>
        </mc:AlternateContent>
      </w:r>
    </w:p>
    <w:p>
      <w:pPr>
        <w:pStyle w:val="ListParagraph"/>
        <w:numPr>
          <w:ilvl w:val="1"/>
          <w:numId w:val="4"/>
        </w:numPr>
        <w:tabs>
          <w:tab w:pos="3489" w:val="left" w:leader="none"/>
        </w:tabs>
        <w:spacing w:line="240" w:lineRule="auto" w:before="184" w:after="0"/>
        <w:ind w:left="3489" w:right="0" w:hanging="360"/>
        <w:jc w:val="left"/>
        <w:rPr>
          <w:sz w:val="24"/>
        </w:rPr>
      </w:pPr>
      <w:r>
        <w:rPr>
          <w:spacing w:val="-6"/>
          <w:sz w:val="24"/>
        </w:rPr>
        <w:t>Knowledge</w:t>
      </w:r>
      <w:r>
        <w:rPr>
          <w:spacing w:val="-4"/>
          <w:sz w:val="24"/>
        </w:rPr>
        <w:t> </w:t>
      </w:r>
      <w:r>
        <w:rPr>
          <w:spacing w:val="-6"/>
          <w:sz w:val="24"/>
        </w:rPr>
        <w:t>Applications</w:t>
      </w:r>
      <w:r>
        <w:rPr>
          <w:spacing w:val="-3"/>
          <w:sz w:val="24"/>
        </w:rPr>
        <w:t> </w:t>
      </w:r>
      <w:r>
        <w:rPr>
          <w:spacing w:val="-6"/>
          <w:sz w:val="24"/>
        </w:rPr>
        <w:t>in</w:t>
      </w:r>
      <w:r>
        <w:rPr>
          <w:spacing w:val="-3"/>
          <w:sz w:val="24"/>
        </w:rPr>
        <w:t> </w:t>
      </w:r>
      <w:r>
        <w:rPr>
          <w:spacing w:val="-6"/>
          <w:sz w:val="24"/>
        </w:rPr>
        <w:t>Agriculture</w:t>
      </w:r>
    </w:p>
    <w:p>
      <w:pPr>
        <w:pStyle w:val="ListParagraph"/>
        <w:numPr>
          <w:ilvl w:val="1"/>
          <w:numId w:val="4"/>
        </w:numPr>
        <w:tabs>
          <w:tab w:pos="3489" w:val="left" w:leader="none"/>
        </w:tabs>
        <w:spacing w:line="242" w:lineRule="auto" w:before="4" w:after="0"/>
        <w:ind w:left="3489" w:right="4767" w:hanging="360"/>
        <w:jc w:val="left"/>
        <w:rPr>
          <w:sz w:val="24"/>
        </w:rPr>
      </w:pPr>
      <w:r>
        <w:rPr>
          <w:spacing w:val="-6"/>
          <w:sz w:val="24"/>
        </w:rPr>
        <w:t>Knowledge Applications for </w:t>
      </w:r>
      <w:r>
        <w:rPr>
          <w:spacing w:val="-6"/>
          <w:sz w:val="24"/>
        </w:rPr>
        <w:t>Enhancing </w:t>
      </w:r>
      <w:r>
        <w:rPr>
          <w:sz w:val="24"/>
        </w:rPr>
        <w:t>Quality of Life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0"/>
        <w:rPr>
          <w:sz w:val="18"/>
        </w:rPr>
      </w:pPr>
    </w:p>
    <w:p>
      <w:pPr>
        <w:spacing w:before="0"/>
        <w:ind w:left="1071" w:right="0" w:firstLine="0"/>
        <w:jc w:val="left"/>
        <w:rPr>
          <w:rFonts w:ascii="Trebuchet MS"/>
          <w:sz w:val="18"/>
        </w:rPr>
      </w:pPr>
      <w:r>
        <w:rPr/>
        <mc:AlternateContent>
          <mc:Choice Requires="wps">
            <w:drawing>
              <wp:anchor distT="0" distB="0" distL="0" distR="0" allowOverlap="1" layoutInCell="1" locked="0" behindDoc="0" simplePos="0" relativeHeight="15738880">
                <wp:simplePos x="0" y="0"/>
                <wp:positionH relativeFrom="page">
                  <wp:posOffset>162877</wp:posOffset>
                </wp:positionH>
                <wp:positionV relativeFrom="paragraph">
                  <wp:posOffset>-172563</wp:posOffset>
                </wp:positionV>
                <wp:extent cx="505459" cy="53403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505459" cy="534035"/>
                          <a:chExt cx="505459" cy="534035"/>
                        </a:xfrm>
                      </wpg:grpSpPr>
                      <pic:pic>
                        <pic:nvPicPr>
                          <pic:cNvPr id="59" name="Image 59"/>
                          <pic:cNvPicPr/>
                        </pic:nvPicPr>
                        <pic:blipFill>
                          <a:blip r:embed="rId17" cstate="print"/>
                          <a:stretch>
                            <a:fillRect/>
                          </a:stretch>
                        </pic:blipFill>
                        <pic:spPr>
                          <a:xfrm>
                            <a:off x="0" y="0"/>
                            <a:ext cx="504863" cy="266952"/>
                          </a:xfrm>
                          <a:prstGeom prst="rect">
                            <a:avLst/>
                          </a:prstGeom>
                        </pic:spPr>
                      </pic:pic>
                      <pic:pic>
                        <pic:nvPicPr>
                          <pic:cNvPr id="60" name="Image 60"/>
                          <pic:cNvPicPr/>
                        </pic:nvPicPr>
                        <pic:blipFill>
                          <a:blip r:embed="rId18" cstate="print"/>
                          <a:stretch>
                            <a:fillRect/>
                          </a:stretch>
                        </pic:blipFill>
                        <pic:spPr>
                          <a:xfrm>
                            <a:off x="0" y="266481"/>
                            <a:ext cx="504863" cy="266956"/>
                          </a:xfrm>
                          <a:prstGeom prst="rect">
                            <a:avLst/>
                          </a:prstGeom>
                        </pic:spPr>
                      </pic:pic>
                      <wps:wsp>
                        <wps:cNvPr id="61" name="Textbox 61"/>
                        <wps:cNvSpPr txBox="1"/>
                        <wps:spPr>
                          <a:xfrm>
                            <a:off x="0" y="0"/>
                            <a:ext cx="505459" cy="534035"/>
                          </a:xfrm>
                          <a:prstGeom prst="rect">
                            <a:avLst/>
                          </a:prstGeom>
                        </wps:spPr>
                        <wps:txbx>
                          <w:txbxContent>
                            <w:p>
                              <w:pPr>
                                <w:spacing w:line="240" w:lineRule="auto" w:before="22"/>
                                <w:rPr>
                                  <w:rFonts w:ascii="Trebuchet MS"/>
                                  <w:sz w:val="20"/>
                                </w:rPr>
                              </w:pPr>
                            </w:p>
                            <w:p>
                              <w:pPr>
                                <w:spacing w:before="0"/>
                                <w:ind w:left="0" w:right="14" w:firstLine="0"/>
                                <w:jc w:val="center"/>
                                <w:rPr>
                                  <w:rFonts w:ascii="Trebuchet MS"/>
                                  <w:sz w:val="20"/>
                                </w:rPr>
                              </w:pPr>
                              <w:r>
                                <w:rPr>
                                  <w:rFonts w:ascii="Trebuchet MS"/>
                                  <w:spacing w:val="-5"/>
                                  <w:sz w:val="20"/>
                                </w:rPr>
                                <w:t>10</w:t>
                              </w:r>
                            </w:p>
                          </w:txbxContent>
                        </wps:txbx>
                        <wps:bodyPr wrap="square" lIns="0" tIns="0" rIns="0" bIns="0" rtlCol="0">
                          <a:noAutofit/>
                        </wps:bodyPr>
                      </wps:wsp>
                    </wpg:wgp>
                  </a:graphicData>
                </a:graphic>
              </wp:anchor>
            </w:drawing>
          </mc:Choice>
          <mc:Fallback>
            <w:pict>
              <v:group style="position:absolute;margin-left:12.825pt;margin-top:-13.587689pt;width:39.8pt;height:42.05pt;mso-position-horizontal-relative:page;mso-position-vertical-relative:paragraph;z-index:15738880" id="docshapegroup55" coordorigin="256,-272" coordsize="796,841">
                <v:shape style="position:absolute;left:256;top:-272;width:796;height:421" type="#_x0000_t75" id="docshape56" stroked="false">
                  <v:imagedata r:id="rId17" o:title=""/>
                </v:shape>
                <v:shape style="position:absolute;left:256;top:147;width:796;height:421" type="#_x0000_t75" id="docshape57" stroked="false">
                  <v:imagedata r:id="rId18" o:title=""/>
                </v:shape>
                <v:shape style="position:absolute;left:256;top:-272;width:796;height:841" type="#_x0000_t202" id="docshape58" filled="false" stroked="false">
                  <v:textbox inset="0,0,0,0">
                    <w:txbxContent>
                      <w:p>
                        <w:pPr>
                          <w:spacing w:line="240" w:lineRule="auto" w:before="22"/>
                          <w:rPr>
                            <w:rFonts w:ascii="Trebuchet MS"/>
                            <w:sz w:val="20"/>
                          </w:rPr>
                        </w:pPr>
                      </w:p>
                      <w:p>
                        <w:pPr>
                          <w:spacing w:before="0"/>
                          <w:ind w:left="0" w:right="14" w:firstLine="0"/>
                          <w:jc w:val="center"/>
                          <w:rPr>
                            <w:rFonts w:ascii="Trebuchet MS"/>
                            <w:sz w:val="20"/>
                          </w:rPr>
                        </w:pPr>
                        <w:r>
                          <w:rPr>
                            <w:rFonts w:ascii="Trebuchet MS"/>
                            <w:spacing w:val="-5"/>
                            <w:sz w:val="20"/>
                          </w:rPr>
                          <w:t>10</w:t>
                        </w:r>
                      </w:p>
                    </w:txbxContent>
                  </v:textbox>
                  <w10:wrap type="none"/>
                </v:shape>
                <w10:wrap type="none"/>
              </v:group>
            </w:pict>
          </mc:Fallback>
        </mc:AlternateContent>
      </w: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p>
      <w:pPr>
        <w:spacing w:after="0"/>
        <w:jc w:val="left"/>
        <w:rPr>
          <w:rFonts w:ascii="Trebuchet MS"/>
          <w:sz w:val="18"/>
        </w:rPr>
        <w:sectPr>
          <w:footerReference w:type="even" r:id="rId22"/>
          <w:pgSz w:w="11910" w:h="16840"/>
          <w:pgMar w:header="0" w:footer="0" w:top="0" w:bottom="0" w:left="0" w:right="0"/>
        </w:sectPr>
      </w:pPr>
    </w:p>
    <w:p>
      <w:pPr>
        <w:spacing w:before="82"/>
        <w:ind w:left="437" w:right="413" w:firstLine="0"/>
        <w:jc w:val="center"/>
        <w:rPr>
          <w:rFonts w:ascii="Trebuchet MS"/>
          <w:b/>
          <w:sz w:val="36"/>
        </w:rPr>
      </w:pPr>
      <w:r>
        <w:rPr/>
        <mc:AlternateContent>
          <mc:Choice Requires="wps">
            <w:drawing>
              <wp:anchor distT="0" distB="0" distL="0" distR="0" allowOverlap="1" layoutInCell="1" locked="0" behindDoc="0" simplePos="0" relativeHeight="15742464">
                <wp:simplePos x="0" y="0"/>
                <wp:positionH relativeFrom="page">
                  <wp:posOffset>1661281</wp:posOffset>
                </wp:positionH>
                <wp:positionV relativeFrom="paragraph">
                  <wp:posOffset>1449222</wp:posOffset>
                </wp:positionV>
                <wp:extent cx="4375150" cy="509270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4375150" cy="5092700"/>
                          <a:chExt cx="4375150" cy="5092700"/>
                        </a:xfrm>
                      </wpg:grpSpPr>
                      <wps:wsp>
                        <wps:cNvPr id="67" name="Graphic 67"/>
                        <wps:cNvSpPr/>
                        <wps:spPr>
                          <a:xfrm>
                            <a:off x="1111065" y="0"/>
                            <a:ext cx="2007235" cy="5092700"/>
                          </a:xfrm>
                          <a:custGeom>
                            <a:avLst/>
                            <a:gdLst/>
                            <a:ahLst/>
                            <a:cxnLst/>
                            <a:rect l="l" t="t" r="r" b="b"/>
                            <a:pathLst>
                              <a:path w="2007235" h="5092700">
                                <a:moveTo>
                                  <a:pt x="965250" y="4114800"/>
                                </a:moveTo>
                                <a:lnTo>
                                  <a:pt x="0" y="4114800"/>
                                </a:lnTo>
                                <a:lnTo>
                                  <a:pt x="0" y="5092649"/>
                                </a:lnTo>
                                <a:lnTo>
                                  <a:pt x="965250" y="5092649"/>
                                </a:lnTo>
                                <a:lnTo>
                                  <a:pt x="965250" y="4114800"/>
                                </a:lnTo>
                                <a:close/>
                              </a:path>
                              <a:path w="2007235" h="5092700">
                                <a:moveTo>
                                  <a:pt x="965250" y="2057400"/>
                                </a:moveTo>
                                <a:lnTo>
                                  <a:pt x="0" y="2057400"/>
                                </a:lnTo>
                                <a:lnTo>
                                  <a:pt x="0" y="3035249"/>
                                </a:lnTo>
                                <a:lnTo>
                                  <a:pt x="965250" y="3035249"/>
                                </a:lnTo>
                                <a:lnTo>
                                  <a:pt x="965250" y="2057400"/>
                                </a:lnTo>
                                <a:close/>
                              </a:path>
                              <a:path w="2007235" h="5092700">
                                <a:moveTo>
                                  <a:pt x="965250" y="1028700"/>
                                </a:moveTo>
                                <a:lnTo>
                                  <a:pt x="0" y="1028700"/>
                                </a:lnTo>
                                <a:lnTo>
                                  <a:pt x="0" y="2006549"/>
                                </a:lnTo>
                                <a:lnTo>
                                  <a:pt x="965250" y="2006549"/>
                                </a:lnTo>
                                <a:lnTo>
                                  <a:pt x="965250" y="1028700"/>
                                </a:lnTo>
                                <a:close/>
                              </a:path>
                              <a:path w="2007235" h="5092700">
                                <a:moveTo>
                                  <a:pt x="965250" y="0"/>
                                </a:moveTo>
                                <a:lnTo>
                                  <a:pt x="0" y="0"/>
                                </a:lnTo>
                                <a:lnTo>
                                  <a:pt x="0" y="977836"/>
                                </a:lnTo>
                                <a:lnTo>
                                  <a:pt x="965250" y="977836"/>
                                </a:lnTo>
                                <a:lnTo>
                                  <a:pt x="965250" y="0"/>
                                </a:lnTo>
                                <a:close/>
                              </a:path>
                              <a:path w="2007235" h="5092700">
                                <a:moveTo>
                                  <a:pt x="984224" y="3086100"/>
                                </a:moveTo>
                                <a:lnTo>
                                  <a:pt x="19075" y="3086100"/>
                                </a:lnTo>
                                <a:lnTo>
                                  <a:pt x="19075" y="4063936"/>
                                </a:lnTo>
                                <a:lnTo>
                                  <a:pt x="984224" y="4063936"/>
                                </a:lnTo>
                                <a:lnTo>
                                  <a:pt x="984224" y="3086100"/>
                                </a:lnTo>
                                <a:close/>
                              </a:path>
                              <a:path w="2007235" h="5092700">
                                <a:moveTo>
                                  <a:pt x="1987550" y="4114800"/>
                                </a:moveTo>
                                <a:lnTo>
                                  <a:pt x="1022400" y="4114800"/>
                                </a:lnTo>
                                <a:lnTo>
                                  <a:pt x="1022400" y="5092649"/>
                                </a:lnTo>
                                <a:lnTo>
                                  <a:pt x="1987550" y="5092649"/>
                                </a:lnTo>
                                <a:lnTo>
                                  <a:pt x="1987550" y="4114800"/>
                                </a:lnTo>
                                <a:close/>
                              </a:path>
                              <a:path w="2007235" h="5092700">
                                <a:moveTo>
                                  <a:pt x="1987550" y="2057400"/>
                                </a:moveTo>
                                <a:lnTo>
                                  <a:pt x="1022400" y="2057400"/>
                                </a:lnTo>
                                <a:lnTo>
                                  <a:pt x="1022400" y="3035249"/>
                                </a:lnTo>
                                <a:lnTo>
                                  <a:pt x="1987550" y="3035249"/>
                                </a:lnTo>
                                <a:lnTo>
                                  <a:pt x="1987550" y="2057400"/>
                                </a:lnTo>
                                <a:close/>
                              </a:path>
                              <a:path w="2007235" h="5092700">
                                <a:moveTo>
                                  <a:pt x="1987550" y="1028700"/>
                                </a:moveTo>
                                <a:lnTo>
                                  <a:pt x="1022400" y="1028700"/>
                                </a:lnTo>
                                <a:lnTo>
                                  <a:pt x="1022400" y="2006549"/>
                                </a:lnTo>
                                <a:lnTo>
                                  <a:pt x="1987550" y="2006549"/>
                                </a:lnTo>
                                <a:lnTo>
                                  <a:pt x="1987550" y="1028700"/>
                                </a:lnTo>
                                <a:close/>
                              </a:path>
                              <a:path w="2007235" h="5092700">
                                <a:moveTo>
                                  <a:pt x="1987550" y="0"/>
                                </a:moveTo>
                                <a:lnTo>
                                  <a:pt x="1022400" y="0"/>
                                </a:lnTo>
                                <a:lnTo>
                                  <a:pt x="1022400" y="977836"/>
                                </a:lnTo>
                                <a:lnTo>
                                  <a:pt x="1987550" y="977836"/>
                                </a:lnTo>
                                <a:lnTo>
                                  <a:pt x="1987550" y="0"/>
                                </a:lnTo>
                                <a:close/>
                              </a:path>
                              <a:path w="2007235" h="5092700">
                                <a:moveTo>
                                  <a:pt x="2006638" y="3086100"/>
                                </a:moveTo>
                                <a:lnTo>
                                  <a:pt x="1041374" y="3086100"/>
                                </a:lnTo>
                                <a:lnTo>
                                  <a:pt x="1041374" y="4063936"/>
                                </a:lnTo>
                                <a:lnTo>
                                  <a:pt x="2006638" y="4063936"/>
                                </a:lnTo>
                                <a:lnTo>
                                  <a:pt x="2006638" y="3086100"/>
                                </a:lnTo>
                                <a:close/>
                              </a:path>
                            </a:pathLst>
                          </a:custGeom>
                          <a:solidFill>
                            <a:srgbClr val="D5D5D5"/>
                          </a:solidFill>
                        </wps:spPr>
                        <wps:bodyPr wrap="square" lIns="0" tIns="0" rIns="0" bIns="0" rtlCol="0">
                          <a:prstTxWarp prst="textNoShape">
                            <a:avLst/>
                          </a:prstTxWarp>
                          <a:noAutofit/>
                        </wps:bodyPr>
                      </wps:wsp>
                      <pic:pic>
                        <pic:nvPicPr>
                          <pic:cNvPr id="68" name="Image 68"/>
                          <pic:cNvPicPr/>
                        </pic:nvPicPr>
                        <pic:blipFill>
                          <a:blip r:embed="rId24" cstate="print"/>
                          <a:stretch>
                            <a:fillRect/>
                          </a:stretch>
                        </pic:blipFill>
                        <pic:spPr>
                          <a:xfrm>
                            <a:off x="12756" y="466915"/>
                            <a:ext cx="4362373" cy="4159262"/>
                          </a:xfrm>
                          <a:prstGeom prst="rect">
                            <a:avLst/>
                          </a:prstGeom>
                        </pic:spPr>
                      </pic:pic>
                      <pic:pic>
                        <pic:nvPicPr>
                          <pic:cNvPr id="69" name="Image 69"/>
                          <pic:cNvPicPr/>
                        </pic:nvPicPr>
                        <pic:blipFill>
                          <a:blip r:embed="rId25" cstate="print"/>
                          <a:stretch>
                            <a:fillRect/>
                          </a:stretch>
                        </pic:blipFill>
                        <pic:spPr>
                          <a:xfrm>
                            <a:off x="1111065" y="466915"/>
                            <a:ext cx="965263" cy="510920"/>
                          </a:xfrm>
                          <a:prstGeom prst="rect">
                            <a:avLst/>
                          </a:prstGeom>
                        </pic:spPr>
                      </pic:pic>
                      <pic:pic>
                        <pic:nvPicPr>
                          <pic:cNvPr id="70" name="Image 70"/>
                          <pic:cNvPicPr/>
                        </pic:nvPicPr>
                        <pic:blipFill>
                          <a:blip r:embed="rId26" cstate="print"/>
                          <a:stretch>
                            <a:fillRect/>
                          </a:stretch>
                        </pic:blipFill>
                        <pic:spPr>
                          <a:xfrm>
                            <a:off x="2133478" y="466915"/>
                            <a:ext cx="965149" cy="510920"/>
                          </a:xfrm>
                          <a:prstGeom prst="rect">
                            <a:avLst/>
                          </a:prstGeom>
                        </pic:spPr>
                      </pic:pic>
                      <pic:pic>
                        <pic:nvPicPr>
                          <pic:cNvPr id="71" name="Image 71"/>
                          <pic:cNvPicPr/>
                        </pic:nvPicPr>
                        <pic:blipFill>
                          <a:blip r:embed="rId27" cstate="print"/>
                          <a:stretch>
                            <a:fillRect/>
                          </a:stretch>
                        </pic:blipFill>
                        <pic:spPr>
                          <a:xfrm>
                            <a:off x="1111065" y="1028700"/>
                            <a:ext cx="965263" cy="977836"/>
                          </a:xfrm>
                          <a:prstGeom prst="rect">
                            <a:avLst/>
                          </a:prstGeom>
                        </pic:spPr>
                      </pic:pic>
                      <pic:pic>
                        <pic:nvPicPr>
                          <pic:cNvPr id="72" name="Image 72"/>
                          <pic:cNvPicPr/>
                        </pic:nvPicPr>
                        <pic:blipFill>
                          <a:blip r:embed="rId28" cstate="print"/>
                          <a:stretch>
                            <a:fillRect/>
                          </a:stretch>
                        </pic:blipFill>
                        <pic:spPr>
                          <a:xfrm>
                            <a:off x="2133478" y="1028700"/>
                            <a:ext cx="965149" cy="977836"/>
                          </a:xfrm>
                          <a:prstGeom prst="rect">
                            <a:avLst/>
                          </a:prstGeom>
                        </pic:spPr>
                      </pic:pic>
                      <pic:pic>
                        <pic:nvPicPr>
                          <pic:cNvPr id="73" name="Image 73"/>
                          <pic:cNvPicPr/>
                        </pic:nvPicPr>
                        <pic:blipFill>
                          <a:blip r:embed="rId29" cstate="print"/>
                          <a:stretch>
                            <a:fillRect/>
                          </a:stretch>
                        </pic:blipFill>
                        <pic:spPr>
                          <a:xfrm>
                            <a:off x="1111065" y="2057400"/>
                            <a:ext cx="965263" cy="977836"/>
                          </a:xfrm>
                          <a:prstGeom prst="rect">
                            <a:avLst/>
                          </a:prstGeom>
                        </pic:spPr>
                      </pic:pic>
                      <pic:pic>
                        <pic:nvPicPr>
                          <pic:cNvPr id="74" name="Image 74"/>
                          <pic:cNvPicPr/>
                        </pic:nvPicPr>
                        <pic:blipFill>
                          <a:blip r:embed="rId29" cstate="print"/>
                          <a:stretch>
                            <a:fillRect/>
                          </a:stretch>
                        </pic:blipFill>
                        <pic:spPr>
                          <a:xfrm>
                            <a:off x="2133478" y="2057400"/>
                            <a:ext cx="965149" cy="977836"/>
                          </a:xfrm>
                          <a:prstGeom prst="rect">
                            <a:avLst/>
                          </a:prstGeom>
                        </pic:spPr>
                      </pic:pic>
                      <pic:pic>
                        <pic:nvPicPr>
                          <pic:cNvPr id="75" name="Image 75"/>
                          <pic:cNvPicPr/>
                        </pic:nvPicPr>
                        <pic:blipFill>
                          <a:blip r:embed="rId29" cstate="print"/>
                          <a:stretch>
                            <a:fillRect/>
                          </a:stretch>
                        </pic:blipFill>
                        <pic:spPr>
                          <a:xfrm>
                            <a:off x="1130153" y="3086100"/>
                            <a:ext cx="965149" cy="977836"/>
                          </a:xfrm>
                          <a:prstGeom prst="rect">
                            <a:avLst/>
                          </a:prstGeom>
                        </pic:spPr>
                      </pic:pic>
                      <pic:pic>
                        <pic:nvPicPr>
                          <pic:cNvPr id="76" name="Image 76"/>
                          <pic:cNvPicPr/>
                        </pic:nvPicPr>
                        <pic:blipFill>
                          <a:blip r:embed="rId29" cstate="print"/>
                          <a:stretch>
                            <a:fillRect/>
                          </a:stretch>
                        </pic:blipFill>
                        <pic:spPr>
                          <a:xfrm>
                            <a:off x="2152452" y="3086100"/>
                            <a:ext cx="965263" cy="977836"/>
                          </a:xfrm>
                          <a:prstGeom prst="rect">
                            <a:avLst/>
                          </a:prstGeom>
                        </pic:spPr>
                      </pic:pic>
                      <pic:pic>
                        <pic:nvPicPr>
                          <pic:cNvPr id="77" name="Image 77"/>
                          <pic:cNvPicPr/>
                        </pic:nvPicPr>
                        <pic:blipFill>
                          <a:blip r:embed="rId30" cstate="print"/>
                          <a:stretch>
                            <a:fillRect/>
                          </a:stretch>
                        </pic:blipFill>
                        <pic:spPr>
                          <a:xfrm>
                            <a:off x="1111065" y="4114800"/>
                            <a:ext cx="965263" cy="511378"/>
                          </a:xfrm>
                          <a:prstGeom prst="rect">
                            <a:avLst/>
                          </a:prstGeom>
                        </pic:spPr>
                      </pic:pic>
                      <pic:pic>
                        <pic:nvPicPr>
                          <pic:cNvPr id="78" name="Image 78"/>
                          <pic:cNvPicPr/>
                        </pic:nvPicPr>
                        <pic:blipFill>
                          <a:blip r:embed="rId30" cstate="print"/>
                          <a:stretch>
                            <a:fillRect/>
                          </a:stretch>
                        </pic:blipFill>
                        <pic:spPr>
                          <a:xfrm>
                            <a:off x="2133478" y="4114800"/>
                            <a:ext cx="965149" cy="511378"/>
                          </a:xfrm>
                          <a:prstGeom prst="rect">
                            <a:avLst/>
                          </a:prstGeom>
                        </pic:spPr>
                      </pic:pic>
                      <wps:wsp>
                        <wps:cNvPr id="79" name="Graphic 79"/>
                        <wps:cNvSpPr/>
                        <wps:spPr>
                          <a:xfrm>
                            <a:off x="0" y="454211"/>
                            <a:ext cx="4212590" cy="4006850"/>
                          </a:xfrm>
                          <a:custGeom>
                            <a:avLst/>
                            <a:gdLst/>
                            <a:ahLst/>
                            <a:cxnLst/>
                            <a:rect l="l" t="t" r="r" b="b"/>
                            <a:pathLst>
                              <a:path w="4212590" h="4006850">
                                <a:moveTo>
                                  <a:pt x="2106250" y="0"/>
                                </a:moveTo>
                                <a:lnTo>
                                  <a:pt x="0" y="1530281"/>
                                </a:lnTo>
                                <a:lnTo>
                                  <a:pt x="804516" y="4006327"/>
                                </a:lnTo>
                                <a:lnTo>
                                  <a:pt x="3407985" y="4006327"/>
                                </a:lnTo>
                                <a:lnTo>
                                  <a:pt x="4212501" y="1530281"/>
                                </a:lnTo>
                                <a:lnTo>
                                  <a:pt x="2106250" y="0"/>
                                </a:lnTo>
                                <a:close/>
                              </a:path>
                            </a:pathLst>
                          </a:custGeom>
                          <a:solidFill>
                            <a:srgbClr val="61816F"/>
                          </a:solidFill>
                        </wps:spPr>
                        <wps:bodyPr wrap="square" lIns="0" tIns="0" rIns="0" bIns="0" rtlCol="0">
                          <a:prstTxWarp prst="textNoShape">
                            <a:avLst/>
                          </a:prstTxWarp>
                          <a:noAutofit/>
                        </wps:bodyPr>
                      </wps:wsp>
                      <pic:pic>
                        <pic:nvPicPr>
                          <pic:cNvPr id="80" name="Image 80"/>
                          <pic:cNvPicPr/>
                        </pic:nvPicPr>
                        <pic:blipFill>
                          <a:blip r:embed="rId31" cstate="print"/>
                          <a:stretch>
                            <a:fillRect/>
                          </a:stretch>
                        </pic:blipFill>
                        <pic:spPr>
                          <a:xfrm>
                            <a:off x="747311" y="1014410"/>
                            <a:ext cx="1039387" cy="863406"/>
                          </a:xfrm>
                          <a:prstGeom prst="rect">
                            <a:avLst/>
                          </a:prstGeom>
                        </pic:spPr>
                      </pic:pic>
                      <pic:pic>
                        <pic:nvPicPr>
                          <pic:cNvPr id="81" name="Image 81"/>
                          <pic:cNvPicPr/>
                        </pic:nvPicPr>
                        <pic:blipFill>
                          <a:blip r:embed="rId32" cstate="print"/>
                          <a:stretch>
                            <a:fillRect/>
                          </a:stretch>
                        </pic:blipFill>
                        <pic:spPr>
                          <a:xfrm>
                            <a:off x="2228187" y="1274380"/>
                            <a:ext cx="1236693" cy="592504"/>
                          </a:xfrm>
                          <a:prstGeom prst="rect">
                            <a:avLst/>
                          </a:prstGeom>
                        </pic:spPr>
                      </pic:pic>
                      <pic:pic>
                        <pic:nvPicPr>
                          <pic:cNvPr id="82" name="Image 82"/>
                          <pic:cNvPicPr/>
                        </pic:nvPicPr>
                        <pic:blipFill>
                          <a:blip r:embed="rId33" cstate="print"/>
                          <a:stretch>
                            <a:fillRect/>
                          </a:stretch>
                        </pic:blipFill>
                        <pic:spPr>
                          <a:xfrm>
                            <a:off x="3077843" y="2427993"/>
                            <a:ext cx="754210" cy="1338498"/>
                          </a:xfrm>
                          <a:prstGeom prst="rect">
                            <a:avLst/>
                          </a:prstGeom>
                        </pic:spPr>
                      </pic:pic>
                      <pic:pic>
                        <pic:nvPicPr>
                          <pic:cNvPr id="83" name="Image 83"/>
                          <pic:cNvPicPr/>
                        </pic:nvPicPr>
                        <pic:blipFill>
                          <a:blip r:embed="rId34" cstate="print"/>
                          <a:stretch>
                            <a:fillRect/>
                          </a:stretch>
                        </pic:blipFill>
                        <pic:spPr>
                          <a:xfrm>
                            <a:off x="1858850" y="3560636"/>
                            <a:ext cx="528575" cy="830579"/>
                          </a:xfrm>
                          <a:prstGeom prst="rect">
                            <a:avLst/>
                          </a:prstGeom>
                        </pic:spPr>
                      </pic:pic>
                      <pic:pic>
                        <pic:nvPicPr>
                          <pic:cNvPr id="84" name="Image 84"/>
                          <pic:cNvPicPr/>
                        </pic:nvPicPr>
                        <pic:blipFill>
                          <a:blip r:embed="rId35" cstate="print"/>
                          <a:stretch>
                            <a:fillRect/>
                          </a:stretch>
                        </pic:blipFill>
                        <pic:spPr>
                          <a:xfrm>
                            <a:off x="347261" y="2675149"/>
                            <a:ext cx="685358" cy="1023823"/>
                          </a:xfrm>
                          <a:prstGeom prst="rect">
                            <a:avLst/>
                          </a:prstGeom>
                        </pic:spPr>
                      </pic:pic>
                      <wps:wsp>
                        <wps:cNvPr id="85" name="Textbox 85"/>
                        <wps:cNvSpPr txBox="1"/>
                        <wps:spPr>
                          <a:xfrm>
                            <a:off x="1111075" y="4114800"/>
                            <a:ext cx="1958975" cy="977900"/>
                          </a:xfrm>
                          <a:prstGeom prst="rect">
                            <a:avLst/>
                          </a:prstGeom>
                        </wps:spPr>
                        <wps:txbx>
                          <w:txbxContent>
                            <w:p>
                              <w:pPr>
                                <w:spacing w:line="240" w:lineRule="auto" w:before="0"/>
                                <w:rPr>
                                  <w:rFonts w:ascii="Trebuchet MS"/>
                                  <w:b/>
                                  <w:sz w:val="26"/>
                                </w:rPr>
                              </w:pPr>
                            </w:p>
                            <w:p>
                              <w:pPr>
                                <w:spacing w:line="240" w:lineRule="auto" w:before="6"/>
                                <w:rPr>
                                  <w:rFonts w:ascii="Trebuchet MS"/>
                                  <w:b/>
                                  <w:sz w:val="26"/>
                                </w:rPr>
                              </w:pPr>
                            </w:p>
                            <w:p>
                              <w:pPr>
                                <w:spacing w:before="0"/>
                                <w:ind w:left="163" w:right="0" w:firstLine="0"/>
                                <w:jc w:val="left"/>
                                <w:rPr>
                                  <w:rFonts w:ascii="Trebuchet MS"/>
                                  <w:b/>
                                  <w:sz w:val="26"/>
                                </w:rPr>
                              </w:pPr>
                              <w:r>
                                <w:rPr>
                                  <w:rFonts w:ascii="Trebuchet MS"/>
                                  <w:b/>
                                  <w:color w:val="2E614A"/>
                                  <w:sz w:val="26"/>
                                </w:rPr>
                                <w:t>Knowledge</w:t>
                              </w:r>
                              <w:r>
                                <w:rPr>
                                  <w:rFonts w:ascii="Trebuchet MS"/>
                                  <w:b/>
                                  <w:color w:val="2E614A"/>
                                  <w:spacing w:val="-15"/>
                                  <w:sz w:val="26"/>
                                </w:rPr>
                                <w:t> </w:t>
                              </w:r>
                              <w:r>
                                <w:rPr>
                                  <w:rFonts w:ascii="Trebuchet MS"/>
                                  <w:b/>
                                  <w:color w:val="2E614A"/>
                                  <w:spacing w:val="-2"/>
                                  <w:sz w:val="26"/>
                                </w:rPr>
                                <w:t>Applications</w:t>
                              </w:r>
                            </w:p>
                          </w:txbxContent>
                        </wps:txbx>
                        <wps:bodyPr wrap="square" lIns="0" tIns="0" rIns="0" bIns="0" rtlCol="0">
                          <a:noAutofit/>
                        </wps:bodyPr>
                      </wps:wsp>
                    </wpg:wgp>
                  </a:graphicData>
                </a:graphic>
              </wp:anchor>
            </w:drawing>
          </mc:Choice>
          <mc:Fallback>
            <w:pict>
              <v:group style="position:absolute;margin-left:130.80954pt;margin-top:114.112pt;width:344.5pt;height:401pt;mso-position-horizontal-relative:page;mso-position-vertical-relative:paragraph;z-index:15742464" id="docshapegroup63" coordorigin="2616,2282" coordsize="6890,8020">
                <v:shape style="position:absolute;left:4365;top:2282;width:3161;height:8020" id="docshape64" coordorigin="4366,2282" coordsize="3161,8020" path="m5886,8762l4366,8762,4366,10302,5886,10302,5886,8762xm5886,5522l4366,5522,4366,7062,5886,7062,5886,5522xm5886,3902l4366,3902,4366,5442,5886,5442,5886,3902xm5886,2282l4366,2282,4366,3822,5886,3822,5886,2282xm5916,7142l4396,7142,4396,8682,5916,8682,5916,7142xm7496,8762l5976,8762,5976,10302,7496,10302,7496,8762xm7496,5522l5976,5522,5976,7062,7496,7062,7496,5522xm7496,3902l5976,3902,5976,5442,7496,5442,7496,3902xm7496,2282l5976,2282,5976,3822,7496,3822,7496,2282xm7526,7142l6006,7142,6006,8682,7526,8682,7526,7142xe" filled="true" fillcolor="#d5d5d5" stroked="false">
                  <v:path arrowok="t"/>
                  <v:fill type="solid"/>
                </v:shape>
                <v:shape style="position:absolute;left:2636;top:3017;width:6870;height:6551" type="#_x0000_t75" id="docshape65" stroked="false">
                  <v:imagedata r:id="rId24" o:title=""/>
                </v:shape>
                <v:shape style="position:absolute;left:4365;top:3017;width:1521;height:805" type="#_x0000_t75" id="docshape66" stroked="false">
                  <v:imagedata r:id="rId25" o:title=""/>
                </v:shape>
                <v:shape style="position:absolute;left:5976;top:3017;width:1520;height:805" type="#_x0000_t75" id="docshape67" stroked="false">
                  <v:imagedata r:id="rId26" o:title=""/>
                </v:shape>
                <v:shape style="position:absolute;left:4365;top:3902;width:1521;height:1540" type="#_x0000_t75" id="docshape68" stroked="false">
                  <v:imagedata r:id="rId27" o:title=""/>
                </v:shape>
                <v:shape style="position:absolute;left:5976;top:3902;width:1520;height:1540" type="#_x0000_t75" id="docshape69" stroked="false">
                  <v:imagedata r:id="rId28" o:title=""/>
                </v:shape>
                <v:shape style="position:absolute;left:4365;top:5522;width:1521;height:1540" type="#_x0000_t75" id="docshape70" stroked="false">
                  <v:imagedata r:id="rId29" o:title=""/>
                </v:shape>
                <v:shape style="position:absolute;left:5976;top:5522;width:1520;height:1540" type="#_x0000_t75" id="docshape71" stroked="false">
                  <v:imagedata r:id="rId29" o:title=""/>
                </v:shape>
                <v:shape style="position:absolute;left:4395;top:7142;width:1520;height:1540" type="#_x0000_t75" id="docshape72" stroked="false">
                  <v:imagedata r:id="rId29" o:title=""/>
                </v:shape>
                <v:shape style="position:absolute;left:6005;top:7142;width:1521;height:1540" type="#_x0000_t75" id="docshape73" stroked="false">
                  <v:imagedata r:id="rId29" o:title=""/>
                </v:shape>
                <v:shape style="position:absolute;left:4365;top:8762;width:1521;height:806" type="#_x0000_t75" id="docshape74" stroked="false">
                  <v:imagedata r:id="rId30" o:title=""/>
                </v:shape>
                <v:shape style="position:absolute;left:5976;top:8762;width:1520;height:806" type="#_x0000_t75" id="docshape75" stroked="false">
                  <v:imagedata r:id="rId30" o:title=""/>
                </v:shape>
                <v:shape style="position:absolute;left:2616;top:2997;width:6634;height:6310" id="docshape76" coordorigin="2616,2998" coordsize="6634,6310" path="m5933,2998l2616,5407,3883,9307,7983,9307,9250,5407,5933,2998xe" filled="true" fillcolor="#61816f" stroked="false">
                  <v:path arrowok="t"/>
                  <v:fill type="solid"/>
                </v:shape>
                <v:shape style="position:absolute;left:3793;top:3879;width:1637;height:1360" type="#_x0000_t75" id="docshape77" stroked="false">
                  <v:imagedata r:id="rId31" o:title=""/>
                </v:shape>
                <v:shape style="position:absolute;left:6125;top:4289;width:1948;height:934" type="#_x0000_t75" id="docshape78" stroked="false">
                  <v:imagedata r:id="rId32" o:title=""/>
                </v:shape>
                <v:shape style="position:absolute;left:7463;top:6105;width:1188;height:2108" type="#_x0000_t75" id="docshape79" stroked="false">
                  <v:imagedata r:id="rId33" o:title=""/>
                </v:shape>
                <v:shape style="position:absolute;left:5543;top:7889;width:833;height:1308" type="#_x0000_t75" id="docshape80" stroked="false">
                  <v:imagedata r:id="rId34" o:title=""/>
                </v:shape>
                <v:shape style="position:absolute;left:3163;top:6495;width:1080;height:1613" type="#_x0000_t75" id="docshape81" stroked="false">
                  <v:imagedata r:id="rId35" o:title=""/>
                </v:shape>
                <v:shape style="position:absolute;left:4365;top:8762;width:3085;height:1540" type="#_x0000_t202" id="docshape82" filled="false" stroked="false">
                  <v:textbox inset="0,0,0,0">
                    <w:txbxContent>
                      <w:p>
                        <w:pPr>
                          <w:spacing w:line="240" w:lineRule="auto" w:before="0"/>
                          <w:rPr>
                            <w:rFonts w:ascii="Trebuchet MS"/>
                            <w:b/>
                            <w:sz w:val="26"/>
                          </w:rPr>
                        </w:pPr>
                      </w:p>
                      <w:p>
                        <w:pPr>
                          <w:spacing w:line="240" w:lineRule="auto" w:before="6"/>
                          <w:rPr>
                            <w:rFonts w:ascii="Trebuchet MS"/>
                            <w:b/>
                            <w:sz w:val="26"/>
                          </w:rPr>
                        </w:pPr>
                      </w:p>
                      <w:p>
                        <w:pPr>
                          <w:spacing w:before="0"/>
                          <w:ind w:left="163" w:right="0" w:firstLine="0"/>
                          <w:jc w:val="left"/>
                          <w:rPr>
                            <w:rFonts w:ascii="Trebuchet MS"/>
                            <w:b/>
                            <w:sz w:val="26"/>
                          </w:rPr>
                        </w:pPr>
                        <w:r>
                          <w:rPr>
                            <w:rFonts w:ascii="Trebuchet MS"/>
                            <w:b/>
                            <w:color w:val="2E614A"/>
                            <w:sz w:val="26"/>
                          </w:rPr>
                          <w:t>Knowledge</w:t>
                        </w:r>
                        <w:r>
                          <w:rPr>
                            <w:rFonts w:ascii="Trebuchet MS"/>
                            <w:b/>
                            <w:color w:val="2E614A"/>
                            <w:spacing w:val="-15"/>
                            <w:sz w:val="26"/>
                          </w:rPr>
                          <w:t> </w:t>
                        </w:r>
                        <w:r>
                          <w:rPr>
                            <w:rFonts w:ascii="Trebuchet MS"/>
                            <w:b/>
                            <w:color w:val="2E614A"/>
                            <w:spacing w:val="-2"/>
                            <w:sz w:val="26"/>
                          </w:rPr>
                          <w:t>Applications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4117543</wp:posOffset>
                </wp:positionH>
                <wp:positionV relativeFrom="page">
                  <wp:posOffset>3524310</wp:posOffset>
                </wp:positionV>
                <wp:extent cx="1594485" cy="165100"/>
                <wp:effectExtent l="0" t="0" r="0" b="0"/>
                <wp:wrapNone/>
                <wp:docPr id="86" name="Textbox 86"/>
                <wp:cNvGraphicFramePr>
                  <a:graphicFrameLocks/>
                </wp:cNvGraphicFramePr>
                <a:graphic>
                  <a:graphicData uri="http://schemas.microsoft.com/office/word/2010/wordprocessingShape">
                    <wps:wsp>
                      <wps:cNvPr id="86" name="Textbox 86"/>
                      <wps:cNvSpPr txBox="1"/>
                      <wps:spPr>
                        <a:xfrm rot="2160000">
                          <a:off x="0" y="0"/>
                          <a:ext cx="1594485" cy="165100"/>
                        </a:xfrm>
                        <a:prstGeom prst="rect">
                          <a:avLst/>
                        </a:prstGeom>
                      </wps:spPr>
                      <wps:txbx>
                        <w:txbxContent>
                          <w:p>
                            <w:pPr>
                              <w:spacing w:line="260" w:lineRule="exact" w:before="0"/>
                              <w:ind w:left="0" w:right="0" w:firstLine="0"/>
                              <w:jc w:val="left"/>
                              <w:rPr>
                                <w:rFonts w:ascii="Trebuchet MS"/>
                                <w:b/>
                                <w:sz w:val="26"/>
                              </w:rPr>
                            </w:pPr>
                            <w:r>
                              <w:rPr>
                                <w:rFonts w:ascii="Trebuchet MS"/>
                                <w:b/>
                                <w:color w:val="2E614A"/>
                                <w:sz w:val="26"/>
                              </w:rPr>
                              <w:t>Knowledge</w:t>
                            </w:r>
                            <w:r>
                              <w:rPr>
                                <w:rFonts w:ascii="Trebuchet MS"/>
                                <w:b/>
                                <w:color w:val="2E614A"/>
                                <w:spacing w:val="-1"/>
                                <w:sz w:val="26"/>
                              </w:rPr>
                              <w:t> </w:t>
                            </w:r>
                            <w:r>
                              <w:rPr>
                                <w:rFonts w:ascii="Trebuchet MS"/>
                                <w:b/>
                                <w:color w:val="2E614A"/>
                                <w:spacing w:val="-2"/>
                                <w:sz w:val="26"/>
                              </w:rPr>
                              <w:t>Concepts</w:t>
                            </w:r>
                          </w:p>
                        </w:txbxContent>
                      </wps:txbx>
                      <wps:bodyPr wrap="square" lIns="0" tIns="0" rIns="0" bIns="0" rtlCol="0">
                        <a:noAutofit/>
                      </wps:bodyPr>
                    </wps:wsp>
                  </a:graphicData>
                </a:graphic>
              </wp:anchor>
            </w:drawing>
          </mc:Choice>
          <mc:Fallback>
            <w:pict>
              <v:shape style="position:absolute;margin-left:324.216003pt;margin-top:277.50473pt;width:125.55pt;height:13pt;mso-position-horizontal-relative:page;mso-position-vertical-relative:page;z-index:15742976;rotation:36" type="#_x0000_t136" fillcolor="#2e614a" stroked="f">
                <o:extrusion v:ext="view" autorotationcenter="t"/>
                <v:textpath style="font-family:&quot;Trebuchet MS&quot;;font-size:13pt;v-text-kern:t;mso-text-shadow:auto;font-weight:bold" string="Knowledge Concepts"/>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1149607</wp:posOffset>
                </wp:positionH>
                <wp:positionV relativeFrom="page">
                  <wp:posOffset>5721558</wp:posOffset>
                </wp:positionV>
                <wp:extent cx="1537335" cy="165100"/>
                <wp:effectExtent l="0" t="0" r="0" b="0"/>
                <wp:wrapNone/>
                <wp:docPr id="87" name="Textbox 87"/>
                <wp:cNvGraphicFramePr>
                  <a:graphicFrameLocks/>
                </wp:cNvGraphicFramePr>
                <a:graphic>
                  <a:graphicData uri="http://schemas.microsoft.com/office/word/2010/wordprocessingShape">
                    <wps:wsp>
                      <wps:cNvPr id="87" name="Textbox 87"/>
                      <wps:cNvSpPr txBox="1"/>
                      <wps:spPr>
                        <a:xfrm rot="4320000">
                          <a:off x="0" y="0"/>
                          <a:ext cx="1537335" cy="165100"/>
                        </a:xfrm>
                        <a:prstGeom prst="rect">
                          <a:avLst/>
                        </a:prstGeom>
                      </wps:spPr>
                      <wps:txbx>
                        <w:txbxContent>
                          <w:p>
                            <w:pPr>
                              <w:spacing w:line="260" w:lineRule="exact" w:before="0"/>
                              <w:ind w:left="0" w:right="0" w:firstLine="0"/>
                              <w:jc w:val="left"/>
                              <w:rPr>
                                <w:rFonts w:ascii="Trebuchet MS"/>
                                <w:b/>
                                <w:sz w:val="26"/>
                              </w:rPr>
                            </w:pPr>
                            <w:r>
                              <w:rPr>
                                <w:rFonts w:ascii="Trebuchet MS"/>
                                <w:b/>
                                <w:color w:val="2E614A"/>
                                <w:position w:val="1"/>
                                <w:sz w:val="26"/>
                              </w:rPr>
                              <w:t>Delivery</w:t>
                            </w:r>
                            <w:r>
                              <w:rPr>
                                <w:rFonts w:ascii="Trebuchet MS"/>
                                <w:b/>
                                <w:color w:val="2E614A"/>
                                <w:spacing w:val="-3"/>
                                <w:position w:val="1"/>
                                <w:sz w:val="26"/>
                              </w:rPr>
                              <w:t> </w:t>
                            </w:r>
                            <w:r>
                              <w:rPr>
                                <w:rFonts w:ascii="Trebuchet MS"/>
                                <w:b/>
                                <w:color w:val="2E614A"/>
                                <w:position w:val="1"/>
                                <w:sz w:val="26"/>
                              </w:rPr>
                              <w:t>of</w:t>
                            </w:r>
                            <w:r>
                              <w:rPr>
                                <w:rFonts w:ascii="Trebuchet MS"/>
                                <w:b/>
                                <w:color w:val="2E614A"/>
                                <w:spacing w:val="-3"/>
                                <w:position w:val="1"/>
                                <w:sz w:val="26"/>
                              </w:rPr>
                              <w:t> </w:t>
                            </w:r>
                            <w:r>
                              <w:rPr>
                                <w:rFonts w:ascii="Trebuchet MS"/>
                                <w:b/>
                                <w:color w:val="2E614A"/>
                                <w:spacing w:val="-2"/>
                                <w:sz w:val="26"/>
                              </w:rPr>
                              <w:t>Services</w:t>
                            </w:r>
                          </w:p>
                        </w:txbxContent>
                      </wps:txbx>
                      <wps:bodyPr wrap="square" lIns="0" tIns="0" rIns="0" bIns="0" rtlCol="0">
                        <a:noAutofit/>
                      </wps:bodyPr>
                    </wps:wsp>
                  </a:graphicData>
                </a:graphic>
              </wp:anchor>
            </w:drawing>
          </mc:Choice>
          <mc:Fallback>
            <w:pict>
              <v:shape style="position:absolute;margin-left:90.520273pt;margin-top:450.516394pt;width:121.05pt;height:13pt;mso-position-horizontal-relative:page;mso-position-vertical-relative:page;z-index:15743488;rotation:72" type="#_x0000_t136" fillcolor="#2e614a" stroked="f">
                <o:extrusion v:ext="view" autorotationcenter="t"/>
                <v:textpath style="font-family:&quot;Trebuchet MS&quot;;font-size:13pt;v-text-kern:t;mso-text-shadow:auto;font-weight:bold" string="Delivery of Services"/>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4752582</wp:posOffset>
                </wp:positionH>
                <wp:positionV relativeFrom="page">
                  <wp:posOffset>5710547</wp:posOffset>
                </wp:positionV>
                <wp:extent cx="1755139" cy="165100"/>
                <wp:effectExtent l="0" t="0" r="0" b="0"/>
                <wp:wrapNone/>
                <wp:docPr id="88" name="Textbox 88"/>
                <wp:cNvGraphicFramePr>
                  <a:graphicFrameLocks/>
                </wp:cNvGraphicFramePr>
                <a:graphic>
                  <a:graphicData uri="http://schemas.microsoft.com/office/word/2010/wordprocessingShape">
                    <wps:wsp>
                      <wps:cNvPr id="88" name="Textbox 88"/>
                      <wps:cNvSpPr txBox="1"/>
                      <wps:spPr>
                        <a:xfrm rot="17280000">
                          <a:off x="0" y="0"/>
                          <a:ext cx="1755139" cy="165100"/>
                        </a:xfrm>
                        <a:prstGeom prst="rect">
                          <a:avLst/>
                        </a:prstGeom>
                      </wps:spPr>
                      <wps:txbx>
                        <w:txbxContent>
                          <w:p>
                            <w:pPr>
                              <w:spacing w:line="260" w:lineRule="exact" w:before="0"/>
                              <w:ind w:left="0" w:right="0" w:firstLine="0"/>
                              <w:jc w:val="left"/>
                              <w:rPr>
                                <w:rFonts w:ascii="Trebuchet MS"/>
                                <w:b/>
                                <w:sz w:val="26"/>
                              </w:rPr>
                            </w:pPr>
                            <w:r>
                              <w:rPr>
                                <w:rFonts w:ascii="Trebuchet MS"/>
                                <w:b/>
                                <w:color w:val="2E614A"/>
                                <w:sz w:val="26"/>
                              </w:rPr>
                              <w:t>Creation</w:t>
                            </w:r>
                            <w:r>
                              <w:rPr>
                                <w:rFonts w:ascii="Trebuchet MS"/>
                                <w:b/>
                                <w:color w:val="2E614A"/>
                                <w:spacing w:val="-6"/>
                                <w:sz w:val="26"/>
                              </w:rPr>
                              <w:t> </w:t>
                            </w:r>
                            <w:r>
                              <w:rPr>
                                <w:rFonts w:ascii="Trebuchet MS"/>
                                <w:b/>
                                <w:color w:val="2E614A"/>
                                <w:position w:val="1"/>
                                <w:sz w:val="26"/>
                              </w:rPr>
                              <w:t>of</w:t>
                            </w:r>
                            <w:r>
                              <w:rPr>
                                <w:rFonts w:ascii="Trebuchet MS"/>
                                <w:b/>
                                <w:color w:val="2E614A"/>
                                <w:spacing w:val="-5"/>
                                <w:position w:val="1"/>
                                <w:sz w:val="26"/>
                              </w:rPr>
                              <w:t> </w:t>
                            </w:r>
                            <w:r>
                              <w:rPr>
                                <w:rFonts w:ascii="Trebuchet MS"/>
                                <w:b/>
                                <w:color w:val="2E614A"/>
                                <w:spacing w:val="-2"/>
                                <w:position w:val="1"/>
                                <w:sz w:val="26"/>
                              </w:rPr>
                              <w:t>Knowledge</w:t>
                            </w:r>
                          </w:p>
                        </w:txbxContent>
                      </wps:txbx>
                      <wps:bodyPr wrap="square" lIns="0" tIns="0" rIns="0" bIns="0" rtlCol="0">
                        <a:noAutofit/>
                      </wps:bodyPr>
                    </wps:wsp>
                  </a:graphicData>
                </a:graphic>
              </wp:anchor>
            </w:drawing>
          </mc:Choice>
          <mc:Fallback>
            <w:pict>
              <v:shape style="position:absolute;margin-left:374.219061pt;margin-top:449.649438pt;width:138.2pt;height:13pt;mso-position-horizontal-relative:page;mso-position-vertical-relative:page;z-index:15744000;rotation:288" type="#_x0000_t136" fillcolor="#2e614a" stroked="f">
                <o:extrusion v:ext="view" autorotationcenter="t"/>
                <v:textpath style="font-family:&quot;Trebuchet MS&quot;;font-size:13pt;v-text-kern:t;mso-text-shadow:auto;font-weight:bold" string="Creation of Knowledge"/>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1808831</wp:posOffset>
                </wp:positionH>
                <wp:positionV relativeFrom="page">
                  <wp:posOffset>3533562</wp:posOffset>
                </wp:positionV>
                <wp:extent cx="1609725" cy="165100"/>
                <wp:effectExtent l="0" t="0" r="0" b="0"/>
                <wp:wrapNone/>
                <wp:docPr id="89" name="Textbox 89"/>
                <wp:cNvGraphicFramePr>
                  <a:graphicFrameLocks/>
                </wp:cNvGraphicFramePr>
                <a:graphic>
                  <a:graphicData uri="http://schemas.microsoft.com/office/word/2010/wordprocessingShape">
                    <wps:wsp>
                      <wps:cNvPr id="89" name="Textbox 89"/>
                      <wps:cNvSpPr txBox="1"/>
                      <wps:spPr>
                        <a:xfrm rot="19440000">
                          <a:off x="0" y="0"/>
                          <a:ext cx="1609725" cy="165100"/>
                        </a:xfrm>
                        <a:prstGeom prst="rect">
                          <a:avLst/>
                        </a:prstGeom>
                      </wps:spPr>
                      <wps:txbx>
                        <w:txbxContent>
                          <w:p>
                            <w:pPr>
                              <w:spacing w:line="260" w:lineRule="exact" w:before="0"/>
                              <w:ind w:left="0" w:right="0" w:firstLine="0"/>
                              <w:jc w:val="left"/>
                              <w:rPr>
                                <w:rFonts w:ascii="Trebuchet MS"/>
                                <w:b/>
                                <w:sz w:val="26"/>
                              </w:rPr>
                            </w:pPr>
                            <w:r>
                              <w:rPr>
                                <w:rFonts w:ascii="Trebuchet MS"/>
                                <w:b/>
                                <w:color w:val="2E614A"/>
                                <w:sz w:val="26"/>
                              </w:rPr>
                              <w:t>Access</w:t>
                            </w:r>
                            <w:r>
                              <w:rPr>
                                <w:rFonts w:ascii="Trebuchet MS"/>
                                <w:b/>
                                <w:color w:val="2E614A"/>
                                <w:spacing w:val="-2"/>
                                <w:sz w:val="26"/>
                              </w:rPr>
                              <w:t> </w:t>
                            </w:r>
                            <w:r>
                              <w:rPr>
                                <w:rFonts w:ascii="Trebuchet MS"/>
                                <w:b/>
                                <w:color w:val="2E614A"/>
                                <w:sz w:val="26"/>
                              </w:rPr>
                              <w:t>to</w:t>
                            </w:r>
                            <w:r>
                              <w:rPr>
                                <w:rFonts w:ascii="Trebuchet MS"/>
                                <w:b/>
                                <w:color w:val="2E614A"/>
                                <w:spacing w:val="-2"/>
                                <w:sz w:val="26"/>
                              </w:rPr>
                              <w:t> </w:t>
                            </w:r>
                            <w:r>
                              <w:rPr>
                                <w:rFonts w:ascii="Trebuchet MS"/>
                                <w:b/>
                                <w:color w:val="2E614A"/>
                                <w:spacing w:val="-2"/>
                                <w:sz w:val="26"/>
                              </w:rPr>
                              <w:t>Knowledge</w:t>
                            </w:r>
                          </w:p>
                        </w:txbxContent>
                      </wps:txbx>
                      <wps:bodyPr wrap="square" lIns="0" tIns="0" rIns="0" bIns="0" rtlCol="0">
                        <a:noAutofit/>
                      </wps:bodyPr>
                    </wps:wsp>
                  </a:graphicData>
                </a:graphic>
              </wp:anchor>
            </w:drawing>
          </mc:Choice>
          <mc:Fallback>
            <w:pict>
              <v:shape style="position:absolute;margin-left:142.427658pt;margin-top:278.233246pt;width:126.75pt;height:13pt;mso-position-horizontal-relative:page;mso-position-vertical-relative:page;z-index:15744512;rotation:324" type="#_x0000_t136" fillcolor="#2e614a" stroked="f">
                <o:extrusion v:ext="view" autorotationcenter="t"/>
                <v:textpath style="font-family:&quot;Trebuchet MS&quot;;font-size:13pt;v-text-kern:t;mso-text-shadow:auto;font-weight:bold" string="Access to Knowledge"/>
                <w10:wrap type="none"/>
              </v:shape>
            </w:pict>
          </mc:Fallback>
        </mc:AlternateContent>
      </w:r>
      <w:r>
        <w:rPr>
          <w:rFonts w:ascii="Trebuchet MS"/>
          <w:b/>
          <w:color w:val="2E614A"/>
          <w:sz w:val="36"/>
        </w:rPr>
        <w:t>Knowledge </w:t>
      </w:r>
      <w:r>
        <w:rPr>
          <w:rFonts w:ascii="Trebuchet MS"/>
          <w:b/>
          <w:color w:val="2E614A"/>
          <w:spacing w:val="-2"/>
          <w:sz w:val="36"/>
        </w:rPr>
        <w:t>Pentagon</w:t>
      </w:r>
    </w:p>
    <w:p>
      <w:pPr>
        <w:pStyle w:val="BodyText"/>
        <w:spacing w:before="10"/>
        <w:rPr>
          <w:rFonts w:ascii="Trebuchet MS"/>
          <w:b/>
          <w:sz w:val="11"/>
        </w:rPr>
      </w:pPr>
      <w:r>
        <w:rPr/>
        <mc:AlternateContent>
          <mc:Choice Requires="wps">
            <w:drawing>
              <wp:anchor distT="0" distB="0" distL="0" distR="0" allowOverlap="1" layoutInCell="1" locked="0" behindDoc="1" simplePos="0" relativeHeight="487598592">
                <wp:simplePos x="0" y="0"/>
                <wp:positionH relativeFrom="page">
                  <wp:posOffset>2785056</wp:posOffset>
                </wp:positionH>
                <wp:positionV relativeFrom="paragraph">
                  <wp:posOffset>103001</wp:posOffset>
                </wp:positionV>
                <wp:extent cx="965200" cy="97790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965200" cy="977900"/>
                        </a:xfrm>
                        <a:custGeom>
                          <a:avLst/>
                          <a:gdLst/>
                          <a:ahLst/>
                          <a:cxnLst/>
                          <a:rect l="l" t="t" r="r" b="b"/>
                          <a:pathLst>
                            <a:path w="965200" h="977900">
                              <a:moveTo>
                                <a:pt x="965200" y="0"/>
                              </a:moveTo>
                              <a:lnTo>
                                <a:pt x="0" y="0"/>
                              </a:lnTo>
                              <a:lnTo>
                                <a:pt x="0" y="977900"/>
                              </a:lnTo>
                              <a:lnTo>
                                <a:pt x="965200" y="977900"/>
                              </a:lnTo>
                              <a:lnTo>
                                <a:pt x="965200" y="0"/>
                              </a:lnTo>
                              <a:close/>
                            </a:path>
                          </a:pathLst>
                        </a:custGeom>
                        <a:solidFill>
                          <a:srgbClr val="D5D5D5"/>
                        </a:solidFill>
                      </wps:spPr>
                      <wps:bodyPr wrap="square" lIns="0" tIns="0" rIns="0" bIns="0" rtlCol="0">
                        <a:prstTxWarp prst="textNoShape">
                          <a:avLst/>
                        </a:prstTxWarp>
                        <a:noAutofit/>
                      </wps:bodyPr>
                    </wps:wsp>
                  </a:graphicData>
                </a:graphic>
              </wp:anchor>
            </w:drawing>
          </mc:Choice>
          <mc:Fallback>
            <w:pict>
              <v:rect style="position:absolute;margin-left:219.295807pt;margin-top:8.110390pt;width:76.0pt;height:77pt;mso-position-horizontal-relative:page;mso-position-vertical-relative:paragraph;z-index:-15717888;mso-wrap-distance-left:0;mso-wrap-distance-right:0" id="docshape83" filled="true" fillcolor="#d5d5d5" stroked="false">
                <v:fill type="solid"/>
                <w10:wrap type="topAndBottom"/>
              </v:rect>
            </w:pict>
          </mc:Fallback>
        </mc:AlternateContent>
      </w:r>
      <w:r>
        <w:rPr/>
        <mc:AlternateContent>
          <mc:Choice Requires="wps">
            <w:drawing>
              <wp:anchor distT="0" distB="0" distL="0" distR="0" allowOverlap="1" layoutInCell="1" locked="0" behindDoc="1" simplePos="0" relativeHeight="487599104">
                <wp:simplePos x="0" y="0"/>
                <wp:positionH relativeFrom="page">
                  <wp:posOffset>3807406</wp:posOffset>
                </wp:positionH>
                <wp:positionV relativeFrom="paragraph">
                  <wp:posOffset>103001</wp:posOffset>
                </wp:positionV>
                <wp:extent cx="965200" cy="97790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965200" cy="977900"/>
                        </a:xfrm>
                        <a:custGeom>
                          <a:avLst/>
                          <a:gdLst/>
                          <a:ahLst/>
                          <a:cxnLst/>
                          <a:rect l="l" t="t" r="r" b="b"/>
                          <a:pathLst>
                            <a:path w="965200" h="977900">
                              <a:moveTo>
                                <a:pt x="965200" y="0"/>
                              </a:moveTo>
                              <a:lnTo>
                                <a:pt x="0" y="0"/>
                              </a:lnTo>
                              <a:lnTo>
                                <a:pt x="0" y="977900"/>
                              </a:lnTo>
                              <a:lnTo>
                                <a:pt x="965200" y="977900"/>
                              </a:lnTo>
                              <a:lnTo>
                                <a:pt x="965200" y="0"/>
                              </a:lnTo>
                              <a:close/>
                            </a:path>
                          </a:pathLst>
                        </a:custGeom>
                        <a:solidFill>
                          <a:srgbClr val="D5D5D5"/>
                        </a:solidFill>
                      </wps:spPr>
                      <wps:bodyPr wrap="square" lIns="0" tIns="0" rIns="0" bIns="0" rtlCol="0">
                        <a:prstTxWarp prst="textNoShape">
                          <a:avLst/>
                        </a:prstTxWarp>
                        <a:noAutofit/>
                      </wps:bodyPr>
                    </wps:wsp>
                  </a:graphicData>
                </a:graphic>
              </wp:anchor>
            </w:drawing>
          </mc:Choice>
          <mc:Fallback>
            <w:pict>
              <v:rect style="position:absolute;margin-left:299.795807pt;margin-top:8.110390pt;width:76pt;height:77pt;mso-position-horizontal-relative:page;mso-position-vertical-relative:paragraph;z-index:-15717376;mso-wrap-distance-left:0;mso-wrap-distance-right:0" id="docshape84" filled="true" fillcolor="#d5d5d5" stroked="false">
                <v:fill type="solid"/>
                <w10:wrap type="topAndBottom"/>
              </v:rect>
            </w:pict>
          </mc:Fallback>
        </mc:AlternateConten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8"/>
        <w:rPr>
          <w:rFonts w:ascii="Trebuchet MS"/>
          <w:b/>
          <w:sz w:val="20"/>
        </w:rPr>
      </w:pPr>
      <w:r>
        <w:rPr/>
        <mc:AlternateContent>
          <mc:Choice Requires="wps">
            <w:drawing>
              <wp:anchor distT="0" distB="0" distL="0" distR="0" allowOverlap="1" layoutInCell="1" locked="0" behindDoc="1" simplePos="0" relativeHeight="487599616">
                <wp:simplePos x="0" y="0"/>
                <wp:positionH relativeFrom="page">
                  <wp:posOffset>2772356</wp:posOffset>
                </wp:positionH>
                <wp:positionV relativeFrom="paragraph">
                  <wp:posOffset>180528</wp:posOffset>
                </wp:positionV>
                <wp:extent cx="965200" cy="97790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965200" cy="977900"/>
                        </a:xfrm>
                        <a:custGeom>
                          <a:avLst/>
                          <a:gdLst/>
                          <a:ahLst/>
                          <a:cxnLst/>
                          <a:rect l="l" t="t" r="r" b="b"/>
                          <a:pathLst>
                            <a:path w="965200" h="977900">
                              <a:moveTo>
                                <a:pt x="965200" y="0"/>
                              </a:moveTo>
                              <a:lnTo>
                                <a:pt x="0" y="0"/>
                              </a:lnTo>
                              <a:lnTo>
                                <a:pt x="0" y="977900"/>
                              </a:lnTo>
                              <a:lnTo>
                                <a:pt x="965200" y="977900"/>
                              </a:lnTo>
                              <a:lnTo>
                                <a:pt x="965200" y="0"/>
                              </a:lnTo>
                              <a:close/>
                            </a:path>
                          </a:pathLst>
                        </a:custGeom>
                        <a:solidFill>
                          <a:srgbClr val="D5D5D5"/>
                        </a:solidFill>
                      </wps:spPr>
                      <wps:bodyPr wrap="square" lIns="0" tIns="0" rIns="0" bIns="0" rtlCol="0">
                        <a:prstTxWarp prst="textNoShape">
                          <a:avLst/>
                        </a:prstTxWarp>
                        <a:noAutofit/>
                      </wps:bodyPr>
                    </wps:wsp>
                  </a:graphicData>
                </a:graphic>
              </wp:anchor>
            </w:drawing>
          </mc:Choice>
          <mc:Fallback>
            <w:pict>
              <v:rect style="position:absolute;margin-left:218.295807pt;margin-top:14.214844pt;width:76.0pt;height:77pt;mso-position-horizontal-relative:page;mso-position-vertical-relative:paragraph;z-index:-15716864;mso-wrap-distance-left:0;mso-wrap-distance-right:0" id="docshape85" filled="true" fillcolor="#d5d5d5" stroked="false">
                <v:fill type="solid"/>
                <w10:wrap type="topAndBottom"/>
              </v:rect>
            </w:pict>
          </mc:Fallback>
        </mc:AlternateContent>
      </w:r>
      <w:r>
        <w:rPr/>
        <mc:AlternateContent>
          <mc:Choice Requires="wps">
            <w:drawing>
              <wp:anchor distT="0" distB="0" distL="0" distR="0" allowOverlap="1" layoutInCell="1" locked="0" behindDoc="1" simplePos="0" relativeHeight="487600128">
                <wp:simplePos x="0" y="0"/>
                <wp:positionH relativeFrom="page">
                  <wp:posOffset>3794706</wp:posOffset>
                </wp:positionH>
                <wp:positionV relativeFrom="paragraph">
                  <wp:posOffset>180528</wp:posOffset>
                </wp:positionV>
                <wp:extent cx="965200" cy="97790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965200" cy="977900"/>
                        </a:xfrm>
                        <a:custGeom>
                          <a:avLst/>
                          <a:gdLst/>
                          <a:ahLst/>
                          <a:cxnLst/>
                          <a:rect l="l" t="t" r="r" b="b"/>
                          <a:pathLst>
                            <a:path w="965200" h="977900">
                              <a:moveTo>
                                <a:pt x="965200" y="0"/>
                              </a:moveTo>
                              <a:lnTo>
                                <a:pt x="0" y="0"/>
                              </a:lnTo>
                              <a:lnTo>
                                <a:pt x="0" y="977900"/>
                              </a:lnTo>
                              <a:lnTo>
                                <a:pt x="965200" y="977900"/>
                              </a:lnTo>
                              <a:lnTo>
                                <a:pt x="965200" y="0"/>
                              </a:lnTo>
                              <a:close/>
                            </a:path>
                          </a:pathLst>
                        </a:custGeom>
                        <a:solidFill>
                          <a:srgbClr val="D5D5D5"/>
                        </a:solidFill>
                      </wps:spPr>
                      <wps:bodyPr wrap="square" lIns="0" tIns="0" rIns="0" bIns="0" rtlCol="0">
                        <a:prstTxWarp prst="textNoShape">
                          <a:avLst/>
                        </a:prstTxWarp>
                        <a:noAutofit/>
                      </wps:bodyPr>
                    </wps:wsp>
                  </a:graphicData>
                </a:graphic>
              </wp:anchor>
            </w:drawing>
          </mc:Choice>
          <mc:Fallback>
            <w:pict>
              <v:rect style="position:absolute;margin-left:298.795807pt;margin-top:14.214844pt;width:76pt;height:77pt;mso-position-horizontal-relative:page;mso-position-vertical-relative:paragraph;z-index:-15716352;mso-wrap-distance-left:0;mso-wrap-distance-right:0" id="docshape86" filled="true" fillcolor="#d5d5d5" stroked="false">
                <v:fill type="solid"/>
                <w10:wrap type="topAndBottom"/>
              </v:rect>
            </w:pict>
          </mc:Fallback>
        </mc:AlternateContent>
      </w:r>
      <w:r>
        <w:rPr/>
        <mc:AlternateContent>
          <mc:Choice Requires="wps">
            <w:drawing>
              <wp:anchor distT="0" distB="0" distL="0" distR="0" allowOverlap="1" layoutInCell="1" locked="0" behindDoc="1" simplePos="0" relativeHeight="487600640">
                <wp:simplePos x="0" y="0"/>
                <wp:positionH relativeFrom="page">
                  <wp:posOffset>2772356</wp:posOffset>
                </wp:positionH>
                <wp:positionV relativeFrom="paragraph">
                  <wp:posOffset>1208876</wp:posOffset>
                </wp:positionV>
                <wp:extent cx="965200" cy="97790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965200" cy="977900"/>
                        </a:xfrm>
                        <a:custGeom>
                          <a:avLst/>
                          <a:gdLst/>
                          <a:ahLst/>
                          <a:cxnLst/>
                          <a:rect l="l" t="t" r="r" b="b"/>
                          <a:pathLst>
                            <a:path w="965200" h="977900">
                              <a:moveTo>
                                <a:pt x="965200" y="0"/>
                              </a:moveTo>
                              <a:lnTo>
                                <a:pt x="0" y="0"/>
                              </a:lnTo>
                              <a:lnTo>
                                <a:pt x="0" y="977900"/>
                              </a:lnTo>
                              <a:lnTo>
                                <a:pt x="965200" y="977900"/>
                              </a:lnTo>
                              <a:lnTo>
                                <a:pt x="965200" y="0"/>
                              </a:lnTo>
                              <a:close/>
                            </a:path>
                          </a:pathLst>
                        </a:custGeom>
                        <a:solidFill>
                          <a:srgbClr val="D5D5D5"/>
                        </a:solidFill>
                      </wps:spPr>
                      <wps:bodyPr wrap="square" lIns="0" tIns="0" rIns="0" bIns="0" rtlCol="0">
                        <a:prstTxWarp prst="textNoShape">
                          <a:avLst/>
                        </a:prstTxWarp>
                        <a:noAutofit/>
                      </wps:bodyPr>
                    </wps:wsp>
                  </a:graphicData>
                </a:graphic>
              </wp:anchor>
            </w:drawing>
          </mc:Choice>
          <mc:Fallback>
            <w:pict>
              <v:rect style="position:absolute;margin-left:218.295807pt;margin-top:95.187111pt;width:76.0pt;height:77pt;mso-position-horizontal-relative:page;mso-position-vertical-relative:paragraph;z-index:-15715840;mso-wrap-distance-left:0;mso-wrap-distance-right:0" id="docshape87" filled="true" fillcolor="#d5d5d5" stroked="false">
                <v:fill type="solid"/>
                <w10:wrap type="topAndBottom"/>
              </v:rect>
            </w:pict>
          </mc:Fallback>
        </mc:AlternateContent>
      </w:r>
      <w:r>
        <w:rPr/>
        <mc:AlternateContent>
          <mc:Choice Requires="wps">
            <w:drawing>
              <wp:anchor distT="0" distB="0" distL="0" distR="0" allowOverlap="1" layoutInCell="1" locked="0" behindDoc="1" simplePos="0" relativeHeight="487601152">
                <wp:simplePos x="0" y="0"/>
                <wp:positionH relativeFrom="page">
                  <wp:posOffset>3794706</wp:posOffset>
                </wp:positionH>
                <wp:positionV relativeFrom="paragraph">
                  <wp:posOffset>1208876</wp:posOffset>
                </wp:positionV>
                <wp:extent cx="965200" cy="97790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965200" cy="977900"/>
                        </a:xfrm>
                        <a:custGeom>
                          <a:avLst/>
                          <a:gdLst/>
                          <a:ahLst/>
                          <a:cxnLst/>
                          <a:rect l="l" t="t" r="r" b="b"/>
                          <a:pathLst>
                            <a:path w="965200" h="977900">
                              <a:moveTo>
                                <a:pt x="965200" y="0"/>
                              </a:moveTo>
                              <a:lnTo>
                                <a:pt x="0" y="0"/>
                              </a:lnTo>
                              <a:lnTo>
                                <a:pt x="0" y="977900"/>
                              </a:lnTo>
                              <a:lnTo>
                                <a:pt x="965200" y="977900"/>
                              </a:lnTo>
                              <a:lnTo>
                                <a:pt x="965200" y="0"/>
                              </a:lnTo>
                              <a:close/>
                            </a:path>
                          </a:pathLst>
                        </a:custGeom>
                        <a:solidFill>
                          <a:srgbClr val="D5D5D5"/>
                        </a:solidFill>
                      </wps:spPr>
                      <wps:bodyPr wrap="square" lIns="0" tIns="0" rIns="0" bIns="0" rtlCol="0">
                        <a:prstTxWarp prst="textNoShape">
                          <a:avLst/>
                        </a:prstTxWarp>
                        <a:noAutofit/>
                      </wps:bodyPr>
                    </wps:wsp>
                  </a:graphicData>
                </a:graphic>
              </wp:anchor>
            </w:drawing>
          </mc:Choice>
          <mc:Fallback>
            <w:pict>
              <v:rect style="position:absolute;margin-left:298.795807pt;margin-top:95.187111pt;width:76pt;height:77pt;mso-position-horizontal-relative:page;mso-position-vertical-relative:paragraph;z-index:-15715328;mso-wrap-distance-left:0;mso-wrap-distance-right:0" id="docshape88" filled="true" fillcolor="#d5d5d5" stroked="false">
                <v:fill type="solid"/>
                <w10:wrap type="topAndBottom"/>
              </v:rect>
            </w:pict>
          </mc:Fallback>
        </mc:AlternateContent>
      </w:r>
    </w:p>
    <w:p>
      <w:pPr>
        <w:pStyle w:val="BodyText"/>
        <w:spacing w:before="9"/>
        <w:rPr>
          <w:rFonts w:ascii="Trebuchet MS"/>
          <w:b/>
          <w:sz w:val="4"/>
        </w:rPr>
      </w:pPr>
    </w:p>
    <w:p>
      <w:pPr>
        <w:spacing w:after="0"/>
        <w:rPr>
          <w:rFonts w:ascii="Trebuchet MS"/>
          <w:sz w:val="4"/>
        </w:rPr>
        <w:sectPr>
          <w:footerReference w:type="default" r:id="rId23"/>
          <w:pgSz w:w="11910" w:h="16840"/>
          <w:pgMar w:header="0" w:footer="675" w:top="1680" w:bottom="860" w:left="0" w:right="0"/>
          <w:pgNumType w:start="11"/>
        </w:sectPr>
      </w:pPr>
    </w:p>
    <w:p>
      <w:pPr>
        <w:pStyle w:val="BodyText"/>
        <w:spacing w:before="2"/>
        <w:rPr>
          <w:rFonts w:ascii="Trebuchet MS"/>
          <w:b/>
          <w:sz w:val="17"/>
        </w:rPr>
      </w:pPr>
    </w:p>
    <w:p>
      <w:pPr>
        <w:spacing w:after="0"/>
        <w:rPr>
          <w:rFonts w:ascii="Trebuchet MS"/>
          <w:sz w:val="17"/>
        </w:rPr>
        <w:sectPr>
          <w:footerReference w:type="even" r:id="rId36"/>
          <w:pgSz w:w="11910" w:h="16840"/>
          <w:pgMar w:header="0" w:footer="0" w:top="1920" w:bottom="280" w:left="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84"/>
        <w:rPr>
          <w:rFonts w:ascii="Trebuchet MS"/>
          <w:b/>
          <w:sz w:val="20"/>
        </w:rPr>
      </w:pPr>
    </w:p>
    <w:p>
      <w:pPr>
        <w:spacing w:after="0"/>
        <w:rPr>
          <w:rFonts w:ascii="Trebuchet MS"/>
          <w:sz w:val="20"/>
        </w:rPr>
        <w:sectPr>
          <w:footerReference w:type="default" r:id="rId37"/>
          <w:footerReference w:type="even" r:id="rId38"/>
          <w:pgSz w:w="11910" w:h="16840"/>
          <w:pgMar w:header="0" w:footer="675" w:top="0" w:bottom="860" w:left="0" w:right="0"/>
          <w:pgNumType w:start="13"/>
        </w:sectPr>
      </w:pPr>
    </w:p>
    <w:p>
      <w:pPr>
        <w:pStyle w:val="Heading7"/>
        <w:spacing w:before="83"/>
        <w:ind w:left="1080"/>
      </w:pPr>
      <w:r>
        <w:rPr/>
        <mc:AlternateContent>
          <mc:Choice Requires="wps">
            <w:drawing>
              <wp:anchor distT="0" distB="0" distL="0" distR="0" allowOverlap="1" layoutInCell="1" locked="0" behindDoc="0" simplePos="0" relativeHeight="15745024">
                <wp:simplePos x="0" y="0"/>
                <wp:positionH relativeFrom="page">
                  <wp:posOffset>0</wp:posOffset>
                </wp:positionH>
                <wp:positionV relativeFrom="paragraph">
                  <wp:posOffset>-2276562</wp:posOffset>
                </wp:positionV>
                <wp:extent cx="7560309" cy="175260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7560309" cy="1752600"/>
                          <a:chExt cx="7560309" cy="1752600"/>
                        </a:xfrm>
                      </wpg:grpSpPr>
                      <pic:pic>
                        <pic:nvPicPr>
                          <pic:cNvPr id="106" name="Image 106"/>
                          <pic:cNvPicPr/>
                        </pic:nvPicPr>
                        <pic:blipFill>
                          <a:blip r:embed="rId11" cstate="print"/>
                          <a:stretch>
                            <a:fillRect/>
                          </a:stretch>
                        </pic:blipFill>
                        <pic:spPr>
                          <a:xfrm>
                            <a:off x="0" y="0"/>
                            <a:ext cx="7559999" cy="1752562"/>
                          </a:xfrm>
                          <a:prstGeom prst="rect">
                            <a:avLst/>
                          </a:prstGeom>
                        </pic:spPr>
                      </pic:pic>
                      <wps:wsp>
                        <wps:cNvPr id="107" name="Textbox 107"/>
                        <wps:cNvSpPr txBox="1"/>
                        <wps:spPr>
                          <a:xfrm>
                            <a:off x="0" y="0"/>
                            <a:ext cx="7560309" cy="1752600"/>
                          </a:xfrm>
                          <a:prstGeom prst="rect">
                            <a:avLst/>
                          </a:prstGeom>
                        </wps:spPr>
                        <wps:txbx>
                          <w:txbxContent>
                            <w:p>
                              <w:pPr>
                                <w:spacing w:line="240" w:lineRule="auto" w:before="160"/>
                                <w:rPr>
                                  <w:sz w:val="68"/>
                                </w:rPr>
                              </w:pPr>
                            </w:p>
                            <w:p>
                              <w:pPr>
                                <w:spacing w:line="247" w:lineRule="auto" w:before="1"/>
                                <w:ind w:left="1080" w:right="2053" w:firstLine="0"/>
                                <w:jc w:val="left"/>
                                <w:rPr>
                                  <w:rFonts w:ascii="Trebuchet MS"/>
                                  <w:b/>
                                  <w:sz w:val="68"/>
                                </w:rPr>
                              </w:pPr>
                              <w:r>
                                <w:rPr>
                                  <w:rFonts w:ascii="Trebuchet MS"/>
                                  <w:b/>
                                  <w:color w:val="FFFFFF"/>
                                  <w:sz w:val="68"/>
                                </w:rPr>
                                <w:t>Summary of </w:t>
                              </w:r>
                              <w:r>
                                <w:rPr>
                                  <w:rFonts w:ascii="Trebuchet MS"/>
                                  <w:b/>
                                  <w:color w:val="FFFFFF"/>
                                  <w:spacing w:val="-2"/>
                                  <w:sz w:val="68"/>
                                </w:rPr>
                                <w:t>Recommendations</w:t>
                              </w:r>
                            </w:p>
                          </w:txbxContent>
                        </wps:txbx>
                        <wps:bodyPr wrap="square" lIns="0" tIns="0" rIns="0" bIns="0" rtlCol="0">
                          <a:noAutofit/>
                        </wps:bodyPr>
                      </wps:wsp>
                    </wpg:wgp>
                  </a:graphicData>
                </a:graphic>
              </wp:anchor>
            </w:drawing>
          </mc:Choice>
          <mc:Fallback>
            <w:pict>
              <v:group style="position:absolute;margin-left:0pt;margin-top:-179.256882pt;width:595.3pt;height:138pt;mso-position-horizontal-relative:page;mso-position-vertical-relative:paragraph;z-index:15745024" id="docshapegroup98" coordorigin="0,-3585" coordsize="11906,2760">
                <v:shape style="position:absolute;left:0;top:-3586;width:11906;height:2760" type="#_x0000_t75" id="docshape99" stroked="false">
                  <v:imagedata r:id="rId11" o:title=""/>
                </v:shape>
                <v:shape style="position:absolute;left:0;top:-3586;width:11906;height:2760" type="#_x0000_t202" id="docshape100" filled="false" stroked="false">
                  <v:textbox inset="0,0,0,0">
                    <w:txbxContent>
                      <w:p>
                        <w:pPr>
                          <w:spacing w:line="240" w:lineRule="auto" w:before="160"/>
                          <w:rPr>
                            <w:sz w:val="68"/>
                          </w:rPr>
                        </w:pPr>
                      </w:p>
                      <w:p>
                        <w:pPr>
                          <w:spacing w:line="247" w:lineRule="auto" w:before="1"/>
                          <w:ind w:left="1080" w:right="2053" w:firstLine="0"/>
                          <w:jc w:val="left"/>
                          <w:rPr>
                            <w:rFonts w:ascii="Trebuchet MS"/>
                            <w:b/>
                            <w:sz w:val="68"/>
                          </w:rPr>
                        </w:pPr>
                        <w:r>
                          <w:rPr>
                            <w:rFonts w:ascii="Trebuchet MS"/>
                            <w:b/>
                            <w:color w:val="FFFFFF"/>
                            <w:sz w:val="68"/>
                          </w:rPr>
                          <w:t>Summary of </w:t>
                        </w:r>
                        <w:r>
                          <w:rPr>
                            <w:rFonts w:ascii="Trebuchet MS"/>
                            <w:b/>
                            <w:color w:val="FFFFFF"/>
                            <w:spacing w:val="-2"/>
                            <w:sz w:val="68"/>
                          </w:rPr>
                          <w:t>Recommendations</w:t>
                        </w:r>
                      </w:p>
                    </w:txbxContent>
                  </v:textbox>
                  <w10:wrap type="none"/>
                </v:shape>
                <w10:wrap type="none"/>
              </v:group>
            </w:pict>
          </mc:Fallback>
        </mc:AlternateContent>
      </w:r>
      <w:r>
        <w:rPr>
          <w:color w:val="2E614A"/>
          <w:spacing w:val="-2"/>
        </w:rPr>
        <w:t>ACCESS</w:t>
      </w:r>
    </w:p>
    <w:p>
      <w:pPr>
        <w:pStyle w:val="BodyText"/>
        <w:spacing w:line="266" w:lineRule="auto" w:before="298"/>
        <w:ind w:left="1664"/>
        <w:jc w:val="both"/>
      </w:pPr>
      <w:r>
        <w:rPr/>
        <mc:AlternateContent>
          <mc:Choice Requires="wps">
            <w:drawing>
              <wp:anchor distT="0" distB="0" distL="0" distR="0" allowOverlap="1" layoutInCell="1" locked="0" behindDoc="1" simplePos="0" relativeHeight="479322112">
                <wp:simplePos x="0" y="0"/>
                <wp:positionH relativeFrom="page">
                  <wp:posOffset>685800</wp:posOffset>
                </wp:positionH>
                <wp:positionV relativeFrom="paragraph">
                  <wp:posOffset>100131</wp:posOffset>
                </wp:positionV>
                <wp:extent cx="371475" cy="75755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371475" cy="757555"/>
                        </a:xfrm>
                        <a:prstGeom prst="rect">
                          <a:avLst/>
                        </a:prstGeom>
                      </wps:spPr>
                      <wps:txbx>
                        <w:txbxContent>
                          <w:p>
                            <w:pPr>
                              <w:spacing w:line="1135" w:lineRule="exact" w:before="0"/>
                              <w:ind w:left="0" w:right="0" w:firstLine="0"/>
                              <w:jc w:val="left"/>
                              <w:rPr>
                                <w:sz w:val="106"/>
                              </w:rPr>
                            </w:pPr>
                            <w:r>
                              <w:rPr>
                                <w:color w:val="9CBF3B"/>
                                <w:spacing w:val="-16"/>
                                <w:sz w:val="106"/>
                              </w:rPr>
                              <w:t>P</w:t>
                            </w:r>
                          </w:p>
                        </w:txbxContent>
                      </wps:txbx>
                      <wps:bodyPr wrap="square" lIns="0" tIns="0" rIns="0" bIns="0" rtlCol="0">
                        <a:noAutofit/>
                      </wps:bodyPr>
                    </wps:wsp>
                  </a:graphicData>
                </a:graphic>
              </wp:anchor>
            </w:drawing>
          </mc:Choice>
          <mc:Fallback>
            <w:pict>
              <v:shape style="position:absolute;margin-left:54pt;margin-top:7.884389pt;width:29.25pt;height:59.65pt;mso-position-horizontal-relative:page;mso-position-vertical-relative:paragraph;z-index:-23994368" type="#_x0000_t202" id="docshape101" filled="false" stroked="false">
                <v:textbox inset="0,0,0,0">
                  <w:txbxContent>
                    <w:p>
                      <w:pPr>
                        <w:spacing w:line="1135" w:lineRule="exact" w:before="0"/>
                        <w:ind w:left="0" w:right="0" w:firstLine="0"/>
                        <w:jc w:val="left"/>
                        <w:rPr>
                          <w:sz w:val="106"/>
                        </w:rPr>
                      </w:pPr>
                      <w:r>
                        <w:rPr>
                          <w:color w:val="9CBF3B"/>
                          <w:spacing w:val="-16"/>
                          <w:sz w:val="106"/>
                        </w:rPr>
                        <w:t>P</w:t>
                      </w:r>
                    </w:p>
                  </w:txbxContent>
                </v:textbox>
                <w10:wrap type="none"/>
              </v:shape>
            </w:pict>
          </mc:Fallback>
        </mc:AlternateContent>
      </w:r>
      <w:r>
        <w:rPr/>
        <w:t>roviding access to knowledge is the </w:t>
      </w:r>
      <w:r>
        <w:rPr/>
        <w:t>most </w:t>
      </w:r>
      <w:r>
        <w:rPr>
          <w:spacing w:val="-4"/>
        </w:rPr>
        <w:t>fundamental</w:t>
      </w:r>
      <w:r>
        <w:rPr>
          <w:spacing w:val="-5"/>
        </w:rPr>
        <w:t> </w:t>
      </w:r>
      <w:r>
        <w:rPr>
          <w:spacing w:val="-4"/>
        </w:rPr>
        <w:t>way</w:t>
      </w:r>
      <w:r>
        <w:rPr>
          <w:spacing w:val="-5"/>
        </w:rPr>
        <w:t> </w:t>
      </w:r>
      <w:r>
        <w:rPr>
          <w:spacing w:val="-4"/>
        </w:rPr>
        <w:t>of</w:t>
      </w:r>
      <w:r>
        <w:rPr>
          <w:spacing w:val="-5"/>
        </w:rPr>
        <w:t> </w:t>
      </w:r>
      <w:r>
        <w:rPr>
          <w:spacing w:val="-4"/>
        </w:rPr>
        <w:t>increasing</w:t>
      </w:r>
      <w:r>
        <w:rPr>
          <w:spacing w:val="-5"/>
        </w:rPr>
        <w:t> </w:t>
      </w:r>
      <w:r>
        <w:rPr>
          <w:spacing w:val="-4"/>
        </w:rPr>
        <w:t>the</w:t>
      </w:r>
      <w:r>
        <w:rPr>
          <w:spacing w:val="-5"/>
        </w:rPr>
        <w:t> </w:t>
      </w:r>
      <w:r>
        <w:rPr>
          <w:spacing w:val="-4"/>
        </w:rPr>
        <w:t>opportunities </w:t>
      </w:r>
      <w:r>
        <w:rPr>
          <w:spacing w:val="-6"/>
        </w:rPr>
        <w:t>of</w:t>
      </w:r>
      <w:r>
        <w:rPr>
          <w:spacing w:val="-12"/>
        </w:rPr>
        <w:t> </w:t>
      </w:r>
      <w:r>
        <w:rPr>
          <w:spacing w:val="-6"/>
        </w:rPr>
        <w:t>individuals</w:t>
      </w:r>
      <w:r>
        <w:rPr>
          <w:spacing w:val="-12"/>
        </w:rPr>
        <w:t> </w:t>
      </w:r>
      <w:r>
        <w:rPr>
          <w:spacing w:val="-6"/>
        </w:rPr>
        <w:t>and</w:t>
      </w:r>
      <w:r>
        <w:rPr>
          <w:spacing w:val="-12"/>
        </w:rPr>
        <w:t> </w:t>
      </w:r>
      <w:r>
        <w:rPr>
          <w:spacing w:val="-6"/>
        </w:rPr>
        <w:t>groups.</w:t>
      </w:r>
      <w:r>
        <w:rPr>
          <w:spacing w:val="-25"/>
        </w:rPr>
        <w:t> </w:t>
      </w:r>
      <w:r>
        <w:rPr>
          <w:spacing w:val="-6"/>
        </w:rPr>
        <w:t>Therefore,</w:t>
      </w:r>
      <w:r>
        <w:rPr>
          <w:spacing w:val="-12"/>
        </w:rPr>
        <w:t> </w:t>
      </w:r>
      <w:r>
        <w:rPr>
          <w:spacing w:val="-6"/>
        </w:rPr>
        <w:t>it</w:t>
      </w:r>
      <w:r>
        <w:rPr>
          <w:spacing w:val="-12"/>
        </w:rPr>
        <w:t> </w:t>
      </w:r>
      <w:r>
        <w:rPr>
          <w:spacing w:val="-6"/>
        </w:rPr>
        <w:t>is</w:t>
      </w:r>
      <w:r>
        <w:rPr>
          <w:spacing w:val="-12"/>
        </w:rPr>
        <w:t> </w:t>
      </w:r>
      <w:r>
        <w:rPr>
          <w:spacing w:val="-7"/>
        </w:rPr>
        <w:t>essential</w:t>
      </w:r>
    </w:p>
    <w:p>
      <w:pPr>
        <w:pStyle w:val="BodyText"/>
        <w:spacing w:line="266" w:lineRule="auto"/>
        <w:ind w:left="1079"/>
        <w:jc w:val="both"/>
      </w:pPr>
      <w:r>
        <w:rPr>
          <w:spacing w:val="-10"/>
        </w:rPr>
        <w:t>to</w:t>
      </w:r>
      <w:r>
        <w:rPr>
          <w:spacing w:val="-2"/>
        </w:rPr>
        <w:t> </w:t>
      </w:r>
      <w:r>
        <w:rPr>
          <w:spacing w:val="-10"/>
        </w:rPr>
        <w:t>revitalise</w:t>
      </w:r>
      <w:r>
        <w:rPr>
          <w:spacing w:val="-2"/>
        </w:rPr>
        <w:t> </w:t>
      </w:r>
      <w:r>
        <w:rPr>
          <w:spacing w:val="-10"/>
        </w:rPr>
        <w:t>and</w:t>
      </w:r>
      <w:r>
        <w:rPr>
          <w:spacing w:val="-2"/>
        </w:rPr>
        <w:t> </w:t>
      </w:r>
      <w:r>
        <w:rPr>
          <w:spacing w:val="-10"/>
        </w:rPr>
        <w:t>expand</w:t>
      </w:r>
      <w:r>
        <w:rPr>
          <w:spacing w:val="-2"/>
        </w:rPr>
        <w:t> </w:t>
      </w:r>
      <w:r>
        <w:rPr>
          <w:spacing w:val="-10"/>
        </w:rPr>
        <w:t>the</w:t>
      </w:r>
      <w:r>
        <w:rPr>
          <w:spacing w:val="-2"/>
        </w:rPr>
        <w:t> </w:t>
      </w:r>
      <w:r>
        <w:rPr>
          <w:spacing w:val="-10"/>
        </w:rPr>
        <w:t>reach</w:t>
      </w:r>
      <w:r>
        <w:rPr>
          <w:spacing w:val="-2"/>
        </w:rPr>
        <w:t> </w:t>
      </w:r>
      <w:r>
        <w:rPr>
          <w:spacing w:val="-10"/>
        </w:rPr>
        <w:t>of</w:t>
      </w:r>
      <w:r>
        <w:rPr>
          <w:spacing w:val="-2"/>
        </w:rPr>
        <w:t> </w:t>
      </w:r>
      <w:r>
        <w:rPr>
          <w:spacing w:val="-10"/>
        </w:rPr>
        <w:t>knowledge</w:t>
      </w:r>
      <w:r>
        <w:rPr>
          <w:spacing w:val="-2"/>
        </w:rPr>
        <w:t> </w:t>
      </w:r>
      <w:r>
        <w:rPr>
          <w:spacing w:val="-10"/>
        </w:rPr>
        <w:t>in</w:t>
      </w:r>
      <w:r>
        <w:rPr>
          <w:spacing w:val="-2"/>
        </w:rPr>
        <w:t> </w:t>
      </w:r>
      <w:r>
        <w:rPr>
          <w:spacing w:val="-10"/>
        </w:rPr>
        <w:t>society. </w:t>
      </w:r>
      <w:r>
        <w:rPr/>
        <w:t>In</w:t>
      </w:r>
      <w:r>
        <w:rPr>
          <w:spacing w:val="-3"/>
        </w:rPr>
        <w:t> </w:t>
      </w:r>
      <w:r>
        <w:rPr/>
        <w:t>this</w:t>
      </w:r>
      <w:r>
        <w:rPr>
          <w:spacing w:val="-3"/>
        </w:rPr>
        <w:t> </w:t>
      </w:r>
      <w:r>
        <w:rPr/>
        <w:t>context</w:t>
      </w:r>
      <w:r>
        <w:rPr>
          <w:spacing w:val="-3"/>
        </w:rPr>
        <w:t> </w:t>
      </w:r>
      <w:r>
        <w:rPr/>
        <w:t>NKC</w:t>
      </w:r>
      <w:r>
        <w:rPr>
          <w:spacing w:val="-3"/>
        </w:rPr>
        <w:t> </w:t>
      </w:r>
      <w:r>
        <w:rPr/>
        <w:t>has</w:t>
      </w:r>
      <w:r>
        <w:rPr>
          <w:spacing w:val="-3"/>
        </w:rPr>
        <w:t> </w:t>
      </w:r>
      <w:r>
        <w:rPr/>
        <w:t>submitted</w:t>
      </w:r>
      <w:r>
        <w:rPr>
          <w:spacing w:val="-3"/>
        </w:rPr>
        <w:t> </w:t>
      </w:r>
      <w:r>
        <w:rPr/>
        <w:t>recommendations </w:t>
      </w:r>
      <w:r>
        <w:rPr>
          <w:spacing w:val="-4"/>
        </w:rPr>
        <w:t>on</w:t>
      </w:r>
      <w:r>
        <w:rPr>
          <w:spacing w:val="-10"/>
        </w:rPr>
        <w:t> </w:t>
      </w:r>
      <w:r>
        <w:rPr>
          <w:spacing w:val="-4"/>
        </w:rPr>
        <w:t>areas</w:t>
      </w:r>
      <w:r>
        <w:rPr>
          <w:spacing w:val="-10"/>
        </w:rPr>
        <w:t> </w:t>
      </w:r>
      <w:r>
        <w:rPr>
          <w:spacing w:val="-4"/>
        </w:rPr>
        <w:t>such</w:t>
      </w:r>
      <w:r>
        <w:rPr>
          <w:spacing w:val="-10"/>
        </w:rPr>
        <w:t> </w:t>
      </w:r>
      <w:r>
        <w:rPr>
          <w:spacing w:val="-4"/>
        </w:rPr>
        <w:t>as</w:t>
      </w:r>
      <w:r>
        <w:rPr>
          <w:spacing w:val="-9"/>
        </w:rPr>
        <w:t> </w:t>
      </w:r>
      <w:r>
        <w:rPr>
          <w:spacing w:val="-4"/>
        </w:rPr>
        <w:t>Right</w:t>
      </w:r>
      <w:r>
        <w:rPr>
          <w:spacing w:val="-10"/>
        </w:rPr>
        <w:t> </w:t>
      </w:r>
      <w:r>
        <w:rPr>
          <w:spacing w:val="-4"/>
        </w:rPr>
        <w:t>to</w:t>
      </w:r>
      <w:r>
        <w:rPr>
          <w:spacing w:val="-10"/>
        </w:rPr>
        <w:t> </w:t>
      </w:r>
      <w:r>
        <w:rPr>
          <w:spacing w:val="-4"/>
        </w:rPr>
        <w:t>Education,</w:t>
      </w:r>
      <w:r>
        <w:rPr>
          <w:spacing w:val="-10"/>
        </w:rPr>
        <w:t> </w:t>
      </w:r>
      <w:r>
        <w:rPr>
          <w:spacing w:val="-4"/>
        </w:rPr>
        <w:t>libraries,</w:t>
      </w:r>
      <w:r>
        <w:rPr>
          <w:spacing w:val="-9"/>
        </w:rPr>
        <w:t> </w:t>
      </w:r>
      <w:r>
        <w:rPr>
          <w:spacing w:val="-4"/>
        </w:rPr>
        <w:t>language, </w:t>
      </w:r>
      <w:r>
        <w:rPr/>
        <w:t>translation, portals and knowledge networks.</w:t>
      </w:r>
    </w:p>
    <w:p>
      <w:pPr>
        <w:pStyle w:val="BodyText"/>
        <w:spacing w:before="21"/>
      </w:pPr>
    </w:p>
    <w:p>
      <w:pPr>
        <w:pStyle w:val="ListParagraph"/>
        <w:numPr>
          <w:ilvl w:val="0"/>
          <w:numId w:val="5"/>
        </w:numPr>
        <w:tabs>
          <w:tab w:pos="1439" w:val="left" w:leader="none"/>
        </w:tabs>
        <w:spacing w:line="266" w:lineRule="auto" w:before="0" w:after="0"/>
        <w:ind w:left="1439" w:right="0" w:hanging="360"/>
        <w:jc w:val="both"/>
        <w:rPr>
          <w:sz w:val="22"/>
        </w:rPr>
      </w:pPr>
      <w:r>
        <w:rPr>
          <w:b/>
          <w:sz w:val="22"/>
        </w:rPr>
        <w:t>Right to Education: </w:t>
      </w:r>
      <w:r>
        <w:rPr>
          <w:sz w:val="22"/>
        </w:rPr>
        <w:t>The 86th Constitutional amendment</w:t>
      </w:r>
      <w:r>
        <w:rPr>
          <w:spacing w:val="40"/>
          <w:sz w:val="22"/>
        </w:rPr>
        <w:t> </w:t>
      </w:r>
      <w:r>
        <w:rPr>
          <w:sz w:val="22"/>
        </w:rPr>
        <w:t>act</w:t>
      </w:r>
      <w:r>
        <w:rPr>
          <w:spacing w:val="40"/>
          <w:sz w:val="22"/>
        </w:rPr>
        <w:t> </w:t>
      </w:r>
      <w:r>
        <w:rPr>
          <w:sz w:val="22"/>
        </w:rPr>
        <w:t>made</w:t>
      </w:r>
      <w:r>
        <w:rPr>
          <w:spacing w:val="40"/>
          <w:sz w:val="22"/>
        </w:rPr>
        <w:t> </w:t>
      </w:r>
      <w:r>
        <w:rPr>
          <w:sz w:val="22"/>
        </w:rPr>
        <w:t>the</w:t>
      </w:r>
      <w:r>
        <w:rPr>
          <w:spacing w:val="40"/>
          <w:sz w:val="22"/>
        </w:rPr>
        <w:t> </w:t>
      </w:r>
      <w:r>
        <w:rPr>
          <w:sz w:val="22"/>
        </w:rPr>
        <w:t>Right</w:t>
      </w:r>
      <w:r>
        <w:rPr>
          <w:spacing w:val="40"/>
          <w:sz w:val="22"/>
        </w:rPr>
        <w:t> </w:t>
      </w:r>
      <w:r>
        <w:rPr>
          <w:sz w:val="22"/>
        </w:rPr>
        <w:t>to</w:t>
      </w:r>
      <w:r>
        <w:rPr>
          <w:spacing w:val="40"/>
          <w:sz w:val="22"/>
        </w:rPr>
        <w:t> </w:t>
      </w:r>
      <w:r>
        <w:rPr>
          <w:sz w:val="22"/>
        </w:rPr>
        <w:t>Education</w:t>
      </w:r>
      <w:r>
        <w:rPr>
          <w:spacing w:val="80"/>
          <w:sz w:val="22"/>
        </w:rPr>
        <w:t> </w:t>
      </w:r>
      <w:r>
        <w:rPr>
          <w:sz w:val="22"/>
        </w:rPr>
        <w:t>a Fundamental Right. However, to enhance universal access to quality education for Indian children, NKC recommends that there is a need for a central legislation affirming the Right to Education.</w:t>
      </w:r>
      <w:r>
        <w:rPr>
          <w:spacing w:val="-4"/>
          <w:sz w:val="22"/>
        </w:rPr>
        <w:t> </w:t>
      </w:r>
      <w:r>
        <w:rPr>
          <w:sz w:val="22"/>
        </w:rPr>
        <w:t>This must entail a financial provision requiring the central government to provide the bulk of the additional funds needed for realising the Right to Education. The legislation should also lay down minimum standards of quality in school education and for it to be effective, the responsibility of the Government at different levels, must be recognised and made justiciable.</w:t>
      </w:r>
    </w:p>
    <w:p>
      <w:pPr>
        <w:pStyle w:val="BodyText"/>
        <w:spacing w:before="16"/>
      </w:pPr>
    </w:p>
    <w:p>
      <w:pPr>
        <w:pStyle w:val="ListParagraph"/>
        <w:numPr>
          <w:ilvl w:val="0"/>
          <w:numId w:val="5"/>
        </w:numPr>
        <w:tabs>
          <w:tab w:pos="1440" w:val="left" w:leader="none"/>
        </w:tabs>
        <w:spacing w:line="266" w:lineRule="auto" w:before="0" w:after="0"/>
        <w:ind w:left="1440" w:right="0" w:hanging="360"/>
        <w:jc w:val="both"/>
        <w:rPr>
          <w:sz w:val="22"/>
        </w:rPr>
      </w:pPr>
      <w:r>
        <w:rPr>
          <w:b/>
          <w:spacing w:val="-6"/>
          <w:sz w:val="22"/>
        </w:rPr>
        <w:t>Language:</w:t>
      </w:r>
      <w:r>
        <w:rPr>
          <w:b/>
          <w:spacing w:val="-7"/>
          <w:sz w:val="22"/>
        </w:rPr>
        <w:t> </w:t>
      </w:r>
      <w:r>
        <w:rPr>
          <w:spacing w:val="-6"/>
          <w:sz w:val="22"/>
        </w:rPr>
        <w:t>In</w:t>
      </w:r>
      <w:r>
        <w:rPr>
          <w:spacing w:val="-7"/>
          <w:sz w:val="22"/>
        </w:rPr>
        <w:t> </w:t>
      </w:r>
      <w:r>
        <w:rPr>
          <w:spacing w:val="-6"/>
          <w:sz w:val="22"/>
        </w:rPr>
        <w:t>the</w:t>
      </w:r>
      <w:r>
        <w:rPr>
          <w:spacing w:val="-7"/>
          <w:sz w:val="22"/>
        </w:rPr>
        <w:t> </w:t>
      </w:r>
      <w:r>
        <w:rPr>
          <w:spacing w:val="-6"/>
          <w:sz w:val="22"/>
        </w:rPr>
        <w:t>current</w:t>
      </w:r>
      <w:r>
        <w:rPr>
          <w:spacing w:val="-7"/>
          <w:sz w:val="22"/>
        </w:rPr>
        <w:t> </w:t>
      </w:r>
      <w:r>
        <w:rPr>
          <w:spacing w:val="-6"/>
          <w:sz w:val="22"/>
        </w:rPr>
        <w:t>scenario</w:t>
      </w:r>
      <w:r>
        <w:rPr>
          <w:spacing w:val="-7"/>
          <w:sz w:val="22"/>
        </w:rPr>
        <w:t> </w:t>
      </w:r>
      <w:r>
        <w:rPr>
          <w:spacing w:val="-6"/>
          <w:sz w:val="22"/>
        </w:rPr>
        <w:t>an</w:t>
      </w:r>
      <w:r>
        <w:rPr>
          <w:spacing w:val="-7"/>
          <w:sz w:val="22"/>
        </w:rPr>
        <w:t> </w:t>
      </w:r>
      <w:r>
        <w:rPr>
          <w:spacing w:val="-6"/>
          <w:sz w:val="22"/>
        </w:rPr>
        <w:t>understanding </w:t>
      </w:r>
      <w:r>
        <w:rPr>
          <w:sz w:val="22"/>
        </w:rPr>
        <w:t>and</w:t>
      </w:r>
      <w:r>
        <w:rPr>
          <w:spacing w:val="-16"/>
          <w:sz w:val="22"/>
        </w:rPr>
        <w:t> </w:t>
      </w:r>
      <w:r>
        <w:rPr>
          <w:sz w:val="22"/>
        </w:rPr>
        <w:t>command</w:t>
      </w:r>
      <w:r>
        <w:rPr>
          <w:spacing w:val="-14"/>
          <w:sz w:val="22"/>
        </w:rPr>
        <w:t> </w:t>
      </w:r>
      <w:r>
        <w:rPr>
          <w:sz w:val="22"/>
        </w:rPr>
        <w:t>over</w:t>
      </w:r>
      <w:r>
        <w:rPr>
          <w:spacing w:val="-14"/>
          <w:sz w:val="22"/>
        </w:rPr>
        <w:t> </w:t>
      </w:r>
      <w:r>
        <w:rPr>
          <w:sz w:val="22"/>
        </w:rPr>
        <w:t>the</w:t>
      </w:r>
      <w:r>
        <w:rPr>
          <w:spacing w:val="-13"/>
          <w:sz w:val="22"/>
        </w:rPr>
        <w:t> </w:t>
      </w:r>
      <w:r>
        <w:rPr>
          <w:sz w:val="22"/>
        </w:rPr>
        <w:t>English</w:t>
      </w:r>
      <w:r>
        <w:rPr>
          <w:spacing w:val="-14"/>
          <w:sz w:val="22"/>
        </w:rPr>
        <w:t> </w:t>
      </w:r>
      <w:r>
        <w:rPr>
          <w:sz w:val="22"/>
        </w:rPr>
        <w:t>language</w:t>
      </w:r>
      <w:r>
        <w:rPr>
          <w:spacing w:val="-14"/>
          <w:sz w:val="22"/>
        </w:rPr>
        <w:t> </w:t>
      </w:r>
      <w:r>
        <w:rPr>
          <w:sz w:val="22"/>
        </w:rPr>
        <w:t>is</w:t>
      </w:r>
      <w:r>
        <w:rPr>
          <w:spacing w:val="-14"/>
          <w:sz w:val="22"/>
        </w:rPr>
        <w:t> </w:t>
      </w:r>
      <w:r>
        <w:rPr>
          <w:sz w:val="22"/>
        </w:rPr>
        <w:t>a</w:t>
      </w:r>
      <w:r>
        <w:rPr>
          <w:spacing w:val="-13"/>
          <w:sz w:val="22"/>
        </w:rPr>
        <w:t> </w:t>
      </w:r>
      <w:r>
        <w:rPr>
          <w:sz w:val="22"/>
        </w:rPr>
        <w:t>most </w:t>
      </w:r>
      <w:r>
        <w:rPr>
          <w:spacing w:val="-6"/>
          <w:sz w:val="22"/>
        </w:rPr>
        <w:t>important</w:t>
      </w:r>
      <w:r>
        <w:rPr>
          <w:spacing w:val="-8"/>
          <w:sz w:val="22"/>
        </w:rPr>
        <w:t> </w:t>
      </w:r>
      <w:r>
        <w:rPr>
          <w:spacing w:val="-6"/>
          <w:sz w:val="22"/>
        </w:rPr>
        <w:t>determinant</w:t>
      </w:r>
      <w:r>
        <w:rPr>
          <w:spacing w:val="-8"/>
          <w:sz w:val="22"/>
        </w:rPr>
        <w:t> </w:t>
      </w:r>
      <w:r>
        <w:rPr>
          <w:spacing w:val="-6"/>
          <w:sz w:val="22"/>
        </w:rPr>
        <w:t>of</w:t>
      </w:r>
      <w:r>
        <w:rPr>
          <w:spacing w:val="-8"/>
          <w:sz w:val="22"/>
        </w:rPr>
        <w:t> </w:t>
      </w:r>
      <w:r>
        <w:rPr>
          <w:spacing w:val="-6"/>
          <w:sz w:val="22"/>
        </w:rPr>
        <w:t>access</w:t>
      </w:r>
      <w:r>
        <w:rPr>
          <w:spacing w:val="-7"/>
          <w:sz w:val="22"/>
        </w:rPr>
        <w:t> </w:t>
      </w:r>
      <w:r>
        <w:rPr>
          <w:spacing w:val="-6"/>
          <w:sz w:val="22"/>
        </w:rPr>
        <w:t>to</w:t>
      </w:r>
      <w:r>
        <w:rPr>
          <w:spacing w:val="-8"/>
          <w:sz w:val="22"/>
        </w:rPr>
        <w:t> </w:t>
      </w:r>
      <w:r>
        <w:rPr>
          <w:spacing w:val="-6"/>
          <w:sz w:val="22"/>
        </w:rPr>
        <w:t>higher</w:t>
      </w:r>
      <w:r>
        <w:rPr>
          <w:spacing w:val="-8"/>
          <w:sz w:val="22"/>
        </w:rPr>
        <w:t> </w:t>
      </w:r>
      <w:r>
        <w:rPr>
          <w:spacing w:val="-6"/>
          <w:sz w:val="22"/>
        </w:rPr>
        <w:t>education, </w:t>
      </w:r>
      <w:r>
        <w:rPr>
          <w:spacing w:val="-2"/>
          <w:sz w:val="22"/>
        </w:rPr>
        <w:t>employment</w:t>
      </w:r>
      <w:r>
        <w:rPr>
          <w:spacing w:val="-8"/>
          <w:sz w:val="22"/>
        </w:rPr>
        <w:t> </w:t>
      </w:r>
      <w:r>
        <w:rPr>
          <w:spacing w:val="-2"/>
          <w:sz w:val="22"/>
        </w:rPr>
        <w:t>possibilities</w:t>
      </w:r>
      <w:r>
        <w:rPr>
          <w:spacing w:val="-9"/>
          <w:sz w:val="22"/>
        </w:rPr>
        <w:t> </w:t>
      </w:r>
      <w:r>
        <w:rPr>
          <w:spacing w:val="-2"/>
          <w:sz w:val="22"/>
        </w:rPr>
        <w:t>and</w:t>
      </w:r>
      <w:r>
        <w:rPr>
          <w:spacing w:val="-8"/>
          <w:sz w:val="22"/>
        </w:rPr>
        <w:t> </w:t>
      </w:r>
      <w:r>
        <w:rPr>
          <w:spacing w:val="-2"/>
          <w:sz w:val="22"/>
        </w:rPr>
        <w:t>social</w:t>
      </w:r>
      <w:r>
        <w:rPr>
          <w:spacing w:val="-9"/>
          <w:sz w:val="22"/>
        </w:rPr>
        <w:t> </w:t>
      </w:r>
      <w:r>
        <w:rPr>
          <w:spacing w:val="-2"/>
          <w:sz w:val="22"/>
        </w:rPr>
        <w:t>opportunities. </w:t>
      </w:r>
      <w:r>
        <w:rPr>
          <w:sz w:val="22"/>
        </w:rPr>
        <w:t>NKC therefore recommends that the teaching of English</w:t>
      </w:r>
      <w:r>
        <w:rPr>
          <w:spacing w:val="-14"/>
          <w:sz w:val="22"/>
        </w:rPr>
        <w:t> </w:t>
      </w:r>
      <w:r>
        <w:rPr>
          <w:sz w:val="22"/>
        </w:rPr>
        <w:t>as</w:t>
      </w:r>
      <w:r>
        <w:rPr>
          <w:spacing w:val="-14"/>
          <w:sz w:val="22"/>
        </w:rPr>
        <w:t> </w:t>
      </w:r>
      <w:r>
        <w:rPr>
          <w:sz w:val="22"/>
        </w:rPr>
        <w:t>a</w:t>
      </w:r>
      <w:r>
        <w:rPr>
          <w:spacing w:val="-14"/>
          <w:sz w:val="22"/>
        </w:rPr>
        <w:t> </w:t>
      </w:r>
      <w:r>
        <w:rPr>
          <w:sz w:val="22"/>
        </w:rPr>
        <w:t>language</w:t>
      </w:r>
      <w:r>
        <w:rPr>
          <w:spacing w:val="-13"/>
          <w:sz w:val="22"/>
        </w:rPr>
        <w:t> </w:t>
      </w:r>
      <w:r>
        <w:rPr>
          <w:sz w:val="22"/>
        </w:rPr>
        <w:t>should</w:t>
      </w:r>
      <w:r>
        <w:rPr>
          <w:spacing w:val="-14"/>
          <w:sz w:val="22"/>
        </w:rPr>
        <w:t> </w:t>
      </w:r>
      <w:r>
        <w:rPr>
          <w:sz w:val="22"/>
        </w:rPr>
        <w:t>be</w:t>
      </w:r>
      <w:r>
        <w:rPr>
          <w:spacing w:val="-14"/>
          <w:sz w:val="22"/>
        </w:rPr>
        <w:t> </w:t>
      </w:r>
      <w:r>
        <w:rPr>
          <w:sz w:val="22"/>
        </w:rPr>
        <w:t>introduced,</w:t>
      </w:r>
      <w:r>
        <w:rPr>
          <w:spacing w:val="-14"/>
          <w:sz w:val="22"/>
        </w:rPr>
        <w:t> </w:t>
      </w:r>
      <w:r>
        <w:rPr>
          <w:sz w:val="22"/>
        </w:rPr>
        <w:t>along </w:t>
      </w:r>
      <w:r>
        <w:rPr>
          <w:spacing w:val="-2"/>
          <w:sz w:val="22"/>
        </w:rPr>
        <w:t>with</w:t>
      </w:r>
      <w:r>
        <w:rPr>
          <w:spacing w:val="-12"/>
          <w:sz w:val="22"/>
        </w:rPr>
        <w:t> </w:t>
      </w:r>
      <w:r>
        <w:rPr>
          <w:spacing w:val="-2"/>
          <w:sz w:val="22"/>
        </w:rPr>
        <w:t>the</w:t>
      </w:r>
      <w:r>
        <w:rPr>
          <w:spacing w:val="-12"/>
          <w:sz w:val="22"/>
        </w:rPr>
        <w:t> </w:t>
      </w:r>
      <w:r>
        <w:rPr>
          <w:spacing w:val="-2"/>
          <w:sz w:val="22"/>
        </w:rPr>
        <w:t>first</w:t>
      </w:r>
      <w:r>
        <w:rPr>
          <w:spacing w:val="-12"/>
          <w:sz w:val="22"/>
        </w:rPr>
        <w:t> </w:t>
      </w:r>
      <w:r>
        <w:rPr>
          <w:spacing w:val="-2"/>
          <w:sz w:val="22"/>
        </w:rPr>
        <w:t>language</w:t>
      </w:r>
      <w:r>
        <w:rPr>
          <w:spacing w:val="-11"/>
          <w:sz w:val="22"/>
        </w:rPr>
        <w:t> </w:t>
      </w:r>
      <w:r>
        <w:rPr>
          <w:spacing w:val="-2"/>
          <w:sz w:val="22"/>
        </w:rPr>
        <w:t>(either</w:t>
      </w:r>
      <w:r>
        <w:rPr>
          <w:spacing w:val="-12"/>
          <w:sz w:val="22"/>
        </w:rPr>
        <w:t> </w:t>
      </w:r>
      <w:r>
        <w:rPr>
          <w:spacing w:val="-2"/>
          <w:sz w:val="22"/>
        </w:rPr>
        <w:t>mother</w:t>
      </w:r>
      <w:r>
        <w:rPr>
          <w:spacing w:val="-12"/>
          <w:sz w:val="22"/>
        </w:rPr>
        <w:t> </w:t>
      </w:r>
      <w:r>
        <w:rPr>
          <w:spacing w:val="-2"/>
          <w:sz w:val="22"/>
        </w:rPr>
        <w:t>tongue</w:t>
      </w:r>
      <w:r>
        <w:rPr>
          <w:spacing w:val="-12"/>
          <w:sz w:val="22"/>
        </w:rPr>
        <w:t> </w:t>
      </w:r>
      <w:r>
        <w:rPr>
          <w:spacing w:val="-2"/>
          <w:sz w:val="22"/>
        </w:rPr>
        <w:t>or</w:t>
      </w:r>
      <w:r>
        <w:rPr>
          <w:spacing w:val="-11"/>
          <w:sz w:val="22"/>
        </w:rPr>
        <w:t> </w:t>
      </w:r>
      <w:r>
        <w:rPr>
          <w:spacing w:val="-2"/>
          <w:sz w:val="22"/>
        </w:rPr>
        <w:t>the regional</w:t>
      </w:r>
      <w:r>
        <w:rPr>
          <w:spacing w:val="-12"/>
          <w:sz w:val="22"/>
        </w:rPr>
        <w:t> </w:t>
      </w:r>
      <w:r>
        <w:rPr>
          <w:spacing w:val="-2"/>
          <w:sz w:val="22"/>
        </w:rPr>
        <w:t>language)</w:t>
      </w:r>
      <w:r>
        <w:rPr>
          <w:spacing w:val="-12"/>
          <w:sz w:val="22"/>
        </w:rPr>
        <w:t> </w:t>
      </w:r>
      <w:r>
        <w:rPr>
          <w:spacing w:val="-2"/>
          <w:sz w:val="22"/>
        </w:rPr>
        <w:t>of</w:t>
      </w:r>
      <w:r>
        <w:rPr>
          <w:spacing w:val="-12"/>
          <w:sz w:val="22"/>
        </w:rPr>
        <w:t> </w:t>
      </w:r>
      <w:r>
        <w:rPr>
          <w:spacing w:val="-2"/>
          <w:sz w:val="22"/>
        </w:rPr>
        <w:t>the</w:t>
      </w:r>
      <w:r>
        <w:rPr>
          <w:spacing w:val="-11"/>
          <w:sz w:val="22"/>
        </w:rPr>
        <w:t> </w:t>
      </w:r>
      <w:r>
        <w:rPr>
          <w:spacing w:val="-2"/>
          <w:sz w:val="22"/>
        </w:rPr>
        <w:t>child,</w:t>
      </w:r>
      <w:r>
        <w:rPr>
          <w:spacing w:val="-12"/>
          <w:sz w:val="22"/>
        </w:rPr>
        <w:t> </w:t>
      </w:r>
      <w:r>
        <w:rPr>
          <w:spacing w:val="-2"/>
          <w:sz w:val="22"/>
        </w:rPr>
        <w:t>starting</w:t>
      </w:r>
      <w:r>
        <w:rPr>
          <w:spacing w:val="-12"/>
          <w:sz w:val="22"/>
        </w:rPr>
        <w:t> </w:t>
      </w:r>
      <w:r>
        <w:rPr>
          <w:spacing w:val="-2"/>
          <w:sz w:val="22"/>
        </w:rPr>
        <w:t>from</w:t>
      </w:r>
      <w:r>
        <w:rPr>
          <w:spacing w:val="-12"/>
          <w:sz w:val="22"/>
        </w:rPr>
        <w:t> </w:t>
      </w:r>
      <w:r>
        <w:rPr>
          <w:spacing w:val="-2"/>
          <w:sz w:val="22"/>
        </w:rPr>
        <w:t>Class</w:t>
      </w:r>
    </w:p>
    <w:p>
      <w:pPr>
        <w:pStyle w:val="BodyText"/>
        <w:spacing w:line="266" w:lineRule="auto"/>
        <w:ind w:left="1440"/>
        <w:jc w:val="both"/>
      </w:pPr>
      <w:r>
        <w:rPr/>
        <w:t>I. Further, NKC has also focused on the need </w:t>
      </w:r>
      <w:r>
        <w:rPr/>
        <w:t>to</w:t>
      </w:r>
      <w:r>
        <w:rPr/>
        <w:t> </w:t>
      </w:r>
      <w:r>
        <w:rPr>
          <w:spacing w:val="-2"/>
        </w:rPr>
        <w:t>reform</w:t>
      </w:r>
      <w:r>
        <w:rPr>
          <w:spacing w:val="-12"/>
        </w:rPr>
        <w:t> </w:t>
      </w:r>
      <w:r>
        <w:rPr>
          <w:spacing w:val="-2"/>
        </w:rPr>
        <w:t>the</w:t>
      </w:r>
      <w:r>
        <w:rPr>
          <w:spacing w:val="-12"/>
        </w:rPr>
        <w:t> </w:t>
      </w:r>
      <w:r>
        <w:rPr>
          <w:spacing w:val="-2"/>
        </w:rPr>
        <w:t>pedagogy</w:t>
      </w:r>
      <w:r>
        <w:rPr>
          <w:spacing w:val="-12"/>
        </w:rPr>
        <w:t> </w:t>
      </w:r>
      <w:r>
        <w:rPr>
          <w:spacing w:val="-2"/>
        </w:rPr>
        <w:t>of</w:t>
      </w:r>
      <w:r>
        <w:rPr>
          <w:spacing w:val="-11"/>
        </w:rPr>
        <w:t> </w:t>
      </w:r>
      <w:r>
        <w:rPr>
          <w:spacing w:val="-2"/>
        </w:rPr>
        <w:t>English</w:t>
      </w:r>
      <w:r>
        <w:rPr>
          <w:spacing w:val="-12"/>
        </w:rPr>
        <w:t> </w:t>
      </w:r>
      <w:r>
        <w:rPr>
          <w:spacing w:val="-2"/>
        </w:rPr>
        <w:t>language</w:t>
      </w:r>
      <w:r>
        <w:rPr>
          <w:spacing w:val="-12"/>
        </w:rPr>
        <w:t> </w:t>
      </w:r>
      <w:r>
        <w:rPr>
          <w:spacing w:val="-2"/>
        </w:rPr>
        <w:t>teachin</w:t>
      </w:r>
      <w:r>
        <w:rPr>
          <w:spacing w:val="-2"/>
        </w:rPr>
        <w:t>g</w:t>
      </w:r>
      <w:r>
        <w:rPr>
          <w:spacing w:val="-2"/>
        </w:rPr>
        <w:t> </w:t>
      </w:r>
      <w:r>
        <w:rPr/>
        <w:t>and the use of all available media to </w:t>
      </w:r>
      <w:r>
        <w:rPr/>
        <w:t>supplement</w:t>
      </w:r>
      <w:r>
        <w:rPr/>
        <w:t> traditional teaching methods.</w:t>
      </w:r>
    </w:p>
    <w:p>
      <w:pPr>
        <w:pStyle w:val="BodyText"/>
        <w:spacing w:before="17"/>
      </w:pPr>
    </w:p>
    <w:p>
      <w:pPr>
        <w:pStyle w:val="ListParagraph"/>
        <w:numPr>
          <w:ilvl w:val="0"/>
          <w:numId w:val="5"/>
        </w:numPr>
        <w:tabs>
          <w:tab w:pos="1439" w:val="left" w:leader="none"/>
        </w:tabs>
        <w:spacing w:line="266" w:lineRule="auto" w:before="0" w:after="0"/>
        <w:ind w:left="1439" w:right="0" w:hanging="360"/>
        <w:jc w:val="both"/>
        <w:rPr>
          <w:sz w:val="22"/>
        </w:rPr>
      </w:pPr>
      <w:r>
        <w:rPr>
          <w:b/>
          <w:spacing w:val="-2"/>
          <w:sz w:val="22"/>
        </w:rPr>
        <w:t>Translation:</w:t>
      </w:r>
      <w:r>
        <w:rPr>
          <w:b/>
          <w:spacing w:val="-12"/>
          <w:sz w:val="22"/>
        </w:rPr>
        <w:t> </w:t>
      </w:r>
      <w:r>
        <w:rPr>
          <w:spacing w:val="-2"/>
          <w:sz w:val="22"/>
        </w:rPr>
        <w:t>In</w:t>
      </w:r>
      <w:r>
        <w:rPr>
          <w:spacing w:val="-12"/>
          <w:sz w:val="22"/>
        </w:rPr>
        <w:t> </w:t>
      </w:r>
      <w:r>
        <w:rPr>
          <w:spacing w:val="-2"/>
          <w:sz w:val="22"/>
        </w:rPr>
        <w:t>a</w:t>
      </w:r>
      <w:r>
        <w:rPr>
          <w:spacing w:val="-12"/>
          <w:sz w:val="22"/>
        </w:rPr>
        <w:t> </w:t>
      </w:r>
      <w:r>
        <w:rPr>
          <w:spacing w:val="-2"/>
          <w:sz w:val="22"/>
        </w:rPr>
        <w:t>multilingual</w:t>
      </w:r>
      <w:r>
        <w:rPr>
          <w:spacing w:val="-11"/>
          <w:sz w:val="22"/>
        </w:rPr>
        <w:t> </w:t>
      </w:r>
      <w:r>
        <w:rPr>
          <w:spacing w:val="-2"/>
          <w:sz w:val="22"/>
        </w:rPr>
        <w:t>country,</w:t>
      </w:r>
      <w:r>
        <w:rPr>
          <w:spacing w:val="-12"/>
          <w:sz w:val="22"/>
        </w:rPr>
        <w:t> </w:t>
      </w:r>
      <w:r>
        <w:rPr>
          <w:spacing w:val="-2"/>
          <w:sz w:val="22"/>
        </w:rPr>
        <w:t>translation </w:t>
      </w:r>
      <w:r>
        <w:rPr>
          <w:sz w:val="22"/>
        </w:rPr>
        <w:t>should play a critical role in making knowledge available to different linguistic groups. NKC has </w:t>
      </w:r>
      <w:r>
        <w:rPr>
          <w:spacing w:val="-4"/>
          <w:sz w:val="22"/>
        </w:rPr>
        <w:t>recommended</w:t>
      </w:r>
      <w:r>
        <w:rPr>
          <w:spacing w:val="-10"/>
          <w:sz w:val="22"/>
        </w:rPr>
        <w:t> </w:t>
      </w:r>
      <w:r>
        <w:rPr>
          <w:spacing w:val="-4"/>
          <w:sz w:val="22"/>
        </w:rPr>
        <w:t>developing</w:t>
      </w:r>
      <w:r>
        <w:rPr>
          <w:spacing w:val="-10"/>
          <w:sz w:val="22"/>
        </w:rPr>
        <w:t> </w:t>
      </w:r>
      <w:r>
        <w:rPr>
          <w:spacing w:val="-4"/>
          <w:sz w:val="22"/>
        </w:rPr>
        <w:t>translation</w:t>
      </w:r>
      <w:r>
        <w:rPr>
          <w:spacing w:val="-10"/>
          <w:sz w:val="22"/>
        </w:rPr>
        <w:t> </w:t>
      </w:r>
      <w:r>
        <w:rPr>
          <w:spacing w:val="-4"/>
          <w:sz w:val="22"/>
        </w:rPr>
        <w:t>as</w:t>
      </w:r>
      <w:r>
        <w:rPr>
          <w:spacing w:val="-9"/>
          <w:sz w:val="22"/>
        </w:rPr>
        <w:t> </w:t>
      </w:r>
      <w:r>
        <w:rPr>
          <w:spacing w:val="-4"/>
          <w:sz w:val="22"/>
        </w:rPr>
        <w:t>an</w:t>
      </w:r>
      <w:r>
        <w:rPr>
          <w:spacing w:val="-10"/>
          <w:sz w:val="22"/>
        </w:rPr>
        <w:t> </w:t>
      </w:r>
      <w:r>
        <w:rPr>
          <w:spacing w:val="-4"/>
          <w:sz w:val="22"/>
        </w:rPr>
        <w:t>industry </w:t>
      </w:r>
      <w:r>
        <w:rPr>
          <w:spacing w:val="-2"/>
          <w:sz w:val="22"/>
        </w:rPr>
        <w:t>and</w:t>
      </w:r>
      <w:r>
        <w:rPr>
          <w:spacing w:val="-12"/>
          <w:sz w:val="22"/>
        </w:rPr>
        <w:t> </w:t>
      </w:r>
      <w:r>
        <w:rPr>
          <w:spacing w:val="-2"/>
          <w:sz w:val="22"/>
        </w:rPr>
        <w:t>setting</w:t>
      </w:r>
      <w:r>
        <w:rPr>
          <w:spacing w:val="-12"/>
          <w:sz w:val="22"/>
        </w:rPr>
        <w:t> </w:t>
      </w:r>
      <w:r>
        <w:rPr>
          <w:spacing w:val="-2"/>
          <w:sz w:val="22"/>
        </w:rPr>
        <w:t>up</w:t>
      </w:r>
      <w:r>
        <w:rPr>
          <w:spacing w:val="-12"/>
          <w:sz w:val="22"/>
        </w:rPr>
        <w:t> </w:t>
      </w:r>
      <w:r>
        <w:rPr>
          <w:spacing w:val="-2"/>
          <w:sz w:val="22"/>
        </w:rPr>
        <w:t>a</w:t>
      </w:r>
      <w:r>
        <w:rPr>
          <w:spacing w:val="-11"/>
          <w:sz w:val="22"/>
        </w:rPr>
        <w:t> </w:t>
      </w:r>
      <w:r>
        <w:rPr>
          <w:spacing w:val="-2"/>
          <w:sz w:val="22"/>
        </w:rPr>
        <w:t>National</w:t>
      </w:r>
      <w:r>
        <w:rPr>
          <w:spacing w:val="-12"/>
          <w:sz w:val="22"/>
        </w:rPr>
        <w:t> </w:t>
      </w:r>
      <w:r>
        <w:rPr>
          <w:spacing w:val="-2"/>
          <w:sz w:val="22"/>
        </w:rPr>
        <w:t>Translation</w:t>
      </w:r>
      <w:r>
        <w:rPr>
          <w:spacing w:val="-12"/>
          <w:sz w:val="22"/>
        </w:rPr>
        <w:t> </w:t>
      </w:r>
      <w:r>
        <w:rPr>
          <w:spacing w:val="-2"/>
          <w:sz w:val="22"/>
        </w:rPr>
        <w:t>Mission</w:t>
      </w:r>
      <w:r>
        <w:rPr>
          <w:spacing w:val="-12"/>
          <w:sz w:val="22"/>
        </w:rPr>
        <w:t> </w:t>
      </w:r>
      <w:r>
        <w:rPr>
          <w:spacing w:val="-2"/>
          <w:sz w:val="22"/>
        </w:rPr>
        <w:t>with</w:t>
      </w:r>
    </w:p>
    <w:p>
      <w:pPr>
        <w:pStyle w:val="BodyText"/>
        <w:spacing w:line="266" w:lineRule="auto" w:before="91"/>
        <w:ind w:left="679" w:right="1077"/>
        <w:jc w:val="both"/>
      </w:pPr>
      <w:r>
        <w:rPr/>
        <w:br w:type="column"/>
      </w:r>
      <w:r>
        <w:rPr/>
        <w:t>a</w:t>
      </w:r>
      <w:r>
        <w:rPr>
          <w:spacing w:val="-3"/>
        </w:rPr>
        <w:t> </w:t>
      </w:r>
      <w:r>
        <w:rPr/>
        <w:t>focus</w:t>
      </w:r>
      <w:r>
        <w:rPr>
          <w:spacing w:val="-3"/>
        </w:rPr>
        <w:t> </w:t>
      </w:r>
      <w:r>
        <w:rPr/>
        <w:t>on</w:t>
      </w:r>
      <w:r>
        <w:rPr>
          <w:spacing w:val="-3"/>
        </w:rPr>
        <w:t> </w:t>
      </w:r>
      <w:r>
        <w:rPr/>
        <w:t>promoting</w:t>
      </w:r>
      <w:r>
        <w:rPr>
          <w:spacing w:val="-3"/>
        </w:rPr>
        <w:t> </w:t>
      </w:r>
      <w:r>
        <w:rPr/>
        <w:t>translation</w:t>
      </w:r>
      <w:r>
        <w:rPr>
          <w:spacing w:val="-3"/>
        </w:rPr>
        <w:t> </w:t>
      </w:r>
      <w:r>
        <w:rPr/>
        <w:t>activities</w:t>
      </w:r>
      <w:r>
        <w:rPr>
          <w:spacing w:val="-3"/>
        </w:rPr>
        <w:t> </w:t>
      </w:r>
      <w:r>
        <w:rPr/>
        <w:t>across the</w:t>
      </w:r>
      <w:r>
        <w:rPr>
          <w:spacing w:val="-1"/>
        </w:rPr>
        <w:t> </w:t>
      </w:r>
      <w:r>
        <w:rPr/>
        <w:t>country.</w:t>
      </w:r>
      <w:r>
        <w:rPr>
          <w:spacing w:val="-9"/>
        </w:rPr>
        <w:t> </w:t>
      </w:r>
      <w:r>
        <w:rPr/>
        <w:t>The</w:t>
      </w:r>
      <w:r>
        <w:rPr>
          <w:spacing w:val="-1"/>
        </w:rPr>
        <w:t> </w:t>
      </w:r>
      <w:r>
        <w:rPr/>
        <w:t>Mission</w:t>
      </w:r>
      <w:r>
        <w:rPr>
          <w:spacing w:val="-1"/>
        </w:rPr>
        <w:t> </w:t>
      </w:r>
      <w:r>
        <w:rPr/>
        <w:t>would</w:t>
      </w:r>
      <w:r>
        <w:rPr>
          <w:spacing w:val="-1"/>
        </w:rPr>
        <w:t> </w:t>
      </w:r>
      <w:r>
        <w:rPr/>
        <w:t>undertake</w:t>
      </w:r>
      <w:r>
        <w:rPr>
          <w:spacing w:val="-1"/>
        </w:rPr>
        <w:t> </w:t>
      </w:r>
      <w:r>
        <w:rPr/>
        <w:t>a</w:t>
      </w:r>
      <w:r>
        <w:rPr>
          <w:spacing w:val="-1"/>
        </w:rPr>
        <w:t> </w:t>
      </w:r>
      <w:r>
        <w:rPr/>
        <w:t>host of activities such as setting up a storehouse of </w:t>
      </w:r>
      <w:r>
        <w:rPr>
          <w:spacing w:val="-2"/>
        </w:rPr>
        <w:t>information</w:t>
      </w:r>
      <w:r>
        <w:rPr>
          <w:spacing w:val="-12"/>
        </w:rPr>
        <w:t> </w:t>
      </w:r>
      <w:r>
        <w:rPr>
          <w:spacing w:val="-2"/>
        </w:rPr>
        <w:t>on</w:t>
      </w:r>
      <w:r>
        <w:rPr>
          <w:spacing w:val="-12"/>
        </w:rPr>
        <w:t> </w:t>
      </w:r>
      <w:r>
        <w:rPr>
          <w:spacing w:val="-2"/>
        </w:rPr>
        <w:t>all</w:t>
      </w:r>
      <w:r>
        <w:rPr>
          <w:spacing w:val="-12"/>
        </w:rPr>
        <w:t> </w:t>
      </w:r>
      <w:r>
        <w:rPr>
          <w:spacing w:val="-2"/>
        </w:rPr>
        <w:t>aspects</w:t>
      </w:r>
      <w:r>
        <w:rPr>
          <w:spacing w:val="-11"/>
        </w:rPr>
        <w:t> </w:t>
      </w:r>
      <w:r>
        <w:rPr>
          <w:spacing w:val="-2"/>
        </w:rPr>
        <w:t>of</w:t>
      </w:r>
      <w:r>
        <w:rPr>
          <w:spacing w:val="-12"/>
        </w:rPr>
        <w:t> </w:t>
      </w:r>
      <w:r>
        <w:rPr>
          <w:spacing w:val="-2"/>
        </w:rPr>
        <w:t>translation,</w:t>
      </w:r>
      <w:r>
        <w:rPr>
          <w:spacing w:val="-12"/>
        </w:rPr>
        <w:t> </w:t>
      </w:r>
      <w:r>
        <w:rPr>
          <w:spacing w:val="-2"/>
        </w:rPr>
        <w:t>providing </w:t>
      </w:r>
      <w:r>
        <w:rPr/>
        <w:t>quality training and education for translators,</w:t>
      </w:r>
      <w:r>
        <w:rPr>
          <w:spacing w:val="40"/>
        </w:rPr>
        <w:t> </w:t>
      </w:r>
      <w:r>
        <w:rPr/>
        <w:t>and creating and maintaining various tools for </w:t>
      </w:r>
      <w:r>
        <w:rPr>
          <w:spacing w:val="-2"/>
        </w:rPr>
        <w:t>translation.</w:t>
      </w:r>
    </w:p>
    <w:p>
      <w:pPr>
        <w:pStyle w:val="BodyText"/>
        <w:spacing w:before="21"/>
      </w:pPr>
    </w:p>
    <w:p>
      <w:pPr>
        <w:pStyle w:val="ListParagraph"/>
        <w:numPr>
          <w:ilvl w:val="0"/>
          <w:numId w:val="6"/>
        </w:numPr>
        <w:tabs>
          <w:tab w:pos="679" w:val="left" w:leader="none"/>
        </w:tabs>
        <w:spacing w:line="266" w:lineRule="auto" w:before="0" w:after="0"/>
        <w:ind w:left="679" w:right="1077" w:hanging="360"/>
        <w:jc w:val="both"/>
        <w:rPr>
          <w:sz w:val="22"/>
        </w:rPr>
      </w:pPr>
      <w:r>
        <w:rPr>
          <w:b/>
          <w:spacing w:val="-2"/>
          <w:sz w:val="22"/>
        </w:rPr>
        <w:t>Libraries:</w:t>
      </w:r>
      <w:r>
        <w:rPr>
          <w:b/>
          <w:spacing w:val="-12"/>
          <w:sz w:val="22"/>
        </w:rPr>
        <w:t> </w:t>
      </w:r>
      <w:r>
        <w:rPr>
          <w:spacing w:val="-2"/>
          <w:sz w:val="22"/>
        </w:rPr>
        <w:t>To</w:t>
      </w:r>
      <w:r>
        <w:rPr>
          <w:spacing w:val="-12"/>
          <w:sz w:val="22"/>
        </w:rPr>
        <w:t> </w:t>
      </w:r>
      <w:r>
        <w:rPr>
          <w:spacing w:val="-2"/>
          <w:sz w:val="22"/>
        </w:rPr>
        <w:t>revamp</w:t>
      </w:r>
      <w:r>
        <w:rPr>
          <w:spacing w:val="-12"/>
          <w:sz w:val="22"/>
        </w:rPr>
        <w:t> </w:t>
      </w:r>
      <w:r>
        <w:rPr>
          <w:spacing w:val="-2"/>
          <w:sz w:val="22"/>
        </w:rPr>
        <w:t>the</w:t>
      </w:r>
      <w:r>
        <w:rPr>
          <w:spacing w:val="-11"/>
          <w:sz w:val="22"/>
        </w:rPr>
        <w:t> </w:t>
      </w:r>
      <w:r>
        <w:rPr>
          <w:spacing w:val="-2"/>
          <w:sz w:val="22"/>
        </w:rPr>
        <w:t>Library</w:t>
      </w:r>
      <w:r>
        <w:rPr>
          <w:spacing w:val="-12"/>
          <w:sz w:val="22"/>
        </w:rPr>
        <w:t> </w:t>
      </w:r>
      <w:r>
        <w:rPr>
          <w:spacing w:val="-2"/>
          <w:sz w:val="22"/>
        </w:rPr>
        <w:t>and</w:t>
      </w:r>
      <w:r>
        <w:rPr>
          <w:spacing w:val="-12"/>
          <w:sz w:val="22"/>
        </w:rPr>
        <w:t> </w:t>
      </w:r>
      <w:r>
        <w:rPr>
          <w:spacing w:val="-2"/>
          <w:sz w:val="22"/>
        </w:rPr>
        <w:t>Information </w:t>
      </w:r>
      <w:r>
        <w:rPr>
          <w:sz w:val="22"/>
        </w:rPr>
        <w:t>Services (LIS) sector NKC has recommended </w:t>
      </w:r>
      <w:r>
        <w:rPr>
          <w:sz w:val="22"/>
        </w:rPr>
        <w:t>a comprehensive census of libraries, modernising management of libraries to ensure greater community participation, including models for public private partnerships in LIS development and</w:t>
      </w:r>
      <w:r>
        <w:rPr>
          <w:spacing w:val="40"/>
          <w:sz w:val="22"/>
        </w:rPr>
        <w:t> </w:t>
      </w:r>
      <w:r>
        <w:rPr>
          <w:sz w:val="22"/>
        </w:rPr>
        <w:t>leveraging</w:t>
      </w:r>
      <w:r>
        <w:rPr>
          <w:spacing w:val="40"/>
          <w:sz w:val="22"/>
        </w:rPr>
        <w:t> </w:t>
      </w:r>
      <w:r>
        <w:rPr>
          <w:sz w:val="22"/>
        </w:rPr>
        <w:t>ICT</w:t>
      </w:r>
      <w:r>
        <w:rPr>
          <w:spacing w:val="40"/>
          <w:sz w:val="22"/>
        </w:rPr>
        <w:t> </w:t>
      </w:r>
      <w:r>
        <w:rPr>
          <w:sz w:val="22"/>
        </w:rPr>
        <w:t>for</w:t>
      </w:r>
      <w:r>
        <w:rPr>
          <w:spacing w:val="40"/>
          <w:sz w:val="22"/>
        </w:rPr>
        <w:t> </w:t>
      </w:r>
      <w:r>
        <w:rPr>
          <w:sz w:val="22"/>
        </w:rPr>
        <w:t>various</w:t>
      </w:r>
      <w:r>
        <w:rPr>
          <w:spacing w:val="40"/>
          <w:sz w:val="22"/>
        </w:rPr>
        <w:t> </w:t>
      </w:r>
      <w:r>
        <w:rPr>
          <w:sz w:val="22"/>
        </w:rPr>
        <w:t>applications. For sustained attention to the sector, NKC has recommended the setting up of an independent National Commission on Libraries which would </w:t>
      </w:r>
      <w:r>
        <w:rPr>
          <w:spacing w:val="-2"/>
          <w:sz w:val="22"/>
        </w:rPr>
        <w:t>streamline</w:t>
      </w:r>
      <w:r>
        <w:rPr>
          <w:spacing w:val="-12"/>
          <w:sz w:val="22"/>
        </w:rPr>
        <w:t> </w:t>
      </w:r>
      <w:r>
        <w:rPr>
          <w:spacing w:val="-2"/>
          <w:sz w:val="22"/>
        </w:rPr>
        <w:t>all</w:t>
      </w:r>
      <w:r>
        <w:rPr>
          <w:spacing w:val="-12"/>
          <w:sz w:val="22"/>
        </w:rPr>
        <w:t> </w:t>
      </w:r>
      <w:r>
        <w:rPr>
          <w:spacing w:val="-2"/>
          <w:sz w:val="22"/>
        </w:rPr>
        <w:t>development</w:t>
      </w:r>
      <w:r>
        <w:rPr>
          <w:spacing w:val="-12"/>
          <w:sz w:val="22"/>
        </w:rPr>
        <w:t> </w:t>
      </w:r>
      <w:r>
        <w:rPr>
          <w:spacing w:val="-2"/>
          <w:sz w:val="22"/>
        </w:rPr>
        <w:t>initiatives</w:t>
      </w:r>
      <w:r>
        <w:rPr>
          <w:spacing w:val="-11"/>
          <w:sz w:val="22"/>
        </w:rPr>
        <w:t> </w:t>
      </w:r>
      <w:r>
        <w:rPr>
          <w:spacing w:val="-2"/>
          <w:sz w:val="22"/>
        </w:rPr>
        <w:t>in</w:t>
      </w:r>
      <w:r>
        <w:rPr>
          <w:spacing w:val="-12"/>
          <w:sz w:val="22"/>
        </w:rPr>
        <w:t> </w:t>
      </w:r>
      <w:r>
        <w:rPr>
          <w:spacing w:val="-2"/>
          <w:sz w:val="22"/>
        </w:rPr>
        <w:t>the</w:t>
      </w:r>
      <w:r>
        <w:rPr>
          <w:spacing w:val="-12"/>
          <w:sz w:val="22"/>
        </w:rPr>
        <w:t> </w:t>
      </w:r>
      <w:r>
        <w:rPr>
          <w:spacing w:val="-2"/>
          <w:sz w:val="22"/>
        </w:rPr>
        <w:t>sector.</w:t>
      </w:r>
    </w:p>
    <w:p>
      <w:pPr>
        <w:pStyle w:val="BodyText"/>
        <w:spacing w:before="18"/>
      </w:pPr>
    </w:p>
    <w:p>
      <w:pPr>
        <w:pStyle w:val="ListParagraph"/>
        <w:numPr>
          <w:ilvl w:val="0"/>
          <w:numId w:val="6"/>
        </w:numPr>
        <w:tabs>
          <w:tab w:pos="679" w:val="left" w:leader="none"/>
        </w:tabs>
        <w:spacing w:line="266" w:lineRule="auto" w:before="0" w:after="0"/>
        <w:ind w:left="679" w:right="1077" w:hanging="360"/>
        <w:jc w:val="both"/>
        <w:rPr>
          <w:sz w:val="22"/>
        </w:rPr>
      </w:pPr>
      <w:r>
        <w:rPr>
          <w:b/>
          <w:w w:val="90"/>
          <w:sz w:val="22"/>
        </w:rPr>
        <w:t>National</w:t>
      </w:r>
      <w:r>
        <w:rPr>
          <w:b/>
          <w:spacing w:val="-9"/>
          <w:w w:val="90"/>
          <w:sz w:val="22"/>
        </w:rPr>
        <w:t> </w:t>
      </w:r>
      <w:r>
        <w:rPr>
          <w:b/>
          <w:w w:val="90"/>
          <w:sz w:val="22"/>
        </w:rPr>
        <w:t>Knowledge</w:t>
      </w:r>
      <w:r>
        <w:rPr>
          <w:b/>
          <w:spacing w:val="-8"/>
          <w:w w:val="90"/>
          <w:sz w:val="22"/>
        </w:rPr>
        <w:t> </w:t>
      </w:r>
      <w:r>
        <w:rPr>
          <w:b/>
          <w:w w:val="90"/>
          <w:sz w:val="22"/>
        </w:rPr>
        <w:t>Network:</w:t>
      </w:r>
      <w:r>
        <w:rPr>
          <w:b/>
          <w:spacing w:val="-8"/>
          <w:w w:val="90"/>
          <w:sz w:val="22"/>
        </w:rPr>
        <w:t> </w:t>
      </w:r>
      <w:r>
        <w:rPr>
          <w:w w:val="90"/>
          <w:sz w:val="22"/>
        </w:rPr>
        <w:t>The</w:t>
      </w:r>
      <w:r>
        <w:rPr>
          <w:spacing w:val="-4"/>
          <w:w w:val="90"/>
          <w:sz w:val="22"/>
        </w:rPr>
        <w:t> </w:t>
      </w:r>
      <w:r>
        <w:rPr>
          <w:w w:val="90"/>
          <w:sz w:val="22"/>
        </w:rPr>
        <w:t>key</w:t>
      </w:r>
      <w:r>
        <w:rPr>
          <w:spacing w:val="-3"/>
          <w:w w:val="90"/>
          <w:sz w:val="22"/>
        </w:rPr>
        <w:t> </w:t>
      </w:r>
      <w:r>
        <w:rPr>
          <w:w w:val="90"/>
          <w:sz w:val="22"/>
        </w:rPr>
        <w:t>to</w:t>
      </w:r>
      <w:r>
        <w:rPr>
          <w:spacing w:val="-3"/>
          <w:w w:val="90"/>
          <w:sz w:val="22"/>
        </w:rPr>
        <w:t> </w:t>
      </w:r>
      <w:r>
        <w:rPr>
          <w:w w:val="90"/>
          <w:sz w:val="22"/>
        </w:rPr>
        <w:t>successful </w:t>
      </w:r>
      <w:r>
        <w:rPr>
          <w:sz w:val="22"/>
        </w:rPr>
        <w:t>research today demands live consultations, data and</w:t>
      </w:r>
      <w:r>
        <w:rPr>
          <w:spacing w:val="-10"/>
          <w:sz w:val="22"/>
        </w:rPr>
        <w:t> </w:t>
      </w:r>
      <w:r>
        <w:rPr>
          <w:sz w:val="22"/>
        </w:rPr>
        <w:t>resource</w:t>
      </w:r>
      <w:r>
        <w:rPr>
          <w:spacing w:val="-10"/>
          <w:sz w:val="22"/>
        </w:rPr>
        <w:t> </w:t>
      </w:r>
      <w:r>
        <w:rPr>
          <w:sz w:val="22"/>
        </w:rPr>
        <w:t>sharing.</w:t>
      </w:r>
      <w:r>
        <w:rPr>
          <w:spacing w:val="-14"/>
          <w:sz w:val="22"/>
        </w:rPr>
        <w:t> </w:t>
      </w:r>
      <w:r>
        <w:rPr>
          <w:sz w:val="22"/>
        </w:rPr>
        <w:t>Towards</w:t>
      </w:r>
      <w:r>
        <w:rPr>
          <w:spacing w:val="-9"/>
          <w:sz w:val="22"/>
        </w:rPr>
        <w:t> </w:t>
      </w:r>
      <w:r>
        <w:rPr>
          <w:sz w:val="22"/>
        </w:rPr>
        <w:t>this</w:t>
      </w:r>
      <w:r>
        <w:rPr>
          <w:spacing w:val="-10"/>
          <w:sz w:val="22"/>
        </w:rPr>
        <w:t> </w:t>
      </w:r>
      <w:r>
        <w:rPr>
          <w:sz w:val="22"/>
        </w:rPr>
        <w:t>end,</w:t>
      </w:r>
      <w:r>
        <w:rPr>
          <w:spacing w:val="-10"/>
          <w:sz w:val="22"/>
        </w:rPr>
        <w:t> </w:t>
      </w:r>
      <w:r>
        <w:rPr>
          <w:sz w:val="22"/>
        </w:rPr>
        <w:t>NKC</w:t>
      </w:r>
      <w:r>
        <w:rPr>
          <w:spacing w:val="-10"/>
          <w:sz w:val="22"/>
        </w:rPr>
        <w:t> </w:t>
      </w:r>
      <w:r>
        <w:rPr>
          <w:sz w:val="22"/>
        </w:rPr>
        <w:t>has recommended the establishment of a high-end National Knowledge Network connecting all our knowledge institutions in various fields and at various</w:t>
      </w:r>
      <w:r>
        <w:rPr>
          <w:spacing w:val="-13"/>
          <w:sz w:val="22"/>
        </w:rPr>
        <w:t> </w:t>
      </w:r>
      <w:r>
        <w:rPr>
          <w:sz w:val="22"/>
        </w:rPr>
        <w:t>locations</w:t>
      </w:r>
      <w:r>
        <w:rPr>
          <w:spacing w:val="-13"/>
          <w:sz w:val="22"/>
        </w:rPr>
        <w:t> </w:t>
      </w:r>
      <w:r>
        <w:rPr>
          <w:sz w:val="22"/>
        </w:rPr>
        <w:t>throughout</w:t>
      </w:r>
      <w:r>
        <w:rPr>
          <w:spacing w:val="-13"/>
          <w:sz w:val="22"/>
        </w:rPr>
        <w:t> </w:t>
      </w:r>
      <w:r>
        <w:rPr>
          <w:sz w:val="22"/>
        </w:rPr>
        <w:t>the</w:t>
      </w:r>
      <w:r>
        <w:rPr>
          <w:spacing w:val="-13"/>
          <w:sz w:val="22"/>
        </w:rPr>
        <w:t> </w:t>
      </w:r>
      <w:r>
        <w:rPr>
          <w:sz w:val="22"/>
        </w:rPr>
        <w:t>country,</w:t>
      </w:r>
      <w:r>
        <w:rPr>
          <w:spacing w:val="-13"/>
          <w:sz w:val="22"/>
        </w:rPr>
        <w:t> </w:t>
      </w:r>
      <w:r>
        <w:rPr>
          <w:sz w:val="22"/>
        </w:rPr>
        <w:t>through an electronic digital broadband network with gigabit capacity.</w:t>
      </w:r>
    </w:p>
    <w:p>
      <w:pPr>
        <w:pStyle w:val="BodyText"/>
        <w:spacing w:before="42"/>
      </w:pPr>
    </w:p>
    <w:p>
      <w:pPr>
        <w:pStyle w:val="ListParagraph"/>
        <w:numPr>
          <w:ilvl w:val="0"/>
          <w:numId w:val="6"/>
        </w:numPr>
        <w:tabs>
          <w:tab w:pos="679" w:val="left" w:leader="none"/>
        </w:tabs>
        <w:spacing w:line="266" w:lineRule="auto" w:before="0" w:after="0"/>
        <w:ind w:left="679" w:right="1077" w:hanging="360"/>
        <w:jc w:val="both"/>
        <w:rPr>
          <w:sz w:val="22"/>
        </w:rPr>
      </w:pPr>
      <w:r>
        <w:rPr>
          <w:b/>
          <w:sz w:val="22"/>
        </w:rPr>
        <w:t>Portals: </w:t>
      </w:r>
      <w:r>
        <w:rPr>
          <w:sz w:val="22"/>
        </w:rPr>
        <w:t>NKC has also proposed the creation </w:t>
      </w:r>
      <w:r>
        <w:rPr>
          <w:sz w:val="22"/>
        </w:rPr>
        <w:t>of national</w:t>
      </w:r>
      <w:r>
        <w:rPr>
          <w:spacing w:val="-1"/>
          <w:sz w:val="22"/>
        </w:rPr>
        <w:t> </w:t>
      </w:r>
      <w:r>
        <w:rPr>
          <w:sz w:val="22"/>
        </w:rPr>
        <w:t>web</w:t>
      </w:r>
      <w:r>
        <w:rPr>
          <w:spacing w:val="-2"/>
          <w:sz w:val="22"/>
        </w:rPr>
        <w:t> </w:t>
      </w:r>
      <w:r>
        <w:rPr>
          <w:sz w:val="22"/>
        </w:rPr>
        <w:t>based</w:t>
      </w:r>
      <w:r>
        <w:rPr>
          <w:spacing w:val="-1"/>
          <w:sz w:val="22"/>
        </w:rPr>
        <w:t> </w:t>
      </w:r>
      <w:r>
        <w:rPr>
          <w:sz w:val="22"/>
        </w:rPr>
        <w:t>portals</w:t>
      </w:r>
      <w:r>
        <w:rPr>
          <w:spacing w:val="-2"/>
          <w:sz w:val="22"/>
        </w:rPr>
        <w:t> </w:t>
      </w:r>
      <w:r>
        <w:rPr>
          <w:sz w:val="22"/>
        </w:rPr>
        <w:t>on</w:t>
      </w:r>
      <w:r>
        <w:rPr>
          <w:spacing w:val="-1"/>
          <w:sz w:val="22"/>
        </w:rPr>
        <w:t> </w:t>
      </w:r>
      <w:r>
        <w:rPr>
          <w:sz w:val="22"/>
        </w:rPr>
        <w:t>certain</w:t>
      </w:r>
      <w:r>
        <w:rPr>
          <w:spacing w:val="-2"/>
          <w:sz w:val="22"/>
        </w:rPr>
        <w:t> </w:t>
      </w:r>
      <w:r>
        <w:rPr>
          <w:sz w:val="22"/>
        </w:rPr>
        <w:t>key</w:t>
      </w:r>
      <w:r>
        <w:rPr>
          <w:spacing w:val="-1"/>
          <w:sz w:val="22"/>
        </w:rPr>
        <w:t> </w:t>
      </w:r>
      <w:r>
        <w:rPr>
          <w:sz w:val="22"/>
        </w:rPr>
        <w:t>sectors such as Water, Energy, Environment, Teachers, Biodiversity, Health, Agriculture, Employment, Citizens Rights etc.</w:t>
      </w:r>
      <w:r>
        <w:rPr>
          <w:spacing w:val="-4"/>
          <w:sz w:val="22"/>
        </w:rPr>
        <w:t> </w:t>
      </w:r>
      <w:r>
        <w:rPr>
          <w:sz w:val="22"/>
        </w:rPr>
        <w:t>The portals would serve as a single</w:t>
      </w:r>
      <w:r>
        <w:rPr>
          <w:spacing w:val="-14"/>
          <w:sz w:val="22"/>
        </w:rPr>
        <w:t> </w:t>
      </w:r>
      <w:r>
        <w:rPr>
          <w:sz w:val="22"/>
        </w:rPr>
        <w:t>window</w:t>
      </w:r>
      <w:r>
        <w:rPr>
          <w:spacing w:val="-14"/>
          <w:sz w:val="22"/>
        </w:rPr>
        <w:t> </w:t>
      </w:r>
      <w:r>
        <w:rPr>
          <w:sz w:val="22"/>
        </w:rPr>
        <w:t>for</w:t>
      </w:r>
      <w:r>
        <w:rPr>
          <w:spacing w:val="-14"/>
          <w:sz w:val="22"/>
        </w:rPr>
        <w:t> </w:t>
      </w:r>
      <w:r>
        <w:rPr>
          <w:sz w:val="22"/>
        </w:rPr>
        <w:t>information</w:t>
      </w:r>
      <w:r>
        <w:rPr>
          <w:spacing w:val="-13"/>
          <w:sz w:val="22"/>
        </w:rPr>
        <w:t> </w:t>
      </w:r>
      <w:r>
        <w:rPr>
          <w:sz w:val="22"/>
        </w:rPr>
        <w:t>on</w:t>
      </w:r>
      <w:r>
        <w:rPr>
          <w:spacing w:val="-14"/>
          <w:sz w:val="22"/>
        </w:rPr>
        <w:t> </w:t>
      </w:r>
      <w:r>
        <w:rPr>
          <w:sz w:val="22"/>
        </w:rPr>
        <w:t>the</w:t>
      </w:r>
      <w:r>
        <w:rPr>
          <w:spacing w:val="-14"/>
          <w:sz w:val="22"/>
        </w:rPr>
        <w:t> </w:t>
      </w:r>
      <w:r>
        <w:rPr>
          <w:sz w:val="22"/>
        </w:rPr>
        <w:t>given</w:t>
      </w:r>
      <w:r>
        <w:rPr>
          <w:spacing w:val="-14"/>
          <w:sz w:val="22"/>
        </w:rPr>
        <w:t> </w:t>
      </w:r>
      <w:r>
        <w:rPr>
          <w:sz w:val="22"/>
        </w:rPr>
        <w:t>sector for all stakeholders and would be managed by a consortium consisting of representatives from a wide range of stakeholders to ensure that they have</w:t>
      </w:r>
      <w:r>
        <w:rPr>
          <w:spacing w:val="-11"/>
          <w:sz w:val="22"/>
        </w:rPr>
        <w:t> </w:t>
      </w:r>
      <w:r>
        <w:rPr>
          <w:sz w:val="22"/>
        </w:rPr>
        <w:t>a</w:t>
      </w:r>
      <w:r>
        <w:rPr>
          <w:spacing w:val="-11"/>
          <w:sz w:val="22"/>
        </w:rPr>
        <w:t> </w:t>
      </w:r>
      <w:r>
        <w:rPr>
          <w:sz w:val="22"/>
        </w:rPr>
        <w:t>national</w:t>
      </w:r>
      <w:r>
        <w:rPr>
          <w:spacing w:val="-11"/>
          <w:sz w:val="22"/>
        </w:rPr>
        <w:t> </w:t>
      </w:r>
      <w:r>
        <w:rPr>
          <w:sz w:val="22"/>
        </w:rPr>
        <w:t>character.</w:t>
      </w:r>
      <w:r>
        <w:rPr>
          <w:spacing w:val="-11"/>
          <w:sz w:val="22"/>
        </w:rPr>
        <w:t> </w:t>
      </w:r>
      <w:r>
        <w:rPr>
          <w:sz w:val="22"/>
        </w:rPr>
        <w:t>NKC</w:t>
      </w:r>
      <w:r>
        <w:rPr>
          <w:spacing w:val="-11"/>
          <w:sz w:val="22"/>
        </w:rPr>
        <w:t> </w:t>
      </w:r>
      <w:r>
        <w:rPr>
          <w:sz w:val="22"/>
        </w:rPr>
        <w:t>has</w:t>
      </w:r>
      <w:r>
        <w:rPr>
          <w:spacing w:val="-11"/>
          <w:sz w:val="22"/>
        </w:rPr>
        <w:t> </w:t>
      </w:r>
      <w:r>
        <w:rPr>
          <w:sz w:val="22"/>
        </w:rPr>
        <w:t>facilitated</w:t>
      </w:r>
      <w:r>
        <w:rPr>
          <w:spacing w:val="-11"/>
          <w:sz w:val="22"/>
        </w:rPr>
        <w:t> </w:t>
      </w:r>
      <w:r>
        <w:rPr>
          <w:sz w:val="22"/>
        </w:rPr>
        <w:t>the setting up of five portals: on Water, championed </w:t>
      </w:r>
      <w:r>
        <w:rPr>
          <w:spacing w:val="-4"/>
          <w:sz w:val="22"/>
        </w:rPr>
        <w:t>by</w:t>
      </w:r>
      <w:r>
        <w:rPr>
          <w:spacing w:val="-10"/>
          <w:sz w:val="22"/>
        </w:rPr>
        <w:t> </w:t>
      </w:r>
      <w:r>
        <w:rPr>
          <w:spacing w:val="-4"/>
          <w:sz w:val="22"/>
        </w:rPr>
        <w:t>Arghyam</w:t>
      </w:r>
      <w:r>
        <w:rPr>
          <w:spacing w:val="-10"/>
          <w:sz w:val="22"/>
        </w:rPr>
        <w:t> </w:t>
      </w:r>
      <w:r>
        <w:rPr>
          <w:spacing w:val="-4"/>
          <w:sz w:val="22"/>
        </w:rPr>
        <w:t>Trust;</w:t>
      </w:r>
      <w:r>
        <w:rPr>
          <w:spacing w:val="-8"/>
          <w:sz w:val="22"/>
        </w:rPr>
        <w:t> </w:t>
      </w:r>
      <w:r>
        <w:rPr>
          <w:spacing w:val="-4"/>
          <w:sz w:val="22"/>
        </w:rPr>
        <w:t>on</w:t>
      </w:r>
      <w:r>
        <w:rPr>
          <w:spacing w:val="-6"/>
          <w:sz w:val="22"/>
        </w:rPr>
        <w:t> </w:t>
      </w:r>
      <w:r>
        <w:rPr>
          <w:spacing w:val="-4"/>
          <w:sz w:val="22"/>
        </w:rPr>
        <w:t>Energy,</w:t>
      </w:r>
      <w:r>
        <w:rPr>
          <w:spacing w:val="-6"/>
          <w:sz w:val="22"/>
        </w:rPr>
        <w:t> </w:t>
      </w:r>
      <w:r>
        <w:rPr>
          <w:spacing w:val="-4"/>
          <w:sz w:val="22"/>
        </w:rPr>
        <w:t>championed</w:t>
      </w:r>
      <w:r>
        <w:rPr>
          <w:spacing w:val="-6"/>
          <w:sz w:val="22"/>
        </w:rPr>
        <w:t> </w:t>
      </w:r>
      <w:r>
        <w:rPr>
          <w:spacing w:val="-4"/>
          <w:sz w:val="22"/>
        </w:rPr>
        <w:t>by</w:t>
      </w:r>
      <w:r>
        <w:rPr>
          <w:spacing w:val="-10"/>
          <w:sz w:val="22"/>
        </w:rPr>
        <w:t> </w:t>
      </w:r>
      <w:r>
        <w:rPr>
          <w:spacing w:val="-4"/>
          <w:sz w:val="22"/>
        </w:rPr>
        <w:t>The </w:t>
      </w:r>
      <w:r>
        <w:rPr>
          <w:spacing w:val="-6"/>
          <w:sz w:val="22"/>
        </w:rPr>
        <w:t>Energy</w:t>
      </w:r>
      <w:r>
        <w:rPr>
          <w:spacing w:val="-9"/>
          <w:sz w:val="22"/>
        </w:rPr>
        <w:t> </w:t>
      </w:r>
      <w:r>
        <w:rPr>
          <w:spacing w:val="-6"/>
          <w:sz w:val="22"/>
        </w:rPr>
        <w:t>Research</w:t>
      </w:r>
      <w:r>
        <w:rPr>
          <w:spacing w:val="-8"/>
          <w:sz w:val="22"/>
        </w:rPr>
        <w:t> </w:t>
      </w:r>
      <w:r>
        <w:rPr>
          <w:spacing w:val="-6"/>
          <w:sz w:val="22"/>
        </w:rPr>
        <w:t>Institute</w:t>
      </w:r>
      <w:r>
        <w:rPr>
          <w:spacing w:val="-8"/>
          <w:sz w:val="22"/>
        </w:rPr>
        <w:t> </w:t>
      </w:r>
      <w:r>
        <w:rPr>
          <w:spacing w:val="-6"/>
          <w:sz w:val="22"/>
        </w:rPr>
        <w:t>(TERI);</w:t>
      </w:r>
      <w:r>
        <w:rPr>
          <w:spacing w:val="-8"/>
          <w:sz w:val="22"/>
        </w:rPr>
        <w:t> </w:t>
      </w:r>
      <w:r>
        <w:rPr>
          <w:spacing w:val="-6"/>
          <w:sz w:val="22"/>
        </w:rPr>
        <w:t>on</w:t>
      </w:r>
      <w:r>
        <w:rPr>
          <w:spacing w:val="-9"/>
          <w:sz w:val="22"/>
        </w:rPr>
        <w:t> </w:t>
      </w:r>
      <w:r>
        <w:rPr>
          <w:spacing w:val="-6"/>
          <w:sz w:val="22"/>
        </w:rPr>
        <w:t>Environment,</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BodyText"/>
        <w:spacing w:line="266" w:lineRule="auto" w:before="57"/>
        <w:ind w:left="1440"/>
        <w:jc w:val="both"/>
      </w:pPr>
      <w:r>
        <w:rPr/>
        <w:t>championed by the Centre for Science </w:t>
      </w:r>
      <w:r>
        <w:rPr/>
        <w:t>and </w:t>
      </w:r>
      <w:r>
        <w:rPr>
          <w:spacing w:val="-2"/>
        </w:rPr>
        <w:t>Environment</w:t>
      </w:r>
      <w:r>
        <w:rPr>
          <w:spacing w:val="-4"/>
        </w:rPr>
        <w:t> </w:t>
      </w:r>
      <w:r>
        <w:rPr>
          <w:spacing w:val="-2"/>
        </w:rPr>
        <w:t>(CSE);</w:t>
      </w:r>
      <w:r>
        <w:rPr>
          <w:spacing w:val="-4"/>
        </w:rPr>
        <w:t> </w:t>
      </w:r>
      <w:r>
        <w:rPr>
          <w:spacing w:val="-2"/>
        </w:rPr>
        <w:t>on</w:t>
      </w:r>
      <w:r>
        <w:rPr>
          <w:spacing w:val="-11"/>
        </w:rPr>
        <w:t> </w:t>
      </w:r>
      <w:r>
        <w:rPr>
          <w:spacing w:val="-2"/>
        </w:rPr>
        <w:t>Teachers,</w:t>
      </w:r>
      <w:r>
        <w:rPr>
          <w:spacing w:val="-4"/>
        </w:rPr>
        <w:t> </w:t>
      </w:r>
      <w:r>
        <w:rPr>
          <w:spacing w:val="-2"/>
        </w:rPr>
        <w:t>championed</w:t>
      </w:r>
      <w:r>
        <w:rPr>
          <w:spacing w:val="-4"/>
        </w:rPr>
        <w:t> </w:t>
      </w:r>
      <w:r>
        <w:rPr>
          <w:spacing w:val="-2"/>
        </w:rPr>
        <w:t>by the</w:t>
      </w:r>
      <w:r>
        <w:rPr>
          <w:spacing w:val="-7"/>
        </w:rPr>
        <w:t> </w:t>
      </w:r>
      <w:r>
        <w:rPr>
          <w:spacing w:val="-2"/>
        </w:rPr>
        <w:t>Azim</w:t>
      </w:r>
      <w:r>
        <w:rPr>
          <w:spacing w:val="-7"/>
        </w:rPr>
        <w:t> </w:t>
      </w:r>
      <w:r>
        <w:rPr>
          <w:spacing w:val="-2"/>
        </w:rPr>
        <w:t>Premji</w:t>
      </w:r>
      <w:r>
        <w:rPr>
          <w:spacing w:val="-7"/>
        </w:rPr>
        <w:t> </w:t>
      </w:r>
      <w:r>
        <w:rPr>
          <w:spacing w:val="-2"/>
        </w:rPr>
        <w:t>Foundation;</w:t>
      </w:r>
      <w:r>
        <w:rPr>
          <w:spacing w:val="-7"/>
        </w:rPr>
        <w:t> </w:t>
      </w:r>
      <w:r>
        <w:rPr>
          <w:spacing w:val="-2"/>
        </w:rPr>
        <w:t>and</w:t>
      </w:r>
      <w:r>
        <w:rPr>
          <w:spacing w:val="-7"/>
        </w:rPr>
        <w:t> </w:t>
      </w:r>
      <w:r>
        <w:rPr>
          <w:spacing w:val="-2"/>
        </w:rPr>
        <w:t>on</w:t>
      </w:r>
      <w:r>
        <w:rPr>
          <w:spacing w:val="-7"/>
        </w:rPr>
        <w:t> </w:t>
      </w:r>
      <w:r>
        <w:rPr>
          <w:spacing w:val="-2"/>
        </w:rPr>
        <w:t>Biodiversity, </w:t>
      </w:r>
      <w:r>
        <w:rPr/>
        <w:t>championed</w:t>
      </w:r>
      <w:r>
        <w:rPr>
          <w:spacing w:val="-3"/>
        </w:rPr>
        <w:t> </w:t>
      </w:r>
      <w:r>
        <w:rPr/>
        <w:t>by</w:t>
      </w:r>
      <w:r>
        <w:rPr>
          <w:spacing w:val="-3"/>
        </w:rPr>
        <w:t> </w:t>
      </w:r>
      <w:r>
        <w:rPr/>
        <w:t>the</w:t>
      </w:r>
      <w:r>
        <w:rPr>
          <w:spacing w:val="-3"/>
        </w:rPr>
        <w:t> </w:t>
      </w:r>
      <w:r>
        <w:rPr/>
        <w:t>Ashoka</w:t>
      </w:r>
      <w:r>
        <w:rPr>
          <w:spacing w:val="-9"/>
        </w:rPr>
        <w:t> </w:t>
      </w:r>
      <w:r>
        <w:rPr/>
        <w:t>Trust</w:t>
      </w:r>
      <w:r>
        <w:rPr>
          <w:spacing w:val="-3"/>
        </w:rPr>
        <w:t> </w:t>
      </w:r>
      <w:r>
        <w:rPr/>
        <w:t>for</w:t>
      </w:r>
      <w:r>
        <w:rPr>
          <w:spacing w:val="-3"/>
        </w:rPr>
        <w:t> </w:t>
      </w:r>
      <w:r>
        <w:rPr/>
        <w:t>Research</w:t>
      </w:r>
      <w:r>
        <w:rPr>
          <w:spacing w:val="-3"/>
        </w:rPr>
        <w:t> </w:t>
      </w:r>
      <w:r>
        <w:rPr/>
        <w:t>in Ecology and the Environment (ATREE).</w:t>
      </w:r>
    </w:p>
    <w:p>
      <w:pPr>
        <w:pStyle w:val="BodyText"/>
        <w:spacing w:before="23"/>
      </w:pPr>
    </w:p>
    <w:p>
      <w:pPr>
        <w:pStyle w:val="ListParagraph"/>
        <w:numPr>
          <w:ilvl w:val="1"/>
          <w:numId w:val="6"/>
        </w:numPr>
        <w:tabs>
          <w:tab w:pos="1439" w:val="left" w:leader="none"/>
        </w:tabs>
        <w:spacing w:line="266" w:lineRule="auto" w:before="0" w:after="0"/>
        <w:ind w:left="1439" w:right="0" w:hanging="360"/>
        <w:jc w:val="both"/>
        <w:rPr>
          <w:sz w:val="22"/>
        </w:rPr>
      </w:pPr>
      <w:r>
        <w:rPr>
          <w:b/>
          <w:spacing w:val="-4"/>
          <w:sz w:val="22"/>
        </w:rPr>
        <w:t>Health</w:t>
      </w:r>
      <w:r>
        <w:rPr>
          <w:b/>
          <w:spacing w:val="-4"/>
          <w:sz w:val="22"/>
        </w:rPr>
        <w:t> Information</w:t>
      </w:r>
      <w:r>
        <w:rPr>
          <w:b/>
          <w:spacing w:val="-4"/>
          <w:sz w:val="22"/>
        </w:rPr>
        <w:t> Network:</w:t>
      </w:r>
      <w:r>
        <w:rPr>
          <w:b/>
          <w:spacing w:val="-4"/>
          <w:sz w:val="22"/>
        </w:rPr>
        <w:t> </w:t>
      </w:r>
      <w:r>
        <w:rPr>
          <w:spacing w:val="-4"/>
          <w:sz w:val="22"/>
        </w:rPr>
        <w:t>The </w:t>
      </w:r>
      <w:r>
        <w:rPr>
          <w:spacing w:val="-4"/>
          <w:sz w:val="22"/>
        </w:rPr>
        <w:t>developments </w:t>
      </w:r>
      <w:r>
        <w:rPr>
          <w:sz w:val="22"/>
        </w:rPr>
        <w:t>in information and communication technology have</w:t>
      </w:r>
      <w:r>
        <w:rPr>
          <w:spacing w:val="-8"/>
          <w:sz w:val="22"/>
        </w:rPr>
        <w:t> </w:t>
      </w:r>
      <w:r>
        <w:rPr>
          <w:sz w:val="22"/>
        </w:rPr>
        <w:t>created</w:t>
      </w:r>
      <w:r>
        <w:rPr>
          <w:spacing w:val="-8"/>
          <w:sz w:val="22"/>
        </w:rPr>
        <w:t> </w:t>
      </w:r>
      <w:r>
        <w:rPr>
          <w:sz w:val="22"/>
        </w:rPr>
        <w:t>new</w:t>
      </w:r>
      <w:r>
        <w:rPr>
          <w:spacing w:val="-8"/>
          <w:sz w:val="22"/>
        </w:rPr>
        <w:t> </w:t>
      </w:r>
      <w:r>
        <w:rPr>
          <w:sz w:val="22"/>
        </w:rPr>
        <w:t>opportunities</w:t>
      </w:r>
      <w:r>
        <w:rPr>
          <w:spacing w:val="-8"/>
          <w:sz w:val="22"/>
        </w:rPr>
        <w:t> </w:t>
      </w:r>
      <w:r>
        <w:rPr>
          <w:sz w:val="22"/>
        </w:rPr>
        <w:t>for</w:t>
      </w:r>
      <w:r>
        <w:rPr>
          <w:spacing w:val="-8"/>
          <w:sz w:val="22"/>
        </w:rPr>
        <w:t> </w:t>
      </w:r>
      <w:r>
        <w:rPr>
          <w:sz w:val="22"/>
        </w:rPr>
        <w:t>enhancing</w:t>
      </w:r>
      <w:r>
        <w:rPr>
          <w:spacing w:val="-8"/>
          <w:sz w:val="22"/>
        </w:rPr>
        <w:t> </w:t>
      </w:r>
      <w:r>
        <w:rPr>
          <w:sz w:val="22"/>
        </w:rPr>
        <w:t>the </w:t>
      </w:r>
      <w:r>
        <w:rPr>
          <w:spacing w:val="-6"/>
          <w:sz w:val="22"/>
        </w:rPr>
        <w:t>efficiency</w:t>
      </w:r>
      <w:r>
        <w:rPr>
          <w:spacing w:val="-8"/>
          <w:sz w:val="22"/>
        </w:rPr>
        <w:t> </w:t>
      </w:r>
      <w:r>
        <w:rPr>
          <w:spacing w:val="-6"/>
          <w:sz w:val="22"/>
        </w:rPr>
        <w:t>of</w:t>
      </w:r>
      <w:r>
        <w:rPr>
          <w:spacing w:val="-8"/>
          <w:sz w:val="22"/>
        </w:rPr>
        <w:t> </w:t>
      </w:r>
      <w:r>
        <w:rPr>
          <w:spacing w:val="-6"/>
          <w:sz w:val="22"/>
        </w:rPr>
        <w:t>health</w:t>
      </w:r>
      <w:r>
        <w:rPr>
          <w:spacing w:val="-8"/>
          <w:sz w:val="22"/>
        </w:rPr>
        <w:t> </w:t>
      </w:r>
      <w:r>
        <w:rPr>
          <w:spacing w:val="-6"/>
          <w:sz w:val="22"/>
        </w:rPr>
        <w:t>care</w:t>
      </w:r>
      <w:r>
        <w:rPr>
          <w:spacing w:val="-7"/>
          <w:sz w:val="22"/>
        </w:rPr>
        <w:t> </w:t>
      </w:r>
      <w:r>
        <w:rPr>
          <w:spacing w:val="-6"/>
          <w:sz w:val="22"/>
        </w:rPr>
        <w:t>delivery.</w:t>
      </w:r>
      <w:r>
        <w:rPr>
          <w:spacing w:val="-8"/>
          <w:sz w:val="22"/>
        </w:rPr>
        <w:t> </w:t>
      </w:r>
      <w:r>
        <w:rPr>
          <w:spacing w:val="-6"/>
          <w:sz w:val="22"/>
        </w:rPr>
        <w:t>NKC</w:t>
      </w:r>
      <w:r>
        <w:rPr>
          <w:spacing w:val="-8"/>
          <w:sz w:val="22"/>
        </w:rPr>
        <w:t> </w:t>
      </w:r>
      <w:r>
        <w:rPr>
          <w:spacing w:val="-6"/>
          <w:sz w:val="22"/>
        </w:rPr>
        <w:t>believes</w:t>
      </w:r>
      <w:r>
        <w:rPr>
          <w:spacing w:val="-8"/>
          <w:sz w:val="22"/>
        </w:rPr>
        <w:t> </w:t>
      </w:r>
      <w:r>
        <w:rPr>
          <w:spacing w:val="-6"/>
          <w:sz w:val="22"/>
        </w:rPr>
        <w:t>that </w:t>
      </w:r>
      <w:r>
        <w:rPr>
          <w:spacing w:val="-4"/>
          <w:sz w:val="22"/>
        </w:rPr>
        <w:t>the</w:t>
      </w:r>
      <w:r>
        <w:rPr>
          <w:spacing w:val="-5"/>
          <w:sz w:val="22"/>
        </w:rPr>
        <w:t> </w:t>
      </w:r>
      <w:r>
        <w:rPr>
          <w:spacing w:val="-4"/>
          <w:sz w:val="22"/>
        </w:rPr>
        <w:t>country</w:t>
      </w:r>
      <w:r>
        <w:rPr>
          <w:spacing w:val="-5"/>
          <w:sz w:val="22"/>
        </w:rPr>
        <w:t> </w:t>
      </w:r>
      <w:r>
        <w:rPr>
          <w:spacing w:val="-4"/>
          <w:sz w:val="22"/>
        </w:rPr>
        <w:t>needs</w:t>
      </w:r>
      <w:r>
        <w:rPr>
          <w:spacing w:val="-8"/>
          <w:sz w:val="22"/>
        </w:rPr>
        <w:t> </w:t>
      </w:r>
      <w:r>
        <w:rPr>
          <w:spacing w:val="-4"/>
          <w:sz w:val="22"/>
        </w:rPr>
        <w:t>to</w:t>
      </w:r>
      <w:r>
        <w:rPr>
          <w:spacing w:val="-8"/>
          <w:sz w:val="22"/>
        </w:rPr>
        <w:t> </w:t>
      </w:r>
      <w:r>
        <w:rPr>
          <w:spacing w:val="-4"/>
          <w:sz w:val="22"/>
        </w:rPr>
        <w:t>develop</w:t>
      </w:r>
      <w:r>
        <w:rPr>
          <w:spacing w:val="-8"/>
          <w:sz w:val="22"/>
        </w:rPr>
        <w:t> </w:t>
      </w:r>
      <w:r>
        <w:rPr>
          <w:spacing w:val="-4"/>
          <w:sz w:val="22"/>
        </w:rPr>
        <w:t>a</w:t>
      </w:r>
      <w:r>
        <w:rPr>
          <w:spacing w:val="-8"/>
          <w:sz w:val="22"/>
        </w:rPr>
        <w:t> </w:t>
      </w:r>
      <w:r>
        <w:rPr>
          <w:spacing w:val="-4"/>
          <w:sz w:val="22"/>
        </w:rPr>
        <w:t>web-based</w:t>
      </w:r>
      <w:r>
        <w:rPr>
          <w:spacing w:val="-8"/>
          <w:sz w:val="22"/>
        </w:rPr>
        <w:t> </w:t>
      </w:r>
      <w:r>
        <w:rPr>
          <w:spacing w:val="-4"/>
          <w:sz w:val="22"/>
        </w:rPr>
        <w:t>network, </w:t>
      </w:r>
      <w:r>
        <w:rPr>
          <w:sz w:val="22"/>
        </w:rPr>
        <w:t>connecting</w:t>
      </w:r>
      <w:r>
        <w:rPr>
          <w:spacing w:val="-7"/>
          <w:sz w:val="22"/>
        </w:rPr>
        <w:t> </w:t>
      </w:r>
      <w:r>
        <w:rPr>
          <w:sz w:val="22"/>
        </w:rPr>
        <w:t>all</w:t>
      </w:r>
      <w:r>
        <w:rPr>
          <w:spacing w:val="-7"/>
          <w:sz w:val="22"/>
        </w:rPr>
        <w:t> </w:t>
      </w:r>
      <w:r>
        <w:rPr>
          <w:sz w:val="22"/>
        </w:rPr>
        <w:t>health</w:t>
      </w:r>
      <w:r>
        <w:rPr>
          <w:spacing w:val="-7"/>
          <w:sz w:val="22"/>
        </w:rPr>
        <w:t> </w:t>
      </w:r>
      <w:r>
        <w:rPr>
          <w:sz w:val="22"/>
        </w:rPr>
        <w:t>care</w:t>
      </w:r>
      <w:r>
        <w:rPr>
          <w:spacing w:val="-7"/>
          <w:sz w:val="22"/>
        </w:rPr>
        <w:t> </w:t>
      </w:r>
      <w:r>
        <w:rPr>
          <w:sz w:val="22"/>
        </w:rPr>
        <w:t>establishments,</w:t>
      </w:r>
      <w:r>
        <w:rPr>
          <w:spacing w:val="-7"/>
          <w:sz w:val="22"/>
        </w:rPr>
        <w:t> </w:t>
      </w:r>
      <w:r>
        <w:rPr>
          <w:sz w:val="22"/>
        </w:rPr>
        <w:t>in</w:t>
      </w:r>
      <w:r>
        <w:rPr>
          <w:spacing w:val="-7"/>
          <w:sz w:val="22"/>
        </w:rPr>
        <w:t> </w:t>
      </w:r>
      <w:r>
        <w:rPr>
          <w:sz w:val="22"/>
        </w:rPr>
        <w:t>both </w:t>
      </w:r>
      <w:r>
        <w:rPr>
          <w:spacing w:val="-6"/>
          <w:sz w:val="22"/>
        </w:rPr>
        <w:t>private</w:t>
      </w:r>
      <w:r>
        <w:rPr>
          <w:spacing w:val="-8"/>
          <w:sz w:val="22"/>
        </w:rPr>
        <w:t> </w:t>
      </w:r>
      <w:r>
        <w:rPr>
          <w:spacing w:val="-6"/>
          <w:sz w:val="22"/>
        </w:rPr>
        <w:t>and</w:t>
      </w:r>
      <w:r>
        <w:rPr>
          <w:spacing w:val="-8"/>
          <w:sz w:val="22"/>
        </w:rPr>
        <w:t> </w:t>
      </w:r>
      <w:r>
        <w:rPr>
          <w:spacing w:val="-6"/>
          <w:sz w:val="22"/>
        </w:rPr>
        <w:t>public</w:t>
      </w:r>
      <w:r>
        <w:rPr>
          <w:spacing w:val="-8"/>
          <w:sz w:val="22"/>
        </w:rPr>
        <w:t> </w:t>
      </w:r>
      <w:r>
        <w:rPr>
          <w:spacing w:val="-6"/>
          <w:sz w:val="22"/>
        </w:rPr>
        <w:t>sectors.</w:t>
      </w:r>
      <w:r>
        <w:rPr>
          <w:spacing w:val="-7"/>
          <w:sz w:val="22"/>
        </w:rPr>
        <w:t> </w:t>
      </w:r>
      <w:r>
        <w:rPr>
          <w:spacing w:val="-6"/>
          <w:sz w:val="22"/>
        </w:rPr>
        <w:t>When</w:t>
      </w:r>
      <w:r>
        <w:rPr>
          <w:spacing w:val="-8"/>
          <w:sz w:val="22"/>
        </w:rPr>
        <w:t> </w:t>
      </w:r>
      <w:r>
        <w:rPr>
          <w:spacing w:val="-6"/>
          <w:sz w:val="22"/>
        </w:rPr>
        <w:t>fully</w:t>
      </w:r>
      <w:r>
        <w:rPr>
          <w:spacing w:val="-8"/>
          <w:sz w:val="22"/>
        </w:rPr>
        <w:t> </w:t>
      </w:r>
      <w:r>
        <w:rPr>
          <w:spacing w:val="-6"/>
          <w:sz w:val="22"/>
        </w:rPr>
        <w:t>functional,</w:t>
      </w:r>
      <w:r>
        <w:rPr>
          <w:spacing w:val="-8"/>
          <w:sz w:val="22"/>
        </w:rPr>
        <w:t> </w:t>
      </w:r>
      <w:r>
        <w:rPr>
          <w:spacing w:val="-6"/>
          <w:sz w:val="22"/>
        </w:rPr>
        <w:t>all </w:t>
      </w:r>
      <w:r>
        <w:rPr>
          <w:spacing w:val="-10"/>
          <w:sz w:val="22"/>
        </w:rPr>
        <w:t>health</w:t>
      </w:r>
      <w:r>
        <w:rPr>
          <w:spacing w:val="-2"/>
          <w:sz w:val="22"/>
        </w:rPr>
        <w:t> </w:t>
      </w:r>
      <w:r>
        <w:rPr>
          <w:spacing w:val="-10"/>
          <w:sz w:val="22"/>
        </w:rPr>
        <w:t>care</w:t>
      </w:r>
      <w:r>
        <w:rPr>
          <w:spacing w:val="-2"/>
          <w:sz w:val="22"/>
        </w:rPr>
        <w:t> </w:t>
      </w:r>
      <w:r>
        <w:rPr>
          <w:spacing w:val="-10"/>
          <w:sz w:val="22"/>
        </w:rPr>
        <w:t>transactions</w:t>
      </w:r>
      <w:r>
        <w:rPr>
          <w:spacing w:val="-2"/>
          <w:sz w:val="22"/>
        </w:rPr>
        <w:t> </w:t>
      </w:r>
      <w:r>
        <w:rPr>
          <w:spacing w:val="-10"/>
          <w:sz w:val="22"/>
        </w:rPr>
        <w:t>will</w:t>
      </w:r>
      <w:r>
        <w:rPr>
          <w:spacing w:val="-2"/>
          <w:sz w:val="22"/>
        </w:rPr>
        <w:t> </w:t>
      </w:r>
      <w:r>
        <w:rPr>
          <w:spacing w:val="-10"/>
          <w:sz w:val="22"/>
        </w:rPr>
        <w:t>be</w:t>
      </w:r>
      <w:r>
        <w:rPr>
          <w:spacing w:val="-2"/>
          <w:sz w:val="22"/>
        </w:rPr>
        <w:t> </w:t>
      </w:r>
      <w:r>
        <w:rPr>
          <w:spacing w:val="-10"/>
          <w:sz w:val="22"/>
        </w:rPr>
        <w:t>recorded</w:t>
      </w:r>
      <w:r>
        <w:rPr>
          <w:spacing w:val="-2"/>
          <w:sz w:val="22"/>
        </w:rPr>
        <w:t> </w:t>
      </w:r>
      <w:r>
        <w:rPr>
          <w:spacing w:val="-10"/>
          <w:sz w:val="22"/>
        </w:rPr>
        <w:t>electronically </w:t>
      </w:r>
      <w:r>
        <w:rPr>
          <w:spacing w:val="-8"/>
          <w:sz w:val="22"/>
        </w:rPr>
        <w:t>and</w:t>
      </w:r>
      <w:r>
        <w:rPr>
          <w:spacing w:val="-2"/>
          <w:sz w:val="22"/>
        </w:rPr>
        <w:t> </w:t>
      </w:r>
      <w:r>
        <w:rPr>
          <w:spacing w:val="-8"/>
          <w:sz w:val="22"/>
        </w:rPr>
        <w:t>this</w:t>
      </w:r>
      <w:r>
        <w:rPr>
          <w:spacing w:val="-2"/>
          <w:sz w:val="22"/>
        </w:rPr>
        <w:t> </w:t>
      </w:r>
      <w:r>
        <w:rPr>
          <w:spacing w:val="-8"/>
          <w:sz w:val="22"/>
        </w:rPr>
        <w:t>data</w:t>
      </w:r>
      <w:r>
        <w:rPr>
          <w:spacing w:val="-2"/>
          <w:sz w:val="22"/>
        </w:rPr>
        <w:t> </w:t>
      </w:r>
      <w:r>
        <w:rPr>
          <w:spacing w:val="-8"/>
          <w:sz w:val="22"/>
        </w:rPr>
        <w:t>will</w:t>
      </w:r>
      <w:r>
        <w:rPr>
          <w:spacing w:val="-2"/>
          <w:sz w:val="22"/>
        </w:rPr>
        <w:t> </w:t>
      </w:r>
      <w:r>
        <w:rPr>
          <w:spacing w:val="-8"/>
          <w:sz w:val="22"/>
        </w:rPr>
        <w:t>be</w:t>
      </w:r>
      <w:r>
        <w:rPr>
          <w:spacing w:val="-2"/>
          <w:sz w:val="22"/>
        </w:rPr>
        <w:t> </w:t>
      </w:r>
      <w:r>
        <w:rPr>
          <w:spacing w:val="-8"/>
          <w:sz w:val="22"/>
        </w:rPr>
        <w:t>available</w:t>
      </w:r>
      <w:r>
        <w:rPr>
          <w:spacing w:val="-2"/>
          <w:sz w:val="22"/>
        </w:rPr>
        <w:t> </w:t>
      </w:r>
      <w:r>
        <w:rPr>
          <w:spacing w:val="-8"/>
          <w:sz w:val="22"/>
        </w:rPr>
        <w:t>in</w:t>
      </w:r>
      <w:r>
        <w:rPr>
          <w:spacing w:val="-2"/>
          <w:sz w:val="22"/>
        </w:rPr>
        <w:t> </w:t>
      </w:r>
      <w:r>
        <w:rPr>
          <w:spacing w:val="-8"/>
          <w:sz w:val="22"/>
        </w:rPr>
        <w:t>the</w:t>
      </w:r>
      <w:r>
        <w:rPr>
          <w:spacing w:val="-2"/>
          <w:sz w:val="22"/>
        </w:rPr>
        <w:t> </w:t>
      </w:r>
      <w:r>
        <w:rPr>
          <w:spacing w:val="-8"/>
          <w:sz w:val="22"/>
        </w:rPr>
        <w:t>health</w:t>
      </w:r>
      <w:r>
        <w:rPr>
          <w:spacing w:val="-2"/>
          <w:sz w:val="22"/>
        </w:rPr>
        <w:t> </w:t>
      </w:r>
      <w:r>
        <w:rPr>
          <w:spacing w:val="-8"/>
          <w:sz w:val="22"/>
        </w:rPr>
        <w:t>data</w:t>
      </w:r>
      <w:r>
        <w:rPr>
          <w:spacing w:val="-2"/>
          <w:sz w:val="22"/>
        </w:rPr>
        <w:t> </w:t>
      </w:r>
      <w:r>
        <w:rPr>
          <w:spacing w:val="-8"/>
          <w:sz w:val="22"/>
        </w:rPr>
        <w:t>vault </w:t>
      </w:r>
      <w:r>
        <w:rPr>
          <w:sz w:val="22"/>
        </w:rPr>
        <w:t>to authorised users, when they need it and where </w:t>
      </w:r>
      <w:r>
        <w:rPr>
          <w:spacing w:val="-2"/>
          <w:sz w:val="22"/>
        </w:rPr>
        <w:t>they</w:t>
      </w:r>
      <w:r>
        <w:rPr>
          <w:spacing w:val="-12"/>
          <w:sz w:val="22"/>
        </w:rPr>
        <w:t> </w:t>
      </w:r>
      <w:r>
        <w:rPr>
          <w:spacing w:val="-2"/>
          <w:sz w:val="22"/>
        </w:rPr>
        <w:t>need</w:t>
      </w:r>
      <w:r>
        <w:rPr>
          <w:spacing w:val="-12"/>
          <w:sz w:val="22"/>
        </w:rPr>
        <w:t> </w:t>
      </w:r>
      <w:r>
        <w:rPr>
          <w:spacing w:val="-2"/>
          <w:sz w:val="22"/>
        </w:rPr>
        <w:t>it.</w:t>
      </w:r>
      <w:r>
        <w:rPr>
          <w:spacing w:val="-12"/>
          <w:sz w:val="22"/>
        </w:rPr>
        <w:t> </w:t>
      </w:r>
      <w:r>
        <w:rPr>
          <w:spacing w:val="-2"/>
          <w:sz w:val="22"/>
        </w:rPr>
        <w:t>For</w:t>
      </w:r>
      <w:r>
        <w:rPr>
          <w:spacing w:val="-11"/>
          <w:sz w:val="22"/>
        </w:rPr>
        <w:t> </w:t>
      </w:r>
      <w:r>
        <w:rPr>
          <w:spacing w:val="-2"/>
          <w:sz w:val="22"/>
        </w:rPr>
        <w:t>this</w:t>
      </w:r>
      <w:r>
        <w:rPr>
          <w:spacing w:val="-12"/>
          <w:sz w:val="22"/>
        </w:rPr>
        <w:t> </w:t>
      </w:r>
      <w:r>
        <w:rPr>
          <w:spacing w:val="-2"/>
          <w:sz w:val="22"/>
        </w:rPr>
        <w:t>purpose</w:t>
      </w:r>
      <w:r>
        <w:rPr>
          <w:spacing w:val="-12"/>
          <w:sz w:val="22"/>
        </w:rPr>
        <w:t> </w:t>
      </w:r>
      <w:r>
        <w:rPr>
          <w:spacing w:val="-2"/>
          <w:sz w:val="22"/>
        </w:rPr>
        <w:t>a</w:t>
      </w:r>
      <w:r>
        <w:rPr>
          <w:spacing w:val="-12"/>
          <w:sz w:val="22"/>
        </w:rPr>
        <w:t> </w:t>
      </w:r>
      <w:r>
        <w:rPr>
          <w:spacing w:val="-2"/>
          <w:sz w:val="22"/>
        </w:rPr>
        <w:t>common</w:t>
      </w:r>
      <w:r>
        <w:rPr>
          <w:spacing w:val="-11"/>
          <w:sz w:val="22"/>
        </w:rPr>
        <w:t> </w:t>
      </w:r>
      <w:r>
        <w:rPr>
          <w:spacing w:val="-2"/>
          <w:sz w:val="22"/>
        </w:rPr>
        <w:t>Electronic </w:t>
      </w:r>
      <w:r>
        <w:rPr>
          <w:spacing w:val="-10"/>
          <w:sz w:val="22"/>
        </w:rPr>
        <w:t>Health</w:t>
      </w:r>
      <w:r>
        <w:rPr>
          <w:sz w:val="22"/>
        </w:rPr>
        <w:t> </w:t>
      </w:r>
      <w:r>
        <w:rPr>
          <w:spacing w:val="-10"/>
          <w:sz w:val="22"/>
        </w:rPr>
        <w:t>Record</w:t>
      </w:r>
      <w:r>
        <w:rPr>
          <w:sz w:val="22"/>
        </w:rPr>
        <w:t> </w:t>
      </w:r>
      <w:r>
        <w:rPr>
          <w:spacing w:val="-10"/>
          <w:sz w:val="22"/>
        </w:rPr>
        <w:t>(EHR)</w:t>
      </w:r>
      <w:r>
        <w:rPr>
          <w:sz w:val="22"/>
        </w:rPr>
        <w:t> </w:t>
      </w:r>
      <w:r>
        <w:rPr>
          <w:spacing w:val="-10"/>
          <w:sz w:val="22"/>
        </w:rPr>
        <w:t>based</w:t>
      </w:r>
      <w:r>
        <w:rPr>
          <w:sz w:val="22"/>
        </w:rPr>
        <w:t> </w:t>
      </w:r>
      <w:r>
        <w:rPr>
          <w:spacing w:val="-10"/>
          <w:sz w:val="22"/>
        </w:rPr>
        <w:t>on</w:t>
      </w:r>
      <w:r>
        <w:rPr>
          <w:sz w:val="22"/>
        </w:rPr>
        <w:t> </w:t>
      </w:r>
      <w:r>
        <w:rPr>
          <w:spacing w:val="-10"/>
          <w:sz w:val="22"/>
        </w:rPr>
        <w:t>open</w:t>
      </w:r>
      <w:r>
        <w:rPr>
          <w:sz w:val="22"/>
        </w:rPr>
        <w:t> </w:t>
      </w:r>
      <w:r>
        <w:rPr>
          <w:spacing w:val="-10"/>
          <w:sz w:val="22"/>
        </w:rPr>
        <w:t>source</w:t>
      </w:r>
      <w:r>
        <w:rPr>
          <w:sz w:val="22"/>
        </w:rPr>
        <w:t> </w:t>
      </w:r>
      <w:r>
        <w:rPr>
          <w:spacing w:val="-10"/>
          <w:sz w:val="22"/>
        </w:rPr>
        <w:t>solutions </w:t>
      </w:r>
      <w:r>
        <w:rPr>
          <w:spacing w:val="-2"/>
          <w:sz w:val="22"/>
        </w:rPr>
        <w:t>needs</w:t>
      </w:r>
      <w:r>
        <w:rPr>
          <w:spacing w:val="-12"/>
          <w:sz w:val="22"/>
        </w:rPr>
        <w:t> </w:t>
      </w:r>
      <w:r>
        <w:rPr>
          <w:spacing w:val="-2"/>
          <w:sz w:val="22"/>
        </w:rPr>
        <w:t>to</w:t>
      </w:r>
      <w:r>
        <w:rPr>
          <w:spacing w:val="-12"/>
          <w:sz w:val="22"/>
        </w:rPr>
        <w:t> </w:t>
      </w:r>
      <w:r>
        <w:rPr>
          <w:spacing w:val="-2"/>
          <w:sz w:val="22"/>
        </w:rPr>
        <w:t>be</w:t>
      </w:r>
      <w:r>
        <w:rPr>
          <w:spacing w:val="-12"/>
          <w:sz w:val="22"/>
        </w:rPr>
        <w:t> </w:t>
      </w:r>
      <w:r>
        <w:rPr>
          <w:spacing w:val="-2"/>
          <w:sz w:val="22"/>
        </w:rPr>
        <w:t>created</w:t>
      </w:r>
      <w:r>
        <w:rPr>
          <w:spacing w:val="-11"/>
          <w:sz w:val="22"/>
        </w:rPr>
        <w:t> </w:t>
      </w:r>
      <w:r>
        <w:rPr>
          <w:spacing w:val="-2"/>
          <w:sz w:val="22"/>
        </w:rPr>
        <w:t>and</w:t>
      </w:r>
      <w:r>
        <w:rPr>
          <w:spacing w:val="-12"/>
          <w:sz w:val="22"/>
        </w:rPr>
        <w:t> </w:t>
      </w:r>
      <w:r>
        <w:rPr>
          <w:spacing w:val="-2"/>
          <w:sz w:val="22"/>
        </w:rPr>
        <w:t>disseminated</w:t>
      </w:r>
      <w:r>
        <w:rPr>
          <w:spacing w:val="-12"/>
          <w:sz w:val="22"/>
        </w:rPr>
        <w:t> </w:t>
      </w:r>
      <w:r>
        <w:rPr>
          <w:spacing w:val="-2"/>
          <w:sz w:val="22"/>
        </w:rPr>
        <w:t>widely.</w:t>
      </w:r>
    </w:p>
    <w:p>
      <w:pPr>
        <w:pStyle w:val="Heading7"/>
        <w:spacing w:before="232"/>
        <w:ind w:left="1080"/>
      </w:pPr>
      <w:r>
        <w:rPr>
          <w:color w:val="2E614A"/>
          <w:spacing w:val="-2"/>
        </w:rPr>
        <w:t>CONCEPTS</w:t>
      </w:r>
    </w:p>
    <w:p>
      <w:pPr>
        <w:pStyle w:val="BodyText"/>
        <w:rPr>
          <w:b/>
          <w:sz w:val="26"/>
        </w:rPr>
      </w:pPr>
    </w:p>
    <w:p>
      <w:pPr>
        <w:pStyle w:val="BodyText"/>
        <w:spacing w:line="266" w:lineRule="auto"/>
        <w:ind w:left="1080"/>
        <w:jc w:val="both"/>
      </w:pPr>
      <w:r>
        <w:rPr/>
        <w:t>Knowledge concepts are organised and disseminated through the education system. Education is the key enabler for the development of an individual and </w:t>
      </w:r>
      <w:r>
        <w:rPr/>
        <w:t>for altering the socio-economic landscape of a country. </w:t>
      </w:r>
      <w:r>
        <w:rPr>
          <w:spacing w:val="-2"/>
        </w:rPr>
        <w:t>Therefore,</w:t>
      </w:r>
      <w:r>
        <w:rPr>
          <w:spacing w:val="-8"/>
        </w:rPr>
        <w:t> </w:t>
      </w:r>
      <w:r>
        <w:rPr>
          <w:spacing w:val="-2"/>
        </w:rPr>
        <w:t>NKC’s</w:t>
      </w:r>
      <w:r>
        <w:rPr>
          <w:spacing w:val="-8"/>
        </w:rPr>
        <w:t> </w:t>
      </w:r>
      <w:r>
        <w:rPr>
          <w:spacing w:val="-2"/>
        </w:rPr>
        <w:t>work</w:t>
      </w:r>
      <w:r>
        <w:rPr>
          <w:spacing w:val="-8"/>
        </w:rPr>
        <w:t> </w:t>
      </w:r>
      <w:r>
        <w:rPr>
          <w:spacing w:val="-2"/>
        </w:rPr>
        <w:t>has</w:t>
      </w:r>
      <w:r>
        <w:rPr>
          <w:spacing w:val="-8"/>
        </w:rPr>
        <w:t> </w:t>
      </w:r>
      <w:r>
        <w:rPr>
          <w:spacing w:val="-2"/>
        </w:rPr>
        <w:t>focused</w:t>
      </w:r>
      <w:r>
        <w:rPr>
          <w:spacing w:val="-8"/>
        </w:rPr>
        <w:t> </w:t>
      </w:r>
      <w:r>
        <w:rPr>
          <w:spacing w:val="-2"/>
        </w:rPr>
        <w:t>on</w:t>
      </w:r>
      <w:r>
        <w:rPr>
          <w:spacing w:val="-8"/>
        </w:rPr>
        <w:t> </w:t>
      </w:r>
      <w:r>
        <w:rPr>
          <w:spacing w:val="-2"/>
        </w:rPr>
        <w:t>revamping</w:t>
      </w:r>
      <w:r>
        <w:rPr>
          <w:spacing w:val="-8"/>
        </w:rPr>
        <w:t> </w:t>
      </w:r>
      <w:r>
        <w:rPr>
          <w:spacing w:val="-2"/>
        </w:rPr>
        <w:t>the education</w:t>
      </w:r>
      <w:r>
        <w:rPr>
          <w:spacing w:val="-12"/>
        </w:rPr>
        <w:t> </w:t>
      </w:r>
      <w:r>
        <w:rPr>
          <w:spacing w:val="-2"/>
        </w:rPr>
        <w:t>sector.</w:t>
      </w:r>
      <w:r>
        <w:rPr>
          <w:spacing w:val="-12"/>
        </w:rPr>
        <w:t> </w:t>
      </w:r>
      <w:r>
        <w:rPr>
          <w:spacing w:val="-2"/>
        </w:rPr>
        <w:t>NKC’s</w:t>
      </w:r>
      <w:r>
        <w:rPr>
          <w:spacing w:val="-12"/>
        </w:rPr>
        <w:t> </w:t>
      </w:r>
      <w:r>
        <w:rPr>
          <w:spacing w:val="-2"/>
        </w:rPr>
        <w:t>concern</w:t>
      </w:r>
      <w:r>
        <w:rPr>
          <w:spacing w:val="-11"/>
        </w:rPr>
        <w:t> </w:t>
      </w:r>
      <w:r>
        <w:rPr>
          <w:spacing w:val="-2"/>
        </w:rPr>
        <w:t>with</w:t>
      </w:r>
      <w:r>
        <w:rPr>
          <w:spacing w:val="-12"/>
        </w:rPr>
        <w:t> </w:t>
      </w:r>
      <w:r>
        <w:rPr>
          <w:spacing w:val="-2"/>
        </w:rPr>
        <w:t>many</w:t>
      </w:r>
      <w:r>
        <w:rPr>
          <w:spacing w:val="-12"/>
        </w:rPr>
        <w:t> </w:t>
      </w:r>
      <w:r>
        <w:rPr>
          <w:spacing w:val="-2"/>
        </w:rPr>
        <w:t>aspects</w:t>
      </w:r>
      <w:r>
        <w:rPr>
          <w:spacing w:val="-12"/>
        </w:rPr>
        <w:t> </w:t>
      </w:r>
      <w:r>
        <w:rPr>
          <w:spacing w:val="-2"/>
        </w:rPr>
        <w:t>of </w:t>
      </w:r>
      <w:r>
        <w:rPr/>
        <w:t>the</w:t>
      </w:r>
      <w:r>
        <w:rPr>
          <w:spacing w:val="-6"/>
        </w:rPr>
        <w:t> </w:t>
      </w:r>
      <w:r>
        <w:rPr/>
        <w:t>Indian</w:t>
      </w:r>
      <w:r>
        <w:rPr>
          <w:spacing w:val="-6"/>
        </w:rPr>
        <w:t> </w:t>
      </w:r>
      <w:r>
        <w:rPr/>
        <w:t>education</w:t>
      </w:r>
      <w:r>
        <w:rPr>
          <w:spacing w:val="-6"/>
        </w:rPr>
        <w:t> </w:t>
      </w:r>
      <w:r>
        <w:rPr/>
        <w:t>system</w:t>
      </w:r>
      <w:r>
        <w:rPr>
          <w:spacing w:val="-6"/>
        </w:rPr>
        <w:t> </w:t>
      </w:r>
      <w:r>
        <w:rPr/>
        <w:t>covers</w:t>
      </w:r>
      <w:r>
        <w:rPr>
          <w:spacing w:val="-6"/>
        </w:rPr>
        <w:t> </w:t>
      </w:r>
      <w:r>
        <w:rPr/>
        <w:t>school</w:t>
      </w:r>
      <w:r>
        <w:rPr>
          <w:spacing w:val="-6"/>
        </w:rPr>
        <w:t> </w:t>
      </w:r>
      <w:r>
        <w:rPr/>
        <w:t>education, </w:t>
      </w:r>
      <w:r>
        <w:rPr>
          <w:spacing w:val="-6"/>
        </w:rPr>
        <w:t>higher education, professional education, and vocational </w:t>
      </w:r>
      <w:r>
        <w:rPr>
          <w:spacing w:val="-2"/>
        </w:rPr>
        <w:t>education.</w:t>
      </w:r>
    </w:p>
    <w:p>
      <w:pPr>
        <w:pStyle w:val="BodyText"/>
        <w:spacing w:before="19"/>
      </w:pPr>
    </w:p>
    <w:p>
      <w:pPr>
        <w:pStyle w:val="ListParagraph"/>
        <w:numPr>
          <w:ilvl w:val="1"/>
          <w:numId w:val="6"/>
        </w:numPr>
        <w:tabs>
          <w:tab w:pos="1439" w:val="left" w:leader="none"/>
        </w:tabs>
        <w:spacing w:line="266" w:lineRule="auto" w:before="1" w:after="0"/>
        <w:ind w:left="1439" w:right="0" w:hanging="360"/>
        <w:jc w:val="both"/>
        <w:rPr>
          <w:sz w:val="22"/>
        </w:rPr>
      </w:pPr>
      <w:r>
        <w:rPr>
          <w:b/>
          <w:spacing w:val="-2"/>
          <w:sz w:val="22"/>
        </w:rPr>
        <w:t>School</w:t>
      </w:r>
      <w:r>
        <w:rPr>
          <w:b/>
          <w:spacing w:val="-8"/>
          <w:sz w:val="22"/>
        </w:rPr>
        <w:t> </w:t>
      </w:r>
      <w:r>
        <w:rPr>
          <w:b/>
          <w:spacing w:val="-2"/>
          <w:sz w:val="22"/>
        </w:rPr>
        <w:t>Education:</w:t>
      </w:r>
      <w:r>
        <w:rPr>
          <w:b/>
          <w:spacing w:val="-8"/>
          <w:sz w:val="22"/>
        </w:rPr>
        <w:t> </w:t>
      </w:r>
      <w:r>
        <w:rPr>
          <w:spacing w:val="-2"/>
          <w:sz w:val="22"/>
        </w:rPr>
        <w:t>Making</w:t>
      </w:r>
      <w:r>
        <w:rPr>
          <w:spacing w:val="-9"/>
          <w:sz w:val="22"/>
        </w:rPr>
        <w:t> </w:t>
      </w:r>
      <w:r>
        <w:rPr>
          <w:spacing w:val="-2"/>
          <w:sz w:val="22"/>
        </w:rPr>
        <w:t>access</w:t>
      </w:r>
      <w:r>
        <w:rPr>
          <w:spacing w:val="-9"/>
          <w:sz w:val="22"/>
        </w:rPr>
        <w:t> </w:t>
      </w:r>
      <w:r>
        <w:rPr>
          <w:spacing w:val="-2"/>
          <w:sz w:val="22"/>
        </w:rPr>
        <w:t>to</w:t>
      </w:r>
      <w:r>
        <w:rPr>
          <w:spacing w:val="-9"/>
          <w:sz w:val="22"/>
        </w:rPr>
        <w:t> </w:t>
      </w:r>
      <w:r>
        <w:rPr>
          <w:spacing w:val="-2"/>
          <w:sz w:val="22"/>
        </w:rPr>
        <w:t>good</w:t>
      </w:r>
      <w:r>
        <w:rPr>
          <w:spacing w:val="-9"/>
          <w:sz w:val="22"/>
        </w:rPr>
        <w:t> </w:t>
      </w:r>
      <w:r>
        <w:rPr>
          <w:spacing w:val="-2"/>
          <w:sz w:val="22"/>
        </w:rPr>
        <w:t>school </w:t>
      </w:r>
      <w:r>
        <w:rPr>
          <w:spacing w:val="-10"/>
          <w:sz w:val="22"/>
        </w:rPr>
        <w:t>education</w:t>
      </w:r>
      <w:r>
        <w:rPr>
          <w:sz w:val="22"/>
        </w:rPr>
        <w:t> </w:t>
      </w:r>
      <w:r>
        <w:rPr>
          <w:spacing w:val="-10"/>
          <w:sz w:val="22"/>
        </w:rPr>
        <w:t>a</w:t>
      </w:r>
      <w:r>
        <w:rPr>
          <w:sz w:val="22"/>
        </w:rPr>
        <w:t> </w:t>
      </w:r>
      <w:r>
        <w:rPr>
          <w:spacing w:val="-10"/>
          <w:sz w:val="22"/>
        </w:rPr>
        <w:t>reality</w:t>
      </w:r>
      <w:r>
        <w:rPr>
          <w:sz w:val="22"/>
        </w:rPr>
        <w:t> </w:t>
      </w:r>
      <w:r>
        <w:rPr>
          <w:spacing w:val="-10"/>
          <w:sz w:val="22"/>
        </w:rPr>
        <w:t>will</w:t>
      </w:r>
      <w:r>
        <w:rPr>
          <w:sz w:val="22"/>
        </w:rPr>
        <w:t> </w:t>
      </w:r>
      <w:r>
        <w:rPr>
          <w:spacing w:val="-10"/>
          <w:sz w:val="22"/>
        </w:rPr>
        <w:t>require</w:t>
      </w:r>
      <w:r>
        <w:rPr>
          <w:sz w:val="22"/>
        </w:rPr>
        <w:t> </w:t>
      </w:r>
      <w:r>
        <w:rPr>
          <w:spacing w:val="-10"/>
          <w:sz w:val="22"/>
        </w:rPr>
        <w:t>major</w:t>
      </w:r>
      <w:r>
        <w:rPr>
          <w:sz w:val="22"/>
        </w:rPr>
        <w:t> </w:t>
      </w:r>
      <w:r>
        <w:rPr>
          <w:spacing w:val="-10"/>
          <w:sz w:val="22"/>
        </w:rPr>
        <w:t>expansion</w:t>
      </w:r>
      <w:r>
        <w:rPr>
          <w:sz w:val="22"/>
        </w:rPr>
        <w:t> </w:t>
      </w:r>
      <w:r>
        <w:rPr>
          <w:spacing w:val="-10"/>
          <w:sz w:val="22"/>
        </w:rPr>
        <w:t>at</w:t>
      </w:r>
      <w:r>
        <w:rPr>
          <w:sz w:val="22"/>
        </w:rPr>
        <w:t> </w:t>
      </w:r>
      <w:r>
        <w:rPr>
          <w:spacing w:val="-10"/>
          <w:sz w:val="22"/>
        </w:rPr>
        <w:t>the </w:t>
      </w:r>
      <w:r>
        <w:rPr>
          <w:spacing w:val="-2"/>
          <w:sz w:val="22"/>
        </w:rPr>
        <w:t>elementary</w:t>
      </w:r>
      <w:r>
        <w:rPr>
          <w:spacing w:val="-12"/>
          <w:sz w:val="22"/>
        </w:rPr>
        <w:t> </w:t>
      </w:r>
      <w:r>
        <w:rPr>
          <w:spacing w:val="-2"/>
          <w:sz w:val="22"/>
        </w:rPr>
        <w:t>and</w:t>
      </w:r>
      <w:r>
        <w:rPr>
          <w:spacing w:val="-12"/>
          <w:sz w:val="22"/>
        </w:rPr>
        <w:t> </w:t>
      </w:r>
      <w:r>
        <w:rPr>
          <w:spacing w:val="-2"/>
          <w:sz w:val="22"/>
        </w:rPr>
        <w:t>secondary</w:t>
      </w:r>
      <w:r>
        <w:rPr>
          <w:spacing w:val="-12"/>
          <w:sz w:val="22"/>
        </w:rPr>
        <w:t> </w:t>
      </w:r>
      <w:r>
        <w:rPr>
          <w:spacing w:val="-2"/>
          <w:sz w:val="22"/>
        </w:rPr>
        <w:t>levels</w:t>
      </w:r>
      <w:r>
        <w:rPr>
          <w:spacing w:val="-11"/>
          <w:sz w:val="22"/>
        </w:rPr>
        <w:t> </w:t>
      </w:r>
      <w:r>
        <w:rPr>
          <w:spacing w:val="-2"/>
          <w:sz w:val="22"/>
        </w:rPr>
        <w:t>and</w:t>
      </w:r>
      <w:r>
        <w:rPr>
          <w:spacing w:val="-12"/>
          <w:sz w:val="22"/>
        </w:rPr>
        <w:t> </w:t>
      </w:r>
      <w:r>
        <w:rPr>
          <w:spacing w:val="-2"/>
          <w:sz w:val="22"/>
        </w:rPr>
        <w:t>improvement </w:t>
      </w:r>
      <w:r>
        <w:rPr>
          <w:sz w:val="22"/>
        </w:rPr>
        <w:t>in the quality of schools. NKC has therefore proposed generational changes in the school system which would encourage decentralisation, local autonomy in management of schools, and flexibility in disbursal of funds. To improve </w:t>
      </w:r>
      <w:r>
        <w:rPr>
          <w:spacing w:val="-2"/>
          <w:sz w:val="22"/>
        </w:rPr>
        <w:t>quality</w:t>
      </w:r>
      <w:r>
        <w:rPr>
          <w:spacing w:val="-7"/>
          <w:sz w:val="22"/>
        </w:rPr>
        <w:t> </w:t>
      </w:r>
      <w:r>
        <w:rPr>
          <w:spacing w:val="-2"/>
          <w:sz w:val="22"/>
        </w:rPr>
        <w:t>and</w:t>
      </w:r>
      <w:r>
        <w:rPr>
          <w:spacing w:val="-7"/>
          <w:sz w:val="22"/>
        </w:rPr>
        <w:t> </w:t>
      </w:r>
      <w:r>
        <w:rPr>
          <w:spacing w:val="-2"/>
          <w:sz w:val="22"/>
        </w:rPr>
        <w:t>generate</w:t>
      </w:r>
      <w:r>
        <w:rPr>
          <w:spacing w:val="-7"/>
          <w:sz w:val="22"/>
        </w:rPr>
        <w:t> </w:t>
      </w:r>
      <w:r>
        <w:rPr>
          <w:spacing w:val="-2"/>
          <w:sz w:val="22"/>
        </w:rPr>
        <w:t>accountability,</w:t>
      </w:r>
      <w:r>
        <w:rPr>
          <w:spacing w:val="-7"/>
          <w:sz w:val="22"/>
        </w:rPr>
        <w:t> </w:t>
      </w:r>
      <w:r>
        <w:rPr>
          <w:spacing w:val="-2"/>
          <w:sz w:val="22"/>
        </w:rPr>
        <w:t>NKC</w:t>
      </w:r>
      <w:r>
        <w:rPr>
          <w:spacing w:val="-7"/>
          <w:sz w:val="22"/>
        </w:rPr>
        <w:t> </w:t>
      </w:r>
      <w:r>
        <w:rPr>
          <w:spacing w:val="-2"/>
          <w:sz w:val="22"/>
        </w:rPr>
        <w:t>has</w:t>
      </w:r>
      <w:r>
        <w:rPr>
          <w:spacing w:val="-7"/>
          <w:sz w:val="22"/>
        </w:rPr>
        <w:t> </w:t>
      </w:r>
      <w:r>
        <w:rPr>
          <w:spacing w:val="-2"/>
          <w:sz w:val="22"/>
        </w:rPr>
        <w:t>also </w:t>
      </w:r>
      <w:r>
        <w:rPr>
          <w:spacing w:val="-4"/>
          <w:sz w:val="22"/>
        </w:rPr>
        <w:t>recommended improving school infrastructure and </w:t>
      </w:r>
      <w:r>
        <w:rPr>
          <w:sz w:val="22"/>
        </w:rPr>
        <w:t>revamping school inspection with a greater role for</w:t>
      </w:r>
      <w:r>
        <w:rPr>
          <w:spacing w:val="-8"/>
          <w:sz w:val="22"/>
        </w:rPr>
        <w:t> </w:t>
      </w:r>
      <w:r>
        <w:rPr>
          <w:sz w:val="22"/>
        </w:rPr>
        <w:t>local</w:t>
      </w:r>
      <w:r>
        <w:rPr>
          <w:spacing w:val="-8"/>
          <w:sz w:val="22"/>
        </w:rPr>
        <w:t> </w:t>
      </w:r>
      <w:r>
        <w:rPr>
          <w:sz w:val="22"/>
        </w:rPr>
        <w:t>stakeholders</w:t>
      </w:r>
      <w:r>
        <w:rPr>
          <w:spacing w:val="-8"/>
          <w:sz w:val="22"/>
        </w:rPr>
        <w:t> </w:t>
      </w:r>
      <w:r>
        <w:rPr>
          <w:sz w:val="22"/>
        </w:rPr>
        <w:t>and</w:t>
      </w:r>
      <w:r>
        <w:rPr>
          <w:spacing w:val="-8"/>
          <w:sz w:val="22"/>
        </w:rPr>
        <w:t> </w:t>
      </w:r>
      <w:r>
        <w:rPr>
          <w:sz w:val="22"/>
        </w:rPr>
        <w:t>greater</w:t>
      </w:r>
      <w:r>
        <w:rPr>
          <w:spacing w:val="-8"/>
          <w:sz w:val="22"/>
        </w:rPr>
        <w:t> </w:t>
      </w:r>
      <w:r>
        <w:rPr>
          <w:sz w:val="22"/>
        </w:rPr>
        <w:t>transparency</w:t>
      </w:r>
      <w:r>
        <w:rPr>
          <w:spacing w:val="-8"/>
          <w:sz w:val="22"/>
        </w:rPr>
        <w:t> </w:t>
      </w:r>
      <w:r>
        <w:rPr>
          <w:sz w:val="22"/>
        </w:rPr>
        <w:t>in </w:t>
      </w:r>
      <w:r>
        <w:rPr>
          <w:spacing w:val="-4"/>
          <w:sz w:val="22"/>
        </w:rPr>
        <w:t>the</w:t>
      </w:r>
      <w:r>
        <w:rPr>
          <w:spacing w:val="-9"/>
          <w:sz w:val="22"/>
        </w:rPr>
        <w:t> </w:t>
      </w:r>
      <w:r>
        <w:rPr>
          <w:spacing w:val="-4"/>
          <w:sz w:val="22"/>
        </w:rPr>
        <w:t>system.</w:t>
      </w:r>
      <w:r>
        <w:rPr>
          <w:spacing w:val="-9"/>
          <w:sz w:val="22"/>
        </w:rPr>
        <w:t> </w:t>
      </w:r>
      <w:r>
        <w:rPr>
          <w:spacing w:val="-4"/>
          <w:sz w:val="22"/>
        </w:rPr>
        <w:t>Further,</w:t>
      </w:r>
      <w:r>
        <w:rPr>
          <w:spacing w:val="-9"/>
          <w:sz w:val="22"/>
        </w:rPr>
        <w:t> </w:t>
      </w:r>
      <w:r>
        <w:rPr>
          <w:spacing w:val="-4"/>
          <w:sz w:val="22"/>
        </w:rPr>
        <w:t>wherever</w:t>
      </w:r>
      <w:r>
        <w:rPr>
          <w:spacing w:val="-9"/>
          <w:sz w:val="22"/>
        </w:rPr>
        <w:t> </w:t>
      </w:r>
      <w:r>
        <w:rPr>
          <w:spacing w:val="-4"/>
          <w:sz w:val="22"/>
        </w:rPr>
        <w:t>feasible,</w:t>
      </w:r>
      <w:r>
        <w:rPr>
          <w:spacing w:val="-9"/>
          <w:sz w:val="22"/>
        </w:rPr>
        <w:t> </w:t>
      </w:r>
      <w:r>
        <w:rPr>
          <w:spacing w:val="-4"/>
          <w:sz w:val="22"/>
        </w:rPr>
        <w:t>Information </w:t>
      </w:r>
      <w:r>
        <w:rPr>
          <w:sz w:val="22"/>
        </w:rPr>
        <w:t>and</w:t>
      </w:r>
      <w:r>
        <w:rPr>
          <w:spacing w:val="-7"/>
          <w:sz w:val="22"/>
        </w:rPr>
        <w:t> </w:t>
      </w:r>
      <w:r>
        <w:rPr>
          <w:sz w:val="22"/>
        </w:rPr>
        <w:t>Communication</w:t>
      </w:r>
      <w:r>
        <w:rPr>
          <w:spacing w:val="-13"/>
          <w:sz w:val="22"/>
        </w:rPr>
        <w:t> </w:t>
      </w:r>
      <w:r>
        <w:rPr>
          <w:sz w:val="22"/>
        </w:rPr>
        <w:t>Technology</w:t>
      </w:r>
      <w:r>
        <w:rPr>
          <w:spacing w:val="-7"/>
          <w:sz w:val="22"/>
        </w:rPr>
        <w:t> </w:t>
      </w:r>
      <w:r>
        <w:rPr>
          <w:sz w:val="22"/>
        </w:rPr>
        <w:t>should</w:t>
      </w:r>
      <w:r>
        <w:rPr>
          <w:spacing w:val="-7"/>
          <w:sz w:val="22"/>
        </w:rPr>
        <w:t> </w:t>
      </w:r>
      <w:r>
        <w:rPr>
          <w:sz w:val="22"/>
        </w:rPr>
        <w:t>be</w:t>
      </w:r>
      <w:r>
        <w:rPr>
          <w:spacing w:val="-7"/>
          <w:sz w:val="22"/>
        </w:rPr>
        <w:t> </w:t>
      </w:r>
      <w:r>
        <w:rPr>
          <w:sz w:val="22"/>
        </w:rPr>
        <w:t>made more accessible to teachers, students and the </w:t>
      </w:r>
      <w:r>
        <w:rPr>
          <w:spacing w:val="-2"/>
          <w:sz w:val="22"/>
        </w:rPr>
        <w:t>administration.</w:t>
      </w:r>
      <w:r>
        <w:rPr>
          <w:spacing w:val="-12"/>
          <w:sz w:val="22"/>
        </w:rPr>
        <w:t> </w:t>
      </w:r>
      <w:r>
        <w:rPr>
          <w:spacing w:val="-2"/>
          <w:sz w:val="22"/>
        </w:rPr>
        <w:t>NKC</w:t>
      </w:r>
      <w:r>
        <w:rPr>
          <w:spacing w:val="-12"/>
          <w:sz w:val="22"/>
        </w:rPr>
        <w:t> </w:t>
      </w:r>
      <w:r>
        <w:rPr>
          <w:spacing w:val="-2"/>
          <w:sz w:val="22"/>
        </w:rPr>
        <w:t>has</w:t>
      </w:r>
      <w:r>
        <w:rPr>
          <w:spacing w:val="-12"/>
          <w:sz w:val="22"/>
        </w:rPr>
        <w:t> </w:t>
      </w:r>
      <w:r>
        <w:rPr>
          <w:spacing w:val="-2"/>
          <w:sz w:val="22"/>
        </w:rPr>
        <w:t>also</w:t>
      </w:r>
      <w:r>
        <w:rPr>
          <w:spacing w:val="-11"/>
          <w:sz w:val="22"/>
        </w:rPr>
        <w:t> </w:t>
      </w:r>
      <w:r>
        <w:rPr>
          <w:spacing w:val="-2"/>
          <w:sz w:val="22"/>
        </w:rPr>
        <w:t>emphasised</w:t>
      </w:r>
      <w:r>
        <w:rPr>
          <w:spacing w:val="-12"/>
          <w:sz w:val="22"/>
        </w:rPr>
        <w:t> </w:t>
      </w:r>
      <w:r>
        <w:rPr>
          <w:spacing w:val="-2"/>
          <w:sz w:val="22"/>
        </w:rPr>
        <w:t>the</w:t>
      </w:r>
      <w:r>
        <w:rPr>
          <w:spacing w:val="-12"/>
          <w:sz w:val="22"/>
        </w:rPr>
        <w:t> </w:t>
      </w:r>
      <w:r>
        <w:rPr>
          <w:spacing w:val="-2"/>
          <w:sz w:val="22"/>
        </w:rPr>
        <w:t>need </w:t>
      </w:r>
      <w:r>
        <w:rPr>
          <w:sz w:val="22"/>
        </w:rPr>
        <w:t>for reforms in the curriculum and examination systems</w:t>
      </w:r>
      <w:r>
        <w:rPr>
          <w:spacing w:val="27"/>
          <w:sz w:val="22"/>
        </w:rPr>
        <w:t> </w:t>
      </w:r>
      <w:r>
        <w:rPr>
          <w:sz w:val="22"/>
        </w:rPr>
        <w:t>by</w:t>
      </w:r>
      <w:r>
        <w:rPr>
          <w:spacing w:val="27"/>
          <w:sz w:val="22"/>
        </w:rPr>
        <w:t> </w:t>
      </w:r>
      <w:r>
        <w:rPr>
          <w:sz w:val="22"/>
        </w:rPr>
        <w:t>moving</w:t>
      </w:r>
      <w:r>
        <w:rPr>
          <w:spacing w:val="27"/>
          <w:sz w:val="22"/>
        </w:rPr>
        <w:t> </w:t>
      </w:r>
      <w:r>
        <w:rPr>
          <w:sz w:val="22"/>
        </w:rPr>
        <w:t>away</w:t>
      </w:r>
      <w:r>
        <w:rPr>
          <w:spacing w:val="27"/>
          <w:sz w:val="22"/>
        </w:rPr>
        <w:t> </w:t>
      </w:r>
      <w:r>
        <w:rPr>
          <w:sz w:val="22"/>
        </w:rPr>
        <w:t>from</w:t>
      </w:r>
      <w:r>
        <w:rPr>
          <w:spacing w:val="27"/>
          <w:sz w:val="22"/>
        </w:rPr>
        <w:t> </w:t>
      </w:r>
      <w:r>
        <w:rPr>
          <w:sz w:val="22"/>
        </w:rPr>
        <w:t>rote</w:t>
      </w:r>
      <w:r>
        <w:rPr>
          <w:spacing w:val="27"/>
          <w:sz w:val="22"/>
        </w:rPr>
        <w:t> </w:t>
      </w:r>
      <w:r>
        <w:rPr>
          <w:sz w:val="22"/>
        </w:rPr>
        <w:t>learning</w:t>
      </w:r>
      <w:r>
        <w:rPr>
          <w:spacing w:val="27"/>
          <w:sz w:val="22"/>
        </w:rPr>
        <w:t> </w:t>
      </w:r>
      <w:r>
        <w:rPr>
          <w:sz w:val="22"/>
        </w:rPr>
        <w:t>to a critical understanding of concepts and finally improvement in faculty.</w:t>
      </w:r>
    </w:p>
    <w:p>
      <w:pPr>
        <w:pStyle w:val="ListParagraph"/>
        <w:numPr>
          <w:ilvl w:val="0"/>
          <w:numId w:val="6"/>
        </w:numPr>
        <w:tabs>
          <w:tab w:pos="679" w:val="left" w:leader="none"/>
        </w:tabs>
        <w:spacing w:line="266" w:lineRule="auto" w:before="57" w:after="0"/>
        <w:ind w:left="679" w:right="1077" w:hanging="360"/>
        <w:jc w:val="both"/>
        <w:rPr>
          <w:sz w:val="22"/>
        </w:rPr>
      </w:pPr>
      <w:r>
        <w:rPr/>
        <w:br w:type="column"/>
      </w:r>
      <w:r>
        <w:rPr>
          <w:b/>
          <w:sz w:val="22"/>
        </w:rPr>
        <w:t>Vocational education and training (VET): </w:t>
      </w:r>
      <w:r>
        <w:rPr>
          <w:sz w:val="22"/>
        </w:rPr>
        <w:t>To </w:t>
      </w:r>
      <w:r>
        <w:rPr>
          <w:spacing w:val="-2"/>
          <w:sz w:val="22"/>
        </w:rPr>
        <w:t>improve</w:t>
      </w:r>
      <w:r>
        <w:rPr>
          <w:spacing w:val="-5"/>
          <w:sz w:val="22"/>
        </w:rPr>
        <w:t> </w:t>
      </w:r>
      <w:r>
        <w:rPr>
          <w:spacing w:val="-2"/>
          <w:sz w:val="22"/>
        </w:rPr>
        <w:t>vocational</w:t>
      </w:r>
      <w:r>
        <w:rPr>
          <w:spacing w:val="-5"/>
          <w:sz w:val="22"/>
        </w:rPr>
        <w:t> </w:t>
      </w:r>
      <w:r>
        <w:rPr>
          <w:spacing w:val="-2"/>
          <w:sz w:val="22"/>
        </w:rPr>
        <w:t>education</w:t>
      </w:r>
      <w:r>
        <w:rPr>
          <w:spacing w:val="-5"/>
          <w:sz w:val="22"/>
        </w:rPr>
        <w:t> </w:t>
      </w:r>
      <w:r>
        <w:rPr>
          <w:spacing w:val="-2"/>
          <w:sz w:val="22"/>
        </w:rPr>
        <w:t>and</w:t>
      </w:r>
      <w:r>
        <w:rPr>
          <w:spacing w:val="-5"/>
          <w:sz w:val="22"/>
        </w:rPr>
        <w:t> </w:t>
      </w:r>
      <w:r>
        <w:rPr>
          <w:spacing w:val="-2"/>
          <w:sz w:val="22"/>
        </w:rPr>
        <w:t>training</w:t>
      </w:r>
      <w:r>
        <w:rPr>
          <w:spacing w:val="-5"/>
          <w:sz w:val="22"/>
        </w:rPr>
        <w:t> </w:t>
      </w:r>
      <w:r>
        <w:rPr>
          <w:spacing w:val="-2"/>
          <w:sz w:val="22"/>
        </w:rPr>
        <w:t>(VET), </w:t>
      </w:r>
      <w:r>
        <w:rPr>
          <w:sz w:val="22"/>
        </w:rPr>
        <w:t>NKC’s</w:t>
      </w:r>
      <w:r>
        <w:rPr>
          <w:spacing w:val="-7"/>
          <w:sz w:val="22"/>
        </w:rPr>
        <w:t> </w:t>
      </w:r>
      <w:r>
        <w:rPr>
          <w:sz w:val="22"/>
        </w:rPr>
        <w:t>recommendations</w:t>
      </w:r>
      <w:r>
        <w:rPr>
          <w:spacing w:val="-7"/>
          <w:sz w:val="22"/>
        </w:rPr>
        <w:t> </w:t>
      </w:r>
      <w:r>
        <w:rPr>
          <w:sz w:val="22"/>
        </w:rPr>
        <w:t>focus</w:t>
      </w:r>
      <w:r>
        <w:rPr>
          <w:spacing w:val="-7"/>
          <w:sz w:val="22"/>
        </w:rPr>
        <w:t> </w:t>
      </w:r>
      <w:r>
        <w:rPr>
          <w:sz w:val="22"/>
        </w:rPr>
        <w:t>on</w:t>
      </w:r>
      <w:r>
        <w:rPr>
          <w:spacing w:val="-7"/>
          <w:sz w:val="22"/>
        </w:rPr>
        <w:t> </w:t>
      </w:r>
      <w:r>
        <w:rPr>
          <w:sz w:val="22"/>
        </w:rPr>
        <w:t>increasing</w:t>
      </w:r>
      <w:r>
        <w:rPr>
          <w:spacing w:val="-7"/>
          <w:sz w:val="22"/>
        </w:rPr>
        <w:t> </w:t>
      </w:r>
      <w:r>
        <w:rPr>
          <w:sz w:val="22"/>
        </w:rPr>
        <w:t>the </w:t>
      </w:r>
      <w:r>
        <w:rPr>
          <w:spacing w:val="-4"/>
          <w:sz w:val="22"/>
        </w:rPr>
        <w:t>flexibility</w:t>
      </w:r>
      <w:r>
        <w:rPr>
          <w:spacing w:val="-8"/>
          <w:sz w:val="22"/>
        </w:rPr>
        <w:t> </w:t>
      </w:r>
      <w:r>
        <w:rPr>
          <w:spacing w:val="-4"/>
          <w:sz w:val="22"/>
        </w:rPr>
        <w:t>of</w:t>
      </w:r>
      <w:r>
        <w:rPr>
          <w:spacing w:val="-10"/>
          <w:sz w:val="22"/>
        </w:rPr>
        <w:t> </w:t>
      </w:r>
      <w:r>
        <w:rPr>
          <w:spacing w:val="-4"/>
          <w:sz w:val="22"/>
        </w:rPr>
        <w:t>VET</w:t>
      </w:r>
      <w:r>
        <w:rPr>
          <w:spacing w:val="-7"/>
          <w:sz w:val="22"/>
        </w:rPr>
        <w:t> </w:t>
      </w:r>
      <w:r>
        <w:rPr>
          <w:spacing w:val="-4"/>
          <w:sz w:val="22"/>
        </w:rPr>
        <w:t>within</w:t>
      </w:r>
      <w:r>
        <w:rPr>
          <w:spacing w:val="-8"/>
          <w:sz w:val="22"/>
        </w:rPr>
        <w:t> </w:t>
      </w:r>
      <w:r>
        <w:rPr>
          <w:spacing w:val="-4"/>
          <w:sz w:val="22"/>
        </w:rPr>
        <w:t>the</w:t>
      </w:r>
      <w:r>
        <w:rPr>
          <w:spacing w:val="-8"/>
          <w:sz w:val="22"/>
        </w:rPr>
        <w:t> </w:t>
      </w:r>
      <w:r>
        <w:rPr>
          <w:spacing w:val="-4"/>
          <w:sz w:val="22"/>
        </w:rPr>
        <w:t>mainstream</w:t>
      </w:r>
      <w:r>
        <w:rPr>
          <w:spacing w:val="-8"/>
          <w:sz w:val="22"/>
        </w:rPr>
        <w:t> </w:t>
      </w:r>
      <w:r>
        <w:rPr>
          <w:spacing w:val="-4"/>
          <w:sz w:val="22"/>
        </w:rPr>
        <w:t>education </w:t>
      </w:r>
      <w:r>
        <w:rPr>
          <w:sz w:val="22"/>
        </w:rPr>
        <w:t>system. NKC has also emphasised the need to </w:t>
      </w:r>
      <w:r>
        <w:rPr>
          <w:spacing w:val="-8"/>
          <w:sz w:val="22"/>
        </w:rPr>
        <w:t>expand</w:t>
      </w:r>
      <w:r>
        <w:rPr>
          <w:sz w:val="22"/>
        </w:rPr>
        <w:t> </w:t>
      </w:r>
      <w:r>
        <w:rPr>
          <w:spacing w:val="-8"/>
          <w:sz w:val="22"/>
        </w:rPr>
        <w:t>capacity</w:t>
      </w:r>
      <w:r>
        <w:rPr>
          <w:sz w:val="22"/>
        </w:rPr>
        <w:t> </w:t>
      </w:r>
      <w:r>
        <w:rPr>
          <w:spacing w:val="-8"/>
          <w:sz w:val="22"/>
        </w:rPr>
        <w:t>through</w:t>
      </w:r>
      <w:r>
        <w:rPr>
          <w:sz w:val="22"/>
        </w:rPr>
        <w:t> </w:t>
      </w:r>
      <w:r>
        <w:rPr>
          <w:spacing w:val="-8"/>
          <w:sz w:val="22"/>
        </w:rPr>
        <w:t>innovative</w:t>
      </w:r>
      <w:r>
        <w:rPr>
          <w:sz w:val="22"/>
        </w:rPr>
        <w:t> </w:t>
      </w:r>
      <w:r>
        <w:rPr>
          <w:spacing w:val="-8"/>
          <w:sz w:val="22"/>
        </w:rPr>
        <w:t>delivery</w:t>
      </w:r>
      <w:r>
        <w:rPr>
          <w:sz w:val="22"/>
        </w:rPr>
        <w:t> </w:t>
      </w:r>
      <w:r>
        <w:rPr>
          <w:spacing w:val="-8"/>
          <w:sz w:val="22"/>
        </w:rPr>
        <w:t>models, </w:t>
      </w:r>
      <w:r>
        <w:rPr>
          <w:spacing w:val="-4"/>
          <w:sz w:val="22"/>
        </w:rPr>
        <w:t>including robust public private partnerships. Given </w:t>
      </w:r>
      <w:r>
        <w:rPr>
          <w:spacing w:val="-2"/>
          <w:sz w:val="22"/>
        </w:rPr>
        <w:t>that</w:t>
      </w:r>
      <w:r>
        <w:rPr>
          <w:spacing w:val="-9"/>
          <w:sz w:val="22"/>
        </w:rPr>
        <w:t> </w:t>
      </w:r>
      <w:r>
        <w:rPr>
          <w:spacing w:val="-2"/>
          <w:sz w:val="22"/>
        </w:rPr>
        <w:t>only</w:t>
      </w:r>
      <w:r>
        <w:rPr>
          <w:spacing w:val="-9"/>
          <w:sz w:val="22"/>
        </w:rPr>
        <w:t> </w:t>
      </w:r>
      <w:r>
        <w:rPr>
          <w:spacing w:val="-2"/>
          <w:sz w:val="22"/>
        </w:rPr>
        <w:t>7</w:t>
      </w:r>
      <w:r>
        <w:rPr>
          <w:spacing w:val="-9"/>
          <w:sz w:val="22"/>
        </w:rPr>
        <w:t> </w:t>
      </w:r>
      <w:r>
        <w:rPr>
          <w:spacing w:val="-2"/>
          <w:sz w:val="22"/>
        </w:rPr>
        <w:t>per</w:t>
      </w:r>
      <w:r>
        <w:rPr>
          <w:spacing w:val="-9"/>
          <w:sz w:val="22"/>
        </w:rPr>
        <w:t> </w:t>
      </w:r>
      <w:r>
        <w:rPr>
          <w:spacing w:val="-2"/>
          <w:sz w:val="22"/>
        </w:rPr>
        <w:t>cent</w:t>
      </w:r>
      <w:r>
        <w:rPr>
          <w:spacing w:val="-9"/>
          <w:sz w:val="22"/>
        </w:rPr>
        <w:t> </w:t>
      </w:r>
      <w:r>
        <w:rPr>
          <w:spacing w:val="-2"/>
          <w:sz w:val="22"/>
        </w:rPr>
        <w:t>of</w:t>
      </w:r>
      <w:r>
        <w:rPr>
          <w:spacing w:val="-9"/>
          <w:sz w:val="22"/>
        </w:rPr>
        <w:t> </w:t>
      </w:r>
      <w:r>
        <w:rPr>
          <w:spacing w:val="-2"/>
          <w:sz w:val="22"/>
        </w:rPr>
        <w:t>the</w:t>
      </w:r>
      <w:r>
        <w:rPr>
          <w:spacing w:val="-9"/>
          <w:sz w:val="22"/>
        </w:rPr>
        <w:t> </w:t>
      </w:r>
      <w:r>
        <w:rPr>
          <w:spacing w:val="-2"/>
          <w:sz w:val="22"/>
        </w:rPr>
        <w:t>country’s</w:t>
      </w:r>
      <w:r>
        <w:rPr>
          <w:spacing w:val="-9"/>
          <w:sz w:val="22"/>
        </w:rPr>
        <w:t> </w:t>
      </w:r>
      <w:r>
        <w:rPr>
          <w:spacing w:val="-2"/>
          <w:sz w:val="22"/>
        </w:rPr>
        <w:t>labour</w:t>
      </w:r>
      <w:r>
        <w:rPr>
          <w:spacing w:val="-9"/>
          <w:sz w:val="22"/>
        </w:rPr>
        <w:t> </w:t>
      </w:r>
      <w:r>
        <w:rPr>
          <w:spacing w:val="-2"/>
          <w:sz w:val="22"/>
        </w:rPr>
        <w:t>force</w:t>
      </w:r>
      <w:r>
        <w:rPr>
          <w:spacing w:val="-9"/>
          <w:sz w:val="22"/>
        </w:rPr>
        <w:t> </w:t>
      </w:r>
      <w:r>
        <w:rPr>
          <w:spacing w:val="-2"/>
          <w:sz w:val="22"/>
        </w:rPr>
        <w:t>is in</w:t>
      </w:r>
      <w:r>
        <w:rPr>
          <w:spacing w:val="-9"/>
          <w:sz w:val="22"/>
        </w:rPr>
        <w:t> </w:t>
      </w:r>
      <w:r>
        <w:rPr>
          <w:spacing w:val="-2"/>
          <w:sz w:val="22"/>
        </w:rPr>
        <w:t>the</w:t>
      </w:r>
      <w:r>
        <w:rPr>
          <w:spacing w:val="-9"/>
          <w:sz w:val="22"/>
        </w:rPr>
        <w:t> </w:t>
      </w:r>
      <w:r>
        <w:rPr>
          <w:spacing w:val="-2"/>
          <w:sz w:val="22"/>
        </w:rPr>
        <w:t>organised</w:t>
      </w:r>
      <w:r>
        <w:rPr>
          <w:spacing w:val="-9"/>
          <w:sz w:val="22"/>
        </w:rPr>
        <w:t> </w:t>
      </w:r>
      <w:r>
        <w:rPr>
          <w:spacing w:val="-2"/>
          <w:sz w:val="22"/>
        </w:rPr>
        <w:t>sector,</w:t>
      </w:r>
      <w:r>
        <w:rPr>
          <w:spacing w:val="-9"/>
          <w:sz w:val="22"/>
        </w:rPr>
        <w:t> </w:t>
      </w:r>
      <w:r>
        <w:rPr>
          <w:spacing w:val="-2"/>
          <w:sz w:val="22"/>
        </w:rPr>
        <w:t>enhancing</w:t>
      </w:r>
      <w:r>
        <w:rPr>
          <w:spacing w:val="-9"/>
          <w:sz w:val="22"/>
        </w:rPr>
        <w:t> </w:t>
      </w:r>
      <w:r>
        <w:rPr>
          <w:spacing w:val="-2"/>
          <w:sz w:val="22"/>
        </w:rPr>
        <w:t>training</w:t>
      </w:r>
      <w:r>
        <w:rPr>
          <w:spacing w:val="-9"/>
          <w:sz w:val="22"/>
        </w:rPr>
        <w:t> </w:t>
      </w:r>
      <w:r>
        <w:rPr>
          <w:spacing w:val="-2"/>
          <w:sz w:val="22"/>
        </w:rPr>
        <w:t>options </w:t>
      </w:r>
      <w:r>
        <w:rPr>
          <w:sz w:val="22"/>
        </w:rPr>
        <w:t>available</w:t>
      </w:r>
      <w:r>
        <w:rPr>
          <w:spacing w:val="-5"/>
          <w:sz w:val="22"/>
        </w:rPr>
        <w:t> </w:t>
      </w:r>
      <w:r>
        <w:rPr>
          <w:sz w:val="22"/>
        </w:rPr>
        <w:t>for</w:t>
      </w:r>
      <w:r>
        <w:rPr>
          <w:spacing w:val="-5"/>
          <w:sz w:val="22"/>
        </w:rPr>
        <w:t> </w:t>
      </w:r>
      <w:r>
        <w:rPr>
          <w:sz w:val="22"/>
        </w:rPr>
        <w:t>the</w:t>
      </w:r>
      <w:r>
        <w:rPr>
          <w:spacing w:val="-5"/>
          <w:sz w:val="22"/>
        </w:rPr>
        <w:t> </w:t>
      </w:r>
      <w:r>
        <w:rPr>
          <w:sz w:val="22"/>
        </w:rPr>
        <w:t>unorganised</w:t>
      </w:r>
      <w:r>
        <w:rPr>
          <w:spacing w:val="-5"/>
          <w:sz w:val="22"/>
        </w:rPr>
        <w:t> </w:t>
      </w:r>
      <w:r>
        <w:rPr>
          <w:sz w:val="22"/>
        </w:rPr>
        <w:t>and</w:t>
      </w:r>
      <w:r>
        <w:rPr>
          <w:spacing w:val="-5"/>
          <w:sz w:val="22"/>
        </w:rPr>
        <w:t> </w:t>
      </w:r>
      <w:r>
        <w:rPr>
          <w:sz w:val="22"/>
        </w:rPr>
        <w:t>informal</w:t>
      </w:r>
      <w:r>
        <w:rPr>
          <w:spacing w:val="-5"/>
          <w:sz w:val="22"/>
        </w:rPr>
        <w:t> </w:t>
      </w:r>
      <w:r>
        <w:rPr>
          <w:sz w:val="22"/>
        </w:rPr>
        <w:t>sector will be critical for enhancing the productivity of </w:t>
      </w:r>
      <w:r>
        <w:rPr>
          <w:spacing w:val="-2"/>
          <w:sz w:val="22"/>
        </w:rPr>
        <w:t>the</w:t>
      </w:r>
      <w:r>
        <w:rPr>
          <w:spacing w:val="-8"/>
          <w:sz w:val="22"/>
        </w:rPr>
        <w:t> </w:t>
      </w:r>
      <w:r>
        <w:rPr>
          <w:spacing w:val="-2"/>
          <w:sz w:val="22"/>
        </w:rPr>
        <w:t>bulk</w:t>
      </w:r>
      <w:r>
        <w:rPr>
          <w:spacing w:val="-8"/>
          <w:sz w:val="22"/>
        </w:rPr>
        <w:t> </w:t>
      </w:r>
      <w:r>
        <w:rPr>
          <w:spacing w:val="-2"/>
          <w:sz w:val="22"/>
        </w:rPr>
        <w:t>of</w:t>
      </w:r>
      <w:r>
        <w:rPr>
          <w:spacing w:val="-8"/>
          <w:sz w:val="22"/>
        </w:rPr>
        <w:t> </w:t>
      </w:r>
      <w:r>
        <w:rPr>
          <w:spacing w:val="-2"/>
          <w:sz w:val="22"/>
        </w:rPr>
        <w:t>our</w:t>
      </w:r>
      <w:r>
        <w:rPr>
          <w:spacing w:val="-8"/>
          <w:sz w:val="22"/>
        </w:rPr>
        <w:t> </w:t>
      </w:r>
      <w:r>
        <w:rPr>
          <w:spacing w:val="-2"/>
          <w:sz w:val="22"/>
        </w:rPr>
        <w:t>working</w:t>
      </w:r>
      <w:r>
        <w:rPr>
          <w:spacing w:val="-8"/>
          <w:sz w:val="22"/>
        </w:rPr>
        <w:t> </w:t>
      </w:r>
      <w:r>
        <w:rPr>
          <w:spacing w:val="-2"/>
          <w:sz w:val="22"/>
        </w:rPr>
        <w:t>population.</w:t>
      </w:r>
      <w:r>
        <w:rPr>
          <w:spacing w:val="-8"/>
          <w:sz w:val="22"/>
        </w:rPr>
        <w:t> </w:t>
      </w:r>
      <w:r>
        <w:rPr>
          <w:spacing w:val="-2"/>
          <w:sz w:val="22"/>
        </w:rPr>
        <w:t>It</w:t>
      </w:r>
      <w:r>
        <w:rPr>
          <w:spacing w:val="-8"/>
          <w:sz w:val="22"/>
        </w:rPr>
        <w:t> </w:t>
      </w:r>
      <w:r>
        <w:rPr>
          <w:spacing w:val="-2"/>
          <w:sz w:val="22"/>
        </w:rPr>
        <w:t>is</w:t>
      </w:r>
      <w:r>
        <w:rPr>
          <w:spacing w:val="-8"/>
          <w:sz w:val="22"/>
        </w:rPr>
        <w:t> </w:t>
      </w:r>
      <w:r>
        <w:rPr>
          <w:spacing w:val="-2"/>
          <w:sz w:val="22"/>
        </w:rPr>
        <w:t>necessary </w:t>
      </w:r>
      <w:r>
        <w:rPr>
          <w:sz w:val="22"/>
        </w:rPr>
        <w:t>to ensure a robust regulatory and accreditation framework, along with proper certification of vocational</w:t>
      </w:r>
      <w:r>
        <w:rPr>
          <w:spacing w:val="-14"/>
          <w:sz w:val="22"/>
        </w:rPr>
        <w:t> </w:t>
      </w:r>
      <w:r>
        <w:rPr>
          <w:sz w:val="22"/>
        </w:rPr>
        <w:t>education</w:t>
      </w:r>
      <w:r>
        <w:rPr>
          <w:spacing w:val="-14"/>
          <w:sz w:val="22"/>
        </w:rPr>
        <w:t> </w:t>
      </w:r>
      <w:r>
        <w:rPr>
          <w:sz w:val="22"/>
        </w:rPr>
        <w:t>and</w:t>
      </w:r>
      <w:r>
        <w:rPr>
          <w:spacing w:val="-14"/>
          <w:sz w:val="22"/>
        </w:rPr>
        <w:t> </w:t>
      </w:r>
      <w:r>
        <w:rPr>
          <w:sz w:val="22"/>
        </w:rPr>
        <w:t>training.</w:t>
      </w:r>
      <w:r>
        <w:rPr>
          <w:spacing w:val="-13"/>
          <w:sz w:val="22"/>
        </w:rPr>
        <w:t> </w:t>
      </w:r>
      <w:r>
        <w:rPr>
          <w:sz w:val="22"/>
        </w:rPr>
        <w:t>This</w:t>
      </w:r>
      <w:r>
        <w:rPr>
          <w:spacing w:val="-14"/>
          <w:sz w:val="22"/>
        </w:rPr>
        <w:t> </w:t>
      </w:r>
      <w:r>
        <w:rPr>
          <w:sz w:val="22"/>
        </w:rPr>
        <w:t>will</w:t>
      </w:r>
      <w:r>
        <w:rPr>
          <w:spacing w:val="-12"/>
          <w:sz w:val="22"/>
        </w:rPr>
        <w:t> </w:t>
      </w:r>
      <w:r>
        <w:rPr>
          <w:sz w:val="22"/>
        </w:rPr>
        <w:t>allow easier mobility into higher education streams, </w:t>
      </w:r>
      <w:r>
        <w:rPr>
          <w:spacing w:val="-2"/>
          <w:sz w:val="22"/>
        </w:rPr>
        <w:t>enhancing</w:t>
      </w:r>
      <w:r>
        <w:rPr>
          <w:spacing w:val="-12"/>
          <w:sz w:val="22"/>
        </w:rPr>
        <w:t> </w:t>
      </w:r>
      <w:r>
        <w:rPr>
          <w:spacing w:val="-2"/>
          <w:sz w:val="22"/>
        </w:rPr>
        <w:t>the</w:t>
      </w:r>
      <w:r>
        <w:rPr>
          <w:spacing w:val="-12"/>
          <w:sz w:val="22"/>
        </w:rPr>
        <w:t> </w:t>
      </w:r>
      <w:r>
        <w:rPr>
          <w:spacing w:val="-2"/>
          <w:sz w:val="22"/>
        </w:rPr>
        <w:t>value</w:t>
      </w:r>
      <w:r>
        <w:rPr>
          <w:spacing w:val="-12"/>
          <w:sz w:val="22"/>
        </w:rPr>
        <w:t> </w:t>
      </w:r>
      <w:r>
        <w:rPr>
          <w:spacing w:val="-2"/>
          <w:sz w:val="22"/>
        </w:rPr>
        <w:t>of</w:t>
      </w:r>
      <w:r>
        <w:rPr>
          <w:spacing w:val="-11"/>
          <w:sz w:val="22"/>
        </w:rPr>
        <w:t> </w:t>
      </w:r>
      <w:r>
        <w:rPr>
          <w:spacing w:val="-2"/>
          <w:sz w:val="22"/>
        </w:rPr>
        <w:t>such</w:t>
      </w:r>
      <w:r>
        <w:rPr>
          <w:spacing w:val="-12"/>
          <w:sz w:val="22"/>
        </w:rPr>
        <w:t> </w:t>
      </w:r>
      <w:r>
        <w:rPr>
          <w:spacing w:val="-2"/>
          <w:sz w:val="22"/>
        </w:rPr>
        <w:t>training.</w:t>
      </w:r>
    </w:p>
    <w:p>
      <w:pPr>
        <w:pStyle w:val="BodyText"/>
        <w:spacing w:before="13"/>
      </w:pPr>
    </w:p>
    <w:p>
      <w:pPr>
        <w:pStyle w:val="ListParagraph"/>
        <w:numPr>
          <w:ilvl w:val="0"/>
          <w:numId w:val="6"/>
        </w:numPr>
        <w:tabs>
          <w:tab w:pos="679" w:val="left" w:leader="none"/>
        </w:tabs>
        <w:spacing w:line="266" w:lineRule="auto" w:before="1" w:after="0"/>
        <w:ind w:left="679" w:right="1077" w:hanging="360"/>
        <w:jc w:val="both"/>
        <w:rPr>
          <w:sz w:val="22"/>
        </w:rPr>
      </w:pPr>
      <w:r>
        <w:rPr>
          <w:b/>
          <w:sz w:val="22"/>
        </w:rPr>
        <w:t>Higher Education: </w:t>
      </w:r>
      <w:r>
        <w:rPr>
          <w:sz w:val="22"/>
        </w:rPr>
        <w:t>In higher education </w:t>
      </w:r>
      <w:r>
        <w:rPr>
          <w:sz w:val="22"/>
        </w:rPr>
        <w:t>NKC recommendations have focused on the three key aspects of expansion, excellence and inclusion. NKC</w:t>
      </w:r>
      <w:r>
        <w:rPr>
          <w:spacing w:val="-14"/>
          <w:sz w:val="22"/>
        </w:rPr>
        <w:t> </w:t>
      </w:r>
      <w:r>
        <w:rPr>
          <w:sz w:val="22"/>
        </w:rPr>
        <w:t>has</w:t>
      </w:r>
      <w:r>
        <w:rPr>
          <w:spacing w:val="-14"/>
          <w:sz w:val="22"/>
        </w:rPr>
        <w:t> </w:t>
      </w:r>
      <w:r>
        <w:rPr>
          <w:sz w:val="22"/>
        </w:rPr>
        <w:t>recommended</w:t>
      </w:r>
      <w:r>
        <w:rPr>
          <w:spacing w:val="-14"/>
          <w:sz w:val="22"/>
        </w:rPr>
        <w:t> </w:t>
      </w:r>
      <w:r>
        <w:rPr>
          <w:sz w:val="22"/>
        </w:rPr>
        <w:t>increasing</w:t>
      </w:r>
      <w:r>
        <w:rPr>
          <w:spacing w:val="-13"/>
          <w:sz w:val="22"/>
        </w:rPr>
        <w:t> </w:t>
      </w:r>
      <w:r>
        <w:rPr>
          <w:sz w:val="22"/>
        </w:rPr>
        <w:t>GER</w:t>
      </w:r>
      <w:r>
        <w:rPr>
          <w:spacing w:val="-14"/>
          <w:sz w:val="22"/>
        </w:rPr>
        <w:t> </w:t>
      </w:r>
      <w:r>
        <w:rPr>
          <w:sz w:val="22"/>
        </w:rPr>
        <w:t>in</w:t>
      </w:r>
      <w:r>
        <w:rPr>
          <w:spacing w:val="-14"/>
          <w:sz w:val="22"/>
        </w:rPr>
        <w:t> </w:t>
      </w:r>
      <w:r>
        <w:rPr>
          <w:sz w:val="22"/>
        </w:rPr>
        <w:t>higher education to 15 and above by 2015. In addition</w:t>
      </w:r>
      <w:r>
        <w:rPr>
          <w:spacing w:val="40"/>
          <w:sz w:val="22"/>
        </w:rPr>
        <w:t> </w:t>
      </w:r>
      <w:r>
        <w:rPr>
          <w:sz w:val="22"/>
        </w:rPr>
        <w:t>to increased public spending, this would involve diversifying</w:t>
      </w:r>
      <w:r>
        <w:rPr>
          <w:spacing w:val="-14"/>
          <w:sz w:val="22"/>
        </w:rPr>
        <w:t> </w:t>
      </w:r>
      <w:r>
        <w:rPr>
          <w:sz w:val="22"/>
        </w:rPr>
        <w:t>the</w:t>
      </w:r>
      <w:r>
        <w:rPr>
          <w:spacing w:val="-14"/>
          <w:sz w:val="22"/>
        </w:rPr>
        <w:t> </w:t>
      </w:r>
      <w:r>
        <w:rPr>
          <w:sz w:val="22"/>
        </w:rPr>
        <w:t>sources</w:t>
      </w:r>
      <w:r>
        <w:rPr>
          <w:spacing w:val="-14"/>
          <w:sz w:val="22"/>
        </w:rPr>
        <w:t> </w:t>
      </w:r>
      <w:r>
        <w:rPr>
          <w:sz w:val="22"/>
        </w:rPr>
        <w:t>of</w:t>
      </w:r>
      <w:r>
        <w:rPr>
          <w:spacing w:val="-13"/>
          <w:sz w:val="22"/>
        </w:rPr>
        <w:t> </w:t>
      </w:r>
      <w:r>
        <w:rPr>
          <w:sz w:val="22"/>
        </w:rPr>
        <w:t>financing</w:t>
      </w:r>
      <w:r>
        <w:rPr>
          <w:spacing w:val="-14"/>
          <w:sz w:val="22"/>
        </w:rPr>
        <w:t> </w:t>
      </w:r>
      <w:r>
        <w:rPr>
          <w:sz w:val="22"/>
        </w:rPr>
        <w:t>to</w:t>
      </w:r>
      <w:r>
        <w:rPr>
          <w:spacing w:val="-14"/>
          <w:sz w:val="22"/>
        </w:rPr>
        <w:t> </w:t>
      </w:r>
      <w:r>
        <w:rPr>
          <w:sz w:val="22"/>
        </w:rPr>
        <w:t>encourage private participation, philanthropic contributions and industry linkages. To bring about this expansion, NKC has suggested the creation of 1500</w:t>
      </w:r>
      <w:r>
        <w:rPr>
          <w:spacing w:val="-10"/>
          <w:sz w:val="22"/>
        </w:rPr>
        <w:t> </w:t>
      </w:r>
      <w:r>
        <w:rPr>
          <w:sz w:val="22"/>
        </w:rPr>
        <w:t>universities</w:t>
      </w:r>
      <w:r>
        <w:rPr>
          <w:spacing w:val="-10"/>
          <w:sz w:val="22"/>
        </w:rPr>
        <w:t> </w:t>
      </w:r>
      <w:r>
        <w:rPr>
          <w:sz w:val="22"/>
        </w:rPr>
        <w:t>by</w:t>
      </w:r>
      <w:r>
        <w:rPr>
          <w:spacing w:val="-10"/>
          <w:sz w:val="22"/>
        </w:rPr>
        <w:t> </w:t>
      </w:r>
      <w:r>
        <w:rPr>
          <w:sz w:val="22"/>
        </w:rPr>
        <w:t>2015,</w:t>
      </w:r>
      <w:r>
        <w:rPr>
          <w:spacing w:val="-10"/>
          <w:sz w:val="22"/>
        </w:rPr>
        <w:t> </w:t>
      </w:r>
      <w:r>
        <w:rPr>
          <w:sz w:val="22"/>
        </w:rPr>
        <w:t>partly</w:t>
      </w:r>
      <w:r>
        <w:rPr>
          <w:spacing w:val="-10"/>
          <w:sz w:val="22"/>
        </w:rPr>
        <w:t> </w:t>
      </w:r>
      <w:r>
        <w:rPr>
          <w:sz w:val="22"/>
        </w:rPr>
        <w:t>by</w:t>
      </w:r>
      <w:r>
        <w:rPr>
          <w:spacing w:val="-10"/>
          <w:sz w:val="22"/>
        </w:rPr>
        <w:t> </w:t>
      </w:r>
      <w:r>
        <w:rPr>
          <w:sz w:val="22"/>
        </w:rPr>
        <w:t>restructuring the existing ones. In order to reduce the current barriers to entry, NKC has recommended setting up an Independent Regulatory Authority for Higher</w:t>
      </w:r>
      <w:r>
        <w:rPr>
          <w:spacing w:val="-10"/>
          <w:sz w:val="22"/>
        </w:rPr>
        <w:t> </w:t>
      </w:r>
      <w:r>
        <w:rPr>
          <w:sz w:val="22"/>
        </w:rPr>
        <w:t>Education</w:t>
      </w:r>
      <w:r>
        <w:rPr>
          <w:spacing w:val="-10"/>
          <w:sz w:val="22"/>
        </w:rPr>
        <w:t> </w:t>
      </w:r>
      <w:r>
        <w:rPr>
          <w:sz w:val="22"/>
        </w:rPr>
        <w:t>(IRAHE)</w:t>
      </w:r>
      <w:r>
        <w:rPr>
          <w:spacing w:val="-10"/>
          <w:sz w:val="22"/>
        </w:rPr>
        <w:t> </w:t>
      </w:r>
      <w:r>
        <w:rPr>
          <w:sz w:val="22"/>
        </w:rPr>
        <w:t>which</w:t>
      </w:r>
      <w:r>
        <w:rPr>
          <w:spacing w:val="-10"/>
          <w:sz w:val="22"/>
        </w:rPr>
        <w:t> </w:t>
      </w:r>
      <w:r>
        <w:rPr>
          <w:sz w:val="22"/>
        </w:rPr>
        <w:t>would</w:t>
      </w:r>
      <w:r>
        <w:rPr>
          <w:spacing w:val="-10"/>
          <w:sz w:val="22"/>
        </w:rPr>
        <w:t> </w:t>
      </w:r>
      <w:r>
        <w:rPr>
          <w:sz w:val="22"/>
        </w:rPr>
        <w:t>be</w:t>
      </w:r>
      <w:r>
        <w:rPr>
          <w:spacing w:val="-10"/>
          <w:sz w:val="22"/>
        </w:rPr>
        <w:t> </w:t>
      </w:r>
      <w:r>
        <w:rPr>
          <w:sz w:val="22"/>
        </w:rPr>
        <w:t>at</w:t>
      </w:r>
      <w:r>
        <w:rPr>
          <w:spacing w:val="-10"/>
          <w:sz w:val="22"/>
        </w:rPr>
        <w:t> </w:t>
      </w:r>
      <w:r>
        <w:rPr>
          <w:sz w:val="22"/>
        </w:rPr>
        <w:t>an </w:t>
      </w:r>
      <w:r>
        <w:rPr>
          <w:spacing w:val="-6"/>
          <w:sz w:val="22"/>
        </w:rPr>
        <w:t>arm’s</w:t>
      </w:r>
      <w:r>
        <w:rPr>
          <w:spacing w:val="-8"/>
          <w:sz w:val="22"/>
        </w:rPr>
        <w:t> </w:t>
      </w:r>
      <w:r>
        <w:rPr>
          <w:spacing w:val="-6"/>
          <w:sz w:val="22"/>
        </w:rPr>
        <w:t>length</w:t>
      </w:r>
      <w:r>
        <w:rPr>
          <w:spacing w:val="-8"/>
          <w:sz w:val="22"/>
        </w:rPr>
        <w:t> </w:t>
      </w:r>
      <w:r>
        <w:rPr>
          <w:spacing w:val="-6"/>
          <w:sz w:val="22"/>
        </w:rPr>
        <w:t>from</w:t>
      </w:r>
      <w:r>
        <w:rPr>
          <w:spacing w:val="-8"/>
          <w:sz w:val="22"/>
        </w:rPr>
        <w:t> </w:t>
      </w:r>
      <w:r>
        <w:rPr>
          <w:spacing w:val="-6"/>
          <w:sz w:val="22"/>
        </w:rPr>
        <w:t>all</w:t>
      </w:r>
      <w:r>
        <w:rPr>
          <w:spacing w:val="-7"/>
          <w:sz w:val="22"/>
        </w:rPr>
        <w:t> </w:t>
      </w:r>
      <w:r>
        <w:rPr>
          <w:spacing w:val="-6"/>
          <w:sz w:val="22"/>
        </w:rPr>
        <w:t>stakeholders</w:t>
      </w:r>
      <w:r>
        <w:rPr>
          <w:spacing w:val="-8"/>
          <w:sz w:val="22"/>
        </w:rPr>
        <w:t> </w:t>
      </w:r>
      <w:r>
        <w:rPr>
          <w:spacing w:val="-6"/>
          <w:sz w:val="22"/>
        </w:rPr>
        <w:t>and</w:t>
      </w:r>
      <w:r>
        <w:rPr>
          <w:spacing w:val="-8"/>
          <w:sz w:val="22"/>
        </w:rPr>
        <w:t> </w:t>
      </w:r>
      <w:r>
        <w:rPr>
          <w:spacing w:val="-6"/>
          <w:sz w:val="22"/>
        </w:rPr>
        <w:t>would</w:t>
      </w:r>
      <w:r>
        <w:rPr>
          <w:spacing w:val="-8"/>
          <w:sz w:val="22"/>
        </w:rPr>
        <w:t> </w:t>
      </w:r>
      <w:r>
        <w:rPr>
          <w:spacing w:val="-6"/>
          <w:sz w:val="22"/>
        </w:rPr>
        <w:t>accord </w:t>
      </w:r>
      <w:r>
        <w:rPr>
          <w:sz w:val="22"/>
        </w:rPr>
        <w:t>degree granting power to universities. To ensure quality, NKC has called for reform of existing universities</w:t>
      </w:r>
      <w:r>
        <w:rPr>
          <w:spacing w:val="-14"/>
          <w:sz w:val="22"/>
        </w:rPr>
        <w:t> </w:t>
      </w:r>
      <w:r>
        <w:rPr>
          <w:sz w:val="22"/>
        </w:rPr>
        <w:t>to</w:t>
      </w:r>
      <w:r>
        <w:rPr>
          <w:spacing w:val="-14"/>
          <w:sz w:val="22"/>
        </w:rPr>
        <w:t> </w:t>
      </w:r>
      <w:r>
        <w:rPr>
          <w:sz w:val="22"/>
        </w:rPr>
        <w:t>ensure</w:t>
      </w:r>
      <w:r>
        <w:rPr>
          <w:spacing w:val="-14"/>
          <w:sz w:val="22"/>
        </w:rPr>
        <w:t> </w:t>
      </w:r>
      <w:r>
        <w:rPr>
          <w:sz w:val="22"/>
        </w:rPr>
        <w:t>frequent</w:t>
      </w:r>
      <w:r>
        <w:rPr>
          <w:spacing w:val="-13"/>
          <w:sz w:val="22"/>
        </w:rPr>
        <w:t> </w:t>
      </w:r>
      <w:r>
        <w:rPr>
          <w:sz w:val="22"/>
        </w:rPr>
        <w:t>curricula</w:t>
      </w:r>
      <w:r>
        <w:rPr>
          <w:spacing w:val="-14"/>
          <w:sz w:val="22"/>
        </w:rPr>
        <w:t> </w:t>
      </w:r>
      <w:r>
        <w:rPr>
          <w:sz w:val="22"/>
        </w:rPr>
        <w:t>revisions, introduction of course credit system, enhancing reliance on internal assessment, encouraging </w:t>
      </w:r>
      <w:r>
        <w:rPr>
          <w:spacing w:val="-4"/>
          <w:sz w:val="22"/>
        </w:rPr>
        <w:t>research, and reforming governance of institutions. </w:t>
      </w:r>
      <w:r>
        <w:rPr>
          <w:sz w:val="22"/>
        </w:rPr>
        <w:t>Further, there is an urgent need to restructure the system</w:t>
      </w:r>
      <w:r>
        <w:rPr>
          <w:spacing w:val="-14"/>
          <w:sz w:val="22"/>
        </w:rPr>
        <w:t> </w:t>
      </w:r>
      <w:r>
        <w:rPr>
          <w:sz w:val="22"/>
        </w:rPr>
        <w:t>of</w:t>
      </w:r>
      <w:r>
        <w:rPr>
          <w:spacing w:val="-14"/>
          <w:sz w:val="22"/>
        </w:rPr>
        <w:t> </w:t>
      </w:r>
      <w:r>
        <w:rPr>
          <w:sz w:val="22"/>
        </w:rPr>
        <w:t>affiliated</w:t>
      </w:r>
      <w:r>
        <w:rPr>
          <w:spacing w:val="-14"/>
          <w:sz w:val="22"/>
        </w:rPr>
        <w:t> </w:t>
      </w:r>
      <w:r>
        <w:rPr>
          <w:sz w:val="22"/>
        </w:rPr>
        <w:t>undergraduate</w:t>
      </w:r>
      <w:r>
        <w:rPr>
          <w:spacing w:val="-13"/>
          <w:sz w:val="22"/>
        </w:rPr>
        <w:t> </w:t>
      </w:r>
      <w:r>
        <w:rPr>
          <w:sz w:val="22"/>
        </w:rPr>
        <w:t>colleges</w:t>
      </w:r>
      <w:r>
        <w:rPr>
          <w:spacing w:val="-14"/>
          <w:sz w:val="22"/>
        </w:rPr>
        <w:t> </w:t>
      </w:r>
      <w:r>
        <w:rPr>
          <w:sz w:val="22"/>
        </w:rPr>
        <w:t>which </w:t>
      </w:r>
      <w:r>
        <w:rPr>
          <w:spacing w:val="-6"/>
          <w:sz w:val="22"/>
        </w:rPr>
        <w:t>no longer provides a viable model for quality higher education. NKC has also suggested creating models for community colleges that provide credit and non- credit courses leading to two year associate degrees. These would include general education programs as well as employment oriented programs, creating the </w:t>
      </w:r>
      <w:r>
        <w:rPr>
          <w:sz w:val="22"/>
        </w:rPr>
        <w:t>flexibility</w:t>
      </w:r>
      <w:r>
        <w:rPr>
          <w:spacing w:val="-9"/>
          <w:sz w:val="22"/>
        </w:rPr>
        <w:t> </w:t>
      </w:r>
      <w:r>
        <w:rPr>
          <w:sz w:val="22"/>
        </w:rPr>
        <w:t>for</w:t>
      </w:r>
      <w:r>
        <w:rPr>
          <w:spacing w:val="-9"/>
          <w:sz w:val="22"/>
        </w:rPr>
        <w:t> </w:t>
      </w:r>
      <w:r>
        <w:rPr>
          <w:sz w:val="22"/>
        </w:rPr>
        <w:t>students</w:t>
      </w:r>
      <w:r>
        <w:rPr>
          <w:spacing w:val="-9"/>
          <w:sz w:val="22"/>
        </w:rPr>
        <w:t> </w:t>
      </w:r>
      <w:r>
        <w:rPr>
          <w:sz w:val="22"/>
        </w:rPr>
        <w:t>to</w:t>
      </w:r>
      <w:r>
        <w:rPr>
          <w:spacing w:val="-9"/>
          <w:sz w:val="22"/>
        </w:rPr>
        <w:t> </w:t>
      </w:r>
      <w:r>
        <w:rPr>
          <w:sz w:val="22"/>
        </w:rPr>
        <w:t>pursue</w:t>
      </w:r>
      <w:r>
        <w:rPr>
          <w:spacing w:val="-9"/>
          <w:sz w:val="22"/>
        </w:rPr>
        <w:t> </w:t>
      </w:r>
      <w:r>
        <w:rPr>
          <w:sz w:val="22"/>
        </w:rPr>
        <w:t>higher</w:t>
      </w:r>
      <w:r>
        <w:rPr>
          <w:spacing w:val="-9"/>
          <w:sz w:val="22"/>
        </w:rPr>
        <w:t> </w:t>
      </w:r>
      <w:r>
        <w:rPr>
          <w:sz w:val="22"/>
        </w:rPr>
        <w:t>education </w:t>
      </w:r>
      <w:r>
        <w:rPr>
          <w:spacing w:val="-6"/>
          <w:sz w:val="22"/>
        </w:rPr>
        <w:t>later</w:t>
      </w:r>
      <w:r>
        <w:rPr>
          <w:spacing w:val="-10"/>
          <w:sz w:val="22"/>
        </w:rPr>
        <w:t> </w:t>
      </w:r>
      <w:r>
        <w:rPr>
          <w:spacing w:val="-6"/>
          <w:sz w:val="22"/>
        </w:rPr>
        <w:t>in</w:t>
      </w:r>
      <w:r>
        <w:rPr>
          <w:spacing w:val="-8"/>
          <w:sz w:val="22"/>
        </w:rPr>
        <w:t> </w:t>
      </w:r>
      <w:r>
        <w:rPr>
          <w:spacing w:val="-6"/>
          <w:sz w:val="22"/>
        </w:rPr>
        <w:t>life.</w:t>
      </w:r>
      <w:r>
        <w:rPr>
          <w:spacing w:val="-8"/>
          <w:sz w:val="22"/>
        </w:rPr>
        <w:t> </w:t>
      </w:r>
      <w:r>
        <w:rPr>
          <w:spacing w:val="-6"/>
          <w:sz w:val="22"/>
        </w:rPr>
        <w:t>NKC</w:t>
      </w:r>
      <w:r>
        <w:rPr>
          <w:spacing w:val="-7"/>
          <w:sz w:val="22"/>
        </w:rPr>
        <w:t> </w:t>
      </w:r>
      <w:r>
        <w:rPr>
          <w:spacing w:val="-6"/>
          <w:sz w:val="22"/>
        </w:rPr>
        <w:t>believes</w:t>
      </w:r>
      <w:r>
        <w:rPr>
          <w:spacing w:val="-8"/>
          <w:sz w:val="22"/>
        </w:rPr>
        <w:t> </w:t>
      </w:r>
      <w:r>
        <w:rPr>
          <w:spacing w:val="-6"/>
          <w:sz w:val="22"/>
        </w:rPr>
        <w:t>that</w:t>
      </w:r>
      <w:r>
        <w:rPr>
          <w:spacing w:val="-8"/>
          <w:sz w:val="22"/>
        </w:rPr>
        <w:t> </w:t>
      </w:r>
      <w:r>
        <w:rPr>
          <w:spacing w:val="-6"/>
          <w:sz w:val="22"/>
        </w:rPr>
        <w:t>all</w:t>
      </w:r>
      <w:r>
        <w:rPr>
          <w:spacing w:val="-8"/>
          <w:sz w:val="22"/>
        </w:rPr>
        <w:t> </w:t>
      </w:r>
      <w:r>
        <w:rPr>
          <w:spacing w:val="-6"/>
          <w:sz w:val="22"/>
        </w:rPr>
        <w:t>deserving</w:t>
      </w:r>
      <w:r>
        <w:rPr>
          <w:spacing w:val="-7"/>
          <w:sz w:val="22"/>
        </w:rPr>
        <w:t> </w:t>
      </w:r>
      <w:r>
        <w:rPr>
          <w:spacing w:val="-6"/>
          <w:sz w:val="22"/>
        </w:rPr>
        <w:t>students </w:t>
      </w:r>
      <w:r>
        <w:rPr>
          <w:spacing w:val="-4"/>
          <w:sz w:val="22"/>
        </w:rPr>
        <w:t>should</w:t>
      </w:r>
      <w:r>
        <w:rPr>
          <w:spacing w:val="-10"/>
          <w:sz w:val="22"/>
        </w:rPr>
        <w:t> </w:t>
      </w:r>
      <w:r>
        <w:rPr>
          <w:spacing w:val="-4"/>
          <w:sz w:val="22"/>
        </w:rPr>
        <w:t>have</w:t>
      </w:r>
      <w:r>
        <w:rPr>
          <w:spacing w:val="-10"/>
          <w:sz w:val="22"/>
        </w:rPr>
        <w:t> </w:t>
      </w:r>
      <w:r>
        <w:rPr>
          <w:spacing w:val="-4"/>
          <w:sz w:val="22"/>
        </w:rPr>
        <w:t>access</w:t>
      </w:r>
      <w:r>
        <w:rPr>
          <w:spacing w:val="-10"/>
          <w:sz w:val="22"/>
        </w:rPr>
        <w:t> </w:t>
      </w:r>
      <w:r>
        <w:rPr>
          <w:spacing w:val="-4"/>
          <w:sz w:val="22"/>
        </w:rPr>
        <w:t>to</w:t>
      </w:r>
      <w:r>
        <w:rPr>
          <w:spacing w:val="-9"/>
          <w:sz w:val="22"/>
        </w:rPr>
        <w:t> </w:t>
      </w:r>
      <w:r>
        <w:rPr>
          <w:spacing w:val="-4"/>
          <w:sz w:val="22"/>
        </w:rPr>
        <w:t>higher</w:t>
      </w:r>
      <w:r>
        <w:rPr>
          <w:spacing w:val="-10"/>
          <w:sz w:val="22"/>
        </w:rPr>
        <w:t> </w:t>
      </w:r>
      <w:r>
        <w:rPr>
          <w:spacing w:val="-4"/>
          <w:sz w:val="22"/>
        </w:rPr>
        <w:t>education,</w:t>
      </w:r>
      <w:r>
        <w:rPr>
          <w:spacing w:val="-10"/>
          <w:sz w:val="22"/>
        </w:rPr>
        <w:t> </w:t>
      </w:r>
      <w:r>
        <w:rPr>
          <w:spacing w:val="-4"/>
          <w:sz w:val="22"/>
        </w:rPr>
        <w:t>irrespective </w:t>
      </w:r>
      <w:r>
        <w:rPr>
          <w:sz w:val="22"/>
        </w:rPr>
        <w:t>of</w:t>
      </w:r>
      <w:r>
        <w:rPr>
          <w:spacing w:val="32"/>
          <w:sz w:val="22"/>
        </w:rPr>
        <w:t> </w:t>
      </w:r>
      <w:r>
        <w:rPr>
          <w:sz w:val="22"/>
        </w:rPr>
        <w:t>their</w:t>
      </w:r>
      <w:r>
        <w:rPr>
          <w:spacing w:val="32"/>
          <w:sz w:val="22"/>
        </w:rPr>
        <w:t> </w:t>
      </w:r>
      <w:r>
        <w:rPr>
          <w:sz w:val="22"/>
        </w:rPr>
        <w:t>socio-economic</w:t>
      </w:r>
      <w:r>
        <w:rPr>
          <w:spacing w:val="32"/>
          <w:sz w:val="22"/>
        </w:rPr>
        <w:t> </w:t>
      </w:r>
      <w:r>
        <w:rPr>
          <w:sz w:val="22"/>
        </w:rPr>
        <w:t>background.</w:t>
      </w:r>
      <w:r>
        <w:rPr>
          <w:spacing w:val="29"/>
          <w:sz w:val="22"/>
        </w:rPr>
        <w:t> </w:t>
      </w:r>
      <w:r>
        <w:rPr>
          <w:sz w:val="22"/>
        </w:rPr>
        <w:t>While</w:t>
      </w:r>
      <w:r>
        <w:rPr>
          <w:spacing w:val="32"/>
          <w:sz w:val="22"/>
        </w:rPr>
        <w:t> </w:t>
      </w:r>
      <w:r>
        <w:rPr>
          <w:spacing w:val="-5"/>
          <w:sz w:val="22"/>
        </w:rPr>
        <w:t>the</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440"/>
        <w:jc w:val="both"/>
      </w:pPr>
      <w:r>
        <w:rPr>
          <w:spacing w:val="-4"/>
        </w:rPr>
        <w:t>government</w:t>
      </w:r>
      <w:r>
        <w:rPr>
          <w:spacing w:val="-10"/>
        </w:rPr>
        <w:t> </w:t>
      </w:r>
      <w:r>
        <w:rPr>
          <w:spacing w:val="-4"/>
        </w:rPr>
        <w:t>heavily</w:t>
      </w:r>
      <w:r>
        <w:rPr>
          <w:spacing w:val="-10"/>
        </w:rPr>
        <w:t> </w:t>
      </w:r>
      <w:r>
        <w:rPr>
          <w:spacing w:val="-4"/>
        </w:rPr>
        <w:t>subsidises</w:t>
      </w:r>
      <w:r>
        <w:rPr>
          <w:spacing w:val="-10"/>
        </w:rPr>
        <w:t> </w:t>
      </w:r>
      <w:r>
        <w:rPr>
          <w:spacing w:val="-4"/>
        </w:rPr>
        <w:t>university</w:t>
      </w:r>
      <w:r>
        <w:rPr>
          <w:spacing w:val="-9"/>
        </w:rPr>
        <w:t> </w:t>
      </w:r>
      <w:r>
        <w:rPr>
          <w:spacing w:val="-4"/>
        </w:rPr>
        <w:t>education </w:t>
      </w:r>
      <w:r>
        <w:rPr/>
        <w:t>by</w:t>
      </w:r>
      <w:r>
        <w:rPr>
          <w:spacing w:val="-1"/>
        </w:rPr>
        <w:t> </w:t>
      </w:r>
      <w:r>
        <w:rPr/>
        <w:t>keeping</w:t>
      </w:r>
      <w:r>
        <w:rPr>
          <w:spacing w:val="-1"/>
        </w:rPr>
        <w:t> </w:t>
      </w:r>
      <w:r>
        <w:rPr/>
        <w:t>fees</w:t>
      </w:r>
      <w:r>
        <w:rPr>
          <w:spacing w:val="-1"/>
        </w:rPr>
        <w:t> </w:t>
      </w:r>
      <w:r>
        <w:rPr/>
        <w:t>low,</w:t>
      </w:r>
      <w:r>
        <w:rPr>
          <w:spacing w:val="-1"/>
        </w:rPr>
        <w:t> </w:t>
      </w:r>
      <w:r>
        <w:rPr/>
        <w:t>there</w:t>
      </w:r>
      <w:r>
        <w:rPr>
          <w:spacing w:val="-1"/>
        </w:rPr>
        <w:t> </w:t>
      </w:r>
      <w:r>
        <w:rPr/>
        <w:t>is</w:t>
      </w:r>
      <w:r>
        <w:rPr>
          <w:spacing w:val="-1"/>
        </w:rPr>
        <w:t> </w:t>
      </w:r>
      <w:r>
        <w:rPr/>
        <w:t>better</w:t>
      </w:r>
      <w:r>
        <w:rPr>
          <w:spacing w:val="-1"/>
        </w:rPr>
        <w:t> </w:t>
      </w:r>
      <w:r>
        <w:rPr/>
        <w:t>value</w:t>
      </w:r>
      <w:r>
        <w:rPr>
          <w:spacing w:val="-1"/>
        </w:rPr>
        <w:t> </w:t>
      </w:r>
      <w:r>
        <w:rPr/>
        <w:t>created for this subsidisation by ensuring well funded scholarships</w:t>
      </w:r>
      <w:r>
        <w:rPr>
          <w:spacing w:val="-14"/>
        </w:rPr>
        <w:t> </w:t>
      </w:r>
      <w:r>
        <w:rPr/>
        <w:t>and</w:t>
      </w:r>
      <w:r>
        <w:rPr>
          <w:spacing w:val="-14"/>
        </w:rPr>
        <w:t> </w:t>
      </w:r>
      <w:r>
        <w:rPr/>
        <w:t>affirmative</w:t>
      </w:r>
      <w:r>
        <w:rPr>
          <w:spacing w:val="-13"/>
        </w:rPr>
        <w:t> </w:t>
      </w:r>
      <w:r>
        <w:rPr/>
        <w:t>action</w:t>
      </w:r>
      <w:r>
        <w:rPr>
          <w:spacing w:val="-14"/>
        </w:rPr>
        <w:t> </w:t>
      </w:r>
      <w:r>
        <w:rPr/>
        <w:t>that</w:t>
      </w:r>
      <w:r>
        <w:rPr>
          <w:spacing w:val="-14"/>
        </w:rPr>
        <w:t> </w:t>
      </w:r>
      <w:r>
        <w:rPr/>
        <w:t>takes</w:t>
      </w:r>
      <w:r>
        <w:rPr>
          <w:spacing w:val="-13"/>
        </w:rPr>
        <w:t> </w:t>
      </w:r>
      <w:r>
        <w:rPr/>
        <w:t>into account the multi dimensionality of deprivation.</w:t>
      </w:r>
    </w:p>
    <w:p>
      <w:pPr>
        <w:pStyle w:val="BodyText"/>
        <w:spacing w:before="23"/>
      </w:pPr>
    </w:p>
    <w:p>
      <w:pPr>
        <w:pStyle w:val="ListParagraph"/>
        <w:numPr>
          <w:ilvl w:val="1"/>
          <w:numId w:val="6"/>
        </w:numPr>
        <w:tabs>
          <w:tab w:pos="1439" w:val="left" w:leader="none"/>
        </w:tabs>
        <w:spacing w:line="266" w:lineRule="auto" w:before="0" w:after="0"/>
        <w:ind w:left="1439" w:right="0" w:hanging="360"/>
        <w:jc w:val="both"/>
        <w:rPr>
          <w:sz w:val="22"/>
        </w:rPr>
      </w:pPr>
      <w:r>
        <w:rPr>
          <w:b/>
          <w:sz w:val="22"/>
        </w:rPr>
        <w:t>More</w:t>
      </w:r>
      <w:r>
        <w:rPr>
          <w:b/>
          <w:spacing w:val="-14"/>
          <w:sz w:val="22"/>
        </w:rPr>
        <w:t> </w:t>
      </w:r>
      <w:r>
        <w:rPr>
          <w:b/>
          <w:sz w:val="22"/>
        </w:rPr>
        <w:t>Talented</w:t>
      </w:r>
      <w:r>
        <w:rPr>
          <w:b/>
          <w:spacing w:val="-14"/>
          <w:sz w:val="22"/>
        </w:rPr>
        <w:t> </w:t>
      </w:r>
      <w:r>
        <w:rPr>
          <w:b/>
          <w:sz w:val="22"/>
        </w:rPr>
        <w:t>Students</w:t>
      </w:r>
      <w:r>
        <w:rPr>
          <w:b/>
          <w:spacing w:val="-14"/>
          <w:sz w:val="22"/>
        </w:rPr>
        <w:t> </w:t>
      </w:r>
      <w:r>
        <w:rPr>
          <w:b/>
          <w:sz w:val="22"/>
        </w:rPr>
        <w:t>in</w:t>
      </w:r>
      <w:r>
        <w:rPr>
          <w:b/>
          <w:spacing w:val="-13"/>
          <w:sz w:val="22"/>
        </w:rPr>
        <w:t> </w:t>
      </w:r>
      <w:r>
        <w:rPr>
          <w:b/>
          <w:sz w:val="22"/>
        </w:rPr>
        <w:t>Maths</w:t>
      </w:r>
      <w:r>
        <w:rPr>
          <w:b/>
          <w:spacing w:val="-14"/>
          <w:sz w:val="22"/>
        </w:rPr>
        <w:t> </w:t>
      </w:r>
      <w:r>
        <w:rPr>
          <w:b/>
          <w:sz w:val="22"/>
        </w:rPr>
        <w:t>and</w:t>
      </w:r>
      <w:r>
        <w:rPr>
          <w:b/>
          <w:spacing w:val="-14"/>
          <w:sz w:val="22"/>
        </w:rPr>
        <w:t> </w:t>
      </w:r>
      <w:r>
        <w:rPr>
          <w:b/>
          <w:sz w:val="22"/>
        </w:rPr>
        <w:t>Science: </w:t>
      </w:r>
      <w:r>
        <w:rPr>
          <w:sz w:val="22"/>
        </w:rPr>
        <w:t>To rejuvenate science education and research in the country NKC considers it crucial to attract </w:t>
      </w:r>
      <w:r>
        <w:rPr>
          <w:spacing w:val="-2"/>
          <w:sz w:val="22"/>
        </w:rPr>
        <w:t>more</w:t>
      </w:r>
      <w:r>
        <w:rPr>
          <w:spacing w:val="-7"/>
          <w:sz w:val="22"/>
        </w:rPr>
        <w:t> </w:t>
      </w:r>
      <w:r>
        <w:rPr>
          <w:spacing w:val="-2"/>
          <w:sz w:val="22"/>
        </w:rPr>
        <w:t>students</w:t>
      </w:r>
      <w:r>
        <w:rPr>
          <w:spacing w:val="-6"/>
          <w:sz w:val="22"/>
        </w:rPr>
        <w:t> </w:t>
      </w:r>
      <w:r>
        <w:rPr>
          <w:spacing w:val="-2"/>
          <w:sz w:val="22"/>
        </w:rPr>
        <w:t>in</w:t>
      </w:r>
      <w:r>
        <w:rPr>
          <w:spacing w:val="-6"/>
          <w:sz w:val="22"/>
        </w:rPr>
        <w:t> </w:t>
      </w:r>
      <w:r>
        <w:rPr>
          <w:spacing w:val="-2"/>
          <w:sz w:val="22"/>
        </w:rPr>
        <w:t>maths</w:t>
      </w:r>
      <w:r>
        <w:rPr>
          <w:spacing w:val="-6"/>
          <w:sz w:val="22"/>
        </w:rPr>
        <w:t> </w:t>
      </w:r>
      <w:r>
        <w:rPr>
          <w:spacing w:val="-2"/>
          <w:sz w:val="22"/>
        </w:rPr>
        <w:t>and</w:t>
      </w:r>
      <w:r>
        <w:rPr>
          <w:spacing w:val="-6"/>
          <w:sz w:val="22"/>
        </w:rPr>
        <w:t> </w:t>
      </w:r>
      <w:r>
        <w:rPr>
          <w:spacing w:val="-2"/>
          <w:sz w:val="22"/>
        </w:rPr>
        <w:t>science.</w:t>
      </w:r>
      <w:r>
        <w:rPr>
          <w:spacing w:val="-12"/>
          <w:sz w:val="22"/>
        </w:rPr>
        <w:t> </w:t>
      </w:r>
      <w:r>
        <w:rPr>
          <w:spacing w:val="-2"/>
          <w:sz w:val="22"/>
        </w:rPr>
        <w:t>To</w:t>
      </w:r>
      <w:r>
        <w:rPr>
          <w:spacing w:val="-6"/>
          <w:sz w:val="22"/>
        </w:rPr>
        <w:t> </w:t>
      </w:r>
      <w:r>
        <w:rPr>
          <w:spacing w:val="-2"/>
          <w:sz w:val="22"/>
        </w:rPr>
        <w:t>encourage </w:t>
      </w:r>
      <w:r>
        <w:rPr>
          <w:sz w:val="22"/>
        </w:rPr>
        <w:t>this,</w:t>
      </w:r>
      <w:r>
        <w:rPr>
          <w:spacing w:val="-14"/>
          <w:sz w:val="22"/>
        </w:rPr>
        <w:t> </w:t>
      </w:r>
      <w:r>
        <w:rPr>
          <w:sz w:val="22"/>
        </w:rPr>
        <w:t>NKC</w:t>
      </w:r>
      <w:r>
        <w:rPr>
          <w:spacing w:val="-14"/>
          <w:sz w:val="22"/>
        </w:rPr>
        <w:t> </w:t>
      </w:r>
      <w:r>
        <w:rPr>
          <w:sz w:val="22"/>
        </w:rPr>
        <w:t>has</w:t>
      </w:r>
      <w:r>
        <w:rPr>
          <w:spacing w:val="-14"/>
          <w:sz w:val="22"/>
        </w:rPr>
        <w:t> </w:t>
      </w:r>
      <w:r>
        <w:rPr>
          <w:sz w:val="22"/>
        </w:rPr>
        <w:t>recommended</w:t>
      </w:r>
      <w:r>
        <w:rPr>
          <w:spacing w:val="-13"/>
          <w:sz w:val="22"/>
        </w:rPr>
        <w:t> </w:t>
      </w:r>
      <w:r>
        <w:rPr>
          <w:sz w:val="22"/>
        </w:rPr>
        <w:t>launching</w:t>
      </w:r>
      <w:r>
        <w:rPr>
          <w:spacing w:val="-14"/>
          <w:sz w:val="22"/>
        </w:rPr>
        <w:t> </w:t>
      </w:r>
      <w:r>
        <w:rPr>
          <w:sz w:val="22"/>
        </w:rPr>
        <w:t>a</w:t>
      </w:r>
      <w:r>
        <w:rPr>
          <w:spacing w:val="-14"/>
          <w:sz w:val="22"/>
        </w:rPr>
        <w:t> </w:t>
      </w:r>
      <w:r>
        <w:rPr>
          <w:sz w:val="22"/>
        </w:rPr>
        <w:t>massive science outreach program, upgrading available </w:t>
      </w:r>
      <w:r>
        <w:rPr>
          <w:spacing w:val="-2"/>
          <w:sz w:val="22"/>
        </w:rPr>
        <w:t>infrastructure,</w:t>
      </w:r>
      <w:r>
        <w:rPr>
          <w:spacing w:val="-2"/>
          <w:sz w:val="22"/>
        </w:rPr>
        <w:t> revitalising</w:t>
      </w:r>
      <w:r>
        <w:rPr>
          <w:spacing w:val="-2"/>
          <w:sz w:val="22"/>
        </w:rPr>
        <w:t> the</w:t>
      </w:r>
      <w:r>
        <w:rPr>
          <w:spacing w:val="-2"/>
          <w:sz w:val="22"/>
        </w:rPr>
        <w:t> teaching</w:t>
      </w:r>
      <w:r>
        <w:rPr>
          <w:spacing w:val="-2"/>
          <w:sz w:val="22"/>
        </w:rPr>
        <w:t> profession </w:t>
      </w:r>
      <w:r>
        <w:rPr>
          <w:sz w:val="22"/>
        </w:rPr>
        <w:t>and</w:t>
      </w:r>
      <w:r>
        <w:rPr>
          <w:spacing w:val="-4"/>
          <w:sz w:val="22"/>
        </w:rPr>
        <w:t> </w:t>
      </w:r>
      <w:r>
        <w:rPr>
          <w:sz w:val="22"/>
        </w:rPr>
        <w:t>revamping</w:t>
      </w:r>
      <w:r>
        <w:rPr>
          <w:spacing w:val="-4"/>
          <w:sz w:val="22"/>
        </w:rPr>
        <w:t> </w:t>
      </w:r>
      <w:r>
        <w:rPr>
          <w:sz w:val="22"/>
        </w:rPr>
        <w:t>teacher</w:t>
      </w:r>
      <w:r>
        <w:rPr>
          <w:spacing w:val="-4"/>
          <w:sz w:val="22"/>
        </w:rPr>
        <w:t> </w:t>
      </w:r>
      <w:r>
        <w:rPr>
          <w:sz w:val="22"/>
        </w:rPr>
        <w:t>training</w:t>
      </w:r>
      <w:r>
        <w:rPr>
          <w:spacing w:val="-4"/>
          <w:sz w:val="22"/>
        </w:rPr>
        <w:t> </w:t>
      </w:r>
      <w:r>
        <w:rPr>
          <w:sz w:val="22"/>
        </w:rPr>
        <w:t>at</w:t>
      </w:r>
      <w:r>
        <w:rPr>
          <w:spacing w:val="-4"/>
          <w:sz w:val="22"/>
        </w:rPr>
        <w:t> </w:t>
      </w:r>
      <w:r>
        <w:rPr>
          <w:sz w:val="22"/>
        </w:rPr>
        <w:t>all</w:t>
      </w:r>
      <w:r>
        <w:rPr>
          <w:spacing w:val="-4"/>
          <w:sz w:val="22"/>
        </w:rPr>
        <w:t> </w:t>
      </w:r>
      <w:r>
        <w:rPr>
          <w:sz w:val="22"/>
        </w:rPr>
        <w:t>levels.</w:t>
      </w:r>
    </w:p>
    <w:p>
      <w:pPr>
        <w:pStyle w:val="BodyText"/>
        <w:spacing w:before="21"/>
      </w:pPr>
    </w:p>
    <w:p>
      <w:pPr>
        <w:pStyle w:val="ListParagraph"/>
        <w:numPr>
          <w:ilvl w:val="1"/>
          <w:numId w:val="6"/>
        </w:numPr>
        <w:tabs>
          <w:tab w:pos="1439" w:val="left" w:leader="none"/>
        </w:tabs>
        <w:spacing w:line="266" w:lineRule="auto" w:before="0" w:after="0"/>
        <w:ind w:left="1439" w:right="0" w:hanging="360"/>
        <w:jc w:val="both"/>
        <w:rPr>
          <w:sz w:val="22"/>
        </w:rPr>
      </w:pPr>
      <w:r>
        <w:rPr>
          <w:b/>
          <w:w w:val="90"/>
          <w:sz w:val="22"/>
        </w:rPr>
        <w:t>Professional Education: </w:t>
      </w:r>
      <w:r>
        <w:rPr>
          <w:w w:val="90"/>
          <w:sz w:val="22"/>
        </w:rPr>
        <w:t>The professional </w:t>
      </w:r>
      <w:r>
        <w:rPr>
          <w:w w:val="90"/>
          <w:sz w:val="22"/>
        </w:rPr>
        <w:t>education </w:t>
      </w:r>
      <w:r>
        <w:rPr>
          <w:spacing w:val="-2"/>
          <w:sz w:val="22"/>
        </w:rPr>
        <w:t>streams</w:t>
      </w:r>
      <w:r>
        <w:rPr>
          <w:spacing w:val="-8"/>
          <w:sz w:val="22"/>
        </w:rPr>
        <w:t> </w:t>
      </w:r>
      <w:r>
        <w:rPr>
          <w:spacing w:val="-2"/>
          <w:sz w:val="22"/>
        </w:rPr>
        <w:t>are</w:t>
      </w:r>
      <w:r>
        <w:rPr>
          <w:spacing w:val="-8"/>
          <w:sz w:val="22"/>
        </w:rPr>
        <w:t> </w:t>
      </w:r>
      <w:r>
        <w:rPr>
          <w:spacing w:val="-2"/>
          <w:sz w:val="22"/>
        </w:rPr>
        <w:t>plagued</w:t>
      </w:r>
      <w:r>
        <w:rPr>
          <w:spacing w:val="-8"/>
          <w:sz w:val="22"/>
        </w:rPr>
        <w:t> </w:t>
      </w:r>
      <w:r>
        <w:rPr>
          <w:spacing w:val="-2"/>
          <w:sz w:val="22"/>
        </w:rPr>
        <w:t>by</w:t>
      </w:r>
      <w:r>
        <w:rPr>
          <w:spacing w:val="-8"/>
          <w:sz w:val="22"/>
        </w:rPr>
        <w:t> </w:t>
      </w:r>
      <w:r>
        <w:rPr>
          <w:spacing w:val="-2"/>
          <w:sz w:val="22"/>
        </w:rPr>
        <w:t>the</w:t>
      </w:r>
      <w:r>
        <w:rPr>
          <w:spacing w:val="-8"/>
          <w:sz w:val="22"/>
        </w:rPr>
        <w:t> </w:t>
      </w:r>
      <w:r>
        <w:rPr>
          <w:spacing w:val="-2"/>
          <w:sz w:val="22"/>
        </w:rPr>
        <w:t>problems</w:t>
      </w:r>
      <w:r>
        <w:rPr>
          <w:spacing w:val="-8"/>
          <w:sz w:val="22"/>
        </w:rPr>
        <w:t> </w:t>
      </w:r>
      <w:r>
        <w:rPr>
          <w:spacing w:val="-2"/>
          <w:sz w:val="22"/>
        </w:rPr>
        <w:t>similar</w:t>
      </w:r>
      <w:r>
        <w:rPr>
          <w:spacing w:val="-8"/>
          <w:sz w:val="22"/>
        </w:rPr>
        <w:t> </w:t>
      </w:r>
      <w:r>
        <w:rPr>
          <w:spacing w:val="-2"/>
          <w:sz w:val="22"/>
        </w:rPr>
        <w:t>to</w:t>
      </w:r>
      <w:r>
        <w:rPr>
          <w:spacing w:val="-8"/>
          <w:sz w:val="22"/>
        </w:rPr>
        <w:t> </w:t>
      </w:r>
      <w:r>
        <w:rPr>
          <w:spacing w:val="-2"/>
          <w:sz w:val="22"/>
        </w:rPr>
        <w:t>the </w:t>
      </w:r>
      <w:r>
        <w:rPr>
          <w:sz w:val="22"/>
        </w:rPr>
        <w:t>higher</w:t>
      </w:r>
      <w:r>
        <w:rPr>
          <w:spacing w:val="-14"/>
          <w:sz w:val="22"/>
        </w:rPr>
        <w:t> </w:t>
      </w:r>
      <w:r>
        <w:rPr>
          <w:sz w:val="22"/>
        </w:rPr>
        <w:t>education</w:t>
      </w:r>
      <w:r>
        <w:rPr>
          <w:spacing w:val="-14"/>
          <w:sz w:val="22"/>
        </w:rPr>
        <w:t> </w:t>
      </w:r>
      <w:r>
        <w:rPr>
          <w:sz w:val="22"/>
        </w:rPr>
        <w:t>system.</w:t>
      </w:r>
      <w:r>
        <w:rPr>
          <w:spacing w:val="-13"/>
          <w:sz w:val="22"/>
        </w:rPr>
        <w:t> </w:t>
      </w:r>
      <w:r>
        <w:rPr>
          <w:sz w:val="22"/>
        </w:rPr>
        <w:t>NKC</w:t>
      </w:r>
      <w:r>
        <w:rPr>
          <w:spacing w:val="-14"/>
          <w:sz w:val="22"/>
        </w:rPr>
        <w:t> </w:t>
      </w:r>
      <w:r>
        <w:rPr>
          <w:sz w:val="22"/>
        </w:rPr>
        <w:t>has</w:t>
      </w:r>
      <w:r>
        <w:rPr>
          <w:spacing w:val="-14"/>
          <w:sz w:val="22"/>
        </w:rPr>
        <w:t> </w:t>
      </w:r>
      <w:r>
        <w:rPr>
          <w:sz w:val="22"/>
        </w:rPr>
        <w:t>recommended that the present regime of regulation in all </w:t>
      </w:r>
      <w:r>
        <w:rPr>
          <w:spacing w:val="-2"/>
          <w:sz w:val="22"/>
        </w:rPr>
        <w:t>professional</w:t>
      </w:r>
      <w:r>
        <w:rPr>
          <w:spacing w:val="-6"/>
          <w:sz w:val="22"/>
        </w:rPr>
        <w:t> </w:t>
      </w:r>
      <w:r>
        <w:rPr>
          <w:spacing w:val="-2"/>
          <w:sz w:val="22"/>
        </w:rPr>
        <w:t>education</w:t>
      </w:r>
      <w:r>
        <w:rPr>
          <w:spacing w:val="-6"/>
          <w:sz w:val="22"/>
        </w:rPr>
        <w:t> </w:t>
      </w:r>
      <w:r>
        <w:rPr>
          <w:spacing w:val="-2"/>
          <w:sz w:val="22"/>
        </w:rPr>
        <w:t>streams</w:t>
      </w:r>
      <w:r>
        <w:rPr>
          <w:spacing w:val="-6"/>
          <w:sz w:val="22"/>
        </w:rPr>
        <w:t> </w:t>
      </w:r>
      <w:r>
        <w:rPr>
          <w:spacing w:val="-2"/>
          <w:sz w:val="22"/>
        </w:rPr>
        <w:t>including</w:t>
      </w:r>
      <w:r>
        <w:rPr>
          <w:spacing w:val="-4"/>
          <w:sz w:val="22"/>
        </w:rPr>
        <w:t> </w:t>
      </w:r>
      <w:r>
        <w:rPr>
          <w:spacing w:val="-2"/>
          <w:sz w:val="22"/>
        </w:rPr>
        <w:t>medical, </w:t>
      </w:r>
      <w:r>
        <w:rPr>
          <w:sz w:val="22"/>
        </w:rPr>
        <w:t>legal,</w:t>
      </w:r>
      <w:r>
        <w:rPr>
          <w:spacing w:val="-13"/>
          <w:sz w:val="22"/>
        </w:rPr>
        <w:t> </w:t>
      </w:r>
      <w:r>
        <w:rPr>
          <w:sz w:val="22"/>
        </w:rPr>
        <w:t>management</w:t>
      </w:r>
      <w:r>
        <w:rPr>
          <w:spacing w:val="-13"/>
          <w:sz w:val="22"/>
        </w:rPr>
        <w:t> </w:t>
      </w:r>
      <w:r>
        <w:rPr>
          <w:sz w:val="22"/>
        </w:rPr>
        <w:t>and</w:t>
      </w:r>
      <w:r>
        <w:rPr>
          <w:spacing w:val="-13"/>
          <w:sz w:val="22"/>
        </w:rPr>
        <w:t> </w:t>
      </w:r>
      <w:r>
        <w:rPr>
          <w:sz w:val="22"/>
        </w:rPr>
        <w:t>engineering</w:t>
      </w:r>
      <w:r>
        <w:rPr>
          <w:spacing w:val="-13"/>
          <w:sz w:val="22"/>
        </w:rPr>
        <w:t> </w:t>
      </w:r>
      <w:r>
        <w:rPr>
          <w:sz w:val="22"/>
        </w:rPr>
        <w:t>education,</w:t>
      </w:r>
      <w:r>
        <w:rPr>
          <w:spacing w:val="-13"/>
          <w:sz w:val="22"/>
        </w:rPr>
        <w:t> </w:t>
      </w:r>
      <w:r>
        <w:rPr>
          <w:sz w:val="22"/>
        </w:rPr>
        <w:t>be replaced</w:t>
      </w:r>
      <w:r>
        <w:rPr>
          <w:spacing w:val="-10"/>
          <w:sz w:val="22"/>
        </w:rPr>
        <w:t> </w:t>
      </w:r>
      <w:r>
        <w:rPr>
          <w:sz w:val="22"/>
        </w:rPr>
        <w:t>by</w:t>
      </w:r>
      <w:r>
        <w:rPr>
          <w:spacing w:val="-10"/>
          <w:sz w:val="22"/>
        </w:rPr>
        <w:t> </w:t>
      </w:r>
      <w:r>
        <w:rPr>
          <w:sz w:val="22"/>
        </w:rPr>
        <w:t>subgroups</w:t>
      </w:r>
      <w:r>
        <w:rPr>
          <w:spacing w:val="-10"/>
          <w:sz w:val="22"/>
        </w:rPr>
        <w:t> </w:t>
      </w:r>
      <w:r>
        <w:rPr>
          <w:sz w:val="22"/>
        </w:rPr>
        <w:t>on</w:t>
      </w:r>
      <w:r>
        <w:rPr>
          <w:spacing w:val="-10"/>
          <w:sz w:val="22"/>
        </w:rPr>
        <w:t> </w:t>
      </w:r>
      <w:r>
        <w:rPr>
          <w:sz w:val="22"/>
        </w:rPr>
        <w:t>different</w:t>
      </w:r>
      <w:r>
        <w:rPr>
          <w:spacing w:val="-10"/>
          <w:sz w:val="22"/>
        </w:rPr>
        <w:t> </w:t>
      </w:r>
      <w:r>
        <w:rPr>
          <w:sz w:val="22"/>
        </w:rPr>
        <w:t>streams</w:t>
      </w:r>
      <w:r>
        <w:rPr>
          <w:spacing w:val="-10"/>
          <w:sz w:val="22"/>
        </w:rPr>
        <w:t> </w:t>
      </w:r>
      <w:r>
        <w:rPr>
          <w:sz w:val="22"/>
        </w:rPr>
        <w:t>under the proposed independent regulator. This would have</w:t>
      </w:r>
      <w:r>
        <w:rPr>
          <w:spacing w:val="-4"/>
          <w:sz w:val="22"/>
        </w:rPr>
        <w:t> </w:t>
      </w:r>
      <w:r>
        <w:rPr>
          <w:sz w:val="22"/>
        </w:rPr>
        <w:t>to</w:t>
      </w:r>
      <w:r>
        <w:rPr>
          <w:spacing w:val="-4"/>
          <w:sz w:val="22"/>
        </w:rPr>
        <w:t> </w:t>
      </w:r>
      <w:r>
        <w:rPr>
          <w:sz w:val="22"/>
        </w:rPr>
        <w:t>be</w:t>
      </w:r>
      <w:r>
        <w:rPr>
          <w:spacing w:val="-4"/>
          <w:sz w:val="22"/>
        </w:rPr>
        <w:t> </w:t>
      </w:r>
      <w:r>
        <w:rPr>
          <w:sz w:val="22"/>
        </w:rPr>
        <w:t>accompanied</w:t>
      </w:r>
      <w:r>
        <w:rPr>
          <w:spacing w:val="-4"/>
          <w:sz w:val="22"/>
        </w:rPr>
        <w:t> </w:t>
      </w:r>
      <w:r>
        <w:rPr>
          <w:sz w:val="22"/>
        </w:rPr>
        <w:t>by</w:t>
      </w:r>
      <w:r>
        <w:rPr>
          <w:spacing w:val="-4"/>
          <w:sz w:val="22"/>
        </w:rPr>
        <w:t> </w:t>
      </w:r>
      <w:r>
        <w:rPr>
          <w:sz w:val="22"/>
        </w:rPr>
        <w:t>independent</w:t>
      </w:r>
      <w:r>
        <w:rPr>
          <w:spacing w:val="-4"/>
          <w:sz w:val="22"/>
        </w:rPr>
        <w:t> </w:t>
      </w:r>
      <w:r>
        <w:rPr>
          <w:sz w:val="22"/>
        </w:rPr>
        <w:t>multiple </w:t>
      </w:r>
      <w:r>
        <w:rPr>
          <w:spacing w:val="-4"/>
          <w:sz w:val="22"/>
        </w:rPr>
        <w:t>accreditation agencies that provide reliable ratings. </w:t>
      </w:r>
      <w:r>
        <w:rPr>
          <w:sz w:val="22"/>
        </w:rPr>
        <w:t>Other measures for improving professional education include allowing greater autonomy to institutions, reforming the current examination system, developing contemporary curricula and encouraging research.</w:t>
      </w:r>
    </w:p>
    <w:p>
      <w:pPr>
        <w:pStyle w:val="BodyText"/>
        <w:spacing w:before="15"/>
      </w:pPr>
    </w:p>
    <w:p>
      <w:pPr>
        <w:pStyle w:val="ListParagraph"/>
        <w:numPr>
          <w:ilvl w:val="1"/>
          <w:numId w:val="6"/>
        </w:numPr>
        <w:tabs>
          <w:tab w:pos="1439" w:val="left" w:leader="none"/>
        </w:tabs>
        <w:spacing w:line="266" w:lineRule="auto" w:before="0" w:after="0"/>
        <w:ind w:left="1439" w:right="0" w:hanging="360"/>
        <w:jc w:val="both"/>
        <w:rPr>
          <w:sz w:val="22"/>
        </w:rPr>
      </w:pPr>
      <w:r>
        <w:rPr>
          <w:b/>
          <w:sz w:val="22"/>
        </w:rPr>
        <w:t>More</w:t>
      </w:r>
      <w:r>
        <w:rPr>
          <w:b/>
          <w:spacing w:val="-14"/>
          <w:sz w:val="22"/>
        </w:rPr>
        <w:t> </w:t>
      </w:r>
      <w:r>
        <w:rPr>
          <w:b/>
          <w:sz w:val="22"/>
        </w:rPr>
        <w:t>Quality</w:t>
      </w:r>
      <w:r>
        <w:rPr>
          <w:b/>
          <w:spacing w:val="-11"/>
          <w:sz w:val="22"/>
        </w:rPr>
        <w:t> </w:t>
      </w:r>
      <w:r>
        <w:rPr>
          <w:b/>
          <w:sz w:val="22"/>
        </w:rPr>
        <w:t>Ph.Ds:</w:t>
      </w:r>
      <w:r>
        <w:rPr>
          <w:b/>
          <w:spacing w:val="-14"/>
          <w:sz w:val="22"/>
        </w:rPr>
        <w:t> </w:t>
      </w:r>
      <w:r>
        <w:rPr>
          <w:sz w:val="22"/>
        </w:rPr>
        <w:t>To</w:t>
      </w:r>
      <w:r>
        <w:rPr>
          <w:spacing w:val="-12"/>
          <w:sz w:val="22"/>
        </w:rPr>
        <w:t> </w:t>
      </w:r>
      <w:r>
        <w:rPr>
          <w:sz w:val="22"/>
        </w:rPr>
        <w:t>invigorate</w:t>
      </w:r>
      <w:r>
        <w:rPr>
          <w:spacing w:val="-12"/>
          <w:sz w:val="22"/>
        </w:rPr>
        <w:t> </w:t>
      </w:r>
      <w:r>
        <w:rPr>
          <w:sz w:val="22"/>
        </w:rPr>
        <w:t>research</w:t>
      </w:r>
      <w:r>
        <w:rPr>
          <w:spacing w:val="-12"/>
          <w:sz w:val="22"/>
        </w:rPr>
        <w:t> </w:t>
      </w:r>
      <w:r>
        <w:rPr>
          <w:sz w:val="22"/>
        </w:rPr>
        <w:t>and </w:t>
      </w:r>
      <w:r>
        <w:rPr>
          <w:spacing w:val="-8"/>
          <w:sz w:val="22"/>
        </w:rPr>
        <w:t>development</w:t>
      </w:r>
      <w:r>
        <w:rPr>
          <w:spacing w:val="-3"/>
          <w:sz w:val="22"/>
        </w:rPr>
        <w:t> </w:t>
      </w:r>
      <w:r>
        <w:rPr>
          <w:spacing w:val="-8"/>
          <w:sz w:val="22"/>
        </w:rPr>
        <w:t>in</w:t>
      </w:r>
      <w:r>
        <w:rPr>
          <w:spacing w:val="-3"/>
          <w:sz w:val="22"/>
        </w:rPr>
        <w:t> </w:t>
      </w:r>
      <w:r>
        <w:rPr>
          <w:spacing w:val="-8"/>
          <w:sz w:val="22"/>
        </w:rPr>
        <w:t>the</w:t>
      </w:r>
      <w:r>
        <w:rPr>
          <w:spacing w:val="-3"/>
          <w:sz w:val="22"/>
        </w:rPr>
        <w:t> </w:t>
      </w:r>
      <w:r>
        <w:rPr>
          <w:spacing w:val="-8"/>
          <w:sz w:val="22"/>
        </w:rPr>
        <w:t>country,</w:t>
      </w:r>
      <w:r>
        <w:rPr>
          <w:spacing w:val="-3"/>
          <w:sz w:val="22"/>
        </w:rPr>
        <w:t> </w:t>
      </w:r>
      <w:r>
        <w:rPr>
          <w:spacing w:val="-8"/>
          <w:sz w:val="22"/>
        </w:rPr>
        <w:t>NKC</w:t>
      </w:r>
      <w:r>
        <w:rPr>
          <w:spacing w:val="-3"/>
          <w:sz w:val="22"/>
        </w:rPr>
        <w:t> </w:t>
      </w:r>
      <w:r>
        <w:rPr>
          <w:spacing w:val="-8"/>
          <w:sz w:val="22"/>
        </w:rPr>
        <w:t>has</w:t>
      </w:r>
      <w:r>
        <w:rPr>
          <w:spacing w:val="-3"/>
          <w:sz w:val="22"/>
        </w:rPr>
        <w:t> </w:t>
      </w:r>
      <w:r>
        <w:rPr>
          <w:spacing w:val="-8"/>
          <w:sz w:val="22"/>
        </w:rPr>
        <w:t>recommended </w:t>
      </w:r>
      <w:r>
        <w:rPr>
          <w:sz w:val="22"/>
        </w:rPr>
        <w:t>steps to improve the quality of Ph.Ds. It </w:t>
      </w:r>
      <w:r>
        <w:rPr>
          <w:sz w:val="22"/>
        </w:rPr>
        <w:t>has suggested massive investment in education and </w:t>
      </w:r>
      <w:r>
        <w:rPr>
          <w:spacing w:val="-2"/>
          <w:sz w:val="22"/>
        </w:rPr>
        <w:t>research</w:t>
      </w:r>
      <w:r>
        <w:rPr>
          <w:spacing w:val="-8"/>
          <w:sz w:val="22"/>
        </w:rPr>
        <w:t> </w:t>
      </w:r>
      <w:r>
        <w:rPr>
          <w:spacing w:val="-2"/>
          <w:sz w:val="22"/>
        </w:rPr>
        <w:t>at</w:t>
      </w:r>
      <w:r>
        <w:rPr>
          <w:spacing w:val="-8"/>
          <w:sz w:val="22"/>
        </w:rPr>
        <w:t> </w:t>
      </w:r>
      <w:r>
        <w:rPr>
          <w:spacing w:val="-2"/>
          <w:sz w:val="22"/>
        </w:rPr>
        <w:t>all</w:t>
      </w:r>
      <w:r>
        <w:rPr>
          <w:spacing w:val="-8"/>
          <w:sz w:val="22"/>
        </w:rPr>
        <w:t> </w:t>
      </w:r>
      <w:r>
        <w:rPr>
          <w:spacing w:val="-2"/>
          <w:sz w:val="22"/>
        </w:rPr>
        <w:t>levels,</w:t>
      </w:r>
      <w:r>
        <w:rPr>
          <w:spacing w:val="-8"/>
          <w:sz w:val="22"/>
        </w:rPr>
        <w:t> </w:t>
      </w:r>
      <w:r>
        <w:rPr>
          <w:spacing w:val="-2"/>
          <w:sz w:val="22"/>
        </w:rPr>
        <w:t>together</w:t>
      </w:r>
      <w:r>
        <w:rPr>
          <w:spacing w:val="-8"/>
          <w:sz w:val="22"/>
        </w:rPr>
        <w:t> </w:t>
      </w:r>
      <w:r>
        <w:rPr>
          <w:spacing w:val="-2"/>
          <w:sz w:val="22"/>
        </w:rPr>
        <w:t>with</w:t>
      </w:r>
      <w:r>
        <w:rPr>
          <w:spacing w:val="-8"/>
          <w:sz w:val="22"/>
        </w:rPr>
        <w:t> </w:t>
      </w:r>
      <w:r>
        <w:rPr>
          <w:spacing w:val="-2"/>
          <w:sz w:val="22"/>
        </w:rPr>
        <w:t>renovation</w:t>
      </w:r>
      <w:r>
        <w:rPr>
          <w:spacing w:val="-8"/>
          <w:sz w:val="22"/>
        </w:rPr>
        <w:t> </w:t>
      </w:r>
      <w:r>
        <w:rPr>
          <w:spacing w:val="-2"/>
          <w:sz w:val="22"/>
        </w:rPr>
        <w:t>and </w:t>
      </w:r>
      <w:r>
        <w:rPr>
          <w:spacing w:val="-6"/>
          <w:sz w:val="22"/>
        </w:rPr>
        <w:t>reform of the university system, and the fostering of </w:t>
      </w:r>
      <w:r>
        <w:rPr>
          <w:spacing w:val="-2"/>
          <w:sz w:val="22"/>
        </w:rPr>
        <w:t>a</w:t>
      </w:r>
      <w:r>
        <w:rPr>
          <w:spacing w:val="-9"/>
          <w:sz w:val="22"/>
        </w:rPr>
        <w:t> </w:t>
      </w:r>
      <w:r>
        <w:rPr>
          <w:spacing w:val="-2"/>
          <w:sz w:val="22"/>
        </w:rPr>
        <w:t>global</w:t>
      </w:r>
      <w:r>
        <w:rPr>
          <w:spacing w:val="-9"/>
          <w:sz w:val="22"/>
        </w:rPr>
        <w:t> </w:t>
      </w:r>
      <w:r>
        <w:rPr>
          <w:spacing w:val="-2"/>
          <w:sz w:val="22"/>
        </w:rPr>
        <w:t>outlook</w:t>
      </w:r>
      <w:r>
        <w:rPr>
          <w:spacing w:val="-9"/>
          <w:sz w:val="22"/>
        </w:rPr>
        <w:t> </w:t>
      </w:r>
      <w:r>
        <w:rPr>
          <w:spacing w:val="-2"/>
          <w:sz w:val="22"/>
        </w:rPr>
        <w:t>in</w:t>
      </w:r>
      <w:r>
        <w:rPr>
          <w:spacing w:val="-9"/>
          <w:sz w:val="22"/>
        </w:rPr>
        <w:t> </w:t>
      </w:r>
      <w:r>
        <w:rPr>
          <w:spacing w:val="-2"/>
          <w:sz w:val="22"/>
        </w:rPr>
        <w:t>research.</w:t>
      </w:r>
      <w:r>
        <w:rPr>
          <w:spacing w:val="-9"/>
          <w:sz w:val="22"/>
        </w:rPr>
        <w:t> </w:t>
      </w:r>
      <w:r>
        <w:rPr>
          <w:spacing w:val="-2"/>
          <w:sz w:val="22"/>
        </w:rPr>
        <w:t>Further,</w:t>
      </w:r>
      <w:r>
        <w:rPr>
          <w:spacing w:val="-9"/>
          <w:sz w:val="22"/>
        </w:rPr>
        <w:t> </w:t>
      </w:r>
      <w:r>
        <w:rPr>
          <w:spacing w:val="-2"/>
          <w:sz w:val="22"/>
        </w:rPr>
        <w:t>steps</w:t>
      </w:r>
      <w:r>
        <w:rPr>
          <w:spacing w:val="-9"/>
          <w:sz w:val="22"/>
        </w:rPr>
        <w:t> </w:t>
      </w:r>
      <w:r>
        <w:rPr>
          <w:spacing w:val="-2"/>
          <w:sz w:val="22"/>
        </w:rPr>
        <w:t>have</w:t>
      </w:r>
      <w:r>
        <w:rPr>
          <w:spacing w:val="-9"/>
          <w:sz w:val="22"/>
        </w:rPr>
        <w:t> </w:t>
      </w:r>
      <w:r>
        <w:rPr>
          <w:spacing w:val="-2"/>
          <w:sz w:val="22"/>
        </w:rPr>
        <w:t>to be</w:t>
      </w:r>
      <w:r>
        <w:rPr>
          <w:spacing w:val="-9"/>
          <w:sz w:val="22"/>
        </w:rPr>
        <w:t> </w:t>
      </w:r>
      <w:r>
        <w:rPr>
          <w:spacing w:val="-2"/>
          <w:sz w:val="22"/>
        </w:rPr>
        <w:t>taken</w:t>
      </w:r>
      <w:r>
        <w:rPr>
          <w:spacing w:val="-9"/>
          <w:sz w:val="22"/>
        </w:rPr>
        <w:t> </w:t>
      </w:r>
      <w:r>
        <w:rPr>
          <w:spacing w:val="-2"/>
          <w:sz w:val="22"/>
        </w:rPr>
        <w:t>to</w:t>
      </w:r>
      <w:r>
        <w:rPr>
          <w:spacing w:val="-9"/>
          <w:sz w:val="22"/>
        </w:rPr>
        <w:t> </w:t>
      </w:r>
      <w:r>
        <w:rPr>
          <w:spacing w:val="-2"/>
          <w:sz w:val="22"/>
        </w:rPr>
        <w:t>rejuvenate</w:t>
      </w:r>
      <w:r>
        <w:rPr>
          <w:spacing w:val="-9"/>
          <w:sz w:val="22"/>
        </w:rPr>
        <w:t> </w:t>
      </w:r>
      <w:r>
        <w:rPr>
          <w:spacing w:val="-2"/>
          <w:sz w:val="22"/>
        </w:rPr>
        <w:t>the</w:t>
      </w:r>
      <w:r>
        <w:rPr>
          <w:spacing w:val="-9"/>
          <w:sz w:val="22"/>
        </w:rPr>
        <w:t> </w:t>
      </w:r>
      <w:r>
        <w:rPr>
          <w:spacing w:val="-2"/>
          <w:sz w:val="22"/>
        </w:rPr>
        <w:t>doctoral</w:t>
      </w:r>
      <w:r>
        <w:rPr>
          <w:spacing w:val="-9"/>
          <w:sz w:val="22"/>
        </w:rPr>
        <w:t> </w:t>
      </w:r>
      <w:r>
        <w:rPr>
          <w:spacing w:val="-2"/>
          <w:sz w:val="22"/>
        </w:rPr>
        <w:t>program</w:t>
      </w:r>
      <w:r>
        <w:rPr>
          <w:spacing w:val="-9"/>
          <w:sz w:val="22"/>
        </w:rPr>
        <w:t> </w:t>
      </w:r>
      <w:r>
        <w:rPr>
          <w:spacing w:val="-2"/>
          <w:sz w:val="22"/>
        </w:rPr>
        <w:t>across </w:t>
      </w:r>
      <w:r>
        <w:rPr>
          <w:spacing w:val="-6"/>
          <w:sz w:val="22"/>
        </w:rPr>
        <w:t>disciplines and develop vigorous industry-academia </w:t>
      </w:r>
      <w:r>
        <w:rPr>
          <w:spacing w:val="-4"/>
          <w:sz w:val="22"/>
        </w:rPr>
        <w:t>interaction.</w:t>
      </w:r>
      <w:r>
        <w:rPr>
          <w:spacing w:val="-10"/>
          <w:sz w:val="22"/>
        </w:rPr>
        <w:t> </w:t>
      </w:r>
      <w:r>
        <w:rPr>
          <w:spacing w:val="-4"/>
          <w:sz w:val="22"/>
        </w:rPr>
        <w:t>NKC</w:t>
      </w:r>
      <w:r>
        <w:rPr>
          <w:spacing w:val="-10"/>
          <w:sz w:val="22"/>
        </w:rPr>
        <w:t> </w:t>
      </w:r>
      <w:r>
        <w:rPr>
          <w:spacing w:val="-4"/>
          <w:sz w:val="22"/>
        </w:rPr>
        <w:t>has</w:t>
      </w:r>
      <w:r>
        <w:rPr>
          <w:spacing w:val="-10"/>
          <w:sz w:val="22"/>
        </w:rPr>
        <w:t> </w:t>
      </w:r>
      <w:r>
        <w:rPr>
          <w:spacing w:val="-4"/>
          <w:sz w:val="22"/>
        </w:rPr>
        <w:t>also</w:t>
      </w:r>
      <w:r>
        <w:rPr>
          <w:spacing w:val="-9"/>
          <w:sz w:val="22"/>
        </w:rPr>
        <w:t> </w:t>
      </w:r>
      <w:r>
        <w:rPr>
          <w:spacing w:val="-4"/>
          <w:sz w:val="22"/>
        </w:rPr>
        <w:t>recommended</w:t>
      </w:r>
      <w:r>
        <w:rPr>
          <w:spacing w:val="-10"/>
          <w:sz w:val="22"/>
        </w:rPr>
        <w:t> </w:t>
      </w:r>
      <w:r>
        <w:rPr>
          <w:spacing w:val="-4"/>
          <w:sz w:val="22"/>
        </w:rPr>
        <w:t>the</w:t>
      </w:r>
      <w:r>
        <w:rPr>
          <w:spacing w:val="-10"/>
          <w:sz w:val="22"/>
        </w:rPr>
        <w:t> </w:t>
      </w:r>
      <w:r>
        <w:rPr>
          <w:spacing w:val="-4"/>
          <w:sz w:val="22"/>
        </w:rPr>
        <w:t>setting </w:t>
      </w:r>
      <w:r>
        <w:rPr>
          <w:spacing w:val="-6"/>
          <w:sz w:val="22"/>
        </w:rPr>
        <w:t>up</w:t>
      </w:r>
      <w:r>
        <w:rPr>
          <w:spacing w:val="-8"/>
          <w:sz w:val="22"/>
        </w:rPr>
        <w:t> </w:t>
      </w:r>
      <w:r>
        <w:rPr>
          <w:spacing w:val="-6"/>
          <w:sz w:val="22"/>
        </w:rPr>
        <w:t>of</w:t>
      </w:r>
      <w:r>
        <w:rPr>
          <w:spacing w:val="-8"/>
          <w:sz w:val="22"/>
        </w:rPr>
        <w:t> </w:t>
      </w:r>
      <w:r>
        <w:rPr>
          <w:spacing w:val="-6"/>
          <w:sz w:val="22"/>
        </w:rPr>
        <w:t>a</w:t>
      </w:r>
      <w:r>
        <w:rPr>
          <w:spacing w:val="-8"/>
          <w:sz w:val="22"/>
        </w:rPr>
        <w:t> </w:t>
      </w:r>
      <w:r>
        <w:rPr>
          <w:spacing w:val="-6"/>
          <w:sz w:val="22"/>
        </w:rPr>
        <w:t>National</w:t>
      </w:r>
      <w:r>
        <w:rPr>
          <w:spacing w:val="-7"/>
          <w:sz w:val="22"/>
        </w:rPr>
        <w:t> </w:t>
      </w:r>
      <w:r>
        <w:rPr>
          <w:spacing w:val="-6"/>
          <w:sz w:val="22"/>
        </w:rPr>
        <w:t>Research</w:t>
      </w:r>
      <w:r>
        <w:rPr>
          <w:spacing w:val="-8"/>
          <w:sz w:val="22"/>
        </w:rPr>
        <w:t> </w:t>
      </w:r>
      <w:r>
        <w:rPr>
          <w:spacing w:val="-6"/>
          <w:sz w:val="22"/>
        </w:rPr>
        <w:t>Mission</w:t>
      </w:r>
      <w:r>
        <w:rPr>
          <w:spacing w:val="-8"/>
          <w:sz w:val="22"/>
        </w:rPr>
        <w:t> </w:t>
      </w:r>
      <w:r>
        <w:rPr>
          <w:spacing w:val="-6"/>
          <w:sz w:val="22"/>
        </w:rPr>
        <w:t>which</w:t>
      </w:r>
      <w:r>
        <w:rPr>
          <w:spacing w:val="-8"/>
          <w:sz w:val="22"/>
        </w:rPr>
        <w:t> </w:t>
      </w:r>
      <w:r>
        <w:rPr>
          <w:spacing w:val="-6"/>
          <w:sz w:val="22"/>
        </w:rPr>
        <w:t>will</w:t>
      </w:r>
      <w:r>
        <w:rPr>
          <w:spacing w:val="-7"/>
          <w:sz w:val="22"/>
        </w:rPr>
        <w:t> </w:t>
      </w:r>
      <w:r>
        <w:rPr>
          <w:spacing w:val="-6"/>
          <w:sz w:val="22"/>
        </w:rPr>
        <w:t>create </w:t>
      </w:r>
      <w:r>
        <w:rPr>
          <w:sz w:val="22"/>
        </w:rPr>
        <w:t>the</w:t>
      </w:r>
      <w:r>
        <w:rPr>
          <w:spacing w:val="-4"/>
          <w:sz w:val="22"/>
        </w:rPr>
        <w:t> </w:t>
      </w:r>
      <w:r>
        <w:rPr>
          <w:sz w:val="22"/>
        </w:rPr>
        <w:t>required</w:t>
      </w:r>
      <w:r>
        <w:rPr>
          <w:spacing w:val="-4"/>
          <w:sz w:val="22"/>
        </w:rPr>
        <w:t> </w:t>
      </w:r>
      <w:r>
        <w:rPr>
          <w:sz w:val="22"/>
        </w:rPr>
        <w:t>research</w:t>
      </w:r>
      <w:r>
        <w:rPr>
          <w:spacing w:val="-4"/>
          <w:sz w:val="22"/>
        </w:rPr>
        <w:t> </w:t>
      </w:r>
      <w:r>
        <w:rPr>
          <w:sz w:val="22"/>
        </w:rPr>
        <w:t>ecosystem</w:t>
      </w:r>
      <w:r>
        <w:rPr>
          <w:spacing w:val="-4"/>
          <w:sz w:val="22"/>
        </w:rPr>
        <w:t> </w:t>
      </w:r>
      <w:r>
        <w:rPr>
          <w:sz w:val="22"/>
        </w:rPr>
        <w:t>in</w:t>
      </w:r>
      <w:r>
        <w:rPr>
          <w:spacing w:val="-4"/>
          <w:sz w:val="22"/>
        </w:rPr>
        <w:t> </w:t>
      </w:r>
      <w:r>
        <w:rPr>
          <w:sz w:val="22"/>
        </w:rPr>
        <w:t>the</w:t>
      </w:r>
      <w:r>
        <w:rPr>
          <w:spacing w:val="-4"/>
          <w:sz w:val="22"/>
        </w:rPr>
        <w:t> </w:t>
      </w:r>
      <w:r>
        <w:rPr>
          <w:sz w:val="22"/>
        </w:rPr>
        <w:t>country.</w:t>
      </w:r>
    </w:p>
    <w:p>
      <w:pPr>
        <w:pStyle w:val="BodyText"/>
        <w:spacing w:before="17"/>
      </w:pPr>
    </w:p>
    <w:p>
      <w:pPr>
        <w:pStyle w:val="ListParagraph"/>
        <w:numPr>
          <w:ilvl w:val="1"/>
          <w:numId w:val="6"/>
        </w:numPr>
        <w:tabs>
          <w:tab w:pos="1439" w:val="left" w:leader="none"/>
        </w:tabs>
        <w:spacing w:line="266" w:lineRule="auto" w:before="0" w:after="0"/>
        <w:ind w:left="1439" w:right="0" w:hanging="360"/>
        <w:jc w:val="both"/>
        <w:rPr>
          <w:sz w:val="22"/>
        </w:rPr>
      </w:pPr>
      <w:r>
        <w:rPr>
          <w:b/>
          <w:sz w:val="22"/>
        </w:rPr>
        <w:t>Open and Distance Education and </w:t>
      </w:r>
      <w:r>
        <w:rPr>
          <w:b/>
          <w:sz w:val="22"/>
        </w:rPr>
        <w:t>Open </w:t>
      </w:r>
      <w:r>
        <w:rPr>
          <w:b/>
          <w:spacing w:val="-6"/>
          <w:sz w:val="22"/>
        </w:rPr>
        <w:t>Educational Resources: </w:t>
      </w:r>
      <w:r>
        <w:rPr>
          <w:spacing w:val="-6"/>
          <w:sz w:val="22"/>
        </w:rPr>
        <w:t>Development of open and </w:t>
      </w:r>
      <w:r>
        <w:rPr>
          <w:spacing w:val="-2"/>
          <w:sz w:val="22"/>
        </w:rPr>
        <w:t>distance</w:t>
      </w:r>
      <w:r>
        <w:rPr>
          <w:spacing w:val="-12"/>
          <w:sz w:val="22"/>
        </w:rPr>
        <w:t> </w:t>
      </w:r>
      <w:r>
        <w:rPr>
          <w:spacing w:val="-2"/>
          <w:sz w:val="22"/>
        </w:rPr>
        <w:t>education</w:t>
      </w:r>
      <w:r>
        <w:rPr>
          <w:spacing w:val="-12"/>
          <w:sz w:val="22"/>
        </w:rPr>
        <w:t> </w:t>
      </w:r>
      <w:r>
        <w:rPr>
          <w:spacing w:val="-2"/>
          <w:sz w:val="22"/>
        </w:rPr>
        <w:t>and</w:t>
      </w:r>
      <w:r>
        <w:rPr>
          <w:spacing w:val="-12"/>
          <w:sz w:val="22"/>
        </w:rPr>
        <w:t> </w:t>
      </w:r>
      <w:r>
        <w:rPr>
          <w:spacing w:val="-2"/>
          <w:sz w:val="22"/>
        </w:rPr>
        <w:t>open</w:t>
      </w:r>
      <w:r>
        <w:rPr>
          <w:spacing w:val="-11"/>
          <w:sz w:val="22"/>
        </w:rPr>
        <w:t> </w:t>
      </w:r>
      <w:r>
        <w:rPr>
          <w:spacing w:val="-2"/>
          <w:sz w:val="22"/>
        </w:rPr>
        <w:t>educational</w:t>
      </w:r>
      <w:r>
        <w:rPr>
          <w:spacing w:val="-12"/>
          <w:sz w:val="22"/>
        </w:rPr>
        <w:t> </w:t>
      </w:r>
      <w:r>
        <w:rPr>
          <w:spacing w:val="-2"/>
          <w:sz w:val="22"/>
        </w:rPr>
        <w:t>resources </w:t>
      </w:r>
      <w:r>
        <w:rPr>
          <w:spacing w:val="-6"/>
          <w:sz w:val="22"/>
        </w:rPr>
        <w:t>is imperative to achieve the objectives of expansion, </w:t>
      </w:r>
      <w:r>
        <w:rPr>
          <w:sz w:val="22"/>
        </w:rPr>
        <w:t>excellence and inclusion in higher education. More than one-fifth of the students enrolled in higher education are in the Open and Distance Education</w:t>
      </w:r>
      <w:r>
        <w:rPr>
          <w:spacing w:val="76"/>
          <w:sz w:val="22"/>
        </w:rPr>
        <w:t> </w:t>
      </w:r>
      <w:r>
        <w:rPr>
          <w:sz w:val="22"/>
        </w:rPr>
        <w:t>stream.</w:t>
      </w:r>
      <w:r>
        <w:rPr>
          <w:spacing w:val="76"/>
          <w:sz w:val="22"/>
        </w:rPr>
        <w:t> </w:t>
      </w:r>
      <w:r>
        <w:rPr>
          <w:sz w:val="22"/>
        </w:rPr>
        <w:t>NKC</w:t>
      </w:r>
      <w:r>
        <w:rPr>
          <w:spacing w:val="76"/>
          <w:sz w:val="22"/>
        </w:rPr>
        <w:t> </w:t>
      </w:r>
      <w:r>
        <w:rPr>
          <w:sz w:val="22"/>
        </w:rPr>
        <w:t>recommendations</w:t>
      </w:r>
      <w:r>
        <w:rPr>
          <w:spacing w:val="76"/>
          <w:sz w:val="22"/>
        </w:rPr>
        <w:t> </w:t>
      </w:r>
      <w:r>
        <w:rPr>
          <w:spacing w:val="-5"/>
          <w:sz w:val="22"/>
        </w:rPr>
        <w:t>on</w:t>
      </w:r>
    </w:p>
    <w:p>
      <w:pPr>
        <w:pStyle w:val="BodyText"/>
        <w:spacing w:line="266" w:lineRule="auto" w:before="57"/>
        <w:ind w:left="679" w:right="1077"/>
        <w:jc w:val="both"/>
      </w:pPr>
      <w:r>
        <w:rPr/>
        <w:br w:type="column"/>
      </w:r>
      <w:r>
        <w:rPr>
          <w:spacing w:val="-4"/>
        </w:rPr>
        <w:t>distance</w:t>
      </w:r>
      <w:r>
        <w:rPr>
          <w:spacing w:val="-8"/>
        </w:rPr>
        <w:t> </w:t>
      </w:r>
      <w:r>
        <w:rPr>
          <w:spacing w:val="-4"/>
        </w:rPr>
        <w:t>education</w:t>
      </w:r>
      <w:r>
        <w:rPr>
          <w:spacing w:val="-8"/>
        </w:rPr>
        <w:t> </w:t>
      </w:r>
      <w:r>
        <w:rPr>
          <w:spacing w:val="-4"/>
        </w:rPr>
        <w:t>focus</w:t>
      </w:r>
      <w:r>
        <w:rPr>
          <w:spacing w:val="-8"/>
        </w:rPr>
        <w:t> </w:t>
      </w:r>
      <w:r>
        <w:rPr>
          <w:spacing w:val="-4"/>
        </w:rPr>
        <w:t>on</w:t>
      </w:r>
      <w:r>
        <w:rPr>
          <w:spacing w:val="-8"/>
        </w:rPr>
        <w:t> </w:t>
      </w:r>
      <w:r>
        <w:rPr>
          <w:spacing w:val="-4"/>
        </w:rPr>
        <w:t>creating</w:t>
      </w:r>
      <w:r>
        <w:rPr>
          <w:spacing w:val="-8"/>
        </w:rPr>
        <w:t> </w:t>
      </w:r>
      <w:r>
        <w:rPr>
          <w:spacing w:val="-4"/>
        </w:rPr>
        <w:t>a</w:t>
      </w:r>
      <w:r>
        <w:rPr>
          <w:spacing w:val="-8"/>
        </w:rPr>
        <w:t> </w:t>
      </w:r>
      <w:r>
        <w:rPr>
          <w:spacing w:val="-4"/>
        </w:rPr>
        <w:t>national</w:t>
      </w:r>
      <w:r>
        <w:rPr>
          <w:spacing w:val="-8"/>
        </w:rPr>
        <w:t> </w:t>
      </w:r>
      <w:r>
        <w:rPr>
          <w:spacing w:val="-4"/>
        </w:rPr>
        <w:t>ICT </w:t>
      </w:r>
      <w:r>
        <w:rPr/>
        <w:t>infrastructure, improving regulatory structures, developing web based common open </w:t>
      </w:r>
      <w:r>
        <w:rPr/>
        <w:t>resources, </w:t>
      </w:r>
      <w:r>
        <w:rPr>
          <w:spacing w:val="-2"/>
        </w:rPr>
        <w:t>establishing</w:t>
      </w:r>
      <w:r>
        <w:rPr>
          <w:spacing w:val="-8"/>
        </w:rPr>
        <w:t> </w:t>
      </w:r>
      <w:r>
        <w:rPr>
          <w:spacing w:val="-2"/>
        </w:rPr>
        <w:t>a</w:t>
      </w:r>
      <w:r>
        <w:rPr>
          <w:spacing w:val="-8"/>
        </w:rPr>
        <w:t> </w:t>
      </w:r>
      <w:r>
        <w:rPr>
          <w:spacing w:val="-2"/>
        </w:rPr>
        <w:t>credit</w:t>
      </w:r>
      <w:r>
        <w:rPr>
          <w:spacing w:val="-8"/>
        </w:rPr>
        <w:t> </w:t>
      </w:r>
      <w:r>
        <w:rPr>
          <w:spacing w:val="-2"/>
        </w:rPr>
        <w:t>bank</w:t>
      </w:r>
      <w:r>
        <w:rPr>
          <w:spacing w:val="-8"/>
        </w:rPr>
        <w:t> </w:t>
      </w:r>
      <w:r>
        <w:rPr>
          <w:spacing w:val="-2"/>
        </w:rPr>
        <w:t>and</w:t>
      </w:r>
      <w:r>
        <w:rPr>
          <w:spacing w:val="-8"/>
        </w:rPr>
        <w:t> </w:t>
      </w:r>
      <w:r>
        <w:rPr>
          <w:spacing w:val="-2"/>
        </w:rPr>
        <w:t>providing</w:t>
      </w:r>
      <w:r>
        <w:rPr>
          <w:spacing w:val="-8"/>
        </w:rPr>
        <w:t> </w:t>
      </w:r>
      <w:r>
        <w:rPr>
          <w:spacing w:val="-2"/>
        </w:rPr>
        <w:t>a</w:t>
      </w:r>
      <w:r>
        <w:rPr>
          <w:spacing w:val="-8"/>
        </w:rPr>
        <w:t> </w:t>
      </w:r>
      <w:r>
        <w:rPr>
          <w:spacing w:val="-2"/>
        </w:rPr>
        <w:t>national </w:t>
      </w:r>
      <w:r>
        <w:rPr/>
        <w:t>testing service. To supplement this, NKC also </w:t>
      </w:r>
      <w:r>
        <w:rPr>
          <w:spacing w:val="-2"/>
        </w:rPr>
        <w:t>recommends</w:t>
      </w:r>
      <w:r>
        <w:rPr>
          <w:spacing w:val="-11"/>
        </w:rPr>
        <w:t> </w:t>
      </w:r>
      <w:r>
        <w:rPr>
          <w:spacing w:val="-2"/>
        </w:rPr>
        <w:t>that</w:t>
      </w:r>
      <w:r>
        <w:rPr>
          <w:spacing w:val="-11"/>
        </w:rPr>
        <w:t> </w:t>
      </w:r>
      <w:r>
        <w:rPr>
          <w:spacing w:val="-2"/>
        </w:rPr>
        <w:t>the</w:t>
      </w:r>
      <w:r>
        <w:rPr>
          <w:spacing w:val="-11"/>
        </w:rPr>
        <w:t> </w:t>
      </w:r>
      <w:r>
        <w:rPr>
          <w:spacing w:val="-2"/>
        </w:rPr>
        <w:t>production</w:t>
      </w:r>
      <w:r>
        <w:rPr>
          <w:spacing w:val="-11"/>
        </w:rPr>
        <w:t> </w:t>
      </w:r>
      <w:r>
        <w:rPr>
          <w:spacing w:val="-2"/>
        </w:rPr>
        <w:t>of</w:t>
      </w:r>
      <w:r>
        <w:rPr>
          <w:spacing w:val="-11"/>
        </w:rPr>
        <w:t> </w:t>
      </w:r>
      <w:r>
        <w:rPr>
          <w:spacing w:val="-2"/>
        </w:rPr>
        <w:t>quality</w:t>
      </w:r>
      <w:r>
        <w:rPr>
          <w:spacing w:val="-11"/>
        </w:rPr>
        <w:t> </w:t>
      </w:r>
      <w:r>
        <w:rPr>
          <w:spacing w:val="-2"/>
        </w:rPr>
        <w:t>content </w:t>
      </w:r>
      <w:r>
        <w:rPr/>
        <w:t>and</w:t>
      </w:r>
      <w:r>
        <w:rPr>
          <w:spacing w:val="-14"/>
        </w:rPr>
        <w:t> </w:t>
      </w:r>
      <w:r>
        <w:rPr/>
        <w:t>leveraging</w:t>
      </w:r>
      <w:r>
        <w:rPr>
          <w:spacing w:val="-14"/>
        </w:rPr>
        <w:t> </w:t>
      </w:r>
      <w:r>
        <w:rPr/>
        <w:t>global</w:t>
      </w:r>
      <w:r>
        <w:rPr>
          <w:spacing w:val="-14"/>
        </w:rPr>
        <w:t> </w:t>
      </w:r>
      <w:r>
        <w:rPr/>
        <w:t>open</w:t>
      </w:r>
      <w:r>
        <w:rPr>
          <w:spacing w:val="-13"/>
        </w:rPr>
        <w:t> </w:t>
      </w:r>
      <w:r>
        <w:rPr/>
        <w:t>educational</w:t>
      </w:r>
      <w:r>
        <w:rPr>
          <w:spacing w:val="-14"/>
        </w:rPr>
        <w:t> </w:t>
      </w:r>
      <w:r>
        <w:rPr/>
        <w:t>resources, </w:t>
      </w:r>
      <w:r>
        <w:rPr>
          <w:spacing w:val="-4"/>
        </w:rPr>
        <w:t>needs</w:t>
      </w:r>
      <w:r>
        <w:rPr>
          <w:spacing w:val="-10"/>
        </w:rPr>
        <w:t> </w:t>
      </w:r>
      <w:r>
        <w:rPr>
          <w:spacing w:val="-4"/>
        </w:rPr>
        <w:t>to</w:t>
      </w:r>
      <w:r>
        <w:rPr>
          <w:spacing w:val="-10"/>
        </w:rPr>
        <w:t> </w:t>
      </w:r>
      <w:r>
        <w:rPr>
          <w:spacing w:val="-4"/>
        </w:rPr>
        <w:t>be</w:t>
      </w:r>
      <w:r>
        <w:rPr>
          <w:spacing w:val="-9"/>
        </w:rPr>
        <w:t> </w:t>
      </w:r>
      <w:r>
        <w:rPr>
          <w:spacing w:val="-4"/>
        </w:rPr>
        <w:t>focused</w:t>
      </w:r>
      <w:r>
        <w:rPr>
          <w:spacing w:val="-10"/>
        </w:rPr>
        <w:t> </w:t>
      </w:r>
      <w:r>
        <w:rPr>
          <w:spacing w:val="-4"/>
        </w:rPr>
        <w:t>on</w:t>
      </w:r>
      <w:r>
        <w:rPr>
          <w:spacing w:val="-10"/>
        </w:rPr>
        <w:t> </w:t>
      </w:r>
      <w:r>
        <w:rPr>
          <w:spacing w:val="-4"/>
        </w:rPr>
        <w:t>in</w:t>
      </w:r>
      <w:r>
        <w:rPr>
          <w:spacing w:val="-9"/>
        </w:rPr>
        <w:t> </w:t>
      </w:r>
      <w:r>
        <w:rPr>
          <w:spacing w:val="-4"/>
        </w:rPr>
        <w:t>a</w:t>
      </w:r>
      <w:r>
        <w:rPr>
          <w:spacing w:val="-10"/>
        </w:rPr>
        <w:t> </w:t>
      </w:r>
      <w:r>
        <w:rPr>
          <w:spacing w:val="-4"/>
        </w:rPr>
        <w:t>comprehensive</w:t>
      </w:r>
      <w:r>
        <w:rPr>
          <w:spacing w:val="-10"/>
        </w:rPr>
        <w:t> </w:t>
      </w:r>
      <w:r>
        <w:rPr>
          <w:spacing w:val="-4"/>
        </w:rPr>
        <w:t>manner. </w:t>
      </w:r>
      <w:r>
        <w:rPr>
          <w:spacing w:val="-2"/>
        </w:rPr>
        <w:t>We</w:t>
      </w:r>
      <w:r>
        <w:rPr>
          <w:spacing w:val="-14"/>
        </w:rPr>
        <w:t> </w:t>
      </w:r>
      <w:r>
        <w:rPr>
          <w:spacing w:val="-2"/>
        </w:rPr>
        <w:t>need</w:t>
      </w:r>
      <w:r>
        <w:rPr>
          <w:spacing w:val="-12"/>
        </w:rPr>
        <w:t> </w:t>
      </w:r>
      <w:r>
        <w:rPr>
          <w:spacing w:val="-2"/>
        </w:rPr>
        <w:t>to</w:t>
      </w:r>
      <w:r>
        <w:rPr>
          <w:spacing w:val="-12"/>
        </w:rPr>
        <w:t> </w:t>
      </w:r>
      <w:r>
        <w:rPr>
          <w:spacing w:val="-2"/>
        </w:rPr>
        <w:t>encourage</w:t>
      </w:r>
      <w:r>
        <w:rPr>
          <w:spacing w:val="-11"/>
        </w:rPr>
        <w:t> </w:t>
      </w:r>
      <w:r>
        <w:rPr>
          <w:spacing w:val="-2"/>
        </w:rPr>
        <w:t>open</w:t>
      </w:r>
      <w:r>
        <w:rPr>
          <w:spacing w:val="-12"/>
        </w:rPr>
        <w:t> </w:t>
      </w:r>
      <w:r>
        <w:rPr>
          <w:spacing w:val="-2"/>
        </w:rPr>
        <w:t>access</w:t>
      </w:r>
      <w:r>
        <w:rPr>
          <w:spacing w:val="-12"/>
        </w:rPr>
        <w:t> </w:t>
      </w:r>
      <w:r>
        <w:rPr>
          <w:spacing w:val="-2"/>
        </w:rPr>
        <w:t>for</w:t>
      </w:r>
      <w:r>
        <w:rPr>
          <w:spacing w:val="-12"/>
        </w:rPr>
        <w:t> </w:t>
      </w:r>
      <w:r>
        <w:rPr>
          <w:spacing w:val="-2"/>
        </w:rPr>
        <w:t>all</w:t>
      </w:r>
      <w:r>
        <w:rPr>
          <w:spacing w:val="-11"/>
        </w:rPr>
        <w:t> </w:t>
      </w:r>
      <w:r>
        <w:rPr>
          <w:spacing w:val="-2"/>
        </w:rPr>
        <w:t>material- </w:t>
      </w:r>
      <w:r>
        <w:rPr/>
        <w:t>research</w:t>
      </w:r>
      <w:r>
        <w:rPr>
          <w:spacing w:val="-7"/>
        </w:rPr>
        <w:t> </w:t>
      </w:r>
      <w:r>
        <w:rPr/>
        <w:t>papers,</w:t>
      </w:r>
      <w:r>
        <w:rPr>
          <w:spacing w:val="-7"/>
        </w:rPr>
        <w:t> </w:t>
      </w:r>
      <w:r>
        <w:rPr/>
        <w:t>books,</w:t>
      </w:r>
      <w:r>
        <w:rPr>
          <w:spacing w:val="-7"/>
        </w:rPr>
        <w:t> </w:t>
      </w:r>
      <w:r>
        <w:rPr/>
        <w:t>periodicals</w:t>
      </w:r>
      <w:r>
        <w:rPr>
          <w:spacing w:val="-7"/>
        </w:rPr>
        <w:t> </w:t>
      </w:r>
      <w:r>
        <w:rPr/>
        <w:t>etc.</w:t>
      </w:r>
    </w:p>
    <w:p>
      <w:pPr>
        <w:pStyle w:val="Heading7"/>
        <w:spacing w:before="235"/>
      </w:pPr>
      <w:bookmarkStart w:name="_TOC_250004" w:id="1"/>
      <w:bookmarkEnd w:id="1"/>
      <w:r>
        <w:rPr>
          <w:color w:val="2E614A"/>
          <w:spacing w:val="-2"/>
        </w:rPr>
        <w:t>CREATION</w:t>
      </w:r>
    </w:p>
    <w:p>
      <w:pPr>
        <w:pStyle w:val="BodyText"/>
        <w:spacing w:line="266" w:lineRule="auto" w:before="298"/>
        <w:ind w:left="319" w:right="1077"/>
        <w:jc w:val="both"/>
      </w:pPr>
      <w:r>
        <w:rPr/>
        <w:t>Producing new knowledge and protecting existing resources is critical for a nation to compete in the global knowledge economy.</w:t>
      </w:r>
      <w:r>
        <w:rPr>
          <w:spacing w:val="-3"/>
        </w:rPr>
        <w:t> </w:t>
      </w:r>
      <w:r>
        <w:rPr/>
        <w:t>This makes it important to consider all activities that lead to the creation of </w:t>
      </w:r>
      <w:r>
        <w:rPr>
          <w:spacing w:val="-4"/>
        </w:rPr>
        <w:t>knowledge</w:t>
      </w:r>
      <w:r>
        <w:rPr>
          <w:spacing w:val="-5"/>
        </w:rPr>
        <w:t> </w:t>
      </w:r>
      <w:r>
        <w:rPr>
          <w:spacing w:val="-4"/>
        </w:rPr>
        <w:t>directly</w:t>
      </w:r>
      <w:r>
        <w:rPr>
          <w:spacing w:val="-5"/>
        </w:rPr>
        <w:t> </w:t>
      </w:r>
      <w:r>
        <w:rPr>
          <w:spacing w:val="-4"/>
        </w:rPr>
        <w:t>or</w:t>
      </w:r>
      <w:r>
        <w:rPr>
          <w:spacing w:val="-5"/>
        </w:rPr>
        <w:t> </w:t>
      </w:r>
      <w:r>
        <w:rPr>
          <w:spacing w:val="-4"/>
        </w:rPr>
        <w:t>help</w:t>
      </w:r>
      <w:r>
        <w:rPr>
          <w:spacing w:val="-5"/>
        </w:rPr>
        <w:t> </w:t>
      </w:r>
      <w:r>
        <w:rPr>
          <w:spacing w:val="-4"/>
        </w:rPr>
        <w:t>in</w:t>
      </w:r>
      <w:r>
        <w:rPr>
          <w:spacing w:val="-5"/>
        </w:rPr>
        <w:t> </w:t>
      </w:r>
      <w:r>
        <w:rPr>
          <w:spacing w:val="-4"/>
        </w:rPr>
        <w:t>protecting</w:t>
      </w:r>
      <w:r>
        <w:rPr>
          <w:spacing w:val="-5"/>
        </w:rPr>
        <w:t> </w:t>
      </w:r>
      <w:r>
        <w:rPr>
          <w:spacing w:val="-4"/>
        </w:rPr>
        <w:t>the</w:t>
      </w:r>
      <w:r>
        <w:rPr>
          <w:spacing w:val="-5"/>
        </w:rPr>
        <w:t> </w:t>
      </w:r>
      <w:r>
        <w:rPr>
          <w:spacing w:val="-4"/>
        </w:rPr>
        <w:t>knowledge </w:t>
      </w:r>
      <w:r>
        <w:rPr/>
        <w:t>that is created. NKC has therefore examined issues such</w:t>
      </w:r>
      <w:r>
        <w:rPr>
          <w:spacing w:val="-16"/>
        </w:rPr>
        <w:t> </w:t>
      </w:r>
      <w:r>
        <w:rPr/>
        <w:t>as</w:t>
      </w:r>
      <w:r>
        <w:rPr>
          <w:spacing w:val="-14"/>
        </w:rPr>
        <w:t> </w:t>
      </w:r>
      <w:r>
        <w:rPr/>
        <w:t>innovation</w:t>
      </w:r>
      <w:r>
        <w:rPr>
          <w:spacing w:val="-14"/>
        </w:rPr>
        <w:t> </w:t>
      </w:r>
      <w:r>
        <w:rPr/>
        <w:t>systems</w:t>
      </w:r>
      <w:r>
        <w:rPr>
          <w:spacing w:val="-13"/>
        </w:rPr>
        <w:t> </w:t>
      </w:r>
      <w:r>
        <w:rPr/>
        <w:t>in</w:t>
      </w:r>
      <w:r>
        <w:rPr>
          <w:spacing w:val="-14"/>
        </w:rPr>
        <w:t> </w:t>
      </w:r>
      <w:r>
        <w:rPr/>
        <w:t>the</w:t>
      </w:r>
      <w:r>
        <w:rPr>
          <w:spacing w:val="-14"/>
        </w:rPr>
        <w:t> </w:t>
      </w:r>
      <w:r>
        <w:rPr/>
        <w:t>country,</w:t>
      </w:r>
      <w:r>
        <w:rPr>
          <w:spacing w:val="-14"/>
        </w:rPr>
        <w:t> </w:t>
      </w:r>
      <w:r>
        <w:rPr/>
        <w:t>science</w:t>
      </w:r>
      <w:r>
        <w:rPr>
          <w:spacing w:val="-13"/>
        </w:rPr>
        <w:t> </w:t>
      </w:r>
      <w:r>
        <w:rPr/>
        <w:t>and technology activities and the regime of Intellectual Property Rights.</w:t>
      </w:r>
    </w:p>
    <w:p>
      <w:pPr>
        <w:pStyle w:val="BodyText"/>
        <w:spacing w:before="20"/>
      </w:pPr>
    </w:p>
    <w:p>
      <w:pPr>
        <w:pStyle w:val="ListParagraph"/>
        <w:numPr>
          <w:ilvl w:val="0"/>
          <w:numId w:val="6"/>
        </w:numPr>
        <w:tabs>
          <w:tab w:pos="679" w:val="left" w:leader="none"/>
        </w:tabs>
        <w:spacing w:line="266" w:lineRule="auto" w:before="0" w:after="0"/>
        <w:ind w:left="679" w:right="1077" w:hanging="360"/>
        <w:jc w:val="both"/>
        <w:rPr>
          <w:sz w:val="22"/>
        </w:rPr>
      </w:pPr>
      <w:r>
        <w:rPr>
          <w:b/>
          <w:spacing w:val="-4"/>
          <w:sz w:val="22"/>
        </w:rPr>
        <w:t>Intellectual</w:t>
      </w:r>
      <w:r>
        <w:rPr>
          <w:b/>
          <w:spacing w:val="-10"/>
          <w:sz w:val="22"/>
        </w:rPr>
        <w:t> </w:t>
      </w:r>
      <w:r>
        <w:rPr>
          <w:b/>
          <w:spacing w:val="-4"/>
          <w:sz w:val="22"/>
        </w:rPr>
        <w:t>Property</w:t>
      </w:r>
      <w:r>
        <w:rPr>
          <w:b/>
          <w:spacing w:val="-10"/>
          <w:sz w:val="22"/>
        </w:rPr>
        <w:t> </w:t>
      </w:r>
      <w:r>
        <w:rPr>
          <w:b/>
          <w:spacing w:val="-4"/>
          <w:sz w:val="22"/>
        </w:rPr>
        <w:t>Rights:</w:t>
      </w:r>
      <w:r>
        <w:rPr>
          <w:b/>
          <w:spacing w:val="-10"/>
          <w:sz w:val="22"/>
        </w:rPr>
        <w:t> </w:t>
      </w:r>
      <w:r>
        <w:rPr>
          <w:spacing w:val="-4"/>
          <w:sz w:val="22"/>
        </w:rPr>
        <w:t>For</w:t>
      </w:r>
      <w:r>
        <w:rPr>
          <w:spacing w:val="-9"/>
          <w:sz w:val="22"/>
        </w:rPr>
        <w:t> </w:t>
      </w:r>
      <w:r>
        <w:rPr>
          <w:spacing w:val="-4"/>
          <w:sz w:val="22"/>
        </w:rPr>
        <w:t>India</w:t>
      </w:r>
      <w:r>
        <w:rPr>
          <w:spacing w:val="-10"/>
          <w:sz w:val="22"/>
        </w:rPr>
        <w:t> </w:t>
      </w:r>
      <w:r>
        <w:rPr>
          <w:spacing w:val="-4"/>
          <w:sz w:val="22"/>
        </w:rPr>
        <w:t>to</w:t>
      </w:r>
      <w:r>
        <w:rPr>
          <w:spacing w:val="-10"/>
          <w:sz w:val="22"/>
        </w:rPr>
        <w:t> </w:t>
      </w:r>
      <w:r>
        <w:rPr>
          <w:spacing w:val="-4"/>
          <w:sz w:val="22"/>
        </w:rPr>
        <w:t>become </w:t>
      </w:r>
      <w:r>
        <w:rPr>
          <w:spacing w:val="-2"/>
          <w:sz w:val="22"/>
        </w:rPr>
        <w:t>a</w:t>
      </w:r>
      <w:r>
        <w:rPr>
          <w:spacing w:val="-9"/>
          <w:sz w:val="22"/>
        </w:rPr>
        <w:t> </w:t>
      </w:r>
      <w:r>
        <w:rPr>
          <w:spacing w:val="-2"/>
          <w:sz w:val="22"/>
        </w:rPr>
        <w:t>global</w:t>
      </w:r>
      <w:r>
        <w:rPr>
          <w:spacing w:val="-9"/>
          <w:sz w:val="22"/>
        </w:rPr>
        <w:t> </w:t>
      </w:r>
      <w:r>
        <w:rPr>
          <w:spacing w:val="-2"/>
          <w:sz w:val="22"/>
        </w:rPr>
        <w:t>knowledge</w:t>
      </w:r>
      <w:r>
        <w:rPr>
          <w:spacing w:val="-9"/>
          <w:sz w:val="22"/>
        </w:rPr>
        <w:t> </w:t>
      </w:r>
      <w:r>
        <w:rPr>
          <w:spacing w:val="-2"/>
          <w:sz w:val="22"/>
        </w:rPr>
        <w:t>leader,</w:t>
      </w:r>
      <w:r>
        <w:rPr>
          <w:spacing w:val="-9"/>
          <w:sz w:val="22"/>
        </w:rPr>
        <w:t> </w:t>
      </w:r>
      <w:r>
        <w:rPr>
          <w:spacing w:val="-2"/>
          <w:sz w:val="22"/>
        </w:rPr>
        <w:t>we</w:t>
      </w:r>
      <w:r>
        <w:rPr>
          <w:spacing w:val="-9"/>
          <w:sz w:val="22"/>
        </w:rPr>
        <w:t> </w:t>
      </w:r>
      <w:r>
        <w:rPr>
          <w:spacing w:val="-2"/>
          <w:sz w:val="22"/>
        </w:rPr>
        <w:t>would</w:t>
      </w:r>
      <w:r>
        <w:rPr>
          <w:spacing w:val="-9"/>
          <w:sz w:val="22"/>
        </w:rPr>
        <w:t> </w:t>
      </w:r>
      <w:r>
        <w:rPr>
          <w:spacing w:val="-2"/>
          <w:sz w:val="22"/>
        </w:rPr>
        <w:t>need</w:t>
      </w:r>
      <w:r>
        <w:rPr>
          <w:spacing w:val="-9"/>
          <w:sz w:val="22"/>
        </w:rPr>
        <w:t> </w:t>
      </w:r>
      <w:r>
        <w:rPr>
          <w:spacing w:val="-2"/>
          <w:sz w:val="22"/>
        </w:rPr>
        <w:t>to</w:t>
      </w:r>
      <w:r>
        <w:rPr>
          <w:spacing w:val="-9"/>
          <w:sz w:val="22"/>
        </w:rPr>
        <w:t> </w:t>
      </w:r>
      <w:r>
        <w:rPr>
          <w:spacing w:val="-2"/>
          <w:sz w:val="22"/>
        </w:rPr>
        <w:t>be</w:t>
      </w:r>
      <w:r>
        <w:rPr>
          <w:spacing w:val="-9"/>
          <w:sz w:val="22"/>
        </w:rPr>
        <w:t> </w:t>
      </w:r>
      <w:r>
        <w:rPr>
          <w:spacing w:val="-2"/>
          <w:sz w:val="22"/>
        </w:rPr>
        <w:t>at </w:t>
      </w:r>
      <w:r>
        <w:rPr>
          <w:sz w:val="22"/>
        </w:rPr>
        <w:t>the</w:t>
      </w:r>
      <w:r>
        <w:rPr>
          <w:spacing w:val="-14"/>
          <w:sz w:val="22"/>
        </w:rPr>
        <w:t> </w:t>
      </w:r>
      <w:r>
        <w:rPr>
          <w:sz w:val="22"/>
        </w:rPr>
        <w:t>forefront</w:t>
      </w:r>
      <w:r>
        <w:rPr>
          <w:spacing w:val="-14"/>
          <w:sz w:val="22"/>
        </w:rPr>
        <w:t> </w:t>
      </w:r>
      <w:r>
        <w:rPr>
          <w:sz w:val="22"/>
        </w:rPr>
        <w:t>of</w:t>
      </w:r>
      <w:r>
        <w:rPr>
          <w:spacing w:val="-14"/>
          <w:sz w:val="22"/>
        </w:rPr>
        <w:t> </w:t>
      </w:r>
      <w:r>
        <w:rPr>
          <w:sz w:val="22"/>
        </w:rPr>
        <w:t>creating</w:t>
      </w:r>
      <w:r>
        <w:rPr>
          <w:spacing w:val="-13"/>
          <w:sz w:val="22"/>
        </w:rPr>
        <w:t> </w:t>
      </w:r>
      <w:r>
        <w:rPr>
          <w:sz w:val="22"/>
        </w:rPr>
        <w:t>knowledge.</w:t>
      </w:r>
      <w:r>
        <w:rPr>
          <w:spacing w:val="-14"/>
          <w:sz w:val="22"/>
        </w:rPr>
        <w:t> </w:t>
      </w:r>
      <w:r>
        <w:rPr>
          <w:sz w:val="22"/>
        </w:rPr>
        <w:t>This</w:t>
      </w:r>
      <w:r>
        <w:rPr>
          <w:spacing w:val="-14"/>
          <w:sz w:val="22"/>
        </w:rPr>
        <w:t> </w:t>
      </w:r>
      <w:r>
        <w:rPr>
          <w:sz w:val="22"/>
        </w:rPr>
        <w:t>requires a</w:t>
      </w:r>
      <w:r>
        <w:rPr>
          <w:spacing w:val="-12"/>
          <w:sz w:val="22"/>
        </w:rPr>
        <w:t> </w:t>
      </w:r>
      <w:r>
        <w:rPr>
          <w:sz w:val="22"/>
        </w:rPr>
        <w:t>favourable</w:t>
      </w:r>
      <w:r>
        <w:rPr>
          <w:spacing w:val="-12"/>
          <w:sz w:val="22"/>
        </w:rPr>
        <w:t> </w:t>
      </w:r>
      <w:r>
        <w:rPr>
          <w:sz w:val="22"/>
        </w:rPr>
        <w:t>eco-system</w:t>
      </w:r>
      <w:r>
        <w:rPr>
          <w:spacing w:val="-12"/>
          <w:sz w:val="22"/>
        </w:rPr>
        <w:t> </w:t>
      </w:r>
      <w:r>
        <w:rPr>
          <w:sz w:val="22"/>
        </w:rPr>
        <w:t>that</w:t>
      </w:r>
      <w:r>
        <w:rPr>
          <w:spacing w:val="-12"/>
          <w:sz w:val="22"/>
        </w:rPr>
        <w:t> </w:t>
      </w:r>
      <w:r>
        <w:rPr>
          <w:sz w:val="22"/>
        </w:rPr>
        <w:t>not</w:t>
      </w:r>
      <w:r>
        <w:rPr>
          <w:spacing w:val="-12"/>
          <w:sz w:val="22"/>
        </w:rPr>
        <w:t> </w:t>
      </w:r>
      <w:r>
        <w:rPr>
          <w:sz w:val="22"/>
        </w:rPr>
        <w:t>only</w:t>
      </w:r>
      <w:r>
        <w:rPr>
          <w:spacing w:val="-12"/>
          <w:sz w:val="22"/>
        </w:rPr>
        <w:t> </w:t>
      </w:r>
      <w:r>
        <w:rPr>
          <w:sz w:val="22"/>
        </w:rPr>
        <w:t>protects</w:t>
      </w:r>
      <w:r>
        <w:rPr>
          <w:spacing w:val="-12"/>
          <w:sz w:val="22"/>
        </w:rPr>
        <w:t> </w:t>
      </w:r>
      <w:r>
        <w:rPr>
          <w:sz w:val="22"/>
        </w:rPr>
        <w:t>the </w:t>
      </w:r>
      <w:r>
        <w:rPr>
          <w:spacing w:val="-6"/>
          <w:sz w:val="22"/>
        </w:rPr>
        <w:t>ingenuity of the creator but also rewards knowledge </w:t>
      </w:r>
      <w:r>
        <w:rPr>
          <w:sz w:val="22"/>
        </w:rPr>
        <w:t>creation through commercial applications. In order</w:t>
      </w:r>
      <w:r>
        <w:rPr>
          <w:spacing w:val="-12"/>
          <w:sz w:val="22"/>
        </w:rPr>
        <w:t> </w:t>
      </w:r>
      <w:r>
        <w:rPr>
          <w:sz w:val="22"/>
        </w:rPr>
        <w:t>to</w:t>
      </w:r>
      <w:r>
        <w:rPr>
          <w:spacing w:val="-12"/>
          <w:sz w:val="22"/>
        </w:rPr>
        <w:t> </w:t>
      </w:r>
      <w:r>
        <w:rPr>
          <w:sz w:val="22"/>
        </w:rPr>
        <w:t>facilitate</w:t>
      </w:r>
      <w:r>
        <w:rPr>
          <w:spacing w:val="-12"/>
          <w:sz w:val="22"/>
        </w:rPr>
        <w:t> </w:t>
      </w:r>
      <w:r>
        <w:rPr>
          <w:sz w:val="22"/>
        </w:rPr>
        <w:t>the</w:t>
      </w:r>
      <w:r>
        <w:rPr>
          <w:spacing w:val="-12"/>
          <w:sz w:val="22"/>
        </w:rPr>
        <w:t> </w:t>
      </w:r>
      <w:r>
        <w:rPr>
          <w:sz w:val="22"/>
        </w:rPr>
        <w:t>creation</w:t>
      </w:r>
      <w:r>
        <w:rPr>
          <w:spacing w:val="-12"/>
          <w:sz w:val="22"/>
        </w:rPr>
        <w:t> </w:t>
      </w:r>
      <w:r>
        <w:rPr>
          <w:sz w:val="22"/>
        </w:rPr>
        <w:t>of</w:t>
      </w:r>
      <w:r>
        <w:rPr>
          <w:spacing w:val="-12"/>
          <w:sz w:val="22"/>
        </w:rPr>
        <w:t> </w:t>
      </w:r>
      <w:r>
        <w:rPr>
          <w:sz w:val="22"/>
        </w:rPr>
        <w:t>knowledge</w:t>
      </w:r>
      <w:r>
        <w:rPr>
          <w:spacing w:val="-12"/>
          <w:sz w:val="22"/>
        </w:rPr>
        <w:t> </w:t>
      </w:r>
      <w:r>
        <w:rPr>
          <w:sz w:val="22"/>
        </w:rPr>
        <w:t>NKC has recommended scaling up efforts to build a world class IPR infrastructure, including steps to modernise the patent offices and building global standards.</w:t>
      </w:r>
      <w:r>
        <w:rPr>
          <w:spacing w:val="-5"/>
          <w:sz w:val="22"/>
        </w:rPr>
        <w:t> </w:t>
      </w:r>
      <w:r>
        <w:rPr>
          <w:sz w:val="22"/>
        </w:rPr>
        <w:t>IPR</w:t>
      </w:r>
      <w:r>
        <w:rPr>
          <w:spacing w:val="-5"/>
          <w:sz w:val="22"/>
        </w:rPr>
        <w:t> </w:t>
      </w:r>
      <w:r>
        <w:rPr>
          <w:sz w:val="22"/>
        </w:rPr>
        <w:t>training</w:t>
      </w:r>
      <w:r>
        <w:rPr>
          <w:spacing w:val="-5"/>
          <w:sz w:val="22"/>
        </w:rPr>
        <w:t> </w:t>
      </w:r>
      <w:r>
        <w:rPr>
          <w:sz w:val="22"/>
        </w:rPr>
        <w:t>in</w:t>
      </w:r>
      <w:r>
        <w:rPr>
          <w:spacing w:val="-5"/>
          <w:sz w:val="22"/>
        </w:rPr>
        <w:t> </w:t>
      </w:r>
      <w:r>
        <w:rPr>
          <w:sz w:val="22"/>
        </w:rPr>
        <w:t>IP</w:t>
      </w:r>
      <w:r>
        <w:rPr>
          <w:spacing w:val="-5"/>
          <w:sz w:val="22"/>
        </w:rPr>
        <w:t> </w:t>
      </w:r>
      <w:r>
        <w:rPr>
          <w:sz w:val="22"/>
        </w:rPr>
        <w:t>Offices</w:t>
      </w:r>
      <w:r>
        <w:rPr>
          <w:spacing w:val="-5"/>
          <w:sz w:val="22"/>
        </w:rPr>
        <w:t> </w:t>
      </w:r>
      <w:r>
        <w:rPr>
          <w:sz w:val="22"/>
        </w:rPr>
        <w:t>as</w:t>
      </w:r>
      <w:r>
        <w:rPr>
          <w:spacing w:val="-5"/>
          <w:sz w:val="22"/>
        </w:rPr>
        <w:t> </w:t>
      </w:r>
      <w:r>
        <w:rPr>
          <w:sz w:val="22"/>
        </w:rPr>
        <w:t>well</w:t>
      </w:r>
      <w:r>
        <w:rPr>
          <w:spacing w:val="-5"/>
          <w:sz w:val="22"/>
        </w:rPr>
        <w:t> </w:t>
      </w:r>
      <w:r>
        <w:rPr>
          <w:sz w:val="22"/>
        </w:rPr>
        <w:t>as</w:t>
      </w:r>
      <w:r>
        <w:rPr>
          <w:spacing w:val="-5"/>
          <w:sz w:val="22"/>
        </w:rPr>
        <w:t> </w:t>
      </w:r>
      <w:r>
        <w:rPr>
          <w:sz w:val="22"/>
        </w:rPr>
        <w:t>in educational institutions needs to be intensified, and IPR Cells need to be developed. In addition, NKC has recommended establishing new structures such as a separate IPR Tribunal, a national institution for cutting edge IPR policy and</w:t>
      </w:r>
      <w:r>
        <w:rPr>
          <w:spacing w:val="-14"/>
          <w:sz w:val="22"/>
        </w:rPr>
        <w:t> </w:t>
      </w:r>
      <w:r>
        <w:rPr>
          <w:sz w:val="22"/>
        </w:rPr>
        <w:t>a</w:t>
      </w:r>
      <w:r>
        <w:rPr>
          <w:spacing w:val="-14"/>
          <w:sz w:val="22"/>
        </w:rPr>
        <w:t> </w:t>
      </w:r>
      <w:r>
        <w:rPr>
          <w:sz w:val="22"/>
        </w:rPr>
        <w:t>Global</w:t>
      </w:r>
      <w:r>
        <w:rPr>
          <w:spacing w:val="-14"/>
          <w:sz w:val="22"/>
        </w:rPr>
        <w:t> </w:t>
      </w:r>
      <w:r>
        <w:rPr>
          <w:sz w:val="22"/>
        </w:rPr>
        <w:t>Technology</w:t>
      </w:r>
      <w:r>
        <w:rPr>
          <w:spacing w:val="-13"/>
          <w:sz w:val="22"/>
        </w:rPr>
        <w:t> </w:t>
      </w:r>
      <w:r>
        <w:rPr>
          <w:sz w:val="22"/>
        </w:rPr>
        <w:t>Acquisition</w:t>
      </w:r>
      <w:r>
        <w:rPr>
          <w:spacing w:val="-14"/>
          <w:sz w:val="22"/>
        </w:rPr>
        <w:t> </w:t>
      </w:r>
      <w:r>
        <w:rPr>
          <w:sz w:val="22"/>
        </w:rPr>
        <w:t>Fund.</w:t>
      </w:r>
      <w:r>
        <w:rPr>
          <w:spacing w:val="-14"/>
          <w:sz w:val="22"/>
        </w:rPr>
        <w:t> </w:t>
      </w:r>
      <w:r>
        <w:rPr>
          <w:sz w:val="22"/>
        </w:rPr>
        <w:t>NKC </w:t>
      </w:r>
      <w:r>
        <w:rPr>
          <w:spacing w:val="-4"/>
          <w:sz w:val="22"/>
        </w:rPr>
        <w:t>recommendations also highlight</w:t>
      </w:r>
      <w:r>
        <w:rPr>
          <w:spacing w:val="-8"/>
          <w:sz w:val="22"/>
        </w:rPr>
        <w:t> </w:t>
      </w:r>
      <w:r>
        <w:rPr>
          <w:spacing w:val="-4"/>
          <w:sz w:val="22"/>
        </w:rPr>
        <w:t>the</w:t>
      </w:r>
      <w:r>
        <w:rPr>
          <w:spacing w:val="-8"/>
          <w:sz w:val="22"/>
        </w:rPr>
        <w:t> </w:t>
      </w:r>
      <w:r>
        <w:rPr>
          <w:spacing w:val="-4"/>
          <w:sz w:val="22"/>
        </w:rPr>
        <w:t>need</w:t>
      </w:r>
      <w:r>
        <w:rPr>
          <w:spacing w:val="-8"/>
          <w:sz w:val="22"/>
        </w:rPr>
        <w:t> </w:t>
      </w:r>
      <w:r>
        <w:rPr>
          <w:spacing w:val="-4"/>
          <w:sz w:val="22"/>
        </w:rPr>
        <w:t>to</w:t>
      </w:r>
      <w:r>
        <w:rPr>
          <w:spacing w:val="-8"/>
          <w:sz w:val="22"/>
        </w:rPr>
        <w:t> </w:t>
      </w:r>
      <w:r>
        <w:rPr>
          <w:spacing w:val="-4"/>
          <w:sz w:val="22"/>
        </w:rPr>
        <w:t>protect </w:t>
      </w:r>
      <w:r>
        <w:rPr>
          <w:sz w:val="22"/>
        </w:rPr>
        <w:t>traditional</w:t>
      </w:r>
      <w:r>
        <w:rPr>
          <w:spacing w:val="-14"/>
          <w:sz w:val="22"/>
        </w:rPr>
        <w:t> </w:t>
      </w:r>
      <w:r>
        <w:rPr>
          <w:sz w:val="22"/>
        </w:rPr>
        <w:t>knowledge,</w:t>
      </w:r>
      <w:r>
        <w:rPr>
          <w:spacing w:val="-11"/>
          <w:sz w:val="22"/>
        </w:rPr>
        <w:t> </w:t>
      </w:r>
      <w:r>
        <w:rPr>
          <w:sz w:val="22"/>
        </w:rPr>
        <w:t>create</w:t>
      </w:r>
      <w:r>
        <w:rPr>
          <w:spacing w:val="-11"/>
          <w:sz w:val="22"/>
        </w:rPr>
        <w:t> </w:t>
      </w:r>
      <w:r>
        <w:rPr>
          <w:sz w:val="22"/>
        </w:rPr>
        <w:t>incentives</w:t>
      </w:r>
      <w:r>
        <w:rPr>
          <w:spacing w:val="-11"/>
          <w:sz w:val="22"/>
        </w:rPr>
        <w:t> </w:t>
      </w:r>
      <w:r>
        <w:rPr>
          <w:sz w:val="22"/>
        </w:rPr>
        <w:t>for</w:t>
      </w:r>
      <w:r>
        <w:rPr>
          <w:spacing w:val="-11"/>
          <w:sz w:val="22"/>
        </w:rPr>
        <w:t> </w:t>
      </w:r>
      <w:r>
        <w:rPr>
          <w:sz w:val="22"/>
        </w:rPr>
        <w:t>it</w:t>
      </w:r>
      <w:r>
        <w:rPr>
          <w:spacing w:val="-11"/>
          <w:sz w:val="22"/>
        </w:rPr>
        <w:t> </w:t>
      </w:r>
      <w:r>
        <w:rPr>
          <w:sz w:val="22"/>
        </w:rPr>
        <w:t>and also</w:t>
      </w:r>
      <w:r>
        <w:rPr>
          <w:spacing w:val="-11"/>
          <w:sz w:val="22"/>
        </w:rPr>
        <w:t> </w:t>
      </w:r>
      <w:r>
        <w:rPr>
          <w:sz w:val="22"/>
        </w:rPr>
        <w:t>explore</w:t>
      </w:r>
      <w:r>
        <w:rPr>
          <w:spacing w:val="-11"/>
          <w:sz w:val="22"/>
        </w:rPr>
        <w:t> </w:t>
      </w:r>
      <w:r>
        <w:rPr>
          <w:sz w:val="22"/>
        </w:rPr>
        <w:t>mechanisms</w:t>
      </w:r>
      <w:r>
        <w:rPr>
          <w:spacing w:val="-11"/>
          <w:sz w:val="22"/>
        </w:rPr>
        <w:t> </w:t>
      </w:r>
      <w:r>
        <w:rPr>
          <w:sz w:val="22"/>
        </w:rPr>
        <w:t>for</w:t>
      </w:r>
      <w:r>
        <w:rPr>
          <w:spacing w:val="-11"/>
          <w:sz w:val="22"/>
        </w:rPr>
        <w:t> </w:t>
      </w:r>
      <w:r>
        <w:rPr>
          <w:sz w:val="22"/>
        </w:rPr>
        <w:t>identification</w:t>
      </w:r>
      <w:r>
        <w:rPr>
          <w:spacing w:val="-11"/>
          <w:sz w:val="22"/>
        </w:rPr>
        <w:t> </w:t>
      </w:r>
      <w:r>
        <w:rPr>
          <w:sz w:val="22"/>
        </w:rPr>
        <w:t>of</w:t>
      </w:r>
      <w:r>
        <w:rPr>
          <w:spacing w:val="-11"/>
          <w:sz w:val="22"/>
        </w:rPr>
        <w:t> </w:t>
      </w:r>
      <w:r>
        <w:rPr>
          <w:sz w:val="22"/>
        </w:rPr>
        <w:t>key IPR</w:t>
      </w:r>
      <w:r>
        <w:rPr>
          <w:spacing w:val="-2"/>
          <w:sz w:val="22"/>
        </w:rPr>
        <w:t> </w:t>
      </w:r>
      <w:r>
        <w:rPr>
          <w:sz w:val="22"/>
        </w:rPr>
        <w:t>issues</w:t>
      </w:r>
      <w:r>
        <w:rPr>
          <w:spacing w:val="-2"/>
          <w:sz w:val="22"/>
        </w:rPr>
        <w:t> </w:t>
      </w:r>
      <w:r>
        <w:rPr>
          <w:sz w:val="22"/>
        </w:rPr>
        <w:t>in</w:t>
      </w:r>
      <w:r>
        <w:rPr>
          <w:spacing w:val="-2"/>
          <w:sz w:val="22"/>
        </w:rPr>
        <w:t> </w:t>
      </w:r>
      <w:r>
        <w:rPr>
          <w:sz w:val="22"/>
        </w:rPr>
        <w:t>new</w:t>
      </w:r>
      <w:r>
        <w:rPr>
          <w:spacing w:val="-2"/>
          <w:sz w:val="22"/>
        </w:rPr>
        <w:t> </w:t>
      </w:r>
      <w:r>
        <w:rPr>
          <w:sz w:val="22"/>
        </w:rPr>
        <w:t>technology</w:t>
      </w:r>
      <w:r>
        <w:rPr>
          <w:spacing w:val="-2"/>
          <w:sz w:val="22"/>
        </w:rPr>
        <w:t> </w:t>
      </w:r>
      <w:r>
        <w:rPr>
          <w:sz w:val="22"/>
        </w:rPr>
        <w:t>areas.</w:t>
      </w:r>
    </w:p>
    <w:p>
      <w:pPr>
        <w:pStyle w:val="BodyText"/>
        <w:spacing w:before="10"/>
      </w:pPr>
    </w:p>
    <w:p>
      <w:pPr>
        <w:pStyle w:val="ListParagraph"/>
        <w:numPr>
          <w:ilvl w:val="0"/>
          <w:numId w:val="6"/>
        </w:numPr>
        <w:tabs>
          <w:tab w:pos="679" w:val="left" w:leader="none"/>
        </w:tabs>
        <w:spacing w:line="266" w:lineRule="auto" w:before="0" w:after="0"/>
        <w:ind w:left="679" w:right="1077" w:hanging="360"/>
        <w:jc w:val="both"/>
        <w:rPr>
          <w:sz w:val="22"/>
        </w:rPr>
      </w:pPr>
      <w:r>
        <w:rPr>
          <w:b/>
          <w:w w:val="90"/>
          <w:sz w:val="22"/>
        </w:rPr>
        <w:t>Legal Framework for Public Funded Research:</w:t>
      </w:r>
      <w:r>
        <w:rPr>
          <w:b/>
          <w:spacing w:val="-5"/>
          <w:w w:val="90"/>
          <w:sz w:val="22"/>
        </w:rPr>
        <w:t> </w:t>
      </w:r>
      <w:r>
        <w:rPr>
          <w:w w:val="90"/>
          <w:sz w:val="22"/>
        </w:rPr>
        <w:t>To revitalise research in universities and give an impetus </w:t>
      </w:r>
      <w:r>
        <w:rPr>
          <w:spacing w:val="-4"/>
          <w:sz w:val="22"/>
        </w:rPr>
        <w:t>to</w:t>
      </w:r>
      <w:r>
        <w:rPr>
          <w:spacing w:val="-12"/>
          <w:sz w:val="22"/>
        </w:rPr>
        <w:t> </w:t>
      </w:r>
      <w:r>
        <w:rPr>
          <w:spacing w:val="-4"/>
          <w:sz w:val="22"/>
        </w:rPr>
        <w:t>public</w:t>
      </w:r>
      <w:r>
        <w:rPr>
          <w:spacing w:val="-10"/>
          <w:sz w:val="22"/>
        </w:rPr>
        <w:t> </w:t>
      </w:r>
      <w:r>
        <w:rPr>
          <w:spacing w:val="-4"/>
          <w:sz w:val="22"/>
        </w:rPr>
        <w:t>funded</w:t>
      </w:r>
      <w:r>
        <w:rPr>
          <w:spacing w:val="-10"/>
          <w:sz w:val="22"/>
        </w:rPr>
        <w:t> </w:t>
      </w:r>
      <w:r>
        <w:rPr>
          <w:spacing w:val="-4"/>
          <w:sz w:val="22"/>
        </w:rPr>
        <w:t>research,</w:t>
      </w:r>
      <w:r>
        <w:rPr>
          <w:spacing w:val="-9"/>
          <w:sz w:val="22"/>
        </w:rPr>
        <w:t> </w:t>
      </w:r>
      <w:r>
        <w:rPr>
          <w:spacing w:val="-4"/>
          <w:sz w:val="22"/>
        </w:rPr>
        <w:t>there</w:t>
      </w:r>
      <w:r>
        <w:rPr>
          <w:spacing w:val="-10"/>
          <w:sz w:val="22"/>
        </w:rPr>
        <w:t> </w:t>
      </w:r>
      <w:r>
        <w:rPr>
          <w:spacing w:val="-4"/>
          <w:sz w:val="22"/>
        </w:rPr>
        <w:t>is</w:t>
      </w:r>
      <w:r>
        <w:rPr>
          <w:spacing w:val="-10"/>
          <w:sz w:val="22"/>
        </w:rPr>
        <w:t> </w:t>
      </w:r>
      <w:r>
        <w:rPr>
          <w:spacing w:val="-4"/>
          <w:sz w:val="22"/>
        </w:rPr>
        <w:t>a</w:t>
      </w:r>
      <w:r>
        <w:rPr>
          <w:spacing w:val="-10"/>
          <w:sz w:val="22"/>
        </w:rPr>
        <w:t> </w:t>
      </w:r>
      <w:r>
        <w:rPr>
          <w:spacing w:val="-4"/>
          <w:sz w:val="22"/>
        </w:rPr>
        <w:t>requirement</w:t>
      </w:r>
      <w:r>
        <w:rPr>
          <w:spacing w:val="-9"/>
          <w:sz w:val="22"/>
        </w:rPr>
        <w:t> </w:t>
      </w:r>
      <w:r>
        <w:rPr>
          <w:spacing w:val="-4"/>
          <w:sz w:val="22"/>
        </w:rPr>
        <w:t>for </w:t>
      </w:r>
      <w:r>
        <w:rPr>
          <w:spacing w:val="-8"/>
          <w:sz w:val="22"/>
        </w:rPr>
        <w:t>enacting</w:t>
      </w:r>
      <w:r>
        <w:rPr>
          <w:spacing w:val="-6"/>
          <w:sz w:val="22"/>
        </w:rPr>
        <w:t> </w:t>
      </w:r>
      <w:r>
        <w:rPr>
          <w:spacing w:val="-8"/>
          <w:sz w:val="22"/>
        </w:rPr>
        <w:t>a</w:t>
      </w:r>
      <w:r>
        <w:rPr>
          <w:spacing w:val="-6"/>
          <w:sz w:val="22"/>
        </w:rPr>
        <w:t> </w:t>
      </w:r>
      <w:r>
        <w:rPr>
          <w:spacing w:val="-8"/>
          <w:sz w:val="22"/>
        </w:rPr>
        <w:t>legislation</w:t>
      </w:r>
      <w:r>
        <w:rPr>
          <w:spacing w:val="-6"/>
          <w:sz w:val="22"/>
        </w:rPr>
        <w:t> </w:t>
      </w:r>
      <w:r>
        <w:rPr>
          <w:spacing w:val="-8"/>
          <w:sz w:val="22"/>
        </w:rPr>
        <w:t>that</w:t>
      </w:r>
      <w:r>
        <w:rPr>
          <w:spacing w:val="-5"/>
          <w:sz w:val="22"/>
        </w:rPr>
        <w:t> </w:t>
      </w:r>
      <w:r>
        <w:rPr>
          <w:spacing w:val="-8"/>
          <w:sz w:val="22"/>
        </w:rPr>
        <w:t>would</w:t>
      </w:r>
      <w:r>
        <w:rPr>
          <w:spacing w:val="-6"/>
          <w:sz w:val="22"/>
        </w:rPr>
        <w:t> </w:t>
      </w:r>
      <w:r>
        <w:rPr>
          <w:spacing w:val="-8"/>
          <w:sz w:val="22"/>
        </w:rPr>
        <w:t>give</w:t>
      </w:r>
      <w:r>
        <w:rPr>
          <w:spacing w:val="-6"/>
          <w:sz w:val="22"/>
        </w:rPr>
        <w:t> </w:t>
      </w:r>
      <w:r>
        <w:rPr>
          <w:spacing w:val="-8"/>
          <w:sz w:val="22"/>
        </w:rPr>
        <w:t>universities</w:t>
      </w:r>
      <w:r>
        <w:rPr>
          <w:spacing w:val="-6"/>
          <w:sz w:val="22"/>
        </w:rPr>
        <w:t> </w:t>
      </w:r>
      <w:r>
        <w:rPr>
          <w:spacing w:val="-8"/>
          <w:sz w:val="22"/>
        </w:rPr>
        <w:t>and </w:t>
      </w:r>
      <w:r>
        <w:rPr>
          <w:sz w:val="22"/>
        </w:rPr>
        <w:t>research institutions ownership and patent </w:t>
      </w:r>
      <w:r>
        <w:rPr>
          <w:sz w:val="22"/>
        </w:rPr>
        <w:t>rights over</w:t>
      </w:r>
      <w:r>
        <w:rPr>
          <w:spacing w:val="-11"/>
          <w:sz w:val="22"/>
        </w:rPr>
        <w:t> </w:t>
      </w:r>
      <w:r>
        <w:rPr>
          <w:sz w:val="22"/>
        </w:rPr>
        <w:t>inventions</w:t>
      </w:r>
      <w:r>
        <w:rPr>
          <w:spacing w:val="-11"/>
          <w:sz w:val="22"/>
        </w:rPr>
        <w:t> </w:t>
      </w:r>
      <w:r>
        <w:rPr>
          <w:sz w:val="22"/>
        </w:rPr>
        <w:t>arising</w:t>
      </w:r>
      <w:r>
        <w:rPr>
          <w:spacing w:val="-11"/>
          <w:sz w:val="22"/>
        </w:rPr>
        <w:t> </w:t>
      </w:r>
      <w:r>
        <w:rPr>
          <w:sz w:val="22"/>
        </w:rPr>
        <w:t>out</w:t>
      </w:r>
      <w:r>
        <w:rPr>
          <w:spacing w:val="-11"/>
          <w:sz w:val="22"/>
        </w:rPr>
        <w:t> </w:t>
      </w:r>
      <w:r>
        <w:rPr>
          <w:sz w:val="22"/>
        </w:rPr>
        <w:t>of</w:t>
      </w:r>
      <w:r>
        <w:rPr>
          <w:spacing w:val="-11"/>
          <w:sz w:val="22"/>
        </w:rPr>
        <w:t> </w:t>
      </w:r>
      <w:r>
        <w:rPr>
          <w:sz w:val="22"/>
        </w:rPr>
        <w:t>government</w:t>
      </w:r>
      <w:r>
        <w:rPr>
          <w:spacing w:val="-11"/>
          <w:sz w:val="22"/>
        </w:rPr>
        <w:t> </w:t>
      </w:r>
      <w:r>
        <w:rPr>
          <w:sz w:val="22"/>
        </w:rPr>
        <w:t>funded </w:t>
      </w:r>
      <w:r>
        <w:rPr>
          <w:spacing w:val="-2"/>
          <w:sz w:val="22"/>
        </w:rPr>
        <w:t>research.</w:t>
      </w:r>
      <w:r>
        <w:rPr>
          <w:spacing w:val="-12"/>
          <w:sz w:val="22"/>
        </w:rPr>
        <w:t> </w:t>
      </w:r>
      <w:r>
        <w:rPr>
          <w:spacing w:val="-2"/>
          <w:sz w:val="22"/>
        </w:rPr>
        <w:t>This</w:t>
      </w:r>
      <w:r>
        <w:rPr>
          <w:spacing w:val="-12"/>
          <w:sz w:val="22"/>
        </w:rPr>
        <w:t> </w:t>
      </w:r>
      <w:r>
        <w:rPr>
          <w:spacing w:val="-2"/>
          <w:sz w:val="22"/>
        </w:rPr>
        <w:t>will</w:t>
      </w:r>
      <w:r>
        <w:rPr>
          <w:spacing w:val="-12"/>
          <w:sz w:val="22"/>
        </w:rPr>
        <w:t> </w:t>
      </w:r>
      <w:r>
        <w:rPr>
          <w:spacing w:val="-2"/>
          <w:sz w:val="22"/>
        </w:rPr>
        <w:t>create</w:t>
      </w:r>
      <w:r>
        <w:rPr>
          <w:spacing w:val="-10"/>
          <w:sz w:val="22"/>
        </w:rPr>
        <w:t> </w:t>
      </w:r>
      <w:r>
        <w:rPr>
          <w:spacing w:val="-2"/>
          <w:sz w:val="22"/>
        </w:rPr>
        <w:t>an</w:t>
      </w:r>
      <w:r>
        <w:rPr>
          <w:spacing w:val="-10"/>
          <w:sz w:val="22"/>
        </w:rPr>
        <w:t> </w:t>
      </w:r>
      <w:r>
        <w:rPr>
          <w:spacing w:val="-2"/>
          <w:sz w:val="22"/>
        </w:rPr>
        <w:t>enabling</w:t>
      </w:r>
      <w:r>
        <w:rPr>
          <w:spacing w:val="-10"/>
          <w:sz w:val="22"/>
        </w:rPr>
        <w:t> </w:t>
      </w:r>
      <w:r>
        <w:rPr>
          <w:spacing w:val="-2"/>
          <w:sz w:val="22"/>
        </w:rPr>
        <w:t>environment</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77"/>
        <w:ind w:left="1440" w:right="1"/>
        <w:jc w:val="both"/>
      </w:pPr>
      <w:r>
        <w:rPr/>
        <w:t>for</w:t>
      </w:r>
      <w:r>
        <w:rPr>
          <w:spacing w:val="-11"/>
        </w:rPr>
        <w:t> </w:t>
      </w:r>
      <w:r>
        <w:rPr/>
        <w:t>commercialisation</w:t>
      </w:r>
      <w:r>
        <w:rPr>
          <w:spacing w:val="-11"/>
        </w:rPr>
        <w:t> </w:t>
      </w:r>
      <w:r>
        <w:rPr/>
        <w:t>of</w:t>
      </w:r>
      <w:r>
        <w:rPr>
          <w:spacing w:val="-11"/>
        </w:rPr>
        <w:t> </w:t>
      </w:r>
      <w:r>
        <w:rPr/>
        <w:t>such</w:t>
      </w:r>
      <w:r>
        <w:rPr>
          <w:spacing w:val="-11"/>
        </w:rPr>
        <w:t> </w:t>
      </w:r>
      <w:r>
        <w:rPr/>
        <w:t>inventions</w:t>
      </w:r>
      <w:r>
        <w:rPr>
          <w:spacing w:val="-11"/>
        </w:rPr>
        <w:t> </w:t>
      </w:r>
      <w:r>
        <w:rPr/>
        <w:t>through </w:t>
      </w:r>
      <w:r>
        <w:rPr>
          <w:spacing w:val="-4"/>
        </w:rPr>
        <w:t>licensing</w:t>
      </w:r>
      <w:r>
        <w:rPr>
          <w:spacing w:val="-10"/>
        </w:rPr>
        <w:t> </w:t>
      </w:r>
      <w:r>
        <w:rPr>
          <w:spacing w:val="-4"/>
        </w:rPr>
        <w:t>arrangements</w:t>
      </w:r>
      <w:r>
        <w:rPr>
          <w:spacing w:val="-9"/>
        </w:rPr>
        <w:t> </w:t>
      </w:r>
      <w:r>
        <w:rPr>
          <w:spacing w:val="-4"/>
        </w:rPr>
        <w:t>where</w:t>
      </w:r>
      <w:r>
        <w:rPr>
          <w:spacing w:val="-10"/>
        </w:rPr>
        <w:t> </w:t>
      </w:r>
      <w:r>
        <w:rPr>
          <w:spacing w:val="-4"/>
        </w:rPr>
        <w:t>inventors</w:t>
      </w:r>
      <w:r>
        <w:rPr>
          <w:spacing w:val="-9"/>
        </w:rPr>
        <w:t> </w:t>
      </w:r>
      <w:r>
        <w:rPr>
          <w:spacing w:val="-4"/>
        </w:rPr>
        <w:t>would</w:t>
      </w:r>
      <w:r>
        <w:rPr>
          <w:spacing w:val="-10"/>
        </w:rPr>
        <w:t> </w:t>
      </w:r>
      <w:r>
        <w:rPr>
          <w:spacing w:val="-4"/>
        </w:rPr>
        <w:t>also </w:t>
      </w:r>
      <w:r>
        <w:rPr/>
        <w:t>be</w:t>
      </w:r>
      <w:r>
        <w:rPr>
          <w:spacing w:val="-11"/>
        </w:rPr>
        <w:t> </w:t>
      </w:r>
      <w:r>
        <w:rPr/>
        <w:t>allowed</w:t>
      </w:r>
      <w:r>
        <w:rPr>
          <w:spacing w:val="-11"/>
        </w:rPr>
        <w:t> </w:t>
      </w:r>
      <w:r>
        <w:rPr/>
        <w:t>to</w:t>
      </w:r>
      <w:r>
        <w:rPr>
          <w:spacing w:val="-11"/>
        </w:rPr>
        <w:t> </w:t>
      </w:r>
      <w:r>
        <w:rPr/>
        <w:t>receive</w:t>
      </w:r>
      <w:r>
        <w:rPr>
          <w:spacing w:val="-11"/>
        </w:rPr>
        <w:t> </w:t>
      </w:r>
      <w:r>
        <w:rPr/>
        <w:t>a</w:t>
      </w:r>
      <w:r>
        <w:rPr>
          <w:spacing w:val="-11"/>
        </w:rPr>
        <w:t> </w:t>
      </w:r>
      <w:r>
        <w:rPr/>
        <w:t>share</w:t>
      </w:r>
      <w:r>
        <w:rPr>
          <w:spacing w:val="-11"/>
        </w:rPr>
        <w:t> </w:t>
      </w:r>
      <w:r>
        <w:rPr/>
        <w:t>of</w:t>
      </w:r>
      <w:r>
        <w:rPr>
          <w:spacing w:val="-11"/>
        </w:rPr>
        <w:t> </w:t>
      </w:r>
      <w:r>
        <w:rPr/>
        <w:t>the</w:t>
      </w:r>
      <w:r>
        <w:rPr>
          <w:spacing w:val="-11"/>
        </w:rPr>
        <w:t> </w:t>
      </w:r>
      <w:r>
        <w:rPr/>
        <w:t>royalty.</w:t>
      </w:r>
    </w:p>
    <w:p>
      <w:pPr>
        <w:pStyle w:val="BodyText"/>
        <w:spacing w:before="25"/>
      </w:pPr>
    </w:p>
    <w:p>
      <w:pPr>
        <w:pStyle w:val="ListParagraph"/>
        <w:numPr>
          <w:ilvl w:val="1"/>
          <w:numId w:val="6"/>
        </w:numPr>
        <w:tabs>
          <w:tab w:pos="1439" w:val="left" w:leader="none"/>
        </w:tabs>
        <w:spacing w:line="266" w:lineRule="auto" w:before="0" w:after="0"/>
        <w:ind w:left="1439" w:right="0" w:hanging="360"/>
        <w:jc w:val="both"/>
        <w:rPr>
          <w:sz w:val="22"/>
        </w:rPr>
      </w:pPr>
      <w:r>
        <w:rPr>
          <w:b/>
          <w:spacing w:val="-6"/>
          <w:sz w:val="22"/>
        </w:rPr>
        <w:t>National Science and Social Science </w:t>
      </w:r>
      <w:r>
        <w:rPr>
          <w:b/>
          <w:spacing w:val="-6"/>
          <w:sz w:val="22"/>
        </w:rPr>
        <w:t>Foundation: </w:t>
      </w:r>
      <w:r>
        <w:rPr>
          <w:spacing w:val="-4"/>
          <w:sz w:val="22"/>
        </w:rPr>
        <w:t>A National Science and Social Science Foundation </w:t>
      </w:r>
      <w:r>
        <w:rPr>
          <w:spacing w:val="-6"/>
          <w:sz w:val="22"/>
        </w:rPr>
        <w:t>(NSSSF)</w:t>
      </w:r>
      <w:r>
        <w:rPr>
          <w:spacing w:val="-8"/>
          <w:sz w:val="22"/>
        </w:rPr>
        <w:t> </w:t>
      </w:r>
      <w:r>
        <w:rPr>
          <w:spacing w:val="-6"/>
          <w:sz w:val="22"/>
        </w:rPr>
        <w:t>has</w:t>
      </w:r>
      <w:r>
        <w:rPr>
          <w:spacing w:val="-8"/>
          <w:sz w:val="22"/>
        </w:rPr>
        <w:t> </w:t>
      </w:r>
      <w:r>
        <w:rPr>
          <w:spacing w:val="-6"/>
          <w:sz w:val="22"/>
        </w:rPr>
        <w:t>been</w:t>
      </w:r>
      <w:r>
        <w:rPr>
          <w:spacing w:val="-8"/>
          <w:sz w:val="22"/>
        </w:rPr>
        <w:t> </w:t>
      </w:r>
      <w:r>
        <w:rPr>
          <w:spacing w:val="-6"/>
          <w:sz w:val="22"/>
        </w:rPr>
        <w:t>recommended</w:t>
      </w:r>
      <w:r>
        <w:rPr>
          <w:spacing w:val="-7"/>
          <w:sz w:val="22"/>
        </w:rPr>
        <w:t> </w:t>
      </w:r>
      <w:r>
        <w:rPr>
          <w:spacing w:val="-6"/>
          <w:sz w:val="22"/>
        </w:rPr>
        <w:t>by</w:t>
      </w:r>
      <w:r>
        <w:rPr>
          <w:spacing w:val="-8"/>
          <w:sz w:val="22"/>
        </w:rPr>
        <w:t> </w:t>
      </w:r>
      <w:r>
        <w:rPr>
          <w:spacing w:val="-6"/>
          <w:sz w:val="22"/>
        </w:rPr>
        <w:t>NKC</w:t>
      </w:r>
      <w:r>
        <w:rPr>
          <w:spacing w:val="-8"/>
          <w:sz w:val="22"/>
        </w:rPr>
        <w:t> </w:t>
      </w:r>
      <w:r>
        <w:rPr>
          <w:spacing w:val="-6"/>
          <w:sz w:val="22"/>
        </w:rPr>
        <w:t>to</w:t>
      </w:r>
      <w:r>
        <w:rPr>
          <w:spacing w:val="-8"/>
          <w:sz w:val="22"/>
        </w:rPr>
        <w:t> </w:t>
      </w:r>
      <w:r>
        <w:rPr>
          <w:spacing w:val="-6"/>
          <w:sz w:val="22"/>
        </w:rPr>
        <w:t>look</w:t>
      </w:r>
      <w:r>
        <w:rPr>
          <w:spacing w:val="-7"/>
          <w:sz w:val="22"/>
        </w:rPr>
        <w:t> </w:t>
      </w:r>
      <w:r>
        <w:rPr>
          <w:spacing w:val="-6"/>
          <w:sz w:val="22"/>
        </w:rPr>
        <w:t>at all</w:t>
      </w:r>
      <w:r>
        <w:rPr>
          <w:spacing w:val="-8"/>
          <w:sz w:val="22"/>
        </w:rPr>
        <w:t> </w:t>
      </w:r>
      <w:r>
        <w:rPr>
          <w:spacing w:val="-6"/>
          <w:sz w:val="22"/>
        </w:rPr>
        <w:t>knowledge</w:t>
      </w:r>
      <w:r>
        <w:rPr>
          <w:spacing w:val="-8"/>
          <w:sz w:val="22"/>
        </w:rPr>
        <w:t> </w:t>
      </w:r>
      <w:r>
        <w:rPr>
          <w:spacing w:val="-6"/>
          <w:sz w:val="22"/>
        </w:rPr>
        <w:t>as</w:t>
      </w:r>
      <w:r>
        <w:rPr>
          <w:spacing w:val="-8"/>
          <w:sz w:val="22"/>
        </w:rPr>
        <w:t> </w:t>
      </w:r>
      <w:r>
        <w:rPr>
          <w:spacing w:val="-6"/>
          <w:sz w:val="22"/>
        </w:rPr>
        <w:t>one</w:t>
      </w:r>
      <w:r>
        <w:rPr>
          <w:spacing w:val="-7"/>
          <w:sz w:val="22"/>
        </w:rPr>
        <w:t> </w:t>
      </w:r>
      <w:r>
        <w:rPr>
          <w:spacing w:val="-6"/>
          <w:sz w:val="22"/>
        </w:rPr>
        <w:t>seamless</w:t>
      </w:r>
      <w:r>
        <w:rPr>
          <w:spacing w:val="-8"/>
          <w:sz w:val="22"/>
        </w:rPr>
        <w:t> </w:t>
      </w:r>
      <w:r>
        <w:rPr>
          <w:spacing w:val="-6"/>
          <w:sz w:val="22"/>
        </w:rPr>
        <w:t>entity.</w:t>
      </w:r>
      <w:r>
        <w:rPr>
          <w:spacing w:val="-8"/>
          <w:sz w:val="22"/>
        </w:rPr>
        <w:t> </w:t>
      </w:r>
      <w:r>
        <w:rPr>
          <w:spacing w:val="-6"/>
          <w:sz w:val="22"/>
        </w:rPr>
        <w:t>The</w:t>
      </w:r>
      <w:r>
        <w:rPr>
          <w:spacing w:val="-8"/>
          <w:sz w:val="22"/>
        </w:rPr>
        <w:t> </w:t>
      </w:r>
      <w:r>
        <w:rPr>
          <w:spacing w:val="-6"/>
          <w:sz w:val="22"/>
        </w:rPr>
        <w:t>objectives </w:t>
      </w:r>
      <w:r>
        <w:rPr>
          <w:spacing w:val="-4"/>
          <w:sz w:val="22"/>
        </w:rPr>
        <w:t>of</w:t>
      </w:r>
      <w:r>
        <w:rPr>
          <w:spacing w:val="-10"/>
          <w:sz w:val="22"/>
        </w:rPr>
        <w:t> </w:t>
      </w:r>
      <w:r>
        <w:rPr>
          <w:spacing w:val="-4"/>
          <w:sz w:val="22"/>
        </w:rPr>
        <w:t>the</w:t>
      </w:r>
      <w:r>
        <w:rPr>
          <w:spacing w:val="-10"/>
          <w:sz w:val="22"/>
        </w:rPr>
        <w:t> </w:t>
      </w:r>
      <w:r>
        <w:rPr>
          <w:spacing w:val="-4"/>
          <w:sz w:val="22"/>
        </w:rPr>
        <w:t>NSSSF</w:t>
      </w:r>
      <w:r>
        <w:rPr>
          <w:spacing w:val="-10"/>
          <w:sz w:val="22"/>
        </w:rPr>
        <w:t> </w:t>
      </w:r>
      <w:r>
        <w:rPr>
          <w:spacing w:val="-4"/>
          <w:sz w:val="22"/>
        </w:rPr>
        <w:t>would</w:t>
      </w:r>
      <w:r>
        <w:rPr>
          <w:spacing w:val="-9"/>
          <w:sz w:val="22"/>
        </w:rPr>
        <w:t> </w:t>
      </w:r>
      <w:r>
        <w:rPr>
          <w:spacing w:val="-4"/>
          <w:sz w:val="22"/>
        </w:rPr>
        <w:t>be</w:t>
      </w:r>
      <w:r>
        <w:rPr>
          <w:spacing w:val="-10"/>
          <w:sz w:val="22"/>
        </w:rPr>
        <w:t> </w:t>
      </w:r>
      <w:r>
        <w:rPr>
          <w:spacing w:val="-4"/>
          <w:sz w:val="22"/>
        </w:rPr>
        <w:t>to</w:t>
      </w:r>
      <w:r>
        <w:rPr>
          <w:spacing w:val="-10"/>
          <w:sz w:val="22"/>
        </w:rPr>
        <w:t> </w:t>
      </w:r>
      <w:r>
        <w:rPr>
          <w:spacing w:val="-4"/>
          <w:sz w:val="22"/>
        </w:rPr>
        <w:t>suggest</w:t>
      </w:r>
      <w:r>
        <w:rPr>
          <w:spacing w:val="-10"/>
          <w:sz w:val="22"/>
        </w:rPr>
        <w:t> </w:t>
      </w:r>
      <w:r>
        <w:rPr>
          <w:spacing w:val="-4"/>
          <w:sz w:val="22"/>
        </w:rPr>
        <w:t>policy</w:t>
      </w:r>
      <w:r>
        <w:rPr>
          <w:spacing w:val="-9"/>
          <w:sz w:val="22"/>
        </w:rPr>
        <w:t> </w:t>
      </w:r>
      <w:r>
        <w:rPr>
          <w:spacing w:val="-4"/>
          <w:sz w:val="22"/>
        </w:rPr>
        <w:t>initiatives </w:t>
      </w:r>
      <w:r>
        <w:rPr>
          <w:sz w:val="22"/>
        </w:rPr>
        <w:t>to make India a leader in the creation and use of new knowledge in all areas of natural, physical, agricultural,</w:t>
      </w:r>
      <w:r>
        <w:rPr>
          <w:spacing w:val="-5"/>
          <w:sz w:val="22"/>
        </w:rPr>
        <w:t> </w:t>
      </w:r>
      <w:r>
        <w:rPr>
          <w:sz w:val="22"/>
        </w:rPr>
        <w:t>health,</w:t>
      </w:r>
      <w:r>
        <w:rPr>
          <w:spacing w:val="-5"/>
          <w:sz w:val="22"/>
        </w:rPr>
        <w:t> </w:t>
      </w:r>
      <w:r>
        <w:rPr>
          <w:sz w:val="22"/>
        </w:rPr>
        <w:t>and</w:t>
      </w:r>
      <w:r>
        <w:rPr>
          <w:spacing w:val="-5"/>
          <w:sz w:val="22"/>
        </w:rPr>
        <w:t> </w:t>
      </w:r>
      <w:r>
        <w:rPr>
          <w:sz w:val="22"/>
        </w:rPr>
        <w:t>social</w:t>
      </w:r>
      <w:r>
        <w:rPr>
          <w:spacing w:val="-5"/>
          <w:sz w:val="22"/>
        </w:rPr>
        <w:t> </w:t>
      </w:r>
      <w:r>
        <w:rPr>
          <w:sz w:val="22"/>
        </w:rPr>
        <w:t>sciences.</w:t>
      </w:r>
    </w:p>
    <w:p>
      <w:pPr>
        <w:pStyle w:val="BodyText"/>
        <w:spacing w:before="20"/>
      </w:pPr>
    </w:p>
    <w:p>
      <w:pPr>
        <w:pStyle w:val="ListParagraph"/>
        <w:numPr>
          <w:ilvl w:val="1"/>
          <w:numId w:val="6"/>
        </w:numPr>
        <w:tabs>
          <w:tab w:pos="1439" w:val="left" w:leader="none"/>
        </w:tabs>
        <w:spacing w:line="266" w:lineRule="auto" w:before="1" w:after="0"/>
        <w:ind w:left="1439" w:right="0" w:hanging="360"/>
        <w:jc w:val="both"/>
        <w:rPr>
          <w:sz w:val="22"/>
        </w:rPr>
      </w:pPr>
      <w:r>
        <w:rPr>
          <w:b/>
          <w:sz w:val="22"/>
        </w:rPr>
        <w:t>Innovation:</w:t>
      </w:r>
      <w:r>
        <w:rPr>
          <w:b/>
          <w:spacing w:val="-6"/>
          <w:sz w:val="22"/>
        </w:rPr>
        <w:t> </w:t>
      </w:r>
      <w:r>
        <w:rPr>
          <w:sz w:val="22"/>
        </w:rPr>
        <w:t>Innovation</w:t>
      </w:r>
      <w:r>
        <w:rPr>
          <w:spacing w:val="-6"/>
          <w:sz w:val="22"/>
        </w:rPr>
        <w:t> </w:t>
      </w:r>
      <w:r>
        <w:rPr>
          <w:sz w:val="22"/>
        </w:rPr>
        <w:t>is</w:t>
      </w:r>
      <w:r>
        <w:rPr>
          <w:spacing w:val="-6"/>
          <w:sz w:val="22"/>
        </w:rPr>
        <w:t> </w:t>
      </w:r>
      <w:r>
        <w:rPr>
          <w:sz w:val="22"/>
        </w:rPr>
        <w:t>a</w:t>
      </w:r>
      <w:r>
        <w:rPr>
          <w:spacing w:val="-6"/>
          <w:sz w:val="22"/>
        </w:rPr>
        <w:t> </w:t>
      </w:r>
      <w:r>
        <w:rPr>
          <w:sz w:val="22"/>
        </w:rPr>
        <w:t>key</w:t>
      </w:r>
      <w:r>
        <w:rPr>
          <w:spacing w:val="-6"/>
          <w:sz w:val="22"/>
        </w:rPr>
        <w:t> </w:t>
      </w:r>
      <w:r>
        <w:rPr>
          <w:sz w:val="22"/>
        </w:rPr>
        <w:t>driver</w:t>
      </w:r>
      <w:r>
        <w:rPr>
          <w:spacing w:val="-6"/>
          <w:sz w:val="22"/>
        </w:rPr>
        <w:t> </w:t>
      </w:r>
      <w:r>
        <w:rPr>
          <w:sz w:val="22"/>
        </w:rPr>
        <w:t>of</w:t>
      </w:r>
      <w:r>
        <w:rPr>
          <w:spacing w:val="-6"/>
          <w:sz w:val="22"/>
        </w:rPr>
        <w:t> </w:t>
      </w:r>
      <w:r>
        <w:rPr>
          <w:sz w:val="22"/>
        </w:rPr>
        <w:t>growth based on knowledge inputs. NKC conducted </w:t>
      </w:r>
      <w:r>
        <w:rPr>
          <w:sz w:val="22"/>
        </w:rPr>
        <w:t>an extensive</w:t>
      </w:r>
      <w:r>
        <w:rPr>
          <w:spacing w:val="-16"/>
          <w:sz w:val="22"/>
        </w:rPr>
        <w:t> </w:t>
      </w:r>
      <w:r>
        <w:rPr>
          <w:sz w:val="22"/>
        </w:rPr>
        <w:t>survey</w:t>
      </w:r>
      <w:r>
        <w:rPr>
          <w:spacing w:val="-14"/>
          <w:sz w:val="22"/>
        </w:rPr>
        <w:t> </w:t>
      </w:r>
      <w:r>
        <w:rPr>
          <w:sz w:val="22"/>
        </w:rPr>
        <w:t>on</w:t>
      </w:r>
      <w:r>
        <w:rPr>
          <w:spacing w:val="-14"/>
          <w:sz w:val="22"/>
        </w:rPr>
        <w:t> </w:t>
      </w:r>
      <w:r>
        <w:rPr>
          <w:sz w:val="22"/>
        </w:rPr>
        <w:t>the</w:t>
      </w:r>
      <w:r>
        <w:rPr>
          <w:spacing w:val="-13"/>
          <w:sz w:val="22"/>
        </w:rPr>
        <w:t> </w:t>
      </w:r>
      <w:r>
        <w:rPr>
          <w:sz w:val="22"/>
        </w:rPr>
        <w:t>status</w:t>
      </w:r>
      <w:r>
        <w:rPr>
          <w:spacing w:val="-14"/>
          <w:sz w:val="22"/>
        </w:rPr>
        <w:t> </w:t>
      </w:r>
      <w:r>
        <w:rPr>
          <w:sz w:val="22"/>
        </w:rPr>
        <w:t>of</w:t>
      </w:r>
      <w:r>
        <w:rPr>
          <w:spacing w:val="-14"/>
          <w:sz w:val="22"/>
        </w:rPr>
        <w:t> </w:t>
      </w:r>
      <w:r>
        <w:rPr>
          <w:sz w:val="22"/>
        </w:rPr>
        <w:t>innovation</w:t>
      </w:r>
      <w:r>
        <w:rPr>
          <w:spacing w:val="-14"/>
          <w:sz w:val="22"/>
        </w:rPr>
        <w:t> </w:t>
      </w:r>
      <w:r>
        <w:rPr>
          <w:sz w:val="22"/>
        </w:rPr>
        <w:t>in</w:t>
      </w:r>
      <w:r>
        <w:rPr>
          <w:spacing w:val="-13"/>
          <w:sz w:val="22"/>
        </w:rPr>
        <w:t> </w:t>
      </w:r>
      <w:r>
        <w:rPr>
          <w:sz w:val="22"/>
        </w:rPr>
        <w:t>the country. NKC’s Innovation Survey reveals that innovation is emerging as one of the key factors in India’s economic growth, where both large </w:t>
      </w:r>
      <w:r>
        <w:rPr>
          <w:spacing w:val="-2"/>
          <w:sz w:val="22"/>
        </w:rPr>
        <w:t>firms</w:t>
      </w:r>
      <w:r>
        <w:rPr>
          <w:spacing w:val="-10"/>
          <w:sz w:val="22"/>
        </w:rPr>
        <w:t> </w:t>
      </w:r>
      <w:r>
        <w:rPr>
          <w:spacing w:val="-2"/>
          <w:sz w:val="22"/>
        </w:rPr>
        <w:t>and</w:t>
      </w:r>
      <w:r>
        <w:rPr>
          <w:spacing w:val="-10"/>
          <w:sz w:val="22"/>
        </w:rPr>
        <w:t> </w:t>
      </w:r>
      <w:r>
        <w:rPr>
          <w:spacing w:val="-2"/>
          <w:sz w:val="22"/>
        </w:rPr>
        <w:t>SMEs</w:t>
      </w:r>
      <w:r>
        <w:rPr>
          <w:spacing w:val="-10"/>
          <w:sz w:val="22"/>
        </w:rPr>
        <w:t> </w:t>
      </w:r>
      <w:r>
        <w:rPr>
          <w:spacing w:val="-2"/>
          <w:sz w:val="22"/>
        </w:rPr>
        <w:t>have</w:t>
      </w:r>
      <w:r>
        <w:rPr>
          <w:spacing w:val="-10"/>
          <w:sz w:val="22"/>
        </w:rPr>
        <w:t> </w:t>
      </w:r>
      <w:r>
        <w:rPr>
          <w:spacing w:val="-2"/>
          <w:sz w:val="22"/>
        </w:rPr>
        <w:t>increased</w:t>
      </w:r>
      <w:r>
        <w:rPr>
          <w:spacing w:val="-10"/>
          <w:sz w:val="22"/>
        </w:rPr>
        <w:t> </w:t>
      </w:r>
      <w:r>
        <w:rPr>
          <w:spacing w:val="-2"/>
          <w:sz w:val="22"/>
        </w:rPr>
        <w:t>innovation</w:t>
      </w:r>
      <w:r>
        <w:rPr>
          <w:spacing w:val="-10"/>
          <w:sz w:val="22"/>
        </w:rPr>
        <w:t> </w:t>
      </w:r>
      <w:r>
        <w:rPr>
          <w:spacing w:val="-2"/>
          <w:sz w:val="22"/>
        </w:rPr>
        <w:t>related revenues.</w:t>
      </w:r>
      <w:r>
        <w:rPr>
          <w:spacing w:val="-12"/>
          <w:sz w:val="22"/>
        </w:rPr>
        <w:t> </w:t>
      </w:r>
      <w:r>
        <w:rPr>
          <w:spacing w:val="-2"/>
          <w:sz w:val="22"/>
        </w:rPr>
        <w:t>The</w:t>
      </w:r>
      <w:r>
        <w:rPr>
          <w:spacing w:val="-12"/>
          <w:sz w:val="22"/>
        </w:rPr>
        <w:t> </w:t>
      </w:r>
      <w:r>
        <w:rPr>
          <w:spacing w:val="-2"/>
          <w:sz w:val="22"/>
        </w:rPr>
        <w:t>strategic</w:t>
      </w:r>
      <w:r>
        <w:rPr>
          <w:spacing w:val="-12"/>
          <w:sz w:val="22"/>
        </w:rPr>
        <w:t> </w:t>
      </w:r>
      <w:r>
        <w:rPr>
          <w:spacing w:val="-2"/>
          <w:sz w:val="22"/>
        </w:rPr>
        <w:t>prioritisation</w:t>
      </w:r>
      <w:r>
        <w:rPr>
          <w:spacing w:val="-11"/>
          <w:sz w:val="22"/>
        </w:rPr>
        <w:t> </w:t>
      </w:r>
      <w:r>
        <w:rPr>
          <w:spacing w:val="-2"/>
          <w:sz w:val="22"/>
        </w:rPr>
        <w:t>of</w:t>
      </w:r>
      <w:r>
        <w:rPr>
          <w:spacing w:val="-12"/>
          <w:sz w:val="22"/>
        </w:rPr>
        <w:t> </w:t>
      </w:r>
      <w:r>
        <w:rPr>
          <w:spacing w:val="-2"/>
          <w:sz w:val="22"/>
        </w:rPr>
        <w:t>innovation </w:t>
      </w:r>
      <w:r>
        <w:rPr>
          <w:sz w:val="22"/>
        </w:rPr>
        <w:t>has also increased significantly since the start of </w:t>
      </w:r>
      <w:r>
        <w:rPr>
          <w:spacing w:val="-6"/>
          <w:sz w:val="22"/>
        </w:rPr>
        <w:t>economic</w:t>
      </w:r>
      <w:r>
        <w:rPr>
          <w:spacing w:val="-8"/>
          <w:sz w:val="22"/>
        </w:rPr>
        <w:t> </w:t>
      </w:r>
      <w:r>
        <w:rPr>
          <w:spacing w:val="-6"/>
          <w:sz w:val="22"/>
        </w:rPr>
        <w:t>liberalisation.</w:t>
      </w:r>
      <w:r>
        <w:rPr>
          <w:spacing w:val="-8"/>
          <w:sz w:val="22"/>
        </w:rPr>
        <w:t> </w:t>
      </w:r>
      <w:r>
        <w:rPr>
          <w:spacing w:val="-6"/>
          <w:sz w:val="22"/>
        </w:rPr>
        <w:t>Crucial</w:t>
      </w:r>
      <w:r>
        <w:rPr>
          <w:spacing w:val="-8"/>
          <w:sz w:val="22"/>
        </w:rPr>
        <w:t> </w:t>
      </w:r>
      <w:r>
        <w:rPr>
          <w:spacing w:val="-6"/>
          <w:sz w:val="22"/>
        </w:rPr>
        <w:t>firm</w:t>
      </w:r>
      <w:r>
        <w:rPr>
          <w:spacing w:val="-7"/>
          <w:sz w:val="22"/>
        </w:rPr>
        <w:t> </w:t>
      </w:r>
      <w:r>
        <w:rPr>
          <w:spacing w:val="-6"/>
          <w:sz w:val="22"/>
        </w:rPr>
        <w:t>level</w:t>
      </w:r>
      <w:r>
        <w:rPr>
          <w:spacing w:val="-8"/>
          <w:sz w:val="22"/>
        </w:rPr>
        <w:t> </w:t>
      </w:r>
      <w:r>
        <w:rPr>
          <w:spacing w:val="-6"/>
          <w:sz w:val="22"/>
        </w:rPr>
        <w:t>structures </w:t>
      </w:r>
      <w:r>
        <w:rPr>
          <w:sz w:val="22"/>
        </w:rPr>
        <w:t>and processes play a key role in innovation, but skill shortage arising out of lack of emphasis on experimentation/problem</w:t>
      </w:r>
      <w:r>
        <w:rPr>
          <w:spacing w:val="-5"/>
          <w:sz w:val="22"/>
        </w:rPr>
        <w:t> </w:t>
      </w:r>
      <w:r>
        <w:rPr>
          <w:sz w:val="22"/>
        </w:rPr>
        <w:t>solving</w:t>
      </w:r>
      <w:r>
        <w:rPr>
          <w:spacing w:val="-5"/>
          <w:sz w:val="22"/>
        </w:rPr>
        <w:t> </w:t>
      </w:r>
      <w:r>
        <w:rPr>
          <w:sz w:val="22"/>
        </w:rPr>
        <w:t>in</w:t>
      </w:r>
      <w:r>
        <w:rPr>
          <w:spacing w:val="-5"/>
          <w:sz w:val="22"/>
        </w:rPr>
        <w:t> </w:t>
      </w:r>
      <w:r>
        <w:rPr>
          <w:sz w:val="22"/>
        </w:rPr>
        <w:t>the</w:t>
      </w:r>
      <w:r>
        <w:rPr>
          <w:spacing w:val="-5"/>
          <w:sz w:val="22"/>
        </w:rPr>
        <w:t> </w:t>
      </w:r>
      <w:r>
        <w:rPr>
          <w:sz w:val="22"/>
        </w:rPr>
        <w:t>curricula is a critical barrier. There is also need for more effective</w:t>
      </w:r>
      <w:r>
        <w:rPr>
          <w:spacing w:val="-2"/>
          <w:sz w:val="22"/>
        </w:rPr>
        <w:t> </w:t>
      </w:r>
      <w:r>
        <w:rPr>
          <w:sz w:val="22"/>
        </w:rPr>
        <w:t>synergy</w:t>
      </w:r>
      <w:r>
        <w:rPr>
          <w:spacing w:val="-2"/>
          <w:sz w:val="22"/>
        </w:rPr>
        <w:t> </w:t>
      </w:r>
      <w:r>
        <w:rPr>
          <w:sz w:val="22"/>
        </w:rPr>
        <w:t>between</w:t>
      </w:r>
      <w:r>
        <w:rPr>
          <w:spacing w:val="-2"/>
          <w:sz w:val="22"/>
        </w:rPr>
        <w:t> </w:t>
      </w:r>
      <w:r>
        <w:rPr>
          <w:sz w:val="22"/>
        </w:rPr>
        <w:t>industry,</w:t>
      </w:r>
      <w:r>
        <w:rPr>
          <w:spacing w:val="-2"/>
          <w:sz w:val="22"/>
        </w:rPr>
        <w:t> </w:t>
      </w:r>
      <w:r>
        <w:rPr>
          <w:sz w:val="22"/>
        </w:rPr>
        <w:t>government, </w:t>
      </w:r>
      <w:r>
        <w:rPr>
          <w:spacing w:val="-2"/>
          <w:sz w:val="22"/>
        </w:rPr>
        <w:t>the</w:t>
      </w:r>
      <w:r>
        <w:rPr>
          <w:spacing w:val="-12"/>
          <w:sz w:val="22"/>
        </w:rPr>
        <w:t> </w:t>
      </w:r>
      <w:r>
        <w:rPr>
          <w:spacing w:val="-2"/>
          <w:sz w:val="22"/>
        </w:rPr>
        <w:t>educational</w:t>
      </w:r>
      <w:r>
        <w:rPr>
          <w:spacing w:val="-12"/>
          <w:sz w:val="22"/>
        </w:rPr>
        <w:t> </w:t>
      </w:r>
      <w:r>
        <w:rPr>
          <w:spacing w:val="-2"/>
          <w:sz w:val="22"/>
        </w:rPr>
        <w:t>system,</w:t>
      </w:r>
      <w:r>
        <w:rPr>
          <w:spacing w:val="-12"/>
          <w:sz w:val="22"/>
        </w:rPr>
        <w:t> </w:t>
      </w:r>
      <w:r>
        <w:rPr>
          <w:spacing w:val="-2"/>
          <w:sz w:val="22"/>
        </w:rPr>
        <w:t>R&amp;D</w:t>
      </w:r>
      <w:r>
        <w:rPr>
          <w:spacing w:val="-11"/>
          <w:sz w:val="22"/>
        </w:rPr>
        <w:t> </w:t>
      </w:r>
      <w:r>
        <w:rPr>
          <w:spacing w:val="-2"/>
          <w:sz w:val="22"/>
        </w:rPr>
        <w:t>environment</w:t>
      </w:r>
      <w:r>
        <w:rPr>
          <w:spacing w:val="-12"/>
          <w:sz w:val="22"/>
        </w:rPr>
        <w:t> </w:t>
      </w:r>
      <w:r>
        <w:rPr>
          <w:spacing w:val="-2"/>
          <w:sz w:val="22"/>
        </w:rPr>
        <w:t>and</w:t>
      </w:r>
      <w:r>
        <w:rPr>
          <w:spacing w:val="-12"/>
          <w:sz w:val="22"/>
        </w:rPr>
        <w:t> </w:t>
      </w:r>
      <w:r>
        <w:rPr>
          <w:spacing w:val="-2"/>
          <w:sz w:val="22"/>
        </w:rPr>
        <w:t>the consumer.</w:t>
      </w:r>
    </w:p>
    <w:p>
      <w:pPr>
        <w:pStyle w:val="BodyText"/>
        <w:spacing w:before="13"/>
      </w:pPr>
    </w:p>
    <w:p>
      <w:pPr>
        <w:pStyle w:val="ListParagraph"/>
        <w:numPr>
          <w:ilvl w:val="1"/>
          <w:numId w:val="6"/>
        </w:numPr>
        <w:tabs>
          <w:tab w:pos="1439" w:val="left" w:leader="none"/>
        </w:tabs>
        <w:spacing w:line="266" w:lineRule="auto" w:before="0" w:after="0"/>
        <w:ind w:left="1439" w:right="0" w:hanging="360"/>
        <w:jc w:val="both"/>
        <w:rPr>
          <w:sz w:val="22"/>
        </w:rPr>
      </w:pPr>
      <w:r>
        <w:rPr>
          <w:b/>
          <w:sz w:val="22"/>
        </w:rPr>
        <w:t>Entrepreneurship: </w:t>
      </w:r>
      <w:r>
        <w:rPr>
          <w:sz w:val="22"/>
        </w:rPr>
        <w:t>Entrepreneurship has </w:t>
      </w:r>
      <w:r>
        <w:rPr>
          <w:sz w:val="22"/>
        </w:rPr>
        <w:t>been recognised</w:t>
      </w:r>
      <w:r>
        <w:rPr>
          <w:spacing w:val="-12"/>
          <w:sz w:val="22"/>
        </w:rPr>
        <w:t> </w:t>
      </w:r>
      <w:r>
        <w:rPr>
          <w:sz w:val="22"/>
        </w:rPr>
        <w:t>as</w:t>
      </w:r>
      <w:r>
        <w:rPr>
          <w:spacing w:val="-12"/>
          <w:sz w:val="22"/>
        </w:rPr>
        <w:t> </w:t>
      </w:r>
      <w:r>
        <w:rPr>
          <w:sz w:val="22"/>
        </w:rPr>
        <w:t>a</w:t>
      </w:r>
      <w:r>
        <w:rPr>
          <w:spacing w:val="-12"/>
          <w:sz w:val="22"/>
        </w:rPr>
        <w:t> </w:t>
      </w:r>
      <w:r>
        <w:rPr>
          <w:sz w:val="22"/>
        </w:rPr>
        <w:t>key</w:t>
      </w:r>
      <w:r>
        <w:rPr>
          <w:spacing w:val="-12"/>
          <w:sz w:val="22"/>
        </w:rPr>
        <w:t> </w:t>
      </w:r>
      <w:r>
        <w:rPr>
          <w:sz w:val="22"/>
        </w:rPr>
        <w:t>driver</w:t>
      </w:r>
      <w:r>
        <w:rPr>
          <w:spacing w:val="-12"/>
          <w:sz w:val="22"/>
        </w:rPr>
        <w:t> </w:t>
      </w:r>
      <w:r>
        <w:rPr>
          <w:sz w:val="22"/>
        </w:rPr>
        <w:t>for</w:t>
      </w:r>
      <w:r>
        <w:rPr>
          <w:spacing w:val="-12"/>
          <w:sz w:val="22"/>
        </w:rPr>
        <w:t> </w:t>
      </w:r>
      <w:r>
        <w:rPr>
          <w:sz w:val="22"/>
        </w:rPr>
        <w:t>wealth</w:t>
      </w:r>
      <w:r>
        <w:rPr>
          <w:spacing w:val="-12"/>
          <w:sz w:val="22"/>
        </w:rPr>
        <w:t> </w:t>
      </w:r>
      <w:r>
        <w:rPr>
          <w:sz w:val="22"/>
        </w:rPr>
        <w:t>creation</w:t>
      </w:r>
      <w:r>
        <w:rPr>
          <w:spacing w:val="-12"/>
          <w:sz w:val="22"/>
        </w:rPr>
        <w:t> </w:t>
      </w:r>
      <w:r>
        <w:rPr>
          <w:sz w:val="22"/>
        </w:rPr>
        <w:t>and employment generation. Given its importance, NKC undertook a study to explore factors that </w:t>
      </w:r>
      <w:r>
        <w:rPr>
          <w:spacing w:val="-4"/>
          <w:sz w:val="22"/>
        </w:rPr>
        <w:t>have</w:t>
      </w:r>
      <w:r>
        <w:rPr>
          <w:spacing w:val="-9"/>
          <w:sz w:val="22"/>
        </w:rPr>
        <w:t> </w:t>
      </w:r>
      <w:r>
        <w:rPr>
          <w:spacing w:val="-4"/>
          <w:sz w:val="22"/>
        </w:rPr>
        <w:t>promoted</w:t>
      </w:r>
      <w:r>
        <w:rPr>
          <w:spacing w:val="-9"/>
          <w:sz w:val="22"/>
        </w:rPr>
        <w:t> </w:t>
      </w:r>
      <w:r>
        <w:rPr>
          <w:spacing w:val="-4"/>
          <w:sz w:val="22"/>
        </w:rPr>
        <w:t>Entrepreneurship</w:t>
      </w:r>
      <w:r>
        <w:rPr>
          <w:spacing w:val="-9"/>
          <w:sz w:val="22"/>
        </w:rPr>
        <w:t> </w:t>
      </w:r>
      <w:r>
        <w:rPr>
          <w:spacing w:val="-4"/>
          <w:sz w:val="22"/>
        </w:rPr>
        <w:t>in</w:t>
      </w:r>
      <w:r>
        <w:rPr>
          <w:spacing w:val="-9"/>
          <w:sz w:val="22"/>
        </w:rPr>
        <w:t> </w:t>
      </w:r>
      <w:r>
        <w:rPr>
          <w:spacing w:val="-4"/>
          <w:sz w:val="22"/>
        </w:rPr>
        <w:t>India</w:t>
      </w:r>
      <w:r>
        <w:rPr>
          <w:spacing w:val="-9"/>
          <w:sz w:val="22"/>
        </w:rPr>
        <w:t> </w:t>
      </w:r>
      <w:r>
        <w:rPr>
          <w:spacing w:val="-4"/>
          <w:sz w:val="22"/>
        </w:rPr>
        <w:t>as</w:t>
      </w:r>
      <w:r>
        <w:rPr>
          <w:spacing w:val="-9"/>
          <w:sz w:val="22"/>
        </w:rPr>
        <w:t> </w:t>
      </w:r>
      <w:r>
        <w:rPr>
          <w:spacing w:val="-4"/>
          <w:sz w:val="22"/>
        </w:rPr>
        <w:t>well</w:t>
      </w:r>
      <w:r>
        <w:rPr>
          <w:spacing w:val="-9"/>
          <w:sz w:val="22"/>
        </w:rPr>
        <w:t> </w:t>
      </w:r>
      <w:r>
        <w:rPr>
          <w:spacing w:val="-4"/>
          <w:sz w:val="22"/>
        </w:rPr>
        <w:t>as others</w:t>
      </w:r>
      <w:r>
        <w:rPr>
          <w:spacing w:val="-10"/>
          <w:sz w:val="22"/>
        </w:rPr>
        <w:t> </w:t>
      </w:r>
      <w:r>
        <w:rPr>
          <w:spacing w:val="-4"/>
          <w:sz w:val="22"/>
        </w:rPr>
        <w:t>which</w:t>
      </w:r>
      <w:r>
        <w:rPr>
          <w:spacing w:val="-10"/>
          <w:sz w:val="22"/>
        </w:rPr>
        <w:t> </w:t>
      </w:r>
      <w:r>
        <w:rPr>
          <w:spacing w:val="-4"/>
          <w:sz w:val="22"/>
        </w:rPr>
        <w:t>could</w:t>
      </w:r>
      <w:r>
        <w:rPr>
          <w:spacing w:val="-10"/>
          <w:sz w:val="22"/>
        </w:rPr>
        <w:t> </w:t>
      </w:r>
      <w:r>
        <w:rPr>
          <w:spacing w:val="-4"/>
          <w:sz w:val="22"/>
        </w:rPr>
        <w:t>facilitate</w:t>
      </w:r>
      <w:r>
        <w:rPr>
          <w:spacing w:val="-9"/>
          <w:sz w:val="22"/>
        </w:rPr>
        <w:t> </w:t>
      </w:r>
      <w:r>
        <w:rPr>
          <w:spacing w:val="-4"/>
          <w:sz w:val="22"/>
        </w:rPr>
        <w:t>even</w:t>
      </w:r>
      <w:r>
        <w:rPr>
          <w:spacing w:val="-10"/>
          <w:sz w:val="22"/>
        </w:rPr>
        <w:t> </w:t>
      </w:r>
      <w:r>
        <w:rPr>
          <w:spacing w:val="-4"/>
          <w:sz w:val="22"/>
        </w:rPr>
        <w:t>greater</w:t>
      </w:r>
      <w:r>
        <w:rPr>
          <w:spacing w:val="-10"/>
          <w:sz w:val="22"/>
        </w:rPr>
        <w:t> </w:t>
      </w:r>
      <w:r>
        <w:rPr>
          <w:spacing w:val="-4"/>
          <w:sz w:val="22"/>
        </w:rPr>
        <w:t>growth</w:t>
      </w:r>
      <w:r>
        <w:rPr>
          <w:spacing w:val="-10"/>
          <w:sz w:val="22"/>
        </w:rPr>
        <w:t> </w:t>
      </w:r>
      <w:r>
        <w:rPr>
          <w:spacing w:val="-4"/>
          <w:sz w:val="22"/>
        </w:rPr>
        <w:t>of </w:t>
      </w:r>
      <w:r>
        <w:rPr>
          <w:spacing w:val="-6"/>
          <w:sz w:val="22"/>
        </w:rPr>
        <w:t>Entrepreneurship.</w:t>
      </w:r>
      <w:r>
        <w:rPr>
          <w:spacing w:val="-8"/>
          <w:sz w:val="22"/>
        </w:rPr>
        <w:t> </w:t>
      </w:r>
      <w:r>
        <w:rPr>
          <w:spacing w:val="-6"/>
          <w:sz w:val="22"/>
        </w:rPr>
        <w:t>Based</w:t>
      </w:r>
      <w:r>
        <w:rPr>
          <w:spacing w:val="-8"/>
          <w:sz w:val="22"/>
        </w:rPr>
        <w:t> </w:t>
      </w:r>
      <w:r>
        <w:rPr>
          <w:spacing w:val="-6"/>
          <w:sz w:val="22"/>
        </w:rPr>
        <w:t>on</w:t>
      </w:r>
      <w:r>
        <w:rPr>
          <w:spacing w:val="-8"/>
          <w:sz w:val="22"/>
        </w:rPr>
        <w:t> </w:t>
      </w:r>
      <w:r>
        <w:rPr>
          <w:spacing w:val="-6"/>
          <w:sz w:val="22"/>
        </w:rPr>
        <w:t>the</w:t>
      </w:r>
      <w:r>
        <w:rPr>
          <w:spacing w:val="-7"/>
          <w:sz w:val="22"/>
        </w:rPr>
        <w:t> </w:t>
      </w:r>
      <w:r>
        <w:rPr>
          <w:spacing w:val="-6"/>
          <w:sz w:val="22"/>
        </w:rPr>
        <w:t>study,</w:t>
      </w:r>
      <w:r>
        <w:rPr>
          <w:spacing w:val="-8"/>
          <w:sz w:val="22"/>
        </w:rPr>
        <w:t> </w:t>
      </w:r>
      <w:r>
        <w:rPr>
          <w:spacing w:val="-6"/>
          <w:sz w:val="22"/>
        </w:rPr>
        <w:t>several</w:t>
      </w:r>
      <w:r>
        <w:rPr>
          <w:spacing w:val="-8"/>
          <w:sz w:val="22"/>
        </w:rPr>
        <w:t> </w:t>
      </w:r>
      <w:r>
        <w:rPr>
          <w:spacing w:val="-6"/>
          <w:sz w:val="22"/>
        </w:rPr>
        <w:t>policy </w:t>
      </w:r>
      <w:r>
        <w:rPr>
          <w:sz w:val="22"/>
        </w:rPr>
        <w:t>recommendations</w:t>
      </w:r>
      <w:r>
        <w:rPr>
          <w:spacing w:val="-2"/>
          <w:sz w:val="22"/>
        </w:rPr>
        <w:t> </w:t>
      </w:r>
      <w:r>
        <w:rPr>
          <w:sz w:val="22"/>
        </w:rPr>
        <w:t>were</w:t>
      </w:r>
      <w:r>
        <w:rPr>
          <w:spacing w:val="-2"/>
          <w:sz w:val="22"/>
        </w:rPr>
        <w:t> </w:t>
      </w:r>
      <w:r>
        <w:rPr>
          <w:sz w:val="22"/>
        </w:rPr>
        <w:t>suggested.</w:t>
      </w:r>
      <w:r>
        <w:rPr>
          <w:spacing w:val="-7"/>
          <w:sz w:val="22"/>
        </w:rPr>
        <w:t> </w:t>
      </w:r>
      <w:r>
        <w:rPr>
          <w:sz w:val="22"/>
        </w:rPr>
        <w:t>These</w:t>
      </w:r>
      <w:r>
        <w:rPr>
          <w:spacing w:val="-2"/>
          <w:sz w:val="22"/>
        </w:rPr>
        <w:t> </w:t>
      </w:r>
      <w:r>
        <w:rPr>
          <w:sz w:val="22"/>
        </w:rPr>
        <w:t>include creation of a supportive business environment </w:t>
      </w:r>
      <w:r>
        <w:rPr>
          <w:spacing w:val="-2"/>
          <w:sz w:val="22"/>
        </w:rPr>
        <w:t>through</w:t>
      </w:r>
      <w:r>
        <w:rPr>
          <w:spacing w:val="-12"/>
          <w:sz w:val="22"/>
        </w:rPr>
        <w:t> </w:t>
      </w:r>
      <w:r>
        <w:rPr>
          <w:spacing w:val="-2"/>
          <w:sz w:val="22"/>
        </w:rPr>
        <w:t>measures</w:t>
      </w:r>
      <w:r>
        <w:rPr>
          <w:spacing w:val="-12"/>
          <w:sz w:val="22"/>
        </w:rPr>
        <w:t> </w:t>
      </w:r>
      <w:r>
        <w:rPr>
          <w:spacing w:val="-2"/>
          <w:sz w:val="22"/>
        </w:rPr>
        <w:t>such</w:t>
      </w:r>
      <w:r>
        <w:rPr>
          <w:spacing w:val="-12"/>
          <w:sz w:val="22"/>
        </w:rPr>
        <w:t> </w:t>
      </w:r>
      <w:r>
        <w:rPr>
          <w:spacing w:val="-2"/>
          <w:sz w:val="22"/>
        </w:rPr>
        <w:t>as</w:t>
      </w:r>
      <w:r>
        <w:rPr>
          <w:spacing w:val="-11"/>
          <w:sz w:val="22"/>
        </w:rPr>
        <w:t> </w:t>
      </w:r>
      <w:r>
        <w:rPr>
          <w:spacing w:val="-2"/>
          <w:sz w:val="22"/>
        </w:rPr>
        <w:t>a</w:t>
      </w:r>
      <w:r>
        <w:rPr>
          <w:spacing w:val="-12"/>
          <w:sz w:val="22"/>
        </w:rPr>
        <w:t> </w:t>
      </w:r>
      <w:r>
        <w:rPr>
          <w:spacing w:val="-2"/>
          <w:sz w:val="22"/>
        </w:rPr>
        <w:t>single</w:t>
      </w:r>
      <w:r>
        <w:rPr>
          <w:spacing w:val="-12"/>
          <w:sz w:val="22"/>
        </w:rPr>
        <w:t> </w:t>
      </w:r>
      <w:r>
        <w:rPr>
          <w:spacing w:val="-2"/>
          <w:sz w:val="22"/>
        </w:rPr>
        <w:t>window</w:t>
      </w:r>
      <w:r>
        <w:rPr>
          <w:spacing w:val="-12"/>
          <w:sz w:val="22"/>
        </w:rPr>
        <w:t> </w:t>
      </w:r>
      <w:r>
        <w:rPr>
          <w:spacing w:val="-2"/>
          <w:sz w:val="22"/>
        </w:rPr>
        <w:t>system, </w:t>
      </w:r>
      <w:r>
        <w:rPr>
          <w:w w:val="90"/>
          <w:sz w:val="22"/>
        </w:rPr>
        <w:t>composite application form etc. and setting up of new institutional mechanisms such as special commercial </w:t>
      </w:r>
      <w:r>
        <w:rPr>
          <w:sz w:val="22"/>
        </w:rPr>
        <w:t>courts and Limited Liability Partnerships. NKC has also suggested facilitating information flows by</w:t>
      </w:r>
      <w:r>
        <w:rPr>
          <w:spacing w:val="-14"/>
          <w:sz w:val="22"/>
        </w:rPr>
        <w:t> </w:t>
      </w:r>
      <w:r>
        <w:rPr>
          <w:sz w:val="22"/>
        </w:rPr>
        <w:t>creating</w:t>
      </w:r>
      <w:r>
        <w:rPr>
          <w:spacing w:val="-14"/>
          <w:sz w:val="22"/>
        </w:rPr>
        <w:t> </w:t>
      </w:r>
      <w:r>
        <w:rPr>
          <w:sz w:val="22"/>
        </w:rPr>
        <w:t>one-stop</w:t>
      </w:r>
      <w:r>
        <w:rPr>
          <w:spacing w:val="-14"/>
          <w:sz w:val="22"/>
        </w:rPr>
        <w:t> </w:t>
      </w:r>
      <w:r>
        <w:rPr>
          <w:sz w:val="22"/>
        </w:rPr>
        <w:t>shops,</w:t>
      </w:r>
      <w:r>
        <w:rPr>
          <w:spacing w:val="-13"/>
          <w:sz w:val="22"/>
        </w:rPr>
        <w:t> </w:t>
      </w:r>
      <w:r>
        <w:rPr>
          <w:sz w:val="22"/>
        </w:rPr>
        <w:t>web</w:t>
      </w:r>
      <w:r>
        <w:rPr>
          <w:spacing w:val="-14"/>
          <w:sz w:val="22"/>
        </w:rPr>
        <w:t> </w:t>
      </w:r>
      <w:r>
        <w:rPr>
          <w:sz w:val="22"/>
        </w:rPr>
        <w:t>based</w:t>
      </w:r>
      <w:r>
        <w:rPr>
          <w:spacing w:val="-14"/>
          <w:sz w:val="22"/>
        </w:rPr>
        <w:t> </w:t>
      </w:r>
      <w:r>
        <w:rPr>
          <w:sz w:val="22"/>
        </w:rPr>
        <w:t>portals</w:t>
      </w:r>
      <w:r>
        <w:rPr>
          <w:spacing w:val="-14"/>
          <w:sz w:val="22"/>
        </w:rPr>
        <w:t> </w:t>
      </w:r>
      <w:r>
        <w:rPr>
          <w:sz w:val="22"/>
        </w:rPr>
        <w:t>and information handbooks for entrepreneurs, and </w:t>
      </w:r>
      <w:r>
        <w:rPr>
          <w:spacing w:val="-2"/>
          <w:sz w:val="22"/>
        </w:rPr>
        <w:t>giving</w:t>
      </w:r>
      <w:r>
        <w:rPr>
          <w:spacing w:val="-12"/>
          <w:sz w:val="22"/>
        </w:rPr>
        <w:t> </w:t>
      </w:r>
      <w:r>
        <w:rPr>
          <w:spacing w:val="-2"/>
          <w:sz w:val="22"/>
        </w:rPr>
        <w:t>incentives</w:t>
      </w:r>
      <w:r>
        <w:rPr>
          <w:spacing w:val="-12"/>
          <w:sz w:val="22"/>
        </w:rPr>
        <w:t> </w:t>
      </w:r>
      <w:r>
        <w:rPr>
          <w:spacing w:val="-2"/>
          <w:sz w:val="22"/>
        </w:rPr>
        <w:t>for</w:t>
      </w:r>
      <w:r>
        <w:rPr>
          <w:spacing w:val="-12"/>
          <w:sz w:val="22"/>
        </w:rPr>
        <w:t> </w:t>
      </w:r>
      <w:r>
        <w:rPr>
          <w:spacing w:val="-2"/>
          <w:sz w:val="22"/>
        </w:rPr>
        <w:t>seed</w:t>
      </w:r>
      <w:r>
        <w:rPr>
          <w:spacing w:val="-11"/>
          <w:sz w:val="22"/>
        </w:rPr>
        <w:t> </w:t>
      </w:r>
      <w:r>
        <w:rPr>
          <w:spacing w:val="-2"/>
          <w:sz w:val="22"/>
        </w:rPr>
        <w:t>capital</w:t>
      </w:r>
      <w:r>
        <w:rPr>
          <w:spacing w:val="-12"/>
          <w:sz w:val="22"/>
        </w:rPr>
        <w:t> </w:t>
      </w:r>
      <w:r>
        <w:rPr>
          <w:spacing w:val="-2"/>
          <w:sz w:val="22"/>
        </w:rPr>
        <w:t>funding.</w:t>
      </w:r>
      <w:r>
        <w:rPr>
          <w:spacing w:val="-12"/>
          <w:sz w:val="22"/>
        </w:rPr>
        <w:t> </w:t>
      </w:r>
      <w:r>
        <w:rPr>
          <w:spacing w:val="-2"/>
          <w:sz w:val="22"/>
        </w:rPr>
        <w:t>Further, </w:t>
      </w:r>
      <w:r>
        <w:rPr>
          <w:sz w:val="22"/>
        </w:rPr>
        <w:t>creation</w:t>
      </w:r>
      <w:r>
        <w:rPr>
          <w:spacing w:val="-13"/>
          <w:sz w:val="22"/>
        </w:rPr>
        <w:t> </w:t>
      </w:r>
      <w:r>
        <w:rPr>
          <w:sz w:val="22"/>
        </w:rPr>
        <w:t>of</w:t>
      </w:r>
      <w:r>
        <w:rPr>
          <w:spacing w:val="-13"/>
          <w:sz w:val="22"/>
        </w:rPr>
        <w:t> </w:t>
      </w:r>
      <w:r>
        <w:rPr>
          <w:sz w:val="22"/>
        </w:rPr>
        <w:t>entrepreneurship</w:t>
      </w:r>
      <w:r>
        <w:rPr>
          <w:spacing w:val="-13"/>
          <w:sz w:val="22"/>
        </w:rPr>
        <w:t> </w:t>
      </w:r>
      <w:r>
        <w:rPr>
          <w:sz w:val="22"/>
        </w:rPr>
        <w:t>clubs</w:t>
      </w:r>
      <w:r>
        <w:rPr>
          <w:spacing w:val="-13"/>
          <w:sz w:val="22"/>
        </w:rPr>
        <w:t> </w:t>
      </w:r>
      <w:r>
        <w:rPr>
          <w:sz w:val="22"/>
        </w:rPr>
        <w:t>and</w:t>
      </w:r>
      <w:r>
        <w:rPr>
          <w:spacing w:val="-13"/>
          <w:sz w:val="22"/>
        </w:rPr>
        <w:t> </w:t>
      </w:r>
      <w:r>
        <w:rPr>
          <w:sz w:val="22"/>
        </w:rPr>
        <w:t>incubation centres,</w:t>
      </w:r>
      <w:r>
        <w:rPr>
          <w:spacing w:val="-2"/>
          <w:sz w:val="22"/>
        </w:rPr>
        <w:t> </w:t>
      </w:r>
      <w:r>
        <w:rPr>
          <w:sz w:val="22"/>
        </w:rPr>
        <w:t>increase</w:t>
      </w:r>
      <w:r>
        <w:rPr>
          <w:spacing w:val="-2"/>
          <w:sz w:val="22"/>
        </w:rPr>
        <w:t> </w:t>
      </w:r>
      <w:r>
        <w:rPr>
          <w:sz w:val="22"/>
        </w:rPr>
        <w:t>in</w:t>
      </w:r>
      <w:r>
        <w:rPr>
          <w:spacing w:val="-2"/>
          <w:sz w:val="22"/>
        </w:rPr>
        <w:t> </w:t>
      </w:r>
      <w:r>
        <w:rPr>
          <w:sz w:val="22"/>
        </w:rPr>
        <w:t>industry-academia</w:t>
      </w:r>
      <w:r>
        <w:rPr>
          <w:spacing w:val="-2"/>
          <w:sz w:val="22"/>
        </w:rPr>
        <w:t> </w:t>
      </w:r>
      <w:r>
        <w:rPr>
          <w:sz w:val="22"/>
        </w:rPr>
        <w:t>synergies, </w:t>
      </w:r>
      <w:r>
        <w:rPr>
          <w:spacing w:val="-2"/>
          <w:sz w:val="22"/>
        </w:rPr>
        <w:t>and</w:t>
      </w:r>
      <w:r>
        <w:rPr>
          <w:spacing w:val="-11"/>
          <w:sz w:val="22"/>
        </w:rPr>
        <w:t> </w:t>
      </w:r>
      <w:r>
        <w:rPr>
          <w:spacing w:val="-2"/>
          <w:sz w:val="22"/>
        </w:rPr>
        <w:t>introduction</w:t>
      </w:r>
      <w:r>
        <w:rPr>
          <w:spacing w:val="-11"/>
          <w:sz w:val="22"/>
        </w:rPr>
        <w:t> </w:t>
      </w:r>
      <w:r>
        <w:rPr>
          <w:spacing w:val="-2"/>
          <w:sz w:val="22"/>
        </w:rPr>
        <w:t>of</w:t>
      </w:r>
      <w:r>
        <w:rPr>
          <w:spacing w:val="-11"/>
          <w:sz w:val="22"/>
        </w:rPr>
        <w:t> </w:t>
      </w:r>
      <w:r>
        <w:rPr>
          <w:spacing w:val="-2"/>
          <w:sz w:val="22"/>
        </w:rPr>
        <w:t>entrepreneurship</w:t>
      </w:r>
      <w:r>
        <w:rPr>
          <w:spacing w:val="-11"/>
          <w:sz w:val="22"/>
        </w:rPr>
        <w:t> </w:t>
      </w:r>
      <w:r>
        <w:rPr>
          <w:spacing w:val="-2"/>
          <w:sz w:val="22"/>
        </w:rPr>
        <w:t>in</w:t>
      </w:r>
      <w:r>
        <w:rPr>
          <w:spacing w:val="-11"/>
          <w:sz w:val="22"/>
        </w:rPr>
        <w:t> </w:t>
      </w:r>
      <w:r>
        <w:rPr>
          <w:spacing w:val="-2"/>
          <w:sz w:val="22"/>
        </w:rPr>
        <w:t>school</w:t>
      </w:r>
      <w:r>
        <w:rPr>
          <w:spacing w:val="-11"/>
          <w:sz w:val="22"/>
        </w:rPr>
        <w:t> </w:t>
      </w:r>
      <w:r>
        <w:rPr>
          <w:spacing w:val="-2"/>
          <w:sz w:val="22"/>
        </w:rPr>
        <w:t>and </w:t>
      </w:r>
      <w:r>
        <w:rPr>
          <w:sz w:val="22"/>
        </w:rPr>
        <w:t>college</w:t>
      </w:r>
      <w:r>
        <w:rPr>
          <w:spacing w:val="-8"/>
          <w:sz w:val="22"/>
        </w:rPr>
        <w:t> </w:t>
      </w:r>
      <w:r>
        <w:rPr>
          <w:sz w:val="22"/>
        </w:rPr>
        <w:t>syllabus</w:t>
      </w:r>
      <w:r>
        <w:rPr>
          <w:spacing w:val="-8"/>
          <w:sz w:val="22"/>
        </w:rPr>
        <w:t> </w:t>
      </w:r>
      <w:r>
        <w:rPr>
          <w:sz w:val="22"/>
        </w:rPr>
        <w:t>has</w:t>
      </w:r>
      <w:r>
        <w:rPr>
          <w:spacing w:val="-8"/>
          <w:sz w:val="22"/>
        </w:rPr>
        <w:t> </w:t>
      </w:r>
      <w:r>
        <w:rPr>
          <w:sz w:val="22"/>
        </w:rPr>
        <w:t>been</w:t>
      </w:r>
      <w:r>
        <w:rPr>
          <w:spacing w:val="-8"/>
          <w:sz w:val="22"/>
        </w:rPr>
        <w:t> </w:t>
      </w:r>
      <w:r>
        <w:rPr>
          <w:sz w:val="22"/>
        </w:rPr>
        <w:t>recommended.</w:t>
      </w:r>
    </w:p>
    <w:p>
      <w:pPr>
        <w:pStyle w:val="Heading7"/>
        <w:spacing w:before="69"/>
      </w:pPr>
      <w:r>
        <w:rPr>
          <w:b w:val="0"/>
        </w:rPr>
        <w:br w:type="column"/>
      </w:r>
      <w:r>
        <w:rPr>
          <w:color w:val="2E614A"/>
          <w:spacing w:val="-2"/>
        </w:rPr>
        <w:t>APPLICATIONS</w:t>
      </w:r>
    </w:p>
    <w:p>
      <w:pPr>
        <w:pStyle w:val="BodyText"/>
        <w:spacing w:line="266" w:lineRule="auto" w:before="299"/>
        <w:ind w:left="319" w:right="1077"/>
        <w:jc w:val="both"/>
      </w:pPr>
      <w:r>
        <w:rPr/>
        <w:t>Knowledge can be productively applied to promote technological change, enhance quality of life </w:t>
      </w:r>
      <w:r>
        <w:rPr/>
        <w:t>and </w:t>
      </w:r>
      <w:r>
        <w:rPr>
          <w:spacing w:val="-2"/>
        </w:rPr>
        <w:t>facilitate</w:t>
      </w:r>
      <w:r>
        <w:rPr>
          <w:spacing w:val="-12"/>
        </w:rPr>
        <w:t> </w:t>
      </w:r>
      <w:r>
        <w:rPr>
          <w:spacing w:val="-2"/>
        </w:rPr>
        <w:t>reliable</w:t>
      </w:r>
      <w:r>
        <w:rPr>
          <w:spacing w:val="-9"/>
        </w:rPr>
        <w:t> </w:t>
      </w:r>
      <w:r>
        <w:rPr>
          <w:spacing w:val="-2"/>
        </w:rPr>
        <w:t>and</w:t>
      </w:r>
      <w:r>
        <w:rPr>
          <w:spacing w:val="-9"/>
        </w:rPr>
        <w:t> </w:t>
      </w:r>
      <w:r>
        <w:rPr>
          <w:spacing w:val="-2"/>
        </w:rPr>
        <w:t>regular</w:t>
      </w:r>
      <w:r>
        <w:rPr>
          <w:spacing w:val="-9"/>
        </w:rPr>
        <w:t> </w:t>
      </w:r>
      <w:r>
        <w:rPr>
          <w:spacing w:val="-2"/>
        </w:rPr>
        <w:t>flow</w:t>
      </w:r>
      <w:r>
        <w:rPr>
          <w:spacing w:val="-9"/>
        </w:rPr>
        <w:t> </w:t>
      </w:r>
      <w:r>
        <w:rPr>
          <w:spacing w:val="-2"/>
        </w:rPr>
        <w:t>of</w:t>
      </w:r>
      <w:r>
        <w:rPr>
          <w:spacing w:val="-9"/>
        </w:rPr>
        <w:t> </w:t>
      </w:r>
      <w:r>
        <w:rPr>
          <w:spacing w:val="-2"/>
        </w:rPr>
        <w:t>information.</w:t>
      </w:r>
      <w:r>
        <w:rPr>
          <w:spacing w:val="-12"/>
        </w:rPr>
        <w:t> </w:t>
      </w:r>
      <w:r>
        <w:rPr>
          <w:spacing w:val="-2"/>
        </w:rPr>
        <w:t>This </w:t>
      </w:r>
      <w:r>
        <w:rPr>
          <w:spacing w:val="-6"/>
        </w:rPr>
        <w:t>requires significant investment in goal-oriented research </w:t>
      </w:r>
      <w:r>
        <w:rPr/>
        <w:t>and</w:t>
      </w:r>
      <w:r>
        <w:rPr>
          <w:spacing w:val="-8"/>
        </w:rPr>
        <w:t> </w:t>
      </w:r>
      <w:r>
        <w:rPr/>
        <w:t>development</w:t>
      </w:r>
      <w:r>
        <w:rPr>
          <w:spacing w:val="-8"/>
        </w:rPr>
        <w:t> </w:t>
      </w:r>
      <w:r>
        <w:rPr/>
        <w:t>along</w:t>
      </w:r>
      <w:r>
        <w:rPr>
          <w:spacing w:val="-8"/>
        </w:rPr>
        <w:t> </w:t>
      </w:r>
      <w:r>
        <w:rPr/>
        <w:t>with</w:t>
      </w:r>
      <w:r>
        <w:rPr>
          <w:spacing w:val="-8"/>
        </w:rPr>
        <w:t> </w:t>
      </w:r>
      <w:r>
        <w:rPr/>
        <w:t>delivery</w:t>
      </w:r>
      <w:r>
        <w:rPr>
          <w:spacing w:val="-8"/>
        </w:rPr>
        <w:t> </w:t>
      </w:r>
      <w:r>
        <w:rPr/>
        <w:t>models</w:t>
      </w:r>
      <w:r>
        <w:rPr>
          <w:spacing w:val="-8"/>
        </w:rPr>
        <w:t> </w:t>
      </w:r>
      <w:r>
        <w:rPr/>
        <w:t>that</w:t>
      </w:r>
      <w:r>
        <w:rPr>
          <w:spacing w:val="-8"/>
        </w:rPr>
        <w:t> </w:t>
      </w:r>
      <w:r>
        <w:rPr/>
        <w:t>can </w:t>
      </w:r>
      <w:r>
        <w:rPr>
          <w:spacing w:val="-2"/>
        </w:rPr>
        <w:t>simplify</w:t>
      </w:r>
      <w:r>
        <w:rPr>
          <w:spacing w:val="-10"/>
        </w:rPr>
        <w:t> </w:t>
      </w:r>
      <w:r>
        <w:rPr>
          <w:spacing w:val="-2"/>
        </w:rPr>
        <w:t>processes</w:t>
      </w:r>
      <w:r>
        <w:rPr>
          <w:spacing w:val="-10"/>
        </w:rPr>
        <w:t> </w:t>
      </w:r>
      <w:r>
        <w:rPr>
          <w:spacing w:val="-2"/>
        </w:rPr>
        <w:t>within</w:t>
      </w:r>
      <w:r>
        <w:rPr>
          <w:spacing w:val="-10"/>
        </w:rPr>
        <w:t> </w:t>
      </w:r>
      <w:r>
        <w:rPr>
          <w:spacing w:val="-2"/>
        </w:rPr>
        <w:t>an</w:t>
      </w:r>
      <w:r>
        <w:rPr>
          <w:spacing w:val="-10"/>
        </w:rPr>
        <w:t> </w:t>
      </w:r>
      <w:r>
        <w:rPr>
          <w:spacing w:val="-2"/>
        </w:rPr>
        <w:t>industry.</w:t>
      </w:r>
      <w:r>
        <w:rPr>
          <w:spacing w:val="-10"/>
        </w:rPr>
        <w:t> </w:t>
      </w:r>
      <w:r>
        <w:rPr>
          <w:spacing w:val="-2"/>
        </w:rPr>
        <w:t>Initiatives</w:t>
      </w:r>
      <w:r>
        <w:rPr>
          <w:spacing w:val="-10"/>
        </w:rPr>
        <w:t> </w:t>
      </w:r>
      <w:r>
        <w:rPr>
          <w:spacing w:val="-2"/>
        </w:rPr>
        <w:t>in</w:t>
      </w:r>
      <w:r>
        <w:rPr>
          <w:spacing w:val="-10"/>
        </w:rPr>
        <w:t> </w:t>
      </w:r>
      <w:r>
        <w:rPr>
          <w:spacing w:val="-2"/>
        </w:rPr>
        <w:t>the </w:t>
      </w:r>
      <w:r>
        <w:rPr/>
        <w:t>areas</w:t>
      </w:r>
      <w:r>
        <w:rPr>
          <w:spacing w:val="-11"/>
        </w:rPr>
        <w:t> </w:t>
      </w:r>
      <w:r>
        <w:rPr/>
        <w:t>of</w:t>
      </w:r>
      <w:r>
        <w:rPr>
          <w:spacing w:val="-11"/>
        </w:rPr>
        <w:t> </w:t>
      </w:r>
      <w:r>
        <w:rPr/>
        <w:t>agriculture,</w:t>
      </w:r>
      <w:r>
        <w:rPr>
          <w:spacing w:val="-11"/>
        </w:rPr>
        <w:t> </w:t>
      </w:r>
      <w:r>
        <w:rPr/>
        <w:t>labour</w:t>
      </w:r>
      <w:r>
        <w:rPr>
          <w:spacing w:val="-11"/>
        </w:rPr>
        <w:t> </w:t>
      </w:r>
      <w:r>
        <w:rPr/>
        <w:t>and</w:t>
      </w:r>
      <w:r>
        <w:rPr>
          <w:spacing w:val="-11"/>
        </w:rPr>
        <w:t> </w:t>
      </w:r>
      <w:r>
        <w:rPr/>
        <w:t>traditional</w:t>
      </w:r>
      <w:r>
        <w:rPr>
          <w:spacing w:val="-11"/>
        </w:rPr>
        <w:t> </w:t>
      </w:r>
      <w:r>
        <w:rPr/>
        <w:t>knowledge </w:t>
      </w:r>
      <w:r>
        <w:rPr>
          <w:spacing w:val="-4"/>
        </w:rPr>
        <w:t>can</w:t>
      </w:r>
      <w:r>
        <w:rPr>
          <w:spacing w:val="-9"/>
        </w:rPr>
        <w:t> </w:t>
      </w:r>
      <w:r>
        <w:rPr>
          <w:spacing w:val="-4"/>
        </w:rPr>
        <w:t>demonstrate</w:t>
      </w:r>
      <w:r>
        <w:rPr>
          <w:spacing w:val="-9"/>
        </w:rPr>
        <w:t> </w:t>
      </w:r>
      <w:r>
        <w:rPr>
          <w:spacing w:val="-4"/>
        </w:rPr>
        <w:t>that</w:t>
      </w:r>
      <w:r>
        <w:rPr>
          <w:spacing w:val="-9"/>
        </w:rPr>
        <w:t> </w:t>
      </w:r>
      <w:r>
        <w:rPr>
          <w:spacing w:val="-4"/>
        </w:rPr>
        <w:t>knowledge</w:t>
      </w:r>
      <w:r>
        <w:rPr>
          <w:spacing w:val="-9"/>
        </w:rPr>
        <w:t> </w:t>
      </w:r>
      <w:r>
        <w:rPr>
          <w:spacing w:val="-4"/>
        </w:rPr>
        <w:t>can</w:t>
      </w:r>
      <w:r>
        <w:rPr>
          <w:spacing w:val="-9"/>
        </w:rPr>
        <w:t> </w:t>
      </w:r>
      <w:r>
        <w:rPr>
          <w:spacing w:val="-4"/>
        </w:rPr>
        <w:t>be</w:t>
      </w:r>
      <w:r>
        <w:rPr>
          <w:spacing w:val="-9"/>
        </w:rPr>
        <w:t> </w:t>
      </w:r>
      <w:r>
        <w:rPr>
          <w:spacing w:val="-4"/>
        </w:rPr>
        <w:t>very</w:t>
      </w:r>
      <w:r>
        <w:rPr>
          <w:spacing w:val="-9"/>
        </w:rPr>
        <w:t> </w:t>
      </w:r>
      <w:r>
        <w:rPr>
          <w:spacing w:val="-4"/>
        </w:rPr>
        <w:t>effectively </w:t>
      </w:r>
      <w:r>
        <w:rPr/>
        <w:t>applied for the betterment of the community.</w:t>
      </w:r>
    </w:p>
    <w:p>
      <w:pPr>
        <w:pStyle w:val="BodyText"/>
        <w:spacing w:before="19"/>
      </w:pPr>
    </w:p>
    <w:p>
      <w:pPr>
        <w:pStyle w:val="ListParagraph"/>
        <w:numPr>
          <w:ilvl w:val="0"/>
          <w:numId w:val="6"/>
        </w:numPr>
        <w:tabs>
          <w:tab w:pos="679" w:val="left" w:leader="none"/>
        </w:tabs>
        <w:spacing w:line="266" w:lineRule="auto" w:before="0" w:after="0"/>
        <w:ind w:left="679" w:right="1077" w:hanging="360"/>
        <w:jc w:val="both"/>
        <w:rPr>
          <w:sz w:val="22"/>
        </w:rPr>
      </w:pPr>
      <w:r>
        <w:rPr>
          <w:b/>
          <w:spacing w:val="-10"/>
          <w:sz w:val="22"/>
        </w:rPr>
        <w:t>Traditional</w:t>
      </w:r>
      <w:r>
        <w:rPr>
          <w:b/>
          <w:spacing w:val="-4"/>
          <w:sz w:val="22"/>
        </w:rPr>
        <w:t> </w:t>
      </w:r>
      <w:r>
        <w:rPr>
          <w:b/>
          <w:spacing w:val="-10"/>
          <w:sz w:val="22"/>
        </w:rPr>
        <w:t>Health</w:t>
      </w:r>
      <w:r>
        <w:rPr>
          <w:b/>
          <w:spacing w:val="-4"/>
          <w:sz w:val="22"/>
        </w:rPr>
        <w:t> </w:t>
      </w:r>
      <w:r>
        <w:rPr>
          <w:b/>
          <w:spacing w:val="-10"/>
          <w:sz w:val="22"/>
        </w:rPr>
        <w:t>Systems:</w:t>
      </w:r>
      <w:r>
        <w:rPr>
          <w:b/>
          <w:spacing w:val="-4"/>
          <w:sz w:val="22"/>
        </w:rPr>
        <w:t> </w:t>
      </w:r>
      <w:r>
        <w:rPr>
          <w:spacing w:val="-10"/>
          <w:sz w:val="22"/>
        </w:rPr>
        <w:t>India</w:t>
      </w:r>
      <w:r>
        <w:rPr>
          <w:spacing w:val="-3"/>
          <w:sz w:val="22"/>
        </w:rPr>
        <w:t> </w:t>
      </w:r>
      <w:r>
        <w:rPr>
          <w:spacing w:val="-10"/>
          <w:sz w:val="22"/>
        </w:rPr>
        <w:t>has</w:t>
      </w:r>
      <w:r>
        <w:rPr>
          <w:spacing w:val="-4"/>
          <w:sz w:val="22"/>
        </w:rPr>
        <w:t> </w:t>
      </w:r>
      <w:r>
        <w:rPr>
          <w:spacing w:val="-10"/>
          <w:sz w:val="22"/>
        </w:rPr>
        <w:t>an</w:t>
      </w:r>
      <w:r>
        <w:rPr>
          <w:spacing w:val="-4"/>
          <w:sz w:val="22"/>
        </w:rPr>
        <w:t> </w:t>
      </w:r>
      <w:r>
        <w:rPr>
          <w:spacing w:val="-10"/>
          <w:sz w:val="22"/>
        </w:rPr>
        <w:t>immensely </w:t>
      </w:r>
      <w:r>
        <w:rPr>
          <w:spacing w:val="-8"/>
          <w:sz w:val="22"/>
        </w:rPr>
        <w:t>rich</w:t>
      </w:r>
      <w:r>
        <w:rPr>
          <w:sz w:val="22"/>
        </w:rPr>
        <w:t> </w:t>
      </w:r>
      <w:r>
        <w:rPr>
          <w:spacing w:val="-8"/>
          <w:sz w:val="22"/>
        </w:rPr>
        <w:t>and</w:t>
      </w:r>
      <w:r>
        <w:rPr>
          <w:sz w:val="22"/>
        </w:rPr>
        <w:t> </w:t>
      </w:r>
      <w:r>
        <w:rPr>
          <w:spacing w:val="-8"/>
          <w:sz w:val="22"/>
        </w:rPr>
        <w:t>complex</w:t>
      </w:r>
      <w:r>
        <w:rPr>
          <w:sz w:val="22"/>
        </w:rPr>
        <w:t> </w:t>
      </w:r>
      <w:r>
        <w:rPr>
          <w:spacing w:val="-8"/>
          <w:sz w:val="22"/>
        </w:rPr>
        <w:t>indigenous</w:t>
      </w:r>
      <w:r>
        <w:rPr>
          <w:sz w:val="22"/>
        </w:rPr>
        <w:t> </w:t>
      </w:r>
      <w:r>
        <w:rPr>
          <w:spacing w:val="-8"/>
          <w:sz w:val="22"/>
        </w:rPr>
        <w:t>medical</w:t>
      </w:r>
      <w:r>
        <w:rPr>
          <w:sz w:val="22"/>
        </w:rPr>
        <w:t> </w:t>
      </w:r>
      <w:r>
        <w:rPr>
          <w:spacing w:val="-8"/>
          <w:sz w:val="22"/>
        </w:rPr>
        <w:t>heritage.</w:t>
      </w:r>
      <w:r>
        <w:rPr>
          <w:sz w:val="22"/>
        </w:rPr>
        <w:t> </w:t>
      </w:r>
      <w:r>
        <w:rPr>
          <w:spacing w:val="-8"/>
          <w:sz w:val="22"/>
        </w:rPr>
        <w:t>NKC </w:t>
      </w:r>
      <w:r>
        <w:rPr>
          <w:spacing w:val="-2"/>
          <w:sz w:val="22"/>
        </w:rPr>
        <w:t>has</w:t>
      </w:r>
      <w:r>
        <w:rPr>
          <w:spacing w:val="-12"/>
          <w:sz w:val="22"/>
        </w:rPr>
        <w:t> </w:t>
      </w:r>
      <w:r>
        <w:rPr>
          <w:spacing w:val="-2"/>
          <w:sz w:val="22"/>
        </w:rPr>
        <w:t>recommended</w:t>
      </w:r>
      <w:r>
        <w:rPr>
          <w:spacing w:val="-12"/>
          <w:sz w:val="22"/>
        </w:rPr>
        <w:t> </w:t>
      </w:r>
      <w:r>
        <w:rPr>
          <w:spacing w:val="-2"/>
          <w:sz w:val="22"/>
        </w:rPr>
        <w:t>that</w:t>
      </w:r>
      <w:r>
        <w:rPr>
          <w:spacing w:val="-12"/>
          <w:sz w:val="22"/>
        </w:rPr>
        <w:t> </w:t>
      </w:r>
      <w:r>
        <w:rPr>
          <w:spacing w:val="-2"/>
          <w:sz w:val="22"/>
        </w:rPr>
        <w:t>major</w:t>
      </w:r>
      <w:r>
        <w:rPr>
          <w:spacing w:val="-11"/>
          <w:sz w:val="22"/>
        </w:rPr>
        <w:t> </w:t>
      </w:r>
      <w:r>
        <w:rPr>
          <w:spacing w:val="-2"/>
          <w:sz w:val="22"/>
        </w:rPr>
        <w:t>efforts</w:t>
      </w:r>
      <w:r>
        <w:rPr>
          <w:spacing w:val="-12"/>
          <w:sz w:val="22"/>
        </w:rPr>
        <w:t> </w:t>
      </w:r>
      <w:r>
        <w:rPr>
          <w:spacing w:val="-2"/>
          <w:sz w:val="22"/>
        </w:rPr>
        <w:t>be</w:t>
      </w:r>
      <w:r>
        <w:rPr>
          <w:spacing w:val="-12"/>
          <w:sz w:val="22"/>
        </w:rPr>
        <w:t> </w:t>
      </w:r>
      <w:r>
        <w:rPr>
          <w:spacing w:val="-2"/>
          <w:sz w:val="22"/>
        </w:rPr>
        <w:t>undertaken </w:t>
      </w:r>
      <w:r>
        <w:rPr>
          <w:sz w:val="22"/>
        </w:rPr>
        <w:t>to provide quality education in traditional </w:t>
      </w:r>
      <w:r>
        <w:rPr>
          <w:w w:val="90"/>
          <w:sz w:val="22"/>
        </w:rPr>
        <w:t>medicine. Evidence-based approaches should also be </w:t>
      </w:r>
      <w:r>
        <w:rPr>
          <w:spacing w:val="-4"/>
          <w:sz w:val="22"/>
        </w:rPr>
        <w:t>introduced into the current educational framework, </w:t>
      </w:r>
      <w:r>
        <w:rPr>
          <w:sz w:val="22"/>
        </w:rPr>
        <w:t>possibly through institutions of the standard of </w:t>
      </w:r>
      <w:r>
        <w:rPr>
          <w:spacing w:val="-2"/>
          <w:sz w:val="22"/>
        </w:rPr>
        <w:t>IISc,</w:t>
      </w:r>
      <w:r>
        <w:rPr>
          <w:spacing w:val="-12"/>
          <w:sz w:val="22"/>
        </w:rPr>
        <w:t> </w:t>
      </w:r>
      <w:r>
        <w:rPr>
          <w:spacing w:val="-2"/>
          <w:sz w:val="22"/>
        </w:rPr>
        <w:t>IIT</w:t>
      </w:r>
      <w:r>
        <w:rPr>
          <w:spacing w:val="-12"/>
          <w:sz w:val="22"/>
        </w:rPr>
        <w:t> </w:t>
      </w:r>
      <w:r>
        <w:rPr>
          <w:spacing w:val="-2"/>
          <w:sz w:val="22"/>
        </w:rPr>
        <w:t>and</w:t>
      </w:r>
      <w:r>
        <w:rPr>
          <w:spacing w:val="-12"/>
          <w:sz w:val="22"/>
        </w:rPr>
        <w:t> </w:t>
      </w:r>
      <w:r>
        <w:rPr>
          <w:spacing w:val="-2"/>
          <w:sz w:val="22"/>
        </w:rPr>
        <w:t>AIIMS,</w:t>
      </w:r>
      <w:r>
        <w:rPr>
          <w:spacing w:val="-11"/>
          <w:sz w:val="22"/>
        </w:rPr>
        <w:t> </w:t>
      </w:r>
      <w:r>
        <w:rPr>
          <w:spacing w:val="-2"/>
          <w:sz w:val="22"/>
        </w:rPr>
        <w:t>with</w:t>
      </w:r>
      <w:r>
        <w:rPr>
          <w:spacing w:val="-12"/>
          <w:sz w:val="22"/>
        </w:rPr>
        <w:t> </w:t>
      </w:r>
      <w:r>
        <w:rPr>
          <w:spacing w:val="-2"/>
          <w:sz w:val="22"/>
        </w:rPr>
        <w:t>commensurate</w:t>
      </w:r>
      <w:r>
        <w:rPr>
          <w:spacing w:val="-12"/>
          <w:sz w:val="22"/>
        </w:rPr>
        <w:t> </w:t>
      </w:r>
      <w:r>
        <w:rPr>
          <w:spacing w:val="-2"/>
          <w:sz w:val="22"/>
        </w:rPr>
        <w:t>financial outlays.</w:t>
      </w:r>
      <w:r>
        <w:rPr>
          <w:spacing w:val="-9"/>
          <w:sz w:val="22"/>
        </w:rPr>
        <w:t> </w:t>
      </w:r>
      <w:r>
        <w:rPr>
          <w:spacing w:val="-2"/>
          <w:sz w:val="22"/>
        </w:rPr>
        <w:t>NKC</w:t>
      </w:r>
      <w:r>
        <w:rPr>
          <w:spacing w:val="-9"/>
          <w:sz w:val="22"/>
        </w:rPr>
        <w:t> </w:t>
      </w:r>
      <w:r>
        <w:rPr>
          <w:spacing w:val="-2"/>
          <w:sz w:val="22"/>
        </w:rPr>
        <w:t>recommendations</w:t>
      </w:r>
      <w:r>
        <w:rPr>
          <w:spacing w:val="-9"/>
          <w:sz w:val="22"/>
        </w:rPr>
        <w:t> </w:t>
      </w:r>
      <w:r>
        <w:rPr>
          <w:spacing w:val="-2"/>
          <w:sz w:val="22"/>
        </w:rPr>
        <w:t>focus</w:t>
      </w:r>
      <w:r>
        <w:rPr>
          <w:spacing w:val="-9"/>
          <w:sz w:val="22"/>
        </w:rPr>
        <w:t> </w:t>
      </w:r>
      <w:r>
        <w:rPr>
          <w:spacing w:val="-2"/>
          <w:sz w:val="22"/>
        </w:rPr>
        <w:t>on</w:t>
      </w:r>
      <w:r>
        <w:rPr>
          <w:spacing w:val="-9"/>
          <w:sz w:val="22"/>
        </w:rPr>
        <w:t> </w:t>
      </w:r>
      <w:r>
        <w:rPr>
          <w:spacing w:val="-2"/>
          <w:sz w:val="22"/>
        </w:rPr>
        <w:t>the</w:t>
      </w:r>
      <w:r>
        <w:rPr>
          <w:spacing w:val="-9"/>
          <w:sz w:val="22"/>
        </w:rPr>
        <w:t> </w:t>
      </w:r>
      <w:r>
        <w:rPr>
          <w:spacing w:val="-2"/>
          <w:sz w:val="22"/>
        </w:rPr>
        <w:t>need </w:t>
      </w:r>
      <w:r>
        <w:rPr>
          <w:spacing w:val="-6"/>
          <w:sz w:val="22"/>
        </w:rPr>
        <w:t>for strengthening research through concerted higher </w:t>
      </w:r>
      <w:r>
        <w:rPr>
          <w:sz w:val="22"/>
        </w:rPr>
        <w:t>investments and more rigorous methodologies, </w:t>
      </w:r>
      <w:r>
        <w:rPr>
          <w:spacing w:val="-4"/>
          <w:sz w:val="22"/>
        </w:rPr>
        <w:t>ensuring internationally acceptable standardisation </w:t>
      </w:r>
      <w:r>
        <w:rPr>
          <w:spacing w:val="-2"/>
          <w:sz w:val="22"/>
        </w:rPr>
        <w:t>anddocumentationofherbalmedications,promoting clinical</w:t>
      </w:r>
      <w:r>
        <w:rPr>
          <w:spacing w:val="-10"/>
          <w:sz w:val="22"/>
        </w:rPr>
        <w:t> </w:t>
      </w:r>
      <w:r>
        <w:rPr>
          <w:spacing w:val="-2"/>
          <w:sz w:val="22"/>
        </w:rPr>
        <w:t>trials,</w:t>
      </w:r>
      <w:r>
        <w:rPr>
          <w:spacing w:val="-10"/>
          <w:sz w:val="22"/>
        </w:rPr>
        <w:t> </w:t>
      </w:r>
      <w:r>
        <w:rPr>
          <w:spacing w:val="-2"/>
          <w:sz w:val="22"/>
        </w:rPr>
        <w:t>along</w:t>
      </w:r>
      <w:r>
        <w:rPr>
          <w:spacing w:val="-10"/>
          <w:sz w:val="22"/>
        </w:rPr>
        <w:t> </w:t>
      </w:r>
      <w:r>
        <w:rPr>
          <w:spacing w:val="-2"/>
          <w:sz w:val="22"/>
        </w:rPr>
        <w:t>with</w:t>
      </w:r>
      <w:r>
        <w:rPr>
          <w:spacing w:val="-10"/>
          <w:sz w:val="22"/>
        </w:rPr>
        <w:t> </w:t>
      </w:r>
      <w:r>
        <w:rPr>
          <w:spacing w:val="-2"/>
          <w:sz w:val="22"/>
        </w:rPr>
        <w:t>adhering</w:t>
      </w:r>
      <w:r>
        <w:rPr>
          <w:spacing w:val="-10"/>
          <w:sz w:val="22"/>
        </w:rPr>
        <w:t> </w:t>
      </w:r>
      <w:r>
        <w:rPr>
          <w:spacing w:val="-2"/>
          <w:sz w:val="22"/>
        </w:rPr>
        <w:t>to</w:t>
      </w:r>
      <w:r>
        <w:rPr>
          <w:spacing w:val="-10"/>
          <w:sz w:val="22"/>
        </w:rPr>
        <w:t> </w:t>
      </w:r>
      <w:r>
        <w:rPr>
          <w:spacing w:val="-2"/>
          <w:sz w:val="22"/>
        </w:rPr>
        <w:t>a</w:t>
      </w:r>
      <w:r>
        <w:rPr>
          <w:spacing w:val="-10"/>
          <w:sz w:val="22"/>
        </w:rPr>
        <w:t> </w:t>
      </w:r>
      <w:r>
        <w:rPr>
          <w:spacing w:val="-2"/>
          <w:sz w:val="22"/>
        </w:rPr>
        <w:t>world-class </w:t>
      </w:r>
      <w:r>
        <w:rPr>
          <w:spacing w:val="-4"/>
          <w:sz w:val="22"/>
        </w:rPr>
        <w:t>certification process. Another aspect highlighted in </w:t>
      </w:r>
      <w:r>
        <w:rPr>
          <w:sz w:val="22"/>
        </w:rPr>
        <w:t>the</w:t>
      </w:r>
      <w:r>
        <w:rPr>
          <w:spacing w:val="-8"/>
          <w:sz w:val="22"/>
        </w:rPr>
        <w:t> </w:t>
      </w:r>
      <w:r>
        <w:rPr>
          <w:sz w:val="22"/>
        </w:rPr>
        <w:t>NKC</w:t>
      </w:r>
      <w:r>
        <w:rPr>
          <w:spacing w:val="-8"/>
          <w:sz w:val="22"/>
        </w:rPr>
        <w:t> </w:t>
      </w:r>
      <w:r>
        <w:rPr>
          <w:sz w:val="22"/>
        </w:rPr>
        <w:t>recommendations</w:t>
      </w:r>
      <w:r>
        <w:rPr>
          <w:spacing w:val="-8"/>
          <w:sz w:val="22"/>
        </w:rPr>
        <w:t> </w:t>
      </w:r>
      <w:r>
        <w:rPr>
          <w:sz w:val="22"/>
        </w:rPr>
        <w:t>is</w:t>
      </w:r>
      <w:r>
        <w:rPr>
          <w:spacing w:val="-8"/>
          <w:sz w:val="22"/>
        </w:rPr>
        <w:t> </w:t>
      </w:r>
      <w:r>
        <w:rPr>
          <w:sz w:val="22"/>
        </w:rPr>
        <w:t>the</w:t>
      </w:r>
      <w:r>
        <w:rPr>
          <w:spacing w:val="-8"/>
          <w:sz w:val="22"/>
        </w:rPr>
        <w:t> </w:t>
      </w:r>
      <w:r>
        <w:rPr>
          <w:sz w:val="22"/>
        </w:rPr>
        <w:t>need</w:t>
      </w:r>
      <w:r>
        <w:rPr>
          <w:spacing w:val="-8"/>
          <w:sz w:val="22"/>
        </w:rPr>
        <w:t> </w:t>
      </w:r>
      <w:r>
        <w:rPr>
          <w:sz w:val="22"/>
        </w:rPr>
        <w:t>to</w:t>
      </w:r>
      <w:r>
        <w:rPr>
          <w:spacing w:val="-8"/>
          <w:sz w:val="22"/>
        </w:rPr>
        <w:t> </w:t>
      </w:r>
      <w:r>
        <w:rPr>
          <w:sz w:val="22"/>
        </w:rPr>
        <w:t>create</w:t>
      </w:r>
      <w:r>
        <w:rPr>
          <w:spacing w:val="-8"/>
          <w:sz w:val="22"/>
        </w:rPr>
        <w:t> </w:t>
      </w:r>
      <w:r>
        <w:rPr>
          <w:sz w:val="22"/>
        </w:rPr>
        <w:t>a </w:t>
      </w:r>
      <w:r>
        <w:rPr>
          <w:spacing w:val="-2"/>
          <w:sz w:val="22"/>
        </w:rPr>
        <w:t>suitable</w:t>
      </w:r>
      <w:r>
        <w:rPr>
          <w:spacing w:val="-12"/>
          <w:sz w:val="22"/>
        </w:rPr>
        <w:t> </w:t>
      </w:r>
      <w:r>
        <w:rPr>
          <w:spacing w:val="-2"/>
          <w:sz w:val="22"/>
        </w:rPr>
        <w:t>IPR</w:t>
      </w:r>
      <w:r>
        <w:rPr>
          <w:spacing w:val="-12"/>
          <w:sz w:val="22"/>
        </w:rPr>
        <w:t> </w:t>
      </w:r>
      <w:r>
        <w:rPr>
          <w:spacing w:val="-2"/>
          <w:sz w:val="22"/>
        </w:rPr>
        <w:t>framework</w:t>
      </w:r>
      <w:r>
        <w:rPr>
          <w:spacing w:val="-12"/>
          <w:sz w:val="22"/>
        </w:rPr>
        <w:t> </w:t>
      </w:r>
      <w:r>
        <w:rPr>
          <w:spacing w:val="-2"/>
          <w:sz w:val="22"/>
        </w:rPr>
        <w:t>for</w:t>
      </w:r>
      <w:r>
        <w:rPr>
          <w:spacing w:val="-11"/>
          <w:sz w:val="22"/>
        </w:rPr>
        <w:t> </w:t>
      </w:r>
      <w:r>
        <w:rPr>
          <w:spacing w:val="-2"/>
          <w:sz w:val="22"/>
        </w:rPr>
        <w:t>better</w:t>
      </w:r>
      <w:r>
        <w:rPr>
          <w:spacing w:val="-12"/>
          <w:sz w:val="22"/>
        </w:rPr>
        <w:t> </w:t>
      </w:r>
      <w:r>
        <w:rPr>
          <w:spacing w:val="-2"/>
          <w:sz w:val="22"/>
        </w:rPr>
        <w:t>protection</w:t>
      </w:r>
      <w:r>
        <w:rPr>
          <w:spacing w:val="-12"/>
          <w:sz w:val="22"/>
        </w:rPr>
        <w:t> </w:t>
      </w:r>
      <w:r>
        <w:rPr>
          <w:spacing w:val="-2"/>
          <w:sz w:val="22"/>
        </w:rPr>
        <w:t>of</w:t>
      </w:r>
      <w:r>
        <w:rPr>
          <w:spacing w:val="-12"/>
          <w:sz w:val="22"/>
        </w:rPr>
        <w:t> </w:t>
      </w:r>
      <w:r>
        <w:rPr>
          <w:spacing w:val="-2"/>
          <w:sz w:val="22"/>
        </w:rPr>
        <w:t>the sources</w:t>
      </w:r>
      <w:r>
        <w:rPr>
          <w:spacing w:val="-9"/>
          <w:sz w:val="22"/>
        </w:rPr>
        <w:t> </w:t>
      </w:r>
      <w:r>
        <w:rPr>
          <w:spacing w:val="-2"/>
          <w:sz w:val="22"/>
        </w:rPr>
        <w:t>of</w:t>
      </w:r>
      <w:r>
        <w:rPr>
          <w:spacing w:val="-9"/>
          <w:sz w:val="22"/>
        </w:rPr>
        <w:t> </w:t>
      </w:r>
      <w:r>
        <w:rPr>
          <w:spacing w:val="-2"/>
          <w:sz w:val="22"/>
        </w:rPr>
        <w:t>traditional</w:t>
      </w:r>
      <w:r>
        <w:rPr>
          <w:spacing w:val="-9"/>
          <w:sz w:val="22"/>
        </w:rPr>
        <w:t> </w:t>
      </w:r>
      <w:r>
        <w:rPr>
          <w:spacing w:val="-2"/>
          <w:sz w:val="22"/>
        </w:rPr>
        <w:t>medical</w:t>
      </w:r>
      <w:r>
        <w:rPr>
          <w:spacing w:val="-9"/>
          <w:sz w:val="22"/>
        </w:rPr>
        <w:t> </w:t>
      </w:r>
      <w:r>
        <w:rPr>
          <w:spacing w:val="-2"/>
          <w:sz w:val="22"/>
        </w:rPr>
        <w:t>knowledge,</w:t>
      </w:r>
      <w:r>
        <w:rPr>
          <w:spacing w:val="-9"/>
          <w:sz w:val="22"/>
        </w:rPr>
        <w:t> </w:t>
      </w:r>
      <w:r>
        <w:rPr>
          <w:spacing w:val="-2"/>
          <w:sz w:val="22"/>
        </w:rPr>
        <w:t>while</w:t>
      </w:r>
      <w:r>
        <w:rPr>
          <w:spacing w:val="-9"/>
          <w:sz w:val="22"/>
        </w:rPr>
        <w:t> </w:t>
      </w:r>
      <w:r>
        <w:rPr>
          <w:spacing w:val="-2"/>
          <w:sz w:val="22"/>
        </w:rPr>
        <w:t>at </w:t>
      </w:r>
      <w:r>
        <w:rPr>
          <w:sz w:val="22"/>
        </w:rPr>
        <w:t>the same time ensuring that sufficient incentives are created for commercialisation of traditional </w:t>
      </w:r>
      <w:r>
        <w:rPr>
          <w:spacing w:val="-2"/>
          <w:sz w:val="22"/>
        </w:rPr>
        <w:t>medicines.</w:t>
      </w:r>
    </w:p>
    <w:p>
      <w:pPr>
        <w:pStyle w:val="BodyText"/>
        <w:spacing w:before="10"/>
      </w:pPr>
    </w:p>
    <w:p>
      <w:pPr>
        <w:pStyle w:val="ListParagraph"/>
        <w:numPr>
          <w:ilvl w:val="0"/>
          <w:numId w:val="6"/>
        </w:numPr>
        <w:tabs>
          <w:tab w:pos="679" w:val="left" w:leader="none"/>
        </w:tabs>
        <w:spacing w:line="266" w:lineRule="auto" w:before="0" w:after="0"/>
        <w:ind w:left="679" w:right="1077" w:hanging="360"/>
        <w:jc w:val="both"/>
        <w:rPr>
          <w:sz w:val="22"/>
        </w:rPr>
      </w:pPr>
      <w:r>
        <w:rPr>
          <w:b/>
          <w:sz w:val="22"/>
        </w:rPr>
        <w:t>Agriculture:</w:t>
      </w:r>
      <w:r>
        <w:rPr>
          <w:b/>
          <w:spacing w:val="-14"/>
          <w:sz w:val="22"/>
        </w:rPr>
        <w:t> </w:t>
      </w:r>
      <w:r>
        <w:rPr>
          <w:sz w:val="22"/>
        </w:rPr>
        <w:t>NKC</w:t>
      </w:r>
      <w:r>
        <w:rPr>
          <w:spacing w:val="-14"/>
          <w:sz w:val="22"/>
        </w:rPr>
        <w:t> </w:t>
      </w:r>
      <w:r>
        <w:rPr>
          <w:sz w:val="22"/>
        </w:rPr>
        <w:t>recognises</w:t>
      </w:r>
      <w:r>
        <w:rPr>
          <w:spacing w:val="-14"/>
          <w:sz w:val="22"/>
        </w:rPr>
        <w:t> </w:t>
      </w:r>
      <w:r>
        <w:rPr>
          <w:sz w:val="22"/>
        </w:rPr>
        <w:t>that</w:t>
      </w:r>
      <w:r>
        <w:rPr>
          <w:spacing w:val="-13"/>
          <w:sz w:val="22"/>
        </w:rPr>
        <w:t> </w:t>
      </w:r>
      <w:r>
        <w:rPr>
          <w:sz w:val="22"/>
        </w:rPr>
        <w:t>the</w:t>
      </w:r>
      <w:r>
        <w:rPr>
          <w:spacing w:val="-14"/>
          <w:sz w:val="22"/>
        </w:rPr>
        <w:t> </w:t>
      </w:r>
      <w:r>
        <w:rPr>
          <w:sz w:val="22"/>
        </w:rPr>
        <w:t>challenges facing Indian agriculture can only be addressed through</w:t>
      </w:r>
      <w:r>
        <w:rPr>
          <w:spacing w:val="-14"/>
          <w:sz w:val="22"/>
        </w:rPr>
        <w:t> </w:t>
      </w:r>
      <w:r>
        <w:rPr>
          <w:sz w:val="22"/>
        </w:rPr>
        <w:t>a</w:t>
      </w:r>
      <w:r>
        <w:rPr>
          <w:spacing w:val="-14"/>
          <w:sz w:val="22"/>
        </w:rPr>
        <w:t> </w:t>
      </w:r>
      <w:r>
        <w:rPr>
          <w:sz w:val="22"/>
        </w:rPr>
        <w:t>comprehensive</w:t>
      </w:r>
      <w:r>
        <w:rPr>
          <w:spacing w:val="-14"/>
          <w:sz w:val="22"/>
        </w:rPr>
        <w:t> </w:t>
      </w:r>
      <w:r>
        <w:rPr>
          <w:sz w:val="22"/>
        </w:rPr>
        <w:t>package</w:t>
      </w:r>
      <w:r>
        <w:rPr>
          <w:spacing w:val="-13"/>
          <w:sz w:val="22"/>
        </w:rPr>
        <w:t> </w:t>
      </w:r>
      <w:r>
        <w:rPr>
          <w:sz w:val="22"/>
        </w:rPr>
        <w:t>of</w:t>
      </w:r>
      <w:r>
        <w:rPr>
          <w:spacing w:val="-14"/>
          <w:sz w:val="22"/>
        </w:rPr>
        <w:t> </w:t>
      </w:r>
      <w:r>
        <w:rPr>
          <w:sz w:val="22"/>
        </w:rPr>
        <w:t>measure</w:t>
      </w:r>
      <w:r>
        <w:rPr>
          <w:spacing w:val="-14"/>
          <w:sz w:val="22"/>
        </w:rPr>
        <w:t> </w:t>
      </w:r>
      <w:r>
        <w:rPr>
          <w:sz w:val="22"/>
        </w:rPr>
        <w:t>that includes an emphasis on enhanced </w:t>
      </w:r>
      <w:r>
        <w:rPr>
          <w:sz w:val="22"/>
        </w:rPr>
        <w:t>knowledge </w:t>
      </w:r>
      <w:r>
        <w:rPr>
          <w:spacing w:val="-6"/>
          <w:sz w:val="22"/>
        </w:rPr>
        <w:t>generation and application. NKC has recommended </w:t>
      </w:r>
      <w:r>
        <w:rPr>
          <w:sz w:val="22"/>
        </w:rPr>
        <w:t>concrete steps to modernise and stimulate agricultural research institutions, coordinate </w:t>
      </w:r>
      <w:r>
        <w:rPr>
          <w:spacing w:val="-2"/>
          <w:sz w:val="22"/>
        </w:rPr>
        <w:t>research</w:t>
      </w:r>
      <w:r>
        <w:rPr>
          <w:spacing w:val="-8"/>
          <w:sz w:val="22"/>
        </w:rPr>
        <w:t> </w:t>
      </w:r>
      <w:r>
        <w:rPr>
          <w:spacing w:val="-2"/>
          <w:sz w:val="22"/>
        </w:rPr>
        <w:t>and</w:t>
      </w:r>
      <w:r>
        <w:rPr>
          <w:spacing w:val="-8"/>
          <w:sz w:val="22"/>
        </w:rPr>
        <w:t> </w:t>
      </w:r>
      <w:r>
        <w:rPr>
          <w:spacing w:val="-2"/>
          <w:sz w:val="22"/>
        </w:rPr>
        <w:t>make</w:t>
      </w:r>
      <w:r>
        <w:rPr>
          <w:spacing w:val="-8"/>
          <w:sz w:val="22"/>
        </w:rPr>
        <w:t> </w:t>
      </w:r>
      <w:r>
        <w:rPr>
          <w:spacing w:val="-2"/>
          <w:sz w:val="22"/>
        </w:rPr>
        <w:t>research</w:t>
      </w:r>
      <w:r>
        <w:rPr>
          <w:spacing w:val="-8"/>
          <w:sz w:val="22"/>
        </w:rPr>
        <w:t> </w:t>
      </w:r>
      <w:r>
        <w:rPr>
          <w:spacing w:val="-2"/>
          <w:sz w:val="22"/>
        </w:rPr>
        <w:t>support</w:t>
      </w:r>
      <w:r>
        <w:rPr>
          <w:spacing w:val="-8"/>
          <w:sz w:val="22"/>
        </w:rPr>
        <w:t> </w:t>
      </w:r>
      <w:r>
        <w:rPr>
          <w:spacing w:val="-2"/>
          <w:sz w:val="22"/>
        </w:rPr>
        <w:t>more</w:t>
      </w:r>
      <w:r>
        <w:rPr>
          <w:spacing w:val="-8"/>
          <w:sz w:val="22"/>
        </w:rPr>
        <w:t> </w:t>
      </w:r>
      <w:r>
        <w:rPr>
          <w:spacing w:val="-2"/>
          <w:sz w:val="22"/>
        </w:rPr>
        <w:t>flexible. </w:t>
      </w:r>
      <w:r>
        <w:rPr>
          <w:sz w:val="22"/>
        </w:rPr>
        <w:t>It</w:t>
      </w:r>
      <w:r>
        <w:rPr>
          <w:spacing w:val="-1"/>
          <w:sz w:val="22"/>
        </w:rPr>
        <w:t> </w:t>
      </w:r>
      <w:r>
        <w:rPr>
          <w:sz w:val="22"/>
        </w:rPr>
        <w:t>has</w:t>
      </w:r>
      <w:r>
        <w:rPr>
          <w:spacing w:val="-1"/>
          <w:sz w:val="22"/>
        </w:rPr>
        <w:t> </w:t>
      </w:r>
      <w:r>
        <w:rPr>
          <w:sz w:val="22"/>
        </w:rPr>
        <w:t>also</w:t>
      </w:r>
      <w:r>
        <w:rPr>
          <w:spacing w:val="-1"/>
          <w:sz w:val="22"/>
        </w:rPr>
        <w:t> </w:t>
      </w:r>
      <w:r>
        <w:rPr>
          <w:sz w:val="22"/>
        </w:rPr>
        <w:t>recognised</w:t>
      </w:r>
      <w:r>
        <w:rPr>
          <w:spacing w:val="-1"/>
          <w:sz w:val="22"/>
        </w:rPr>
        <w:t> </w:t>
      </w:r>
      <w:r>
        <w:rPr>
          <w:sz w:val="22"/>
        </w:rPr>
        <w:t>the</w:t>
      </w:r>
      <w:r>
        <w:rPr>
          <w:spacing w:val="-1"/>
          <w:sz w:val="22"/>
        </w:rPr>
        <w:t> </w:t>
      </w:r>
      <w:r>
        <w:rPr>
          <w:sz w:val="22"/>
        </w:rPr>
        <w:t>need</w:t>
      </w:r>
      <w:r>
        <w:rPr>
          <w:spacing w:val="-1"/>
          <w:sz w:val="22"/>
        </w:rPr>
        <w:t> </w:t>
      </w:r>
      <w:r>
        <w:rPr>
          <w:sz w:val="22"/>
        </w:rPr>
        <w:t>for</w:t>
      </w:r>
      <w:r>
        <w:rPr>
          <w:spacing w:val="-1"/>
          <w:sz w:val="22"/>
        </w:rPr>
        <w:t> </w:t>
      </w:r>
      <w:r>
        <w:rPr>
          <w:sz w:val="22"/>
        </w:rPr>
        <w:t>improving</w:t>
      </w:r>
      <w:r>
        <w:rPr>
          <w:spacing w:val="-1"/>
          <w:sz w:val="22"/>
        </w:rPr>
        <w:t> </w:t>
      </w:r>
      <w:r>
        <w:rPr>
          <w:sz w:val="22"/>
        </w:rPr>
        <w:t>the organisation of agricultural research, directing more</w:t>
      </w:r>
      <w:r>
        <w:rPr>
          <w:spacing w:val="-8"/>
          <w:sz w:val="22"/>
        </w:rPr>
        <w:t> </w:t>
      </w:r>
      <w:r>
        <w:rPr>
          <w:sz w:val="22"/>
        </w:rPr>
        <w:t>research</w:t>
      </w:r>
      <w:r>
        <w:rPr>
          <w:spacing w:val="-8"/>
          <w:sz w:val="22"/>
        </w:rPr>
        <w:t> </w:t>
      </w:r>
      <w:r>
        <w:rPr>
          <w:sz w:val="22"/>
        </w:rPr>
        <w:t>to</w:t>
      </w:r>
      <w:r>
        <w:rPr>
          <w:spacing w:val="-8"/>
          <w:sz w:val="22"/>
        </w:rPr>
        <w:t> </w:t>
      </w:r>
      <w:r>
        <w:rPr>
          <w:sz w:val="22"/>
        </w:rPr>
        <w:t>neglected</w:t>
      </w:r>
      <w:r>
        <w:rPr>
          <w:spacing w:val="-8"/>
          <w:sz w:val="22"/>
        </w:rPr>
        <w:t> </w:t>
      </w:r>
      <w:r>
        <w:rPr>
          <w:sz w:val="22"/>
        </w:rPr>
        <w:t>areas,</w:t>
      </w:r>
      <w:r>
        <w:rPr>
          <w:spacing w:val="-8"/>
          <w:sz w:val="22"/>
        </w:rPr>
        <w:t> </w:t>
      </w:r>
      <w:r>
        <w:rPr>
          <w:sz w:val="22"/>
        </w:rPr>
        <w:t>providing</w:t>
      </w:r>
      <w:r>
        <w:rPr>
          <w:spacing w:val="-8"/>
          <w:sz w:val="22"/>
        </w:rPr>
        <w:t> </w:t>
      </w:r>
      <w:r>
        <w:rPr>
          <w:sz w:val="22"/>
        </w:rPr>
        <w:t>more effective</w:t>
      </w:r>
      <w:r>
        <w:rPr>
          <w:spacing w:val="-14"/>
          <w:sz w:val="22"/>
        </w:rPr>
        <w:t> </w:t>
      </w:r>
      <w:r>
        <w:rPr>
          <w:sz w:val="22"/>
        </w:rPr>
        <w:t>incentives</w:t>
      </w:r>
      <w:r>
        <w:rPr>
          <w:spacing w:val="-14"/>
          <w:sz w:val="22"/>
        </w:rPr>
        <w:t> </w:t>
      </w:r>
      <w:r>
        <w:rPr>
          <w:sz w:val="22"/>
        </w:rPr>
        <w:t>for</w:t>
      </w:r>
      <w:r>
        <w:rPr>
          <w:spacing w:val="-14"/>
          <w:sz w:val="22"/>
        </w:rPr>
        <w:t> </w:t>
      </w:r>
      <w:r>
        <w:rPr>
          <w:sz w:val="22"/>
        </w:rPr>
        <w:t>researchers</w:t>
      </w:r>
      <w:r>
        <w:rPr>
          <w:spacing w:val="-13"/>
          <w:sz w:val="22"/>
        </w:rPr>
        <w:t> </w:t>
      </w:r>
      <w:r>
        <w:rPr>
          <w:sz w:val="22"/>
        </w:rPr>
        <w:t>and</w:t>
      </w:r>
      <w:r>
        <w:rPr>
          <w:spacing w:val="-14"/>
          <w:sz w:val="22"/>
        </w:rPr>
        <w:t> </w:t>
      </w:r>
      <w:r>
        <w:rPr>
          <w:sz w:val="22"/>
        </w:rPr>
        <w:t>reforming the curricula in agricultural universities. Further, to</w:t>
      </w:r>
      <w:r>
        <w:rPr>
          <w:spacing w:val="-6"/>
          <w:sz w:val="22"/>
        </w:rPr>
        <w:t> </w:t>
      </w:r>
      <w:r>
        <w:rPr>
          <w:sz w:val="22"/>
        </w:rPr>
        <w:t>improve</w:t>
      </w:r>
      <w:r>
        <w:rPr>
          <w:spacing w:val="-6"/>
          <w:sz w:val="22"/>
        </w:rPr>
        <w:t> </w:t>
      </w:r>
      <w:r>
        <w:rPr>
          <w:sz w:val="22"/>
        </w:rPr>
        <w:t>the</w:t>
      </w:r>
      <w:r>
        <w:rPr>
          <w:spacing w:val="-6"/>
          <w:sz w:val="22"/>
        </w:rPr>
        <w:t> </w:t>
      </w:r>
      <w:r>
        <w:rPr>
          <w:sz w:val="22"/>
        </w:rPr>
        <w:t>scope</w:t>
      </w:r>
      <w:r>
        <w:rPr>
          <w:spacing w:val="-6"/>
          <w:sz w:val="22"/>
        </w:rPr>
        <w:t> </w:t>
      </w:r>
      <w:r>
        <w:rPr>
          <w:sz w:val="22"/>
        </w:rPr>
        <w:t>and</w:t>
      </w:r>
      <w:r>
        <w:rPr>
          <w:spacing w:val="-6"/>
          <w:sz w:val="22"/>
        </w:rPr>
        <w:t> </w:t>
      </w:r>
      <w:r>
        <w:rPr>
          <w:sz w:val="22"/>
        </w:rPr>
        <w:t>efficiency</w:t>
      </w:r>
      <w:r>
        <w:rPr>
          <w:spacing w:val="-6"/>
          <w:sz w:val="22"/>
        </w:rPr>
        <w:t> </w:t>
      </w:r>
      <w:r>
        <w:rPr>
          <w:sz w:val="22"/>
        </w:rPr>
        <w:t>of</w:t>
      </w:r>
      <w:r>
        <w:rPr>
          <w:spacing w:val="-6"/>
          <w:sz w:val="22"/>
        </w:rPr>
        <w:t> </w:t>
      </w:r>
      <w:r>
        <w:rPr>
          <w:sz w:val="22"/>
        </w:rPr>
        <w:t>extension, </w:t>
      </w:r>
      <w:r>
        <w:rPr>
          <w:spacing w:val="-8"/>
          <w:sz w:val="22"/>
        </w:rPr>
        <w:t>NKC</w:t>
      </w:r>
      <w:r>
        <w:rPr>
          <w:sz w:val="22"/>
        </w:rPr>
        <w:t> </w:t>
      </w:r>
      <w:r>
        <w:rPr>
          <w:spacing w:val="-8"/>
          <w:sz w:val="22"/>
        </w:rPr>
        <w:t>has</w:t>
      </w:r>
      <w:r>
        <w:rPr>
          <w:sz w:val="22"/>
        </w:rPr>
        <w:t> </w:t>
      </w:r>
      <w:r>
        <w:rPr>
          <w:spacing w:val="-8"/>
          <w:sz w:val="22"/>
        </w:rPr>
        <w:t>stressed</w:t>
      </w:r>
      <w:r>
        <w:rPr>
          <w:sz w:val="22"/>
        </w:rPr>
        <w:t> </w:t>
      </w:r>
      <w:r>
        <w:rPr>
          <w:spacing w:val="-8"/>
          <w:sz w:val="22"/>
        </w:rPr>
        <w:t>making</w:t>
      </w:r>
      <w:r>
        <w:rPr>
          <w:sz w:val="22"/>
        </w:rPr>
        <w:t> </w:t>
      </w:r>
      <w:r>
        <w:rPr>
          <w:spacing w:val="-8"/>
          <w:sz w:val="22"/>
        </w:rPr>
        <w:t>knowledge</w:t>
      </w:r>
      <w:r>
        <w:rPr>
          <w:sz w:val="22"/>
        </w:rPr>
        <w:t> </w:t>
      </w:r>
      <w:r>
        <w:rPr>
          <w:spacing w:val="-8"/>
          <w:sz w:val="22"/>
        </w:rPr>
        <w:t>applications</w:t>
      </w:r>
      <w:r>
        <w:rPr>
          <w:sz w:val="22"/>
        </w:rPr>
        <w:t> </w:t>
      </w:r>
      <w:r>
        <w:rPr>
          <w:spacing w:val="-8"/>
          <w:sz w:val="22"/>
        </w:rPr>
        <w:t>in </w:t>
      </w:r>
      <w:r>
        <w:rPr>
          <w:sz w:val="22"/>
        </w:rPr>
        <w:t>agriculture</w:t>
      </w:r>
      <w:r>
        <w:rPr>
          <w:spacing w:val="-16"/>
          <w:sz w:val="22"/>
        </w:rPr>
        <w:t> </w:t>
      </w:r>
      <w:r>
        <w:rPr>
          <w:sz w:val="22"/>
        </w:rPr>
        <w:t>community-driven</w:t>
      </w:r>
      <w:r>
        <w:rPr>
          <w:spacing w:val="-14"/>
          <w:sz w:val="22"/>
        </w:rPr>
        <w:t> </w:t>
      </w:r>
      <w:r>
        <w:rPr>
          <w:sz w:val="22"/>
        </w:rPr>
        <w:t>and</w:t>
      </w:r>
      <w:r>
        <w:rPr>
          <w:spacing w:val="-14"/>
          <w:sz w:val="22"/>
        </w:rPr>
        <w:t> </w:t>
      </w:r>
      <w:r>
        <w:rPr>
          <w:sz w:val="22"/>
        </w:rPr>
        <w:t>farmer-led</w:t>
      </w:r>
      <w:r>
        <w:rPr>
          <w:spacing w:val="-13"/>
          <w:sz w:val="22"/>
        </w:rPr>
        <w:t> </w:t>
      </w:r>
      <w:r>
        <w:rPr>
          <w:sz w:val="22"/>
        </w:rPr>
        <w:t>and </w:t>
      </w:r>
      <w:r>
        <w:rPr>
          <w:spacing w:val="-2"/>
          <w:sz w:val="22"/>
        </w:rPr>
        <w:t>shifting</w:t>
      </w:r>
      <w:r>
        <w:rPr>
          <w:spacing w:val="-9"/>
          <w:sz w:val="22"/>
        </w:rPr>
        <w:t> </w:t>
      </w:r>
      <w:r>
        <w:rPr>
          <w:spacing w:val="-2"/>
          <w:sz w:val="22"/>
        </w:rPr>
        <w:t>the</w:t>
      </w:r>
      <w:r>
        <w:rPr>
          <w:spacing w:val="-9"/>
          <w:sz w:val="22"/>
        </w:rPr>
        <w:t> </w:t>
      </w:r>
      <w:r>
        <w:rPr>
          <w:spacing w:val="-2"/>
          <w:sz w:val="22"/>
        </w:rPr>
        <w:t>focus</w:t>
      </w:r>
      <w:r>
        <w:rPr>
          <w:spacing w:val="-9"/>
          <w:sz w:val="22"/>
        </w:rPr>
        <w:t> </w:t>
      </w:r>
      <w:r>
        <w:rPr>
          <w:spacing w:val="-2"/>
          <w:sz w:val="22"/>
        </w:rPr>
        <w:t>to</w:t>
      </w:r>
      <w:r>
        <w:rPr>
          <w:spacing w:val="-9"/>
          <w:sz w:val="22"/>
        </w:rPr>
        <w:t> </w:t>
      </w:r>
      <w:r>
        <w:rPr>
          <w:spacing w:val="-2"/>
          <w:sz w:val="22"/>
        </w:rPr>
        <w:t>provide</w:t>
      </w:r>
      <w:r>
        <w:rPr>
          <w:spacing w:val="-9"/>
          <w:sz w:val="22"/>
        </w:rPr>
        <w:t> </w:t>
      </w:r>
      <w:r>
        <w:rPr>
          <w:spacing w:val="-2"/>
          <w:sz w:val="22"/>
        </w:rPr>
        <w:t>an</w:t>
      </w:r>
      <w:r>
        <w:rPr>
          <w:spacing w:val="-9"/>
          <w:sz w:val="22"/>
        </w:rPr>
        <w:t> </w:t>
      </w:r>
      <w:r>
        <w:rPr>
          <w:spacing w:val="-2"/>
          <w:sz w:val="22"/>
        </w:rPr>
        <w:t>integrated</w:t>
      </w:r>
      <w:r>
        <w:rPr>
          <w:spacing w:val="-9"/>
          <w:sz w:val="22"/>
        </w:rPr>
        <w:t> </w:t>
      </w:r>
      <w:r>
        <w:rPr>
          <w:spacing w:val="-2"/>
          <w:sz w:val="22"/>
        </w:rPr>
        <w:t>range</w:t>
      </w:r>
      <w:r>
        <w:rPr>
          <w:spacing w:val="-9"/>
          <w:sz w:val="22"/>
        </w:rPr>
        <w:t> </w:t>
      </w:r>
      <w:r>
        <w:rPr>
          <w:spacing w:val="-2"/>
          <w:sz w:val="22"/>
        </w:rPr>
        <w:t>of </w:t>
      </w:r>
      <w:r>
        <w:rPr>
          <w:spacing w:val="-4"/>
          <w:sz w:val="22"/>
        </w:rPr>
        <w:t>services.</w:t>
      </w:r>
      <w:r>
        <w:rPr>
          <w:spacing w:val="-2"/>
          <w:sz w:val="22"/>
        </w:rPr>
        <w:t> </w:t>
      </w:r>
      <w:r>
        <w:rPr>
          <w:spacing w:val="-4"/>
          <w:sz w:val="22"/>
        </w:rPr>
        <w:t>NKC</w:t>
      </w:r>
      <w:r>
        <w:rPr>
          <w:spacing w:val="-1"/>
          <w:sz w:val="22"/>
        </w:rPr>
        <w:t> </w:t>
      </w:r>
      <w:r>
        <w:rPr>
          <w:spacing w:val="-4"/>
          <w:sz w:val="22"/>
        </w:rPr>
        <w:t>has</w:t>
      </w:r>
      <w:r>
        <w:rPr>
          <w:spacing w:val="-1"/>
          <w:sz w:val="22"/>
        </w:rPr>
        <w:t> </w:t>
      </w:r>
      <w:r>
        <w:rPr>
          <w:spacing w:val="-4"/>
          <w:sz w:val="22"/>
        </w:rPr>
        <w:t>also</w:t>
      </w:r>
      <w:r>
        <w:rPr>
          <w:spacing w:val="-1"/>
          <w:sz w:val="22"/>
        </w:rPr>
        <w:t> </w:t>
      </w:r>
      <w:r>
        <w:rPr>
          <w:spacing w:val="-4"/>
          <w:sz w:val="22"/>
        </w:rPr>
        <w:t>recommended</w:t>
      </w:r>
      <w:r>
        <w:rPr>
          <w:spacing w:val="-1"/>
          <w:sz w:val="22"/>
        </w:rPr>
        <w:t> </w:t>
      </w:r>
      <w:r>
        <w:rPr>
          <w:spacing w:val="-7"/>
          <w:sz w:val="22"/>
        </w:rPr>
        <w:t>restructuring</w:t>
      </w:r>
    </w:p>
    <w:p>
      <w:pPr>
        <w:spacing w:after="0" w:line="266" w:lineRule="auto"/>
        <w:jc w:val="both"/>
        <w:rPr>
          <w:sz w:val="22"/>
        </w:rPr>
        <w:sectPr>
          <w:pgSz w:w="11910" w:h="16840"/>
          <w:pgMar w:header="0" w:footer="675" w:top="940" w:bottom="860" w:left="0" w:right="0"/>
          <w:cols w:num="2" w:equalWidth="0">
            <w:col w:w="5774" w:space="40"/>
            <w:col w:w="6096"/>
          </w:cols>
        </w:sectPr>
      </w:pPr>
    </w:p>
    <w:p>
      <w:pPr>
        <w:pStyle w:val="BodyText"/>
        <w:spacing w:line="266" w:lineRule="auto" w:before="57"/>
        <w:ind w:left="1440"/>
        <w:jc w:val="both"/>
      </w:pPr>
      <w:r>
        <w:rPr>
          <w:spacing w:val="-2"/>
        </w:rPr>
        <w:t>the</w:t>
      </w:r>
      <w:r>
        <w:rPr>
          <w:spacing w:val="-12"/>
        </w:rPr>
        <w:t> </w:t>
      </w:r>
      <w:r>
        <w:rPr>
          <w:spacing w:val="-2"/>
        </w:rPr>
        <w:t>Agricultural</w:t>
      </w:r>
      <w:r>
        <w:rPr>
          <w:spacing w:val="-12"/>
        </w:rPr>
        <w:t> </w:t>
      </w:r>
      <w:r>
        <w:rPr>
          <w:spacing w:val="-2"/>
        </w:rPr>
        <w:t>Technology</w:t>
      </w:r>
      <w:r>
        <w:rPr>
          <w:spacing w:val="-12"/>
        </w:rPr>
        <w:t> </w:t>
      </w:r>
      <w:r>
        <w:rPr>
          <w:spacing w:val="-2"/>
        </w:rPr>
        <w:t>Management</w:t>
      </w:r>
      <w:r>
        <w:rPr>
          <w:spacing w:val="-11"/>
        </w:rPr>
        <w:t> </w:t>
      </w:r>
      <w:r>
        <w:rPr>
          <w:spacing w:val="-2"/>
        </w:rPr>
        <w:t>Agency </w:t>
      </w:r>
      <w:r>
        <w:rPr>
          <w:spacing w:val="-8"/>
        </w:rPr>
        <w:t>(ATMA)</w:t>
      </w:r>
      <w:r>
        <w:rPr>
          <w:spacing w:val="-6"/>
        </w:rPr>
        <w:t> </w:t>
      </w:r>
      <w:r>
        <w:rPr>
          <w:spacing w:val="-8"/>
        </w:rPr>
        <w:t>to</w:t>
      </w:r>
      <w:r>
        <w:rPr>
          <w:spacing w:val="-6"/>
        </w:rPr>
        <w:t> </w:t>
      </w:r>
      <w:r>
        <w:rPr>
          <w:spacing w:val="-8"/>
        </w:rPr>
        <w:t>make</w:t>
      </w:r>
      <w:r>
        <w:rPr>
          <w:spacing w:val="-5"/>
        </w:rPr>
        <w:t> </w:t>
      </w:r>
      <w:r>
        <w:rPr>
          <w:spacing w:val="-8"/>
        </w:rPr>
        <w:t>it</w:t>
      </w:r>
      <w:r>
        <w:rPr>
          <w:spacing w:val="-6"/>
        </w:rPr>
        <w:t> </w:t>
      </w:r>
      <w:r>
        <w:rPr>
          <w:spacing w:val="-8"/>
        </w:rPr>
        <w:t>more</w:t>
      </w:r>
      <w:r>
        <w:rPr>
          <w:spacing w:val="-6"/>
        </w:rPr>
        <w:t> </w:t>
      </w:r>
      <w:r>
        <w:rPr>
          <w:spacing w:val="-8"/>
        </w:rPr>
        <w:t>decentralised,</w:t>
      </w:r>
      <w:r>
        <w:rPr>
          <w:spacing w:val="-5"/>
        </w:rPr>
        <w:t> </w:t>
      </w:r>
      <w:r>
        <w:rPr>
          <w:spacing w:val="-8"/>
        </w:rPr>
        <w:t>participatory </w:t>
      </w:r>
      <w:r>
        <w:rPr/>
        <w:t>and</w:t>
      </w:r>
      <w:r>
        <w:rPr>
          <w:spacing w:val="-3"/>
        </w:rPr>
        <w:t> </w:t>
      </w:r>
      <w:r>
        <w:rPr/>
        <w:t>locally</w:t>
      </w:r>
      <w:r>
        <w:rPr>
          <w:spacing w:val="-3"/>
        </w:rPr>
        <w:t> </w:t>
      </w:r>
      <w:r>
        <w:rPr/>
        <w:t>responsive,</w:t>
      </w:r>
      <w:r>
        <w:rPr>
          <w:spacing w:val="-3"/>
        </w:rPr>
        <w:t> </w:t>
      </w:r>
      <w:r>
        <w:rPr/>
        <w:t>and</w:t>
      </w:r>
      <w:r>
        <w:rPr>
          <w:spacing w:val="-3"/>
        </w:rPr>
        <w:t> </w:t>
      </w:r>
      <w:r>
        <w:rPr/>
        <w:t>enhancing</w:t>
      </w:r>
      <w:r>
        <w:rPr>
          <w:spacing w:val="-3"/>
        </w:rPr>
        <w:t> </w:t>
      </w:r>
      <w:r>
        <w:rPr/>
        <w:t>the</w:t>
      </w:r>
      <w:r>
        <w:rPr>
          <w:spacing w:val="-3"/>
        </w:rPr>
        <w:t> </w:t>
      </w:r>
      <w:r>
        <w:rPr/>
        <w:t>role</w:t>
      </w:r>
      <w:r>
        <w:rPr>
          <w:spacing w:val="-3"/>
        </w:rPr>
        <w:t> </w:t>
      </w:r>
      <w:r>
        <w:rPr/>
        <w:t>of private</w:t>
      </w:r>
      <w:r>
        <w:rPr>
          <w:spacing w:val="-14"/>
        </w:rPr>
        <w:t> </w:t>
      </w:r>
      <w:r>
        <w:rPr/>
        <w:t>players</w:t>
      </w:r>
      <w:r>
        <w:rPr>
          <w:spacing w:val="-14"/>
        </w:rPr>
        <w:t> </w:t>
      </w:r>
      <w:r>
        <w:rPr/>
        <w:t>in</w:t>
      </w:r>
      <w:r>
        <w:rPr>
          <w:spacing w:val="-14"/>
        </w:rPr>
        <w:t> </w:t>
      </w:r>
      <w:r>
        <w:rPr/>
        <w:t>agricultural</w:t>
      </w:r>
      <w:r>
        <w:rPr>
          <w:spacing w:val="-13"/>
        </w:rPr>
        <w:t> </w:t>
      </w:r>
      <w:r>
        <w:rPr/>
        <w:t>extension</w:t>
      </w:r>
      <w:r>
        <w:rPr>
          <w:spacing w:val="-14"/>
        </w:rPr>
        <w:t> </w:t>
      </w:r>
      <w:r>
        <w:rPr/>
        <w:t>delivery.</w:t>
      </w:r>
    </w:p>
    <w:p>
      <w:pPr>
        <w:pStyle w:val="BodyText"/>
        <w:spacing w:before="24"/>
      </w:pPr>
    </w:p>
    <w:p>
      <w:pPr>
        <w:pStyle w:val="ListParagraph"/>
        <w:numPr>
          <w:ilvl w:val="1"/>
          <w:numId w:val="6"/>
        </w:numPr>
        <w:tabs>
          <w:tab w:pos="1439" w:val="left" w:leader="none"/>
        </w:tabs>
        <w:spacing w:line="266" w:lineRule="auto" w:before="0" w:after="0"/>
        <w:ind w:left="1439" w:right="0" w:hanging="360"/>
        <w:jc w:val="both"/>
        <w:rPr>
          <w:sz w:val="22"/>
        </w:rPr>
      </w:pPr>
      <w:r>
        <w:rPr>
          <w:b/>
          <w:sz w:val="22"/>
        </w:rPr>
        <w:t>Enhancing Quality of Life: </w:t>
      </w:r>
      <w:r>
        <w:rPr>
          <w:sz w:val="22"/>
        </w:rPr>
        <w:t>NKC has </w:t>
      </w:r>
      <w:r>
        <w:rPr>
          <w:sz w:val="22"/>
        </w:rPr>
        <w:t>focused on knowledge applications for enhancing the well</w:t>
      </w:r>
      <w:r>
        <w:rPr>
          <w:spacing w:val="-3"/>
          <w:sz w:val="22"/>
        </w:rPr>
        <w:t> </w:t>
      </w:r>
      <w:r>
        <w:rPr>
          <w:sz w:val="22"/>
        </w:rPr>
        <w:t>being</w:t>
      </w:r>
      <w:r>
        <w:rPr>
          <w:spacing w:val="-3"/>
          <w:sz w:val="22"/>
        </w:rPr>
        <w:t> </w:t>
      </w:r>
      <w:r>
        <w:rPr>
          <w:sz w:val="22"/>
        </w:rPr>
        <w:t>of</w:t>
      </w:r>
      <w:r>
        <w:rPr>
          <w:spacing w:val="-3"/>
          <w:sz w:val="22"/>
        </w:rPr>
        <w:t> </w:t>
      </w:r>
      <w:r>
        <w:rPr>
          <w:sz w:val="22"/>
        </w:rPr>
        <w:t>common</w:t>
      </w:r>
      <w:r>
        <w:rPr>
          <w:spacing w:val="-3"/>
          <w:sz w:val="22"/>
        </w:rPr>
        <w:t> </w:t>
      </w:r>
      <w:r>
        <w:rPr>
          <w:sz w:val="22"/>
        </w:rPr>
        <w:t>people,</w:t>
      </w:r>
      <w:r>
        <w:rPr>
          <w:spacing w:val="-3"/>
          <w:sz w:val="22"/>
        </w:rPr>
        <w:t> </w:t>
      </w:r>
      <w:r>
        <w:rPr>
          <w:sz w:val="22"/>
        </w:rPr>
        <w:t>especially</w:t>
      </w:r>
      <w:r>
        <w:rPr>
          <w:spacing w:val="-3"/>
          <w:sz w:val="22"/>
        </w:rPr>
        <w:t> </w:t>
      </w:r>
      <w:r>
        <w:rPr>
          <w:sz w:val="22"/>
        </w:rPr>
        <w:t>in</w:t>
      </w:r>
      <w:r>
        <w:rPr>
          <w:spacing w:val="-3"/>
          <w:sz w:val="22"/>
        </w:rPr>
        <w:t> </w:t>
      </w:r>
      <w:r>
        <w:rPr>
          <w:sz w:val="22"/>
        </w:rPr>
        <w:t>rural areas.</w:t>
      </w:r>
      <w:r>
        <w:rPr>
          <w:spacing w:val="-7"/>
          <w:sz w:val="22"/>
        </w:rPr>
        <w:t> </w:t>
      </w:r>
      <w:r>
        <w:rPr>
          <w:sz w:val="22"/>
        </w:rPr>
        <w:t>Towards this end, NKC</w:t>
      </w:r>
      <w:r>
        <w:rPr>
          <w:spacing w:val="-1"/>
          <w:sz w:val="22"/>
        </w:rPr>
        <w:t> </w:t>
      </w:r>
      <w:r>
        <w:rPr>
          <w:sz w:val="22"/>
        </w:rPr>
        <w:t>has recommended the setting up of Panchayat Gyan Kendras (PGKs) throughout the country which would ensure efficient implementation of NREGA and would</w:t>
      </w:r>
      <w:r>
        <w:rPr>
          <w:spacing w:val="-14"/>
          <w:sz w:val="22"/>
        </w:rPr>
        <w:t> </w:t>
      </w:r>
      <w:r>
        <w:rPr>
          <w:sz w:val="22"/>
        </w:rPr>
        <w:t>eventually</w:t>
      </w:r>
      <w:r>
        <w:rPr>
          <w:spacing w:val="-13"/>
          <w:sz w:val="22"/>
        </w:rPr>
        <w:t> </w:t>
      </w:r>
      <w:r>
        <w:rPr>
          <w:sz w:val="22"/>
        </w:rPr>
        <w:t>develop</w:t>
      </w:r>
      <w:r>
        <w:rPr>
          <w:spacing w:val="-14"/>
          <w:sz w:val="22"/>
        </w:rPr>
        <w:t> </w:t>
      </w:r>
      <w:r>
        <w:rPr>
          <w:sz w:val="22"/>
        </w:rPr>
        <w:t>into</w:t>
      </w:r>
      <w:r>
        <w:rPr>
          <w:spacing w:val="-13"/>
          <w:sz w:val="22"/>
        </w:rPr>
        <w:t> </w:t>
      </w:r>
      <w:r>
        <w:rPr>
          <w:sz w:val="22"/>
        </w:rPr>
        <w:t>resource</w:t>
      </w:r>
      <w:r>
        <w:rPr>
          <w:spacing w:val="-14"/>
          <w:sz w:val="22"/>
        </w:rPr>
        <w:t> </w:t>
      </w:r>
      <w:r>
        <w:rPr>
          <w:sz w:val="22"/>
        </w:rPr>
        <w:t>centres</w:t>
      </w:r>
      <w:r>
        <w:rPr>
          <w:spacing w:val="-13"/>
          <w:sz w:val="22"/>
        </w:rPr>
        <w:t> </w:t>
      </w:r>
      <w:r>
        <w:rPr>
          <w:sz w:val="22"/>
        </w:rPr>
        <w:t>to demonstrate</w:t>
      </w:r>
      <w:r>
        <w:rPr>
          <w:spacing w:val="-11"/>
          <w:sz w:val="22"/>
        </w:rPr>
        <w:t> </w:t>
      </w:r>
      <w:r>
        <w:rPr>
          <w:sz w:val="22"/>
        </w:rPr>
        <w:t>best</w:t>
      </w:r>
      <w:r>
        <w:rPr>
          <w:spacing w:val="-12"/>
          <w:sz w:val="22"/>
        </w:rPr>
        <w:t> </w:t>
      </w:r>
      <w:r>
        <w:rPr>
          <w:sz w:val="22"/>
        </w:rPr>
        <w:t>practices,</w:t>
      </w:r>
      <w:r>
        <w:rPr>
          <w:spacing w:val="-11"/>
          <w:sz w:val="22"/>
        </w:rPr>
        <w:t> </w:t>
      </w:r>
      <w:r>
        <w:rPr>
          <w:sz w:val="22"/>
        </w:rPr>
        <w:t>evolve</w:t>
      </w:r>
      <w:r>
        <w:rPr>
          <w:spacing w:val="-12"/>
          <w:sz w:val="22"/>
        </w:rPr>
        <w:t> </w:t>
      </w:r>
      <w:r>
        <w:rPr>
          <w:sz w:val="22"/>
        </w:rPr>
        <w:t>local</w:t>
      </w:r>
      <w:r>
        <w:rPr>
          <w:spacing w:val="-11"/>
          <w:sz w:val="22"/>
        </w:rPr>
        <w:t> </w:t>
      </w:r>
      <w:r>
        <w:rPr>
          <w:sz w:val="22"/>
        </w:rPr>
        <w:t>solutions and provide a platform for converging different </w:t>
      </w:r>
      <w:r>
        <w:rPr>
          <w:spacing w:val="-6"/>
          <w:sz w:val="22"/>
        </w:rPr>
        <w:t>social</w:t>
      </w:r>
      <w:r>
        <w:rPr>
          <w:spacing w:val="-8"/>
          <w:sz w:val="22"/>
        </w:rPr>
        <w:t> </w:t>
      </w:r>
      <w:r>
        <w:rPr>
          <w:spacing w:val="-6"/>
          <w:sz w:val="22"/>
        </w:rPr>
        <w:t>sector</w:t>
      </w:r>
      <w:r>
        <w:rPr>
          <w:spacing w:val="-8"/>
          <w:sz w:val="22"/>
        </w:rPr>
        <w:t> </w:t>
      </w:r>
      <w:r>
        <w:rPr>
          <w:spacing w:val="-6"/>
          <w:sz w:val="22"/>
        </w:rPr>
        <w:t>programs.</w:t>
      </w:r>
      <w:r>
        <w:rPr>
          <w:spacing w:val="-8"/>
          <w:sz w:val="22"/>
        </w:rPr>
        <w:t> </w:t>
      </w:r>
      <w:r>
        <w:rPr>
          <w:spacing w:val="-6"/>
          <w:sz w:val="22"/>
        </w:rPr>
        <w:t>NKC</w:t>
      </w:r>
      <w:r>
        <w:rPr>
          <w:spacing w:val="-7"/>
          <w:sz w:val="22"/>
        </w:rPr>
        <w:t> </w:t>
      </w:r>
      <w:r>
        <w:rPr>
          <w:spacing w:val="-6"/>
          <w:sz w:val="22"/>
        </w:rPr>
        <w:t>has</w:t>
      </w:r>
      <w:r>
        <w:rPr>
          <w:spacing w:val="-8"/>
          <w:sz w:val="22"/>
        </w:rPr>
        <w:t> </w:t>
      </w:r>
      <w:r>
        <w:rPr>
          <w:spacing w:val="-6"/>
          <w:sz w:val="22"/>
        </w:rPr>
        <w:t>also</w:t>
      </w:r>
      <w:r>
        <w:rPr>
          <w:spacing w:val="-8"/>
          <w:sz w:val="22"/>
        </w:rPr>
        <w:t> </w:t>
      </w:r>
      <w:r>
        <w:rPr>
          <w:spacing w:val="-6"/>
          <w:sz w:val="22"/>
        </w:rPr>
        <w:t>recommended </w:t>
      </w:r>
      <w:r>
        <w:rPr>
          <w:sz w:val="22"/>
        </w:rPr>
        <w:t>conceptualising fresh perspectives in tool design to improve dignity of labour and ensure skillful engagement and enhanced productivity.</w:t>
      </w:r>
    </w:p>
    <w:p>
      <w:pPr>
        <w:pStyle w:val="Heading7"/>
        <w:spacing w:before="231"/>
        <w:ind w:left="1080"/>
      </w:pPr>
      <w:r>
        <w:rPr>
          <w:color w:val="2E614A"/>
          <w:spacing w:val="-2"/>
        </w:rPr>
        <w:t>SERVICES</w:t>
      </w:r>
    </w:p>
    <w:p>
      <w:pPr>
        <w:pStyle w:val="BodyText"/>
        <w:rPr>
          <w:b/>
          <w:sz w:val="26"/>
        </w:rPr>
      </w:pPr>
    </w:p>
    <w:p>
      <w:pPr>
        <w:pStyle w:val="BodyText"/>
        <w:spacing w:line="266" w:lineRule="auto"/>
        <w:ind w:left="1080"/>
        <w:jc w:val="both"/>
      </w:pPr>
      <w:r>
        <w:rPr/>
        <w:t>For the creation of a true knowledge society, the </w:t>
      </w:r>
      <w:r>
        <w:rPr>
          <w:spacing w:val="-2"/>
        </w:rPr>
        <w:t>availability</w:t>
      </w:r>
      <w:r>
        <w:rPr>
          <w:spacing w:val="-12"/>
        </w:rPr>
        <w:t> </w:t>
      </w:r>
      <w:r>
        <w:rPr>
          <w:spacing w:val="-2"/>
        </w:rPr>
        <w:t>of</w:t>
      </w:r>
      <w:r>
        <w:rPr>
          <w:spacing w:val="-12"/>
        </w:rPr>
        <w:t> </w:t>
      </w:r>
      <w:r>
        <w:rPr>
          <w:spacing w:val="-2"/>
        </w:rPr>
        <w:t>efficient</w:t>
      </w:r>
      <w:r>
        <w:rPr>
          <w:spacing w:val="-12"/>
        </w:rPr>
        <w:t> </w:t>
      </w:r>
      <w:r>
        <w:rPr>
          <w:spacing w:val="-2"/>
        </w:rPr>
        <w:t>knowledge</w:t>
      </w:r>
      <w:r>
        <w:rPr>
          <w:spacing w:val="-11"/>
        </w:rPr>
        <w:t> </w:t>
      </w:r>
      <w:r>
        <w:rPr>
          <w:spacing w:val="-2"/>
        </w:rPr>
        <w:t>services</w:t>
      </w:r>
      <w:r>
        <w:rPr>
          <w:spacing w:val="-12"/>
        </w:rPr>
        <w:t> </w:t>
      </w:r>
      <w:r>
        <w:rPr>
          <w:spacing w:val="-2"/>
        </w:rPr>
        <w:t>for</w:t>
      </w:r>
      <w:r>
        <w:rPr>
          <w:spacing w:val="-12"/>
        </w:rPr>
        <w:t> </w:t>
      </w:r>
      <w:r>
        <w:rPr>
          <w:spacing w:val="-2"/>
        </w:rPr>
        <w:t>citizens is</w:t>
      </w:r>
      <w:r>
        <w:rPr>
          <w:spacing w:val="-12"/>
        </w:rPr>
        <w:t> </w:t>
      </w:r>
      <w:r>
        <w:rPr>
          <w:spacing w:val="-2"/>
        </w:rPr>
        <w:t>critical,</w:t>
      </w:r>
      <w:r>
        <w:rPr>
          <w:spacing w:val="-12"/>
        </w:rPr>
        <w:t> </w:t>
      </w:r>
      <w:r>
        <w:rPr>
          <w:spacing w:val="-2"/>
        </w:rPr>
        <w:t>especially</w:t>
      </w:r>
      <w:r>
        <w:rPr>
          <w:spacing w:val="-12"/>
        </w:rPr>
        <w:t> </w:t>
      </w:r>
      <w:r>
        <w:rPr>
          <w:spacing w:val="-2"/>
        </w:rPr>
        <w:t>for</w:t>
      </w:r>
      <w:r>
        <w:rPr>
          <w:spacing w:val="-11"/>
        </w:rPr>
        <w:t> </w:t>
      </w:r>
      <w:r>
        <w:rPr>
          <w:spacing w:val="-2"/>
        </w:rPr>
        <w:t>enhancing</w:t>
      </w:r>
      <w:r>
        <w:rPr>
          <w:spacing w:val="-12"/>
        </w:rPr>
        <w:t> </w:t>
      </w:r>
      <w:r>
        <w:rPr>
          <w:spacing w:val="-2"/>
        </w:rPr>
        <w:t>citizen-government interface.</w:t>
      </w:r>
      <w:r>
        <w:rPr>
          <w:spacing w:val="-12"/>
        </w:rPr>
        <w:t> </w:t>
      </w:r>
      <w:r>
        <w:rPr>
          <w:spacing w:val="-2"/>
        </w:rPr>
        <w:t>Technology</w:t>
      </w:r>
      <w:r>
        <w:rPr>
          <w:spacing w:val="-5"/>
        </w:rPr>
        <w:t> </w:t>
      </w:r>
      <w:r>
        <w:rPr>
          <w:spacing w:val="-2"/>
        </w:rPr>
        <w:t>provides</w:t>
      </w:r>
      <w:r>
        <w:rPr>
          <w:spacing w:val="-5"/>
        </w:rPr>
        <w:t> </w:t>
      </w:r>
      <w:r>
        <w:rPr>
          <w:spacing w:val="-2"/>
        </w:rPr>
        <w:t>us</w:t>
      </w:r>
      <w:r>
        <w:rPr>
          <w:spacing w:val="-5"/>
        </w:rPr>
        <w:t> </w:t>
      </w:r>
      <w:r>
        <w:rPr>
          <w:spacing w:val="-2"/>
        </w:rPr>
        <w:t>with</w:t>
      </w:r>
      <w:r>
        <w:rPr>
          <w:spacing w:val="-5"/>
        </w:rPr>
        <w:t> </w:t>
      </w:r>
      <w:r>
        <w:rPr>
          <w:spacing w:val="-2"/>
        </w:rPr>
        <w:t>an</w:t>
      </w:r>
      <w:r>
        <w:rPr>
          <w:spacing w:val="-5"/>
        </w:rPr>
        <w:t> </w:t>
      </w:r>
      <w:r>
        <w:rPr>
          <w:spacing w:val="-2"/>
        </w:rPr>
        <w:t>opportunity to</w:t>
      </w:r>
      <w:r>
        <w:rPr>
          <w:spacing w:val="10"/>
        </w:rPr>
        <w:t> </w:t>
      </w:r>
      <w:r>
        <w:rPr>
          <w:spacing w:val="-2"/>
        </w:rPr>
        <w:t>ensure</w:t>
      </w:r>
      <w:r>
        <w:rPr>
          <w:spacing w:val="11"/>
        </w:rPr>
        <w:t> </w:t>
      </w:r>
      <w:r>
        <w:rPr>
          <w:spacing w:val="-2"/>
        </w:rPr>
        <w:t>accountability,</w:t>
      </w:r>
      <w:r>
        <w:rPr>
          <w:spacing w:val="11"/>
        </w:rPr>
        <w:t> </w:t>
      </w:r>
      <w:r>
        <w:rPr>
          <w:spacing w:val="-2"/>
        </w:rPr>
        <w:t>transparency</w:t>
      </w:r>
      <w:r>
        <w:rPr>
          <w:spacing w:val="11"/>
        </w:rPr>
        <w:t> </w:t>
      </w:r>
      <w:r>
        <w:rPr>
          <w:spacing w:val="-2"/>
        </w:rPr>
        <w:t>and</w:t>
      </w:r>
      <w:r>
        <w:rPr>
          <w:spacing w:val="11"/>
        </w:rPr>
        <w:t> </w:t>
      </w:r>
      <w:r>
        <w:rPr>
          <w:spacing w:val="-7"/>
        </w:rPr>
        <w:t>proficiency</w:t>
      </w:r>
    </w:p>
    <w:p>
      <w:pPr>
        <w:pStyle w:val="BodyText"/>
        <w:spacing w:line="266" w:lineRule="auto" w:before="57"/>
        <w:ind w:left="319" w:right="1078"/>
        <w:jc w:val="both"/>
      </w:pPr>
      <w:r>
        <w:rPr/>
        <w:br w:type="column"/>
      </w:r>
      <w:r>
        <w:rPr/>
        <w:t>in government services. E-governance is one of </w:t>
      </w:r>
      <w:r>
        <w:rPr/>
        <w:t>the ways</w:t>
      </w:r>
      <w:r>
        <w:rPr>
          <w:spacing w:val="-6"/>
        </w:rPr>
        <w:t> </w:t>
      </w:r>
      <w:r>
        <w:rPr/>
        <w:t>in</w:t>
      </w:r>
      <w:r>
        <w:rPr>
          <w:spacing w:val="-6"/>
        </w:rPr>
        <w:t> </w:t>
      </w:r>
      <w:r>
        <w:rPr/>
        <w:t>which</w:t>
      </w:r>
      <w:r>
        <w:rPr>
          <w:spacing w:val="-6"/>
        </w:rPr>
        <w:t> </w:t>
      </w:r>
      <w:r>
        <w:rPr/>
        <w:t>citizens</w:t>
      </w:r>
      <w:r>
        <w:rPr>
          <w:spacing w:val="-6"/>
        </w:rPr>
        <w:t> </w:t>
      </w:r>
      <w:r>
        <w:rPr/>
        <w:t>can</w:t>
      </w:r>
      <w:r>
        <w:rPr>
          <w:spacing w:val="-6"/>
        </w:rPr>
        <w:t> </w:t>
      </w:r>
      <w:r>
        <w:rPr/>
        <w:t>be</w:t>
      </w:r>
      <w:r>
        <w:rPr>
          <w:spacing w:val="-6"/>
        </w:rPr>
        <w:t> </w:t>
      </w:r>
      <w:r>
        <w:rPr/>
        <w:t>empowered</w:t>
      </w:r>
      <w:r>
        <w:rPr>
          <w:spacing w:val="-6"/>
        </w:rPr>
        <w:t> </w:t>
      </w:r>
      <w:r>
        <w:rPr/>
        <w:t>to</w:t>
      </w:r>
      <w:r>
        <w:rPr>
          <w:spacing w:val="-6"/>
        </w:rPr>
        <w:t> </w:t>
      </w:r>
      <w:r>
        <w:rPr/>
        <w:t>increase transparency of government functioning.</w:t>
      </w:r>
    </w:p>
    <w:p>
      <w:pPr>
        <w:pStyle w:val="BodyText"/>
        <w:spacing w:before="25"/>
      </w:pPr>
    </w:p>
    <w:p>
      <w:pPr>
        <w:pStyle w:val="ListParagraph"/>
        <w:numPr>
          <w:ilvl w:val="0"/>
          <w:numId w:val="6"/>
        </w:numPr>
        <w:tabs>
          <w:tab w:pos="679" w:val="left" w:leader="none"/>
        </w:tabs>
        <w:spacing w:line="266" w:lineRule="auto" w:before="0" w:after="0"/>
        <w:ind w:left="679" w:right="1077" w:hanging="360"/>
        <w:jc w:val="both"/>
        <w:rPr>
          <w:sz w:val="22"/>
        </w:rPr>
      </w:pPr>
      <w:r>
        <w:rPr>
          <w:b/>
          <w:spacing w:val="-4"/>
          <w:sz w:val="22"/>
        </w:rPr>
        <w:t>E-governance:</w:t>
      </w:r>
      <w:r>
        <w:rPr>
          <w:b/>
          <w:spacing w:val="-10"/>
          <w:sz w:val="22"/>
        </w:rPr>
        <w:t> </w:t>
      </w:r>
      <w:r>
        <w:rPr>
          <w:spacing w:val="-4"/>
          <w:sz w:val="22"/>
        </w:rPr>
        <w:t>To</w:t>
      </w:r>
      <w:r>
        <w:rPr>
          <w:spacing w:val="-10"/>
          <w:sz w:val="22"/>
        </w:rPr>
        <w:t> </w:t>
      </w:r>
      <w:r>
        <w:rPr>
          <w:spacing w:val="-4"/>
          <w:sz w:val="22"/>
        </w:rPr>
        <w:t>enhance</w:t>
      </w:r>
      <w:r>
        <w:rPr>
          <w:spacing w:val="-10"/>
          <w:sz w:val="22"/>
        </w:rPr>
        <w:t> </w:t>
      </w:r>
      <w:r>
        <w:rPr>
          <w:spacing w:val="-4"/>
          <w:sz w:val="22"/>
        </w:rPr>
        <w:t>the</w:t>
      </w:r>
      <w:r>
        <w:rPr>
          <w:spacing w:val="-9"/>
          <w:sz w:val="22"/>
        </w:rPr>
        <w:t> </w:t>
      </w:r>
      <w:r>
        <w:rPr>
          <w:spacing w:val="-4"/>
          <w:sz w:val="22"/>
        </w:rPr>
        <w:t>efficacy</w:t>
      </w:r>
      <w:r>
        <w:rPr>
          <w:spacing w:val="-10"/>
          <w:sz w:val="22"/>
        </w:rPr>
        <w:t> </w:t>
      </w:r>
      <w:r>
        <w:rPr>
          <w:spacing w:val="-4"/>
          <w:sz w:val="22"/>
        </w:rPr>
        <w:t>of</w:t>
      </w:r>
      <w:r>
        <w:rPr>
          <w:spacing w:val="-10"/>
          <w:sz w:val="22"/>
        </w:rPr>
        <w:t> </w:t>
      </w:r>
      <w:r>
        <w:rPr>
          <w:spacing w:val="-4"/>
          <w:sz w:val="22"/>
        </w:rPr>
        <w:t>delivery </w:t>
      </w:r>
      <w:r>
        <w:rPr>
          <w:spacing w:val="-2"/>
          <w:sz w:val="22"/>
        </w:rPr>
        <w:t>of</w:t>
      </w:r>
      <w:r>
        <w:rPr>
          <w:spacing w:val="-11"/>
          <w:sz w:val="22"/>
        </w:rPr>
        <w:t> </w:t>
      </w:r>
      <w:r>
        <w:rPr>
          <w:spacing w:val="-2"/>
          <w:sz w:val="22"/>
        </w:rPr>
        <w:t>services</w:t>
      </w:r>
      <w:r>
        <w:rPr>
          <w:spacing w:val="-11"/>
          <w:sz w:val="22"/>
        </w:rPr>
        <w:t> </w:t>
      </w:r>
      <w:r>
        <w:rPr>
          <w:spacing w:val="-2"/>
          <w:sz w:val="22"/>
        </w:rPr>
        <w:t>by</w:t>
      </w:r>
      <w:r>
        <w:rPr>
          <w:spacing w:val="-11"/>
          <w:sz w:val="22"/>
        </w:rPr>
        <w:t> </w:t>
      </w:r>
      <w:r>
        <w:rPr>
          <w:spacing w:val="-2"/>
          <w:sz w:val="22"/>
        </w:rPr>
        <w:t>the</w:t>
      </w:r>
      <w:r>
        <w:rPr>
          <w:spacing w:val="-11"/>
          <w:sz w:val="22"/>
        </w:rPr>
        <w:t> </w:t>
      </w:r>
      <w:r>
        <w:rPr>
          <w:spacing w:val="-2"/>
          <w:sz w:val="22"/>
        </w:rPr>
        <w:t>government,</w:t>
      </w:r>
      <w:r>
        <w:rPr>
          <w:spacing w:val="-11"/>
          <w:sz w:val="22"/>
        </w:rPr>
        <w:t> </w:t>
      </w:r>
      <w:r>
        <w:rPr>
          <w:spacing w:val="-2"/>
          <w:sz w:val="22"/>
        </w:rPr>
        <w:t>NKC</w:t>
      </w:r>
      <w:r>
        <w:rPr>
          <w:spacing w:val="-11"/>
          <w:sz w:val="22"/>
        </w:rPr>
        <w:t> </w:t>
      </w:r>
      <w:r>
        <w:rPr>
          <w:spacing w:val="-2"/>
          <w:sz w:val="22"/>
        </w:rPr>
        <w:t>has</w:t>
      </w:r>
      <w:r>
        <w:rPr>
          <w:spacing w:val="-11"/>
          <w:sz w:val="22"/>
        </w:rPr>
        <w:t> </w:t>
      </w:r>
      <w:r>
        <w:rPr>
          <w:spacing w:val="-2"/>
          <w:sz w:val="22"/>
        </w:rPr>
        <w:t>reiterated </w:t>
      </w:r>
      <w:r>
        <w:rPr>
          <w:sz w:val="22"/>
        </w:rPr>
        <w:t>that e-governance should be an opportunity not merely for computerisation of age old processes, but a step towards re-thinking our systems and processes</w:t>
      </w:r>
      <w:r>
        <w:rPr>
          <w:spacing w:val="-3"/>
          <w:sz w:val="22"/>
        </w:rPr>
        <w:t> </w:t>
      </w:r>
      <w:r>
        <w:rPr>
          <w:sz w:val="22"/>
        </w:rPr>
        <w:t>to</w:t>
      </w:r>
      <w:r>
        <w:rPr>
          <w:spacing w:val="-3"/>
          <w:sz w:val="22"/>
        </w:rPr>
        <w:t> </w:t>
      </w:r>
      <w:r>
        <w:rPr>
          <w:sz w:val="22"/>
        </w:rPr>
        <w:t>ensure</w:t>
      </w:r>
      <w:r>
        <w:rPr>
          <w:spacing w:val="-3"/>
          <w:sz w:val="22"/>
        </w:rPr>
        <w:t> </w:t>
      </w:r>
      <w:r>
        <w:rPr>
          <w:sz w:val="22"/>
        </w:rPr>
        <w:t>greater</w:t>
      </w:r>
      <w:r>
        <w:rPr>
          <w:spacing w:val="-3"/>
          <w:sz w:val="22"/>
        </w:rPr>
        <w:t> </w:t>
      </w:r>
      <w:r>
        <w:rPr>
          <w:sz w:val="22"/>
        </w:rPr>
        <w:t>efficiency</w:t>
      </w:r>
      <w:r>
        <w:rPr>
          <w:spacing w:val="-3"/>
          <w:sz w:val="22"/>
        </w:rPr>
        <w:t> </w:t>
      </w:r>
      <w:r>
        <w:rPr>
          <w:sz w:val="22"/>
        </w:rPr>
        <w:t>and</w:t>
      </w:r>
      <w:r>
        <w:rPr>
          <w:spacing w:val="-3"/>
          <w:sz w:val="22"/>
        </w:rPr>
        <w:t> </w:t>
      </w:r>
      <w:r>
        <w:rPr>
          <w:sz w:val="22"/>
        </w:rPr>
        <w:t>citizen orientation.</w:t>
      </w:r>
      <w:r>
        <w:rPr>
          <w:spacing w:val="40"/>
          <w:sz w:val="22"/>
        </w:rPr>
        <w:t> </w:t>
      </w:r>
      <w:r>
        <w:rPr>
          <w:sz w:val="22"/>
        </w:rPr>
        <w:t>NKC</w:t>
      </w:r>
      <w:r>
        <w:rPr>
          <w:spacing w:val="40"/>
          <w:sz w:val="22"/>
        </w:rPr>
        <w:t> </w:t>
      </w:r>
      <w:r>
        <w:rPr>
          <w:sz w:val="22"/>
        </w:rPr>
        <w:t>recommendations</w:t>
      </w:r>
      <w:r>
        <w:rPr>
          <w:spacing w:val="40"/>
          <w:sz w:val="22"/>
        </w:rPr>
        <w:t> </w:t>
      </w:r>
      <w:r>
        <w:rPr>
          <w:sz w:val="22"/>
        </w:rPr>
        <w:t>focus</w:t>
      </w:r>
      <w:r>
        <w:rPr>
          <w:spacing w:val="40"/>
          <w:sz w:val="22"/>
        </w:rPr>
        <w:t> </w:t>
      </w:r>
      <w:r>
        <w:rPr>
          <w:sz w:val="22"/>
        </w:rPr>
        <w:t>on re-engineering government processes to change the basic pattern of governance for simplicity, transparency, productivity and efficiency. They highlight the need for developing common standards and deploying a common platform/ infrastructure</w:t>
      </w:r>
      <w:r>
        <w:rPr>
          <w:spacing w:val="-5"/>
          <w:sz w:val="22"/>
        </w:rPr>
        <w:t> </w:t>
      </w:r>
      <w:r>
        <w:rPr>
          <w:sz w:val="22"/>
        </w:rPr>
        <w:t>for</w:t>
      </w:r>
      <w:r>
        <w:rPr>
          <w:spacing w:val="-5"/>
          <w:sz w:val="22"/>
        </w:rPr>
        <w:t> </w:t>
      </w:r>
      <w:r>
        <w:rPr>
          <w:sz w:val="22"/>
        </w:rPr>
        <w:t>e-governance.</w:t>
      </w:r>
      <w:r>
        <w:rPr>
          <w:spacing w:val="-5"/>
          <w:sz w:val="22"/>
        </w:rPr>
        <w:t> </w:t>
      </w:r>
      <w:r>
        <w:rPr>
          <w:sz w:val="22"/>
        </w:rPr>
        <w:t>Further,</w:t>
      </w:r>
      <w:r>
        <w:rPr>
          <w:spacing w:val="-5"/>
          <w:sz w:val="22"/>
        </w:rPr>
        <w:t> </w:t>
      </w:r>
      <w:r>
        <w:rPr>
          <w:sz w:val="22"/>
        </w:rPr>
        <w:t>10</w:t>
      </w:r>
      <w:r>
        <w:rPr>
          <w:spacing w:val="-5"/>
          <w:sz w:val="22"/>
        </w:rPr>
        <w:t> </w:t>
      </w:r>
      <w:r>
        <w:rPr>
          <w:sz w:val="22"/>
        </w:rPr>
        <w:t>to</w:t>
      </w:r>
      <w:r>
        <w:rPr>
          <w:spacing w:val="-5"/>
          <w:sz w:val="22"/>
        </w:rPr>
        <w:t> </w:t>
      </w:r>
      <w:r>
        <w:rPr>
          <w:sz w:val="22"/>
        </w:rPr>
        <w:t>20 important</w:t>
      </w:r>
      <w:r>
        <w:rPr>
          <w:spacing w:val="-1"/>
          <w:sz w:val="22"/>
        </w:rPr>
        <w:t> </w:t>
      </w:r>
      <w:r>
        <w:rPr>
          <w:sz w:val="22"/>
        </w:rPr>
        <w:t>services</w:t>
      </w:r>
      <w:r>
        <w:rPr>
          <w:spacing w:val="-1"/>
          <w:sz w:val="22"/>
        </w:rPr>
        <w:t> </w:t>
      </w:r>
      <w:r>
        <w:rPr>
          <w:sz w:val="22"/>
        </w:rPr>
        <w:t>that</w:t>
      </w:r>
      <w:r>
        <w:rPr>
          <w:spacing w:val="-1"/>
          <w:sz w:val="22"/>
        </w:rPr>
        <w:t> </w:t>
      </w:r>
      <w:r>
        <w:rPr>
          <w:sz w:val="22"/>
        </w:rPr>
        <w:t>make</w:t>
      </w:r>
      <w:r>
        <w:rPr>
          <w:spacing w:val="-1"/>
          <w:sz w:val="22"/>
        </w:rPr>
        <w:t> </w:t>
      </w:r>
      <w:r>
        <w:rPr>
          <w:sz w:val="22"/>
        </w:rPr>
        <w:t>a</w:t>
      </w:r>
      <w:r>
        <w:rPr>
          <w:spacing w:val="-1"/>
          <w:sz w:val="22"/>
        </w:rPr>
        <w:t> </w:t>
      </w:r>
      <w:r>
        <w:rPr>
          <w:sz w:val="22"/>
        </w:rPr>
        <w:t>critical</w:t>
      </w:r>
      <w:r>
        <w:rPr>
          <w:spacing w:val="-1"/>
          <w:sz w:val="22"/>
        </w:rPr>
        <w:t> </w:t>
      </w:r>
      <w:r>
        <w:rPr>
          <w:sz w:val="22"/>
        </w:rPr>
        <w:t>difference to</w:t>
      </w:r>
      <w:r>
        <w:rPr>
          <w:spacing w:val="-14"/>
          <w:sz w:val="22"/>
        </w:rPr>
        <w:t> </w:t>
      </w:r>
      <w:r>
        <w:rPr>
          <w:sz w:val="22"/>
        </w:rPr>
        <w:t>citizens</w:t>
      </w:r>
      <w:r>
        <w:rPr>
          <w:spacing w:val="-14"/>
          <w:sz w:val="22"/>
        </w:rPr>
        <w:t> </w:t>
      </w:r>
      <w:r>
        <w:rPr>
          <w:sz w:val="22"/>
        </w:rPr>
        <w:t>may</w:t>
      </w:r>
      <w:r>
        <w:rPr>
          <w:spacing w:val="-14"/>
          <w:sz w:val="22"/>
        </w:rPr>
        <w:t> </w:t>
      </w:r>
      <w:r>
        <w:rPr>
          <w:sz w:val="22"/>
        </w:rPr>
        <w:t>be</w:t>
      </w:r>
      <w:r>
        <w:rPr>
          <w:spacing w:val="-13"/>
          <w:sz w:val="22"/>
        </w:rPr>
        <w:t> </w:t>
      </w:r>
      <w:r>
        <w:rPr>
          <w:sz w:val="22"/>
        </w:rPr>
        <w:t>selected,</w:t>
      </w:r>
      <w:r>
        <w:rPr>
          <w:spacing w:val="-14"/>
          <w:sz w:val="22"/>
        </w:rPr>
        <w:t> </w:t>
      </w:r>
      <w:r>
        <w:rPr>
          <w:sz w:val="22"/>
        </w:rPr>
        <w:t>simplified</w:t>
      </w:r>
      <w:r>
        <w:rPr>
          <w:spacing w:val="-14"/>
          <w:sz w:val="22"/>
        </w:rPr>
        <w:t> </w:t>
      </w:r>
      <w:r>
        <w:rPr>
          <w:sz w:val="22"/>
        </w:rPr>
        <w:t>and</w:t>
      </w:r>
      <w:r>
        <w:rPr>
          <w:spacing w:val="-14"/>
          <w:sz w:val="22"/>
        </w:rPr>
        <w:t> </w:t>
      </w:r>
      <w:r>
        <w:rPr>
          <w:sz w:val="22"/>
        </w:rPr>
        <w:t>offered as web-based services, along with beginning all </w:t>
      </w:r>
      <w:r>
        <w:rPr>
          <w:spacing w:val="-2"/>
          <w:sz w:val="22"/>
        </w:rPr>
        <w:t>new</w:t>
      </w:r>
      <w:r>
        <w:rPr>
          <w:spacing w:val="-10"/>
          <w:sz w:val="22"/>
        </w:rPr>
        <w:t> </w:t>
      </w:r>
      <w:r>
        <w:rPr>
          <w:spacing w:val="-2"/>
          <w:sz w:val="22"/>
        </w:rPr>
        <w:t>national</w:t>
      </w:r>
      <w:r>
        <w:rPr>
          <w:spacing w:val="-10"/>
          <w:sz w:val="22"/>
        </w:rPr>
        <w:t> </w:t>
      </w:r>
      <w:r>
        <w:rPr>
          <w:spacing w:val="-2"/>
          <w:sz w:val="22"/>
        </w:rPr>
        <w:t>programs</w:t>
      </w:r>
      <w:r>
        <w:rPr>
          <w:spacing w:val="-10"/>
          <w:sz w:val="22"/>
        </w:rPr>
        <w:t> </w:t>
      </w:r>
      <w:r>
        <w:rPr>
          <w:spacing w:val="-2"/>
          <w:sz w:val="22"/>
        </w:rPr>
        <w:t>(like</w:t>
      </w:r>
      <w:r>
        <w:rPr>
          <w:spacing w:val="-10"/>
          <w:sz w:val="22"/>
        </w:rPr>
        <w:t> </w:t>
      </w:r>
      <w:r>
        <w:rPr>
          <w:spacing w:val="-2"/>
          <w:sz w:val="22"/>
        </w:rPr>
        <w:t>Bharat</w:t>
      </w:r>
      <w:r>
        <w:rPr>
          <w:spacing w:val="-10"/>
          <w:sz w:val="22"/>
        </w:rPr>
        <w:t> </w:t>
      </w:r>
      <w:r>
        <w:rPr>
          <w:spacing w:val="-2"/>
          <w:sz w:val="22"/>
        </w:rPr>
        <w:t>Nirman,</w:t>
      </w:r>
      <w:r>
        <w:rPr>
          <w:spacing w:val="-10"/>
          <w:sz w:val="22"/>
        </w:rPr>
        <w:t> </w:t>
      </w:r>
      <w:r>
        <w:rPr>
          <w:spacing w:val="-2"/>
          <w:sz w:val="22"/>
        </w:rPr>
        <w:t>Rural </w:t>
      </w:r>
      <w:r>
        <w:rPr>
          <w:sz w:val="22"/>
        </w:rPr>
        <w:t>Employment Guarantee Scheme etc.) with </w:t>
      </w:r>
      <w:r>
        <w:rPr>
          <w:sz w:val="22"/>
        </w:rPr>
        <w:t>well- engineered e-governance implementation and web interface. This will ensure speedy delivery, productivity and efficiency of services making them citizen centric and ensuring that the right people get the benefits.</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Heading4"/>
        <w:spacing w:before="71"/>
        <w:ind w:left="1079"/>
      </w:pPr>
      <w:r>
        <w:rPr>
          <w:color w:val="2E614A"/>
        </w:rPr>
        <w:t>Follow</w:t>
      </w:r>
      <w:r>
        <w:rPr>
          <w:color w:val="2E614A"/>
          <w:spacing w:val="-7"/>
        </w:rPr>
        <w:t> </w:t>
      </w:r>
      <w:r>
        <w:rPr>
          <w:color w:val="2E614A"/>
        </w:rPr>
        <w:t>Up</w:t>
      </w:r>
      <w:r>
        <w:rPr>
          <w:color w:val="2E614A"/>
          <w:spacing w:val="-6"/>
        </w:rPr>
        <w:t> </w:t>
      </w:r>
      <w:r>
        <w:rPr>
          <w:color w:val="2E614A"/>
        </w:rPr>
        <w:t>on</w:t>
      </w:r>
      <w:r>
        <w:rPr>
          <w:color w:val="2E614A"/>
          <w:spacing w:val="-7"/>
        </w:rPr>
        <w:t> </w:t>
      </w:r>
      <w:r>
        <w:rPr>
          <w:color w:val="2E614A"/>
        </w:rPr>
        <w:t>NKC</w:t>
      </w:r>
      <w:r>
        <w:rPr>
          <w:color w:val="2E614A"/>
          <w:spacing w:val="-6"/>
        </w:rPr>
        <w:t> </w:t>
      </w:r>
      <w:r>
        <w:rPr>
          <w:color w:val="2E614A"/>
          <w:spacing w:val="-2"/>
        </w:rPr>
        <w:t>Recommendations</w:t>
      </w:r>
    </w:p>
    <w:p>
      <w:pPr>
        <w:pStyle w:val="BodyText"/>
        <w:spacing w:before="73"/>
        <w:rPr>
          <w:rFonts w:ascii="Trebuchet MS"/>
          <w:b/>
          <w:sz w:val="20"/>
        </w:rPr>
      </w:pPr>
    </w:p>
    <w:p>
      <w:pPr>
        <w:spacing w:after="0"/>
        <w:rPr>
          <w:rFonts w:ascii="Trebuchet MS"/>
          <w:sz w:val="20"/>
        </w:rPr>
        <w:sectPr>
          <w:pgSz w:w="11910" w:h="16840"/>
          <w:pgMar w:header="0" w:footer="675" w:top="1240" w:bottom="860" w:left="0" w:right="0"/>
        </w:sectPr>
      </w:pPr>
    </w:p>
    <w:p>
      <w:pPr>
        <w:pStyle w:val="BodyText"/>
        <w:spacing w:line="266" w:lineRule="auto" w:before="82"/>
        <w:ind w:left="1700"/>
        <w:jc w:val="both"/>
      </w:pPr>
      <w:r>
        <w:rPr/>
        <mc:AlternateContent>
          <mc:Choice Requires="wps">
            <w:drawing>
              <wp:anchor distT="0" distB="0" distL="0" distR="0" allowOverlap="1" layoutInCell="1" locked="0" behindDoc="1" simplePos="0" relativeHeight="479322624">
                <wp:simplePos x="0" y="0"/>
                <wp:positionH relativeFrom="page">
                  <wp:posOffset>685799</wp:posOffset>
                </wp:positionH>
                <wp:positionV relativeFrom="paragraph">
                  <wp:posOffset>-36933</wp:posOffset>
                </wp:positionV>
                <wp:extent cx="401320" cy="75755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401320" cy="757555"/>
                        </a:xfrm>
                        <a:prstGeom prst="rect">
                          <a:avLst/>
                        </a:prstGeom>
                      </wps:spPr>
                      <wps:txbx>
                        <w:txbxContent>
                          <w:p>
                            <w:pPr>
                              <w:spacing w:line="1135" w:lineRule="exact" w:before="0"/>
                              <w:ind w:left="0" w:right="0" w:firstLine="0"/>
                              <w:jc w:val="left"/>
                              <w:rPr>
                                <w:sz w:val="106"/>
                              </w:rPr>
                            </w:pPr>
                            <w:r>
                              <w:rPr>
                                <w:color w:val="9CBF3B"/>
                                <w:spacing w:val="-10"/>
                                <w:w w:val="85"/>
                                <w:sz w:val="106"/>
                              </w:rPr>
                              <w:t>B</w:t>
                            </w:r>
                          </w:p>
                        </w:txbxContent>
                      </wps:txbx>
                      <wps:bodyPr wrap="square" lIns="0" tIns="0" rIns="0" bIns="0" rtlCol="0">
                        <a:noAutofit/>
                      </wps:bodyPr>
                    </wps:wsp>
                  </a:graphicData>
                </a:graphic>
              </wp:anchor>
            </w:drawing>
          </mc:Choice>
          <mc:Fallback>
            <w:pict>
              <v:shape style="position:absolute;margin-left:53.999969pt;margin-top:-2.908174pt;width:31.6pt;height:59.65pt;mso-position-horizontal-relative:page;mso-position-vertical-relative:paragraph;z-index:-23993856" type="#_x0000_t202" id="docshape102" filled="false" stroked="false">
                <v:textbox inset="0,0,0,0">
                  <w:txbxContent>
                    <w:p>
                      <w:pPr>
                        <w:spacing w:line="1135" w:lineRule="exact" w:before="0"/>
                        <w:ind w:left="0" w:right="0" w:firstLine="0"/>
                        <w:jc w:val="left"/>
                        <w:rPr>
                          <w:sz w:val="106"/>
                        </w:rPr>
                      </w:pPr>
                      <w:r>
                        <w:rPr>
                          <w:color w:val="9CBF3B"/>
                          <w:spacing w:val="-10"/>
                          <w:w w:val="85"/>
                          <w:sz w:val="106"/>
                        </w:rPr>
                        <w:t>B</w:t>
                      </w:r>
                    </w:p>
                  </w:txbxContent>
                </v:textbox>
                <w10:wrap type="none"/>
              </v:shape>
            </w:pict>
          </mc:Fallback>
        </mc:AlternateContent>
      </w:r>
      <w:r>
        <w:rPr>
          <w:spacing w:val="-2"/>
        </w:rPr>
        <w:t>y</w:t>
      </w:r>
      <w:r>
        <w:rPr>
          <w:spacing w:val="-10"/>
        </w:rPr>
        <w:t> </w:t>
      </w:r>
      <w:r>
        <w:rPr>
          <w:spacing w:val="-2"/>
        </w:rPr>
        <w:t>focusing</w:t>
      </w:r>
      <w:r>
        <w:rPr>
          <w:spacing w:val="-10"/>
        </w:rPr>
        <w:t> </w:t>
      </w:r>
      <w:r>
        <w:rPr>
          <w:spacing w:val="-2"/>
        </w:rPr>
        <w:t>on</w:t>
      </w:r>
      <w:r>
        <w:rPr>
          <w:spacing w:val="-10"/>
        </w:rPr>
        <w:t> </w:t>
      </w:r>
      <w:r>
        <w:rPr>
          <w:spacing w:val="-2"/>
        </w:rPr>
        <w:t>the</w:t>
      </w:r>
      <w:r>
        <w:rPr>
          <w:spacing w:val="-10"/>
        </w:rPr>
        <w:t> </w:t>
      </w:r>
      <w:r>
        <w:rPr>
          <w:spacing w:val="-2"/>
        </w:rPr>
        <w:t>five</w:t>
      </w:r>
      <w:r>
        <w:rPr>
          <w:spacing w:val="-10"/>
        </w:rPr>
        <w:t> </w:t>
      </w:r>
      <w:r>
        <w:rPr>
          <w:spacing w:val="-2"/>
        </w:rPr>
        <w:t>aspects</w:t>
      </w:r>
      <w:r>
        <w:rPr>
          <w:spacing w:val="-10"/>
        </w:rPr>
        <w:t> </w:t>
      </w:r>
      <w:r>
        <w:rPr>
          <w:spacing w:val="-2"/>
        </w:rPr>
        <w:t>of</w:t>
      </w:r>
      <w:r>
        <w:rPr>
          <w:spacing w:val="-10"/>
        </w:rPr>
        <w:t> </w:t>
      </w:r>
      <w:r>
        <w:rPr>
          <w:spacing w:val="-2"/>
        </w:rPr>
        <w:t>the</w:t>
      </w:r>
      <w:r>
        <w:rPr>
          <w:spacing w:val="-10"/>
        </w:rPr>
        <w:t> </w:t>
      </w:r>
      <w:r>
        <w:rPr>
          <w:spacing w:val="-2"/>
        </w:rPr>
        <w:t>knowledge </w:t>
      </w:r>
      <w:r>
        <w:rPr>
          <w:spacing w:val="-8"/>
        </w:rPr>
        <w:t>paradigm,</w:t>
      </w:r>
      <w:r>
        <w:rPr>
          <w:spacing w:val="-6"/>
        </w:rPr>
        <w:t> </w:t>
      </w:r>
      <w:r>
        <w:rPr>
          <w:spacing w:val="-8"/>
        </w:rPr>
        <w:t>NKC</w:t>
      </w:r>
      <w:r>
        <w:rPr>
          <w:spacing w:val="-6"/>
        </w:rPr>
        <w:t> </w:t>
      </w:r>
      <w:r>
        <w:rPr>
          <w:spacing w:val="-8"/>
        </w:rPr>
        <w:t>has</w:t>
      </w:r>
      <w:r>
        <w:rPr>
          <w:spacing w:val="-6"/>
        </w:rPr>
        <w:t> </w:t>
      </w:r>
      <w:r>
        <w:rPr>
          <w:spacing w:val="-8"/>
        </w:rPr>
        <w:t>created</w:t>
      </w:r>
      <w:r>
        <w:rPr>
          <w:spacing w:val="-5"/>
        </w:rPr>
        <w:t> </w:t>
      </w:r>
      <w:r>
        <w:rPr>
          <w:spacing w:val="-8"/>
        </w:rPr>
        <w:t>an</w:t>
      </w:r>
      <w:r>
        <w:rPr>
          <w:spacing w:val="-6"/>
        </w:rPr>
        <w:t> </w:t>
      </w:r>
      <w:r>
        <w:rPr>
          <w:spacing w:val="-8"/>
        </w:rPr>
        <w:t>extensive</w:t>
      </w:r>
      <w:r>
        <w:rPr>
          <w:spacing w:val="-6"/>
        </w:rPr>
        <w:t> </w:t>
      </w:r>
      <w:r>
        <w:rPr>
          <w:spacing w:val="-8"/>
        </w:rPr>
        <w:t>roadmap </w:t>
      </w:r>
      <w:r>
        <w:rPr>
          <w:spacing w:val="-6"/>
        </w:rPr>
        <w:t>for</w:t>
      </w:r>
      <w:r>
        <w:rPr>
          <w:spacing w:val="-16"/>
        </w:rPr>
        <w:t> </w:t>
      </w:r>
      <w:r>
        <w:rPr>
          <w:spacing w:val="-6"/>
        </w:rPr>
        <w:t>the</w:t>
      </w:r>
      <w:r>
        <w:rPr>
          <w:spacing w:val="-15"/>
        </w:rPr>
        <w:t> </w:t>
      </w:r>
      <w:r>
        <w:rPr>
          <w:spacing w:val="-6"/>
        </w:rPr>
        <w:t>future.</w:t>
      </w:r>
      <w:r>
        <w:rPr>
          <w:spacing w:val="-29"/>
        </w:rPr>
        <w:t> </w:t>
      </w:r>
      <w:r>
        <w:rPr>
          <w:spacing w:val="-6"/>
        </w:rPr>
        <w:t>The</w:t>
      </w:r>
      <w:r>
        <w:rPr>
          <w:spacing w:val="-15"/>
        </w:rPr>
        <w:t> </w:t>
      </w:r>
      <w:r>
        <w:rPr>
          <w:spacing w:val="-6"/>
        </w:rPr>
        <w:t>Governments</w:t>
      </w:r>
      <w:r>
        <w:rPr>
          <w:spacing w:val="-16"/>
        </w:rPr>
        <w:t> </w:t>
      </w:r>
      <w:r>
        <w:rPr>
          <w:spacing w:val="-6"/>
        </w:rPr>
        <w:t>at</w:t>
      </w:r>
      <w:r>
        <w:rPr>
          <w:spacing w:val="-15"/>
        </w:rPr>
        <w:t> </w:t>
      </w:r>
      <w:r>
        <w:rPr>
          <w:spacing w:val="-6"/>
        </w:rPr>
        <w:t>the</w:t>
      </w:r>
      <w:r>
        <w:rPr>
          <w:spacing w:val="-16"/>
        </w:rPr>
        <w:t> </w:t>
      </w:r>
      <w:r>
        <w:rPr>
          <w:spacing w:val="-6"/>
        </w:rPr>
        <w:t>Centre</w:t>
      </w:r>
      <w:r>
        <w:rPr>
          <w:spacing w:val="-15"/>
        </w:rPr>
        <w:t> </w:t>
      </w:r>
      <w:r>
        <w:rPr>
          <w:spacing w:val="-6"/>
        </w:rPr>
        <w:t>and</w:t>
      </w:r>
    </w:p>
    <w:p>
      <w:pPr>
        <w:pStyle w:val="BodyText"/>
        <w:spacing w:line="266" w:lineRule="auto"/>
        <w:ind w:left="1080"/>
        <w:jc w:val="both"/>
      </w:pPr>
      <w:r>
        <w:rPr>
          <w:spacing w:val="-8"/>
        </w:rPr>
        <w:t>State are</w:t>
      </w:r>
      <w:r>
        <w:rPr>
          <w:spacing w:val="-6"/>
        </w:rPr>
        <w:t> </w:t>
      </w:r>
      <w:r>
        <w:rPr>
          <w:spacing w:val="-8"/>
        </w:rPr>
        <w:t>taking</w:t>
      </w:r>
      <w:r>
        <w:rPr>
          <w:spacing w:val="-6"/>
        </w:rPr>
        <w:t> </w:t>
      </w:r>
      <w:r>
        <w:rPr>
          <w:spacing w:val="-8"/>
        </w:rPr>
        <w:t>steps</w:t>
      </w:r>
      <w:r>
        <w:rPr>
          <w:spacing w:val="-5"/>
        </w:rPr>
        <w:t> </w:t>
      </w:r>
      <w:r>
        <w:rPr>
          <w:spacing w:val="-8"/>
        </w:rPr>
        <w:t>for</w:t>
      </w:r>
      <w:r>
        <w:rPr>
          <w:spacing w:val="-6"/>
        </w:rPr>
        <w:t> </w:t>
      </w:r>
      <w:r>
        <w:rPr>
          <w:spacing w:val="-8"/>
        </w:rPr>
        <w:t>the</w:t>
      </w:r>
      <w:r>
        <w:rPr>
          <w:spacing w:val="-6"/>
        </w:rPr>
        <w:t> </w:t>
      </w:r>
      <w:r>
        <w:rPr>
          <w:spacing w:val="-8"/>
        </w:rPr>
        <w:t>successful</w:t>
      </w:r>
      <w:r>
        <w:rPr>
          <w:spacing w:val="-6"/>
        </w:rPr>
        <w:t> </w:t>
      </w:r>
      <w:r>
        <w:rPr>
          <w:spacing w:val="-8"/>
        </w:rPr>
        <w:t>implementation</w:t>
      </w:r>
      <w:r>
        <w:rPr>
          <w:spacing w:val="-5"/>
        </w:rPr>
        <w:t> </w:t>
      </w:r>
      <w:r>
        <w:rPr>
          <w:spacing w:val="-8"/>
        </w:rPr>
        <w:t>of these</w:t>
      </w:r>
      <w:r>
        <w:rPr>
          <w:spacing w:val="-6"/>
        </w:rPr>
        <w:t> </w:t>
      </w:r>
      <w:r>
        <w:rPr>
          <w:spacing w:val="-8"/>
        </w:rPr>
        <w:t>policy</w:t>
      </w:r>
      <w:r>
        <w:rPr>
          <w:spacing w:val="-6"/>
        </w:rPr>
        <w:t> </w:t>
      </w:r>
      <w:r>
        <w:rPr>
          <w:spacing w:val="-8"/>
        </w:rPr>
        <w:t>suggestions.</w:t>
      </w:r>
      <w:r>
        <w:rPr>
          <w:spacing w:val="-6"/>
        </w:rPr>
        <w:t> </w:t>
      </w:r>
      <w:r>
        <w:rPr>
          <w:spacing w:val="-8"/>
        </w:rPr>
        <w:t>The</w:t>
      </w:r>
      <w:r>
        <w:rPr>
          <w:spacing w:val="-5"/>
        </w:rPr>
        <w:t> </w:t>
      </w:r>
      <w:r>
        <w:rPr>
          <w:spacing w:val="-8"/>
        </w:rPr>
        <w:t>Government’s</w:t>
      </w:r>
      <w:r>
        <w:rPr>
          <w:spacing w:val="-6"/>
        </w:rPr>
        <w:t> </w:t>
      </w:r>
      <w:r>
        <w:rPr>
          <w:spacing w:val="-8"/>
        </w:rPr>
        <w:t>commitment </w:t>
      </w:r>
      <w:r>
        <w:rPr/>
        <w:t>to</w:t>
      </w:r>
      <w:r>
        <w:rPr>
          <w:spacing w:val="-14"/>
        </w:rPr>
        <w:t> </w:t>
      </w:r>
      <w:r>
        <w:rPr/>
        <w:t>NKC’s</w:t>
      </w:r>
      <w:r>
        <w:rPr>
          <w:spacing w:val="-14"/>
        </w:rPr>
        <w:t> </w:t>
      </w:r>
      <w:r>
        <w:rPr/>
        <w:t>vision</w:t>
      </w:r>
      <w:r>
        <w:rPr>
          <w:spacing w:val="-14"/>
        </w:rPr>
        <w:t> </w:t>
      </w:r>
      <w:r>
        <w:rPr/>
        <w:t>is</w:t>
      </w:r>
      <w:r>
        <w:rPr>
          <w:spacing w:val="-13"/>
        </w:rPr>
        <w:t> </w:t>
      </w:r>
      <w:r>
        <w:rPr/>
        <w:t>reflected</w:t>
      </w:r>
      <w:r>
        <w:rPr>
          <w:spacing w:val="-14"/>
        </w:rPr>
        <w:t> </w:t>
      </w:r>
      <w:r>
        <w:rPr/>
        <w:t>in</w:t>
      </w:r>
      <w:r>
        <w:rPr>
          <w:spacing w:val="-14"/>
        </w:rPr>
        <w:t> </w:t>
      </w:r>
      <w:r>
        <w:rPr/>
        <w:t>the</w:t>
      </w:r>
      <w:r>
        <w:rPr>
          <w:spacing w:val="-14"/>
        </w:rPr>
        <w:t> </w:t>
      </w:r>
      <w:r>
        <w:rPr/>
        <w:t>Eleventh</w:t>
      </w:r>
      <w:r>
        <w:rPr>
          <w:spacing w:val="-13"/>
        </w:rPr>
        <w:t> </w:t>
      </w:r>
      <w:r>
        <w:rPr/>
        <w:t>Five</w:t>
      </w:r>
      <w:r>
        <w:rPr>
          <w:spacing w:val="-14"/>
        </w:rPr>
        <w:t> </w:t>
      </w:r>
      <w:r>
        <w:rPr/>
        <w:t>Year Plan where NKC’s inputs have been incorporated in formulating</w:t>
      </w:r>
      <w:r>
        <w:rPr>
          <w:spacing w:val="-8"/>
        </w:rPr>
        <w:t> </w:t>
      </w:r>
      <w:r>
        <w:rPr/>
        <w:t>the</w:t>
      </w:r>
      <w:r>
        <w:rPr>
          <w:spacing w:val="-8"/>
        </w:rPr>
        <w:t> </w:t>
      </w:r>
      <w:r>
        <w:rPr/>
        <w:t>broad</w:t>
      </w:r>
      <w:r>
        <w:rPr>
          <w:spacing w:val="-8"/>
        </w:rPr>
        <w:t> </w:t>
      </w:r>
      <w:r>
        <w:rPr/>
        <w:t>contours</w:t>
      </w:r>
      <w:r>
        <w:rPr>
          <w:spacing w:val="-8"/>
        </w:rPr>
        <w:t> </w:t>
      </w:r>
      <w:r>
        <w:rPr/>
        <w:t>of</w:t>
      </w:r>
      <w:r>
        <w:rPr>
          <w:spacing w:val="-8"/>
        </w:rPr>
        <w:t> </w:t>
      </w:r>
      <w:r>
        <w:rPr/>
        <w:t>the</w:t>
      </w:r>
      <w:r>
        <w:rPr>
          <w:spacing w:val="-8"/>
        </w:rPr>
        <w:t> </w:t>
      </w:r>
      <w:r>
        <w:rPr/>
        <w:t>Plan.</w:t>
      </w:r>
    </w:p>
    <w:p>
      <w:pPr>
        <w:pStyle w:val="BodyText"/>
        <w:spacing w:before="20"/>
      </w:pPr>
    </w:p>
    <w:p>
      <w:pPr>
        <w:pStyle w:val="BodyText"/>
        <w:spacing w:line="266" w:lineRule="auto" w:before="1"/>
        <w:ind w:left="1080"/>
        <w:jc w:val="both"/>
      </w:pPr>
      <w:r>
        <w:rPr/>
        <w:t>The Eleventh Five Year Plan (2007-2012) </w:t>
      </w:r>
      <w:r>
        <w:rPr/>
        <w:t>places high priority on education as a central instrument</w:t>
      </w:r>
      <w:r>
        <w:rPr>
          <w:spacing w:val="80"/>
          <w:w w:val="150"/>
        </w:rPr>
        <w:t> </w:t>
      </w:r>
      <w:r>
        <w:rPr/>
        <w:t>for</w:t>
      </w:r>
      <w:r>
        <w:rPr>
          <w:spacing w:val="-14"/>
        </w:rPr>
        <w:t> </w:t>
      </w:r>
      <w:r>
        <w:rPr/>
        <w:t>achieving</w:t>
      </w:r>
      <w:r>
        <w:rPr>
          <w:spacing w:val="-14"/>
        </w:rPr>
        <w:t> </w:t>
      </w:r>
      <w:r>
        <w:rPr/>
        <w:t>rapid</w:t>
      </w:r>
      <w:r>
        <w:rPr>
          <w:spacing w:val="-14"/>
        </w:rPr>
        <w:t> </w:t>
      </w:r>
      <w:r>
        <w:rPr/>
        <w:t>and</w:t>
      </w:r>
      <w:r>
        <w:rPr>
          <w:spacing w:val="-13"/>
        </w:rPr>
        <w:t> </w:t>
      </w:r>
      <w:r>
        <w:rPr/>
        <w:t>inclusive</w:t>
      </w:r>
      <w:r>
        <w:rPr>
          <w:spacing w:val="-14"/>
        </w:rPr>
        <w:t> </w:t>
      </w:r>
      <w:r>
        <w:rPr/>
        <w:t>growth</w:t>
      </w:r>
      <w:r>
        <w:rPr>
          <w:spacing w:val="-14"/>
        </w:rPr>
        <w:t> </w:t>
      </w:r>
      <w:r>
        <w:rPr/>
        <w:t>with</w:t>
      </w:r>
      <w:r>
        <w:rPr>
          <w:spacing w:val="-14"/>
        </w:rPr>
        <w:t> </w:t>
      </w:r>
      <w:r>
        <w:rPr/>
        <w:t>specific emphasis</w:t>
      </w:r>
      <w:r>
        <w:rPr>
          <w:spacing w:val="40"/>
        </w:rPr>
        <w:t> </w:t>
      </w:r>
      <w:r>
        <w:rPr/>
        <w:t>on</w:t>
      </w:r>
      <w:r>
        <w:rPr>
          <w:spacing w:val="40"/>
        </w:rPr>
        <w:t> </w:t>
      </w:r>
      <w:r>
        <w:rPr/>
        <w:t>expansion,</w:t>
      </w:r>
      <w:r>
        <w:rPr>
          <w:spacing w:val="40"/>
        </w:rPr>
        <w:t> </w:t>
      </w:r>
      <w:r>
        <w:rPr/>
        <w:t>excellence</w:t>
      </w:r>
      <w:r>
        <w:rPr>
          <w:spacing w:val="40"/>
        </w:rPr>
        <w:t> </w:t>
      </w:r>
      <w:r>
        <w:rPr/>
        <w:t>and</w:t>
      </w:r>
      <w:r>
        <w:rPr>
          <w:spacing w:val="40"/>
        </w:rPr>
        <w:t> </w:t>
      </w:r>
      <w:r>
        <w:rPr/>
        <w:t>equity. This</w:t>
      </w:r>
      <w:r>
        <w:rPr>
          <w:spacing w:val="40"/>
        </w:rPr>
        <w:t> </w:t>
      </w:r>
      <w:r>
        <w:rPr/>
        <w:t>is</w:t>
      </w:r>
      <w:r>
        <w:rPr>
          <w:spacing w:val="40"/>
        </w:rPr>
        <w:t> </w:t>
      </w:r>
      <w:r>
        <w:rPr/>
        <w:t>evident</w:t>
      </w:r>
      <w:r>
        <w:rPr>
          <w:spacing w:val="40"/>
        </w:rPr>
        <w:t> </w:t>
      </w:r>
      <w:r>
        <w:rPr/>
        <w:t>from</w:t>
      </w:r>
      <w:r>
        <w:rPr>
          <w:spacing w:val="40"/>
        </w:rPr>
        <w:t> </w:t>
      </w:r>
      <w:r>
        <w:rPr/>
        <w:t>the</w:t>
      </w:r>
      <w:r>
        <w:rPr>
          <w:spacing w:val="40"/>
        </w:rPr>
        <w:t> </w:t>
      </w:r>
      <w:r>
        <w:rPr/>
        <w:t>proposed</w:t>
      </w:r>
      <w:r>
        <w:rPr>
          <w:spacing w:val="40"/>
        </w:rPr>
        <w:t> </w:t>
      </w:r>
      <w:r>
        <w:rPr/>
        <w:t>allocation</w:t>
      </w:r>
      <w:r>
        <w:rPr>
          <w:spacing w:val="40"/>
        </w:rPr>
        <w:t> </w:t>
      </w:r>
      <w:r>
        <w:rPr/>
        <w:t>of</w:t>
      </w:r>
      <w:r>
        <w:rPr>
          <w:spacing w:val="80"/>
        </w:rPr>
        <w:t> </w:t>
      </w:r>
      <w:r>
        <w:rPr/>
        <w:t>Rs</w:t>
      </w:r>
      <w:r>
        <w:rPr>
          <w:spacing w:val="-5"/>
        </w:rPr>
        <w:t> </w:t>
      </w:r>
      <w:r>
        <w:rPr/>
        <w:t>3</w:t>
      </w:r>
      <w:r>
        <w:rPr>
          <w:spacing w:val="-5"/>
        </w:rPr>
        <w:t> </w:t>
      </w:r>
      <w:r>
        <w:rPr/>
        <w:t>trillion,</w:t>
      </w:r>
      <w:r>
        <w:rPr>
          <w:spacing w:val="-5"/>
        </w:rPr>
        <w:t> </w:t>
      </w:r>
      <w:r>
        <w:rPr/>
        <w:t>a</w:t>
      </w:r>
      <w:r>
        <w:rPr>
          <w:spacing w:val="-5"/>
        </w:rPr>
        <w:t> </w:t>
      </w:r>
      <w:r>
        <w:rPr/>
        <w:t>four</w:t>
      </w:r>
      <w:r>
        <w:rPr>
          <w:spacing w:val="-5"/>
        </w:rPr>
        <w:t> </w:t>
      </w:r>
      <w:r>
        <w:rPr/>
        <w:t>fold</w:t>
      </w:r>
      <w:r>
        <w:rPr>
          <w:spacing w:val="-5"/>
        </w:rPr>
        <w:t> </w:t>
      </w:r>
      <w:r>
        <w:rPr/>
        <w:t>increase</w:t>
      </w:r>
      <w:r>
        <w:rPr>
          <w:spacing w:val="-5"/>
        </w:rPr>
        <w:t> </w:t>
      </w:r>
      <w:r>
        <w:rPr/>
        <w:t>over</w:t>
      </w:r>
      <w:r>
        <w:rPr>
          <w:spacing w:val="-5"/>
        </w:rPr>
        <w:t> </w:t>
      </w:r>
      <w:r>
        <w:rPr/>
        <w:t>the</w:t>
      </w:r>
      <w:r>
        <w:rPr>
          <w:spacing w:val="-12"/>
        </w:rPr>
        <w:t> </w:t>
      </w:r>
      <w:r>
        <w:rPr/>
        <w:t>Tenth</w:t>
      </w:r>
      <w:r>
        <w:rPr>
          <w:spacing w:val="-5"/>
        </w:rPr>
        <w:t> </w:t>
      </w:r>
      <w:r>
        <w:rPr/>
        <w:t>Plan. </w:t>
      </w:r>
      <w:r>
        <w:rPr>
          <w:spacing w:val="-4"/>
        </w:rPr>
        <w:t>The</w:t>
      </w:r>
      <w:r>
        <w:rPr>
          <w:spacing w:val="-10"/>
        </w:rPr>
        <w:t> </w:t>
      </w:r>
      <w:r>
        <w:rPr>
          <w:spacing w:val="-4"/>
        </w:rPr>
        <w:t>share</w:t>
      </w:r>
      <w:r>
        <w:rPr>
          <w:spacing w:val="-10"/>
        </w:rPr>
        <w:t> </w:t>
      </w:r>
      <w:r>
        <w:rPr>
          <w:spacing w:val="-4"/>
        </w:rPr>
        <w:t>of</w:t>
      </w:r>
      <w:r>
        <w:rPr>
          <w:spacing w:val="-10"/>
        </w:rPr>
        <w:t> </w:t>
      </w:r>
      <w:r>
        <w:rPr>
          <w:spacing w:val="-4"/>
        </w:rPr>
        <w:t>education</w:t>
      </w:r>
      <w:r>
        <w:rPr>
          <w:spacing w:val="-9"/>
        </w:rPr>
        <w:t> </w:t>
      </w:r>
      <w:r>
        <w:rPr>
          <w:spacing w:val="-4"/>
        </w:rPr>
        <w:t>in</w:t>
      </w:r>
      <w:r>
        <w:rPr>
          <w:spacing w:val="-10"/>
        </w:rPr>
        <w:t> </w:t>
      </w:r>
      <w:r>
        <w:rPr>
          <w:spacing w:val="-4"/>
        </w:rPr>
        <w:t>the</w:t>
      </w:r>
      <w:r>
        <w:rPr>
          <w:spacing w:val="-10"/>
        </w:rPr>
        <w:t> </w:t>
      </w:r>
      <w:r>
        <w:rPr>
          <w:spacing w:val="-4"/>
        </w:rPr>
        <w:t>total</w:t>
      </w:r>
      <w:r>
        <w:rPr>
          <w:spacing w:val="-10"/>
        </w:rPr>
        <w:t> </w:t>
      </w:r>
      <w:r>
        <w:rPr>
          <w:spacing w:val="-4"/>
        </w:rPr>
        <w:t>Plan</w:t>
      </w:r>
      <w:r>
        <w:rPr>
          <w:spacing w:val="-9"/>
        </w:rPr>
        <w:t> </w:t>
      </w:r>
      <w:r>
        <w:rPr>
          <w:spacing w:val="-4"/>
        </w:rPr>
        <w:t>will</w:t>
      </w:r>
      <w:r>
        <w:rPr>
          <w:spacing w:val="-10"/>
        </w:rPr>
        <w:t> </w:t>
      </w:r>
      <w:r>
        <w:rPr>
          <w:spacing w:val="-4"/>
        </w:rPr>
        <w:t>accordingly </w:t>
      </w:r>
      <w:r>
        <w:rPr/>
        <w:t>increase from 7.7 per cent to 20 per cent.</w:t>
      </w:r>
    </w:p>
    <w:p>
      <w:pPr>
        <w:pStyle w:val="BodyText"/>
        <w:spacing w:before="20"/>
      </w:pPr>
    </w:p>
    <w:p>
      <w:pPr>
        <w:pStyle w:val="BodyText"/>
        <w:spacing w:line="266" w:lineRule="auto"/>
        <w:ind w:left="1080"/>
        <w:jc w:val="both"/>
      </w:pPr>
      <w:r>
        <w:rPr/>
        <w:t>Initiatives to improve school education in the </w:t>
      </w:r>
      <w:r>
        <w:rPr/>
        <w:t>Plan </w:t>
      </w:r>
      <w:r>
        <w:rPr>
          <w:spacing w:val="-6"/>
        </w:rPr>
        <w:t>include</w:t>
      </w:r>
      <w:r>
        <w:rPr>
          <w:spacing w:val="-8"/>
        </w:rPr>
        <w:t> </w:t>
      </w:r>
      <w:r>
        <w:rPr>
          <w:spacing w:val="-6"/>
        </w:rPr>
        <w:t>reorienting</w:t>
      </w:r>
      <w:r>
        <w:rPr>
          <w:spacing w:val="-7"/>
        </w:rPr>
        <w:t> </w:t>
      </w:r>
      <w:r>
        <w:rPr>
          <w:spacing w:val="-6"/>
        </w:rPr>
        <w:t>Sarva</w:t>
      </w:r>
      <w:r>
        <w:rPr>
          <w:spacing w:val="-8"/>
        </w:rPr>
        <w:t> </w:t>
      </w:r>
      <w:r>
        <w:rPr>
          <w:spacing w:val="-6"/>
        </w:rPr>
        <w:t>Shiksha</w:t>
      </w:r>
      <w:r>
        <w:rPr>
          <w:spacing w:val="-7"/>
        </w:rPr>
        <w:t> </w:t>
      </w:r>
      <w:r>
        <w:rPr>
          <w:spacing w:val="-6"/>
        </w:rPr>
        <w:t>Abhiyan</w:t>
      </w:r>
      <w:r>
        <w:rPr>
          <w:spacing w:val="-8"/>
        </w:rPr>
        <w:t> </w:t>
      </w:r>
      <w:r>
        <w:rPr>
          <w:spacing w:val="-6"/>
        </w:rPr>
        <w:t>with</w:t>
      </w:r>
      <w:r>
        <w:rPr>
          <w:spacing w:val="-7"/>
        </w:rPr>
        <w:t> </w:t>
      </w:r>
      <w:r>
        <w:rPr>
          <w:spacing w:val="-6"/>
        </w:rPr>
        <w:t>a</w:t>
      </w:r>
      <w:r>
        <w:rPr>
          <w:spacing w:val="-8"/>
        </w:rPr>
        <w:t> </w:t>
      </w:r>
      <w:r>
        <w:rPr>
          <w:spacing w:val="-6"/>
        </w:rPr>
        <w:t>strong </w:t>
      </w:r>
      <w:r>
        <w:rPr>
          <w:spacing w:val="-4"/>
        </w:rPr>
        <w:t>rights</w:t>
      </w:r>
      <w:r>
        <w:rPr>
          <w:spacing w:val="-10"/>
        </w:rPr>
        <w:t> </w:t>
      </w:r>
      <w:r>
        <w:rPr>
          <w:spacing w:val="-4"/>
        </w:rPr>
        <w:t>focus</w:t>
      </w:r>
      <w:r>
        <w:rPr>
          <w:spacing w:val="-10"/>
        </w:rPr>
        <w:t> </w:t>
      </w:r>
      <w:r>
        <w:rPr>
          <w:spacing w:val="-4"/>
        </w:rPr>
        <w:t>to</w:t>
      </w:r>
      <w:r>
        <w:rPr>
          <w:spacing w:val="-10"/>
        </w:rPr>
        <w:t> </w:t>
      </w:r>
      <w:r>
        <w:rPr>
          <w:spacing w:val="-4"/>
        </w:rPr>
        <w:t>make</w:t>
      </w:r>
      <w:r>
        <w:rPr>
          <w:spacing w:val="-9"/>
        </w:rPr>
        <w:t> </w:t>
      </w:r>
      <w:r>
        <w:rPr>
          <w:spacing w:val="-4"/>
        </w:rPr>
        <w:t>Right</w:t>
      </w:r>
      <w:r>
        <w:rPr>
          <w:spacing w:val="-10"/>
        </w:rPr>
        <w:t> </w:t>
      </w:r>
      <w:r>
        <w:rPr>
          <w:spacing w:val="-4"/>
        </w:rPr>
        <w:t>to</w:t>
      </w:r>
      <w:r>
        <w:rPr>
          <w:spacing w:val="-10"/>
        </w:rPr>
        <w:t> </w:t>
      </w:r>
      <w:r>
        <w:rPr>
          <w:spacing w:val="-4"/>
        </w:rPr>
        <w:t>Education</w:t>
      </w:r>
      <w:r>
        <w:rPr>
          <w:spacing w:val="-10"/>
        </w:rPr>
        <w:t> </w:t>
      </w:r>
      <w:r>
        <w:rPr>
          <w:spacing w:val="-4"/>
        </w:rPr>
        <w:t>a</w:t>
      </w:r>
      <w:r>
        <w:rPr>
          <w:spacing w:val="-9"/>
        </w:rPr>
        <w:t> </w:t>
      </w:r>
      <w:r>
        <w:rPr>
          <w:spacing w:val="-4"/>
        </w:rPr>
        <w:t>reality.</w:t>
      </w:r>
      <w:r>
        <w:rPr>
          <w:spacing w:val="-10"/>
        </w:rPr>
        <w:t> </w:t>
      </w:r>
      <w:r>
        <w:rPr>
          <w:spacing w:val="-4"/>
        </w:rPr>
        <w:t>Under </w:t>
      </w:r>
      <w:r>
        <w:rPr/>
        <w:t>the Scheme for Universal Access and Quality at the </w:t>
      </w:r>
      <w:r>
        <w:rPr>
          <w:spacing w:val="-4"/>
        </w:rPr>
        <w:t>Secondary</w:t>
      </w:r>
      <w:r>
        <w:rPr>
          <w:spacing w:val="-7"/>
        </w:rPr>
        <w:t> </w:t>
      </w:r>
      <w:r>
        <w:rPr>
          <w:spacing w:val="-4"/>
        </w:rPr>
        <w:t>Stage,</w:t>
      </w:r>
      <w:r>
        <w:rPr>
          <w:spacing w:val="-7"/>
        </w:rPr>
        <w:t> </w:t>
      </w:r>
      <w:r>
        <w:rPr>
          <w:spacing w:val="-4"/>
        </w:rPr>
        <w:t>6000</w:t>
      </w:r>
      <w:r>
        <w:rPr>
          <w:spacing w:val="-7"/>
        </w:rPr>
        <w:t> </w:t>
      </w:r>
      <w:r>
        <w:rPr>
          <w:spacing w:val="-4"/>
        </w:rPr>
        <w:t>new</w:t>
      </w:r>
      <w:r>
        <w:rPr>
          <w:spacing w:val="-7"/>
        </w:rPr>
        <w:t> </w:t>
      </w:r>
      <w:r>
        <w:rPr>
          <w:spacing w:val="-4"/>
        </w:rPr>
        <w:t>high</w:t>
      </w:r>
      <w:r>
        <w:rPr>
          <w:spacing w:val="-7"/>
        </w:rPr>
        <w:t> </w:t>
      </w:r>
      <w:r>
        <w:rPr>
          <w:spacing w:val="-4"/>
        </w:rPr>
        <w:t>quality</w:t>
      </w:r>
      <w:r>
        <w:rPr>
          <w:spacing w:val="-7"/>
        </w:rPr>
        <w:t> </w:t>
      </w:r>
      <w:r>
        <w:rPr>
          <w:spacing w:val="-4"/>
        </w:rPr>
        <w:t>model</w:t>
      </w:r>
      <w:r>
        <w:rPr>
          <w:spacing w:val="-7"/>
        </w:rPr>
        <w:t> </w:t>
      </w:r>
      <w:r>
        <w:rPr>
          <w:spacing w:val="-4"/>
        </w:rPr>
        <w:t>schools </w:t>
      </w:r>
      <w:r>
        <w:rPr/>
        <w:t>are</w:t>
      </w:r>
      <w:r>
        <w:rPr>
          <w:spacing w:val="-12"/>
        </w:rPr>
        <w:t> </w:t>
      </w:r>
      <w:r>
        <w:rPr/>
        <w:t>to</w:t>
      </w:r>
      <w:r>
        <w:rPr>
          <w:spacing w:val="-12"/>
        </w:rPr>
        <w:t> </w:t>
      </w:r>
      <w:r>
        <w:rPr/>
        <w:t>be</w:t>
      </w:r>
      <w:r>
        <w:rPr>
          <w:spacing w:val="-12"/>
        </w:rPr>
        <w:t> </w:t>
      </w:r>
      <w:r>
        <w:rPr/>
        <w:t>set</w:t>
      </w:r>
      <w:r>
        <w:rPr>
          <w:spacing w:val="-12"/>
        </w:rPr>
        <w:t> </w:t>
      </w:r>
      <w:r>
        <w:rPr/>
        <w:t>up,</w:t>
      </w:r>
      <w:r>
        <w:rPr>
          <w:spacing w:val="-12"/>
        </w:rPr>
        <w:t> </w:t>
      </w:r>
      <w:r>
        <w:rPr/>
        <w:t>with</w:t>
      </w:r>
      <w:r>
        <w:rPr>
          <w:spacing w:val="-12"/>
        </w:rPr>
        <w:t> </w:t>
      </w:r>
      <w:r>
        <w:rPr/>
        <w:t>at</w:t>
      </w:r>
      <w:r>
        <w:rPr>
          <w:spacing w:val="-12"/>
        </w:rPr>
        <w:t> </w:t>
      </w:r>
      <w:r>
        <w:rPr/>
        <w:t>least</w:t>
      </w:r>
      <w:r>
        <w:rPr>
          <w:spacing w:val="-12"/>
        </w:rPr>
        <w:t> </w:t>
      </w:r>
      <w:r>
        <w:rPr/>
        <w:t>one</w:t>
      </w:r>
      <w:r>
        <w:rPr>
          <w:spacing w:val="-12"/>
        </w:rPr>
        <w:t> </w:t>
      </w:r>
      <w:r>
        <w:rPr/>
        <w:t>school</w:t>
      </w:r>
      <w:r>
        <w:rPr>
          <w:spacing w:val="-12"/>
        </w:rPr>
        <w:t> </w:t>
      </w:r>
      <w:r>
        <w:rPr/>
        <w:t>in</w:t>
      </w:r>
      <w:r>
        <w:rPr>
          <w:spacing w:val="-12"/>
        </w:rPr>
        <w:t> </w:t>
      </w:r>
      <w:r>
        <w:rPr/>
        <w:t>each</w:t>
      </w:r>
      <w:r>
        <w:rPr>
          <w:spacing w:val="-12"/>
        </w:rPr>
        <w:t> </w:t>
      </w:r>
      <w:r>
        <w:rPr/>
        <w:t>block. The first stream will consist of 2500 public funded </w:t>
      </w:r>
      <w:r>
        <w:rPr>
          <w:spacing w:val="-6"/>
        </w:rPr>
        <w:t>schools [2000 in KVs (Kendriya</w:t>
      </w:r>
      <w:r>
        <w:rPr>
          <w:spacing w:val="-8"/>
        </w:rPr>
        <w:t> </w:t>
      </w:r>
      <w:r>
        <w:rPr>
          <w:spacing w:val="-6"/>
        </w:rPr>
        <w:t>Vidyalayas) and 500 in </w:t>
      </w:r>
      <w:r>
        <w:rPr/>
        <w:t>NVs</w:t>
      </w:r>
      <w:r>
        <w:rPr>
          <w:spacing w:val="-14"/>
        </w:rPr>
        <w:t> </w:t>
      </w:r>
      <w:r>
        <w:rPr/>
        <w:t>(Navodaya</w:t>
      </w:r>
      <w:r>
        <w:rPr>
          <w:spacing w:val="-14"/>
        </w:rPr>
        <w:t> </w:t>
      </w:r>
      <w:r>
        <w:rPr/>
        <w:t>Vidyalayas)</w:t>
      </w:r>
      <w:r>
        <w:rPr>
          <w:spacing w:val="-14"/>
        </w:rPr>
        <w:t> </w:t>
      </w:r>
      <w:r>
        <w:rPr/>
        <w:t>template]</w:t>
      </w:r>
      <w:r>
        <w:rPr>
          <w:spacing w:val="-13"/>
        </w:rPr>
        <w:t> </w:t>
      </w:r>
      <w:r>
        <w:rPr/>
        <w:t>to</w:t>
      </w:r>
      <w:r>
        <w:rPr>
          <w:spacing w:val="-14"/>
        </w:rPr>
        <w:t> </w:t>
      </w:r>
      <w:r>
        <w:rPr/>
        <w:t>be</w:t>
      </w:r>
      <w:r>
        <w:rPr>
          <w:spacing w:val="-14"/>
        </w:rPr>
        <w:t> </w:t>
      </w:r>
      <w:r>
        <w:rPr/>
        <w:t>launched in the Educationally Backward Blocks which have a </w:t>
      </w:r>
      <w:r>
        <w:rPr>
          <w:spacing w:val="-2"/>
        </w:rPr>
        <w:t>significant</w:t>
      </w:r>
      <w:r>
        <w:rPr>
          <w:spacing w:val="-12"/>
        </w:rPr>
        <w:t> </w:t>
      </w:r>
      <w:r>
        <w:rPr>
          <w:spacing w:val="-2"/>
        </w:rPr>
        <w:t>SC,</w:t>
      </w:r>
      <w:r>
        <w:rPr>
          <w:spacing w:val="-12"/>
        </w:rPr>
        <w:t> </w:t>
      </w:r>
      <w:r>
        <w:rPr>
          <w:spacing w:val="-2"/>
        </w:rPr>
        <w:t>ST,</w:t>
      </w:r>
      <w:r>
        <w:rPr>
          <w:spacing w:val="-12"/>
        </w:rPr>
        <w:t> </w:t>
      </w:r>
      <w:r>
        <w:rPr>
          <w:spacing w:val="-2"/>
        </w:rPr>
        <w:t>OBC</w:t>
      </w:r>
      <w:r>
        <w:rPr>
          <w:spacing w:val="-11"/>
        </w:rPr>
        <w:t> </w:t>
      </w:r>
      <w:r>
        <w:rPr>
          <w:spacing w:val="-2"/>
        </w:rPr>
        <w:t>and</w:t>
      </w:r>
      <w:r>
        <w:rPr>
          <w:spacing w:val="-12"/>
        </w:rPr>
        <w:t> </w:t>
      </w:r>
      <w:r>
        <w:rPr>
          <w:spacing w:val="-2"/>
        </w:rPr>
        <w:t>Minority</w:t>
      </w:r>
      <w:r>
        <w:rPr>
          <w:spacing w:val="-12"/>
        </w:rPr>
        <w:t> </w:t>
      </w:r>
      <w:r>
        <w:rPr>
          <w:spacing w:val="-2"/>
        </w:rPr>
        <w:t>population.</w:t>
      </w:r>
      <w:r>
        <w:rPr>
          <w:spacing w:val="-12"/>
        </w:rPr>
        <w:t> </w:t>
      </w:r>
      <w:r>
        <w:rPr>
          <w:spacing w:val="-2"/>
        </w:rPr>
        <w:t>The </w:t>
      </w:r>
      <w:r>
        <w:rPr/>
        <w:t>second</w:t>
      </w:r>
      <w:r>
        <w:rPr>
          <w:spacing w:val="-4"/>
        </w:rPr>
        <w:t> </w:t>
      </w:r>
      <w:r>
        <w:rPr/>
        <w:t>stream</w:t>
      </w:r>
      <w:r>
        <w:rPr>
          <w:spacing w:val="-4"/>
        </w:rPr>
        <w:t> </w:t>
      </w:r>
      <w:r>
        <w:rPr/>
        <w:t>of</w:t>
      </w:r>
      <w:r>
        <w:rPr>
          <w:spacing w:val="-4"/>
        </w:rPr>
        <w:t> </w:t>
      </w:r>
      <w:r>
        <w:rPr/>
        <w:t>about</w:t>
      </w:r>
      <w:r>
        <w:rPr>
          <w:spacing w:val="-4"/>
        </w:rPr>
        <w:t> </w:t>
      </w:r>
      <w:r>
        <w:rPr/>
        <w:t>2500</w:t>
      </w:r>
      <w:r>
        <w:rPr>
          <w:spacing w:val="-4"/>
        </w:rPr>
        <w:t> </w:t>
      </w:r>
      <w:r>
        <w:rPr/>
        <w:t>schools</w:t>
      </w:r>
      <w:r>
        <w:rPr>
          <w:spacing w:val="-4"/>
        </w:rPr>
        <w:t> </w:t>
      </w:r>
      <w:r>
        <w:rPr/>
        <w:t>would</w:t>
      </w:r>
      <w:r>
        <w:rPr>
          <w:spacing w:val="-4"/>
        </w:rPr>
        <w:t> </w:t>
      </w:r>
      <w:r>
        <w:rPr/>
        <w:t>be</w:t>
      </w:r>
      <w:r>
        <w:rPr>
          <w:spacing w:val="-4"/>
        </w:rPr>
        <w:t> </w:t>
      </w:r>
      <w:r>
        <w:rPr/>
        <w:t>set</w:t>
      </w:r>
      <w:r>
        <w:rPr>
          <w:spacing w:val="-4"/>
        </w:rPr>
        <w:t> </w:t>
      </w:r>
      <w:r>
        <w:rPr/>
        <w:t>up </w:t>
      </w:r>
      <w:r>
        <w:rPr>
          <w:spacing w:val="-4"/>
        </w:rPr>
        <w:t>through</w:t>
      </w:r>
      <w:r>
        <w:rPr>
          <w:spacing w:val="-6"/>
        </w:rPr>
        <w:t> </w:t>
      </w:r>
      <w:r>
        <w:rPr>
          <w:spacing w:val="-4"/>
        </w:rPr>
        <w:t>Public</w:t>
      </w:r>
      <w:r>
        <w:rPr>
          <w:spacing w:val="-6"/>
        </w:rPr>
        <w:t> </w:t>
      </w:r>
      <w:r>
        <w:rPr>
          <w:spacing w:val="-4"/>
        </w:rPr>
        <w:t>Private</w:t>
      </w:r>
      <w:r>
        <w:rPr>
          <w:spacing w:val="-6"/>
        </w:rPr>
        <w:t> </w:t>
      </w:r>
      <w:r>
        <w:rPr>
          <w:spacing w:val="-4"/>
        </w:rPr>
        <w:t>Partnership</w:t>
      </w:r>
      <w:r>
        <w:rPr>
          <w:spacing w:val="-6"/>
        </w:rPr>
        <w:t> </w:t>
      </w:r>
      <w:r>
        <w:rPr>
          <w:spacing w:val="-4"/>
        </w:rPr>
        <w:t>in</w:t>
      </w:r>
      <w:r>
        <w:rPr>
          <w:spacing w:val="-6"/>
        </w:rPr>
        <w:t> </w:t>
      </w:r>
      <w:r>
        <w:rPr>
          <w:spacing w:val="-4"/>
        </w:rPr>
        <w:t>other</w:t>
      </w:r>
      <w:r>
        <w:rPr>
          <w:spacing w:val="-6"/>
        </w:rPr>
        <w:t> </w:t>
      </w:r>
      <w:r>
        <w:rPr>
          <w:spacing w:val="-4"/>
        </w:rPr>
        <w:t>Blocks</w:t>
      </w:r>
      <w:r>
        <w:rPr>
          <w:spacing w:val="-6"/>
        </w:rPr>
        <w:t> </w:t>
      </w:r>
      <w:r>
        <w:rPr>
          <w:spacing w:val="-4"/>
        </w:rPr>
        <w:t>with </w:t>
      </w:r>
      <w:r>
        <w:rPr/>
        <w:t>emphasis on geographical, demographic, gender and </w:t>
      </w:r>
      <w:r>
        <w:rPr>
          <w:spacing w:val="-6"/>
        </w:rPr>
        <w:t>social equity. Modalities for the remaining 1000 schools </w:t>
      </w:r>
      <w:r>
        <w:rPr/>
        <w:t>have not yet been finalised.</w:t>
      </w:r>
    </w:p>
    <w:p>
      <w:pPr>
        <w:pStyle w:val="BodyText"/>
        <w:spacing w:before="14"/>
      </w:pPr>
    </w:p>
    <w:p>
      <w:pPr>
        <w:pStyle w:val="BodyText"/>
        <w:spacing w:line="266" w:lineRule="auto"/>
        <w:ind w:left="1080"/>
        <w:jc w:val="both"/>
      </w:pPr>
      <w:r>
        <w:rPr/>
        <w:t>To strengthen vocational education a new </w:t>
      </w:r>
      <w:r>
        <w:rPr/>
        <w:t>Skill Development Mission under the supervision of the </w:t>
      </w:r>
      <w:r>
        <w:rPr>
          <w:spacing w:val="-4"/>
        </w:rPr>
        <w:t>Prime</w:t>
      </w:r>
      <w:r>
        <w:rPr>
          <w:spacing w:val="-6"/>
        </w:rPr>
        <w:t> </w:t>
      </w:r>
      <w:r>
        <w:rPr>
          <w:spacing w:val="-4"/>
        </w:rPr>
        <w:t>Minister,</w:t>
      </w:r>
      <w:r>
        <w:rPr>
          <w:spacing w:val="-6"/>
        </w:rPr>
        <w:t> </w:t>
      </w:r>
      <w:r>
        <w:rPr>
          <w:spacing w:val="-4"/>
        </w:rPr>
        <w:t>with</w:t>
      </w:r>
      <w:r>
        <w:rPr>
          <w:spacing w:val="-6"/>
        </w:rPr>
        <w:t> </w:t>
      </w:r>
      <w:r>
        <w:rPr>
          <w:spacing w:val="-4"/>
        </w:rPr>
        <w:t>an</w:t>
      </w:r>
      <w:r>
        <w:rPr>
          <w:spacing w:val="-6"/>
        </w:rPr>
        <w:t> </w:t>
      </w:r>
      <w:r>
        <w:rPr>
          <w:spacing w:val="-4"/>
        </w:rPr>
        <w:t>outlay</w:t>
      </w:r>
      <w:r>
        <w:rPr>
          <w:spacing w:val="-6"/>
        </w:rPr>
        <w:t> </w:t>
      </w:r>
      <w:r>
        <w:rPr>
          <w:spacing w:val="-4"/>
        </w:rPr>
        <w:t>of</w:t>
      </w:r>
      <w:r>
        <w:rPr>
          <w:spacing w:val="-6"/>
        </w:rPr>
        <w:t> </w:t>
      </w:r>
      <w:r>
        <w:rPr>
          <w:spacing w:val="-4"/>
        </w:rPr>
        <w:t>Rs.</w:t>
      </w:r>
      <w:r>
        <w:rPr>
          <w:spacing w:val="-6"/>
        </w:rPr>
        <w:t> </w:t>
      </w:r>
      <w:r>
        <w:rPr>
          <w:spacing w:val="-4"/>
        </w:rPr>
        <w:t>31,200</w:t>
      </w:r>
      <w:r>
        <w:rPr>
          <w:spacing w:val="-6"/>
        </w:rPr>
        <w:t> </w:t>
      </w:r>
      <w:r>
        <w:rPr>
          <w:spacing w:val="-4"/>
        </w:rPr>
        <w:t>crore,</w:t>
      </w:r>
      <w:r>
        <w:rPr>
          <w:spacing w:val="-6"/>
        </w:rPr>
        <w:t> </w:t>
      </w:r>
      <w:r>
        <w:rPr>
          <w:spacing w:val="-4"/>
        </w:rPr>
        <w:t>will </w:t>
      </w:r>
      <w:r>
        <w:rPr/>
        <w:t>aim</w:t>
      </w:r>
      <w:r>
        <w:rPr>
          <w:spacing w:val="-7"/>
        </w:rPr>
        <w:t> </w:t>
      </w:r>
      <w:r>
        <w:rPr/>
        <w:t>at</w:t>
      </w:r>
      <w:r>
        <w:rPr>
          <w:spacing w:val="-7"/>
        </w:rPr>
        <w:t> </w:t>
      </w:r>
      <w:r>
        <w:rPr/>
        <w:t>opening</w:t>
      </w:r>
      <w:r>
        <w:rPr>
          <w:spacing w:val="-7"/>
        </w:rPr>
        <w:t> </w:t>
      </w:r>
      <w:r>
        <w:rPr/>
        <w:t>1600</w:t>
      </w:r>
      <w:r>
        <w:rPr>
          <w:spacing w:val="-7"/>
        </w:rPr>
        <w:t> </w:t>
      </w:r>
      <w:r>
        <w:rPr/>
        <w:t>new</w:t>
      </w:r>
      <w:r>
        <w:rPr>
          <w:spacing w:val="-7"/>
        </w:rPr>
        <w:t> </w:t>
      </w:r>
      <w:r>
        <w:rPr/>
        <w:t>industrial</w:t>
      </w:r>
      <w:r>
        <w:rPr>
          <w:spacing w:val="-7"/>
        </w:rPr>
        <w:t> </w:t>
      </w:r>
      <w:r>
        <w:rPr/>
        <w:t>training</w:t>
      </w:r>
      <w:r>
        <w:rPr>
          <w:spacing w:val="-7"/>
        </w:rPr>
        <w:t> </w:t>
      </w:r>
      <w:r>
        <w:rPr/>
        <w:t>institutes </w:t>
      </w:r>
      <w:r>
        <w:rPr>
          <w:spacing w:val="-4"/>
        </w:rPr>
        <w:t>(ITIs)</w:t>
      </w:r>
      <w:r>
        <w:rPr>
          <w:spacing w:val="-5"/>
        </w:rPr>
        <w:t> </w:t>
      </w:r>
      <w:r>
        <w:rPr>
          <w:spacing w:val="-4"/>
        </w:rPr>
        <w:t>and</w:t>
      </w:r>
      <w:r>
        <w:rPr>
          <w:spacing w:val="-5"/>
        </w:rPr>
        <w:t> </w:t>
      </w:r>
      <w:r>
        <w:rPr>
          <w:spacing w:val="-4"/>
        </w:rPr>
        <w:t>polytechnics,</w:t>
      </w:r>
      <w:r>
        <w:rPr>
          <w:spacing w:val="-5"/>
        </w:rPr>
        <w:t> </w:t>
      </w:r>
      <w:r>
        <w:rPr>
          <w:spacing w:val="-4"/>
        </w:rPr>
        <w:t>10,000</w:t>
      </w:r>
      <w:r>
        <w:rPr>
          <w:spacing w:val="-5"/>
        </w:rPr>
        <w:t> </w:t>
      </w:r>
      <w:r>
        <w:rPr>
          <w:spacing w:val="-4"/>
        </w:rPr>
        <w:t>new</w:t>
      </w:r>
      <w:r>
        <w:rPr>
          <w:spacing w:val="-5"/>
        </w:rPr>
        <w:t> </w:t>
      </w:r>
      <w:r>
        <w:rPr>
          <w:spacing w:val="-4"/>
        </w:rPr>
        <w:t>vocational</w:t>
      </w:r>
      <w:r>
        <w:rPr>
          <w:spacing w:val="-5"/>
        </w:rPr>
        <w:t> </w:t>
      </w:r>
      <w:r>
        <w:rPr>
          <w:spacing w:val="-4"/>
        </w:rPr>
        <w:t>schools </w:t>
      </w:r>
      <w:r>
        <w:rPr/>
        <w:t>and 50,000 new Skill Development Centres. A Skill Development</w:t>
      </w:r>
      <w:r>
        <w:rPr>
          <w:spacing w:val="-2"/>
        </w:rPr>
        <w:t> </w:t>
      </w:r>
      <w:r>
        <w:rPr/>
        <w:t>Corporation</w:t>
      </w:r>
      <w:r>
        <w:rPr>
          <w:spacing w:val="-2"/>
        </w:rPr>
        <w:t> </w:t>
      </w:r>
      <w:r>
        <w:rPr/>
        <w:t>will</w:t>
      </w:r>
      <w:r>
        <w:rPr>
          <w:spacing w:val="-2"/>
        </w:rPr>
        <w:t> </w:t>
      </w:r>
      <w:r>
        <w:rPr/>
        <w:t>also</w:t>
      </w:r>
      <w:r>
        <w:rPr>
          <w:spacing w:val="-2"/>
        </w:rPr>
        <w:t> </w:t>
      </w:r>
      <w:r>
        <w:rPr/>
        <w:t>be</w:t>
      </w:r>
      <w:r>
        <w:rPr>
          <w:spacing w:val="-2"/>
        </w:rPr>
        <w:t> </w:t>
      </w:r>
      <w:r>
        <w:rPr/>
        <w:t>created</w:t>
      </w:r>
      <w:r>
        <w:rPr>
          <w:spacing w:val="-2"/>
        </w:rPr>
        <w:t> </w:t>
      </w:r>
      <w:r>
        <w:rPr/>
        <w:t>by</w:t>
      </w:r>
      <w:r>
        <w:rPr>
          <w:spacing w:val="-2"/>
        </w:rPr>
        <w:t> </w:t>
      </w:r>
      <w:r>
        <w:rPr/>
        <w:t>the </w:t>
      </w:r>
      <w:r>
        <w:rPr>
          <w:spacing w:val="-2"/>
        </w:rPr>
        <w:t>Government</w:t>
      </w:r>
      <w:r>
        <w:rPr>
          <w:spacing w:val="-12"/>
        </w:rPr>
        <w:t> </w:t>
      </w:r>
      <w:r>
        <w:rPr>
          <w:spacing w:val="-2"/>
        </w:rPr>
        <w:t>with</w:t>
      </w:r>
      <w:r>
        <w:rPr>
          <w:spacing w:val="-12"/>
        </w:rPr>
        <w:t> </w:t>
      </w:r>
      <w:r>
        <w:rPr>
          <w:spacing w:val="-2"/>
        </w:rPr>
        <w:t>the</w:t>
      </w:r>
      <w:r>
        <w:rPr>
          <w:spacing w:val="-12"/>
        </w:rPr>
        <w:t> </w:t>
      </w:r>
      <w:r>
        <w:rPr>
          <w:spacing w:val="-2"/>
        </w:rPr>
        <w:t>active</w:t>
      </w:r>
      <w:r>
        <w:rPr>
          <w:spacing w:val="-11"/>
        </w:rPr>
        <w:t> </w:t>
      </w:r>
      <w:r>
        <w:rPr>
          <w:spacing w:val="-2"/>
        </w:rPr>
        <w:t>participation</w:t>
      </w:r>
      <w:r>
        <w:rPr>
          <w:spacing w:val="-12"/>
        </w:rPr>
        <w:t> </w:t>
      </w:r>
      <w:r>
        <w:rPr>
          <w:spacing w:val="-2"/>
        </w:rPr>
        <w:t>of</w:t>
      </w:r>
      <w:r>
        <w:rPr>
          <w:spacing w:val="-12"/>
        </w:rPr>
        <w:t> </w:t>
      </w:r>
      <w:r>
        <w:rPr>
          <w:spacing w:val="-2"/>
        </w:rPr>
        <w:t>the</w:t>
      </w:r>
      <w:r>
        <w:rPr>
          <w:spacing w:val="-12"/>
        </w:rPr>
        <w:t> </w:t>
      </w:r>
      <w:r>
        <w:rPr>
          <w:spacing w:val="-2"/>
        </w:rPr>
        <w:t>private </w:t>
      </w:r>
      <w:r>
        <w:rPr>
          <w:spacing w:val="-6"/>
        </w:rPr>
        <w:t>sector</w:t>
      </w:r>
      <w:r>
        <w:rPr>
          <w:spacing w:val="-7"/>
        </w:rPr>
        <w:t> </w:t>
      </w:r>
      <w:r>
        <w:rPr>
          <w:spacing w:val="-6"/>
        </w:rPr>
        <w:t>to</w:t>
      </w:r>
      <w:r>
        <w:rPr>
          <w:spacing w:val="-7"/>
        </w:rPr>
        <w:t> </w:t>
      </w:r>
      <w:r>
        <w:rPr>
          <w:spacing w:val="-6"/>
        </w:rPr>
        <w:t>give</w:t>
      </w:r>
      <w:r>
        <w:rPr>
          <w:spacing w:val="-7"/>
        </w:rPr>
        <w:t> </w:t>
      </w:r>
      <w:r>
        <w:rPr>
          <w:spacing w:val="-6"/>
        </w:rPr>
        <w:t>special</w:t>
      </w:r>
      <w:r>
        <w:rPr>
          <w:spacing w:val="-7"/>
        </w:rPr>
        <w:t> </w:t>
      </w:r>
      <w:r>
        <w:rPr>
          <w:spacing w:val="-6"/>
        </w:rPr>
        <w:t>training</w:t>
      </w:r>
      <w:r>
        <w:rPr>
          <w:spacing w:val="-7"/>
        </w:rPr>
        <w:t> </w:t>
      </w:r>
      <w:r>
        <w:rPr>
          <w:spacing w:val="-6"/>
        </w:rPr>
        <w:t>to</w:t>
      </w:r>
      <w:r>
        <w:rPr>
          <w:spacing w:val="-7"/>
        </w:rPr>
        <w:t> </w:t>
      </w:r>
      <w:r>
        <w:rPr>
          <w:spacing w:val="-6"/>
        </w:rPr>
        <w:t>young</w:t>
      </w:r>
      <w:r>
        <w:rPr>
          <w:spacing w:val="-7"/>
        </w:rPr>
        <w:t> </w:t>
      </w:r>
      <w:r>
        <w:rPr>
          <w:spacing w:val="-6"/>
        </w:rPr>
        <w:t>men</w:t>
      </w:r>
      <w:r>
        <w:rPr>
          <w:spacing w:val="-7"/>
        </w:rPr>
        <w:t> </w:t>
      </w:r>
      <w:r>
        <w:rPr>
          <w:spacing w:val="-6"/>
        </w:rPr>
        <w:t>and</w:t>
      </w:r>
      <w:r>
        <w:rPr>
          <w:spacing w:val="-7"/>
        </w:rPr>
        <w:t> </w:t>
      </w:r>
      <w:r>
        <w:rPr>
          <w:spacing w:val="-6"/>
        </w:rPr>
        <w:t>women, </w:t>
      </w:r>
      <w:r>
        <w:rPr/>
        <w:t>workers and technicians.</w:t>
      </w:r>
    </w:p>
    <w:p>
      <w:pPr>
        <w:pStyle w:val="BodyText"/>
        <w:spacing w:before="19"/>
      </w:pPr>
    </w:p>
    <w:p>
      <w:pPr>
        <w:pStyle w:val="BodyText"/>
        <w:spacing w:line="266" w:lineRule="auto"/>
        <w:ind w:left="1080"/>
        <w:jc w:val="both"/>
      </w:pPr>
      <w:r>
        <w:rPr/>
        <w:t>In Higher and Technical Education the focus of </w:t>
      </w:r>
      <w:r>
        <w:rPr/>
        <w:t>the Eleventh</w:t>
      </w:r>
      <w:r>
        <w:rPr>
          <w:spacing w:val="33"/>
        </w:rPr>
        <w:t> </w:t>
      </w:r>
      <w:r>
        <w:rPr/>
        <w:t>Plan</w:t>
      </w:r>
      <w:r>
        <w:rPr>
          <w:spacing w:val="33"/>
        </w:rPr>
        <w:t> </w:t>
      </w:r>
      <w:r>
        <w:rPr/>
        <w:t>is</w:t>
      </w:r>
      <w:r>
        <w:rPr>
          <w:spacing w:val="33"/>
        </w:rPr>
        <w:t> </w:t>
      </w:r>
      <w:r>
        <w:rPr/>
        <w:t>on</w:t>
      </w:r>
      <w:r>
        <w:rPr>
          <w:spacing w:val="34"/>
        </w:rPr>
        <w:t> </w:t>
      </w:r>
      <w:r>
        <w:rPr/>
        <w:t>expansion,</w:t>
      </w:r>
      <w:r>
        <w:rPr>
          <w:spacing w:val="33"/>
        </w:rPr>
        <w:t> </w:t>
      </w:r>
      <w:r>
        <w:rPr/>
        <w:t>inclusion</w:t>
      </w:r>
      <w:r>
        <w:rPr>
          <w:spacing w:val="33"/>
        </w:rPr>
        <w:t> </w:t>
      </w:r>
      <w:r>
        <w:rPr/>
        <w:t>and</w:t>
      </w:r>
      <w:r>
        <w:rPr>
          <w:spacing w:val="33"/>
        </w:rPr>
        <w:t> </w:t>
      </w:r>
      <w:r>
        <w:rPr>
          <w:spacing w:val="-2"/>
        </w:rPr>
        <w:t>rapid</w:t>
      </w:r>
    </w:p>
    <w:p>
      <w:pPr>
        <w:pStyle w:val="BodyText"/>
        <w:spacing w:line="266" w:lineRule="auto" w:before="82"/>
        <w:ind w:left="319" w:right="1077"/>
        <w:jc w:val="both"/>
      </w:pPr>
      <w:r>
        <w:rPr/>
        <w:br w:type="column"/>
      </w:r>
      <w:r>
        <w:rPr>
          <w:spacing w:val="-2"/>
        </w:rPr>
        <w:t>improvement</w:t>
      </w:r>
      <w:r>
        <w:rPr>
          <w:spacing w:val="-10"/>
        </w:rPr>
        <w:t> </w:t>
      </w:r>
      <w:r>
        <w:rPr>
          <w:spacing w:val="-2"/>
        </w:rPr>
        <w:t>in</w:t>
      </w:r>
      <w:r>
        <w:rPr>
          <w:spacing w:val="-10"/>
        </w:rPr>
        <w:t> </w:t>
      </w:r>
      <w:r>
        <w:rPr>
          <w:spacing w:val="-2"/>
        </w:rPr>
        <w:t>quality</w:t>
      </w:r>
      <w:r>
        <w:rPr>
          <w:spacing w:val="-10"/>
        </w:rPr>
        <w:t> </w:t>
      </w:r>
      <w:r>
        <w:rPr>
          <w:spacing w:val="-2"/>
        </w:rPr>
        <w:t>by</w:t>
      </w:r>
      <w:r>
        <w:rPr>
          <w:spacing w:val="-10"/>
        </w:rPr>
        <w:t> </w:t>
      </w:r>
      <w:r>
        <w:rPr>
          <w:spacing w:val="-2"/>
        </w:rPr>
        <w:t>enhancing</w:t>
      </w:r>
      <w:r>
        <w:rPr>
          <w:spacing w:val="-10"/>
        </w:rPr>
        <w:t> </w:t>
      </w:r>
      <w:r>
        <w:rPr>
          <w:spacing w:val="-2"/>
        </w:rPr>
        <w:t>public</w:t>
      </w:r>
      <w:r>
        <w:rPr>
          <w:spacing w:val="-10"/>
        </w:rPr>
        <w:t> </w:t>
      </w:r>
      <w:r>
        <w:rPr>
          <w:spacing w:val="-2"/>
        </w:rPr>
        <w:t>spending, </w:t>
      </w:r>
      <w:r>
        <w:rPr/>
        <w:t>encouraging</w:t>
      </w:r>
      <w:r>
        <w:rPr>
          <w:spacing w:val="-2"/>
        </w:rPr>
        <w:t> </w:t>
      </w:r>
      <w:r>
        <w:rPr/>
        <w:t>private</w:t>
      </w:r>
      <w:r>
        <w:rPr>
          <w:spacing w:val="-2"/>
        </w:rPr>
        <w:t> </w:t>
      </w:r>
      <w:r>
        <w:rPr/>
        <w:t>initiatives</w:t>
      </w:r>
      <w:r>
        <w:rPr>
          <w:spacing w:val="-2"/>
        </w:rPr>
        <w:t> </w:t>
      </w:r>
      <w:r>
        <w:rPr/>
        <w:t>and</w:t>
      </w:r>
      <w:r>
        <w:rPr>
          <w:spacing w:val="-2"/>
        </w:rPr>
        <w:t> </w:t>
      </w:r>
      <w:r>
        <w:rPr/>
        <w:t>initiating</w:t>
      </w:r>
      <w:r>
        <w:rPr>
          <w:spacing w:val="-2"/>
        </w:rPr>
        <w:t> </w:t>
      </w:r>
      <w:r>
        <w:rPr/>
        <w:t>the</w:t>
      </w:r>
      <w:r>
        <w:rPr>
          <w:spacing w:val="-2"/>
        </w:rPr>
        <w:t> </w:t>
      </w:r>
      <w:r>
        <w:rPr/>
        <w:t>long overdue major institutional and policy reforms. The </w:t>
      </w:r>
      <w:r>
        <w:rPr>
          <w:spacing w:val="-4"/>
        </w:rPr>
        <w:t>Eleventh</w:t>
      </w:r>
      <w:r>
        <w:rPr>
          <w:spacing w:val="-7"/>
        </w:rPr>
        <w:t> </w:t>
      </w:r>
      <w:r>
        <w:rPr>
          <w:spacing w:val="-4"/>
        </w:rPr>
        <w:t>Plan</w:t>
      </w:r>
      <w:r>
        <w:rPr>
          <w:spacing w:val="-7"/>
        </w:rPr>
        <w:t> </w:t>
      </w:r>
      <w:r>
        <w:rPr>
          <w:spacing w:val="-4"/>
        </w:rPr>
        <w:t>aims</w:t>
      </w:r>
      <w:r>
        <w:rPr>
          <w:spacing w:val="-7"/>
        </w:rPr>
        <w:t> </w:t>
      </w:r>
      <w:r>
        <w:rPr>
          <w:spacing w:val="-4"/>
        </w:rPr>
        <w:t>at</w:t>
      </w:r>
      <w:r>
        <w:rPr>
          <w:spacing w:val="-7"/>
        </w:rPr>
        <w:t> </w:t>
      </w:r>
      <w:r>
        <w:rPr>
          <w:spacing w:val="-4"/>
        </w:rPr>
        <w:t>expansion</w:t>
      </w:r>
      <w:r>
        <w:rPr>
          <w:spacing w:val="-7"/>
        </w:rPr>
        <w:t> </w:t>
      </w:r>
      <w:r>
        <w:rPr>
          <w:spacing w:val="-4"/>
        </w:rPr>
        <w:t>with</w:t>
      </w:r>
      <w:r>
        <w:rPr>
          <w:spacing w:val="-7"/>
        </w:rPr>
        <w:t> </w:t>
      </w:r>
      <w:r>
        <w:rPr>
          <w:spacing w:val="-4"/>
        </w:rPr>
        <w:t>the</w:t>
      </w:r>
      <w:r>
        <w:rPr>
          <w:spacing w:val="-7"/>
        </w:rPr>
        <w:t> </w:t>
      </w:r>
      <w:r>
        <w:rPr>
          <w:spacing w:val="-4"/>
        </w:rPr>
        <w:t>establishment </w:t>
      </w:r>
      <w:r>
        <w:rPr/>
        <w:t>of 30 new universities. Further, 8 new IITs, 7 new </w:t>
      </w:r>
      <w:r>
        <w:rPr>
          <w:spacing w:val="-2"/>
        </w:rPr>
        <w:t>IIMs,</w:t>
      </w:r>
      <w:r>
        <w:rPr>
          <w:spacing w:val="-9"/>
        </w:rPr>
        <w:t> </w:t>
      </w:r>
      <w:r>
        <w:rPr>
          <w:spacing w:val="-2"/>
        </w:rPr>
        <w:t>20</w:t>
      </w:r>
      <w:r>
        <w:rPr>
          <w:spacing w:val="-9"/>
        </w:rPr>
        <w:t> </w:t>
      </w:r>
      <w:r>
        <w:rPr>
          <w:spacing w:val="-2"/>
        </w:rPr>
        <w:t>new</w:t>
      </w:r>
      <w:r>
        <w:rPr>
          <w:spacing w:val="-9"/>
        </w:rPr>
        <w:t> </w:t>
      </w:r>
      <w:r>
        <w:rPr>
          <w:spacing w:val="-2"/>
        </w:rPr>
        <w:t>IIITs,</w:t>
      </w:r>
      <w:r>
        <w:rPr>
          <w:spacing w:val="-9"/>
        </w:rPr>
        <w:t> </w:t>
      </w:r>
      <w:r>
        <w:rPr>
          <w:spacing w:val="-2"/>
        </w:rPr>
        <w:t>5</w:t>
      </w:r>
      <w:r>
        <w:rPr>
          <w:spacing w:val="-9"/>
        </w:rPr>
        <w:t> </w:t>
      </w:r>
      <w:r>
        <w:rPr>
          <w:spacing w:val="-2"/>
        </w:rPr>
        <w:t>new</w:t>
      </w:r>
      <w:r>
        <w:rPr>
          <w:spacing w:val="-9"/>
        </w:rPr>
        <w:t> </w:t>
      </w:r>
      <w:r>
        <w:rPr>
          <w:spacing w:val="-2"/>
        </w:rPr>
        <w:t>Indian</w:t>
      </w:r>
      <w:r>
        <w:rPr>
          <w:spacing w:val="-9"/>
        </w:rPr>
        <w:t> </w:t>
      </w:r>
      <w:r>
        <w:rPr>
          <w:spacing w:val="-2"/>
        </w:rPr>
        <w:t>Institutes</w:t>
      </w:r>
      <w:r>
        <w:rPr>
          <w:spacing w:val="-9"/>
        </w:rPr>
        <w:t> </w:t>
      </w:r>
      <w:r>
        <w:rPr>
          <w:spacing w:val="-2"/>
        </w:rPr>
        <w:t>of</w:t>
      </w:r>
      <w:r>
        <w:rPr>
          <w:spacing w:val="-9"/>
        </w:rPr>
        <w:t> </w:t>
      </w:r>
      <w:r>
        <w:rPr>
          <w:spacing w:val="-2"/>
        </w:rPr>
        <w:t>Science, </w:t>
      </w:r>
      <w:r>
        <w:rPr/>
        <w:t>2</w:t>
      </w:r>
      <w:r>
        <w:rPr>
          <w:spacing w:val="-11"/>
        </w:rPr>
        <w:t> </w:t>
      </w:r>
      <w:r>
        <w:rPr/>
        <w:t>Schools</w:t>
      </w:r>
      <w:r>
        <w:rPr>
          <w:spacing w:val="-11"/>
        </w:rPr>
        <w:t> </w:t>
      </w:r>
      <w:r>
        <w:rPr/>
        <w:t>of</w:t>
      </w:r>
      <w:r>
        <w:rPr>
          <w:spacing w:val="-11"/>
        </w:rPr>
        <w:t> </w:t>
      </w:r>
      <w:r>
        <w:rPr/>
        <w:t>Planning</w:t>
      </w:r>
      <w:r>
        <w:rPr>
          <w:spacing w:val="-11"/>
        </w:rPr>
        <w:t> </w:t>
      </w:r>
      <w:r>
        <w:rPr/>
        <w:t>and</w:t>
      </w:r>
      <w:r>
        <w:rPr>
          <w:spacing w:val="-11"/>
        </w:rPr>
        <w:t> </w:t>
      </w:r>
      <w:r>
        <w:rPr/>
        <w:t>Architecture,</w:t>
      </w:r>
      <w:r>
        <w:rPr>
          <w:spacing w:val="-11"/>
        </w:rPr>
        <w:t> </w:t>
      </w:r>
      <w:r>
        <w:rPr/>
        <w:t>10</w:t>
      </w:r>
      <w:r>
        <w:rPr>
          <w:spacing w:val="-11"/>
        </w:rPr>
        <w:t> </w:t>
      </w:r>
      <w:r>
        <w:rPr/>
        <w:t>NITs,</w:t>
      </w:r>
      <w:r>
        <w:rPr>
          <w:spacing w:val="-11"/>
        </w:rPr>
        <w:t> </w:t>
      </w:r>
      <w:r>
        <w:rPr/>
        <w:t>373 </w:t>
      </w:r>
      <w:r>
        <w:rPr>
          <w:spacing w:val="-8"/>
        </w:rPr>
        <w:t>new</w:t>
      </w:r>
      <w:r>
        <w:rPr>
          <w:spacing w:val="-2"/>
        </w:rPr>
        <w:t> </w:t>
      </w:r>
      <w:r>
        <w:rPr>
          <w:spacing w:val="-8"/>
        </w:rPr>
        <w:t>degree</w:t>
      </w:r>
      <w:r>
        <w:rPr>
          <w:spacing w:val="-2"/>
        </w:rPr>
        <w:t> </w:t>
      </w:r>
      <w:r>
        <w:rPr>
          <w:spacing w:val="-8"/>
        </w:rPr>
        <w:t>colleges</w:t>
      </w:r>
      <w:r>
        <w:rPr>
          <w:spacing w:val="-2"/>
        </w:rPr>
        <w:t> </w:t>
      </w:r>
      <w:r>
        <w:rPr>
          <w:spacing w:val="-8"/>
        </w:rPr>
        <w:t>and</w:t>
      </w:r>
      <w:r>
        <w:rPr>
          <w:spacing w:val="-2"/>
        </w:rPr>
        <w:t> </w:t>
      </w:r>
      <w:r>
        <w:rPr>
          <w:spacing w:val="-8"/>
        </w:rPr>
        <w:t>1000</w:t>
      </w:r>
      <w:r>
        <w:rPr>
          <w:spacing w:val="-2"/>
        </w:rPr>
        <w:t> </w:t>
      </w:r>
      <w:r>
        <w:rPr>
          <w:spacing w:val="-8"/>
        </w:rPr>
        <w:t>new</w:t>
      </w:r>
      <w:r>
        <w:rPr>
          <w:spacing w:val="-2"/>
        </w:rPr>
        <w:t> </w:t>
      </w:r>
      <w:r>
        <w:rPr>
          <w:spacing w:val="-8"/>
        </w:rPr>
        <w:t>polytechnics</w:t>
      </w:r>
      <w:r>
        <w:rPr>
          <w:spacing w:val="-2"/>
        </w:rPr>
        <w:t> </w:t>
      </w:r>
      <w:r>
        <w:rPr>
          <w:spacing w:val="-8"/>
        </w:rPr>
        <w:t>will</w:t>
      </w:r>
      <w:r>
        <w:rPr>
          <w:spacing w:val="-2"/>
        </w:rPr>
        <w:t> </w:t>
      </w:r>
      <w:r>
        <w:rPr>
          <w:spacing w:val="-8"/>
        </w:rPr>
        <w:t>also </w:t>
      </w:r>
      <w:r>
        <w:rPr>
          <w:spacing w:val="-4"/>
        </w:rPr>
        <w:t>be</w:t>
      </w:r>
      <w:r>
        <w:rPr>
          <w:spacing w:val="-6"/>
        </w:rPr>
        <w:t> </w:t>
      </w:r>
      <w:r>
        <w:rPr>
          <w:spacing w:val="-4"/>
        </w:rPr>
        <w:t>set</w:t>
      </w:r>
      <w:r>
        <w:rPr>
          <w:spacing w:val="-6"/>
        </w:rPr>
        <w:t> </w:t>
      </w:r>
      <w:r>
        <w:rPr>
          <w:spacing w:val="-4"/>
        </w:rPr>
        <w:t>up.</w:t>
      </w:r>
      <w:r>
        <w:rPr>
          <w:spacing w:val="-6"/>
        </w:rPr>
        <w:t> </w:t>
      </w:r>
      <w:r>
        <w:rPr>
          <w:spacing w:val="-4"/>
        </w:rPr>
        <w:t>In</w:t>
      </w:r>
      <w:r>
        <w:rPr>
          <w:spacing w:val="-6"/>
        </w:rPr>
        <w:t> </w:t>
      </w:r>
      <w:r>
        <w:rPr>
          <w:spacing w:val="-4"/>
        </w:rPr>
        <w:t>establishing</w:t>
      </w:r>
      <w:r>
        <w:rPr>
          <w:spacing w:val="-6"/>
        </w:rPr>
        <w:t> </w:t>
      </w:r>
      <w:r>
        <w:rPr>
          <w:spacing w:val="-4"/>
        </w:rPr>
        <w:t>these</w:t>
      </w:r>
      <w:r>
        <w:rPr>
          <w:spacing w:val="-6"/>
        </w:rPr>
        <w:t> </w:t>
      </w:r>
      <w:r>
        <w:rPr>
          <w:spacing w:val="-4"/>
        </w:rPr>
        <w:t>institutions</w:t>
      </w:r>
      <w:r>
        <w:rPr>
          <w:spacing w:val="-6"/>
        </w:rPr>
        <w:t> </w:t>
      </w:r>
      <w:r>
        <w:rPr>
          <w:spacing w:val="-4"/>
        </w:rPr>
        <w:t>the</w:t>
      </w:r>
      <w:r>
        <w:rPr>
          <w:spacing w:val="-6"/>
        </w:rPr>
        <w:t> </w:t>
      </w:r>
      <w:r>
        <w:rPr>
          <w:spacing w:val="-4"/>
        </w:rPr>
        <w:t>scope</w:t>
      </w:r>
      <w:r>
        <w:rPr>
          <w:spacing w:val="-6"/>
        </w:rPr>
        <w:t> </w:t>
      </w:r>
      <w:r>
        <w:rPr>
          <w:spacing w:val="-4"/>
        </w:rPr>
        <w:t>for </w:t>
      </w:r>
      <w:r>
        <w:rPr/>
        <w:t>Public</w:t>
      </w:r>
      <w:r>
        <w:rPr>
          <w:spacing w:val="-3"/>
        </w:rPr>
        <w:t> </w:t>
      </w:r>
      <w:r>
        <w:rPr/>
        <w:t>Private</w:t>
      </w:r>
      <w:r>
        <w:rPr>
          <w:spacing w:val="-3"/>
        </w:rPr>
        <w:t> </w:t>
      </w:r>
      <w:r>
        <w:rPr/>
        <w:t>Partnership</w:t>
      </w:r>
      <w:r>
        <w:rPr>
          <w:spacing w:val="-3"/>
        </w:rPr>
        <w:t> </w:t>
      </w:r>
      <w:r>
        <w:rPr/>
        <w:t>will</w:t>
      </w:r>
      <w:r>
        <w:rPr>
          <w:spacing w:val="-3"/>
        </w:rPr>
        <w:t> </w:t>
      </w:r>
      <w:r>
        <w:rPr/>
        <w:t>be</w:t>
      </w:r>
      <w:r>
        <w:rPr>
          <w:spacing w:val="-3"/>
        </w:rPr>
        <w:t> </w:t>
      </w:r>
      <w:r>
        <w:rPr/>
        <w:t>explored.</w:t>
      </w:r>
      <w:r>
        <w:rPr>
          <w:spacing w:val="-9"/>
        </w:rPr>
        <w:t> </w:t>
      </w:r>
      <w:r>
        <w:rPr/>
        <w:t>The</w:t>
      </w:r>
      <w:r>
        <w:rPr>
          <w:spacing w:val="-3"/>
        </w:rPr>
        <w:t> </w:t>
      </w:r>
      <w:r>
        <w:rPr/>
        <w:t>Plan also recognises the need for the review of regulatory institutions such as the UGC, AICTE, MCI and BCI. </w:t>
      </w:r>
      <w:r>
        <w:rPr>
          <w:spacing w:val="-2"/>
        </w:rPr>
        <w:t>Subsequently,</w:t>
      </w:r>
      <w:r>
        <w:rPr>
          <w:spacing w:val="-14"/>
        </w:rPr>
        <w:t> </w:t>
      </w:r>
      <w:r>
        <w:rPr>
          <w:spacing w:val="-2"/>
        </w:rPr>
        <w:t>a</w:t>
      </w:r>
      <w:r>
        <w:rPr>
          <w:spacing w:val="-12"/>
        </w:rPr>
        <w:t> </w:t>
      </w:r>
      <w:r>
        <w:rPr>
          <w:spacing w:val="-2"/>
        </w:rPr>
        <w:t>High</w:t>
      </w:r>
      <w:r>
        <w:rPr>
          <w:spacing w:val="-12"/>
        </w:rPr>
        <w:t> </w:t>
      </w:r>
      <w:r>
        <w:rPr>
          <w:spacing w:val="-2"/>
        </w:rPr>
        <w:t>Level</w:t>
      </w:r>
      <w:r>
        <w:rPr>
          <w:spacing w:val="-11"/>
        </w:rPr>
        <w:t> </w:t>
      </w:r>
      <w:r>
        <w:rPr>
          <w:spacing w:val="-2"/>
        </w:rPr>
        <w:t>Committee</w:t>
      </w:r>
      <w:r>
        <w:rPr>
          <w:spacing w:val="-12"/>
        </w:rPr>
        <w:t> </w:t>
      </w:r>
      <w:r>
        <w:rPr>
          <w:spacing w:val="-2"/>
        </w:rPr>
        <w:t>has</w:t>
      </w:r>
      <w:r>
        <w:rPr>
          <w:spacing w:val="-12"/>
        </w:rPr>
        <w:t> </w:t>
      </w:r>
      <w:r>
        <w:rPr>
          <w:spacing w:val="-2"/>
        </w:rPr>
        <w:t>been</w:t>
      </w:r>
      <w:r>
        <w:rPr>
          <w:spacing w:val="-12"/>
        </w:rPr>
        <w:t> </w:t>
      </w:r>
      <w:r>
        <w:rPr>
          <w:spacing w:val="-2"/>
        </w:rPr>
        <w:t>set</w:t>
      </w:r>
      <w:r>
        <w:rPr>
          <w:spacing w:val="-11"/>
        </w:rPr>
        <w:t> </w:t>
      </w:r>
      <w:r>
        <w:rPr>
          <w:spacing w:val="-2"/>
        </w:rPr>
        <w:t>up </w:t>
      </w:r>
      <w:r>
        <w:rPr>
          <w:spacing w:val="-4"/>
        </w:rPr>
        <w:t>to</w:t>
      </w:r>
      <w:r>
        <w:rPr>
          <w:spacing w:val="-7"/>
        </w:rPr>
        <w:t> </w:t>
      </w:r>
      <w:r>
        <w:rPr>
          <w:spacing w:val="-4"/>
        </w:rPr>
        <w:t>suggest</w:t>
      </w:r>
      <w:r>
        <w:rPr>
          <w:spacing w:val="-7"/>
        </w:rPr>
        <w:t> </w:t>
      </w:r>
      <w:r>
        <w:rPr>
          <w:spacing w:val="-4"/>
        </w:rPr>
        <w:t>a</w:t>
      </w:r>
      <w:r>
        <w:rPr>
          <w:spacing w:val="-7"/>
        </w:rPr>
        <w:t> </w:t>
      </w:r>
      <w:r>
        <w:rPr>
          <w:spacing w:val="-4"/>
        </w:rPr>
        <w:t>specific</w:t>
      </w:r>
      <w:r>
        <w:rPr>
          <w:spacing w:val="-7"/>
        </w:rPr>
        <w:t> </w:t>
      </w:r>
      <w:r>
        <w:rPr>
          <w:spacing w:val="-4"/>
        </w:rPr>
        <w:t>reforms</w:t>
      </w:r>
      <w:r>
        <w:rPr>
          <w:spacing w:val="-7"/>
        </w:rPr>
        <w:t> </w:t>
      </w:r>
      <w:r>
        <w:rPr>
          <w:spacing w:val="-4"/>
        </w:rPr>
        <w:t>agenda</w:t>
      </w:r>
      <w:r>
        <w:rPr>
          <w:spacing w:val="-7"/>
        </w:rPr>
        <w:t> </w:t>
      </w:r>
      <w:r>
        <w:rPr>
          <w:spacing w:val="-4"/>
        </w:rPr>
        <w:t>in</w:t>
      </w:r>
      <w:r>
        <w:rPr>
          <w:spacing w:val="-7"/>
        </w:rPr>
        <w:t> </w:t>
      </w:r>
      <w:r>
        <w:rPr>
          <w:spacing w:val="-4"/>
        </w:rPr>
        <w:t>this</w:t>
      </w:r>
      <w:r>
        <w:rPr>
          <w:spacing w:val="-7"/>
        </w:rPr>
        <w:t> </w:t>
      </w:r>
      <w:r>
        <w:rPr>
          <w:spacing w:val="-4"/>
        </w:rPr>
        <w:t>context.</w:t>
      </w:r>
      <w:r>
        <w:rPr>
          <w:spacing w:val="-7"/>
        </w:rPr>
        <w:t> </w:t>
      </w:r>
      <w:r>
        <w:rPr>
          <w:spacing w:val="-4"/>
        </w:rPr>
        <w:t>For </w:t>
      </w:r>
      <w:r>
        <w:rPr>
          <w:w w:val="90"/>
        </w:rPr>
        <w:t>rejuvenation of research in Universities a National Science </w:t>
      </w:r>
      <w:r>
        <w:rPr>
          <w:spacing w:val="-6"/>
        </w:rPr>
        <w:t>&amp; Engineering Research Board is proposed. A provision </w:t>
      </w:r>
      <w:r>
        <w:rPr/>
        <w:t>of</w:t>
      </w:r>
      <w:r>
        <w:rPr>
          <w:spacing w:val="-11"/>
        </w:rPr>
        <w:t> </w:t>
      </w:r>
      <w:r>
        <w:rPr/>
        <w:t>Rs.</w:t>
      </w:r>
      <w:r>
        <w:rPr>
          <w:spacing w:val="-11"/>
        </w:rPr>
        <w:t> </w:t>
      </w:r>
      <w:r>
        <w:rPr/>
        <w:t>5,000</w:t>
      </w:r>
      <w:r>
        <w:rPr>
          <w:spacing w:val="-11"/>
        </w:rPr>
        <w:t> </w:t>
      </w:r>
      <w:r>
        <w:rPr/>
        <w:t>crore</w:t>
      </w:r>
      <w:r>
        <w:rPr>
          <w:spacing w:val="-11"/>
        </w:rPr>
        <w:t> </w:t>
      </w:r>
      <w:r>
        <w:rPr/>
        <w:t>has</w:t>
      </w:r>
      <w:r>
        <w:rPr>
          <w:spacing w:val="-11"/>
        </w:rPr>
        <w:t> </w:t>
      </w:r>
      <w:r>
        <w:rPr/>
        <w:t>been</w:t>
      </w:r>
      <w:r>
        <w:rPr>
          <w:spacing w:val="-11"/>
        </w:rPr>
        <w:t> </w:t>
      </w:r>
      <w:r>
        <w:rPr/>
        <w:t>made</w:t>
      </w:r>
      <w:r>
        <w:rPr>
          <w:spacing w:val="-11"/>
        </w:rPr>
        <w:t> </w:t>
      </w:r>
      <w:r>
        <w:rPr/>
        <w:t>in</w:t>
      </w:r>
      <w:r>
        <w:rPr>
          <w:spacing w:val="-11"/>
        </w:rPr>
        <w:t> </w:t>
      </w:r>
      <w:r>
        <w:rPr/>
        <w:t>the</w:t>
      </w:r>
      <w:r>
        <w:rPr>
          <w:spacing w:val="-11"/>
        </w:rPr>
        <w:t> </w:t>
      </w:r>
      <w:r>
        <w:rPr/>
        <w:t>Eleventh</w:t>
      </w:r>
      <w:r>
        <w:rPr>
          <w:spacing w:val="-11"/>
        </w:rPr>
        <w:t> </w:t>
      </w:r>
      <w:r>
        <w:rPr/>
        <w:t>Plan </w:t>
      </w:r>
      <w:r>
        <w:rPr>
          <w:spacing w:val="-2"/>
        </w:rPr>
        <w:t>for</w:t>
      </w:r>
      <w:r>
        <w:rPr>
          <w:spacing w:val="-12"/>
        </w:rPr>
        <w:t> </w:t>
      </w:r>
      <w:r>
        <w:rPr>
          <w:spacing w:val="-2"/>
        </w:rPr>
        <w:t>an</w:t>
      </w:r>
      <w:r>
        <w:rPr>
          <w:spacing w:val="-12"/>
        </w:rPr>
        <w:t> </w:t>
      </w:r>
      <w:r>
        <w:rPr>
          <w:spacing w:val="-2"/>
        </w:rPr>
        <w:t>‘Education</w:t>
      </w:r>
      <w:r>
        <w:rPr>
          <w:spacing w:val="-12"/>
        </w:rPr>
        <w:t> </w:t>
      </w:r>
      <w:r>
        <w:rPr>
          <w:spacing w:val="-2"/>
        </w:rPr>
        <w:t>Mission</w:t>
      </w:r>
      <w:r>
        <w:rPr>
          <w:spacing w:val="-11"/>
        </w:rPr>
        <w:t> </w:t>
      </w:r>
      <w:r>
        <w:rPr>
          <w:spacing w:val="-2"/>
        </w:rPr>
        <w:t>through</w:t>
      </w:r>
      <w:r>
        <w:rPr>
          <w:spacing w:val="-12"/>
        </w:rPr>
        <w:t> </w:t>
      </w:r>
      <w:r>
        <w:rPr>
          <w:spacing w:val="-2"/>
        </w:rPr>
        <w:t>ICT’</w:t>
      </w:r>
      <w:r>
        <w:rPr>
          <w:spacing w:val="-12"/>
        </w:rPr>
        <w:t> </w:t>
      </w:r>
      <w:r>
        <w:rPr>
          <w:spacing w:val="-2"/>
        </w:rPr>
        <w:t>to</w:t>
      </w:r>
      <w:r>
        <w:rPr>
          <w:spacing w:val="-12"/>
        </w:rPr>
        <w:t> </w:t>
      </w:r>
      <w:r>
        <w:rPr>
          <w:spacing w:val="-2"/>
        </w:rPr>
        <w:t>leverage</w:t>
      </w:r>
      <w:r>
        <w:rPr>
          <w:spacing w:val="-11"/>
        </w:rPr>
        <w:t> </w:t>
      </w:r>
      <w:r>
        <w:rPr>
          <w:spacing w:val="-2"/>
        </w:rPr>
        <w:t>the potential</w:t>
      </w:r>
      <w:r>
        <w:rPr>
          <w:spacing w:val="-10"/>
        </w:rPr>
        <w:t> </w:t>
      </w:r>
      <w:r>
        <w:rPr>
          <w:spacing w:val="-2"/>
        </w:rPr>
        <w:t>of</w:t>
      </w:r>
      <w:r>
        <w:rPr>
          <w:spacing w:val="-10"/>
        </w:rPr>
        <w:t> </w:t>
      </w:r>
      <w:r>
        <w:rPr>
          <w:spacing w:val="-2"/>
        </w:rPr>
        <w:t>ICT</w:t>
      </w:r>
      <w:r>
        <w:rPr>
          <w:spacing w:val="-10"/>
        </w:rPr>
        <w:t> </w:t>
      </w:r>
      <w:r>
        <w:rPr>
          <w:spacing w:val="-2"/>
        </w:rPr>
        <w:t>to</w:t>
      </w:r>
      <w:r>
        <w:rPr>
          <w:spacing w:val="-10"/>
        </w:rPr>
        <w:t> </w:t>
      </w:r>
      <w:r>
        <w:rPr>
          <w:spacing w:val="-2"/>
        </w:rPr>
        <w:t>enhance</w:t>
      </w:r>
      <w:r>
        <w:rPr>
          <w:spacing w:val="-10"/>
        </w:rPr>
        <w:t> </w:t>
      </w:r>
      <w:r>
        <w:rPr>
          <w:spacing w:val="-2"/>
        </w:rPr>
        <w:t>the</w:t>
      </w:r>
      <w:r>
        <w:rPr>
          <w:spacing w:val="-10"/>
        </w:rPr>
        <w:t> </w:t>
      </w:r>
      <w:r>
        <w:rPr>
          <w:spacing w:val="-2"/>
        </w:rPr>
        <w:t>Gross</w:t>
      </w:r>
      <w:r>
        <w:rPr>
          <w:spacing w:val="-10"/>
        </w:rPr>
        <w:t> </w:t>
      </w:r>
      <w:r>
        <w:rPr>
          <w:spacing w:val="-2"/>
        </w:rPr>
        <w:t>Enrolment</w:t>
      </w:r>
      <w:r>
        <w:rPr>
          <w:spacing w:val="-10"/>
        </w:rPr>
        <w:t> </w:t>
      </w:r>
      <w:r>
        <w:rPr>
          <w:spacing w:val="-2"/>
        </w:rPr>
        <w:t>Ratio </w:t>
      </w:r>
      <w:r>
        <w:rPr>
          <w:spacing w:val="-6"/>
        </w:rPr>
        <w:t>(GER)</w:t>
      </w:r>
      <w:r>
        <w:rPr>
          <w:spacing w:val="-8"/>
        </w:rPr>
        <w:t> </w:t>
      </w:r>
      <w:r>
        <w:rPr>
          <w:spacing w:val="-6"/>
        </w:rPr>
        <w:t>in Higher Education.</w:t>
      </w:r>
      <w:r>
        <w:rPr>
          <w:spacing w:val="-8"/>
        </w:rPr>
        <w:t> </w:t>
      </w:r>
      <w:r>
        <w:rPr>
          <w:spacing w:val="-6"/>
        </w:rPr>
        <w:t>The Plan also envisages the </w:t>
      </w:r>
      <w:r>
        <w:rPr/>
        <w:t>setting up of a National Knowledge Network (NKN) interconnecting all knowledge institutions in the </w:t>
      </w:r>
      <w:r>
        <w:rPr>
          <w:spacing w:val="-2"/>
        </w:rPr>
        <w:t>country</w:t>
      </w:r>
      <w:r>
        <w:rPr>
          <w:spacing w:val="-6"/>
        </w:rPr>
        <w:t> </w:t>
      </w:r>
      <w:r>
        <w:rPr>
          <w:spacing w:val="-2"/>
        </w:rPr>
        <w:t>with</w:t>
      </w:r>
      <w:r>
        <w:rPr>
          <w:spacing w:val="-7"/>
        </w:rPr>
        <w:t> </w:t>
      </w:r>
      <w:r>
        <w:rPr>
          <w:spacing w:val="-2"/>
        </w:rPr>
        <w:t>gigabit</w:t>
      </w:r>
      <w:r>
        <w:rPr>
          <w:spacing w:val="-6"/>
        </w:rPr>
        <w:t> </w:t>
      </w:r>
      <w:r>
        <w:rPr>
          <w:spacing w:val="-2"/>
        </w:rPr>
        <w:t>capabilities,</w:t>
      </w:r>
      <w:r>
        <w:rPr>
          <w:spacing w:val="-7"/>
        </w:rPr>
        <w:t> </w:t>
      </w:r>
      <w:r>
        <w:rPr>
          <w:spacing w:val="-2"/>
        </w:rPr>
        <w:t>for</w:t>
      </w:r>
      <w:r>
        <w:rPr>
          <w:spacing w:val="-6"/>
        </w:rPr>
        <w:t> </w:t>
      </w:r>
      <w:r>
        <w:rPr>
          <w:spacing w:val="-2"/>
        </w:rPr>
        <w:t>sharing</w:t>
      </w:r>
      <w:r>
        <w:rPr>
          <w:spacing w:val="-7"/>
        </w:rPr>
        <w:t> </w:t>
      </w:r>
      <w:r>
        <w:rPr>
          <w:spacing w:val="-2"/>
        </w:rPr>
        <w:t>resources </w:t>
      </w:r>
      <w:r>
        <w:rPr/>
        <w:t>and research. To operationalise the first phase of the NKN, 1000 institutions would be linked up.</w:t>
      </w:r>
    </w:p>
    <w:p>
      <w:pPr>
        <w:pStyle w:val="BodyText"/>
        <w:spacing w:before="7"/>
      </w:pPr>
    </w:p>
    <w:p>
      <w:pPr>
        <w:pStyle w:val="BodyText"/>
        <w:spacing w:line="266" w:lineRule="auto"/>
        <w:ind w:left="319" w:right="1077"/>
        <w:jc w:val="both"/>
      </w:pPr>
      <w:r>
        <w:rPr/>
        <w:t>The Plan also makes a commitment to </w:t>
      </w:r>
      <w:r>
        <w:rPr/>
        <w:t>improve public libraries and create a National Translation Mission</w:t>
      </w:r>
      <w:r>
        <w:rPr>
          <w:spacing w:val="-14"/>
        </w:rPr>
        <w:t> </w:t>
      </w:r>
      <w:r>
        <w:rPr/>
        <w:t>for</w:t>
      </w:r>
      <w:r>
        <w:rPr>
          <w:spacing w:val="-14"/>
        </w:rPr>
        <w:t> </w:t>
      </w:r>
      <w:r>
        <w:rPr/>
        <w:t>promoting</w:t>
      </w:r>
      <w:r>
        <w:rPr>
          <w:spacing w:val="-14"/>
        </w:rPr>
        <w:t> </w:t>
      </w:r>
      <w:r>
        <w:rPr/>
        <w:t>Translator</w:t>
      </w:r>
      <w:r>
        <w:rPr>
          <w:spacing w:val="-13"/>
        </w:rPr>
        <w:t> </w:t>
      </w:r>
      <w:r>
        <w:rPr/>
        <w:t>education</w:t>
      </w:r>
      <w:r>
        <w:rPr>
          <w:spacing w:val="-14"/>
        </w:rPr>
        <w:t> </w:t>
      </w:r>
      <w:r>
        <w:rPr/>
        <w:t>including specialised courses in translation technology. The Government has approved the setting up of a National</w:t>
      </w:r>
      <w:r>
        <w:rPr>
          <w:spacing w:val="40"/>
        </w:rPr>
        <w:t> </w:t>
      </w:r>
      <w:r>
        <w:rPr/>
        <w:t>Translation</w:t>
      </w:r>
      <w:r>
        <w:rPr>
          <w:spacing w:val="40"/>
        </w:rPr>
        <w:t> </w:t>
      </w:r>
      <w:r>
        <w:rPr/>
        <w:t>Mission</w:t>
      </w:r>
      <w:r>
        <w:rPr>
          <w:spacing w:val="40"/>
        </w:rPr>
        <w:t> </w:t>
      </w:r>
      <w:r>
        <w:rPr/>
        <w:t>with</w:t>
      </w:r>
      <w:r>
        <w:rPr>
          <w:spacing w:val="40"/>
        </w:rPr>
        <w:t> </w:t>
      </w:r>
      <w:r>
        <w:rPr/>
        <w:t>an</w:t>
      </w:r>
      <w:r>
        <w:rPr>
          <w:spacing w:val="40"/>
        </w:rPr>
        <w:t> </w:t>
      </w:r>
      <w:r>
        <w:rPr/>
        <w:t>outlay</w:t>
      </w:r>
      <w:r>
        <w:rPr>
          <w:spacing w:val="40"/>
        </w:rPr>
        <w:t> </w:t>
      </w:r>
      <w:r>
        <w:rPr/>
        <w:t>of</w:t>
      </w:r>
      <w:r>
        <w:rPr>
          <w:spacing w:val="40"/>
        </w:rPr>
        <w:t> </w:t>
      </w:r>
      <w:r>
        <w:rPr/>
        <w:t>Rs. 73.97 crore for the Plan period, under the aegis</w:t>
      </w:r>
      <w:r>
        <w:rPr>
          <w:spacing w:val="40"/>
        </w:rPr>
        <w:t> </w:t>
      </w:r>
      <w:r>
        <w:rPr/>
        <w:t>of the Central Institute of Indian Languages (CIIL), </w:t>
      </w:r>
      <w:r>
        <w:rPr>
          <w:spacing w:val="-2"/>
        </w:rPr>
        <w:t>Mysore.</w:t>
      </w:r>
      <w:r>
        <w:rPr>
          <w:spacing w:val="-12"/>
        </w:rPr>
        <w:t> </w:t>
      </w:r>
      <w:r>
        <w:rPr>
          <w:spacing w:val="-2"/>
        </w:rPr>
        <w:t>The</w:t>
      </w:r>
      <w:r>
        <w:rPr>
          <w:spacing w:val="-9"/>
        </w:rPr>
        <w:t> </w:t>
      </w:r>
      <w:r>
        <w:rPr>
          <w:spacing w:val="-2"/>
        </w:rPr>
        <w:t>process</w:t>
      </w:r>
      <w:r>
        <w:rPr>
          <w:spacing w:val="-7"/>
        </w:rPr>
        <w:t> </w:t>
      </w:r>
      <w:r>
        <w:rPr>
          <w:spacing w:val="-2"/>
        </w:rPr>
        <w:t>for</w:t>
      </w:r>
      <w:r>
        <w:rPr>
          <w:spacing w:val="-7"/>
        </w:rPr>
        <w:t> </w:t>
      </w:r>
      <w:r>
        <w:rPr>
          <w:spacing w:val="-2"/>
        </w:rPr>
        <w:t>launching</w:t>
      </w:r>
      <w:r>
        <w:rPr>
          <w:spacing w:val="-7"/>
        </w:rPr>
        <w:t> </w:t>
      </w:r>
      <w:r>
        <w:rPr>
          <w:spacing w:val="-2"/>
        </w:rPr>
        <w:t>a</w:t>
      </w:r>
      <w:r>
        <w:rPr>
          <w:spacing w:val="-7"/>
        </w:rPr>
        <w:t> </w:t>
      </w:r>
      <w:r>
        <w:rPr>
          <w:spacing w:val="-2"/>
        </w:rPr>
        <w:t>National</w:t>
      </w:r>
      <w:r>
        <w:rPr>
          <w:spacing w:val="-7"/>
        </w:rPr>
        <w:t> </w:t>
      </w:r>
      <w:r>
        <w:rPr>
          <w:spacing w:val="-2"/>
        </w:rPr>
        <w:t>Mission </w:t>
      </w:r>
      <w:r>
        <w:rPr/>
        <w:t>on Libraries is also underway.</w:t>
      </w:r>
    </w:p>
    <w:p>
      <w:pPr>
        <w:pStyle w:val="BodyText"/>
        <w:spacing w:before="19"/>
      </w:pPr>
    </w:p>
    <w:p>
      <w:pPr>
        <w:pStyle w:val="BodyText"/>
        <w:spacing w:line="266" w:lineRule="auto"/>
        <w:ind w:left="319" w:right="1077"/>
        <w:jc w:val="both"/>
      </w:pPr>
      <w:r>
        <w:rPr>
          <w:spacing w:val="-6"/>
        </w:rPr>
        <w:t>Emphasis has also been laid on strengthening traditional </w:t>
      </w:r>
      <w:r>
        <w:rPr/>
        <w:t>heath</w:t>
      </w:r>
      <w:r>
        <w:rPr>
          <w:spacing w:val="-4"/>
        </w:rPr>
        <w:t> </w:t>
      </w:r>
      <w:r>
        <w:rPr/>
        <w:t>systems</w:t>
      </w:r>
      <w:r>
        <w:rPr>
          <w:spacing w:val="-5"/>
        </w:rPr>
        <w:t> </w:t>
      </w:r>
      <w:r>
        <w:rPr/>
        <w:t>such</w:t>
      </w:r>
      <w:r>
        <w:rPr>
          <w:spacing w:val="-4"/>
        </w:rPr>
        <w:t> </w:t>
      </w:r>
      <w:r>
        <w:rPr/>
        <w:t>as</w:t>
      </w:r>
      <w:r>
        <w:rPr>
          <w:spacing w:val="-5"/>
        </w:rPr>
        <w:t> </w:t>
      </w:r>
      <w:r>
        <w:rPr/>
        <w:t>AYUSH</w:t>
      </w:r>
      <w:r>
        <w:rPr>
          <w:spacing w:val="-4"/>
        </w:rPr>
        <w:t> </w:t>
      </w:r>
      <w:r>
        <w:rPr/>
        <w:t>in</w:t>
      </w:r>
      <w:r>
        <w:rPr>
          <w:spacing w:val="-5"/>
        </w:rPr>
        <w:t> </w:t>
      </w:r>
      <w:r>
        <w:rPr/>
        <w:t>the</w:t>
      </w:r>
      <w:r>
        <w:rPr>
          <w:spacing w:val="-4"/>
        </w:rPr>
        <w:t> </w:t>
      </w:r>
      <w:r>
        <w:rPr/>
        <w:t>National</w:t>
      </w:r>
      <w:r>
        <w:rPr>
          <w:spacing w:val="-5"/>
        </w:rPr>
        <w:t> </w:t>
      </w:r>
      <w:r>
        <w:rPr/>
        <w:t>health programs and improving IPR, with the ultimate aim of enhancing the outreach of AYUSH health care in an accessible, acceptable, affordable and qualitative </w:t>
      </w:r>
      <w:r>
        <w:rPr>
          <w:spacing w:val="-2"/>
        </w:rPr>
        <w:t>manner.</w:t>
      </w:r>
    </w:p>
    <w:p>
      <w:pPr>
        <w:pStyle w:val="BodyText"/>
        <w:spacing w:before="22"/>
      </w:pPr>
    </w:p>
    <w:p>
      <w:pPr>
        <w:pStyle w:val="BodyText"/>
        <w:spacing w:line="266" w:lineRule="auto"/>
        <w:ind w:left="319" w:right="1077"/>
        <w:jc w:val="both"/>
      </w:pPr>
      <w:r>
        <w:rPr/>
        <w:t>Provisions</w:t>
      </w:r>
      <w:r>
        <w:rPr>
          <w:spacing w:val="-10"/>
        </w:rPr>
        <w:t> </w:t>
      </w:r>
      <w:r>
        <w:rPr/>
        <w:t>for</w:t>
      </w:r>
      <w:r>
        <w:rPr>
          <w:spacing w:val="-10"/>
        </w:rPr>
        <w:t> </w:t>
      </w:r>
      <w:r>
        <w:rPr/>
        <w:t>strengthening</w:t>
      </w:r>
      <w:r>
        <w:rPr>
          <w:spacing w:val="-10"/>
        </w:rPr>
        <w:t> </w:t>
      </w:r>
      <w:r>
        <w:rPr/>
        <w:t>IPR</w:t>
      </w:r>
      <w:r>
        <w:rPr>
          <w:spacing w:val="-10"/>
        </w:rPr>
        <w:t> </w:t>
      </w:r>
      <w:r>
        <w:rPr/>
        <w:t>in</w:t>
      </w:r>
      <w:r>
        <w:rPr>
          <w:spacing w:val="-10"/>
        </w:rPr>
        <w:t> </w:t>
      </w:r>
      <w:r>
        <w:rPr/>
        <w:t>the</w:t>
      </w:r>
      <w:r>
        <w:rPr>
          <w:spacing w:val="-10"/>
        </w:rPr>
        <w:t> </w:t>
      </w:r>
      <w:r>
        <w:rPr/>
        <w:t>Eleventh</w:t>
      </w:r>
      <w:r>
        <w:rPr>
          <w:spacing w:val="-10"/>
        </w:rPr>
        <w:t> </w:t>
      </w:r>
      <w:r>
        <w:rPr/>
        <w:t>Plan </w:t>
      </w:r>
      <w:r>
        <w:rPr>
          <w:spacing w:val="-2"/>
        </w:rPr>
        <w:t>include</w:t>
      </w:r>
      <w:r>
        <w:rPr>
          <w:spacing w:val="-12"/>
        </w:rPr>
        <w:t> </w:t>
      </w:r>
      <w:r>
        <w:rPr>
          <w:spacing w:val="-2"/>
        </w:rPr>
        <w:t>undertaking</w:t>
      </w:r>
      <w:r>
        <w:rPr>
          <w:spacing w:val="-12"/>
        </w:rPr>
        <w:t> </w:t>
      </w:r>
      <w:r>
        <w:rPr>
          <w:spacing w:val="-2"/>
        </w:rPr>
        <w:t>the</w:t>
      </w:r>
      <w:r>
        <w:rPr>
          <w:spacing w:val="-12"/>
        </w:rPr>
        <w:t> </w:t>
      </w:r>
      <w:r>
        <w:rPr>
          <w:spacing w:val="-2"/>
        </w:rPr>
        <w:t>second</w:t>
      </w:r>
      <w:r>
        <w:rPr>
          <w:spacing w:val="-11"/>
        </w:rPr>
        <w:t> </w:t>
      </w:r>
      <w:r>
        <w:rPr>
          <w:spacing w:val="-2"/>
        </w:rPr>
        <w:t>phase</w:t>
      </w:r>
      <w:r>
        <w:rPr>
          <w:spacing w:val="-12"/>
        </w:rPr>
        <w:t> </w:t>
      </w:r>
      <w:r>
        <w:rPr>
          <w:spacing w:val="-2"/>
        </w:rPr>
        <w:t>of</w:t>
      </w:r>
      <w:r>
        <w:rPr>
          <w:spacing w:val="-12"/>
        </w:rPr>
        <w:t> </w:t>
      </w:r>
      <w:r>
        <w:rPr>
          <w:spacing w:val="-2"/>
        </w:rPr>
        <w:t>modernisation </w:t>
      </w:r>
      <w:r>
        <w:rPr/>
        <w:t>of IP offices.</w:t>
      </w:r>
      <w:r>
        <w:rPr>
          <w:spacing w:val="-4"/>
        </w:rPr>
        <w:t> </w:t>
      </w:r>
      <w:r>
        <w:rPr/>
        <w:t>This would specifically seek to address the</w:t>
      </w:r>
      <w:r>
        <w:rPr>
          <w:spacing w:val="16"/>
        </w:rPr>
        <w:t> </w:t>
      </w:r>
      <w:r>
        <w:rPr/>
        <w:t>needs</w:t>
      </w:r>
      <w:r>
        <w:rPr>
          <w:spacing w:val="16"/>
        </w:rPr>
        <w:t> </w:t>
      </w:r>
      <w:r>
        <w:rPr/>
        <w:t>of</w:t>
      </w:r>
      <w:r>
        <w:rPr>
          <w:spacing w:val="16"/>
        </w:rPr>
        <w:t> </w:t>
      </w:r>
      <w:r>
        <w:rPr/>
        <w:t>human</w:t>
      </w:r>
      <w:r>
        <w:rPr>
          <w:spacing w:val="16"/>
        </w:rPr>
        <w:t> </w:t>
      </w:r>
      <w:r>
        <w:rPr/>
        <w:t>resources</w:t>
      </w:r>
      <w:r>
        <w:rPr>
          <w:spacing w:val="16"/>
        </w:rPr>
        <w:t> </w:t>
      </w:r>
      <w:r>
        <w:rPr/>
        <w:t>development,</w:t>
      </w:r>
      <w:r>
        <w:rPr>
          <w:spacing w:val="16"/>
        </w:rPr>
        <w:t> </w:t>
      </w:r>
      <w:r>
        <w:rPr>
          <w:spacing w:val="-2"/>
        </w:rPr>
        <w:t>training</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t>and</w:t>
      </w:r>
      <w:r>
        <w:rPr>
          <w:spacing w:val="-14"/>
        </w:rPr>
        <w:t> </w:t>
      </w:r>
      <w:r>
        <w:rPr/>
        <w:t>awareness</w:t>
      </w:r>
      <w:r>
        <w:rPr>
          <w:spacing w:val="-14"/>
        </w:rPr>
        <w:t> </w:t>
      </w:r>
      <w:r>
        <w:rPr/>
        <w:t>and</w:t>
      </w:r>
      <w:r>
        <w:rPr>
          <w:spacing w:val="-13"/>
        </w:rPr>
        <w:t> </w:t>
      </w:r>
      <w:r>
        <w:rPr/>
        <w:t>also</w:t>
      </w:r>
      <w:r>
        <w:rPr>
          <w:spacing w:val="-14"/>
        </w:rPr>
        <w:t> </w:t>
      </w:r>
      <w:r>
        <w:rPr/>
        <w:t>infrastructure,</w:t>
      </w:r>
      <w:r>
        <w:rPr>
          <w:spacing w:val="-14"/>
        </w:rPr>
        <w:t> </w:t>
      </w:r>
      <w:r>
        <w:rPr/>
        <w:t>besides</w:t>
      </w:r>
      <w:r>
        <w:rPr>
          <w:spacing w:val="-13"/>
        </w:rPr>
        <w:t> </w:t>
      </w:r>
      <w:r>
        <w:rPr/>
        <w:t>regular updating of the IT facilities.</w:t>
      </w:r>
    </w:p>
    <w:p>
      <w:pPr>
        <w:pStyle w:val="BodyText"/>
        <w:spacing w:before="26"/>
      </w:pPr>
    </w:p>
    <w:p>
      <w:pPr>
        <w:pStyle w:val="BodyText"/>
        <w:spacing w:line="266" w:lineRule="auto"/>
        <w:ind w:left="1080"/>
        <w:jc w:val="both"/>
      </w:pPr>
      <w:r>
        <w:rPr/>
        <w:t>The Eleventh Plan also recognises the need for an appropriate legislative framework for incentivising the innovators and commercialisation of public funded R&amp;D where the Government, the recipients of funds, the inventor as well as the public benefit from</w:t>
      </w:r>
      <w:r>
        <w:rPr>
          <w:spacing w:val="40"/>
        </w:rPr>
        <w:t> </w:t>
      </w:r>
      <w:r>
        <w:rPr/>
        <w:t>the</w:t>
      </w:r>
      <w:r>
        <w:rPr>
          <w:spacing w:val="40"/>
        </w:rPr>
        <w:t> </w:t>
      </w:r>
      <w:r>
        <w:rPr/>
        <w:t>protection</w:t>
      </w:r>
      <w:r>
        <w:rPr>
          <w:spacing w:val="40"/>
        </w:rPr>
        <w:t> </w:t>
      </w:r>
      <w:r>
        <w:rPr/>
        <w:t>and</w:t>
      </w:r>
      <w:r>
        <w:rPr>
          <w:spacing w:val="40"/>
        </w:rPr>
        <w:t> </w:t>
      </w:r>
      <w:r>
        <w:rPr/>
        <w:t>commercialisation</w:t>
      </w:r>
      <w:r>
        <w:rPr>
          <w:spacing w:val="40"/>
        </w:rPr>
        <w:t> </w:t>
      </w:r>
      <w:r>
        <w:rPr/>
        <w:t>of</w:t>
      </w:r>
      <w:r>
        <w:rPr>
          <w:spacing w:val="40"/>
        </w:rPr>
        <w:t> </w:t>
      </w:r>
      <w:r>
        <w:rPr/>
        <w:t>IP. A Bill on the subject is expected to be introduced in the Parliament.</w:t>
      </w:r>
    </w:p>
    <w:p>
      <w:pPr>
        <w:pStyle w:val="BodyText"/>
        <w:spacing w:before="20"/>
      </w:pPr>
    </w:p>
    <w:p>
      <w:pPr>
        <w:pStyle w:val="BodyText"/>
        <w:spacing w:line="266" w:lineRule="auto"/>
        <w:ind w:left="1080"/>
        <w:jc w:val="both"/>
      </w:pPr>
      <w:r>
        <w:rPr/>
        <w:t>Understanding</w:t>
      </w:r>
      <w:r>
        <w:rPr>
          <w:spacing w:val="-12"/>
        </w:rPr>
        <w:t> </w:t>
      </w:r>
      <w:r>
        <w:rPr/>
        <w:t>the</w:t>
      </w:r>
      <w:r>
        <w:rPr>
          <w:spacing w:val="-12"/>
        </w:rPr>
        <w:t> </w:t>
      </w:r>
      <w:r>
        <w:rPr/>
        <w:t>importance</w:t>
      </w:r>
      <w:r>
        <w:rPr>
          <w:spacing w:val="-12"/>
        </w:rPr>
        <w:t> </w:t>
      </w:r>
      <w:r>
        <w:rPr/>
        <w:t>of</w:t>
      </w:r>
      <w:r>
        <w:rPr>
          <w:spacing w:val="-12"/>
        </w:rPr>
        <w:t> </w:t>
      </w:r>
      <w:r>
        <w:rPr/>
        <w:t>innovation,</w:t>
      </w:r>
      <w:r>
        <w:rPr>
          <w:spacing w:val="-12"/>
        </w:rPr>
        <w:t> </w:t>
      </w:r>
      <w:r>
        <w:rPr/>
        <w:t>the</w:t>
      </w:r>
      <w:r>
        <w:rPr>
          <w:spacing w:val="-12"/>
        </w:rPr>
        <w:t> </w:t>
      </w:r>
      <w:r>
        <w:rPr/>
        <w:t>Plan emphasises</w:t>
      </w:r>
      <w:r>
        <w:rPr>
          <w:spacing w:val="1"/>
        </w:rPr>
        <w:t> </w:t>
      </w:r>
      <w:r>
        <w:rPr/>
        <w:t>the</w:t>
      </w:r>
      <w:r>
        <w:rPr>
          <w:spacing w:val="2"/>
        </w:rPr>
        <w:t> </w:t>
      </w:r>
      <w:r>
        <w:rPr/>
        <w:t>need</w:t>
      </w:r>
      <w:r>
        <w:rPr>
          <w:spacing w:val="1"/>
        </w:rPr>
        <w:t> </w:t>
      </w:r>
      <w:r>
        <w:rPr/>
        <w:t>for</w:t>
      </w:r>
      <w:r>
        <w:rPr>
          <w:spacing w:val="2"/>
        </w:rPr>
        <w:t> </w:t>
      </w:r>
      <w:r>
        <w:rPr/>
        <w:t>a</w:t>
      </w:r>
      <w:r>
        <w:rPr>
          <w:spacing w:val="1"/>
        </w:rPr>
        <w:t> </w:t>
      </w:r>
      <w:r>
        <w:rPr/>
        <w:t>National</w:t>
      </w:r>
      <w:r>
        <w:rPr>
          <w:spacing w:val="2"/>
        </w:rPr>
        <w:t> </w:t>
      </w:r>
      <w:r>
        <w:rPr/>
        <w:t>Innovation</w:t>
      </w:r>
      <w:r>
        <w:rPr>
          <w:spacing w:val="2"/>
        </w:rPr>
        <w:t> </w:t>
      </w:r>
      <w:r>
        <w:rPr>
          <w:spacing w:val="-6"/>
        </w:rPr>
        <w:t>Policy</w:t>
      </w:r>
    </w:p>
    <w:p>
      <w:pPr>
        <w:pStyle w:val="BodyText"/>
        <w:spacing w:line="266" w:lineRule="auto" w:before="57"/>
        <w:ind w:left="319" w:right="1077"/>
        <w:jc w:val="both"/>
      </w:pPr>
      <w:r>
        <w:rPr/>
        <w:br w:type="column"/>
      </w:r>
      <w:r>
        <w:rPr/>
        <w:t>which encourages competition among enterprises, greater</w:t>
      </w:r>
      <w:r>
        <w:rPr>
          <w:spacing w:val="-6"/>
        </w:rPr>
        <w:t> </w:t>
      </w:r>
      <w:r>
        <w:rPr/>
        <w:t>diffusion</w:t>
      </w:r>
      <w:r>
        <w:rPr>
          <w:spacing w:val="-6"/>
        </w:rPr>
        <w:t> </w:t>
      </w:r>
      <w:r>
        <w:rPr/>
        <w:t>of</w:t>
      </w:r>
      <w:r>
        <w:rPr>
          <w:spacing w:val="-6"/>
        </w:rPr>
        <w:t> </w:t>
      </w:r>
      <w:r>
        <w:rPr/>
        <w:t>knowledge</w:t>
      </w:r>
      <w:r>
        <w:rPr>
          <w:spacing w:val="-6"/>
        </w:rPr>
        <w:t> </w:t>
      </w:r>
      <w:r>
        <w:rPr/>
        <w:t>and</w:t>
      </w:r>
      <w:r>
        <w:rPr>
          <w:spacing w:val="-6"/>
        </w:rPr>
        <w:t> </w:t>
      </w:r>
      <w:r>
        <w:rPr/>
        <w:t>increased</w:t>
      </w:r>
      <w:r>
        <w:rPr>
          <w:spacing w:val="-6"/>
        </w:rPr>
        <w:t> </w:t>
      </w:r>
      <w:r>
        <w:rPr/>
        <w:t>support to</w:t>
      </w:r>
      <w:r>
        <w:rPr>
          <w:spacing w:val="-6"/>
        </w:rPr>
        <w:t> </w:t>
      </w:r>
      <w:r>
        <w:rPr/>
        <w:t>early</w:t>
      </w:r>
      <w:r>
        <w:rPr>
          <w:spacing w:val="-6"/>
        </w:rPr>
        <w:t> </w:t>
      </w:r>
      <w:r>
        <w:rPr/>
        <w:t>stage</w:t>
      </w:r>
      <w:r>
        <w:rPr>
          <w:spacing w:val="-6"/>
        </w:rPr>
        <w:t> </w:t>
      </w:r>
      <w:r>
        <w:rPr/>
        <w:t>technology</w:t>
      </w:r>
      <w:r>
        <w:rPr>
          <w:spacing w:val="-6"/>
        </w:rPr>
        <w:t> </w:t>
      </w:r>
      <w:r>
        <w:rPr/>
        <w:t>development</w:t>
      </w:r>
      <w:r>
        <w:rPr>
          <w:spacing w:val="-6"/>
        </w:rPr>
        <w:t> </w:t>
      </w:r>
      <w:r>
        <w:rPr/>
        <w:t>initiatives</w:t>
      </w:r>
      <w:r>
        <w:rPr>
          <w:spacing w:val="-6"/>
        </w:rPr>
        <w:t> </w:t>
      </w:r>
      <w:r>
        <w:rPr/>
        <w:t>and grassroots level innovators.</w:t>
      </w:r>
    </w:p>
    <w:p>
      <w:pPr>
        <w:pStyle w:val="BodyText"/>
        <w:spacing w:before="24"/>
      </w:pPr>
    </w:p>
    <w:p>
      <w:pPr>
        <w:pStyle w:val="BodyText"/>
        <w:spacing w:line="266" w:lineRule="auto"/>
        <w:ind w:left="319" w:right="1077"/>
        <w:jc w:val="both"/>
      </w:pPr>
      <w:r>
        <w:rPr>
          <w:spacing w:val="-4"/>
        </w:rPr>
        <w:t>NKC</w:t>
      </w:r>
      <w:r>
        <w:rPr>
          <w:spacing w:val="-5"/>
        </w:rPr>
        <w:t> </w:t>
      </w:r>
      <w:r>
        <w:rPr>
          <w:spacing w:val="-4"/>
        </w:rPr>
        <w:t>recommendations</w:t>
      </w:r>
      <w:r>
        <w:rPr>
          <w:spacing w:val="-5"/>
        </w:rPr>
        <w:t> </w:t>
      </w:r>
      <w:r>
        <w:rPr>
          <w:spacing w:val="-4"/>
        </w:rPr>
        <w:t>on</w:t>
      </w:r>
      <w:r>
        <w:rPr>
          <w:spacing w:val="-5"/>
        </w:rPr>
        <w:t> </w:t>
      </w:r>
      <w:r>
        <w:rPr>
          <w:spacing w:val="-4"/>
        </w:rPr>
        <w:t>e-Governance</w:t>
      </w:r>
      <w:r>
        <w:rPr>
          <w:spacing w:val="-5"/>
        </w:rPr>
        <w:t> </w:t>
      </w:r>
      <w:r>
        <w:rPr>
          <w:spacing w:val="-4"/>
        </w:rPr>
        <w:t>were</w:t>
      </w:r>
      <w:r>
        <w:rPr>
          <w:spacing w:val="-5"/>
        </w:rPr>
        <w:t> </w:t>
      </w:r>
      <w:r>
        <w:rPr>
          <w:spacing w:val="-4"/>
        </w:rPr>
        <w:t>broadly </w:t>
      </w:r>
      <w:r>
        <w:rPr/>
        <w:t>endorsed</w:t>
      </w:r>
      <w:r>
        <w:rPr>
          <w:spacing w:val="-14"/>
        </w:rPr>
        <w:t> </w:t>
      </w:r>
      <w:r>
        <w:rPr/>
        <w:t>by</w:t>
      </w:r>
      <w:r>
        <w:rPr>
          <w:spacing w:val="-14"/>
        </w:rPr>
        <w:t> </w:t>
      </w:r>
      <w:r>
        <w:rPr/>
        <w:t>the</w:t>
      </w:r>
      <w:r>
        <w:rPr>
          <w:spacing w:val="-14"/>
        </w:rPr>
        <w:t> </w:t>
      </w:r>
      <w:r>
        <w:rPr/>
        <w:t>government</w:t>
      </w:r>
      <w:r>
        <w:rPr>
          <w:spacing w:val="-13"/>
        </w:rPr>
        <w:t> </w:t>
      </w:r>
      <w:r>
        <w:rPr/>
        <w:t>and</w:t>
      </w:r>
      <w:r>
        <w:rPr>
          <w:spacing w:val="-14"/>
        </w:rPr>
        <w:t> </w:t>
      </w:r>
      <w:r>
        <w:rPr/>
        <w:t>incorporated</w:t>
      </w:r>
      <w:r>
        <w:rPr>
          <w:spacing w:val="-14"/>
        </w:rPr>
        <w:t> </w:t>
      </w:r>
      <w:r>
        <w:rPr/>
        <w:t>into</w:t>
      </w:r>
      <w:r>
        <w:rPr>
          <w:spacing w:val="-14"/>
        </w:rPr>
        <w:t> </w:t>
      </w:r>
      <w:r>
        <w:rPr/>
        <w:t>the National e-Governance Plan (NeGP). As part of the </w:t>
      </w:r>
      <w:r>
        <w:rPr>
          <w:spacing w:val="-4"/>
        </w:rPr>
        <w:t>Program</w:t>
      </w:r>
      <w:r>
        <w:rPr>
          <w:spacing w:val="-10"/>
        </w:rPr>
        <w:t> </w:t>
      </w:r>
      <w:r>
        <w:rPr>
          <w:spacing w:val="-4"/>
        </w:rPr>
        <w:t>Management</w:t>
      </w:r>
      <w:r>
        <w:rPr>
          <w:spacing w:val="-10"/>
        </w:rPr>
        <w:t> </w:t>
      </w:r>
      <w:r>
        <w:rPr>
          <w:spacing w:val="-4"/>
        </w:rPr>
        <w:t>Structure</w:t>
      </w:r>
      <w:r>
        <w:rPr>
          <w:spacing w:val="-10"/>
        </w:rPr>
        <w:t> </w:t>
      </w:r>
      <w:r>
        <w:rPr>
          <w:spacing w:val="-4"/>
        </w:rPr>
        <w:t>for</w:t>
      </w:r>
      <w:r>
        <w:rPr>
          <w:spacing w:val="-9"/>
        </w:rPr>
        <w:t> </w:t>
      </w:r>
      <w:r>
        <w:rPr>
          <w:spacing w:val="-4"/>
        </w:rPr>
        <w:t>the</w:t>
      </w:r>
      <w:r>
        <w:rPr>
          <w:spacing w:val="-10"/>
        </w:rPr>
        <w:t> </w:t>
      </w:r>
      <w:r>
        <w:rPr>
          <w:spacing w:val="-4"/>
        </w:rPr>
        <w:t>implementation of</w:t>
      </w:r>
      <w:r>
        <w:rPr>
          <w:spacing w:val="-10"/>
        </w:rPr>
        <w:t> </w:t>
      </w:r>
      <w:r>
        <w:rPr>
          <w:spacing w:val="-4"/>
        </w:rPr>
        <w:t>NeGP,</w:t>
      </w:r>
      <w:r>
        <w:rPr>
          <w:spacing w:val="-10"/>
        </w:rPr>
        <w:t> </w:t>
      </w:r>
      <w:r>
        <w:rPr>
          <w:spacing w:val="-4"/>
        </w:rPr>
        <w:t>the</w:t>
      </w:r>
      <w:r>
        <w:rPr>
          <w:spacing w:val="-9"/>
        </w:rPr>
        <w:t> </w:t>
      </w:r>
      <w:r>
        <w:rPr>
          <w:spacing w:val="-4"/>
        </w:rPr>
        <w:t>Cabinet</w:t>
      </w:r>
      <w:r>
        <w:rPr>
          <w:spacing w:val="-10"/>
        </w:rPr>
        <w:t> </w:t>
      </w:r>
      <w:r>
        <w:rPr>
          <w:spacing w:val="-4"/>
        </w:rPr>
        <w:t>approved</w:t>
      </w:r>
      <w:r>
        <w:rPr>
          <w:spacing w:val="-10"/>
        </w:rPr>
        <w:t> </w:t>
      </w:r>
      <w:r>
        <w:rPr>
          <w:spacing w:val="-4"/>
        </w:rPr>
        <w:t>the</w:t>
      </w:r>
      <w:r>
        <w:rPr>
          <w:spacing w:val="-9"/>
        </w:rPr>
        <w:t> </w:t>
      </w:r>
      <w:r>
        <w:rPr>
          <w:spacing w:val="-4"/>
        </w:rPr>
        <w:t>setting</w:t>
      </w:r>
      <w:r>
        <w:rPr>
          <w:spacing w:val="-10"/>
        </w:rPr>
        <w:t> </w:t>
      </w:r>
      <w:r>
        <w:rPr>
          <w:spacing w:val="-4"/>
        </w:rPr>
        <w:t>up</w:t>
      </w:r>
      <w:r>
        <w:rPr>
          <w:spacing w:val="-10"/>
        </w:rPr>
        <w:t> </w:t>
      </w:r>
      <w:r>
        <w:rPr>
          <w:spacing w:val="-4"/>
        </w:rPr>
        <w:t>of</w:t>
      </w:r>
      <w:r>
        <w:rPr>
          <w:spacing w:val="-9"/>
        </w:rPr>
        <w:t> </w:t>
      </w:r>
      <w:r>
        <w:rPr>
          <w:spacing w:val="-4"/>
        </w:rPr>
        <w:t>a</w:t>
      </w:r>
      <w:r>
        <w:rPr>
          <w:spacing w:val="-10"/>
        </w:rPr>
        <w:t> </w:t>
      </w:r>
      <w:r>
        <w:rPr>
          <w:spacing w:val="-4"/>
        </w:rPr>
        <w:t>Body </w:t>
      </w:r>
      <w:r>
        <w:rPr/>
        <w:t>under the Chairpersonship of the Prime Minister to </w:t>
      </w:r>
      <w:r>
        <w:rPr>
          <w:spacing w:val="-6"/>
        </w:rPr>
        <w:t>provide</w:t>
      </w:r>
      <w:r>
        <w:rPr>
          <w:spacing w:val="-8"/>
        </w:rPr>
        <w:t> </w:t>
      </w:r>
      <w:r>
        <w:rPr>
          <w:spacing w:val="-6"/>
        </w:rPr>
        <w:t>leadership,</w:t>
      </w:r>
      <w:r>
        <w:rPr>
          <w:spacing w:val="-8"/>
        </w:rPr>
        <w:t> </w:t>
      </w:r>
      <w:r>
        <w:rPr>
          <w:spacing w:val="-6"/>
        </w:rPr>
        <w:t>prescribe</w:t>
      </w:r>
      <w:r>
        <w:rPr>
          <w:spacing w:val="-8"/>
        </w:rPr>
        <w:t> </w:t>
      </w:r>
      <w:r>
        <w:rPr>
          <w:spacing w:val="-6"/>
        </w:rPr>
        <w:t>deliverables</w:t>
      </w:r>
      <w:r>
        <w:rPr>
          <w:spacing w:val="-7"/>
        </w:rPr>
        <w:t> </w:t>
      </w:r>
      <w:r>
        <w:rPr>
          <w:spacing w:val="-6"/>
        </w:rPr>
        <w:t>and</w:t>
      </w:r>
      <w:r>
        <w:rPr>
          <w:spacing w:val="-8"/>
        </w:rPr>
        <w:t> </w:t>
      </w:r>
      <w:r>
        <w:rPr>
          <w:spacing w:val="-6"/>
        </w:rPr>
        <w:t>milestones </w:t>
      </w:r>
      <w:r>
        <w:rPr/>
        <w:t>and to monitor periodically the implementation of</w:t>
      </w:r>
      <w:r>
        <w:rPr>
          <w:spacing w:val="40"/>
        </w:rPr>
        <w:t> </w:t>
      </w:r>
      <w:r>
        <w:rPr/>
        <w:t>the NeGP.</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before="4"/>
        <w:rPr>
          <w:sz w:val="17"/>
        </w:rPr>
      </w:pPr>
    </w:p>
    <w:p>
      <w:pPr>
        <w:spacing w:after="0"/>
        <w:rPr>
          <w:sz w:val="17"/>
        </w:rPr>
        <w:sectPr>
          <w:footerReference w:type="even" r:id="rId39"/>
          <w:pgSz w:w="11910" w:h="16840"/>
          <w:pgMar w:header="0" w:footer="0" w:top="1920" w:bottom="280" w:left="0" w:right="0"/>
        </w:sectPr>
      </w:pPr>
    </w:p>
    <w:p>
      <w:pPr>
        <w:pStyle w:val="BodyText"/>
        <w:spacing w:before="4"/>
        <w:rPr>
          <w:sz w:val="17"/>
        </w:rPr>
      </w:pPr>
      <w:r>
        <w:rPr/>
        <mc:AlternateContent>
          <mc:Choice Requires="wps">
            <w:drawing>
              <wp:anchor distT="0" distB="0" distL="0" distR="0" allowOverlap="1" layoutInCell="1" locked="0" behindDoc="1" simplePos="0" relativeHeight="479323136">
                <wp:simplePos x="0" y="0"/>
                <wp:positionH relativeFrom="page">
                  <wp:posOffset>5870957</wp:posOffset>
                </wp:positionH>
                <wp:positionV relativeFrom="page">
                  <wp:posOffset>10297721</wp:posOffset>
                </wp:positionV>
                <wp:extent cx="1335405" cy="14795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335405" cy="147955"/>
                        </a:xfrm>
                        <a:prstGeom prst="rect">
                          <a:avLst/>
                        </a:prstGeom>
                      </wps:spPr>
                      <wps:txbx>
                        <w:txbxContent>
                          <w:p>
                            <w:pPr>
                              <w:tabs>
                                <w:tab w:pos="1892" w:val="left" w:leader="none"/>
                              </w:tabs>
                              <w:spacing w:before="0"/>
                              <w:ind w:left="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t>21</w:t>
                            </w:r>
                          </w:p>
                        </w:txbxContent>
                      </wps:txbx>
                      <wps:bodyPr wrap="square" lIns="0" tIns="0" rIns="0" bIns="0" rtlCol="0">
                        <a:noAutofit/>
                      </wps:bodyPr>
                    </wps:wsp>
                  </a:graphicData>
                </a:graphic>
              </wp:anchor>
            </w:drawing>
          </mc:Choice>
          <mc:Fallback>
            <w:pict>
              <v:shape style="position:absolute;margin-left:462.28009pt;margin-top:810.844238pt;width:105.15pt;height:11.65pt;mso-position-horizontal-relative:page;mso-position-vertical-relative:page;z-index:-23993344" type="#_x0000_t202" id="docshape103" filled="false" stroked="false">
                <v:textbox inset="0,0,0,0">
                  <w:txbxContent>
                    <w:p>
                      <w:pPr>
                        <w:tabs>
                          <w:tab w:pos="1892" w:val="left" w:leader="none"/>
                        </w:tabs>
                        <w:spacing w:before="0"/>
                        <w:ind w:left="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t>21</w:t>
                      </w:r>
                    </w:p>
                  </w:txbxContent>
                </v:textbox>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0</wp:posOffset>
                </wp:positionH>
                <wp:positionV relativeFrom="page">
                  <wp:posOffset>38</wp:posOffset>
                </wp:positionV>
                <wp:extent cx="7560309" cy="1069213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7560309" cy="10692130"/>
                          <a:chExt cx="7560309" cy="10692130"/>
                        </a:xfrm>
                      </wpg:grpSpPr>
                      <pic:pic>
                        <pic:nvPicPr>
                          <pic:cNvPr id="112" name="Image 112"/>
                          <pic:cNvPicPr/>
                        </pic:nvPicPr>
                        <pic:blipFill>
                          <a:blip r:embed="rId17" cstate="print"/>
                          <a:stretch>
                            <a:fillRect/>
                          </a:stretch>
                        </pic:blipFill>
                        <pic:spPr>
                          <a:xfrm>
                            <a:off x="6892290" y="10136123"/>
                            <a:ext cx="504862" cy="266945"/>
                          </a:xfrm>
                          <a:prstGeom prst="rect">
                            <a:avLst/>
                          </a:prstGeom>
                        </pic:spPr>
                      </pic:pic>
                      <pic:pic>
                        <pic:nvPicPr>
                          <pic:cNvPr id="113" name="Image 113"/>
                          <pic:cNvPicPr/>
                        </pic:nvPicPr>
                        <pic:blipFill>
                          <a:blip r:embed="rId18" cstate="print"/>
                          <a:stretch>
                            <a:fillRect/>
                          </a:stretch>
                        </pic:blipFill>
                        <pic:spPr>
                          <a:xfrm>
                            <a:off x="6892290" y="10402597"/>
                            <a:ext cx="504862" cy="266963"/>
                          </a:xfrm>
                          <a:prstGeom prst="rect">
                            <a:avLst/>
                          </a:prstGeom>
                        </pic:spPr>
                      </pic:pic>
                      <wps:wsp>
                        <wps:cNvPr id="114" name="Graphic 114"/>
                        <wps:cNvSpPr/>
                        <wps:spPr>
                          <a:xfrm>
                            <a:off x="1143000" y="0"/>
                            <a:ext cx="6417310" cy="10692130"/>
                          </a:xfrm>
                          <a:custGeom>
                            <a:avLst/>
                            <a:gdLst/>
                            <a:ahLst/>
                            <a:cxnLst/>
                            <a:rect l="l" t="t" r="r" b="b"/>
                            <a:pathLst>
                              <a:path w="6417310" h="10692130">
                                <a:moveTo>
                                  <a:pt x="0" y="0"/>
                                </a:moveTo>
                                <a:lnTo>
                                  <a:pt x="0" y="10691964"/>
                                </a:lnTo>
                                <a:lnTo>
                                  <a:pt x="6416999" y="10691964"/>
                                </a:lnTo>
                                <a:lnTo>
                                  <a:pt x="6416999" y="0"/>
                                </a:lnTo>
                                <a:lnTo>
                                  <a:pt x="0" y="0"/>
                                </a:lnTo>
                                <a:close/>
                              </a:path>
                            </a:pathLst>
                          </a:custGeom>
                          <a:solidFill>
                            <a:srgbClr val="F5E7AB"/>
                          </a:solidFill>
                        </wps:spPr>
                        <wps:bodyPr wrap="square" lIns="0" tIns="0" rIns="0" bIns="0" rtlCol="0">
                          <a:prstTxWarp prst="textNoShape">
                            <a:avLst/>
                          </a:prstTxWarp>
                          <a:noAutofit/>
                        </wps:bodyPr>
                      </wps:wsp>
                      <pic:pic>
                        <pic:nvPicPr>
                          <pic:cNvPr id="115" name="Image 115"/>
                          <pic:cNvPicPr/>
                        </pic:nvPicPr>
                        <pic:blipFill>
                          <a:blip r:embed="rId12" cstate="print"/>
                          <a:stretch>
                            <a:fillRect/>
                          </a:stretch>
                        </pic:blipFill>
                        <pic:spPr>
                          <a:xfrm>
                            <a:off x="0" y="0"/>
                            <a:ext cx="4223041" cy="10691964"/>
                          </a:xfrm>
                          <a:prstGeom prst="rect">
                            <a:avLst/>
                          </a:prstGeom>
                        </pic:spPr>
                      </pic:pic>
                    </wpg:wgp>
                  </a:graphicData>
                </a:graphic>
              </wp:anchor>
            </w:drawing>
          </mc:Choice>
          <mc:Fallback>
            <w:pict>
              <v:group style="position:absolute;margin-left:0pt;margin-top:.003055pt;width:595.3pt;height:841.9pt;mso-position-horizontal-relative:page;mso-position-vertical-relative:page;z-index:15747072" id="docshapegroup104" coordorigin="0,0" coordsize="11906,16838">
                <v:shape style="position:absolute;left:10854;top:15962;width:796;height:421" type="#_x0000_t75" id="docshape105" stroked="false">
                  <v:imagedata r:id="rId17" o:title=""/>
                </v:shape>
                <v:shape style="position:absolute;left:10854;top:16382;width:796;height:421" type="#_x0000_t75" id="docshape106" stroked="false">
                  <v:imagedata r:id="rId18" o:title=""/>
                </v:shape>
                <v:rect style="position:absolute;left:1800;top:0;width:10106;height:16838" id="docshape107" filled="true" fillcolor="#f5e7ab" stroked="false">
                  <v:fill type="solid"/>
                </v:rect>
                <v:shape style="position:absolute;left:0;top:0;width:6651;height:16838" type="#_x0000_t75" id="docshape108" stroked="false">
                  <v:imagedata r:id="rId12" o:titl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3200236</wp:posOffset>
                </wp:positionH>
                <wp:positionV relativeFrom="page">
                  <wp:posOffset>1531907</wp:posOffset>
                </wp:positionV>
                <wp:extent cx="1057910" cy="7623809"/>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057910" cy="7623809"/>
                        </a:xfrm>
                        <a:prstGeom prst="rect">
                          <a:avLst/>
                        </a:prstGeom>
                      </wps:spPr>
                      <wps:txbx>
                        <w:txbxContent>
                          <w:p>
                            <w:pPr>
                              <w:spacing w:before="20"/>
                              <w:ind w:left="20" w:right="0" w:firstLine="0"/>
                              <w:jc w:val="left"/>
                              <w:rPr>
                                <w:rFonts w:ascii="Trebuchet MS"/>
                                <w:b/>
                                <w:sz w:val="140"/>
                              </w:rPr>
                            </w:pPr>
                            <w:r>
                              <w:rPr>
                                <w:rFonts w:ascii="Trebuchet MS"/>
                                <w:b/>
                                <w:color w:val="E3C626"/>
                                <w:spacing w:val="-2"/>
                                <w:sz w:val="140"/>
                              </w:rPr>
                              <w:t>Recommendations</w:t>
                            </w:r>
                          </w:p>
                        </w:txbxContent>
                      </wps:txbx>
                      <wps:bodyPr wrap="square" lIns="0" tIns="0" rIns="0" bIns="0" rtlCol="0" vert="vert270">
                        <a:noAutofit/>
                      </wps:bodyPr>
                    </wps:wsp>
                  </a:graphicData>
                </a:graphic>
              </wp:anchor>
            </w:drawing>
          </mc:Choice>
          <mc:Fallback>
            <w:pict>
              <v:shape style="position:absolute;margin-left:251.987122pt;margin-top:120.622643pt;width:83.3pt;height:600.3pt;mso-position-horizontal-relative:page;mso-position-vertical-relative:page;z-index:15747584" type="#_x0000_t202" id="docshape109" filled="false" stroked="false">
                <v:textbox inset="0,0,0,0" style="layout-flow:vertical;mso-layout-flow-alt:bottom-to-top">
                  <w:txbxContent>
                    <w:p>
                      <w:pPr>
                        <w:spacing w:before="20"/>
                        <w:ind w:left="20" w:right="0" w:firstLine="0"/>
                        <w:jc w:val="left"/>
                        <w:rPr>
                          <w:rFonts w:ascii="Trebuchet MS"/>
                          <w:b/>
                          <w:sz w:val="140"/>
                        </w:rPr>
                      </w:pPr>
                      <w:r>
                        <w:rPr>
                          <w:rFonts w:ascii="Trebuchet MS"/>
                          <w:b/>
                          <w:color w:val="E3C626"/>
                          <w:spacing w:val="-2"/>
                          <w:sz w:val="140"/>
                        </w:rPr>
                        <w:t>Recommendations</w:t>
                      </w:r>
                    </w:p>
                  </w:txbxContent>
                </v:textbox>
                <w10:wrap type="none"/>
              </v:shape>
            </w:pict>
          </mc:Fallback>
        </mc:AlternateContent>
      </w:r>
    </w:p>
    <w:p>
      <w:pPr>
        <w:spacing w:after="0"/>
        <w:rPr>
          <w:sz w:val="17"/>
        </w:rPr>
        <w:sectPr>
          <w:footerReference w:type="default" r:id="rId40"/>
          <w:pgSz w:w="11910" w:h="16840"/>
          <w:pgMar w:header="0" w:footer="0" w:top="1920" w:bottom="280" w:left="0" w:right="0"/>
        </w:sectPr>
      </w:pPr>
    </w:p>
    <w:p>
      <w:pPr>
        <w:pStyle w:val="BodyText"/>
        <w:spacing w:before="4"/>
        <w:rPr>
          <w:sz w:val="17"/>
        </w:rPr>
      </w:pPr>
    </w:p>
    <w:p>
      <w:pPr>
        <w:spacing w:after="0"/>
        <w:rPr>
          <w:sz w:val="17"/>
        </w:rPr>
        <w:sectPr>
          <w:footerReference w:type="even" r:id="rId41"/>
          <w:pgSz w:w="11910" w:h="16840"/>
          <w:pgMar w:header="0" w:footer="0" w:top="1920" w:bottom="280" w:left="0" w:right="0"/>
        </w:sectPr>
      </w:pPr>
    </w:p>
    <w:p>
      <w:pPr>
        <w:pStyle w:val="Heading2"/>
        <w:spacing w:line="211" w:lineRule="auto"/>
      </w:pPr>
      <w:r>
        <w:rPr/>
        <mc:AlternateContent>
          <mc:Choice Requires="wps">
            <w:drawing>
              <wp:anchor distT="0" distB="0" distL="0" distR="0" allowOverlap="1" layoutInCell="1" locked="0" behindDoc="1" simplePos="0" relativeHeight="479324672">
                <wp:simplePos x="0" y="0"/>
                <wp:positionH relativeFrom="page">
                  <wp:posOffset>0</wp:posOffset>
                </wp:positionH>
                <wp:positionV relativeFrom="page">
                  <wp:posOffset>38</wp:posOffset>
                </wp:positionV>
                <wp:extent cx="7560309" cy="1069213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7560309" cy="10692130"/>
                        </a:xfrm>
                        <a:custGeom>
                          <a:avLst/>
                          <a:gdLst/>
                          <a:ahLst/>
                          <a:cxnLst/>
                          <a:rect l="l" t="t" r="r" b="b"/>
                          <a:pathLst>
                            <a:path w="7560309" h="10692130">
                              <a:moveTo>
                                <a:pt x="7559999" y="0"/>
                              </a:moveTo>
                              <a:lnTo>
                                <a:pt x="0" y="0"/>
                              </a:lnTo>
                              <a:lnTo>
                                <a:pt x="0" y="10691964"/>
                              </a:lnTo>
                              <a:lnTo>
                                <a:pt x="7559999" y="10691964"/>
                              </a:lnTo>
                              <a:lnTo>
                                <a:pt x="7559999" y="0"/>
                              </a:lnTo>
                              <a:close/>
                            </a:path>
                          </a:pathLst>
                        </a:custGeom>
                        <a:solidFill>
                          <a:srgbClr val="61816F"/>
                        </a:solidFill>
                      </wps:spPr>
                      <wps:bodyPr wrap="square" lIns="0" tIns="0" rIns="0" bIns="0" rtlCol="0">
                        <a:prstTxWarp prst="textNoShape">
                          <a:avLst/>
                        </a:prstTxWarp>
                        <a:noAutofit/>
                      </wps:bodyPr>
                    </wps:wsp>
                  </a:graphicData>
                </a:graphic>
              </wp:anchor>
            </w:drawing>
          </mc:Choice>
          <mc:Fallback>
            <w:pict>
              <v:rect style="position:absolute;margin-left:0pt;margin-top:.003055pt;width:595.27557pt;height:841.88696pt;mso-position-horizontal-relative:page;mso-position-vertical-relative:page;z-index:-23991808" id="docshape110" filled="true" fillcolor="#61816f" stroked="false">
                <v:fill type="solid"/>
                <w10:wrap type="none"/>
              </v:rect>
            </w:pict>
          </mc:Fallback>
        </mc:AlternateContent>
      </w:r>
      <w:r>
        <w:rPr/>
        <mc:AlternateContent>
          <mc:Choice Requires="wps">
            <w:drawing>
              <wp:anchor distT="0" distB="0" distL="0" distR="0" allowOverlap="1" layoutInCell="1" locked="0" behindDoc="1" simplePos="0" relativeHeight="479325184">
                <wp:simplePos x="0" y="0"/>
                <wp:positionH relativeFrom="page">
                  <wp:posOffset>6400</wp:posOffset>
                </wp:positionH>
                <wp:positionV relativeFrom="page">
                  <wp:posOffset>3631514</wp:posOffset>
                </wp:positionV>
                <wp:extent cx="7553959" cy="706056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7553959" cy="7060565"/>
                          <a:chExt cx="7553959" cy="7060565"/>
                        </a:xfrm>
                      </wpg:grpSpPr>
                      <pic:pic>
                        <pic:nvPicPr>
                          <pic:cNvPr id="119" name="Image 119"/>
                          <pic:cNvPicPr/>
                        </pic:nvPicPr>
                        <pic:blipFill>
                          <a:blip r:embed="rId43" cstate="print"/>
                          <a:stretch>
                            <a:fillRect/>
                          </a:stretch>
                        </pic:blipFill>
                        <pic:spPr>
                          <a:xfrm>
                            <a:off x="837476" y="0"/>
                            <a:ext cx="1511421" cy="2349499"/>
                          </a:xfrm>
                          <a:prstGeom prst="rect">
                            <a:avLst/>
                          </a:prstGeom>
                        </pic:spPr>
                      </pic:pic>
                      <pic:pic>
                        <pic:nvPicPr>
                          <pic:cNvPr id="120" name="Image 120"/>
                          <pic:cNvPicPr/>
                        </pic:nvPicPr>
                        <pic:blipFill>
                          <a:blip r:embed="rId44" cstate="print"/>
                          <a:stretch>
                            <a:fillRect/>
                          </a:stretch>
                        </pic:blipFill>
                        <pic:spPr>
                          <a:xfrm>
                            <a:off x="5090795" y="368300"/>
                            <a:ext cx="1303031" cy="1981199"/>
                          </a:xfrm>
                          <a:prstGeom prst="rect">
                            <a:avLst/>
                          </a:prstGeom>
                        </pic:spPr>
                      </pic:pic>
                      <pic:pic>
                        <pic:nvPicPr>
                          <pic:cNvPr id="121" name="Image 121"/>
                          <pic:cNvPicPr/>
                        </pic:nvPicPr>
                        <pic:blipFill>
                          <a:blip r:embed="rId45" cstate="print"/>
                          <a:stretch>
                            <a:fillRect/>
                          </a:stretch>
                        </pic:blipFill>
                        <pic:spPr>
                          <a:xfrm>
                            <a:off x="2515400" y="2359037"/>
                            <a:ext cx="2522829" cy="2349500"/>
                          </a:xfrm>
                          <a:prstGeom prst="rect">
                            <a:avLst/>
                          </a:prstGeom>
                        </pic:spPr>
                      </pic:pic>
                      <pic:pic>
                        <pic:nvPicPr>
                          <pic:cNvPr id="122" name="Image 122"/>
                          <pic:cNvPicPr/>
                        </pic:nvPicPr>
                        <pic:blipFill>
                          <a:blip r:embed="rId46" cstate="print"/>
                          <a:stretch>
                            <a:fillRect/>
                          </a:stretch>
                        </pic:blipFill>
                        <pic:spPr>
                          <a:xfrm>
                            <a:off x="3355504" y="3923677"/>
                            <a:ext cx="842619" cy="784860"/>
                          </a:xfrm>
                          <a:prstGeom prst="rect">
                            <a:avLst/>
                          </a:prstGeom>
                        </pic:spPr>
                      </pic:pic>
                      <pic:pic>
                        <pic:nvPicPr>
                          <pic:cNvPr id="123" name="Image 123"/>
                          <pic:cNvPicPr/>
                        </pic:nvPicPr>
                        <pic:blipFill>
                          <a:blip r:embed="rId47" cstate="print"/>
                          <a:stretch>
                            <a:fillRect/>
                          </a:stretch>
                        </pic:blipFill>
                        <pic:spPr>
                          <a:xfrm>
                            <a:off x="4449227" y="4696764"/>
                            <a:ext cx="67209" cy="11773"/>
                          </a:xfrm>
                          <a:prstGeom prst="rect">
                            <a:avLst/>
                          </a:prstGeom>
                        </pic:spPr>
                      </pic:pic>
                      <pic:pic>
                        <pic:nvPicPr>
                          <pic:cNvPr id="124" name="Image 124"/>
                          <pic:cNvPicPr/>
                        </pic:nvPicPr>
                        <pic:blipFill>
                          <a:blip r:embed="rId47" cstate="print"/>
                          <a:stretch>
                            <a:fillRect/>
                          </a:stretch>
                        </pic:blipFill>
                        <pic:spPr>
                          <a:xfrm>
                            <a:off x="4287064" y="4696764"/>
                            <a:ext cx="67181" cy="11773"/>
                          </a:xfrm>
                          <a:prstGeom prst="rect">
                            <a:avLst/>
                          </a:prstGeom>
                        </pic:spPr>
                      </pic:pic>
                      <pic:pic>
                        <pic:nvPicPr>
                          <pic:cNvPr id="125" name="Image 125"/>
                          <pic:cNvPicPr/>
                        </pic:nvPicPr>
                        <pic:blipFill>
                          <a:blip r:embed="rId47" cstate="print"/>
                          <a:stretch>
                            <a:fillRect/>
                          </a:stretch>
                        </pic:blipFill>
                        <pic:spPr>
                          <a:xfrm>
                            <a:off x="3228961" y="4696764"/>
                            <a:ext cx="67209" cy="11773"/>
                          </a:xfrm>
                          <a:prstGeom prst="rect">
                            <a:avLst/>
                          </a:prstGeom>
                        </pic:spPr>
                      </pic:pic>
                      <pic:pic>
                        <pic:nvPicPr>
                          <pic:cNvPr id="126" name="Image 126"/>
                          <pic:cNvPicPr/>
                        </pic:nvPicPr>
                        <pic:blipFill>
                          <a:blip r:embed="rId48" cstate="print"/>
                          <a:stretch>
                            <a:fillRect/>
                          </a:stretch>
                        </pic:blipFill>
                        <pic:spPr>
                          <a:xfrm>
                            <a:off x="6549960" y="4708537"/>
                            <a:ext cx="121722" cy="95669"/>
                          </a:xfrm>
                          <a:prstGeom prst="rect">
                            <a:avLst/>
                          </a:prstGeom>
                        </pic:spPr>
                      </pic:pic>
                      <pic:pic>
                        <pic:nvPicPr>
                          <pic:cNvPr id="127" name="Image 127"/>
                          <pic:cNvPicPr/>
                        </pic:nvPicPr>
                        <pic:blipFill>
                          <a:blip r:embed="rId49" cstate="print"/>
                          <a:stretch>
                            <a:fillRect/>
                          </a:stretch>
                        </pic:blipFill>
                        <pic:spPr>
                          <a:xfrm>
                            <a:off x="5038229" y="4710988"/>
                            <a:ext cx="2515369" cy="2349500"/>
                          </a:xfrm>
                          <a:prstGeom prst="rect">
                            <a:avLst/>
                          </a:prstGeom>
                        </pic:spPr>
                      </pic:pic>
                      <pic:pic>
                        <pic:nvPicPr>
                          <pic:cNvPr id="128" name="Image 128"/>
                          <pic:cNvPicPr/>
                        </pic:nvPicPr>
                        <pic:blipFill>
                          <a:blip r:embed="rId50" cstate="print"/>
                          <a:stretch>
                            <a:fillRect/>
                          </a:stretch>
                        </pic:blipFill>
                        <pic:spPr>
                          <a:xfrm>
                            <a:off x="5875820" y="6285788"/>
                            <a:ext cx="840219" cy="774700"/>
                          </a:xfrm>
                          <a:prstGeom prst="rect">
                            <a:avLst/>
                          </a:prstGeom>
                        </pic:spPr>
                      </pic:pic>
                      <pic:pic>
                        <pic:nvPicPr>
                          <pic:cNvPr id="129" name="Image 129"/>
                          <pic:cNvPicPr/>
                        </pic:nvPicPr>
                        <pic:blipFill>
                          <a:blip r:embed="rId51" cstate="print"/>
                          <a:stretch>
                            <a:fillRect/>
                          </a:stretch>
                        </pic:blipFill>
                        <pic:spPr>
                          <a:xfrm>
                            <a:off x="5038229" y="5498388"/>
                            <a:ext cx="837590" cy="787400"/>
                          </a:xfrm>
                          <a:prstGeom prst="rect">
                            <a:avLst/>
                          </a:prstGeom>
                        </pic:spPr>
                      </pic:pic>
                      <pic:pic>
                        <pic:nvPicPr>
                          <pic:cNvPr id="130" name="Image 130"/>
                          <pic:cNvPicPr/>
                        </pic:nvPicPr>
                        <pic:blipFill>
                          <a:blip r:embed="rId52" cstate="print"/>
                          <a:stretch>
                            <a:fillRect/>
                          </a:stretch>
                        </pic:blipFill>
                        <pic:spPr>
                          <a:xfrm>
                            <a:off x="0" y="4710988"/>
                            <a:ext cx="2515400" cy="2349500"/>
                          </a:xfrm>
                          <a:prstGeom prst="rect">
                            <a:avLst/>
                          </a:prstGeom>
                        </pic:spPr>
                      </pic:pic>
                      <pic:pic>
                        <pic:nvPicPr>
                          <pic:cNvPr id="131" name="Image 131"/>
                          <pic:cNvPicPr/>
                        </pic:nvPicPr>
                        <pic:blipFill>
                          <a:blip r:embed="rId53" cstate="print"/>
                          <a:stretch>
                            <a:fillRect/>
                          </a:stretch>
                        </pic:blipFill>
                        <pic:spPr>
                          <a:xfrm>
                            <a:off x="3539477" y="1299210"/>
                            <a:ext cx="457106" cy="1050289"/>
                          </a:xfrm>
                          <a:prstGeom prst="rect">
                            <a:avLst/>
                          </a:prstGeom>
                        </pic:spPr>
                      </pic:pic>
                      <pic:pic>
                        <pic:nvPicPr>
                          <pic:cNvPr id="132" name="Image 132"/>
                          <pic:cNvPicPr/>
                        </pic:nvPicPr>
                        <pic:blipFill>
                          <a:blip r:embed="rId54" cstate="print"/>
                          <a:stretch>
                            <a:fillRect/>
                          </a:stretch>
                        </pic:blipFill>
                        <pic:spPr>
                          <a:xfrm>
                            <a:off x="3371615" y="1737833"/>
                            <a:ext cx="249408" cy="611666"/>
                          </a:xfrm>
                          <a:prstGeom prst="rect">
                            <a:avLst/>
                          </a:prstGeom>
                        </pic:spPr>
                      </pic:pic>
                      <pic:pic>
                        <pic:nvPicPr>
                          <pic:cNvPr id="133" name="Image 133"/>
                          <pic:cNvPicPr/>
                        </pic:nvPicPr>
                        <pic:blipFill>
                          <a:blip r:embed="rId55" cstate="print"/>
                          <a:stretch>
                            <a:fillRect/>
                          </a:stretch>
                        </pic:blipFill>
                        <pic:spPr>
                          <a:xfrm>
                            <a:off x="3983886" y="2182276"/>
                            <a:ext cx="44217" cy="167223"/>
                          </a:xfrm>
                          <a:prstGeom prst="rect">
                            <a:avLst/>
                          </a:prstGeom>
                        </pic:spPr>
                      </pic:pic>
                      <pic:pic>
                        <pic:nvPicPr>
                          <pic:cNvPr id="134" name="Image 134"/>
                          <pic:cNvPicPr/>
                        </pic:nvPicPr>
                        <pic:blipFill>
                          <a:blip r:embed="rId56" cstate="print"/>
                          <a:stretch>
                            <a:fillRect/>
                          </a:stretch>
                        </pic:blipFill>
                        <pic:spPr>
                          <a:xfrm>
                            <a:off x="6602138" y="4799520"/>
                            <a:ext cx="20173" cy="36692"/>
                          </a:xfrm>
                          <a:prstGeom prst="rect">
                            <a:avLst/>
                          </a:prstGeom>
                        </pic:spPr>
                      </pic:pic>
                      <pic:pic>
                        <pic:nvPicPr>
                          <pic:cNvPr id="135" name="Image 135"/>
                          <pic:cNvPicPr/>
                        </pic:nvPicPr>
                        <pic:blipFill>
                          <a:blip r:embed="rId57" cstate="print"/>
                          <a:stretch>
                            <a:fillRect/>
                          </a:stretch>
                        </pic:blipFill>
                        <pic:spPr>
                          <a:xfrm>
                            <a:off x="0" y="5498388"/>
                            <a:ext cx="892066" cy="1121972"/>
                          </a:xfrm>
                          <a:prstGeom prst="rect">
                            <a:avLst/>
                          </a:prstGeom>
                        </pic:spPr>
                      </pic:pic>
                      <pic:pic>
                        <pic:nvPicPr>
                          <pic:cNvPr id="136" name="Image 136"/>
                          <pic:cNvPicPr/>
                        </pic:nvPicPr>
                        <pic:blipFill>
                          <a:blip r:embed="rId58" cstate="print"/>
                          <a:stretch>
                            <a:fillRect/>
                          </a:stretch>
                        </pic:blipFill>
                        <pic:spPr>
                          <a:xfrm>
                            <a:off x="7478052" y="5939010"/>
                            <a:ext cx="59689" cy="37797"/>
                          </a:xfrm>
                          <a:prstGeom prst="rect">
                            <a:avLst/>
                          </a:prstGeom>
                        </pic:spPr>
                      </pic:pic>
                      <pic:pic>
                        <pic:nvPicPr>
                          <pic:cNvPr id="137" name="Image 137"/>
                          <pic:cNvPicPr/>
                        </pic:nvPicPr>
                        <pic:blipFill>
                          <a:blip r:embed="rId59" cstate="print"/>
                          <a:stretch>
                            <a:fillRect/>
                          </a:stretch>
                        </pic:blipFill>
                        <pic:spPr>
                          <a:xfrm>
                            <a:off x="5038229" y="2359037"/>
                            <a:ext cx="2515369" cy="2349500"/>
                          </a:xfrm>
                          <a:prstGeom prst="rect">
                            <a:avLst/>
                          </a:prstGeom>
                        </pic:spPr>
                      </pic:pic>
                      <pic:pic>
                        <pic:nvPicPr>
                          <pic:cNvPr id="138" name="Image 138"/>
                          <pic:cNvPicPr/>
                        </pic:nvPicPr>
                        <pic:blipFill>
                          <a:blip r:embed="rId60" cstate="print"/>
                          <a:stretch>
                            <a:fillRect/>
                          </a:stretch>
                        </pic:blipFill>
                        <pic:spPr>
                          <a:xfrm>
                            <a:off x="1311080" y="2359037"/>
                            <a:ext cx="1204319" cy="2349500"/>
                          </a:xfrm>
                          <a:prstGeom prst="rect">
                            <a:avLst/>
                          </a:prstGeom>
                        </pic:spPr>
                      </pic:pic>
                      <pic:pic>
                        <pic:nvPicPr>
                          <pic:cNvPr id="139" name="Image 139"/>
                          <pic:cNvPicPr/>
                        </pic:nvPicPr>
                        <pic:blipFill>
                          <a:blip r:embed="rId61" cstate="print"/>
                          <a:stretch>
                            <a:fillRect/>
                          </a:stretch>
                        </pic:blipFill>
                        <pic:spPr>
                          <a:xfrm>
                            <a:off x="837590" y="6194209"/>
                            <a:ext cx="840219" cy="866279"/>
                          </a:xfrm>
                          <a:prstGeom prst="rect">
                            <a:avLst/>
                          </a:prstGeom>
                        </pic:spPr>
                      </pic:pic>
                      <pic:pic>
                        <pic:nvPicPr>
                          <pic:cNvPr id="140" name="Image 140"/>
                          <pic:cNvPicPr/>
                        </pic:nvPicPr>
                        <pic:blipFill>
                          <a:blip r:embed="rId62" cstate="print"/>
                          <a:stretch>
                            <a:fillRect/>
                          </a:stretch>
                        </pic:blipFill>
                        <pic:spPr>
                          <a:xfrm>
                            <a:off x="0" y="2994037"/>
                            <a:ext cx="441307" cy="1435100"/>
                          </a:xfrm>
                          <a:prstGeom prst="rect">
                            <a:avLst/>
                          </a:prstGeom>
                        </pic:spPr>
                      </pic:pic>
                      <pic:pic>
                        <pic:nvPicPr>
                          <pic:cNvPr id="141" name="Image 141"/>
                          <pic:cNvPicPr/>
                        </pic:nvPicPr>
                        <pic:blipFill>
                          <a:blip r:embed="rId63" cstate="print"/>
                          <a:stretch>
                            <a:fillRect/>
                          </a:stretch>
                        </pic:blipFill>
                        <pic:spPr>
                          <a:xfrm>
                            <a:off x="7257745" y="3518667"/>
                            <a:ext cx="68538" cy="124701"/>
                          </a:xfrm>
                          <a:prstGeom prst="rect">
                            <a:avLst/>
                          </a:prstGeom>
                        </pic:spPr>
                      </pic:pic>
                      <pic:pic>
                        <pic:nvPicPr>
                          <pic:cNvPr id="142" name="Image 142"/>
                          <pic:cNvPicPr/>
                        </pic:nvPicPr>
                        <pic:blipFill>
                          <a:blip r:embed="rId64" cstate="print"/>
                          <a:stretch>
                            <a:fillRect/>
                          </a:stretch>
                        </pic:blipFill>
                        <pic:spPr>
                          <a:xfrm>
                            <a:off x="364959" y="3185164"/>
                            <a:ext cx="958818" cy="1571494"/>
                          </a:xfrm>
                          <a:prstGeom prst="rect">
                            <a:avLst/>
                          </a:prstGeom>
                        </pic:spPr>
                      </pic:pic>
                      <pic:pic>
                        <pic:nvPicPr>
                          <pic:cNvPr id="143" name="Image 143"/>
                          <pic:cNvPicPr/>
                        </pic:nvPicPr>
                        <pic:blipFill>
                          <a:blip r:embed="rId65" cstate="print"/>
                          <a:stretch>
                            <a:fillRect/>
                          </a:stretch>
                        </pic:blipFill>
                        <pic:spPr>
                          <a:xfrm>
                            <a:off x="5655449" y="3546419"/>
                            <a:ext cx="45945" cy="74896"/>
                          </a:xfrm>
                          <a:prstGeom prst="rect">
                            <a:avLst/>
                          </a:prstGeom>
                        </pic:spPr>
                      </pic:pic>
                      <pic:pic>
                        <pic:nvPicPr>
                          <pic:cNvPr id="144" name="Image 144"/>
                          <pic:cNvPicPr/>
                        </pic:nvPicPr>
                        <pic:blipFill>
                          <a:blip r:embed="rId47" cstate="print"/>
                          <a:stretch>
                            <a:fillRect/>
                          </a:stretch>
                        </pic:blipFill>
                        <pic:spPr>
                          <a:xfrm>
                            <a:off x="5507331" y="4696764"/>
                            <a:ext cx="67181" cy="11773"/>
                          </a:xfrm>
                          <a:prstGeom prst="rect">
                            <a:avLst/>
                          </a:prstGeom>
                        </pic:spPr>
                      </pic:pic>
                      <pic:pic>
                        <pic:nvPicPr>
                          <pic:cNvPr id="145" name="Image 145"/>
                          <pic:cNvPicPr/>
                        </pic:nvPicPr>
                        <pic:blipFill>
                          <a:blip r:embed="rId66" cstate="print"/>
                          <a:stretch>
                            <a:fillRect/>
                          </a:stretch>
                        </pic:blipFill>
                        <pic:spPr>
                          <a:xfrm>
                            <a:off x="6565406" y="4696764"/>
                            <a:ext cx="67181" cy="11773"/>
                          </a:xfrm>
                          <a:prstGeom prst="rect">
                            <a:avLst/>
                          </a:prstGeom>
                        </pic:spPr>
                      </pic:pic>
                      <pic:pic>
                        <pic:nvPicPr>
                          <pic:cNvPr id="146" name="Image 146"/>
                          <pic:cNvPicPr/>
                        </pic:nvPicPr>
                        <pic:blipFill>
                          <a:blip r:embed="rId47" cstate="print"/>
                          <a:stretch>
                            <a:fillRect/>
                          </a:stretch>
                        </pic:blipFill>
                        <pic:spPr>
                          <a:xfrm>
                            <a:off x="5345139" y="4696764"/>
                            <a:ext cx="67181" cy="11773"/>
                          </a:xfrm>
                          <a:prstGeom prst="rect">
                            <a:avLst/>
                          </a:prstGeom>
                        </pic:spPr>
                      </pic:pic>
                      <pic:pic>
                        <pic:nvPicPr>
                          <pic:cNvPr id="147" name="Image 147"/>
                          <pic:cNvPicPr/>
                        </pic:nvPicPr>
                        <pic:blipFill>
                          <a:blip r:embed="rId47" cstate="print"/>
                          <a:stretch>
                            <a:fillRect/>
                          </a:stretch>
                        </pic:blipFill>
                        <pic:spPr>
                          <a:xfrm>
                            <a:off x="6403296" y="4696764"/>
                            <a:ext cx="67199" cy="11773"/>
                          </a:xfrm>
                          <a:prstGeom prst="rect">
                            <a:avLst/>
                          </a:prstGeom>
                        </pic:spPr>
                      </pic:pic>
                      <pic:pic>
                        <pic:nvPicPr>
                          <pic:cNvPr id="148" name="Image 148"/>
                          <pic:cNvPicPr/>
                        </pic:nvPicPr>
                        <pic:blipFill>
                          <a:blip r:embed="rId67" cstate="print"/>
                          <a:stretch>
                            <a:fillRect/>
                          </a:stretch>
                        </pic:blipFill>
                        <pic:spPr>
                          <a:xfrm>
                            <a:off x="2515400" y="6285788"/>
                            <a:ext cx="840104" cy="774700"/>
                          </a:xfrm>
                          <a:prstGeom prst="rect">
                            <a:avLst/>
                          </a:prstGeom>
                        </pic:spPr>
                      </pic:pic>
                      <pic:pic>
                        <pic:nvPicPr>
                          <pic:cNvPr id="149" name="Image 149"/>
                          <pic:cNvPicPr/>
                        </pic:nvPicPr>
                        <pic:blipFill>
                          <a:blip r:embed="rId68" cstate="print"/>
                          <a:stretch>
                            <a:fillRect/>
                          </a:stretch>
                        </pic:blipFill>
                        <pic:spPr>
                          <a:xfrm>
                            <a:off x="2515400" y="4710988"/>
                            <a:ext cx="2522829" cy="2349500"/>
                          </a:xfrm>
                          <a:prstGeom prst="rect">
                            <a:avLst/>
                          </a:prstGeom>
                        </pic:spPr>
                      </pic:pic>
                      <pic:pic>
                        <pic:nvPicPr>
                          <pic:cNvPr id="150" name="Image 150"/>
                          <pic:cNvPicPr/>
                        </pic:nvPicPr>
                        <pic:blipFill>
                          <a:blip r:embed="rId69" cstate="print"/>
                          <a:stretch>
                            <a:fillRect/>
                          </a:stretch>
                        </pic:blipFill>
                        <pic:spPr>
                          <a:xfrm>
                            <a:off x="3355504" y="6285788"/>
                            <a:ext cx="842619" cy="774700"/>
                          </a:xfrm>
                          <a:prstGeom prst="rect">
                            <a:avLst/>
                          </a:prstGeom>
                        </pic:spPr>
                      </pic:pic>
                      <pic:pic>
                        <pic:nvPicPr>
                          <pic:cNvPr id="151" name="Image 151"/>
                          <pic:cNvPicPr/>
                        </pic:nvPicPr>
                        <pic:blipFill>
                          <a:blip r:embed="rId70" cstate="print"/>
                          <a:stretch>
                            <a:fillRect/>
                          </a:stretch>
                        </pic:blipFill>
                        <pic:spPr>
                          <a:xfrm>
                            <a:off x="4190232" y="5457317"/>
                            <a:ext cx="847997" cy="841171"/>
                          </a:xfrm>
                          <a:prstGeom prst="rect">
                            <a:avLst/>
                          </a:prstGeom>
                        </pic:spPr>
                      </pic:pic>
                      <pic:pic>
                        <pic:nvPicPr>
                          <pic:cNvPr id="152" name="Image 152"/>
                          <pic:cNvPicPr/>
                        </pic:nvPicPr>
                        <pic:blipFill>
                          <a:blip r:embed="rId71" cstate="print"/>
                          <a:stretch>
                            <a:fillRect/>
                          </a:stretch>
                        </pic:blipFill>
                        <pic:spPr>
                          <a:xfrm>
                            <a:off x="919086" y="147851"/>
                            <a:ext cx="44213" cy="45493"/>
                          </a:xfrm>
                          <a:prstGeom prst="rect">
                            <a:avLst/>
                          </a:prstGeom>
                        </pic:spPr>
                      </pic:pic>
                      <pic:pic>
                        <pic:nvPicPr>
                          <pic:cNvPr id="153" name="Image 153"/>
                          <pic:cNvPicPr/>
                        </pic:nvPicPr>
                        <pic:blipFill>
                          <a:blip r:embed="rId72" cstate="print"/>
                          <a:stretch>
                            <a:fillRect/>
                          </a:stretch>
                        </pic:blipFill>
                        <pic:spPr>
                          <a:xfrm>
                            <a:off x="6252909" y="562066"/>
                            <a:ext cx="11302" cy="11554"/>
                          </a:xfrm>
                          <a:prstGeom prst="rect">
                            <a:avLst/>
                          </a:prstGeom>
                        </pic:spPr>
                      </pic:pic>
                      <pic:pic>
                        <pic:nvPicPr>
                          <pic:cNvPr id="154" name="Image 154"/>
                          <pic:cNvPicPr/>
                        </pic:nvPicPr>
                        <pic:blipFill>
                          <a:blip r:embed="rId73" cstate="print"/>
                          <a:stretch>
                            <a:fillRect/>
                          </a:stretch>
                        </pic:blipFill>
                        <pic:spPr>
                          <a:xfrm>
                            <a:off x="6209576" y="870229"/>
                            <a:ext cx="54635" cy="83667"/>
                          </a:xfrm>
                          <a:prstGeom prst="rect">
                            <a:avLst/>
                          </a:prstGeom>
                        </pic:spPr>
                      </pic:pic>
                      <pic:pic>
                        <pic:nvPicPr>
                          <pic:cNvPr id="155" name="Image 155"/>
                          <pic:cNvPicPr/>
                        </pic:nvPicPr>
                        <pic:blipFill>
                          <a:blip r:embed="rId74" cstate="print"/>
                          <a:stretch>
                            <a:fillRect/>
                          </a:stretch>
                        </pic:blipFill>
                        <pic:spPr>
                          <a:xfrm>
                            <a:off x="2481224" y="5433542"/>
                            <a:ext cx="874280" cy="852246"/>
                          </a:xfrm>
                          <a:prstGeom prst="rect">
                            <a:avLst/>
                          </a:prstGeom>
                        </pic:spPr>
                      </pic:pic>
                      <pic:pic>
                        <pic:nvPicPr>
                          <pic:cNvPr id="156" name="Image 156"/>
                          <pic:cNvPicPr/>
                        </pic:nvPicPr>
                        <pic:blipFill>
                          <a:blip r:embed="rId75" cstate="print"/>
                          <a:stretch>
                            <a:fillRect/>
                          </a:stretch>
                        </pic:blipFill>
                        <pic:spPr>
                          <a:xfrm>
                            <a:off x="1421663" y="916176"/>
                            <a:ext cx="60338" cy="85269"/>
                          </a:xfrm>
                          <a:prstGeom prst="rect">
                            <a:avLst/>
                          </a:prstGeom>
                        </pic:spPr>
                      </pic:pic>
                      <pic:pic>
                        <pic:nvPicPr>
                          <pic:cNvPr id="157" name="Image 157"/>
                          <pic:cNvPicPr/>
                        </pic:nvPicPr>
                        <pic:blipFill>
                          <a:blip r:embed="rId76" cstate="print"/>
                          <a:stretch>
                            <a:fillRect/>
                          </a:stretch>
                        </pic:blipFill>
                        <pic:spPr>
                          <a:xfrm>
                            <a:off x="1423149" y="1274280"/>
                            <a:ext cx="81610" cy="36118"/>
                          </a:xfrm>
                          <a:prstGeom prst="rect">
                            <a:avLst/>
                          </a:prstGeom>
                        </pic:spPr>
                      </pic:pic>
                      <pic:pic>
                        <pic:nvPicPr>
                          <pic:cNvPr id="158" name="Image 158"/>
                          <pic:cNvPicPr/>
                        </pic:nvPicPr>
                        <pic:blipFill>
                          <a:blip r:embed="rId76" cstate="print"/>
                          <a:stretch>
                            <a:fillRect/>
                          </a:stretch>
                        </pic:blipFill>
                        <pic:spPr>
                          <a:xfrm>
                            <a:off x="1423149" y="1654555"/>
                            <a:ext cx="81610" cy="36119"/>
                          </a:xfrm>
                          <a:prstGeom prst="rect">
                            <a:avLst/>
                          </a:prstGeom>
                        </pic:spPr>
                      </pic:pic>
                      <pic:pic>
                        <pic:nvPicPr>
                          <pic:cNvPr id="159" name="Image 159"/>
                          <pic:cNvPicPr/>
                        </pic:nvPicPr>
                        <pic:blipFill>
                          <a:blip r:embed="rId77" cstate="print"/>
                          <a:stretch>
                            <a:fillRect/>
                          </a:stretch>
                        </pic:blipFill>
                        <pic:spPr>
                          <a:xfrm>
                            <a:off x="1423149" y="2034832"/>
                            <a:ext cx="81610" cy="36118"/>
                          </a:xfrm>
                          <a:prstGeom prst="rect">
                            <a:avLst/>
                          </a:prstGeom>
                        </pic:spPr>
                      </pic:pic>
                      <pic:pic>
                        <pic:nvPicPr>
                          <pic:cNvPr id="160" name="Image 160"/>
                          <pic:cNvPicPr/>
                        </pic:nvPicPr>
                        <pic:blipFill>
                          <a:blip r:embed="rId78" cstate="print"/>
                          <a:stretch>
                            <a:fillRect/>
                          </a:stretch>
                        </pic:blipFill>
                        <pic:spPr>
                          <a:xfrm>
                            <a:off x="5972862" y="966826"/>
                            <a:ext cx="35888" cy="36105"/>
                          </a:xfrm>
                          <a:prstGeom prst="rect">
                            <a:avLst/>
                          </a:prstGeom>
                        </pic:spPr>
                      </pic:pic>
                      <pic:pic>
                        <pic:nvPicPr>
                          <pic:cNvPr id="161" name="Image 161"/>
                          <pic:cNvPicPr/>
                        </pic:nvPicPr>
                        <pic:blipFill>
                          <a:blip r:embed="rId79" cstate="print"/>
                          <a:stretch>
                            <a:fillRect/>
                          </a:stretch>
                        </pic:blipFill>
                        <pic:spPr>
                          <a:xfrm>
                            <a:off x="3693182" y="1152093"/>
                            <a:ext cx="73139" cy="167027"/>
                          </a:xfrm>
                          <a:prstGeom prst="rect">
                            <a:avLst/>
                          </a:prstGeom>
                        </pic:spPr>
                      </pic:pic>
                      <pic:pic>
                        <pic:nvPicPr>
                          <pic:cNvPr id="162" name="Image 162"/>
                          <pic:cNvPicPr/>
                        </pic:nvPicPr>
                        <pic:blipFill>
                          <a:blip r:embed="rId80" cstate="print"/>
                          <a:stretch>
                            <a:fillRect/>
                          </a:stretch>
                        </pic:blipFill>
                        <pic:spPr>
                          <a:xfrm>
                            <a:off x="3565441" y="1654555"/>
                            <a:ext cx="55582" cy="36119"/>
                          </a:xfrm>
                          <a:prstGeom prst="rect">
                            <a:avLst/>
                          </a:prstGeom>
                        </pic:spPr>
                      </pic:pic>
                      <pic:pic>
                        <pic:nvPicPr>
                          <pic:cNvPr id="163" name="Image 163"/>
                          <pic:cNvPicPr/>
                        </pic:nvPicPr>
                        <pic:blipFill>
                          <a:blip r:embed="rId81" cstate="print"/>
                          <a:stretch>
                            <a:fillRect/>
                          </a:stretch>
                        </pic:blipFill>
                        <pic:spPr>
                          <a:xfrm>
                            <a:off x="3539299" y="2415108"/>
                            <a:ext cx="81724" cy="36118"/>
                          </a:xfrm>
                          <a:prstGeom prst="rect">
                            <a:avLst/>
                          </a:prstGeom>
                        </pic:spPr>
                      </pic:pic>
                      <pic:pic>
                        <pic:nvPicPr>
                          <pic:cNvPr id="164" name="Image 164"/>
                          <pic:cNvPicPr/>
                        </pic:nvPicPr>
                        <pic:blipFill>
                          <a:blip r:embed="rId82" cstate="print"/>
                          <a:stretch>
                            <a:fillRect/>
                          </a:stretch>
                        </pic:blipFill>
                        <pic:spPr>
                          <a:xfrm>
                            <a:off x="3539299" y="2795384"/>
                            <a:ext cx="81724" cy="36118"/>
                          </a:xfrm>
                          <a:prstGeom prst="rect">
                            <a:avLst/>
                          </a:prstGeom>
                        </pic:spPr>
                      </pic:pic>
                      <pic:pic>
                        <pic:nvPicPr>
                          <pic:cNvPr id="165" name="Image 165"/>
                          <pic:cNvPicPr/>
                        </pic:nvPicPr>
                        <pic:blipFill>
                          <a:blip r:embed="rId83" cstate="print"/>
                          <a:stretch>
                            <a:fillRect/>
                          </a:stretch>
                        </pic:blipFill>
                        <pic:spPr>
                          <a:xfrm>
                            <a:off x="3539299" y="3175660"/>
                            <a:ext cx="81724" cy="36118"/>
                          </a:xfrm>
                          <a:prstGeom prst="rect">
                            <a:avLst/>
                          </a:prstGeom>
                        </pic:spPr>
                      </pic:pic>
                      <pic:pic>
                        <pic:nvPicPr>
                          <pic:cNvPr id="166" name="Image 166"/>
                          <pic:cNvPicPr/>
                        </pic:nvPicPr>
                        <pic:blipFill>
                          <a:blip r:embed="rId84" cstate="print"/>
                          <a:stretch>
                            <a:fillRect/>
                          </a:stretch>
                        </pic:blipFill>
                        <pic:spPr>
                          <a:xfrm>
                            <a:off x="3539299" y="3555936"/>
                            <a:ext cx="81724" cy="36119"/>
                          </a:xfrm>
                          <a:prstGeom prst="rect">
                            <a:avLst/>
                          </a:prstGeom>
                        </pic:spPr>
                      </pic:pic>
                      <pic:pic>
                        <pic:nvPicPr>
                          <pic:cNvPr id="167" name="Image 167"/>
                          <pic:cNvPicPr/>
                        </pic:nvPicPr>
                        <pic:blipFill>
                          <a:blip r:embed="rId85" cstate="print"/>
                          <a:stretch>
                            <a:fillRect/>
                          </a:stretch>
                        </pic:blipFill>
                        <pic:spPr>
                          <a:xfrm>
                            <a:off x="3539299" y="3936212"/>
                            <a:ext cx="81724" cy="36118"/>
                          </a:xfrm>
                          <a:prstGeom prst="rect">
                            <a:avLst/>
                          </a:prstGeom>
                        </pic:spPr>
                      </pic:pic>
                      <pic:pic>
                        <pic:nvPicPr>
                          <pic:cNvPr id="168" name="Image 168"/>
                          <pic:cNvPicPr/>
                        </pic:nvPicPr>
                        <pic:blipFill>
                          <a:blip r:embed="rId85" cstate="print"/>
                          <a:stretch>
                            <a:fillRect/>
                          </a:stretch>
                        </pic:blipFill>
                        <pic:spPr>
                          <a:xfrm>
                            <a:off x="3539299" y="4316488"/>
                            <a:ext cx="81724" cy="36118"/>
                          </a:xfrm>
                          <a:prstGeom prst="rect">
                            <a:avLst/>
                          </a:prstGeom>
                        </pic:spPr>
                      </pic:pic>
                      <pic:pic>
                        <pic:nvPicPr>
                          <pic:cNvPr id="169" name="Image 169"/>
                          <pic:cNvPicPr/>
                        </pic:nvPicPr>
                        <pic:blipFill>
                          <a:blip r:embed="rId85" cstate="print"/>
                          <a:stretch>
                            <a:fillRect/>
                          </a:stretch>
                        </pic:blipFill>
                        <pic:spPr>
                          <a:xfrm>
                            <a:off x="3539299" y="4696764"/>
                            <a:ext cx="81724" cy="36118"/>
                          </a:xfrm>
                          <a:prstGeom prst="rect">
                            <a:avLst/>
                          </a:prstGeom>
                        </pic:spPr>
                      </pic:pic>
                      <pic:pic>
                        <pic:nvPicPr>
                          <pic:cNvPr id="170" name="Image 170"/>
                          <pic:cNvPicPr/>
                        </pic:nvPicPr>
                        <pic:blipFill>
                          <a:blip r:embed="rId86" cstate="print"/>
                          <a:stretch>
                            <a:fillRect/>
                          </a:stretch>
                        </pic:blipFill>
                        <pic:spPr>
                          <a:xfrm>
                            <a:off x="3539299" y="5077040"/>
                            <a:ext cx="81724" cy="36233"/>
                          </a:xfrm>
                          <a:prstGeom prst="rect">
                            <a:avLst/>
                          </a:prstGeom>
                        </pic:spPr>
                      </pic:pic>
                      <pic:pic>
                        <pic:nvPicPr>
                          <pic:cNvPr id="171" name="Image 171"/>
                          <pic:cNvPicPr/>
                        </pic:nvPicPr>
                        <pic:blipFill>
                          <a:blip r:embed="rId86" cstate="print"/>
                          <a:stretch>
                            <a:fillRect/>
                          </a:stretch>
                        </pic:blipFill>
                        <pic:spPr>
                          <a:xfrm>
                            <a:off x="3539299" y="5457317"/>
                            <a:ext cx="81724" cy="36232"/>
                          </a:xfrm>
                          <a:prstGeom prst="rect">
                            <a:avLst/>
                          </a:prstGeom>
                        </pic:spPr>
                      </pic:pic>
                      <pic:pic>
                        <pic:nvPicPr>
                          <pic:cNvPr id="172" name="Image 172"/>
                          <pic:cNvPicPr/>
                        </pic:nvPicPr>
                        <pic:blipFill>
                          <a:blip r:embed="rId86" cstate="print"/>
                          <a:stretch>
                            <a:fillRect/>
                          </a:stretch>
                        </pic:blipFill>
                        <pic:spPr>
                          <a:xfrm>
                            <a:off x="3539299" y="5837593"/>
                            <a:ext cx="81724" cy="36233"/>
                          </a:xfrm>
                          <a:prstGeom prst="rect">
                            <a:avLst/>
                          </a:prstGeom>
                        </pic:spPr>
                      </pic:pic>
                      <pic:pic>
                        <pic:nvPicPr>
                          <pic:cNvPr id="173" name="Image 173"/>
                          <pic:cNvPicPr/>
                        </pic:nvPicPr>
                        <pic:blipFill>
                          <a:blip r:embed="rId87" cstate="print"/>
                          <a:stretch>
                            <a:fillRect/>
                          </a:stretch>
                        </pic:blipFill>
                        <pic:spPr>
                          <a:xfrm>
                            <a:off x="3539299" y="6217868"/>
                            <a:ext cx="81724" cy="36233"/>
                          </a:xfrm>
                          <a:prstGeom prst="rect">
                            <a:avLst/>
                          </a:prstGeom>
                        </pic:spPr>
                      </pic:pic>
                      <pic:pic>
                        <pic:nvPicPr>
                          <pic:cNvPr id="174" name="Image 174"/>
                          <pic:cNvPicPr/>
                        </pic:nvPicPr>
                        <pic:blipFill>
                          <a:blip r:embed="rId88" cstate="print"/>
                          <a:stretch>
                            <a:fillRect/>
                          </a:stretch>
                        </pic:blipFill>
                        <pic:spPr>
                          <a:xfrm>
                            <a:off x="3539299" y="6598259"/>
                            <a:ext cx="81724" cy="36118"/>
                          </a:xfrm>
                          <a:prstGeom prst="rect">
                            <a:avLst/>
                          </a:prstGeom>
                        </pic:spPr>
                      </pic:pic>
                      <pic:pic>
                        <pic:nvPicPr>
                          <pic:cNvPr id="175" name="Image 175"/>
                          <pic:cNvPicPr/>
                        </pic:nvPicPr>
                        <pic:blipFill>
                          <a:blip r:embed="rId88" cstate="print"/>
                          <a:stretch>
                            <a:fillRect/>
                          </a:stretch>
                        </pic:blipFill>
                        <pic:spPr>
                          <a:xfrm>
                            <a:off x="3539299" y="6978536"/>
                            <a:ext cx="81724" cy="36118"/>
                          </a:xfrm>
                          <a:prstGeom prst="rect">
                            <a:avLst/>
                          </a:prstGeom>
                        </pic:spPr>
                      </pic:pic>
                      <pic:pic>
                        <pic:nvPicPr>
                          <pic:cNvPr id="176" name="Image 176"/>
                          <pic:cNvPicPr/>
                        </pic:nvPicPr>
                        <pic:blipFill>
                          <a:blip r:embed="rId89" cstate="print"/>
                          <a:stretch>
                            <a:fillRect/>
                          </a:stretch>
                        </pic:blipFill>
                        <pic:spPr>
                          <a:xfrm>
                            <a:off x="5655449" y="1654555"/>
                            <a:ext cx="81724" cy="36119"/>
                          </a:xfrm>
                          <a:prstGeom prst="rect">
                            <a:avLst/>
                          </a:prstGeom>
                        </pic:spPr>
                      </pic:pic>
                      <pic:pic>
                        <pic:nvPicPr>
                          <pic:cNvPr id="177" name="Image 177"/>
                          <pic:cNvPicPr/>
                        </pic:nvPicPr>
                        <pic:blipFill>
                          <a:blip r:embed="rId90" cstate="print"/>
                          <a:stretch>
                            <a:fillRect/>
                          </a:stretch>
                        </pic:blipFill>
                        <pic:spPr>
                          <a:xfrm>
                            <a:off x="5655449" y="2034832"/>
                            <a:ext cx="81724" cy="36118"/>
                          </a:xfrm>
                          <a:prstGeom prst="rect">
                            <a:avLst/>
                          </a:prstGeom>
                        </pic:spPr>
                      </pic:pic>
                      <pic:pic>
                        <pic:nvPicPr>
                          <pic:cNvPr id="178" name="Image 178"/>
                          <pic:cNvPicPr/>
                        </pic:nvPicPr>
                        <pic:blipFill>
                          <a:blip r:embed="rId91" cstate="print"/>
                          <a:stretch>
                            <a:fillRect/>
                          </a:stretch>
                        </pic:blipFill>
                        <pic:spPr>
                          <a:xfrm>
                            <a:off x="5655449" y="2415108"/>
                            <a:ext cx="81724" cy="36118"/>
                          </a:xfrm>
                          <a:prstGeom prst="rect">
                            <a:avLst/>
                          </a:prstGeom>
                        </pic:spPr>
                      </pic:pic>
                      <pic:pic>
                        <pic:nvPicPr>
                          <pic:cNvPr id="179" name="Image 179"/>
                          <pic:cNvPicPr/>
                        </pic:nvPicPr>
                        <pic:blipFill>
                          <a:blip r:embed="rId92" cstate="print"/>
                          <a:stretch>
                            <a:fillRect/>
                          </a:stretch>
                        </pic:blipFill>
                        <pic:spPr>
                          <a:xfrm>
                            <a:off x="5655449" y="2795384"/>
                            <a:ext cx="81724" cy="36118"/>
                          </a:xfrm>
                          <a:prstGeom prst="rect">
                            <a:avLst/>
                          </a:prstGeom>
                        </pic:spPr>
                      </pic:pic>
                      <pic:pic>
                        <pic:nvPicPr>
                          <pic:cNvPr id="180" name="Image 180"/>
                          <pic:cNvPicPr/>
                        </pic:nvPicPr>
                        <pic:blipFill>
                          <a:blip r:embed="rId93" cstate="print"/>
                          <a:stretch>
                            <a:fillRect/>
                          </a:stretch>
                        </pic:blipFill>
                        <pic:spPr>
                          <a:xfrm>
                            <a:off x="5655449" y="3175660"/>
                            <a:ext cx="81724" cy="36118"/>
                          </a:xfrm>
                          <a:prstGeom prst="rect">
                            <a:avLst/>
                          </a:prstGeom>
                        </pic:spPr>
                      </pic:pic>
                      <pic:pic>
                        <pic:nvPicPr>
                          <pic:cNvPr id="181" name="Image 181"/>
                          <pic:cNvPicPr/>
                        </pic:nvPicPr>
                        <pic:blipFill>
                          <a:blip r:embed="rId94" cstate="print"/>
                          <a:stretch>
                            <a:fillRect/>
                          </a:stretch>
                        </pic:blipFill>
                        <pic:spPr>
                          <a:xfrm>
                            <a:off x="5655449" y="4316488"/>
                            <a:ext cx="81724" cy="36118"/>
                          </a:xfrm>
                          <a:prstGeom prst="rect">
                            <a:avLst/>
                          </a:prstGeom>
                        </pic:spPr>
                      </pic:pic>
                      <pic:pic>
                        <pic:nvPicPr>
                          <pic:cNvPr id="182" name="Image 182"/>
                          <pic:cNvPicPr/>
                        </pic:nvPicPr>
                        <pic:blipFill>
                          <a:blip r:embed="rId95" cstate="print"/>
                          <a:stretch>
                            <a:fillRect/>
                          </a:stretch>
                        </pic:blipFill>
                        <pic:spPr>
                          <a:xfrm>
                            <a:off x="5655449" y="4696764"/>
                            <a:ext cx="81724" cy="36118"/>
                          </a:xfrm>
                          <a:prstGeom prst="rect">
                            <a:avLst/>
                          </a:prstGeom>
                        </pic:spPr>
                      </pic:pic>
                      <pic:pic>
                        <pic:nvPicPr>
                          <pic:cNvPr id="183" name="Image 183"/>
                          <pic:cNvPicPr/>
                        </pic:nvPicPr>
                        <pic:blipFill>
                          <a:blip r:embed="rId96" cstate="print"/>
                          <a:stretch>
                            <a:fillRect/>
                          </a:stretch>
                        </pic:blipFill>
                        <pic:spPr>
                          <a:xfrm>
                            <a:off x="5655449" y="5077040"/>
                            <a:ext cx="81724" cy="36233"/>
                          </a:xfrm>
                          <a:prstGeom prst="rect">
                            <a:avLst/>
                          </a:prstGeom>
                        </pic:spPr>
                      </pic:pic>
                      <pic:pic>
                        <pic:nvPicPr>
                          <pic:cNvPr id="184" name="Image 184"/>
                          <pic:cNvPicPr/>
                        </pic:nvPicPr>
                        <pic:blipFill>
                          <a:blip r:embed="rId96" cstate="print"/>
                          <a:stretch>
                            <a:fillRect/>
                          </a:stretch>
                        </pic:blipFill>
                        <pic:spPr>
                          <a:xfrm>
                            <a:off x="5655449" y="5457317"/>
                            <a:ext cx="81724" cy="36232"/>
                          </a:xfrm>
                          <a:prstGeom prst="rect">
                            <a:avLst/>
                          </a:prstGeom>
                        </pic:spPr>
                      </pic:pic>
                      <pic:pic>
                        <pic:nvPicPr>
                          <pic:cNvPr id="185" name="Image 185"/>
                          <pic:cNvPicPr/>
                        </pic:nvPicPr>
                        <pic:blipFill>
                          <a:blip r:embed="rId96" cstate="print"/>
                          <a:stretch>
                            <a:fillRect/>
                          </a:stretch>
                        </pic:blipFill>
                        <pic:spPr>
                          <a:xfrm>
                            <a:off x="5655449" y="5837593"/>
                            <a:ext cx="81724" cy="36233"/>
                          </a:xfrm>
                          <a:prstGeom prst="rect">
                            <a:avLst/>
                          </a:prstGeom>
                        </pic:spPr>
                      </pic:pic>
                      <pic:pic>
                        <pic:nvPicPr>
                          <pic:cNvPr id="186" name="Image 186"/>
                          <pic:cNvPicPr/>
                        </pic:nvPicPr>
                        <pic:blipFill>
                          <a:blip r:embed="rId97" cstate="print"/>
                          <a:stretch>
                            <a:fillRect/>
                          </a:stretch>
                        </pic:blipFill>
                        <pic:spPr>
                          <a:xfrm>
                            <a:off x="5655449" y="6217868"/>
                            <a:ext cx="81724" cy="36233"/>
                          </a:xfrm>
                          <a:prstGeom prst="rect">
                            <a:avLst/>
                          </a:prstGeom>
                        </pic:spPr>
                      </pic:pic>
                      <pic:pic>
                        <pic:nvPicPr>
                          <pic:cNvPr id="187" name="Image 187"/>
                          <pic:cNvPicPr/>
                        </pic:nvPicPr>
                        <pic:blipFill>
                          <a:blip r:embed="rId97" cstate="print"/>
                          <a:stretch>
                            <a:fillRect/>
                          </a:stretch>
                        </pic:blipFill>
                        <pic:spPr>
                          <a:xfrm>
                            <a:off x="5655449" y="6598259"/>
                            <a:ext cx="81724" cy="36118"/>
                          </a:xfrm>
                          <a:prstGeom prst="rect">
                            <a:avLst/>
                          </a:prstGeom>
                        </pic:spPr>
                      </pic:pic>
                      <pic:pic>
                        <pic:nvPicPr>
                          <pic:cNvPr id="188" name="Image 188"/>
                          <pic:cNvPicPr/>
                        </pic:nvPicPr>
                        <pic:blipFill>
                          <a:blip r:embed="rId97" cstate="print"/>
                          <a:stretch>
                            <a:fillRect/>
                          </a:stretch>
                        </pic:blipFill>
                        <pic:spPr>
                          <a:xfrm>
                            <a:off x="5655449" y="6978536"/>
                            <a:ext cx="81724" cy="36118"/>
                          </a:xfrm>
                          <a:prstGeom prst="rect">
                            <a:avLst/>
                          </a:prstGeom>
                        </pic:spPr>
                      </pic:pic>
                      <pic:pic>
                        <pic:nvPicPr>
                          <pic:cNvPr id="189" name="Image 189"/>
                          <pic:cNvPicPr/>
                        </pic:nvPicPr>
                        <pic:blipFill>
                          <a:blip r:embed="rId98" cstate="print"/>
                          <a:stretch>
                            <a:fillRect/>
                          </a:stretch>
                        </pic:blipFill>
                        <pic:spPr>
                          <a:xfrm>
                            <a:off x="1977275" y="2011057"/>
                            <a:ext cx="54521" cy="83667"/>
                          </a:xfrm>
                          <a:prstGeom prst="rect">
                            <a:avLst/>
                          </a:prstGeom>
                        </pic:spPr>
                      </pic:pic>
                      <pic:pic>
                        <pic:nvPicPr>
                          <pic:cNvPr id="190" name="Image 190"/>
                          <pic:cNvPicPr/>
                        </pic:nvPicPr>
                        <pic:blipFill>
                          <a:blip r:embed="rId99" cstate="print"/>
                          <a:stretch>
                            <a:fillRect/>
                          </a:stretch>
                        </pic:blipFill>
                        <pic:spPr>
                          <a:xfrm>
                            <a:off x="2155355" y="2058622"/>
                            <a:ext cx="59827" cy="83652"/>
                          </a:xfrm>
                          <a:prstGeom prst="rect">
                            <a:avLst/>
                          </a:prstGeom>
                        </pic:spPr>
                      </pic:pic>
                      <pic:pic>
                        <pic:nvPicPr>
                          <pic:cNvPr id="191" name="Image 191"/>
                          <pic:cNvPicPr/>
                        </pic:nvPicPr>
                        <pic:blipFill>
                          <a:blip r:embed="rId100" cstate="print"/>
                          <a:stretch>
                            <a:fillRect/>
                          </a:stretch>
                        </pic:blipFill>
                        <pic:spPr>
                          <a:xfrm>
                            <a:off x="1977275" y="2391333"/>
                            <a:ext cx="54521" cy="83667"/>
                          </a:xfrm>
                          <a:prstGeom prst="rect">
                            <a:avLst/>
                          </a:prstGeom>
                        </pic:spPr>
                      </pic:pic>
                      <pic:pic>
                        <pic:nvPicPr>
                          <pic:cNvPr id="192" name="Image 192"/>
                          <pic:cNvPicPr/>
                        </pic:nvPicPr>
                        <pic:blipFill>
                          <a:blip r:embed="rId101" cstate="print"/>
                          <a:stretch>
                            <a:fillRect/>
                          </a:stretch>
                        </pic:blipFill>
                        <pic:spPr>
                          <a:xfrm>
                            <a:off x="1977275" y="2771609"/>
                            <a:ext cx="54521" cy="83667"/>
                          </a:xfrm>
                          <a:prstGeom prst="rect">
                            <a:avLst/>
                          </a:prstGeom>
                        </pic:spPr>
                      </pic:pic>
                      <pic:pic>
                        <pic:nvPicPr>
                          <pic:cNvPr id="193" name="Image 193"/>
                          <pic:cNvPicPr/>
                        </pic:nvPicPr>
                        <pic:blipFill>
                          <a:blip r:embed="rId102" cstate="print"/>
                          <a:stretch>
                            <a:fillRect/>
                          </a:stretch>
                        </pic:blipFill>
                        <pic:spPr>
                          <a:xfrm>
                            <a:off x="1977275" y="3151886"/>
                            <a:ext cx="54521" cy="83667"/>
                          </a:xfrm>
                          <a:prstGeom prst="rect">
                            <a:avLst/>
                          </a:prstGeom>
                        </pic:spPr>
                      </pic:pic>
                      <pic:pic>
                        <pic:nvPicPr>
                          <pic:cNvPr id="194" name="Image 194"/>
                          <pic:cNvPicPr/>
                        </pic:nvPicPr>
                        <pic:blipFill>
                          <a:blip r:embed="rId103" cstate="print"/>
                          <a:stretch>
                            <a:fillRect/>
                          </a:stretch>
                        </pic:blipFill>
                        <pic:spPr>
                          <a:xfrm>
                            <a:off x="1977275" y="3532162"/>
                            <a:ext cx="54521" cy="83667"/>
                          </a:xfrm>
                          <a:prstGeom prst="rect">
                            <a:avLst/>
                          </a:prstGeom>
                        </pic:spPr>
                      </pic:pic>
                      <pic:pic>
                        <pic:nvPicPr>
                          <pic:cNvPr id="195" name="Image 195"/>
                          <pic:cNvPicPr/>
                        </pic:nvPicPr>
                        <pic:blipFill>
                          <a:blip r:embed="rId104" cstate="print"/>
                          <a:stretch>
                            <a:fillRect/>
                          </a:stretch>
                        </pic:blipFill>
                        <pic:spPr>
                          <a:xfrm>
                            <a:off x="1977275" y="3912438"/>
                            <a:ext cx="54521" cy="83667"/>
                          </a:xfrm>
                          <a:prstGeom prst="rect">
                            <a:avLst/>
                          </a:prstGeom>
                        </pic:spPr>
                      </pic:pic>
                      <pic:pic>
                        <pic:nvPicPr>
                          <pic:cNvPr id="196" name="Image 196"/>
                          <pic:cNvPicPr/>
                        </pic:nvPicPr>
                        <pic:blipFill>
                          <a:blip r:embed="rId105" cstate="print"/>
                          <a:stretch>
                            <a:fillRect/>
                          </a:stretch>
                        </pic:blipFill>
                        <pic:spPr>
                          <a:xfrm>
                            <a:off x="1977275" y="4292714"/>
                            <a:ext cx="54521" cy="83667"/>
                          </a:xfrm>
                          <a:prstGeom prst="rect">
                            <a:avLst/>
                          </a:prstGeom>
                        </pic:spPr>
                      </pic:pic>
                      <pic:pic>
                        <pic:nvPicPr>
                          <pic:cNvPr id="197" name="Image 197"/>
                          <pic:cNvPicPr/>
                        </pic:nvPicPr>
                        <pic:blipFill>
                          <a:blip r:embed="rId106" cstate="print"/>
                          <a:stretch>
                            <a:fillRect/>
                          </a:stretch>
                        </pic:blipFill>
                        <pic:spPr>
                          <a:xfrm>
                            <a:off x="1977275" y="4672990"/>
                            <a:ext cx="54521" cy="83667"/>
                          </a:xfrm>
                          <a:prstGeom prst="rect">
                            <a:avLst/>
                          </a:prstGeom>
                        </pic:spPr>
                      </pic:pic>
                      <pic:pic>
                        <pic:nvPicPr>
                          <pic:cNvPr id="198" name="Image 198"/>
                          <pic:cNvPicPr/>
                        </pic:nvPicPr>
                        <pic:blipFill>
                          <a:blip r:embed="rId106" cstate="print"/>
                          <a:stretch>
                            <a:fillRect/>
                          </a:stretch>
                        </pic:blipFill>
                        <pic:spPr>
                          <a:xfrm>
                            <a:off x="1977275" y="5053266"/>
                            <a:ext cx="54521" cy="83667"/>
                          </a:xfrm>
                          <a:prstGeom prst="rect">
                            <a:avLst/>
                          </a:prstGeom>
                        </pic:spPr>
                      </pic:pic>
                      <pic:pic>
                        <pic:nvPicPr>
                          <pic:cNvPr id="199" name="Image 199"/>
                          <pic:cNvPicPr/>
                        </pic:nvPicPr>
                        <pic:blipFill>
                          <a:blip r:embed="rId106" cstate="print"/>
                          <a:stretch>
                            <a:fillRect/>
                          </a:stretch>
                        </pic:blipFill>
                        <pic:spPr>
                          <a:xfrm>
                            <a:off x="1977275" y="5433542"/>
                            <a:ext cx="54521" cy="83781"/>
                          </a:xfrm>
                          <a:prstGeom prst="rect">
                            <a:avLst/>
                          </a:prstGeom>
                        </pic:spPr>
                      </pic:pic>
                      <pic:pic>
                        <pic:nvPicPr>
                          <pic:cNvPr id="200" name="Image 200"/>
                          <pic:cNvPicPr/>
                        </pic:nvPicPr>
                        <pic:blipFill>
                          <a:blip r:embed="rId107" cstate="print"/>
                          <a:stretch>
                            <a:fillRect/>
                          </a:stretch>
                        </pic:blipFill>
                        <pic:spPr>
                          <a:xfrm>
                            <a:off x="1977275" y="5813818"/>
                            <a:ext cx="54521" cy="83781"/>
                          </a:xfrm>
                          <a:prstGeom prst="rect">
                            <a:avLst/>
                          </a:prstGeom>
                        </pic:spPr>
                      </pic:pic>
                      <pic:pic>
                        <pic:nvPicPr>
                          <pic:cNvPr id="201" name="Image 201"/>
                          <pic:cNvPicPr/>
                        </pic:nvPicPr>
                        <pic:blipFill>
                          <a:blip r:embed="rId107" cstate="print"/>
                          <a:stretch>
                            <a:fillRect/>
                          </a:stretch>
                        </pic:blipFill>
                        <pic:spPr>
                          <a:xfrm>
                            <a:off x="1977275" y="6194209"/>
                            <a:ext cx="54521" cy="83667"/>
                          </a:xfrm>
                          <a:prstGeom prst="rect">
                            <a:avLst/>
                          </a:prstGeom>
                        </pic:spPr>
                      </pic:pic>
                      <pic:pic>
                        <pic:nvPicPr>
                          <pic:cNvPr id="202" name="Image 202"/>
                          <pic:cNvPicPr/>
                        </pic:nvPicPr>
                        <pic:blipFill>
                          <a:blip r:embed="rId107" cstate="print"/>
                          <a:stretch>
                            <a:fillRect/>
                          </a:stretch>
                        </pic:blipFill>
                        <pic:spPr>
                          <a:xfrm>
                            <a:off x="1977275" y="6574484"/>
                            <a:ext cx="54521" cy="83667"/>
                          </a:xfrm>
                          <a:prstGeom prst="rect">
                            <a:avLst/>
                          </a:prstGeom>
                        </pic:spPr>
                      </pic:pic>
                      <pic:pic>
                        <pic:nvPicPr>
                          <pic:cNvPr id="203" name="Image 203"/>
                          <pic:cNvPicPr/>
                        </pic:nvPicPr>
                        <pic:blipFill>
                          <a:blip r:embed="rId107" cstate="print"/>
                          <a:stretch>
                            <a:fillRect/>
                          </a:stretch>
                        </pic:blipFill>
                        <pic:spPr>
                          <a:xfrm>
                            <a:off x="1977275" y="6954761"/>
                            <a:ext cx="54521" cy="83667"/>
                          </a:xfrm>
                          <a:prstGeom prst="rect">
                            <a:avLst/>
                          </a:prstGeom>
                        </pic:spPr>
                      </pic:pic>
                      <pic:pic>
                        <pic:nvPicPr>
                          <pic:cNvPr id="204" name="Image 204"/>
                          <pic:cNvPicPr/>
                        </pic:nvPicPr>
                        <pic:blipFill>
                          <a:blip r:embed="rId108" cstate="print"/>
                          <a:stretch>
                            <a:fillRect/>
                          </a:stretch>
                        </pic:blipFill>
                        <pic:spPr>
                          <a:xfrm>
                            <a:off x="5151501" y="2391333"/>
                            <a:ext cx="54635" cy="83667"/>
                          </a:xfrm>
                          <a:prstGeom prst="rect">
                            <a:avLst/>
                          </a:prstGeom>
                        </pic:spPr>
                      </pic:pic>
                      <pic:pic>
                        <pic:nvPicPr>
                          <pic:cNvPr id="205" name="Image 205"/>
                          <pic:cNvPicPr/>
                        </pic:nvPicPr>
                        <pic:blipFill>
                          <a:blip r:embed="rId109" cstate="print"/>
                          <a:stretch>
                            <a:fillRect/>
                          </a:stretch>
                        </pic:blipFill>
                        <pic:spPr>
                          <a:xfrm>
                            <a:off x="5151501" y="2771609"/>
                            <a:ext cx="54635" cy="83667"/>
                          </a:xfrm>
                          <a:prstGeom prst="rect">
                            <a:avLst/>
                          </a:prstGeom>
                        </pic:spPr>
                      </pic:pic>
                      <pic:pic>
                        <pic:nvPicPr>
                          <pic:cNvPr id="206" name="Image 206"/>
                          <pic:cNvPicPr/>
                        </pic:nvPicPr>
                        <pic:blipFill>
                          <a:blip r:embed="rId110" cstate="print"/>
                          <a:stretch>
                            <a:fillRect/>
                          </a:stretch>
                        </pic:blipFill>
                        <pic:spPr>
                          <a:xfrm>
                            <a:off x="5151501" y="3151886"/>
                            <a:ext cx="54635" cy="83667"/>
                          </a:xfrm>
                          <a:prstGeom prst="rect">
                            <a:avLst/>
                          </a:prstGeom>
                        </pic:spPr>
                      </pic:pic>
                      <pic:pic>
                        <pic:nvPicPr>
                          <pic:cNvPr id="207" name="Image 207"/>
                          <pic:cNvPicPr/>
                        </pic:nvPicPr>
                        <pic:blipFill>
                          <a:blip r:embed="rId111" cstate="print"/>
                          <a:stretch>
                            <a:fillRect/>
                          </a:stretch>
                        </pic:blipFill>
                        <pic:spPr>
                          <a:xfrm>
                            <a:off x="5151501" y="3532162"/>
                            <a:ext cx="54635" cy="83667"/>
                          </a:xfrm>
                          <a:prstGeom prst="rect">
                            <a:avLst/>
                          </a:prstGeom>
                        </pic:spPr>
                      </pic:pic>
                      <pic:pic>
                        <pic:nvPicPr>
                          <pic:cNvPr id="208" name="Image 208"/>
                          <pic:cNvPicPr/>
                        </pic:nvPicPr>
                        <pic:blipFill>
                          <a:blip r:embed="rId112" cstate="print"/>
                          <a:stretch>
                            <a:fillRect/>
                          </a:stretch>
                        </pic:blipFill>
                        <pic:spPr>
                          <a:xfrm>
                            <a:off x="5151501" y="3912438"/>
                            <a:ext cx="54635" cy="83667"/>
                          </a:xfrm>
                          <a:prstGeom prst="rect">
                            <a:avLst/>
                          </a:prstGeom>
                        </pic:spPr>
                      </pic:pic>
                      <pic:pic>
                        <pic:nvPicPr>
                          <pic:cNvPr id="209" name="Image 209"/>
                          <pic:cNvPicPr/>
                        </pic:nvPicPr>
                        <pic:blipFill>
                          <a:blip r:embed="rId113" cstate="print"/>
                          <a:stretch>
                            <a:fillRect/>
                          </a:stretch>
                        </pic:blipFill>
                        <pic:spPr>
                          <a:xfrm>
                            <a:off x="5151501" y="4292714"/>
                            <a:ext cx="54635" cy="83667"/>
                          </a:xfrm>
                          <a:prstGeom prst="rect">
                            <a:avLst/>
                          </a:prstGeom>
                        </pic:spPr>
                      </pic:pic>
                      <pic:pic>
                        <pic:nvPicPr>
                          <pic:cNvPr id="210" name="Image 210"/>
                          <pic:cNvPicPr/>
                        </pic:nvPicPr>
                        <pic:blipFill>
                          <a:blip r:embed="rId114" cstate="print"/>
                          <a:stretch>
                            <a:fillRect/>
                          </a:stretch>
                        </pic:blipFill>
                        <pic:spPr>
                          <a:xfrm>
                            <a:off x="5151501" y="4672990"/>
                            <a:ext cx="54635" cy="83667"/>
                          </a:xfrm>
                          <a:prstGeom prst="rect">
                            <a:avLst/>
                          </a:prstGeom>
                        </pic:spPr>
                      </pic:pic>
                      <pic:pic>
                        <pic:nvPicPr>
                          <pic:cNvPr id="211" name="Image 211"/>
                          <pic:cNvPicPr/>
                        </pic:nvPicPr>
                        <pic:blipFill>
                          <a:blip r:embed="rId114" cstate="print"/>
                          <a:stretch>
                            <a:fillRect/>
                          </a:stretch>
                        </pic:blipFill>
                        <pic:spPr>
                          <a:xfrm>
                            <a:off x="5151501" y="5053266"/>
                            <a:ext cx="54635" cy="83667"/>
                          </a:xfrm>
                          <a:prstGeom prst="rect">
                            <a:avLst/>
                          </a:prstGeom>
                        </pic:spPr>
                      </pic:pic>
                      <pic:pic>
                        <pic:nvPicPr>
                          <pic:cNvPr id="212" name="Image 212"/>
                          <pic:cNvPicPr/>
                        </pic:nvPicPr>
                        <pic:blipFill>
                          <a:blip r:embed="rId114" cstate="print"/>
                          <a:stretch>
                            <a:fillRect/>
                          </a:stretch>
                        </pic:blipFill>
                        <pic:spPr>
                          <a:xfrm>
                            <a:off x="5151501" y="5433542"/>
                            <a:ext cx="54635" cy="83781"/>
                          </a:xfrm>
                          <a:prstGeom prst="rect">
                            <a:avLst/>
                          </a:prstGeom>
                        </pic:spPr>
                      </pic:pic>
                      <pic:pic>
                        <pic:nvPicPr>
                          <pic:cNvPr id="213" name="Image 213"/>
                          <pic:cNvPicPr/>
                        </pic:nvPicPr>
                        <pic:blipFill>
                          <a:blip r:embed="rId115" cstate="print"/>
                          <a:stretch>
                            <a:fillRect/>
                          </a:stretch>
                        </pic:blipFill>
                        <pic:spPr>
                          <a:xfrm>
                            <a:off x="5151501" y="5813818"/>
                            <a:ext cx="54635" cy="83781"/>
                          </a:xfrm>
                          <a:prstGeom prst="rect">
                            <a:avLst/>
                          </a:prstGeom>
                        </pic:spPr>
                      </pic:pic>
                      <pic:pic>
                        <pic:nvPicPr>
                          <pic:cNvPr id="214" name="Image 214"/>
                          <pic:cNvPicPr/>
                        </pic:nvPicPr>
                        <pic:blipFill>
                          <a:blip r:embed="rId115" cstate="print"/>
                          <a:stretch>
                            <a:fillRect/>
                          </a:stretch>
                        </pic:blipFill>
                        <pic:spPr>
                          <a:xfrm>
                            <a:off x="5151501" y="6194209"/>
                            <a:ext cx="54635" cy="83667"/>
                          </a:xfrm>
                          <a:prstGeom prst="rect">
                            <a:avLst/>
                          </a:prstGeom>
                        </pic:spPr>
                      </pic:pic>
                      <pic:pic>
                        <pic:nvPicPr>
                          <pic:cNvPr id="215" name="Image 215"/>
                          <pic:cNvPicPr/>
                        </pic:nvPicPr>
                        <pic:blipFill>
                          <a:blip r:embed="rId115" cstate="print"/>
                          <a:stretch>
                            <a:fillRect/>
                          </a:stretch>
                        </pic:blipFill>
                        <pic:spPr>
                          <a:xfrm>
                            <a:off x="5151501" y="6574484"/>
                            <a:ext cx="54635" cy="83667"/>
                          </a:xfrm>
                          <a:prstGeom prst="rect">
                            <a:avLst/>
                          </a:prstGeom>
                        </pic:spPr>
                      </pic:pic>
                      <pic:pic>
                        <pic:nvPicPr>
                          <pic:cNvPr id="216" name="Image 216"/>
                          <pic:cNvPicPr/>
                        </pic:nvPicPr>
                        <pic:blipFill>
                          <a:blip r:embed="rId115" cstate="print"/>
                          <a:stretch>
                            <a:fillRect/>
                          </a:stretch>
                        </pic:blipFill>
                        <pic:spPr>
                          <a:xfrm>
                            <a:off x="5151501" y="6954761"/>
                            <a:ext cx="54635" cy="83667"/>
                          </a:xfrm>
                          <a:prstGeom prst="rect">
                            <a:avLst/>
                          </a:prstGeom>
                        </pic:spPr>
                      </pic:pic>
                      <pic:pic>
                        <pic:nvPicPr>
                          <pic:cNvPr id="217" name="Image 217"/>
                          <pic:cNvPicPr/>
                        </pic:nvPicPr>
                        <pic:blipFill>
                          <a:blip r:embed="rId116" cstate="print"/>
                          <a:stretch>
                            <a:fillRect/>
                          </a:stretch>
                        </pic:blipFill>
                        <pic:spPr>
                          <a:xfrm>
                            <a:off x="2481224" y="2795384"/>
                            <a:ext cx="81724" cy="36118"/>
                          </a:xfrm>
                          <a:prstGeom prst="rect">
                            <a:avLst/>
                          </a:prstGeom>
                        </pic:spPr>
                      </pic:pic>
                      <pic:pic>
                        <pic:nvPicPr>
                          <pic:cNvPr id="218" name="Image 218"/>
                          <pic:cNvPicPr/>
                        </pic:nvPicPr>
                        <pic:blipFill>
                          <a:blip r:embed="rId117" cstate="print"/>
                          <a:stretch>
                            <a:fillRect/>
                          </a:stretch>
                        </pic:blipFill>
                        <pic:spPr>
                          <a:xfrm>
                            <a:off x="2481224" y="3175660"/>
                            <a:ext cx="81724" cy="36118"/>
                          </a:xfrm>
                          <a:prstGeom prst="rect">
                            <a:avLst/>
                          </a:prstGeom>
                        </pic:spPr>
                      </pic:pic>
                      <pic:pic>
                        <pic:nvPicPr>
                          <pic:cNvPr id="219" name="Image 219"/>
                          <pic:cNvPicPr/>
                        </pic:nvPicPr>
                        <pic:blipFill>
                          <a:blip r:embed="rId118" cstate="print"/>
                          <a:stretch>
                            <a:fillRect/>
                          </a:stretch>
                        </pic:blipFill>
                        <pic:spPr>
                          <a:xfrm>
                            <a:off x="2481224" y="3555936"/>
                            <a:ext cx="81724" cy="36119"/>
                          </a:xfrm>
                          <a:prstGeom prst="rect">
                            <a:avLst/>
                          </a:prstGeom>
                        </pic:spPr>
                      </pic:pic>
                      <pic:pic>
                        <pic:nvPicPr>
                          <pic:cNvPr id="220" name="Image 220"/>
                          <pic:cNvPicPr/>
                        </pic:nvPicPr>
                        <pic:blipFill>
                          <a:blip r:embed="rId85" cstate="print"/>
                          <a:stretch>
                            <a:fillRect/>
                          </a:stretch>
                        </pic:blipFill>
                        <pic:spPr>
                          <a:xfrm>
                            <a:off x="2481224" y="3936212"/>
                            <a:ext cx="81724" cy="36118"/>
                          </a:xfrm>
                          <a:prstGeom prst="rect">
                            <a:avLst/>
                          </a:prstGeom>
                        </pic:spPr>
                      </pic:pic>
                      <pic:pic>
                        <pic:nvPicPr>
                          <pic:cNvPr id="221" name="Image 221"/>
                          <pic:cNvPicPr/>
                        </pic:nvPicPr>
                        <pic:blipFill>
                          <a:blip r:embed="rId85" cstate="print"/>
                          <a:stretch>
                            <a:fillRect/>
                          </a:stretch>
                        </pic:blipFill>
                        <pic:spPr>
                          <a:xfrm>
                            <a:off x="2481224" y="4316488"/>
                            <a:ext cx="81724" cy="36118"/>
                          </a:xfrm>
                          <a:prstGeom prst="rect">
                            <a:avLst/>
                          </a:prstGeom>
                        </pic:spPr>
                      </pic:pic>
                      <pic:pic>
                        <pic:nvPicPr>
                          <pic:cNvPr id="222" name="Image 222"/>
                          <pic:cNvPicPr/>
                        </pic:nvPicPr>
                        <pic:blipFill>
                          <a:blip r:embed="rId85" cstate="print"/>
                          <a:stretch>
                            <a:fillRect/>
                          </a:stretch>
                        </pic:blipFill>
                        <pic:spPr>
                          <a:xfrm>
                            <a:off x="2481224" y="4696764"/>
                            <a:ext cx="81724" cy="36118"/>
                          </a:xfrm>
                          <a:prstGeom prst="rect">
                            <a:avLst/>
                          </a:prstGeom>
                        </pic:spPr>
                      </pic:pic>
                      <pic:pic>
                        <pic:nvPicPr>
                          <pic:cNvPr id="223" name="Image 223"/>
                          <pic:cNvPicPr/>
                        </pic:nvPicPr>
                        <pic:blipFill>
                          <a:blip r:embed="rId86" cstate="print"/>
                          <a:stretch>
                            <a:fillRect/>
                          </a:stretch>
                        </pic:blipFill>
                        <pic:spPr>
                          <a:xfrm>
                            <a:off x="2481224" y="5077040"/>
                            <a:ext cx="81724" cy="36233"/>
                          </a:xfrm>
                          <a:prstGeom prst="rect">
                            <a:avLst/>
                          </a:prstGeom>
                        </pic:spPr>
                      </pic:pic>
                      <pic:pic>
                        <pic:nvPicPr>
                          <pic:cNvPr id="224" name="Image 224"/>
                          <pic:cNvPicPr/>
                        </pic:nvPicPr>
                        <pic:blipFill>
                          <a:blip r:embed="rId119" cstate="print"/>
                          <a:stretch>
                            <a:fillRect/>
                          </a:stretch>
                        </pic:blipFill>
                        <pic:spPr>
                          <a:xfrm>
                            <a:off x="2481224" y="6598259"/>
                            <a:ext cx="81724" cy="36118"/>
                          </a:xfrm>
                          <a:prstGeom prst="rect">
                            <a:avLst/>
                          </a:prstGeom>
                        </pic:spPr>
                      </pic:pic>
                      <pic:pic>
                        <pic:nvPicPr>
                          <pic:cNvPr id="225" name="Image 225"/>
                          <pic:cNvPicPr/>
                        </pic:nvPicPr>
                        <pic:blipFill>
                          <a:blip r:embed="rId119" cstate="print"/>
                          <a:stretch>
                            <a:fillRect/>
                          </a:stretch>
                        </pic:blipFill>
                        <pic:spPr>
                          <a:xfrm>
                            <a:off x="2481224" y="6978536"/>
                            <a:ext cx="81724" cy="36118"/>
                          </a:xfrm>
                          <a:prstGeom prst="rect">
                            <a:avLst/>
                          </a:prstGeom>
                        </pic:spPr>
                      </pic:pic>
                      <pic:pic>
                        <pic:nvPicPr>
                          <pic:cNvPr id="226" name="Image 226"/>
                          <pic:cNvPicPr/>
                        </pic:nvPicPr>
                        <pic:blipFill>
                          <a:blip r:embed="rId120" cstate="print"/>
                          <a:stretch>
                            <a:fillRect/>
                          </a:stretch>
                        </pic:blipFill>
                        <pic:spPr>
                          <a:xfrm>
                            <a:off x="4093425" y="2771609"/>
                            <a:ext cx="54635" cy="83667"/>
                          </a:xfrm>
                          <a:prstGeom prst="rect">
                            <a:avLst/>
                          </a:prstGeom>
                        </pic:spPr>
                      </pic:pic>
                      <pic:pic>
                        <pic:nvPicPr>
                          <pic:cNvPr id="227" name="Image 227"/>
                          <pic:cNvPicPr/>
                        </pic:nvPicPr>
                        <pic:blipFill>
                          <a:blip r:embed="rId121" cstate="print"/>
                          <a:stretch>
                            <a:fillRect/>
                          </a:stretch>
                        </pic:blipFill>
                        <pic:spPr>
                          <a:xfrm>
                            <a:off x="4093425" y="3151886"/>
                            <a:ext cx="54635" cy="83667"/>
                          </a:xfrm>
                          <a:prstGeom prst="rect">
                            <a:avLst/>
                          </a:prstGeom>
                        </pic:spPr>
                      </pic:pic>
                      <pic:pic>
                        <pic:nvPicPr>
                          <pic:cNvPr id="228" name="Image 228"/>
                          <pic:cNvPicPr/>
                        </pic:nvPicPr>
                        <pic:blipFill>
                          <a:blip r:embed="rId122" cstate="print"/>
                          <a:stretch>
                            <a:fillRect/>
                          </a:stretch>
                        </pic:blipFill>
                        <pic:spPr>
                          <a:xfrm>
                            <a:off x="4093425" y="3532162"/>
                            <a:ext cx="54635" cy="83667"/>
                          </a:xfrm>
                          <a:prstGeom prst="rect">
                            <a:avLst/>
                          </a:prstGeom>
                        </pic:spPr>
                      </pic:pic>
                      <pic:pic>
                        <pic:nvPicPr>
                          <pic:cNvPr id="229" name="Image 229"/>
                          <pic:cNvPicPr/>
                        </pic:nvPicPr>
                        <pic:blipFill>
                          <a:blip r:embed="rId123" cstate="print"/>
                          <a:stretch>
                            <a:fillRect/>
                          </a:stretch>
                        </pic:blipFill>
                        <pic:spPr>
                          <a:xfrm>
                            <a:off x="4093425" y="3912438"/>
                            <a:ext cx="54635" cy="83667"/>
                          </a:xfrm>
                          <a:prstGeom prst="rect">
                            <a:avLst/>
                          </a:prstGeom>
                        </pic:spPr>
                      </pic:pic>
                      <pic:pic>
                        <pic:nvPicPr>
                          <pic:cNvPr id="230" name="Image 230"/>
                          <pic:cNvPicPr/>
                        </pic:nvPicPr>
                        <pic:blipFill>
                          <a:blip r:embed="rId106" cstate="print"/>
                          <a:stretch>
                            <a:fillRect/>
                          </a:stretch>
                        </pic:blipFill>
                        <pic:spPr>
                          <a:xfrm>
                            <a:off x="4093425" y="4292714"/>
                            <a:ext cx="54635" cy="83667"/>
                          </a:xfrm>
                          <a:prstGeom prst="rect">
                            <a:avLst/>
                          </a:prstGeom>
                        </pic:spPr>
                      </pic:pic>
                      <pic:pic>
                        <pic:nvPicPr>
                          <pic:cNvPr id="231" name="Image 231"/>
                          <pic:cNvPicPr/>
                        </pic:nvPicPr>
                        <pic:blipFill>
                          <a:blip r:embed="rId106" cstate="print"/>
                          <a:stretch>
                            <a:fillRect/>
                          </a:stretch>
                        </pic:blipFill>
                        <pic:spPr>
                          <a:xfrm>
                            <a:off x="4093425" y="4672990"/>
                            <a:ext cx="54635" cy="83667"/>
                          </a:xfrm>
                          <a:prstGeom prst="rect">
                            <a:avLst/>
                          </a:prstGeom>
                        </pic:spPr>
                      </pic:pic>
                      <pic:pic>
                        <pic:nvPicPr>
                          <pic:cNvPr id="232" name="Image 232"/>
                          <pic:cNvPicPr/>
                        </pic:nvPicPr>
                        <pic:blipFill>
                          <a:blip r:embed="rId106" cstate="print"/>
                          <a:stretch>
                            <a:fillRect/>
                          </a:stretch>
                        </pic:blipFill>
                        <pic:spPr>
                          <a:xfrm>
                            <a:off x="4093425" y="5053266"/>
                            <a:ext cx="54635" cy="83667"/>
                          </a:xfrm>
                          <a:prstGeom prst="rect">
                            <a:avLst/>
                          </a:prstGeom>
                        </pic:spPr>
                      </pic:pic>
                      <pic:pic>
                        <pic:nvPicPr>
                          <pic:cNvPr id="233" name="Image 233"/>
                          <pic:cNvPicPr/>
                        </pic:nvPicPr>
                        <pic:blipFill>
                          <a:blip r:embed="rId106" cstate="print"/>
                          <a:stretch>
                            <a:fillRect/>
                          </a:stretch>
                        </pic:blipFill>
                        <pic:spPr>
                          <a:xfrm>
                            <a:off x="4093425" y="5433542"/>
                            <a:ext cx="54635" cy="83781"/>
                          </a:xfrm>
                          <a:prstGeom prst="rect">
                            <a:avLst/>
                          </a:prstGeom>
                        </pic:spPr>
                      </pic:pic>
                      <pic:pic>
                        <pic:nvPicPr>
                          <pic:cNvPr id="234" name="Image 234"/>
                          <pic:cNvPicPr/>
                        </pic:nvPicPr>
                        <pic:blipFill>
                          <a:blip r:embed="rId107" cstate="print"/>
                          <a:stretch>
                            <a:fillRect/>
                          </a:stretch>
                        </pic:blipFill>
                        <pic:spPr>
                          <a:xfrm>
                            <a:off x="4093425" y="5813818"/>
                            <a:ext cx="54635" cy="83781"/>
                          </a:xfrm>
                          <a:prstGeom prst="rect">
                            <a:avLst/>
                          </a:prstGeom>
                        </pic:spPr>
                      </pic:pic>
                      <pic:pic>
                        <pic:nvPicPr>
                          <pic:cNvPr id="235" name="Image 235"/>
                          <pic:cNvPicPr/>
                        </pic:nvPicPr>
                        <pic:blipFill>
                          <a:blip r:embed="rId107" cstate="print"/>
                          <a:stretch>
                            <a:fillRect/>
                          </a:stretch>
                        </pic:blipFill>
                        <pic:spPr>
                          <a:xfrm>
                            <a:off x="4093425" y="6194209"/>
                            <a:ext cx="54635" cy="83667"/>
                          </a:xfrm>
                          <a:prstGeom prst="rect">
                            <a:avLst/>
                          </a:prstGeom>
                        </pic:spPr>
                      </pic:pic>
                      <pic:pic>
                        <pic:nvPicPr>
                          <pic:cNvPr id="236" name="Image 236"/>
                          <pic:cNvPicPr/>
                        </pic:nvPicPr>
                        <pic:blipFill>
                          <a:blip r:embed="rId107" cstate="print"/>
                          <a:stretch>
                            <a:fillRect/>
                          </a:stretch>
                        </pic:blipFill>
                        <pic:spPr>
                          <a:xfrm>
                            <a:off x="4093425" y="6574484"/>
                            <a:ext cx="54635" cy="83667"/>
                          </a:xfrm>
                          <a:prstGeom prst="rect">
                            <a:avLst/>
                          </a:prstGeom>
                        </pic:spPr>
                      </pic:pic>
                      <pic:pic>
                        <pic:nvPicPr>
                          <pic:cNvPr id="237" name="Image 237"/>
                          <pic:cNvPicPr/>
                        </pic:nvPicPr>
                        <pic:blipFill>
                          <a:blip r:embed="rId107" cstate="print"/>
                          <a:stretch>
                            <a:fillRect/>
                          </a:stretch>
                        </pic:blipFill>
                        <pic:spPr>
                          <a:xfrm>
                            <a:off x="4093425" y="6954761"/>
                            <a:ext cx="54635" cy="83667"/>
                          </a:xfrm>
                          <a:prstGeom prst="rect">
                            <a:avLst/>
                          </a:prstGeom>
                        </pic:spPr>
                      </pic:pic>
                      <pic:pic>
                        <pic:nvPicPr>
                          <pic:cNvPr id="238" name="Image 238"/>
                          <pic:cNvPicPr/>
                        </pic:nvPicPr>
                        <pic:blipFill>
                          <a:blip r:embed="rId124" cstate="print"/>
                          <a:stretch>
                            <a:fillRect/>
                          </a:stretch>
                        </pic:blipFill>
                        <pic:spPr>
                          <a:xfrm>
                            <a:off x="7267650" y="3151886"/>
                            <a:ext cx="54635" cy="83667"/>
                          </a:xfrm>
                          <a:prstGeom prst="rect">
                            <a:avLst/>
                          </a:prstGeom>
                        </pic:spPr>
                      </pic:pic>
                      <pic:pic>
                        <pic:nvPicPr>
                          <pic:cNvPr id="239" name="Image 239"/>
                          <pic:cNvPicPr/>
                        </pic:nvPicPr>
                        <pic:blipFill>
                          <a:blip r:embed="rId125" cstate="print"/>
                          <a:stretch>
                            <a:fillRect/>
                          </a:stretch>
                        </pic:blipFill>
                        <pic:spPr>
                          <a:xfrm>
                            <a:off x="7033762" y="3266430"/>
                            <a:ext cx="33063" cy="18157"/>
                          </a:xfrm>
                          <a:prstGeom prst="rect">
                            <a:avLst/>
                          </a:prstGeom>
                        </pic:spPr>
                      </pic:pic>
                      <pic:pic>
                        <pic:nvPicPr>
                          <pic:cNvPr id="240" name="Image 240"/>
                          <pic:cNvPicPr/>
                        </pic:nvPicPr>
                        <pic:blipFill>
                          <a:blip r:embed="rId126" cstate="print"/>
                          <a:stretch>
                            <a:fillRect/>
                          </a:stretch>
                        </pic:blipFill>
                        <pic:spPr>
                          <a:xfrm>
                            <a:off x="3035350" y="3532162"/>
                            <a:ext cx="54635" cy="83667"/>
                          </a:xfrm>
                          <a:prstGeom prst="rect">
                            <a:avLst/>
                          </a:prstGeom>
                        </pic:spPr>
                      </pic:pic>
                      <pic:pic>
                        <pic:nvPicPr>
                          <pic:cNvPr id="241" name="Image 241"/>
                          <pic:cNvPicPr/>
                        </pic:nvPicPr>
                        <pic:blipFill>
                          <a:blip r:embed="rId127" cstate="print"/>
                          <a:stretch>
                            <a:fillRect/>
                          </a:stretch>
                        </pic:blipFill>
                        <pic:spPr>
                          <a:xfrm>
                            <a:off x="3035350" y="3912438"/>
                            <a:ext cx="54635" cy="83667"/>
                          </a:xfrm>
                          <a:prstGeom prst="rect">
                            <a:avLst/>
                          </a:prstGeom>
                        </pic:spPr>
                      </pic:pic>
                      <pic:pic>
                        <pic:nvPicPr>
                          <pic:cNvPr id="242" name="Image 242"/>
                          <pic:cNvPicPr/>
                        </pic:nvPicPr>
                        <pic:blipFill>
                          <a:blip r:embed="rId114" cstate="print"/>
                          <a:stretch>
                            <a:fillRect/>
                          </a:stretch>
                        </pic:blipFill>
                        <pic:spPr>
                          <a:xfrm>
                            <a:off x="3035350" y="4292714"/>
                            <a:ext cx="54635" cy="83667"/>
                          </a:xfrm>
                          <a:prstGeom prst="rect">
                            <a:avLst/>
                          </a:prstGeom>
                        </pic:spPr>
                      </pic:pic>
                      <pic:pic>
                        <pic:nvPicPr>
                          <pic:cNvPr id="243" name="Image 243"/>
                          <pic:cNvPicPr/>
                        </pic:nvPicPr>
                        <pic:blipFill>
                          <a:blip r:embed="rId114" cstate="print"/>
                          <a:stretch>
                            <a:fillRect/>
                          </a:stretch>
                        </pic:blipFill>
                        <pic:spPr>
                          <a:xfrm>
                            <a:off x="3035350" y="4672990"/>
                            <a:ext cx="54635" cy="83667"/>
                          </a:xfrm>
                          <a:prstGeom prst="rect">
                            <a:avLst/>
                          </a:prstGeom>
                        </pic:spPr>
                      </pic:pic>
                      <pic:pic>
                        <pic:nvPicPr>
                          <pic:cNvPr id="244" name="Image 244"/>
                          <pic:cNvPicPr/>
                        </pic:nvPicPr>
                        <pic:blipFill>
                          <a:blip r:embed="rId114" cstate="print"/>
                          <a:stretch>
                            <a:fillRect/>
                          </a:stretch>
                        </pic:blipFill>
                        <pic:spPr>
                          <a:xfrm>
                            <a:off x="3035350" y="5053266"/>
                            <a:ext cx="54635" cy="83667"/>
                          </a:xfrm>
                          <a:prstGeom prst="rect">
                            <a:avLst/>
                          </a:prstGeom>
                        </pic:spPr>
                      </pic:pic>
                      <pic:pic>
                        <pic:nvPicPr>
                          <pic:cNvPr id="245" name="Image 245"/>
                          <pic:cNvPicPr/>
                        </pic:nvPicPr>
                        <pic:blipFill>
                          <a:blip r:embed="rId115" cstate="print"/>
                          <a:stretch>
                            <a:fillRect/>
                          </a:stretch>
                        </pic:blipFill>
                        <pic:spPr>
                          <a:xfrm>
                            <a:off x="3035350" y="6574484"/>
                            <a:ext cx="54635" cy="83667"/>
                          </a:xfrm>
                          <a:prstGeom prst="rect">
                            <a:avLst/>
                          </a:prstGeom>
                        </pic:spPr>
                      </pic:pic>
                      <pic:pic>
                        <pic:nvPicPr>
                          <pic:cNvPr id="246" name="Image 246"/>
                          <pic:cNvPicPr/>
                        </pic:nvPicPr>
                        <pic:blipFill>
                          <a:blip r:embed="rId115" cstate="print"/>
                          <a:stretch>
                            <a:fillRect/>
                          </a:stretch>
                        </pic:blipFill>
                        <pic:spPr>
                          <a:xfrm>
                            <a:off x="3035350" y="6954761"/>
                            <a:ext cx="54635" cy="83667"/>
                          </a:xfrm>
                          <a:prstGeom prst="rect">
                            <a:avLst/>
                          </a:prstGeom>
                        </pic:spPr>
                      </pic:pic>
                      <pic:pic>
                        <pic:nvPicPr>
                          <pic:cNvPr id="247" name="Image 247"/>
                          <pic:cNvPicPr/>
                        </pic:nvPicPr>
                        <pic:blipFill>
                          <a:blip r:embed="rId128" cstate="print"/>
                          <a:stretch>
                            <a:fillRect/>
                          </a:stretch>
                        </pic:blipFill>
                        <pic:spPr>
                          <a:xfrm>
                            <a:off x="4597374" y="3175660"/>
                            <a:ext cx="81724" cy="36118"/>
                          </a:xfrm>
                          <a:prstGeom prst="rect">
                            <a:avLst/>
                          </a:prstGeom>
                        </pic:spPr>
                      </pic:pic>
                      <pic:pic>
                        <pic:nvPicPr>
                          <pic:cNvPr id="248" name="Image 248"/>
                          <pic:cNvPicPr/>
                        </pic:nvPicPr>
                        <pic:blipFill>
                          <a:blip r:embed="rId129" cstate="print"/>
                          <a:stretch>
                            <a:fillRect/>
                          </a:stretch>
                        </pic:blipFill>
                        <pic:spPr>
                          <a:xfrm>
                            <a:off x="4597374" y="3555936"/>
                            <a:ext cx="81724" cy="36119"/>
                          </a:xfrm>
                          <a:prstGeom prst="rect">
                            <a:avLst/>
                          </a:prstGeom>
                        </pic:spPr>
                      </pic:pic>
                      <pic:pic>
                        <pic:nvPicPr>
                          <pic:cNvPr id="249" name="Image 249"/>
                          <pic:cNvPicPr/>
                        </pic:nvPicPr>
                        <pic:blipFill>
                          <a:blip r:embed="rId130" cstate="print"/>
                          <a:stretch>
                            <a:fillRect/>
                          </a:stretch>
                        </pic:blipFill>
                        <pic:spPr>
                          <a:xfrm>
                            <a:off x="4597374" y="3936212"/>
                            <a:ext cx="81724" cy="36118"/>
                          </a:xfrm>
                          <a:prstGeom prst="rect">
                            <a:avLst/>
                          </a:prstGeom>
                        </pic:spPr>
                      </pic:pic>
                      <pic:pic>
                        <pic:nvPicPr>
                          <pic:cNvPr id="250" name="Image 250"/>
                          <pic:cNvPicPr/>
                        </pic:nvPicPr>
                        <pic:blipFill>
                          <a:blip r:embed="rId95" cstate="print"/>
                          <a:stretch>
                            <a:fillRect/>
                          </a:stretch>
                        </pic:blipFill>
                        <pic:spPr>
                          <a:xfrm>
                            <a:off x="4597374" y="4316488"/>
                            <a:ext cx="81724" cy="36118"/>
                          </a:xfrm>
                          <a:prstGeom prst="rect">
                            <a:avLst/>
                          </a:prstGeom>
                        </pic:spPr>
                      </pic:pic>
                      <pic:pic>
                        <pic:nvPicPr>
                          <pic:cNvPr id="251" name="Image 251"/>
                          <pic:cNvPicPr/>
                        </pic:nvPicPr>
                        <pic:blipFill>
                          <a:blip r:embed="rId95" cstate="print"/>
                          <a:stretch>
                            <a:fillRect/>
                          </a:stretch>
                        </pic:blipFill>
                        <pic:spPr>
                          <a:xfrm>
                            <a:off x="4597374" y="4696764"/>
                            <a:ext cx="81724" cy="36118"/>
                          </a:xfrm>
                          <a:prstGeom prst="rect">
                            <a:avLst/>
                          </a:prstGeom>
                        </pic:spPr>
                      </pic:pic>
                      <pic:pic>
                        <pic:nvPicPr>
                          <pic:cNvPr id="252" name="Image 252"/>
                          <pic:cNvPicPr/>
                        </pic:nvPicPr>
                        <pic:blipFill>
                          <a:blip r:embed="rId96" cstate="print"/>
                          <a:stretch>
                            <a:fillRect/>
                          </a:stretch>
                        </pic:blipFill>
                        <pic:spPr>
                          <a:xfrm>
                            <a:off x="4597374" y="5077040"/>
                            <a:ext cx="81724" cy="36233"/>
                          </a:xfrm>
                          <a:prstGeom prst="rect">
                            <a:avLst/>
                          </a:prstGeom>
                        </pic:spPr>
                      </pic:pic>
                      <pic:pic>
                        <pic:nvPicPr>
                          <pic:cNvPr id="253" name="Image 253"/>
                          <pic:cNvPicPr/>
                        </pic:nvPicPr>
                        <pic:blipFill>
                          <a:blip r:embed="rId97" cstate="print"/>
                          <a:stretch>
                            <a:fillRect/>
                          </a:stretch>
                        </pic:blipFill>
                        <pic:spPr>
                          <a:xfrm>
                            <a:off x="4597374" y="6598259"/>
                            <a:ext cx="81724" cy="36118"/>
                          </a:xfrm>
                          <a:prstGeom prst="rect">
                            <a:avLst/>
                          </a:prstGeom>
                        </pic:spPr>
                      </pic:pic>
                      <pic:pic>
                        <pic:nvPicPr>
                          <pic:cNvPr id="254" name="Image 254"/>
                          <pic:cNvPicPr/>
                        </pic:nvPicPr>
                        <pic:blipFill>
                          <a:blip r:embed="rId97" cstate="print"/>
                          <a:stretch>
                            <a:fillRect/>
                          </a:stretch>
                        </pic:blipFill>
                        <pic:spPr>
                          <a:xfrm>
                            <a:off x="4597374" y="6978536"/>
                            <a:ext cx="81724" cy="36118"/>
                          </a:xfrm>
                          <a:prstGeom prst="rect">
                            <a:avLst/>
                          </a:prstGeom>
                        </pic:spPr>
                      </pic:pic>
                      <pic:pic>
                        <pic:nvPicPr>
                          <pic:cNvPr id="255" name="Image 255"/>
                          <pic:cNvPicPr/>
                        </pic:nvPicPr>
                        <pic:blipFill>
                          <a:blip r:embed="rId131" cstate="print"/>
                          <a:stretch>
                            <a:fillRect/>
                          </a:stretch>
                        </pic:blipFill>
                        <pic:spPr>
                          <a:xfrm>
                            <a:off x="6713524" y="3555936"/>
                            <a:ext cx="81724" cy="36119"/>
                          </a:xfrm>
                          <a:prstGeom prst="rect">
                            <a:avLst/>
                          </a:prstGeom>
                        </pic:spPr>
                      </pic:pic>
                      <pic:pic>
                        <pic:nvPicPr>
                          <pic:cNvPr id="256" name="Image 256"/>
                          <pic:cNvPicPr/>
                        </pic:nvPicPr>
                        <pic:blipFill>
                          <a:blip r:embed="rId132" cstate="print"/>
                          <a:stretch>
                            <a:fillRect/>
                          </a:stretch>
                        </pic:blipFill>
                        <pic:spPr>
                          <a:xfrm>
                            <a:off x="6713524" y="3936212"/>
                            <a:ext cx="81724" cy="36118"/>
                          </a:xfrm>
                          <a:prstGeom prst="rect">
                            <a:avLst/>
                          </a:prstGeom>
                        </pic:spPr>
                      </pic:pic>
                      <pic:pic>
                        <pic:nvPicPr>
                          <pic:cNvPr id="257" name="Image 257"/>
                          <pic:cNvPicPr/>
                        </pic:nvPicPr>
                        <pic:blipFill>
                          <a:blip r:embed="rId133" cstate="print"/>
                          <a:stretch>
                            <a:fillRect/>
                          </a:stretch>
                        </pic:blipFill>
                        <pic:spPr>
                          <a:xfrm>
                            <a:off x="6713524" y="4316488"/>
                            <a:ext cx="81724" cy="36118"/>
                          </a:xfrm>
                          <a:prstGeom prst="rect">
                            <a:avLst/>
                          </a:prstGeom>
                        </pic:spPr>
                      </pic:pic>
                      <pic:pic>
                        <pic:nvPicPr>
                          <pic:cNvPr id="258" name="Image 258"/>
                          <pic:cNvPicPr/>
                        </pic:nvPicPr>
                        <pic:blipFill>
                          <a:blip r:embed="rId134" cstate="print"/>
                          <a:stretch>
                            <a:fillRect/>
                          </a:stretch>
                        </pic:blipFill>
                        <pic:spPr>
                          <a:xfrm>
                            <a:off x="1423149" y="3936212"/>
                            <a:ext cx="81610" cy="36118"/>
                          </a:xfrm>
                          <a:prstGeom prst="rect">
                            <a:avLst/>
                          </a:prstGeom>
                        </pic:spPr>
                      </pic:pic>
                      <pic:pic>
                        <pic:nvPicPr>
                          <pic:cNvPr id="259" name="Image 259"/>
                          <pic:cNvPicPr/>
                        </pic:nvPicPr>
                        <pic:blipFill>
                          <a:blip r:embed="rId135" cstate="print"/>
                          <a:stretch>
                            <a:fillRect/>
                          </a:stretch>
                        </pic:blipFill>
                        <pic:spPr>
                          <a:xfrm>
                            <a:off x="1423149" y="4316488"/>
                            <a:ext cx="81610" cy="36118"/>
                          </a:xfrm>
                          <a:prstGeom prst="rect">
                            <a:avLst/>
                          </a:prstGeom>
                        </pic:spPr>
                      </pic:pic>
                      <pic:pic>
                        <pic:nvPicPr>
                          <pic:cNvPr id="260" name="Image 260"/>
                          <pic:cNvPicPr/>
                        </pic:nvPicPr>
                        <pic:blipFill>
                          <a:blip r:embed="rId85" cstate="print"/>
                          <a:stretch>
                            <a:fillRect/>
                          </a:stretch>
                        </pic:blipFill>
                        <pic:spPr>
                          <a:xfrm>
                            <a:off x="1423149" y="4696764"/>
                            <a:ext cx="81610" cy="36118"/>
                          </a:xfrm>
                          <a:prstGeom prst="rect">
                            <a:avLst/>
                          </a:prstGeom>
                        </pic:spPr>
                      </pic:pic>
                      <pic:pic>
                        <pic:nvPicPr>
                          <pic:cNvPr id="261" name="Image 261"/>
                          <pic:cNvPicPr/>
                        </pic:nvPicPr>
                        <pic:blipFill>
                          <a:blip r:embed="rId86" cstate="print"/>
                          <a:stretch>
                            <a:fillRect/>
                          </a:stretch>
                        </pic:blipFill>
                        <pic:spPr>
                          <a:xfrm>
                            <a:off x="1423149" y="5077040"/>
                            <a:ext cx="81610" cy="36233"/>
                          </a:xfrm>
                          <a:prstGeom prst="rect">
                            <a:avLst/>
                          </a:prstGeom>
                        </pic:spPr>
                      </pic:pic>
                      <pic:pic>
                        <pic:nvPicPr>
                          <pic:cNvPr id="262" name="Image 262"/>
                          <pic:cNvPicPr/>
                        </pic:nvPicPr>
                        <pic:blipFill>
                          <a:blip r:embed="rId86" cstate="print"/>
                          <a:stretch>
                            <a:fillRect/>
                          </a:stretch>
                        </pic:blipFill>
                        <pic:spPr>
                          <a:xfrm>
                            <a:off x="1423149" y="5457317"/>
                            <a:ext cx="81610" cy="36232"/>
                          </a:xfrm>
                          <a:prstGeom prst="rect">
                            <a:avLst/>
                          </a:prstGeom>
                        </pic:spPr>
                      </pic:pic>
                      <pic:pic>
                        <pic:nvPicPr>
                          <pic:cNvPr id="263" name="Image 263"/>
                          <pic:cNvPicPr/>
                        </pic:nvPicPr>
                        <pic:blipFill>
                          <a:blip r:embed="rId86" cstate="print"/>
                          <a:stretch>
                            <a:fillRect/>
                          </a:stretch>
                        </pic:blipFill>
                        <pic:spPr>
                          <a:xfrm>
                            <a:off x="1423149" y="5837593"/>
                            <a:ext cx="81610" cy="36233"/>
                          </a:xfrm>
                          <a:prstGeom prst="rect">
                            <a:avLst/>
                          </a:prstGeom>
                        </pic:spPr>
                      </pic:pic>
                      <pic:pic>
                        <pic:nvPicPr>
                          <pic:cNvPr id="264" name="Image 264"/>
                          <pic:cNvPicPr/>
                        </pic:nvPicPr>
                        <pic:blipFill>
                          <a:blip r:embed="rId136" cstate="print"/>
                          <a:stretch>
                            <a:fillRect/>
                          </a:stretch>
                        </pic:blipFill>
                        <pic:spPr>
                          <a:xfrm>
                            <a:off x="6209576" y="3912438"/>
                            <a:ext cx="54635" cy="83667"/>
                          </a:xfrm>
                          <a:prstGeom prst="rect">
                            <a:avLst/>
                          </a:prstGeom>
                        </pic:spPr>
                      </pic:pic>
                      <pic:pic>
                        <pic:nvPicPr>
                          <pic:cNvPr id="265" name="Image 265"/>
                          <pic:cNvPicPr/>
                        </pic:nvPicPr>
                        <pic:blipFill>
                          <a:blip r:embed="rId137" cstate="print"/>
                          <a:stretch>
                            <a:fillRect/>
                          </a:stretch>
                        </pic:blipFill>
                        <pic:spPr>
                          <a:xfrm>
                            <a:off x="6209576" y="4292714"/>
                            <a:ext cx="54635" cy="83667"/>
                          </a:xfrm>
                          <a:prstGeom prst="rect">
                            <a:avLst/>
                          </a:prstGeom>
                        </pic:spPr>
                      </pic:pic>
                      <pic:pic>
                        <pic:nvPicPr>
                          <pic:cNvPr id="266" name="Image 266"/>
                          <pic:cNvPicPr/>
                        </pic:nvPicPr>
                        <pic:blipFill>
                          <a:blip r:embed="rId138" cstate="print"/>
                          <a:stretch>
                            <a:fillRect/>
                          </a:stretch>
                        </pic:blipFill>
                        <pic:spPr>
                          <a:xfrm>
                            <a:off x="6209576" y="4672990"/>
                            <a:ext cx="54635" cy="83667"/>
                          </a:xfrm>
                          <a:prstGeom prst="rect">
                            <a:avLst/>
                          </a:prstGeom>
                        </pic:spPr>
                      </pic:pic>
                      <pic:pic>
                        <pic:nvPicPr>
                          <pic:cNvPr id="267" name="Image 267"/>
                          <pic:cNvPicPr/>
                        </pic:nvPicPr>
                        <pic:blipFill>
                          <a:blip r:embed="rId139" cstate="print"/>
                          <a:stretch>
                            <a:fillRect/>
                          </a:stretch>
                        </pic:blipFill>
                        <pic:spPr>
                          <a:xfrm>
                            <a:off x="6209576" y="5053266"/>
                            <a:ext cx="54635" cy="83667"/>
                          </a:xfrm>
                          <a:prstGeom prst="rect">
                            <a:avLst/>
                          </a:prstGeom>
                        </pic:spPr>
                      </pic:pic>
                      <pic:pic>
                        <pic:nvPicPr>
                          <pic:cNvPr id="268" name="Image 268"/>
                          <pic:cNvPicPr/>
                        </pic:nvPicPr>
                        <pic:blipFill>
                          <a:blip r:embed="rId106" cstate="print"/>
                          <a:stretch>
                            <a:fillRect/>
                          </a:stretch>
                        </pic:blipFill>
                        <pic:spPr>
                          <a:xfrm>
                            <a:off x="6209576" y="5433542"/>
                            <a:ext cx="54635" cy="83781"/>
                          </a:xfrm>
                          <a:prstGeom prst="rect">
                            <a:avLst/>
                          </a:prstGeom>
                        </pic:spPr>
                      </pic:pic>
                      <pic:pic>
                        <pic:nvPicPr>
                          <pic:cNvPr id="269" name="Image 269"/>
                          <pic:cNvPicPr/>
                        </pic:nvPicPr>
                        <pic:blipFill>
                          <a:blip r:embed="rId107" cstate="print"/>
                          <a:stretch>
                            <a:fillRect/>
                          </a:stretch>
                        </pic:blipFill>
                        <pic:spPr>
                          <a:xfrm>
                            <a:off x="6209576" y="5813818"/>
                            <a:ext cx="54635" cy="83781"/>
                          </a:xfrm>
                          <a:prstGeom prst="rect">
                            <a:avLst/>
                          </a:prstGeom>
                        </pic:spPr>
                      </pic:pic>
                      <pic:pic>
                        <pic:nvPicPr>
                          <pic:cNvPr id="270" name="Image 270"/>
                          <pic:cNvPicPr/>
                        </pic:nvPicPr>
                        <pic:blipFill>
                          <a:blip r:embed="rId107" cstate="print"/>
                          <a:stretch>
                            <a:fillRect/>
                          </a:stretch>
                        </pic:blipFill>
                        <pic:spPr>
                          <a:xfrm>
                            <a:off x="6209576" y="6194209"/>
                            <a:ext cx="54635" cy="83667"/>
                          </a:xfrm>
                          <a:prstGeom prst="rect">
                            <a:avLst/>
                          </a:prstGeom>
                        </pic:spPr>
                      </pic:pic>
                      <pic:pic>
                        <pic:nvPicPr>
                          <pic:cNvPr id="271" name="Image 271"/>
                          <pic:cNvPicPr/>
                        </pic:nvPicPr>
                        <pic:blipFill>
                          <a:blip r:embed="rId107" cstate="print"/>
                          <a:stretch>
                            <a:fillRect/>
                          </a:stretch>
                        </pic:blipFill>
                        <pic:spPr>
                          <a:xfrm>
                            <a:off x="6209576" y="6574484"/>
                            <a:ext cx="54635" cy="83667"/>
                          </a:xfrm>
                          <a:prstGeom prst="rect">
                            <a:avLst/>
                          </a:prstGeom>
                        </pic:spPr>
                      </pic:pic>
                      <pic:pic>
                        <pic:nvPicPr>
                          <pic:cNvPr id="272" name="Image 272"/>
                          <pic:cNvPicPr/>
                        </pic:nvPicPr>
                        <pic:blipFill>
                          <a:blip r:embed="rId107" cstate="print"/>
                          <a:stretch>
                            <a:fillRect/>
                          </a:stretch>
                        </pic:blipFill>
                        <pic:spPr>
                          <a:xfrm>
                            <a:off x="6209576" y="6954761"/>
                            <a:ext cx="54635" cy="83667"/>
                          </a:xfrm>
                          <a:prstGeom prst="rect">
                            <a:avLst/>
                          </a:prstGeom>
                        </pic:spPr>
                      </pic:pic>
                      <pic:pic>
                        <pic:nvPicPr>
                          <pic:cNvPr id="273" name="Image 273"/>
                          <pic:cNvPicPr/>
                        </pic:nvPicPr>
                        <pic:blipFill>
                          <a:blip r:embed="rId140" cstate="print"/>
                          <a:stretch>
                            <a:fillRect/>
                          </a:stretch>
                        </pic:blipFill>
                        <pic:spPr>
                          <a:xfrm>
                            <a:off x="919086" y="5053266"/>
                            <a:ext cx="54635" cy="83667"/>
                          </a:xfrm>
                          <a:prstGeom prst="rect">
                            <a:avLst/>
                          </a:prstGeom>
                        </pic:spPr>
                      </pic:pic>
                      <pic:pic>
                        <pic:nvPicPr>
                          <pic:cNvPr id="274" name="Image 274"/>
                          <pic:cNvPicPr/>
                        </pic:nvPicPr>
                        <pic:blipFill>
                          <a:blip r:embed="rId106" cstate="print"/>
                          <a:stretch>
                            <a:fillRect/>
                          </a:stretch>
                        </pic:blipFill>
                        <pic:spPr>
                          <a:xfrm>
                            <a:off x="919086" y="5433542"/>
                            <a:ext cx="54635" cy="83781"/>
                          </a:xfrm>
                          <a:prstGeom prst="rect">
                            <a:avLst/>
                          </a:prstGeom>
                        </pic:spPr>
                      </pic:pic>
                      <pic:pic>
                        <pic:nvPicPr>
                          <pic:cNvPr id="275" name="Image 275"/>
                          <pic:cNvPicPr/>
                        </pic:nvPicPr>
                        <pic:blipFill>
                          <a:blip r:embed="rId107" cstate="print"/>
                          <a:stretch>
                            <a:fillRect/>
                          </a:stretch>
                        </pic:blipFill>
                        <pic:spPr>
                          <a:xfrm>
                            <a:off x="919086" y="5813818"/>
                            <a:ext cx="54635" cy="83781"/>
                          </a:xfrm>
                          <a:prstGeom prst="rect">
                            <a:avLst/>
                          </a:prstGeom>
                        </pic:spPr>
                      </pic:pic>
                      <pic:pic>
                        <pic:nvPicPr>
                          <pic:cNvPr id="276" name="Image 276"/>
                          <pic:cNvPicPr/>
                        </pic:nvPicPr>
                        <pic:blipFill>
                          <a:blip r:embed="rId141" cstate="print"/>
                          <a:stretch>
                            <a:fillRect/>
                          </a:stretch>
                        </pic:blipFill>
                        <pic:spPr>
                          <a:xfrm>
                            <a:off x="364959" y="5077040"/>
                            <a:ext cx="81724" cy="36233"/>
                          </a:xfrm>
                          <a:prstGeom prst="rect">
                            <a:avLst/>
                          </a:prstGeom>
                        </pic:spPr>
                      </pic:pic>
                      <pic:pic>
                        <pic:nvPicPr>
                          <pic:cNvPr id="277" name="Image 277"/>
                          <pic:cNvPicPr/>
                        </pic:nvPicPr>
                        <pic:blipFill>
                          <a:blip r:embed="rId142" cstate="print"/>
                          <a:stretch>
                            <a:fillRect/>
                          </a:stretch>
                        </pic:blipFill>
                        <pic:spPr>
                          <a:xfrm>
                            <a:off x="364959" y="5457317"/>
                            <a:ext cx="81724" cy="36232"/>
                          </a:xfrm>
                          <a:prstGeom prst="rect">
                            <a:avLst/>
                          </a:prstGeom>
                        </pic:spPr>
                      </pic:pic>
                      <pic:pic>
                        <pic:nvPicPr>
                          <pic:cNvPr id="278" name="Image 278"/>
                          <pic:cNvPicPr/>
                        </pic:nvPicPr>
                        <pic:blipFill>
                          <a:blip r:embed="rId143" cstate="print"/>
                          <a:stretch>
                            <a:fillRect/>
                          </a:stretch>
                        </pic:blipFill>
                        <pic:spPr>
                          <a:xfrm>
                            <a:off x="364959" y="5837593"/>
                            <a:ext cx="81724" cy="36233"/>
                          </a:xfrm>
                          <a:prstGeom prst="rect">
                            <a:avLst/>
                          </a:prstGeom>
                        </pic:spPr>
                      </pic:pic>
                      <pic:pic>
                        <pic:nvPicPr>
                          <pic:cNvPr id="279" name="Image 279"/>
                          <pic:cNvPicPr/>
                        </pic:nvPicPr>
                        <pic:blipFill>
                          <a:blip r:embed="rId144" cstate="print"/>
                          <a:stretch>
                            <a:fillRect/>
                          </a:stretch>
                        </pic:blipFill>
                        <pic:spPr>
                          <a:xfrm>
                            <a:off x="364959" y="6217868"/>
                            <a:ext cx="81724" cy="36233"/>
                          </a:xfrm>
                          <a:prstGeom prst="rect">
                            <a:avLst/>
                          </a:prstGeom>
                        </pic:spPr>
                      </pic:pic>
                      <pic:pic>
                        <pic:nvPicPr>
                          <pic:cNvPr id="280" name="Image 280"/>
                          <pic:cNvPicPr/>
                        </pic:nvPicPr>
                        <pic:blipFill>
                          <a:blip r:embed="rId145" cstate="print"/>
                          <a:stretch>
                            <a:fillRect/>
                          </a:stretch>
                        </pic:blipFill>
                        <pic:spPr>
                          <a:xfrm>
                            <a:off x="364959" y="6598259"/>
                            <a:ext cx="81724" cy="36118"/>
                          </a:xfrm>
                          <a:prstGeom prst="rect">
                            <a:avLst/>
                          </a:prstGeom>
                        </pic:spPr>
                      </pic:pic>
                      <pic:pic>
                        <pic:nvPicPr>
                          <pic:cNvPr id="281" name="Image 281"/>
                          <pic:cNvPicPr/>
                        </pic:nvPicPr>
                        <pic:blipFill>
                          <a:blip r:embed="rId146" cstate="print"/>
                          <a:stretch>
                            <a:fillRect/>
                          </a:stretch>
                        </pic:blipFill>
                        <pic:spPr>
                          <a:xfrm>
                            <a:off x="364959" y="6978536"/>
                            <a:ext cx="81724" cy="36118"/>
                          </a:xfrm>
                          <a:prstGeom prst="rect">
                            <a:avLst/>
                          </a:prstGeom>
                        </pic:spPr>
                      </pic:pic>
                      <pic:pic>
                        <pic:nvPicPr>
                          <pic:cNvPr id="282" name="Image 282"/>
                          <pic:cNvPicPr/>
                        </pic:nvPicPr>
                        <pic:blipFill>
                          <a:blip r:embed="rId147" cstate="print"/>
                          <a:stretch>
                            <a:fillRect/>
                          </a:stretch>
                        </pic:blipFill>
                        <pic:spPr>
                          <a:xfrm>
                            <a:off x="0" y="7048989"/>
                            <a:ext cx="2089" cy="11498"/>
                          </a:xfrm>
                          <a:prstGeom prst="rect">
                            <a:avLst/>
                          </a:prstGeom>
                        </pic:spPr>
                      </pic:pic>
                      <pic:pic>
                        <pic:nvPicPr>
                          <pic:cNvPr id="283" name="Image 283"/>
                          <pic:cNvPicPr/>
                        </pic:nvPicPr>
                        <pic:blipFill>
                          <a:blip r:embed="rId148" cstate="print"/>
                          <a:stretch>
                            <a:fillRect/>
                          </a:stretch>
                        </pic:blipFill>
                        <pic:spPr>
                          <a:xfrm>
                            <a:off x="7267650" y="5053266"/>
                            <a:ext cx="54635" cy="83667"/>
                          </a:xfrm>
                          <a:prstGeom prst="rect">
                            <a:avLst/>
                          </a:prstGeom>
                        </pic:spPr>
                      </pic:pic>
                      <pic:pic>
                        <pic:nvPicPr>
                          <pic:cNvPr id="284" name="Image 284"/>
                          <pic:cNvPicPr/>
                        </pic:nvPicPr>
                        <pic:blipFill>
                          <a:blip r:embed="rId149" cstate="print"/>
                          <a:stretch>
                            <a:fillRect/>
                          </a:stretch>
                        </pic:blipFill>
                        <pic:spPr>
                          <a:xfrm>
                            <a:off x="6713524" y="5077040"/>
                            <a:ext cx="81724" cy="36233"/>
                          </a:xfrm>
                          <a:prstGeom prst="rect">
                            <a:avLst/>
                          </a:prstGeom>
                        </pic:spPr>
                      </pic:pic>
                      <pic:pic>
                        <pic:nvPicPr>
                          <pic:cNvPr id="285" name="Image 285"/>
                          <pic:cNvPicPr/>
                        </pic:nvPicPr>
                        <pic:blipFill>
                          <a:blip r:embed="rId150" cstate="print"/>
                          <a:stretch>
                            <a:fillRect/>
                          </a:stretch>
                        </pic:blipFill>
                        <pic:spPr>
                          <a:xfrm>
                            <a:off x="7267650" y="5433542"/>
                            <a:ext cx="54635" cy="83781"/>
                          </a:xfrm>
                          <a:prstGeom prst="rect">
                            <a:avLst/>
                          </a:prstGeom>
                        </pic:spPr>
                      </pic:pic>
                      <pic:pic>
                        <pic:nvPicPr>
                          <pic:cNvPr id="286" name="Image 286"/>
                          <pic:cNvPicPr/>
                        </pic:nvPicPr>
                        <pic:blipFill>
                          <a:blip r:embed="rId151" cstate="print"/>
                          <a:stretch>
                            <a:fillRect/>
                          </a:stretch>
                        </pic:blipFill>
                        <pic:spPr>
                          <a:xfrm>
                            <a:off x="6713524" y="5457317"/>
                            <a:ext cx="81724" cy="36232"/>
                          </a:xfrm>
                          <a:prstGeom prst="rect">
                            <a:avLst/>
                          </a:prstGeom>
                        </pic:spPr>
                      </pic:pic>
                      <pic:pic>
                        <pic:nvPicPr>
                          <pic:cNvPr id="287" name="Image 287"/>
                          <pic:cNvPicPr/>
                        </pic:nvPicPr>
                        <pic:blipFill>
                          <a:blip r:embed="rId152" cstate="print"/>
                          <a:stretch>
                            <a:fillRect/>
                          </a:stretch>
                        </pic:blipFill>
                        <pic:spPr>
                          <a:xfrm>
                            <a:off x="7267650" y="5813818"/>
                            <a:ext cx="54635" cy="83781"/>
                          </a:xfrm>
                          <a:prstGeom prst="rect">
                            <a:avLst/>
                          </a:prstGeom>
                        </pic:spPr>
                      </pic:pic>
                      <pic:pic>
                        <pic:nvPicPr>
                          <pic:cNvPr id="288" name="Image 288"/>
                          <pic:cNvPicPr/>
                        </pic:nvPicPr>
                        <pic:blipFill>
                          <a:blip r:embed="rId153" cstate="print"/>
                          <a:stretch>
                            <a:fillRect/>
                          </a:stretch>
                        </pic:blipFill>
                        <pic:spPr>
                          <a:xfrm>
                            <a:off x="6713524" y="5837593"/>
                            <a:ext cx="81724" cy="36233"/>
                          </a:xfrm>
                          <a:prstGeom prst="rect">
                            <a:avLst/>
                          </a:prstGeom>
                        </pic:spPr>
                      </pic:pic>
                      <pic:pic>
                        <pic:nvPicPr>
                          <pic:cNvPr id="289" name="Image 289"/>
                          <pic:cNvPicPr/>
                        </pic:nvPicPr>
                        <pic:blipFill>
                          <a:blip r:embed="rId154" cstate="print"/>
                          <a:stretch>
                            <a:fillRect/>
                          </a:stretch>
                        </pic:blipFill>
                        <pic:spPr>
                          <a:xfrm>
                            <a:off x="6713524" y="6217868"/>
                            <a:ext cx="81724" cy="36233"/>
                          </a:xfrm>
                          <a:prstGeom prst="rect">
                            <a:avLst/>
                          </a:prstGeom>
                        </pic:spPr>
                      </pic:pic>
                      <pic:pic>
                        <pic:nvPicPr>
                          <pic:cNvPr id="290" name="Image 290"/>
                          <pic:cNvPicPr/>
                        </pic:nvPicPr>
                        <pic:blipFill>
                          <a:blip r:embed="rId155" cstate="print"/>
                          <a:stretch>
                            <a:fillRect/>
                          </a:stretch>
                        </pic:blipFill>
                        <pic:spPr>
                          <a:xfrm>
                            <a:off x="7267650" y="6574484"/>
                            <a:ext cx="54635" cy="83667"/>
                          </a:xfrm>
                          <a:prstGeom prst="rect">
                            <a:avLst/>
                          </a:prstGeom>
                        </pic:spPr>
                      </pic:pic>
                      <pic:pic>
                        <pic:nvPicPr>
                          <pic:cNvPr id="291" name="Image 291"/>
                          <pic:cNvPicPr/>
                        </pic:nvPicPr>
                        <pic:blipFill>
                          <a:blip r:embed="rId156" cstate="print"/>
                          <a:stretch>
                            <a:fillRect/>
                          </a:stretch>
                        </pic:blipFill>
                        <pic:spPr>
                          <a:xfrm>
                            <a:off x="6713524" y="6598259"/>
                            <a:ext cx="81724" cy="36118"/>
                          </a:xfrm>
                          <a:prstGeom prst="rect">
                            <a:avLst/>
                          </a:prstGeom>
                        </pic:spPr>
                      </pic:pic>
                      <pic:pic>
                        <pic:nvPicPr>
                          <pic:cNvPr id="292" name="Image 292"/>
                          <pic:cNvPicPr/>
                        </pic:nvPicPr>
                        <pic:blipFill>
                          <a:blip r:embed="rId157" cstate="print"/>
                          <a:stretch>
                            <a:fillRect/>
                          </a:stretch>
                        </pic:blipFill>
                        <pic:spPr>
                          <a:xfrm>
                            <a:off x="7267650" y="6954761"/>
                            <a:ext cx="54635" cy="83667"/>
                          </a:xfrm>
                          <a:prstGeom prst="rect">
                            <a:avLst/>
                          </a:prstGeom>
                        </pic:spPr>
                      </pic:pic>
                      <pic:pic>
                        <pic:nvPicPr>
                          <pic:cNvPr id="293" name="Image 293"/>
                          <pic:cNvPicPr/>
                        </pic:nvPicPr>
                        <pic:blipFill>
                          <a:blip r:embed="rId158" cstate="print"/>
                          <a:stretch>
                            <a:fillRect/>
                          </a:stretch>
                        </pic:blipFill>
                        <pic:spPr>
                          <a:xfrm>
                            <a:off x="6713524" y="6978536"/>
                            <a:ext cx="81724" cy="36118"/>
                          </a:xfrm>
                          <a:prstGeom prst="rect">
                            <a:avLst/>
                          </a:prstGeom>
                        </pic:spPr>
                      </pic:pic>
                      <pic:pic>
                        <pic:nvPicPr>
                          <pic:cNvPr id="294" name="Image 294"/>
                          <pic:cNvPicPr/>
                        </pic:nvPicPr>
                        <pic:blipFill>
                          <a:blip r:embed="rId159" cstate="print"/>
                          <a:stretch>
                            <a:fillRect/>
                          </a:stretch>
                        </pic:blipFill>
                        <pic:spPr>
                          <a:xfrm>
                            <a:off x="885624" y="110460"/>
                            <a:ext cx="126961" cy="159579"/>
                          </a:xfrm>
                          <a:prstGeom prst="rect">
                            <a:avLst/>
                          </a:prstGeom>
                        </pic:spPr>
                      </pic:pic>
                      <pic:pic>
                        <pic:nvPicPr>
                          <pic:cNvPr id="295" name="Image 295"/>
                          <pic:cNvPicPr/>
                        </pic:nvPicPr>
                        <pic:blipFill>
                          <a:blip r:embed="rId160" cstate="print"/>
                          <a:stretch>
                            <a:fillRect/>
                          </a:stretch>
                        </pic:blipFill>
                        <pic:spPr>
                          <a:xfrm>
                            <a:off x="954005" y="420573"/>
                            <a:ext cx="92640" cy="229743"/>
                          </a:xfrm>
                          <a:prstGeom prst="rect">
                            <a:avLst/>
                          </a:prstGeom>
                        </pic:spPr>
                      </pic:pic>
                      <pic:pic>
                        <pic:nvPicPr>
                          <pic:cNvPr id="296" name="Image 296"/>
                          <pic:cNvPicPr/>
                        </pic:nvPicPr>
                        <pic:blipFill>
                          <a:blip r:embed="rId161" cstate="print"/>
                          <a:stretch>
                            <a:fillRect/>
                          </a:stretch>
                        </pic:blipFill>
                        <pic:spPr>
                          <a:xfrm>
                            <a:off x="1057160" y="481494"/>
                            <a:ext cx="191300" cy="171793"/>
                          </a:xfrm>
                          <a:prstGeom prst="rect">
                            <a:avLst/>
                          </a:prstGeom>
                        </pic:spPr>
                      </pic:pic>
                      <pic:pic>
                        <pic:nvPicPr>
                          <pic:cNvPr id="297" name="Image 297"/>
                          <pic:cNvPicPr/>
                        </pic:nvPicPr>
                        <pic:blipFill>
                          <a:blip r:embed="rId162" cstate="print"/>
                          <a:stretch>
                            <a:fillRect/>
                          </a:stretch>
                        </pic:blipFill>
                        <pic:spPr>
                          <a:xfrm>
                            <a:off x="6232863" y="522413"/>
                            <a:ext cx="124790" cy="127902"/>
                          </a:xfrm>
                          <a:prstGeom prst="rect">
                            <a:avLst/>
                          </a:prstGeom>
                        </pic:spPr>
                      </pic:pic>
                      <pic:pic>
                        <pic:nvPicPr>
                          <pic:cNvPr id="298" name="Image 298"/>
                          <pic:cNvPicPr/>
                        </pic:nvPicPr>
                        <pic:blipFill>
                          <a:blip r:embed="rId163" cstate="print"/>
                          <a:stretch>
                            <a:fillRect/>
                          </a:stretch>
                        </pic:blipFill>
                        <pic:spPr>
                          <a:xfrm>
                            <a:off x="6137566" y="800849"/>
                            <a:ext cx="141853" cy="229742"/>
                          </a:xfrm>
                          <a:prstGeom prst="rect">
                            <a:avLst/>
                          </a:prstGeom>
                        </pic:spPr>
                      </pic:pic>
                      <pic:pic>
                        <pic:nvPicPr>
                          <pic:cNvPr id="299" name="Image 299"/>
                          <pic:cNvPicPr/>
                        </pic:nvPicPr>
                        <pic:blipFill>
                          <a:blip r:embed="rId164" cstate="print"/>
                          <a:stretch>
                            <a:fillRect/>
                          </a:stretch>
                        </pic:blipFill>
                        <pic:spPr>
                          <a:xfrm>
                            <a:off x="1110667" y="861771"/>
                            <a:ext cx="250759" cy="171793"/>
                          </a:xfrm>
                          <a:prstGeom prst="rect">
                            <a:avLst/>
                          </a:prstGeom>
                        </pic:spPr>
                      </pic:pic>
                      <pic:pic>
                        <pic:nvPicPr>
                          <pic:cNvPr id="300" name="Image 300"/>
                          <pic:cNvPicPr/>
                        </pic:nvPicPr>
                        <pic:blipFill>
                          <a:blip r:embed="rId165" cstate="print"/>
                          <a:stretch>
                            <a:fillRect/>
                          </a:stretch>
                        </pic:blipFill>
                        <pic:spPr>
                          <a:xfrm>
                            <a:off x="1082017" y="861771"/>
                            <a:ext cx="115846" cy="79983"/>
                          </a:xfrm>
                          <a:prstGeom prst="rect">
                            <a:avLst/>
                          </a:prstGeom>
                        </pic:spPr>
                      </pic:pic>
                      <pic:pic>
                        <pic:nvPicPr>
                          <pic:cNvPr id="301" name="Image 301"/>
                          <pic:cNvPicPr/>
                        </pic:nvPicPr>
                        <pic:blipFill>
                          <a:blip r:embed="rId166" cstate="print"/>
                          <a:stretch>
                            <a:fillRect/>
                          </a:stretch>
                        </pic:blipFill>
                        <pic:spPr>
                          <a:xfrm>
                            <a:off x="1381544" y="884421"/>
                            <a:ext cx="118866" cy="149142"/>
                          </a:xfrm>
                          <a:prstGeom prst="rect">
                            <a:avLst/>
                          </a:prstGeom>
                        </pic:spPr>
                      </pic:pic>
                      <pic:pic>
                        <pic:nvPicPr>
                          <pic:cNvPr id="302" name="Image 302"/>
                          <pic:cNvPicPr/>
                        </pic:nvPicPr>
                        <pic:blipFill>
                          <a:blip r:embed="rId167" cstate="print"/>
                          <a:stretch>
                            <a:fillRect/>
                          </a:stretch>
                        </pic:blipFill>
                        <pic:spPr>
                          <a:xfrm>
                            <a:off x="5954480" y="936933"/>
                            <a:ext cx="94389" cy="96630"/>
                          </a:xfrm>
                          <a:prstGeom prst="rect">
                            <a:avLst/>
                          </a:prstGeom>
                        </pic:spPr>
                      </pic:pic>
                      <pic:pic>
                        <pic:nvPicPr>
                          <pic:cNvPr id="303" name="Image 303"/>
                          <pic:cNvPicPr/>
                        </pic:nvPicPr>
                        <pic:blipFill>
                          <a:blip r:embed="rId168" cstate="print"/>
                          <a:stretch>
                            <a:fillRect/>
                          </a:stretch>
                        </pic:blipFill>
                        <pic:spPr>
                          <a:xfrm>
                            <a:off x="5932512" y="1242047"/>
                            <a:ext cx="116357" cy="171793"/>
                          </a:xfrm>
                          <a:prstGeom prst="rect">
                            <a:avLst/>
                          </a:prstGeom>
                        </pic:spPr>
                      </pic:pic>
                      <pic:pic>
                        <pic:nvPicPr>
                          <pic:cNvPr id="304" name="Image 304"/>
                          <pic:cNvPicPr/>
                        </pic:nvPicPr>
                        <pic:blipFill>
                          <a:blip r:embed="rId169" cstate="print"/>
                          <a:stretch>
                            <a:fillRect/>
                          </a:stretch>
                        </pic:blipFill>
                        <pic:spPr>
                          <a:xfrm>
                            <a:off x="3680345" y="1242047"/>
                            <a:ext cx="105182" cy="171793"/>
                          </a:xfrm>
                          <a:prstGeom prst="rect">
                            <a:avLst/>
                          </a:prstGeom>
                        </pic:spPr>
                      </pic:pic>
                      <pic:pic>
                        <pic:nvPicPr>
                          <pic:cNvPr id="305" name="Image 305"/>
                          <pic:cNvPicPr/>
                        </pic:nvPicPr>
                        <pic:blipFill>
                          <a:blip r:embed="rId170" cstate="print"/>
                          <a:stretch>
                            <a:fillRect/>
                          </a:stretch>
                        </pic:blipFill>
                        <pic:spPr>
                          <a:xfrm>
                            <a:off x="5703158" y="1242047"/>
                            <a:ext cx="209237" cy="171793"/>
                          </a:xfrm>
                          <a:prstGeom prst="rect">
                            <a:avLst/>
                          </a:prstGeom>
                        </pic:spPr>
                      </pic:pic>
                      <pic:pic>
                        <pic:nvPicPr>
                          <pic:cNvPr id="306" name="Image 306"/>
                          <pic:cNvPicPr/>
                        </pic:nvPicPr>
                        <pic:blipFill>
                          <a:blip r:embed="rId171" cstate="print"/>
                          <a:stretch>
                            <a:fillRect/>
                          </a:stretch>
                        </pic:blipFill>
                        <pic:spPr>
                          <a:xfrm>
                            <a:off x="1563623" y="1242047"/>
                            <a:ext cx="183947" cy="171793"/>
                          </a:xfrm>
                          <a:prstGeom prst="rect">
                            <a:avLst/>
                          </a:prstGeom>
                        </pic:spPr>
                      </pic:pic>
                      <pic:pic>
                        <pic:nvPicPr>
                          <pic:cNvPr id="307" name="Image 307"/>
                          <pic:cNvPicPr/>
                        </pic:nvPicPr>
                        <pic:blipFill>
                          <a:blip r:embed="rId172" cstate="print"/>
                          <a:stretch>
                            <a:fillRect/>
                          </a:stretch>
                        </pic:blipFill>
                        <pic:spPr>
                          <a:xfrm>
                            <a:off x="1381544" y="1242047"/>
                            <a:ext cx="161848" cy="171793"/>
                          </a:xfrm>
                          <a:prstGeom prst="rect">
                            <a:avLst/>
                          </a:prstGeom>
                        </pic:spPr>
                      </pic:pic>
                      <pic:pic>
                        <pic:nvPicPr>
                          <pic:cNvPr id="308" name="Image 308"/>
                          <pic:cNvPicPr/>
                        </pic:nvPicPr>
                        <pic:blipFill>
                          <a:blip r:embed="rId173" cstate="print"/>
                          <a:stretch>
                            <a:fillRect/>
                          </a:stretch>
                        </pic:blipFill>
                        <pic:spPr>
                          <a:xfrm>
                            <a:off x="1182233" y="1242047"/>
                            <a:ext cx="179193" cy="171793"/>
                          </a:xfrm>
                          <a:prstGeom prst="rect">
                            <a:avLst/>
                          </a:prstGeom>
                        </pic:spPr>
                      </pic:pic>
                      <pic:pic>
                        <pic:nvPicPr>
                          <pic:cNvPr id="309" name="Image 309"/>
                          <pic:cNvPicPr/>
                        </pic:nvPicPr>
                        <pic:blipFill>
                          <a:blip r:embed="rId174" cstate="print"/>
                          <a:stretch>
                            <a:fillRect/>
                          </a:stretch>
                        </pic:blipFill>
                        <pic:spPr>
                          <a:xfrm>
                            <a:off x="6137566" y="1254958"/>
                            <a:ext cx="61510" cy="155909"/>
                          </a:xfrm>
                          <a:prstGeom prst="rect">
                            <a:avLst/>
                          </a:prstGeom>
                        </pic:spPr>
                      </pic:pic>
                      <pic:pic>
                        <pic:nvPicPr>
                          <pic:cNvPr id="310" name="Image 310"/>
                          <pic:cNvPicPr/>
                        </pic:nvPicPr>
                        <pic:blipFill>
                          <a:blip r:embed="rId175" cstate="print"/>
                          <a:stretch>
                            <a:fillRect/>
                          </a:stretch>
                        </pic:blipFill>
                        <pic:spPr>
                          <a:xfrm>
                            <a:off x="5932512" y="1622323"/>
                            <a:ext cx="116357" cy="171793"/>
                          </a:xfrm>
                          <a:prstGeom prst="rect">
                            <a:avLst/>
                          </a:prstGeom>
                        </pic:spPr>
                      </pic:pic>
                      <pic:pic>
                        <pic:nvPicPr>
                          <pic:cNvPr id="311" name="Image 311"/>
                          <pic:cNvPicPr/>
                        </pic:nvPicPr>
                        <pic:blipFill>
                          <a:blip r:embed="rId176" cstate="print"/>
                          <a:stretch>
                            <a:fillRect/>
                          </a:stretch>
                        </pic:blipFill>
                        <pic:spPr>
                          <a:xfrm>
                            <a:off x="5796038" y="1622323"/>
                            <a:ext cx="116357" cy="171793"/>
                          </a:xfrm>
                          <a:prstGeom prst="rect">
                            <a:avLst/>
                          </a:prstGeom>
                        </pic:spPr>
                      </pic:pic>
                      <pic:pic>
                        <pic:nvPicPr>
                          <pic:cNvPr id="312" name="Image 312"/>
                          <pic:cNvPicPr/>
                        </pic:nvPicPr>
                        <pic:blipFill>
                          <a:blip r:embed="rId177" cstate="print"/>
                          <a:stretch>
                            <a:fillRect/>
                          </a:stretch>
                        </pic:blipFill>
                        <pic:spPr>
                          <a:xfrm>
                            <a:off x="1700098" y="1622323"/>
                            <a:ext cx="116357" cy="171793"/>
                          </a:xfrm>
                          <a:prstGeom prst="rect">
                            <a:avLst/>
                          </a:prstGeom>
                        </pic:spPr>
                      </pic:pic>
                      <pic:pic>
                        <pic:nvPicPr>
                          <pic:cNvPr id="313" name="Image 313"/>
                          <pic:cNvPicPr/>
                        </pic:nvPicPr>
                        <pic:blipFill>
                          <a:blip r:embed="rId178" cstate="print"/>
                          <a:stretch>
                            <a:fillRect/>
                          </a:stretch>
                        </pic:blipFill>
                        <pic:spPr>
                          <a:xfrm>
                            <a:off x="5470919" y="1622323"/>
                            <a:ext cx="304888" cy="171793"/>
                          </a:xfrm>
                          <a:prstGeom prst="rect">
                            <a:avLst/>
                          </a:prstGeom>
                        </pic:spPr>
                      </pic:pic>
                      <pic:pic>
                        <pic:nvPicPr>
                          <pic:cNvPr id="314" name="Image 314"/>
                          <pic:cNvPicPr/>
                        </pic:nvPicPr>
                        <pic:blipFill>
                          <a:blip r:embed="rId179" cstate="print"/>
                          <a:stretch>
                            <a:fillRect/>
                          </a:stretch>
                        </pic:blipFill>
                        <pic:spPr>
                          <a:xfrm>
                            <a:off x="1563623" y="1622323"/>
                            <a:ext cx="116357" cy="171793"/>
                          </a:xfrm>
                          <a:prstGeom prst="rect">
                            <a:avLst/>
                          </a:prstGeom>
                        </pic:spPr>
                      </pic:pic>
                      <pic:pic>
                        <pic:nvPicPr>
                          <pic:cNvPr id="315" name="Image 315"/>
                          <pic:cNvPicPr/>
                        </pic:nvPicPr>
                        <pic:blipFill>
                          <a:blip r:embed="rId180" cstate="print"/>
                          <a:stretch>
                            <a:fillRect/>
                          </a:stretch>
                        </pic:blipFill>
                        <pic:spPr>
                          <a:xfrm>
                            <a:off x="3679774" y="1622323"/>
                            <a:ext cx="206862" cy="171793"/>
                          </a:xfrm>
                          <a:prstGeom prst="rect">
                            <a:avLst/>
                          </a:prstGeom>
                        </pic:spPr>
                      </pic:pic>
                      <pic:pic>
                        <pic:nvPicPr>
                          <pic:cNvPr id="316" name="Image 316"/>
                          <pic:cNvPicPr/>
                        </pic:nvPicPr>
                        <pic:blipFill>
                          <a:blip r:embed="rId181" cstate="print"/>
                          <a:stretch>
                            <a:fillRect/>
                          </a:stretch>
                        </pic:blipFill>
                        <pic:spPr>
                          <a:xfrm>
                            <a:off x="1285681" y="1622323"/>
                            <a:ext cx="257711" cy="171793"/>
                          </a:xfrm>
                          <a:prstGeom prst="rect">
                            <a:avLst/>
                          </a:prstGeom>
                        </pic:spPr>
                      </pic:pic>
                      <pic:pic>
                        <pic:nvPicPr>
                          <pic:cNvPr id="317" name="Image 317"/>
                          <pic:cNvPicPr/>
                        </pic:nvPicPr>
                        <pic:blipFill>
                          <a:blip r:embed="rId182" cstate="print"/>
                          <a:stretch>
                            <a:fillRect/>
                          </a:stretch>
                        </pic:blipFill>
                        <pic:spPr>
                          <a:xfrm>
                            <a:off x="3537679" y="1622460"/>
                            <a:ext cx="121977" cy="171656"/>
                          </a:xfrm>
                          <a:prstGeom prst="rect">
                            <a:avLst/>
                          </a:prstGeom>
                        </pic:spPr>
                      </pic:pic>
                      <pic:pic>
                        <pic:nvPicPr>
                          <pic:cNvPr id="318" name="Image 318"/>
                          <pic:cNvPicPr/>
                        </pic:nvPicPr>
                        <pic:blipFill>
                          <a:blip r:embed="rId183" cstate="print"/>
                          <a:stretch>
                            <a:fillRect/>
                          </a:stretch>
                        </pic:blipFill>
                        <pic:spPr>
                          <a:xfrm>
                            <a:off x="1905152" y="1709254"/>
                            <a:ext cx="58694" cy="81890"/>
                          </a:xfrm>
                          <a:prstGeom prst="rect">
                            <a:avLst/>
                          </a:prstGeom>
                        </pic:spPr>
                      </pic:pic>
                      <pic:pic>
                        <pic:nvPicPr>
                          <pic:cNvPr id="319" name="Image 319"/>
                          <pic:cNvPicPr/>
                        </pic:nvPicPr>
                        <pic:blipFill>
                          <a:blip r:embed="rId184" cstate="print"/>
                          <a:stretch>
                            <a:fillRect/>
                          </a:stretch>
                        </pic:blipFill>
                        <pic:spPr>
                          <a:xfrm>
                            <a:off x="1905152" y="1941677"/>
                            <a:ext cx="199567" cy="229742"/>
                          </a:xfrm>
                          <a:prstGeom prst="rect">
                            <a:avLst/>
                          </a:prstGeom>
                        </pic:spPr>
                      </pic:pic>
                      <pic:pic>
                        <pic:nvPicPr>
                          <pic:cNvPr id="320" name="Image 320"/>
                          <pic:cNvPicPr/>
                        </pic:nvPicPr>
                        <pic:blipFill>
                          <a:blip r:embed="rId185" cstate="print"/>
                          <a:stretch>
                            <a:fillRect/>
                          </a:stretch>
                        </pic:blipFill>
                        <pic:spPr>
                          <a:xfrm>
                            <a:off x="5932512" y="2002599"/>
                            <a:ext cx="102154" cy="171793"/>
                          </a:xfrm>
                          <a:prstGeom prst="rect">
                            <a:avLst/>
                          </a:prstGeom>
                        </pic:spPr>
                      </pic:pic>
                      <pic:pic>
                        <pic:nvPicPr>
                          <pic:cNvPr id="321" name="Image 321"/>
                          <pic:cNvPicPr/>
                        </pic:nvPicPr>
                        <pic:blipFill>
                          <a:blip r:embed="rId186" cstate="print"/>
                          <a:stretch>
                            <a:fillRect/>
                          </a:stretch>
                        </pic:blipFill>
                        <pic:spPr>
                          <a:xfrm>
                            <a:off x="5796038" y="2002599"/>
                            <a:ext cx="116357" cy="171793"/>
                          </a:xfrm>
                          <a:prstGeom prst="rect">
                            <a:avLst/>
                          </a:prstGeom>
                        </pic:spPr>
                      </pic:pic>
                      <pic:pic>
                        <pic:nvPicPr>
                          <pic:cNvPr id="322" name="Image 322"/>
                          <pic:cNvPicPr/>
                        </pic:nvPicPr>
                        <pic:blipFill>
                          <a:blip r:embed="rId187" cstate="print"/>
                          <a:stretch>
                            <a:fillRect/>
                          </a:stretch>
                        </pic:blipFill>
                        <pic:spPr>
                          <a:xfrm>
                            <a:off x="5613844" y="2002599"/>
                            <a:ext cx="161962" cy="171793"/>
                          </a:xfrm>
                          <a:prstGeom prst="rect">
                            <a:avLst/>
                          </a:prstGeom>
                        </pic:spPr>
                      </pic:pic>
                      <pic:pic>
                        <pic:nvPicPr>
                          <pic:cNvPr id="323" name="Image 323"/>
                          <pic:cNvPicPr/>
                        </pic:nvPicPr>
                        <pic:blipFill>
                          <a:blip r:embed="rId188" cstate="print"/>
                          <a:stretch>
                            <a:fillRect/>
                          </a:stretch>
                        </pic:blipFill>
                        <pic:spPr>
                          <a:xfrm>
                            <a:off x="5451766" y="2002599"/>
                            <a:ext cx="142075" cy="171793"/>
                          </a:xfrm>
                          <a:prstGeom prst="rect">
                            <a:avLst/>
                          </a:prstGeom>
                        </pic:spPr>
                      </pic:pic>
                      <pic:pic>
                        <pic:nvPicPr>
                          <pic:cNvPr id="324" name="Image 324"/>
                          <pic:cNvPicPr/>
                        </pic:nvPicPr>
                        <pic:blipFill>
                          <a:blip r:embed="rId189" cstate="print"/>
                          <a:stretch>
                            <a:fillRect/>
                          </a:stretch>
                        </pic:blipFill>
                        <pic:spPr>
                          <a:xfrm>
                            <a:off x="3816362" y="2002599"/>
                            <a:ext cx="116357" cy="171793"/>
                          </a:xfrm>
                          <a:prstGeom prst="rect">
                            <a:avLst/>
                          </a:prstGeom>
                        </pic:spPr>
                      </pic:pic>
                      <pic:pic>
                        <pic:nvPicPr>
                          <pic:cNvPr id="325" name="Image 325"/>
                          <pic:cNvPicPr/>
                        </pic:nvPicPr>
                        <pic:blipFill>
                          <a:blip r:embed="rId190" cstate="print"/>
                          <a:stretch>
                            <a:fillRect/>
                          </a:stretch>
                        </pic:blipFill>
                        <pic:spPr>
                          <a:xfrm>
                            <a:off x="5224828" y="2002599"/>
                            <a:ext cx="206821" cy="171793"/>
                          </a:xfrm>
                          <a:prstGeom prst="rect">
                            <a:avLst/>
                          </a:prstGeom>
                        </pic:spPr>
                      </pic:pic>
                      <pic:pic>
                        <pic:nvPicPr>
                          <pic:cNvPr id="326" name="Image 326"/>
                          <pic:cNvPicPr/>
                        </pic:nvPicPr>
                        <pic:blipFill>
                          <a:blip r:embed="rId191" cstate="print"/>
                          <a:stretch>
                            <a:fillRect/>
                          </a:stretch>
                        </pic:blipFill>
                        <pic:spPr>
                          <a:xfrm>
                            <a:off x="3679774" y="2002599"/>
                            <a:ext cx="116471" cy="171793"/>
                          </a:xfrm>
                          <a:prstGeom prst="rect">
                            <a:avLst/>
                          </a:prstGeom>
                        </pic:spPr>
                      </pic:pic>
                      <pic:pic>
                        <pic:nvPicPr>
                          <pic:cNvPr id="327" name="Image 327"/>
                          <pic:cNvPicPr/>
                        </pic:nvPicPr>
                        <pic:blipFill>
                          <a:blip r:embed="rId192" cstate="print"/>
                          <a:stretch>
                            <a:fillRect/>
                          </a:stretch>
                        </pic:blipFill>
                        <pic:spPr>
                          <a:xfrm>
                            <a:off x="3423147" y="2002599"/>
                            <a:ext cx="236509" cy="171793"/>
                          </a:xfrm>
                          <a:prstGeom prst="rect">
                            <a:avLst/>
                          </a:prstGeom>
                        </pic:spPr>
                      </pic:pic>
                      <pic:pic>
                        <pic:nvPicPr>
                          <pic:cNvPr id="328" name="Image 328"/>
                          <pic:cNvPicPr/>
                        </pic:nvPicPr>
                        <pic:blipFill>
                          <a:blip r:embed="rId193" cstate="print"/>
                          <a:stretch>
                            <a:fillRect/>
                          </a:stretch>
                        </pic:blipFill>
                        <pic:spPr>
                          <a:xfrm>
                            <a:off x="1700098" y="2002599"/>
                            <a:ext cx="116357" cy="171793"/>
                          </a:xfrm>
                          <a:prstGeom prst="rect">
                            <a:avLst/>
                          </a:prstGeom>
                        </pic:spPr>
                      </pic:pic>
                      <pic:pic>
                        <pic:nvPicPr>
                          <pic:cNvPr id="329" name="Image 329"/>
                          <pic:cNvPicPr/>
                        </pic:nvPicPr>
                        <pic:blipFill>
                          <a:blip r:embed="rId194" cstate="print"/>
                          <a:stretch>
                            <a:fillRect/>
                          </a:stretch>
                        </pic:blipFill>
                        <pic:spPr>
                          <a:xfrm>
                            <a:off x="1563623" y="2002599"/>
                            <a:ext cx="116357" cy="171793"/>
                          </a:xfrm>
                          <a:prstGeom prst="rect">
                            <a:avLst/>
                          </a:prstGeom>
                        </pic:spPr>
                      </pic:pic>
                      <pic:pic>
                        <pic:nvPicPr>
                          <pic:cNvPr id="330" name="Image 330"/>
                          <pic:cNvPicPr/>
                        </pic:nvPicPr>
                        <pic:blipFill>
                          <a:blip r:embed="rId195" cstate="print"/>
                          <a:stretch>
                            <a:fillRect/>
                          </a:stretch>
                        </pic:blipFill>
                        <pic:spPr>
                          <a:xfrm>
                            <a:off x="1398692" y="2002599"/>
                            <a:ext cx="144700" cy="171793"/>
                          </a:xfrm>
                          <a:prstGeom prst="rect">
                            <a:avLst/>
                          </a:prstGeom>
                        </pic:spPr>
                      </pic:pic>
                      <pic:pic>
                        <pic:nvPicPr>
                          <pic:cNvPr id="331" name="Image 331"/>
                          <pic:cNvPicPr/>
                        </pic:nvPicPr>
                        <pic:blipFill>
                          <a:blip r:embed="rId196" cstate="print"/>
                          <a:stretch>
                            <a:fillRect/>
                          </a:stretch>
                        </pic:blipFill>
                        <pic:spPr>
                          <a:xfrm>
                            <a:off x="2115235" y="2025591"/>
                            <a:ext cx="118328" cy="148801"/>
                          </a:xfrm>
                          <a:prstGeom prst="rect">
                            <a:avLst/>
                          </a:prstGeom>
                        </pic:spPr>
                      </pic:pic>
                      <pic:pic>
                        <pic:nvPicPr>
                          <pic:cNvPr id="332" name="Image 332"/>
                          <pic:cNvPicPr/>
                        </pic:nvPicPr>
                        <pic:blipFill>
                          <a:blip r:embed="rId197" cstate="print"/>
                          <a:stretch>
                            <a:fillRect/>
                          </a:stretch>
                        </pic:blipFill>
                        <pic:spPr>
                          <a:xfrm>
                            <a:off x="5079491" y="2321954"/>
                            <a:ext cx="199567" cy="229857"/>
                          </a:xfrm>
                          <a:prstGeom prst="rect">
                            <a:avLst/>
                          </a:prstGeom>
                        </pic:spPr>
                      </pic:pic>
                      <pic:pic>
                        <pic:nvPicPr>
                          <pic:cNvPr id="333" name="Image 333"/>
                          <pic:cNvPicPr/>
                        </pic:nvPicPr>
                        <pic:blipFill>
                          <a:blip r:embed="rId198" cstate="print"/>
                          <a:stretch>
                            <a:fillRect/>
                          </a:stretch>
                        </pic:blipFill>
                        <pic:spPr>
                          <a:xfrm>
                            <a:off x="1905152" y="2321954"/>
                            <a:ext cx="199567" cy="229857"/>
                          </a:xfrm>
                          <a:prstGeom prst="rect">
                            <a:avLst/>
                          </a:prstGeom>
                        </pic:spPr>
                      </pic:pic>
                      <pic:pic>
                        <pic:nvPicPr>
                          <pic:cNvPr id="334" name="Image 334"/>
                          <pic:cNvPicPr/>
                        </pic:nvPicPr>
                        <pic:blipFill>
                          <a:blip r:embed="rId199" cstate="print"/>
                          <a:stretch>
                            <a:fillRect/>
                          </a:stretch>
                        </pic:blipFill>
                        <pic:spPr>
                          <a:xfrm>
                            <a:off x="5796038" y="2382875"/>
                            <a:ext cx="155912" cy="171906"/>
                          </a:xfrm>
                          <a:prstGeom prst="rect">
                            <a:avLst/>
                          </a:prstGeom>
                        </pic:spPr>
                      </pic:pic>
                      <pic:pic>
                        <pic:nvPicPr>
                          <pic:cNvPr id="335" name="Image 335"/>
                          <pic:cNvPicPr/>
                        </pic:nvPicPr>
                        <pic:blipFill>
                          <a:blip r:embed="rId200" cstate="print"/>
                          <a:stretch>
                            <a:fillRect/>
                          </a:stretch>
                        </pic:blipFill>
                        <pic:spPr>
                          <a:xfrm>
                            <a:off x="5613844" y="2382875"/>
                            <a:ext cx="161962" cy="171906"/>
                          </a:xfrm>
                          <a:prstGeom prst="rect">
                            <a:avLst/>
                          </a:prstGeom>
                        </pic:spPr>
                      </pic:pic>
                      <pic:pic>
                        <pic:nvPicPr>
                          <pic:cNvPr id="336" name="Image 336"/>
                          <pic:cNvPicPr/>
                        </pic:nvPicPr>
                        <pic:blipFill>
                          <a:blip r:embed="rId201" cstate="print"/>
                          <a:stretch>
                            <a:fillRect/>
                          </a:stretch>
                        </pic:blipFill>
                        <pic:spPr>
                          <a:xfrm>
                            <a:off x="5451766" y="2382875"/>
                            <a:ext cx="142075" cy="171906"/>
                          </a:xfrm>
                          <a:prstGeom prst="rect">
                            <a:avLst/>
                          </a:prstGeom>
                        </pic:spPr>
                      </pic:pic>
                      <pic:pic>
                        <pic:nvPicPr>
                          <pic:cNvPr id="337" name="Image 337"/>
                          <pic:cNvPicPr/>
                        </pic:nvPicPr>
                        <pic:blipFill>
                          <a:blip r:embed="rId202" cstate="print"/>
                          <a:stretch>
                            <a:fillRect/>
                          </a:stretch>
                        </pic:blipFill>
                        <pic:spPr>
                          <a:xfrm>
                            <a:off x="5289575" y="2382875"/>
                            <a:ext cx="142075" cy="171906"/>
                          </a:xfrm>
                          <a:prstGeom prst="rect">
                            <a:avLst/>
                          </a:prstGeom>
                        </pic:spPr>
                      </pic:pic>
                      <pic:pic>
                        <pic:nvPicPr>
                          <pic:cNvPr id="338" name="Image 338"/>
                          <pic:cNvPicPr/>
                        </pic:nvPicPr>
                        <pic:blipFill>
                          <a:blip r:embed="rId203" cstate="print"/>
                          <a:stretch>
                            <a:fillRect/>
                          </a:stretch>
                        </pic:blipFill>
                        <pic:spPr>
                          <a:xfrm>
                            <a:off x="3816362" y="2382875"/>
                            <a:ext cx="116357" cy="171906"/>
                          </a:xfrm>
                          <a:prstGeom prst="rect">
                            <a:avLst/>
                          </a:prstGeom>
                        </pic:spPr>
                      </pic:pic>
                      <pic:pic>
                        <pic:nvPicPr>
                          <pic:cNvPr id="339" name="Image 339"/>
                          <pic:cNvPicPr/>
                        </pic:nvPicPr>
                        <pic:blipFill>
                          <a:blip r:embed="rId204" cstate="print"/>
                          <a:stretch>
                            <a:fillRect/>
                          </a:stretch>
                        </pic:blipFill>
                        <pic:spPr>
                          <a:xfrm>
                            <a:off x="3679774" y="2382875"/>
                            <a:ext cx="116471" cy="171906"/>
                          </a:xfrm>
                          <a:prstGeom prst="rect">
                            <a:avLst/>
                          </a:prstGeom>
                        </pic:spPr>
                      </pic:pic>
                      <pic:pic>
                        <pic:nvPicPr>
                          <pic:cNvPr id="340" name="Image 340"/>
                          <pic:cNvPicPr/>
                        </pic:nvPicPr>
                        <pic:blipFill>
                          <a:blip r:embed="rId205" cstate="print"/>
                          <a:stretch>
                            <a:fillRect/>
                          </a:stretch>
                        </pic:blipFill>
                        <pic:spPr>
                          <a:xfrm>
                            <a:off x="3497694" y="2382875"/>
                            <a:ext cx="161963" cy="171906"/>
                          </a:xfrm>
                          <a:prstGeom prst="rect">
                            <a:avLst/>
                          </a:prstGeom>
                        </pic:spPr>
                      </pic:pic>
                      <pic:pic>
                        <pic:nvPicPr>
                          <pic:cNvPr id="341" name="Image 341"/>
                          <pic:cNvPicPr/>
                        </pic:nvPicPr>
                        <pic:blipFill>
                          <a:blip r:embed="rId206" cstate="print"/>
                          <a:stretch>
                            <a:fillRect/>
                          </a:stretch>
                        </pic:blipFill>
                        <pic:spPr>
                          <a:xfrm>
                            <a:off x="3335518" y="2382875"/>
                            <a:ext cx="142172" cy="171906"/>
                          </a:xfrm>
                          <a:prstGeom prst="rect">
                            <a:avLst/>
                          </a:prstGeom>
                        </pic:spPr>
                      </pic:pic>
                      <pic:pic>
                        <pic:nvPicPr>
                          <pic:cNvPr id="342" name="Image 342"/>
                          <pic:cNvPicPr/>
                        </pic:nvPicPr>
                        <pic:blipFill>
                          <a:blip r:embed="rId207" cstate="print"/>
                          <a:stretch>
                            <a:fillRect/>
                          </a:stretch>
                        </pic:blipFill>
                        <pic:spPr>
                          <a:xfrm>
                            <a:off x="2277427" y="2382875"/>
                            <a:ext cx="194620" cy="171906"/>
                          </a:xfrm>
                          <a:prstGeom prst="rect">
                            <a:avLst/>
                          </a:prstGeom>
                        </pic:spPr>
                      </pic:pic>
                      <pic:pic>
                        <pic:nvPicPr>
                          <pic:cNvPr id="343" name="Image 343"/>
                          <pic:cNvPicPr/>
                        </pic:nvPicPr>
                        <pic:blipFill>
                          <a:blip r:embed="rId208" cstate="print"/>
                          <a:stretch>
                            <a:fillRect/>
                          </a:stretch>
                        </pic:blipFill>
                        <pic:spPr>
                          <a:xfrm>
                            <a:off x="2115235" y="2382875"/>
                            <a:ext cx="142189" cy="171906"/>
                          </a:xfrm>
                          <a:prstGeom prst="rect">
                            <a:avLst/>
                          </a:prstGeom>
                        </pic:spPr>
                      </pic:pic>
                      <pic:pic>
                        <pic:nvPicPr>
                          <pic:cNvPr id="344" name="Image 344"/>
                          <pic:cNvPicPr/>
                        </pic:nvPicPr>
                        <pic:blipFill>
                          <a:blip r:embed="rId209" cstate="print"/>
                          <a:stretch>
                            <a:fillRect/>
                          </a:stretch>
                        </pic:blipFill>
                        <pic:spPr>
                          <a:xfrm>
                            <a:off x="1700098" y="2382875"/>
                            <a:ext cx="116357" cy="171906"/>
                          </a:xfrm>
                          <a:prstGeom prst="rect">
                            <a:avLst/>
                          </a:prstGeom>
                        </pic:spPr>
                      </pic:pic>
                      <pic:pic>
                        <pic:nvPicPr>
                          <pic:cNvPr id="345" name="Image 345"/>
                          <pic:cNvPicPr/>
                        </pic:nvPicPr>
                        <pic:blipFill>
                          <a:blip r:embed="rId210" cstate="print"/>
                          <a:stretch>
                            <a:fillRect/>
                          </a:stretch>
                        </pic:blipFill>
                        <pic:spPr>
                          <a:xfrm>
                            <a:off x="1496012" y="2382875"/>
                            <a:ext cx="183969" cy="171906"/>
                          </a:xfrm>
                          <a:prstGeom prst="rect">
                            <a:avLst/>
                          </a:prstGeom>
                        </pic:spPr>
                      </pic:pic>
                      <pic:pic>
                        <pic:nvPicPr>
                          <pic:cNvPr id="346" name="Image 346"/>
                          <pic:cNvPicPr/>
                        </pic:nvPicPr>
                        <pic:blipFill>
                          <a:blip r:embed="rId211" cstate="print"/>
                          <a:stretch>
                            <a:fillRect/>
                          </a:stretch>
                        </pic:blipFill>
                        <pic:spPr>
                          <a:xfrm>
                            <a:off x="4021416" y="2462234"/>
                            <a:ext cx="52301" cy="89577"/>
                          </a:xfrm>
                          <a:prstGeom prst="rect">
                            <a:avLst/>
                          </a:prstGeom>
                        </pic:spPr>
                      </pic:pic>
                      <pic:pic>
                        <pic:nvPicPr>
                          <pic:cNvPr id="347" name="Image 347"/>
                          <pic:cNvPicPr/>
                        </pic:nvPicPr>
                        <pic:blipFill>
                          <a:blip r:embed="rId212" cstate="print"/>
                          <a:stretch>
                            <a:fillRect/>
                          </a:stretch>
                        </pic:blipFill>
                        <pic:spPr>
                          <a:xfrm>
                            <a:off x="4960127" y="2502406"/>
                            <a:ext cx="30667" cy="46746"/>
                          </a:xfrm>
                          <a:prstGeom prst="rect">
                            <a:avLst/>
                          </a:prstGeom>
                        </pic:spPr>
                      </pic:pic>
                      <pic:pic>
                        <pic:nvPicPr>
                          <pic:cNvPr id="348" name="Image 348"/>
                          <pic:cNvPicPr/>
                        </pic:nvPicPr>
                        <pic:blipFill>
                          <a:blip r:embed="rId213" cstate="print"/>
                          <a:stretch>
                            <a:fillRect/>
                          </a:stretch>
                        </pic:blipFill>
                        <pic:spPr>
                          <a:xfrm>
                            <a:off x="5079491" y="2702344"/>
                            <a:ext cx="199567" cy="229742"/>
                          </a:xfrm>
                          <a:prstGeom prst="rect">
                            <a:avLst/>
                          </a:prstGeom>
                        </pic:spPr>
                      </pic:pic>
                      <pic:pic>
                        <pic:nvPicPr>
                          <pic:cNvPr id="349" name="Image 349"/>
                          <pic:cNvPicPr/>
                        </pic:nvPicPr>
                        <pic:blipFill>
                          <a:blip r:embed="rId214" cstate="print"/>
                          <a:stretch>
                            <a:fillRect/>
                          </a:stretch>
                        </pic:blipFill>
                        <pic:spPr>
                          <a:xfrm>
                            <a:off x="4021416" y="2702344"/>
                            <a:ext cx="153764" cy="229742"/>
                          </a:xfrm>
                          <a:prstGeom prst="rect">
                            <a:avLst/>
                          </a:prstGeom>
                        </pic:spPr>
                      </pic:pic>
                      <pic:pic>
                        <pic:nvPicPr>
                          <pic:cNvPr id="350" name="Image 350"/>
                          <pic:cNvPicPr/>
                        </pic:nvPicPr>
                        <pic:blipFill>
                          <a:blip r:embed="rId215" cstate="print"/>
                          <a:stretch>
                            <a:fillRect/>
                          </a:stretch>
                        </pic:blipFill>
                        <pic:spPr>
                          <a:xfrm>
                            <a:off x="1905152" y="2702344"/>
                            <a:ext cx="199567" cy="229742"/>
                          </a:xfrm>
                          <a:prstGeom prst="rect">
                            <a:avLst/>
                          </a:prstGeom>
                        </pic:spPr>
                      </pic:pic>
                      <pic:pic>
                        <pic:nvPicPr>
                          <pic:cNvPr id="351" name="Image 351"/>
                          <pic:cNvPicPr/>
                        </pic:nvPicPr>
                        <pic:blipFill>
                          <a:blip r:embed="rId216" cstate="print"/>
                          <a:stretch>
                            <a:fillRect/>
                          </a:stretch>
                        </pic:blipFill>
                        <pic:spPr>
                          <a:xfrm>
                            <a:off x="5613844" y="2763151"/>
                            <a:ext cx="257385" cy="171907"/>
                          </a:xfrm>
                          <a:prstGeom prst="rect">
                            <a:avLst/>
                          </a:prstGeom>
                        </pic:spPr>
                      </pic:pic>
                      <pic:pic>
                        <pic:nvPicPr>
                          <pic:cNvPr id="352" name="Image 352"/>
                          <pic:cNvPicPr/>
                        </pic:nvPicPr>
                        <pic:blipFill>
                          <a:blip r:embed="rId217" cstate="print"/>
                          <a:stretch>
                            <a:fillRect/>
                          </a:stretch>
                        </pic:blipFill>
                        <pic:spPr>
                          <a:xfrm>
                            <a:off x="5451766" y="2763151"/>
                            <a:ext cx="142075" cy="171907"/>
                          </a:xfrm>
                          <a:prstGeom prst="rect">
                            <a:avLst/>
                          </a:prstGeom>
                        </pic:spPr>
                      </pic:pic>
                      <pic:pic>
                        <pic:nvPicPr>
                          <pic:cNvPr id="353" name="Image 353"/>
                          <pic:cNvPicPr/>
                        </pic:nvPicPr>
                        <pic:blipFill>
                          <a:blip r:embed="rId218" cstate="print"/>
                          <a:stretch>
                            <a:fillRect/>
                          </a:stretch>
                        </pic:blipFill>
                        <pic:spPr>
                          <a:xfrm>
                            <a:off x="5289575" y="2763151"/>
                            <a:ext cx="142075" cy="171907"/>
                          </a:xfrm>
                          <a:prstGeom prst="rect">
                            <a:avLst/>
                          </a:prstGeom>
                        </pic:spPr>
                      </pic:pic>
                      <pic:pic>
                        <pic:nvPicPr>
                          <pic:cNvPr id="354" name="Image 354"/>
                          <pic:cNvPicPr/>
                        </pic:nvPicPr>
                        <pic:blipFill>
                          <a:blip r:embed="rId219" cstate="print"/>
                          <a:stretch>
                            <a:fillRect/>
                          </a:stretch>
                        </pic:blipFill>
                        <pic:spPr>
                          <a:xfrm>
                            <a:off x="4799950" y="2763151"/>
                            <a:ext cx="190844" cy="171907"/>
                          </a:xfrm>
                          <a:prstGeom prst="rect">
                            <a:avLst/>
                          </a:prstGeom>
                        </pic:spPr>
                      </pic:pic>
                      <pic:pic>
                        <pic:nvPicPr>
                          <pic:cNvPr id="355" name="Image 355"/>
                          <pic:cNvPicPr/>
                        </pic:nvPicPr>
                        <pic:blipFill>
                          <a:blip r:embed="rId220" cstate="print"/>
                          <a:stretch>
                            <a:fillRect/>
                          </a:stretch>
                        </pic:blipFill>
                        <pic:spPr>
                          <a:xfrm>
                            <a:off x="3816362" y="2763151"/>
                            <a:ext cx="116357" cy="171907"/>
                          </a:xfrm>
                          <a:prstGeom prst="rect">
                            <a:avLst/>
                          </a:prstGeom>
                        </pic:spPr>
                      </pic:pic>
                      <pic:pic>
                        <pic:nvPicPr>
                          <pic:cNvPr id="356" name="Image 356"/>
                          <pic:cNvPicPr/>
                        </pic:nvPicPr>
                        <pic:blipFill>
                          <a:blip r:embed="rId221" cstate="print"/>
                          <a:stretch>
                            <a:fillRect/>
                          </a:stretch>
                        </pic:blipFill>
                        <pic:spPr>
                          <a:xfrm>
                            <a:off x="3679774" y="2763151"/>
                            <a:ext cx="116471" cy="171907"/>
                          </a:xfrm>
                          <a:prstGeom prst="rect">
                            <a:avLst/>
                          </a:prstGeom>
                        </pic:spPr>
                      </pic:pic>
                      <pic:pic>
                        <pic:nvPicPr>
                          <pic:cNvPr id="357" name="Image 357"/>
                          <pic:cNvPicPr/>
                        </pic:nvPicPr>
                        <pic:blipFill>
                          <a:blip r:embed="rId222" cstate="print"/>
                          <a:stretch>
                            <a:fillRect/>
                          </a:stretch>
                        </pic:blipFill>
                        <pic:spPr>
                          <a:xfrm>
                            <a:off x="3497694" y="2763151"/>
                            <a:ext cx="161963" cy="171907"/>
                          </a:xfrm>
                          <a:prstGeom prst="rect">
                            <a:avLst/>
                          </a:prstGeom>
                        </pic:spPr>
                      </pic:pic>
                      <pic:pic>
                        <pic:nvPicPr>
                          <pic:cNvPr id="358" name="Image 358"/>
                          <pic:cNvPicPr/>
                        </pic:nvPicPr>
                        <pic:blipFill>
                          <a:blip r:embed="rId223" cstate="print"/>
                          <a:stretch>
                            <a:fillRect/>
                          </a:stretch>
                        </pic:blipFill>
                        <pic:spPr>
                          <a:xfrm>
                            <a:off x="3203837" y="2763151"/>
                            <a:ext cx="273853" cy="171907"/>
                          </a:xfrm>
                          <a:prstGeom prst="rect">
                            <a:avLst/>
                          </a:prstGeom>
                        </pic:spPr>
                      </pic:pic>
                      <pic:pic>
                        <pic:nvPicPr>
                          <pic:cNvPr id="359" name="Image 359"/>
                          <pic:cNvPicPr/>
                        </pic:nvPicPr>
                        <pic:blipFill>
                          <a:blip r:embed="rId224" cstate="print"/>
                          <a:stretch>
                            <a:fillRect/>
                          </a:stretch>
                        </pic:blipFill>
                        <pic:spPr>
                          <a:xfrm>
                            <a:off x="2277427" y="2763151"/>
                            <a:ext cx="142074" cy="171907"/>
                          </a:xfrm>
                          <a:prstGeom prst="rect">
                            <a:avLst/>
                          </a:prstGeom>
                        </pic:spPr>
                      </pic:pic>
                      <pic:pic>
                        <pic:nvPicPr>
                          <pic:cNvPr id="360" name="Image 360"/>
                          <pic:cNvPicPr/>
                        </pic:nvPicPr>
                        <pic:blipFill>
                          <a:blip r:embed="rId225" cstate="print"/>
                          <a:stretch>
                            <a:fillRect/>
                          </a:stretch>
                        </pic:blipFill>
                        <pic:spPr>
                          <a:xfrm>
                            <a:off x="2115235" y="2763151"/>
                            <a:ext cx="142189" cy="171907"/>
                          </a:xfrm>
                          <a:prstGeom prst="rect">
                            <a:avLst/>
                          </a:prstGeom>
                        </pic:spPr>
                      </pic:pic>
                      <pic:pic>
                        <pic:nvPicPr>
                          <pic:cNvPr id="361" name="Image 361"/>
                          <pic:cNvPicPr/>
                        </pic:nvPicPr>
                        <pic:blipFill>
                          <a:blip r:embed="rId226" cstate="print"/>
                          <a:stretch>
                            <a:fillRect/>
                          </a:stretch>
                        </pic:blipFill>
                        <pic:spPr>
                          <a:xfrm>
                            <a:off x="2439619" y="2763151"/>
                            <a:ext cx="278416" cy="171907"/>
                          </a:xfrm>
                          <a:prstGeom prst="rect">
                            <a:avLst/>
                          </a:prstGeom>
                        </pic:spPr>
                      </pic:pic>
                      <pic:pic>
                        <pic:nvPicPr>
                          <pic:cNvPr id="362" name="Image 362"/>
                          <pic:cNvPicPr/>
                        </pic:nvPicPr>
                        <pic:blipFill>
                          <a:blip r:embed="rId227" cstate="print"/>
                          <a:stretch>
                            <a:fillRect/>
                          </a:stretch>
                        </pic:blipFill>
                        <pic:spPr>
                          <a:xfrm>
                            <a:off x="1600039" y="2763151"/>
                            <a:ext cx="216416" cy="171907"/>
                          </a:xfrm>
                          <a:prstGeom prst="rect">
                            <a:avLst/>
                          </a:prstGeom>
                        </pic:spPr>
                      </pic:pic>
                      <pic:pic>
                        <pic:nvPicPr>
                          <pic:cNvPr id="363" name="Image 363"/>
                          <pic:cNvPicPr/>
                        </pic:nvPicPr>
                        <pic:blipFill>
                          <a:blip r:embed="rId228" cstate="print"/>
                          <a:stretch>
                            <a:fillRect/>
                          </a:stretch>
                        </pic:blipFill>
                        <pic:spPr>
                          <a:xfrm>
                            <a:off x="4738420" y="2819935"/>
                            <a:ext cx="115899" cy="115123"/>
                          </a:xfrm>
                          <a:prstGeom prst="rect">
                            <a:avLst/>
                          </a:prstGeom>
                        </pic:spPr>
                      </pic:pic>
                      <pic:pic>
                        <pic:nvPicPr>
                          <pic:cNvPr id="364" name="Image 364"/>
                          <pic:cNvPicPr/>
                        </pic:nvPicPr>
                        <pic:blipFill>
                          <a:blip r:embed="rId229" cstate="print"/>
                          <a:stretch>
                            <a:fillRect/>
                          </a:stretch>
                        </pic:blipFill>
                        <pic:spPr>
                          <a:xfrm>
                            <a:off x="1616397" y="2825193"/>
                            <a:ext cx="63583" cy="105673"/>
                          </a:xfrm>
                          <a:prstGeom prst="rect">
                            <a:avLst/>
                          </a:prstGeom>
                        </pic:spPr>
                      </pic:pic>
                      <pic:pic>
                        <pic:nvPicPr>
                          <pic:cNvPr id="365" name="Image 365"/>
                          <pic:cNvPicPr/>
                        </pic:nvPicPr>
                        <pic:blipFill>
                          <a:blip r:embed="rId230" cstate="print"/>
                          <a:stretch>
                            <a:fillRect/>
                          </a:stretch>
                        </pic:blipFill>
                        <pic:spPr>
                          <a:xfrm>
                            <a:off x="5079491" y="3082620"/>
                            <a:ext cx="199567" cy="229742"/>
                          </a:xfrm>
                          <a:prstGeom prst="rect">
                            <a:avLst/>
                          </a:prstGeom>
                        </pic:spPr>
                      </pic:pic>
                      <pic:pic>
                        <pic:nvPicPr>
                          <pic:cNvPr id="366" name="Image 366"/>
                          <pic:cNvPicPr/>
                        </pic:nvPicPr>
                        <pic:blipFill>
                          <a:blip r:embed="rId231" cstate="print"/>
                          <a:stretch>
                            <a:fillRect/>
                          </a:stretch>
                        </pic:blipFill>
                        <pic:spPr>
                          <a:xfrm>
                            <a:off x="1905152" y="3082620"/>
                            <a:ext cx="199567" cy="229742"/>
                          </a:xfrm>
                          <a:prstGeom prst="rect">
                            <a:avLst/>
                          </a:prstGeom>
                        </pic:spPr>
                      </pic:pic>
                      <pic:pic>
                        <pic:nvPicPr>
                          <pic:cNvPr id="367" name="Image 367"/>
                          <pic:cNvPicPr/>
                        </pic:nvPicPr>
                        <pic:blipFill>
                          <a:blip r:embed="rId232" cstate="print"/>
                          <a:stretch>
                            <a:fillRect/>
                          </a:stretch>
                        </pic:blipFill>
                        <pic:spPr>
                          <a:xfrm>
                            <a:off x="7195642" y="3131468"/>
                            <a:ext cx="199567" cy="180895"/>
                          </a:xfrm>
                          <a:prstGeom prst="rect">
                            <a:avLst/>
                          </a:prstGeom>
                        </pic:spPr>
                      </pic:pic>
                      <pic:pic>
                        <pic:nvPicPr>
                          <pic:cNvPr id="368" name="Image 368"/>
                          <pic:cNvPicPr/>
                        </pic:nvPicPr>
                        <pic:blipFill>
                          <a:blip r:embed="rId233" cstate="print"/>
                          <a:stretch>
                            <a:fillRect/>
                          </a:stretch>
                        </pic:blipFill>
                        <pic:spPr>
                          <a:xfrm>
                            <a:off x="4021416" y="3082620"/>
                            <a:ext cx="249548" cy="229742"/>
                          </a:xfrm>
                          <a:prstGeom prst="rect">
                            <a:avLst/>
                          </a:prstGeom>
                        </pic:spPr>
                      </pic:pic>
                      <pic:pic>
                        <pic:nvPicPr>
                          <pic:cNvPr id="369" name="Image 369"/>
                          <pic:cNvPicPr/>
                        </pic:nvPicPr>
                        <pic:blipFill>
                          <a:blip r:embed="rId234" cstate="print"/>
                          <a:stretch>
                            <a:fillRect/>
                          </a:stretch>
                        </pic:blipFill>
                        <pic:spPr>
                          <a:xfrm>
                            <a:off x="7405724" y="3143427"/>
                            <a:ext cx="123321" cy="161499"/>
                          </a:xfrm>
                          <a:prstGeom prst="rect">
                            <a:avLst/>
                          </a:prstGeom>
                        </pic:spPr>
                      </pic:pic>
                      <pic:pic>
                        <pic:nvPicPr>
                          <pic:cNvPr id="370" name="Image 370"/>
                          <pic:cNvPicPr/>
                        </pic:nvPicPr>
                        <pic:blipFill>
                          <a:blip r:embed="rId235" cstate="print"/>
                          <a:stretch>
                            <a:fillRect/>
                          </a:stretch>
                        </pic:blipFill>
                        <pic:spPr>
                          <a:xfrm>
                            <a:off x="5613844" y="3143427"/>
                            <a:ext cx="161175" cy="171907"/>
                          </a:xfrm>
                          <a:prstGeom prst="rect">
                            <a:avLst/>
                          </a:prstGeom>
                        </pic:spPr>
                      </pic:pic>
                      <pic:pic>
                        <pic:nvPicPr>
                          <pic:cNvPr id="371" name="Image 371"/>
                          <pic:cNvPicPr/>
                        </pic:nvPicPr>
                        <pic:blipFill>
                          <a:blip r:embed="rId236" cstate="print"/>
                          <a:stretch>
                            <a:fillRect/>
                          </a:stretch>
                        </pic:blipFill>
                        <pic:spPr>
                          <a:xfrm>
                            <a:off x="5451766" y="3143427"/>
                            <a:ext cx="142075" cy="171907"/>
                          </a:xfrm>
                          <a:prstGeom prst="rect">
                            <a:avLst/>
                          </a:prstGeom>
                        </pic:spPr>
                      </pic:pic>
                      <pic:pic>
                        <pic:nvPicPr>
                          <pic:cNvPr id="372" name="Image 372"/>
                          <pic:cNvPicPr/>
                        </pic:nvPicPr>
                        <pic:blipFill>
                          <a:blip r:embed="rId237" cstate="print"/>
                          <a:stretch>
                            <a:fillRect/>
                          </a:stretch>
                        </pic:blipFill>
                        <pic:spPr>
                          <a:xfrm>
                            <a:off x="5289575" y="3143427"/>
                            <a:ext cx="142075" cy="171907"/>
                          </a:xfrm>
                          <a:prstGeom prst="rect">
                            <a:avLst/>
                          </a:prstGeom>
                        </pic:spPr>
                      </pic:pic>
                      <pic:pic>
                        <pic:nvPicPr>
                          <pic:cNvPr id="373" name="Image 373"/>
                          <pic:cNvPicPr/>
                        </pic:nvPicPr>
                        <pic:blipFill>
                          <a:blip r:embed="rId238" cstate="print"/>
                          <a:stretch>
                            <a:fillRect/>
                          </a:stretch>
                        </pic:blipFill>
                        <pic:spPr>
                          <a:xfrm>
                            <a:off x="4874437" y="3143427"/>
                            <a:ext cx="116357" cy="171907"/>
                          </a:xfrm>
                          <a:prstGeom prst="rect">
                            <a:avLst/>
                          </a:prstGeom>
                        </pic:spPr>
                      </pic:pic>
                      <pic:pic>
                        <pic:nvPicPr>
                          <pic:cNvPr id="374" name="Image 374"/>
                          <pic:cNvPicPr/>
                        </pic:nvPicPr>
                        <pic:blipFill>
                          <a:blip r:embed="rId239" cstate="print"/>
                          <a:stretch>
                            <a:fillRect/>
                          </a:stretch>
                        </pic:blipFill>
                        <pic:spPr>
                          <a:xfrm>
                            <a:off x="4737963" y="3143427"/>
                            <a:ext cx="116357" cy="171907"/>
                          </a:xfrm>
                          <a:prstGeom prst="rect">
                            <a:avLst/>
                          </a:prstGeom>
                        </pic:spPr>
                      </pic:pic>
                      <pic:pic>
                        <pic:nvPicPr>
                          <pic:cNvPr id="375" name="Image 375"/>
                          <pic:cNvPicPr/>
                        </pic:nvPicPr>
                        <pic:blipFill>
                          <a:blip r:embed="rId240" cstate="print"/>
                          <a:stretch>
                            <a:fillRect/>
                          </a:stretch>
                        </pic:blipFill>
                        <pic:spPr>
                          <a:xfrm>
                            <a:off x="3816362" y="3143427"/>
                            <a:ext cx="116357" cy="171907"/>
                          </a:xfrm>
                          <a:prstGeom prst="rect">
                            <a:avLst/>
                          </a:prstGeom>
                        </pic:spPr>
                      </pic:pic>
                      <pic:pic>
                        <pic:nvPicPr>
                          <pic:cNvPr id="376" name="Image 376"/>
                          <pic:cNvPicPr/>
                        </pic:nvPicPr>
                        <pic:blipFill>
                          <a:blip r:embed="rId241" cstate="print"/>
                          <a:stretch>
                            <a:fillRect/>
                          </a:stretch>
                        </pic:blipFill>
                        <pic:spPr>
                          <a:xfrm>
                            <a:off x="3679774" y="3143427"/>
                            <a:ext cx="116471" cy="171907"/>
                          </a:xfrm>
                          <a:prstGeom prst="rect">
                            <a:avLst/>
                          </a:prstGeom>
                        </pic:spPr>
                      </pic:pic>
                      <pic:pic>
                        <pic:nvPicPr>
                          <pic:cNvPr id="377" name="Image 377"/>
                          <pic:cNvPicPr/>
                        </pic:nvPicPr>
                        <pic:blipFill>
                          <a:blip r:embed="rId242" cstate="print"/>
                          <a:stretch>
                            <a:fillRect/>
                          </a:stretch>
                        </pic:blipFill>
                        <pic:spPr>
                          <a:xfrm>
                            <a:off x="4459526" y="3143427"/>
                            <a:ext cx="258205" cy="171907"/>
                          </a:xfrm>
                          <a:prstGeom prst="rect">
                            <a:avLst/>
                          </a:prstGeom>
                        </pic:spPr>
                      </pic:pic>
                      <pic:pic>
                        <pic:nvPicPr>
                          <pic:cNvPr id="378" name="Image 378"/>
                          <pic:cNvPicPr/>
                        </pic:nvPicPr>
                        <pic:blipFill>
                          <a:blip r:embed="rId243" cstate="print"/>
                          <a:stretch>
                            <a:fillRect/>
                          </a:stretch>
                        </pic:blipFill>
                        <pic:spPr>
                          <a:xfrm>
                            <a:off x="3497694" y="3143427"/>
                            <a:ext cx="161963" cy="171907"/>
                          </a:xfrm>
                          <a:prstGeom prst="rect">
                            <a:avLst/>
                          </a:prstGeom>
                        </pic:spPr>
                      </pic:pic>
                      <pic:pic>
                        <pic:nvPicPr>
                          <pic:cNvPr id="379" name="Image 379"/>
                          <pic:cNvPicPr/>
                        </pic:nvPicPr>
                        <pic:blipFill>
                          <a:blip r:embed="rId244" cstate="print"/>
                          <a:stretch>
                            <a:fillRect/>
                          </a:stretch>
                        </pic:blipFill>
                        <pic:spPr>
                          <a:xfrm>
                            <a:off x="3335502" y="3143427"/>
                            <a:ext cx="142188" cy="171907"/>
                          </a:xfrm>
                          <a:prstGeom prst="rect">
                            <a:avLst/>
                          </a:prstGeom>
                        </pic:spPr>
                      </pic:pic>
                      <pic:pic>
                        <pic:nvPicPr>
                          <pic:cNvPr id="380" name="Image 380"/>
                          <pic:cNvPicPr/>
                        </pic:nvPicPr>
                        <pic:blipFill>
                          <a:blip r:embed="rId245" cstate="print"/>
                          <a:stretch>
                            <a:fillRect/>
                          </a:stretch>
                        </pic:blipFill>
                        <pic:spPr>
                          <a:xfrm>
                            <a:off x="2758173" y="3143427"/>
                            <a:ext cx="116357" cy="171907"/>
                          </a:xfrm>
                          <a:prstGeom prst="rect">
                            <a:avLst/>
                          </a:prstGeom>
                        </pic:spPr>
                      </pic:pic>
                      <pic:pic>
                        <pic:nvPicPr>
                          <pic:cNvPr id="381" name="Image 381"/>
                          <pic:cNvPicPr/>
                        </pic:nvPicPr>
                        <pic:blipFill>
                          <a:blip r:embed="rId246" cstate="print"/>
                          <a:stretch>
                            <a:fillRect/>
                          </a:stretch>
                        </pic:blipFill>
                        <pic:spPr>
                          <a:xfrm>
                            <a:off x="2621699" y="3143427"/>
                            <a:ext cx="116357" cy="171907"/>
                          </a:xfrm>
                          <a:prstGeom prst="rect">
                            <a:avLst/>
                          </a:prstGeom>
                        </pic:spPr>
                      </pic:pic>
                      <pic:pic>
                        <pic:nvPicPr>
                          <pic:cNvPr id="382" name="Image 382"/>
                          <pic:cNvPicPr/>
                        </pic:nvPicPr>
                        <pic:blipFill>
                          <a:blip r:embed="rId247" cstate="print"/>
                          <a:stretch>
                            <a:fillRect/>
                          </a:stretch>
                        </pic:blipFill>
                        <pic:spPr>
                          <a:xfrm>
                            <a:off x="3101778" y="3143427"/>
                            <a:ext cx="213721" cy="171907"/>
                          </a:xfrm>
                          <a:prstGeom prst="rect">
                            <a:avLst/>
                          </a:prstGeom>
                        </pic:spPr>
                      </pic:pic>
                      <pic:pic>
                        <pic:nvPicPr>
                          <pic:cNvPr id="383" name="Image 383"/>
                          <pic:cNvPicPr/>
                        </pic:nvPicPr>
                        <pic:blipFill>
                          <a:blip r:embed="rId248" cstate="print"/>
                          <a:stretch>
                            <a:fillRect/>
                          </a:stretch>
                        </pic:blipFill>
                        <pic:spPr>
                          <a:xfrm>
                            <a:off x="2439619" y="3143427"/>
                            <a:ext cx="161963" cy="171907"/>
                          </a:xfrm>
                          <a:prstGeom prst="rect">
                            <a:avLst/>
                          </a:prstGeom>
                        </pic:spPr>
                      </pic:pic>
                      <pic:pic>
                        <pic:nvPicPr>
                          <pic:cNvPr id="384" name="Image 384"/>
                          <pic:cNvPicPr/>
                        </pic:nvPicPr>
                        <pic:blipFill>
                          <a:blip r:embed="rId249" cstate="print"/>
                          <a:stretch>
                            <a:fillRect/>
                          </a:stretch>
                        </pic:blipFill>
                        <pic:spPr>
                          <a:xfrm>
                            <a:off x="2277427" y="3143427"/>
                            <a:ext cx="142074" cy="171907"/>
                          </a:xfrm>
                          <a:prstGeom prst="rect">
                            <a:avLst/>
                          </a:prstGeom>
                        </pic:spPr>
                      </pic:pic>
                      <pic:pic>
                        <pic:nvPicPr>
                          <pic:cNvPr id="385" name="Image 385"/>
                          <pic:cNvPicPr/>
                        </pic:nvPicPr>
                        <pic:blipFill>
                          <a:blip r:embed="rId250" cstate="print"/>
                          <a:stretch>
                            <a:fillRect/>
                          </a:stretch>
                        </pic:blipFill>
                        <pic:spPr>
                          <a:xfrm>
                            <a:off x="2115235" y="3143427"/>
                            <a:ext cx="142189" cy="171907"/>
                          </a:xfrm>
                          <a:prstGeom prst="rect">
                            <a:avLst/>
                          </a:prstGeom>
                        </pic:spPr>
                      </pic:pic>
                      <pic:pic>
                        <pic:nvPicPr>
                          <pic:cNvPr id="386" name="Image 386"/>
                          <pic:cNvPicPr/>
                        </pic:nvPicPr>
                        <pic:blipFill>
                          <a:blip r:embed="rId251" cstate="print"/>
                          <a:stretch>
                            <a:fillRect/>
                          </a:stretch>
                        </pic:blipFill>
                        <pic:spPr>
                          <a:xfrm>
                            <a:off x="1709227" y="3143427"/>
                            <a:ext cx="107228" cy="171899"/>
                          </a:xfrm>
                          <a:prstGeom prst="rect">
                            <a:avLst/>
                          </a:prstGeom>
                        </pic:spPr>
                      </pic:pic>
                      <pic:pic>
                        <pic:nvPicPr>
                          <pic:cNvPr id="387" name="Image 387"/>
                          <pic:cNvPicPr/>
                        </pic:nvPicPr>
                        <pic:blipFill>
                          <a:blip r:embed="rId252" cstate="print"/>
                          <a:stretch>
                            <a:fillRect/>
                          </a:stretch>
                        </pic:blipFill>
                        <pic:spPr>
                          <a:xfrm>
                            <a:off x="161277" y="3143427"/>
                            <a:ext cx="142074" cy="171907"/>
                          </a:xfrm>
                          <a:prstGeom prst="rect">
                            <a:avLst/>
                          </a:prstGeom>
                        </pic:spPr>
                      </pic:pic>
                      <pic:pic>
                        <pic:nvPicPr>
                          <pic:cNvPr id="388" name="Image 388"/>
                          <pic:cNvPicPr/>
                        </pic:nvPicPr>
                        <pic:blipFill>
                          <a:blip r:embed="rId253" cstate="print"/>
                          <a:stretch>
                            <a:fillRect/>
                          </a:stretch>
                        </pic:blipFill>
                        <pic:spPr>
                          <a:xfrm>
                            <a:off x="0" y="3143427"/>
                            <a:ext cx="141160" cy="171907"/>
                          </a:xfrm>
                          <a:prstGeom prst="rect">
                            <a:avLst/>
                          </a:prstGeom>
                        </pic:spPr>
                      </pic:pic>
                      <pic:pic>
                        <pic:nvPicPr>
                          <pic:cNvPr id="389" name="Image 389"/>
                          <pic:cNvPicPr/>
                        </pic:nvPicPr>
                        <pic:blipFill>
                          <a:blip r:embed="rId254" cstate="print"/>
                          <a:stretch>
                            <a:fillRect/>
                          </a:stretch>
                        </pic:blipFill>
                        <pic:spPr>
                          <a:xfrm>
                            <a:off x="323468" y="3168314"/>
                            <a:ext cx="279077" cy="147020"/>
                          </a:xfrm>
                          <a:prstGeom prst="rect">
                            <a:avLst/>
                          </a:prstGeom>
                        </pic:spPr>
                      </pic:pic>
                      <pic:pic>
                        <pic:nvPicPr>
                          <pic:cNvPr id="390" name="Image 390"/>
                          <pic:cNvPicPr/>
                        </pic:nvPicPr>
                        <pic:blipFill>
                          <a:blip r:embed="rId255" cstate="print"/>
                          <a:stretch>
                            <a:fillRect/>
                          </a:stretch>
                        </pic:blipFill>
                        <pic:spPr>
                          <a:xfrm>
                            <a:off x="6995555" y="3247070"/>
                            <a:ext cx="111390" cy="68265"/>
                          </a:xfrm>
                          <a:prstGeom prst="rect">
                            <a:avLst/>
                          </a:prstGeom>
                        </pic:spPr>
                      </pic:pic>
                      <pic:pic>
                        <pic:nvPicPr>
                          <pic:cNvPr id="391" name="Image 391"/>
                          <pic:cNvPicPr/>
                        </pic:nvPicPr>
                        <pic:blipFill>
                          <a:blip r:embed="rId256" cstate="print"/>
                          <a:stretch>
                            <a:fillRect/>
                          </a:stretch>
                        </pic:blipFill>
                        <pic:spPr>
                          <a:xfrm>
                            <a:off x="2963227" y="3308091"/>
                            <a:ext cx="4430" cy="4271"/>
                          </a:xfrm>
                          <a:prstGeom prst="rect">
                            <a:avLst/>
                          </a:prstGeom>
                        </pic:spPr>
                      </pic:pic>
                      <pic:pic>
                        <pic:nvPicPr>
                          <pic:cNvPr id="392" name="Image 392"/>
                          <pic:cNvPicPr/>
                        </pic:nvPicPr>
                        <pic:blipFill>
                          <a:blip r:embed="rId257" cstate="print"/>
                          <a:stretch>
                            <a:fillRect/>
                          </a:stretch>
                        </pic:blipFill>
                        <pic:spPr>
                          <a:xfrm>
                            <a:off x="7195642" y="3462896"/>
                            <a:ext cx="130601" cy="229742"/>
                          </a:xfrm>
                          <a:prstGeom prst="rect">
                            <a:avLst/>
                          </a:prstGeom>
                        </pic:spPr>
                      </pic:pic>
                      <pic:pic>
                        <pic:nvPicPr>
                          <pic:cNvPr id="393" name="Image 393"/>
                          <pic:cNvPicPr/>
                        </pic:nvPicPr>
                        <pic:blipFill>
                          <a:blip r:embed="rId258" cstate="print"/>
                          <a:stretch>
                            <a:fillRect/>
                          </a:stretch>
                        </pic:blipFill>
                        <pic:spPr>
                          <a:xfrm>
                            <a:off x="5079491" y="3462896"/>
                            <a:ext cx="199567" cy="229742"/>
                          </a:xfrm>
                          <a:prstGeom prst="rect">
                            <a:avLst/>
                          </a:prstGeom>
                        </pic:spPr>
                      </pic:pic>
                      <pic:pic>
                        <pic:nvPicPr>
                          <pic:cNvPr id="394" name="Image 394"/>
                          <pic:cNvPicPr/>
                        </pic:nvPicPr>
                        <pic:blipFill>
                          <a:blip r:embed="rId259" cstate="print"/>
                          <a:stretch>
                            <a:fillRect/>
                          </a:stretch>
                        </pic:blipFill>
                        <pic:spPr>
                          <a:xfrm>
                            <a:off x="4021416" y="3462896"/>
                            <a:ext cx="199453" cy="229742"/>
                          </a:xfrm>
                          <a:prstGeom prst="rect">
                            <a:avLst/>
                          </a:prstGeom>
                        </pic:spPr>
                      </pic:pic>
                      <pic:pic>
                        <pic:nvPicPr>
                          <pic:cNvPr id="395" name="Image 395"/>
                          <pic:cNvPicPr/>
                        </pic:nvPicPr>
                        <pic:blipFill>
                          <a:blip r:embed="rId260" cstate="print"/>
                          <a:stretch>
                            <a:fillRect/>
                          </a:stretch>
                        </pic:blipFill>
                        <pic:spPr>
                          <a:xfrm>
                            <a:off x="2963227" y="3462896"/>
                            <a:ext cx="199567" cy="229742"/>
                          </a:xfrm>
                          <a:prstGeom prst="rect">
                            <a:avLst/>
                          </a:prstGeom>
                        </pic:spPr>
                      </pic:pic>
                      <pic:pic>
                        <pic:nvPicPr>
                          <pic:cNvPr id="396" name="Image 396"/>
                          <pic:cNvPicPr/>
                        </pic:nvPicPr>
                        <pic:blipFill>
                          <a:blip r:embed="rId261" cstate="print"/>
                          <a:stretch>
                            <a:fillRect/>
                          </a:stretch>
                        </pic:blipFill>
                        <pic:spPr>
                          <a:xfrm>
                            <a:off x="1905152" y="3462896"/>
                            <a:ext cx="199567" cy="229742"/>
                          </a:xfrm>
                          <a:prstGeom prst="rect">
                            <a:avLst/>
                          </a:prstGeom>
                        </pic:spPr>
                      </pic:pic>
                      <pic:pic>
                        <pic:nvPicPr>
                          <pic:cNvPr id="397" name="Image 397"/>
                          <pic:cNvPicPr/>
                        </pic:nvPicPr>
                        <pic:blipFill>
                          <a:blip r:embed="rId262" cstate="print"/>
                          <a:stretch>
                            <a:fillRect/>
                          </a:stretch>
                        </pic:blipFill>
                        <pic:spPr>
                          <a:xfrm>
                            <a:off x="847077" y="3478110"/>
                            <a:ext cx="199567" cy="214528"/>
                          </a:xfrm>
                          <a:prstGeom prst="rect">
                            <a:avLst/>
                          </a:prstGeom>
                        </pic:spPr>
                      </pic:pic>
                      <pic:pic>
                        <pic:nvPicPr>
                          <pic:cNvPr id="398" name="Image 398"/>
                          <pic:cNvPicPr/>
                        </pic:nvPicPr>
                        <pic:blipFill>
                          <a:blip r:embed="rId263" cstate="print"/>
                          <a:stretch>
                            <a:fillRect/>
                          </a:stretch>
                        </pic:blipFill>
                        <pic:spPr>
                          <a:xfrm>
                            <a:off x="6990587" y="3523703"/>
                            <a:ext cx="116357" cy="171907"/>
                          </a:xfrm>
                          <a:prstGeom prst="rect">
                            <a:avLst/>
                          </a:prstGeom>
                        </pic:spPr>
                      </pic:pic>
                      <pic:pic>
                        <pic:nvPicPr>
                          <pic:cNvPr id="399" name="Image 399"/>
                          <pic:cNvPicPr/>
                        </pic:nvPicPr>
                        <pic:blipFill>
                          <a:blip r:embed="rId264" cstate="print"/>
                          <a:stretch>
                            <a:fillRect/>
                          </a:stretch>
                        </pic:blipFill>
                        <pic:spPr>
                          <a:xfrm>
                            <a:off x="6854113" y="3523703"/>
                            <a:ext cx="116357" cy="171907"/>
                          </a:xfrm>
                          <a:prstGeom prst="rect">
                            <a:avLst/>
                          </a:prstGeom>
                        </pic:spPr>
                      </pic:pic>
                      <pic:pic>
                        <pic:nvPicPr>
                          <pic:cNvPr id="400" name="Image 400"/>
                          <pic:cNvPicPr/>
                        </pic:nvPicPr>
                        <pic:blipFill>
                          <a:blip r:embed="rId265" cstate="print"/>
                          <a:stretch>
                            <a:fillRect/>
                          </a:stretch>
                        </pic:blipFill>
                        <pic:spPr>
                          <a:xfrm>
                            <a:off x="6672033" y="3523703"/>
                            <a:ext cx="161849" cy="171907"/>
                          </a:xfrm>
                          <a:prstGeom prst="rect">
                            <a:avLst/>
                          </a:prstGeom>
                        </pic:spPr>
                      </pic:pic>
                      <pic:pic>
                        <pic:nvPicPr>
                          <pic:cNvPr id="401" name="Image 401"/>
                          <pic:cNvPicPr/>
                        </pic:nvPicPr>
                        <pic:blipFill>
                          <a:blip r:embed="rId266" cstate="print"/>
                          <a:stretch>
                            <a:fillRect/>
                          </a:stretch>
                        </pic:blipFill>
                        <pic:spPr>
                          <a:xfrm>
                            <a:off x="6509842" y="3523703"/>
                            <a:ext cx="142075" cy="171907"/>
                          </a:xfrm>
                          <a:prstGeom prst="rect">
                            <a:avLst/>
                          </a:prstGeom>
                        </pic:spPr>
                      </pic:pic>
                      <pic:pic>
                        <pic:nvPicPr>
                          <pic:cNvPr id="402" name="Image 402"/>
                          <pic:cNvPicPr/>
                        </pic:nvPicPr>
                        <pic:blipFill>
                          <a:blip r:embed="rId267" cstate="print"/>
                          <a:stretch>
                            <a:fillRect/>
                          </a:stretch>
                        </pic:blipFill>
                        <pic:spPr>
                          <a:xfrm>
                            <a:off x="5613844" y="3523703"/>
                            <a:ext cx="92385" cy="168761"/>
                          </a:xfrm>
                          <a:prstGeom prst="rect">
                            <a:avLst/>
                          </a:prstGeom>
                        </pic:spPr>
                      </pic:pic>
                      <pic:pic>
                        <pic:nvPicPr>
                          <pic:cNvPr id="403" name="Image 403"/>
                          <pic:cNvPicPr/>
                        </pic:nvPicPr>
                        <pic:blipFill>
                          <a:blip r:embed="rId268" cstate="print"/>
                          <a:stretch>
                            <a:fillRect/>
                          </a:stretch>
                        </pic:blipFill>
                        <pic:spPr>
                          <a:xfrm>
                            <a:off x="5451766" y="3523703"/>
                            <a:ext cx="142075" cy="171907"/>
                          </a:xfrm>
                          <a:prstGeom prst="rect">
                            <a:avLst/>
                          </a:prstGeom>
                        </pic:spPr>
                      </pic:pic>
                      <pic:pic>
                        <pic:nvPicPr>
                          <pic:cNvPr id="404" name="Image 404"/>
                          <pic:cNvPicPr/>
                        </pic:nvPicPr>
                        <pic:blipFill>
                          <a:blip r:embed="rId269" cstate="print"/>
                          <a:stretch>
                            <a:fillRect/>
                          </a:stretch>
                        </pic:blipFill>
                        <pic:spPr>
                          <a:xfrm>
                            <a:off x="5289575" y="3523703"/>
                            <a:ext cx="142075" cy="171907"/>
                          </a:xfrm>
                          <a:prstGeom prst="rect">
                            <a:avLst/>
                          </a:prstGeom>
                        </pic:spPr>
                      </pic:pic>
                      <pic:pic>
                        <pic:nvPicPr>
                          <pic:cNvPr id="405" name="Image 405"/>
                          <pic:cNvPicPr/>
                        </pic:nvPicPr>
                        <pic:blipFill>
                          <a:blip r:embed="rId270" cstate="print"/>
                          <a:stretch>
                            <a:fillRect/>
                          </a:stretch>
                        </pic:blipFill>
                        <pic:spPr>
                          <a:xfrm>
                            <a:off x="4874437" y="3523703"/>
                            <a:ext cx="116357" cy="171907"/>
                          </a:xfrm>
                          <a:prstGeom prst="rect">
                            <a:avLst/>
                          </a:prstGeom>
                        </pic:spPr>
                      </pic:pic>
                      <pic:pic>
                        <pic:nvPicPr>
                          <pic:cNvPr id="406" name="Image 406"/>
                          <pic:cNvPicPr/>
                        </pic:nvPicPr>
                        <pic:blipFill>
                          <a:blip r:embed="rId271" cstate="print"/>
                          <a:stretch>
                            <a:fillRect/>
                          </a:stretch>
                        </pic:blipFill>
                        <pic:spPr>
                          <a:xfrm>
                            <a:off x="4737963" y="3523703"/>
                            <a:ext cx="116357" cy="171907"/>
                          </a:xfrm>
                          <a:prstGeom prst="rect">
                            <a:avLst/>
                          </a:prstGeom>
                        </pic:spPr>
                      </pic:pic>
                      <pic:pic>
                        <pic:nvPicPr>
                          <pic:cNvPr id="407" name="Image 407"/>
                          <pic:cNvPicPr/>
                        </pic:nvPicPr>
                        <pic:blipFill>
                          <a:blip r:embed="rId272" cstate="print"/>
                          <a:stretch>
                            <a:fillRect/>
                          </a:stretch>
                        </pic:blipFill>
                        <pic:spPr>
                          <a:xfrm>
                            <a:off x="4555769" y="3523703"/>
                            <a:ext cx="161963" cy="171907"/>
                          </a:xfrm>
                          <a:prstGeom prst="rect">
                            <a:avLst/>
                          </a:prstGeom>
                        </pic:spPr>
                      </pic:pic>
                      <pic:pic>
                        <pic:nvPicPr>
                          <pic:cNvPr id="408" name="Image 408"/>
                          <pic:cNvPicPr/>
                        </pic:nvPicPr>
                        <pic:blipFill>
                          <a:blip r:embed="rId273" cstate="print"/>
                          <a:stretch>
                            <a:fillRect/>
                          </a:stretch>
                        </pic:blipFill>
                        <pic:spPr>
                          <a:xfrm>
                            <a:off x="4393577" y="3523703"/>
                            <a:ext cx="142189" cy="171907"/>
                          </a:xfrm>
                          <a:prstGeom prst="rect">
                            <a:avLst/>
                          </a:prstGeom>
                        </pic:spPr>
                      </pic:pic>
                      <pic:pic>
                        <pic:nvPicPr>
                          <pic:cNvPr id="409" name="Image 409"/>
                          <pic:cNvPicPr/>
                        </pic:nvPicPr>
                        <pic:blipFill>
                          <a:blip r:embed="rId274" cstate="print"/>
                          <a:stretch>
                            <a:fillRect/>
                          </a:stretch>
                        </pic:blipFill>
                        <pic:spPr>
                          <a:xfrm>
                            <a:off x="4231500" y="3523703"/>
                            <a:ext cx="142074" cy="171907"/>
                          </a:xfrm>
                          <a:prstGeom prst="rect">
                            <a:avLst/>
                          </a:prstGeom>
                        </pic:spPr>
                      </pic:pic>
                      <pic:pic>
                        <pic:nvPicPr>
                          <pic:cNvPr id="410" name="Image 410"/>
                          <pic:cNvPicPr/>
                        </pic:nvPicPr>
                        <pic:blipFill>
                          <a:blip r:embed="rId275" cstate="print"/>
                          <a:stretch>
                            <a:fillRect/>
                          </a:stretch>
                        </pic:blipFill>
                        <pic:spPr>
                          <a:xfrm>
                            <a:off x="3816362" y="3523703"/>
                            <a:ext cx="116357" cy="171907"/>
                          </a:xfrm>
                          <a:prstGeom prst="rect">
                            <a:avLst/>
                          </a:prstGeom>
                        </pic:spPr>
                      </pic:pic>
                      <pic:pic>
                        <pic:nvPicPr>
                          <pic:cNvPr id="411" name="Image 411"/>
                          <pic:cNvPicPr/>
                        </pic:nvPicPr>
                        <pic:blipFill>
                          <a:blip r:embed="rId276" cstate="print"/>
                          <a:stretch>
                            <a:fillRect/>
                          </a:stretch>
                        </pic:blipFill>
                        <pic:spPr>
                          <a:xfrm>
                            <a:off x="3679774" y="3523703"/>
                            <a:ext cx="116471" cy="171907"/>
                          </a:xfrm>
                          <a:prstGeom prst="rect">
                            <a:avLst/>
                          </a:prstGeom>
                        </pic:spPr>
                      </pic:pic>
                      <pic:pic>
                        <pic:nvPicPr>
                          <pic:cNvPr id="412" name="Image 412"/>
                          <pic:cNvPicPr/>
                        </pic:nvPicPr>
                        <pic:blipFill>
                          <a:blip r:embed="rId277" cstate="print"/>
                          <a:stretch>
                            <a:fillRect/>
                          </a:stretch>
                        </pic:blipFill>
                        <pic:spPr>
                          <a:xfrm>
                            <a:off x="3497694" y="3523703"/>
                            <a:ext cx="161963" cy="171907"/>
                          </a:xfrm>
                          <a:prstGeom prst="rect">
                            <a:avLst/>
                          </a:prstGeom>
                        </pic:spPr>
                      </pic:pic>
                      <pic:pic>
                        <pic:nvPicPr>
                          <pic:cNvPr id="413" name="Image 413"/>
                          <pic:cNvPicPr/>
                        </pic:nvPicPr>
                        <pic:blipFill>
                          <a:blip r:embed="rId278" cstate="print"/>
                          <a:stretch>
                            <a:fillRect/>
                          </a:stretch>
                        </pic:blipFill>
                        <pic:spPr>
                          <a:xfrm>
                            <a:off x="3335502" y="3523703"/>
                            <a:ext cx="142188" cy="171907"/>
                          </a:xfrm>
                          <a:prstGeom prst="rect">
                            <a:avLst/>
                          </a:prstGeom>
                        </pic:spPr>
                      </pic:pic>
                      <pic:pic>
                        <pic:nvPicPr>
                          <pic:cNvPr id="414" name="Image 414"/>
                          <pic:cNvPicPr/>
                        </pic:nvPicPr>
                        <pic:blipFill>
                          <a:blip r:embed="rId279" cstate="print"/>
                          <a:stretch>
                            <a:fillRect/>
                          </a:stretch>
                        </pic:blipFill>
                        <pic:spPr>
                          <a:xfrm>
                            <a:off x="3173425" y="3523703"/>
                            <a:ext cx="142074" cy="171907"/>
                          </a:xfrm>
                          <a:prstGeom prst="rect">
                            <a:avLst/>
                          </a:prstGeom>
                        </pic:spPr>
                      </pic:pic>
                      <pic:pic>
                        <pic:nvPicPr>
                          <pic:cNvPr id="415" name="Image 415"/>
                          <pic:cNvPicPr/>
                        </pic:nvPicPr>
                        <pic:blipFill>
                          <a:blip r:embed="rId280" cstate="print"/>
                          <a:stretch>
                            <a:fillRect/>
                          </a:stretch>
                        </pic:blipFill>
                        <pic:spPr>
                          <a:xfrm>
                            <a:off x="2758173" y="3523703"/>
                            <a:ext cx="116357" cy="171907"/>
                          </a:xfrm>
                          <a:prstGeom prst="rect">
                            <a:avLst/>
                          </a:prstGeom>
                        </pic:spPr>
                      </pic:pic>
                      <pic:pic>
                        <pic:nvPicPr>
                          <pic:cNvPr id="416" name="Image 416"/>
                          <pic:cNvPicPr/>
                        </pic:nvPicPr>
                        <pic:blipFill>
                          <a:blip r:embed="rId281" cstate="print"/>
                          <a:stretch>
                            <a:fillRect/>
                          </a:stretch>
                        </pic:blipFill>
                        <pic:spPr>
                          <a:xfrm>
                            <a:off x="2621699" y="3523703"/>
                            <a:ext cx="116357" cy="171907"/>
                          </a:xfrm>
                          <a:prstGeom prst="rect">
                            <a:avLst/>
                          </a:prstGeom>
                        </pic:spPr>
                      </pic:pic>
                      <pic:pic>
                        <pic:nvPicPr>
                          <pic:cNvPr id="417" name="Image 417"/>
                          <pic:cNvPicPr/>
                        </pic:nvPicPr>
                        <pic:blipFill>
                          <a:blip r:embed="rId282" cstate="print"/>
                          <a:stretch>
                            <a:fillRect/>
                          </a:stretch>
                        </pic:blipFill>
                        <pic:spPr>
                          <a:xfrm>
                            <a:off x="2439619" y="3523703"/>
                            <a:ext cx="161963" cy="171907"/>
                          </a:xfrm>
                          <a:prstGeom prst="rect">
                            <a:avLst/>
                          </a:prstGeom>
                        </pic:spPr>
                      </pic:pic>
                      <pic:pic>
                        <pic:nvPicPr>
                          <pic:cNvPr id="418" name="Image 418"/>
                          <pic:cNvPicPr/>
                        </pic:nvPicPr>
                        <pic:blipFill>
                          <a:blip r:embed="rId283" cstate="print"/>
                          <a:stretch>
                            <a:fillRect/>
                          </a:stretch>
                        </pic:blipFill>
                        <pic:spPr>
                          <a:xfrm>
                            <a:off x="2277427" y="3523703"/>
                            <a:ext cx="142074" cy="171907"/>
                          </a:xfrm>
                          <a:prstGeom prst="rect">
                            <a:avLst/>
                          </a:prstGeom>
                        </pic:spPr>
                      </pic:pic>
                      <pic:pic>
                        <pic:nvPicPr>
                          <pic:cNvPr id="419" name="Image 419"/>
                          <pic:cNvPicPr/>
                        </pic:nvPicPr>
                        <pic:blipFill>
                          <a:blip r:embed="rId284" cstate="print"/>
                          <a:stretch>
                            <a:fillRect/>
                          </a:stretch>
                        </pic:blipFill>
                        <pic:spPr>
                          <a:xfrm>
                            <a:off x="2115235" y="3523703"/>
                            <a:ext cx="142189" cy="171907"/>
                          </a:xfrm>
                          <a:prstGeom prst="rect">
                            <a:avLst/>
                          </a:prstGeom>
                        </pic:spPr>
                      </pic:pic>
                      <pic:pic>
                        <pic:nvPicPr>
                          <pic:cNvPr id="420" name="Image 420"/>
                          <pic:cNvPicPr/>
                        </pic:nvPicPr>
                        <pic:blipFill>
                          <a:blip r:embed="rId285" cstate="print"/>
                          <a:stretch>
                            <a:fillRect/>
                          </a:stretch>
                        </pic:blipFill>
                        <pic:spPr>
                          <a:xfrm>
                            <a:off x="642023" y="3523703"/>
                            <a:ext cx="116357" cy="171907"/>
                          </a:xfrm>
                          <a:prstGeom prst="rect">
                            <a:avLst/>
                          </a:prstGeom>
                        </pic:spPr>
                      </pic:pic>
                      <pic:pic>
                        <pic:nvPicPr>
                          <pic:cNvPr id="421" name="Image 421"/>
                          <pic:cNvPicPr/>
                        </pic:nvPicPr>
                        <pic:blipFill>
                          <a:blip r:embed="rId286" cstate="print"/>
                          <a:stretch>
                            <a:fillRect/>
                          </a:stretch>
                        </pic:blipFill>
                        <pic:spPr>
                          <a:xfrm>
                            <a:off x="505548" y="3523703"/>
                            <a:ext cx="116357" cy="171907"/>
                          </a:xfrm>
                          <a:prstGeom prst="rect">
                            <a:avLst/>
                          </a:prstGeom>
                        </pic:spPr>
                      </pic:pic>
                      <pic:pic>
                        <pic:nvPicPr>
                          <pic:cNvPr id="422" name="Image 422"/>
                          <pic:cNvPicPr/>
                        </pic:nvPicPr>
                        <pic:blipFill>
                          <a:blip r:embed="rId287" cstate="print"/>
                          <a:stretch>
                            <a:fillRect/>
                          </a:stretch>
                        </pic:blipFill>
                        <pic:spPr>
                          <a:xfrm>
                            <a:off x="323468" y="3523703"/>
                            <a:ext cx="161848" cy="171907"/>
                          </a:xfrm>
                          <a:prstGeom prst="rect">
                            <a:avLst/>
                          </a:prstGeom>
                        </pic:spPr>
                      </pic:pic>
                      <pic:pic>
                        <pic:nvPicPr>
                          <pic:cNvPr id="423" name="Image 423"/>
                          <pic:cNvPicPr/>
                        </pic:nvPicPr>
                        <pic:blipFill>
                          <a:blip r:embed="rId288" cstate="print"/>
                          <a:stretch>
                            <a:fillRect/>
                          </a:stretch>
                        </pic:blipFill>
                        <pic:spPr>
                          <a:xfrm>
                            <a:off x="42624" y="3523703"/>
                            <a:ext cx="260727" cy="171907"/>
                          </a:xfrm>
                          <a:prstGeom prst="rect">
                            <a:avLst/>
                          </a:prstGeom>
                        </pic:spPr>
                      </pic:pic>
                      <pic:pic>
                        <pic:nvPicPr>
                          <pic:cNvPr id="424" name="Image 424"/>
                          <pic:cNvPicPr/>
                        </pic:nvPicPr>
                        <pic:blipFill>
                          <a:blip r:embed="rId289" cstate="print"/>
                          <a:stretch>
                            <a:fillRect/>
                          </a:stretch>
                        </pic:blipFill>
                        <pic:spPr>
                          <a:xfrm>
                            <a:off x="1057160" y="3554347"/>
                            <a:ext cx="142189" cy="141264"/>
                          </a:xfrm>
                          <a:prstGeom prst="rect">
                            <a:avLst/>
                          </a:prstGeom>
                        </pic:spPr>
                      </pic:pic>
                      <pic:pic>
                        <pic:nvPicPr>
                          <pic:cNvPr id="425" name="Image 425"/>
                          <pic:cNvPicPr/>
                        </pic:nvPicPr>
                        <pic:blipFill>
                          <a:blip r:embed="rId290" cstate="print"/>
                          <a:stretch>
                            <a:fillRect/>
                          </a:stretch>
                        </pic:blipFill>
                        <pic:spPr>
                          <a:xfrm>
                            <a:off x="6286734" y="3622962"/>
                            <a:ext cx="202990" cy="72648"/>
                          </a:xfrm>
                          <a:prstGeom prst="rect">
                            <a:avLst/>
                          </a:prstGeom>
                        </pic:spPr>
                      </pic:pic>
                      <pic:pic>
                        <pic:nvPicPr>
                          <pic:cNvPr id="426" name="Image 426"/>
                          <pic:cNvPicPr/>
                        </pic:nvPicPr>
                        <pic:blipFill>
                          <a:blip r:embed="rId291" cstate="print"/>
                          <a:stretch>
                            <a:fillRect/>
                          </a:stretch>
                        </pic:blipFill>
                        <pic:spPr>
                          <a:xfrm>
                            <a:off x="1220987" y="3631391"/>
                            <a:ext cx="114199" cy="64220"/>
                          </a:xfrm>
                          <a:prstGeom prst="rect">
                            <a:avLst/>
                          </a:prstGeom>
                        </pic:spPr>
                      </pic:pic>
                      <pic:pic>
                        <pic:nvPicPr>
                          <pic:cNvPr id="427" name="Image 427"/>
                          <pic:cNvPicPr/>
                        </pic:nvPicPr>
                        <pic:blipFill>
                          <a:blip r:embed="rId292" cstate="print"/>
                          <a:stretch>
                            <a:fillRect/>
                          </a:stretch>
                        </pic:blipFill>
                        <pic:spPr>
                          <a:xfrm>
                            <a:off x="6137566" y="3843172"/>
                            <a:ext cx="199568" cy="229743"/>
                          </a:xfrm>
                          <a:prstGeom prst="rect">
                            <a:avLst/>
                          </a:prstGeom>
                        </pic:spPr>
                      </pic:pic>
                      <pic:pic>
                        <pic:nvPicPr>
                          <pic:cNvPr id="428" name="Image 428"/>
                          <pic:cNvPicPr/>
                        </pic:nvPicPr>
                        <pic:blipFill>
                          <a:blip r:embed="rId293" cstate="print"/>
                          <a:stretch>
                            <a:fillRect/>
                          </a:stretch>
                        </pic:blipFill>
                        <pic:spPr>
                          <a:xfrm>
                            <a:off x="5079491" y="3843172"/>
                            <a:ext cx="199567" cy="229743"/>
                          </a:xfrm>
                          <a:prstGeom prst="rect">
                            <a:avLst/>
                          </a:prstGeom>
                        </pic:spPr>
                      </pic:pic>
                      <pic:pic>
                        <pic:nvPicPr>
                          <pic:cNvPr id="429" name="Image 429"/>
                          <pic:cNvPicPr/>
                        </pic:nvPicPr>
                        <pic:blipFill>
                          <a:blip r:embed="rId294" cstate="print"/>
                          <a:stretch>
                            <a:fillRect/>
                          </a:stretch>
                        </pic:blipFill>
                        <pic:spPr>
                          <a:xfrm>
                            <a:off x="4021416" y="3843172"/>
                            <a:ext cx="199453" cy="229743"/>
                          </a:xfrm>
                          <a:prstGeom prst="rect">
                            <a:avLst/>
                          </a:prstGeom>
                        </pic:spPr>
                      </pic:pic>
                      <pic:pic>
                        <pic:nvPicPr>
                          <pic:cNvPr id="430" name="Image 430"/>
                          <pic:cNvPicPr/>
                        </pic:nvPicPr>
                        <pic:blipFill>
                          <a:blip r:embed="rId295" cstate="print"/>
                          <a:stretch>
                            <a:fillRect/>
                          </a:stretch>
                        </pic:blipFill>
                        <pic:spPr>
                          <a:xfrm>
                            <a:off x="2963227" y="3843172"/>
                            <a:ext cx="199567" cy="229743"/>
                          </a:xfrm>
                          <a:prstGeom prst="rect">
                            <a:avLst/>
                          </a:prstGeom>
                        </pic:spPr>
                      </pic:pic>
                      <pic:pic>
                        <pic:nvPicPr>
                          <pic:cNvPr id="431" name="Image 431"/>
                          <pic:cNvPicPr/>
                        </pic:nvPicPr>
                        <pic:blipFill>
                          <a:blip r:embed="rId296" cstate="print"/>
                          <a:stretch>
                            <a:fillRect/>
                          </a:stretch>
                        </pic:blipFill>
                        <pic:spPr>
                          <a:xfrm>
                            <a:off x="6854113" y="3904094"/>
                            <a:ext cx="243458" cy="171792"/>
                          </a:xfrm>
                          <a:prstGeom prst="rect">
                            <a:avLst/>
                          </a:prstGeom>
                        </pic:spPr>
                      </pic:pic>
                      <pic:pic>
                        <pic:nvPicPr>
                          <pic:cNvPr id="432" name="Image 432"/>
                          <pic:cNvPicPr/>
                        </pic:nvPicPr>
                        <pic:blipFill>
                          <a:blip r:embed="rId297" cstate="print"/>
                          <a:stretch>
                            <a:fillRect/>
                          </a:stretch>
                        </pic:blipFill>
                        <pic:spPr>
                          <a:xfrm>
                            <a:off x="1905152" y="3843172"/>
                            <a:ext cx="199567" cy="229743"/>
                          </a:xfrm>
                          <a:prstGeom prst="rect">
                            <a:avLst/>
                          </a:prstGeom>
                        </pic:spPr>
                      </pic:pic>
                      <pic:pic>
                        <pic:nvPicPr>
                          <pic:cNvPr id="433" name="Image 433"/>
                          <pic:cNvPicPr/>
                        </pic:nvPicPr>
                        <pic:blipFill>
                          <a:blip r:embed="rId298" cstate="print"/>
                          <a:stretch>
                            <a:fillRect/>
                          </a:stretch>
                        </pic:blipFill>
                        <pic:spPr>
                          <a:xfrm>
                            <a:off x="847077" y="3843172"/>
                            <a:ext cx="199567" cy="229743"/>
                          </a:xfrm>
                          <a:prstGeom prst="rect">
                            <a:avLst/>
                          </a:prstGeom>
                        </pic:spPr>
                      </pic:pic>
                      <pic:pic>
                        <pic:nvPicPr>
                          <pic:cNvPr id="434" name="Image 434"/>
                          <pic:cNvPicPr/>
                        </pic:nvPicPr>
                        <pic:blipFill>
                          <a:blip r:embed="rId299" cstate="print"/>
                          <a:stretch>
                            <a:fillRect/>
                          </a:stretch>
                        </pic:blipFill>
                        <pic:spPr>
                          <a:xfrm>
                            <a:off x="6672033" y="3904094"/>
                            <a:ext cx="161849" cy="171792"/>
                          </a:xfrm>
                          <a:prstGeom prst="rect">
                            <a:avLst/>
                          </a:prstGeom>
                        </pic:spPr>
                      </pic:pic>
                      <pic:pic>
                        <pic:nvPicPr>
                          <pic:cNvPr id="435" name="Image 435"/>
                          <pic:cNvPicPr/>
                        </pic:nvPicPr>
                        <pic:blipFill>
                          <a:blip r:embed="rId300" cstate="print"/>
                          <a:stretch>
                            <a:fillRect/>
                          </a:stretch>
                        </pic:blipFill>
                        <pic:spPr>
                          <a:xfrm>
                            <a:off x="6509842" y="3904094"/>
                            <a:ext cx="142075" cy="171792"/>
                          </a:xfrm>
                          <a:prstGeom prst="rect">
                            <a:avLst/>
                          </a:prstGeom>
                        </pic:spPr>
                      </pic:pic>
                      <pic:pic>
                        <pic:nvPicPr>
                          <pic:cNvPr id="436" name="Image 436"/>
                          <pic:cNvPicPr/>
                        </pic:nvPicPr>
                        <pic:blipFill>
                          <a:blip r:embed="rId301" cstate="print"/>
                          <a:stretch>
                            <a:fillRect/>
                          </a:stretch>
                        </pic:blipFill>
                        <pic:spPr>
                          <a:xfrm>
                            <a:off x="6347650" y="3904094"/>
                            <a:ext cx="142075" cy="171792"/>
                          </a:xfrm>
                          <a:prstGeom prst="rect">
                            <a:avLst/>
                          </a:prstGeom>
                        </pic:spPr>
                      </pic:pic>
                      <pic:pic>
                        <pic:nvPicPr>
                          <pic:cNvPr id="437" name="Image 437"/>
                          <pic:cNvPicPr/>
                        </pic:nvPicPr>
                        <pic:blipFill>
                          <a:blip r:embed="rId302" cstate="print"/>
                          <a:stretch>
                            <a:fillRect/>
                          </a:stretch>
                        </pic:blipFill>
                        <pic:spPr>
                          <a:xfrm>
                            <a:off x="5932512" y="3904094"/>
                            <a:ext cx="116357" cy="171792"/>
                          </a:xfrm>
                          <a:prstGeom prst="rect">
                            <a:avLst/>
                          </a:prstGeom>
                        </pic:spPr>
                      </pic:pic>
                      <pic:pic>
                        <pic:nvPicPr>
                          <pic:cNvPr id="438" name="Image 438"/>
                          <pic:cNvPicPr/>
                        </pic:nvPicPr>
                        <pic:blipFill>
                          <a:blip r:embed="rId303" cstate="print"/>
                          <a:stretch>
                            <a:fillRect/>
                          </a:stretch>
                        </pic:blipFill>
                        <pic:spPr>
                          <a:xfrm>
                            <a:off x="5451766" y="3904094"/>
                            <a:ext cx="142075" cy="171792"/>
                          </a:xfrm>
                          <a:prstGeom prst="rect">
                            <a:avLst/>
                          </a:prstGeom>
                        </pic:spPr>
                      </pic:pic>
                      <pic:pic>
                        <pic:nvPicPr>
                          <pic:cNvPr id="439" name="Image 439"/>
                          <pic:cNvPicPr/>
                        </pic:nvPicPr>
                        <pic:blipFill>
                          <a:blip r:embed="rId304" cstate="print"/>
                          <a:stretch>
                            <a:fillRect/>
                          </a:stretch>
                        </pic:blipFill>
                        <pic:spPr>
                          <a:xfrm>
                            <a:off x="5289575" y="3904094"/>
                            <a:ext cx="142075" cy="171792"/>
                          </a:xfrm>
                          <a:prstGeom prst="rect">
                            <a:avLst/>
                          </a:prstGeom>
                        </pic:spPr>
                      </pic:pic>
                      <pic:pic>
                        <pic:nvPicPr>
                          <pic:cNvPr id="440" name="Image 440"/>
                          <pic:cNvPicPr/>
                        </pic:nvPicPr>
                        <pic:blipFill>
                          <a:blip r:embed="rId305" cstate="print"/>
                          <a:stretch>
                            <a:fillRect/>
                          </a:stretch>
                        </pic:blipFill>
                        <pic:spPr>
                          <a:xfrm>
                            <a:off x="4874437" y="3904094"/>
                            <a:ext cx="116357" cy="171792"/>
                          </a:xfrm>
                          <a:prstGeom prst="rect">
                            <a:avLst/>
                          </a:prstGeom>
                        </pic:spPr>
                      </pic:pic>
                      <pic:pic>
                        <pic:nvPicPr>
                          <pic:cNvPr id="441" name="Image 441"/>
                          <pic:cNvPicPr/>
                        </pic:nvPicPr>
                        <pic:blipFill>
                          <a:blip r:embed="rId306" cstate="print"/>
                          <a:stretch>
                            <a:fillRect/>
                          </a:stretch>
                        </pic:blipFill>
                        <pic:spPr>
                          <a:xfrm>
                            <a:off x="4737963" y="3904094"/>
                            <a:ext cx="116357" cy="171792"/>
                          </a:xfrm>
                          <a:prstGeom prst="rect">
                            <a:avLst/>
                          </a:prstGeom>
                        </pic:spPr>
                      </pic:pic>
                      <pic:pic>
                        <pic:nvPicPr>
                          <pic:cNvPr id="442" name="Image 442"/>
                          <pic:cNvPicPr/>
                        </pic:nvPicPr>
                        <pic:blipFill>
                          <a:blip r:embed="rId307" cstate="print"/>
                          <a:stretch>
                            <a:fillRect/>
                          </a:stretch>
                        </pic:blipFill>
                        <pic:spPr>
                          <a:xfrm>
                            <a:off x="5668216" y="3904094"/>
                            <a:ext cx="244179" cy="171792"/>
                          </a:xfrm>
                          <a:prstGeom prst="rect">
                            <a:avLst/>
                          </a:prstGeom>
                        </pic:spPr>
                      </pic:pic>
                      <pic:pic>
                        <pic:nvPicPr>
                          <pic:cNvPr id="443" name="Image 443"/>
                          <pic:cNvPicPr/>
                        </pic:nvPicPr>
                        <pic:blipFill>
                          <a:blip r:embed="rId308" cstate="print"/>
                          <a:stretch>
                            <a:fillRect/>
                          </a:stretch>
                        </pic:blipFill>
                        <pic:spPr>
                          <a:xfrm>
                            <a:off x="4555769" y="3904094"/>
                            <a:ext cx="161963" cy="171792"/>
                          </a:xfrm>
                          <a:prstGeom prst="rect">
                            <a:avLst/>
                          </a:prstGeom>
                        </pic:spPr>
                      </pic:pic>
                      <pic:pic>
                        <pic:nvPicPr>
                          <pic:cNvPr id="444" name="Image 444"/>
                          <pic:cNvPicPr/>
                        </pic:nvPicPr>
                        <pic:blipFill>
                          <a:blip r:embed="rId309" cstate="print"/>
                          <a:stretch>
                            <a:fillRect/>
                          </a:stretch>
                        </pic:blipFill>
                        <pic:spPr>
                          <a:xfrm>
                            <a:off x="4393577" y="3904094"/>
                            <a:ext cx="142189" cy="171792"/>
                          </a:xfrm>
                          <a:prstGeom prst="rect">
                            <a:avLst/>
                          </a:prstGeom>
                        </pic:spPr>
                      </pic:pic>
                      <pic:pic>
                        <pic:nvPicPr>
                          <pic:cNvPr id="445" name="Image 445"/>
                          <pic:cNvPicPr/>
                        </pic:nvPicPr>
                        <pic:blipFill>
                          <a:blip r:embed="rId310" cstate="print"/>
                          <a:stretch>
                            <a:fillRect/>
                          </a:stretch>
                        </pic:blipFill>
                        <pic:spPr>
                          <a:xfrm>
                            <a:off x="4231500" y="3904094"/>
                            <a:ext cx="142074" cy="171792"/>
                          </a:xfrm>
                          <a:prstGeom prst="rect">
                            <a:avLst/>
                          </a:prstGeom>
                        </pic:spPr>
                      </pic:pic>
                      <pic:pic>
                        <pic:nvPicPr>
                          <pic:cNvPr id="446" name="Image 446"/>
                          <pic:cNvPicPr/>
                        </pic:nvPicPr>
                        <pic:blipFill>
                          <a:blip r:embed="rId311" cstate="print"/>
                          <a:stretch>
                            <a:fillRect/>
                          </a:stretch>
                        </pic:blipFill>
                        <pic:spPr>
                          <a:xfrm>
                            <a:off x="3816362" y="3904094"/>
                            <a:ext cx="116357" cy="171792"/>
                          </a:xfrm>
                          <a:prstGeom prst="rect">
                            <a:avLst/>
                          </a:prstGeom>
                        </pic:spPr>
                      </pic:pic>
                      <pic:pic>
                        <pic:nvPicPr>
                          <pic:cNvPr id="447" name="Image 447"/>
                          <pic:cNvPicPr/>
                        </pic:nvPicPr>
                        <pic:blipFill>
                          <a:blip r:embed="rId312" cstate="print"/>
                          <a:stretch>
                            <a:fillRect/>
                          </a:stretch>
                        </pic:blipFill>
                        <pic:spPr>
                          <a:xfrm>
                            <a:off x="3679774" y="3904094"/>
                            <a:ext cx="116471" cy="171792"/>
                          </a:xfrm>
                          <a:prstGeom prst="rect">
                            <a:avLst/>
                          </a:prstGeom>
                        </pic:spPr>
                      </pic:pic>
                      <pic:pic>
                        <pic:nvPicPr>
                          <pic:cNvPr id="448" name="Image 448"/>
                          <pic:cNvPicPr/>
                        </pic:nvPicPr>
                        <pic:blipFill>
                          <a:blip r:embed="rId313" cstate="print"/>
                          <a:stretch>
                            <a:fillRect/>
                          </a:stretch>
                        </pic:blipFill>
                        <pic:spPr>
                          <a:xfrm>
                            <a:off x="3497694" y="3904094"/>
                            <a:ext cx="161963" cy="171792"/>
                          </a:xfrm>
                          <a:prstGeom prst="rect">
                            <a:avLst/>
                          </a:prstGeom>
                        </pic:spPr>
                      </pic:pic>
                      <pic:pic>
                        <pic:nvPicPr>
                          <pic:cNvPr id="449" name="Image 449"/>
                          <pic:cNvPicPr/>
                        </pic:nvPicPr>
                        <pic:blipFill>
                          <a:blip r:embed="rId314" cstate="print"/>
                          <a:stretch>
                            <a:fillRect/>
                          </a:stretch>
                        </pic:blipFill>
                        <pic:spPr>
                          <a:xfrm>
                            <a:off x="3335502" y="3904094"/>
                            <a:ext cx="142188" cy="171792"/>
                          </a:xfrm>
                          <a:prstGeom prst="rect">
                            <a:avLst/>
                          </a:prstGeom>
                        </pic:spPr>
                      </pic:pic>
                      <pic:pic>
                        <pic:nvPicPr>
                          <pic:cNvPr id="450" name="Image 450"/>
                          <pic:cNvPicPr/>
                        </pic:nvPicPr>
                        <pic:blipFill>
                          <a:blip r:embed="rId315" cstate="print"/>
                          <a:stretch>
                            <a:fillRect/>
                          </a:stretch>
                        </pic:blipFill>
                        <pic:spPr>
                          <a:xfrm>
                            <a:off x="3173425" y="3904094"/>
                            <a:ext cx="142074" cy="171792"/>
                          </a:xfrm>
                          <a:prstGeom prst="rect">
                            <a:avLst/>
                          </a:prstGeom>
                        </pic:spPr>
                      </pic:pic>
                      <pic:pic>
                        <pic:nvPicPr>
                          <pic:cNvPr id="451" name="Image 451"/>
                          <pic:cNvPicPr/>
                        </pic:nvPicPr>
                        <pic:blipFill>
                          <a:blip r:embed="rId316" cstate="print"/>
                          <a:stretch>
                            <a:fillRect/>
                          </a:stretch>
                        </pic:blipFill>
                        <pic:spPr>
                          <a:xfrm>
                            <a:off x="2758173" y="3904094"/>
                            <a:ext cx="116357" cy="171792"/>
                          </a:xfrm>
                          <a:prstGeom prst="rect">
                            <a:avLst/>
                          </a:prstGeom>
                        </pic:spPr>
                      </pic:pic>
                      <pic:pic>
                        <pic:nvPicPr>
                          <pic:cNvPr id="452" name="Image 452"/>
                          <pic:cNvPicPr/>
                        </pic:nvPicPr>
                        <pic:blipFill>
                          <a:blip r:embed="rId317" cstate="print"/>
                          <a:stretch>
                            <a:fillRect/>
                          </a:stretch>
                        </pic:blipFill>
                        <pic:spPr>
                          <a:xfrm>
                            <a:off x="2621699" y="3904094"/>
                            <a:ext cx="116357" cy="171792"/>
                          </a:xfrm>
                          <a:prstGeom prst="rect">
                            <a:avLst/>
                          </a:prstGeom>
                        </pic:spPr>
                      </pic:pic>
                      <pic:pic>
                        <pic:nvPicPr>
                          <pic:cNvPr id="453" name="Image 453"/>
                          <pic:cNvPicPr/>
                        </pic:nvPicPr>
                        <pic:blipFill>
                          <a:blip r:embed="rId318" cstate="print"/>
                          <a:stretch>
                            <a:fillRect/>
                          </a:stretch>
                        </pic:blipFill>
                        <pic:spPr>
                          <a:xfrm>
                            <a:off x="2439619" y="3904094"/>
                            <a:ext cx="161963" cy="171792"/>
                          </a:xfrm>
                          <a:prstGeom prst="rect">
                            <a:avLst/>
                          </a:prstGeom>
                        </pic:spPr>
                      </pic:pic>
                      <pic:pic>
                        <pic:nvPicPr>
                          <pic:cNvPr id="454" name="Image 454"/>
                          <pic:cNvPicPr/>
                        </pic:nvPicPr>
                        <pic:blipFill>
                          <a:blip r:embed="rId319" cstate="print"/>
                          <a:stretch>
                            <a:fillRect/>
                          </a:stretch>
                        </pic:blipFill>
                        <pic:spPr>
                          <a:xfrm>
                            <a:off x="2277427" y="3904094"/>
                            <a:ext cx="142074" cy="171792"/>
                          </a:xfrm>
                          <a:prstGeom prst="rect">
                            <a:avLst/>
                          </a:prstGeom>
                        </pic:spPr>
                      </pic:pic>
                      <pic:pic>
                        <pic:nvPicPr>
                          <pic:cNvPr id="455" name="Image 455"/>
                          <pic:cNvPicPr/>
                        </pic:nvPicPr>
                        <pic:blipFill>
                          <a:blip r:embed="rId320" cstate="print"/>
                          <a:stretch>
                            <a:fillRect/>
                          </a:stretch>
                        </pic:blipFill>
                        <pic:spPr>
                          <a:xfrm>
                            <a:off x="2115235" y="3904094"/>
                            <a:ext cx="142189" cy="171792"/>
                          </a:xfrm>
                          <a:prstGeom prst="rect">
                            <a:avLst/>
                          </a:prstGeom>
                        </pic:spPr>
                      </pic:pic>
                      <pic:pic>
                        <pic:nvPicPr>
                          <pic:cNvPr id="456" name="Image 456"/>
                          <pic:cNvPicPr/>
                        </pic:nvPicPr>
                        <pic:blipFill>
                          <a:blip r:embed="rId321" cstate="print"/>
                          <a:stretch>
                            <a:fillRect/>
                          </a:stretch>
                        </pic:blipFill>
                        <pic:spPr>
                          <a:xfrm>
                            <a:off x="1563623" y="3904094"/>
                            <a:ext cx="116357" cy="171792"/>
                          </a:xfrm>
                          <a:prstGeom prst="rect">
                            <a:avLst/>
                          </a:prstGeom>
                        </pic:spPr>
                      </pic:pic>
                      <pic:pic>
                        <pic:nvPicPr>
                          <pic:cNvPr id="457" name="Image 457"/>
                          <pic:cNvPicPr/>
                        </pic:nvPicPr>
                        <pic:blipFill>
                          <a:blip r:embed="rId322" cstate="print"/>
                          <a:stretch>
                            <a:fillRect/>
                          </a:stretch>
                        </pic:blipFill>
                        <pic:spPr>
                          <a:xfrm>
                            <a:off x="1381544" y="3904094"/>
                            <a:ext cx="161848" cy="171792"/>
                          </a:xfrm>
                          <a:prstGeom prst="rect">
                            <a:avLst/>
                          </a:prstGeom>
                        </pic:spPr>
                      </pic:pic>
                      <pic:pic>
                        <pic:nvPicPr>
                          <pic:cNvPr id="458" name="Image 458"/>
                          <pic:cNvPicPr/>
                        </pic:nvPicPr>
                        <pic:blipFill>
                          <a:blip r:embed="rId323" cstate="print"/>
                          <a:stretch>
                            <a:fillRect/>
                          </a:stretch>
                        </pic:blipFill>
                        <pic:spPr>
                          <a:xfrm>
                            <a:off x="1219352" y="3904094"/>
                            <a:ext cx="142074" cy="171792"/>
                          </a:xfrm>
                          <a:prstGeom prst="rect">
                            <a:avLst/>
                          </a:prstGeom>
                        </pic:spPr>
                      </pic:pic>
                      <pic:pic>
                        <pic:nvPicPr>
                          <pic:cNvPr id="459" name="Image 459"/>
                          <pic:cNvPicPr/>
                        </pic:nvPicPr>
                        <pic:blipFill>
                          <a:blip r:embed="rId324" cstate="print"/>
                          <a:stretch>
                            <a:fillRect/>
                          </a:stretch>
                        </pic:blipFill>
                        <pic:spPr>
                          <a:xfrm>
                            <a:off x="1057160" y="3904094"/>
                            <a:ext cx="142189" cy="171792"/>
                          </a:xfrm>
                          <a:prstGeom prst="rect">
                            <a:avLst/>
                          </a:prstGeom>
                        </pic:spPr>
                      </pic:pic>
                      <pic:pic>
                        <pic:nvPicPr>
                          <pic:cNvPr id="460" name="Image 460"/>
                          <pic:cNvPicPr/>
                        </pic:nvPicPr>
                        <pic:blipFill>
                          <a:blip r:embed="rId325" cstate="print"/>
                          <a:stretch>
                            <a:fillRect/>
                          </a:stretch>
                        </pic:blipFill>
                        <pic:spPr>
                          <a:xfrm>
                            <a:off x="642023" y="3904094"/>
                            <a:ext cx="116357" cy="171792"/>
                          </a:xfrm>
                          <a:prstGeom prst="rect">
                            <a:avLst/>
                          </a:prstGeom>
                        </pic:spPr>
                      </pic:pic>
                      <pic:pic>
                        <pic:nvPicPr>
                          <pic:cNvPr id="461" name="Image 461"/>
                          <pic:cNvPicPr/>
                        </pic:nvPicPr>
                        <pic:blipFill>
                          <a:blip r:embed="rId326" cstate="print"/>
                          <a:stretch>
                            <a:fillRect/>
                          </a:stretch>
                        </pic:blipFill>
                        <pic:spPr>
                          <a:xfrm>
                            <a:off x="505548" y="3904094"/>
                            <a:ext cx="116357" cy="171792"/>
                          </a:xfrm>
                          <a:prstGeom prst="rect">
                            <a:avLst/>
                          </a:prstGeom>
                        </pic:spPr>
                      </pic:pic>
                      <pic:pic>
                        <pic:nvPicPr>
                          <pic:cNvPr id="462" name="Image 462"/>
                          <pic:cNvPicPr/>
                        </pic:nvPicPr>
                        <pic:blipFill>
                          <a:blip r:embed="rId327" cstate="print"/>
                          <a:stretch>
                            <a:fillRect/>
                          </a:stretch>
                        </pic:blipFill>
                        <pic:spPr>
                          <a:xfrm>
                            <a:off x="212329" y="3904094"/>
                            <a:ext cx="272988" cy="171792"/>
                          </a:xfrm>
                          <a:prstGeom prst="rect">
                            <a:avLst/>
                          </a:prstGeom>
                        </pic:spPr>
                      </pic:pic>
                      <pic:pic>
                        <pic:nvPicPr>
                          <pic:cNvPr id="463" name="Image 463"/>
                          <pic:cNvPicPr/>
                        </pic:nvPicPr>
                        <pic:blipFill>
                          <a:blip r:embed="rId328" cstate="print"/>
                          <a:stretch>
                            <a:fillRect/>
                          </a:stretch>
                        </pic:blipFill>
                        <pic:spPr>
                          <a:xfrm>
                            <a:off x="1700098" y="3906057"/>
                            <a:ext cx="116357" cy="169829"/>
                          </a:xfrm>
                          <a:prstGeom prst="rect">
                            <a:avLst/>
                          </a:prstGeom>
                        </pic:spPr>
                      </pic:pic>
                      <pic:pic>
                        <pic:nvPicPr>
                          <pic:cNvPr id="464" name="Image 464"/>
                          <pic:cNvPicPr/>
                        </pic:nvPicPr>
                        <pic:blipFill>
                          <a:blip r:embed="rId329" cstate="print"/>
                          <a:stretch>
                            <a:fillRect/>
                          </a:stretch>
                        </pic:blipFill>
                        <pic:spPr>
                          <a:xfrm>
                            <a:off x="5619434" y="4008647"/>
                            <a:ext cx="137513" cy="67239"/>
                          </a:xfrm>
                          <a:prstGeom prst="rect">
                            <a:avLst/>
                          </a:prstGeom>
                        </pic:spPr>
                      </pic:pic>
                      <pic:pic>
                        <pic:nvPicPr>
                          <pic:cNvPr id="465" name="Image 465"/>
                          <pic:cNvPicPr/>
                        </pic:nvPicPr>
                        <pic:blipFill>
                          <a:blip r:embed="rId330" cstate="print"/>
                          <a:stretch>
                            <a:fillRect/>
                          </a:stretch>
                        </pic:blipFill>
                        <pic:spPr>
                          <a:xfrm>
                            <a:off x="6137566" y="4223448"/>
                            <a:ext cx="199568" cy="229742"/>
                          </a:xfrm>
                          <a:prstGeom prst="rect">
                            <a:avLst/>
                          </a:prstGeom>
                        </pic:spPr>
                      </pic:pic>
                      <pic:pic>
                        <pic:nvPicPr>
                          <pic:cNvPr id="466" name="Image 466"/>
                          <pic:cNvPicPr/>
                        </pic:nvPicPr>
                        <pic:blipFill>
                          <a:blip r:embed="rId331" cstate="print"/>
                          <a:stretch>
                            <a:fillRect/>
                          </a:stretch>
                        </pic:blipFill>
                        <pic:spPr>
                          <a:xfrm>
                            <a:off x="5079491" y="4223448"/>
                            <a:ext cx="199567" cy="229742"/>
                          </a:xfrm>
                          <a:prstGeom prst="rect">
                            <a:avLst/>
                          </a:prstGeom>
                        </pic:spPr>
                      </pic:pic>
                      <pic:pic>
                        <pic:nvPicPr>
                          <pic:cNvPr id="467" name="Image 467"/>
                          <pic:cNvPicPr/>
                        </pic:nvPicPr>
                        <pic:blipFill>
                          <a:blip r:embed="rId332" cstate="print"/>
                          <a:stretch>
                            <a:fillRect/>
                          </a:stretch>
                        </pic:blipFill>
                        <pic:spPr>
                          <a:xfrm>
                            <a:off x="4021416" y="4223448"/>
                            <a:ext cx="199453" cy="229742"/>
                          </a:xfrm>
                          <a:prstGeom prst="rect">
                            <a:avLst/>
                          </a:prstGeom>
                        </pic:spPr>
                      </pic:pic>
                      <pic:pic>
                        <pic:nvPicPr>
                          <pic:cNvPr id="468" name="Image 468"/>
                          <pic:cNvPicPr/>
                        </pic:nvPicPr>
                        <pic:blipFill>
                          <a:blip r:embed="rId333" cstate="print"/>
                          <a:stretch>
                            <a:fillRect/>
                          </a:stretch>
                        </pic:blipFill>
                        <pic:spPr>
                          <a:xfrm>
                            <a:off x="2963227" y="4223448"/>
                            <a:ext cx="199567" cy="229742"/>
                          </a:xfrm>
                          <a:prstGeom prst="rect">
                            <a:avLst/>
                          </a:prstGeom>
                        </pic:spPr>
                      </pic:pic>
                      <pic:pic>
                        <pic:nvPicPr>
                          <pic:cNvPr id="469" name="Image 469"/>
                          <pic:cNvPicPr/>
                        </pic:nvPicPr>
                        <pic:blipFill>
                          <a:blip r:embed="rId334" cstate="print"/>
                          <a:stretch>
                            <a:fillRect/>
                          </a:stretch>
                        </pic:blipFill>
                        <pic:spPr>
                          <a:xfrm>
                            <a:off x="1905152" y="4223448"/>
                            <a:ext cx="199567" cy="229742"/>
                          </a:xfrm>
                          <a:prstGeom prst="rect">
                            <a:avLst/>
                          </a:prstGeom>
                        </pic:spPr>
                      </pic:pic>
                      <pic:pic>
                        <pic:nvPicPr>
                          <pic:cNvPr id="470" name="Image 470"/>
                          <pic:cNvPicPr/>
                        </pic:nvPicPr>
                        <pic:blipFill>
                          <a:blip r:embed="rId335" cstate="print"/>
                          <a:stretch>
                            <a:fillRect/>
                          </a:stretch>
                        </pic:blipFill>
                        <pic:spPr>
                          <a:xfrm>
                            <a:off x="847077" y="4223448"/>
                            <a:ext cx="199567" cy="229742"/>
                          </a:xfrm>
                          <a:prstGeom prst="rect">
                            <a:avLst/>
                          </a:prstGeom>
                        </pic:spPr>
                      </pic:pic>
                      <pic:pic>
                        <pic:nvPicPr>
                          <pic:cNvPr id="471" name="Image 471"/>
                          <pic:cNvPicPr/>
                        </pic:nvPicPr>
                        <pic:blipFill>
                          <a:blip r:embed="rId336" cstate="print"/>
                          <a:stretch>
                            <a:fillRect/>
                          </a:stretch>
                        </pic:blipFill>
                        <pic:spPr>
                          <a:xfrm>
                            <a:off x="6509842" y="4284370"/>
                            <a:ext cx="142075" cy="171793"/>
                          </a:xfrm>
                          <a:prstGeom prst="rect">
                            <a:avLst/>
                          </a:prstGeom>
                        </pic:spPr>
                      </pic:pic>
                      <pic:pic>
                        <pic:nvPicPr>
                          <pic:cNvPr id="472" name="Image 472"/>
                          <pic:cNvPicPr/>
                        </pic:nvPicPr>
                        <pic:blipFill>
                          <a:blip r:embed="rId337" cstate="print"/>
                          <a:stretch>
                            <a:fillRect/>
                          </a:stretch>
                        </pic:blipFill>
                        <pic:spPr>
                          <a:xfrm>
                            <a:off x="6347650" y="4284370"/>
                            <a:ext cx="142075" cy="171793"/>
                          </a:xfrm>
                          <a:prstGeom prst="rect">
                            <a:avLst/>
                          </a:prstGeom>
                        </pic:spPr>
                      </pic:pic>
                      <pic:pic>
                        <pic:nvPicPr>
                          <pic:cNvPr id="473" name="Image 473"/>
                          <pic:cNvPicPr/>
                        </pic:nvPicPr>
                        <pic:blipFill>
                          <a:blip r:embed="rId338" cstate="print"/>
                          <a:stretch>
                            <a:fillRect/>
                          </a:stretch>
                        </pic:blipFill>
                        <pic:spPr>
                          <a:xfrm>
                            <a:off x="5932512" y="4284370"/>
                            <a:ext cx="116357" cy="171793"/>
                          </a:xfrm>
                          <a:prstGeom prst="rect">
                            <a:avLst/>
                          </a:prstGeom>
                        </pic:spPr>
                      </pic:pic>
                      <pic:pic>
                        <pic:nvPicPr>
                          <pic:cNvPr id="474" name="Image 474"/>
                          <pic:cNvPicPr/>
                        </pic:nvPicPr>
                        <pic:blipFill>
                          <a:blip r:embed="rId339" cstate="print"/>
                          <a:stretch>
                            <a:fillRect/>
                          </a:stretch>
                        </pic:blipFill>
                        <pic:spPr>
                          <a:xfrm>
                            <a:off x="6672033" y="4284370"/>
                            <a:ext cx="233254" cy="171793"/>
                          </a:xfrm>
                          <a:prstGeom prst="rect">
                            <a:avLst/>
                          </a:prstGeom>
                        </pic:spPr>
                      </pic:pic>
                      <pic:pic>
                        <pic:nvPicPr>
                          <pic:cNvPr id="475" name="Image 475"/>
                          <pic:cNvPicPr/>
                        </pic:nvPicPr>
                        <pic:blipFill>
                          <a:blip r:embed="rId340" cstate="print"/>
                          <a:stretch>
                            <a:fillRect/>
                          </a:stretch>
                        </pic:blipFill>
                        <pic:spPr>
                          <a:xfrm>
                            <a:off x="5796038" y="4284370"/>
                            <a:ext cx="116357" cy="171793"/>
                          </a:xfrm>
                          <a:prstGeom prst="rect">
                            <a:avLst/>
                          </a:prstGeom>
                        </pic:spPr>
                      </pic:pic>
                      <pic:pic>
                        <pic:nvPicPr>
                          <pic:cNvPr id="476" name="Image 476"/>
                          <pic:cNvPicPr/>
                        </pic:nvPicPr>
                        <pic:blipFill>
                          <a:blip r:embed="rId341" cstate="print"/>
                          <a:stretch>
                            <a:fillRect/>
                          </a:stretch>
                        </pic:blipFill>
                        <pic:spPr>
                          <a:xfrm>
                            <a:off x="5613844" y="4284370"/>
                            <a:ext cx="161962" cy="171793"/>
                          </a:xfrm>
                          <a:prstGeom prst="rect">
                            <a:avLst/>
                          </a:prstGeom>
                        </pic:spPr>
                      </pic:pic>
                      <pic:pic>
                        <pic:nvPicPr>
                          <pic:cNvPr id="477" name="Image 477"/>
                          <pic:cNvPicPr/>
                        </pic:nvPicPr>
                        <pic:blipFill>
                          <a:blip r:embed="rId342" cstate="print"/>
                          <a:stretch>
                            <a:fillRect/>
                          </a:stretch>
                        </pic:blipFill>
                        <pic:spPr>
                          <a:xfrm>
                            <a:off x="5451766" y="4284370"/>
                            <a:ext cx="142075" cy="171793"/>
                          </a:xfrm>
                          <a:prstGeom prst="rect">
                            <a:avLst/>
                          </a:prstGeom>
                        </pic:spPr>
                      </pic:pic>
                      <pic:pic>
                        <pic:nvPicPr>
                          <pic:cNvPr id="478" name="Image 478"/>
                          <pic:cNvPicPr/>
                        </pic:nvPicPr>
                        <pic:blipFill>
                          <a:blip r:embed="rId343" cstate="print"/>
                          <a:stretch>
                            <a:fillRect/>
                          </a:stretch>
                        </pic:blipFill>
                        <pic:spPr>
                          <a:xfrm>
                            <a:off x="5289575" y="4284370"/>
                            <a:ext cx="142075" cy="171793"/>
                          </a:xfrm>
                          <a:prstGeom prst="rect">
                            <a:avLst/>
                          </a:prstGeom>
                        </pic:spPr>
                      </pic:pic>
                      <pic:pic>
                        <pic:nvPicPr>
                          <pic:cNvPr id="479" name="Image 479"/>
                          <pic:cNvPicPr/>
                        </pic:nvPicPr>
                        <pic:blipFill>
                          <a:blip r:embed="rId344" cstate="print"/>
                          <a:stretch>
                            <a:fillRect/>
                          </a:stretch>
                        </pic:blipFill>
                        <pic:spPr>
                          <a:xfrm>
                            <a:off x="4874437" y="4284370"/>
                            <a:ext cx="116357" cy="171793"/>
                          </a:xfrm>
                          <a:prstGeom prst="rect">
                            <a:avLst/>
                          </a:prstGeom>
                        </pic:spPr>
                      </pic:pic>
                      <pic:pic>
                        <pic:nvPicPr>
                          <pic:cNvPr id="480" name="Image 480"/>
                          <pic:cNvPicPr/>
                        </pic:nvPicPr>
                        <pic:blipFill>
                          <a:blip r:embed="rId345" cstate="print"/>
                          <a:stretch>
                            <a:fillRect/>
                          </a:stretch>
                        </pic:blipFill>
                        <pic:spPr>
                          <a:xfrm>
                            <a:off x="4737963" y="4284370"/>
                            <a:ext cx="116357" cy="171793"/>
                          </a:xfrm>
                          <a:prstGeom prst="rect">
                            <a:avLst/>
                          </a:prstGeom>
                        </pic:spPr>
                      </pic:pic>
                      <pic:pic>
                        <pic:nvPicPr>
                          <pic:cNvPr id="481" name="Image 481"/>
                          <pic:cNvPicPr/>
                        </pic:nvPicPr>
                        <pic:blipFill>
                          <a:blip r:embed="rId346" cstate="print"/>
                          <a:stretch>
                            <a:fillRect/>
                          </a:stretch>
                        </pic:blipFill>
                        <pic:spPr>
                          <a:xfrm>
                            <a:off x="4555769" y="4284370"/>
                            <a:ext cx="161963" cy="171793"/>
                          </a:xfrm>
                          <a:prstGeom prst="rect">
                            <a:avLst/>
                          </a:prstGeom>
                        </pic:spPr>
                      </pic:pic>
                      <pic:pic>
                        <pic:nvPicPr>
                          <pic:cNvPr id="482" name="Image 482"/>
                          <pic:cNvPicPr/>
                        </pic:nvPicPr>
                        <pic:blipFill>
                          <a:blip r:embed="rId347" cstate="print"/>
                          <a:stretch>
                            <a:fillRect/>
                          </a:stretch>
                        </pic:blipFill>
                        <pic:spPr>
                          <a:xfrm>
                            <a:off x="4393577" y="4284370"/>
                            <a:ext cx="142189" cy="171793"/>
                          </a:xfrm>
                          <a:prstGeom prst="rect">
                            <a:avLst/>
                          </a:prstGeom>
                        </pic:spPr>
                      </pic:pic>
                      <pic:pic>
                        <pic:nvPicPr>
                          <pic:cNvPr id="483" name="Image 483"/>
                          <pic:cNvPicPr/>
                        </pic:nvPicPr>
                        <pic:blipFill>
                          <a:blip r:embed="rId348" cstate="print"/>
                          <a:stretch>
                            <a:fillRect/>
                          </a:stretch>
                        </pic:blipFill>
                        <pic:spPr>
                          <a:xfrm>
                            <a:off x="4231500" y="4284370"/>
                            <a:ext cx="142074" cy="171793"/>
                          </a:xfrm>
                          <a:prstGeom prst="rect">
                            <a:avLst/>
                          </a:prstGeom>
                        </pic:spPr>
                      </pic:pic>
                      <pic:pic>
                        <pic:nvPicPr>
                          <pic:cNvPr id="484" name="Image 484"/>
                          <pic:cNvPicPr/>
                        </pic:nvPicPr>
                        <pic:blipFill>
                          <a:blip r:embed="rId349" cstate="print"/>
                          <a:stretch>
                            <a:fillRect/>
                          </a:stretch>
                        </pic:blipFill>
                        <pic:spPr>
                          <a:xfrm>
                            <a:off x="3816362" y="4284370"/>
                            <a:ext cx="116357" cy="171793"/>
                          </a:xfrm>
                          <a:prstGeom prst="rect">
                            <a:avLst/>
                          </a:prstGeom>
                        </pic:spPr>
                      </pic:pic>
                      <pic:pic>
                        <pic:nvPicPr>
                          <pic:cNvPr id="485" name="Image 485"/>
                          <pic:cNvPicPr/>
                        </pic:nvPicPr>
                        <pic:blipFill>
                          <a:blip r:embed="rId350" cstate="print"/>
                          <a:stretch>
                            <a:fillRect/>
                          </a:stretch>
                        </pic:blipFill>
                        <pic:spPr>
                          <a:xfrm>
                            <a:off x="3679774" y="4284370"/>
                            <a:ext cx="116471" cy="171793"/>
                          </a:xfrm>
                          <a:prstGeom prst="rect">
                            <a:avLst/>
                          </a:prstGeom>
                        </pic:spPr>
                      </pic:pic>
                      <pic:pic>
                        <pic:nvPicPr>
                          <pic:cNvPr id="486" name="Image 486"/>
                          <pic:cNvPicPr/>
                        </pic:nvPicPr>
                        <pic:blipFill>
                          <a:blip r:embed="rId351" cstate="print"/>
                          <a:stretch>
                            <a:fillRect/>
                          </a:stretch>
                        </pic:blipFill>
                        <pic:spPr>
                          <a:xfrm>
                            <a:off x="3497694" y="4284370"/>
                            <a:ext cx="161963" cy="171793"/>
                          </a:xfrm>
                          <a:prstGeom prst="rect">
                            <a:avLst/>
                          </a:prstGeom>
                        </pic:spPr>
                      </pic:pic>
                      <pic:pic>
                        <pic:nvPicPr>
                          <pic:cNvPr id="487" name="Image 487"/>
                          <pic:cNvPicPr/>
                        </pic:nvPicPr>
                        <pic:blipFill>
                          <a:blip r:embed="rId352" cstate="print"/>
                          <a:stretch>
                            <a:fillRect/>
                          </a:stretch>
                        </pic:blipFill>
                        <pic:spPr>
                          <a:xfrm>
                            <a:off x="3335502" y="4284370"/>
                            <a:ext cx="142188" cy="171793"/>
                          </a:xfrm>
                          <a:prstGeom prst="rect">
                            <a:avLst/>
                          </a:prstGeom>
                        </pic:spPr>
                      </pic:pic>
                      <pic:pic>
                        <pic:nvPicPr>
                          <pic:cNvPr id="488" name="Image 488"/>
                          <pic:cNvPicPr/>
                        </pic:nvPicPr>
                        <pic:blipFill>
                          <a:blip r:embed="rId353" cstate="print"/>
                          <a:stretch>
                            <a:fillRect/>
                          </a:stretch>
                        </pic:blipFill>
                        <pic:spPr>
                          <a:xfrm>
                            <a:off x="3173425" y="4284370"/>
                            <a:ext cx="142074" cy="171793"/>
                          </a:xfrm>
                          <a:prstGeom prst="rect">
                            <a:avLst/>
                          </a:prstGeom>
                        </pic:spPr>
                      </pic:pic>
                      <pic:pic>
                        <pic:nvPicPr>
                          <pic:cNvPr id="489" name="Image 489"/>
                          <pic:cNvPicPr/>
                        </pic:nvPicPr>
                        <pic:blipFill>
                          <a:blip r:embed="rId354" cstate="print"/>
                          <a:stretch>
                            <a:fillRect/>
                          </a:stretch>
                        </pic:blipFill>
                        <pic:spPr>
                          <a:xfrm>
                            <a:off x="2758173" y="4284370"/>
                            <a:ext cx="116357" cy="171793"/>
                          </a:xfrm>
                          <a:prstGeom prst="rect">
                            <a:avLst/>
                          </a:prstGeom>
                        </pic:spPr>
                      </pic:pic>
                      <pic:pic>
                        <pic:nvPicPr>
                          <pic:cNvPr id="490" name="Image 490"/>
                          <pic:cNvPicPr/>
                        </pic:nvPicPr>
                        <pic:blipFill>
                          <a:blip r:embed="rId355" cstate="print"/>
                          <a:stretch>
                            <a:fillRect/>
                          </a:stretch>
                        </pic:blipFill>
                        <pic:spPr>
                          <a:xfrm>
                            <a:off x="2621699" y="4284370"/>
                            <a:ext cx="116357" cy="171793"/>
                          </a:xfrm>
                          <a:prstGeom prst="rect">
                            <a:avLst/>
                          </a:prstGeom>
                        </pic:spPr>
                      </pic:pic>
                      <pic:pic>
                        <pic:nvPicPr>
                          <pic:cNvPr id="491" name="Image 491"/>
                          <pic:cNvPicPr/>
                        </pic:nvPicPr>
                        <pic:blipFill>
                          <a:blip r:embed="rId356" cstate="print"/>
                          <a:stretch>
                            <a:fillRect/>
                          </a:stretch>
                        </pic:blipFill>
                        <pic:spPr>
                          <a:xfrm>
                            <a:off x="2439619" y="4284370"/>
                            <a:ext cx="161963" cy="171793"/>
                          </a:xfrm>
                          <a:prstGeom prst="rect">
                            <a:avLst/>
                          </a:prstGeom>
                        </pic:spPr>
                      </pic:pic>
                      <pic:pic>
                        <pic:nvPicPr>
                          <pic:cNvPr id="492" name="Image 492"/>
                          <pic:cNvPicPr/>
                        </pic:nvPicPr>
                        <pic:blipFill>
                          <a:blip r:embed="rId357" cstate="print"/>
                          <a:stretch>
                            <a:fillRect/>
                          </a:stretch>
                        </pic:blipFill>
                        <pic:spPr>
                          <a:xfrm>
                            <a:off x="2277427" y="4284370"/>
                            <a:ext cx="142074" cy="171793"/>
                          </a:xfrm>
                          <a:prstGeom prst="rect">
                            <a:avLst/>
                          </a:prstGeom>
                        </pic:spPr>
                      </pic:pic>
                      <pic:pic>
                        <pic:nvPicPr>
                          <pic:cNvPr id="493" name="Image 493"/>
                          <pic:cNvPicPr/>
                        </pic:nvPicPr>
                        <pic:blipFill>
                          <a:blip r:embed="rId358" cstate="print"/>
                          <a:stretch>
                            <a:fillRect/>
                          </a:stretch>
                        </pic:blipFill>
                        <pic:spPr>
                          <a:xfrm>
                            <a:off x="2115235" y="4284370"/>
                            <a:ext cx="142189" cy="171793"/>
                          </a:xfrm>
                          <a:prstGeom prst="rect">
                            <a:avLst/>
                          </a:prstGeom>
                        </pic:spPr>
                      </pic:pic>
                      <pic:pic>
                        <pic:nvPicPr>
                          <pic:cNvPr id="494" name="Image 494"/>
                          <pic:cNvPicPr/>
                        </pic:nvPicPr>
                        <pic:blipFill>
                          <a:blip r:embed="rId359" cstate="print"/>
                          <a:stretch>
                            <a:fillRect/>
                          </a:stretch>
                        </pic:blipFill>
                        <pic:spPr>
                          <a:xfrm>
                            <a:off x="1700098" y="4284370"/>
                            <a:ext cx="116357" cy="171793"/>
                          </a:xfrm>
                          <a:prstGeom prst="rect">
                            <a:avLst/>
                          </a:prstGeom>
                        </pic:spPr>
                      </pic:pic>
                      <pic:pic>
                        <pic:nvPicPr>
                          <pic:cNvPr id="495" name="Image 495"/>
                          <pic:cNvPicPr/>
                        </pic:nvPicPr>
                        <pic:blipFill>
                          <a:blip r:embed="rId360" cstate="print"/>
                          <a:stretch>
                            <a:fillRect/>
                          </a:stretch>
                        </pic:blipFill>
                        <pic:spPr>
                          <a:xfrm>
                            <a:off x="1563623" y="4284370"/>
                            <a:ext cx="116357" cy="171793"/>
                          </a:xfrm>
                          <a:prstGeom prst="rect">
                            <a:avLst/>
                          </a:prstGeom>
                        </pic:spPr>
                      </pic:pic>
                      <pic:pic>
                        <pic:nvPicPr>
                          <pic:cNvPr id="496" name="Image 496"/>
                          <pic:cNvPicPr/>
                        </pic:nvPicPr>
                        <pic:blipFill>
                          <a:blip r:embed="rId361" cstate="print"/>
                          <a:stretch>
                            <a:fillRect/>
                          </a:stretch>
                        </pic:blipFill>
                        <pic:spPr>
                          <a:xfrm>
                            <a:off x="1381544" y="4284370"/>
                            <a:ext cx="161848" cy="171793"/>
                          </a:xfrm>
                          <a:prstGeom prst="rect">
                            <a:avLst/>
                          </a:prstGeom>
                        </pic:spPr>
                      </pic:pic>
                      <pic:pic>
                        <pic:nvPicPr>
                          <pic:cNvPr id="497" name="Image 497"/>
                          <pic:cNvPicPr/>
                        </pic:nvPicPr>
                        <pic:blipFill>
                          <a:blip r:embed="rId362" cstate="print"/>
                          <a:stretch>
                            <a:fillRect/>
                          </a:stretch>
                        </pic:blipFill>
                        <pic:spPr>
                          <a:xfrm>
                            <a:off x="1219352" y="4284370"/>
                            <a:ext cx="142074" cy="171793"/>
                          </a:xfrm>
                          <a:prstGeom prst="rect">
                            <a:avLst/>
                          </a:prstGeom>
                        </pic:spPr>
                      </pic:pic>
                      <pic:pic>
                        <pic:nvPicPr>
                          <pic:cNvPr id="498" name="Image 498"/>
                          <pic:cNvPicPr/>
                        </pic:nvPicPr>
                        <pic:blipFill>
                          <a:blip r:embed="rId363" cstate="print"/>
                          <a:stretch>
                            <a:fillRect/>
                          </a:stretch>
                        </pic:blipFill>
                        <pic:spPr>
                          <a:xfrm>
                            <a:off x="1057160" y="4284370"/>
                            <a:ext cx="142189" cy="171793"/>
                          </a:xfrm>
                          <a:prstGeom prst="rect">
                            <a:avLst/>
                          </a:prstGeom>
                        </pic:spPr>
                      </pic:pic>
                      <pic:pic>
                        <pic:nvPicPr>
                          <pic:cNvPr id="499" name="Image 499"/>
                          <pic:cNvPicPr/>
                        </pic:nvPicPr>
                        <pic:blipFill>
                          <a:blip r:embed="rId364" cstate="print"/>
                          <a:stretch>
                            <a:fillRect/>
                          </a:stretch>
                        </pic:blipFill>
                        <pic:spPr>
                          <a:xfrm>
                            <a:off x="642023" y="4284370"/>
                            <a:ext cx="116357" cy="171793"/>
                          </a:xfrm>
                          <a:prstGeom prst="rect">
                            <a:avLst/>
                          </a:prstGeom>
                        </pic:spPr>
                      </pic:pic>
                      <pic:pic>
                        <pic:nvPicPr>
                          <pic:cNvPr id="500" name="Image 500"/>
                          <pic:cNvPicPr/>
                        </pic:nvPicPr>
                        <pic:blipFill>
                          <a:blip r:embed="rId365" cstate="print"/>
                          <a:stretch>
                            <a:fillRect/>
                          </a:stretch>
                        </pic:blipFill>
                        <pic:spPr>
                          <a:xfrm>
                            <a:off x="505548" y="4284370"/>
                            <a:ext cx="116357" cy="171793"/>
                          </a:xfrm>
                          <a:prstGeom prst="rect">
                            <a:avLst/>
                          </a:prstGeom>
                        </pic:spPr>
                      </pic:pic>
                      <pic:pic>
                        <pic:nvPicPr>
                          <pic:cNvPr id="501" name="Image 501"/>
                          <pic:cNvPicPr/>
                        </pic:nvPicPr>
                        <pic:blipFill>
                          <a:blip r:embed="rId366" cstate="print"/>
                          <a:stretch>
                            <a:fillRect/>
                          </a:stretch>
                        </pic:blipFill>
                        <pic:spPr>
                          <a:xfrm>
                            <a:off x="382002" y="4284370"/>
                            <a:ext cx="103315" cy="163087"/>
                          </a:xfrm>
                          <a:prstGeom prst="rect">
                            <a:avLst/>
                          </a:prstGeom>
                        </pic:spPr>
                      </pic:pic>
                      <pic:pic>
                        <pic:nvPicPr>
                          <pic:cNvPr id="502" name="Image 502"/>
                          <pic:cNvPicPr/>
                        </pic:nvPicPr>
                        <pic:blipFill>
                          <a:blip r:embed="rId367" cstate="print"/>
                          <a:stretch>
                            <a:fillRect/>
                          </a:stretch>
                        </pic:blipFill>
                        <pic:spPr>
                          <a:xfrm>
                            <a:off x="6137566" y="4603724"/>
                            <a:ext cx="199568" cy="229743"/>
                          </a:xfrm>
                          <a:prstGeom prst="rect">
                            <a:avLst/>
                          </a:prstGeom>
                        </pic:spPr>
                      </pic:pic>
                      <pic:pic>
                        <pic:nvPicPr>
                          <pic:cNvPr id="503" name="Image 503"/>
                          <pic:cNvPicPr/>
                        </pic:nvPicPr>
                        <pic:blipFill>
                          <a:blip r:embed="rId332" cstate="print"/>
                          <a:stretch>
                            <a:fillRect/>
                          </a:stretch>
                        </pic:blipFill>
                        <pic:spPr>
                          <a:xfrm>
                            <a:off x="5079491" y="4603724"/>
                            <a:ext cx="199567" cy="229743"/>
                          </a:xfrm>
                          <a:prstGeom prst="rect">
                            <a:avLst/>
                          </a:prstGeom>
                        </pic:spPr>
                      </pic:pic>
                      <pic:pic>
                        <pic:nvPicPr>
                          <pic:cNvPr id="504" name="Image 504"/>
                          <pic:cNvPicPr/>
                        </pic:nvPicPr>
                        <pic:blipFill>
                          <a:blip r:embed="rId333" cstate="print"/>
                          <a:stretch>
                            <a:fillRect/>
                          </a:stretch>
                        </pic:blipFill>
                        <pic:spPr>
                          <a:xfrm>
                            <a:off x="4021416" y="4603724"/>
                            <a:ext cx="199453" cy="229743"/>
                          </a:xfrm>
                          <a:prstGeom prst="rect">
                            <a:avLst/>
                          </a:prstGeom>
                        </pic:spPr>
                      </pic:pic>
                      <pic:pic>
                        <pic:nvPicPr>
                          <pic:cNvPr id="505" name="Image 505"/>
                          <pic:cNvPicPr/>
                        </pic:nvPicPr>
                        <pic:blipFill>
                          <a:blip r:embed="rId368" cstate="print"/>
                          <a:stretch>
                            <a:fillRect/>
                          </a:stretch>
                        </pic:blipFill>
                        <pic:spPr>
                          <a:xfrm>
                            <a:off x="2963227" y="4603724"/>
                            <a:ext cx="199567" cy="229743"/>
                          </a:xfrm>
                          <a:prstGeom prst="rect">
                            <a:avLst/>
                          </a:prstGeom>
                        </pic:spPr>
                      </pic:pic>
                      <pic:pic>
                        <pic:nvPicPr>
                          <pic:cNvPr id="506" name="Image 506"/>
                          <pic:cNvPicPr/>
                        </pic:nvPicPr>
                        <pic:blipFill>
                          <a:blip r:embed="rId332" cstate="print"/>
                          <a:stretch>
                            <a:fillRect/>
                          </a:stretch>
                        </pic:blipFill>
                        <pic:spPr>
                          <a:xfrm>
                            <a:off x="1905152" y="4603724"/>
                            <a:ext cx="199567" cy="229743"/>
                          </a:xfrm>
                          <a:prstGeom prst="rect">
                            <a:avLst/>
                          </a:prstGeom>
                        </pic:spPr>
                      </pic:pic>
                      <pic:pic>
                        <pic:nvPicPr>
                          <pic:cNvPr id="507" name="Image 507"/>
                          <pic:cNvPicPr/>
                        </pic:nvPicPr>
                        <pic:blipFill>
                          <a:blip r:embed="rId369" cstate="print"/>
                          <a:stretch>
                            <a:fillRect/>
                          </a:stretch>
                        </pic:blipFill>
                        <pic:spPr>
                          <a:xfrm>
                            <a:off x="847077" y="4603724"/>
                            <a:ext cx="199567" cy="229743"/>
                          </a:xfrm>
                          <a:prstGeom prst="rect">
                            <a:avLst/>
                          </a:prstGeom>
                        </pic:spPr>
                      </pic:pic>
                      <pic:pic>
                        <pic:nvPicPr>
                          <pic:cNvPr id="508" name="Image 508"/>
                          <pic:cNvPicPr/>
                        </pic:nvPicPr>
                        <pic:blipFill>
                          <a:blip r:embed="rId370" cstate="print"/>
                          <a:stretch>
                            <a:fillRect/>
                          </a:stretch>
                        </pic:blipFill>
                        <pic:spPr>
                          <a:xfrm>
                            <a:off x="6509842" y="4664646"/>
                            <a:ext cx="140589" cy="171792"/>
                          </a:xfrm>
                          <a:prstGeom prst="rect">
                            <a:avLst/>
                          </a:prstGeom>
                        </pic:spPr>
                      </pic:pic>
                      <pic:pic>
                        <pic:nvPicPr>
                          <pic:cNvPr id="509" name="Image 509"/>
                          <pic:cNvPicPr/>
                        </pic:nvPicPr>
                        <pic:blipFill>
                          <a:blip r:embed="rId371" cstate="print"/>
                          <a:stretch>
                            <a:fillRect/>
                          </a:stretch>
                        </pic:blipFill>
                        <pic:spPr>
                          <a:xfrm>
                            <a:off x="6347650" y="4664646"/>
                            <a:ext cx="142075" cy="171792"/>
                          </a:xfrm>
                          <a:prstGeom prst="rect">
                            <a:avLst/>
                          </a:prstGeom>
                        </pic:spPr>
                      </pic:pic>
                      <pic:pic>
                        <pic:nvPicPr>
                          <pic:cNvPr id="510" name="Image 510"/>
                          <pic:cNvPicPr/>
                        </pic:nvPicPr>
                        <pic:blipFill>
                          <a:blip r:embed="rId372" cstate="print"/>
                          <a:stretch>
                            <a:fillRect/>
                          </a:stretch>
                        </pic:blipFill>
                        <pic:spPr>
                          <a:xfrm>
                            <a:off x="5932512" y="4664646"/>
                            <a:ext cx="116357" cy="171792"/>
                          </a:xfrm>
                          <a:prstGeom prst="rect">
                            <a:avLst/>
                          </a:prstGeom>
                        </pic:spPr>
                      </pic:pic>
                      <pic:pic>
                        <pic:nvPicPr>
                          <pic:cNvPr id="511" name="Image 511"/>
                          <pic:cNvPicPr/>
                        </pic:nvPicPr>
                        <pic:blipFill>
                          <a:blip r:embed="rId373" cstate="print"/>
                          <a:stretch>
                            <a:fillRect/>
                          </a:stretch>
                        </pic:blipFill>
                        <pic:spPr>
                          <a:xfrm>
                            <a:off x="5796038" y="4664646"/>
                            <a:ext cx="116357" cy="171792"/>
                          </a:xfrm>
                          <a:prstGeom prst="rect">
                            <a:avLst/>
                          </a:prstGeom>
                        </pic:spPr>
                      </pic:pic>
                      <pic:pic>
                        <pic:nvPicPr>
                          <pic:cNvPr id="512" name="Image 512"/>
                          <pic:cNvPicPr/>
                        </pic:nvPicPr>
                        <pic:blipFill>
                          <a:blip r:embed="rId374" cstate="print"/>
                          <a:stretch>
                            <a:fillRect/>
                          </a:stretch>
                        </pic:blipFill>
                        <pic:spPr>
                          <a:xfrm>
                            <a:off x="5613844" y="4664646"/>
                            <a:ext cx="161962" cy="171792"/>
                          </a:xfrm>
                          <a:prstGeom prst="rect">
                            <a:avLst/>
                          </a:prstGeom>
                        </pic:spPr>
                      </pic:pic>
                      <pic:pic>
                        <pic:nvPicPr>
                          <pic:cNvPr id="513" name="Image 513"/>
                          <pic:cNvPicPr/>
                        </pic:nvPicPr>
                        <pic:blipFill>
                          <a:blip r:embed="rId375" cstate="print"/>
                          <a:stretch>
                            <a:fillRect/>
                          </a:stretch>
                        </pic:blipFill>
                        <pic:spPr>
                          <a:xfrm>
                            <a:off x="5451766" y="4664646"/>
                            <a:ext cx="142075" cy="171792"/>
                          </a:xfrm>
                          <a:prstGeom prst="rect">
                            <a:avLst/>
                          </a:prstGeom>
                        </pic:spPr>
                      </pic:pic>
                      <pic:pic>
                        <pic:nvPicPr>
                          <pic:cNvPr id="514" name="Image 514"/>
                          <pic:cNvPicPr/>
                        </pic:nvPicPr>
                        <pic:blipFill>
                          <a:blip r:embed="rId376" cstate="print"/>
                          <a:stretch>
                            <a:fillRect/>
                          </a:stretch>
                        </pic:blipFill>
                        <pic:spPr>
                          <a:xfrm>
                            <a:off x="5289575" y="4664646"/>
                            <a:ext cx="142075" cy="171792"/>
                          </a:xfrm>
                          <a:prstGeom prst="rect">
                            <a:avLst/>
                          </a:prstGeom>
                        </pic:spPr>
                      </pic:pic>
                      <pic:pic>
                        <pic:nvPicPr>
                          <pic:cNvPr id="515" name="Image 515"/>
                          <pic:cNvPicPr/>
                        </pic:nvPicPr>
                        <pic:blipFill>
                          <a:blip r:embed="rId377" cstate="print"/>
                          <a:stretch>
                            <a:fillRect/>
                          </a:stretch>
                        </pic:blipFill>
                        <pic:spPr>
                          <a:xfrm>
                            <a:off x="4874437" y="4664646"/>
                            <a:ext cx="116357" cy="171792"/>
                          </a:xfrm>
                          <a:prstGeom prst="rect">
                            <a:avLst/>
                          </a:prstGeom>
                        </pic:spPr>
                      </pic:pic>
                      <pic:pic>
                        <pic:nvPicPr>
                          <pic:cNvPr id="516" name="Image 516"/>
                          <pic:cNvPicPr/>
                        </pic:nvPicPr>
                        <pic:blipFill>
                          <a:blip r:embed="rId378" cstate="print"/>
                          <a:stretch>
                            <a:fillRect/>
                          </a:stretch>
                        </pic:blipFill>
                        <pic:spPr>
                          <a:xfrm>
                            <a:off x="4737963" y="4664646"/>
                            <a:ext cx="116357" cy="171792"/>
                          </a:xfrm>
                          <a:prstGeom prst="rect">
                            <a:avLst/>
                          </a:prstGeom>
                        </pic:spPr>
                      </pic:pic>
                      <pic:pic>
                        <pic:nvPicPr>
                          <pic:cNvPr id="517" name="Image 517"/>
                          <pic:cNvPicPr/>
                        </pic:nvPicPr>
                        <pic:blipFill>
                          <a:blip r:embed="rId379" cstate="print"/>
                          <a:stretch>
                            <a:fillRect/>
                          </a:stretch>
                        </pic:blipFill>
                        <pic:spPr>
                          <a:xfrm>
                            <a:off x="4555769" y="4664646"/>
                            <a:ext cx="161963" cy="171792"/>
                          </a:xfrm>
                          <a:prstGeom prst="rect">
                            <a:avLst/>
                          </a:prstGeom>
                        </pic:spPr>
                      </pic:pic>
                      <pic:pic>
                        <pic:nvPicPr>
                          <pic:cNvPr id="518" name="Image 518"/>
                          <pic:cNvPicPr/>
                        </pic:nvPicPr>
                        <pic:blipFill>
                          <a:blip r:embed="rId380" cstate="print"/>
                          <a:stretch>
                            <a:fillRect/>
                          </a:stretch>
                        </pic:blipFill>
                        <pic:spPr>
                          <a:xfrm>
                            <a:off x="4393577" y="4664646"/>
                            <a:ext cx="142189" cy="171792"/>
                          </a:xfrm>
                          <a:prstGeom prst="rect">
                            <a:avLst/>
                          </a:prstGeom>
                        </pic:spPr>
                      </pic:pic>
                      <pic:pic>
                        <pic:nvPicPr>
                          <pic:cNvPr id="519" name="Image 519"/>
                          <pic:cNvPicPr/>
                        </pic:nvPicPr>
                        <pic:blipFill>
                          <a:blip r:embed="rId381" cstate="print"/>
                          <a:stretch>
                            <a:fillRect/>
                          </a:stretch>
                        </pic:blipFill>
                        <pic:spPr>
                          <a:xfrm>
                            <a:off x="4231500" y="4664646"/>
                            <a:ext cx="142074" cy="171792"/>
                          </a:xfrm>
                          <a:prstGeom prst="rect">
                            <a:avLst/>
                          </a:prstGeom>
                        </pic:spPr>
                      </pic:pic>
                      <pic:pic>
                        <pic:nvPicPr>
                          <pic:cNvPr id="520" name="Image 520"/>
                          <pic:cNvPicPr/>
                        </pic:nvPicPr>
                        <pic:blipFill>
                          <a:blip r:embed="rId382" cstate="print"/>
                          <a:stretch>
                            <a:fillRect/>
                          </a:stretch>
                        </pic:blipFill>
                        <pic:spPr>
                          <a:xfrm>
                            <a:off x="3816362" y="4664646"/>
                            <a:ext cx="116357" cy="171792"/>
                          </a:xfrm>
                          <a:prstGeom prst="rect">
                            <a:avLst/>
                          </a:prstGeom>
                        </pic:spPr>
                      </pic:pic>
                      <pic:pic>
                        <pic:nvPicPr>
                          <pic:cNvPr id="521" name="Image 521"/>
                          <pic:cNvPicPr/>
                        </pic:nvPicPr>
                        <pic:blipFill>
                          <a:blip r:embed="rId383" cstate="print"/>
                          <a:stretch>
                            <a:fillRect/>
                          </a:stretch>
                        </pic:blipFill>
                        <pic:spPr>
                          <a:xfrm>
                            <a:off x="3679774" y="4664646"/>
                            <a:ext cx="116471" cy="171792"/>
                          </a:xfrm>
                          <a:prstGeom prst="rect">
                            <a:avLst/>
                          </a:prstGeom>
                        </pic:spPr>
                      </pic:pic>
                      <pic:pic>
                        <pic:nvPicPr>
                          <pic:cNvPr id="522" name="Image 522"/>
                          <pic:cNvPicPr/>
                        </pic:nvPicPr>
                        <pic:blipFill>
                          <a:blip r:embed="rId384" cstate="print"/>
                          <a:stretch>
                            <a:fillRect/>
                          </a:stretch>
                        </pic:blipFill>
                        <pic:spPr>
                          <a:xfrm>
                            <a:off x="3497694" y="4664646"/>
                            <a:ext cx="161963" cy="171792"/>
                          </a:xfrm>
                          <a:prstGeom prst="rect">
                            <a:avLst/>
                          </a:prstGeom>
                        </pic:spPr>
                      </pic:pic>
                      <pic:pic>
                        <pic:nvPicPr>
                          <pic:cNvPr id="523" name="Image 523"/>
                          <pic:cNvPicPr/>
                        </pic:nvPicPr>
                        <pic:blipFill>
                          <a:blip r:embed="rId385" cstate="print"/>
                          <a:stretch>
                            <a:fillRect/>
                          </a:stretch>
                        </pic:blipFill>
                        <pic:spPr>
                          <a:xfrm>
                            <a:off x="3335502" y="4664646"/>
                            <a:ext cx="142188" cy="171792"/>
                          </a:xfrm>
                          <a:prstGeom prst="rect">
                            <a:avLst/>
                          </a:prstGeom>
                        </pic:spPr>
                      </pic:pic>
                      <pic:pic>
                        <pic:nvPicPr>
                          <pic:cNvPr id="524" name="Image 524"/>
                          <pic:cNvPicPr/>
                        </pic:nvPicPr>
                        <pic:blipFill>
                          <a:blip r:embed="rId380" cstate="print"/>
                          <a:stretch>
                            <a:fillRect/>
                          </a:stretch>
                        </pic:blipFill>
                        <pic:spPr>
                          <a:xfrm>
                            <a:off x="3173425" y="4664646"/>
                            <a:ext cx="142074" cy="171792"/>
                          </a:xfrm>
                          <a:prstGeom prst="rect">
                            <a:avLst/>
                          </a:prstGeom>
                        </pic:spPr>
                      </pic:pic>
                      <pic:pic>
                        <pic:nvPicPr>
                          <pic:cNvPr id="525" name="Image 525"/>
                          <pic:cNvPicPr/>
                        </pic:nvPicPr>
                        <pic:blipFill>
                          <a:blip r:embed="rId344" cstate="print"/>
                          <a:stretch>
                            <a:fillRect/>
                          </a:stretch>
                        </pic:blipFill>
                        <pic:spPr>
                          <a:xfrm>
                            <a:off x="2758173" y="4664646"/>
                            <a:ext cx="116357" cy="171792"/>
                          </a:xfrm>
                          <a:prstGeom prst="rect">
                            <a:avLst/>
                          </a:prstGeom>
                        </pic:spPr>
                      </pic:pic>
                      <pic:pic>
                        <pic:nvPicPr>
                          <pic:cNvPr id="526" name="Image 526"/>
                          <pic:cNvPicPr/>
                        </pic:nvPicPr>
                        <pic:blipFill>
                          <a:blip r:embed="rId345" cstate="print"/>
                          <a:stretch>
                            <a:fillRect/>
                          </a:stretch>
                        </pic:blipFill>
                        <pic:spPr>
                          <a:xfrm>
                            <a:off x="2621699" y="4664646"/>
                            <a:ext cx="116357" cy="171792"/>
                          </a:xfrm>
                          <a:prstGeom prst="rect">
                            <a:avLst/>
                          </a:prstGeom>
                        </pic:spPr>
                      </pic:pic>
                      <pic:pic>
                        <pic:nvPicPr>
                          <pic:cNvPr id="527" name="Image 527"/>
                          <pic:cNvPicPr/>
                        </pic:nvPicPr>
                        <pic:blipFill>
                          <a:blip r:embed="rId374" cstate="print"/>
                          <a:stretch>
                            <a:fillRect/>
                          </a:stretch>
                        </pic:blipFill>
                        <pic:spPr>
                          <a:xfrm>
                            <a:off x="2439619" y="4664646"/>
                            <a:ext cx="161963" cy="171792"/>
                          </a:xfrm>
                          <a:prstGeom prst="rect">
                            <a:avLst/>
                          </a:prstGeom>
                        </pic:spPr>
                      </pic:pic>
                      <pic:pic>
                        <pic:nvPicPr>
                          <pic:cNvPr id="528" name="Image 528"/>
                          <pic:cNvPicPr/>
                        </pic:nvPicPr>
                        <pic:blipFill>
                          <a:blip r:embed="rId375" cstate="print"/>
                          <a:stretch>
                            <a:fillRect/>
                          </a:stretch>
                        </pic:blipFill>
                        <pic:spPr>
                          <a:xfrm>
                            <a:off x="2277427" y="4664646"/>
                            <a:ext cx="142074" cy="171792"/>
                          </a:xfrm>
                          <a:prstGeom prst="rect">
                            <a:avLst/>
                          </a:prstGeom>
                        </pic:spPr>
                      </pic:pic>
                      <pic:pic>
                        <pic:nvPicPr>
                          <pic:cNvPr id="529" name="Image 529"/>
                          <pic:cNvPicPr/>
                        </pic:nvPicPr>
                        <pic:blipFill>
                          <a:blip r:embed="rId376" cstate="print"/>
                          <a:stretch>
                            <a:fillRect/>
                          </a:stretch>
                        </pic:blipFill>
                        <pic:spPr>
                          <a:xfrm>
                            <a:off x="2115235" y="4664646"/>
                            <a:ext cx="142189" cy="171792"/>
                          </a:xfrm>
                          <a:prstGeom prst="rect">
                            <a:avLst/>
                          </a:prstGeom>
                        </pic:spPr>
                      </pic:pic>
                      <pic:pic>
                        <pic:nvPicPr>
                          <pic:cNvPr id="530" name="Image 530"/>
                          <pic:cNvPicPr/>
                        </pic:nvPicPr>
                        <pic:blipFill>
                          <a:blip r:embed="rId377" cstate="print"/>
                          <a:stretch>
                            <a:fillRect/>
                          </a:stretch>
                        </pic:blipFill>
                        <pic:spPr>
                          <a:xfrm>
                            <a:off x="1700098" y="4664646"/>
                            <a:ext cx="116357" cy="171792"/>
                          </a:xfrm>
                          <a:prstGeom prst="rect">
                            <a:avLst/>
                          </a:prstGeom>
                        </pic:spPr>
                      </pic:pic>
                      <pic:pic>
                        <pic:nvPicPr>
                          <pic:cNvPr id="531" name="Image 531"/>
                          <pic:cNvPicPr/>
                        </pic:nvPicPr>
                        <pic:blipFill>
                          <a:blip r:embed="rId378" cstate="print"/>
                          <a:stretch>
                            <a:fillRect/>
                          </a:stretch>
                        </pic:blipFill>
                        <pic:spPr>
                          <a:xfrm>
                            <a:off x="1563623" y="4664646"/>
                            <a:ext cx="116357" cy="171792"/>
                          </a:xfrm>
                          <a:prstGeom prst="rect">
                            <a:avLst/>
                          </a:prstGeom>
                        </pic:spPr>
                      </pic:pic>
                      <pic:pic>
                        <pic:nvPicPr>
                          <pic:cNvPr id="532" name="Image 532"/>
                          <pic:cNvPicPr/>
                        </pic:nvPicPr>
                        <pic:blipFill>
                          <a:blip r:embed="rId386" cstate="print"/>
                          <a:stretch>
                            <a:fillRect/>
                          </a:stretch>
                        </pic:blipFill>
                        <pic:spPr>
                          <a:xfrm>
                            <a:off x="1381544" y="4664646"/>
                            <a:ext cx="161848" cy="171792"/>
                          </a:xfrm>
                          <a:prstGeom prst="rect">
                            <a:avLst/>
                          </a:prstGeom>
                        </pic:spPr>
                      </pic:pic>
                      <pic:pic>
                        <pic:nvPicPr>
                          <pic:cNvPr id="533" name="Image 533"/>
                          <pic:cNvPicPr/>
                        </pic:nvPicPr>
                        <pic:blipFill>
                          <a:blip r:embed="rId387" cstate="print"/>
                          <a:stretch>
                            <a:fillRect/>
                          </a:stretch>
                        </pic:blipFill>
                        <pic:spPr>
                          <a:xfrm>
                            <a:off x="1219352" y="4664646"/>
                            <a:ext cx="142074" cy="171792"/>
                          </a:xfrm>
                          <a:prstGeom prst="rect">
                            <a:avLst/>
                          </a:prstGeom>
                        </pic:spPr>
                      </pic:pic>
                      <pic:pic>
                        <pic:nvPicPr>
                          <pic:cNvPr id="534" name="Image 534"/>
                          <pic:cNvPicPr/>
                        </pic:nvPicPr>
                        <pic:blipFill>
                          <a:blip r:embed="rId388" cstate="print"/>
                          <a:stretch>
                            <a:fillRect/>
                          </a:stretch>
                        </pic:blipFill>
                        <pic:spPr>
                          <a:xfrm>
                            <a:off x="1057160" y="4664646"/>
                            <a:ext cx="142189" cy="171792"/>
                          </a:xfrm>
                          <a:prstGeom prst="rect">
                            <a:avLst/>
                          </a:prstGeom>
                        </pic:spPr>
                      </pic:pic>
                      <pic:pic>
                        <pic:nvPicPr>
                          <pic:cNvPr id="535" name="Image 535"/>
                          <pic:cNvPicPr/>
                        </pic:nvPicPr>
                        <pic:blipFill>
                          <a:blip r:embed="rId389" cstate="print"/>
                          <a:stretch>
                            <a:fillRect/>
                          </a:stretch>
                        </pic:blipFill>
                        <pic:spPr>
                          <a:xfrm>
                            <a:off x="552063" y="4664646"/>
                            <a:ext cx="206316" cy="171792"/>
                          </a:xfrm>
                          <a:prstGeom prst="rect">
                            <a:avLst/>
                          </a:prstGeom>
                        </pic:spPr>
                      </pic:pic>
                      <pic:pic>
                        <pic:nvPicPr>
                          <pic:cNvPr id="536" name="Image 536"/>
                          <pic:cNvPicPr/>
                        </pic:nvPicPr>
                        <pic:blipFill>
                          <a:blip r:embed="rId390" cstate="print"/>
                          <a:stretch>
                            <a:fillRect/>
                          </a:stretch>
                        </pic:blipFill>
                        <pic:spPr>
                          <a:xfrm>
                            <a:off x="7405871" y="4749227"/>
                            <a:ext cx="142043" cy="87211"/>
                          </a:xfrm>
                          <a:prstGeom prst="rect">
                            <a:avLst/>
                          </a:prstGeom>
                        </pic:spPr>
                      </pic:pic>
                      <pic:pic>
                        <pic:nvPicPr>
                          <pic:cNvPr id="537" name="Image 537"/>
                          <pic:cNvPicPr/>
                        </pic:nvPicPr>
                        <pic:blipFill>
                          <a:blip r:embed="rId391" cstate="print"/>
                          <a:stretch>
                            <a:fillRect/>
                          </a:stretch>
                        </pic:blipFill>
                        <pic:spPr>
                          <a:xfrm>
                            <a:off x="7195642" y="4766526"/>
                            <a:ext cx="199567" cy="66941"/>
                          </a:xfrm>
                          <a:prstGeom prst="rect">
                            <a:avLst/>
                          </a:prstGeom>
                        </pic:spPr>
                      </pic:pic>
                      <pic:pic>
                        <pic:nvPicPr>
                          <pic:cNvPr id="538" name="Image 538"/>
                          <pic:cNvPicPr/>
                        </pic:nvPicPr>
                        <pic:blipFill>
                          <a:blip r:embed="rId392" cstate="print"/>
                          <a:stretch>
                            <a:fillRect/>
                          </a:stretch>
                        </pic:blipFill>
                        <pic:spPr>
                          <a:xfrm>
                            <a:off x="7195642" y="4984000"/>
                            <a:ext cx="199567" cy="229743"/>
                          </a:xfrm>
                          <a:prstGeom prst="rect">
                            <a:avLst/>
                          </a:prstGeom>
                        </pic:spPr>
                      </pic:pic>
                      <pic:pic>
                        <pic:nvPicPr>
                          <pic:cNvPr id="539" name="Image 539"/>
                          <pic:cNvPicPr/>
                        </pic:nvPicPr>
                        <pic:blipFill>
                          <a:blip r:embed="rId393" cstate="print"/>
                          <a:stretch>
                            <a:fillRect/>
                          </a:stretch>
                        </pic:blipFill>
                        <pic:spPr>
                          <a:xfrm>
                            <a:off x="6137566" y="4984000"/>
                            <a:ext cx="199568" cy="229743"/>
                          </a:xfrm>
                          <a:prstGeom prst="rect">
                            <a:avLst/>
                          </a:prstGeom>
                        </pic:spPr>
                      </pic:pic>
                      <pic:pic>
                        <pic:nvPicPr>
                          <pic:cNvPr id="540" name="Image 540"/>
                          <pic:cNvPicPr/>
                        </pic:nvPicPr>
                        <pic:blipFill>
                          <a:blip r:embed="rId394" cstate="print"/>
                          <a:stretch>
                            <a:fillRect/>
                          </a:stretch>
                        </pic:blipFill>
                        <pic:spPr>
                          <a:xfrm>
                            <a:off x="5079491" y="4984000"/>
                            <a:ext cx="199567" cy="229743"/>
                          </a:xfrm>
                          <a:prstGeom prst="rect">
                            <a:avLst/>
                          </a:prstGeom>
                        </pic:spPr>
                      </pic:pic>
                      <pic:pic>
                        <pic:nvPicPr>
                          <pic:cNvPr id="541" name="Image 541"/>
                          <pic:cNvPicPr/>
                        </pic:nvPicPr>
                        <pic:blipFill>
                          <a:blip r:embed="rId395" cstate="print"/>
                          <a:stretch>
                            <a:fillRect/>
                          </a:stretch>
                        </pic:blipFill>
                        <pic:spPr>
                          <a:xfrm>
                            <a:off x="4021416" y="4984000"/>
                            <a:ext cx="199453" cy="229743"/>
                          </a:xfrm>
                          <a:prstGeom prst="rect">
                            <a:avLst/>
                          </a:prstGeom>
                        </pic:spPr>
                      </pic:pic>
                      <pic:pic>
                        <pic:nvPicPr>
                          <pic:cNvPr id="542" name="Image 542"/>
                          <pic:cNvPicPr/>
                        </pic:nvPicPr>
                        <pic:blipFill>
                          <a:blip r:embed="rId396" cstate="print"/>
                          <a:stretch>
                            <a:fillRect/>
                          </a:stretch>
                        </pic:blipFill>
                        <pic:spPr>
                          <a:xfrm>
                            <a:off x="2963227" y="4984000"/>
                            <a:ext cx="199567" cy="229743"/>
                          </a:xfrm>
                          <a:prstGeom prst="rect">
                            <a:avLst/>
                          </a:prstGeom>
                        </pic:spPr>
                      </pic:pic>
                      <pic:pic>
                        <pic:nvPicPr>
                          <pic:cNvPr id="543" name="Image 543"/>
                          <pic:cNvPicPr/>
                        </pic:nvPicPr>
                        <pic:blipFill>
                          <a:blip r:embed="rId397" cstate="print"/>
                          <a:stretch>
                            <a:fillRect/>
                          </a:stretch>
                        </pic:blipFill>
                        <pic:spPr>
                          <a:xfrm>
                            <a:off x="1905152" y="4984000"/>
                            <a:ext cx="199567" cy="229743"/>
                          </a:xfrm>
                          <a:prstGeom prst="rect">
                            <a:avLst/>
                          </a:prstGeom>
                        </pic:spPr>
                      </pic:pic>
                      <pic:pic>
                        <pic:nvPicPr>
                          <pic:cNvPr id="544" name="Image 544"/>
                          <pic:cNvPicPr/>
                        </pic:nvPicPr>
                        <pic:blipFill>
                          <a:blip r:embed="rId398" cstate="print"/>
                          <a:stretch>
                            <a:fillRect/>
                          </a:stretch>
                        </pic:blipFill>
                        <pic:spPr>
                          <a:xfrm>
                            <a:off x="847077" y="4984000"/>
                            <a:ext cx="199567" cy="229743"/>
                          </a:xfrm>
                          <a:prstGeom prst="rect">
                            <a:avLst/>
                          </a:prstGeom>
                        </pic:spPr>
                      </pic:pic>
                      <pic:pic>
                        <pic:nvPicPr>
                          <pic:cNvPr id="545" name="Image 545"/>
                          <pic:cNvPicPr/>
                        </pic:nvPicPr>
                        <pic:blipFill>
                          <a:blip r:embed="rId399" cstate="print"/>
                          <a:stretch>
                            <a:fillRect/>
                          </a:stretch>
                        </pic:blipFill>
                        <pic:spPr>
                          <a:xfrm>
                            <a:off x="7405724" y="5044922"/>
                            <a:ext cx="142189" cy="171792"/>
                          </a:xfrm>
                          <a:prstGeom prst="rect">
                            <a:avLst/>
                          </a:prstGeom>
                        </pic:spPr>
                      </pic:pic>
                      <pic:pic>
                        <pic:nvPicPr>
                          <pic:cNvPr id="546" name="Image 546"/>
                          <pic:cNvPicPr/>
                        </pic:nvPicPr>
                        <pic:blipFill>
                          <a:blip r:embed="rId400" cstate="print"/>
                          <a:stretch>
                            <a:fillRect/>
                          </a:stretch>
                        </pic:blipFill>
                        <pic:spPr>
                          <a:xfrm>
                            <a:off x="6990587" y="5044922"/>
                            <a:ext cx="116357" cy="171792"/>
                          </a:xfrm>
                          <a:prstGeom prst="rect">
                            <a:avLst/>
                          </a:prstGeom>
                        </pic:spPr>
                      </pic:pic>
                      <pic:pic>
                        <pic:nvPicPr>
                          <pic:cNvPr id="547" name="Image 547"/>
                          <pic:cNvPicPr/>
                        </pic:nvPicPr>
                        <pic:blipFill>
                          <a:blip r:embed="rId401" cstate="print"/>
                          <a:stretch>
                            <a:fillRect/>
                          </a:stretch>
                        </pic:blipFill>
                        <pic:spPr>
                          <a:xfrm>
                            <a:off x="6854113" y="5044922"/>
                            <a:ext cx="116357" cy="171792"/>
                          </a:xfrm>
                          <a:prstGeom prst="rect">
                            <a:avLst/>
                          </a:prstGeom>
                        </pic:spPr>
                      </pic:pic>
                      <pic:pic>
                        <pic:nvPicPr>
                          <pic:cNvPr id="548" name="Image 548"/>
                          <pic:cNvPicPr/>
                        </pic:nvPicPr>
                        <pic:blipFill>
                          <a:blip r:embed="rId402" cstate="print"/>
                          <a:stretch>
                            <a:fillRect/>
                          </a:stretch>
                        </pic:blipFill>
                        <pic:spPr>
                          <a:xfrm>
                            <a:off x="6672033" y="5044922"/>
                            <a:ext cx="161849" cy="171792"/>
                          </a:xfrm>
                          <a:prstGeom prst="rect">
                            <a:avLst/>
                          </a:prstGeom>
                        </pic:spPr>
                      </pic:pic>
                      <pic:pic>
                        <pic:nvPicPr>
                          <pic:cNvPr id="549" name="Image 549"/>
                          <pic:cNvPicPr/>
                        </pic:nvPicPr>
                        <pic:blipFill>
                          <a:blip r:embed="rId403" cstate="print"/>
                          <a:stretch>
                            <a:fillRect/>
                          </a:stretch>
                        </pic:blipFill>
                        <pic:spPr>
                          <a:xfrm>
                            <a:off x="6509842" y="5044922"/>
                            <a:ext cx="142075" cy="171792"/>
                          </a:xfrm>
                          <a:prstGeom prst="rect">
                            <a:avLst/>
                          </a:prstGeom>
                        </pic:spPr>
                      </pic:pic>
                      <pic:pic>
                        <pic:nvPicPr>
                          <pic:cNvPr id="550" name="Image 550"/>
                          <pic:cNvPicPr/>
                        </pic:nvPicPr>
                        <pic:blipFill>
                          <a:blip r:embed="rId404" cstate="print"/>
                          <a:stretch>
                            <a:fillRect/>
                          </a:stretch>
                        </pic:blipFill>
                        <pic:spPr>
                          <a:xfrm>
                            <a:off x="6347650" y="5044922"/>
                            <a:ext cx="142075" cy="171792"/>
                          </a:xfrm>
                          <a:prstGeom prst="rect">
                            <a:avLst/>
                          </a:prstGeom>
                        </pic:spPr>
                      </pic:pic>
                      <pic:pic>
                        <pic:nvPicPr>
                          <pic:cNvPr id="551" name="Image 551"/>
                          <pic:cNvPicPr/>
                        </pic:nvPicPr>
                        <pic:blipFill>
                          <a:blip r:embed="rId405" cstate="print"/>
                          <a:stretch>
                            <a:fillRect/>
                          </a:stretch>
                        </pic:blipFill>
                        <pic:spPr>
                          <a:xfrm>
                            <a:off x="5932512" y="5044922"/>
                            <a:ext cx="116357" cy="171792"/>
                          </a:xfrm>
                          <a:prstGeom prst="rect">
                            <a:avLst/>
                          </a:prstGeom>
                        </pic:spPr>
                      </pic:pic>
                      <pic:pic>
                        <pic:nvPicPr>
                          <pic:cNvPr id="552" name="Image 552"/>
                          <pic:cNvPicPr/>
                        </pic:nvPicPr>
                        <pic:blipFill>
                          <a:blip r:embed="rId406" cstate="print"/>
                          <a:stretch>
                            <a:fillRect/>
                          </a:stretch>
                        </pic:blipFill>
                        <pic:spPr>
                          <a:xfrm>
                            <a:off x="5796038" y="5044922"/>
                            <a:ext cx="116357" cy="171792"/>
                          </a:xfrm>
                          <a:prstGeom prst="rect">
                            <a:avLst/>
                          </a:prstGeom>
                        </pic:spPr>
                      </pic:pic>
                      <pic:pic>
                        <pic:nvPicPr>
                          <pic:cNvPr id="553" name="Image 553"/>
                          <pic:cNvPicPr/>
                        </pic:nvPicPr>
                        <pic:blipFill>
                          <a:blip r:embed="rId407" cstate="print"/>
                          <a:stretch>
                            <a:fillRect/>
                          </a:stretch>
                        </pic:blipFill>
                        <pic:spPr>
                          <a:xfrm>
                            <a:off x="5613844" y="5044922"/>
                            <a:ext cx="161962" cy="171792"/>
                          </a:xfrm>
                          <a:prstGeom prst="rect">
                            <a:avLst/>
                          </a:prstGeom>
                        </pic:spPr>
                      </pic:pic>
                      <pic:pic>
                        <pic:nvPicPr>
                          <pic:cNvPr id="554" name="Image 554"/>
                          <pic:cNvPicPr/>
                        </pic:nvPicPr>
                        <pic:blipFill>
                          <a:blip r:embed="rId408" cstate="print"/>
                          <a:stretch>
                            <a:fillRect/>
                          </a:stretch>
                        </pic:blipFill>
                        <pic:spPr>
                          <a:xfrm>
                            <a:off x="5451766" y="5044922"/>
                            <a:ext cx="142075" cy="171792"/>
                          </a:xfrm>
                          <a:prstGeom prst="rect">
                            <a:avLst/>
                          </a:prstGeom>
                        </pic:spPr>
                      </pic:pic>
                      <pic:pic>
                        <pic:nvPicPr>
                          <pic:cNvPr id="555" name="Image 555"/>
                          <pic:cNvPicPr/>
                        </pic:nvPicPr>
                        <pic:blipFill>
                          <a:blip r:embed="rId409" cstate="print"/>
                          <a:stretch>
                            <a:fillRect/>
                          </a:stretch>
                        </pic:blipFill>
                        <pic:spPr>
                          <a:xfrm>
                            <a:off x="5289575" y="5044922"/>
                            <a:ext cx="142075" cy="171792"/>
                          </a:xfrm>
                          <a:prstGeom prst="rect">
                            <a:avLst/>
                          </a:prstGeom>
                        </pic:spPr>
                      </pic:pic>
                      <pic:pic>
                        <pic:nvPicPr>
                          <pic:cNvPr id="556" name="Image 556"/>
                          <pic:cNvPicPr/>
                        </pic:nvPicPr>
                        <pic:blipFill>
                          <a:blip r:embed="rId410" cstate="print"/>
                          <a:stretch>
                            <a:fillRect/>
                          </a:stretch>
                        </pic:blipFill>
                        <pic:spPr>
                          <a:xfrm>
                            <a:off x="4874437" y="5044922"/>
                            <a:ext cx="116357" cy="171792"/>
                          </a:xfrm>
                          <a:prstGeom prst="rect">
                            <a:avLst/>
                          </a:prstGeom>
                        </pic:spPr>
                      </pic:pic>
                      <pic:pic>
                        <pic:nvPicPr>
                          <pic:cNvPr id="557" name="Image 557"/>
                          <pic:cNvPicPr/>
                        </pic:nvPicPr>
                        <pic:blipFill>
                          <a:blip r:embed="rId411" cstate="print"/>
                          <a:stretch>
                            <a:fillRect/>
                          </a:stretch>
                        </pic:blipFill>
                        <pic:spPr>
                          <a:xfrm>
                            <a:off x="4737963" y="5044922"/>
                            <a:ext cx="116357" cy="171792"/>
                          </a:xfrm>
                          <a:prstGeom prst="rect">
                            <a:avLst/>
                          </a:prstGeom>
                        </pic:spPr>
                      </pic:pic>
                      <pic:pic>
                        <pic:nvPicPr>
                          <pic:cNvPr id="558" name="Image 558"/>
                          <pic:cNvPicPr/>
                        </pic:nvPicPr>
                        <pic:blipFill>
                          <a:blip r:embed="rId412" cstate="print"/>
                          <a:stretch>
                            <a:fillRect/>
                          </a:stretch>
                        </pic:blipFill>
                        <pic:spPr>
                          <a:xfrm>
                            <a:off x="4555769" y="5044922"/>
                            <a:ext cx="161963" cy="171792"/>
                          </a:xfrm>
                          <a:prstGeom prst="rect">
                            <a:avLst/>
                          </a:prstGeom>
                        </pic:spPr>
                      </pic:pic>
                      <pic:pic>
                        <pic:nvPicPr>
                          <pic:cNvPr id="559" name="Image 559"/>
                          <pic:cNvPicPr/>
                        </pic:nvPicPr>
                        <pic:blipFill>
                          <a:blip r:embed="rId413" cstate="print"/>
                          <a:stretch>
                            <a:fillRect/>
                          </a:stretch>
                        </pic:blipFill>
                        <pic:spPr>
                          <a:xfrm>
                            <a:off x="4393577" y="5044922"/>
                            <a:ext cx="142189" cy="171792"/>
                          </a:xfrm>
                          <a:prstGeom prst="rect">
                            <a:avLst/>
                          </a:prstGeom>
                        </pic:spPr>
                      </pic:pic>
                      <pic:pic>
                        <pic:nvPicPr>
                          <pic:cNvPr id="560" name="Image 560"/>
                          <pic:cNvPicPr/>
                        </pic:nvPicPr>
                        <pic:blipFill>
                          <a:blip r:embed="rId414" cstate="print"/>
                          <a:stretch>
                            <a:fillRect/>
                          </a:stretch>
                        </pic:blipFill>
                        <pic:spPr>
                          <a:xfrm>
                            <a:off x="4231500" y="5044922"/>
                            <a:ext cx="142074" cy="171792"/>
                          </a:xfrm>
                          <a:prstGeom prst="rect">
                            <a:avLst/>
                          </a:prstGeom>
                        </pic:spPr>
                      </pic:pic>
                      <pic:pic>
                        <pic:nvPicPr>
                          <pic:cNvPr id="561" name="Image 561"/>
                          <pic:cNvPicPr/>
                        </pic:nvPicPr>
                        <pic:blipFill>
                          <a:blip r:embed="rId415" cstate="print"/>
                          <a:stretch>
                            <a:fillRect/>
                          </a:stretch>
                        </pic:blipFill>
                        <pic:spPr>
                          <a:xfrm>
                            <a:off x="3816362" y="5044922"/>
                            <a:ext cx="116357" cy="171792"/>
                          </a:xfrm>
                          <a:prstGeom prst="rect">
                            <a:avLst/>
                          </a:prstGeom>
                        </pic:spPr>
                      </pic:pic>
                      <pic:pic>
                        <pic:nvPicPr>
                          <pic:cNvPr id="562" name="Image 562"/>
                          <pic:cNvPicPr/>
                        </pic:nvPicPr>
                        <pic:blipFill>
                          <a:blip r:embed="rId416" cstate="print"/>
                          <a:stretch>
                            <a:fillRect/>
                          </a:stretch>
                        </pic:blipFill>
                        <pic:spPr>
                          <a:xfrm>
                            <a:off x="3679774" y="5044922"/>
                            <a:ext cx="116471" cy="171792"/>
                          </a:xfrm>
                          <a:prstGeom prst="rect">
                            <a:avLst/>
                          </a:prstGeom>
                        </pic:spPr>
                      </pic:pic>
                      <pic:pic>
                        <pic:nvPicPr>
                          <pic:cNvPr id="563" name="Image 563"/>
                          <pic:cNvPicPr/>
                        </pic:nvPicPr>
                        <pic:blipFill>
                          <a:blip r:embed="rId417" cstate="print"/>
                          <a:stretch>
                            <a:fillRect/>
                          </a:stretch>
                        </pic:blipFill>
                        <pic:spPr>
                          <a:xfrm>
                            <a:off x="3497694" y="5044922"/>
                            <a:ext cx="161963" cy="171792"/>
                          </a:xfrm>
                          <a:prstGeom prst="rect">
                            <a:avLst/>
                          </a:prstGeom>
                        </pic:spPr>
                      </pic:pic>
                      <pic:pic>
                        <pic:nvPicPr>
                          <pic:cNvPr id="564" name="Image 564"/>
                          <pic:cNvPicPr/>
                        </pic:nvPicPr>
                        <pic:blipFill>
                          <a:blip r:embed="rId409" cstate="print"/>
                          <a:stretch>
                            <a:fillRect/>
                          </a:stretch>
                        </pic:blipFill>
                        <pic:spPr>
                          <a:xfrm>
                            <a:off x="3335502" y="5044922"/>
                            <a:ext cx="142188" cy="171792"/>
                          </a:xfrm>
                          <a:prstGeom prst="rect">
                            <a:avLst/>
                          </a:prstGeom>
                        </pic:spPr>
                      </pic:pic>
                      <pic:pic>
                        <pic:nvPicPr>
                          <pic:cNvPr id="565" name="Image 565"/>
                          <pic:cNvPicPr/>
                        </pic:nvPicPr>
                        <pic:blipFill>
                          <a:blip r:embed="rId418" cstate="print"/>
                          <a:stretch>
                            <a:fillRect/>
                          </a:stretch>
                        </pic:blipFill>
                        <pic:spPr>
                          <a:xfrm>
                            <a:off x="3173425" y="5044922"/>
                            <a:ext cx="142074" cy="171792"/>
                          </a:xfrm>
                          <a:prstGeom prst="rect">
                            <a:avLst/>
                          </a:prstGeom>
                        </pic:spPr>
                      </pic:pic>
                      <pic:pic>
                        <pic:nvPicPr>
                          <pic:cNvPr id="566" name="Image 566"/>
                          <pic:cNvPicPr/>
                        </pic:nvPicPr>
                        <pic:blipFill>
                          <a:blip r:embed="rId411" cstate="print"/>
                          <a:stretch>
                            <a:fillRect/>
                          </a:stretch>
                        </pic:blipFill>
                        <pic:spPr>
                          <a:xfrm>
                            <a:off x="2758173" y="5044922"/>
                            <a:ext cx="116357" cy="171792"/>
                          </a:xfrm>
                          <a:prstGeom prst="rect">
                            <a:avLst/>
                          </a:prstGeom>
                        </pic:spPr>
                      </pic:pic>
                      <pic:pic>
                        <pic:nvPicPr>
                          <pic:cNvPr id="567" name="Image 567"/>
                          <pic:cNvPicPr/>
                        </pic:nvPicPr>
                        <pic:blipFill>
                          <a:blip r:embed="rId419" cstate="print"/>
                          <a:stretch>
                            <a:fillRect/>
                          </a:stretch>
                        </pic:blipFill>
                        <pic:spPr>
                          <a:xfrm>
                            <a:off x="2621699" y="5044922"/>
                            <a:ext cx="116357" cy="171792"/>
                          </a:xfrm>
                          <a:prstGeom prst="rect">
                            <a:avLst/>
                          </a:prstGeom>
                        </pic:spPr>
                      </pic:pic>
                      <pic:pic>
                        <pic:nvPicPr>
                          <pic:cNvPr id="568" name="Image 568"/>
                          <pic:cNvPicPr/>
                        </pic:nvPicPr>
                        <pic:blipFill>
                          <a:blip r:embed="rId420" cstate="print"/>
                          <a:stretch>
                            <a:fillRect/>
                          </a:stretch>
                        </pic:blipFill>
                        <pic:spPr>
                          <a:xfrm>
                            <a:off x="2439619" y="5044922"/>
                            <a:ext cx="161963" cy="171792"/>
                          </a:xfrm>
                          <a:prstGeom prst="rect">
                            <a:avLst/>
                          </a:prstGeom>
                        </pic:spPr>
                      </pic:pic>
                      <pic:pic>
                        <pic:nvPicPr>
                          <pic:cNvPr id="569" name="Image 569"/>
                          <pic:cNvPicPr/>
                        </pic:nvPicPr>
                        <pic:blipFill>
                          <a:blip r:embed="rId421" cstate="print"/>
                          <a:stretch>
                            <a:fillRect/>
                          </a:stretch>
                        </pic:blipFill>
                        <pic:spPr>
                          <a:xfrm>
                            <a:off x="2277427" y="5044922"/>
                            <a:ext cx="142074" cy="171792"/>
                          </a:xfrm>
                          <a:prstGeom prst="rect">
                            <a:avLst/>
                          </a:prstGeom>
                        </pic:spPr>
                      </pic:pic>
                      <pic:pic>
                        <pic:nvPicPr>
                          <pic:cNvPr id="570" name="Image 570"/>
                          <pic:cNvPicPr/>
                        </pic:nvPicPr>
                        <pic:blipFill>
                          <a:blip r:embed="rId408" cstate="print"/>
                          <a:stretch>
                            <a:fillRect/>
                          </a:stretch>
                        </pic:blipFill>
                        <pic:spPr>
                          <a:xfrm>
                            <a:off x="2115235" y="5044922"/>
                            <a:ext cx="142189" cy="171792"/>
                          </a:xfrm>
                          <a:prstGeom prst="rect">
                            <a:avLst/>
                          </a:prstGeom>
                        </pic:spPr>
                      </pic:pic>
                      <pic:pic>
                        <pic:nvPicPr>
                          <pic:cNvPr id="571" name="Image 571"/>
                          <pic:cNvPicPr/>
                        </pic:nvPicPr>
                        <pic:blipFill>
                          <a:blip r:embed="rId422" cstate="print"/>
                          <a:stretch>
                            <a:fillRect/>
                          </a:stretch>
                        </pic:blipFill>
                        <pic:spPr>
                          <a:xfrm>
                            <a:off x="1700098" y="5044922"/>
                            <a:ext cx="116357" cy="171792"/>
                          </a:xfrm>
                          <a:prstGeom prst="rect">
                            <a:avLst/>
                          </a:prstGeom>
                        </pic:spPr>
                      </pic:pic>
                      <pic:pic>
                        <pic:nvPicPr>
                          <pic:cNvPr id="572" name="Image 572"/>
                          <pic:cNvPicPr/>
                        </pic:nvPicPr>
                        <pic:blipFill>
                          <a:blip r:embed="rId423" cstate="print"/>
                          <a:stretch>
                            <a:fillRect/>
                          </a:stretch>
                        </pic:blipFill>
                        <pic:spPr>
                          <a:xfrm>
                            <a:off x="1563623" y="5044922"/>
                            <a:ext cx="116357" cy="171792"/>
                          </a:xfrm>
                          <a:prstGeom prst="rect">
                            <a:avLst/>
                          </a:prstGeom>
                        </pic:spPr>
                      </pic:pic>
                      <pic:pic>
                        <pic:nvPicPr>
                          <pic:cNvPr id="573" name="Image 573"/>
                          <pic:cNvPicPr/>
                        </pic:nvPicPr>
                        <pic:blipFill>
                          <a:blip r:embed="rId424" cstate="print"/>
                          <a:stretch>
                            <a:fillRect/>
                          </a:stretch>
                        </pic:blipFill>
                        <pic:spPr>
                          <a:xfrm>
                            <a:off x="1381544" y="5044922"/>
                            <a:ext cx="161848" cy="171792"/>
                          </a:xfrm>
                          <a:prstGeom prst="rect">
                            <a:avLst/>
                          </a:prstGeom>
                        </pic:spPr>
                      </pic:pic>
                      <pic:pic>
                        <pic:nvPicPr>
                          <pic:cNvPr id="574" name="Image 574"/>
                          <pic:cNvPicPr/>
                        </pic:nvPicPr>
                        <pic:blipFill>
                          <a:blip r:embed="rId418" cstate="print"/>
                          <a:stretch>
                            <a:fillRect/>
                          </a:stretch>
                        </pic:blipFill>
                        <pic:spPr>
                          <a:xfrm>
                            <a:off x="1219352" y="5044922"/>
                            <a:ext cx="142074" cy="171792"/>
                          </a:xfrm>
                          <a:prstGeom prst="rect">
                            <a:avLst/>
                          </a:prstGeom>
                        </pic:spPr>
                      </pic:pic>
                      <pic:pic>
                        <pic:nvPicPr>
                          <pic:cNvPr id="575" name="Image 575"/>
                          <pic:cNvPicPr/>
                        </pic:nvPicPr>
                        <pic:blipFill>
                          <a:blip r:embed="rId425" cstate="print"/>
                          <a:stretch>
                            <a:fillRect/>
                          </a:stretch>
                        </pic:blipFill>
                        <pic:spPr>
                          <a:xfrm>
                            <a:off x="1057160" y="5044922"/>
                            <a:ext cx="142189" cy="171792"/>
                          </a:xfrm>
                          <a:prstGeom prst="rect">
                            <a:avLst/>
                          </a:prstGeom>
                        </pic:spPr>
                      </pic:pic>
                      <pic:pic>
                        <pic:nvPicPr>
                          <pic:cNvPr id="576" name="Image 576"/>
                          <pic:cNvPicPr/>
                        </pic:nvPicPr>
                        <pic:blipFill>
                          <a:blip r:embed="rId426" cstate="print"/>
                          <a:stretch>
                            <a:fillRect/>
                          </a:stretch>
                        </pic:blipFill>
                        <pic:spPr>
                          <a:xfrm>
                            <a:off x="642023" y="5044922"/>
                            <a:ext cx="116357" cy="171792"/>
                          </a:xfrm>
                          <a:prstGeom prst="rect">
                            <a:avLst/>
                          </a:prstGeom>
                        </pic:spPr>
                      </pic:pic>
                      <pic:pic>
                        <pic:nvPicPr>
                          <pic:cNvPr id="577" name="Image 577"/>
                          <pic:cNvPicPr/>
                        </pic:nvPicPr>
                        <pic:blipFill>
                          <a:blip r:embed="rId427" cstate="print"/>
                          <a:stretch>
                            <a:fillRect/>
                          </a:stretch>
                        </pic:blipFill>
                        <pic:spPr>
                          <a:xfrm>
                            <a:off x="505548" y="5044922"/>
                            <a:ext cx="116357" cy="171792"/>
                          </a:xfrm>
                          <a:prstGeom prst="rect">
                            <a:avLst/>
                          </a:prstGeom>
                        </pic:spPr>
                      </pic:pic>
                      <pic:pic>
                        <pic:nvPicPr>
                          <pic:cNvPr id="578" name="Image 578"/>
                          <pic:cNvPicPr/>
                        </pic:nvPicPr>
                        <pic:blipFill>
                          <a:blip r:embed="rId428" cstate="print"/>
                          <a:stretch>
                            <a:fillRect/>
                          </a:stretch>
                        </pic:blipFill>
                        <pic:spPr>
                          <a:xfrm>
                            <a:off x="323468" y="5044922"/>
                            <a:ext cx="161848" cy="171792"/>
                          </a:xfrm>
                          <a:prstGeom prst="rect">
                            <a:avLst/>
                          </a:prstGeom>
                        </pic:spPr>
                      </pic:pic>
                      <pic:pic>
                        <pic:nvPicPr>
                          <pic:cNvPr id="579" name="Image 579"/>
                          <pic:cNvPicPr/>
                        </pic:nvPicPr>
                        <pic:blipFill>
                          <a:blip r:embed="rId429" cstate="print"/>
                          <a:stretch>
                            <a:fillRect/>
                          </a:stretch>
                        </pic:blipFill>
                        <pic:spPr>
                          <a:xfrm>
                            <a:off x="161277" y="5044922"/>
                            <a:ext cx="142074" cy="171792"/>
                          </a:xfrm>
                          <a:prstGeom prst="rect">
                            <a:avLst/>
                          </a:prstGeom>
                        </pic:spPr>
                      </pic:pic>
                      <pic:pic>
                        <pic:nvPicPr>
                          <pic:cNvPr id="580" name="Image 580"/>
                          <pic:cNvPicPr/>
                        </pic:nvPicPr>
                        <pic:blipFill>
                          <a:blip r:embed="rId430" cstate="print"/>
                          <a:stretch>
                            <a:fillRect/>
                          </a:stretch>
                        </pic:blipFill>
                        <pic:spPr>
                          <a:xfrm>
                            <a:off x="0" y="5044922"/>
                            <a:ext cx="141160" cy="171792"/>
                          </a:xfrm>
                          <a:prstGeom prst="rect">
                            <a:avLst/>
                          </a:prstGeom>
                        </pic:spPr>
                      </pic:pic>
                      <pic:pic>
                        <pic:nvPicPr>
                          <pic:cNvPr id="581" name="Image 581"/>
                          <pic:cNvPicPr/>
                        </pic:nvPicPr>
                        <pic:blipFill>
                          <a:blip r:embed="rId431" cstate="print"/>
                          <a:stretch>
                            <a:fillRect/>
                          </a:stretch>
                        </pic:blipFill>
                        <pic:spPr>
                          <a:xfrm>
                            <a:off x="7195642" y="5364276"/>
                            <a:ext cx="199567" cy="229743"/>
                          </a:xfrm>
                          <a:prstGeom prst="rect">
                            <a:avLst/>
                          </a:prstGeom>
                        </pic:spPr>
                      </pic:pic>
                      <pic:pic>
                        <pic:nvPicPr>
                          <pic:cNvPr id="582" name="Image 582"/>
                          <pic:cNvPicPr/>
                        </pic:nvPicPr>
                        <pic:blipFill>
                          <a:blip r:embed="rId432" cstate="print"/>
                          <a:stretch>
                            <a:fillRect/>
                          </a:stretch>
                        </pic:blipFill>
                        <pic:spPr>
                          <a:xfrm>
                            <a:off x="6137566" y="5364276"/>
                            <a:ext cx="199568" cy="229743"/>
                          </a:xfrm>
                          <a:prstGeom prst="rect">
                            <a:avLst/>
                          </a:prstGeom>
                        </pic:spPr>
                      </pic:pic>
                      <pic:pic>
                        <pic:nvPicPr>
                          <pic:cNvPr id="583" name="Image 583"/>
                          <pic:cNvPicPr/>
                        </pic:nvPicPr>
                        <pic:blipFill>
                          <a:blip r:embed="rId394" cstate="print"/>
                          <a:stretch>
                            <a:fillRect/>
                          </a:stretch>
                        </pic:blipFill>
                        <pic:spPr>
                          <a:xfrm>
                            <a:off x="5079491" y="5364276"/>
                            <a:ext cx="199567" cy="229743"/>
                          </a:xfrm>
                          <a:prstGeom prst="rect">
                            <a:avLst/>
                          </a:prstGeom>
                        </pic:spPr>
                      </pic:pic>
                      <pic:pic>
                        <pic:nvPicPr>
                          <pic:cNvPr id="584" name="Image 584"/>
                          <pic:cNvPicPr/>
                        </pic:nvPicPr>
                        <pic:blipFill>
                          <a:blip r:embed="rId395" cstate="print"/>
                          <a:stretch>
                            <a:fillRect/>
                          </a:stretch>
                        </pic:blipFill>
                        <pic:spPr>
                          <a:xfrm>
                            <a:off x="4021416" y="5364276"/>
                            <a:ext cx="199453" cy="229743"/>
                          </a:xfrm>
                          <a:prstGeom prst="rect">
                            <a:avLst/>
                          </a:prstGeom>
                        </pic:spPr>
                      </pic:pic>
                      <pic:pic>
                        <pic:nvPicPr>
                          <pic:cNvPr id="585" name="Image 585"/>
                          <pic:cNvPicPr/>
                        </pic:nvPicPr>
                        <pic:blipFill>
                          <a:blip r:embed="rId396" cstate="print"/>
                          <a:stretch>
                            <a:fillRect/>
                          </a:stretch>
                        </pic:blipFill>
                        <pic:spPr>
                          <a:xfrm>
                            <a:off x="2963227" y="5364276"/>
                            <a:ext cx="199567" cy="229743"/>
                          </a:xfrm>
                          <a:prstGeom prst="rect">
                            <a:avLst/>
                          </a:prstGeom>
                        </pic:spPr>
                      </pic:pic>
                      <pic:pic>
                        <pic:nvPicPr>
                          <pic:cNvPr id="586" name="Image 586"/>
                          <pic:cNvPicPr/>
                        </pic:nvPicPr>
                        <pic:blipFill>
                          <a:blip r:embed="rId397" cstate="print"/>
                          <a:stretch>
                            <a:fillRect/>
                          </a:stretch>
                        </pic:blipFill>
                        <pic:spPr>
                          <a:xfrm>
                            <a:off x="1905152" y="5364276"/>
                            <a:ext cx="199567" cy="229743"/>
                          </a:xfrm>
                          <a:prstGeom prst="rect">
                            <a:avLst/>
                          </a:prstGeom>
                        </pic:spPr>
                      </pic:pic>
                      <pic:pic>
                        <pic:nvPicPr>
                          <pic:cNvPr id="587" name="Image 587"/>
                          <pic:cNvPicPr/>
                        </pic:nvPicPr>
                        <pic:blipFill>
                          <a:blip r:embed="rId433" cstate="print"/>
                          <a:stretch>
                            <a:fillRect/>
                          </a:stretch>
                        </pic:blipFill>
                        <pic:spPr>
                          <a:xfrm>
                            <a:off x="847077" y="5364276"/>
                            <a:ext cx="199567" cy="229743"/>
                          </a:xfrm>
                          <a:prstGeom prst="rect">
                            <a:avLst/>
                          </a:prstGeom>
                        </pic:spPr>
                      </pic:pic>
                      <pic:pic>
                        <pic:nvPicPr>
                          <pic:cNvPr id="588" name="Image 588"/>
                          <pic:cNvPicPr/>
                        </pic:nvPicPr>
                        <pic:blipFill>
                          <a:blip r:embed="rId434" cstate="print"/>
                          <a:stretch>
                            <a:fillRect/>
                          </a:stretch>
                        </pic:blipFill>
                        <pic:spPr>
                          <a:xfrm>
                            <a:off x="7405724" y="5425198"/>
                            <a:ext cx="142189" cy="171792"/>
                          </a:xfrm>
                          <a:prstGeom prst="rect">
                            <a:avLst/>
                          </a:prstGeom>
                        </pic:spPr>
                      </pic:pic>
                      <pic:pic>
                        <pic:nvPicPr>
                          <pic:cNvPr id="589" name="Image 589"/>
                          <pic:cNvPicPr/>
                        </pic:nvPicPr>
                        <pic:blipFill>
                          <a:blip r:embed="rId435" cstate="print"/>
                          <a:stretch>
                            <a:fillRect/>
                          </a:stretch>
                        </pic:blipFill>
                        <pic:spPr>
                          <a:xfrm>
                            <a:off x="6990587" y="5425198"/>
                            <a:ext cx="116357" cy="171792"/>
                          </a:xfrm>
                          <a:prstGeom prst="rect">
                            <a:avLst/>
                          </a:prstGeom>
                        </pic:spPr>
                      </pic:pic>
                      <pic:pic>
                        <pic:nvPicPr>
                          <pic:cNvPr id="590" name="Image 590"/>
                          <pic:cNvPicPr/>
                        </pic:nvPicPr>
                        <pic:blipFill>
                          <a:blip r:embed="rId436" cstate="print"/>
                          <a:stretch>
                            <a:fillRect/>
                          </a:stretch>
                        </pic:blipFill>
                        <pic:spPr>
                          <a:xfrm>
                            <a:off x="6854113" y="5425198"/>
                            <a:ext cx="116357" cy="171792"/>
                          </a:xfrm>
                          <a:prstGeom prst="rect">
                            <a:avLst/>
                          </a:prstGeom>
                        </pic:spPr>
                      </pic:pic>
                      <pic:pic>
                        <pic:nvPicPr>
                          <pic:cNvPr id="591" name="Image 591"/>
                          <pic:cNvPicPr/>
                        </pic:nvPicPr>
                        <pic:blipFill>
                          <a:blip r:embed="rId437" cstate="print"/>
                          <a:stretch>
                            <a:fillRect/>
                          </a:stretch>
                        </pic:blipFill>
                        <pic:spPr>
                          <a:xfrm>
                            <a:off x="6672033" y="5425198"/>
                            <a:ext cx="161849" cy="171792"/>
                          </a:xfrm>
                          <a:prstGeom prst="rect">
                            <a:avLst/>
                          </a:prstGeom>
                        </pic:spPr>
                      </pic:pic>
                      <pic:pic>
                        <pic:nvPicPr>
                          <pic:cNvPr id="592" name="Image 592"/>
                          <pic:cNvPicPr/>
                        </pic:nvPicPr>
                        <pic:blipFill>
                          <a:blip r:embed="rId438" cstate="print"/>
                          <a:stretch>
                            <a:fillRect/>
                          </a:stretch>
                        </pic:blipFill>
                        <pic:spPr>
                          <a:xfrm>
                            <a:off x="6509842" y="5425198"/>
                            <a:ext cx="142075" cy="171792"/>
                          </a:xfrm>
                          <a:prstGeom prst="rect">
                            <a:avLst/>
                          </a:prstGeom>
                        </pic:spPr>
                      </pic:pic>
                      <pic:pic>
                        <pic:nvPicPr>
                          <pic:cNvPr id="593" name="Image 593"/>
                          <pic:cNvPicPr/>
                        </pic:nvPicPr>
                        <pic:blipFill>
                          <a:blip r:embed="rId439" cstate="print"/>
                          <a:stretch>
                            <a:fillRect/>
                          </a:stretch>
                        </pic:blipFill>
                        <pic:spPr>
                          <a:xfrm>
                            <a:off x="6347650" y="5425198"/>
                            <a:ext cx="142075" cy="171792"/>
                          </a:xfrm>
                          <a:prstGeom prst="rect">
                            <a:avLst/>
                          </a:prstGeom>
                        </pic:spPr>
                      </pic:pic>
                      <pic:pic>
                        <pic:nvPicPr>
                          <pic:cNvPr id="594" name="Image 594"/>
                          <pic:cNvPicPr/>
                        </pic:nvPicPr>
                        <pic:blipFill>
                          <a:blip r:embed="rId440" cstate="print"/>
                          <a:stretch>
                            <a:fillRect/>
                          </a:stretch>
                        </pic:blipFill>
                        <pic:spPr>
                          <a:xfrm>
                            <a:off x="5932512" y="5425198"/>
                            <a:ext cx="116357" cy="171792"/>
                          </a:xfrm>
                          <a:prstGeom prst="rect">
                            <a:avLst/>
                          </a:prstGeom>
                        </pic:spPr>
                      </pic:pic>
                      <pic:pic>
                        <pic:nvPicPr>
                          <pic:cNvPr id="595" name="Image 595"/>
                          <pic:cNvPicPr/>
                        </pic:nvPicPr>
                        <pic:blipFill>
                          <a:blip r:embed="rId441" cstate="print"/>
                          <a:stretch>
                            <a:fillRect/>
                          </a:stretch>
                        </pic:blipFill>
                        <pic:spPr>
                          <a:xfrm>
                            <a:off x="5796038" y="5425198"/>
                            <a:ext cx="116357" cy="171792"/>
                          </a:xfrm>
                          <a:prstGeom prst="rect">
                            <a:avLst/>
                          </a:prstGeom>
                        </pic:spPr>
                      </pic:pic>
                      <pic:pic>
                        <pic:nvPicPr>
                          <pic:cNvPr id="596" name="Image 596"/>
                          <pic:cNvPicPr/>
                        </pic:nvPicPr>
                        <pic:blipFill>
                          <a:blip r:embed="rId442" cstate="print"/>
                          <a:stretch>
                            <a:fillRect/>
                          </a:stretch>
                        </pic:blipFill>
                        <pic:spPr>
                          <a:xfrm>
                            <a:off x="5613844" y="5425198"/>
                            <a:ext cx="161962" cy="171792"/>
                          </a:xfrm>
                          <a:prstGeom prst="rect">
                            <a:avLst/>
                          </a:prstGeom>
                        </pic:spPr>
                      </pic:pic>
                      <pic:pic>
                        <pic:nvPicPr>
                          <pic:cNvPr id="597" name="Image 597"/>
                          <pic:cNvPicPr/>
                        </pic:nvPicPr>
                        <pic:blipFill>
                          <a:blip r:embed="rId443" cstate="print"/>
                          <a:stretch>
                            <a:fillRect/>
                          </a:stretch>
                        </pic:blipFill>
                        <pic:spPr>
                          <a:xfrm>
                            <a:off x="5451766" y="5425198"/>
                            <a:ext cx="142075" cy="171792"/>
                          </a:xfrm>
                          <a:prstGeom prst="rect">
                            <a:avLst/>
                          </a:prstGeom>
                        </pic:spPr>
                      </pic:pic>
                      <pic:pic>
                        <pic:nvPicPr>
                          <pic:cNvPr id="598" name="Image 598"/>
                          <pic:cNvPicPr/>
                        </pic:nvPicPr>
                        <pic:blipFill>
                          <a:blip r:embed="rId444" cstate="print"/>
                          <a:stretch>
                            <a:fillRect/>
                          </a:stretch>
                        </pic:blipFill>
                        <pic:spPr>
                          <a:xfrm>
                            <a:off x="5289575" y="5425198"/>
                            <a:ext cx="142075" cy="171792"/>
                          </a:xfrm>
                          <a:prstGeom prst="rect">
                            <a:avLst/>
                          </a:prstGeom>
                        </pic:spPr>
                      </pic:pic>
                      <pic:pic>
                        <pic:nvPicPr>
                          <pic:cNvPr id="599" name="Image 599"/>
                          <pic:cNvPicPr/>
                        </pic:nvPicPr>
                        <pic:blipFill>
                          <a:blip r:embed="rId445" cstate="print"/>
                          <a:stretch>
                            <a:fillRect/>
                          </a:stretch>
                        </pic:blipFill>
                        <pic:spPr>
                          <a:xfrm>
                            <a:off x="4874437" y="5425198"/>
                            <a:ext cx="116357" cy="171792"/>
                          </a:xfrm>
                          <a:prstGeom prst="rect">
                            <a:avLst/>
                          </a:prstGeom>
                        </pic:spPr>
                      </pic:pic>
                      <pic:pic>
                        <pic:nvPicPr>
                          <pic:cNvPr id="600" name="Image 600"/>
                          <pic:cNvPicPr/>
                        </pic:nvPicPr>
                        <pic:blipFill>
                          <a:blip r:embed="rId446" cstate="print"/>
                          <a:stretch>
                            <a:fillRect/>
                          </a:stretch>
                        </pic:blipFill>
                        <pic:spPr>
                          <a:xfrm>
                            <a:off x="4737963" y="5425198"/>
                            <a:ext cx="116357" cy="171792"/>
                          </a:xfrm>
                          <a:prstGeom prst="rect">
                            <a:avLst/>
                          </a:prstGeom>
                        </pic:spPr>
                      </pic:pic>
                      <pic:pic>
                        <pic:nvPicPr>
                          <pic:cNvPr id="601" name="Image 601"/>
                          <pic:cNvPicPr/>
                        </pic:nvPicPr>
                        <pic:blipFill>
                          <a:blip r:embed="rId447" cstate="print"/>
                          <a:stretch>
                            <a:fillRect/>
                          </a:stretch>
                        </pic:blipFill>
                        <pic:spPr>
                          <a:xfrm>
                            <a:off x="4555769" y="5425198"/>
                            <a:ext cx="161963" cy="171792"/>
                          </a:xfrm>
                          <a:prstGeom prst="rect">
                            <a:avLst/>
                          </a:prstGeom>
                        </pic:spPr>
                      </pic:pic>
                      <pic:pic>
                        <pic:nvPicPr>
                          <pic:cNvPr id="602" name="Image 602"/>
                          <pic:cNvPicPr/>
                        </pic:nvPicPr>
                        <pic:blipFill>
                          <a:blip r:embed="rId448" cstate="print"/>
                          <a:stretch>
                            <a:fillRect/>
                          </a:stretch>
                        </pic:blipFill>
                        <pic:spPr>
                          <a:xfrm>
                            <a:off x="4393577" y="5425198"/>
                            <a:ext cx="142189" cy="171792"/>
                          </a:xfrm>
                          <a:prstGeom prst="rect">
                            <a:avLst/>
                          </a:prstGeom>
                        </pic:spPr>
                      </pic:pic>
                      <pic:pic>
                        <pic:nvPicPr>
                          <pic:cNvPr id="603" name="Image 603"/>
                          <pic:cNvPicPr/>
                        </pic:nvPicPr>
                        <pic:blipFill>
                          <a:blip r:embed="rId449" cstate="print"/>
                          <a:stretch>
                            <a:fillRect/>
                          </a:stretch>
                        </pic:blipFill>
                        <pic:spPr>
                          <a:xfrm>
                            <a:off x="4231500" y="5425198"/>
                            <a:ext cx="142074" cy="171792"/>
                          </a:xfrm>
                          <a:prstGeom prst="rect">
                            <a:avLst/>
                          </a:prstGeom>
                        </pic:spPr>
                      </pic:pic>
                      <pic:pic>
                        <pic:nvPicPr>
                          <pic:cNvPr id="604" name="Image 604"/>
                          <pic:cNvPicPr/>
                        </pic:nvPicPr>
                        <pic:blipFill>
                          <a:blip r:embed="rId450" cstate="print"/>
                          <a:stretch>
                            <a:fillRect/>
                          </a:stretch>
                        </pic:blipFill>
                        <pic:spPr>
                          <a:xfrm>
                            <a:off x="3816362" y="5425198"/>
                            <a:ext cx="116357" cy="171792"/>
                          </a:xfrm>
                          <a:prstGeom prst="rect">
                            <a:avLst/>
                          </a:prstGeom>
                        </pic:spPr>
                      </pic:pic>
                      <pic:pic>
                        <pic:nvPicPr>
                          <pic:cNvPr id="605" name="Image 605"/>
                          <pic:cNvPicPr/>
                        </pic:nvPicPr>
                        <pic:blipFill>
                          <a:blip r:embed="rId451" cstate="print"/>
                          <a:stretch>
                            <a:fillRect/>
                          </a:stretch>
                        </pic:blipFill>
                        <pic:spPr>
                          <a:xfrm>
                            <a:off x="3679774" y="5425198"/>
                            <a:ext cx="116471" cy="171792"/>
                          </a:xfrm>
                          <a:prstGeom prst="rect">
                            <a:avLst/>
                          </a:prstGeom>
                        </pic:spPr>
                      </pic:pic>
                      <pic:pic>
                        <pic:nvPicPr>
                          <pic:cNvPr id="606" name="Image 606"/>
                          <pic:cNvPicPr/>
                        </pic:nvPicPr>
                        <pic:blipFill>
                          <a:blip r:embed="rId452" cstate="print"/>
                          <a:stretch>
                            <a:fillRect/>
                          </a:stretch>
                        </pic:blipFill>
                        <pic:spPr>
                          <a:xfrm>
                            <a:off x="3497694" y="5425198"/>
                            <a:ext cx="161963" cy="171792"/>
                          </a:xfrm>
                          <a:prstGeom prst="rect">
                            <a:avLst/>
                          </a:prstGeom>
                        </pic:spPr>
                      </pic:pic>
                      <pic:pic>
                        <pic:nvPicPr>
                          <pic:cNvPr id="607" name="Image 607"/>
                          <pic:cNvPicPr/>
                        </pic:nvPicPr>
                        <pic:blipFill>
                          <a:blip r:embed="rId444" cstate="print"/>
                          <a:stretch>
                            <a:fillRect/>
                          </a:stretch>
                        </pic:blipFill>
                        <pic:spPr>
                          <a:xfrm>
                            <a:off x="3335502" y="5425198"/>
                            <a:ext cx="142188" cy="171792"/>
                          </a:xfrm>
                          <a:prstGeom prst="rect">
                            <a:avLst/>
                          </a:prstGeom>
                        </pic:spPr>
                      </pic:pic>
                      <pic:pic>
                        <pic:nvPicPr>
                          <pic:cNvPr id="608" name="Image 608"/>
                          <pic:cNvPicPr/>
                        </pic:nvPicPr>
                        <pic:blipFill>
                          <a:blip r:embed="rId453" cstate="print"/>
                          <a:stretch>
                            <a:fillRect/>
                          </a:stretch>
                        </pic:blipFill>
                        <pic:spPr>
                          <a:xfrm>
                            <a:off x="3173425" y="5425198"/>
                            <a:ext cx="142074" cy="171792"/>
                          </a:xfrm>
                          <a:prstGeom prst="rect">
                            <a:avLst/>
                          </a:prstGeom>
                        </pic:spPr>
                      </pic:pic>
                      <pic:pic>
                        <pic:nvPicPr>
                          <pic:cNvPr id="609" name="Image 609"/>
                          <pic:cNvPicPr/>
                        </pic:nvPicPr>
                        <pic:blipFill>
                          <a:blip r:embed="rId446" cstate="print"/>
                          <a:stretch>
                            <a:fillRect/>
                          </a:stretch>
                        </pic:blipFill>
                        <pic:spPr>
                          <a:xfrm>
                            <a:off x="2758173" y="5425198"/>
                            <a:ext cx="116357" cy="171792"/>
                          </a:xfrm>
                          <a:prstGeom prst="rect">
                            <a:avLst/>
                          </a:prstGeom>
                        </pic:spPr>
                      </pic:pic>
                      <pic:pic>
                        <pic:nvPicPr>
                          <pic:cNvPr id="610" name="Image 610"/>
                          <pic:cNvPicPr/>
                        </pic:nvPicPr>
                        <pic:blipFill>
                          <a:blip r:embed="rId454" cstate="print"/>
                          <a:stretch>
                            <a:fillRect/>
                          </a:stretch>
                        </pic:blipFill>
                        <pic:spPr>
                          <a:xfrm>
                            <a:off x="2621699" y="5425198"/>
                            <a:ext cx="116357" cy="171792"/>
                          </a:xfrm>
                          <a:prstGeom prst="rect">
                            <a:avLst/>
                          </a:prstGeom>
                        </pic:spPr>
                      </pic:pic>
                      <pic:pic>
                        <pic:nvPicPr>
                          <pic:cNvPr id="611" name="Image 611"/>
                          <pic:cNvPicPr/>
                        </pic:nvPicPr>
                        <pic:blipFill>
                          <a:blip r:embed="rId455" cstate="print"/>
                          <a:stretch>
                            <a:fillRect/>
                          </a:stretch>
                        </pic:blipFill>
                        <pic:spPr>
                          <a:xfrm>
                            <a:off x="2439619" y="5425198"/>
                            <a:ext cx="161963" cy="171792"/>
                          </a:xfrm>
                          <a:prstGeom prst="rect">
                            <a:avLst/>
                          </a:prstGeom>
                        </pic:spPr>
                      </pic:pic>
                      <pic:pic>
                        <pic:nvPicPr>
                          <pic:cNvPr id="612" name="Image 612"/>
                          <pic:cNvPicPr/>
                        </pic:nvPicPr>
                        <pic:blipFill>
                          <a:blip r:embed="rId456" cstate="print"/>
                          <a:stretch>
                            <a:fillRect/>
                          </a:stretch>
                        </pic:blipFill>
                        <pic:spPr>
                          <a:xfrm>
                            <a:off x="2277427" y="5425198"/>
                            <a:ext cx="142074" cy="171792"/>
                          </a:xfrm>
                          <a:prstGeom prst="rect">
                            <a:avLst/>
                          </a:prstGeom>
                        </pic:spPr>
                      </pic:pic>
                      <pic:pic>
                        <pic:nvPicPr>
                          <pic:cNvPr id="613" name="Image 613"/>
                          <pic:cNvPicPr/>
                        </pic:nvPicPr>
                        <pic:blipFill>
                          <a:blip r:embed="rId443" cstate="print"/>
                          <a:stretch>
                            <a:fillRect/>
                          </a:stretch>
                        </pic:blipFill>
                        <pic:spPr>
                          <a:xfrm>
                            <a:off x="2115235" y="5425198"/>
                            <a:ext cx="142189" cy="171792"/>
                          </a:xfrm>
                          <a:prstGeom prst="rect">
                            <a:avLst/>
                          </a:prstGeom>
                        </pic:spPr>
                      </pic:pic>
                      <pic:pic>
                        <pic:nvPicPr>
                          <pic:cNvPr id="614" name="Image 614"/>
                          <pic:cNvPicPr/>
                        </pic:nvPicPr>
                        <pic:blipFill>
                          <a:blip r:embed="rId457" cstate="print"/>
                          <a:stretch>
                            <a:fillRect/>
                          </a:stretch>
                        </pic:blipFill>
                        <pic:spPr>
                          <a:xfrm>
                            <a:off x="1700098" y="5425198"/>
                            <a:ext cx="116357" cy="171792"/>
                          </a:xfrm>
                          <a:prstGeom prst="rect">
                            <a:avLst/>
                          </a:prstGeom>
                        </pic:spPr>
                      </pic:pic>
                      <pic:pic>
                        <pic:nvPicPr>
                          <pic:cNvPr id="615" name="Image 615"/>
                          <pic:cNvPicPr/>
                        </pic:nvPicPr>
                        <pic:blipFill>
                          <a:blip r:embed="rId445" cstate="print"/>
                          <a:stretch>
                            <a:fillRect/>
                          </a:stretch>
                        </pic:blipFill>
                        <pic:spPr>
                          <a:xfrm>
                            <a:off x="1563623" y="5425198"/>
                            <a:ext cx="116357" cy="171792"/>
                          </a:xfrm>
                          <a:prstGeom prst="rect">
                            <a:avLst/>
                          </a:prstGeom>
                        </pic:spPr>
                      </pic:pic>
                      <pic:pic>
                        <pic:nvPicPr>
                          <pic:cNvPr id="616" name="Image 616"/>
                          <pic:cNvPicPr/>
                        </pic:nvPicPr>
                        <pic:blipFill>
                          <a:blip r:embed="rId458" cstate="print"/>
                          <a:stretch>
                            <a:fillRect/>
                          </a:stretch>
                        </pic:blipFill>
                        <pic:spPr>
                          <a:xfrm>
                            <a:off x="1381544" y="5425198"/>
                            <a:ext cx="161848" cy="171792"/>
                          </a:xfrm>
                          <a:prstGeom prst="rect">
                            <a:avLst/>
                          </a:prstGeom>
                        </pic:spPr>
                      </pic:pic>
                      <pic:pic>
                        <pic:nvPicPr>
                          <pic:cNvPr id="617" name="Image 617"/>
                          <pic:cNvPicPr/>
                        </pic:nvPicPr>
                        <pic:blipFill>
                          <a:blip r:embed="rId453" cstate="print"/>
                          <a:stretch>
                            <a:fillRect/>
                          </a:stretch>
                        </pic:blipFill>
                        <pic:spPr>
                          <a:xfrm>
                            <a:off x="1219352" y="5425198"/>
                            <a:ext cx="142074" cy="171792"/>
                          </a:xfrm>
                          <a:prstGeom prst="rect">
                            <a:avLst/>
                          </a:prstGeom>
                        </pic:spPr>
                      </pic:pic>
                      <pic:pic>
                        <pic:nvPicPr>
                          <pic:cNvPr id="618" name="Image 618"/>
                          <pic:cNvPicPr/>
                        </pic:nvPicPr>
                        <pic:blipFill>
                          <a:blip r:embed="rId459" cstate="print"/>
                          <a:stretch>
                            <a:fillRect/>
                          </a:stretch>
                        </pic:blipFill>
                        <pic:spPr>
                          <a:xfrm>
                            <a:off x="1057160" y="5425198"/>
                            <a:ext cx="142189" cy="171792"/>
                          </a:xfrm>
                          <a:prstGeom prst="rect">
                            <a:avLst/>
                          </a:prstGeom>
                        </pic:spPr>
                      </pic:pic>
                      <pic:pic>
                        <pic:nvPicPr>
                          <pic:cNvPr id="619" name="Image 619"/>
                          <pic:cNvPicPr/>
                        </pic:nvPicPr>
                        <pic:blipFill>
                          <a:blip r:embed="rId460" cstate="print"/>
                          <a:stretch>
                            <a:fillRect/>
                          </a:stretch>
                        </pic:blipFill>
                        <pic:spPr>
                          <a:xfrm>
                            <a:off x="642023" y="5425198"/>
                            <a:ext cx="116357" cy="171792"/>
                          </a:xfrm>
                          <a:prstGeom prst="rect">
                            <a:avLst/>
                          </a:prstGeom>
                        </pic:spPr>
                      </pic:pic>
                      <pic:pic>
                        <pic:nvPicPr>
                          <pic:cNvPr id="620" name="Image 620"/>
                          <pic:cNvPicPr/>
                        </pic:nvPicPr>
                        <pic:blipFill>
                          <a:blip r:embed="rId461" cstate="print"/>
                          <a:stretch>
                            <a:fillRect/>
                          </a:stretch>
                        </pic:blipFill>
                        <pic:spPr>
                          <a:xfrm>
                            <a:off x="505548" y="5425198"/>
                            <a:ext cx="116357" cy="171792"/>
                          </a:xfrm>
                          <a:prstGeom prst="rect">
                            <a:avLst/>
                          </a:prstGeom>
                        </pic:spPr>
                      </pic:pic>
                      <pic:pic>
                        <pic:nvPicPr>
                          <pic:cNvPr id="621" name="Image 621"/>
                          <pic:cNvPicPr/>
                        </pic:nvPicPr>
                        <pic:blipFill>
                          <a:blip r:embed="rId462" cstate="print"/>
                          <a:stretch>
                            <a:fillRect/>
                          </a:stretch>
                        </pic:blipFill>
                        <pic:spPr>
                          <a:xfrm>
                            <a:off x="323468" y="5425198"/>
                            <a:ext cx="161848" cy="171792"/>
                          </a:xfrm>
                          <a:prstGeom prst="rect">
                            <a:avLst/>
                          </a:prstGeom>
                        </pic:spPr>
                      </pic:pic>
                      <pic:pic>
                        <pic:nvPicPr>
                          <pic:cNvPr id="622" name="Image 622"/>
                          <pic:cNvPicPr/>
                        </pic:nvPicPr>
                        <pic:blipFill>
                          <a:blip r:embed="rId463" cstate="print"/>
                          <a:stretch>
                            <a:fillRect/>
                          </a:stretch>
                        </pic:blipFill>
                        <pic:spPr>
                          <a:xfrm>
                            <a:off x="161277" y="5425198"/>
                            <a:ext cx="142074" cy="171792"/>
                          </a:xfrm>
                          <a:prstGeom prst="rect">
                            <a:avLst/>
                          </a:prstGeom>
                        </pic:spPr>
                      </pic:pic>
                      <pic:pic>
                        <pic:nvPicPr>
                          <pic:cNvPr id="623" name="Image 623"/>
                          <pic:cNvPicPr/>
                        </pic:nvPicPr>
                        <pic:blipFill>
                          <a:blip r:embed="rId464" cstate="print"/>
                          <a:stretch>
                            <a:fillRect/>
                          </a:stretch>
                        </pic:blipFill>
                        <pic:spPr>
                          <a:xfrm>
                            <a:off x="0" y="5425198"/>
                            <a:ext cx="141160" cy="171792"/>
                          </a:xfrm>
                          <a:prstGeom prst="rect">
                            <a:avLst/>
                          </a:prstGeom>
                        </pic:spPr>
                      </pic:pic>
                      <pic:pic>
                        <pic:nvPicPr>
                          <pic:cNvPr id="624" name="Image 624"/>
                          <pic:cNvPicPr/>
                        </pic:nvPicPr>
                        <pic:blipFill>
                          <a:blip r:embed="rId465" cstate="print"/>
                          <a:stretch>
                            <a:fillRect/>
                          </a:stretch>
                        </pic:blipFill>
                        <pic:spPr>
                          <a:xfrm>
                            <a:off x="7195642" y="5744552"/>
                            <a:ext cx="199567" cy="229742"/>
                          </a:xfrm>
                          <a:prstGeom prst="rect">
                            <a:avLst/>
                          </a:prstGeom>
                        </pic:spPr>
                      </pic:pic>
                      <pic:pic>
                        <pic:nvPicPr>
                          <pic:cNvPr id="625" name="Image 625"/>
                          <pic:cNvPicPr/>
                        </pic:nvPicPr>
                        <pic:blipFill>
                          <a:blip r:embed="rId466" cstate="print"/>
                          <a:stretch>
                            <a:fillRect/>
                          </a:stretch>
                        </pic:blipFill>
                        <pic:spPr>
                          <a:xfrm>
                            <a:off x="6137566" y="5744552"/>
                            <a:ext cx="199568" cy="229742"/>
                          </a:xfrm>
                          <a:prstGeom prst="rect">
                            <a:avLst/>
                          </a:prstGeom>
                        </pic:spPr>
                      </pic:pic>
                      <pic:pic>
                        <pic:nvPicPr>
                          <pic:cNvPr id="626" name="Image 626"/>
                          <pic:cNvPicPr/>
                        </pic:nvPicPr>
                        <pic:blipFill>
                          <a:blip r:embed="rId394" cstate="print"/>
                          <a:stretch>
                            <a:fillRect/>
                          </a:stretch>
                        </pic:blipFill>
                        <pic:spPr>
                          <a:xfrm>
                            <a:off x="5079491" y="5744552"/>
                            <a:ext cx="199567" cy="229742"/>
                          </a:xfrm>
                          <a:prstGeom prst="rect">
                            <a:avLst/>
                          </a:prstGeom>
                        </pic:spPr>
                      </pic:pic>
                      <pic:pic>
                        <pic:nvPicPr>
                          <pic:cNvPr id="627" name="Image 627"/>
                          <pic:cNvPicPr/>
                        </pic:nvPicPr>
                        <pic:blipFill>
                          <a:blip r:embed="rId395" cstate="print"/>
                          <a:stretch>
                            <a:fillRect/>
                          </a:stretch>
                        </pic:blipFill>
                        <pic:spPr>
                          <a:xfrm>
                            <a:off x="4021416" y="5744552"/>
                            <a:ext cx="199453" cy="229742"/>
                          </a:xfrm>
                          <a:prstGeom prst="rect">
                            <a:avLst/>
                          </a:prstGeom>
                        </pic:spPr>
                      </pic:pic>
                      <pic:pic>
                        <pic:nvPicPr>
                          <pic:cNvPr id="628" name="Image 628"/>
                          <pic:cNvPicPr/>
                        </pic:nvPicPr>
                        <pic:blipFill>
                          <a:blip r:embed="rId396" cstate="print"/>
                          <a:stretch>
                            <a:fillRect/>
                          </a:stretch>
                        </pic:blipFill>
                        <pic:spPr>
                          <a:xfrm>
                            <a:off x="2963227" y="5744552"/>
                            <a:ext cx="199567" cy="229742"/>
                          </a:xfrm>
                          <a:prstGeom prst="rect">
                            <a:avLst/>
                          </a:prstGeom>
                        </pic:spPr>
                      </pic:pic>
                      <pic:pic>
                        <pic:nvPicPr>
                          <pic:cNvPr id="629" name="Image 629"/>
                          <pic:cNvPicPr/>
                        </pic:nvPicPr>
                        <pic:blipFill>
                          <a:blip r:embed="rId397" cstate="print"/>
                          <a:stretch>
                            <a:fillRect/>
                          </a:stretch>
                        </pic:blipFill>
                        <pic:spPr>
                          <a:xfrm>
                            <a:off x="1905152" y="5744552"/>
                            <a:ext cx="199567" cy="229742"/>
                          </a:xfrm>
                          <a:prstGeom prst="rect">
                            <a:avLst/>
                          </a:prstGeom>
                        </pic:spPr>
                      </pic:pic>
                      <pic:pic>
                        <pic:nvPicPr>
                          <pic:cNvPr id="630" name="Image 630"/>
                          <pic:cNvPicPr/>
                        </pic:nvPicPr>
                        <pic:blipFill>
                          <a:blip r:embed="rId467" cstate="print"/>
                          <a:stretch>
                            <a:fillRect/>
                          </a:stretch>
                        </pic:blipFill>
                        <pic:spPr>
                          <a:xfrm>
                            <a:off x="847077" y="5744552"/>
                            <a:ext cx="199567" cy="229742"/>
                          </a:xfrm>
                          <a:prstGeom prst="rect">
                            <a:avLst/>
                          </a:prstGeom>
                        </pic:spPr>
                      </pic:pic>
                      <pic:pic>
                        <pic:nvPicPr>
                          <pic:cNvPr id="631" name="Image 631"/>
                          <pic:cNvPicPr/>
                        </pic:nvPicPr>
                        <pic:blipFill>
                          <a:blip r:embed="rId468" cstate="print"/>
                          <a:stretch>
                            <a:fillRect/>
                          </a:stretch>
                        </pic:blipFill>
                        <pic:spPr>
                          <a:xfrm>
                            <a:off x="7405724" y="5805474"/>
                            <a:ext cx="140703" cy="171343"/>
                          </a:xfrm>
                          <a:prstGeom prst="rect">
                            <a:avLst/>
                          </a:prstGeom>
                        </pic:spPr>
                      </pic:pic>
                      <pic:pic>
                        <pic:nvPicPr>
                          <pic:cNvPr id="632" name="Image 632"/>
                          <pic:cNvPicPr/>
                        </pic:nvPicPr>
                        <pic:blipFill>
                          <a:blip r:embed="rId469" cstate="print"/>
                          <a:stretch>
                            <a:fillRect/>
                          </a:stretch>
                        </pic:blipFill>
                        <pic:spPr>
                          <a:xfrm>
                            <a:off x="6990587" y="5805474"/>
                            <a:ext cx="116357" cy="171793"/>
                          </a:xfrm>
                          <a:prstGeom prst="rect">
                            <a:avLst/>
                          </a:prstGeom>
                        </pic:spPr>
                      </pic:pic>
                      <pic:pic>
                        <pic:nvPicPr>
                          <pic:cNvPr id="633" name="Image 633"/>
                          <pic:cNvPicPr/>
                        </pic:nvPicPr>
                        <pic:blipFill>
                          <a:blip r:embed="rId470" cstate="print"/>
                          <a:stretch>
                            <a:fillRect/>
                          </a:stretch>
                        </pic:blipFill>
                        <pic:spPr>
                          <a:xfrm>
                            <a:off x="6854113" y="5805474"/>
                            <a:ext cx="116357" cy="171793"/>
                          </a:xfrm>
                          <a:prstGeom prst="rect">
                            <a:avLst/>
                          </a:prstGeom>
                        </pic:spPr>
                      </pic:pic>
                      <pic:pic>
                        <pic:nvPicPr>
                          <pic:cNvPr id="634" name="Image 634"/>
                          <pic:cNvPicPr/>
                        </pic:nvPicPr>
                        <pic:blipFill>
                          <a:blip r:embed="rId471" cstate="print"/>
                          <a:stretch>
                            <a:fillRect/>
                          </a:stretch>
                        </pic:blipFill>
                        <pic:spPr>
                          <a:xfrm>
                            <a:off x="6672033" y="5805474"/>
                            <a:ext cx="161849" cy="171793"/>
                          </a:xfrm>
                          <a:prstGeom prst="rect">
                            <a:avLst/>
                          </a:prstGeom>
                        </pic:spPr>
                      </pic:pic>
                      <pic:pic>
                        <pic:nvPicPr>
                          <pic:cNvPr id="635" name="Image 635"/>
                          <pic:cNvPicPr/>
                        </pic:nvPicPr>
                        <pic:blipFill>
                          <a:blip r:embed="rId472" cstate="print"/>
                          <a:stretch>
                            <a:fillRect/>
                          </a:stretch>
                        </pic:blipFill>
                        <pic:spPr>
                          <a:xfrm>
                            <a:off x="6509842" y="5805474"/>
                            <a:ext cx="142075" cy="171793"/>
                          </a:xfrm>
                          <a:prstGeom prst="rect">
                            <a:avLst/>
                          </a:prstGeom>
                        </pic:spPr>
                      </pic:pic>
                      <pic:pic>
                        <pic:nvPicPr>
                          <pic:cNvPr id="636" name="Image 636"/>
                          <pic:cNvPicPr/>
                        </pic:nvPicPr>
                        <pic:blipFill>
                          <a:blip r:embed="rId473" cstate="print"/>
                          <a:stretch>
                            <a:fillRect/>
                          </a:stretch>
                        </pic:blipFill>
                        <pic:spPr>
                          <a:xfrm>
                            <a:off x="6347650" y="5805474"/>
                            <a:ext cx="142075" cy="171793"/>
                          </a:xfrm>
                          <a:prstGeom prst="rect">
                            <a:avLst/>
                          </a:prstGeom>
                        </pic:spPr>
                      </pic:pic>
                      <pic:pic>
                        <pic:nvPicPr>
                          <pic:cNvPr id="637" name="Image 637"/>
                          <pic:cNvPicPr/>
                        </pic:nvPicPr>
                        <pic:blipFill>
                          <a:blip r:embed="rId474" cstate="print"/>
                          <a:stretch>
                            <a:fillRect/>
                          </a:stretch>
                        </pic:blipFill>
                        <pic:spPr>
                          <a:xfrm>
                            <a:off x="5932512" y="5805474"/>
                            <a:ext cx="116357" cy="171793"/>
                          </a:xfrm>
                          <a:prstGeom prst="rect">
                            <a:avLst/>
                          </a:prstGeom>
                        </pic:spPr>
                      </pic:pic>
                      <pic:pic>
                        <pic:nvPicPr>
                          <pic:cNvPr id="638" name="Image 638"/>
                          <pic:cNvPicPr/>
                        </pic:nvPicPr>
                        <pic:blipFill>
                          <a:blip r:embed="rId475" cstate="print"/>
                          <a:stretch>
                            <a:fillRect/>
                          </a:stretch>
                        </pic:blipFill>
                        <pic:spPr>
                          <a:xfrm>
                            <a:off x="5796038" y="5805474"/>
                            <a:ext cx="116357" cy="171793"/>
                          </a:xfrm>
                          <a:prstGeom prst="rect">
                            <a:avLst/>
                          </a:prstGeom>
                        </pic:spPr>
                      </pic:pic>
                      <pic:pic>
                        <pic:nvPicPr>
                          <pic:cNvPr id="639" name="Image 639"/>
                          <pic:cNvPicPr/>
                        </pic:nvPicPr>
                        <pic:blipFill>
                          <a:blip r:embed="rId476" cstate="print"/>
                          <a:stretch>
                            <a:fillRect/>
                          </a:stretch>
                        </pic:blipFill>
                        <pic:spPr>
                          <a:xfrm>
                            <a:off x="5613844" y="5805474"/>
                            <a:ext cx="161962" cy="171793"/>
                          </a:xfrm>
                          <a:prstGeom prst="rect">
                            <a:avLst/>
                          </a:prstGeom>
                        </pic:spPr>
                      </pic:pic>
                      <pic:pic>
                        <pic:nvPicPr>
                          <pic:cNvPr id="640" name="Image 640"/>
                          <pic:cNvPicPr/>
                        </pic:nvPicPr>
                        <pic:blipFill>
                          <a:blip r:embed="rId477" cstate="print"/>
                          <a:stretch>
                            <a:fillRect/>
                          </a:stretch>
                        </pic:blipFill>
                        <pic:spPr>
                          <a:xfrm>
                            <a:off x="5451766" y="5805474"/>
                            <a:ext cx="142075" cy="171793"/>
                          </a:xfrm>
                          <a:prstGeom prst="rect">
                            <a:avLst/>
                          </a:prstGeom>
                        </pic:spPr>
                      </pic:pic>
                      <pic:pic>
                        <pic:nvPicPr>
                          <pic:cNvPr id="641" name="Image 641"/>
                          <pic:cNvPicPr/>
                        </pic:nvPicPr>
                        <pic:blipFill>
                          <a:blip r:embed="rId478" cstate="print"/>
                          <a:stretch>
                            <a:fillRect/>
                          </a:stretch>
                        </pic:blipFill>
                        <pic:spPr>
                          <a:xfrm>
                            <a:off x="5289575" y="5805474"/>
                            <a:ext cx="142075" cy="171793"/>
                          </a:xfrm>
                          <a:prstGeom prst="rect">
                            <a:avLst/>
                          </a:prstGeom>
                        </pic:spPr>
                      </pic:pic>
                      <pic:pic>
                        <pic:nvPicPr>
                          <pic:cNvPr id="642" name="Image 642"/>
                          <pic:cNvPicPr/>
                        </pic:nvPicPr>
                        <pic:blipFill>
                          <a:blip r:embed="rId479" cstate="print"/>
                          <a:stretch>
                            <a:fillRect/>
                          </a:stretch>
                        </pic:blipFill>
                        <pic:spPr>
                          <a:xfrm>
                            <a:off x="4874437" y="5805474"/>
                            <a:ext cx="116357" cy="171793"/>
                          </a:xfrm>
                          <a:prstGeom prst="rect">
                            <a:avLst/>
                          </a:prstGeom>
                        </pic:spPr>
                      </pic:pic>
                      <pic:pic>
                        <pic:nvPicPr>
                          <pic:cNvPr id="643" name="Image 643"/>
                          <pic:cNvPicPr/>
                        </pic:nvPicPr>
                        <pic:blipFill>
                          <a:blip r:embed="rId480" cstate="print"/>
                          <a:stretch>
                            <a:fillRect/>
                          </a:stretch>
                        </pic:blipFill>
                        <pic:spPr>
                          <a:xfrm>
                            <a:off x="4737963" y="5805474"/>
                            <a:ext cx="116357" cy="171793"/>
                          </a:xfrm>
                          <a:prstGeom prst="rect">
                            <a:avLst/>
                          </a:prstGeom>
                        </pic:spPr>
                      </pic:pic>
                      <pic:pic>
                        <pic:nvPicPr>
                          <pic:cNvPr id="644" name="Image 644"/>
                          <pic:cNvPicPr/>
                        </pic:nvPicPr>
                        <pic:blipFill>
                          <a:blip r:embed="rId481" cstate="print"/>
                          <a:stretch>
                            <a:fillRect/>
                          </a:stretch>
                        </pic:blipFill>
                        <pic:spPr>
                          <a:xfrm>
                            <a:off x="4555769" y="5805474"/>
                            <a:ext cx="161963" cy="171793"/>
                          </a:xfrm>
                          <a:prstGeom prst="rect">
                            <a:avLst/>
                          </a:prstGeom>
                        </pic:spPr>
                      </pic:pic>
                      <pic:pic>
                        <pic:nvPicPr>
                          <pic:cNvPr id="645" name="Image 645"/>
                          <pic:cNvPicPr/>
                        </pic:nvPicPr>
                        <pic:blipFill>
                          <a:blip r:embed="rId482" cstate="print"/>
                          <a:stretch>
                            <a:fillRect/>
                          </a:stretch>
                        </pic:blipFill>
                        <pic:spPr>
                          <a:xfrm>
                            <a:off x="4393577" y="5805474"/>
                            <a:ext cx="142189" cy="171793"/>
                          </a:xfrm>
                          <a:prstGeom prst="rect">
                            <a:avLst/>
                          </a:prstGeom>
                        </pic:spPr>
                      </pic:pic>
                      <pic:pic>
                        <pic:nvPicPr>
                          <pic:cNvPr id="646" name="Image 646"/>
                          <pic:cNvPicPr/>
                        </pic:nvPicPr>
                        <pic:blipFill>
                          <a:blip r:embed="rId483" cstate="print"/>
                          <a:stretch>
                            <a:fillRect/>
                          </a:stretch>
                        </pic:blipFill>
                        <pic:spPr>
                          <a:xfrm>
                            <a:off x="4231500" y="5805474"/>
                            <a:ext cx="142074" cy="171793"/>
                          </a:xfrm>
                          <a:prstGeom prst="rect">
                            <a:avLst/>
                          </a:prstGeom>
                        </pic:spPr>
                      </pic:pic>
                      <pic:pic>
                        <pic:nvPicPr>
                          <pic:cNvPr id="647" name="Image 647"/>
                          <pic:cNvPicPr/>
                        </pic:nvPicPr>
                        <pic:blipFill>
                          <a:blip r:embed="rId484" cstate="print"/>
                          <a:stretch>
                            <a:fillRect/>
                          </a:stretch>
                        </pic:blipFill>
                        <pic:spPr>
                          <a:xfrm>
                            <a:off x="3816362" y="5805474"/>
                            <a:ext cx="116357" cy="171793"/>
                          </a:xfrm>
                          <a:prstGeom prst="rect">
                            <a:avLst/>
                          </a:prstGeom>
                        </pic:spPr>
                      </pic:pic>
                      <pic:pic>
                        <pic:nvPicPr>
                          <pic:cNvPr id="648" name="Image 648"/>
                          <pic:cNvPicPr/>
                        </pic:nvPicPr>
                        <pic:blipFill>
                          <a:blip r:embed="rId485" cstate="print"/>
                          <a:stretch>
                            <a:fillRect/>
                          </a:stretch>
                        </pic:blipFill>
                        <pic:spPr>
                          <a:xfrm>
                            <a:off x="3679774" y="5805474"/>
                            <a:ext cx="116471" cy="171793"/>
                          </a:xfrm>
                          <a:prstGeom prst="rect">
                            <a:avLst/>
                          </a:prstGeom>
                        </pic:spPr>
                      </pic:pic>
                      <pic:pic>
                        <pic:nvPicPr>
                          <pic:cNvPr id="649" name="Image 649"/>
                          <pic:cNvPicPr/>
                        </pic:nvPicPr>
                        <pic:blipFill>
                          <a:blip r:embed="rId486" cstate="print"/>
                          <a:stretch>
                            <a:fillRect/>
                          </a:stretch>
                        </pic:blipFill>
                        <pic:spPr>
                          <a:xfrm>
                            <a:off x="3497694" y="5805474"/>
                            <a:ext cx="161963" cy="171793"/>
                          </a:xfrm>
                          <a:prstGeom prst="rect">
                            <a:avLst/>
                          </a:prstGeom>
                        </pic:spPr>
                      </pic:pic>
                      <pic:pic>
                        <pic:nvPicPr>
                          <pic:cNvPr id="650" name="Image 650"/>
                          <pic:cNvPicPr/>
                        </pic:nvPicPr>
                        <pic:blipFill>
                          <a:blip r:embed="rId478" cstate="print"/>
                          <a:stretch>
                            <a:fillRect/>
                          </a:stretch>
                        </pic:blipFill>
                        <pic:spPr>
                          <a:xfrm>
                            <a:off x="3335502" y="5805474"/>
                            <a:ext cx="142188" cy="171793"/>
                          </a:xfrm>
                          <a:prstGeom prst="rect">
                            <a:avLst/>
                          </a:prstGeom>
                        </pic:spPr>
                      </pic:pic>
                      <pic:pic>
                        <pic:nvPicPr>
                          <pic:cNvPr id="651" name="Image 651"/>
                          <pic:cNvPicPr/>
                        </pic:nvPicPr>
                        <pic:blipFill>
                          <a:blip r:embed="rId487" cstate="print"/>
                          <a:stretch>
                            <a:fillRect/>
                          </a:stretch>
                        </pic:blipFill>
                        <pic:spPr>
                          <a:xfrm>
                            <a:off x="3173425" y="5805474"/>
                            <a:ext cx="142074" cy="171793"/>
                          </a:xfrm>
                          <a:prstGeom prst="rect">
                            <a:avLst/>
                          </a:prstGeom>
                        </pic:spPr>
                      </pic:pic>
                      <pic:pic>
                        <pic:nvPicPr>
                          <pic:cNvPr id="652" name="Image 652"/>
                          <pic:cNvPicPr/>
                        </pic:nvPicPr>
                        <pic:blipFill>
                          <a:blip r:embed="rId480" cstate="print"/>
                          <a:stretch>
                            <a:fillRect/>
                          </a:stretch>
                        </pic:blipFill>
                        <pic:spPr>
                          <a:xfrm>
                            <a:off x="2758173" y="5805474"/>
                            <a:ext cx="116357" cy="171793"/>
                          </a:xfrm>
                          <a:prstGeom prst="rect">
                            <a:avLst/>
                          </a:prstGeom>
                        </pic:spPr>
                      </pic:pic>
                      <pic:pic>
                        <pic:nvPicPr>
                          <pic:cNvPr id="653" name="Image 653"/>
                          <pic:cNvPicPr/>
                        </pic:nvPicPr>
                        <pic:blipFill>
                          <a:blip r:embed="rId488" cstate="print"/>
                          <a:stretch>
                            <a:fillRect/>
                          </a:stretch>
                        </pic:blipFill>
                        <pic:spPr>
                          <a:xfrm>
                            <a:off x="2621699" y="5805474"/>
                            <a:ext cx="116357" cy="171793"/>
                          </a:xfrm>
                          <a:prstGeom prst="rect">
                            <a:avLst/>
                          </a:prstGeom>
                        </pic:spPr>
                      </pic:pic>
                      <pic:pic>
                        <pic:nvPicPr>
                          <pic:cNvPr id="654" name="Image 654"/>
                          <pic:cNvPicPr/>
                        </pic:nvPicPr>
                        <pic:blipFill>
                          <a:blip r:embed="rId489" cstate="print"/>
                          <a:stretch>
                            <a:fillRect/>
                          </a:stretch>
                        </pic:blipFill>
                        <pic:spPr>
                          <a:xfrm>
                            <a:off x="2439619" y="5805474"/>
                            <a:ext cx="161963" cy="171793"/>
                          </a:xfrm>
                          <a:prstGeom prst="rect">
                            <a:avLst/>
                          </a:prstGeom>
                        </pic:spPr>
                      </pic:pic>
                      <pic:pic>
                        <pic:nvPicPr>
                          <pic:cNvPr id="655" name="Image 655"/>
                          <pic:cNvPicPr/>
                        </pic:nvPicPr>
                        <pic:blipFill>
                          <a:blip r:embed="rId490" cstate="print"/>
                          <a:stretch>
                            <a:fillRect/>
                          </a:stretch>
                        </pic:blipFill>
                        <pic:spPr>
                          <a:xfrm>
                            <a:off x="2277427" y="5805474"/>
                            <a:ext cx="142074" cy="171793"/>
                          </a:xfrm>
                          <a:prstGeom prst="rect">
                            <a:avLst/>
                          </a:prstGeom>
                        </pic:spPr>
                      </pic:pic>
                      <pic:pic>
                        <pic:nvPicPr>
                          <pic:cNvPr id="656" name="Image 656"/>
                          <pic:cNvPicPr/>
                        </pic:nvPicPr>
                        <pic:blipFill>
                          <a:blip r:embed="rId477" cstate="print"/>
                          <a:stretch>
                            <a:fillRect/>
                          </a:stretch>
                        </pic:blipFill>
                        <pic:spPr>
                          <a:xfrm>
                            <a:off x="2115235" y="5805474"/>
                            <a:ext cx="142189" cy="171793"/>
                          </a:xfrm>
                          <a:prstGeom prst="rect">
                            <a:avLst/>
                          </a:prstGeom>
                        </pic:spPr>
                      </pic:pic>
                      <pic:pic>
                        <pic:nvPicPr>
                          <pic:cNvPr id="657" name="Image 657"/>
                          <pic:cNvPicPr/>
                        </pic:nvPicPr>
                        <pic:blipFill>
                          <a:blip r:embed="rId491" cstate="print"/>
                          <a:stretch>
                            <a:fillRect/>
                          </a:stretch>
                        </pic:blipFill>
                        <pic:spPr>
                          <a:xfrm>
                            <a:off x="1700098" y="5805474"/>
                            <a:ext cx="116357" cy="171793"/>
                          </a:xfrm>
                          <a:prstGeom prst="rect">
                            <a:avLst/>
                          </a:prstGeom>
                        </pic:spPr>
                      </pic:pic>
                      <pic:pic>
                        <pic:nvPicPr>
                          <pic:cNvPr id="658" name="Image 658"/>
                          <pic:cNvPicPr/>
                        </pic:nvPicPr>
                        <pic:blipFill>
                          <a:blip r:embed="rId479" cstate="print"/>
                          <a:stretch>
                            <a:fillRect/>
                          </a:stretch>
                        </pic:blipFill>
                        <pic:spPr>
                          <a:xfrm>
                            <a:off x="1563623" y="5805474"/>
                            <a:ext cx="116357" cy="171793"/>
                          </a:xfrm>
                          <a:prstGeom prst="rect">
                            <a:avLst/>
                          </a:prstGeom>
                        </pic:spPr>
                      </pic:pic>
                      <pic:pic>
                        <pic:nvPicPr>
                          <pic:cNvPr id="659" name="Image 659"/>
                          <pic:cNvPicPr/>
                        </pic:nvPicPr>
                        <pic:blipFill>
                          <a:blip r:embed="rId492" cstate="print"/>
                          <a:stretch>
                            <a:fillRect/>
                          </a:stretch>
                        </pic:blipFill>
                        <pic:spPr>
                          <a:xfrm>
                            <a:off x="1381544" y="5805474"/>
                            <a:ext cx="161848" cy="171793"/>
                          </a:xfrm>
                          <a:prstGeom prst="rect">
                            <a:avLst/>
                          </a:prstGeom>
                        </pic:spPr>
                      </pic:pic>
                      <pic:pic>
                        <pic:nvPicPr>
                          <pic:cNvPr id="660" name="Image 660"/>
                          <pic:cNvPicPr/>
                        </pic:nvPicPr>
                        <pic:blipFill>
                          <a:blip r:embed="rId487" cstate="print"/>
                          <a:stretch>
                            <a:fillRect/>
                          </a:stretch>
                        </pic:blipFill>
                        <pic:spPr>
                          <a:xfrm>
                            <a:off x="1219352" y="5805474"/>
                            <a:ext cx="142074" cy="171793"/>
                          </a:xfrm>
                          <a:prstGeom prst="rect">
                            <a:avLst/>
                          </a:prstGeom>
                        </pic:spPr>
                      </pic:pic>
                      <pic:pic>
                        <pic:nvPicPr>
                          <pic:cNvPr id="661" name="Image 661"/>
                          <pic:cNvPicPr/>
                        </pic:nvPicPr>
                        <pic:blipFill>
                          <a:blip r:embed="rId473" cstate="print"/>
                          <a:stretch>
                            <a:fillRect/>
                          </a:stretch>
                        </pic:blipFill>
                        <pic:spPr>
                          <a:xfrm>
                            <a:off x="1057160" y="5805474"/>
                            <a:ext cx="142189" cy="171793"/>
                          </a:xfrm>
                          <a:prstGeom prst="rect">
                            <a:avLst/>
                          </a:prstGeom>
                        </pic:spPr>
                      </pic:pic>
                      <pic:pic>
                        <pic:nvPicPr>
                          <pic:cNvPr id="662" name="Image 662"/>
                          <pic:cNvPicPr/>
                        </pic:nvPicPr>
                        <pic:blipFill>
                          <a:blip r:embed="rId493" cstate="print"/>
                          <a:stretch>
                            <a:fillRect/>
                          </a:stretch>
                        </pic:blipFill>
                        <pic:spPr>
                          <a:xfrm>
                            <a:off x="642023" y="5805474"/>
                            <a:ext cx="116357" cy="171793"/>
                          </a:xfrm>
                          <a:prstGeom prst="rect">
                            <a:avLst/>
                          </a:prstGeom>
                        </pic:spPr>
                      </pic:pic>
                      <pic:pic>
                        <pic:nvPicPr>
                          <pic:cNvPr id="663" name="Image 663"/>
                          <pic:cNvPicPr/>
                        </pic:nvPicPr>
                        <pic:blipFill>
                          <a:blip r:embed="rId494" cstate="print"/>
                          <a:stretch>
                            <a:fillRect/>
                          </a:stretch>
                        </pic:blipFill>
                        <pic:spPr>
                          <a:xfrm>
                            <a:off x="505548" y="5805474"/>
                            <a:ext cx="116357" cy="171793"/>
                          </a:xfrm>
                          <a:prstGeom prst="rect">
                            <a:avLst/>
                          </a:prstGeom>
                        </pic:spPr>
                      </pic:pic>
                      <pic:pic>
                        <pic:nvPicPr>
                          <pic:cNvPr id="664" name="Image 664"/>
                          <pic:cNvPicPr/>
                        </pic:nvPicPr>
                        <pic:blipFill>
                          <a:blip r:embed="rId495" cstate="print"/>
                          <a:stretch>
                            <a:fillRect/>
                          </a:stretch>
                        </pic:blipFill>
                        <pic:spPr>
                          <a:xfrm>
                            <a:off x="323468" y="5805474"/>
                            <a:ext cx="161848" cy="171793"/>
                          </a:xfrm>
                          <a:prstGeom prst="rect">
                            <a:avLst/>
                          </a:prstGeom>
                        </pic:spPr>
                      </pic:pic>
                      <pic:pic>
                        <pic:nvPicPr>
                          <pic:cNvPr id="665" name="Image 665"/>
                          <pic:cNvPicPr/>
                        </pic:nvPicPr>
                        <pic:blipFill>
                          <a:blip r:embed="rId496" cstate="print"/>
                          <a:stretch>
                            <a:fillRect/>
                          </a:stretch>
                        </pic:blipFill>
                        <pic:spPr>
                          <a:xfrm>
                            <a:off x="161277" y="5805474"/>
                            <a:ext cx="142074" cy="171793"/>
                          </a:xfrm>
                          <a:prstGeom prst="rect">
                            <a:avLst/>
                          </a:prstGeom>
                        </pic:spPr>
                      </pic:pic>
                      <pic:pic>
                        <pic:nvPicPr>
                          <pic:cNvPr id="666" name="Image 666"/>
                          <pic:cNvPicPr/>
                        </pic:nvPicPr>
                        <pic:blipFill>
                          <a:blip r:embed="rId497" cstate="print"/>
                          <a:stretch>
                            <a:fillRect/>
                          </a:stretch>
                        </pic:blipFill>
                        <pic:spPr>
                          <a:xfrm>
                            <a:off x="0" y="5805474"/>
                            <a:ext cx="141160" cy="171793"/>
                          </a:xfrm>
                          <a:prstGeom prst="rect">
                            <a:avLst/>
                          </a:prstGeom>
                        </pic:spPr>
                      </pic:pic>
                      <pic:pic>
                        <pic:nvPicPr>
                          <pic:cNvPr id="667" name="Image 667"/>
                          <pic:cNvPicPr/>
                        </pic:nvPicPr>
                        <pic:blipFill>
                          <a:blip r:embed="rId498" cstate="print"/>
                          <a:stretch>
                            <a:fillRect/>
                          </a:stretch>
                        </pic:blipFill>
                        <pic:spPr>
                          <a:xfrm>
                            <a:off x="6137566" y="6124828"/>
                            <a:ext cx="199568" cy="229743"/>
                          </a:xfrm>
                          <a:prstGeom prst="rect">
                            <a:avLst/>
                          </a:prstGeom>
                        </pic:spPr>
                      </pic:pic>
                      <pic:pic>
                        <pic:nvPicPr>
                          <pic:cNvPr id="668" name="Image 668"/>
                          <pic:cNvPicPr/>
                        </pic:nvPicPr>
                        <pic:blipFill>
                          <a:blip r:embed="rId499" cstate="print"/>
                          <a:stretch>
                            <a:fillRect/>
                          </a:stretch>
                        </pic:blipFill>
                        <pic:spPr>
                          <a:xfrm>
                            <a:off x="5079491" y="6124828"/>
                            <a:ext cx="199567" cy="229743"/>
                          </a:xfrm>
                          <a:prstGeom prst="rect">
                            <a:avLst/>
                          </a:prstGeom>
                        </pic:spPr>
                      </pic:pic>
                      <pic:pic>
                        <pic:nvPicPr>
                          <pic:cNvPr id="669" name="Image 669"/>
                          <pic:cNvPicPr/>
                        </pic:nvPicPr>
                        <pic:blipFill>
                          <a:blip r:embed="rId500" cstate="print"/>
                          <a:stretch>
                            <a:fillRect/>
                          </a:stretch>
                        </pic:blipFill>
                        <pic:spPr>
                          <a:xfrm>
                            <a:off x="4021416" y="6124828"/>
                            <a:ext cx="199453" cy="229743"/>
                          </a:xfrm>
                          <a:prstGeom prst="rect">
                            <a:avLst/>
                          </a:prstGeom>
                        </pic:spPr>
                      </pic:pic>
                      <pic:pic>
                        <pic:nvPicPr>
                          <pic:cNvPr id="670" name="Image 670"/>
                          <pic:cNvPicPr/>
                        </pic:nvPicPr>
                        <pic:blipFill>
                          <a:blip r:embed="rId501" cstate="print"/>
                          <a:stretch>
                            <a:fillRect/>
                          </a:stretch>
                        </pic:blipFill>
                        <pic:spPr>
                          <a:xfrm>
                            <a:off x="2963227" y="6124828"/>
                            <a:ext cx="199567" cy="229743"/>
                          </a:xfrm>
                          <a:prstGeom prst="rect">
                            <a:avLst/>
                          </a:prstGeom>
                        </pic:spPr>
                      </pic:pic>
                      <pic:pic>
                        <pic:nvPicPr>
                          <pic:cNvPr id="671" name="Image 671"/>
                          <pic:cNvPicPr/>
                        </pic:nvPicPr>
                        <pic:blipFill>
                          <a:blip r:embed="rId502" cstate="print"/>
                          <a:stretch>
                            <a:fillRect/>
                          </a:stretch>
                        </pic:blipFill>
                        <pic:spPr>
                          <a:xfrm>
                            <a:off x="1905152" y="6124828"/>
                            <a:ext cx="199567" cy="229743"/>
                          </a:xfrm>
                          <a:prstGeom prst="rect">
                            <a:avLst/>
                          </a:prstGeom>
                        </pic:spPr>
                      </pic:pic>
                      <pic:pic>
                        <pic:nvPicPr>
                          <pic:cNvPr id="672" name="Image 672"/>
                          <pic:cNvPicPr/>
                        </pic:nvPicPr>
                        <pic:blipFill>
                          <a:blip r:embed="rId503" cstate="print"/>
                          <a:stretch>
                            <a:fillRect/>
                          </a:stretch>
                        </pic:blipFill>
                        <pic:spPr>
                          <a:xfrm>
                            <a:off x="847077" y="6124828"/>
                            <a:ext cx="199567" cy="229743"/>
                          </a:xfrm>
                          <a:prstGeom prst="rect">
                            <a:avLst/>
                          </a:prstGeom>
                        </pic:spPr>
                      </pic:pic>
                      <pic:pic>
                        <pic:nvPicPr>
                          <pic:cNvPr id="673" name="Image 673"/>
                          <pic:cNvPicPr/>
                        </pic:nvPicPr>
                        <pic:blipFill>
                          <a:blip r:embed="rId504" cstate="print"/>
                          <a:stretch>
                            <a:fillRect/>
                          </a:stretch>
                        </pic:blipFill>
                        <pic:spPr>
                          <a:xfrm>
                            <a:off x="6990587" y="6185750"/>
                            <a:ext cx="116357" cy="171792"/>
                          </a:xfrm>
                          <a:prstGeom prst="rect">
                            <a:avLst/>
                          </a:prstGeom>
                        </pic:spPr>
                      </pic:pic>
                      <pic:pic>
                        <pic:nvPicPr>
                          <pic:cNvPr id="674" name="Image 674"/>
                          <pic:cNvPicPr/>
                        </pic:nvPicPr>
                        <pic:blipFill>
                          <a:blip r:embed="rId505" cstate="print"/>
                          <a:stretch>
                            <a:fillRect/>
                          </a:stretch>
                        </pic:blipFill>
                        <pic:spPr>
                          <a:xfrm>
                            <a:off x="6854113" y="6185750"/>
                            <a:ext cx="116357" cy="171792"/>
                          </a:xfrm>
                          <a:prstGeom prst="rect">
                            <a:avLst/>
                          </a:prstGeom>
                        </pic:spPr>
                      </pic:pic>
                      <pic:pic>
                        <pic:nvPicPr>
                          <pic:cNvPr id="675" name="Image 675"/>
                          <pic:cNvPicPr/>
                        </pic:nvPicPr>
                        <pic:blipFill>
                          <a:blip r:embed="rId506" cstate="print"/>
                          <a:stretch>
                            <a:fillRect/>
                          </a:stretch>
                        </pic:blipFill>
                        <pic:spPr>
                          <a:xfrm>
                            <a:off x="6672033" y="6185750"/>
                            <a:ext cx="161849" cy="171792"/>
                          </a:xfrm>
                          <a:prstGeom prst="rect">
                            <a:avLst/>
                          </a:prstGeom>
                        </pic:spPr>
                      </pic:pic>
                      <pic:pic>
                        <pic:nvPicPr>
                          <pic:cNvPr id="676" name="Image 676"/>
                          <pic:cNvPicPr/>
                        </pic:nvPicPr>
                        <pic:blipFill>
                          <a:blip r:embed="rId507" cstate="print"/>
                          <a:stretch>
                            <a:fillRect/>
                          </a:stretch>
                        </pic:blipFill>
                        <pic:spPr>
                          <a:xfrm>
                            <a:off x="6509842" y="6185750"/>
                            <a:ext cx="142075" cy="171792"/>
                          </a:xfrm>
                          <a:prstGeom prst="rect">
                            <a:avLst/>
                          </a:prstGeom>
                        </pic:spPr>
                      </pic:pic>
                      <pic:pic>
                        <pic:nvPicPr>
                          <pic:cNvPr id="677" name="Image 677"/>
                          <pic:cNvPicPr/>
                        </pic:nvPicPr>
                        <pic:blipFill>
                          <a:blip r:embed="rId508" cstate="print"/>
                          <a:stretch>
                            <a:fillRect/>
                          </a:stretch>
                        </pic:blipFill>
                        <pic:spPr>
                          <a:xfrm>
                            <a:off x="6347650" y="6185750"/>
                            <a:ext cx="142075" cy="171792"/>
                          </a:xfrm>
                          <a:prstGeom prst="rect">
                            <a:avLst/>
                          </a:prstGeom>
                        </pic:spPr>
                      </pic:pic>
                      <pic:pic>
                        <pic:nvPicPr>
                          <pic:cNvPr id="678" name="Image 678"/>
                          <pic:cNvPicPr/>
                        </pic:nvPicPr>
                        <pic:blipFill>
                          <a:blip r:embed="rId509" cstate="print"/>
                          <a:stretch>
                            <a:fillRect/>
                          </a:stretch>
                        </pic:blipFill>
                        <pic:spPr>
                          <a:xfrm>
                            <a:off x="5932512" y="6185750"/>
                            <a:ext cx="116357" cy="171792"/>
                          </a:xfrm>
                          <a:prstGeom prst="rect">
                            <a:avLst/>
                          </a:prstGeom>
                        </pic:spPr>
                      </pic:pic>
                      <pic:pic>
                        <pic:nvPicPr>
                          <pic:cNvPr id="679" name="Image 679"/>
                          <pic:cNvPicPr/>
                        </pic:nvPicPr>
                        <pic:blipFill>
                          <a:blip r:embed="rId510" cstate="print"/>
                          <a:stretch>
                            <a:fillRect/>
                          </a:stretch>
                        </pic:blipFill>
                        <pic:spPr>
                          <a:xfrm>
                            <a:off x="5796038" y="6185750"/>
                            <a:ext cx="116357" cy="171792"/>
                          </a:xfrm>
                          <a:prstGeom prst="rect">
                            <a:avLst/>
                          </a:prstGeom>
                        </pic:spPr>
                      </pic:pic>
                      <pic:pic>
                        <pic:nvPicPr>
                          <pic:cNvPr id="680" name="Image 680"/>
                          <pic:cNvPicPr/>
                        </pic:nvPicPr>
                        <pic:blipFill>
                          <a:blip r:embed="rId511" cstate="print"/>
                          <a:stretch>
                            <a:fillRect/>
                          </a:stretch>
                        </pic:blipFill>
                        <pic:spPr>
                          <a:xfrm>
                            <a:off x="5613844" y="6185750"/>
                            <a:ext cx="161962" cy="171792"/>
                          </a:xfrm>
                          <a:prstGeom prst="rect">
                            <a:avLst/>
                          </a:prstGeom>
                        </pic:spPr>
                      </pic:pic>
                      <pic:pic>
                        <pic:nvPicPr>
                          <pic:cNvPr id="681" name="Image 681"/>
                          <pic:cNvPicPr/>
                        </pic:nvPicPr>
                        <pic:blipFill>
                          <a:blip r:embed="rId512" cstate="print"/>
                          <a:stretch>
                            <a:fillRect/>
                          </a:stretch>
                        </pic:blipFill>
                        <pic:spPr>
                          <a:xfrm>
                            <a:off x="5451766" y="6185750"/>
                            <a:ext cx="142075" cy="171792"/>
                          </a:xfrm>
                          <a:prstGeom prst="rect">
                            <a:avLst/>
                          </a:prstGeom>
                        </pic:spPr>
                      </pic:pic>
                      <pic:pic>
                        <pic:nvPicPr>
                          <pic:cNvPr id="682" name="Image 682"/>
                          <pic:cNvPicPr/>
                        </pic:nvPicPr>
                        <pic:blipFill>
                          <a:blip r:embed="rId513" cstate="print"/>
                          <a:stretch>
                            <a:fillRect/>
                          </a:stretch>
                        </pic:blipFill>
                        <pic:spPr>
                          <a:xfrm>
                            <a:off x="5289575" y="6185750"/>
                            <a:ext cx="142075" cy="171792"/>
                          </a:xfrm>
                          <a:prstGeom prst="rect">
                            <a:avLst/>
                          </a:prstGeom>
                        </pic:spPr>
                      </pic:pic>
                      <pic:pic>
                        <pic:nvPicPr>
                          <pic:cNvPr id="683" name="Image 683"/>
                          <pic:cNvPicPr/>
                        </pic:nvPicPr>
                        <pic:blipFill>
                          <a:blip r:embed="rId514" cstate="print"/>
                          <a:stretch>
                            <a:fillRect/>
                          </a:stretch>
                        </pic:blipFill>
                        <pic:spPr>
                          <a:xfrm>
                            <a:off x="4874437" y="6185750"/>
                            <a:ext cx="116357" cy="171792"/>
                          </a:xfrm>
                          <a:prstGeom prst="rect">
                            <a:avLst/>
                          </a:prstGeom>
                        </pic:spPr>
                      </pic:pic>
                      <pic:pic>
                        <pic:nvPicPr>
                          <pic:cNvPr id="684" name="Image 684"/>
                          <pic:cNvPicPr/>
                        </pic:nvPicPr>
                        <pic:blipFill>
                          <a:blip r:embed="rId515" cstate="print"/>
                          <a:stretch>
                            <a:fillRect/>
                          </a:stretch>
                        </pic:blipFill>
                        <pic:spPr>
                          <a:xfrm>
                            <a:off x="4737963" y="6185750"/>
                            <a:ext cx="116357" cy="171792"/>
                          </a:xfrm>
                          <a:prstGeom prst="rect">
                            <a:avLst/>
                          </a:prstGeom>
                        </pic:spPr>
                      </pic:pic>
                      <pic:pic>
                        <pic:nvPicPr>
                          <pic:cNvPr id="685" name="Image 685"/>
                          <pic:cNvPicPr/>
                        </pic:nvPicPr>
                        <pic:blipFill>
                          <a:blip r:embed="rId516" cstate="print"/>
                          <a:stretch>
                            <a:fillRect/>
                          </a:stretch>
                        </pic:blipFill>
                        <pic:spPr>
                          <a:xfrm>
                            <a:off x="4555769" y="6185750"/>
                            <a:ext cx="161963" cy="171792"/>
                          </a:xfrm>
                          <a:prstGeom prst="rect">
                            <a:avLst/>
                          </a:prstGeom>
                        </pic:spPr>
                      </pic:pic>
                      <pic:pic>
                        <pic:nvPicPr>
                          <pic:cNvPr id="686" name="Image 686"/>
                          <pic:cNvPicPr/>
                        </pic:nvPicPr>
                        <pic:blipFill>
                          <a:blip r:embed="rId517" cstate="print"/>
                          <a:stretch>
                            <a:fillRect/>
                          </a:stretch>
                        </pic:blipFill>
                        <pic:spPr>
                          <a:xfrm>
                            <a:off x="4393577" y="6185750"/>
                            <a:ext cx="142189" cy="171792"/>
                          </a:xfrm>
                          <a:prstGeom prst="rect">
                            <a:avLst/>
                          </a:prstGeom>
                        </pic:spPr>
                      </pic:pic>
                      <pic:pic>
                        <pic:nvPicPr>
                          <pic:cNvPr id="687" name="Image 687"/>
                          <pic:cNvPicPr/>
                        </pic:nvPicPr>
                        <pic:blipFill>
                          <a:blip r:embed="rId518" cstate="print"/>
                          <a:stretch>
                            <a:fillRect/>
                          </a:stretch>
                        </pic:blipFill>
                        <pic:spPr>
                          <a:xfrm>
                            <a:off x="4231500" y="6185750"/>
                            <a:ext cx="142074" cy="171792"/>
                          </a:xfrm>
                          <a:prstGeom prst="rect">
                            <a:avLst/>
                          </a:prstGeom>
                        </pic:spPr>
                      </pic:pic>
                      <pic:pic>
                        <pic:nvPicPr>
                          <pic:cNvPr id="688" name="Image 688"/>
                          <pic:cNvPicPr/>
                        </pic:nvPicPr>
                        <pic:blipFill>
                          <a:blip r:embed="rId519" cstate="print"/>
                          <a:stretch>
                            <a:fillRect/>
                          </a:stretch>
                        </pic:blipFill>
                        <pic:spPr>
                          <a:xfrm>
                            <a:off x="3816362" y="6185750"/>
                            <a:ext cx="116357" cy="171792"/>
                          </a:xfrm>
                          <a:prstGeom prst="rect">
                            <a:avLst/>
                          </a:prstGeom>
                        </pic:spPr>
                      </pic:pic>
                      <pic:pic>
                        <pic:nvPicPr>
                          <pic:cNvPr id="689" name="Image 689"/>
                          <pic:cNvPicPr/>
                        </pic:nvPicPr>
                        <pic:blipFill>
                          <a:blip r:embed="rId520" cstate="print"/>
                          <a:stretch>
                            <a:fillRect/>
                          </a:stretch>
                        </pic:blipFill>
                        <pic:spPr>
                          <a:xfrm>
                            <a:off x="3679774" y="6185750"/>
                            <a:ext cx="116471" cy="171792"/>
                          </a:xfrm>
                          <a:prstGeom prst="rect">
                            <a:avLst/>
                          </a:prstGeom>
                        </pic:spPr>
                      </pic:pic>
                      <pic:pic>
                        <pic:nvPicPr>
                          <pic:cNvPr id="690" name="Image 690"/>
                          <pic:cNvPicPr/>
                        </pic:nvPicPr>
                        <pic:blipFill>
                          <a:blip r:embed="rId521" cstate="print"/>
                          <a:stretch>
                            <a:fillRect/>
                          </a:stretch>
                        </pic:blipFill>
                        <pic:spPr>
                          <a:xfrm>
                            <a:off x="3497694" y="6185750"/>
                            <a:ext cx="161963" cy="171792"/>
                          </a:xfrm>
                          <a:prstGeom prst="rect">
                            <a:avLst/>
                          </a:prstGeom>
                        </pic:spPr>
                      </pic:pic>
                      <pic:pic>
                        <pic:nvPicPr>
                          <pic:cNvPr id="691" name="Image 691"/>
                          <pic:cNvPicPr/>
                        </pic:nvPicPr>
                        <pic:blipFill>
                          <a:blip r:embed="rId513" cstate="print"/>
                          <a:stretch>
                            <a:fillRect/>
                          </a:stretch>
                        </pic:blipFill>
                        <pic:spPr>
                          <a:xfrm>
                            <a:off x="3335502" y="6185750"/>
                            <a:ext cx="142188" cy="171792"/>
                          </a:xfrm>
                          <a:prstGeom prst="rect">
                            <a:avLst/>
                          </a:prstGeom>
                        </pic:spPr>
                      </pic:pic>
                      <pic:pic>
                        <pic:nvPicPr>
                          <pic:cNvPr id="692" name="Image 692"/>
                          <pic:cNvPicPr/>
                        </pic:nvPicPr>
                        <pic:blipFill>
                          <a:blip r:embed="rId522" cstate="print"/>
                          <a:stretch>
                            <a:fillRect/>
                          </a:stretch>
                        </pic:blipFill>
                        <pic:spPr>
                          <a:xfrm>
                            <a:off x="3173425" y="6185750"/>
                            <a:ext cx="142074" cy="171792"/>
                          </a:xfrm>
                          <a:prstGeom prst="rect">
                            <a:avLst/>
                          </a:prstGeom>
                        </pic:spPr>
                      </pic:pic>
                      <pic:pic>
                        <pic:nvPicPr>
                          <pic:cNvPr id="693" name="Image 693"/>
                          <pic:cNvPicPr/>
                        </pic:nvPicPr>
                        <pic:blipFill>
                          <a:blip r:embed="rId515" cstate="print"/>
                          <a:stretch>
                            <a:fillRect/>
                          </a:stretch>
                        </pic:blipFill>
                        <pic:spPr>
                          <a:xfrm>
                            <a:off x="2758173" y="6185750"/>
                            <a:ext cx="116357" cy="171792"/>
                          </a:xfrm>
                          <a:prstGeom prst="rect">
                            <a:avLst/>
                          </a:prstGeom>
                        </pic:spPr>
                      </pic:pic>
                      <pic:pic>
                        <pic:nvPicPr>
                          <pic:cNvPr id="694" name="Image 694"/>
                          <pic:cNvPicPr/>
                        </pic:nvPicPr>
                        <pic:blipFill>
                          <a:blip r:embed="rId523" cstate="print"/>
                          <a:stretch>
                            <a:fillRect/>
                          </a:stretch>
                        </pic:blipFill>
                        <pic:spPr>
                          <a:xfrm>
                            <a:off x="2621699" y="6185750"/>
                            <a:ext cx="116357" cy="171792"/>
                          </a:xfrm>
                          <a:prstGeom prst="rect">
                            <a:avLst/>
                          </a:prstGeom>
                        </pic:spPr>
                      </pic:pic>
                      <pic:pic>
                        <pic:nvPicPr>
                          <pic:cNvPr id="695" name="Image 695"/>
                          <pic:cNvPicPr/>
                        </pic:nvPicPr>
                        <pic:blipFill>
                          <a:blip r:embed="rId524" cstate="print"/>
                          <a:stretch>
                            <a:fillRect/>
                          </a:stretch>
                        </pic:blipFill>
                        <pic:spPr>
                          <a:xfrm>
                            <a:off x="2439619" y="6185750"/>
                            <a:ext cx="161963" cy="171792"/>
                          </a:xfrm>
                          <a:prstGeom prst="rect">
                            <a:avLst/>
                          </a:prstGeom>
                        </pic:spPr>
                      </pic:pic>
                      <pic:pic>
                        <pic:nvPicPr>
                          <pic:cNvPr id="696" name="Image 696"/>
                          <pic:cNvPicPr/>
                        </pic:nvPicPr>
                        <pic:blipFill>
                          <a:blip r:embed="rId525" cstate="print"/>
                          <a:stretch>
                            <a:fillRect/>
                          </a:stretch>
                        </pic:blipFill>
                        <pic:spPr>
                          <a:xfrm>
                            <a:off x="2277427" y="6185750"/>
                            <a:ext cx="142074" cy="171792"/>
                          </a:xfrm>
                          <a:prstGeom prst="rect">
                            <a:avLst/>
                          </a:prstGeom>
                        </pic:spPr>
                      </pic:pic>
                      <pic:pic>
                        <pic:nvPicPr>
                          <pic:cNvPr id="697" name="Image 697"/>
                          <pic:cNvPicPr/>
                        </pic:nvPicPr>
                        <pic:blipFill>
                          <a:blip r:embed="rId512" cstate="print"/>
                          <a:stretch>
                            <a:fillRect/>
                          </a:stretch>
                        </pic:blipFill>
                        <pic:spPr>
                          <a:xfrm>
                            <a:off x="2115235" y="6185750"/>
                            <a:ext cx="142189" cy="171792"/>
                          </a:xfrm>
                          <a:prstGeom prst="rect">
                            <a:avLst/>
                          </a:prstGeom>
                        </pic:spPr>
                      </pic:pic>
                      <pic:pic>
                        <pic:nvPicPr>
                          <pic:cNvPr id="698" name="Image 698"/>
                          <pic:cNvPicPr/>
                        </pic:nvPicPr>
                        <pic:blipFill>
                          <a:blip r:embed="rId526" cstate="print"/>
                          <a:stretch>
                            <a:fillRect/>
                          </a:stretch>
                        </pic:blipFill>
                        <pic:spPr>
                          <a:xfrm>
                            <a:off x="1700098" y="6185750"/>
                            <a:ext cx="116357" cy="171792"/>
                          </a:xfrm>
                          <a:prstGeom prst="rect">
                            <a:avLst/>
                          </a:prstGeom>
                        </pic:spPr>
                      </pic:pic>
                      <pic:pic>
                        <pic:nvPicPr>
                          <pic:cNvPr id="699" name="Image 699"/>
                          <pic:cNvPicPr/>
                        </pic:nvPicPr>
                        <pic:blipFill>
                          <a:blip r:embed="rId514" cstate="print"/>
                          <a:stretch>
                            <a:fillRect/>
                          </a:stretch>
                        </pic:blipFill>
                        <pic:spPr>
                          <a:xfrm>
                            <a:off x="1563623" y="6185750"/>
                            <a:ext cx="116357" cy="171792"/>
                          </a:xfrm>
                          <a:prstGeom prst="rect">
                            <a:avLst/>
                          </a:prstGeom>
                        </pic:spPr>
                      </pic:pic>
                      <pic:pic>
                        <pic:nvPicPr>
                          <pic:cNvPr id="700" name="Image 700"/>
                          <pic:cNvPicPr/>
                        </pic:nvPicPr>
                        <pic:blipFill>
                          <a:blip r:embed="rId527" cstate="print"/>
                          <a:stretch>
                            <a:fillRect/>
                          </a:stretch>
                        </pic:blipFill>
                        <pic:spPr>
                          <a:xfrm>
                            <a:off x="1381544" y="6185750"/>
                            <a:ext cx="161848" cy="171792"/>
                          </a:xfrm>
                          <a:prstGeom prst="rect">
                            <a:avLst/>
                          </a:prstGeom>
                        </pic:spPr>
                      </pic:pic>
                      <pic:pic>
                        <pic:nvPicPr>
                          <pic:cNvPr id="701" name="Image 701"/>
                          <pic:cNvPicPr/>
                        </pic:nvPicPr>
                        <pic:blipFill>
                          <a:blip r:embed="rId528" cstate="print"/>
                          <a:stretch>
                            <a:fillRect/>
                          </a:stretch>
                        </pic:blipFill>
                        <pic:spPr>
                          <a:xfrm>
                            <a:off x="1219352" y="6185750"/>
                            <a:ext cx="142074" cy="171792"/>
                          </a:xfrm>
                          <a:prstGeom prst="rect">
                            <a:avLst/>
                          </a:prstGeom>
                        </pic:spPr>
                      </pic:pic>
                      <pic:pic>
                        <pic:nvPicPr>
                          <pic:cNvPr id="702" name="Image 702"/>
                          <pic:cNvPicPr/>
                        </pic:nvPicPr>
                        <pic:blipFill>
                          <a:blip r:embed="rId508" cstate="print"/>
                          <a:stretch>
                            <a:fillRect/>
                          </a:stretch>
                        </pic:blipFill>
                        <pic:spPr>
                          <a:xfrm>
                            <a:off x="1057160" y="6185750"/>
                            <a:ext cx="142189" cy="171792"/>
                          </a:xfrm>
                          <a:prstGeom prst="rect">
                            <a:avLst/>
                          </a:prstGeom>
                        </pic:spPr>
                      </pic:pic>
                      <pic:pic>
                        <pic:nvPicPr>
                          <pic:cNvPr id="703" name="Image 703"/>
                          <pic:cNvPicPr/>
                        </pic:nvPicPr>
                        <pic:blipFill>
                          <a:blip r:embed="rId529" cstate="print"/>
                          <a:stretch>
                            <a:fillRect/>
                          </a:stretch>
                        </pic:blipFill>
                        <pic:spPr>
                          <a:xfrm>
                            <a:off x="642023" y="6185750"/>
                            <a:ext cx="116357" cy="171792"/>
                          </a:xfrm>
                          <a:prstGeom prst="rect">
                            <a:avLst/>
                          </a:prstGeom>
                        </pic:spPr>
                      </pic:pic>
                      <pic:pic>
                        <pic:nvPicPr>
                          <pic:cNvPr id="704" name="Image 704"/>
                          <pic:cNvPicPr/>
                        </pic:nvPicPr>
                        <pic:blipFill>
                          <a:blip r:embed="rId530" cstate="print"/>
                          <a:stretch>
                            <a:fillRect/>
                          </a:stretch>
                        </pic:blipFill>
                        <pic:spPr>
                          <a:xfrm>
                            <a:off x="505548" y="6185750"/>
                            <a:ext cx="116357" cy="171792"/>
                          </a:xfrm>
                          <a:prstGeom prst="rect">
                            <a:avLst/>
                          </a:prstGeom>
                        </pic:spPr>
                      </pic:pic>
                      <pic:pic>
                        <pic:nvPicPr>
                          <pic:cNvPr id="705" name="Image 705"/>
                          <pic:cNvPicPr/>
                        </pic:nvPicPr>
                        <pic:blipFill>
                          <a:blip r:embed="rId531" cstate="print"/>
                          <a:stretch>
                            <a:fillRect/>
                          </a:stretch>
                        </pic:blipFill>
                        <pic:spPr>
                          <a:xfrm>
                            <a:off x="323468" y="6185750"/>
                            <a:ext cx="161848" cy="171792"/>
                          </a:xfrm>
                          <a:prstGeom prst="rect">
                            <a:avLst/>
                          </a:prstGeom>
                        </pic:spPr>
                      </pic:pic>
                      <pic:pic>
                        <pic:nvPicPr>
                          <pic:cNvPr id="706" name="Image 706"/>
                          <pic:cNvPicPr/>
                        </pic:nvPicPr>
                        <pic:blipFill>
                          <a:blip r:embed="rId532" cstate="print"/>
                          <a:stretch>
                            <a:fillRect/>
                          </a:stretch>
                        </pic:blipFill>
                        <pic:spPr>
                          <a:xfrm>
                            <a:off x="34422" y="6185750"/>
                            <a:ext cx="268929" cy="167306"/>
                          </a:xfrm>
                          <a:prstGeom prst="rect">
                            <a:avLst/>
                          </a:prstGeom>
                        </pic:spPr>
                      </pic:pic>
                      <pic:pic>
                        <pic:nvPicPr>
                          <pic:cNvPr id="707" name="Image 707"/>
                          <pic:cNvPicPr/>
                        </pic:nvPicPr>
                        <pic:blipFill>
                          <a:blip r:embed="rId533" cstate="print"/>
                          <a:stretch>
                            <a:fillRect/>
                          </a:stretch>
                        </pic:blipFill>
                        <pic:spPr>
                          <a:xfrm>
                            <a:off x="7195642" y="6273280"/>
                            <a:ext cx="313062" cy="84262"/>
                          </a:xfrm>
                          <a:prstGeom prst="rect">
                            <a:avLst/>
                          </a:prstGeom>
                        </pic:spPr>
                      </pic:pic>
                      <pic:pic>
                        <pic:nvPicPr>
                          <pic:cNvPr id="708" name="Image 708"/>
                          <pic:cNvPicPr/>
                        </pic:nvPicPr>
                        <pic:blipFill>
                          <a:blip r:embed="rId534" cstate="print"/>
                          <a:stretch>
                            <a:fillRect/>
                          </a:stretch>
                        </pic:blipFill>
                        <pic:spPr>
                          <a:xfrm>
                            <a:off x="7195642" y="6505105"/>
                            <a:ext cx="199567" cy="229742"/>
                          </a:xfrm>
                          <a:prstGeom prst="rect">
                            <a:avLst/>
                          </a:prstGeom>
                        </pic:spPr>
                      </pic:pic>
                      <pic:pic>
                        <pic:nvPicPr>
                          <pic:cNvPr id="709" name="Image 709"/>
                          <pic:cNvPicPr/>
                        </pic:nvPicPr>
                        <pic:blipFill>
                          <a:blip r:embed="rId535" cstate="print"/>
                          <a:stretch>
                            <a:fillRect/>
                          </a:stretch>
                        </pic:blipFill>
                        <pic:spPr>
                          <a:xfrm>
                            <a:off x="6137566" y="6505105"/>
                            <a:ext cx="199568" cy="229742"/>
                          </a:xfrm>
                          <a:prstGeom prst="rect">
                            <a:avLst/>
                          </a:prstGeom>
                        </pic:spPr>
                      </pic:pic>
                      <pic:pic>
                        <pic:nvPicPr>
                          <pic:cNvPr id="710" name="Image 710"/>
                          <pic:cNvPicPr/>
                        </pic:nvPicPr>
                        <pic:blipFill>
                          <a:blip r:embed="rId536" cstate="print"/>
                          <a:stretch>
                            <a:fillRect/>
                          </a:stretch>
                        </pic:blipFill>
                        <pic:spPr>
                          <a:xfrm>
                            <a:off x="5079491" y="6505105"/>
                            <a:ext cx="199567" cy="229742"/>
                          </a:xfrm>
                          <a:prstGeom prst="rect">
                            <a:avLst/>
                          </a:prstGeom>
                        </pic:spPr>
                      </pic:pic>
                      <pic:pic>
                        <pic:nvPicPr>
                          <pic:cNvPr id="711" name="Image 711"/>
                          <pic:cNvPicPr/>
                        </pic:nvPicPr>
                        <pic:blipFill>
                          <a:blip r:embed="rId537" cstate="print"/>
                          <a:stretch>
                            <a:fillRect/>
                          </a:stretch>
                        </pic:blipFill>
                        <pic:spPr>
                          <a:xfrm>
                            <a:off x="4021416" y="6505105"/>
                            <a:ext cx="199453" cy="229742"/>
                          </a:xfrm>
                          <a:prstGeom prst="rect">
                            <a:avLst/>
                          </a:prstGeom>
                        </pic:spPr>
                      </pic:pic>
                      <pic:pic>
                        <pic:nvPicPr>
                          <pic:cNvPr id="712" name="Image 712"/>
                          <pic:cNvPicPr/>
                        </pic:nvPicPr>
                        <pic:blipFill>
                          <a:blip r:embed="rId538" cstate="print"/>
                          <a:stretch>
                            <a:fillRect/>
                          </a:stretch>
                        </pic:blipFill>
                        <pic:spPr>
                          <a:xfrm>
                            <a:off x="2963227" y="6505105"/>
                            <a:ext cx="199567" cy="229742"/>
                          </a:xfrm>
                          <a:prstGeom prst="rect">
                            <a:avLst/>
                          </a:prstGeom>
                        </pic:spPr>
                      </pic:pic>
                      <pic:pic>
                        <pic:nvPicPr>
                          <pic:cNvPr id="713" name="Image 713"/>
                          <pic:cNvPicPr/>
                        </pic:nvPicPr>
                        <pic:blipFill>
                          <a:blip r:embed="rId539" cstate="print"/>
                          <a:stretch>
                            <a:fillRect/>
                          </a:stretch>
                        </pic:blipFill>
                        <pic:spPr>
                          <a:xfrm>
                            <a:off x="1905152" y="6505105"/>
                            <a:ext cx="199567" cy="229742"/>
                          </a:xfrm>
                          <a:prstGeom prst="rect">
                            <a:avLst/>
                          </a:prstGeom>
                        </pic:spPr>
                      </pic:pic>
                      <pic:pic>
                        <pic:nvPicPr>
                          <pic:cNvPr id="714" name="Image 714"/>
                          <pic:cNvPicPr/>
                        </pic:nvPicPr>
                        <pic:blipFill>
                          <a:blip r:embed="rId540" cstate="print"/>
                          <a:stretch>
                            <a:fillRect/>
                          </a:stretch>
                        </pic:blipFill>
                        <pic:spPr>
                          <a:xfrm>
                            <a:off x="847077" y="6505105"/>
                            <a:ext cx="199567" cy="229742"/>
                          </a:xfrm>
                          <a:prstGeom prst="rect">
                            <a:avLst/>
                          </a:prstGeom>
                        </pic:spPr>
                      </pic:pic>
                      <pic:pic>
                        <pic:nvPicPr>
                          <pic:cNvPr id="715" name="Image 715"/>
                          <pic:cNvPicPr/>
                        </pic:nvPicPr>
                        <pic:blipFill>
                          <a:blip r:embed="rId541" cstate="print"/>
                          <a:stretch>
                            <a:fillRect/>
                          </a:stretch>
                        </pic:blipFill>
                        <pic:spPr>
                          <a:xfrm>
                            <a:off x="7405724" y="6566027"/>
                            <a:ext cx="142189" cy="171793"/>
                          </a:xfrm>
                          <a:prstGeom prst="rect">
                            <a:avLst/>
                          </a:prstGeom>
                        </pic:spPr>
                      </pic:pic>
                      <pic:pic>
                        <pic:nvPicPr>
                          <pic:cNvPr id="716" name="Image 716"/>
                          <pic:cNvPicPr/>
                        </pic:nvPicPr>
                        <pic:blipFill>
                          <a:blip r:embed="rId542" cstate="print"/>
                          <a:stretch>
                            <a:fillRect/>
                          </a:stretch>
                        </pic:blipFill>
                        <pic:spPr>
                          <a:xfrm>
                            <a:off x="6990587" y="6566027"/>
                            <a:ext cx="116357" cy="171793"/>
                          </a:xfrm>
                          <a:prstGeom prst="rect">
                            <a:avLst/>
                          </a:prstGeom>
                        </pic:spPr>
                      </pic:pic>
                      <pic:pic>
                        <pic:nvPicPr>
                          <pic:cNvPr id="717" name="Image 717"/>
                          <pic:cNvPicPr/>
                        </pic:nvPicPr>
                        <pic:blipFill>
                          <a:blip r:embed="rId543" cstate="print"/>
                          <a:stretch>
                            <a:fillRect/>
                          </a:stretch>
                        </pic:blipFill>
                        <pic:spPr>
                          <a:xfrm>
                            <a:off x="6854113" y="6566027"/>
                            <a:ext cx="116357" cy="171793"/>
                          </a:xfrm>
                          <a:prstGeom prst="rect">
                            <a:avLst/>
                          </a:prstGeom>
                        </pic:spPr>
                      </pic:pic>
                      <pic:pic>
                        <pic:nvPicPr>
                          <pic:cNvPr id="718" name="Image 718"/>
                          <pic:cNvPicPr/>
                        </pic:nvPicPr>
                        <pic:blipFill>
                          <a:blip r:embed="rId544" cstate="print"/>
                          <a:stretch>
                            <a:fillRect/>
                          </a:stretch>
                        </pic:blipFill>
                        <pic:spPr>
                          <a:xfrm>
                            <a:off x="6672033" y="6566027"/>
                            <a:ext cx="161849" cy="171793"/>
                          </a:xfrm>
                          <a:prstGeom prst="rect">
                            <a:avLst/>
                          </a:prstGeom>
                        </pic:spPr>
                      </pic:pic>
                      <pic:pic>
                        <pic:nvPicPr>
                          <pic:cNvPr id="719" name="Image 719"/>
                          <pic:cNvPicPr/>
                        </pic:nvPicPr>
                        <pic:blipFill>
                          <a:blip r:embed="rId545" cstate="print"/>
                          <a:stretch>
                            <a:fillRect/>
                          </a:stretch>
                        </pic:blipFill>
                        <pic:spPr>
                          <a:xfrm>
                            <a:off x="6509842" y="6566027"/>
                            <a:ext cx="142075" cy="171793"/>
                          </a:xfrm>
                          <a:prstGeom prst="rect">
                            <a:avLst/>
                          </a:prstGeom>
                        </pic:spPr>
                      </pic:pic>
                      <pic:pic>
                        <pic:nvPicPr>
                          <pic:cNvPr id="720" name="Image 720"/>
                          <pic:cNvPicPr/>
                        </pic:nvPicPr>
                        <pic:blipFill>
                          <a:blip r:embed="rId546" cstate="print"/>
                          <a:stretch>
                            <a:fillRect/>
                          </a:stretch>
                        </pic:blipFill>
                        <pic:spPr>
                          <a:xfrm>
                            <a:off x="6347650" y="6566027"/>
                            <a:ext cx="142075" cy="171793"/>
                          </a:xfrm>
                          <a:prstGeom prst="rect">
                            <a:avLst/>
                          </a:prstGeom>
                        </pic:spPr>
                      </pic:pic>
                      <pic:pic>
                        <pic:nvPicPr>
                          <pic:cNvPr id="721" name="Image 721"/>
                          <pic:cNvPicPr/>
                        </pic:nvPicPr>
                        <pic:blipFill>
                          <a:blip r:embed="rId547" cstate="print"/>
                          <a:stretch>
                            <a:fillRect/>
                          </a:stretch>
                        </pic:blipFill>
                        <pic:spPr>
                          <a:xfrm>
                            <a:off x="5932512" y="6566027"/>
                            <a:ext cx="116357" cy="171793"/>
                          </a:xfrm>
                          <a:prstGeom prst="rect">
                            <a:avLst/>
                          </a:prstGeom>
                        </pic:spPr>
                      </pic:pic>
                      <pic:pic>
                        <pic:nvPicPr>
                          <pic:cNvPr id="722" name="Image 722"/>
                          <pic:cNvPicPr/>
                        </pic:nvPicPr>
                        <pic:blipFill>
                          <a:blip r:embed="rId548" cstate="print"/>
                          <a:stretch>
                            <a:fillRect/>
                          </a:stretch>
                        </pic:blipFill>
                        <pic:spPr>
                          <a:xfrm>
                            <a:off x="5796038" y="6566027"/>
                            <a:ext cx="116357" cy="171793"/>
                          </a:xfrm>
                          <a:prstGeom prst="rect">
                            <a:avLst/>
                          </a:prstGeom>
                        </pic:spPr>
                      </pic:pic>
                      <pic:pic>
                        <pic:nvPicPr>
                          <pic:cNvPr id="723" name="Image 723"/>
                          <pic:cNvPicPr/>
                        </pic:nvPicPr>
                        <pic:blipFill>
                          <a:blip r:embed="rId549" cstate="print"/>
                          <a:stretch>
                            <a:fillRect/>
                          </a:stretch>
                        </pic:blipFill>
                        <pic:spPr>
                          <a:xfrm>
                            <a:off x="5613844" y="6566027"/>
                            <a:ext cx="161962" cy="171793"/>
                          </a:xfrm>
                          <a:prstGeom prst="rect">
                            <a:avLst/>
                          </a:prstGeom>
                        </pic:spPr>
                      </pic:pic>
                      <pic:pic>
                        <pic:nvPicPr>
                          <pic:cNvPr id="724" name="Image 724"/>
                          <pic:cNvPicPr/>
                        </pic:nvPicPr>
                        <pic:blipFill>
                          <a:blip r:embed="rId550" cstate="print"/>
                          <a:stretch>
                            <a:fillRect/>
                          </a:stretch>
                        </pic:blipFill>
                        <pic:spPr>
                          <a:xfrm>
                            <a:off x="5451766" y="6566027"/>
                            <a:ext cx="142075" cy="171793"/>
                          </a:xfrm>
                          <a:prstGeom prst="rect">
                            <a:avLst/>
                          </a:prstGeom>
                        </pic:spPr>
                      </pic:pic>
                      <pic:pic>
                        <pic:nvPicPr>
                          <pic:cNvPr id="725" name="Image 725"/>
                          <pic:cNvPicPr/>
                        </pic:nvPicPr>
                        <pic:blipFill>
                          <a:blip r:embed="rId551" cstate="print"/>
                          <a:stretch>
                            <a:fillRect/>
                          </a:stretch>
                        </pic:blipFill>
                        <pic:spPr>
                          <a:xfrm>
                            <a:off x="5289575" y="6566027"/>
                            <a:ext cx="142075" cy="171793"/>
                          </a:xfrm>
                          <a:prstGeom prst="rect">
                            <a:avLst/>
                          </a:prstGeom>
                        </pic:spPr>
                      </pic:pic>
                      <pic:pic>
                        <pic:nvPicPr>
                          <pic:cNvPr id="726" name="Image 726"/>
                          <pic:cNvPicPr/>
                        </pic:nvPicPr>
                        <pic:blipFill>
                          <a:blip r:embed="rId552" cstate="print"/>
                          <a:stretch>
                            <a:fillRect/>
                          </a:stretch>
                        </pic:blipFill>
                        <pic:spPr>
                          <a:xfrm>
                            <a:off x="4874437" y="6566027"/>
                            <a:ext cx="116357" cy="171793"/>
                          </a:xfrm>
                          <a:prstGeom prst="rect">
                            <a:avLst/>
                          </a:prstGeom>
                        </pic:spPr>
                      </pic:pic>
                      <pic:pic>
                        <pic:nvPicPr>
                          <pic:cNvPr id="727" name="Image 727"/>
                          <pic:cNvPicPr/>
                        </pic:nvPicPr>
                        <pic:blipFill>
                          <a:blip r:embed="rId553" cstate="print"/>
                          <a:stretch>
                            <a:fillRect/>
                          </a:stretch>
                        </pic:blipFill>
                        <pic:spPr>
                          <a:xfrm>
                            <a:off x="4737963" y="6566027"/>
                            <a:ext cx="116357" cy="171793"/>
                          </a:xfrm>
                          <a:prstGeom prst="rect">
                            <a:avLst/>
                          </a:prstGeom>
                        </pic:spPr>
                      </pic:pic>
                      <pic:pic>
                        <pic:nvPicPr>
                          <pic:cNvPr id="728" name="Image 728"/>
                          <pic:cNvPicPr/>
                        </pic:nvPicPr>
                        <pic:blipFill>
                          <a:blip r:embed="rId554" cstate="print"/>
                          <a:stretch>
                            <a:fillRect/>
                          </a:stretch>
                        </pic:blipFill>
                        <pic:spPr>
                          <a:xfrm>
                            <a:off x="4555769" y="6566027"/>
                            <a:ext cx="161963" cy="171793"/>
                          </a:xfrm>
                          <a:prstGeom prst="rect">
                            <a:avLst/>
                          </a:prstGeom>
                        </pic:spPr>
                      </pic:pic>
                      <pic:pic>
                        <pic:nvPicPr>
                          <pic:cNvPr id="729" name="Image 729"/>
                          <pic:cNvPicPr/>
                        </pic:nvPicPr>
                        <pic:blipFill>
                          <a:blip r:embed="rId555" cstate="print"/>
                          <a:stretch>
                            <a:fillRect/>
                          </a:stretch>
                        </pic:blipFill>
                        <pic:spPr>
                          <a:xfrm>
                            <a:off x="4393577" y="6566027"/>
                            <a:ext cx="142189" cy="171793"/>
                          </a:xfrm>
                          <a:prstGeom prst="rect">
                            <a:avLst/>
                          </a:prstGeom>
                        </pic:spPr>
                      </pic:pic>
                      <pic:pic>
                        <pic:nvPicPr>
                          <pic:cNvPr id="730" name="Image 730"/>
                          <pic:cNvPicPr/>
                        </pic:nvPicPr>
                        <pic:blipFill>
                          <a:blip r:embed="rId556" cstate="print"/>
                          <a:stretch>
                            <a:fillRect/>
                          </a:stretch>
                        </pic:blipFill>
                        <pic:spPr>
                          <a:xfrm>
                            <a:off x="4231500" y="6566027"/>
                            <a:ext cx="142074" cy="171793"/>
                          </a:xfrm>
                          <a:prstGeom prst="rect">
                            <a:avLst/>
                          </a:prstGeom>
                        </pic:spPr>
                      </pic:pic>
                      <pic:pic>
                        <pic:nvPicPr>
                          <pic:cNvPr id="731" name="Image 731"/>
                          <pic:cNvPicPr/>
                        </pic:nvPicPr>
                        <pic:blipFill>
                          <a:blip r:embed="rId557" cstate="print"/>
                          <a:stretch>
                            <a:fillRect/>
                          </a:stretch>
                        </pic:blipFill>
                        <pic:spPr>
                          <a:xfrm>
                            <a:off x="3816362" y="6566027"/>
                            <a:ext cx="116357" cy="171793"/>
                          </a:xfrm>
                          <a:prstGeom prst="rect">
                            <a:avLst/>
                          </a:prstGeom>
                        </pic:spPr>
                      </pic:pic>
                      <pic:pic>
                        <pic:nvPicPr>
                          <pic:cNvPr id="732" name="Image 732"/>
                          <pic:cNvPicPr/>
                        </pic:nvPicPr>
                        <pic:blipFill>
                          <a:blip r:embed="rId558" cstate="print"/>
                          <a:stretch>
                            <a:fillRect/>
                          </a:stretch>
                        </pic:blipFill>
                        <pic:spPr>
                          <a:xfrm>
                            <a:off x="3679774" y="6566027"/>
                            <a:ext cx="116471" cy="171793"/>
                          </a:xfrm>
                          <a:prstGeom prst="rect">
                            <a:avLst/>
                          </a:prstGeom>
                        </pic:spPr>
                      </pic:pic>
                      <pic:pic>
                        <pic:nvPicPr>
                          <pic:cNvPr id="733" name="Image 733"/>
                          <pic:cNvPicPr/>
                        </pic:nvPicPr>
                        <pic:blipFill>
                          <a:blip r:embed="rId559" cstate="print"/>
                          <a:stretch>
                            <a:fillRect/>
                          </a:stretch>
                        </pic:blipFill>
                        <pic:spPr>
                          <a:xfrm>
                            <a:off x="3497694" y="6566027"/>
                            <a:ext cx="161963" cy="171793"/>
                          </a:xfrm>
                          <a:prstGeom prst="rect">
                            <a:avLst/>
                          </a:prstGeom>
                        </pic:spPr>
                      </pic:pic>
                      <pic:pic>
                        <pic:nvPicPr>
                          <pic:cNvPr id="734" name="Image 734"/>
                          <pic:cNvPicPr/>
                        </pic:nvPicPr>
                        <pic:blipFill>
                          <a:blip r:embed="rId551" cstate="print"/>
                          <a:stretch>
                            <a:fillRect/>
                          </a:stretch>
                        </pic:blipFill>
                        <pic:spPr>
                          <a:xfrm>
                            <a:off x="3335502" y="6566027"/>
                            <a:ext cx="142188" cy="171793"/>
                          </a:xfrm>
                          <a:prstGeom prst="rect">
                            <a:avLst/>
                          </a:prstGeom>
                        </pic:spPr>
                      </pic:pic>
                      <pic:pic>
                        <pic:nvPicPr>
                          <pic:cNvPr id="735" name="Image 735"/>
                          <pic:cNvPicPr/>
                        </pic:nvPicPr>
                        <pic:blipFill>
                          <a:blip r:embed="rId560" cstate="print"/>
                          <a:stretch>
                            <a:fillRect/>
                          </a:stretch>
                        </pic:blipFill>
                        <pic:spPr>
                          <a:xfrm>
                            <a:off x="3173425" y="6566027"/>
                            <a:ext cx="142074" cy="171793"/>
                          </a:xfrm>
                          <a:prstGeom prst="rect">
                            <a:avLst/>
                          </a:prstGeom>
                        </pic:spPr>
                      </pic:pic>
                      <pic:pic>
                        <pic:nvPicPr>
                          <pic:cNvPr id="736" name="Image 736"/>
                          <pic:cNvPicPr/>
                        </pic:nvPicPr>
                        <pic:blipFill>
                          <a:blip r:embed="rId561" cstate="print"/>
                          <a:stretch>
                            <a:fillRect/>
                          </a:stretch>
                        </pic:blipFill>
                        <pic:spPr>
                          <a:xfrm>
                            <a:off x="2758173" y="6566027"/>
                            <a:ext cx="116357" cy="171793"/>
                          </a:xfrm>
                          <a:prstGeom prst="rect">
                            <a:avLst/>
                          </a:prstGeom>
                        </pic:spPr>
                      </pic:pic>
                      <pic:pic>
                        <pic:nvPicPr>
                          <pic:cNvPr id="737" name="Image 737"/>
                          <pic:cNvPicPr/>
                        </pic:nvPicPr>
                        <pic:blipFill>
                          <a:blip r:embed="rId562" cstate="print"/>
                          <a:stretch>
                            <a:fillRect/>
                          </a:stretch>
                        </pic:blipFill>
                        <pic:spPr>
                          <a:xfrm>
                            <a:off x="2621699" y="6566027"/>
                            <a:ext cx="116357" cy="171793"/>
                          </a:xfrm>
                          <a:prstGeom prst="rect">
                            <a:avLst/>
                          </a:prstGeom>
                        </pic:spPr>
                      </pic:pic>
                      <pic:pic>
                        <pic:nvPicPr>
                          <pic:cNvPr id="738" name="Image 738"/>
                          <pic:cNvPicPr/>
                        </pic:nvPicPr>
                        <pic:blipFill>
                          <a:blip r:embed="rId563" cstate="print"/>
                          <a:stretch>
                            <a:fillRect/>
                          </a:stretch>
                        </pic:blipFill>
                        <pic:spPr>
                          <a:xfrm>
                            <a:off x="2439619" y="6566027"/>
                            <a:ext cx="161963" cy="171793"/>
                          </a:xfrm>
                          <a:prstGeom prst="rect">
                            <a:avLst/>
                          </a:prstGeom>
                        </pic:spPr>
                      </pic:pic>
                      <pic:pic>
                        <pic:nvPicPr>
                          <pic:cNvPr id="739" name="Image 739"/>
                          <pic:cNvPicPr/>
                        </pic:nvPicPr>
                        <pic:blipFill>
                          <a:blip r:embed="rId564" cstate="print"/>
                          <a:stretch>
                            <a:fillRect/>
                          </a:stretch>
                        </pic:blipFill>
                        <pic:spPr>
                          <a:xfrm>
                            <a:off x="2277427" y="6566027"/>
                            <a:ext cx="142074" cy="171793"/>
                          </a:xfrm>
                          <a:prstGeom prst="rect">
                            <a:avLst/>
                          </a:prstGeom>
                        </pic:spPr>
                      </pic:pic>
                      <pic:pic>
                        <pic:nvPicPr>
                          <pic:cNvPr id="740" name="Image 740"/>
                          <pic:cNvPicPr/>
                        </pic:nvPicPr>
                        <pic:blipFill>
                          <a:blip r:embed="rId550" cstate="print"/>
                          <a:stretch>
                            <a:fillRect/>
                          </a:stretch>
                        </pic:blipFill>
                        <pic:spPr>
                          <a:xfrm>
                            <a:off x="2115235" y="6566027"/>
                            <a:ext cx="142189" cy="171793"/>
                          </a:xfrm>
                          <a:prstGeom prst="rect">
                            <a:avLst/>
                          </a:prstGeom>
                        </pic:spPr>
                      </pic:pic>
                      <pic:pic>
                        <pic:nvPicPr>
                          <pic:cNvPr id="741" name="Image 741"/>
                          <pic:cNvPicPr/>
                        </pic:nvPicPr>
                        <pic:blipFill>
                          <a:blip r:embed="rId565" cstate="print"/>
                          <a:stretch>
                            <a:fillRect/>
                          </a:stretch>
                        </pic:blipFill>
                        <pic:spPr>
                          <a:xfrm>
                            <a:off x="1700098" y="6566027"/>
                            <a:ext cx="116357" cy="171793"/>
                          </a:xfrm>
                          <a:prstGeom prst="rect">
                            <a:avLst/>
                          </a:prstGeom>
                        </pic:spPr>
                      </pic:pic>
                      <pic:pic>
                        <pic:nvPicPr>
                          <pic:cNvPr id="742" name="Image 742"/>
                          <pic:cNvPicPr/>
                        </pic:nvPicPr>
                        <pic:blipFill>
                          <a:blip r:embed="rId566" cstate="print"/>
                          <a:stretch>
                            <a:fillRect/>
                          </a:stretch>
                        </pic:blipFill>
                        <pic:spPr>
                          <a:xfrm>
                            <a:off x="1563623" y="6566027"/>
                            <a:ext cx="116357" cy="171793"/>
                          </a:xfrm>
                          <a:prstGeom prst="rect">
                            <a:avLst/>
                          </a:prstGeom>
                        </pic:spPr>
                      </pic:pic>
                      <pic:pic>
                        <pic:nvPicPr>
                          <pic:cNvPr id="743" name="Image 743"/>
                          <pic:cNvPicPr/>
                        </pic:nvPicPr>
                        <pic:blipFill>
                          <a:blip r:embed="rId567" cstate="print"/>
                          <a:stretch>
                            <a:fillRect/>
                          </a:stretch>
                        </pic:blipFill>
                        <pic:spPr>
                          <a:xfrm>
                            <a:off x="1381544" y="6566027"/>
                            <a:ext cx="161848" cy="171793"/>
                          </a:xfrm>
                          <a:prstGeom prst="rect">
                            <a:avLst/>
                          </a:prstGeom>
                        </pic:spPr>
                      </pic:pic>
                      <pic:pic>
                        <pic:nvPicPr>
                          <pic:cNvPr id="744" name="Image 744"/>
                          <pic:cNvPicPr/>
                        </pic:nvPicPr>
                        <pic:blipFill>
                          <a:blip r:embed="rId545" cstate="print"/>
                          <a:stretch>
                            <a:fillRect/>
                          </a:stretch>
                        </pic:blipFill>
                        <pic:spPr>
                          <a:xfrm>
                            <a:off x="1219352" y="6566027"/>
                            <a:ext cx="142074" cy="171793"/>
                          </a:xfrm>
                          <a:prstGeom prst="rect">
                            <a:avLst/>
                          </a:prstGeom>
                        </pic:spPr>
                      </pic:pic>
                      <pic:pic>
                        <pic:nvPicPr>
                          <pic:cNvPr id="745" name="Image 745"/>
                          <pic:cNvPicPr/>
                        </pic:nvPicPr>
                        <pic:blipFill>
                          <a:blip r:embed="rId546" cstate="print"/>
                          <a:stretch>
                            <a:fillRect/>
                          </a:stretch>
                        </pic:blipFill>
                        <pic:spPr>
                          <a:xfrm>
                            <a:off x="1057160" y="6566027"/>
                            <a:ext cx="142189" cy="171793"/>
                          </a:xfrm>
                          <a:prstGeom prst="rect">
                            <a:avLst/>
                          </a:prstGeom>
                        </pic:spPr>
                      </pic:pic>
                      <pic:pic>
                        <pic:nvPicPr>
                          <pic:cNvPr id="746" name="Image 746"/>
                          <pic:cNvPicPr/>
                        </pic:nvPicPr>
                        <pic:blipFill>
                          <a:blip r:embed="rId568" cstate="print"/>
                          <a:stretch>
                            <a:fillRect/>
                          </a:stretch>
                        </pic:blipFill>
                        <pic:spPr>
                          <a:xfrm>
                            <a:off x="642023" y="6566027"/>
                            <a:ext cx="116357" cy="171793"/>
                          </a:xfrm>
                          <a:prstGeom prst="rect">
                            <a:avLst/>
                          </a:prstGeom>
                        </pic:spPr>
                      </pic:pic>
                      <pic:pic>
                        <pic:nvPicPr>
                          <pic:cNvPr id="747" name="Image 747"/>
                          <pic:cNvPicPr/>
                        </pic:nvPicPr>
                        <pic:blipFill>
                          <a:blip r:embed="rId569" cstate="print"/>
                          <a:stretch>
                            <a:fillRect/>
                          </a:stretch>
                        </pic:blipFill>
                        <pic:spPr>
                          <a:xfrm>
                            <a:off x="505548" y="6566027"/>
                            <a:ext cx="116357" cy="171793"/>
                          </a:xfrm>
                          <a:prstGeom prst="rect">
                            <a:avLst/>
                          </a:prstGeom>
                        </pic:spPr>
                      </pic:pic>
                      <pic:pic>
                        <pic:nvPicPr>
                          <pic:cNvPr id="748" name="Image 748"/>
                          <pic:cNvPicPr/>
                        </pic:nvPicPr>
                        <pic:blipFill>
                          <a:blip r:embed="rId570" cstate="print"/>
                          <a:stretch>
                            <a:fillRect/>
                          </a:stretch>
                        </pic:blipFill>
                        <pic:spPr>
                          <a:xfrm>
                            <a:off x="323468" y="6566027"/>
                            <a:ext cx="161848" cy="171793"/>
                          </a:xfrm>
                          <a:prstGeom prst="rect">
                            <a:avLst/>
                          </a:prstGeom>
                        </pic:spPr>
                      </pic:pic>
                      <pic:pic>
                        <pic:nvPicPr>
                          <pic:cNvPr id="749" name="Image 749"/>
                          <pic:cNvPicPr/>
                        </pic:nvPicPr>
                        <pic:blipFill>
                          <a:blip r:embed="rId571" cstate="print"/>
                          <a:stretch>
                            <a:fillRect/>
                          </a:stretch>
                        </pic:blipFill>
                        <pic:spPr>
                          <a:xfrm>
                            <a:off x="161277" y="6566027"/>
                            <a:ext cx="142074" cy="171793"/>
                          </a:xfrm>
                          <a:prstGeom prst="rect">
                            <a:avLst/>
                          </a:prstGeom>
                        </pic:spPr>
                      </pic:pic>
                      <pic:pic>
                        <pic:nvPicPr>
                          <pic:cNvPr id="750" name="Image 750"/>
                          <pic:cNvPicPr/>
                        </pic:nvPicPr>
                        <pic:blipFill>
                          <a:blip r:embed="rId572" cstate="print"/>
                          <a:stretch>
                            <a:fillRect/>
                          </a:stretch>
                        </pic:blipFill>
                        <pic:spPr>
                          <a:xfrm>
                            <a:off x="0" y="6566027"/>
                            <a:ext cx="141160" cy="171793"/>
                          </a:xfrm>
                          <a:prstGeom prst="rect">
                            <a:avLst/>
                          </a:prstGeom>
                        </pic:spPr>
                      </pic:pic>
                      <pic:pic>
                        <pic:nvPicPr>
                          <pic:cNvPr id="751" name="Image 751"/>
                          <pic:cNvPicPr/>
                        </pic:nvPicPr>
                        <pic:blipFill>
                          <a:blip r:embed="rId573" cstate="print"/>
                          <a:stretch>
                            <a:fillRect/>
                          </a:stretch>
                        </pic:blipFill>
                        <pic:spPr>
                          <a:xfrm>
                            <a:off x="7217196" y="6885381"/>
                            <a:ext cx="156348" cy="175107"/>
                          </a:xfrm>
                          <a:prstGeom prst="rect">
                            <a:avLst/>
                          </a:prstGeom>
                        </pic:spPr>
                      </pic:pic>
                      <pic:pic>
                        <pic:nvPicPr>
                          <pic:cNvPr id="752" name="Image 752"/>
                          <pic:cNvPicPr/>
                        </pic:nvPicPr>
                        <pic:blipFill>
                          <a:blip r:embed="rId574" cstate="print"/>
                          <a:stretch>
                            <a:fillRect/>
                          </a:stretch>
                        </pic:blipFill>
                        <pic:spPr>
                          <a:xfrm>
                            <a:off x="6159122" y="6885381"/>
                            <a:ext cx="156348" cy="175107"/>
                          </a:xfrm>
                          <a:prstGeom prst="rect">
                            <a:avLst/>
                          </a:prstGeom>
                        </pic:spPr>
                      </pic:pic>
                      <pic:pic>
                        <pic:nvPicPr>
                          <pic:cNvPr id="753" name="Image 753"/>
                          <pic:cNvPicPr/>
                        </pic:nvPicPr>
                        <pic:blipFill>
                          <a:blip r:embed="rId575" cstate="print"/>
                          <a:stretch>
                            <a:fillRect/>
                          </a:stretch>
                        </pic:blipFill>
                        <pic:spPr>
                          <a:xfrm>
                            <a:off x="5101047" y="6885381"/>
                            <a:ext cx="156321" cy="175107"/>
                          </a:xfrm>
                          <a:prstGeom prst="rect">
                            <a:avLst/>
                          </a:prstGeom>
                        </pic:spPr>
                      </pic:pic>
                      <pic:pic>
                        <pic:nvPicPr>
                          <pic:cNvPr id="754" name="Image 754"/>
                          <pic:cNvPicPr/>
                        </pic:nvPicPr>
                        <pic:blipFill>
                          <a:blip r:embed="rId576" cstate="print"/>
                          <a:stretch>
                            <a:fillRect/>
                          </a:stretch>
                        </pic:blipFill>
                        <pic:spPr>
                          <a:xfrm>
                            <a:off x="4042944" y="6885381"/>
                            <a:ext cx="156261" cy="175107"/>
                          </a:xfrm>
                          <a:prstGeom prst="rect">
                            <a:avLst/>
                          </a:prstGeom>
                        </pic:spPr>
                      </pic:pic>
                      <pic:pic>
                        <pic:nvPicPr>
                          <pic:cNvPr id="755" name="Image 755"/>
                          <pic:cNvPicPr/>
                        </pic:nvPicPr>
                        <pic:blipFill>
                          <a:blip r:embed="rId577" cstate="print"/>
                          <a:stretch>
                            <a:fillRect/>
                          </a:stretch>
                        </pic:blipFill>
                        <pic:spPr>
                          <a:xfrm>
                            <a:off x="2984782" y="6885381"/>
                            <a:ext cx="156348" cy="175107"/>
                          </a:xfrm>
                          <a:prstGeom prst="rect">
                            <a:avLst/>
                          </a:prstGeom>
                        </pic:spPr>
                      </pic:pic>
                      <pic:pic>
                        <pic:nvPicPr>
                          <pic:cNvPr id="756" name="Image 756"/>
                          <pic:cNvPicPr/>
                        </pic:nvPicPr>
                        <pic:blipFill>
                          <a:blip r:embed="rId578" cstate="print"/>
                          <a:stretch>
                            <a:fillRect/>
                          </a:stretch>
                        </pic:blipFill>
                        <pic:spPr>
                          <a:xfrm>
                            <a:off x="1926707" y="6885381"/>
                            <a:ext cx="156348" cy="175107"/>
                          </a:xfrm>
                          <a:prstGeom prst="rect">
                            <a:avLst/>
                          </a:prstGeom>
                        </pic:spPr>
                      </pic:pic>
                      <pic:pic>
                        <pic:nvPicPr>
                          <pic:cNvPr id="757" name="Image 757"/>
                          <pic:cNvPicPr/>
                        </pic:nvPicPr>
                        <pic:blipFill>
                          <a:blip r:embed="rId579" cstate="print"/>
                          <a:stretch>
                            <a:fillRect/>
                          </a:stretch>
                        </pic:blipFill>
                        <pic:spPr>
                          <a:xfrm>
                            <a:off x="868632" y="6885381"/>
                            <a:ext cx="156348" cy="175107"/>
                          </a:xfrm>
                          <a:prstGeom prst="rect">
                            <a:avLst/>
                          </a:prstGeom>
                        </pic:spPr>
                      </pic:pic>
                      <pic:pic>
                        <pic:nvPicPr>
                          <pic:cNvPr id="758" name="Image 758"/>
                          <pic:cNvPicPr/>
                        </pic:nvPicPr>
                        <pic:blipFill>
                          <a:blip r:embed="rId580" cstate="print"/>
                          <a:stretch>
                            <a:fillRect/>
                          </a:stretch>
                        </pic:blipFill>
                        <pic:spPr>
                          <a:xfrm>
                            <a:off x="7405724" y="6946303"/>
                            <a:ext cx="140703" cy="114185"/>
                          </a:xfrm>
                          <a:prstGeom prst="rect">
                            <a:avLst/>
                          </a:prstGeom>
                        </pic:spPr>
                      </pic:pic>
                      <pic:pic>
                        <pic:nvPicPr>
                          <pic:cNvPr id="759" name="Image 759"/>
                          <pic:cNvPicPr/>
                        </pic:nvPicPr>
                        <pic:blipFill>
                          <a:blip r:embed="rId581" cstate="print"/>
                          <a:stretch>
                            <a:fillRect/>
                          </a:stretch>
                        </pic:blipFill>
                        <pic:spPr>
                          <a:xfrm>
                            <a:off x="6990587" y="6946303"/>
                            <a:ext cx="115785" cy="114185"/>
                          </a:xfrm>
                          <a:prstGeom prst="rect">
                            <a:avLst/>
                          </a:prstGeom>
                        </pic:spPr>
                      </pic:pic>
                      <pic:pic>
                        <pic:nvPicPr>
                          <pic:cNvPr id="760" name="Image 760"/>
                          <pic:cNvPicPr/>
                        </pic:nvPicPr>
                        <pic:blipFill>
                          <a:blip r:embed="rId582" cstate="print"/>
                          <a:stretch>
                            <a:fillRect/>
                          </a:stretch>
                        </pic:blipFill>
                        <pic:spPr>
                          <a:xfrm>
                            <a:off x="6854113" y="6946303"/>
                            <a:ext cx="115785" cy="114185"/>
                          </a:xfrm>
                          <a:prstGeom prst="rect">
                            <a:avLst/>
                          </a:prstGeom>
                        </pic:spPr>
                      </pic:pic>
                      <pic:pic>
                        <pic:nvPicPr>
                          <pic:cNvPr id="761" name="Image 761"/>
                          <pic:cNvPicPr/>
                        </pic:nvPicPr>
                        <pic:blipFill>
                          <a:blip r:embed="rId583" cstate="print"/>
                          <a:stretch>
                            <a:fillRect/>
                          </a:stretch>
                        </pic:blipFill>
                        <pic:spPr>
                          <a:xfrm>
                            <a:off x="6672033" y="6946303"/>
                            <a:ext cx="161849" cy="114185"/>
                          </a:xfrm>
                          <a:prstGeom prst="rect">
                            <a:avLst/>
                          </a:prstGeom>
                        </pic:spPr>
                      </pic:pic>
                      <pic:pic>
                        <pic:nvPicPr>
                          <pic:cNvPr id="762" name="Image 762"/>
                          <pic:cNvPicPr/>
                        </pic:nvPicPr>
                        <pic:blipFill>
                          <a:blip r:embed="rId584" cstate="print"/>
                          <a:stretch>
                            <a:fillRect/>
                          </a:stretch>
                        </pic:blipFill>
                        <pic:spPr>
                          <a:xfrm>
                            <a:off x="6509842" y="6946303"/>
                            <a:ext cx="140589" cy="114185"/>
                          </a:xfrm>
                          <a:prstGeom prst="rect">
                            <a:avLst/>
                          </a:prstGeom>
                        </pic:spPr>
                      </pic:pic>
                      <pic:pic>
                        <pic:nvPicPr>
                          <pic:cNvPr id="763" name="Image 763"/>
                          <pic:cNvPicPr/>
                        </pic:nvPicPr>
                        <pic:blipFill>
                          <a:blip r:embed="rId585" cstate="print"/>
                          <a:stretch>
                            <a:fillRect/>
                          </a:stretch>
                        </pic:blipFill>
                        <pic:spPr>
                          <a:xfrm>
                            <a:off x="6347650" y="6946303"/>
                            <a:ext cx="140589" cy="114185"/>
                          </a:xfrm>
                          <a:prstGeom prst="rect">
                            <a:avLst/>
                          </a:prstGeom>
                        </pic:spPr>
                      </pic:pic>
                      <pic:pic>
                        <pic:nvPicPr>
                          <pic:cNvPr id="764" name="Image 764"/>
                          <pic:cNvPicPr/>
                        </pic:nvPicPr>
                        <pic:blipFill>
                          <a:blip r:embed="rId586" cstate="print"/>
                          <a:stretch>
                            <a:fillRect/>
                          </a:stretch>
                        </pic:blipFill>
                        <pic:spPr>
                          <a:xfrm>
                            <a:off x="5932512" y="6946303"/>
                            <a:ext cx="115786" cy="114185"/>
                          </a:xfrm>
                          <a:prstGeom prst="rect">
                            <a:avLst/>
                          </a:prstGeom>
                        </pic:spPr>
                      </pic:pic>
                      <pic:pic>
                        <pic:nvPicPr>
                          <pic:cNvPr id="765" name="Image 765"/>
                          <pic:cNvPicPr/>
                        </pic:nvPicPr>
                        <pic:blipFill>
                          <a:blip r:embed="rId587" cstate="print"/>
                          <a:stretch>
                            <a:fillRect/>
                          </a:stretch>
                        </pic:blipFill>
                        <pic:spPr>
                          <a:xfrm>
                            <a:off x="5796038" y="6946303"/>
                            <a:ext cx="115785" cy="114185"/>
                          </a:xfrm>
                          <a:prstGeom prst="rect">
                            <a:avLst/>
                          </a:prstGeom>
                        </pic:spPr>
                      </pic:pic>
                      <pic:pic>
                        <pic:nvPicPr>
                          <pic:cNvPr id="766" name="Image 766"/>
                          <pic:cNvPicPr/>
                        </pic:nvPicPr>
                        <pic:blipFill>
                          <a:blip r:embed="rId588" cstate="print"/>
                          <a:stretch>
                            <a:fillRect/>
                          </a:stretch>
                        </pic:blipFill>
                        <pic:spPr>
                          <a:xfrm>
                            <a:off x="5613844" y="6946303"/>
                            <a:ext cx="161962" cy="114185"/>
                          </a:xfrm>
                          <a:prstGeom prst="rect">
                            <a:avLst/>
                          </a:prstGeom>
                        </pic:spPr>
                      </pic:pic>
                      <pic:pic>
                        <pic:nvPicPr>
                          <pic:cNvPr id="767" name="Image 767"/>
                          <pic:cNvPicPr/>
                        </pic:nvPicPr>
                        <pic:blipFill>
                          <a:blip r:embed="rId589" cstate="print"/>
                          <a:stretch>
                            <a:fillRect/>
                          </a:stretch>
                        </pic:blipFill>
                        <pic:spPr>
                          <a:xfrm>
                            <a:off x="5451766" y="6946303"/>
                            <a:ext cx="140588" cy="114185"/>
                          </a:xfrm>
                          <a:prstGeom prst="rect">
                            <a:avLst/>
                          </a:prstGeom>
                        </pic:spPr>
                      </pic:pic>
                      <pic:pic>
                        <pic:nvPicPr>
                          <pic:cNvPr id="768" name="Image 768"/>
                          <pic:cNvPicPr/>
                        </pic:nvPicPr>
                        <pic:blipFill>
                          <a:blip r:embed="rId590" cstate="print"/>
                          <a:stretch>
                            <a:fillRect/>
                          </a:stretch>
                        </pic:blipFill>
                        <pic:spPr>
                          <a:xfrm>
                            <a:off x="5289575" y="6946303"/>
                            <a:ext cx="140589" cy="114185"/>
                          </a:xfrm>
                          <a:prstGeom prst="rect">
                            <a:avLst/>
                          </a:prstGeom>
                        </pic:spPr>
                      </pic:pic>
                      <pic:pic>
                        <pic:nvPicPr>
                          <pic:cNvPr id="769" name="Image 769"/>
                          <pic:cNvPicPr/>
                        </pic:nvPicPr>
                        <pic:blipFill>
                          <a:blip r:embed="rId591" cstate="print"/>
                          <a:stretch>
                            <a:fillRect/>
                          </a:stretch>
                        </pic:blipFill>
                        <pic:spPr>
                          <a:xfrm>
                            <a:off x="4874437" y="6946303"/>
                            <a:ext cx="115786" cy="114185"/>
                          </a:xfrm>
                          <a:prstGeom prst="rect">
                            <a:avLst/>
                          </a:prstGeom>
                        </pic:spPr>
                      </pic:pic>
                      <pic:pic>
                        <pic:nvPicPr>
                          <pic:cNvPr id="770" name="Image 770"/>
                          <pic:cNvPicPr/>
                        </pic:nvPicPr>
                        <pic:blipFill>
                          <a:blip r:embed="rId592" cstate="print"/>
                          <a:stretch>
                            <a:fillRect/>
                          </a:stretch>
                        </pic:blipFill>
                        <pic:spPr>
                          <a:xfrm>
                            <a:off x="4737963" y="6946303"/>
                            <a:ext cx="115786" cy="114185"/>
                          </a:xfrm>
                          <a:prstGeom prst="rect">
                            <a:avLst/>
                          </a:prstGeom>
                        </pic:spPr>
                      </pic:pic>
                      <pic:pic>
                        <pic:nvPicPr>
                          <pic:cNvPr id="771" name="Image 771"/>
                          <pic:cNvPicPr/>
                        </pic:nvPicPr>
                        <pic:blipFill>
                          <a:blip r:embed="rId593" cstate="print"/>
                          <a:stretch>
                            <a:fillRect/>
                          </a:stretch>
                        </pic:blipFill>
                        <pic:spPr>
                          <a:xfrm>
                            <a:off x="4555769" y="6946303"/>
                            <a:ext cx="161963" cy="114185"/>
                          </a:xfrm>
                          <a:prstGeom prst="rect">
                            <a:avLst/>
                          </a:prstGeom>
                        </pic:spPr>
                      </pic:pic>
                      <pic:pic>
                        <pic:nvPicPr>
                          <pic:cNvPr id="772" name="Image 772"/>
                          <pic:cNvPicPr/>
                        </pic:nvPicPr>
                        <pic:blipFill>
                          <a:blip r:embed="rId585" cstate="print"/>
                          <a:stretch>
                            <a:fillRect/>
                          </a:stretch>
                        </pic:blipFill>
                        <pic:spPr>
                          <a:xfrm>
                            <a:off x="4393577" y="6946303"/>
                            <a:ext cx="140703" cy="114185"/>
                          </a:xfrm>
                          <a:prstGeom prst="rect">
                            <a:avLst/>
                          </a:prstGeom>
                        </pic:spPr>
                      </pic:pic>
                      <pic:pic>
                        <pic:nvPicPr>
                          <pic:cNvPr id="773" name="Image 773"/>
                          <pic:cNvPicPr/>
                        </pic:nvPicPr>
                        <pic:blipFill>
                          <a:blip r:embed="rId594" cstate="print"/>
                          <a:stretch>
                            <a:fillRect/>
                          </a:stretch>
                        </pic:blipFill>
                        <pic:spPr>
                          <a:xfrm>
                            <a:off x="4231500" y="6946303"/>
                            <a:ext cx="140589" cy="114185"/>
                          </a:xfrm>
                          <a:prstGeom prst="rect">
                            <a:avLst/>
                          </a:prstGeom>
                        </pic:spPr>
                      </pic:pic>
                      <pic:pic>
                        <pic:nvPicPr>
                          <pic:cNvPr id="774" name="Image 774"/>
                          <pic:cNvPicPr/>
                        </pic:nvPicPr>
                        <pic:blipFill>
                          <a:blip r:embed="rId595" cstate="print"/>
                          <a:stretch>
                            <a:fillRect/>
                          </a:stretch>
                        </pic:blipFill>
                        <pic:spPr>
                          <a:xfrm>
                            <a:off x="3816362" y="6946303"/>
                            <a:ext cx="115786" cy="114185"/>
                          </a:xfrm>
                          <a:prstGeom prst="rect">
                            <a:avLst/>
                          </a:prstGeom>
                        </pic:spPr>
                      </pic:pic>
                      <pic:pic>
                        <pic:nvPicPr>
                          <pic:cNvPr id="775" name="Image 775"/>
                          <pic:cNvPicPr/>
                        </pic:nvPicPr>
                        <pic:blipFill>
                          <a:blip r:embed="rId596" cstate="print"/>
                          <a:stretch>
                            <a:fillRect/>
                          </a:stretch>
                        </pic:blipFill>
                        <pic:spPr>
                          <a:xfrm>
                            <a:off x="3679774" y="6946303"/>
                            <a:ext cx="115898" cy="114185"/>
                          </a:xfrm>
                          <a:prstGeom prst="rect">
                            <a:avLst/>
                          </a:prstGeom>
                        </pic:spPr>
                      </pic:pic>
                      <pic:pic>
                        <pic:nvPicPr>
                          <pic:cNvPr id="776" name="Image 776"/>
                          <pic:cNvPicPr/>
                        </pic:nvPicPr>
                        <pic:blipFill>
                          <a:blip r:embed="rId597" cstate="print"/>
                          <a:stretch>
                            <a:fillRect/>
                          </a:stretch>
                        </pic:blipFill>
                        <pic:spPr>
                          <a:xfrm>
                            <a:off x="3497694" y="6946303"/>
                            <a:ext cx="161963" cy="114185"/>
                          </a:xfrm>
                          <a:prstGeom prst="rect">
                            <a:avLst/>
                          </a:prstGeom>
                        </pic:spPr>
                      </pic:pic>
                      <pic:pic>
                        <pic:nvPicPr>
                          <pic:cNvPr id="777" name="Image 777"/>
                          <pic:cNvPicPr/>
                        </pic:nvPicPr>
                        <pic:blipFill>
                          <a:blip r:embed="rId590" cstate="print"/>
                          <a:stretch>
                            <a:fillRect/>
                          </a:stretch>
                        </pic:blipFill>
                        <pic:spPr>
                          <a:xfrm>
                            <a:off x="3335502" y="6946303"/>
                            <a:ext cx="140703" cy="114185"/>
                          </a:xfrm>
                          <a:prstGeom prst="rect">
                            <a:avLst/>
                          </a:prstGeom>
                        </pic:spPr>
                      </pic:pic>
                      <pic:pic>
                        <pic:nvPicPr>
                          <pic:cNvPr id="778" name="Image 778"/>
                          <pic:cNvPicPr/>
                        </pic:nvPicPr>
                        <pic:blipFill>
                          <a:blip r:embed="rId598" cstate="print"/>
                          <a:stretch>
                            <a:fillRect/>
                          </a:stretch>
                        </pic:blipFill>
                        <pic:spPr>
                          <a:xfrm>
                            <a:off x="3173425" y="6946303"/>
                            <a:ext cx="140588" cy="114185"/>
                          </a:xfrm>
                          <a:prstGeom prst="rect">
                            <a:avLst/>
                          </a:prstGeom>
                        </pic:spPr>
                      </pic:pic>
                      <pic:pic>
                        <pic:nvPicPr>
                          <pic:cNvPr id="779" name="Image 779"/>
                          <pic:cNvPicPr/>
                        </pic:nvPicPr>
                        <pic:blipFill>
                          <a:blip r:embed="rId599" cstate="print"/>
                          <a:stretch>
                            <a:fillRect/>
                          </a:stretch>
                        </pic:blipFill>
                        <pic:spPr>
                          <a:xfrm>
                            <a:off x="2758173" y="6946303"/>
                            <a:ext cx="115785" cy="114185"/>
                          </a:xfrm>
                          <a:prstGeom prst="rect">
                            <a:avLst/>
                          </a:prstGeom>
                        </pic:spPr>
                      </pic:pic>
                      <pic:pic>
                        <pic:nvPicPr>
                          <pic:cNvPr id="780" name="Image 780"/>
                          <pic:cNvPicPr/>
                        </pic:nvPicPr>
                        <pic:blipFill>
                          <a:blip r:embed="rId600" cstate="print"/>
                          <a:stretch>
                            <a:fillRect/>
                          </a:stretch>
                        </pic:blipFill>
                        <pic:spPr>
                          <a:xfrm>
                            <a:off x="2621699" y="6946303"/>
                            <a:ext cx="115785" cy="114185"/>
                          </a:xfrm>
                          <a:prstGeom prst="rect">
                            <a:avLst/>
                          </a:prstGeom>
                        </pic:spPr>
                      </pic:pic>
                      <pic:pic>
                        <pic:nvPicPr>
                          <pic:cNvPr id="781" name="Image 781"/>
                          <pic:cNvPicPr/>
                        </pic:nvPicPr>
                        <pic:blipFill>
                          <a:blip r:embed="rId601" cstate="print"/>
                          <a:stretch>
                            <a:fillRect/>
                          </a:stretch>
                        </pic:blipFill>
                        <pic:spPr>
                          <a:xfrm>
                            <a:off x="2439619" y="6946303"/>
                            <a:ext cx="161963" cy="114185"/>
                          </a:xfrm>
                          <a:prstGeom prst="rect">
                            <a:avLst/>
                          </a:prstGeom>
                        </pic:spPr>
                      </pic:pic>
                      <pic:pic>
                        <pic:nvPicPr>
                          <pic:cNvPr id="782" name="Image 782"/>
                          <pic:cNvPicPr/>
                        </pic:nvPicPr>
                        <pic:blipFill>
                          <a:blip r:embed="rId602" cstate="print"/>
                          <a:stretch>
                            <a:fillRect/>
                          </a:stretch>
                        </pic:blipFill>
                        <pic:spPr>
                          <a:xfrm>
                            <a:off x="2277427" y="6946303"/>
                            <a:ext cx="140588" cy="114185"/>
                          </a:xfrm>
                          <a:prstGeom prst="rect">
                            <a:avLst/>
                          </a:prstGeom>
                        </pic:spPr>
                      </pic:pic>
                      <pic:pic>
                        <pic:nvPicPr>
                          <pic:cNvPr id="783" name="Image 783"/>
                          <pic:cNvPicPr/>
                        </pic:nvPicPr>
                        <pic:blipFill>
                          <a:blip r:embed="rId589" cstate="print"/>
                          <a:stretch>
                            <a:fillRect/>
                          </a:stretch>
                        </pic:blipFill>
                        <pic:spPr>
                          <a:xfrm>
                            <a:off x="2115235" y="6946303"/>
                            <a:ext cx="140703" cy="114185"/>
                          </a:xfrm>
                          <a:prstGeom prst="rect">
                            <a:avLst/>
                          </a:prstGeom>
                        </pic:spPr>
                      </pic:pic>
                      <pic:pic>
                        <pic:nvPicPr>
                          <pic:cNvPr id="784" name="Image 784"/>
                          <pic:cNvPicPr/>
                        </pic:nvPicPr>
                        <pic:blipFill>
                          <a:blip r:embed="rId596" cstate="print"/>
                          <a:stretch>
                            <a:fillRect/>
                          </a:stretch>
                        </pic:blipFill>
                        <pic:spPr>
                          <a:xfrm>
                            <a:off x="1700098" y="6946303"/>
                            <a:ext cx="115786" cy="114185"/>
                          </a:xfrm>
                          <a:prstGeom prst="rect">
                            <a:avLst/>
                          </a:prstGeom>
                        </pic:spPr>
                      </pic:pic>
                      <pic:pic>
                        <pic:nvPicPr>
                          <pic:cNvPr id="785" name="Image 785"/>
                          <pic:cNvPicPr/>
                        </pic:nvPicPr>
                        <pic:blipFill>
                          <a:blip r:embed="rId591" cstate="print"/>
                          <a:stretch>
                            <a:fillRect/>
                          </a:stretch>
                        </pic:blipFill>
                        <pic:spPr>
                          <a:xfrm>
                            <a:off x="1563623" y="6946303"/>
                            <a:ext cx="115786" cy="114185"/>
                          </a:xfrm>
                          <a:prstGeom prst="rect">
                            <a:avLst/>
                          </a:prstGeom>
                        </pic:spPr>
                      </pic:pic>
                      <pic:pic>
                        <pic:nvPicPr>
                          <pic:cNvPr id="786" name="Image 786"/>
                          <pic:cNvPicPr/>
                        </pic:nvPicPr>
                        <pic:blipFill>
                          <a:blip r:embed="rId603" cstate="print"/>
                          <a:stretch>
                            <a:fillRect/>
                          </a:stretch>
                        </pic:blipFill>
                        <pic:spPr>
                          <a:xfrm>
                            <a:off x="1381544" y="6946303"/>
                            <a:ext cx="161848" cy="114185"/>
                          </a:xfrm>
                          <a:prstGeom prst="rect">
                            <a:avLst/>
                          </a:prstGeom>
                        </pic:spPr>
                      </pic:pic>
                      <pic:pic>
                        <pic:nvPicPr>
                          <pic:cNvPr id="787" name="Image 787"/>
                          <pic:cNvPicPr/>
                        </pic:nvPicPr>
                        <pic:blipFill>
                          <a:blip r:embed="rId598" cstate="print"/>
                          <a:stretch>
                            <a:fillRect/>
                          </a:stretch>
                        </pic:blipFill>
                        <pic:spPr>
                          <a:xfrm>
                            <a:off x="1219352" y="6946303"/>
                            <a:ext cx="140588" cy="114185"/>
                          </a:xfrm>
                          <a:prstGeom prst="rect">
                            <a:avLst/>
                          </a:prstGeom>
                        </pic:spPr>
                      </pic:pic>
                      <pic:pic>
                        <pic:nvPicPr>
                          <pic:cNvPr id="788" name="Image 788"/>
                          <pic:cNvPicPr/>
                        </pic:nvPicPr>
                        <pic:blipFill>
                          <a:blip r:embed="rId585" cstate="print"/>
                          <a:stretch>
                            <a:fillRect/>
                          </a:stretch>
                        </pic:blipFill>
                        <pic:spPr>
                          <a:xfrm>
                            <a:off x="1057160" y="6946303"/>
                            <a:ext cx="140703" cy="114185"/>
                          </a:xfrm>
                          <a:prstGeom prst="rect">
                            <a:avLst/>
                          </a:prstGeom>
                        </pic:spPr>
                      </pic:pic>
                      <pic:pic>
                        <pic:nvPicPr>
                          <pic:cNvPr id="789" name="Image 789"/>
                          <pic:cNvPicPr/>
                        </pic:nvPicPr>
                        <pic:blipFill>
                          <a:blip r:embed="rId604" cstate="print"/>
                          <a:stretch>
                            <a:fillRect/>
                          </a:stretch>
                        </pic:blipFill>
                        <pic:spPr>
                          <a:xfrm>
                            <a:off x="642023" y="6946303"/>
                            <a:ext cx="115785" cy="114185"/>
                          </a:xfrm>
                          <a:prstGeom prst="rect">
                            <a:avLst/>
                          </a:prstGeom>
                        </pic:spPr>
                      </pic:pic>
                      <pic:pic>
                        <pic:nvPicPr>
                          <pic:cNvPr id="790" name="Image 790"/>
                          <pic:cNvPicPr/>
                        </pic:nvPicPr>
                        <pic:blipFill>
                          <a:blip r:embed="rId605" cstate="print"/>
                          <a:stretch>
                            <a:fillRect/>
                          </a:stretch>
                        </pic:blipFill>
                        <pic:spPr>
                          <a:xfrm>
                            <a:off x="505548" y="6946303"/>
                            <a:ext cx="115786" cy="114185"/>
                          </a:xfrm>
                          <a:prstGeom prst="rect">
                            <a:avLst/>
                          </a:prstGeom>
                        </pic:spPr>
                      </pic:pic>
                      <pic:pic>
                        <pic:nvPicPr>
                          <pic:cNvPr id="791" name="Image 791"/>
                          <pic:cNvPicPr/>
                        </pic:nvPicPr>
                        <pic:blipFill>
                          <a:blip r:embed="rId606" cstate="print"/>
                          <a:stretch>
                            <a:fillRect/>
                          </a:stretch>
                        </pic:blipFill>
                        <pic:spPr>
                          <a:xfrm>
                            <a:off x="323468" y="6946303"/>
                            <a:ext cx="161848" cy="114185"/>
                          </a:xfrm>
                          <a:prstGeom prst="rect">
                            <a:avLst/>
                          </a:prstGeom>
                        </pic:spPr>
                      </pic:pic>
                      <pic:pic>
                        <pic:nvPicPr>
                          <pic:cNvPr id="792" name="Image 792"/>
                          <pic:cNvPicPr/>
                        </pic:nvPicPr>
                        <pic:blipFill>
                          <a:blip r:embed="rId607" cstate="print"/>
                          <a:stretch>
                            <a:fillRect/>
                          </a:stretch>
                        </pic:blipFill>
                        <pic:spPr>
                          <a:xfrm>
                            <a:off x="161277" y="6946303"/>
                            <a:ext cx="140588" cy="114185"/>
                          </a:xfrm>
                          <a:prstGeom prst="rect">
                            <a:avLst/>
                          </a:prstGeom>
                        </pic:spPr>
                      </pic:pic>
                      <pic:pic>
                        <pic:nvPicPr>
                          <pic:cNvPr id="793" name="Image 793"/>
                          <pic:cNvPicPr/>
                        </pic:nvPicPr>
                        <pic:blipFill>
                          <a:blip r:embed="rId608" cstate="print"/>
                          <a:stretch>
                            <a:fillRect/>
                          </a:stretch>
                        </pic:blipFill>
                        <pic:spPr>
                          <a:xfrm>
                            <a:off x="0" y="6946303"/>
                            <a:ext cx="139674" cy="114185"/>
                          </a:xfrm>
                          <a:prstGeom prst="rect">
                            <a:avLst/>
                          </a:prstGeom>
                        </pic:spPr>
                      </pic:pic>
                    </wpg:wgp>
                  </a:graphicData>
                </a:graphic>
              </wp:anchor>
            </w:drawing>
          </mc:Choice>
          <mc:Fallback>
            <w:pict>
              <v:group style="position:absolute;margin-left:.504pt;margin-top:285.946014pt;width:594.8pt;height:555.950pt;mso-position-horizontal-relative:page;mso-position-vertical-relative:page;z-index:-23991296" id="docshapegroup111" coordorigin="10,5719" coordsize="11896,11119">
                <v:shape style="position:absolute;left:1328;top:5718;width:2381;height:3700" type="#_x0000_t75" id="docshape112" stroked="false">
                  <v:imagedata r:id="rId43" o:title=""/>
                </v:shape>
                <v:shape style="position:absolute;left:8027;top:6298;width:2053;height:3120" type="#_x0000_t75" id="docshape113" stroked="false">
                  <v:imagedata r:id="rId44" o:title=""/>
                </v:shape>
                <v:shape style="position:absolute;left:3971;top:9433;width:3973;height:3700" type="#_x0000_t75" id="docshape114" stroked="false">
                  <v:imagedata r:id="rId45" o:title=""/>
                </v:shape>
                <v:shape style="position:absolute;left:5294;top:11897;width:1327;height:1236" type="#_x0000_t75" id="docshape115" stroked="false">
                  <v:imagedata r:id="rId46" o:title=""/>
                </v:shape>
                <v:shape style="position:absolute;left:7016;top:13115;width:106;height:19" type="#_x0000_t75" id="docshape116" stroked="false">
                  <v:imagedata r:id="rId47" o:title=""/>
                </v:shape>
                <v:shape style="position:absolute;left:6761;top:13115;width:106;height:19" type="#_x0000_t75" id="docshape117" stroked="false">
                  <v:imagedata r:id="rId47" o:title=""/>
                </v:shape>
                <v:shape style="position:absolute;left:5095;top:13115;width:106;height:19" type="#_x0000_t75" id="docshape118" stroked="false">
                  <v:imagedata r:id="rId47" o:title=""/>
                </v:shape>
                <v:shape style="position:absolute;left:10324;top:13133;width:192;height:151" type="#_x0000_t75" id="docshape119" stroked="false">
                  <v:imagedata r:id="rId48" o:title=""/>
                </v:shape>
                <v:shape style="position:absolute;left:7944;top:13137;width:3962;height:3700" type="#_x0000_t75" id="docshape120" stroked="false">
                  <v:imagedata r:id="rId49" o:title=""/>
                </v:shape>
                <v:shape style="position:absolute;left:9263;top:15617;width:1324;height:1220" type="#_x0000_t75" id="docshape121" stroked="false">
                  <v:imagedata r:id="rId50" o:title=""/>
                </v:shape>
                <v:shape style="position:absolute;left:7944;top:14377;width:1320;height:1240" type="#_x0000_t75" id="docshape122" stroked="false">
                  <v:imagedata r:id="rId51" o:title=""/>
                </v:shape>
                <v:shape style="position:absolute;left:10;top:13137;width:3962;height:3700" type="#_x0000_t75" id="docshape123" stroked="false">
                  <v:imagedata r:id="rId52" o:title=""/>
                </v:shape>
                <v:shape style="position:absolute;left:5584;top:7764;width:720;height:1654" type="#_x0000_t75" id="docshape124" stroked="false">
                  <v:imagedata r:id="rId53" o:title=""/>
                </v:shape>
                <v:shape style="position:absolute;left:5319;top:8455;width:393;height:964" type="#_x0000_t75" id="docshape125" stroked="false">
                  <v:imagedata r:id="rId54" o:title=""/>
                </v:shape>
                <v:shape style="position:absolute;left:6283;top:9155;width:70;height:264" type="#_x0000_t75" id="docshape126" stroked="false">
                  <v:imagedata r:id="rId55" o:title=""/>
                </v:shape>
                <v:shape style="position:absolute;left:10407;top:13277;width:32;height:58" type="#_x0000_t75" id="docshape127" stroked="false">
                  <v:imagedata r:id="rId56" o:title=""/>
                </v:shape>
                <v:shape style="position:absolute;left:10;top:14377;width:1405;height:1767" type="#_x0000_t75" id="docshape128" stroked="false">
                  <v:imagedata r:id="rId57" o:title=""/>
                </v:shape>
                <v:shape style="position:absolute;left:11786;top:15071;width:94;height:60" type="#_x0000_t75" id="docshape129" stroked="false">
                  <v:imagedata r:id="rId58" o:title=""/>
                </v:shape>
                <v:shape style="position:absolute;left:7944;top:9433;width:3962;height:3700" type="#_x0000_t75" id="docshape130" stroked="false">
                  <v:imagedata r:id="rId59" o:title=""/>
                </v:shape>
                <v:shape style="position:absolute;left:2074;top:9433;width:1897;height:3700" type="#_x0000_t75" id="docshape131" stroked="false">
                  <v:imagedata r:id="rId60" o:title=""/>
                </v:shape>
                <v:shape style="position:absolute;left:1329;top:15473;width:1324;height:1365" type="#_x0000_t75" id="docshape132" stroked="false">
                  <v:imagedata r:id="rId61" o:title=""/>
                </v:shape>
                <v:shape style="position:absolute;left:10;top:10433;width:695;height:2260" type="#_x0000_t75" id="docshape133" stroked="false">
                  <v:imagedata r:id="rId62" o:title=""/>
                </v:shape>
                <v:shape style="position:absolute;left:11439;top:11260;width:108;height:197" type="#_x0000_t75" id="docshape134" stroked="false">
                  <v:imagedata r:id="rId63" o:title=""/>
                </v:shape>
                <v:shape style="position:absolute;left:584;top:10734;width:1510;height:2475" type="#_x0000_t75" id="docshape135" stroked="false">
                  <v:imagedata r:id="rId64" o:title=""/>
                </v:shape>
                <v:shape style="position:absolute;left:8916;top:11303;width:73;height:118" type="#_x0000_t75" id="docshape136" stroked="false">
                  <v:imagedata r:id="rId65" o:title=""/>
                </v:shape>
                <v:shape style="position:absolute;left:8683;top:13115;width:106;height:19" type="#_x0000_t75" id="docshape137" stroked="false">
                  <v:imagedata r:id="rId47" o:title=""/>
                </v:shape>
                <v:shape style="position:absolute;left:10349;top:13115;width:106;height:19" type="#_x0000_t75" id="docshape138" stroked="false">
                  <v:imagedata r:id="rId66" o:title=""/>
                </v:shape>
                <v:shape style="position:absolute;left:8427;top:13115;width:106;height:19" type="#_x0000_t75" id="docshape139" stroked="false">
                  <v:imagedata r:id="rId47" o:title=""/>
                </v:shape>
                <v:shape style="position:absolute;left:10094;top:13115;width:106;height:19" type="#_x0000_t75" id="docshape140" stroked="false">
                  <v:imagedata r:id="rId47" o:title=""/>
                </v:shape>
                <v:shape style="position:absolute;left:3971;top:15617;width:1323;height:1220" type="#_x0000_t75" id="docshape141" stroked="false">
                  <v:imagedata r:id="rId67" o:title=""/>
                </v:shape>
                <v:shape style="position:absolute;left:3971;top:13137;width:3973;height:3700" type="#_x0000_t75" id="docshape142" stroked="false">
                  <v:imagedata r:id="rId68" o:title=""/>
                </v:shape>
                <v:shape style="position:absolute;left:5294;top:15617;width:1327;height:1220" type="#_x0000_t75" id="docshape143" stroked="false">
                  <v:imagedata r:id="rId69" o:title=""/>
                </v:shape>
                <v:shape style="position:absolute;left:6608;top:14313;width:1336;height:1325" type="#_x0000_t75" id="docshape144" stroked="false">
                  <v:imagedata r:id="rId70" o:title=""/>
                </v:shape>
                <v:shape style="position:absolute;left:1457;top:5951;width:70;height:72" type="#_x0000_t75" id="docshape145" stroked="false">
                  <v:imagedata r:id="rId71" o:title=""/>
                </v:shape>
                <v:shape style="position:absolute;left:9857;top:6604;width:18;height:19" type="#_x0000_t75" id="docshape146" stroked="false">
                  <v:imagedata r:id="rId72" o:title=""/>
                </v:shape>
                <v:shape style="position:absolute;left:9788;top:7089;width:87;height:132" type="#_x0000_t75" id="docshape147" stroked="false">
                  <v:imagedata r:id="rId73" o:title=""/>
                </v:shape>
                <v:shape style="position:absolute;left:3917;top:14275;width:1377;height:1343" type="#_x0000_t75" id="docshape148" stroked="false">
                  <v:imagedata r:id="rId74" o:title=""/>
                </v:shape>
                <v:shape style="position:absolute;left:2248;top:7161;width:96;height:135" type="#_x0000_t75" id="docshape149" stroked="false">
                  <v:imagedata r:id="rId75" o:title=""/>
                </v:shape>
                <v:shape style="position:absolute;left:2251;top:7725;width:129;height:57" type="#_x0000_t75" id="docshape150" stroked="false">
                  <v:imagedata r:id="rId76" o:title=""/>
                </v:shape>
                <v:shape style="position:absolute;left:2251;top:8324;width:129;height:57" type="#_x0000_t75" id="docshape151" stroked="false">
                  <v:imagedata r:id="rId76" o:title=""/>
                </v:shape>
                <v:shape style="position:absolute;left:2251;top:8923;width:129;height:57" type="#_x0000_t75" id="docshape152" stroked="false">
                  <v:imagedata r:id="rId77" o:title=""/>
                </v:shape>
                <v:shape style="position:absolute;left:9416;top:7241;width:57;height:57" type="#_x0000_t75" id="docshape153" stroked="false">
                  <v:imagedata r:id="rId78" o:title=""/>
                </v:shape>
                <v:shape style="position:absolute;left:5826;top:7533;width:116;height:264" type="#_x0000_t75" id="docshape154" stroked="false">
                  <v:imagedata r:id="rId79" o:title=""/>
                </v:shape>
                <v:shape style="position:absolute;left:5624;top:8324;width:88;height:57" type="#_x0000_t75" id="docshape155" stroked="false">
                  <v:imagedata r:id="rId80" o:title=""/>
                </v:shape>
                <v:shape style="position:absolute;left:5583;top:9522;width:129;height:57" type="#_x0000_t75" id="docshape156" stroked="false">
                  <v:imagedata r:id="rId81" o:title=""/>
                </v:shape>
                <v:shape style="position:absolute;left:5583;top:10121;width:129;height:57" type="#_x0000_t75" id="docshape157" stroked="false">
                  <v:imagedata r:id="rId82" o:title=""/>
                </v:shape>
                <v:shape style="position:absolute;left:5583;top:10719;width:129;height:57" type="#_x0000_t75" id="docshape158" stroked="false">
                  <v:imagedata r:id="rId83" o:title=""/>
                </v:shape>
                <v:shape style="position:absolute;left:5583;top:11318;width:129;height:57" type="#_x0000_t75" id="docshape159" stroked="false">
                  <v:imagedata r:id="rId84" o:title=""/>
                </v:shape>
                <v:shape style="position:absolute;left:5583;top:11917;width:129;height:57" type="#_x0000_t75" id="docshape160" stroked="false">
                  <v:imagedata r:id="rId85" o:title=""/>
                </v:shape>
                <v:shape style="position:absolute;left:5583;top:12516;width:129;height:57" type="#_x0000_t75" id="docshape161" stroked="false">
                  <v:imagedata r:id="rId85" o:title=""/>
                </v:shape>
                <v:shape style="position:absolute;left:5583;top:13115;width:129;height:57" type="#_x0000_t75" id="docshape162" stroked="false">
                  <v:imagedata r:id="rId85" o:title=""/>
                </v:shape>
                <v:shape style="position:absolute;left:5583;top:13714;width:129;height:58" type="#_x0000_t75" id="docshape163" stroked="false">
                  <v:imagedata r:id="rId86" o:title=""/>
                </v:shape>
                <v:shape style="position:absolute;left:5583;top:14313;width:129;height:58" type="#_x0000_t75" id="docshape164" stroked="false">
                  <v:imagedata r:id="rId86" o:title=""/>
                </v:shape>
                <v:shape style="position:absolute;left:5583;top:14911;width:129;height:58" type="#_x0000_t75" id="docshape165" stroked="false">
                  <v:imagedata r:id="rId86" o:title=""/>
                </v:shape>
                <v:shape style="position:absolute;left:5583;top:15510;width:129;height:58" type="#_x0000_t75" id="docshape166" stroked="false">
                  <v:imagedata r:id="rId87" o:title=""/>
                </v:shape>
                <v:shape style="position:absolute;left:5583;top:16109;width:129;height:57" type="#_x0000_t75" id="docshape167" stroked="false">
                  <v:imagedata r:id="rId88" o:title=""/>
                </v:shape>
                <v:shape style="position:absolute;left:5583;top:16708;width:129;height:57" type="#_x0000_t75" id="docshape168" stroked="false">
                  <v:imagedata r:id="rId88" o:title=""/>
                </v:shape>
                <v:shape style="position:absolute;left:8916;top:8324;width:129;height:57" type="#_x0000_t75" id="docshape169" stroked="false">
                  <v:imagedata r:id="rId89" o:title=""/>
                </v:shape>
                <v:shape style="position:absolute;left:8916;top:8923;width:129;height:57" type="#_x0000_t75" id="docshape170" stroked="false">
                  <v:imagedata r:id="rId90" o:title=""/>
                </v:shape>
                <v:shape style="position:absolute;left:8916;top:9522;width:129;height:57" type="#_x0000_t75" id="docshape171" stroked="false">
                  <v:imagedata r:id="rId91" o:title=""/>
                </v:shape>
                <v:shape style="position:absolute;left:8916;top:10121;width:129;height:57" type="#_x0000_t75" id="docshape172" stroked="false">
                  <v:imagedata r:id="rId92" o:title=""/>
                </v:shape>
                <v:shape style="position:absolute;left:8916;top:10719;width:129;height:57" type="#_x0000_t75" id="docshape173" stroked="false">
                  <v:imagedata r:id="rId93" o:title=""/>
                </v:shape>
                <v:shape style="position:absolute;left:8916;top:12516;width:129;height:57" type="#_x0000_t75" id="docshape174" stroked="false">
                  <v:imagedata r:id="rId94" o:title=""/>
                </v:shape>
                <v:shape style="position:absolute;left:8916;top:13115;width:129;height:57" type="#_x0000_t75" id="docshape175" stroked="false">
                  <v:imagedata r:id="rId95" o:title=""/>
                </v:shape>
                <v:shape style="position:absolute;left:8916;top:13714;width:129;height:58" type="#_x0000_t75" id="docshape176" stroked="false">
                  <v:imagedata r:id="rId96" o:title=""/>
                </v:shape>
                <v:shape style="position:absolute;left:8916;top:14313;width:129;height:58" type="#_x0000_t75" id="docshape177" stroked="false">
                  <v:imagedata r:id="rId96" o:title=""/>
                </v:shape>
                <v:shape style="position:absolute;left:8916;top:14911;width:129;height:58" type="#_x0000_t75" id="docshape178" stroked="false">
                  <v:imagedata r:id="rId96" o:title=""/>
                </v:shape>
                <v:shape style="position:absolute;left:8916;top:15510;width:129;height:58" type="#_x0000_t75" id="docshape179" stroked="false">
                  <v:imagedata r:id="rId97" o:title=""/>
                </v:shape>
                <v:shape style="position:absolute;left:8916;top:16109;width:129;height:57" type="#_x0000_t75" id="docshape180" stroked="false">
                  <v:imagedata r:id="rId97" o:title=""/>
                </v:shape>
                <v:shape style="position:absolute;left:8916;top:16708;width:129;height:57" type="#_x0000_t75" id="docshape181" stroked="false">
                  <v:imagedata r:id="rId97" o:title=""/>
                </v:shape>
                <v:shape style="position:absolute;left:3123;top:8885;width:86;height:132" type="#_x0000_t75" id="docshape182" stroked="false">
                  <v:imagedata r:id="rId98" o:title=""/>
                </v:shape>
                <v:shape style="position:absolute;left:3404;top:8960;width:95;height:132" type="#_x0000_t75" id="docshape183" stroked="false">
                  <v:imagedata r:id="rId99" o:title=""/>
                </v:shape>
                <v:shape style="position:absolute;left:3123;top:9484;width:86;height:132" type="#_x0000_t75" id="docshape184" stroked="false">
                  <v:imagedata r:id="rId100" o:title=""/>
                </v:shape>
                <v:shape style="position:absolute;left:3123;top:10083;width:86;height:132" type="#_x0000_t75" id="docshape185" stroked="false">
                  <v:imagedata r:id="rId101" o:title=""/>
                </v:shape>
                <v:shape style="position:absolute;left:3123;top:10682;width:86;height:132" type="#_x0000_t75" id="docshape186" stroked="false">
                  <v:imagedata r:id="rId102" o:title=""/>
                </v:shape>
                <v:shape style="position:absolute;left:3123;top:11281;width:86;height:132" type="#_x0000_t75" id="docshape187" stroked="false">
                  <v:imagedata r:id="rId103" o:title=""/>
                </v:shape>
                <v:shape style="position:absolute;left:3123;top:11880;width:86;height:132" type="#_x0000_t75" id="docshape188" stroked="false">
                  <v:imagedata r:id="rId104" o:title=""/>
                </v:shape>
                <v:shape style="position:absolute;left:3123;top:12479;width:86;height:132" type="#_x0000_t75" id="docshape189" stroked="false">
                  <v:imagedata r:id="rId105" o:title=""/>
                </v:shape>
                <v:shape style="position:absolute;left:3123;top:13077;width:86;height:132" type="#_x0000_t75" id="docshape190" stroked="false">
                  <v:imagedata r:id="rId106" o:title=""/>
                </v:shape>
                <v:shape style="position:absolute;left:3123;top:13676;width:86;height:132" type="#_x0000_t75" id="docshape191" stroked="false">
                  <v:imagedata r:id="rId106" o:title=""/>
                </v:shape>
                <v:shape style="position:absolute;left:3123;top:14275;width:86;height:132" type="#_x0000_t75" id="docshape192" stroked="false">
                  <v:imagedata r:id="rId106" o:title=""/>
                </v:shape>
                <v:shape style="position:absolute;left:3123;top:14874;width:86;height:132" type="#_x0000_t75" id="docshape193" stroked="false">
                  <v:imagedata r:id="rId107" o:title=""/>
                </v:shape>
                <v:shape style="position:absolute;left:3123;top:15473;width:86;height:132" type="#_x0000_t75" id="docshape194" stroked="false">
                  <v:imagedata r:id="rId107" o:title=""/>
                </v:shape>
                <v:shape style="position:absolute;left:3123;top:16072;width:86;height:132" type="#_x0000_t75" id="docshape195" stroked="false">
                  <v:imagedata r:id="rId107" o:title=""/>
                </v:shape>
                <v:shape style="position:absolute;left:3123;top:16671;width:86;height:132" type="#_x0000_t75" id="docshape196" stroked="false">
                  <v:imagedata r:id="rId107" o:title=""/>
                </v:shape>
                <v:shape style="position:absolute;left:8122;top:9484;width:87;height:132" type="#_x0000_t75" id="docshape197" stroked="false">
                  <v:imagedata r:id="rId108" o:title=""/>
                </v:shape>
                <v:shape style="position:absolute;left:8122;top:10083;width:87;height:132" type="#_x0000_t75" id="docshape198" stroked="false">
                  <v:imagedata r:id="rId109" o:title=""/>
                </v:shape>
                <v:shape style="position:absolute;left:8122;top:10682;width:87;height:132" type="#_x0000_t75" id="docshape199" stroked="false">
                  <v:imagedata r:id="rId110" o:title=""/>
                </v:shape>
                <v:shape style="position:absolute;left:8122;top:11281;width:87;height:132" type="#_x0000_t75" id="docshape200" stroked="false">
                  <v:imagedata r:id="rId111" o:title=""/>
                </v:shape>
                <v:shape style="position:absolute;left:8122;top:11880;width:87;height:132" type="#_x0000_t75" id="docshape201" stroked="false">
                  <v:imagedata r:id="rId112" o:title=""/>
                </v:shape>
                <v:shape style="position:absolute;left:8122;top:12479;width:87;height:132" type="#_x0000_t75" id="docshape202" stroked="false">
                  <v:imagedata r:id="rId113" o:title=""/>
                </v:shape>
                <v:shape style="position:absolute;left:8122;top:13077;width:87;height:132" type="#_x0000_t75" id="docshape203" stroked="false">
                  <v:imagedata r:id="rId114" o:title=""/>
                </v:shape>
                <v:shape style="position:absolute;left:8122;top:13676;width:87;height:132" type="#_x0000_t75" id="docshape204" stroked="false">
                  <v:imagedata r:id="rId114" o:title=""/>
                </v:shape>
                <v:shape style="position:absolute;left:8122;top:14275;width:87;height:132" type="#_x0000_t75" id="docshape205" stroked="false">
                  <v:imagedata r:id="rId114" o:title=""/>
                </v:shape>
                <v:shape style="position:absolute;left:8122;top:14874;width:87;height:132" type="#_x0000_t75" id="docshape206" stroked="false">
                  <v:imagedata r:id="rId115" o:title=""/>
                </v:shape>
                <v:shape style="position:absolute;left:8122;top:15473;width:87;height:132" type="#_x0000_t75" id="docshape207" stroked="false">
                  <v:imagedata r:id="rId115" o:title=""/>
                </v:shape>
                <v:shape style="position:absolute;left:8122;top:16072;width:87;height:132" type="#_x0000_t75" id="docshape208" stroked="false">
                  <v:imagedata r:id="rId115" o:title=""/>
                </v:shape>
                <v:shape style="position:absolute;left:8122;top:16671;width:87;height:132" type="#_x0000_t75" id="docshape209" stroked="false">
                  <v:imagedata r:id="rId115" o:title=""/>
                </v:shape>
                <v:shape style="position:absolute;left:3917;top:10121;width:129;height:57" type="#_x0000_t75" id="docshape210" stroked="false">
                  <v:imagedata r:id="rId116" o:title=""/>
                </v:shape>
                <v:shape style="position:absolute;left:3917;top:10719;width:129;height:57" type="#_x0000_t75" id="docshape211" stroked="false">
                  <v:imagedata r:id="rId117" o:title=""/>
                </v:shape>
                <v:shape style="position:absolute;left:3917;top:11318;width:129;height:57" type="#_x0000_t75" id="docshape212" stroked="false">
                  <v:imagedata r:id="rId118" o:title=""/>
                </v:shape>
                <v:shape style="position:absolute;left:3917;top:11917;width:129;height:57" type="#_x0000_t75" id="docshape213" stroked="false">
                  <v:imagedata r:id="rId85" o:title=""/>
                </v:shape>
                <v:shape style="position:absolute;left:3917;top:12516;width:129;height:57" type="#_x0000_t75" id="docshape214" stroked="false">
                  <v:imagedata r:id="rId85" o:title=""/>
                </v:shape>
                <v:shape style="position:absolute;left:3917;top:13115;width:129;height:57" type="#_x0000_t75" id="docshape215" stroked="false">
                  <v:imagedata r:id="rId85" o:title=""/>
                </v:shape>
                <v:shape style="position:absolute;left:3917;top:13714;width:129;height:58" type="#_x0000_t75" id="docshape216" stroked="false">
                  <v:imagedata r:id="rId86" o:title=""/>
                </v:shape>
                <v:shape style="position:absolute;left:3917;top:16109;width:129;height:57" type="#_x0000_t75" id="docshape217" stroked="false">
                  <v:imagedata r:id="rId119" o:title=""/>
                </v:shape>
                <v:shape style="position:absolute;left:3917;top:16708;width:129;height:57" type="#_x0000_t75" id="docshape218" stroked="false">
                  <v:imagedata r:id="rId119" o:title=""/>
                </v:shape>
                <v:shape style="position:absolute;left:6456;top:10083;width:87;height:132" type="#_x0000_t75" id="docshape219" stroked="false">
                  <v:imagedata r:id="rId120" o:title=""/>
                </v:shape>
                <v:shape style="position:absolute;left:6456;top:10682;width:87;height:132" type="#_x0000_t75" id="docshape220" stroked="false">
                  <v:imagedata r:id="rId121" o:title=""/>
                </v:shape>
                <v:shape style="position:absolute;left:6456;top:11281;width:87;height:132" type="#_x0000_t75" id="docshape221" stroked="false">
                  <v:imagedata r:id="rId122" o:title=""/>
                </v:shape>
                <v:shape style="position:absolute;left:6456;top:11880;width:87;height:132" type="#_x0000_t75" id="docshape222" stroked="false">
                  <v:imagedata r:id="rId123" o:title=""/>
                </v:shape>
                <v:shape style="position:absolute;left:6456;top:12479;width:87;height:132" type="#_x0000_t75" id="docshape223" stroked="false">
                  <v:imagedata r:id="rId106" o:title=""/>
                </v:shape>
                <v:shape style="position:absolute;left:6456;top:13077;width:87;height:132" type="#_x0000_t75" id="docshape224" stroked="false">
                  <v:imagedata r:id="rId106" o:title=""/>
                </v:shape>
                <v:shape style="position:absolute;left:6456;top:13676;width:87;height:132" type="#_x0000_t75" id="docshape225" stroked="false">
                  <v:imagedata r:id="rId106" o:title=""/>
                </v:shape>
                <v:shape style="position:absolute;left:6456;top:14275;width:87;height:132" type="#_x0000_t75" id="docshape226" stroked="false">
                  <v:imagedata r:id="rId106" o:title=""/>
                </v:shape>
                <v:shape style="position:absolute;left:6456;top:14874;width:87;height:132" type="#_x0000_t75" id="docshape227" stroked="false">
                  <v:imagedata r:id="rId107" o:title=""/>
                </v:shape>
                <v:shape style="position:absolute;left:6456;top:15473;width:87;height:132" type="#_x0000_t75" id="docshape228" stroked="false">
                  <v:imagedata r:id="rId107" o:title=""/>
                </v:shape>
                <v:shape style="position:absolute;left:6456;top:16072;width:87;height:132" type="#_x0000_t75" id="docshape229" stroked="false">
                  <v:imagedata r:id="rId107" o:title=""/>
                </v:shape>
                <v:shape style="position:absolute;left:6456;top:16671;width:87;height:132" type="#_x0000_t75" id="docshape230" stroked="false">
                  <v:imagedata r:id="rId107" o:title=""/>
                </v:shape>
                <v:shape style="position:absolute;left:11455;top:10682;width:87;height:132" type="#_x0000_t75" id="docshape231" stroked="false">
                  <v:imagedata r:id="rId124" o:title=""/>
                </v:shape>
                <v:shape style="position:absolute;left:11086;top:10862;width:53;height:29" type="#_x0000_t75" id="docshape232" stroked="false">
                  <v:imagedata r:id="rId125" o:title=""/>
                </v:shape>
                <v:shape style="position:absolute;left:4790;top:11281;width:87;height:132" type="#_x0000_t75" id="docshape233" stroked="false">
                  <v:imagedata r:id="rId126" o:title=""/>
                </v:shape>
                <v:shape style="position:absolute;left:4790;top:11880;width:87;height:132" type="#_x0000_t75" id="docshape234" stroked="false">
                  <v:imagedata r:id="rId127" o:title=""/>
                </v:shape>
                <v:shape style="position:absolute;left:4790;top:12479;width:87;height:132" type="#_x0000_t75" id="docshape235" stroked="false">
                  <v:imagedata r:id="rId114" o:title=""/>
                </v:shape>
                <v:shape style="position:absolute;left:4790;top:13077;width:87;height:132" type="#_x0000_t75" id="docshape236" stroked="false">
                  <v:imagedata r:id="rId114" o:title=""/>
                </v:shape>
                <v:shape style="position:absolute;left:4790;top:13676;width:87;height:132" type="#_x0000_t75" id="docshape237" stroked="false">
                  <v:imagedata r:id="rId114" o:title=""/>
                </v:shape>
                <v:shape style="position:absolute;left:4790;top:16072;width:87;height:132" type="#_x0000_t75" id="docshape238" stroked="false">
                  <v:imagedata r:id="rId115" o:title=""/>
                </v:shape>
                <v:shape style="position:absolute;left:4790;top:16671;width:87;height:132" type="#_x0000_t75" id="docshape239" stroked="false">
                  <v:imagedata r:id="rId115" o:title=""/>
                </v:shape>
                <v:shape style="position:absolute;left:7250;top:10719;width:129;height:57" type="#_x0000_t75" id="docshape240" stroked="false">
                  <v:imagedata r:id="rId128" o:title=""/>
                </v:shape>
                <v:shape style="position:absolute;left:7250;top:11318;width:129;height:57" type="#_x0000_t75" id="docshape241" stroked="false">
                  <v:imagedata r:id="rId129" o:title=""/>
                </v:shape>
                <v:shape style="position:absolute;left:7250;top:11917;width:129;height:57" type="#_x0000_t75" id="docshape242" stroked="false">
                  <v:imagedata r:id="rId130" o:title=""/>
                </v:shape>
                <v:shape style="position:absolute;left:7250;top:12516;width:129;height:57" type="#_x0000_t75" id="docshape243" stroked="false">
                  <v:imagedata r:id="rId95" o:title=""/>
                </v:shape>
                <v:shape style="position:absolute;left:7250;top:13115;width:129;height:57" type="#_x0000_t75" id="docshape244" stroked="false">
                  <v:imagedata r:id="rId95" o:title=""/>
                </v:shape>
                <v:shape style="position:absolute;left:7250;top:13714;width:129;height:58" type="#_x0000_t75" id="docshape245" stroked="false">
                  <v:imagedata r:id="rId96" o:title=""/>
                </v:shape>
                <v:shape style="position:absolute;left:7250;top:16109;width:129;height:57" type="#_x0000_t75" id="docshape246" stroked="false">
                  <v:imagedata r:id="rId97" o:title=""/>
                </v:shape>
                <v:shape style="position:absolute;left:7250;top:16708;width:129;height:57" type="#_x0000_t75" id="docshape247" stroked="false">
                  <v:imagedata r:id="rId97" o:title=""/>
                </v:shape>
                <v:shape style="position:absolute;left:10582;top:11318;width:129;height:57" type="#_x0000_t75" id="docshape248" stroked="false">
                  <v:imagedata r:id="rId131" o:title=""/>
                </v:shape>
                <v:shape style="position:absolute;left:10582;top:11917;width:129;height:57" type="#_x0000_t75" id="docshape249" stroked="false">
                  <v:imagedata r:id="rId132" o:title=""/>
                </v:shape>
                <v:shape style="position:absolute;left:10582;top:12516;width:129;height:57" type="#_x0000_t75" id="docshape250" stroked="false">
                  <v:imagedata r:id="rId133" o:title=""/>
                </v:shape>
                <v:shape style="position:absolute;left:2251;top:11917;width:129;height:57" type="#_x0000_t75" id="docshape251" stroked="false">
                  <v:imagedata r:id="rId134" o:title=""/>
                </v:shape>
                <v:shape style="position:absolute;left:2251;top:12516;width:129;height:57" type="#_x0000_t75" id="docshape252" stroked="false">
                  <v:imagedata r:id="rId135" o:title=""/>
                </v:shape>
                <v:shape style="position:absolute;left:2251;top:13115;width:129;height:57" type="#_x0000_t75" id="docshape253" stroked="false">
                  <v:imagedata r:id="rId85" o:title=""/>
                </v:shape>
                <v:shape style="position:absolute;left:2251;top:13714;width:129;height:58" type="#_x0000_t75" id="docshape254" stroked="false">
                  <v:imagedata r:id="rId86" o:title=""/>
                </v:shape>
                <v:shape style="position:absolute;left:2251;top:14313;width:129;height:58" type="#_x0000_t75" id="docshape255" stroked="false">
                  <v:imagedata r:id="rId86" o:title=""/>
                </v:shape>
                <v:shape style="position:absolute;left:2251;top:14911;width:129;height:58" type="#_x0000_t75" id="docshape256" stroked="false">
                  <v:imagedata r:id="rId86" o:title=""/>
                </v:shape>
                <v:shape style="position:absolute;left:9788;top:11880;width:87;height:132" type="#_x0000_t75" id="docshape257" stroked="false">
                  <v:imagedata r:id="rId136" o:title=""/>
                </v:shape>
                <v:shape style="position:absolute;left:9788;top:12479;width:87;height:132" type="#_x0000_t75" id="docshape258" stroked="false">
                  <v:imagedata r:id="rId137" o:title=""/>
                </v:shape>
                <v:shape style="position:absolute;left:9788;top:13077;width:87;height:132" type="#_x0000_t75" id="docshape259" stroked="false">
                  <v:imagedata r:id="rId138" o:title=""/>
                </v:shape>
                <v:shape style="position:absolute;left:9788;top:13676;width:87;height:132" type="#_x0000_t75" id="docshape260" stroked="false">
                  <v:imagedata r:id="rId139" o:title=""/>
                </v:shape>
                <v:shape style="position:absolute;left:9788;top:14275;width:87;height:132" type="#_x0000_t75" id="docshape261" stroked="false">
                  <v:imagedata r:id="rId106" o:title=""/>
                </v:shape>
                <v:shape style="position:absolute;left:9788;top:14874;width:87;height:132" type="#_x0000_t75" id="docshape262" stroked="false">
                  <v:imagedata r:id="rId107" o:title=""/>
                </v:shape>
                <v:shape style="position:absolute;left:9788;top:15473;width:87;height:132" type="#_x0000_t75" id="docshape263" stroked="false">
                  <v:imagedata r:id="rId107" o:title=""/>
                </v:shape>
                <v:shape style="position:absolute;left:9788;top:16072;width:87;height:132" type="#_x0000_t75" id="docshape264" stroked="false">
                  <v:imagedata r:id="rId107" o:title=""/>
                </v:shape>
                <v:shape style="position:absolute;left:9788;top:16671;width:87;height:132" type="#_x0000_t75" id="docshape265" stroked="false">
                  <v:imagedata r:id="rId107" o:title=""/>
                </v:shape>
                <v:shape style="position:absolute;left:1457;top:13676;width:87;height:132" type="#_x0000_t75" id="docshape266" stroked="false">
                  <v:imagedata r:id="rId140" o:title=""/>
                </v:shape>
                <v:shape style="position:absolute;left:1457;top:14275;width:87;height:132" type="#_x0000_t75" id="docshape267" stroked="false">
                  <v:imagedata r:id="rId106" o:title=""/>
                </v:shape>
                <v:shape style="position:absolute;left:1457;top:14874;width:87;height:132" type="#_x0000_t75" id="docshape268" stroked="false">
                  <v:imagedata r:id="rId107" o:title=""/>
                </v:shape>
                <v:shape style="position:absolute;left:584;top:13714;width:129;height:58" type="#_x0000_t75" id="docshape269" stroked="false">
                  <v:imagedata r:id="rId141" o:title=""/>
                </v:shape>
                <v:shape style="position:absolute;left:584;top:14313;width:129;height:58" type="#_x0000_t75" id="docshape270" stroked="false">
                  <v:imagedata r:id="rId142" o:title=""/>
                </v:shape>
                <v:shape style="position:absolute;left:584;top:14911;width:129;height:58" type="#_x0000_t75" id="docshape271" stroked="false">
                  <v:imagedata r:id="rId143" o:title=""/>
                </v:shape>
                <v:shape style="position:absolute;left:584;top:15510;width:129;height:58" type="#_x0000_t75" id="docshape272" stroked="false">
                  <v:imagedata r:id="rId144" o:title=""/>
                </v:shape>
                <v:shape style="position:absolute;left:584;top:16109;width:129;height:57" type="#_x0000_t75" id="docshape273" stroked="false">
                  <v:imagedata r:id="rId145" o:title=""/>
                </v:shape>
                <v:shape style="position:absolute;left:584;top:16708;width:129;height:57" type="#_x0000_t75" id="docshape274" stroked="false">
                  <v:imagedata r:id="rId146" o:title=""/>
                </v:shape>
                <v:shape style="position:absolute;left:10;top:16819;width:4;height:19" type="#_x0000_t75" id="docshape275" stroked="false">
                  <v:imagedata r:id="rId147" o:title=""/>
                </v:shape>
                <v:shape style="position:absolute;left:11455;top:13676;width:87;height:132" type="#_x0000_t75" id="docshape276" stroked="false">
                  <v:imagedata r:id="rId148" o:title=""/>
                </v:shape>
                <v:shape style="position:absolute;left:10582;top:13714;width:129;height:58" type="#_x0000_t75" id="docshape277" stroked="false">
                  <v:imagedata r:id="rId149" o:title=""/>
                </v:shape>
                <v:shape style="position:absolute;left:11455;top:14275;width:87;height:132" type="#_x0000_t75" id="docshape278" stroked="false">
                  <v:imagedata r:id="rId150" o:title=""/>
                </v:shape>
                <v:shape style="position:absolute;left:10582;top:14313;width:129;height:58" type="#_x0000_t75" id="docshape279" stroked="false">
                  <v:imagedata r:id="rId151" o:title=""/>
                </v:shape>
                <v:shape style="position:absolute;left:11455;top:14874;width:87;height:132" type="#_x0000_t75" id="docshape280" stroked="false">
                  <v:imagedata r:id="rId152" o:title=""/>
                </v:shape>
                <v:shape style="position:absolute;left:10582;top:14911;width:129;height:58" type="#_x0000_t75" id="docshape281" stroked="false">
                  <v:imagedata r:id="rId153" o:title=""/>
                </v:shape>
                <v:shape style="position:absolute;left:10582;top:15510;width:129;height:58" type="#_x0000_t75" id="docshape282" stroked="false">
                  <v:imagedata r:id="rId154" o:title=""/>
                </v:shape>
                <v:shape style="position:absolute;left:11455;top:16072;width:87;height:132" type="#_x0000_t75" id="docshape283" stroked="false">
                  <v:imagedata r:id="rId155" o:title=""/>
                </v:shape>
                <v:shape style="position:absolute;left:10582;top:16109;width:129;height:57" type="#_x0000_t75" id="docshape284" stroked="false">
                  <v:imagedata r:id="rId156" o:title=""/>
                </v:shape>
                <v:shape style="position:absolute;left:11455;top:16671;width:87;height:132" type="#_x0000_t75" id="docshape285" stroked="false">
                  <v:imagedata r:id="rId157" o:title=""/>
                </v:shape>
                <v:shape style="position:absolute;left:10582;top:16708;width:129;height:57" type="#_x0000_t75" id="docshape286" stroked="false">
                  <v:imagedata r:id="rId158" o:title=""/>
                </v:shape>
                <v:shape style="position:absolute;left:1404;top:5892;width:200;height:252" type="#_x0000_t75" id="docshape287" stroked="false">
                  <v:imagedata r:id="rId159" o:title=""/>
                </v:shape>
                <v:shape style="position:absolute;left:1512;top:6381;width:146;height:362" type="#_x0000_t75" id="docshape288" stroked="false">
                  <v:imagedata r:id="rId160" o:title=""/>
                </v:shape>
                <v:shape style="position:absolute;left:1674;top:6477;width:302;height:271" type="#_x0000_t75" id="docshape289" stroked="false">
                  <v:imagedata r:id="rId161" o:title=""/>
                </v:shape>
                <v:shape style="position:absolute;left:9825;top:6541;width:197;height:202" type="#_x0000_t75" id="docshape290" stroked="false">
                  <v:imagedata r:id="rId162" o:title=""/>
                </v:shape>
                <v:shape style="position:absolute;left:9675;top:6980;width:224;height:362" type="#_x0000_t75" id="docshape291" stroked="false">
                  <v:imagedata r:id="rId163" o:title=""/>
                </v:shape>
                <v:shape style="position:absolute;left:1759;top:7076;width:395;height:271" type="#_x0000_t75" id="docshape292" stroked="false">
                  <v:imagedata r:id="rId164" o:title=""/>
                </v:shape>
                <v:shape style="position:absolute;left:1714;top:7076;width:183;height:126" type="#_x0000_t75" id="docshape293" stroked="false">
                  <v:imagedata r:id="rId165" o:title=""/>
                </v:shape>
                <v:shape style="position:absolute;left:2185;top:7111;width:188;height:235" type="#_x0000_t75" id="docshape294" stroked="false">
                  <v:imagedata r:id="rId166" o:title=""/>
                </v:shape>
                <v:shape style="position:absolute;left:9387;top:7194;width:149;height:153" type="#_x0000_t75" id="docshape295" stroked="false">
                  <v:imagedata r:id="rId167" o:title=""/>
                </v:shape>
                <v:shape style="position:absolute;left:9352;top:7674;width:184;height:271" type="#_x0000_t75" id="docshape296" stroked="false">
                  <v:imagedata r:id="rId168" o:title=""/>
                </v:shape>
                <v:shape style="position:absolute;left:5805;top:7674;width:166;height:271" type="#_x0000_t75" id="docshape297" stroked="false">
                  <v:imagedata r:id="rId169" o:title=""/>
                </v:shape>
                <v:shape style="position:absolute;left:8991;top:7674;width:330;height:271" type="#_x0000_t75" id="docshape298" stroked="false">
                  <v:imagedata r:id="rId170" o:title=""/>
                </v:shape>
                <v:shape style="position:absolute;left:2472;top:7674;width:290;height:271" type="#_x0000_t75" id="docshape299" stroked="false">
                  <v:imagedata r:id="rId171" o:title=""/>
                </v:shape>
                <v:shape style="position:absolute;left:2185;top:7674;width:255;height:271" type="#_x0000_t75" id="docshape300" stroked="false">
                  <v:imagedata r:id="rId172" o:title=""/>
                </v:shape>
                <v:shape style="position:absolute;left:1871;top:7674;width:283;height:271" type="#_x0000_t75" id="docshape301" stroked="false">
                  <v:imagedata r:id="rId173" o:title=""/>
                </v:shape>
                <v:shape style="position:absolute;left:9675;top:7695;width:97;height:246" type="#_x0000_t75" id="docshape302" stroked="false">
                  <v:imagedata r:id="rId174" o:title=""/>
                </v:shape>
                <v:shape style="position:absolute;left:9352;top:8273;width:184;height:271" type="#_x0000_t75" id="docshape303" stroked="false">
                  <v:imagedata r:id="rId175" o:title=""/>
                </v:shape>
                <v:shape style="position:absolute;left:9137;top:8273;width:184;height:271" type="#_x0000_t75" id="docshape304" stroked="false">
                  <v:imagedata r:id="rId176" o:title=""/>
                </v:shape>
                <v:shape style="position:absolute;left:2687;top:8273;width:184;height:271" type="#_x0000_t75" id="docshape305" stroked="false">
                  <v:imagedata r:id="rId177" o:title=""/>
                </v:shape>
                <v:shape style="position:absolute;left:8625;top:8273;width:481;height:271" type="#_x0000_t75" id="docshape306" stroked="false">
                  <v:imagedata r:id="rId178" o:title=""/>
                </v:shape>
                <v:shape style="position:absolute;left:2472;top:8273;width:184;height:271" type="#_x0000_t75" id="docshape307" stroked="false">
                  <v:imagedata r:id="rId179" o:title=""/>
                </v:shape>
                <v:shape style="position:absolute;left:5805;top:8273;width:326;height:271" type="#_x0000_t75" id="docshape308" stroked="false">
                  <v:imagedata r:id="rId180" o:title=""/>
                </v:shape>
                <v:shape style="position:absolute;left:2034;top:8273;width:406;height:271" type="#_x0000_t75" id="docshape309" stroked="false">
                  <v:imagedata r:id="rId181" o:title=""/>
                </v:shape>
                <v:shape style="position:absolute;left:5581;top:8273;width:193;height:271" type="#_x0000_t75" id="docshape310" stroked="false">
                  <v:imagedata r:id="rId182" o:title=""/>
                </v:shape>
                <v:shape style="position:absolute;left:3010;top:8410;width:93;height:129" type="#_x0000_t75" id="docshape311" stroked="false">
                  <v:imagedata r:id="rId183" o:title=""/>
                </v:shape>
                <v:shape style="position:absolute;left:3010;top:8776;width:315;height:362" type="#_x0000_t75" id="docshape312" stroked="false">
                  <v:imagedata r:id="rId184" o:title=""/>
                </v:shape>
                <v:shape style="position:absolute;left:9352;top:8872;width:161;height:271" type="#_x0000_t75" id="docshape313" stroked="false">
                  <v:imagedata r:id="rId185" o:title=""/>
                </v:shape>
                <v:shape style="position:absolute;left:9137;top:8872;width:184;height:271" type="#_x0000_t75" id="docshape314" stroked="false">
                  <v:imagedata r:id="rId186" o:title=""/>
                </v:shape>
                <v:shape style="position:absolute;left:8850;top:8872;width:256;height:271" type="#_x0000_t75" id="docshape315" stroked="false">
                  <v:imagedata r:id="rId187" o:title=""/>
                </v:shape>
                <v:shape style="position:absolute;left:8595;top:8872;width:224;height:271" type="#_x0000_t75" id="docshape316" stroked="false">
                  <v:imagedata r:id="rId188" o:title=""/>
                </v:shape>
                <v:shape style="position:absolute;left:6020;top:8872;width:184;height:271" type="#_x0000_t75" id="docshape317" stroked="false">
                  <v:imagedata r:id="rId189" o:title=""/>
                </v:shape>
                <v:shape style="position:absolute;left:8238;top:8872;width:326;height:271" type="#_x0000_t75" id="docshape318" stroked="false">
                  <v:imagedata r:id="rId190" o:title=""/>
                </v:shape>
                <v:shape style="position:absolute;left:5805;top:8872;width:184;height:271" type="#_x0000_t75" id="docshape319" stroked="false">
                  <v:imagedata r:id="rId191" o:title=""/>
                </v:shape>
                <v:shape style="position:absolute;left:5400;top:8872;width:373;height:271" type="#_x0000_t75" id="docshape320" stroked="false">
                  <v:imagedata r:id="rId192" o:title=""/>
                </v:shape>
                <v:shape style="position:absolute;left:2687;top:8872;width:184;height:271" type="#_x0000_t75" id="docshape321" stroked="false">
                  <v:imagedata r:id="rId193" o:title=""/>
                </v:shape>
                <v:shape style="position:absolute;left:2472;top:8872;width:184;height:271" type="#_x0000_t75" id="docshape322" stroked="false">
                  <v:imagedata r:id="rId194" o:title=""/>
                </v:shape>
                <v:shape style="position:absolute;left:2212;top:8872;width:228;height:271" type="#_x0000_t75" id="docshape323" stroked="false">
                  <v:imagedata r:id="rId195" o:title=""/>
                </v:shape>
                <v:shape style="position:absolute;left:3341;top:8908;width:187;height:235" type="#_x0000_t75" id="docshape324" stroked="false">
                  <v:imagedata r:id="rId196" o:title=""/>
                </v:shape>
                <v:shape style="position:absolute;left:8009;top:9375;width:315;height:362" type="#_x0000_t75" id="docshape325" stroked="false">
                  <v:imagedata r:id="rId197" o:title=""/>
                </v:shape>
                <v:shape style="position:absolute;left:3010;top:9375;width:315;height:362" type="#_x0000_t75" id="docshape326" stroked="false">
                  <v:imagedata r:id="rId198" o:title=""/>
                </v:shape>
                <v:shape style="position:absolute;left:9137;top:9471;width:246;height:271" type="#_x0000_t75" id="docshape327" stroked="false">
                  <v:imagedata r:id="rId199" o:title=""/>
                </v:shape>
                <v:shape style="position:absolute;left:8850;top:9471;width:256;height:271" type="#_x0000_t75" id="docshape328" stroked="false">
                  <v:imagedata r:id="rId200" o:title=""/>
                </v:shape>
                <v:shape style="position:absolute;left:8595;top:9471;width:224;height:271" type="#_x0000_t75" id="docshape329" stroked="false">
                  <v:imagedata r:id="rId201" o:title=""/>
                </v:shape>
                <v:shape style="position:absolute;left:8340;top:9471;width:224;height:271" type="#_x0000_t75" id="docshape330" stroked="false">
                  <v:imagedata r:id="rId202" o:title=""/>
                </v:shape>
                <v:shape style="position:absolute;left:6020;top:9471;width:184;height:271" type="#_x0000_t75" id="docshape331" stroked="false">
                  <v:imagedata r:id="rId203" o:title=""/>
                </v:shape>
                <v:shape style="position:absolute;left:5805;top:9471;width:184;height:271" type="#_x0000_t75" id="docshape332" stroked="false">
                  <v:imagedata r:id="rId204" o:title=""/>
                </v:shape>
                <v:shape style="position:absolute;left:5518;top:9471;width:256;height:271" type="#_x0000_t75" id="docshape333" stroked="false">
                  <v:imagedata r:id="rId205" o:title=""/>
                </v:shape>
                <v:shape style="position:absolute;left:5262;top:9471;width:224;height:271" type="#_x0000_t75" id="docshape334" stroked="false">
                  <v:imagedata r:id="rId206" o:title=""/>
                </v:shape>
                <v:shape style="position:absolute;left:3596;top:9471;width:307;height:271" type="#_x0000_t75" id="docshape335" stroked="false">
                  <v:imagedata r:id="rId207" o:title=""/>
                </v:shape>
                <v:shape style="position:absolute;left:3341;top:9471;width:224;height:271" type="#_x0000_t75" id="docshape336" stroked="false">
                  <v:imagedata r:id="rId208" o:title=""/>
                </v:shape>
                <v:shape style="position:absolute;left:2687;top:9471;width:184;height:271" type="#_x0000_t75" id="docshape337" stroked="false">
                  <v:imagedata r:id="rId209" o:title=""/>
                </v:shape>
                <v:shape style="position:absolute;left:2366;top:9471;width:290;height:271" type="#_x0000_t75" id="docshape338" stroked="false">
                  <v:imagedata r:id="rId210" o:title=""/>
                </v:shape>
                <v:shape style="position:absolute;left:6343;top:9596;width:83;height:142" type="#_x0000_t75" id="docshape339" stroked="false">
                  <v:imagedata r:id="rId211" o:title=""/>
                </v:shape>
                <v:shape style="position:absolute;left:7821;top:9659;width:49;height:74" type="#_x0000_t75" id="docshape340" stroked="false">
                  <v:imagedata r:id="rId212" o:title=""/>
                </v:shape>
                <v:shape style="position:absolute;left:8009;top:9974;width:315;height:362" type="#_x0000_t75" id="docshape341" stroked="false">
                  <v:imagedata r:id="rId213" o:title=""/>
                </v:shape>
                <v:shape style="position:absolute;left:6343;top:9974;width:243;height:362" type="#_x0000_t75" id="docshape342" stroked="false">
                  <v:imagedata r:id="rId214" o:title=""/>
                </v:shape>
                <v:shape style="position:absolute;left:3010;top:9974;width:315;height:362" type="#_x0000_t75" id="docshape343" stroked="false">
                  <v:imagedata r:id="rId215" o:title=""/>
                </v:shape>
                <v:shape style="position:absolute;left:8850;top:10070;width:406;height:271" type="#_x0000_t75" id="docshape344" stroked="false">
                  <v:imagedata r:id="rId216" o:title=""/>
                </v:shape>
                <v:shape style="position:absolute;left:8595;top:10070;width:224;height:271" type="#_x0000_t75" id="docshape345" stroked="false">
                  <v:imagedata r:id="rId217" o:title=""/>
                </v:shape>
                <v:shape style="position:absolute;left:8340;top:10070;width:224;height:271" type="#_x0000_t75" id="docshape346" stroked="false">
                  <v:imagedata r:id="rId218" o:title=""/>
                </v:shape>
                <v:shape style="position:absolute;left:7569;top:10070;width:301;height:271" type="#_x0000_t75" id="docshape347" stroked="false">
                  <v:imagedata r:id="rId219" o:title=""/>
                </v:shape>
                <v:shape style="position:absolute;left:6020;top:10070;width:184;height:271" type="#_x0000_t75" id="docshape348" stroked="false">
                  <v:imagedata r:id="rId220" o:title=""/>
                </v:shape>
                <v:shape style="position:absolute;left:5805;top:10070;width:184;height:271" type="#_x0000_t75" id="docshape349" stroked="false">
                  <v:imagedata r:id="rId221" o:title=""/>
                </v:shape>
                <v:shape style="position:absolute;left:5518;top:10070;width:256;height:271" type="#_x0000_t75" id="docshape350" stroked="false">
                  <v:imagedata r:id="rId222" o:title=""/>
                </v:shape>
                <v:shape style="position:absolute;left:5055;top:10070;width:432;height:271" type="#_x0000_t75" id="docshape351" stroked="false">
                  <v:imagedata r:id="rId223" o:title=""/>
                </v:shape>
                <v:shape style="position:absolute;left:3596;top:10070;width:224;height:271" type="#_x0000_t75" id="docshape352" stroked="false">
                  <v:imagedata r:id="rId224" o:title=""/>
                </v:shape>
                <v:shape style="position:absolute;left:3341;top:10070;width:224;height:271" type="#_x0000_t75" id="docshape353" stroked="false">
                  <v:imagedata r:id="rId225" o:title=""/>
                </v:shape>
                <v:shape style="position:absolute;left:3852;top:10070;width:439;height:271" type="#_x0000_t75" id="docshape354" stroked="false">
                  <v:imagedata r:id="rId226" o:title=""/>
                </v:shape>
                <v:shape style="position:absolute;left:2529;top:10070;width:341;height:271" type="#_x0000_t75" id="docshape355" stroked="false">
                  <v:imagedata r:id="rId227" o:title=""/>
                </v:shape>
                <v:shape style="position:absolute;left:7472;top:10159;width:183;height:182" type="#_x0000_t75" id="docshape356" stroked="false">
                  <v:imagedata r:id="rId228" o:title=""/>
                </v:shape>
                <v:shape style="position:absolute;left:2555;top:10168;width:101;height:167" type="#_x0000_t75" id="docshape357" stroked="false">
                  <v:imagedata r:id="rId229" o:title=""/>
                </v:shape>
                <v:shape style="position:absolute;left:8009;top:10573;width:315;height:362" type="#_x0000_t75" id="docshape358" stroked="false">
                  <v:imagedata r:id="rId230" o:title=""/>
                </v:shape>
                <v:shape style="position:absolute;left:3010;top:10573;width:315;height:362" type="#_x0000_t75" id="docshape359" stroked="false">
                  <v:imagedata r:id="rId231" o:title=""/>
                </v:shape>
                <v:shape style="position:absolute;left:11341;top:10650;width:315;height:285" type="#_x0000_t75" id="docshape360" stroked="false">
                  <v:imagedata r:id="rId232" o:title=""/>
                </v:shape>
                <v:shape style="position:absolute;left:6343;top:10573;width:393;height:362" type="#_x0000_t75" id="docshape361" stroked="false">
                  <v:imagedata r:id="rId233" o:title=""/>
                </v:shape>
                <v:shape style="position:absolute;left:11672;top:10669;width:195;height:255" type="#_x0000_t75" id="docshape362" stroked="false">
                  <v:imagedata r:id="rId234" o:title=""/>
                </v:shape>
                <v:shape style="position:absolute;left:8850;top:10669;width:254;height:271" type="#_x0000_t75" id="docshape363" stroked="false">
                  <v:imagedata r:id="rId235" o:title=""/>
                </v:shape>
                <v:shape style="position:absolute;left:8595;top:10669;width:224;height:271" type="#_x0000_t75" id="docshape364" stroked="false">
                  <v:imagedata r:id="rId236" o:title=""/>
                </v:shape>
                <v:shape style="position:absolute;left:8340;top:10669;width:224;height:271" type="#_x0000_t75" id="docshape365" stroked="false">
                  <v:imagedata r:id="rId237" o:title=""/>
                </v:shape>
                <v:shape style="position:absolute;left:7686;top:10669;width:184;height:271" type="#_x0000_t75" id="docshape366" stroked="false">
                  <v:imagedata r:id="rId238" o:title=""/>
                </v:shape>
                <v:shape style="position:absolute;left:7471;top:10669;width:184;height:271" type="#_x0000_t75" id="docshape367" stroked="false">
                  <v:imagedata r:id="rId239" o:title=""/>
                </v:shape>
                <v:shape style="position:absolute;left:6020;top:10669;width:184;height:271" type="#_x0000_t75" id="docshape368" stroked="false">
                  <v:imagedata r:id="rId240" o:title=""/>
                </v:shape>
                <v:shape style="position:absolute;left:5805;top:10669;width:184;height:271" type="#_x0000_t75" id="docshape369" stroked="false">
                  <v:imagedata r:id="rId241" o:title=""/>
                </v:shape>
                <v:shape style="position:absolute;left:7032;top:10669;width:407;height:271" type="#_x0000_t75" id="docshape370" stroked="false">
                  <v:imagedata r:id="rId242" o:title=""/>
                </v:shape>
                <v:shape style="position:absolute;left:5518;top:10669;width:256;height:271" type="#_x0000_t75" id="docshape371" stroked="false">
                  <v:imagedata r:id="rId243" o:title=""/>
                </v:shape>
                <v:shape style="position:absolute;left:5262;top:10669;width:224;height:271" type="#_x0000_t75" id="docshape372" stroked="false">
                  <v:imagedata r:id="rId244" o:title=""/>
                </v:shape>
                <v:shape style="position:absolute;left:4353;top:10669;width:184;height:271" type="#_x0000_t75" id="docshape373" stroked="false">
                  <v:imagedata r:id="rId245" o:title=""/>
                </v:shape>
                <v:shape style="position:absolute;left:4138;top:10669;width:184;height:271" type="#_x0000_t75" id="docshape374" stroked="false">
                  <v:imagedata r:id="rId246" o:title=""/>
                </v:shape>
                <v:shape style="position:absolute;left:4894;top:10669;width:337;height:271" type="#_x0000_t75" id="docshape375" stroked="false">
                  <v:imagedata r:id="rId247" o:title=""/>
                </v:shape>
                <v:shape style="position:absolute;left:3852;top:10669;width:256;height:271" type="#_x0000_t75" id="docshape376" stroked="false">
                  <v:imagedata r:id="rId248" o:title=""/>
                </v:shape>
                <v:shape style="position:absolute;left:3596;top:10669;width:224;height:271" type="#_x0000_t75" id="docshape377" stroked="false">
                  <v:imagedata r:id="rId249" o:title=""/>
                </v:shape>
                <v:shape style="position:absolute;left:3341;top:10669;width:224;height:271" type="#_x0000_t75" id="docshape378" stroked="false">
                  <v:imagedata r:id="rId250" o:title=""/>
                </v:shape>
                <v:shape style="position:absolute;left:2701;top:10669;width:169;height:271" type="#_x0000_t75" id="docshape379" stroked="false">
                  <v:imagedata r:id="rId251" o:title=""/>
                </v:shape>
                <v:shape style="position:absolute;left:264;top:10669;width:224;height:271" type="#_x0000_t75" id="docshape380" stroked="false">
                  <v:imagedata r:id="rId252" o:title=""/>
                </v:shape>
                <v:shape style="position:absolute;left:10;top:10669;width:223;height:271" type="#_x0000_t75" id="docshape381" stroked="false">
                  <v:imagedata r:id="rId253" o:title=""/>
                </v:shape>
                <v:shape style="position:absolute;left:519;top:10708;width:440;height:232" type="#_x0000_t75" id="docshape382" stroked="false">
                  <v:imagedata r:id="rId254" o:title=""/>
                </v:shape>
                <v:shape style="position:absolute;left:11026;top:10832;width:176;height:108" type="#_x0000_t75" id="docshape383" stroked="false">
                  <v:imagedata r:id="rId255" o:title=""/>
                </v:shape>
                <v:shape style="position:absolute;left:4676;top:10928;width:7;height:7" type="#_x0000_t75" id="docshape384" stroked="false">
                  <v:imagedata r:id="rId256" o:title=""/>
                </v:shape>
                <v:shape style="position:absolute;left:11341;top:11172;width:206;height:362" type="#_x0000_t75" id="docshape385" stroked="false">
                  <v:imagedata r:id="rId257" o:title=""/>
                </v:shape>
                <v:shape style="position:absolute;left:8009;top:11172;width:315;height:362" type="#_x0000_t75" id="docshape386" stroked="false">
                  <v:imagedata r:id="rId258" o:title=""/>
                </v:shape>
                <v:shape style="position:absolute;left:6343;top:11172;width:315;height:362" type="#_x0000_t75" id="docshape387" stroked="false">
                  <v:imagedata r:id="rId259" o:title=""/>
                </v:shape>
                <v:shape style="position:absolute;left:4676;top:11172;width:315;height:362" type="#_x0000_t75" id="docshape388" stroked="false">
                  <v:imagedata r:id="rId260" o:title=""/>
                </v:shape>
                <v:shape style="position:absolute;left:3010;top:11172;width:315;height:362" type="#_x0000_t75" id="docshape389" stroked="false">
                  <v:imagedata r:id="rId261" o:title=""/>
                </v:shape>
                <v:shape style="position:absolute;left:1344;top:11196;width:315;height:338" type="#_x0000_t75" id="docshape390" stroked="false">
                  <v:imagedata r:id="rId262" o:title=""/>
                </v:shape>
                <v:shape style="position:absolute;left:11018;top:11268;width:184;height:271" type="#_x0000_t75" id="docshape391" stroked="false">
                  <v:imagedata r:id="rId263" o:title=""/>
                </v:shape>
                <v:shape style="position:absolute;left:10803;top:11268;width:184;height:271" type="#_x0000_t75" id="docshape392" stroked="false">
                  <v:imagedata r:id="rId264" o:title=""/>
                </v:shape>
                <v:shape style="position:absolute;left:10517;top:11268;width:255;height:271" type="#_x0000_t75" id="docshape393" stroked="false">
                  <v:imagedata r:id="rId265" o:title=""/>
                </v:shape>
                <v:shape style="position:absolute;left:10261;top:11268;width:224;height:271" type="#_x0000_t75" id="docshape394" stroked="false">
                  <v:imagedata r:id="rId266" o:title=""/>
                </v:shape>
                <v:shape style="position:absolute;left:8850;top:11268;width:146;height:266" type="#_x0000_t75" id="docshape395" stroked="false">
                  <v:imagedata r:id="rId267" o:title=""/>
                </v:shape>
                <v:shape style="position:absolute;left:8595;top:11268;width:224;height:271" type="#_x0000_t75" id="docshape396" stroked="false">
                  <v:imagedata r:id="rId268" o:title=""/>
                </v:shape>
                <v:shape style="position:absolute;left:8340;top:11268;width:224;height:271" type="#_x0000_t75" id="docshape397" stroked="false">
                  <v:imagedata r:id="rId269" o:title=""/>
                </v:shape>
                <v:shape style="position:absolute;left:7686;top:11268;width:184;height:271" type="#_x0000_t75" id="docshape398" stroked="false">
                  <v:imagedata r:id="rId270" o:title=""/>
                </v:shape>
                <v:shape style="position:absolute;left:7471;top:11268;width:184;height:271" type="#_x0000_t75" id="docshape399" stroked="false">
                  <v:imagedata r:id="rId271" o:title=""/>
                </v:shape>
                <v:shape style="position:absolute;left:7184;top:11268;width:256;height:271" type="#_x0000_t75" id="docshape400" stroked="false">
                  <v:imagedata r:id="rId272" o:title=""/>
                </v:shape>
                <v:shape style="position:absolute;left:6929;top:11268;width:224;height:271" type="#_x0000_t75" id="docshape401" stroked="false">
                  <v:imagedata r:id="rId273" o:title=""/>
                </v:shape>
                <v:shape style="position:absolute;left:6673;top:11268;width:224;height:271" type="#_x0000_t75" id="docshape402" stroked="false">
                  <v:imagedata r:id="rId274" o:title=""/>
                </v:shape>
                <v:shape style="position:absolute;left:6020;top:11268;width:184;height:271" type="#_x0000_t75" id="docshape403" stroked="false">
                  <v:imagedata r:id="rId275" o:title=""/>
                </v:shape>
                <v:shape style="position:absolute;left:5805;top:11268;width:184;height:271" type="#_x0000_t75" id="docshape404" stroked="false">
                  <v:imagedata r:id="rId276" o:title=""/>
                </v:shape>
                <v:shape style="position:absolute;left:5518;top:11268;width:256;height:271" type="#_x0000_t75" id="docshape405" stroked="false">
                  <v:imagedata r:id="rId277" o:title=""/>
                </v:shape>
                <v:shape style="position:absolute;left:5262;top:11268;width:224;height:271" type="#_x0000_t75" id="docshape406" stroked="false">
                  <v:imagedata r:id="rId278" o:title=""/>
                </v:shape>
                <v:shape style="position:absolute;left:5007;top:11268;width:224;height:271" type="#_x0000_t75" id="docshape407" stroked="false">
                  <v:imagedata r:id="rId279" o:title=""/>
                </v:shape>
                <v:shape style="position:absolute;left:4353;top:11268;width:184;height:271" type="#_x0000_t75" id="docshape408" stroked="false">
                  <v:imagedata r:id="rId280" o:title=""/>
                </v:shape>
                <v:shape style="position:absolute;left:4138;top:11268;width:184;height:271" type="#_x0000_t75" id="docshape409" stroked="false">
                  <v:imagedata r:id="rId281" o:title=""/>
                </v:shape>
                <v:shape style="position:absolute;left:3852;top:11268;width:256;height:271" type="#_x0000_t75" id="docshape410" stroked="false">
                  <v:imagedata r:id="rId282" o:title=""/>
                </v:shape>
                <v:shape style="position:absolute;left:3596;top:11268;width:224;height:271" type="#_x0000_t75" id="docshape411" stroked="false">
                  <v:imagedata r:id="rId283" o:title=""/>
                </v:shape>
                <v:shape style="position:absolute;left:3341;top:11268;width:224;height:271" type="#_x0000_t75" id="docshape412" stroked="false">
                  <v:imagedata r:id="rId284" o:title=""/>
                </v:shape>
                <v:shape style="position:absolute;left:1021;top:11268;width:184;height:271" type="#_x0000_t75" id="docshape413" stroked="false">
                  <v:imagedata r:id="rId285" o:title=""/>
                </v:shape>
                <v:shape style="position:absolute;left:806;top:11268;width:184;height:271" type="#_x0000_t75" id="docshape414" stroked="false">
                  <v:imagedata r:id="rId286" o:title=""/>
                </v:shape>
                <v:shape style="position:absolute;left:519;top:11268;width:255;height:271" type="#_x0000_t75" id="docshape415" stroked="false">
                  <v:imagedata r:id="rId287" o:title=""/>
                </v:shape>
                <v:shape style="position:absolute;left:77;top:11268;width:411;height:271" type="#_x0000_t75" id="docshape416" stroked="false">
                  <v:imagedata r:id="rId288" o:title=""/>
                </v:shape>
                <v:shape style="position:absolute;left:1674;top:11316;width:224;height:223" type="#_x0000_t75" id="docshape417" stroked="false">
                  <v:imagedata r:id="rId289" o:title=""/>
                </v:shape>
                <v:shape style="position:absolute;left:9910;top:11424;width:320;height:115" type="#_x0000_t75" id="docshape418" stroked="false">
                  <v:imagedata r:id="rId290" o:title=""/>
                </v:shape>
                <v:shape style="position:absolute;left:1932;top:11437;width:180;height:102" type="#_x0000_t75" id="docshape419" stroked="false">
                  <v:imagedata r:id="rId291" o:title=""/>
                </v:shape>
                <v:shape style="position:absolute;left:9675;top:11771;width:315;height:362" type="#_x0000_t75" id="docshape420" stroked="false">
                  <v:imagedata r:id="rId292" o:title=""/>
                </v:shape>
                <v:shape style="position:absolute;left:8009;top:11771;width:315;height:362" type="#_x0000_t75" id="docshape421" stroked="false">
                  <v:imagedata r:id="rId293" o:title=""/>
                </v:shape>
                <v:shape style="position:absolute;left:6343;top:11771;width:315;height:362" type="#_x0000_t75" id="docshape422" stroked="false">
                  <v:imagedata r:id="rId294" o:title=""/>
                </v:shape>
                <v:shape style="position:absolute;left:4676;top:11771;width:315;height:362" type="#_x0000_t75" id="docshape423" stroked="false">
                  <v:imagedata r:id="rId295" o:title=""/>
                </v:shape>
                <v:shape style="position:absolute;left:10803;top:11867;width:384;height:271" type="#_x0000_t75" id="docshape424" stroked="false">
                  <v:imagedata r:id="rId296" o:title=""/>
                </v:shape>
                <v:shape style="position:absolute;left:3010;top:11771;width:315;height:362" type="#_x0000_t75" id="docshape425" stroked="false">
                  <v:imagedata r:id="rId297" o:title=""/>
                </v:shape>
                <v:shape style="position:absolute;left:1344;top:11771;width:315;height:362" type="#_x0000_t75" id="docshape426" stroked="false">
                  <v:imagedata r:id="rId298" o:title=""/>
                </v:shape>
                <v:shape style="position:absolute;left:10517;top:11867;width:255;height:271" type="#_x0000_t75" id="docshape427" stroked="false">
                  <v:imagedata r:id="rId299" o:title=""/>
                </v:shape>
                <v:shape style="position:absolute;left:10261;top:11867;width:224;height:271" type="#_x0000_t75" id="docshape428" stroked="false">
                  <v:imagedata r:id="rId300" o:title=""/>
                </v:shape>
                <v:shape style="position:absolute;left:10006;top:11867;width:224;height:271" type="#_x0000_t75" id="docshape429" stroked="false">
                  <v:imagedata r:id="rId301" o:title=""/>
                </v:shape>
                <v:shape style="position:absolute;left:9352;top:11867;width:184;height:271" type="#_x0000_t75" id="docshape430" stroked="false">
                  <v:imagedata r:id="rId302" o:title=""/>
                </v:shape>
                <v:shape style="position:absolute;left:8595;top:11867;width:224;height:271" type="#_x0000_t75" id="docshape431" stroked="false">
                  <v:imagedata r:id="rId303" o:title=""/>
                </v:shape>
                <v:shape style="position:absolute;left:8340;top:11867;width:224;height:271" type="#_x0000_t75" id="docshape432" stroked="false">
                  <v:imagedata r:id="rId304" o:title=""/>
                </v:shape>
                <v:shape style="position:absolute;left:7686;top:11867;width:184;height:271" type="#_x0000_t75" id="docshape433" stroked="false">
                  <v:imagedata r:id="rId305" o:title=""/>
                </v:shape>
                <v:shape style="position:absolute;left:7471;top:11867;width:184;height:271" type="#_x0000_t75" id="docshape434" stroked="false">
                  <v:imagedata r:id="rId306" o:title=""/>
                </v:shape>
                <v:shape style="position:absolute;left:8936;top:11867;width:385;height:271" type="#_x0000_t75" id="docshape435" stroked="false">
                  <v:imagedata r:id="rId307" o:title=""/>
                </v:shape>
                <v:shape style="position:absolute;left:7184;top:11867;width:256;height:271" type="#_x0000_t75" id="docshape436" stroked="false">
                  <v:imagedata r:id="rId308" o:title=""/>
                </v:shape>
                <v:shape style="position:absolute;left:6929;top:11867;width:224;height:271" type="#_x0000_t75" id="docshape437" stroked="false">
                  <v:imagedata r:id="rId309" o:title=""/>
                </v:shape>
                <v:shape style="position:absolute;left:6673;top:11867;width:224;height:271" type="#_x0000_t75" id="docshape438" stroked="false">
                  <v:imagedata r:id="rId310" o:title=""/>
                </v:shape>
                <v:shape style="position:absolute;left:6020;top:11867;width:184;height:271" type="#_x0000_t75" id="docshape439" stroked="false">
                  <v:imagedata r:id="rId311" o:title=""/>
                </v:shape>
                <v:shape style="position:absolute;left:5805;top:11867;width:184;height:271" type="#_x0000_t75" id="docshape440" stroked="false">
                  <v:imagedata r:id="rId312" o:title=""/>
                </v:shape>
                <v:shape style="position:absolute;left:5518;top:11867;width:256;height:271" type="#_x0000_t75" id="docshape441" stroked="false">
                  <v:imagedata r:id="rId313" o:title=""/>
                </v:shape>
                <v:shape style="position:absolute;left:5262;top:11867;width:224;height:271" type="#_x0000_t75" id="docshape442" stroked="false">
                  <v:imagedata r:id="rId314" o:title=""/>
                </v:shape>
                <v:shape style="position:absolute;left:5007;top:11867;width:224;height:271" type="#_x0000_t75" id="docshape443" stroked="false">
                  <v:imagedata r:id="rId315" o:title=""/>
                </v:shape>
                <v:shape style="position:absolute;left:4353;top:11867;width:184;height:271" type="#_x0000_t75" id="docshape444" stroked="false">
                  <v:imagedata r:id="rId316" o:title=""/>
                </v:shape>
                <v:shape style="position:absolute;left:4138;top:11867;width:184;height:271" type="#_x0000_t75" id="docshape445" stroked="false">
                  <v:imagedata r:id="rId317" o:title=""/>
                </v:shape>
                <v:shape style="position:absolute;left:3852;top:11867;width:256;height:271" type="#_x0000_t75" id="docshape446" stroked="false">
                  <v:imagedata r:id="rId318" o:title=""/>
                </v:shape>
                <v:shape style="position:absolute;left:3596;top:11867;width:224;height:271" type="#_x0000_t75" id="docshape447" stroked="false">
                  <v:imagedata r:id="rId319" o:title=""/>
                </v:shape>
                <v:shape style="position:absolute;left:3341;top:11867;width:224;height:271" type="#_x0000_t75" id="docshape448" stroked="false">
                  <v:imagedata r:id="rId320" o:title=""/>
                </v:shape>
                <v:shape style="position:absolute;left:2472;top:11867;width:184;height:271" type="#_x0000_t75" id="docshape449" stroked="false">
                  <v:imagedata r:id="rId321" o:title=""/>
                </v:shape>
                <v:shape style="position:absolute;left:2185;top:11867;width:255;height:271" type="#_x0000_t75" id="docshape450" stroked="false">
                  <v:imagedata r:id="rId322" o:title=""/>
                </v:shape>
                <v:shape style="position:absolute;left:1930;top:11867;width:224;height:271" type="#_x0000_t75" id="docshape451" stroked="false">
                  <v:imagedata r:id="rId323" o:title=""/>
                </v:shape>
                <v:shape style="position:absolute;left:1674;top:11867;width:224;height:271" type="#_x0000_t75" id="docshape452" stroked="false">
                  <v:imagedata r:id="rId324" o:title=""/>
                </v:shape>
                <v:shape style="position:absolute;left:1021;top:11867;width:184;height:271" type="#_x0000_t75" id="docshape453" stroked="false">
                  <v:imagedata r:id="rId325" o:title=""/>
                </v:shape>
                <v:shape style="position:absolute;left:806;top:11867;width:184;height:271" type="#_x0000_t75" id="docshape454" stroked="false">
                  <v:imagedata r:id="rId326" o:title=""/>
                </v:shape>
                <v:shape style="position:absolute;left:344;top:11867;width:430;height:271" type="#_x0000_t75" id="docshape455" stroked="false">
                  <v:imagedata r:id="rId327" o:title=""/>
                </v:shape>
                <v:shape style="position:absolute;left:2687;top:11870;width:184;height:268" type="#_x0000_t75" id="docshape456" stroked="false">
                  <v:imagedata r:id="rId328" o:title=""/>
                </v:shape>
                <v:shape style="position:absolute;left:8859;top:12031;width:217;height:106" type="#_x0000_t75" id="docshape457" stroked="false">
                  <v:imagedata r:id="rId329" o:title=""/>
                </v:shape>
                <v:shape style="position:absolute;left:9675;top:12370;width:315;height:362" type="#_x0000_t75" id="docshape458" stroked="false">
                  <v:imagedata r:id="rId330" o:title=""/>
                </v:shape>
                <v:shape style="position:absolute;left:8009;top:12370;width:315;height:362" type="#_x0000_t75" id="docshape459" stroked="false">
                  <v:imagedata r:id="rId331" o:title=""/>
                </v:shape>
                <v:shape style="position:absolute;left:6343;top:12370;width:315;height:362" type="#_x0000_t75" id="docshape460" stroked="false">
                  <v:imagedata r:id="rId332" o:title=""/>
                </v:shape>
                <v:shape style="position:absolute;left:4676;top:12370;width:315;height:362" type="#_x0000_t75" id="docshape461" stroked="false">
                  <v:imagedata r:id="rId333" o:title=""/>
                </v:shape>
                <v:shape style="position:absolute;left:3010;top:12370;width:315;height:362" type="#_x0000_t75" id="docshape462" stroked="false">
                  <v:imagedata r:id="rId334" o:title=""/>
                </v:shape>
                <v:shape style="position:absolute;left:1344;top:12370;width:315;height:362" type="#_x0000_t75" id="docshape463" stroked="false">
                  <v:imagedata r:id="rId335" o:title=""/>
                </v:shape>
                <v:shape style="position:absolute;left:10261;top:12465;width:224;height:271" type="#_x0000_t75" id="docshape464" stroked="false">
                  <v:imagedata r:id="rId336" o:title=""/>
                </v:shape>
                <v:shape style="position:absolute;left:10006;top:12465;width:224;height:271" type="#_x0000_t75" id="docshape465" stroked="false">
                  <v:imagedata r:id="rId337" o:title=""/>
                </v:shape>
                <v:shape style="position:absolute;left:9352;top:12465;width:184;height:271" type="#_x0000_t75" id="docshape466" stroked="false">
                  <v:imagedata r:id="rId338" o:title=""/>
                </v:shape>
                <v:shape style="position:absolute;left:10517;top:12465;width:368;height:271" type="#_x0000_t75" id="docshape467" stroked="false">
                  <v:imagedata r:id="rId339" o:title=""/>
                </v:shape>
                <v:shape style="position:absolute;left:9137;top:12465;width:184;height:271" type="#_x0000_t75" id="docshape468" stroked="false">
                  <v:imagedata r:id="rId340" o:title=""/>
                </v:shape>
                <v:shape style="position:absolute;left:8850;top:12465;width:256;height:271" type="#_x0000_t75" id="docshape469" stroked="false">
                  <v:imagedata r:id="rId341" o:title=""/>
                </v:shape>
                <v:shape style="position:absolute;left:8595;top:12465;width:224;height:271" type="#_x0000_t75" id="docshape470" stroked="false">
                  <v:imagedata r:id="rId342" o:title=""/>
                </v:shape>
                <v:shape style="position:absolute;left:8340;top:12465;width:224;height:271" type="#_x0000_t75" id="docshape471" stroked="false">
                  <v:imagedata r:id="rId343" o:title=""/>
                </v:shape>
                <v:shape style="position:absolute;left:7686;top:12465;width:184;height:271" type="#_x0000_t75" id="docshape472" stroked="false">
                  <v:imagedata r:id="rId344" o:title=""/>
                </v:shape>
                <v:shape style="position:absolute;left:7471;top:12465;width:184;height:271" type="#_x0000_t75" id="docshape473" stroked="false">
                  <v:imagedata r:id="rId345" o:title=""/>
                </v:shape>
                <v:shape style="position:absolute;left:7184;top:12465;width:256;height:271" type="#_x0000_t75" id="docshape474" stroked="false">
                  <v:imagedata r:id="rId346" o:title=""/>
                </v:shape>
                <v:shape style="position:absolute;left:6929;top:12465;width:224;height:271" type="#_x0000_t75" id="docshape475" stroked="false">
                  <v:imagedata r:id="rId347" o:title=""/>
                </v:shape>
                <v:shape style="position:absolute;left:6673;top:12465;width:224;height:271" type="#_x0000_t75" id="docshape476" stroked="false">
                  <v:imagedata r:id="rId348" o:title=""/>
                </v:shape>
                <v:shape style="position:absolute;left:6020;top:12465;width:184;height:271" type="#_x0000_t75" id="docshape477" stroked="false">
                  <v:imagedata r:id="rId349" o:title=""/>
                </v:shape>
                <v:shape style="position:absolute;left:5805;top:12465;width:184;height:271" type="#_x0000_t75" id="docshape478" stroked="false">
                  <v:imagedata r:id="rId350" o:title=""/>
                </v:shape>
                <v:shape style="position:absolute;left:5518;top:12465;width:256;height:271" type="#_x0000_t75" id="docshape479" stroked="false">
                  <v:imagedata r:id="rId351" o:title=""/>
                </v:shape>
                <v:shape style="position:absolute;left:5262;top:12465;width:224;height:271" type="#_x0000_t75" id="docshape480" stroked="false">
                  <v:imagedata r:id="rId352" o:title=""/>
                </v:shape>
                <v:shape style="position:absolute;left:5007;top:12465;width:224;height:271" type="#_x0000_t75" id="docshape481" stroked="false">
                  <v:imagedata r:id="rId353" o:title=""/>
                </v:shape>
                <v:shape style="position:absolute;left:4353;top:12465;width:184;height:271" type="#_x0000_t75" id="docshape482" stroked="false">
                  <v:imagedata r:id="rId354" o:title=""/>
                </v:shape>
                <v:shape style="position:absolute;left:4138;top:12465;width:184;height:271" type="#_x0000_t75" id="docshape483" stroked="false">
                  <v:imagedata r:id="rId355" o:title=""/>
                </v:shape>
                <v:shape style="position:absolute;left:3852;top:12465;width:256;height:271" type="#_x0000_t75" id="docshape484" stroked="false">
                  <v:imagedata r:id="rId356" o:title=""/>
                </v:shape>
                <v:shape style="position:absolute;left:3596;top:12465;width:224;height:271" type="#_x0000_t75" id="docshape485" stroked="false">
                  <v:imagedata r:id="rId357" o:title=""/>
                </v:shape>
                <v:shape style="position:absolute;left:3341;top:12465;width:224;height:271" type="#_x0000_t75" id="docshape486" stroked="false">
                  <v:imagedata r:id="rId358" o:title=""/>
                </v:shape>
                <v:shape style="position:absolute;left:2687;top:12465;width:184;height:271" type="#_x0000_t75" id="docshape487" stroked="false">
                  <v:imagedata r:id="rId359" o:title=""/>
                </v:shape>
                <v:shape style="position:absolute;left:2472;top:12465;width:184;height:271" type="#_x0000_t75" id="docshape488" stroked="false">
                  <v:imagedata r:id="rId360" o:title=""/>
                </v:shape>
                <v:shape style="position:absolute;left:2185;top:12465;width:255;height:271" type="#_x0000_t75" id="docshape489" stroked="false">
                  <v:imagedata r:id="rId361" o:title=""/>
                </v:shape>
                <v:shape style="position:absolute;left:1930;top:12465;width:224;height:271" type="#_x0000_t75" id="docshape490" stroked="false">
                  <v:imagedata r:id="rId362" o:title=""/>
                </v:shape>
                <v:shape style="position:absolute;left:1674;top:12465;width:224;height:271" type="#_x0000_t75" id="docshape491" stroked="false">
                  <v:imagedata r:id="rId363" o:title=""/>
                </v:shape>
                <v:shape style="position:absolute;left:1021;top:12465;width:184;height:271" type="#_x0000_t75" id="docshape492" stroked="false">
                  <v:imagedata r:id="rId364" o:title=""/>
                </v:shape>
                <v:shape style="position:absolute;left:806;top:12465;width:184;height:271" type="#_x0000_t75" id="docshape493" stroked="false">
                  <v:imagedata r:id="rId365" o:title=""/>
                </v:shape>
                <v:shape style="position:absolute;left:611;top:12465;width:163;height:257" type="#_x0000_t75" id="docshape494" stroked="false">
                  <v:imagedata r:id="rId366" o:title=""/>
                </v:shape>
                <v:shape style="position:absolute;left:9675;top:12968;width:315;height:362" type="#_x0000_t75" id="docshape495" stroked="false">
                  <v:imagedata r:id="rId367" o:title=""/>
                </v:shape>
                <v:shape style="position:absolute;left:8009;top:12968;width:315;height:362" type="#_x0000_t75" id="docshape496" stroked="false">
                  <v:imagedata r:id="rId332" o:title=""/>
                </v:shape>
                <v:shape style="position:absolute;left:6343;top:12968;width:315;height:362" type="#_x0000_t75" id="docshape497" stroked="false">
                  <v:imagedata r:id="rId333" o:title=""/>
                </v:shape>
                <v:shape style="position:absolute;left:4676;top:12968;width:315;height:362" type="#_x0000_t75" id="docshape498" stroked="false">
                  <v:imagedata r:id="rId368" o:title=""/>
                </v:shape>
                <v:shape style="position:absolute;left:3010;top:12968;width:315;height:362" type="#_x0000_t75" id="docshape499" stroked="false">
                  <v:imagedata r:id="rId332" o:title=""/>
                </v:shape>
                <v:shape style="position:absolute;left:1344;top:12968;width:315;height:362" type="#_x0000_t75" id="docshape500" stroked="false">
                  <v:imagedata r:id="rId369" o:title=""/>
                </v:shape>
                <v:shape style="position:absolute;left:10261;top:13064;width:222;height:271" type="#_x0000_t75" id="docshape501" stroked="false">
                  <v:imagedata r:id="rId370" o:title=""/>
                </v:shape>
                <v:shape style="position:absolute;left:10006;top:13064;width:224;height:271" type="#_x0000_t75" id="docshape502" stroked="false">
                  <v:imagedata r:id="rId371" o:title=""/>
                </v:shape>
                <v:shape style="position:absolute;left:9352;top:13064;width:184;height:271" type="#_x0000_t75" id="docshape503" stroked="false">
                  <v:imagedata r:id="rId372" o:title=""/>
                </v:shape>
                <v:shape style="position:absolute;left:9137;top:13064;width:184;height:271" type="#_x0000_t75" id="docshape504" stroked="false">
                  <v:imagedata r:id="rId373" o:title=""/>
                </v:shape>
                <v:shape style="position:absolute;left:8850;top:13064;width:256;height:271" type="#_x0000_t75" id="docshape505" stroked="false">
                  <v:imagedata r:id="rId374" o:title=""/>
                </v:shape>
                <v:shape style="position:absolute;left:8595;top:13064;width:224;height:271" type="#_x0000_t75" id="docshape506" stroked="false">
                  <v:imagedata r:id="rId375" o:title=""/>
                </v:shape>
                <v:shape style="position:absolute;left:8340;top:13064;width:224;height:271" type="#_x0000_t75" id="docshape507" stroked="false">
                  <v:imagedata r:id="rId376" o:title=""/>
                </v:shape>
                <v:shape style="position:absolute;left:7686;top:13064;width:184;height:271" type="#_x0000_t75" id="docshape508" stroked="false">
                  <v:imagedata r:id="rId377" o:title=""/>
                </v:shape>
                <v:shape style="position:absolute;left:7471;top:13064;width:184;height:271" type="#_x0000_t75" id="docshape509" stroked="false">
                  <v:imagedata r:id="rId378" o:title=""/>
                </v:shape>
                <v:shape style="position:absolute;left:7184;top:13064;width:256;height:271" type="#_x0000_t75" id="docshape510" stroked="false">
                  <v:imagedata r:id="rId379" o:title=""/>
                </v:shape>
                <v:shape style="position:absolute;left:6929;top:13064;width:224;height:271" type="#_x0000_t75" id="docshape511" stroked="false">
                  <v:imagedata r:id="rId380" o:title=""/>
                </v:shape>
                <v:shape style="position:absolute;left:6673;top:13064;width:224;height:271" type="#_x0000_t75" id="docshape512" stroked="false">
                  <v:imagedata r:id="rId381" o:title=""/>
                </v:shape>
                <v:shape style="position:absolute;left:6020;top:13064;width:184;height:271" type="#_x0000_t75" id="docshape513" stroked="false">
                  <v:imagedata r:id="rId382" o:title=""/>
                </v:shape>
                <v:shape style="position:absolute;left:5805;top:13064;width:184;height:271" type="#_x0000_t75" id="docshape514" stroked="false">
                  <v:imagedata r:id="rId383" o:title=""/>
                </v:shape>
                <v:shape style="position:absolute;left:5518;top:13064;width:256;height:271" type="#_x0000_t75" id="docshape515" stroked="false">
                  <v:imagedata r:id="rId384" o:title=""/>
                </v:shape>
                <v:shape style="position:absolute;left:5262;top:13064;width:224;height:271" type="#_x0000_t75" id="docshape516" stroked="false">
                  <v:imagedata r:id="rId385" o:title=""/>
                </v:shape>
                <v:shape style="position:absolute;left:5007;top:13064;width:224;height:271" type="#_x0000_t75" id="docshape517" stroked="false">
                  <v:imagedata r:id="rId380" o:title=""/>
                </v:shape>
                <v:shape style="position:absolute;left:4353;top:13064;width:184;height:271" type="#_x0000_t75" id="docshape518" stroked="false">
                  <v:imagedata r:id="rId344" o:title=""/>
                </v:shape>
                <v:shape style="position:absolute;left:4138;top:13064;width:184;height:271" type="#_x0000_t75" id="docshape519" stroked="false">
                  <v:imagedata r:id="rId345" o:title=""/>
                </v:shape>
                <v:shape style="position:absolute;left:3852;top:13064;width:256;height:271" type="#_x0000_t75" id="docshape520" stroked="false">
                  <v:imagedata r:id="rId374" o:title=""/>
                </v:shape>
                <v:shape style="position:absolute;left:3596;top:13064;width:224;height:271" type="#_x0000_t75" id="docshape521" stroked="false">
                  <v:imagedata r:id="rId375" o:title=""/>
                </v:shape>
                <v:shape style="position:absolute;left:3341;top:13064;width:224;height:271" type="#_x0000_t75" id="docshape522" stroked="false">
                  <v:imagedata r:id="rId376" o:title=""/>
                </v:shape>
                <v:shape style="position:absolute;left:2687;top:13064;width:184;height:271" type="#_x0000_t75" id="docshape523" stroked="false">
                  <v:imagedata r:id="rId377" o:title=""/>
                </v:shape>
                <v:shape style="position:absolute;left:2472;top:13064;width:184;height:271" type="#_x0000_t75" id="docshape524" stroked="false">
                  <v:imagedata r:id="rId378" o:title=""/>
                </v:shape>
                <v:shape style="position:absolute;left:2185;top:13064;width:255;height:271" type="#_x0000_t75" id="docshape525" stroked="false">
                  <v:imagedata r:id="rId386" o:title=""/>
                </v:shape>
                <v:shape style="position:absolute;left:1930;top:13064;width:224;height:271" type="#_x0000_t75" id="docshape526" stroked="false">
                  <v:imagedata r:id="rId387" o:title=""/>
                </v:shape>
                <v:shape style="position:absolute;left:1674;top:13064;width:224;height:271" type="#_x0000_t75" id="docshape527" stroked="false">
                  <v:imagedata r:id="rId388" o:title=""/>
                </v:shape>
                <v:shape style="position:absolute;left:879;top:13064;width:325;height:271" type="#_x0000_t75" id="docshape528" stroked="false">
                  <v:imagedata r:id="rId389" o:title=""/>
                </v:shape>
                <v:shape style="position:absolute;left:11672;top:13198;width:224;height:138" type="#_x0000_t75" id="docshape529" stroked="false">
                  <v:imagedata r:id="rId390" o:title=""/>
                </v:shape>
                <v:shape style="position:absolute;left:11341;top:13225;width:315;height:106" type="#_x0000_t75" id="docshape530" stroked="false">
                  <v:imagedata r:id="rId391" o:title=""/>
                </v:shape>
                <v:shape style="position:absolute;left:11341;top:13567;width:315;height:362" type="#_x0000_t75" id="docshape531" stroked="false">
                  <v:imagedata r:id="rId392" o:title=""/>
                </v:shape>
                <v:shape style="position:absolute;left:9675;top:13567;width:315;height:362" type="#_x0000_t75" id="docshape532" stroked="false">
                  <v:imagedata r:id="rId393" o:title=""/>
                </v:shape>
                <v:shape style="position:absolute;left:8009;top:13567;width:315;height:362" type="#_x0000_t75" id="docshape533" stroked="false">
                  <v:imagedata r:id="rId394" o:title=""/>
                </v:shape>
                <v:shape style="position:absolute;left:6343;top:13567;width:315;height:362" type="#_x0000_t75" id="docshape534" stroked="false">
                  <v:imagedata r:id="rId395" o:title=""/>
                </v:shape>
                <v:shape style="position:absolute;left:4676;top:13567;width:315;height:362" type="#_x0000_t75" id="docshape535" stroked="false">
                  <v:imagedata r:id="rId396" o:title=""/>
                </v:shape>
                <v:shape style="position:absolute;left:3010;top:13567;width:315;height:362" type="#_x0000_t75" id="docshape536" stroked="false">
                  <v:imagedata r:id="rId397" o:title=""/>
                </v:shape>
                <v:shape style="position:absolute;left:1344;top:13567;width:315;height:362" type="#_x0000_t75" id="docshape537" stroked="false">
                  <v:imagedata r:id="rId398" o:title=""/>
                </v:shape>
                <v:shape style="position:absolute;left:11672;top:13663;width:224;height:271" type="#_x0000_t75" id="docshape538" stroked="false">
                  <v:imagedata r:id="rId399" o:title=""/>
                </v:shape>
                <v:shape style="position:absolute;left:11018;top:13663;width:184;height:271" type="#_x0000_t75" id="docshape539" stroked="false">
                  <v:imagedata r:id="rId400" o:title=""/>
                </v:shape>
                <v:shape style="position:absolute;left:10803;top:13663;width:184;height:271" type="#_x0000_t75" id="docshape540" stroked="false">
                  <v:imagedata r:id="rId401" o:title=""/>
                </v:shape>
                <v:shape style="position:absolute;left:10517;top:13663;width:255;height:271" type="#_x0000_t75" id="docshape541" stroked="false">
                  <v:imagedata r:id="rId402" o:title=""/>
                </v:shape>
                <v:shape style="position:absolute;left:10261;top:13663;width:224;height:271" type="#_x0000_t75" id="docshape542" stroked="false">
                  <v:imagedata r:id="rId403" o:title=""/>
                </v:shape>
                <v:shape style="position:absolute;left:10006;top:13663;width:224;height:271" type="#_x0000_t75" id="docshape543" stroked="false">
                  <v:imagedata r:id="rId404" o:title=""/>
                </v:shape>
                <v:shape style="position:absolute;left:9352;top:13663;width:184;height:271" type="#_x0000_t75" id="docshape544" stroked="false">
                  <v:imagedata r:id="rId405" o:title=""/>
                </v:shape>
                <v:shape style="position:absolute;left:9137;top:13663;width:184;height:271" type="#_x0000_t75" id="docshape545" stroked="false">
                  <v:imagedata r:id="rId406" o:title=""/>
                </v:shape>
                <v:shape style="position:absolute;left:8850;top:13663;width:256;height:271" type="#_x0000_t75" id="docshape546" stroked="false">
                  <v:imagedata r:id="rId407" o:title=""/>
                </v:shape>
                <v:shape style="position:absolute;left:8595;top:13663;width:224;height:271" type="#_x0000_t75" id="docshape547" stroked="false">
                  <v:imagedata r:id="rId408" o:title=""/>
                </v:shape>
                <v:shape style="position:absolute;left:8340;top:13663;width:224;height:271" type="#_x0000_t75" id="docshape548" stroked="false">
                  <v:imagedata r:id="rId409" o:title=""/>
                </v:shape>
                <v:shape style="position:absolute;left:7686;top:13663;width:184;height:271" type="#_x0000_t75" id="docshape549" stroked="false">
                  <v:imagedata r:id="rId410" o:title=""/>
                </v:shape>
                <v:shape style="position:absolute;left:7471;top:13663;width:184;height:271" type="#_x0000_t75" id="docshape550" stroked="false">
                  <v:imagedata r:id="rId411" o:title=""/>
                </v:shape>
                <v:shape style="position:absolute;left:7184;top:13663;width:256;height:271" type="#_x0000_t75" id="docshape551" stroked="false">
                  <v:imagedata r:id="rId412" o:title=""/>
                </v:shape>
                <v:shape style="position:absolute;left:6929;top:13663;width:224;height:271" type="#_x0000_t75" id="docshape552" stroked="false">
                  <v:imagedata r:id="rId413" o:title=""/>
                </v:shape>
                <v:shape style="position:absolute;left:6673;top:13663;width:224;height:271" type="#_x0000_t75" id="docshape553" stroked="false">
                  <v:imagedata r:id="rId414" o:title=""/>
                </v:shape>
                <v:shape style="position:absolute;left:6020;top:13663;width:184;height:271" type="#_x0000_t75" id="docshape554" stroked="false">
                  <v:imagedata r:id="rId415" o:title=""/>
                </v:shape>
                <v:shape style="position:absolute;left:5805;top:13663;width:184;height:271" type="#_x0000_t75" id="docshape555" stroked="false">
                  <v:imagedata r:id="rId416" o:title=""/>
                </v:shape>
                <v:shape style="position:absolute;left:5518;top:13663;width:256;height:271" type="#_x0000_t75" id="docshape556" stroked="false">
                  <v:imagedata r:id="rId417" o:title=""/>
                </v:shape>
                <v:shape style="position:absolute;left:5262;top:13663;width:224;height:271" type="#_x0000_t75" id="docshape557" stroked="false">
                  <v:imagedata r:id="rId409" o:title=""/>
                </v:shape>
                <v:shape style="position:absolute;left:5007;top:13663;width:224;height:271" type="#_x0000_t75" id="docshape558" stroked="false">
                  <v:imagedata r:id="rId418" o:title=""/>
                </v:shape>
                <v:shape style="position:absolute;left:4353;top:13663;width:184;height:271" type="#_x0000_t75" id="docshape559" stroked="false">
                  <v:imagedata r:id="rId411" o:title=""/>
                </v:shape>
                <v:shape style="position:absolute;left:4138;top:13663;width:184;height:271" type="#_x0000_t75" id="docshape560" stroked="false">
                  <v:imagedata r:id="rId419" o:title=""/>
                </v:shape>
                <v:shape style="position:absolute;left:3852;top:13663;width:256;height:271" type="#_x0000_t75" id="docshape561" stroked="false">
                  <v:imagedata r:id="rId420" o:title=""/>
                </v:shape>
                <v:shape style="position:absolute;left:3596;top:13663;width:224;height:271" type="#_x0000_t75" id="docshape562" stroked="false">
                  <v:imagedata r:id="rId421" o:title=""/>
                </v:shape>
                <v:shape style="position:absolute;left:3341;top:13663;width:224;height:271" type="#_x0000_t75" id="docshape563" stroked="false">
                  <v:imagedata r:id="rId408" o:title=""/>
                </v:shape>
                <v:shape style="position:absolute;left:2687;top:13663;width:184;height:271" type="#_x0000_t75" id="docshape564" stroked="false">
                  <v:imagedata r:id="rId422" o:title=""/>
                </v:shape>
                <v:shape style="position:absolute;left:2472;top:13663;width:184;height:271" type="#_x0000_t75" id="docshape565" stroked="false">
                  <v:imagedata r:id="rId423" o:title=""/>
                </v:shape>
                <v:shape style="position:absolute;left:2185;top:13663;width:255;height:271" type="#_x0000_t75" id="docshape566" stroked="false">
                  <v:imagedata r:id="rId424" o:title=""/>
                </v:shape>
                <v:shape style="position:absolute;left:1930;top:13663;width:224;height:271" type="#_x0000_t75" id="docshape567" stroked="false">
                  <v:imagedata r:id="rId418" o:title=""/>
                </v:shape>
                <v:shape style="position:absolute;left:1674;top:13663;width:224;height:271" type="#_x0000_t75" id="docshape568" stroked="false">
                  <v:imagedata r:id="rId425" o:title=""/>
                </v:shape>
                <v:shape style="position:absolute;left:1021;top:13663;width:184;height:271" type="#_x0000_t75" id="docshape569" stroked="false">
                  <v:imagedata r:id="rId426" o:title=""/>
                </v:shape>
                <v:shape style="position:absolute;left:806;top:13663;width:184;height:271" type="#_x0000_t75" id="docshape570" stroked="false">
                  <v:imagedata r:id="rId427" o:title=""/>
                </v:shape>
                <v:shape style="position:absolute;left:519;top:13663;width:255;height:271" type="#_x0000_t75" id="docshape571" stroked="false">
                  <v:imagedata r:id="rId428" o:title=""/>
                </v:shape>
                <v:shape style="position:absolute;left:264;top:13663;width:224;height:271" type="#_x0000_t75" id="docshape572" stroked="false">
                  <v:imagedata r:id="rId429" o:title=""/>
                </v:shape>
                <v:shape style="position:absolute;left:10;top:13663;width:223;height:271" type="#_x0000_t75" id="docshape573" stroked="false">
                  <v:imagedata r:id="rId430" o:title=""/>
                </v:shape>
                <v:shape style="position:absolute;left:11341;top:14166;width:315;height:362" type="#_x0000_t75" id="docshape574" stroked="false">
                  <v:imagedata r:id="rId431" o:title=""/>
                </v:shape>
                <v:shape style="position:absolute;left:9675;top:14166;width:315;height:362" type="#_x0000_t75" id="docshape575" stroked="false">
                  <v:imagedata r:id="rId432" o:title=""/>
                </v:shape>
                <v:shape style="position:absolute;left:8009;top:14166;width:315;height:362" type="#_x0000_t75" id="docshape576" stroked="false">
                  <v:imagedata r:id="rId394" o:title=""/>
                </v:shape>
                <v:shape style="position:absolute;left:6343;top:14166;width:315;height:362" type="#_x0000_t75" id="docshape577" stroked="false">
                  <v:imagedata r:id="rId395" o:title=""/>
                </v:shape>
                <v:shape style="position:absolute;left:4676;top:14166;width:315;height:362" type="#_x0000_t75" id="docshape578" stroked="false">
                  <v:imagedata r:id="rId396" o:title=""/>
                </v:shape>
                <v:shape style="position:absolute;left:3010;top:14166;width:315;height:362" type="#_x0000_t75" id="docshape579" stroked="false">
                  <v:imagedata r:id="rId397" o:title=""/>
                </v:shape>
                <v:shape style="position:absolute;left:1344;top:14166;width:315;height:362" type="#_x0000_t75" id="docshape580" stroked="false">
                  <v:imagedata r:id="rId433" o:title=""/>
                </v:shape>
                <v:shape style="position:absolute;left:11672;top:14262;width:224;height:271" type="#_x0000_t75" id="docshape581" stroked="false">
                  <v:imagedata r:id="rId434" o:title=""/>
                </v:shape>
                <v:shape style="position:absolute;left:11018;top:14262;width:184;height:271" type="#_x0000_t75" id="docshape582" stroked="false">
                  <v:imagedata r:id="rId435" o:title=""/>
                </v:shape>
                <v:shape style="position:absolute;left:10803;top:14262;width:184;height:271" type="#_x0000_t75" id="docshape583" stroked="false">
                  <v:imagedata r:id="rId436" o:title=""/>
                </v:shape>
                <v:shape style="position:absolute;left:10517;top:14262;width:255;height:271" type="#_x0000_t75" id="docshape584" stroked="false">
                  <v:imagedata r:id="rId437" o:title=""/>
                </v:shape>
                <v:shape style="position:absolute;left:10261;top:14262;width:224;height:271" type="#_x0000_t75" id="docshape585" stroked="false">
                  <v:imagedata r:id="rId438" o:title=""/>
                </v:shape>
                <v:shape style="position:absolute;left:10006;top:14262;width:224;height:271" type="#_x0000_t75" id="docshape586" stroked="false">
                  <v:imagedata r:id="rId439" o:title=""/>
                </v:shape>
                <v:shape style="position:absolute;left:9352;top:14262;width:184;height:271" type="#_x0000_t75" id="docshape587" stroked="false">
                  <v:imagedata r:id="rId440" o:title=""/>
                </v:shape>
                <v:shape style="position:absolute;left:9137;top:14262;width:184;height:271" type="#_x0000_t75" id="docshape588" stroked="false">
                  <v:imagedata r:id="rId441" o:title=""/>
                </v:shape>
                <v:shape style="position:absolute;left:8850;top:14262;width:256;height:271" type="#_x0000_t75" id="docshape589" stroked="false">
                  <v:imagedata r:id="rId442" o:title=""/>
                </v:shape>
                <v:shape style="position:absolute;left:8595;top:14262;width:224;height:271" type="#_x0000_t75" id="docshape590" stroked="false">
                  <v:imagedata r:id="rId443" o:title=""/>
                </v:shape>
                <v:shape style="position:absolute;left:8340;top:14262;width:224;height:271" type="#_x0000_t75" id="docshape591" stroked="false">
                  <v:imagedata r:id="rId444" o:title=""/>
                </v:shape>
                <v:shape style="position:absolute;left:7686;top:14262;width:184;height:271" type="#_x0000_t75" id="docshape592" stroked="false">
                  <v:imagedata r:id="rId445" o:title=""/>
                </v:shape>
                <v:shape style="position:absolute;left:7471;top:14262;width:184;height:271" type="#_x0000_t75" id="docshape593" stroked="false">
                  <v:imagedata r:id="rId446" o:title=""/>
                </v:shape>
                <v:shape style="position:absolute;left:7184;top:14262;width:256;height:271" type="#_x0000_t75" id="docshape594" stroked="false">
                  <v:imagedata r:id="rId447" o:title=""/>
                </v:shape>
                <v:shape style="position:absolute;left:6929;top:14262;width:224;height:271" type="#_x0000_t75" id="docshape595" stroked="false">
                  <v:imagedata r:id="rId448" o:title=""/>
                </v:shape>
                <v:shape style="position:absolute;left:6673;top:14262;width:224;height:271" type="#_x0000_t75" id="docshape596" stroked="false">
                  <v:imagedata r:id="rId449" o:title=""/>
                </v:shape>
                <v:shape style="position:absolute;left:6020;top:14262;width:184;height:271" type="#_x0000_t75" id="docshape597" stroked="false">
                  <v:imagedata r:id="rId450" o:title=""/>
                </v:shape>
                <v:shape style="position:absolute;left:5805;top:14262;width:184;height:271" type="#_x0000_t75" id="docshape598" stroked="false">
                  <v:imagedata r:id="rId451" o:title=""/>
                </v:shape>
                <v:shape style="position:absolute;left:5518;top:14262;width:256;height:271" type="#_x0000_t75" id="docshape599" stroked="false">
                  <v:imagedata r:id="rId452" o:title=""/>
                </v:shape>
                <v:shape style="position:absolute;left:5262;top:14262;width:224;height:271" type="#_x0000_t75" id="docshape600" stroked="false">
                  <v:imagedata r:id="rId444" o:title=""/>
                </v:shape>
                <v:shape style="position:absolute;left:5007;top:14262;width:224;height:271" type="#_x0000_t75" id="docshape601" stroked="false">
                  <v:imagedata r:id="rId453" o:title=""/>
                </v:shape>
                <v:shape style="position:absolute;left:4353;top:14262;width:184;height:271" type="#_x0000_t75" id="docshape602" stroked="false">
                  <v:imagedata r:id="rId446" o:title=""/>
                </v:shape>
                <v:shape style="position:absolute;left:4138;top:14262;width:184;height:271" type="#_x0000_t75" id="docshape603" stroked="false">
                  <v:imagedata r:id="rId454" o:title=""/>
                </v:shape>
                <v:shape style="position:absolute;left:3852;top:14262;width:256;height:271" type="#_x0000_t75" id="docshape604" stroked="false">
                  <v:imagedata r:id="rId455" o:title=""/>
                </v:shape>
                <v:shape style="position:absolute;left:3596;top:14262;width:224;height:271" type="#_x0000_t75" id="docshape605" stroked="false">
                  <v:imagedata r:id="rId456" o:title=""/>
                </v:shape>
                <v:shape style="position:absolute;left:3341;top:14262;width:224;height:271" type="#_x0000_t75" id="docshape606" stroked="false">
                  <v:imagedata r:id="rId443" o:title=""/>
                </v:shape>
                <v:shape style="position:absolute;left:2687;top:14262;width:184;height:271" type="#_x0000_t75" id="docshape607" stroked="false">
                  <v:imagedata r:id="rId457" o:title=""/>
                </v:shape>
                <v:shape style="position:absolute;left:2472;top:14262;width:184;height:271" type="#_x0000_t75" id="docshape608" stroked="false">
                  <v:imagedata r:id="rId445" o:title=""/>
                </v:shape>
                <v:shape style="position:absolute;left:2185;top:14262;width:255;height:271" type="#_x0000_t75" id="docshape609" stroked="false">
                  <v:imagedata r:id="rId458" o:title=""/>
                </v:shape>
                <v:shape style="position:absolute;left:1930;top:14262;width:224;height:271" type="#_x0000_t75" id="docshape610" stroked="false">
                  <v:imagedata r:id="rId453" o:title=""/>
                </v:shape>
                <v:shape style="position:absolute;left:1674;top:14262;width:224;height:271" type="#_x0000_t75" id="docshape611" stroked="false">
                  <v:imagedata r:id="rId459" o:title=""/>
                </v:shape>
                <v:shape style="position:absolute;left:1021;top:14262;width:184;height:271" type="#_x0000_t75" id="docshape612" stroked="false">
                  <v:imagedata r:id="rId460" o:title=""/>
                </v:shape>
                <v:shape style="position:absolute;left:806;top:14262;width:184;height:271" type="#_x0000_t75" id="docshape613" stroked="false">
                  <v:imagedata r:id="rId461" o:title=""/>
                </v:shape>
                <v:shape style="position:absolute;left:519;top:14262;width:255;height:271" type="#_x0000_t75" id="docshape614" stroked="false">
                  <v:imagedata r:id="rId462" o:title=""/>
                </v:shape>
                <v:shape style="position:absolute;left:264;top:14262;width:224;height:271" type="#_x0000_t75" id="docshape615" stroked="false">
                  <v:imagedata r:id="rId463" o:title=""/>
                </v:shape>
                <v:shape style="position:absolute;left:10;top:14262;width:223;height:271" type="#_x0000_t75" id="docshape616" stroked="false">
                  <v:imagedata r:id="rId464" o:title=""/>
                </v:shape>
                <v:shape style="position:absolute;left:11341;top:14765;width:315;height:362" type="#_x0000_t75" id="docshape617" stroked="false">
                  <v:imagedata r:id="rId465" o:title=""/>
                </v:shape>
                <v:shape style="position:absolute;left:9675;top:14765;width:315;height:362" type="#_x0000_t75" id="docshape618" stroked="false">
                  <v:imagedata r:id="rId466" o:title=""/>
                </v:shape>
                <v:shape style="position:absolute;left:8009;top:14765;width:315;height:362" type="#_x0000_t75" id="docshape619" stroked="false">
                  <v:imagedata r:id="rId394" o:title=""/>
                </v:shape>
                <v:shape style="position:absolute;left:6343;top:14765;width:315;height:362" type="#_x0000_t75" id="docshape620" stroked="false">
                  <v:imagedata r:id="rId395" o:title=""/>
                </v:shape>
                <v:shape style="position:absolute;left:4676;top:14765;width:315;height:362" type="#_x0000_t75" id="docshape621" stroked="false">
                  <v:imagedata r:id="rId396" o:title=""/>
                </v:shape>
                <v:shape style="position:absolute;left:3010;top:14765;width:315;height:362" type="#_x0000_t75" id="docshape622" stroked="false">
                  <v:imagedata r:id="rId397" o:title=""/>
                </v:shape>
                <v:shape style="position:absolute;left:1344;top:14765;width:315;height:362" type="#_x0000_t75" id="docshape623" stroked="false">
                  <v:imagedata r:id="rId467" o:title=""/>
                </v:shape>
                <v:shape style="position:absolute;left:11672;top:14861;width:222;height:270" type="#_x0000_t75" id="docshape624" stroked="false">
                  <v:imagedata r:id="rId468" o:title=""/>
                </v:shape>
                <v:shape style="position:absolute;left:11018;top:14861;width:184;height:271" type="#_x0000_t75" id="docshape625" stroked="false">
                  <v:imagedata r:id="rId469" o:title=""/>
                </v:shape>
                <v:shape style="position:absolute;left:10803;top:14861;width:184;height:271" type="#_x0000_t75" id="docshape626" stroked="false">
                  <v:imagedata r:id="rId470" o:title=""/>
                </v:shape>
                <v:shape style="position:absolute;left:10517;top:14861;width:255;height:271" type="#_x0000_t75" id="docshape627" stroked="false">
                  <v:imagedata r:id="rId471" o:title=""/>
                </v:shape>
                <v:shape style="position:absolute;left:10261;top:14861;width:224;height:271" type="#_x0000_t75" id="docshape628" stroked="false">
                  <v:imagedata r:id="rId472" o:title=""/>
                </v:shape>
                <v:shape style="position:absolute;left:10006;top:14861;width:224;height:271" type="#_x0000_t75" id="docshape629" stroked="false">
                  <v:imagedata r:id="rId473" o:title=""/>
                </v:shape>
                <v:shape style="position:absolute;left:9352;top:14861;width:184;height:271" type="#_x0000_t75" id="docshape630" stroked="false">
                  <v:imagedata r:id="rId474" o:title=""/>
                </v:shape>
                <v:shape style="position:absolute;left:9137;top:14861;width:184;height:271" type="#_x0000_t75" id="docshape631" stroked="false">
                  <v:imagedata r:id="rId475" o:title=""/>
                </v:shape>
                <v:shape style="position:absolute;left:8850;top:14861;width:256;height:271" type="#_x0000_t75" id="docshape632" stroked="false">
                  <v:imagedata r:id="rId476" o:title=""/>
                </v:shape>
                <v:shape style="position:absolute;left:8595;top:14861;width:224;height:271" type="#_x0000_t75" id="docshape633" stroked="false">
                  <v:imagedata r:id="rId477" o:title=""/>
                </v:shape>
                <v:shape style="position:absolute;left:8340;top:14861;width:224;height:271" type="#_x0000_t75" id="docshape634" stroked="false">
                  <v:imagedata r:id="rId478" o:title=""/>
                </v:shape>
                <v:shape style="position:absolute;left:7686;top:14861;width:184;height:271" type="#_x0000_t75" id="docshape635" stroked="false">
                  <v:imagedata r:id="rId479" o:title=""/>
                </v:shape>
                <v:shape style="position:absolute;left:7471;top:14861;width:184;height:271" type="#_x0000_t75" id="docshape636" stroked="false">
                  <v:imagedata r:id="rId480" o:title=""/>
                </v:shape>
                <v:shape style="position:absolute;left:7184;top:14861;width:256;height:271" type="#_x0000_t75" id="docshape637" stroked="false">
                  <v:imagedata r:id="rId481" o:title=""/>
                </v:shape>
                <v:shape style="position:absolute;left:6929;top:14861;width:224;height:271" type="#_x0000_t75" id="docshape638" stroked="false">
                  <v:imagedata r:id="rId482" o:title=""/>
                </v:shape>
                <v:shape style="position:absolute;left:6673;top:14861;width:224;height:271" type="#_x0000_t75" id="docshape639" stroked="false">
                  <v:imagedata r:id="rId483" o:title=""/>
                </v:shape>
                <v:shape style="position:absolute;left:6020;top:14861;width:184;height:271" type="#_x0000_t75" id="docshape640" stroked="false">
                  <v:imagedata r:id="rId484" o:title=""/>
                </v:shape>
                <v:shape style="position:absolute;left:5805;top:14861;width:184;height:271" type="#_x0000_t75" id="docshape641" stroked="false">
                  <v:imagedata r:id="rId485" o:title=""/>
                </v:shape>
                <v:shape style="position:absolute;left:5518;top:14861;width:256;height:271" type="#_x0000_t75" id="docshape642" stroked="false">
                  <v:imagedata r:id="rId486" o:title=""/>
                </v:shape>
                <v:shape style="position:absolute;left:5262;top:14861;width:224;height:271" type="#_x0000_t75" id="docshape643" stroked="false">
                  <v:imagedata r:id="rId478" o:title=""/>
                </v:shape>
                <v:shape style="position:absolute;left:5007;top:14861;width:224;height:271" type="#_x0000_t75" id="docshape644" stroked="false">
                  <v:imagedata r:id="rId487" o:title=""/>
                </v:shape>
                <v:shape style="position:absolute;left:4353;top:14861;width:184;height:271" type="#_x0000_t75" id="docshape645" stroked="false">
                  <v:imagedata r:id="rId480" o:title=""/>
                </v:shape>
                <v:shape style="position:absolute;left:4138;top:14861;width:184;height:271" type="#_x0000_t75" id="docshape646" stroked="false">
                  <v:imagedata r:id="rId488" o:title=""/>
                </v:shape>
                <v:shape style="position:absolute;left:3852;top:14861;width:256;height:271" type="#_x0000_t75" id="docshape647" stroked="false">
                  <v:imagedata r:id="rId489" o:title=""/>
                </v:shape>
                <v:shape style="position:absolute;left:3596;top:14861;width:224;height:271" type="#_x0000_t75" id="docshape648" stroked="false">
                  <v:imagedata r:id="rId490" o:title=""/>
                </v:shape>
                <v:shape style="position:absolute;left:3341;top:14861;width:224;height:271" type="#_x0000_t75" id="docshape649" stroked="false">
                  <v:imagedata r:id="rId477" o:title=""/>
                </v:shape>
                <v:shape style="position:absolute;left:2687;top:14861;width:184;height:271" type="#_x0000_t75" id="docshape650" stroked="false">
                  <v:imagedata r:id="rId491" o:title=""/>
                </v:shape>
                <v:shape style="position:absolute;left:2472;top:14861;width:184;height:271" type="#_x0000_t75" id="docshape651" stroked="false">
                  <v:imagedata r:id="rId479" o:title=""/>
                </v:shape>
                <v:shape style="position:absolute;left:2185;top:14861;width:255;height:271" type="#_x0000_t75" id="docshape652" stroked="false">
                  <v:imagedata r:id="rId492" o:title=""/>
                </v:shape>
                <v:shape style="position:absolute;left:1930;top:14861;width:224;height:271" type="#_x0000_t75" id="docshape653" stroked="false">
                  <v:imagedata r:id="rId487" o:title=""/>
                </v:shape>
                <v:shape style="position:absolute;left:1674;top:14861;width:224;height:271" type="#_x0000_t75" id="docshape654" stroked="false">
                  <v:imagedata r:id="rId473" o:title=""/>
                </v:shape>
                <v:shape style="position:absolute;left:1021;top:14861;width:184;height:271" type="#_x0000_t75" id="docshape655" stroked="false">
                  <v:imagedata r:id="rId493" o:title=""/>
                </v:shape>
                <v:shape style="position:absolute;left:806;top:14861;width:184;height:271" type="#_x0000_t75" id="docshape656" stroked="false">
                  <v:imagedata r:id="rId494" o:title=""/>
                </v:shape>
                <v:shape style="position:absolute;left:519;top:14861;width:255;height:271" type="#_x0000_t75" id="docshape657" stroked="false">
                  <v:imagedata r:id="rId495" o:title=""/>
                </v:shape>
                <v:shape style="position:absolute;left:264;top:14861;width:224;height:271" type="#_x0000_t75" id="docshape658" stroked="false">
                  <v:imagedata r:id="rId496" o:title=""/>
                </v:shape>
                <v:shape style="position:absolute;left:10;top:14861;width:223;height:271" type="#_x0000_t75" id="docshape659" stroked="false">
                  <v:imagedata r:id="rId497" o:title=""/>
                </v:shape>
                <v:shape style="position:absolute;left:9675;top:15364;width:315;height:362" type="#_x0000_t75" id="docshape660" stroked="false">
                  <v:imagedata r:id="rId498" o:title=""/>
                </v:shape>
                <v:shape style="position:absolute;left:8009;top:15364;width:315;height:362" type="#_x0000_t75" id="docshape661" stroked="false">
                  <v:imagedata r:id="rId499" o:title=""/>
                </v:shape>
                <v:shape style="position:absolute;left:6343;top:15364;width:315;height:362" type="#_x0000_t75" id="docshape662" stroked="false">
                  <v:imagedata r:id="rId500" o:title=""/>
                </v:shape>
                <v:shape style="position:absolute;left:4676;top:15364;width:315;height:362" type="#_x0000_t75" id="docshape663" stroked="false">
                  <v:imagedata r:id="rId501" o:title=""/>
                </v:shape>
                <v:shape style="position:absolute;left:3010;top:15364;width:315;height:362" type="#_x0000_t75" id="docshape664" stroked="false">
                  <v:imagedata r:id="rId502" o:title=""/>
                </v:shape>
                <v:shape style="position:absolute;left:1344;top:15364;width:315;height:362" type="#_x0000_t75" id="docshape665" stroked="false">
                  <v:imagedata r:id="rId503" o:title=""/>
                </v:shape>
                <v:shape style="position:absolute;left:11018;top:15460;width:184;height:271" type="#_x0000_t75" id="docshape666" stroked="false">
                  <v:imagedata r:id="rId504" o:title=""/>
                </v:shape>
                <v:shape style="position:absolute;left:10803;top:15460;width:184;height:271" type="#_x0000_t75" id="docshape667" stroked="false">
                  <v:imagedata r:id="rId505" o:title=""/>
                </v:shape>
                <v:shape style="position:absolute;left:10517;top:15460;width:255;height:271" type="#_x0000_t75" id="docshape668" stroked="false">
                  <v:imagedata r:id="rId506" o:title=""/>
                </v:shape>
                <v:shape style="position:absolute;left:10261;top:15460;width:224;height:271" type="#_x0000_t75" id="docshape669" stroked="false">
                  <v:imagedata r:id="rId507" o:title=""/>
                </v:shape>
                <v:shape style="position:absolute;left:10006;top:15460;width:224;height:271" type="#_x0000_t75" id="docshape670" stroked="false">
                  <v:imagedata r:id="rId508" o:title=""/>
                </v:shape>
                <v:shape style="position:absolute;left:9352;top:15460;width:184;height:271" type="#_x0000_t75" id="docshape671" stroked="false">
                  <v:imagedata r:id="rId509" o:title=""/>
                </v:shape>
                <v:shape style="position:absolute;left:9137;top:15460;width:184;height:271" type="#_x0000_t75" id="docshape672" stroked="false">
                  <v:imagedata r:id="rId510" o:title=""/>
                </v:shape>
                <v:shape style="position:absolute;left:8850;top:15460;width:256;height:271" type="#_x0000_t75" id="docshape673" stroked="false">
                  <v:imagedata r:id="rId511" o:title=""/>
                </v:shape>
                <v:shape style="position:absolute;left:8595;top:15460;width:224;height:271" type="#_x0000_t75" id="docshape674" stroked="false">
                  <v:imagedata r:id="rId512" o:title=""/>
                </v:shape>
                <v:shape style="position:absolute;left:8340;top:15460;width:224;height:271" type="#_x0000_t75" id="docshape675" stroked="false">
                  <v:imagedata r:id="rId513" o:title=""/>
                </v:shape>
                <v:shape style="position:absolute;left:7686;top:15460;width:184;height:271" type="#_x0000_t75" id="docshape676" stroked="false">
                  <v:imagedata r:id="rId514" o:title=""/>
                </v:shape>
                <v:shape style="position:absolute;left:7471;top:15460;width:184;height:271" type="#_x0000_t75" id="docshape677" stroked="false">
                  <v:imagedata r:id="rId515" o:title=""/>
                </v:shape>
                <v:shape style="position:absolute;left:7184;top:15460;width:256;height:271" type="#_x0000_t75" id="docshape678" stroked="false">
                  <v:imagedata r:id="rId516" o:title=""/>
                </v:shape>
                <v:shape style="position:absolute;left:6929;top:15460;width:224;height:271" type="#_x0000_t75" id="docshape679" stroked="false">
                  <v:imagedata r:id="rId517" o:title=""/>
                </v:shape>
                <v:shape style="position:absolute;left:6673;top:15460;width:224;height:271" type="#_x0000_t75" id="docshape680" stroked="false">
                  <v:imagedata r:id="rId518" o:title=""/>
                </v:shape>
                <v:shape style="position:absolute;left:6020;top:15460;width:184;height:271" type="#_x0000_t75" id="docshape681" stroked="false">
                  <v:imagedata r:id="rId519" o:title=""/>
                </v:shape>
                <v:shape style="position:absolute;left:5805;top:15460;width:184;height:271" type="#_x0000_t75" id="docshape682" stroked="false">
                  <v:imagedata r:id="rId520" o:title=""/>
                </v:shape>
                <v:shape style="position:absolute;left:5518;top:15460;width:256;height:271" type="#_x0000_t75" id="docshape683" stroked="false">
                  <v:imagedata r:id="rId521" o:title=""/>
                </v:shape>
                <v:shape style="position:absolute;left:5262;top:15460;width:224;height:271" type="#_x0000_t75" id="docshape684" stroked="false">
                  <v:imagedata r:id="rId513" o:title=""/>
                </v:shape>
                <v:shape style="position:absolute;left:5007;top:15460;width:224;height:271" type="#_x0000_t75" id="docshape685" stroked="false">
                  <v:imagedata r:id="rId522" o:title=""/>
                </v:shape>
                <v:shape style="position:absolute;left:4353;top:15460;width:184;height:271" type="#_x0000_t75" id="docshape686" stroked="false">
                  <v:imagedata r:id="rId515" o:title=""/>
                </v:shape>
                <v:shape style="position:absolute;left:4138;top:15460;width:184;height:271" type="#_x0000_t75" id="docshape687" stroked="false">
                  <v:imagedata r:id="rId523" o:title=""/>
                </v:shape>
                <v:shape style="position:absolute;left:3852;top:15460;width:256;height:271" type="#_x0000_t75" id="docshape688" stroked="false">
                  <v:imagedata r:id="rId524" o:title=""/>
                </v:shape>
                <v:shape style="position:absolute;left:3596;top:15460;width:224;height:271" type="#_x0000_t75" id="docshape689" stroked="false">
                  <v:imagedata r:id="rId525" o:title=""/>
                </v:shape>
                <v:shape style="position:absolute;left:3341;top:15460;width:224;height:271" type="#_x0000_t75" id="docshape690" stroked="false">
                  <v:imagedata r:id="rId512" o:title=""/>
                </v:shape>
                <v:shape style="position:absolute;left:2687;top:15460;width:184;height:271" type="#_x0000_t75" id="docshape691" stroked="false">
                  <v:imagedata r:id="rId526" o:title=""/>
                </v:shape>
                <v:shape style="position:absolute;left:2472;top:15460;width:184;height:271" type="#_x0000_t75" id="docshape692" stroked="false">
                  <v:imagedata r:id="rId514" o:title=""/>
                </v:shape>
                <v:shape style="position:absolute;left:2185;top:15460;width:255;height:271" type="#_x0000_t75" id="docshape693" stroked="false">
                  <v:imagedata r:id="rId527" o:title=""/>
                </v:shape>
                <v:shape style="position:absolute;left:1930;top:15460;width:224;height:271" type="#_x0000_t75" id="docshape694" stroked="false">
                  <v:imagedata r:id="rId528" o:title=""/>
                </v:shape>
                <v:shape style="position:absolute;left:1674;top:15460;width:224;height:271" type="#_x0000_t75" id="docshape695" stroked="false">
                  <v:imagedata r:id="rId508" o:title=""/>
                </v:shape>
                <v:shape style="position:absolute;left:1021;top:15460;width:184;height:271" type="#_x0000_t75" id="docshape696" stroked="false">
                  <v:imagedata r:id="rId529" o:title=""/>
                </v:shape>
                <v:shape style="position:absolute;left:806;top:15460;width:184;height:271" type="#_x0000_t75" id="docshape697" stroked="false">
                  <v:imagedata r:id="rId530" o:title=""/>
                </v:shape>
                <v:shape style="position:absolute;left:519;top:15460;width:255;height:271" type="#_x0000_t75" id="docshape698" stroked="false">
                  <v:imagedata r:id="rId531" o:title=""/>
                </v:shape>
                <v:shape style="position:absolute;left:64;top:15460;width:424;height:264" type="#_x0000_t75" id="docshape699" stroked="false">
                  <v:imagedata r:id="rId532" o:title=""/>
                </v:shape>
                <v:shape style="position:absolute;left:11341;top:15598;width:494;height:133" type="#_x0000_t75" id="docshape700" stroked="false">
                  <v:imagedata r:id="rId533" o:title=""/>
                </v:shape>
                <v:shape style="position:absolute;left:11341;top:15963;width:315;height:362" type="#_x0000_t75" id="docshape701" stroked="false">
                  <v:imagedata r:id="rId534" o:title=""/>
                </v:shape>
                <v:shape style="position:absolute;left:9675;top:15963;width:315;height:362" type="#_x0000_t75" id="docshape702" stroked="false">
                  <v:imagedata r:id="rId535" o:title=""/>
                </v:shape>
                <v:shape style="position:absolute;left:8009;top:15963;width:315;height:362" type="#_x0000_t75" id="docshape703" stroked="false">
                  <v:imagedata r:id="rId536" o:title=""/>
                </v:shape>
                <v:shape style="position:absolute;left:6343;top:15963;width:315;height:362" type="#_x0000_t75" id="docshape704" stroked="false">
                  <v:imagedata r:id="rId537" o:title=""/>
                </v:shape>
                <v:shape style="position:absolute;left:4676;top:15963;width:315;height:362" type="#_x0000_t75" id="docshape705" stroked="false">
                  <v:imagedata r:id="rId538" o:title=""/>
                </v:shape>
                <v:shape style="position:absolute;left:3010;top:15963;width:315;height:362" type="#_x0000_t75" id="docshape706" stroked="false">
                  <v:imagedata r:id="rId539" o:title=""/>
                </v:shape>
                <v:shape style="position:absolute;left:1344;top:15963;width:315;height:362" type="#_x0000_t75" id="docshape707" stroked="false">
                  <v:imagedata r:id="rId540" o:title=""/>
                </v:shape>
                <v:shape style="position:absolute;left:11672;top:16059;width:224;height:271" type="#_x0000_t75" id="docshape708" stroked="false">
                  <v:imagedata r:id="rId541" o:title=""/>
                </v:shape>
                <v:shape style="position:absolute;left:11018;top:16059;width:184;height:271" type="#_x0000_t75" id="docshape709" stroked="false">
                  <v:imagedata r:id="rId542" o:title=""/>
                </v:shape>
                <v:shape style="position:absolute;left:10803;top:16059;width:184;height:271" type="#_x0000_t75" id="docshape710" stroked="false">
                  <v:imagedata r:id="rId543" o:title=""/>
                </v:shape>
                <v:shape style="position:absolute;left:10517;top:16059;width:255;height:271" type="#_x0000_t75" id="docshape711" stroked="false">
                  <v:imagedata r:id="rId544" o:title=""/>
                </v:shape>
                <v:shape style="position:absolute;left:10261;top:16059;width:224;height:271" type="#_x0000_t75" id="docshape712" stroked="false">
                  <v:imagedata r:id="rId545" o:title=""/>
                </v:shape>
                <v:shape style="position:absolute;left:10006;top:16059;width:224;height:271" type="#_x0000_t75" id="docshape713" stroked="false">
                  <v:imagedata r:id="rId546" o:title=""/>
                </v:shape>
                <v:shape style="position:absolute;left:9352;top:16059;width:184;height:271" type="#_x0000_t75" id="docshape714" stroked="false">
                  <v:imagedata r:id="rId547" o:title=""/>
                </v:shape>
                <v:shape style="position:absolute;left:9137;top:16059;width:184;height:271" type="#_x0000_t75" id="docshape715" stroked="false">
                  <v:imagedata r:id="rId548" o:title=""/>
                </v:shape>
                <v:shape style="position:absolute;left:8850;top:16059;width:256;height:271" type="#_x0000_t75" id="docshape716" stroked="false">
                  <v:imagedata r:id="rId549" o:title=""/>
                </v:shape>
                <v:shape style="position:absolute;left:8595;top:16059;width:224;height:271" type="#_x0000_t75" id="docshape717" stroked="false">
                  <v:imagedata r:id="rId550" o:title=""/>
                </v:shape>
                <v:shape style="position:absolute;left:8340;top:16059;width:224;height:271" type="#_x0000_t75" id="docshape718" stroked="false">
                  <v:imagedata r:id="rId551" o:title=""/>
                </v:shape>
                <v:shape style="position:absolute;left:7686;top:16059;width:184;height:271" type="#_x0000_t75" id="docshape719" stroked="false">
                  <v:imagedata r:id="rId552" o:title=""/>
                </v:shape>
                <v:shape style="position:absolute;left:7471;top:16059;width:184;height:271" type="#_x0000_t75" id="docshape720" stroked="false">
                  <v:imagedata r:id="rId553" o:title=""/>
                </v:shape>
                <v:shape style="position:absolute;left:7184;top:16059;width:256;height:271" type="#_x0000_t75" id="docshape721" stroked="false">
                  <v:imagedata r:id="rId554" o:title=""/>
                </v:shape>
                <v:shape style="position:absolute;left:6929;top:16059;width:224;height:271" type="#_x0000_t75" id="docshape722" stroked="false">
                  <v:imagedata r:id="rId555" o:title=""/>
                </v:shape>
                <v:shape style="position:absolute;left:6673;top:16059;width:224;height:271" type="#_x0000_t75" id="docshape723" stroked="false">
                  <v:imagedata r:id="rId556" o:title=""/>
                </v:shape>
                <v:shape style="position:absolute;left:6020;top:16059;width:184;height:271" type="#_x0000_t75" id="docshape724" stroked="false">
                  <v:imagedata r:id="rId557" o:title=""/>
                </v:shape>
                <v:shape style="position:absolute;left:5805;top:16059;width:184;height:271" type="#_x0000_t75" id="docshape725" stroked="false">
                  <v:imagedata r:id="rId558" o:title=""/>
                </v:shape>
                <v:shape style="position:absolute;left:5518;top:16059;width:256;height:271" type="#_x0000_t75" id="docshape726" stroked="false">
                  <v:imagedata r:id="rId559" o:title=""/>
                </v:shape>
                <v:shape style="position:absolute;left:5262;top:16059;width:224;height:271" type="#_x0000_t75" id="docshape727" stroked="false">
                  <v:imagedata r:id="rId551" o:title=""/>
                </v:shape>
                <v:shape style="position:absolute;left:5007;top:16059;width:224;height:271" type="#_x0000_t75" id="docshape728" stroked="false">
                  <v:imagedata r:id="rId560" o:title=""/>
                </v:shape>
                <v:shape style="position:absolute;left:4353;top:16059;width:184;height:271" type="#_x0000_t75" id="docshape729" stroked="false">
                  <v:imagedata r:id="rId561" o:title=""/>
                </v:shape>
                <v:shape style="position:absolute;left:4138;top:16059;width:184;height:271" type="#_x0000_t75" id="docshape730" stroked="false">
                  <v:imagedata r:id="rId562" o:title=""/>
                </v:shape>
                <v:shape style="position:absolute;left:3852;top:16059;width:256;height:271" type="#_x0000_t75" id="docshape731" stroked="false">
                  <v:imagedata r:id="rId563" o:title=""/>
                </v:shape>
                <v:shape style="position:absolute;left:3596;top:16059;width:224;height:271" type="#_x0000_t75" id="docshape732" stroked="false">
                  <v:imagedata r:id="rId564" o:title=""/>
                </v:shape>
                <v:shape style="position:absolute;left:3341;top:16059;width:224;height:271" type="#_x0000_t75" id="docshape733" stroked="false">
                  <v:imagedata r:id="rId550" o:title=""/>
                </v:shape>
                <v:shape style="position:absolute;left:2687;top:16059;width:184;height:271" type="#_x0000_t75" id="docshape734" stroked="false">
                  <v:imagedata r:id="rId565" o:title=""/>
                </v:shape>
                <v:shape style="position:absolute;left:2472;top:16059;width:184;height:271" type="#_x0000_t75" id="docshape735" stroked="false">
                  <v:imagedata r:id="rId566" o:title=""/>
                </v:shape>
                <v:shape style="position:absolute;left:2185;top:16059;width:255;height:271" type="#_x0000_t75" id="docshape736" stroked="false">
                  <v:imagedata r:id="rId567" o:title=""/>
                </v:shape>
                <v:shape style="position:absolute;left:1930;top:16059;width:224;height:271" type="#_x0000_t75" id="docshape737" stroked="false">
                  <v:imagedata r:id="rId545" o:title=""/>
                </v:shape>
                <v:shape style="position:absolute;left:1674;top:16059;width:224;height:271" type="#_x0000_t75" id="docshape738" stroked="false">
                  <v:imagedata r:id="rId546" o:title=""/>
                </v:shape>
                <v:shape style="position:absolute;left:1021;top:16059;width:184;height:271" type="#_x0000_t75" id="docshape739" stroked="false">
                  <v:imagedata r:id="rId568" o:title=""/>
                </v:shape>
                <v:shape style="position:absolute;left:806;top:16059;width:184;height:271" type="#_x0000_t75" id="docshape740" stroked="false">
                  <v:imagedata r:id="rId569" o:title=""/>
                </v:shape>
                <v:shape style="position:absolute;left:519;top:16059;width:255;height:271" type="#_x0000_t75" id="docshape741" stroked="false">
                  <v:imagedata r:id="rId570" o:title=""/>
                </v:shape>
                <v:shape style="position:absolute;left:264;top:16059;width:224;height:271" type="#_x0000_t75" id="docshape742" stroked="false">
                  <v:imagedata r:id="rId571" o:title=""/>
                </v:shape>
                <v:shape style="position:absolute;left:10;top:16059;width:223;height:271" type="#_x0000_t75" id="docshape743" stroked="false">
                  <v:imagedata r:id="rId572" o:title=""/>
                </v:shape>
                <v:shape style="position:absolute;left:11375;top:16562;width:247;height:276" type="#_x0000_t75" id="docshape744" stroked="false">
                  <v:imagedata r:id="rId573" o:title=""/>
                </v:shape>
                <v:shape style="position:absolute;left:9709;top:16562;width:247;height:276" type="#_x0000_t75" id="docshape745" stroked="false">
                  <v:imagedata r:id="rId574" o:title=""/>
                </v:shape>
                <v:shape style="position:absolute;left:8043;top:16562;width:247;height:276" type="#_x0000_t75" id="docshape746" stroked="false">
                  <v:imagedata r:id="rId575" o:title=""/>
                </v:shape>
                <v:shape style="position:absolute;left:6376;top:16562;width:247;height:276" type="#_x0000_t75" id="docshape747" stroked="false">
                  <v:imagedata r:id="rId576" o:title=""/>
                </v:shape>
                <v:shape style="position:absolute;left:4710;top:16562;width:247;height:276" type="#_x0000_t75" id="docshape748" stroked="false">
                  <v:imagedata r:id="rId577" o:title=""/>
                </v:shape>
                <v:shape style="position:absolute;left:3044;top:16562;width:247;height:276" type="#_x0000_t75" id="docshape749" stroked="false">
                  <v:imagedata r:id="rId578" o:title=""/>
                </v:shape>
                <v:shape style="position:absolute;left:1378;top:16562;width:247;height:276" type="#_x0000_t75" id="docshape750" stroked="false">
                  <v:imagedata r:id="rId579" o:title=""/>
                </v:shape>
                <v:shape style="position:absolute;left:11672;top:16657;width:222;height:180" type="#_x0000_t75" id="docshape751" stroked="false">
                  <v:imagedata r:id="rId580" o:title=""/>
                </v:shape>
                <v:shape style="position:absolute;left:11018;top:16657;width:183;height:180" type="#_x0000_t75" id="docshape752" stroked="false">
                  <v:imagedata r:id="rId581" o:title=""/>
                </v:shape>
                <v:shape style="position:absolute;left:10803;top:16657;width:183;height:180" type="#_x0000_t75" id="docshape753" stroked="false">
                  <v:imagedata r:id="rId582" o:title=""/>
                </v:shape>
                <v:shape style="position:absolute;left:10517;top:16657;width:255;height:180" type="#_x0000_t75" id="docshape754" stroked="false">
                  <v:imagedata r:id="rId583" o:title=""/>
                </v:shape>
                <v:shape style="position:absolute;left:10261;top:16657;width:222;height:180" type="#_x0000_t75" id="docshape755" stroked="false">
                  <v:imagedata r:id="rId584" o:title=""/>
                </v:shape>
                <v:shape style="position:absolute;left:10006;top:16657;width:222;height:180" type="#_x0000_t75" id="docshape756" stroked="false">
                  <v:imagedata r:id="rId585" o:title=""/>
                </v:shape>
                <v:shape style="position:absolute;left:9352;top:16657;width:183;height:180" type="#_x0000_t75" id="docshape757" stroked="false">
                  <v:imagedata r:id="rId586" o:title=""/>
                </v:shape>
                <v:shape style="position:absolute;left:9137;top:16657;width:183;height:180" type="#_x0000_t75" id="docshape758" stroked="false">
                  <v:imagedata r:id="rId587" o:title=""/>
                </v:shape>
                <v:shape style="position:absolute;left:8850;top:16657;width:256;height:180" type="#_x0000_t75" id="docshape759" stroked="false">
                  <v:imagedata r:id="rId588" o:title=""/>
                </v:shape>
                <v:shape style="position:absolute;left:8595;top:16657;width:222;height:180" type="#_x0000_t75" id="docshape760" stroked="false">
                  <v:imagedata r:id="rId589" o:title=""/>
                </v:shape>
                <v:shape style="position:absolute;left:8340;top:16657;width:222;height:180" type="#_x0000_t75" id="docshape761" stroked="false">
                  <v:imagedata r:id="rId590" o:title=""/>
                </v:shape>
                <v:shape style="position:absolute;left:7686;top:16657;width:183;height:180" type="#_x0000_t75" id="docshape762" stroked="false">
                  <v:imagedata r:id="rId591" o:title=""/>
                </v:shape>
                <v:shape style="position:absolute;left:7471;top:16657;width:183;height:180" type="#_x0000_t75" id="docshape763" stroked="false">
                  <v:imagedata r:id="rId592" o:title=""/>
                </v:shape>
                <v:shape style="position:absolute;left:7184;top:16657;width:256;height:180" type="#_x0000_t75" id="docshape764" stroked="false">
                  <v:imagedata r:id="rId593" o:title=""/>
                </v:shape>
                <v:shape style="position:absolute;left:6929;top:16657;width:222;height:180" type="#_x0000_t75" id="docshape765" stroked="false">
                  <v:imagedata r:id="rId585" o:title=""/>
                </v:shape>
                <v:shape style="position:absolute;left:6673;top:16657;width:222;height:180" type="#_x0000_t75" id="docshape766" stroked="false">
                  <v:imagedata r:id="rId594" o:title=""/>
                </v:shape>
                <v:shape style="position:absolute;left:6020;top:16657;width:183;height:180" type="#_x0000_t75" id="docshape767" stroked="false">
                  <v:imagedata r:id="rId595" o:title=""/>
                </v:shape>
                <v:shape style="position:absolute;left:5805;top:16657;width:183;height:180" type="#_x0000_t75" id="docshape768" stroked="false">
                  <v:imagedata r:id="rId596" o:title=""/>
                </v:shape>
                <v:shape style="position:absolute;left:5518;top:16657;width:256;height:180" type="#_x0000_t75" id="docshape769" stroked="false">
                  <v:imagedata r:id="rId597" o:title=""/>
                </v:shape>
                <v:shape style="position:absolute;left:5262;top:16657;width:222;height:180" type="#_x0000_t75" id="docshape770" stroked="false">
                  <v:imagedata r:id="rId590" o:title=""/>
                </v:shape>
                <v:shape style="position:absolute;left:5007;top:16657;width:222;height:180" type="#_x0000_t75" id="docshape771" stroked="false">
                  <v:imagedata r:id="rId598" o:title=""/>
                </v:shape>
                <v:shape style="position:absolute;left:4353;top:16657;width:183;height:180" type="#_x0000_t75" id="docshape772" stroked="false">
                  <v:imagedata r:id="rId599" o:title=""/>
                </v:shape>
                <v:shape style="position:absolute;left:4138;top:16657;width:183;height:180" type="#_x0000_t75" id="docshape773" stroked="false">
                  <v:imagedata r:id="rId600" o:title=""/>
                </v:shape>
                <v:shape style="position:absolute;left:3852;top:16657;width:256;height:180" type="#_x0000_t75" id="docshape774" stroked="false">
                  <v:imagedata r:id="rId601" o:title=""/>
                </v:shape>
                <v:shape style="position:absolute;left:3596;top:16657;width:222;height:180" type="#_x0000_t75" id="docshape775" stroked="false">
                  <v:imagedata r:id="rId602" o:title=""/>
                </v:shape>
                <v:shape style="position:absolute;left:3341;top:16657;width:222;height:180" type="#_x0000_t75" id="docshape776" stroked="false">
                  <v:imagedata r:id="rId589" o:title=""/>
                </v:shape>
                <v:shape style="position:absolute;left:2687;top:16657;width:183;height:180" type="#_x0000_t75" id="docshape777" stroked="false">
                  <v:imagedata r:id="rId596" o:title=""/>
                </v:shape>
                <v:shape style="position:absolute;left:2472;top:16657;width:183;height:180" type="#_x0000_t75" id="docshape778" stroked="false">
                  <v:imagedata r:id="rId591" o:title=""/>
                </v:shape>
                <v:shape style="position:absolute;left:2185;top:16657;width:255;height:180" type="#_x0000_t75" id="docshape779" stroked="false">
                  <v:imagedata r:id="rId603" o:title=""/>
                </v:shape>
                <v:shape style="position:absolute;left:1930;top:16657;width:222;height:180" type="#_x0000_t75" id="docshape780" stroked="false">
                  <v:imagedata r:id="rId598" o:title=""/>
                </v:shape>
                <v:shape style="position:absolute;left:1674;top:16657;width:222;height:180" type="#_x0000_t75" id="docshape781" stroked="false">
                  <v:imagedata r:id="rId585" o:title=""/>
                </v:shape>
                <v:shape style="position:absolute;left:1021;top:16657;width:183;height:180" type="#_x0000_t75" id="docshape782" stroked="false">
                  <v:imagedata r:id="rId604" o:title=""/>
                </v:shape>
                <v:shape style="position:absolute;left:806;top:16657;width:183;height:180" type="#_x0000_t75" id="docshape783" stroked="false">
                  <v:imagedata r:id="rId605" o:title=""/>
                </v:shape>
                <v:shape style="position:absolute;left:519;top:16657;width:255;height:180" type="#_x0000_t75" id="docshape784" stroked="false">
                  <v:imagedata r:id="rId606" o:title=""/>
                </v:shape>
                <v:shape style="position:absolute;left:264;top:16657;width:222;height:180" type="#_x0000_t75" id="docshape785" stroked="false">
                  <v:imagedata r:id="rId607" o:title=""/>
                </v:shape>
                <v:shape style="position:absolute;left:10;top:16657;width:220;height:180" type="#_x0000_t75" id="docshape786" stroked="false">
                  <v:imagedata r:id="rId608" o:title=""/>
                </v:shape>
                <w10:wrap type="none"/>
              </v:group>
            </w:pict>
          </mc:Fallback>
        </mc:AlternateContent>
      </w:r>
      <w:r>
        <w:rPr>
          <w:color w:val="E3C626"/>
        </w:rPr>
        <w:t>Access to </w:t>
      </w:r>
      <w:r>
        <w:rPr>
          <w:color w:val="E3C626"/>
          <w:spacing w:val="-2"/>
        </w:rPr>
        <w:t>Knowledge</w:t>
      </w:r>
    </w:p>
    <w:p>
      <w:pPr>
        <w:pStyle w:val="BodyText"/>
        <w:spacing w:before="67"/>
        <w:rPr>
          <w:rFonts w:ascii="Trebuchet MS"/>
          <w:b/>
          <w:sz w:val="32"/>
        </w:rPr>
      </w:pPr>
    </w:p>
    <w:p>
      <w:pPr>
        <w:spacing w:line="379" w:lineRule="auto" w:before="1"/>
        <w:ind w:left="1980" w:right="7532" w:firstLine="0"/>
        <w:jc w:val="left"/>
        <w:rPr>
          <w:sz w:val="32"/>
        </w:rPr>
      </w:pPr>
      <w:r>
        <w:rPr>
          <w:sz w:val="32"/>
        </w:rPr>
        <w:t>Right</w:t>
      </w:r>
      <w:r>
        <w:rPr>
          <w:spacing w:val="-20"/>
          <w:sz w:val="32"/>
        </w:rPr>
        <w:t> </w:t>
      </w:r>
      <w:r>
        <w:rPr>
          <w:sz w:val="32"/>
        </w:rPr>
        <w:t>to</w:t>
      </w:r>
      <w:r>
        <w:rPr>
          <w:spacing w:val="-20"/>
          <w:sz w:val="32"/>
        </w:rPr>
        <w:t> </w:t>
      </w:r>
      <w:r>
        <w:rPr>
          <w:sz w:val="32"/>
        </w:rPr>
        <w:t>Education </w:t>
      </w:r>
      <w:r>
        <w:rPr>
          <w:spacing w:val="-2"/>
          <w:sz w:val="32"/>
        </w:rPr>
        <w:t>Language Translation Libraries</w:t>
      </w:r>
    </w:p>
    <w:p>
      <w:pPr>
        <w:spacing w:line="362" w:lineRule="exact" w:before="0"/>
        <w:ind w:left="1980" w:right="0" w:firstLine="0"/>
        <w:jc w:val="left"/>
        <w:rPr>
          <w:sz w:val="32"/>
        </w:rPr>
      </w:pPr>
      <w:r>
        <w:rPr>
          <w:w w:val="90"/>
          <w:sz w:val="32"/>
        </w:rPr>
        <w:t>Knowledge</w:t>
      </w:r>
      <w:r>
        <w:rPr>
          <w:spacing w:val="43"/>
          <w:sz w:val="32"/>
        </w:rPr>
        <w:t> </w:t>
      </w:r>
      <w:r>
        <w:rPr>
          <w:spacing w:val="-2"/>
          <w:w w:val="95"/>
          <w:sz w:val="32"/>
        </w:rPr>
        <w:t>Network</w:t>
      </w:r>
    </w:p>
    <w:p>
      <w:pPr>
        <w:spacing w:line="379" w:lineRule="auto" w:before="212"/>
        <w:ind w:left="1980" w:right="5496" w:firstLine="0"/>
        <w:jc w:val="left"/>
        <w:rPr>
          <w:sz w:val="32"/>
        </w:rPr>
      </w:pPr>
      <w:r>
        <w:rPr>
          <w:spacing w:val="-2"/>
          <w:sz w:val="32"/>
        </w:rPr>
        <w:t>Health</w:t>
      </w:r>
      <w:r>
        <w:rPr>
          <w:spacing w:val="-17"/>
          <w:sz w:val="32"/>
        </w:rPr>
        <w:t> </w:t>
      </w:r>
      <w:r>
        <w:rPr>
          <w:spacing w:val="-2"/>
          <w:sz w:val="32"/>
        </w:rPr>
        <w:t>Information</w:t>
      </w:r>
      <w:r>
        <w:rPr>
          <w:spacing w:val="-17"/>
          <w:sz w:val="32"/>
        </w:rPr>
        <w:t> </w:t>
      </w:r>
      <w:r>
        <w:rPr>
          <w:spacing w:val="-2"/>
          <w:sz w:val="32"/>
        </w:rPr>
        <w:t>Network Portals</w:t>
      </w:r>
    </w:p>
    <w:p>
      <w:pPr>
        <w:spacing w:after="0" w:line="379" w:lineRule="auto"/>
        <w:jc w:val="left"/>
        <w:rPr>
          <w:sz w:val="32"/>
        </w:rPr>
        <w:sectPr>
          <w:footerReference w:type="default" r:id="rId42"/>
          <w:pgSz w:w="11910" w:h="16840"/>
          <w:pgMar w:header="0" w:footer="0" w:top="1920" w:bottom="0" w:left="0" w:right="0"/>
        </w:sectPr>
      </w:pPr>
    </w:p>
    <w:p>
      <w:pPr>
        <w:pStyle w:val="BodyText"/>
        <w:spacing w:before="4"/>
        <w:rPr>
          <w:sz w:val="17"/>
        </w:rPr>
      </w:pPr>
    </w:p>
    <w:p>
      <w:pPr>
        <w:spacing w:after="0"/>
        <w:rPr>
          <w:sz w:val="17"/>
        </w:rPr>
        <w:sectPr>
          <w:footerReference w:type="even" r:id="rId609"/>
          <w:pgSz w:w="11910" w:h="16840"/>
          <w:pgMar w:header="0" w:footer="0"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6"/>
        <w:rPr>
          <w:sz w:val="20"/>
        </w:rPr>
      </w:pPr>
    </w:p>
    <w:p>
      <w:pPr>
        <w:spacing w:after="0"/>
        <w:rPr>
          <w:sz w:val="20"/>
        </w:rPr>
        <w:sectPr>
          <w:footerReference w:type="default" r:id="rId610"/>
          <w:footerReference w:type="even" r:id="rId611"/>
          <w:pgSz w:w="11910" w:h="16840"/>
          <w:pgMar w:header="0" w:footer="675" w:top="0" w:bottom="860" w:left="0" w:right="0"/>
          <w:pgNumType w:start="25"/>
        </w:sectPr>
      </w:pPr>
    </w:p>
    <w:p>
      <w:pPr>
        <w:pStyle w:val="BodyText"/>
        <w:spacing w:line="266" w:lineRule="auto" w:before="100"/>
        <w:ind w:left="1902"/>
        <w:jc w:val="both"/>
      </w:pPr>
      <w:r>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ragraph">
                  <wp:posOffset>-2275488</wp:posOffset>
                </wp:positionV>
                <wp:extent cx="7560309" cy="1752600"/>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7560309" cy="1752600"/>
                          <a:chExt cx="7560309" cy="1752600"/>
                        </a:xfrm>
                      </wpg:grpSpPr>
                      <pic:pic>
                        <pic:nvPicPr>
                          <pic:cNvPr id="804" name="Image 804"/>
                          <pic:cNvPicPr/>
                        </pic:nvPicPr>
                        <pic:blipFill>
                          <a:blip r:embed="rId11" cstate="print"/>
                          <a:stretch>
                            <a:fillRect/>
                          </a:stretch>
                        </pic:blipFill>
                        <pic:spPr>
                          <a:xfrm>
                            <a:off x="0" y="0"/>
                            <a:ext cx="7559999" cy="1752562"/>
                          </a:xfrm>
                          <a:prstGeom prst="rect">
                            <a:avLst/>
                          </a:prstGeom>
                        </pic:spPr>
                      </pic:pic>
                      <wps:wsp>
                        <wps:cNvPr id="805" name="Textbox 805"/>
                        <wps:cNvSpPr txBox="1"/>
                        <wps:spPr>
                          <a:xfrm>
                            <a:off x="685800" y="598688"/>
                            <a:ext cx="3724275"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Right</w:t>
                              </w:r>
                              <w:r>
                                <w:rPr>
                                  <w:rFonts w:ascii="Trebuchet MS"/>
                                  <w:b/>
                                  <w:color w:val="FFFFFF"/>
                                  <w:spacing w:val="-3"/>
                                  <w:sz w:val="68"/>
                                </w:rPr>
                                <w:t> </w:t>
                              </w:r>
                              <w:r>
                                <w:rPr>
                                  <w:rFonts w:ascii="Trebuchet MS"/>
                                  <w:b/>
                                  <w:color w:val="FFFFFF"/>
                                  <w:sz w:val="68"/>
                                </w:rPr>
                                <w:t>to</w:t>
                              </w:r>
                              <w:r>
                                <w:rPr>
                                  <w:rFonts w:ascii="Trebuchet MS"/>
                                  <w:b/>
                                  <w:color w:val="FFFFFF"/>
                                  <w:spacing w:val="-3"/>
                                  <w:sz w:val="68"/>
                                </w:rPr>
                                <w:t> </w:t>
                              </w:r>
                              <w:r>
                                <w:rPr>
                                  <w:rFonts w:ascii="Trebuchet MS"/>
                                  <w:b/>
                                  <w:color w:val="FFFFFF"/>
                                  <w:spacing w:val="-2"/>
                                  <w:sz w:val="68"/>
                                </w:rPr>
                                <w:t>Education</w:t>
                              </w:r>
                            </w:p>
                          </w:txbxContent>
                        </wps:txbx>
                        <wps:bodyPr wrap="square" lIns="0" tIns="0" rIns="0" bIns="0" rtlCol="0">
                          <a:noAutofit/>
                        </wps:bodyPr>
                      </wps:wsp>
                      <wps:wsp>
                        <wps:cNvPr id="806" name="Textbox 806"/>
                        <wps:cNvSpPr txBox="1"/>
                        <wps:spPr>
                          <a:xfrm>
                            <a:off x="5883461" y="1439105"/>
                            <a:ext cx="1003935" cy="158750"/>
                          </a:xfrm>
                          <a:prstGeom prst="rect">
                            <a:avLst/>
                          </a:prstGeom>
                        </wps:spPr>
                        <wps:txbx>
                          <w:txbxContent>
                            <w:p>
                              <w:pPr>
                                <w:spacing w:line="238" w:lineRule="exact" w:before="0"/>
                                <w:ind w:left="0" w:right="0" w:firstLine="0"/>
                                <w:jc w:val="left"/>
                                <w:rPr>
                                  <w:b/>
                                  <w:sz w:val="22"/>
                                </w:rPr>
                              </w:pPr>
                              <w:r>
                                <w:rPr>
                                  <w:b/>
                                  <w:color w:val="FFFFFF"/>
                                  <w:spacing w:val="-4"/>
                                  <w:sz w:val="22"/>
                                </w:rPr>
                                <w:t>October 23,</w:t>
                              </w:r>
                              <w:r>
                                <w:rPr>
                                  <w:b/>
                                  <w:color w:val="FFFFFF"/>
                                  <w:spacing w:val="-3"/>
                                  <w:sz w:val="22"/>
                                </w:rPr>
                                <w:t> </w:t>
                              </w:r>
                              <w:r>
                                <w:rPr>
                                  <w:b/>
                                  <w:color w:val="FFFFFF"/>
                                  <w:spacing w:val="-4"/>
                                  <w:sz w:val="22"/>
                                </w:rPr>
                                <w:t>2006</w:t>
                              </w:r>
                            </w:p>
                          </w:txbxContent>
                        </wps:txbx>
                        <wps:bodyPr wrap="square" lIns="0" tIns="0" rIns="0" bIns="0" rtlCol="0">
                          <a:noAutofit/>
                        </wps:bodyPr>
                      </wps:wsp>
                    </wpg:wgp>
                  </a:graphicData>
                </a:graphic>
              </wp:anchor>
            </w:drawing>
          </mc:Choice>
          <mc:Fallback>
            <w:pict>
              <v:group style="position:absolute;margin-left:0pt;margin-top:-179.172318pt;width:595.3pt;height:138pt;mso-position-horizontal-relative:page;mso-position-vertical-relative:paragraph;z-index:15749120" id="docshapegroup796" coordorigin="0,-3583" coordsize="11906,2760">
                <v:shape style="position:absolute;left:0;top:-3584;width:11906;height:2760" type="#_x0000_t75" id="docshape797" stroked="false">
                  <v:imagedata r:id="rId11" o:title=""/>
                </v:shape>
                <v:shape style="position:absolute;left:1080;top:-2641;width:5865;height:790" type="#_x0000_t202" id="docshape798" filled="false" stroked="false">
                  <v:textbox inset="0,0,0,0">
                    <w:txbxContent>
                      <w:p>
                        <w:pPr>
                          <w:spacing w:before="0"/>
                          <w:ind w:left="0" w:right="0" w:firstLine="0"/>
                          <w:jc w:val="left"/>
                          <w:rPr>
                            <w:rFonts w:ascii="Trebuchet MS"/>
                            <w:b/>
                            <w:sz w:val="68"/>
                          </w:rPr>
                        </w:pPr>
                        <w:r>
                          <w:rPr>
                            <w:rFonts w:ascii="Trebuchet MS"/>
                            <w:b/>
                            <w:color w:val="FFFFFF"/>
                            <w:sz w:val="68"/>
                          </w:rPr>
                          <w:t>Right</w:t>
                        </w:r>
                        <w:r>
                          <w:rPr>
                            <w:rFonts w:ascii="Trebuchet MS"/>
                            <w:b/>
                            <w:color w:val="FFFFFF"/>
                            <w:spacing w:val="-3"/>
                            <w:sz w:val="68"/>
                          </w:rPr>
                          <w:t> </w:t>
                        </w:r>
                        <w:r>
                          <w:rPr>
                            <w:rFonts w:ascii="Trebuchet MS"/>
                            <w:b/>
                            <w:color w:val="FFFFFF"/>
                            <w:sz w:val="68"/>
                          </w:rPr>
                          <w:t>to</w:t>
                        </w:r>
                        <w:r>
                          <w:rPr>
                            <w:rFonts w:ascii="Trebuchet MS"/>
                            <w:b/>
                            <w:color w:val="FFFFFF"/>
                            <w:spacing w:val="-3"/>
                            <w:sz w:val="68"/>
                          </w:rPr>
                          <w:t> </w:t>
                        </w:r>
                        <w:r>
                          <w:rPr>
                            <w:rFonts w:ascii="Trebuchet MS"/>
                            <w:b/>
                            <w:color w:val="FFFFFF"/>
                            <w:spacing w:val="-2"/>
                            <w:sz w:val="68"/>
                          </w:rPr>
                          <w:t>Education</w:t>
                        </w:r>
                      </w:p>
                    </w:txbxContent>
                  </v:textbox>
                  <w10:wrap type="none"/>
                </v:shape>
                <v:shape style="position:absolute;left:9265;top:-1318;width:1581;height:250" type="#_x0000_t202" id="docshape799" filled="false" stroked="false">
                  <v:textbox inset="0,0,0,0">
                    <w:txbxContent>
                      <w:p>
                        <w:pPr>
                          <w:spacing w:line="238" w:lineRule="exact" w:before="0"/>
                          <w:ind w:left="0" w:right="0" w:firstLine="0"/>
                          <w:jc w:val="left"/>
                          <w:rPr>
                            <w:b/>
                            <w:sz w:val="22"/>
                          </w:rPr>
                        </w:pPr>
                        <w:r>
                          <w:rPr>
                            <w:b/>
                            <w:color w:val="FFFFFF"/>
                            <w:spacing w:val="-4"/>
                            <w:sz w:val="22"/>
                          </w:rPr>
                          <w:t>October 23,</w:t>
                        </w:r>
                        <w:r>
                          <w:rPr>
                            <w:b/>
                            <w:color w:val="FFFFFF"/>
                            <w:spacing w:val="-3"/>
                            <w:sz w:val="22"/>
                          </w:rPr>
                          <w:t> </w:t>
                        </w:r>
                        <w:r>
                          <w:rPr>
                            <w:b/>
                            <w:color w:val="FFFFFF"/>
                            <w:spacing w:val="-4"/>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26208">
                <wp:simplePos x="0" y="0"/>
                <wp:positionH relativeFrom="page">
                  <wp:posOffset>685799</wp:posOffset>
                </wp:positionH>
                <wp:positionV relativeFrom="paragraph">
                  <wp:posOffset>-25868</wp:posOffset>
                </wp:positionV>
                <wp:extent cx="529590" cy="757555"/>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529590" cy="757555"/>
                        </a:xfrm>
                        <a:prstGeom prst="rect">
                          <a:avLst/>
                        </a:prstGeom>
                      </wps:spPr>
                      <wps:txbx>
                        <w:txbxContent>
                          <w:p>
                            <w:pPr>
                              <w:spacing w:line="1135" w:lineRule="exact" w:before="0"/>
                              <w:ind w:left="0" w:right="0" w:firstLine="0"/>
                              <w:jc w:val="left"/>
                              <w:rPr>
                                <w:sz w:val="106"/>
                              </w:rPr>
                            </w:pPr>
                            <w:r>
                              <w:rPr>
                                <w:color w:val="9CBF3B"/>
                                <w:spacing w:val="-10"/>
                                <w:sz w:val="106"/>
                              </w:rPr>
                              <w:t>N</w:t>
                            </w:r>
                          </w:p>
                        </w:txbxContent>
                      </wps:txbx>
                      <wps:bodyPr wrap="square" lIns="0" tIns="0" rIns="0" bIns="0" rtlCol="0">
                        <a:noAutofit/>
                      </wps:bodyPr>
                    </wps:wsp>
                  </a:graphicData>
                </a:graphic>
              </wp:anchor>
            </w:drawing>
          </mc:Choice>
          <mc:Fallback>
            <w:pict>
              <v:shape style="position:absolute;margin-left:53.999981pt;margin-top:-2.036920pt;width:41.7pt;height:59.65pt;mso-position-horizontal-relative:page;mso-position-vertical-relative:paragraph;z-index:-23990272" type="#_x0000_t202" id="docshape800" filled="false" stroked="false">
                <v:textbox inset="0,0,0,0">
                  <w:txbxContent>
                    <w:p>
                      <w:pPr>
                        <w:spacing w:line="1135" w:lineRule="exact" w:before="0"/>
                        <w:ind w:left="0" w:right="0" w:firstLine="0"/>
                        <w:jc w:val="left"/>
                        <w:rPr>
                          <w:sz w:val="106"/>
                        </w:rPr>
                      </w:pPr>
                      <w:r>
                        <w:rPr>
                          <w:color w:val="9CBF3B"/>
                          <w:spacing w:val="-10"/>
                          <w:sz w:val="106"/>
                        </w:rPr>
                        <w:t>N</w:t>
                      </w:r>
                    </w:p>
                  </w:txbxContent>
                </v:textbox>
                <w10:wrap type="none"/>
              </v:shape>
            </w:pict>
          </mc:Fallback>
        </mc:AlternateContent>
      </w:r>
      <w:r>
        <w:rPr/>
        <w:t>KC</w:t>
      </w:r>
      <w:r>
        <w:rPr>
          <w:spacing w:val="-5"/>
        </w:rPr>
        <w:t> </w:t>
      </w:r>
      <w:r>
        <w:rPr/>
        <w:t>believes</w:t>
      </w:r>
      <w:r>
        <w:rPr>
          <w:spacing w:val="-5"/>
        </w:rPr>
        <w:t> </w:t>
      </w:r>
      <w:r>
        <w:rPr/>
        <w:t>that</w:t>
      </w:r>
      <w:r>
        <w:rPr>
          <w:spacing w:val="-5"/>
        </w:rPr>
        <w:t> </w:t>
      </w:r>
      <w:r>
        <w:rPr/>
        <w:t>providing</w:t>
      </w:r>
      <w:r>
        <w:rPr>
          <w:spacing w:val="-5"/>
        </w:rPr>
        <w:t> </w:t>
      </w:r>
      <w:r>
        <w:rPr/>
        <w:t>universal</w:t>
      </w:r>
      <w:r>
        <w:rPr>
          <w:spacing w:val="-5"/>
        </w:rPr>
        <w:t> </w:t>
      </w:r>
      <w:r>
        <w:rPr/>
        <w:t>access to quality school education is a cornerstone of</w:t>
      </w:r>
      <w:r>
        <w:rPr>
          <w:spacing w:val="42"/>
        </w:rPr>
        <w:t> </w:t>
      </w:r>
      <w:r>
        <w:rPr/>
        <w:t>development</w:t>
      </w:r>
      <w:r>
        <w:rPr>
          <w:spacing w:val="43"/>
        </w:rPr>
        <w:t> </w:t>
      </w:r>
      <w:r>
        <w:rPr/>
        <w:t>and</w:t>
      </w:r>
      <w:r>
        <w:rPr>
          <w:spacing w:val="43"/>
        </w:rPr>
        <w:t> </w:t>
      </w:r>
      <w:r>
        <w:rPr/>
        <w:t>a</w:t>
      </w:r>
      <w:r>
        <w:rPr>
          <w:spacing w:val="42"/>
        </w:rPr>
        <w:t> </w:t>
      </w:r>
      <w:r>
        <w:rPr/>
        <w:t>minimum</w:t>
      </w:r>
      <w:r>
        <w:rPr>
          <w:spacing w:val="43"/>
        </w:rPr>
        <w:t> </w:t>
      </w:r>
      <w:r>
        <w:rPr>
          <w:spacing w:val="-10"/>
        </w:rPr>
        <w:t>necessary</w:t>
      </w:r>
    </w:p>
    <w:p>
      <w:pPr>
        <w:pStyle w:val="BodyText"/>
        <w:spacing w:line="266" w:lineRule="auto"/>
        <w:ind w:left="1079"/>
        <w:jc w:val="both"/>
      </w:pPr>
      <w:r>
        <w:rPr/>
        <w:t>condition for any progress towards making India a </w:t>
      </w:r>
      <w:r>
        <w:rPr>
          <w:spacing w:val="-2"/>
        </w:rPr>
        <w:t>knowledge</w:t>
      </w:r>
      <w:r>
        <w:rPr>
          <w:spacing w:val="-8"/>
        </w:rPr>
        <w:t> </w:t>
      </w:r>
      <w:r>
        <w:rPr>
          <w:spacing w:val="-2"/>
        </w:rPr>
        <w:t>society.</w:t>
      </w:r>
      <w:r>
        <w:rPr>
          <w:spacing w:val="-8"/>
        </w:rPr>
        <w:t> </w:t>
      </w:r>
      <w:r>
        <w:rPr>
          <w:spacing w:val="-2"/>
        </w:rPr>
        <w:t>NKC</w:t>
      </w:r>
      <w:r>
        <w:rPr>
          <w:spacing w:val="-8"/>
        </w:rPr>
        <w:t> </w:t>
      </w:r>
      <w:r>
        <w:rPr>
          <w:spacing w:val="-2"/>
        </w:rPr>
        <w:t>is</w:t>
      </w:r>
      <w:r>
        <w:rPr>
          <w:spacing w:val="-8"/>
        </w:rPr>
        <w:t> </w:t>
      </w:r>
      <w:r>
        <w:rPr>
          <w:spacing w:val="-2"/>
        </w:rPr>
        <w:t>in</w:t>
      </w:r>
      <w:r>
        <w:rPr>
          <w:spacing w:val="-8"/>
        </w:rPr>
        <w:t> </w:t>
      </w:r>
      <w:r>
        <w:rPr>
          <w:spacing w:val="-2"/>
        </w:rPr>
        <w:t>the</w:t>
      </w:r>
      <w:r>
        <w:rPr>
          <w:spacing w:val="-8"/>
        </w:rPr>
        <w:t> </w:t>
      </w:r>
      <w:r>
        <w:rPr>
          <w:spacing w:val="-2"/>
        </w:rPr>
        <w:t>process</w:t>
      </w:r>
      <w:r>
        <w:rPr>
          <w:spacing w:val="-8"/>
        </w:rPr>
        <w:t> </w:t>
      </w:r>
      <w:r>
        <w:rPr>
          <w:spacing w:val="-2"/>
        </w:rPr>
        <w:t>of</w:t>
      </w:r>
      <w:r>
        <w:rPr>
          <w:spacing w:val="-8"/>
        </w:rPr>
        <w:t> </w:t>
      </w:r>
      <w:r>
        <w:rPr>
          <w:spacing w:val="-2"/>
        </w:rPr>
        <w:t>extensive </w:t>
      </w:r>
      <w:r>
        <w:rPr>
          <w:spacing w:val="-8"/>
        </w:rPr>
        <w:t>consultations</w:t>
      </w:r>
      <w:r>
        <w:rPr>
          <w:spacing w:val="-6"/>
        </w:rPr>
        <w:t> </w:t>
      </w:r>
      <w:r>
        <w:rPr>
          <w:spacing w:val="-8"/>
        </w:rPr>
        <w:t>and</w:t>
      </w:r>
      <w:r>
        <w:rPr>
          <w:spacing w:val="-6"/>
        </w:rPr>
        <w:t> </w:t>
      </w:r>
      <w:r>
        <w:rPr>
          <w:spacing w:val="-8"/>
        </w:rPr>
        <w:t>will</w:t>
      </w:r>
      <w:r>
        <w:rPr>
          <w:spacing w:val="-6"/>
        </w:rPr>
        <w:t> </w:t>
      </w:r>
      <w:r>
        <w:rPr>
          <w:spacing w:val="-8"/>
        </w:rPr>
        <w:t>make</w:t>
      </w:r>
      <w:r>
        <w:rPr>
          <w:spacing w:val="-5"/>
        </w:rPr>
        <w:t> </w:t>
      </w:r>
      <w:r>
        <w:rPr>
          <w:spacing w:val="-8"/>
        </w:rPr>
        <w:t>detailed</w:t>
      </w:r>
      <w:r>
        <w:rPr>
          <w:spacing w:val="-6"/>
        </w:rPr>
        <w:t> </w:t>
      </w:r>
      <w:r>
        <w:rPr>
          <w:spacing w:val="-8"/>
        </w:rPr>
        <w:t>recommendations</w:t>
      </w:r>
      <w:r>
        <w:rPr>
          <w:spacing w:val="-6"/>
        </w:rPr>
        <w:t> </w:t>
      </w:r>
      <w:r>
        <w:rPr>
          <w:spacing w:val="-8"/>
        </w:rPr>
        <w:t>on </w:t>
      </w:r>
      <w:r>
        <w:rPr>
          <w:spacing w:val="-6"/>
        </w:rPr>
        <w:t>various issues relating to school education at a later date.</w:t>
      </w:r>
    </w:p>
    <w:p>
      <w:pPr>
        <w:pStyle w:val="BodyText"/>
        <w:spacing w:before="21"/>
      </w:pPr>
    </w:p>
    <w:p>
      <w:pPr>
        <w:pStyle w:val="BodyText"/>
        <w:spacing w:line="266" w:lineRule="auto"/>
        <w:ind w:left="1079"/>
        <w:jc w:val="both"/>
      </w:pPr>
      <w:r>
        <w:rPr/>
        <w:t>However, at this point NKC would like to respond specifically to the recent initiative of the </w:t>
      </w:r>
      <w:r>
        <w:rPr/>
        <w:t>Central Government of sending a model Right to Education </w:t>
      </w:r>
      <w:r>
        <w:rPr>
          <w:spacing w:val="-2"/>
        </w:rPr>
        <w:t>Bill</w:t>
      </w:r>
      <w:r>
        <w:rPr>
          <w:spacing w:val="-10"/>
        </w:rPr>
        <w:t> </w:t>
      </w:r>
      <w:r>
        <w:rPr>
          <w:spacing w:val="-2"/>
        </w:rPr>
        <w:t>to</w:t>
      </w:r>
      <w:r>
        <w:rPr>
          <w:spacing w:val="-10"/>
        </w:rPr>
        <w:t> </w:t>
      </w:r>
      <w:r>
        <w:rPr>
          <w:spacing w:val="-2"/>
        </w:rPr>
        <w:t>the</w:t>
      </w:r>
      <w:r>
        <w:rPr>
          <w:spacing w:val="-10"/>
        </w:rPr>
        <w:t> </w:t>
      </w:r>
      <w:r>
        <w:rPr>
          <w:spacing w:val="-2"/>
        </w:rPr>
        <w:t>Secretaries</w:t>
      </w:r>
      <w:r>
        <w:rPr>
          <w:spacing w:val="-10"/>
        </w:rPr>
        <w:t> </w:t>
      </w:r>
      <w:r>
        <w:rPr>
          <w:spacing w:val="-2"/>
        </w:rPr>
        <w:t>of</w:t>
      </w:r>
      <w:r>
        <w:rPr>
          <w:spacing w:val="-10"/>
        </w:rPr>
        <w:t> </w:t>
      </w:r>
      <w:r>
        <w:rPr>
          <w:spacing w:val="-2"/>
        </w:rPr>
        <w:t>State</w:t>
      </w:r>
      <w:r>
        <w:rPr>
          <w:spacing w:val="-10"/>
        </w:rPr>
        <w:t> </w:t>
      </w:r>
      <w:r>
        <w:rPr>
          <w:spacing w:val="-2"/>
        </w:rPr>
        <w:t>Education</w:t>
      </w:r>
      <w:r>
        <w:rPr>
          <w:spacing w:val="-10"/>
        </w:rPr>
        <w:t> </w:t>
      </w:r>
      <w:r>
        <w:rPr>
          <w:spacing w:val="-2"/>
        </w:rPr>
        <w:t>Departments, with</w:t>
      </w:r>
      <w:r>
        <w:rPr>
          <w:spacing w:val="-10"/>
        </w:rPr>
        <w:t> </w:t>
      </w:r>
      <w:r>
        <w:rPr>
          <w:spacing w:val="-2"/>
        </w:rPr>
        <w:t>incentives</w:t>
      </w:r>
      <w:r>
        <w:rPr>
          <w:spacing w:val="-10"/>
        </w:rPr>
        <w:t> </w:t>
      </w:r>
      <w:r>
        <w:rPr>
          <w:spacing w:val="-2"/>
        </w:rPr>
        <w:t>for</w:t>
      </w:r>
      <w:r>
        <w:rPr>
          <w:spacing w:val="-10"/>
        </w:rPr>
        <w:t> </w:t>
      </w:r>
      <w:r>
        <w:rPr>
          <w:spacing w:val="-2"/>
        </w:rPr>
        <w:t>the</w:t>
      </w:r>
      <w:r>
        <w:rPr>
          <w:spacing w:val="-10"/>
        </w:rPr>
        <w:t> </w:t>
      </w:r>
      <w:r>
        <w:rPr>
          <w:spacing w:val="-2"/>
        </w:rPr>
        <w:t>State</w:t>
      </w:r>
      <w:r>
        <w:rPr>
          <w:spacing w:val="-10"/>
        </w:rPr>
        <w:t> </w:t>
      </w:r>
      <w:r>
        <w:rPr>
          <w:spacing w:val="-2"/>
        </w:rPr>
        <w:t>Governments</w:t>
      </w:r>
      <w:r>
        <w:rPr>
          <w:spacing w:val="-10"/>
        </w:rPr>
        <w:t> </w:t>
      </w:r>
      <w:r>
        <w:rPr>
          <w:spacing w:val="-2"/>
        </w:rPr>
        <w:t>to</w:t>
      </w:r>
      <w:r>
        <w:rPr>
          <w:spacing w:val="-10"/>
        </w:rPr>
        <w:t> </w:t>
      </w:r>
      <w:r>
        <w:rPr>
          <w:spacing w:val="-2"/>
        </w:rPr>
        <w:t>enact</w:t>
      </w:r>
      <w:r>
        <w:rPr>
          <w:spacing w:val="-10"/>
        </w:rPr>
        <w:t> </w:t>
      </w:r>
      <w:r>
        <w:rPr>
          <w:spacing w:val="-2"/>
        </w:rPr>
        <w:t>this </w:t>
      </w:r>
      <w:r>
        <w:rPr/>
        <w:t>bill. NKC has perused the bill and consulted with a </w:t>
      </w:r>
      <w:r>
        <w:rPr>
          <w:spacing w:val="-4"/>
        </w:rPr>
        <w:t>wide</w:t>
      </w:r>
      <w:r>
        <w:rPr>
          <w:spacing w:val="-6"/>
        </w:rPr>
        <w:t> </w:t>
      </w:r>
      <w:r>
        <w:rPr>
          <w:spacing w:val="-4"/>
        </w:rPr>
        <w:t>range</w:t>
      </w:r>
      <w:r>
        <w:rPr>
          <w:spacing w:val="-6"/>
        </w:rPr>
        <w:t> </w:t>
      </w:r>
      <w:r>
        <w:rPr>
          <w:spacing w:val="-4"/>
        </w:rPr>
        <w:t>of</w:t>
      </w:r>
      <w:r>
        <w:rPr>
          <w:spacing w:val="-6"/>
        </w:rPr>
        <w:t> </w:t>
      </w:r>
      <w:r>
        <w:rPr>
          <w:spacing w:val="-4"/>
        </w:rPr>
        <w:t>experts</w:t>
      </w:r>
      <w:r>
        <w:rPr>
          <w:spacing w:val="-6"/>
        </w:rPr>
        <w:t> </w:t>
      </w:r>
      <w:r>
        <w:rPr>
          <w:spacing w:val="-4"/>
        </w:rPr>
        <w:t>and</w:t>
      </w:r>
      <w:r>
        <w:rPr>
          <w:spacing w:val="-6"/>
        </w:rPr>
        <w:t> </w:t>
      </w:r>
      <w:r>
        <w:rPr>
          <w:spacing w:val="-4"/>
        </w:rPr>
        <w:t>educationists.</w:t>
      </w:r>
      <w:r>
        <w:rPr>
          <w:spacing w:val="-6"/>
        </w:rPr>
        <w:t> </w:t>
      </w:r>
      <w:r>
        <w:rPr>
          <w:spacing w:val="-4"/>
        </w:rPr>
        <w:t>It</w:t>
      </w:r>
      <w:r>
        <w:rPr>
          <w:spacing w:val="-6"/>
        </w:rPr>
        <w:t> </w:t>
      </w:r>
      <w:r>
        <w:rPr>
          <w:spacing w:val="-4"/>
        </w:rPr>
        <w:t>feels</w:t>
      </w:r>
      <w:r>
        <w:rPr>
          <w:spacing w:val="-6"/>
        </w:rPr>
        <w:t> </w:t>
      </w:r>
      <w:r>
        <w:rPr>
          <w:spacing w:val="-4"/>
        </w:rPr>
        <w:t>that</w:t>
      </w:r>
      <w:r>
        <w:rPr>
          <w:spacing w:val="-6"/>
        </w:rPr>
        <w:t> </w:t>
      </w:r>
      <w:r>
        <w:rPr>
          <w:spacing w:val="-4"/>
        </w:rPr>
        <w:t>the </w:t>
      </w:r>
      <w:r>
        <w:rPr/>
        <w:t>model</w:t>
      </w:r>
      <w:r>
        <w:rPr>
          <w:spacing w:val="-14"/>
        </w:rPr>
        <w:t> </w:t>
      </w:r>
      <w:r>
        <w:rPr/>
        <w:t>bill</w:t>
      </w:r>
      <w:r>
        <w:rPr>
          <w:spacing w:val="-14"/>
        </w:rPr>
        <w:t> </w:t>
      </w:r>
      <w:r>
        <w:rPr/>
        <w:t>is</w:t>
      </w:r>
      <w:r>
        <w:rPr>
          <w:spacing w:val="-14"/>
        </w:rPr>
        <w:t> </w:t>
      </w:r>
      <w:r>
        <w:rPr/>
        <w:t>flawed</w:t>
      </w:r>
      <w:r>
        <w:rPr>
          <w:spacing w:val="-13"/>
        </w:rPr>
        <w:t> </w:t>
      </w:r>
      <w:r>
        <w:rPr/>
        <w:t>for</w:t>
      </w:r>
      <w:r>
        <w:rPr>
          <w:spacing w:val="-14"/>
        </w:rPr>
        <w:t> </w:t>
      </w:r>
      <w:r>
        <w:rPr/>
        <w:t>a</w:t>
      </w:r>
      <w:r>
        <w:rPr>
          <w:spacing w:val="-14"/>
        </w:rPr>
        <w:t> </w:t>
      </w:r>
      <w:r>
        <w:rPr/>
        <w:t>number</w:t>
      </w:r>
      <w:r>
        <w:rPr>
          <w:spacing w:val="-14"/>
        </w:rPr>
        <w:t> </w:t>
      </w:r>
      <w:r>
        <w:rPr/>
        <w:t>of</w:t>
      </w:r>
      <w:r>
        <w:rPr>
          <w:spacing w:val="-13"/>
        </w:rPr>
        <w:t> </w:t>
      </w:r>
      <w:r>
        <w:rPr/>
        <w:t>reasons,</w:t>
      </w:r>
      <w:r>
        <w:rPr>
          <w:spacing w:val="-14"/>
        </w:rPr>
        <w:t> </w:t>
      </w:r>
      <w:r>
        <w:rPr/>
        <w:t>and</w:t>
      </w:r>
      <w:r>
        <w:rPr>
          <w:spacing w:val="-14"/>
        </w:rPr>
        <w:t> </w:t>
      </w:r>
      <w:r>
        <w:rPr/>
        <w:t>most </w:t>
      </w:r>
      <w:r>
        <w:rPr>
          <w:spacing w:val="-6"/>
        </w:rPr>
        <w:t>importantly</w:t>
      </w:r>
      <w:r>
        <w:rPr>
          <w:spacing w:val="-8"/>
        </w:rPr>
        <w:t> </w:t>
      </w:r>
      <w:r>
        <w:rPr>
          <w:spacing w:val="-6"/>
        </w:rPr>
        <w:t>that</w:t>
      </w:r>
      <w:r>
        <w:rPr>
          <w:spacing w:val="-8"/>
        </w:rPr>
        <w:t> </w:t>
      </w:r>
      <w:r>
        <w:rPr>
          <w:spacing w:val="-6"/>
        </w:rPr>
        <w:t>such</w:t>
      </w:r>
      <w:r>
        <w:rPr>
          <w:spacing w:val="-8"/>
        </w:rPr>
        <w:t> </w:t>
      </w:r>
      <w:r>
        <w:rPr>
          <w:spacing w:val="-6"/>
        </w:rPr>
        <w:t>legislation</w:t>
      </w:r>
      <w:r>
        <w:rPr>
          <w:spacing w:val="-7"/>
        </w:rPr>
        <w:t> </w:t>
      </w:r>
      <w:r>
        <w:rPr>
          <w:spacing w:val="-6"/>
        </w:rPr>
        <w:t>must</w:t>
      </w:r>
      <w:r>
        <w:rPr>
          <w:spacing w:val="-8"/>
        </w:rPr>
        <w:t> </w:t>
      </w:r>
      <w:r>
        <w:rPr>
          <w:spacing w:val="-6"/>
        </w:rPr>
        <w:t>be</w:t>
      </w:r>
      <w:r>
        <w:rPr>
          <w:spacing w:val="-8"/>
        </w:rPr>
        <w:t> </w:t>
      </w:r>
      <w:r>
        <w:rPr>
          <w:spacing w:val="-6"/>
        </w:rPr>
        <w:t>enforced</w:t>
      </w:r>
      <w:r>
        <w:rPr>
          <w:spacing w:val="-8"/>
        </w:rPr>
        <w:t> </w:t>
      </w:r>
      <w:r>
        <w:rPr>
          <w:spacing w:val="-6"/>
        </w:rPr>
        <w:t>by</w:t>
      </w:r>
      <w:r>
        <w:rPr>
          <w:spacing w:val="-7"/>
        </w:rPr>
        <w:t> </w:t>
      </w:r>
      <w:r>
        <w:rPr>
          <w:spacing w:val="-6"/>
        </w:rPr>
        <w:t>the </w:t>
      </w:r>
      <w:r>
        <w:rPr/>
        <w:t>Central</w:t>
      </w:r>
      <w:r>
        <w:rPr>
          <w:spacing w:val="-9"/>
        </w:rPr>
        <w:t> </w:t>
      </w:r>
      <w:r>
        <w:rPr/>
        <w:t>Government</w:t>
      </w:r>
      <w:r>
        <w:rPr>
          <w:spacing w:val="-9"/>
        </w:rPr>
        <w:t> </w:t>
      </w:r>
      <w:r>
        <w:rPr/>
        <w:t>following</w:t>
      </w:r>
      <w:r>
        <w:rPr>
          <w:spacing w:val="-9"/>
        </w:rPr>
        <w:t> </w:t>
      </w:r>
      <w:r>
        <w:rPr/>
        <w:t>upon</w:t>
      </w:r>
      <w:r>
        <w:rPr>
          <w:spacing w:val="-9"/>
        </w:rPr>
        <w:t> </w:t>
      </w:r>
      <w:r>
        <w:rPr/>
        <w:t>the</w:t>
      </w:r>
      <w:r>
        <w:rPr>
          <w:spacing w:val="-9"/>
        </w:rPr>
        <w:t> </w:t>
      </w:r>
      <w:r>
        <w:rPr/>
        <w:t>commitment made in the Constitutional Amendment Article 21A.</w:t>
      </w:r>
    </w:p>
    <w:p>
      <w:pPr>
        <w:pStyle w:val="BodyText"/>
        <w:spacing w:before="18"/>
      </w:pPr>
    </w:p>
    <w:p>
      <w:pPr>
        <w:pStyle w:val="BodyText"/>
        <w:spacing w:line="266" w:lineRule="auto"/>
        <w:ind w:left="1079"/>
        <w:jc w:val="both"/>
      </w:pPr>
      <w:r>
        <w:rPr/>
        <w:t>NKC recognises that there may be concerns </w:t>
      </w:r>
      <w:r>
        <w:rPr/>
        <w:t>about federalism, since school education is dominantly the responsibility of the State Governments at present. However, it feels that this matter can be resolved through</w:t>
      </w:r>
      <w:r>
        <w:rPr>
          <w:spacing w:val="-13"/>
        </w:rPr>
        <w:t> </w:t>
      </w:r>
      <w:r>
        <w:rPr/>
        <w:t>an</w:t>
      </w:r>
      <w:r>
        <w:rPr>
          <w:spacing w:val="-13"/>
        </w:rPr>
        <w:t> </w:t>
      </w:r>
      <w:r>
        <w:rPr/>
        <w:t>appropriate</w:t>
      </w:r>
      <w:r>
        <w:rPr>
          <w:spacing w:val="-13"/>
        </w:rPr>
        <w:t> </w:t>
      </w:r>
      <w:r>
        <w:rPr/>
        <w:t>central</w:t>
      </w:r>
      <w:r>
        <w:rPr>
          <w:spacing w:val="-13"/>
        </w:rPr>
        <w:t> </w:t>
      </w:r>
      <w:r>
        <w:rPr/>
        <w:t>legislation</w:t>
      </w:r>
      <w:r>
        <w:rPr>
          <w:spacing w:val="-13"/>
        </w:rPr>
        <w:t> </w:t>
      </w:r>
      <w:r>
        <w:rPr/>
        <w:t>which</w:t>
      </w:r>
      <w:r>
        <w:rPr>
          <w:spacing w:val="-13"/>
        </w:rPr>
        <w:t> </w:t>
      </w:r>
      <w:r>
        <w:rPr/>
        <w:t>takes into account the following proposals:</w:t>
      </w:r>
    </w:p>
    <w:p>
      <w:pPr>
        <w:pStyle w:val="Heading6"/>
        <w:numPr>
          <w:ilvl w:val="0"/>
          <w:numId w:val="7"/>
        </w:numPr>
        <w:tabs>
          <w:tab w:pos="1404" w:val="left" w:leader="none"/>
        </w:tabs>
        <w:spacing w:line="240" w:lineRule="auto" w:before="182" w:after="0"/>
        <w:ind w:left="1404" w:right="0" w:hanging="325"/>
        <w:jc w:val="left"/>
      </w:pPr>
      <w:r>
        <w:rPr>
          <w:color w:val="2E614A"/>
          <w:w w:val="90"/>
        </w:rPr>
        <w:t>Central</w:t>
      </w:r>
      <w:r>
        <w:rPr>
          <w:color w:val="2E614A"/>
          <w:spacing w:val="11"/>
        </w:rPr>
        <w:t> </w:t>
      </w:r>
      <w:r>
        <w:rPr>
          <w:color w:val="2E614A"/>
          <w:spacing w:val="-2"/>
          <w:w w:val="95"/>
        </w:rPr>
        <w:t>Legislation</w:t>
      </w:r>
    </w:p>
    <w:p>
      <w:pPr>
        <w:pStyle w:val="BodyText"/>
        <w:spacing w:line="266" w:lineRule="auto" w:before="285"/>
        <w:ind w:left="1079"/>
        <w:jc w:val="both"/>
      </w:pPr>
      <w:r>
        <w:rPr/>
        <w:t>Legislation at the national level is required to affirm the Right to Education, which is a fundamental </w:t>
      </w:r>
      <w:r>
        <w:rPr/>
        <w:t>right </w:t>
      </w:r>
      <w:r>
        <w:rPr>
          <w:spacing w:val="-4"/>
        </w:rPr>
        <w:t>mandated</w:t>
      </w:r>
      <w:r>
        <w:rPr>
          <w:spacing w:val="-5"/>
        </w:rPr>
        <w:t> </w:t>
      </w:r>
      <w:r>
        <w:rPr>
          <w:spacing w:val="-4"/>
        </w:rPr>
        <w:t>by</w:t>
      </w:r>
      <w:r>
        <w:rPr>
          <w:spacing w:val="-5"/>
        </w:rPr>
        <w:t> </w:t>
      </w:r>
      <w:r>
        <w:rPr>
          <w:spacing w:val="-4"/>
        </w:rPr>
        <w:t>Article</w:t>
      </w:r>
      <w:r>
        <w:rPr>
          <w:spacing w:val="-5"/>
        </w:rPr>
        <w:t> </w:t>
      </w:r>
      <w:r>
        <w:rPr>
          <w:spacing w:val="-4"/>
        </w:rPr>
        <w:t>21A.</w:t>
      </w:r>
      <w:r>
        <w:rPr>
          <w:spacing w:val="-5"/>
        </w:rPr>
        <w:t> </w:t>
      </w:r>
      <w:r>
        <w:rPr>
          <w:spacing w:val="-4"/>
        </w:rPr>
        <w:t>Since</w:t>
      </w:r>
      <w:r>
        <w:rPr>
          <w:spacing w:val="-5"/>
        </w:rPr>
        <w:t> </w:t>
      </w:r>
      <w:r>
        <w:rPr>
          <w:spacing w:val="-4"/>
        </w:rPr>
        <w:t>it</w:t>
      </w:r>
      <w:r>
        <w:rPr>
          <w:spacing w:val="-5"/>
        </w:rPr>
        <w:t> </w:t>
      </w:r>
      <w:r>
        <w:rPr>
          <w:spacing w:val="-4"/>
        </w:rPr>
        <w:t>cannot</w:t>
      </w:r>
      <w:r>
        <w:rPr>
          <w:spacing w:val="-5"/>
        </w:rPr>
        <w:t> </w:t>
      </w:r>
      <w:r>
        <w:rPr>
          <w:spacing w:val="-4"/>
        </w:rPr>
        <w:t>be</w:t>
      </w:r>
      <w:r>
        <w:rPr>
          <w:spacing w:val="-5"/>
        </w:rPr>
        <w:t> </w:t>
      </w:r>
      <w:r>
        <w:rPr>
          <w:spacing w:val="-4"/>
        </w:rPr>
        <w:t>dependent </w:t>
      </w:r>
      <w:r>
        <w:rPr/>
        <w:t>upon which state a citizen lives in, a model bill sent </w:t>
      </w:r>
      <w:r>
        <w:rPr>
          <w:spacing w:val="-2"/>
        </w:rPr>
        <w:t>to</w:t>
      </w:r>
      <w:r>
        <w:rPr>
          <w:spacing w:val="-10"/>
        </w:rPr>
        <w:t> </w:t>
      </w:r>
      <w:r>
        <w:rPr>
          <w:spacing w:val="-2"/>
        </w:rPr>
        <w:t>be</w:t>
      </w:r>
      <w:r>
        <w:rPr>
          <w:spacing w:val="-10"/>
        </w:rPr>
        <w:t> </w:t>
      </w:r>
      <w:r>
        <w:rPr>
          <w:spacing w:val="-2"/>
        </w:rPr>
        <w:t>enacted</w:t>
      </w:r>
      <w:r>
        <w:rPr>
          <w:spacing w:val="-10"/>
        </w:rPr>
        <w:t> </w:t>
      </w:r>
      <w:r>
        <w:rPr>
          <w:spacing w:val="-2"/>
        </w:rPr>
        <w:t>individually</w:t>
      </w:r>
      <w:r>
        <w:rPr>
          <w:spacing w:val="-10"/>
        </w:rPr>
        <w:t> </w:t>
      </w:r>
      <w:r>
        <w:rPr>
          <w:spacing w:val="-2"/>
        </w:rPr>
        <w:t>by</w:t>
      </w:r>
      <w:r>
        <w:rPr>
          <w:spacing w:val="-10"/>
        </w:rPr>
        <w:t> </w:t>
      </w:r>
      <w:r>
        <w:rPr>
          <w:spacing w:val="-2"/>
        </w:rPr>
        <w:t>State</w:t>
      </w:r>
      <w:r>
        <w:rPr>
          <w:spacing w:val="-10"/>
        </w:rPr>
        <w:t> </w:t>
      </w:r>
      <w:r>
        <w:rPr>
          <w:spacing w:val="-2"/>
        </w:rPr>
        <w:t>Governments</w:t>
      </w:r>
      <w:r>
        <w:rPr>
          <w:spacing w:val="-10"/>
        </w:rPr>
        <w:t> </w:t>
      </w:r>
      <w:r>
        <w:rPr>
          <w:spacing w:val="-2"/>
        </w:rPr>
        <w:t>is</w:t>
      </w:r>
      <w:r>
        <w:rPr>
          <w:spacing w:val="-10"/>
        </w:rPr>
        <w:t> </w:t>
      </w:r>
      <w:r>
        <w:rPr>
          <w:spacing w:val="-2"/>
        </w:rPr>
        <w:t>not </w:t>
      </w:r>
      <w:r>
        <w:rPr/>
        <w:t>adequate</w:t>
      </w:r>
      <w:r>
        <w:rPr>
          <w:spacing w:val="-7"/>
        </w:rPr>
        <w:t> </w:t>
      </w:r>
      <w:r>
        <w:rPr/>
        <w:t>to</w:t>
      </w:r>
      <w:r>
        <w:rPr>
          <w:spacing w:val="-7"/>
        </w:rPr>
        <w:t> </w:t>
      </w:r>
      <w:r>
        <w:rPr/>
        <w:t>meet</w:t>
      </w:r>
      <w:r>
        <w:rPr>
          <w:spacing w:val="-7"/>
        </w:rPr>
        <w:t> </w:t>
      </w:r>
      <w:r>
        <w:rPr/>
        <w:t>the</w:t>
      </w:r>
      <w:r>
        <w:rPr>
          <w:spacing w:val="-7"/>
        </w:rPr>
        <w:t> </w:t>
      </w:r>
      <w:r>
        <w:rPr/>
        <w:t>constitutional</w:t>
      </w:r>
      <w:r>
        <w:rPr>
          <w:spacing w:val="-7"/>
        </w:rPr>
        <w:t> </w:t>
      </w:r>
      <w:r>
        <w:rPr/>
        <w:t>responsibilities</w:t>
      </w:r>
      <w:r>
        <w:rPr>
          <w:spacing w:val="-7"/>
        </w:rPr>
        <w:t> </w:t>
      </w:r>
      <w:r>
        <w:rPr/>
        <w:t>of </w:t>
      </w:r>
      <w:r>
        <w:rPr>
          <w:spacing w:val="-6"/>
        </w:rPr>
        <w:t>the</w:t>
      </w:r>
      <w:r>
        <w:rPr>
          <w:spacing w:val="-8"/>
        </w:rPr>
        <w:t> </w:t>
      </w:r>
      <w:r>
        <w:rPr>
          <w:spacing w:val="-6"/>
        </w:rPr>
        <w:t>Government</w:t>
      </w:r>
      <w:r>
        <w:rPr>
          <w:spacing w:val="-3"/>
        </w:rPr>
        <w:t> </w:t>
      </w:r>
      <w:r>
        <w:rPr>
          <w:spacing w:val="-6"/>
        </w:rPr>
        <w:t>of</w:t>
      </w:r>
      <w:r>
        <w:rPr>
          <w:spacing w:val="-2"/>
        </w:rPr>
        <w:t> </w:t>
      </w:r>
      <w:r>
        <w:rPr>
          <w:spacing w:val="-6"/>
        </w:rPr>
        <w:t>India.</w:t>
      </w:r>
      <w:r>
        <w:rPr>
          <w:spacing w:val="-8"/>
        </w:rPr>
        <w:t> </w:t>
      </w:r>
      <w:r>
        <w:rPr>
          <w:spacing w:val="-6"/>
        </w:rPr>
        <w:t>Therefore,</w:t>
      </w:r>
      <w:r>
        <w:rPr>
          <w:spacing w:val="-2"/>
        </w:rPr>
        <w:t> </w:t>
      </w:r>
      <w:r>
        <w:rPr>
          <w:spacing w:val="-6"/>
        </w:rPr>
        <w:t>a</w:t>
      </w:r>
      <w:r>
        <w:rPr>
          <w:spacing w:val="-2"/>
        </w:rPr>
        <w:t> </w:t>
      </w:r>
      <w:r>
        <w:rPr>
          <w:spacing w:val="-6"/>
        </w:rPr>
        <w:t>central</w:t>
      </w:r>
      <w:r>
        <w:rPr>
          <w:spacing w:val="-2"/>
        </w:rPr>
        <w:t> </w:t>
      </w:r>
      <w:r>
        <w:rPr>
          <w:spacing w:val="-6"/>
        </w:rPr>
        <w:t>legislation </w:t>
      </w:r>
      <w:r>
        <w:rPr>
          <w:spacing w:val="-2"/>
        </w:rPr>
        <w:t>should</w:t>
      </w:r>
      <w:r>
        <w:rPr>
          <w:spacing w:val="-12"/>
        </w:rPr>
        <w:t> </w:t>
      </w:r>
      <w:r>
        <w:rPr>
          <w:spacing w:val="-2"/>
        </w:rPr>
        <w:t>be</w:t>
      </w:r>
      <w:r>
        <w:rPr>
          <w:spacing w:val="-12"/>
        </w:rPr>
        <w:t> </w:t>
      </w:r>
      <w:r>
        <w:rPr>
          <w:spacing w:val="-2"/>
        </w:rPr>
        <w:t>enacted</w:t>
      </w:r>
      <w:r>
        <w:rPr>
          <w:spacing w:val="-12"/>
        </w:rPr>
        <w:t> </w:t>
      </w:r>
      <w:r>
        <w:rPr>
          <w:spacing w:val="-2"/>
        </w:rPr>
        <w:t>along</w:t>
      </w:r>
      <w:r>
        <w:rPr>
          <w:spacing w:val="-11"/>
        </w:rPr>
        <w:t> </w:t>
      </w:r>
      <w:r>
        <w:rPr>
          <w:spacing w:val="-2"/>
        </w:rPr>
        <w:t>the</w:t>
      </w:r>
      <w:r>
        <w:rPr>
          <w:spacing w:val="-12"/>
        </w:rPr>
        <w:t> </w:t>
      </w:r>
      <w:r>
        <w:rPr>
          <w:spacing w:val="-2"/>
        </w:rPr>
        <w:t>lines</w:t>
      </w:r>
      <w:r>
        <w:rPr>
          <w:spacing w:val="-12"/>
        </w:rPr>
        <w:t> </w:t>
      </w:r>
      <w:r>
        <w:rPr>
          <w:spacing w:val="-2"/>
        </w:rPr>
        <w:t>of</w:t>
      </w:r>
      <w:r>
        <w:rPr>
          <w:spacing w:val="-12"/>
        </w:rPr>
        <w:t> </w:t>
      </w:r>
      <w:r>
        <w:rPr>
          <w:spacing w:val="-2"/>
        </w:rPr>
        <w:t>the</w:t>
      </w:r>
      <w:r>
        <w:rPr>
          <w:spacing w:val="-11"/>
        </w:rPr>
        <w:t> </w:t>
      </w:r>
      <w:r>
        <w:rPr>
          <w:spacing w:val="-2"/>
        </w:rPr>
        <w:t>Panchayati</w:t>
      </w:r>
      <w:r>
        <w:rPr>
          <w:spacing w:val="-12"/>
        </w:rPr>
        <w:t> </w:t>
      </w:r>
      <w:r>
        <w:rPr>
          <w:spacing w:val="-2"/>
        </w:rPr>
        <w:t>Raj </w:t>
      </w:r>
      <w:r>
        <w:rPr>
          <w:spacing w:val="-4"/>
        </w:rPr>
        <w:t>(Amendment)</w:t>
      </w:r>
      <w:r>
        <w:rPr>
          <w:spacing w:val="-8"/>
        </w:rPr>
        <w:t> </w:t>
      </w:r>
      <w:r>
        <w:rPr>
          <w:spacing w:val="-4"/>
        </w:rPr>
        <w:t>Act,</w:t>
      </w:r>
      <w:r>
        <w:rPr>
          <w:spacing w:val="-8"/>
        </w:rPr>
        <w:t> </w:t>
      </w:r>
      <w:r>
        <w:rPr>
          <w:spacing w:val="-4"/>
        </w:rPr>
        <w:t>requiring</w:t>
      </w:r>
      <w:r>
        <w:rPr>
          <w:spacing w:val="-8"/>
        </w:rPr>
        <w:t> </w:t>
      </w:r>
      <w:r>
        <w:rPr>
          <w:spacing w:val="-4"/>
        </w:rPr>
        <w:t>the</w:t>
      </w:r>
      <w:r>
        <w:rPr>
          <w:spacing w:val="-8"/>
        </w:rPr>
        <w:t> </w:t>
      </w:r>
      <w:r>
        <w:rPr>
          <w:spacing w:val="-4"/>
        </w:rPr>
        <w:t>states</w:t>
      </w:r>
      <w:r>
        <w:rPr>
          <w:spacing w:val="-8"/>
        </w:rPr>
        <w:t> </w:t>
      </w:r>
      <w:r>
        <w:rPr>
          <w:spacing w:val="-4"/>
        </w:rPr>
        <w:t>to</w:t>
      </w:r>
      <w:r>
        <w:rPr>
          <w:spacing w:val="-8"/>
        </w:rPr>
        <w:t> </w:t>
      </w:r>
      <w:r>
        <w:rPr>
          <w:spacing w:val="-4"/>
        </w:rPr>
        <w:t>enact</w:t>
      </w:r>
      <w:r>
        <w:rPr>
          <w:spacing w:val="-8"/>
        </w:rPr>
        <w:t> </w:t>
      </w:r>
      <w:r>
        <w:rPr>
          <w:spacing w:val="-4"/>
        </w:rPr>
        <w:t>Right</w:t>
      </w:r>
      <w:r>
        <w:rPr>
          <w:spacing w:val="-8"/>
        </w:rPr>
        <w:t> </w:t>
      </w:r>
      <w:r>
        <w:rPr>
          <w:spacing w:val="-4"/>
        </w:rPr>
        <w:t>to Education</w:t>
      </w:r>
      <w:r>
        <w:rPr>
          <w:spacing w:val="-9"/>
        </w:rPr>
        <w:t> </w:t>
      </w:r>
      <w:r>
        <w:rPr>
          <w:spacing w:val="-4"/>
        </w:rPr>
        <w:t>Bills</w:t>
      </w:r>
      <w:r>
        <w:rPr>
          <w:spacing w:val="-9"/>
        </w:rPr>
        <w:t> </w:t>
      </w:r>
      <w:r>
        <w:rPr>
          <w:spacing w:val="-4"/>
        </w:rPr>
        <w:t>within</w:t>
      </w:r>
      <w:r>
        <w:rPr>
          <w:spacing w:val="-9"/>
        </w:rPr>
        <w:t> </w:t>
      </w:r>
      <w:r>
        <w:rPr>
          <w:spacing w:val="-4"/>
        </w:rPr>
        <w:t>a</w:t>
      </w:r>
      <w:r>
        <w:rPr>
          <w:spacing w:val="-9"/>
        </w:rPr>
        <w:t> </w:t>
      </w:r>
      <w:r>
        <w:rPr>
          <w:spacing w:val="-4"/>
        </w:rPr>
        <w:t>specified</w:t>
      </w:r>
      <w:r>
        <w:rPr>
          <w:spacing w:val="-9"/>
        </w:rPr>
        <w:t> </w:t>
      </w:r>
      <w:r>
        <w:rPr>
          <w:spacing w:val="-4"/>
        </w:rPr>
        <w:t>time</w:t>
      </w:r>
      <w:r>
        <w:rPr>
          <w:spacing w:val="-9"/>
        </w:rPr>
        <w:t> </w:t>
      </w:r>
      <w:r>
        <w:rPr>
          <w:spacing w:val="-4"/>
        </w:rPr>
        <w:t>period,</w:t>
      </w:r>
      <w:r>
        <w:rPr>
          <w:spacing w:val="-9"/>
        </w:rPr>
        <w:t> </w:t>
      </w:r>
      <w:r>
        <w:rPr>
          <w:spacing w:val="-4"/>
        </w:rPr>
        <w:t>and</w:t>
      </w:r>
      <w:r>
        <w:rPr>
          <w:spacing w:val="-9"/>
        </w:rPr>
        <w:t> </w:t>
      </w:r>
      <w:r>
        <w:rPr>
          <w:spacing w:val="-4"/>
        </w:rPr>
        <w:t>with the primary financial responsibility for this resting with </w:t>
      </w:r>
      <w:r>
        <w:rPr/>
        <w:t>the Central Government.</w:t>
      </w:r>
    </w:p>
    <w:p>
      <w:pPr>
        <w:pStyle w:val="Heading6"/>
        <w:numPr>
          <w:ilvl w:val="0"/>
          <w:numId w:val="7"/>
        </w:numPr>
        <w:tabs>
          <w:tab w:pos="644" w:val="left" w:leader="none"/>
        </w:tabs>
        <w:spacing w:line="240" w:lineRule="auto" w:before="79" w:after="0"/>
        <w:ind w:left="644" w:right="0" w:hanging="325"/>
        <w:jc w:val="left"/>
      </w:pPr>
      <w:r>
        <w:rPr>
          <w:b w:val="0"/>
        </w:rPr>
        <w:br w:type="column"/>
      </w:r>
      <w:r>
        <w:rPr>
          <w:color w:val="2E614A"/>
          <w:w w:val="90"/>
        </w:rPr>
        <w:t>Financial</w:t>
      </w:r>
      <w:r>
        <w:rPr>
          <w:color w:val="2E614A"/>
          <w:spacing w:val="-3"/>
        </w:rPr>
        <w:t> </w:t>
      </w:r>
      <w:r>
        <w:rPr>
          <w:color w:val="2E614A"/>
          <w:spacing w:val="-2"/>
          <w:w w:val="95"/>
        </w:rPr>
        <w:t>Commitment</w:t>
      </w:r>
    </w:p>
    <w:p>
      <w:pPr>
        <w:pStyle w:val="BodyText"/>
        <w:spacing w:line="266" w:lineRule="auto" w:before="365"/>
        <w:ind w:left="319" w:right="1077"/>
        <w:jc w:val="both"/>
      </w:pPr>
      <w:r>
        <w:rPr/>
        <w:t>The Central Government must provide the bulk of the additional funds required to ensure the Right to </w:t>
      </w:r>
      <w:r>
        <w:rPr>
          <w:spacing w:val="-8"/>
        </w:rPr>
        <w:t>Education.</w:t>
      </w:r>
      <w:r>
        <w:rPr>
          <w:spacing w:val="-6"/>
        </w:rPr>
        <w:t> </w:t>
      </w:r>
      <w:r>
        <w:rPr>
          <w:spacing w:val="-8"/>
        </w:rPr>
        <w:t>Therefore</w:t>
      </w:r>
      <w:r>
        <w:rPr/>
        <w:t> </w:t>
      </w:r>
      <w:r>
        <w:rPr>
          <w:spacing w:val="-8"/>
        </w:rPr>
        <w:t>there</w:t>
      </w:r>
      <w:r>
        <w:rPr/>
        <w:t> </w:t>
      </w:r>
      <w:r>
        <w:rPr>
          <w:spacing w:val="-8"/>
        </w:rPr>
        <w:t>must</w:t>
      </w:r>
      <w:r>
        <w:rPr/>
        <w:t> </w:t>
      </w:r>
      <w:r>
        <w:rPr>
          <w:spacing w:val="-8"/>
        </w:rPr>
        <w:t>be</w:t>
      </w:r>
      <w:r>
        <w:rPr/>
        <w:t> </w:t>
      </w:r>
      <w:r>
        <w:rPr>
          <w:spacing w:val="-8"/>
        </w:rPr>
        <w:t>financial</w:t>
      </w:r>
      <w:r>
        <w:rPr/>
        <w:t> </w:t>
      </w:r>
      <w:r>
        <w:rPr>
          <w:spacing w:val="-8"/>
        </w:rPr>
        <w:t>provision</w:t>
      </w:r>
      <w:r>
        <w:rPr/>
        <w:t> </w:t>
      </w:r>
      <w:r>
        <w:rPr>
          <w:spacing w:val="-8"/>
        </w:rPr>
        <w:t>in </w:t>
      </w:r>
      <w:r>
        <w:rPr>
          <w:spacing w:val="-6"/>
        </w:rPr>
        <w:t>the central legislation, requiring the Central Government </w:t>
      </w:r>
      <w:r>
        <w:rPr/>
        <w:t>to</w:t>
      </w:r>
      <w:r>
        <w:rPr>
          <w:spacing w:val="-14"/>
        </w:rPr>
        <w:t> </w:t>
      </w:r>
      <w:r>
        <w:rPr/>
        <w:t>share</w:t>
      </w:r>
      <w:r>
        <w:rPr>
          <w:spacing w:val="-13"/>
        </w:rPr>
        <w:t> </w:t>
      </w:r>
      <w:r>
        <w:rPr/>
        <w:t>the</w:t>
      </w:r>
      <w:r>
        <w:rPr>
          <w:spacing w:val="-14"/>
        </w:rPr>
        <w:t> </w:t>
      </w:r>
      <w:r>
        <w:rPr/>
        <w:t>revenues</w:t>
      </w:r>
      <w:r>
        <w:rPr>
          <w:spacing w:val="-13"/>
        </w:rPr>
        <w:t> </w:t>
      </w:r>
      <w:r>
        <w:rPr/>
        <w:t>of</w:t>
      </w:r>
      <w:r>
        <w:rPr>
          <w:spacing w:val="-14"/>
        </w:rPr>
        <w:t> </w:t>
      </w:r>
      <w:r>
        <w:rPr/>
        <w:t>the</w:t>
      </w:r>
      <w:r>
        <w:rPr>
          <w:spacing w:val="-13"/>
        </w:rPr>
        <w:t> </w:t>
      </w:r>
      <w:r>
        <w:rPr/>
        <w:t>Prarambhik</w:t>
      </w:r>
      <w:r>
        <w:rPr>
          <w:spacing w:val="-14"/>
        </w:rPr>
        <w:t> </w:t>
      </w:r>
      <w:r>
        <w:rPr/>
        <w:t>Shiksha</w:t>
      </w:r>
      <w:r>
        <w:rPr>
          <w:spacing w:val="-13"/>
        </w:rPr>
        <w:t> </w:t>
      </w:r>
      <w:r>
        <w:rPr/>
        <w:t>Kosh with State Governments and to provide additional </w:t>
      </w:r>
      <w:r>
        <w:rPr>
          <w:spacing w:val="-8"/>
        </w:rPr>
        <w:t>resources</w:t>
      </w:r>
      <w:r>
        <w:rPr>
          <w:spacing w:val="-1"/>
        </w:rPr>
        <w:t> </w:t>
      </w:r>
      <w:r>
        <w:rPr>
          <w:spacing w:val="-8"/>
        </w:rPr>
        <w:t>as</w:t>
      </w:r>
      <w:r>
        <w:rPr>
          <w:spacing w:val="-1"/>
        </w:rPr>
        <w:t> </w:t>
      </w:r>
      <w:r>
        <w:rPr>
          <w:spacing w:val="-8"/>
        </w:rPr>
        <w:t>required</w:t>
      </w:r>
      <w:r>
        <w:rPr>
          <w:spacing w:val="-1"/>
        </w:rPr>
        <w:t> </w:t>
      </w:r>
      <w:r>
        <w:rPr>
          <w:spacing w:val="-8"/>
        </w:rPr>
        <w:t>to</w:t>
      </w:r>
      <w:r>
        <w:rPr>
          <w:spacing w:val="-1"/>
        </w:rPr>
        <w:t> </w:t>
      </w:r>
      <w:r>
        <w:rPr>
          <w:spacing w:val="-8"/>
        </w:rPr>
        <w:t>meet</w:t>
      </w:r>
      <w:r>
        <w:rPr>
          <w:spacing w:val="-1"/>
        </w:rPr>
        <w:t> </w:t>
      </w:r>
      <w:r>
        <w:rPr>
          <w:spacing w:val="-8"/>
        </w:rPr>
        <w:t>the</w:t>
      </w:r>
      <w:r>
        <w:rPr>
          <w:spacing w:val="-1"/>
        </w:rPr>
        <w:t> </w:t>
      </w:r>
      <w:r>
        <w:rPr>
          <w:spacing w:val="-8"/>
        </w:rPr>
        <w:t>requirement</w:t>
      </w:r>
      <w:r>
        <w:rPr>
          <w:spacing w:val="-1"/>
        </w:rPr>
        <w:t> </w:t>
      </w:r>
      <w:r>
        <w:rPr>
          <w:spacing w:val="-8"/>
        </w:rPr>
        <w:t>of</w:t>
      </w:r>
      <w:r>
        <w:rPr>
          <w:spacing w:val="-1"/>
        </w:rPr>
        <w:t> </w:t>
      </w:r>
      <w:r>
        <w:rPr>
          <w:spacing w:val="-8"/>
        </w:rPr>
        <w:t>ensuring </w:t>
      </w:r>
      <w:r>
        <w:rPr/>
        <w:t>the right to all children. Estimates for the additional resources required to achieve the goal of universal </w:t>
      </w:r>
      <w:r>
        <w:rPr>
          <w:spacing w:val="-2"/>
        </w:rPr>
        <w:t>elementary</w:t>
      </w:r>
      <w:r>
        <w:rPr>
          <w:spacing w:val="-12"/>
        </w:rPr>
        <w:t> </w:t>
      </w:r>
      <w:r>
        <w:rPr>
          <w:spacing w:val="-2"/>
        </w:rPr>
        <w:t>education</w:t>
      </w:r>
      <w:r>
        <w:rPr>
          <w:spacing w:val="-12"/>
        </w:rPr>
        <w:t> </w:t>
      </w:r>
      <w:r>
        <w:rPr>
          <w:spacing w:val="-2"/>
        </w:rPr>
        <w:t>currently</w:t>
      </w:r>
      <w:r>
        <w:rPr>
          <w:spacing w:val="-12"/>
        </w:rPr>
        <w:t> </w:t>
      </w:r>
      <w:r>
        <w:rPr>
          <w:spacing w:val="-2"/>
        </w:rPr>
        <w:t>range</w:t>
      </w:r>
      <w:r>
        <w:rPr>
          <w:spacing w:val="-11"/>
        </w:rPr>
        <w:t> </w:t>
      </w:r>
      <w:r>
        <w:rPr>
          <w:spacing w:val="-2"/>
        </w:rPr>
        <w:t>from</w:t>
      </w:r>
      <w:r>
        <w:rPr>
          <w:spacing w:val="-12"/>
        </w:rPr>
        <w:t> </w:t>
      </w:r>
      <w:r>
        <w:rPr>
          <w:spacing w:val="-2"/>
        </w:rPr>
        <w:t>0.8</w:t>
      </w:r>
      <w:r>
        <w:rPr>
          <w:spacing w:val="-12"/>
        </w:rPr>
        <w:t> </w:t>
      </w:r>
      <w:r>
        <w:rPr>
          <w:spacing w:val="-2"/>
        </w:rPr>
        <w:t>per</w:t>
      </w:r>
      <w:r>
        <w:rPr>
          <w:spacing w:val="-12"/>
        </w:rPr>
        <w:t> </w:t>
      </w:r>
      <w:r>
        <w:rPr>
          <w:spacing w:val="-2"/>
        </w:rPr>
        <w:t>cent </w:t>
      </w:r>
      <w:r>
        <w:rPr/>
        <w:t>to</w:t>
      </w:r>
      <w:r>
        <w:rPr>
          <w:spacing w:val="-14"/>
        </w:rPr>
        <w:t> </w:t>
      </w:r>
      <w:r>
        <w:rPr/>
        <w:t>2.5</w:t>
      </w:r>
      <w:r>
        <w:rPr>
          <w:spacing w:val="-14"/>
        </w:rPr>
        <w:t> </w:t>
      </w:r>
      <w:r>
        <w:rPr/>
        <w:t>per</w:t>
      </w:r>
      <w:r>
        <w:rPr>
          <w:spacing w:val="-14"/>
        </w:rPr>
        <w:t> </w:t>
      </w:r>
      <w:r>
        <w:rPr/>
        <w:t>cent</w:t>
      </w:r>
      <w:r>
        <w:rPr>
          <w:spacing w:val="-13"/>
        </w:rPr>
        <w:t> </w:t>
      </w:r>
      <w:r>
        <w:rPr/>
        <w:t>of</w:t>
      </w:r>
      <w:r>
        <w:rPr>
          <w:spacing w:val="-14"/>
        </w:rPr>
        <w:t> </w:t>
      </w:r>
      <w:r>
        <w:rPr/>
        <w:t>GDP,</w:t>
      </w:r>
      <w:r>
        <w:rPr>
          <w:spacing w:val="-14"/>
        </w:rPr>
        <w:t> </w:t>
      </w:r>
      <w:r>
        <w:rPr/>
        <w:t>depending</w:t>
      </w:r>
      <w:r>
        <w:rPr>
          <w:spacing w:val="-14"/>
        </w:rPr>
        <w:t> </w:t>
      </w:r>
      <w:r>
        <w:rPr/>
        <w:t>on</w:t>
      </w:r>
      <w:r>
        <w:rPr>
          <w:spacing w:val="-13"/>
        </w:rPr>
        <w:t> </w:t>
      </w:r>
      <w:r>
        <w:rPr/>
        <w:t>the</w:t>
      </w:r>
      <w:r>
        <w:rPr>
          <w:spacing w:val="-14"/>
        </w:rPr>
        <w:t> </w:t>
      </w:r>
      <w:r>
        <w:rPr/>
        <w:t>criteria</w:t>
      </w:r>
      <w:r>
        <w:rPr>
          <w:spacing w:val="-14"/>
        </w:rPr>
        <w:t> </w:t>
      </w:r>
      <w:r>
        <w:rPr/>
        <w:t>used. </w:t>
      </w:r>
      <w:r>
        <w:rPr>
          <w:spacing w:val="-6"/>
        </w:rPr>
        <w:t>However,</w:t>
      </w:r>
      <w:r>
        <w:rPr>
          <w:spacing w:val="-10"/>
        </w:rPr>
        <w:t> </w:t>
      </w:r>
      <w:r>
        <w:rPr>
          <w:spacing w:val="-6"/>
        </w:rPr>
        <w:t>the</w:t>
      </w:r>
      <w:r>
        <w:rPr>
          <w:spacing w:val="-8"/>
        </w:rPr>
        <w:t> </w:t>
      </w:r>
      <w:r>
        <w:rPr>
          <w:spacing w:val="-6"/>
        </w:rPr>
        <w:t>required</w:t>
      </w:r>
      <w:r>
        <w:rPr>
          <w:spacing w:val="-8"/>
        </w:rPr>
        <w:t> </w:t>
      </w:r>
      <w:r>
        <w:rPr>
          <w:spacing w:val="-6"/>
        </w:rPr>
        <w:t>financial</w:t>
      </w:r>
      <w:r>
        <w:rPr>
          <w:spacing w:val="-7"/>
        </w:rPr>
        <w:t> </w:t>
      </w:r>
      <w:r>
        <w:rPr>
          <w:spacing w:val="-6"/>
        </w:rPr>
        <w:t>resources</w:t>
      </w:r>
      <w:r>
        <w:rPr>
          <w:spacing w:val="-8"/>
        </w:rPr>
        <w:t> </w:t>
      </w:r>
      <w:r>
        <w:rPr>
          <w:spacing w:val="-6"/>
        </w:rPr>
        <w:t>are</w:t>
      </w:r>
      <w:r>
        <w:rPr>
          <w:spacing w:val="-8"/>
        </w:rPr>
        <w:t> </w:t>
      </w:r>
      <w:r>
        <w:rPr>
          <w:spacing w:val="-6"/>
        </w:rPr>
        <w:t>likely</w:t>
      </w:r>
      <w:r>
        <w:rPr>
          <w:spacing w:val="-8"/>
        </w:rPr>
        <w:t> </w:t>
      </w:r>
      <w:r>
        <w:rPr>
          <w:spacing w:val="-6"/>
        </w:rPr>
        <w:t>to</w:t>
      </w:r>
      <w:r>
        <w:rPr>
          <w:spacing w:val="-7"/>
        </w:rPr>
        <w:t> </w:t>
      </w:r>
      <w:r>
        <w:rPr>
          <w:spacing w:val="-6"/>
        </w:rPr>
        <w:t>be at the lower end of these estimates, since there is already </w:t>
      </w:r>
      <w:r>
        <w:rPr>
          <w:spacing w:val="-8"/>
        </w:rPr>
        <w:t>close</w:t>
      </w:r>
      <w:r>
        <w:rPr>
          <w:spacing w:val="-3"/>
        </w:rPr>
        <w:t> </w:t>
      </w:r>
      <w:r>
        <w:rPr>
          <w:spacing w:val="-8"/>
        </w:rPr>
        <w:t>to</w:t>
      </w:r>
      <w:r>
        <w:rPr>
          <w:spacing w:val="-3"/>
        </w:rPr>
        <w:t> </w:t>
      </w:r>
      <w:r>
        <w:rPr>
          <w:spacing w:val="-8"/>
        </w:rPr>
        <w:t>universal</w:t>
      </w:r>
      <w:r>
        <w:rPr>
          <w:spacing w:val="-3"/>
        </w:rPr>
        <w:t> </w:t>
      </w:r>
      <w:r>
        <w:rPr>
          <w:spacing w:val="-8"/>
        </w:rPr>
        <w:t>provision</w:t>
      </w:r>
      <w:r>
        <w:rPr>
          <w:spacing w:val="-3"/>
        </w:rPr>
        <w:t> </w:t>
      </w:r>
      <w:r>
        <w:rPr>
          <w:spacing w:val="-8"/>
        </w:rPr>
        <w:t>in</w:t>
      </w:r>
      <w:r>
        <w:rPr>
          <w:spacing w:val="-3"/>
        </w:rPr>
        <w:t> </w:t>
      </w:r>
      <w:r>
        <w:rPr>
          <w:spacing w:val="-8"/>
        </w:rPr>
        <w:t>several</w:t>
      </w:r>
      <w:r>
        <w:rPr>
          <w:spacing w:val="-3"/>
        </w:rPr>
        <w:t> </w:t>
      </w:r>
      <w:r>
        <w:rPr>
          <w:spacing w:val="-8"/>
        </w:rPr>
        <w:t>states</w:t>
      </w:r>
      <w:r>
        <w:rPr>
          <w:spacing w:val="-3"/>
        </w:rPr>
        <w:t> </w:t>
      </w:r>
      <w:r>
        <w:rPr>
          <w:spacing w:val="-8"/>
        </w:rPr>
        <w:t>and</w:t>
      </w:r>
      <w:r>
        <w:rPr>
          <w:spacing w:val="-3"/>
        </w:rPr>
        <w:t> </w:t>
      </w:r>
      <w:r>
        <w:rPr>
          <w:spacing w:val="-8"/>
        </w:rPr>
        <w:t>there</w:t>
      </w:r>
      <w:r>
        <w:rPr>
          <w:spacing w:val="-3"/>
        </w:rPr>
        <w:t> </w:t>
      </w:r>
      <w:r>
        <w:rPr>
          <w:spacing w:val="-8"/>
        </w:rPr>
        <w:t>has </w:t>
      </w:r>
      <w:r>
        <w:rPr>
          <w:spacing w:val="-2"/>
        </w:rPr>
        <w:t>been</w:t>
      </w:r>
      <w:r>
        <w:rPr>
          <w:spacing w:val="-9"/>
        </w:rPr>
        <w:t> </w:t>
      </w:r>
      <w:r>
        <w:rPr>
          <w:spacing w:val="-2"/>
        </w:rPr>
        <w:t>recent</w:t>
      </w:r>
      <w:r>
        <w:rPr>
          <w:spacing w:val="-9"/>
        </w:rPr>
        <w:t> </w:t>
      </w:r>
      <w:r>
        <w:rPr>
          <w:spacing w:val="-2"/>
        </w:rPr>
        <w:t>progress</w:t>
      </w:r>
      <w:r>
        <w:rPr>
          <w:spacing w:val="-9"/>
        </w:rPr>
        <w:t> </w:t>
      </w:r>
      <w:r>
        <w:rPr>
          <w:spacing w:val="-2"/>
        </w:rPr>
        <w:t>in</w:t>
      </w:r>
      <w:r>
        <w:rPr>
          <w:spacing w:val="-9"/>
        </w:rPr>
        <w:t> </w:t>
      </w:r>
      <w:r>
        <w:rPr>
          <w:spacing w:val="-2"/>
        </w:rPr>
        <w:t>providing</w:t>
      </w:r>
      <w:r>
        <w:rPr>
          <w:spacing w:val="-9"/>
        </w:rPr>
        <w:t> </w:t>
      </w:r>
      <w:r>
        <w:rPr>
          <w:spacing w:val="-2"/>
        </w:rPr>
        <w:t>more</w:t>
      </w:r>
      <w:r>
        <w:rPr>
          <w:spacing w:val="-9"/>
        </w:rPr>
        <w:t> </w:t>
      </w:r>
      <w:r>
        <w:rPr>
          <w:spacing w:val="-2"/>
        </w:rPr>
        <w:t>access</w:t>
      </w:r>
      <w:r>
        <w:rPr>
          <w:spacing w:val="-9"/>
        </w:rPr>
        <w:t> </w:t>
      </w:r>
      <w:r>
        <w:rPr>
          <w:spacing w:val="-2"/>
        </w:rPr>
        <w:t>through the</w:t>
      </w:r>
      <w:r>
        <w:rPr>
          <w:spacing w:val="-10"/>
        </w:rPr>
        <w:t> </w:t>
      </w:r>
      <w:r>
        <w:rPr>
          <w:spacing w:val="-2"/>
        </w:rPr>
        <w:t>Sarva</w:t>
      </w:r>
      <w:r>
        <w:rPr>
          <w:spacing w:val="-10"/>
        </w:rPr>
        <w:t> </w:t>
      </w:r>
      <w:r>
        <w:rPr>
          <w:spacing w:val="-2"/>
        </w:rPr>
        <w:t>Shiksha</w:t>
      </w:r>
      <w:r>
        <w:rPr>
          <w:spacing w:val="-10"/>
        </w:rPr>
        <w:t> </w:t>
      </w:r>
      <w:r>
        <w:rPr>
          <w:spacing w:val="-2"/>
        </w:rPr>
        <w:t>Abhiyan</w:t>
      </w:r>
      <w:r>
        <w:rPr>
          <w:spacing w:val="-10"/>
        </w:rPr>
        <w:t> </w:t>
      </w:r>
      <w:r>
        <w:rPr>
          <w:spacing w:val="-2"/>
        </w:rPr>
        <w:t>in</w:t>
      </w:r>
      <w:r>
        <w:rPr>
          <w:spacing w:val="-10"/>
        </w:rPr>
        <w:t> </w:t>
      </w:r>
      <w:r>
        <w:rPr>
          <w:spacing w:val="-2"/>
        </w:rPr>
        <w:t>other</w:t>
      </w:r>
      <w:r>
        <w:rPr>
          <w:spacing w:val="-10"/>
        </w:rPr>
        <w:t> </w:t>
      </w:r>
      <w:r>
        <w:rPr>
          <w:spacing w:val="-2"/>
        </w:rPr>
        <w:t>states.</w:t>
      </w:r>
    </w:p>
    <w:p>
      <w:pPr>
        <w:pStyle w:val="BodyText"/>
        <w:spacing w:before="1"/>
      </w:pPr>
    </w:p>
    <w:p>
      <w:pPr>
        <w:pStyle w:val="Heading6"/>
        <w:numPr>
          <w:ilvl w:val="0"/>
          <w:numId w:val="7"/>
        </w:numPr>
        <w:tabs>
          <w:tab w:pos="656" w:val="left" w:leader="none"/>
        </w:tabs>
        <w:spacing w:line="240" w:lineRule="auto" w:before="0" w:after="0"/>
        <w:ind w:left="656" w:right="0" w:hanging="337"/>
        <w:jc w:val="left"/>
      </w:pPr>
      <w:r>
        <w:rPr>
          <w:color w:val="2E614A"/>
          <w:spacing w:val="-6"/>
        </w:rPr>
        <w:t>Time</w:t>
      </w:r>
      <w:r>
        <w:rPr>
          <w:color w:val="2E614A"/>
          <w:spacing w:val="-14"/>
        </w:rPr>
        <w:t> </w:t>
      </w:r>
      <w:r>
        <w:rPr>
          <w:color w:val="2E614A"/>
          <w:spacing w:val="-2"/>
        </w:rPr>
        <w:t>Frame</w:t>
      </w:r>
    </w:p>
    <w:p>
      <w:pPr>
        <w:pStyle w:val="BodyText"/>
        <w:spacing w:line="266" w:lineRule="auto" w:before="285"/>
        <w:ind w:left="319" w:right="1077"/>
        <w:jc w:val="both"/>
      </w:pPr>
      <w:r>
        <w:rPr/>
        <w:t>The state-level legislation should specify the </w:t>
      </w:r>
      <w:r>
        <w:rPr/>
        <w:t>period </w:t>
      </w:r>
      <w:r>
        <w:rPr>
          <w:spacing w:val="-2"/>
        </w:rPr>
        <w:t>within</w:t>
      </w:r>
      <w:r>
        <w:rPr>
          <w:spacing w:val="-12"/>
        </w:rPr>
        <w:t> </w:t>
      </w:r>
      <w:r>
        <w:rPr>
          <w:spacing w:val="-2"/>
        </w:rPr>
        <w:t>which</w:t>
      </w:r>
      <w:r>
        <w:rPr>
          <w:spacing w:val="-12"/>
        </w:rPr>
        <w:t> </w:t>
      </w:r>
      <w:r>
        <w:rPr>
          <w:spacing w:val="-2"/>
        </w:rPr>
        <w:t>universal</w:t>
      </w:r>
      <w:r>
        <w:rPr>
          <w:spacing w:val="-12"/>
        </w:rPr>
        <w:t> </w:t>
      </w:r>
      <w:r>
        <w:rPr>
          <w:spacing w:val="-2"/>
        </w:rPr>
        <w:t>education</w:t>
      </w:r>
      <w:r>
        <w:rPr>
          <w:spacing w:val="-11"/>
        </w:rPr>
        <w:t> </w:t>
      </w:r>
      <w:r>
        <w:rPr>
          <w:spacing w:val="-2"/>
        </w:rPr>
        <w:t>of</w:t>
      </w:r>
      <w:r>
        <w:rPr>
          <w:spacing w:val="-12"/>
        </w:rPr>
        <w:t> </w:t>
      </w:r>
      <w:r>
        <w:rPr>
          <w:spacing w:val="-2"/>
        </w:rPr>
        <w:t>reasonable</w:t>
      </w:r>
      <w:r>
        <w:rPr>
          <w:spacing w:val="-12"/>
        </w:rPr>
        <w:t> </w:t>
      </w:r>
      <w:r>
        <w:rPr>
          <w:spacing w:val="-2"/>
        </w:rPr>
        <w:t>quality is</w:t>
      </w:r>
      <w:r>
        <w:rPr>
          <w:spacing w:val="-8"/>
        </w:rPr>
        <w:t> </w:t>
      </w:r>
      <w:r>
        <w:rPr>
          <w:spacing w:val="-2"/>
        </w:rPr>
        <w:t>sought</w:t>
      </w:r>
      <w:r>
        <w:rPr>
          <w:spacing w:val="-8"/>
        </w:rPr>
        <w:t> </w:t>
      </w:r>
      <w:r>
        <w:rPr>
          <w:spacing w:val="-2"/>
        </w:rPr>
        <w:t>to</w:t>
      </w:r>
      <w:r>
        <w:rPr>
          <w:spacing w:val="-8"/>
        </w:rPr>
        <w:t> </w:t>
      </w:r>
      <w:r>
        <w:rPr>
          <w:spacing w:val="-2"/>
        </w:rPr>
        <w:t>be</w:t>
      </w:r>
      <w:r>
        <w:rPr>
          <w:spacing w:val="-8"/>
        </w:rPr>
        <w:t> </w:t>
      </w:r>
      <w:r>
        <w:rPr>
          <w:spacing w:val="-2"/>
        </w:rPr>
        <w:t>achieved,</w:t>
      </w:r>
      <w:r>
        <w:rPr>
          <w:spacing w:val="-8"/>
        </w:rPr>
        <w:t> </w:t>
      </w:r>
      <w:r>
        <w:rPr>
          <w:spacing w:val="-2"/>
        </w:rPr>
        <w:t>preferably</w:t>
      </w:r>
      <w:r>
        <w:rPr>
          <w:spacing w:val="-8"/>
        </w:rPr>
        <w:t> </w:t>
      </w:r>
      <w:r>
        <w:rPr>
          <w:spacing w:val="-2"/>
        </w:rPr>
        <w:t>within</w:t>
      </w:r>
      <w:r>
        <w:rPr>
          <w:spacing w:val="-8"/>
        </w:rPr>
        <w:t> </w:t>
      </w:r>
      <w:r>
        <w:rPr>
          <w:spacing w:val="-2"/>
        </w:rPr>
        <w:t>three</w:t>
      </w:r>
      <w:r>
        <w:rPr>
          <w:spacing w:val="-8"/>
        </w:rPr>
        <w:t> </w:t>
      </w:r>
      <w:r>
        <w:rPr>
          <w:spacing w:val="-2"/>
        </w:rPr>
        <w:t>years. </w:t>
      </w:r>
      <w:r>
        <w:rPr/>
        <w:t>The model bill does not provide any time frame for adoption and implementation of the provisions.</w:t>
      </w:r>
    </w:p>
    <w:p>
      <w:pPr>
        <w:pStyle w:val="BodyText"/>
        <w:spacing w:before="10"/>
      </w:pPr>
    </w:p>
    <w:p>
      <w:pPr>
        <w:pStyle w:val="Heading6"/>
        <w:numPr>
          <w:ilvl w:val="0"/>
          <w:numId w:val="7"/>
        </w:numPr>
        <w:tabs>
          <w:tab w:pos="644" w:val="left" w:leader="none"/>
        </w:tabs>
        <w:spacing w:line="240" w:lineRule="auto" w:before="0" w:after="0"/>
        <w:ind w:left="644" w:right="0" w:hanging="325"/>
        <w:jc w:val="left"/>
      </w:pPr>
      <w:r>
        <w:rPr>
          <w:color w:val="2E614A"/>
          <w:spacing w:val="-10"/>
        </w:rPr>
        <w:t>Schedule</w:t>
      </w:r>
      <w:r>
        <w:rPr>
          <w:color w:val="2E614A"/>
          <w:spacing w:val="-9"/>
        </w:rPr>
        <w:t> </w:t>
      </w:r>
      <w:r>
        <w:rPr>
          <w:color w:val="2E614A"/>
          <w:spacing w:val="-10"/>
        </w:rPr>
        <w:t>of</w:t>
      </w:r>
      <w:r>
        <w:rPr>
          <w:color w:val="2E614A"/>
          <w:spacing w:val="-8"/>
        </w:rPr>
        <w:t> </w:t>
      </w:r>
      <w:r>
        <w:rPr>
          <w:color w:val="2E614A"/>
          <w:spacing w:val="-10"/>
        </w:rPr>
        <w:t>Norms</w:t>
      </w:r>
      <w:r>
        <w:rPr>
          <w:color w:val="2E614A"/>
          <w:spacing w:val="-8"/>
        </w:rPr>
        <w:t> </w:t>
      </w:r>
      <w:r>
        <w:rPr>
          <w:color w:val="2E614A"/>
          <w:spacing w:val="-10"/>
        </w:rPr>
        <w:t>and</w:t>
      </w:r>
      <w:r>
        <w:rPr>
          <w:color w:val="2E614A"/>
          <w:spacing w:val="-9"/>
        </w:rPr>
        <w:t> </w:t>
      </w:r>
      <w:r>
        <w:rPr>
          <w:color w:val="2E614A"/>
          <w:spacing w:val="-10"/>
        </w:rPr>
        <w:t>Standards</w:t>
      </w:r>
    </w:p>
    <w:p>
      <w:pPr>
        <w:pStyle w:val="BodyText"/>
        <w:spacing w:line="266" w:lineRule="auto" w:before="285"/>
        <w:ind w:left="319" w:right="1077"/>
        <w:jc w:val="both"/>
      </w:pPr>
      <w:r>
        <w:rPr/>
        <w:t>To ensure a minimum quality of education, it </w:t>
      </w:r>
      <w:r>
        <w:rPr/>
        <w:t>is important</w:t>
      </w:r>
      <w:r>
        <w:rPr>
          <w:spacing w:val="-2"/>
        </w:rPr>
        <w:t> </w:t>
      </w:r>
      <w:r>
        <w:rPr/>
        <w:t>to</w:t>
      </w:r>
      <w:r>
        <w:rPr>
          <w:spacing w:val="-2"/>
        </w:rPr>
        <w:t> </w:t>
      </w:r>
      <w:r>
        <w:rPr/>
        <w:t>have</w:t>
      </w:r>
      <w:r>
        <w:rPr>
          <w:spacing w:val="-2"/>
        </w:rPr>
        <w:t> </w:t>
      </w:r>
      <w:r>
        <w:rPr/>
        <w:t>a</w:t>
      </w:r>
      <w:r>
        <w:rPr>
          <w:spacing w:val="-2"/>
        </w:rPr>
        <w:t> </w:t>
      </w:r>
      <w:r>
        <w:rPr/>
        <w:t>schedule</w:t>
      </w:r>
      <w:r>
        <w:rPr>
          <w:spacing w:val="-2"/>
        </w:rPr>
        <w:t> </w:t>
      </w:r>
      <w:r>
        <w:rPr/>
        <w:t>of</w:t>
      </w:r>
      <w:r>
        <w:rPr>
          <w:spacing w:val="-2"/>
        </w:rPr>
        <w:t> </w:t>
      </w:r>
      <w:r>
        <w:rPr/>
        <w:t>norms</w:t>
      </w:r>
      <w:r>
        <w:rPr>
          <w:spacing w:val="-2"/>
        </w:rPr>
        <w:t> </w:t>
      </w:r>
      <w:r>
        <w:rPr/>
        <w:t>for</w:t>
      </w:r>
      <w:r>
        <w:rPr>
          <w:spacing w:val="-2"/>
        </w:rPr>
        <w:t> </w:t>
      </w:r>
      <w:r>
        <w:rPr/>
        <w:t>all</w:t>
      </w:r>
      <w:r>
        <w:rPr>
          <w:spacing w:val="-2"/>
        </w:rPr>
        <w:t> </w:t>
      </w:r>
      <w:r>
        <w:rPr/>
        <w:t>schools </w:t>
      </w:r>
      <w:r>
        <w:rPr>
          <w:spacing w:val="-4"/>
        </w:rPr>
        <w:t>to</w:t>
      </w:r>
      <w:r>
        <w:rPr>
          <w:spacing w:val="-10"/>
        </w:rPr>
        <w:t> </w:t>
      </w:r>
      <w:r>
        <w:rPr>
          <w:spacing w:val="-4"/>
        </w:rPr>
        <w:t>follow.</w:t>
      </w:r>
      <w:r>
        <w:rPr>
          <w:spacing w:val="-10"/>
        </w:rPr>
        <w:t> </w:t>
      </w:r>
      <w:r>
        <w:rPr>
          <w:spacing w:val="-4"/>
        </w:rPr>
        <w:t>The</w:t>
      </w:r>
      <w:r>
        <w:rPr>
          <w:spacing w:val="-7"/>
        </w:rPr>
        <w:t> </w:t>
      </w:r>
      <w:r>
        <w:rPr>
          <w:spacing w:val="-4"/>
        </w:rPr>
        <w:t>model</w:t>
      </w:r>
      <w:r>
        <w:rPr>
          <w:spacing w:val="-6"/>
        </w:rPr>
        <w:t> </w:t>
      </w:r>
      <w:r>
        <w:rPr>
          <w:spacing w:val="-4"/>
        </w:rPr>
        <w:t>bill</w:t>
      </w:r>
      <w:r>
        <w:rPr>
          <w:spacing w:val="-6"/>
        </w:rPr>
        <w:t> </w:t>
      </w:r>
      <w:r>
        <w:rPr>
          <w:spacing w:val="-4"/>
        </w:rPr>
        <w:t>does</w:t>
      </w:r>
      <w:r>
        <w:rPr>
          <w:spacing w:val="-6"/>
        </w:rPr>
        <w:t> </w:t>
      </w:r>
      <w:r>
        <w:rPr>
          <w:spacing w:val="-4"/>
        </w:rPr>
        <w:t>not</w:t>
      </w:r>
      <w:r>
        <w:rPr>
          <w:spacing w:val="-6"/>
        </w:rPr>
        <w:t> </w:t>
      </w:r>
      <w:r>
        <w:rPr>
          <w:spacing w:val="-4"/>
        </w:rPr>
        <w:t>have</w:t>
      </w:r>
      <w:r>
        <w:rPr>
          <w:spacing w:val="-6"/>
        </w:rPr>
        <w:t> </w:t>
      </w:r>
      <w:r>
        <w:rPr>
          <w:spacing w:val="-4"/>
        </w:rPr>
        <w:t>such</w:t>
      </w:r>
      <w:r>
        <w:rPr>
          <w:spacing w:val="-6"/>
        </w:rPr>
        <w:t> </w:t>
      </w:r>
      <w:r>
        <w:rPr>
          <w:spacing w:val="-4"/>
        </w:rPr>
        <w:t>a</w:t>
      </w:r>
      <w:r>
        <w:rPr>
          <w:spacing w:val="-6"/>
        </w:rPr>
        <w:t> </w:t>
      </w:r>
      <w:r>
        <w:rPr>
          <w:spacing w:val="-4"/>
        </w:rPr>
        <w:t>schedule </w:t>
      </w:r>
      <w:r>
        <w:rPr>
          <w:spacing w:val="-2"/>
        </w:rPr>
        <w:t>of</w:t>
      </w:r>
      <w:r>
        <w:rPr>
          <w:spacing w:val="-10"/>
        </w:rPr>
        <w:t> </w:t>
      </w:r>
      <w:r>
        <w:rPr>
          <w:spacing w:val="-2"/>
        </w:rPr>
        <w:t>norms,</w:t>
      </w:r>
      <w:r>
        <w:rPr>
          <w:spacing w:val="-10"/>
        </w:rPr>
        <w:t> </w:t>
      </w:r>
      <w:r>
        <w:rPr>
          <w:spacing w:val="-2"/>
        </w:rPr>
        <w:t>and</w:t>
      </w:r>
      <w:r>
        <w:rPr>
          <w:spacing w:val="-10"/>
        </w:rPr>
        <w:t> </w:t>
      </w:r>
      <w:r>
        <w:rPr>
          <w:spacing w:val="-2"/>
        </w:rPr>
        <w:t>there</w:t>
      </w:r>
      <w:r>
        <w:rPr>
          <w:spacing w:val="-10"/>
        </w:rPr>
        <w:t> </w:t>
      </w:r>
      <w:r>
        <w:rPr>
          <w:spacing w:val="-2"/>
        </w:rPr>
        <w:t>is</w:t>
      </w:r>
      <w:r>
        <w:rPr>
          <w:spacing w:val="-10"/>
        </w:rPr>
        <w:t> </w:t>
      </w:r>
      <w:r>
        <w:rPr>
          <w:spacing w:val="-2"/>
        </w:rPr>
        <w:t>no</w:t>
      </w:r>
      <w:r>
        <w:rPr>
          <w:spacing w:val="-10"/>
        </w:rPr>
        <w:t> </w:t>
      </w:r>
      <w:r>
        <w:rPr>
          <w:spacing w:val="-2"/>
        </w:rPr>
        <w:t>specification</w:t>
      </w:r>
      <w:r>
        <w:rPr>
          <w:spacing w:val="-10"/>
        </w:rPr>
        <w:t> </w:t>
      </w:r>
      <w:r>
        <w:rPr>
          <w:spacing w:val="-2"/>
        </w:rPr>
        <w:t>of</w:t>
      </w:r>
      <w:r>
        <w:rPr>
          <w:spacing w:val="-10"/>
        </w:rPr>
        <w:t> </w:t>
      </w:r>
      <w:r>
        <w:rPr>
          <w:spacing w:val="-2"/>
        </w:rPr>
        <w:t>the</w:t>
      </w:r>
      <w:r>
        <w:rPr>
          <w:spacing w:val="-10"/>
        </w:rPr>
        <w:t> </w:t>
      </w:r>
      <w:r>
        <w:rPr>
          <w:spacing w:val="-2"/>
        </w:rPr>
        <w:t>minimum quality</w:t>
      </w:r>
      <w:r>
        <w:rPr>
          <w:spacing w:val="-12"/>
        </w:rPr>
        <w:t> </w:t>
      </w:r>
      <w:r>
        <w:rPr>
          <w:spacing w:val="-2"/>
        </w:rPr>
        <w:t>of</w:t>
      </w:r>
      <w:r>
        <w:rPr>
          <w:spacing w:val="-12"/>
        </w:rPr>
        <w:t> </w:t>
      </w:r>
      <w:r>
        <w:rPr>
          <w:spacing w:val="-2"/>
        </w:rPr>
        <w:t>education</w:t>
      </w:r>
      <w:r>
        <w:rPr>
          <w:spacing w:val="-12"/>
        </w:rPr>
        <w:t> </w:t>
      </w:r>
      <w:r>
        <w:rPr>
          <w:spacing w:val="-2"/>
        </w:rPr>
        <w:t>that</w:t>
      </w:r>
      <w:r>
        <w:rPr>
          <w:spacing w:val="-11"/>
        </w:rPr>
        <w:t> </w:t>
      </w:r>
      <w:r>
        <w:rPr>
          <w:spacing w:val="-2"/>
        </w:rPr>
        <w:t>schools</w:t>
      </w:r>
      <w:r>
        <w:rPr>
          <w:spacing w:val="-12"/>
        </w:rPr>
        <w:t> </w:t>
      </w:r>
      <w:r>
        <w:rPr>
          <w:spacing w:val="-2"/>
        </w:rPr>
        <w:t>should</w:t>
      </w:r>
      <w:r>
        <w:rPr>
          <w:spacing w:val="-12"/>
        </w:rPr>
        <w:t> </w:t>
      </w:r>
      <w:r>
        <w:rPr>
          <w:spacing w:val="-2"/>
        </w:rPr>
        <w:t>provide.</w:t>
      </w:r>
      <w:r>
        <w:rPr>
          <w:spacing w:val="-12"/>
        </w:rPr>
        <w:t> </w:t>
      </w:r>
      <w:r>
        <w:rPr>
          <w:spacing w:val="-2"/>
        </w:rPr>
        <w:t>There </w:t>
      </w:r>
      <w:r>
        <w:rPr>
          <w:spacing w:val="-6"/>
        </w:rPr>
        <w:t>is</w:t>
      </w:r>
      <w:r>
        <w:rPr>
          <w:spacing w:val="-8"/>
        </w:rPr>
        <w:t> </w:t>
      </w:r>
      <w:r>
        <w:rPr>
          <w:spacing w:val="-6"/>
        </w:rPr>
        <w:t>only</w:t>
      </w:r>
      <w:r>
        <w:rPr>
          <w:spacing w:val="-8"/>
        </w:rPr>
        <w:t> </w:t>
      </w:r>
      <w:r>
        <w:rPr>
          <w:spacing w:val="-6"/>
        </w:rPr>
        <w:t>a</w:t>
      </w:r>
      <w:r>
        <w:rPr>
          <w:spacing w:val="-8"/>
        </w:rPr>
        <w:t> </w:t>
      </w:r>
      <w:r>
        <w:rPr>
          <w:spacing w:val="-6"/>
        </w:rPr>
        <w:t>reference</w:t>
      </w:r>
      <w:r>
        <w:rPr>
          <w:spacing w:val="-7"/>
        </w:rPr>
        <w:t> </w:t>
      </w:r>
      <w:r>
        <w:rPr>
          <w:spacing w:val="-6"/>
        </w:rPr>
        <w:t>to</w:t>
      </w:r>
      <w:r>
        <w:rPr>
          <w:spacing w:val="-8"/>
        </w:rPr>
        <w:t> </w:t>
      </w:r>
      <w:r>
        <w:rPr>
          <w:spacing w:val="-6"/>
        </w:rPr>
        <w:t>‘equitable</w:t>
      </w:r>
      <w:r>
        <w:rPr>
          <w:spacing w:val="-8"/>
        </w:rPr>
        <w:t> </w:t>
      </w:r>
      <w:r>
        <w:rPr>
          <w:spacing w:val="-6"/>
        </w:rPr>
        <w:t>quality’</w:t>
      </w:r>
      <w:r>
        <w:rPr>
          <w:spacing w:val="-8"/>
        </w:rPr>
        <w:t> </w:t>
      </w:r>
      <w:r>
        <w:rPr>
          <w:spacing w:val="-6"/>
        </w:rPr>
        <w:t>without</w:t>
      </w:r>
      <w:r>
        <w:rPr>
          <w:spacing w:val="-7"/>
        </w:rPr>
        <w:t> </w:t>
      </w:r>
      <w:r>
        <w:rPr>
          <w:spacing w:val="-6"/>
        </w:rPr>
        <w:t>defining </w:t>
      </w:r>
      <w:r>
        <w:rPr/>
        <w:t>the</w:t>
      </w:r>
      <w:r>
        <w:rPr>
          <w:spacing w:val="-2"/>
        </w:rPr>
        <w:t> </w:t>
      </w:r>
      <w:r>
        <w:rPr/>
        <w:t>parameters</w:t>
      </w:r>
      <w:r>
        <w:rPr>
          <w:spacing w:val="-2"/>
        </w:rPr>
        <w:t> </w:t>
      </w:r>
      <w:r>
        <w:rPr/>
        <w:t>of</w:t>
      </w:r>
      <w:r>
        <w:rPr>
          <w:spacing w:val="-2"/>
        </w:rPr>
        <w:t> </w:t>
      </w:r>
      <w:r>
        <w:rPr/>
        <w:t>quality.</w:t>
      </w:r>
      <w:r>
        <w:rPr>
          <w:spacing w:val="-4"/>
        </w:rPr>
        <w:t> </w:t>
      </w:r>
      <w:r>
        <w:rPr/>
        <w:t>While</w:t>
      </w:r>
      <w:r>
        <w:rPr>
          <w:spacing w:val="-2"/>
        </w:rPr>
        <w:t> </w:t>
      </w:r>
      <w:r>
        <w:rPr/>
        <w:t>ensuring</w:t>
      </w:r>
      <w:r>
        <w:rPr>
          <w:spacing w:val="-2"/>
        </w:rPr>
        <w:t> </w:t>
      </w:r>
      <w:r>
        <w:rPr/>
        <w:t>quality</w:t>
      </w:r>
      <w:r>
        <w:rPr>
          <w:spacing w:val="-2"/>
        </w:rPr>
        <w:t> </w:t>
      </w:r>
      <w:r>
        <w:rPr/>
        <w:t>is</w:t>
      </w:r>
      <w:r>
        <w:rPr>
          <w:spacing w:val="-2"/>
        </w:rPr>
        <w:t> </w:t>
      </w:r>
      <w:r>
        <w:rPr/>
        <w:t>a </w:t>
      </w:r>
      <w:r>
        <w:rPr>
          <w:spacing w:val="-4"/>
        </w:rPr>
        <w:t>complex</w:t>
      </w:r>
      <w:r>
        <w:rPr>
          <w:spacing w:val="-5"/>
        </w:rPr>
        <w:t> </w:t>
      </w:r>
      <w:r>
        <w:rPr>
          <w:spacing w:val="-4"/>
        </w:rPr>
        <w:t>matter,</w:t>
      </w:r>
      <w:r>
        <w:rPr>
          <w:spacing w:val="-5"/>
        </w:rPr>
        <w:t> </w:t>
      </w:r>
      <w:r>
        <w:rPr>
          <w:spacing w:val="-4"/>
        </w:rPr>
        <w:t>certain</w:t>
      </w:r>
      <w:r>
        <w:rPr>
          <w:spacing w:val="-5"/>
        </w:rPr>
        <w:t> </w:t>
      </w:r>
      <w:r>
        <w:rPr>
          <w:spacing w:val="-4"/>
        </w:rPr>
        <w:t>norms</w:t>
      </w:r>
      <w:r>
        <w:rPr>
          <w:spacing w:val="-5"/>
        </w:rPr>
        <w:t> </w:t>
      </w:r>
      <w:r>
        <w:rPr>
          <w:spacing w:val="-4"/>
        </w:rPr>
        <w:t>regarding</w:t>
      </w:r>
      <w:r>
        <w:rPr>
          <w:spacing w:val="-5"/>
        </w:rPr>
        <w:t> </w:t>
      </w:r>
      <w:r>
        <w:rPr>
          <w:spacing w:val="-4"/>
        </w:rPr>
        <w:t>infrastructure, number</w:t>
      </w:r>
      <w:r>
        <w:rPr>
          <w:spacing w:val="-8"/>
        </w:rPr>
        <w:t> </w:t>
      </w:r>
      <w:r>
        <w:rPr>
          <w:spacing w:val="-4"/>
        </w:rPr>
        <w:t>of</w:t>
      </w:r>
      <w:r>
        <w:rPr>
          <w:spacing w:val="-8"/>
        </w:rPr>
        <w:t> </w:t>
      </w:r>
      <w:r>
        <w:rPr>
          <w:spacing w:val="-4"/>
        </w:rPr>
        <w:t>teachers</w:t>
      </w:r>
      <w:r>
        <w:rPr>
          <w:spacing w:val="-8"/>
        </w:rPr>
        <w:t> </w:t>
      </w:r>
      <w:r>
        <w:rPr>
          <w:spacing w:val="-4"/>
        </w:rPr>
        <w:t>per</w:t>
      </w:r>
      <w:r>
        <w:rPr>
          <w:spacing w:val="-8"/>
        </w:rPr>
        <w:t> </w:t>
      </w:r>
      <w:r>
        <w:rPr>
          <w:spacing w:val="-4"/>
        </w:rPr>
        <w:t>school</w:t>
      </w:r>
      <w:r>
        <w:rPr>
          <w:spacing w:val="-8"/>
        </w:rPr>
        <w:t> </w:t>
      </w:r>
      <w:r>
        <w:rPr>
          <w:spacing w:val="-4"/>
        </w:rPr>
        <w:t>and</w:t>
      </w:r>
      <w:r>
        <w:rPr>
          <w:spacing w:val="-8"/>
        </w:rPr>
        <w:t> </w:t>
      </w:r>
      <w:r>
        <w:rPr>
          <w:spacing w:val="-4"/>
        </w:rPr>
        <w:t>per</w:t>
      </w:r>
      <w:r>
        <w:rPr>
          <w:spacing w:val="-8"/>
        </w:rPr>
        <w:t> </w:t>
      </w:r>
      <w:r>
        <w:rPr>
          <w:spacing w:val="-4"/>
        </w:rPr>
        <w:t>student,</w:t>
      </w:r>
      <w:r>
        <w:rPr>
          <w:spacing w:val="-8"/>
        </w:rPr>
        <w:t> </w:t>
      </w:r>
      <w:r>
        <w:rPr>
          <w:spacing w:val="-4"/>
        </w:rPr>
        <w:t>teaching </w:t>
      </w:r>
      <w:r>
        <w:rPr/>
        <w:t>methods and other facilities, must be adhered to as necessary conditions.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7"/>
        </w:numPr>
        <w:tabs>
          <w:tab w:pos="1405" w:val="left" w:leader="none"/>
        </w:tabs>
        <w:spacing w:line="240" w:lineRule="auto" w:before="57" w:after="0"/>
        <w:ind w:left="1405" w:right="0" w:hanging="325"/>
        <w:jc w:val="left"/>
      </w:pPr>
      <w:r>
        <w:rPr>
          <w:color w:val="2E614A"/>
          <w:w w:val="90"/>
        </w:rPr>
        <w:t>Specification</w:t>
      </w:r>
      <w:r>
        <w:rPr>
          <w:color w:val="2E614A"/>
          <w:spacing w:val="10"/>
        </w:rPr>
        <w:t> </w:t>
      </w:r>
      <w:r>
        <w:rPr>
          <w:color w:val="2E614A"/>
          <w:w w:val="90"/>
        </w:rPr>
        <w:t>for</w:t>
      </w:r>
      <w:r>
        <w:rPr>
          <w:color w:val="2E614A"/>
          <w:spacing w:val="23"/>
        </w:rPr>
        <w:t> </w:t>
      </w:r>
      <w:r>
        <w:rPr>
          <w:color w:val="2E614A"/>
          <w:spacing w:val="-2"/>
          <w:w w:val="90"/>
        </w:rPr>
        <w:t>Teachers</w:t>
      </w:r>
    </w:p>
    <w:p>
      <w:pPr>
        <w:pStyle w:val="BodyText"/>
        <w:spacing w:line="266" w:lineRule="auto" w:before="185"/>
        <w:ind w:left="1080"/>
        <w:jc w:val="both"/>
      </w:pPr>
      <w:r>
        <w:rPr/>
        <w:t>Since teachers are critical to ensuring the quality of </w:t>
      </w:r>
      <w:r>
        <w:rPr>
          <w:spacing w:val="-2"/>
        </w:rPr>
        <w:t>education,</w:t>
      </w:r>
      <w:r>
        <w:rPr>
          <w:spacing w:val="-12"/>
        </w:rPr>
        <w:t> </w:t>
      </w:r>
      <w:r>
        <w:rPr>
          <w:spacing w:val="-2"/>
        </w:rPr>
        <w:t>it</w:t>
      </w:r>
      <w:r>
        <w:rPr>
          <w:spacing w:val="-12"/>
        </w:rPr>
        <w:t> </w:t>
      </w:r>
      <w:r>
        <w:rPr>
          <w:spacing w:val="-2"/>
        </w:rPr>
        <w:t>is</w:t>
      </w:r>
      <w:r>
        <w:rPr>
          <w:spacing w:val="-12"/>
        </w:rPr>
        <w:t> </w:t>
      </w:r>
      <w:r>
        <w:rPr>
          <w:spacing w:val="-2"/>
        </w:rPr>
        <w:t>particularly</w:t>
      </w:r>
      <w:r>
        <w:rPr>
          <w:spacing w:val="-11"/>
        </w:rPr>
        <w:t> </w:t>
      </w:r>
      <w:r>
        <w:rPr>
          <w:spacing w:val="-2"/>
        </w:rPr>
        <w:t>important</w:t>
      </w:r>
      <w:r>
        <w:rPr>
          <w:spacing w:val="-12"/>
        </w:rPr>
        <w:t> </w:t>
      </w:r>
      <w:r>
        <w:rPr>
          <w:spacing w:val="-2"/>
        </w:rPr>
        <w:t>to</w:t>
      </w:r>
      <w:r>
        <w:rPr>
          <w:spacing w:val="-12"/>
        </w:rPr>
        <w:t> </w:t>
      </w:r>
      <w:r>
        <w:rPr>
          <w:spacing w:val="-2"/>
        </w:rPr>
        <w:t>lay</w:t>
      </w:r>
      <w:r>
        <w:rPr>
          <w:spacing w:val="-12"/>
        </w:rPr>
        <w:t> </w:t>
      </w:r>
      <w:r>
        <w:rPr>
          <w:spacing w:val="-2"/>
        </w:rPr>
        <w:t>down</w:t>
      </w:r>
      <w:r>
        <w:rPr>
          <w:spacing w:val="-11"/>
        </w:rPr>
        <w:t> </w:t>
      </w:r>
      <w:r>
        <w:rPr>
          <w:spacing w:val="-2"/>
        </w:rPr>
        <w:t>well- </w:t>
      </w:r>
      <w:r>
        <w:rPr>
          <w:spacing w:val="-10"/>
        </w:rPr>
        <w:t>defined</w:t>
      </w:r>
      <w:r>
        <w:rPr/>
        <w:t> </w:t>
      </w:r>
      <w:r>
        <w:rPr>
          <w:spacing w:val="-10"/>
        </w:rPr>
        <w:t>but</w:t>
      </w:r>
      <w:r>
        <w:rPr/>
        <w:t> </w:t>
      </w:r>
      <w:r>
        <w:rPr>
          <w:spacing w:val="-10"/>
        </w:rPr>
        <w:t>flexible</w:t>
      </w:r>
      <w:r>
        <w:rPr/>
        <w:t> </w:t>
      </w:r>
      <w:r>
        <w:rPr>
          <w:spacing w:val="-10"/>
        </w:rPr>
        <w:t>norms</w:t>
      </w:r>
      <w:r>
        <w:rPr/>
        <w:t> </w:t>
      </w:r>
      <w:r>
        <w:rPr>
          <w:spacing w:val="-10"/>
        </w:rPr>
        <w:t>for</w:t>
      </w:r>
      <w:r>
        <w:rPr/>
        <w:t> </w:t>
      </w:r>
      <w:r>
        <w:rPr>
          <w:spacing w:val="-10"/>
        </w:rPr>
        <w:t>the</w:t>
      </w:r>
      <w:r>
        <w:rPr/>
        <w:t> </w:t>
      </w:r>
      <w:r>
        <w:rPr>
          <w:spacing w:val="-10"/>
        </w:rPr>
        <w:t>minimum</w:t>
      </w:r>
      <w:r>
        <w:rPr/>
        <w:t> </w:t>
      </w:r>
      <w:r>
        <w:rPr>
          <w:spacing w:val="-10"/>
        </w:rPr>
        <w:t>qualifications </w:t>
      </w:r>
      <w:r>
        <w:rPr/>
        <w:t>of teachers. The model bill has no specification of a teacher, or the qualifications and in-service training needed</w:t>
      </w:r>
      <w:r>
        <w:rPr>
          <w:spacing w:val="-9"/>
        </w:rPr>
        <w:t> </w:t>
      </w:r>
      <w:r>
        <w:rPr/>
        <w:t>for</w:t>
      </w:r>
      <w:r>
        <w:rPr>
          <w:spacing w:val="-9"/>
        </w:rPr>
        <w:t> </w:t>
      </w:r>
      <w:r>
        <w:rPr/>
        <w:t>the</w:t>
      </w:r>
      <w:r>
        <w:rPr>
          <w:spacing w:val="-9"/>
        </w:rPr>
        <w:t> </w:t>
      </w:r>
      <w:r>
        <w:rPr/>
        <w:t>position.</w:t>
      </w:r>
      <w:r>
        <w:rPr>
          <w:spacing w:val="-9"/>
        </w:rPr>
        <w:t> </w:t>
      </w:r>
      <w:r>
        <w:rPr/>
        <w:t>A</w:t>
      </w:r>
      <w:r>
        <w:rPr>
          <w:spacing w:val="-9"/>
        </w:rPr>
        <w:t> </w:t>
      </w:r>
      <w:r>
        <w:rPr/>
        <w:t>teacher</w:t>
      </w:r>
      <w:r>
        <w:rPr>
          <w:spacing w:val="-9"/>
        </w:rPr>
        <w:t> </w:t>
      </w:r>
      <w:r>
        <w:rPr/>
        <w:t>is</w:t>
      </w:r>
      <w:r>
        <w:rPr>
          <w:spacing w:val="-9"/>
        </w:rPr>
        <w:t> </w:t>
      </w:r>
      <w:r>
        <w:rPr/>
        <w:t>only</w:t>
      </w:r>
      <w:r>
        <w:rPr>
          <w:spacing w:val="-9"/>
        </w:rPr>
        <w:t> </w:t>
      </w:r>
      <w:r>
        <w:rPr/>
        <w:t>defined</w:t>
      </w:r>
      <w:r>
        <w:rPr>
          <w:spacing w:val="-9"/>
        </w:rPr>
        <w:t> </w:t>
      </w:r>
      <w:r>
        <w:rPr/>
        <w:t>as</w:t>
      </w:r>
      <w:r>
        <w:rPr>
          <w:spacing w:val="-9"/>
        </w:rPr>
        <w:t> </w:t>
      </w:r>
      <w:r>
        <w:rPr/>
        <w:t>a person</w:t>
      </w:r>
      <w:r>
        <w:rPr>
          <w:spacing w:val="-14"/>
        </w:rPr>
        <w:t> </w:t>
      </w:r>
      <w:r>
        <w:rPr/>
        <w:t>who</w:t>
      </w:r>
      <w:r>
        <w:rPr>
          <w:spacing w:val="-14"/>
        </w:rPr>
        <w:t> </w:t>
      </w:r>
      <w:r>
        <w:rPr/>
        <w:t>teaches</w:t>
      </w:r>
      <w:r>
        <w:rPr>
          <w:spacing w:val="-14"/>
        </w:rPr>
        <w:t> </w:t>
      </w:r>
      <w:r>
        <w:rPr/>
        <w:t>in</w:t>
      </w:r>
      <w:r>
        <w:rPr>
          <w:spacing w:val="-13"/>
        </w:rPr>
        <w:t> </w:t>
      </w:r>
      <w:r>
        <w:rPr/>
        <w:t>the</w:t>
      </w:r>
      <w:r>
        <w:rPr>
          <w:spacing w:val="-14"/>
        </w:rPr>
        <w:t> </w:t>
      </w:r>
      <w:r>
        <w:rPr/>
        <w:t>classroom.</w:t>
      </w:r>
      <w:r>
        <w:rPr>
          <w:spacing w:val="-14"/>
        </w:rPr>
        <w:t> </w:t>
      </w:r>
      <w:r>
        <w:rPr/>
        <w:t>It</w:t>
      </w:r>
      <w:r>
        <w:rPr>
          <w:spacing w:val="-14"/>
        </w:rPr>
        <w:t> </w:t>
      </w:r>
      <w:r>
        <w:rPr/>
        <w:t>is</w:t>
      </w:r>
      <w:r>
        <w:rPr>
          <w:spacing w:val="-13"/>
        </w:rPr>
        <w:t> </w:t>
      </w:r>
      <w:r>
        <w:rPr/>
        <w:t>necessary</w:t>
      </w:r>
      <w:r>
        <w:rPr>
          <w:spacing w:val="-14"/>
        </w:rPr>
        <w:t> </w:t>
      </w:r>
      <w:r>
        <w:rPr/>
        <w:t>to </w:t>
      </w:r>
      <w:r>
        <w:rPr>
          <w:spacing w:val="-2"/>
        </w:rPr>
        <w:t>specify</w:t>
      </w:r>
      <w:r>
        <w:rPr>
          <w:spacing w:val="-12"/>
        </w:rPr>
        <w:t> </w:t>
      </w:r>
      <w:r>
        <w:rPr>
          <w:spacing w:val="-2"/>
        </w:rPr>
        <w:t>norms</w:t>
      </w:r>
      <w:r>
        <w:rPr>
          <w:spacing w:val="-12"/>
        </w:rPr>
        <w:t> </w:t>
      </w:r>
      <w:r>
        <w:rPr>
          <w:spacing w:val="-2"/>
        </w:rPr>
        <w:t>for</w:t>
      </w:r>
      <w:r>
        <w:rPr>
          <w:spacing w:val="-12"/>
        </w:rPr>
        <w:t> </w:t>
      </w:r>
      <w:r>
        <w:rPr>
          <w:spacing w:val="-2"/>
        </w:rPr>
        <w:t>teacher</w:t>
      </w:r>
      <w:r>
        <w:rPr>
          <w:spacing w:val="-11"/>
        </w:rPr>
        <w:t> </w:t>
      </w:r>
      <w:r>
        <w:rPr>
          <w:spacing w:val="-2"/>
        </w:rPr>
        <w:t>qualification</w:t>
      </w:r>
      <w:r>
        <w:rPr>
          <w:spacing w:val="-12"/>
        </w:rPr>
        <w:t> </w:t>
      </w:r>
      <w:r>
        <w:rPr>
          <w:spacing w:val="-2"/>
        </w:rPr>
        <w:t>and</w:t>
      </w:r>
      <w:r>
        <w:rPr>
          <w:spacing w:val="-12"/>
        </w:rPr>
        <w:t> </w:t>
      </w:r>
      <w:r>
        <w:rPr>
          <w:spacing w:val="-2"/>
        </w:rPr>
        <w:t>training.</w:t>
      </w:r>
    </w:p>
    <w:p>
      <w:pPr>
        <w:pStyle w:val="Heading6"/>
        <w:numPr>
          <w:ilvl w:val="0"/>
          <w:numId w:val="7"/>
        </w:numPr>
        <w:tabs>
          <w:tab w:pos="1405" w:val="left" w:leader="none"/>
        </w:tabs>
        <w:spacing w:line="240" w:lineRule="auto" w:before="181" w:after="0"/>
        <w:ind w:left="1405" w:right="0" w:hanging="325"/>
        <w:jc w:val="left"/>
      </w:pPr>
      <w:r>
        <w:rPr>
          <w:color w:val="2E614A"/>
          <w:spacing w:val="-2"/>
        </w:rPr>
        <w:t>Justiciability</w:t>
      </w:r>
    </w:p>
    <w:p>
      <w:pPr>
        <w:pStyle w:val="BodyText"/>
        <w:spacing w:line="266" w:lineRule="auto" w:before="185"/>
        <w:ind w:left="1080"/>
        <w:jc w:val="both"/>
      </w:pPr>
      <w:r>
        <w:rPr/>
        <w:t>Any right, including the Right to Education, is </w:t>
      </w:r>
      <w:r>
        <w:rPr/>
        <w:t>only meaningful</w:t>
      </w:r>
      <w:r>
        <w:rPr>
          <w:spacing w:val="-1"/>
        </w:rPr>
        <w:t> </w:t>
      </w:r>
      <w:r>
        <w:rPr/>
        <w:t>if</w:t>
      </w:r>
      <w:r>
        <w:rPr>
          <w:spacing w:val="-1"/>
        </w:rPr>
        <w:t> </w:t>
      </w:r>
      <w:r>
        <w:rPr/>
        <w:t>it</w:t>
      </w:r>
      <w:r>
        <w:rPr>
          <w:spacing w:val="-1"/>
        </w:rPr>
        <w:t> </w:t>
      </w:r>
      <w:r>
        <w:rPr/>
        <w:t>is</w:t>
      </w:r>
      <w:r>
        <w:rPr>
          <w:spacing w:val="-1"/>
        </w:rPr>
        <w:t> </w:t>
      </w:r>
      <w:r>
        <w:rPr/>
        <w:t>justiciable.</w:t>
      </w:r>
      <w:r>
        <w:rPr>
          <w:spacing w:val="-1"/>
        </w:rPr>
        <w:t> </w:t>
      </w:r>
      <w:r>
        <w:rPr/>
        <w:t>However,</w:t>
      </w:r>
      <w:r>
        <w:rPr>
          <w:spacing w:val="-1"/>
        </w:rPr>
        <w:t> </w:t>
      </w:r>
      <w:r>
        <w:rPr/>
        <w:t>in</w:t>
      </w:r>
      <w:r>
        <w:rPr>
          <w:spacing w:val="-1"/>
        </w:rPr>
        <w:t> </w:t>
      </w:r>
      <w:r>
        <w:rPr/>
        <w:t>the</w:t>
      </w:r>
      <w:r>
        <w:rPr>
          <w:spacing w:val="-1"/>
        </w:rPr>
        <w:t> </w:t>
      </w:r>
      <w:r>
        <w:rPr/>
        <w:t>model bill sent to State Governments, the onus is placed on parents</w:t>
      </w:r>
      <w:r>
        <w:rPr>
          <w:spacing w:val="-14"/>
        </w:rPr>
        <w:t> </w:t>
      </w:r>
      <w:r>
        <w:rPr/>
        <w:t>or</w:t>
      </w:r>
      <w:r>
        <w:rPr>
          <w:spacing w:val="-14"/>
        </w:rPr>
        <w:t> </w:t>
      </w:r>
      <w:r>
        <w:rPr/>
        <w:t>guardians</w:t>
      </w:r>
      <w:r>
        <w:rPr>
          <w:spacing w:val="-14"/>
        </w:rPr>
        <w:t> </w:t>
      </w:r>
      <w:r>
        <w:rPr/>
        <w:t>of</w:t>
      </w:r>
      <w:r>
        <w:rPr>
          <w:spacing w:val="-13"/>
        </w:rPr>
        <w:t> </w:t>
      </w:r>
      <w:r>
        <w:rPr/>
        <w:t>the</w:t>
      </w:r>
      <w:r>
        <w:rPr>
          <w:spacing w:val="-14"/>
        </w:rPr>
        <w:t> </w:t>
      </w:r>
      <w:r>
        <w:rPr/>
        <w:t>child.</w:t>
      </w:r>
      <w:r>
        <w:rPr>
          <w:spacing w:val="-14"/>
        </w:rPr>
        <w:t> </w:t>
      </w:r>
      <w:r>
        <w:rPr/>
        <w:t>The</w:t>
      </w:r>
      <w:r>
        <w:rPr>
          <w:spacing w:val="-14"/>
        </w:rPr>
        <w:t> </w:t>
      </w:r>
      <w:r>
        <w:rPr/>
        <w:t>responsibility</w:t>
      </w:r>
      <w:r>
        <w:rPr>
          <w:spacing w:val="-13"/>
        </w:rPr>
        <w:t> </w:t>
      </w:r>
      <w:r>
        <w:rPr/>
        <w:t>of </w:t>
      </w:r>
      <w:r>
        <w:rPr>
          <w:spacing w:val="-4"/>
        </w:rPr>
        <w:t>the</w:t>
      </w:r>
      <w:r>
        <w:rPr>
          <w:spacing w:val="-6"/>
        </w:rPr>
        <w:t> </w:t>
      </w:r>
      <w:r>
        <w:rPr>
          <w:spacing w:val="-4"/>
        </w:rPr>
        <w:t>Government,</w:t>
      </w:r>
      <w:r>
        <w:rPr>
          <w:spacing w:val="-6"/>
        </w:rPr>
        <w:t> </w:t>
      </w:r>
      <w:r>
        <w:rPr>
          <w:spacing w:val="-4"/>
        </w:rPr>
        <w:t>at</w:t>
      </w:r>
      <w:r>
        <w:rPr>
          <w:spacing w:val="-6"/>
        </w:rPr>
        <w:t> </w:t>
      </w:r>
      <w:r>
        <w:rPr>
          <w:spacing w:val="-4"/>
        </w:rPr>
        <w:t>different</w:t>
      </w:r>
      <w:r>
        <w:rPr>
          <w:spacing w:val="-6"/>
        </w:rPr>
        <w:t> </w:t>
      </w:r>
      <w:r>
        <w:rPr>
          <w:spacing w:val="-4"/>
        </w:rPr>
        <w:t>levels,</w:t>
      </w:r>
      <w:r>
        <w:rPr>
          <w:spacing w:val="-6"/>
        </w:rPr>
        <w:t> </w:t>
      </w:r>
      <w:r>
        <w:rPr>
          <w:spacing w:val="-4"/>
        </w:rPr>
        <w:t>must</w:t>
      </w:r>
      <w:r>
        <w:rPr>
          <w:spacing w:val="-6"/>
        </w:rPr>
        <w:t> </w:t>
      </w:r>
      <w:r>
        <w:rPr>
          <w:spacing w:val="-4"/>
        </w:rPr>
        <w:t>be</w:t>
      </w:r>
      <w:r>
        <w:rPr>
          <w:spacing w:val="-6"/>
        </w:rPr>
        <w:t> </w:t>
      </w:r>
      <w:r>
        <w:rPr>
          <w:spacing w:val="-4"/>
        </w:rPr>
        <w:t>recognised </w:t>
      </w:r>
      <w:r>
        <w:rPr/>
        <w:t>and made justiciable. The example of the National </w:t>
      </w:r>
      <w:r>
        <w:rPr>
          <w:spacing w:val="-2"/>
        </w:rPr>
        <w:t>Rural</w:t>
      </w:r>
      <w:r>
        <w:rPr>
          <w:spacing w:val="-7"/>
        </w:rPr>
        <w:t> </w:t>
      </w:r>
      <w:r>
        <w:rPr>
          <w:spacing w:val="-2"/>
        </w:rPr>
        <w:t>Employment</w:t>
      </w:r>
      <w:r>
        <w:rPr>
          <w:spacing w:val="-7"/>
        </w:rPr>
        <w:t> </w:t>
      </w:r>
      <w:r>
        <w:rPr>
          <w:spacing w:val="-2"/>
        </w:rPr>
        <w:t>Guarantee</w:t>
      </w:r>
      <w:r>
        <w:rPr>
          <w:spacing w:val="-7"/>
        </w:rPr>
        <w:t> </w:t>
      </w:r>
      <w:r>
        <w:rPr>
          <w:spacing w:val="-2"/>
        </w:rPr>
        <w:t>Act</w:t>
      </w:r>
      <w:r>
        <w:rPr>
          <w:spacing w:val="-7"/>
        </w:rPr>
        <w:t> </w:t>
      </w:r>
      <w:r>
        <w:rPr>
          <w:spacing w:val="-2"/>
        </w:rPr>
        <w:t>(NREGA)</w:t>
      </w:r>
      <w:r>
        <w:rPr>
          <w:spacing w:val="-7"/>
        </w:rPr>
        <w:t> </w:t>
      </w:r>
      <w:r>
        <w:rPr>
          <w:spacing w:val="-2"/>
        </w:rPr>
        <w:t>could</w:t>
      </w:r>
      <w:r>
        <w:rPr>
          <w:spacing w:val="-7"/>
        </w:rPr>
        <w:t> </w:t>
      </w:r>
      <w:r>
        <w:rPr>
          <w:spacing w:val="-2"/>
        </w:rPr>
        <w:t>be </w:t>
      </w:r>
      <w:r>
        <w:rPr/>
        <w:t>used in this context.</w:t>
      </w:r>
    </w:p>
    <w:p>
      <w:pPr>
        <w:pStyle w:val="Heading6"/>
        <w:numPr>
          <w:ilvl w:val="0"/>
          <w:numId w:val="7"/>
        </w:numPr>
        <w:tabs>
          <w:tab w:pos="1405" w:val="left" w:leader="none"/>
        </w:tabs>
        <w:spacing w:line="240" w:lineRule="auto" w:before="180" w:after="0"/>
        <w:ind w:left="1405" w:right="0" w:hanging="325"/>
        <w:jc w:val="left"/>
      </w:pPr>
      <w:r>
        <w:rPr>
          <w:color w:val="2E614A"/>
          <w:w w:val="85"/>
        </w:rPr>
        <w:t>Redressal</w:t>
      </w:r>
      <w:r>
        <w:rPr>
          <w:color w:val="2E614A"/>
          <w:spacing w:val="34"/>
        </w:rPr>
        <w:t> </w:t>
      </w:r>
      <w:r>
        <w:rPr>
          <w:color w:val="2E614A"/>
          <w:spacing w:val="-2"/>
          <w:w w:val="95"/>
        </w:rPr>
        <w:t>Mechanism</w:t>
      </w:r>
    </w:p>
    <w:p>
      <w:pPr>
        <w:pStyle w:val="BodyText"/>
        <w:spacing w:line="266" w:lineRule="auto" w:before="186"/>
        <w:ind w:left="1080"/>
        <w:jc w:val="both"/>
      </w:pPr>
      <w:r>
        <w:rPr>
          <w:spacing w:val="-6"/>
        </w:rPr>
        <w:t>To</w:t>
      </w:r>
      <w:r>
        <w:rPr>
          <w:spacing w:val="-8"/>
        </w:rPr>
        <w:t> </w:t>
      </w:r>
      <w:r>
        <w:rPr>
          <w:spacing w:val="-6"/>
        </w:rPr>
        <w:t>ensure</w:t>
      </w:r>
      <w:r>
        <w:rPr>
          <w:spacing w:val="-8"/>
        </w:rPr>
        <w:t> </w:t>
      </w:r>
      <w:r>
        <w:rPr>
          <w:spacing w:val="-6"/>
        </w:rPr>
        <w:t>justiciability,</w:t>
      </w:r>
      <w:r>
        <w:rPr>
          <w:spacing w:val="-8"/>
        </w:rPr>
        <w:t> </w:t>
      </w:r>
      <w:r>
        <w:rPr>
          <w:spacing w:val="-6"/>
        </w:rPr>
        <w:t>a</w:t>
      </w:r>
      <w:r>
        <w:rPr>
          <w:spacing w:val="-7"/>
        </w:rPr>
        <w:t> </w:t>
      </w:r>
      <w:r>
        <w:rPr>
          <w:spacing w:val="-6"/>
        </w:rPr>
        <w:t>redressal</w:t>
      </w:r>
      <w:r>
        <w:rPr>
          <w:spacing w:val="-8"/>
        </w:rPr>
        <w:t> </w:t>
      </w:r>
      <w:r>
        <w:rPr>
          <w:spacing w:val="-6"/>
        </w:rPr>
        <w:t>mechanism</w:t>
      </w:r>
      <w:r>
        <w:rPr>
          <w:spacing w:val="-8"/>
        </w:rPr>
        <w:t> </w:t>
      </w:r>
      <w:r>
        <w:rPr>
          <w:spacing w:val="-6"/>
        </w:rPr>
        <w:t>should</w:t>
      </w:r>
      <w:r>
        <w:rPr>
          <w:spacing w:val="-8"/>
        </w:rPr>
        <w:t> </w:t>
      </w:r>
      <w:r>
        <w:rPr>
          <w:spacing w:val="-6"/>
        </w:rPr>
        <w:t>be </w:t>
      </w:r>
      <w:r>
        <w:rPr>
          <w:spacing w:val="-10"/>
        </w:rPr>
        <w:t>outlined</w:t>
      </w:r>
      <w:r>
        <w:rPr/>
        <w:t> </w:t>
      </w:r>
      <w:r>
        <w:rPr>
          <w:spacing w:val="-10"/>
        </w:rPr>
        <w:t>and</w:t>
      </w:r>
      <w:r>
        <w:rPr/>
        <w:t> </w:t>
      </w:r>
      <w:r>
        <w:rPr>
          <w:spacing w:val="-10"/>
        </w:rPr>
        <w:t>an</w:t>
      </w:r>
      <w:r>
        <w:rPr/>
        <w:t> </w:t>
      </w:r>
      <w:r>
        <w:rPr>
          <w:spacing w:val="-10"/>
        </w:rPr>
        <w:t>appropriate</w:t>
      </w:r>
      <w:r>
        <w:rPr/>
        <w:t> </w:t>
      </w:r>
      <w:r>
        <w:rPr>
          <w:spacing w:val="-10"/>
        </w:rPr>
        <w:t>procedure</w:t>
      </w:r>
      <w:r>
        <w:rPr/>
        <w:t> </w:t>
      </w:r>
      <w:r>
        <w:rPr>
          <w:spacing w:val="-10"/>
        </w:rPr>
        <w:t>must</w:t>
      </w:r>
      <w:r>
        <w:rPr/>
        <w:t> </w:t>
      </w:r>
      <w:r>
        <w:rPr>
          <w:spacing w:val="-10"/>
        </w:rPr>
        <w:t>be</w:t>
      </w:r>
      <w:r>
        <w:rPr/>
        <w:t> </w:t>
      </w:r>
      <w:r>
        <w:rPr>
          <w:spacing w:val="-10"/>
        </w:rPr>
        <w:t>set</w:t>
      </w:r>
      <w:r>
        <w:rPr/>
        <w:t> </w:t>
      </w:r>
      <w:r>
        <w:rPr>
          <w:spacing w:val="-10"/>
        </w:rPr>
        <w:t>in</w:t>
      </w:r>
      <w:r>
        <w:rPr/>
        <w:t> </w:t>
      </w:r>
      <w:r>
        <w:rPr>
          <w:spacing w:val="-10"/>
        </w:rPr>
        <w:t>place </w:t>
      </w:r>
      <w:r>
        <w:rPr>
          <w:spacing w:val="-2"/>
        </w:rPr>
        <w:t>for</w:t>
      </w:r>
      <w:r>
        <w:rPr>
          <w:spacing w:val="-12"/>
        </w:rPr>
        <w:t> </w:t>
      </w:r>
      <w:r>
        <w:rPr>
          <w:spacing w:val="-2"/>
        </w:rPr>
        <w:t>students</w:t>
      </w:r>
      <w:r>
        <w:rPr>
          <w:spacing w:val="-12"/>
        </w:rPr>
        <w:t> </w:t>
      </w:r>
      <w:r>
        <w:rPr>
          <w:spacing w:val="-2"/>
        </w:rPr>
        <w:t>or</w:t>
      </w:r>
      <w:r>
        <w:rPr>
          <w:spacing w:val="-12"/>
        </w:rPr>
        <w:t> </w:t>
      </w:r>
      <w:r>
        <w:rPr>
          <w:spacing w:val="-2"/>
        </w:rPr>
        <w:t>parents</w:t>
      </w:r>
      <w:r>
        <w:rPr>
          <w:spacing w:val="-11"/>
        </w:rPr>
        <w:t> </w:t>
      </w:r>
      <w:r>
        <w:rPr>
          <w:spacing w:val="-2"/>
        </w:rPr>
        <w:t>in</w:t>
      </w:r>
      <w:r>
        <w:rPr>
          <w:spacing w:val="-12"/>
        </w:rPr>
        <w:t> </w:t>
      </w:r>
      <w:r>
        <w:rPr>
          <w:spacing w:val="-2"/>
        </w:rPr>
        <w:t>case</w:t>
      </w:r>
      <w:r>
        <w:rPr>
          <w:spacing w:val="-12"/>
        </w:rPr>
        <w:t> </w:t>
      </w:r>
      <w:r>
        <w:rPr>
          <w:spacing w:val="-2"/>
        </w:rPr>
        <w:t>the</w:t>
      </w:r>
      <w:r>
        <w:rPr>
          <w:spacing w:val="-12"/>
        </w:rPr>
        <w:t> </w:t>
      </w:r>
      <w:r>
        <w:rPr>
          <w:spacing w:val="-2"/>
        </w:rPr>
        <w:t>right</w:t>
      </w:r>
      <w:r>
        <w:rPr>
          <w:spacing w:val="-11"/>
        </w:rPr>
        <w:t> </w:t>
      </w:r>
      <w:r>
        <w:rPr>
          <w:spacing w:val="-2"/>
        </w:rPr>
        <w:t>is</w:t>
      </w:r>
      <w:r>
        <w:rPr>
          <w:spacing w:val="-12"/>
        </w:rPr>
        <w:t> </w:t>
      </w:r>
      <w:r>
        <w:rPr>
          <w:spacing w:val="-2"/>
        </w:rPr>
        <w:t>not</w:t>
      </w:r>
      <w:r>
        <w:rPr>
          <w:spacing w:val="-12"/>
        </w:rPr>
        <w:t> </w:t>
      </w:r>
      <w:r>
        <w:rPr>
          <w:spacing w:val="-2"/>
        </w:rPr>
        <w:t>upheld.</w:t>
      </w:r>
    </w:p>
    <w:p>
      <w:pPr>
        <w:pStyle w:val="Heading6"/>
        <w:numPr>
          <w:ilvl w:val="0"/>
          <w:numId w:val="7"/>
        </w:numPr>
        <w:tabs>
          <w:tab w:pos="1405" w:val="left" w:leader="none"/>
        </w:tabs>
        <w:spacing w:line="240" w:lineRule="auto" w:before="184" w:after="0"/>
        <w:ind w:left="1405" w:right="0" w:hanging="325"/>
        <w:jc w:val="left"/>
      </w:pPr>
      <w:r>
        <w:rPr>
          <w:color w:val="2E614A"/>
          <w:w w:val="90"/>
        </w:rPr>
        <w:t>Universal</w:t>
      </w:r>
      <w:r>
        <w:rPr>
          <w:color w:val="2E614A"/>
          <w:spacing w:val="-1"/>
        </w:rPr>
        <w:t> </w:t>
      </w:r>
      <w:r>
        <w:rPr>
          <w:color w:val="2E614A"/>
          <w:spacing w:val="-2"/>
          <w:w w:val="95"/>
        </w:rPr>
        <w:t>Schooling</w:t>
      </w:r>
    </w:p>
    <w:p>
      <w:pPr>
        <w:pStyle w:val="BodyText"/>
        <w:spacing w:line="266" w:lineRule="auto" w:before="185"/>
        <w:ind w:left="1080"/>
        <w:jc w:val="both"/>
      </w:pPr>
      <w:r>
        <w:rPr>
          <w:w w:val="90"/>
        </w:rPr>
        <w:t>School education must be provided to all.</w:t>
      </w:r>
      <w:r>
        <w:rPr>
          <w:spacing w:val="-9"/>
          <w:w w:val="90"/>
        </w:rPr>
        <w:t> </w:t>
      </w:r>
      <w:r>
        <w:rPr>
          <w:w w:val="90"/>
        </w:rPr>
        <w:t>This </w:t>
      </w:r>
      <w:r>
        <w:rPr>
          <w:w w:val="90"/>
        </w:rPr>
        <w:t>necessarily </w:t>
      </w:r>
      <w:r>
        <w:rPr>
          <w:spacing w:val="-6"/>
        </w:rPr>
        <w:t>also requires that children of the disadvantaged, landless </w:t>
      </w:r>
      <w:r>
        <w:rPr/>
        <w:t>and minority communities must also be integrated, along</w:t>
      </w:r>
      <w:r>
        <w:rPr>
          <w:spacing w:val="-4"/>
        </w:rPr>
        <w:t> </w:t>
      </w:r>
      <w:r>
        <w:rPr/>
        <w:t>with</w:t>
      </w:r>
      <w:r>
        <w:rPr>
          <w:spacing w:val="-4"/>
        </w:rPr>
        <w:t> </w:t>
      </w:r>
      <w:r>
        <w:rPr/>
        <w:t>children</w:t>
      </w:r>
      <w:r>
        <w:rPr>
          <w:spacing w:val="-4"/>
        </w:rPr>
        <w:t> </w:t>
      </w:r>
      <w:r>
        <w:rPr/>
        <w:t>with</w:t>
      </w:r>
      <w:r>
        <w:rPr>
          <w:spacing w:val="-4"/>
        </w:rPr>
        <w:t> </w:t>
      </w:r>
      <w:r>
        <w:rPr/>
        <w:t>disabilities</w:t>
      </w:r>
      <w:r>
        <w:rPr>
          <w:spacing w:val="-4"/>
        </w:rPr>
        <w:t> </w:t>
      </w:r>
      <w:r>
        <w:rPr/>
        <w:t>or</w:t>
      </w:r>
      <w:r>
        <w:rPr>
          <w:spacing w:val="-4"/>
        </w:rPr>
        <w:t> </w:t>
      </w:r>
      <w:r>
        <w:rPr/>
        <w:t>special</w:t>
      </w:r>
      <w:r>
        <w:rPr>
          <w:spacing w:val="-4"/>
        </w:rPr>
        <w:t> </w:t>
      </w:r>
      <w:r>
        <w:rPr/>
        <w:t>needs. There should be no distinction made in terms of the type of schooling provided within the government system for children from different social, economic and cultural backgrounds. The model bill has the potential of creating a parallel and discriminatory </w:t>
      </w:r>
      <w:r>
        <w:rPr>
          <w:spacing w:val="-4"/>
        </w:rPr>
        <w:t>system</w:t>
      </w:r>
      <w:r>
        <w:rPr>
          <w:spacing w:val="-5"/>
        </w:rPr>
        <w:t> </w:t>
      </w:r>
      <w:r>
        <w:rPr>
          <w:spacing w:val="-4"/>
        </w:rPr>
        <w:t>of</w:t>
      </w:r>
      <w:r>
        <w:rPr>
          <w:spacing w:val="-5"/>
        </w:rPr>
        <w:t> </w:t>
      </w:r>
      <w:r>
        <w:rPr>
          <w:spacing w:val="-4"/>
        </w:rPr>
        <w:t>schooling</w:t>
      </w:r>
      <w:r>
        <w:rPr>
          <w:spacing w:val="-5"/>
        </w:rPr>
        <w:t> </w:t>
      </w:r>
      <w:r>
        <w:rPr>
          <w:spacing w:val="-4"/>
        </w:rPr>
        <w:t>which</w:t>
      </w:r>
      <w:r>
        <w:rPr>
          <w:spacing w:val="-5"/>
        </w:rPr>
        <w:t> </w:t>
      </w:r>
      <w:r>
        <w:rPr>
          <w:spacing w:val="-4"/>
        </w:rPr>
        <w:t>can</w:t>
      </w:r>
      <w:r>
        <w:rPr>
          <w:spacing w:val="-5"/>
        </w:rPr>
        <w:t> </w:t>
      </w:r>
      <w:r>
        <w:rPr>
          <w:spacing w:val="-4"/>
        </w:rPr>
        <w:t>result</w:t>
      </w:r>
      <w:r>
        <w:rPr>
          <w:spacing w:val="-5"/>
        </w:rPr>
        <w:t> </w:t>
      </w:r>
      <w:r>
        <w:rPr>
          <w:spacing w:val="-4"/>
        </w:rPr>
        <w:t>in</w:t>
      </w:r>
      <w:r>
        <w:rPr>
          <w:spacing w:val="-5"/>
        </w:rPr>
        <w:t> </w:t>
      </w:r>
      <w:r>
        <w:rPr>
          <w:spacing w:val="-4"/>
        </w:rPr>
        <w:t>stratification</w:t>
      </w:r>
      <w:r>
        <w:rPr>
          <w:spacing w:val="-5"/>
        </w:rPr>
        <w:t> </w:t>
      </w:r>
      <w:r>
        <w:rPr>
          <w:spacing w:val="-4"/>
        </w:rPr>
        <w:t>of </w:t>
      </w:r>
      <w:r>
        <w:rPr/>
        <w:t>the</w:t>
      </w:r>
      <w:r>
        <w:rPr>
          <w:spacing w:val="-13"/>
        </w:rPr>
        <w:t> </w:t>
      </w:r>
      <w:r>
        <w:rPr/>
        <w:t>education</w:t>
      </w:r>
      <w:r>
        <w:rPr>
          <w:spacing w:val="-13"/>
        </w:rPr>
        <w:t> </w:t>
      </w:r>
      <w:r>
        <w:rPr/>
        <w:t>system</w:t>
      </w:r>
      <w:r>
        <w:rPr>
          <w:spacing w:val="-13"/>
        </w:rPr>
        <w:t> </w:t>
      </w:r>
      <w:r>
        <w:rPr/>
        <w:t>for</w:t>
      </w:r>
      <w:r>
        <w:rPr>
          <w:spacing w:val="-13"/>
        </w:rPr>
        <w:t> </w:t>
      </w:r>
      <w:r>
        <w:rPr/>
        <w:t>children</w:t>
      </w:r>
      <w:r>
        <w:rPr>
          <w:spacing w:val="-13"/>
        </w:rPr>
        <w:t> </w:t>
      </w:r>
      <w:r>
        <w:rPr/>
        <w:t>from</w:t>
      </w:r>
      <w:r>
        <w:rPr>
          <w:spacing w:val="-13"/>
        </w:rPr>
        <w:t> </w:t>
      </w:r>
      <w:r>
        <w:rPr/>
        <w:t>disadvantaged </w:t>
      </w:r>
      <w:r>
        <w:rPr>
          <w:spacing w:val="-4"/>
        </w:rPr>
        <w:t>communities</w:t>
      </w:r>
      <w:r>
        <w:rPr>
          <w:spacing w:val="-7"/>
        </w:rPr>
        <w:t> </w:t>
      </w:r>
      <w:r>
        <w:rPr>
          <w:spacing w:val="-4"/>
        </w:rPr>
        <w:t>and</w:t>
      </w:r>
      <w:r>
        <w:rPr>
          <w:spacing w:val="-7"/>
        </w:rPr>
        <w:t> </w:t>
      </w:r>
      <w:r>
        <w:rPr>
          <w:spacing w:val="-4"/>
        </w:rPr>
        <w:t>backgrounds,</w:t>
      </w:r>
      <w:r>
        <w:rPr>
          <w:spacing w:val="-7"/>
        </w:rPr>
        <w:t> </w:t>
      </w:r>
      <w:r>
        <w:rPr>
          <w:spacing w:val="-4"/>
        </w:rPr>
        <w:t>because</w:t>
      </w:r>
      <w:r>
        <w:rPr>
          <w:spacing w:val="-7"/>
        </w:rPr>
        <w:t> </w:t>
      </w:r>
      <w:r>
        <w:rPr>
          <w:spacing w:val="-4"/>
        </w:rPr>
        <w:t>it</w:t>
      </w:r>
      <w:r>
        <w:rPr>
          <w:spacing w:val="-7"/>
        </w:rPr>
        <w:t> </w:t>
      </w:r>
      <w:r>
        <w:rPr>
          <w:spacing w:val="-4"/>
        </w:rPr>
        <w:t>requires</w:t>
      </w:r>
      <w:r>
        <w:rPr>
          <w:spacing w:val="-7"/>
        </w:rPr>
        <w:t> </w:t>
      </w:r>
      <w:r>
        <w:rPr>
          <w:spacing w:val="-4"/>
        </w:rPr>
        <w:t>only </w:t>
      </w:r>
      <w:r>
        <w:rPr>
          <w:spacing w:val="-2"/>
        </w:rPr>
        <w:t>provision</w:t>
      </w:r>
      <w:r>
        <w:rPr>
          <w:spacing w:val="-12"/>
        </w:rPr>
        <w:t> </w:t>
      </w:r>
      <w:r>
        <w:rPr>
          <w:spacing w:val="-2"/>
        </w:rPr>
        <w:t>of</w:t>
      </w:r>
      <w:r>
        <w:rPr>
          <w:spacing w:val="-12"/>
        </w:rPr>
        <w:t> </w:t>
      </w:r>
      <w:r>
        <w:rPr>
          <w:spacing w:val="-2"/>
        </w:rPr>
        <w:t>non-formal</w:t>
      </w:r>
      <w:r>
        <w:rPr>
          <w:spacing w:val="-12"/>
        </w:rPr>
        <w:t> </w:t>
      </w:r>
      <w:r>
        <w:rPr>
          <w:spacing w:val="-2"/>
        </w:rPr>
        <w:t>education</w:t>
      </w:r>
      <w:r>
        <w:rPr>
          <w:spacing w:val="-11"/>
        </w:rPr>
        <w:t> </w:t>
      </w:r>
      <w:r>
        <w:rPr>
          <w:spacing w:val="-2"/>
        </w:rPr>
        <w:t>in</w:t>
      </w:r>
      <w:r>
        <w:rPr>
          <w:spacing w:val="-12"/>
        </w:rPr>
        <w:t> </w:t>
      </w:r>
      <w:r>
        <w:rPr>
          <w:spacing w:val="-2"/>
        </w:rPr>
        <w:t>such</w:t>
      </w:r>
      <w:r>
        <w:rPr>
          <w:spacing w:val="-12"/>
        </w:rPr>
        <w:t> </w:t>
      </w:r>
      <w:r>
        <w:rPr>
          <w:spacing w:val="-2"/>
        </w:rPr>
        <w:t>cases,</w:t>
      </w:r>
      <w:r>
        <w:rPr>
          <w:spacing w:val="-12"/>
        </w:rPr>
        <w:t> </w:t>
      </w:r>
      <w:r>
        <w:rPr>
          <w:spacing w:val="-2"/>
        </w:rPr>
        <w:t>rather </w:t>
      </w:r>
      <w:r>
        <w:rPr/>
        <w:t>than mandating the provision of regular schooling.</w:t>
      </w:r>
    </w:p>
    <w:p>
      <w:pPr>
        <w:pStyle w:val="BodyText"/>
        <w:spacing w:before="16"/>
      </w:pPr>
    </w:p>
    <w:p>
      <w:pPr>
        <w:pStyle w:val="BodyText"/>
        <w:spacing w:line="266" w:lineRule="auto"/>
        <w:ind w:left="1080" w:right="1"/>
        <w:jc w:val="both"/>
      </w:pPr>
      <w:r>
        <w:rPr/>
        <w:t>Obviously, in all cases, the school system should </w:t>
      </w:r>
      <w:r>
        <w:rPr/>
        <w:t>be </w:t>
      </w:r>
      <w:r>
        <w:rPr>
          <w:spacing w:val="-2"/>
        </w:rPr>
        <w:t>flexible</w:t>
      </w:r>
      <w:r>
        <w:rPr>
          <w:spacing w:val="-11"/>
        </w:rPr>
        <w:t> </w:t>
      </w:r>
      <w:r>
        <w:rPr>
          <w:spacing w:val="-2"/>
        </w:rPr>
        <w:t>enough</w:t>
      </w:r>
      <w:r>
        <w:rPr>
          <w:spacing w:val="-11"/>
        </w:rPr>
        <w:t> </w:t>
      </w:r>
      <w:r>
        <w:rPr>
          <w:spacing w:val="-2"/>
        </w:rPr>
        <w:t>to</w:t>
      </w:r>
      <w:r>
        <w:rPr>
          <w:spacing w:val="-11"/>
        </w:rPr>
        <w:t> </w:t>
      </w:r>
      <w:r>
        <w:rPr>
          <w:spacing w:val="-2"/>
        </w:rPr>
        <w:t>cater</w:t>
      </w:r>
      <w:r>
        <w:rPr>
          <w:spacing w:val="-11"/>
        </w:rPr>
        <w:t> </w:t>
      </w:r>
      <w:r>
        <w:rPr>
          <w:spacing w:val="-2"/>
        </w:rPr>
        <w:t>to</w:t>
      </w:r>
      <w:r>
        <w:rPr>
          <w:spacing w:val="-11"/>
        </w:rPr>
        <w:t> </w:t>
      </w:r>
      <w:r>
        <w:rPr>
          <w:spacing w:val="-2"/>
        </w:rPr>
        <w:t>particular</w:t>
      </w:r>
      <w:r>
        <w:rPr>
          <w:spacing w:val="-11"/>
        </w:rPr>
        <w:t> </w:t>
      </w:r>
      <w:r>
        <w:rPr>
          <w:spacing w:val="-2"/>
        </w:rPr>
        <w:t>needs</w:t>
      </w:r>
      <w:r>
        <w:rPr>
          <w:spacing w:val="-11"/>
        </w:rPr>
        <w:t> </w:t>
      </w:r>
      <w:r>
        <w:rPr>
          <w:spacing w:val="-2"/>
        </w:rPr>
        <w:t>of</w:t>
      </w:r>
      <w:r>
        <w:rPr>
          <w:spacing w:val="-11"/>
        </w:rPr>
        <w:t> </w:t>
      </w:r>
      <w:r>
        <w:rPr>
          <w:spacing w:val="-2"/>
        </w:rPr>
        <w:t>students.</w:t>
      </w:r>
    </w:p>
    <w:p>
      <w:pPr>
        <w:pStyle w:val="BodyText"/>
        <w:spacing w:before="25"/>
      </w:pPr>
    </w:p>
    <w:p>
      <w:pPr>
        <w:pStyle w:val="BodyText"/>
        <w:spacing w:line="266" w:lineRule="auto"/>
        <w:ind w:left="1080" w:right="1"/>
        <w:jc w:val="both"/>
      </w:pPr>
      <w:r>
        <w:rPr/>
        <w:t>NKC</w:t>
      </w:r>
      <w:r>
        <w:rPr>
          <w:spacing w:val="-1"/>
        </w:rPr>
        <w:t> </w:t>
      </w:r>
      <w:r>
        <w:rPr/>
        <w:t>can</w:t>
      </w:r>
      <w:r>
        <w:rPr>
          <w:spacing w:val="-1"/>
        </w:rPr>
        <w:t> </w:t>
      </w:r>
      <w:r>
        <w:rPr/>
        <w:t>offer</w:t>
      </w:r>
      <w:r>
        <w:rPr>
          <w:spacing w:val="-1"/>
        </w:rPr>
        <w:t> </w:t>
      </w:r>
      <w:r>
        <w:rPr/>
        <w:t>detailed</w:t>
      </w:r>
      <w:r>
        <w:rPr>
          <w:spacing w:val="-1"/>
        </w:rPr>
        <w:t> </w:t>
      </w:r>
      <w:r>
        <w:rPr/>
        <w:t>explanations</w:t>
      </w:r>
      <w:r>
        <w:rPr>
          <w:spacing w:val="-1"/>
        </w:rPr>
        <w:t> </w:t>
      </w:r>
      <w:r>
        <w:rPr/>
        <w:t>on</w:t>
      </w:r>
      <w:r>
        <w:rPr>
          <w:spacing w:val="-1"/>
        </w:rPr>
        <w:t> </w:t>
      </w:r>
      <w:r>
        <w:rPr/>
        <w:t>these</w:t>
      </w:r>
      <w:r>
        <w:rPr>
          <w:spacing w:val="-1"/>
        </w:rPr>
        <w:t> </w:t>
      </w:r>
      <w:r>
        <w:rPr/>
        <w:t>points. Continuing</w:t>
      </w:r>
      <w:r>
        <w:rPr>
          <w:spacing w:val="4"/>
        </w:rPr>
        <w:t> </w:t>
      </w:r>
      <w:r>
        <w:rPr/>
        <w:t>to</w:t>
      </w:r>
      <w:r>
        <w:rPr>
          <w:spacing w:val="5"/>
        </w:rPr>
        <w:t> </w:t>
      </w:r>
      <w:r>
        <w:rPr/>
        <w:t>consult</w:t>
      </w:r>
      <w:r>
        <w:rPr>
          <w:spacing w:val="4"/>
        </w:rPr>
        <w:t> </w:t>
      </w:r>
      <w:r>
        <w:rPr/>
        <w:t>with</w:t>
      </w:r>
      <w:r>
        <w:rPr>
          <w:spacing w:val="5"/>
        </w:rPr>
        <w:t> </w:t>
      </w:r>
      <w:r>
        <w:rPr/>
        <w:t>stakeholders</w:t>
      </w:r>
      <w:r>
        <w:rPr>
          <w:spacing w:val="4"/>
        </w:rPr>
        <w:t> </w:t>
      </w:r>
      <w:r>
        <w:rPr/>
        <w:t>and</w:t>
      </w:r>
      <w:r>
        <w:rPr>
          <w:spacing w:val="5"/>
        </w:rPr>
        <w:t> </w:t>
      </w:r>
      <w:r>
        <w:rPr>
          <w:spacing w:val="-5"/>
        </w:rPr>
        <w:t>examine</w:t>
      </w:r>
    </w:p>
    <w:p>
      <w:pPr>
        <w:pStyle w:val="BodyText"/>
        <w:spacing w:line="266" w:lineRule="auto" w:before="77"/>
        <w:ind w:left="319" w:right="1077"/>
        <w:jc w:val="both"/>
      </w:pPr>
      <w:r>
        <w:rPr/>
        <w:br w:type="column"/>
      </w:r>
      <w:r>
        <w:rPr/>
        <w:t>other issues in relation to school education, it </w:t>
      </w:r>
      <w:r>
        <w:rPr/>
        <w:t>is focussing in particular on the questions of how to ensure</w:t>
      </w:r>
      <w:r>
        <w:rPr>
          <w:spacing w:val="-14"/>
        </w:rPr>
        <w:t> </w:t>
      </w:r>
      <w:r>
        <w:rPr/>
        <w:t>better</w:t>
      </w:r>
      <w:r>
        <w:rPr>
          <w:spacing w:val="-14"/>
        </w:rPr>
        <w:t> </w:t>
      </w:r>
      <w:r>
        <w:rPr/>
        <w:t>quality</w:t>
      </w:r>
      <w:r>
        <w:rPr>
          <w:spacing w:val="-14"/>
        </w:rPr>
        <w:t> </w:t>
      </w:r>
      <w:r>
        <w:rPr/>
        <w:t>across</w:t>
      </w:r>
      <w:r>
        <w:rPr>
          <w:spacing w:val="-13"/>
        </w:rPr>
        <w:t> </w:t>
      </w:r>
      <w:r>
        <w:rPr/>
        <w:t>the</w:t>
      </w:r>
      <w:r>
        <w:rPr>
          <w:spacing w:val="-14"/>
        </w:rPr>
        <w:t> </w:t>
      </w:r>
      <w:r>
        <w:rPr/>
        <w:t>board;</w:t>
      </w:r>
      <w:r>
        <w:rPr>
          <w:spacing w:val="-14"/>
        </w:rPr>
        <w:t> </w:t>
      </w:r>
      <w:r>
        <w:rPr/>
        <w:t>the</w:t>
      </w:r>
      <w:r>
        <w:rPr>
          <w:spacing w:val="-14"/>
        </w:rPr>
        <w:t> </w:t>
      </w:r>
      <w:r>
        <w:rPr/>
        <w:t>institutional structures</w:t>
      </w:r>
      <w:r>
        <w:rPr>
          <w:spacing w:val="-1"/>
        </w:rPr>
        <w:t> </w:t>
      </w:r>
      <w:r>
        <w:rPr/>
        <w:t>and</w:t>
      </w:r>
      <w:r>
        <w:rPr>
          <w:spacing w:val="-1"/>
        </w:rPr>
        <w:t> </w:t>
      </w:r>
      <w:r>
        <w:rPr/>
        <w:t>forms</w:t>
      </w:r>
      <w:r>
        <w:rPr>
          <w:spacing w:val="-1"/>
        </w:rPr>
        <w:t> </w:t>
      </w:r>
      <w:r>
        <w:rPr/>
        <w:t>of</w:t>
      </w:r>
      <w:r>
        <w:rPr>
          <w:spacing w:val="-1"/>
        </w:rPr>
        <w:t> </w:t>
      </w:r>
      <w:r>
        <w:rPr/>
        <w:t>control</w:t>
      </w:r>
      <w:r>
        <w:rPr>
          <w:spacing w:val="-1"/>
        </w:rPr>
        <w:t> </w:t>
      </w:r>
      <w:r>
        <w:rPr/>
        <w:t>by</w:t>
      </w:r>
      <w:r>
        <w:rPr>
          <w:spacing w:val="-1"/>
        </w:rPr>
        <w:t> </w:t>
      </w:r>
      <w:r>
        <w:rPr/>
        <w:t>local</w:t>
      </w:r>
      <w:r>
        <w:rPr>
          <w:spacing w:val="-1"/>
        </w:rPr>
        <w:t> </w:t>
      </w:r>
      <w:r>
        <w:rPr/>
        <w:t>communities </w:t>
      </w:r>
      <w:r>
        <w:rPr>
          <w:spacing w:val="-2"/>
        </w:rPr>
        <w:t>that</w:t>
      </w:r>
      <w:r>
        <w:rPr>
          <w:spacing w:val="-10"/>
        </w:rPr>
        <w:t> </w:t>
      </w:r>
      <w:r>
        <w:rPr>
          <w:spacing w:val="-2"/>
        </w:rPr>
        <w:t>could</w:t>
      </w:r>
      <w:r>
        <w:rPr>
          <w:spacing w:val="-10"/>
        </w:rPr>
        <w:t> </w:t>
      </w:r>
      <w:r>
        <w:rPr>
          <w:spacing w:val="-2"/>
        </w:rPr>
        <w:t>contribute</w:t>
      </w:r>
      <w:r>
        <w:rPr>
          <w:spacing w:val="-10"/>
        </w:rPr>
        <w:t> </w:t>
      </w:r>
      <w:r>
        <w:rPr>
          <w:spacing w:val="-2"/>
        </w:rPr>
        <w:t>to</w:t>
      </w:r>
      <w:r>
        <w:rPr>
          <w:spacing w:val="-10"/>
        </w:rPr>
        <w:t> </w:t>
      </w:r>
      <w:r>
        <w:rPr>
          <w:spacing w:val="-2"/>
        </w:rPr>
        <w:t>improved</w:t>
      </w:r>
      <w:r>
        <w:rPr>
          <w:spacing w:val="-10"/>
        </w:rPr>
        <w:t> </w:t>
      </w:r>
      <w:r>
        <w:rPr>
          <w:spacing w:val="-2"/>
        </w:rPr>
        <w:t>quality</w:t>
      </w:r>
      <w:r>
        <w:rPr>
          <w:spacing w:val="-10"/>
        </w:rPr>
        <w:t> </w:t>
      </w:r>
      <w:r>
        <w:rPr>
          <w:spacing w:val="-2"/>
        </w:rPr>
        <w:t>of</w:t>
      </w:r>
      <w:r>
        <w:rPr>
          <w:spacing w:val="-10"/>
        </w:rPr>
        <w:t> </w:t>
      </w:r>
      <w:r>
        <w:rPr>
          <w:spacing w:val="-2"/>
        </w:rPr>
        <w:t>schooling; </w:t>
      </w:r>
      <w:r>
        <w:rPr>
          <w:spacing w:val="-4"/>
        </w:rPr>
        <w:t>issues</w:t>
      </w:r>
      <w:r>
        <w:rPr>
          <w:spacing w:val="-10"/>
        </w:rPr>
        <w:t> </w:t>
      </w:r>
      <w:r>
        <w:rPr>
          <w:spacing w:val="-4"/>
        </w:rPr>
        <w:t>related</w:t>
      </w:r>
      <w:r>
        <w:rPr>
          <w:spacing w:val="-10"/>
        </w:rPr>
        <w:t> </w:t>
      </w:r>
      <w:r>
        <w:rPr>
          <w:spacing w:val="-4"/>
        </w:rPr>
        <w:t>to</w:t>
      </w:r>
      <w:r>
        <w:rPr>
          <w:spacing w:val="-9"/>
        </w:rPr>
        <w:t> </w:t>
      </w:r>
      <w:r>
        <w:rPr>
          <w:spacing w:val="-4"/>
        </w:rPr>
        <w:t>common</w:t>
      </w:r>
      <w:r>
        <w:rPr>
          <w:spacing w:val="-10"/>
        </w:rPr>
        <w:t> </w:t>
      </w:r>
      <w:r>
        <w:rPr>
          <w:spacing w:val="-4"/>
        </w:rPr>
        <w:t>schooling</w:t>
      </w:r>
      <w:r>
        <w:rPr>
          <w:spacing w:val="-10"/>
        </w:rPr>
        <w:t> </w:t>
      </w:r>
      <w:r>
        <w:rPr>
          <w:spacing w:val="-4"/>
        </w:rPr>
        <w:t>and</w:t>
      </w:r>
      <w:r>
        <w:rPr>
          <w:spacing w:val="-9"/>
        </w:rPr>
        <w:t> </w:t>
      </w:r>
      <w:r>
        <w:rPr>
          <w:spacing w:val="-4"/>
        </w:rPr>
        <w:t>neighbourhood </w:t>
      </w:r>
      <w:r>
        <w:rPr/>
        <w:t>schools; ensuring adequate quantity and quality of </w:t>
      </w:r>
      <w:r>
        <w:rPr>
          <w:spacing w:val="-4"/>
        </w:rPr>
        <w:t>school</w:t>
      </w:r>
      <w:r>
        <w:rPr>
          <w:spacing w:val="-6"/>
        </w:rPr>
        <w:t> </w:t>
      </w:r>
      <w:r>
        <w:rPr>
          <w:spacing w:val="-4"/>
        </w:rPr>
        <w:t>teachers,</w:t>
      </w:r>
      <w:r>
        <w:rPr>
          <w:spacing w:val="-6"/>
        </w:rPr>
        <w:t> </w:t>
      </w:r>
      <w:r>
        <w:rPr>
          <w:spacing w:val="-4"/>
        </w:rPr>
        <w:t>especially</w:t>
      </w:r>
      <w:r>
        <w:rPr>
          <w:spacing w:val="-6"/>
        </w:rPr>
        <w:t> </w:t>
      </w:r>
      <w:r>
        <w:rPr>
          <w:spacing w:val="-4"/>
        </w:rPr>
        <w:t>in</w:t>
      </w:r>
      <w:r>
        <w:rPr>
          <w:spacing w:val="-6"/>
        </w:rPr>
        <w:t> </w:t>
      </w:r>
      <w:r>
        <w:rPr>
          <w:spacing w:val="-4"/>
        </w:rPr>
        <w:t>specified</w:t>
      </w:r>
      <w:r>
        <w:rPr>
          <w:spacing w:val="-6"/>
        </w:rPr>
        <w:t> </w:t>
      </w:r>
      <w:r>
        <w:rPr>
          <w:spacing w:val="-4"/>
        </w:rPr>
        <w:t>areas.</w:t>
      </w:r>
      <w:r>
        <w:rPr>
          <w:spacing w:val="-6"/>
        </w:rPr>
        <w:t> </w:t>
      </w:r>
      <w:r>
        <w:rPr>
          <w:spacing w:val="-4"/>
        </w:rPr>
        <w:t>NKC</w:t>
      </w:r>
      <w:r>
        <w:rPr>
          <w:spacing w:val="-6"/>
        </w:rPr>
        <w:t> </w:t>
      </w:r>
      <w:r>
        <w:rPr>
          <w:spacing w:val="-4"/>
        </w:rPr>
        <w:t>will </w:t>
      </w:r>
      <w:r>
        <w:rPr/>
        <w:t>make a broader set of recommendations on school education in the near future.</w:t>
      </w:r>
    </w:p>
    <w:p>
      <w:pPr>
        <w:pStyle w:val="BodyText"/>
        <w:spacing w:line="266" w:lineRule="auto" w:before="252"/>
        <w:ind w:left="319" w:right="1077"/>
        <w:jc w:val="both"/>
        <w:rPr>
          <w:sz w:val="13"/>
        </w:rPr>
      </w:pPr>
      <w:r>
        <w:rPr/>
        <w:t>In a subsequent letter to the Prime Minister, </w:t>
      </w:r>
      <w:r>
        <w:rPr/>
        <w:t>NKC reiterated</w:t>
      </w:r>
      <w:r>
        <w:rPr>
          <w:spacing w:val="-14"/>
        </w:rPr>
        <w:t> </w:t>
      </w:r>
      <w:r>
        <w:rPr/>
        <w:t>that</w:t>
      </w:r>
      <w:r>
        <w:rPr>
          <w:spacing w:val="-14"/>
        </w:rPr>
        <w:t> </w:t>
      </w:r>
      <w:r>
        <w:rPr/>
        <w:t>the</w:t>
      </w:r>
      <w:r>
        <w:rPr>
          <w:spacing w:val="-14"/>
        </w:rPr>
        <w:t> </w:t>
      </w:r>
      <w:r>
        <w:rPr/>
        <w:t>proposed</w:t>
      </w:r>
      <w:r>
        <w:rPr>
          <w:spacing w:val="-13"/>
        </w:rPr>
        <w:t> </w:t>
      </w:r>
      <w:r>
        <w:rPr/>
        <w:t>central</w:t>
      </w:r>
      <w:r>
        <w:rPr>
          <w:spacing w:val="-14"/>
        </w:rPr>
        <w:t> </w:t>
      </w:r>
      <w:r>
        <w:rPr/>
        <w:t>legislation</w:t>
      </w:r>
      <w:r>
        <w:rPr>
          <w:spacing w:val="-14"/>
        </w:rPr>
        <w:t> </w:t>
      </w:r>
      <w:r>
        <w:rPr/>
        <w:t>on</w:t>
      </w:r>
      <w:r>
        <w:rPr>
          <w:spacing w:val="-14"/>
        </w:rPr>
        <w:t> </w:t>
      </w:r>
      <w:r>
        <w:rPr/>
        <w:t>RTE </w:t>
      </w:r>
      <w:r>
        <w:rPr>
          <w:spacing w:val="-2"/>
        </w:rPr>
        <w:t>must</w:t>
      </w:r>
      <w:r>
        <w:rPr>
          <w:spacing w:val="-10"/>
        </w:rPr>
        <w:t> </w:t>
      </w:r>
      <w:r>
        <w:rPr>
          <w:spacing w:val="-2"/>
        </w:rPr>
        <w:t>include</w:t>
      </w:r>
      <w:r>
        <w:rPr>
          <w:spacing w:val="-10"/>
        </w:rPr>
        <w:t> </w:t>
      </w:r>
      <w:r>
        <w:rPr>
          <w:spacing w:val="-2"/>
        </w:rPr>
        <w:t>a</w:t>
      </w:r>
      <w:r>
        <w:rPr>
          <w:spacing w:val="-9"/>
        </w:rPr>
        <w:t> </w:t>
      </w:r>
      <w:r>
        <w:rPr>
          <w:spacing w:val="-2"/>
        </w:rPr>
        <w:t>financial</w:t>
      </w:r>
      <w:r>
        <w:rPr>
          <w:spacing w:val="-10"/>
        </w:rPr>
        <w:t> </w:t>
      </w:r>
      <w:r>
        <w:rPr>
          <w:spacing w:val="-2"/>
        </w:rPr>
        <w:t>commitment</w:t>
      </w:r>
      <w:r>
        <w:rPr>
          <w:spacing w:val="-10"/>
        </w:rPr>
        <w:t> </w:t>
      </w:r>
      <w:r>
        <w:rPr>
          <w:spacing w:val="-2"/>
        </w:rPr>
        <w:t>on</w:t>
      </w:r>
      <w:r>
        <w:rPr>
          <w:spacing w:val="-10"/>
        </w:rPr>
        <w:t> </w:t>
      </w:r>
      <w:r>
        <w:rPr>
          <w:spacing w:val="-2"/>
        </w:rPr>
        <w:t>the</w:t>
      </w:r>
      <w:r>
        <w:rPr>
          <w:spacing w:val="-9"/>
        </w:rPr>
        <w:t> </w:t>
      </w:r>
      <w:r>
        <w:rPr>
          <w:spacing w:val="-2"/>
        </w:rPr>
        <w:t>part</w:t>
      </w:r>
      <w:r>
        <w:rPr>
          <w:spacing w:val="-9"/>
        </w:rPr>
        <w:t> </w:t>
      </w:r>
      <w:r>
        <w:rPr>
          <w:spacing w:val="-2"/>
        </w:rPr>
        <w:t>of</w:t>
      </w:r>
      <w:r>
        <w:rPr>
          <w:spacing w:val="-10"/>
        </w:rPr>
        <w:t> </w:t>
      </w:r>
      <w:r>
        <w:rPr>
          <w:spacing w:val="-2"/>
        </w:rPr>
        <w:t>the </w:t>
      </w:r>
      <w:r>
        <w:rPr/>
        <w:t>Central</w:t>
      </w:r>
      <w:r>
        <w:rPr>
          <w:spacing w:val="-5"/>
        </w:rPr>
        <w:t> </w:t>
      </w:r>
      <w:r>
        <w:rPr/>
        <w:t>Government.</w:t>
      </w:r>
      <w:r>
        <w:rPr>
          <w:spacing w:val="-5"/>
        </w:rPr>
        <w:t> </w:t>
      </w:r>
      <w:r>
        <w:rPr/>
        <w:t>NKC</w:t>
      </w:r>
      <w:r>
        <w:rPr>
          <w:spacing w:val="-5"/>
        </w:rPr>
        <w:t> </w:t>
      </w:r>
      <w:r>
        <w:rPr/>
        <w:t>believes</w:t>
      </w:r>
      <w:r>
        <w:rPr>
          <w:spacing w:val="-5"/>
        </w:rPr>
        <w:t> </w:t>
      </w:r>
      <w:r>
        <w:rPr/>
        <w:t>that</w:t>
      </w:r>
      <w:r>
        <w:rPr>
          <w:spacing w:val="-5"/>
        </w:rPr>
        <w:t> </w:t>
      </w:r>
      <w:r>
        <w:rPr/>
        <w:t>the</w:t>
      </w:r>
      <w:r>
        <w:rPr>
          <w:spacing w:val="-5"/>
        </w:rPr>
        <w:t> </w:t>
      </w:r>
      <w:r>
        <w:rPr/>
        <w:t>potential expenditure on this is probably less than has been estimated</w:t>
      </w:r>
      <w:r>
        <w:rPr>
          <w:spacing w:val="-14"/>
        </w:rPr>
        <w:t> </w:t>
      </w:r>
      <w:r>
        <w:rPr/>
        <w:t>earlier.</w:t>
      </w:r>
      <w:r>
        <w:rPr>
          <w:spacing w:val="-14"/>
        </w:rPr>
        <w:t> </w:t>
      </w:r>
      <w:r>
        <w:rPr/>
        <w:t>The</w:t>
      </w:r>
      <w:r>
        <w:rPr>
          <w:spacing w:val="-14"/>
        </w:rPr>
        <w:t> </w:t>
      </w:r>
      <w:r>
        <w:rPr/>
        <w:t>Kapil</w:t>
      </w:r>
      <w:r>
        <w:rPr>
          <w:spacing w:val="-13"/>
        </w:rPr>
        <w:t> </w:t>
      </w:r>
      <w:r>
        <w:rPr/>
        <w:t>Sibal</w:t>
      </w:r>
      <w:r>
        <w:rPr>
          <w:spacing w:val="-14"/>
        </w:rPr>
        <w:t> </w:t>
      </w:r>
      <w:r>
        <w:rPr/>
        <w:t>Committee</w:t>
      </w:r>
      <w:r>
        <w:rPr>
          <w:spacing w:val="-12"/>
        </w:rPr>
        <w:t> </w:t>
      </w:r>
      <w:r>
        <w:rPr/>
        <w:t>that</w:t>
      </w:r>
      <w:r>
        <w:rPr>
          <w:spacing w:val="-13"/>
        </w:rPr>
        <w:t> </w:t>
      </w:r>
      <w:r>
        <w:rPr/>
        <w:t>had </w:t>
      </w:r>
      <w:r>
        <w:rPr>
          <w:spacing w:val="-2"/>
        </w:rPr>
        <w:t>prepared</w:t>
      </w:r>
      <w:r>
        <w:rPr>
          <w:spacing w:val="-12"/>
        </w:rPr>
        <w:t> </w:t>
      </w:r>
      <w:r>
        <w:rPr>
          <w:spacing w:val="-2"/>
        </w:rPr>
        <w:t>the</w:t>
      </w:r>
      <w:r>
        <w:rPr>
          <w:spacing w:val="-12"/>
        </w:rPr>
        <w:t> </w:t>
      </w:r>
      <w:r>
        <w:rPr>
          <w:spacing w:val="-2"/>
        </w:rPr>
        <w:t>CABE</w:t>
      </w:r>
      <w:r>
        <w:rPr>
          <w:spacing w:val="-12"/>
        </w:rPr>
        <w:t> </w:t>
      </w:r>
      <w:r>
        <w:rPr>
          <w:spacing w:val="-2"/>
        </w:rPr>
        <w:t>draft</w:t>
      </w:r>
      <w:r>
        <w:rPr>
          <w:spacing w:val="-11"/>
        </w:rPr>
        <w:t> </w:t>
      </w:r>
      <w:r>
        <w:rPr>
          <w:spacing w:val="-2"/>
        </w:rPr>
        <w:t>had</w:t>
      </w:r>
      <w:r>
        <w:rPr>
          <w:spacing w:val="-12"/>
        </w:rPr>
        <w:t> </w:t>
      </w:r>
      <w:r>
        <w:rPr>
          <w:spacing w:val="-2"/>
        </w:rPr>
        <w:t>estimated</w:t>
      </w:r>
      <w:r>
        <w:rPr>
          <w:spacing w:val="-12"/>
        </w:rPr>
        <w:t> </w:t>
      </w:r>
      <w:r>
        <w:rPr>
          <w:spacing w:val="-2"/>
        </w:rPr>
        <w:t>an</w:t>
      </w:r>
      <w:r>
        <w:rPr>
          <w:spacing w:val="-12"/>
        </w:rPr>
        <w:t> </w:t>
      </w:r>
      <w:r>
        <w:rPr>
          <w:spacing w:val="-2"/>
        </w:rPr>
        <w:t>expenditure </w:t>
      </w:r>
      <w:r>
        <w:rPr/>
        <w:t>of </w:t>
      </w:r>
      <w:r>
        <w:rPr>
          <w:b/>
        </w:rPr>
        <w:t>Rs. 2,20,643 </w:t>
      </w:r>
      <w:r>
        <w:rPr/>
        <w:t>crore for the period 2008-2012. </w:t>
      </w:r>
      <w:r>
        <w:rPr>
          <w:spacing w:val="-2"/>
        </w:rPr>
        <w:t>However,</w:t>
      </w:r>
      <w:r>
        <w:rPr>
          <w:spacing w:val="-8"/>
        </w:rPr>
        <w:t> </w:t>
      </w:r>
      <w:r>
        <w:rPr>
          <w:spacing w:val="-2"/>
        </w:rPr>
        <w:t>this</w:t>
      </w:r>
      <w:r>
        <w:rPr>
          <w:spacing w:val="-8"/>
        </w:rPr>
        <w:t> </w:t>
      </w:r>
      <w:r>
        <w:rPr>
          <w:spacing w:val="-2"/>
        </w:rPr>
        <w:t>was</w:t>
      </w:r>
      <w:r>
        <w:rPr>
          <w:spacing w:val="-8"/>
        </w:rPr>
        <w:t> </w:t>
      </w:r>
      <w:r>
        <w:rPr>
          <w:spacing w:val="-2"/>
        </w:rPr>
        <w:t>based</w:t>
      </w:r>
      <w:r>
        <w:rPr>
          <w:spacing w:val="-8"/>
        </w:rPr>
        <w:t> </w:t>
      </w:r>
      <w:r>
        <w:rPr>
          <w:spacing w:val="-2"/>
        </w:rPr>
        <w:t>on</w:t>
      </w:r>
      <w:r>
        <w:rPr>
          <w:spacing w:val="-8"/>
        </w:rPr>
        <w:t> </w:t>
      </w:r>
      <w:r>
        <w:rPr>
          <w:spacing w:val="-2"/>
        </w:rPr>
        <w:t>population</w:t>
      </w:r>
      <w:r>
        <w:rPr>
          <w:spacing w:val="-8"/>
        </w:rPr>
        <w:t> </w:t>
      </w:r>
      <w:r>
        <w:rPr>
          <w:spacing w:val="-2"/>
        </w:rPr>
        <w:t>projections</w:t>
      </w:r>
      <w:r>
        <w:rPr>
          <w:spacing w:val="-8"/>
        </w:rPr>
        <w:t> </w:t>
      </w:r>
      <w:r>
        <w:rPr>
          <w:spacing w:val="-2"/>
        </w:rPr>
        <w:t>for </w:t>
      </w:r>
      <w:r>
        <w:rPr/>
        <w:t>the</w:t>
      </w:r>
      <w:r>
        <w:rPr>
          <w:spacing w:val="-8"/>
        </w:rPr>
        <w:t> </w:t>
      </w:r>
      <w:r>
        <w:rPr/>
        <w:t>future</w:t>
      </w:r>
      <w:r>
        <w:rPr>
          <w:spacing w:val="-8"/>
        </w:rPr>
        <w:t> </w:t>
      </w:r>
      <w:r>
        <w:rPr/>
        <w:t>that</w:t>
      </w:r>
      <w:r>
        <w:rPr>
          <w:spacing w:val="-8"/>
        </w:rPr>
        <w:t> </w:t>
      </w:r>
      <w:r>
        <w:rPr/>
        <w:t>have</w:t>
      </w:r>
      <w:r>
        <w:rPr>
          <w:spacing w:val="-8"/>
        </w:rPr>
        <w:t> </w:t>
      </w:r>
      <w:r>
        <w:rPr/>
        <w:t>since</w:t>
      </w:r>
      <w:r>
        <w:rPr>
          <w:spacing w:val="-8"/>
        </w:rPr>
        <w:t> </w:t>
      </w:r>
      <w:r>
        <w:rPr/>
        <w:t>been</w:t>
      </w:r>
      <w:r>
        <w:rPr>
          <w:spacing w:val="-8"/>
        </w:rPr>
        <w:t> </w:t>
      </w:r>
      <w:r>
        <w:rPr/>
        <w:t>revised</w:t>
      </w:r>
      <w:r>
        <w:rPr>
          <w:spacing w:val="-8"/>
        </w:rPr>
        <w:t> </w:t>
      </w:r>
      <w:r>
        <w:rPr/>
        <w:t>downwards</w:t>
      </w:r>
      <w:r>
        <w:rPr>
          <w:spacing w:val="-8"/>
        </w:rPr>
        <w:t> </w:t>
      </w:r>
      <w:r>
        <w:rPr/>
        <w:t>by the Census of India. For example, current population projections</w:t>
      </w:r>
      <w:r>
        <w:rPr>
          <w:spacing w:val="-12"/>
        </w:rPr>
        <w:t> </w:t>
      </w:r>
      <w:r>
        <w:rPr/>
        <w:t>suggest</w:t>
      </w:r>
      <w:r>
        <w:rPr>
          <w:spacing w:val="-12"/>
        </w:rPr>
        <w:t> </w:t>
      </w:r>
      <w:r>
        <w:rPr/>
        <w:t>that</w:t>
      </w:r>
      <w:r>
        <w:rPr>
          <w:spacing w:val="-12"/>
        </w:rPr>
        <w:t> </w:t>
      </w:r>
      <w:r>
        <w:rPr/>
        <w:t>there</w:t>
      </w:r>
      <w:r>
        <w:rPr>
          <w:spacing w:val="-12"/>
        </w:rPr>
        <w:t> </w:t>
      </w:r>
      <w:r>
        <w:rPr/>
        <w:t>will</w:t>
      </w:r>
      <w:r>
        <w:rPr>
          <w:spacing w:val="-12"/>
        </w:rPr>
        <w:t> </w:t>
      </w:r>
      <w:r>
        <w:rPr/>
        <w:t>be</w:t>
      </w:r>
      <w:r>
        <w:rPr>
          <w:spacing w:val="-12"/>
        </w:rPr>
        <w:t> </w:t>
      </w:r>
      <w:r>
        <w:rPr/>
        <w:t>at</w:t>
      </w:r>
      <w:r>
        <w:rPr>
          <w:spacing w:val="-12"/>
        </w:rPr>
        <w:t> </w:t>
      </w:r>
      <w:r>
        <w:rPr/>
        <w:t>least</w:t>
      </w:r>
      <w:r>
        <w:rPr>
          <w:spacing w:val="-12"/>
        </w:rPr>
        <w:t> </w:t>
      </w:r>
      <w:r>
        <w:rPr/>
        <w:t>6</w:t>
      </w:r>
      <w:r>
        <w:rPr>
          <w:spacing w:val="-12"/>
        </w:rPr>
        <w:t> </w:t>
      </w:r>
      <w:r>
        <w:rPr/>
        <w:t>million less children in 2011-12 than the earlier projections used by the Sibal Committee had indicated. This in turn means a significant reduction in the estimated costs for universal schooling. Using the same per capita spending with the new population projections gives a total cost for the five year period 2008-2012 of</w:t>
      </w:r>
      <w:r>
        <w:rPr>
          <w:spacing w:val="80"/>
        </w:rPr>
        <w:t> </w:t>
      </w:r>
      <w:r>
        <w:rPr/>
        <w:t>Rs.</w:t>
      </w:r>
      <w:r>
        <w:rPr>
          <w:spacing w:val="80"/>
        </w:rPr>
        <w:t> </w:t>
      </w:r>
      <w:r>
        <w:rPr/>
        <w:t>1,51,273</w:t>
      </w:r>
      <w:r>
        <w:rPr>
          <w:spacing w:val="80"/>
        </w:rPr>
        <w:t> </w:t>
      </w:r>
      <w:r>
        <w:rPr/>
        <w:t>crore,</w:t>
      </w:r>
      <w:r>
        <w:rPr>
          <w:spacing w:val="80"/>
        </w:rPr>
        <w:t> </w:t>
      </w:r>
      <w:r>
        <w:rPr/>
        <w:t>based</w:t>
      </w:r>
      <w:r>
        <w:rPr>
          <w:spacing w:val="80"/>
        </w:rPr>
        <w:t> </w:t>
      </w:r>
      <w:r>
        <w:rPr/>
        <w:t>on</w:t>
      </w:r>
      <w:r>
        <w:rPr>
          <w:spacing w:val="80"/>
        </w:rPr>
        <w:t> </w:t>
      </w:r>
      <w:r>
        <w:rPr/>
        <w:t>50:50</w:t>
      </w:r>
      <w:r>
        <w:rPr>
          <w:spacing w:val="80"/>
        </w:rPr>
        <w:t> </w:t>
      </w:r>
      <w:r>
        <w:rPr/>
        <w:t>division of SSA. This amounts to an average of just above</w:t>
      </w:r>
      <w:r>
        <w:rPr>
          <w:spacing w:val="40"/>
        </w:rPr>
        <w:t> </w:t>
      </w:r>
      <w:r>
        <w:rPr/>
        <w:t>Rs. 30,000 crore per annum, which is much less than 1</w:t>
      </w:r>
      <w:r>
        <w:rPr>
          <w:spacing w:val="-12"/>
        </w:rPr>
        <w:t> </w:t>
      </w:r>
      <w:r>
        <w:rPr/>
        <w:t>per</w:t>
      </w:r>
      <w:r>
        <w:rPr>
          <w:spacing w:val="-12"/>
        </w:rPr>
        <w:t> </w:t>
      </w:r>
      <w:r>
        <w:rPr/>
        <w:t>cent</w:t>
      </w:r>
      <w:r>
        <w:rPr>
          <w:spacing w:val="-12"/>
        </w:rPr>
        <w:t> </w:t>
      </w:r>
      <w:r>
        <w:rPr/>
        <w:t>of</w:t>
      </w:r>
      <w:r>
        <w:rPr>
          <w:spacing w:val="-12"/>
        </w:rPr>
        <w:t> </w:t>
      </w:r>
      <w:r>
        <w:rPr/>
        <w:t>GDP</w:t>
      </w:r>
      <w:r>
        <w:rPr>
          <w:spacing w:val="-12"/>
        </w:rPr>
        <w:t> </w:t>
      </w:r>
      <w:r>
        <w:rPr/>
        <w:t>and</w:t>
      </w:r>
      <w:r>
        <w:rPr>
          <w:spacing w:val="-12"/>
        </w:rPr>
        <w:t> </w:t>
      </w:r>
      <w:r>
        <w:rPr/>
        <w:t>also</w:t>
      </w:r>
      <w:r>
        <w:rPr>
          <w:spacing w:val="-12"/>
        </w:rPr>
        <w:t> </w:t>
      </w:r>
      <w:r>
        <w:rPr/>
        <w:t>less</w:t>
      </w:r>
      <w:r>
        <w:rPr>
          <w:spacing w:val="-12"/>
        </w:rPr>
        <w:t> </w:t>
      </w:r>
      <w:r>
        <w:rPr/>
        <w:t>than</w:t>
      </w:r>
      <w:r>
        <w:rPr>
          <w:spacing w:val="-12"/>
        </w:rPr>
        <w:t> </w:t>
      </w:r>
      <w:r>
        <w:rPr/>
        <w:t>8</w:t>
      </w:r>
      <w:r>
        <w:rPr>
          <w:spacing w:val="-12"/>
        </w:rPr>
        <w:t> </w:t>
      </w:r>
      <w:r>
        <w:rPr/>
        <w:t>per</w:t>
      </w:r>
      <w:r>
        <w:rPr>
          <w:spacing w:val="-12"/>
        </w:rPr>
        <w:t> </w:t>
      </w:r>
      <w:r>
        <w:rPr/>
        <w:t>cent</w:t>
      </w:r>
      <w:r>
        <w:rPr>
          <w:spacing w:val="-12"/>
        </w:rPr>
        <w:t> </w:t>
      </w:r>
      <w:r>
        <w:rPr/>
        <w:t>of</w:t>
      </w:r>
      <w:r>
        <w:rPr>
          <w:spacing w:val="-12"/>
        </w:rPr>
        <w:t> </w:t>
      </w:r>
      <w:r>
        <w:rPr/>
        <w:t>total central government spending.</w:t>
      </w:r>
      <w:r>
        <w:rPr>
          <w:position w:val="7"/>
          <w:sz w:val="13"/>
        </w:rPr>
        <w:t>1</w:t>
      </w:r>
    </w:p>
    <w:p>
      <w:pPr>
        <w:pStyle w:val="BodyText"/>
        <w:spacing w:line="266" w:lineRule="auto" w:before="240"/>
        <w:ind w:left="319" w:right="1077"/>
        <w:jc w:val="both"/>
      </w:pPr>
      <w:r>
        <w:rPr/>
        <w:t>In this connection, NKC would also like to </w:t>
      </w:r>
      <w:r>
        <w:rPr/>
        <w:t>express its concern about the recent decision of the central </w:t>
      </w:r>
      <w:r>
        <w:rPr>
          <w:spacing w:val="-2"/>
        </w:rPr>
        <w:t>government</w:t>
      </w:r>
      <w:r>
        <w:rPr>
          <w:spacing w:val="-10"/>
        </w:rPr>
        <w:t> </w:t>
      </w:r>
      <w:r>
        <w:rPr>
          <w:spacing w:val="-2"/>
        </w:rPr>
        <w:t>to</w:t>
      </w:r>
      <w:r>
        <w:rPr>
          <w:spacing w:val="-10"/>
        </w:rPr>
        <w:t> </w:t>
      </w:r>
      <w:r>
        <w:rPr>
          <w:spacing w:val="-2"/>
        </w:rPr>
        <w:t>reduce</w:t>
      </w:r>
      <w:r>
        <w:rPr>
          <w:spacing w:val="-10"/>
        </w:rPr>
        <w:t> </w:t>
      </w:r>
      <w:r>
        <w:rPr>
          <w:spacing w:val="-2"/>
        </w:rPr>
        <w:t>the</w:t>
      </w:r>
      <w:r>
        <w:rPr>
          <w:spacing w:val="-10"/>
        </w:rPr>
        <w:t> </w:t>
      </w:r>
      <w:r>
        <w:rPr>
          <w:spacing w:val="-2"/>
        </w:rPr>
        <w:t>central</w:t>
      </w:r>
      <w:r>
        <w:rPr>
          <w:spacing w:val="-10"/>
        </w:rPr>
        <w:t> </w:t>
      </w:r>
      <w:r>
        <w:rPr>
          <w:spacing w:val="-2"/>
        </w:rPr>
        <w:t>funding</w:t>
      </w:r>
      <w:r>
        <w:rPr>
          <w:spacing w:val="-10"/>
        </w:rPr>
        <w:t> </w:t>
      </w:r>
      <w:r>
        <w:rPr>
          <w:spacing w:val="-2"/>
        </w:rPr>
        <w:t>for</w:t>
      </w:r>
      <w:r>
        <w:rPr>
          <w:spacing w:val="-10"/>
        </w:rPr>
        <w:t> </w:t>
      </w:r>
      <w:r>
        <w:rPr>
          <w:spacing w:val="-2"/>
        </w:rPr>
        <w:t>the</w:t>
      </w:r>
      <w:r>
        <w:rPr>
          <w:spacing w:val="-10"/>
        </w:rPr>
        <w:t> </w:t>
      </w:r>
      <w:r>
        <w:rPr>
          <w:spacing w:val="-2"/>
        </w:rPr>
        <w:t>Sarva </w:t>
      </w:r>
      <w:r>
        <w:rPr>
          <w:spacing w:val="-4"/>
        </w:rPr>
        <w:t>Shiksha</w:t>
      </w:r>
      <w:r>
        <w:rPr>
          <w:spacing w:val="-10"/>
        </w:rPr>
        <w:t> </w:t>
      </w:r>
      <w:r>
        <w:rPr>
          <w:spacing w:val="-4"/>
        </w:rPr>
        <w:t>Abhiyan</w:t>
      </w:r>
      <w:r>
        <w:rPr>
          <w:spacing w:val="-9"/>
        </w:rPr>
        <w:t> </w:t>
      </w:r>
      <w:r>
        <w:rPr>
          <w:spacing w:val="-4"/>
        </w:rPr>
        <w:t>from</w:t>
      </w:r>
      <w:r>
        <w:rPr>
          <w:spacing w:val="-6"/>
        </w:rPr>
        <w:t> </w:t>
      </w:r>
      <w:r>
        <w:rPr>
          <w:spacing w:val="-4"/>
        </w:rPr>
        <w:t>75</w:t>
      </w:r>
      <w:r>
        <w:rPr>
          <w:spacing w:val="-6"/>
        </w:rPr>
        <w:t> </w:t>
      </w:r>
      <w:r>
        <w:rPr>
          <w:spacing w:val="-4"/>
        </w:rPr>
        <w:t>per</w:t>
      </w:r>
      <w:r>
        <w:rPr>
          <w:spacing w:val="-6"/>
        </w:rPr>
        <w:t> </w:t>
      </w:r>
      <w:r>
        <w:rPr>
          <w:spacing w:val="-4"/>
        </w:rPr>
        <w:t>cent</w:t>
      </w:r>
      <w:r>
        <w:rPr>
          <w:spacing w:val="-6"/>
        </w:rPr>
        <w:t> </w:t>
      </w:r>
      <w:r>
        <w:rPr>
          <w:spacing w:val="-4"/>
        </w:rPr>
        <w:t>to</w:t>
      </w:r>
      <w:r>
        <w:rPr>
          <w:spacing w:val="-6"/>
        </w:rPr>
        <w:t> </w:t>
      </w:r>
      <w:r>
        <w:rPr>
          <w:spacing w:val="-4"/>
        </w:rPr>
        <w:t>50</w:t>
      </w:r>
      <w:r>
        <w:rPr>
          <w:spacing w:val="-6"/>
        </w:rPr>
        <w:t> </w:t>
      </w:r>
      <w:r>
        <w:rPr>
          <w:spacing w:val="-4"/>
        </w:rPr>
        <w:t>per</w:t>
      </w:r>
      <w:r>
        <w:rPr>
          <w:spacing w:val="-6"/>
        </w:rPr>
        <w:t> </w:t>
      </w:r>
      <w:r>
        <w:rPr>
          <w:spacing w:val="-4"/>
        </w:rPr>
        <w:t>cent.</w:t>
      </w:r>
      <w:r>
        <w:rPr>
          <w:spacing w:val="-10"/>
        </w:rPr>
        <w:t> </w:t>
      </w:r>
      <w:r>
        <w:rPr>
          <w:spacing w:val="-4"/>
        </w:rPr>
        <w:t>There </w:t>
      </w:r>
      <w:r>
        <w:rPr/>
        <w:t>is a fear that this may lead to a sharp curtailment of </w:t>
      </w:r>
      <w:r>
        <w:rPr>
          <w:spacing w:val="-4"/>
        </w:rPr>
        <w:t>progress</w:t>
      </w:r>
      <w:r>
        <w:rPr>
          <w:spacing w:val="-6"/>
        </w:rPr>
        <w:t> </w:t>
      </w:r>
      <w:r>
        <w:rPr>
          <w:spacing w:val="-4"/>
        </w:rPr>
        <w:t>towards</w:t>
      </w:r>
      <w:r>
        <w:rPr>
          <w:spacing w:val="-6"/>
        </w:rPr>
        <w:t> </w:t>
      </w:r>
      <w:r>
        <w:rPr>
          <w:spacing w:val="-4"/>
        </w:rPr>
        <w:t>universal</w:t>
      </w:r>
      <w:r>
        <w:rPr>
          <w:spacing w:val="-6"/>
        </w:rPr>
        <w:t> </w:t>
      </w:r>
      <w:r>
        <w:rPr>
          <w:spacing w:val="-4"/>
        </w:rPr>
        <w:t>school</w:t>
      </w:r>
      <w:r>
        <w:rPr>
          <w:spacing w:val="-6"/>
        </w:rPr>
        <w:t> </w:t>
      </w:r>
      <w:r>
        <w:rPr>
          <w:spacing w:val="-4"/>
        </w:rPr>
        <w:t>education,</w:t>
      </w:r>
      <w:r>
        <w:rPr>
          <w:spacing w:val="-6"/>
        </w:rPr>
        <w:t> </w:t>
      </w:r>
      <w:r>
        <w:rPr>
          <w:spacing w:val="-4"/>
        </w:rPr>
        <w:t>especially </w:t>
      </w:r>
      <w:r>
        <w:rPr/>
        <w:t>in</w:t>
      </w:r>
      <w:r>
        <w:rPr>
          <w:spacing w:val="-1"/>
        </w:rPr>
        <w:t> </w:t>
      </w:r>
      <w:r>
        <w:rPr/>
        <w:t>the</w:t>
      </w:r>
      <w:r>
        <w:rPr>
          <w:spacing w:val="-1"/>
        </w:rPr>
        <w:t> </w:t>
      </w:r>
      <w:r>
        <w:rPr/>
        <w:t>more</w:t>
      </w:r>
      <w:r>
        <w:rPr>
          <w:spacing w:val="-1"/>
        </w:rPr>
        <w:t> </w:t>
      </w:r>
      <w:r>
        <w:rPr/>
        <w:t>backward</w:t>
      </w:r>
      <w:r>
        <w:rPr>
          <w:spacing w:val="-1"/>
        </w:rPr>
        <w:t> </w:t>
      </w:r>
      <w:r>
        <w:rPr/>
        <w:t>states</w:t>
      </w:r>
      <w:r>
        <w:rPr>
          <w:spacing w:val="-1"/>
        </w:rPr>
        <w:t> </w:t>
      </w:r>
      <w:r>
        <w:rPr/>
        <w:t>where</w:t>
      </w:r>
      <w:r>
        <w:rPr>
          <w:spacing w:val="-1"/>
        </w:rPr>
        <w:t> </w:t>
      </w:r>
      <w:r>
        <w:rPr/>
        <w:t>the</w:t>
      </w:r>
      <w:r>
        <w:rPr>
          <w:spacing w:val="-1"/>
        </w:rPr>
        <w:t> </w:t>
      </w:r>
      <w:r>
        <w:rPr/>
        <w:t>gap</w:t>
      </w:r>
      <w:r>
        <w:rPr>
          <w:spacing w:val="-1"/>
        </w:rPr>
        <w:t> </w:t>
      </w:r>
      <w:r>
        <w:rPr/>
        <w:t>is</w:t>
      </w:r>
      <w:r>
        <w:rPr>
          <w:spacing w:val="-1"/>
        </w:rPr>
        <w:t> </w:t>
      </w:r>
      <w:r>
        <w:rPr/>
        <w:t>greater. It is worth noting that state governments are already incurring the bulk of school education expenditure.</w:t>
      </w:r>
      <w:r>
        <w:rPr>
          <w:position w:val="7"/>
          <w:sz w:val="13"/>
        </w:rPr>
        <w:t>2</w:t>
      </w:r>
      <w:r>
        <w:rPr>
          <w:spacing w:val="40"/>
          <w:position w:val="7"/>
          <w:sz w:val="13"/>
        </w:rPr>
        <w:t> </w:t>
      </w:r>
      <w:r>
        <w:rPr/>
        <w:t>NKC</w:t>
      </w:r>
      <w:r>
        <w:rPr>
          <w:spacing w:val="-5"/>
        </w:rPr>
        <w:t> </w:t>
      </w:r>
      <w:r>
        <w:rPr/>
        <w:t>strongly</w:t>
      </w:r>
      <w:r>
        <w:rPr>
          <w:spacing w:val="-5"/>
        </w:rPr>
        <w:t> </w:t>
      </w:r>
      <w:r>
        <w:rPr/>
        <w:t>recommends</w:t>
      </w:r>
      <w:r>
        <w:rPr>
          <w:spacing w:val="-5"/>
        </w:rPr>
        <w:t> </w:t>
      </w:r>
      <w:r>
        <w:rPr/>
        <w:t>that,</w:t>
      </w:r>
      <w:r>
        <w:rPr>
          <w:spacing w:val="-5"/>
        </w:rPr>
        <w:t> </w:t>
      </w:r>
      <w:r>
        <w:rPr/>
        <w:t>in</w:t>
      </w:r>
      <w:r>
        <w:rPr>
          <w:spacing w:val="-5"/>
        </w:rPr>
        <w:t> </w:t>
      </w:r>
      <w:r>
        <w:rPr/>
        <w:t>addition</w:t>
      </w:r>
      <w:r>
        <w:rPr>
          <w:spacing w:val="-5"/>
        </w:rPr>
        <w:t> </w:t>
      </w:r>
      <w:r>
        <w:rPr/>
        <w:t>to</w:t>
      </w:r>
      <w:r>
        <w:rPr>
          <w:spacing w:val="-5"/>
        </w:rPr>
        <w:t> </w:t>
      </w:r>
      <w:r>
        <w:rPr/>
        <w:t>50</w:t>
      </w:r>
      <w:r>
        <w:rPr>
          <w:spacing w:val="-5"/>
        </w:rPr>
        <w:t> </w:t>
      </w:r>
      <w:r>
        <w:rPr/>
        <w:t>per </w:t>
      </w:r>
      <w:r>
        <w:rPr>
          <w:spacing w:val="-4"/>
        </w:rPr>
        <w:t>cent</w:t>
      </w:r>
      <w:r>
        <w:rPr>
          <w:spacing w:val="-10"/>
        </w:rPr>
        <w:t> </w:t>
      </w:r>
      <w:r>
        <w:rPr>
          <w:spacing w:val="-4"/>
        </w:rPr>
        <w:t>of</w:t>
      </w:r>
      <w:r>
        <w:rPr>
          <w:spacing w:val="-10"/>
        </w:rPr>
        <w:t> </w:t>
      </w:r>
      <w:r>
        <w:rPr>
          <w:spacing w:val="-4"/>
        </w:rPr>
        <w:t>SSA,</w:t>
      </w:r>
      <w:r>
        <w:rPr>
          <w:spacing w:val="-10"/>
        </w:rPr>
        <w:t> </w:t>
      </w:r>
      <w:r>
        <w:rPr>
          <w:spacing w:val="-4"/>
        </w:rPr>
        <w:t>the</w:t>
      </w:r>
      <w:r>
        <w:rPr>
          <w:spacing w:val="-9"/>
        </w:rPr>
        <w:t> </w:t>
      </w:r>
      <w:r>
        <w:rPr>
          <w:spacing w:val="-4"/>
        </w:rPr>
        <w:t>Centre</w:t>
      </w:r>
      <w:r>
        <w:rPr>
          <w:spacing w:val="-10"/>
        </w:rPr>
        <w:t> </w:t>
      </w:r>
      <w:r>
        <w:rPr>
          <w:spacing w:val="-4"/>
        </w:rPr>
        <w:t>should</w:t>
      </w:r>
      <w:r>
        <w:rPr>
          <w:spacing w:val="-10"/>
        </w:rPr>
        <w:t> </w:t>
      </w:r>
      <w:r>
        <w:rPr>
          <w:spacing w:val="-4"/>
        </w:rPr>
        <w:t>provide</w:t>
      </w:r>
      <w:r>
        <w:rPr>
          <w:spacing w:val="-10"/>
        </w:rPr>
        <w:t> </w:t>
      </w:r>
      <w:r>
        <w:rPr>
          <w:spacing w:val="-4"/>
        </w:rPr>
        <w:t>all</w:t>
      </w:r>
      <w:r>
        <w:rPr>
          <w:spacing w:val="-9"/>
        </w:rPr>
        <w:t> </w:t>
      </w:r>
      <w:r>
        <w:rPr>
          <w:spacing w:val="-4"/>
        </w:rPr>
        <w:t>the</w:t>
      </w:r>
      <w:r>
        <w:rPr>
          <w:spacing w:val="-10"/>
        </w:rPr>
        <w:t> </w:t>
      </w:r>
      <w:r>
        <w:rPr>
          <w:spacing w:val="-4"/>
        </w:rPr>
        <w:t>necessary </w:t>
      </w:r>
      <w:r>
        <w:rPr>
          <w:spacing w:val="-2"/>
        </w:rPr>
        <w:t>funding</w:t>
      </w:r>
      <w:r>
        <w:rPr>
          <w:spacing w:val="-12"/>
        </w:rPr>
        <w:t> </w:t>
      </w:r>
      <w:r>
        <w:rPr>
          <w:spacing w:val="-2"/>
        </w:rPr>
        <w:t>to</w:t>
      </w:r>
      <w:r>
        <w:rPr>
          <w:spacing w:val="-12"/>
        </w:rPr>
        <w:t> </w:t>
      </w:r>
      <w:r>
        <w:rPr>
          <w:spacing w:val="-2"/>
        </w:rPr>
        <w:t>ensure</w:t>
      </w:r>
      <w:r>
        <w:rPr>
          <w:spacing w:val="-12"/>
        </w:rPr>
        <w:t> </w:t>
      </w:r>
      <w:r>
        <w:rPr>
          <w:spacing w:val="-2"/>
        </w:rPr>
        <w:t>the</w:t>
      </w:r>
      <w:r>
        <w:rPr>
          <w:spacing w:val="-11"/>
        </w:rPr>
        <w:t> </w:t>
      </w:r>
      <w:r>
        <w:rPr>
          <w:spacing w:val="-2"/>
        </w:rPr>
        <w:t>Right</w:t>
      </w:r>
      <w:r>
        <w:rPr>
          <w:spacing w:val="-12"/>
        </w:rPr>
        <w:t> </w:t>
      </w:r>
      <w:r>
        <w:rPr>
          <w:spacing w:val="-2"/>
        </w:rPr>
        <w:t>to</w:t>
      </w:r>
      <w:r>
        <w:rPr>
          <w:spacing w:val="-12"/>
        </w:rPr>
        <w:t> </w:t>
      </w:r>
      <w:r>
        <w:rPr>
          <w:spacing w:val="-2"/>
        </w:rPr>
        <w:t>Education</w:t>
      </w:r>
      <w:r>
        <w:rPr>
          <w:spacing w:val="-12"/>
        </w:rPr>
        <w:t> </w:t>
      </w:r>
      <w:r>
        <w:rPr>
          <w:spacing w:val="-2"/>
        </w:rPr>
        <w:t>in</w:t>
      </w:r>
      <w:r>
        <w:rPr>
          <w:spacing w:val="-11"/>
        </w:rPr>
        <w:t> </w:t>
      </w:r>
      <w:r>
        <w:rPr>
          <w:spacing w:val="-2"/>
        </w:rPr>
        <w:t>those</w:t>
      </w:r>
      <w:r>
        <w:rPr>
          <w:spacing w:val="-12"/>
        </w:rPr>
        <w:t> </w:t>
      </w:r>
      <w:r>
        <w:rPr>
          <w:spacing w:val="-2"/>
        </w:rPr>
        <w:t>states where</w:t>
      </w:r>
      <w:r>
        <w:rPr>
          <w:spacing w:val="-14"/>
        </w:rPr>
        <w:t> </w:t>
      </w:r>
      <w:r>
        <w:rPr>
          <w:spacing w:val="-2"/>
        </w:rPr>
        <w:t>the</w:t>
      </w:r>
      <w:r>
        <w:rPr>
          <w:spacing w:val="-12"/>
        </w:rPr>
        <w:t> </w:t>
      </w:r>
      <w:r>
        <w:rPr>
          <w:spacing w:val="-2"/>
        </w:rPr>
        <w:t>state</w:t>
      </w:r>
      <w:r>
        <w:rPr>
          <w:spacing w:val="-12"/>
        </w:rPr>
        <w:t> </w:t>
      </w:r>
      <w:r>
        <w:rPr>
          <w:spacing w:val="-2"/>
        </w:rPr>
        <w:t>government</w:t>
      </w:r>
      <w:r>
        <w:rPr>
          <w:spacing w:val="-11"/>
        </w:rPr>
        <w:t> </w:t>
      </w:r>
      <w:r>
        <w:rPr>
          <w:spacing w:val="-2"/>
        </w:rPr>
        <w:t>is</w:t>
      </w:r>
      <w:r>
        <w:rPr>
          <w:spacing w:val="-12"/>
        </w:rPr>
        <w:t> </w:t>
      </w:r>
      <w:r>
        <w:rPr>
          <w:spacing w:val="-2"/>
        </w:rPr>
        <w:t>already</w:t>
      </w:r>
      <w:r>
        <w:rPr>
          <w:spacing w:val="-12"/>
        </w:rPr>
        <w:t> </w:t>
      </w:r>
      <w:r>
        <w:rPr>
          <w:spacing w:val="-2"/>
        </w:rPr>
        <w:t>spending</w:t>
      </w:r>
      <w:r>
        <w:rPr>
          <w:spacing w:val="-12"/>
        </w:rPr>
        <w:t> </w:t>
      </w:r>
      <w:r>
        <w:rPr>
          <w:spacing w:val="-2"/>
        </w:rPr>
        <w:t>at</w:t>
      </w:r>
      <w:r>
        <w:rPr>
          <w:spacing w:val="-11"/>
        </w:rPr>
        <w:t> </w:t>
      </w:r>
      <w:r>
        <w:rPr>
          <w:spacing w:val="-2"/>
        </w:rPr>
        <w:t>least </w:t>
      </w:r>
      <w:r>
        <w:rPr/>
        <w:t>15 per cent of its total budget on school education.</w:t>
      </w:r>
    </w:p>
    <w:p>
      <w:pPr>
        <w:spacing w:after="0" w:line="266" w:lineRule="auto"/>
        <w:jc w:val="both"/>
        <w:sectPr>
          <w:pgSz w:w="11910" w:h="16840"/>
          <w:pgMar w:header="0" w:footer="634" w:top="940" w:bottom="820" w:left="0" w:right="0"/>
          <w:cols w:num="2" w:equalWidth="0">
            <w:col w:w="5774" w:space="40"/>
            <w:col w:w="6096"/>
          </w:cols>
        </w:sectPr>
      </w:pPr>
    </w:p>
    <w:p>
      <w:pPr>
        <w:pStyle w:val="BodyText"/>
        <w:spacing w:before="3"/>
        <w:rPr>
          <w:sz w:val="12"/>
        </w:rPr>
      </w:pPr>
    </w:p>
    <w:p>
      <w:pPr>
        <w:pStyle w:val="BodyText"/>
        <w:spacing w:line="20" w:lineRule="exact"/>
        <w:ind w:left="1080"/>
        <w:rPr>
          <w:sz w:val="2"/>
        </w:rPr>
      </w:pPr>
      <w:r>
        <w:rPr>
          <w:sz w:val="2"/>
        </w:rPr>
        <mc:AlternateContent>
          <mc:Choice Requires="wps">
            <w:drawing>
              <wp:inline distT="0" distB="0" distL="0" distR="0">
                <wp:extent cx="2408555" cy="6350"/>
                <wp:effectExtent l="0" t="0" r="0" b="0"/>
                <wp:docPr id="808" name="Group 808"/>
                <wp:cNvGraphicFramePr>
                  <a:graphicFrameLocks/>
                </wp:cNvGraphicFramePr>
                <a:graphic>
                  <a:graphicData uri="http://schemas.microsoft.com/office/word/2010/wordprocessingGroup">
                    <wpg:wgp>
                      <wpg:cNvPr id="808" name="Group 808"/>
                      <wpg:cNvGrpSpPr/>
                      <wpg:grpSpPr>
                        <a:xfrm>
                          <a:off x="0" y="0"/>
                          <a:ext cx="2408555" cy="6350"/>
                          <a:chExt cx="2408555" cy="6350"/>
                        </a:xfrm>
                      </wpg:grpSpPr>
                      <wps:wsp>
                        <wps:cNvPr id="809" name="Graphic 809"/>
                        <wps:cNvSpPr/>
                        <wps:spPr>
                          <a:xfrm>
                            <a:off x="0" y="0"/>
                            <a:ext cx="2408555" cy="6350"/>
                          </a:xfrm>
                          <a:custGeom>
                            <a:avLst/>
                            <a:gdLst/>
                            <a:ahLst/>
                            <a:cxnLst/>
                            <a:rect l="l" t="t" r="r" b="b"/>
                            <a:pathLst>
                              <a:path w="2408555" h="6350">
                                <a:moveTo>
                                  <a:pt x="2408400" y="0"/>
                                </a:moveTo>
                                <a:lnTo>
                                  <a:pt x="0" y="0"/>
                                </a:lnTo>
                                <a:lnTo>
                                  <a:pt x="0" y="6349"/>
                                </a:lnTo>
                                <a:lnTo>
                                  <a:pt x="2408400" y="6349"/>
                                </a:lnTo>
                                <a:lnTo>
                                  <a:pt x="240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65pt;height:.5pt;mso-position-horizontal-relative:char;mso-position-vertical-relative:line" id="docshapegroup801" coordorigin="0,0" coordsize="3793,10">
                <v:rect style="position:absolute;left:0;top:0;width:3793;height:10" id="docshape802" filled="true" fillcolor="#000000" stroked="false">
                  <v:fill type="solid"/>
                </v:rect>
              </v:group>
            </w:pict>
          </mc:Fallback>
        </mc:AlternateContent>
      </w:r>
      <w:r>
        <w:rPr>
          <w:sz w:val="2"/>
        </w:rPr>
      </w:r>
    </w:p>
    <w:p>
      <w:pPr>
        <w:spacing w:line="254" w:lineRule="auto" w:before="71"/>
        <w:ind w:left="1079" w:right="921" w:firstLine="0"/>
        <w:jc w:val="left"/>
        <w:rPr>
          <w:sz w:val="18"/>
        </w:rPr>
      </w:pPr>
      <w:r>
        <w:rPr>
          <w:position w:val="6"/>
          <w:sz w:val="10"/>
        </w:rPr>
        <w:t>1</w:t>
      </w:r>
      <w:r>
        <w:rPr>
          <w:spacing w:val="9"/>
          <w:position w:val="6"/>
          <w:sz w:val="10"/>
        </w:rPr>
        <w:t> </w:t>
      </w:r>
      <w:r>
        <w:rPr>
          <w:sz w:val="18"/>
        </w:rPr>
        <w:t>If</w:t>
      </w:r>
      <w:r>
        <w:rPr>
          <w:spacing w:val="-11"/>
          <w:sz w:val="18"/>
        </w:rPr>
        <w:t> </w:t>
      </w:r>
      <w:r>
        <w:rPr>
          <w:sz w:val="18"/>
        </w:rPr>
        <w:t>the</w:t>
      </w:r>
      <w:r>
        <w:rPr>
          <w:spacing w:val="-11"/>
          <w:sz w:val="18"/>
        </w:rPr>
        <w:t> </w:t>
      </w:r>
      <w:r>
        <w:rPr>
          <w:sz w:val="18"/>
        </w:rPr>
        <w:t>centre</w:t>
      </w:r>
      <w:r>
        <w:rPr>
          <w:spacing w:val="-11"/>
          <w:sz w:val="18"/>
        </w:rPr>
        <w:t> </w:t>
      </w:r>
      <w:r>
        <w:rPr>
          <w:sz w:val="18"/>
        </w:rPr>
        <w:t>provides</w:t>
      </w:r>
      <w:r>
        <w:rPr>
          <w:spacing w:val="-11"/>
          <w:sz w:val="18"/>
        </w:rPr>
        <w:t> </w:t>
      </w:r>
      <w:r>
        <w:rPr>
          <w:sz w:val="18"/>
        </w:rPr>
        <w:t>75</w:t>
      </w:r>
      <w:r>
        <w:rPr>
          <w:spacing w:val="-11"/>
          <w:sz w:val="18"/>
        </w:rPr>
        <w:t> </w:t>
      </w:r>
      <w:r>
        <w:rPr>
          <w:sz w:val="18"/>
        </w:rPr>
        <w:t>per</w:t>
      </w:r>
      <w:r>
        <w:rPr>
          <w:spacing w:val="-11"/>
          <w:sz w:val="18"/>
        </w:rPr>
        <w:t> </w:t>
      </w:r>
      <w:r>
        <w:rPr>
          <w:sz w:val="18"/>
        </w:rPr>
        <w:t>cent</w:t>
      </w:r>
      <w:r>
        <w:rPr>
          <w:spacing w:val="-11"/>
          <w:sz w:val="18"/>
        </w:rPr>
        <w:t> </w:t>
      </w:r>
      <w:r>
        <w:rPr>
          <w:sz w:val="18"/>
        </w:rPr>
        <w:t>of</w:t>
      </w:r>
      <w:r>
        <w:rPr>
          <w:spacing w:val="-11"/>
          <w:sz w:val="18"/>
        </w:rPr>
        <w:t> </w:t>
      </w:r>
      <w:r>
        <w:rPr>
          <w:sz w:val="18"/>
        </w:rPr>
        <w:t>the</w:t>
      </w:r>
      <w:r>
        <w:rPr>
          <w:spacing w:val="-11"/>
          <w:sz w:val="18"/>
        </w:rPr>
        <w:t> </w:t>
      </w:r>
      <w:r>
        <w:rPr>
          <w:sz w:val="18"/>
        </w:rPr>
        <w:t>spending</w:t>
      </w:r>
      <w:r>
        <w:rPr>
          <w:spacing w:val="-11"/>
          <w:sz w:val="18"/>
        </w:rPr>
        <w:t> </w:t>
      </w:r>
      <w:r>
        <w:rPr>
          <w:sz w:val="18"/>
        </w:rPr>
        <w:t>for</w:t>
      </w:r>
      <w:r>
        <w:rPr>
          <w:spacing w:val="-11"/>
          <w:sz w:val="18"/>
        </w:rPr>
        <w:t> </w:t>
      </w:r>
      <w:r>
        <w:rPr>
          <w:sz w:val="18"/>
        </w:rPr>
        <w:t>SSA,</w:t>
      </w:r>
      <w:r>
        <w:rPr>
          <w:spacing w:val="-11"/>
          <w:sz w:val="18"/>
        </w:rPr>
        <w:t> </w:t>
      </w:r>
      <w:r>
        <w:rPr>
          <w:sz w:val="18"/>
        </w:rPr>
        <w:t>the</w:t>
      </w:r>
      <w:r>
        <w:rPr>
          <w:spacing w:val="-11"/>
          <w:sz w:val="18"/>
        </w:rPr>
        <w:t> </w:t>
      </w:r>
      <w:r>
        <w:rPr>
          <w:sz w:val="18"/>
        </w:rPr>
        <w:t>additional</w:t>
      </w:r>
      <w:r>
        <w:rPr>
          <w:spacing w:val="-11"/>
          <w:sz w:val="18"/>
        </w:rPr>
        <w:t> </w:t>
      </w:r>
      <w:r>
        <w:rPr>
          <w:sz w:val="18"/>
        </w:rPr>
        <w:t>cost</w:t>
      </w:r>
      <w:r>
        <w:rPr>
          <w:spacing w:val="-11"/>
          <w:sz w:val="18"/>
        </w:rPr>
        <w:t> </w:t>
      </w:r>
      <w:r>
        <w:rPr>
          <w:sz w:val="18"/>
        </w:rPr>
        <w:t>would</w:t>
      </w:r>
      <w:r>
        <w:rPr>
          <w:spacing w:val="-11"/>
          <w:sz w:val="18"/>
        </w:rPr>
        <w:t> </w:t>
      </w:r>
      <w:r>
        <w:rPr>
          <w:sz w:val="18"/>
        </w:rPr>
        <w:t>be</w:t>
      </w:r>
      <w:r>
        <w:rPr>
          <w:spacing w:val="-11"/>
          <w:sz w:val="18"/>
        </w:rPr>
        <w:t> </w:t>
      </w:r>
      <w:r>
        <w:rPr>
          <w:sz w:val="18"/>
        </w:rPr>
        <w:t>Rs.</w:t>
      </w:r>
      <w:r>
        <w:rPr>
          <w:spacing w:val="-11"/>
          <w:sz w:val="18"/>
        </w:rPr>
        <w:t> </w:t>
      </w:r>
      <w:r>
        <w:rPr>
          <w:sz w:val="18"/>
        </w:rPr>
        <w:t>37,000</w:t>
      </w:r>
      <w:r>
        <w:rPr>
          <w:spacing w:val="-11"/>
          <w:sz w:val="18"/>
        </w:rPr>
        <w:t> </w:t>
      </w:r>
      <w:r>
        <w:rPr>
          <w:sz w:val="18"/>
        </w:rPr>
        <w:t>crore</w:t>
      </w:r>
      <w:r>
        <w:rPr>
          <w:spacing w:val="-11"/>
          <w:sz w:val="18"/>
        </w:rPr>
        <w:t> </w:t>
      </w:r>
      <w:r>
        <w:rPr>
          <w:sz w:val="18"/>
        </w:rPr>
        <w:t>over</w:t>
      </w:r>
      <w:r>
        <w:rPr>
          <w:spacing w:val="-11"/>
          <w:sz w:val="18"/>
        </w:rPr>
        <w:t> </w:t>
      </w:r>
      <w:r>
        <w:rPr>
          <w:sz w:val="18"/>
        </w:rPr>
        <w:t>the</w:t>
      </w:r>
      <w:r>
        <w:rPr>
          <w:spacing w:val="-11"/>
          <w:sz w:val="18"/>
        </w:rPr>
        <w:t> </w:t>
      </w:r>
      <w:r>
        <w:rPr>
          <w:sz w:val="18"/>
        </w:rPr>
        <w:t>11th</w:t>
      </w:r>
      <w:r>
        <w:rPr>
          <w:spacing w:val="-11"/>
          <w:sz w:val="18"/>
        </w:rPr>
        <w:t> </w:t>
      </w:r>
      <w:r>
        <w:rPr>
          <w:sz w:val="18"/>
        </w:rPr>
        <w:t>Plan</w:t>
      </w:r>
      <w:r>
        <w:rPr>
          <w:spacing w:val="-11"/>
          <w:sz w:val="18"/>
        </w:rPr>
        <w:t> </w:t>
      </w:r>
      <w:r>
        <w:rPr>
          <w:sz w:val="18"/>
        </w:rPr>
        <w:t>period,</w:t>
      </w:r>
      <w:r>
        <w:rPr>
          <w:spacing w:val="-11"/>
          <w:sz w:val="18"/>
        </w:rPr>
        <w:t> </w:t>
      </w:r>
      <w:r>
        <w:rPr>
          <w:sz w:val="18"/>
        </w:rPr>
        <w:t>that</w:t>
      </w:r>
      <w:r>
        <w:rPr>
          <w:spacing w:val="-11"/>
          <w:sz w:val="18"/>
        </w:rPr>
        <w:t> </w:t>
      </w:r>
      <w:r>
        <w:rPr>
          <w:sz w:val="18"/>
        </w:rPr>
        <w:t>is around Rs. 7,000 crore per annum.</w:t>
      </w:r>
    </w:p>
    <w:p>
      <w:pPr>
        <w:spacing w:line="254" w:lineRule="auto" w:before="91"/>
        <w:ind w:left="1079" w:right="921" w:firstLine="0"/>
        <w:jc w:val="left"/>
        <w:rPr>
          <w:sz w:val="18"/>
        </w:rPr>
      </w:pPr>
      <w:r>
        <w:rPr>
          <w:spacing w:val="-2"/>
          <w:position w:val="6"/>
          <w:sz w:val="10"/>
        </w:rPr>
        <w:t>2</w:t>
      </w:r>
      <w:r>
        <w:rPr>
          <w:spacing w:val="2"/>
          <w:position w:val="6"/>
          <w:sz w:val="10"/>
        </w:rPr>
        <w:t> </w:t>
      </w:r>
      <w:r>
        <w:rPr>
          <w:spacing w:val="-2"/>
          <w:sz w:val="18"/>
        </w:rPr>
        <w:t>Currently,</w:t>
      </w:r>
      <w:r>
        <w:rPr>
          <w:spacing w:val="-9"/>
          <w:sz w:val="18"/>
        </w:rPr>
        <w:t> </w:t>
      </w:r>
      <w:r>
        <w:rPr>
          <w:spacing w:val="-2"/>
          <w:sz w:val="18"/>
        </w:rPr>
        <w:t>the</w:t>
      </w:r>
      <w:r>
        <w:rPr>
          <w:spacing w:val="-10"/>
          <w:sz w:val="18"/>
        </w:rPr>
        <w:t> </w:t>
      </w:r>
      <w:r>
        <w:rPr>
          <w:spacing w:val="-2"/>
          <w:sz w:val="18"/>
        </w:rPr>
        <w:t>ratio</w:t>
      </w:r>
      <w:r>
        <w:rPr>
          <w:spacing w:val="-9"/>
          <w:sz w:val="18"/>
        </w:rPr>
        <w:t> </w:t>
      </w:r>
      <w:r>
        <w:rPr>
          <w:spacing w:val="-2"/>
          <w:sz w:val="18"/>
        </w:rPr>
        <w:t>of</w:t>
      </w:r>
      <w:r>
        <w:rPr>
          <w:spacing w:val="-9"/>
          <w:sz w:val="18"/>
        </w:rPr>
        <w:t> </w:t>
      </w:r>
      <w:r>
        <w:rPr>
          <w:spacing w:val="-2"/>
          <w:sz w:val="18"/>
        </w:rPr>
        <w:t>central</w:t>
      </w:r>
      <w:r>
        <w:rPr>
          <w:spacing w:val="-9"/>
          <w:sz w:val="18"/>
        </w:rPr>
        <w:t> </w:t>
      </w:r>
      <w:r>
        <w:rPr>
          <w:spacing w:val="-2"/>
          <w:sz w:val="18"/>
        </w:rPr>
        <w:t>government</w:t>
      </w:r>
      <w:r>
        <w:rPr>
          <w:spacing w:val="-10"/>
          <w:sz w:val="18"/>
        </w:rPr>
        <w:t> </w:t>
      </w:r>
      <w:r>
        <w:rPr>
          <w:spacing w:val="-2"/>
          <w:sz w:val="18"/>
        </w:rPr>
        <w:t>to</w:t>
      </w:r>
      <w:r>
        <w:rPr>
          <w:spacing w:val="-9"/>
          <w:sz w:val="18"/>
        </w:rPr>
        <w:t> </w:t>
      </w:r>
      <w:r>
        <w:rPr>
          <w:spacing w:val="-2"/>
          <w:sz w:val="18"/>
        </w:rPr>
        <w:t>state</w:t>
      </w:r>
      <w:r>
        <w:rPr>
          <w:spacing w:val="-9"/>
          <w:sz w:val="18"/>
        </w:rPr>
        <w:t> </w:t>
      </w:r>
      <w:r>
        <w:rPr>
          <w:spacing w:val="-2"/>
          <w:sz w:val="18"/>
        </w:rPr>
        <w:t>government</w:t>
      </w:r>
      <w:r>
        <w:rPr>
          <w:spacing w:val="-9"/>
          <w:sz w:val="18"/>
        </w:rPr>
        <w:t> </w:t>
      </w:r>
      <w:r>
        <w:rPr>
          <w:spacing w:val="-2"/>
          <w:sz w:val="18"/>
        </w:rPr>
        <w:t>spending</w:t>
      </w:r>
      <w:r>
        <w:rPr>
          <w:spacing w:val="-10"/>
          <w:sz w:val="18"/>
        </w:rPr>
        <w:t> </w:t>
      </w:r>
      <w:r>
        <w:rPr>
          <w:spacing w:val="-2"/>
          <w:sz w:val="18"/>
        </w:rPr>
        <w:t>for</w:t>
      </w:r>
      <w:r>
        <w:rPr>
          <w:spacing w:val="-9"/>
          <w:sz w:val="18"/>
        </w:rPr>
        <w:t> </w:t>
      </w:r>
      <w:r>
        <w:rPr>
          <w:spacing w:val="-2"/>
          <w:sz w:val="18"/>
        </w:rPr>
        <w:t>school</w:t>
      </w:r>
      <w:r>
        <w:rPr>
          <w:spacing w:val="-9"/>
          <w:sz w:val="18"/>
        </w:rPr>
        <w:t> </w:t>
      </w:r>
      <w:r>
        <w:rPr>
          <w:spacing w:val="-2"/>
          <w:sz w:val="18"/>
        </w:rPr>
        <w:t>education,</w:t>
      </w:r>
      <w:r>
        <w:rPr>
          <w:spacing w:val="-9"/>
          <w:sz w:val="18"/>
        </w:rPr>
        <w:t> </w:t>
      </w:r>
      <w:r>
        <w:rPr>
          <w:spacing w:val="-2"/>
          <w:sz w:val="18"/>
        </w:rPr>
        <w:t>including</w:t>
      </w:r>
      <w:r>
        <w:rPr>
          <w:spacing w:val="-10"/>
          <w:sz w:val="18"/>
        </w:rPr>
        <w:t> </w:t>
      </w:r>
      <w:r>
        <w:rPr>
          <w:spacing w:val="-2"/>
          <w:sz w:val="18"/>
        </w:rPr>
        <w:t>SSA,</w:t>
      </w:r>
      <w:r>
        <w:rPr>
          <w:spacing w:val="-9"/>
          <w:sz w:val="18"/>
        </w:rPr>
        <w:t> </w:t>
      </w:r>
      <w:r>
        <w:rPr>
          <w:spacing w:val="-2"/>
          <w:sz w:val="18"/>
        </w:rPr>
        <w:t>is</w:t>
      </w:r>
      <w:r>
        <w:rPr>
          <w:spacing w:val="-9"/>
          <w:sz w:val="18"/>
        </w:rPr>
        <w:t> </w:t>
      </w:r>
      <w:r>
        <w:rPr>
          <w:spacing w:val="-2"/>
          <w:sz w:val="18"/>
        </w:rPr>
        <w:t>12:88.</w:t>
      </w:r>
      <w:r>
        <w:rPr>
          <w:spacing w:val="-9"/>
          <w:sz w:val="18"/>
        </w:rPr>
        <w:t> </w:t>
      </w:r>
      <w:r>
        <w:rPr>
          <w:spacing w:val="-2"/>
          <w:sz w:val="18"/>
        </w:rPr>
        <w:t>If</w:t>
      </w:r>
      <w:r>
        <w:rPr>
          <w:spacing w:val="-10"/>
          <w:sz w:val="18"/>
        </w:rPr>
        <w:t> </w:t>
      </w:r>
      <w:r>
        <w:rPr>
          <w:spacing w:val="-2"/>
          <w:sz w:val="18"/>
        </w:rPr>
        <w:t>mid-day</w:t>
      </w:r>
      <w:r>
        <w:rPr>
          <w:spacing w:val="-9"/>
          <w:sz w:val="18"/>
        </w:rPr>
        <w:t> </w:t>
      </w:r>
      <w:r>
        <w:rPr>
          <w:spacing w:val="-2"/>
          <w:sz w:val="18"/>
        </w:rPr>
        <w:t>meals</w:t>
      </w:r>
      <w:r>
        <w:rPr>
          <w:spacing w:val="-9"/>
          <w:sz w:val="18"/>
        </w:rPr>
        <w:t> </w:t>
      </w:r>
      <w:r>
        <w:rPr>
          <w:spacing w:val="-2"/>
          <w:sz w:val="18"/>
        </w:rPr>
        <w:t>are </w:t>
      </w:r>
      <w:r>
        <w:rPr>
          <w:sz w:val="18"/>
        </w:rPr>
        <w:t>included, it is 20:80.</w:t>
      </w:r>
    </w:p>
    <w:p>
      <w:pPr>
        <w:spacing w:after="0" w:line="254" w:lineRule="auto"/>
        <w:jc w:val="left"/>
        <w:rPr>
          <w:sz w:val="18"/>
        </w:rPr>
        <w:sectPr>
          <w:type w:val="continuous"/>
          <w:pgSz w:w="11910" w:h="16840"/>
          <w:pgMar w:header="0" w:footer="634"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2"/>
        <w:rPr>
          <w:sz w:val="20"/>
        </w:rPr>
      </w:pPr>
    </w:p>
    <w:p>
      <w:pPr>
        <w:spacing w:after="0"/>
        <w:rPr>
          <w:sz w:val="20"/>
        </w:rPr>
        <w:sectPr>
          <w:pgSz w:w="11910" w:h="16840"/>
          <w:pgMar w:header="0" w:footer="675" w:top="0" w:bottom="860" w:left="0" w:right="0"/>
        </w:sectPr>
      </w:pPr>
    </w:p>
    <w:p>
      <w:pPr>
        <w:pStyle w:val="BodyText"/>
        <w:spacing w:line="266" w:lineRule="auto" w:before="82"/>
        <w:ind w:left="1786"/>
        <w:jc w:val="both"/>
      </w:pPr>
      <w:r>
        <w:rPr/>
        <mc:AlternateContent>
          <mc:Choice Requires="wps">
            <w:drawing>
              <wp:anchor distT="0" distB="0" distL="0" distR="0" allowOverlap="1" layoutInCell="1" locked="0" behindDoc="0" simplePos="0" relativeHeight="15750656">
                <wp:simplePos x="0" y="0"/>
                <wp:positionH relativeFrom="page">
                  <wp:posOffset>0</wp:posOffset>
                </wp:positionH>
                <wp:positionV relativeFrom="paragraph">
                  <wp:posOffset>-2196760</wp:posOffset>
                </wp:positionV>
                <wp:extent cx="7560309" cy="1752600"/>
                <wp:effectExtent l="0" t="0" r="0" b="0"/>
                <wp:wrapNone/>
                <wp:docPr id="810" name="Group 810"/>
                <wp:cNvGraphicFramePr>
                  <a:graphicFrameLocks/>
                </wp:cNvGraphicFramePr>
                <a:graphic>
                  <a:graphicData uri="http://schemas.microsoft.com/office/word/2010/wordprocessingGroup">
                    <wpg:wgp>
                      <wpg:cNvPr id="810" name="Group 810"/>
                      <wpg:cNvGrpSpPr/>
                      <wpg:grpSpPr>
                        <a:xfrm>
                          <a:off x="0" y="0"/>
                          <a:ext cx="7560309" cy="1752600"/>
                          <a:chExt cx="7560309" cy="1752600"/>
                        </a:xfrm>
                      </wpg:grpSpPr>
                      <pic:pic>
                        <pic:nvPicPr>
                          <pic:cNvPr id="811" name="Image 811"/>
                          <pic:cNvPicPr/>
                        </pic:nvPicPr>
                        <pic:blipFill>
                          <a:blip r:embed="rId11" cstate="print"/>
                          <a:stretch>
                            <a:fillRect/>
                          </a:stretch>
                        </pic:blipFill>
                        <pic:spPr>
                          <a:xfrm>
                            <a:off x="0" y="0"/>
                            <a:ext cx="7559999" cy="1752562"/>
                          </a:xfrm>
                          <a:prstGeom prst="rect">
                            <a:avLst/>
                          </a:prstGeom>
                        </pic:spPr>
                      </pic:pic>
                      <wps:wsp>
                        <wps:cNvPr id="812" name="Textbox 812"/>
                        <wps:cNvSpPr txBox="1"/>
                        <wps:spPr>
                          <a:xfrm>
                            <a:off x="688544" y="598688"/>
                            <a:ext cx="1904364" cy="501650"/>
                          </a:xfrm>
                          <a:prstGeom prst="rect">
                            <a:avLst/>
                          </a:prstGeom>
                        </wps:spPr>
                        <wps:txbx>
                          <w:txbxContent>
                            <w:p>
                              <w:pPr>
                                <w:spacing w:before="0"/>
                                <w:ind w:left="0" w:right="0" w:firstLine="0"/>
                                <w:jc w:val="left"/>
                                <w:rPr>
                                  <w:rFonts w:ascii="Trebuchet MS"/>
                                  <w:b/>
                                  <w:sz w:val="68"/>
                                </w:rPr>
                              </w:pPr>
                              <w:r>
                                <w:rPr>
                                  <w:rFonts w:ascii="Trebuchet MS"/>
                                  <w:b/>
                                  <w:color w:val="FFFFFF"/>
                                  <w:spacing w:val="-2"/>
                                  <w:sz w:val="68"/>
                                </w:rPr>
                                <w:t>Language</w:t>
                              </w:r>
                            </w:p>
                          </w:txbxContent>
                        </wps:txbx>
                        <wps:bodyPr wrap="square" lIns="0" tIns="0" rIns="0" bIns="0" rtlCol="0">
                          <a:noAutofit/>
                        </wps:bodyPr>
                      </wps:wsp>
                      <wps:wsp>
                        <wps:cNvPr id="813" name="Textbox 813"/>
                        <wps:cNvSpPr txBox="1"/>
                        <wps:spPr>
                          <a:xfrm>
                            <a:off x="5883461" y="1439105"/>
                            <a:ext cx="1003935" cy="158750"/>
                          </a:xfrm>
                          <a:prstGeom prst="rect">
                            <a:avLst/>
                          </a:prstGeom>
                        </wps:spPr>
                        <wps:txbx>
                          <w:txbxContent>
                            <w:p>
                              <w:pPr>
                                <w:spacing w:line="238" w:lineRule="exact" w:before="0"/>
                                <w:ind w:left="0" w:right="0" w:firstLine="0"/>
                                <w:jc w:val="left"/>
                                <w:rPr>
                                  <w:b/>
                                  <w:sz w:val="22"/>
                                </w:rPr>
                              </w:pPr>
                              <w:r>
                                <w:rPr>
                                  <w:b/>
                                  <w:color w:val="FFFFFF"/>
                                  <w:spacing w:val="-4"/>
                                  <w:sz w:val="22"/>
                                </w:rPr>
                                <w:t>October 20,</w:t>
                              </w:r>
                              <w:r>
                                <w:rPr>
                                  <w:b/>
                                  <w:color w:val="FFFFFF"/>
                                  <w:spacing w:val="-3"/>
                                  <w:sz w:val="22"/>
                                </w:rPr>
                                <w:t> </w:t>
                              </w:r>
                              <w:r>
                                <w:rPr>
                                  <w:b/>
                                  <w:color w:val="FFFFFF"/>
                                  <w:spacing w:val="-4"/>
                                  <w:sz w:val="22"/>
                                </w:rPr>
                                <w:t>2006</w:t>
                              </w:r>
                            </w:p>
                          </w:txbxContent>
                        </wps:txbx>
                        <wps:bodyPr wrap="square" lIns="0" tIns="0" rIns="0" bIns="0" rtlCol="0">
                          <a:noAutofit/>
                        </wps:bodyPr>
                      </wps:wsp>
                    </wpg:wgp>
                  </a:graphicData>
                </a:graphic>
              </wp:anchor>
            </w:drawing>
          </mc:Choice>
          <mc:Fallback>
            <w:pict>
              <v:group style="position:absolute;margin-left:0pt;margin-top:-172.973282pt;width:595.3pt;height:138pt;mso-position-horizontal-relative:page;mso-position-vertical-relative:paragraph;z-index:15750656" id="docshapegroup803" coordorigin="0,-3459" coordsize="11906,2760">
                <v:shape style="position:absolute;left:0;top:-3460;width:11906;height:2760" type="#_x0000_t75" id="docshape804" stroked="false">
                  <v:imagedata r:id="rId11" o:title=""/>
                </v:shape>
                <v:shape style="position:absolute;left:1084;top:-2517;width:2999;height:790" type="#_x0000_t202" id="docshape805" filled="false" stroked="false">
                  <v:textbox inset="0,0,0,0">
                    <w:txbxContent>
                      <w:p>
                        <w:pPr>
                          <w:spacing w:before="0"/>
                          <w:ind w:left="0" w:right="0" w:firstLine="0"/>
                          <w:jc w:val="left"/>
                          <w:rPr>
                            <w:rFonts w:ascii="Trebuchet MS"/>
                            <w:b/>
                            <w:sz w:val="68"/>
                          </w:rPr>
                        </w:pPr>
                        <w:r>
                          <w:rPr>
                            <w:rFonts w:ascii="Trebuchet MS"/>
                            <w:b/>
                            <w:color w:val="FFFFFF"/>
                            <w:spacing w:val="-2"/>
                            <w:sz w:val="68"/>
                          </w:rPr>
                          <w:t>Language</w:t>
                        </w:r>
                      </w:p>
                    </w:txbxContent>
                  </v:textbox>
                  <w10:wrap type="none"/>
                </v:shape>
                <v:shape style="position:absolute;left:9265;top:-1194;width:1581;height:250" type="#_x0000_t202" id="docshape806" filled="false" stroked="false">
                  <v:textbox inset="0,0,0,0">
                    <w:txbxContent>
                      <w:p>
                        <w:pPr>
                          <w:spacing w:line="238" w:lineRule="exact" w:before="0"/>
                          <w:ind w:left="0" w:right="0" w:firstLine="0"/>
                          <w:jc w:val="left"/>
                          <w:rPr>
                            <w:b/>
                            <w:sz w:val="22"/>
                          </w:rPr>
                        </w:pPr>
                        <w:r>
                          <w:rPr>
                            <w:b/>
                            <w:color w:val="FFFFFF"/>
                            <w:spacing w:val="-4"/>
                            <w:sz w:val="22"/>
                          </w:rPr>
                          <w:t>October 20,</w:t>
                        </w:r>
                        <w:r>
                          <w:rPr>
                            <w:b/>
                            <w:color w:val="FFFFFF"/>
                            <w:spacing w:val="-3"/>
                            <w:sz w:val="22"/>
                          </w:rPr>
                          <w:t> </w:t>
                        </w:r>
                        <w:r>
                          <w:rPr>
                            <w:b/>
                            <w:color w:val="FFFFFF"/>
                            <w:spacing w:val="-4"/>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27744">
                <wp:simplePos x="0" y="0"/>
                <wp:positionH relativeFrom="page">
                  <wp:posOffset>688544</wp:posOffset>
                </wp:positionH>
                <wp:positionV relativeFrom="paragraph">
                  <wp:posOffset>-37141</wp:posOffset>
                </wp:positionV>
                <wp:extent cx="446405" cy="75755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4.21608pt;margin-top:-2.924506pt;width:35.15pt;height:59.65pt;mso-position-horizontal-relative:page;mso-position-vertical-relative:paragraph;z-index:-23988736" type="#_x0000_t202" id="docshape807"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National Knowledge Commission </w:t>
      </w:r>
      <w:r>
        <w:rPr/>
        <w:t>has emphasised the importance of an inclusive society</w:t>
      </w:r>
      <w:r>
        <w:rPr>
          <w:spacing w:val="59"/>
        </w:rPr>
        <w:t> </w:t>
      </w:r>
      <w:r>
        <w:rPr/>
        <w:t>as</w:t>
      </w:r>
      <w:r>
        <w:rPr>
          <w:spacing w:val="59"/>
        </w:rPr>
        <w:t> </w:t>
      </w:r>
      <w:r>
        <w:rPr/>
        <w:t>the</w:t>
      </w:r>
      <w:r>
        <w:rPr>
          <w:spacing w:val="59"/>
        </w:rPr>
        <w:t> </w:t>
      </w:r>
      <w:r>
        <w:rPr/>
        <w:t>foundation</w:t>
      </w:r>
      <w:r>
        <w:rPr>
          <w:spacing w:val="59"/>
        </w:rPr>
        <w:t> </w:t>
      </w:r>
      <w:r>
        <w:rPr/>
        <w:t>for</w:t>
      </w:r>
      <w:r>
        <w:rPr>
          <w:spacing w:val="59"/>
        </w:rPr>
        <w:t> </w:t>
      </w:r>
      <w:r>
        <w:rPr/>
        <w:t>a</w:t>
      </w:r>
      <w:r>
        <w:rPr>
          <w:spacing w:val="59"/>
        </w:rPr>
        <w:t> </w:t>
      </w:r>
      <w:r>
        <w:rPr>
          <w:spacing w:val="-8"/>
        </w:rPr>
        <w:t>knowledge</w:t>
      </w:r>
    </w:p>
    <w:p>
      <w:pPr>
        <w:pStyle w:val="BodyText"/>
        <w:spacing w:line="266" w:lineRule="auto"/>
        <w:ind w:left="1084"/>
        <w:jc w:val="both"/>
      </w:pPr>
      <w:r>
        <w:rPr/>
        <w:t>society. NKC has also recognised the significance </w:t>
      </w:r>
      <w:r>
        <w:rPr/>
        <w:t>of language, not only as a medium of instruction or a means of communication but also as a determinant</w:t>
      </w:r>
      <w:r>
        <w:rPr>
          <w:spacing w:val="40"/>
        </w:rPr>
        <w:t> </w:t>
      </w:r>
      <w:r>
        <w:rPr/>
        <w:t>of access. An understanding and command over the English language is a most important determinant of access to higher education, employment possibilities and social opportunities. School-leavers who are not </w:t>
      </w:r>
      <w:r>
        <w:rPr>
          <w:spacing w:val="-2"/>
        </w:rPr>
        <w:t>adequately</w:t>
      </w:r>
      <w:r>
        <w:rPr>
          <w:spacing w:val="-8"/>
        </w:rPr>
        <w:t> </w:t>
      </w:r>
      <w:r>
        <w:rPr>
          <w:spacing w:val="-2"/>
        </w:rPr>
        <w:t>trained</w:t>
      </w:r>
      <w:r>
        <w:rPr>
          <w:spacing w:val="-8"/>
        </w:rPr>
        <w:t> </w:t>
      </w:r>
      <w:r>
        <w:rPr>
          <w:spacing w:val="-2"/>
        </w:rPr>
        <w:t>in</w:t>
      </w:r>
      <w:r>
        <w:rPr>
          <w:spacing w:val="-8"/>
        </w:rPr>
        <w:t> </w:t>
      </w:r>
      <w:r>
        <w:rPr>
          <w:spacing w:val="-2"/>
        </w:rPr>
        <w:t>English</w:t>
      </w:r>
      <w:r>
        <w:rPr>
          <w:spacing w:val="-8"/>
        </w:rPr>
        <w:t> </w:t>
      </w:r>
      <w:r>
        <w:rPr>
          <w:spacing w:val="-2"/>
        </w:rPr>
        <w:t>as</w:t>
      </w:r>
      <w:r>
        <w:rPr>
          <w:spacing w:val="-8"/>
        </w:rPr>
        <w:t> </w:t>
      </w:r>
      <w:r>
        <w:rPr>
          <w:spacing w:val="-2"/>
        </w:rPr>
        <w:t>a</w:t>
      </w:r>
      <w:r>
        <w:rPr>
          <w:spacing w:val="-8"/>
        </w:rPr>
        <w:t> </w:t>
      </w:r>
      <w:r>
        <w:rPr>
          <w:spacing w:val="-2"/>
        </w:rPr>
        <w:t>language</w:t>
      </w:r>
      <w:r>
        <w:rPr>
          <w:spacing w:val="-8"/>
        </w:rPr>
        <w:t> </w:t>
      </w:r>
      <w:r>
        <w:rPr>
          <w:spacing w:val="-2"/>
        </w:rPr>
        <w:t>are</w:t>
      </w:r>
      <w:r>
        <w:rPr>
          <w:spacing w:val="-8"/>
        </w:rPr>
        <w:t> </w:t>
      </w:r>
      <w:r>
        <w:rPr>
          <w:spacing w:val="-2"/>
        </w:rPr>
        <w:t>always </w:t>
      </w:r>
      <w:r>
        <w:rPr/>
        <w:t>at a handicap in the world of higher education. More often</w:t>
      </w:r>
      <w:r>
        <w:rPr>
          <w:spacing w:val="-10"/>
        </w:rPr>
        <w:t> </w:t>
      </w:r>
      <w:r>
        <w:rPr/>
        <w:t>than</w:t>
      </w:r>
      <w:r>
        <w:rPr>
          <w:spacing w:val="-10"/>
        </w:rPr>
        <w:t> </w:t>
      </w:r>
      <w:r>
        <w:rPr/>
        <w:t>not,</w:t>
      </w:r>
      <w:r>
        <w:rPr>
          <w:spacing w:val="-10"/>
        </w:rPr>
        <w:t> </w:t>
      </w:r>
      <w:r>
        <w:rPr/>
        <w:t>teaching</w:t>
      </w:r>
      <w:r>
        <w:rPr>
          <w:spacing w:val="-10"/>
        </w:rPr>
        <w:t> </w:t>
      </w:r>
      <w:r>
        <w:rPr/>
        <w:t>is</w:t>
      </w:r>
      <w:r>
        <w:rPr>
          <w:spacing w:val="-10"/>
        </w:rPr>
        <w:t> </w:t>
      </w:r>
      <w:r>
        <w:rPr/>
        <w:t>in</w:t>
      </w:r>
      <w:r>
        <w:rPr>
          <w:spacing w:val="-10"/>
        </w:rPr>
        <w:t> </w:t>
      </w:r>
      <w:r>
        <w:rPr/>
        <w:t>English.</w:t>
      </w:r>
      <w:r>
        <w:rPr>
          <w:spacing w:val="-10"/>
        </w:rPr>
        <w:t> </w:t>
      </w:r>
      <w:r>
        <w:rPr/>
        <w:t>Even</w:t>
      </w:r>
      <w:r>
        <w:rPr>
          <w:spacing w:val="-10"/>
        </w:rPr>
        <w:t> </w:t>
      </w:r>
      <w:r>
        <w:rPr/>
        <w:t>if</w:t>
      </w:r>
      <w:r>
        <w:rPr>
          <w:spacing w:val="-10"/>
        </w:rPr>
        <w:t> </w:t>
      </w:r>
      <w:r>
        <w:rPr/>
        <w:t>it</w:t>
      </w:r>
      <w:r>
        <w:rPr>
          <w:spacing w:val="-10"/>
        </w:rPr>
        <w:t> </w:t>
      </w:r>
      <w:r>
        <w:rPr/>
        <w:t>is</w:t>
      </w:r>
      <w:r>
        <w:rPr>
          <w:spacing w:val="-10"/>
        </w:rPr>
        <w:t> </w:t>
      </w:r>
      <w:r>
        <w:rPr/>
        <w:t>not, </w:t>
      </w:r>
      <w:r>
        <w:rPr>
          <w:spacing w:val="-2"/>
        </w:rPr>
        <w:t>in</w:t>
      </w:r>
      <w:r>
        <w:rPr>
          <w:spacing w:val="-9"/>
        </w:rPr>
        <w:t> </w:t>
      </w:r>
      <w:r>
        <w:rPr>
          <w:spacing w:val="-2"/>
        </w:rPr>
        <w:t>most</w:t>
      </w:r>
      <w:r>
        <w:rPr>
          <w:spacing w:val="-9"/>
        </w:rPr>
        <w:t> </w:t>
      </w:r>
      <w:r>
        <w:rPr>
          <w:spacing w:val="-2"/>
        </w:rPr>
        <w:t>subjects,</w:t>
      </w:r>
      <w:r>
        <w:rPr>
          <w:spacing w:val="-9"/>
        </w:rPr>
        <w:t> </w:t>
      </w:r>
      <w:r>
        <w:rPr>
          <w:spacing w:val="-2"/>
        </w:rPr>
        <w:t>books</w:t>
      </w:r>
      <w:r>
        <w:rPr>
          <w:spacing w:val="-9"/>
        </w:rPr>
        <w:t> </w:t>
      </w:r>
      <w:r>
        <w:rPr>
          <w:spacing w:val="-2"/>
        </w:rPr>
        <w:t>and</w:t>
      </w:r>
      <w:r>
        <w:rPr>
          <w:spacing w:val="-9"/>
        </w:rPr>
        <w:t> </w:t>
      </w:r>
      <w:r>
        <w:rPr>
          <w:spacing w:val="-2"/>
        </w:rPr>
        <w:t>journals</w:t>
      </w:r>
      <w:r>
        <w:rPr>
          <w:spacing w:val="-9"/>
        </w:rPr>
        <w:t> </w:t>
      </w:r>
      <w:r>
        <w:rPr>
          <w:spacing w:val="-2"/>
        </w:rPr>
        <w:t>are</w:t>
      </w:r>
      <w:r>
        <w:rPr>
          <w:spacing w:val="-9"/>
        </w:rPr>
        <w:t> </w:t>
      </w:r>
      <w:r>
        <w:rPr>
          <w:spacing w:val="-2"/>
        </w:rPr>
        <w:t>available</w:t>
      </w:r>
      <w:r>
        <w:rPr>
          <w:spacing w:val="-9"/>
        </w:rPr>
        <w:t> </w:t>
      </w:r>
      <w:r>
        <w:rPr>
          <w:spacing w:val="-2"/>
        </w:rPr>
        <w:t>only </w:t>
      </w:r>
      <w:r>
        <w:rPr/>
        <w:t>in</w:t>
      </w:r>
      <w:r>
        <w:rPr>
          <w:spacing w:val="-1"/>
        </w:rPr>
        <w:t> </w:t>
      </w:r>
      <w:r>
        <w:rPr/>
        <w:t>English.</w:t>
      </w:r>
      <w:r>
        <w:rPr>
          <w:spacing w:val="-1"/>
        </w:rPr>
        <w:t> </w:t>
      </w:r>
      <w:r>
        <w:rPr/>
        <w:t>And</w:t>
      </w:r>
      <w:r>
        <w:rPr>
          <w:spacing w:val="-1"/>
        </w:rPr>
        <w:t> </w:t>
      </w:r>
      <w:r>
        <w:rPr/>
        <w:t>those</w:t>
      </w:r>
      <w:r>
        <w:rPr>
          <w:spacing w:val="-1"/>
        </w:rPr>
        <w:t> </w:t>
      </w:r>
      <w:r>
        <w:rPr/>
        <w:t>who</w:t>
      </w:r>
      <w:r>
        <w:rPr>
          <w:spacing w:val="-1"/>
        </w:rPr>
        <w:t> </w:t>
      </w:r>
      <w:r>
        <w:rPr/>
        <w:t>do</w:t>
      </w:r>
      <w:r>
        <w:rPr>
          <w:spacing w:val="-1"/>
        </w:rPr>
        <w:t> </w:t>
      </w:r>
      <w:r>
        <w:rPr/>
        <w:t>not</w:t>
      </w:r>
      <w:r>
        <w:rPr>
          <w:spacing w:val="-1"/>
        </w:rPr>
        <w:t> </w:t>
      </w:r>
      <w:r>
        <w:rPr/>
        <w:t>know</w:t>
      </w:r>
      <w:r>
        <w:rPr>
          <w:spacing w:val="-1"/>
        </w:rPr>
        <w:t> </w:t>
      </w:r>
      <w:r>
        <w:rPr/>
        <w:t>English</w:t>
      </w:r>
      <w:r>
        <w:rPr>
          <w:spacing w:val="-1"/>
        </w:rPr>
        <w:t> </w:t>
      </w:r>
      <w:r>
        <w:rPr/>
        <w:t>well enough</w:t>
      </w:r>
      <w:r>
        <w:rPr>
          <w:spacing w:val="28"/>
        </w:rPr>
        <w:t> </w:t>
      </w:r>
      <w:r>
        <w:rPr/>
        <w:t>find</w:t>
      </w:r>
      <w:r>
        <w:rPr>
          <w:spacing w:val="28"/>
        </w:rPr>
        <w:t> </w:t>
      </w:r>
      <w:r>
        <w:rPr/>
        <w:t>it</w:t>
      </w:r>
      <w:r>
        <w:rPr>
          <w:spacing w:val="28"/>
        </w:rPr>
        <w:t> </w:t>
      </w:r>
      <w:r>
        <w:rPr/>
        <w:t>exceedingly</w:t>
      </w:r>
      <w:r>
        <w:rPr>
          <w:spacing w:val="28"/>
        </w:rPr>
        <w:t> </w:t>
      </w:r>
      <w:r>
        <w:rPr/>
        <w:t>difficult</w:t>
      </w:r>
      <w:r>
        <w:rPr>
          <w:spacing w:val="28"/>
        </w:rPr>
        <w:t> </w:t>
      </w:r>
      <w:r>
        <w:rPr/>
        <w:t>to</w:t>
      </w:r>
      <w:r>
        <w:rPr>
          <w:spacing w:val="28"/>
        </w:rPr>
        <w:t> </w:t>
      </w:r>
      <w:r>
        <w:rPr/>
        <w:t>compete</w:t>
      </w:r>
      <w:r>
        <w:rPr>
          <w:spacing w:val="28"/>
        </w:rPr>
        <w:t> </w:t>
      </w:r>
      <w:r>
        <w:rPr/>
        <w:t>for a place in our premier educational institutions. This disadvantage is accentuated further in the world of work,</w:t>
      </w:r>
      <w:r>
        <w:rPr>
          <w:spacing w:val="-10"/>
        </w:rPr>
        <w:t> </w:t>
      </w:r>
      <w:r>
        <w:rPr/>
        <w:t>not</w:t>
      </w:r>
      <w:r>
        <w:rPr>
          <w:spacing w:val="-10"/>
        </w:rPr>
        <w:t> </w:t>
      </w:r>
      <w:r>
        <w:rPr/>
        <w:t>only</w:t>
      </w:r>
      <w:r>
        <w:rPr>
          <w:spacing w:val="-10"/>
        </w:rPr>
        <w:t> </w:t>
      </w:r>
      <w:r>
        <w:rPr/>
        <w:t>in</w:t>
      </w:r>
      <w:r>
        <w:rPr>
          <w:spacing w:val="-10"/>
        </w:rPr>
        <w:t> </w:t>
      </w:r>
      <w:r>
        <w:rPr/>
        <w:t>professional</w:t>
      </w:r>
      <w:r>
        <w:rPr>
          <w:spacing w:val="-10"/>
        </w:rPr>
        <w:t> </w:t>
      </w:r>
      <w:r>
        <w:rPr/>
        <w:t>occupations</w:t>
      </w:r>
      <w:r>
        <w:rPr>
          <w:spacing w:val="-10"/>
        </w:rPr>
        <w:t> </w:t>
      </w:r>
      <w:r>
        <w:rPr/>
        <w:t>but</w:t>
      </w:r>
      <w:r>
        <w:rPr>
          <w:spacing w:val="-10"/>
        </w:rPr>
        <w:t> </w:t>
      </w:r>
      <w:r>
        <w:rPr/>
        <w:t>also</w:t>
      </w:r>
      <w:r>
        <w:rPr>
          <w:spacing w:val="-10"/>
        </w:rPr>
        <w:t> </w:t>
      </w:r>
      <w:r>
        <w:rPr/>
        <w:t>in white-collar occupations overall.</w:t>
      </w:r>
    </w:p>
    <w:p>
      <w:pPr>
        <w:pStyle w:val="BodyText"/>
        <w:spacing w:before="11"/>
      </w:pPr>
    </w:p>
    <w:p>
      <w:pPr>
        <w:pStyle w:val="BodyText"/>
        <w:spacing w:line="266" w:lineRule="auto"/>
        <w:ind w:left="1084"/>
        <w:jc w:val="both"/>
      </w:pPr>
      <w:r>
        <w:rPr/>
        <w:t>This reality is not lost on our people, who </w:t>
      </w:r>
      <w:r>
        <w:rPr/>
        <w:t>recognise that the English language is a critical determinant of access</w:t>
      </w:r>
      <w:r>
        <w:rPr>
          <w:spacing w:val="-16"/>
        </w:rPr>
        <w:t> </w:t>
      </w:r>
      <w:r>
        <w:rPr/>
        <w:t>to,</w:t>
      </w:r>
      <w:r>
        <w:rPr>
          <w:spacing w:val="-14"/>
        </w:rPr>
        <w:t> </w:t>
      </w:r>
      <w:r>
        <w:rPr/>
        <w:t>and</w:t>
      </w:r>
      <w:r>
        <w:rPr>
          <w:spacing w:val="-14"/>
        </w:rPr>
        <w:t> </w:t>
      </w:r>
      <w:r>
        <w:rPr/>
        <w:t>opportunities</w:t>
      </w:r>
      <w:r>
        <w:rPr>
          <w:spacing w:val="-13"/>
        </w:rPr>
        <w:t> </w:t>
      </w:r>
      <w:r>
        <w:rPr/>
        <w:t>for</w:t>
      </w:r>
      <w:r>
        <w:rPr>
          <w:spacing w:val="-14"/>
        </w:rPr>
        <w:t> </w:t>
      </w:r>
      <w:r>
        <w:rPr/>
        <w:t>a</w:t>
      </w:r>
      <w:r>
        <w:rPr>
          <w:spacing w:val="-14"/>
        </w:rPr>
        <w:t> </w:t>
      </w:r>
      <w:r>
        <w:rPr/>
        <w:t>better</w:t>
      </w:r>
      <w:r>
        <w:rPr>
          <w:spacing w:val="-14"/>
        </w:rPr>
        <w:t> </w:t>
      </w:r>
      <w:r>
        <w:rPr/>
        <w:t>life.</w:t>
      </w:r>
      <w:r>
        <w:rPr>
          <w:spacing w:val="-13"/>
        </w:rPr>
        <w:t> </w:t>
      </w:r>
      <w:r>
        <w:rPr/>
        <w:t>Available information suggests that middle-income or lower- income households spend a large proportion of their modest</w:t>
      </w:r>
      <w:r>
        <w:rPr>
          <w:spacing w:val="-7"/>
        </w:rPr>
        <w:t> </w:t>
      </w:r>
      <w:r>
        <w:rPr/>
        <w:t>income</w:t>
      </w:r>
      <w:r>
        <w:rPr>
          <w:spacing w:val="-7"/>
        </w:rPr>
        <w:t> </w:t>
      </w:r>
      <w:r>
        <w:rPr/>
        <w:t>on</w:t>
      </w:r>
      <w:r>
        <w:rPr>
          <w:spacing w:val="-7"/>
        </w:rPr>
        <w:t> </w:t>
      </w:r>
      <w:r>
        <w:rPr/>
        <w:t>sending</w:t>
      </w:r>
      <w:r>
        <w:rPr>
          <w:spacing w:val="-7"/>
        </w:rPr>
        <w:t> </w:t>
      </w:r>
      <w:r>
        <w:rPr/>
        <w:t>their</w:t>
      </w:r>
      <w:r>
        <w:rPr>
          <w:spacing w:val="-7"/>
        </w:rPr>
        <w:t> </w:t>
      </w:r>
      <w:r>
        <w:rPr/>
        <w:t>children</w:t>
      </w:r>
      <w:r>
        <w:rPr>
          <w:spacing w:val="-7"/>
        </w:rPr>
        <w:t> </w:t>
      </w:r>
      <w:r>
        <w:rPr/>
        <w:t>to</w:t>
      </w:r>
      <w:r>
        <w:rPr>
          <w:spacing w:val="-7"/>
        </w:rPr>
        <w:t> </w:t>
      </w:r>
      <w:r>
        <w:rPr/>
        <w:t>relatively expensive</w:t>
      </w:r>
      <w:r>
        <w:rPr>
          <w:spacing w:val="-14"/>
        </w:rPr>
        <w:t> </w:t>
      </w:r>
      <w:r>
        <w:rPr/>
        <w:t>English</w:t>
      </w:r>
      <w:r>
        <w:rPr>
          <w:spacing w:val="-14"/>
        </w:rPr>
        <w:t> </w:t>
      </w:r>
      <w:r>
        <w:rPr/>
        <w:t>medium</w:t>
      </w:r>
      <w:r>
        <w:rPr>
          <w:spacing w:val="-13"/>
        </w:rPr>
        <w:t> </w:t>
      </w:r>
      <w:r>
        <w:rPr/>
        <w:t>schools.</w:t>
      </w:r>
      <w:r>
        <w:rPr>
          <w:spacing w:val="-14"/>
        </w:rPr>
        <w:t> </w:t>
      </w:r>
      <w:r>
        <w:rPr/>
        <w:t>Such</w:t>
      </w:r>
      <w:r>
        <w:rPr>
          <w:spacing w:val="-14"/>
        </w:rPr>
        <w:t> </w:t>
      </w:r>
      <w:r>
        <w:rPr/>
        <w:t>educational opportunities</w:t>
      </w:r>
      <w:r>
        <w:rPr>
          <w:spacing w:val="-3"/>
        </w:rPr>
        <w:t> </w:t>
      </w:r>
      <w:r>
        <w:rPr/>
        <w:t>for</w:t>
      </w:r>
      <w:r>
        <w:rPr>
          <w:spacing w:val="-3"/>
        </w:rPr>
        <w:t> </w:t>
      </w:r>
      <w:r>
        <w:rPr/>
        <w:t>children</w:t>
      </w:r>
      <w:r>
        <w:rPr>
          <w:spacing w:val="-3"/>
        </w:rPr>
        <w:t> </w:t>
      </w:r>
      <w:r>
        <w:rPr/>
        <w:t>are</w:t>
      </w:r>
      <w:r>
        <w:rPr>
          <w:spacing w:val="-3"/>
        </w:rPr>
        <w:t> </w:t>
      </w:r>
      <w:r>
        <w:rPr/>
        <w:t>a</w:t>
      </w:r>
      <w:r>
        <w:rPr>
          <w:spacing w:val="-3"/>
        </w:rPr>
        <w:t> </w:t>
      </w:r>
      <w:r>
        <w:rPr/>
        <w:t>priority</w:t>
      </w:r>
      <w:r>
        <w:rPr>
          <w:spacing w:val="-3"/>
        </w:rPr>
        <w:t> </w:t>
      </w:r>
      <w:r>
        <w:rPr/>
        <w:t>that</w:t>
      </w:r>
      <w:r>
        <w:rPr>
          <w:spacing w:val="-3"/>
        </w:rPr>
        <w:t> </w:t>
      </w:r>
      <w:r>
        <w:rPr/>
        <w:t>is</w:t>
      </w:r>
      <w:r>
        <w:rPr>
          <w:spacing w:val="-3"/>
        </w:rPr>
        <w:t> </w:t>
      </w:r>
      <w:r>
        <w:rPr/>
        <w:t>almost at par with health care for the family. But there are a very</w:t>
      </w:r>
      <w:r>
        <w:rPr>
          <w:spacing w:val="-2"/>
        </w:rPr>
        <w:t> </w:t>
      </w:r>
      <w:r>
        <w:rPr/>
        <w:t>large</w:t>
      </w:r>
      <w:r>
        <w:rPr>
          <w:spacing w:val="-2"/>
        </w:rPr>
        <w:t> </w:t>
      </w:r>
      <w:r>
        <w:rPr/>
        <w:t>number</w:t>
      </w:r>
      <w:r>
        <w:rPr>
          <w:spacing w:val="-2"/>
        </w:rPr>
        <w:t> </w:t>
      </w:r>
      <w:r>
        <w:rPr/>
        <w:t>of</w:t>
      </w:r>
      <w:r>
        <w:rPr>
          <w:spacing w:val="-2"/>
        </w:rPr>
        <w:t> </w:t>
      </w:r>
      <w:r>
        <w:rPr/>
        <w:t>people</w:t>
      </w:r>
      <w:r>
        <w:rPr>
          <w:spacing w:val="-2"/>
        </w:rPr>
        <w:t> </w:t>
      </w:r>
      <w:r>
        <w:rPr/>
        <w:t>who</w:t>
      </w:r>
      <w:r>
        <w:rPr>
          <w:spacing w:val="-2"/>
        </w:rPr>
        <w:t> </w:t>
      </w:r>
      <w:r>
        <w:rPr/>
        <w:t>simply</w:t>
      </w:r>
      <w:r>
        <w:rPr>
          <w:spacing w:val="-2"/>
        </w:rPr>
        <w:t> </w:t>
      </w:r>
      <w:r>
        <w:rPr/>
        <w:t>do</w:t>
      </w:r>
      <w:r>
        <w:rPr>
          <w:spacing w:val="-2"/>
        </w:rPr>
        <w:t> </w:t>
      </w:r>
      <w:r>
        <w:rPr/>
        <w:t>not</w:t>
      </w:r>
      <w:r>
        <w:rPr>
          <w:spacing w:val="-2"/>
        </w:rPr>
        <w:t> </w:t>
      </w:r>
      <w:r>
        <w:rPr/>
        <w:t>have the resources for such investment. The outcome is </w:t>
      </w:r>
      <w:r>
        <w:rPr>
          <w:spacing w:val="-4"/>
        </w:rPr>
        <w:t>exclusion.</w:t>
      </w:r>
      <w:r>
        <w:rPr>
          <w:spacing w:val="-10"/>
        </w:rPr>
        <w:t> </w:t>
      </w:r>
      <w:r>
        <w:rPr>
          <w:spacing w:val="-4"/>
        </w:rPr>
        <w:t>We</w:t>
      </w:r>
      <w:r>
        <w:rPr>
          <w:spacing w:val="-10"/>
        </w:rPr>
        <w:t> </w:t>
      </w:r>
      <w:r>
        <w:rPr>
          <w:spacing w:val="-4"/>
        </w:rPr>
        <w:t>believe</w:t>
      </w:r>
      <w:r>
        <w:rPr>
          <w:spacing w:val="-10"/>
        </w:rPr>
        <w:t> </w:t>
      </w:r>
      <w:r>
        <w:rPr>
          <w:spacing w:val="-4"/>
        </w:rPr>
        <w:t>that</w:t>
      </w:r>
      <w:r>
        <w:rPr>
          <w:spacing w:val="-9"/>
        </w:rPr>
        <w:t> </w:t>
      </w:r>
      <w:r>
        <w:rPr>
          <w:spacing w:val="-4"/>
        </w:rPr>
        <w:t>inclusion</w:t>
      </w:r>
      <w:r>
        <w:rPr>
          <w:spacing w:val="-10"/>
        </w:rPr>
        <w:t> </w:t>
      </w:r>
      <w:r>
        <w:rPr>
          <w:spacing w:val="-4"/>
        </w:rPr>
        <w:t>is</w:t>
      </w:r>
      <w:r>
        <w:rPr>
          <w:spacing w:val="-9"/>
        </w:rPr>
        <w:t> </w:t>
      </w:r>
      <w:r>
        <w:rPr>
          <w:spacing w:val="-4"/>
        </w:rPr>
        <w:t>possible</w:t>
      </w:r>
      <w:r>
        <w:rPr>
          <w:spacing w:val="-9"/>
        </w:rPr>
        <w:t> </w:t>
      </w:r>
      <w:r>
        <w:rPr>
          <w:spacing w:val="-4"/>
        </w:rPr>
        <w:t>through </w:t>
      </w:r>
      <w:r>
        <w:rPr/>
        <w:t>public provision.</w:t>
      </w:r>
    </w:p>
    <w:p>
      <w:pPr>
        <w:pStyle w:val="BodyText"/>
        <w:spacing w:before="16"/>
      </w:pPr>
    </w:p>
    <w:p>
      <w:pPr>
        <w:pStyle w:val="BodyText"/>
        <w:spacing w:line="266" w:lineRule="auto"/>
        <w:ind w:left="1084"/>
        <w:jc w:val="both"/>
      </w:pPr>
      <w:r>
        <w:rPr/>
        <w:t>There is an irony in the situation. English has </w:t>
      </w:r>
      <w:r>
        <w:rPr/>
        <w:t>been part</w:t>
      </w:r>
      <w:r>
        <w:rPr>
          <w:spacing w:val="-4"/>
        </w:rPr>
        <w:t> </w:t>
      </w:r>
      <w:r>
        <w:rPr/>
        <w:t>of</w:t>
      </w:r>
      <w:r>
        <w:rPr>
          <w:spacing w:val="-4"/>
        </w:rPr>
        <w:t> </w:t>
      </w:r>
      <w:r>
        <w:rPr/>
        <w:t>our</w:t>
      </w:r>
      <w:r>
        <w:rPr>
          <w:spacing w:val="-4"/>
        </w:rPr>
        <w:t> </w:t>
      </w:r>
      <w:r>
        <w:rPr/>
        <w:t>education</w:t>
      </w:r>
      <w:r>
        <w:rPr>
          <w:spacing w:val="-4"/>
        </w:rPr>
        <w:t> </w:t>
      </w:r>
      <w:r>
        <w:rPr/>
        <w:t>system</w:t>
      </w:r>
      <w:r>
        <w:rPr>
          <w:spacing w:val="-4"/>
        </w:rPr>
        <w:t> </w:t>
      </w:r>
      <w:r>
        <w:rPr/>
        <w:t>for</w:t>
      </w:r>
      <w:r>
        <w:rPr>
          <w:spacing w:val="-4"/>
        </w:rPr>
        <w:t> </w:t>
      </w:r>
      <w:r>
        <w:rPr/>
        <w:t>more</w:t>
      </w:r>
      <w:r>
        <w:rPr>
          <w:spacing w:val="-4"/>
        </w:rPr>
        <w:t> </w:t>
      </w:r>
      <w:r>
        <w:rPr/>
        <w:t>than</w:t>
      </w:r>
      <w:r>
        <w:rPr>
          <w:spacing w:val="-4"/>
        </w:rPr>
        <w:t> </w:t>
      </w:r>
      <w:r>
        <w:rPr/>
        <w:t>a</w:t>
      </w:r>
      <w:r>
        <w:rPr>
          <w:spacing w:val="-4"/>
        </w:rPr>
        <w:t> </w:t>
      </w:r>
      <w:r>
        <w:rPr/>
        <w:t>century. Yet</w:t>
      </w:r>
      <w:r>
        <w:rPr>
          <w:spacing w:val="-7"/>
        </w:rPr>
        <w:t> </w:t>
      </w:r>
      <w:r>
        <w:rPr/>
        <w:t>English</w:t>
      </w:r>
      <w:r>
        <w:rPr>
          <w:spacing w:val="-7"/>
        </w:rPr>
        <w:t> </w:t>
      </w:r>
      <w:r>
        <w:rPr/>
        <w:t>is</w:t>
      </w:r>
      <w:r>
        <w:rPr>
          <w:spacing w:val="-7"/>
        </w:rPr>
        <w:t> </w:t>
      </w:r>
      <w:r>
        <w:rPr/>
        <w:t>beyond</w:t>
      </w:r>
      <w:r>
        <w:rPr>
          <w:spacing w:val="-7"/>
        </w:rPr>
        <w:t> </w:t>
      </w:r>
      <w:r>
        <w:rPr/>
        <w:t>the</w:t>
      </w:r>
      <w:r>
        <w:rPr>
          <w:spacing w:val="-7"/>
        </w:rPr>
        <w:t> </w:t>
      </w:r>
      <w:r>
        <w:rPr/>
        <w:t>reach</w:t>
      </w:r>
      <w:r>
        <w:rPr>
          <w:spacing w:val="-7"/>
        </w:rPr>
        <w:t> </w:t>
      </w:r>
      <w:r>
        <w:rPr/>
        <w:t>of</w:t>
      </w:r>
      <w:r>
        <w:rPr>
          <w:spacing w:val="-7"/>
        </w:rPr>
        <w:t> </w:t>
      </w:r>
      <w:r>
        <w:rPr/>
        <w:t>most</w:t>
      </w:r>
      <w:r>
        <w:rPr>
          <w:spacing w:val="-7"/>
        </w:rPr>
        <w:t> </w:t>
      </w:r>
      <w:r>
        <w:rPr/>
        <w:t>of</w:t>
      </w:r>
      <w:r>
        <w:rPr>
          <w:spacing w:val="-7"/>
        </w:rPr>
        <w:t> </w:t>
      </w:r>
      <w:r>
        <w:rPr/>
        <w:t>our</w:t>
      </w:r>
      <w:r>
        <w:rPr>
          <w:spacing w:val="-7"/>
        </w:rPr>
        <w:t> </w:t>
      </w:r>
      <w:r>
        <w:rPr/>
        <w:t>young </w:t>
      </w:r>
      <w:r>
        <w:rPr>
          <w:spacing w:val="-4"/>
        </w:rPr>
        <w:t>people,</w:t>
      </w:r>
      <w:r>
        <w:rPr>
          <w:spacing w:val="-10"/>
        </w:rPr>
        <w:t> </w:t>
      </w:r>
      <w:r>
        <w:rPr>
          <w:spacing w:val="-4"/>
        </w:rPr>
        <w:t>which</w:t>
      </w:r>
      <w:r>
        <w:rPr>
          <w:spacing w:val="-10"/>
        </w:rPr>
        <w:t> </w:t>
      </w:r>
      <w:r>
        <w:rPr>
          <w:spacing w:val="-4"/>
        </w:rPr>
        <w:t>makes</w:t>
      </w:r>
      <w:r>
        <w:rPr>
          <w:spacing w:val="-10"/>
        </w:rPr>
        <w:t> </w:t>
      </w:r>
      <w:r>
        <w:rPr>
          <w:spacing w:val="-4"/>
        </w:rPr>
        <w:t>for</w:t>
      </w:r>
      <w:r>
        <w:rPr>
          <w:spacing w:val="-9"/>
        </w:rPr>
        <w:t> </w:t>
      </w:r>
      <w:r>
        <w:rPr>
          <w:spacing w:val="-4"/>
        </w:rPr>
        <w:t>highly</w:t>
      </w:r>
      <w:r>
        <w:rPr>
          <w:spacing w:val="-10"/>
        </w:rPr>
        <w:t> </w:t>
      </w:r>
      <w:r>
        <w:rPr>
          <w:spacing w:val="-4"/>
        </w:rPr>
        <w:t>unequal</w:t>
      </w:r>
      <w:r>
        <w:rPr>
          <w:spacing w:val="-10"/>
        </w:rPr>
        <w:t> </w:t>
      </w:r>
      <w:r>
        <w:rPr>
          <w:spacing w:val="-4"/>
        </w:rPr>
        <w:t>access.</w:t>
      </w:r>
      <w:r>
        <w:rPr>
          <w:spacing w:val="-10"/>
        </w:rPr>
        <w:t> </w:t>
      </w:r>
      <w:r>
        <w:rPr>
          <w:spacing w:val="-4"/>
        </w:rPr>
        <w:t>Indeed, </w:t>
      </w:r>
      <w:r>
        <w:rPr/>
        <w:t>even</w:t>
      </w:r>
      <w:r>
        <w:rPr>
          <w:spacing w:val="-14"/>
        </w:rPr>
        <w:t> </w:t>
      </w:r>
      <w:r>
        <w:rPr/>
        <w:t>now,</w:t>
      </w:r>
      <w:r>
        <w:rPr>
          <w:spacing w:val="-14"/>
        </w:rPr>
        <w:t> </w:t>
      </w:r>
      <w:r>
        <w:rPr/>
        <w:t>no</w:t>
      </w:r>
      <w:r>
        <w:rPr>
          <w:spacing w:val="-14"/>
        </w:rPr>
        <w:t> </w:t>
      </w:r>
      <w:r>
        <w:rPr/>
        <w:t>more</w:t>
      </w:r>
      <w:r>
        <w:rPr>
          <w:spacing w:val="-13"/>
        </w:rPr>
        <w:t> </w:t>
      </w:r>
      <w:r>
        <w:rPr/>
        <w:t>than</w:t>
      </w:r>
      <w:r>
        <w:rPr>
          <w:spacing w:val="-14"/>
        </w:rPr>
        <w:t> </w:t>
      </w:r>
      <w:r>
        <w:rPr/>
        <w:t>one</w:t>
      </w:r>
      <w:r>
        <w:rPr>
          <w:spacing w:val="-14"/>
        </w:rPr>
        <w:t> </w:t>
      </w:r>
      <w:r>
        <w:rPr/>
        <w:t>per</w:t>
      </w:r>
      <w:r>
        <w:rPr>
          <w:spacing w:val="-14"/>
        </w:rPr>
        <w:t> </w:t>
      </w:r>
      <w:r>
        <w:rPr/>
        <w:t>cent</w:t>
      </w:r>
      <w:r>
        <w:rPr>
          <w:spacing w:val="-13"/>
        </w:rPr>
        <w:t> </w:t>
      </w:r>
      <w:r>
        <w:rPr/>
        <w:t>of</w:t>
      </w:r>
      <w:r>
        <w:rPr>
          <w:spacing w:val="-14"/>
        </w:rPr>
        <w:t> </w:t>
      </w:r>
      <w:r>
        <w:rPr/>
        <w:t>our</w:t>
      </w:r>
      <w:r>
        <w:rPr>
          <w:spacing w:val="-14"/>
        </w:rPr>
        <w:t> </w:t>
      </w:r>
      <w:r>
        <w:rPr/>
        <w:t>people</w:t>
      </w:r>
      <w:r>
        <w:rPr>
          <w:spacing w:val="-14"/>
        </w:rPr>
        <w:t> </w:t>
      </w:r>
      <w:r>
        <w:rPr/>
        <w:t>use it</w:t>
      </w:r>
      <w:r>
        <w:rPr>
          <w:spacing w:val="-9"/>
        </w:rPr>
        <w:t> </w:t>
      </w:r>
      <w:r>
        <w:rPr/>
        <w:t>as</w:t>
      </w:r>
      <w:r>
        <w:rPr>
          <w:spacing w:val="-9"/>
        </w:rPr>
        <w:t> </w:t>
      </w:r>
      <w:r>
        <w:rPr/>
        <w:t>a</w:t>
      </w:r>
      <w:r>
        <w:rPr>
          <w:spacing w:val="-9"/>
        </w:rPr>
        <w:t> </w:t>
      </w:r>
      <w:r>
        <w:rPr/>
        <w:t>second</w:t>
      </w:r>
      <w:r>
        <w:rPr>
          <w:spacing w:val="-9"/>
        </w:rPr>
        <w:t> </w:t>
      </w:r>
      <w:r>
        <w:rPr/>
        <w:t>language,</w:t>
      </w:r>
      <w:r>
        <w:rPr>
          <w:spacing w:val="-9"/>
        </w:rPr>
        <w:t> </w:t>
      </w:r>
      <w:r>
        <w:rPr/>
        <w:t>let</w:t>
      </w:r>
      <w:r>
        <w:rPr>
          <w:spacing w:val="-9"/>
        </w:rPr>
        <w:t> </w:t>
      </w:r>
      <w:r>
        <w:rPr/>
        <w:t>alone</w:t>
      </w:r>
      <w:r>
        <w:rPr>
          <w:spacing w:val="-9"/>
        </w:rPr>
        <w:t> </w:t>
      </w:r>
      <w:r>
        <w:rPr/>
        <w:t>a</w:t>
      </w:r>
      <w:r>
        <w:rPr>
          <w:spacing w:val="-9"/>
        </w:rPr>
        <w:t> </w:t>
      </w:r>
      <w:r>
        <w:rPr/>
        <w:t>first</w:t>
      </w:r>
      <w:r>
        <w:rPr>
          <w:spacing w:val="-9"/>
        </w:rPr>
        <w:t> </w:t>
      </w:r>
      <w:r>
        <w:rPr/>
        <w:t>language.</w:t>
      </w:r>
    </w:p>
    <w:p>
      <w:pPr>
        <w:pStyle w:val="BodyText"/>
        <w:spacing w:before="22"/>
      </w:pPr>
    </w:p>
    <w:p>
      <w:pPr>
        <w:pStyle w:val="BodyText"/>
        <w:spacing w:line="266" w:lineRule="auto"/>
        <w:ind w:left="1084"/>
        <w:jc w:val="both"/>
      </w:pPr>
      <w:r>
        <w:rPr>
          <w:spacing w:val="-2"/>
        </w:rPr>
        <w:t>These</w:t>
      </w:r>
      <w:r>
        <w:rPr>
          <w:spacing w:val="-11"/>
        </w:rPr>
        <w:t> </w:t>
      </w:r>
      <w:r>
        <w:rPr>
          <w:spacing w:val="-2"/>
        </w:rPr>
        <w:t>realities</w:t>
      </w:r>
      <w:r>
        <w:rPr>
          <w:spacing w:val="-11"/>
        </w:rPr>
        <w:t> </w:t>
      </w:r>
      <w:r>
        <w:rPr>
          <w:spacing w:val="-2"/>
        </w:rPr>
        <w:t>cannot</w:t>
      </w:r>
      <w:r>
        <w:rPr>
          <w:spacing w:val="-11"/>
        </w:rPr>
        <w:t> </w:t>
      </w:r>
      <w:r>
        <w:rPr>
          <w:spacing w:val="-2"/>
        </w:rPr>
        <w:t>be</w:t>
      </w:r>
      <w:r>
        <w:rPr>
          <w:spacing w:val="-11"/>
        </w:rPr>
        <w:t> </w:t>
      </w:r>
      <w:r>
        <w:rPr>
          <w:spacing w:val="-2"/>
        </w:rPr>
        <w:t>changed</w:t>
      </w:r>
      <w:r>
        <w:rPr>
          <w:spacing w:val="-11"/>
        </w:rPr>
        <w:t> </w:t>
      </w:r>
      <w:r>
        <w:rPr>
          <w:spacing w:val="-2"/>
        </w:rPr>
        <w:t>overnight.</w:t>
      </w:r>
      <w:r>
        <w:rPr>
          <w:spacing w:val="-11"/>
        </w:rPr>
        <w:t> </w:t>
      </w:r>
      <w:r>
        <w:rPr>
          <w:spacing w:val="-2"/>
        </w:rPr>
        <w:t>But</w:t>
      </w:r>
      <w:r>
        <w:rPr>
          <w:spacing w:val="-11"/>
        </w:rPr>
        <w:t> </w:t>
      </w:r>
      <w:r>
        <w:rPr>
          <w:spacing w:val="-2"/>
        </w:rPr>
        <w:t>NKC </w:t>
      </w:r>
      <w:r>
        <w:rPr>
          <w:spacing w:val="-6"/>
        </w:rPr>
        <w:t>believes</w:t>
      </w:r>
      <w:r>
        <w:rPr>
          <w:spacing w:val="-16"/>
        </w:rPr>
        <w:t> </w:t>
      </w:r>
      <w:r>
        <w:rPr>
          <w:spacing w:val="-6"/>
        </w:rPr>
        <w:t>that</w:t>
      </w:r>
      <w:r>
        <w:rPr>
          <w:spacing w:val="-16"/>
        </w:rPr>
        <w:t> </w:t>
      </w:r>
      <w:r>
        <w:rPr>
          <w:spacing w:val="-6"/>
        </w:rPr>
        <w:t>the</w:t>
      </w:r>
      <w:r>
        <w:rPr>
          <w:spacing w:val="-15"/>
        </w:rPr>
        <w:t> </w:t>
      </w:r>
      <w:r>
        <w:rPr>
          <w:spacing w:val="-6"/>
        </w:rPr>
        <w:t>time</w:t>
      </w:r>
      <w:r>
        <w:rPr>
          <w:spacing w:val="-16"/>
        </w:rPr>
        <w:t> </w:t>
      </w:r>
      <w:r>
        <w:rPr>
          <w:spacing w:val="-6"/>
        </w:rPr>
        <w:t>has</w:t>
      </w:r>
      <w:r>
        <w:rPr>
          <w:spacing w:val="-15"/>
        </w:rPr>
        <w:t> </w:t>
      </w:r>
      <w:r>
        <w:rPr>
          <w:spacing w:val="-6"/>
        </w:rPr>
        <w:t>come</w:t>
      </w:r>
      <w:r>
        <w:rPr>
          <w:spacing w:val="-16"/>
        </w:rPr>
        <w:t> </w:t>
      </w:r>
      <w:r>
        <w:rPr>
          <w:spacing w:val="-6"/>
        </w:rPr>
        <w:t>for</w:t>
      </w:r>
      <w:r>
        <w:rPr>
          <w:spacing w:val="-15"/>
        </w:rPr>
        <w:t> </w:t>
      </w:r>
      <w:r>
        <w:rPr>
          <w:spacing w:val="-6"/>
        </w:rPr>
        <w:t>us</w:t>
      </w:r>
      <w:r>
        <w:rPr>
          <w:spacing w:val="-16"/>
        </w:rPr>
        <w:t> </w:t>
      </w:r>
      <w:r>
        <w:rPr>
          <w:spacing w:val="-6"/>
        </w:rPr>
        <w:t>to</w:t>
      </w:r>
      <w:r>
        <w:rPr>
          <w:spacing w:val="-16"/>
        </w:rPr>
        <w:t> </w:t>
      </w:r>
      <w:r>
        <w:rPr>
          <w:spacing w:val="-6"/>
        </w:rPr>
        <w:t>teach</w:t>
      </w:r>
      <w:r>
        <w:rPr>
          <w:spacing w:val="-15"/>
        </w:rPr>
        <w:t> </w:t>
      </w:r>
      <w:r>
        <w:rPr>
          <w:spacing w:val="-6"/>
        </w:rPr>
        <w:t>our</w:t>
      </w:r>
      <w:r>
        <w:rPr>
          <w:spacing w:val="-16"/>
        </w:rPr>
        <w:t> </w:t>
      </w:r>
      <w:r>
        <w:rPr>
          <w:spacing w:val="-6"/>
        </w:rPr>
        <w:t>people,</w:t>
      </w:r>
    </w:p>
    <w:p>
      <w:pPr>
        <w:pStyle w:val="BodyText"/>
        <w:spacing w:line="266" w:lineRule="auto" w:before="82"/>
        <w:ind w:left="319" w:right="1077"/>
        <w:jc w:val="both"/>
      </w:pPr>
      <w:r>
        <w:rPr/>
        <w:br w:type="column"/>
      </w:r>
      <w:r>
        <w:rPr>
          <w:spacing w:val="-4"/>
        </w:rPr>
        <w:t>ordinary</w:t>
      </w:r>
      <w:r>
        <w:rPr>
          <w:spacing w:val="-12"/>
        </w:rPr>
        <w:t> </w:t>
      </w:r>
      <w:r>
        <w:rPr>
          <w:spacing w:val="-4"/>
        </w:rPr>
        <w:t>people,</w:t>
      </w:r>
      <w:r>
        <w:rPr>
          <w:spacing w:val="-10"/>
        </w:rPr>
        <w:t> </w:t>
      </w:r>
      <w:r>
        <w:rPr>
          <w:spacing w:val="-4"/>
        </w:rPr>
        <w:t>English</w:t>
      </w:r>
      <w:r>
        <w:rPr>
          <w:spacing w:val="-10"/>
        </w:rPr>
        <w:t> </w:t>
      </w:r>
      <w:r>
        <w:rPr>
          <w:spacing w:val="-4"/>
        </w:rPr>
        <w:t>as</w:t>
      </w:r>
      <w:r>
        <w:rPr>
          <w:spacing w:val="-9"/>
        </w:rPr>
        <w:t> </w:t>
      </w:r>
      <w:r>
        <w:rPr>
          <w:spacing w:val="-4"/>
        </w:rPr>
        <w:t>a</w:t>
      </w:r>
      <w:r>
        <w:rPr>
          <w:spacing w:val="-10"/>
        </w:rPr>
        <w:t> </w:t>
      </w:r>
      <w:r>
        <w:rPr>
          <w:spacing w:val="-4"/>
        </w:rPr>
        <w:t>language</w:t>
      </w:r>
      <w:r>
        <w:rPr>
          <w:spacing w:val="-10"/>
        </w:rPr>
        <w:t> </w:t>
      </w:r>
      <w:r>
        <w:rPr>
          <w:spacing w:val="-4"/>
        </w:rPr>
        <w:t>in</w:t>
      </w:r>
      <w:r>
        <w:rPr>
          <w:spacing w:val="-10"/>
        </w:rPr>
        <w:t> </w:t>
      </w:r>
      <w:r>
        <w:rPr>
          <w:spacing w:val="-4"/>
        </w:rPr>
        <w:t>schools.</w:t>
      </w:r>
      <w:r>
        <w:rPr>
          <w:spacing w:val="-9"/>
        </w:rPr>
        <w:t> </w:t>
      </w:r>
      <w:r>
        <w:rPr>
          <w:spacing w:val="-4"/>
        </w:rPr>
        <w:t>Early </w:t>
      </w:r>
      <w:r>
        <w:rPr/>
        <w:t>action</w:t>
      </w:r>
      <w:r>
        <w:rPr>
          <w:spacing w:val="-8"/>
        </w:rPr>
        <w:t> </w:t>
      </w:r>
      <w:r>
        <w:rPr/>
        <w:t>in</w:t>
      </w:r>
      <w:r>
        <w:rPr>
          <w:spacing w:val="-8"/>
        </w:rPr>
        <w:t> </w:t>
      </w:r>
      <w:r>
        <w:rPr/>
        <w:t>this</w:t>
      </w:r>
      <w:r>
        <w:rPr>
          <w:spacing w:val="-8"/>
        </w:rPr>
        <w:t> </w:t>
      </w:r>
      <w:r>
        <w:rPr/>
        <w:t>sphere,</w:t>
      </w:r>
      <w:r>
        <w:rPr>
          <w:spacing w:val="-8"/>
        </w:rPr>
        <w:t> </w:t>
      </w:r>
      <w:r>
        <w:rPr/>
        <w:t>would</w:t>
      </w:r>
      <w:r>
        <w:rPr>
          <w:spacing w:val="-8"/>
        </w:rPr>
        <w:t> </w:t>
      </w:r>
      <w:r>
        <w:rPr/>
        <w:t>help</w:t>
      </w:r>
      <w:r>
        <w:rPr>
          <w:spacing w:val="-8"/>
        </w:rPr>
        <w:t> </w:t>
      </w:r>
      <w:r>
        <w:rPr/>
        <w:t>us</w:t>
      </w:r>
      <w:r>
        <w:rPr>
          <w:spacing w:val="-8"/>
        </w:rPr>
        <w:t> </w:t>
      </w:r>
      <w:r>
        <w:rPr/>
        <w:t>build</w:t>
      </w:r>
      <w:r>
        <w:rPr>
          <w:spacing w:val="-8"/>
        </w:rPr>
        <w:t> </w:t>
      </w:r>
      <w:r>
        <w:rPr/>
        <w:t>an</w:t>
      </w:r>
      <w:r>
        <w:rPr>
          <w:spacing w:val="-8"/>
        </w:rPr>
        <w:t> </w:t>
      </w:r>
      <w:r>
        <w:rPr/>
        <w:t>inclusive society</w:t>
      </w:r>
      <w:r>
        <w:rPr>
          <w:spacing w:val="-9"/>
        </w:rPr>
        <w:t> </w:t>
      </w:r>
      <w:r>
        <w:rPr/>
        <w:t>and</w:t>
      </w:r>
      <w:r>
        <w:rPr>
          <w:spacing w:val="-9"/>
        </w:rPr>
        <w:t> </w:t>
      </w:r>
      <w:r>
        <w:rPr/>
        <w:t>transform</w:t>
      </w:r>
      <w:r>
        <w:rPr>
          <w:spacing w:val="-9"/>
        </w:rPr>
        <w:t> </w:t>
      </w:r>
      <w:r>
        <w:rPr/>
        <w:t>India</w:t>
      </w:r>
      <w:r>
        <w:rPr>
          <w:spacing w:val="-9"/>
        </w:rPr>
        <w:t> </w:t>
      </w:r>
      <w:r>
        <w:rPr/>
        <w:t>into</w:t>
      </w:r>
      <w:r>
        <w:rPr>
          <w:spacing w:val="-9"/>
        </w:rPr>
        <w:t> </w:t>
      </w:r>
      <w:r>
        <w:rPr/>
        <w:t>a</w:t>
      </w:r>
      <w:r>
        <w:rPr>
          <w:spacing w:val="-9"/>
        </w:rPr>
        <w:t> </w:t>
      </w:r>
      <w:r>
        <w:rPr/>
        <w:t>knowledge</w:t>
      </w:r>
      <w:r>
        <w:rPr>
          <w:spacing w:val="-9"/>
        </w:rPr>
        <w:t> </w:t>
      </w:r>
      <w:r>
        <w:rPr/>
        <w:t>society. </w:t>
      </w:r>
      <w:r>
        <w:rPr>
          <w:spacing w:val="-2"/>
        </w:rPr>
        <w:t>In</w:t>
      </w:r>
      <w:r>
        <w:rPr>
          <w:spacing w:val="-9"/>
        </w:rPr>
        <w:t> </w:t>
      </w:r>
      <w:r>
        <w:rPr>
          <w:spacing w:val="-2"/>
        </w:rPr>
        <w:t>just</w:t>
      </w:r>
      <w:r>
        <w:rPr>
          <w:spacing w:val="-9"/>
        </w:rPr>
        <w:t> </w:t>
      </w:r>
      <w:r>
        <w:rPr>
          <w:spacing w:val="-2"/>
        </w:rPr>
        <w:t>12</w:t>
      </w:r>
      <w:r>
        <w:rPr>
          <w:spacing w:val="-9"/>
        </w:rPr>
        <w:t> </w:t>
      </w:r>
      <w:r>
        <w:rPr>
          <w:spacing w:val="-2"/>
        </w:rPr>
        <w:t>years,</w:t>
      </w:r>
      <w:r>
        <w:rPr>
          <w:spacing w:val="-9"/>
        </w:rPr>
        <w:t> </w:t>
      </w:r>
      <w:r>
        <w:rPr>
          <w:spacing w:val="-2"/>
        </w:rPr>
        <w:t>it</w:t>
      </w:r>
      <w:r>
        <w:rPr>
          <w:spacing w:val="-9"/>
        </w:rPr>
        <w:t> </w:t>
      </w:r>
      <w:r>
        <w:rPr>
          <w:spacing w:val="-2"/>
        </w:rPr>
        <w:t>would</w:t>
      </w:r>
      <w:r>
        <w:rPr>
          <w:spacing w:val="-9"/>
        </w:rPr>
        <w:t> </w:t>
      </w:r>
      <w:r>
        <w:rPr>
          <w:spacing w:val="-2"/>
        </w:rPr>
        <w:t>provide</w:t>
      </w:r>
      <w:r>
        <w:rPr>
          <w:spacing w:val="-9"/>
        </w:rPr>
        <w:t> </w:t>
      </w:r>
      <w:r>
        <w:rPr>
          <w:spacing w:val="-2"/>
        </w:rPr>
        <w:t>the</w:t>
      </w:r>
      <w:r>
        <w:rPr>
          <w:spacing w:val="-9"/>
        </w:rPr>
        <w:t> </w:t>
      </w:r>
      <w:r>
        <w:rPr>
          <w:spacing w:val="-2"/>
        </w:rPr>
        <w:t>country’s</w:t>
      </w:r>
      <w:r>
        <w:rPr>
          <w:spacing w:val="-9"/>
        </w:rPr>
        <w:t> </w:t>
      </w:r>
      <w:r>
        <w:rPr>
          <w:spacing w:val="-2"/>
        </w:rPr>
        <w:t>school- </w:t>
      </w:r>
      <w:r>
        <w:rPr/>
        <w:t>leavers</w:t>
      </w:r>
      <w:r>
        <w:rPr>
          <w:spacing w:val="-14"/>
        </w:rPr>
        <w:t> </w:t>
      </w:r>
      <w:r>
        <w:rPr/>
        <w:t>with</w:t>
      </w:r>
      <w:r>
        <w:rPr>
          <w:spacing w:val="-14"/>
        </w:rPr>
        <w:t> </w:t>
      </w:r>
      <w:r>
        <w:rPr/>
        <w:t>far</w:t>
      </w:r>
      <w:r>
        <w:rPr>
          <w:spacing w:val="-14"/>
        </w:rPr>
        <w:t> </w:t>
      </w:r>
      <w:r>
        <w:rPr/>
        <w:t>more</w:t>
      </w:r>
      <w:r>
        <w:rPr>
          <w:spacing w:val="-13"/>
        </w:rPr>
        <w:t> </w:t>
      </w:r>
      <w:r>
        <w:rPr/>
        <w:t>equal</w:t>
      </w:r>
      <w:r>
        <w:rPr>
          <w:spacing w:val="-14"/>
        </w:rPr>
        <w:t> </w:t>
      </w:r>
      <w:r>
        <w:rPr/>
        <w:t>access</w:t>
      </w:r>
      <w:r>
        <w:rPr>
          <w:spacing w:val="-14"/>
        </w:rPr>
        <w:t> </w:t>
      </w:r>
      <w:r>
        <w:rPr/>
        <w:t>to</w:t>
      </w:r>
      <w:r>
        <w:rPr>
          <w:spacing w:val="-14"/>
        </w:rPr>
        <w:t> </w:t>
      </w:r>
      <w:r>
        <w:rPr/>
        <w:t>higher</w:t>
      </w:r>
      <w:r>
        <w:rPr>
          <w:spacing w:val="-13"/>
        </w:rPr>
        <w:t> </w:t>
      </w:r>
      <w:r>
        <w:rPr/>
        <w:t>education and, three to five years thereafter, much more equal access to employment opportunities.</w:t>
      </w:r>
    </w:p>
    <w:p>
      <w:pPr>
        <w:pStyle w:val="BodyText"/>
        <w:spacing w:before="21"/>
      </w:pPr>
    </w:p>
    <w:p>
      <w:pPr>
        <w:pStyle w:val="BodyText"/>
        <w:spacing w:line="266" w:lineRule="auto"/>
        <w:ind w:left="319" w:right="1077"/>
        <w:jc w:val="both"/>
      </w:pPr>
      <w:r>
        <w:rPr>
          <w:spacing w:val="-2"/>
        </w:rPr>
        <w:t>The</w:t>
      </w:r>
      <w:r>
        <w:rPr>
          <w:spacing w:val="-12"/>
        </w:rPr>
        <w:t> </w:t>
      </w:r>
      <w:r>
        <w:rPr>
          <w:spacing w:val="-2"/>
        </w:rPr>
        <w:t>Commission</w:t>
      </w:r>
      <w:r>
        <w:rPr>
          <w:spacing w:val="-12"/>
        </w:rPr>
        <w:t> </w:t>
      </w:r>
      <w:r>
        <w:rPr>
          <w:spacing w:val="-2"/>
        </w:rPr>
        <w:t>engaged</w:t>
      </w:r>
      <w:r>
        <w:rPr>
          <w:spacing w:val="-12"/>
        </w:rPr>
        <w:t> </w:t>
      </w:r>
      <w:r>
        <w:rPr>
          <w:spacing w:val="-2"/>
        </w:rPr>
        <w:t>in</w:t>
      </w:r>
      <w:r>
        <w:rPr>
          <w:spacing w:val="-11"/>
        </w:rPr>
        <w:t> </w:t>
      </w:r>
      <w:r>
        <w:rPr>
          <w:spacing w:val="-2"/>
        </w:rPr>
        <w:t>informal</w:t>
      </w:r>
      <w:r>
        <w:rPr>
          <w:spacing w:val="-12"/>
        </w:rPr>
        <w:t> </w:t>
      </w:r>
      <w:r>
        <w:rPr>
          <w:spacing w:val="-2"/>
        </w:rPr>
        <w:t>consultations</w:t>
      </w:r>
      <w:r>
        <w:rPr>
          <w:spacing w:val="-12"/>
        </w:rPr>
        <w:t> </w:t>
      </w:r>
      <w:r>
        <w:rPr>
          <w:spacing w:val="-2"/>
        </w:rPr>
        <w:t>on this</w:t>
      </w:r>
      <w:r>
        <w:rPr>
          <w:spacing w:val="-12"/>
        </w:rPr>
        <w:t> </w:t>
      </w:r>
      <w:r>
        <w:rPr>
          <w:spacing w:val="-2"/>
        </w:rPr>
        <w:t>subject</w:t>
      </w:r>
      <w:r>
        <w:rPr>
          <w:spacing w:val="-12"/>
        </w:rPr>
        <w:t> </w:t>
      </w:r>
      <w:r>
        <w:rPr>
          <w:spacing w:val="-2"/>
        </w:rPr>
        <w:t>with</w:t>
      </w:r>
      <w:r>
        <w:rPr>
          <w:spacing w:val="-12"/>
        </w:rPr>
        <w:t> </w:t>
      </w:r>
      <w:r>
        <w:rPr>
          <w:spacing w:val="-2"/>
        </w:rPr>
        <w:t>a</w:t>
      </w:r>
      <w:r>
        <w:rPr>
          <w:spacing w:val="-11"/>
        </w:rPr>
        <w:t> </w:t>
      </w:r>
      <w:r>
        <w:rPr>
          <w:spacing w:val="-2"/>
        </w:rPr>
        <w:t>wide</w:t>
      </w:r>
      <w:r>
        <w:rPr>
          <w:spacing w:val="-12"/>
        </w:rPr>
        <w:t> </w:t>
      </w:r>
      <w:r>
        <w:rPr>
          <w:spacing w:val="-2"/>
        </w:rPr>
        <w:t>range</w:t>
      </w:r>
      <w:r>
        <w:rPr>
          <w:spacing w:val="-12"/>
        </w:rPr>
        <w:t> </w:t>
      </w:r>
      <w:r>
        <w:rPr>
          <w:spacing w:val="-2"/>
        </w:rPr>
        <w:t>of</w:t>
      </w:r>
      <w:r>
        <w:rPr>
          <w:spacing w:val="-12"/>
        </w:rPr>
        <w:t> </w:t>
      </w:r>
      <w:r>
        <w:rPr>
          <w:spacing w:val="-2"/>
        </w:rPr>
        <w:t>people</w:t>
      </w:r>
      <w:r>
        <w:rPr>
          <w:spacing w:val="-11"/>
        </w:rPr>
        <w:t> </w:t>
      </w:r>
      <w:r>
        <w:rPr>
          <w:spacing w:val="-2"/>
        </w:rPr>
        <w:t>in</w:t>
      </w:r>
      <w:r>
        <w:rPr>
          <w:spacing w:val="-12"/>
        </w:rPr>
        <w:t> </w:t>
      </w:r>
      <w:r>
        <w:rPr>
          <w:spacing w:val="-2"/>
        </w:rPr>
        <w:t>government, </w:t>
      </w:r>
      <w:r>
        <w:rPr/>
        <w:t>academia, media and industry. It consulted some Chief</w:t>
      </w:r>
      <w:r>
        <w:rPr>
          <w:spacing w:val="-10"/>
        </w:rPr>
        <w:t> </w:t>
      </w:r>
      <w:r>
        <w:rPr/>
        <w:t>Ministers</w:t>
      </w:r>
      <w:r>
        <w:rPr>
          <w:spacing w:val="-10"/>
        </w:rPr>
        <w:t> </w:t>
      </w:r>
      <w:r>
        <w:rPr/>
        <w:t>in</w:t>
      </w:r>
      <w:r>
        <w:rPr>
          <w:spacing w:val="-10"/>
        </w:rPr>
        <w:t> </w:t>
      </w:r>
      <w:r>
        <w:rPr/>
        <w:t>the</w:t>
      </w:r>
      <w:r>
        <w:rPr>
          <w:spacing w:val="-10"/>
        </w:rPr>
        <w:t> </w:t>
      </w:r>
      <w:r>
        <w:rPr/>
        <w:t>states.</w:t>
      </w:r>
      <w:r>
        <w:rPr>
          <w:spacing w:val="-10"/>
        </w:rPr>
        <w:t> </w:t>
      </w:r>
      <w:r>
        <w:rPr/>
        <w:t>It</w:t>
      </w:r>
      <w:r>
        <w:rPr>
          <w:spacing w:val="-10"/>
        </w:rPr>
        <w:t> </w:t>
      </w:r>
      <w:r>
        <w:rPr/>
        <w:t>consulted</w:t>
      </w:r>
      <w:r>
        <w:rPr>
          <w:spacing w:val="-10"/>
        </w:rPr>
        <w:t> </w:t>
      </w:r>
      <w:r>
        <w:rPr/>
        <w:t>Members</w:t>
      </w:r>
      <w:r>
        <w:rPr>
          <w:spacing w:val="-10"/>
        </w:rPr>
        <w:t> </w:t>
      </w:r>
      <w:r>
        <w:rPr/>
        <w:t>of Parliament.</w:t>
      </w:r>
      <w:r>
        <w:rPr>
          <w:spacing w:val="-9"/>
        </w:rPr>
        <w:t> </w:t>
      </w:r>
      <w:r>
        <w:rPr/>
        <w:t>It</w:t>
      </w:r>
      <w:r>
        <w:rPr>
          <w:spacing w:val="-9"/>
        </w:rPr>
        <w:t> </w:t>
      </w:r>
      <w:r>
        <w:rPr/>
        <w:t>consulted</w:t>
      </w:r>
      <w:r>
        <w:rPr>
          <w:spacing w:val="-9"/>
        </w:rPr>
        <w:t> </w:t>
      </w:r>
      <w:r>
        <w:rPr/>
        <w:t>people</w:t>
      </w:r>
      <w:r>
        <w:rPr>
          <w:spacing w:val="-9"/>
        </w:rPr>
        <w:t> </w:t>
      </w:r>
      <w:r>
        <w:rPr/>
        <w:t>in</w:t>
      </w:r>
      <w:r>
        <w:rPr>
          <w:spacing w:val="-9"/>
        </w:rPr>
        <w:t> </w:t>
      </w:r>
      <w:r>
        <w:rPr/>
        <w:t>professions</w:t>
      </w:r>
      <w:r>
        <w:rPr>
          <w:spacing w:val="-9"/>
        </w:rPr>
        <w:t> </w:t>
      </w:r>
      <w:r>
        <w:rPr/>
        <w:t>such</w:t>
      </w:r>
      <w:r>
        <w:rPr>
          <w:spacing w:val="-9"/>
        </w:rPr>
        <w:t> </w:t>
      </w:r>
      <w:r>
        <w:rPr/>
        <w:t>as </w:t>
      </w:r>
      <w:r>
        <w:rPr>
          <w:spacing w:val="-2"/>
        </w:rPr>
        <w:t>medicine</w:t>
      </w:r>
      <w:r>
        <w:rPr>
          <w:spacing w:val="-12"/>
        </w:rPr>
        <w:t> </w:t>
      </w:r>
      <w:r>
        <w:rPr>
          <w:spacing w:val="-2"/>
        </w:rPr>
        <w:t>and</w:t>
      </w:r>
      <w:r>
        <w:rPr>
          <w:spacing w:val="-12"/>
        </w:rPr>
        <w:t> </w:t>
      </w:r>
      <w:r>
        <w:rPr>
          <w:spacing w:val="-2"/>
        </w:rPr>
        <w:t>law</w:t>
      </w:r>
      <w:r>
        <w:rPr>
          <w:spacing w:val="-12"/>
        </w:rPr>
        <w:t> </w:t>
      </w:r>
      <w:r>
        <w:rPr>
          <w:spacing w:val="-2"/>
        </w:rPr>
        <w:t>as</w:t>
      </w:r>
      <w:r>
        <w:rPr>
          <w:spacing w:val="-11"/>
        </w:rPr>
        <w:t> </w:t>
      </w:r>
      <w:r>
        <w:rPr>
          <w:spacing w:val="-2"/>
        </w:rPr>
        <w:t>well</w:t>
      </w:r>
      <w:r>
        <w:rPr>
          <w:spacing w:val="-12"/>
        </w:rPr>
        <w:t> </w:t>
      </w:r>
      <w:r>
        <w:rPr>
          <w:spacing w:val="-2"/>
        </w:rPr>
        <w:t>as</w:t>
      </w:r>
      <w:r>
        <w:rPr>
          <w:spacing w:val="-12"/>
        </w:rPr>
        <w:t> </w:t>
      </w:r>
      <w:r>
        <w:rPr>
          <w:spacing w:val="-2"/>
        </w:rPr>
        <w:t>civil</w:t>
      </w:r>
      <w:r>
        <w:rPr>
          <w:spacing w:val="-12"/>
        </w:rPr>
        <w:t> </w:t>
      </w:r>
      <w:r>
        <w:rPr>
          <w:spacing w:val="-2"/>
        </w:rPr>
        <w:t>society</w:t>
      </w:r>
      <w:r>
        <w:rPr>
          <w:spacing w:val="-11"/>
        </w:rPr>
        <w:t> </w:t>
      </w:r>
      <w:r>
        <w:rPr>
          <w:spacing w:val="-2"/>
        </w:rPr>
        <w:t>organisations. </w:t>
      </w:r>
      <w:r>
        <w:rPr/>
        <w:t>There</w:t>
      </w:r>
      <w:r>
        <w:rPr>
          <w:spacing w:val="-14"/>
        </w:rPr>
        <w:t> </w:t>
      </w:r>
      <w:r>
        <w:rPr/>
        <w:t>was</w:t>
      </w:r>
      <w:r>
        <w:rPr>
          <w:spacing w:val="-14"/>
        </w:rPr>
        <w:t> </w:t>
      </w:r>
      <w:r>
        <w:rPr/>
        <w:t>unanimity</w:t>
      </w:r>
      <w:r>
        <w:rPr>
          <w:spacing w:val="-14"/>
        </w:rPr>
        <w:t> </w:t>
      </w:r>
      <w:r>
        <w:rPr/>
        <w:t>that</w:t>
      </w:r>
      <w:r>
        <w:rPr>
          <w:spacing w:val="-13"/>
        </w:rPr>
        <w:t> </w:t>
      </w:r>
      <w:r>
        <w:rPr/>
        <w:t>this</w:t>
      </w:r>
      <w:r>
        <w:rPr>
          <w:spacing w:val="-14"/>
        </w:rPr>
        <w:t> </w:t>
      </w:r>
      <w:r>
        <w:rPr/>
        <w:t>can</w:t>
      </w:r>
      <w:r>
        <w:rPr>
          <w:spacing w:val="-14"/>
        </w:rPr>
        <w:t> </w:t>
      </w:r>
      <w:r>
        <w:rPr/>
        <w:t>and</w:t>
      </w:r>
      <w:r>
        <w:rPr>
          <w:spacing w:val="-14"/>
        </w:rPr>
        <w:t> </w:t>
      </w:r>
      <w:r>
        <w:rPr/>
        <w:t>should</w:t>
      </w:r>
      <w:r>
        <w:rPr>
          <w:spacing w:val="-13"/>
        </w:rPr>
        <w:t> </w:t>
      </w:r>
      <w:r>
        <w:rPr/>
        <w:t>be</w:t>
      </w:r>
      <w:r>
        <w:rPr>
          <w:spacing w:val="-14"/>
        </w:rPr>
        <w:t> </w:t>
      </w:r>
      <w:r>
        <w:rPr/>
        <w:t>done. A Working Group was constituted to work out the </w:t>
      </w:r>
      <w:r>
        <w:rPr>
          <w:spacing w:val="-6"/>
        </w:rPr>
        <w:t>modalities</w:t>
      </w:r>
      <w:r>
        <w:rPr>
          <w:spacing w:val="-8"/>
        </w:rPr>
        <w:t> </w:t>
      </w:r>
      <w:r>
        <w:rPr>
          <w:spacing w:val="-6"/>
        </w:rPr>
        <w:t>in</w:t>
      </w:r>
      <w:r>
        <w:rPr>
          <w:spacing w:val="-8"/>
        </w:rPr>
        <w:t> </w:t>
      </w:r>
      <w:r>
        <w:rPr>
          <w:spacing w:val="-6"/>
        </w:rPr>
        <w:t>terms</w:t>
      </w:r>
      <w:r>
        <w:rPr>
          <w:spacing w:val="-8"/>
        </w:rPr>
        <w:t> </w:t>
      </w:r>
      <w:r>
        <w:rPr>
          <w:spacing w:val="-6"/>
        </w:rPr>
        <w:t>of</w:t>
      </w:r>
      <w:r>
        <w:rPr>
          <w:spacing w:val="-7"/>
        </w:rPr>
        <w:t> </w:t>
      </w:r>
      <w:r>
        <w:rPr>
          <w:spacing w:val="-6"/>
        </w:rPr>
        <w:t>first</w:t>
      </w:r>
      <w:r>
        <w:rPr>
          <w:spacing w:val="-8"/>
        </w:rPr>
        <w:t> </w:t>
      </w:r>
      <w:r>
        <w:rPr>
          <w:spacing w:val="-6"/>
        </w:rPr>
        <w:t>steps.</w:t>
      </w:r>
      <w:r>
        <w:rPr>
          <w:spacing w:val="-8"/>
        </w:rPr>
        <w:t> </w:t>
      </w:r>
      <w:r>
        <w:rPr>
          <w:spacing w:val="-6"/>
        </w:rPr>
        <w:t>The</w:t>
      </w:r>
      <w:r>
        <w:rPr>
          <w:spacing w:val="-8"/>
        </w:rPr>
        <w:t> </w:t>
      </w:r>
      <w:r>
        <w:rPr>
          <w:spacing w:val="-6"/>
        </w:rPr>
        <w:t>report</w:t>
      </w:r>
      <w:r>
        <w:rPr>
          <w:spacing w:val="-7"/>
        </w:rPr>
        <w:t> </w:t>
      </w:r>
      <w:r>
        <w:rPr>
          <w:spacing w:val="-6"/>
        </w:rPr>
        <w:t>submitted</w:t>
      </w:r>
      <w:r>
        <w:rPr>
          <w:spacing w:val="-8"/>
        </w:rPr>
        <w:t> </w:t>
      </w:r>
      <w:r>
        <w:rPr>
          <w:spacing w:val="-6"/>
        </w:rPr>
        <w:t>by </w:t>
      </w:r>
      <w:r>
        <w:rPr>
          <w:spacing w:val="-4"/>
        </w:rPr>
        <w:t>this</w:t>
      </w:r>
      <w:r>
        <w:rPr>
          <w:spacing w:val="-7"/>
        </w:rPr>
        <w:t> </w:t>
      </w:r>
      <w:r>
        <w:rPr>
          <w:spacing w:val="-4"/>
        </w:rPr>
        <w:t>group</w:t>
      </w:r>
      <w:r>
        <w:rPr>
          <w:spacing w:val="-7"/>
        </w:rPr>
        <w:t> </w:t>
      </w:r>
      <w:r>
        <w:rPr>
          <w:spacing w:val="-4"/>
        </w:rPr>
        <w:t>was</w:t>
      </w:r>
      <w:r>
        <w:rPr>
          <w:spacing w:val="-7"/>
        </w:rPr>
        <w:t> </w:t>
      </w:r>
      <w:r>
        <w:rPr>
          <w:spacing w:val="-4"/>
        </w:rPr>
        <w:t>used</w:t>
      </w:r>
      <w:r>
        <w:rPr>
          <w:spacing w:val="-7"/>
        </w:rPr>
        <w:t> </w:t>
      </w:r>
      <w:r>
        <w:rPr>
          <w:spacing w:val="-4"/>
        </w:rPr>
        <w:t>as</w:t>
      </w:r>
      <w:r>
        <w:rPr>
          <w:spacing w:val="-7"/>
        </w:rPr>
        <w:t> </w:t>
      </w:r>
      <w:r>
        <w:rPr>
          <w:spacing w:val="-4"/>
        </w:rPr>
        <w:t>an</w:t>
      </w:r>
      <w:r>
        <w:rPr>
          <w:spacing w:val="-7"/>
        </w:rPr>
        <w:t> </w:t>
      </w:r>
      <w:r>
        <w:rPr>
          <w:spacing w:val="-4"/>
        </w:rPr>
        <w:t>input</w:t>
      </w:r>
      <w:r>
        <w:rPr>
          <w:spacing w:val="-7"/>
        </w:rPr>
        <w:t> </w:t>
      </w:r>
      <w:r>
        <w:rPr>
          <w:spacing w:val="-4"/>
        </w:rPr>
        <w:t>in</w:t>
      </w:r>
      <w:r>
        <w:rPr>
          <w:spacing w:val="-7"/>
        </w:rPr>
        <w:t> </w:t>
      </w:r>
      <w:r>
        <w:rPr>
          <w:spacing w:val="-4"/>
        </w:rPr>
        <w:t>NKC’s</w:t>
      </w:r>
      <w:r>
        <w:rPr>
          <w:spacing w:val="-7"/>
        </w:rPr>
        <w:t> </w:t>
      </w:r>
      <w:r>
        <w:rPr>
          <w:spacing w:val="-4"/>
        </w:rPr>
        <w:t>deliberations.</w:t>
      </w:r>
    </w:p>
    <w:p>
      <w:pPr>
        <w:pStyle w:val="BodyText"/>
        <w:spacing w:before="19"/>
      </w:pPr>
    </w:p>
    <w:p>
      <w:pPr>
        <w:pStyle w:val="BodyText"/>
        <w:spacing w:line="266" w:lineRule="auto"/>
        <w:ind w:left="319" w:right="1077"/>
        <w:jc w:val="both"/>
      </w:pPr>
      <w:r>
        <w:rPr/>
        <w:t>NKC recommends that the teaching of English as a language should be introduced, along with the first language (either the mother-tongue or the regional language)</w:t>
      </w:r>
      <w:r>
        <w:rPr>
          <w:spacing w:val="-10"/>
        </w:rPr>
        <w:t> </w:t>
      </w:r>
      <w:r>
        <w:rPr/>
        <w:t>of</w:t>
      </w:r>
      <w:r>
        <w:rPr>
          <w:spacing w:val="-10"/>
        </w:rPr>
        <w:t> </w:t>
      </w:r>
      <w:r>
        <w:rPr/>
        <w:t>the</w:t>
      </w:r>
      <w:r>
        <w:rPr>
          <w:spacing w:val="-10"/>
        </w:rPr>
        <w:t> </w:t>
      </w:r>
      <w:r>
        <w:rPr/>
        <w:t>child,</w:t>
      </w:r>
      <w:r>
        <w:rPr>
          <w:spacing w:val="-10"/>
        </w:rPr>
        <w:t> </w:t>
      </w:r>
      <w:r>
        <w:rPr/>
        <w:t>starting</w:t>
      </w:r>
      <w:r>
        <w:rPr>
          <w:spacing w:val="-10"/>
        </w:rPr>
        <w:t> </w:t>
      </w:r>
      <w:r>
        <w:rPr/>
        <w:t>from</w:t>
      </w:r>
      <w:r>
        <w:rPr>
          <w:spacing w:val="-10"/>
        </w:rPr>
        <w:t> </w:t>
      </w:r>
      <w:r>
        <w:rPr/>
        <w:t>Class</w:t>
      </w:r>
      <w:r>
        <w:rPr>
          <w:spacing w:val="-10"/>
        </w:rPr>
        <w:t> </w:t>
      </w:r>
      <w:r>
        <w:rPr/>
        <w:t>I</w:t>
      </w:r>
      <w:r>
        <w:rPr>
          <w:spacing w:val="-10"/>
        </w:rPr>
        <w:t> </w:t>
      </w:r>
      <w:r>
        <w:rPr/>
        <w:t>in</w:t>
      </w:r>
      <w:r>
        <w:rPr>
          <w:spacing w:val="-10"/>
        </w:rPr>
        <w:t> </w:t>
      </w:r>
      <w:r>
        <w:rPr/>
        <w:t>school. This phase of language learning should focus on using both languages to create meaningful learning experiences for the child without disproportionate emphasis on grammar and rules.</w:t>
      </w:r>
    </w:p>
    <w:p>
      <w:pPr>
        <w:pStyle w:val="BodyText"/>
        <w:spacing w:before="20"/>
      </w:pPr>
    </w:p>
    <w:p>
      <w:pPr>
        <w:pStyle w:val="BodyText"/>
        <w:spacing w:line="266" w:lineRule="auto" w:before="1"/>
        <w:ind w:left="319" w:right="1077"/>
        <w:jc w:val="both"/>
      </w:pPr>
      <w:r>
        <w:rPr/>
        <w:t>NKC recognises that nine States (of which six are in </w:t>
      </w:r>
      <w:r>
        <w:rPr>
          <w:spacing w:val="-4"/>
        </w:rPr>
        <w:t>the</w:t>
      </w:r>
      <w:r>
        <w:rPr>
          <w:spacing w:val="-10"/>
        </w:rPr>
        <w:t> </w:t>
      </w:r>
      <w:r>
        <w:rPr>
          <w:spacing w:val="-4"/>
        </w:rPr>
        <w:t>north-east)</w:t>
      </w:r>
      <w:r>
        <w:rPr>
          <w:spacing w:val="-8"/>
        </w:rPr>
        <w:t> </w:t>
      </w:r>
      <w:r>
        <w:rPr>
          <w:spacing w:val="-4"/>
        </w:rPr>
        <w:t>and</w:t>
      </w:r>
      <w:r>
        <w:rPr>
          <w:spacing w:val="-6"/>
        </w:rPr>
        <w:t> </w:t>
      </w:r>
      <w:r>
        <w:rPr>
          <w:spacing w:val="-4"/>
        </w:rPr>
        <w:t>three</w:t>
      </w:r>
      <w:r>
        <w:rPr>
          <w:spacing w:val="-6"/>
        </w:rPr>
        <w:t> </w:t>
      </w:r>
      <w:r>
        <w:rPr>
          <w:spacing w:val="-4"/>
        </w:rPr>
        <w:t>Union</w:t>
      </w:r>
      <w:r>
        <w:rPr>
          <w:spacing w:val="-10"/>
        </w:rPr>
        <w:t> </w:t>
      </w:r>
      <w:r>
        <w:rPr>
          <w:spacing w:val="-4"/>
        </w:rPr>
        <w:t>Territories</w:t>
      </w:r>
      <w:r>
        <w:rPr>
          <w:spacing w:val="-6"/>
        </w:rPr>
        <w:t> </w:t>
      </w:r>
      <w:r>
        <w:rPr>
          <w:spacing w:val="-4"/>
        </w:rPr>
        <w:t>have</w:t>
      </w:r>
      <w:r>
        <w:rPr>
          <w:spacing w:val="-6"/>
        </w:rPr>
        <w:t> </w:t>
      </w:r>
      <w:r>
        <w:rPr>
          <w:spacing w:val="-4"/>
        </w:rPr>
        <w:t>already </w:t>
      </w:r>
      <w:r>
        <w:rPr>
          <w:spacing w:val="-2"/>
        </w:rPr>
        <w:t>introduced</w:t>
      </w:r>
      <w:r>
        <w:rPr>
          <w:spacing w:val="-12"/>
        </w:rPr>
        <w:t> </w:t>
      </w:r>
      <w:r>
        <w:rPr>
          <w:spacing w:val="-2"/>
        </w:rPr>
        <w:t>English</w:t>
      </w:r>
      <w:r>
        <w:rPr>
          <w:spacing w:val="-12"/>
        </w:rPr>
        <w:t> </w:t>
      </w:r>
      <w:r>
        <w:rPr>
          <w:spacing w:val="-2"/>
        </w:rPr>
        <w:t>as</w:t>
      </w:r>
      <w:r>
        <w:rPr>
          <w:spacing w:val="-12"/>
        </w:rPr>
        <w:t> </w:t>
      </w:r>
      <w:r>
        <w:rPr>
          <w:spacing w:val="-2"/>
        </w:rPr>
        <w:t>a</w:t>
      </w:r>
      <w:r>
        <w:rPr>
          <w:spacing w:val="-11"/>
        </w:rPr>
        <w:t> </w:t>
      </w:r>
      <w:r>
        <w:rPr>
          <w:spacing w:val="-2"/>
        </w:rPr>
        <w:t>compulsory</w:t>
      </w:r>
      <w:r>
        <w:rPr>
          <w:spacing w:val="-12"/>
        </w:rPr>
        <w:t> </w:t>
      </w:r>
      <w:r>
        <w:rPr>
          <w:spacing w:val="-2"/>
        </w:rPr>
        <w:t>subject</w:t>
      </w:r>
      <w:r>
        <w:rPr>
          <w:spacing w:val="-12"/>
        </w:rPr>
        <w:t> </w:t>
      </w:r>
      <w:r>
        <w:rPr>
          <w:spacing w:val="-2"/>
        </w:rPr>
        <w:t>from</w:t>
      </w:r>
      <w:r>
        <w:rPr>
          <w:spacing w:val="-12"/>
        </w:rPr>
        <w:t> </w:t>
      </w:r>
      <w:r>
        <w:rPr>
          <w:spacing w:val="-2"/>
        </w:rPr>
        <w:t>Class </w:t>
      </w:r>
      <w:r>
        <w:rPr/>
        <w:t>I</w:t>
      </w:r>
      <w:r>
        <w:rPr>
          <w:spacing w:val="-9"/>
        </w:rPr>
        <w:t> </w:t>
      </w:r>
      <w:r>
        <w:rPr/>
        <w:t>onwards.</w:t>
      </w:r>
      <w:r>
        <w:rPr>
          <w:spacing w:val="-9"/>
        </w:rPr>
        <w:t> </w:t>
      </w:r>
      <w:r>
        <w:rPr/>
        <w:t>In</w:t>
      </w:r>
      <w:r>
        <w:rPr>
          <w:spacing w:val="-9"/>
        </w:rPr>
        <w:t> </w:t>
      </w:r>
      <w:r>
        <w:rPr/>
        <w:t>addition,</w:t>
      </w:r>
      <w:r>
        <w:rPr>
          <w:spacing w:val="-9"/>
        </w:rPr>
        <w:t> </w:t>
      </w:r>
      <w:r>
        <w:rPr/>
        <w:t>as</w:t>
      </w:r>
      <w:r>
        <w:rPr>
          <w:spacing w:val="-9"/>
        </w:rPr>
        <w:t> </w:t>
      </w:r>
      <w:r>
        <w:rPr/>
        <w:t>many</w:t>
      </w:r>
      <w:r>
        <w:rPr>
          <w:spacing w:val="-9"/>
        </w:rPr>
        <w:t> </w:t>
      </w:r>
      <w:r>
        <w:rPr/>
        <w:t>as</w:t>
      </w:r>
      <w:r>
        <w:rPr>
          <w:spacing w:val="-9"/>
        </w:rPr>
        <w:t> </w:t>
      </w:r>
      <w:r>
        <w:rPr/>
        <w:t>12</w:t>
      </w:r>
      <w:r>
        <w:rPr>
          <w:spacing w:val="-9"/>
        </w:rPr>
        <w:t> </w:t>
      </w:r>
      <w:r>
        <w:rPr/>
        <w:t>States</w:t>
      </w:r>
      <w:r>
        <w:rPr>
          <w:spacing w:val="-9"/>
        </w:rPr>
        <w:t> </w:t>
      </w:r>
      <w:r>
        <w:rPr/>
        <w:t>and</w:t>
      </w:r>
      <w:r>
        <w:rPr>
          <w:spacing w:val="-9"/>
        </w:rPr>
        <w:t> </w:t>
      </w:r>
      <w:r>
        <w:rPr/>
        <w:t>three Union Territories have made English a compulsory subject,</w:t>
      </w:r>
      <w:r>
        <w:rPr>
          <w:spacing w:val="-14"/>
        </w:rPr>
        <w:t> </w:t>
      </w:r>
      <w:r>
        <w:rPr/>
        <w:t>at</w:t>
      </w:r>
      <w:r>
        <w:rPr>
          <w:spacing w:val="-13"/>
        </w:rPr>
        <w:t> </w:t>
      </w:r>
      <w:r>
        <w:rPr/>
        <w:t>different</w:t>
      </w:r>
      <w:r>
        <w:rPr>
          <w:spacing w:val="-14"/>
        </w:rPr>
        <w:t> </w:t>
      </w:r>
      <w:r>
        <w:rPr/>
        <w:t>stages</w:t>
      </w:r>
      <w:r>
        <w:rPr>
          <w:spacing w:val="-13"/>
        </w:rPr>
        <w:t> </w:t>
      </w:r>
      <w:r>
        <w:rPr/>
        <w:t>in</w:t>
      </w:r>
      <w:r>
        <w:rPr>
          <w:spacing w:val="-14"/>
        </w:rPr>
        <w:t> </w:t>
      </w:r>
      <w:r>
        <w:rPr/>
        <w:t>primary</w:t>
      </w:r>
      <w:r>
        <w:rPr>
          <w:spacing w:val="-13"/>
        </w:rPr>
        <w:t> </w:t>
      </w:r>
      <w:r>
        <w:rPr/>
        <w:t>school,</w:t>
      </w:r>
      <w:r>
        <w:rPr>
          <w:spacing w:val="-14"/>
        </w:rPr>
        <w:t> </w:t>
      </w:r>
      <w:r>
        <w:rPr/>
        <w:t>by</w:t>
      </w:r>
      <w:r>
        <w:rPr>
          <w:spacing w:val="-13"/>
        </w:rPr>
        <w:t> </w:t>
      </w:r>
      <w:r>
        <w:rPr/>
        <w:t>Class V at the latest. However, the implementation is slow and</w:t>
      </w:r>
      <w:r>
        <w:rPr>
          <w:spacing w:val="-16"/>
        </w:rPr>
        <w:t> </w:t>
      </w:r>
      <w:r>
        <w:rPr/>
        <w:t>the</w:t>
      </w:r>
      <w:r>
        <w:rPr>
          <w:spacing w:val="-14"/>
        </w:rPr>
        <w:t> </w:t>
      </w:r>
      <w:r>
        <w:rPr/>
        <w:t>quality</w:t>
      </w:r>
      <w:r>
        <w:rPr>
          <w:spacing w:val="-14"/>
        </w:rPr>
        <w:t> </w:t>
      </w:r>
      <w:r>
        <w:rPr/>
        <w:t>of</w:t>
      </w:r>
      <w:r>
        <w:rPr>
          <w:spacing w:val="-13"/>
        </w:rPr>
        <w:t> </w:t>
      </w:r>
      <w:r>
        <w:rPr/>
        <w:t>English</w:t>
      </w:r>
      <w:r>
        <w:rPr>
          <w:spacing w:val="-14"/>
        </w:rPr>
        <w:t> </w:t>
      </w:r>
      <w:r>
        <w:rPr/>
        <w:t>language</w:t>
      </w:r>
      <w:r>
        <w:rPr>
          <w:spacing w:val="-14"/>
        </w:rPr>
        <w:t> </w:t>
      </w:r>
      <w:r>
        <w:rPr/>
        <w:t>teaching</w:t>
      </w:r>
      <w:r>
        <w:rPr>
          <w:spacing w:val="-14"/>
        </w:rPr>
        <w:t> </w:t>
      </w:r>
      <w:r>
        <w:rPr/>
        <w:t>is</w:t>
      </w:r>
      <w:r>
        <w:rPr>
          <w:spacing w:val="-13"/>
        </w:rPr>
        <w:t> </w:t>
      </w:r>
      <w:r>
        <w:rPr/>
        <w:t>simply not good enough. The support systems, such as the </w:t>
      </w:r>
      <w:r>
        <w:rPr>
          <w:spacing w:val="-4"/>
        </w:rPr>
        <w:t>number</w:t>
      </w:r>
      <w:r>
        <w:rPr>
          <w:spacing w:val="-10"/>
        </w:rPr>
        <w:t> </w:t>
      </w:r>
      <w:r>
        <w:rPr>
          <w:spacing w:val="-4"/>
        </w:rPr>
        <w:t>of</w:t>
      </w:r>
      <w:r>
        <w:rPr>
          <w:spacing w:val="-10"/>
        </w:rPr>
        <w:t> </w:t>
      </w:r>
      <w:r>
        <w:rPr>
          <w:spacing w:val="-4"/>
        </w:rPr>
        <w:t>teachers</w:t>
      </w:r>
      <w:r>
        <w:rPr>
          <w:spacing w:val="-10"/>
        </w:rPr>
        <w:t> </w:t>
      </w:r>
      <w:r>
        <w:rPr>
          <w:spacing w:val="-4"/>
        </w:rPr>
        <w:t>or</w:t>
      </w:r>
      <w:r>
        <w:rPr>
          <w:spacing w:val="-9"/>
        </w:rPr>
        <w:t> </w:t>
      </w:r>
      <w:r>
        <w:rPr>
          <w:spacing w:val="-4"/>
        </w:rPr>
        <w:t>materials</w:t>
      </w:r>
      <w:r>
        <w:rPr>
          <w:spacing w:val="-10"/>
        </w:rPr>
        <w:t> </w:t>
      </w:r>
      <w:r>
        <w:rPr>
          <w:spacing w:val="-4"/>
        </w:rPr>
        <w:t>for</w:t>
      </w:r>
      <w:r>
        <w:rPr>
          <w:spacing w:val="-10"/>
        </w:rPr>
        <w:t> </w:t>
      </w:r>
      <w:r>
        <w:rPr>
          <w:spacing w:val="-4"/>
        </w:rPr>
        <w:t>teaching,</w:t>
      </w:r>
      <w:r>
        <w:rPr>
          <w:spacing w:val="-10"/>
        </w:rPr>
        <w:t> </w:t>
      </w:r>
      <w:r>
        <w:rPr>
          <w:spacing w:val="-4"/>
        </w:rPr>
        <w:t>are</w:t>
      </w:r>
      <w:r>
        <w:rPr>
          <w:spacing w:val="-9"/>
        </w:rPr>
        <w:t> </w:t>
      </w:r>
      <w:r>
        <w:rPr>
          <w:spacing w:val="-4"/>
        </w:rPr>
        <w:t>neither </w:t>
      </w:r>
      <w:r>
        <w:rPr/>
        <w:t>adequate</w:t>
      </w:r>
      <w:r>
        <w:rPr>
          <w:spacing w:val="40"/>
        </w:rPr>
        <w:t> </w:t>
      </w:r>
      <w:r>
        <w:rPr/>
        <w:t>nor</w:t>
      </w:r>
      <w:r>
        <w:rPr>
          <w:spacing w:val="40"/>
        </w:rPr>
        <w:t> </w:t>
      </w:r>
      <w:r>
        <w:rPr/>
        <w:t>appropriate.</w:t>
      </w:r>
      <w:r>
        <w:rPr>
          <w:spacing w:val="40"/>
        </w:rPr>
        <w:t> </w:t>
      </w:r>
      <w:r>
        <w:rPr/>
        <w:t>NKC</w:t>
      </w:r>
      <w:r>
        <w:rPr>
          <w:spacing w:val="40"/>
        </w:rPr>
        <w:t> </w:t>
      </w:r>
      <w:r>
        <w:rPr/>
        <w:t>is</w:t>
      </w:r>
      <w:r>
        <w:rPr>
          <w:spacing w:val="40"/>
        </w:rPr>
        <w:t> </w:t>
      </w:r>
      <w:r>
        <w:rPr/>
        <w:t>recommending</w:t>
      </w:r>
      <w:r>
        <w:rPr>
          <w:spacing w:val="80"/>
        </w:rPr>
        <w:t> </w:t>
      </w:r>
      <w:r>
        <w:rPr/>
        <w:t>a fundamental change that seeks to introduce, </w:t>
      </w:r>
      <w:r>
        <w:rPr>
          <w:spacing w:val="-2"/>
        </w:rPr>
        <w:t>nationwide,</w:t>
      </w:r>
      <w:r>
        <w:rPr>
          <w:spacing w:val="-12"/>
        </w:rPr>
        <w:t> </w:t>
      </w:r>
      <w:r>
        <w:rPr>
          <w:spacing w:val="-2"/>
        </w:rPr>
        <w:t>the</w:t>
      </w:r>
      <w:r>
        <w:rPr>
          <w:spacing w:val="-12"/>
        </w:rPr>
        <w:t> </w:t>
      </w:r>
      <w:r>
        <w:rPr>
          <w:spacing w:val="-2"/>
        </w:rPr>
        <w:t>teaching</w:t>
      </w:r>
      <w:r>
        <w:rPr>
          <w:spacing w:val="-12"/>
        </w:rPr>
        <w:t> </w:t>
      </w:r>
      <w:r>
        <w:rPr>
          <w:spacing w:val="-2"/>
        </w:rPr>
        <w:t>of</w:t>
      </w:r>
      <w:r>
        <w:rPr>
          <w:spacing w:val="-11"/>
        </w:rPr>
        <w:t> </w:t>
      </w:r>
      <w:r>
        <w:rPr>
          <w:spacing w:val="-2"/>
        </w:rPr>
        <w:t>English</w:t>
      </w:r>
      <w:r>
        <w:rPr>
          <w:spacing w:val="-12"/>
        </w:rPr>
        <w:t> </w:t>
      </w:r>
      <w:r>
        <w:rPr>
          <w:spacing w:val="-2"/>
        </w:rPr>
        <w:t>as</w:t>
      </w:r>
      <w:r>
        <w:rPr>
          <w:spacing w:val="-12"/>
        </w:rPr>
        <w:t> </w:t>
      </w:r>
      <w:r>
        <w:rPr>
          <w:spacing w:val="-2"/>
        </w:rPr>
        <w:t>a</w:t>
      </w:r>
      <w:r>
        <w:rPr>
          <w:spacing w:val="-12"/>
        </w:rPr>
        <w:t> </w:t>
      </w:r>
      <w:r>
        <w:rPr>
          <w:spacing w:val="-2"/>
        </w:rPr>
        <w:t>language</w:t>
      </w:r>
      <w:r>
        <w:rPr>
          <w:spacing w:val="-11"/>
        </w:rPr>
        <w:t> </w:t>
      </w:r>
      <w:r>
        <w:rPr>
          <w:spacing w:val="-2"/>
        </w:rPr>
        <w:t>from </w:t>
      </w:r>
      <w:r>
        <w:rPr/>
        <w:t>Class</w:t>
      </w:r>
      <w:r>
        <w:rPr>
          <w:spacing w:val="-14"/>
        </w:rPr>
        <w:t> </w:t>
      </w:r>
      <w:r>
        <w:rPr/>
        <w:t>I</w:t>
      </w:r>
      <w:r>
        <w:rPr>
          <w:spacing w:val="-14"/>
        </w:rPr>
        <w:t> </w:t>
      </w:r>
      <w:r>
        <w:rPr/>
        <w:t>onwards.</w:t>
      </w:r>
      <w:r>
        <w:rPr>
          <w:spacing w:val="-14"/>
        </w:rPr>
        <w:t> </w:t>
      </w:r>
      <w:r>
        <w:rPr/>
        <w:t>This</w:t>
      </w:r>
      <w:r>
        <w:rPr>
          <w:spacing w:val="-13"/>
        </w:rPr>
        <w:t> </w:t>
      </w:r>
      <w:r>
        <w:rPr/>
        <w:t>is</w:t>
      </w:r>
      <w:r>
        <w:rPr>
          <w:spacing w:val="-14"/>
        </w:rPr>
        <w:t> </w:t>
      </w:r>
      <w:r>
        <w:rPr/>
        <w:t>not</w:t>
      </w:r>
      <w:r>
        <w:rPr>
          <w:spacing w:val="-14"/>
        </w:rPr>
        <w:t> </w:t>
      </w:r>
      <w:r>
        <w:rPr/>
        <w:t>meant</w:t>
      </w:r>
      <w:r>
        <w:rPr>
          <w:spacing w:val="-14"/>
        </w:rPr>
        <w:t> </w:t>
      </w:r>
      <w:r>
        <w:rPr/>
        <w:t>to</w:t>
      </w:r>
      <w:r>
        <w:rPr>
          <w:spacing w:val="-13"/>
        </w:rPr>
        <w:t> </w:t>
      </w:r>
      <w:r>
        <w:rPr/>
        <w:t>be</w:t>
      </w:r>
      <w:r>
        <w:rPr>
          <w:spacing w:val="-14"/>
        </w:rPr>
        <w:t> </w:t>
      </w:r>
      <w:r>
        <w:rPr/>
        <w:t>a</w:t>
      </w:r>
      <w:r>
        <w:rPr>
          <w:spacing w:val="-14"/>
        </w:rPr>
        <w:t> </w:t>
      </w:r>
      <w:r>
        <w:rPr/>
        <w:t>stand-alone, add-on subject, but is meant to be integrated into the school curriculum.</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spacing w:val="-2"/>
        </w:rPr>
        <w:t>Language</w:t>
      </w:r>
      <w:r>
        <w:rPr>
          <w:spacing w:val="-12"/>
        </w:rPr>
        <w:t> </w:t>
      </w:r>
      <w:r>
        <w:rPr>
          <w:spacing w:val="-2"/>
        </w:rPr>
        <w:t>learning</w:t>
      </w:r>
      <w:r>
        <w:rPr>
          <w:spacing w:val="-12"/>
        </w:rPr>
        <w:t> </w:t>
      </w:r>
      <w:r>
        <w:rPr>
          <w:spacing w:val="-2"/>
        </w:rPr>
        <w:t>cannot</w:t>
      </w:r>
      <w:r>
        <w:rPr>
          <w:spacing w:val="-12"/>
        </w:rPr>
        <w:t> </w:t>
      </w:r>
      <w:r>
        <w:rPr>
          <w:spacing w:val="-2"/>
        </w:rPr>
        <w:t>be</w:t>
      </w:r>
      <w:r>
        <w:rPr>
          <w:spacing w:val="-11"/>
        </w:rPr>
        <w:t> </w:t>
      </w:r>
      <w:r>
        <w:rPr>
          <w:spacing w:val="-2"/>
        </w:rPr>
        <w:t>separated</w:t>
      </w:r>
      <w:r>
        <w:rPr>
          <w:spacing w:val="-12"/>
        </w:rPr>
        <w:t> </w:t>
      </w:r>
      <w:r>
        <w:rPr>
          <w:spacing w:val="-2"/>
        </w:rPr>
        <w:t>from,</w:t>
      </w:r>
      <w:r>
        <w:rPr>
          <w:spacing w:val="-12"/>
        </w:rPr>
        <w:t> </w:t>
      </w:r>
      <w:r>
        <w:rPr>
          <w:spacing w:val="-2"/>
        </w:rPr>
        <w:t>and</w:t>
      </w:r>
      <w:r>
        <w:rPr>
          <w:spacing w:val="-12"/>
        </w:rPr>
        <w:t> </w:t>
      </w:r>
      <w:r>
        <w:rPr>
          <w:spacing w:val="-2"/>
        </w:rPr>
        <w:t>must </w:t>
      </w:r>
      <w:r>
        <w:rPr>
          <w:spacing w:val="-4"/>
        </w:rPr>
        <w:t>be</w:t>
      </w:r>
      <w:r>
        <w:rPr>
          <w:spacing w:val="-6"/>
        </w:rPr>
        <w:t> </w:t>
      </w:r>
      <w:r>
        <w:rPr>
          <w:spacing w:val="-4"/>
        </w:rPr>
        <w:t>integrated with, content learning.</w:t>
      </w:r>
      <w:r>
        <w:rPr>
          <w:spacing w:val="-10"/>
        </w:rPr>
        <w:t> </w:t>
      </w:r>
      <w:r>
        <w:rPr>
          <w:spacing w:val="-4"/>
        </w:rPr>
        <w:t>Therefore, English </w:t>
      </w:r>
      <w:r>
        <w:rPr>
          <w:spacing w:val="-6"/>
        </w:rPr>
        <w:t>should</w:t>
      </w:r>
      <w:r>
        <w:rPr>
          <w:spacing w:val="-7"/>
        </w:rPr>
        <w:t> </w:t>
      </w:r>
      <w:r>
        <w:rPr>
          <w:spacing w:val="-6"/>
        </w:rPr>
        <w:t>also</w:t>
      </w:r>
      <w:r>
        <w:rPr>
          <w:spacing w:val="-7"/>
        </w:rPr>
        <w:t> </w:t>
      </w:r>
      <w:r>
        <w:rPr>
          <w:spacing w:val="-6"/>
        </w:rPr>
        <w:t>be</w:t>
      </w:r>
      <w:r>
        <w:rPr>
          <w:spacing w:val="-7"/>
        </w:rPr>
        <w:t> </w:t>
      </w:r>
      <w:r>
        <w:rPr>
          <w:spacing w:val="-6"/>
        </w:rPr>
        <w:t>used</w:t>
      </w:r>
      <w:r>
        <w:rPr>
          <w:spacing w:val="-7"/>
        </w:rPr>
        <w:t> </w:t>
      </w:r>
      <w:r>
        <w:rPr>
          <w:spacing w:val="-6"/>
        </w:rPr>
        <w:t>to</w:t>
      </w:r>
      <w:r>
        <w:rPr>
          <w:spacing w:val="-7"/>
        </w:rPr>
        <w:t> </w:t>
      </w:r>
      <w:r>
        <w:rPr>
          <w:spacing w:val="-6"/>
        </w:rPr>
        <w:t>teach</w:t>
      </w:r>
      <w:r>
        <w:rPr>
          <w:spacing w:val="-7"/>
        </w:rPr>
        <w:t> </w:t>
      </w:r>
      <w:r>
        <w:rPr>
          <w:spacing w:val="-6"/>
        </w:rPr>
        <w:t>some</w:t>
      </w:r>
      <w:r>
        <w:rPr>
          <w:spacing w:val="-7"/>
        </w:rPr>
        <w:t> </w:t>
      </w:r>
      <w:r>
        <w:rPr>
          <w:spacing w:val="-6"/>
        </w:rPr>
        <w:t>non-language,</w:t>
      </w:r>
      <w:r>
        <w:rPr>
          <w:spacing w:val="-7"/>
        </w:rPr>
        <w:t> </w:t>
      </w:r>
      <w:r>
        <w:rPr>
          <w:spacing w:val="-6"/>
        </w:rPr>
        <w:t>content </w:t>
      </w:r>
      <w:r>
        <w:rPr/>
        <w:t>subjects,</w:t>
      </w:r>
      <w:r>
        <w:rPr>
          <w:spacing w:val="-6"/>
        </w:rPr>
        <w:t> </w:t>
      </w:r>
      <w:r>
        <w:rPr/>
        <w:t>starting</w:t>
      </w:r>
      <w:r>
        <w:rPr>
          <w:spacing w:val="-6"/>
        </w:rPr>
        <w:t> </w:t>
      </w:r>
      <w:r>
        <w:rPr/>
        <w:t>from</w:t>
      </w:r>
      <w:r>
        <w:rPr>
          <w:spacing w:val="-6"/>
        </w:rPr>
        <w:t> </w:t>
      </w:r>
      <w:r>
        <w:rPr/>
        <w:t>Class</w:t>
      </w:r>
      <w:r>
        <w:rPr>
          <w:spacing w:val="-6"/>
        </w:rPr>
        <w:t> </w:t>
      </w:r>
      <w:r>
        <w:rPr/>
        <w:t>III</w:t>
      </w:r>
      <w:r>
        <w:rPr>
          <w:spacing w:val="-6"/>
        </w:rPr>
        <w:t> </w:t>
      </w:r>
      <w:r>
        <w:rPr/>
        <w:t>in</w:t>
      </w:r>
      <w:r>
        <w:rPr>
          <w:spacing w:val="-6"/>
        </w:rPr>
        <w:t> </w:t>
      </w:r>
      <w:r>
        <w:rPr/>
        <w:t>school.</w:t>
      </w:r>
      <w:r>
        <w:rPr>
          <w:spacing w:val="-13"/>
        </w:rPr>
        <w:t> </w:t>
      </w:r>
      <w:r>
        <w:rPr/>
        <w:t>The</w:t>
      </w:r>
      <w:r>
        <w:rPr>
          <w:spacing w:val="-6"/>
        </w:rPr>
        <w:t> </w:t>
      </w:r>
      <w:r>
        <w:rPr/>
        <w:t>choice of subjects for this purpose can be left to schools </w:t>
      </w:r>
      <w:r>
        <w:rPr>
          <w:spacing w:val="-6"/>
        </w:rPr>
        <w:t>depending</w:t>
      </w:r>
      <w:r>
        <w:rPr>
          <w:spacing w:val="-8"/>
        </w:rPr>
        <w:t> </w:t>
      </w:r>
      <w:r>
        <w:rPr>
          <w:spacing w:val="-6"/>
        </w:rPr>
        <w:t>on</w:t>
      </w:r>
      <w:r>
        <w:rPr>
          <w:spacing w:val="-7"/>
        </w:rPr>
        <w:t> </w:t>
      </w:r>
      <w:r>
        <w:rPr>
          <w:spacing w:val="-6"/>
        </w:rPr>
        <w:t>the</w:t>
      </w:r>
      <w:r>
        <w:rPr>
          <w:spacing w:val="-8"/>
        </w:rPr>
        <w:t> </w:t>
      </w:r>
      <w:r>
        <w:rPr>
          <w:spacing w:val="-6"/>
        </w:rPr>
        <w:t>proficiency</w:t>
      </w:r>
      <w:r>
        <w:rPr>
          <w:spacing w:val="-7"/>
        </w:rPr>
        <w:t> </w:t>
      </w:r>
      <w:r>
        <w:rPr>
          <w:spacing w:val="-6"/>
        </w:rPr>
        <w:t>of</w:t>
      </w:r>
      <w:r>
        <w:rPr>
          <w:spacing w:val="-8"/>
        </w:rPr>
        <w:t> </w:t>
      </w:r>
      <w:r>
        <w:rPr>
          <w:spacing w:val="-6"/>
        </w:rPr>
        <w:t>teachers</w:t>
      </w:r>
      <w:r>
        <w:rPr>
          <w:spacing w:val="-7"/>
        </w:rPr>
        <w:t> </w:t>
      </w:r>
      <w:r>
        <w:rPr>
          <w:spacing w:val="-6"/>
        </w:rPr>
        <w:t>and</w:t>
      </w:r>
      <w:r>
        <w:rPr>
          <w:spacing w:val="-8"/>
        </w:rPr>
        <w:t> </w:t>
      </w:r>
      <w:r>
        <w:rPr>
          <w:spacing w:val="-6"/>
        </w:rPr>
        <w:t>availability </w:t>
      </w:r>
      <w:r>
        <w:rPr>
          <w:spacing w:val="-4"/>
        </w:rPr>
        <w:t>of</w:t>
      </w:r>
      <w:r>
        <w:rPr>
          <w:spacing w:val="-10"/>
        </w:rPr>
        <w:t> </w:t>
      </w:r>
      <w:r>
        <w:rPr>
          <w:spacing w:val="-4"/>
        </w:rPr>
        <w:t>materials.</w:t>
      </w:r>
      <w:r>
        <w:rPr>
          <w:spacing w:val="-10"/>
        </w:rPr>
        <w:t> </w:t>
      </w:r>
      <w:r>
        <w:rPr>
          <w:spacing w:val="-4"/>
        </w:rPr>
        <w:t>This</w:t>
      </w:r>
      <w:r>
        <w:rPr>
          <w:spacing w:val="-10"/>
        </w:rPr>
        <w:t> </w:t>
      </w:r>
      <w:r>
        <w:rPr>
          <w:spacing w:val="-4"/>
        </w:rPr>
        <w:t>would,</w:t>
      </w:r>
      <w:r>
        <w:rPr>
          <w:spacing w:val="-9"/>
        </w:rPr>
        <w:t> </w:t>
      </w:r>
      <w:r>
        <w:rPr>
          <w:spacing w:val="-4"/>
        </w:rPr>
        <w:t>in</w:t>
      </w:r>
      <w:r>
        <w:rPr>
          <w:spacing w:val="-10"/>
        </w:rPr>
        <w:t> </w:t>
      </w:r>
      <w:r>
        <w:rPr>
          <w:spacing w:val="-4"/>
        </w:rPr>
        <w:t>effect,</w:t>
      </w:r>
      <w:r>
        <w:rPr>
          <w:spacing w:val="-10"/>
        </w:rPr>
        <w:t> </w:t>
      </w:r>
      <w:r>
        <w:rPr>
          <w:spacing w:val="-4"/>
        </w:rPr>
        <w:t>create</w:t>
      </w:r>
      <w:r>
        <w:rPr>
          <w:spacing w:val="-10"/>
        </w:rPr>
        <w:t> </w:t>
      </w:r>
      <w:r>
        <w:rPr>
          <w:spacing w:val="-4"/>
        </w:rPr>
        <w:t>multi-medium </w:t>
      </w:r>
      <w:r>
        <w:rPr/>
        <w:t>schools.</w:t>
      </w:r>
      <w:r>
        <w:rPr>
          <w:spacing w:val="-8"/>
        </w:rPr>
        <w:t> </w:t>
      </w:r>
      <w:r>
        <w:rPr/>
        <w:t>It</w:t>
      </w:r>
      <w:r>
        <w:rPr>
          <w:spacing w:val="-8"/>
        </w:rPr>
        <w:t> </w:t>
      </w:r>
      <w:r>
        <w:rPr/>
        <w:t>would</w:t>
      </w:r>
      <w:r>
        <w:rPr>
          <w:spacing w:val="-8"/>
        </w:rPr>
        <w:t> </w:t>
      </w:r>
      <w:r>
        <w:rPr/>
        <w:t>also</w:t>
      </w:r>
      <w:r>
        <w:rPr>
          <w:spacing w:val="-8"/>
        </w:rPr>
        <w:t> </w:t>
      </w:r>
      <w:r>
        <w:rPr/>
        <w:t>help</w:t>
      </w:r>
      <w:r>
        <w:rPr>
          <w:spacing w:val="-8"/>
        </w:rPr>
        <w:t> </w:t>
      </w:r>
      <w:r>
        <w:rPr/>
        <w:t>reduce</w:t>
      </w:r>
      <w:r>
        <w:rPr>
          <w:spacing w:val="-8"/>
        </w:rPr>
        <w:t> </w:t>
      </w:r>
      <w:r>
        <w:rPr/>
        <w:t>the</w:t>
      </w:r>
      <w:r>
        <w:rPr>
          <w:spacing w:val="-8"/>
        </w:rPr>
        <w:t> </w:t>
      </w:r>
      <w:r>
        <w:rPr/>
        <w:t>divide</w:t>
      </w:r>
      <w:r>
        <w:rPr>
          <w:spacing w:val="-8"/>
        </w:rPr>
        <w:t> </w:t>
      </w:r>
      <w:r>
        <w:rPr/>
        <w:t>between English medium schools and regional language- medium schools.</w:t>
      </w:r>
    </w:p>
    <w:p>
      <w:pPr>
        <w:pStyle w:val="BodyText"/>
        <w:spacing w:before="19"/>
      </w:pPr>
    </w:p>
    <w:p>
      <w:pPr>
        <w:pStyle w:val="BodyText"/>
        <w:spacing w:line="266" w:lineRule="auto"/>
        <w:ind w:left="1080"/>
        <w:jc w:val="both"/>
      </w:pPr>
      <w:r>
        <w:rPr>
          <w:spacing w:val="-2"/>
        </w:rPr>
        <w:t>The</w:t>
      </w:r>
      <w:r>
        <w:rPr>
          <w:spacing w:val="-11"/>
        </w:rPr>
        <w:t> </w:t>
      </w:r>
      <w:r>
        <w:rPr>
          <w:spacing w:val="-2"/>
        </w:rPr>
        <w:t>pedagogy</w:t>
      </w:r>
      <w:r>
        <w:rPr>
          <w:spacing w:val="-11"/>
        </w:rPr>
        <w:t> </w:t>
      </w:r>
      <w:r>
        <w:rPr>
          <w:spacing w:val="-2"/>
        </w:rPr>
        <w:t>of</w:t>
      </w:r>
      <w:r>
        <w:rPr>
          <w:spacing w:val="-11"/>
        </w:rPr>
        <w:t> </w:t>
      </w:r>
      <w:r>
        <w:rPr>
          <w:spacing w:val="-2"/>
        </w:rPr>
        <w:t>language</w:t>
      </w:r>
      <w:r>
        <w:rPr>
          <w:spacing w:val="-11"/>
        </w:rPr>
        <w:t> </w:t>
      </w:r>
      <w:r>
        <w:rPr>
          <w:spacing w:val="-2"/>
        </w:rPr>
        <w:t>learning</w:t>
      </w:r>
      <w:r>
        <w:rPr>
          <w:spacing w:val="-11"/>
        </w:rPr>
        <w:t> </w:t>
      </w:r>
      <w:r>
        <w:rPr>
          <w:spacing w:val="-2"/>
        </w:rPr>
        <w:t>as</w:t>
      </w:r>
      <w:r>
        <w:rPr>
          <w:spacing w:val="-11"/>
        </w:rPr>
        <w:t> </w:t>
      </w:r>
      <w:r>
        <w:rPr>
          <w:spacing w:val="-2"/>
        </w:rPr>
        <w:t>well</w:t>
      </w:r>
      <w:r>
        <w:rPr>
          <w:spacing w:val="-11"/>
        </w:rPr>
        <w:t> </w:t>
      </w:r>
      <w:r>
        <w:rPr>
          <w:spacing w:val="-2"/>
        </w:rPr>
        <w:t>as</w:t>
      </w:r>
      <w:r>
        <w:rPr>
          <w:spacing w:val="-11"/>
        </w:rPr>
        <w:t> </w:t>
      </w:r>
      <w:r>
        <w:rPr>
          <w:spacing w:val="-2"/>
        </w:rPr>
        <w:t>teaching </w:t>
      </w:r>
      <w:r>
        <w:rPr/>
        <w:t>should</w:t>
      </w:r>
      <w:r>
        <w:rPr>
          <w:spacing w:val="-4"/>
        </w:rPr>
        <w:t> </w:t>
      </w:r>
      <w:r>
        <w:rPr/>
        <w:t>be</w:t>
      </w:r>
      <w:r>
        <w:rPr>
          <w:spacing w:val="-4"/>
        </w:rPr>
        <w:t> </w:t>
      </w:r>
      <w:r>
        <w:rPr/>
        <w:t>suitably</w:t>
      </w:r>
      <w:r>
        <w:rPr>
          <w:spacing w:val="-4"/>
        </w:rPr>
        <w:t> </w:t>
      </w:r>
      <w:r>
        <w:rPr/>
        <w:t>contextualised,</w:t>
      </w:r>
      <w:r>
        <w:rPr>
          <w:spacing w:val="-4"/>
        </w:rPr>
        <w:t> </w:t>
      </w:r>
      <w:r>
        <w:rPr/>
        <w:t>to</w:t>
      </w:r>
      <w:r>
        <w:rPr>
          <w:spacing w:val="-4"/>
        </w:rPr>
        <w:t> </w:t>
      </w:r>
      <w:r>
        <w:rPr/>
        <w:t>lend</w:t>
      </w:r>
      <w:r>
        <w:rPr>
          <w:spacing w:val="-4"/>
        </w:rPr>
        <w:t> </w:t>
      </w:r>
      <w:r>
        <w:rPr/>
        <w:t>meaning</w:t>
      </w:r>
      <w:r>
        <w:rPr>
          <w:spacing w:val="-4"/>
        </w:rPr>
        <w:t> </w:t>
      </w:r>
      <w:r>
        <w:rPr/>
        <w:t>to real situations and daily lives. Moreover, assessment should</w:t>
      </w:r>
      <w:r>
        <w:rPr>
          <w:spacing w:val="-9"/>
        </w:rPr>
        <w:t> </w:t>
      </w:r>
      <w:r>
        <w:rPr/>
        <w:t>be</w:t>
      </w:r>
      <w:r>
        <w:rPr>
          <w:spacing w:val="-9"/>
        </w:rPr>
        <w:t> </w:t>
      </w:r>
      <w:r>
        <w:rPr/>
        <w:t>based</w:t>
      </w:r>
      <w:r>
        <w:rPr>
          <w:spacing w:val="-9"/>
        </w:rPr>
        <w:t> </w:t>
      </w:r>
      <w:r>
        <w:rPr/>
        <w:t>on</w:t>
      </w:r>
      <w:r>
        <w:rPr>
          <w:spacing w:val="-9"/>
        </w:rPr>
        <w:t> </w:t>
      </w:r>
      <w:r>
        <w:rPr/>
        <w:t>proficiency</w:t>
      </w:r>
      <w:r>
        <w:rPr>
          <w:spacing w:val="-9"/>
        </w:rPr>
        <w:t> </w:t>
      </w:r>
      <w:r>
        <w:rPr/>
        <w:t>rather</w:t>
      </w:r>
      <w:r>
        <w:rPr>
          <w:spacing w:val="-9"/>
        </w:rPr>
        <w:t> </w:t>
      </w:r>
      <w:r>
        <w:rPr/>
        <w:t>than</w:t>
      </w:r>
      <w:r>
        <w:rPr>
          <w:spacing w:val="-9"/>
        </w:rPr>
        <w:t> </w:t>
      </w:r>
      <w:r>
        <w:rPr/>
        <w:t>specifying </w:t>
      </w:r>
      <w:r>
        <w:rPr>
          <w:spacing w:val="-2"/>
        </w:rPr>
        <w:t>achievement</w:t>
      </w:r>
      <w:r>
        <w:rPr>
          <w:spacing w:val="-12"/>
        </w:rPr>
        <w:t> </w:t>
      </w:r>
      <w:r>
        <w:rPr>
          <w:spacing w:val="-2"/>
        </w:rPr>
        <w:t>targets</w:t>
      </w:r>
      <w:r>
        <w:rPr>
          <w:spacing w:val="-12"/>
        </w:rPr>
        <w:t> </w:t>
      </w:r>
      <w:r>
        <w:rPr>
          <w:spacing w:val="-2"/>
        </w:rPr>
        <w:t>that</w:t>
      </w:r>
      <w:r>
        <w:rPr>
          <w:spacing w:val="-12"/>
        </w:rPr>
        <w:t> </w:t>
      </w:r>
      <w:r>
        <w:rPr>
          <w:spacing w:val="-2"/>
        </w:rPr>
        <w:t>reward</w:t>
      </w:r>
      <w:r>
        <w:rPr>
          <w:spacing w:val="-11"/>
        </w:rPr>
        <w:t> </w:t>
      </w:r>
      <w:r>
        <w:rPr>
          <w:spacing w:val="-2"/>
        </w:rPr>
        <w:t>mastery</w:t>
      </w:r>
      <w:r>
        <w:rPr>
          <w:spacing w:val="-12"/>
        </w:rPr>
        <w:t> </w:t>
      </w:r>
      <w:r>
        <w:rPr>
          <w:spacing w:val="-2"/>
        </w:rPr>
        <w:t>of</w:t>
      </w:r>
      <w:r>
        <w:rPr>
          <w:spacing w:val="-12"/>
        </w:rPr>
        <w:t> </w:t>
      </w:r>
      <w:r>
        <w:rPr>
          <w:spacing w:val="-2"/>
        </w:rPr>
        <w:t>single</w:t>
      </w:r>
      <w:r>
        <w:rPr>
          <w:spacing w:val="-12"/>
        </w:rPr>
        <w:t> </w:t>
      </w:r>
      <w:r>
        <w:rPr>
          <w:spacing w:val="-2"/>
        </w:rPr>
        <w:t>texts </w:t>
      </w:r>
      <w:r>
        <w:rPr/>
        <w:t>acquired</w:t>
      </w:r>
      <w:r>
        <w:rPr>
          <w:spacing w:val="-14"/>
        </w:rPr>
        <w:t> </w:t>
      </w:r>
      <w:r>
        <w:rPr/>
        <w:t>through</w:t>
      </w:r>
      <w:r>
        <w:rPr>
          <w:spacing w:val="-14"/>
        </w:rPr>
        <w:t> </w:t>
      </w:r>
      <w:r>
        <w:rPr/>
        <w:t>rote</w:t>
      </w:r>
      <w:r>
        <w:rPr>
          <w:spacing w:val="-14"/>
        </w:rPr>
        <w:t> </w:t>
      </w:r>
      <w:r>
        <w:rPr/>
        <w:t>learning.</w:t>
      </w:r>
      <w:r>
        <w:rPr>
          <w:spacing w:val="-13"/>
        </w:rPr>
        <w:t> </w:t>
      </w:r>
      <w:r>
        <w:rPr/>
        <w:t>To</w:t>
      </w:r>
      <w:r>
        <w:rPr>
          <w:spacing w:val="-14"/>
        </w:rPr>
        <w:t> </w:t>
      </w:r>
      <w:r>
        <w:rPr/>
        <w:t>this</w:t>
      </w:r>
      <w:r>
        <w:rPr>
          <w:spacing w:val="-14"/>
        </w:rPr>
        <w:t> </w:t>
      </w:r>
      <w:r>
        <w:rPr/>
        <w:t>end,</w:t>
      </w:r>
      <w:r>
        <w:rPr>
          <w:spacing w:val="-14"/>
        </w:rPr>
        <w:t> </w:t>
      </w:r>
      <w:r>
        <w:rPr/>
        <w:t>a</w:t>
      </w:r>
      <w:r>
        <w:rPr>
          <w:spacing w:val="-13"/>
        </w:rPr>
        <w:t> </w:t>
      </w:r>
      <w:r>
        <w:rPr/>
        <w:t>National Testing Service (NTS) for certification of language </w:t>
      </w:r>
      <w:r>
        <w:rPr>
          <w:spacing w:val="-4"/>
        </w:rPr>
        <w:t>competence</w:t>
      </w:r>
      <w:r>
        <w:rPr>
          <w:spacing w:val="-8"/>
        </w:rPr>
        <w:t> </w:t>
      </w:r>
      <w:r>
        <w:rPr>
          <w:spacing w:val="-4"/>
        </w:rPr>
        <w:t>as</w:t>
      </w:r>
      <w:r>
        <w:rPr>
          <w:spacing w:val="-8"/>
        </w:rPr>
        <w:t> </w:t>
      </w:r>
      <w:r>
        <w:rPr>
          <w:spacing w:val="-4"/>
        </w:rPr>
        <w:t>well</w:t>
      </w:r>
      <w:r>
        <w:rPr>
          <w:spacing w:val="-8"/>
        </w:rPr>
        <w:t> </w:t>
      </w:r>
      <w:r>
        <w:rPr>
          <w:spacing w:val="-4"/>
        </w:rPr>
        <w:t>as</w:t>
      </w:r>
      <w:r>
        <w:rPr>
          <w:spacing w:val="-8"/>
        </w:rPr>
        <w:t> </w:t>
      </w:r>
      <w:r>
        <w:rPr>
          <w:spacing w:val="-4"/>
        </w:rPr>
        <w:t>recruitment</w:t>
      </w:r>
      <w:r>
        <w:rPr>
          <w:spacing w:val="-8"/>
        </w:rPr>
        <w:t> </w:t>
      </w:r>
      <w:r>
        <w:rPr>
          <w:spacing w:val="-4"/>
        </w:rPr>
        <w:t>of</w:t>
      </w:r>
      <w:r>
        <w:rPr>
          <w:spacing w:val="-8"/>
        </w:rPr>
        <w:t> </w:t>
      </w:r>
      <w:r>
        <w:rPr>
          <w:spacing w:val="-4"/>
        </w:rPr>
        <w:t>language</w:t>
      </w:r>
      <w:r>
        <w:rPr>
          <w:spacing w:val="-8"/>
        </w:rPr>
        <w:t> </w:t>
      </w:r>
      <w:r>
        <w:rPr>
          <w:spacing w:val="-4"/>
        </w:rPr>
        <w:t>teachers </w:t>
      </w:r>
      <w:r>
        <w:rPr/>
        <w:t>should be set up.</w:t>
      </w:r>
    </w:p>
    <w:p>
      <w:pPr>
        <w:pStyle w:val="BodyText"/>
        <w:spacing w:before="20"/>
      </w:pPr>
    </w:p>
    <w:p>
      <w:pPr>
        <w:pStyle w:val="BodyText"/>
        <w:spacing w:line="266" w:lineRule="auto"/>
        <w:ind w:left="1079"/>
        <w:jc w:val="both"/>
      </w:pPr>
      <w:r>
        <w:rPr/>
        <w:t>In order to meet the requirement for a large pool of English language teachers, graduates with </w:t>
      </w:r>
      <w:r>
        <w:rPr/>
        <w:t>high proficiency in English and good communication skills should be inducted without formal teacher- training qualifications. They could be selected through an appropriate procedure developed by the National</w:t>
      </w:r>
      <w:r>
        <w:rPr>
          <w:spacing w:val="-12"/>
        </w:rPr>
        <w:t> </w:t>
      </w:r>
      <w:r>
        <w:rPr/>
        <w:t>Testing</w:t>
      </w:r>
      <w:r>
        <w:rPr>
          <w:spacing w:val="-6"/>
        </w:rPr>
        <w:t> </w:t>
      </w:r>
      <w:r>
        <w:rPr/>
        <w:t>Service</w:t>
      </w:r>
      <w:r>
        <w:rPr>
          <w:spacing w:val="-6"/>
        </w:rPr>
        <w:t> </w:t>
      </w:r>
      <w:r>
        <w:rPr/>
        <w:t>and</w:t>
      </w:r>
      <w:r>
        <w:rPr>
          <w:spacing w:val="-6"/>
        </w:rPr>
        <w:t> </w:t>
      </w:r>
      <w:r>
        <w:rPr/>
        <w:t>then</w:t>
      </w:r>
      <w:r>
        <w:rPr>
          <w:spacing w:val="-6"/>
        </w:rPr>
        <w:t> </w:t>
      </w:r>
      <w:r>
        <w:rPr/>
        <w:t>given</w:t>
      </w:r>
      <w:r>
        <w:rPr>
          <w:spacing w:val="-6"/>
        </w:rPr>
        <w:t> </w:t>
      </w:r>
      <w:r>
        <w:rPr/>
        <w:t>a</w:t>
      </w:r>
      <w:r>
        <w:rPr>
          <w:spacing w:val="-6"/>
        </w:rPr>
        <w:t> </w:t>
      </w:r>
      <w:r>
        <w:rPr/>
        <w:t>short–term </w:t>
      </w:r>
      <w:r>
        <w:rPr>
          <w:spacing w:val="-2"/>
        </w:rPr>
        <w:t>orientation.</w:t>
      </w:r>
      <w:r>
        <w:rPr>
          <w:spacing w:val="-12"/>
        </w:rPr>
        <w:t> </w:t>
      </w:r>
      <w:r>
        <w:rPr>
          <w:spacing w:val="-2"/>
        </w:rPr>
        <w:t>The</w:t>
      </w:r>
      <w:r>
        <w:rPr>
          <w:spacing w:val="-8"/>
        </w:rPr>
        <w:t> </w:t>
      </w:r>
      <w:r>
        <w:rPr>
          <w:spacing w:val="-2"/>
        </w:rPr>
        <w:t>nearly</w:t>
      </w:r>
      <w:r>
        <w:rPr>
          <w:spacing w:val="-6"/>
        </w:rPr>
        <w:t> </w:t>
      </w:r>
      <w:r>
        <w:rPr>
          <w:spacing w:val="-2"/>
        </w:rPr>
        <w:t>four</w:t>
      </w:r>
      <w:r>
        <w:rPr>
          <w:spacing w:val="-6"/>
        </w:rPr>
        <w:t> </w:t>
      </w:r>
      <w:r>
        <w:rPr>
          <w:spacing w:val="-2"/>
        </w:rPr>
        <w:t>million</w:t>
      </w:r>
      <w:r>
        <w:rPr>
          <w:spacing w:val="-6"/>
        </w:rPr>
        <w:t> </w:t>
      </w:r>
      <w:r>
        <w:rPr>
          <w:spacing w:val="-2"/>
        </w:rPr>
        <w:t>school</w:t>
      </w:r>
      <w:r>
        <w:rPr>
          <w:spacing w:val="-6"/>
        </w:rPr>
        <w:t> </w:t>
      </w:r>
      <w:r>
        <w:rPr>
          <w:spacing w:val="-2"/>
        </w:rPr>
        <w:t>teachers</w:t>
      </w:r>
      <w:r>
        <w:rPr>
          <w:spacing w:val="-6"/>
        </w:rPr>
        <w:t> </w:t>
      </w:r>
      <w:r>
        <w:rPr>
          <w:spacing w:val="-2"/>
        </w:rPr>
        <w:t>all </w:t>
      </w:r>
      <w:r>
        <w:rPr/>
        <w:t>over</w:t>
      </w:r>
      <w:r>
        <w:rPr>
          <w:spacing w:val="-10"/>
        </w:rPr>
        <w:t> </w:t>
      </w:r>
      <w:r>
        <w:rPr/>
        <w:t>the</w:t>
      </w:r>
      <w:r>
        <w:rPr>
          <w:spacing w:val="-10"/>
        </w:rPr>
        <w:t> </w:t>
      </w:r>
      <w:r>
        <w:rPr/>
        <w:t>country,</w:t>
      </w:r>
      <w:r>
        <w:rPr>
          <w:spacing w:val="-10"/>
        </w:rPr>
        <w:t> </w:t>
      </w:r>
      <w:r>
        <w:rPr/>
        <w:t>regardless</w:t>
      </w:r>
      <w:r>
        <w:rPr>
          <w:spacing w:val="-10"/>
        </w:rPr>
        <w:t> </w:t>
      </w:r>
      <w:r>
        <w:rPr/>
        <w:t>of</w:t>
      </w:r>
      <w:r>
        <w:rPr>
          <w:spacing w:val="-10"/>
        </w:rPr>
        <w:t> </w:t>
      </w:r>
      <w:r>
        <w:rPr/>
        <w:t>their</w:t>
      </w:r>
      <w:r>
        <w:rPr>
          <w:spacing w:val="-10"/>
        </w:rPr>
        <w:t> </w:t>
      </w:r>
      <w:r>
        <w:rPr/>
        <w:t>subject</w:t>
      </w:r>
      <w:r>
        <w:rPr>
          <w:spacing w:val="-10"/>
        </w:rPr>
        <w:t> </w:t>
      </w:r>
      <w:r>
        <w:rPr/>
        <w:t>expertise, especially teachers at the primary level, should be </w:t>
      </w:r>
      <w:r>
        <w:rPr>
          <w:spacing w:val="-2"/>
        </w:rPr>
        <w:t>trained</w:t>
      </w:r>
      <w:r>
        <w:rPr>
          <w:spacing w:val="-12"/>
        </w:rPr>
        <w:t> </w:t>
      </w:r>
      <w:r>
        <w:rPr>
          <w:spacing w:val="-2"/>
        </w:rPr>
        <w:t>to</w:t>
      </w:r>
      <w:r>
        <w:rPr>
          <w:spacing w:val="-12"/>
        </w:rPr>
        <w:t> </w:t>
      </w:r>
      <w:r>
        <w:rPr>
          <w:spacing w:val="-2"/>
        </w:rPr>
        <w:t>improve</w:t>
      </w:r>
      <w:r>
        <w:rPr>
          <w:spacing w:val="-12"/>
        </w:rPr>
        <w:t> </w:t>
      </w:r>
      <w:r>
        <w:rPr>
          <w:spacing w:val="-2"/>
        </w:rPr>
        <w:t>their</w:t>
      </w:r>
      <w:r>
        <w:rPr>
          <w:spacing w:val="-11"/>
        </w:rPr>
        <w:t> </w:t>
      </w:r>
      <w:r>
        <w:rPr>
          <w:spacing w:val="-2"/>
        </w:rPr>
        <w:t>proficiency</w:t>
      </w:r>
      <w:r>
        <w:rPr>
          <w:spacing w:val="-12"/>
        </w:rPr>
        <w:t> </w:t>
      </w:r>
      <w:r>
        <w:rPr>
          <w:spacing w:val="-2"/>
        </w:rPr>
        <w:t>in</w:t>
      </w:r>
      <w:r>
        <w:rPr>
          <w:spacing w:val="-12"/>
        </w:rPr>
        <w:t> </w:t>
      </w:r>
      <w:r>
        <w:rPr>
          <w:spacing w:val="-2"/>
        </w:rPr>
        <w:t>English</w:t>
      </w:r>
      <w:r>
        <w:rPr>
          <w:spacing w:val="-12"/>
        </w:rPr>
        <w:t> </w:t>
      </w:r>
      <w:r>
        <w:rPr>
          <w:spacing w:val="-2"/>
        </w:rPr>
        <w:t>through </w:t>
      </w:r>
      <w:r>
        <w:rPr/>
        <w:t>vacation training programs or other short-term courses.</w:t>
      </w:r>
      <w:r>
        <w:rPr>
          <w:spacing w:val="-14"/>
        </w:rPr>
        <w:t> </w:t>
      </w:r>
      <w:r>
        <w:rPr/>
        <w:t>Most</w:t>
      </w:r>
      <w:r>
        <w:rPr>
          <w:spacing w:val="-14"/>
        </w:rPr>
        <w:t> </w:t>
      </w:r>
      <w:r>
        <w:rPr/>
        <w:t>teacher</w:t>
      </w:r>
      <w:r>
        <w:rPr>
          <w:spacing w:val="-14"/>
        </w:rPr>
        <w:t> </w:t>
      </w:r>
      <w:r>
        <w:rPr/>
        <w:t>training</w:t>
      </w:r>
      <w:r>
        <w:rPr>
          <w:spacing w:val="-13"/>
        </w:rPr>
        <w:t> </w:t>
      </w:r>
      <w:r>
        <w:rPr/>
        <w:t>programs</w:t>
      </w:r>
      <w:r>
        <w:rPr>
          <w:spacing w:val="-14"/>
        </w:rPr>
        <w:t> </w:t>
      </w:r>
      <w:r>
        <w:rPr/>
        <w:t>are</w:t>
      </w:r>
      <w:r>
        <w:rPr>
          <w:spacing w:val="-14"/>
        </w:rPr>
        <w:t> </w:t>
      </w:r>
      <w:r>
        <w:rPr/>
        <w:t>not</w:t>
      </w:r>
      <w:r>
        <w:rPr>
          <w:spacing w:val="-14"/>
        </w:rPr>
        <w:t> </w:t>
      </w:r>
      <w:r>
        <w:rPr/>
        <w:t>based on a real assessment of needs of teachers. Thus, the entire teacher training system catering to pre-service and in-service training that exists today, including training</w:t>
      </w:r>
      <w:r>
        <w:rPr>
          <w:spacing w:val="-14"/>
        </w:rPr>
        <w:t> </w:t>
      </w:r>
      <w:r>
        <w:rPr/>
        <w:t>for</w:t>
      </w:r>
      <w:r>
        <w:rPr>
          <w:spacing w:val="-14"/>
        </w:rPr>
        <w:t> </w:t>
      </w:r>
      <w:r>
        <w:rPr/>
        <w:t>language</w:t>
      </w:r>
      <w:r>
        <w:rPr>
          <w:spacing w:val="-14"/>
        </w:rPr>
        <w:t> </w:t>
      </w:r>
      <w:r>
        <w:rPr/>
        <w:t>teaching,</w:t>
      </w:r>
      <w:r>
        <w:rPr>
          <w:spacing w:val="-13"/>
        </w:rPr>
        <w:t> </w:t>
      </w:r>
      <w:r>
        <w:rPr/>
        <w:t>needs</w:t>
      </w:r>
      <w:r>
        <w:rPr>
          <w:spacing w:val="-14"/>
        </w:rPr>
        <w:t> </w:t>
      </w:r>
      <w:r>
        <w:rPr/>
        <w:t>to</w:t>
      </w:r>
      <w:r>
        <w:rPr>
          <w:spacing w:val="-14"/>
        </w:rPr>
        <w:t> </w:t>
      </w:r>
      <w:r>
        <w:rPr/>
        <w:t>be</w:t>
      </w:r>
      <w:r>
        <w:rPr>
          <w:spacing w:val="-14"/>
        </w:rPr>
        <w:t> </w:t>
      </w:r>
      <w:r>
        <w:rPr/>
        <w:t>thoroughly reviewed, recognising the centrality of language in the curriculum.</w:t>
      </w:r>
    </w:p>
    <w:p>
      <w:pPr>
        <w:pStyle w:val="BodyText"/>
        <w:spacing w:before="11"/>
      </w:pPr>
    </w:p>
    <w:p>
      <w:pPr>
        <w:pStyle w:val="BodyText"/>
        <w:spacing w:line="266" w:lineRule="auto" w:before="1"/>
        <w:ind w:left="1079"/>
        <w:jc w:val="both"/>
      </w:pPr>
      <w:r>
        <w:rPr/>
        <w:t>A multiplicity of English textbooks should be </w:t>
      </w:r>
      <w:r>
        <w:rPr/>
        <w:t>made </w:t>
      </w:r>
      <w:r>
        <w:rPr>
          <w:spacing w:val="-2"/>
        </w:rPr>
        <w:t>available</w:t>
      </w:r>
      <w:r>
        <w:rPr>
          <w:spacing w:val="13"/>
        </w:rPr>
        <w:t> </w:t>
      </w:r>
      <w:r>
        <w:rPr>
          <w:spacing w:val="-2"/>
        </w:rPr>
        <w:t>to</w:t>
      </w:r>
      <w:r>
        <w:rPr>
          <w:spacing w:val="14"/>
        </w:rPr>
        <w:t> </w:t>
      </w:r>
      <w:r>
        <w:rPr>
          <w:spacing w:val="-2"/>
        </w:rPr>
        <w:t>address</w:t>
      </w:r>
      <w:r>
        <w:rPr>
          <w:spacing w:val="14"/>
        </w:rPr>
        <w:t> </w:t>
      </w:r>
      <w:r>
        <w:rPr>
          <w:spacing w:val="-2"/>
        </w:rPr>
        <w:t>the</w:t>
      </w:r>
      <w:r>
        <w:rPr>
          <w:spacing w:val="14"/>
        </w:rPr>
        <w:t> </w:t>
      </w:r>
      <w:r>
        <w:rPr>
          <w:spacing w:val="-2"/>
        </w:rPr>
        <w:t>diversity</w:t>
      </w:r>
      <w:r>
        <w:rPr>
          <w:spacing w:val="13"/>
        </w:rPr>
        <w:t> </w:t>
      </w:r>
      <w:r>
        <w:rPr>
          <w:spacing w:val="-2"/>
        </w:rPr>
        <w:t>of</w:t>
      </w:r>
      <w:r>
        <w:rPr>
          <w:spacing w:val="14"/>
        </w:rPr>
        <w:t> </w:t>
      </w:r>
      <w:r>
        <w:rPr>
          <w:spacing w:val="-2"/>
        </w:rPr>
        <w:t>English</w:t>
      </w:r>
      <w:r>
        <w:rPr>
          <w:spacing w:val="14"/>
        </w:rPr>
        <w:t> </w:t>
      </w:r>
      <w:r>
        <w:rPr>
          <w:spacing w:val="-5"/>
        </w:rPr>
        <w:t>language</w:t>
      </w:r>
    </w:p>
    <w:p>
      <w:pPr>
        <w:pStyle w:val="BodyText"/>
        <w:spacing w:line="266" w:lineRule="auto" w:before="57"/>
        <w:ind w:left="319" w:right="1077"/>
        <w:jc w:val="both"/>
      </w:pPr>
      <w:r>
        <w:rPr/>
        <w:br w:type="column"/>
      </w:r>
      <w:r>
        <w:rPr/>
        <w:t>environments</w:t>
      </w:r>
      <w:r>
        <w:rPr>
          <w:spacing w:val="-4"/>
        </w:rPr>
        <w:t> </w:t>
      </w:r>
      <w:r>
        <w:rPr/>
        <w:t>in</w:t>
      </w:r>
      <w:r>
        <w:rPr>
          <w:spacing w:val="-4"/>
        </w:rPr>
        <w:t> </w:t>
      </w:r>
      <w:r>
        <w:rPr/>
        <w:t>the</w:t>
      </w:r>
      <w:r>
        <w:rPr>
          <w:spacing w:val="-4"/>
        </w:rPr>
        <w:t> </w:t>
      </w:r>
      <w:r>
        <w:rPr/>
        <w:t>country.</w:t>
      </w:r>
      <w:r>
        <w:rPr>
          <w:spacing w:val="-4"/>
        </w:rPr>
        <w:t> </w:t>
      </w:r>
      <w:r>
        <w:rPr/>
        <w:t>However,</w:t>
      </w:r>
      <w:r>
        <w:rPr>
          <w:spacing w:val="-4"/>
        </w:rPr>
        <w:t> </w:t>
      </w:r>
      <w:r>
        <w:rPr/>
        <w:t>to</w:t>
      </w:r>
      <w:r>
        <w:rPr>
          <w:spacing w:val="-4"/>
        </w:rPr>
        <w:t> </w:t>
      </w:r>
      <w:r>
        <w:rPr/>
        <w:t>ensure</w:t>
      </w:r>
      <w:r>
        <w:rPr>
          <w:spacing w:val="-4"/>
        </w:rPr>
        <w:t> </w:t>
      </w:r>
      <w:r>
        <w:rPr/>
        <w:t>that certain</w:t>
      </w:r>
      <w:r>
        <w:rPr>
          <w:spacing w:val="-9"/>
        </w:rPr>
        <w:t> </w:t>
      </w:r>
      <w:r>
        <w:rPr/>
        <w:t>standards</w:t>
      </w:r>
      <w:r>
        <w:rPr>
          <w:spacing w:val="-9"/>
        </w:rPr>
        <w:t> </w:t>
      </w:r>
      <w:r>
        <w:rPr/>
        <w:t>are</w:t>
      </w:r>
      <w:r>
        <w:rPr>
          <w:spacing w:val="-9"/>
        </w:rPr>
        <w:t> </w:t>
      </w:r>
      <w:r>
        <w:rPr/>
        <w:t>maintained,</w:t>
      </w:r>
      <w:r>
        <w:rPr>
          <w:spacing w:val="-9"/>
        </w:rPr>
        <w:t> </w:t>
      </w:r>
      <w:r>
        <w:rPr/>
        <w:t>benchmarks</w:t>
      </w:r>
      <w:r>
        <w:rPr>
          <w:spacing w:val="-9"/>
        </w:rPr>
        <w:t> </w:t>
      </w:r>
      <w:r>
        <w:rPr/>
        <w:t>may</w:t>
      </w:r>
      <w:r>
        <w:rPr>
          <w:spacing w:val="-9"/>
        </w:rPr>
        <w:t> </w:t>
      </w:r>
      <w:r>
        <w:rPr/>
        <w:t>be laid down for the content of textbooks at each stage. For</w:t>
      </w:r>
      <w:r>
        <w:rPr>
          <w:spacing w:val="28"/>
        </w:rPr>
        <w:t> </w:t>
      </w:r>
      <w:r>
        <w:rPr/>
        <w:t>this</w:t>
      </w:r>
      <w:r>
        <w:rPr>
          <w:spacing w:val="28"/>
        </w:rPr>
        <w:t> </w:t>
      </w:r>
      <w:r>
        <w:rPr/>
        <w:t>purpose,</w:t>
      </w:r>
      <w:r>
        <w:rPr>
          <w:spacing w:val="28"/>
        </w:rPr>
        <w:t> </w:t>
      </w:r>
      <w:r>
        <w:rPr/>
        <w:t>an</w:t>
      </w:r>
      <w:r>
        <w:rPr>
          <w:spacing w:val="28"/>
        </w:rPr>
        <w:t> </w:t>
      </w:r>
      <w:r>
        <w:rPr/>
        <w:t>expert</w:t>
      </w:r>
      <w:r>
        <w:rPr>
          <w:spacing w:val="28"/>
        </w:rPr>
        <w:t> </w:t>
      </w:r>
      <w:r>
        <w:rPr/>
        <w:t>group</w:t>
      </w:r>
      <w:r>
        <w:rPr>
          <w:spacing w:val="28"/>
        </w:rPr>
        <w:t> </w:t>
      </w:r>
      <w:r>
        <w:rPr/>
        <w:t>should</w:t>
      </w:r>
      <w:r>
        <w:rPr>
          <w:spacing w:val="28"/>
        </w:rPr>
        <w:t> </w:t>
      </w:r>
      <w:r>
        <w:rPr/>
        <w:t>be</w:t>
      </w:r>
      <w:r>
        <w:rPr>
          <w:spacing w:val="28"/>
        </w:rPr>
        <w:t> </w:t>
      </w:r>
      <w:r>
        <w:rPr/>
        <w:t>set</w:t>
      </w:r>
      <w:r>
        <w:rPr>
          <w:spacing w:val="28"/>
        </w:rPr>
        <w:t> </w:t>
      </w:r>
      <w:r>
        <w:rPr/>
        <w:t>up to develop pedagogically sound English textbooks for every level, from Class I to XII.</w:t>
      </w:r>
      <w:r>
        <w:rPr>
          <w:spacing w:val="-2"/>
        </w:rPr>
        <w:t> </w:t>
      </w:r>
      <w:r>
        <w:rPr/>
        <w:t>These should be used</w:t>
      </w:r>
      <w:r>
        <w:rPr>
          <w:spacing w:val="-10"/>
        </w:rPr>
        <w:t> </w:t>
      </w:r>
      <w:r>
        <w:rPr/>
        <w:t>as</w:t>
      </w:r>
      <w:r>
        <w:rPr>
          <w:spacing w:val="-10"/>
        </w:rPr>
        <w:t> </w:t>
      </w:r>
      <w:r>
        <w:rPr/>
        <w:t>models</w:t>
      </w:r>
      <w:r>
        <w:rPr>
          <w:spacing w:val="-10"/>
        </w:rPr>
        <w:t> </w:t>
      </w:r>
      <w:r>
        <w:rPr/>
        <w:t>by</w:t>
      </w:r>
      <w:r>
        <w:rPr>
          <w:spacing w:val="-10"/>
        </w:rPr>
        <w:t> </w:t>
      </w:r>
      <w:r>
        <w:rPr/>
        <w:t>states</w:t>
      </w:r>
      <w:r>
        <w:rPr>
          <w:spacing w:val="-10"/>
        </w:rPr>
        <w:t> </w:t>
      </w:r>
      <w:r>
        <w:rPr/>
        <w:t>and</w:t>
      </w:r>
      <w:r>
        <w:rPr>
          <w:spacing w:val="-10"/>
        </w:rPr>
        <w:t> </w:t>
      </w:r>
      <w:r>
        <w:rPr/>
        <w:t>made</w:t>
      </w:r>
      <w:r>
        <w:rPr>
          <w:spacing w:val="-10"/>
        </w:rPr>
        <w:t> </w:t>
      </w:r>
      <w:r>
        <w:rPr/>
        <w:t>freely</w:t>
      </w:r>
      <w:r>
        <w:rPr>
          <w:spacing w:val="-10"/>
        </w:rPr>
        <w:t> </w:t>
      </w:r>
      <w:r>
        <w:rPr/>
        <w:t>available</w:t>
      </w:r>
      <w:r>
        <w:rPr>
          <w:spacing w:val="-10"/>
        </w:rPr>
        <w:t> </w:t>
      </w:r>
      <w:r>
        <w:rPr/>
        <w:t>on the</w:t>
      </w:r>
      <w:r>
        <w:rPr>
          <w:spacing w:val="-9"/>
        </w:rPr>
        <w:t> </w:t>
      </w:r>
      <w:r>
        <w:rPr/>
        <w:t>web</w:t>
      </w:r>
      <w:r>
        <w:rPr>
          <w:spacing w:val="-9"/>
        </w:rPr>
        <w:t> </w:t>
      </w:r>
      <w:r>
        <w:rPr/>
        <w:t>to</w:t>
      </w:r>
      <w:r>
        <w:rPr>
          <w:spacing w:val="-9"/>
        </w:rPr>
        <w:t> </w:t>
      </w:r>
      <w:r>
        <w:rPr/>
        <w:t>allow</w:t>
      </w:r>
      <w:r>
        <w:rPr>
          <w:spacing w:val="-9"/>
        </w:rPr>
        <w:t> </w:t>
      </w:r>
      <w:r>
        <w:rPr/>
        <w:t>easy</w:t>
      </w:r>
      <w:r>
        <w:rPr>
          <w:spacing w:val="-9"/>
        </w:rPr>
        <w:t> </w:t>
      </w:r>
      <w:r>
        <w:rPr/>
        <w:t>access.</w:t>
      </w:r>
      <w:r>
        <w:rPr>
          <w:spacing w:val="-11"/>
        </w:rPr>
        <w:t> </w:t>
      </w:r>
      <w:r>
        <w:rPr/>
        <w:t>While</w:t>
      </w:r>
      <w:r>
        <w:rPr>
          <w:spacing w:val="-9"/>
        </w:rPr>
        <w:t> </w:t>
      </w:r>
      <w:r>
        <w:rPr/>
        <w:t>the</w:t>
      </w:r>
      <w:r>
        <w:rPr>
          <w:spacing w:val="-9"/>
        </w:rPr>
        <w:t> </w:t>
      </w:r>
      <w:r>
        <w:rPr/>
        <w:t>State</w:t>
      </w:r>
      <w:r>
        <w:rPr>
          <w:spacing w:val="-9"/>
        </w:rPr>
        <w:t> </w:t>
      </w:r>
      <w:r>
        <w:rPr/>
        <w:t>Council for</w:t>
      </w:r>
      <w:r>
        <w:rPr>
          <w:spacing w:val="-13"/>
        </w:rPr>
        <w:t> </w:t>
      </w:r>
      <w:r>
        <w:rPr/>
        <w:t>Educational</w:t>
      </w:r>
      <w:r>
        <w:rPr>
          <w:spacing w:val="-11"/>
        </w:rPr>
        <w:t> </w:t>
      </w:r>
      <w:r>
        <w:rPr/>
        <w:t>Research</w:t>
      </w:r>
      <w:r>
        <w:rPr>
          <w:spacing w:val="-11"/>
        </w:rPr>
        <w:t> </w:t>
      </w:r>
      <w:r>
        <w:rPr/>
        <w:t>and</w:t>
      </w:r>
      <w:r>
        <w:rPr>
          <w:spacing w:val="-14"/>
        </w:rPr>
        <w:t> </w:t>
      </w:r>
      <w:r>
        <w:rPr/>
        <w:t>Training</w:t>
      </w:r>
      <w:r>
        <w:rPr>
          <w:spacing w:val="-11"/>
        </w:rPr>
        <w:t> </w:t>
      </w:r>
      <w:r>
        <w:rPr/>
        <w:t>(SCERT)</w:t>
      </w:r>
      <w:r>
        <w:rPr>
          <w:spacing w:val="-11"/>
        </w:rPr>
        <w:t> </w:t>
      </w:r>
      <w:r>
        <w:rPr/>
        <w:t>may </w:t>
      </w:r>
      <w:r>
        <w:rPr>
          <w:spacing w:val="-4"/>
        </w:rPr>
        <w:t>continue</w:t>
      </w:r>
      <w:r>
        <w:rPr>
          <w:spacing w:val="-12"/>
        </w:rPr>
        <w:t> </w:t>
      </w:r>
      <w:r>
        <w:rPr>
          <w:spacing w:val="-4"/>
        </w:rPr>
        <w:t>to</w:t>
      </w:r>
      <w:r>
        <w:rPr>
          <w:spacing w:val="-10"/>
        </w:rPr>
        <w:t> </w:t>
      </w:r>
      <w:r>
        <w:rPr>
          <w:spacing w:val="-4"/>
        </w:rPr>
        <w:t>be</w:t>
      </w:r>
      <w:r>
        <w:rPr>
          <w:spacing w:val="-10"/>
        </w:rPr>
        <w:t> </w:t>
      </w:r>
      <w:r>
        <w:rPr>
          <w:spacing w:val="-4"/>
        </w:rPr>
        <w:t>a</w:t>
      </w:r>
      <w:r>
        <w:rPr>
          <w:spacing w:val="-9"/>
        </w:rPr>
        <w:t> </w:t>
      </w:r>
      <w:r>
        <w:rPr>
          <w:spacing w:val="-4"/>
        </w:rPr>
        <w:t>nodal</w:t>
      </w:r>
      <w:r>
        <w:rPr>
          <w:spacing w:val="-10"/>
        </w:rPr>
        <w:t> </w:t>
      </w:r>
      <w:r>
        <w:rPr>
          <w:spacing w:val="-4"/>
        </w:rPr>
        <w:t>agency</w:t>
      </w:r>
      <w:r>
        <w:rPr>
          <w:spacing w:val="-10"/>
        </w:rPr>
        <w:t> </w:t>
      </w:r>
      <w:r>
        <w:rPr>
          <w:spacing w:val="-4"/>
        </w:rPr>
        <w:t>for</w:t>
      </w:r>
      <w:r>
        <w:rPr>
          <w:spacing w:val="-10"/>
        </w:rPr>
        <w:t> </w:t>
      </w:r>
      <w:r>
        <w:rPr>
          <w:spacing w:val="-4"/>
        </w:rPr>
        <w:t>textbook</w:t>
      </w:r>
      <w:r>
        <w:rPr>
          <w:spacing w:val="-9"/>
        </w:rPr>
        <w:t> </w:t>
      </w:r>
      <w:r>
        <w:rPr>
          <w:spacing w:val="-4"/>
        </w:rPr>
        <w:t>development </w:t>
      </w:r>
      <w:r>
        <w:rPr/>
        <w:t>for</w:t>
      </w:r>
      <w:r>
        <w:rPr>
          <w:spacing w:val="-13"/>
        </w:rPr>
        <w:t> </w:t>
      </w:r>
      <w:r>
        <w:rPr/>
        <w:t>state</w:t>
      </w:r>
      <w:r>
        <w:rPr>
          <w:spacing w:val="-13"/>
        </w:rPr>
        <w:t> </w:t>
      </w:r>
      <w:r>
        <w:rPr/>
        <w:t>board</w:t>
      </w:r>
      <w:r>
        <w:rPr>
          <w:spacing w:val="-13"/>
        </w:rPr>
        <w:t> </w:t>
      </w:r>
      <w:r>
        <w:rPr/>
        <w:t>schools,</w:t>
      </w:r>
      <w:r>
        <w:rPr>
          <w:spacing w:val="-13"/>
        </w:rPr>
        <w:t> </w:t>
      </w:r>
      <w:r>
        <w:rPr/>
        <w:t>the</w:t>
      </w:r>
      <w:r>
        <w:rPr>
          <w:spacing w:val="-13"/>
        </w:rPr>
        <w:t> </w:t>
      </w:r>
      <w:r>
        <w:rPr/>
        <w:t>writing</w:t>
      </w:r>
      <w:r>
        <w:rPr>
          <w:spacing w:val="-13"/>
        </w:rPr>
        <w:t> </w:t>
      </w:r>
      <w:r>
        <w:rPr/>
        <w:t>of</w:t>
      </w:r>
      <w:r>
        <w:rPr>
          <w:spacing w:val="-13"/>
        </w:rPr>
        <w:t> </w:t>
      </w:r>
      <w:r>
        <w:rPr/>
        <w:t>textbooks</w:t>
      </w:r>
      <w:r>
        <w:rPr>
          <w:spacing w:val="-13"/>
        </w:rPr>
        <w:t> </w:t>
      </w:r>
      <w:r>
        <w:rPr/>
        <w:t>needs to</w:t>
      </w:r>
      <w:r>
        <w:rPr>
          <w:spacing w:val="-16"/>
        </w:rPr>
        <w:t> </w:t>
      </w:r>
      <w:r>
        <w:rPr/>
        <w:t>be</w:t>
      </w:r>
      <w:r>
        <w:rPr>
          <w:spacing w:val="-14"/>
        </w:rPr>
        <w:t> </w:t>
      </w:r>
      <w:r>
        <w:rPr/>
        <w:t>further</w:t>
      </w:r>
      <w:r>
        <w:rPr>
          <w:spacing w:val="-14"/>
        </w:rPr>
        <w:t> </w:t>
      </w:r>
      <w:r>
        <w:rPr/>
        <w:t>decentralised.</w:t>
      </w:r>
      <w:r>
        <w:rPr>
          <w:spacing w:val="-13"/>
        </w:rPr>
        <w:t> </w:t>
      </w:r>
      <w:r>
        <w:rPr/>
        <w:t>To</w:t>
      </w:r>
      <w:r>
        <w:rPr>
          <w:spacing w:val="-14"/>
        </w:rPr>
        <w:t> </w:t>
      </w:r>
      <w:r>
        <w:rPr/>
        <w:t>make</w:t>
      </w:r>
      <w:r>
        <w:rPr>
          <w:spacing w:val="-14"/>
        </w:rPr>
        <w:t> </w:t>
      </w:r>
      <w:r>
        <w:rPr/>
        <w:t>the</w:t>
      </w:r>
      <w:r>
        <w:rPr>
          <w:spacing w:val="-14"/>
        </w:rPr>
        <w:t> </w:t>
      </w:r>
      <w:r>
        <w:rPr/>
        <w:t>exercise</w:t>
      </w:r>
      <w:r>
        <w:rPr>
          <w:spacing w:val="-13"/>
        </w:rPr>
        <w:t> </w:t>
      </w:r>
      <w:r>
        <w:rPr/>
        <w:t>more </w:t>
      </w:r>
      <w:r>
        <w:rPr>
          <w:spacing w:val="-2"/>
        </w:rPr>
        <w:t>collaborative,</w:t>
      </w:r>
      <w:r>
        <w:rPr>
          <w:spacing w:val="-12"/>
        </w:rPr>
        <w:t> </w:t>
      </w:r>
      <w:r>
        <w:rPr>
          <w:spacing w:val="-2"/>
        </w:rPr>
        <w:t>civil</w:t>
      </w:r>
      <w:r>
        <w:rPr>
          <w:spacing w:val="-12"/>
        </w:rPr>
        <w:t> </w:t>
      </w:r>
      <w:r>
        <w:rPr>
          <w:spacing w:val="-2"/>
        </w:rPr>
        <w:t>society</w:t>
      </w:r>
      <w:r>
        <w:rPr>
          <w:spacing w:val="-12"/>
        </w:rPr>
        <w:t> </w:t>
      </w:r>
      <w:r>
        <w:rPr>
          <w:spacing w:val="-2"/>
        </w:rPr>
        <w:t>organisations</w:t>
      </w:r>
      <w:r>
        <w:rPr>
          <w:spacing w:val="-11"/>
        </w:rPr>
        <w:t> </w:t>
      </w:r>
      <w:r>
        <w:rPr>
          <w:spacing w:val="-2"/>
        </w:rPr>
        <w:t>with</w:t>
      </w:r>
      <w:r>
        <w:rPr>
          <w:spacing w:val="-12"/>
        </w:rPr>
        <w:t> </w:t>
      </w:r>
      <w:r>
        <w:rPr>
          <w:spacing w:val="-2"/>
        </w:rPr>
        <w:t>expertise </w:t>
      </w:r>
      <w:r>
        <w:rPr/>
        <w:t>in the domain should be involved in developing textbooks. Since language learning takes place not only through direct instruction but also through </w:t>
      </w:r>
      <w:r>
        <w:rPr>
          <w:spacing w:val="-4"/>
        </w:rPr>
        <w:t>assimilation</w:t>
      </w:r>
      <w:r>
        <w:rPr>
          <w:spacing w:val="-10"/>
        </w:rPr>
        <w:t> </w:t>
      </w:r>
      <w:r>
        <w:rPr>
          <w:spacing w:val="-4"/>
        </w:rPr>
        <w:t>from</w:t>
      </w:r>
      <w:r>
        <w:rPr>
          <w:spacing w:val="-10"/>
        </w:rPr>
        <w:t> </w:t>
      </w:r>
      <w:r>
        <w:rPr>
          <w:spacing w:val="-4"/>
        </w:rPr>
        <w:t>the</w:t>
      </w:r>
      <w:r>
        <w:rPr>
          <w:spacing w:val="-10"/>
        </w:rPr>
        <w:t> </w:t>
      </w:r>
      <w:r>
        <w:rPr>
          <w:spacing w:val="-4"/>
        </w:rPr>
        <w:t>environment,</w:t>
      </w:r>
      <w:r>
        <w:rPr>
          <w:spacing w:val="-9"/>
        </w:rPr>
        <w:t> </w:t>
      </w:r>
      <w:r>
        <w:rPr>
          <w:spacing w:val="-4"/>
        </w:rPr>
        <w:t>the</w:t>
      </w:r>
      <w:r>
        <w:rPr>
          <w:spacing w:val="-10"/>
        </w:rPr>
        <w:t> </w:t>
      </w:r>
      <w:r>
        <w:rPr>
          <w:spacing w:val="-4"/>
        </w:rPr>
        <w:t>classroom</w:t>
      </w:r>
      <w:r>
        <w:rPr>
          <w:spacing w:val="-10"/>
        </w:rPr>
        <w:t> </w:t>
      </w:r>
      <w:r>
        <w:rPr>
          <w:spacing w:val="-4"/>
        </w:rPr>
        <w:t>needs </w:t>
      </w:r>
      <w:r>
        <w:rPr/>
        <w:t>to</w:t>
      </w:r>
      <w:r>
        <w:rPr>
          <w:spacing w:val="-14"/>
        </w:rPr>
        <w:t> </w:t>
      </w:r>
      <w:r>
        <w:rPr/>
        <w:t>be</w:t>
      </w:r>
      <w:r>
        <w:rPr>
          <w:spacing w:val="-14"/>
        </w:rPr>
        <w:t> </w:t>
      </w:r>
      <w:r>
        <w:rPr/>
        <w:t>equipped</w:t>
      </w:r>
      <w:r>
        <w:rPr>
          <w:spacing w:val="-14"/>
        </w:rPr>
        <w:t> </w:t>
      </w:r>
      <w:r>
        <w:rPr/>
        <w:t>with</w:t>
      </w:r>
      <w:r>
        <w:rPr>
          <w:spacing w:val="-13"/>
        </w:rPr>
        <w:t> </w:t>
      </w:r>
      <w:r>
        <w:rPr/>
        <w:t>appropriate</w:t>
      </w:r>
      <w:r>
        <w:rPr>
          <w:spacing w:val="-14"/>
        </w:rPr>
        <w:t> </w:t>
      </w:r>
      <w:r>
        <w:rPr/>
        <w:t>supplementary</w:t>
      </w:r>
      <w:r>
        <w:rPr>
          <w:spacing w:val="-14"/>
        </w:rPr>
        <w:t> </w:t>
      </w:r>
      <w:r>
        <w:rPr/>
        <w:t>audio- visual and print material. Resource libraries could be set up in every classroom, comprising of a collection </w:t>
      </w:r>
      <w:r>
        <w:rPr>
          <w:spacing w:val="-2"/>
        </w:rPr>
        <w:t>of</w:t>
      </w:r>
      <w:r>
        <w:rPr>
          <w:spacing w:val="-12"/>
        </w:rPr>
        <w:t> </w:t>
      </w:r>
      <w:r>
        <w:rPr>
          <w:spacing w:val="-2"/>
        </w:rPr>
        <w:t>books,</w:t>
      </w:r>
      <w:r>
        <w:rPr>
          <w:spacing w:val="-12"/>
        </w:rPr>
        <w:t> </w:t>
      </w:r>
      <w:r>
        <w:rPr>
          <w:spacing w:val="-2"/>
        </w:rPr>
        <w:t>magazines,</w:t>
      </w:r>
      <w:r>
        <w:rPr>
          <w:spacing w:val="-12"/>
        </w:rPr>
        <w:t> </w:t>
      </w:r>
      <w:r>
        <w:rPr>
          <w:spacing w:val="-2"/>
        </w:rPr>
        <w:t>newspapers,</w:t>
      </w:r>
      <w:r>
        <w:rPr>
          <w:spacing w:val="-11"/>
        </w:rPr>
        <w:t> </w:t>
      </w:r>
      <w:r>
        <w:rPr>
          <w:spacing w:val="-2"/>
        </w:rPr>
        <w:t>audiovisual</w:t>
      </w:r>
      <w:r>
        <w:rPr>
          <w:spacing w:val="-12"/>
        </w:rPr>
        <w:t> </w:t>
      </w:r>
      <w:r>
        <w:rPr>
          <w:spacing w:val="-2"/>
        </w:rPr>
        <w:t>material </w:t>
      </w:r>
      <w:r>
        <w:rPr/>
        <w:t>and</w:t>
      </w:r>
      <w:r>
        <w:rPr>
          <w:spacing w:val="-4"/>
        </w:rPr>
        <w:t> </w:t>
      </w:r>
      <w:r>
        <w:rPr/>
        <w:t>posters,</w:t>
      </w:r>
      <w:r>
        <w:rPr>
          <w:spacing w:val="-4"/>
        </w:rPr>
        <w:t> </w:t>
      </w:r>
      <w:r>
        <w:rPr/>
        <w:t>appropriate</w:t>
      </w:r>
      <w:r>
        <w:rPr>
          <w:spacing w:val="-4"/>
        </w:rPr>
        <w:t> </w:t>
      </w:r>
      <w:r>
        <w:rPr/>
        <w:t>to</w:t>
      </w:r>
      <w:r>
        <w:rPr>
          <w:spacing w:val="-4"/>
        </w:rPr>
        <w:t> </w:t>
      </w:r>
      <w:r>
        <w:rPr/>
        <w:t>the</w:t>
      </w:r>
      <w:r>
        <w:rPr>
          <w:spacing w:val="-3"/>
        </w:rPr>
        <w:t> </w:t>
      </w:r>
      <w:r>
        <w:rPr/>
        <w:t>age</w:t>
      </w:r>
      <w:r>
        <w:rPr>
          <w:spacing w:val="-4"/>
        </w:rPr>
        <w:t> </w:t>
      </w:r>
      <w:r>
        <w:rPr/>
        <w:t>of</w:t>
      </w:r>
      <w:r>
        <w:rPr>
          <w:spacing w:val="-3"/>
        </w:rPr>
        <w:t> </w:t>
      </w:r>
      <w:r>
        <w:rPr/>
        <w:t>the</w:t>
      </w:r>
      <w:r>
        <w:rPr>
          <w:spacing w:val="-4"/>
        </w:rPr>
        <w:t> </w:t>
      </w:r>
      <w:r>
        <w:rPr/>
        <w:t>students,</w:t>
      </w:r>
      <w:r>
        <w:rPr>
          <w:spacing w:val="-4"/>
        </w:rPr>
        <w:t> </w:t>
      </w:r>
      <w:r>
        <w:rPr/>
        <w:t>on a</w:t>
      </w:r>
      <w:r>
        <w:rPr>
          <w:spacing w:val="-13"/>
        </w:rPr>
        <w:t> </w:t>
      </w:r>
      <w:r>
        <w:rPr/>
        <w:t>variety</w:t>
      </w:r>
      <w:r>
        <w:rPr>
          <w:spacing w:val="-13"/>
        </w:rPr>
        <w:t> </w:t>
      </w:r>
      <w:r>
        <w:rPr/>
        <w:t>of</w:t>
      </w:r>
      <w:r>
        <w:rPr>
          <w:spacing w:val="-13"/>
        </w:rPr>
        <w:t> </w:t>
      </w:r>
      <w:r>
        <w:rPr/>
        <w:t>subjects.</w:t>
      </w:r>
      <w:r>
        <w:rPr>
          <w:spacing w:val="-13"/>
        </w:rPr>
        <w:t> </w:t>
      </w:r>
      <w:r>
        <w:rPr/>
        <w:t>Language</w:t>
      </w:r>
      <w:r>
        <w:rPr>
          <w:spacing w:val="-13"/>
        </w:rPr>
        <w:t> </w:t>
      </w:r>
      <w:r>
        <w:rPr/>
        <w:t>learning</w:t>
      </w:r>
      <w:r>
        <w:rPr>
          <w:spacing w:val="-13"/>
        </w:rPr>
        <w:t> </w:t>
      </w:r>
      <w:r>
        <w:rPr/>
        <w:t>opportunities should also be created outside the classroom through </w:t>
      </w:r>
      <w:r>
        <w:rPr>
          <w:spacing w:val="-2"/>
        </w:rPr>
        <w:t>specific</w:t>
      </w:r>
      <w:r>
        <w:rPr>
          <w:spacing w:val="-12"/>
        </w:rPr>
        <w:t> </w:t>
      </w:r>
      <w:r>
        <w:rPr>
          <w:spacing w:val="-2"/>
        </w:rPr>
        <w:t>bi-lingual</w:t>
      </w:r>
      <w:r>
        <w:rPr>
          <w:spacing w:val="-12"/>
        </w:rPr>
        <w:t> </w:t>
      </w:r>
      <w:r>
        <w:rPr>
          <w:spacing w:val="-2"/>
        </w:rPr>
        <w:t>radio</w:t>
      </w:r>
      <w:r>
        <w:rPr>
          <w:spacing w:val="-12"/>
        </w:rPr>
        <w:t> </w:t>
      </w:r>
      <w:r>
        <w:rPr>
          <w:spacing w:val="-2"/>
        </w:rPr>
        <w:t>and</w:t>
      </w:r>
      <w:r>
        <w:rPr>
          <w:spacing w:val="-11"/>
        </w:rPr>
        <w:t> </w:t>
      </w:r>
      <w:r>
        <w:rPr>
          <w:spacing w:val="-2"/>
        </w:rPr>
        <w:t>TV</w:t>
      </w:r>
      <w:r>
        <w:rPr>
          <w:spacing w:val="-12"/>
        </w:rPr>
        <w:t> </w:t>
      </w:r>
      <w:r>
        <w:rPr>
          <w:spacing w:val="-2"/>
        </w:rPr>
        <w:t>channels,</w:t>
      </w:r>
      <w:r>
        <w:rPr>
          <w:spacing w:val="-12"/>
        </w:rPr>
        <w:t> </w:t>
      </w:r>
      <w:r>
        <w:rPr>
          <w:spacing w:val="-2"/>
        </w:rPr>
        <w:t>which</w:t>
      </w:r>
      <w:r>
        <w:rPr>
          <w:spacing w:val="-12"/>
        </w:rPr>
        <w:t> </w:t>
      </w:r>
      <w:r>
        <w:rPr>
          <w:spacing w:val="-2"/>
        </w:rPr>
        <w:t>could </w:t>
      </w:r>
      <w:r>
        <w:rPr/>
        <w:t>be introduced for formal and informal teaching and </w:t>
      </w:r>
      <w:r>
        <w:rPr>
          <w:spacing w:val="-2"/>
        </w:rPr>
        <w:t>learning</w:t>
      </w:r>
      <w:r>
        <w:rPr>
          <w:spacing w:val="-11"/>
        </w:rPr>
        <w:t> </w:t>
      </w:r>
      <w:r>
        <w:rPr>
          <w:spacing w:val="-2"/>
        </w:rPr>
        <w:t>of</w:t>
      </w:r>
      <w:r>
        <w:rPr>
          <w:spacing w:val="-11"/>
        </w:rPr>
        <w:t> </w:t>
      </w:r>
      <w:r>
        <w:rPr>
          <w:spacing w:val="-2"/>
        </w:rPr>
        <w:t>English.</w:t>
      </w:r>
      <w:r>
        <w:rPr>
          <w:spacing w:val="-11"/>
        </w:rPr>
        <w:t> </w:t>
      </w:r>
      <w:r>
        <w:rPr>
          <w:spacing w:val="-2"/>
        </w:rPr>
        <w:t>Knowledge</w:t>
      </w:r>
      <w:r>
        <w:rPr>
          <w:spacing w:val="-11"/>
        </w:rPr>
        <w:t> </w:t>
      </w:r>
      <w:r>
        <w:rPr>
          <w:spacing w:val="-2"/>
        </w:rPr>
        <w:t>clubs</w:t>
      </w:r>
      <w:r>
        <w:rPr>
          <w:spacing w:val="-11"/>
        </w:rPr>
        <w:t> </w:t>
      </w:r>
      <w:r>
        <w:rPr>
          <w:spacing w:val="-2"/>
        </w:rPr>
        <w:t>could</w:t>
      </w:r>
      <w:r>
        <w:rPr>
          <w:spacing w:val="-11"/>
        </w:rPr>
        <w:t> </w:t>
      </w:r>
      <w:r>
        <w:rPr>
          <w:spacing w:val="-2"/>
        </w:rPr>
        <w:t>be</w:t>
      </w:r>
      <w:r>
        <w:rPr>
          <w:spacing w:val="-11"/>
        </w:rPr>
        <w:t> </w:t>
      </w:r>
      <w:r>
        <w:rPr>
          <w:spacing w:val="-2"/>
        </w:rPr>
        <w:t>formed </w:t>
      </w:r>
      <w:r>
        <w:rPr>
          <w:spacing w:val="-4"/>
        </w:rPr>
        <w:t>to</w:t>
      </w:r>
      <w:r>
        <w:rPr>
          <w:spacing w:val="-8"/>
        </w:rPr>
        <w:t> </w:t>
      </w:r>
      <w:r>
        <w:rPr>
          <w:spacing w:val="-4"/>
        </w:rPr>
        <w:t>discuss</w:t>
      </w:r>
      <w:r>
        <w:rPr>
          <w:spacing w:val="-8"/>
        </w:rPr>
        <w:t> </w:t>
      </w:r>
      <w:r>
        <w:rPr>
          <w:spacing w:val="-4"/>
        </w:rPr>
        <w:t>and</w:t>
      </w:r>
      <w:r>
        <w:rPr>
          <w:spacing w:val="-8"/>
        </w:rPr>
        <w:t> </w:t>
      </w:r>
      <w:r>
        <w:rPr>
          <w:spacing w:val="-4"/>
        </w:rPr>
        <w:t>disseminate</w:t>
      </w:r>
      <w:r>
        <w:rPr>
          <w:spacing w:val="-8"/>
        </w:rPr>
        <w:t> </w:t>
      </w:r>
      <w:r>
        <w:rPr>
          <w:spacing w:val="-4"/>
        </w:rPr>
        <w:t>knowledge</w:t>
      </w:r>
      <w:r>
        <w:rPr>
          <w:spacing w:val="-8"/>
        </w:rPr>
        <w:t> </w:t>
      </w:r>
      <w:r>
        <w:rPr>
          <w:spacing w:val="-4"/>
        </w:rPr>
        <w:t>as</w:t>
      </w:r>
      <w:r>
        <w:rPr>
          <w:spacing w:val="-8"/>
        </w:rPr>
        <w:t> </w:t>
      </w:r>
      <w:r>
        <w:rPr>
          <w:spacing w:val="-4"/>
        </w:rPr>
        <w:t>well</w:t>
      </w:r>
      <w:r>
        <w:rPr>
          <w:spacing w:val="-8"/>
        </w:rPr>
        <w:t> </w:t>
      </w:r>
      <w:r>
        <w:rPr>
          <w:spacing w:val="-4"/>
        </w:rPr>
        <w:t>as</w:t>
      </w:r>
      <w:r>
        <w:rPr>
          <w:spacing w:val="-8"/>
        </w:rPr>
        <w:t> </w:t>
      </w:r>
      <w:r>
        <w:rPr>
          <w:spacing w:val="-4"/>
        </w:rPr>
        <w:t>extend </w:t>
      </w:r>
      <w:r>
        <w:rPr/>
        <w:t>the use of English outside the classroom. Given that </w:t>
      </w:r>
      <w:r>
        <w:rPr>
          <w:spacing w:val="-8"/>
        </w:rPr>
        <w:t>language</w:t>
      </w:r>
      <w:r>
        <w:rPr>
          <w:spacing w:val="-6"/>
        </w:rPr>
        <w:t> </w:t>
      </w:r>
      <w:r>
        <w:rPr>
          <w:spacing w:val="-8"/>
        </w:rPr>
        <w:t>learning</w:t>
      </w:r>
      <w:r>
        <w:rPr>
          <w:spacing w:val="-6"/>
        </w:rPr>
        <w:t> </w:t>
      </w:r>
      <w:r>
        <w:rPr>
          <w:spacing w:val="-8"/>
        </w:rPr>
        <w:t>requires</w:t>
      </w:r>
      <w:r>
        <w:rPr>
          <w:spacing w:val="-6"/>
        </w:rPr>
        <w:t> </w:t>
      </w:r>
      <w:r>
        <w:rPr>
          <w:spacing w:val="-8"/>
        </w:rPr>
        <w:t>extensive</w:t>
      </w:r>
      <w:r>
        <w:rPr>
          <w:spacing w:val="-5"/>
        </w:rPr>
        <w:t> </w:t>
      </w:r>
      <w:r>
        <w:rPr>
          <w:spacing w:val="-8"/>
        </w:rPr>
        <w:t>resources,</w:t>
      </w:r>
      <w:r>
        <w:rPr>
          <w:spacing w:val="-6"/>
        </w:rPr>
        <w:t> </w:t>
      </w:r>
      <w:r>
        <w:rPr>
          <w:spacing w:val="-8"/>
        </w:rPr>
        <w:t>a</w:t>
      </w:r>
      <w:r>
        <w:rPr>
          <w:spacing w:val="-6"/>
        </w:rPr>
        <w:t> </w:t>
      </w:r>
      <w:r>
        <w:rPr>
          <w:spacing w:val="-8"/>
        </w:rPr>
        <w:t>centrally </w:t>
      </w:r>
      <w:r>
        <w:rPr>
          <w:spacing w:val="-6"/>
        </w:rPr>
        <w:t>sponsored scheme of financial assistance for developing </w:t>
      </w:r>
      <w:r>
        <w:rPr/>
        <w:t>English language resources (teachers and materials) should be instituted to address this requirement.</w:t>
      </w:r>
    </w:p>
    <w:p>
      <w:pPr>
        <w:pStyle w:val="BodyText"/>
        <w:spacing w:before="1"/>
      </w:pPr>
    </w:p>
    <w:p>
      <w:pPr>
        <w:pStyle w:val="BodyText"/>
        <w:spacing w:line="266" w:lineRule="auto"/>
        <w:ind w:left="319" w:right="1077"/>
        <w:jc w:val="both"/>
      </w:pPr>
      <w:r>
        <w:rPr/>
        <w:t>State Governments would need to be equal partners in the implementation of this idea. NKC </w:t>
      </w:r>
      <w:r>
        <w:rPr/>
        <w:t>therefore proposes that the Prime Minister discuss this matter with</w:t>
      </w:r>
      <w:r>
        <w:rPr>
          <w:spacing w:val="-4"/>
        </w:rPr>
        <w:t> </w:t>
      </w:r>
      <w:r>
        <w:rPr/>
        <w:t>all</w:t>
      </w:r>
      <w:r>
        <w:rPr>
          <w:spacing w:val="-4"/>
        </w:rPr>
        <w:t> </w:t>
      </w:r>
      <w:r>
        <w:rPr/>
        <w:t>Chief</w:t>
      </w:r>
      <w:r>
        <w:rPr>
          <w:spacing w:val="-4"/>
        </w:rPr>
        <w:t> </w:t>
      </w:r>
      <w:r>
        <w:rPr/>
        <w:t>Ministers</w:t>
      </w:r>
      <w:r>
        <w:rPr>
          <w:spacing w:val="-4"/>
        </w:rPr>
        <w:t> </w:t>
      </w:r>
      <w:r>
        <w:rPr/>
        <w:t>at</w:t>
      </w:r>
      <w:r>
        <w:rPr>
          <w:spacing w:val="-4"/>
        </w:rPr>
        <w:t> </w:t>
      </w:r>
      <w:r>
        <w:rPr/>
        <w:t>the</w:t>
      </w:r>
      <w:r>
        <w:rPr>
          <w:spacing w:val="-4"/>
        </w:rPr>
        <w:t> </w:t>
      </w:r>
      <w:r>
        <w:rPr/>
        <w:t>National</w:t>
      </w:r>
      <w:r>
        <w:rPr>
          <w:spacing w:val="-4"/>
        </w:rPr>
        <w:t> </w:t>
      </w:r>
      <w:r>
        <w:rPr/>
        <w:t>Development Council,</w:t>
      </w:r>
      <w:r>
        <w:rPr>
          <w:spacing w:val="-10"/>
        </w:rPr>
        <w:t> </w:t>
      </w:r>
      <w:r>
        <w:rPr/>
        <w:t>to</w:t>
      </w:r>
      <w:r>
        <w:rPr>
          <w:spacing w:val="-10"/>
        </w:rPr>
        <w:t> </w:t>
      </w:r>
      <w:r>
        <w:rPr/>
        <w:t>formulate</w:t>
      </w:r>
      <w:r>
        <w:rPr>
          <w:spacing w:val="-10"/>
        </w:rPr>
        <w:t> </w:t>
      </w:r>
      <w:r>
        <w:rPr/>
        <w:t>a</w:t>
      </w:r>
      <w:r>
        <w:rPr>
          <w:spacing w:val="-10"/>
        </w:rPr>
        <w:t> </w:t>
      </w:r>
      <w:r>
        <w:rPr/>
        <w:t>National</w:t>
      </w:r>
      <w:r>
        <w:rPr>
          <w:spacing w:val="-10"/>
        </w:rPr>
        <w:t> </w:t>
      </w:r>
      <w:r>
        <w:rPr/>
        <w:t>Plan</w:t>
      </w:r>
      <w:r>
        <w:rPr>
          <w:spacing w:val="-10"/>
        </w:rPr>
        <w:t> </w:t>
      </w:r>
      <w:r>
        <w:rPr/>
        <w:t>for</w:t>
      </w:r>
      <w:r>
        <w:rPr>
          <w:spacing w:val="-10"/>
        </w:rPr>
        <w:t> </w:t>
      </w:r>
      <w:r>
        <w:rPr/>
        <w:t>the</w:t>
      </w:r>
      <w:r>
        <w:rPr>
          <w:spacing w:val="-10"/>
        </w:rPr>
        <w:t> </w:t>
      </w:r>
      <w:r>
        <w:rPr/>
        <w:t>teaching of English as a language, in addition to the regional </w:t>
      </w:r>
      <w:r>
        <w:rPr>
          <w:spacing w:val="-6"/>
        </w:rPr>
        <w:t>language,</w:t>
      </w:r>
      <w:r>
        <w:rPr>
          <w:spacing w:val="-8"/>
        </w:rPr>
        <w:t> </w:t>
      </w:r>
      <w:r>
        <w:rPr>
          <w:spacing w:val="-6"/>
        </w:rPr>
        <w:t>starting</w:t>
      </w:r>
      <w:r>
        <w:rPr>
          <w:spacing w:val="-1"/>
        </w:rPr>
        <w:t> </w:t>
      </w:r>
      <w:r>
        <w:rPr>
          <w:spacing w:val="-6"/>
        </w:rPr>
        <w:t>in Class I.</w:t>
      </w:r>
      <w:r>
        <w:rPr>
          <w:spacing w:val="-8"/>
        </w:rPr>
        <w:t> </w:t>
      </w:r>
      <w:r>
        <w:rPr>
          <w:spacing w:val="-6"/>
        </w:rPr>
        <w:t>This would also ensure that </w:t>
      </w:r>
      <w:r>
        <w:rPr>
          <w:spacing w:val="-2"/>
        </w:rPr>
        <w:t>at</w:t>
      </w:r>
      <w:r>
        <w:rPr>
          <w:spacing w:val="-12"/>
        </w:rPr>
        <w:t> </w:t>
      </w:r>
      <w:r>
        <w:rPr>
          <w:spacing w:val="-2"/>
        </w:rPr>
        <w:t>the</w:t>
      </w:r>
      <w:r>
        <w:rPr>
          <w:spacing w:val="-12"/>
        </w:rPr>
        <w:t> </w:t>
      </w:r>
      <w:r>
        <w:rPr>
          <w:spacing w:val="-2"/>
        </w:rPr>
        <w:t>end</w:t>
      </w:r>
      <w:r>
        <w:rPr>
          <w:spacing w:val="-12"/>
        </w:rPr>
        <w:t> </w:t>
      </w:r>
      <w:r>
        <w:rPr>
          <w:spacing w:val="-2"/>
        </w:rPr>
        <w:t>of</w:t>
      </w:r>
      <w:r>
        <w:rPr>
          <w:spacing w:val="-11"/>
        </w:rPr>
        <w:t> </w:t>
      </w:r>
      <w:r>
        <w:rPr>
          <w:spacing w:val="-2"/>
        </w:rPr>
        <w:t>twelve</w:t>
      </w:r>
      <w:r>
        <w:rPr>
          <w:spacing w:val="-12"/>
        </w:rPr>
        <w:t> </w:t>
      </w:r>
      <w:r>
        <w:rPr>
          <w:spacing w:val="-2"/>
        </w:rPr>
        <w:t>years</w:t>
      </w:r>
      <w:r>
        <w:rPr>
          <w:spacing w:val="-12"/>
        </w:rPr>
        <w:t> </w:t>
      </w:r>
      <w:r>
        <w:rPr>
          <w:spacing w:val="-2"/>
        </w:rPr>
        <w:t>of</w:t>
      </w:r>
      <w:r>
        <w:rPr>
          <w:spacing w:val="-12"/>
        </w:rPr>
        <w:t> </w:t>
      </w:r>
      <w:r>
        <w:rPr>
          <w:spacing w:val="-2"/>
        </w:rPr>
        <w:t>schooling,</w:t>
      </w:r>
      <w:r>
        <w:rPr>
          <w:spacing w:val="-11"/>
        </w:rPr>
        <w:t> </w:t>
      </w:r>
      <w:r>
        <w:rPr>
          <w:spacing w:val="-2"/>
        </w:rPr>
        <w:t>every</w:t>
      </w:r>
      <w:r>
        <w:rPr>
          <w:spacing w:val="-12"/>
        </w:rPr>
        <w:t> </w:t>
      </w:r>
      <w:r>
        <w:rPr>
          <w:spacing w:val="-2"/>
        </w:rPr>
        <w:t>student</w:t>
      </w:r>
      <w:r>
        <w:rPr>
          <w:spacing w:val="-12"/>
        </w:rPr>
        <w:t> </w:t>
      </w:r>
      <w:r>
        <w:rPr>
          <w:spacing w:val="-2"/>
        </w:rPr>
        <w:t>is </w:t>
      </w:r>
      <w:r>
        <w:rPr/>
        <w:t>proficient in at least two languages.</w:t>
      </w:r>
    </w:p>
    <w:p>
      <w:pPr>
        <w:spacing w:after="0" w:line="266" w:lineRule="auto"/>
        <w:jc w:val="both"/>
        <w:sectPr>
          <w:pgSz w:w="11910" w:h="16840"/>
          <w:pgMar w:header="0" w:footer="634"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6"/>
        <w:rPr>
          <w:sz w:val="20"/>
        </w:rPr>
      </w:pPr>
    </w:p>
    <w:p>
      <w:pPr>
        <w:spacing w:after="0"/>
        <w:rPr>
          <w:sz w:val="20"/>
        </w:rPr>
        <w:sectPr>
          <w:pgSz w:w="11910" w:h="16840"/>
          <w:pgMar w:header="0" w:footer="675" w:top="0" w:bottom="860" w:left="0" w:right="0"/>
        </w:sectPr>
      </w:pPr>
    </w:p>
    <w:p>
      <w:pPr>
        <w:pStyle w:val="BodyText"/>
        <w:spacing w:line="266" w:lineRule="auto" w:before="85"/>
        <w:ind w:left="1080" w:firstLine="702"/>
        <w:jc w:val="right"/>
      </w:pPr>
      <w:r>
        <w:rPr/>
        <mc:AlternateContent>
          <mc:Choice Requires="wps">
            <w:drawing>
              <wp:anchor distT="0" distB="0" distL="0" distR="0" allowOverlap="1" layoutInCell="1" locked="0" behindDoc="0" simplePos="0" relativeHeight="15751680">
                <wp:simplePos x="0" y="0"/>
                <wp:positionH relativeFrom="page">
                  <wp:posOffset>0</wp:posOffset>
                </wp:positionH>
                <wp:positionV relativeFrom="paragraph">
                  <wp:posOffset>-2275488</wp:posOffset>
                </wp:positionV>
                <wp:extent cx="7560309" cy="1752600"/>
                <wp:effectExtent l="0" t="0" r="0" b="0"/>
                <wp:wrapNone/>
                <wp:docPr id="815" name="Group 815"/>
                <wp:cNvGraphicFramePr>
                  <a:graphicFrameLocks/>
                </wp:cNvGraphicFramePr>
                <a:graphic>
                  <a:graphicData uri="http://schemas.microsoft.com/office/word/2010/wordprocessingGroup">
                    <wpg:wgp>
                      <wpg:cNvPr id="815" name="Group 815"/>
                      <wpg:cNvGrpSpPr/>
                      <wpg:grpSpPr>
                        <a:xfrm>
                          <a:off x="0" y="0"/>
                          <a:ext cx="7560309" cy="1752600"/>
                          <a:chExt cx="7560309" cy="1752600"/>
                        </a:xfrm>
                      </wpg:grpSpPr>
                      <pic:pic>
                        <pic:nvPicPr>
                          <pic:cNvPr id="816" name="Image 816"/>
                          <pic:cNvPicPr/>
                        </pic:nvPicPr>
                        <pic:blipFill>
                          <a:blip r:embed="rId11" cstate="print"/>
                          <a:stretch>
                            <a:fillRect/>
                          </a:stretch>
                        </pic:blipFill>
                        <pic:spPr>
                          <a:xfrm>
                            <a:off x="0" y="0"/>
                            <a:ext cx="7559999" cy="1752562"/>
                          </a:xfrm>
                          <a:prstGeom prst="rect">
                            <a:avLst/>
                          </a:prstGeom>
                        </pic:spPr>
                      </pic:pic>
                      <wps:wsp>
                        <wps:cNvPr id="817" name="Textbox 817"/>
                        <wps:cNvSpPr txBox="1"/>
                        <wps:spPr>
                          <a:xfrm>
                            <a:off x="685800" y="598688"/>
                            <a:ext cx="2230120" cy="501650"/>
                          </a:xfrm>
                          <a:prstGeom prst="rect">
                            <a:avLst/>
                          </a:prstGeom>
                        </wps:spPr>
                        <wps:txbx>
                          <w:txbxContent>
                            <w:p>
                              <w:pPr>
                                <w:spacing w:before="0"/>
                                <w:ind w:left="0" w:right="0" w:firstLine="0"/>
                                <w:jc w:val="left"/>
                                <w:rPr>
                                  <w:rFonts w:ascii="Trebuchet MS"/>
                                  <w:b/>
                                  <w:sz w:val="68"/>
                                </w:rPr>
                              </w:pPr>
                              <w:r>
                                <w:rPr>
                                  <w:rFonts w:ascii="Trebuchet MS"/>
                                  <w:b/>
                                  <w:color w:val="FFFFFF"/>
                                  <w:spacing w:val="-9"/>
                                  <w:sz w:val="68"/>
                                </w:rPr>
                                <w:t>Translation</w:t>
                              </w:r>
                            </w:p>
                          </w:txbxContent>
                        </wps:txbx>
                        <wps:bodyPr wrap="square" lIns="0" tIns="0" rIns="0" bIns="0" rtlCol="0">
                          <a:noAutofit/>
                        </wps:bodyPr>
                      </wps:wsp>
                      <wps:wsp>
                        <wps:cNvPr id="818" name="Textbox 818"/>
                        <wps:cNvSpPr txBox="1"/>
                        <wps:spPr>
                          <a:xfrm>
                            <a:off x="5822551" y="1439105"/>
                            <a:ext cx="1064895" cy="158750"/>
                          </a:xfrm>
                          <a:prstGeom prst="rect">
                            <a:avLst/>
                          </a:prstGeom>
                        </wps:spPr>
                        <wps:txbx>
                          <w:txbxContent>
                            <w:p>
                              <w:pPr>
                                <w:spacing w:line="238" w:lineRule="exact" w:before="0"/>
                                <w:ind w:left="0" w:right="0" w:firstLine="0"/>
                                <w:jc w:val="left"/>
                                <w:rPr>
                                  <w:b/>
                                  <w:sz w:val="22"/>
                                </w:rPr>
                              </w:pPr>
                              <w:r>
                                <w:rPr>
                                  <w:b/>
                                  <w:color w:val="FFFFFF"/>
                                  <w:w w:val="90"/>
                                  <w:sz w:val="22"/>
                                </w:rPr>
                                <w:t>September</w:t>
                              </w:r>
                              <w:r>
                                <w:rPr>
                                  <w:b/>
                                  <w:color w:val="FFFFFF"/>
                                  <w:spacing w:val="13"/>
                                  <w:sz w:val="22"/>
                                </w:rPr>
                                <w:t> </w:t>
                              </w:r>
                              <w:r>
                                <w:rPr>
                                  <w:b/>
                                  <w:color w:val="FFFFFF"/>
                                  <w:w w:val="90"/>
                                  <w:sz w:val="22"/>
                                </w:rPr>
                                <w:t>1,</w:t>
                              </w:r>
                              <w:r>
                                <w:rPr>
                                  <w:b/>
                                  <w:color w:val="FFFFFF"/>
                                  <w:spacing w:val="13"/>
                                  <w:sz w:val="22"/>
                                </w:rPr>
                                <w:t> </w:t>
                              </w:r>
                              <w:r>
                                <w:rPr>
                                  <w:b/>
                                  <w:color w:val="FFFFFF"/>
                                  <w:spacing w:val="-4"/>
                                  <w:w w:val="90"/>
                                  <w:sz w:val="22"/>
                                </w:rPr>
                                <w:t>2006</w:t>
                              </w:r>
                            </w:p>
                          </w:txbxContent>
                        </wps:txbx>
                        <wps:bodyPr wrap="square" lIns="0" tIns="0" rIns="0" bIns="0" rtlCol="0">
                          <a:noAutofit/>
                        </wps:bodyPr>
                      </wps:wsp>
                    </wpg:wgp>
                  </a:graphicData>
                </a:graphic>
              </wp:anchor>
            </w:drawing>
          </mc:Choice>
          <mc:Fallback>
            <w:pict>
              <v:group style="position:absolute;margin-left:0pt;margin-top:-179.172318pt;width:595.3pt;height:138pt;mso-position-horizontal-relative:page;mso-position-vertical-relative:paragraph;z-index:15751680" id="docshapegroup808" coordorigin="0,-3583" coordsize="11906,2760">
                <v:shape style="position:absolute;left:0;top:-3584;width:11906;height:2760" type="#_x0000_t75" id="docshape809" stroked="false">
                  <v:imagedata r:id="rId11" o:title=""/>
                </v:shape>
                <v:shape style="position:absolute;left:1080;top:-2641;width:3512;height:790" type="#_x0000_t202" id="docshape810" filled="false" stroked="false">
                  <v:textbox inset="0,0,0,0">
                    <w:txbxContent>
                      <w:p>
                        <w:pPr>
                          <w:spacing w:before="0"/>
                          <w:ind w:left="0" w:right="0" w:firstLine="0"/>
                          <w:jc w:val="left"/>
                          <w:rPr>
                            <w:rFonts w:ascii="Trebuchet MS"/>
                            <w:b/>
                            <w:sz w:val="68"/>
                          </w:rPr>
                        </w:pPr>
                        <w:r>
                          <w:rPr>
                            <w:rFonts w:ascii="Trebuchet MS"/>
                            <w:b/>
                            <w:color w:val="FFFFFF"/>
                            <w:spacing w:val="-9"/>
                            <w:sz w:val="68"/>
                          </w:rPr>
                          <w:t>Translation</w:t>
                        </w:r>
                      </w:p>
                    </w:txbxContent>
                  </v:textbox>
                  <w10:wrap type="none"/>
                </v:shape>
                <v:shape style="position:absolute;left:9169;top:-1318;width:1677;height:250" type="#_x0000_t202" id="docshape811" filled="false" stroked="false">
                  <v:textbox inset="0,0,0,0">
                    <w:txbxContent>
                      <w:p>
                        <w:pPr>
                          <w:spacing w:line="238" w:lineRule="exact" w:before="0"/>
                          <w:ind w:left="0" w:right="0" w:firstLine="0"/>
                          <w:jc w:val="left"/>
                          <w:rPr>
                            <w:b/>
                            <w:sz w:val="22"/>
                          </w:rPr>
                        </w:pPr>
                        <w:r>
                          <w:rPr>
                            <w:b/>
                            <w:color w:val="FFFFFF"/>
                            <w:w w:val="90"/>
                            <w:sz w:val="22"/>
                          </w:rPr>
                          <w:t>September</w:t>
                        </w:r>
                        <w:r>
                          <w:rPr>
                            <w:b/>
                            <w:color w:val="FFFFFF"/>
                            <w:spacing w:val="13"/>
                            <w:sz w:val="22"/>
                          </w:rPr>
                          <w:t> </w:t>
                        </w:r>
                        <w:r>
                          <w:rPr>
                            <w:b/>
                            <w:color w:val="FFFFFF"/>
                            <w:w w:val="90"/>
                            <w:sz w:val="22"/>
                          </w:rPr>
                          <w:t>1,</w:t>
                        </w:r>
                        <w:r>
                          <w:rPr>
                            <w:b/>
                            <w:color w:val="FFFFFF"/>
                            <w:spacing w:val="13"/>
                            <w:sz w:val="22"/>
                          </w:rPr>
                          <w:t> </w:t>
                        </w:r>
                        <w:r>
                          <w:rPr>
                            <w:b/>
                            <w:color w:val="FFFFFF"/>
                            <w:spacing w:val="-4"/>
                            <w:w w:val="90"/>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28768">
                <wp:simplePos x="0" y="0"/>
                <wp:positionH relativeFrom="page">
                  <wp:posOffset>685799</wp:posOffset>
                </wp:positionH>
                <wp:positionV relativeFrom="paragraph">
                  <wp:posOffset>-34869</wp:posOffset>
                </wp:positionV>
                <wp:extent cx="446405" cy="757555"/>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7456pt;width:35.15pt;height:59.65pt;mso-position-horizontal-relative:page;mso-position-vertical-relative:paragraph;z-index:-23987712" type="#_x0000_t202" id="docshape812"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here is an urgent need to expand the </w:t>
      </w:r>
      <w:r>
        <w:rPr/>
        <w:t>quantity and</w:t>
      </w:r>
      <w:r>
        <w:rPr>
          <w:spacing w:val="80"/>
        </w:rPr>
        <w:t> </w:t>
      </w:r>
      <w:r>
        <w:rPr/>
        <w:t>improve</w:t>
      </w:r>
      <w:r>
        <w:rPr>
          <w:spacing w:val="80"/>
        </w:rPr>
        <w:t> </w:t>
      </w:r>
      <w:r>
        <w:rPr/>
        <w:t>the</w:t>
      </w:r>
      <w:r>
        <w:rPr>
          <w:spacing w:val="80"/>
        </w:rPr>
        <w:t> </w:t>
      </w:r>
      <w:r>
        <w:rPr/>
        <w:t>quality</w:t>
      </w:r>
      <w:r>
        <w:rPr>
          <w:spacing w:val="80"/>
        </w:rPr>
        <w:t> </w:t>
      </w:r>
      <w:r>
        <w:rPr/>
        <w:t>of</w:t>
      </w:r>
      <w:r>
        <w:rPr>
          <w:spacing w:val="80"/>
        </w:rPr>
        <w:t> </w:t>
      </w:r>
      <w:r>
        <w:rPr/>
        <w:t>translation</w:t>
      </w:r>
      <w:r>
        <w:rPr>
          <w:spacing w:val="80"/>
        </w:rPr>
        <w:t> </w:t>
      </w:r>
      <w:r>
        <w:rPr/>
        <w:t>of different</w:t>
      </w:r>
      <w:r>
        <w:rPr>
          <w:spacing w:val="80"/>
        </w:rPr>
        <w:t> </w:t>
      </w:r>
      <w:r>
        <w:rPr/>
        <w:t>types</w:t>
      </w:r>
      <w:r>
        <w:rPr>
          <w:spacing w:val="80"/>
        </w:rPr>
        <w:t> </w:t>
      </w:r>
      <w:r>
        <w:rPr/>
        <w:t>(human,</w:t>
      </w:r>
      <w:r>
        <w:rPr>
          <w:spacing w:val="80"/>
        </w:rPr>
        <w:t> </w:t>
      </w:r>
      <w:r>
        <w:rPr/>
        <w:t>machine-aided,</w:t>
      </w:r>
      <w:r>
        <w:rPr>
          <w:spacing w:val="80"/>
        </w:rPr>
        <w:t> </w:t>
      </w:r>
      <w:r>
        <w:rPr/>
        <w:t>or instant)</w:t>
      </w:r>
      <w:r>
        <w:rPr>
          <w:spacing w:val="9"/>
        </w:rPr>
        <w:t> </w:t>
      </w:r>
      <w:r>
        <w:rPr/>
        <w:t>and</w:t>
      </w:r>
      <w:r>
        <w:rPr>
          <w:spacing w:val="9"/>
        </w:rPr>
        <w:t> </w:t>
      </w:r>
      <w:r>
        <w:rPr/>
        <w:t>in</w:t>
      </w:r>
      <w:r>
        <w:rPr>
          <w:spacing w:val="10"/>
        </w:rPr>
        <w:t> </w:t>
      </w:r>
      <w:r>
        <w:rPr/>
        <w:t>different</w:t>
      </w:r>
      <w:r>
        <w:rPr>
          <w:spacing w:val="9"/>
        </w:rPr>
        <w:t> </w:t>
      </w:r>
      <w:r>
        <w:rPr/>
        <w:t>domains</w:t>
      </w:r>
      <w:r>
        <w:rPr>
          <w:spacing w:val="9"/>
        </w:rPr>
        <w:t> </w:t>
      </w:r>
      <w:r>
        <w:rPr/>
        <w:t>(literary,</w:t>
      </w:r>
      <w:r>
        <w:rPr>
          <w:spacing w:val="10"/>
        </w:rPr>
        <w:t> </w:t>
      </w:r>
      <w:r>
        <w:rPr/>
        <w:t>scientific, </w:t>
      </w:r>
      <w:r>
        <w:rPr>
          <w:spacing w:val="-2"/>
        </w:rPr>
        <w:t>technical,</w:t>
      </w:r>
      <w:r>
        <w:rPr>
          <w:spacing w:val="4"/>
        </w:rPr>
        <w:t> </w:t>
      </w:r>
      <w:r>
        <w:rPr>
          <w:spacing w:val="-2"/>
        </w:rPr>
        <w:t>business)</w:t>
      </w:r>
      <w:r>
        <w:rPr>
          <w:spacing w:val="4"/>
        </w:rPr>
        <w:t> </w:t>
      </w:r>
      <w:r>
        <w:rPr>
          <w:spacing w:val="-2"/>
        </w:rPr>
        <w:t>that</w:t>
      </w:r>
      <w:r>
        <w:rPr>
          <w:spacing w:val="4"/>
        </w:rPr>
        <w:t> </w:t>
      </w:r>
      <w:r>
        <w:rPr>
          <w:spacing w:val="-2"/>
        </w:rPr>
        <w:t>would</w:t>
      </w:r>
      <w:r>
        <w:rPr>
          <w:spacing w:val="4"/>
        </w:rPr>
        <w:t> </w:t>
      </w:r>
      <w:r>
        <w:rPr>
          <w:spacing w:val="-2"/>
        </w:rPr>
        <w:t>provide</w:t>
      </w:r>
      <w:r>
        <w:rPr>
          <w:spacing w:val="4"/>
        </w:rPr>
        <w:t> </w:t>
      </w:r>
      <w:r>
        <w:rPr>
          <w:spacing w:val="-2"/>
        </w:rPr>
        <w:t>greater</w:t>
      </w:r>
      <w:r>
        <w:rPr>
          <w:spacing w:val="4"/>
        </w:rPr>
        <w:t> </w:t>
      </w:r>
      <w:r>
        <w:rPr>
          <w:spacing w:val="-2"/>
        </w:rPr>
        <w:t>access to</w:t>
      </w:r>
      <w:r>
        <w:rPr>
          <w:spacing w:val="-5"/>
        </w:rPr>
        <w:t> </w:t>
      </w:r>
      <w:r>
        <w:rPr>
          <w:spacing w:val="-2"/>
        </w:rPr>
        <w:t>knowledge</w:t>
      </w:r>
      <w:r>
        <w:rPr>
          <w:spacing w:val="-5"/>
        </w:rPr>
        <w:t> </w:t>
      </w:r>
      <w:r>
        <w:rPr>
          <w:spacing w:val="-2"/>
        </w:rPr>
        <w:t>across</w:t>
      </w:r>
      <w:r>
        <w:rPr>
          <w:spacing w:val="-5"/>
        </w:rPr>
        <w:t> </w:t>
      </w:r>
      <w:r>
        <w:rPr>
          <w:spacing w:val="-2"/>
        </w:rPr>
        <w:t>the</w:t>
      </w:r>
      <w:r>
        <w:rPr>
          <w:spacing w:val="-5"/>
        </w:rPr>
        <w:t> </w:t>
      </w:r>
      <w:r>
        <w:rPr>
          <w:spacing w:val="-2"/>
        </w:rPr>
        <w:t>country.</w:t>
      </w:r>
      <w:r>
        <w:rPr>
          <w:spacing w:val="-12"/>
        </w:rPr>
        <w:t> </w:t>
      </w:r>
      <w:r>
        <w:rPr>
          <w:spacing w:val="-2"/>
        </w:rPr>
        <w:t>The</w:t>
      </w:r>
      <w:r>
        <w:rPr>
          <w:spacing w:val="-5"/>
        </w:rPr>
        <w:t> </w:t>
      </w:r>
      <w:r>
        <w:rPr>
          <w:spacing w:val="-2"/>
        </w:rPr>
        <w:t>current</w:t>
      </w:r>
      <w:r>
        <w:rPr>
          <w:spacing w:val="-5"/>
        </w:rPr>
        <w:t> </w:t>
      </w:r>
      <w:r>
        <w:rPr>
          <w:spacing w:val="-2"/>
        </w:rPr>
        <w:t>facilities available are inadequate and less than what is socially </w:t>
      </w:r>
      <w:r>
        <w:rPr/>
        <w:t>required.</w:t>
      </w:r>
      <w:r>
        <w:rPr>
          <w:spacing w:val="-8"/>
        </w:rPr>
        <w:t> </w:t>
      </w:r>
      <w:r>
        <w:rPr/>
        <w:t>There</w:t>
      </w:r>
      <w:r>
        <w:rPr>
          <w:spacing w:val="-1"/>
        </w:rPr>
        <w:t> </w:t>
      </w:r>
      <w:r>
        <w:rPr/>
        <w:t>is</w:t>
      </w:r>
      <w:r>
        <w:rPr>
          <w:spacing w:val="-1"/>
        </w:rPr>
        <w:t> </w:t>
      </w:r>
      <w:r>
        <w:rPr/>
        <w:t>latent</w:t>
      </w:r>
      <w:r>
        <w:rPr>
          <w:spacing w:val="-1"/>
        </w:rPr>
        <w:t> </w:t>
      </w:r>
      <w:r>
        <w:rPr/>
        <w:t>unrecognised</w:t>
      </w:r>
      <w:r>
        <w:rPr>
          <w:spacing w:val="-1"/>
        </w:rPr>
        <w:t> </w:t>
      </w:r>
      <w:r>
        <w:rPr/>
        <w:t>demand</w:t>
      </w:r>
      <w:r>
        <w:rPr>
          <w:spacing w:val="-1"/>
        </w:rPr>
        <w:t> </w:t>
      </w:r>
      <w:r>
        <w:rPr/>
        <w:t>which </w:t>
      </w:r>
      <w:r>
        <w:rPr>
          <w:spacing w:val="-4"/>
        </w:rPr>
        <w:t>is</w:t>
      </w:r>
      <w:r>
        <w:rPr>
          <w:spacing w:val="-7"/>
        </w:rPr>
        <w:t> </w:t>
      </w:r>
      <w:r>
        <w:rPr>
          <w:spacing w:val="-4"/>
        </w:rPr>
        <w:t>not</w:t>
      </w:r>
      <w:r>
        <w:rPr>
          <w:spacing w:val="-7"/>
        </w:rPr>
        <w:t> </w:t>
      </w:r>
      <w:r>
        <w:rPr>
          <w:spacing w:val="-4"/>
        </w:rPr>
        <w:t>being</w:t>
      </w:r>
      <w:r>
        <w:rPr>
          <w:spacing w:val="-7"/>
        </w:rPr>
        <w:t> </w:t>
      </w:r>
      <w:r>
        <w:rPr>
          <w:spacing w:val="-4"/>
        </w:rPr>
        <w:t>met</w:t>
      </w:r>
      <w:r>
        <w:rPr>
          <w:spacing w:val="-7"/>
        </w:rPr>
        <w:t> </w:t>
      </w:r>
      <w:r>
        <w:rPr>
          <w:spacing w:val="-4"/>
        </w:rPr>
        <w:t>because</w:t>
      </w:r>
      <w:r>
        <w:rPr>
          <w:spacing w:val="-7"/>
        </w:rPr>
        <w:t> </w:t>
      </w:r>
      <w:r>
        <w:rPr>
          <w:spacing w:val="-4"/>
        </w:rPr>
        <w:t>of</w:t>
      </w:r>
      <w:r>
        <w:rPr>
          <w:spacing w:val="-7"/>
        </w:rPr>
        <w:t> </w:t>
      </w:r>
      <w:r>
        <w:rPr>
          <w:spacing w:val="-4"/>
        </w:rPr>
        <w:t>incomplete</w:t>
      </w:r>
      <w:r>
        <w:rPr>
          <w:spacing w:val="-7"/>
        </w:rPr>
        <w:t> </w:t>
      </w:r>
      <w:r>
        <w:rPr>
          <w:spacing w:val="-4"/>
        </w:rPr>
        <w:t>and</w:t>
      </w:r>
      <w:r>
        <w:rPr>
          <w:spacing w:val="-7"/>
        </w:rPr>
        <w:t> </w:t>
      </w:r>
      <w:r>
        <w:rPr>
          <w:spacing w:val="-4"/>
        </w:rPr>
        <w:t>asymmetric </w:t>
      </w:r>
      <w:r>
        <w:rPr>
          <w:spacing w:val="-2"/>
        </w:rPr>
        <w:t>information. Inadequacy of information, compounded </w:t>
      </w:r>
      <w:r>
        <w:rPr/>
        <w:t>by</w:t>
      </w:r>
      <w:r>
        <w:rPr>
          <w:spacing w:val="15"/>
        </w:rPr>
        <w:t> </w:t>
      </w:r>
      <w:r>
        <w:rPr/>
        <w:t>the</w:t>
      </w:r>
      <w:r>
        <w:rPr>
          <w:spacing w:val="15"/>
        </w:rPr>
        <w:t> </w:t>
      </w:r>
      <w:r>
        <w:rPr/>
        <w:t>lack</w:t>
      </w:r>
      <w:r>
        <w:rPr>
          <w:spacing w:val="15"/>
        </w:rPr>
        <w:t> </w:t>
      </w:r>
      <w:r>
        <w:rPr/>
        <w:t>of</w:t>
      </w:r>
      <w:r>
        <w:rPr>
          <w:spacing w:val="15"/>
        </w:rPr>
        <w:t> </w:t>
      </w:r>
      <w:r>
        <w:rPr/>
        <w:t>coordination</w:t>
      </w:r>
      <w:r>
        <w:rPr>
          <w:spacing w:val="15"/>
        </w:rPr>
        <w:t> </w:t>
      </w:r>
      <w:r>
        <w:rPr/>
        <w:t>between</w:t>
      </w:r>
      <w:r>
        <w:rPr>
          <w:spacing w:val="15"/>
        </w:rPr>
        <w:t> </w:t>
      </w:r>
      <w:r>
        <w:rPr/>
        <w:t>potential</w:t>
      </w:r>
      <w:r>
        <w:rPr>
          <w:spacing w:val="15"/>
        </w:rPr>
        <w:t> </w:t>
      </w:r>
      <w:r>
        <w:rPr/>
        <w:t>users, also</w:t>
      </w:r>
      <w:r>
        <w:rPr>
          <w:spacing w:val="40"/>
        </w:rPr>
        <w:t> </w:t>
      </w:r>
      <w:r>
        <w:rPr/>
        <w:t>leads</w:t>
      </w:r>
      <w:r>
        <w:rPr>
          <w:spacing w:val="40"/>
        </w:rPr>
        <w:t> </w:t>
      </w:r>
      <w:r>
        <w:rPr/>
        <w:t>to</w:t>
      </w:r>
      <w:r>
        <w:rPr>
          <w:spacing w:val="40"/>
        </w:rPr>
        <w:t> </w:t>
      </w:r>
      <w:r>
        <w:rPr/>
        <w:t>market</w:t>
      </w:r>
      <w:r>
        <w:rPr>
          <w:spacing w:val="40"/>
        </w:rPr>
        <w:t> </w:t>
      </w:r>
      <w:r>
        <w:rPr/>
        <w:t>failures.</w:t>
      </w:r>
      <w:r>
        <w:rPr>
          <w:spacing w:val="40"/>
        </w:rPr>
        <w:t> </w:t>
      </w:r>
      <w:r>
        <w:rPr/>
        <w:t>There</w:t>
      </w:r>
      <w:r>
        <w:rPr>
          <w:spacing w:val="40"/>
        </w:rPr>
        <w:t> </w:t>
      </w:r>
      <w:r>
        <w:rPr/>
        <w:t>is</w:t>
      </w:r>
      <w:r>
        <w:rPr>
          <w:spacing w:val="40"/>
        </w:rPr>
        <w:t> </w:t>
      </w:r>
      <w:r>
        <w:rPr/>
        <w:t>inadequate dissemination</w:t>
      </w:r>
      <w:r>
        <w:rPr>
          <w:spacing w:val="74"/>
        </w:rPr>
        <w:t> </w:t>
      </w:r>
      <w:r>
        <w:rPr/>
        <w:t>of</w:t>
      </w:r>
      <w:r>
        <w:rPr>
          <w:spacing w:val="74"/>
        </w:rPr>
        <w:t> </w:t>
      </w:r>
      <w:r>
        <w:rPr/>
        <w:t>good</w:t>
      </w:r>
      <w:r>
        <w:rPr>
          <w:spacing w:val="74"/>
        </w:rPr>
        <w:t> </w:t>
      </w:r>
      <w:r>
        <w:rPr/>
        <w:t>quality</w:t>
      </w:r>
      <w:r>
        <w:rPr>
          <w:spacing w:val="74"/>
        </w:rPr>
        <w:t> </w:t>
      </w:r>
      <w:r>
        <w:rPr/>
        <w:t>translations</w:t>
      </w:r>
      <w:r>
        <w:rPr>
          <w:spacing w:val="74"/>
        </w:rPr>
        <w:t> </w:t>
      </w:r>
      <w:r>
        <w:rPr/>
        <w:t>which would</w:t>
      </w:r>
      <w:r>
        <w:rPr>
          <w:spacing w:val="40"/>
        </w:rPr>
        <w:t> </w:t>
      </w:r>
      <w:r>
        <w:rPr/>
        <w:t>provide</w:t>
      </w:r>
      <w:r>
        <w:rPr>
          <w:spacing w:val="40"/>
        </w:rPr>
        <w:t> </w:t>
      </w:r>
      <w:r>
        <w:rPr/>
        <w:t>a</w:t>
      </w:r>
      <w:r>
        <w:rPr>
          <w:spacing w:val="40"/>
        </w:rPr>
        <w:t> </w:t>
      </w:r>
      <w:r>
        <w:rPr/>
        <w:t>benchmark</w:t>
      </w:r>
      <w:r>
        <w:rPr>
          <w:spacing w:val="40"/>
        </w:rPr>
        <w:t> </w:t>
      </w:r>
      <w:r>
        <w:rPr/>
        <w:t>and</w:t>
      </w:r>
      <w:r>
        <w:rPr>
          <w:spacing w:val="40"/>
        </w:rPr>
        <w:t> </w:t>
      </w:r>
      <w:r>
        <w:rPr/>
        <w:t>create</w:t>
      </w:r>
      <w:r>
        <w:rPr>
          <w:spacing w:val="40"/>
        </w:rPr>
        <w:t> </w:t>
      </w:r>
      <w:r>
        <w:rPr/>
        <w:t>incentives for</w:t>
      </w:r>
      <w:r>
        <w:rPr>
          <w:spacing w:val="18"/>
        </w:rPr>
        <w:t> </w:t>
      </w:r>
      <w:r>
        <w:rPr/>
        <w:t>more</w:t>
      </w:r>
      <w:r>
        <w:rPr>
          <w:spacing w:val="18"/>
        </w:rPr>
        <w:t> </w:t>
      </w:r>
      <w:r>
        <w:rPr/>
        <w:t>private</w:t>
      </w:r>
      <w:r>
        <w:rPr>
          <w:spacing w:val="18"/>
        </w:rPr>
        <w:t> </w:t>
      </w:r>
      <w:r>
        <w:rPr/>
        <w:t>activity</w:t>
      </w:r>
      <w:r>
        <w:rPr>
          <w:spacing w:val="18"/>
        </w:rPr>
        <w:t> </w:t>
      </w:r>
      <w:r>
        <w:rPr/>
        <w:t>in</w:t>
      </w:r>
      <w:r>
        <w:rPr>
          <w:spacing w:val="18"/>
        </w:rPr>
        <w:t> </w:t>
      </w:r>
      <w:r>
        <w:rPr/>
        <w:t>this</w:t>
      </w:r>
      <w:r>
        <w:rPr>
          <w:spacing w:val="18"/>
        </w:rPr>
        <w:t> </w:t>
      </w:r>
      <w:r>
        <w:rPr/>
        <w:t>area.</w:t>
      </w:r>
      <w:r>
        <w:rPr>
          <w:spacing w:val="11"/>
        </w:rPr>
        <w:t> </w:t>
      </w:r>
      <w:r>
        <w:rPr/>
        <w:t>This</w:t>
      </w:r>
      <w:r>
        <w:rPr>
          <w:spacing w:val="18"/>
        </w:rPr>
        <w:t> </w:t>
      </w:r>
      <w:r>
        <w:rPr/>
        <w:t>therefore requires</w:t>
      </w:r>
      <w:r>
        <w:rPr>
          <w:spacing w:val="17"/>
        </w:rPr>
        <w:t> </w:t>
      </w:r>
      <w:r>
        <w:rPr/>
        <w:t>some</w:t>
      </w:r>
      <w:r>
        <w:rPr>
          <w:spacing w:val="17"/>
        </w:rPr>
        <w:t> </w:t>
      </w:r>
      <w:r>
        <w:rPr/>
        <w:t>amount</w:t>
      </w:r>
      <w:r>
        <w:rPr>
          <w:spacing w:val="17"/>
        </w:rPr>
        <w:t> </w:t>
      </w:r>
      <w:r>
        <w:rPr/>
        <w:t>of</w:t>
      </w:r>
      <w:r>
        <w:rPr>
          <w:spacing w:val="17"/>
        </w:rPr>
        <w:t> </w:t>
      </w:r>
      <w:r>
        <w:rPr/>
        <w:t>public</w:t>
      </w:r>
      <w:r>
        <w:rPr>
          <w:spacing w:val="17"/>
        </w:rPr>
        <w:t> </w:t>
      </w:r>
      <w:r>
        <w:rPr/>
        <w:t>intervention,</w:t>
      </w:r>
      <w:r>
        <w:rPr>
          <w:spacing w:val="17"/>
        </w:rPr>
        <w:t> </w:t>
      </w:r>
      <w:r>
        <w:rPr/>
        <w:t>not</w:t>
      </w:r>
      <w:r>
        <w:rPr>
          <w:spacing w:val="17"/>
        </w:rPr>
        <w:t> </w:t>
      </w:r>
      <w:r>
        <w:rPr/>
        <w:t>as a</w:t>
      </w:r>
      <w:r>
        <w:rPr>
          <w:spacing w:val="-2"/>
        </w:rPr>
        <w:t> </w:t>
      </w:r>
      <w:r>
        <w:rPr/>
        <w:t>permanent</w:t>
      </w:r>
      <w:r>
        <w:rPr>
          <w:spacing w:val="-2"/>
        </w:rPr>
        <w:t> </w:t>
      </w:r>
      <w:r>
        <w:rPr/>
        <w:t>feature,</w:t>
      </w:r>
      <w:r>
        <w:rPr>
          <w:spacing w:val="-2"/>
        </w:rPr>
        <w:t> </w:t>
      </w:r>
      <w:r>
        <w:rPr/>
        <w:t>but</w:t>
      </w:r>
      <w:r>
        <w:rPr>
          <w:spacing w:val="-2"/>
        </w:rPr>
        <w:t> </w:t>
      </w:r>
      <w:r>
        <w:rPr/>
        <w:t>as</w:t>
      </w:r>
      <w:r>
        <w:rPr>
          <w:spacing w:val="-2"/>
        </w:rPr>
        <w:t> </w:t>
      </w:r>
      <w:r>
        <w:rPr/>
        <w:t>a</w:t>
      </w:r>
      <w:r>
        <w:rPr>
          <w:spacing w:val="-2"/>
        </w:rPr>
        <w:t> </w:t>
      </w:r>
      <w:r>
        <w:rPr/>
        <w:t>set</w:t>
      </w:r>
      <w:r>
        <w:rPr>
          <w:spacing w:val="-2"/>
        </w:rPr>
        <w:t> </w:t>
      </w:r>
      <w:r>
        <w:rPr/>
        <w:t>of</w:t>
      </w:r>
      <w:r>
        <w:rPr>
          <w:spacing w:val="-2"/>
        </w:rPr>
        <w:t> </w:t>
      </w:r>
      <w:r>
        <w:rPr/>
        <w:t>measures</w:t>
      </w:r>
      <w:r>
        <w:rPr>
          <w:spacing w:val="-2"/>
        </w:rPr>
        <w:t> </w:t>
      </w:r>
      <w:r>
        <w:rPr/>
        <w:t>to</w:t>
      </w:r>
      <w:r>
        <w:rPr>
          <w:spacing w:val="-2"/>
        </w:rPr>
        <w:t> </w:t>
      </w:r>
      <w:r>
        <w:rPr/>
        <w:t>kick- </w:t>
      </w:r>
      <w:r>
        <w:rPr>
          <w:spacing w:val="-2"/>
        </w:rPr>
        <w:t>start a process of encouraging private initiative so that the</w:t>
      </w:r>
      <w:r>
        <w:rPr>
          <w:spacing w:val="-12"/>
        </w:rPr>
        <w:t> </w:t>
      </w:r>
      <w:r>
        <w:rPr>
          <w:spacing w:val="-2"/>
        </w:rPr>
        <w:t>large</w:t>
      </w:r>
      <w:r>
        <w:rPr>
          <w:spacing w:val="-12"/>
        </w:rPr>
        <w:t> </w:t>
      </w:r>
      <w:r>
        <w:rPr>
          <w:spacing w:val="-2"/>
        </w:rPr>
        <w:t>commercially</w:t>
      </w:r>
      <w:r>
        <w:rPr>
          <w:spacing w:val="-12"/>
        </w:rPr>
        <w:t> </w:t>
      </w:r>
      <w:r>
        <w:rPr>
          <w:spacing w:val="-2"/>
        </w:rPr>
        <w:t>viable</w:t>
      </w:r>
      <w:r>
        <w:rPr>
          <w:spacing w:val="-11"/>
        </w:rPr>
        <w:t> </w:t>
      </w:r>
      <w:r>
        <w:rPr>
          <w:spacing w:val="-2"/>
        </w:rPr>
        <w:t>provision</w:t>
      </w:r>
      <w:r>
        <w:rPr>
          <w:spacing w:val="-12"/>
        </w:rPr>
        <w:t> </w:t>
      </w:r>
      <w:r>
        <w:rPr>
          <w:spacing w:val="-2"/>
        </w:rPr>
        <w:t>of</w:t>
      </w:r>
      <w:r>
        <w:rPr>
          <w:spacing w:val="-12"/>
        </w:rPr>
        <w:t> </w:t>
      </w:r>
      <w:r>
        <w:rPr>
          <w:spacing w:val="-2"/>
        </w:rPr>
        <w:t>high</w:t>
      </w:r>
      <w:r>
        <w:rPr>
          <w:spacing w:val="-12"/>
        </w:rPr>
        <w:t> </w:t>
      </w:r>
      <w:r>
        <w:rPr>
          <w:spacing w:val="-2"/>
        </w:rPr>
        <w:t>quality </w:t>
      </w:r>
      <w:r>
        <w:rPr/>
        <w:t>translation</w:t>
      </w:r>
      <w:r>
        <w:rPr>
          <w:spacing w:val="28"/>
        </w:rPr>
        <w:t> </w:t>
      </w:r>
      <w:r>
        <w:rPr/>
        <w:t>in</w:t>
      </w:r>
      <w:r>
        <w:rPr>
          <w:spacing w:val="28"/>
        </w:rPr>
        <w:t> </w:t>
      </w:r>
      <w:r>
        <w:rPr/>
        <w:t>different</w:t>
      </w:r>
      <w:r>
        <w:rPr>
          <w:spacing w:val="28"/>
        </w:rPr>
        <w:t> </w:t>
      </w:r>
      <w:r>
        <w:rPr/>
        <w:t>areas</w:t>
      </w:r>
      <w:r>
        <w:rPr>
          <w:spacing w:val="28"/>
        </w:rPr>
        <w:t> </w:t>
      </w:r>
      <w:r>
        <w:rPr/>
        <w:t>becomes</w:t>
      </w:r>
      <w:r>
        <w:rPr>
          <w:spacing w:val="28"/>
        </w:rPr>
        <w:t> </w:t>
      </w:r>
      <w:r>
        <w:rPr/>
        <w:t>feasible.</w:t>
      </w:r>
      <w:r>
        <w:rPr>
          <w:spacing w:val="21"/>
        </w:rPr>
        <w:t> </w:t>
      </w:r>
      <w:r>
        <w:rPr/>
        <w:t>The </w:t>
      </w:r>
      <w:r>
        <w:rPr>
          <w:spacing w:val="-2"/>
        </w:rPr>
        <w:t>direct</w:t>
      </w:r>
      <w:r>
        <w:rPr>
          <w:spacing w:val="-9"/>
        </w:rPr>
        <w:t> </w:t>
      </w:r>
      <w:r>
        <w:rPr>
          <w:spacing w:val="-2"/>
        </w:rPr>
        <w:t>and</w:t>
      </w:r>
      <w:r>
        <w:rPr>
          <w:spacing w:val="-9"/>
        </w:rPr>
        <w:t> </w:t>
      </w:r>
      <w:r>
        <w:rPr>
          <w:spacing w:val="-2"/>
        </w:rPr>
        <w:t>indirect</w:t>
      </w:r>
      <w:r>
        <w:rPr>
          <w:spacing w:val="-9"/>
        </w:rPr>
        <w:t> </w:t>
      </w:r>
      <w:r>
        <w:rPr>
          <w:spacing w:val="-2"/>
        </w:rPr>
        <w:t>employment</w:t>
      </w:r>
      <w:r>
        <w:rPr>
          <w:spacing w:val="-9"/>
        </w:rPr>
        <w:t> </w:t>
      </w:r>
      <w:r>
        <w:rPr>
          <w:spacing w:val="-2"/>
        </w:rPr>
        <w:t>generation</w:t>
      </w:r>
      <w:r>
        <w:rPr>
          <w:spacing w:val="-9"/>
        </w:rPr>
        <w:t> </w:t>
      </w:r>
      <w:r>
        <w:rPr>
          <w:spacing w:val="-2"/>
        </w:rPr>
        <w:t>potential</w:t>
      </w:r>
      <w:r>
        <w:rPr>
          <w:spacing w:val="-9"/>
        </w:rPr>
        <w:t> </w:t>
      </w:r>
      <w:r>
        <w:rPr>
          <w:spacing w:val="-2"/>
        </w:rPr>
        <w:t>of </w:t>
      </w:r>
      <w:r>
        <w:rPr/>
        <w:t>translation</w:t>
      </w:r>
      <w:r>
        <w:rPr>
          <w:spacing w:val="3"/>
        </w:rPr>
        <w:t> </w:t>
      </w:r>
      <w:r>
        <w:rPr/>
        <w:t>activities</w:t>
      </w:r>
      <w:r>
        <w:rPr>
          <w:spacing w:val="4"/>
        </w:rPr>
        <w:t> </w:t>
      </w:r>
      <w:r>
        <w:rPr/>
        <w:t>is</w:t>
      </w:r>
      <w:r>
        <w:rPr>
          <w:spacing w:val="4"/>
        </w:rPr>
        <w:t> </w:t>
      </w:r>
      <w:r>
        <w:rPr/>
        <w:t>very</w:t>
      </w:r>
      <w:r>
        <w:rPr>
          <w:spacing w:val="3"/>
        </w:rPr>
        <w:t> </w:t>
      </w:r>
      <w:r>
        <w:rPr/>
        <w:t>high,</w:t>
      </w:r>
      <w:r>
        <w:rPr>
          <w:spacing w:val="4"/>
        </w:rPr>
        <w:t> </w:t>
      </w:r>
      <w:r>
        <w:rPr/>
        <w:t>and</w:t>
      </w:r>
      <w:r>
        <w:rPr>
          <w:spacing w:val="4"/>
        </w:rPr>
        <w:t> </w:t>
      </w:r>
      <w:r>
        <w:rPr/>
        <w:t>could</w:t>
      </w:r>
      <w:r>
        <w:rPr>
          <w:spacing w:val="4"/>
        </w:rPr>
        <w:t> </w:t>
      </w:r>
      <w:r>
        <w:rPr/>
        <w:t>absorb</w:t>
      </w:r>
      <w:r>
        <w:rPr>
          <w:spacing w:val="3"/>
        </w:rPr>
        <w:t> </w:t>
      </w:r>
      <w:r>
        <w:rPr>
          <w:spacing w:val="-10"/>
        </w:rPr>
        <w:t>a</w:t>
      </w:r>
    </w:p>
    <w:p>
      <w:pPr>
        <w:pStyle w:val="BodyText"/>
        <w:spacing w:line="235" w:lineRule="exact"/>
        <w:ind w:left="1080"/>
        <w:jc w:val="both"/>
      </w:pPr>
      <w:r>
        <w:rPr>
          <w:spacing w:val="-2"/>
        </w:rPr>
        <w:t>substantial</w:t>
      </w:r>
      <w:r>
        <w:rPr>
          <w:spacing w:val="-12"/>
        </w:rPr>
        <w:t> </w:t>
      </w:r>
      <w:r>
        <w:rPr>
          <w:spacing w:val="-2"/>
        </w:rPr>
        <w:t>part</w:t>
      </w:r>
      <w:r>
        <w:rPr>
          <w:spacing w:val="-12"/>
        </w:rPr>
        <w:t> </w:t>
      </w:r>
      <w:r>
        <w:rPr>
          <w:spacing w:val="-2"/>
        </w:rPr>
        <w:t>of</w:t>
      </w:r>
      <w:r>
        <w:rPr>
          <w:spacing w:val="-11"/>
        </w:rPr>
        <w:t> </w:t>
      </w:r>
      <w:r>
        <w:rPr>
          <w:spacing w:val="-2"/>
        </w:rPr>
        <w:t>educated</w:t>
      </w:r>
      <w:r>
        <w:rPr>
          <w:spacing w:val="-12"/>
        </w:rPr>
        <w:t> </w:t>
      </w:r>
      <w:r>
        <w:rPr>
          <w:spacing w:val="-2"/>
        </w:rPr>
        <w:t>unemployed</w:t>
      </w:r>
      <w:r>
        <w:rPr>
          <w:spacing w:val="-12"/>
        </w:rPr>
        <w:t> </w:t>
      </w:r>
      <w:r>
        <w:rPr>
          <w:spacing w:val="-2"/>
        </w:rPr>
        <w:t>youth.</w:t>
      </w:r>
    </w:p>
    <w:p>
      <w:pPr>
        <w:pStyle w:val="BodyText"/>
        <w:spacing w:before="54"/>
      </w:pPr>
    </w:p>
    <w:p>
      <w:pPr>
        <w:pStyle w:val="BodyText"/>
        <w:spacing w:line="266" w:lineRule="auto"/>
        <w:ind w:left="1080"/>
        <w:jc w:val="both"/>
      </w:pPr>
      <w:r>
        <w:rPr/>
        <w:t>Based on these insights, NKC formed a </w:t>
      </w:r>
      <w:r>
        <w:rPr/>
        <w:t>Working </w:t>
      </w:r>
      <w:r>
        <w:rPr>
          <w:spacing w:val="-2"/>
        </w:rPr>
        <w:t>Group</w:t>
      </w:r>
      <w:r>
        <w:rPr>
          <w:spacing w:val="-12"/>
        </w:rPr>
        <w:t> </w:t>
      </w:r>
      <w:r>
        <w:rPr>
          <w:spacing w:val="-2"/>
        </w:rPr>
        <w:t>led</w:t>
      </w:r>
      <w:r>
        <w:rPr>
          <w:spacing w:val="-12"/>
        </w:rPr>
        <w:t> </w:t>
      </w:r>
      <w:r>
        <w:rPr>
          <w:spacing w:val="-2"/>
        </w:rPr>
        <w:t>by</w:t>
      </w:r>
      <w:r>
        <w:rPr>
          <w:spacing w:val="-12"/>
        </w:rPr>
        <w:t> </w:t>
      </w:r>
      <w:r>
        <w:rPr>
          <w:spacing w:val="-2"/>
        </w:rPr>
        <w:t>Dr.</w:t>
      </w:r>
      <w:r>
        <w:rPr>
          <w:spacing w:val="-11"/>
        </w:rPr>
        <w:t> </w:t>
      </w:r>
      <w:r>
        <w:rPr>
          <w:spacing w:val="-2"/>
        </w:rPr>
        <w:t>Jayati</w:t>
      </w:r>
      <w:r>
        <w:rPr>
          <w:spacing w:val="-12"/>
        </w:rPr>
        <w:t> </w:t>
      </w:r>
      <w:r>
        <w:rPr>
          <w:spacing w:val="-2"/>
        </w:rPr>
        <w:t>Ghosh</w:t>
      </w:r>
      <w:r>
        <w:rPr>
          <w:spacing w:val="-12"/>
        </w:rPr>
        <w:t> </w:t>
      </w:r>
      <w:r>
        <w:rPr>
          <w:spacing w:val="-2"/>
        </w:rPr>
        <w:t>to</w:t>
      </w:r>
      <w:r>
        <w:rPr>
          <w:spacing w:val="-12"/>
        </w:rPr>
        <w:t> </w:t>
      </w:r>
      <w:r>
        <w:rPr>
          <w:spacing w:val="-2"/>
        </w:rPr>
        <w:t>bring</w:t>
      </w:r>
      <w:r>
        <w:rPr>
          <w:spacing w:val="-11"/>
        </w:rPr>
        <w:t> </w:t>
      </w:r>
      <w:r>
        <w:rPr>
          <w:spacing w:val="-2"/>
        </w:rPr>
        <w:t>together</w:t>
      </w:r>
      <w:r>
        <w:rPr>
          <w:spacing w:val="-12"/>
        </w:rPr>
        <w:t> </w:t>
      </w:r>
      <w:r>
        <w:rPr>
          <w:spacing w:val="-2"/>
        </w:rPr>
        <w:t>people </w:t>
      </w:r>
      <w:r>
        <w:rPr/>
        <w:t>and agencies involved in translation, publishing and </w:t>
      </w:r>
      <w:r>
        <w:rPr>
          <w:spacing w:val="-2"/>
        </w:rPr>
        <w:t>dissemination</w:t>
      </w:r>
      <w:r>
        <w:rPr>
          <w:spacing w:val="-12"/>
        </w:rPr>
        <w:t> </w:t>
      </w:r>
      <w:r>
        <w:rPr>
          <w:spacing w:val="-2"/>
        </w:rPr>
        <w:t>activities.</w:t>
      </w:r>
      <w:r>
        <w:rPr>
          <w:spacing w:val="-12"/>
        </w:rPr>
        <w:t> </w:t>
      </w:r>
      <w:r>
        <w:rPr>
          <w:spacing w:val="-2"/>
        </w:rPr>
        <w:t>They</w:t>
      </w:r>
      <w:r>
        <w:rPr>
          <w:spacing w:val="-12"/>
        </w:rPr>
        <w:t> </w:t>
      </w:r>
      <w:r>
        <w:rPr>
          <w:spacing w:val="-2"/>
        </w:rPr>
        <w:t>included</w:t>
      </w:r>
      <w:r>
        <w:rPr>
          <w:spacing w:val="-11"/>
        </w:rPr>
        <w:t> </w:t>
      </w:r>
      <w:r>
        <w:rPr>
          <w:spacing w:val="-2"/>
        </w:rPr>
        <w:t>representatives of</w:t>
      </w:r>
      <w:r>
        <w:rPr>
          <w:spacing w:val="-12"/>
        </w:rPr>
        <w:t> </w:t>
      </w:r>
      <w:r>
        <w:rPr>
          <w:spacing w:val="-2"/>
        </w:rPr>
        <w:t>some</w:t>
      </w:r>
      <w:r>
        <w:rPr>
          <w:spacing w:val="-12"/>
        </w:rPr>
        <w:t> </w:t>
      </w:r>
      <w:r>
        <w:rPr>
          <w:spacing w:val="-2"/>
        </w:rPr>
        <w:t>of</w:t>
      </w:r>
      <w:r>
        <w:rPr>
          <w:spacing w:val="-12"/>
        </w:rPr>
        <w:t> </w:t>
      </w:r>
      <w:r>
        <w:rPr>
          <w:spacing w:val="-2"/>
        </w:rPr>
        <w:t>the</w:t>
      </w:r>
      <w:r>
        <w:rPr>
          <w:spacing w:val="-11"/>
        </w:rPr>
        <w:t> </w:t>
      </w:r>
      <w:r>
        <w:rPr>
          <w:spacing w:val="-2"/>
        </w:rPr>
        <w:t>relevant</w:t>
      </w:r>
      <w:r>
        <w:rPr>
          <w:spacing w:val="-12"/>
        </w:rPr>
        <w:t> </w:t>
      </w:r>
      <w:r>
        <w:rPr>
          <w:spacing w:val="-2"/>
        </w:rPr>
        <w:t>government</w:t>
      </w:r>
      <w:r>
        <w:rPr>
          <w:spacing w:val="-12"/>
        </w:rPr>
        <w:t> </w:t>
      </w:r>
      <w:r>
        <w:rPr>
          <w:spacing w:val="-2"/>
        </w:rPr>
        <w:t>bodies,</w:t>
      </w:r>
      <w:r>
        <w:rPr>
          <w:spacing w:val="-12"/>
        </w:rPr>
        <w:t> </w:t>
      </w:r>
      <w:r>
        <w:rPr>
          <w:spacing w:val="-2"/>
        </w:rPr>
        <w:t>academics, </w:t>
      </w:r>
      <w:r>
        <w:rPr/>
        <w:t>language experts, publishers, teachers and others </w:t>
      </w:r>
      <w:r>
        <w:rPr>
          <w:spacing w:val="-2"/>
        </w:rPr>
        <w:t>associated</w:t>
      </w:r>
      <w:r>
        <w:rPr>
          <w:spacing w:val="-12"/>
        </w:rPr>
        <w:t> </w:t>
      </w:r>
      <w:r>
        <w:rPr>
          <w:spacing w:val="-2"/>
        </w:rPr>
        <w:t>with</w:t>
      </w:r>
      <w:r>
        <w:rPr>
          <w:spacing w:val="-12"/>
        </w:rPr>
        <w:t> </w:t>
      </w:r>
      <w:r>
        <w:rPr>
          <w:spacing w:val="-2"/>
        </w:rPr>
        <w:t>translation</w:t>
      </w:r>
      <w:r>
        <w:rPr>
          <w:spacing w:val="-12"/>
        </w:rPr>
        <w:t> </w:t>
      </w:r>
      <w:r>
        <w:rPr>
          <w:spacing w:val="-2"/>
        </w:rPr>
        <w:t>activities</w:t>
      </w:r>
      <w:r>
        <w:rPr>
          <w:spacing w:val="-11"/>
        </w:rPr>
        <w:t> </w:t>
      </w:r>
      <w:r>
        <w:rPr>
          <w:spacing w:val="-2"/>
        </w:rPr>
        <w:t>in</w:t>
      </w:r>
      <w:r>
        <w:rPr>
          <w:spacing w:val="-12"/>
        </w:rPr>
        <w:t> </w:t>
      </w:r>
      <w:r>
        <w:rPr>
          <w:spacing w:val="-2"/>
        </w:rPr>
        <w:t>India.</w:t>
      </w:r>
      <w:r>
        <w:rPr>
          <w:spacing w:val="-12"/>
        </w:rPr>
        <w:t> </w:t>
      </w:r>
      <w:r>
        <w:rPr>
          <w:spacing w:val="-2"/>
        </w:rPr>
        <w:t>They</w:t>
      </w:r>
      <w:r>
        <w:rPr>
          <w:spacing w:val="-12"/>
        </w:rPr>
        <w:t> </w:t>
      </w:r>
      <w:r>
        <w:rPr>
          <w:spacing w:val="-2"/>
        </w:rPr>
        <w:t>met </w:t>
      </w:r>
      <w:r>
        <w:rPr/>
        <w:t>several</w:t>
      </w:r>
      <w:r>
        <w:rPr>
          <w:spacing w:val="-7"/>
        </w:rPr>
        <w:t> </w:t>
      </w:r>
      <w:r>
        <w:rPr/>
        <w:t>times</w:t>
      </w:r>
      <w:r>
        <w:rPr>
          <w:spacing w:val="-7"/>
        </w:rPr>
        <w:t> </w:t>
      </w:r>
      <w:r>
        <w:rPr/>
        <w:t>for</w:t>
      </w:r>
      <w:r>
        <w:rPr>
          <w:spacing w:val="-7"/>
        </w:rPr>
        <w:t> </w:t>
      </w:r>
      <w:r>
        <w:rPr/>
        <w:t>workshops</w:t>
      </w:r>
      <w:r>
        <w:rPr>
          <w:spacing w:val="-7"/>
        </w:rPr>
        <w:t> </w:t>
      </w:r>
      <w:r>
        <w:rPr/>
        <w:t>and</w:t>
      </w:r>
      <w:r>
        <w:rPr>
          <w:spacing w:val="-7"/>
        </w:rPr>
        <w:t> </w:t>
      </w:r>
      <w:r>
        <w:rPr/>
        <w:t>consultations.</w:t>
      </w:r>
    </w:p>
    <w:p>
      <w:pPr>
        <w:pStyle w:val="BodyText"/>
        <w:spacing w:before="21"/>
      </w:pPr>
    </w:p>
    <w:p>
      <w:pPr>
        <w:pStyle w:val="BodyText"/>
        <w:spacing w:line="266" w:lineRule="auto"/>
        <w:ind w:left="1080"/>
        <w:jc w:val="both"/>
      </w:pPr>
      <w:r>
        <w:rPr/>
        <w:t>As a result of their work and discussions </w:t>
      </w:r>
      <w:r>
        <w:rPr/>
        <w:t>NKC recommends the following:</w:t>
      </w:r>
    </w:p>
    <w:p>
      <w:pPr>
        <w:pStyle w:val="BodyText"/>
        <w:spacing w:before="25"/>
      </w:pPr>
    </w:p>
    <w:p>
      <w:pPr>
        <w:pStyle w:val="ListParagraph"/>
        <w:numPr>
          <w:ilvl w:val="0"/>
          <w:numId w:val="8"/>
        </w:numPr>
        <w:tabs>
          <w:tab w:pos="1439" w:val="left" w:leader="none"/>
        </w:tabs>
        <w:spacing w:line="266" w:lineRule="auto" w:before="0" w:after="0"/>
        <w:ind w:left="1439" w:right="0" w:hanging="360"/>
        <w:jc w:val="both"/>
        <w:rPr>
          <w:b/>
          <w:color w:val="2E614A"/>
          <w:sz w:val="22"/>
        </w:rPr>
      </w:pPr>
      <w:r>
        <w:rPr>
          <w:b/>
          <w:color w:val="2E614A"/>
          <w:spacing w:val="-6"/>
          <w:sz w:val="22"/>
        </w:rPr>
        <w:t>Provide impetus for developing translation as </w:t>
      </w:r>
      <w:r>
        <w:rPr>
          <w:b/>
          <w:color w:val="2E614A"/>
          <w:spacing w:val="-6"/>
          <w:sz w:val="22"/>
        </w:rPr>
        <w:t>an </w:t>
      </w:r>
      <w:r>
        <w:rPr>
          <w:b/>
          <w:color w:val="2E614A"/>
          <w:spacing w:val="-2"/>
          <w:sz w:val="22"/>
        </w:rPr>
        <w:t>industry</w:t>
      </w:r>
      <w:r>
        <w:rPr>
          <w:b/>
          <w:color w:val="2E614A"/>
          <w:spacing w:val="-7"/>
          <w:sz w:val="22"/>
        </w:rPr>
        <w:t> </w:t>
      </w:r>
      <w:r>
        <w:rPr>
          <w:spacing w:val="-2"/>
          <w:sz w:val="22"/>
        </w:rPr>
        <w:t>in</w:t>
      </w:r>
      <w:r>
        <w:rPr>
          <w:spacing w:val="-7"/>
          <w:sz w:val="22"/>
        </w:rPr>
        <w:t> </w:t>
      </w:r>
      <w:r>
        <w:rPr>
          <w:spacing w:val="-2"/>
          <w:sz w:val="22"/>
        </w:rPr>
        <w:t>the</w:t>
      </w:r>
      <w:r>
        <w:rPr>
          <w:spacing w:val="-7"/>
          <w:sz w:val="22"/>
        </w:rPr>
        <w:t> </w:t>
      </w:r>
      <w:r>
        <w:rPr>
          <w:spacing w:val="-2"/>
          <w:sz w:val="22"/>
        </w:rPr>
        <w:t>country.</w:t>
      </w:r>
      <w:r>
        <w:rPr>
          <w:spacing w:val="-7"/>
          <w:sz w:val="22"/>
        </w:rPr>
        <w:t> </w:t>
      </w:r>
      <w:r>
        <w:rPr>
          <w:spacing w:val="-2"/>
          <w:sz w:val="22"/>
        </w:rPr>
        <w:t>Going</w:t>
      </w:r>
      <w:r>
        <w:rPr>
          <w:spacing w:val="-7"/>
          <w:sz w:val="22"/>
        </w:rPr>
        <w:t> </w:t>
      </w:r>
      <w:r>
        <w:rPr>
          <w:spacing w:val="-2"/>
          <w:sz w:val="22"/>
        </w:rPr>
        <w:t>by</w:t>
      </w:r>
      <w:r>
        <w:rPr>
          <w:spacing w:val="-7"/>
          <w:sz w:val="22"/>
        </w:rPr>
        <w:t> </w:t>
      </w:r>
      <w:r>
        <w:rPr>
          <w:spacing w:val="-2"/>
          <w:sz w:val="22"/>
        </w:rPr>
        <w:t>the</w:t>
      </w:r>
      <w:r>
        <w:rPr>
          <w:spacing w:val="-7"/>
          <w:sz w:val="22"/>
        </w:rPr>
        <w:t> </w:t>
      </w:r>
      <w:r>
        <w:rPr>
          <w:spacing w:val="-2"/>
          <w:sz w:val="22"/>
        </w:rPr>
        <w:t>experiences </w:t>
      </w:r>
      <w:r>
        <w:rPr>
          <w:sz w:val="22"/>
        </w:rPr>
        <w:t>of</w:t>
      </w:r>
      <w:r>
        <w:rPr>
          <w:spacing w:val="-3"/>
          <w:sz w:val="22"/>
        </w:rPr>
        <w:t> </w:t>
      </w:r>
      <w:r>
        <w:rPr>
          <w:sz w:val="22"/>
        </w:rPr>
        <w:t>other</w:t>
      </w:r>
      <w:r>
        <w:rPr>
          <w:spacing w:val="-3"/>
          <w:sz w:val="22"/>
        </w:rPr>
        <w:t> </w:t>
      </w:r>
      <w:r>
        <w:rPr>
          <w:sz w:val="22"/>
        </w:rPr>
        <w:t>countries,</w:t>
      </w:r>
      <w:r>
        <w:rPr>
          <w:spacing w:val="-3"/>
          <w:sz w:val="22"/>
        </w:rPr>
        <w:t> </w:t>
      </w:r>
      <w:r>
        <w:rPr>
          <w:sz w:val="22"/>
        </w:rPr>
        <w:t>in</w:t>
      </w:r>
      <w:r>
        <w:rPr>
          <w:spacing w:val="-3"/>
          <w:sz w:val="22"/>
        </w:rPr>
        <w:t> </w:t>
      </w:r>
      <w:r>
        <w:rPr>
          <w:sz w:val="22"/>
        </w:rPr>
        <w:t>a</w:t>
      </w:r>
      <w:r>
        <w:rPr>
          <w:spacing w:val="-3"/>
          <w:sz w:val="22"/>
        </w:rPr>
        <w:t> </w:t>
      </w:r>
      <w:r>
        <w:rPr>
          <w:sz w:val="22"/>
        </w:rPr>
        <w:t>country</w:t>
      </w:r>
      <w:r>
        <w:rPr>
          <w:spacing w:val="-3"/>
          <w:sz w:val="22"/>
        </w:rPr>
        <w:t> </w:t>
      </w:r>
      <w:r>
        <w:rPr>
          <w:sz w:val="22"/>
        </w:rPr>
        <w:t>like</w:t>
      </w:r>
      <w:r>
        <w:rPr>
          <w:spacing w:val="-3"/>
          <w:sz w:val="22"/>
        </w:rPr>
        <w:t> </w:t>
      </w:r>
      <w:r>
        <w:rPr>
          <w:sz w:val="22"/>
        </w:rPr>
        <w:t>India</w:t>
      </w:r>
      <w:r>
        <w:rPr>
          <w:spacing w:val="-3"/>
          <w:sz w:val="22"/>
        </w:rPr>
        <w:t> </w:t>
      </w:r>
      <w:r>
        <w:rPr>
          <w:sz w:val="22"/>
        </w:rPr>
        <w:t>with</w:t>
      </w:r>
      <w:r>
        <w:rPr>
          <w:spacing w:val="-3"/>
          <w:sz w:val="22"/>
        </w:rPr>
        <w:t> </w:t>
      </w:r>
      <w:r>
        <w:rPr>
          <w:sz w:val="22"/>
        </w:rPr>
        <w:t>its many</w:t>
      </w:r>
      <w:r>
        <w:rPr>
          <w:spacing w:val="-5"/>
          <w:sz w:val="22"/>
        </w:rPr>
        <w:t> </w:t>
      </w:r>
      <w:r>
        <w:rPr>
          <w:sz w:val="22"/>
        </w:rPr>
        <w:t>languages,</w:t>
      </w:r>
      <w:r>
        <w:rPr>
          <w:spacing w:val="-5"/>
          <w:sz w:val="22"/>
        </w:rPr>
        <w:t> </w:t>
      </w:r>
      <w:r>
        <w:rPr>
          <w:sz w:val="22"/>
        </w:rPr>
        <w:t>as</w:t>
      </w:r>
      <w:r>
        <w:rPr>
          <w:spacing w:val="-5"/>
          <w:sz w:val="22"/>
        </w:rPr>
        <w:t> </w:t>
      </w:r>
      <w:r>
        <w:rPr>
          <w:sz w:val="22"/>
        </w:rPr>
        <w:t>well</w:t>
      </w:r>
      <w:r>
        <w:rPr>
          <w:spacing w:val="-5"/>
          <w:sz w:val="22"/>
        </w:rPr>
        <w:t> </w:t>
      </w:r>
      <w:r>
        <w:rPr>
          <w:sz w:val="22"/>
        </w:rPr>
        <w:t>as</w:t>
      </w:r>
      <w:r>
        <w:rPr>
          <w:spacing w:val="-5"/>
          <w:sz w:val="22"/>
        </w:rPr>
        <w:t> </w:t>
      </w:r>
      <w:r>
        <w:rPr>
          <w:sz w:val="22"/>
        </w:rPr>
        <w:t>the</w:t>
      </w:r>
      <w:r>
        <w:rPr>
          <w:spacing w:val="-5"/>
          <w:sz w:val="22"/>
        </w:rPr>
        <w:t> </w:t>
      </w:r>
      <w:r>
        <w:rPr>
          <w:sz w:val="22"/>
        </w:rPr>
        <w:t>huge</w:t>
      </w:r>
      <w:r>
        <w:rPr>
          <w:spacing w:val="-5"/>
          <w:sz w:val="22"/>
        </w:rPr>
        <w:t> </w:t>
      </w:r>
      <w:r>
        <w:rPr>
          <w:sz w:val="22"/>
        </w:rPr>
        <w:t>potential</w:t>
      </w:r>
      <w:r>
        <w:rPr>
          <w:spacing w:val="-5"/>
          <w:sz w:val="22"/>
        </w:rPr>
        <w:t> </w:t>
      </w:r>
      <w:r>
        <w:rPr>
          <w:sz w:val="22"/>
        </w:rPr>
        <w:t>for foreign</w:t>
      </w:r>
      <w:r>
        <w:rPr>
          <w:spacing w:val="-14"/>
          <w:sz w:val="22"/>
        </w:rPr>
        <w:t> </w:t>
      </w:r>
      <w:r>
        <w:rPr>
          <w:sz w:val="22"/>
        </w:rPr>
        <w:t>language</w:t>
      </w:r>
      <w:r>
        <w:rPr>
          <w:spacing w:val="-14"/>
          <w:sz w:val="22"/>
        </w:rPr>
        <w:t> </w:t>
      </w:r>
      <w:r>
        <w:rPr>
          <w:sz w:val="22"/>
        </w:rPr>
        <w:t>translation,</w:t>
      </w:r>
      <w:r>
        <w:rPr>
          <w:spacing w:val="-14"/>
          <w:sz w:val="22"/>
        </w:rPr>
        <w:t> </w:t>
      </w:r>
      <w:r>
        <w:rPr>
          <w:sz w:val="22"/>
        </w:rPr>
        <w:t>the</w:t>
      </w:r>
      <w:r>
        <w:rPr>
          <w:spacing w:val="-13"/>
          <w:sz w:val="22"/>
        </w:rPr>
        <w:t> </w:t>
      </w:r>
      <w:r>
        <w:rPr>
          <w:sz w:val="22"/>
        </w:rPr>
        <w:t>entire</w:t>
      </w:r>
      <w:r>
        <w:rPr>
          <w:spacing w:val="-14"/>
          <w:sz w:val="22"/>
        </w:rPr>
        <w:t> </w:t>
      </w:r>
      <w:r>
        <w:rPr>
          <w:sz w:val="22"/>
        </w:rPr>
        <w:t>translation industry has the potential eventually to employ between 200,000 and half a million people.</w:t>
      </w:r>
    </w:p>
    <w:p>
      <w:pPr>
        <w:pStyle w:val="ListParagraph"/>
        <w:numPr>
          <w:ilvl w:val="0"/>
          <w:numId w:val="8"/>
        </w:numPr>
        <w:tabs>
          <w:tab w:pos="679" w:val="left" w:leader="none"/>
        </w:tabs>
        <w:spacing w:line="266" w:lineRule="auto" w:before="85" w:after="0"/>
        <w:ind w:left="679" w:right="1077" w:hanging="360"/>
        <w:jc w:val="both"/>
        <w:rPr>
          <w:b/>
          <w:color w:val="2E614A"/>
          <w:sz w:val="22"/>
        </w:rPr>
      </w:pPr>
      <w:r>
        <w:rPr/>
        <w:br w:type="column"/>
      </w:r>
      <w:r>
        <w:rPr>
          <w:b/>
          <w:color w:val="2E614A"/>
          <w:sz w:val="22"/>
        </w:rPr>
        <w:t>Establish a store-house of information </w:t>
      </w:r>
      <w:r>
        <w:rPr>
          <w:sz w:val="22"/>
        </w:rPr>
        <w:t>on </w:t>
      </w:r>
      <w:r>
        <w:rPr>
          <w:sz w:val="22"/>
        </w:rPr>
        <w:t>all aspects</w:t>
      </w:r>
      <w:r>
        <w:rPr>
          <w:spacing w:val="-13"/>
          <w:sz w:val="22"/>
        </w:rPr>
        <w:t> </w:t>
      </w:r>
      <w:r>
        <w:rPr>
          <w:sz w:val="22"/>
        </w:rPr>
        <w:t>of</w:t>
      </w:r>
      <w:r>
        <w:rPr>
          <w:spacing w:val="-13"/>
          <w:sz w:val="22"/>
        </w:rPr>
        <w:t> </w:t>
      </w:r>
      <w:r>
        <w:rPr>
          <w:sz w:val="22"/>
        </w:rPr>
        <w:t>translation</w:t>
      </w:r>
      <w:r>
        <w:rPr>
          <w:spacing w:val="-13"/>
          <w:sz w:val="22"/>
        </w:rPr>
        <w:t> </w:t>
      </w:r>
      <w:r>
        <w:rPr>
          <w:sz w:val="22"/>
        </w:rPr>
        <w:t>involving</w:t>
      </w:r>
      <w:r>
        <w:rPr>
          <w:spacing w:val="-13"/>
          <w:sz w:val="22"/>
        </w:rPr>
        <w:t> </w:t>
      </w:r>
      <w:r>
        <w:rPr>
          <w:sz w:val="22"/>
        </w:rPr>
        <w:t>Indian</w:t>
      </w:r>
      <w:r>
        <w:rPr>
          <w:spacing w:val="-13"/>
          <w:sz w:val="22"/>
        </w:rPr>
        <w:t> </w:t>
      </w:r>
      <w:r>
        <w:rPr>
          <w:sz w:val="22"/>
        </w:rPr>
        <w:t>languages, and make this available by creating, maintaining </w:t>
      </w:r>
      <w:r>
        <w:rPr>
          <w:spacing w:val="-4"/>
          <w:sz w:val="22"/>
        </w:rPr>
        <w:t>and</w:t>
      </w:r>
      <w:r>
        <w:rPr>
          <w:spacing w:val="-10"/>
          <w:sz w:val="22"/>
        </w:rPr>
        <w:t> </w:t>
      </w:r>
      <w:r>
        <w:rPr>
          <w:spacing w:val="-4"/>
          <w:sz w:val="22"/>
        </w:rPr>
        <w:t>constantly</w:t>
      </w:r>
      <w:r>
        <w:rPr>
          <w:spacing w:val="-10"/>
          <w:sz w:val="22"/>
        </w:rPr>
        <w:t> </w:t>
      </w:r>
      <w:r>
        <w:rPr>
          <w:spacing w:val="-4"/>
          <w:sz w:val="22"/>
        </w:rPr>
        <w:t>updating</w:t>
      </w:r>
      <w:r>
        <w:rPr>
          <w:spacing w:val="-10"/>
          <w:sz w:val="22"/>
        </w:rPr>
        <w:t> </w:t>
      </w:r>
      <w:r>
        <w:rPr>
          <w:spacing w:val="-4"/>
          <w:sz w:val="22"/>
        </w:rPr>
        <w:t>information</w:t>
      </w:r>
      <w:r>
        <w:rPr>
          <w:spacing w:val="-9"/>
          <w:sz w:val="22"/>
        </w:rPr>
        <w:t> </w:t>
      </w:r>
      <w:r>
        <w:rPr>
          <w:spacing w:val="-4"/>
          <w:sz w:val="22"/>
        </w:rPr>
        <w:t>on</w:t>
      </w:r>
      <w:r>
        <w:rPr>
          <w:spacing w:val="-10"/>
          <w:sz w:val="22"/>
        </w:rPr>
        <w:t> </w:t>
      </w:r>
      <w:r>
        <w:rPr>
          <w:spacing w:val="-4"/>
          <w:sz w:val="22"/>
        </w:rPr>
        <w:t>translations </w:t>
      </w:r>
      <w:r>
        <w:rPr>
          <w:sz w:val="22"/>
        </w:rPr>
        <w:t>published, training programs, translation tools/ </w:t>
      </w:r>
      <w:r>
        <w:rPr>
          <w:spacing w:val="-2"/>
          <w:sz w:val="22"/>
        </w:rPr>
        <w:t>instruments</w:t>
      </w:r>
      <w:r>
        <w:rPr>
          <w:spacing w:val="-9"/>
          <w:sz w:val="22"/>
        </w:rPr>
        <w:t> </w:t>
      </w:r>
      <w:r>
        <w:rPr>
          <w:spacing w:val="-2"/>
          <w:sz w:val="22"/>
        </w:rPr>
        <w:t>and</w:t>
      </w:r>
      <w:r>
        <w:rPr>
          <w:spacing w:val="-9"/>
          <w:sz w:val="22"/>
        </w:rPr>
        <w:t> </w:t>
      </w:r>
      <w:r>
        <w:rPr>
          <w:spacing w:val="-2"/>
          <w:sz w:val="22"/>
        </w:rPr>
        <w:t>new</w:t>
      </w:r>
      <w:r>
        <w:rPr>
          <w:spacing w:val="-9"/>
          <w:sz w:val="22"/>
        </w:rPr>
        <w:t> </w:t>
      </w:r>
      <w:r>
        <w:rPr>
          <w:spacing w:val="-2"/>
          <w:sz w:val="22"/>
        </w:rPr>
        <w:t>initiatives,</w:t>
      </w:r>
      <w:r>
        <w:rPr>
          <w:spacing w:val="-9"/>
          <w:sz w:val="22"/>
        </w:rPr>
        <w:t> </w:t>
      </w:r>
      <w:r>
        <w:rPr>
          <w:spacing w:val="-2"/>
          <w:sz w:val="22"/>
        </w:rPr>
        <w:t>and</w:t>
      </w:r>
      <w:r>
        <w:rPr>
          <w:spacing w:val="-9"/>
          <w:sz w:val="22"/>
        </w:rPr>
        <w:t> </w:t>
      </w:r>
      <w:r>
        <w:rPr>
          <w:spacing w:val="-2"/>
          <w:sz w:val="22"/>
        </w:rPr>
        <w:t>facilities</w:t>
      </w:r>
      <w:r>
        <w:rPr>
          <w:spacing w:val="-9"/>
          <w:sz w:val="22"/>
        </w:rPr>
        <w:t> </w:t>
      </w:r>
      <w:r>
        <w:rPr>
          <w:spacing w:val="-2"/>
          <w:sz w:val="22"/>
        </w:rPr>
        <w:t>such </w:t>
      </w:r>
      <w:r>
        <w:rPr>
          <w:sz w:val="22"/>
        </w:rPr>
        <w:t>as</w:t>
      </w:r>
      <w:r>
        <w:rPr>
          <w:spacing w:val="-14"/>
          <w:sz w:val="22"/>
        </w:rPr>
        <w:t> </w:t>
      </w:r>
      <w:r>
        <w:rPr>
          <w:sz w:val="22"/>
        </w:rPr>
        <w:t>a</w:t>
      </w:r>
      <w:r>
        <w:rPr>
          <w:spacing w:val="-14"/>
          <w:sz w:val="22"/>
        </w:rPr>
        <w:t> </w:t>
      </w:r>
      <w:r>
        <w:rPr>
          <w:sz w:val="22"/>
        </w:rPr>
        <w:t>‘National</w:t>
      </w:r>
      <w:r>
        <w:rPr>
          <w:spacing w:val="-14"/>
          <w:sz w:val="22"/>
        </w:rPr>
        <w:t> </w:t>
      </w:r>
      <w:r>
        <w:rPr>
          <w:sz w:val="22"/>
        </w:rPr>
        <w:t>Register</w:t>
      </w:r>
      <w:r>
        <w:rPr>
          <w:spacing w:val="-13"/>
          <w:sz w:val="22"/>
        </w:rPr>
        <w:t> </w:t>
      </w:r>
      <w:r>
        <w:rPr>
          <w:sz w:val="22"/>
        </w:rPr>
        <w:t>for</w:t>
      </w:r>
      <w:r>
        <w:rPr>
          <w:spacing w:val="-14"/>
          <w:sz w:val="22"/>
        </w:rPr>
        <w:t> </w:t>
      </w:r>
      <w:r>
        <w:rPr>
          <w:sz w:val="22"/>
        </w:rPr>
        <w:t>Translators’.</w:t>
      </w:r>
    </w:p>
    <w:p>
      <w:pPr>
        <w:pStyle w:val="BodyText"/>
        <w:spacing w:before="22"/>
      </w:pPr>
    </w:p>
    <w:p>
      <w:pPr>
        <w:pStyle w:val="ListParagraph"/>
        <w:numPr>
          <w:ilvl w:val="0"/>
          <w:numId w:val="8"/>
        </w:numPr>
        <w:tabs>
          <w:tab w:pos="679" w:val="left" w:leader="none"/>
        </w:tabs>
        <w:spacing w:line="266" w:lineRule="auto" w:before="0" w:after="0"/>
        <w:ind w:left="679" w:right="1077" w:hanging="360"/>
        <w:jc w:val="both"/>
        <w:rPr>
          <w:color w:val="2E614A"/>
          <w:sz w:val="22"/>
        </w:rPr>
      </w:pPr>
      <w:r>
        <w:rPr>
          <w:b/>
          <w:color w:val="2E614A"/>
          <w:spacing w:val="-4"/>
          <w:sz w:val="22"/>
        </w:rPr>
        <w:t>Promote</w:t>
      </w:r>
      <w:r>
        <w:rPr>
          <w:b/>
          <w:color w:val="2E614A"/>
          <w:spacing w:val="-10"/>
          <w:sz w:val="22"/>
        </w:rPr>
        <w:t> </w:t>
      </w:r>
      <w:r>
        <w:rPr>
          <w:b/>
          <w:color w:val="2E614A"/>
          <w:spacing w:val="-4"/>
          <w:sz w:val="22"/>
        </w:rPr>
        <w:t>printed</w:t>
      </w:r>
      <w:r>
        <w:rPr>
          <w:b/>
          <w:color w:val="2E614A"/>
          <w:spacing w:val="-10"/>
          <w:sz w:val="22"/>
        </w:rPr>
        <w:t> </w:t>
      </w:r>
      <w:r>
        <w:rPr>
          <w:b/>
          <w:color w:val="2E614A"/>
          <w:spacing w:val="-4"/>
          <w:sz w:val="22"/>
        </w:rPr>
        <w:t>as</w:t>
      </w:r>
      <w:r>
        <w:rPr>
          <w:b/>
          <w:color w:val="2E614A"/>
          <w:spacing w:val="-10"/>
          <w:sz w:val="22"/>
        </w:rPr>
        <w:t> </w:t>
      </w:r>
      <w:r>
        <w:rPr>
          <w:b/>
          <w:color w:val="2E614A"/>
          <w:spacing w:val="-4"/>
          <w:sz w:val="22"/>
        </w:rPr>
        <w:t>well</w:t>
      </w:r>
      <w:r>
        <w:rPr>
          <w:b/>
          <w:color w:val="2E614A"/>
          <w:spacing w:val="-9"/>
          <w:sz w:val="22"/>
        </w:rPr>
        <w:t> </w:t>
      </w:r>
      <w:r>
        <w:rPr>
          <w:b/>
          <w:color w:val="2E614A"/>
          <w:spacing w:val="-4"/>
          <w:sz w:val="22"/>
        </w:rPr>
        <w:t>as</w:t>
      </w:r>
      <w:r>
        <w:rPr>
          <w:b/>
          <w:color w:val="2E614A"/>
          <w:spacing w:val="-10"/>
          <w:sz w:val="22"/>
        </w:rPr>
        <w:t> </w:t>
      </w:r>
      <w:r>
        <w:rPr>
          <w:b/>
          <w:color w:val="2E614A"/>
          <w:spacing w:val="-4"/>
          <w:sz w:val="22"/>
        </w:rPr>
        <w:t>virtual</w:t>
      </w:r>
      <w:r>
        <w:rPr>
          <w:b/>
          <w:color w:val="2E614A"/>
          <w:spacing w:val="-10"/>
          <w:sz w:val="22"/>
        </w:rPr>
        <w:t> </w:t>
      </w:r>
      <w:r>
        <w:rPr>
          <w:b/>
          <w:color w:val="2E614A"/>
          <w:spacing w:val="-4"/>
          <w:sz w:val="22"/>
        </w:rPr>
        <w:t>publication</w:t>
      </w:r>
      <w:r>
        <w:rPr>
          <w:b/>
          <w:color w:val="2E614A"/>
          <w:spacing w:val="-10"/>
          <w:sz w:val="22"/>
        </w:rPr>
        <w:t> </w:t>
      </w:r>
      <w:r>
        <w:rPr>
          <w:spacing w:val="-4"/>
          <w:sz w:val="22"/>
        </w:rPr>
        <w:t>of </w:t>
      </w:r>
      <w:r>
        <w:rPr>
          <w:sz w:val="22"/>
        </w:rPr>
        <w:t>works on translation studies; provide a clearing </w:t>
      </w:r>
      <w:r>
        <w:rPr>
          <w:spacing w:val="-6"/>
          <w:sz w:val="22"/>
        </w:rPr>
        <w:t>house</w:t>
      </w:r>
      <w:r>
        <w:rPr>
          <w:spacing w:val="-7"/>
          <w:sz w:val="22"/>
        </w:rPr>
        <w:t> </w:t>
      </w:r>
      <w:r>
        <w:rPr>
          <w:spacing w:val="-6"/>
          <w:sz w:val="22"/>
        </w:rPr>
        <w:t>for</w:t>
      </w:r>
      <w:r>
        <w:rPr>
          <w:spacing w:val="-7"/>
          <w:sz w:val="22"/>
        </w:rPr>
        <w:t> </w:t>
      </w:r>
      <w:r>
        <w:rPr>
          <w:spacing w:val="-6"/>
          <w:sz w:val="22"/>
        </w:rPr>
        <w:t>all</w:t>
      </w:r>
      <w:r>
        <w:rPr>
          <w:spacing w:val="-7"/>
          <w:sz w:val="22"/>
        </w:rPr>
        <w:t> </w:t>
      </w:r>
      <w:r>
        <w:rPr>
          <w:spacing w:val="-6"/>
          <w:sz w:val="22"/>
        </w:rPr>
        <w:t>translation</w:t>
      </w:r>
      <w:r>
        <w:rPr>
          <w:spacing w:val="-7"/>
          <w:sz w:val="22"/>
        </w:rPr>
        <w:t> </w:t>
      </w:r>
      <w:r>
        <w:rPr>
          <w:spacing w:val="-6"/>
          <w:sz w:val="22"/>
        </w:rPr>
        <w:t>activities,</w:t>
      </w:r>
      <w:r>
        <w:rPr>
          <w:spacing w:val="-7"/>
          <w:sz w:val="22"/>
        </w:rPr>
        <w:t> </w:t>
      </w:r>
      <w:r>
        <w:rPr>
          <w:spacing w:val="-6"/>
          <w:sz w:val="22"/>
        </w:rPr>
        <w:t>both</w:t>
      </w:r>
      <w:r>
        <w:rPr>
          <w:spacing w:val="-7"/>
          <w:sz w:val="22"/>
        </w:rPr>
        <w:t> </w:t>
      </w:r>
      <w:r>
        <w:rPr>
          <w:spacing w:val="-6"/>
          <w:sz w:val="22"/>
        </w:rPr>
        <w:t>in</w:t>
      </w:r>
      <w:r>
        <w:rPr>
          <w:spacing w:val="-7"/>
          <w:sz w:val="22"/>
        </w:rPr>
        <w:t> </w:t>
      </w:r>
      <w:r>
        <w:rPr>
          <w:spacing w:val="-6"/>
          <w:sz w:val="22"/>
        </w:rPr>
        <w:t>theoretical </w:t>
      </w:r>
      <w:r>
        <w:rPr>
          <w:sz w:val="22"/>
        </w:rPr>
        <w:t>and</w:t>
      </w:r>
      <w:r>
        <w:rPr>
          <w:spacing w:val="-14"/>
          <w:sz w:val="22"/>
        </w:rPr>
        <w:t> </w:t>
      </w:r>
      <w:r>
        <w:rPr>
          <w:sz w:val="22"/>
        </w:rPr>
        <w:t>applied</w:t>
      </w:r>
      <w:r>
        <w:rPr>
          <w:spacing w:val="-14"/>
          <w:sz w:val="22"/>
        </w:rPr>
        <w:t> </w:t>
      </w:r>
      <w:r>
        <w:rPr>
          <w:sz w:val="22"/>
        </w:rPr>
        <w:t>subjects,</w:t>
      </w:r>
      <w:r>
        <w:rPr>
          <w:spacing w:val="-14"/>
          <w:sz w:val="22"/>
        </w:rPr>
        <w:t> </w:t>
      </w:r>
      <w:r>
        <w:rPr>
          <w:sz w:val="22"/>
        </w:rPr>
        <w:t>in</w:t>
      </w:r>
      <w:r>
        <w:rPr>
          <w:spacing w:val="-13"/>
          <w:sz w:val="22"/>
        </w:rPr>
        <w:t> </w:t>
      </w:r>
      <w:r>
        <w:rPr>
          <w:sz w:val="22"/>
        </w:rPr>
        <w:t>as</w:t>
      </w:r>
      <w:r>
        <w:rPr>
          <w:spacing w:val="-14"/>
          <w:sz w:val="22"/>
        </w:rPr>
        <w:t> </w:t>
      </w:r>
      <w:r>
        <w:rPr>
          <w:sz w:val="22"/>
        </w:rPr>
        <w:t>many</w:t>
      </w:r>
      <w:r>
        <w:rPr>
          <w:spacing w:val="-14"/>
          <w:sz w:val="22"/>
        </w:rPr>
        <w:t> </w:t>
      </w:r>
      <w:r>
        <w:rPr>
          <w:sz w:val="22"/>
        </w:rPr>
        <w:t>Indian</w:t>
      </w:r>
      <w:r>
        <w:rPr>
          <w:spacing w:val="-14"/>
          <w:sz w:val="22"/>
        </w:rPr>
        <w:t> </w:t>
      </w:r>
      <w:r>
        <w:rPr>
          <w:sz w:val="22"/>
        </w:rPr>
        <w:t>languages as possible.</w:t>
      </w:r>
    </w:p>
    <w:p>
      <w:pPr>
        <w:pStyle w:val="BodyText"/>
        <w:spacing w:before="23"/>
      </w:pPr>
    </w:p>
    <w:p>
      <w:pPr>
        <w:pStyle w:val="ListParagraph"/>
        <w:numPr>
          <w:ilvl w:val="0"/>
          <w:numId w:val="8"/>
        </w:numPr>
        <w:tabs>
          <w:tab w:pos="679" w:val="left" w:leader="none"/>
        </w:tabs>
        <w:spacing w:line="266" w:lineRule="auto" w:before="0" w:after="0"/>
        <w:ind w:left="679" w:right="1077" w:hanging="360"/>
        <w:jc w:val="both"/>
        <w:rPr>
          <w:b/>
          <w:color w:val="2E614A"/>
          <w:sz w:val="22"/>
        </w:rPr>
      </w:pPr>
      <w:r>
        <w:rPr>
          <w:b/>
          <w:color w:val="2E614A"/>
          <w:w w:val="90"/>
          <w:sz w:val="22"/>
        </w:rPr>
        <w:t>Create and maintain various tools for translation, </w:t>
      </w:r>
      <w:r>
        <w:rPr>
          <w:sz w:val="22"/>
        </w:rPr>
        <w:t>including digital tools like Thesauri, </w:t>
      </w:r>
      <w:r>
        <w:rPr>
          <w:sz w:val="22"/>
        </w:rPr>
        <w:t>Bilingual Dictionaries and software for translation. In </w:t>
      </w:r>
      <w:r>
        <w:rPr>
          <w:spacing w:val="-2"/>
          <w:sz w:val="22"/>
        </w:rPr>
        <w:t>addition, promote machine translation, leveraging emerging</w:t>
      </w:r>
      <w:r>
        <w:rPr>
          <w:spacing w:val="-12"/>
          <w:sz w:val="22"/>
        </w:rPr>
        <w:t> </w:t>
      </w:r>
      <w:r>
        <w:rPr>
          <w:spacing w:val="-2"/>
          <w:sz w:val="22"/>
        </w:rPr>
        <w:t>technologies</w:t>
      </w:r>
      <w:r>
        <w:rPr>
          <w:spacing w:val="-12"/>
          <w:sz w:val="22"/>
        </w:rPr>
        <w:t> </w:t>
      </w:r>
      <w:r>
        <w:rPr>
          <w:spacing w:val="-2"/>
          <w:sz w:val="22"/>
        </w:rPr>
        <w:t>to</w:t>
      </w:r>
      <w:r>
        <w:rPr>
          <w:spacing w:val="-12"/>
          <w:sz w:val="22"/>
        </w:rPr>
        <w:t> </w:t>
      </w:r>
      <w:r>
        <w:rPr>
          <w:spacing w:val="-2"/>
          <w:sz w:val="22"/>
        </w:rPr>
        <w:t>provide</w:t>
      </w:r>
      <w:r>
        <w:rPr>
          <w:spacing w:val="-11"/>
          <w:sz w:val="22"/>
        </w:rPr>
        <w:t> </w:t>
      </w:r>
      <w:r>
        <w:rPr>
          <w:spacing w:val="-2"/>
          <w:sz w:val="22"/>
        </w:rPr>
        <w:t>a</w:t>
      </w:r>
      <w:r>
        <w:rPr>
          <w:spacing w:val="-12"/>
          <w:sz w:val="22"/>
        </w:rPr>
        <w:t> </w:t>
      </w:r>
      <w:r>
        <w:rPr>
          <w:spacing w:val="-2"/>
          <w:sz w:val="22"/>
        </w:rPr>
        <w:t>rapid</w:t>
      </w:r>
      <w:r>
        <w:rPr>
          <w:spacing w:val="-12"/>
          <w:sz w:val="22"/>
        </w:rPr>
        <w:t> </w:t>
      </w:r>
      <w:r>
        <w:rPr>
          <w:spacing w:val="-2"/>
          <w:sz w:val="22"/>
        </w:rPr>
        <w:t>and</w:t>
      </w:r>
      <w:r>
        <w:rPr>
          <w:spacing w:val="-12"/>
          <w:sz w:val="22"/>
        </w:rPr>
        <w:t> </w:t>
      </w:r>
      <w:r>
        <w:rPr>
          <w:spacing w:val="-2"/>
          <w:sz w:val="22"/>
        </w:rPr>
        <w:t>large </w:t>
      </w:r>
      <w:r>
        <w:rPr>
          <w:sz w:val="22"/>
        </w:rPr>
        <w:t>volume</w:t>
      </w:r>
      <w:r>
        <w:rPr>
          <w:spacing w:val="-7"/>
          <w:sz w:val="22"/>
        </w:rPr>
        <w:t> </w:t>
      </w:r>
      <w:r>
        <w:rPr>
          <w:sz w:val="22"/>
        </w:rPr>
        <w:t>of</w:t>
      </w:r>
      <w:r>
        <w:rPr>
          <w:spacing w:val="-7"/>
          <w:sz w:val="22"/>
        </w:rPr>
        <w:t> </w:t>
      </w:r>
      <w:r>
        <w:rPr>
          <w:sz w:val="22"/>
        </w:rPr>
        <w:t>translation</w:t>
      </w:r>
      <w:r>
        <w:rPr>
          <w:spacing w:val="-7"/>
          <w:sz w:val="22"/>
        </w:rPr>
        <w:t> </w:t>
      </w:r>
      <w:r>
        <w:rPr>
          <w:sz w:val="22"/>
        </w:rPr>
        <w:t>at</w:t>
      </w:r>
      <w:r>
        <w:rPr>
          <w:spacing w:val="-7"/>
          <w:sz w:val="22"/>
        </w:rPr>
        <w:t> </w:t>
      </w:r>
      <w:r>
        <w:rPr>
          <w:sz w:val="22"/>
        </w:rPr>
        <w:t>a</w:t>
      </w:r>
      <w:r>
        <w:rPr>
          <w:spacing w:val="-7"/>
          <w:sz w:val="22"/>
        </w:rPr>
        <w:t> </w:t>
      </w:r>
      <w:r>
        <w:rPr>
          <w:sz w:val="22"/>
        </w:rPr>
        <w:t>relatively</w:t>
      </w:r>
      <w:r>
        <w:rPr>
          <w:spacing w:val="-7"/>
          <w:sz w:val="22"/>
        </w:rPr>
        <w:t> </w:t>
      </w:r>
      <w:r>
        <w:rPr>
          <w:sz w:val="22"/>
        </w:rPr>
        <w:t>low</w:t>
      </w:r>
      <w:r>
        <w:rPr>
          <w:spacing w:val="-7"/>
          <w:sz w:val="22"/>
        </w:rPr>
        <w:t> </w:t>
      </w:r>
      <w:r>
        <w:rPr>
          <w:sz w:val="22"/>
        </w:rPr>
        <w:t>cost.</w:t>
      </w:r>
    </w:p>
    <w:p>
      <w:pPr>
        <w:pStyle w:val="BodyText"/>
        <w:spacing w:before="22"/>
      </w:pPr>
    </w:p>
    <w:p>
      <w:pPr>
        <w:pStyle w:val="ListParagraph"/>
        <w:numPr>
          <w:ilvl w:val="0"/>
          <w:numId w:val="8"/>
        </w:numPr>
        <w:tabs>
          <w:tab w:pos="679" w:val="left" w:leader="none"/>
        </w:tabs>
        <w:spacing w:line="266" w:lineRule="auto" w:before="0" w:after="0"/>
        <w:ind w:left="679" w:right="1077" w:hanging="360"/>
        <w:jc w:val="both"/>
        <w:rPr>
          <w:b/>
          <w:color w:val="2E614A"/>
          <w:sz w:val="22"/>
        </w:rPr>
      </w:pPr>
      <w:r>
        <w:rPr>
          <w:b/>
          <w:color w:val="2E614A"/>
          <w:sz w:val="22"/>
        </w:rPr>
        <w:t>Provide quality training </w:t>
      </w:r>
      <w:r>
        <w:rPr>
          <w:sz w:val="22"/>
        </w:rPr>
        <w:t>and education </w:t>
      </w:r>
      <w:r>
        <w:rPr>
          <w:sz w:val="22"/>
        </w:rPr>
        <w:t>for translators.</w:t>
      </w:r>
      <w:r>
        <w:rPr>
          <w:spacing w:val="-14"/>
          <w:sz w:val="22"/>
        </w:rPr>
        <w:t> </w:t>
      </w:r>
      <w:r>
        <w:rPr>
          <w:sz w:val="22"/>
        </w:rPr>
        <w:t>This</w:t>
      </w:r>
      <w:r>
        <w:rPr>
          <w:spacing w:val="-14"/>
          <w:sz w:val="22"/>
        </w:rPr>
        <w:t> </w:t>
      </w:r>
      <w:r>
        <w:rPr>
          <w:sz w:val="22"/>
        </w:rPr>
        <w:t>could</w:t>
      </w:r>
      <w:r>
        <w:rPr>
          <w:spacing w:val="-14"/>
          <w:sz w:val="22"/>
        </w:rPr>
        <w:t> </w:t>
      </w:r>
      <w:r>
        <w:rPr>
          <w:sz w:val="22"/>
        </w:rPr>
        <w:t>be</w:t>
      </w:r>
      <w:r>
        <w:rPr>
          <w:spacing w:val="-13"/>
          <w:sz w:val="22"/>
        </w:rPr>
        <w:t> </w:t>
      </w:r>
      <w:r>
        <w:rPr>
          <w:sz w:val="22"/>
        </w:rPr>
        <w:t>done</w:t>
      </w:r>
      <w:r>
        <w:rPr>
          <w:spacing w:val="-14"/>
          <w:sz w:val="22"/>
        </w:rPr>
        <w:t> </w:t>
      </w:r>
      <w:r>
        <w:rPr>
          <w:sz w:val="22"/>
        </w:rPr>
        <w:t>through</w:t>
      </w:r>
      <w:r>
        <w:rPr>
          <w:spacing w:val="-14"/>
          <w:sz w:val="22"/>
        </w:rPr>
        <w:t> </w:t>
      </w:r>
      <w:r>
        <w:rPr>
          <w:sz w:val="22"/>
        </w:rPr>
        <w:t>short</w:t>
      </w:r>
      <w:r>
        <w:rPr>
          <w:spacing w:val="-14"/>
          <w:sz w:val="22"/>
        </w:rPr>
        <w:t> </w:t>
      </w:r>
      <w:r>
        <w:rPr>
          <w:sz w:val="22"/>
        </w:rPr>
        <w:t>term training</w:t>
      </w:r>
      <w:r>
        <w:rPr>
          <w:spacing w:val="-14"/>
          <w:sz w:val="22"/>
        </w:rPr>
        <w:t> </w:t>
      </w:r>
      <w:r>
        <w:rPr>
          <w:sz w:val="22"/>
        </w:rPr>
        <w:t>programs,</w:t>
      </w:r>
      <w:r>
        <w:rPr>
          <w:spacing w:val="-14"/>
          <w:sz w:val="22"/>
        </w:rPr>
        <w:t> </w:t>
      </w:r>
      <w:r>
        <w:rPr>
          <w:sz w:val="22"/>
        </w:rPr>
        <w:t>course</w:t>
      </w:r>
      <w:r>
        <w:rPr>
          <w:spacing w:val="-14"/>
          <w:sz w:val="22"/>
        </w:rPr>
        <w:t> </w:t>
      </w:r>
      <w:r>
        <w:rPr>
          <w:sz w:val="22"/>
        </w:rPr>
        <w:t>packages</w:t>
      </w:r>
      <w:r>
        <w:rPr>
          <w:spacing w:val="-13"/>
          <w:sz w:val="22"/>
        </w:rPr>
        <w:t> </w:t>
      </w:r>
      <w:r>
        <w:rPr>
          <w:sz w:val="22"/>
        </w:rPr>
        <w:t>for</w:t>
      </w:r>
      <w:r>
        <w:rPr>
          <w:spacing w:val="-14"/>
          <w:sz w:val="22"/>
        </w:rPr>
        <w:t> </w:t>
      </w:r>
      <w:r>
        <w:rPr>
          <w:sz w:val="22"/>
        </w:rPr>
        <w:t>translators that could be incorporated in language teaching programs, and fellowship programs and research </w:t>
      </w:r>
      <w:r>
        <w:rPr>
          <w:spacing w:val="-4"/>
          <w:sz w:val="22"/>
        </w:rPr>
        <w:t>projects</w:t>
      </w:r>
      <w:r>
        <w:rPr>
          <w:spacing w:val="-12"/>
          <w:sz w:val="22"/>
        </w:rPr>
        <w:t> </w:t>
      </w:r>
      <w:r>
        <w:rPr>
          <w:spacing w:val="-4"/>
          <w:sz w:val="22"/>
        </w:rPr>
        <w:t>to</w:t>
      </w:r>
      <w:r>
        <w:rPr>
          <w:spacing w:val="-10"/>
          <w:sz w:val="22"/>
        </w:rPr>
        <w:t> </w:t>
      </w:r>
      <w:r>
        <w:rPr>
          <w:spacing w:val="-4"/>
          <w:sz w:val="22"/>
        </w:rPr>
        <w:t>encourage</w:t>
      </w:r>
      <w:r>
        <w:rPr>
          <w:spacing w:val="-10"/>
          <w:sz w:val="22"/>
        </w:rPr>
        <w:t> </w:t>
      </w:r>
      <w:r>
        <w:rPr>
          <w:spacing w:val="-4"/>
          <w:sz w:val="22"/>
        </w:rPr>
        <w:t>quality.</w:t>
      </w:r>
      <w:r>
        <w:rPr>
          <w:spacing w:val="-9"/>
          <w:sz w:val="22"/>
        </w:rPr>
        <w:t> </w:t>
      </w:r>
      <w:r>
        <w:rPr>
          <w:spacing w:val="-4"/>
          <w:sz w:val="22"/>
        </w:rPr>
        <w:t>There</w:t>
      </w:r>
      <w:r>
        <w:rPr>
          <w:spacing w:val="-10"/>
          <w:sz w:val="22"/>
        </w:rPr>
        <w:t> </w:t>
      </w:r>
      <w:r>
        <w:rPr>
          <w:spacing w:val="-4"/>
          <w:sz w:val="22"/>
        </w:rPr>
        <w:t>is</w:t>
      </w:r>
      <w:r>
        <w:rPr>
          <w:spacing w:val="-10"/>
          <w:sz w:val="22"/>
        </w:rPr>
        <w:t> </w:t>
      </w:r>
      <w:r>
        <w:rPr>
          <w:spacing w:val="-4"/>
          <w:sz w:val="22"/>
        </w:rPr>
        <w:t>also</w:t>
      </w:r>
      <w:r>
        <w:rPr>
          <w:spacing w:val="-10"/>
          <w:sz w:val="22"/>
        </w:rPr>
        <w:t> </w:t>
      </w:r>
      <w:r>
        <w:rPr>
          <w:spacing w:val="-4"/>
          <w:sz w:val="22"/>
        </w:rPr>
        <w:t>need</w:t>
      </w:r>
      <w:r>
        <w:rPr>
          <w:spacing w:val="-9"/>
          <w:sz w:val="22"/>
        </w:rPr>
        <w:t> </w:t>
      </w:r>
      <w:r>
        <w:rPr>
          <w:spacing w:val="-4"/>
          <w:sz w:val="22"/>
        </w:rPr>
        <w:t>for </w:t>
      </w:r>
      <w:r>
        <w:rPr>
          <w:spacing w:val="-2"/>
          <w:sz w:val="22"/>
        </w:rPr>
        <w:t>guidance</w:t>
      </w:r>
      <w:r>
        <w:rPr>
          <w:spacing w:val="-12"/>
          <w:sz w:val="22"/>
        </w:rPr>
        <w:t> </w:t>
      </w:r>
      <w:r>
        <w:rPr>
          <w:spacing w:val="-2"/>
          <w:sz w:val="22"/>
        </w:rPr>
        <w:t>in</w:t>
      </w:r>
      <w:r>
        <w:rPr>
          <w:spacing w:val="-12"/>
          <w:sz w:val="22"/>
        </w:rPr>
        <w:t> </w:t>
      </w:r>
      <w:r>
        <w:rPr>
          <w:spacing w:val="-2"/>
          <w:sz w:val="22"/>
        </w:rPr>
        <w:t>the</w:t>
      </w:r>
      <w:r>
        <w:rPr>
          <w:spacing w:val="-11"/>
          <w:sz w:val="22"/>
        </w:rPr>
        <w:t> </w:t>
      </w:r>
      <w:r>
        <w:rPr>
          <w:spacing w:val="-2"/>
          <w:sz w:val="22"/>
        </w:rPr>
        <w:t>methodology</w:t>
      </w:r>
      <w:r>
        <w:rPr>
          <w:spacing w:val="-12"/>
          <w:sz w:val="22"/>
        </w:rPr>
        <w:t> </w:t>
      </w:r>
      <w:r>
        <w:rPr>
          <w:spacing w:val="-2"/>
          <w:sz w:val="22"/>
        </w:rPr>
        <w:t>of</w:t>
      </w:r>
      <w:r>
        <w:rPr>
          <w:spacing w:val="-12"/>
          <w:sz w:val="22"/>
        </w:rPr>
        <w:t> </w:t>
      </w:r>
      <w:r>
        <w:rPr>
          <w:spacing w:val="-2"/>
          <w:sz w:val="22"/>
        </w:rPr>
        <w:t>translation</w:t>
      </w:r>
      <w:r>
        <w:rPr>
          <w:spacing w:val="-11"/>
          <w:sz w:val="22"/>
        </w:rPr>
        <w:t> </w:t>
      </w:r>
      <w:r>
        <w:rPr>
          <w:spacing w:val="-2"/>
          <w:sz w:val="22"/>
        </w:rPr>
        <w:t>and</w:t>
      </w:r>
      <w:r>
        <w:rPr>
          <w:spacing w:val="-12"/>
          <w:sz w:val="22"/>
        </w:rPr>
        <w:t> </w:t>
      </w:r>
      <w:r>
        <w:rPr>
          <w:spacing w:val="-2"/>
          <w:sz w:val="22"/>
        </w:rPr>
        <w:t>for </w:t>
      </w:r>
      <w:r>
        <w:rPr>
          <w:sz w:val="22"/>
        </w:rPr>
        <w:t>action</w:t>
      </w:r>
      <w:r>
        <w:rPr>
          <w:spacing w:val="-8"/>
          <w:sz w:val="22"/>
        </w:rPr>
        <w:t> </w:t>
      </w:r>
      <w:r>
        <w:rPr>
          <w:sz w:val="22"/>
        </w:rPr>
        <w:t>to</w:t>
      </w:r>
      <w:r>
        <w:rPr>
          <w:spacing w:val="-8"/>
          <w:sz w:val="22"/>
        </w:rPr>
        <w:t> </w:t>
      </w:r>
      <w:r>
        <w:rPr>
          <w:sz w:val="22"/>
        </w:rPr>
        <w:t>enrich</w:t>
      </w:r>
      <w:r>
        <w:rPr>
          <w:spacing w:val="-8"/>
          <w:sz w:val="22"/>
        </w:rPr>
        <w:t> </w:t>
      </w:r>
      <w:r>
        <w:rPr>
          <w:sz w:val="22"/>
        </w:rPr>
        <w:t>teaching</w:t>
      </w:r>
      <w:r>
        <w:rPr>
          <w:spacing w:val="-8"/>
          <w:sz w:val="22"/>
        </w:rPr>
        <w:t> </w:t>
      </w:r>
      <w:r>
        <w:rPr>
          <w:sz w:val="22"/>
        </w:rPr>
        <w:t>and</w:t>
      </w:r>
      <w:r>
        <w:rPr>
          <w:spacing w:val="-8"/>
          <w:sz w:val="22"/>
        </w:rPr>
        <w:t> </w:t>
      </w:r>
      <w:r>
        <w:rPr>
          <w:sz w:val="22"/>
        </w:rPr>
        <w:t>training</w:t>
      </w:r>
      <w:r>
        <w:rPr>
          <w:spacing w:val="-8"/>
          <w:sz w:val="22"/>
        </w:rPr>
        <w:t> </w:t>
      </w:r>
      <w:r>
        <w:rPr>
          <w:sz w:val="22"/>
        </w:rPr>
        <w:t>activities</w:t>
      </w:r>
      <w:r>
        <w:rPr>
          <w:spacing w:val="-8"/>
          <w:sz w:val="22"/>
        </w:rPr>
        <w:t> </w:t>
      </w:r>
      <w:r>
        <w:rPr>
          <w:sz w:val="22"/>
        </w:rPr>
        <w:t>in translation studies.</w:t>
      </w:r>
    </w:p>
    <w:p>
      <w:pPr>
        <w:pStyle w:val="BodyText"/>
        <w:spacing w:before="20"/>
      </w:pPr>
    </w:p>
    <w:p>
      <w:pPr>
        <w:pStyle w:val="ListParagraph"/>
        <w:numPr>
          <w:ilvl w:val="0"/>
          <w:numId w:val="8"/>
        </w:numPr>
        <w:tabs>
          <w:tab w:pos="679" w:val="left" w:leader="none"/>
        </w:tabs>
        <w:spacing w:line="266" w:lineRule="auto" w:before="0" w:after="0"/>
        <w:ind w:left="679" w:right="1078" w:hanging="360"/>
        <w:jc w:val="both"/>
        <w:rPr>
          <w:b/>
          <w:color w:val="2E614A"/>
          <w:sz w:val="22"/>
        </w:rPr>
      </w:pPr>
      <w:r>
        <w:rPr>
          <w:b/>
          <w:color w:val="2E614A"/>
          <w:w w:val="90"/>
          <w:sz w:val="22"/>
        </w:rPr>
        <w:t>Translate</w:t>
      </w:r>
      <w:r>
        <w:rPr>
          <w:b/>
          <w:color w:val="2E614A"/>
          <w:spacing w:val="-9"/>
          <w:w w:val="90"/>
          <w:sz w:val="22"/>
        </w:rPr>
        <w:t> </w:t>
      </w:r>
      <w:r>
        <w:rPr>
          <w:b/>
          <w:color w:val="2E614A"/>
          <w:w w:val="90"/>
          <w:sz w:val="22"/>
        </w:rPr>
        <w:t>pedagogic</w:t>
      </w:r>
      <w:r>
        <w:rPr>
          <w:b/>
          <w:color w:val="2E614A"/>
          <w:spacing w:val="-8"/>
          <w:w w:val="90"/>
          <w:sz w:val="22"/>
        </w:rPr>
        <w:t> </w:t>
      </w:r>
      <w:r>
        <w:rPr>
          <w:b/>
          <w:color w:val="2E614A"/>
          <w:w w:val="90"/>
          <w:sz w:val="22"/>
        </w:rPr>
        <w:t>materials</w:t>
      </w:r>
      <w:r>
        <w:rPr>
          <w:b/>
          <w:color w:val="2E614A"/>
          <w:spacing w:val="-8"/>
          <w:w w:val="90"/>
          <w:sz w:val="22"/>
        </w:rPr>
        <w:t> </w:t>
      </w:r>
      <w:r>
        <w:rPr>
          <w:w w:val="90"/>
          <w:sz w:val="22"/>
        </w:rPr>
        <w:t>at</w:t>
      </w:r>
      <w:r>
        <w:rPr>
          <w:spacing w:val="-8"/>
          <w:w w:val="90"/>
          <w:sz w:val="22"/>
        </w:rPr>
        <w:t> </w:t>
      </w:r>
      <w:r>
        <w:rPr>
          <w:w w:val="90"/>
          <w:sz w:val="22"/>
        </w:rPr>
        <w:t>all</w:t>
      </w:r>
      <w:r>
        <w:rPr>
          <w:spacing w:val="-9"/>
          <w:w w:val="90"/>
          <w:sz w:val="22"/>
        </w:rPr>
        <w:t> </w:t>
      </w:r>
      <w:r>
        <w:rPr>
          <w:w w:val="90"/>
          <w:sz w:val="22"/>
        </w:rPr>
        <w:t>levels</w:t>
      </w:r>
      <w:r>
        <w:rPr>
          <w:spacing w:val="-8"/>
          <w:w w:val="90"/>
          <w:sz w:val="22"/>
        </w:rPr>
        <w:t> </w:t>
      </w:r>
      <w:r>
        <w:rPr>
          <w:w w:val="90"/>
          <w:sz w:val="22"/>
        </w:rPr>
        <w:t>(including </w:t>
      </w:r>
      <w:r>
        <w:rPr>
          <w:spacing w:val="-2"/>
          <w:sz w:val="22"/>
        </w:rPr>
        <w:t>primary</w:t>
      </w:r>
      <w:r>
        <w:rPr>
          <w:spacing w:val="-12"/>
          <w:sz w:val="22"/>
        </w:rPr>
        <w:t> </w:t>
      </w:r>
      <w:r>
        <w:rPr>
          <w:spacing w:val="-2"/>
          <w:sz w:val="22"/>
        </w:rPr>
        <w:t>onwards</w:t>
      </w:r>
      <w:r>
        <w:rPr>
          <w:spacing w:val="-12"/>
          <w:sz w:val="22"/>
        </w:rPr>
        <w:t> </w:t>
      </w:r>
      <w:r>
        <w:rPr>
          <w:spacing w:val="-2"/>
          <w:sz w:val="22"/>
        </w:rPr>
        <w:t>to</w:t>
      </w:r>
      <w:r>
        <w:rPr>
          <w:spacing w:val="-12"/>
          <w:sz w:val="22"/>
        </w:rPr>
        <w:t> </w:t>
      </w:r>
      <w:r>
        <w:rPr>
          <w:spacing w:val="-2"/>
          <w:sz w:val="22"/>
        </w:rPr>
        <w:t>tertiary</w:t>
      </w:r>
      <w:r>
        <w:rPr>
          <w:spacing w:val="-11"/>
          <w:sz w:val="22"/>
        </w:rPr>
        <w:t> </w:t>
      </w:r>
      <w:r>
        <w:rPr>
          <w:spacing w:val="-2"/>
          <w:sz w:val="22"/>
        </w:rPr>
        <w:t>education)</w:t>
      </w:r>
      <w:r>
        <w:rPr>
          <w:spacing w:val="-12"/>
          <w:sz w:val="22"/>
        </w:rPr>
        <w:t> </w:t>
      </w:r>
      <w:r>
        <w:rPr>
          <w:spacing w:val="-2"/>
          <w:sz w:val="22"/>
        </w:rPr>
        <w:t>specifically </w:t>
      </w:r>
      <w:r>
        <w:rPr>
          <w:sz w:val="22"/>
        </w:rPr>
        <w:t>in natural and social sciences.</w:t>
      </w:r>
    </w:p>
    <w:p>
      <w:pPr>
        <w:pStyle w:val="BodyText"/>
        <w:spacing w:before="24"/>
      </w:pPr>
    </w:p>
    <w:p>
      <w:pPr>
        <w:pStyle w:val="ListParagraph"/>
        <w:numPr>
          <w:ilvl w:val="0"/>
          <w:numId w:val="8"/>
        </w:numPr>
        <w:tabs>
          <w:tab w:pos="679" w:val="left" w:leader="none"/>
        </w:tabs>
        <w:spacing w:line="266" w:lineRule="auto" w:before="0" w:after="0"/>
        <w:ind w:left="679" w:right="1077" w:hanging="360"/>
        <w:jc w:val="both"/>
        <w:rPr>
          <w:b/>
          <w:color w:val="2E614A"/>
          <w:sz w:val="22"/>
        </w:rPr>
      </w:pPr>
      <w:r>
        <w:rPr>
          <w:b/>
          <w:color w:val="2E614A"/>
          <w:spacing w:val="-2"/>
          <w:sz w:val="22"/>
        </w:rPr>
        <w:t>Project</w:t>
      </w:r>
      <w:r>
        <w:rPr>
          <w:b/>
          <w:color w:val="2E614A"/>
          <w:spacing w:val="-12"/>
          <w:sz w:val="22"/>
        </w:rPr>
        <w:t> </w:t>
      </w:r>
      <w:r>
        <w:rPr>
          <w:b/>
          <w:color w:val="2E614A"/>
          <w:spacing w:val="-2"/>
          <w:sz w:val="22"/>
        </w:rPr>
        <w:t>Indian</w:t>
      </w:r>
      <w:r>
        <w:rPr>
          <w:b/>
          <w:color w:val="2E614A"/>
          <w:spacing w:val="-12"/>
          <w:sz w:val="22"/>
        </w:rPr>
        <w:t> </w:t>
      </w:r>
      <w:r>
        <w:rPr>
          <w:b/>
          <w:color w:val="2E614A"/>
          <w:spacing w:val="-2"/>
          <w:sz w:val="22"/>
        </w:rPr>
        <w:t>languages</w:t>
      </w:r>
      <w:r>
        <w:rPr>
          <w:b/>
          <w:color w:val="2E614A"/>
          <w:spacing w:val="-12"/>
          <w:sz w:val="22"/>
        </w:rPr>
        <w:t> </w:t>
      </w:r>
      <w:r>
        <w:rPr>
          <w:b/>
          <w:color w:val="2E614A"/>
          <w:spacing w:val="-2"/>
          <w:sz w:val="22"/>
        </w:rPr>
        <w:t>and</w:t>
      </w:r>
      <w:r>
        <w:rPr>
          <w:b/>
          <w:color w:val="2E614A"/>
          <w:spacing w:val="-11"/>
          <w:sz w:val="22"/>
        </w:rPr>
        <w:t> </w:t>
      </w:r>
      <w:r>
        <w:rPr>
          <w:b/>
          <w:color w:val="2E614A"/>
          <w:spacing w:val="-2"/>
          <w:sz w:val="22"/>
        </w:rPr>
        <w:t>literatures</w:t>
      </w:r>
      <w:r>
        <w:rPr>
          <w:b/>
          <w:color w:val="2E614A"/>
          <w:spacing w:val="-12"/>
          <w:sz w:val="22"/>
        </w:rPr>
        <w:t> </w:t>
      </w:r>
      <w:r>
        <w:rPr>
          <w:b/>
          <w:color w:val="2E614A"/>
          <w:spacing w:val="-2"/>
          <w:sz w:val="22"/>
        </w:rPr>
        <w:t>within </w:t>
      </w:r>
      <w:r>
        <w:rPr>
          <w:b/>
          <w:color w:val="2E614A"/>
          <w:sz w:val="22"/>
        </w:rPr>
        <w:t>South Asia and outside </w:t>
      </w:r>
      <w:r>
        <w:rPr>
          <w:sz w:val="22"/>
        </w:rPr>
        <w:t>through high-quality </w:t>
      </w:r>
      <w:r>
        <w:rPr>
          <w:spacing w:val="-2"/>
          <w:sz w:val="22"/>
        </w:rPr>
        <w:t>translation.</w:t>
      </w:r>
    </w:p>
    <w:p>
      <w:pPr>
        <w:pStyle w:val="BodyText"/>
        <w:spacing w:before="25"/>
      </w:pPr>
    </w:p>
    <w:p>
      <w:pPr>
        <w:pStyle w:val="ListParagraph"/>
        <w:numPr>
          <w:ilvl w:val="0"/>
          <w:numId w:val="8"/>
        </w:numPr>
        <w:tabs>
          <w:tab w:pos="679" w:val="left" w:leader="none"/>
        </w:tabs>
        <w:spacing w:line="266" w:lineRule="auto" w:before="0" w:after="0"/>
        <w:ind w:left="679" w:right="1077" w:hanging="360"/>
        <w:jc w:val="both"/>
        <w:rPr>
          <w:b/>
          <w:color w:val="2E614A"/>
          <w:sz w:val="22"/>
        </w:rPr>
      </w:pPr>
      <w:r>
        <w:rPr>
          <w:b/>
          <w:color w:val="2E614A"/>
          <w:w w:val="90"/>
          <w:sz w:val="22"/>
        </w:rPr>
        <w:t>Set up a national web portal </w:t>
      </w:r>
      <w:r>
        <w:rPr>
          <w:w w:val="90"/>
          <w:sz w:val="22"/>
        </w:rPr>
        <w:t>on translation as a one- </w:t>
      </w:r>
      <w:r>
        <w:rPr>
          <w:sz w:val="22"/>
        </w:rPr>
        <w:t>stop</w:t>
      </w:r>
      <w:r>
        <w:rPr>
          <w:spacing w:val="-10"/>
          <w:sz w:val="22"/>
        </w:rPr>
        <w:t> </w:t>
      </w:r>
      <w:r>
        <w:rPr>
          <w:sz w:val="22"/>
        </w:rPr>
        <w:t>shop</w:t>
      </w:r>
      <w:r>
        <w:rPr>
          <w:spacing w:val="-10"/>
          <w:sz w:val="22"/>
        </w:rPr>
        <w:t> </w:t>
      </w:r>
      <w:r>
        <w:rPr>
          <w:sz w:val="22"/>
        </w:rPr>
        <w:t>for</w:t>
      </w:r>
      <w:r>
        <w:rPr>
          <w:spacing w:val="-10"/>
          <w:sz w:val="22"/>
        </w:rPr>
        <w:t> </w:t>
      </w:r>
      <w:r>
        <w:rPr>
          <w:sz w:val="22"/>
        </w:rPr>
        <w:t>all</w:t>
      </w:r>
      <w:r>
        <w:rPr>
          <w:spacing w:val="-10"/>
          <w:sz w:val="22"/>
        </w:rPr>
        <w:t> </w:t>
      </w:r>
      <w:r>
        <w:rPr>
          <w:sz w:val="22"/>
        </w:rPr>
        <w:t>information</w:t>
      </w:r>
      <w:r>
        <w:rPr>
          <w:spacing w:val="-10"/>
          <w:sz w:val="22"/>
        </w:rPr>
        <w:t> </w:t>
      </w:r>
      <w:r>
        <w:rPr>
          <w:sz w:val="22"/>
        </w:rPr>
        <w:t>on</w:t>
      </w:r>
      <w:r>
        <w:rPr>
          <w:spacing w:val="-10"/>
          <w:sz w:val="22"/>
        </w:rPr>
        <w:t> </w:t>
      </w:r>
      <w:r>
        <w:rPr>
          <w:sz w:val="22"/>
        </w:rPr>
        <w:t>translation</w:t>
      </w:r>
      <w:r>
        <w:rPr>
          <w:spacing w:val="-10"/>
          <w:sz w:val="22"/>
        </w:rPr>
        <w:t> </w:t>
      </w:r>
      <w:r>
        <w:rPr>
          <w:sz w:val="22"/>
        </w:rPr>
        <w:t>and</w:t>
      </w:r>
      <w:r>
        <w:rPr>
          <w:spacing w:val="-10"/>
          <w:sz w:val="22"/>
        </w:rPr>
        <w:t> </w:t>
      </w:r>
      <w:r>
        <w:rPr>
          <w:sz w:val="22"/>
        </w:rPr>
        <w:t>to </w:t>
      </w:r>
      <w:r>
        <w:rPr>
          <w:spacing w:val="-2"/>
          <w:sz w:val="22"/>
        </w:rPr>
        <w:t>provide</w:t>
      </w:r>
      <w:r>
        <w:rPr>
          <w:spacing w:val="-10"/>
          <w:sz w:val="22"/>
        </w:rPr>
        <w:t> </w:t>
      </w:r>
      <w:r>
        <w:rPr>
          <w:spacing w:val="-2"/>
          <w:sz w:val="22"/>
        </w:rPr>
        <w:t>a</w:t>
      </w:r>
      <w:r>
        <w:rPr>
          <w:spacing w:val="-10"/>
          <w:sz w:val="22"/>
        </w:rPr>
        <w:t> </w:t>
      </w:r>
      <w:r>
        <w:rPr>
          <w:spacing w:val="-2"/>
          <w:sz w:val="22"/>
        </w:rPr>
        <w:t>forum</w:t>
      </w:r>
      <w:r>
        <w:rPr>
          <w:spacing w:val="-10"/>
          <w:sz w:val="22"/>
        </w:rPr>
        <w:t> </w:t>
      </w:r>
      <w:r>
        <w:rPr>
          <w:spacing w:val="-2"/>
          <w:sz w:val="22"/>
        </w:rPr>
        <w:t>for</w:t>
      </w:r>
      <w:r>
        <w:rPr>
          <w:spacing w:val="-10"/>
          <w:sz w:val="22"/>
        </w:rPr>
        <w:t> </w:t>
      </w:r>
      <w:r>
        <w:rPr>
          <w:spacing w:val="-2"/>
          <w:sz w:val="22"/>
        </w:rPr>
        <w:t>dialogue</w:t>
      </w:r>
      <w:r>
        <w:rPr>
          <w:spacing w:val="-10"/>
          <w:sz w:val="22"/>
        </w:rPr>
        <w:t> </w:t>
      </w:r>
      <w:r>
        <w:rPr>
          <w:spacing w:val="-2"/>
          <w:sz w:val="22"/>
        </w:rPr>
        <w:t>by</w:t>
      </w:r>
      <w:r>
        <w:rPr>
          <w:spacing w:val="-10"/>
          <w:sz w:val="22"/>
        </w:rPr>
        <w:t> </w:t>
      </w:r>
      <w:r>
        <w:rPr>
          <w:spacing w:val="-2"/>
          <w:sz w:val="22"/>
        </w:rPr>
        <w:t>creating</w:t>
      </w:r>
      <w:r>
        <w:rPr>
          <w:spacing w:val="-10"/>
          <w:sz w:val="22"/>
        </w:rPr>
        <w:t> </w:t>
      </w:r>
      <w:r>
        <w:rPr>
          <w:spacing w:val="-2"/>
          <w:sz w:val="22"/>
        </w:rPr>
        <w:t>a</w:t>
      </w:r>
      <w:r>
        <w:rPr>
          <w:spacing w:val="-10"/>
          <w:sz w:val="22"/>
        </w:rPr>
        <w:t> </w:t>
      </w:r>
      <w:r>
        <w:rPr>
          <w:spacing w:val="-2"/>
          <w:sz w:val="22"/>
        </w:rPr>
        <w:t>bulletin </w:t>
      </w:r>
      <w:r>
        <w:rPr>
          <w:sz w:val="22"/>
        </w:rPr>
        <w:t>board for people to post questions and answers.</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ListParagraph"/>
        <w:numPr>
          <w:ilvl w:val="0"/>
          <w:numId w:val="8"/>
        </w:numPr>
        <w:tabs>
          <w:tab w:pos="1439" w:val="left" w:leader="none"/>
        </w:tabs>
        <w:spacing w:line="266" w:lineRule="auto" w:before="57" w:after="0"/>
        <w:ind w:left="1439" w:right="0" w:hanging="360"/>
        <w:jc w:val="both"/>
        <w:rPr>
          <w:b/>
          <w:color w:val="2E614A"/>
          <w:sz w:val="22"/>
        </w:rPr>
      </w:pPr>
      <w:r>
        <w:rPr>
          <w:b/>
          <w:color w:val="2E614A"/>
          <w:spacing w:val="-10"/>
          <w:sz w:val="22"/>
        </w:rPr>
        <w:t>Organise</w:t>
      </w:r>
      <w:r>
        <w:rPr>
          <w:b/>
          <w:color w:val="2E614A"/>
          <w:spacing w:val="-4"/>
          <w:sz w:val="22"/>
        </w:rPr>
        <w:t> </w:t>
      </w:r>
      <w:r>
        <w:rPr>
          <w:b/>
          <w:color w:val="2E614A"/>
          <w:spacing w:val="-10"/>
          <w:sz w:val="22"/>
        </w:rPr>
        <w:t>annual</w:t>
      </w:r>
      <w:r>
        <w:rPr>
          <w:b/>
          <w:color w:val="2E614A"/>
          <w:spacing w:val="-4"/>
          <w:sz w:val="22"/>
        </w:rPr>
        <w:t> </w:t>
      </w:r>
      <w:r>
        <w:rPr>
          <w:b/>
          <w:color w:val="2E614A"/>
          <w:spacing w:val="-10"/>
          <w:sz w:val="22"/>
        </w:rPr>
        <w:t>national</w:t>
      </w:r>
      <w:r>
        <w:rPr>
          <w:b/>
          <w:color w:val="2E614A"/>
          <w:spacing w:val="-4"/>
          <w:sz w:val="22"/>
        </w:rPr>
        <w:t> </w:t>
      </w:r>
      <w:r>
        <w:rPr>
          <w:b/>
          <w:color w:val="2E614A"/>
          <w:spacing w:val="-10"/>
          <w:sz w:val="22"/>
        </w:rPr>
        <w:t>conferences</w:t>
      </w:r>
      <w:r>
        <w:rPr>
          <w:b/>
          <w:color w:val="2E614A"/>
          <w:spacing w:val="-3"/>
          <w:sz w:val="22"/>
        </w:rPr>
        <w:t> </w:t>
      </w:r>
      <w:r>
        <w:rPr>
          <w:spacing w:val="-10"/>
          <w:sz w:val="22"/>
        </w:rPr>
        <w:t>on</w:t>
      </w:r>
      <w:r>
        <w:rPr>
          <w:spacing w:val="-4"/>
          <w:sz w:val="22"/>
        </w:rPr>
        <w:t> </w:t>
      </w:r>
      <w:r>
        <w:rPr>
          <w:spacing w:val="-10"/>
          <w:sz w:val="22"/>
        </w:rPr>
        <w:t>translation </w:t>
      </w:r>
      <w:r>
        <w:rPr>
          <w:spacing w:val="-4"/>
          <w:sz w:val="22"/>
        </w:rPr>
        <w:t>to</w:t>
      </w:r>
      <w:r>
        <w:rPr>
          <w:spacing w:val="-8"/>
          <w:sz w:val="22"/>
        </w:rPr>
        <w:t> </w:t>
      </w:r>
      <w:r>
        <w:rPr>
          <w:spacing w:val="-4"/>
          <w:sz w:val="22"/>
        </w:rPr>
        <w:t>take</w:t>
      </w:r>
      <w:r>
        <w:rPr>
          <w:spacing w:val="-8"/>
          <w:sz w:val="22"/>
        </w:rPr>
        <w:t> </w:t>
      </w:r>
      <w:r>
        <w:rPr>
          <w:spacing w:val="-4"/>
          <w:sz w:val="22"/>
        </w:rPr>
        <w:t>stock</w:t>
      </w:r>
      <w:r>
        <w:rPr>
          <w:spacing w:val="-8"/>
          <w:sz w:val="22"/>
        </w:rPr>
        <w:t> </w:t>
      </w:r>
      <w:r>
        <w:rPr>
          <w:spacing w:val="-4"/>
          <w:sz w:val="22"/>
        </w:rPr>
        <w:t>of</w:t>
      </w:r>
      <w:r>
        <w:rPr>
          <w:spacing w:val="-8"/>
          <w:sz w:val="22"/>
        </w:rPr>
        <w:t> </w:t>
      </w:r>
      <w:r>
        <w:rPr>
          <w:spacing w:val="-4"/>
          <w:sz w:val="22"/>
        </w:rPr>
        <w:t>activities</w:t>
      </w:r>
      <w:r>
        <w:rPr>
          <w:spacing w:val="-8"/>
          <w:sz w:val="22"/>
        </w:rPr>
        <w:t> </w:t>
      </w:r>
      <w:r>
        <w:rPr>
          <w:spacing w:val="-4"/>
          <w:sz w:val="22"/>
        </w:rPr>
        <w:t>and</w:t>
      </w:r>
      <w:r>
        <w:rPr>
          <w:spacing w:val="-8"/>
          <w:sz w:val="22"/>
        </w:rPr>
        <w:t> </w:t>
      </w:r>
      <w:r>
        <w:rPr>
          <w:spacing w:val="-4"/>
          <w:sz w:val="22"/>
        </w:rPr>
        <w:t>initiatives</w:t>
      </w:r>
      <w:r>
        <w:rPr>
          <w:spacing w:val="-8"/>
          <w:sz w:val="22"/>
        </w:rPr>
        <w:t> </w:t>
      </w:r>
      <w:r>
        <w:rPr>
          <w:spacing w:val="-4"/>
          <w:sz w:val="22"/>
        </w:rPr>
        <w:t>in</w:t>
      </w:r>
      <w:r>
        <w:rPr>
          <w:spacing w:val="-8"/>
          <w:sz w:val="22"/>
        </w:rPr>
        <w:t> </w:t>
      </w:r>
      <w:r>
        <w:rPr>
          <w:spacing w:val="-4"/>
          <w:sz w:val="22"/>
        </w:rPr>
        <w:t>the</w:t>
      </w:r>
      <w:r>
        <w:rPr>
          <w:spacing w:val="-8"/>
          <w:sz w:val="22"/>
        </w:rPr>
        <w:t> </w:t>
      </w:r>
      <w:r>
        <w:rPr>
          <w:spacing w:val="-4"/>
          <w:sz w:val="22"/>
        </w:rPr>
        <w:t>field, </w:t>
      </w:r>
      <w:r>
        <w:rPr>
          <w:sz w:val="22"/>
        </w:rPr>
        <w:t>for</w:t>
      </w:r>
      <w:r>
        <w:rPr>
          <w:spacing w:val="-3"/>
          <w:sz w:val="22"/>
        </w:rPr>
        <w:t> </w:t>
      </w:r>
      <w:r>
        <w:rPr>
          <w:sz w:val="22"/>
        </w:rPr>
        <w:t>experts,</w:t>
      </w:r>
      <w:r>
        <w:rPr>
          <w:spacing w:val="-3"/>
          <w:sz w:val="22"/>
        </w:rPr>
        <w:t> </w:t>
      </w:r>
      <w:r>
        <w:rPr>
          <w:sz w:val="22"/>
        </w:rPr>
        <w:t>industry</w:t>
      </w:r>
      <w:r>
        <w:rPr>
          <w:spacing w:val="-3"/>
          <w:sz w:val="22"/>
        </w:rPr>
        <w:t> </w:t>
      </w:r>
      <w:r>
        <w:rPr>
          <w:sz w:val="22"/>
        </w:rPr>
        <w:t>and</w:t>
      </w:r>
      <w:r>
        <w:rPr>
          <w:spacing w:val="-3"/>
          <w:sz w:val="22"/>
        </w:rPr>
        <w:t> </w:t>
      </w:r>
      <w:r>
        <w:rPr>
          <w:sz w:val="22"/>
        </w:rPr>
        <w:t>practitioners</w:t>
      </w:r>
      <w:r>
        <w:rPr>
          <w:spacing w:val="-3"/>
          <w:sz w:val="22"/>
        </w:rPr>
        <w:t> </w:t>
      </w:r>
      <w:r>
        <w:rPr>
          <w:sz w:val="22"/>
        </w:rPr>
        <w:t>in</w:t>
      </w:r>
      <w:r>
        <w:rPr>
          <w:spacing w:val="-3"/>
          <w:sz w:val="22"/>
        </w:rPr>
        <w:t> </w:t>
      </w:r>
      <w:r>
        <w:rPr>
          <w:sz w:val="22"/>
        </w:rPr>
        <w:t>the</w:t>
      </w:r>
      <w:r>
        <w:rPr>
          <w:spacing w:val="-3"/>
          <w:sz w:val="22"/>
        </w:rPr>
        <w:t> </w:t>
      </w:r>
      <w:r>
        <w:rPr>
          <w:sz w:val="22"/>
        </w:rPr>
        <w:t>field to confer.</w:t>
      </w:r>
    </w:p>
    <w:p>
      <w:pPr>
        <w:pStyle w:val="BodyText"/>
        <w:spacing w:before="24"/>
      </w:pPr>
    </w:p>
    <w:p>
      <w:pPr>
        <w:pStyle w:val="ListParagraph"/>
        <w:numPr>
          <w:ilvl w:val="0"/>
          <w:numId w:val="8"/>
        </w:numPr>
        <w:tabs>
          <w:tab w:pos="1439" w:val="left" w:leader="none"/>
        </w:tabs>
        <w:spacing w:line="266" w:lineRule="auto" w:before="0" w:after="0"/>
        <w:ind w:left="1439" w:right="0" w:hanging="360"/>
        <w:jc w:val="both"/>
        <w:rPr>
          <w:b/>
          <w:color w:val="2E614A"/>
          <w:sz w:val="22"/>
        </w:rPr>
      </w:pPr>
      <w:r>
        <w:rPr>
          <w:b/>
          <w:color w:val="2E614A"/>
          <w:sz w:val="22"/>
        </w:rPr>
        <w:t>Promote book launches, festivals, </w:t>
      </w:r>
      <w:r>
        <w:rPr>
          <w:b/>
          <w:color w:val="2E614A"/>
          <w:sz w:val="22"/>
        </w:rPr>
        <w:t>fellowships </w:t>
      </w:r>
      <w:r>
        <w:rPr>
          <w:b/>
          <w:color w:val="2E614A"/>
          <w:spacing w:val="-4"/>
          <w:sz w:val="22"/>
        </w:rPr>
        <w:t>and prizes </w:t>
      </w:r>
      <w:r>
        <w:rPr>
          <w:spacing w:val="-4"/>
          <w:sz w:val="22"/>
        </w:rPr>
        <w:t>and encourage collaborative translation work,</w:t>
      </w:r>
      <w:r>
        <w:rPr>
          <w:spacing w:val="-10"/>
          <w:sz w:val="22"/>
        </w:rPr>
        <w:t> </w:t>
      </w:r>
      <w:r>
        <w:rPr>
          <w:spacing w:val="-4"/>
          <w:sz w:val="22"/>
        </w:rPr>
        <w:t>as</w:t>
      </w:r>
      <w:r>
        <w:rPr>
          <w:spacing w:val="-10"/>
          <w:sz w:val="22"/>
        </w:rPr>
        <w:t> </w:t>
      </w:r>
      <w:r>
        <w:rPr>
          <w:spacing w:val="-4"/>
          <w:sz w:val="22"/>
        </w:rPr>
        <w:t>well</w:t>
      </w:r>
      <w:r>
        <w:rPr>
          <w:spacing w:val="-10"/>
          <w:sz w:val="22"/>
        </w:rPr>
        <w:t> </w:t>
      </w:r>
      <w:r>
        <w:rPr>
          <w:spacing w:val="-4"/>
          <w:sz w:val="22"/>
        </w:rPr>
        <w:t>as</w:t>
      </w:r>
      <w:r>
        <w:rPr>
          <w:spacing w:val="-9"/>
          <w:sz w:val="22"/>
        </w:rPr>
        <w:t> </w:t>
      </w:r>
      <w:r>
        <w:rPr>
          <w:spacing w:val="-4"/>
          <w:sz w:val="22"/>
        </w:rPr>
        <w:t>long-term</w:t>
      </w:r>
      <w:r>
        <w:rPr>
          <w:spacing w:val="-10"/>
          <w:sz w:val="22"/>
        </w:rPr>
        <w:t> </w:t>
      </w:r>
      <w:r>
        <w:rPr>
          <w:spacing w:val="-4"/>
          <w:sz w:val="22"/>
        </w:rPr>
        <w:t>multi-translator</w:t>
      </w:r>
      <w:r>
        <w:rPr>
          <w:spacing w:val="-10"/>
          <w:sz w:val="22"/>
        </w:rPr>
        <w:t> </w:t>
      </w:r>
      <w:r>
        <w:rPr>
          <w:spacing w:val="-4"/>
          <w:sz w:val="22"/>
        </w:rPr>
        <w:t>projects, </w:t>
      </w:r>
      <w:r>
        <w:rPr>
          <w:sz w:val="22"/>
        </w:rPr>
        <w:t>and</w:t>
      </w:r>
      <w:r>
        <w:rPr>
          <w:spacing w:val="-10"/>
          <w:sz w:val="22"/>
        </w:rPr>
        <w:t> </w:t>
      </w:r>
      <w:r>
        <w:rPr>
          <w:sz w:val="22"/>
        </w:rPr>
        <w:t>organise</w:t>
      </w:r>
      <w:r>
        <w:rPr>
          <w:spacing w:val="-10"/>
          <w:sz w:val="22"/>
        </w:rPr>
        <w:t> </w:t>
      </w:r>
      <w:r>
        <w:rPr>
          <w:sz w:val="22"/>
        </w:rPr>
        <w:t>workshops</w:t>
      </w:r>
      <w:r>
        <w:rPr>
          <w:spacing w:val="-10"/>
          <w:sz w:val="22"/>
        </w:rPr>
        <w:t> </w:t>
      </w:r>
      <w:r>
        <w:rPr>
          <w:sz w:val="22"/>
        </w:rPr>
        <w:t>for</w:t>
      </w:r>
      <w:r>
        <w:rPr>
          <w:spacing w:val="-10"/>
          <w:sz w:val="22"/>
        </w:rPr>
        <w:t> </w:t>
      </w:r>
      <w:r>
        <w:rPr>
          <w:sz w:val="22"/>
        </w:rPr>
        <w:t>translators</w:t>
      </w:r>
      <w:r>
        <w:rPr>
          <w:spacing w:val="-10"/>
          <w:sz w:val="22"/>
        </w:rPr>
        <w:t> </w:t>
      </w:r>
      <w:r>
        <w:rPr>
          <w:sz w:val="22"/>
        </w:rPr>
        <w:t>to</w:t>
      </w:r>
      <w:r>
        <w:rPr>
          <w:spacing w:val="-10"/>
          <w:sz w:val="22"/>
        </w:rPr>
        <w:t> </w:t>
      </w:r>
      <w:r>
        <w:rPr>
          <w:sz w:val="22"/>
        </w:rPr>
        <w:t>interact and</w:t>
      </w:r>
      <w:r>
        <w:rPr>
          <w:spacing w:val="-10"/>
          <w:sz w:val="22"/>
        </w:rPr>
        <w:t> </w:t>
      </w:r>
      <w:r>
        <w:rPr>
          <w:sz w:val="22"/>
        </w:rPr>
        <w:t>exchange</w:t>
      </w:r>
      <w:r>
        <w:rPr>
          <w:spacing w:val="-10"/>
          <w:sz w:val="22"/>
        </w:rPr>
        <w:t> </w:t>
      </w:r>
      <w:r>
        <w:rPr>
          <w:sz w:val="22"/>
        </w:rPr>
        <w:t>views</w:t>
      </w:r>
      <w:r>
        <w:rPr>
          <w:spacing w:val="-10"/>
          <w:sz w:val="22"/>
        </w:rPr>
        <w:t> </w:t>
      </w:r>
      <w:r>
        <w:rPr>
          <w:sz w:val="22"/>
        </w:rPr>
        <w:t>and</w:t>
      </w:r>
      <w:r>
        <w:rPr>
          <w:spacing w:val="-10"/>
          <w:sz w:val="22"/>
        </w:rPr>
        <w:t> </w:t>
      </w:r>
      <w:r>
        <w:rPr>
          <w:sz w:val="22"/>
        </w:rPr>
        <w:t>experiences.</w:t>
      </w:r>
    </w:p>
    <w:p>
      <w:pPr>
        <w:pStyle w:val="BodyText"/>
        <w:spacing w:before="23"/>
      </w:pPr>
    </w:p>
    <w:p>
      <w:pPr>
        <w:pStyle w:val="BodyText"/>
        <w:spacing w:line="266" w:lineRule="auto"/>
        <w:ind w:left="1080"/>
        <w:jc w:val="both"/>
      </w:pPr>
      <w:r>
        <w:rPr>
          <w:spacing w:val="-4"/>
        </w:rPr>
        <w:t>NKC</w:t>
      </w:r>
      <w:r>
        <w:rPr>
          <w:spacing w:val="-10"/>
        </w:rPr>
        <w:t> </w:t>
      </w:r>
      <w:r>
        <w:rPr>
          <w:spacing w:val="-4"/>
        </w:rPr>
        <w:t>feels</w:t>
      </w:r>
      <w:r>
        <w:rPr>
          <w:spacing w:val="-10"/>
        </w:rPr>
        <w:t> </w:t>
      </w:r>
      <w:r>
        <w:rPr>
          <w:spacing w:val="-4"/>
        </w:rPr>
        <w:t>that</w:t>
      </w:r>
      <w:r>
        <w:rPr>
          <w:spacing w:val="-10"/>
        </w:rPr>
        <w:t> </w:t>
      </w:r>
      <w:r>
        <w:rPr>
          <w:spacing w:val="-4"/>
        </w:rPr>
        <w:t>in</w:t>
      </w:r>
      <w:r>
        <w:rPr>
          <w:spacing w:val="-9"/>
        </w:rPr>
        <w:t> </w:t>
      </w:r>
      <w:r>
        <w:rPr>
          <w:spacing w:val="-4"/>
        </w:rPr>
        <w:t>order</w:t>
      </w:r>
      <w:r>
        <w:rPr>
          <w:spacing w:val="-10"/>
        </w:rPr>
        <w:t> </w:t>
      </w:r>
      <w:r>
        <w:rPr>
          <w:spacing w:val="-4"/>
        </w:rPr>
        <w:t>to</w:t>
      </w:r>
      <w:r>
        <w:rPr>
          <w:spacing w:val="-10"/>
        </w:rPr>
        <w:t> </w:t>
      </w:r>
      <w:r>
        <w:rPr>
          <w:spacing w:val="-4"/>
        </w:rPr>
        <w:t>achieve</w:t>
      </w:r>
      <w:r>
        <w:rPr>
          <w:spacing w:val="-10"/>
        </w:rPr>
        <w:t> </w:t>
      </w:r>
      <w:r>
        <w:rPr>
          <w:spacing w:val="-4"/>
        </w:rPr>
        <w:t>these</w:t>
      </w:r>
      <w:r>
        <w:rPr>
          <w:spacing w:val="-9"/>
        </w:rPr>
        <w:t> </w:t>
      </w:r>
      <w:r>
        <w:rPr>
          <w:spacing w:val="-4"/>
        </w:rPr>
        <w:t>goals</w:t>
      </w:r>
      <w:r>
        <w:rPr>
          <w:spacing w:val="-10"/>
        </w:rPr>
        <w:t> </w:t>
      </w:r>
      <w:r>
        <w:rPr>
          <w:spacing w:val="-4"/>
        </w:rPr>
        <w:t>as</w:t>
      </w:r>
      <w:r>
        <w:rPr>
          <w:spacing w:val="-10"/>
        </w:rPr>
        <w:t> </w:t>
      </w:r>
      <w:r>
        <w:rPr>
          <w:spacing w:val="-4"/>
        </w:rPr>
        <w:t>rapidly </w:t>
      </w:r>
      <w:r>
        <w:rPr/>
        <w:t>and efficiently as possible, the Government of </w:t>
      </w:r>
      <w:r>
        <w:rPr/>
        <w:t>India may</w:t>
      </w:r>
      <w:r>
        <w:rPr>
          <w:spacing w:val="-14"/>
        </w:rPr>
        <w:t> </w:t>
      </w:r>
      <w:r>
        <w:rPr/>
        <w:t>establish</w:t>
      </w:r>
      <w:r>
        <w:rPr>
          <w:spacing w:val="-14"/>
        </w:rPr>
        <w:t> </w:t>
      </w:r>
      <w:r>
        <w:rPr/>
        <w:t>a</w:t>
      </w:r>
      <w:r>
        <w:rPr>
          <w:spacing w:val="-14"/>
        </w:rPr>
        <w:t> </w:t>
      </w:r>
      <w:r>
        <w:rPr/>
        <w:t>National</w:t>
      </w:r>
      <w:r>
        <w:rPr>
          <w:spacing w:val="-13"/>
        </w:rPr>
        <w:t> </w:t>
      </w:r>
      <w:r>
        <w:rPr/>
        <w:t>Translation</w:t>
      </w:r>
      <w:r>
        <w:rPr>
          <w:spacing w:val="-14"/>
        </w:rPr>
        <w:t> </w:t>
      </w:r>
      <w:r>
        <w:rPr/>
        <w:t>Mission</w:t>
      </w:r>
      <w:r>
        <w:rPr>
          <w:spacing w:val="-13"/>
        </w:rPr>
        <w:t> </w:t>
      </w:r>
      <w:r>
        <w:rPr/>
        <w:t>(NTM), which</w:t>
      </w:r>
      <w:r>
        <w:rPr>
          <w:spacing w:val="-3"/>
        </w:rPr>
        <w:t> </w:t>
      </w:r>
      <w:r>
        <w:rPr/>
        <w:t>would</w:t>
      </w:r>
      <w:r>
        <w:rPr>
          <w:spacing w:val="-3"/>
        </w:rPr>
        <w:t> </w:t>
      </w:r>
      <w:r>
        <w:rPr/>
        <w:t>take</w:t>
      </w:r>
      <w:r>
        <w:rPr>
          <w:spacing w:val="-3"/>
        </w:rPr>
        <w:t> </w:t>
      </w:r>
      <w:r>
        <w:rPr/>
        <w:t>up</w:t>
      </w:r>
      <w:r>
        <w:rPr>
          <w:spacing w:val="-3"/>
        </w:rPr>
        <w:t> </w:t>
      </w:r>
      <w:r>
        <w:rPr/>
        <w:t>these</w:t>
      </w:r>
      <w:r>
        <w:rPr>
          <w:spacing w:val="-3"/>
        </w:rPr>
        <w:t> </w:t>
      </w:r>
      <w:r>
        <w:rPr/>
        <w:t>tasks</w:t>
      </w:r>
      <w:r>
        <w:rPr>
          <w:spacing w:val="-3"/>
        </w:rPr>
        <w:t> </w:t>
      </w:r>
      <w:r>
        <w:rPr/>
        <w:t>in</w:t>
      </w:r>
      <w:r>
        <w:rPr>
          <w:spacing w:val="-3"/>
        </w:rPr>
        <w:t> </w:t>
      </w:r>
      <w:r>
        <w:rPr/>
        <w:t>a</w:t>
      </w:r>
      <w:r>
        <w:rPr>
          <w:spacing w:val="-3"/>
        </w:rPr>
        <w:t> </w:t>
      </w:r>
      <w:r>
        <w:rPr/>
        <w:t>systematic</w:t>
      </w:r>
      <w:r>
        <w:rPr>
          <w:spacing w:val="-3"/>
        </w:rPr>
        <w:t> </w:t>
      </w:r>
      <w:r>
        <w:rPr/>
        <w:t>way. </w:t>
      </w:r>
      <w:r>
        <w:rPr>
          <w:spacing w:val="-2"/>
        </w:rPr>
        <w:t>The</w:t>
      </w:r>
      <w:r>
        <w:rPr>
          <w:spacing w:val="-9"/>
        </w:rPr>
        <w:t> </w:t>
      </w:r>
      <w:r>
        <w:rPr>
          <w:spacing w:val="-2"/>
        </w:rPr>
        <w:t>NTM</w:t>
      </w:r>
      <w:r>
        <w:rPr>
          <w:spacing w:val="-9"/>
        </w:rPr>
        <w:t> </w:t>
      </w:r>
      <w:r>
        <w:rPr>
          <w:spacing w:val="-2"/>
        </w:rPr>
        <w:t>would</w:t>
      </w:r>
      <w:r>
        <w:rPr>
          <w:spacing w:val="-9"/>
        </w:rPr>
        <w:t> </w:t>
      </w:r>
      <w:r>
        <w:rPr>
          <w:spacing w:val="-2"/>
        </w:rPr>
        <w:t>be</w:t>
      </w:r>
      <w:r>
        <w:rPr>
          <w:spacing w:val="-9"/>
        </w:rPr>
        <w:t> </w:t>
      </w:r>
      <w:r>
        <w:rPr>
          <w:spacing w:val="-2"/>
        </w:rPr>
        <w:t>a</w:t>
      </w:r>
      <w:r>
        <w:rPr>
          <w:spacing w:val="-9"/>
        </w:rPr>
        <w:t> </w:t>
      </w:r>
      <w:r>
        <w:rPr>
          <w:spacing w:val="-2"/>
        </w:rPr>
        <w:t>relatively</w:t>
      </w:r>
      <w:r>
        <w:rPr>
          <w:spacing w:val="-9"/>
        </w:rPr>
        <w:t> </w:t>
      </w:r>
      <w:r>
        <w:rPr>
          <w:spacing w:val="-2"/>
        </w:rPr>
        <w:t>small</w:t>
      </w:r>
      <w:r>
        <w:rPr>
          <w:spacing w:val="-9"/>
        </w:rPr>
        <w:t> </w:t>
      </w:r>
      <w:r>
        <w:rPr>
          <w:spacing w:val="-2"/>
        </w:rPr>
        <w:t>body</w:t>
      </w:r>
      <w:r>
        <w:rPr>
          <w:spacing w:val="-9"/>
        </w:rPr>
        <w:t> </w:t>
      </w:r>
      <w:r>
        <w:rPr>
          <w:spacing w:val="-2"/>
        </w:rPr>
        <w:t>in</w:t>
      </w:r>
      <w:r>
        <w:rPr>
          <w:spacing w:val="-9"/>
        </w:rPr>
        <w:t> </w:t>
      </w:r>
      <w:r>
        <w:rPr>
          <w:spacing w:val="-2"/>
        </w:rPr>
        <w:t>terms</w:t>
      </w:r>
      <w:r>
        <w:rPr>
          <w:spacing w:val="-9"/>
        </w:rPr>
        <w:t> </w:t>
      </w:r>
      <w:r>
        <w:rPr>
          <w:spacing w:val="-2"/>
        </w:rPr>
        <w:t>of </w:t>
      </w:r>
      <w:r>
        <w:rPr/>
        <w:t>its</w:t>
      </w:r>
      <w:r>
        <w:rPr>
          <w:spacing w:val="-2"/>
        </w:rPr>
        <w:t> </w:t>
      </w:r>
      <w:r>
        <w:rPr/>
        <w:t>own</w:t>
      </w:r>
      <w:r>
        <w:rPr>
          <w:spacing w:val="-2"/>
        </w:rPr>
        <w:t> </w:t>
      </w:r>
      <w:r>
        <w:rPr/>
        <w:t>infrastructure</w:t>
      </w:r>
      <w:r>
        <w:rPr>
          <w:spacing w:val="-2"/>
        </w:rPr>
        <w:t> </w:t>
      </w:r>
      <w:r>
        <w:rPr/>
        <w:t>and</w:t>
      </w:r>
      <w:r>
        <w:rPr>
          <w:spacing w:val="-2"/>
        </w:rPr>
        <w:t> </w:t>
      </w:r>
      <w:r>
        <w:rPr/>
        <w:t>be</w:t>
      </w:r>
      <w:r>
        <w:rPr>
          <w:spacing w:val="-2"/>
        </w:rPr>
        <w:t> </w:t>
      </w:r>
      <w:r>
        <w:rPr/>
        <w:t>flexible</w:t>
      </w:r>
      <w:r>
        <w:rPr>
          <w:spacing w:val="-2"/>
        </w:rPr>
        <w:t> </w:t>
      </w:r>
      <w:r>
        <w:rPr/>
        <w:t>in</w:t>
      </w:r>
      <w:r>
        <w:rPr>
          <w:spacing w:val="-2"/>
        </w:rPr>
        <w:t> </w:t>
      </w:r>
      <w:r>
        <w:rPr/>
        <w:t>organisation, but would have a budget sufficient to enable it to carry</w:t>
      </w:r>
      <w:r>
        <w:rPr>
          <w:spacing w:val="-14"/>
        </w:rPr>
        <w:t> </w:t>
      </w:r>
      <w:r>
        <w:rPr/>
        <w:t>out</w:t>
      </w:r>
      <w:r>
        <w:rPr>
          <w:spacing w:val="-14"/>
        </w:rPr>
        <w:t> </w:t>
      </w:r>
      <w:r>
        <w:rPr/>
        <w:t>targeted</w:t>
      </w:r>
      <w:r>
        <w:rPr>
          <w:spacing w:val="-14"/>
        </w:rPr>
        <w:t> </w:t>
      </w:r>
      <w:r>
        <w:rPr/>
        <w:t>funding</w:t>
      </w:r>
      <w:r>
        <w:rPr>
          <w:spacing w:val="-13"/>
        </w:rPr>
        <w:t> </w:t>
      </w:r>
      <w:r>
        <w:rPr/>
        <w:t>in</w:t>
      </w:r>
      <w:r>
        <w:rPr>
          <w:spacing w:val="-14"/>
        </w:rPr>
        <w:t> </w:t>
      </w:r>
      <w:r>
        <w:rPr/>
        <w:t>identified</w:t>
      </w:r>
      <w:r>
        <w:rPr>
          <w:spacing w:val="-14"/>
        </w:rPr>
        <w:t> </w:t>
      </w:r>
      <w:r>
        <w:rPr/>
        <w:t>areas.</w:t>
      </w:r>
      <w:r>
        <w:rPr>
          <w:spacing w:val="-14"/>
        </w:rPr>
        <w:t> </w:t>
      </w:r>
      <w:r>
        <w:rPr/>
        <w:t>It</w:t>
      </w:r>
      <w:r>
        <w:rPr>
          <w:spacing w:val="-13"/>
        </w:rPr>
        <w:t> </w:t>
      </w:r>
      <w:r>
        <w:rPr/>
        <w:t>would not function in a centralised way but will require </w:t>
      </w:r>
      <w:r>
        <w:rPr>
          <w:spacing w:val="-4"/>
        </w:rPr>
        <w:t>involvement</w:t>
      </w:r>
      <w:r>
        <w:rPr>
          <w:spacing w:val="-6"/>
        </w:rPr>
        <w:t> </w:t>
      </w:r>
      <w:r>
        <w:rPr>
          <w:spacing w:val="-4"/>
        </w:rPr>
        <w:t>of</w:t>
      </w:r>
      <w:r>
        <w:rPr>
          <w:spacing w:val="-6"/>
        </w:rPr>
        <w:t> </w:t>
      </w:r>
      <w:r>
        <w:rPr>
          <w:spacing w:val="-4"/>
        </w:rPr>
        <w:t>state</w:t>
      </w:r>
      <w:r>
        <w:rPr>
          <w:spacing w:val="-6"/>
        </w:rPr>
        <w:t> </w:t>
      </w:r>
      <w:r>
        <w:rPr>
          <w:spacing w:val="-4"/>
        </w:rPr>
        <w:t>and</w:t>
      </w:r>
      <w:r>
        <w:rPr>
          <w:spacing w:val="-6"/>
        </w:rPr>
        <w:t> </w:t>
      </w:r>
      <w:r>
        <w:rPr>
          <w:spacing w:val="-4"/>
        </w:rPr>
        <w:t>local</w:t>
      </w:r>
      <w:r>
        <w:rPr>
          <w:spacing w:val="-6"/>
        </w:rPr>
        <w:t> </w:t>
      </w:r>
      <w:r>
        <w:rPr>
          <w:spacing w:val="-4"/>
        </w:rPr>
        <w:t>levels,</w:t>
      </w:r>
      <w:r>
        <w:rPr>
          <w:spacing w:val="-6"/>
        </w:rPr>
        <w:t> </w:t>
      </w:r>
      <w:r>
        <w:rPr>
          <w:spacing w:val="-4"/>
        </w:rPr>
        <w:t>and</w:t>
      </w:r>
      <w:r>
        <w:rPr>
          <w:spacing w:val="-6"/>
        </w:rPr>
        <w:t> </w:t>
      </w:r>
      <w:r>
        <w:rPr>
          <w:spacing w:val="-4"/>
        </w:rPr>
        <w:t>co-ordination </w:t>
      </w:r>
      <w:r>
        <w:rPr/>
        <w:t>with many different agencies. Since immediate requirements may be different from future needs not </w:t>
      </w:r>
      <w:r>
        <w:rPr>
          <w:spacing w:val="-4"/>
        </w:rPr>
        <w:t>only</w:t>
      </w:r>
      <w:r>
        <w:rPr>
          <w:spacing w:val="-6"/>
        </w:rPr>
        <w:t> </w:t>
      </w:r>
      <w:r>
        <w:rPr>
          <w:spacing w:val="-4"/>
        </w:rPr>
        <w:t>in</w:t>
      </w:r>
      <w:r>
        <w:rPr>
          <w:spacing w:val="-6"/>
        </w:rPr>
        <w:t> </w:t>
      </w:r>
      <w:r>
        <w:rPr>
          <w:spacing w:val="-4"/>
        </w:rPr>
        <w:t>terms</w:t>
      </w:r>
      <w:r>
        <w:rPr>
          <w:spacing w:val="-6"/>
        </w:rPr>
        <w:t> </w:t>
      </w:r>
      <w:r>
        <w:rPr>
          <w:spacing w:val="-4"/>
        </w:rPr>
        <w:t>of</w:t>
      </w:r>
      <w:r>
        <w:rPr>
          <w:spacing w:val="-6"/>
        </w:rPr>
        <w:t> </w:t>
      </w:r>
      <w:r>
        <w:rPr>
          <w:spacing w:val="-4"/>
        </w:rPr>
        <w:t>translation</w:t>
      </w:r>
      <w:r>
        <w:rPr>
          <w:spacing w:val="-6"/>
        </w:rPr>
        <w:t> </w:t>
      </w:r>
      <w:r>
        <w:rPr>
          <w:spacing w:val="-4"/>
        </w:rPr>
        <w:t>activities</w:t>
      </w:r>
      <w:r>
        <w:rPr>
          <w:spacing w:val="-6"/>
        </w:rPr>
        <w:t> </w:t>
      </w:r>
      <w:r>
        <w:rPr>
          <w:spacing w:val="-4"/>
        </w:rPr>
        <w:t>but</w:t>
      </w:r>
      <w:r>
        <w:rPr>
          <w:spacing w:val="-6"/>
        </w:rPr>
        <w:t> </w:t>
      </w:r>
      <w:r>
        <w:rPr>
          <w:spacing w:val="-4"/>
        </w:rPr>
        <w:t>also</w:t>
      </w:r>
      <w:r>
        <w:rPr>
          <w:spacing w:val="-6"/>
        </w:rPr>
        <w:t> </w:t>
      </w:r>
      <w:r>
        <w:rPr>
          <w:spacing w:val="-4"/>
        </w:rPr>
        <w:t>the</w:t>
      </w:r>
      <w:r>
        <w:rPr>
          <w:spacing w:val="-6"/>
        </w:rPr>
        <w:t> </w:t>
      </w:r>
      <w:r>
        <w:rPr>
          <w:spacing w:val="-4"/>
        </w:rPr>
        <w:t>nature </w:t>
      </w:r>
      <w:r>
        <w:rPr/>
        <w:t>of</w:t>
      </w:r>
      <w:r>
        <w:rPr>
          <w:spacing w:val="1"/>
        </w:rPr>
        <w:t> </w:t>
      </w:r>
      <w:r>
        <w:rPr/>
        <w:t>interventions</w:t>
      </w:r>
      <w:r>
        <w:rPr>
          <w:spacing w:val="1"/>
        </w:rPr>
        <w:t> </w:t>
      </w:r>
      <w:r>
        <w:rPr/>
        <w:t>required,</w:t>
      </w:r>
      <w:r>
        <w:rPr>
          <w:spacing w:val="1"/>
        </w:rPr>
        <w:t> </w:t>
      </w:r>
      <w:r>
        <w:rPr/>
        <w:t>the</w:t>
      </w:r>
      <w:r>
        <w:rPr>
          <w:spacing w:val="1"/>
        </w:rPr>
        <w:t> </w:t>
      </w:r>
      <w:r>
        <w:rPr/>
        <w:t>NTM</w:t>
      </w:r>
      <w:r>
        <w:rPr>
          <w:spacing w:val="2"/>
        </w:rPr>
        <w:t> </w:t>
      </w:r>
      <w:r>
        <w:rPr/>
        <w:t>should</w:t>
      </w:r>
      <w:r>
        <w:rPr>
          <w:spacing w:val="1"/>
        </w:rPr>
        <w:t> </w:t>
      </w:r>
      <w:r>
        <w:rPr/>
        <w:t>be</w:t>
      </w:r>
      <w:r>
        <w:rPr>
          <w:spacing w:val="1"/>
        </w:rPr>
        <w:t> </w:t>
      </w:r>
      <w:r>
        <w:rPr>
          <w:spacing w:val="-8"/>
        </w:rPr>
        <w:t>flexible</w:t>
      </w:r>
    </w:p>
    <w:p>
      <w:pPr>
        <w:pStyle w:val="BodyText"/>
        <w:spacing w:line="266" w:lineRule="auto" w:before="57"/>
        <w:ind w:left="319" w:right="1077"/>
        <w:jc w:val="both"/>
      </w:pPr>
      <w:r>
        <w:rPr/>
        <w:br w:type="column"/>
      </w:r>
      <w:r>
        <w:rPr>
          <w:spacing w:val="-2"/>
        </w:rPr>
        <w:t>and</w:t>
      </w:r>
      <w:r>
        <w:rPr>
          <w:spacing w:val="-14"/>
        </w:rPr>
        <w:t> </w:t>
      </w:r>
      <w:r>
        <w:rPr>
          <w:spacing w:val="-2"/>
        </w:rPr>
        <w:t>responsive</w:t>
      </w:r>
      <w:r>
        <w:rPr>
          <w:spacing w:val="-12"/>
        </w:rPr>
        <w:t> </w:t>
      </w:r>
      <w:r>
        <w:rPr>
          <w:spacing w:val="-2"/>
        </w:rPr>
        <w:t>to</w:t>
      </w:r>
      <w:r>
        <w:rPr>
          <w:spacing w:val="-12"/>
        </w:rPr>
        <w:t> </w:t>
      </w:r>
      <w:r>
        <w:rPr>
          <w:spacing w:val="-2"/>
        </w:rPr>
        <w:t>current</w:t>
      </w:r>
      <w:r>
        <w:rPr>
          <w:spacing w:val="-11"/>
        </w:rPr>
        <w:t> </w:t>
      </w:r>
      <w:r>
        <w:rPr>
          <w:spacing w:val="-2"/>
        </w:rPr>
        <w:t>and</w:t>
      </w:r>
      <w:r>
        <w:rPr>
          <w:spacing w:val="-12"/>
        </w:rPr>
        <w:t> </w:t>
      </w:r>
      <w:r>
        <w:rPr>
          <w:spacing w:val="-2"/>
        </w:rPr>
        <w:t>future</w:t>
      </w:r>
      <w:r>
        <w:rPr>
          <w:spacing w:val="-12"/>
        </w:rPr>
        <w:t> </w:t>
      </w:r>
      <w:r>
        <w:rPr>
          <w:spacing w:val="-2"/>
        </w:rPr>
        <w:t>social</w:t>
      </w:r>
      <w:r>
        <w:rPr>
          <w:spacing w:val="-12"/>
        </w:rPr>
        <w:t> </w:t>
      </w:r>
      <w:r>
        <w:rPr>
          <w:spacing w:val="-2"/>
        </w:rPr>
        <w:t>realities</w:t>
      </w:r>
      <w:r>
        <w:rPr>
          <w:spacing w:val="-11"/>
        </w:rPr>
        <w:t> </w:t>
      </w:r>
      <w:r>
        <w:rPr>
          <w:spacing w:val="-2"/>
        </w:rPr>
        <w:t>and </w:t>
      </w:r>
      <w:r>
        <w:rPr/>
        <w:t>market conditions.</w:t>
      </w:r>
    </w:p>
    <w:p>
      <w:pPr>
        <w:pStyle w:val="BodyText"/>
        <w:spacing w:before="26"/>
      </w:pPr>
    </w:p>
    <w:p>
      <w:pPr>
        <w:pStyle w:val="BodyText"/>
        <w:spacing w:line="266" w:lineRule="auto"/>
        <w:ind w:left="319" w:right="1077"/>
        <w:jc w:val="both"/>
      </w:pPr>
      <w:r>
        <w:rPr/>
        <w:t>It is envisaged that a National Translation Mission performing</w:t>
      </w:r>
      <w:r>
        <w:rPr>
          <w:spacing w:val="-3"/>
        </w:rPr>
        <w:t> </w:t>
      </w:r>
      <w:r>
        <w:rPr/>
        <w:t>these</w:t>
      </w:r>
      <w:r>
        <w:rPr>
          <w:spacing w:val="-3"/>
        </w:rPr>
        <w:t> </w:t>
      </w:r>
      <w:r>
        <w:rPr/>
        <w:t>activities</w:t>
      </w:r>
      <w:r>
        <w:rPr>
          <w:spacing w:val="-3"/>
        </w:rPr>
        <w:t> </w:t>
      </w:r>
      <w:r>
        <w:rPr/>
        <w:t>could</w:t>
      </w:r>
      <w:r>
        <w:rPr>
          <w:spacing w:val="-3"/>
        </w:rPr>
        <w:t> </w:t>
      </w:r>
      <w:r>
        <w:rPr/>
        <w:t>be</w:t>
      </w:r>
      <w:r>
        <w:rPr>
          <w:spacing w:val="-3"/>
        </w:rPr>
        <w:t> </w:t>
      </w:r>
      <w:r>
        <w:rPr/>
        <w:t>set</w:t>
      </w:r>
      <w:r>
        <w:rPr>
          <w:spacing w:val="-3"/>
        </w:rPr>
        <w:t> </w:t>
      </w:r>
      <w:r>
        <w:rPr/>
        <w:t>up</w:t>
      </w:r>
      <w:r>
        <w:rPr>
          <w:spacing w:val="-3"/>
        </w:rPr>
        <w:t> </w:t>
      </w:r>
      <w:r>
        <w:rPr/>
        <w:t>during</w:t>
      </w:r>
      <w:r>
        <w:rPr>
          <w:spacing w:val="-3"/>
        </w:rPr>
        <w:t> </w:t>
      </w:r>
      <w:r>
        <w:rPr/>
        <w:t>the </w:t>
      </w:r>
      <w:r>
        <w:rPr>
          <w:spacing w:val="-8"/>
        </w:rPr>
        <w:t>11th</w:t>
      </w:r>
      <w:r>
        <w:rPr>
          <w:spacing w:val="-3"/>
        </w:rPr>
        <w:t> </w:t>
      </w:r>
      <w:r>
        <w:rPr>
          <w:spacing w:val="-8"/>
        </w:rPr>
        <w:t>Plan,</w:t>
      </w:r>
      <w:r>
        <w:rPr>
          <w:spacing w:val="-3"/>
        </w:rPr>
        <w:t> </w:t>
      </w:r>
      <w:r>
        <w:rPr>
          <w:spacing w:val="-8"/>
        </w:rPr>
        <w:t>with</w:t>
      </w:r>
      <w:r>
        <w:rPr>
          <w:spacing w:val="-3"/>
        </w:rPr>
        <w:t> </w:t>
      </w:r>
      <w:r>
        <w:rPr>
          <w:spacing w:val="-8"/>
        </w:rPr>
        <w:t>a</w:t>
      </w:r>
      <w:r>
        <w:rPr>
          <w:spacing w:val="-3"/>
        </w:rPr>
        <w:t> </w:t>
      </w:r>
      <w:r>
        <w:rPr>
          <w:spacing w:val="-8"/>
        </w:rPr>
        <w:t>proposed</w:t>
      </w:r>
      <w:r>
        <w:rPr>
          <w:spacing w:val="-3"/>
        </w:rPr>
        <w:t> </w:t>
      </w:r>
      <w:r>
        <w:rPr>
          <w:spacing w:val="-8"/>
        </w:rPr>
        <w:t>budget</w:t>
      </w:r>
      <w:r>
        <w:rPr>
          <w:spacing w:val="-3"/>
        </w:rPr>
        <w:t> </w:t>
      </w:r>
      <w:r>
        <w:rPr>
          <w:spacing w:val="-8"/>
        </w:rPr>
        <w:t>of</w:t>
      </w:r>
      <w:r>
        <w:rPr>
          <w:spacing w:val="-3"/>
        </w:rPr>
        <w:t> </w:t>
      </w:r>
      <w:r>
        <w:rPr>
          <w:spacing w:val="-8"/>
        </w:rPr>
        <w:t>Rs</w:t>
      </w:r>
      <w:r>
        <w:rPr>
          <w:spacing w:val="-3"/>
        </w:rPr>
        <w:t> </w:t>
      </w:r>
      <w:r>
        <w:rPr>
          <w:spacing w:val="-8"/>
        </w:rPr>
        <w:t>250</w:t>
      </w:r>
      <w:r>
        <w:rPr>
          <w:spacing w:val="-3"/>
        </w:rPr>
        <w:t> </w:t>
      </w:r>
      <w:r>
        <w:rPr>
          <w:spacing w:val="-8"/>
        </w:rPr>
        <w:t>crore</w:t>
      </w:r>
      <w:r>
        <w:rPr>
          <w:spacing w:val="-3"/>
        </w:rPr>
        <w:t> </w:t>
      </w:r>
      <w:r>
        <w:rPr>
          <w:spacing w:val="-8"/>
        </w:rPr>
        <w:t>for</w:t>
      </w:r>
      <w:r>
        <w:rPr>
          <w:spacing w:val="-3"/>
        </w:rPr>
        <w:t> </w:t>
      </w:r>
      <w:r>
        <w:rPr>
          <w:spacing w:val="-8"/>
        </w:rPr>
        <w:t>the </w:t>
      </w:r>
      <w:r>
        <w:rPr>
          <w:spacing w:val="-6"/>
        </w:rPr>
        <w:t>entire Plan period (around Rs 80 crore for organisational </w:t>
      </w:r>
      <w:r>
        <w:rPr/>
        <w:t>costs,</w:t>
      </w:r>
      <w:r>
        <w:rPr>
          <w:spacing w:val="-14"/>
        </w:rPr>
        <w:t> </w:t>
      </w:r>
      <w:r>
        <w:rPr/>
        <w:t>manpower</w:t>
      </w:r>
      <w:r>
        <w:rPr>
          <w:spacing w:val="-14"/>
        </w:rPr>
        <w:t> </w:t>
      </w:r>
      <w:r>
        <w:rPr/>
        <w:t>and</w:t>
      </w:r>
      <w:r>
        <w:rPr>
          <w:spacing w:val="-14"/>
        </w:rPr>
        <w:t> </w:t>
      </w:r>
      <w:r>
        <w:rPr/>
        <w:t>scholarships,</w:t>
      </w:r>
      <w:r>
        <w:rPr>
          <w:spacing w:val="-13"/>
        </w:rPr>
        <w:t> </w:t>
      </w:r>
      <w:r>
        <w:rPr/>
        <w:t>and</w:t>
      </w:r>
      <w:r>
        <w:rPr>
          <w:spacing w:val="-14"/>
        </w:rPr>
        <w:t> </w:t>
      </w:r>
      <w:r>
        <w:rPr/>
        <w:t>around</w:t>
      </w:r>
      <w:r>
        <w:rPr>
          <w:spacing w:val="-14"/>
        </w:rPr>
        <w:t> </w:t>
      </w:r>
      <w:r>
        <w:rPr/>
        <w:t>Rs</w:t>
      </w:r>
      <w:r>
        <w:rPr>
          <w:spacing w:val="-14"/>
        </w:rPr>
        <w:t> </w:t>
      </w:r>
      <w:r>
        <w:rPr/>
        <w:t>170 </w:t>
      </w:r>
      <w:r>
        <w:rPr>
          <w:spacing w:val="-8"/>
        </w:rPr>
        <w:t>crore</w:t>
      </w:r>
      <w:r>
        <w:rPr>
          <w:spacing w:val="-5"/>
        </w:rPr>
        <w:t> </w:t>
      </w:r>
      <w:r>
        <w:rPr>
          <w:spacing w:val="-8"/>
        </w:rPr>
        <w:t>for</w:t>
      </w:r>
      <w:r>
        <w:rPr>
          <w:spacing w:val="-5"/>
        </w:rPr>
        <w:t> </w:t>
      </w:r>
      <w:r>
        <w:rPr>
          <w:spacing w:val="-8"/>
        </w:rPr>
        <w:t>all</w:t>
      </w:r>
      <w:r>
        <w:rPr>
          <w:spacing w:val="-5"/>
        </w:rPr>
        <w:t> </w:t>
      </w:r>
      <w:r>
        <w:rPr>
          <w:spacing w:val="-8"/>
        </w:rPr>
        <w:t>other</w:t>
      </w:r>
      <w:r>
        <w:rPr>
          <w:spacing w:val="-5"/>
        </w:rPr>
        <w:t> </w:t>
      </w:r>
      <w:r>
        <w:rPr>
          <w:spacing w:val="-8"/>
        </w:rPr>
        <w:t>activities,</w:t>
      </w:r>
      <w:r>
        <w:rPr>
          <w:spacing w:val="-5"/>
        </w:rPr>
        <w:t> </w:t>
      </w:r>
      <w:r>
        <w:rPr>
          <w:spacing w:val="-8"/>
        </w:rPr>
        <w:t>which</w:t>
      </w:r>
      <w:r>
        <w:rPr>
          <w:spacing w:val="-5"/>
        </w:rPr>
        <w:t> </w:t>
      </w:r>
      <w:r>
        <w:rPr>
          <w:spacing w:val="-8"/>
        </w:rPr>
        <w:t>would</w:t>
      </w:r>
      <w:r>
        <w:rPr>
          <w:spacing w:val="-5"/>
        </w:rPr>
        <w:t> </w:t>
      </w:r>
      <w:r>
        <w:rPr>
          <w:spacing w:val="-8"/>
        </w:rPr>
        <w:t>involve</w:t>
      </w:r>
      <w:r>
        <w:rPr>
          <w:spacing w:val="-5"/>
        </w:rPr>
        <w:t> </w:t>
      </w:r>
      <w:r>
        <w:rPr>
          <w:spacing w:val="-8"/>
        </w:rPr>
        <w:t>funding </w:t>
      </w:r>
      <w:r>
        <w:rPr/>
        <w:t>other</w:t>
      </w:r>
      <w:r>
        <w:rPr>
          <w:spacing w:val="-14"/>
        </w:rPr>
        <w:t> </w:t>
      </w:r>
      <w:r>
        <w:rPr/>
        <w:t>collaborating</w:t>
      </w:r>
      <w:r>
        <w:rPr>
          <w:spacing w:val="-14"/>
        </w:rPr>
        <w:t> </w:t>
      </w:r>
      <w:r>
        <w:rPr/>
        <w:t>institutions</w:t>
      </w:r>
      <w:r>
        <w:rPr>
          <w:spacing w:val="-14"/>
        </w:rPr>
        <w:t> </w:t>
      </w:r>
      <w:r>
        <w:rPr/>
        <w:t>or</w:t>
      </w:r>
      <w:r>
        <w:rPr>
          <w:spacing w:val="-13"/>
        </w:rPr>
        <w:t> </w:t>
      </w:r>
      <w:r>
        <w:rPr/>
        <w:t>parties).</w:t>
      </w:r>
      <w:r>
        <w:rPr>
          <w:spacing w:val="-14"/>
        </w:rPr>
        <w:t> </w:t>
      </w:r>
      <w:r>
        <w:rPr/>
        <w:t>Depending upon the experience during the 11th Plan period, the </w:t>
      </w:r>
      <w:r>
        <w:rPr>
          <w:spacing w:val="-8"/>
        </w:rPr>
        <w:t>extent</w:t>
      </w:r>
      <w:r>
        <w:rPr>
          <w:spacing w:val="-1"/>
        </w:rPr>
        <w:t> </w:t>
      </w:r>
      <w:r>
        <w:rPr>
          <w:spacing w:val="-8"/>
        </w:rPr>
        <w:t>of</w:t>
      </w:r>
      <w:r>
        <w:rPr>
          <w:spacing w:val="-1"/>
        </w:rPr>
        <w:t> </w:t>
      </w:r>
      <w:r>
        <w:rPr>
          <w:spacing w:val="-8"/>
        </w:rPr>
        <w:t>this</w:t>
      </w:r>
      <w:r>
        <w:rPr>
          <w:spacing w:val="-1"/>
        </w:rPr>
        <w:t> </w:t>
      </w:r>
      <w:r>
        <w:rPr>
          <w:spacing w:val="-8"/>
        </w:rPr>
        <w:t>support</w:t>
      </w:r>
      <w:r>
        <w:rPr>
          <w:spacing w:val="-1"/>
        </w:rPr>
        <w:t> </w:t>
      </w:r>
      <w:r>
        <w:rPr>
          <w:spacing w:val="-8"/>
        </w:rPr>
        <w:t>could</w:t>
      </w:r>
      <w:r>
        <w:rPr>
          <w:spacing w:val="-1"/>
        </w:rPr>
        <w:t> </w:t>
      </w:r>
      <w:r>
        <w:rPr>
          <w:spacing w:val="-8"/>
        </w:rPr>
        <w:t>be</w:t>
      </w:r>
      <w:r>
        <w:rPr>
          <w:spacing w:val="-1"/>
        </w:rPr>
        <w:t> </w:t>
      </w:r>
      <w:r>
        <w:rPr>
          <w:spacing w:val="-8"/>
        </w:rPr>
        <w:t>enhanced</w:t>
      </w:r>
      <w:r>
        <w:rPr>
          <w:spacing w:val="-1"/>
        </w:rPr>
        <w:t> </w:t>
      </w:r>
      <w:r>
        <w:rPr>
          <w:spacing w:val="-8"/>
        </w:rPr>
        <w:t>subsequently.</w:t>
      </w:r>
      <w:r>
        <w:rPr>
          <w:spacing w:val="-1"/>
        </w:rPr>
        <w:t> </w:t>
      </w:r>
      <w:r>
        <w:rPr>
          <w:spacing w:val="-8"/>
        </w:rPr>
        <w:t>In </w:t>
      </w:r>
      <w:r>
        <w:rPr>
          <w:spacing w:val="-6"/>
        </w:rPr>
        <w:t>addition,</w:t>
      </w:r>
      <w:r>
        <w:rPr>
          <w:spacing w:val="-8"/>
        </w:rPr>
        <w:t> </w:t>
      </w:r>
      <w:r>
        <w:rPr>
          <w:spacing w:val="-6"/>
        </w:rPr>
        <w:t>the</w:t>
      </w:r>
      <w:r>
        <w:rPr>
          <w:spacing w:val="-8"/>
        </w:rPr>
        <w:t> </w:t>
      </w:r>
      <w:r>
        <w:rPr>
          <w:spacing w:val="-6"/>
        </w:rPr>
        <w:t>NTM</w:t>
      </w:r>
      <w:r>
        <w:rPr>
          <w:spacing w:val="-8"/>
        </w:rPr>
        <w:t> </w:t>
      </w:r>
      <w:r>
        <w:rPr>
          <w:spacing w:val="-6"/>
        </w:rPr>
        <w:t>would</w:t>
      </w:r>
      <w:r>
        <w:rPr>
          <w:spacing w:val="-7"/>
        </w:rPr>
        <w:t> </w:t>
      </w:r>
      <w:r>
        <w:rPr>
          <w:spacing w:val="-6"/>
        </w:rPr>
        <w:t>require</w:t>
      </w:r>
      <w:r>
        <w:rPr>
          <w:spacing w:val="-8"/>
        </w:rPr>
        <w:t> </w:t>
      </w:r>
      <w:r>
        <w:rPr>
          <w:spacing w:val="-6"/>
        </w:rPr>
        <w:t>some</w:t>
      </w:r>
      <w:r>
        <w:rPr>
          <w:spacing w:val="-8"/>
        </w:rPr>
        <w:t> </w:t>
      </w:r>
      <w:r>
        <w:rPr>
          <w:spacing w:val="-6"/>
        </w:rPr>
        <w:t>one-time</w:t>
      </w:r>
      <w:r>
        <w:rPr>
          <w:spacing w:val="-8"/>
        </w:rPr>
        <w:t> </w:t>
      </w:r>
      <w:r>
        <w:rPr>
          <w:spacing w:val="-6"/>
        </w:rPr>
        <w:t>support for creating and developing the necessary infrastructure.</w:t>
      </w:r>
    </w:p>
    <w:p>
      <w:pPr>
        <w:pStyle w:val="BodyText"/>
        <w:spacing w:before="18"/>
      </w:pPr>
    </w:p>
    <w:p>
      <w:pPr>
        <w:pStyle w:val="BodyText"/>
        <w:spacing w:line="266" w:lineRule="auto"/>
        <w:ind w:left="319" w:right="1077"/>
        <w:jc w:val="both"/>
      </w:pPr>
      <w:r>
        <w:rPr/>
        <w:t>A proposal on these lines was sent to the </w:t>
      </w:r>
      <w:r>
        <w:rPr/>
        <w:t>Planning Commission which made some further suggestions on the organisation and structure of the National Translation Mission.</w:t>
      </w:r>
    </w:p>
    <w:p>
      <w:pPr>
        <w:pStyle w:val="BodyText"/>
        <w:spacing w:before="23"/>
      </w:pPr>
    </w:p>
    <w:p>
      <w:pPr>
        <w:pStyle w:val="BodyText"/>
        <w:spacing w:line="266" w:lineRule="auto" w:before="1"/>
        <w:ind w:left="319" w:right="1078"/>
        <w:jc w:val="both"/>
      </w:pPr>
      <w:r>
        <w:rPr/>
        <w:t>Translation activities should be seen in tandem </w:t>
      </w:r>
      <w:r>
        <w:rPr/>
        <w:t>with </w:t>
      </w:r>
      <w:r>
        <w:rPr>
          <w:spacing w:val="-2"/>
        </w:rPr>
        <w:t>the</w:t>
      </w:r>
      <w:r>
        <w:rPr>
          <w:spacing w:val="-12"/>
        </w:rPr>
        <w:t> </w:t>
      </w:r>
      <w:r>
        <w:rPr>
          <w:spacing w:val="-2"/>
        </w:rPr>
        <w:t>plan</w:t>
      </w:r>
      <w:r>
        <w:rPr>
          <w:spacing w:val="-12"/>
        </w:rPr>
        <w:t> </w:t>
      </w:r>
      <w:r>
        <w:rPr>
          <w:spacing w:val="-2"/>
        </w:rPr>
        <w:t>to</w:t>
      </w:r>
      <w:r>
        <w:rPr>
          <w:spacing w:val="-12"/>
        </w:rPr>
        <w:t> </w:t>
      </w:r>
      <w:r>
        <w:rPr>
          <w:spacing w:val="-2"/>
        </w:rPr>
        <w:t>increase</w:t>
      </w:r>
      <w:r>
        <w:rPr>
          <w:spacing w:val="-11"/>
        </w:rPr>
        <w:t> </w:t>
      </w:r>
      <w:r>
        <w:rPr>
          <w:spacing w:val="-2"/>
        </w:rPr>
        <w:t>access</w:t>
      </w:r>
      <w:r>
        <w:rPr>
          <w:spacing w:val="-12"/>
        </w:rPr>
        <w:t> </w:t>
      </w:r>
      <w:r>
        <w:rPr>
          <w:spacing w:val="-2"/>
        </w:rPr>
        <w:t>to</w:t>
      </w:r>
      <w:r>
        <w:rPr>
          <w:spacing w:val="-12"/>
        </w:rPr>
        <w:t> </w:t>
      </w:r>
      <w:r>
        <w:rPr>
          <w:spacing w:val="-2"/>
        </w:rPr>
        <w:t>English</w:t>
      </w:r>
      <w:r>
        <w:rPr>
          <w:spacing w:val="-12"/>
        </w:rPr>
        <w:t> </w:t>
      </w:r>
      <w:r>
        <w:rPr>
          <w:spacing w:val="-2"/>
        </w:rPr>
        <w:t>language</w:t>
      </w:r>
      <w:r>
        <w:rPr>
          <w:spacing w:val="-11"/>
        </w:rPr>
        <w:t> </w:t>
      </w:r>
      <w:r>
        <w:rPr>
          <w:spacing w:val="-2"/>
        </w:rPr>
        <w:t>training </w:t>
      </w:r>
      <w:r>
        <w:rPr/>
        <w:t>across</w:t>
      </w:r>
      <w:r>
        <w:rPr>
          <w:spacing w:val="-16"/>
        </w:rPr>
        <w:t> </w:t>
      </w:r>
      <w:r>
        <w:rPr/>
        <w:t>the</w:t>
      </w:r>
      <w:r>
        <w:rPr>
          <w:spacing w:val="-14"/>
        </w:rPr>
        <w:t> </w:t>
      </w:r>
      <w:r>
        <w:rPr/>
        <w:t>population,</w:t>
      </w:r>
      <w:r>
        <w:rPr>
          <w:spacing w:val="-14"/>
        </w:rPr>
        <w:t> </w:t>
      </w:r>
      <w:r>
        <w:rPr/>
        <w:t>and</w:t>
      </w:r>
      <w:r>
        <w:rPr>
          <w:spacing w:val="-13"/>
        </w:rPr>
        <w:t> </w:t>
      </w:r>
      <w:r>
        <w:rPr/>
        <w:t>the</w:t>
      </w:r>
      <w:r>
        <w:rPr>
          <w:spacing w:val="-14"/>
        </w:rPr>
        <w:t> </w:t>
      </w:r>
      <w:r>
        <w:rPr/>
        <w:t>promotion</w:t>
      </w:r>
      <w:r>
        <w:rPr>
          <w:spacing w:val="-14"/>
        </w:rPr>
        <w:t> </w:t>
      </w:r>
      <w:r>
        <w:rPr/>
        <w:t>of</w:t>
      </w:r>
      <w:r>
        <w:rPr>
          <w:spacing w:val="-14"/>
        </w:rPr>
        <w:t> </w:t>
      </w:r>
      <w:r>
        <w:rPr/>
        <w:t>English</w:t>
      </w:r>
      <w:r>
        <w:rPr>
          <w:spacing w:val="-13"/>
        </w:rPr>
        <w:t> </w:t>
      </w:r>
      <w:r>
        <w:rPr/>
        <w:t>in </w:t>
      </w:r>
      <w:r>
        <w:rPr>
          <w:spacing w:val="-2"/>
        </w:rPr>
        <w:t>school</w:t>
      </w:r>
      <w:r>
        <w:rPr>
          <w:spacing w:val="-7"/>
        </w:rPr>
        <w:t> </w:t>
      </w:r>
      <w:r>
        <w:rPr>
          <w:spacing w:val="-2"/>
        </w:rPr>
        <w:t>education</w:t>
      </w:r>
      <w:r>
        <w:rPr>
          <w:spacing w:val="-7"/>
        </w:rPr>
        <w:t> </w:t>
      </w:r>
      <w:r>
        <w:rPr>
          <w:spacing w:val="-2"/>
        </w:rPr>
        <w:t>at</w:t>
      </w:r>
      <w:r>
        <w:rPr>
          <w:spacing w:val="-7"/>
        </w:rPr>
        <w:t> </w:t>
      </w:r>
      <w:r>
        <w:rPr>
          <w:spacing w:val="-2"/>
        </w:rPr>
        <w:t>the</w:t>
      </w:r>
      <w:r>
        <w:rPr>
          <w:spacing w:val="-7"/>
        </w:rPr>
        <w:t> </w:t>
      </w:r>
      <w:r>
        <w:rPr>
          <w:spacing w:val="-2"/>
        </w:rPr>
        <w:t>primary</w:t>
      </w:r>
      <w:r>
        <w:rPr>
          <w:spacing w:val="-7"/>
        </w:rPr>
        <w:t> </w:t>
      </w:r>
      <w:r>
        <w:rPr>
          <w:spacing w:val="-2"/>
        </w:rPr>
        <w:t>level.</w:t>
      </w:r>
      <w:r>
        <w:rPr>
          <w:spacing w:val="-7"/>
        </w:rPr>
        <w:t> </w:t>
      </w:r>
      <w:r>
        <w:rPr>
          <w:spacing w:val="-2"/>
        </w:rPr>
        <w:t>Both</w:t>
      </w:r>
      <w:r>
        <w:rPr>
          <w:spacing w:val="-7"/>
        </w:rPr>
        <w:t> </w:t>
      </w:r>
      <w:r>
        <w:rPr>
          <w:spacing w:val="-2"/>
        </w:rPr>
        <w:t>are</w:t>
      </w:r>
      <w:r>
        <w:rPr>
          <w:spacing w:val="-7"/>
        </w:rPr>
        <w:t> </w:t>
      </w:r>
      <w:r>
        <w:rPr>
          <w:spacing w:val="-2"/>
        </w:rPr>
        <w:t>aspects </w:t>
      </w:r>
      <w:r>
        <w:rPr/>
        <w:t>of</w:t>
      </w:r>
      <w:r>
        <w:rPr>
          <w:spacing w:val="-11"/>
        </w:rPr>
        <w:t> </w:t>
      </w:r>
      <w:r>
        <w:rPr/>
        <w:t>the</w:t>
      </w:r>
      <w:r>
        <w:rPr>
          <w:spacing w:val="-11"/>
        </w:rPr>
        <w:t> </w:t>
      </w:r>
      <w:r>
        <w:rPr/>
        <w:t>goal</w:t>
      </w:r>
      <w:r>
        <w:rPr>
          <w:spacing w:val="-11"/>
        </w:rPr>
        <w:t> </w:t>
      </w:r>
      <w:r>
        <w:rPr/>
        <w:t>of</w:t>
      </w:r>
      <w:r>
        <w:rPr>
          <w:spacing w:val="-11"/>
        </w:rPr>
        <w:t> </w:t>
      </w:r>
      <w:r>
        <w:rPr/>
        <w:t>increasing</w:t>
      </w:r>
      <w:r>
        <w:rPr>
          <w:spacing w:val="-11"/>
        </w:rPr>
        <w:t> </w:t>
      </w:r>
      <w:r>
        <w:rPr/>
        <w:t>access</w:t>
      </w:r>
      <w:r>
        <w:rPr>
          <w:spacing w:val="-11"/>
        </w:rPr>
        <w:t> </w:t>
      </w:r>
      <w:r>
        <w:rPr/>
        <w:t>to</w:t>
      </w:r>
      <w:r>
        <w:rPr>
          <w:spacing w:val="-11"/>
        </w:rPr>
        <w:t> </w:t>
      </w:r>
      <w:r>
        <w:rPr/>
        <w:t>knowledge.</w:t>
      </w:r>
    </w:p>
    <w:p>
      <w:pPr>
        <w:spacing w:after="0" w:line="266" w:lineRule="auto"/>
        <w:jc w:val="both"/>
        <w:sectPr>
          <w:pgSz w:w="11910" w:h="16840"/>
          <w:pgMar w:header="0" w:footer="634"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079" w:firstLine="584"/>
        <w:jc w:val="right"/>
      </w:pPr>
      <w:r>
        <w:rPr/>
        <mc:AlternateContent>
          <mc:Choice Requires="wps">
            <w:drawing>
              <wp:anchor distT="0" distB="0" distL="0" distR="0" allowOverlap="1" layoutInCell="1" locked="0" behindDoc="0" simplePos="0" relativeHeight="15752704">
                <wp:simplePos x="0" y="0"/>
                <wp:positionH relativeFrom="page">
                  <wp:posOffset>0</wp:posOffset>
                </wp:positionH>
                <wp:positionV relativeFrom="paragraph">
                  <wp:posOffset>-2277393</wp:posOffset>
                </wp:positionV>
                <wp:extent cx="7560309" cy="1752600"/>
                <wp:effectExtent l="0" t="0" r="0" b="0"/>
                <wp:wrapNone/>
                <wp:docPr id="820" name="Group 820"/>
                <wp:cNvGraphicFramePr>
                  <a:graphicFrameLocks/>
                </wp:cNvGraphicFramePr>
                <a:graphic>
                  <a:graphicData uri="http://schemas.microsoft.com/office/word/2010/wordprocessingGroup">
                    <wpg:wgp>
                      <wpg:cNvPr id="820" name="Group 820"/>
                      <wpg:cNvGrpSpPr/>
                      <wpg:grpSpPr>
                        <a:xfrm>
                          <a:off x="0" y="0"/>
                          <a:ext cx="7560309" cy="1752600"/>
                          <a:chExt cx="7560309" cy="1752600"/>
                        </a:xfrm>
                      </wpg:grpSpPr>
                      <pic:pic>
                        <pic:nvPicPr>
                          <pic:cNvPr id="821" name="Image 821"/>
                          <pic:cNvPicPr/>
                        </pic:nvPicPr>
                        <pic:blipFill>
                          <a:blip r:embed="rId11" cstate="print"/>
                          <a:stretch>
                            <a:fillRect/>
                          </a:stretch>
                        </pic:blipFill>
                        <pic:spPr>
                          <a:xfrm>
                            <a:off x="0" y="0"/>
                            <a:ext cx="7559999" cy="1752562"/>
                          </a:xfrm>
                          <a:prstGeom prst="rect">
                            <a:avLst/>
                          </a:prstGeom>
                        </pic:spPr>
                      </pic:pic>
                      <wps:wsp>
                        <wps:cNvPr id="822" name="Textbox 822"/>
                        <wps:cNvSpPr txBox="1"/>
                        <wps:spPr>
                          <a:xfrm>
                            <a:off x="685800" y="598688"/>
                            <a:ext cx="1780539" cy="501650"/>
                          </a:xfrm>
                          <a:prstGeom prst="rect">
                            <a:avLst/>
                          </a:prstGeom>
                        </wps:spPr>
                        <wps:txbx>
                          <w:txbxContent>
                            <w:p>
                              <w:pPr>
                                <w:spacing w:before="0"/>
                                <w:ind w:left="0" w:right="0" w:firstLine="0"/>
                                <w:jc w:val="left"/>
                                <w:rPr>
                                  <w:rFonts w:ascii="Trebuchet MS"/>
                                  <w:b/>
                                  <w:sz w:val="68"/>
                                </w:rPr>
                              </w:pPr>
                              <w:r>
                                <w:rPr>
                                  <w:rFonts w:ascii="Trebuchet MS"/>
                                  <w:b/>
                                  <w:color w:val="FFFFFF"/>
                                  <w:spacing w:val="-2"/>
                                  <w:sz w:val="68"/>
                                </w:rPr>
                                <w:t>Libraries</w:t>
                              </w:r>
                            </w:p>
                          </w:txbxContent>
                        </wps:txbx>
                        <wps:bodyPr wrap="square" lIns="0" tIns="0" rIns="0" bIns="0" rtlCol="0">
                          <a:noAutofit/>
                        </wps:bodyPr>
                      </wps:wsp>
                      <wps:wsp>
                        <wps:cNvPr id="823" name="Textbox 823"/>
                        <wps:cNvSpPr txBox="1"/>
                        <wps:spPr>
                          <a:xfrm>
                            <a:off x="5843646" y="1439105"/>
                            <a:ext cx="1043305" cy="158750"/>
                          </a:xfrm>
                          <a:prstGeom prst="rect">
                            <a:avLst/>
                          </a:prstGeom>
                        </wps:spPr>
                        <wps:txbx>
                          <w:txbxContent>
                            <w:p>
                              <w:pPr>
                                <w:spacing w:line="238" w:lineRule="exact" w:before="0"/>
                                <w:ind w:left="0" w:right="0" w:firstLine="0"/>
                                <w:jc w:val="left"/>
                                <w:rPr>
                                  <w:b/>
                                  <w:sz w:val="22"/>
                                </w:rPr>
                              </w:pPr>
                              <w:r>
                                <w:rPr>
                                  <w:b/>
                                  <w:color w:val="FFFFFF"/>
                                  <w:spacing w:val="-4"/>
                                  <w:sz w:val="22"/>
                                </w:rPr>
                                <w:t>December</w:t>
                              </w:r>
                              <w:r>
                                <w:rPr>
                                  <w:b/>
                                  <w:color w:val="FFFFFF"/>
                                  <w:spacing w:val="-10"/>
                                  <w:sz w:val="22"/>
                                </w:rPr>
                                <w:t> </w:t>
                              </w:r>
                              <w:r>
                                <w:rPr>
                                  <w:b/>
                                  <w:color w:val="FFFFFF"/>
                                  <w:spacing w:val="-4"/>
                                  <w:sz w:val="22"/>
                                </w:rPr>
                                <w:t>7,</w:t>
                              </w:r>
                              <w:r>
                                <w:rPr>
                                  <w:b/>
                                  <w:color w:val="FFFFFF"/>
                                  <w:spacing w:val="-9"/>
                                  <w:sz w:val="22"/>
                                </w:rPr>
                                <w:t> </w:t>
                              </w:r>
                              <w:r>
                                <w:rPr>
                                  <w:b/>
                                  <w:color w:val="FFFFFF"/>
                                  <w:spacing w:val="-4"/>
                                  <w:sz w:val="22"/>
                                </w:rPr>
                                <w:t>2006</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52704" id="docshapegroup813" coordorigin="0,-3586" coordsize="11906,2760">
                <v:shape style="position:absolute;left:0;top:-3587;width:11906;height:2760" type="#_x0000_t75" id="docshape814" stroked="false">
                  <v:imagedata r:id="rId11" o:title=""/>
                </v:shape>
                <v:shape style="position:absolute;left:1080;top:-2644;width:2804;height:790" type="#_x0000_t202" id="docshape815" filled="false" stroked="false">
                  <v:textbox inset="0,0,0,0">
                    <w:txbxContent>
                      <w:p>
                        <w:pPr>
                          <w:spacing w:before="0"/>
                          <w:ind w:left="0" w:right="0" w:firstLine="0"/>
                          <w:jc w:val="left"/>
                          <w:rPr>
                            <w:rFonts w:ascii="Trebuchet MS"/>
                            <w:b/>
                            <w:sz w:val="68"/>
                          </w:rPr>
                        </w:pPr>
                        <w:r>
                          <w:rPr>
                            <w:rFonts w:ascii="Trebuchet MS"/>
                            <w:b/>
                            <w:color w:val="FFFFFF"/>
                            <w:spacing w:val="-2"/>
                            <w:sz w:val="68"/>
                          </w:rPr>
                          <w:t>Libraries</w:t>
                        </w:r>
                      </w:p>
                    </w:txbxContent>
                  </v:textbox>
                  <w10:wrap type="none"/>
                </v:shape>
                <v:shape style="position:absolute;left:9202;top:-1321;width:1643;height:250" type="#_x0000_t202" id="docshape816" filled="false" stroked="false">
                  <v:textbox inset="0,0,0,0">
                    <w:txbxContent>
                      <w:p>
                        <w:pPr>
                          <w:spacing w:line="238" w:lineRule="exact" w:before="0"/>
                          <w:ind w:left="0" w:right="0" w:firstLine="0"/>
                          <w:jc w:val="left"/>
                          <w:rPr>
                            <w:b/>
                            <w:sz w:val="22"/>
                          </w:rPr>
                        </w:pPr>
                        <w:r>
                          <w:rPr>
                            <w:b/>
                            <w:color w:val="FFFFFF"/>
                            <w:spacing w:val="-4"/>
                            <w:sz w:val="22"/>
                          </w:rPr>
                          <w:t>December</w:t>
                        </w:r>
                        <w:r>
                          <w:rPr>
                            <w:b/>
                            <w:color w:val="FFFFFF"/>
                            <w:spacing w:val="-10"/>
                            <w:sz w:val="22"/>
                          </w:rPr>
                          <w:t> </w:t>
                        </w:r>
                        <w:r>
                          <w:rPr>
                            <w:b/>
                            <w:color w:val="FFFFFF"/>
                            <w:spacing w:val="-4"/>
                            <w:sz w:val="22"/>
                          </w:rPr>
                          <w:t>7,</w:t>
                        </w:r>
                        <w:r>
                          <w:rPr>
                            <w:b/>
                            <w:color w:val="FFFFFF"/>
                            <w:spacing w:val="-9"/>
                            <w:sz w:val="22"/>
                          </w:rPr>
                          <w:t> </w:t>
                        </w:r>
                        <w:r>
                          <w:rPr>
                            <w:b/>
                            <w:color w:val="FFFFFF"/>
                            <w:spacing w:val="-4"/>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29792">
                <wp:simplePos x="0" y="0"/>
                <wp:positionH relativeFrom="page">
                  <wp:posOffset>685799</wp:posOffset>
                </wp:positionH>
                <wp:positionV relativeFrom="paragraph">
                  <wp:posOffset>-36774</wp:posOffset>
                </wp:positionV>
                <wp:extent cx="371475" cy="757555"/>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371475" cy="757555"/>
                        </a:xfrm>
                        <a:prstGeom prst="rect">
                          <a:avLst/>
                        </a:prstGeom>
                      </wps:spPr>
                      <wps:txbx>
                        <w:txbxContent>
                          <w:p>
                            <w:pPr>
                              <w:spacing w:line="1135" w:lineRule="exact" w:before="0"/>
                              <w:ind w:left="0" w:right="0" w:firstLine="0"/>
                              <w:jc w:val="left"/>
                              <w:rPr>
                                <w:sz w:val="106"/>
                              </w:rPr>
                            </w:pPr>
                            <w:r>
                              <w:rPr>
                                <w:color w:val="9CBF3B"/>
                                <w:spacing w:val="-16"/>
                                <w:sz w:val="106"/>
                              </w:rPr>
                              <w:t>P</w:t>
                            </w:r>
                          </w:p>
                        </w:txbxContent>
                      </wps:txbx>
                      <wps:bodyPr wrap="square" lIns="0" tIns="0" rIns="0" bIns="0" rtlCol="0">
                        <a:noAutofit/>
                      </wps:bodyPr>
                    </wps:wsp>
                  </a:graphicData>
                </a:graphic>
              </wp:anchor>
            </w:drawing>
          </mc:Choice>
          <mc:Fallback>
            <w:pict>
              <v:shape style="position:absolute;margin-left:53.999981pt;margin-top:-2.8956pt;width:29.25pt;height:59.65pt;mso-position-horizontal-relative:page;mso-position-vertical-relative:paragraph;z-index:-23986688" type="#_x0000_t202" id="docshape817" filled="false" stroked="false">
                <v:textbox inset="0,0,0,0">
                  <w:txbxContent>
                    <w:p>
                      <w:pPr>
                        <w:spacing w:line="1135" w:lineRule="exact" w:before="0"/>
                        <w:ind w:left="0" w:right="0" w:firstLine="0"/>
                        <w:jc w:val="left"/>
                        <w:rPr>
                          <w:sz w:val="106"/>
                        </w:rPr>
                      </w:pPr>
                      <w:r>
                        <w:rPr>
                          <w:color w:val="9CBF3B"/>
                          <w:spacing w:val="-16"/>
                          <w:sz w:val="106"/>
                        </w:rPr>
                        <w:t>P</w:t>
                      </w:r>
                    </w:p>
                  </w:txbxContent>
                </v:textbox>
                <w10:wrap type="none"/>
              </v:shape>
            </w:pict>
          </mc:Fallback>
        </mc:AlternateContent>
      </w:r>
      <w:r>
        <w:rPr>
          <w:spacing w:val="-6"/>
        </w:rPr>
        <w:t>ublic libraries play a pivotal role in </w:t>
      </w:r>
      <w:r>
        <w:rPr>
          <w:spacing w:val="-6"/>
        </w:rPr>
        <w:t>dissemination </w:t>
      </w:r>
      <w:r>
        <w:rPr/>
        <w:t>of</w:t>
      </w:r>
      <w:r>
        <w:rPr>
          <w:spacing w:val="40"/>
        </w:rPr>
        <w:t> </w:t>
      </w:r>
      <w:r>
        <w:rPr/>
        <w:t>knowledge</w:t>
      </w:r>
      <w:r>
        <w:rPr>
          <w:spacing w:val="40"/>
        </w:rPr>
        <w:t> </w:t>
      </w:r>
      <w:r>
        <w:rPr/>
        <w:t>and</w:t>
      </w:r>
      <w:r>
        <w:rPr>
          <w:spacing w:val="40"/>
        </w:rPr>
        <w:t> </w:t>
      </w:r>
      <w:r>
        <w:rPr/>
        <w:t>are</w:t>
      </w:r>
      <w:r>
        <w:rPr>
          <w:spacing w:val="40"/>
        </w:rPr>
        <w:t> </w:t>
      </w:r>
      <w:r>
        <w:rPr/>
        <w:t>an</w:t>
      </w:r>
      <w:r>
        <w:rPr>
          <w:spacing w:val="40"/>
        </w:rPr>
        <w:t> </w:t>
      </w:r>
      <w:r>
        <w:rPr/>
        <w:t>extremely</w:t>
      </w:r>
      <w:r>
        <w:rPr>
          <w:spacing w:val="40"/>
        </w:rPr>
        <w:t> </w:t>
      </w:r>
      <w:r>
        <w:rPr/>
        <w:t>important element</w:t>
      </w:r>
      <w:r>
        <w:rPr>
          <w:spacing w:val="40"/>
        </w:rPr>
        <w:t> </w:t>
      </w:r>
      <w:r>
        <w:rPr/>
        <w:t>of</w:t>
      </w:r>
      <w:r>
        <w:rPr>
          <w:spacing w:val="40"/>
        </w:rPr>
        <w:t> </w:t>
      </w:r>
      <w:r>
        <w:rPr/>
        <w:t>the</w:t>
      </w:r>
      <w:r>
        <w:rPr>
          <w:spacing w:val="40"/>
        </w:rPr>
        <w:t> </w:t>
      </w:r>
      <w:r>
        <w:rPr/>
        <w:t>foundation</w:t>
      </w:r>
      <w:r>
        <w:rPr>
          <w:spacing w:val="40"/>
        </w:rPr>
        <w:t> </w:t>
      </w:r>
      <w:r>
        <w:rPr/>
        <w:t>of</w:t>
      </w:r>
      <w:r>
        <w:rPr>
          <w:spacing w:val="40"/>
        </w:rPr>
        <w:t> </w:t>
      </w:r>
      <w:r>
        <w:rPr/>
        <w:t>a</w:t>
      </w:r>
      <w:r>
        <w:rPr>
          <w:spacing w:val="40"/>
        </w:rPr>
        <w:t> </w:t>
      </w:r>
      <w:r>
        <w:rPr/>
        <w:t>knowledge </w:t>
      </w:r>
      <w:r>
        <w:rPr>
          <w:spacing w:val="-6"/>
        </w:rPr>
        <w:t>economy.</w:t>
      </w:r>
      <w:r>
        <w:rPr>
          <w:spacing w:val="-19"/>
        </w:rPr>
        <w:t> </w:t>
      </w:r>
      <w:r>
        <w:rPr>
          <w:spacing w:val="-6"/>
        </w:rPr>
        <w:t>There</w:t>
      </w:r>
      <w:r>
        <w:rPr>
          <w:spacing w:val="-7"/>
        </w:rPr>
        <w:t> </w:t>
      </w:r>
      <w:r>
        <w:rPr>
          <w:spacing w:val="-6"/>
        </w:rPr>
        <w:t>is</w:t>
      </w:r>
      <w:r>
        <w:rPr>
          <w:spacing w:val="-7"/>
        </w:rPr>
        <w:t> </w:t>
      </w:r>
      <w:r>
        <w:rPr>
          <w:spacing w:val="-6"/>
        </w:rPr>
        <w:t>widespread</w:t>
      </w:r>
      <w:r>
        <w:rPr>
          <w:spacing w:val="-7"/>
        </w:rPr>
        <w:t> </w:t>
      </w:r>
      <w:r>
        <w:rPr>
          <w:spacing w:val="-6"/>
        </w:rPr>
        <w:t>agreement</w:t>
      </w:r>
      <w:r>
        <w:rPr>
          <w:spacing w:val="-7"/>
        </w:rPr>
        <w:t> </w:t>
      </w:r>
      <w:r>
        <w:rPr>
          <w:spacing w:val="-6"/>
        </w:rPr>
        <w:t>that</w:t>
      </w:r>
      <w:r>
        <w:rPr>
          <w:spacing w:val="-7"/>
        </w:rPr>
        <w:t> </w:t>
      </w:r>
      <w:r>
        <w:rPr>
          <w:spacing w:val="-6"/>
        </w:rPr>
        <w:t>there</w:t>
      </w:r>
      <w:r>
        <w:rPr>
          <w:spacing w:val="-7"/>
        </w:rPr>
        <w:t> </w:t>
      </w:r>
      <w:r>
        <w:rPr>
          <w:spacing w:val="-6"/>
        </w:rPr>
        <w:t>is</w:t>
      </w:r>
      <w:r>
        <w:rPr>
          <w:spacing w:val="-7"/>
        </w:rPr>
        <w:t> </w:t>
      </w:r>
      <w:r>
        <w:rPr>
          <w:spacing w:val="-6"/>
        </w:rPr>
        <w:t>an </w:t>
      </w:r>
      <w:r>
        <w:rPr>
          <w:spacing w:val="-4"/>
        </w:rPr>
        <w:t>urgent</w:t>
      </w:r>
      <w:r>
        <w:rPr>
          <w:spacing w:val="-6"/>
        </w:rPr>
        <w:t> </w:t>
      </w:r>
      <w:r>
        <w:rPr>
          <w:spacing w:val="-4"/>
        </w:rPr>
        <w:t>need for reform in the Libraries and Information Services</w:t>
      </w:r>
      <w:r>
        <w:rPr>
          <w:spacing w:val="12"/>
        </w:rPr>
        <w:t> </w:t>
      </w:r>
      <w:r>
        <w:rPr>
          <w:spacing w:val="-4"/>
        </w:rPr>
        <w:t>(LIS)</w:t>
      </w:r>
      <w:r>
        <w:rPr>
          <w:spacing w:val="12"/>
        </w:rPr>
        <w:t> </w:t>
      </w:r>
      <w:r>
        <w:rPr>
          <w:spacing w:val="-4"/>
        </w:rPr>
        <w:t>sector.</w:t>
      </w:r>
      <w:r>
        <w:rPr>
          <w:spacing w:val="12"/>
        </w:rPr>
        <w:t> </w:t>
      </w:r>
      <w:r>
        <w:rPr>
          <w:spacing w:val="-4"/>
        </w:rPr>
        <w:t>Several</w:t>
      </w:r>
      <w:r>
        <w:rPr>
          <w:spacing w:val="12"/>
        </w:rPr>
        <w:t> </w:t>
      </w:r>
      <w:r>
        <w:rPr>
          <w:spacing w:val="-4"/>
        </w:rPr>
        <w:t>initiatives</w:t>
      </w:r>
      <w:r>
        <w:rPr>
          <w:spacing w:val="12"/>
        </w:rPr>
        <w:t> </w:t>
      </w:r>
      <w:r>
        <w:rPr>
          <w:spacing w:val="-4"/>
        </w:rPr>
        <w:t>in</w:t>
      </w:r>
      <w:r>
        <w:rPr>
          <w:spacing w:val="12"/>
        </w:rPr>
        <w:t> </w:t>
      </w:r>
      <w:r>
        <w:rPr>
          <w:spacing w:val="-4"/>
        </w:rPr>
        <w:t>this</w:t>
      </w:r>
      <w:r>
        <w:rPr>
          <w:spacing w:val="12"/>
        </w:rPr>
        <w:t> </w:t>
      </w:r>
      <w:r>
        <w:rPr>
          <w:spacing w:val="-4"/>
        </w:rPr>
        <w:t>regard </w:t>
      </w:r>
      <w:r>
        <w:rPr/>
        <w:t>have</w:t>
      </w:r>
      <w:r>
        <w:rPr>
          <w:spacing w:val="29"/>
        </w:rPr>
        <w:t> </w:t>
      </w:r>
      <w:r>
        <w:rPr/>
        <w:t>already</w:t>
      </w:r>
      <w:r>
        <w:rPr>
          <w:spacing w:val="29"/>
        </w:rPr>
        <w:t> </w:t>
      </w:r>
      <w:r>
        <w:rPr/>
        <w:t>been</w:t>
      </w:r>
      <w:r>
        <w:rPr>
          <w:spacing w:val="29"/>
        </w:rPr>
        <w:t> </w:t>
      </w:r>
      <w:r>
        <w:rPr/>
        <w:t>taken</w:t>
      </w:r>
      <w:r>
        <w:rPr>
          <w:spacing w:val="29"/>
        </w:rPr>
        <w:t> </w:t>
      </w:r>
      <w:r>
        <w:rPr/>
        <w:t>by</w:t>
      </w:r>
      <w:r>
        <w:rPr>
          <w:spacing w:val="29"/>
        </w:rPr>
        <w:t> </w:t>
      </w:r>
      <w:r>
        <w:rPr/>
        <w:t>the</w:t>
      </w:r>
      <w:r>
        <w:rPr>
          <w:spacing w:val="29"/>
        </w:rPr>
        <w:t> </w:t>
      </w:r>
      <w:r>
        <w:rPr/>
        <w:t>Government.</w:t>
      </w:r>
      <w:r>
        <w:rPr>
          <w:spacing w:val="29"/>
        </w:rPr>
        <w:t> </w:t>
      </w:r>
      <w:r>
        <w:rPr/>
        <w:t>NKC </w:t>
      </w:r>
      <w:r>
        <w:rPr>
          <w:spacing w:val="-2"/>
        </w:rPr>
        <w:t>has</w:t>
      </w:r>
      <w:r>
        <w:rPr>
          <w:spacing w:val="30"/>
        </w:rPr>
        <w:t> </w:t>
      </w:r>
      <w:r>
        <w:rPr>
          <w:spacing w:val="-2"/>
        </w:rPr>
        <w:t>consulted</w:t>
      </w:r>
      <w:r>
        <w:rPr>
          <w:spacing w:val="30"/>
        </w:rPr>
        <w:t> </w:t>
      </w:r>
      <w:r>
        <w:rPr>
          <w:spacing w:val="-2"/>
        </w:rPr>
        <w:t>extensively</w:t>
      </w:r>
      <w:r>
        <w:rPr>
          <w:spacing w:val="30"/>
        </w:rPr>
        <w:t> </w:t>
      </w:r>
      <w:r>
        <w:rPr>
          <w:spacing w:val="-2"/>
        </w:rPr>
        <w:t>with</w:t>
      </w:r>
      <w:r>
        <w:rPr>
          <w:spacing w:val="30"/>
        </w:rPr>
        <w:t> </w:t>
      </w:r>
      <w:r>
        <w:rPr>
          <w:spacing w:val="-2"/>
        </w:rPr>
        <w:t>diverse</w:t>
      </w:r>
      <w:r>
        <w:rPr>
          <w:spacing w:val="30"/>
        </w:rPr>
        <w:t> </w:t>
      </w:r>
      <w:r>
        <w:rPr>
          <w:spacing w:val="-2"/>
        </w:rPr>
        <w:t>stakeholders, </w:t>
      </w:r>
      <w:r>
        <w:rPr>
          <w:spacing w:val="-6"/>
        </w:rPr>
        <w:t>including</w:t>
      </w:r>
      <w:r>
        <w:rPr>
          <w:spacing w:val="-7"/>
        </w:rPr>
        <w:t> </w:t>
      </w:r>
      <w:r>
        <w:rPr>
          <w:spacing w:val="-6"/>
        </w:rPr>
        <w:t>a</w:t>
      </w:r>
      <w:r>
        <w:rPr>
          <w:spacing w:val="-11"/>
        </w:rPr>
        <w:t> </w:t>
      </w:r>
      <w:r>
        <w:rPr>
          <w:spacing w:val="-6"/>
        </w:rPr>
        <w:t>Working</w:t>
      </w:r>
      <w:r>
        <w:rPr>
          <w:spacing w:val="-7"/>
        </w:rPr>
        <w:t> </w:t>
      </w:r>
      <w:r>
        <w:rPr>
          <w:spacing w:val="-6"/>
        </w:rPr>
        <w:t>Group of experts</w:t>
      </w:r>
      <w:r>
        <w:rPr>
          <w:spacing w:val="-7"/>
        </w:rPr>
        <w:t> </w:t>
      </w:r>
      <w:r>
        <w:rPr>
          <w:spacing w:val="-6"/>
        </w:rPr>
        <w:t>and </w:t>
      </w:r>
      <w:r>
        <w:rPr>
          <w:spacing w:val="-7"/>
        </w:rPr>
        <w:t>professionals.</w:t>
      </w:r>
    </w:p>
    <w:p>
      <w:pPr>
        <w:pStyle w:val="BodyText"/>
        <w:spacing w:line="266" w:lineRule="auto"/>
        <w:ind w:left="1079"/>
        <w:jc w:val="both"/>
      </w:pPr>
      <w:r>
        <w:rPr>
          <w:spacing w:val="-2"/>
        </w:rPr>
        <w:t>NKC’s</w:t>
      </w:r>
      <w:r>
        <w:rPr>
          <w:spacing w:val="-3"/>
        </w:rPr>
        <w:t> </w:t>
      </w:r>
      <w:r>
        <w:rPr>
          <w:spacing w:val="-2"/>
        </w:rPr>
        <w:t>recommendations</w:t>
      </w:r>
      <w:r>
        <w:rPr>
          <w:spacing w:val="-3"/>
        </w:rPr>
        <w:t> </w:t>
      </w:r>
      <w:r>
        <w:rPr>
          <w:spacing w:val="-2"/>
        </w:rPr>
        <w:t>for</w:t>
      </w:r>
      <w:r>
        <w:rPr>
          <w:spacing w:val="-3"/>
        </w:rPr>
        <w:t> </w:t>
      </w:r>
      <w:r>
        <w:rPr>
          <w:spacing w:val="-2"/>
        </w:rPr>
        <w:t>formulating</w:t>
      </w:r>
      <w:r>
        <w:rPr>
          <w:spacing w:val="-3"/>
        </w:rPr>
        <w:t> </w:t>
      </w:r>
      <w:r>
        <w:rPr>
          <w:spacing w:val="-2"/>
        </w:rPr>
        <w:t>strategies</w:t>
      </w:r>
      <w:r>
        <w:rPr>
          <w:spacing w:val="-3"/>
        </w:rPr>
        <w:t> </w:t>
      </w:r>
      <w:r>
        <w:rPr>
          <w:spacing w:val="-2"/>
        </w:rPr>
        <w:t>in </w:t>
      </w:r>
      <w:r>
        <w:rPr/>
        <w:t>the</w:t>
      </w:r>
      <w:r>
        <w:rPr>
          <w:spacing w:val="-3"/>
        </w:rPr>
        <w:t> </w:t>
      </w:r>
      <w:r>
        <w:rPr/>
        <w:t>LIS</w:t>
      </w:r>
      <w:r>
        <w:rPr>
          <w:spacing w:val="-3"/>
        </w:rPr>
        <w:t> </w:t>
      </w:r>
      <w:r>
        <w:rPr/>
        <w:t>sector</w:t>
      </w:r>
      <w:r>
        <w:rPr>
          <w:spacing w:val="-3"/>
        </w:rPr>
        <w:t> </w:t>
      </w:r>
      <w:r>
        <w:rPr/>
        <w:t>are</w:t>
      </w:r>
      <w:r>
        <w:rPr>
          <w:spacing w:val="-3"/>
        </w:rPr>
        <w:t> </w:t>
      </w:r>
      <w:r>
        <w:rPr/>
        <w:t>as</w:t>
      </w:r>
      <w:r>
        <w:rPr>
          <w:spacing w:val="-3"/>
        </w:rPr>
        <w:t> </w:t>
      </w:r>
      <w:r>
        <w:rPr/>
        <w:t>follows:</w:t>
      </w:r>
    </w:p>
    <w:p>
      <w:pPr>
        <w:pStyle w:val="Heading6"/>
        <w:numPr>
          <w:ilvl w:val="0"/>
          <w:numId w:val="9"/>
        </w:numPr>
        <w:tabs>
          <w:tab w:pos="1404" w:val="left" w:leader="none"/>
          <w:tab w:pos="1406" w:val="left" w:leader="none"/>
        </w:tabs>
        <w:spacing w:line="182" w:lineRule="auto" w:before="250" w:after="0"/>
        <w:ind w:left="1406" w:right="400" w:hanging="327"/>
        <w:jc w:val="left"/>
      </w:pPr>
      <w:r>
        <w:rPr>
          <w:color w:val="2E614A"/>
          <w:spacing w:val="-8"/>
        </w:rPr>
        <w:t>Set</w:t>
      </w:r>
      <w:r>
        <w:rPr>
          <w:color w:val="2E614A"/>
          <w:spacing w:val="-14"/>
        </w:rPr>
        <w:t> </w:t>
      </w:r>
      <w:r>
        <w:rPr>
          <w:color w:val="2E614A"/>
          <w:spacing w:val="-8"/>
        </w:rPr>
        <w:t>Up</w:t>
      </w:r>
      <w:r>
        <w:rPr>
          <w:color w:val="2E614A"/>
          <w:spacing w:val="-12"/>
        </w:rPr>
        <w:t> </w:t>
      </w:r>
      <w:r>
        <w:rPr>
          <w:color w:val="2E614A"/>
          <w:spacing w:val="-8"/>
        </w:rPr>
        <w:t>a</w:t>
      </w:r>
      <w:r>
        <w:rPr>
          <w:color w:val="2E614A"/>
          <w:spacing w:val="-12"/>
        </w:rPr>
        <w:t> </w:t>
      </w:r>
      <w:r>
        <w:rPr>
          <w:color w:val="2E614A"/>
          <w:spacing w:val="-8"/>
        </w:rPr>
        <w:t>National</w:t>
      </w:r>
      <w:r>
        <w:rPr>
          <w:color w:val="2E614A"/>
          <w:spacing w:val="-12"/>
        </w:rPr>
        <w:t> </w:t>
      </w:r>
      <w:r>
        <w:rPr>
          <w:color w:val="2E614A"/>
          <w:spacing w:val="-8"/>
        </w:rPr>
        <w:t>Commission </w:t>
      </w:r>
      <w:r>
        <w:rPr>
          <w:color w:val="2E614A"/>
        </w:rPr>
        <w:t>on</w:t>
      </w:r>
      <w:r>
        <w:rPr>
          <w:color w:val="2E614A"/>
          <w:spacing w:val="-18"/>
        </w:rPr>
        <w:t> </w:t>
      </w:r>
      <w:r>
        <w:rPr>
          <w:color w:val="2E614A"/>
        </w:rPr>
        <w:t>Libraries</w:t>
      </w:r>
    </w:p>
    <w:p>
      <w:pPr>
        <w:pStyle w:val="BodyText"/>
        <w:spacing w:line="266" w:lineRule="auto" w:before="302"/>
        <w:ind w:left="1079"/>
        <w:jc w:val="both"/>
      </w:pPr>
      <w:r>
        <w:rPr>
          <w:spacing w:val="-2"/>
        </w:rPr>
        <w:t>A</w:t>
      </w:r>
      <w:r>
        <w:rPr>
          <w:spacing w:val="-12"/>
        </w:rPr>
        <w:t> </w:t>
      </w:r>
      <w:r>
        <w:rPr>
          <w:spacing w:val="-2"/>
        </w:rPr>
        <w:t>permanent,</w:t>
      </w:r>
      <w:r>
        <w:rPr>
          <w:spacing w:val="-12"/>
        </w:rPr>
        <w:t> </w:t>
      </w:r>
      <w:r>
        <w:rPr>
          <w:spacing w:val="-2"/>
        </w:rPr>
        <w:t>independent</w:t>
      </w:r>
      <w:r>
        <w:rPr>
          <w:spacing w:val="-12"/>
        </w:rPr>
        <w:t> </w:t>
      </w:r>
      <w:r>
        <w:rPr>
          <w:spacing w:val="-2"/>
        </w:rPr>
        <w:t>and</w:t>
      </w:r>
      <w:r>
        <w:rPr>
          <w:spacing w:val="-11"/>
        </w:rPr>
        <w:t> </w:t>
      </w:r>
      <w:r>
        <w:rPr>
          <w:spacing w:val="-2"/>
        </w:rPr>
        <w:t>financially</w:t>
      </w:r>
      <w:r>
        <w:rPr>
          <w:spacing w:val="-12"/>
        </w:rPr>
        <w:t> </w:t>
      </w:r>
      <w:r>
        <w:rPr>
          <w:spacing w:val="-2"/>
        </w:rPr>
        <w:t>autonomous National</w:t>
      </w:r>
      <w:r>
        <w:rPr>
          <w:spacing w:val="-8"/>
        </w:rPr>
        <w:t> </w:t>
      </w:r>
      <w:r>
        <w:rPr>
          <w:spacing w:val="-2"/>
        </w:rPr>
        <w:t>Commission</w:t>
      </w:r>
      <w:r>
        <w:rPr>
          <w:spacing w:val="-8"/>
        </w:rPr>
        <w:t> </w:t>
      </w:r>
      <w:r>
        <w:rPr>
          <w:spacing w:val="-2"/>
        </w:rPr>
        <w:t>on</w:t>
      </w:r>
      <w:r>
        <w:rPr>
          <w:spacing w:val="-8"/>
        </w:rPr>
        <w:t> </w:t>
      </w:r>
      <w:r>
        <w:rPr>
          <w:spacing w:val="-2"/>
        </w:rPr>
        <w:t>Libraries</w:t>
      </w:r>
      <w:r>
        <w:rPr>
          <w:spacing w:val="-8"/>
        </w:rPr>
        <w:t> </w:t>
      </w:r>
      <w:r>
        <w:rPr>
          <w:spacing w:val="-2"/>
        </w:rPr>
        <w:t>should</w:t>
      </w:r>
      <w:r>
        <w:rPr>
          <w:spacing w:val="-8"/>
        </w:rPr>
        <w:t> </w:t>
      </w:r>
      <w:r>
        <w:rPr>
          <w:spacing w:val="-2"/>
        </w:rPr>
        <w:t>be</w:t>
      </w:r>
      <w:r>
        <w:rPr>
          <w:spacing w:val="-8"/>
        </w:rPr>
        <w:t> </w:t>
      </w:r>
      <w:r>
        <w:rPr>
          <w:spacing w:val="-2"/>
        </w:rPr>
        <w:t>set</w:t>
      </w:r>
      <w:r>
        <w:rPr>
          <w:spacing w:val="-8"/>
        </w:rPr>
        <w:t> </w:t>
      </w:r>
      <w:r>
        <w:rPr>
          <w:spacing w:val="-2"/>
        </w:rPr>
        <w:t>up</w:t>
      </w:r>
      <w:r>
        <w:rPr>
          <w:spacing w:val="-8"/>
        </w:rPr>
        <w:t> </w:t>
      </w:r>
      <w:r>
        <w:rPr>
          <w:spacing w:val="-2"/>
        </w:rPr>
        <w:t>by </w:t>
      </w:r>
      <w:r>
        <w:rPr>
          <w:w w:val="90"/>
        </w:rPr>
        <w:t>the Central Government as a statutory body to address the </w:t>
      </w:r>
      <w:r>
        <w:rPr>
          <w:spacing w:val="-2"/>
        </w:rPr>
        <w:t>information</w:t>
      </w:r>
      <w:r>
        <w:rPr>
          <w:spacing w:val="-11"/>
        </w:rPr>
        <w:t> </w:t>
      </w:r>
      <w:r>
        <w:rPr>
          <w:spacing w:val="-2"/>
        </w:rPr>
        <w:t>and</w:t>
      </w:r>
      <w:r>
        <w:rPr>
          <w:spacing w:val="-11"/>
        </w:rPr>
        <w:t> </w:t>
      </w:r>
      <w:r>
        <w:rPr>
          <w:spacing w:val="-2"/>
        </w:rPr>
        <w:t>learning</w:t>
      </w:r>
      <w:r>
        <w:rPr>
          <w:spacing w:val="-11"/>
        </w:rPr>
        <w:t> </w:t>
      </w:r>
      <w:r>
        <w:rPr>
          <w:spacing w:val="-2"/>
        </w:rPr>
        <w:t>needs</w:t>
      </w:r>
      <w:r>
        <w:rPr>
          <w:spacing w:val="-11"/>
        </w:rPr>
        <w:t> </w:t>
      </w:r>
      <w:r>
        <w:rPr>
          <w:spacing w:val="-2"/>
        </w:rPr>
        <w:t>of</w:t>
      </w:r>
      <w:r>
        <w:rPr>
          <w:spacing w:val="-11"/>
        </w:rPr>
        <w:t> </w:t>
      </w:r>
      <w:r>
        <w:rPr>
          <w:spacing w:val="-2"/>
        </w:rPr>
        <w:t>the</w:t>
      </w:r>
      <w:r>
        <w:rPr>
          <w:spacing w:val="-11"/>
        </w:rPr>
        <w:t> </w:t>
      </w:r>
      <w:r>
        <w:rPr>
          <w:spacing w:val="-2"/>
        </w:rPr>
        <w:t>citizens</w:t>
      </w:r>
      <w:r>
        <w:rPr>
          <w:spacing w:val="-11"/>
        </w:rPr>
        <w:t> </w:t>
      </w:r>
      <w:r>
        <w:rPr>
          <w:spacing w:val="-2"/>
        </w:rPr>
        <w:t>of</w:t>
      </w:r>
      <w:r>
        <w:rPr>
          <w:spacing w:val="-11"/>
        </w:rPr>
        <w:t> </w:t>
      </w:r>
      <w:r>
        <w:rPr>
          <w:spacing w:val="-2"/>
        </w:rPr>
        <w:t>India. </w:t>
      </w:r>
      <w:r>
        <w:rPr/>
        <w:t>To launch the process in a mission mode, a National </w:t>
      </w:r>
      <w:r>
        <w:rPr>
          <w:spacing w:val="-2"/>
        </w:rPr>
        <w:t>Mission</w:t>
      </w:r>
      <w:r>
        <w:rPr>
          <w:spacing w:val="-11"/>
        </w:rPr>
        <w:t> </w:t>
      </w:r>
      <w:r>
        <w:rPr>
          <w:spacing w:val="-2"/>
        </w:rPr>
        <w:t>on</w:t>
      </w:r>
      <w:r>
        <w:rPr>
          <w:spacing w:val="-11"/>
        </w:rPr>
        <w:t> </w:t>
      </w:r>
      <w:r>
        <w:rPr>
          <w:spacing w:val="-2"/>
        </w:rPr>
        <w:t>Libraries</w:t>
      </w:r>
      <w:r>
        <w:rPr>
          <w:spacing w:val="-11"/>
        </w:rPr>
        <w:t> </w:t>
      </w:r>
      <w:r>
        <w:rPr>
          <w:spacing w:val="-2"/>
        </w:rPr>
        <w:t>should</w:t>
      </w:r>
      <w:r>
        <w:rPr>
          <w:spacing w:val="-11"/>
        </w:rPr>
        <w:t> </w:t>
      </w:r>
      <w:r>
        <w:rPr>
          <w:spacing w:val="-2"/>
        </w:rPr>
        <w:t>be</w:t>
      </w:r>
      <w:r>
        <w:rPr>
          <w:spacing w:val="-11"/>
        </w:rPr>
        <w:t> </w:t>
      </w:r>
      <w:r>
        <w:rPr>
          <w:spacing w:val="-2"/>
        </w:rPr>
        <w:t>set</w:t>
      </w:r>
      <w:r>
        <w:rPr>
          <w:spacing w:val="-11"/>
        </w:rPr>
        <w:t> </w:t>
      </w:r>
      <w:r>
        <w:rPr>
          <w:spacing w:val="-2"/>
        </w:rPr>
        <w:t>up</w:t>
      </w:r>
      <w:r>
        <w:rPr>
          <w:spacing w:val="-11"/>
        </w:rPr>
        <w:t> </w:t>
      </w:r>
      <w:r>
        <w:rPr>
          <w:spacing w:val="-2"/>
        </w:rPr>
        <w:t>immediately,</w:t>
      </w:r>
      <w:r>
        <w:rPr>
          <w:spacing w:val="-11"/>
        </w:rPr>
        <w:t> </w:t>
      </w:r>
      <w:r>
        <w:rPr>
          <w:spacing w:val="-2"/>
        </w:rPr>
        <w:t>for </w:t>
      </w:r>
      <w:r>
        <w:rPr/>
        <w:t>a period of three years.</w:t>
      </w:r>
    </w:p>
    <w:p>
      <w:pPr>
        <w:pStyle w:val="BodyText"/>
      </w:pPr>
    </w:p>
    <w:p>
      <w:pPr>
        <w:pStyle w:val="Heading6"/>
        <w:numPr>
          <w:ilvl w:val="0"/>
          <w:numId w:val="9"/>
        </w:numPr>
        <w:tabs>
          <w:tab w:pos="1404" w:val="left" w:leader="none"/>
          <w:tab w:pos="1406" w:val="left" w:leader="none"/>
        </w:tabs>
        <w:spacing w:line="182" w:lineRule="auto" w:before="0" w:after="0"/>
        <w:ind w:left="1406" w:right="233" w:hanging="327"/>
        <w:jc w:val="left"/>
      </w:pPr>
      <w:r>
        <w:rPr>
          <w:color w:val="2E614A"/>
          <w:w w:val="90"/>
        </w:rPr>
        <w:t>Prepare a National Census of </w:t>
      </w:r>
      <w:r>
        <w:rPr>
          <w:color w:val="2E614A"/>
          <w:w w:val="90"/>
        </w:rPr>
        <w:t>All </w:t>
      </w:r>
      <w:r>
        <w:rPr>
          <w:color w:val="2E614A"/>
          <w:spacing w:val="-2"/>
        </w:rPr>
        <w:t>Libraries</w:t>
      </w:r>
    </w:p>
    <w:p>
      <w:pPr>
        <w:pStyle w:val="BodyText"/>
        <w:spacing w:line="266" w:lineRule="auto" w:before="302"/>
        <w:ind w:left="1079"/>
        <w:jc w:val="both"/>
      </w:pPr>
      <w:r>
        <w:rPr/>
        <w:t>A national census of all libraries should be </w:t>
      </w:r>
      <w:r>
        <w:rPr/>
        <w:t>prepared by undertaking a nation-wide survey. Collection of </w:t>
      </w:r>
      <w:r>
        <w:rPr>
          <w:spacing w:val="-4"/>
        </w:rPr>
        <w:t>census</w:t>
      </w:r>
      <w:r>
        <w:rPr>
          <w:spacing w:val="-7"/>
        </w:rPr>
        <w:t> </w:t>
      </w:r>
      <w:r>
        <w:rPr>
          <w:spacing w:val="-4"/>
        </w:rPr>
        <w:t>data</w:t>
      </w:r>
      <w:r>
        <w:rPr>
          <w:spacing w:val="-7"/>
        </w:rPr>
        <w:t> </w:t>
      </w:r>
      <w:r>
        <w:rPr>
          <w:spacing w:val="-4"/>
        </w:rPr>
        <w:t>on</w:t>
      </w:r>
      <w:r>
        <w:rPr>
          <w:spacing w:val="-7"/>
        </w:rPr>
        <w:t> </w:t>
      </w:r>
      <w:r>
        <w:rPr>
          <w:spacing w:val="-4"/>
        </w:rPr>
        <w:t>libraries</w:t>
      </w:r>
      <w:r>
        <w:rPr>
          <w:spacing w:val="-7"/>
        </w:rPr>
        <w:t> </w:t>
      </w:r>
      <w:r>
        <w:rPr>
          <w:spacing w:val="-4"/>
        </w:rPr>
        <w:t>would</w:t>
      </w:r>
      <w:r>
        <w:rPr>
          <w:spacing w:val="-7"/>
        </w:rPr>
        <w:t> </w:t>
      </w:r>
      <w:r>
        <w:rPr>
          <w:spacing w:val="-4"/>
        </w:rPr>
        <w:t>provide</w:t>
      </w:r>
      <w:r>
        <w:rPr>
          <w:spacing w:val="-7"/>
        </w:rPr>
        <w:t> </w:t>
      </w:r>
      <w:r>
        <w:rPr>
          <w:spacing w:val="-4"/>
        </w:rPr>
        <w:t>baseline</w:t>
      </w:r>
      <w:r>
        <w:rPr>
          <w:spacing w:val="-7"/>
        </w:rPr>
        <w:t> </w:t>
      </w:r>
      <w:r>
        <w:rPr>
          <w:spacing w:val="-4"/>
        </w:rPr>
        <w:t>data</w:t>
      </w:r>
      <w:r>
        <w:rPr>
          <w:spacing w:val="-7"/>
        </w:rPr>
        <w:t> </w:t>
      </w:r>
      <w:r>
        <w:rPr>
          <w:spacing w:val="-4"/>
        </w:rPr>
        <w:t>for </w:t>
      </w:r>
      <w:r>
        <w:rPr/>
        <w:t>planning.</w:t>
      </w:r>
      <w:r>
        <w:rPr>
          <w:spacing w:val="-5"/>
        </w:rPr>
        <w:t> </w:t>
      </w:r>
      <w:r>
        <w:rPr/>
        <w:t>The</w:t>
      </w:r>
      <w:r>
        <w:rPr>
          <w:spacing w:val="-5"/>
        </w:rPr>
        <w:t> </w:t>
      </w:r>
      <w:r>
        <w:rPr/>
        <w:t>Task Force that has been set up by the </w:t>
      </w:r>
      <w:r>
        <w:rPr>
          <w:spacing w:val="-4"/>
        </w:rPr>
        <w:t>Department</w:t>
      </w:r>
      <w:r>
        <w:rPr>
          <w:spacing w:val="-5"/>
        </w:rPr>
        <w:t> </w:t>
      </w:r>
      <w:r>
        <w:rPr>
          <w:spacing w:val="-4"/>
        </w:rPr>
        <w:t>of</w:t>
      </w:r>
      <w:r>
        <w:rPr>
          <w:spacing w:val="-5"/>
        </w:rPr>
        <w:t> </w:t>
      </w:r>
      <w:r>
        <w:rPr>
          <w:spacing w:val="-4"/>
        </w:rPr>
        <w:t>Culture</w:t>
      </w:r>
      <w:r>
        <w:rPr>
          <w:spacing w:val="-5"/>
        </w:rPr>
        <w:t> </w:t>
      </w:r>
      <w:r>
        <w:rPr>
          <w:spacing w:val="-4"/>
        </w:rPr>
        <w:t>for</w:t>
      </w:r>
      <w:r>
        <w:rPr>
          <w:spacing w:val="-5"/>
        </w:rPr>
        <w:t> </w:t>
      </w:r>
      <w:r>
        <w:rPr>
          <w:spacing w:val="-4"/>
        </w:rPr>
        <w:t>this</w:t>
      </w:r>
      <w:r>
        <w:rPr>
          <w:spacing w:val="-5"/>
        </w:rPr>
        <w:t> </w:t>
      </w:r>
      <w:r>
        <w:rPr>
          <w:spacing w:val="-4"/>
        </w:rPr>
        <w:t>purpose</w:t>
      </w:r>
      <w:r>
        <w:rPr>
          <w:spacing w:val="-5"/>
        </w:rPr>
        <w:t> </w:t>
      </w:r>
      <w:r>
        <w:rPr>
          <w:spacing w:val="-4"/>
        </w:rPr>
        <w:t>should</w:t>
      </w:r>
      <w:r>
        <w:rPr>
          <w:spacing w:val="-5"/>
        </w:rPr>
        <w:t> </w:t>
      </w:r>
      <w:r>
        <w:rPr>
          <w:spacing w:val="-4"/>
        </w:rPr>
        <w:t>be</w:t>
      </w:r>
      <w:r>
        <w:rPr>
          <w:spacing w:val="-5"/>
        </w:rPr>
        <w:t> </w:t>
      </w:r>
      <w:r>
        <w:rPr>
          <w:spacing w:val="-4"/>
        </w:rPr>
        <w:t>given </w:t>
      </w:r>
      <w:r>
        <w:rPr/>
        <w:t>financial</w:t>
      </w:r>
      <w:r>
        <w:rPr>
          <w:spacing w:val="-14"/>
        </w:rPr>
        <w:t> </w:t>
      </w:r>
      <w:r>
        <w:rPr/>
        <w:t>and</w:t>
      </w:r>
      <w:r>
        <w:rPr>
          <w:spacing w:val="-14"/>
        </w:rPr>
        <w:t> </w:t>
      </w:r>
      <w:r>
        <w:rPr/>
        <w:t>administrative</w:t>
      </w:r>
      <w:r>
        <w:rPr>
          <w:spacing w:val="-14"/>
        </w:rPr>
        <w:t> </w:t>
      </w:r>
      <w:r>
        <w:rPr/>
        <w:t>support</w:t>
      </w:r>
      <w:r>
        <w:rPr>
          <w:spacing w:val="-13"/>
        </w:rPr>
        <w:t> </w:t>
      </w:r>
      <w:r>
        <w:rPr/>
        <w:t>to</w:t>
      </w:r>
      <w:r>
        <w:rPr>
          <w:spacing w:val="-14"/>
        </w:rPr>
        <w:t> </w:t>
      </w:r>
      <w:r>
        <w:rPr/>
        <w:t>implement</w:t>
      </w:r>
      <w:r>
        <w:rPr>
          <w:spacing w:val="-14"/>
        </w:rPr>
        <w:t> </w:t>
      </w:r>
      <w:r>
        <w:rPr/>
        <w:t>this activity and complete the survey on a priority basis </w:t>
      </w:r>
      <w:r>
        <w:rPr>
          <w:spacing w:val="-4"/>
        </w:rPr>
        <w:t>(within</w:t>
      </w:r>
      <w:r>
        <w:rPr>
          <w:spacing w:val="-8"/>
        </w:rPr>
        <w:t> </w:t>
      </w:r>
      <w:r>
        <w:rPr>
          <w:spacing w:val="-4"/>
        </w:rPr>
        <w:t>one</w:t>
      </w:r>
      <w:r>
        <w:rPr>
          <w:spacing w:val="-8"/>
        </w:rPr>
        <w:t> </w:t>
      </w:r>
      <w:r>
        <w:rPr>
          <w:spacing w:val="-4"/>
        </w:rPr>
        <w:t>year).</w:t>
      </w:r>
      <w:r>
        <w:rPr>
          <w:spacing w:val="-8"/>
        </w:rPr>
        <w:t> </w:t>
      </w:r>
      <w:r>
        <w:rPr>
          <w:spacing w:val="-4"/>
        </w:rPr>
        <w:t>User</w:t>
      </w:r>
      <w:r>
        <w:rPr>
          <w:spacing w:val="-8"/>
        </w:rPr>
        <w:t> </w:t>
      </w:r>
      <w:r>
        <w:rPr>
          <w:spacing w:val="-4"/>
        </w:rPr>
        <w:t>needs</w:t>
      </w:r>
      <w:r>
        <w:rPr>
          <w:spacing w:val="-8"/>
        </w:rPr>
        <w:t> </w:t>
      </w:r>
      <w:r>
        <w:rPr>
          <w:spacing w:val="-4"/>
        </w:rPr>
        <w:t>and</w:t>
      </w:r>
      <w:r>
        <w:rPr>
          <w:spacing w:val="-8"/>
        </w:rPr>
        <w:t> </w:t>
      </w:r>
      <w:r>
        <w:rPr>
          <w:spacing w:val="-4"/>
        </w:rPr>
        <w:t>reading</w:t>
      </w:r>
      <w:r>
        <w:rPr>
          <w:spacing w:val="-8"/>
        </w:rPr>
        <w:t> </w:t>
      </w:r>
      <w:r>
        <w:rPr>
          <w:spacing w:val="-4"/>
        </w:rPr>
        <w:t>habits</w:t>
      </w:r>
      <w:r>
        <w:rPr>
          <w:spacing w:val="-8"/>
        </w:rPr>
        <w:t> </w:t>
      </w:r>
      <w:r>
        <w:rPr>
          <w:spacing w:val="-4"/>
        </w:rPr>
        <w:t>should </w:t>
      </w:r>
      <w:r>
        <w:rPr>
          <w:spacing w:val="-2"/>
        </w:rPr>
        <w:t>be</w:t>
      </w:r>
      <w:r>
        <w:rPr>
          <w:spacing w:val="-8"/>
        </w:rPr>
        <w:t> </w:t>
      </w:r>
      <w:r>
        <w:rPr>
          <w:spacing w:val="-2"/>
        </w:rPr>
        <w:t>periodically</w:t>
      </w:r>
      <w:r>
        <w:rPr>
          <w:spacing w:val="-8"/>
        </w:rPr>
        <w:t> </w:t>
      </w:r>
      <w:r>
        <w:rPr>
          <w:spacing w:val="-2"/>
        </w:rPr>
        <w:t>surveyed</w:t>
      </w:r>
      <w:r>
        <w:rPr>
          <w:spacing w:val="-8"/>
        </w:rPr>
        <w:t> </w:t>
      </w:r>
      <w:r>
        <w:rPr>
          <w:spacing w:val="-2"/>
        </w:rPr>
        <w:t>at</w:t>
      </w:r>
      <w:r>
        <w:rPr>
          <w:spacing w:val="-8"/>
        </w:rPr>
        <w:t> </w:t>
      </w:r>
      <w:r>
        <w:rPr>
          <w:spacing w:val="-2"/>
        </w:rPr>
        <w:t>the</w:t>
      </w:r>
      <w:r>
        <w:rPr>
          <w:spacing w:val="-8"/>
        </w:rPr>
        <w:t> </w:t>
      </w:r>
      <w:r>
        <w:rPr>
          <w:spacing w:val="-2"/>
        </w:rPr>
        <w:t>national</w:t>
      </w:r>
      <w:r>
        <w:rPr>
          <w:spacing w:val="-8"/>
        </w:rPr>
        <w:t> </w:t>
      </w:r>
      <w:r>
        <w:rPr>
          <w:spacing w:val="-2"/>
        </w:rPr>
        <w:t>level</w:t>
      </w:r>
      <w:r>
        <w:rPr>
          <w:spacing w:val="-8"/>
        </w:rPr>
        <w:t> </w:t>
      </w:r>
      <w:r>
        <w:rPr>
          <w:spacing w:val="-2"/>
        </w:rPr>
        <w:t>as</w:t>
      </w:r>
      <w:r>
        <w:rPr>
          <w:spacing w:val="-8"/>
        </w:rPr>
        <w:t> </w:t>
      </w:r>
      <w:r>
        <w:rPr>
          <w:spacing w:val="-2"/>
        </w:rPr>
        <w:t>part</w:t>
      </w:r>
      <w:r>
        <w:rPr>
          <w:spacing w:val="-8"/>
        </w:rPr>
        <w:t> </w:t>
      </w:r>
      <w:r>
        <w:rPr>
          <w:spacing w:val="-2"/>
        </w:rPr>
        <w:t>of </w:t>
      </w:r>
      <w:r>
        <w:rPr/>
        <w:t>the National Sample Survey.</w:t>
      </w:r>
    </w:p>
    <w:p>
      <w:pPr>
        <w:pStyle w:val="BodyText"/>
      </w:pPr>
    </w:p>
    <w:p>
      <w:pPr>
        <w:pStyle w:val="BodyText"/>
        <w:spacing w:before="24"/>
      </w:pPr>
    </w:p>
    <w:p>
      <w:pPr>
        <w:pStyle w:val="Heading6"/>
        <w:numPr>
          <w:ilvl w:val="0"/>
          <w:numId w:val="9"/>
        </w:numPr>
        <w:tabs>
          <w:tab w:pos="1404" w:val="left" w:leader="none"/>
          <w:tab w:pos="1406" w:val="left" w:leader="none"/>
        </w:tabs>
        <w:spacing w:line="182" w:lineRule="auto" w:before="0" w:after="0"/>
        <w:ind w:left="1406" w:right="83" w:hanging="327"/>
        <w:jc w:val="left"/>
      </w:pPr>
      <w:r>
        <w:rPr>
          <w:color w:val="2E614A"/>
          <w:spacing w:val="-12"/>
        </w:rPr>
        <w:t>Revamp</w:t>
      </w:r>
      <w:r>
        <w:rPr>
          <w:color w:val="2E614A"/>
          <w:spacing w:val="-8"/>
        </w:rPr>
        <w:t> </w:t>
      </w:r>
      <w:r>
        <w:rPr>
          <w:color w:val="2E614A"/>
          <w:spacing w:val="-12"/>
        </w:rPr>
        <w:t>LIS</w:t>
      </w:r>
      <w:r>
        <w:rPr>
          <w:color w:val="2E614A"/>
          <w:spacing w:val="-8"/>
        </w:rPr>
        <w:t> </w:t>
      </w:r>
      <w:r>
        <w:rPr>
          <w:color w:val="2E614A"/>
          <w:spacing w:val="-12"/>
        </w:rPr>
        <w:t>Education,</w:t>
      </w:r>
      <w:r>
        <w:rPr>
          <w:color w:val="2E614A"/>
          <w:spacing w:val="-1"/>
        </w:rPr>
        <w:t> </w:t>
      </w:r>
      <w:r>
        <w:rPr>
          <w:color w:val="2E614A"/>
          <w:spacing w:val="-12"/>
        </w:rPr>
        <w:t>Training </w:t>
      </w:r>
      <w:r>
        <w:rPr>
          <w:color w:val="2E614A"/>
          <w:spacing w:val="-2"/>
        </w:rPr>
        <w:t>and</w:t>
      </w:r>
      <w:r>
        <w:rPr>
          <w:color w:val="2E614A"/>
          <w:spacing w:val="-18"/>
        </w:rPr>
        <w:t> </w:t>
      </w:r>
      <w:r>
        <w:rPr>
          <w:color w:val="2E614A"/>
          <w:spacing w:val="-2"/>
        </w:rPr>
        <w:t>Research</w:t>
      </w:r>
      <w:r>
        <w:rPr>
          <w:color w:val="2E614A"/>
          <w:spacing w:val="-18"/>
        </w:rPr>
        <w:t> </w:t>
      </w:r>
      <w:r>
        <w:rPr>
          <w:color w:val="2E614A"/>
          <w:spacing w:val="-2"/>
        </w:rPr>
        <w:t>Facilities</w:t>
      </w:r>
    </w:p>
    <w:p>
      <w:pPr>
        <w:pStyle w:val="BodyText"/>
        <w:spacing w:line="266" w:lineRule="auto" w:before="303"/>
        <w:ind w:left="1080"/>
        <w:jc w:val="both"/>
      </w:pPr>
      <w:r>
        <w:rPr/>
        <w:t>The</w:t>
      </w:r>
      <w:r>
        <w:rPr>
          <w:spacing w:val="-14"/>
        </w:rPr>
        <w:t> </w:t>
      </w:r>
      <w:r>
        <w:rPr/>
        <w:t>proposed</w:t>
      </w:r>
      <w:r>
        <w:rPr>
          <w:spacing w:val="-14"/>
        </w:rPr>
        <w:t> </w:t>
      </w:r>
      <w:r>
        <w:rPr/>
        <w:t>Mission/Commission</w:t>
      </w:r>
      <w:r>
        <w:rPr>
          <w:spacing w:val="-14"/>
        </w:rPr>
        <w:t> </w:t>
      </w:r>
      <w:r>
        <w:rPr/>
        <w:t>on</w:t>
      </w:r>
      <w:r>
        <w:rPr>
          <w:spacing w:val="-13"/>
        </w:rPr>
        <w:t> </w:t>
      </w:r>
      <w:r>
        <w:rPr/>
        <w:t>Libraries</w:t>
      </w:r>
      <w:r>
        <w:rPr>
          <w:spacing w:val="-14"/>
        </w:rPr>
        <w:t> </w:t>
      </w:r>
      <w:r>
        <w:rPr/>
        <w:t>must </w:t>
      </w:r>
      <w:r>
        <w:rPr>
          <w:spacing w:val="-2"/>
        </w:rPr>
        <w:t>assess</w:t>
      </w:r>
      <w:r>
        <w:rPr>
          <w:spacing w:val="4"/>
        </w:rPr>
        <w:t> </w:t>
      </w:r>
      <w:r>
        <w:rPr>
          <w:spacing w:val="-2"/>
        </w:rPr>
        <w:t>as</w:t>
      </w:r>
      <w:r>
        <w:rPr>
          <w:spacing w:val="4"/>
        </w:rPr>
        <w:t> </w:t>
      </w:r>
      <w:r>
        <w:rPr>
          <w:spacing w:val="-2"/>
        </w:rPr>
        <w:t>soon</w:t>
      </w:r>
      <w:r>
        <w:rPr>
          <w:spacing w:val="4"/>
        </w:rPr>
        <w:t> </w:t>
      </w:r>
      <w:r>
        <w:rPr>
          <w:spacing w:val="-2"/>
        </w:rPr>
        <w:t>as</w:t>
      </w:r>
      <w:r>
        <w:rPr>
          <w:spacing w:val="5"/>
        </w:rPr>
        <w:t> </w:t>
      </w:r>
      <w:r>
        <w:rPr>
          <w:spacing w:val="-2"/>
        </w:rPr>
        <w:t>possible</w:t>
      </w:r>
      <w:r>
        <w:rPr>
          <w:spacing w:val="4"/>
        </w:rPr>
        <w:t> </w:t>
      </w:r>
      <w:r>
        <w:rPr>
          <w:spacing w:val="-2"/>
        </w:rPr>
        <w:t>the</w:t>
      </w:r>
      <w:r>
        <w:rPr>
          <w:spacing w:val="4"/>
        </w:rPr>
        <w:t> </w:t>
      </w:r>
      <w:r>
        <w:rPr>
          <w:spacing w:val="-2"/>
        </w:rPr>
        <w:t>manpower</w:t>
      </w:r>
      <w:r>
        <w:rPr>
          <w:spacing w:val="2"/>
        </w:rPr>
        <w:t> </w:t>
      </w:r>
      <w:r>
        <w:rPr>
          <w:spacing w:val="-6"/>
        </w:rPr>
        <w:t>requirements</w:t>
      </w:r>
    </w:p>
    <w:p>
      <w:pPr>
        <w:pStyle w:val="BodyText"/>
        <w:spacing w:line="266" w:lineRule="auto" w:before="82"/>
        <w:ind w:left="319" w:right="1077"/>
        <w:jc w:val="both"/>
      </w:pPr>
      <w:r>
        <w:rPr/>
        <w:br w:type="column"/>
      </w:r>
      <w:r>
        <w:rPr>
          <w:spacing w:val="-2"/>
        </w:rPr>
        <w:t>of</w:t>
      </w:r>
      <w:r>
        <w:rPr>
          <w:spacing w:val="-12"/>
        </w:rPr>
        <w:t> </w:t>
      </w:r>
      <w:r>
        <w:rPr>
          <w:spacing w:val="-2"/>
        </w:rPr>
        <w:t>the</w:t>
      </w:r>
      <w:r>
        <w:rPr>
          <w:spacing w:val="-12"/>
        </w:rPr>
        <w:t> </w:t>
      </w:r>
      <w:r>
        <w:rPr>
          <w:spacing w:val="-2"/>
        </w:rPr>
        <w:t>country</w:t>
      </w:r>
      <w:r>
        <w:rPr>
          <w:spacing w:val="-12"/>
        </w:rPr>
        <w:t> </w:t>
      </w:r>
      <w:r>
        <w:rPr>
          <w:spacing w:val="-2"/>
        </w:rPr>
        <w:t>in</w:t>
      </w:r>
      <w:r>
        <w:rPr>
          <w:spacing w:val="-11"/>
        </w:rPr>
        <w:t> </w:t>
      </w:r>
      <w:r>
        <w:rPr>
          <w:spacing w:val="-2"/>
        </w:rPr>
        <w:t>the</w:t>
      </w:r>
      <w:r>
        <w:rPr>
          <w:spacing w:val="-12"/>
        </w:rPr>
        <w:t> </w:t>
      </w:r>
      <w:r>
        <w:rPr>
          <w:spacing w:val="-2"/>
        </w:rPr>
        <w:t>area</w:t>
      </w:r>
      <w:r>
        <w:rPr>
          <w:spacing w:val="-12"/>
        </w:rPr>
        <w:t> </w:t>
      </w:r>
      <w:r>
        <w:rPr>
          <w:spacing w:val="-2"/>
        </w:rPr>
        <w:t>of</w:t>
      </w:r>
      <w:r>
        <w:rPr>
          <w:spacing w:val="-11"/>
        </w:rPr>
        <w:t> </w:t>
      </w:r>
      <w:r>
        <w:rPr>
          <w:spacing w:val="-2"/>
        </w:rPr>
        <w:t>LIS</w:t>
      </w:r>
      <w:r>
        <w:rPr>
          <w:spacing w:val="-9"/>
        </w:rPr>
        <w:t> </w:t>
      </w:r>
      <w:r>
        <w:rPr>
          <w:spacing w:val="-2"/>
        </w:rPr>
        <w:t>management,</w:t>
      </w:r>
      <w:r>
        <w:rPr>
          <w:spacing w:val="-9"/>
        </w:rPr>
        <w:t> </w:t>
      </w:r>
      <w:r>
        <w:rPr>
          <w:spacing w:val="-2"/>
        </w:rPr>
        <w:t>and</w:t>
      </w:r>
      <w:r>
        <w:rPr>
          <w:spacing w:val="-9"/>
        </w:rPr>
        <w:t> </w:t>
      </w:r>
      <w:r>
        <w:rPr>
          <w:spacing w:val="-2"/>
        </w:rPr>
        <w:t>take </w:t>
      </w:r>
      <w:r>
        <w:rPr>
          <w:spacing w:val="-8"/>
        </w:rPr>
        <w:t>necessary</w:t>
      </w:r>
      <w:r>
        <w:rPr>
          <w:spacing w:val="-6"/>
        </w:rPr>
        <w:t> </w:t>
      </w:r>
      <w:r>
        <w:rPr>
          <w:spacing w:val="-8"/>
        </w:rPr>
        <w:t>steps</w:t>
      </w:r>
      <w:r>
        <w:rPr>
          <w:spacing w:val="-6"/>
        </w:rPr>
        <w:t> </w:t>
      </w:r>
      <w:r>
        <w:rPr>
          <w:spacing w:val="-8"/>
        </w:rPr>
        <w:t>to</w:t>
      </w:r>
      <w:r>
        <w:rPr>
          <w:spacing w:val="-6"/>
        </w:rPr>
        <w:t> </w:t>
      </w:r>
      <w:r>
        <w:rPr>
          <w:spacing w:val="-8"/>
        </w:rPr>
        <w:t>meet</w:t>
      </w:r>
      <w:r>
        <w:rPr>
          <w:spacing w:val="-5"/>
        </w:rPr>
        <w:t> </w:t>
      </w:r>
      <w:r>
        <w:rPr>
          <w:spacing w:val="-8"/>
        </w:rPr>
        <w:t>the</w:t>
      </w:r>
      <w:r>
        <w:rPr>
          <w:spacing w:val="-6"/>
        </w:rPr>
        <w:t> </w:t>
      </w:r>
      <w:r>
        <w:rPr>
          <w:spacing w:val="-8"/>
        </w:rPr>
        <w:t>country’s</w:t>
      </w:r>
      <w:r>
        <w:rPr>
          <w:spacing w:val="-6"/>
        </w:rPr>
        <w:t> </w:t>
      </w:r>
      <w:r>
        <w:rPr>
          <w:spacing w:val="-8"/>
        </w:rPr>
        <w:t>requirement</w:t>
      </w:r>
      <w:r>
        <w:rPr>
          <w:spacing w:val="-6"/>
        </w:rPr>
        <w:t> </w:t>
      </w:r>
      <w:r>
        <w:rPr>
          <w:spacing w:val="-8"/>
        </w:rPr>
        <w:t>through </w:t>
      </w:r>
      <w:r>
        <w:rPr/>
        <w:t>LIS education and training. To keep the LIS sector </w:t>
      </w:r>
      <w:r>
        <w:rPr>
          <w:w w:val="90"/>
        </w:rPr>
        <w:t>abreast of latest developments, necessary </w:t>
      </w:r>
      <w:r>
        <w:rPr>
          <w:w w:val="90"/>
        </w:rPr>
        <w:t>encouragement </w:t>
      </w:r>
      <w:r>
        <w:rPr>
          <w:spacing w:val="-4"/>
        </w:rPr>
        <w:t>should</w:t>
      </w:r>
      <w:r>
        <w:rPr>
          <w:spacing w:val="-10"/>
        </w:rPr>
        <w:t> </w:t>
      </w:r>
      <w:r>
        <w:rPr>
          <w:spacing w:val="-4"/>
        </w:rPr>
        <w:t>be</w:t>
      </w:r>
      <w:r>
        <w:rPr>
          <w:spacing w:val="-10"/>
        </w:rPr>
        <w:t> </w:t>
      </w:r>
      <w:r>
        <w:rPr>
          <w:spacing w:val="-4"/>
        </w:rPr>
        <w:t>given</w:t>
      </w:r>
      <w:r>
        <w:rPr>
          <w:spacing w:val="-10"/>
        </w:rPr>
        <w:t> </w:t>
      </w:r>
      <w:r>
        <w:rPr>
          <w:spacing w:val="-4"/>
        </w:rPr>
        <w:t>to</w:t>
      </w:r>
      <w:r>
        <w:rPr>
          <w:spacing w:val="-9"/>
        </w:rPr>
        <w:t> </w:t>
      </w:r>
      <w:r>
        <w:rPr>
          <w:spacing w:val="-4"/>
        </w:rPr>
        <w:t>research</w:t>
      </w:r>
      <w:r>
        <w:rPr>
          <w:spacing w:val="-10"/>
        </w:rPr>
        <w:t> </w:t>
      </w:r>
      <w:r>
        <w:rPr>
          <w:spacing w:val="-4"/>
        </w:rPr>
        <w:t>after</w:t>
      </w:r>
      <w:r>
        <w:rPr>
          <w:spacing w:val="-10"/>
        </w:rPr>
        <w:t> </w:t>
      </w:r>
      <w:r>
        <w:rPr>
          <w:spacing w:val="-4"/>
        </w:rPr>
        <w:t>evaluating</w:t>
      </w:r>
      <w:r>
        <w:rPr>
          <w:spacing w:val="-10"/>
        </w:rPr>
        <w:t> </w:t>
      </w:r>
      <w:r>
        <w:rPr>
          <w:spacing w:val="-4"/>
        </w:rPr>
        <w:t>the</w:t>
      </w:r>
      <w:r>
        <w:rPr>
          <w:spacing w:val="-9"/>
        </w:rPr>
        <w:t> </w:t>
      </w:r>
      <w:r>
        <w:rPr>
          <w:spacing w:val="-4"/>
        </w:rPr>
        <w:t>research </w:t>
      </w:r>
      <w:r>
        <w:rPr/>
        <w:t>status in this field. Establishing a well-equipped institute for advanced training and research in</w:t>
      </w:r>
      <w:r>
        <w:rPr>
          <w:spacing w:val="80"/>
        </w:rPr>
        <w:t> </w:t>
      </w:r>
      <w:r>
        <w:rPr/>
        <w:t>library</w:t>
      </w:r>
      <w:r>
        <w:rPr>
          <w:spacing w:val="40"/>
        </w:rPr>
        <w:t> </w:t>
      </w:r>
      <w:r>
        <w:rPr/>
        <w:t>and</w:t>
      </w:r>
      <w:r>
        <w:rPr>
          <w:spacing w:val="40"/>
        </w:rPr>
        <w:t> </w:t>
      </w:r>
      <w:r>
        <w:rPr/>
        <w:t>information</w:t>
      </w:r>
      <w:r>
        <w:rPr>
          <w:spacing w:val="40"/>
        </w:rPr>
        <w:t> </w:t>
      </w:r>
      <w:r>
        <w:rPr/>
        <w:t>science</w:t>
      </w:r>
      <w:r>
        <w:rPr>
          <w:spacing w:val="40"/>
        </w:rPr>
        <w:t> </w:t>
      </w:r>
      <w:r>
        <w:rPr/>
        <w:t>and</w:t>
      </w:r>
      <w:r>
        <w:rPr>
          <w:spacing w:val="40"/>
        </w:rPr>
        <w:t> </w:t>
      </w:r>
      <w:r>
        <w:rPr/>
        <w:t>services</w:t>
      </w:r>
      <w:r>
        <w:rPr>
          <w:spacing w:val="80"/>
        </w:rPr>
        <w:t> </w:t>
      </w:r>
      <w:r>
        <w:rPr/>
        <w:t>would provide the necessary impetus to this task.</w:t>
      </w:r>
    </w:p>
    <w:p>
      <w:pPr>
        <w:pStyle w:val="Heading6"/>
        <w:numPr>
          <w:ilvl w:val="0"/>
          <w:numId w:val="9"/>
        </w:numPr>
        <w:tabs>
          <w:tab w:pos="644" w:val="left" w:leader="none"/>
        </w:tabs>
        <w:spacing w:line="240" w:lineRule="auto" w:before="180" w:after="0"/>
        <w:ind w:left="644" w:right="0" w:hanging="325"/>
        <w:jc w:val="left"/>
      </w:pPr>
      <w:r>
        <w:rPr>
          <w:color w:val="2E614A"/>
          <w:w w:val="90"/>
        </w:rPr>
        <w:t>Re-assess</w:t>
      </w:r>
      <w:r>
        <w:rPr>
          <w:color w:val="2E614A"/>
          <w:spacing w:val="-2"/>
        </w:rPr>
        <w:t> </w:t>
      </w:r>
      <w:r>
        <w:rPr>
          <w:color w:val="2E614A"/>
          <w:w w:val="90"/>
        </w:rPr>
        <w:t>Staffing</w:t>
      </w:r>
      <w:r>
        <w:rPr>
          <w:color w:val="2E614A"/>
          <w:spacing w:val="-2"/>
        </w:rPr>
        <w:t> </w:t>
      </w:r>
      <w:r>
        <w:rPr>
          <w:color w:val="2E614A"/>
          <w:w w:val="90"/>
        </w:rPr>
        <w:t>of</w:t>
      </w:r>
      <w:r>
        <w:rPr>
          <w:color w:val="2E614A"/>
          <w:spacing w:val="-2"/>
        </w:rPr>
        <w:t> </w:t>
      </w:r>
      <w:r>
        <w:rPr>
          <w:color w:val="2E614A"/>
          <w:spacing w:val="-2"/>
          <w:w w:val="90"/>
        </w:rPr>
        <w:t>Libraries</w:t>
      </w:r>
    </w:p>
    <w:p>
      <w:pPr>
        <w:pStyle w:val="BodyText"/>
        <w:spacing w:line="266" w:lineRule="auto" w:before="285"/>
        <w:ind w:left="319" w:right="1077"/>
        <w:jc w:val="both"/>
      </w:pPr>
      <w:r>
        <w:rPr/>
        <w:t>In the changed context, it is necessary to assess the </w:t>
      </w:r>
      <w:r>
        <w:rPr>
          <w:spacing w:val="-2"/>
        </w:rPr>
        <w:t>manpower</w:t>
      </w:r>
      <w:r>
        <w:rPr>
          <w:spacing w:val="-6"/>
        </w:rPr>
        <w:t> </w:t>
      </w:r>
      <w:r>
        <w:rPr>
          <w:spacing w:val="-2"/>
        </w:rPr>
        <w:t>requirements</w:t>
      </w:r>
      <w:r>
        <w:rPr>
          <w:spacing w:val="-6"/>
        </w:rPr>
        <w:t> </w:t>
      </w:r>
      <w:r>
        <w:rPr>
          <w:spacing w:val="-2"/>
        </w:rPr>
        <w:t>for</w:t>
      </w:r>
      <w:r>
        <w:rPr>
          <w:spacing w:val="-6"/>
        </w:rPr>
        <w:t> </w:t>
      </w:r>
      <w:r>
        <w:rPr>
          <w:spacing w:val="-2"/>
        </w:rPr>
        <w:t>different</w:t>
      </w:r>
      <w:r>
        <w:rPr>
          <w:spacing w:val="-6"/>
        </w:rPr>
        <w:t> </w:t>
      </w:r>
      <w:r>
        <w:rPr>
          <w:spacing w:val="-2"/>
        </w:rPr>
        <w:t>types</w:t>
      </w:r>
      <w:r>
        <w:rPr>
          <w:spacing w:val="-6"/>
        </w:rPr>
        <w:t> </w:t>
      </w:r>
      <w:r>
        <w:rPr>
          <w:spacing w:val="-2"/>
        </w:rPr>
        <w:t>of</w:t>
      </w:r>
      <w:r>
        <w:rPr>
          <w:spacing w:val="-6"/>
        </w:rPr>
        <w:t> </w:t>
      </w:r>
      <w:r>
        <w:rPr>
          <w:spacing w:val="-2"/>
        </w:rPr>
        <w:t>libraries </w:t>
      </w:r>
      <w:r>
        <w:rPr/>
        <w:t>and departments of library and information </w:t>
      </w:r>
      <w:r>
        <w:rPr/>
        <w:t>science, keeping in mind job descriptions, qualifications, designations, pay scale, career advancement and service conditions.</w:t>
      </w:r>
    </w:p>
    <w:p>
      <w:pPr>
        <w:pStyle w:val="Heading6"/>
        <w:numPr>
          <w:ilvl w:val="0"/>
          <w:numId w:val="9"/>
        </w:numPr>
        <w:tabs>
          <w:tab w:pos="644" w:val="left" w:leader="none"/>
        </w:tabs>
        <w:spacing w:line="240" w:lineRule="auto" w:before="182" w:after="0"/>
        <w:ind w:left="644" w:right="0" w:hanging="325"/>
        <w:jc w:val="left"/>
      </w:pPr>
      <w:r>
        <w:rPr>
          <w:color w:val="2E614A"/>
          <w:w w:val="90"/>
        </w:rPr>
        <w:t>Set</w:t>
      </w:r>
      <w:r>
        <w:rPr>
          <w:color w:val="2E614A"/>
          <w:spacing w:val="-2"/>
        </w:rPr>
        <w:t> </w:t>
      </w:r>
      <w:r>
        <w:rPr>
          <w:color w:val="2E614A"/>
          <w:w w:val="90"/>
        </w:rPr>
        <w:t>Up</w:t>
      </w:r>
      <w:r>
        <w:rPr>
          <w:color w:val="2E614A"/>
          <w:spacing w:val="-2"/>
        </w:rPr>
        <w:t> </w:t>
      </w:r>
      <w:r>
        <w:rPr>
          <w:color w:val="2E614A"/>
          <w:w w:val="90"/>
        </w:rPr>
        <w:t>a</w:t>
      </w:r>
      <w:r>
        <w:rPr>
          <w:color w:val="2E614A"/>
          <w:spacing w:val="-2"/>
        </w:rPr>
        <w:t> </w:t>
      </w:r>
      <w:r>
        <w:rPr>
          <w:color w:val="2E614A"/>
          <w:w w:val="90"/>
        </w:rPr>
        <w:t>Central</w:t>
      </w:r>
      <w:r>
        <w:rPr>
          <w:color w:val="2E614A"/>
          <w:spacing w:val="-2"/>
        </w:rPr>
        <w:t> </w:t>
      </w:r>
      <w:r>
        <w:rPr>
          <w:color w:val="2E614A"/>
          <w:w w:val="90"/>
        </w:rPr>
        <w:t>Library</w:t>
      </w:r>
      <w:r>
        <w:rPr>
          <w:color w:val="2E614A"/>
          <w:spacing w:val="-2"/>
        </w:rPr>
        <w:t> </w:t>
      </w:r>
      <w:r>
        <w:rPr>
          <w:color w:val="2E614A"/>
          <w:spacing w:val="-4"/>
          <w:w w:val="90"/>
        </w:rPr>
        <w:t>Fund</w:t>
      </w:r>
    </w:p>
    <w:p>
      <w:pPr>
        <w:pStyle w:val="BodyText"/>
        <w:spacing w:line="266" w:lineRule="auto" w:before="285"/>
        <w:ind w:left="319" w:right="1077"/>
        <w:jc w:val="both"/>
      </w:pPr>
      <w:r>
        <w:rPr/>
        <w:t>A specified percentage of the Central and </w:t>
      </w:r>
      <w:r>
        <w:rPr/>
        <w:t>State education</w:t>
      </w:r>
      <w:r>
        <w:rPr>
          <w:spacing w:val="-14"/>
        </w:rPr>
        <w:t> </w:t>
      </w:r>
      <w:r>
        <w:rPr/>
        <w:t>budgets</w:t>
      </w:r>
      <w:r>
        <w:rPr>
          <w:spacing w:val="-14"/>
        </w:rPr>
        <w:t> </w:t>
      </w:r>
      <w:r>
        <w:rPr/>
        <w:t>must</w:t>
      </w:r>
      <w:r>
        <w:rPr>
          <w:spacing w:val="-14"/>
        </w:rPr>
        <w:t> </w:t>
      </w:r>
      <w:r>
        <w:rPr/>
        <w:t>be</w:t>
      </w:r>
      <w:r>
        <w:rPr>
          <w:spacing w:val="-13"/>
        </w:rPr>
        <w:t> </w:t>
      </w:r>
      <w:r>
        <w:rPr/>
        <w:t>ear-marked</w:t>
      </w:r>
      <w:r>
        <w:rPr>
          <w:spacing w:val="-14"/>
        </w:rPr>
        <w:t> </w:t>
      </w:r>
      <w:r>
        <w:rPr/>
        <w:t>for</w:t>
      </w:r>
      <w:r>
        <w:rPr>
          <w:spacing w:val="-14"/>
        </w:rPr>
        <w:t> </w:t>
      </w:r>
      <w:r>
        <w:rPr/>
        <w:t>libraries.</w:t>
      </w:r>
      <w:r>
        <w:rPr>
          <w:spacing w:val="-14"/>
        </w:rPr>
        <w:t> </w:t>
      </w:r>
      <w:r>
        <w:rPr/>
        <w:t>In addition, a Central Library Fund should be instituted for upgrading existing libraries over a period of 3-5 </w:t>
      </w:r>
      <w:r>
        <w:rPr>
          <w:spacing w:val="-4"/>
        </w:rPr>
        <w:t>years.</w:t>
      </w:r>
      <w:r>
        <w:rPr>
          <w:spacing w:val="-10"/>
        </w:rPr>
        <w:t> </w:t>
      </w:r>
      <w:r>
        <w:rPr>
          <w:spacing w:val="-4"/>
        </w:rPr>
        <w:t>The</w:t>
      </w:r>
      <w:r>
        <w:rPr>
          <w:spacing w:val="-8"/>
        </w:rPr>
        <w:t> </w:t>
      </w:r>
      <w:r>
        <w:rPr>
          <w:spacing w:val="-4"/>
        </w:rPr>
        <w:t>initial</w:t>
      </w:r>
      <w:r>
        <w:rPr>
          <w:spacing w:val="-5"/>
        </w:rPr>
        <w:t> </w:t>
      </w:r>
      <w:r>
        <w:rPr>
          <w:spacing w:val="-4"/>
        </w:rPr>
        <w:t>funding</w:t>
      </w:r>
      <w:r>
        <w:rPr>
          <w:spacing w:val="-5"/>
        </w:rPr>
        <w:t> </w:t>
      </w:r>
      <w:r>
        <w:rPr>
          <w:spacing w:val="-4"/>
        </w:rPr>
        <w:t>from</w:t>
      </w:r>
      <w:r>
        <w:rPr>
          <w:spacing w:val="-5"/>
        </w:rPr>
        <w:t> </w:t>
      </w:r>
      <w:r>
        <w:rPr>
          <w:spacing w:val="-4"/>
        </w:rPr>
        <w:t>the</w:t>
      </w:r>
      <w:r>
        <w:rPr>
          <w:spacing w:val="-5"/>
        </w:rPr>
        <w:t> </w:t>
      </w:r>
      <w:r>
        <w:rPr>
          <w:spacing w:val="-4"/>
        </w:rPr>
        <w:t>Government</w:t>
      </w:r>
      <w:r>
        <w:rPr>
          <w:spacing w:val="-5"/>
        </w:rPr>
        <w:t> </w:t>
      </w:r>
      <w:r>
        <w:rPr>
          <w:spacing w:val="-4"/>
        </w:rPr>
        <w:t>may</w:t>
      </w:r>
      <w:r>
        <w:rPr>
          <w:spacing w:val="-5"/>
        </w:rPr>
        <w:t> </w:t>
      </w:r>
      <w:r>
        <w:rPr>
          <w:spacing w:val="-4"/>
        </w:rPr>
        <w:t>be </w:t>
      </w:r>
      <w:r>
        <w:rPr/>
        <w:t>Rs</w:t>
      </w:r>
      <w:r>
        <w:rPr>
          <w:spacing w:val="-14"/>
        </w:rPr>
        <w:t> </w:t>
      </w:r>
      <w:r>
        <w:rPr/>
        <w:t>1,000</w:t>
      </w:r>
      <w:r>
        <w:rPr>
          <w:spacing w:val="-14"/>
        </w:rPr>
        <w:t> </w:t>
      </w:r>
      <w:r>
        <w:rPr/>
        <w:t>crores,</w:t>
      </w:r>
      <w:r>
        <w:rPr>
          <w:spacing w:val="-14"/>
        </w:rPr>
        <w:t> </w:t>
      </w:r>
      <w:r>
        <w:rPr/>
        <w:t>which</w:t>
      </w:r>
      <w:r>
        <w:rPr>
          <w:spacing w:val="-13"/>
        </w:rPr>
        <w:t> </w:t>
      </w:r>
      <w:r>
        <w:rPr/>
        <w:t>may</w:t>
      </w:r>
      <w:r>
        <w:rPr>
          <w:spacing w:val="-14"/>
        </w:rPr>
        <w:t> </w:t>
      </w:r>
      <w:r>
        <w:rPr/>
        <w:t>be</w:t>
      </w:r>
      <w:r>
        <w:rPr>
          <w:spacing w:val="-14"/>
        </w:rPr>
        <w:t> </w:t>
      </w:r>
      <w:r>
        <w:rPr/>
        <w:t>matched</w:t>
      </w:r>
      <w:r>
        <w:rPr>
          <w:spacing w:val="-14"/>
        </w:rPr>
        <w:t> </w:t>
      </w:r>
      <w:r>
        <w:rPr/>
        <w:t>by</w:t>
      </w:r>
      <w:r>
        <w:rPr>
          <w:spacing w:val="-13"/>
        </w:rPr>
        <w:t> </w:t>
      </w:r>
      <w:r>
        <w:rPr/>
        <w:t>the</w:t>
      </w:r>
      <w:r>
        <w:rPr>
          <w:spacing w:val="-14"/>
        </w:rPr>
        <w:t> </w:t>
      </w:r>
      <w:r>
        <w:rPr/>
        <w:t>private </w:t>
      </w:r>
      <w:r>
        <w:rPr>
          <w:spacing w:val="-4"/>
        </w:rPr>
        <w:t>sector</w:t>
      </w:r>
      <w:r>
        <w:rPr>
          <w:spacing w:val="-10"/>
        </w:rPr>
        <w:t> </w:t>
      </w:r>
      <w:r>
        <w:rPr>
          <w:spacing w:val="-4"/>
        </w:rPr>
        <w:t>through</w:t>
      </w:r>
      <w:r>
        <w:rPr>
          <w:spacing w:val="-10"/>
        </w:rPr>
        <w:t> </w:t>
      </w:r>
      <w:r>
        <w:rPr>
          <w:spacing w:val="-4"/>
        </w:rPr>
        <w:t>corporate</w:t>
      </w:r>
      <w:r>
        <w:rPr>
          <w:spacing w:val="-10"/>
        </w:rPr>
        <w:t> </w:t>
      </w:r>
      <w:r>
        <w:rPr>
          <w:spacing w:val="-4"/>
        </w:rPr>
        <w:t>philanthropy.</w:t>
      </w:r>
      <w:r>
        <w:rPr>
          <w:spacing w:val="-9"/>
        </w:rPr>
        <w:t> </w:t>
      </w:r>
      <w:r>
        <w:rPr>
          <w:spacing w:val="-4"/>
        </w:rPr>
        <w:t>This</w:t>
      </w:r>
      <w:r>
        <w:rPr>
          <w:spacing w:val="-10"/>
        </w:rPr>
        <w:t> </w:t>
      </w:r>
      <w:r>
        <w:rPr>
          <w:spacing w:val="-4"/>
        </w:rPr>
        <w:t>fund</w:t>
      </w:r>
      <w:r>
        <w:rPr>
          <w:spacing w:val="-10"/>
        </w:rPr>
        <w:t> </w:t>
      </w:r>
      <w:r>
        <w:rPr>
          <w:spacing w:val="-4"/>
        </w:rPr>
        <w:t>should </w:t>
      </w:r>
      <w:r>
        <w:rPr/>
        <w:t>be</w:t>
      </w:r>
      <w:r>
        <w:rPr>
          <w:spacing w:val="-14"/>
        </w:rPr>
        <w:t> </w:t>
      </w:r>
      <w:r>
        <w:rPr/>
        <w:t>administered</w:t>
      </w:r>
      <w:r>
        <w:rPr>
          <w:spacing w:val="-14"/>
        </w:rPr>
        <w:t> </w:t>
      </w:r>
      <w:r>
        <w:rPr/>
        <w:t>by</w:t>
      </w:r>
      <w:r>
        <w:rPr>
          <w:spacing w:val="-14"/>
        </w:rPr>
        <w:t> </w:t>
      </w:r>
      <w:r>
        <w:rPr/>
        <w:t>the</w:t>
      </w:r>
      <w:r>
        <w:rPr>
          <w:spacing w:val="-13"/>
        </w:rPr>
        <w:t> </w:t>
      </w:r>
      <w:r>
        <w:rPr/>
        <w:t>National</w:t>
      </w:r>
      <w:r>
        <w:rPr>
          <w:spacing w:val="-14"/>
        </w:rPr>
        <w:t> </w:t>
      </w:r>
      <w:r>
        <w:rPr/>
        <w:t>Mission/Commission on Libraries.</w:t>
      </w:r>
    </w:p>
    <w:p>
      <w:pPr>
        <w:pStyle w:val="Heading6"/>
        <w:numPr>
          <w:ilvl w:val="0"/>
          <w:numId w:val="9"/>
        </w:numPr>
        <w:tabs>
          <w:tab w:pos="644" w:val="left" w:leader="none"/>
        </w:tabs>
        <w:spacing w:line="240" w:lineRule="auto" w:before="179" w:after="0"/>
        <w:ind w:left="644" w:right="0" w:hanging="325"/>
        <w:jc w:val="left"/>
      </w:pPr>
      <w:r>
        <w:rPr>
          <w:color w:val="2E614A"/>
          <w:w w:val="90"/>
        </w:rPr>
        <w:t>Modernise</w:t>
      </w:r>
      <w:r>
        <w:rPr>
          <w:color w:val="2E614A"/>
          <w:spacing w:val="-7"/>
        </w:rPr>
        <w:t> </w:t>
      </w:r>
      <w:r>
        <w:rPr>
          <w:color w:val="2E614A"/>
          <w:w w:val="90"/>
        </w:rPr>
        <w:t>Library</w:t>
      </w:r>
      <w:r>
        <w:rPr>
          <w:color w:val="2E614A"/>
          <w:spacing w:val="-7"/>
        </w:rPr>
        <w:t> </w:t>
      </w:r>
      <w:r>
        <w:rPr>
          <w:color w:val="2E614A"/>
          <w:spacing w:val="-2"/>
          <w:w w:val="90"/>
        </w:rPr>
        <w:t>Management</w:t>
      </w:r>
    </w:p>
    <w:p>
      <w:pPr>
        <w:pStyle w:val="BodyText"/>
        <w:spacing w:line="266" w:lineRule="auto" w:before="286"/>
        <w:ind w:left="319" w:right="1077"/>
        <w:jc w:val="both"/>
      </w:pPr>
      <w:r>
        <w:rPr/>
        <w:t>Libraries should be so organised and the staff </w:t>
      </w:r>
      <w:r>
        <w:rPr/>
        <w:t>so trained</w:t>
      </w:r>
      <w:r>
        <w:rPr>
          <w:spacing w:val="-14"/>
        </w:rPr>
        <w:t> </w:t>
      </w:r>
      <w:r>
        <w:rPr/>
        <w:t>that</w:t>
      </w:r>
      <w:r>
        <w:rPr>
          <w:spacing w:val="-14"/>
        </w:rPr>
        <w:t> </w:t>
      </w:r>
      <w:r>
        <w:rPr/>
        <w:t>they</w:t>
      </w:r>
      <w:r>
        <w:rPr>
          <w:spacing w:val="-14"/>
        </w:rPr>
        <w:t> </w:t>
      </w:r>
      <w:r>
        <w:rPr/>
        <w:t>become</w:t>
      </w:r>
      <w:r>
        <w:rPr>
          <w:spacing w:val="-13"/>
        </w:rPr>
        <w:t> </w:t>
      </w:r>
      <w:r>
        <w:rPr/>
        <w:t>relevant</w:t>
      </w:r>
      <w:r>
        <w:rPr>
          <w:spacing w:val="-14"/>
        </w:rPr>
        <w:t> </w:t>
      </w:r>
      <w:r>
        <w:rPr/>
        <w:t>to</w:t>
      </w:r>
      <w:r>
        <w:rPr>
          <w:spacing w:val="-14"/>
        </w:rPr>
        <w:t> </w:t>
      </w:r>
      <w:r>
        <w:rPr/>
        <w:t>user</w:t>
      </w:r>
      <w:r>
        <w:rPr>
          <w:spacing w:val="-14"/>
        </w:rPr>
        <w:t> </w:t>
      </w:r>
      <w:r>
        <w:rPr/>
        <w:t>communities (including</w:t>
      </w:r>
      <w:r>
        <w:rPr>
          <w:spacing w:val="40"/>
        </w:rPr>
        <w:t> </w:t>
      </w:r>
      <w:r>
        <w:rPr/>
        <w:t>special</w:t>
      </w:r>
      <w:r>
        <w:rPr>
          <w:spacing w:val="40"/>
        </w:rPr>
        <w:t> </w:t>
      </w:r>
      <w:r>
        <w:rPr/>
        <w:t>groups)</w:t>
      </w:r>
      <w:r>
        <w:rPr>
          <w:spacing w:val="40"/>
        </w:rPr>
        <w:t> </w:t>
      </w:r>
      <w:r>
        <w:rPr/>
        <w:t>in</w:t>
      </w:r>
      <w:r>
        <w:rPr>
          <w:spacing w:val="40"/>
        </w:rPr>
        <w:t> </w:t>
      </w:r>
      <w:r>
        <w:rPr/>
        <w:t>every</w:t>
      </w:r>
      <w:r>
        <w:rPr>
          <w:spacing w:val="40"/>
        </w:rPr>
        <w:t> </w:t>
      </w:r>
      <w:r>
        <w:rPr/>
        <w:t>respect.</w:t>
      </w:r>
      <w:r>
        <w:rPr>
          <w:spacing w:val="40"/>
        </w:rPr>
        <w:t> </w:t>
      </w:r>
      <w:r>
        <w:rPr/>
        <w:t>Also, to optimise resources, efforts should be made to synergise the strengths of different types of libraries through</w:t>
      </w:r>
      <w:r>
        <w:rPr>
          <w:spacing w:val="40"/>
        </w:rPr>
        <w:t> </w:t>
      </w:r>
      <w:r>
        <w:rPr/>
        <w:t>innovative</w:t>
      </w:r>
      <w:r>
        <w:rPr>
          <w:spacing w:val="40"/>
        </w:rPr>
        <w:t> </w:t>
      </w:r>
      <w:r>
        <w:rPr/>
        <w:t>collaboration.</w:t>
      </w:r>
      <w:r>
        <w:rPr>
          <w:spacing w:val="40"/>
        </w:rPr>
        <w:t> </w:t>
      </w:r>
      <w:r>
        <w:rPr/>
        <w:t>NKC</w:t>
      </w:r>
      <w:r>
        <w:rPr>
          <w:spacing w:val="40"/>
        </w:rPr>
        <w:t> </w:t>
      </w:r>
      <w:r>
        <w:rPr/>
        <w:t>proposes the creation of a model Library Charter, a list of services to be performed by libraries, a Library Network and a National Repository for</w:t>
      </w:r>
      <w:r>
        <w:rPr>
          <w:spacing w:val="40"/>
        </w:rPr>
        <w:t> </w:t>
      </w:r>
      <w:r>
        <w:rPr/>
        <w:t>Bibliographic Records.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9"/>
        </w:numPr>
        <w:tabs>
          <w:tab w:pos="1391" w:val="left" w:leader="none"/>
          <w:tab w:pos="1393" w:val="left" w:leader="none"/>
        </w:tabs>
        <w:spacing w:line="182" w:lineRule="auto" w:before="129" w:after="0"/>
        <w:ind w:left="1393" w:right="377" w:hanging="314"/>
        <w:jc w:val="left"/>
      </w:pPr>
      <w:r>
        <w:rPr>
          <w:color w:val="2E614A"/>
          <w:w w:val="90"/>
        </w:rPr>
        <w:t>Encourage Greater </w:t>
      </w:r>
      <w:r>
        <w:rPr>
          <w:color w:val="2E614A"/>
          <w:w w:val="90"/>
        </w:rPr>
        <w:t>Community </w:t>
      </w:r>
      <w:r>
        <w:rPr>
          <w:color w:val="2E614A"/>
          <w:spacing w:val="-6"/>
        </w:rPr>
        <w:t>Participation</w:t>
      </w:r>
      <w:r>
        <w:rPr>
          <w:color w:val="2E614A"/>
          <w:spacing w:val="-11"/>
        </w:rPr>
        <w:t> </w:t>
      </w:r>
      <w:r>
        <w:rPr>
          <w:color w:val="2E614A"/>
          <w:spacing w:val="-6"/>
        </w:rPr>
        <w:t>in</w:t>
      </w:r>
      <w:r>
        <w:rPr>
          <w:color w:val="2E614A"/>
          <w:spacing w:val="-11"/>
        </w:rPr>
        <w:t> </w:t>
      </w:r>
      <w:r>
        <w:rPr>
          <w:color w:val="2E614A"/>
          <w:spacing w:val="-6"/>
        </w:rPr>
        <w:t>Library </w:t>
      </w:r>
      <w:r>
        <w:rPr>
          <w:color w:val="2E614A"/>
          <w:spacing w:val="-2"/>
        </w:rPr>
        <w:t>Management</w:t>
      </w:r>
    </w:p>
    <w:p>
      <w:pPr>
        <w:pStyle w:val="BodyText"/>
        <w:spacing w:line="266" w:lineRule="auto" w:before="302"/>
        <w:ind w:left="1079"/>
        <w:jc w:val="both"/>
      </w:pPr>
      <w:r>
        <w:rPr/>
        <w:t>It is necessary to involve different stakeholders </w:t>
      </w:r>
      <w:r>
        <w:rPr/>
        <w:t>and </w:t>
      </w:r>
      <w:r>
        <w:rPr>
          <w:spacing w:val="-2"/>
        </w:rPr>
        <w:t>user</w:t>
      </w:r>
      <w:r>
        <w:rPr>
          <w:spacing w:val="-12"/>
        </w:rPr>
        <w:t> </w:t>
      </w:r>
      <w:r>
        <w:rPr>
          <w:spacing w:val="-2"/>
        </w:rPr>
        <w:t>groups</w:t>
      </w:r>
      <w:r>
        <w:rPr>
          <w:spacing w:val="-12"/>
        </w:rPr>
        <w:t> </w:t>
      </w:r>
      <w:r>
        <w:rPr>
          <w:spacing w:val="-2"/>
        </w:rPr>
        <w:t>in</w:t>
      </w:r>
      <w:r>
        <w:rPr>
          <w:spacing w:val="-12"/>
        </w:rPr>
        <w:t> </w:t>
      </w:r>
      <w:r>
        <w:rPr>
          <w:spacing w:val="-2"/>
        </w:rPr>
        <w:t>the</w:t>
      </w:r>
      <w:r>
        <w:rPr>
          <w:spacing w:val="-11"/>
        </w:rPr>
        <w:t> </w:t>
      </w:r>
      <w:r>
        <w:rPr>
          <w:spacing w:val="-2"/>
        </w:rPr>
        <w:t>managerial</w:t>
      </w:r>
      <w:r>
        <w:rPr>
          <w:spacing w:val="-12"/>
        </w:rPr>
        <w:t> </w:t>
      </w:r>
      <w:r>
        <w:rPr>
          <w:spacing w:val="-2"/>
        </w:rPr>
        <w:t>decision-making</w:t>
      </w:r>
      <w:r>
        <w:rPr>
          <w:spacing w:val="-12"/>
        </w:rPr>
        <w:t> </w:t>
      </w:r>
      <w:r>
        <w:rPr>
          <w:spacing w:val="-2"/>
        </w:rPr>
        <w:t>process </w:t>
      </w:r>
      <w:r>
        <w:rPr/>
        <w:t>for</w:t>
      </w:r>
      <w:r>
        <w:rPr>
          <w:spacing w:val="-14"/>
        </w:rPr>
        <w:t> </w:t>
      </w:r>
      <w:r>
        <w:rPr/>
        <w:t>libraries.</w:t>
      </w:r>
      <w:r>
        <w:rPr>
          <w:spacing w:val="-14"/>
        </w:rPr>
        <w:t> </w:t>
      </w:r>
      <w:r>
        <w:rPr/>
        <w:t>Public</w:t>
      </w:r>
      <w:r>
        <w:rPr>
          <w:spacing w:val="-14"/>
        </w:rPr>
        <w:t> </w:t>
      </w:r>
      <w:r>
        <w:rPr/>
        <w:t>libraries</w:t>
      </w:r>
      <w:r>
        <w:rPr>
          <w:spacing w:val="-13"/>
        </w:rPr>
        <w:t> </w:t>
      </w:r>
      <w:r>
        <w:rPr/>
        <w:t>must</w:t>
      </w:r>
      <w:r>
        <w:rPr>
          <w:spacing w:val="-14"/>
        </w:rPr>
        <w:t> </w:t>
      </w:r>
      <w:r>
        <w:rPr/>
        <w:t>be</w:t>
      </w:r>
      <w:r>
        <w:rPr>
          <w:spacing w:val="-14"/>
        </w:rPr>
        <w:t> </w:t>
      </w:r>
      <w:r>
        <w:rPr/>
        <w:t>run</w:t>
      </w:r>
      <w:r>
        <w:rPr>
          <w:spacing w:val="-13"/>
        </w:rPr>
        <w:t> </w:t>
      </w:r>
      <w:r>
        <w:rPr/>
        <w:t>by</w:t>
      </w:r>
      <w:r>
        <w:rPr>
          <w:spacing w:val="-14"/>
        </w:rPr>
        <w:t> </w:t>
      </w:r>
      <w:r>
        <w:rPr/>
        <w:t>local</w:t>
      </w:r>
      <w:r>
        <w:rPr>
          <w:spacing w:val="-13"/>
        </w:rPr>
        <w:t> </w:t>
      </w:r>
      <w:r>
        <w:rPr/>
        <w:t>self- government through committees representing users of the library. These committees should ensure local community involvement and should be autonomous enough to take independent decisions to conduct cultural</w:t>
      </w:r>
      <w:r>
        <w:rPr>
          <w:spacing w:val="-8"/>
        </w:rPr>
        <w:t> </w:t>
      </w:r>
      <w:r>
        <w:rPr/>
        <w:t>and</w:t>
      </w:r>
      <w:r>
        <w:rPr>
          <w:spacing w:val="-8"/>
        </w:rPr>
        <w:t> </w:t>
      </w:r>
      <w:r>
        <w:rPr/>
        <w:t>educational</w:t>
      </w:r>
      <w:r>
        <w:rPr>
          <w:spacing w:val="-8"/>
        </w:rPr>
        <w:t> </w:t>
      </w:r>
      <w:r>
        <w:rPr/>
        <w:t>community-based</w:t>
      </w:r>
      <w:r>
        <w:rPr>
          <w:spacing w:val="-8"/>
        </w:rPr>
        <w:t> </w:t>
      </w:r>
      <w:r>
        <w:rPr/>
        <w:t>programs. </w:t>
      </w:r>
      <w:r>
        <w:rPr>
          <w:spacing w:val="-8"/>
        </w:rPr>
        <w:t>Libraries</w:t>
      </w:r>
      <w:r>
        <w:rPr>
          <w:spacing w:val="-4"/>
        </w:rPr>
        <w:t> </w:t>
      </w:r>
      <w:r>
        <w:rPr>
          <w:spacing w:val="-8"/>
        </w:rPr>
        <w:t>should</w:t>
      </w:r>
      <w:r>
        <w:rPr>
          <w:spacing w:val="-4"/>
        </w:rPr>
        <w:t> </w:t>
      </w:r>
      <w:r>
        <w:rPr>
          <w:spacing w:val="-8"/>
        </w:rPr>
        <w:t>integrate</w:t>
      </w:r>
      <w:r>
        <w:rPr>
          <w:spacing w:val="-4"/>
        </w:rPr>
        <w:t> </w:t>
      </w:r>
      <w:r>
        <w:rPr>
          <w:spacing w:val="-8"/>
        </w:rPr>
        <w:t>with</w:t>
      </w:r>
      <w:r>
        <w:rPr>
          <w:spacing w:val="-4"/>
        </w:rPr>
        <w:t> </w:t>
      </w:r>
      <w:r>
        <w:rPr>
          <w:spacing w:val="-8"/>
        </w:rPr>
        <w:t>all</w:t>
      </w:r>
      <w:r>
        <w:rPr>
          <w:spacing w:val="-4"/>
        </w:rPr>
        <w:t> </w:t>
      </w:r>
      <w:r>
        <w:rPr>
          <w:spacing w:val="-8"/>
        </w:rPr>
        <w:t>other</w:t>
      </w:r>
      <w:r>
        <w:rPr>
          <w:spacing w:val="-4"/>
        </w:rPr>
        <w:t> </w:t>
      </w:r>
      <w:r>
        <w:rPr>
          <w:spacing w:val="-8"/>
        </w:rPr>
        <w:t>knowledge-based </w:t>
      </w:r>
      <w:r>
        <w:rPr>
          <w:spacing w:val="-6"/>
        </w:rPr>
        <w:t>activities</w:t>
      </w:r>
      <w:r>
        <w:rPr>
          <w:spacing w:val="-8"/>
        </w:rPr>
        <w:t> </w:t>
      </w:r>
      <w:r>
        <w:rPr>
          <w:spacing w:val="-6"/>
        </w:rPr>
        <w:t>in</w:t>
      </w:r>
      <w:r>
        <w:rPr>
          <w:spacing w:val="-8"/>
        </w:rPr>
        <w:t> </w:t>
      </w:r>
      <w:r>
        <w:rPr>
          <w:spacing w:val="-6"/>
        </w:rPr>
        <w:t>the</w:t>
      </w:r>
      <w:r>
        <w:rPr>
          <w:spacing w:val="-8"/>
        </w:rPr>
        <w:t> </w:t>
      </w:r>
      <w:r>
        <w:rPr>
          <w:spacing w:val="-6"/>
        </w:rPr>
        <w:t>local</w:t>
      </w:r>
      <w:r>
        <w:rPr>
          <w:spacing w:val="-7"/>
        </w:rPr>
        <w:t> </w:t>
      </w:r>
      <w:r>
        <w:rPr>
          <w:spacing w:val="-6"/>
        </w:rPr>
        <w:t>area</w:t>
      </w:r>
      <w:r>
        <w:rPr>
          <w:spacing w:val="-8"/>
        </w:rPr>
        <w:t> </w:t>
      </w:r>
      <w:r>
        <w:rPr>
          <w:spacing w:val="-6"/>
        </w:rPr>
        <w:t>to</w:t>
      </w:r>
      <w:r>
        <w:rPr>
          <w:spacing w:val="-8"/>
        </w:rPr>
        <w:t> </w:t>
      </w:r>
      <w:r>
        <w:rPr>
          <w:spacing w:val="-6"/>
        </w:rPr>
        <w:t>develop</w:t>
      </w:r>
      <w:r>
        <w:rPr>
          <w:spacing w:val="-8"/>
        </w:rPr>
        <w:t> </w:t>
      </w:r>
      <w:r>
        <w:rPr>
          <w:spacing w:val="-6"/>
        </w:rPr>
        <w:t>a</w:t>
      </w:r>
      <w:r>
        <w:rPr>
          <w:spacing w:val="-7"/>
        </w:rPr>
        <w:t> </w:t>
      </w:r>
      <w:r>
        <w:rPr>
          <w:spacing w:val="-6"/>
        </w:rPr>
        <w:t>community-based information system. In the rural sector, the responsibility </w:t>
      </w:r>
      <w:r>
        <w:rPr>
          <w:spacing w:val="-2"/>
        </w:rPr>
        <w:t>for</w:t>
      </w:r>
      <w:r>
        <w:rPr>
          <w:spacing w:val="-12"/>
        </w:rPr>
        <w:t> </w:t>
      </w:r>
      <w:r>
        <w:rPr>
          <w:spacing w:val="-2"/>
        </w:rPr>
        <w:t>village</w:t>
      </w:r>
      <w:r>
        <w:rPr>
          <w:spacing w:val="-12"/>
        </w:rPr>
        <w:t> </w:t>
      </w:r>
      <w:r>
        <w:rPr>
          <w:spacing w:val="-2"/>
        </w:rPr>
        <w:t>libraries</w:t>
      </w:r>
      <w:r>
        <w:rPr>
          <w:spacing w:val="-12"/>
        </w:rPr>
        <w:t> </w:t>
      </w:r>
      <w:r>
        <w:rPr>
          <w:spacing w:val="-2"/>
        </w:rPr>
        <w:t>or</w:t>
      </w:r>
      <w:r>
        <w:rPr>
          <w:spacing w:val="-11"/>
        </w:rPr>
        <w:t> </w:t>
      </w:r>
      <w:r>
        <w:rPr>
          <w:spacing w:val="-2"/>
        </w:rPr>
        <w:t>Community</w:t>
      </w:r>
      <w:r>
        <w:rPr>
          <w:spacing w:val="-12"/>
        </w:rPr>
        <w:t> </w:t>
      </w:r>
      <w:r>
        <w:rPr>
          <w:spacing w:val="-2"/>
        </w:rPr>
        <w:t>Knowledge</w:t>
      </w:r>
      <w:r>
        <w:rPr>
          <w:spacing w:val="-12"/>
        </w:rPr>
        <w:t> </w:t>
      </w:r>
      <w:r>
        <w:rPr>
          <w:spacing w:val="-2"/>
        </w:rPr>
        <w:t>Centres must</w:t>
      </w:r>
      <w:r>
        <w:rPr>
          <w:spacing w:val="-12"/>
        </w:rPr>
        <w:t> </w:t>
      </w:r>
      <w:r>
        <w:rPr>
          <w:spacing w:val="-2"/>
        </w:rPr>
        <w:t>lie</w:t>
      </w:r>
      <w:r>
        <w:rPr>
          <w:spacing w:val="-12"/>
        </w:rPr>
        <w:t> </w:t>
      </w:r>
      <w:r>
        <w:rPr>
          <w:spacing w:val="-2"/>
        </w:rPr>
        <w:t>with</w:t>
      </w:r>
      <w:r>
        <w:rPr>
          <w:spacing w:val="-12"/>
        </w:rPr>
        <w:t> </w:t>
      </w:r>
      <w:r>
        <w:rPr>
          <w:spacing w:val="-2"/>
        </w:rPr>
        <w:t>the</w:t>
      </w:r>
      <w:r>
        <w:rPr>
          <w:spacing w:val="-11"/>
        </w:rPr>
        <w:t> </w:t>
      </w:r>
      <w:r>
        <w:rPr>
          <w:spacing w:val="-2"/>
        </w:rPr>
        <w:t>Panchayats.</w:t>
      </w:r>
      <w:r>
        <w:rPr>
          <w:spacing w:val="-12"/>
        </w:rPr>
        <w:t> </w:t>
      </w:r>
      <w:r>
        <w:rPr>
          <w:spacing w:val="-2"/>
        </w:rPr>
        <w:t>These</w:t>
      </w:r>
      <w:r>
        <w:rPr>
          <w:spacing w:val="-12"/>
        </w:rPr>
        <w:t> </w:t>
      </w:r>
      <w:r>
        <w:rPr>
          <w:spacing w:val="-2"/>
        </w:rPr>
        <w:t>should</w:t>
      </w:r>
      <w:r>
        <w:rPr>
          <w:spacing w:val="-11"/>
        </w:rPr>
        <w:t> </w:t>
      </w:r>
      <w:r>
        <w:rPr>
          <w:spacing w:val="-2"/>
        </w:rPr>
        <w:t>be</w:t>
      </w:r>
      <w:r>
        <w:rPr>
          <w:spacing w:val="-11"/>
        </w:rPr>
        <w:t> </w:t>
      </w:r>
      <w:r>
        <w:rPr>
          <w:spacing w:val="-2"/>
        </w:rPr>
        <w:t>set</w:t>
      </w:r>
      <w:r>
        <w:rPr>
          <w:spacing w:val="-11"/>
        </w:rPr>
        <w:t> </w:t>
      </w:r>
      <w:r>
        <w:rPr>
          <w:spacing w:val="-2"/>
        </w:rPr>
        <w:t>up</w:t>
      </w:r>
      <w:r>
        <w:rPr>
          <w:spacing w:val="-11"/>
        </w:rPr>
        <w:t> </w:t>
      </w:r>
      <w:r>
        <w:rPr>
          <w:spacing w:val="-2"/>
        </w:rPr>
        <w:t>in close</w:t>
      </w:r>
      <w:r>
        <w:rPr>
          <w:spacing w:val="-12"/>
        </w:rPr>
        <w:t> </w:t>
      </w:r>
      <w:r>
        <w:rPr>
          <w:spacing w:val="-2"/>
        </w:rPr>
        <w:t>proximity</w:t>
      </w:r>
      <w:r>
        <w:rPr>
          <w:spacing w:val="-12"/>
        </w:rPr>
        <w:t> </w:t>
      </w:r>
      <w:r>
        <w:rPr>
          <w:spacing w:val="-2"/>
        </w:rPr>
        <w:t>or</w:t>
      </w:r>
      <w:r>
        <w:rPr>
          <w:spacing w:val="-12"/>
        </w:rPr>
        <w:t> </w:t>
      </w:r>
      <w:r>
        <w:rPr>
          <w:spacing w:val="-2"/>
        </w:rPr>
        <w:t>on</w:t>
      </w:r>
      <w:r>
        <w:rPr>
          <w:spacing w:val="-11"/>
        </w:rPr>
        <w:t> </w:t>
      </w:r>
      <w:r>
        <w:rPr>
          <w:spacing w:val="-2"/>
        </w:rPr>
        <w:t>the</w:t>
      </w:r>
      <w:r>
        <w:rPr>
          <w:spacing w:val="-12"/>
        </w:rPr>
        <w:t> </w:t>
      </w:r>
      <w:r>
        <w:rPr>
          <w:spacing w:val="-2"/>
        </w:rPr>
        <w:t>premises</w:t>
      </w:r>
      <w:r>
        <w:rPr>
          <w:spacing w:val="-12"/>
        </w:rPr>
        <w:t> </w:t>
      </w:r>
      <w:r>
        <w:rPr>
          <w:spacing w:val="-2"/>
        </w:rPr>
        <w:t>of</w:t>
      </w:r>
      <w:r>
        <w:rPr>
          <w:spacing w:val="-12"/>
        </w:rPr>
        <w:t> </w:t>
      </w:r>
      <w:r>
        <w:rPr>
          <w:spacing w:val="-2"/>
        </w:rPr>
        <w:t>schools.</w:t>
      </w:r>
    </w:p>
    <w:p>
      <w:pPr>
        <w:pStyle w:val="Heading6"/>
        <w:numPr>
          <w:ilvl w:val="0"/>
          <w:numId w:val="9"/>
        </w:numPr>
        <w:tabs>
          <w:tab w:pos="1394" w:val="left" w:leader="none"/>
          <w:tab w:pos="1396" w:val="left" w:leader="none"/>
        </w:tabs>
        <w:spacing w:line="182" w:lineRule="auto" w:before="247" w:after="0"/>
        <w:ind w:left="1396" w:right="81" w:hanging="317"/>
        <w:jc w:val="left"/>
      </w:pPr>
      <w:r>
        <w:rPr>
          <w:color w:val="2E614A"/>
          <w:spacing w:val="-4"/>
        </w:rPr>
        <w:t>Promote</w:t>
      </w:r>
      <w:r>
        <w:rPr>
          <w:color w:val="2E614A"/>
          <w:spacing w:val="-16"/>
        </w:rPr>
        <w:t> </w:t>
      </w:r>
      <w:r>
        <w:rPr>
          <w:color w:val="2E614A"/>
          <w:spacing w:val="-4"/>
        </w:rPr>
        <w:t>Information </w:t>
      </w:r>
      <w:r>
        <w:rPr>
          <w:color w:val="2E614A"/>
          <w:spacing w:val="-6"/>
        </w:rPr>
        <w:t>Communication Technology </w:t>
      </w:r>
      <w:r>
        <w:rPr>
          <w:color w:val="2E614A"/>
          <w:w w:val="90"/>
        </w:rPr>
        <w:t>(ICT)</w:t>
      </w:r>
      <w:r>
        <w:rPr>
          <w:color w:val="2E614A"/>
          <w:spacing w:val="-12"/>
          <w:w w:val="90"/>
        </w:rPr>
        <w:t> </w:t>
      </w:r>
      <w:r>
        <w:rPr>
          <w:color w:val="2E614A"/>
          <w:w w:val="90"/>
        </w:rPr>
        <w:t>Applications</w:t>
      </w:r>
      <w:r>
        <w:rPr>
          <w:color w:val="2E614A"/>
          <w:spacing w:val="-12"/>
          <w:w w:val="90"/>
        </w:rPr>
        <w:t> </w:t>
      </w:r>
      <w:r>
        <w:rPr>
          <w:color w:val="2E614A"/>
          <w:w w:val="90"/>
        </w:rPr>
        <w:t>in</w:t>
      </w:r>
      <w:r>
        <w:rPr>
          <w:color w:val="2E614A"/>
          <w:spacing w:val="-12"/>
          <w:w w:val="90"/>
        </w:rPr>
        <w:t> </w:t>
      </w:r>
      <w:r>
        <w:rPr>
          <w:color w:val="2E614A"/>
          <w:w w:val="90"/>
        </w:rPr>
        <w:t>All</w:t>
      </w:r>
      <w:r>
        <w:rPr>
          <w:color w:val="2E614A"/>
          <w:spacing w:val="-12"/>
          <w:w w:val="90"/>
        </w:rPr>
        <w:t> </w:t>
      </w:r>
      <w:r>
        <w:rPr>
          <w:color w:val="2E614A"/>
          <w:w w:val="90"/>
        </w:rPr>
        <w:t>Libraries</w:t>
      </w:r>
    </w:p>
    <w:p>
      <w:pPr>
        <w:pStyle w:val="BodyText"/>
        <w:spacing w:line="266" w:lineRule="auto" w:before="303"/>
        <w:ind w:left="1079"/>
        <w:jc w:val="both"/>
      </w:pPr>
      <w:r>
        <w:rPr/>
        <w:t>The</w:t>
      </w:r>
      <w:r>
        <w:rPr>
          <w:spacing w:val="-2"/>
        </w:rPr>
        <w:t> </w:t>
      </w:r>
      <w:r>
        <w:rPr/>
        <w:t>catalogues</w:t>
      </w:r>
      <w:r>
        <w:rPr>
          <w:spacing w:val="-2"/>
        </w:rPr>
        <w:t> </w:t>
      </w:r>
      <w:r>
        <w:rPr/>
        <w:t>of</w:t>
      </w:r>
      <w:r>
        <w:rPr>
          <w:spacing w:val="-2"/>
        </w:rPr>
        <w:t> </w:t>
      </w:r>
      <w:r>
        <w:rPr/>
        <w:t>all</w:t>
      </w:r>
      <w:r>
        <w:rPr>
          <w:spacing w:val="-2"/>
        </w:rPr>
        <w:t> </w:t>
      </w:r>
      <w:r>
        <w:rPr/>
        <w:t>libraries</w:t>
      </w:r>
      <w:r>
        <w:rPr>
          <w:spacing w:val="-2"/>
        </w:rPr>
        <w:t> </w:t>
      </w:r>
      <w:r>
        <w:rPr/>
        <w:t>should</w:t>
      </w:r>
      <w:r>
        <w:rPr>
          <w:spacing w:val="-2"/>
        </w:rPr>
        <w:t> </w:t>
      </w:r>
      <w:r>
        <w:rPr/>
        <w:t>be</w:t>
      </w:r>
      <w:r>
        <w:rPr>
          <w:spacing w:val="-2"/>
        </w:rPr>
        <w:t> </w:t>
      </w:r>
      <w:r>
        <w:rPr/>
        <w:t>put</w:t>
      </w:r>
      <w:r>
        <w:rPr>
          <w:spacing w:val="-2"/>
        </w:rPr>
        <w:t> </w:t>
      </w:r>
      <w:r>
        <w:rPr/>
        <w:t>on</w:t>
      </w:r>
      <w:r>
        <w:rPr>
          <w:spacing w:val="-2"/>
        </w:rPr>
        <w:t> </w:t>
      </w:r>
      <w:r>
        <w:rPr/>
        <w:t>local, state and national websites with necessary linkages. This will enable networking of different types of libraries and setting up of a National Repository of Bibliographic</w:t>
      </w:r>
      <w:r>
        <w:rPr>
          <w:spacing w:val="-14"/>
        </w:rPr>
        <w:t> </w:t>
      </w:r>
      <w:r>
        <w:rPr/>
        <w:t>Records</w:t>
      </w:r>
      <w:r>
        <w:rPr>
          <w:spacing w:val="-14"/>
        </w:rPr>
        <w:t> </w:t>
      </w:r>
      <w:r>
        <w:rPr/>
        <w:t>and</w:t>
      </w:r>
      <w:r>
        <w:rPr>
          <w:spacing w:val="-13"/>
        </w:rPr>
        <w:t> </w:t>
      </w:r>
      <w:r>
        <w:rPr/>
        <w:t>a</w:t>
      </w:r>
      <w:r>
        <w:rPr>
          <w:spacing w:val="-14"/>
        </w:rPr>
        <w:t> </w:t>
      </w:r>
      <w:r>
        <w:rPr/>
        <w:t>centralised</w:t>
      </w:r>
      <w:r>
        <w:rPr>
          <w:spacing w:val="-14"/>
        </w:rPr>
        <w:t> </w:t>
      </w:r>
      <w:r>
        <w:rPr/>
        <w:t>collaborative virtual enquiry-handling system using the latest ICT. </w:t>
      </w:r>
      <w:r>
        <w:rPr>
          <w:spacing w:val="-2"/>
        </w:rPr>
        <w:t>To</w:t>
      </w:r>
      <w:r>
        <w:rPr>
          <w:spacing w:val="-12"/>
        </w:rPr>
        <w:t> </w:t>
      </w:r>
      <w:r>
        <w:rPr>
          <w:spacing w:val="-2"/>
        </w:rPr>
        <w:t>enable</w:t>
      </w:r>
      <w:r>
        <w:rPr>
          <w:spacing w:val="-12"/>
        </w:rPr>
        <w:t> </w:t>
      </w:r>
      <w:r>
        <w:rPr>
          <w:spacing w:val="-2"/>
        </w:rPr>
        <w:t>equitable</w:t>
      </w:r>
      <w:r>
        <w:rPr>
          <w:spacing w:val="-12"/>
        </w:rPr>
        <w:t> </w:t>
      </w:r>
      <w:r>
        <w:rPr>
          <w:spacing w:val="-2"/>
        </w:rPr>
        <w:t>and</w:t>
      </w:r>
      <w:r>
        <w:rPr>
          <w:spacing w:val="-11"/>
        </w:rPr>
        <w:t> </w:t>
      </w:r>
      <w:r>
        <w:rPr>
          <w:spacing w:val="-2"/>
        </w:rPr>
        <w:t>universal</w:t>
      </w:r>
      <w:r>
        <w:rPr>
          <w:spacing w:val="-12"/>
        </w:rPr>
        <w:t> </w:t>
      </w:r>
      <w:r>
        <w:rPr>
          <w:spacing w:val="-2"/>
        </w:rPr>
        <w:t>access</w:t>
      </w:r>
      <w:r>
        <w:rPr>
          <w:spacing w:val="-12"/>
        </w:rPr>
        <w:t> </w:t>
      </w:r>
      <w:r>
        <w:rPr>
          <w:spacing w:val="-2"/>
        </w:rPr>
        <w:t>to</w:t>
      </w:r>
      <w:r>
        <w:rPr>
          <w:spacing w:val="-12"/>
        </w:rPr>
        <w:t> </w:t>
      </w:r>
      <w:r>
        <w:rPr>
          <w:spacing w:val="-2"/>
        </w:rPr>
        <w:t>knowledge </w:t>
      </w:r>
      <w:r>
        <w:rPr>
          <w:spacing w:val="-4"/>
        </w:rPr>
        <w:t>resources,</w:t>
      </w:r>
      <w:r>
        <w:rPr>
          <w:spacing w:val="-10"/>
        </w:rPr>
        <w:t> </w:t>
      </w:r>
      <w:r>
        <w:rPr>
          <w:spacing w:val="-4"/>
        </w:rPr>
        <w:t>libraries</w:t>
      </w:r>
      <w:r>
        <w:rPr>
          <w:spacing w:val="-10"/>
        </w:rPr>
        <w:t> </w:t>
      </w:r>
      <w:r>
        <w:rPr>
          <w:spacing w:val="-4"/>
        </w:rPr>
        <w:t>should</w:t>
      </w:r>
      <w:r>
        <w:rPr>
          <w:spacing w:val="-10"/>
        </w:rPr>
        <w:t> </w:t>
      </w:r>
      <w:r>
        <w:rPr>
          <w:spacing w:val="-4"/>
        </w:rPr>
        <w:t>be</w:t>
      </w:r>
      <w:r>
        <w:rPr>
          <w:spacing w:val="-9"/>
        </w:rPr>
        <w:t> </w:t>
      </w:r>
      <w:r>
        <w:rPr>
          <w:spacing w:val="-4"/>
        </w:rPr>
        <w:t>encouraged</w:t>
      </w:r>
      <w:r>
        <w:rPr>
          <w:spacing w:val="-10"/>
        </w:rPr>
        <w:t> </w:t>
      </w:r>
      <w:r>
        <w:rPr>
          <w:spacing w:val="-4"/>
        </w:rPr>
        <w:t>to</w:t>
      </w:r>
      <w:r>
        <w:rPr>
          <w:spacing w:val="-10"/>
        </w:rPr>
        <w:t> </w:t>
      </w:r>
      <w:r>
        <w:rPr>
          <w:spacing w:val="-4"/>
        </w:rPr>
        <w:t>create</w:t>
      </w:r>
      <w:r>
        <w:rPr>
          <w:spacing w:val="-10"/>
        </w:rPr>
        <w:t> </w:t>
      </w:r>
      <w:r>
        <w:rPr>
          <w:spacing w:val="-4"/>
        </w:rPr>
        <w:t>more digital resources by digitising relevant reading material in</w:t>
      </w:r>
      <w:r>
        <w:rPr>
          <w:spacing w:val="-9"/>
        </w:rPr>
        <w:t> </w:t>
      </w:r>
      <w:r>
        <w:rPr>
          <w:spacing w:val="-4"/>
        </w:rPr>
        <w:t>different</w:t>
      </w:r>
      <w:r>
        <w:rPr>
          <w:spacing w:val="-9"/>
        </w:rPr>
        <w:t> </w:t>
      </w:r>
      <w:r>
        <w:rPr>
          <w:spacing w:val="-4"/>
        </w:rPr>
        <w:t>languages,</w:t>
      </w:r>
      <w:r>
        <w:rPr>
          <w:spacing w:val="-9"/>
        </w:rPr>
        <w:t> </w:t>
      </w:r>
      <w:r>
        <w:rPr>
          <w:spacing w:val="-4"/>
        </w:rPr>
        <w:t>which</w:t>
      </w:r>
      <w:r>
        <w:rPr>
          <w:spacing w:val="-9"/>
        </w:rPr>
        <w:t> </w:t>
      </w:r>
      <w:r>
        <w:rPr>
          <w:spacing w:val="-4"/>
        </w:rPr>
        <w:t>can</w:t>
      </w:r>
      <w:r>
        <w:rPr>
          <w:spacing w:val="-9"/>
        </w:rPr>
        <w:t> </w:t>
      </w:r>
      <w:r>
        <w:rPr>
          <w:spacing w:val="-4"/>
        </w:rPr>
        <w:t>be</w:t>
      </w:r>
      <w:r>
        <w:rPr>
          <w:spacing w:val="-9"/>
        </w:rPr>
        <w:t> </w:t>
      </w:r>
      <w:r>
        <w:rPr>
          <w:spacing w:val="-4"/>
        </w:rPr>
        <w:t>shared</w:t>
      </w:r>
      <w:r>
        <w:rPr>
          <w:spacing w:val="-9"/>
        </w:rPr>
        <w:t> </w:t>
      </w:r>
      <w:r>
        <w:rPr>
          <w:spacing w:val="-4"/>
        </w:rPr>
        <w:t>at</w:t>
      </w:r>
      <w:r>
        <w:rPr>
          <w:spacing w:val="-9"/>
        </w:rPr>
        <w:t> </w:t>
      </w:r>
      <w:r>
        <w:rPr>
          <w:spacing w:val="-4"/>
        </w:rPr>
        <w:t>all</w:t>
      </w:r>
      <w:r>
        <w:rPr>
          <w:spacing w:val="-9"/>
        </w:rPr>
        <w:t> </w:t>
      </w:r>
      <w:r>
        <w:rPr>
          <w:spacing w:val="-4"/>
        </w:rPr>
        <w:t>levels. </w:t>
      </w:r>
      <w:r>
        <w:rPr>
          <w:spacing w:val="-2"/>
        </w:rPr>
        <w:t>Peer-reviewed</w:t>
      </w:r>
      <w:r>
        <w:rPr>
          <w:spacing w:val="-4"/>
        </w:rPr>
        <w:t> </w:t>
      </w:r>
      <w:r>
        <w:rPr>
          <w:spacing w:val="-2"/>
        </w:rPr>
        <w:t>research</w:t>
      </w:r>
      <w:r>
        <w:rPr>
          <w:spacing w:val="-4"/>
        </w:rPr>
        <w:t> </w:t>
      </w:r>
      <w:r>
        <w:rPr>
          <w:spacing w:val="-2"/>
        </w:rPr>
        <w:t>papers</w:t>
      </w:r>
      <w:r>
        <w:rPr>
          <w:spacing w:val="-5"/>
        </w:rPr>
        <w:t> </w:t>
      </w:r>
      <w:r>
        <w:rPr>
          <w:spacing w:val="-2"/>
        </w:rPr>
        <w:t>resulting</w:t>
      </w:r>
      <w:r>
        <w:rPr>
          <w:spacing w:val="-4"/>
        </w:rPr>
        <w:t> </w:t>
      </w:r>
      <w:r>
        <w:rPr>
          <w:spacing w:val="-2"/>
        </w:rPr>
        <w:t>from</w:t>
      </w:r>
      <w:r>
        <w:rPr>
          <w:spacing w:val="-4"/>
        </w:rPr>
        <w:t> </w:t>
      </w:r>
      <w:r>
        <w:rPr>
          <w:spacing w:val="-2"/>
        </w:rPr>
        <w:t>publicly funded</w:t>
      </w:r>
      <w:r>
        <w:rPr>
          <w:spacing w:val="-12"/>
        </w:rPr>
        <w:t> </w:t>
      </w:r>
      <w:r>
        <w:rPr>
          <w:spacing w:val="-2"/>
        </w:rPr>
        <w:t>research</w:t>
      </w:r>
      <w:r>
        <w:rPr>
          <w:spacing w:val="-12"/>
        </w:rPr>
        <w:t> </w:t>
      </w:r>
      <w:r>
        <w:rPr>
          <w:spacing w:val="-2"/>
        </w:rPr>
        <w:t>should</w:t>
      </w:r>
      <w:r>
        <w:rPr>
          <w:spacing w:val="-12"/>
        </w:rPr>
        <w:t> </w:t>
      </w:r>
      <w:r>
        <w:rPr>
          <w:spacing w:val="-2"/>
        </w:rPr>
        <w:t>also</w:t>
      </w:r>
      <w:r>
        <w:rPr>
          <w:spacing w:val="-11"/>
        </w:rPr>
        <w:t> </w:t>
      </w:r>
      <w:r>
        <w:rPr>
          <w:spacing w:val="-2"/>
        </w:rPr>
        <w:t>be</w:t>
      </w:r>
      <w:r>
        <w:rPr>
          <w:spacing w:val="-12"/>
        </w:rPr>
        <w:t> </w:t>
      </w:r>
      <w:r>
        <w:rPr>
          <w:spacing w:val="-2"/>
        </w:rPr>
        <w:t>made</w:t>
      </w:r>
      <w:r>
        <w:rPr>
          <w:spacing w:val="-12"/>
        </w:rPr>
        <w:t> </w:t>
      </w:r>
      <w:r>
        <w:rPr>
          <w:spacing w:val="-2"/>
        </w:rPr>
        <w:t>available</w:t>
      </w:r>
      <w:r>
        <w:rPr>
          <w:spacing w:val="-12"/>
        </w:rPr>
        <w:t> </w:t>
      </w:r>
      <w:r>
        <w:rPr>
          <w:spacing w:val="-2"/>
        </w:rPr>
        <w:t>through open</w:t>
      </w:r>
      <w:r>
        <w:rPr>
          <w:spacing w:val="-11"/>
        </w:rPr>
        <w:t> </w:t>
      </w:r>
      <w:r>
        <w:rPr>
          <w:spacing w:val="-2"/>
        </w:rPr>
        <w:t>access</w:t>
      </w:r>
      <w:r>
        <w:rPr>
          <w:spacing w:val="-11"/>
        </w:rPr>
        <w:t> </w:t>
      </w:r>
      <w:r>
        <w:rPr>
          <w:spacing w:val="-2"/>
        </w:rPr>
        <w:t>channels,</w:t>
      </w:r>
      <w:r>
        <w:rPr>
          <w:spacing w:val="-11"/>
        </w:rPr>
        <w:t> </w:t>
      </w:r>
      <w:r>
        <w:rPr>
          <w:spacing w:val="-2"/>
        </w:rPr>
        <w:t>subject</w:t>
      </w:r>
      <w:r>
        <w:rPr>
          <w:spacing w:val="-11"/>
        </w:rPr>
        <w:t> </w:t>
      </w:r>
      <w:r>
        <w:rPr>
          <w:spacing w:val="-2"/>
        </w:rPr>
        <w:t>to</w:t>
      </w:r>
      <w:r>
        <w:rPr>
          <w:spacing w:val="-11"/>
        </w:rPr>
        <w:t> </w:t>
      </w:r>
      <w:r>
        <w:rPr>
          <w:spacing w:val="-2"/>
        </w:rPr>
        <w:t>copyright</w:t>
      </w:r>
      <w:r>
        <w:rPr>
          <w:spacing w:val="-11"/>
        </w:rPr>
        <w:t> </w:t>
      </w:r>
      <w:r>
        <w:rPr>
          <w:spacing w:val="-2"/>
        </w:rPr>
        <w:t>regulations. </w:t>
      </w:r>
      <w:r>
        <w:rPr/>
        <w:t>It is recommended that open standards and free and open</w:t>
      </w:r>
      <w:r>
        <w:rPr>
          <w:spacing w:val="-7"/>
        </w:rPr>
        <w:t> </w:t>
      </w:r>
      <w:r>
        <w:rPr/>
        <w:t>source</w:t>
      </w:r>
      <w:r>
        <w:rPr>
          <w:spacing w:val="-7"/>
        </w:rPr>
        <w:t> </w:t>
      </w:r>
      <w:r>
        <w:rPr/>
        <w:t>software</w:t>
      </w:r>
      <w:r>
        <w:rPr>
          <w:spacing w:val="-7"/>
        </w:rPr>
        <w:t> </w:t>
      </w:r>
      <w:r>
        <w:rPr/>
        <w:t>may</w:t>
      </w:r>
      <w:r>
        <w:rPr>
          <w:spacing w:val="-7"/>
        </w:rPr>
        <w:t> </w:t>
      </w:r>
      <w:r>
        <w:rPr/>
        <w:t>be</w:t>
      </w:r>
      <w:r>
        <w:rPr>
          <w:spacing w:val="-7"/>
        </w:rPr>
        <w:t> </w:t>
      </w:r>
      <w:r>
        <w:rPr/>
        <w:t>used</w:t>
      </w:r>
      <w:r>
        <w:rPr>
          <w:spacing w:val="-7"/>
        </w:rPr>
        <w:t> </w:t>
      </w:r>
      <w:r>
        <w:rPr/>
        <w:t>for</w:t>
      </w:r>
      <w:r>
        <w:rPr>
          <w:spacing w:val="-7"/>
        </w:rPr>
        <w:t> </w:t>
      </w:r>
      <w:r>
        <w:rPr/>
        <w:t>the</w:t>
      </w:r>
      <w:r>
        <w:rPr>
          <w:spacing w:val="-7"/>
        </w:rPr>
        <w:t> </w:t>
      </w:r>
      <w:r>
        <w:rPr/>
        <w:t>above.</w:t>
      </w:r>
    </w:p>
    <w:p>
      <w:pPr>
        <w:pStyle w:val="Heading6"/>
        <w:numPr>
          <w:ilvl w:val="0"/>
          <w:numId w:val="9"/>
        </w:numPr>
        <w:tabs>
          <w:tab w:pos="634" w:val="left" w:leader="none"/>
          <w:tab w:pos="636" w:val="left" w:leader="none"/>
        </w:tabs>
        <w:spacing w:line="182" w:lineRule="auto" w:before="129" w:after="0"/>
        <w:ind w:left="636" w:right="1101" w:hanging="317"/>
        <w:jc w:val="left"/>
      </w:pPr>
      <w:r>
        <w:rPr>
          <w:b w:val="0"/>
        </w:rPr>
        <w:br w:type="column"/>
      </w:r>
      <w:r>
        <w:rPr>
          <w:color w:val="2E614A"/>
          <w:spacing w:val="-4"/>
        </w:rPr>
        <w:t>Facilitate</w:t>
      </w:r>
      <w:r>
        <w:rPr>
          <w:color w:val="2E614A"/>
          <w:spacing w:val="-16"/>
        </w:rPr>
        <w:t> </w:t>
      </w:r>
      <w:r>
        <w:rPr>
          <w:color w:val="2E614A"/>
          <w:spacing w:val="-4"/>
        </w:rPr>
        <w:t>Donation</w:t>
      </w:r>
      <w:r>
        <w:rPr>
          <w:color w:val="2E614A"/>
          <w:spacing w:val="-16"/>
        </w:rPr>
        <w:t> </w:t>
      </w:r>
      <w:r>
        <w:rPr>
          <w:color w:val="2E614A"/>
          <w:spacing w:val="-4"/>
        </w:rPr>
        <w:t>and </w:t>
      </w:r>
      <w:r>
        <w:rPr>
          <w:color w:val="2E614A"/>
          <w:w w:val="90"/>
        </w:rPr>
        <w:t>Maintenance</w:t>
      </w:r>
      <w:r>
        <w:rPr>
          <w:color w:val="2E614A"/>
          <w:spacing w:val="-8"/>
          <w:w w:val="90"/>
        </w:rPr>
        <w:t> </w:t>
      </w:r>
      <w:r>
        <w:rPr>
          <w:color w:val="2E614A"/>
          <w:w w:val="90"/>
        </w:rPr>
        <w:t>of</w:t>
      </w:r>
      <w:r>
        <w:rPr>
          <w:color w:val="2E614A"/>
          <w:spacing w:val="-8"/>
          <w:w w:val="90"/>
        </w:rPr>
        <w:t> </w:t>
      </w:r>
      <w:r>
        <w:rPr>
          <w:color w:val="2E614A"/>
          <w:w w:val="90"/>
        </w:rPr>
        <w:t>Private</w:t>
      </w:r>
      <w:r>
        <w:rPr>
          <w:color w:val="2E614A"/>
          <w:spacing w:val="-8"/>
          <w:w w:val="90"/>
        </w:rPr>
        <w:t> </w:t>
      </w:r>
      <w:r>
        <w:rPr>
          <w:color w:val="2E614A"/>
          <w:spacing w:val="-2"/>
          <w:w w:val="90"/>
        </w:rPr>
        <w:t>Collections</w:t>
      </w:r>
    </w:p>
    <w:p>
      <w:pPr>
        <w:pStyle w:val="BodyText"/>
        <w:spacing w:line="266" w:lineRule="auto" w:before="302"/>
        <w:ind w:left="319" w:right="1077"/>
        <w:jc w:val="both"/>
      </w:pPr>
      <w:r>
        <w:rPr/>
        <w:t>There are numerous rich private and personal collections in India which need to be identified, </w:t>
      </w:r>
      <w:r>
        <w:rPr>
          <w:spacing w:val="-2"/>
        </w:rPr>
        <w:t>documented</w:t>
      </w:r>
      <w:r>
        <w:rPr>
          <w:spacing w:val="-12"/>
        </w:rPr>
        <w:t> </w:t>
      </w:r>
      <w:r>
        <w:rPr>
          <w:spacing w:val="-2"/>
        </w:rPr>
        <w:t>and</w:t>
      </w:r>
      <w:r>
        <w:rPr>
          <w:spacing w:val="-12"/>
        </w:rPr>
        <w:t> </w:t>
      </w:r>
      <w:r>
        <w:rPr>
          <w:spacing w:val="-2"/>
        </w:rPr>
        <w:t>preserved</w:t>
      </w:r>
      <w:r>
        <w:rPr>
          <w:spacing w:val="-12"/>
        </w:rPr>
        <w:t> </w:t>
      </w:r>
      <w:r>
        <w:rPr>
          <w:spacing w:val="-2"/>
        </w:rPr>
        <w:t>for</w:t>
      </w:r>
      <w:r>
        <w:rPr>
          <w:spacing w:val="-11"/>
        </w:rPr>
        <w:t> </w:t>
      </w:r>
      <w:r>
        <w:rPr>
          <w:spacing w:val="-2"/>
        </w:rPr>
        <w:t>posterity.</w:t>
      </w:r>
      <w:r>
        <w:rPr>
          <w:spacing w:val="-12"/>
        </w:rPr>
        <w:t> </w:t>
      </w:r>
      <w:r>
        <w:rPr>
          <w:spacing w:val="-2"/>
        </w:rPr>
        <w:t>While</w:t>
      </w:r>
      <w:r>
        <w:rPr>
          <w:spacing w:val="-12"/>
        </w:rPr>
        <w:t> </w:t>
      </w:r>
      <w:r>
        <w:rPr>
          <w:spacing w:val="-2"/>
        </w:rPr>
        <w:t>there</w:t>
      </w:r>
      <w:r>
        <w:rPr>
          <w:spacing w:val="-12"/>
        </w:rPr>
        <w:t> </w:t>
      </w:r>
      <w:r>
        <w:rPr>
          <w:spacing w:val="-2"/>
        </w:rPr>
        <w:t>is </w:t>
      </w:r>
      <w:r>
        <w:rPr>
          <w:w w:val="90"/>
        </w:rPr>
        <w:t>a</w:t>
      </w:r>
      <w:r>
        <w:rPr/>
        <w:t> </w:t>
      </w:r>
      <w:r>
        <w:rPr>
          <w:w w:val="90"/>
        </w:rPr>
        <w:t>need</w:t>
      </w:r>
      <w:r>
        <w:rPr/>
        <w:t> </w:t>
      </w:r>
      <w:r>
        <w:rPr>
          <w:w w:val="90"/>
        </w:rPr>
        <w:t>to</w:t>
      </w:r>
      <w:r>
        <w:rPr/>
        <w:t> </w:t>
      </w:r>
      <w:r>
        <w:rPr>
          <w:w w:val="90"/>
        </w:rPr>
        <w:t>create</w:t>
      </w:r>
      <w:r>
        <w:rPr/>
        <w:t> </w:t>
      </w:r>
      <w:r>
        <w:rPr>
          <w:w w:val="90"/>
        </w:rPr>
        <w:t>a</w:t>
      </w:r>
      <w:r>
        <w:rPr/>
        <w:t> </w:t>
      </w:r>
      <w:r>
        <w:rPr>
          <w:w w:val="90"/>
        </w:rPr>
        <w:t>decentralised</w:t>
      </w:r>
      <w:r>
        <w:rPr/>
        <w:t> </w:t>
      </w:r>
      <w:r>
        <w:rPr>
          <w:w w:val="90"/>
        </w:rPr>
        <w:t>model</w:t>
      </w:r>
      <w:r>
        <w:rPr/>
        <w:t> </w:t>
      </w:r>
      <w:r>
        <w:rPr>
          <w:w w:val="90"/>
        </w:rPr>
        <w:t>for</w:t>
      </w:r>
      <w:r>
        <w:rPr/>
        <w:t> </w:t>
      </w:r>
      <w:r>
        <w:rPr>
          <w:w w:val="90"/>
        </w:rPr>
        <w:t>identification</w:t>
      </w:r>
      <w:r>
        <w:rPr>
          <w:spacing w:val="80"/>
        </w:rPr>
        <w:t> </w:t>
      </w:r>
      <w:r>
        <w:rPr/>
        <w:t>of</w:t>
      </w:r>
      <w:r>
        <w:rPr>
          <w:spacing w:val="-14"/>
        </w:rPr>
        <w:t> </w:t>
      </w:r>
      <w:r>
        <w:rPr/>
        <w:t>personal</w:t>
      </w:r>
      <w:r>
        <w:rPr>
          <w:spacing w:val="-14"/>
        </w:rPr>
        <w:t> </w:t>
      </w:r>
      <w:r>
        <w:rPr/>
        <w:t>collections,</w:t>
      </w:r>
      <w:r>
        <w:rPr>
          <w:spacing w:val="-14"/>
        </w:rPr>
        <w:t> </w:t>
      </w:r>
      <w:r>
        <w:rPr/>
        <w:t>it</w:t>
      </w:r>
      <w:r>
        <w:rPr>
          <w:spacing w:val="-13"/>
        </w:rPr>
        <w:t> </w:t>
      </w:r>
      <w:r>
        <w:rPr/>
        <w:t>is</w:t>
      </w:r>
      <w:r>
        <w:rPr>
          <w:spacing w:val="-14"/>
        </w:rPr>
        <w:t> </w:t>
      </w:r>
      <w:r>
        <w:rPr/>
        <w:t>also</w:t>
      </w:r>
      <w:r>
        <w:rPr>
          <w:spacing w:val="-14"/>
        </w:rPr>
        <w:t> </w:t>
      </w:r>
      <w:r>
        <w:rPr/>
        <w:t>necessary</w:t>
      </w:r>
      <w:r>
        <w:rPr>
          <w:spacing w:val="-14"/>
        </w:rPr>
        <w:t> </w:t>
      </w:r>
      <w:r>
        <w:rPr/>
        <w:t>to</w:t>
      </w:r>
      <w:r>
        <w:rPr>
          <w:spacing w:val="-13"/>
        </w:rPr>
        <w:t> </w:t>
      </w:r>
      <w:r>
        <w:rPr/>
        <w:t>sensitise organisations to receive and preserve donations of personal collections through a simplified process. The</w:t>
      </w:r>
      <w:r>
        <w:rPr>
          <w:spacing w:val="80"/>
        </w:rPr>
        <w:t> </w:t>
      </w:r>
      <w:r>
        <w:rPr/>
        <w:t>National</w:t>
      </w:r>
      <w:r>
        <w:rPr>
          <w:spacing w:val="80"/>
        </w:rPr>
        <w:t> </w:t>
      </w:r>
      <w:r>
        <w:rPr/>
        <w:t>Mission/Commission</w:t>
      </w:r>
      <w:r>
        <w:rPr>
          <w:spacing w:val="80"/>
        </w:rPr>
        <w:t> </w:t>
      </w:r>
      <w:r>
        <w:rPr/>
        <w:t>may</w:t>
      </w:r>
      <w:r>
        <w:rPr>
          <w:spacing w:val="80"/>
        </w:rPr>
        <w:t> </w:t>
      </w:r>
      <w:r>
        <w:rPr/>
        <w:t>set</w:t>
      </w:r>
      <w:r>
        <w:rPr>
          <w:spacing w:val="80"/>
        </w:rPr>
        <w:t> </w:t>
      </w:r>
      <w:r>
        <w:rPr/>
        <w:t>up</w:t>
      </w:r>
      <w:r>
        <w:rPr>
          <w:spacing w:val="80"/>
          <w:w w:val="150"/>
        </w:rPr>
        <w:t> </w:t>
      </w:r>
      <w:r>
        <w:rPr/>
        <w:t>a committee on private and personal collections under the chairpersonship of an eminent scholar. Since special facilities for maintaining private or personal collections are not easily available, it is suggested that 10 regional centres with specific mandates be set up in different parts of the country for this purpose.</w:t>
      </w:r>
    </w:p>
    <w:p>
      <w:pPr>
        <w:pStyle w:val="Heading6"/>
        <w:numPr>
          <w:ilvl w:val="0"/>
          <w:numId w:val="9"/>
        </w:numPr>
        <w:tabs>
          <w:tab w:pos="794" w:val="left" w:leader="none"/>
          <w:tab w:pos="796" w:val="left" w:leader="none"/>
        </w:tabs>
        <w:spacing w:line="182" w:lineRule="auto" w:before="246" w:after="0"/>
        <w:ind w:left="796" w:right="1077" w:hanging="477"/>
        <w:jc w:val="left"/>
      </w:pPr>
      <w:r>
        <w:rPr>
          <w:color w:val="2E614A"/>
          <w:spacing w:val="-8"/>
        </w:rPr>
        <w:t>Encourage</w:t>
      </w:r>
      <w:r>
        <w:rPr>
          <w:color w:val="2E614A"/>
          <w:spacing w:val="-14"/>
        </w:rPr>
        <w:t> </w:t>
      </w:r>
      <w:r>
        <w:rPr>
          <w:color w:val="2E614A"/>
          <w:spacing w:val="-8"/>
        </w:rPr>
        <w:t>Public-Private </w:t>
      </w:r>
      <w:r>
        <w:rPr>
          <w:color w:val="2E614A"/>
          <w:spacing w:val="-14"/>
        </w:rPr>
        <w:t>Partnerships</w:t>
      </w:r>
      <w:r>
        <w:rPr>
          <w:color w:val="2E614A"/>
          <w:spacing w:val="-2"/>
        </w:rPr>
        <w:t> </w:t>
      </w:r>
      <w:r>
        <w:rPr>
          <w:color w:val="2E614A"/>
          <w:spacing w:val="-14"/>
        </w:rPr>
        <w:t>in</w:t>
      </w:r>
      <w:r>
        <w:rPr>
          <w:color w:val="2E614A"/>
          <w:spacing w:val="-2"/>
        </w:rPr>
        <w:t> </w:t>
      </w:r>
      <w:r>
        <w:rPr>
          <w:color w:val="2E614A"/>
          <w:spacing w:val="-14"/>
        </w:rPr>
        <w:t>LIS</w:t>
      </w:r>
      <w:r>
        <w:rPr>
          <w:color w:val="2E614A"/>
          <w:spacing w:val="-2"/>
        </w:rPr>
        <w:t> </w:t>
      </w:r>
      <w:r>
        <w:rPr>
          <w:color w:val="2E614A"/>
          <w:spacing w:val="-14"/>
        </w:rPr>
        <w:t>Development</w:t>
      </w:r>
    </w:p>
    <w:p>
      <w:pPr>
        <w:pStyle w:val="BodyText"/>
        <w:spacing w:line="266" w:lineRule="auto" w:before="303"/>
        <w:ind w:left="319" w:right="1077"/>
        <w:jc w:val="both"/>
      </w:pPr>
      <w:r>
        <w:rPr/>
        <w:t>Philanthropic organisations, industrial houses and other private agencies should be encouraged </w:t>
      </w:r>
      <w:r>
        <w:rPr/>
        <w:t>through fiscal</w:t>
      </w:r>
      <w:r>
        <w:rPr>
          <w:spacing w:val="-6"/>
        </w:rPr>
        <w:t> </w:t>
      </w:r>
      <w:r>
        <w:rPr/>
        <w:t>incentives</w:t>
      </w:r>
      <w:r>
        <w:rPr>
          <w:spacing w:val="-6"/>
        </w:rPr>
        <w:t> </w:t>
      </w:r>
      <w:r>
        <w:rPr/>
        <w:t>to</w:t>
      </w:r>
      <w:r>
        <w:rPr>
          <w:spacing w:val="-6"/>
        </w:rPr>
        <w:t> </w:t>
      </w:r>
      <w:r>
        <w:rPr/>
        <w:t>support</w:t>
      </w:r>
      <w:r>
        <w:rPr>
          <w:spacing w:val="-6"/>
        </w:rPr>
        <w:t> </w:t>
      </w:r>
      <w:r>
        <w:rPr/>
        <w:t>existing</w:t>
      </w:r>
      <w:r>
        <w:rPr>
          <w:spacing w:val="-6"/>
        </w:rPr>
        <w:t> </w:t>
      </w:r>
      <w:r>
        <w:rPr/>
        <w:t>libraries</w:t>
      </w:r>
      <w:r>
        <w:rPr>
          <w:spacing w:val="-6"/>
        </w:rPr>
        <w:t> </w:t>
      </w:r>
      <w:r>
        <w:rPr/>
        <w:t>or</w:t>
      </w:r>
      <w:r>
        <w:rPr>
          <w:spacing w:val="-6"/>
        </w:rPr>
        <w:t> </w:t>
      </w:r>
      <w:r>
        <w:rPr/>
        <w:t>set</w:t>
      </w:r>
      <w:r>
        <w:rPr>
          <w:spacing w:val="-6"/>
        </w:rPr>
        <w:t> </w:t>
      </w:r>
      <w:r>
        <w:rPr/>
        <w:t>up </w:t>
      </w:r>
      <w:r>
        <w:rPr>
          <w:spacing w:val="-4"/>
        </w:rPr>
        <w:t>new</w:t>
      </w:r>
      <w:r>
        <w:rPr>
          <w:spacing w:val="-10"/>
        </w:rPr>
        <w:t> </w:t>
      </w:r>
      <w:r>
        <w:rPr>
          <w:spacing w:val="-4"/>
        </w:rPr>
        <w:t>libraries.</w:t>
      </w:r>
      <w:r>
        <w:rPr>
          <w:spacing w:val="-10"/>
        </w:rPr>
        <w:t> </w:t>
      </w:r>
      <w:r>
        <w:rPr>
          <w:spacing w:val="-4"/>
        </w:rPr>
        <w:t>The</w:t>
      </w:r>
      <w:r>
        <w:rPr>
          <w:spacing w:val="-10"/>
        </w:rPr>
        <w:t> </w:t>
      </w:r>
      <w:r>
        <w:rPr>
          <w:spacing w:val="-4"/>
        </w:rPr>
        <w:t>ingenuity</w:t>
      </w:r>
      <w:r>
        <w:rPr>
          <w:spacing w:val="-9"/>
        </w:rPr>
        <w:t> </w:t>
      </w:r>
      <w:r>
        <w:rPr>
          <w:spacing w:val="-4"/>
        </w:rPr>
        <w:t>of</w:t>
      </w:r>
      <w:r>
        <w:rPr>
          <w:spacing w:val="-10"/>
        </w:rPr>
        <w:t> </w:t>
      </w:r>
      <w:r>
        <w:rPr>
          <w:spacing w:val="-4"/>
        </w:rPr>
        <w:t>civil</w:t>
      </w:r>
      <w:r>
        <w:rPr>
          <w:spacing w:val="-10"/>
        </w:rPr>
        <w:t> </w:t>
      </w:r>
      <w:r>
        <w:rPr>
          <w:spacing w:val="-4"/>
        </w:rPr>
        <w:t>society</w:t>
      </w:r>
      <w:r>
        <w:rPr>
          <w:spacing w:val="-10"/>
        </w:rPr>
        <w:t> </w:t>
      </w:r>
      <w:r>
        <w:rPr>
          <w:spacing w:val="-4"/>
        </w:rPr>
        <w:t>may</w:t>
      </w:r>
      <w:r>
        <w:rPr>
          <w:spacing w:val="-9"/>
        </w:rPr>
        <w:t> </w:t>
      </w:r>
      <w:r>
        <w:rPr>
          <w:spacing w:val="-4"/>
        </w:rPr>
        <w:t>also</w:t>
      </w:r>
      <w:r>
        <w:rPr>
          <w:spacing w:val="-10"/>
        </w:rPr>
        <w:t> </w:t>
      </w:r>
      <w:r>
        <w:rPr>
          <w:spacing w:val="-4"/>
        </w:rPr>
        <w:t>be </w:t>
      </w:r>
      <w:r>
        <w:rPr/>
        <w:t>utilised</w:t>
      </w:r>
      <w:r>
        <w:rPr>
          <w:spacing w:val="-14"/>
        </w:rPr>
        <w:t> </w:t>
      </w:r>
      <w:r>
        <w:rPr/>
        <w:t>to</w:t>
      </w:r>
      <w:r>
        <w:rPr>
          <w:spacing w:val="-14"/>
        </w:rPr>
        <w:t> </w:t>
      </w:r>
      <w:r>
        <w:rPr/>
        <w:t>prepare</w:t>
      </w:r>
      <w:r>
        <w:rPr>
          <w:spacing w:val="-14"/>
        </w:rPr>
        <w:t> </w:t>
      </w:r>
      <w:r>
        <w:rPr/>
        <w:t>necessary</w:t>
      </w:r>
      <w:r>
        <w:rPr>
          <w:spacing w:val="-13"/>
        </w:rPr>
        <w:t> </w:t>
      </w:r>
      <w:r>
        <w:rPr/>
        <w:t>infrastructure</w:t>
      </w:r>
      <w:r>
        <w:rPr>
          <w:spacing w:val="-14"/>
        </w:rPr>
        <w:t> </w:t>
      </w:r>
      <w:r>
        <w:rPr/>
        <w:t>to</w:t>
      </w:r>
      <w:r>
        <w:rPr>
          <w:spacing w:val="-14"/>
        </w:rPr>
        <w:t> </w:t>
      </w:r>
      <w:r>
        <w:rPr/>
        <w:t>meet</w:t>
      </w:r>
      <w:r>
        <w:rPr>
          <w:spacing w:val="-14"/>
        </w:rPr>
        <w:t> </w:t>
      </w:r>
      <w:r>
        <w:rPr/>
        <w:t>the special ICT needs of the LIS sector.</w:t>
      </w:r>
    </w:p>
    <w:p>
      <w:pPr>
        <w:pStyle w:val="BodyText"/>
        <w:spacing w:before="21"/>
      </w:pPr>
    </w:p>
    <w:p>
      <w:pPr>
        <w:pStyle w:val="BodyText"/>
        <w:spacing w:line="266" w:lineRule="auto" w:before="1"/>
        <w:ind w:left="319" w:right="1077"/>
        <w:jc w:val="both"/>
      </w:pPr>
      <w:r>
        <w:rPr/>
        <w:t>In</w:t>
      </w:r>
      <w:r>
        <w:rPr>
          <w:spacing w:val="40"/>
        </w:rPr>
        <w:t> </w:t>
      </w:r>
      <w:r>
        <w:rPr/>
        <w:t>order</w:t>
      </w:r>
      <w:r>
        <w:rPr>
          <w:spacing w:val="40"/>
        </w:rPr>
        <w:t> </w:t>
      </w:r>
      <w:r>
        <w:rPr/>
        <w:t>to</w:t>
      </w:r>
      <w:r>
        <w:rPr>
          <w:spacing w:val="40"/>
        </w:rPr>
        <w:t> </w:t>
      </w:r>
      <w:r>
        <w:rPr/>
        <w:t>facilitate</w:t>
      </w:r>
      <w:r>
        <w:rPr>
          <w:spacing w:val="40"/>
        </w:rPr>
        <w:t> </w:t>
      </w:r>
      <w:r>
        <w:rPr/>
        <w:t>the</w:t>
      </w:r>
      <w:r>
        <w:rPr>
          <w:spacing w:val="40"/>
        </w:rPr>
        <w:t> </w:t>
      </w:r>
      <w:r>
        <w:rPr/>
        <w:t>coordinated</w:t>
      </w:r>
      <w:r>
        <w:rPr>
          <w:spacing w:val="40"/>
        </w:rPr>
        <w:t> </w:t>
      </w:r>
      <w:r>
        <w:rPr/>
        <w:t>development of libraries across different sectors and to provide</w:t>
      </w:r>
      <w:r>
        <w:rPr>
          <w:spacing w:val="80"/>
        </w:rPr>
        <w:t> </w:t>
      </w:r>
      <w:r>
        <w:rPr/>
        <w:t>the</w:t>
      </w:r>
      <w:r>
        <w:rPr>
          <w:spacing w:val="-1"/>
        </w:rPr>
        <w:t> </w:t>
      </w:r>
      <w:r>
        <w:rPr/>
        <w:t>legislative</w:t>
      </w:r>
      <w:r>
        <w:rPr>
          <w:spacing w:val="-1"/>
        </w:rPr>
        <w:t> </w:t>
      </w:r>
      <w:r>
        <w:rPr/>
        <w:t>framework,</w:t>
      </w:r>
      <w:r>
        <w:rPr>
          <w:spacing w:val="-1"/>
        </w:rPr>
        <w:t> </w:t>
      </w:r>
      <w:r>
        <w:rPr/>
        <w:t>required</w:t>
      </w:r>
      <w:r>
        <w:rPr>
          <w:spacing w:val="-1"/>
        </w:rPr>
        <w:t> </w:t>
      </w:r>
      <w:r>
        <w:rPr/>
        <w:t>legal</w:t>
      </w:r>
      <w:r>
        <w:rPr>
          <w:spacing w:val="-1"/>
        </w:rPr>
        <w:t> </w:t>
      </w:r>
      <w:r>
        <w:rPr/>
        <w:t>support</w:t>
      </w:r>
      <w:r>
        <w:rPr>
          <w:spacing w:val="-1"/>
        </w:rPr>
        <w:t> </w:t>
      </w:r>
      <w:r>
        <w:rPr/>
        <w:t>and </w:t>
      </w:r>
      <w:r>
        <w:rPr>
          <w:spacing w:val="-2"/>
        </w:rPr>
        <w:t>financial</w:t>
      </w:r>
      <w:r>
        <w:rPr>
          <w:spacing w:val="-11"/>
        </w:rPr>
        <w:t> </w:t>
      </w:r>
      <w:r>
        <w:rPr>
          <w:spacing w:val="-2"/>
        </w:rPr>
        <w:t>backing</w:t>
      </w:r>
      <w:r>
        <w:rPr>
          <w:spacing w:val="-11"/>
        </w:rPr>
        <w:t> </w:t>
      </w:r>
      <w:r>
        <w:rPr>
          <w:spacing w:val="-2"/>
        </w:rPr>
        <w:t>to</w:t>
      </w:r>
      <w:r>
        <w:rPr>
          <w:spacing w:val="-11"/>
        </w:rPr>
        <w:t> </w:t>
      </w:r>
      <w:r>
        <w:rPr>
          <w:spacing w:val="-2"/>
        </w:rPr>
        <w:t>the</w:t>
      </w:r>
      <w:r>
        <w:rPr>
          <w:spacing w:val="-11"/>
        </w:rPr>
        <w:t> </w:t>
      </w:r>
      <w:r>
        <w:rPr>
          <w:spacing w:val="-2"/>
        </w:rPr>
        <w:t>library</w:t>
      </w:r>
      <w:r>
        <w:rPr>
          <w:spacing w:val="-11"/>
        </w:rPr>
        <w:t> </w:t>
      </w:r>
      <w:r>
        <w:rPr>
          <w:spacing w:val="-2"/>
        </w:rPr>
        <w:t>sector,</w:t>
      </w:r>
      <w:r>
        <w:rPr>
          <w:spacing w:val="-11"/>
        </w:rPr>
        <w:t> </w:t>
      </w:r>
      <w:r>
        <w:rPr>
          <w:spacing w:val="-2"/>
        </w:rPr>
        <w:t>the</w:t>
      </w:r>
      <w:r>
        <w:rPr>
          <w:spacing w:val="-11"/>
        </w:rPr>
        <w:t> </w:t>
      </w:r>
      <w:r>
        <w:rPr>
          <w:spacing w:val="-2"/>
        </w:rPr>
        <w:t>Government </w:t>
      </w:r>
      <w:r>
        <w:rPr/>
        <w:t>could, in course of time, consider including libraries in</w:t>
      </w:r>
      <w:r>
        <w:rPr>
          <w:spacing w:val="40"/>
        </w:rPr>
        <w:t> </w:t>
      </w:r>
      <w:r>
        <w:rPr/>
        <w:t>the</w:t>
      </w:r>
      <w:r>
        <w:rPr>
          <w:spacing w:val="40"/>
        </w:rPr>
        <w:t> </w:t>
      </w:r>
      <w:r>
        <w:rPr/>
        <w:t>Concurrent</w:t>
      </w:r>
      <w:r>
        <w:rPr>
          <w:spacing w:val="40"/>
        </w:rPr>
        <w:t> </w:t>
      </w:r>
      <w:r>
        <w:rPr/>
        <w:t>List</w:t>
      </w:r>
      <w:r>
        <w:rPr>
          <w:spacing w:val="40"/>
        </w:rPr>
        <w:t> </w:t>
      </w:r>
      <w:r>
        <w:rPr/>
        <w:t>of</w:t>
      </w:r>
      <w:r>
        <w:rPr>
          <w:spacing w:val="40"/>
        </w:rPr>
        <w:t> </w:t>
      </w:r>
      <w:r>
        <w:rPr/>
        <w:t>the</w:t>
      </w:r>
      <w:r>
        <w:rPr>
          <w:spacing w:val="40"/>
        </w:rPr>
        <w:t> </w:t>
      </w:r>
      <w:r>
        <w:rPr/>
        <w:t>Constitution</w:t>
      </w:r>
      <w:r>
        <w:rPr>
          <w:spacing w:val="40"/>
        </w:rPr>
        <w:t> </w:t>
      </w:r>
      <w:r>
        <w:rPr/>
        <w:t>of</w:t>
      </w:r>
      <w:r>
        <w:rPr>
          <w:spacing w:val="40"/>
        </w:rPr>
        <w:t> </w:t>
      </w:r>
      <w:r>
        <w:rPr/>
        <w:t>India. This should be done without in any way abrogating the existing responsibilities of the states towards libraries.</w:t>
      </w:r>
    </w:p>
    <w:p>
      <w:pPr>
        <w:spacing w:after="0" w:line="266" w:lineRule="auto"/>
        <w:jc w:val="both"/>
        <w:sectPr>
          <w:pgSz w:w="11910" w:h="16840"/>
          <w:pgMar w:header="0" w:footer="634"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913"/>
        <w:jc w:val="both"/>
      </w:pPr>
      <w:r>
        <w:rPr/>
        <mc:AlternateContent>
          <mc:Choice Requires="wps">
            <w:drawing>
              <wp:anchor distT="0" distB="0" distL="0" distR="0" allowOverlap="1" layoutInCell="1" locked="0" behindDoc="0" simplePos="0" relativeHeight="15753728">
                <wp:simplePos x="0" y="0"/>
                <wp:positionH relativeFrom="page">
                  <wp:posOffset>0</wp:posOffset>
                </wp:positionH>
                <wp:positionV relativeFrom="paragraph">
                  <wp:posOffset>-2277393</wp:posOffset>
                </wp:positionV>
                <wp:extent cx="7560309" cy="1752600"/>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7560309" cy="1752600"/>
                          <a:chExt cx="7560309" cy="1752600"/>
                        </a:xfrm>
                      </wpg:grpSpPr>
                      <pic:pic>
                        <pic:nvPicPr>
                          <pic:cNvPr id="826" name="Image 826"/>
                          <pic:cNvPicPr/>
                        </pic:nvPicPr>
                        <pic:blipFill>
                          <a:blip r:embed="rId11" cstate="print"/>
                          <a:stretch>
                            <a:fillRect/>
                          </a:stretch>
                        </pic:blipFill>
                        <pic:spPr>
                          <a:xfrm>
                            <a:off x="0" y="0"/>
                            <a:ext cx="7559999" cy="1752562"/>
                          </a:xfrm>
                          <a:prstGeom prst="rect">
                            <a:avLst/>
                          </a:prstGeom>
                        </pic:spPr>
                      </pic:pic>
                      <wps:wsp>
                        <wps:cNvPr id="827" name="Textbox 827"/>
                        <wps:cNvSpPr txBox="1"/>
                        <wps:spPr>
                          <a:xfrm>
                            <a:off x="685800" y="598688"/>
                            <a:ext cx="4051300"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Knowledge </w:t>
                              </w:r>
                              <w:r>
                                <w:rPr>
                                  <w:rFonts w:ascii="Trebuchet MS"/>
                                  <w:b/>
                                  <w:color w:val="FFFFFF"/>
                                  <w:spacing w:val="-2"/>
                                  <w:sz w:val="68"/>
                                </w:rPr>
                                <w:t>Network</w:t>
                              </w:r>
                            </w:p>
                          </w:txbxContent>
                        </wps:txbx>
                        <wps:bodyPr wrap="square" lIns="0" tIns="0" rIns="0" bIns="0" rtlCol="0">
                          <a:noAutofit/>
                        </wps:bodyPr>
                      </wps:wsp>
                      <wps:wsp>
                        <wps:cNvPr id="828" name="Textbox 828"/>
                        <wps:cNvSpPr txBox="1"/>
                        <wps:spPr>
                          <a:xfrm>
                            <a:off x="5772399" y="1439105"/>
                            <a:ext cx="1115060" cy="158750"/>
                          </a:xfrm>
                          <a:prstGeom prst="rect">
                            <a:avLst/>
                          </a:prstGeom>
                        </wps:spPr>
                        <wps:txbx>
                          <w:txbxContent>
                            <w:p>
                              <w:pPr>
                                <w:spacing w:line="238" w:lineRule="exact" w:before="0"/>
                                <w:ind w:left="0" w:right="0" w:firstLine="0"/>
                                <w:jc w:val="left"/>
                                <w:rPr>
                                  <w:b/>
                                  <w:sz w:val="22"/>
                                </w:rPr>
                              </w:pPr>
                              <w:r>
                                <w:rPr>
                                  <w:b/>
                                  <w:color w:val="FFFFFF"/>
                                  <w:spacing w:val="-4"/>
                                  <w:sz w:val="22"/>
                                </w:rPr>
                                <w:t>December</w:t>
                              </w:r>
                              <w:r>
                                <w:rPr>
                                  <w:b/>
                                  <w:color w:val="FFFFFF"/>
                                  <w:spacing w:val="-7"/>
                                  <w:sz w:val="22"/>
                                </w:rPr>
                                <w:t> </w:t>
                              </w:r>
                              <w:r>
                                <w:rPr>
                                  <w:b/>
                                  <w:color w:val="FFFFFF"/>
                                  <w:spacing w:val="-4"/>
                                  <w:sz w:val="22"/>
                                </w:rPr>
                                <w:t>21,</w:t>
                              </w:r>
                              <w:r>
                                <w:rPr>
                                  <w:b/>
                                  <w:color w:val="FFFFFF"/>
                                  <w:spacing w:val="-6"/>
                                  <w:sz w:val="22"/>
                                </w:rPr>
                                <w:t> </w:t>
                              </w:r>
                              <w:r>
                                <w:rPr>
                                  <w:b/>
                                  <w:color w:val="FFFFFF"/>
                                  <w:spacing w:val="-4"/>
                                  <w:sz w:val="22"/>
                                </w:rPr>
                                <w:t>2006</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53728" id="docshapegroup818" coordorigin="0,-3586" coordsize="11906,2760">
                <v:shape style="position:absolute;left:0;top:-3587;width:11906;height:2760" type="#_x0000_t75" id="docshape819" stroked="false">
                  <v:imagedata r:id="rId11" o:title=""/>
                </v:shape>
                <v:shape style="position:absolute;left:1080;top:-2644;width:6380;height:790" type="#_x0000_t202" id="docshape820" filled="false" stroked="false">
                  <v:textbox inset="0,0,0,0">
                    <w:txbxContent>
                      <w:p>
                        <w:pPr>
                          <w:spacing w:before="0"/>
                          <w:ind w:left="0" w:right="0" w:firstLine="0"/>
                          <w:jc w:val="left"/>
                          <w:rPr>
                            <w:rFonts w:ascii="Trebuchet MS"/>
                            <w:b/>
                            <w:sz w:val="68"/>
                          </w:rPr>
                        </w:pPr>
                        <w:r>
                          <w:rPr>
                            <w:rFonts w:ascii="Trebuchet MS"/>
                            <w:b/>
                            <w:color w:val="FFFFFF"/>
                            <w:sz w:val="68"/>
                          </w:rPr>
                          <w:t>Knowledge </w:t>
                        </w:r>
                        <w:r>
                          <w:rPr>
                            <w:rFonts w:ascii="Trebuchet MS"/>
                            <w:b/>
                            <w:color w:val="FFFFFF"/>
                            <w:spacing w:val="-2"/>
                            <w:sz w:val="68"/>
                          </w:rPr>
                          <w:t>Network</w:t>
                        </w:r>
                      </w:p>
                    </w:txbxContent>
                  </v:textbox>
                  <w10:wrap type="none"/>
                </v:shape>
                <v:shape style="position:absolute;left:9090;top:-1321;width:1756;height:250" type="#_x0000_t202" id="docshape821" filled="false" stroked="false">
                  <v:textbox inset="0,0,0,0">
                    <w:txbxContent>
                      <w:p>
                        <w:pPr>
                          <w:spacing w:line="238" w:lineRule="exact" w:before="0"/>
                          <w:ind w:left="0" w:right="0" w:firstLine="0"/>
                          <w:jc w:val="left"/>
                          <w:rPr>
                            <w:b/>
                            <w:sz w:val="22"/>
                          </w:rPr>
                        </w:pPr>
                        <w:r>
                          <w:rPr>
                            <w:b/>
                            <w:color w:val="FFFFFF"/>
                            <w:spacing w:val="-4"/>
                            <w:sz w:val="22"/>
                          </w:rPr>
                          <w:t>December</w:t>
                        </w:r>
                        <w:r>
                          <w:rPr>
                            <w:b/>
                            <w:color w:val="FFFFFF"/>
                            <w:spacing w:val="-7"/>
                            <w:sz w:val="22"/>
                          </w:rPr>
                          <w:t> </w:t>
                        </w:r>
                        <w:r>
                          <w:rPr>
                            <w:b/>
                            <w:color w:val="FFFFFF"/>
                            <w:spacing w:val="-4"/>
                            <w:sz w:val="22"/>
                          </w:rPr>
                          <w:t>21,</w:t>
                        </w:r>
                        <w:r>
                          <w:rPr>
                            <w:b/>
                            <w:color w:val="FFFFFF"/>
                            <w:spacing w:val="-6"/>
                            <w:sz w:val="22"/>
                          </w:rPr>
                          <w:t> </w:t>
                        </w:r>
                        <w:r>
                          <w:rPr>
                            <w:b/>
                            <w:color w:val="FFFFFF"/>
                            <w:spacing w:val="-4"/>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30816">
                <wp:simplePos x="0" y="0"/>
                <wp:positionH relativeFrom="page">
                  <wp:posOffset>685799</wp:posOffset>
                </wp:positionH>
                <wp:positionV relativeFrom="paragraph">
                  <wp:posOffset>-36774</wp:posOffset>
                </wp:positionV>
                <wp:extent cx="529590" cy="75755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529590" cy="757555"/>
                        </a:xfrm>
                        <a:prstGeom prst="rect">
                          <a:avLst/>
                        </a:prstGeom>
                      </wps:spPr>
                      <wps:txbx>
                        <w:txbxContent>
                          <w:p>
                            <w:pPr>
                              <w:spacing w:line="1135" w:lineRule="exact" w:before="0"/>
                              <w:ind w:left="0" w:right="0" w:firstLine="0"/>
                              <w:jc w:val="left"/>
                              <w:rPr>
                                <w:sz w:val="106"/>
                              </w:rPr>
                            </w:pPr>
                            <w:r>
                              <w:rPr>
                                <w:color w:val="9CBF3B"/>
                                <w:spacing w:val="-10"/>
                                <w:sz w:val="106"/>
                              </w:rPr>
                              <w:t>N</w:t>
                            </w:r>
                          </w:p>
                        </w:txbxContent>
                      </wps:txbx>
                      <wps:bodyPr wrap="square" lIns="0" tIns="0" rIns="0" bIns="0" rtlCol="0">
                        <a:noAutofit/>
                      </wps:bodyPr>
                    </wps:wsp>
                  </a:graphicData>
                </a:graphic>
              </wp:anchor>
            </w:drawing>
          </mc:Choice>
          <mc:Fallback>
            <w:pict>
              <v:shape style="position:absolute;margin-left:53.999981pt;margin-top:-2.8956pt;width:41.7pt;height:59.65pt;mso-position-horizontal-relative:page;mso-position-vertical-relative:paragraph;z-index:-23985664" type="#_x0000_t202" id="docshape822" filled="false" stroked="false">
                <v:textbox inset="0,0,0,0">
                  <w:txbxContent>
                    <w:p>
                      <w:pPr>
                        <w:spacing w:line="1135" w:lineRule="exact" w:before="0"/>
                        <w:ind w:left="0" w:right="0" w:firstLine="0"/>
                        <w:jc w:val="left"/>
                        <w:rPr>
                          <w:sz w:val="106"/>
                        </w:rPr>
                      </w:pPr>
                      <w:r>
                        <w:rPr>
                          <w:color w:val="9CBF3B"/>
                          <w:spacing w:val="-10"/>
                          <w:sz w:val="106"/>
                        </w:rPr>
                        <w:t>N</w:t>
                      </w:r>
                    </w:p>
                  </w:txbxContent>
                </v:textbox>
                <w10:wrap type="none"/>
              </v:shape>
            </w:pict>
          </mc:Fallback>
        </mc:AlternateContent>
      </w:r>
      <w:r>
        <w:rPr>
          <w:spacing w:val="-2"/>
        </w:rPr>
        <w:t>KC</w:t>
      </w:r>
      <w:r>
        <w:rPr>
          <w:spacing w:val="-11"/>
        </w:rPr>
        <w:t> </w:t>
      </w:r>
      <w:r>
        <w:rPr>
          <w:spacing w:val="-2"/>
        </w:rPr>
        <w:t>strongly</w:t>
      </w:r>
      <w:r>
        <w:rPr>
          <w:spacing w:val="-11"/>
        </w:rPr>
        <w:t> </w:t>
      </w:r>
      <w:r>
        <w:rPr>
          <w:spacing w:val="-2"/>
        </w:rPr>
        <w:t>feels</w:t>
      </w:r>
      <w:r>
        <w:rPr>
          <w:spacing w:val="-12"/>
        </w:rPr>
        <w:t> </w:t>
      </w:r>
      <w:r>
        <w:rPr>
          <w:spacing w:val="-2"/>
        </w:rPr>
        <w:t>that</w:t>
      </w:r>
      <w:r>
        <w:rPr>
          <w:spacing w:val="-11"/>
        </w:rPr>
        <w:t> </w:t>
      </w:r>
      <w:r>
        <w:rPr>
          <w:spacing w:val="-2"/>
        </w:rPr>
        <w:t>to</w:t>
      </w:r>
      <w:r>
        <w:rPr>
          <w:spacing w:val="-11"/>
        </w:rPr>
        <w:t> </w:t>
      </w:r>
      <w:r>
        <w:rPr>
          <w:spacing w:val="-2"/>
        </w:rPr>
        <w:t>optimally</w:t>
      </w:r>
      <w:r>
        <w:rPr>
          <w:spacing w:val="-11"/>
        </w:rPr>
        <w:t> </w:t>
      </w:r>
      <w:r>
        <w:rPr>
          <w:spacing w:val="-2"/>
        </w:rPr>
        <w:t>utilise</w:t>
      </w:r>
      <w:r>
        <w:rPr>
          <w:spacing w:val="-12"/>
        </w:rPr>
        <w:t> </w:t>
      </w:r>
      <w:r>
        <w:rPr>
          <w:spacing w:val="-2"/>
        </w:rPr>
        <w:t>the </w:t>
      </w:r>
      <w:r>
        <w:rPr>
          <w:spacing w:val="-4"/>
        </w:rPr>
        <w:t>potential</w:t>
      </w:r>
      <w:r>
        <w:rPr>
          <w:spacing w:val="-10"/>
        </w:rPr>
        <w:t> </w:t>
      </w:r>
      <w:r>
        <w:rPr>
          <w:spacing w:val="-4"/>
        </w:rPr>
        <w:t>of</w:t>
      </w:r>
      <w:r>
        <w:rPr>
          <w:spacing w:val="-10"/>
        </w:rPr>
        <w:t> </w:t>
      </w:r>
      <w:r>
        <w:rPr>
          <w:spacing w:val="-4"/>
        </w:rPr>
        <w:t>institutions</w:t>
      </w:r>
      <w:r>
        <w:rPr>
          <w:spacing w:val="-10"/>
        </w:rPr>
        <w:t> </w:t>
      </w:r>
      <w:r>
        <w:rPr>
          <w:spacing w:val="-4"/>
        </w:rPr>
        <w:t>engaged</w:t>
      </w:r>
      <w:r>
        <w:rPr>
          <w:spacing w:val="-9"/>
        </w:rPr>
        <w:t> </w:t>
      </w:r>
      <w:r>
        <w:rPr>
          <w:spacing w:val="-4"/>
        </w:rPr>
        <w:t>in</w:t>
      </w:r>
      <w:r>
        <w:rPr>
          <w:spacing w:val="-10"/>
        </w:rPr>
        <w:t> </w:t>
      </w:r>
      <w:r>
        <w:rPr>
          <w:spacing w:val="-4"/>
        </w:rPr>
        <w:t>generation </w:t>
      </w:r>
      <w:r>
        <w:rPr/>
        <w:t>and</w:t>
      </w:r>
      <w:r>
        <w:rPr>
          <w:spacing w:val="20"/>
        </w:rPr>
        <w:t> </w:t>
      </w:r>
      <w:r>
        <w:rPr/>
        <w:t>dissemination</w:t>
      </w:r>
      <w:r>
        <w:rPr>
          <w:spacing w:val="20"/>
        </w:rPr>
        <w:t> </w:t>
      </w:r>
      <w:r>
        <w:rPr/>
        <w:t>of</w:t>
      </w:r>
      <w:r>
        <w:rPr>
          <w:spacing w:val="20"/>
        </w:rPr>
        <w:t> </w:t>
      </w:r>
      <w:r>
        <w:rPr/>
        <w:t>knowledge</w:t>
      </w:r>
      <w:r>
        <w:rPr>
          <w:spacing w:val="21"/>
        </w:rPr>
        <w:t> </w:t>
      </w:r>
      <w:r>
        <w:rPr/>
        <w:t>in</w:t>
      </w:r>
      <w:r>
        <w:rPr>
          <w:spacing w:val="20"/>
        </w:rPr>
        <w:t> </w:t>
      </w:r>
      <w:r>
        <w:rPr>
          <w:spacing w:val="-6"/>
        </w:rPr>
        <w:t>various</w:t>
      </w:r>
    </w:p>
    <w:p>
      <w:pPr>
        <w:pStyle w:val="BodyText"/>
        <w:spacing w:line="266" w:lineRule="auto"/>
        <w:ind w:left="1079"/>
        <w:jc w:val="both"/>
      </w:pPr>
      <w:r>
        <w:rPr>
          <w:spacing w:val="-8"/>
        </w:rPr>
        <w:t>areas,</w:t>
      </w:r>
      <w:r>
        <w:rPr>
          <w:spacing w:val="-2"/>
        </w:rPr>
        <w:t> </w:t>
      </w:r>
      <w:r>
        <w:rPr>
          <w:spacing w:val="-8"/>
        </w:rPr>
        <w:t>such</w:t>
      </w:r>
      <w:r>
        <w:rPr>
          <w:spacing w:val="-2"/>
        </w:rPr>
        <w:t> </w:t>
      </w:r>
      <w:r>
        <w:rPr>
          <w:spacing w:val="-8"/>
        </w:rPr>
        <w:t>as</w:t>
      </w:r>
      <w:r>
        <w:rPr>
          <w:spacing w:val="-2"/>
        </w:rPr>
        <w:t> </w:t>
      </w:r>
      <w:r>
        <w:rPr>
          <w:spacing w:val="-8"/>
        </w:rPr>
        <w:t>research</w:t>
      </w:r>
      <w:r>
        <w:rPr>
          <w:spacing w:val="-2"/>
        </w:rPr>
        <w:t> </w:t>
      </w:r>
      <w:r>
        <w:rPr>
          <w:spacing w:val="-8"/>
        </w:rPr>
        <w:t>laboratories,</w:t>
      </w:r>
      <w:r>
        <w:rPr>
          <w:spacing w:val="-2"/>
        </w:rPr>
        <w:t> </w:t>
      </w:r>
      <w:r>
        <w:rPr>
          <w:spacing w:val="-8"/>
        </w:rPr>
        <w:t>universities</w:t>
      </w:r>
      <w:r>
        <w:rPr>
          <w:spacing w:val="-2"/>
        </w:rPr>
        <w:t> </w:t>
      </w:r>
      <w:r>
        <w:rPr>
          <w:spacing w:val="-8"/>
        </w:rPr>
        <w:t>and</w:t>
      </w:r>
      <w:r>
        <w:rPr>
          <w:spacing w:val="-2"/>
        </w:rPr>
        <w:t> </w:t>
      </w:r>
      <w:r>
        <w:rPr>
          <w:spacing w:val="-8"/>
        </w:rPr>
        <w:t>other </w:t>
      </w:r>
      <w:r>
        <w:rPr/>
        <w:t>institutions</w:t>
      </w:r>
      <w:r>
        <w:rPr>
          <w:spacing w:val="-6"/>
        </w:rPr>
        <w:t> </w:t>
      </w:r>
      <w:r>
        <w:rPr/>
        <w:t>of</w:t>
      </w:r>
      <w:r>
        <w:rPr>
          <w:spacing w:val="-6"/>
        </w:rPr>
        <w:t> </w:t>
      </w:r>
      <w:r>
        <w:rPr/>
        <w:t>higher</w:t>
      </w:r>
      <w:r>
        <w:rPr>
          <w:spacing w:val="-6"/>
        </w:rPr>
        <w:t> </w:t>
      </w:r>
      <w:r>
        <w:rPr/>
        <w:t>learning,</w:t>
      </w:r>
      <w:r>
        <w:rPr>
          <w:spacing w:val="-6"/>
        </w:rPr>
        <w:t> </w:t>
      </w:r>
      <w:r>
        <w:rPr/>
        <w:t>including</w:t>
      </w:r>
      <w:r>
        <w:rPr>
          <w:spacing w:val="-6"/>
        </w:rPr>
        <w:t> </w:t>
      </w:r>
      <w:r>
        <w:rPr/>
        <w:t>professional institutions, it is important to connect them through</w:t>
      </w:r>
      <w:r>
        <w:rPr>
          <w:spacing w:val="80"/>
        </w:rPr>
        <w:t> </w:t>
      </w:r>
      <w:r>
        <w:rPr/>
        <w:t>a high-speed broadband network. In order to explore the</w:t>
      </w:r>
      <w:r>
        <w:rPr>
          <w:spacing w:val="-4"/>
        </w:rPr>
        <w:t> </w:t>
      </w:r>
      <w:r>
        <w:rPr/>
        <w:t>feasibility</w:t>
      </w:r>
      <w:r>
        <w:rPr>
          <w:spacing w:val="-4"/>
        </w:rPr>
        <w:t> </w:t>
      </w:r>
      <w:r>
        <w:rPr/>
        <w:t>of</w:t>
      </w:r>
      <w:r>
        <w:rPr>
          <w:spacing w:val="-4"/>
        </w:rPr>
        <w:t> </w:t>
      </w:r>
      <w:r>
        <w:rPr/>
        <w:t>establishing</w:t>
      </w:r>
      <w:r>
        <w:rPr>
          <w:spacing w:val="-4"/>
        </w:rPr>
        <w:t> </w:t>
      </w:r>
      <w:r>
        <w:rPr/>
        <w:t>broadband</w:t>
      </w:r>
      <w:r>
        <w:rPr>
          <w:spacing w:val="-4"/>
        </w:rPr>
        <w:t> </w:t>
      </w:r>
      <w:r>
        <w:rPr/>
        <w:t>connectivity among such institutions, NKC spent six months studying various issues and alternatives. Extensive consultations with experts, potential users, telecom service providers, government officials and various </w:t>
      </w:r>
      <w:r>
        <w:rPr>
          <w:spacing w:val="-2"/>
        </w:rPr>
        <w:t>educational</w:t>
      </w:r>
      <w:r>
        <w:rPr>
          <w:spacing w:val="-6"/>
        </w:rPr>
        <w:t> </w:t>
      </w:r>
      <w:r>
        <w:rPr>
          <w:spacing w:val="-2"/>
        </w:rPr>
        <w:t>and</w:t>
      </w:r>
      <w:r>
        <w:rPr>
          <w:spacing w:val="-6"/>
        </w:rPr>
        <w:t> </w:t>
      </w:r>
      <w:r>
        <w:rPr>
          <w:spacing w:val="-2"/>
        </w:rPr>
        <w:t>research</w:t>
      </w:r>
      <w:r>
        <w:rPr>
          <w:spacing w:val="-6"/>
        </w:rPr>
        <w:t> </w:t>
      </w:r>
      <w:r>
        <w:rPr>
          <w:spacing w:val="-2"/>
        </w:rPr>
        <w:t>institutions</w:t>
      </w:r>
      <w:r>
        <w:rPr>
          <w:spacing w:val="-6"/>
        </w:rPr>
        <w:t> </w:t>
      </w:r>
      <w:r>
        <w:rPr>
          <w:spacing w:val="-2"/>
        </w:rPr>
        <w:t>provided</w:t>
      </w:r>
      <w:r>
        <w:rPr>
          <w:spacing w:val="-6"/>
        </w:rPr>
        <w:t> </w:t>
      </w:r>
      <w:r>
        <w:rPr>
          <w:spacing w:val="-2"/>
        </w:rPr>
        <w:t>insights </w:t>
      </w:r>
      <w:r>
        <w:rPr>
          <w:spacing w:val="-6"/>
        </w:rPr>
        <w:t>on the requirements, implementation issues and benefits </w:t>
      </w:r>
      <w:r>
        <w:rPr/>
        <w:t>of</w:t>
      </w:r>
      <w:r>
        <w:rPr>
          <w:spacing w:val="-14"/>
        </w:rPr>
        <w:t> </w:t>
      </w:r>
      <w:r>
        <w:rPr/>
        <w:t>creating</w:t>
      </w:r>
      <w:r>
        <w:rPr>
          <w:spacing w:val="-14"/>
        </w:rPr>
        <w:t> </w:t>
      </w:r>
      <w:r>
        <w:rPr/>
        <w:t>an</w:t>
      </w:r>
      <w:r>
        <w:rPr>
          <w:spacing w:val="-14"/>
        </w:rPr>
        <w:t> </w:t>
      </w:r>
      <w:r>
        <w:rPr/>
        <w:t>integrated</w:t>
      </w:r>
      <w:r>
        <w:rPr>
          <w:spacing w:val="-13"/>
        </w:rPr>
        <w:t> </w:t>
      </w:r>
      <w:r>
        <w:rPr/>
        <w:t>national</w:t>
      </w:r>
      <w:r>
        <w:rPr>
          <w:spacing w:val="-14"/>
        </w:rPr>
        <w:t> </w:t>
      </w:r>
      <w:r>
        <w:rPr/>
        <w:t>knowledge</w:t>
      </w:r>
      <w:r>
        <w:rPr>
          <w:spacing w:val="-14"/>
        </w:rPr>
        <w:t> </w:t>
      </w:r>
      <w:r>
        <w:rPr/>
        <w:t>network.</w:t>
      </w:r>
    </w:p>
    <w:p>
      <w:pPr>
        <w:pStyle w:val="BodyText"/>
        <w:spacing w:before="15"/>
      </w:pPr>
    </w:p>
    <w:p>
      <w:pPr>
        <w:pStyle w:val="BodyText"/>
        <w:spacing w:line="266" w:lineRule="auto"/>
        <w:ind w:left="1079"/>
        <w:jc w:val="both"/>
      </w:pPr>
      <w:r>
        <w:rPr/>
        <w:t>The purpose of such a knowledge network goes </w:t>
      </w:r>
      <w:r>
        <w:rPr/>
        <w:t>to the very heart of the country’s quest to build quality institutions with requisite research facilities and to create a pool of highly trained persons. Considering the magnitude of the challenge, NKC believes an immediate objective of the network will be to share the existing content, coursework, expertise, ideas, innovations, equipment and facilities available in the limited</w:t>
      </w:r>
      <w:r>
        <w:rPr>
          <w:spacing w:val="-6"/>
        </w:rPr>
        <w:t> </w:t>
      </w:r>
      <w:r>
        <w:rPr/>
        <w:t>number</w:t>
      </w:r>
      <w:r>
        <w:rPr>
          <w:spacing w:val="-6"/>
        </w:rPr>
        <w:t> </w:t>
      </w:r>
      <w:r>
        <w:rPr/>
        <w:t>of</w:t>
      </w:r>
      <w:r>
        <w:rPr>
          <w:spacing w:val="-6"/>
        </w:rPr>
        <w:t> </w:t>
      </w:r>
      <w:r>
        <w:rPr/>
        <w:t>centres</w:t>
      </w:r>
      <w:r>
        <w:rPr>
          <w:spacing w:val="-6"/>
        </w:rPr>
        <w:t> </w:t>
      </w:r>
      <w:r>
        <w:rPr/>
        <w:t>of</w:t>
      </w:r>
      <w:r>
        <w:rPr>
          <w:spacing w:val="-6"/>
        </w:rPr>
        <w:t> </w:t>
      </w:r>
      <w:r>
        <w:rPr/>
        <w:t>excellence,</w:t>
      </w:r>
      <w:r>
        <w:rPr>
          <w:spacing w:val="-6"/>
        </w:rPr>
        <w:t> </w:t>
      </w:r>
      <w:r>
        <w:rPr/>
        <w:t>with</w:t>
      </w:r>
      <w:r>
        <w:rPr>
          <w:spacing w:val="-6"/>
        </w:rPr>
        <w:t> </w:t>
      </w:r>
      <w:r>
        <w:rPr/>
        <w:t>a</w:t>
      </w:r>
      <w:r>
        <w:rPr>
          <w:spacing w:val="-6"/>
        </w:rPr>
        <w:t> </w:t>
      </w:r>
      <w:r>
        <w:rPr/>
        <w:t>wider group of institutions, educators and students.</w:t>
      </w:r>
    </w:p>
    <w:p>
      <w:pPr>
        <w:pStyle w:val="BodyText"/>
        <w:spacing w:before="19"/>
      </w:pPr>
    </w:p>
    <w:p>
      <w:pPr>
        <w:pStyle w:val="BodyText"/>
        <w:spacing w:line="266" w:lineRule="auto"/>
        <w:ind w:left="1079"/>
        <w:jc w:val="both"/>
      </w:pPr>
      <w:r>
        <w:rPr/>
        <w:t>Globally, research and development activities </w:t>
      </w:r>
      <w:r>
        <w:rPr/>
        <w:t>and innovations are increasingly multidisciplinary, and collaborative, and require substantial computational power. The key to successful research today is live consultations, data sharing and resource sharing. Therefore it is essential to provide broadband connectivity</w:t>
      </w:r>
      <w:r>
        <w:rPr>
          <w:spacing w:val="-13"/>
        </w:rPr>
        <w:t> </w:t>
      </w:r>
      <w:r>
        <w:rPr/>
        <w:t>to</w:t>
      </w:r>
      <w:r>
        <w:rPr>
          <w:spacing w:val="-13"/>
        </w:rPr>
        <w:t> </w:t>
      </w:r>
      <w:r>
        <w:rPr/>
        <w:t>our</w:t>
      </w:r>
      <w:r>
        <w:rPr>
          <w:spacing w:val="-13"/>
        </w:rPr>
        <w:t> </w:t>
      </w:r>
      <w:r>
        <w:rPr/>
        <w:t>knowledge</w:t>
      </w:r>
      <w:r>
        <w:rPr>
          <w:spacing w:val="-13"/>
        </w:rPr>
        <w:t> </w:t>
      </w:r>
      <w:r>
        <w:rPr/>
        <w:t>institutions</w:t>
      </w:r>
      <w:r>
        <w:rPr>
          <w:spacing w:val="-13"/>
        </w:rPr>
        <w:t> </w:t>
      </w:r>
      <w:r>
        <w:rPr/>
        <w:t>to</w:t>
      </w:r>
      <w:r>
        <w:rPr>
          <w:spacing w:val="-13"/>
        </w:rPr>
        <w:t> </w:t>
      </w:r>
      <w:r>
        <w:rPr/>
        <w:t>improve access, quality and quantity of R&amp;D activities.</w:t>
      </w:r>
    </w:p>
    <w:p>
      <w:pPr>
        <w:pStyle w:val="BodyText"/>
        <w:spacing w:before="20"/>
      </w:pPr>
    </w:p>
    <w:p>
      <w:pPr>
        <w:pStyle w:val="BodyText"/>
        <w:spacing w:line="266" w:lineRule="auto" w:before="1"/>
        <w:ind w:left="1079"/>
        <w:jc w:val="both"/>
      </w:pPr>
      <w:r>
        <w:rPr/>
        <w:t>The primary objective is to interconnect all </w:t>
      </w:r>
      <w:r>
        <w:rPr/>
        <w:t>our </w:t>
      </w:r>
      <w:r>
        <w:rPr>
          <w:spacing w:val="-2"/>
        </w:rPr>
        <w:t>knowledge</w:t>
      </w:r>
      <w:r>
        <w:rPr>
          <w:spacing w:val="-9"/>
        </w:rPr>
        <w:t> </w:t>
      </w:r>
      <w:r>
        <w:rPr>
          <w:spacing w:val="-2"/>
        </w:rPr>
        <w:t>institutions</w:t>
      </w:r>
      <w:r>
        <w:rPr>
          <w:spacing w:val="-9"/>
        </w:rPr>
        <w:t> </w:t>
      </w:r>
      <w:r>
        <w:rPr>
          <w:spacing w:val="-2"/>
        </w:rPr>
        <w:t>in</w:t>
      </w:r>
      <w:r>
        <w:rPr>
          <w:spacing w:val="-9"/>
        </w:rPr>
        <w:t> </w:t>
      </w:r>
      <w:r>
        <w:rPr>
          <w:spacing w:val="-2"/>
        </w:rPr>
        <w:t>various</w:t>
      </w:r>
      <w:r>
        <w:rPr>
          <w:spacing w:val="-9"/>
        </w:rPr>
        <w:t> </w:t>
      </w:r>
      <w:r>
        <w:rPr>
          <w:spacing w:val="-2"/>
        </w:rPr>
        <w:t>fields,</w:t>
      </w:r>
      <w:r>
        <w:rPr>
          <w:spacing w:val="-9"/>
        </w:rPr>
        <w:t> </w:t>
      </w:r>
      <w:r>
        <w:rPr>
          <w:spacing w:val="-2"/>
        </w:rPr>
        <w:t>and</w:t>
      </w:r>
      <w:r>
        <w:rPr>
          <w:spacing w:val="-9"/>
        </w:rPr>
        <w:t> </w:t>
      </w:r>
      <w:r>
        <w:rPr>
          <w:spacing w:val="-2"/>
        </w:rPr>
        <w:t>at</w:t>
      </w:r>
      <w:r>
        <w:rPr>
          <w:spacing w:val="-9"/>
        </w:rPr>
        <w:t> </w:t>
      </w:r>
      <w:r>
        <w:rPr>
          <w:spacing w:val="-2"/>
        </w:rPr>
        <w:t>various locations</w:t>
      </w:r>
      <w:r>
        <w:rPr>
          <w:spacing w:val="-12"/>
        </w:rPr>
        <w:t> </w:t>
      </w:r>
      <w:r>
        <w:rPr>
          <w:spacing w:val="-2"/>
        </w:rPr>
        <w:t>throughout</w:t>
      </w:r>
      <w:r>
        <w:rPr>
          <w:spacing w:val="-12"/>
        </w:rPr>
        <w:t> </w:t>
      </w:r>
      <w:r>
        <w:rPr>
          <w:spacing w:val="-2"/>
        </w:rPr>
        <w:t>the</w:t>
      </w:r>
      <w:r>
        <w:rPr>
          <w:spacing w:val="-12"/>
        </w:rPr>
        <w:t> </w:t>
      </w:r>
      <w:r>
        <w:rPr>
          <w:spacing w:val="-2"/>
        </w:rPr>
        <w:t>country,</w:t>
      </w:r>
      <w:r>
        <w:rPr>
          <w:spacing w:val="-11"/>
        </w:rPr>
        <w:t> </w:t>
      </w:r>
      <w:r>
        <w:rPr>
          <w:spacing w:val="-2"/>
        </w:rPr>
        <w:t>through</w:t>
      </w:r>
      <w:r>
        <w:rPr>
          <w:spacing w:val="-12"/>
        </w:rPr>
        <w:t> </w:t>
      </w:r>
      <w:r>
        <w:rPr>
          <w:spacing w:val="-2"/>
        </w:rPr>
        <w:t>an</w:t>
      </w:r>
      <w:r>
        <w:rPr>
          <w:spacing w:val="-12"/>
        </w:rPr>
        <w:t> </w:t>
      </w:r>
      <w:r>
        <w:rPr>
          <w:spacing w:val="-2"/>
        </w:rPr>
        <w:t>electronic </w:t>
      </w:r>
      <w:r>
        <w:rPr/>
        <w:t>digital</w:t>
      </w:r>
      <w:r>
        <w:rPr>
          <w:spacing w:val="-2"/>
        </w:rPr>
        <w:t> </w:t>
      </w:r>
      <w:r>
        <w:rPr/>
        <w:t>broadband</w:t>
      </w:r>
      <w:r>
        <w:rPr>
          <w:spacing w:val="-2"/>
        </w:rPr>
        <w:t> </w:t>
      </w:r>
      <w:r>
        <w:rPr/>
        <w:t>network</w:t>
      </w:r>
      <w:r>
        <w:rPr>
          <w:spacing w:val="-2"/>
        </w:rPr>
        <w:t> </w:t>
      </w:r>
      <w:r>
        <w:rPr/>
        <w:t>with</w:t>
      </w:r>
      <w:r>
        <w:rPr>
          <w:spacing w:val="-2"/>
        </w:rPr>
        <w:t> </w:t>
      </w:r>
      <w:r>
        <w:rPr/>
        <w:t>adequate</w:t>
      </w:r>
      <w:r>
        <w:rPr>
          <w:spacing w:val="-2"/>
        </w:rPr>
        <w:t> </w:t>
      </w:r>
      <w:r>
        <w:rPr/>
        <w:t>capabilities </w:t>
      </w:r>
      <w:r>
        <w:rPr>
          <w:spacing w:val="-4"/>
        </w:rPr>
        <w:t>and</w:t>
      </w:r>
      <w:r>
        <w:rPr>
          <w:spacing w:val="-5"/>
        </w:rPr>
        <w:t> </w:t>
      </w:r>
      <w:r>
        <w:rPr>
          <w:spacing w:val="-4"/>
        </w:rPr>
        <w:t>access</w:t>
      </w:r>
      <w:r>
        <w:rPr>
          <w:spacing w:val="-5"/>
        </w:rPr>
        <w:t> </w:t>
      </w:r>
      <w:r>
        <w:rPr>
          <w:spacing w:val="-4"/>
        </w:rPr>
        <w:t>speed</w:t>
      </w:r>
      <w:r>
        <w:rPr>
          <w:spacing w:val="-5"/>
        </w:rPr>
        <w:t> </w:t>
      </w:r>
      <w:r>
        <w:rPr>
          <w:spacing w:val="-4"/>
        </w:rPr>
        <w:t>to</w:t>
      </w:r>
      <w:r>
        <w:rPr>
          <w:spacing w:val="-5"/>
        </w:rPr>
        <w:t> </w:t>
      </w:r>
      <w:r>
        <w:rPr>
          <w:spacing w:val="-4"/>
        </w:rPr>
        <w:t>encourage</w:t>
      </w:r>
      <w:r>
        <w:rPr>
          <w:spacing w:val="-5"/>
        </w:rPr>
        <w:t> </w:t>
      </w:r>
      <w:r>
        <w:rPr>
          <w:spacing w:val="-4"/>
        </w:rPr>
        <w:t>sharing</w:t>
      </w:r>
      <w:r>
        <w:rPr>
          <w:spacing w:val="-5"/>
        </w:rPr>
        <w:t> </w:t>
      </w:r>
      <w:r>
        <w:rPr>
          <w:spacing w:val="-4"/>
        </w:rPr>
        <w:t>of</w:t>
      </w:r>
      <w:r>
        <w:rPr>
          <w:spacing w:val="-5"/>
        </w:rPr>
        <w:t> </w:t>
      </w:r>
      <w:r>
        <w:rPr>
          <w:spacing w:val="-4"/>
        </w:rPr>
        <w:t>resources</w:t>
      </w:r>
      <w:r>
        <w:rPr>
          <w:spacing w:val="-5"/>
        </w:rPr>
        <w:t> </w:t>
      </w:r>
      <w:r>
        <w:rPr>
          <w:spacing w:val="-4"/>
        </w:rPr>
        <w:t>and </w:t>
      </w:r>
      <w:r>
        <w:rPr/>
        <w:t>collaborative research.</w:t>
      </w:r>
    </w:p>
    <w:p>
      <w:pPr>
        <w:pStyle w:val="BodyText"/>
        <w:spacing w:line="266" w:lineRule="auto" w:before="82"/>
        <w:ind w:left="319" w:right="1077"/>
        <w:jc w:val="both"/>
      </w:pPr>
      <w:r>
        <w:rPr/>
        <w:br w:type="column"/>
      </w:r>
      <w:r>
        <w:rPr>
          <w:spacing w:val="-6"/>
        </w:rPr>
        <w:t>NKC commissioned an expert to examine what it would </w:t>
      </w:r>
      <w:r>
        <w:rPr>
          <w:spacing w:val="-2"/>
        </w:rPr>
        <w:t>take</w:t>
      </w:r>
      <w:r>
        <w:rPr>
          <w:spacing w:val="-12"/>
        </w:rPr>
        <w:t> </w:t>
      </w:r>
      <w:r>
        <w:rPr>
          <w:spacing w:val="-2"/>
        </w:rPr>
        <w:t>to</w:t>
      </w:r>
      <w:r>
        <w:rPr>
          <w:spacing w:val="-12"/>
        </w:rPr>
        <w:t> </w:t>
      </w:r>
      <w:r>
        <w:rPr>
          <w:spacing w:val="-2"/>
        </w:rPr>
        <w:t>create</w:t>
      </w:r>
      <w:r>
        <w:rPr>
          <w:spacing w:val="-12"/>
        </w:rPr>
        <w:t> </w:t>
      </w:r>
      <w:r>
        <w:rPr>
          <w:spacing w:val="-2"/>
        </w:rPr>
        <w:t>a</w:t>
      </w:r>
      <w:r>
        <w:rPr>
          <w:spacing w:val="-11"/>
        </w:rPr>
        <w:t> </w:t>
      </w:r>
      <w:r>
        <w:rPr>
          <w:spacing w:val="-2"/>
        </w:rPr>
        <w:t>national</w:t>
      </w:r>
      <w:r>
        <w:rPr>
          <w:spacing w:val="-12"/>
        </w:rPr>
        <w:t> </w:t>
      </w:r>
      <w:r>
        <w:rPr>
          <w:spacing w:val="-2"/>
        </w:rPr>
        <w:t>knowledge</w:t>
      </w:r>
      <w:r>
        <w:rPr>
          <w:spacing w:val="-12"/>
        </w:rPr>
        <w:t> </w:t>
      </w:r>
      <w:r>
        <w:rPr>
          <w:spacing w:val="-2"/>
        </w:rPr>
        <w:t>network.</w:t>
      </w:r>
      <w:r>
        <w:rPr>
          <w:spacing w:val="-12"/>
        </w:rPr>
        <w:t> </w:t>
      </w:r>
      <w:r>
        <w:rPr>
          <w:spacing w:val="-2"/>
        </w:rPr>
        <w:t>NKC</w:t>
      </w:r>
      <w:r>
        <w:rPr>
          <w:spacing w:val="-11"/>
        </w:rPr>
        <w:t> </w:t>
      </w:r>
      <w:r>
        <w:rPr>
          <w:spacing w:val="-2"/>
        </w:rPr>
        <w:t>also </w:t>
      </w:r>
      <w:r>
        <w:rPr>
          <w:spacing w:val="-4"/>
        </w:rPr>
        <w:t>held</w:t>
      </w:r>
      <w:r>
        <w:rPr>
          <w:spacing w:val="-10"/>
        </w:rPr>
        <w:t> </w:t>
      </w:r>
      <w:r>
        <w:rPr>
          <w:spacing w:val="-4"/>
        </w:rPr>
        <w:t>detailed</w:t>
      </w:r>
      <w:r>
        <w:rPr>
          <w:spacing w:val="-10"/>
        </w:rPr>
        <w:t> </w:t>
      </w:r>
      <w:r>
        <w:rPr>
          <w:spacing w:val="-4"/>
        </w:rPr>
        <w:t>discussions</w:t>
      </w:r>
      <w:r>
        <w:rPr>
          <w:spacing w:val="-10"/>
        </w:rPr>
        <w:t> </w:t>
      </w:r>
      <w:r>
        <w:rPr>
          <w:spacing w:val="-4"/>
        </w:rPr>
        <w:t>with</w:t>
      </w:r>
      <w:r>
        <w:rPr>
          <w:spacing w:val="-9"/>
        </w:rPr>
        <w:t> </w:t>
      </w:r>
      <w:r>
        <w:rPr>
          <w:spacing w:val="-4"/>
        </w:rPr>
        <w:t>the</w:t>
      </w:r>
      <w:r>
        <w:rPr>
          <w:spacing w:val="-10"/>
        </w:rPr>
        <w:t> </w:t>
      </w:r>
      <w:r>
        <w:rPr>
          <w:spacing w:val="-4"/>
        </w:rPr>
        <w:t>office</w:t>
      </w:r>
      <w:r>
        <w:rPr>
          <w:spacing w:val="-10"/>
        </w:rPr>
        <w:t> </w:t>
      </w:r>
      <w:r>
        <w:rPr>
          <w:spacing w:val="-4"/>
        </w:rPr>
        <w:t>of</w:t>
      </w:r>
      <w:r>
        <w:rPr>
          <w:spacing w:val="-10"/>
        </w:rPr>
        <w:t> </w:t>
      </w:r>
      <w:r>
        <w:rPr>
          <w:spacing w:val="-4"/>
        </w:rPr>
        <w:t>the</w:t>
      </w:r>
      <w:r>
        <w:rPr>
          <w:spacing w:val="-9"/>
        </w:rPr>
        <w:t> </w:t>
      </w:r>
      <w:r>
        <w:rPr>
          <w:spacing w:val="-4"/>
        </w:rPr>
        <w:t>Principal </w:t>
      </w:r>
      <w:r>
        <w:rPr>
          <w:spacing w:val="-8"/>
        </w:rPr>
        <w:t>Scientific Adviser</w:t>
      </w:r>
      <w:r>
        <w:rPr>
          <w:spacing w:val="-6"/>
        </w:rPr>
        <w:t> </w:t>
      </w:r>
      <w:r>
        <w:rPr>
          <w:spacing w:val="-8"/>
        </w:rPr>
        <w:t>(PSA)</w:t>
      </w:r>
      <w:r>
        <w:rPr>
          <w:spacing w:val="-6"/>
        </w:rPr>
        <w:t> </w:t>
      </w:r>
      <w:r>
        <w:rPr>
          <w:spacing w:val="-8"/>
        </w:rPr>
        <w:t>to</w:t>
      </w:r>
      <w:r>
        <w:rPr>
          <w:spacing w:val="-5"/>
        </w:rPr>
        <w:t> </w:t>
      </w:r>
      <w:r>
        <w:rPr>
          <w:spacing w:val="-8"/>
        </w:rPr>
        <w:t>the</w:t>
      </w:r>
      <w:r>
        <w:rPr>
          <w:spacing w:val="-6"/>
        </w:rPr>
        <w:t> </w:t>
      </w:r>
      <w:r>
        <w:rPr>
          <w:spacing w:val="-8"/>
        </w:rPr>
        <w:t>Government</w:t>
      </w:r>
      <w:r>
        <w:rPr>
          <w:spacing w:val="-6"/>
        </w:rPr>
        <w:t> </w:t>
      </w:r>
      <w:r>
        <w:rPr>
          <w:spacing w:val="-8"/>
        </w:rPr>
        <w:t>of</w:t>
      </w:r>
      <w:r>
        <w:rPr>
          <w:spacing w:val="-6"/>
        </w:rPr>
        <w:t> </w:t>
      </w:r>
      <w:r>
        <w:rPr>
          <w:spacing w:val="-8"/>
        </w:rPr>
        <w:t>India.</w:t>
      </w:r>
      <w:r>
        <w:rPr>
          <w:spacing w:val="-5"/>
        </w:rPr>
        <w:t> </w:t>
      </w:r>
      <w:r>
        <w:rPr>
          <w:spacing w:val="-8"/>
        </w:rPr>
        <w:t>The </w:t>
      </w:r>
      <w:r>
        <w:rPr>
          <w:spacing w:val="-6"/>
        </w:rPr>
        <w:t>discussions</w:t>
      </w:r>
      <w:r>
        <w:rPr>
          <w:spacing w:val="-7"/>
        </w:rPr>
        <w:t> </w:t>
      </w:r>
      <w:r>
        <w:rPr>
          <w:spacing w:val="-6"/>
        </w:rPr>
        <w:t>yielded</w:t>
      </w:r>
      <w:r>
        <w:rPr>
          <w:spacing w:val="-7"/>
        </w:rPr>
        <w:t> </w:t>
      </w:r>
      <w:r>
        <w:rPr>
          <w:spacing w:val="-6"/>
        </w:rPr>
        <w:t>a</w:t>
      </w:r>
      <w:r>
        <w:rPr>
          <w:spacing w:val="-7"/>
        </w:rPr>
        <w:t> </w:t>
      </w:r>
      <w:r>
        <w:rPr>
          <w:spacing w:val="-6"/>
        </w:rPr>
        <w:t>consensus</w:t>
      </w:r>
      <w:r>
        <w:rPr>
          <w:spacing w:val="-7"/>
        </w:rPr>
        <w:t> </w:t>
      </w:r>
      <w:r>
        <w:rPr>
          <w:spacing w:val="-6"/>
        </w:rPr>
        <w:t>on</w:t>
      </w:r>
      <w:r>
        <w:rPr>
          <w:spacing w:val="-7"/>
        </w:rPr>
        <w:t> </w:t>
      </w:r>
      <w:r>
        <w:rPr>
          <w:spacing w:val="-6"/>
        </w:rPr>
        <w:t>the</w:t>
      </w:r>
      <w:r>
        <w:rPr>
          <w:spacing w:val="-7"/>
        </w:rPr>
        <w:t> </w:t>
      </w:r>
      <w:r>
        <w:rPr>
          <w:spacing w:val="-6"/>
        </w:rPr>
        <w:t>optimal</w:t>
      </w:r>
      <w:r>
        <w:rPr>
          <w:spacing w:val="-7"/>
        </w:rPr>
        <w:t> </w:t>
      </w:r>
      <w:r>
        <w:rPr>
          <w:spacing w:val="-6"/>
        </w:rPr>
        <w:t>approach to be adopted for setting up such a network, whether it is for a broad range of institutions as envisaged by NKC or a</w:t>
      </w:r>
      <w:r>
        <w:rPr>
          <w:spacing w:val="-8"/>
        </w:rPr>
        <w:t> </w:t>
      </w:r>
      <w:r>
        <w:rPr>
          <w:spacing w:val="-6"/>
        </w:rPr>
        <w:t>specific</w:t>
      </w:r>
      <w:r>
        <w:rPr>
          <w:spacing w:val="-8"/>
        </w:rPr>
        <w:t> </w:t>
      </w:r>
      <w:r>
        <w:rPr>
          <w:spacing w:val="-6"/>
        </w:rPr>
        <w:t>community</w:t>
      </w:r>
      <w:r>
        <w:rPr>
          <w:spacing w:val="-8"/>
        </w:rPr>
        <w:t> </w:t>
      </w:r>
      <w:r>
        <w:rPr>
          <w:spacing w:val="-6"/>
        </w:rPr>
        <w:t>of</w:t>
      </w:r>
      <w:r>
        <w:rPr>
          <w:spacing w:val="-7"/>
        </w:rPr>
        <w:t> </w:t>
      </w:r>
      <w:r>
        <w:rPr>
          <w:spacing w:val="-6"/>
        </w:rPr>
        <w:t>Science</w:t>
      </w:r>
      <w:r>
        <w:rPr>
          <w:spacing w:val="-5"/>
        </w:rPr>
        <w:t> </w:t>
      </w:r>
      <w:r>
        <w:rPr>
          <w:spacing w:val="-6"/>
        </w:rPr>
        <w:t>and</w:t>
      </w:r>
      <w:r>
        <w:rPr>
          <w:spacing w:val="-8"/>
        </w:rPr>
        <w:t> </w:t>
      </w:r>
      <w:r>
        <w:rPr>
          <w:spacing w:val="-6"/>
        </w:rPr>
        <w:t>Technology (S&amp;T) </w:t>
      </w:r>
      <w:r>
        <w:rPr/>
        <w:t>research</w:t>
      </w:r>
      <w:r>
        <w:rPr>
          <w:spacing w:val="-14"/>
        </w:rPr>
        <w:t> </w:t>
      </w:r>
      <w:r>
        <w:rPr/>
        <w:t>institutions.</w:t>
      </w:r>
      <w:r>
        <w:rPr>
          <w:spacing w:val="-14"/>
        </w:rPr>
        <w:t> </w:t>
      </w:r>
      <w:r>
        <w:rPr/>
        <w:t>Based</w:t>
      </w:r>
      <w:r>
        <w:rPr>
          <w:spacing w:val="-14"/>
        </w:rPr>
        <w:t> </w:t>
      </w:r>
      <w:r>
        <w:rPr/>
        <w:t>on</w:t>
      </w:r>
      <w:r>
        <w:rPr>
          <w:spacing w:val="-13"/>
        </w:rPr>
        <w:t> </w:t>
      </w:r>
      <w:r>
        <w:rPr/>
        <w:t>the</w:t>
      </w:r>
      <w:r>
        <w:rPr>
          <w:spacing w:val="-14"/>
        </w:rPr>
        <w:t> </w:t>
      </w:r>
      <w:r>
        <w:rPr/>
        <w:t>various</w:t>
      </w:r>
      <w:r>
        <w:rPr>
          <w:spacing w:val="-14"/>
        </w:rPr>
        <w:t> </w:t>
      </w:r>
      <w:r>
        <w:rPr/>
        <w:t>discussions NKC recommends the following:</w:t>
      </w:r>
    </w:p>
    <w:p>
      <w:pPr>
        <w:pStyle w:val="Heading6"/>
        <w:numPr>
          <w:ilvl w:val="0"/>
          <w:numId w:val="10"/>
        </w:numPr>
        <w:tabs>
          <w:tab w:pos="644" w:val="left" w:leader="none"/>
        </w:tabs>
        <w:spacing w:line="240" w:lineRule="auto" w:before="179" w:after="0"/>
        <w:ind w:left="644" w:right="0" w:hanging="325"/>
        <w:jc w:val="left"/>
      </w:pPr>
      <w:r>
        <w:rPr>
          <w:color w:val="2E614A"/>
          <w:spacing w:val="-10"/>
        </w:rPr>
        <w:t>National</w:t>
      </w:r>
      <w:r>
        <w:rPr>
          <w:color w:val="2E614A"/>
          <w:spacing w:val="-8"/>
        </w:rPr>
        <w:t> </w:t>
      </w:r>
      <w:r>
        <w:rPr>
          <w:color w:val="2E614A"/>
          <w:spacing w:val="-10"/>
        </w:rPr>
        <w:t>Knowledge</w:t>
      </w:r>
      <w:r>
        <w:rPr>
          <w:color w:val="2E614A"/>
          <w:spacing w:val="-8"/>
        </w:rPr>
        <w:t> </w:t>
      </w:r>
      <w:r>
        <w:rPr>
          <w:color w:val="2E614A"/>
          <w:spacing w:val="-10"/>
        </w:rPr>
        <w:t>Network</w:t>
      </w:r>
    </w:p>
    <w:p>
      <w:pPr>
        <w:pStyle w:val="BodyText"/>
        <w:spacing w:line="266" w:lineRule="auto" w:before="285"/>
        <w:ind w:left="319" w:right="1077"/>
        <w:jc w:val="both"/>
      </w:pPr>
      <w:r>
        <w:rPr/>
        <w:t>Build a national knowledge network with gigabit capabilities to connect all universities, </w:t>
      </w:r>
      <w:r>
        <w:rPr/>
        <w:t>libraries, laboratories, hospitals and agricultural institutions to share</w:t>
      </w:r>
      <w:r>
        <w:rPr>
          <w:spacing w:val="-4"/>
        </w:rPr>
        <w:t> </w:t>
      </w:r>
      <w:r>
        <w:rPr/>
        <w:t>data</w:t>
      </w:r>
      <w:r>
        <w:rPr>
          <w:spacing w:val="-4"/>
        </w:rPr>
        <w:t> </w:t>
      </w:r>
      <w:r>
        <w:rPr/>
        <w:t>and</w:t>
      </w:r>
      <w:r>
        <w:rPr>
          <w:spacing w:val="-4"/>
        </w:rPr>
        <w:t> </w:t>
      </w:r>
      <w:r>
        <w:rPr/>
        <w:t>resources</w:t>
      </w:r>
      <w:r>
        <w:rPr>
          <w:spacing w:val="-4"/>
        </w:rPr>
        <w:t> </w:t>
      </w:r>
      <w:r>
        <w:rPr/>
        <w:t>across</w:t>
      </w:r>
      <w:r>
        <w:rPr>
          <w:spacing w:val="-4"/>
        </w:rPr>
        <w:t> </w:t>
      </w:r>
      <w:r>
        <w:rPr/>
        <w:t>the</w:t>
      </w:r>
      <w:r>
        <w:rPr>
          <w:spacing w:val="-4"/>
        </w:rPr>
        <w:t> </w:t>
      </w:r>
      <w:r>
        <w:rPr/>
        <w:t>country.</w:t>
      </w:r>
      <w:r>
        <w:rPr>
          <w:spacing w:val="-11"/>
        </w:rPr>
        <w:t> </w:t>
      </w:r>
      <w:r>
        <w:rPr/>
        <w:t>This</w:t>
      </w:r>
      <w:r>
        <w:rPr>
          <w:spacing w:val="-4"/>
        </w:rPr>
        <w:t> </w:t>
      </w:r>
      <w:r>
        <w:rPr/>
        <w:t>will ultimately</w:t>
      </w:r>
      <w:r>
        <w:rPr>
          <w:spacing w:val="-12"/>
        </w:rPr>
        <w:t> </w:t>
      </w:r>
      <w:r>
        <w:rPr/>
        <w:t>require</w:t>
      </w:r>
      <w:r>
        <w:rPr>
          <w:spacing w:val="-12"/>
        </w:rPr>
        <w:t> </w:t>
      </w:r>
      <w:r>
        <w:rPr/>
        <w:t>provision</w:t>
      </w:r>
      <w:r>
        <w:rPr>
          <w:spacing w:val="-12"/>
        </w:rPr>
        <w:t> </w:t>
      </w:r>
      <w:r>
        <w:rPr/>
        <w:t>of</w:t>
      </w:r>
      <w:r>
        <w:rPr>
          <w:spacing w:val="-12"/>
        </w:rPr>
        <w:t> </w:t>
      </w:r>
      <w:r>
        <w:rPr/>
        <w:t>connectivity</w:t>
      </w:r>
      <w:r>
        <w:rPr>
          <w:spacing w:val="-12"/>
        </w:rPr>
        <w:t> </w:t>
      </w:r>
      <w:r>
        <w:rPr/>
        <w:t>to</w:t>
      </w:r>
      <w:r>
        <w:rPr>
          <w:spacing w:val="-12"/>
        </w:rPr>
        <w:t> </w:t>
      </w:r>
      <w:r>
        <w:rPr/>
        <w:t>around </w:t>
      </w:r>
      <w:r>
        <w:rPr>
          <w:spacing w:val="-2"/>
        </w:rPr>
        <w:t>5,000</w:t>
      </w:r>
      <w:r>
        <w:rPr>
          <w:spacing w:val="-6"/>
        </w:rPr>
        <w:t> </w:t>
      </w:r>
      <w:r>
        <w:rPr>
          <w:spacing w:val="-2"/>
        </w:rPr>
        <w:t>nodes</w:t>
      </w:r>
      <w:r>
        <w:rPr>
          <w:spacing w:val="-5"/>
        </w:rPr>
        <w:t> </w:t>
      </w:r>
      <w:r>
        <w:rPr>
          <w:spacing w:val="-2"/>
        </w:rPr>
        <w:t>covering</w:t>
      </w:r>
      <w:r>
        <w:rPr>
          <w:spacing w:val="-5"/>
        </w:rPr>
        <w:t> </w:t>
      </w:r>
      <w:r>
        <w:rPr>
          <w:spacing w:val="-2"/>
        </w:rPr>
        <w:t>all</w:t>
      </w:r>
      <w:r>
        <w:rPr>
          <w:spacing w:val="-5"/>
        </w:rPr>
        <w:t> </w:t>
      </w:r>
      <w:r>
        <w:rPr>
          <w:spacing w:val="-2"/>
        </w:rPr>
        <w:t>major</w:t>
      </w:r>
      <w:r>
        <w:rPr>
          <w:spacing w:val="-5"/>
        </w:rPr>
        <w:t> </w:t>
      </w:r>
      <w:r>
        <w:rPr>
          <w:spacing w:val="-2"/>
        </w:rPr>
        <w:t>institutions.</w:t>
      </w:r>
      <w:r>
        <w:rPr>
          <w:spacing w:val="-12"/>
        </w:rPr>
        <w:t> </w:t>
      </w:r>
      <w:r>
        <w:rPr>
          <w:spacing w:val="-2"/>
        </w:rPr>
        <w:t>The</w:t>
      </w:r>
      <w:r>
        <w:rPr>
          <w:spacing w:val="-5"/>
        </w:rPr>
        <w:t> </w:t>
      </w:r>
      <w:r>
        <w:rPr>
          <w:spacing w:val="-2"/>
        </w:rPr>
        <w:t>actual </w:t>
      </w:r>
      <w:r>
        <w:rPr/>
        <w:t>implementation could be in phases targeting 500 to 1,000</w:t>
      </w:r>
      <w:r>
        <w:rPr>
          <w:spacing w:val="-10"/>
        </w:rPr>
        <w:t> </w:t>
      </w:r>
      <w:r>
        <w:rPr/>
        <w:t>nodes</w:t>
      </w:r>
      <w:r>
        <w:rPr>
          <w:spacing w:val="-10"/>
        </w:rPr>
        <w:t> </w:t>
      </w:r>
      <w:r>
        <w:rPr/>
        <w:t>in</w:t>
      </w:r>
      <w:r>
        <w:rPr>
          <w:spacing w:val="-10"/>
        </w:rPr>
        <w:t> </w:t>
      </w:r>
      <w:r>
        <w:rPr/>
        <w:t>the</w:t>
      </w:r>
      <w:r>
        <w:rPr>
          <w:spacing w:val="-10"/>
        </w:rPr>
        <w:t> </w:t>
      </w:r>
      <w:r>
        <w:rPr/>
        <w:t>first</w:t>
      </w:r>
      <w:r>
        <w:rPr>
          <w:spacing w:val="-10"/>
        </w:rPr>
        <w:t> </w:t>
      </w:r>
      <w:r>
        <w:rPr/>
        <w:t>phase.</w:t>
      </w:r>
      <w:r>
        <w:rPr>
          <w:spacing w:val="-10"/>
        </w:rPr>
        <w:t> </w:t>
      </w:r>
      <w:r>
        <w:rPr/>
        <w:t>However,</w:t>
      </w:r>
      <w:r>
        <w:rPr>
          <w:spacing w:val="-10"/>
        </w:rPr>
        <w:t> </w:t>
      </w:r>
      <w:r>
        <w:rPr/>
        <w:t>the</w:t>
      </w:r>
      <w:r>
        <w:rPr>
          <w:spacing w:val="-10"/>
        </w:rPr>
        <w:t> </w:t>
      </w:r>
      <w:r>
        <w:rPr/>
        <w:t>design</w:t>
      </w:r>
      <w:r>
        <w:rPr>
          <w:spacing w:val="-10"/>
        </w:rPr>
        <w:t> </w:t>
      </w:r>
      <w:r>
        <w:rPr/>
        <w:t>of </w:t>
      </w:r>
      <w:r>
        <w:rPr>
          <w:spacing w:val="-2"/>
        </w:rPr>
        <w:t>the</w:t>
      </w:r>
      <w:r>
        <w:rPr>
          <w:spacing w:val="-10"/>
        </w:rPr>
        <w:t> </w:t>
      </w:r>
      <w:r>
        <w:rPr>
          <w:spacing w:val="-2"/>
        </w:rPr>
        <w:t>network</w:t>
      </w:r>
      <w:r>
        <w:rPr>
          <w:spacing w:val="-10"/>
        </w:rPr>
        <w:t> </w:t>
      </w:r>
      <w:r>
        <w:rPr>
          <w:spacing w:val="-2"/>
        </w:rPr>
        <w:t>will</w:t>
      </w:r>
      <w:r>
        <w:rPr>
          <w:spacing w:val="-10"/>
        </w:rPr>
        <w:t> </w:t>
      </w:r>
      <w:r>
        <w:rPr>
          <w:spacing w:val="-2"/>
        </w:rPr>
        <w:t>have</w:t>
      </w:r>
      <w:r>
        <w:rPr>
          <w:spacing w:val="-10"/>
        </w:rPr>
        <w:t> </w:t>
      </w:r>
      <w:r>
        <w:rPr>
          <w:spacing w:val="-2"/>
        </w:rPr>
        <w:t>to</w:t>
      </w:r>
      <w:r>
        <w:rPr>
          <w:spacing w:val="-10"/>
        </w:rPr>
        <w:t> </w:t>
      </w:r>
      <w:r>
        <w:rPr>
          <w:spacing w:val="-2"/>
        </w:rPr>
        <w:t>be</w:t>
      </w:r>
      <w:r>
        <w:rPr>
          <w:spacing w:val="-10"/>
        </w:rPr>
        <w:t> </w:t>
      </w:r>
      <w:r>
        <w:rPr>
          <w:spacing w:val="-2"/>
        </w:rPr>
        <w:t>based</w:t>
      </w:r>
      <w:r>
        <w:rPr>
          <w:spacing w:val="-10"/>
        </w:rPr>
        <w:t> </w:t>
      </w:r>
      <w:r>
        <w:rPr>
          <w:spacing w:val="-2"/>
        </w:rPr>
        <w:t>on</w:t>
      </w:r>
      <w:r>
        <w:rPr>
          <w:spacing w:val="-10"/>
        </w:rPr>
        <w:t> </w:t>
      </w:r>
      <w:r>
        <w:rPr>
          <w:spacing w:val="-2"/>
        </w:rPr>
        <w:t>the</w:t>
      </w:r>
      <w:r>
        <w:rPr>
          <w:spacing w:val="-10"/>
        </w:rPr>
        <w:t> </w:t>
      </w:r>
      <w:r>
        <w:rPr>
          <w:spacing w:val="-2"/>
        </w:rPr>
        <w:t>final</w:t>
      </w:r>
      <w:r>
        <w:rPr>
          <w:spacing w:val="-10"/>
        </w:rPr>
        <w:t> </w:t>
      </w:r>
      <w:r>
        <w:rPr>
          <w:spacing w:val="-2"/>
        </w:rPr>
        <w:t>network. </w:t>
      </w:r>
      <w:r>
        <w:rPr/>
        <w:t>The prioritisation of the nodes for implementation </w:t>
      </w:r>
      <w:r>
        <w:rPr>
          <w:spacing w:val="-4"/>
        </w:rPr>
        <w:t>purposes</w:t>
      </w:r>
      <w:r>
        <w:rPr>
          <w:spacing w:val="-10"/>
        </w:rPr>
        <w:t> </w:t>
      </w:r>
      <w:r>
        <w:rPr>
          <w:spacing w:val="-4"/>
        </w:rPr>
        <w:t>should</w:t>
      </w:r>
      <w:r>
        <w:rPr>
          <w:spacing w:val="-10"/>
        </w:rPr>
        <w:t> </w:t>
      </w:r>
      <w:r>
        <w:rPr>
          <w:spacing w:val="-4"/>
        </w:rPr>
        <w:t>be</w:t>
      </w:r>
      <w:r>
        <w:rPr>
          <w:spacing w:val="-10"/>
        </w:rPr>
        <w:t> </w:t>
      </w:r>
      <w:r>
        <w:rPr>
          <w:spacing w:val="-4"/>
        </w:rPr>
        <w:t>on</w:t>
      </w:r>
      <w:r>
        <w:rPr>
          <w:spacing w:val="-9"/>
        </w:rPr>
        <w:t> </w:t>
      </w:r>
      <w:r>
        <w:rPr>
          <w:spacing w:val="-4"/>
        </w:rPr>
        <w:t>the</w:t>
      </w:r>
      <w:r>
        <w:rPr>
          <w:spacing w:val="-10"/>
        </w:rPr>
        <w:t> </w:t>
      </w:r>
      <w:r>
        <w:rPr>
          <w:spacing w:val="-4"/>
        </w:rPr>
        <w:t>basis</w:t>
      </w:r>
      <w:r>
        <w:rPr>
          <w:spacing w:val="-10"/>
        </w:rPr>
        <w:t> </w:t>
      </w:r>
      <w:r>
        <w:rPr>
          <w:spacing w:val="-4"/>
        </w:rPr>
        <w:t>of</w:t>
      </w:r>
      <w:r>
        <w:rPr>
          <w:spacing w:val="-10"/>
        </w:rPr>
        <w:t> </w:t>
      </w:r>
      <w:r>
        <w:rPr>
          <w:spacing w:val="-4"/>
        </w:rPr>
        <w:t>the</w:t>
      </w:r>
      <w:r>
        <w:rPr>
          <w:spacing w:val="-9"/>
        </w:rPr>
        <w:t> </w:t>
      </w:r>
      <w:r>
        <w:rPr>
          <w:spacing w:val="-4"/>
        </w:rPr>
        <w:t>institutions</w:t>
      </w:r>
      <w:r>
        <w:rPr>
          <w:spacing w:val="-10"/>
        </w:rPr>
        <w:t> </w:t>
      </w:r>
      <w:r>
        <w:rPr>
          <w:spacing w:val="-4"/>
        </w:rPr>
        <w:t>which </w:t>
      </w:r>
      <w:r>
        <w:rPr/>
        <w:t>are most likely to use the network from day one and </w:t>
      </w:r>
      <w:r>
        <w:rPr>
          <w:spacing w:val="-4"/>
        </w:rPr>
        <w:t>which</w:t>
      </w:r>
      <w:r>
        <w:rPr>
          <w:spacing w:val="-8"/>
        </w:rPr>
        <w:t> </w:t>
      </w:r>
      <w:r>
        <w:rPr>
          <w:spacing w:val="-4"/>
        </w:rPr>
        <w:t>would</w:t>
      </w:r>
      <w:r>
        <w:rPr>
          <w:spacing w:val="-8"/>
        </w:rPr>
        <w:t> </w:t>
      </w:r>
      <w:r>
        <w:rPr>
          <w:spacing w:val="-4"/>
        </w:rPr>
        <w:t>be</w:t>
      </w:r>
      <w:r>
        <w:rPr>
          <w:spacing w:val="-8"/>
        </w:rPr>
        <w:t> </w:t>
      </w:r>
      <w:r>
        <w:rPr>
          <w:spacing w:val="-4"/>
        </w:rPr>
        <w:t>able</w:t>
      </w:r>
      <w:r>
        <w:rPr>
          <w:spacing w:val="-8"/>
        </w:rPr>
        <w:t> </w:t>
      </w:r>
      <w:r>
        <w:rPr>
          <w:spacing w:val="-4"/>
        </w:rPr>
        <w:t>to</w:t>
      </w:r>
      <w:r>
        <w:rPr>
          <w:spacing w:val="-8"/>
        </w:rPr>
        <w:t> </w:t>
      </w:r>
      <w:r>
        <w:rPr>
          <w:spacing w:val="-4"/>
        </w:rPr>
        <w:t>demonstrate</w:t>
      </w:r>
      <w:r>
        <w:rPr>
          <w:spacing w:val="-8"/>
        </w:rPr>
        <w:t> </w:t>
      </w:r>
      <w:r>
        <w:rPr>
          <w:spacing w:val="-4"/>
        </w:rPr>
        <w:t>the</w:t>
      </w:r>
      <w:r>
        <w:rPr>
          <w:spacing w:val="-8"/>
        </w:rPr>
        <w:t> </w:t>
      </w:r>
      <w:r>
        <w:rPr>
          <w:spacing w:val="-4"/>
        </w:rPr>
        <w:t>benefits.</w:t>
      </w:r>
      <w:r>
        <w:rPr>
          <w:spacing w:val="-8"/>
        </w:rPr>
        <w:t> </w:t>
      </w:r>
      <w:r>
        <w:rPr>
          <w:spacing w:val="-4"/>
        </w:rPr>
        <w:t>Based </w:t>
      </w:r>
      <w:r>
        <w:rPr>
          <w:spacing w:val="-6"/>
        </w:rPr>
        <w:t>on</w:t>
      </w:r>
      <w:r>
        <w:rPr>
          <w:spacing w:val="-8"/>
        </w:rPr>
        <w:t> </w:t>
      </w:r>
      <w:r>
        <w:rPr>
          <w:spacing w:val="-6"/>
        </w:rPr>
        <w:t>a</w:t>
      </w:r>
      <w:r>
        <w:rPr>
          <w:spacing w:val="-8"/>
        </w:rPr>
        <w:t> </w:t>
      </w:r>
      <w:r>
        <w:rPr>
          <w:spacing w:val="-6"/>
        </w:rPr>
        <w:t>detailed</w:t>
      </w:r>
      <w:r>
        <w:rPr>
          <w:spacing w:val="-8"/>
        </w:rPr>
        <w:t> </w:t>
      </w:r>
      <w:r>
        <w:rPr>
          <w:spacing w:val="-6"/>
        </w:rPr>
        <w:t>analysis</w:t>
      </w:r>
      <w:r>
        <w:rPr>
          <w:spacing w:val="-7"/>
        </w:rPr>
        <w:t> </w:t>
      </w:r>
      <w:r>
        <w:rPr>
          <w:spacing w:val="-6"/>
        </w:rPr>
        <w:t>of</w:t>
      </w:r>
      <w:r>
        <w:rPr>
          <w:spacing w:val="-8"/>
        </w:rPr>
        <w:t> </w:t>
      </w:r>
      <w:r>
        <w:rPr>
          <w:spacing w:val="-6"/>
        </w:rPr>
        <w:t>the</w:t>
      </w:r>
      <w:r>
        <w:rPr>
          <w:spacing w:val="-8"/>
        </w:rPr>
        <w:t> </w:t>
      </w:r>
      <w:r>
        <w:rPr>
          <w:spacing w:val="-6"/>
        </w:rPr>
        <w:t>country’s</w:t>
      </w:r>
      <w:r>
        <w:rPr>
          <w:spacing w:val="-8"/>
        </w:rPr>
        <w:t> </w:t>
      </w:r>
      <w:r>
        <w:rPr>
          <w:spacing w:val="-6"/>
        </w:rPr>
        <w:t>existing</w:t>
      </w:r>
      <w:r>
        <w:rPr>
          <w:spacing w:val="-7"/>
        </w:rPr>
        <w:t> </w:t>
      </w:r>
      <w:r>
        <w:rPr>
          <w:spacing w:val="-6"/>
        </w:rPr>
        <w:t>optic</w:t>
      </w:r>
      <w:r>
        <w:rPr>
          <w:spacing w:val="-8"/>
        </w:rPr>
        <w:t> </w:t>
      </w:r>
      <w:r>
        <w:rPr>
          <w:spacing w:val="-6"/>
        </w:rPr>
        <w:t>fibre </w:t>
      </w:r>
      <w:r>
        <w:rPr>
          <w:spacing w:val="-4"/>
        </w:rPr>
        <w:t>infrastructure</w:t>
      </w:r>
      <w:r>
        <w:rPr>
          <w:spacing w:val="-7"/>
        </w:rPr>
        <w:t> </w:t>
      </w:r>
      <w:r>
        <w:rPr>
          <w:spacing w:val="-4"/>
        </w:rPr>
        <w:t>and</w:t>
      </w:r>
      <w:r>
        <w:rPr>
          <w:spacing w:val="-7"/>
        </w:rPr>
        <w:t> </w:t>
      </w:r>
      <w:r>
        <w:rPr>
          <w:spacing w:val="-4"/>
        </w:rPr>
        <w:t>technologies</w:t>
      </w:r>
      <w:r>
        <w:rPr>
          <w:spacing w:val="-7"/>
        </w:rPr>
        <w:t> </w:t>
      </w:r>
      <w:r>
        <w:rPr>
          <w:spacing w:val="-4"/>
        </w:rPr>
        <w:t>available,</w:t>
      </w:r>
      <w:r>
        <w:rPr>
          <w:spacing w:val="-7"/>
        </w:rPr>
        <w:t> </w:t>
      </w:r>
      <w:r>
        <w:rPr>
          <w:spacing w:val="-4"/>
        </w:rPr>
        <w:t>it</w:t>
      </w:r>
      <w:r>
        <w:rPr>
          <w:spacing w:val="-7"/>
        </w:rPr>
        <w:t> </w:t>
      </w:r>
      <w:r>
        <w:rPr>
          <w:spacing w:val="-4"/>
        </w:rPr>
        <w:t>is</w:t>
      </w:r>
      <w:r>
        <w:rPr>
          <w:spacing w:val="-7"/>
        </w:rPr>
        <w:t> </w:t>
      </w:r>
      <w:r>
        <w:rPr>
          <w:spacing w:val="-4"/>
        </w:rPr>
        <w:t>estimated </w:t>
      </w:r>
      <w:r>
        <w:rPr>
          <w:spacing w:val="-2"/>
        </w:rPr>
        <w:t>that</w:t>
      </w:r>
      <w:r>
        <w:rPr>
          <w:spacing w:val="-9"/>
        </w:rPr>
        <w:t> </w:t>
      </w:r>
      <w:r>
        <w:rPr>
          <w:spacing w:val="-2"/>
        </w:rPr>
        <w:t>a</w:t>
      </w:r>
      <w:r>
        <w:rPr>
          <w:spacing w:val="-9"/>
        </w:rPr>
        <w:t> </w:t>
      </w:r>
      <w:r>
        <w:rPr>
          <w:spacing w:val="-2"/>
        </w:rPr>
        <w:t>500</w:t>
      </w:r>
      <w:r>
        <w:rPr>
          <w:spacing w:val="-9"/>
        </w:rPr>
        <w:t> </w:t>
      </w:r>
      <w:r>
        <w:rPr>
          <w:spacing w:val="-2"/>
        </w:rPr>
        <w:t>to</w:t>
      </w:r>
      <w:r>
        <w:rPr>
          <w:spacing w:val="-9"/>
        </w:rPr>
        <w:t> </w:t>
      </w:r>
      <w:r>
        <w:rPr>
          <w:spacing w:val="-2"/>
        </w:rPr>
        <w:t>1000-node</w:t>
      </w:r>
      <w:r>
        <w:rPr>
          <w:spacing w:val="-9"/>
        </w:rPr>
        <w:t> </w:t>
      </w:r>
      <w:r>
        <w:rPr>
          <w:spacing w:val="-2"/>
        </w:rPr>
        <w:t>network</w:t>
      </w:r>
      <w:r>
        <w:rPr>
          <w:spacing w:val="-9"/>
        </w:rPr>
        <w:t> </w:t>
      </w:r>
      <w:r>
        <w:rPr>
          <w:spacing w:val="-2"/>
        </w:rPr>
        <w:t>can</w:t>
      </w:r>
      <w:r>
        <w:rPr>
          <w:spacing w:val="-9"/>
        </w:rPr>
        <w:t> </w:t>
      </w:r>
      <w:r>
        <w:rPr>
          <w:spacing w:val="-2"/>
        </w:rPr>
        <w:t>be</w:t>
      </w:r>
      <w:r>
        <w:rPr>
          <w:spacing w:val="-9"/>
        </w:rPr>
        <w:t> </w:t>
      </w:r>
      <w:r>
        <w:rPr>
          <w:spacing w:val="-2"/>
        </w:rPr>
        <w:t>commissioned </w:t>
      </w:r>
      <w:r>
        <w:rPr/>
        <w:t>within three to six months.</w:t>
      </w:r>
    </w:p>
    <w:p>
      <w:pPr>
        <w:pStyle w:val="Heading6"/>
        <w:numPr>
          <w:ilvl w:val="0"/>
          <w:numId w:val="10"/>
        </w:numPr>
        <w:tabs>
          <w:tab w:pos="644" w:val="left" w:leader="none"/>
        </w:tabs>
        <w:spacing w:line="240" w:lineRule="auto" w:before="173" w:after="0"/>
        <w:ind w:left="644" w:right="0" w:hanging="325"/>
        <w:jc w:val="left"/>
      </w:pPr>
      <w:r>
        <w:rPr>
          <w:color w:val="2E614A"/>
          <w:spacing w:val="-2"/>
        </w:rPr>
        <w:t>Options</w:t>
      </w:r>
    </w:p>
    <w:p>
      <w:pPr>
        <w:pStyle w:val="BodyText"/>
        <w:spacing w:line="266" w:lineRule="auto" w:before="285"/>
        <w:ind w:left="319" w:right="1077"/>
        <w:jc w:val="both"/>
      </w:pPr>
      <w:r>
        <w:rPr/>
        <w:t>Wide consultations with experts and </w:t>
      </w:r>
      <w:r>
        <w:rPr/>
        <w:t>technology </w:t>
      </w:r>
      <w:r>
        <w:rPr>
          <w:spacing w:val="-6"/>
        </w:rPr>
        <w:t>providers</w:t>
      </w:r>
      <w:r>
        <w:rPr>
          <w:spacing w:val="-7"/>
        </w:rPr>
        <w:t> </w:t>
      </w:r>
      <w:r>
        <w:rPr>
          <w:spacing w:val="-6"/>
        </w:rPr>
        <w:t>suggest</w:t>
      </w:r>
      <w:r>
        <w:rPr>
          <w:spacing w:val="-7"/>
        </w:rPr>
        <w:t> </w:t>
      </w:r>
      <w:r>
        <w:rPr>
          <w:spacing w:val="-6"/>
        </w:rPr>
        <w:t>that</w:t>
      </w:r>
      <w:r>
        <w:rPr>
          <w:spacing w:val="-7"/>
        </w:rPr>
        <w:t> </w:t>
      </w:r>
      <w:r>
        <w:rPr>
          <w:spacing w:val="-6"/>
        </w:rPr>
        <w:t>there</w:t>
      </w:r>
      <w:r>
        <w:rPr>
          <w:spacing w:val="-7"/>
        </w:rPr>
        <w:t> </w:t>
      </w:r>
      <w:r>
        <w:rPr>
          <w:spacing w:val="-6"/>
        </w:rPr>
        <w:t>are</w:t>
      </w:r>
      <w:r>
        <w:rPr>
          <w:spacing w:val="-7"/>
        </w:rPr>
        <w:t> </w:t>
      </w:r>
      <w:r>
        <w:rPr>
          <w:spacing w:val="-6"/>
        </w:rPr>
        <w:t>four</w:t>
      </w:r>
      <w:r>
        <w:rPr>
          <w:spacing w:val="-7"/>
        </w:rPr>
        <w:t> </w:t>
      </w:r>
      <w:r>
        <w:rPr>
          <w:spacing w:val="-6"/>
        </w:rPr>
        <w:t>possible</w:t>
      </w:r>
      <w:r>
        <w:rPr>
          <w:spacing w:val="-7"/>
        </w:rPr>
        <w:t> </w:t>
      </w:r>
      <w:r>
        <w:rPr>
          <w:spacing w:val="-6"/>
        </w:rPr>
        <w:t>networking </w:t>
      </w:r>
      <w:r>
        <w:rPr>
          <w:spacing w:val="-2"/>
        </w:rPr>
        <w:t>options:</w:t>
      </w:r>
    </w:p>
    <w:p>
      <w:pPr>
        <w:pStyle w:val="ListParagraph"/>
        <w:numPr>
          <w:ilvl w:val="1"/>
          <w:numId w:val="10"/>
        </w:numPr>
        <w:tabs>
          <w:tab w:pos="1019" w:val="left" w:leader="none"/>
        </w:tabs>
        <w:spacing w:line="266" w:lineRule="auto" w:before="0" w:after="0"/>
        <w:ind w:left="1019" w:right="1077" w:hanging="320"/>
        <w:jc w:val="both"/>
        <w:rPr>
          <w:sz w:val="22"/>
        </w:rPr>
      </w:pPr>
      <w:r>
        <w:rPr>
          <w:sz w:val="22"/>
        </w:rPr>
        <w:t>The first one involves hiring dark fibres that have been extensively laid out by various telecom</w:t>
      </w:r>
      <w:r>
        <w:rPr>
          <w:spacing w:val="-2"/>
          <w:sz w:val="22"/>
        </w:rPr>
        <w:t> </w:t>
      </w:r>
      <w:r>
        <w:rPr>
          <w:sz w:val="22"/>
        </w:rPr>
        <w:t>service</w:t>
      </w:r>
      <w:r>
        <w:rPr>
          <w:spacing w:val="-2"/>
          <w:sz w:val="22"/>
        </w:rPr>
        <w:t> </w:t>
      </w:r>
      <w:r>
        <w:rPr>
          <w:sz w:val="22"/>
        </w:rPr>
        <w:t>providers</w:t>
      </w:r>
      <w:r>
        <w:rPr>
          <w:spacing w:val="-2"/>
          <w:sz w:val="22"/>
        </w:rPr>
        <w:t> </w:t>
      </w:r>
      <w:r>
        <w:rPr>
          <w:sz w:val="22"/>
        </w:rPr>
        <w:t>and</w:t>
      </w:r>
      <w:r>
        <w:rPr>
          <w:spacing w:val="-2"/>
          <w:sz w:val="22"/>
        </w:rPr>
        <w:t> </w:t>
      </w:r>
      <w:r>
        <w:rPr>
          <w:sz w:val="22"/>
        </w:rPr>
        <w:t>lighting</w:t>
      </w:r>
      <w:r>
        <w:rPr>
          <w:spacing w:val="-2"/>
          <w:sz w:val="22"/>
        </w:rPr>
        <w:t> </w:t>
      </w:r>
      <w:r>
        <w:rPr>
          <w:sz w:val="22"/>
        </w:rPr>
        <w:t>them.</w:t>
      </w:r>
    </w:p>
    <w:p>
      <w:pPr>
        <w:pStyle w:val="ListParagraph"/>
        <w:numPr>
          <w:ilvl w:val="1"/>
          <w:numId w:val="10"/>
        </w:numPr>
        <w:tabs>
          <w:tab w:pos="1019" w:val="left" w:leader="none"/>
        </w:tabs>
        <w:spacing w:line="266" w:lineRule="auto" w:before="0" w:after="0"/>
        <w:ind w:left="1019" w:right="1077" w:hanging="320"/>
        <w:jc w:val="both"/>
        <w:rPr>
          <w:sz w:val="22"/>
        </w:rPr>
      </w:pPr>
      <w:r>
        <w:rPr>
          <w:sz w:val="22"/>
        </w:rPr>
        <w:t>The second involves lit fibres and </w:t>
      </w:r>
      <w:r>
        <w:rPr>
          <w:sz w:val="22"/>
        </w:rPr>
        <w:t>differs from the first in not requiring transmission equipment procurement and its maintenance.</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ListParagraph"/>
        <w:numPr>
          <w:ilvl w:val="2"/>
          <w:numId w:val="10"/>
        </w:numPr>
        <w:tabs>
          <w:tab w:pos="1779" w:val="left" w:leader="none"/>
        </w:tabs>
        <w:spacing w:line="266" w:lineRule="auto" w:before="68" w:after="0"/>
        <w:ind w:left="1779" w:right="0" w:hanging="320"/>
        <w:jc w:val="both"/>
        <w:rPr>
          <w:sz w:val="22"/>
        </w:rPr>
      </w:pPr>
      <w:r>
        <w:rPr>
          <w:sz w:val="22"/>
        </w:rPr>
        <w:t>The</w:t>
      </w:r>
      <w:r>
        <w:rPr>
          <w:spacing w:val="-7"/>
          <w:sz w:val="22"/>
        </w:rPr>
        <w:t> </w:t>
      </w:r>
      <w:r>
        <w:rPr>
          <w:sz w:val="22"/>
        </w:rPr>
        <w:t>third</w:t>
      </w:r>
      <w:r>
        <w:rPr>
          <w:spacing w:val="-7"/>
          <w:sz w:val="22"/>
        </w:rPr>
        <w:t> </w:t>
      </w:r>
      <w:r>
        <w:rPr>
          <w:sz w:val="22"/>
        </w:rPr>
        <w:t>involves</w:t>
      </w:r>
      <w:r>
        <w:rPr>
          <w:spacing w:val="-7"/>
          <w:sz w:val="22"/>
        </w:rPr>
        <w:t> </w:t>
      </w:r>
      <w:r>
        <w:rPr>
          <w:sz w:val="22"/>
        </w:rPr>
        <w:t>using</w:t>
      </w:r>
      <w:r>
        <w:rPr>
          <w:spacing w:val="-7"/>
          <w:sz w:val="22"/>
        </w:rPr>
        <w:t> </w:t>
      </w:r>
      <w:r>
        <w:rPr>
          <w:sz w:val="22"/>
        </w:rPr>
        <w:t>existing</w:t>
      </w:r>
      <w:r>
        <w:rPr>
          <w:spacing w:val="-7"/>
          <w:sz w:val="22"/>
        </w:rPr>
        <w:t> </w:t>
      </w:r>
      <w:r>
        <w:rPr>
          <w:sz w:val="22"/>
        </w:rPr>
        <w:t>commercial networks, making capital investment </w:t>
      </w:r>
      <w:r>
        <w:rPr>
          <w:sz w:val="22"/>
        </w:rPr>
        <w:t>in equipment</w:t>
      </w:r>
      <w:r>
        <w:rPr>
          <w:spacing w:val="-6"/>
          <w:sz w:val="22"/>
        </w:rPr>
        <w:t> </w:t>
      </w:r>
      <w:r>
        <w:rPr>
          <w:sz w:val="22"/>
        </w:rPr>
        <w:t>unnecessary.</w:t>
      </w:r>
      <w:r>
        <w:rPr>
          <w:spacing w:val="-6"/>
          <w:sz w:val="22"/>
        </w:rPr>
        <w:t> </w:t>
      </w:r>
      <w:r>
        <w:rPr>
          <w:sz w:val="22"/>
        </w:rPr>
        <w:t>It</w:t>
      </w:r>
      <w:r>
        <w:rPr>
          <w:spacing w:val="-6"/>
          <w:sz w:val="22"/>
        </w:rPr>
        <w:t> </w:t>
      </w:r>
      <w:r>
        <w:rPr>
          <w:sz w:val="22"/>
        </w:rPr>
        <w:t>requires</w:t>
      </w:r>
      <w:r>
        <w:rPr>
          <w:spacing w:val="-6"/>
          <w:sz w:val="22"/>
        </w:rPr>
        <w:t> </w:t>
      </w:r>
      <w:r>
        <w:rPr>
          <w:sz w:val="22"/>
        </w:rPr>
        <w:t>minimum maintenance and operations organisation.</w:t>
      </w:r>
    </w:p>
    <w:p>
      <w:pPr>
        <w:pStyle w:val="ListParagraph"/>
        <w:numPr>
          <w:ilvl w:val="2"/>
          <w:numId w:val="10"/>
        </w:numPr>
        <w:tabs>
          <w:tab w:pos="1780" w:val="left" w:leader="none"/>
        </w:tabs>
        <w:spacing w:line="266" w:lineRule="auto" w:before="0" w:after="0"/>
        <w:ind w:left="1780" w:right="0" w:hanging="320"/>
        <w:jc w:val="both"/>
        <w:rPr>
          <w:sz w:val="22"/>
        </w:rPr>
      </w:pPr>
      <w:r>
        <w:rPr>
          <w:spacing w:val="-4"/>
          <w:sz w:val="22"/>
        </w:rPr>
        <w:t>The</w:t>
      </w:r>
      <w:r>
        <w:rPr>
          <w:spacing w:val="-10"/>
          <w:sz w:val="22"/>
        </w:rPr>
        <w:t> </w:t>
      </w:r>
      <w:r>
        <w:rPr>
          <w:spacing w:val="-4"/>
          <w:sz w:val="22"/>
        </w:rPr>
        <w:t>fourth</w:t>
      </w:r>
      <w:r>
        <w:rPr>
          <w:spacing w:val="-9"/>
          <w:sz w:val="22"/>
        </w:rPr>
        <w:t> </w:t>
      </w:r>
      <w:r>
        <w:rPr>
          <w:spacing w:val="-4"/>
          <w:sz w:val="22"/>
        </w:rPr>
        <w:t>is</w:t>
      </w:r>
      <w:r>
        <w:rPr>
          <w:spacing w:val="-10"/>
          <w:sz w:val="22"/>
        </w:rPr>
        <w:t> </w:t>
      </w:r>
      <w:r>
        <w:rPr>
          <w:spacing w:val="-4"/>
          <w:sz w:val="22"/>
        </w:rPr>
        <w:t>a</w:t>
      </w:r>
      <w:r>
        <w:rPr>
          <w:spacing w:val="-9"/>
          <w:sz w:val="22"/>
        </w:rPr>
        <w:t> </w:t>
      </w:r>
      <w:r>
        <w:rPr>
          <w:spacing w:val="-4"/>
          <w:sz w:val="22"/>
        </w:rPr>
        <w:t>hybrid</w:t>
      </w:r>
      <w:r>
        <w:rPr>
          <w:spacing w:val="-10"/>
          <w:sz w:val="22"/>
        </w:rPr>
        <w:t> </w:t>
      </w:r>
      <w:r>
        <w:rPr>
          <w:spacing w:val="-4"/>
          <w:sz w:val="22"/>
        </w:rPr>
        <w:t>approach</w:t>
      </w:r>
      <w:r>
        <w:rPr>
          <w:spacing w:val="-9"/>
          <w:sz w:val="22"/>
        </w:rPr>
        <w:t> </w:t>
      </w:r>
      <w:r>
        <w:rPr>
          <w:spacing w:val="-4"/>
          <w:sz w:val="22"/>
        </w:rPr>
        <w:t>where</w:t>
      </w:r>
      <w:r>
        <w:rPr>
          <w:spacing w:val="-10"/>
          <w:sz w:val="22"/>
        </w:rPr>
        <w:t> </w:t>
      </w:r>
      <w:r>
        <w:rPr>
          <w:spacing w:val="-4"/>
          <w:sz w:val="22"/>
        </w:rPr>
        <w:t>the</w:t>
      </w:r>
      <w:r>
        <w:rPr>
          <w:spacing w:val="-9"/>
          <w:sz w:val="22"/>
        </w:rPr>
        <w:t> </w:t>
      </w:r>
      <w:r>
        <w:rPr>
          <w:spacing w:val="-4"/>
          <w:sz w:val="22"/>
        </w:rPr>
        <w:t>Core </w:t>
      </w:r>
      <w:r>
        <w:rPr>
          <w:spacing w:val="-6"/>
          <w:sz w:val="22"/>
        </w:rPr>
        <w:t>consists of two layers in which the inner </w:t>
      </w:r>
      <w:r>
        <w:rPr>
          <w:spacing w:val="-6"/>
          <w:sz w:val="22"/>
        </w:rPr>
        <w:t>higher- speed</w:t>
      </w:r>
      <w:r>
        <w:rPr>
          <w:spacing w:val="-8"/>
          <w:sz w:val="22"/>
        </w:rPr>
        <w:t> </w:t>
      </w:r>
      <w:r>
        <w:rPr>
          <w:spacing w:val="-6"/>
          <w:sz w:val="22"/>
        </w:rPr>
        <w:t>layer</w:t>
      </w:r>
      <w:r>
        <w:rPr>
          <w:spacing w:val="-8"/>
          <w:sz w:val="22"/>
        </w:rPr>
        <w:t> </w:t>
      </w:r>
      <w:r>
        <w:rPr>
          <w:spacing w:val="-6"/>
          <w:sz w:val="22"/>
        </w:rPr>
        <w:t>is</w:t>
      </w:r>
      <w:r>
        <w:rPr>
          <w:spacing w:val="-8"/>
          <w:sz w:val="22"/>
        </w:rPr>
        <w:t> </w:t>
      </w:r>
      <w:r>
        <w:rPr>
          <w:spacing w:val="-6"/>
          <w:sz w:val="22"/>
        </w:rPr>
        <w:t>wholly</w:t>
      </w:r>
      <w:r>
        <w:rPr>
          <w:spacing w:val="-7"/>
          <w:sz w:val="22"/>
        </w:rPr>
        <w:t> </w:t>
      </w:r>
      <w:r>
        <w:rPr>
          <w:spacing w:val="-6"/>
          <w:sz w:val="22"/>
        </w:rPr>
        <w:t>owned</w:t>
      </w:r>
      <w:r>
        <w:rPr>
          <w:spacing w:val="-8"/>
          <w:sz w:val="22"/>
        </w:rPr>
        <w:t> </w:t>
      </w:r>
      <w:r>
        <w:rPr>
          <w:spacing w:val="-6"/>
          <w:sz w:val="22"/>
        </w:rPr>
        <w:t>by</w:t>
      </w:r>
      <w:r>
        <w:rPr>
          <w:spacing w:val="-8"/>
          <w:sz w:val="22"/>
        </w:rPr>
        <w:t> </w:t>
      </w:r>
      <w:r>
        <w:rPr>
          <w:spacing w:val="-6"/>
          <w:sz w:val="22"/>
        </w:rPr>
        <w:t>the</w:t>
      </w:r>
      <w:r>
        <w:rPr>
          <w:spacing w:val="-8"/>
          <w:sz w:val="22"/>
        </w:rPr>
        <w:t> </w:t>
      </w:r>
      <w:r>
        <w:rPr>
          <w:spacing w:val="-6"/>
          <w:sz w:val="22"/>
        </w:rPr>
        <w:t>stakeholders while</w:t>
      </w:r>
      <w:r>
        <w:rPr>
          <w:spacing w:val="-8"/>
          <w:sz w:val="22"/>
        </w:rPr>
        <w:t> </w:t>
      </w:r>
      <w:r>
        <w:rPr>
          <w:spacing w:val="-6"/>
          <w:sz w:val="22"/>
        </w:rPr>
        <w:t>the</w:t>
      </w:r>
      <w:r>
        <w:rPr>
          <w:spacing w:val="-8"/>
          <w:sz w:val="22"/>
        </w:rPr>
        <w:t> </w:t>
      </w:r>
      <w:r>
        <w:rPr>
          <w:spacing w:val="-6"/>
          <w:sz w:val="22"/>
        </w:rPr>
        <w:t>lower</w:t>
      </w:r>
      <w:r>
        <w:rPr>
          <w:spacing w:val="-8"/>
          <w:sz w:val="22"/>
        </w:rPr>
        <w:t> </w:t>
      </w:r>
      <w:r>
        <w:rPr>
          <w:spacing w:val="-6"/>
          <w:sz w:val="22"/>
        </w:rPr>
        <w:t>layer</w:t>
      </w:r>
      <w:r>
        <w:rPr>
          <w:spacing w:val="-7"/>
          <w:sz w:val="22"/>
        </w:rPr>
        <w:t> </w:t>
      </w:r>
      <w:r>
        <w:rPr>
          <w:spacing w:val="-6"/>
          <w:sz w:val="22"/>
        </w:rPr>
        <w:t>is</w:t>
      </w:r>
      <w:r>
        <w:rPr>
          <w:spacing w:val="-8"/>
          <w:sz w:val="22"/>
        </w:rPr>
        <w:t> </w:t>
      </w:r>
      <w:r>
        <w:rPr>
          <w:spacing w:val="-6"/>
          <w:sz w:val="22"/>
        </w:rPr>
        <w:t>provided</w:t>
      </w:r>
      <w:r>
        <w:rPr>
          <w:spacing w:val="-8"/>
          <w:sz w:val="22"/>
        </w:rPr>
        <w:t> </w:t>
      </w:r>
      <w:r>
        <w:rPr>
          <w:spacing w:val="-6"/>
          <w:sz w:val="22"/>
        </w:rPr>
        <w:t>by</w:t>
      </w:r>
      <w:r>
        <w:rPr>
          <w:spacing w:val="-8"/>
          <w:sz w:val="22"/>
        </w:rPr>
        <w:t> </w:t>
      </w:r>
      <w:r>
        <w:rPr>
          <w:spacing w:val="-6"/>
          <w:sz w:val="22"/>
        </w:rPr>
        <w:t>commercial </w:t>
      </w:r>
      <w:r>
        <w:rPr>
          <w:sz w:val="22"/>
        </w:rPr>
        <w:t>service providers.</w:t>
      </w:r>
    </w:p>
    <w:p>
      <w:pPr>
        <w:pStyle w:val="BodyText"/>
        <w:spacing w:before="20"/>
      </w:pPr>
    </w:p>
    <w:p>
      <w:pPr>
        <w:pStyle w:val="BodyText"/>
        <w:spacing w:line="266" w:lineRule="auto"/>
        <w:ind w:left="1079"/>
        <w:jc w:val="both"/>
      </w:pPr>
      <w:r>
        <w:rPr/>
        <w:t>From the viewpoint of cost, the third approach based </w:t>
      </w:r>
      <w:r>
        <w:rPr>
          <w:spacing w:val="-2"/>
        </w:rPr>
        <w:t>on</w:t>
      </w:r>
      <w:r>
        <w:rPr>
          <w:spacing w:val="-12"/>
        </w:rPr>
        <w:t> </w:t>
      </w:r>
      <w:r>
        <w:rPr>
          <w:spacing w:val="-2"/>
        </w:rPr>
        <w:t>the</w:t>
      </w:r>
      <w:r>
        <w:rPr>
          <w:spacing w:val="-12"/>
        </w:rPr>
        <w:t> </w:t>
      </w:r>
      <w:r>
        <w:rPr>
          <w:spacing w:val="-2"/>
        </w:rPr>
        <w:t>utilisation</w:t>
      </w:r>
      <w:r>
        <w:rPr>
          <w:spacing w:val="-12"/>
        </w:rPr>
        <w:t> </w:t>
      </w:r>
      <w:r>
        <w:rPr>
          <w:spacing w:val="-2"/>
        </w:rPr>
        <w:t>of</w:t>
      </w:r>
      <w:r>
        <w:rPr>
          <w:spacing w:val="-11"/>
        </w:rPr>
        <w:t> </w:t>
      </w:r>
      <w:r>
        <w:rPr>
          <w:spacing w:val="-2"/>
        </w:rPr>
        <w:t>the</w:t>
      </w:r>
      <w:r>
        <w:rPr>
          <w:spacing w:val="-12"/>
        </w:rPr>
        <w:t> </w:t>
      </w:r>
      <w:r>
        <w:rPr>
          <w:spacing w:val="-2"/>
        </w:rPr>
        <w:t>available</w:t>
      </w:r>
      <w:r>
        <w:rPr>
          <w:spacing w:val="-12"/>
        </w:rPr>
        <w:t> </w:t>
      </w:r>
      <w:r>
        <w:rPr>
          <w:spacing w:val="-2"/>
        </w:rPr>
        <w:t>commercial</w:t>
      </w:r>
      <w:r>
        <w:rPr>
          <w:spacing w:val="-12"/>
        </w:rPr>
        <w:t> </w:t>
      </w:r>
      <w:r>
        <w:rPr>
          <w:spacing w:val="-2"/>
        </w:rPr>
        <w:t>networks </w:t>
      </w:r>
      <w:r>
        <w:rPr/>
        <w:t>appears to be most attractive to start with. This is because the capital expenditure is negligible if the operator</w:t>
      </w:r>
      <w:r>
        <w:rPr>
          <w:spacing w:val="-12"/>
        </w:rPr>
        <w:t> </w:t>
      </w:r>
      <w:r>
        <w:rPr/>
        <w:t>chosen</w:t>
      </w:r>
      <w:r>
        <w:rPr>
          <w:spacing w:val="-12"/>
        </w:rPr>
        <w:t> </w:t>
      </w:r>
      <w:r>
        <w:rPr/>
        <w:t>has</w:t>
      </w:r>
      <w:r>
        <w:rPr>
          <w:spacing w:val="-12"/>
        </w:rPr>
        <w:t> </w:t>
      </w:r>
      <w:r>
        <w:rPr/>
        <w:t>a</w:t>
      </w:r>
      <w:r>
        <w:rPr>
          <w:spacing w:val="-12"/>
        </w:rPr>
        <w:t> </w:t>
      </w:r>
      <w:r>
        <w:rPr/>
        <w:t>well</w:t>
      </w:r>
      <w:r>
        <w:rPr>
          <w:spacing w:val="-12"/>
        </w:rPr>
        <w:t> </w:t>
      </w:r>
      <w:r>
        <w:rPr/>
        <w:t>established</w:t>
      </w:r>
      <w:r>
        <w:rPr>
          <w:spacing w:val="-12"/>
        </w:rPr>
        <w:t> </w:t>
      </w:r>
      <w:r>
        <w:rPr/>
        <w:t>network</w:t>
      </w:r>
      <w:r>
        <w:rPr>
          <w:spacing w:val="-12"/>
        </w:rPr>
        <w:t> </w:t>
      </w:r>
      <w:r>
        <w:rPr/>
        <w:t>which is</w:t>
      </w:r>
      <w:r>
        <w:rPr>
          <w:spacing w:val="-14"/>
        </w:rPr>
        <w:t> </w:t>
      </w:r>
      <w:r>
        <w:rPr/>
        <w:t>being</w:t>
      </w:r>
      <w:r>
        <w:rPr>
          <w:spacing w:val="-14"/>
        </w:rPr>
        <w:t> </w:t>
      </w:r>
      <w:r>
        <w:rPr/>
        <w:t>used</w:t>
      </w:r>
      <w:r>
        <w:rPr>
          <w:spacing w:val="-14"/>
        </w:rPr>
        <w:t> </w:t>
      </w:r>
      <w:r>
        <w:rPr/>
        <w:t>by</w:t>
      </w:r>
      <w:r>
        <w:rPr>
          <w:spacing w:val="-13"/>
        </w:rPr>
        <w:t> </w:t>
      </w:r>
      <w:r>
        <w:rPr/>
        <w:t>a</w:t>
      </w:r>
      <w:r>
        <w:rPr>
          <w:spacing w:val="-14"/>
        </w:rPr>
        <w:t> </w:t>
      </w:r>
      <w:r>
        <w:rPr/>
        <w:t>large</w:t>
      </w:r>
      <w:r>
        <w:rPr>
          <w:spacing w:val="-14"/>
        </w:rPr>
        <w:t> </w:t>
      </w:r>
      <w:r>
        <w:rPr/>
        <w:t>number</w:t>
      </w:r>
      <w:r>
        <w:rPr>
          <w:spacing w:val="-14"/>
        </w:rPr>
        <w:t> </w:t>
      </w:r>
      <w:r>
        <w:rPr/>
        <w:t>of</w:t>
      </w:r>
      <w:r>
        <w:rPr>
          <w:spacing w:val="-13"/>
        </w:rPr>
        <w:t> </w:t>
      </w:r>
      <w:r>
        <w:rPr/>
        <w:t>existing</w:t>
      </w:r>
      <w:r>
        <w:rPr>
          <w:spacing w:val="-14"/>
        </w:rPr>
        <w:t> </w:t>
      </w:r>
      <w:r>
        <w:rPr/>
        <w:t>customers. </w:t>
      </w:r>
      <w:r>
        <w:rPr>
          <w:spacing w:val="-2"/>
        </w:rPr>
        <w:t>However,</w:t>
      </w:r>
      <w:r>
        <w:rPr>
          <w:spacing w:val="-12"/>
        </w:rPr>
        <w:t> </w:t>
      </w:r>
      <w:r>
        <w:rPr>
          <w:spacing w:val="-2"/>
        </w:rPr>
        <w:t>lack</w:t>
      </w:r>
      <w:r>
        <w:rPr>
          <w:spacing w:val="-12"/>
        </w:rPr>
        <w:t> </w:t>
      </w:r>
      <w:r>
        <w:rPr>
          <w:spacing w:val="-2"/>
        </w:rPr>
        <w:t>of</w:t>
      </w:r>
      <w:r>
        <w:rPr>
          <w:spacing w:val="-12"/>
        </w:rPr>
        <w:t> </w:t>
      </w:r>
      <w:r>
        <w:rPr>
          <w:spacing w:val="-2"/>
        </w:rPr>
        <w:t>experience</w:t>
      </w:r>
      <w:r>
        <w:rPr>
          <w:spacing w:val="-11"/>
        </w:rPr>
        <w:t> </w:t>
      </w:r>
      <w:r>
        <w:rPr>
          <w:spacing w:val="-2"/>
        </w:rPr>
        <w:t>of</w:t>
      </w:r>
      <w:r>
        <w:rPr>
          <w:spacing w:val="-12"/>
        </w:rPr>
        <w:t> </w:t>
      </w:r>
      <w:r>
        <w:rPr>
          <w:spacing w:val="-2"/>
        </w:rPr>
        <w:t>architectural</w:t>
      </w:r>
      <w:r>
        <w:rPr>
          <w:spacing w:val="-12"/>
        </w:rPr>
        <w:t> </w:t>
      </w:r>
      <w:r>
        <w:rPr>
          <w:spacing w:val="-2"/>
        </w:rPr>
        <w:t>flexibility </w:t>
      </w:r>
      <w:r>
        <w:rPr>
          <w:spacing w:val="-4"/>
        </w:rPr>
        <w:t>and</w:t>
      </w:r>
      <w:r>
        <w:rPr>
          <w:spacing w:val="-5"/>
        </w:rPr>
        <w:t> </w:t>
      </w:r>
      <w:r>
        <w:rPr>
          <w:spacing w:val="-4"/>
        </w:rPr>
        <w:t>security</w:t>
      </w:r>
      <w:r>
        <w:rPr>
          <w:spacing w:val="-5"/>
        </w:rPr>
        <w:t> </w:t>
      </w:r>
      <w:r>
        <w:rPr>
          <w:spacing w:val="-4"/>
        </w:rPr>
        <w:t>aspects</w:t>
      </w:r>
      <w:r>
        <w:rPr>
          <w:spacing w:val="-5"/>
        </w:rPr>
        <w:t> </w:t>
      </w:r>
      <w:r>
        <w:rPr>
          <w:spacing w:val="-4"/>
        </w:rPr>
        <w:t>of</w:t>
      </w:r>
      <w:r>
        <w:rPr>
          <w:spacing w:val="-5"/>
        </w:rPr>
        <w:t> </w:t>
      </w:r>
      <w:r>
        <w:rPr>
          <w:spacing w:val="-4"/>
        </w:rPr>
        <w:t>virtual</w:t>
      </w:r>
      <w:r>
        <w:rPr>
          <w:spacing w:val="-5"/>
        </w:rPr>
        <w:t> </w:t>
      </w:r>
      <w:r>
        <w:rPr>
          <w:spacing w:val="-4"/>
        </w:rPr>
        <w:t>private</w:t>
      </w:r>
      <w:r>
        <w:rPr>
          <w:spacing w:val="-5"/>
        </w:rPr>
        <w:t> </w:t>
      </w:r>
      <w:r>
        <w:rPr>
          <w:spacing w:val="-4"/>
        </w:rPr>
        <w:t>networks</w:t>
      </w:r>
      <w:r>
        <w:rPr>
          <w:spacing w:val="-5"/>
        </w:rPr>
        <w:t> </w:t>
      </w:r>
      <w:r>
        <w:rPr>
          <w:spacing w:val="-4"/>
        </w:rPr>
        <w:t>(VPNs) </w:t>
      </w:r>
      <w:r>
        <w:rPr>
          <w:spacing w:val="-2"/>
        </w:rPr>
        <w:t>set</w:t>
      </w:r>
      <w:r>
        <w:rPr>
          <w:spacing w:val="-8"/>
        </w:rPr>
        <w:t> </w:t>
      </w:r>
      <w:r>
        <w:rPr>
          <w:spacing w:val="-2"/>
        </w:rPr>
        <w:t>up</w:t>
      </w:r>
      <w:r>
        <w:rPr>
          <w:spacing w:val="-8"/>
        </w:rPr>
        <w:t> </w:t>
      </w:r>
      <w:r>
        <w:rPr>
          <w:spacing w:val="-2"/>
        </w:rPr>
        <w:t>on</w:t>
      </w:r>
      <w:r>
        <w:rPr>
          <w:spacing w:val="-8"/>
        </w:rPr>
        <w:t> </w:t>
      </w:r>
      <w:r>
        <w:rPr>
          <w:spacing w:val="-2"/>
        </w:rPr>
        <w:t>a</w:t>
      </w:r>
      <w:r>
        <w:rPr>
          <w:spacing w:val="-8"/>
        </w:rPr>
        <w:t> </w:t>
      </w:r>
      <w:r>
        <w:rPr>
          <w:spacing w:val="-2"/>
        </w:rPr>
        <w:t>commercial</w:t>
      </w:r>
      <w:r>
        <w:rPr>
          <w:spacing w:val="-8"/>
        </w:rPr>
        <w:t> </w:t>
      </w:r>
      <w:r>
        <w:rPr>
          <w:spacing w:val="-2"/>
        </w:rPr>
        <w:t>basis,</w:t>
      </w:r>
      <w:r>
        <w:rPr>
          <w:spacing w:val="-8"/>
        </w:rPr>
        <w:t> </w:t>
      </w:r>
      <w:r>
        <w:rPr>
          <w:spacing w:val="-2"/>
        </w:rPr>
        <w:t>do</w:t>
      </w:r>
      <w:r>
        <w:rPr>
          <w:spacing w:val="-8"/>
        </w:rPr>
        <w:t> </w:t>
      </w:r>
      <w:r>
        <w:rPr>
          <w:spacing w:val="-2"/>
        </w:rPr>
        <w:t>not</w:t>
      </w:r>
      <w:r>
        <w:rPr>
          <w:spacing w:val="-8"/>
        </w:rPr>
        <w:t> </w:t>
      </w:r>
      <w:r>
        <w:rPr>
          <w:spacing w:val="-2"/>
        </w:rPr>
        <w:t>allow</w:t>
      </w:r>
      <w:r>
        <w:rPr>
          <w:spacing w:val="-8"/>
        </w:rPr>
        <w:t> </w:t>
      </w:r>
      <w:r>
        <w:rPr>
          <w:spacing w:val="-2"/>
        </w:rPr>
        <w:t>prospective </w:t>
      </w:r>
      <w:r>
        <w:rPr/>
        <w:t>users to be entirely comfortable with this approach. </w:t>
      </w:r>
      <w:r>
        <w:rPr>
          <w:spacing w:val="-4"/>
        </w:rPr>
        <w:t>Therefore, NKC recommends that existing commercial </w:t>
      </w:r>
      <w:r>
        <w:rPr>
          <w:spacing w:val="-2"/>
        </w:rPr>
        <w:t>networks</w:t>
      </w:r>
      <w:r>
        <w:rPr>
          <w:spacing w:val="-12"/>
        </w:rPr>
        <w:t> </w:t>
      </w:r>
      <w:r>
        <w:rPr>
          <w:spacing w:val="-2"/>
        </w:rPr>
        <w:t>be</w:t>
      </w:r>
      <w:r>
        <w:rPr>
          <w:spacing w:val="-12"/>
        </w:rPr>
        <w:t> </w:t>
      </w:r>
      <w:r>
        <w:rPr>
          <w:spacing w:val="-2"/>
        </w:rPr>
        <w:t>utilised.</w:t>
      </w:r>
      <w:r>
        <w:rPr>
          <w:spacing w:val="-12"/>
        </w:rPr>
        <w:t> </w:t>
      </w:r>
      <w:r>
        <w:rPr>
          <w:spacing w:val="-2"/>
        </w:rPr>
        <w:t>Subsequently,</w:t>
      </w:r>
      <w:r>
        <w:rPr>
          <w:spacing w:val="-11"/>
        </w:rPr>
        <w:t> </w:t>
      </w:r>
      <w:r>
        <w:rPr>
          <w:spacing w:val="-2"/>
        </w:rPr>
        <w:t>feedback</w:t>
      </w:r>
      <w:r>
        <w:rPr>
          <w:spacing w:val="-12"/>
        </w:rPr>
        <w:t> </w:t>
      </w:r>
      <w:r>
        <w:rPr>
          <w:spacing w:val="-2"/>
        </w:rPr>
        <w:t>from</w:t>
      </w:r>
      <w:r>
        <w:rPr>
          <w:spacing w:val="-12"/>
        </w:rPr>
        <w:t> </w:t>
      </w:r>
      <w:r>
        <w:rPr>
          <w:spacing w:val="-2"/>
        </w:rPr>
        <w:t>this exercise</w:t>
      </w:r>
      <w:r>
        <w:rPr>
          <w:spacing w:val="-12"/>
        </w:rPr>
        <w:t> </w:t>
      </w:r>
      <w:r>
        <w:rPr>
          <w:spacing w:val="-2"/>
        </w:rPr>
        <w:t>could</w:t>
      </w:r>
      <w:r>
        <w:rPr>
          <w:spacing w:val="-12"/>
        </w:rPr>
        <w:t> </w:t>
      </w:r>
      <w:r>
        <w:rPr>
          <w:spacing w:val="-2"/>
        </w:rPr>
        <w:t>enable</w:t>
      </w:r>
      <w:r>
        <w:rPr>
          <w:spacing w:val="-12"/>
        </w:rPr>
        <w:t> </w:t>
      </w:r>
      <w:r>
        <w:rPr>
          <w:spacing w:val="-2"/>
        </w:rPr>
        <w:t>a</w:t>
      </w:r>
      <w:r>
        <w:rPr>
          <w:spacing w:val="-11"/>
        </w:rPr>
        <w:t> </w:t>
      </w:r>
      <w:r>
        <w:rPr>
          <w:spacing w:val="-2"/>
        </w:rPr>
        <w:t>shift</w:t>
      </w:r>
      <w:r>
        <w:rPr>
          <w:spacing w:val="-12"/>
        </w:rPr>
        <w:t> </w:t>
      </w:r>
      <w:r>
        <w:rPr>
          <w:spacing w:val="-2"/>
        </w:rPr>
        <w:t>to</w:t>
      </w:r>
      <w:r>
        <w:rPr>
          <w:spacing w:val="-12"/>
        </w:rPr>
        <w:t> </w:t>
      </w:r>
      <w:r>
        <w:rPr>
          <w:spacing w:val="-2"/>
        </w:rPr>
        <w:t>a</w:t>
      </w:r>
      <w:r>
        <w:rPr>
          <w:spacing w:val="-12"/>
        </w:rPr>
        <w:t> </w:t>
      </w:r>
      <w:r>
        <w:rPr>
          <w:spacing w:val="-2"/>
        </w:rPr>
        <w:t>hybrid</w:t>
      </w:r>
      <w:r>
        <w:rPr>
          <w:spacing w:val="-11"/>
        </w:rPr>
        <w:t> </w:t>
      </w:r>
      <w:r>
        <w:rPr>
          <w:spacing w:val="-2"/>
        </w:rPr>
        <w:t>network</w:t>
      </w:r>
      <w:r>
        <w:rPr>
          <w:spacing w:val="-12"/>
        </w:rPr>
        <w:t> </w:t>
      </w:r>
      <w:r>
        <w:rPr>
          <w:spacing w:val="-2"/>
        </w:rPr>
        <w:t>with</w:t>
      </w:r>
      <w:r>
        <w:rPr>
          <w:spacing w:val="-12"/>
        </w:rPr>
        <w:t> </w:t>
      </w:r>
      <w:r>
        <w:rPr>
          <w:spacing w:val="-2"/>
        </w:rPr>
        <w:t>a </w:t>
      </w:r>
      <w:r>
        <w:rPr>
          <w:spacing w:val="-6"/>
        </w:rPr>
        <w:t>central</w:t>
      </w:r>
      <w:r>
        <w:rPr>
          <w:spacing w:val="-8"/>
        </w:rPr>
        <w:t> </w:t>
      </w:r>
      <w:r>
        <w:rPr>
          <w:spacing w:val="-6"/>
        </w:rPr>
        <w:t>Core,</w:t>
      </w:r>
      <w:r>
        <w:rPr>
          <w:spacing w:val="-8"/>
        </w:rPr>
        <w:t> </w:t>
      </w:r>
      <w:r>
        <w:rPr>
          <w:spacing w:val="-6"/>
        </w:rPr>
        <w:t>preferably</w:t>
      </w:r>
      <w:r>
        <w:rPr>
          <w:spacing w:val="-7"/>
        </w:rPr>
        <w:t> </w:t>
      </w:r>
      <w:r>
        <w:rPr>
          <w:spacing w:val="-6"/>
        </w:rPr>
        <w:t>of</w:t>
      </w:r>
      <w:r>
        <w:rPr>
          <w:spacing w:val="-8"/>
        </w:rPr>
        <w:t> </w:t>
      </w:r>
      <w:r>
        <w:rPr>
          <w:spacing w:val="-6"/>
        </w:rPr>
        <w:t>a</w:t>
      </w:r>
      <w:r>
        <w:rPr>
          <w:spacing w:val="-8"/>
        </w:rPr>
        <w:t> </w:t>
      </w:r>
      <w:r>
        <w:rPr>
          <w:spacing w:val="-6"/>
        </w:rPr>
        <w:t>relatively</w:t>
      </w:r>
      <w:r>
        <w:rPr>
          <w:spacing w:val="-7"/>
        </w:rPr>
        <w:t> </w:t>
      </w:r>
      <w:r>
        <w:rPr>
          <w:spacing w:val="-6"/>
        </w:rPr>
        <w:t>few</w:t>
      </w:r>
      <w:r>
        <w:rPr>
          <w:spacing w:val="-8"/>
        </w:rPr>
        <w:t> </w:t>
      </w:r>
      <w:r>
        <w:rPr>
          <w:spacing w:val="-6"/>
        </w:rPr>
        <w:t>nodes,</w:t>
      </w:r>
      <w:r>
        <w:rPr>
          <w:spacing w:val="-8"/>
        </w:rPr>
        <w:t> </w:t>
      </w:r>
      <w:r>
        <w:rPr>
          <w:spacing w:val="-6"/>
        </w:rPr>
        <w:t>and</w:t>
      </w:r>
      <w:r>
        <w:rPr>
          <w:spacing w:val="-7"/>
        </w:rPr>
        <w:t> </w:t>
      </w:r>
      <w:r>
        <w:rPr>
          <w:spacing w:val="-6"/>
        </w:rPr>
        <w:t>an </w:t>
      </w:r>
      <w:r>
        <w:rPr>
          <w:spacing w:val="-4"/>
        </w:rPr>
        <w:t>outer</w:t>
      </w:r>
      <w:r>
        <w:rPr>
          <w:spacing w:val="-7"/>
        </w:rPr>
        <w:t> </w:t>
      </w:r>
      <w:r>
        <w:rPr>
          <w:spacing w:val="-4"/>
        </w:rPr>
        <w:t>network</w:t>
      </w:r>
      <w:r>
        <w:rPr>
          <w:spacing w:val="-7"/>
        </w:rPr>
        <w:t> </w:t>
      </w:r>
      <w:r>
        <w:rPr>
          <w:spacing w:val="-4"/>
        </w:rPr>
        <w:t>constituted</w:t>
      </w:r>
      <w:r>
        <w:rPr>
          <w:spacing w:val="-7"/>
        </w:rPr>
        <w:t> </w:t>
      </w:r>
      <w:r>
        <w:rPr>
          <w:spacing w:val="-4"/>
        </w:rPr>
        <w:t>by</w:t>
      </w:r>
      <w:r>
        <w:rPr>
          <w:spacing w:val="-7"/>
        </w:rPr>
        <w:t> </w:t>
      </w:r>
      <w:r>
        <w:rPr>
          <w:spacing w:val="-4"/>
        </w:rPr>
        <w:t>practically</w:t>
      </w:r>
      <w:r>
        <w:rPr>
          <w:spacing w:val="-7"/>
        </w:rPr>
        <w:t> </w:t>
      </w:r>
      <w:r>
        <w:rPr>
          <w:spacing w:val="-4"/>
        </w:rPr>
        <w:t>each</w:t>
      </w:r>
      <w:r>
        <w:rPr>
          <w:spacing w:val="-7"/>
        </w:rPr>
        <w:t> </w:t>
      </w:r>
      <w:r>
        <w:rPr>
          <w:spacing w:val="-4"/>
        </w:rPr>
        <w:t>one</w:t>
      </w:r>
      <w:r>
        <w:rPr>
          <w:spacing w:val="-7"/>
        </w:rPr>
        <w:t> </w:t>
      </w:r>
      <w:r>
        <w:rPr>
          <w:spacing w:val="-4"/>
        </w:rPr>
        <w:t>of</w:t>
      </w:r>
      <w:r>
        <w:rPr>
          <w:spacing w:val="-7"/>
        </w:rPr>
        <w:t> </w:t>
      </w:r>
      <w:r>
        <w:rPr>
          <w:spacing w:val="-4"/>
        </w:rPr>
        <w:t>the </w:t>
      </w:r>
      <w:r>
        <w:rPr/>
        <w:t>other operators’ networks.</w:t>
      </w:r>
    </w:p>
    <w:p>
      <w:pPr>
        <w:pStyle w:val="Heading6"/>
        <w:numPr>
          <w:ilvl w:val="0"/>
          <w:numId w:val="10"/>
        </w:numPr>
        <w:tabs>
          <w:tab w:pos="1404" w:val="left" w:leader="none"/>
        </w:tabs>
        <w:spacing w:line="240" w:lineRule="auto" w:before="174" w:after="0"/>
        <w:ind w:left="1404" w:right="0" w:hanging="325"/>
        <w:jc w:val="left"/>
      </w:pPr>
      <w:r>
        <w:rPr>
          <w:color w:val="2E614A"/>
          <w:spacing w:val="-2"/>
        </w:rPr>
        <w:t>Architecture</w:t>
      </w:r>
    </w:p>
    <w:p>
      <w:pPr>
        <w:pStyle w:val="BodyText"/>
        <w:spacing w:line="266" w:lineRule="auto" w:before="285"/>
        <w:ind w:left="1079"/>
        <w:jc w:val="both"/>
      </w:pPr>
      <w:r>
        <w:rPr/>
        <w:t>The network should consist of a Core using </w:t>
      </w:r>
      <w:r>
        <w:rPr/>
        <w:t>Internet Protocol (IP) and Multi-Packet Labeled Services (MPLS) technology, an Aggregation or Distribution network, and an Access or Edge network linking the </w:t>
      </w:r>
      <w:r>
        <w:rPr>
          <w:spacing w:val="-2"/>
        </w:rPr>
        <w:t>institution’s</w:t>
      </w:r>
      <w:r>
        <w:rPr>
          <w:spacing w:val="-14"/>
        </w:rPr>
        <w:t> </w:t>
      </w:r>
      <w:r>
        <w:rPr>
          <w:spacing w:val="-2"/>
        </w:rPr>
        <w:t>local</w:t>
      </w:r>
      <w:r>
        <w:rPr>
          <w:spacing w:val="-12"/>
        </w:rPr>
        <w:t> </w:t>
      </w:r>
      <w:r>
        <w:rPr>
          <w:spacing w:val="-2"/>
        </w:rPr>
        <w:t>area</w:t>
      </w:r>
      <w:r>
        <w:rPr>
          <w:spacing w:val="-12"/>
        </w:rPr>
        <w:t> </w:t>
      </w:r>
      <w:r>
        <w:rPr>
          <w:spacing w:val="-2"/>
        </w:rPr>
        <w:t>network</w:t>
      </w:r>
      <w:r>
        <w:rPr>
          <w:spacing w:val="-11"/>
        </w:rPr>
        <w:t> </w:t>
      </w:r>
      <w:r>
        <w:rPr>
          <w:spacing w:val="-2"/>
        </w:rPr>
        <w:t>(LAN)</w:t>
      </w:r>
      <w:r>
        <w:rPr>
          <w:spacing w:val="-12"/>
        </w:rPr>
        <w:t> </w:t>
      </w:r>
      <w:r>
        <w:rPr>
          <w:spacing w:val="-2"/>
        </w:rPr>
        <w:t>to</w:t>
      </w:r>
      <w:r>
        <w:rPr>
          <w:spacing w:val="-12"/>
        </w:rPr>
        <w:t> </w:t>
      </w:r>
      <w:r>
        <w:rPr>
          <w:spacing w:val="-2"/>
        </w:rPr>
        <w:t>the</w:t>
      </w:r>
      <w:r>
        <w:rPr>
          <w:spacing w:val="-12"/>
        </w:rPr>
        <w:t> </w:t>
      </w:r>
      <w:r>
        <w:rPr>
          <w:spacing w:val="-2"/>
        </w:rPr>
        <w:t>Core.</w:t>
      </w:r>
      <w:r>
        <w:rPr>
          <w:spacing w:val="-11"/>
        </w:rPr>
        <w:t> </w:t>
      </w:r>
      <w:r>
        <w:rPr>
          <w:spacing w:val="-2"/>
        </w:rPr>
        <w:t>The </w:t>
      </w:r>
      <w:r>
        <w:rPr>
          <w:spacing w:val="-4"/>
        </w:rPr>
        <w:t>Core</w:t>
      </w:r>
      <w:r>
        <w:rPr>
          <w:spacing w:val="-10"/>
        </w:rPr>
        <w:t> </w:t>
      </w:r>
      <w:r>
        <w:rPr>
          <w:spacing w:val="-4"/>
        </w:rPr>
        <w:t>network</w:t>
      </w:r>
      <w:r>
        <w:rPr>
          <w:spacing w:val="-10"/>
        </w:rPr>
        <w:t> </w:t>
      </w:r>
      <w:r>
        <w:rPr>
          <w:spacing w:val="-4"/>
        </w:rPr>
        <w:t>could</w:t>
      </w:r>
      <w:r>
        <w:rPr>
          <w:spacing w:val="-10"/>
        </w:rPr>
        <w:t> </w:t>
      </w:r>
      <w:r>
        <w:rPr>
          <w:spacing w:val="-4"/>
        </w:rPr>
        <w:t>be</w:t>
      </w:r>
      <w:r>
        <w:rPr>
          <w:spacing w:val="-9"/>
        </w:rPr>
        <w:t> </w:t>
      </w:r>
      <w:r>
        <w:rPr>
          <w:spacing w:val="-4"/>
        </w:rPr>
        <w:t>a</w:t>
      </w:r>
      <w:r>
        <w:rPr>
          <w:spacing w:val="-10"/>
        </w:rPr>
        <w:t> </w:t>
      </w:r>
      <w:r>
        <w:rPr>
          <w:spacing w:val="-4"/>
        </w:rPr>
        <w:t>single</w:t>
      </w:r>
      <w:r>
        <w:rPr>
          <w:spacing w:val="-10"/>
        </w:rPr>
        <w:t> </w:t>
      </w:r>
      <w:r>
        <w:rPr>
          <w:spacing w:val="-4"/>
        </w:rPr>
        <w:t>hierarchy</w:t>
      </w:r>
      <w:r>
        <w:rPr>
          <w:spacing w:val="-10"/>
        </w:rPr>
        <w:t> </w:t>
      </w:r>
      <w:r>
        <w:rPr>
          <w:spacing w:val="-4"/>
        </w:rPr>
        <w:t>or</w:t>
      </w:r>
      <w:r>
        <w:rPr>
          <w:spacing w:val="-9"/>
        </w:rPr>
        <w:t> </w:t>
      </w:r>
      <w:r>
        <w:rPr>
          <w:spacing w:val="-4"/>
        </w:rPr>
        <w:t>a</w:t>
      </w:r>
      <w:r>
        <w:rPr>
          <w:spacing w:val="-10"/>
        </w:rPr>
        <w:t> </w:t>
      </w:r>
      <w:r>
        <w:rPr>
          <w:spacing w:val="-4"/>
        </w:rPr>
        <w:t>two-stage Knowledge</w:t>
      </w:r>
      <w:r>
        <w:rPr>
          <w:spacing w:val="-6"/>
        </w:rPr>
        <w:t> </w:t>
      </w:r>
      <w:r>
        <w:rPr>
          <w:spacing w:val="-4"/>
        </w:rPr>
        <w:t>network</w:t>
      </w:r>
      <w:r>
        <w:rPr>
          <w:spacing w:val="-6"/>
        </w:rPr>
        <w:t> </w:t>
      </w:r>
      <w:r>
        <w:rPr>
          <w:spacing w:val="-4"/>
        </w:rPr>
        <w:t>with</w:t>
      </w:r>
      <w:r>
        <w:rPr>
          <w:spacing w:val="-6"/>
        </w:rPr>
        <w:t> </w:t>
      </w:r>
      <w:r>
        <w:rPr>
          <w:spacing w:val="-4"/>
        </w:rPr>
        <w:t>a</w:t>
      </w:r>
      <w:r>
        <w:rPr>
          <w:spacing w:val="-6"/>
        </w:rPr>
        <w:t> </w:t>
      </w:r>
      <w:r>
        <w:rPr>
          <w:spacing w:val="-4"/>
        </w:rPr>
        <w:t>higher</w:t>
      </w:r>
      <w:r>
        <w:rPr>
          <w:spacing w:val="-6"/>
        </w:rPr>
        <w:t> </w:t>
      </w:r>
      <w:r>
        <w:rPr>
          <w:spacing w:val="-4"/>
        </w:rPr>
        <w:t>speed</w:t>
      </w:r>
      <w:r>
        <w:rPr>
          <w:spacing w:val="-6"/>
        </w:rPr>
        <w:t> </w:t>
      </w:r>
      <w:r>
        <w:rPr>
          <w:spacing w:val="-4"/>
        </w:rPr>
        <w:t>network</w:t>
      </w:r>
      <w:r>
        <w:rPr>
          <w:spacing w:val="-6"/>
        </w:rPr>
        <w:t> </w:t>
      </w:r>
      <w:r>
        <w:rPr>
          <w:spacing w:val="-4"/>
        </w:rPr>
        <w:t>at</w:t>
      </w:r>
      <w:r>
        <w:rPr>
          <w:spacing w:val="-6"/>
        </w:rPr>
        <w:t> </w:t>
      </w:r>
      <w:r>
        <w:rPr>
          <w:spacing w:val="-4"/>
        </w:rPr>
        <w:t>the top</w:t>
      </w:r>
      <w:r>
        <w:rPr>
          <w:spacing w:val="-10"/>
        </w:rPr>
        <w:t> </w:t>
      </w:r>
      <w:r>
        <w:rPr>
          <w:spacing w:val="-4"/>
        </w:rPr>
        <w:t>to</w:t>
      </w:r>
      <w:r>
        <w:rPr>
          <w:spacing w:val="-10"/>
        </w:rPr>
        <w:t> </w:t>
      </w:r>
      <w:r>
        <w:rPr>
          <w:spacing w:val="-4"/>
        </w:rPr>
        <w:t>accommodate</w:t>
      </w:r>
      <w:r>
        <w:rPr>
          <w:spacing w:val="-10"/>
        </w:rPr>
        <w:t> </w:t>
      </w:r>
      <w:r>
        <w:rPr>
          <w:spacing w:val="-4"/>
        </w:rPr>
        <w:t>architecture</w:t>
      </w:r>
      <w:r>
        <w:rPr>
          <w:spacing w:val="-9"/>
        </w:rPr>
        <w:t> </w:t>
      </w:r>
      <w:r>
        <w:rPr>
          <w:spacing w:val="-4"/>
        </w:rPr>
        <w:t>flexibility</w:t>
      </w:r>
      <w:r>
        <w:rPr>
          <w:spacing w:val="-10"/>
        </w:rPr>
        <w:t> </w:t>
      </w:r>
      <w:r>
        <w:rPr>
          <w:spacing w:val="-4"/>
        </w:rPr>
        <w:t>and</w:t>
      </w:r>
      <w:r>
        <w:rPr>
          <w:spacing w:val="-10"/>
        </w:rPr>
        <w:t> </w:t>
      </w:r>
      <w:r>
        <w:rPr>
          <w:spacing w:val="-4"/>
        </w:rPr>
        <w:t>security </w:t>
      </w:r>
      <w:r>
        <w:rPr>
          <w:spacing w:val="-6"/>
        </w:rPr>
        <w:t>concerns in a VPN-based commercial Internet Protocol- </w:t>
      </w:r>
      <w:r>
        <w:rPr/>
        <w:t>Multi</w:t>
      </w:r>
      <w:r>
        <w:rPr>
          <w:spacing w:val="-3"/>
        </w:rPr>
        <w:t> </w:t>
      </w:r>
      <w:r>
        <w:rPr/>
        <w:t>Protocol</w:t>
      </w:r>
      <w:r>
        <w:rPr>
          <w:spacing w:val="-3"/>
        </w:rPr>
        <w:t> </w:t>
      </w:r>
      <w:r>
        <w:rPr/>
        <w:t>Label</w:t>
      </w:r>
      <w:r>
        <w:rPr>
          <w:spacing w:val="-3"/>
        </w:rPr>
        <w:t> </w:t>
      </w:r>
      <w:r>
        <w:rPr/>
        <w:t>Switching</w:t>
      </w:r>
      <w:r>
        <w:rPr>
          <w:spacing w:val="-3"/>
        </w:rPr>
        <w:t> </w:t>
      </w:r>
      <w:r>
        <w:rPr/>
        <w:t>(IP-MPLS)</w:t>
      </w:r>
      <w:r>
        <w:rPr>
          <w:spacing w:val="-3"/>
        </w:rPr>
        <w:t> </w:t>
      </w:r>
      <w:r>
        <w:rPr/>
        <w:t>network. The</w:t>
      </w:r>
      <w:r>
        <w:rPr>
          <w:spacing w:val="-7"/>
        </w:rPr>
        <w:t> </w:t>
      </w:r>
      <w:r>
        <w:rPr/>
        <w:t>detailed</w:t>
      </w:r>
      <w:r>
        <w:rPr>
          <w:spacing w:val="-7"/>
        </w:rPr>
        <w:t> </w:t>
      </w:r>
      <w:r>
        <w:rPr/>
        <w:t>specification</w:t>
      </w:r>
      <w:r>
        <w:rPr>
          <w:spacing w:val="-7"/>
        </w:rPr>
        <w:t> </w:t>
      </w:r>
      <w:r>
        <w:rPr/>
        <w:t>of</w:t>
      </w:r>
      <w:r>
        <w:rPr>
          <w:spacing w:val="-7"/>
        </w:rPr>
        <w:t> </w:t>
      </w:r>
      <w:r>
        <w:rPr/>
        <w:t>the</w:t>
      </w:r>
      <w:r>
        <w:rPr>
          <w:spacing w:val="-7"/>
        </w:rPr>
        <w:t> </w:t>
      </w:r>
      <w:r>
        <w:rPr/>
        <w:t>network</w:t>
      </w:r>
      <w:r>
        <w:rPr>
          <w:spacing w:val="-7"/>
        </w:rPr>
        <w:t> </w:t>
      </w:r>
      <w:r>
        <w:rPr/>
        <w:t>will</w:t>
      </w:r>
      <w:r>
        <w:rPr>
          <w:spacing w:val="-7"/>
        </w:rPr>
        <w:t> </w:t>
      </w:r>
      <w:r>
        <w:rPr/>
        <w:t>have</w:t>
      </w:r>
      <w:r>
        <w:rPr>
          <w:spacing w:val="-7"/>
        </w:rPr>
        <w:t> </w:t>
      </w:r>
      <w:r>
        <w:rPr/>
        <w:t>to be drawn up with a view to inviting bids for speedy implementation.</w:t>
      </w:r>
      <w:r>
        <w:rPr>
          <w:spacing w:val="-14"/>
        </w:rPr>
        <w:t> </w:t>
      </w:r>
      <w:r>
        <w:rPr/>
        <w:t>The</w:t>
      </w:r>
      <w:r>
        <w:rPr>
          <w:spacing w:val="-14"/>
        </w:rPr>
        <w:t> </w:t>
      </w:r>
      <w:r>
        <w:rPr/>
        <w:t>network</w:t>
      </w:r>
      <w:r>
        <w:rPr>
          <w:spacing w:val="-12"/>
        </w:rPr>
        <w:t> </w:t>
      </w:r>
      <w:r>
        <w:rPr/>
        <w:t>should</w:t>
      </w:r>
      <w:r>
        <w:rPr>
          <w:spacing w:val="-12"/>
        </w:rPr>
        <w:t> </w:t>
      </w:r>
      <w:r>
        <w:rPr/>
        <w:t>be</w:t>
      </w:r>
      <w:r>
        <w:rPr>
          <w:spacing w:val="-12"/>
        </w:rPr>
        <w:t> </w:t>
      </w:r>
      <w:r>
        <w:rPr/>
        <w:t>implemented in phases. The first phase should cover about 1000 institutions and should be commissioned in three to six months.</w:t>
      </w:r>
    </w:p>
    <w:p>
      <w:pPr>
        <w:pStyle w:val="Heading6"/>
        <w:numPr>
          <w:ilvl w:val="0"/>
          <w:numId w:val="10"/>
        </w:numPr>
        <w:tabs>
          <w:tab w:pos="1486" w:val="left" w:leader="none"/>
        </w:tabs>
        <w:spacing w:line="240" w:lineRule="auto" w:before="174" w:after="0"/>
        <w:ind w:left="1486" w:right="0" w:hanging="407"/>
        <w:jc w:val="left"/>
      </w:pPr>
      <w:r>
        <w:rPr>
          <w:color w:val="2E614A"/>
          <w:w w:val="90"/>
        </w:rPr>
        <w:t>Congruence</w:t>
      </w:r>
      <w:r>
        <w:rPr>
          <w:color w:val="2E614A"/>
          <w:spacing w:val="41"/>
        </w:rPr>
        <w:t> </w:t>
      </w:r>
      <w:r>
        <w:rPr>
          <w:color w:val="2E614A"/>
          <w:w w:val="90"/>
        </w:rPr>
        <w:t>with</w:t>
      </w:r>
      <w:r>
        <w:rPr>
          <w:color w:val="2E614A"/>
          <w:spacing w:val="41"/>
        </w:rPr>
        <w:t> </w:t>
      </w:r>
      <w:r>
        <w:rPr>
          <w:color w:val="2E614A"/>
          <w:w w:val="90"/>
        </w:rPr>
        <w:t>E-</w:t>
      </w:r>
      <w:r>
        <w:rPr>
          <w:color w:val="2E614A"/>
          <w:spacing w:val="-2"/>
          <w:w w:val="90"/>
        </w:rPr>
        <w:t>governance</w:t>
      </w:r>
    </w:p>
    <w:p>
      <w:pPr>
        <w:pStyle w:val="BodyText"/>
        <w:spacing w:line="266" w:lineRule="auto" w:before="285"/>
        <w:ind w:left="1079"/>
        <w:jc w:val="both"/>
      </w:pPr>
      <w:r>
        <w:rPr>
          <w:spacing w:val="-2"/>
        </w:rPr>
        <w:t>The</w:t>
      </w:r>
      <w:r>
        <w:rPr>
          <w:spacing w:val="-12"/>
        </w:rPr>
        <w:t> </w:t>
      </w:r>
      <w:r>
        <w:rPr>
          <w:spacing w:val="-2"/>
        </w:rPr>
        <w:t>question</w:t>
      </w:r>
      <w:r>
        <w:rPr>
          <w:spacing w:val="-12"/>
        </w:rPr>
        <w:t> </w:t>
      </w:r>
      <w:r>
        <w:rPr>
          <w:spacing w:val="-2"/>
        </w:rPr>
        <w:t>of</w:t>
      </w:r>
      <w:r>
        <w:rPr>
          <w:spacing w:val="-12"/>
        </w:rPr>
        <w:t> </w:t>
      </w:r>
      <w:r>
        <w:rPr>
          <w:spacing w:val="-2"/>
        </w:rPr>
        <w:t>whether</w:t>
      </w:r>
      <w:r>
        <w:rPr>
          <w:spacing w:val="-11"/>
        </w:rPr>
        <w:t> </w:t>
      </w:r>
      <w:r>
        <w:rPr>
          <w:spacing w:val="-2"/>
        </w:rPr>
        <w:t>the</w:t>
      </w:r>
      <w:r>
        <w:rPr>
          <w:spacing w:val="-12"/>
        </w:rPr>
        <w:t> </w:t>
      </w:r>
      <w:r>
        <w:rPr>
          <w:spacing w:val="-2"/>
        </w:rPr>
        <w:t>network</w:t>
      </w:r>
      <w:r>
        <w:rPr>
          <w:spacing w:val="-12"/>
        </w:rPr>
        <w:t> </w:t>
      </w:r>
      <w:r>
        <w:rPr>
          <w:spacing w:val="-2"/>
        </w:rPr>
        <w:t>for</w:t>
      </w:r>
      <w:r>
        <w:rPr>
          <w:spacing w:val="-12"/>
        </w:rPr>
        <w:t> </w:t>
      </w:r>
      <w:r>
        <w:rPr>
          <w:spacing w:val="-2"/>
        </w:rPr>
        <w:t>E-governance </w:t>
      </w:r>
      <w:r>
        <w:rPr/>
        <w:t>and the Knowledge Network should be one single </w:t>
      </w:r>
      <w:r>
        <w:rPr>
          <w:spacing w:val="-2"/>
        </w:rPr>
        <w:t>network</w:t>
      </w:r>
      <w:r>
        <w:rPr>
          <w:spacing w:val="-6"/>
        </w:rPr>
        <w:t> </w:t>
      </w:r>
      <w:r>
        <w:rPr>
          <w:spacing w:val="-2"/>
        </w:rPr>
        <w:t>assumes</w:t>
      </w:r>
      <w:r>
        <w:rPr>
          <w:spacing w:val="-5"/>
        </w:rPr>
        <w:t> </w:t>
      </w:r>
      <w:r>
        <w:rPr>
          <w:spacing w:val="-2"/>
        </w:rPr>
        <w:t>importance</w:t>
      </w:r>
      <w:r>
        <w:rPr>
          <w:spacing w:val="-5"/>
        </w:rPr>
        <w:t> </w:t>
      </w:r>
      <w:r>
        <w:rPr>
          <w:spacing w:val="-2"/>
        </w:rPr>
        <w:t>and</w:t>
      </w:r>
      <w:r>
        <w:rPr>
          <w:spacing w:val="-5"/>
        </w:rPr>
        <w:t> </w:t>
      </w:r>
      <w:r>
        <w:rPr>
          <w:spacing w:val="-2"/>
        </w:rPr>
        <w:t>relevance</w:t>
      </w:r>
      <w:r>
        <w:rPr>
          <w:spacing w:val="-6"/>
        </w:rPr>
        <w:t> </w:t>
      </w:r>
      <w:r>
        <w:rPr>
          <w:spacing w:val="-2"/>
        </w:rPr>
        <w:t>depending</w:t>
      </w:r>
    </w:p>
    <w:p>
      <w:pPr>
        <w:pStyle w:val="BodyText"/>
        <w:spacing w:line="266" w:lineRule="auto" w:before="77"/>
        <w:ind w:left="319" w:right="1077"/>
        <w:jc w:val="both"/>
      </w:pPr>
      <w:r>
        <w:rPr/>
        <w:br w:type="column"/>
      </w:r>
      <w:r>
        <w:rPr/>
        <w:t>upon the approach adopted for the realisation of </w:t>
      </w:r>
      <w:r>
        <w:rPr/>
        <w:t>the network. In the recommended approach in the first </w:t>
      </w:r>
      <w:r>
        <w:rPr>
          <w:spacing w:val="-6"/>
        </w:rPr>
        <w:t>phase,</w:t>
      </w:r>
      <w:r>
        <w:rPr>
          <w:spacing w:val="-8"/>
        </w:rPr>
        <w:t> </w:t>
      </w:r>
      <w:r>
        <w:rPr>
          <w:spacing w:val="-6"/>
        </w:rPr>
        <w:t>namely</w:t>
      </w:r>
      <w:r>
        <w:rPr>
          <w:spacing w:val="-8"/>
        </w:rPr>
        <w:t> </w:t>
      </w:r>
      <w:r>
        <w:rPr>
          <w:spacing w:val="-6"/>
        </w:rPr>
        <w:t>VPNs</w:t>
      </w:r>
      <w:r>
        <w:rPr>
          <w:spacing w:val="-8"/>
        </w:rPr>
        <w:t> </w:t>
      </w:r>
      <w:r>
        <w:rPr>
          <w:spacing w:val="-6"/>
        </w:rPr>
        <w:t>on</w:t>
      </w:r>
      <w:r>
        <w:rPr>
          <w:spacing w:val="-7"/>
        </w:rPr>
        <w:t> </w:t>
      </w:r>
      <w:r>
        <w:rPr>
          <w:spacing w:val="-6"/>
        </w:rPr>
        <w:t>commercial</w:t>
      </w:r>
      <w:r>
        <w:rPr>
          <w:spacing w:val="-8"/>
        </w:rPr>
        <w:t> </w:t>
      </w:r>
      <w:r>
        <w:rPr>
          <w:spacing w:val="-6"/>
        </w:rPr>
        <w:t>MPLS</w:t>
      </w:r>
      <w:r>
        <w:rPr>
          <w:spacing w:val="-8"/>
        </w:rPr>
        <w:t> </w:t>
      </w:r>
      <w:r>
        <w:rPr>
          <w:spacing w:val="-6"/>
        </w:rPr>
        <w:t>networks</w:t>
      </w:r>
      <w:r>
        <w:rPr>
          <w:spacing w:val="-8"/>
        </w:rPr>
        <w:t> </w:t>
      </w:r>
      <w:r>
        <w:rPr>
          <w:spacing w:val="-6"/>
        </w:rPr>
        <w:t>on </w:t>
      </w:r>
      <w:r>
        <w:rPr/>
        <w:t>Dense</w:t>
      </w:r>
      <w:r>
        <w:rPr>
          <w:spacing w:val="-2"/>
        </w:rPr>
        <w:t> </w:t>
      </w:r>
      <w:r>
        <w:rPr/>
        <w:t>Wavelength</w:t>
      </w:r>
      <w:r>
        <w:rPr>
          <w:spacing w:val="-1"/>
        </w:rPr>
        <w:t> </w:t>
      </w:r>
      <w:r>
        <w:rPr/>
        <w:t>Division</w:t>
      </w:r>
      <w:r>
        <w:rPr>
          <w:spacing w:val="-1"/>
        </w:rPr>
        <w:t> </w:t>
      </w:r>
      <w:r>
        <w:rPr/>
        <w:t>Multiplexing</w:t>
      </w:r>
      <w:r>
        <w:rPr>
          <w:spacing w:val="-1"/>
        </w:rPr>
        <w:t> </w:t>
      </w:r>
      <w:r>
        <w:rPr/>
        <w:t>(DWDM), </w:t>
      </w:r>
      <w:r>
        <w:rPr>
          <w:spacing w:val="-2"/>
        </w:rPr>
        <w:t>this</w:t>
      </w:r>
      <w:r>
        <w:rPr>
          <w:spacing w:val="-12"/>
        </w:rPr>
        <w:t> </w:t>
      </w:r>
      <w:r>
        <w:rPr>
          <w:spacing w:val="-2"/>
        </w:rPr>
        <w:t>question</w:t>
      </w:r>
      <w:r>
        <w:rPr>
          <w:spacing w:val="-12"/>
        </w:rPr>
        <w:t> </w:t>
      </w:r>
      <w:r>
        <w:rPr>
          <w:spacing w:val="-2"/>
        </w:rPr>
        <w:t>becomes</w:t>
      </w:r>
      <w:r>
        <w:rPr>
          <w:spacing w:val="-12"/>
        </w:rPr>
        <w:t> </w:t>
      </w:r>
      <w:r>
        <w:rPr>
          <w:spacing w:val="-2"/>
        </w:rPr>
        <w:t>irrelevant</w:t>
      </w:r>
      <w:r>
        <w:rPr>
          <w:spacing w:val="-11"/>
        </w:rPr>
        <w:t> </w:t>
      </w:r>
      <w:r>
        <w:rPr>
          <w:spacing w:val="-2"/>
        </w:rPr>
        <w:t>because</w:t>
      </w:r>
      <w:r>
        <w:rPr>
          <w:spacing w:val="-12"/>
        </w:rPr>
        <w:t> </w:t>
      </w:r>
      <w:r>
        <w:rPr>
          <w:spacing w:val="-2"/>
        </w:rPr>
        <w:t>several</w:t>
      </w:r>
      <w:r>
        <w:rPr>
          <w:spacing w:val="-12"/>
        </w:rPr>
        <w:t> </w:t>
      </w:r>
      <w:r>
        <w:rPr>
          <w:spacing w:val="-2"/>
        </w:rPr>
        <w:t>VPNs </w:t>
      </w:r>
      <w:r>
        <w:rPr>
          <w:spacing w:val="-4"/>
        </w:rPr>
        <w:t>can</w:t>
      </w:r>
      <w:r>
        <w:rPr>
          <w:spacing w:val="-8"/>
        </w:rPr>
        <w:t> </w:t>
      </w:r>
      <w:r>
        <w:rPr>
          <w:spacing w:val="-4"/>
        </w:rPr>
        <w:t>be</w:t>
      </w:r>
      <w:r>
        <w:rPr>
          <w:spacing w:val="-8"/>
        </w:rPr>
        <w:t> </w:t>
      </w:r>
      <w:r>
        <w:rPr>
          <w:spacing w:val="-4"/>
        </w:rPr>
        <w:t>created</w:t>
      </w:r>
      <w:r>
        <w:rPr>
          <w:spacing w:val="-8"/>
        </w:rPr>
        <w:t> </w:t>
      </w:r>
      <w:r>
        <w:rPr>
          <w:spacing w:val="-4"/>
        </w:rPr>
        <w:t>on</w:t>
      </w:r>
      <w:r>
        <w:rPr>
          <w:spacing w:val="-8"/>
        </w:rPr>
        <w:t> </w:t>
      </w:r>
      <w:r>
        <w:rPr>
          <w:spacing w:val="-4"/>
        </w:rPr>
        <w:t>a</w:t>
      </w:r>
      <w:r>
        <w:rPr>
          <w:spacing w:val="-8"/>
        </w:rPr>
        <w:t> </w:t>
      </w:r>
      <w:r>
        <w:rPr>
          <w:spacing w:val="-4"/>
        </w:rPr>
        <w:t>commercial</w:t>
      </w:r>
      <w:r>
        <w:rPr>
          <w:spacing w:val="-8"/>
        </w:rPr>
        <w:t> </w:t>
      </w:r>
      <w:r>
        <w:rPr>
          <w:spacing w:val="-4"/>
        </w:rPr>
        <w:t>network</w:t>
      </w:r>
      <w:r>
        <w:rPr>
          <w:spacing w:val="-8"/>
        </w:rPr>
        <w:t> </w:t>
      </w:r>
      <w:r>
        <w:rPr>
          <w:spacing w:val="-4"/>
        </w:rPr>
        <w:t>and</w:t>
      </w:r>
      <w:r>
        <w:rPr>
          <w:spacing w:val="-8"/>
        </w:rPr>
        <w:t> </w:t>
      </w:r>
      <w:r>
        <w:rPr>
          <w:spacing w:val="-4"/>
        </w:rPr>
        <w:t>they</w:t>
      </w:r>
      <w:r>
        <w:rPr>
          <w:spacing w:val="-8"/>
        </w:rPr>
        <w:t> </w:t>
      </w:r>
      <w:r>
        <w:rPr>
          <w:spacing w:val="-4"/>
        </w:rPr>
        <w:t>could </w:t>
      </w:r>
      <w:r>
        <w:rPr>
          <w:spacing w:val="-2"/>
        </w:rPr>
        <w:t>be</w:t>
      </w:r>
      <w:r>
        <w:rPr>
          <w:spacing w:val="-12"/>
        </w:rPr>
        <w:t> </w:t>
      </w:r>
      <w:r>
        <w:rPr>
          <w:spacing w:val="-2"/>
        </w:rPr>
        <w:t>entirely</w:t>
      </w:r>
      <w:r>
        <w:rPr>
          <w:spacing w:val="-12"/>
        </w:rPr>
        <w:t> </w:t>
      </w:r>
      <w:r>
        <w:rPr>
          <w:spacing w:val="-2"/>
        </w:rPr>
        <w:t>un-correlated,</w:t>
      </w:r>
      <w:r>
        <w:rPr>
          <w:spacing w:val="-12"/>
        </w:rPr>
        <w:t> </w:t>
      </w:r>
      <w:r>
        <w:rPr>
          <w:spacing w:val="-2"/>
        </w:rPr>
        <w:t>as</w:t>
      </w:r>
      <w:r>
        <w:rPr>
          <w:spacing w:val="-11"/>
        </w:rPr>
        <w:t> </w:t>
      </w:r>
      <w:r>
        <w:rPr>
          <w:spacing w:val="-2"/>
        </w:rPr>
        <w:t>may</w:t>
      </w:r>
      <w:r>
        <w:rPr>
          <w:spacing w:val="-12"/>
        </w:rPr>
        <w:t> </w:t>
      </w:r>
      <w:r>
        <w:rPr>
          <w:spacing w:val="-2"/>
        </w:rPr>
        <w:t>be</w:t>
      </w:r>
      <w:r>
        <w:rPr>
          <w:spacing w:val="-12"/>
        </w:rPr>
        <w:t> </w:t>
      </w:r>
      <w:r>
        <w:rPr>
          <w:spacing w:val="-2"/>
        </w:rPr>
        <w:t>the</w:t>
      </w:r>
      <w:r>
        <w:rPr>
          <w:spacing w:val="-12"/>
        </w:rPr>
        <w:t> </w:t>
      </w:r>
      <w:r>
        <w:rPr>
          <w:spacing w:val="-2"/>
        </w:rPr>
        <w:t>case</w:t>
      </w:r>
      <w:r>
        <w:rPr>
          <w:spacing w:val="-11"/>
        </w:rPr>
        <w:t> </w:t>
      </w:r>
      <w:r>
        <w:rPr>
          <w:spacing w:val="-2"/>
        </w:rPr>
        <w:t>with</w:t>
      </w:r>
      <w:r>
        <w:rPr>
          <w:spacing w:val="-12"/>
        </w:rPr>
        <w:t> </w:t>
      </w:r>
      <w:r>
        <w:rPr>
          <w:spacing w:val="-2"/>
        </w:rPr>
        <w:t>these two</w:t>
      </w:r>
      <w:r>
        <w:rPr>
          <w:spacing w:val="-12"/>
        </w:rPr>
        <w:t> </w:t>
      </w:r>
      <w:r>
        <w:rPr>
          <w:spacing w:val="-2"/>
        </w:rPr>
        <w:t>networks.</w:t>
      </w:r>
      <w:r>
        <w:rPr>
          <w:spacing w:val="-12"/>
        </w:rPr>
        <w:t> </w:t>
      </w:r>
      <w:r>
        <w:rPr>
          <w:spacing w:val="-2"/>
        </w:rPr>
        <w:t>This</w:t>
      </w:r>
      <w:r>
        <w:rPr>
          <w:spacing w:val="-12"/>
        </w:rPr>
        <w:t> </w:t>
      </w:r>
      <w:r>
        <w:rPr>
          <w:spacing w:val="-2"/>
        </w:rPr>
        <w:t>question</w:t>
      </w:r>
      <w:r>
        <w:rPr>
          <w:spacing w:val="-11"/>
        </w:rPr>
        <w:t> </w:t>
      </w:r>
      <w:r>
        <w:rPr>
          <w:spacing w:val="-2"/>
        </w:rPr>
        <w:t>would</w:t>
      </w:r>
      <w:r>
        <w:rPr>
          <w:spacing w:val="-12"/>
        </w:rPr>
        <w:t> </w:t>
      </w:r>
      <w:r>
        <w:rPr>
          <w:spacing w:val="-2"/>
        </w:rPr>
        <w:t>assume</w:t>
      </w:r>
      <w:r>
        <w:rPr>
          <w:spacing w:val="-12"/>
        </w:rPr>
        <w:t> </w:t>
      </w:r>
      <w:r>
        <w:rPr>
          <w:spacing w:val="-2"/>
        </w:rPr>
        <w:t>importance </w:t>
      </w:r>
      <w:r>
        <w:rPr/>
        <w:t>only</w:t>
      </w:r>
      <w:r>
        <w:rPr>
          <w:spacing w:val="-10"/>
        </w:rPr>
        <w:t> </w:t>
      </w:r>
      <w:r>
        <w:rPr/>
        <w:t>if</w:t>
      </w:r>
      <w:r>
        <w:rPr>
          <w:spacing w:val="-10"/>
        </w:rPr>
        <w:t> </w:t>
      </w:r>
      <w:r>
        <w:rPr/>
        <w:t>the</w:t>
      </w:r>
      <w:r>
        <w:rPr>
          <w:spacing w:val="-10"/>
        </w:rPr>
        <w:t> </w:t>
      </w:r>
      <w:r>
        <w:rPr/>
        <w:t>country</w:t>
      </w:r>
      <w:r>
        <w:rPr>
          <w:spacing w:val="-10"/>
        </w:rPr>
        <w:t> </w:t>
      </w:r>
      <w:r>
        <w:rPr/>
        <w:t>were</w:t>
      </w:r>
      <w:r>
        <w:rPr>
          <w:spacing w:val="-10"/>
        </w:rPr>
        <w:t> </w:t>
      </w:r>
      <w:r>
        <w:rPr/>
        <w:t>to</w:t>
      </w:r>
      <w:r>
        <w:rPr>
          <w:spacing w:val="-10"/>
        </w:rPr>
        <w:t> </w:t>
      </w:r>
      <w:r>
        <w:rPr/>
        <w:t>implement</w:t>
      </w:r>
      <w:r>
        <w:rPr>
          <w:spacing w:val="-10"/>
        </w:rPr>
        <w:t> </w:t>
      </w:r>
      <w:r>
        <w:rPr/>
        <w:t>a</w:t>
      </w:r>
      <w:r>
        <w:rPr>
          <w:spacing w:val="-10"/>
        </w:rPr>
        <w:t> </w:t>
      </w:r>
      <w:r>
        <w:rPr/>
        <w:t>purely</w:t>
      </w:r>
      <w:r>
        <w:rPr>
          <w:spacing w:val="-10"/>
        </w:rPr>
        <w:t> </w:t>
      </w:r>
      <w:r>
        <w:rPr/>
        <w:t>owned network</w:t>
      </w:r>
      <w:r>
        <w:rPr>
          <w:spacing w:val="-1"/>
        </w:rPr>
        <w:t> </w:t>
      </w:r>
      <w:r>
        <w:rPr/>
        <w:t>on</w:t>
      </w:r>
      <w:r>
        <w:rPr>
          <w:spacing w:val="-1"/>
        </w:rPr>
        <w:t> </w:t>
      </w:r>
      <w:r>
        <w:rPr/>
        <w:t>lighted</w:t>
      </w:r>
      <w:r>
        <w:rPr>
          <w:spacing w:val="-1"/>
        </w:rPr>
        <w:t> </w:t>
      </w:r>
      <w:r>
        <w:rPr/>
        <w:t>fibres.</w:t>
      </w:r>
      <w:r>
        <w:rPr>
          <w:spacing w:val="-1"/>
        </w:rPr>
        <w:t> </w:t>
      </w:r>
      <w:r>
        <w:rPr/>
        <w:t>On</w:t>
      </w:r>
      <w:r>
        <w:rPr>
          <w:spacing w:val="-1"/>
        </w:rPr>
        <w:t> </w:t>
      </w:r>
      <w:r>
        <w:rPr/>
        <w:t>the</w:t>
      </w:r>
      <w:r>
        <w:rPr>
          <w:spacing w:val="-1"/>
        </w:rPr>
        <w:t> </w:t>
      </w:r>
      <w:r>
        <w:rPr/>
        <w:t>other</w:t>
      </w:r>
      <w:r>
        <w:rPr>
          <w:spacing w:val="-1"/>
        </w:rPr>
        <w:t> </w:t>
      </w:r>
      <w:r>
        <w:rPr/>
        <w:t>hand,</w:t>
      </w:r>
      <w:r>
        <w:rPr>
          <w:spacing w:val="-1"/>
        </w:rPr>
        <w:t> </w:t>
      </w:r>
      <w:r>
        <w:rPr/>
        <w:t>even</w:t>
      </w:r>
      <w:r>
        <w:rPr>
          <w:spacing w:val="-1"/>
        </w:rPr>
        <w:t> </w:t>
      </w:r>
      <w:r>
        <w:rPr/>
        <w:t>in </w:t>
      </w:r>
      <w:r>
        <w:rPr>
          <w:spacing w:val="-4"/>
        </w:rPr>
        <w:t>the</w:t>
      </w:r>
      <w:r>
        <w:rPr>
          <w:spacing w:val="-8"/>
        </w:rPr>
        <w:t> </w:t>
      </w:r>
      <w:r>
        <w:rPr>
          <w:spacing w:val="-4"/>
        </w:rPr>
        <w:t>hybrid</w:t>
      </w:r>
      <w:r>
        <w:rPr>
          <w:spacing w:val="-8"/>
        </w:rPr>
        <w:t> </w:t>
      </w:r>
      <w:r>
        <w:rPr>
          <w:spacing w:val="-4"/>
        </w:rPr>
        <w:t>approach,</w:t>
      </w:r>
      <w:r>
        <w:rPr>
          <w:spacing w:val="-8"/>
        </w:rPr>
        <w:t> </w:t>
      </w:r>
      <w:r>
        <w:rPr>
          <w:spacing w:val="-4"/>
        </w:rPr>
        <w:t>the</w:t>
      </w:r>
      <w:r>
        <w:rPr>
          <w:spacing w:val="-8"/>
        </w:rPr>
        <w:t> </w:t>
      </w:r>
      <w:r>
        <w:rPr>
          <w:spacing w:val="-4"/>
        </w:rPr>
        <w:t>E-governance</w:t>
      </w:r>
      <w:r>
        <w:rPr>
          <w:spacing w:val="-8"/>
        </w:rPr>
        <w:t> </w:t>
      </w:r>
      <w:r>
        <w:rPr>
          <w:spacing w:val="-4"/>
        </w:rPr>
        <w:t>network</w:t>
      </w:r>
      <w:r>
        <w:rPr>
          <w:spacing w:val="-8"/>
        </w:rPr>
        <w:t> </w:t>
      </w:r>
      <w:r>
        <w:rPr>
          <w:spacing w:val="-4"/>
        </w:rPr>
        <w:t>with</w:t>
      </w:r>
      <w:r>
        <w:rPr>
          <w:spacing w:val="-8"/>
        </w:rPr>
        <w:t> </w:t>
      </w:r>
      <w:r>
        <w:rPr>
          <w:spacing w:val="-4"/>
        </w:rPr>
        <w:t>an </w:t>
      </w:r>
      <w:r>
        <w:rPr>
          <w:spacing w:val="-2"/>
        </w:rPr>
        <w:t>entirely</w:t>
      </w:r>
      <w:r>
        <w:rPr>
          <w:spacing w:val="-4"/>
        </w:rPr>
        <w:t> </w:t>
      </w:r>
      <w:r>
        <w:rPr>
          <w:spacing w:val="-2"/>
        </w:rPr>
        <w:t>different</w:t>
      </w:r>
      <w:r>
        <w:rPr>
          <w:spacing w:val="-4"/>
        </w:rPr>
        <w:t> </w:t>
      </w:r>
      <w:r>
        <w:rPr>
          <w:spacing w:val="-2"/>
        </w:rPr>
        <w:t>geographical</w:t>
      </w:r>
      <w:r>
        <w:rPr>
          <w:spacing w:val="-4"/>
        </w:rPr>
        <w:t> </w:t>
      </w:r>
      <w:r>
        <w:rPr>
          <w:spacing w:val="-2"/>
        </w:rPr>
        <w:t>spread</w:t>
      </w:r>
      <w:r>
        <w:rPr>
          <w:spacing w:val="-4"/>
        </w:rPr>
        <w:t> </w:t>
      </w:r>
      <w:r>
        <w:rPr>
          <w:spacing w:val="-2"/>
        </w:rPr>
        <w:t>and</w:t>
      </w:r>
      <w:r>
        <w:rPr>
          <w:spacing w:val="-4"/>
        </w:rPr>
        <w:t> </w:t>
      </w:r>
      <w:r>
        <w:rPr>
          <w:spacing w:val="-2"/>
        </w:rPr>
        <w:t>much</w:t>
      </w:r>
      <w:r>
        <w:rPr>
          <w:spacing w:val="-4"/>
        </w:rPr>
        <w:t> </w:t>
      </w:r>
      <w:r>
        <w:rPr>
          <w:spacing w:val="-2"/>
        </w:rPr>
        <w:t>lower </w:t>
      </w:r>
      <w:r>
        <w:rPr/>
        <w:t>bandwidth</w:t>
      </w:r>
      <w:r>
        <w:rPr>
          <w:spacing w:val="-12"/>
        </w:rPr>
        <w:t> </w:t>
      </w:r>
      <w:r>
        <w:rPr/>
        <w:t>requirements,</w:t>
      </w:r>
      <w:r>
        <w:rPr>
          <w:spacing w:val="-12"/>
        </w:rPr>
        <w:t> </w:t>
      </w:r>
      <w:r>
        <w:rPr/>
        <w:t>can</w:t>
      </w:r>
      <w:r>
        <w:rPr>
          <w:spacing w:val="-12"/>
        </w:rPr>
        <w:t> </w:t>
      </w:r>
      <w:r>
        <w:rPr/>
        <w:t>be</w:t>
      </w:r>
      <w:r>
        <w:rPr>
          <w:spacing w:val="-12"/>
        </w:rPr>
        <w:t> </w:t>
      </w:r>
      <w:r>
        <w:rPr/>
        <w:t>realised</w:t>
      </w:r>
      <w:r>
        <w:rPr>
          <w:spacing w:val="-12"/>
        </w:rPr>
        <w:t> </w:t>
      </w:r>
      <w:r>
        <w:rPr/>
        <w:t>as</w:t>
      </w:r>
      <w:r>
        <w:rPr>
          <w:spacing w:val="-14"/>
        </w:rPr>
        <w:t> </w:t>
      </w:r>
      <w:r>
        <w:rPr/>
        <w:t>VPNs</w:t>
      </w:r>
      <w:r>
        <w:rPr>
          <w:spacing w:val="-11"/>
        </w:rPr>
        <w:t> </w:t>
      </w:r>
      <w:r>
        <w:rPr/>
        <w:t>and the security and flexibility could be addressed by the </w:t>
      </w:r>
      <w:r>
        <w:rPr>
          <w:spacing w:val="-4"/>
        </w:rPr>
        <w:t>inner</w:t>
      </w:r>
      <w:r>
        <w:rPr>
          <w:spacing w:val="-10"/>
        </w:rPr>
        <w:t> </w:t>
      </w:r>
      <w:r>
        <w:rPr>
          <w:spacing w:val="-4"/>
        </w:rPr>
        <w:t>core.</w:t>
      </w:r>
      <w:r>
        <w:rPr>
          <w:spacing w:val="-10"/>
        </w:rPr>
        <w:t> </w:t>
      </w:r>
      <w:r>
        <w:rPr>
          <w:spacing w:val="-4"/>
        </w:rPr>
        <w:t>The</w:t>
      </w:r>
      <w:r>
        <w:rPr>
          <w:spacing w:val="-10"/>
        </w:rPr>
        <w:t> </w:t>
      </w:r>
      <w:r>
        <w:rPr>
          <w:spacing w:val="-4"/>
        </w:rPr>
        <w:t>issue</w:t>
      </w:r>
      <w:r>
        <w:rPr>
          <w:spacing w:val="-9"/>
        </w:rPr>
        <w:t> </w:t>
      </w:r>
      <w:r>
        <w:rPr>
          <w:spacing w:val="-4"/>
        </w:rPr>
        <w:t>of</w:t>
      </w:r>
      <w:r>
        <w:rPr>
          <w:spacing w:val="-10"/>
        </w:rPr>
        <w:t> </w:t>
      </w:r>
      <w:r>
        <w:rPr>
          <w:spacing w:val="-4"/>
        </w:rPr>
        <w:t>congruence</w:t>
      </w:r>
      <w:r>
        <w:rPr>
          <w:spacing w:val="-10"/>
        </w:rPr>
        <w:t> </w:t>
      </w:r>
      <w:r>
        <w:rPr>
          <w:spacing w:val="-4"/>
        </w:rPr>
        <w:t>of</w:t>
      </w:r>
      <w:r>
        <w:rPr>
          <w:spacing w:val="-10"/>
        </w:rPr>
        <w:t> </w:t>
      </w:r>
      <w:r>
        <w:rPr>
          <w:spacing w:val="-4"/>
        </w:rPr>
        <w:t>the</w:t>
      </w:r>
      <w:r>
        <w:rPr>
          <w:spacing w:val="-9"/>
        </w:rPr>
        <w:t> </w:t>
      </w:r>
      <w:r>
        <w:rPr>
          <w:spacing w:val="-4"/>
        </w:rPr>
        <w:t>two</w:t>
      </w:r>
      <w:r>
        <w:rPr>
          <w:spacing w:val="-10"/>
        </w:rPr>
        <w:t> </w:t>
      </w:r>
      <w:r>
        <w:rPr>
          <w:spacing w:val="-4"/>
        </w:rPr>
        <w:t>networks </w:t>
      </w:r>
      <w:r>
        <w:rPr/>
        <w:t>therefore no longer remains important and the two aspects can be totally de-linked.</w:t>
      </w:r>
    </w:p>
    <w:p>
      <w:pPr>
        <w:pStyle w:val="Heading6"/>
        <w:numPr>
          <w:ilvl w:val="0"/>
          <w:numId w:val="10"/>
        </w:numPr>
        <w:tabs>
          <w:tab w:pos="644" w:val="left" w:leader="none"/>
        </w:tabs>
        <w:spacing w:line="240" w:lineRule="auto" w:before="173" w:after="0"/>
        <w:ind w:left="644" w:right="0" w:hanging="325"/>
        <w:jc w:val="left"/>
      </w:pPr>
      <w:r>
        <w:rPr>
          <w:color w:val="2E614A"/>
          <w:w w:val="90"/>
        </w:rPr>
        <w:t>Security</w:t>
      </w:r>
      <w:r>
        <w:rPr>
          <w:color w:val="2E614A"/>
          <w:spacing w:val="-3"/>
        </w:rPr>
        <w:t> </w:t>
      </w:r>
      <w:r>
        <w:rPr>
          <w:color w:val="2E614A"/>
          <w:w w:val="90"/>
        </w:rPr>
        <w:t>and</w:t>
      </w:r>
      <w:r>
        <w:rPr>
          <w:color w:val="2E614A"/>
          <w:spacing w:val="-3"/>
        </w:rPr>
        <w:t> </w:t>
      </w:r>
      <w:r>
        <w:rPr>
          <w:color w:val="2E614A"/>
          <w:spacing w:val="-2"/>
          <w:w w:val="90"/>
        </w:rPr>
        <w:t>Privacy</w:t>
      </w:r>
    </w:p>
    <w:p>
      <w:pPr>
        <w:pStyle w:val="BodyText"/>
        <w:spacing w:line="266" w:lineRule="auto" w:before="286"/>
        <w:ind w:left="319" w:right="1077"/>
        <w:jc w:val="both"/>
      </w:pPr>
      <w:r>
        <w:rPr/>
        <w:t>Methods</w:t>
      </w:r>
      <w:r>
        <w:rPr>
          <w:spacing w:val="39"/>
        </w:rPr>
        <w:t> </w:t>
      </w:r>
      <w:r>
        <w:rPr/>
        <w:t>will</w:t>
      </w:r>
      <w:r>
        <w:rPr>
          <w:spacing w:val="39"/>
        </w:rPr>
        <w:t> </w:t>
      </w:r>
      <w:r>
        <w:rPr/>
        <w:t>have</w:t>
      </w:r>
      <w:r>
        <w:rPr>
          <w:spacing w:val="39"/>
        </w:rPr>
        <w:t> </w:t>
      </w:r>
      <w:r>
        <w:rPr/>
        <w:t>to</w:t>
      </w:r>
      <w:r>
        <w:rPr>
          <w:spacing w:val="39"/>
        </w:rPr>
        <w:t> </w:t>
      </w:r>
      <w:r>
        <w:rPr/>
        <w:t>be</w:t>
      </w:r>
      <w:r>
        <w:rPr>
          <w:spacing w:val="39"/>
        </w:rPr>
        <w:t> </w:t>
      </w:r>
      <w:r>
        <w:rPr/>
        <w:t>evolved</w:t>
      </w:r>
      <w:r>
        <w:rPr>
          <w:spacing w:val="39"/>
        </w:rPr>
        <w:t> </w:t>
      </w:r>
      <w:r>
        <w:rPr/>
        <w:t>both</w:t>
      </w:r>
      <w:r>
        <w:rPr>
          <w:spacing w:val="39"/>
        </w:rPr>
        <w:t> </w:t>
      </w:r>
      <w:r>
        <w:rPr/>
        <w:t>at</w:t>
      </w:r>
      <w:r>
        <w:rPr>
          <w:spacing w:val="39"/>
        </w:rPr>
        <w:t> </w:t>
      </w:r>
      <w:r>
        <w:rPr/>
        <w:t>the</w:t>
      </w:r>
      <w:r>
        <w:rPr>
          <w:spacing w:val="39"/>
        </w:rPr>
        <w:t> </w:t>
      </w:r>
      <w:r>
        <w:rPr/>
        <w:t>time of commissioning of the network as well as </w:t>
      </w:r>
      <w:r>
        <w:rPr/>
        <w:t>during </w:t>
      </w:r>
      <w:r>
        <w:rPr>
          <w:spacing w:val="-4"/>
        </w:rPr>
        <w:t>operations,</w:t>
      </w:r>
      <w:r>
        <w:rPr>
          <w:spacing w:val="-12"/>
        </w:rPr>
        <w:t> </w:t>
      </w:r>
      <w:r>
        <w:rPr>
          <w:spacing w:val="-4"/>
        </w:rPr>
        <w:t>to</w:t>
      </w:r>
      <w:r>
        <w:rPr>
          <w:spacing w:val="-10"/>
        </w:rPr>
        <w:t> </w:t>
      </w:r>
      <w:r>
        <w:rPr>
          <w:spacing w:val="-4"/>
        </w:rPr>
        <w:t>ensure</w:t>
      </w:r>
      <w:r>
        <w:rPr>
          <w:spacing w:val="-10"/>
        </w:rPr>
        <w:t> </w:t>
      </w:r>
      <w:r>
        <w:rPr>
          <w:spacing w:val="-4"/>
        </w:rPr>
        <w:t>security</w:t>
      </w:r>
      <w:r>
        <w:rPr>
          <w:spacing w:val="-9"/>
        </w:rPr>
        <w:t> </w:t>
      </w:r>
      <w:r>
        <w:rPr>
          <w:spacing w:val="-4"/>
        </w:rPr>
        <w:t>of</w:t>
      </w:r>
      <w:r>
        <w:rPr>
          <w:spacing w:val="-10"/>
        </w:rPr>
        <w:t> </w:t>
      </w:r>
      <w:r>
        <w:rPr>
          <w:spacing w:val="-4"/>
        </w:rPr>
        <w:t>data</w:t>
      </w:r>
      <w:r>
        <w:rPr>
          <w:spacing w:val="-10"/>
        </w:rPr>
        <w:t> </w:t>
      </w:r>
      <w:r>
        <w:rPr>
          <w:spacing w:val="-4"/>
        </w:rPr>
        <w:t>along</w:t>
      </w:r>
      <w:r>
        <w:rPr>
          <w:spacing w:val="-10"/>
        </w:rPr>
        <w:t> </w:t>
      </w:r>
      <w:r>
        <w:rPr>
          <w:spacing w:val="-4"/>
        </w:rPr>
        <w:t>with</w:t>
      </w:r>
      <w:r>
        <w:rPr>
          <w:spacing w:val="-9"/>
        </w:rPr>
        <w:t> </w:t>
      </w:r>
      <w:r>
        <w:rPr>
          <w:spacing w:val="-4"/>
        </w:rPr>
        <w:t>privacy and</w:t>
      </w:r>
      <w:r>
        <w:rPr>
          <w:spacing w:val="-10"/>
        </w:rPr>
        <w:t> </w:t>
      </w:r>
      <w:r>
        <w:rPr>
          <w:spacing w:val="-4"/>
        </w:rPr>
        <w:t>confidentiality.</w:t>
      </w:r>
      <w:r>
        <w:rPr>
          <w:spacing w:val="-10"/>
        </w:rPr>
        <w:t> </w:t>
      </w:r>
      <w:r>
        <w:rPr>
          <w:spacing w:val="-4"/>
        </w:rPr>
        <w:t>Access</w:t>
      </w:r>
      <w:r>
        <w:rPr>
          <w:spacing w:val="-10"/>
        </w:rPr>
        <w:t> </w:t>
      </w:r>
      <w:r>
        <w:rPr>
          <w:spacing w:val="-4"/>
        </w:rPr>
        <w:t>to</w:t>
      </w:r>
      <w:r>
        <w:rPr>
          <w:spacing w:val="-9"/>
        </w:rPr>
        <w:t> </w:t>
      </w:r>
      <w:r>
        <w:rPr>
          <w:spacing w:val="-4"/>
        </w:rPr>
        <w:t>data</w:t>
      </w:r>
      <w:r>
        <w:rPr>
          <w:spacing w:val="-10"/>
        </w:rPr>
        <w:t> </w:t>
      </w:r>
      <w:r>
        <w:rPr>
          <w:spacing w:val="-4"/>
        </w:rPr>
        <w:t>from</w:t>
      </w:r>
      <w:r>
        <w:rPr>
          <w:spacing w:val="-10"/>
        </w:rPr>
        <w:t> </w:t>
      </w:r>
      <w:r>
        <w:rPr>
          <w:spacing w:val="-4"/>
        </w:rPr>
        <w:t>the</w:t>
      </w:r>
      <w:r>
        <w:rPr>
          <w:spacing w:val="-10"/>
        </w:rPr>
        <w:t> </w:t>
      </w:r>
      <w:r>
        <w:rPr>
          <w:spacing w:val="-4"/>
        </w:rPr>
        <w:t>Data</w:t>
      </w:r>
      <w:r>
        <w:rPr>
          <w:spacing w:val="-9"/>
        </w:rPr>
        <w:t> </w:t>
      </w:r>
      <w:r>
        <w:rPr>
          <w:spacing w:val="-4"/>
        </w:rPr>
        <w:t>Centre </w:t>
      </w:r>
      <w:r>
        <w:rPr/>
        <w:t>of a given institution should be under the control of the institution being addressed. An arrangement for </w:t>
      </w:r>
      <w:r>
        <w:rPr>
          <w:spacing w:val="-2"/>
        </w:rPr>
        <w:t>authentication</w:t>
      </w:r>
      <w:r>
        <w:rPr>
          <w:spacing w:val="-11"/>
        </w:rPr>
        <w:t> </w:t>
      </w:r>
      <w:r>
        <w:rPr>
          <w:spacing w:val="-2"/>
        </w:rPr>
        <w:t>and</w:t>
      </w:r>
      <w:r>
        <w:rPr>
          <w:spacing w:val="-11"/>
        </w:rPr>
        <w:t> </w:t>
      </w:r>
      <w:r>
        <w:rPr>
          <w:spacing w:val="-2"/>
        </w:rPr>
        <w:t>authorisation,</w:t>
      </w:r>
      <w:r>
        <w:rPr>
          <w:spacing w:val="-11"/>
        </w:rPr>
        <w:t> </w:t>
      </w:r>
      <w:r>
        <w:rPr>
          <w:spacing w:val="-2"/>
        </w:rPr>
        <w:t>with</w:t>
      </w:r>
      <w:r>
        <w:rPr>
          <w:spacing w:val="-11"/>
        </w:rPr>
        <w:t> </w:t>
      </w:r>
      <w:r>
        <w:rPr>
          <w:spacing w:val="-2"/>
        </w:rPr>
        <w:t>the</w:t>
      </w:r>
      <w:r>
        <w:rPr>
          <w:spacing w:val="-11"/>
        </w:rPr>
        <w:t> </w:t>
      </w:r>
      <w:r>
        <w:rPr>
          <w:spacing w:val="-2"/>
        </w:rPr>
        <w:t>participation </w:t>
      </w:r>
      <w:r>
        <w:rPr/>
        <w:t>of the connected institutions is essential to launch</w:t>
      </w:r>
      <w:r>
        <w:rPr>
          <w:spacing w:val="80"/>
        </w:rPr>
        <w:t> </w:t>
      </w:r>
      <w:r>
        <w:rPr/>
        <w:t>the network.</w:t>
      </w:r>
    </w:p>
    <w:p>
      <w:pPr>
        <w:pStyle w:val="Heading6"/>
        <w:numPr>
          <w:ilvl w:val="0"/>
          <w:numId w:val="10"/>
        </w:numPr>
        <w:tabs>
          <w:tab w:pos="726" w:val="left" w:leader="none"/>
        </w:tabs>
        <w:spacing w:line="240" w:lineRule="auto" w:before="179" w:after="0"/>
        <w:ind w:left="726" w:right="0" w:hanging="407"/>
        <w:jc w:val="left"/>
      </w:pPr>
      <w:r>
        <w:rPr>
          <w:color w:val="2E614A"/>
          <w:spacing w:val="-10"/>
        </w:rPr>
        <w:t>One-time</w:t>
      </w:r>
      <w:r>
        <w:rPr>
          <w:color w:val="2E614A"/>
          <w:spacing w:val="-9"/>
        </w:rPr>
        <w:t> </w:t>
      </w:r>
      <w:r>
        <w:rPr>
          <w:color w:val="2E614A"/>
          <w:spacing w:val="-10"/>
        </w:rPr>
        <w:t>Support</w:t>
      </w:r>
      <w:r>
        <w:rPr>
          <w:color w:val="2E614A"/>
          <w:spacing w:val="-9"/>
        </w:rPr>
        <w:t> </w:t>
      </w:r>
      <w:r>
        <w:rPr>
          <w:color w:val="2E614A"/>
          <w:spacing w:val="-10"/>
        </w:rPr>
        <w:t>for</w:t>
      </w:r>
      <w:r>
        <w:rPr>
          <w:color w:val="2E614A"/>
          <w:spacing w:val="-9"/>
        </w:rPr>
        <w:t> </w:t>
      </w:r>
      <w:r>
        <w:rPr>
          <w:color w:val="2E614A"/>
          <w:spacing w:val="-10"/>
        </w:rPr>
        <w:t>LANs</w:t>
      </w:r>
    </w:p>
    <w:p>
      <w:pPr>
        <w:pStyle w:val="BodyText"/>
        <w:spacing w:line="266" w:lineRule="auto" w:before="285"/>
        <w:ind w:left="319" w:right="1077"/>
        <w:jc w:val="both"/>
      </w:pPr>
      <w:r>
        <w:rPr/>
        <w:t>The proposed broadband network envisages higher access bandwidth and therefore almost all user institutions will have to upgrade their networks to be </w:t>
      </w:r>
      <w:r>
        <w:rPr>
          <w:spacing w:val="-2"/>
        </w:rPr>
        <w:t>able</w:t>
      </w:r>
      <w:r>
        <w:rPr>
          <w:spacing w:val="-6"/>
        </w:rPr>
        <w:t> </w:t>
      </w:r>
      <w:r>
        <w:rPr>
          <w:spacing w:val="-2"/>
        </w:rPr>
        <w:t>to</w:t>
      </w:r>
      <w:r>
        <w:rPr>
          <w:spacing w:val="-6"/>
        </w:rPr>
        <w:t> </w:t>
      </w:r>
      <w:r>
        <w:rPr>
          <w:spacing w:val="-2"/>
        </w:rPr>
        <w:t>cater</w:t>
      </w:r>
      <w:r>
        <w:rPr>
          <w:spacing w:val="-6"/>
        </w:rPr>
        <w:t> </w:t>
      </w:r>
      <w:r>
        <w:rPr>
          <w:spacing w:val="-2"/>
        </w:rPr>
        <w:t>to</w:t>
      </w:r>
      <w:r>
        <w:rPr>
          <w:spacing w:val="-6"/>
        </w:rPr>
        <w:t> </w:t>
      </w:r>
      <w:r>
        <w:rPr>
          <w:spacing w:val="-2"/>
        </w:rPr>
        <w:t>these</w:t>
      </w:r>
      <w:r>
        <w:rPr>
          <w:spacing w:val="-6"/>
        </w:rPr>
        <w:t> </w:t>
      </w:r>
      <w:r>
        <w:rPr>
          <w:spacing w:val="-2"/>
        </w:rPr>
        <w:t>speeds.</w:t>
      </w:r>
      <w:r>
        <w:rPr>
          <w:spacing w:val="-9"/>
        </w:rPr>
        <w:t> </w:t>
      </w:r>
      <w:r>
        <w:rPr>
          <w:spacing w:val="-2"/>
        </w:rPr>
        <w:t>While</w:t>
      </w:r>
      <w:r>
        <w:rPr>
          <w:spacing w:val="-6"/>
        </w:rPr>
        <w:t> </w:t>
      </w:r>
      <w:r>
        <w:rPr>
          <w:spacing w:val="-2"/>
        </w:rPr>
        <w:t>several</w:t>
      </w:r>
      <w:r>
        <w:rPr>
          <w:spacing w:val="-6"/>
        </w:rPr>
        <w:t> </w:t>
      </w:r>
      <w:r>
        <w:rPr>
          <w:spacing w:val="-2"/>
        </w:rPr>
        <w:t>institutions </w:t>
      </w:r>
      <w:r>
        <w:rPr/>
        <w:t>may have the resources for doing this, a large</w:t>
      </w:r>
      <w:r>
        <w:rPr>
          <w:spacing w:val="40"/>
        </w:rPr>
        <w:t> </w:t>
      </w:r>
      <w:r>
        <w:rPr/>
        <w:t>number will need one-time capital support to set up Fast Ethernet LAN (FELAN) which includes expenditure</w:t>
      </w:r>
      <w:r>
        <w:rPr>
          <w:spacing w:val="-7"/>
        </w:rPr>
        <w:t> </w:t>
      </w:r>
      <w:r>
        <w:rPr/>
        <w:t>on</w:t>
      </w:r>
      <w:r>
        <w:rPr>
          <w:spacing w:val="-7"/>
        </w:rPr>
        <w:t> </w:t>
      </w:r>
      <w:r>
        <w:rPr/>
        <w:t>routers,</w:t>
      </w:r>
      <w:r>
        <w:rPr>
          <w:spacing w:val="-7"/>
        </w:rPr>
        <w:t> </w:t>
      </w:r>
      <w:r>
        <w:rPr/>
        <w:t>switches</w:t>
      </w:r>
      <w:r>
        <w:rPr>
          <w:spacing w:val="-7"/>
        </w:rPr>
        <w:t> </w:t>
      </w:r>
      <w:r>
        <w:rPr/>
        <w:t>and</w:t>
      </w:r>
      <w:r>
        <w:rPr>
          <w:spacing w:val="-7"/>
        </w:rPr>
        <w:t> </w:t>
      </w:r>
      <w:r>
        <w:rPr/>
        <w:t>optic</w:t>
      </w:r>
      <w:r>
        <w:rPr>
          <w:spacing w:val="-7"/>
        </w:rPr>
        <w:t> </w:t>
      </w:r>
      <w:r>
        <w:rPr/>
        <w:t>fibre</w:t>
      </w:r>
      <w:r>
        <w:rPr>
          <w:spacing w:val="-7"/>
        </w:rPr>
        <w:t> </w:t>
      </w:r>
      <w:r>
        <w:rPr/>
        <w:t>cable on the campus.</w:t>
      </w:r>
    </w:p>
    <w:p>
      <w:pPr>
        <w:pStyle w:val="Heading6"/>
        <w:numPr>
          <w:ilvl w:val="0"/>
          <w:numId w:val="10"/>
        </w:numPr>
        <w:tabs>
          <w:tab w:pos="644" w:val="left" w:leader="none"/>
        </w:tabs>
        <w:spacing w:line="240" w:lineRule="auto" w:before="180" w:after="0"/>
        <w:ind w:left="644" w:right="0" w:hanging="325"/>
        <w:jc w:val="left"/>
      </w:pPr>
      <w:r>
        <w:rPr>
          <w:color w:val="2E614A"/>
          <w:spacing w:val="-2"/>
        </w:rPr>
        <w:t>Costs</w:t>
      </w:r>
    </w:p>
    <w:p>
      <w:pPr>
        <w:pStyle w:val="BodyText"/>
        <w:spacing w:line="266" w:lineRule="auto" w:before="285"/>
        <w:ind w:left="319" w:right="1077"/>
        <w:jc w:val="both"/>
      </w:pPr>
      <w:r>
        <w:rPr/>
        <w:t>The Knowledge Network initially proposed to be launched on existing commercial networks will therefore involve a recurring cost of Rs 20-40 lakh per institution connected, amounting to Rs 200-400 crores</w:t>
      </w:r>
      <w:r>
        <w:rPr>
          <w:spacing w:val="-13"/>
        </w:rPr>
        <w:t> </w:t>
      </w:r>
      <w:r>
        <w:rPr/>
        <w:t>annually</w:t>
      </w:r>
      <w:r>
        <w:rPr>
          <w:spacing w:val="-13"/>
        </w:rPr>
        <w:t> </w:t>
      </w:r>
      <w:r>
        <w:rPr/>
        <w:t>for</w:t>
      </w:r>
      <w:r>
        <w:rPr>
          <w:spacing w:val="-13"/>
        </w:rPr>
        <w:t> </w:t>
      </w:r>
      <w:r>
        <w:rPr/>
        <w:t>1000</w:t>
      </w:r>
      <w:r>
        <w:rPr>
          <w:spacing w:val="-13"/>
        </w:rPr>
        <w:t> </w:t>
      </w:r>
      <w:r>
        <w:rPr/>
        <w:t>institutions</w:t>
      </w:r>
      <w:r>
        <w:rPr>
          <w:spacing w:val="-13"/>
        </w:rPr>
        <w:t> </w:t>
      </w:r>
      <w:r>
        <w:rPr/>
        <w:t>in</w:t>
      </w:r>
      <w:r>
        <w:rPr>
          <w:spacing w:val="-13"/>
        </w:rPr>
        <w:t> </w:t>
      </w:r>
      <w:r>
        <w:rPr/>
        <w:t>the</w:t>
      </w:r>
      <w:r>
        <w:rPr>
          <w:spacing w:val="-13"/>
        </w:rPr>
        <w:t> </w:t>
      </w:r>
      <w:r>
        <w:rPr/>
        <w:t>first</w:t>
      </w:r>
      <w:r>
        <w:rPr>
          <w:spacing w:val="-13"/>
        </w:rPr>
        <w:t> </w:t>
      </w:r>
      <w:r>
        <w:rPr/>
        <w:t>phase. </w:t>
      </w:r>
      <w:r>
        <w:rPr>
          <w:spacing w:val="-2"/>
        </w:rPr>
        <w:t>In</w:t>
      </w:r>
      <w:r>
        <w:rPr>
          <w:spacing w:val="-9"/>
        </w:rPr>
        <w:t> </w:t>
      </w:r>
      <w:r>
        <w:rPr>
          <w:spacing w:val="-2"/>
        </w:rPr>
        <w:t>addition,</w:t>
      </w:r>
      <w:r>
        <w:rPr>
          <w:spacing w:val="-9"/>
        </w:rPr>
        <w:t> </w:t>
      </w:r>
      <w:r>
        <w:rPr>
          <w:spacing w:val="-2"/>
        </w:rPr>
        <w:t>there</w:t>
      </w:r>
      <w:r>
        <w:rPr>
          <w:spacing w:val="-9"/>
        </w:rPr>
        <w:t> </w:t>
      </w:r>
      <w:r>
        <w:rPr>
          <w:spacing w:val="-2"/>
        </w:rPr>
        <w:t>will</w:t>
      </w:r>
      <w:r>
        <w:rPr>
          <w:spacing w:val="-9"/>
        </w:rPr>
        <w:t> </w:t>
      </w:r>
      <w:r>
        <w:rPr>
          <w:spacing w:val="-2"/>
        </w:rPr>
        <w:t>be</w:t>
      </w:r>
      <w:r>
        <w:rPr>
          <w:spacing w:val="-9"/>
        </w:rPr>
        <w:t> </w:t>
      </w:r>
      <w:r>
        <w:rPr>
          <w:spacing w:val="-2"/>
        </w:rPr>
        <w:t>a</w:t>
      </w:r>
      <w:r>
        <w:rPr>
          <w:spacing w:val="-9"/>
        </w:rPr>
        <w:t> </w:t>
      </w:r>
      <w:r>
        <w:rPr>
          <w:spacing w:val="-2"/>
        </w:rPr>
        <w:t>one-time</w:t>
      </w:r>
      <w:r>
        <w:rPr>
          <w:spacing w:val="-9"/>
        </w:rPr>
        <w:t> </w:t>
      </w:r>
      <w:r>
        <w:rPr>
          <w:spacing w:val="-2"/>
        </w:rPr>
        <w:t>capital</w:t>
      </w:r>
      <w:r>
        <w:rPr>
          <w:spacing w:val="-9"/>
        </w:rPr>
        <w:t> </w:t>
      </w:r>
      <w:r>
        <w:rPr>
          <w:spacing w:val="-2"/>
        </w:rPr>
        <w:t>investment </w:t>
      </w:r>
      <w:r>
        <w:rPr/>
        <w:t>in</w:t>
      </w:r>
      <w:r>
        <w:rPr>
          <w:spacing w:val="9"/>
        </w:rPr>
        <w:t> </w:t>
      </w:r>
      <w:r>
        <w:rPr/>
        <w:t>upgrading</w:t>
      </w:r>
      <w:r>
        <w:rPr>
          <w:spacing w:val="10"/>
        </w:rPr>
        <w:t> </w:t>
      </w:r>
      <w:r>
        <w:rPr/>
        <w:t>the</w:t>
      </w:r>
      <w:r>
        <w:rPr>
          <w:spacing w:val="9"/>
        </w:rPr>
        <w:t> </w:t>
      </w:r>
      <w:r>
        <w:rPr/>
        <w:t>LANs</w:t>
      </w:r>
      <w:r>
        <w:rPr>
          <w:spacing w:val="10"/>
        </w:rPr>
        <w:t> </w:t>
      </w:r>
      <w:r>
        <w:rPr/>
        <w:t>of</w:t>
      </w:r>
      <w:r>
        <w:rPr>
          <w:spacing w:val="9"/>
        </w:rPr>
        <w:t> </w:t>
      </w:r>
      <w:r>
        <w:rPr/>
        <w:t>these</w:t>
      </w:r>
      <w:r>
        <w:rPr>
          <w:spacing w:val="10"/>
        </w:rPr>
        <w:t> </w:t>
      </w:r>
      <w:r>
        <w:rPr/>
        <w:t>institutions</w:t>
      </w:r>
      <w:r>
        <w:rPr>
          <w:spacing w:val="9"/>
        </w:rPr>
        <w:t> </w:t>
      </w:r>
      <w:r>
        <w:rPr/>
        <w:t>to</w:t>
      </w:r>
      <w:r>
        <w:rPr>
          <w:spacing w:val="10"/>
        </w:rPr>
        <w:t> </w:t>
      </w:r>
      <w:r>
        <w:rPr/>
        <w:t>a</w:t>
      </w:r>
      <w:r>
        <w:rPr>
          <w:spacing w:val="9"/>
        </w:rPr>
        <w:t> </w:t>
      </w:r>
      <w:r>
        <w:rPr>
          <w:spacing w:val="-5"/>
        </w:rPr>
        <w:t>100</w:t>
      </w:r>
    </w:p>
    <w:p>
      <w:pPr>
        <w:spacing w:after="0" w:line="266" w:lineRule="auto"/>
        <w:jc w:val="both"/>
        <w:sectPr>
          <w:pgSz w:w="11910" w:h="16840"/>
          <w:pgMar w:header="0" w:footer="634" w:top="940" w:bottom="860" w:left="0" w:right="0"/>
          <w:cols w:num="2" w:equalWidth="0">
            <w:col w:w="5774" w:space="40"/>
            <w:col w:w="6096"/>
          </w:cols>
        </w:sectPr>
      </w:pPr>
    </w:p>
    <w:p>
      <w:pPr>
        <w:pStyle w:val="BodyText"/>
        <w:spacing w:line="266" w:lineRule="auto" w:before="77"/>
        <w:ind w:left="1080"/>
        <w:jc w:val="both"/>
      </w:pPr>
      <w:r>
        <w:rPr/>
        <w:t>Mbps capability Fast Ethernet LAN. Thereafter, based on feedback, the installation of the inner </w:t>
      </w:r>
      <w:r>
        <w:rPr/>
        <w:t>core network</w:t>
      </w:r>
      <w:r>
        <w:rPr>
          <w:spacing w:val="-8"/>
        </w:rPr>
        <w:t> </w:t>
      </w:r>
      <w:r>
        <w:rPr/>
        <w:t>of</w:t>
      </w:r>
      <w:r>
        <w:rPr>
          <w:spacing w:val="-8"/>
        </w:rPr>
        <w:t> </w:t>
      </w:r>
      <w:r>
        <w:rPr/>
        <w:t>10</w:t>
      </w:r>
      <w:r>
        <w:rPr>
          <w:spacing w:val="-8"/>
        </w:rPr>
        <w:t> </w:t>
      </w:r>
      <w:r>
        <w:rPr/>
        <w:t>Gbps</w:t>
      </w:r>
      <w:r>
        <w:rPr>
          <w:spacing w:val="-8"/>
        </w:rPr>
        <w:t> </w:t>
      </w:r>
      <w:r>
        <w:rPr/>
        <w:t>or</w:t>
      </w:r>
      <w:r>
        <w:rPr>
          <w:spacing w:val="-8"/>
        </w:rPr>
        <w:t> </w:t>
      </w:r>
      <w:r>
        <w:rPr/>
        <w:t>higher</w:t>
      </w:r>
      <w:r>
        <w:rPr>
          <w:spacing w:val="-8"/>
        </w:rPr>
        <w:t> </w:t>
      </w:r>
      <w:r>
        <w:rPr/>
        <w:t>capability</w:t>
      </w:r>
      <w:r>
        <w:rPr>
          <w:spacing w:val="-8"/>
        </w:rPr>
        <w:t> </w:t>
      </w:r>
      <w:r>
        <w:rPr/>
        <w:t>will</w:t>
      </w:r>
      <w:r>
        <w:rPr>
          <w:spacing w:val="-8"/>
        </w:rPr>
        <w:t> </w:t>
      </w:r>
      <w:r>
        <w:rPr/>
        <w:t>be</w:t>
      </w:r>
      <w:r>
        <w:rPr>
          <w:spacing w:val="-8"/>
        </w:rPr>
        <w:t> </w:t>
      </w:r>
      <w:r>
        <w:rPr/>
        <w:t>taken up. This will involve a capital investment of around Rs</w:t>
      </w:r>
      <w:r>
        <w:rPr>
          <w:spacing w:val="-6"/>
        </w:rPr>
        <w:t> </w:t>
      </w:r>
      <w:r>
        <w:rPr/>
        <w:t>1,000</w:t>
      </w:r>
      <w:r>
        <w:rPr>
          <w:spacing w:val="-6"/>
        </w:rPr>
        <w:t> </w:t>
      </w:r>
      <w:r>
        <w:rPr/>
        <w:t>crores</w:t>
      </w:r>
      <w:r>
        <w:rPr>
          <w:spacing w:val="-6"/>
        </w:rPr>
        <w:t> </w:t>
      </w:r>
      <w:r>
        <w:rPr/>
        <w:t>on</w:t>
      </w:r>
      <w:r>
        <w:rPr>
          <w:spacing w:val="-6"/>
        </w:rPr>
        <w:t> </w:t>
      </w:r>
      <w:r>
        <w:rPr/>
        <w:t>a</w:t>
      </w:r>
      <w:r>
        <w:rPr>
          <w:spacing w:val="-6"/>
        </w:rPr>
        <w:t> </w:t>
      </w:r>
      <w:r>
        <w:rPr/>
        <w:t>7</w:t>
      </w:r>
      <w:r>
        <w:rPr>
          <w:spacing w:val="-6"/>
        </w:rPr>
        <w:t> </w:t>
      </w:r>
      <w:r>
        <w:rPr/>
        <w:t>or</w:t>
      </w:r>
      <w:r>
        <w:rPr>
          <w:spacing w:val="-6"/>
        </w:rPr>
        <w:t> </w:t>
      </w:r>
      <w:r>
        <w:rPr/>
        <w:t>8-node</w:t>
      </w:r>
      <w:r>
        <w:rPr>
          <w:spacing w:val="-6"/>
        </w:rPr>
        <w:t> </w:t>
      </w:r>
      <w:r>
        <w:rPr/>
        <w:t>Inner</w:t>
      </w:r>
      <w:r>
        <w:rPr>
          <w:spacing w:val="-6"/>
        </w:rPr>
        <w:t> </w:t>
      </w:r>
      <w:r>
        <w:rPr/>
        <w:t>Core</w:t>
      </w:r>
      <w:r>
        <w:rPr>
          <w:spacing w:val="-6"/>
        </w:rPr>
        <w:t> </w:t>
      </w:r>
      <w:r>
        <w:rPr/>
        <w:t>network, its Gigabit connectivity to the commercial IP-MPLS networks, as also direct connectivity to a few users who</w:t>
      </w:r>
      <w:r>
        <w:rPr>
          <w:spacing w:val="-10"/>
        </w:rPr>
        <w:t> </w:t>
      </w:r>
      <w:r>
        <w:rPr/>
        <w:t>are</w:t>
      </w:r>
      <w:r>
        <w:rPr>
          <w:spacing w:val="-10"/>
        </w:rPr>
        <w:t> </w:t>
      </w:r>
      <w:r>
        <w:rPr/>
        <w:t>particularly</w:t>
      </w:r>
      <w:r>
        <w:rPr>
          <w:spacing w:val="-10"/>
        </w:rPr>
        <w:t> </w:t>
      </w:r>
      <w:r>
        <w:rPr/>
        <w:t>concerned</w:t>
      </w:r>
      <w:r>
        <w:rPr>
          <w:spacing w:val="-10"/>
        </w:rPr>
        <w:t> </w:t>
      </w:r>
      <w:r>
        <w:rPr/>
        <w:t>about</w:t>
      </w:r>
      <w:r>
        <w:rPr>
          <w:spacing w:val="-10"/>
        </w:rPr>
        <w:t> </w:t>
      </w:r>
      <w:r>
        <w:rPr/>
        <w:t>the</w:t>
      </w:r>
      <w:r>
        <w:rPr>
          <w:spacing w:val="-10"/>
        </w:rPr>
        <w:t> </w:t>
      </w:r>
      <w:r>
        <w:rPr/>
        <w:t>security</w:t>
      </w:r>
      <w:r>
        <w:rPr>
          <w:spacing w:val="-10"/>
        </w:rPr>
        <w:t> </w:t>
      </w:r>
      <w:r>
        <w:rPr/>
        <w:t>and internetworking experiments. This expenditure will be incurred over a period of time. There will be an additional recurring expenditure for this Inner Core on hiring large bandwidths from bandwidth service providers.</w:t>
      </w:r>
      <w:r>
        <w:rPr>
          <w:spacing w:val="-13"/>
        </w:rPr>
        <w:t> </w:t>
      </w:r>
      <w:r>
        <w:rPr/>
        <w:t>This</w:t>
      </w:r>
      <w:r>
        <w:rPr>
          <w:spacing w:val="-5"/>
        </w:rPr>
        <w:t> </w:t>
      </w:r>
      <w:r>
        <w:rPr/>
        <w:t>amount</w:t>
      </w:r>
      <w:r>
        <w:rPr>
          <w:spacing w:val="-5"/>
        </w:rPr>
        <w:t> </w:t>
      </w:r>
      <w:r>
        <w:rPr/>
        <w:t>will</w:t>
      </w:r>
      <w:r>
        <w:rPr>
          <w:spacing w:val="-5"/>
        </w:rPr>
        <w:t> </w:t>
      </w:r>
      <w:r>
        <w:rPr/>
        <w:t>depend</w:t>
      </w:r>
      <w:r>
        <w:rPr>
          <w:spacing w:val="-5"/>
        </w:rPr>
        <w:t> </w:t>
      </w:r>
      <w:r>
        <w:rPr/>
        <w:t>on</w:t>
      </w:r>
      <w:r>
        <w:rPr>
          <w:spacing w:val="-5"/>
        </w:rPr>
        <w:t> </w:t>
      </w:r>
      <w:r>
        <w:rPr/>
        <w:t>the</w:t>
      </w:r>
      <w:r>
        <w:rPr>
          <w:spacing w:val="-5"/>
        </w:rPr>
        <w:t> </w:t>
      </w:r>
      <w:r>
        <w:rPr/>
        <w:t>number</w:t>
      </w:r>
      <w:r>
        <w:rPr>
          <w:spacing w:val="-5"/>
        </w:rPr>
        <w:t> </w:t>
      </w:r>
      <w:r>
        <w:rPr/>
        <w:t>of nodes and the negotiated or bid-based price.</w:t>
      </w:r>
    </w:p>
    <w:p>
      <w:pPr>
        <w:pStyle w:val="Heading6"/>
        <w:numPr>
          <w:ilvl w:val="0"/>
          <w:numId w:val="10"/>
        </w:numPr>
        <w:tabs>
          <w:tab w:pos="1405" w:val="left" w:leader="none"/>
        </w:tabs>
        <w:spacing w:line="240" w:lineRule="auto" w:before="176" w:after="0"/>
        <w:ind w:left="1405" w:right="0" w:hanging="325"/>
        <w:jc w:val="left"/>
      </w:pPr>
      <w:r>
        <w:rPr>
          <w:color w:val="2E614A"/>
          <w:spacing w:val="-2"/>
        </w:rPr>
        <w:t>Organisation</w:t>
      </w:r>
    </w:p>
    <w:p>
      <w:pPr>
        <w:pStyle w:val="BodyText"/>
        <w:spacing w:line="266" w:lineRule="auto" w:before="365"/>
        <w:ind w:left="1080"/>
        <w:jc w:val="both"/>
      </w:pPr>
      <w:r>
        <w:rPr/>
        <w:t>To ensure day to day coordination, operation </w:t>
      </w:r>
      <w:r>
        <w:rPr/>
        <w:t>and efficient</w:t>
      </w:r>
      <w:r>
        <w:rPr>
          <w:spacing w:val="40"/>
        </w:rPr>
        <w:t> </w:t>
      </w:r>
      <w:r>
        <w:rPr/>
        <w:t>utilisation</w:t>
      </w:r>
      <w:r>
        <w:rPr>
          <w:spacing w:val="40"/>
        </w:rPr>
        <w:t> </w:t>
      </w:r>
      <w:r>
        <w:rPr/>
        <w:t>NKC</w:t>
      </w:r>
      <w:r>
        <w:rPr>
          <w:spacing w:val="40"/>
        </w:rPr>
        <w:t> </w:t>
      </w:r>
      <w:r>
        <w:rPr/>
        <w:t>recommends</w:t>
      </w:r>
      <w:r>
        <w:rPr>
          <w:spacing w:val="40"/>
        </w:rPr>
        <w:t> </w:t>
      </w:r>
      <w:r>
        <w:rPr/>
        <w:t>establishing a</w:t>
      </w:r>
      <w:r>
        <w:rPr>
          <w:spacing w:val="-3"/>
        </w:rPr>
        <w:t> </w:t>
      </w:r>
      <w:r>
        <w:rPr/>
        <w:t>Special</w:t>
      </w:r>
      <w:r>
        <w:rPr>
          <w:spacing w:val="-3"/>
        </w:rPr>
        <w:t> </w:t>
      </w:r>
      <w:r>
        <w:rPr/>
        <w:t>Purpose</w:t>
      </w:r>
      <w:r>
        <w:rPr>
          <w:spacing w:val="-4"/>
        </w:rPr>
        <w:t> </w:t>
      </w:r>
      <w:r>
        <w:rPr/>
        <w:t>Vehicle</w:t>
      </w:r>
      <w:r>
        <w:rPr>
          <w:spacing w:val="-3"/>
        </w:rPr>
        <w:t> </w:t>
      </w:r>
      <w:r>
        <w:rPr/>
        <w:t>(SPV) consisting of major stakeholders. Such an SPV should have professional </w:t>
      </w:r>
      <w:r>
        <w:rPr>
          <w:spacing w:val="-4"/>
        </w:rPr>
        <w:t>experts</w:t>
      </w:r>
      <w:r>
        <w:rPr>
          <w:spacing w:val="-6"/>
        </w:rPr>
        <w:t> </w:t>
      </w:r>
      <w:r>
        <w:rPr>
          <w:spacing w:val="-4"/>
        </w:rPr>
        <w:t>pooled</w:t>
      </w:r>
      <w:r>
        <w:rPr>
          <w:spacing w:val="-6"/>
        </w:rPr>
        <w:t> </w:t>
      </w:r>
      <w:r>
        <w:rPr>
          <w:spacing w:val="-4"/>
        </w:rPr>
        <w:t>from</w:t>
      </w:r>
      <w:r>
        <w:rPr>
          <w:spacing w:val="-6"/>
        </w:rPr>
        <w:t> </w:t>
      </w:r>
      <w:r>
        <w:rPr>
          <w:spacing w:val="-4"/>
        </w:rPr>
        <w:t>various</w:t>
      </w:r>
      <w:r>
        <w:rPr>
          <w:spacing w:val="-6"/>
        </w:rPr>
        <w:t> </w:t>
      </w:r>
      <w:r>
        <w:rPr>
          <w:spacing w:val="-4"/>
        </w:rPr>
        <w:t>stakeholder</w:t>
      </w:r>
      <w:r>
        <w:rPr>
          <w:spacing w:val="-6"/>
        </w:rPr>
        <w:t> </w:t>
      </w:r>
      <w:r>
        <w:rPr>
          <w:spacing w:val="-4"/>
        </w:rPr>
        <w:t>institutions</w:t>
      </w:r>
      <w:r>
        <w:rPr>
          <w:spacing w:val="-6"/>
        </w:rPr>
        <w:t> </w:t>
      </w:r>
      <w:r>
        <w:rPr>
          <w:spacing w:val="-4"/>
        </w:rPr>
        <w:t>for </w:t>
      </w:r>
      <w:r>
        <w:rPr/>
        <w:t>coordinating and guiding various private vendors for </w:t>
      </w:r>
      <w:r>
        <w:rPr>
          <w:spacing w:val="-6"/>
        </w:rPr>
        <w:t>speedy implementation.</w:t>
      </w:r>
      <w:r>
        <w:rPr>
          <w:spacing w:val="-8"/>
        </w:rPr>
        <w:t> </w:t>
      </w:r>
      <w:r>
        <w:rPr>
          <w:spacing w:val="-6"/>
        </w:rPr>
        <w:t>The</w:t>
      </w:r>
      <w:r>
        <w:rPr/>
        <w:t> </w:t>
      </w:r>
      <w:r>
        <w:rPr>
          <w:spacing w:val="-6"/>
        </w:rPr>
        <w:t>policy, security and overall management</w:t>
      </w:r>
      <w:r>
        <w:rPr>
          <w:spacing w:val="-10"/>
        </w:rPr>
        <w:t> </w:t>
      </w:r>
      <w:r>
        <w:rPr>
          <w:spacing w:val="-6"/>
        </w:rPr>
        <w:t>should</w:t>
      </w:r>
      <w:r>
        <w:rPr>
          <w:spacing w:val="-8"/>
        </w:rPr>
        <w:t> </w:t>
      </w:r>
      <w:r>
        <w:rPr>
          <w:spacing w:val="-6"/>
        </w:rPr>
        <w:t>be</w:t>
      </w:r>
      <w:r>
        <w:rPr>
          <w:spacing w:val="-8"/>
        </w:rPr>
        <w:t> </w:t>
      </w:r>
      <w:r>
        <w:rPr>
          <w:spacing w:val="-6"/>
        </w:rPr>
        <w:t>the</w:t>
      </w:r>
      <w:r>
        <w:rPr>
          <w:spacing w:val="-7"/>
        </w:rPr>
        <w:t> </w:t>
      </w:r>
      <w:r>
        <w:rPr>
          <w:spacing w:val="-6"/>
        </w:rPr>
        <w:t>responsibility</w:t>
      </w:r>
      <w:r>
        <w:rPr>
          <w:spacing w:val="-8"/>
        </w:rPr>
        <w:t> </w:t>
      </w:r>
      <w:r>
        <w:rPr>
          <w:spacing w:val="-6"/>
        </w:rPr>
        <w:t>of</w:t>
      </w:r>
      <w:r>
        <w:rPr>
          <w:spacing w:val="-8"/>
        </w:rPr>
        <w:t> </w:t>
      </w:r>
      <w:r>
        <w:rPr>
          <w:spacing w:val="-6"/>
        </w:rPr>
        <w:t>the</w:t>
      </w:r>
      <w:r>
        <w:rPr>
          <w:spacing w:val="-8"/>
        </w:rPr>
        <w:t> </w:t>
      </w:r>
      <w:r>
        <w:rPr>
          <w:spacing w:val="-6"/>
        </w:rPr>
        <w:t>SPV</w:t>
      </w:r>
      <w:r>
        <w:rPr>
          <w:spacing w:val="-7"/>
        </w:rPr>
        <w:t> </w:t>
      </w:r>
      <w:r>
        <w:rPr>
          <w:spacing w:val="-6"/>
        </w:rPr>
        <w:t>and </w:t>
      </w:r>
      <w:r>
        <w:rPr>
          <w:spacing w:val="-2"/>
        </w:rPr>
        <w:t>the</w:t>
      </w:r>
      <w:r>
        <w:rPr>
          <w:spacing w:val="-8"/>
        </w:rPr>
        <w:t> </w:t>
      </w:r>
      <w:r>
        <w:rPr>
          <w:spacing w:val="-2"/>
        </w:rPr>
        <w:t>operational</w:t>
      </w:r>
      <w:r>
        <w:rPr>
          <w:spacing w:val="-8"/>
        </w:rPr>
        <w:t> </w:t>
      </w:r>
      <w:r>
        <w:rPr>
          <w:spacing w:val="-2"/>
        </w:rPr>
        <w:t>support</w:t>
      </w:r>
      <w:r>
        <w:rPr>
          <w:spacing w:val="-8"/>
        </w:rPr>
        <w:t> </w:t>
      </w:r>
      <w:r>
        <w:rPr>
          <w:spacing w:val="-2"/>
        </w:rPr>
        <w:t>requirements</w:t>
      </w:r>
      <w:r>
        <w:rPr>
          <w:spacing w:val="-8"/>
        </w:rPr>
        <w:t> </w:t>
      </w:r>
      <w:r>
        <w:rPr>
          <w:spacing w:val="-2"/>
        </w:rPr>
        <w:t>should</w:t>
      </w:r>
      <w:r>
        <w:rPr>
          <w:spacing w:val="-8"/>
        </w:rPr>
        <w:t> </w:t>
      </w:r>
      <w:r>
        <w:rPr>
          <w:spacing w:val="-2"/>
        </w:rPr>
        <w:t>be</w:t>
      </w:r>
      <w:r>
        <w:rPr>
          <w:spacing w:val="-8"/>
        </w:rPr>
        <w:t> </w:t>
      </w:r>
      <w:r>
        <w:rPr>
          <w:spacing w:val="-2"/>
        </w:rPr>
        <w:t>met</w:t>
      </w:r>
      <w:r>
        <w:rPr>
          <w:spacing w:val="-5"/>
        </w:rPr>
        <w:t> </w:t>
      </w:r>
      <w:r>
        <w:rPr>
          <w:spacing w:val="-2"/>
        </w:rPr>
        <w:t>by </w:t>
      </w:r>
      <w:r>
        <w:rPr/>
        <w:t>the</w:t>
      </w:r>
      <w:r>
        <w:rPr>
          <w:spacing w:val="-13"/>
        </w:rPr>
        <w:t> </w:t>
      </w:r>
      <w:r>
        <w:rPr/>
        <w:t>industry.</w:t>
      </w:r>
      <w:r>
        <w:rPr>
          <w:spacing w:val="-13"/>
        </w:rPr>
        <w:t> </w:t>
      </w:r>
      <w:r>
        <w:rPr/>
        <w:t>One</w:t>
      </w:r>
      <w:r>
        <w:rPr>
          <w:spacing w:val="-13"/>
        </w:rPr>
        <w:t> </w:t>
      </w:r>
      <w:r>
        <w:rPr/>
        <w:t>of</w:t>
      </w:r>
      <w:r>
        <w:rPr>
          <w:spacing w:val="-13"/>
        </w:rPr>
        <w:t> </w:t>
      </w:r>
      <w:r>
        <w:rPr/>
        <w:t>the</w:t>
      </w:r>
      <w:r>
        <w:rPr>
          <w:spacing w:val="-13"/>
        </w:rPr>
        <w:t> </w:t>
      </w:r>
      <w:r>
        <w:rPr/>
        <w:t>compelling</w:t>
      </w:r>
      <w:r>
        <w:rPr>
          <w:spacing w:val="-13"/>
        </w:rPr>
        <w:t> </w:t>
      </w:r>
      <w:r>
        <w:rPr/>
        <w:t>reasons</w:t>
      </w:r>
      <w:r>
        <w:rPr>
          <w:spacing w:val="-13"/>
        </w:rPr>
        <w:t> </w:t>
      </w:r>
      <w:r>
        <w:rPr/>
        <w:t>for</w:t>
      </w:r>
      <w:r>
        <w:rPr>
          <w:spacing w:val="-13"/>
        </w:rPr>
        <w:t> </w:t>
      </w:r>
      <w:r>
        <w:rPr/>
        <w:t>such</w:t>
      </w:r>
      <w:r>
        <w:rPr>
          <w:spacing w:val="-13"/>
        </w:rPr>
        <w:t> </w:t>
      </w:r>
      <w:r>
        <w:rPr/>
        <w:t>a </w:t>
      </w:r>
      <w:r>
        <w:rPr>
          <w:spacing w:val="-4"/>
        </w:rPr>
        <w:t>mechanism</w:t>
      </w:r>
      <w:r>
        <w:rPr>
          <w:spacing w:val="-8"/>
        </w:rPr>
        <w:t> </w:t>
      </w:r>
      <w:r>
        <w:rPr>
          <w:spacing w:val="-4"/>
        </w:rPr>
        <w:t>is</w:t>
      </w:r>
      <w:r>
        <w:rPr>
          <w:spacing w:val="-8"/>
        </w:rPr>
        <w:t> </w:t>
      </w:r>
      <w:r>
        <w:rPr>
          <w:spacing w:val="-4"/>
        </w:rPr>
        <w:t>to</w:t>
      </w:r>
      <w:r>
        <w:rPr>
          <w:spacing w:val="-8"/>
        </w:rPr>
        <w:t> </w:t>
      </w:r>
      <w:r>
        <w:rPr>
          <w:spacing w:val="-4"/>
        </w:rPr>
        <w:t>provide</w:t>
      </w:r>
      <w:r>
        <w:rPr>
          <w:spacing w:val="-8"/>
        </w:rPr>
        <w:t> </w:t>
      </w:r>
      <w:r>
        <w:rPr>
          <w:spacing w:val="-4"/>
        </w:rPr>
        <w:t>assurance</w:t>
      </w:r>
      <w:r>
        <w:rPr>
          <w:spacing w:val="-8"/>
        </w:rPr>
        <w:t> </w:t>
      </w:r>
      <w:r>
        <w:rPr>
          <w:spacing w:val="-4"/>
        </w:rPr>
        <w:t>that</w:t>
      </w:r>
      <w:r>
        <w:rPr>
          <w:spacing w:val="-8"/>
        </w:rPr>
        <w:t> </w:t>
      </w:r>
      <w:r>
        <w:rPr>
          <w:spacing w:val="-4"/>
        </w:rPr>
        <w:t>the</w:t>
      </w:r>
      <w:r>
        <w:rPr>
          <w:spacing w:val="-8"/>
        </w:rPr>
        <w:t> </w:t>
      </w:r>
      <w:r>
        <w:rPr>
          <w:spacing w:val="-4"/>
        </w:rPr>
        <w:t>use</w:t>
      </w:r>
      <w:r>
        <w:rPr>
          <w:spacing w:val="-8"/>
        </w:rPr>
        <w:t> </w:t>
      </w:r>
      <w:r>
        <w:rPr>
          <w:spacing w:val="-4"/>
        </w:rPr>
        <w:t>of</w:t>
      </w:r>
      <w:r>
        <w:rPr>
          <w:spacing w:val="-8"/>
        </w:rPr>
        <w:t> </w:t>
      </w:r>
      <w:r>
        <w:rPr>
          <w:spacing w:val="-4"/>
        </w:rPr>
        <w:t>cyber </w:t>
      </w:r>
      <w:r>
        <w:rPr>
          <w:spacing w:val="-2"/>
        </w:rPr>
        <w:t>space</w:t>
      </w:r>
      <w:r>
        <w:rPr>
          <w:spacing w:val="-12"/>
        </w:rPr>
        <w:t> </w:t>
      </w:r>
      <w:r>
        <w:rPr>
          <w:spacing w:val="-2"/>
        </w:rPr>
        <w:t>will</w:t>
      </w:r>
      <w:r>
        <w:rPr>
          <w:spacing w:val="-12"/>
        </w:rPr>
        <w:t> </w:t>
      </w:r>
      <w:r>
        <w:rPr>
          <w:spacing w:val="-2"/>
        </w:rPr>
        <w:t>in</w:t>
      </w:r>
      <w:r>
        <w:rPr>
          <w:spacing w:val="-12"/>
        </w:rPr>
        <w:t> </w:t>
      </w:r>
      <w:r>
        <w:rPr>
          <w:spacing w:val="-2"/>
        </w:rPr>
        <w:t>no</w:t>
      </w:r>
      <w:r>
        <w:rPr>
          <w:spacing w:val="-11"/>
        </w:rPr>
        <w:t> </w:t>
      </w:r>
      <w:r>
        <w:rPr>
          <w:spacing w:val="-2"/>
        </w:rPr>
        <w:t>way</w:t>
      </w:r>
      <w:r>
        <w:rPr>
          <w:spacing w:val="-12"/>
        </w:rPr>
        <w:t> </w:t>
      </w:r>
      <w:r>
        <w:rPr>
          <w:spacing w:val="-2"/>
        </w:rPr>
        <w:t>compromise</w:t>
      </w:r>
      <w:r>
        <w:rPr>
          <w:spacing w:val="-12"/>
        </w:rPr>
        <w:t> </w:t>
      </w:r>
      <w:r>
        <w:rPr>
          <w:spacing w:val="-2"/>
        </w:rPr>
        <w:t>the</w:t>
      </w:r>
      <w:r>
        <w:rPr>
          <w:spacing w:val="-12"/>
        </w:rPr>
        <w:t> </w:t>
      </w:r>
      <w:r>
        <w:rPr>
          <w:spacing w:val="-2"/>
        </w:rPr>
        <w:t>security</w:t>
      </w:r>
      <w:r>
        <w:rPr>
          <w:spacing w:val="-11"/>
        </w:rPr>
        <w:t> </w:t>
      </w:r>
      <w:r>
        <w:rPr>
          <w:spacing w:val="-2"/>
        </w:rPr>
        <w:t>concerns </w:t>
      </w:r>
      <w:r>
        <w:rPr/>
        <w:t>of the country.</w:t>
      </w:r>
    </w:p>
    <w:p>
      <w:pPr>
        <w:pStyle w:val="Heading6"/>
        <w:numPr>
          <w:ilvl w:val="0"/>
          <w:numId w:val="10"/>
        </w:numPr>
        <w:tabs>
          <w:tab w:pos="726" w:val="left" w:leader="none"/>
        </w:tabs>
        <w:spacing w:line="240" w:lineRule="auto" w:before="57" w:after="0"/>
        <w:ind w:left="726" w:right="0" w:hanging="407"/>
        <w:jc w:val="left"/>
      </w:pPr>
      <w:r>
        <w:rPr>
          <w:b w:val="0"/>
        </w:rPr>
        <w:br w:type="column"/>
      </w:r>
      <w:r>
        <w:rPr>
          <w:color w:val="2E614A"/>
          <w:spacing w:val="-2"/>
        </w:rPr>
        <w:t>Ownership</w:t>
      </w:r>
    </w:p>
    <w:p>
      <w:pPr>
        <w:pStyle w:val="BodyText"/>
        <w:spacing w:line="266" w:lineRule="auto" w:before="285"/>
        <w:ind w:left="319" w:right="1077"/>
        <w:jc w:val="both"/>
      </w:pPr>
      <w:r>
        <w:rPr>
          <w:spacing w:val="-2"/>
        </w:rPr>
        <w:t>The</w:t>
      </w:r>
      <w:r>
        <w:rPr>
          <w:spacing w:val="-12"/>
        </w:rPr>
        <w:t> </w:t>
      </w:r>
      <w:r>
        <w:rPr>
          <w:spacing w:val="-2"/>
        </w:rPr>
        <w:t>Knowledge</w:t>
      </w:r>
      <w:r>
        <w:rPr>
          <w:spacing w:val="-12"/>
        </w:rPr>
        <w:t> </w:t>
      </w:r>
      <w:r>
        <w:rPr>
          <w:spacing w:val="-2"/>
        </w:rPr>
        <w:t>Network</w:t>
      </w:r>
      <w:r>
        <w:rPr>
          <w:spacing w:val="-12"/>
        </w:rPr>
        <w:t> </w:t>
      </w:r>
      <w:r>
        <w:rPr>
          <w:spacing w:val="-2"/>
        </w:rPr>
        <w:t>should</w:t>
      </w:r>
      <w:r>
        <w:rPr>
          <w:spacing w:val="-11"/>
        </w:rPr>
        <w:t> </w:t>
      </w:r>
      <w:r>
        <w:rPr>
          <w:spacing w:val="-2"/>
        </w:rPr>
        <w:t>be</w:t>
      </w:r>
      <w:r>
        <w:rPr>
          <w:spacing w:val="-12"/>
        </w:rPr>
        <w:t> </w:t>
      </w:r>
      <w:r>
        <w:rPr>
          <w:spacing w:val="-2"/>
        </w:rPr>
        <w:t>owned</w:t>
      </w:r>
      <w:r>
        <w:rPr>
          <w:spacing w:val="-12"/>
        </w:rPr>
        <w:t> </w:t>
      </w:r>
      <w:r>
        <w:rPr>
          <w:spacing w:val="-2"/>
        </w:rPr>
        <w:t>by</w:t>
      </w:r>
      <w:r>
        <w:rPr>
          <w:spacing w:val="-12"/>
        </w:rPr>
        <w:t> </w:t>
      </w:r>
      <w:r>
        <w:rPr>
          <w:spacing w:val="-2"/>
        </w:rPr>
        <w:t>the</w:t>
      </w:r>
      <w:r>
        <w:rPr>
          <w:spacing w:val="-11"/>
        </w:rPr>
        <w:t> </w:t>
      </w:r>
      <w:r>
        <w:rPr>
          <w:spacing w:val="-2"/>
        </w:rPr>
        <w:t>SPV </w:t>
      </w:r>
      <w:r>
        <w:rPr>
          <w:spacing w:val="-8"/>
        </w:rPr>
        <w:t>consisting</w:t>
      </w:r>
      <w:r>
        <w:rPr/>
        <w:t> </w:t>
      </w:r>
      <w:r>
        <w:rPr>
          <w:spacing w:val="-8"/>
        </w:rPr>
        <w:t>of</w:t>
      </w:r>
      <w:r>
        <w:rPr/>
        <w:t> </w:t>
      </w:r>
      <w:r>
        <w:rPr>
          <w:spacing w:val="-8"/>
        </w:rPr>
        <w:t>major</w:t>
      </w:r>
      <w:r>
        <w:rPr/>
        <w:t> </w:t>
      </w:r>
      <w:r>
        <w:rPr>
          <w:spacing w:val="-8"/>
        </w:rPr>
        <w:t>stakeholders.</w:t>
      </w:r>
      <w:r>
        <w:rPr/>
        <w:t> </w:t>
      </w:r>
      <w:r>
        <w:rPr>
          <w:spacing w:val="-8"/>
        </w:rPr>
        <w:t>Government</w:t>
      </w:r>
      <w:r>
        <w:rPr/>
        <w:t> </w:t>
      </w:r>
      <w:r>
        <w:rPr>
          <w:spacing w:val="-8"/>
        </w:rPr>
        <w:t>ownership </w:t>
      </w:r>
      <w:r>
        <w:rPr>
          <w:spacing w:val="-4"/>
        </w:rPr>
        <w:t>is not desirable, despite the fact that substantial funding </w:t>
      </w:r>
      <w:r>
        <w:rPr/>
        <w:t>will be from the Government, because:</w:t>
      </w:r>
    </w:p>
    <w:p>
      <w:pPr>
        <w:pStyle w:val="ListParagraph"/>
        <w:numPr>
          <w:ilvl w:val="1"/>
          <w:numId w:val="10"/>
        </w:numPr>
        <w:tabs>
          <w:tab w:pos="679" w:val="left" w:leader="none"/>
        </w:tabs>
        <w:spacing w:line="266" w:lineRule="auto" w:before="0" w:after="0"/>
        <w:ind w:left="679" w:right="1078" w:hanging="360"/>
        <w:jc w:val="both"/>
        <w:rPr>
          <w:sz w:val="22"/>
        </w:rPr>
      </w:pPr>
      <w:r>
        <w:rPr>
          <w:sz w:val="22"/>
        </w:rPr>
        <w:t>It is the Government’s policy to withdraw </w:t>
      </w:r>
      <w:r>
        <w:rPr>
          <w:sz w:val="22"/>
        </w:rPr>
        <w:t>from direct</w:t>
      </w:r>
      <w:r>
        <w:rPr>
          <w:spacing w:val="-14"/>
          <w:sz w:val="22"/>
        </w:rPr>
        <w:t> </w:t>
      </w:r>
      <w:r>
        <w:rPr>
          <w:sz w:val="22"/>
        </w:rPr>
        <w:t>operations</w:t>
      </w:r>
      <w:r>
        <w:rPr>
          <w:spacing w:val="-14"/>
          <w:sz w:val="22"/>
        </w:rPr>
        <w:t> </w:t>
      </w:r>
      <w:r>
        <w:rPr>
          <w:sz w:val="22"/>
        </w:rPr>
        <w:t>and</w:t>
      </w:r>
      <w:r>
        <w:rPr>
          <w:spacing w:val="-14"/>
          <w:sz w:val="22"/>
        </w:rPr>
        <w:t> </w:t>
      </w:r>
      <w:r>
        <w:rPr>
          <w:sz w:val="22"/>
        </w:rPr>
        <w:t>maintenance</w:t>
      </w:r>
      <w:r>
        <w:rPr>
          <w:spacing w:val="-13"/>
          <w:sz w:val="22"/>
        </w:rPr>
        <w:t> </w:t>
      </w:r>
      <w:r>
        <w:rPr>
          <w:sz w:val="22"/>
        </w:rPr>
        <w:t>activities</w:t>
      </w:r>
      <w:r>
        <w:rPr>
          <w:spacing w:val="-14"/>
          <w:sz w:val="22"/>
        </w:rPr>
        <w:t> </w:t>
      </w:r>
      <w:r>
        <w:rPr>
          <w:sz w:val="22"/>
        </w:rPr>
        <w:t>in</w:t>
      </w:r>
      <w:r>
        <w:rPr>
          <w:spacing w:val="-14"/>
          <w:sz w:val="22"/>
        </w:rPr>
        <w:t> </w:t>
      </w:r>
      <w:r>
        <w:rPr>
          <w:sz w:val="22"/>
        </w:rPr>
        <w:t>the ICT sector.</w:t>
      </w:r>
    </w:p>
    <w:p>
      <w:pPr>
        <w:pStyle w:val="ListParagraph"/>
        <w:numPr>
          <w:ilvl w:val="1"/>
          <w:numId w:val="10"/>
        </w:numPr>
        <w:tabs>
          <w:tab w:pos="679" w:val="left" w:leader="none"/>
        </w:tabs>
        <w:spacing w:line="266" w:lineRule="auto" w:before="0" w:after="0"/>
        <w:ind w:left="679" w:right="1077" w:hanging="360"/>
        <w:jc w:val="both"/>
        <w:rPr>
          <w:sz w:val="22"/>
        </w:rPr>
      </w:pPr>
      <w:r>
        <w:rPr>
          <w:sz w:val="22"/>
        </w:rPr>
        <w:t>The</w:t>
      </w:r>
      <w:r>
        <w:rPr>
          <w:spacing w:val="-14"/>
          <w:sz w:val="22"/>
        </w:rPr>
        <w:t> </w:t>
      </w:r>
      <w:r>
        <w:rPr>
          <w:sz w:val="22"/>
        </w:rPr>
        <w:t>type</w:t>
      </w:r>
      <w:r>
        <w:rPr>
          <w:spacing w:val="-14"/>
          <w:sz w:val="22"/>
        </w:rPr>
        <w:t> </w:t>
      </w:r>
      <w:r>
        <w:rPr>
          <w:sz w:val="22"/>
        </w:rPr>
        <w:t>of</w:t>
      </w:r>
      <w:r>
        <w:rPr>
          <w:spacing w:val="-14"/>
          <w:sz w:val="22"/>
        </w:rPr>
        <w:t> </w:t>
      </w:r>
      <w:r>
        <w:rPr>
          <w:sz w:val="22"/>
        </w:rPr>
        <w:t>trained</w:t>
      </w:r>
      <w:r>
        <w:rPr>
          <w:spacing w:val="-13"/>
          <w:sz w:val="22"/>
        </w:rPr>
        <w:t> </w:t>
      </w:r>
      <w:r>
        <w:rPr>
          <w:sz w:val="22"/>
        </w:rPr>
        <w:t>manpower</w:t>
      </w:r>
      <w:r>
        <w:rPr>
          <w:spacing w:val="-14"/>
          <w:sz w:val="22"/>
        </w:rPr>
        <w:t> </w:t>
      </w:r>
      <w:r>
        <w:rPr>
          <w:sz w:val="22"/>
        </w:rPr>
        <w:t>needed,</w:t>
      </w:r>
      <w:r>
        <w:rPr>
          <w:spacing w:val="-14"/>
          <w:sz w:val="22"/>
        </w:rPr>
        <w:t> </w:t>
      </w:r>
      <w:r>
        <w:rPr>
          <w:sz w:val="22"/>
        </w:rPr>
        <w:t>though</w:t>
      </w:r>
      <w:r>
        <w:rPr>
          <w:spacing w:val="-14"/>
          <w:sz w:val="22"/>
        </w:rPr>
        <w:t> </w:t>
      </w:r>
      <w:r>
        <w:rPr>
          <w:sz w:val="22"/>
        </w:rPr>
        <w:t>not </w:t>
      </w:r>
      <w:r>
        <w:rPr>
          <w:spacing w:val="-6"/>
          <w:sz w:val="22"/>
        </w:rPr>
        <w:t>large,</w:t>
      </w:r>
      <w:r>
        <w:rPr>
          <w:spacing w:val="-8"/>
          <w:sz w:val="22"/>
        </w:rPr>
        <w:t> </w:t>
      </w:r>
      <w:r>
        <w:rPr>
          <w:spacing w:val="-6"/>
          <w:sz w:val="22"/>
        </w:rPr>
        <w:t>is</w:t>
      </w:r>
      <w:r>
        <w:rPr>
          <w:spacing w:val="-8"/>
          <w:sz w:val="22"/>
        </w:rPr>
        <w:t> </w:t>
      </w:r>
      <w:r>
        <w:rPr>
          <w:spacing w:val="-6"/>
          <w:sz w:val="22"/>
        </w:rPr>
        <w:t>in</w:t>
      </w:r>
      <w:r>
        <w:rPr>
          <w:spacing w:val="-8"/>
          <w:sz w:val="22"/>
        </w:rPr>
        <w:t> </w:t>
      </w:r>
      <w:r>
        <w:rPr>
          <w:spacing w:val="-6"/>
          <w:sz w:val="22"/>
        </w:rPr>
        <w:t>great</w:t>
      </w:r>
      <w:r>
        <w:rPr>
          <w:spacing w:val="-7"/>
          <w:sz w:val="22"/>
        </w:rPr>
        <w:t> </w:t>
      </w:r>
      <w:r>
        <w:rPr>
          <w:spacing w:val="-6"/>
          <w:sz w:val="22"/>
        </w:rPr>
        <w:t>demand</w:t>
      </w:r>
      <w:r>
        <w:rPr>
          <w:spacing w:val="-8"/>
          <w:sz w:val="22"/>
        </w:rPr>
        <w:t> </w:t>
      </w:r>
      <w:r>
        <w:rPr>
          <w:spacing w:val="-6"/>
          <w:sz w:val="22"/>
        </w:rPr>
        <w:t>in</w:t>
      </w:r>
      <w:r>
        <w:rPr>
          <w:spacing w:val="-8"/>
          <w:sz w:val="22"/>
        </w:rPr>
        <w:t> </w:t>
      </w:r>
      <w:r>
        <w:rPr>
          <w:spacing w:val="-6"/>
          <w:sz w:val="22"/>
        </w:rPr>
        <w:t>the</w:t>
      </w:r>
      <w:r>
        <w:rPr>
          <w:spacing w:val="-8"/>
          <w:sz w:val="22"/>
        </w:rPr>
        <w:t> </w:t>
      </w:r>
      <w:r>
        <w:rPr>
          <w:spacing w:val="-6"/>
          <w:sz w:val="22"/>
        </w:rPr>
        <w:t>market,</w:t>
      </w:r>
      <w:r>
        <w:rPr>
          <w:spacing w:val="-7"/>
          <w:sz w:val="22"/>
        </w:rPr>
        <w:t> </w:t>
      </w:r>
      <w:r>
        <w:rPr>
          <w:spacing w:val="-6"/>
          <w:sz w:val="22"/>
        </w:rPr>
        <w:t>and</w:t>
      </w:r>
      <w:r>
        <w:rPr>
          <w:spacing w:val="-8"/>
          <w:sz w:val="22"/>
        </w:rPr>
        <w:t> </w:t>
      </w:r>
      <w:r>
        <w:rPr>
          <w:spacing w:val="-6"/>
          <w:sz w:val="22"/>
        </w:rPr>
        <w:t>therefore </w:t>
      </w:r>
      <w:r>
        <w:rPr>
          <w:sz w:val="22"/>
        </w:rPr>
        <w:t>will</w:t>
      </w:r>
      <w:r>
        <w:rPr>
          <w:spacing w:val="-6"/>
          <w:sz w:val="22"/>
        </w:rPr>
        <w:t> </w:t>
      </w:r>
      <w:r>
        <w:rPr>
          <w:sz w:val="22"/>
        </w:rPr>
        <w:t>require</w:t>
      </w:r>
      <w:r>
        <w:rPr>
          <w:spacing w:val="-6"/>
          <w:sz w:val="22"/>
        </w:rPr>
        <w:t> </w:t>
      </w:r>
      <w:r>
        <w:rPr>
          <w:sz w:val="22"/>
        </w:rPr>
        <w:t>special</w:t>
      </w:r>
      <w:r>
        <w:rPr>
          <w:spacing w:val="-6"/>
          <w:sz w:val="22"/>
        </w:rPr>
        <w:t> </w:t>
      </w:r>
      <w:r>
        <w:rPr>
          <w:sz w:val="22"/>
        </w:rPr>
        <w:t>remuneration</w:t>
      </w:r>
      <w:r>
        <w:rPr>
          <w:spacing w:val="-6"/>
          <w:sz w:val="22"/>
        </w:rPr>
        <w:t> </w:t>
      </w:r>
      <w:r>
        <w:rPr>
          <w:sz w:val="22"/>
        </w:rPr>
        <w:t>and</w:t>
      </w:r>
      <w:r>
        <w:rPr>
          <w:spacing w:val="-6"/>
          <w:sz w:val="22"/>
        </w:rPr>
        <w:t> </w:t>
      </w:r>
      <w:r>
        <w:rPr>
          <w:sz w:val="22"/>
        </w:rPr>
        <w:t>incentives.</w:t>
      </w:r>
    </w:p>
    <w:p>
      <w:pPr>
        <w:pStyle w:val="Heading6"/>
        <w:numPr>
          <w:ilvl w:val="0"/>
          <w:numId w:val="10"/>
        </w:numPr>
        <w:tabs>
          <w:tab w:pos="808" w:val="left" w:leader="none"/>
        </w:tabs>
        <w:spacing w:line="240" w:lineRule="auto" w:before="193" w:after="0"/>
        <w:ind w:left="808" w:right="0" w:hanging="489"/>
        <w:jc w:val="left"/>
      </w:pPr>
      <w:r>
        <w:rPr>
          <w:color w:val="2E614A"/>
          <w:w w:val="90"/>
        </w:rPr>
        <w:t>Special</w:t>
      </w:r>
      <w:r>
        <w:rPr>
          <w:color w:val="2E614A"/>
          <w:spacing w:val="-7"/>
        </w:rPr>
        <w:t> </w:t>
      </w:r>
      <w:r>
        <w:rPr>
          <w:color w:val="2E614A"/>
          <w:spacing w:val="-2"/>
        </w:rPr>
        <w:t>Group</w:t>
      </w:r>
    </w:p>
    <w:p>
      <w:pPr>
        <w:pStyle w:val="BodyText"/>
        <w:spacing w:line="266" w:lineRule="auto" w:before="286"/>
        <w:ind w:left="319" w:right="1077"/>
        <w:jc w:val="both"/>
      </w:pPr>
      <w:r>
        <w:rPr/>
        <w:t>NKC recommends the setting up of a </w:t>
      </w:r>
      <w:r>
        <w:rPr/>
        <w:t>special Working Group of experts to finalise specifications, </w:t>
      </w:r>
      <w:r>
        <w:rPr>
          <w:spacing w:val="-6"/>
        </w:rPr>
        <w:t>implementation</w:t>
      </w:r>
      <w:r>
        <w:rPr>
          <w:spacing w:val="-8"/>
        </w:rPr>
        <w:t> </w:t>
      </w:r>
      <w:r>
        <w:rPr>
          <w:spacing w:val="-6"/>
        </w:rPr>
        <w:t>plans,</w:t>
      </w:r>
      <w:r>
        <w:rPr>
          <w:spacing w:val="-8"/>
        </w:rPr>
        <w:t> </w:t>
      </w:r>
      <w:r>
        <w:rPr>
          <w:spacing w:val="-6"/>
        </w:rPr>
        <w:t>cost</w:t>
      </w:r>
      <w:r>
        <w:rPr>
          <w:spacing w:val="-8"/>
        </w:rPr>
        <w:t> </w:t>
      </w:r>
      <w:r>
        <w:rPr>
          <w:spacing w:val="-6"/>
        </w:rPr>
        <w:t>estimates,</w:t>
      </w:r>
      <w:r>
        <w:rPr>
          <w:spacing w:val="-7"/>
        </w:rPr>
        <w:t> </w:t>
      </w:r>
      <w:r>
        <w:rPr>
          <w:spacing w:val="-6"/>
        </w:rPr>
        <w:t>and</w:t>
      </w:r>
      <w:r>
        <w:rPr>
          <w:spacing w:val="-8"/>
        </w:rPr>
        <w:t> </w:t>
      </w:r>
      <w:r>
        <w:rPr>
          <w:spacing w:val="-6"/>
        </w:rPr>
        <w:t>network</w:t>
      </w:r>
      <w:r>
        <w:rPr>
          <w:spacing w:val="-8"/>
        </w:rPr>
        <w:t> </w:t>
      </w:r>
      <w:r>
        <w:rPr>
          <w:spacing w:val="-6"/>
        </w:rPr>
        <w:t>plans, </w:t>
      </w:r>
      <w:r>
        <w:rPr/>
        <w:t>as well as to carry out the actual task of procurement </w:t>
      </w:r>
      <w:r>
        <w:rPr>
          <w:spacing w:val="-4"/>
        </w:rPr>
        <w:t>and</w:t>
      </w:r>
      <w:r>
        <w:rPr>
          <w:spacing w:val="-10"/>
        </w:rPr>
        <w:t> </w:t>
      </w:r>
      <w:r>
        <w:rPr>
          <w:spacing w:val="-4"/>
        </w:rPr>
        <w:t>commissioning</w:t>
      </w:r>
      <w:r>
        <w:rPr>
          <w:spacing w:val="-10"/>
        </w:rPr>
        <w:t> </w:t>
      </w:r>
      <w:r>
        <w:rPr>
          <w:spacing w:val="-4"/>
        </w:rPr>
        <w:t>of</w:t>
      </w:r>
      <w:r>
        <w:rPr>
          <w:spacing w:val="-10"/>
        </w:rPr>
        <w:t> </w:t>
      </w:r>
      <w:r>
        <w:rPr>
          <w:spacing w:val="-4"/>
        </w:rPr>
        <w:t>the</w:t>
      </w:r>
      <w:r>
        <w:rPr>
          <w:spacing w:val="-9"/>
        </w:rPr>
        <w:t> </w:t>
      </w:r>
      <w:r>
        <w:rPr>
          <w:spacing w:val="-4"/>
        </w:rPr>
        <w:t>network.</w:t>
      </w:r>
      <w:r>
        <w:rPr>
          <w:spacing w:val="-10"/>
        </w:rPr>
        <w:t> </w:t>
      </w:r>
      <w:r>
        <w:rPr>
          <w:spacing w:val="-4"/>
        </w:rPr>
        <w:t>This</w:t>
      </w:r>
      <w:r>
        <w:rPr>
          <w:spacing w:val="-10"/>
        </w:rPr>
        <w:t> </w:t>
      </w:r>
      <w:r>
        <w:rPr>
          <w:spacing w:val="-4"/>
        </w:rPr>
        <w:t>group</w:t>
      </w:r>
      <w:r>
        <w:rPr>
          <w:spacing w:val="-10"/>
        </w:rPr>
        <w:t> </w:t>
      </w:r>
      <w:r>
        <w:rPr>
          <w:spacing w:val="-4"/>
        </w:rPr>
        <w:t>will</w:t>
      </w:r>
      <w:r>
        <w:rPr>
          <w:spacing w:val="-9"/>
        </w:rPr>
        <w:t> </w:t>
      </w:r>
      <w:r>
        <w:rPr>
          <w:spacing w:val="-4"/>
        </w:rPr>
        <w:t>also </w:t>
      </w:r>
      <w:r>
        <w:rPr/>
        <w:t>establish</w:t>
      </w:r>
      <w:r>
        <w:rPr>
          <w:spacing w:val="-14"/>
        </w:rPr>
        <w:t> </w:t>
      </w:r>
      <w:r>
        <w:rPr/>
        <w:t>the</w:t>
      </w:r>
      <w:r>
        <w:rPr>
          <w:spacing w:val="-14"/>
        </w:rPr>
        <w:t> </w:t>
      </w:r>
      <w:r>
        <w:rPr/>
        <w:t>SPV</w:t>
      </w:r>
      <w:r>
        <w:rPr>
          <w:spacing w:val="-14"/>
        </w:rPr>
        <w:t> </w:t>
      </w:r>
      <w:r>
        <w:rPr/>
        <w:t>needed</w:t>
      </w:r>
      <w:r>
        <w:rPr>
          <w:spacing w:val="-13"/>
        </w:rPr>
        <w:t> </w:t>
      </w:r>
      <w:r>
        <w:rPr/>
        <w:t>for</w:t>
      </w:r>
      <w:r>
        <w:rPr>
          <w:spacing w:val="-14"/>
        </w:rPr>
        <w:t> </w:t>
      </w:r>
      <w:r>
        <w:rPr/>
        <w:t>running</w:t>
      </w:r>
      <w:r>
        <w:rPr>
          <w:spacing w:val="-14"/>
        </w:rPr>
        <w:t> </w:t>
      </w:r>
      <w:r>
        <w:rPr/>
        <w:t>the</w:t>
      </w:r>
      <w:r>
        <w:rPr>
          <w:spacing w:val="-14"/>
        </w:rPr>
        <w:t> </w:t>
      </w:r>
      <w:r>
        <w:rPr/>
        <w:t>network</w:t>
      </w:r>
      <w:r>
        <w:rPr>
          <w:spacing w:val="-13"/>
        </w:rPr>
        <w:t> </w:t>
      </w:r>
      <w:r>
        <w:rPr/>
        <w:t>on</w:t>
      </w:r>
      <w:r>
        <w:rPr>
          <w:spacing w:val="-14"/>
        </w:rPr>
        <w:t> </w:t>
      </w:r>
      <w:r>
        <w:rPr/>
        <w:t>a day to day basis.</w:t>
      </w:r>
    </w:p>
    <w:p>
      <w:pPr>
        <w:pStyle w:val="BodyText"/>
        <w:spacing w:before="21"/>
      </w:pPr>
    </w:p>
    <w:p>
      <w:pPr>
        <w:pStyle w:val="BodyText"/>
        <w:spacing w:line="266" w:lineRule="auto"/>
        <w:ind w:left="319" w:right="1077"/>
        <w:jc w:val="both"/>
      </w:pPr>
      <w:r>
        <w:rPr/>
        <w:t>NKC believes that a National Knowledge Network interconnecting our knowledge institutions </w:t>
      </w:r>
      <w:r>
        <w:rPr/>
        <w:t>and </w:t>
      </w:r>
      <w:r>
        <w:rPr>
          <w:spacing w:val="-4"/>
        </w:rPr>
        <w:t>infrastructure</w:t>
      </w:r>
      <w:r>
        <w:rPr>
          <w:spacing w:val="-10"/>
        </w:rPr>
        <w:t> </w:t>
      </w:r>
      <w:r>
        <w:rPr>
          <w:spacing w:val="-4"/>
        </w:rPr>
        <w:t>with</w:t>
      </w:r>
      <w:r>
        <w:rPr>
          <w:spacing w:val="-10"/>
        </w:rPr>
        <w:t> </w:t>
      </w:r>
      <w:r>
        <w:rPr>
          <w:spacing w:val="-4"/>
        </w:rPr>
        <w:t>access</w:t>
      </w:r>
      <w:r>
        <w:rPr>
          <w:spacing w:val="-10"/>
        </w:rPr>
        <w:t> </w:t>
      </w:r>
      <w:r>
        <w:rPr>
          <w:spacing w:val="-4"/>
        </w:rPr>
        <w:t>speeds</w:t>
      </w:r>
      <w:r>
        <w:rPr>
          <w:spacing w:val="-9"/>
        </w:rPr>
        <w:t> </w:t>
      </w:r>
      <w:r>
        <w:rPr>
          <w:spacing w:val="-4"/>
        </w:rPr>
        <w:t>of</w:t>
      </w:r>
      <w:r>
        <w:rPr>
          <w:spacing w:val="-10"/>
        </w:rPr>
        <w:t> </w:t>
      </w:r>
      <w:r>
        <w:rPr>
          <w:spacing w:val="-4"/>
        </w:rPr>
        <w:t>100</w:t>
      </w:r>
      <w:r>
        <w:rPr>
          <w:spacing w:val="-10"/>
        </w:rPr>
        <w:t> </w:t>
      </w:r>
      <w:r>
        <w:rPr>
          <w:spacing w:val="-4"/>
        </w:rPr>
        <w:t>mbps</w:t>
      </w:r>
      <w:r>
        <w:rPr>
          <w:spacing w:val="-10"/>
        </w:rPr>
        <w:t> </w:t>
      </w:r>
      <w:r>
        <w:rPr>
          <w:spacing w:val="-4"/>
        </w:rPr>
        <w:t>and</w:t>
      </w:r>
      <w:r>
        <w:rPr>
          <w:spacing w:val="-9"/>
        </w:rPr>
        <w:t> </w:t>
      </w:r>
      <w:r>
        <w:rPr>
          <w:spacing w:val="-4"/>
        </w:rPr>
        <w:t>more </w:t>
      </w:r>
      <w:r>
        <w:rPr/>
        <w:t>will give a major push to collaborations and sharing </w:t>
      </w:r>
      <w:r>
        <w:rPr>
          <w:spacing w:val="-4"/>
        </w:rPr>
        <w:t>needed</w:t>
      </w:r>
      <w:r>
        <w:rPr>
          <w:spacing w:val="-10"/>
        </w:rPr>
        <w:t> </w:t>
      </w:r>
      <w:r>
        <w:rPr>
          <w:spacing w:val="-4"/>
        </w:rPr>
        <w:t>to</w:t>
      </w:r>
      <w:r>
        <w:rPr>
          <w:spacing w:val="-10"/>
        </w:rPr>
        <w:t> </w:t>
      </w:r>
      <w:r>
        <w:rPr>
          <w:spacing w:val="-4"/>
        </w:rPr>
        <w:t>enhance</w:t>
      </w:r>
      <w:r>
        <w:rPr>
          <w:spacing w:val="-10"/>
        </w:rPr>
        <w:t> </w:t>
      </w:r>
      <w:r>
        <w:rPr>
          <w:spacing w:val="-4"/>
        </w:rPr>
        <w:t>the</w:t>
      </w:r>
      <w:r>
        <w:rPr>
          <w:spacing w:val="-9"/>
        </w:rPr>
        <w:t> </w:t>
      </w:r>
      <w:r>
        <w:rPr>
          <w:spacing w:val="-4"/>
        </w:rPr>
        <w:t>quality</w:t>
      </w:r>
      <w:r>
        <w:rPr>
          <w:spacing w:val="-10"/>
        </w:rPr>
        <w:t> </w:t>
      </w:r>
      <w:r>
        <w:rPr>
          <w:spacing w:val="-4"/>
        </w:rPr>
        <w:t>of</w:t>
      </w:r>
      <w:r>
        <w:rPr>
          <w:spacing w:val="-10"/>
        </w:rPr>
        <w:t> </w:t>
      </w:r>
      <w:r>
        <w:rPr>
          <w:spacing w:val="-4"/>
        </w:rPr>
        <w:t>our</w:t>
      </w:r>
      <w:r>
        <w:rPr>
          <w:spacing w:val="-10"/>
        </w:rPr>
        <w:t> </w:t>
      </w:r>
      <w:r>
        <w:rPr>
          <w:spacing w:val="-4"/>
        </w:rPr>
        <w:t>education,</w:t>
      </w:r>
      <w:r>
        <w:rPr>
          <w:spacing w:val="-9"/>
        </w:rPr>
        <w:t> </w:t>
      </w:r>
      <w:r>
        <w:rPr>
          <w:spacing w:val="-4"/>
        </w:rPr>
        <w:t>research and</w:t>
      </w:r>
      <w:r>
        <w:rPr>
          <w:spacing w:val="-9"/>
        </w:rPr>
        <w:t> </w:t>
      </w:r>
      <w:r>
        <w:rPr>
          <w:spacing w:val="-4"/>
        </w:rPr>
        <w:t>applications</w:t>
      </w:r>
      <w:r>
        <w:rPr>
          <w:spacing w:val="-9"/>
        </w:rPr>
        <w:t> </w:t>
      </w:r>
      <w:r>
        <w:rPr>
          <w:spacing w:val="-4"/>
        </w:rPr>
        <w:t>and</w:t>
      </w:r>
      <w:r>
        <w:rPr>
          <w:spacing w:val="-9"/>
        </w:rPr>
        <w:t> </w:t>
      </w:r>
      <w:r>
        <w:rPr>
          <w:spacing w:val="-4"/>
        </w:rPr>
        <w:t>at</w:t>
      </w:r>
      <w:r>
        <w:rPr>
          <w:spacing w:val="-9"/>
        </w:rPr>
        <w:t> </w:t>
      </w:r>
      <w:r>
        <w:rPr>
          <w:spacing w:val="-4"/>
        </w:rPr>
        <w:t>the</w:t>
      </w:r>
      <w:r>
        <w:rPr>
          <w:spacing w:val="-9"/>
        </w:rPr>
        <w:t> </w:t>
      </w:r>
      <w:r>
        <w:rPr>
          <w:spacing w:val="-4"/>
        </w:rPr>
        <w:t>same</w:t>
      </w:r>
      <w:r>
        <w:rPr>
          <w:spacing w:val="-9"/>
        </w:rPr>
        <w:t> </w:t>
      </w:r>
      <w:r>
        <w:rPr>
          <w:spacing w:val="-4"/>
        </w:rPr>
        <w:t>time</w:t>
      </w:r>
      <w:r>
        <w:rPr>
          <w:spacing w:val="-9"/>
        </w:rPr>
        <w:t> </w:t>
      </w:r>
      <w:r>
        <w:rPr>
          <w:spacing w:val="-4"/>
        </w:rPr>
        <w:t>will</w:t>
      </w:r>
      <w:r>
        <w:rPr>
          <w:spacing w:val="-9"/>
        </w:rPr>
        <w:t> </w:t>
      </w:r>
      <w:r>
        <w:rPr>
          <w:spacing w:val="-4"/>
        </w:rPr>
        <w:t>empower</w:t>
      </w:r>
      <w:r>
        <w:rPr>
          <w:spacing w:val="-9"/>
        </w:rPr>
        <w:t> </w:t>
      </w:r>
      <w:r>
        <w:rPr>
          <w:spacing w:val="-4"/>
        </w:rPr>
        <w:t>our </w:t>
      </w:r>
      <w:r>
        <w:rPr/>
        <w:t>people</w:t>
      </w:r>
      <w:r>
        <w:rPr>
          <w:spacing w:val="-2"/>
        </w:rPr>
        <w:t> </w:t>
      </w:r>
      <w:r>
        <w:rPr/>
        <w:t>to</w:t>
      </w:r>
      <w:r>
        <w:rPr>
          <w:spacing w:val="-2"/>
        </w:rPr>
        <w:t> </w:t>
      </w:r>
      <w:r>
        <w:rPr/>
        <w:t>be</w:t>
      </w:r>
      <w:r>
        <w:rPr>
          <w:spacing w:val="-2"/>
        </w:rPr>
        <w:t> </w:t>
      </w:r>
      <w:r>
        <w:rPr/>
        <w:t>competitive</w:t>
      </w:r>
      <w:r>
        <w:rPr>
          <w:spacing w:val="-2"/>
        </w:rPr>
        <w:t> </w:t>
      </w:r>
      <w:r>
        <w:rPr/>
        <w:t>in</w:t>
      </w:r>
      <w:r>
        <w:rPr>
          <w:spacing w:val="-2"/>
        </w:rPr>
        <w:t> </w:t>
      </w:r>
      <w:r>
        <w:rPr/>
        <w:t>the</w:t>
      </w:r>
      <w:r>
        <w:rPr>
          <w:spacing w:val="-2"/>
        </w:rPr>
        <w:t> </w:t>
      </w:r>
      <w:r>
        <w:rPr/>
        <w:t>global</w:t>
      </w:r>
      <w:r>
        <w:rPr>
          <w:spacing w:val="-2"/>
        </w:rPr>
        <w:t> </w:t>
      </w:r>
      <w:r>
        <w:rPr/>
        <w:t>economy.</w:t>
      </w:r>
    </w:p>
    <w:p>
      <w:pPr>
        <w:spacing w:after="0" w:line="266" w:lineRule="auto"/>
        <w:jc w:val="both"/>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34" w:top="0" w:bottom="860" w:left="0" w:right="0"/>
        </w:sectPr>
      </w:pPr>
    </w:p>
    <w:p>
      <w:pPr>
        <w:pStyle w:val="BodyText"/>
        <w:spacing w:line="266" w:lineRule="auto" w:before="82"/>
        <w:ind w:left="1924"/>
        <w:jc w:val="both"/>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ragraph">
                  <wp:posOffset>-2277393</wp:posOffset>
                </wp:positionV>
                <wp:extent cx="7560309" cy="1752600"/>
                <wp:effectExtent l="0" t="0" r="0" b="0"/>
                <wp:wrapNone/>
                <wp:docPr id="830" name="Group 830"/>
                <wp:cNvGraphicFramePr>
                  <a:graphicFrameLocks/>
                </wp:cNvGraphicFramePr>
                <a:graphic>
                  <a:graphicData uri="http://schemas.microsoft.com/office/word/2010/wordprocessingGroup">
                    <wpg:wgp>
                      <wpg:cNvPr id="830" name="Group 830"/>
                      <wpg:cNvGrpSpPr/>
                      <wpg:grpSpPr>
                        <a:xfrm>
                          <a:off x="0" y="0"/>
                          <a:ext cx="7560309" cy="1752600"/>
                          <a:chExt cx="7560309" cy="1752600"/>
                        </a:xfrm>
                      </wpg:grpSpPr>
                      <pic:pic>
                        <pic:nvPicPr>
                          <pic:cNvPr id="831" name="Image 831"/>
                          <pic:cNvPicPr/>
                        </pic:nvPicPr>
                        <pic:blipFill>
                          <a:blip r:embed="rId612" cstate="print"/>
                          <a:stretch>
                            <a:fillRect/>
                          </a:stretch>
                        </pic:blipFill>
                        <pic:spPr>
                          <a:xfrm>
                            <a:off x="0" y="0"/>
                            <a:ext cx="7559999" cy="1752562"/>
                          </a:xfrm>
                          <a:prstGeom prst="rect">
                            <a:avLst/>
                          </a:prstGeom>
                        </pic:spPr>
                      </pic:pic>
                      <wps:wsp>
                        <wps:cNvPr id="832" name="Textbox 832"/>
                        <wps:cNvSpPr txBox="1"/>
                        <wps:spPr>
                          <a:xfrm>
                            <a:off x="685800" y="598694"/>
                            <a:ext cx="3833495" cy="1019810"/>
                          </a:xfrm>
                          <a:prstGeom prst="rect">
                            <a:avLst/>
                          </a:prstGeom>
                        </wps:spPr>
                        <wps:txbx>
                          <w:txbxContent>
                            <w:p>
                              <w:pPr>
                                <w:spacing w:line="247" w:lineRule="auto" w:before="0"/>
                                <w:ind w:left="0" w:right="18" w:firstLine="0"/>
                                <w:jc w:val="left"/>
                                <w:rPr>
                                  <w:rFonts w:ascii="Trebuchet MS"/>
                                  <w:b/>
                                  <w:sz w:val="68"/>
                                </w:rPr>
                              </w:pPr>
                              <w:r>
                                <w:rPr>
                                  <w:rFonts w:ascii="Trebuchet MS"/>
                                  <w:b/>
                                  <w:color w:val="FFFFFF"/>
                                  <w:sz w:val="68"/>
                                </w:rPr>
                                <w:t>Health</w:t>
                              </w:r>
                              <w:r>
                                <w:rPr>
                                  <w:rFonts w:ascii="Trebuchet MS"/>
                                  <w:b/>
                                  <w:color w:val="FFFFFF"/>
                                  <w:spacing w:val="-40"/>
                                  <w:sz w:val="68"/>
                                </w:rPr>
                                <w:t> </w:t>
                              </w:r>
                              <w:r>
                                <w:rPr>
                                  <w:rFonts w:ascii="Trebuchet MS"/>
                                  <w:b/>
                                  <w:color w:val="FFFFFF"/>
                                  <w:sz w:val="68"/>
                                </w:rPr>
                                <w:t>Information </w:t>
                              </w:r>
                              <w:r>
                                <w:rPr>
                                  <w:rFonts w:ascii="Trebuchet MS"/>
                                  <w:b/>
                                  <w:color w:val="FFFFFF"/>
                                  <w:spacing w:val="-2"/>
                                  <w:sz w:val="68"/>
                                </w:rPr>
                                <w:t>Network</w:t>
                              </w:r>
                            </w:p>
                          </w:txbxContent>
                        </wps:txbx>
                        <wps:bodyPr wrap="square" lIns="0" tIns="0" rIns="0" bIns="0" rtlCol="0">
                          <a:noAutofit/>
                        </wps:bodyPr>
                      </wps:wsp>
                      <wps:wsp>
                        <wps:cNvPr id="833" name="Textbox 833"/>
                        <wps:cNvSpPr txBox="1"/>
                        <wps:spPr>
                          <a:xfrm>
                            <a:off x="5883460" y="1439112"/>
                            <a:ext cx="1003935" cy="158750"/>
                          </a:xfrm>
                          <a:prstGeom prst="rect">
                            <a:avLst/>
                          </a:prstGeom>
                        </wps:spPr>
                        <wps:txbx>
                          <w:txbxContent>
                            <w:p>
                              <w:pPr>
                                <w:spacing w:line="238" w:lineRule="exact" w:before="0"/>
                                <w:ind w:left="0" w:right="0" w:firstLine="0"/>
                                <w:jc w:val="left"/>
                                <w:rPr>
                                  <w:b/>
                                  <w:sz w:val="22"/>
                                </w:rPr>
                              </w:pPr>
                              <w:r>
                                <w:rPr>
                                  <w:b/>
                                  <w:color w:val="FFFFFF"/>
                                  <w:spacing w:val="-4"/>
                                  <w:sz w:val="22"/>
                                </w:rPr>
                                <w:t>October</w:t>
                              </w:r>
                              <w:r>
                                <w:rPr>
                                  <w:b/>
                                  <w:color w:val="FFFFFF"/>
                                  <w:spacing w:val="-6"/>
                                  <w:sz w:val="22"/>
                                </w:rPr>
                                <w:t> </w:t>
                              </w:r>
                              <w:r>
                                <w:rPr>
                                  <w:b/>
                                  <w:color w:val="FFFFFF"/>
                                  <w:spacing w:val="-4"/>
                                  <w:sz w:val="22"/>
                                </w:rPr>
                                <w:t>12,</w:t>
                              </w:r>
                              <w:r>
                                <w:rPr>
                                  <w:b/>
                                  <w:color w:val="FFFFFF"/>
                                  <w:spacing w:val="-5"/>
                                  <w:sz w:val="22"/>
                                </w:rPr>
                                <w:t> </w:t>
                              </w:r>
                              <w:r>
                                <w:rPr>
                                  <w:b/>
                                  <w:color w:val="FFFFFF"/>
                                  <w:spacing w:val="-4"/>
                                  <w:sz w:val="22"/>
                                </w:rPr>
                                <w:t>2007</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54752" id="docshapegroup823" coordorigin="0,-3586" coordsize="11906,2760">
                <v:shape style="position:absolute;left:0;top:-3587;width:11906;height:2760" type="#_x0000_t75" id="docshape824" stroked="false">
                  <v:imagedata r:id="rId612" o:title=""/>
                </v:shape>
                <v:shape style="position:absolute;left:1080;top:-2644;width:6037;height:1606" type="#_x0000_t202" id="docshape825" filled="false" stroked="false">
                  <v:textbox inset="0,0,0,0">
                    <w:txbxContent>
                      <w:p>
                        <w:pPr>
                          <w:spacing w:line="247" w:lineRule="auto" w:before="0"/>
                          <w:ind w:left="0" w:right="18" w:firstLine="0"/>
                          <w:jc w:val="left"/>
                          <w:rPr>
                            <w:rFonts w:ascii="Trebuchet MS"/>
                            <w:b/>
                            <w:sz w:val="68"/>
                          </w:rPr>
                        </w:pPr>
                        <w:r>
                          <w:rPr>
                            <w:rFonts w:ascii="Trebuchet MS"/>
                            <w:b/>
                            <w:color w:val="FFFFFF"/>
                            <w:sz w:val="68"/>
                          </w:rPr>
                          <w:t>Health</w:t>
                        </w:r>
                        <w:r>
                          <w:rPr>
                            <w:rFonts w:ascii="Trebuchet MS"/>
                            <w:b/>
                            <w:color w:val="FFFFFF"/>
                            <w:spacing w:val="-40"/>
                            <w:sz w:val="68"/>
                          </w:rPr>
                          <w:t> </w:t>
                        </w:r>
                        <w:r>
                          <w:rPr>
                            <w:rFonts w:ascii="Trebuchet MS"/>
                            <w:b/>
                            <w:color w:val="FFFFFF"/>
                            <w:sz w:val="68"/>
                          </w:rPr>
                          <w:t>Information </w:t>
                        </w:r>
                        <w:r>
                          <w:rPr>
                            <w:rFonts w:ascii="Trebuchet MS"/>
                            <w:b/>
                            <w:color w:val="FFFFFF"/>
                            <w:spacing w:val="-2"/>
                            <w:sz w:val="68"/>
                          </w:rPr>
                          <w:t>Network</w:t>
                        </w:r>
                      </w:p>
                    </w:txbxContent>
                  </v:textbox>
                  <w10:wrap type="none"/>
                </v:shape>
                <v:shape style="position:absolute;left:9265;top:-1321;width:1581;height:250" type="#_x0000_t202" id="docshape826" filled="false" stroked="false">
                  <v:textbox inset="0,0,0,0">
                    <w:txbxContent>
                      <w:p>
                        <w:pPr>
                          <w:spacing w:line="238" w:lineRule="exact" w:before="0"/>
                          <w:ind w:left="0" w:right="0" w:firstLine="0"/>
                          <w:jc w:val="left"/>
                          <w:rPr>
                            <w:b/>
                            <w:sz w:val="22"/>
                          </w:rPr>
                        </w:pPr>
                        <w:r>
                          <w:rPr>
                            <w:b/>
                            <w:color w:val="FFFFFF"/>
                            <w:spacing w:val="-4"/>
                            <w:sz w:val="22"/>
                          </w:rPr>
                          <w:t>October</w:t>
                        </w:r>
                        <w:r>
                          <w:rPr>
                            <w:b/>
                            <w:color w:val="FFFFFF"/>
                            <w:spacing w:val="-6"/>
                            <w:sz w:val="22"/>
                          </w:rPr>
                          <w:t> </w:t>
                        </w:r>
                        <w:r>
                          <w:rPr>
                            <w:b/>
                            <w:color w:val="FFFFFF"/>
                            <w:spacing w:val="-4"/>
                            <w:sz w:val="22"/>
                          </w:rPr>
                          <w:t>12,</w:t>
                        </w:r>
                        <w:r>
                          <w:rPr>
                            <w:b/>
                            <w:color w:val="FFFFFF"/>
                            <w:spacing w:val="-5"/>
                            <w:sz w:val="22"/>
                          </w:rPr>
                          <w:t> </w:t>
                        </w:r>
                        <w:r>
                          <w:rPr>
                            <w:b/>
                            <w:color w:val="FFFFFF"/>
                            <w:spacing w:val="-4"/>
                            <w:sz w:val="22"/>
                          </w:rPr>
                          <w:t>2007</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31840">
                <wp:simplePos x="0" y="0"/>
                <wp:positionH relativeFrom="page">
                  <wp:posOffset>685799</wp:posOffset>
                </wp:positionH>
                <wp:positionV relativeFrom="paragraph">
                  <wp:posOffset>-36767</wp:posOffset>
                </wp:positionV>
                <wp:extent cx="529590" cy="757555"/>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529590" cy="757555"/>
                        </a:xfrm>
                        <a:prstGeom prst="rect">
                          <a:avLst/>
                        </a:prstGeom>
                      </wps:spPr>
                      <wps:txbx>
                        <w:txbxContent>
                          <w:p>
                            <w:pPr>
                              <w:spacing w:line="1135" w:lineRule="exact" w:before="0"/>
                              <w:ind w:left="0" w:right="0" w:firstLine="0"/>
                              <w:jc w:val="left"/>
                              <w:rPr>
                                <w:sz w:val="106"/>
                              </w:rPr>
                            </w:pPr>
                            <w:r>
                              <w:rPr>
                                <w:color w:val="9CBF3B"/>
                                <w:spacing w:val="-10"/>
                                <w:sz w:val="106"/>
                              </w:rPr>
                              <w:t>N</w:t>
                            </w:r>
                          </w:p>
                        </w:txbxContent>
                      </wps:txbx>
                      <wps:bodyPr wrap="square" lIns="0" tIns="0" rIns="0" bIns="0" rtlCol="0">
                        <a:noAutofit/>
                      </wps:bodyPr>
                    </wps:wsp>
                  </a:graphicData>
                </a:graphic>
              </wp:anchor>
            </w:drawing>
          </mc:Choice>
          <mc:Fallback>
            <w:pict>
              <v:shape style="position:absolute;margin-left:53.999981pt;margin-top:-2.89511pt;width:41.7pt;height:59.65pt;mso-position-horizontal-relative:page;mso-position-vertical-relative:paragraph;z-index:-23984640" type="#_x0000_t202" id="docshape827" filled="false" stroked="false">
                <v:textbox inset="0,0,0,0">
                  <w:txbxContent>
                    <w:p>
                      <w:pPr>
                        <w:spacing w:line="1135" w:lineRule="exact" w:before="0"/>
                        <w:ind w:left="0" w:right="0" w:firstLine="0"/>
                        <w:jc w:val="left"/>
                        <w:rPr>
                          <w:sz w:val="106"/>
                        </w:rPr>
                      </w:pPr>
                      <w:r>
                        <w:rPr>
                          <w:color w:val="9CBF3B"/>
                          <w:spacing w:val="-10"/>
                          <w:sz w:val="106"/>
                        </w:rPr>
                        <w:t>N</w:t>
                      </w:r>
                    </w:p>
                  </w:txbxContent>
                </v:textbox>
                <w10:wrap type="none"/>
              </v:shape>
            </w:pict>
          </mc:Fallback>
        </mc:AlternateContent>
      </w:r>
      <w:r>
        <w:rPr/>
        <w:t>ational Knowledge Commission (NKC) </w:t>
      </w:r>
      <w:r>
        <w:rPr/>
        <w:t>is convinced</w:t>
      </w:r>
      <w:r>
        <w:rPr>
          <w:spacing w:val="-5"/>
        </w:rPr>
        <w:t> </w:t>
      </w:r>
      <w:r>
        <w:rPr/>
        <w:t>that</w:t>
      </w:r>
      <w:r>
        <w:rPr>
          <w:spacing w:val="-5"/>
        </w:rPr>
        <w:t> </w:t>
      </w:r>
      <w:r>
        <w:rPr/>
        <w:t>extensive</w:t>
      </w:r>
      <w:r>
        <w:rPr>
          <w:spacing w:val="-5"/>
        </w:rPr>
        <w:t> </w:t>
      </w:r>
      <w:r>
        <w:rPr/>
        <w:t>use</w:t>
      </w:r>
      <w:r>
        <w:rPr>
          <w:spacing w:val="-5"/>
        </w:rPr>
        <w:t> </w:t>
      </w:r>
      <w:r>
        <w:rPr/>
        <w:t>of</w:t>
      </w:r>
      <w:r>
        <w:rPr>
          <w:spacing w:val="-5"/>
        </w:rPr>
        <w:t> </w:t>
      </w:r>
      <w:r>
        <w:rPr/>
        <w:t>IT</w:t>
      </w:r>
      <w:r>
        <w:rPr>
          <w:spacing w:val="-5"/>
        </w:rPr>
        <w:t> </w:t>
      </w:r>
      <w:r>
        <w:rPr/>
        <w:t>in</w:t>
      </w:r>
      <w:r>
        <w:rPr>
          <w:spacing w:val="-5"/>
        </w:rPr>
        <w:t> </w:t>
      </w:r>
      <w:r>
        <w:rPr/>
        <w:t>health care</w:t>
      </w:r>
      <w:r>
        <w:rPr>
          <w:spacing w:val="31"/>
        </w:rPr>
        <w:t> </w:t>
      </w:r>
      <w:r>
        <w:rPr/>
        <w:t>will</w:t>
      </w:r>
      <w:r>
        <w:rPr>
          <w:spacing w:val="32"/>
        </w:rPr>
        <w:t> </w:t>
      </w:r>
      <w:r>
        <w:rPr/>
        <w:t>promote</w:t>
      </w:r>
      <w:r>
        <w:rPr>
          <w:spacing w:val="32"/>
        </w:rPr>
        <w:t> </w:t>
      </w:r>
      <w:r>
        <w:rPr/>
        <w:t>the</w:t>
      </w:r>
      <w:r>
        <w:rPr>
          <w:spacing w:val="32"/>
        </w:rPr>
        <w:t> </w:t>
      </w:r>
      <w:r>
        <w:rPr/>
        <w:t>delivery</w:t>
      </w:r>
      <w:r>
        <w:rPr>
          <w:spacing w:val="32"/>
        </w:rPr>
        <w:t> </w:t>
      </w:r>
      <w:r>
        <w:rPr/>
        <w:t>of</w:t>
      </w:r>
      <w:r>
        <w:rPr>
          <w:spacing w:val="32"/>
        </w:rPr>
        <w:t> </w:t>
      </w:r>
      <w:r>
        <w:rPr>
          <w:spacing w:val="-5"/>
        </w:rPr>
        <w:t>efficient</w:t>
      </w:r>
    </w:p>
    <w:p>
      <w:pPr>
        <w:pStyle w:val="BodyText"/>
        <w:spacing w:line="266" w:lineRule="auto"/>
        <w:ind w:left="1080"/>
        <w:jc w:val="both"/>
      </w:pPr>
      <w:r>
        <w:rPr/>
        <w:t>health</w:t>
      </w:r>
      <w:r>
        <w:rPr>
          <w:spacing w:val="39"/>
        </w:rPr>
        <w:t> </w:t>
      </w:r>
      <w:r>
        <w:rPr/>
        <w:t>care</w:t>
      </w:r>
      <w:r>
        <w:rPr>
          <w:spacing w:val="39"/>
        </w:rPr>
        <w:t> </w:t>
      </w:r>
      <w:r>
        <w:rPr/>
        <w:t>in</w:t>
      </w:r>
      <w:r>
        <w:rPr>
          <w:spacing w:val="39"/>
        </w:rPr>
        <w:t> </w:t>
      </w:r>
      <w:r>
        <w:rPr/>
        <w:t>the</w:t>
      </w:r>
      <w:r>
        <w:rPr>
          <w:spacing w:val="39"/>
        </w:rPr>
        <w:t> </w:t>
      </w:r>
      <w:r>
        <w:rPr/>
        <w:t>country.</w:t>
      </w:r>
      <w:r>
        <w:rPr>
          <w:spacing w:val="39"/>
        </w:rPr>
        <w:t> </w:t>
      </w:r>
      <w:r>
        <w:rPr/>
        <w:t>However</w:t>
      </w:r>
      <w:r>
        <w:rPr>
          <w:spacing w:val="39"/>
        </w:rPr>
        <w:t> </w:t>
      </w:r>
      <w:r>
        <w:rPr/>
        <w:t>as</w:t>
      </w:r>
      <w:r>
        <w:rPr>
          <w:spacing w:val="39"/>
        </w:rPr>
        <w:t> </w:t>
      </w:r>
      <w:r>
        <w:rPr/>
        <w:t>the</w:t>
      </w:r>
      <w:r>
        <w:rPr>
          <w:spacing w:val="39"/>
        </w:rPr>
        <w:t> </w:t>
      </w:r>
      <w:r>
        <w:rPr/>
        <w:t>use</w:t>
      </w:r>
      <w:r>
        <w:rPr>
          <w:spacing w:val="39"/>
        </w:rPr>
        <w:t> </w:t>
      </w:r>
      <w:r>
        <w:rPr/>
        <w:t>of IT in the management of healthcare and </w:t>
      </w:r>
      <w:r>
        <w:rPr/>
        <w:t>medical </w:t>
      </w:r>
      <w:r>
        <w:rPr>
          <w:spacing w:val="-4"/>
        </w:rPr>
        <w:t>knowledge</w:t>
      </w:r>
      <w:r>
        <w:rPr>
          <w:spacing w:val="-6"/>
        </w:rPr>
        <w:t> </w:t>
      </w:r>
      <w:r>
        <w:rPr>
          <w:spacing w:val="-4"/>
        </w:rPr>
        <w:t>will</w:t>
      </w:r>
      <w:r>
        <w:rPr>
          <w:spacing w:val="-6"/>
        </w:rPr>
        <w:t> </w:t>
      </w:r>
      <w:r>
        <w:rPr>
          <w:spacing w:val="-4"/>
        </w:rPr>
        <w:t>increase,</w:t>
      </w:r>
      <w:r>
        <w:rPr>
          <w:spacing w:val="-6"/>
        </w:rPr>
        <w:t> </w:t>
      </w:r>
      <w:r>
        <w:rPr>
          <w:spacing w:val="-4"/>
        </w:rPr>
        <w:t>the</w:t>
      </w:r>
      <w:r>
        <w:rPr>
          <w:spacing w:val="-6"/>
        </w:rPr>
        <w:t> </w:t>
      </w:r>
      <w:r>
        <w:rPr>
          <w:spacing w:val="-4"/>
        </w:rPr>
        <w:t>health</w:t>
      </w:r>
      <w:r>
        <w:rPr>
          <w:spacing w:val="-6"/>
        </w:rPr>
        <w:t> </w:t>
      </w:r>
      <w:r>
        <w:rPr>
          <w:spacing w:val="-4"/>
        </w:rPr>
        <w:t>care</w:t>
      </w:r>
      <w:r>
        <w:rPr>
          <w:spacing w:val="-6"/>
        </w:rPr>
        <w:t> </w:t>
      </w:r>
      <w:r>
        <w:rPr>
          <w:spacing w:val="-4"/>
        </w:rPr>
        <w:t>establishments </w:t>
      </w:r>
      <w:r>
        <w:rPr/>
        <w:t>will develop and use their own health IT systems. It has been the experience of western countries that these individually developed systems are often not interoperable</w:t>
      </w:r>
      <w:r>
        <w:rPr>
          <w:spacing w:val="-14"/>
        </w:rPr>
        <w:t> </w:t>
      </w:r>
      <w:r>
        <w:rPr/>
        <w:t>with</w:t>
      </w:r>
      <w:r>
        <w:rPr>
          <w:spacing w:val="-14"/>
        </w:rPr>
        <w:t> </w:t>
      </w:r>
      <w:r>
        <w:rPr/>
        <w:t>other</w:t>
      </w:r>
      <w:r>
        <w:rPr>
          <w:spacing w:val="-14"/>
        </w:rPr>
        <w:t> </w:t>
      </w:r>
      <w:r>
        <w:rPr/>
        <w:t>establishments,</w:t>
      </w:r>
      <w:r>
        <w:rPr>
          <w:spacing w:val="-13"/>
        </w:rPr>
        <w:t> </w:t>
      </w:r>
      <w:r>
        <w:rPr/>
        <w:t>which</w:t>
      </w:r>
      <w:r>
        <w:rPr>
          <w:spacing w:val="-14"/>
        </w:rPr>
        <w:t> </w:t>
      </w:r>
      <w:r>
        <w:rPr/>
        <w:t>makes </w:t>
      </w:r>
      <w:r>
        <w:rPr>
          <w:spacing w:val="-2"/>
        </w:rPr>
        <w:t>the</w:t>
      </w:r>
      <w:r>
        <w:rPr>
          <w:spacing w:val="-7"/>
        </w:rPr>
        <w:t> </w:t>
      </w:r>
      <w:r>
        <w:rPr>
          <w:spacing w:val="-2"/>
        </w:rPr>
        <w:t>health</w:t>
      </w:r>
      <w:r>
        <w:rPr>
          <w:spacing w:val="-7"/>
        </w:rPr>
        <w:t> </w:t>
      </w:r>
      <w:r>
        <w:rPr>
          <w:spacing w:val="-2"/>
        </w:rPr>
        <w:t>care</w:t>
      </w:r>
      <w:r>
        <w:rPr>
          <w:spacing w:val="-7"/>
        </w:rPr>
        <w:t> </w:t>
      </w:r>
      <w:r>
        <w:rPr>
          <w:spacing w:val="-2"/>
        </w:rPr>
        <w:t>system</w:t>
      </w:r>
      <w:r>
        <w:rPr>
          <w:spacing w:val="-7"/>
        </w:rPr>
        <w:t> </w:t>
      </w:r>
      <w:r>
        <w:rPr>
          <w:spacing w:val="-2"/>
        </w:rPr>
        <w:t>inefficient</w:t>
      </w:r>
      <w:r>
        <w:rPr>
          <w:spacing w:val="-7"/>
        </w:rPr>
        <w:t> </w:t>
      </w:r>
      <w:r>
        <w:rPr>
          <w:spacing w:val="-2"/>
        </w:rPr>
        <w:t>and</w:t>
      </w:r>
      <w:r>
        <w:rPr>
          <w:spacing w:val="-7"/>
        </w:rPr>
        <w:t> </w:t>
      </w:r>
      <w:r>
        <w:rPr>
          <w:spacing w:val="-2"/>
        </w:rPr>
        <w:t>expensive.</w:t>
      </w:r>
      <w:r>
        <w:rPr>
          <w:spacing w:val="-7"/>
        </w:rPr>
        <w:t> </w:t>
      </w:r>
      <w:r>
        <w:rPr>
          <w:spacing w:val="-2"/>
        </w:rPr>
        <w:t>NKC </w:t>
      </w:r>
      <w:r>
        <w:rPr/>
        <w:t>believes that India has a unique opportunity to learn from</w:t>
      </w:r>
      <w:r>
        <w:rPr>
          <w:spacing w:val="-4"/>
        </w:rPr>
        <w:t> </w:t>
      </w:r>
      <w:r>
        <w:rPr/>
        <w:t>the</w:t>
      </w:r>
      <w:r>
        <w:rPr>
          <w:spacing w:val="-4"/>
        </w:rPr>
        <w:t> </w:t>
      </w:r>
      <w:r>
        <w:rPr/>
        <w:t>world</w:t>
      </w:r>
      <w:r>
        <w:rPr>
          <w:spacing w:val="-4"/>
        </w:rPr>
        <w:t> </w:t>
      </w:r>
      <w:r>
        <w:rPr/>
        <w:t>experience</w:t>
      </w:r>
      <w:r>
        <w:rPr>
          <w:spacing w:val="-4"/>
        </w:rPr>
        <w:t> </w:t>
      </w:r>
      <w:r>
        <w:rPr/>
        <w:t>and</w:t>
      </w:r>
      <w:r>
        <w:rPr>
          <w:spacing w:val="-4"/>
        </w:rPr>
        <w:t> </w:t>
      </w:r>
      <w:r>
        <w:rPr/>
        <w:t>adopt</w:t>
      </w:r>
      <w:r>
        <w:rPr>
          <w:spacing w:val="-4"/>
        </w:rPr>
        <w:t> </w:t>
      </w:r>
      <w:r>
        <w:rPr/>
        <w:t>only</w:t>
      </w:r>
      <w:r>
        <w:rPr>
          <w:spacing w:val="-4"/>
        </w:rPr>
        <w:t> </w:t>
      </w:r>
      <w:r>
        <w:rPr/>
        <w:t>the</w:t>
      </w:r>
      <w:r>
        <w:rPr>
          <w:spacing w:val="-4"/>
        </w:rPr>
        <w:t> </w:t>
      </w:r>
      <w:r>
        <w:rPr/>
        <w:t>proven best practices in the field.</w:t>
      </w:r>
    </w:p>
    <w:p>
      <w:pPr>
        <w:pStyle w:val="BodyText"/>
        <w:spacing w:before="16"/>
      </w:pPr>
    </w:p>
    <w:p>
      <w:pPr>
        <w:pStyle w:val="BodyText"/>
        <w:spacing w:line="266" w:lineRule="auto"/>
        <w:ind w:left="1080"/>
        <w:jc w:val="both"/>
      </w:pPr>
      <w:r>
        <w:rPr>
          <w:spacing w:val="-4"/>
        </w:rPr>
        <w:t>In</w:t>
      </w:r>
      <w:r>
        <w:rPr>
          <w:spacing w:val="-12"/>
        </w:rPr>
        <w:t> </w:t>
      </w:r>
      <w:r>
        <w:rPr>
          <w:spacing w:val="-4"/>
        </w:rPr>
        <w:t>this</w:t>
      </w:r>
      <w:r>
        <w:rPr>
          <w:spacing w:val="-10"/>
        </w:rPr>
        <w:t> </w:t>
      </w:r>
      <w:r>
        <w:rPr>
          <w:spacing w:val="-4"/>
        </w:rPr>
        <w:t>context</w:t>
      </w:r>
      <w:r>
        <w:rPr>
          <w:spacing w:val="-10"/>
        </w:rPr>
        <w:t> </w:t>
      </w:r>
      <w:r>
        <w:rPr>
          <w:spacing w:val="-4"/>
        </w:rPr>
        <w:t>NKC</w:t>
      </w:r>
      <w:r>
        <w:rPr>
          <w:spacing w:val="-9"/>
        </w:rPr>
        <w:t> </w:t>
      </w:r>
      <w:r>
        <w:rPr>
          <w:spacing w:val="-4"/>
        </w:rPr>
        <w:t>constituted</w:t>
      </w:r>
      <w:r>
        <w:rPr>
          <w:spacing w:val="-10"/>
        </w:rPr>
        <w:t> </w:t>
      </w:r>
      <w:r>
        <w:rPr>
          <w:spacing w:val="-4"/>
        </w:rPr>
        <w:t>a</w:t>
      </w:r>
      <w:r>
        <w:rPr>
          <w:spacing w:val="-10"/>
        </w:rPr>
        <w:t> </w:t>
      </w:r>
      <w:r>
        <w:rPr>
          <w:spacing w:val="-4"/>
        </w:rPr>
        <w:t>working</w:t>
      </w:r>
      <w:r>
        <w:rPr>
          <w:spacing w:val="-10"/>
        </w:rPr>
        <w:t> </w:t>
      </w:r>
      <w:r>
        <w:rPr>
          <w:spacing w:val="-4"/>
        </w:rPr>
        <w:t>group,</w:t>
      </w:r>
      <w:r>
        <w:rPr>
          <w:spacing w:val="-9"/>
        </w:rPr>
        <w:t> </w:t>
      </w:r>
      <w:r>
        <w:rPr>
          <w:spacing w:val="-4"/>
        </w:rPr>
        <w:t>under </w:t>
      </w:r>
      <w:r>
        <w:rPr/>
        <w:t>the chairmanship of Dr. N.K. Ganguly, Chairman </w:t>
      </w:r>
      <w:r>
        <w:rPr>
          <w:spacing w:val="-2"/>
        </w:rPr>
        <w:t>Indian</w:t>
      </w:r>
      <w:r>
        <w:rPr>
          <w:spacing w:val="-7"/>
        </w:rPr>
        <w:t> </w:t>
      </w:r>
      <w:r>
        <w:rPr>
          <w:spacing w:val="-2"/>
        </w:rPr>
        <w:t>Council</w:t>
      </w:r>
      <w:r>
        <w:rPr>
          <w:spacing w:val="-7"/>
        </w:rPr>
        <w:t> </w:t>
      </w:r>
      <w:r>
        <w:rPr>
          <w:spacing w:val="-2"/>
        </w:rPr>
        <w:t>for</w:t>
      </w:r>
      <w:r>
        <w:rPr>
          <w:spacing w:val="-7"/>
        </w:rPr>
        <w:t> </w:t>
      </w:r>
      <w:r>
        <w:rPr>
          <w:spacing w:val="-2"/>
        </w:rPr>
        <w:t>Medical</w:t>
      </w:r>
      <w:r>
        <w:rPr>
          <w:spacing w:val="-7"/>
        </w:rPr>
        <w:t> </w:t>
      </w:r>
      <w:r>
        <w:rPr>
          <w:spacing w:val="-2"/>
        </w:rPr>
        <w:t>Research</w:t>
      </w:r>
      <w:r>
        <w:rPr>
          <w:spacing w:val="-7"/>
        </w:rPr>
        <w:t> </w:t>
      </w:r>
      <w:r>
        <w:rPr>
          <w:spacing w:val="-2"/>
        </w:rPr>
        <w:t>(ICMR)</w:t>
      </w:r>
      <w:r>
        <w:rPr>
          <w:spacing w:val="-7"/>
        </w:rPr>
        <w:t> </w:t>
      </w:r>
      <w:r>
        <w:rPr>
          <w:spacing w:val="-2"/>
        </w:rPr>
        <w:t>to</w:t>
      </w:r>
      <w:r>
        <w:rPr>
          <w:spacing w:val="-7"/>
        </w:rPr>
        <w:t> </w:t>
      </w:r>
      <w:r>
        <w:rPr>
          <w:spacing w:val="-2"/>
        </w:rPr>
        <w:t>study </w:t>
      </w:r>
      <w:r>
        <w:rPr/>
        <w:t>the</w:t>
      </w:r>
      <w:r>
        <w:rPr>
          <w:spacing w:val="-11"/>
        </w:rPr>
        <w:t> </w:t>
      </w:r>
      <w:r>
        <w:rPr/>
        <w:t>use</w:t>
      </w:r>
      <w:r>
        <w:rPr>
          <w:spacing w:val="-9"/>
        </w:rPr>
        <w:t> </w:t>
      </w:r>
      <w:r>
        <w:rPr/>
        <w:t>of</w:t>
      </w:r>
      <w:r>
        <w:rPr>
          <w:spacing w:val="-9"/>
        </w:rPr>
        <w:t> </w:t>
      </w:r>
      <w:r>
        <w:rPr/>
        <w:t>IT</w:t>
      </w:r>
      <w:r>
        <w:rPr>
          <w:spacing w:val="-9"/>
        </w:rPr>
        <w:t> </w:t>
      </w:r>
      <w:r>
        <w:rPr/>
        <w:t>in</w:t>
      </w:r>
      <w:r>
        <w:rPr>
          <w:spacing w:val="-9"/>
        </w:rPr>
        <w:t> </w:t>
      </w:r>
      <w:r>
        <w:rPr/>
        <w:t>future</w:t>
      </w:r>
      <w:r>
        <w:rPr>
          <w:spacing w:val="-9"/>
        </w:rPr>
        <w:t> </w:t>
      </w:r>
      <w:r>
        <w:rPr/>
        <w:t>health</w:t>
      </w:r>
      <w:r>
        <w:rPr>
          <w:spacing w:val="-9"/>
        </w:rPr>
        <w:t> </w:t>
      </w:r>
      <w:r>
        <w:rPr/>
        <w:t>care.</w:t>
      </w:r>
      <w:r>
        <w:rPr>
          <w:spacing w:val="-14"/>
        </w:rPr>
        <w:t> </w:t>
      </w:r>
      <w:r>
        <w:rPr/>
        <w:t>The</w:t>
      </w:r>
      <w:r>
        <w:rPr>
          <w:spacing w:val="-9"/>
        </w:rPr>
        <w:t> </w:t>
      </w:r>
      <w:r>
        <w:rPr/>
        <w:t>working</w:t>
      </w:r>
      <w:r>
        <w:rPr>
          <w:spacing w:val="-9"/>
        </w:rPr>
        <w:t> </w:t>
      </w:r>
      <w:r>
        <w:rPr/>
        <w:t>group studied the future need, conducted several meetings and</w:t>
      </w:r>
      <w:r>
        <w:rPr>
          <w:spacing w:val="-14"/>
        </w:rPr>
        <w:t> </w:t>
      </w:r>
      <w:r>
        <w:rPr/>
        <w:t>deliberations,</w:t>
      </w:r>
      <w:r>
        <w:rPr>
          <w:spacing w:val="-14"/>
        </w:rPr>
        <w:t> </w:t>
      </w:r>
      <w:r>
        <w:rPr/>
        <w:t>and</w:t>
      </w:r>
      <w:r>
        <w:rPr>
          <w:spacing w:val="-14"/>
        </w:rPr>
        <w:t> </w:t>
      </w:r>
      <w:r>
        <w:rPr/>
        <w:t>held</w:t>
      </w:r>
      <w:r>
        <w:rPr>
          <w:spacing w:val="-13"/>
        </w:rPr>
        <w:t> </w:t>
      </w:r>
      <w:r>
        <w:rPr/>
        <w:t>consultations</w:t>
      </w:r>
      <w:r>
        <w:rPr>
          <w:spacing w:val="-14"/>
        </w:rPr>
        <w:t> </w:t>
      </w:r>
      <w:r>
        <w:rPr/>
        <w:t>with</w:t>
      </w:r>
      <w:r>
        <w:rPr>
          <w:spacing w:val="-14"/>
        </w:rPr>
        <w:t> </w:t>
      </w:r>
      <w:r>
        <w:rPr/>
        <w:t>various national</w:t>
      </w:r>
      <w:r>
        <w:rPr>
          <w:spacing w:val="-4"/>
        </w:rPr>
        <w:t> </w:t>
      </w:r>
      <w:r>
        <w:rPr/>
        <w:t>and</w:t>
      </w:r>
      <w:r>
        <w:rPr>
          <w:spacing w:val="-4"/>
        </w:rPr>
        <w:t> </w:t>
      </w:r>
      <w:r>
        <w:rPr/>
        <w:t>international</w:t>
      </w:r>
      <w:r>
        <w:rPr>
          <w:spacing w:val="-4"/>
        </w:rPr>
        <w:t> </w:t>
      </w:r>
      <w:r>
        <w:rPr/>
        <w:t>experts.</w:t>
      </w:r>
      <w:r>
        <w:rPr>
          <w:spacing w:val="-4"/>
        </w:rPr>
        <w:t> </w:t>
      </w:r>
      <w:r>
        <w:rPr/>
        <w:t>NKC</w:t>
      </w:r>
      <w:r>
        <w:rPr>
          <w:spacing w:val="-4"/>
        </w:rPr>
        <w:t> </w:t>
      </w:r>
      <w:r>
        <w:rPr/>
        <w:t>believes</w:t>
      </w:r>
      <w:r>
        <w:rPr>
          <w:spacing w:val="-4"/>
        </w:rPr>
        <w:t> </w:t>
      </w:r>
      <w:r>
        <w:rPr/>
        <w:t>that the</w:t>
      </w:r>
      <w:r>
        <w:rPr>
          <w:spacing w:val="-2"/>
        </w:rPr>
        <w:t> </w:t>
      </w:r>
      <w:r>
        <w:rPr/>
        <w:t>use</w:t>
      </w:r>
      <w:r>
        <w:rPr>
          <w:spacing w:val="-2"/>
        </w:rPr>
        <w:t> </w:t>
      </w:r>
      <w:r>
        <w:rPr/>
        <w:t>of</w:t>
      </w:r>
      <w:r>
        <w:rPr>
          <w:spacing w:val="-2"/>
        </w:rPr>
        <w:t> </w:t>
      </w:r>
      <w:r>
        <w:rPr/>
        <w:t>IT</w:t>
      </w:r>
      <w:r>
        <w:rPr>
          <w:spacing w:val="-2"/>
        </w:rPr>
        <w:t> </w:t>
      </w:r>
      <w:r>
        <w:rPr/>
        <w:t>in</w:t>
      </w:r>
      <w:r>
        <w:rPr>
          <w:spacing w:val="-2"/>
        </w:rPr>
        <w:t> </w:t>
      </w:r>
      <w:r>
        <w:rPr/>
        <w:t>health</w:t>
      </w:r>
      <w:r>
        <w:rPr>
          <w:spacing w:val="-2"/>
        </w:rPr>
        <w:t> </w:t>
      </w:r>
      <w:r>
        <w:rPr/>
        <w:t>care</w:t>
      </w:r>
      <w:r>
        <w:rPr>
          <w:spacing w:val="-2"/>
        </w:rPr>
        <w:t> </w:t>
      </w:r>
      <w:r>
        <w:rPr/>
        <w:t>needs</w:t>
      </w:r>
      <w:r>
        <w:rPr>
          <w:spacing w:val="-2"/>
        </w:rPr>
        <w:t> </w:t>
      </w:r>
      <w:r>
        <w:rPr/>
        <w:t>a</w:t>
      </w:r>
      <w:r>
        <w:rPr>
          <w:spacing w:val="-2"/>
        </w:rPr>
        <w:t> </w:t>
      </w:r>
      <w:r>
        <w:rPr/>
        <w:t>national</w:t>
      </w:r>
      <w:r>
        <w:rPr>
          <w:spacing w:val="-2"/>
        </w:rPr>
        <w:t> </w:t>
      </w:r>
      <w:r>
        <w:rPr/>
        <w:t>direction </w:t>
      </w:r>
      <w:r>
        <w:rPr>
          <w:spacing w:val="-2"/>
        </w:rPr>
        <w:t>for</w:t>
      </w:r>
      <w:r>
        <w:rPr>
          <w:spacing w:val="-9"/>
        </w:rPr>
        <w:t> </w:t>
      </w:r>
      <w:r>
        <w:rPr>
          <w:spacing w:val="-2"/>
        </w:rPr>
        <w:t>its</w:t>
      </w:r>
      <w:r>
        <w:rPr>
          <w:spacing w:val="-9"/>
        </w:rPr>
        <w:t> </w:t>
      </w:r>
      <w:r>
        <w:rPr>
          <w:spacing w:val="-2"/>
        </w:rPr>
        <w:t>proper</w:t>
      </w:r>
      <w:r>
        <w:rPr>
          <w:spacing w:val="-9"/>
        </w:rPr>
        <w:t> </w:t>
      </w:r>
      <w:r>
        <w:rPr>
          <w:spacing w:val="-2"/>
        </w:rPr>
        <w:t>implementation</w:t>
      </w:r>
      <w:r>
        <w:rPr>
          <w:spacing w:val="-9"/>
        </w:rPr>
        <w:t> </w:t>
      </w:r>
      <w:r>
        <w:rPr>
          <w:spacing w:val="-2"/>
        </w:rPr>
        <w:t>and</w:t>
      </w:r>
      <w:r>
        <w:rPr>
          <w:spacing w:val="-9"/>
        </w:rPr>
        <w:t> </w:t>
      </w:r>
      <w:r>
        <w:rPr>
          <w:spacing w:val="-2"/>
        </w:rPr>
        <w:t>makes</w:t>
      </w:r>
      <w:r>
        <w:rPr>
          <w:spacing w:val="-9"/>
        </w:rPr>
        <w:t> </w:t>
      </w:r>
      <w:r>
        <w:rPr>
          <w:spacing w:val="-2"/>
        </w:rPr>
        <w:t>the</w:t>
      </w:r>
      <w:r>
        <w:rPr>
          <w:spacing w:val="-9"/>
        </w:rPr>
        <w:t> </w:t>
      </w:r>
      <w:r>
        <w:rPr>
          <w:spacing w:val="-2"/>
        </w:rPr>
        <w:t>following recommendations</w:t>
      </w:r>
      <w:r>
        <w:rPr>
          <w:spacing w:val="-12"/>
        </w:rPr>
        <w:t> </w:t>
      </w:r>
      <w:r>
        <w:rPr>
          <w:spacing w:val="-2"/>
        </w:rPr>
        <w:t>for</w:t>
      </w:r>
      <w:r>
        <w:rPr>
          <w:spacing w:val="-12"/>
        </w:rPr>
        <w:t> </w:t>
      </w:r>
      <w:r>
        <w:rPr>
          <w:spacing w:val="-2"/>
        </w:rPr>
        <w:t>developing</w:t>
      </w:r>
      <w:r>
        <w:rPr>
          <w:spacing w:val="-12"/>
        </w:rPr>
        <w:t> </w:t>
      </w:r>
      <w:r>
        <w:rPr>
          <w:spacing w:val="-2"/>
        </w:rPr>
        <w:t>a</w:t>
      </w:r>
      <w:r>
        <w:rPr>
          <w:spacing w:val="-11"/>
        </w:rPr>
        <w:t> </w:t>
      </w:r>
      <w:r>
        <w:rPr>
          <w:spacing w:val="-2"/>
        </w:rPr>
        <w:t>Health</w:t>
      </w:r>
      <w:r>
        <w:rPr>
          <w:spacing w:val="-12"/>
        </w:rPr>
        <w:t> </w:t>
      </w:r>
      <w:r>
        <w:rPr>
          <w:spacing w:val="-2"/>
        </w:rPr>
        <w:t>Information Network:</w:t>
      </w:r>
    </w:p>
    <w:p>
      <w:pPr>
        <w:pStyle w:val="Heading6"/>
        <w:numPr>
          <w:ilvl w:val="0"/>
          <w:numId w:val="11"/>
        </w:numPr>
        <w:tabs>
          <w:tab w:pos="1404" w:val="left" w:leader="none"/>
          <w:tab w:pos="1406" w:val="left" w:leader="none"/>
        </w:tabs>
        <w:spacing w:line="182" w:lineRule="auto" w:before="249" w:after="0"/>
        <w:ind w:left="1406" w:right="397" w:hanging="327"/>
        <w:jc w:val="left"/>
      </w:pPr>
      <w:r>
        <w:rPr>
          <w:color w:val="2E614A"/>
          <w:spacing w:val="-8"/>
        </w:rPr>
        <w:t>Initiate</w:t>
      </w:r>
      <w:r>
        <w:rPr>
          <w:color w:val="2E614A"/>
          <w:spacing w:val="-12"/>
        </w:rPr>
        <w:t> </w:t>
      </w:r>
      <w:r>
        <w:rPr>
          <w:color w:val="2E614A"/>
          <w:spacing w:val="-8"/>
        </w:rPr>
        <w:t>Development</w:t>
      </w:r>
      <w:r>
        <w:rPr>
          <w:color w:val="2E614A"/>
          <w:spacing w:val="-12"/>
        </w:rPr>
        <w:t> </w:t>
      </w:r>
      <w:r>
        <w:rPr>
          <w:color w:val="2E614A"/>
          <w:spacing w:val="-8"/>
        </w:rPr>
        <w:t>of</w:t>
      </w:r>
      <w:r>
        <w:rPr>
          <w:color w:val="2E614A"/>
          <w:spacing w:val="-12"/>
        </w:rPr>
        <w:t> </w:t>
      </w:r>
      <w:r>
        <w:rPr>
          <w:color w:val="2E614A"/>
          <w:spacing w:val="-8"/>
        </w:rPr>
        <w:t>Indian </w:t>
      </w:r>
      <w:r>
        <w:rPr>
          <w:color w:val="2E614A"/>
          <w:spacing w:val="-2"/>
        </w:rPr>
        <w:t>Health</w:t>
      </w:r>
      <w:r>
        <w:rPr>
          <w:color w:val="2E614A"/>
          <w:spacing w:val="-18"/>
        </w:rPr>
        <w:t> </w:t>
      </w:r>
      <w:r>
        <w:rPr>
          <w:color w:val="2E614A"/>
          <w:spacing w:val="-2"/>
        </w:rPr>
        <w:t>Information</w:t>
      </w:r>
      <w:r>
        <w:rPr>
          <w:color w:val="2E614A"/>
          <w:spacing w:val="-18"/>
        </w:rPr>
        <w:t> </w:t>
      </w:r>
      <w:r>
        <w:rPr>
          <w:color w:val="2E614A"/>
          <w:spacing w:val="-2"/>
        </w:rPr>
        <w:t>Network</w:t>
      </w:r>
    </w:p>
    <w:p>
      <w:pPr>
        <w:pStyle w:val="BodyText"/>
        <w:spacing w:line="266" w:lineRule="auto" w:before="303"/>
        <w:ind w:left="1079"/>
        <w:jc w:val="both"/>
      </w:pPr>
      <w:r>
        <w:rPr>
          <w:spacing w:val="-6"/>
        </w:rPr>
        <w:t>India</w:t>
      </w:r>
      <w:r>
        <w:rPr>
          <w:spacing w:val="-7"/>
        </w:rPr>
        <w:t> </w:t>
      </w:r>
      <w:r>
        <w:rPr>
          <w:spacing w:val="-6"/>
        </w:rPr>
        <w:t>needs</w:t>
      </w:r>
      <w:r>
        <w:rPr>
          <w:spacing w:val="-7"/>
        </w:rPr>
        <w:t> </w:t>
      </w:r>
      <w:r>
        <w:rPr>
          <w:spacing w:val="-6"/>
        </w:rPr>
        <w:t>to</w:t>
      </w:r>
      <w:r>
        <w:rPr>
          <w:spacing w:val="-7"/>
        </w:rPr>
        <w:t> </w:t>
      </w:r>
      <w:r>
        <w:rPr>
          <w:spacing w:val="-6"/>
        </w:rPr>
        <w:t>develop</w:t>
      </w:r>
      <w:r>
        <w:rPr>
          <w:spacing w:val="-7"/>
        </w:rPr>
        <w:t> </w:t>
      </w:r>
      <w:r>
        <w:rPr>
          <w:spacing w:val="-6"/>
        </w:rPr>
        <w:t>a</w:t>
      </w:r>
      <w:r>
        <w:rPr>
          <w:spacing w:val="-7"/>
        </w:rPr>
        <w:t> </w:t>
      </w:r>
      <w:r>
        <w:rPr>
          <w:spacing w:val="-6"/>
        </w:rPr>
        <w:t>web-based</w:t>
      </w:r>
      <w:r>
        <w:rPr>
          <w:spacing w:val="-7"/>
        </w:rPr>
        <w:t> </w:t>
      </w:r>
      <w:r>
        <w:rPr>
          <w:spacing w:val="-6"/>
        </w:rPr>
        <w:t>network,</w:t>
      </w:r>
      <w:r>
        <w:rPr>
          <w:spacing w:val="-7"/>
        </w:rPr>
        <w:t> </w:t>
      </w:r>
      <w:r>
        <w:rPr>
          <w:spacing w:val="-6"/>
        </w:rPr>
        <w:t>connecting </w:t>
      </w:r>
      <w:r>
        <w:rPr/>
        <w:t>all health care establishments, in both private and public sector. When fully functional, all health care </w:t>
      </w:r>
      <w:r>
        <w:rPr>
          <w:spacing w:val="-4"/>
        </w:rPr>
        <w:t>transactions</w:t>
      </w:r>
      <w:r>
        <w:rPr>
          <w:spacing w:val="-10"/>
        </w:rPr>
        <w:t> </w:t>
      </w:r>
      <w:r>
        <w:rPr>
          <w:spacing w:val="-4"/>
        </w:rPr>
        <w:t>will</w:t>
      </w:r>
      <w:r>
        <w:rPr>
          <w:spacing w:val="-10"/>
        </w:rPr>
        <w:t> </w:t>
      </w:r>
      <w:r>
        <w:rPr>
          <w:spacing w:val="-4"/>
        </w:rPr>
        <w:t>be</w:t>
      </w:r>
      <w:r>
        <w:rPr>
          <w:spacing w:val="-10"/>
        </w:rPr>
        <w:t> </w:t>
      </w:r>
      <w:r>
        <w:rPr>
          <w:spacing w:val="-4"/>
        </w:rPr>
        <w:t>recorded</w:t>
      </w:r>
      <w:r>
        <w:rPr>
          <w:spacing w:val="-9"/>
        </w:rPr>
        <w:t> </w:t>
      </w:r>
      <w:r>
        <w:rPr>
          <w:spacing w:val="-4"/>
        </w:rPr>
        <w:t>electronically</w:t>
      </w:r>
      <w:r>
        <w:rPr>
          <w:spacing w:val="-10"/>
        </w:rPr>
        <w:t> </w:t>
      </w:r>
      <w:r>
        <w:rPr>
          <w:spacing w:val="-4"/>
        </w:rPr>
        <w:t>and</w:t>
      </w:r>
      <w:r>
        <w:rPr>
          <w:spacing w:val="-10"/>
        </w:rPr>
        <w:t> </w:t>
      </w:r>
      <w:r>
        <w:rPr>
          <w:spacing w:val="-4"/>
        </w:rPr>
        <w:t>this</w:t>
      </w:r>
      <w:r>
        <w:rPr>
          <w:spacing w:val="-10"/>
        </w:rPr>
        <w:t> </w:t>
      </w:r>
      <w:r>
        <w:rPr>
          <w:spacing w:val="-4"/>
        </w:rPr>
        <w:t>data </w:t>
      </w:r>
      <w:r>
        <w:rPr/>
        <w:t>will</w:t>
      </w:r>
      <w:r>
        <w:rPr>
          <w:spacing w:val="-7"/>
        </w:rPr>
        <w:t> </w:t>
      </w:r>
      <w:r>
        <w:rPr/>
        <w:t>be</w:t>
      </w:r>
      <w:r>
        <w:rPr>
          <w:spacing w:val="-7"/>
        </w:rPr>
        <w:t> </w:t>
      </w:r>
      <w:r>
        <w:rPr/>
        <w:t>available</w:t>
      </w:r>
      <w:r>
        <w:rPr>
          <w:spacing w:val="-7"/>
        </w:rPr>
        <w:t> </w:t>
      </w:r>
      <w:r>
        <w:rPr/>
        <w:t>in</w:t>
      </w:r>
      <w:r>
        <w:rPr>
          <w:spacing w:val="-7"/>
        </w:rPr>
        <w:t> </w:t>
      </w:r>
      <w:r>
        <w:rPr/>
        <w:t>the</w:t>
      </w:r>
      <w:r>
        <w:rPr>
          <w:spacing w:val="-7"/>
        </w:rPr>
        <w:t> </w:t>
      </w:r>
      <w:r>
        <w:rPr/>
        <w:t>health</w:t>
      </w:r>
      <w:r>
        <w:rPr>
          <w:spacing w:val="-7"/>
        </w:rPr>
        <w:t> </w:t>
      </w:r>
      <w:r>
        <w:rPr/>
        <w:t>data</w:t>
      </w:r>
      <w:r>
        <w:rPr>
          <w:spacing w:val="-7"/>
        </w:rPr>
        <w:t> </w:t>
      </w:r>
      <w:r>
        <w:rPr/>
        <w:t>vault</w:t>
      </w:r>
      <w:r>
        <w:rPr>
          <w:spacing w:val="-7"/>
        </w:rPr>
        <w:t> </w:t>
      </w:r>
      <w:r>
        <w:rPr/>
        <w:t>to</w:t>
      </w:r>
      <w:r>
        <w:rPr>
          <w:spacing w:val="-7"/>
        </w:rPr>
        <w:t> </w:t>
      </w:r>
      <w:r>
        <w:rPr/>
        <w:t>authorised users when they need it and where they need it.</w:t>
      </w:r>
    </w:p>
    <w:p>
      <w:pPr>
        <w:pStyle w:val="BodyText"/>
        <w:spacing w:before="22"/>
      </w:pPr>
    </w:p>
    <w:p>
      <w:pPr>
        <w:pStyle w:val="BodyText"/>
        <w:spacing w:line="266" w:lineRule="auto"/>
        <w:ind w:left="1079"/>
        <w:jc w:val="both"/>
      </w:pPr>
      <w:r>
        <w:rPr/>
        <w:t>The proposed Knowledge Network with </w:t>
      </w:r>
      <w:r>
        <w:rPr/>
        <w:t>gigabit capabilities may provide the backbone and network infrastructure on which the Health Information Network may ride. The network will be a ‘hub and </w:t>
      </w:r>
      <w:r>
        <w:rPr>
          <w:spacing w:val="-6"/>
        </w:rPr>
        <w:t>spoke model’. All health care establishments in a district </w:t>
      </w:r>
      <w:r>
        <w:rPr/>
        <w:t>will connect to a central data repository at the</w:t>
      </w:r>
      <w:r>
        <w:rPr>
          <w:spacing w:val="1"/>
        </w:rPr>
        <w:t> </w:t>
      </w:r>
      <w:r>
        <w:rPr>
          <w:spacing w:val="-2"/>
        </w:rPr>
        <w:t>district</w:t>
      </w:r>
    </w:p>
    <w:p>
      <w:pPr>
        <w:pStyle w:val="BodyText"/>
        <w:spacing w:line="266" w:lineRule="auto" w:before="82"/>
        <w:ind w:left="319" w:right="1077"/>
        <w:jc w:val="both"/>
      </w:pPr>
      <w:r>
        <w:rPr/>
        <w:br w:type="column"/>
      </w:r>
      <w:r>
        <w:rPr>
          <w:spacing w:val="-6"/>
        </w:rPr>
        <w:t>level. All the district nodal data repositories will connect </w:t>
      </w:r>
      <w:r>
        <w:rPr/>
        <w:t>with</w:t>
      </w:r>
      <w:r>
        <w:rPr>
          <w:spacing w:val="-14"/>
        </w:rPr>
        <w:t> </w:t>
      </w:r>
      <w:r>
        <w:rPr/>
        <w:t>a</w:t>
      </w:r>
      <w:r>
        <w:rPr>
          <w:spacing w:val="-14"/>
        </w:rPr>
        <w:t> </w:t>
      </w:r>
      <w:r>
        <w:rPr/>
        <w:t>state</w:t>
      </w:r>
      <w:r>
        <w:rPr>
          <w:spacing w:val="-14"/>
        </w:rPr>
        <w:t> </w:t>
      </w:r>
      <w:r>
        <w:rPr/>
        <w:t>level</w:t>
      </w:r>
      <w:r>
        <w:rPr>
          <w:spacing w:val="-13"/>
        </w:rPr>
        <w:t> </w:t>
      </w:r>
      <w:r>
        <w:rPr/>
        <w:t>data</w:t>
      </w:r>
      <w:r>
        <w:rPr>
          <w:spacing w:val="-14"/>
        </w:rPr>
        <w:t> </w:t>
      </w:r>
      <w:r>
        <w:rPr/>
        <w:t>bank,</w:t>
      </w:r>
      <w:r>
        <w:rPr>
          <w:spacing w:val="-14"/>
        </w:rPr>
        <w:t> </w:t>
      </w:r>
      <w:r>
        <w:rPr/>
        <w:t>which</w:t>
      </w:r>
      <w:r>
        <w:rPr>
          <w:spacing w:val="-14"/>
        </w:rPr>
        <w:t> </w:t>
      </w:r>
      <w:r>
        <w:rPr/>
        <w:t>in</w:t>
      </w:r>
      <w:r>
        <w:rPr>
          <w:spacing w:val="-13"/>
        </w:rPr>
        <w:t> </w:t>
      </w:r>
      <w:r>
        <w:rPr/>
        <w:t>turn</w:t>
      </w:r>
      <w:r>
        <w:rPr>
          <w:spacing w:val="-14"/>
        </w:rPr>
        <w:t> </w:t>
      </w:r>
      <w:r>
        <w:rPr/>
        <w:t>will</w:t>
      </w:r>
      <w:r>
        <w:rPr>
          <w:spacing w:val="-14"/>
        </w:rPr>
        <w:t> </w:t>
      </w:r>
      <w:r>
        <w:rPr/>
        <w:t>connect with a central data bank.</w:t>
      </w:r>
    </w:p>
    <w:p>
      <w:pPr>
        <w:pStyle w:val="BodyText"/>
        <w:spacing w:before="25"/>
      </w:pPr>
    </w:p>
    <w:p>
      <w:pPr>
        <w:pStyle w:val="BodyText"/>
        <w:spacing w:line="266" w:lineRule="auto"/>
        <w:ind w:left="319" w:right="1077"/>
        <w:jc w:val="both"/>
      </w:pPr>
      <w:r>
        <w:rPr>
          <w:spacing w:val="-6"/>
        </w:rPr>
        <w:t>There</w:t>
      </w:r>
      <w:r>
        <w:rPr>
          <w:spacing w:val="-10"/>
        </w:rPr>
        <w:t> </w:t>
      </w:r>
      <w:r>
        <w:rPr>
          <w:spacing w:val="-6"/>
        </w:rPr>
        <w:t>should</w:t>
      </w:r>
      <w:r>
        <w:rPr>
          <w:spacing w:val="-8"/>
        </w:rPr>
        <w:t> </w:t>
      </w:r>
      <w:r>
        <w:rPr>
          <w:spacing w:val="-6"/>
        </w:rPr>
        <w:t>be</w:t>
      </w:r>
      <w:r>
        <w:rPr>
          <w:spacing w:val="-8"/>
        </w:rPr>
        <w:t> </w:t>
      </w:r>
      <w:r>
        <w:rPr>
          <w:spacing w:val="-6"/>
        </w:rPr>
        <w:t>active</w:t>
      </w:r>
      <w:r>
        <w:rPr>
          <w:spacing w:val="-7"/>
        </w:rPr>
        <w:t> </w:t>
      </w:r>
      <w:r>
        <w:rPr>
          <w:spacing w:val="-6"/>
        </w:rPr>
        <w:t>involvement</w:t>
      </w:r>
      <w:r>
        <w:rPr>
          <w:spacing w:val="-8"/>
        </w:rPr>
        <w:t> </w:t>
      </w:r>
      <w:r>
        <w:rPr>
          <w:spacing w:val="-6"/>
        </w:rPr>
        <w:t>of</w:t>
      </w:r>
      <w:r>
        <w:rPr>
          <w:spacing w:val="-8"/>
        </w:rPr>
        <w:t> </w:t>
      </w:r>
      <w:r>
        <w:rPr>
          <w:spacing w:val="-6"/>
        </w:rPr>
        <w:t>private</w:t>
      </w:r>
      <w:r>
        <w:rPr>
          <w:spacing w:val="-8"/>
        </w:rPr>
        <w:t> </w:t>
      </w:r>
      <w:r>
        <w:rPr>
          <w:spacing w:val="-6"/>
        </w:rPr>
        <w:t>and</w:t>
      </w:r>
      <w:r>
        <w:rPr>
          <w:spacing w:val="-7"/>
        </w:rPr>
        <w:t> </w:t>
      </w:r>
      <w:r>
        <w:rPr>
          <w:spacing w:val="-6"/>
        </w:rPr>
        <w:t>public </w:t>
      </w:r>
      <w:r>
        <w:rPr>
          <w:spacing w:val="-2"/>
        </w:rPr>
        <w:t>health</w:t>
      </w:r>
      <w:r>
        <w:rPr>
          <w:spacing w:val="-12"/>
        </w:rPr>
        <w:t> </w:t>
      </w:r>
      <w:r>
        <w:rPr>
          <w:spacing w:val="-2"/>
        </w:rPr>
        <w:t>entities</w:t>
      </w:r>
      <w:r>
        <w:rPr>
          <w:spacing w:val="-12"/>
        </w:rPr>
        <w:t> </w:t>
      </w:r>
      <w:r>
        <w:rPr>
          <w:spacing w:val="-2"/>
        </w:rPr>
        <w:t>to</w:t>
      </w:r>
      <w:r>
        <w:rPr>
          <w:spacing w:val="-12"/>
        </w:rPr>
        <w:t> </w:t>
      </w:r>
      <w:r>
        <w:rPr>
          <w:spacing w:val="-2"/>
        </w:rPr>
        <w:t>effectively</w:t>
      </w:r>
      <w:r>
        <w:rPr>
          <w:spacing w:val="-11"/>
        </w:rPr>
        <w:t> </w:t>
      </w:r>
      <w:r>
        <w:rPr>
          <w:spacing w:val="-2"/>
        </w:rPr>
        <w:t>address</w:t>
      </w:r>
      <w:r>
        <w:rPr>
          <w:spacing w:val="-12"/>
        </w:rPr>
        <w:t> </w:t>
      </w:r>
      <w:r>
        <w:rPr>
          <w:spacing w:val="-2"/>
        </w:rPr>
        <w:t>the</w:t>
      </w:r>
      <w:r>
        <w:rPr>
          <w:spacing w:val="-12"/>
        </w:rPr>
        <w:t> </w:t>
      </w:r>
      <w:r>
        <w:rPr>
          <w:spacing w:val="-2"/>
        </w:rPr>
        <w:t>creation</w:t>
      </w:r>
      <w:r>
        <w:rPr>
          <w:spacing w:val="-12"/>
        </w:rPr>
        <w:t> </w:t>
      </w:r>
      <w:r>
        <w:rPr>
          <w:spacing w:val="-2"/>
        </w:rPr>
        <w:t>of</w:t>
      </w:r>
      <w:r>
        <w:rPr>
          <w:spacing w:val="-11"/>
        </w:rPr>
        <w:t> </w:t>
      </w:r>
      <w:r>
        <w:rPr>
          <w:spacing w:val="-2"/>
        </w:rPr>
        <w:t>this </w:t>
      </w:r>
      <w:r>
        <w:rPr/>
        <w:t>network,</w:t>
      </w:r>
      <w:r>
        <w:rPr>
          <w:spacing w:val="-14"/>
        </w:rPr>
        <w:t> </w:t>
      </w:r>
      <w:r>
        <w:rPr/>
        <w:t>portals,</w:t>
      </w:r>
      <w:r>
        <w:rPr>
          <w:spacing w:val="-14"/>
        </w:rPr>
        <w:t> </w:t>
      </w:r>
      <w:r>
        <w:rPr/>
        <w:t>electronic</w:t>
      </w:r>
      <w:r>
        <w:rPr>
          <w:spacing w:val="-14"/>
        </w:rPr>
        <w:t> </w:t>
      </w:r>
      <w:r>
        <w:rPr/>
        <w:t>health</w:t>
      </w:r>
      <w:r>
        <w:rPr>
          <w:spacing w:val="-13"/>
        </w:rPr>
        <w:t> </w:t>
      </w:r>
      <w:r>
        <w:rPr/>
        <w:t>records,</w:t>
      </w:r>
      <w:r>
        <w:rPr>
          <w:spacing w:val="-14"/>
        </w:rPr>
        <w:t> </w:t>
      </w:r>
      <w:r>
        <w:rPr/>
        <w:t>health</w:t>
      </w:r>
      <w:r>
        <w:rPr>
          <w:spacing w:val="-14"/>
        </w:rPr>
        <w:t> </w:t>
      </w:r>
      <w:r>
        <w:rPr/>
        <w:t>data </w:t>
      </w:r>
      <w:r>
        <w:rPr>
          <w:spacing w:val="-6"/>
        </w:rPr>
        <w:t>vault, security, privacy and other related issues in future, </w:t>
      </w:r>
      <w:r>
        <w:rPr>
          <w:spacing w:val="-4"/>
        </w:rPr>
        <w:t>which</w:t>
      </w:r>
      <w:r>
        <w:rPr>
          <w:spacing w:val="-9"/>
        </w:rPr>
        <w:t> </w:t>
      </w:r>
      <w:r>
        <w:rPr>
          <w:spacing w:val="-4"/>
        </w:rPr>
        <w:t>will</w:t>
      </w:r>
      <w:r>
        <w:rPr>
          <w:spacing w:val="-9"/>
        </w:rPr>
        <w:t> </w:t>
      </w:r>
      <w:r>
        <w:rPr>
          <w:spacing w:val="-4"/>
        </w:rPr>
        <w:t>encourage</w:t>
      </w:r>
      <w:r>
        <w:rPr>
          <w:spacing w:val="-9"/>
        </w:rPr>
        <w:t> </w:t>
      </w:r>
      <w:r>
        <w:rPr>
          <w:spacing w:val="-4"/>
        </w:rPr>
        <w:t>the</w:t>
      </w:r>
      <w:r>
        <w:rPr>
          <w:spacing w:val="-9"/>
        </w:rPr>
        <w:t> </w:t>
      </w:r>
      <w:r>
        <w:rPr>
          <w:spacing w:val="-4"/>
        </w:rPr>
        <w:t>participation</w:t>
      </w:r>
      <w:r>
        <w:rPr>
          <w:spacing w:val="-9"/>
        </w:rPr>
        <w:t> </w:t>
      </w:r>
      <w:r>
        <w:rPr>
          <w:spacing w:val="-4"/>
        </w:rPr>
        <w:t>of</w:t>
      </w:r>
      <w:r>
        <w:rPr>
          <w:spacing w:val="-9"/>
        </w:rPr>
        <w:t> </w:t>
      </w:r>
      <w:r>
        <w:rPr>
          <w:spacing w:val="-4"/>
        </w:rPr>
        <w:t>the</w:t>
      </w:r>
      <w:r>
        <w:rPr>
          <w:spacing w:val="-9"/>
        </w:rPr>
        <w:t> </w:t>
      </w:r>
      <w:r>
        <w:rPr>
          <w:spacing w:val="-4"/>
        </w:rPr>
        <w:t>following:</w:t>
      </w:r>
    </w:p>
    <w:p>
      <w:pPr>
        <w:pStyle w:val="ListParagraph"/>
        <w:numPr>
          <w:ilvl w:val="1"/>
          <w:numId w:val="10"/>
        </w:numPr>
        <w:tabs>
          <w:tab w:pos="679" w:val="left" w:leader="none"/>
        </w:tabs>
        <w:spacing w:line="249" w:lineRule="exact" w:before="0" w:after="0"/>
        <w:ind w:left="679" w:right="0" w:hanging="360"/>
        <w:jc w:val="left"/>
        <w:rPr>
          <w:sz w:val="22"/>
        </w:rPr>
      </w:pPr>
      <w:r>
        <w:rPr>
          <w:spacing w:val="-2"/>
          <w:sz w:val="22"/>
        </w:rPr>
        <w:t>Citizens</w:t>
      </w:r>
    </w:p>
    <w:p>
      <w:pPr>
        <w:pStyle w:val="ListParagraph"/>
        <w:numPr>
          <w:ilvl w:val="1"/>
          <w:numId w:val="10"/>
        </w:numPr>
        <w:tabs>
          <w:tab w:pos="679" w:val="left" w:leader="none"/>
        </w:tabs>
        <w:spacing w:line="240" w:lineRule="auto" w:before="27" w:after="0"/>
        <w:ind w:left="679" w:right="0" w:hanging="360"/>
        <w:jc w:val="left"/>
        <w:rPr>
          <w:sz w:val="22"/>
        </w:rPr>
      </w:pPr>
      <w:r>
        <w:rPr>
          <w:spacing w:val="-4"/>
          <w:sz w:val="22"/>
        </w:rPr>
        <w:t>Health</w:t>
      </w:r>
      <w:r>
        <w:rPr>
          <w:spacing w:val="-1"/>
          <w:sz w:val="22"/>
        </w:rPr>
        <w:t> </w:t>
      </w:r>
      <w:r>
        <w:rPr>
          <w:spacing w:val="-4"/>
          <w:sz w:val="22"/>
        </w:rPr>
        <w:t>care</w:t>
      </w:r>
      <w:r>
        <w:rPr>
          <w:spacing w:val="-1"/>
          <w:sz w:val="22"/>
        </w:rPr>
        <w:t> </w:t>
      </w:r>
      <w:r>
        <w:rPr>
          <w:spacing w:val="-4"/>
          <w:sz w:val="22"/>
        </w:rPr>
        <w:t>providers</w:t>
      </w:r>
      <w:r>
        <w:rPr>
          <w:spacing w:val="-1"/>
          <w:sz w:val="22"/>
        </w:rPr>
        <w:t> </w:t>
      </w:r>
      <w:r>
        <w:rPr>
          <w:spacing w:val="-4"/>
          <w:sz w:val="22"/>
        </w:rPr>
        <w:t>and</w:t>
      </w:r>
      <w:r>
        <w:rPr>
          <w:spacing w:val="-1"/>
          <w:sz w:val="22"/>
        </w:rPr>
        <w:t> </w:t>
      </w:r>
      <w:r>
        <w:rPr>
          <w:spacing w:val="-4"/>
          <w:sz w:val="22"/>
        </w:rPr>
        <w:t>players</w:t>
      </w:r>
    </w:p>
    <w:p>
      <w:pPr>
        <w:pStyle w:val="ListParagraph"/>
        <w:numPr>
          <w:ilvl w:val="1"/>
          <w:numId w:val="10"/>
        </w:numPr>
        <w:tabs>
          <w:tab w:pos="679" w:val="left" w:leader="none"/>
        </w:tabs>
        <w:spacing w:line="240" w:lineRule="auto" w:before="27" w:after="0"/>
        <w:ind w:left="679" w:right="0" w:hanging="360"/>
        <w:jc w:val="left"/>
        <w:rPr>
          <w:sz w:val="22"/>
        </w:rPr>
      </w:pPr>
      <w:r>
        <w:rPr>
          <w:spacing w:val="-2"/>
          <w:sz w:val="22"/>
        </w:rPr>
        <w:t>Education,</w:t>
      </w:r>
      <w:r>
        <w:rPr>
          <w:spacing w:val="-11"/>
          <w:sz w:val="22"/>
        </w:rPr>
        <w:t> </w:t>
      </w:r>
      <w:r>
        <w:rPr>
          <w:spacing w:val="-2"/>
          <w:sz w:val="22"/>
        </w:rPr>
        <w:t>research</w:t>
      </w:r>
      <w:r>
        <w:rPr>
          <w:spacing w:val="-10"/>
          <w:sz w:val="22"/>
        </w:rPr>
        <w:t> </w:t>
      </w:r>
      <w:r>
        <w:rPr>
          <w:spacing w:val="-2"/>
          <w:sz w:val="22"/>
        </w:rPr>
        <w:t>institutions</w:t>
      </w:r>
      <w:r>
        <w:rPr>
          <w:spacing w:val="-10"/>
          <w:sz w:val="22"/>
        </w:rPr>
        <w:t> </w:t>
      </w:r>
      <w:r>
        <w:rPr>
          <w:spacing w:val="-2"/>
          <w:sz w:val="22"/>
        </w:rPr>
        <w:t>and</w:t>
      </w:r>
      <w:r>
        <w:rPr>
          <w:spacing w:val="-10"/>
          <w:sz w:val="22"/>
        </w:rPr>
        <w:t> </w:t>
      </w:r>
      <w:r>
        <w:rPr>
          <w:spacing w:val="-2"/>
          <w:sz w:val="22"/>
        </w:rPr>
        <w:t>investigators</w:t>
      </w:r>
    </w:p>
    <w:p>
      <w:pPr>
        <w:pStyle w:val="ListParagraph"/>
        <w:numPr>
          <w:ilvl w:val="1"/>
          <w:numId w:val="10"/>
        </w:numPr>
        <w:tabs>
          <w:tab w:pos="679" w:val="left" w:leader="none"/>
        </w:tabs>
        <w:spacing w:line="240" w:lineRule="auto" w:before="27" w:after="0"/>
        <w:ind w:left="679" w:right="0" w:hanging="360"/>
        <w:jc w:val="left"/>
        <w:rPr>
          <w:sz w:val="22"/>
        </w:rPr>
      </w:pPr>
      <w:r>
        <w:rPr>
          <w:spacing w:val="-2"/>
          <w:sz w:val="22"/>
        </w:rPr>
        <w:t>Government</w:t>
      </w:r>
      <w:r>
        <w:rPr>
          <w:spacing w:val="-3"/>
          <w:sz w:val="22"/>
        </w:rPr>
        <w:t> </w:t>
      </w:r>
      <w:r>
        <w:rPr>
          <w:spacing w:val="-2"/>
          <w:sz w:val="22"/>
        </w:rPr>
        <w:t>departments</w:t>
      </w:r>
      <w:r>
        <w:rPr>
          <w:spacing w:val="-3"/>
          <w:sz w:val="22"/>
        </w:rPr>
        <w:t> </w:t>
      </w:r>
      <w:r>
        <w:rPr>
          <w:spacing w:val="-2"/>
          <w:sz w:val="22"/>
        </w:rPr>
        <w:t>and</w:t>
      </w:r>
      <w:r>
        <w:rPr>
          <w:spacing w:val="-3"/>
          <w:sz w:val="22"/>
        </w:rPr>
        <w:t> </w:t>
      </w:r>
      <w:r>
        <w:rPr>
          <w:spacing w:val="-2"/>
          <w:sz w:val="22"/>
        </w:rPr>
        <w:t>institutions</w:t>
      </w:r>
    </w:p>
    <w:p>
      <w:pPr>
        <w:pStyle w:val="ListParagraph"/>
        <w:numPr>
          <w:ilvl w:val="1"/>
          <w:numId w:val="10"/>
        </w:numPr>
        <w:tabs>
          <w:tab w:pos="679" w:val="left" w:leader="none"/>
        </w:tabs>
        <w:spacing w:line="240" w:lineRule="auto" w:before="27" w:after="0"/>
        <w:ind w:left="679" w:right="0" w:hanging="360"/>
        <w:jc w:val="left"/>
        <w:rPr>
          <w:sz w:val="22"/>
        </w:rPr>
      </w:pPr>
      <w:r>
        <w:rPr>
          <w:spacing w:val="-4"/>
          <w:sz w:val="22"/>
        </w:rPr>
        <w:t>Public</w:t>
      </w:r>
      <w:r>
        <w:rPr>
          <w:spacing w:val="-7"/>
          <w:sz w:val="22"/>
        </w:rPr>
        <w:t> </w:t>
      </w:r>
      <w:r>
        <w:rPr>
          <w:spacing w:val="-4"/>
          <w:sz w:val="22"/>
        </w:rPr>
        <w:t>health</w:t>
      </w:r>
      <w:r>
        <w:rPr>
          <w:spacing w:val="-7"/>
          <w:sz w:val="22"/>
        </w:rPr>
        <w:t> </w:t>
      </w:r>
      <w:r>
        <w:rPr>
          <w:spacing w:val="-4"/>
          <w:sz w:val="22"/>
        </w:rPr>
        <w:t>agencies</w:t>
      </w:r>
      <w:r>
        <w:rPr>
          <w:spacing w:val="-7"/>
          <w:sz w:val="22"/>
        </w:rPr>
        <w:t> </w:t>
      </w:r>
      <w:r>
        <w:rPr>
          <w:spacing w:val="-4"/>
          <w:sz w:val="22"/>
        </w:rPr>
        <w:t>and</w:t>
      </w:r>
      <w:r>
        <w:rPr>
          <w:spacing w:val="-6"/>
          <w:sz w:val="22"/>
        </w:rPr>
        <w:t> </w:t>
      </w:r>
      <w:r>
        <w:rPr>
          <w:spacing w:val="-4"/>
          <w:sz w:val="22"/>
        </w:rPr>
        <w:t>NGOs</w:t>
      </w:r>
    </w:p>
    <w:p>
      <w:pPr>
        <w:pStyle w:val="ListParagraph"/>
        <w:numPr>
          <w:ilvl w:val="1"/>
          <w:numId w:val="10"/>
        </w:numPr>
        <w:tabs>
          <w:tab w:pos="679" w:val="left" w:leader="none"/>
          <w:tab w:pos="2184" w:val="left" w:leader="none"/>
          <w:tab w:pos="3098" w:val="left" w:leader="none"/>
          <w:tab w:pos="3620" w:val="left" w:leader="none"/>
          <w:tab w:pos="4485" w:val="left" w:leader="none"/>
        </w:tabs>
        <w:spacing w:line="266" w:lineRule="auto" w:before="27" w:after="0"/>
        <w:ind w:left="679" w:right="1078" w:hanging="360"/>
        <w:jc w:val="left"/>
        <w:rPr>
          <w:sz w:val="22"/>
        </w:rPr>
      </w:pPr>
      <w:r>
        <w:rPr>
          <w:spacing w:val="-2"/>
          <w:sz w:val="22"/>
        </w:rPr>
        <w:t>Pharmaceutical</w:t>
      </w:r>
      <w:r>
        <w:rPr>
          <w:sz w:val="22"/>
        </w:rPr>
        <w:tab/>
      </w:r>
      <w:r>
        <w:rPr>
          <w:spacing w:val="-2"/>
          <w:sz w:val="22"/>
        </w:rPr>
        <w:t>industry</w:t>
      </w:r>
      <w:r>
        <w:rPr>
          <w:sz w:val="22"/>
        </w:rPr>
        <w:tab/>
      </w:r>
      <w:r>
        <w:rPr>
          <w:spacing w:val="-4"/>
          <w:sz w:val="22"/>
        </w:rPr>
        <w:t>and</w:t>
      </w:r>
      <w:r>
        <w:rPr>
          <w:sz w:val="22"/>
        </w:rPr>
        <w:tab/>
      </w:r>
      <w:r>
        <w:rPr>
          <w:spacing w:val="-2"/>
          <w:sz w:val="22"/>
        </w:rPr>
        <w:t>medical</w:t>
      </w:r>
      <w:r>
        <w:rPr>
          <w:sz w:val="22"/>
        </w:rPr>
        <w:tab/>
      </w:r>
      <w:r>
        <w:rPr>
          <w:spacing w:val="-10"/>
          <w:sz w:val="22"/>
        </w:rPr>
        <w:t>device </w:t>
      </w:r>
      <w:r>
        <w:rPr>
          <w:spacing w:val="-2"/>
          <w:sz w:val="22"/>
        </w:rPr>
        <w:t>makers</w:t>
      </w:r>
    </w:p>
    <w:p>
      <w:pPr>
        <w:pStyle w:val="ListParagraph"/>
        <w:numPr>
          <w:ilvl w:val="1"/>
          <w:numId w:val="10"/>
        </w:numPr>
        <w:tabs>
          <w:tab w:pos="679" w:val="left" w:leader="none"/>
        </w:tabs>
        <w:spacing w:line="251" w:lineRule="exact" w:before="0" w:after="0"/>
        <w:ind w:left="679" w:right="0" w:hanging="360"/>
        <w:jc w:val="left"/>
        <w:rPr>
          <w:sz w:val="22"/>
        </w:rPr>
      </w:pPr>
      <w:r>
        <w:rPr>
          <w:spacing w:val="-7"/>
          <w:sz w:val="22"/>
        </w:rPr>
        <w:t>Telemedicine</w:t>
      </w:r>
      <w:r>
        <w:rPr>
          <w:spacing w:val="3"/>
          <w:sz w:val="22"/>
        </w:rPr>
        <w:t> </w:t>
      </w:r>
      <w:r>
        <w:rPr>
          <w:spacing w:val="-2"/>
          <w:sz w:val="22"/>
        </w:rPr>
        <w:t>institutions</w:t>
      </w:r>
    </w:p>
    <w:p>
      <w:pPr>
        <w:pStyle w:val="ListParagraph"/>
        <w:numPr>
          <w:ilvl w:val="1"/>
          <w:numId w:val="10"/>
        </w:numPr>
        <w:tabs>
          <w:tab w:pos="679" w:val="left" w:leader="none"/>
        </w:tabs>
        <w:spacing w:line="240" w:lineRule="auto" w:before="27" w:after="0"/>
        <w:ind w:left="679" w:right="0" w:hanging="360"/>
        <w:jc w:val="left"/>
        <w:rPr>
          <w:sz w:val="22"/>
        </w:rPr>
      </w:pPr>
      <w:r>
        <w:rPr>
          <w:spacing w:val="-6"/>
          <w:sz w:val="22"/>
        </w:rPr>
        <w:t>Software</w:t>
      </w:r>
      <w:r>
        <w:rPr>
          <w:spacing w:val="-2"/>
          <w:sz w:val="22"/>
        </w:rPr>
        <w:t> </w:t>
      </w:r>
      <w:r>
        <w:rPr>
          <w:spacing w:val="-6"/>
          <w:sz w:val="22"/>
        </w:rPr>
        <w:t>and</w:t>
      </w:r>
      <w:r>
        <w:rPr>
          <w:spacing w:val="-1"/>
          <w:sz w:val="22"/>
        </w:rPr>
        <w:t> </w:t>
      </w:r>
      <w:r>
        <w:rPr>
          <w:spacing w:val="-6"/>
          <w:sz w:val="22"/>
        </w:rPr>
        <w:t>hardware</w:t>
      </w:r>
      <w:r>
        <w:rPr>
          <w:spacing w:val="-2"/>
          <w:sz w:val="22"/>
        </w:rPr>
        <w:t> </w:t>
      </w:r>
      <w:r>
        <w:rPr>
          <w:spacing w:val="-6"/>
          <w:sz w:val="22"/>
        </w:rPr>
        <w:t>developers</w:t>
      </w:r>
    </w:p>
    <w:p>
      <w:pPr>
        <w:pStyle w:val="BodyText"/>
        <w:spacing w:before="54"/>
      </w:pPr>
    </w:p>
    <w:p>
      <w:pPr>
        <w:pStyle w:val="BodyText"/>
        <w:spacing w:line="266" w:lineRule="auto"/>
        <w:ind w:left="319" w:right="1077"/>
        <w:jc w:val="both"/>
      </w:pPr>
      <w:r>
        <w:rPr/>
        <w:t>The ready availability of information will accrue enormous</w:t>
      </w:r>
      <w:r>
        <w:rPr>
          <w:spacing w:val="-3"/>
        </w:rPr>
        <w:t> </w:t>
      </w:r>
      <w:r>
        <w:rPr/>
        <w:t>benefits</w:t>
      </w:r>
      <w:r>
        <w:rPr>
          <w:spacing w:val="-3"/>
        </w:rPr>
        <w:t> </w:t>
      </w:r>
      <w:r>
        <w:rPr/>
        <w:t>to</w:t>
      </w:r>
      <w:r>
        <w:rPr>
          <w:spacing w:val="-3"/>
        </w:rPr>
        <w:t> </w:t>
      </w:r>
      <w:r>
        <w:rPr/>
        <w:t>public</w:t>
      </w:r>
      <w:r>
        <w:rPr>
          <w:spacing w:val="-3"/>
        </w:rPr>
        <w:t> </w:t>
      </w:r>
      <w:r>
        <w:rPr/>
        <w:t>health</w:t>
      </w:r>
      <w:r>
        <w:rPr>
          <w:spacing w:val="-3"/>
        </w:rPr>
        <w:t> </w:t>
      </w:r>
      <w:r>
        <w:rPr/>
        <w:t>planning,</w:t>
      </w:r>
      <w:r>
        <w:rPr>
          <w:spacing w:val="-3"/>
        </w:rPr>
        <w:t> </w:t>
      </w:r>
      <w:r>
        <w:rPr/>
        <w:t>medical education, cost control, medical research, drug </w:t>
      </w:r>
      <w:r>
        <w:rPr>
          <w:spacing w:val="-4"/>
        </w:rPr>
        <w:t>development,</w:t>
      </w:r>
      <w:r>
        <w:rPr>
          <w:spacing w:val="-10"/>
        </w:rPr>
        <w:t> </w:t>
      </w:r>
      <w:r>
        <w:rPr>
          <w:spacing w:val="-4"/>
        </w:rPr>
        <w:t>prevention</w:t>
      </w:r>
      <w:r>
        <w:rPr>
          <w:spacing w:val="-10"/>
        </w:rPr>
        <w:t> </w:t>
      </w:r>
      <w:r>
        <w:rPr>
          <w:spacing w:val="-4"/>
        </w:rPr>
        <w:t>of</w:t>
      </w:r>
      <w:r>
        <w:rPr>
          <w:spacing w:val="-10"/>
        </w:rPr>
        <w:t> </w:t>
      </w:r>
      <w:r>
        <w:rPr>
          <w:spacing w:val="-4"/>
        </w:rPr>
        <w:t>fraud,</w:t>
      </w:r>
      <w:r>
        <w:rPr>
          <w:spacing w:val="-9"/>
        </w:rPr>
        <w:t> </w:t>
      </w:r>
      <w:r>
        <w:rPr>
          <w:spacing w:val="-4"/>
        </w:rPr>
        <w:t>disaster</w:t>
      </w:r>
      <w:r>
        <w:rPr>
          <w:spacing w:val="-10"/>
        </w:rPr>
        <w:t> </w:t>
      </w:r>
      <w:r>
        <w:rPr>
          <w:spacing w:val="-4"/>
        </w:rPr>
        <w:t>management </w:t>
      </w:r>
      <w:r>
        <w:rPr/>
        <w:t>and improved patient care.</w:t>
      </w:r>
    </w:p>
    <w:p>
      <w:pPr>
        <w:pStyle w:val="BodyText"/>
        <w:spacing w:before="1"/>
      </w:pPr>
    </w:p>
    <w:p>
      <w:pPr>
        <w:pStyle w:val="Heading6"/>
        <w:numPr>
          <w:ilvl w:val="0"/>
          <w:numId w:val="11"/>
        </w:numPr>
        <w:tabs>
          <w:tab w:pos="643" w:val="left" w:leader="none"/>
          <w:tab w:pos="645" w:val="left" w:leader="none"/>
        </w:tabs>
        <w:spacing w:line="182" w:lineRule="auto" w:before="0" w:after="0"/>
        <w:ind w:left="645" w:right="1223" w:hanging="327"/>
        <w:jc w:val="left"/>
      </w:pPr>
      <w:r>
        <w:rPr>
          <w:color w:val="2E614A"/>
          <w:spacing w:val="-10"/>
        </w:rPr>
        <w:t>Establish</w:t>
      </w:r>
      <w:r>
        <w:rPr>
          <w:color w:val="2E614A"/>
          <w:spacing w:val="-4"/>
        </w:rPr>
        <w:t> </w:t>
      </w:r>
      <w:r>
        <w:rPr>
          <w:color w:val="2E614A"/>
          <w:spacing w:val="-10"/>
        </w:rPr>
        <w:t>National</w:t>
      </w:r>
      <w:r>
        <w:rPr>
          <w:color w:val="2E614A"/>
          <w:spacing w:val="-4"/>
        </w:rPr>
        <w:t> </w:t>
      </w:r>
      <w:r>
        <w:rPr>
          <w:color w:val="2E614A"/>
          <w:spacing w:val="-10"/>
        </w:rPr>
        <w:t>Standards for Clinical Terminology and </w:t>
      </w:r>
      <w:r>
        <w:rPr>
          <w:color w:val="2E614A"/>
          <w:spacing w:val="-10"/>
        </w:rPr>
        <w:t>Health </w:t>
      </w:r>
      <w:r>
        <w:rPr>
          <w:color w:val="2E614A"/>
          <w:spacing w:val="-2"/>
        </w:rPr>
        <w:t>Informatics</w:t>
      </w:r>
    </w:p>
    <w:p>
      <w:pPr>
        <w:pStyle w:val="BodyText"/>
        <w:spacing w:line="266" w:lineRule="auto" w:before="303"/>
        <w:ind w:left="319" w:right="1077"/>
        <w:jc w:val="both"/>
      </w:pPr>
      <w:r>
        <w:rPr/>
        <w:t>For a web based interoperable national grid it </w:t>
      </w:r>
      <w:r>
        <w:rPr/>
        <w:t>is imperative</w:t>
      </w:r>
      <w:r>
        <w:rPr>
          <w:spacing w:val="-9"/>
        </w:rPr>
        <w:t> </w:t>
      </w:r>
      <w:r>
        <w:rPr/>
        <w:t>to</w:t>
      </w:r>
      <w:r>
        <w:rPr>
          <w:spacing w:val="-9"/>
        </w:rPr>
        <w:t> </w:t>
      </w:r>
      <w:r>
        <w:rPr/>
        <w:t>have</w:t>
      </w:r>
      <w:r>
        <w:rPr>
          <w:spacing w:val="-9"/>
        </w:rPr>
        <w:t> </w:t>
      </w:r>
      <w:r>
        <w:rPr/>
        <w:t>common</w:t>
      </w:r>
      <w:r>
        <w:rPr>
          <w:spacing w:val="-9"/>
        </w:rPr>
        <w:t> </w:t>
      </w:r>
      <w:r>
        <w:rPr/>
        <w:t>clinical</w:t>
      </w:r>
      <w:r>
        <w:rPr>
          <w:spacing w:val="-9"/>
        </w:rPr>
        <w:t> </w:t>
      </w:r>
      <w:r>
        <w:rPr/>
        <w:t>nomenclature,</w:t>
      </w:r>
      <w:r>
        <w:rPr>
          <w:spacing w:val="-9"/>
        </w:rPr>
        <w:t> </w:t>
      </w:r>
      <w:r>
        <w:rPr/>
        <w:t>or </w:t>
      </w:r>
      <w:r>
        <w:rPr>
          <w:spacing w:val="-2"/>
        </w:rPr>
        <w:t>else</w:t>
      </w:r>
      <w:r>
        <w:rPr>
          <w:spacing w:val="-8"/>
        </w:rPr>
        <w:t> </w:t>
      </w:r>
      <w:r>
        <w:rPr>
          <w:spacing w:val="-2"/>
        </w:rPr>
        <w:t>disparate</w:t>
      </w:r>
      <w:r>
        <w:rPr>
          <w:spacing w:val="-8"/>
        </w:rPr>
        <w:t> </w:t>
      </w:r>
      <w:r>
        <w:rPr>
          <w:spacing w:val="-2"/>
        </w:rPr>
        <w:t>programs</w:t>
      </w:r>
      <w:r>
        <w:rPr>
          <w:spacing w:val="-8"/>
        </w:rPr>
        <w:t> </w:t>
      </w:r>
      <w:r>
        <w:rPr>
          <w:spacing w:val="-2"/>
        </w:rPr>
        <w:t>developed</w:t>
      </w:r>
      <w:r>
        <w:rPr>
          <w:spacing w:val="-8"/>
        </w:rPr>
        <w:t> </w:t>
      </w:r>
      <w:r>
        <w:rPr>
          <w:spacing w:val="-2"/>
        </w:rPr>
        <w:t>by</w:t>
      </w:r>
      <w:r>
        <w:rPr>
          <w:spacing w:val="-8"/>
        </w:rPr>
        <w:t> </w:t>
      </w:r>
      <w:r>
        <w:rPr>
          <w:spacing w:val="-2"/>
        </w:rPr>
        <w:t>the</w:t>
      </w:r>
      <w:r>
        <w:rPr>
          <w:spacing w:val="-8"/>
        </w:rPr>
        <w:t> </w:t>
      </w:r>
      <w:r>
        <w:rPr>
          <w:spacing w:val="-2"/>
        </w:rPr>
        <w:t>industry</w:t>
      </w:r>
      <w:r>
        <w:rPr>
          <w:spacing w:val="-8"/>
        </w:rPr>
        <w:t> </w:t>
      </w:r>
      <w:r>
        <w:rPr>
          <w:spacing w:val="-2"/>
        </w:rPr>
        <w:t>will </w:t>
      </w:r>
      <w:r>
        <w:rPr>
          <w:spacing w:val="-6"/>
        </w:rPr>
        <w:t>not</w:t>
      </w:r>
      <w:r>
        <w:rPr>
          <w:spacing w:val="-8"/>
        </w:rPr>
        <w:t> </w:t>
      </w:r>
      <w:r>
        <w:rPr>
          <w:spacing w:val="-6"/>
        </w:rPr>
        <w:t>be</w:t>
      </w:r>
      <w:r>
        <w:rPr>
          <w:spacing w:val="-8"/>
        </w:rPr>
        <w:t> </w:t>
      </w:r>
      <w:r>
        <w:rPr>
          <w:spacing w:val="-6"/>
        </w:rPr>
        <w:t>interoperable.</w:t>
      </w:r>
      <w:r>
        <w:rPr>
          <w:spacing w:val="-8"/>
        </w:rPr>
        <w:t> </w:t>
      </w:r>
      <w:r>
        <w:rPr>
          <w:spacing w:val="-6"/>
        </w:rPr>
        <w:t>The</w:t>
      </w:r>
      <w:r>
        <w:rPr>
          <w:spacing w:val="-7"/>
        </w:rPr>
        <w:t> </w:t>
      </w:r>
      <w:r>
        <w:rPr>
          <w:spacing w:val="-6"/>
        </w:rPr>
        <w:t>clinical</w:t>
      </w:r>
      <w:r>
        <w:rPr>
          <w:spacing w:val="-8"/>
        </w:rPr>
        <w:t> </w:t>
      </w:r>
      <w:r>
        <w:rPr>
          <w:spacing w:val="-6"/>
        </w:rPr>
        <w:t>standards will</w:t>
      </w:r>
      <w:r>
        <w:rPr>
          <w:spacing w:val="-5"/>
        </w:rPr>
        <w:t> </w:t>
      </w:r>
      <w:r>
        <w:rPr>
          <w:spacing w:val="-6"/>
        </w:rPr>
        <w:t>establish </w:t>
      </w:r>
      <w:r>
        <w:rPr>
          <w:spacing w:val="-4"/>
        </w:rPr>
        <w:t>a</w:t>
      </w:r>
      <w:r>
        <w:rPr>
          <w:spacing w:val="-5"/>
        </w:rPr>
        <w:t> </w:t>
      </w:r>
      <w:r>
        <w:rPr>
          <w:spacing w:val="-4"/>
        </w:rPr>
        <w:t>common</w:t>
      </w:r>
      <w:r>
        <w:rPr>
          <w:spacing w:val="-5"/>
        </w:rPr>
        <w:t> </w:t>
      </w:r>
      <w:r>
        <w:rPr>
          <w:spacing w:val="-4"/>
        </w:rPr>
        <w:t>lexicon</w:t>
      </w:r>
      <w:r>
        <w:rPr>
          <w:spacing w:val="-5"/>
        </w:rPr>
        <w:t> </w:t>
      </w:r>
      <w:r>
        <w:rPr>
          <w:spacing w:val="-4"/>
        </w:rPr>
        <w:t>to</w:t>
      </w:r>
      <w:r>
        <w:rPr>
          <w:spacing w:val="-5"/>
        </w:rPr>
        <w:t> </w:t>
      </w:r>
      <w:r>
        <w:rPr>
          <w:spacing w:val="-4"/>
        </w:rPr>
        <w:t>be</w:t>
      </w:r>
      <w:r>
        <w:rPr>
          <w:spacing w:val="-5"/>
        </w:rPr>
        <w:t> </w:t>
      </w:r>
      <w:r>
        <w:rPr>
          <w:spacing w:val="-4"/>
        </w:rPr>
        <w:t>used</w:t>
      </w:r>
      <w:r>
        <w:rPr>
          <w:spacing w:val="-5"/>
        </w:rPr>
        <w:t> </w:t>
      </w:r>
      <w:r>
        <w:rPr>
          <w:spacing w:val="-4"/>
        </w:rPr>
        <w:t>in</w:t>
      </w:r>
      <w:r>
        <w:rPr>
          <w:spacing w:val="-5"/>
        </w:rPr>
        <w:t> </w:t>
      </w:r>
      <w:r>
        <w:rPr>
          <w:spacing w:val="-4"/>
        </w:rPr>
        <w:t>electronic</w:t>
      </w:r>
      <w:r>
        <w:rPr>
          <w:spacing w:val="-5"/>
        </w:rPr>
        <w:t> </w:t>
      </w:r>
      <w:r>
        <w:rPr>
          <w:spacing w:val="-4"/>
        </w:rPr>
        <w:t>transactions. </w:t>
      </w:r>
      <w:r>
        <w:rPr>
          <w:spacing w:val="-2"/>
        </w:rPr>
        <w:t>This</w:t>
      </w:r>
      <w:r>
        <w:rPr>
          <w:spacing w:val="-7"/>
        </w:rPr>
        <w:t> </w:t>
      </w:r>
      <w:r>
        <w:rPr>
          <w:spacing w:val="-2"/>
        </w:rPr>
        <w:t>will</w:t>
      </w:r>
      <w:r>
        <w:rPr>
          <w:spacing w:val="-7"/>
        </w:rPr>
        <w:t> </w:t>
      </w:r>
      <w:r>
        <w:rPr>
          <w:spacing w:val="-2"/>
        </w:rPr>
        <w:t>enable</w:t>
      </w:r>
      <w:r>
        <w:rPr>
          <w:spacing w:val="-7"/>
        </w:rPr>
        <w:t> </w:t>
      </w:r>
      <w:r>
        <w:rPr>
          <w:spacing w:val="-2"/>
        </w:rPr>
        <w:t>all</w:t>
      </w:r>
      <w:r>
        <w:rPr>
          <w:spacing w:val="-7"/>
        </w:rPr>
        <w:t> </w:t>
      </w:r>
      <w:r>
        <w:rPr>
          <w:spacing w:val="-2"/>
        </w:rPr>
        <w:t>geographically</w:t>
      </w:r>
      <w:r>
        <w:rPr>
          <w:spacing w:val="-7"/>
        </w:rPr>
        <w:t> </w:t>
      </w:r>
      <w:r>
        <w:rPr>
          <w:spacing w:val="-2"/>
        </w:rPr>
        <w:t>scattered</w:t>
      </w:r>
      <w:r>
        <w:rPr>
          <w:spacing w:val="-7"/>
        </w:rPr>
        <w:t> </w:t>
      </w:r>
      <w:r>
        <w:rPr>
          <w:spacing w:val="-2"/>
        </w:rPr>
        <w:t>entities</w:t>
      </w:r>
      <w:r>
        <w:rPr>
          <w:spacing w:val="-7"/>
        </w:rPr>
        <w:t> </w:t>
      </w:r>
      <w:r>
        <w:rPr>
          <w:spacing w:val="-2"/>
        </w:rPr>
        <w:t>to </w:t>
      </w:r>
      <w:r>
        <w:rPr/>
        <w:t>communicate in one common language and facilitate data transmission and collection. It is important to develop common nomenclature standards for the </w:t>
      </w:r>
      <w:r>
        <w:rPr>
          <w:spacing w:val="-4"/>
        </w:rPr>
        <w:t>traditional</w:t>
      </w:r>
      <w:r>
        <w:rPr>
          <w:spacing w:val="-6"/>
        </w:rPr>
        <w:t> </w:t>
      </w:r>
      <w:r>
        <w:rPr>
          <w:spacing w:val="-4"/>
        </w:rPr>
        <w:t>medical</w:t>
      </w:r>
      <w:r>
        <w:rPr>
          <w:spacing w:val="-6"/>
        </w:rPr>
        <w:t> </w:t>
      </w:r>
      <w:r>
        <w:rPr>
          <w:spacing w:val="-4"/>
        </w:rPr>
        <w:t>systems,</w:t>
      </w:r>
      <w:r>
        <w:rPr>
          <w:spacing w:val="-6"/>
        </w:rPr>
        <w:t> </w:t>
      </w:r>
      <w:r>
        <w:rPr>
          <w:spacing w:val="-4"/>
        </w:rPr>
        <w:t>as</w:t>
      </w:r>
      <w:r>
        <w:rPr>
          <w:spacing w:val="-6"/>
        </w:rPr>
        <w:t> </w:t>
      </w:r>
      <w:r>
        <w:rPr>
          <w:spacing w:val="-4"/>
        </w:rPr>
        <w:t>large</w:t>
      </w:r>
      <w:r>
        <w:rPr>
          <w:spacing w:val="-6"/>
        </w:rPr>
        <w:t> </w:t>
      </w:r>
      <w:r>
        <w:rPr>
          <w:spacing w:val="-4"/>
        </w:rPr>
        <w:t>numbers</w:t>
      </w:r>
      <w:r>
        <w:rPr>
          <w:spacing w:val="-6"/>
        </w:rPr>
        <w:t> </w:t>
      </w:r>
      <w:r>
        <w:rPr>
          <w:spacing w:val="-4"/>
        </w:rPr>
        <w:t>of</w:t>
      </w:r>
      <w:r>
        <w:rPr>
          <w:spacing w:val="-6"/>
        </w:rPr>
        <w:t> </w:t>
      </w:r>
      <w:r>
        <w:rPr>
          <w:spacing w:val="-4"/>
        </w:rPr>
        <w:t>people </w:t>
      </w:r>
      <w:r>
        <w:rPr>
          <w:spacing w:val="-8"/>
        </w:rPr>
        <w:t>depend</w:t>
      </w:r>
      <w:r>
        <w:rPr/>
        <w:t> </w:t>
      </w:r>
      <w:r>
        <w:rPr>
          <w:spacing w:val="-8"/>
        </w:rPr>
        <w:t>on</w:t>
      </w:r>
      <w:r>
        <w:rPr/>
        <w:t> </w:t>
      </w:r>
      <w:r>
        <w:rPr>
          <w:spacing w:val="-8"/>
        </w:rPr>
        <w:t>these</w:t>
      </w:r>
      <w:r>
        <w:rPr/>
        <w:t> </w:t>
      </w:r>
      <w:r>
        <w:rPr>
          <w:spacing w:val="-8"/>
        </w:rPr>
        <w:t>systems</w:t>
      </w:r>
      <w:r>
        <w:rPr/>
        <w:t> </w:t>
      </w:r>
      <w:r>
        <w:rPr>
          <w:spacing w:val="-8"/>
        </w:rPr>
        <w:t>for</w:t>
      </w:r>
      <w:r>
        <w:rPr/>
        <w:t> </w:t>
      </w:r>
      <w:r>
        <w:rPr>
          <w:spacing w:val="-8"/>
        </w:rPr>
        <w:t>their</w:t>
      </w:r>
      <w:r>
        <w:rPr/>
        <w:t> </w:t>
      </w:r>
      <w:r>
        <w:rPr>
          <w:spacing w:val="-8"/>
        </w:rPr>
        <w:t>medical</w:t>
      </w:r>
      <w:r>
        <w:rPr/>
        <w:t> </w:t>
      </w:r>
      <w:r>
        <w:rPr>
          <w:spacing w:val="-8"/>
        </w:rPr>
        <w:t>needs.</w:t>
      </w:r>
      <w:r>
        <w:rPr/>
        <w:t> </w:t>
      </w:r>
      <w:r>
        <w:rPr>
          <w:spacing w:val="-8"/>
        </w:rPr>
        <w:t>Besides </w:t>
      </w:r>
      <w:r>
        <w:rPr/>
        <w:t>the</w:t>
      </w:r>
      <w:r>
        <w:rPr>
          <w:spacing w:val="-12"/>
        </w:rPr>
        <w:t> </w:t>
      </w:r>
      <w:r>
        <w:rPr/>
        <w:t>common</w:t>
      </w:r>
      <w:r>
        <w:rPr>
          <w:spacing w:val="-12"/>
        </w:rPr>
        <w:t> </w:t>
      </w:r>
      <w:r>
        <w:rPr/>
        <w:t>clinical</w:t>
      </w:r>
      <w:r>
        <w:rPr>
          <w:spacing w:val="-12"/>
        </w:rPr>
        <w:t> </w:t>
      </w:r>
      <w:r>
        <w:rPr/>
        <w:t>language,</w:t>
      </w:r>
      <w:r>
        <w:rPr>
          <w:spacing w:val="-12"/>
        </w:rPr>
        <w:t> </w:t>
      </w:r>
      <w:r>
        <w:rPr/>
        <w:t>adoption</w:t>
      </w:r>
      <w:r>
        <w:rPr>
          <w:spacing w:val="-12"/>
        </w:rPr>
        <w:t> </w:t>
      </w:r>
      <w:r>
        <w:rPr/>
        <w:t>of</w:t>
      </w:r>
      <w:r>
        <w:rPr>
          <w:spacing w:val="-12"/>
        </w:rPr>
        <w:t> </w:t>
      </w:r>
      <w:r>
        <w:rPr/>
        <w:t>a</w:t>
      </w:r>
      <w:r>
        <w:rPr>
          <w:spacing w:val="-12"/>
        </w:rPr>
        <w:t> </w:t>
      </w:r>
      <w:r>
        <w:rPr/>
        <w:t>common </w:t>
      </w:r>
      <w:r>
        <w:rPr>
          <w:spacing w:val="-4"/>
        </w:rPr>
        <w:t>national</w:t>
      </w:r>
      <w:r>
        <w:rPr>
          <w:spacing w:val="-9"/>
        </w:rPr>
        <w:t> </w:t>
      </w:r>
      <w:r>
        <w:rPr>
          <w:spacing w:val="-4"/>
        </w:rPr>
        <w:t>standard</w:t>
      </w:r>
      <w:r>
        <w:rPr>
          <w:spacing w:val="-9"/>
        </w:rPr>
        <w:t> </w:t>
      </w:r>
      <w:r>
        <w:rPr>
          <w:spacing w:val="-4"/>
        </w:rPr>
        <w:t>in</w:t>
      </w:r>
      <w:r>
        <w:rPr>
          <w:spacing w:val="-9"/>
        </w:rPr>
        <w:t> </w:t>
      </w:r>
      <w:r>
        <w:rPr>
          <w:spacing w:val="-4"/>
        </w:rPr>
        <w:t>health</w:t>
      </w:r>
      <w:r>
        <w:rPr>
          <w:spacing w:val="-9"/>
        </w:rPr>
        <w:t> </w:t>
      </w:r>
      <w:r>
        <w:rPr>
          <w:spacing w:val="-4"/>
        </w:rPr>
        <w:t>informatics</w:t>
      </w:r>
      <w:r>
        <w:rPr>
          <w:spacing w:val="-9"/>
        </w:rPr>
        <w:t> </w:t>
      </w:r>
      <w:r>
        <w:rPr>
          <w:spacing w:val="-4"/>
        </w:rPr>
        <w:t>will</w:t>
      </w:r>
      <w:r>
        <w:rPr>
          <w:spacing w:val="-9"/>
        </w:rPr>
        <w:t> </w:t>
      </w:r>
      <w:r>
        <w:rPr>
          <w:spacing w:val="-4"/>
        </w:rPr>
        <w:t>facilitate</w:t>
      </w:r>
      <w:r>
        <w:rPr>
          <w:spacing w:val="-9"/>
        </w:rPr>
        <w:t> </w:t>
      </w:r>
      <w:r>
        <w:rPr>
          <w:spacing w:val="-4"/>
        </w:rPr>
        <w:t>the </w:t>
      </w:r>
      <w:r>
        <w:rPr/>
        <w:t>messaging,</w:t>
      </w:r>
      <w:r>
        <w:rPr>
          <w:spacing w:val="-6"/>
        </w:rPr>
        <w:t> </w:t>
      </w:r>
      <w:r>
        <w:rPr/>
        <w:t>collation</w:t>
      </w:r>
      <w:r>
        <w:rPr>
          <w:spacing w:val="-6"/>
        </w:rPr>
        <w:t> </w:t>
      </w:r>
      <w:r>
        <w:rPr/>
        <w:t>and</w:t>
      </w:r>
      <w:r>
        <w:rPr>
          <w:spacing w:val="-6"/>
        </w:rPr>
        <w:t> </w:t>
      </w:r>
      <w:r>
        <w:rPr/>
        <w:t>analysis</w:t>
      </w:r>
      <w:r>
        <w:rPr>
          <w:spacing w:val="-6"/>
        </w:rPr>
        <w:t> </w:t>
      </w:r>
      <w:r>
        <w:rPr/>
        <w:t>of</w:t>
      </w:r>
      <w:r>
        <w:rPr>
          <w:spacing w:val="-6"/>
        </w:rPr>
        <w:t> </w:t>
      </w:r>
      <w:r>
        <w:rPr/>
        <w:t>data.</w:t>
      </w:r>
    </w:p>
    <w:p>
      <w:pPr>
        <w:spacing w:after="0" w:line="266" w:lineRule="auto"/>
        <w:jc w:val="both"/>
        <w:sectPr>
          <w:type w:val="continuous"/>
          <w:pgSz w:w="11910" w:h="16840"/>
          <w:pgMar w:header="0" w:footer="634" w:top="1920" w:bottom="280" w:left="0" w:right="0"/>
          <w:cols w:num="2" w:equalWidth="0">
            <w:col w:w="5774" w:space="40"/>
            <w:col w:w="6096"/>
          </w:cols>
        </w:sectPr>
      </w:pPr>
    </w:p>
    <w:p>
      <w:pPr>
        <w:pStyle w:val="Heading6"/>
        <w:numPr>
          <w:ilvl w:val="0"/>
          <w:numId w:val="11"/>
        </w:numPr>
        <w:tabs>
          <w:tab w:pos="1404" w:val="left" w:leader="none"/>
          <w:tab w:pos="1406" w:val="left" w:leader="none"/>
        </w:tabs>
        <w:spacing w:line="182" w:lineRule="auto" w:before="129" w:after="0"/>
        <w:ind w:left="1406" w:right="665" w:hanging="327"/>
        <w:jc w:val="left"/>
      </w:pPr>
      <w:r>
        <w:rPr>
          <w:color w:val="2E614A"/>
          <w:w w:val="90"/>
        </w:rPr>
        <w:t>Create a Common </w:t>
      </w:r>
      <w:r>
        <w:rPr>
          <w:color w:val="2E614A"/>
          <w:w w:val="90"/>
        </w:rPr>
        <w:t>Electronic </w:t>
      </w:r>
      <w:r>
        <w:rPr>
          <w:color w:val="2E614A"/>
        </w:rPr>
        <w:t>Health</w:t>
      </w:r>
      <w:r>
        <w:rPr>
          <w:color w:val="2E614A"/>
          <w:spacing w:val="-20"/>
        </w:rPr>
        <w:t> </w:t>
      </w:r>
      <w:r>
        <w:rPr>
          <w:color w:val="2E614A"/>
        </w:rPr>
        <w:t>Record</w:t>
      </w:r>
      <w:r>
        <w:rPr>
          <w:color w:val="2E614A"/>
          <w:spacing w:val="-20"/>
        </w:rPr>
        <w:t> </w:t>
      </w:r>
      <w:r>
        <w:rPr>
          <w:color w:val="2E614A"/>
        </w:rPr>
        <w:t>(EHR)</w:t>
      </w:r>
    </w:p>
    <w:p>
      <w:pPr>
        <w:pStyle w:val="BodyText"/>
        <w:spacing w:line="266" w:lineRule="auto" w:before="292"/>
        <w:ind w:left="1080"/>
        <w:jc w:val="both"/>
      </w:pPr>
      <w:r>
        <w:rPr/>
        <w:t>An</w:t>
      </w:r>
      <w:r>
        <w:rPr>
          <w:spacing w:val="28"/>
        </w:rPr>
        <w:t> </w:t>
      </w:r>
      <w:r>
        <w:rPr/>
        <w:t>electronic</w:t>
      </w:r>
      <w:r>
        <w:rPr>
          <w:spacing w:val="28"/>
        </w:rPr>
        <w:t> </w:t>
      </w:r>
      <w:r>
        <w:rPr/>
        <w:t>health</w:t>
      </w:r>
      <w:r>
        <w:rPr>
          <w:spacing w:val="28"/>
        </w:rPr>
        <w:t> </w:t>
      </w:r>
      <w:r>
        <w:rPr/>
        <w:t>record</w:t>
      </w:r>
      <w:r>
        <w:rPr>
          <w:spacing w:val="28"/>
        </w:rPr>
        <w:t> </w:t>
      </w:r>
      <w:r>
        <w:rPr/>
        <w:t>(EHR)</w:t>
      </w:r>
      <w:r>
        <w:rPr>
          <w:spacing w:val="28"/>
        </w:rPr>
        <w:t> </w:t>
      </w:r>
      <w:r>
        <w:rPr/>
        <w:t>is</w:t>
      </w:r>
      <w:r>
        <w:rPr>
          <w:spacing w:val="28"/>
        </w:rPr>
        <w:t> </w:t>
      </w:r>
      <w:r>
        <w:rPr/>
        <w:t>the</w:t>
      </w:r>
      <w:r>
        <w:rPr>
          <w:spacing w:val="28"/>
        </w:rPr>
        <w:t> </w:t>
      </w:r>
      <w:r>
        <w:rPr/>
        <w:t>record</w:t>
      </w:r>
      <w:r>
        <w:rPr>
          <w:spacing w:val="28"/>
        </w:rPr>
        <w:t> </w:t>
      </w:r>
      <w:r>
        <w:rPr/>
        <w:t>of a person from birth to death where all heath care encounters are recorded. Health transactions are presently recorded in a paper format, like a hospital patient chart, prescriptions, laboratory tests etc. The technology to capture and store this information </w:t>
      </w:r>
      <w:r>
        <w:rPr>
          <w:spacing w:val="-4"/>
        </w:rPr>
        <w:t>electronically</w:t>
      </w:r>
      <w:r>
        <w:rPr>
          <w:spacing w:val="-5"/>
        </w:rPr>
        <w:t> </w:t>
      </w:r>
      <w:r>
        <w:rPr>
          <w:spacing w:val="-4"/>
        </w:rPr>
        <w:t>already</w:t>
      </w:r>
      <w:r>
        <w:rPr>
          <w:spacing w:val="-5"/>
        </w:rPr>
        <w:t> </w:t>
      </w:r>
      <w:r>
        <w:rPr>
          <w:spacing w:val="-4"/>
        </w:rPr>
        <w:t>exists</w:t>
      </w:r>
      <w:r>
        <w:rPr>
          <w:spacing w:val="-5"/>
        </w:rPr>
        <w:t> </w:t>
      </w:r>
      <w:r>
        <w:rPr>
          <w:spacing w:val="-4"/>
        </w:rPr>
        <w:t>and</w:t>
      </w:r>
      <w:r>
        <w:rPr>
          <w:spacing w:val="-6"/>
        </w:rPr>
        <w:t> </w:t>
      </w:r>
      <w:r>
        <w:rPr>
          <w:spacing w:val="-4"/>
        </w:rPr>
        <w:t>has</w:t>
      </w:r>
      <w:r>
        <w:rPr>
          <w:spacing w:val="-5"/>
        </w:rPr>
        <w:t> </w:t>
      </w:r>
      <w:r>
        <w:rPr>
          <w:spacing w:val="-4"/>
        </w:rPr>
        <w:t>been</w:t>
      </w:r>
      <w:r>
        <w:rPr>
          <w:spacing w:val="-5"/>
        </w:rPr>
        <w:t> </w:t>
      </w:r>
      <w:r>
        <w:rPr>
          <w:spacing w:val="-4"/>
        </w:rPr>
        <w:t>developed</w:t>
      </w:r>
      <w:r>
        <w:rPr>
          <w:spacing w:val="-5"/>
        </w:rPr>
        <w:t> </w:t>
      </w:r>
      <w:r>
        <w:rPr>
          <w:spacing w:val="-4"/>
        </w:rPr>
        <w:t>by </w:t>
      </w:r>
      <w:r>
        <w:rPr/>
        <w:t>many private and public organisations in India. For uniform data capture, storage and subsequent use, </w:t>
      </w:r>
      <w:r>
        <w:rPr/>
        <w:t>it is recommended to create a common national EHR based on common clinical and IT standards. The record</w:t>
      </w:r>
      <w:r>
        <w:rPr>
          <w:spacing w:val="-11"/>
        </w:rPr>
        <w:t> </w:t>
      </w:r>
      <w:r>
        <w:rPr/>
        <w:t>should</w:t>
      </w:r>
      <w:r>
        <w:rPr>
          <w:spacing w:val="-11"/>
        </w:rPr>
        <w:t> </w:t>
      </w:r>
      <w:r>
        <w:rPr/>
        <w:t>be</w:t>
      </w:r>
      <w:r>
        <w:rPr>
          <w:spacing w:val="-11"/>
        </w:rPr>
        <w:t> </w:t>
      </w:r>
      <w:r>
        <w:rPr/>
        <w:t>able</w:t>
      </w:r>
      <w:r>
        <w:rPr>
          <w:spacing w:val="-11"/>
        </w:rPr>
        <w:t> </w:t>
      </w:r>
      <w:r>
        <w:rPr/>
        <w:t>to</w:t>
      </w:r>
      <w:r>
        <w:rPr>
          <w:spacing w:val="-11"/>
        </w:rPr>
        <w:t> </w:t>
      </w:r>
      <w:r>
        <w:rPr/>
        <w:t>capture</w:t>
      </w:r>
      <w:r>
        <w:rPr>
          <w:spacing w:val="-11"/>
        </w:rPr>
        <w:t> </w:t>
      </w:r>
      <w:r>
        <w:rPr/>
        <w:t>data</w:t>
      </w:r>
      <w:r>
        <w:rPr>
          <w:spacing w:val="-11"/>
        </w:rPr>
        <w:t> </w:t>
      </w:r>
      <w:r>
        <w:rPr/>
        <w:t>generated</w:t>
      </w:r>
      <w:r>
        <w:rPr>
          <w:spacing w:val="-11"/>
        </w:rPr>
        <w:t> </w:t>
      </w:r>
      <w:r>
        <w:rPr/>
        <w:t>by</w:t>
      </w:r>
      <w:r>
        <w:rPr>
          <w:spacing w:val="-11"/>
        </w:rPr>
        <w:t> </w:t>
      </w:r>
      <w:r>
        <w:rPr/>
        <w:t>the ‘traditional medicine’ health providers. To promote the early adoption of the health IT, this EHR may be </w:t>
      </w:r>
      <w:r>
        <w:rPr>
          <w:spacing w:val="-2"/>
        </w:rPr>
        <w:t>given</w:t>
      </w:r>
      <w:r>
        <w:rPr>
          <w:spacing w:val="-12"/>
        </w:rPr>
        <w:t> </w:t>
      </w:r>
      <w:r>
        <w:rPr>
          <w:spacing w:val="-2"/>
        </w:rPr>
        <w:t>free</w:t>
      </w:r>
      <w:r>
        <w:rPr>
          <w:spacing w:val="-12"/>
        </w:rPr>
        <w:t> </w:t>
      </w:r>
      <w:r>
        <w:rPr>
          <w:spacing w:val="-2"/>
        </w:rPr>
        <w:t>of</w:t>
      </w:r>
      <w:r>
        <w:rPr>
          <w:spacing w:val="-12"/>
        </w:rPr>
        <w:t> </w:t>
      </w:r>
      <w:r>
        <w:rPr>
          <w:spacing w:val="-2"/>
        </w:rPr>
        <w:t>cost</w:t>
      </w:r>
      <w:r>
        <w:rPr>
          <w:spacing w:val="-11"/>
        </w:rPr>
        <w:t> </w:t>
      </w:r>
      <w:r>
        <w:rPr>
          <w:spacing w:val="-2"/>
        </w:rPr>
        <w:t>or</w:t>
      </w:r>
      <w:r>
        <w:rPr>
          <w:spacing w:val="-12"/>
        </w:rPr>
        <w:t> </w:t>
      </w:r>
      <w:r>
        <w:rPr>
          <w:spacing w:val="-2"/>
        </w:rPr>
        <w:t>at</w:t>
      </w:r>
      <w:r>
        <w:rPr>
          <w:spacing w:val="-12"/>
        </w:rPr>
        <w:t> </w:t>
      </w:r>
      <w:r>
        <w:rPr>
          <w:spacing w:val="-2"/>
        </w:rPr>
        <w:t>subsidised</w:t>
      </w:r>
      <w:r>
        <w:rPr>
          <w:spacing w:val="-12"/>
        </w:rPr>
        <w:t> </w:t>
      </w:r>
      <w:r>
        <w:rPr>
          <w:spacing w:val="-2"/>
        </w:rPr>
        <w:t>rates</w:t>
      </w:r>
      <w:r>
        <w:rPr>
          <w:spacing w:val="-11"/>
        </w:rPr>
        <w:t> </w:t>
      </w:r>
      <w:r>
        <w:rPr>
          <w:spacing w:val="-2"/>
        </w:rPr>
        <w:t>to</w:t>
      </w:r>
      <w:r>
        <w:rPr>
          <w:spacing w:val="-12"/>
        </w:rPr>
        <w:t> </w:t>
      </w:r>
      <w:r>
        <w:rPr>
          <w:spacing w:val="-2"/>
        </w:rPr>
        <w:t>all</w:t>
      </w:r>
      <w:r>
        <w:rPr>
          <w:spacing w:val="-12"/>
        </w:rPr>
        <w:t> </w:t>
      </w:r>
      <w:r>
        <w:rPr>
          <w:spacing w:val="-2"/>
        </w:rPr>
        <w:t>users.</w:t>
      </w:r>
      <w:r>
        <w:rPr>
          <w:spacing w:val="-12"/>
        </w:rPr>
        <w:t> </w:t>
      </w:r>
      <w:r>
        <w:rPr>
          <w:spacing w:val="-2"/>
        </w:rPr>
        <w:t>The </w:t>
      </w:r>
      <w:r>
        <w:rPr/>
        <w:t>other IT tools and applications can be developed by the private industry and should be compatible with the national EHR.</w:t>
      </w:r>
    </w:p>
    <w:p>
      <w:pPr>
        <w:pStyle w:val="Heading6"/>
        <w:numPr>
          <w:ilvl w:val="0"/>
          <w:numId w:val="11"/>
        </w:numPr>
        <w:tabs>
          <w:tab w:pos="1404" w:val="left" w:leader="none"/>
          <w:tab w:pos="1406" w:val="left" w:leader="none"/>
        </w:tabs>
        <w:spacing w:line="182" w:lineRule="auto" w:before="244" w:after="0"/>
        <w:ind w:left="1406" w:right="139" w:hanging="327"/>
        <w:jc w:val="left"/>
      </w:pPr>
      <w:r>
        <w:rPr>
          <w:color w:val="2E614A"/>
          <w:spacing w:val="-10"/>
        </w:rPr>
        <w:t>Frame Policies to Promote Use </w:t>
      </w:r>
      <w:r>
        <w:rPr>
          <w:color w:val="2E614A"/>
          <w:spacing w:val="-10"/>
        </w:rPr>
        <w:t>of </w:t>
      </w:r>
      <w:r>
        <w:rPr>
          <w:color w:val="2E614A"/>
        </w:rPr>
        <w:t>IT in Health Care</w:t>
      </w:r>
    </w:p>
    <w:p>
      <w:pPr>
        <w:pStyle w:val="BodyText"/>
        <w:spacing w:line="266" w:lineRule="auto" w:before="292"/>
        <w:ind w:left="1080"/>
        <w:jc w:val="both"/>
      </w:pPr>
      <w:r>
        <w:rPr/>
        <w:t>The</w:t>
      </w:r>
      <w:r>
        <w:rPr>
          <w:spacing w:val="-14"/>
        </w:rPr>
        <w:t> </w:t>
      </w:r>
      <w:r>
        <w:rPr/>
        <w:t>use</w:t>
      </w:r>
      <w:r>
        <w:rPr>
          <w:spacing w:val="-14"/>
        </w:rPr>
        <w:t> </w:t>
      </w:r>
      <w:r>
        <w:rPr/>
        <w:t>of</w:t>
      </w:r>
      <w:r>
        <w:rPr>
          <w:spacing w:val="-14"/>
        </w:rPr>
        <w:t> </w:t>
      </w:r>
      <w:r>
        <w:rPr/>
        <w:t>IT</w:t>
      </w:r>
      <w:r>
        <w:rPr>
          <w:spacing w:val="-13"/>
        </w:rPr>
        <w:t> </w:t>
      </w:r>
      <w:r>
        <w:rPr/>
        <w:t>in</w:t>
      </w:r>
      <w:r>
        <w:rPr>
          <w:spacing w:val="-14"/>
        </w:rPr>
        <w:t> </w:t>
      </w:r>
      <w:r>
        <w:rPr/>
        <w:t>health</w:t>
      </w:r>
      <w:r>
        <w:rPr>
          <w:spacing w:val="-14"/>
        </w:rPr>
        <w:t> </w:t>
      </w:r>
      <w:r>
        <w:rPr/>
        <w:t>care</w:t>
      </w:r>
      <w:r>
        <w:rPr>
          <w:spacing w:val="-14"/>
        </w:rPr>
        <w:t> </w:t>
      </w:r>
      <w:r>
        <w:rPr/>
        <w:t>needs</w:t>
      </w:r>
      <w:r>
        <w:rPr>
          <w:spacing w:val="-13"/>
        </w:rPr>
        <w:t> </w:t>
      </w:r>
      <w:r>
        <w:rPr/>
        <w:t>an</w:t>
      </w:r>
      <w:r>
        <w:rPr>
          <w:spacing w:val="-14"/>
        </w:rPr>
        <w:t> </w:t>
      </w:r>
      <w:r>
        <w:rPr/>
        <w:t>impetus</w:t>
      </w:r>
      <w:r>
        <w:rPr>
          <w:spacing w:val="-14"/>
        </w:rPr>
        <w:t> </w:t>
      </w:r>
      <w:r>
        <w:rPr/>
        <w:t>from</w:t>
      </w:r>
      <w:r>
        <w:rPr>
          <w:spacing w:val="-14"/>
        </w:rPr>
        <w:t> </w:t>
      </w:r>
      <w:r>
        <w:rPr/>
        <w:t>the </w:t>
      </w:r>
      <w:r>
        <w:rPr>
          <w:spacing w:val="-6"/>
        </w:rPr>
        <w:t>government; otherwise the development and </w:t>
      </w:r>
      <w:r>
        <w:rPr>
          <w:spacing w:val="-6"/>
        </w:rPr>
        <w:t>penetration </w:t>
      </w:r>
      <w:r>
        <w:rPr/>
        <w:t>will be slow and arbitrary. These policies should be formed, not to hamper, but promote the health IT business in the country and generate employment in this</w:t>
      </w:r>
      <w:r>
        <w:rPr>
          <w:spacing w:val="-5"/>
        </w:rPr>
        <w:t> </w:t>
      </w:r>
      <w:r>
        <w:rPr/>
        <w:t>sector.</w:t>
      </w:r>
      <w:r>
        <w:rPr>
          <w:spacing w:val="-11"/>
        </w:rPr>
        <w:t> </w:t>
      </w:r>
      <w:r>
        <w:rPr/>
        <w:t>The</w:t>
      </w:r>
      <w:r>
        <w:rPr>
          <w:spacing w:val="-5"/>
        </w:rPr>
        <w:t> </w:t>
      </w:r>
      <w:r>
        <w:rPr/>
        <w:t>Central</w:t>
      </w:r>
      <w:r>
        <w:rPr>
          <w:spacing w:val="-5"/>
        </w:rPr>
        <w:t> </w:t>
      </w:r>
      <w:r>
        <w:rPr/>
        <w:t>Government</w:t>
      </w:r>
      <w:r>
        <w:rPr>
          <w:spacing w:val="-5"/>
        </w:rPr>
        <w:t> </w:t>
      </w:r>
      <w:r>
        <w:rPr/>
        <w:t>should</w:t>
      </w:r>
      <w:r>
        <w:rPr>
          <w:spacing w:val="-5"/>
        </w:rPr>
        <w:t> </w:t>
      </w:r>
      <w:r>
        <w:rPr/>
        <w:t>declare</w:t>
      </w:r>
      <w:r>
        <w:rPr>
          <w:spacing w:val="-5"/>
        </w:rPr>
        <w:t> </w:t>
      </w:r>
      <w:r>
        <w:rPr/>
        <w:t>a time</w:t>
      </w:r>
      <w:r>
        <w:rPr>
          <w:spacing w:val="-4"/>
        </w:rPr>
        <w:t> </w:t>
      </w:r>
      <w:r>
        <w:rPr/>
        <w:t>period</w:t>
      </w:r>
      <w:r>
        <w:rPr>
          <w:spacing w:val="-4"/>
        </w:rPr>
        <w:t> </w:t>
      </w:r>
      <w:r>
        <w:rPr/>
        <w:t>after</w:t>
      </w:r>
      <w:r>
        <w:rPr>
          <w:spacing w:val="-4"/>
        </w:rPr>
        <w:t> </w:t>
      </w:r>
      <w:r>
        <w:rPr/>
        <w:t>which</w:t>
      </w:r>
      <w:r>
        <w:rPr>
          <w:spacing w:val="-4"/>
        </w:rPr>
        <w:t> </w:t>
      </w:r>
      <w:r>
        <w:rPr/>
        <w:t>all</w:t>
      </w:r>
      <w:r>
        <w:rPr>
          <w:spacing w:val="-4"/>
        </w:rPr>
        <w:t> </w:t>
      </w:r>
      <w:r>
        <w:rPr/>
        <w:t>transactions</w:t>
      </w:r>
      <w:r>
        <w:rPr>
          <w:spacing w:val="-4"/>
        </w:rPr>
        <w:t> </w:t>
      </w:r>
      <w:r>
        <w:rPr/>
        <w:t>in</w:t>
      </w:r>
      <w:r>
        <w:rPr>
          <w:spacing w:val="-4"/>
        </w:rPr>
        <w:t> </w:t>
      </w:r>
      <w:r>
        <w:rPr/>
        <w:t>health</w:t>
      </w:r>
      <w:r>
        <w:rPr>
          <w:spacing w:val="-4"/>
        </w:rPr>
        <w:t> </w:t>
      </w:r>
      <w:r>
        <w:rPr/>
        <w:t>care in the country will be in electronic format. Sufficient time should be given for the health establishments to adopt electronic transaction. NKC feels 7-10 years</w:t>
      </w:r>
      <w:r>
        <w:rPr>
          <w:spacing w:val="80"/>
        </w:rPr>
        <w:t> </w:t>
      </w:r>
      <w:r>
        <w:rPr/>
        <w:t>is</w:t>
      </w:r>
      <w:r>
        <w:rPr>
          <w:spacing w:val="-7"/>
        </w:rPr>
        <w:t> </w:t>
      </w:r>
      <w:r>
        <w:rPr/>
        <w:t>an</w:t>
      </w:r>
      <w:r>
        <w:rPr>
          <w:spacing w:val="-7"/>
        </w:rPr>
        <w:t> </w:t>
      </w:r>
      <w:r>
        <w:rPr/>
        <w:t>adequate</w:t>
      </w:r>
      <w:r>
        <w:rPr>
          <w:spacing w:val="-7"/>
        </w:rPr>
        <w:t> </w:t>
      </w:r>
      <w:r>
        <w:rPr/>
        <w:t>time</w:t>
      </w:r>
      <w:r>
        <w:rPr>
          <w:spacing w:val="-7"/>
        </w:rPr>
        <w:t> </w:t>
      </w:r>
      <w:r>
        <w:rPr/>
        <w:t>for</w:t>
      </w:r>
      <w:r>
        <w:rPr>
          <w:spacing w:val="-7"/>
        </w:rPr>
        <w:t> </w:t>
      </w:r>
      <w:r>
        <w:rPr/>
        <w:t>all</w:t>
      </w:r>
      <w:r>
        <w:rPr>
          <w:spacing w:val="-7"/>
        </w:rPr>
        <w:t> </w:t>
      </w:r>
      <w:r>
        <w:rPr/>
        <w:t>parties</w:t>
      </w:r>
      <w:r>
        <w:rPr>
          <w:spacing w:val="-7"/>
        </w:rPr>
        <w:t> </w:t>
      </w:r>
      <w:r>
        <w:rPr/>
        <w:t>to</w:t>
      </w:r>
      <w:r>
        <w:rPr>
          <w:spacing w:val="-7"/>
        </w:rPr>
        <w:t> </w:t>
      </w:r>
      <w:r>
        <w:rPr/>
        <w:t>evolve</w:t>
      </w:r>
      <w:r>
        <w:rPr>
          <w:spacing w:val="-7"/>
        </w:rPr>
        <w:t> </w:t>
      </w:r>
      <w:r>
        <w:rPr/>
        <w:t>electronic </w:t>
      </w:r>
      <w:r>
        <w:rPr>
          <w:spacing w:val="-6"/>
        </w:rPr>
        <w:t>transactions after which all health establishments should </w:t>
      </w:r>
      <w:r>
        <w:rPr/>
        <w:t>be able to comply.</w:t>
      </w:r>
    </w:p>
    <w:p>
      <w:pPr>
        <w:pStyle w:val="Heading6"/>
        <w:numPr>
          <w:ilvl w:val="0"/>
          <w:numId w:val="11"/>
        </w:numPr>
        <w:tabs>
          <w:tab w:pos="1404" w:val="left" w:leader="none"/>
          <w:tab w:pos="1406" w:val="left" w:leader="none"/>
        </w:tabs>
        <w:spacing w:line="182" w:lineRule="auto" w:before="248" w:after="0"/>
        <w:ind w:left="1406" w:right="646" w:hanging="327"/>
        <w:jc w:val="left"/>
      </w:pPr>
      <w:r>
        <w:rPr>
          <w:color w:val="2E614A"/>
          <w:spacing w:val="-6"/>
        </w:rPr>
        <w:t>Create</w:t>
      </w:r>
      <w:r>
        <w:rPr>
          <w:color w:val="2E614A"/>
          <w:spacing w:val="-14"/>
        </w:rPr>
        <w:t> </w:t>
      </w:r>
      <w:r>
        <w:rPr>
          <w:color w:val="2E614A"/>
          <w:spacing w:val="-6"/>
        </w:rPr>
        <w:t>Appropriate</w:t>
      </w:r>
      <w:r>
        <w:rPr>
          <w:color w:val="2E614A"/>
          <w:spacing w:val="-14"/>
        </w:rPr>
        <w:t> </w:t>
      </w:r>
      <w:r>
        <w:rPr>
          <w:color w:val="2E614A"/>
          <w:spacing w:val="-6"/>
        </w:rPr>
        <w:t>Policy </w:t>
      </w:r>
      <w:r>
        <w:rPr>
          <w:color w:val="2E614A"/>
          <w:w w:val="90"/>
        </w:rPr>
        <w:t>Framework to Protect </w:t>
      </w:r>
      <w:r>
        <w:rPr>
          <w:color w:val="2E614A"/>
          <w:w w:val="90"/>
        </w:rPr>
        <w:t>Health </w:t>
      </w:r>
      <w:r>
        <w:rPr>
          <w:color w:val="2E614A"/>
        </w:rPr>
        <w:t>Data of Citizens</w:t>
      </w:r>
    </w:p>
    <w:p>
      <w:pPr>
        <w:pStyle w:val="BodyText"/>
        <w:spacing w:line="266" w:lineRule="auto" w:before="293"/>
        <w:ind w:left="1080"/>
        <w:jc w:val="both"/>
      </w:pPr>
      <w:r>
        <w:rPr/>
        <w:t>The integrity of data at the primary data </w:t>
      </w:r>
      <w:r>
        <w:rPr/>
        <w:t>collection site will determine the usefulness of this enterprise. To ensure that only correct patient and other health data</w:t>
      </w:r>
      <w:r>
        <w:rPr>
          <w:spacing w:val="-12"/>
        </w:rPr>
        <w:t> </w:t>
      </w:r>
      <w:r>
        <w:rPr/>
        <w:t>is</w:t>
      </w:r>
      <w:r>
        <w:rPr>
          <w:spacing w:val="-12"/>
        </w:rPr>
        <w:t> </w:t>
      </w:r>
      <w:r>
        <w:rPr/>
        <w:t>collected,</w:t>
      </w:r>
      <w:r>
        <w:rPr>
          <w:spacing w:val="-12"/>
        </w:rPr>
        <w:t> </w:t>
      </w:r>
      <w:r>
        <w:rPr/>
        <w:t>it</w:t>
      </w:r>
      <w:r>
        <w:rPr>
          <w:spacing w:val="-12"/>
        </w:rPr>
        <w:t> </w:t>
      </w:r>
      <w:r>
        <w:rPr/>
        <w:t>is</w:t>
      </w:r>
      <w:r>
        <w:rPr>
          <w:spacing w:val="-12"/>
        </w:rPr>
        <w:t> </w:t>
      </w:r>
      <w:r>
        <w:rPr/>
        <w:t>of</w:t>
      </w:r>
      <w:r>
        <w:rPr>
          <w:spacing w:val="-12"/>
        </w:rPr>
        <w:t> </w:t>
      </w:r>
      <w:r>
        <w:rPr/>
        <w:t>utmost</w:t>
      </w:r>
      <w:r>
        <w:rPr>
          <w:spacing w:val="-12"/>
        </w:rPr>
        <w:t> </w:t>
      </w:r>
      <w:r>
        <w:rPr/>
        <w:t>importance</w:t>
      </w:r>
      <w:r>
        <w:rPr>
          <w:spacing w:val="-12"/>
        </w:rPr>
        <w:t> </w:t>
      </w:r>
      <w:r>
        <w:rPr/>
        <w:t>to</w:t>
      </w:r>
      <w:r>
        <w:rPr>
          <w:spacing w:val="-12"/>
        </w:rPr>
        <w:t> </w:t>
      </w:r>
      <w:r>
        <w:rPr/>
        <w:t>gain</w:t>
      </w:r>
      <w:r>
        <w:rPr>
          <w:spacing w:val="-12"/>
        </w:rPr>
        <w:t> </w:t>
      </w:r>
      <w:r>
        <w:rPr/>
        <w:t>the </w:t>
      </w:r>
      <w:r>
        <w:rPr>
          <w:spacing w:val="-2"/>
        </w:rPr>
        <w:t>confidence</w:t>
      </w:r>
      <w:r>
        <w:rPr>
          <w:spacing w:val="-11"/>
        </w:rPr>
        <w:t> </w:t>
      </w:r>
      <w:r>
        <w:rPr>
          <w:spacing w:val="-2"/>
        </w:rPr>
        <w:t>of</w:t>
      </w:r>
      <w:r>
        <w:rPr>
          <w:spacing w:val="-11"/>
        </w:rPr>
        <w:t> </w:t>
      </w:r>
      <w:r>
        <w:rPr>
          <w:spacing w:val="-2"/>
        </w:rPr>
        <w:t>the</w:t>
      </w:r>
      <w:r>
        <w:rPr>
          <w:spacing w:val="-11"/>
        </w:rPr>
        <w:t> </w:t>
      </w:r>
      <w:r>
        <w:rPr>
          <w:spacing w:val="-2"/>
        </w:rPr>
        <w:t>citizens</w:t>
      </w:r>
      <w:r>
        <w:rPr>
          <w:spacing w:val="-11"/>
        </w:rPr>
        <w:t> </w:t>
      </w:r>
      <w:r>
        <w:rPr>
          <w:spacing w:val="-2"/>
        </w:rPr>
        <w:t>that</w:t>
      </w:r>
      <w:r>
        <w:rPr>
          <w:spacing w:val="-11"/>
        </w:rPr>
        <w:t> </w:t>
      </w:r>
      <w:r>
        <w:rPr>
          <w:spacing w:val="-2"/>
        </w:rPr>
        <w:t>their</w:t>
      </w:r>
      <w:r>
        <w:rPr>
          <w:spacing w:val="-11"/>
        </w:rPr>
        <w:t> </w:t>
      </w:r>
      <w:r>
        <w:rPr>
          <w:spacing w:val="-2"/>
        </w:rPr>
        <w:t>health</w:t>
      </w:r>
      <w:r>
        <w:rPr>
          <w:spacing w:val="-11"/>
        </w:rPr>
        <w:t> </w:t>
      </w:r>
      <w:r>
        <w:rPr>
          <w:spacing w:val="-2"/>
        </w:rPr>
        <w:t>data</w:t>
      </w:r>
      <w:r>
        <w:rPr>
          <w:spacing w:val="-11"/>
        </w:rPr>
        <w:t> </w:t>
      </w:r>
      <w:r>
        <w:rPr>
          <w:spacing w:val="-2"/>
        </w:rPr>
        <w:t>will</w:t>
      </w:r>
      <w:r>
        <w:rPr>
          <w:spacing w:val="-11"/>
        </w:rPr>
        <w:t> </w:t>
      </w:r>
      <w:r>
        <w:rPr>
          <w:spacing w:val="-2"/>
        </w:rPr>
        <w:t>not </w:t>
      </w:r>
      <w:r>
        <w:rPr>
          <w:spacing w:val="-6"/>
        </w:rPr>
        <w:t>be</w:t>
      </w:r>
      <w:r>
        <w:rPr>
          <w:spacing w:val="-19"/>
        </w:rPr>
        <w:t> </w:t>
      </w:r>
      <w:r>
        <w:rPr>
          <w:spacing w:val="-6"/>
        </w:rPr>
        <w:t>misused</w:t>
      </w:r>
      <w:r>
        <w:rPr>
          <w:spacing w:val="-19"/>
        </w:rPr>
        <w:t> </w:t>
      </w:r>
      <w:r>
        <w:rPr>
          <w:spacing w:val="-6"/>
        </w:rPr>
        <w:t>by</w:t>
      </w:r>
      <w:r>
        <w:rPr>
          <w:spacing w:val="-19"/>
        </w:rPr>
        <w:t> </w:t>
      </w:r>
      <w:r>
        <w:rPr>
          <w:spacing w:val="-6"/>
        </w:rPr>
        <w:t>the</w:t>
      </w:r>
      <w:r>
        <w:rPr>
          <w:spacing w:val="-18"/>
        </w:rPr>
        <w:t> </w:t>
      </w:r>
      <w:r>
        <w:rPr>
          <w:spacing w:val="-6"/>
        </w:rPr>
        <w:t>health</w:t>
      </w:r>
      <w:r>
        <w:rPr>
          <w:spacing w:val="-19"/>
        </w:rPr>
        <w:t> </w:t>
      </w:r>
      <w:r>
        <w:rPr>
          <w:spacing w:val="-6"/>
        </w:rPr>
        <w:t>providers,</w:t>
      </w:r>
      <w:r>
        <w:rPr>
          <w:spacing w:val="-19"/>
        </w:rPr>
        <w:t> </w:t>
      </w:r>
      <w:r>
        <w:rPr>
          <w:spacing w:val="-6"/>
        </w:rPr>
        <w:t>insurance</w:t>
      </w:r>
      <w:r>
        <w:rPr>
          <w:spacing w:val="-18"/>
        </w:rPr>
        <w:t> </w:t>
      </w:r>
      <w:r>
        <w:rPr>
          <w:spacing w:val="-6"/>
        </w:rPr>
        <w:t>companies,</w:t>
      </w:r>
    </w:p>
    <w:p>
      <w:pPr>
        <w:pStyle w:val="BodyText"/>
        <w:spacing w:line="266" w:lineRule="auto" w:before="77"/>
        <w:ind w:left="319" w:right="1077"/>
        <w:jc w:val="both"/>
      </w:pPr>
      <w:r>
        <w:rPr/>
        <w:br w:type="column"/>
      </w:r>
      <w:r>
        <w:rPr>
          <w:spacing w:val="-4"/>
        </w:rPr>
        <w:t>employers</w:t>
      </w:r>
      <w:r>
        <w:rPr>
          <w:spacing w:val="-5"/>
        </w:rPr>
        <w:t> </w:t>
      </w:r>
      <w:r>
        <w:rPr>
          <w:spacing w:val="-4"/>
        </w:rPr>
        <w:t>and</w:t>
      </w:r>
      <w:r>
        <w:rPr>
          <w:spacing w:val="-5"/>
        </w:rPr>
        <w:t> </w:t>
      </w:r>
      <w:r>
        <w:rPr>
          <w:spacing w:val="-4"/>
        </w:rPr>
        <w:t>the</w:t>
      </w:r>
      <w:r>
        <w:rPr>
          <w:spacing w:val="-5"/>
        </w:rPr>
        <w:t> </w:t>
      </w:r>
      <w:r>
        <w:rPr>
          <w:spacing w:val="-4"/>
        </w:rPr>
        <w:t>government.</w:t>
      </w:r>
      <w:r>
        <w:rPr>
          <w:spacing w:val="-5"/>
        </w:rPr>
        <w:t> </w:t>
      </w:r>
      <w:r>
        <w:rPr>
          <w:spacing w:val="-4"/>
        </w:rPr>
        <w:t>Both</w:t>
      </w:r>
      <w:r>
        <w:rPr>
          <w:spacing w:val="-5"/>
        </w:rPr>
        <w:t> </w:t>
      </w:r>
      <w:r>
        <w:rPr>
          <w:spacing w:val="-4"/>
        </w:rPr>
        <w:t>technological</w:t>
      </w:r>
      <w:r>
        <w:rPr>
          <w:spacing w:val="-5"/>
        </w:rPr>
        <w:t> </w:t>
      </w:r>
      <w:r>
        <w:rPr>
          <w:spacing w:val="-4"/>
        </w:rPr>
        <w:t>and </w:t>
      </w:r>
      <w:r>
        <w:rPr/>
        <w:t>legal framework is important to achieve this. While encryption,</w:t>
      </w:r>
      <w:r>
        <w:rPr>
          <w:spacing w:val="-14"/>
        </w:rPr>
        <w:t> </w:t>
      </w:r>
      <w:r>
        <w:rPr/>
        <w:t>anonymity</w:t>
      </w:r>
      <w:r>
        <w:rPr>
          <w:spacing w:val="-14"/>
        </w:rPr>
        <w:t> </w:t>
      </w:r>
      <w:r>
        <w:rPr/>
        <w:t>and</w:t>
      </w:r>
      <w:r>
        <w:rPr>
          <w:spacing w:val="-14"/>
        </w:rPr>
        <w:t> </w:t>
      </w:r>
      <w:r>
        <w:rPr/>
        <w:t>other</w:t>
      </w:r>
      <w:r>
        <w:rPr>
          <w:spacing w:val="-13"/>
        </w:rPr>
        <w:t> </w:t>
      </w:r>
      <w:r>
        <w:rPr/>
        <w:t>IT</w:t>
      </w:r>
      <w:r>
        <w:rPr>
          <w:spacing w:val="-14"/>
        </w:rPr>
        <w:t> </w:t>
      </w:r>
      <w:r>
        <w:rPr/>
        <w:t>security</w:t>
      </w:r>
      <w:r>
        <w:rPr>
          <w:spacing w:val="-14"/>
        </w:rPr>
        <w:t> </w:t>
      </w:r>
      <w:r>
        <w:rPr/>
        <w:t>measures should</w:t>
      </w:r>
      <w:r>
        <w:rPr>
          <w:spacing w:val="-10"/>
        </w:rPr>
        <w:t> </w:t>
      </w:r>
      <w:r>
        <w:rPr/>
        <w:t>be</w:t>
      </w:r>
      <w:r>
        <w:rPr>
          <w:spacing w:val="-10"/>
        </w:rPr>
        <w:t> </w:t>
      </w:r>
      <w:r>
        <w:rPr/>
        <w:t>in</w:t>
      </w:r>
      <w:r>
        <w:rPr>
          <w:spacing w:val="-10"/>
        </w:rPr>
        <w:t> </w:t>
      </w:r>
      <w:r>
        <w:rPr/>
        <w:t>place;</w:t>
      </w:r>
      <w:r>
        <w:rPr>
          <w:spacing w:val="-10"/>
        </w:rPr>
        <w:t> </w:t>
      </w:r>
      <w:r>
        <w:rPr/>
        <w:t>it</w:t>
      </w:r>
      <w:r>
        <w:rPr>
          <w:spacing w:val="-10"/>
        </w:rPr>
        <w:t> </w:t>
      </w:r>
      <w:r>
        <w:rPr/>
        <w:t>is</w:t>
      </w:r>
      <w:r>
        <w:rPr>
          <w:spacing w:val="-10"/>
        </w:rPr>
        <w:t> </w:t>
      </w:r>
      <w:r>
        <w:rPr/>
        <w:t>also</w:t>
      </w:r>
      <w:r>
        <w:rPr>
          <w:spacing w:val="-10"/>
        </w:rPr>
        <w:t> </w:t>
      </w:r>
      <w:r>
        <w:rPr/>
        <w:t>important</w:t>
      </w:r>
      <w:r>
        <w:rPr>
          <w:spacing w:val="-10"/>
        </w:rPr>
        <w:t> </w:t>
      </w:r>
      <w:r>
        <w:rPr/>
        <w:t>to</w:t>
      </w:r>
      <w:r>
        <w:rPr>
          <w:spacing w:val="-10"/>
        </w:rPr>
        <w:t> </w:t>
      </w:r>
      <w:r>
        <w:rPr/>
        <w:t>have</w:t>
      </w:r>
      <w:r>
        <w:rPr>
          <w:spacing w:val="-10"/>
        </w:rPr>
        <w:t> </w:t>
      </w:r>
      <w:r>
        <w:rPr/>
        <w:t>rules</w:t>
      </w:r>
      <w:r>
        <w:rPr>
          <w:spacing w:val="-10"/>
        </w:rPr>
        <w:t> </w:t>
      </w:r>
      <w:r>
        <w:rPr/>
        <w:t>in place. It is important to maintain confidentiality and security</w:t>
      </w:r>
      <w:r>
        <w:rPr>
          <w:spacing w:val="-1"/>
        </w:rPr>
        <w:t> </w:t>
      </w:r>
      <w:r>
        <w:rPr/>
        <w:t>of</w:t>
      </w:r>
      <w:r>
        <w:rPr>
          <w:spacing w:val="-1"/>
        </w:rPr>
        <w:t> </w:t>
      </w:r>
      <w:r>
        <w:rPr/>
        <w:t>the</w:t>
      </w:r>
      <w:r>
        <w:rPr>
          <w:spacing w:val="-1"/>
        </w:rPr>
        <w:t> </w:t>
      </w:r>
      <w:r>
        <w:rPr/>
        <w:t>personal</w:t>
      </w:r>
      <w:r>
        <w:rPr>
          <w:spacing w:val="-1"/>
        </w:rPr>
        <w:t> </w:t>
      </w:r>
      <w:r>
        <w:rPr/>
        <w:t>health</w:t>
      </w:r>
      <w:r>
        <w:rPr>
          <w:spacing w:val="-1"/>
        </w:rPr>
        <w:t> </w:t>
      </w:r>
      <w:r>
        <w:rPr/>
        <w:t>data</w:t>
      </w:r>
      <w:r>
        <w:rPr>
          <w:spacing w:val="-1"/>
        </w:rPr>
        <w:t> </w:t>
      </w:r>
      <w:r>
        <w:rPr/>
        <w:t>and</w:t>
      </w:r>
      <w:r>
        <w:rPr>
          <w:spacing w:val="-1"/>
        </w:rPr>
        <w:t> </w:t>
      </w:r>
      <w:r>
        <w:rPr/>
        <w:t>to</w:t>
      </w:r>
      <w:r>
        <w:rPr>
          <w:spacing w:val="-1"/>
        </w:rPr>
        <w:t> </w:t>
      </w:r>
      <w:r>
        <w:rPr/>
        <w:t>govern</w:t>
      </w:r>
      <w:r>
        <w:rPr>
          <w:spacing w:val="-1"/>
        </w:rPr>
        <w:t> </w:t>
      </w:r>
      <w:r>
        <w:rPr/>
        <w:t>the access and use of data.</w:t>
      </w:r>
    </w:p>
    <w:p>
      <w:pPr>
        <w:pStyle w:val="Heading6"/>
        <w:numPr>
          <w:ilvl w:val="0"/>
          <w:numId w:val="11"/>
        </w:numPr>
        <w:tabs>
          <w:tab w:pos="643" w:val="left" w:leader="none"/>
          <w:tab w:pos="645" w:val="left" w:leader="none"/>
        </w:tabs>
        <w:spacing w:line="182" w:lineRule="auto" w:before="247" w:after="0"/>
        <w:ind w:left="645" w:right="1563" w:hanging="327"/>
        <w:jc w:val="left"/>
      </w:pPr>
      <w:r>
        <w:rPr>
          <w:color w:val="2E614A"/>
          <w:w w:val="90"/>
        </w:rPr>
        <w:t>Medical Informatics to be </w:t>
      </w:r>
      <w:r>
        <w:rPr>
          <w:color w:val="2E614A"/>
          <w:w w:val="90"/>
        </w:rPr>
        <w:t>Part </w:t>
      </w:r>
      <w:r>
        <w:rPr>
          <w:color w:val="2E614A"/>
          <w:spacing w:val="-6"/>
        </w:rPr>
        <w:t>of</w:t>
      </w:r>
      <w:r>
        <w:rPr>
          <w:color w:val="2E614A"/>
          <w:spacing w:val="-13"/>
        </w:rPr>
        <w:t> </w:t>
      </w:r>
      <w:r>
        <w:rPr>
          <w:color w:val="2E614A"/>
          <w:spacing w:val="-6"/>
        </w:rPr>
        <w:t>Medical</w:t>
      </w:r>
      <w:r>
        <w:rPr>
          <w:color w:val="2E614A"/>
          <w:spacing w:val="-13"/>
        </w:rPr>
        <w:t> </w:t>
      </w:r>
      <w:r>
        <w:rPr>
          <w:color w:val="2E614A"/>
          <w:spacing w:val="-6"/>
        </w:rPr>
        <w:t>and</w:t>
      </w:r>
      <w:r>
        <w:rPr>
          <w:color w:val="2E614A"/>
          <w:spacing w:val="-13"/>
        </w:rPr>
        <w:t> </w:t>
      </w:r>
      <w:r>
        <w:rPr>
          <w:color w:val="2E614A"/>
          <w:spacing w:val="-6"/>
        </w:rPr>
        <w:t>Paramedical </w:t>
      </w:r>
      <w:r>
        <w:rPr>
          <w:color w:val="2E614A"/>
          <w:spacing w:val="-2"/>
        </w:rPr>
        <w:t>Curriculum</w:t>
      </w:r>
    </w:p>
    <w:p>
      <w:pPr>
        <w:pStyle w:val="BodyText"/>
        <w:spacing w:line="266" w:lineRule="auto" w:before="302"/>
        <w:ind w:left="319" w:right="1077"/>
        <w:jc w:val="both"/>
      </w:pPr>
      <w:r>
        <w:rPr/>
        <w:t>Medical</w:t>
      </w:r>
      <w:r>
        <w:rPr>
          <w:spacing w:val="-6"/>
        </w:rPr>
        <w:t> </w:t>
      </w:r>
      <w:r>
        <w:rPr/>
        <w:t>education</w:t>
      </w:r>
      <w:r>
        <w:rPr>
          <w:spacing w:val="-6"/>
        </w:rPr>
        <w:t> </w:t>
      </w:r>
      <w:r>
        <w:rPr/>
        <w:t>needs</w:t>
      </w:r>
      <w:r>
        <w:rPr>
          <w:spacing w:val="-6"/>
        </w:rPr>
        <w:t> </w:t>
      </w:r>
      <w:r>
        <w:rPr/>
        <w:t>to</w:t>
      </w:r>
      <w:r>
        <w:rPr>
          <w:spacing w:val="-6"/>
        </w:rPr>
        <w:t> </w:t>
      </w:r>
      <w:r>
        <w:rPr/>
        <w:t>take</w:t>
      </w:r>
      <w:r>
        <w:rPr>
          <w:spacing w:val="-6"/>
        </w:rPr>
        <w:t> </w:t>
      </w:r>
      <w:r>
        <w:rPr/>
        <w:t>full</w:t>
      </w:r>
      <w:r>
        <w:rPr>
          <w:spacing w:val="-6"/>
        </w:rPr>
        <w:t> </w:t>
      </w:r>
      <w:r>
        <w:rPr/>
        <w:t>advantage</w:t>
      </w:r>
      <w:r>
        <w:rPr>
          <w:spacing w:val="-6"/>
        </w:rPr>
        <w:t> </w:t>
      </w:r>
      <w:r>
        <w:rPr/>
        <w:t>of</w:t>
      </w:r>
      <w:r>
        <w:rPr>
          <w:spacing w:val="-6"/>
        </w:rPr>
        <w:t> </w:t>
      </w:r>
      <w:r>
        <w:rPr/>
        <w:t>the power of ICT. A well-structured health informatics curriculum needs to be made an integral part of medical education at all levels. Basic ICT facilities, such</w:t>
      </w:r>
      <w:r>
        <w:rPr>
          <w:spacing w:val="-16"/>
        </w:rPr>
        <w:t> </w:t>
      </w:r>
      <w:r>
        <w:rPr/>
        <w:t>as</w:t>
      </w:r>
      <w:r>
        <w:rPr>
          <w:spacing w:val="-14"/>
        </w:rPr>
        <w:t> </w:t>
      </w:r>
      <w:r>
        <w:rPr/>
        <w:t>good</w:t>
      </w:r>
      <w:r>
        <w:rPr>
          <w:spacing w:val="-14"/>
        </w:rPr>
        <w:t> </w:t>
      </w:r>
      <w:r>
        <w:rPr/>
        <w:t>quality</w:t>
      </w:r>
      <w:r>
        <w:rPr>
          <w:spacing w:val="-13"/>
        </w:rPr>
        <w:t> </w:t>
      </w:r>
      <w:r>
        <w:rPr/>
        <w:t>access</w:t>
      </w:r>
      <w:r>
        <w:rPr>
          <w:spacing w:val="-14"/>
        </w:rPr>
        <w:t> </w:t>
      </w:r>
      <w:r>
        <w:rPr/>
        <w:t>to</w:t>
      </w:r>
      <w:r>
        <w:rPr>
          <w:spacing w:val="-14"/>
        </w:rPr>
        <w:t> </w:t>
      </w:r>
      <w:r>
        <w:rPr/>
        <w:t>Internet</w:t>
      </w:r>
      <w:r>
        <w:rPr>
          <w:spacing w:val="-14"/>
        </w:rPr>
        <w:t> </w:t>
      </w:r>
      <w:r>
        <w:rPr/>
        <w:t>and</w:t>
      </w:r>
      <w:r>
        <w:rPr>
          <w:spacing w:val="-13"/>
        </w:rPr>
        <w:t> </w:t>
      </w:r>
      <w:r>
        <w:rPr/>
        <w:t>e-Journals, </w:t>
      </w:r>
      <w:r>
        <w:rPr>
          <w:spacing w:val="-2"/>
        </w:rPr>
        <w:t>need</w:t>
      </w:r>
      <w:r>
        <w:rPr>
          <w:spacing w:val="-12"/>
        </w:rPr>
        <w:t> </w:t>
      </w:r>
      <w:r>
        <w:rPr>
          <w:spacing w:val="-2"/>
        </w:rPr>
        <w:t>to</w:t>
      </w:r>
      <w:r>
        <w:rPr>
          <w:spacing w:val="-12"/>
        </w:rPr>
        <w:t> </w:t>
      </w:r>
      <w:r>
        <w:rPr>
          <w:spacing w:val="-2"/>
        </w:rPr>
        <w:t>be</w:t>
      </w:r>
      <w:r>
        <w:rPr>
          <w:spacing w:val="-12"/>
        </w:rPr>
        <w:t> </w:t>
      </w:r>
      <w:r>
        <w:rPr>
          <w:spacing w:val="-2"/>
        </w:rPr>
        <w:t>made</w:t>
      </w:r>
      <w:r>
        <w:rPr>
          <w:spacing w:val="-11"/>
        </w:rPr>
        <w:t> </w:t>
      </w:r>
      <w:r>
        <w:rPr>
          <w:spacing w:val="-2"/>
        </w:rPr>
        <w:t>compulsory</w:t>
      </w:r>
      <w:r>
        <w:rPr>
          <w:spacing w:val="-12"/>
        </w:rPr>
        <w:t> </w:t>
      </w:r>
      <w:r>
        <w:rPr>
          <w:spacing w:val="-2"/>
        </w:rPr>
        <w:t>for</w:t>
      </w:r>
      <w:r>
        <w:rPr>
          <w:spacing w:val="-12"/>
        </w:rPr>
        <w:t> </w:t>
      </w:r>
      <w:r>
        <w:rPr>
          <w:spacing w:val="-2"/>
        </w:rPr>
        <w:t>all</w:t>
      </w:r>
      <w:r>
        <w:rPr>
          <w:spacing w:val="-12"/>
        </w:rPr>
        <w:t> </w:t>
      </w:r>
      <w:r>
        <w:rPr>
          <w:spacing w:val="-2"/>
        </w:rPr>
        <w:t>medical</w:t>
      </w:r>
      <w:r>
        <w:rPr>
          <w:spacing w:val="-11"/>
        </w:rPr>
        <w:t> </w:t>
      </w:r>
      <w:r>
        <w:rPr>
          <w:spacing w:val="-2"/>
        </w:rPr>
        <w:t>colleges</w:t>
      </w:r>
      <w:r>
        <w:rPr>
          <w:spacing w:val="-12"/>
        </w:rPr>
        <w:t> </w:t>
      </w:r>
      <w:r>
        <w:rPr>
          <w:spacing w:val="-2"/>
        </w:rPr>
        <w:t>in </w:t>
      </w:r>
      <w:r>
        <w:rPr/>
        <w:t>the country. For capacity building, ICT tools should be effectively deployed to train the large number of health workers. Short and medium term courses</w:t>
      </w:r>
      <w:r>
        <w:rPr>
          <w:spacing w:val="80"/>
        </w:rPr>
        <w:t> </w:t>
      </w:r>
      <w:r>
        <w:rPr/>
        <w:t>need to be developed and made available on the net to address training needs of all health workers in the field. It should be made affordable, accessible and easily available for small players. There is a need to evolve</w:t>
      </w:r>
      <w:r>
        <w:rPr>
          <w:spacing w:val="-14"/>
        </w:rPr>
        <w:t> </w:t>
      </w:r>
      <w:r>
        <w:rPr/>
        <w:t>common</w:t>
      </w:r>
      <w:r>
        <w:rPr>
          <w:spacing w:val="-14"/>
        </w:rPr>
        <w:t> </w:t>
      </w:r>
      <w:r>
        <w:rPr/>
        <w:t>formats</w:t>
      </w:r>
      <w:r>
        <w:rPr>
          <w:spacing w:val="-14"/>
        </w:rPr>
        <w:t> </w:t>
      </w:r>
      <w:r>
        <w:rPr/>
        <w:t>for</w:t>
      </w:r>
      <w:r>
        <w:rPr>
          <w:spacing w:val="-13"/>
        </w:rPr>
        <w:t> </w:t>
      </w:r>
      <w:r>
        <w:rPr/>
        <w:t>data</w:t>
      </w:r>
      <w:r>
        <w:rPr>
          <w:spacing w:val="-14"/>
        </w:rPr>
        <w:t> </w:t>
      </w:r>
      <w:r>
        <w:rPr/>
        <w:t>reporting</w:t>
      </w:r>
      <w:r>
        <w:rPr>
          <w:spacing w:val="-14"/>
        </w:rPr>
        <w:t> </w:t>
      </w:r>
      <w:r>
        <w:rPr/>
        <w:t>to</w:t>
      </w:r>
      <w:r>
        <w:rPr>
          <w:spacing w:val="-14"/>
        </w:rPr>
        <w:t> </w:t>
      </w:r>
      <w:r>
        <w:rPr/>
        <w:t>facilitate IT enablement of medical manpower at all levels. Education related portals should also be set up for training of medical manpower.</w:t>
      </w:r>
    </w:p>
    <w:p>
      <w:pPr>
        <w:pStyle w:val="Heading6"/>
        <w:numPr>
          <w:ilvl w:val="0"/>
          <w:numId w:val="11"/>
        </w:numPr>
        <w:tabs>
          <w:tab w:pos="643" w:val="left" w:leader="none"/>
          <w:tab w:pos="645" w:val="left" w:leader="none"/>
        </w:tabs>
        <w:spacing w:line="182" w:lineRule="auto" w:before="245" w:after="0"/>
        <w:ind w:left="645" w:right="1431" w:hanging="327"/>
        <w:jc w:val="left"/>
      </w:pPr>
      <w:r>
        <w:rPr>
          <w:color w:val="2E614A"/>
          <w:spacing w:val="-2"/>
        </w:rPr>
        <w:t>Create</w:t>
      </w:r>
      <w:r>
        <w:rPr>
          <w:color w:val="2E614A"/>
          <w:spacing w:val="-18"/>
        </w:rPr>
        <w:t> </w:t>
      </w:r>
      <w:r>
        <w:rPr>
          <w:color w:val="2E614A"/>
          <w:spacing w:val="-2"/>
        </w:rPr>
        <w:t>an</w:t>
      </w:r>
      <w:r>
        <w:rPr>
          <w:color w:val="2E614A"/>
          <w:spacing w:val="-18"/>
        </w:rPr>
        <w:t> </w:t>
      </w:r>
      <w:r>
        <w:rPr>
          <w:color w:val="2E614A"/>
          <w:spacing w:val="-2"/>
        </w:rPr>
        <w:t>Institutional </w:t>
      </w:r>
      <w:r>
        <w:rPr>
          <w:color w:val="2E614A"/>
          <w:w w:val="90"/>
        </w:rPr>
        <w:t>Framework for </w:t>
      </w:r>
      <w:r>
        <w:rPr>
          <w:color w:val="2E614A"/>
          <w:w w:val="90"/>
        </w:rPr>
        <w:t>Implementation</w:t>
      </w:r>
    </w:p>
    <w:p>
      <w:pPr>
        <w:pStyle w:val="BodyText"/>
        <w:spacing w:line="266" w:lineRule="auto" w:before="302"/>
        <w:ind w:left="319" w:right="1077"/>
        <w:jc w:val="both"/>
      </w:pPr>
      <w:r>
        <w:rPr/>
        <w:t>An autonomous body with the Ministry of </w:t>
      </w:r>
      <w:r>
        <w:rPr/>
        <w:t>Health should</w:t>
      </w:r>
      <w:r>
        <w:rPr>
          <w:spacing w:val="-6"/>
        </w:rPr>
        <w:t> </w:t>
      </w:r>
      <w:r>
        <w:rPr/>
        <w:t>be</w:t>
      </w:r>
      <w:r>
        <w:rPr>
          <w:spacing w:val="-6"/>
        </w:rPr>
        <w:t> </w:t>
      </w:r>
      <w:r>
        <w:rPr/>
        <w:t>responsible</w:t>
      </w:r>
      <w:r>
        <w:rPr>
          <w:spacing w:val="-6"/>
        </w:rPr>
        <w:t> </w:t>
      </w:r>
      <w:r>
        <w:rPr/>
        <w:t>for</w:t>
      </w:r>
      <w:r>
        <w:rPr>
          <w:spacing w:val="-6"/>
        </w:rPr>
        <w:t> </w:t>
      </w:r>
      <w:r>
        <w:rPr/>
        <w:t>planning</w:t>
      </w:r>
      <w:r>
        <w:rPr>
          <w:spacing w:val="-6"/>
        </w:rPr>
        <w:t> </w:t>
      </w:r>
      <w:r>
        <w:rPr/>
        <w:t>and</w:t>
      </w:r>
      <w:r>
        <w:rPr>
          <w:spacing w:val="-6"/>
        </w:rPr>
        <w:t> </w:t>
      </w:r>
      <w:r>
        <w:rPr/>
        <w:t>implementing the</w:t>
      </w:r>
      <w:r>
        <w:rPr>
          <w:spacing w:val="-6"/>
        </w:rPr>
        <w:t> </w:t>
      </w:r>
      <w:r>
        <w:rPr/>
        <w:t>project</w:t>
      </w:r>
      <w:r>
        <w:rPr>
          <w:spacing w:val="-6"/>
        </w:rPr>
        <w:t> </w:t>
      </w:r>
      <w:r>
        <w:rPr/>
        <w:t>in</w:t>
      </w:r>
      <w:r>
        <w:rPr>
          <w:spacing w:val="-5"/>
        </w:rPr>
        <w:t> </w:t>
      </w:r>
      <w:r>
        <w:rPr/>
        <w:t>a</w:t>
      </w:r>
      <w:r>
        <w:rPr>
          <w:spacing w:val="-6"/>
        </w:rPr>
        <w:t> </w:t>
      </w:r>
      <w:r>
        <w:rPr/>
        <w:t>time</w:t>
      </w:r>
      <w:r>
        <w:rPr>
          <w:spacing w:val="-5"/>
        </w:rPr>
        <w:t> </w:t>
      </w:r>
      <w:r>
        <w:rPr/>
        <w:t>bound</w:t>
      </w:r>
      <w:r>
        <w:rPr>
          <w:spacing w:val="-6"/>
        </w:rPr>
        <w:t> </w:t>
      </w:r>
      <w:r>
        <w:rPr/>
        <w:t>manner.</w:t>
      </w:r>
      <w:r>
        <w:rPr>
          <w:spacing w:val="-13"/>
        </w:rPr>
        <w:t> </w:t>
      </w:r>
      <w:r>
        <w:rPr/>
        <w:t>This</w:t>
      </w:r>
      <w:r>
        <w:rPr>
          <w:spacing w:val="-6"/>
        </w:rPr>
        <w:t> </w:t>
      </w:r>
      <w:r>
        <w:rPr/>
        <w:t>body</w:t>
      </w:r>
      <w:r>
        <w:rPr>
          <w:spacing w:val="-6"/>
        </w:rPr>
        <w:t> </w:t>
      </w:r>
      <w:r>
        <w:rPr/>
        <w:t>should be autonomous and a non-profit organisation with representation from private, public and voluntary sectors.</w:t>
      </w:r>
      <w:r>
        <w:rPr>
          <w:position w:val="7"/>
          <w:sz w:val="13"/>
        </w:rPr>
        <w:t>1</w:t>
      </w:r>
      <w:r>
        <w:rPr>
          <w:spacing w:val="-9"/>
          <w:position w:val="7"/>
          <w:sz w:val="13"/>
        </w:rPr>
        <w:t> </w:t>
      </w:r>
      <w:r>
        <w:rPr/>
        <w:t>All</w:t>
      </w:r>
      <w:r>
        <w:rPr>
          <w:spacing w:val="-13"/>
        </w:rPr>
        <w:t> </w:t>
      </w:r>
      <w:r>
        <w:rPr/>
        <w:t>stakeholders</w:t>
      </w:r>
      <w:r>
        <w:rPr>
          <w:spacing w:val="-14"/>
        </w:rPr>
        <w:t> </w:t>
      </w:r>
      <w:r>
        <w:rPr/>
        <w:t>should</w:t>
      </w:r>
      <w:r>
        <w:rPr>
          <w:spacing w:val="-14"/>
        </w:rPr>
        <w:t> </w:t>
      </w:r>
      <w:r>
        <w:rPr/>
        <w:t>be</w:t>
      </w:r>
      <w:r>
        <w:rPr>
          <w:spacing w:val="-14"/>
        </w:rPr>
        <w:t> </w:t>
      </w:r>
      <w:r>
        <w:rPr/>
        <w:t>represented</w:t>
      </w:r>
      <w:r>
        <w:rPr>
          <w:spacing w:val="-13"/>
        </w:rPr>
        <w:t> </w:t>
      </w:r>
      <w:r>
        <w:rPr/>
        <w:t>in</w:t>
      </w:r>
      <w:r>
        <w:rPr>
          <w:spacing w:val="-14"/>
        </w:rPr>
        <w:t> </w:t>
      </w:r>
      <w:r>
        <w:rPr/>
        <w:t>this body</w:t>
      </w:r>
      <w:r>
        <w:rPr>
          <w:spacing w:val="-5"/>
        </w:rPr>
        <w:t> </w:t>
      </w:r>
      <w:r>
        <w:rPr/>
        <w:t>and</w:t>
      </w:r>
      <w:r>
        <w:rPr>
          <w:spacing w:val="-5"/>
        </w:rPr>
        <w:t> </w:t>
      </w:r>
      <w:r>
        <w:rPr/>
        <w:t>it</w:t>
      </w:r>
      <w:r>
        <w:rPr>
          <w:spacing w:val="-5"/>
        </w:rPr>
        <w:t> </w:t>
      </w:r>
      <w:r>
        <w:rPr/>
        <w:t>should</w:t>
      </w:r>
      <w:r>
        <w:rPr>
          <w:spacing w:val="-5"/>
        </w:rPr>
        <w:t> </w:t>
      </w:r>
      <w:r>
        <w:rPr/>
        <w:t>have</w:t>
      </w:r>
      <w:r>
        <w:rPr>
          <w:spacing w:val="-5"/>
        </w:rPr>
        <w:t> </w:t>
      </w:r>
      <w:r>
        <w:rPr/>
        <w:t>the</w:t>
      </w:r>
      <w:r>
        <w:rPr>
          <w:spacing w:val="-5"/>
        </w:rPr>
        <w:t> </w:t>
      </w:r>
      <w:r>
        <w:rPr/>
        <w:t>resources</w:t>
      </w:r>
      <w:r>
        <w:rPr>
          <w:spacing w:val="-5"/>
        </w:rPr>
        <w:t> </w:t>
      </w:r>
      <w:r>
        <w:rPr/>
        <w:t>to</w:t>
      </w:r>
      <w:r>
        <w:rPr>
          <w:spacing w:val="-5"/>
        </w:rPr>
        <w:t> </w:t>
      </w:r>
      <w:r>
        <w:rPr/>
        <w:t>promote</w:t>
      </w:r>
      <w:r>
        <w:rPr>
          <w:spacing w:val="-5"/>
        </w:rPr>
        <w:t> </w:t>
      </w:r>
      <w:r>
        <w:rPr/>
        <w:t>and implement the plan. It should also have the authority to</w:t>
      </w:r>
      <w:r>
        <w:rPr>
          <w:spacing w:val="-8"/>
        </w:rPr>
        <w:t> </w:t>
      </w:r>
      <w:r>
        <w:rPr/>
        <w:t>ensure</w:t>
      </w:r>
      <w:r>
        <w:rPr>
          <w:spacing w:val="-8"/>
        </w:rPr>
        <w:t> </w:t>
      </w:r>
      <w:r>
        <w:rPr/>
        <w:t>the</w:t>
      </w:r>
      <w:r>
        <w:rPr>
          <w:spacing w:val="-8"/>
        </w:rPr>
        <w:t> </w:t>
      </w:r>
      <w:r>
        <w:rPr/>
        <w:t>smooth</w:t>
      </w:r>
      <w:r>
        <w:rPr>
          <w:spacing w:val="-8"/>
        </w:rPr>
        <w:t> </w:t>
      </w:r>
      <w:r>
        <w:rPr/>
        <w:t>functioning</w:t>
      </w:r>
      <w:r>
        <w:rPr>
          <w:spacing w:val="-8"/>
        </w:rPr>
        <w:t> </w:t>
      </w:r>
      <w:r>
        <w:rPr/>
        <w:t>of</w:t>
      </w:r>
      <w:r>
        <w:rPr>
          <w:spacing w:val="-8"/>
        </w:rPr>
        <w:t> </w:t>
      </w:r>
      <w:r>
        <w:rPr/>
        <w:t>the</w:t>
      </w:r>
      <w:r>
        <w:rPr>
          <w:spacing w:val="-8"/>
        </w:rPr>
        <w:t> </w:t>
      </w:r>
      <w:r>
        <w:rPr/>
        <w:t>Indian</w:t>
      </w:r>
      <w:r>
        <w:rPr>
          <w:spacing w:val="-8"/>
        </w:rPr>
        <w:t> </w:t>
      </w:r>
      <w:r>
        <w:rPr/>
        <w:t>Health Information Network.</w:t>
      </w:r>
    </w:p>
    <w:p>
      <w:pPr>
        <w:pStyle w:val="BodyText"/>
        <w:spacing w:before="19"/>
      </w:pPr>
    </w:p>
    <w:p>
      <w:pPr>
        <w:pStyle w:val="BodyText"/>
        <w:ind w:left="319"/>
      </w:pPr>
      <w:r>
        <w:rPr>
          <w:spacing w:val="-2"/>
        </w:rPr>
        <w:t>The</w:t>
      </w:r>
      <w:r>
        <w:rPr>
          <w:spacing w:val="-12"/>
        </w:rPr>
        <w:t> </w:t>
      </w:r>
      <w:r>
        <w:rPr>
          <w:spacing w:val="-2"/>
        </w:rPr>
        <w:t>objectives</w:t>
      </w:r>
      <w:r>
        <w:rPr>
          <w:spacing w:val="-11"/>
        </w:rPr>
        <w:t> </w:t>
      </w:r>
      <w:r>
        <w:rPr>
          <w:spacing w:val="-2"/>
        </w:rPr>
        <w:t>for</w:t>
      </w:r>
      <w:r>
        <w:rPr>
          <w:spacing w:val="-12"/>
        </w:rPr>
        <w:t> </w:t>
      </w:r>
      <w:r>
        <w:rPr>
          <w:spacing w:val="-2"/>
        </w:rPr>
        <w:t>this</w:t>
      </w:r>
      <w:r>
        <w:rPr>
          <w:spacing w:val="-11"/>
        </w:rPr>
        <w:t> </w:t>
      </w:r>
      <w:r>
        <w:rPr>
          <w:spacing w:val="-2"/>
        </w:rPr>
        <w:t>institutional</w:t>
      </w:r>
      <w:r>
        <w:rPr>
          <w:spacing w:val="-12"/>
        </w:rPr>
        <w:t> </w:t>
      </w:r>
      <w:r>
        <w:rPr>
          <w:spacing w:val="-2"/>
        </w:rPr>
        <w:t>body</w:t>
      </w:r>
      <w:r>
        <w:rPr>
          <w:spacing w:val="-11"/>
        </w:rPr>
        <w:t> </w:t>
      </w:r>
      <w:r>
        <w:rPr>
          <w:spacing w:val="-2"/>
        </w:rPr>
        <w:t>will</w:t>
      </w:r>
      <w:r>
        <w:rPr>
          <w:spacing w:val="-11"/>
        </w:rPr>
        <w:t> </w:t>
      </w:r>
      <w:r>
        <w:rPr>
          <w:spacing w:val="-5"/>
        </w:rPr>
        <w:t>be:</w:t>
      </w:r>
    </w:p>
    <w:p>
      <w:pPr>
        <w:pStyle w:val="ListParagraph"/>
        <w:numPr>
          <w:ilvl w:val="1"/>
          <w:numId w:val="11"/>
        </w:numPr>
        <w:tabs>
          <w:tab w:pos="679" w:val="left" w:leader="none"/>
        </w:tabs>
        <w:spacing w:line="240" w:lineRule="auto" w:before="27" w:after="0"/>
        <w:ind w:left="679" w:right="0" w:hanging="360"/>
        <w:jc w:val="left"/>
        <w:rPr>
          <w:sz w:val="22"/>
        </w:rPr>
      </w:pPr>
      <w:r>
        <w:rPr>
          <w:spacing w:val="-2"/>
          <w:sz w:val="22"/>
        </w:rPr>
        <w:t>To</w:t>
      </w:r>
      <w:r>
        <w:rPr>
          <w:spacing w:val="-8"/>
          <w:sz w:val="22"/>
        </w:rPr>
        <w:t> </w:t>
      </w:r>
      <w:r>
        <w:rPr>
          <w:spacing w:val="-2"/>
          <w:sz w:val="22"/>
        </w:rPr>
        <w:t>formulate</w:t>
      </w:r>
      <w:r>
        <w:rPr>
          <w:spacing w:val="-8"/>
          <w:sz w:val="22"/>
        </w:rPr>
        <w:t> </w:t>
      </w:r>
      <w:r>
        <w:rPr>
          <w:spacing w:val="-2"/>
          <w:sz w:val="22"/>
        </w:rPr>
        <w:t>an</w:t>
      </w:r>
      <w:r>
        <w:rPr>
          <w:spacing w:val="-8"/>
          <w:sz w:val="22"/>
        </w:rPr>
        <w:t> </w:t>
      </w:r>
      <w:r>
        <w:rPr>
          <w:spacing w:val="-2"/>
          <w:sz w:val="22"/>
        </w:rPr>
        <w:t>implementation</w:t>
      </w:r>
      <w:r>
        <w:rPr>
          <w:spacing w:val="-8"/>
          <w:sz w:val="22"/>
        </w:rPr>
        <w:t> </w:t>
      </w:r>
      <w:r>
        <w:rPr>
          <w:spacing w:val="-4"/>
          <w:sz w:val="22"/>
        </w:rPr>
        <w:t>plan</w:t>
      </w:r>
    </w:p>
    <w:p>
      <w:pPr>
        <w:pStyle w:val="ListParagraph"/>
        <w:numPr>
          <w:ilvl w:val="1"/>
          <w:numId w:val="11"/>
        </w:numPr>
        <w:tabs>
          <w:tab w:pos="679" w:val="left" w:leader="none"/>
        </w:tabs>
        <w:spacing w:line="240" w:lineRule="auto" w:before="27" w:after="0"/>
        <w:ind w:left="679" w:right="0" w:hanging="360"/>
        <w:jc w:val="left"/>
        <w:rPr>
          <w:sz w:val="22"/>
        </w:rPr>
      </w:pPr>
      <w:r>
        <w:rPr>
          <w:spacing w:val="-2"/>
          <w:sz w:val="22"/>
        </w:rPr>
        <w:t>To</w:t>
      </w:r>
      <w:r>
        <w:rPr>
          <w:spacing w:val="-9"/>
          <w:sz w:val="22"/>
        </w:rPr>
        <w:t> </w:t>
      </w:r>
      <w:r>
        <w:rPr>
          <w:spacing w:val="-2"/>
          <w:sz w:val="22"/>
        </w:rPr>
        <w:t>coordinate</w:t>
      </w:r>
      <w:r>
        <w:rPr>
          <w:spacing w:val="-9"/>
          <w:sz w:val="22"/>
        </w:rPr>
        <w:t> </w:t>
      </w:r>
      <w:r>
        <w:rPr>
          <w:spacing w:val="-2"/>
          <w:sz w:val="22"/>
        </w:rPr>
        <w:t>the</w:t>
      </w:r>
      <w:r>
        <w:rPr>
          <w:spacing w:val="-8"/>
          <w:sz w:val="22"/>
        </w:rPr>
        <w:t> </w:t>
      </w:r>
      <w:r>
        <w:rPr>
          <w:spacing w:val="-2"/>
          <w:sz w:val="22"/>
        </w:rPr>
        <w:t>participation</w:t>
      </w:r>
      <w:r>
        <w:rPr>
          <w:spacing w:val="-9"/>
          <w:sz w:val="22"/>
        </w:rPr>
        <w:t> </w:t>
      </w:r>
      <w:r>
        <w:rPr>
          <w:spacing w:val="-2"/>
          <w:sz w:val="22"/>
        </w:rPr>
        <w:t>of</w:t>
      </w:r>
      <w:r>
        <w:rPr>
          <w:spacing w:val="-8"/>
          <w:sz w:val="22"/>
        </w:rPr>
        <w:t> </w:t>
      </w:r>
      <w:r>
        <w:rPr>
          <w:spacing w:val="-2"/>
          <w:sz w:val="22"/>
        </w:rPr>
        <w:t>all</w:t>
      </w:r>
      <w:r>
        <w:rPr>
          <w:spacing w:val="-9"/>
          <w:sz w:val="22"/>
        </w:rPr>
        <w:t> </w:t>
      </w:r>
      <w:r>
        <w:rPr>
          <w:spacing w:val="-2"/>
          <w:sz w:val="22"/>
        </w:rPr>
        <w:t>stakeholders</w:t>
      </w:r>
    </w:p>
    <w:p>
      <w:pPr>
        <w:pStyle w:val="ListParagraph"/>
        <w:numPr>
          <w:ilvl w:val="1"/>
          <w:numId w:val="11"/>
        </w:numPr>
        <w:tabs>
          <w:tab w:pos="679" w:val="left" w:leader="none"/>
        </w:tabs>
        <w:spacing w:line="266" w:lineRule="auto" w:before="27" w:after="0"/>
        <w:ind w:left="679" w:right="1077" w:hanging="360"/>
        <w:jc w:val="left"/>
        <w:rPr>
          <w:sz w:val="22"/>
        </w:rPr>
      </w:pPr>
      <w:r>
        <w:rPr>
          <w:sz w:val="22"/>
        </w:rPr>
        <w:t>To</w:t>
      </w:r>
      <w:r>
        <w:rPr>
          <w:spacing w:val="39"/>
          <w:sz w:val="22"/>
        </w:rPr>
        <w:t> </w:t>
      </w:r>
      <w:r>
        <w:rPr>
          <w:sz w:val="22"/>
        </w:rPr>
        <w:t>create</w:t>
      </w:r>
      <w:r>
        <w:rPr>
          <w:spacing w:val="40"/>
          <w:sz w:val="22"/>
        </w:rPr>
        <w:t> </w:t>
      </w:r>
      <w:r>
        <w:rPr>
          <w:sz w:val="22"/>
        </w:rPr>
        <w:t>linkages</w:t>
      </w:r>
      <w:r>
        <w:rPr>
          <w:spacing w:val="40"/>
          <w:sz w:val="22"/>
        </w:rPr>
        <w:t> </w:t>
      </w:r>
      <w:r>
        <w:rPr>
          <w:sz w:val="22"/>
        </w:rPr>
        <w:t>with</w:t>
      </w:r>
      <w:r>
        <w:rPr>
          <w:spacing w:val="40"/>
          <w:sz w:val="22"/>
        </w:rPr>
        <w:t> </w:t>
      </w:r>
      <w:r>
        <w:rPr>
          <w:sz w:val="22"/>
        </w:rPr>
        <w:t>e-governance,</w:t>
      </w:r>
      <w:r>
        <w:rPr>
          <w:spacing w:val="40"/>
          <w:sz w:val="22"/>
        </w:rPr>
        <w:t> </w:t>
      </w:r>
      <w:r>
        <w:rPr>
          <w:sz w:val="22"/>
        </w:rPr>
        <w:t>medical education network</w:t>
      </w:r>
    </w:p>
    <w:p>
      <w:pPr>
        <w:spacing w:after="0" w:line="266" w:lineRule="auto"/>
        <w:jc w:val="left"/>
        <w:rPr>
          <w:sz w:val="22"/>
        </w:rPr>
        <w:sectPr>
          <w:pgSz w:w="11910" w:h="16840"/>
          <w:pgMar w:header="0" w:footer="675" w:top="940" w:bottom="860" w:left="0" w:right="0"/>
          <w:cols w:num="2" w:equalWidth="0">
            <w:col w:w="5774" w:space="40"/>
            <w:col w:w="6096"/>
          </w:cols>
        </w:sectPr>
      </w:pPr>
    </w:p>
    <w:p>
      <w:pPr>
        <w:pStyle w:val="BodyText"/>
        <w:spacing w:before="130"/>
        <w:rPr>
          <w:sz w:val="20"/>
        </w:rPr>
      </w:pPr>
    </w:p>
    <w:p>
      <w:pPr>
        <w:pStyle w:val="BodyText"/>
        <w:spacing w:line="20" w:lineRule="exact"/>
        <w:ind w:left="1080"/>
        <w:rPr>
          <w:sz w:val="2"/>
        </w:rPr>
      </w:pPr>
      <w:r>
        <w:rPr>
          <w:sz w:val="2"/>
        </w:rPr>
        <mc:AlternateContent>
          <mc:Choice Requires="wps">
            <w:drawing>
              <wp:inline distT="0" distB="0" distL="0" distR="0">
                <wp:extent cx="2408555" cy="6350"/>
                <wp:effectExtent l="0" t="0" r="0" b="0"/>
                <wp:docPr id="835" name="Group 835"/>
                <wp:cNvGraphicFramePr>
                  <a:graphicFrameLocks/>
                </wp:cNvGraphicFramePr>
                <a:graphic>
                  <a:graphicData uri="http://schemas.microsoft.com/office/word/2010/wordprocessingGroup">
                    <wpg:wgp>
                      <wpg:cNvPr id="835" name="Group 835"/>
                      <wpg:cNvGrpSpPr/>
                      <wpg:grpSpPr>
                        <a:xfrm>
                          <a:off x="0" y="0"/>
                          <a:ext cx="2408555" cy="6350"/>
                          <a:chExt cx="2408555" cy="6350"/>
                        </a:xfrm>
                      </wpg:grpSpPr>
                      <wps:wsp>
                        <wps:cNvPr id="836" name="Graphic 836"/>
                        <wps:cNvSpPr/>
                        <wps:spPr>
                          <a:xfrm>
                            <a:off x="0" y="0"/>
                            <a:ext cx="2408555" cy="6350"/>
                          </a:xfrm>
                          <a:custGeom>
                            <a:avLst/>
                            <a:gdLst/>
                            <a:ahLst/>
                            <a:cxnLst/>
                            <a:rect l="l" t="t" r="r" b="b"/>
                            <a:pathLst>
                              <a:path w="2408555" h="6350">
                                <a:moveTo>
                                  <a:pt x="2408400" y="0"/>
                                </a:moveTo>
                                <a:lnTo>
                                  <a:pt x="0" y="0"/>
                                </a:lnTo>
                                <a:lnTo>
                                  <a:pt x="0" y="6350"/>
                                </a:lnTo>
                                <a:lnTo>
                                  <a:pt x="2408400" y="6350"/>
                                </a:lnTo>
                                <a:lnTo>
                                  <a:pt x="240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65pt;height:.5pt;mso-position-horizontal-relative:char;mso-position-vertical-relative:line" id="docshapegroup828" coordorigin="0,0" coordsize="3793,10">
                <v:rect style="position:absolute;left:0;top:0;width:3793;height:10" id="docshape829" filled="true" fillcolor="#000000" stroked="false">
                  <v:fill type="solid"/>
                </v:rect>
              </v:group>
            </w:pict>
          </mc:Fallback>
        </mc:AlternateContent>
      </w:r>
      <w:r>
        <w:rPr>
          <w:sz w:val="2"/>
        </w:rPr>
      </w:r>
    </w:p>
    <w:p>
      <w:pPr>
        <w:spacing w:line="254" w:lineRule="auto" w:before="57"/>
        <w:ind w:left="1079" w:right="921" w:firstLine="0"/>
        <w:jc w:val="left"/>
        <w:rPr>
          <w:sz w:val="18"/>
        </w:rPr>
      </w:pPr>
      <w:r>
        <w:rPr>
          <w:position w:val="6"/>
          <w:sz w:val="10"/>
        </w:rPr>
        <w:t>1</w:t>
      </w:r>
      <w:r>
        <w:rPr>
          <w:spacing w:val="75"/>
          <w:position w:val="6"/>
          <w:sz w:val="10"/>
        </w:rPr>
        <w:t> </w:t>
      </w:r>
      <w:r>
        <w:rPr>
          <w:sz w:val="18"/>
        </w:rPr>
        <w:t>It may be modeled after the Canadian Health Infoway, which is a non-profit autonomous body funded by the federal and provincial governments in Canada.</w:t>
      </w:r>
    </w:p>
    <w:p>
      <w:pPr>
        <w:spacing w:after="0" w:line="254" w:lineRule="auto"/>
        <w:jc w:val="left"/>
        <w:rPr>
          <w:sz w:val="18"/>
        </w:rPr>
        <w:sectPr>
          <w:type w:val="continuous"/>
          <w:pgSz w:w="11910" w:h="16840"/>
          <w:pgMar w:header="0" w:footer="675" w:top="1920" w:bottom="280" w:left="0" w:right="0"/>
        </w:sectPr>
      </w:pPr>
    </w:p>
    <w:p>
      <w:pPr>
        <w:pStyle w:val="ListParagraph"/>
        <w:numPr>
          <w:ilvl w:val="2"/>
          <w:numId w:val="11"/>
        </w:numPr>
        <w:tabs>
          <w:tab w:pos="1439" w:val="left" w:leader="none"/>
        </w:tabs>
        <w:spacing w:line="240" w:lineRule="auto" w:before="60" w:after="0"/>
        <w:ind w:left="1439" w:right="0" w:hanging="359"/>
        <w:jc w:val="left"/>
        <w:rPr>
          <w:sz w:val="22"/>
        </w:rPr>
      </w:pPr>
      <w:r>
        <w:rPr>
          <w:spacing w:val="-4"/>
          <w:sz w:val="22"/>
        </w:rPr>
        <w:t>To</w:t>
      </w:r>
      <w:r>
        <w:rPr>
          <w:spacing w:val="-10"/>
          <w:sz w:val="22"/>
        </w:rPr>
        <w:t> </w:t>
      </w:r>
      <w:r>
        <w:rPr>
          <w:spacing w:val="-4"/>
          <w:sz w:val="22"/>
        </w:rPr>
        <w:t>ensure</w:t>
      </w:r>
      <w:r>
        <w:rPr>
          <w:spacing w:val="-9"/>
          <w:sz w:val="22"/>
        </w:rPr>
        <w:t> </w:t>
      </w:r>
      <w:r>
        <w:rPr>
          <w:spacing w:val="-4"/>
          <w:sz w:val="22"/>
        </w:rPr>
        <w:t>financial</w:t>
      </w:r>
      <w:r>
        <w:rPr>
          <w:spacing w:val="-10"/>
          <w:sz w:val="22"/>
        </w:rPr>
        <w:t> </w:t>
      </w:r>
      <w:r>
        <w:rPr>
          <w:spacing w:val="-4"/>
          <w:sz w:val="22"/>
        </w:rPr>
        <w:t>viability</w:t>
      </w:r>
      <w:r>
        <w:rPr>
          <w:spacing w:val="-9"/>
          <w:sz w:val="22"/>
        </w:rPr>
        <w:t> </w:t>
      </w:r>
      <w:r>
        <w:rPr>
          <w:spacing w:val="-4"/>
          <w:sz w:val="22"/>
        </w:rPr>
        <w:t>of</w:t>
      </w:r>
      <w:r>
        <w:rPr>
          <w:spacing w:val="-9"/>
          <w:sz w:val="22"/>
        </w:rPr>
        <w:t> </w:t>
      </w:r>
      <w:r>
        <w:rPr>
          <w:spacing w:val="-4"/>
          <w:sz w:val="22"/>
        </w:rPr>
        <w:t>the</w:t>
      </w:r>
      <w:r>
        <w:rPr>
          <w:spacing w:val="-10"/>
          <w:sz w:val="22"/>
        </w:rPr>
        <w:t> </w:t>
      </w:r>
      <w:r>
        <w:rPr>
          <w:spacing w:val="-4"/>
          <w:sz w:val="22"/>
        </w:rPr>
        <w:t>project</w:t>
      </w:r>
    </w:p>
    <w:p>
      <w:pPr>
        <w:pStyle w:val="ListParagraph"/>
        <w:numPr>
          <w:ilvl w:val="2"/>
          <w:numId w:val="11"/>
        </w:numPr>
        <w:tabs>
          <w:tab w:pos="1439" w:val="left" w:leader="none"/>
        </w:tabs>
        <w:spacing w:line="266" w:lineRule="auto" w:before="27" w:after="0"/>
        <w:ind w:left="1439" w:right="0" w:hanging="360"/>
        <w:jc w:val="left"/>
        <w:rPr>
          <w:sz w:val="22"/>
        </w:rPr>
      </w:pPr>
      <w:r>
        <w:rPr>
          <w:spacing w:val="-2"/>
          <w:sz w:val="22"/>
        </w:rPr>
        <w:t>To</w:t>
      </w:r>
      <w:r>
        <w:rPr>
          <w:spacing w:val="-12"/>
          <w:sz w:val="22"/>
        </w:rPr>
        <w:t> </w:t>
      </w:r>
      <w:r>
        <w:rPr>
          <w:spacing w:val="-2"/>
          <w:sz w:val="22"/>
        </w:rPr>
        <w:t>set</w:t>
      </w:r>
      <w:r>
        <w:rPr>
          <w:spacing w:val="-12"/>
          <w:sz w:val="22"/>
        </w:rPr>
        <w:t> </w:t>
      </w:r>
      <w:r>
        <w:rPr>
          <w:spacing w:val="-2"/>
          <w:sz w:val="22"/>
        </w:rPr>
        <w:t>up</w:t>
      </w:r>
      <w:r>
        <w:rPr>
          <w:spacing w:val="-12"/>
          <w:sz w:val="22"/>
        </w:rPr>
        <w:t> </w:t>
      </w:r>
      <w:r>
        <w:rPr>
          <w:spacing w:val="-2"/>
          <w:sz w:val="22"/>
        </w:rPr>
        <w:t>a</w:t>
      </w:r>
      <w:r>
        <w:rPr>
          <w:spacing w:val="-11"/>
          <w:sz w:val="22"/>
        </w:rPr>
        <w:t> </w:t>
      </w:r>
      <w:r>
        <w:rPr>
          <w:spacing w:val="-2"/>
          <w:sz w:val="22"/>
        </w:rPr>
        <w:t>comprehensive</w:t>
      </w:r>
      <w:r>
        <w:rPr>
          <w:spacing w:val="-12"/>
          <w:sz w:val="22"/>
        </w:rPr>
        <w:t> </w:t>
      </w:r>
      <w:r>
        <w:rPr>
          <w:spacing w:val="-2"/>
          <w:sz w:val="22"/>
        </w:rPr>
        <w:t>and</w:t>
      </w:r>
      <w:r>
        <w:rPr>
          <w:spacing w:val="-12"/>
          <w:sz w:val="22"/>
        </w:rPr>
        <w:t> </w:t>
      </w:r>
      <w:r>
        <w:rPr>
          <w:spacing w:val="-2"/>
          <w:sz w:val="22"/>
        </w:rPr>
        <w:t>interactive</w:t>
      </w:r>
      <w:r>
        <w:rPr>
          <w:spacing w:val="-12"/>
          <w:sz w:val="22"/>
        </w:rPr>
        <w:t> </w:t>
      </w:r>
      <w:r>
        <w:rPr>
          <w:spacing w:val="-2"/>
          <w:sz w:val="22"/>
        </w:rPr>
        <w:t>national </w:t>
      </w:r>
      <w:r>
        <w:rPr>
          <w:sz w:val="22"/>
        </w:rPr>
        <w:t>health portal</w:t>
      </w:r>
    </w:p>
    <w:p>
      <w:pPr>
        <w:pStyle w:val="ListParagraph"/>
        <w:numPr>
          <w:ilvl w:val="2"/>
          <w:numId w:val="11"/>
        </w:numPr>
        <w:tabs>
          <w:tab w:pos="1439" w:val="left" w:leader="none"/>
        </w:tabs>
        <w:spacing w:line="251" w:lineRule="exact" w:before="0" w:after="0"/>
        <w:ind w:left="1439" w:right="0" w:hanging="359"/>
        <w:jc w:val="left"/>
        <w:rPr>
          <w:sz w:val="22"/>
        </w:rPr>
      </w:pPr>
      <w:r>
        <w:rPr>
          <w:spacing w:val="-4"/>
          <w:sz w:val="22"/>
        </w:rPr>
        <w:t>To suggest common national standards</w:t>
      </w:r>
    </w:p>
    <w:p>
      <w:pPr>
        <w:pStyle w:val="ListParagraph"/>
        <w:numPr>
          <w:ilvl w:val="2"/>
          <w:numId w:val="11"/>
        </w:numPr>
        <w:tabs>
          <w:tab w:pos="1439" w:val="left" w:leader="none"/>
        </w:tabs>
        <w:spacing w:line="240" w:lineRule="auto" w:before="27" w:after="0"/>
        <w:ind w:left="1439" w:right="0" w:hanging="359"/>
        <w:jc w:val="left"/>
        <w:rPr>
          <w:sz w:val="22"/>
        </w:rPr>
      </w:pPr>
      <w:r>
        <w:rPr>
          <w:spacing w:val="-4"/>
          <w:sz w:val="22"/>
        </w:rPr>
        <w:t>To</w:t>
      </w:r>
      <w:r>
        <w:rPr>
          <w:spacing w:val="-3"/>
          <w:sz w:val="22"/>
        </w:rPr>
        <w:t> </w:t>
      </w:r>
      <w:r>
        <w:rPr>
          <w:spacing w:val="-4"/>
          <w:sz w:val="22"/>
        </w:rPr>
        <w:t>protect</w:t>
      </w:r>
      <w:r>
        <w:rPr>
          <w:spacing w:val="-3"/>
          <w:sz w:val="22"/>
        </w:rPr>
        <w:t> </w:t>
      </w:r>
      <w:r>
        <w:rPr>
          <w:spacing w:val="-4"/>
          <w:sz w:val="22"/>
        </w:rPr>
        <w:t>confidentiality</w:t>
      </w:r>
      <w:r>
        <w:rPr>
          <w:spacing w:val="-2"/>
          <w:sz w:val="22"/>
        </w:rPr>
        <w:t> </w:t>
      </w:r>
      <w:r>
        <w:rPr>
          <w:spacing w:val="-4"/>
          <w:sz w:val="22"/>
        </w:rPr>
        <w:t>and</w:t>
      </w:r>
      <w:r>
        <w:rPr>
          <w:spacing w:val="-3"/>
          <w:sz w:val="22"/>
        </w:rPr>
        <w:t> </w:t>
      </w:r>
      <w:r>
        <w:rPr>
          <w:spacing w:val="-4"/>
          <w:sz w:val="22"/>
        </w:rPr>
        <w:t>security</w:t>
      </w:r>
      <w:r>
        <w:rPr>
          <w:spacing w:val="-2"/>
          <w:sz w:val="22"/>
        </w:rPr>
        <w:t> </w:t>
      </w:r>
      <w:r>
        <w:rPr>
          <w:spacing w:val="-4"/>
          <w:sz w:val="22"/>
        </w:rPr>
        <w:t>of</w:t>
      </w:r>
      <w:r>
        <w:rPr>
          <w:spacing w:val="-3"/>
          <w:sz w:val="22"/>
        </w:rPr>
        <w:t> </w:t>
      </w:r>
      <w:r>
        <w:rPr>
          <w:spacing w:val="-4"/>
          <w:sz w:val="22"/>
        </w:rPr>
        <w:t>data</w:t>
      </w:r>
    </w:p>
    <w:p>
      <w:pPr>
        <w:pStyle w:val="ListParagraph"/>
        <w:numPr>
          <w:ilvl w:val="2"/>
          <w:numId w:val="11"/>
        </w:numPr>
        <w:tabs>
          <w:tab w:pos="1439" w:val="left" w:leader="none"/>
        </w:tabs>
        <w:spacing w:line="240" w:lineRule="auto" w:before="27" w:after="0"/>
        <w:ind w:left="1439" w:right="0" w:hanging="359"/>
        <w:jc w:val="left"/>
        <w:rPr>
          <w:sz w:val="22"/>
        </w:rPr>
      </w:pPr>
      <w:r>
        <w:rPr>
          <w:spacing w:val="-6"/>
          <w:sz w:val="22"/>
        </w:rPr>
        <w:t>To</w:t>
      </w:r>
      <w:r>
        <w:rPr>
          <w:spacing w:val="-3"/>
          <w:sz w:val="22"/>
        </w:rPr>
        <w:t> </w:t>
      </w:r>
      <w:r>
        <w:rPr>
          <w:spacing w:val="-6"/>
          <w:sz w:val="22"/>
        </w:rPr>
        <w:t>facilitate</w:t>
      </w:r>
      <w:r>
        <w:rPr>
          <w:spacing w:val="-2"/>
          <w:sz w:val="22"/>
        </w:rPr>
        <w:t> </w:t>
      </w:r>
      <w:r>
        <w:rPr>
          <w:spacing w:val="-6"/>
          <w:sz w:val="22"/>
        </w:rPr>
        <w:t>the</w:t>
      </w:r>
      <w:r>
        <w:rPr>
          <w:spacing w:val="-2"/>
          <w:sz w:val="22"/>
        </w:rPr>
        <w:t> </w:t>
      </w:r>
      <w:r>
        <w:rPr>
          <w:spacing w:val="-6"/>
          <w:sz w:val="22"/>
        </w:rPr>
        <w:t>ownership,</w:t>
      </w:r>
      <w:r>
        <w:rPr>
          <w:spacing w:val="-2"/>
          <w:sz w:val="22"/>
        </w:rPr>
        <w:t> </w:t>
      </w:r>
      <w:r>
        <w:rPr>
          <w:spacing w:val="-6"/>
          <w:sz w:val="22"/>
        </w:rPr>
        <w:t>access</w:t>
      </w:r>
      <w:r>
        <w:rPr>
          <w:spacing w:val="-2"/>
          <w:sz w:val="22"/>
        </w:rPr>
        <w:t> </w:t>
      </w:r>
      <w:r>
        <w:rPr>
          <w:spacing w:val="-6"/>
          <w:sz w:val="22"/>
        </w:rPr>
        <w:t>and</w:t>
      </w:r>
      <w:r>
        <w:rPr>
          <w:spacing w:val="-3"/>
          <w:sz w:val="22"/>
        </w:rPr>
        <w:t> </w:t>
      </w:r>
      <w:r>
        <w:rPr>
          <w:spacing w:val="-6"/>
          <w:sz w:val="22"/>
        </w:rPr>
        <w:t>flow</w:t>
      </w:r>
      <w:r>
        <w:rPr>
          <w:spacing w:val="-2"/>
          <w:sz w:val="22"/>
        </w:rPr>
        <w:t> </w:t>
      </w:r>
      <w:r>
        <w:rPr>
          <w:spacing w:val="-6"/>
          <w:sz w:val="22"/>
        </w:rPr>
        <w:t>of</w:t>
      </w:r>
      <w:r>
        <w:rPr>
          <w:spacing w:val="-2"/>
          <w:sz w:val="22"/>
        </w:rPr>
        <w:t> </w:t>
      </w:r>
      <w:r>
        <w:rPr>
          <w:spacing w:val="-6"/>
          <w:sz w:val="22"/>
        </w:rPr>
        <w:t>data</w:t>
      </w:r>
    </w:p>
    <w:p>
      <w:pPr>
        <w:pStyle w:val="ListParagraph"/>
        <w:numPr>
          <w:ilvl w:val="2"/>
          <w:numId w:val="11"/>
        </w:numPr>
        <w:tabs>
          <w:tab w:pos="1439" w:val="left" w:leader="none"/>
        </w:tabs>
        <w:spacing w:line="240" w:lineRule="auto" w:before="27" w:after="0"/>
        <w:ind w:left="1439" w:right="0" w:hanging="359"/>
        <w:jc w:val="left"/>
        <w:rPr>
          <w:sz w:val="22"/>
        </w:rPr>
      </w:pPr>
      <w:r>
        <w:rPr>
          <w:spacing w:val="-2"/>
          <w:sz w:val="22"/>
        </w:rPr>
        <w:t>To</w:t>
      </w:r>
      <w:r>
        <w:rPr>
          <w:spacing w:val="-7"/>
          <w:sz w:val="22"/>
        </w:rPr>
        <w:t> </w:t>
      </w:r>
      <w:r>
        <w:rPr>
          <w:spacing w:val="-2"/>
          <w:sz w:val="22"/>
        </w:rPr>
        <w:t>maintain</w:t>
      </w:r>
      <w:r>
        <w:rPr>
          <w:spacing w:val="-7"/>
          <w:sz w:val="22"/>
        </w:rPr>
        <w:t> </w:t>
      </w:r>
      <w:r>
        <w:rPr>
          <w:spacing w:val="-2"/>
          <w:sz w:val="22"/>
        </w:rPr>
        <w:t>and</w:t>
      </w:r>
      <w:r>
        <w:rPr>
          <w:spacing w:val="-7"/>
          <w:sz w:val="22"/>
        </w:rPr>
        <w:t> </w:t>
      </w:r>
      <w:r>
        <w:rPr>
          <w:spacing w:val="-2"/>
          <w:sz w:val="22"/>
        </w:rPr>
        <w:t>upgrade</w:t>
      </w:r>
      <w:r>
        <w:rPr>
          <w:spacing w:val="-7"/>
          <w:sz w:val="22"/>
        </w:rPr>
        <w:t> </w:t>
      </w:r>
      <w:r>
        <w:rPr>
          <w:spacing w:val="-2"/>
          <w:sz w:val="22"/>
        </w:rPr>
        <w:t>the</w:t>
      </w:r>
      <w:r>
        <w:rPr>
          <w:spacing w:val="-7"/>
          <w:sz w:val="22"/>
        </w:rPr>
        <w:t> </w:t>
      </w:r>
      <w:r>
        <w:rPr>
          <w:spacing w:val="-2"/>
          <w:sz w:val="22"/>
        </w:rPr>
        <w:t>system</w:t>
      </w:r>
      <w:r>
        <w:rPr>
          <w:spacing w:val="-7"/>
          <w:sz w:val="22"/>
        </w:rPr>
        <w:t> </w:t>
      </w:r>
      <w:r>
        <w:rPr>
          <w:spacing w:val="-2"/>
          <w:sz w:val="22"/>
        </w:rPr>
        <w:t>in</w:t>
      </w:r>
      <w:r>
        <w:rPr>
          <w:spacing w:val="-7"/>
          <w:sz w:val="22"/>
        </w:rPr>
        <w:t> </w:t>
      </w:r>
      <w:r>
        <w:rPr>
          <w:spacing w:val="-2"/>
          <w:sz w:val="22"/>
        </w:rPr>
        <w:t>future</w:t>
      </w:r>
    </w:p>
    <w:p>
      <w:pPr>
        <w:pStyle w:val="BodyText"/>
        <w:spacing w:line="266" w:lineRule="auto" w:before="97"/>
        <w:ind w:left="320" w:right="1077"/>
        <w:jc w:val="both"/>
      </w:pPr>
      <w:r>
        <w:rPr/>
        <w:br w:type="column"/>
      </w:r>
      <w:r>
        <w:rPr/>
        <w:t>The next step in the development of Indian </w:t>
      </w:r>
      <w:r>
        <w:rPr/>
        <w:t>Health Information Network is to formalise the institutional </w:t>
      </w:r>
      <w:r>
        <w:rPr>
          <w:spacing w:val="-4"/>
        </w:rPr>
        <w:t>body</w:t>
      </w:r>
      <w:r>
        <w:rPr>
          <w:spacing w:val="-5"/>
        </w:rPr>
        <w:t> </w:t>
      </w:r>
      <w:r>
        <w:rPr>
          <w:spacing w:val="-4"/>
        </w:rPr>
        <w:t>with</w:t>
      </w:r>
      <w:r>
        <w:rPr>
          <w:spacing w:val="-5"/>
        </w:rPr>
        <w:t> </w:t>
      </w:r>
      <w:r>
        <w:rPr>
          <w:spacing w:val="-4"/>
        </w:rPr>
        <w:t>appropriate</w:t>
      </w:r>
      <w:r>
        <w:rPr>
          <w:spacing w:val="-5"/>
        </w:rPr>
        <w:t> </w:t>
      </w:r>
      <w:r>
        <w:rPr>
          <w:spacing w:val="-4"/>
        </w:rPr>
        <w:t>professional</w:t>
      </w:r>
      <w:r>
        <w:rPr>
          <w:spacing w:val="-5"/>
        </w:rPr>
        <w:t> </w:t>
      </w:r>
      <w:r>
        <w:rPr>
          <w:spacing w:val="-4"/>
        </w:rPr>
        <w:t>people</w:t>
      </w:r>
      <w:r>
        <w:rPr>
          <w:spacing w:val="-5"/>
        </w:rPr>
        <w:t> </w:t>
      </w:r>
      <w:r>
        <w:rPr>
          <w:spacing w:val="-4"/>
        </w:rPr>
        <w:t>with</w:t>
      </w:r>
      <w:r>
        <w:rPr>
          <w:spacing w:val="-5"/>
        </w:rPr>
        <w:t> </w:t>
      </w:r>
      <w:r>
        <w:rPr>
          <w:spacing w:val="-4"/>
        </w:rPr>
        <w:t>domain expertise,</w:t>
      </w:r>
      <w:r>
        <w:rPr>
          <w:spacing w:val="-7"/>
        </w:rPr>
        <w:t> </w:t>
      </w:r>
      <w:r>
        <w:rPr>
          <w:spacing w:val="-4"/>
        </w:rPr>
        <w:t>adequate</w:t>
      </w:r>
      <w:r>
        <w:rPr>
          <w:spacing w:val="-7"/>
        </w:rPr>
        <w:t> </w:t>
      </w:r>
      <w:r>
        <w:rPr>
          <w:spacing w:val="-4"/>
        </w:rPr>
        <w:t>budget,</w:t>
      </w:r>
      <w:r>
        <w:rPr>
          <w:spacing w:val="-7"/>
        </w:rPr>
        <w:t> </w:t>
      </w:r>
      <w:r>
        <w:rPr>
          <w:spacing w:val="-4"/>
        </w:rPr>
        <w:t>time</w:t>
      </w:r>
      <w:r>
        <w:rPr>
          <w:spacing w:val="-7"/>
        </w:rPr>
        <w:t> </w:t>
      </w:r>
      <w:r>
        <w:rPr>
          <w:spacing w:val="-4"/>
        </w:rPr>
        <w:t>tables,</w:t>
      </w:r>
      <w:r>
        <w:rPr>
          <w:spacing w:val="-7"/>
        </w:rPr>
        <w:t> </w:t>
      </w:r>
      <w:r>
        <w:rPr>
          <w:spacing w:val="-4"/>
        </w:rPr>
        <w:t>and</w:t>
      </w:r>
      <w:r>
        <w:rPr>
          <w:spacing w:val="-7"/>
        </w:rPr>
        <w:t> </w:t>
      </w:r>
      <w:r>
        <w:rPr>
          <w:spacing w:val="-4"/>
        </w:rPr>
        <w:t>measurable </w:t>
      </w:r>
      <w:r>
        <w:rPr/>
        <w:t>milestones</w:t>
      </w:r>
      <w:r>
        <w:rPr>
          <w:spacing w:val="-14"/>
        </w:rPr>
        <w:t> </w:t>
      </w:r>
      <w:r>
        <w:rPr/>
        <w:t>to</w:t>
      </w:r>
      <w:r>
        <w:rPr>
          <w:spacing w:val="-14"/>
        </w:rPr>
        <w:t> </w:t>
      </w:r>
      <w:r>
        <w:rPr/>
        <w:t>implement</w:t>
      </w:r>
      <w:r>
        <w:rPr>
          <w:spacing w:val="-14"/>
        </w:rPr>
        <w:t> </w:t>
      </w:r>
      <w:r>
        <w:rPr/>
        <w:t>these</w:t>
      </w:r>
      <w:r>
        <w:rPr>
          <w:spacing w:val="-13"/>
        </w:rPr>
        <w:t> </w:t>
      </w:r>
      <w:r>
        <w:rPr/>
        <w:t>recommendations.</w:t>
      </w:r>
      <w:r>
        <w:rPr>
          <w:spacing w:val="-14"/>
        </w:rPr>
        <w:t> </w:t>
      </w:r>
      <w:r>
        <w:rPr/>
        <w:t>The body</w:t>
      </w:r>
      <w:r>
        <w:rPr>
          <w:spacing w:val="-2"/>
        </w:rPr>
        <w:t> </w:t>
      </w:r>
      <w:r>
        <w:rPr/>
        <w:t>may</w:t>
      </w:r>
      <w:r>
        <w:rPr>
          <w:spacing w:val="-2"/>
        </w:rPr>
        <w:t> </w:t>
      </w:r>
      <w:r>
        <w:rPr/>
        <w:t>consider</w:t>
      </w:r>
      <w:r>
        <w:rPr>
          <w:spacing w:val="-2"/>
        </w:rPr>
        <w:t> </w:t>
      </w:r>
      <w:r>
        <w:rPr/>
        <w:t>conducting</w:t>
      </w:r>
      <w:r>
        <w:rPr>
          <w:spacing w:val="-2"/>
        </w:rPr>
        <w:t> </w:t>
      </w:r>
      <w:r>
        <w:rPr/>
        <w:t>pilot</w:t>
      </w:r>
      <w:r>
        <w:rPr>
          <w:spacing w:val="-2"/>
        </w:rPr>
        <w:t> </w:t>
      </w:r>
      <w:r>
        <w:rPr/>
        <w:t>programs</w:t>
      </w:r>
      <w:r>
        <w:rPr>
          <w:spacing w:val="-2"/>
        </w:rPr>
        <w:t> </w:t>
      </w:r>
      <w:r>
        <w:rPr/>
        <w:t>before scaling at the national level.</w:t>
      </w:r>
    </w:p>
    <w:p>
      <w:pPr>
        <w:spacing w:after="0" w:line="266" w:lineRule="auto"/>
        <w:jc w:val="both"/>
        <w:sectPr>
          <w:pgSz w:w="11910" w:h="16840"/>
          <w:pgMar w:header="0" w:footer="634" w:top="920" w:bottom="860" w:left="0" w:right="0"/>
          <w:cols w:num="2" w:equalWidth="0">
            <w:col w:w="5773" w:space="40"/>
            <w:col w:w="60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756"/>
        <w:jc w:val="both"/>
      </w:pPr>
      <w:r>
        <w:rPr/>
        <mc:AlternateContent>
          <mc:Choice Requires="wps">
            <w:drawing>
              <wp:anchor distT="0" distB="0" distL="0" distR="0" allowOverlap="1" layoutInCell="1" locked="0" behindDoc="0" simplePos="0" relativeHeight="15756288">
                <wp:simplePos x="0" y="0"/>
                <wp:positionH relativeFrom="page">
                  <wp:posOffset>0</wp:posOffset>
                </wp:positionH>
                <wp:positionV relativeFrom="paragraph">
                  <wp:posOffset>-2277393</wp:posOffset>
                </wp:positionV>
                <wp:extent cx="7560309" cy="1752600"/>
                <wp:effectExtent l="0" t="0" r="0" b="0"/>
                <wp:wrapNone/>
                <wp:docPr id="837" name="Group 837"/>
                <wp:cNvGraphicFramePr>
                  <a:graphicFrameLocks/>
                </wp:cNvGraphicFramePr>
                <a:graphic>
                  <a:graphicData uri="http://schemas.microsoft.com/office/word/2010/wordprocessingGroup">
                    <wpg:wgp>
                      <wpg:cNvPr id="837" name="Group 837"/>
                      <wpg:cNvGrpSpPr/>
                      <wpg:grpSpPr>
                        <a:xfrm>
                          <a:off x="0" y="0"/>
                          <a:ext cx="7560309" cy="1752600"/>
                          <a:chExt cx="7560309" cy="1752600"/>
                        </a:xfrm>
                      </wpg:grpSpPr>
                      <pic:pic>
                        <pic:nvPicPr>
                          <pic:cNvPr id="838" name="Image 838"/>
                          <pic:cNvPicPr/>
                        </pic:nvPicPr>
                        <pic:blipFill>
                          <a:blip r:embed="rId11" cstate="print"/>
                          <a:stretch>
                            <a:fillRect/>
                          </a:stretch>
                        </pic:blipFill>
                        <pic:spPr>
                          <a:xfrm>
                            <a:off x="0" y="0"/>
                            <a:ext cx="7559999" cy="1752562"/>
                          </a:xfrm>
                          <a:prstGeom prst="rect">
                            <a:avLst/>
                          </a:prstGeom>
                        </pic:spPr>
                      </pic:pic>
                      <wps:wsp>
                        <wps:cNvPr id="839" name="Textbox 839"/>
                        <wps:cNvSpPr txBox="1"/>
                        <wps:spPr>
                          <a:xfrm>
                            <a:off x="685800" y="598694"/>
                            <a:ext cx="1390650" cy="501650"/>
                          </a:xfrm>
                          <a:prstGeom prst="rect">
                            <a:avLst/>
                          </a:prstGeom>
                        </wps:spPr>
                        <wps:txbx>
                          <w:txbxContent>
                            <w:p>
                              <w:pPr>
                                <w:spacing w:before="0"/>
                                <w:ind w:left="0" w:right="0" w:firstLine="0"/>
                                <w:jc w:val="left"/>
                                <w:rPr>
                                  <w:rFonts w:ascii="Trebuchet MS"/>
                                  <w:b/>
                                  <w:sz w:val="68"/>
                                </w:rPr>
                              </w:pPr>
                              <w:r>
                                <w:rPr>
                                  <w:rFonts w:ascii="Trebuchet MS"/>
                                  <w:b/>
                                  <w:color w:val="FFFFFF"/>
                                  <w:spacing w:val="-4"/>
                                  <w:sz w:val="68"/>
                                </w:rPr>
                                <w:t>Portals</w:t>
                              </w:r>
                            </w:p>
                          </w:txbxContent>
                        </wps:txbx>
                        <wps:bodyPr wrap="square" lIns="0" tIns="0" rIns="0" bIns="0" rtlCol="0">
                          <a:noAutofit/>
                        </wps:bodyPr>
                      </wps:wsp>
                      <wps:wsp>
                        <wps:cNvPr id="840" name="Textbox 840"/>
                        <wps:cNvSpPr txBox="1"/>
                        <wps:spPr>
                          <a:xfrm>
                            <a:off x="5986699" y="1439112"/>
                            <a:ext cx="900430" cy="158750"/>
                          </a:xfrm>
                          <a:prstGeom prst="rect">
                            <a:avLst/>
                          </a:prstGeom>
                        </wps:spPr>
                        <wps:txbx>
                          <w:txbxContent>
                            <w:p>
                              <w:pPr>
                                <w:spacing w:line="238" w:lineRule="exact" w:before="0"/>
                                <w:ind w:left="0" w:right="0" w:firstLine="0"/>
                                <w:jc w:val="left"/>
                                <w:rPr>
                                  <w:b/>
                                  <w:sz w:val="22"/>
                                </w:rPr>
                              </w:pPr>
                              <w:r>
                                <w:rPr>
                                  <w:b/>
                                  <w:color w:val="FFFFFF"/>
                                  <w:w w:val="90"/>
                                  <w:sz w:val="22"/>
                                </w:rPr>
                                <w:t>January</w:t>
                              </w:r>
                              <w:r>
                                <w:rPr>
                                  <w:b/>
                                  <w:color w:val="FFFFFF"/>
                                  <w:spacing w:val="-6"/>
                                  <w:w w:val="90"/>
                                  <w:sz w:val="22"/>
                                </w:rPr>
                                <w:t> </w:t>
                              </w:r>
                              <w:r>
                                <w:rPr>
                                  <w:b/>
                                  <w:color w:val="FFFFFF"/>
                                  <w:w w:val="90"/>
                                  <w:sz w:val="22"/>
                                </w:rPr>
                                <w:t>9,</w:t>
                              </w:r>
                              <w:r>
                                <w:rPr>
                                  <w:b/>
                                  <w:color w:val="FFFFFF"/>
                                  <w:spacing w:val="-5"/>
                                  <w:w w:val="90"/>
                                  <w:sz w:val="22"/>
                                </w:rPr>
                                <w:t> </w:t>
                              </w:r>
                              <w:r>
                                <w:rPr>
                                  <w:b/>
                                  <w:color w:val="FFFFFF"/>
                                  <w:spacing w:val="-4"/>
                                  <w:w w:val="90"/>
                                  <w:sz w:val="22"/>
                                </w:rPr>
                                <w:t>2007</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56288" id="docshapegroup830" coordorigin="0,-3586" coordsize="11906,2760">
                <v:shape style="position:absolute;left:0;top:-3587;width:11906;height:2760" type="#_x0000_t75" id="docshape831" stroked="false">
                  <v:imagedata r:id="rId11" o:title=""/>
                </v:shape>
                <v:shape style="position:absolute;left:1080;top:-2644;width:2190;height:790" type="#_x0000_t202" id="docshape832" filled="false" stroked="false">
                  <v:textbox inset="0,0,0,0">
                    <w:txbxContent>
                      <w:p>
                        <w:pPr>
                          <w:spacing w:before="0"/>
                          <w:ind w:left="0" w:right="0" w:firstLine="0"/>
                          <w:jc w:val="left"/>
                          <w:rPr>
                            <w:rFonts w:ascii="Trebuchet MS"/>
                            <w:b/>
                            <w:sz w:val="68"/>
                          </w:rPr>
                        </w:pPr>
                        <w:r>
                          <w:rPr>
                            <w:rFonts w:ascii="Trebuchet MS"/>
                            <w:b/>
                            <w:color w:val="FFFFFF"/>
                            <w:spacing w:val="-4"/>
                            <w:sz w:val="68"/>
                          </w:rPr>
                          <w:t>Portals</w:t>
                        </w:r>
                      </w:p>
                    </w:txbxContent>
                  </v:textbox>
                  <w10:wrap type="none"/>
                </v:shape>
                <v:shape style="position:absolute;left:9427;top:-1321;width:1418;height:250" type="#_x0000_t202" id="docshape833" filled="false" stroked="false">
                  <v:textbox inset="0,0,0,0">
                    <w:txbxContent>
                      <w:p>
                        <w:pPr>
                          <w:spacing w:line="238" w:lineRule="exact" w:before="0"/>
                          <w:ind w:left="0" w:right="0" w:firstLine="0"/>
                          <w:jc w:val="left"/>
                          <w:rPr>
                            <w:b/>
                            <w:sz w:val="22"/>
                          </w:rPr>
                        </w:pPr>
                        <w:r>
                          <w:rPr>
                            <w:b/>
                            <w:color w:val="FFFFFF"/>
                            <w:w w:val="90"/>
                            <w:sz w:val="22"/>
                          </w:rPr>
                          <w:t>January</w:t>
                        </w:r>
                        <w:r>
                          <w:rPr>
                            <w:b/>
                            <w:color w:val="FFFFFF"/>
                            <w:spacing w:val="-6"/>
                            <w:w w:val="90"/>
                            <w:sz w:val="22"/>
                          </w:rPr>
                          <w:t> </w:t>
                        </w:r>
                        <w:r>
                          <w:rPr>
                            <w:b/>
                            <w:color w:val="FFFFFF"/>
                            <w:w w:val="90"/>
                            <w:sz w:val="22"/>
                          </w:rPr>
                          <w:t>9,</w:t>
                        </w:r>
                        <w:r>
                          <w:rPr>
                            <w:b/>
                            <w:color w:val="FFFFFF"/>
                            <w:spacing w:val="-5"/>
                            <w:w w:val="90"/>
                            <w:sz w:val="22"/>
                          </w:rPr>
                          <w:t> </w:t>
                        </w:r>
                        <w:r>
                          <w:rPr>
                            <w:b/>
                            <w:color w:val="FFFFFF"/>
                            <w:spacing w:val="-4"/>
                            <w:w w:val="90"/>
                            <w:sz w:val="22"/>
                          </w:rPr>
                          <w:t>2007</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33376">
                <wp:simplePos x="0" y="0"/>
                <wp:positionH relativeFrom="page">
                  <wp:posOffset>685799</wp:posOffset>
                </wp:positionH>
                <wp:positionV relativeFrom="paragraph">
                  <wp:posOffset>-36767</wp:posOffset>
                </wp:positionV>
                <wp:extent cx="436245" cy="75755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436245" cy="757555"/>
                        </a:xfrm>
                        <a:prstGeom prst="rect">
                          <a:avLst/>
                        </a:prstGeom>
                      </wps:spPr>
                      <wps:txbx>
                        <w:txbxContent>
                          <w:p>
                            <w:pPr>
                              <w:spacing w:line="1135" w:lineRule="exact" w:before="0"/>
                              <w:ind w:left="0" w:right="0" w:firstLine="0"/>
                              <w:jc w:val="left"/>
                              <w:rPr>
                                <w:sz w:val="106"/>
                              </w:rPr>
                            </w:pPr>
                            <w:r>
                              <w:rPr>
                                <w:color w:val="9CBF3B"/>
                                <w:spacing w:val="-32"/>
                                <w:sz w:val="106"/>
                              </w:rPr>
                              <w:t>R</w:t>
                            </w:r>
                          </w:p>
                        </w:txbxContent>
                      </wps:txbx>
                      <wps:bodyPr wrap="square" lIns="0" tIns="0" rIns="0" bIns="0" rtlCol="0">
                        <a:noAutofit/>
                      </wps:bodyPr>
                    </wps:wsp>
                  </a:graphicData>
                </a:graphic>
              </wp:anchor>
            </w:drawing>
          </mc:Choice>
          <mc:Fallback>
            <w:pict>
              <v:shape style="position:absolute;margin-left:53.999981pt;margin-top:-2.89511pt;width:34.35pt;height:59.65pt;mso-position-horizontal-relative:page;mso-position-vertical-relative:paragraph;z-index:-23983104" type="#_x0000_t202" id="docshape834" filled="false" stroked="false">
                <v:textbox inset="0,0,0,0">
                  <w:txbxContent>
                    <w:p>
                      <w:pPr>
                        <w:spacing w:line="1135" w:lineRule="exact" w:before="0"/>
                        <w:ind w:left="0" w:right="0" w:firstLine="0"/>
                        <w:jc w:val="left"/>
                        <w:rPr>
                          <w:sz w:val="106"/>
                        </w:rPr>
                      </w:pPr>
                      <w:r>
                        <w:rPr>
                          <w:color w:val="9CBF3B"/>
                          <w:spacing w:val="-32"/>
                          <w:sz w:val="106"/>
                        </w:rPr>
                        <w:t>R</w:t>
                      </w:r>
                    </w:p>
                  </w:txbxContent>
                </v:textbox>
                <w10:wrap type="none"/>
              </v:shape>
            </w:pict>
          </mc:Fallback>
        </mc:AlternateContent>
      </w:r>
      <w:r>
        <w:rPr/>
        <w:t>ecognising that the Internet constitutes a </w:t>
      </w:r>
      <w:r>
        <w:rPr>
          <w:spacing w:val="-4"/>
        </w:rPr>
        <w:t>powerful</w:t>
      </w:r>
      <w:r>
        <w:rPr>
          <w:spacing w:val="-5"/>
        </w:rPr>
        <w:t> </w:t>
      </w:r>
      <w:r>
        <w:rPr>
          <w:spacing w:val="-4"/>
        </w:rPr>
        <w:t>and</w:t>
      </w:r>
      <w:r>
        <w:rPr>
          <w:spacing w:val="-5"/>
        </w:rPr>
        <w:t> </w:t>
      </w:r>
      <w:r>
        <w:rPr>
          <w:spacing w:val="-4"/>
        </w:rPr>
        <w:t>democratic</w:t>
      </w:r>
      <w:r>
        <w:rPr>
          <w:spacing w:val="-5"/>
        </w:rPr>
        <w:t> </w:t>
      </w:r>
      <w:r>
        <w:rPr>
          <w:spacing w:val="-4"/>
        </w:rPr>
        <w:t>source</w:t>
      </w:r>
      <w:r>
        <w:rPr>
          <w:spacing w:val="-5"/>
        </w:rPr>
        <w:t> </w:t>
      </w:r>
      <w:r>
        <w:rPr>
          <w:spacing w:val="-4"/>
        </w:rPr>
        <w:t>of</w:t>
      </w:r>
      <w:r>
        <w:rPr>
          <w:spacing w:val="-5"/>
        </w:rPr>
        <w:t> </w:t>
      </w:r>
      <w:r>
        <w:rPr>
          <w:spacing w:val="-4"/>
        </w:rPr>
        <w:t>information </w:t>
      </w:r>
      <w:r>
        <w:rPr/>
        <w:t>and</w:t>
      </w:r>
      <w:r>
        <w:rPr>
          <w:spacing w:val="31"/>
        </w:rPr>
        <w:t>  </w:t>
      </w:r>
      <w:r>
        <w:rPr/>
        <w:t>knowledge,</w:t>
      </w:r>
      <w:r>
        <w:rPr>
          <w:spacing w:val="32"/>
        </w:rPr>
        <w:t>  </w:t>
      </w:r>
      <w:r>
        <w:rPr/>
        <w:t>the</w:t>
      </w:r>
      <w:r>
        <w:rPr>
          <w:spacing w:val="32"/>
        </w:rPr>
        <w:t>  </w:t>
      </w:r>
      <w:r>
        <w:rPr/>
        <w:t>National</w:t>
      </w:r>
      <w:r>
        <w:rPr>
          <w:spacing w:val="32"/>
        </w:rPr>
        <w:t>  </w:t>
      </w:r>
      <w:r>
        <w:rPr>
          <w:spacing w:val="-9"/>
        </w:rPr>
        <w:t>Knowledge</w:t>
      </w:r>
    </w:p>
    <w:p>
      <w:pPr>
        <w:pStyle w:val="BodyText"/>
        <w:spacing w:line="266" w:lineRule="auto"/>
        <w:ind w:left="1079"/>
        <w:jc w:val="both"/>
      </w:pPr>
      <w:r>
        <w:rPr/>
        <w:t>Commission (NKC) deliberated on ways to create a </w:t>
      </w:r>
      <w:r>
        <w:rPr>
          <w:spacing w:val="-4"/>
        </w:rPr>
        <w:t>series</w:t>
      </w:r>
      <w:r>
        <w:rPr>
          <w:spacing w:val="-10"/>
        </w:rPr>
        <w:t> </w:t>
      </w:r>
      <w:r>
        <w:rPr>
          <w:spacing w:val="-4"/>
        </w:rPr>
        <w:t>of</w:t>
      </w:r>
      <w:r>
        <w:rPr>
          <w:spacing w:val="-10"/>
        </w:rPr>
        <w:t> </w:t>
      </w:r>
      <w:r>
        <w:rPr>
          <w:spacing w:val="-4"/>
        </w:rPr>
        <w:t>web</w:t>
      </w:r>
      <w:r>
        <w:rPr>
          <w:spacing w:val="-8"/>
        </w:rPr>
        <w:t> </w:t>
      </w:r>
      <w:r>
        <w:rPr>
          <w:spacing w:val="-4"/>
        </w:rPr>
        <w:t>portals.</w:t>
      </w:r>
      <w:r>
        <w:rPr>
          <w:spacing w:val="-10"/>
        </w:rPr>
        <w:t> </w:t>
      </w:r>
      <w:r>
        <w:rPr>
          <w:spacing w:val="-4"/>
        </w:rPr>
        <w:t>These</w:t>
      </w:r>
      <w:r>
        <w:rPr>
          <w:spacing w:val="-8"/>
        </w:rPr>
        <w:t> </w:t>
      </w:r>
      <w:r>
        <w:rPr>
          <w:spacing w:val="-4"/>
        </w:rPr>
        <w:t>web</w:t>
      </w:r>
      <w:r>
        <w:rPr>
          <w:spacing w:val="-8"/>
        </w:rPr>
        <w:t> </w:t>
      </w:r>
      <w:r>
        <w:rPr>
          <w:spacing w:val="-4"/>
        </w:rPr>
        <w:t>portals</w:t>
      </w:r>
      <w:r>
        <w:rPr>
          <w:spacing w:val="-8"/>
        </w:rPr>
        <w:t> </w:t>
      </w:r>
      <w:r>
        <w:rPr>
          <w:spacing w:val="-4"/>
        </w:rPr>
        <w:t>should</w:t>
      </w:r>
      <w:r>
        <w:rPr>
          <w:spacing w:val="-8"/>
        </w:rPr>
        <w:t> </w:t>
      </w:r>
      <w:r>
        <w:rPr>
          <w:spacing w:val="-4"/>
        </w:rPr>
        <w:t>become </w:t>
      </w:r>
      <w:r>
        <w:rPr/>
        <w:t>a</w:t>
      </w:r>
      <w:r>
        <w:rPr>
          <w:spacing w:val="-14"/>
        </w:rPr>
        <w:t> </w:t>
      </w:r>
      <w:r>
        <w:rPr/>
        <w:t>decisive</w:t>
      </w:r>
      <w:r>
        <w:rPr>
          <w:spacing w:val="-14"/>
        </w:rPr>
        <w:t> </w:t>
      </w:r>
      <w:r>
        <w:rPr/>
        <w:t>tool</w:t>
      </w:r>
      <w:r>
        <w:rPr>
          <w:spacing w:val="-14"/>
        </w:rPr>
        <w:t> </w:t>
      </w:r>
      <w:r>
        <w:rPr/>
        <w:t>in</w:t>
      </w:r>
      <w:r>
        <w:rPr>
          <w:spacing w:val="-13"/>
        </w:rPr>
        <w:t> </w:t>
      </w:r>
      <w:r>
        <w:rPr/>
        <w:t>the</w:t>
      </w:r>
      <w:r>
        <w:rPr>
          <w:spacing w:val="-14"/>
        </w:rPr>
        <w:t> </w:t>
      </w:r>
      <w:r>
        <w:rPr/>
        <w:t>popular</w:t>
      </w:r>
      <w:r>
        <w:rPr>
          <w:spacing w:val="-14"/>
        </w:rPr>
        <w:t> </w:t>
      </w:r>
      <w:r>
        <w:rPr/>
        <w:t>movements</w:t>
      </w:r>
      <w:r>
        <w:rPr>
          <w:spacing w:val="-14"/>
        </w:rPr>
        <w:t> </w:t>
      </w:r>
      <w:r>
        <w:rPr/>
        <w:t>in</w:t>
      </w:r>
      <w:r>
        <w:rPr>
          <w:spacing w:val="-13"/>
        </w:rPr>
        <w:t> </w:t>
      </w:r>
      <w:r>
        <w:rPr/>
        <w:t>support</w:t>
      </w:r>
      <w:r>
        <w:rPr>
          <w:spacing w:val="-14"/>
        </w:rPr>
        <w:t> </w:t>
      </w:r>
      <w:r>
        <w:rPr/>
        <w:t>of </w:t>
      </w:r>
      <w:r>
        <w:rPr>
          <w:spacing w:val="-4"/>
        </w:rPr>
        <w:t>the right to information, decentralisation, transparency, </w:t>
      </w:r>
      <w:r>
        <w:rPr>
          <w:spacing w:val="-2"/>
        </w:rPr>
        <w:t>accountability</w:t>
      </w:r>
      <w:r>
        <w:rPr>
          <w:spacing w:val="-12"/>
        </w:rPr>
        <w:t> </w:t>
      </w:r>
      <w:r>
        <w:rPr>
          <w:spacing w:val="-2"/>
        </w:rPr>
        <w:t>and</w:t>
      </w:r>
      <w:r>
        <w:rPr>
          <w:spacing w:val="-12"/>
        </w:rPr>
        <w:t> </w:t>
      </w:r>
      <w:r>
        <w:rPr>
          <w:spacing w:val="-2"/>
        </w:rPr>
        <w:t>people’s</w:t>
      </w:r>
      <w:r>
        <w:rPr>
          <w:spacing w:val="-12"/>
        </w:rPr>
        <w:t> </w:t>
      </w:r>
      <w:r>
        <w:rPr>
          <w:spacing w:val="-2"/>
        </w:rPr>
        <w:t>participation.</w:t>
      </w:r>
    </w:p>
    <w:p>
      <w:pPr>
        <w:pStyle w:val="BodyText"/>
        <w:spacing w:before="21"/>
      </w:pPr>
    </w:p>
    <w:p>
      <w:pPr>
        <w:pStyle w:val="BodyText"/>
        <w:spacing w:line="266" w:lineRule="auto"/>
        <w:ind w:left="1079"/>
        <w:jc w:val="both"/>
      </w:pPr>
      <w:r>
        <w:rPr>
          <w:spacing w:val="-4"/>
        </w:rPr>
        <w:t>In</w:t>
      </w:r>
      <w:r>
        <w:rPr>
          <w:spacing w:val="-9"/>
        </w:rPr>
        <w:t> </w:t>
      </w:r>
      <w:r>
        <w:rPr>
          <w:spacing w:val="-4"/>
        </w:rPr>
        <w:t>order</w:t>
      </w:r>
      <w:r>
        <w:rPr>
          <w:spacing w:val="-9"/>
        </w:rPr>
        <w:t> </w:t>
      </w:r>
      <w:r>
        <w:rPr>
          <w:spacing w:val="-4"/>
        </w:rPr>
        <w:t>to</w:t>
      </w:r>
      <w:r>
        <w:rPr>
          <w:spacing w:val="-9"/>
        </w:rPr>
        <w:t> </w:t>
      </w:r>
      <w:r>
        <w:rPr>
          <w:spacing w:val="-4"/>
        </w:rPr>
        <w:t>increase</w:t>
      </w:r>
      <w:r>
        <w:rPr>
          <w:spacing w:val="-9"/>
        </w:rPr>
        <w:t> </w:t>
      </w:r>
      <w:r>
        <w:rPr>
          <w:spacing w:val="-4"/>
        </w:rPr>
        <w:t>openness</w:t>
      </w:r>
      <w:r>
        <w:rPr>
          <w:spacing w:val="-9"/>
        </w:rPr>
        <w:t> </w:t>
      </w:r>
      <w:r>
        <w:rPr>
          <w:spacing w:val="-4"/>
        </w:rPr>
        <w:t>and</w:t>
      </w:r>
      <w:r>
        <w:rPr>
          <w:spacing w:val="-9"/>
        </w:rPr>
        <w:t> </w:t>
      </w:r>
      <w:r>
        <w:rPr>
          <w:spacing w:val="-4"/>
        </w:rPr>
        <w:t>enhance</w:t>
      </w:r>
      <w:r>
        <w:rPr>
          <w:spacing w:val="-9"/>
        </w:rPr>
        <w:t> </w:t>
      </w:r>
      <w:r>
        <w:rPr>
          <w:spacing w:val="-4"/>
        </w:rPr>
        <w:t>accessibility, </w:t>
      </w:r>
      <w:r>
        <w:rPr/>
        <w:t>NKC recommends the creation of web portals to aggregate, organise and present relevant and useful content in local languages, in a highly uniform, customisable, user friendly and personalised way for several</w:t>
      </w:r>
      <w:r>
        <w:rPr>
          <w:spacing w:val="-13"/>
        </w:rPr>
        <w:t> </w:t>
      </w:r>
      <w:r>
        <w:rPr/>
        <w:t>key</w:t>
      </w:r>
      <w:r>
        <w:rPr>
          <w:spacing w:val="-13"/>
        </w:rPr>
        <w:t> </w:t>
      </w:r>
      <w:r>
        <w:rPr/>
        <w:t>areas</w:t>
      </w:r>
      <w:r>
        <w:rPr>
          <w:spacing w:val="-13"/>
        </w:rPr>
        <w:t> </w:t>
      </w:r>
      <w:r>
        <w:rPr/>
        <w:t>related</w:t>
      </w:r>
      <w:r>
        <w:rPr>
          <w:spacing w:val="-13"/>
        </w:rPr>
        <w:t> </w:t>
      </w:r>
      <w:r>
        <w:rPr/>
        <w:t>to</w:t>
      </w:r>
      <w:r>
        <w:rPr>
          <w:spacing w:val="-13"/>
        </w:rPr>
        <w:t> </w:t>
      </w:r>
      <w:r>
        <w:rPr/>
        <w:t>basic</w:t>
      </w:r>
      <w:r>
        <w:rPr>
          <w:spacing w:val="-13"/>
        </w:rPr>
        <w:t> </w:t>
      </w:r>
      <w:r>
        <w:rPr/>
        <w:t>human</w:t>
      </w:r>
      <w:r>
        <w:rPr>
          <w:spacing w:val="-13"/>
        </w:rPr>
        <w:t> </w:t>
      </w:r>
      <w:r>
        <w:rPr/>
        <w:t>needs.</w:t>
      </w:r>
      <w:r>
        <w:rPr>
          <w:spacing w:val="-13"/>
        </w:rPr>
        <w:t> </w:t>
      </w:r>
      <w:r>
        <w:rPr/>
        <w:t>In</w:t>
      </w:r>
      <w:r>
        <w:rPr>
          <w:spacing w:val="-13"/>
        </w:rPr>
        <w:t> </w:t>
      </w:r>
      <w:r>
        <w:rPr/>
        <w:t>this context the Commission recommends the following:</w:t>
      </w:r>
    </w:p>
    <w:p>
      <w:pPr>
        <w:pStyle w:val="Heading6"/>
        <w:numPr>
          <w:ilvl w:val="0"/>
          <w:numId w:val="12"/>
        </w:numPr>
        <w:tabs>
          <w:tab w:pos="1404" w:val="left" w:leader="none"/>
          <w:tab w:pos="1406" w:val="left" w:leader="none"/>
        </w:tabs>
        <w:spacing w:line="182" w:lineRule="auto" w:before="253" w:after="0"/>
        <w:ind w:left="1406" w:right="212" w:hanging="327"/>
        <w:jc w:val="left"/>
      </w:pPr>
      <w:r>
        <w:rPr>
          <w:color w:val="2E614A"/>
          <w:w w:val="90"/>
        </w:rPr>
        <w:t>Create National Portals for </w:t>
      </w:r>
      <w:r>
        <w:rPr>
          <w:color w:val="2E614A"/>
          <w:w w:val="90"/>
        </w:rPr>
        <w:t>Basic </w:t>
      </w:r>
      <w:r>
        <w:rPr>
          <w:color w:val="2E614A"/>
          <w:spacing w:val="-2"/>
        </w:rPr>
        <w:t>Needs</w:t>
      </w:r>
    </w:p>
    <w:p>
      <w:pPr>
        <w:pStyle w:val="BodyText"/>
        <w:spacing w:line="266" w:lineRule="auto" w:before="302"/>
        <w:ind w:left="1079"/>
        <w:jc w:val="both"/>
      </w:pPr>
      <w:r>
        <w:rPr>
          <w:spacing w:val="-2"/>
        </w:rPr>
        <w:t>National</w:t>
      </w:r>
      <w:r>
        <w:rPr>
          <w:spacing w:val="-9"/>
        </w:rPr>
        <w:t> </w:t>
      </w:r>
      <w:r>
        <w:rPr>
          <w:spacing w:val="-2"/>
        </w:rPr>
        <w:t>web-based</w:t>
      </w:r>
      <w:r>
        <w:rPr>
          <w:spacing w:val="-9"/>
        </w:rPr>
        <w:t> </w:t>
      </w:r>
      <w:r>
        <w:rPr>
          <w:spacing w:val="-2"/>
        </w:rPr>
        <w:t>portals</w:t>
      </w:r>
      <w:r>
        <w:rPr>
          <w:spacing w:val="-9"/>
        </w:rPr>
        <w:t> </w:t>
      </w:r>
      <w:r>
        <w:rPr>
          <w:spacing w:val="-2"/>
        </w:rPr>
        <w:t>should</w:t>
      </w:r>
      <w:r>
        <w:rPr>
          <w:spacing w:val="-9"/>
        </w:rPr>
        <w:t> </w:t>
      </w:r>
      <w:r>
        <w:rPr>
          <w:spacing w:val="-2"/>
        </w:rPr>
        <w:t>be</w:t>
      </w:r>
      <w:r>
        <w:rPr>
          <w:spacing w:val="-9"/>
        </w:rPr>
        <w:t> </w:t>
      </w:r>
      <w:r>
        <w:rPr>
          <w:spacing w:val="-2"/>
        </w:rPr>
        <w:t>set</w:t>
      </w:r>
      <w:r>
        <w:rPr>
          <w:spacing w:val="-9"/>
        </w:rPr>
        <w:t> </w:t>
      </w:r>
      <w:r>
        <w:rPr>
          <w:spacing w:val="-2"/>
        </w:rPr>
        <w:t>up</w:t>
      </w:r>
      <w:r>
        <w:rPr>
          <w:spacing w:val="-9"/>
        </w:rPr>
        <w:t> </w:t>
      </w:r>
      <w:r>
        <w:rPr>
          <w:spacing w:val="-2"/>
        </w:rPr>
        <w:t>on</w:t>
      </w:r>
      <w:r>
        <w:rPr>
          <w:spacing w:val="-9"/>
        </w:rPr>
        <w:t> </w:t>
      </w:r>
      <w:r>
        <w:rPr>
          <w:spacing w:val="-2"/>
        </w:rPr>
        <w:t>certain </w:t>
      </w:r>
      <w:r>
        <w:rPr/>
        <w:t>key sectors such as Water, Energy, Environment, Education, Food, Health, Agriculture, Employment, </w:t>
      </w:r>
      <w:r>
        <w:rPr>
          <w:spacing w:val="-2"/>
        </w:rPr>
        <w:t>Citizen</w:t>
      </w:r>
      <w:r>
        <w:rPr>
          <w:spacing w:val="-9"/>
        </w:rPr>
        <w:t> </w:t>
      </w:r>
      <w:r>
        <w:rPr>
          <w:spacing w:val="-2"/>
        </w:rPr>
        <w:t>Rights</w:t>
      </w:r>
      <w:r>
        <w:rPr>
          <w:spacing w:val="-7"/>
        </w:rPr>
        <w:t> </w:t>
      </w:r>
      <w:r>
        <w:rPr>
          <w:spacing w:val="-2"/>
        </w:rPr>
        <w:t>etc.</w:t>
      </w:r>
      <w:r>
        <w:rPr>
          <w:spacing w:val="-12"/>
        </w:rPr>
        <w:t> </w:t>
      </w:r>
      <w:r>
        <w:rPr>
          <w:spacing w:val="-2"/>
        </w:rPr>
        <w:t>These</w:t>
      </w:r>
      <w:r>
        <w:rPr>
          <w:spacing w:val="-7"/>
        </w:rPr>
        <w:t> </w:t>
      </w:r>
      <w:r>
        <w:rPr>
          <w:spacing w:val="-2"/>
        </w:rPr>
        <w:t>would</w:t>
      </w:r>
      <w:r>
        <w:rPr>
          <w:spacing w:val="-7"/>
        </w:rPr>
        <w:t> </w:t>
      </w:r>
      <w:r>
        <w:rPr>
          <w:spacing w:val="-2"/>
        </w:rPr>
        <w:t>serve</w:t>
      </w:r>
      <w:r>
        <w:rPr>
          <w:spacing w:val="-7"/>
        </w:rPr>
        <w:t> </w:t>
      </w:r>
      <w:r>
        <w:rPr>
          <w:spacing w:val="-2"/>
        </w:rPr>
        <w:t>as</w:t>
      </w:r>
      <w:r>
        <w:rPr>
          <w:spacing w:val="-7"/>
        </w:rPr>
        <w:t> </w:t>
      </w:r>
      <w:r>
        <w:rPr>
          <w:spacing w:val="-2"/>
        </w:rPr>
        <w:t>a</w:t>
      </w:r>
      <w:r>
        <w:rPr>
          <w:spacing w:val="-7"/>
        </w:rPr>
        <w:t> </w:t>
      </w:r>
      <w:r>
        <w:rPr>
          <w:spacing w:val="-2"/>
        </w:rPr>
        <w:t>single</w:t>
      </w:r>
      <w:r>
        <w:rPr>
          <w:spacing w:val="-7"/>
        </w:rPr>
        <w:t> </w:t>
      </w:r>
      <w:r>
        <w:rPr>
          <w:spacing w:val="-2"/>
        </w:rPr>
        <w:t>point </w:t>
      </w:r>
      <w:r>
        <w:rPr/>
        <w:t>of access for consolidated information, applications and resources on the sector and will cater to a wide spectrum</w:t>
      </w:r>
      <w:r>
        <w:rPr>
          <w:spacing w:val="-1"/>
        </w:rPr>
        <w:t> </w:t>
      </w:r>
      <w:r>
        <w:rPr/>
        <w:t>of</w:t>
      </w:r>
      <w:r>
        <w:rPr>
          <w:spacing w:val="-1"/>
        </w:rPr>
        <w:t> </w:t>
      </w:r>
      <w:r>
        <w:rPr/>
        <w:t>users</w:t>
      </w:r>
      <w:r>
        <w:rPr>
          <w:spacing w:val="-1"/>
        </w:rPr>
        <w:t> </w:t>
      </w:r>
      <w:r>
        <w:rPr/>
        <w:t>from</w:t>
      </w:r>
      <w:r>
        <w:rPr>
          <w:spacing w:val="-1"/>
        </w:rPr>
        <w:t> </w:t>
      </w:r>
      <w:r>
        <w:rPr/>
        <w:t>citizens,</w:t>
      </w:r>
      <w:r>
        <w:rPr>
          <w:spacing w:val="-1"/>
        </w:rPr>
        <w:t> </w:t>
      </w:r>
      <w:r>
        <w:rPr/>
        <w:t>entrepreneurs,</w:t>
      </w:r>
      <w:r>
        <w:rPr>
          <w:spacing w:val="-1"/>
        </w:rPr>
        <w:t> </w:t>
      </w:r>
      <w:r>
        <w:rPr/>
        <w:t>small scale industries, students, professionals, researchers, local practitioners etc.</w:t>
      </w:r>
    </w:p>
    <w:p>
      <w:pPr>
        <w:pStyle w:val="Heading6"/>
        <w:numPr>
          <w:ilvl w:val="0"/>
          <w:numId w:val="12"/>
        </w:numPr>
        <w:tabs>
          <w:tab w:pos="1404" w:val="left" w:leader="none"/>
          <w:tab w:pos="1406" w:val="left" w:leader="none"/>
        </w:tabs>
        <w:spacing w:line="182" w:lineRule="auto" w:before="251" w:after="0"/>
        <w:ind w:left="1406" w:right="263" w:hanging="327"/>
        <w:jc w:val="left"/>
      </w:pPr>
      <w:r>
        <w:rPr>
          <w:color w:val="2E614A"/>
          <w:w w:val="90"/>
        </w:rPr>
        <w:t>Management and Ownership </w:t>
      </w:r>
      <w:r>
        <w:rPr>
          <w:color w:val="2E614A"/>
          <w:w w:val="90"/>
        </w:rPr>
        <w:t>by </w:t>
      </w:r>
      <w:r>
        <w:rPr>
          <w:color w:val="2E614A"/>
          <w:spacing w:val="-2"/>
        </w:rPr>
        <w:t>Consortium</w:t>
      </w:r>
    </w:p>
    <w:p>
      <w:pPr>
        <w:pStyle w:val="BodyText"/>
        <w:spacing w:line="266" w:lineRule="auto" w:before="302"/>
        <w:ind w:left="1079"/>
        <w:jc w:val="both"/>
      </w:pPr>
      <w:r>
        <w:rPr/>
        <w:t>While the government will be a key partner in the initial set up, the portals should be managed by </w:t>
      </w:r>
      <w:r>
        <w:rPr/>
        <w:t>a consortium</w:t>
      </w:r>
      <w:r>
        <w:rPr>
          <w:spacing w:val="-7"/>
        </w:rPr>
        <w:t> </w:t>
      </w:r>
      <w:r>
        <w:rPr/>
        <w:t>with</w:t>
      </w:r>
      <w:r>
        <w:rPr>
          <w:spacing w:val="-7"/>
        </w:rPr>
        <w:t> </w:t>
      </w:r>
      <w:r>
        <w:rPr/>
        <w:t>adequate</w:t>
      </w:r>
      <w:r>
        <w:rPr>
          <w:spacing w:val="-7"/>
        </w:rPr>
        <w:t> </w:t>
      </w:r>
      <w:r>
        <w:rPr/>
        <w:t>representation</w:t>
      </w:r>
      <w:r>
        <w:rPr>
          <w:spacing w:val="-7"/>
        </w:rPr>
        <w:t> </w:t>
      </w:r>
      <w:r>
        <w:rPr/>
        <w:t>from</w:t>
      </w:r>
      <w:r>
        <w:rPr>
          <w:spacing w:val="-7"/>
        </w:rPr>
        <w:t> </w:t>
      </w:r>
      <w:r>
        <w:rPr/>
        <w:t>a</w:t>
      </w:r>
      <w:r>
        <w:rPr>
          <w:spacing w:val="-7"/>
        </w:rPr>
        <w:t> </w:t>
      </w:r>
      <w:r>
        <w:rPr/>
        <w:t>wide </w:t>
      </w:r>
      <w:r>
        <w:rPr>
          <w:spacing w:val="-2"/>
        </w:rPr>
        <w:t>range</w:t>
      </w:r>
      <w:r>
        <w:rPr>
          <w:spacing w:val="-12"/>
        </w:rPr>
        <w:t> </w:t>
      </w:r>
      <w:r>
        <w:rPr>
          <w:spacing w:val="-2"/>
        </w:rPr>
        <w:t>of</w:t>
      </w:r>
      <w:r>
        <w:rPr>
          <w:spacing w:val="-12"/>
        </w:rPr>
        <w:t> </w:t>
      </w:r>
      <w:r>
        <w:rPr>
          <w:spacing w:val="-2"/>
        </w:rPr>
        <w:t>stakeholders</w:t>
      </w:r>
      <w:r>
        <w:rPr>
          <w:spacing w:val="-11"/>
        </w:rPr>
        <w:t> </w:t>
      </w:r>
      <w:r>
        <w:rPr>
          <w:spacing w:val="-2"/>
        </w:rPr>
        <w:t>from</w:t>
      </w:r>
      <w:r>
        <w:rPr>
          <w:spacing w:val="-12"/>
        </w:rPr>
        <w:t> </w:t>
      </w:r>
      <w:r>
        <w:rPr>
          <w:spacing w:val="-2"/>
        </w:rPr>
        <w:t>the</w:t>
      </w:r>
      <w:r>
        <w:rPr>
          <w:spacing w:val="-12"/>
        </w:rPr>
        <w:t> </w:t>
      </w:r>
      <w:r>
        <w:rPr>
          <w:spacing w:val="-2"/>
        </w:rPr>
        <w:t>sector</w:t>
      </w:r>
      <w:r>
        <w:rPr>
          <w:spacing w:val="-11"/>
        </w:rPr>
        <w:t> </w:t>
      </w:r>
      <w:r>
        <w:rPr>
          <w:spacing w:val="-2"/>
        </w:rPr>
        <w:t>including</w:t>
      </w:r>
      <w:r>
        <w:rPr>
          <w:spacing w:val="-12"/>
        </w:rPr>
        <w:t> </w:t>
      </w:r>
      <w:r>
        <w:rPr>
          <w:spacing w:val="-2"/>
        </w:rPr>
        <w:t>NGOs, </w:t>
      </w:r>
      <w:r>
        <w:rPr>
          <w:spacing w:val="-4"/>
        </w:rPr>
        <w:t>Research</w:t>
      </w:r>
      <w:r>
        <w:rPr>
          <w:spacing w:val="-7"/>
        </w:rPr>
        <w:t> </w:t>
      </w:r>
      <w:r>
        <w:rPr>
          <w:spacing w:val="-4"/>
        </w:rPr>
        <w:t>and</w:t>
      </w:r>
      <w:r>
        <w:rPr>
          <w:spacing w:val="-7"/>
        </w:rPr>
        <w:t> </w:t>
      </w:r>
      <w:r>
        <w:rPr>
          <w:spacing w:val="-4"/>
        </w:rPr>
        <w:t>Scientific</w:t>
      </w:r>
      <w:r>
        <w:rPr>
          <w:spacing w:val="-7"/>
        </w:rPr>
        <w:t> </w:t>
      </w:r>
      <w:r>
        <w:rPr>
          <w:spacing w:val="-4"/>
        </w:rPr>
        <w:t>Groups,</w:t>
      </w:r>
      <w:r>
        <w:rPr>
          <w:spacing w:val="-7"/>
        </w:rPr>
        <w:t> </w:t>
      </w:r>
      <w:r>
        <w:rPr>
          <w:spacing w:val="-4"/>
        </w:rPr>
        <w:t>Academic</w:t>
      </w:r>
      <w:r>
        <w:rPr>
          <w:spacing w:val="-7"/>
        </w:rPr>
        <w:t> </w:t>
      </w:r>
      <w:r>
        <w:rPr>
          <w:spacing w:val="-4"/>
        </w:rPr>
        <w:t>Institutions, </w:t>
      </w:r>
      <w:r>
        <w:rPr>
          <w:spacing w:val="-6"/>
        </w:rPr>
        <w:t>Advocacy Groups, Government Agencies/Departments, </w:t>
      </w:r>
      <w:r>
        <w:rPr>
          <w:spacing w:val="-2"/>
        </w:rPr>
        <w:t>International</w:t>
      </w:r>
      <w:r>
        <w:rPr>
          <w:spacing w:val="-10"/>
        </w:rPr>
        <w:t> </w:t>
      </w:r>
      <w:r>
        <w:rPr>
          <w:spacing w:val="-2"/>
        </w:rPr>
        <w:t>Bodies,</w:t>
      </w:r>
      <w:r>
        <w:rPr>
          <w:spacing w:val="-10"/>
        </w:rPr>
        <w:t> </w:t>
      </w:r>
      <w:r>
        <w:rPr>
          <w:spacing w:val="-2"/>
        </w:rPr>
        <w:t>Other</w:t>
      </w:r>
      <w:r>
        <w:rPr>
          <w:spacing w:val="-10"/>
        </w:rPr>
        <w:t> </w:t>
      </w:r>
      <w:r>
        <w:rPr>
          <w:spacing w:val="-2"/>
        </w:rPr>
        <w:t>Funding</w:t>
      </w:r>
      <w:r>
        <w:rPr>
          <w:spacing w:val="-10"/>
        </w:rPr>
        <w:t> </w:t>
      </w:r>
      <w:r>
        <w:rPr>
          <w:spacing w:val="-2"/>
        </w:rPr>
        <w:t>Agencies,</w:t>
      </w:r>
      <w:r>
        <w:rPr>
          <w:spacing w:val="-10"/>
        </w:rPr>
        <w:t> </w:t>
      </w:r>
      <w:r>
        <w:rPr>
          <w:spacing w:val="-2"/>
        </w:rPr>
        <w:t>Private </w:t>
      </w:r>
      <w:r>
        <w:rPr/>
        <w:t>Sector, Technology Experts, Educators, e-Learning experts etc.</w:t>
      </w:r>
    </w:p>
    <w:p>
      <w:pPr>
        <w:pStyle w:val="BodyText"/>
        <w:spacing w:before="82"/>
        <w:ind w:left="319"/>
        <w:jc w:val="both"/>
      </w:pPr>
      <w:r>
        <w:rPr/>
        <w:br w:type="column"/>
      </w:r>
      <w:r>
        <w:rPr>
          <w:spacing w:val="-4"/>
        </w:rPr>
        <w:t>This</w:t>
      </w:r>
      <w:r>
        <w:rPr>
          <w:spacing w:val="-7"/>
        </w:rPr>
        <w:t> </w:t>
      </w:r>
      <w:r>
        <w:rPr>
          <w:spacing w:val="-4"/>
        </w:rPr>
        <w:t>will</w:t>
      </w:r>
      <w:r>
        <w:rPr>
          <w:spacing w:val="-6"/>
        </w:rPr>
        <w:t> </w:t>
      </w:r>
      <w:r>
        <w:rPr>
          <w:spacing w:val="-4"/>
        </w:rPr>
        <w:t>ensure</w:t>
      </w:r>
      <w:r>
        <w:rPr>
          <w:spacing w:val="-6"/>
        </w:rPr>
        <w:t> </w:t>
      </w:r>
      <w:r>
        <w:rPr>
          <w:spacing w:val="-4"/>
        </w:rPr>
        <w:t>that:</w:t>
      </w:r>
    </w:p>
    <w:p>
      <w:pPr>
        <w:pStyle w:val="ListParagraph"/>
        <w:numPr>
          <w:ilvl w:val="1"/>
          <w:numId w:val="11"/>
        </w:numPr>
        <w:tabs>
          <w:tab w:pos="679" w:val="left" w:leader="none"/>
        </w:tabs>
        <w:spacing w:line="266" w:lineRule="auto" w:before="27" w:after="0"/>
        <w:ind w:left="679" w:right="1077" w:hanging="360"/>
        <w:jc w:val="both"/>
        <w:rPr>
          <w:sz w:val="22"/>
        </w:rPr>
      </w:pPr>
      <w:r>
        <w:rPr>
          <w:sz w:val="22"/>
        </w:rPr>
        <w:t>The portal remains a dynamic repository of information from multiple sources to aggregate </w:t>
      </w:r>
      <w:r>
        <w:rPr>
          <w:spacing w:val="-2"/>
          <w:sz w:val="22"/>
        </w:rPr>
        <w:t>content.</w:t>
      </w:r>
    </w:p>
    <w:p>
      <w:pPr>
        <w:pStyle w:val="ListParagraph"/>
        <w:numPr>
          <w:ilvl w:val="1"/>
          <w:numId w:val="11"/>
        </w:numPr>
        <w:tabs>
          <w:tab w:pos="679" w:val="left" w:leader="none"/>
        </w:tabs>
        <w:spacing w:line="266" w:lineRule="auto" w:before="0" w:after="0"/>
        <w:ind w:left="679" w:right="1077" w:hanging="360"/>
        <w:jc w:val="both"/>
        <w:rPr>
          <w:sz w:val="22"/>
        </w:rPr>
      </w:pPr>
      <w:r>
        <w:rPr>
          <w:sz w:val="22"/>
        </w:rPr>
        <w:t>A collaborative model is adopted so that </w:t>
      </w:r>
      <w:r>
        <w:rPr>
          <w:sz w:val="22"/>
        </w:rPr>
        <w:t>all </w:t>
      </w:r>
      <w:r>
        <w:rPr>
          <w:spacing w:val="-6"/>
          <w:sz w:val="22"/>
        </w:rPr>
        <w:t>stakeholders such as citizens, NGOs, businesses etc. </w:t>
      </w:r>
      <w:r>
        <w:rPr>
          <w:sz w:val="22"/>
        </w:rPr>
        <w:t>participate in the creation, collaboration, sharing </w:t>
      </w:r>
      <w:r>
        <w:rPr>
          <w:spacing w:val="-2"/>
          <w:sz w:val="22"/>
        </w:rPr>
        <w:t>and</w:t>
      </w:r>
      <w:r>
        <w:rPr>
          <w:spacing w:val="-10"/>
          <w:sz w:val="22"/>
        </w:rPr>
        <w:t> </w:t>
      </w:r>
      <w:r>
        <w:rPr>
          <w:spacing w:val="-2"/>
          <w:sz w:val="22"/>
        </w:rPr>
        <w:t>discussions</w:t>
      </w:r>
      <w:r>
        <w:rPr>
          <w:spacing w:val="-10"/>
          <w:sz w:val="22"/>
        </w:rPr>
        <w:t> </w:t>
      </w:r>
      <w:r>
        <w:rPr>
          <w:spacing w:val="-2"/>
          <w:sz w:val="22"/>
        </w:rPr>
        <w:t>in</w:t>
      </w:r>
      <w:r>
        <w:rPr>
          <w:spacing w:val="-10"/>
          <w:sz w:val="22"/>
        </w:rPr>
        <w:t> </w:t>
      </w:r>
      <w:r>
        <w:rPr>
          <w:spacing w:val="-2"/>
          <w:sz w:val="22"/>
        </w:rPr>
        <w:t>a</w:t>
      </w:r>
      <w:r>
        <w:rPr>
          <w:spacing w:val="-10"/>
          <w:sz w:val="22"/>
        </w:rPr>
        <w:t> </w:t>
      </w:r>
      <w:r>
        <w:rPr>
          <w:spacing w:val="-2"/>
          <w:sz w:val="22"/>
        </w:rPr>
        <w:t>rich</w:t>
      </w:r>
      <w:r>
        <w:rPr>
          <w:spacing w:val="-10"/>
          <w:sz w:val="22"/>
        </w:rPr>
        <w:t> </w:t>
      </w:r>
      <w:r>
        <w:rPr>
          <w:spacing w:val="-2"/>
          <w:sz w:val="22"/>
        </w:rPr>
        <w:t>and</w:t>
      </w:r>
      <w:r>
        <w:rPr>
          <w:spacing w:val="-10"/>
          <w:sz w:val="22"/>
        </w:rPr>
        <w:t> </w:t>
      </w:r>
      <w:r>
        <w:rPr>
          <w:spacing w:val="-2"/>
          <w:sz w:val="22"/>
        </w:rPr>
        <w:t>meaningful</w:t>
      </w:r>
      <w:r>
        <w:rPr>
          <w:spacing w:val="-10"/>
          <w:sz w:val="22"/>
        </w:rPr>
        <w:t> </w:t>
      </w:r>
      <w:r>
        <w:rPr>
          <w:spacing w:val="-2"/>
          <w:sz w:val="22"/>
        </w:rPr>
        <w:t>way</w:t>
      </w:r>
      <w:r>
        <w:rPr>
          <w:spacing w:val="-10"/>
          <w:sz w:val="22"/>
        </w:rPr>
        <w:t> </w:t>
      </w:r>
      <w:r>
        <w:rPr>
          <w:spacing w:val="-2"/>
          <w:sz w:val="22"/>
        </w:rPr>
        <w:t>such </w:t>
      </w:r>
      <w:r>
        <w:rPr>
          <w:sz w:val="22"/>
        </w:rPr>
        <w:t>that information cannot be monopolised by any one group.</w:t>
      </w:r>
    </w:p>
    <w:p>
      <w:pPr>
        <w:pStyle w:val="ListParagraph"/>
        <w:numPr>
          <w:ilvl w:val="1"/>
          <w:numId w:val="11"/>
        </w:numPr>
        <w:tabs>
          <w:tab w:pos="679" w:val="left" w:leader="none"/>
        </w:tabs>
        <w:spacing w:line="266" w:lineRule="auto" w:before="0" w:after="0"/>
        <w:ind w:left="679" w:right="1078" w:hanging="360"/>
        <w:jc w:val="both"/>
        <w:rPr>
          <w:sz w:val="22"/>
        </w:rPr>
      </w:pPr>
      <w:r>
        <w:rPr>
          <w:sz w:val="22"/>
        </w:rPr>
        <w:t>The portal would have greater </w:t>
      </w:r>
      <w:r>
        <w:rPr>
          <w:sz w:val="22"/>
        </w:rPr>
        <w:t>community ownership</w:t>
      </w:r>
      <w:r>
        <w:rPr>
          <w:spacing w:val="-1"/>
          <w:sz w:val="22"/>
        </w:rPr>
        <w:t> </w:t>
      </w:r>
      <w:r>
        <w:rPr>
          <w:sz w:val="22"/>
        </w:rPr>
        <w:t>in</w:t>
      </w:r>
      <w:r>
        <w:rPr>
          <w:spacing w:val="-1"/>
          <w:sz w:val="22"/>
        </w:rPr>
        <w:t> </w:t>
      </w:r>
      <w:r>
        <w:rPr>
          <w:sz w:val="22"/>
        </w:rPr>
        <w:t>order</w:t>
      </w:r>
      <w:r>
        <w:rPr>
          <w:spacing w:val="-1"/>
          <w:sz w:val="22"/>
        </w:rPr>
        <w:t> </w:t>
      </w:r>
      <w:r>
        <w:rPr>
          <w:sz w:val="22"/>
        </w:rPr>
        <w:t>to</w:t>
      </w:r>
      <w:r>
        <w:rPr>
          <w:spacing w:val="-1"/>
          <w:sz w:val="22"/>
        </w:rPr>
        <w:t> </w:t>
      </w:r>
      <w:r>
        <w:rPr>
          <w:sz w:val="22"/>
        </w:rPr>
        <w:t>ensure</w:t>
      </w:r>
      <w:r>
        <w:rPr>
          <w:spacing w:val="-1"/>
          <w:sz w:val="22"/>
        </w:rPr>
        <w:t> </w:t>
      </w:r>
      <w:r>
        <w:rPr>
          <w:sz w:val="22"/>
        </w:rPr>
        <w:t>its</w:t>
      </w:r>
      <w:r>
        <w:rPr>
          <w:spacing w:val="-1"/>
          <w:sz w:val="22"/>
        </w:rPr>
        <w:t> </w:t>
      </w:r>
      <w:r>
        <w:rPr>
          <w:sz w:val="22"/>
        </w:rPr>
        <w:t>success.</w:t>
      </w:r>
    </w:p>
    <w:p>
      <w:pPr>
        <w:pStyle w:val="ListParagraph"/>
        <w:numPr>
          <w:ilvl w:val="1"/>
          <w:numId w:val="11"/>
        </w:numPr>
        <w:tabs>
          <w:tab w:pos="679" w:val="left" w:leader="none"/>
        </w:tabs>
        <w:spacing w:line="266" w:lineRule="auto" w:before="0" w:after="0"/>
        <w:ind w:left="679" w:right="1077" w:hanging="360"/>
        <w:jc w:val="both"/>
        <w:rPr>
          <w:sz w:val="22"/>
        </w:rPr>
      </w:pPr>
      <w:r>
        <w:rPr>
          <w:sz w:val="22"/>
        </w:rPr>
        <w:t>Experiences,</w:t>
      </w:r>
      <w:r>
        <w:rPr>
          <w:spacing w:val="-10"/>
          <w:sz w:val="22"/>
        </w:rPr>
        <w:t> </w:t>
      </w:r>
      <w:r>
        <w:rPr>
          <w:sz w:val="22"/>
        </w:rPr>
        <w:t>technology,</w:t>
      </w:r>
      <w:r>
        <w:rPr>
          <w:spacing w:val="-10"/>
          <w:sz w:val="22"/>
        </w:rPr>
        <w:t> </w:t>
      </w:r>
      <w:r>
        <w:rPr>
          <w:sz w:val="22"/>
        </w:rPr>
        <w:t>processes</w:t>
      </w:r>
      <w:r>
        <w:rPr>
          <w:spacing w:val="-10"/>
          <w:sz w:val="22"/>
        </w:rPr>
        <w:t> </w:t>
      </w:r>
      <w:r>
        <w:rPr>
          <w:sz w:val="22"/>
        </w:rPr>
        <w:t>etc.</w:t>
      </w:r>
      <w:r>
        <w:rPr>
          <w:spacing w:val="-10"/>
          <w:sz w:val="22"/>
        </w:rPr>
        <w:t> </w:t>
      </w:r>
      <w:r>
        <w:rPr>
          <w:sz w:val="22"/>
        </w:rPr>
        <w:t>would</w:t>
      </w:r>
      <w:r>
        <w:rPr>
          <w:spacing w:val="-10"/>
          <w:sz w:val="22"/>
        </w:rPr>
        <w:t> </w:t>
      </w:r>
      <w:r>
        <w:rPr>
          <w:sz w:val="22"/>
        </w:rPr>
        <w:t>be shared between various portals.</w:t>
      </w:r>
    </w:p>
    <w:p>
      <w:pPr>
        <w:pStyle w:val="Heading6"/>
        <w:numPr>
          <w:ilvl w:val="0"/>
          <w:numId w:val="12"/>
        </w:numPr>
        <w:tabs>
          <w:tab w:pos="644" w:val="left" w:leader="none"/>
        </w:tabs>
        <w:spacing w:line="240" w:lineRule="auto" w:before="177" w:after="0"/>
        <w:ind w:left="644" w:right="0" w:hanging="325"/>
        <w:jc w:val="left"/>
      </w:pPr>
      <w:r>
        <w:rPr>
          <w:color w:val="2E614A"/>
          <w:w w:val="90"/>
        </w:rPr>
        <w:t>Establish</w:t>
      </w:r>
      <w:r>
        <w:rPr>
          <w:color w:val="2E614A"/>
          <w:spacing w:val="-1"/>
        </w:rPr>
        <w:t> </w:t>
      </w:r>
      <w:r>
        <w:rPr>
          <w:color w:val="2E614A"/>
          <w:spacing w:val="-2"/>
          <w:w w:val="95"/>
        </w:rPr>
        <w:t>Procedures</w:t>
      </w:r>
    </w:p>
    <w:p>
      <w:pPr>
        <w:pStyle w:val="BodyText"/>
        <w:spacing w:line="266" w:lineRule="auto" w:before="285"/>
        <w:ind w:left="319" w:right="1075"/>
      </w:pPr>
      <w:r>
        <w:rPr/>
        <w:t>A</w:t>
      </w:r>
      <w:r>
        <w:rPr>
          <w:spacing w:val="-4"/>
        </w:rPr>
        <w:t> </w:t>
      </w:r>
      <w:r>
        <w:rPr/>
        <w:t>set</w:t>
      </w:r>
      <w:r>
        <w:rPr>
          <w:spacing w:val="-3"/>
        </w:rPr>
        <w:t> </w:t>
      </w:r>
      <w:r>
        <w:rPr/>
        <w:t>of</w:t>
      </w:r>
      <w:r>
        <w:rPr>
          <w:spacing w:val="-4"/>
        </w:rPr>
        <w:t> </w:t>
      </w:r>
      <w:r>
        <w:rPr/>
        <w:t>procedures</w:t>
      </w:r>
      <w:r>
        <w:rPr>
          <w:spacing w:val="-3"/>
        </w:rPr>
        <w:t> </w:t>
      </w:r>
      <w:r>
        <w:rPr/>
        <w:t>should</w:t>
      </w:r>
      <w:r>
        <w:rPr>
          <w:spacing w:val="-4"/>
        </w:rPr>
        <w:t> </w:t>
      </w:r>
      <w:r>
        <w:rPr/>
        <w:t>be</w:t>
      </w:r>
      <w:r>
        <w:rPr>
          <w:spacing w:val="-3"/>
        </w:rPr>
        <w:t> </w:t>
      </w:r>
      <w:r>
        <w:rPr/>
        <w:t>followed</w:t>
      </w:r>
      <w:r>
        <w:rPr>
          <w:spacing w:val="-4"/>
        </w:rPr>
        <w:t> </w:t>
      </w:r>
      <w:r>
        <w:rPr/>
        <w:t>for</w:t>
      </w:r>
      <w:r>
        <w:rPr>
          <w:spacing w:val="-3"/>
        </w:rPr>
        <w:t> </w:t>
      </w:r>
      <w:r>
        <w:rPr/>
        <w:t>setting</w:t>
      </w:r>
      <w:r>
        <w:rPr>
          <w:spacing w:val="-4"/>
        </w:rPr>
        <w:t> </w:t>
      </w:r>
      <w:r>
        <w:rPr/>
        <w:t>up </w:t>
      </w:r>
      <w:r>
        <w:rPr>
          <w:spacing w:val="-2"/>
        </w:rPr>
        <w:t>Portals:</w:t>
      </w:r>
    </w:p>
    <w:p>
      <w:pPr>
        <w:pStyle w:val="ListParagraph"/>
        <w:numPr>
          <w:ilvl w:val="1"/>
          <w:numId w:val="12"/>
        </w:numPr>
        <w:tabs>
          <w:tab w:pos="679" w:val="left" w:leader="none"/>
        </w:tabs>
        <w:spacing w:line="251" w:lineRule="exact" w:before="0" w:after="0"/>
        <w:ind w:left="679" w:right="0" w:hanging="360"/>
        <w:jc w:val="left"/>
        <w:rPr>
          <w:sz w:val="22"/>
        </w:rPr>
      </w:pPr>
      <w:r>
        <w:rPr>
          <w:spacing w:val="-2"/>
          <w:sz w:val="22"/>
        </w:rPr>
        <w:t>Agreement</w:t>
      </w:r>
      <w:r>
        <w:rPr>
          <w:spacing w:val="-12"/>
          <w:sz w:val="22"/>
        </w:rPr>
        <w:t> </w:t>
      </w:r>
      <w:r>
        <w:rPr>
          <w:spacing w:val="-2"/>
          <w:sz w:val="22"/>
        </w:rPr>
        <w:t>on</w:t>
      </w:r>
      <w:r>
        <w:rPr>
          <w:spacing w:val="-11"/>
          <w:sz w:val="22"/>
        </w:rPr>
        <w:t> </w:t>
      </w:r>
      <w:r>
        <w:rPr>
          <w:spacing w:val="-2"/>
          <w:sz w:val="22"/>
        </w:rPr>
        <w:t>the</w:t>
      </w:r>
      <w:r>
        <w:rPr>
          <w:spacing w:val="-12"/>
          <w:sz w:val="22"/>
        </w:rPr>
        <w:t> </w:t>
      </w:r>
      <w:r>
        <w:rPr>
          <w:spacing w:val="-2"/>
          <w:sz w:val="22"/>
        </w:rPr>
        <w:t>subject</w:t>
      </w:r>
      <w:r>
        <w:rPr>
          <w:spacing w:val="-11"/>
          <w:sz w:val="22"/>
        </w:rPr>
        <w:t> </w:t>
      </w:r>
      <w:r>
        <w:rPr>
          <w:spacing w:val="-4"/>
          <w:sz w:val="22"/>
        </w:rPr>
        <w:t>area</w:t>
      </w:r>
    </w:p>
    <w:p>
      <w:pPr>
        <w:pStyle w:val="ListParagraph"/>
        <w:numPr>
          <w:ilvl w:val="1"/>
          <w:numId w:val="12"/>
        </w:numPr>
        <w:tabs>
          <w:tab w:pos="679" w:val="left" w:leader="none"/>
        </w:tabs>
        <w:spacing w:line="240" w:lineRule="auto" w:before="27" w:after="0"/>
        <w:ind w:left="679" w:right="0" w:hanging="360"/>
        <w:jc w:val="left"/>
        <w:rPr>
          <w:sz w:val="22"/>
        </w:rPr>
      </w:pPr>
      <w:r>
        <w:rPr>
          <w:sz w:val="22"/>
        </w:rPr>
        <w:t>Identification</w:t>
      </w:r>
      <w:r>
        <w:rPr>
          <w:spacing w:val="34"/>
          <w:sz w:val="22"/>
        </w:rPr>
        <w:t> </w:t>
      </w:r>
      <w:r>
        <w:rPr>
          <w:sz w:val="22"/>
        </w:rPr>
        <w:t>of</w:t>
      </w:r>
      <w:r>
        <w:rPr>
          <w:spacing w:val="35"/>
          <w:sz w:val="22"/>
        </w:rPr>
        <w:t> </w:t>
      </w:r>
      <w:r>
        <w:rPr>
          <w:sz w:val="22"/>
        </w:rPr>
        <w:t>champion/lead</w:t>
      </w:r>
      <w:r>
        <w:rPr>
          <w:spacing w:val="35"/>
          <w:sz w:val="22"/>
        </w:rPr>
        <w:t> </w:t>
      </w:r>
      <w:r>
        <w:rPr>
          <w:spacing w:val="-2"/>
          <w:sz w:val="22"/>
        </w:rPr>
        <w:t>organisation/s</w:t>
      </w:r>
    </w:p>
    <w:p>
      <w:pPr>
        <w:pStyle w:val="ListParagraph"/>
        <w:numPr>
          <w:ilvl w:val="1"/>
          <w:numId w:val="12"/>
        </w:numPr>
        <w:tabs>
          <w:tab w:pos="679" w:val="left" w:leader="none"/>
        </w:tabs>
        <w:spacing w:line="266" w:lineRule="auto" w:before="27" w:after="0"/>
        <w:ind w:left="679" w:right="1077" w:hanging="360"/>
        <w:jc w:val="both"/>
        <w:rPr>
          <w:sz w:val="22"/>
        </w:rPr>
      </w:pPr>
      <w:r>
        <w:rPr>
          <w:spacing w:val="-4"/>
          <w:sz w:val="22"/>
        </w:rPr>
        <w:t>Submission</w:t>
      </w:r>
      <w:r>
        <w:rPr>
          <w:spacing w:val="-10"/>
          <w:sz w:val="22"/>
        </w:rPr>
        <w:t> </w:t>
      </w:r>
      <w:r>
        <w:rPr>
          <w:spacing w:val="-4"/>
          <w:sz w:val="22"/>
        </w:rPr>
        <w:t>of</w:t>
      </w:r>
      <w:r>
        <w:rPr>
          <w:spacing w:val="-10"/>
          <w:sz w:val="22"/>
        </w:rPr>
        <w:t> </w:t>
      </w:r>
      <w:r>
        <w:rPr>
          <w:spacing w:val="-4"/>
          <w:sz w:val="22"/>
        </w:rPr>
        <w:t>proposal</w:t>
      </w:r>
      <w:r>
        <w:rPr>
          <w:spacing w:val="-10"/>
          <w:sz w:val="22"/>
        </w:rPr>
        <w:t> </w:t>
      </w:r>
      <w:r>
        <w:rPr>
          <w:spacing w:val="-4"/>
          <w:sz w:val="22"/>
        </w:rPr>
        <w:t>on</w:t>
      </w:r>
      <w:r>
        <w:rPr>
          <w:spacing w:val="-9"/>
          <w:sz w:val="22"/>
        </w:rPr>
        <w:t> </w:t>
      </w:r>
      <w:r>
        <w:rPr>
          <w:spacing w:val="-4"/>
          <w:sz w:val="22"/>
        </w:rPr>
        <w:t>architecture</w:t>
      </w:r>
      <w:r>
        <w:rPr>
          <w:spacing w:val="-10"/>
          <w:sz w:val="22"/>
        </w:rPr>
        <w:t> </w:t>
      </w:r>
      <w:r>
        <w:rPr>
          <w:spacing w:val="-4"/>
          <w:sz w:val="22"/>
        </w:rPr>
        <w:t>of</w:t>
      </w:r>
      <w:r>
        <w:rPr>
          <w:spacing w:val="-10"/>
          <w:sz w:val="22"/>
        </w:rPr>
        <w:t> </w:t>
      </w:r>
      <w:r>
        <w:rPr>
          <w:spacing w:val="-4"/>
          <w:sz w:val="22"/>
        </w:rPr>
        <w:t>the</w:t>
      </w:r>
      <w:r>
        <w:rPr>
          <w:spacing w:val="-10"/>
          <w:sz w:val="22"/>
        </w:rPr>
        <w:t> </w:t>
      </w:r>
      <w:r>
        <w:rPr>
          <w:spacing w:val="-4"/>
          <w:sz w:val="22"/>
        </w:rPr>
        <w:t>portal </w:t>
      </w:r>
      <w:r>
        <w:rPr>
          <w:spacing w:val="-2"/>
          <w:sz w:val="22"/>
        </w:rPr>
        <w:t>by</w:t>
      </w:r>
      <w:r>
        <w:rPr>
          <w:spacing w:val="-12"/>
          <w:sz w:val="22"/>
        </w:rPr>
        <w:t> </w:t>
      </w:r>
      <w:r>
        <w:rPr>
          <w:spacing w:val="-2"/>
          <w:sz w:val="22"/>
        </w:rPr>
        <w:t>the</w:t>
      </w:r>
      <w:r>
        <w:rPr>
          <w:spacing w:val="-12"/>
          <w:sz w:val="22"/>
        </w:rPr>
        <w:t> </w:t>
      </w:r>
      <w:r>
        <w:rPr>
          <w:spacing w:val="-2"/>
          <w:sz w:val="22"/>
        </w:rPr>
        <w:t>champion</w:t>
      </w:r>
      <w:r>
        <w:rPr>
          <w:spacing w:val="-12"/>
          <w:sz w:val="22"/>
        </w:rPr>
        <w:t> </w:t>
      </w:r>
      <w:r>
        <w:rPr>
          <w:spacing w:val="-2"/>
          <w:sz w:val="22"/>
        </w:rPr>
        <w:t>organisations</w:t>
      </w:r>
      <w:r>
        <w:rPr>
          <w:spacing w:val="-11"/>
          <w:sz w:val="22"/>
        </w:rPr>
        <w:t> </w:t>
      </w:r>
      <w:r>
        <w:rPr>
          <w:spacing w:val="-2"/>
          <w:sz w:val="22"/>
        </w:rPr>
        <w:t>for</w:t>
      </w:r>
      <w:r>
        <w:rPr>
          <w:spacing w:val="-12"/>
          <w:sz w:val="22"/>
        </w:rPr>
        <w:t> </w:t>
      </w:r>
      <w:r>
        <w:rPr>
          <w:spacing w:val="-2"/>
          <w:sz w:val="22"/>
        </w:rPr>
        <w:t>consideration</w:t>
      </w:r>
      <w:r>
        <w:rPr>
          <w:spacing w:val="-12"/>
          <w:sz w:val="22"/>
        </w:rPr>
        <w:t> </w:t>
      </w:r>
      <w:r>
        <w:rPr>
          <w:spacing w:val="-2"/>
          <w:sz w:val="22"/>
        </w:rPr>
        <w:t>of </w:t>
      </w:r>
      <w:r>
        <w:rPr>
          <w:sz w:val="22"/>
        </w:rPr>
        <w:t>the Commission</w:t>
      </w:r>
    </w:p>
    <w:p>
      <w:pPr>
        <w:pStyle w:val="ListParagraph"/>
        <w:numPr>
          <w:ilvl w:val="1"/>
          <w:numId w:val="12"/>
        </w:numPr>
        <w:tabs>
          <w:tab w:pos="679" w:val="left" w:leader="none"/>
        </w:tabs>
        <w:spacing w:line="266" w:lineRule="auto" w:before="0" w:after="0"/>
        <w:ind w:left="679" w:right="1077" w:hanging="360"/>
        <w:jc w:val="both"/>
        <w:rPr>
          <w:sz w:val="22"/>
        </w:rPr>
      </w:pPr>
      <w:r>
        <w:rPr>
          <w:sz w:val="22"/>
        </w:rPr>
        <w:t>Identification of stakeholders and partners and setting up of framework for portal management.</w:t>
      </w:r>
    </w:p>
    <w:p>
      <w:pPr>
        <w:pStyle w:val="ListParagraph"/>
        <w:numPr>
          <w:ilvl w:val="1"/>
          <w:numId w:val="12"/>
        </w:numPr>
        <w:tabs>
          <w:tab w:pos="678" w:val="left" w:leader="none"/>
        </w:tabs>
        <w:spacing w:line="251" w:lineRule="exact" w:before="0" w:after="0"/>
        <w:ind w:left="678" w:right="0" w:hanging="359"/>
        <w:jc w:val="both"/>
        <w:rPr>
          <w:sz w:val="22"/>
        </w:rPr>
      </w:pPr>
      <w:r>
        <w:rPr>
          <w:spacing w:val="-2"/>
          <w:sz w:val="22"/>
        </w:rPr>
        <w:t>Development</w:t>
      </w:r>
      <w:r>
        <w:rPr>
          <w:spacing w:val="-11"/>
          <w:sz w:val="22"/>
        </w:rPr>
        <w:t> </w:t>
      </w:r>
      <w:r>
        <w:rPr>
          <w:spacing w:val="-2"/>
          <w:sz w:val="22"/>
        </w:rPr>
        <w:t>of</w:t>
      </w:r>
      <w:r>
        <w:rPr>
          <w:spacing w:val="-11"/>
          <w:sz w:val="22"/>
        </w:rPr>
        <w:t> </w:t>
      </w:r>
      <w:r>
        <w:rPr>
          <w:spacing w:val="-2"/>
          <w:sz w:val="22"/>
        </w:rPr>
        <w:t>content</w:t>
      </w:r>
    </w:p>
    <w:p>
      <w:pPr>
        <w:pStyle w:val="ListParagraph"/>
        <w:numPr>
          <w:ilvl w:val="1"/>
          <w:numId w:val="12"/>
        </w:numPr>
        <w:tabs>
          <w:tab w:pos="678" w:val="left" w:leader="none"/>
        </w:tabs>
        <w:spacing w:line="240" w:lineRule="auto" w:before="25" w:after="0"/>
        <w:ind w:left="678" w:right="0" w:hanging="359"/>
        <w:jc w:val="both"/>
        <w:rPr>
          <w:sz w:val="22"/>
        </w:rPr>
      </w:pPr>
      <w:r>
        <w:rPr>
          <w:spacing w:val="-2"/>
          <w:sz w:val="22"/>
        </w:rPr>
        <w:t>Launch</w:t>
      </w:r>
      <w:r>
        <w:rPr>
          <w:spacing w:val="-9"/>
          <w:sz w:val="22"/>
        </w:rPr>
        <w:t> </w:t>
      </w:r>
      <w:r>
        <w:rPr>
          <w:spacing w:val="-2"/>
          <w:sz w:val="22"/>
        </w:rPr>
        <w:t>of</w:t>
      </w:r>
      <w:r>
        <w:rPr>
          <w:spacing w:val="-8"/>
          <w:sz w:val="22"/>
        </w:rPr>
        <w:t> </w:t>
      </w:r>
      <w:r>
        <w:rPr>
          <w:spacing w:val="-2"/>
          <w:sz w:val="22"/>
        </w:rPr>
        <w:t>Portal</w:t>
      </w:r>
    </w:p>
    <w:p>
      <w:pPr>
        <w:pStyle w:val="ListParagraph"/>
        <w:numPr>
          <w:ilvl w:val="1"/>
          <w:numId w:val="12"/>
        </w:numPr>
        <w:tabs>
          <w:tab w:pos="678" w:val="left" w:leader="none"/>
        </w:tabs>
        <w:spacing w:line="240" w:lineRule="auto" w:before="27" w:after="0"/>
        <w:ind w:left="678" w:right="0" w:hanging="359"/>
        <w:jc w:val="both"/>
        <w:rPr>
          <w:sz w:val="22"/>
        </w:rPr>
      </w:pPr>
      <w:r>
        <w:rPr>
          <w:spacing w:val="-4"/>
          <w:sz w:val="22"/>
        </w:rPr>
        <w:t>Development</w:t>
      </w:r>
      <w:r>
        <w:rPr>
          <w:spacing w:val="-2"/>
          <w:sz w:val="22"/>
        </w:rPr>
        <w:t> </w:t>
      </w:r>
      <w:r>
        <w:rPr>
          <w:spacing w:val="-4"/>
          <w:sz w:val="22"/>
        </w:rPr>
        <w:t>of</w:t>
      </w:r>
      <w:r>
        <w:rPr>
          <w:spacing w:val="-1"/>
          <w:sz w:val="22"/>
        </w:rPr>
        <w:t> </w:t>
      </w:r>
      <w:r>
        <w:rPr>
          <w:spacing w:val="-4"/>
          <w:sz w:val="22"/>
        </w:rPr>
        <w:t>rich,</w:t>
      </w:r>
      <w:r>
        <w:rPr>
          <w:spacing w:val="-1"/>
          <w:sz w:val="22"/>
        </w:rPr>
        <w:t> </w:t>
      </w:r>
      <w:r>
        <w:rPr>
          <w:spacing w:val="-4"/>
          <w:sz w:val="22"/>
        </w:rPr>
        <w:t>useful</w:t>
      </w:r>
      <w:r>
        <w:rPr>
          <w:spacing w:val="-1"/>
          <w:sz w:val="22"/>
        </w:rPr>
        <w:t> </w:t>
      </w:r>
      <w:r>
        <w:rPr>
          <w:spacing w:val="-4"/>
          <w:sz w:val="22"/>
        </w:rPr>
        <w:t>and</w:t>
      </w:r>
      <w:r>
        <w:rPr>
          <w:spacing w:val="-2"/>
          <w:sz w:val="22"/>
        </w:rPr>
        <w:t> </w:t>
      </w:r>
      <w:r>
        <w:rPr>
          <w:spacing w:val="-4"/>
          <w:sz w:val="22"/>
        </w:rPr>
        <w:t>relevant</w:t>
      </w:r>
      <w:r>
        <w:rPr>
          <w:spacing w:val="-1"/>
          <w:sz w:val="22"/>
        </w:rPr>
        <w:t> </w:t>
      </w:r>
      <w:r>
        <w:rPr>
          <w:spacing w:val="-4"/>
          <w:sz w:val="22"/>
        </w:rPr>
        <w:t>content</w:t>
      </w:r>
    </w:p>
    <w:p>
      <w:pPr>
        <w:pStyle w:val="BodyText"/>
        <w:spacing w:before="53"/>
      </w:pPr>
    </w:p>
    <w:p>
      <w:pPr>
        <w:pStyle w:val="BodyText"/>
        <w:spacing w:line="266" w:lineRule="auto" w:before="1"/>
        <w:ind w:left="319" w:right="1077"/>
        <w:jc w:val="both"/>
      </w:pPr>
      <w:r>
        <w:rPr/>
        <w:t>The</w:t>
      </w:r>
      <w:r>
        <w:rPr>
          <w:spacing w:val="-5"/>
        </w:rPr>
        <w:t> </w:t>
      </w:r>
      <w:r>
        <w:rPr/>
        <w:t>cycle</w:t>
      </w:r>
      <w:r>
        <w:rPr>
          <w:spacing w:val="-5"/>
        </w:rPr>
        <w:t> </w:t>
      </w:r>
      <w:r>
        <w:rPr/>
        <w:t>is</w:t>
      </w:r>
      <w:r>
        <w:rPr>
          <w:spacing w:val="-5"/>
        </w:rPr>
        <w:t> </w:t>
      </w:r>
      <w:r>
        <w:rPr/>
        <w:t>expected</w:t>
      </w:r>
      <w:r>
        <w:rPr>
          <w:spacing w:val="-5"/>
        </w:rPr>
        <w:t> </w:t>
      </w:r>
      <w:r>
        <w:rPr/>
        <w:t>to</w:t>
      </w:r>
      <w:r>
        <w:rPr>
          <w:spacing w:val="-5"/>
        </w:rPr>
        <w:t> </w:t>
      </w:r>
      <w:r>
        <w:rPr/>
        <w:t>take</w:t>
      </w:r>
      <w:r>
        <w:rPr>
          <w:spacing w:val="-5"/>
        </w:rPr>
        <w:t> </w:t>
      </w:r>
      <w:r>
        <w:rPr/>
        <w:t>between</w:t>
      </w:r>
      <w:r>
        <w:rPr>
          <w:spacing w:val="-5"/>
        </w:rPr>
        <w:t> </w:t>
      </w:r>
      <w:r>
        <w:rPr/>
        <w:t>nine</w:t>
      </w:r>
      <w:r>
        <w:rPr>
          <w:spacing w:val="-5"/>
        </w:rPr>
        <w:t> </w:t>
      </w:r>
      <w:r>
        <w:rPr/>
        <w:t>months</w:t>
      </w:r>
      <w:r>
        <w:rPr>
          <w:spacing w:val="-5"/>
        </w:rPr>
        <w:t> </w:t>
      </w:r>
      <w:r>
        <w:rPr/>
        <w:t>to a</w:t>
      </w:r>
      <w:r>
        <w:rPr>
          <w:spacing w:val="-8"/>
        </w:rPr>
        <w:t> </w:t>
      </w:r>
      <w:r>
        <w:rPr/>
        <w:t>year</w:t>
      </w:r>
      <w:r>
        <w:rPr>
          <w:spacing w:val="-8"/>
        </w:rPr>
        <w:t> </w:t>
      </w:r>
      <w:r>
        <w:rPr/>
        <w:t>to</w:t>
      </w:r>
      <w:r>
        <w:rPr>
          <w:spacing w:val="-8"/>
        </w:rPr>
        <w:t> </w:t>
      </w:r>
      <w:r>
        <w:rPr/>
        <w:t>complete,</w:t>
      </w:r>
      <w:r>
        <w:rPr>
          <w:spacing w:val="-8"/>
        </w:rPr>
        <w:t> </w:t>
      </w:r>
      <w:r>
        <w:rPr/>
        <w:t>at</w:t>
      </w:r>
      <w:r>
        <w:rPr>
          <w:spacing w:val="-8"/>
        </w:rPr>
        <w:t> </w:t>
      </w:r>
      <w:r>
        <w:rPr/>
        <w:t>the</w:t>
      </w:r>
      <w:r>
        <w:rPr>
          <w:spacing w:val="-8"/>
        </w:rPr>
        <w:t> </w:t>
      </w:r>
      <w:r>
        <w:rPr/>
        <w:t>end</w:t>
      </w:r>
      <w:r>
        <w:rPr>
          <w:spacing w:val="-8"/>
        </w:rPr>
        <w:t> </w:t>
      </w:r>
      <w:r>
        <w:rPr/>
        <w:t>of</w:t>
      </w:r>
      <w:r>
        <w:rPr>
          <w:spacing w:val="-8"/>
        </w:rPr>
        <w:t> </w:t>
      </w:r>
      <w:r>
        <w:rPr/>
        <w:t>which</w:t>
      </w:r>
      <w:r>
        <w:rPr>
          <w:spacing w:val="-8"/>
        </w:rPr>
        <w:t> </w:t>
      </w:r>
      <w:r>
        <w:rPr/>
        <w:t>a</w:t>
      </w:r>
      <w:r>
        <w:rPr>
          <w:spacing w:val="-8"/>
        </w:rPr>
        <w:t> </w:t>
      </w:r>
      <w:r>
        <w:rPr/>
        <w:t>portal</w:t>
      </w:r>
      <w:r>
        <w:rPr>
          <w:spacing w:val="-8"/>
        </w:rPr>
        <w:t> </w:t>
      </w:r>
      <w:r>
        <w:rPr/>
        <w:t>would be put in place which could then continuously be enhanced, populated and promoted.</w:t>
      </w:r>
    </w:p>
    <w:p>
      <w:pPr>
        <w:pStyle w:val="BodyText"/>
        <w:spacing w:before="2"/>
      </w:pPr>
    </w:p>
    <w:p>
      <w:pPr>
        <w:pStyle w:val="Heading6"/>
        <w:numPr>
          <w:ilvl w:val="0"/>
          <w:numId w:val="12"/>
        </w:numPr>
        <w:tabs>
          <w:tab w:pos="727" w:val="left" w:leader="none"/>
        </w:tabs>
        <w:spacing w:line="182" w:lineRule="auto" w:before="0" w:after="0"/>
        <w:ind w:left="727" w:right="1493" w:hanging="408"/>
        <w:jc w:val="left"/>
      </w:pPr>
      <w:r>
        <w:rPr>
          <w:color w:val="2E614A"/>
          <w:w w:val="90"/>
        </w:rPr>
        <w:t>Provide Access to </w:t>
      </w:r>
      <w:r>
        <w:rPr>
          <w:color w:val="2E614A"/>
          <w:w w:val="90"/>
        </w:rPr>
        <w:t>Government </w:t>
      </w:r>
      <w:r>
        <w:rPr>
          <w:color w:val="2E614A"/>
        </w:rPr>
        <w:t>Held Data</w:t>
      </w:r>
    </w:p>
    <w:p>
      <w:pPr>
        <w:pStyle w:val="BodyText"/>
        <w:spacing w:line="266" w:lineRule="auto" w:before="302"/>
        <w:ind w:left="319" w:right="1077"/>
        <w:jc w:val="both"/>
      </w:pPr>
      <w:r>
        <w:rPr/>
        <w:t>There are a host of issues related to data for a portal, such</w:t>
      </w:r>
      <w:r>
        <w:rPr>
          <w:spacing w:val="-8"/>
        </w:rPr>
        <w:t> </w:t>
      </w:r>
      <w:r>
        <w:rPr/>
        <w:t>as</w:t>
      </w:r>
      <w:r>
        <w:rPr>
          <w:spacing w:val="-8"/>
        </w:rPr>
        <w:t> </w:t>
      </w:r>
      <w:r>
        <w:rPr/>
        <w:t>sourcing,</w:t>
      </w:r>
      <w:r>
        <w:rPr>
          <w:spacing w:val="-8"/>
        </w:rPr>
        <w:t> </w:t>
      </w:r>
      <w:r>
        <w:rPr/>
        <w:t>validation,</w:t>
      </w:r>
      <w:r>
        <w:rPr>
          <w:spacing w:val="-8"/>
        </w:rPr>
        <w:t> </w:t>
      </w:r>
      <w:r>
        <w:rPr/>
        <w:t>quality</w:t>
      </w:r>
      <w:r>
        <w:rPr>
          <w:spacing w:val="-8"/>
        </w:rPr>
        <w:t> </w:t>
      </w:r>
      <w:r>
        <w:rPr/>
        <w:t>and</w:t>
      </w:r>
      <w:r>
        <w:rPr>
          <w:spacing w:val="-8"/>
        </w:rPr>
        <w:t> </w:t>
      </w:r>
      <w:r>
        <w:rPr/>
        <w:t>formats.</w:t>
      </w:r>
      <w:r>
        <w:rPr>
          <w:spacing w:val="-13"/>
        </w:rPr>
        <w:t> </w:t>
      </w:r>
      <w:r>
        <w:rPr/>
        <w:t>The </w:t>
      </w:r>
      <w:r>
        <w:rPr>
          <w:spacing w:val="-8"/>
        </w:rPr>
        <w:t>government</w:t>
      </w:r>
      <w:r>
        <w:rPr>
          <w:spacing w:val="-6"/>
        </w:rPr>
        <w:t> </w:t>
      </w:r>
      <w:r>
        <w:rPr>
          <w:spacing w:val="-8"/>
        </w:rPr>
        <w:t>is</w:t>
      </w:r>
      <w:r>
        <w:rPr>
          <w:spacing w:val="-6"/>
        </w:rPr>
        <w:t> </w:t>
      </w:r>
      <w:r>
        <w:rPr>
          <w:spacing w:val="-8"/>
        </w:rPr>
        <w:t>a</w:t>
      </w:r>
      <w:r>
        <w:rPr>
          <w:spacing w:val="-6"/>
        </w:rPr>
        <w:t> </w:t>
      </w:r>
      <w:r>
        <w:rPr>
          <w:spacing w:val="-8"/>
        </w:rPr>
        <w:t>major</w:t>
      </w:r>
      <w:r>
        <w:rPr>
          <w:spacing w:val="-5"/>
        </w:rPr>
        <w:t> </w:t>
      </w:r>
      <w:r>
        <w:rPr>
          <w:spacing w:val="-8"/>
        </w:rPr>
        <w:t>source</w:t>
      </w:r>
      <w:r>
        <w:rPr>
          <w:spacing w:val="-6"/>
        </w:rPr>
        <w:t> </w:t>
      </w:r>
      <w:r>
        <w:rPr>
          <w:spacing w:val="-8"/>
        </w:rPr>
        <w:t>of</w:t>
      </w:r>
      <w:r>
        <w:rPr>
          <w:spacing w:val="-6"/>
        </w:rPr>
        <w:t> </w:t>
      </w:r>
      <w:r>
        <w:rPr>
          <w:spacing w:val="-8"/>
        </w:rPr>
        <w:t>extensive</w:t>
      </w:r>
      <w:r>
        <w:rPr>
          <w:spacing w:val="-6"/>
        </w:rPr>
        <w:t> </w:t>
      </w:r>
      <w:r>
        <w:rPr>
          <w:spacing w:val="-8"/>
        </w:rPr>
        <w:t>data</w:t>
      </w:r>
      <w:r>
        <w:rPr>
          <w:spacing w:val="-5"/>
        </w:rPr>
        <w:t> </w:t>
      </w:r>
      <w:r>
        <w:rPr>
          <w:spacing w:val="-8"/>
        </w:rPr>
        <w:t>on</w:t>
      </w:r>
      <w:r>
        <w:rPr>
          <w:spacing w:val="-6"/>
        </w:rPr>
        <w:t> </w:t>
      </w:r>
      <w:r>
        <w:rPr>
          <w:spacing w:val="-8"/>
        </w:rPr>
        <w:t>various </w:t>
      </w:r>
      <w:r>
        <w:rPr>
          <w:spacing w:val="-6"/>
        </w:rPr>
        <w:t>sectors. All government departments should easily make</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t>available</w:t>
      </w:r>
      <w:r>
        <w:rPr>
          <w:spacing w:val="-10"/>
        </w:rPr>
        <w:t> </w:t>
      </w:r>
      <w:r>
        <w:rPr/>
        <w:t>data</w:t>
      </w:r>
      <w:r>
        <w:rPr>
          <w:spacing w:val="-10"/>
        </w:rPr>
        <w:t> </w:t>
      </w:r>
      <w:r>
        <w:rPr/>
        <w:t>sets</w:t>
      </w:r>
      <w:r>
        <w:rPr>
          <w:spacing w:val="-10"/>
        </w:rPr>
        <w:t> </w:t>
      </w:r>
      <w:r>
        <w:rPr/>
        <w:t>they</w:t>
      </w:r>
      <w:r>
        <w:rPr>
          <w:spacing w:val="-10"/>
        </w:rPr>
        <w:t> </w:t>
      </w:r>
      <w:r>
        <w:rPr/>
        <w:t>have,</w:t>
      </w:r>
      <w:r>
        <w:rPr>
          <w:spacing w:val="-10"/>
        </w:rPr>
        <w:t> </w:t>
      </w:r>
      <w:r>
        <w:rPr/>
        <w:t>in</w:t>
      </w:r>
      <w:r>
        <w:rPr>
          <w:spacing w:val="-10"/>
        </w:rPr>
        <w:t> </w:t>
      </w:r>
      <w:r>
        <w:rPr/>
        <w:t>a</w:t>
      </w:r>
      <w:r>
        <w:rPr>
          <w:spacing w:val="-10"/>
        </w:rPr>
        <w:t> </w:t>
      </w:r>
      <w:r>
        <w:rPr/>
        <w:t>digital</w:t>
      </w:r>
      <w:r>
        <w:rPr>
          <w:spacing w:val="-10"/>
        </w:rPr>
        <w:t> </w:t>
      </w:r>
      <w:r>
        <w:rPr/>
        <w:t>format</w:t>
      </w:r>
      <w:r>
        <w:rPr>
          <w:spacing w:val="-10"/>
        </w:rPr>
        <w:t> </w:t>
      </w:r>
      <w:r>
        <w:rPr/>
        <w:t>to</w:t>
      </w:r>
      <w:r>
        <w:rPr>
          <w:spacing w:val="-10"/>
        </w:rPr>
        <w:t> </w:t>
      </w:r>
      <w:r>
        <w:rPr/>
        <w:t>the </w:t>
      </w:r>
      <w:r>
        <w:rPr>
          <w:spacing w:val="-2"/>
        </w:rPr>
        <w:t>portal</w:t>
      </w:r>
      <w:r>
        <w:rPr>
          <w:spacing w:val="-11"/>
        </w:rPr>
        <w:t> </w:t>
      </w:r>
      <w:r>
        <w:rPr>
          <w:spacing w:val="-2"/>
        </w:rPr>
        <w:t>consortium.</w:t>
      </w:r>
      <w:r>
        <w:rPr>
          <w:spacing w:val="-11"/>
        </w:rPr>
        <w:t> </w:t>
      </w:r>
      <w:r>
        <w:rPr>
          <w:spacing w:val="-2"/>
        </w:rPr>
        <w:t>Data</w:t>
      </w:r>
      <w:r>
        <w:rPr>
          <w:spacing w:val="-11"/>
        </w:rPr>
        <w:t> </w:t>
      </w:r>
      <w:r>
        <w:rPr>
          <w:spacing w:val="-2"/>
        </w:rPr>
        <w:t>from</w:t>
      </w:r>
      <w:r>
        <w:rPr>
          <w:spacing w:val="-11"/>
        </w:rPr>
        <w:t> </w:t>
      </w:r>
      <w:r>
        <w:rPr>
          <w:spacing w:val="-2"/>
        </w:rPr>
        <w:t>different</w:t>
      </w:r>
      <w:r>
        <w:rPr>
          <w:spacing w:val="-11"/>
        </w:rPr>
        <w:t> </w:t>
      </w:r>
      <w:r>
        <w:rPr>
          <w:spacing w:val="-2"/>
        </w:rPr>
        <w:t>sectors</w:t>
      </w:r>
      <w:r>
        <w:rPr>
          <w:spacing w:val="-11"/>
        </w:rPr>
        <w:t> </w:t>
      </w:r>
      <w:r>
        <w:rPr>
          <w:spacing w:val="-2"/>
        </w:rPr>
        <w:t>needs</w:t>
      </w:r>
      <w:r>
        <w:rPr>
          <w:spacing w:val="-11"/>
        </w:rPr>
        <w:t> </w:t>
      </w:r>
      <w:r>
        <w:rPr>
          <w:spacing w:val="-2"/>
        </w:rPr>
        <w:t>to be</w:t>
      </w:r>
      <w:r>
        <w:rPr>
          <w:spacing w:val="-12"/>
        </w:rPr>
        <w:t> </w:t>
      </w:r>
      <w:r>
        <w:rPr>
          <w:spacing w:val="-2"/>
        </w:rPr>
        <w:t>analysed</w:t>
      </w:r>
      <w:r>
        <w:rPr>
          <w:spacing w:val="-12"/>
        </w:rPr>
        <w:t> </w:t>
      </w:r>
      <w:r>
        <w:rPr>
          <w:spacing w:val="-2"/>
        </w:rPr>
        <w:t>holistically</w:t>
      </w:r>
      <w:r>
        <w:rPr>
          <w:spacing w:val="-12"/>
        </w:rPr>
        <w:t> </w:t>
      </w:r>
      <w:r>
        <w:rPr>
          <w:spacing w:val="-2"/>
        </w:rPr>
        <w:t>so</w:t>
      </w:r>
      <w:r>
        <w:rPr>
          <w:spacing w:val="-11"/>
        </w:rPr>
        <w:t> </w:t>
      </w:r>
      <w:r>
        <w:rPr>
          <w:spacing w:val="-2"/>
        </w:rPr>
        <w:t>that</w:t>
      </w:r>
      <w:r>
        <w:rPr>
          <w:spacing w:val="-12"/>
        </w:rPr>
        <w:t> </w:t>
      </w:r>
      <w:r>
        <w:rPr>
          <w:spacing w:val="-2"/>
        </w:rPr>
        <w:t>planning</w:t>
      </w:r>
      <w:r>
        <w:rPr>
          <w:spacing w:val="-12"/>
        </w:rPr>
        <w:t> </w:t>
      </w:r>
      <w:r>
        <w:rPr>
          <w:spacing w:val="-2"/>
        </w:rPr>
        <w:t>becomes</w:t>
      </w:r>
      <w:r>
        <w:rPr>
          <w:spacing w:val="-12"/>
        </w:rPr>
        <w:t> </w:t>
      </w:r>
      <w:r>
        <w:rPr>
          <w:spacing w:val="-2"/>
        </w:rPr>
        <w:t>more </w:t>
      </w:r>
      <w:r>
        <w:rPr>
          <w:spacing w:val="-6"/>
        </w:rPr>
        <w:t>data-driven</w:t>
      </w:r>
      <w:r>
        <w:rPr>
          <w:spacing w:val="-8"/>
        </w:rPr>
        <w:t> </w:t>
      </w:r>
      <w:r>
        <w:rPr>
          <w:spacing w:val="-6"/>
        </w:rPr>
        <w:t>and</w:t>
      </w:r>
      <w:r>
        <w:rPr>
          <w:spacing w:val="-8"/>
        </w:rPr>
        <w:t> </w:t>
      </w:r>
      <w:r>
        <w:rPr>
          <w:spacing w:val="-6"/>
        </w:rPr>
        <w:t>reflects</w:t>
      </w:r>
      <w:r>
        <w:rPr>
          <w:spacing w:val="-8"/>
        </w:rPr>
        <w:t> </w:t>
      </w:r>
      <w:r>
        <w:rPr>
          <w:spacing w:val="-6"/>
        </w:rPr>
        <w:t>the</w:t>
      </w:r>
      <w:r>
        <w:rPr>
          <w:spacing w:val="-7"/>
        </w:rPr>
        <w:t> </w:t>
      </w:r>
      <w:r>
        <w:rPr>
          <w:spacing w:val="-6"/>
        </w:rPr>
        <w:t>ground</w:t>
      </w:r>
      <w:r>
        <w:rPr>
          <w:spacing w:val="-8"/>
        </w:rPr>
        <w:t> </w:t>
      </w:r>
      <w:r>
        <w:rPr>
          <w:spacing w:val="-6"/>
        </w:rPr>
        <w:t>situation.</w:t>
      </w:r>
      <w:r>
        <w:rPr>
          <w:spacing w:val="-8"/>
        </w:rPr>
        <w:t> </w:t>
      </w:r>
      <w:r>
        <w:rPr>
          <w:spacing w:val="-6"/>
        </w:rPr>
        <w:t>This</w:t>
      </w:r>
      <w:r>
        <w:rPr>
          <w:spacing w:val="-8"/>
        </w:rPr>
        <w:t> </w:t>
      </w:r>
      <w:r>
        <w:rPr>
          <w:spacing w:val="-6"/>
        </w:rPr>
        <w:t>means </w:t>
      </w:r>
      <w:r>
        <w:rPr/>
        <w:t>that data that is traditionally collected and managed </w:t>
      </w:r>
      <w:r>
        <w:rPr>
          <w:spacing w:val="-2"/>
        </w:rPr>
        <w:t>separately,</w:t>
      </w:r>
      <w:r>
        <w:rPr>
          <w:spacing w:val="-12"/>
        </w:rPr>
        <w:t> </w:t>
      </w:r>
      <w:r>
        <w:rPr>
          <w:spacing w:val="-2"/>
        </w:rPr>
        <w:t>unrelated</w:t>
      </w:r>
      <w:r>
        <w:rPr>
          <w:spacing w:val="-12"/>
        </w:rPr>
        <w:t> </w:t>
      </w:r>
      <w:r>
        <w:rPr>
          <w:spacing w:val="-2"/>
        </w:rPr>
        <w:t>to</w:t>
      </w:r>
      <w:r>
        <w:rPr>
          <w:spacing w:val="-12"/>
        </w:rPr>
        <w:t> </w:t>
      </w:r>
      <w:r>
        <w:rPr>
          <w:spacing w:val="-2"/>
        </w:rPr>
        <w:t>each</w:t>
      </w:r>
      <w:r>
        <w:rPr>
          <w:spacing w:val="-11"/>
        </w:rPr>
        <w:t> </w:t>
      </w:r>
      <w:r>
        <w:rPr>
          <w:spacing w:val="-2"/>
        </w:rPr>
        <w:t>other,</w:t>
      </w:r>
      <w:r>
        <w:rPr>
          <w:spacing w:val="-12"/>
        </w:rPr>
        <w:t> </w:t>
      </w:r>
      <w:r>
        <w:rPr>
          <w:spacing w:val="-2"/>
        </w:rPr>
        <w:t>should</w:t>
      </w:r>
      <w:r>
        <w:rPr>
          <w:spacing w:val="-12"/>
        </w:rPr>
        <w:t> </w:t>
      </w:r>
      <w:r>
        <w:rPr>
          <w:spacing w:val="-2"/>
        </w:rPr>
        <w:t>now</w:t>
      </w:r>
      <w:r>
        <w:rPr>
          <w:spacing w:val="-12"/>
        </w:rPr>
        <w:t> </w:t>
      </w:r>
      <w:r>
        <w:rPr>
          <w:spacing w:val="-2"/>
        </w:rPr>
        <w:t>be</w:t>
      </w:r>
      <w:r>
        <w:rPr>
          <w:spacing w:val="-11"/>
        </w:rPr>
        <w:t> </w:t>
      </w:r>
      <w:r>
        <w:rPr>
          <w:spacing w:val="-2"/>
        </w:rPr>
        <w:t>seen </w:t>
      </w:r>
      <w:r>
        <w:rPr>
          <w:spacing w:val="-8"/>
        </w:rPr>
        <w:t>together.</w:t>
      </w:r>
      <w:r>
        <w:rPr>
          <w:spacing w:val="-6"/>
        </w:rPr>
        <w:t> </w:t>
      </w:r>
      <w:r>
        <w:rPr>
          <w:spacing w:val="-8"/>
        </w:rPr>
        <w:t>There</w:t>
      </w:r>
      <w:r>
        <w:rPr>
          <w:spacing w:val="-6"/>
        </w:rPr>
        <w:t> </w:t>
      </w:r>
      <w:r>
        <w:rPr>
          <w:spacing w:val="-8"/>
        </w:rPr>
        <w:t>are</w:t>
      </w:r>
      <w:r>
        <w:rPr>
          <w:spacing w:val="-6"/>
        </w:rPr>
        <w:t> </w:t>
      </w:r>
      <w:r>
        <w:rPr>
          <w:spacing w:val="-8"/>
        </w:rPr>
        <w:t>no</w:t>
      </w:r>
      <w:r>
        <w:rPr>
          <w:spacing w:val="-2"/>
        </w:rPr>
        <w:t> </w:t>
      </w:r>
      <w:r>
        <w:rPr>
          <w:spacing w:val="-8"/>
        </w:rPr>
        <w:t>platforms</w:t>
      </w:r>
      <w:r>
        <w:rPr>
          <w:spacing w:val="-2"/>
        </w:rPr>
        <w:t> </w:t>
      </w:r>
      <w:r>
        <w:rPr>
          <w:spacing w:val="-8"/>
        </w:rPr>
        <w:t>or</w:t>
      </w:r>
      <w:r>
        <w:rPr>
          <w:spacing w:val="-2"/>
        </w:rPr>
        <w:t> </w:t>
      </w:r>
      <w:r>
        <w:rPr>
          <w:spacing w:val="-8"/>
        </w:rPr>
        <w:t>mechanisms</w:t>
      </w:r>
      <w:r>
        <w:rPr>
          <w:spacing w:val="-2"/>
        </w:rPr>
        <w:t> </w:t>
      </w:r>
      <w:r>
        <w:rPr>
          <w:spacing w:val="-8"/>
        </w:rPr>
        <w:t>currently </w:t>
      </w:r>
      <w:r>
        <w:rPr>
          <w:spacing w:val="-4"/>
        </w:rPr>
        <w:t>in</w:t>
      </w:r>
      <w:r>
        <w:rPr>
          <w:spacing w:val="-8"/>
        </w:rPr>
        <w:t> </w:t>
      </w:r>
      <w:r>
        <w:rPr>
          <w:spacing w:val="-4"/>
        </w:rPr>
        <w:t>place</w:t>
      </w:r>
      <w:r>
        <w:rPr>
          <w:spacing w:val="-8"/>
        </w:rPr>
        <w:t> </w:t>
      </w:r>
      <w:r>
        <w:rPr>
          <w:spacing w:val="-4"/>
        </w:rPr>
        <w:t>to</w:t>
      </w:r>
      <w:r>
        <w:rPr>
          <w:spacing w:val="-8"/>
        </w:rPr>
        <w:t> </w:t>
      </w:r>
      <w:r>
        <w:rPr>
          <w:spacing w:val="-4"/>
        </w:rPr>
        <w:t>allow</w:t>
      </w:r>
      <w:r>
        <w:rPr>
          <w:spacing w:val="-8"/>
        </w:rPr>
        <w:t> </w:t>
      </w:r>
      <w:r>
        <w:rPr>
          <w:spacing w:val="-4"/>
        </w:rPr>
        <w:t>this</w:t>
      </w:r>
      <w:r>
        <w:rPr>
          <w:spacing w:val="-8"/>
        </w:rPr>
        <w:t> </w:t>
      </w:r>
      <w:r>
        <w:rPr>
          <w:spacing w:val="-4"/>
        </w:rPr>
        <w:t>to</w:t>
      </w:r>
      <w:r>
        <w:rPr>
          <w:spacing w:val="-8"/>
        </w:rPr>
        <w:t> </w:t>
      </w:r>
      <w:r>
        <w:rPr>
          <w:spacing w:val="-4"/>
        </w:rPr>
        <w:t>be</w:t>
      </w:r>
      <w:r>
        <w:rPr>
          <w:spacing w:val="-8"/>
        </w:rPr>
        <w:t> </w:t>
      </w:r>
      <w:r>
        <w:rPr>
          <w:spacing w:val="-4"/>
        </w:rPr>
        <w:t>done</w:t>
      </w:r>
      <w:r>
        <w:rPr>
          <w:spacing w:val="-8"/>
        </w:rPr>
        <w:t> </w:t>
      </w:r>
      <w:r>
        <w:rPr>
          <w:spacing w:val="-4"/>
        </w:rPr>
        <w:t>easily.</w:t>
      </w:r>
      <w:r>
        <w:rPr>
          <w:spacing w:val="-8"/>
        </w:rPr>
        <w:t> </w:t>
      </w:r>
      <w:r>
        <w:rPr>
          <w:spacing w:val="-4"/>
        </w:rPr>
        <w:t>Clear</w:t>
      </w:r>
      <w:r>
        <w:rPr>
          <w:spacing w:val="-8"/>
        </w:rPr>
        <w:t> </w:t>
      </w:r>
      <w:r>
        <w:rPr>
          <w:spacing w:val="-4"/>
        </w:rPr>
        <w:t>guidelines </w:t>
      </w:r>
      <w:r>
        <w:rPr/>
        <w:t>should be developed under which this data could be sourced</w:t>
      </w:r>
      <w:r>
        <w:rPr>
          <w:spacing w:val="-12"/>
        </w:rPr>
        <w:t> </w:t>
      </w:r>
      <w:r>
        <w:rPr/>
        <w:t>in</w:t>
      </w:r>
      <w:r>
        <w:rPr>
          <w:spacing w:val="-12"/>
        </w:rPr>
        <w:t> </w:t>
      </w:r>
      <w:r>
        <w:rPr/>
        <w:t>appropriate</w:t>
      </w:r>
      <w:r>
        <w:rPr>
          <w:spacing w:val="-12"/>
        </w:rPr>
        <w:t> </w:t>
      </w:r>
      <w:r>
        <w:rPr/>
        <w:t>formats</w:t>
      </w:r>
      <w:r>
        <w:rPr>
          <w:spacing w:val="-12"/>
        </w:rPr>
        <w:t> </w:t>
      </w:r>
      <w:r>
        <w:rPr/>
        <w:t>and</w:t>
      </w:r>
      <w:r>
        <w:rPr>
          <w:spacing w:val="-12"/>
        </w:rPr>
        <w:t> </w:t>
      </w:r>
      <w:r>
        <w:rPr/>
        <w:t>regularly</w:t>
      </w:r>
      <w:r>
        <w:rPr>
          <w:spacing w:val="-12"/>
        </w:rPr>
        <w:t> </w:t>
      </w:r>
      <w:r>
        <w:rPr/>
        <w:t>updated. The</w:t>
      </w:r>
      <w:r>
        <w:rPr>
          <w:spacing w:val="-5"/>
        </w:rPr>
        <w:t> </w:t>
      </w:r>
      <w:r>
        <w:rPr/>
        <w:t>Right</w:t>
      </w:r>
      <w:r>
        <w:rPr>
          <w:spacing w:val="-5"/>
        </w:rPr>
        <w:t> </w:t>
      </w:r>
      <w:r>
        <w:rPr/>
        <w:t>to</w:t>
      </w:r>
      <w:r>
        <w:rPr>
          <w:spacing w:val="-5"/>
        </w:rPr>
        <w:t> </w:t>
      </w:r>
      <w:r>
        <w:rPr/>
        <w:t>Information</w:t>
      </w:r>
      <w:r>
        <w:rPr>
          <w:spacing w:val="-5"/>
        </w:rPr>
        <w:t> </w:t>
      </w:r>
      <w:r>
        <w:rPr/>
        <w:t>may</w:t>
      </w:r>
      <w:r>
        <w:rPr>
          <w:spacing w:val="-5"/>
        </w:rPr>
        <w:t> </w:t>
      </w:r>
      <w:r>
        <w:rPr/>
        <w:t>make</w:t>
      </w:r>
      <w:r>
        <w:rPr>
          <w:spacing w:val="-5"/>
        </w:rPr>
        <w:t> </w:t>
      </w:r>
      <w:r>
        <w:rPr/>
        <w:t>this</w:t>
      </w:r>
      <w:r>
        <w:rPr>
          <w:spacing w:val="-5"/>
        </w:rPr>
        <w:t> </w:t>
      </w:r>
      <w:r>
        <w:rPr/>
        <w:t>easier,</w:t>
      </w:r>
      <w:r>
        <w:rPr>
          <w:spacing w:val="-5"/>
        </w:rPr>
        <w:t> </w:t>
      </w:r>
      <w:r>
        <w:rPr/>
        <w:t>but</w:t>
      </w:r>
      <w:r>
        <w:rPr>
          <w:spacing w:val="-5"/>
        </w:rPr>
        <w:t> </w:t>
      </w:r>
      <w:r>
        <w:rPr/>
        <w:t>it </w:t>
      </w:r>
      <w:r>
        <w:rPr>
          <w:spacing w:val="-4"/>
        </w:rPr>
        <w:t>continues</w:t>
      </w:r>
      <w:r>
        <w:rPr>
          <w:spacing w:val="-10"/>
        </w:rPr>
        <w:t> </w:t>
      </w:r>
      <w:r>
        <w:rPr>
          <w:spacing w:val="-4"/>
        </w:rPr>
        <w:t>to</w:t>
      </w:r>
      <w:r>
        <w:rPr>
          <w:spacing w:val="-10"/>
        </w:rPr>
        <w:t> </w:t>
      </w:r>
      <w:r>
        <w:rPr>
          <w:spacing w:val="-4"/>
        </w:rPr>
        <w:t>be</w:t>
      </w:r>
      <w:r>
        <w:rPr>
          <w:spacing w:val="-8"/>
        </w:rPr>
        <w:t> </w:t>
      </w:r>
      <w:r>
        <w:rPr>
          <w:spacing w:val="-4"/>
        </w:rPr>
        <w:t>a</w:t>
      </w:r>
      <w:r>
        <w:rPr>
          <w:spacing w:val="-8"/>
        </w:rPr>
        <w:t> </w:t>
      </w:r>
      <w:r>
        <w:rPr>
          <w:spacing w:val="-4"/>
        </w:rPr>
        <w:t>long</w:t>
      </w:r>
      <w:r>
        <w:rPr>
          <w:spacing w:val="-8"/>
        </w:rPr>
        <w:t> </w:t>
      </w:r>
      <w:r>
        <w:rPr>
          <w:spacing w:val="-4"/>
        </w:rPr>
        <w:t>drawn</w:t>
      </w:r>
      <w:r>
        <w:rPr>
          <w:spacing w:val="-8"/>
        </w:rPr>
        <w:t> </w:t>
      </w:r>
      <w:r>
        <w:rPr>
          <w:spacing w:val="-4"/>
        </w:rPr>
        <w:t>process.</w:t>
      </w:r>
      <w:r>
        <w:rPr>
          <w:spacing w:val="-10"/>
        </w:rPr>
        <w:t> </w:t>
      </w:r>
      <w:r>
        <w:rPr>
          <w:spacing w:val="-4"/>
        </w:rPr>
        <w:t>These</w:t>
      </w:r>
      <w:r>
        <w:rPr>
          <w:spacing w:val="-8"/>
        </w:rPr>
        <w:t> </w:t>
      </w:r>
      <w:r>
        <w:rPr>
          <w:spacing w:val="-4"/>
        </w:rPr>
        <w:t>procedures </w:t>
      </w:r>
      <w:r>
        <w:rPr/>
        <w:t>need</w:t>
      </w:r>
      <w:r>
        <w:rPr>
          <w:spacing w:val="-13"/>
        </w:rPr>
        <w:t> </w:t>
      </w:r>
      <w:r>
        <w:rPr/>
        <w:t>to</w:t>
      </w:r>
      <w:r>
        <w:rPr>
          <w:spacing w:val="-13"/>
        </w:rPr>
        <w:t> </w:t>
      </w:r>
      <w:r>
        <w:rPr/>
        <w:t>be</w:t>
      </w:r>
      <w:r>
        <w:rPr>
          <w:spacing w:val="-13"/>
        </w:rPr>
        <w:t> </w:t>
      </w:r>
      <w:r>
        <w:rPr/>
        <w:t>streamlined</w:t>
      </w:r>
      <w:r>
        <w:rPr>
          <w:spacing w:val="-13"/>
        </w:rPr>
        <w:t> </w:t>
      </w:r>
      <w:r>
        <w:rPr/>
        <w:t>and</w:t>
      </w:r>
      <w:r>
        <w:rPr>
          <w:spacing w:val="-13"/>
        </w:rPr>
        <w:t> </w:t>
      </w:r>
      <w:r>
        <w:rPr/>
        <w:t>made</w:t>
      </w:r>
      <w:r>
        <w:rPr>
          <w:spacing w:val="-13"/>
        </w:rPr>
        <w:t> </w:t>
      </w:r>
      <w:r>
        <w:rPr/>
        <w:t>simpler.</w:t>
      </w:r>
    </w:p>
    <w:p>
      <w:pPr>
        <w:pStyle w:val="Heading6"/>
        <w:numPr>
          <w:ilvl w:val="0"/>
          <w:numId w:val="12"/>
        </w:numPr>
        <w:tabs>
          <w:tab w:pos="1405" w:val="left" w:leader="none"/>
        </w:tabs>
        <w:spacing w:line="240" w:lineRule="auto" w:before="184" w:after="0"/>
        <w:ind w:left="1405" w:right="0" w:hanging="325"/>
        <w:jc w:val="left"/>
      </w:pPr>
      <w:r>
        <w:rPr>
          <w:color w:val="2E614A"/>
          <w:w w:val="90"/>
        </w:rPr>
        <w:t>Encourage</w:t>
      </w:r>
      <w:r>
        <w:rPr>
          <w:color w:val="2E614A"/>
          <w:spacing w:val="4"/>
        </w:rPr>
        <w:t> </w:t>
      </w:r>
      <w:r>
        <w:rPr>
          <w:color w:val="2E614A"/>
          <w:w w:val="90"/>
        </w:rPr>
        <w:t>Collaborative</w:t>
      </w:r>
      <w:r>
        <w:rPr>
          <w:color w:val="2E614A"/>
          <w:spacing w:val="5"/>
        </w:rPr>
        <w:t> </w:t>
      </w:r>
      <w:r>
        <w:rPr>
          <w:color w:val="2E614A"/>
          <w:spacing w:val="-2"/>
          <w:w w:val="90"/>
        </w:rPr>
        <w:t>Funding</w:t>
      </w:r>
    </w:p>
    <w:p>
      <w:pPr>
        <w:pStyle w:val="BodyText"/>
        <w:spacing w:line="266" w:lineRule="auto" w:before="286"/>
        <w:ind w:left="1080"/>
        <w:jc w:val="both"/>
      </w:pPr>
      <w:r>
        <w:rPr/>
        <w:t>The Portal effort can escalate quickly as the scale of content,</w:t>
      </w:r>
      <w:r>
        <w:rPr>
          <w:spacing w:val="-3"/>
        </w:rPr>
        <w:t> </w:t>
      </w:r>
      <w:r>
        <w:rPr/>
        <w:t>partnerships</w:t>
      </w:r>
      <w:r>
        <w:rPr>
          <w:spacing w:val="-3"/>
        </w:rPr>
        <w:t> </w:t>
      </w:r>
      <w:r>
        <w:rPr/>
        <w:t>and</w:t>
      </w:r>
      <w:r>
        <w:rPr>
          <w:spacing w:val="-3"/>
        </w:rPr>
        <w:t> </w:t>
      </w:r>
      <w:r>
        <w:rPr/>
        <w:t>the</w:t>
      </w:r>
      <w:r>
        <w:rPr>
          <w:spacing w:val="-3"/>
        </w:rPr>
        <w:t> </w:t>
      </w:r>
      <w:r>
        <w:rPr/>
        <w:t>scope</w:t>
      </w:r>
      <w:r>
        <w:rPr>
          <w:spacing w:val="-3"/>
        </w:rPr>
        <w:t> </w:t>
      </w:r>
      <w:r>
        <w:rPr/>
        <w:t>is</w:t>
      </w:r>
      <w:r>
        <w:rPr>
          <w:spacing w:val="-3"/>
        </w:rPr>
        <w:t> </w:t>
      </w:r>
      <w:r>
        <w:rPr/>
        <w:t>very</w:t>
      </w:r>
      <w:r>
        <w:rPr>
          <w:spacing w:val="-3"/>
        </w:rPr>
        <w:t> </w:t>
      </w:r>
      <w:r>
        <w:rPr/>
        <w:t>large.</w:t>
      </w:r>
      <w:r>
        <w:rPr>
          <w:spacing w:val="-10"/>
        </w:rPr>
        <w:t> </w:t>
      </w:r>
      <w:r>
        <w:rPr/>
        <w:t>The issue of funding for the effort includes big line items like technology development, map preparation, data gathering, developing applications, content creation, organising and coordinating partnerships. Solutions </w:t>
      </w:r>
      <w:r>
        <w:rPr>
          <w:spacing w:val="-4"/>
        </w:rPr>
        <w:t>need</w:t>
      </w:r>
      <w:r>
        <w:rPr>
          <w:spacing w:val="-6"/>
        </w:rPr>
        <w:t> </w:t>
      </w:r>
      <w:r>
        <w:rPr>
          <w:spacing w:val="-4"/>
        </w:rPr>
        <w:t>to</w:t>
      </w:r>
      <w:r>
        <w:rPr>
          <w:spacing w:val="-6"/>
        </w:rPr>
        <w:t> </w:t>
      </w:r>
      <w:r>
        <w:rPr>
          <w:spacing w:val="-4"/>
        </w:rPr>
        <w:t>be</w:t>
      </w:r>
      <w:r>
        <w:rPr>
          <w:spacing w:val="-6"/>
        </w:rPr>
        <w:t> </w:t>
      </w:r>
      <w:r>
        <w:rPr>
          <w:spacing w:val="-4"/>
        </w:rPr>
        <w:t>evolved</w:t>
      </w:r>
      <w:r>
        <w:rPr>
          <w:spacing w:val="-6"/>
        </w:rPr>
        <w:t> </w:t>
      </w:r>
      <w:r>
        <w:rPr>
          <w:spacing w:val="-4"/>
        </w:rPr>
        <w:t>depending</w:t>
      </w:r>
      <w:r>
        <w:rPr>
          <w:spacing w:val="-6"/>
        </w:rPr>
        <w:t> </w:t>
      </w:r>
      <w:r>
        <w:rPr>
          <w:spacing w:val="-4"/>
        </w:rPr>
        <w:t>on</w:t>
      </w:r>
      <w:r>
        <w:rPr>
          <w:spacing w:val="-6"/>
        </w:rPr>
        <w:t> </w:t>
      </w:r>
      <w:r>
        <w:rPr>
          <w:spacing w:val="-4"/>
        </w:rPr>
        <w:t>the</w:t>
      </w:r>
      <w:r>
        <w:rPr>
          <w:spacing w:val="-6"/>
        </w:rPr>
        <w:t> </w:t>
      </w:r>
      <w:r>
        <w:rPr>
          <w:spacing w:val="-4"/>
        </w:rPr>
        <w:t>sector</w:t>
      </w:r>
      <w:r>
        <w:rPr>
          <w:spacing w:val="-6"/>
        </w:rPr>
        <w:t> </w:t>
      </w:r>
      <w:r>
        <w:rPr>
          <w:spacing w:val="-4"/>
        </w:rPr>
        <w:t>in</w:t>
      </w:r>
      <w:r>
        <w:rPr>
          <w:spacing w:val="-6"/>
        </w:rPr>
        <w:t> </w:t>
      </w:r>
      <w:r>
        <w:rPr>
          <w:spacing w:val="-4"/>
        </w:rPr>
        <w:t>question. </w:t>
      </w:r>
      <w:r>
        <w:rPr>
          <w:w w:val="90"/>
        </w:rPr>
        <w:t>Several possibilities including public private partnerships </w:t>
      </w:r>
      <w:r>
        <w:rPr/>
        <w:t>and new business models should be explored. The government may also look at providing some public money for these efforts through grants.</w:t>
      </w:r>
    </w:p>
    <w:p>
      <w:pPr>
        <w:pStyle w:val="Heading6"/>
        <w:numPr>
          <w:ilvl w:val="0"/>
          <w:numId w:val="12"/>
        </w:numPr>
        <w:tabs>
          <w:tab w:pos="1405" w:val="left" w:leader="none"/>
        </w:tabs>
        <w:spacing w:line="240" w:lineRule="auto" w:before="186" w:after="0"/>
        <w:ind w:left="1405" w:right="0" w:hanging="325"/>
        <w:jc w:val="left"/>
      </w:pPr>
      <w:r>
        <w:rPr>
          <w:color w:val="2E614A"/>
          <w:w w:val="90"/>
        </w:rPr>
        <w:t>Reform</w:t>
      </w:r>
      <w:r>
        <w:rPr>
          <w:color w:val="2E614A"/>
          <w:spacing w:val="22"/>
        </w:rPr>
        <w:t> </w:t>
      </w:r>
      <w:r>
        <w:rPr>
          <w:color w:val="2E614A"/>
          <w:w w:val="90"/>
        </w:rPr>
        <w:t>Mapping</w:t>
      </w:r>
      <w:r>
        <w:rPr>
          <w:color w:val="2E614A"/>
          <w:spacing w:val="23"/>
        </w:rPr>
        <w:t> </w:t>
      </w:r>
      <w:r>
        <w:rPr>
          <w:color w:val="2E614A"/>
          <w:spacing w:val="-2"/>
          <w:w w:val="90"/>
        </w:rPr>
        <w:t>Policy</w:t>
      </w:r>
    </w:p>
    <w:p>
      <w:pPr>
        <w:pStyle w:val="BodyText"/>
        <w:spacing w:line="266" w:lineRule="auto" w:before="285"/>
        <w:ind w:left="1079"/>
        <w:jc w:val="both"/>
      </w:pPr>
      <w:r>
        <w:rPr>
          <w:spacing w:val="-6"/>
        </w:rPr>
        <w:t>The</w:t>
      </w:r>
      <w:r>
        <w:rPr>
          <w:spacing w:val="-7"/>
        </w:rPr>
        <w:t> </w:t>
      </w:r>
      <w:r>
        <w:rPr>
          <w:spacing w:val="-6"/>
        </w:rPr>
        <w:t>advance</w:t>
      </w:r>
      <w:r>
        <w:rPr>
          <w:spacing w:val="-7"/>
        </w:rPr>
        <w:t> </w:t>
      </w:r>
      <w:r>
        <w:rPr>
          <w:spacing w:val="-6"/>
        </w:rPr>
        <w:t>in</w:t>
      </w:r>
      <w:r>
        <w:rPr>
          <w:spacing w:val="-7"/>
        </w:rPr>
        <w:t> </w:t>
      </w:r>
      <w:r>
        <w:rPr>
          <w:spacing w:val="-6"/>
        </w:rPr>
        <w:t>computer</w:t>
      </w:r>
      <w:r>
        <w:rPr>
          <w:spacing w:val="-7"/>
        </w:rPr>
        <w:t> </w:t>
      </w:r>
      <w:r>
        <w:rPr>
          <w:spacing w:val="-6"/>
        </w:rPr>
        <w:t>based</w:t>
      </w:r>
      <w:r>
        <w:rPr>
          <w:spacing w:val="-7"/>
        </w:rPr>
        <w:t> </w:t>
      </w:r>
      <w:r>
        <w:rPr>
          <w:spacing w:val="-6"/>
        </w:rPr>
        <w:t>Geographic</w:t>
      </w:r>
      <w:r>
        <w:rPr>
          <w:spacing w:val="-7"/>
        </w:rPr>
        <w:t> </w:t>
      </w:r>
      <w:r>
        <w:rPr>
          <w:spacing w:val="-6"/>
        </w:rPr>
        <w:t>Information </w:t>
      </w:r>
      <w:r>
        <w:rPr/>
        <w:t>Systems (GIS) has given mapping and use of maps a huge impetus in various fields. The ability to make </w:t>
      </w:r>
      <w:r>
        <w:rPr>
          <w:spacing w:val="-4"/>
        </w:rPr>
        <w:t>sense</w:t>
      </w:r>
      <w:r>
        <w:rPr>
          <w:spacing w:val="-10"/>
        </w:rPr>
        <w:t> </w:t>
      </w:r>
      <w:r>
        <w:rPr>
          <w:spacing w:val="-4"/>
        </w:rPr>
        <w:t>of</w:t>
      </w:r>
      <w:r>
        <w:rPr>
          <w:spacing w:val="-10"/>
        </w:rPr>
        <w:t> </w:t>
      </w:r>
      <w:r>
        <w:rPr>
          <w:spacing w:val="-4"/>
        </w:rPr>
        <w:t>large</w:t>
      </w:r>
      <w:r>
        <w:rPr>
          <w:spacing w:val="-10"/>
        </w:rPr>
        <w:t> </w:t>
      </w:r>
      <w:r>
        <w:rPr>
          <w:spacing w:val="-4"/>
        </w:rPr>
        <w:t>amounts</w:t>
      </w:r>
      <w:r>
        <w:rPr>
          <w:spacing w:val="-9"/>
        </w:rPr>
        <w:t> </w:t>
      </w:r>
      <w:r>
        <w:rPr>
          <w:spacing w:val="-4"/>
        </w:rPr>
        <w:t>of</w:t>
      </w:r>
      <w:r>
        <w:rPr>
          <w:spacing w:val="-10"/>
        </w:rPr>
        <w:t> </w:t>
      </w:r>
      <w:r>
        <w:rPr>
          <w:spacing w:val="-4"/>
        </w:rPr>
        <w:t>interrelated</w:t>
      </w:r>
      <w:r>
        <w:rPr>
          <w:spacing w:val="-10"/>
        </w:rPr>
        <w:t> </w:t>
      </w:r>
      <w:r>
        <w:rPr>
          <w:spacing w:val="-4"/>
        </w:rPr>
        <w:t>data</w:t>
      </w:r>
      <w:r>
        <w:rPr>
          <w:spacing w:val="-10"/>
        </w:rPr>
        <w:t> </w:t>
      </w:r>
      <w:r>
        <w:rPr>
          <w:spacing w:val="-4"/>
        </w:rPr>
        <w:t>in</w:t>
      </w:r>
      <w:r>
        <w:rPr>
          <w:spacing w:val="-9"/>
        </w:rPr>
        <w:t> </w:t>
      </w:r>
      <w:r>
        <w:rPr>
          <w:spacing w:val="-4"/>
        </w:rPr>
        <w:t>spatial</w:t>
      </w:r>
      <w:r>
        <w:rPr>
          <w:spacing w:val="-10"/>
        </w:rPr>
        <w:t> </w:t>
      </w:r>
      <w:r>
        <w:rPr>
          <w:spacing w:val="-4"/>
        </w:rPr>
        <w:t>and </w:t>
      </w:r>
      <w:r>
        <w:rPr/>
        <w:t>attribute</w:t>
      </w:r>
      <w:r>
        <w:rPr>
          <w:spacing w:val="-11"/>
        </w:rPr>
        <w:t> </w:t>
      </w:r>
      <w:r>
        <w:rPr/>
        <w:t>form</w:t>
      </w:r>
      <w:r>
        <w:rPr>
          <w:spacing w:val="-11"/>
        </w:rPr>
        <w:t> </w:t>
      </w:r>
      <w:r>
        <w:rPr/>
        <w:t>has</w:t>
      </w:r>
      <w:r>
        <w:rPr>
          <w:spacing w:val="-11"/>
        </w:rPr>
        <w:t> </w:t>
      </w:r>
      <w:r>
        <w:rPr/>
        <w:t>helped</w:t>
      </w:r>
      <w:r>
        <w:rPr>
          <w:spacing w:val="-11"/>
        </w:rPr>
        <w:t> </w:t>
      </w:r>
      <w:r>
        <w:rPr/>
        <w:t>in</w:t>
      </w:r>
      <w:r>
        <w:rPr>
          <w:spacing w:val="-11"/>
        </w:rPr>
        <w:t> </w:t>
      </w:r>
      <w:r>
        <w:rPr/>
        <w:t>visual</w:t>
      </w:r>
      <w:r>
        <w:rPr>
          <w:spacing w:val="-11"/>
        </w:rPr>
        <w:t> </w:t>
      </w:r>
      <w:r>
        <w:rPr/>
        <w:t>decision</w:t>
      </w:r>
      <w:r>
        <w:rPr>
          <w:spacing w:val="-12"/>
        </w:rPr>
        <w:t> </w:t>
      </w:r>
      <w:r>
        <w:rPr/>
        <w:t>making</w:t>
      </w:r>
      <w:r>
        <w:rPr>
          <w:spacing w:val="-11"/>
        </w:rPr>
        <w:t> </w:t>
      </w:r>
      <w:r>
        <w:rPr/>
        <w:t>in various</w:t>
      </w:r>
      <w:r>
        <w:rPr>
          <w:spacing w:val="-10"/>
        </w:rPr>
        <w:t> </w:t>
      </w:r>
      <w:r>
        <w:rPr/>
        <w:t>areas</w:t>
      </w:r>
      <w:r>
        <w:rPr>
          <w:spacing w:val="-10"/>
        </w:rPr>
        <w:t> </w:t>
      </w:r>
      <w:r>
        <w:rPr/>
        <w:t>such</w:t>
      </w:r>
      <w:r>
        <w:rPr>
          <w:spacing w:val="-10"/>
        </w:rPr>
        <w:t> </w:t>
      </w:r>
      <w:r>
        <w:rPr/>
        <w:t>as</w:t>
      </w:r>
      <w:r>
        <w:rPr>
          <w:spacing w:val="-10"/>
        </w:rPr>
        <w:t> </w:t>
      </w:r>
      <w:r>
        <w:rPr/>
        <w:t>Agriculture,</w:t>
      </w:r>
      <w:r>
        <w:rPr>
          <w:spacing w:val="-14"/>
        </w:rPr>
        <w:t> </w:t>
      </w:r>
      <w:r>
        <w:rPr/>
        <w:t>Transport,</w:t>
      </w:r>
      <w:r>
        <w:rPr>
          <w:spacing w:val="-10"/>
        </w:rPr>
        <w:t> </w:t>
      </w:r>
      <w:r>
        <w:rPr/>
        <w:t>Disaster Management etc. An unambiguous mapping policy </w:t>
      </w:r>
      <w:r>
        <w:rPr>
          <w:spacing w:val="-2"/>
        </w:rPr>
        <w:t>coupled</w:t>
      </w:r>
      <w:r>
        <w:rPr>
          <w:spacing w:val="-12"/>
        </w:rPr>
        <w:t> </w:t>
      </w:r>
      <w:r>
        <w:rPr>
          <w:spacing w:val="-2"/>
        </w:rPr>
        <w:t>with</w:t>
      </w:r>
      <w:r>
        <w:rPr>
          <w:spacing w:val="-12"/>
        </w:rPr>
        <w:t> </w:t>
      </w:r>
      <w:r>
        <w:rPr>
          <w:spacing w:val="-2"/>
        </w:rPr>
        <w:t>clear</w:t>
      </w:r>
      <w:r>
        <w:rPr>
          <w:spacing w:val="-12"/>
        </w:rPr>
        <w:t> </w:t>
      </w:r>
      <w:r>
        <w:rPr>
          <w:spacing w:val="-2"/>
        </w:rPr>
        <w:t>guidelines</w:t>
      </w:r>
      <w:r>
        <w:rPr>
          <w:spacing w:val="-11"/>
        </w:rPr>
        <w:t> </w:t>
      </w:r>
      <w:r>
        <w:rPr>
          <w:spacing w:val="-2"/>
        </w:rPr>
        <w:t>for</w:t>
      </w:r>
      <w:r>
        <w:rPr>
          <w:spacing w:val="-12"/>
        </w:rPr>
        <w:t> </w:t>
      </w:r>
      <w:r>
        <w:rPr>
          <w:spacing w:val="-2"/>
        </w:rPr>
        <w:t>use</w:t>
      </w:r>
      <w:r>
        <w:rPr>
          <w:spacing w:val="-12"/>
        </w:rPr>
        <w:t> </w:t>
      </w:r>
      <w:r>
        <w:rPr>
          <w:spacing w:val="-2"/>
        </w:rPr>
        <w:t>of</w:t>
      </w:r>
      <w:r>
        <w:rPr>
          <w:spacing w:val="-12"/>
        </w:rPr>
        <w:t> </w:t>
      </w:r>
      <w:r>
        <w:rPr>
          <w:spacing w:val="-2"/>
        </w:rPr>
        <w:t>spatial</w:t>
      </w:r>
      <w:r>
        <w:rPr>
          <w:spacing w:val="-11"/>
        </w:rPr>
        <w:t> </w:t>
      </w:r>
      <w:r>
        <w:rPr>
          <w:spacing w:val="-2"/>
        </w:rPr>
        <w:t>data</w:t>
      </w:r>
      <w:r>
        <w:rPr>
          <w:spacing w:val="-12"/>
        </w:rPr>
        <w:t> </w:t>
      </w:r>
      <w:r>
        <w:rPr>
          <w:spacing w:val="-2"/>
        </w:rPr>
        <w:t>are </w:t>
      </w:r>
      <w:r>
        <w:rPr/>
        <w:t>necessary</w:t>
      </w:r>
      <w:r>
        <w:rPr>
          <w:spacing w:val="-13"/>
        </w:rPr>
        <w:t> </w:t>
      </w:r>
      <w:r>
        <w:rPr/>
        <w:t>to</w:t>
      </w:r>
      <w:r>
        <w:rPr>
          <w:spacing w:val="-13"/>
        </w:rPr>
        <w:t> </w:t>
      </w:r>
      <w:r>
        <w:rPr/>
        <w:t>share</w:t>
      </w:r>
      <w:r>
        <w:rPr>
          <w:spacing w:val="-13"/>
        </w:rPr>
        <w:t> </w:t>
      </w:r>
      <w:r>
        <w:rPr/>
        <w:t>GIS</w:t>
      </w:r>
      <w:r>
        <w:rPr>
          <w:spacing w:val="-13"/>
        </w:rPr>
        <w:t> </w:t>
      </w:r>
      <w:r>
        <w:rPr/>
        <w:t>data</w:t>
      </w:r>
      <w:r>
        <w:rPr>
          <w:spacing w:val="-13"/>
        </w:rPr>
        <w:t> </w:t>
      </w:r>
      <w:r>
        <w:rPr/>
        <w:t>and</w:t>
      </w:r>
      <w:r>
        <w:rPr>
          <w:spacing w:val="-13"/>
        </w:rPr>
        <w:t> </w:t>
      </w:r>
      <w:r>
        <w:rPr/>
        <w:t>thereby</w:t>
      </w:r>
      <w:r>
        <w:rPr>
          <w:spacing w:val="-13"/>
        </w:rPr>
        <w:t> </w:t>
      </w:r>
      <w:r>
        <w:rPr/>
        <w:t>maximise</w:t>
      </w:r>
      <w:r>
        <w:rPr>
          <w:spacing w:val="-13"/>
        </w:rPr>
        <w:t> </w:t>
      </w:r>
      <w:r>
        <w:rPr/>
        <w:t>the </w:t>
      </w:r>
      <w:r>
        <w:rPr>
          <w:spacing w:val="-2"/>
        </w:rPr>
        <w:t>use</w:t>
      </w:r>
      <w:r>
        <w:rPr>
          <w:spacing w:val="-12"/>
        </w:rPr>
        <w:t> </w:t>
      </w:r>
      <w:r>
        <w:rPr>
          <w:spacing w:val="-2"/>
        </w:rPr>
        <w:t>of</w:t>
      </w:r>
      <w:r>
        <w:rPr>
          <w:spacing w:val="-12"/>
        </w:rPr>
        <w:t> </w:t>
      </w:r>
      <w:r>
        <w:rPr>
          <w:spacing w:val="-2"/>
        </w:rPr>
        <w:t>cutting</w:t>
      </w:r>
      <w:r>
        <w:rPr>
          <w:spacing w:val="-12"/>
        </w:rPr>
        <w:t> </w:t>
      </w:r>
      <w:r>
        <w:rPr>
          <w:spacing w:val="-2"/>
        </w:rPr>
        <w:t>edge</w:t>
      </w:r>
      <w:r>
        <w:rPr>
          <w:spacing w:val="-11"/>
        </w:rPr>
        <w:t> </w:t>
      </w:r>
      <w:r>
        <w:rPr>
          <w:spacing w:val="-2"/>
        </w:rPr>
        <w:t>technology</w:t>
      </w:r>
      <w:r>
        <w:rPr>
          <w:spacing w:val="-12"/>
        </w:rPr>
        <w:t> </w:t>
      </w:r>
      <w:r>
        <w:rPr>
          <w:spacing w:val="-2"/>
        </w:rPr>
        <w:t>and</w:t>
      </w:r>
      <w:r>
        <w:rPr>
          <w:spacing w:val="-12"/>
        </w:rPr>
        <w:t> </w:t>
      </w:r>
      <w:r>
        <w:rPr>
          <w:spacing w:val="-2"/>
        </w:rPr>
        <w:t>applications.</w:t>
      </w:r>
      <w:r>
        <w:rPr>
          <w:spacing w:val="-12"/>
        </w:rPr>
        <w:t> </w:t>
      </w:r>
      <w:r>
        <w:rPr>
          <w:spacing w:val="-2"/>
        </w:rPr>
        <w:t>Under </w:t>
      </w:r>
      <w:r>
        <w:rPr/>
        <w:t>the new mapping policy announced in May 2005, there</w:t>
      </w:r>
      <w:r>
        <w:rPr>
          <w:spacing w:val="-2"/>
        </w:rPr>
        <w:t> </w:t>
      </w:r>
      <w:r>
        <w:rPr/>
        <w:t>is</w:t>
      </w:r>
      <w:r>
        <w:rPr>
          <w:spacing w:val="-2"/>
        </w:rPr>
        <w:t> </w:t>
      </w:r>
      <w:r>
        <w:rPr/>
        <w:t>still</w:t>
      </w:r>
      <w:r>
        <w:rPr>
          <w:spacing w:val="-2"/>
        </w:rPr>
        <w:t> </w:t>
      </w:r>
      <w:r>
        <w:rPr/>
        <w:t>some</w:t>
      </w:r>
      <w:r>
        <w:rPr>
          <w:spacing w:val="-2"/>
        </w:rPr>
        <w:t> </w:t>
      </w:r>
      <w:r>
        <w:rPr/>
        <w:t>ambiguity</w:t>
      </w:r>
      <w:r>
        <w:rPr>
          <w:spacing w:val="-2"/>
        </w:rPr>
        <w:t> </w:t>
      </w:r>
      <w:r>
        <w:rPr/>
        <w:t>about</w:t>
      </w:r>
      <w:r>
        <w:rPr>
          <w:spacing w:val="-2"/>
        </w:rPr>
        <w:t> </w:t>
      </w:r>
      <w:r>
        <w:rPr/>
        <w:t>publishing</w:t>
      </w:r>
      <w:r>
        <w:rPr>
          <w:spacing w:val="-2"/>
        </w:rPr>
        <w:t> </w:t>
      </w:r>
      <w:r>
        <w:rPr/>
        <w:t>of</w:t>
      </w:r>
      <w:r>
        <w:rPr>
          <w:spacing w:val="-2"/>
        </w:rPr>
        <w:t> </w:t>
      </w:r>
      <w:r>
        <w:rPr/>
        <w:t>GIS maps</w:t>
      </w:r>
      <w:r>
        <w:rPr>
          <w:spacing w:val="-14"/>
        </w:rPr>
        <w:t> </w:t>
      </w:r>
      <w:r>
        <w:rPr/>
        <w:t>on</w:t>
      </w:r>
      <w:r>
        <w:rPr>
          <w:spacing w:val="-14"/>
        </w:rPr>
        <w:t> </w:t>
      </w:r>
      <w:r>
        <w:rPr/>
        <w:t>the</w:t>
      </w:r>
      <w:r>
        <w:rPr>
          <w:spacing w:val="-14"/>
        </w:rPr>
        <w:t> </w:t>
      </w:r>
      <w:r>
        <w:rPr/>
        <w:t>Internet</w:t>
      </w:r>
      <w:r>
        <w:rPr>
          <w:spacing w:val="-13"/>
        </w:rPr>
        <w:t> </w:t>
      </w:r>
      <w:r>
        <w:rPr/>
        <w:t>by</w:t>
      </w:r>
      <w:r>
        <w:rPr>
          <w:spacing w:val="-14"/>
        </w:rPr>
        <w:t> </w:t>
      </w:r>
      <w:r>
        <w:rPr/>
        <w:t>NGOs,</w:t>
      </w:r>
      <w:r>
        <w:rPr>
          <w:spacing w:val="-14"/>
        </w:rPr>
        <w:t> </w:t>
      </w:r>
      <w:r>
        <w:rPr/>
        <w:t>Government</w:t>
      </w:r>
      <w:r>
        <w:rPr>
          <w:spacing w:val="-14"/>
        </w:rPr>
        <w:t> </w:t>
      </w:r>
      <w:r>
        <w:rPr/>
        <w:t>and</w:t>
      </w:r>
      <w:r>
        <w:rPr>
          <w:spacing w:val="-13"/>
        </w:rPr>
        <w:t> </w:t>
      </w:r>
      <w:r>
        <w:rPr/>
        <w:t>other </w:t>
      </w:r>
      <w:r>
        <w:rPr>
          <w:spacing w:val="-4"/>
        </w:rPr>
        <w:t>development</w:t>
      </w:r>
      <w:r>
        <w:rPr>
          <w:spacing w:val="-10"/>
        </w:rPr>
        <w:t> </w:t>
      </w:r>
      <w:r>
        <w:rPr>
          <w:spacing w:val="-4"/>
        </w:rPr>
        <w:t>oriented</w:t>
      </w:r>
      <w:r>
        <w:rPr>
          <w:spacing w:val="-10"/>
        </w:rPr>
        <w:t> </w:t>
      </w:r>
      <w:r>
        <w:rPr>
          <w:spacing w:val="-4"/>
        </w:rPr>
        <w:t>agencies.</w:t>
      </w:r>
      <w:r>
        <w:rPr>
          <w:spacing w:val="-10"/>
        </w:rPr>
        <w:t> </w:t>
      </w:r>
      <w:r>
        <w:rPr>
          <w:spacing w:val="-4"/>
        </w:rPr>
        <w:t>Rich</w:t>
      </w:r>
      <w:r>
        <w:rPr>
          <w:spacing w:val="-9"/>
        </w:rPr>
        <w:t> </w:t>
      </w:r>
      <w:r>
        <w:rPr>
          <w:spacing w:val="-4"/>
        </w:rPr>
        <w:t>GIS</w:t>
      </w:r>
      <w:r>
        <w:rPr>
          <w:spacing w:val="-10"/>
        </w:rPr>
        <w:t> </w:t>
      </w:r>
      <w:r>
        <w:rPr>
          <w:spacing w:val="-4"/>
        </w:rPr>
        <w:t>based</w:t>
      </w:r>
      <w:r>
        <w:rPr>
          <w:spacing w:val="-10"/>
        </w:rPr>
        <w:t> </w:t>
      </w:r>
      <w:r>
        <w:rPr>
          <w:spacing w:val="-4"/>
        </w:rPr>
        <w:t>content </w:t>
      </w:r>
      <w:r>
        <w:rPr/>
        <w:t>in various sectors like Water, Health, Education etc. </w:t>
      </w:r>
      <w:r>
        <w:rPr>
          <w:spacing w:val="-4"/>
        </w:rPr>
        <w:t>can</w:t>
      </w:r>
      <w:r>
        <w:rPr>
          <w:spacing w:val="-5"/>
        </w:rPr>
        <w:t> </w:t>
      </w:r>
      <w:r>
        <w:rPr>
          <w:spacing w:val="-4"/>
        </w:rPr>
        <w:t>be</w:t>
      </w:r>
      <w:r>
        <w:rPr>
          <w:spacing w:val="-5"/>
        </w:rPr>
        <w:t> </w:t>
      </w:r>
      <w:r>
        <w:rPr>
          <w:spacing w:val="-4"/>
        </w:rPr>
        <w:t>delivered</w:t>
      </w:r>
      <w:r>
        <w:rPr>
          <w:spacing w:val="-5"/>
        </w:rPr>
        <w:t> </w:t>
      </w:r>
      <w:r>
        <w:rPr>
          <w:spacing w:val="-4"/>
        </w:rPr>
        <w:t>by</w:t>
      </w:r>
      <w:r>
        <w:rPr>
          <w:spacing w:val="-5"/>
        </w:rPr>
        <w:t> </w:t>
      </w:r>
      <w:r>
        <w:rPr>
          <w:spacing w:val="-4"/>
        </w:rPr>
        <w:t>various</w:t>
      </w:r>
      <w:r>
        <w:rPr>
          <w:spacing w:val="-5"/>
        </w:rPr>
        <w:t> </w:t>
      </w:r>
      <w:r>
        <w:rPr>
          <w:spacing w:val="-4"/>
        </w:rPr>
        <w:t>organisations</w:t>
      </w:r>
      <w:r>
        <w:rPr>
          <w:spacing w:val="-5"/>
        </w:rPr>
        <w:t> </w:t>
      </w:r>
      <w:r>
        <w:rPr>
          <w:spacing w:val="-4"/>
        </w:rPr>
        <w:t>and</w:t>
      </w:r>
      <w:r>
        <w:rPr>
          <w:spacing w:val="-5"/>
        </w:rPr>
        <w:t> </w:t>
      </w:r>
      <w:r>
        <w:rPr>
          <w:spacing w:val="-4"/>
        </w:rPr>
        <w:t>bodies</w:t>
      </w:r>
      <w:r>
        <w:rPr>
          <w:spacing w:val="-5"/>
        </w:rPr>
        <w:t> </w:t>
      </w:r>
      <w:r>
        <w:rPr>
          <w:spacing w:val="-4"/>
        </w:rPr>
        <w:t>in </w:t>
      </w:r>
      <w:r>
        <w:rPr/>
        <w:t>order</w:t>
      </w:r>
      <w:r>
        <w:rPr>
          <w:spacing w:val="-2"/>
        </w:rPr>
        <w:t> </w:t>
      </w:r>
      <w:r>
        <w:rPr/>
        <w:t>to</w:t>
      </w:r>
      <w:r>
        <w:rPr>
          <w:spacing w:val="-2"/>
        </w:rPr>
        <w:t> </w:t>
      </w:r>
      <w:r>
        <w:rPr/>
        <w:t>share</w:t>
      </w:r>
      <w:r>
        <w:rPr>
          <w:spacing w:val="-2"/>
        </w:rPr>
        <w:t> </w:t>
      </w:r>
      <w:r>
        <w:rPr/>
        <w:t>information,</w:t>
      </w:r>
      <w:r>
        <w:rPr>
          <w:spacing w:val="-2"/>
        </w:rPr>
        <w:t> </w:t>
      </w:r>
      <w:r>
        <w:rPr/>
        <w:t>foster</w:t>
      </w:r>
      <w:r>
        <w:rPr>
          <w:spacing w:val="-2"/>
        </w:rPr>
        <w:t> </w:t>
      </w:r>
      <w:r>
        <w:rPr/>
        <w:t>an</w:t>
      </w:r>
      <w:r>
        <w:rPr>
          <w:spacing w:val="-2"/>
        </w:rPr>
        <w:t> </w:t>
      </w:r>
      <w:r>
        <w:rPr/>
        <w:t>informed</w:t>
      </w:r>
      <w:r>
        <w:rPr>
          <w:spacing w:val="-2"/>
        </w:rPr>
        <w:t> </w:t>
      </w:r>
      <w:r>
        <w:rPr/>
        <w:t>debate and</w:t>
      </w:r>
      <w:r>
        <w:rPr>
          <w:spacing w:val="13"/>
        </w:rPr>
        <w:t> </w:t>
      </w:r>
      <w:r>
        <w:rPr/>
        <w:t>allow</w:t>
      </w:r>
      <w:r>
        <w:rPr>
          <w:spacing w:val="13"/>
        </w:rPr>
        <w:t> </w:t>
      </w:r>
      <w:r>
        <w:rPr/>
        <w:t>for</w:t>
      </w:r>
      <w:r>
        <w:rPr>
          <w:spacing w:val="14"/>
        </w:rPr>
        <w:t> </w:t>
      </w:r>
      <w:r>
        <w:rPr/>
        <w:t>more</w:t>
      </w:r>
      <w:r>
        <w:rPr>
          <w:spacing w:val="13"/>
        </w:rPr>
        <w:t> </w:t>
      </w:r>
      <w:r>
        <w:rPr/>
        <w:t>effective</w:t>
      </w:r>
      <w:r>
        <w:rPr>
          <w:spacing w:val="13"/>
        </w:rPr>
        <w:t> </w:t>
      </w:r>
      <w:r>
        <w:rPr/>
        <w:t>planning.</w:t>
      </w:r>
      <w:r>
        <w:rPr>
          <w:spacing w:val="6"/>
        </w:rPr>
        <w:t> </w:t>
      </w:r>
      <w:r>
        <w:rPr/>
        <w:t>The</w:t>
      </w:r>
      <w:r>
        <w:rPr>
          <w:spacing w:val="14"/>
        </w:rPr>
        <w:t> </w:t>
      </w:r>
      <w:r>
        <w:rPr>
          <w:spacing w:val="-2"/>
        </w:rPr>
        <w:t>mapping</w:t>
      </w:r>
    </w:p>
    <w:p>
      <w:pPr>
        <w:pStyle w:val="BodyText"/>
        <w:spacing w:line="266" w:lineRule="auto" w:before="57"/>
        <w:ind w:left="319" w:right="1078"/>
        <w:jc w:val="both"/>
      </w:pPr>
      <w:r>
        <w:rPr/>
        <w:br w:type="column"/>
      </w:r>
      <w:r>
        <w:rPr>
          <w:spacing w:val="-2"/>
        </w:rPr>
        <w:t>policy</w:t>
      </w:r>
      <w:r>
        <w:rPr>
          <w:spacing w:val="-11"/>
        </w:rPr>
        <w:t> </w:t>
      </w:r>
      <w:r>
        <w:rPr>
          <w:spacing w:val="-2"/>
        </w:rPr>
        <w:t>needs</w:t>
      </w:r>
      <w:r>
        <w:rPr>
          <w:spacing w:val="-11"/>
        </w:rPr>
        <w:t> </w:t>
      </w:r>
      <w:r>
        <w:rPr>
          <w:spacing w:val="-2"/>
        </w:rPr>
        <w:t>to</w:t>
      </w:r>
      <w:r>
        <w:rPr>
          <w:spacing w:val="-11"/>
        </w:rPr>
        <w:t> </w:t>
      </w:r>
      <w:r>
        <w:rPr>
          <w:spacing w:val="-2"/>
        </w:rPr>
        <w:t>allow</w:t>
      </w:r>
      <w:r>
        <w:rPr>
          <w:spacing w:val="-11"/>
        </w:rPr>
        <w:t> </w:t>
      </w:r>
      <w:r>
        <w:rPr>
          <w:spacing w:val="-2"/>
        </w:rPr>
        <w:t>for</w:t>
      </w:r>
      <w:r>
        <w:rPr>
          <w:spacing w:val="-11"/>
        </w:rPr>
        <w:t> </w:t>
      </w:r>
      <w:r>
        <w:rPr>
          <w:spacing w:val="-2"/>
        </w:rPr>
        <w:t>such</w:t>
      </w:r>
      <w:r>
        <w:rPr>
          <w:spacing w:val="-11"/>
        </w:rPr>
        <w:t> </w:t>
      </w:r>
      <w:r>
        <w:rPr>
          <w:spacing w:val="-2"/>
        </w:rPr>
        <w:t>access</w:t>
      </w:r>
      <w:r>
        <w:rPr>
          <w:spacing w:val="-11"/>
        </w:rPr>
        <w:t> </w:t>
      </w:r>
      <w:r>
        <w:rPr>
          <w:spacing w:val="-2"/>
        </w:rPr>
        <w:t>and</w:t>
      </w:r>
      <w:r>
        <w:rPr>
          <w:spacing w:val="-11"/>
        </w:rPr>
        <w:t> </w:t>
      </w:r>
      <w:r>
        <w:rPr>
          <w:spacing w:val="-2"/>
        </w:rPr>
        <w:t>provide</w:t>
      </w:r>
      <w:r>
        <w:rPr>
          <w:spacing w:val="-11"/>
        </w:rPr>
        <w:t> </w:t>
      </w:r>
      <w:r>
        <w:rPr>
          <w:spacing w:val="-2"/>
        </w:rPr>
        <w:t>clear guidelines.</w:t>
      </w:r>
    </w:p>
    <w:p>
      <w:pPr>
        <w:pStyle w:val="Heading6"/>
        <w:numPr>
          <w:ilvl w:val="0"/>
          <w:numId w:val="12"/>
        </w:numPr>
        <w:tabs>
          <w:tab w:pos="643" w:val="left" w:leader="none"/>
          <w:tab w:pos="645" w:val="left" w:leader="none"/>
        </w:tabs>
        <w:spacing w:line="182" w:lineRule="auto" w:before="247" w:after="0"/>
        <w:ind w:left="645" w:right="1148" w:hanging="327"/>
        <w:jc w:val="left"/>
      </w:pPr>
      <w:r>
        <w:rPr>
          <w:color w:val="2E614A"/>
          <w:w w:val="90"/>
        </w:rPr>
        <w:t>Enhance Internet Penetration </w:t>
      </w:r>
      <w:r>
        <w:rPr>
          <w:color w:val="2E614A"/>
          <w:w w:val="90"/>
        </w:rPr>
        <w:t>and </w:t>
      </w:r>
      <w:r>
        <w:rPr>
          <w:color w:val="2E614A"/>
          <w:spacing w:val="-2"/>
        </w:rPr>
        <w:t>Access</w:t>
      </w:r>
    </w:p>
    <w:p>
      <w:pPr>
        <w:pStyle w:val="BodyText"/>
        <w:spacing w:line="266" w:lineRule="auto" w:before="302"/>
        <w:ind w:left="319" w:right="1077"/>
        <w:jc w:val="both"/>
      </w:pPr>
      <w:r>
        <w:rPr/>
        <w:t>At</w:t>
      </w:r>
      <w:r>
        <w:rPr>
          <w:spacing w:val="-5"/>
        </w:rPr>
        <w:t> </w:t>
      </w:r>
      <w:r>
        <w:rPr/>
        <w:t>this</w:t>
      </w:r>
      <w:r>
        <w:rPr>
          <w:spacing w:val="-5"/>
        </w:rPr>
        <w:t> </w:t>
      </w:r>
      <w:r>
        <w:rPr/>
        <w:t>stage,</w:t>
      </w:r>
      <w:r>
        <w:rPr>
          <w:spacing w:val="-5"/>
        </w:rPr>
        <w:t> </w:t>
      </w:r>
      <w:r>
        <w:rPr/>
        <w:t>the</w:t>
      </w:r>
      <w:r>
        <w:rPr>
          <w:spacing w:val="-5"/>
        </w:rPr>
        <w:t> </w:t>
      </w:r>
      <w:r>
        <w:rPr/>
        <w:t>use</w:t>
      </w:r>
      <w:r>
        <w:rPr>
          <w:spacing w:val="-5"/>
        </w:rPr>
        <w:t> </w:t>
      </w:r>
      <w:r>
        <w:rPr/>
        <w:t>of</w:t>
      </w:r>
      <w:r>
        <w:rPr>
          <w:spacing w:val="-5"/>
        </w:rPr>
        <w:t> </w:t>
      </w:r>
      <w:r>
        <w:rPr/>
        <w:t>Portals</w:t>
      </w:r>
      <w:r>
        <w:rPr>
          <w:spacing w:val="-5"/>
        </w:rPr>
        <w:t> </w:t>
      </w:r>
      <w:r>
        <w:rPr/>
        <w:t>may</w:t>
      </w:r>
      <w:r>
        <w:rPr>
          <w:spacing w:val="-5"/>
        </w:rPr>
        <w:t> </w:t>
      </w:r>
      <w:r>
        <w:rPr/>
        <w:t>be</w:t>
      </w:r>
      <w:r>
        <w:rPr>
          <w:spacing w:val="-5"/>
        </w:rPr>
        <w:t> </w:t>
      </w:r>
      <w:r>
        <w:rPr/>
        <w:t>limited</w:t>
      </w:r>
      <w:r>
        <w:rPr>
          <w:spacing w:val="-5"/>
        </w:rPr>
        <w:t> </w:t>
      </w:r>
      <w:r>
        <w:rPr/>
        <w:t>by</w:t>
      </w:r>
      <w:r>
        <w:rPr>
          <w:spacing w:val="-5"/>
        </w:rPr>
        <w:t> </w:t>
      </w:r>
      <w:r>
        <w:rPr/>
        <w:t>the </w:t>
      </w:r>
      <w:r>
        <w:rPr>
          <w:spacing w:val="-6"/>
        </w:rPr>
        <w:t>low</w:t>
      </w:r>
      <w:r>
        <w:rPr>
          <w:spacing w:val="-8"/>
        </w:rPr>
        <w:t> </w:t>
      </w:r>
      <w:r>
        <w:rPr>
          <w:spacing w:val="-6"/>
        </w:rPr>
        <w:t>Internet</w:t>
      </w:r>
      <w:r>
        <w:rPr>
          <w:spacing w:val="-8"/>
        </w:rPr>
        <w:t> </w:t>
      </w:r>
      <w:r>
        <w:rPr>
          <w:spacing w:val="-6"/>
        </w:rPr>
        <w:t>penetration</w:t>
      </w:r>
      <w:r>
        <w:rPr>
          <w:spacing w:val="-8"/>
        </w:rPr>
        <w:t> </w:t>
      </w:r>
      <w:r>
        <w:rPr>
          <w:spacing w:val="-6"/>
        </w:rPr>
        <w:t>in</w:t>
      </w:r>
      <w:r>
        <w:rPr>
          <w:spacing w:val="-7"/>
        </w:rPr>
        <w:t> </w:t>
      </w:r>
      <w:r>
        <w:rPr>
          <w:spacing w:val="-6"/>
        </w:rPr>
        <w:t>the</w:t>
      </w:r>
      <w:r>
        <w:rPr>
          <w:spacing w:val="-8"/>
        </w:rPr>
        <w:t> </w:t>
      </w:r>
      <w:r>
        <w:rPr>
          <w:spacing w:val="-6"/>
        </w:rPr>
        <w:t>country,</w:t>
      </w:r>
      <w:r>
        <w:rPr>
          <w:spacing w:val="-8"/>
        </w:rPr>
        <w:t> </w:t>
      </w:r>
      <w:r>
        <w:rPr>
          <w:spacing w:val="-6"/>
        </w:rPr>
        <w:t>where</w:t>
      </w:r>
      <w:r>
        <w:rPr>
          <w:spacing w:val="-8"/>
        </w:rPr>
        <w:t> </w:t>
      </w:r>
      <w:r>
        <w:rPr>
          <w:spacing w:val="-6"/>
        </w:rPr>
        <w:t>less</w:t>
      </w:r>
      <w:r>
        <w:rPr>
          <w:spacing w:val="-7"/>
        </w:rPr>
        <w:t> </w:t>
      </w:r>
      <w:r>
        <w:rPr>
          <w:spacing w:val="-6"/>
        </w:rPr>
        <w:t>than</w:t>
      </w:r>
      <w:r>
        <w:rPr>
          <w:spacing w:val="-8"/>
        </w:rPr>
        <w:t> </w:t>
      </w:r>
      <w:r>
        <w:rPr>
          <w:spacing w:val="-6"/>
        </w:rPr>
        <w:t>5 </w:t>
      </w:r>
      <w:r>
        <w:rPr>
          <w:spacing w:val="-4"/>
        </w:rPr>
        <w:t>per</w:t>
      </w:r>
      <w:r>
        <w:rPr>
          <w:spacing w:val="-10"/>
        </w:rPr>
        <w:t> </w:t>
      </w:r>
      <w:r>
        <w:rPr>
          <w:spacing w:val="-4"/>
        </w:rPr>
        <w:t>cent</w:t>
      </w:r>
      <w:r>
        <w:rPr>
          <w:spacing w:val="-10"/>
        </w:rPr>
        <w:t> </w:t>
      </w:r>
      <w:r>
        <w:rPr>
          <w:spacing w:val="-4"/>
        </w:rPr>
        <w:t>of</w:t>
      </w:r>
      <w:r>
        <w:rPr>
          <w:spacing w:val="-10"/>
        </w:rPr>
        <w:t> </w:t>
      </w:r>
      <w:r>
        <w:rPr>
          <w:spacing w:val="-4"/>
        </w:rPr>
        <w:t>population</w:t>
      </w:r>
      <w:r>
        <w:rPr>
          <w:spacing w:val="-9"/>
        </w:rPr>
        <w:t> </w:t>
      </w:r>
      <w:r>
        <w:rPr>
          <w:spacing w:val="-4"/>
        </w:rPr>
        <w:t>has</w:t>
      </w:r>
      <w:r>
        <w:rPr>
          <w:spacing w:val="-10"/>
        </w:rPr>
        <w:t> </w:t>
      </w:r>
      <w:r>
        <w:rPr>
          <w:spacing w:val="-4"/>
        </w:rPr>
        <w:t>access</w:t>
      </w:r>
      <w:r>
        <w:rPr>
          <w:spacing w:val="-9"/>
        </w:rPr>
        <w:t> </w:t>
      </w:r>
      <w:r>
        <w:rPr>
          <w:spacing w:val="-4"/>
        </w:rPr>
        <w:t>to</w:t>
      </w:r>
      <w:r>
        <w:rPr>
          <w:spacing w:val="-9"/>
        </w:rPr>
        <w:t> </w:t>
      </w:r>
      <w:r>
        <w:rPr>
          <w:spacing w:val="-4"/>
        </w:rPr>
        <w:t>Internet.</w:t>
      </w:r>
      <w:r>
        <w:rPr>
          <w:spacing w:val="-10"/>
        </w:rPr>
        <w:t> </w:t>
      </w:r>
      <w:r>
        <w:rPr>
          <w:spacing w:val="-4"/>
        </w:rPr>
        <w:t>To</w:t>
      </w:r>
      <w:r>
        <w:rPr>
          <w:spacing w:val="-8"/>
        </w:rPr>
        <w:t> </w:t>
      </w:r>
      <w:r>
        <w:rPr>
          <w:spacing w:val="-4"/>
        </w:rPr>
        <w:t>address </w:t>
      </w:r>
      <w:r>
        <w:rPr/>
        <w:t>this</w:t>
      </w:r>
      <w:r>
        <w:rPr>
          <w:spacing w:val="-14"/>
        </w:rPr>
        <w:t> </w:t>
      </w:r>
      <w:r>
        <w:rPr/>
        <w:t>challenge</w:t>
      </w:r>
      <w:r>
        <w:rPr>
          <w:spacing w:val="-14"/>
        </w:rPr>
        <w:t> </w:t>
      </w:r>
      <w:r>
        <w:rPr/>
        <w:t>it</w:t>
      </w:r>
      <w:r>
        <w:rPr>
          <w:spacing w:val="-14"/>
        </w:rPr>
        <w:t> </w:t>
      </w:r>
      <w:r>
        <w:rPr/>
        <w:t>is</w:t>
      </w:r>
      <w:r>
        <w:rPr>
          <w:spacing w:val="-13"/>
        </w:rPr>
        <w:t> </w:t>
      </w:r>
      <w:r>
        <w:rPr/>
        <w:t>essential</w:t>
      </w:r>
      <w:r>
        <w:rPr>
          <w:spacing w:val="-14"/>
        </w:rPr>
        <w:t> </w:t>
      </w:r>
      <w:r>
        <w:rPr/>
        <w:t>that</w:t>
      </w:r>
      <w:r>
        <w:rPr>
          <w:spacing w:val="-14"/>
        </w:rPr>
        <w:t> </w:t>
      </w:r>
      <w:r>
        <w:rPr/>
        <w:t>the</w:t>
      </w:r>
      <w:r>
        <w:rPr>
          <w:spacing w:val="-14"/>
        </w:rPr>
        <w:t> </w:t>
      </w:r>
      <w:r>
        <w:rPr/>
        <w:t>portal</w:t>
      </w:r>
      <w:r>
        <w:rPr>
          <w:spacing w:val="-13"/>
        </w:rPr>
        <w:t> </w:t>
      </w:r>
      <w:r>
        <w:rPr/>
        <w:t>team</w:t>
      </w:r>
      <w:r>
        <w:rPr>
          <w:spacing w:val="-14"/>
        </w:rPr>
        <w:t> </w:t>
      </w:r>
      <w:r>
        <w:rPr/>
        <w:t>should </w:t>
      </w:r>
      <w:r>
        <w:rPr>
          <w:spacing w:val="-4"/>
        </w:rPr>
        <w:t>work</w:t>
      </w:r>
      <w:r>
        <w:rPr>
          <w:spacing w:val="-10"/>
        </w:rPr>
        <w:t> </w:t>
      </w:r>
      <w:r>
        <w:rPr>
          <w:spacing w:val="-4"/>
        </w:rPr>
        <w:t>proactively</w:t>
      </w:r>
      <w:r>
        <w:rPr>
          <w:spacing w:val="-10"/>
        </w:rPr>
        <w:t> </w:t>
      </w:r>
      <w:r>
        <w:rPr>
          <w:spacing w:val="-4"/>
        </w:rPr>
        <w:t>with</w:t>
      </w:r>
      <w:r>
        <w:rPr>
          <w:spacing w:val="-10"/>
        </w:rPr>
        <w:t> </w:t>
      </w:r>
      <w:r>
        <w:rPr>
          <w:spacing w:val="-4"/>
        </w:rPr>
        <w:t>NGO</w:t>
      </w:r>
      <w:r>
        <w:rPr>
          <w:spacing w:val="-9"/>
        </w:rPr>
        <w:t> </w:t>
      </w:r>
      <w:r>
        <w:rPr>
          <w:spacing w:val="-4"/>
        </w:rPr>
        <w:t>and</w:t>
      </w:r>
      <w:r>
        <w:rPr>
          <w:spacing w:val="-10"/>
        </w:rPr>
        <w:t> </w:t>
      </w:r>
      <w:r>
        <w:rPr>
          <w:spacing w:val="-4"/>
        </w:rPr>
        <w:t>Government</w:t>
      </w:r>
      <w:r>
        <w:rPr>
          <w:spacing w:val="-10"/>
        </w:rPr>
        <w:t> </w:t>
      </w:r>
      <w:r>
        <w:rPr>
          <w:spacing w:val="-4"/>
        </w:rPr>
        <w:t>networks, </w:t>
      </w:r>
      <w:r>
        <w:rPr>
          <w:spacing w:val="-6"/>
        </w:rPr>
        <w:t>use mass distributions channels like radio, television and </w:t>
      </w:r>
      <w:r>
        <w:rPr>
          <w:spacing w:val="-4"/>
        </w:rPr>
        <w:t>the</w:t>
      </w:r>
      <w:r>
        <w:rPr>
          <w:spacing w:val="-8"/>
        </w:rPr>
        <w:t> </w:t>
      </w:r>
      <w:r>
        <w:rPr>
          <w:spacing w:val="-4"/>
        </w:rPr>
        <w:t>print</w:t>
      </w:r>
      <w:r>
        <w:rPr>
          <w:spacing w:val="-8"/>
        </w:rPr>
        <w:t> </w:t>
      </w:r>
      <w:r>
        <w:rPr>
          <w:spacing w:val="-4"/>
        </w:rPr>
        <w:t>media</w:t>
      </w:r>
      <w:r>
        <w:rPr>
          <w:spacing w:val="-8"/>
        </w:rPr>
        <w:t> </w:t>
      </w:r>
      <w:r>
        <w:rPr>
          <w:spacing w:val="-4"/>
        </w:rPr>
        <w:t>to</w:t>
      </w:r>
      <w:r>
        <w:rPr>
          <w:spacing w:val="-8"/>
        </w:rPr>
        <w:t> </w:t>
      </w:r>
      <w:r>
        <w:rPr>
          <w:spacing w:val="-4"/>
        </w:rPr>
        <w:t>ensure</w:t>
      </w:r>
      <w:r>
        <w:rPr>
          <w:spacing w:val="-8"/>
        </w:rPr>
        <w:t> </w:t>
      </w:r>
      <w:r>
        <w:rPr>
          <w:spacing w:val="-4"/>
        </w:rPr>
        <w:t>this</w:t>
      </w:r>
      <w:r>
        <w:rPr>
          <w:spacing w:val="-8"/>
        </w:rPr>
        <w:t> </w:t>
      </w:r>
      <w:r>
        <w:rPr>
          <w:spacing w:val="-4"/>
        </w:rPr>
        <w:t>knowledge</w:t>
      </w:r>
      <w:r>
        <w:rPr>
          <w:spacing w:val="-8"/>
        </w:rPr>
        <w:t> </w:t>
      </w:r>
      <w:r>
        <w:rPr>
          <w:spacing w:val="-4"/>
        </w:rPr>
        <w:t>is</w:t>
      </w:r>
      <w:r>
        <w:rPr>
          <w:spacing w:val="-8"/>
        </w:rPr>
        <w:t> </w:t>
      </w:r>
      <w:r>
        <w:rPr>
          <w:spacing w:val="-4"/>
        </w:rPr>
        <w:t>leveraged</w:t>
      </w:r>
      <w:r>
        <w:rPr>
          <w:spacing w:val="-8"/>
        </w:rPr>
        <w:t> </w:t>
      </w:r>
      <w:r>
        <w:rPr>
          <w:spacing w:val="-4"/>
        </w:rPr>
        <w:t>to </w:t>
      </w:r>
      <w:r>
        <w:rPr/>
        <w:t>precipitate</w:t>
      </w:r>
      <w:r>
        <w:rPr>
          <w:spacing w:val="-5"/>
        </w:rPr>
        <w:t> </w:t>
      </w:r>
      <w:r>
        <w:rPr/>
        <w:t>change</w:t>
      </w:r>
      <w:r>
        <w:rPr>
          <w:spacing w:val="-5"/>
        </w:rPr>
        <w:t> </w:t>
      </w:r>
      <w:r>
        <w:rPr/>
        <w:t>on</w:t>
      </w:r>
      <w:r>
        <w:rPr>
          <w:spacing w:val="-5"/>
        </w:rPr>
        <w:t> </w:t>
      </w:r>
      <w:r>
        <w:rPr/>
        <w:t>the</w:t>
      </w:r>
      <w:r>
        <w:rPr>
          <w:spacing w:val="-5"/>
        </w:rPr>
        <w:t> </w:t>
      </w:r>
      <w:r>
        <w:rPr/>
        <w:t>ground.</w:t>
      </w:r>
      <w:r>
        <w:rPr>
          <w:spacing w:val="-11"/>
        </w:rPr>
        <w:t> </w:t>
      </w:r>
      <w:r>
        <w:rPr/>
        <w:t>There</w:t>
      </w:r>
      <w:r>
        <w:rPr>
          <w:spacing w:val="-5"/>
        </w:rPr>
        <w:t> </w:t>
      </w:r>
      <w:r>
        <w:rPr/>
        <w:t>needs</w:t>
      </w:r>
      <w:r>
        <w:rPr>
          <w:spacing w:val="-5"/>
        </w:rPr>
        <w:t> </w:t>
      </w:r>
      <w:r>
        <w:rPr/>
        <w:t>to</w:t>
      </w:r>
      <w:r>
        <w:rPr>
          <w:spacing w:val="-5"/>
        </w:rPr>
        <w:t> </w:t>
      </w:r>
      <w:r>
        <w:rPr/>
        <w:t>be</w:t>
      </w:r>
      <w:r>
        <w:rPr>
          <w:spacing w:val="-5"/>
        </w:rPr>
        <w:t> </w:t>
      </w:r>
      <w:r>
        <w:rPr/>
        <w:t>a </w:t>
      </w:r>
      <w:r>
        <w:rPr>
          <w:spacing w:val="-4"/>
        </w:rPr>
        <w:t>firm</w:t>
      </w:r>
      <w:r>
        <w:rPr>
          <w:spacing w:val="-10"/>
        </w:rPr>
        <w:t> </w:t>
      </w:r>
      <w:r>
        <w:rPr>
          <w:spacing w:val="-4"/>
        </w:rPr>
        <w:t>commitment</w:t>
      </w:r>
      <w:r>
        <w:rPr>
          <w:spacing w:val="-10"/>
        </w:rPr>
        <w:t> </w:t>
      </w:r>
      <w:r>
        <w:rPr>
          <w:spacing w:val="-4"/>
        </w:rPr>
        <w:t>to</w:t>
      </w:r>
      <w:r>
        <w:rPr>
          <w:spacing w:val="-10"/>
        </w:rPr>
        <w:t> </w:t>
      </w:r>
      <w:r>
        <w:rPr>
          <w:spacing w:val="-4"/>
        </w:rPr>
        <w:t>support</w:t>
      </w:r>
      <w:r>
        <w:rPr>
          <w:spacing w:val="-9"/>
        </w:rPr>
        <w:t> </w:t>
      </w:r>
      <w:r>
        <w:rPr>
          <w:spacing w:val="-4"/>
        </w:rPr>
        <w:t>alternate</w:t>
      </w:r>
      <w:r>
        <w:rPr>
          <w:spacing w:val="-10"/>
        </w:rPr>
        <w:t> </w:t>
      </w:r>
      <w:r>
        <w:rPr>
          <w:spacing w:val="-4"/>
        </w:rPr>
        <w:t>non-web</w:t>
      </w:r>
      <w:r>
        <w:rPr>
          <w:spacing w:val="-10"/>
        </w:rPr>
        <w:t> </w:t>
      </w:r>
      <w:r>
        <w:rPr>
          <w:spacing w:val="-4"/>
        </w:rPr>
        <w:t>outreach </w:t>
      </w:r>
      <w:r>
        <w:rPr/>
        <w:t>methods that make this knowledge accessible to all </w:t>
      </w:r>
      <w:r>
        <w:rPr>
          <w:spacing w:val="-4"/>
        </w:rPr>
        <w:t>sections</w:t>
      </w:r>
      <w:r>
        <w:rPr>
          <w:spacing w:val="-5"/>
        </w:rPr>
        <w:t> </w:t>
      </w:r>
      <w:r>
        <w:rPr>
          <w:spacing w:val="-4"/>
        </w:rPr>
        <w:t>of</w:t>
      </w:r>
      <w:r>
        <w:rPr>
          <w:spacing w:val="-5"/>
        </w:rPr>
        <w:t> </w:t>
      </w:r>
      <w:r>
        <w:rPr>
          <w:spacing w:val="-4"/>
        </w:rPr>
        <w:t>society</w:t>
      </w:r>
      <w:r>
        <w:rPr>
          <w:spacing w:val="-5"/>
        </w:rPr>
        <w:t> </w:t>
      </w:r>
      <w:r>
        <w:rPr>
          <w:spacing w:val="-4"/>
        </w:rPr>
        <w:t>(the</w:t>
      </w:r>
      <w:r>
        <w:rPr>
          <w:spacing w:val="-5"/>
        </w:rPr>
        <w:t> </w:t>
      </w:r>
      <w:r>
        <w:rPr>
          <w:spacing w:val="-4"/>
        </w:rPr>
        <w:t>digital</w:t>
      </w:r>
      <w:r>
        <w:rPr>
          <w:spacing w:val="-5"/>
        </w:rPr>
        <w:t> </w:t>
      </w:r>
      <w:r>
        <w:rPr>
          <w:spacing w:val="-4"/>
        </w:rPr>
        <w:t>haves</w:t>
      </w:r>
      <w:r>
        <w:rPr>
          <w:spacing w:val="-5"/>
        </w:rPr>
        <w:t> </w:t>
      </w:r>
      <w:r>
        <w:rPr>
          <w:spacing w:val="-4"/>
        </w:rPr>
        <w:t>and</w:t>
      </w:r>
      <w:r>
        <w:rPr>
          <w:spacing w:val="-5"/>
        </w:rPr>
        <w:t> </w:t>
      </w:r>
      <w:r>
        <w:rPr>
          <w:spacing w:val="-4"/>
        </w:rPr>
        <w:t>have</w:t>
      </w:r>
      <w:r>
        <w:rPr>
          <w:spacing w:val="-5"/>
        </w:rPr>
        <w:t> </w:t>
      </w:r>
      <w:r>
        <w:rPr>
          <w:spacing w:val="-4"/>
        </w:rPr>
        <w:t>nots).</w:t>
      </w:r>
    </w:p>
    <w:p>
      <w:pPr>
        <w:pStyle w:val="BodyText"/>
        <w:spacing w:before="18"/>
      </w:pPr>
    </w:p>
    <w:p>
      <w:pPr>
        <w:pStyle w:val="BodyText"/>
        <w:spacing w:line="266" w:lineRule="auto"/>
        <w:ind w:left="319" w:right="1078"/>
        <w:jc w:val="both"/>
      </w:pPr>
      <w:r>
        <w:rPr/>
        <w:t>An</w:t>
      </w:r>
      <w:r>
        <w:rPr>
          <w:spacing w:val="-3"/>
        </w:rPr>
        <w:t> </w:t>
      </w:r>
      <w:r>
        <w:rPr/>
        <w:t>alternate</w:t>
      </w:r>
      <w:r>
        <w:rPr>
          <w:spacing w:val="-3"/>
        </w:rPr>
        <w:t> </w:t>
      </w:r>
      <w:r>
        <w:rPr/>
        <w:t>IT</w:t>
      </w:r>
      <w:r>
        <w:rPr>
          <w:spacing w:val="-3"/>
        </w:rPr>
        <w:t> </w:t>
      </w:r>
      <w:r>
        <w:rPr/>
        <w:t>technology</w:t>
      </w:r>
      <w:r>
        <w:rPr>
          <w:spacing w:val="-3"/>
        </w:rPr>
        <w:t> </w:t>
      </w:r>
      <w:r>
        <w:rPr/>
        <w:t>can</w:t>
      </w:r>
      <w:r>
        <w:rPr>
          <w:spacing w:val="-3"/>
        </w:rPr>
        <w:t> </w:t>
      </w:r>
      <w:r>
        <w:rPr/>
        <w:t>support</w:t>
      </w:r>
      <w:r>
        <w:rPr>
          <w:spacing w:val="-3"/>
        </w:rPr>
        <w:t> </w:t>
      </w:r>
      <w:r>
        <w:rPr/>
        <w:t>those</w:t>
      </w:r>
      <w:r>
        <w:rPr>
          <w:spacing w:val="-3"/>
        </w:rPr>
        <w:t> </w:t>
      </w:r>
      <w:r>
        <w:rPr/>
        <w:t>who</w:t>
      </w:r>
      <w:r>
        <w:rPr>
          <w:spacing w:val="-3"/>
        </w:rPr>
        <w:t> </w:t>
      </w:r>
      <w:r>
        <w:rPr/>
        <w:t>do </w:t>
      </w:r>
      <w:r>
        <w:rPr>
          <w:spacing w:val="-4"/>
        </w:rPr>
        <w:t>not</w:t>
      </w:r>
      <w:r>
        <w:rPr>
          <w:spacing w:val="-10"/>
        </w:rPr>
        <w:t> </w:t>
      </w:r>
      <w:r>
        <w:rPr>
          <w:spacing w:val="-4"/>
        </w:rPr>
        <w:t>have</w:t>
      </w:r>
      <w:r>
        <w:rPr>
          <w:spacing w:val="-10"/>
        </w:rPr>
        <w:t> </w:t>
      </w:r>
      <w:r>
        <w:rPr>
          <w:spacing w:val="-4"/>
        </w:rPr>
        <w:t>Internet</w:t>
      </w:r>
      <w:r>
        <w:rPr>
          <w:spacing w:val="-10"/>
        </w:rPr>
        <w:t> </w:t>
      </w:r>
      <w:r>
        <w:rPr>
          <w:spacing w:val="-4"/>
        </w:rPr>
        <w:t>access.</w:t>
      </w:r>
      <w:r>
        <w:rPr>
          <w:spacing w:val="-9"/>
        </w:rPr>
        <w:t> </w:t>
      </w:r>
      <w:r>
        <w:rPr>
          <w:spacing w:val="-4"/>
        </w:rPr>
        <w:t>This</w:t>
      </w:r>
      <w:r>
        <w:rPr>
          <w:spacing w:val="-8"/>
        </w:rPr>
        <w:t> </w:t>
      </w:r>
      <w:r>
        <w:rPr>
          <w:spacing w:val="-4"/>
        </w:rPr>
        <w:t>calls</w:t>
      </w:r>
      <w:r>
        <w:rPr>
          <w:spacing w:val="-8"/>
        </w:rPr>
        <w:t> </w:t>
      </w:r>
      <w:r>
        <w:rPr>
          <w:spacing w:val="-4"/>
        </w:rPr>
        <w:t>for</w:t>
      </w:r>
      <w:r>
        <w:rPr>
          <w:spacing w:val="-8"/>
        </w:rPr>
        <w:t> </w:t>
      </w:r>
      <w:r>
        <w:rPr>
          <w:spacing w:val="-4"/>
        </w:rPr>
        <w:t>a</w:t>
      </w:r>
      <w:r>
        <w:rPr>
          <w:spacing w:val="-8"/>
        </w:rPr>
        <w:t> </w:t>
      </w:r>
      <w:r>
        <w:rPr>
          <w:spacing w:val="-4"/>
        </w:rPr>
        <w:t>locally</w:t>
      </w:r>
      <w:r>
        <w:rPr>
          <w:spacing w:val="-8"/>
        </w:rPr>
        <w:t> </w:t>
      </w:r>
      <w:r>
        <w:rPr>
          <w:spacing w:val="-4"/>
        </w:rPr>
        <w:t>resident </w:t>
      </w:r>
      <w:r>
        <w:rPr/>
        <w:t>tool that is run on a desktop PC which can provide </w:t>
      </w:r>
      <w:r>
        <w:rPr>
          <w:spacing w:val="-2"/>
        </w:rPr>
        <w:t>information</w:t>
      </w:r>
      <w:r>
        <w:rPr>
          <w:spacing w:val="-6"/>
        </w:rPr>
        <w:t> </w:t>
      </w:r>
      <w:r>
        <w:rPr>
          <w:spacing w:val="-2"/>
        </w:rPr>
        <w:t>and</w:t>
      </w:r>
      <w:r>
        <w:rPr>
          <w:spacing w:val="-6"/>
        </w:rPr>
        <w:t> </w:t>
      </w:r>
      <w:r>
        <w:rPr>
          <w:spacing w:val="-2"/>
        </w:rPr>
        <w:t>run</w:t>
      </w:r>
      <w:r>
        <w:rPr>
          <w:spacing w:val="-6"/>
        </w:rPr>
        <w:t> </w:t>
      </w:r>
      <w:r>
        <w:rPr>
          <w:spacing w:val="-2"/>
        </w:rPr>
        <w:t>applications</w:t>
      </w:r>
      <w:r>
        <w:rPr>
          <w:spacing w:val="-6"/>
        </w:rPr>
        <w:t> </w:t>
      </w:r>
      <w:r>
        <w:rPr>
          <w:spacing w:val="-2"/>
        </w:rPr>
        <w:t>pertaining</w:t>
      </w:r>
      <w:r>
        <w:rPr>
          <w:spacing w:val="-6"/>
        </w:rPr>
        <w:t> </w:t>
      </w:r>
      <w:r>
        <w:rPr>
          <w:spacing w:val="-2"/>
        </w:rPr>
        <w:t>to</w:t>
      </w:r>
      <w:r>
        <w:rPr>
          <w:spacing w:val="-6"/>
        </w:rPr>
        <w:t> </w:t>
      </w:r>
      <w:r>
        <w:rPr>
          <w:spacing w:val="-2"/>
        </w:rPr>
        <w:t>specific </w:t>
      </w:r>
      <w:r>
        <w:rPr/>
        <w:t>topics.</w:t>
      </w:r>
      <w:r>
        <w:rPr>
          <w:spacing w:val="-4"/>
        </w:rPr>
        <w:t> </w:t>
      </w:r>
      <w:r>
        <w:rPr/>
        <w:t>Since</w:t>
      </w:r>
      <w:r>
        <w:rPr>
          <w:spacing w:val="-4"/>
        </w:rPr>
        <w:t> </w:t>
      </w:r>
      <w:r>
        <w:rPr/>
        <w:t>these</w:t>
      </w:r>
      <w:r>
        <w:rPr>
          <w:spacing w:val="-4"/>
        </w:rPr>
        <w:t> </w:t>
      </w:r>
      <w:r>
        <w:rPr/>
        <w:t>applications</w:t>
      </w:r>
      <w:r>
        <w:rPr>
          <w:spacing w:val="-4"/>
        </w:rPr>
        <w:t> </w:t>
      </w:r>
      <w:r>
        <w:rPr/>
        <w:t>are</w:t>
      </w:r>
      <w:r>
        <w:rPr>
          <w:spacing w:val="-4"/>
        </w:rPr>
        <w:t> </w:t>
      </w:r>
      <w:r>
        <w:rPr/>
        <w:t>not</w:t>
      </w:r>
      <w:r>
        <w:rPr>
          <w:spacing w:val="-4"/>
        </w:rPr>
        <w:t> </w:t>
      </w:r>
      <w:r>
        <w:rPr/>
        <w:t>relying</w:t>
      </w:r>
      <w:r>
        <w:rPr>
          <w:spacing w:val="-4"/>
        </w:rPr>
        <w:t> </w:t>
      </w:r>
      <w:r>
        <w:rPr/>
        <w:t>on</w:t>
      </w:r>
      <w:r>
        <w:rPr>
          <w:spacing w:val="-4"/>
        </w:rPr>
        <w:t> </w:t>
      </w:r>
      <w:r>
        <w:rPr/>
        <w:t>the </w:t>
      </w:r>
      <w:r>
        <w:rPr>
          <w:spacing w:val="-8"/>
        </w:rPr>
        <w:t>Internet</w:t>
      </w:r>
      <w:r>
        <w:rPr>
          <w:spacing w:val="-6"/>
        </w:rPr>
        <w:t> </w:t>
      </w:r>
      <w:r>
        <w:rPr>
          <w:spacing w:val="-8"/>
        </w:rPr>
        <w:t>or</w:t>
      </w:r>
      <w:r>
        <w:rPr>
          <w:spacing w:val="-6"/>
        </w:rPr>
        <w:t> </w:t>
      </w:r>
      <w:r>
        <w:rPr>
          <w:spacing w:val="-8"/>
        </w:rPr>
        <w:t>storing</w:t>
      </w:r>
      <w:r>
        <w:rPr>
          <w:spacing w:val="-6"/>
        </w:rPr>
        <w:t> </w:t>
      </w:r>
      <w:r>
        <w:rPr>
          <w:spacing w:val="-8"/>
        </w:rPr>
        <w:t>information</w:t>
      </w:r>
      <w:r>
        <w:rPr>
          <w:spacing w:val="-5"/>
        </w:rPr>
        <w:t> </w:t>
      </w:r>
      <w:r>
        <w:rPr>
          <w:spacing w:val="-8"/>
        </w:rPr>
        <w:t>at</w:t>
      </w:r>
      <w:r>
        <w:rPr>
          <w:spacing w:val="-6"/>
        </w:rPr>
        <w:t> </w:t>
      </w:r>
      <w:r>
        <w:rPr>
          <w:spacing w:val="-8"/>
        </w:rPr>
        <w:t>a</w:t>
      </w:r>
      <w:r>
        <w:rPr>
          <w:spacing w:val="-6"/>
        </w:rPr>
        <w:t> </w:t>
      </w:r>
      <w:r>
        <w:rPr>
          <w:spacing w:val="-8"/>
        </w:rPr>
        <w:t>distant</w:t>
      </w:r>
      <w:r>
        <w:rPr>
          <w:spacing w:val="-6"/>
        </w:rPr>
        <w:t> </w:t>
      </w:r>
      <w:r>
        <w:rPr>
          <w:spacing w:val="-8"/>
        </w:rPr>
        <w:t>server,</w:t>
      </w:r>
      <w:r>
        <w:rPr>
          <w:spacing w:val="-5"/>
        </w:rPr>
        <w:t> </w:t>
      </w:r>
      <w:r>
        <w:rPr>
          <w:spacing w:val="-8"/>
        </w:rPr>
        <w:t>they</w:t>
      </w:r>
      <w:r>
        <w:rPr>
          <w:spacing w:val="-6"/>
        </w:rPr>
        <w:t> </w:t>
      </w:r>
      <w:r>
        <w:rPr>
          <w:spacing w:val="-8"/>
        </w:rPr>
        <w:t>can </w:t>
      </w:r>
      <w:r>
        <w:rPr>
          <w:spacing w:val="-4"/>
        </w:rPr>
        <w:t>be</w:t>
      </w:r>
      <w:r>
        <w:rPr>
          <w:spacing w:val="-8"/>
        </w:rPr>
        <w:t> </w:t>
      </w:r>
      <w:r>
        <w:rPr>
          <w:spacing w:val="-4"/>
        </w:rPr>
        <w:t>used</w:t>
      </w:r>
      <w:r>
        <w:rPr>
          <w:spacing w:val="-8"/>
        </w:rPr>
        <w:t> </w:t>
      </w:r>
      <w:r>
        <w:rPr>
          <w:spacing w:val="-4"/>
        </w:rPr>
        <w:t>locally</w:t>
      </w:r>
      <w:r>
        <w:rPr>
          <w:spacing w:val="-8"/>
        </w:rPr>
        <w:t> </w:t>
      </w:r>
      <w:r>
        <w:rPr>
          <w:spacing w:val="-4"/>
        </w:rPr>
        <w:t>at</w:t>
      </w:r>
      <w:r>
        <w:rPr>
          <w:spacing w:val="-8"/>
        </w:rPr>
        <w:t> </w:t>
      </w:r>
      <w:r>
        <w:rPr>
          <w:spacing w:val="-4"/>
        </w:rPr>
        <w:t>the</w:t>
      </w:r>
      <w:r>
        <w:rPr>
          <w:spacing w:val="-8"/>
        </w:rPr>
        <w:t> </w:t>
      </w:r>
      <w:r>
        <w:rPr>
          <w:spacing w:val="-4"/>
        </w:rPr>
        <w:t>site</w:t>
      </w:r>
      <w:r>
        <w:rPr>
          <w:spacing w:val="-8"/>
        </w:rPr>
        <w:t> </w:t>
      </w:r>
      <w:r>
        <w:rPr>
          <w:spacing w:val="-4"/>
        </w:rPr>
        <w:t>without</w:t>
      </w:r>
      <w:r>
        <w:rPr>
          <w:spacing w:val="-8"/>
        </w:rPr>
        <w:t> </w:t>
      </w:r>
      <w:r>
        <w:rPr>
          <w:spacing w:val="-4"/>
        </w:rPr>
        <w:t>network</w:t>
      </w:r>
      <w:r>
        <w:rPr>
          <w:spacing w:val="-8"/>
        </w:rPr>
        <w:t> </w:t>
      </w:r>
      <w:r>
        <w:rPr>
          <w:spacing w:val="-4"/>
        </w:rPr>
        <w:t>connectivity.</w:t>
      </w:r>
    </w:p>
    <w:p>
      <w:pPr>
        <w:pStyle w:val="BodyText"/>
        <w:spacing w:before="30"/>
      </w:pPr>
    </w:p>
    <w:p>
      <w:pPr>
        <w:pStyle w:val="BodyText"/>
        <w:spacing w:line="266" w:lineRule="auto"/>
        <w:ind w:left="319" w:right="1077"/>
        <w:jc w:val="both"/>
      </w:pPr>
      <w:r>
        <w:rPr>
          <w:spacing w:val="-6"/>
        </w:rPr>
        <w:t>Subsequently, it would be useful to be able to connect to </w:t>
      </w:r>
      <w:r>
        <w:rPr/>
        <w:t>a</w:t>
      </w:r>
      <w:r>
        <w:rPr>
          <w:spacing w:val="-9"/>
        </w:rPr>
        <w:t> </w:t>
      </w:r>
      <w:r>
        <w:rPr/>
        <w:t>server</w:t>
      </w:r>
      <w:r>
        <w:rPr>
          <w:spacing w:val="-9"/>
        </w:rPr>
        <w:t> </w:t>
      </w:r>
      <w:r>
        <w:rPr/>
        <w:t>to</w:t>
      </w:r>
      <w:r>
        <w:rPr>
          <w:spacing w:val="-9"/>
        </w:rPr>
        <w:t> </w:t>
      </w:r>
      <w:r>
        <w:rPr/>
        <w:t>upload</w:t>
      </w:r>
      <w:r>
        <w:rPr>
          <w:spacing w:val="-9"/>
        </w:rPr>
        <w:t> </w:t>
      </w:r>
      <w:r>
        <w:rPr/>
        <w:t>local</w:t>
      </w:r>
      <w:r>
        <w:rPr>
          <w:spacing w:val="-9"/>
        </w:rPr>
        <w:t> </w:t>
      </w:r>
      <w:r>
        <w:rPr/>
        <w:t>data</w:t>
      </w:r>
      <w:r>
        <w:rPr>
          <w:spacing w:val="-9"/>
        </w:rPr>
        <w:t> </w:t>
      </w:r>
      <w:r>
        <w:rPr/>
        <w:t>or</w:t>
      </w:r>
      <w:r>
        <w:rPr>
          <w:spacing w:val="-9"/>
        </w:rPr>
        <w:t> </w:t>
      </w:r>
      <w:r>
        <w:rPr/>
        <w:t>download</w:t>
      </w:r>
      <w:r>
        <w:rPr>
          <w:spacing w:val="-9"/>
        </w:rPr>
        <w:t> </w:t>
      </w:r>
      <w:r>
        <w:rPr/>
        <w:t>updates</w:t>
      </w:r>
      <w:r>
        <w:rPr>
          <w:spacing w:val="-9"/>
        </w:rPr>
        <w:t> </w:t>
      </w:r>
      <w:r>
        <w:rPr/>
        <w:t>and information.</w:t>
      </w:r>
      <w:r>
        <w:rPr>
          <w:spacing w:val="-2"/>
        </w:rPr>
        <w:t> </w:t>
      </w:r>
      <w:r>
        <w:rPr/>
        <w:t>These software thick client </w:t>
      </w:r>
      <w:r>
        <w:rPr/>
        <w:t>applications can</w:t>
      </w:r>
      <w:r>
        <w:rPr>
          <w:spacing w:val="-5"/>
        </w:rPr>
        <w:t> </w:t>
      </w:r>
      <w:r>
        <w:rPr/>
        <w:t>be</w:t>
      </w:r>
      <w:r>
        <w:rPr>
          <w:spacing w:val="-5"/>
        </w:rPr>
        <w:t> </w:t>
      </w:r>
      <w:r>
        <w:rPr/>
        <w:t>the</w:t>
      </w:r>
      <w:r>
        <w:rPr>
          <w:spacing w:val="-5"/>
        </w:rPr>
        <w:t> </w:t>
      </w:r>
      <w:r>
        <w:rPr/>
        <w:t>source</w:t>
      </w:r>
      <w:r>
        <w:rPr>
          <w:spacing w:val="-5"/>
        </w:rPr>
        <w:t> </w:t>
      </w:r>
      <w:r>
        <w:rPr/>
        <w:t>of</w:t>
      </w:r>
      <w:r>
        <w:rPr>
          <w:spacing w:val="-5"/>
        </w:rPr>
        <w:t> </w:t>
      </w:r>
      <w:r>
        <w:rPr/>
        <w:t>bottom-up</w:t>
      </w:r>
      <w:r>
        <w:rPr>
          <w:spacing w:val="-5"/>
        </w:rPr>
        <w:t> </w:t>
      </w:r>
      <w:r>
        <w:rPr/>
        <w:t>data,</w:t>
      </w:r>
      <w:r>
        <w:rPr>
          <w:spacing w:val="-5"/>
        </w:rPr>
        <w:t> </w:t>
      </w:r>
      <w:r>
        <w:rPr/>
        <w:t>since</w:t>
      </w:r>
      <w:r>
        <w:rPr>
          <w:spacing w:val="-5"/>
        </w:rPr>
        <w:t> </w:t>
      </w:r>
      <w:r>
        <w:rPr/>
        <w:t>NGOs</w:t>
      </w:r>
      <w:r>
        <w:rPr>
          <w:spacing w:val="-5"/>
        </w:rPr>
        <w:t> </w:t>
      </w:r>
      <w:r>
        <w:rPr/>
        <w:t>and individuals</w:t>
      </w:r>
      <w:r>
        <w:rPr>
          <w:spacing w:val="-8"/>
        </w:rPr>
        <w:t> </w:t>
      </w:r>
      <w:r>
        <w:rPr/>
        <w:t>can</w:t>
      </w:r>
      <w:r>
        <w:rPr>
          <w:spacing w:val="-8"/>
        </w:rPr>
        <w:t> </w:t>
      </w:r>
      <w:r>
        <w:rPr/>
        <w:t>upload</w:t>
      </w:r>
      <w:r>
        <w:rPr>
          <w:spacing w:val="-8"/>
        </w:rPr>
        <w:t> </w:t>
      </w:r>
      <w:r>
        <w:rPr/>
        <w:t>local</w:t>
      </w:r>
      <w:r>
        <w:rPr>
          <w:spacing w:val="-8"/>
        </w:rPr>
        <w:t> </w:t>
      </w:r>
      <w:r>
        <w:rPr/>
        <w:t>data</w:t>
      </w:r>
      <w:r>
        <w:rPr>
          <w:spacing w:val="-8"/>
        </w:rPr>
        <w:t> </w:t>
      </w:r>
      <w:r>
        <w:rPr/>
        <w:t>over</w:t>
      </w:r>
      <w:r>
        <w:rPr>
          <w:spacing w:val="-8"/>
        </w:rPr>
        <w:t> </w:t>
      </w:r>
      <w:r>
        <w:rPr/>
        <w:t>the</w:t>
      </w:r>
      <w:r>
        <w:rPr>
          <w:spacing w:val="-8"/>
        </w:rPr>
        <w:t> </w:t>
      </w:r>
      <w:r>
        <w:rPr/>
        <w:t>Internet</w:t>
      </w:r>
      <w:r>
        <w:rPr>
          <w:spacing w:val="-8"/>
        </w:rPr>
        <w:t> </w:t>
      </w:r>
      <w:r>
        <w:rPr/>
        <w:t>for </w:t>
      </w:r>
      <w:r>
        <w:rPr>
          <w:spacing w:val="-2"/>
        </w:rPr>
        <w:t>analysis</w:t>
      </w:r>
      <w:r>
        <w:rPr>
          <w:spacing w:val="-12"/>
        </w:rPr>
        <w:t> </w:t>
      </w:r>
      <w:r>
        <w:rPr>
          <w:spacing w:val="-2"/>
        </w:rPr>
        <w:t>at</w:t>
      </w:r>
      <w:r>
        <w:rPr>
          <w:spacing w:val="-12"/>
        </w:rPr>
        <w:t> </w:t>
      </w:r>
      <w:r>
        <w:rPr>
          <w:spacing w:val="-2"/>
        </w:rPr>
        <w:t>a</w:t>
      </w:r>
      <w:r>
        <w:rPr>
          <w:spacing w:val="-12"/>
        </w:rPr>
        <w:t> </w:t>
      </w:r>
      <w:r>
        <w:rPr>
          <w:spacing w:val="-2"/>
        </w:rPr>
        <w:t>central</w:t>
      </w:r>
      <w:r>
        <w:rPr>
          <w:spacing w:val="-11"/>
        </w:rPr>
        <w:t> </w:t>
      </w:r>
      <w:r>
        <w:rPr>
          <w:spacing w:val="-2"/>
        </w:rPr>
        <w:t>server.</w:t>
      </w:r>
      <w:r>
        <w:rPr>
          <w:spacing w:val="-12"/>
        </w:rPr>
        <w:t> </w:t>
      </w:r>
      <w:r>
        <w:rPr>
          <w:spacing w:val="-2"/>
        </w:rPr>
        <w:t>This</w:t>
      </w:r>
      <w:r>
        <w:rPr>
          <w:spacing w:val="-12"/>
        </w:rPr>
        <w:t> </w:t>
      </w:r>
      <w:r>
        <w:rPr>
          <w:spacing w:val="-2"/>
        </w:rPr>
        <w:t>provides</w:t>
      </w:r>
      <w:r>
        <w:rPr>
          <w:spacing w:val="-12"/>
        </w:rPr>
        <w:t> </w:t>
      </w:r>
      <w:r>
        <w:rPr>
          <w:spacing w:val="-2"/>
        </w:rPr>
        <w:t>an</w:t>
      </w:r>
      <w:r>
        <w:rPr>
          <w:spacing w:val="-11"/>
        </w:rPr>
        <w:t> </w:t>
      </w:r>
      <w:r>
        <w:rPr>
          <w:spacing w:val="-2"/>
        </w:rPr>
        <w:t>alternative </w:t>
      </w:r>
      <w:r>
        <w:rPr>
          <w:spacing w:val="-4"/>
        </w:rPr>
        <w:t>bottom-up</w:t>
      </w:r>
      <w:r>
        <w:rPr>
          <w:spacing w:val="-6"/>
        </w:rPr>
        <w:t> </w:t>
      </w:r>
      <w:r>
        <w:rPr>
          <w:spacing w:val="-4"/>
        </w:rPr>
        <w:t>way</w:t>
      </w:r>
      <w:r>
        <w:rPr>
          <w:spacing w:val="-6"/>
        </w:rPr>
        <w:t> </w:t>
      </w:r>
      <w:r>
        <w:rPr>
          <w:spacing w:val="-4"/>
        </w:rPr>
        <w:t>of</w:t>
      </w:r>
      <w:r>
        <w:rPr>
          <w:spacing w:val="-6"/>
        </w:rPr>
        <w:t> </w:t>
      </w:r>
      <w:r>
        <w:rPr>
          <w:spacing w:val="-4"/>
        </w:rPr>
        <w:t>collecting</w:t>
      </w:r>
      <w:r>
        <w:rPr>
          <w:spacing w:val="-6"/>
        </w:rPr>
        <w:t> </w:t>
      </w:r>
      <w:r>
        <w:rPr>
          <w:spacing w:val="-4"/>
        </w:rPr>
        <w:t>fine</w:t>
      </w:r>
      <w:r>
        <w:rPr>
          <w:spacing w:val="-6"/>
        </w:rPr>
        <w:t> </w:t>
      </w:r>
      <w:r>
        <w:rPr>
          <w:spacing w:val="-4"/>
        </w:rPr>
        <w:t>grained</w:t>
      </w:r>
      <w:r>
        <w:rPr>
          <w:spacing w:val="-6"/>
        </w:rPr>
        <w:t> </w:t>
      </w:r>
      <w:r>
        <w:rPr>
          <w:spacing w:val="-4"/>
        </w:rPr>
        <w:t>local</w:t>
      </w:r>
      <w:r>
        <w:rPr>
          <w:spacing w:val="-6"/>
        </w:rPr>
        <w:t> </w:t>
      </w:r>
      <w:r>
        <w:rPr>
          <w:spacing w:val="-4"/>
        </w:rPr>
        <w:t>data</w:t>
      </w:r>
      <w:r>
        <w:rPr>
          <w:spacing w:val="-6"/>
        </w:rPr>
        <w:t> </w:t>
      </w:r>
      <w:r>
        <w:rPr>
          <w:spacing w:val="-4"/>
        </w:rPr>
        <w:t>in</w:t>
      </w:r>
      <w:r>
        <w:rPr>
          <w:spacing w:val="-6"/>
        </w:rPr>
        <w:t> </w:t>
      </w:r>
      <w:r>
        <w:rPr>
          <w:spacing w:val="-4"/>
        </w:rPr>
        <w:t>a </w:t>
      </w:r>
      <w:r>
        <w:rPr/>
        <w:t>continuous manner.</w:t>
      </w:r>
    </w:p>
    <w:p>
      <w:pPr>
        <w:pStyle w:val="BodyText"/>
        <w:spacing w:before="10"/>
      </w:pPr>
    </w:p>
    <w:p>
      <w:pPr>
        <w:pStyle w:val="BodyText"/>
        <w:spacing w:line="266" w:lineRule="auto"/>
        <w:ind w:left="319" w:right="1077"/>
        <w:jc w:val="both"/>
      </w:pPr>
      <w:r>
        <w:rPr>
          <w:spacing w:val="-2"/>
        </w:rPr>
        <w:t>The</w:t>
      </w:r>
      <w:r>
        <w:rPr>
          <w:spacing w:val="-10"/>
        </w:rPr>
        <w:t> </w:t>
      </w:r>
      <w:r>
        <w:rPr>
          <w:spacing w:val="-2"/>
        </w:rPr>
        <w:t>portal</w:t>
      </w:r>
      <w:r>
        <w:rPr>
          <w:spacing w:val="-10"/>
        </w:rPr>
        <w:t> </w:t>
      </w:r>
      <w:r>
        <w:rPr>
          <w:spacing w:val="-2"/>
        </w:rPr>
        <w:t>will</w:t>
      </w:r>
      <w:r>
        <w:rPr>
          <w:spacing w:val="-10"/>
        </w:rPr>
        <w:t> </w:t>
      </w:r>
      <w:r>
        <w:rPr>
          <w:spacing w:val="-2"/>
        </w:rPr>
        <w:t>thus</w:t>
      </w:r>
      <w:r>
        <w:rPr>
          <w:spacing w:val="-10"/>
        </w:rPr>
        <w:t> </w:t>
      </w:r>
      <w:r>
        <w:rPr>
          <w:spacing w:val="-2"/>
        </w:rPr>
        <w:t>address</w:t>
      </w:r>
      <w:r>
        <w:rPr>
          <w:spacing w:val="-10"/>
        </w:rPr>
        <w:t> </w:t>
      </w:r>
      <w:r>
        <w:rPr>
          <w:spacing w:val="-2"/>
        </w:rPr>
        <w:t>the</w:t>
      </w:r>
      <w:r>
        <w:rPr>
          <w:spacing w:val="-10"/>
        </w:rPr>
        <w:t> </w:t>
      </w:r>
      <w:r>
        <w:rPr>
          <w:spacing w:val="-2"/>
        </w:rPr>
        <w:t>needs</w:t>
      </w:r>
      <w:r>
        <w:rPr>
          <w:spacing w:val="-10"/>
        </w:rPr>
        <w:t> </w:t>
      </w:r>
      <w:r>
        <w:rPr>
          <w:spacing w:val="-2"/>
        </w:rPr>
        <w:t>of</w:t>
      </w:r>
      <w:r>
        <w:rPr>
          <w:spacing w:val="-10"/>
        </w:rPr>
        <w:t> </w:t>
      </w:r>
      <w:r>
        <w:rPr>
          <w:spacing w:val="-2"/>
        </w:rPr>
        <w:t>a</w:t>
      </w:r>
      <w:r>
        <w:rPr>
          <w:spacing w:val="-10"/>
        </w:rPr>
        <w:t> </w:t>
      </w:r>
      <w:r>
        <w:rPr>
          <w:spacing w:val="-2"/>
        </w:rPr>
        <w:t>very</w:t>
      </w:r>
      <w:r>
        <w:rPr>
          <w:spacing w:val="-10"/>
        </w:rPr>
        <w:t> </w:t>
      </w:r>
      <w:r>
        <w:rPr>
          <w:spacing w:val="-2"/>
        </w:rPr>
        <w:t>diverse </w:t>
      </w:r>
      <w:r>
        <w:rPr/>
        <w:t>spectrum</w:t>
      </w:r>
      <w:r>
        <w:rPr>
          <w:spacing w:val="-13"/>
        </w:rPr>
        <w:t> </w:t>
      </w:r>
      <w:r>
        <w:rPr/>
        <w:t>of</w:t>
      </w:r>
      <w:r>
        <w:rPr>
          <w:spacing w:val="-13"/>
        </w:rPr>
        <w:t> </w:t>
      </w:r>
      <w:r>
        <w:rPr/>
        <w:t>users</w:t>
      </w:r>
      <w:r>
        <w:rPr>
          <w:spacing w:val="-13"/>
        </w:rPr>
        <w:t> </w:t>
      </w:r>
      <w:r>
        <w:rPr/>
        <w:t>from</w:t>
      </w:r>
      <w:r>
        <w:rPr>
          <w:spacing w:val="-13"/>
        </w:rPr>
        <w:t> </w:t>
      </w:r>
      <w:r>
        <w:rPr/>
        <w:t>researchers</w:t>
      </w:r>
      <w:r>
        <w:rPr>
          <w:spacing w:val="-13"/>
        </w:rPr>
        <w:t> </w:t>
      </w:r>
      <w:r>
        <w:rPr/>
        <w:t>and</w:t>
      </w:r>
      <w:r>
        <w:rPr>
          <w:spacing w:val="-13"/>
        </w:rPr>
        <w:t> </w:t>
      </w:r>
      <w:r>
        <w:rPr/>
        <w:t>policy</w:t>
      </w:r>
      <w:r>
        <w:rPr>
          <w:spacing w:val="-13"/>
        </w:rPr>
        <w:t> </w:t>
      </w:r>
      <w:r>
        <w:rPr/>
        <w:t>makers to</w:t>
      </w:r>
      <w:r>
        <w:rPr>
          <w:spacing w:val="-3"/>
        </w:rPr>
        <w:t> </w:t>
      </w:r>
      <w:r>
        <w:rPr/>
        <w:t>local</w:t>
      </w:r>
      <w:r>
        <w:rPr>
          <w:spacing w:val="-3"/>
        </w:rPr>
        <w:t> </w:t>
      </w:r>
      <w:r>
        <w:rPr/>
        <w:t>practitioners</w:t>
      </w:r>
      <w:r>
        <w:rPr>
          <w:spacing w:val="-3"/>
        </w:rPr>
        <w:t> </w:t>
      </w:r>
      <w:r>
        <w:rPr/>
        <w:t>at</w:t>
      </w:r>
      <w:r>
        <w:rPr>
          <w:spacing w:val="-3"/>
        </w:rPr>
        <w:t> </w:t>
      </w:r>
      <w:r>
        <w:rPr/>
        <w:t>the</w:t>
      </w:r>
      <w:r>
        <w:rPr>
          <w:spacing w:val="-3"/>
        </w:rPr>
        <w:t> </w:t>
      </w:r>
      <w:r>
        <w:rPr/>
        <w:t>ground</w:t>
      </w:r>
      <w:r>
        <w:rPr>
          <w:spacing w:val="-3"/>
        </w:rPr>
        <w:t> </w:t>
      </w:r>
      <w:r>
        <w:rPr/>
        <w:t>level</w:t>
      </w:r>
      <w:r>
        <w:rPr>
          <w:spacing w:val="-3"/>
        </w:rPr>
        <w:t> </w:t>
      </w:r>
      <w:r>
        <w:rPr/>
        <w:t>who</w:t>
      </w:r>
      <w:r>
        <w:rPr>
          <w:spacing w:val="-3"/>
        </w:rPr>
        <w:t> </w:t>
      </w:r>
      <w:r>
        <w:rPr/>
        <w:t>stand</w:t>
      </w:r>
      <w:r>
        <w:rPr>
          <w:spacing w:val="-3"/>
        </w:rPr>
        <w:t> </w:t>
      </w:r>
      <w:r>
        <w:rPr/>
        <w:t>to benefit</w:t>
      </w:r>
      <w:r>
        <w:rPr>
          <w:spacing w:val="-14"/>
        </w:rPr>
        <w:t> </w:t>
      </w:r>
      <w:r>
        <w:rPr/>
        <w:t>greatly</w:t>
      </w:r>
      <w:r>
        <w:rPr>
          <w:spacing w:val="-14"/>
        </w:rPr>
        <w:t> </w:t>
      </w:r>
      <w:r>
        <w:rPr/>
        <w:t>from</w:t>
      </w:r>
      <w:r>
        <w:rPr>
          <w:spacing w:val="-14"/>
        </w:rPr>
        <w:t> </w:t>
      </w:r>
      <w:r>
        <w:rPr/>
        <w:t>the</w:t>
      </w:r>
      <w:r>
        <w:rPr>
          <w:spacing w:val="-13"/>
        </w:rPr>
        <w:t> </w:t>
      </w:r>
      <w:r>
        <w:rPr/>
        <w:t>comprehensive</w:t>
      </w:r>
      <w:r>
        <w:rPr>
          <w:spacing w:val="-14"/>
        </w:rPr>
        <w:t> </w:t>
      </w:r>
      <w:r>
        <w:rPr/>
        <w:t>availability</w:t>
      </w:r>
      <w:r>
        <w:rPr>
          <w:spacing w:val="-14"/>
        </w:rPr>
        <w:t> </w:t>
      </w:r>
      <w:r>
        <w:rPr/>
        <w:t>of information on a sector relevant for them in an open and transparent manner.</w:t>
      </w:r>
    </w:p>
    <w:p>
      <w:pPr>
        <w:pStyle w:val="Heading6"/>
        <w:numPr>
          <w:ilvl w:val="0"/>
          <w:numId w:val="12"/>
        </w:numPr>
        <w:tabs>
          <w:tab w:pos="656" w:val="left" w:leader="none"/>
        </w:tabs>
        <w:spacing w:line="240" w:lineRule="auto" w:before="226" w:after="0"/>
        <w:ind w:left="656" w:right="0" w:hanging="337"/>
        <w:jc w:val="left"/>
      </w:pPr>
      <w:r>
        <w:rPr>
          <w:color w:val="2E614A"/>
          <w:w w:val="90"/>
        </w:rPr>
        <w:t>Translate</w:t>
      </w:r>
      <w:r>
        <w:rPr>
          <w:color w:val="2E614A"/>
          <w:spacing w:val="2"/>
        </w:rPr>
        <w:t> </w:t>
      </w:r>
      <w:r>
        <w:rPr>
          <w:color w:val="2E614A"/>
          <w:w w:val="90"/>
        </w:rPr>
        <w:t>into</w:t>
      </w:r>
      <w:r>
        <w:rPr>
          <w:color w:val="2E614A"/>
          <w:spacing w:val="3"/>
        </w:rPr>
        <w:t> </w:t>
      </w:r>
      <w:r>
        <w:rPr>
          <w:color w:val="2E614A"/>
          <w:w w:val="90"/>
        </w:rPr>
        <w:t>Indian</w:t>
      </w:r>
      <w:r>
        <w:rPr>
          <w:color w:val="2E614A"/>
          <w:spacing w:val="3"/>
        </w:rPr>
        <w:t> </w:t>
      </w:r>
      <w:r>
        <w:rPr>
          <w:color w:val="2E614A"/>
          <w:spacing w:val="-2"/>
          <w:w w:val="90"/>
        </w:rPr>
        <w:t>Languages</w:t>
      </w:r>
    </w:p>
    <w:p>
      <w:pPr>
        <w:pStyle w:val="BodyText"/>
        <w:spacing w:line="266" w:lineRule="auto" w:before="286"/>
        <w:ind w:left="319" w:right="1077"/>
        <w:jc w:val="both"/>
      </w:pPr>
      <w:r>
        <w:rPr>
          <w:spacing w:val="-6"/>
        </w:rPr>
        <w:t>The</w:t>
      </w:r>
      <w:r>
        <w:rPr>
          <w:spacing w:val="-8"/>
        </w:rPr>
        <w:t> </w:t>
      </w:r>
      <w:r>
        <w:rPr>
          <w:spacing w:val="-6"/>
        </w:rPr>
        <w:t>portals</w:t>
      </w:r>
      <w:r>
        <w:rPr>
          <w:spacing w:val="-8"/>
        </w:rPr>
        <w:t> </w:t>
      </w:r>
      <w:r>
        <w:rPr>
          <w:spacing w:val="-6"/>
        </w:rPr>
        <w:t>should</w:t>
      </w:r>
      <w:r>
        <w:rPr>
          <w:spacing w:val="-8"/>
        </w:rPr>
        <w:t> </w:t>
      </w:r>
      <w:r>
        <w:rPr>
          <w:spacing w:val="-6"/>
        </w:rPr>
        <w:t>be</w:t>
      </w:r>
      <w:r>
        <w:rPr>
          <w:spacing w:val="-7"/>
        </w:rPr>
        <w:t> </w:t>
      </w:r>
      <w:r>
        <w:rPr>
          <w:spacing w:val="-6"/>
        </w:rPr>
        <w:t>translated</w:t>
      </w:r>
      <w:r>
        <w:rPr>
          <w:spacing w:val="-8"/>
        </w:rPr>
        <w:t> </w:t>
      </w:r>
      <w:r>
        <w:rPr>
          <w:spacing w:val="-6"/>
        </w:rPr>
        <w:t>into</w:t>
      </w:r>
      <w:r>
        <w:rPr>
          <w:spacing w:val="-8"/>
        </w:rPr>
        <w:t> </w:t>
      </w:r>
      <w:r>
        <w:rPr>
          <w:spacing w:val="-6"/>
        </w:rPr>
        <w:t>all</w:t>
      </w:r>
      <w:r>
        <w:rPr>
          <w:spacing w:val="-8"/>
        </w:rPr>
        <w:t> </w:t>
      </w:r>
      <w:r>
        <w:rPr>
          <w:spacing w:val="-6"/>
        </w:rPr>
        <w:t>Indian</w:t>
      </w:r>
      <w:r>
        <w:rPr>
          <w:spacing w:val="-7"/>
        </w:rPr>
        <w:t> </w:t>
      </w:r>
      <w:r>
        <w:rPr>
          <w:spacing w:val="-6"/>
        </w:rPr>
        <w:t>languages </w:t>
      </w:r>
      <w:r>
        <w:rPr>
          <w:spacing w:val="-2"/>
        </w:rPr>
        <w:t>to</w:t>
      </w:r>
      <w:r>
        <w:rPr>
          <w:spacing w:val="-5"/>
        </w:rPr>
        <w:t> </w:t>
      </w:r>
      <w:r>
        <w:rPr>
          <w:spacing w:val="-2"/>
        </w:rPr>
        <w:t>reach</w:t>
      </w:r>
      <w:r>
        <w:rPr>
          <w:spacing w:val="-5"/>
        </w:rPr>
        <w:t> </w:t>
      </w:r>
      <w:r>
        <w:rPr>
          <w:spacing w:val="-2"/>
        </w:rPr>
        <w:t>a</w:t>
      </w:r>
      <w:r>
        <w:rPr>
          <w:spacing w:val="-5"/>
        </w:rPr>
        <w:t> </w:t>
      </w:r>
      <w:r>
        <w:rPr>
          <w:spacing w:val="-2"/>
        </w:rPr>
        <w:t>wider</w:t>
      </w:r>
      <w:r>
        <w:rPr>
          <w:spacing w:val="-5"/>
        </w:rPr>
        <w:t> </w:t>
      </w:r>
      <w:r>
        <w:rPr>
          <w:spacing w:val="-2"/>
        </w:rPr>
        <w:t>audience.</w:t>
      </w:r>
      <w:r>
        <w:rPr>
          <w:spacing w:val="-5"/>
        </w:rPr>
        <w:t> </w:t>
      </w:r>
      <w:r>
        <w:rPr>
          <w:spacing w:val="-2"/>
        </w:rPr>
        <w:t>Interactive</w:t>
      </w:r>
      <w:r>
        <w:rPr>
          <w:spacing w:val="-5"/>
        </w:rPr>
        <w:t> </w:t>
      </w:r>
      <w:r>
        <w:rPr>
          <w:spacing w:val="-2"/>
        </w:rPr>
        <w:t>applications</w:t>
      </w:r>
      <w:r>
        <w:rPr>
          <w:spacing w:val="-5"/>
        </w:rPr>
        <w:t> </w:t>
      </w:r>
      <w:r>
        <w:rPr>
          <w:spacing w:val="-2"/>
        </w:rPr>
        <w:t>and </w:t>
      </w:r>
      <w:r>
        <w:rPr/>
        <w:t>e-learning content must be made available in local languages for it to be relevant.</w:t>
      </w:r>
    </w:p>
    <w:p>
      <w:pPr>
        <w:spacing w:after="0" w:line="266" w:lineRule="auto"/>
        <w:jc w:val="both"/>
        <w:sectPr>
          <w:pgSz w:w="11910" w:h="16840"/>
          <w:pgMar w:header="0" w:footer="634" w:top="960" w:bottom="860" w:left="0" w:right="0"/>
          <w:cols w:num="2" w:equalWidth="0">
            <w:col w:w="5774" w:space="40"/>
            <w:col w:w="6096"/>
          </w:cols>
        </w:sectPr>
      </w:pPr>
    </w:p>
    <w:p>
      <w:pPr>
        <w:pStyle w:val="Heading2"/>
        <w:spacing w:line="211" w:lineRule="auto"/>
      </w:pPr>
      <w:r>
        <w:rPr/>
        <mc:AlternateContent>
          <mc:Choice Requires="wps">
            <w:drawing>
              <wp:anchor distT="0" distB="0" distL="0" distR="0" allowOverlap="1" layoutInCell="1" locked="0" behindDoc="1" simplePos="0" relativeHeight="479333888">
                <wp:simplePos x="0" y="0"/>
                <wp:positionH relativeFrom="page">
                  <wp:posOffset>0</wp:posOffset>
                </wp:positionH>
                <wp:positionV relativeFrom="page">
                  <wp:posOffset>38</wp:posOffset>
                </wp:positionV>
                <wp:extent cx="7560309" cy="10692130"/>
                <wp:effectExtent l="0" t="0" r="0" b="0"/>
                <wp:wrapNone/>
                <wp:docPr id="842" name="Group 842"/>
                <wp:cNvGraphicFramePr>
                  <a:graphicFrameLocks/>
                </wp:cNvGraphicFramePr>
                <a:graphic>
                  <a:graphicData uri="http://schemas.microsoft.com/office/word/2010/wordprocessingGroup">
                    <wpg:wgp>
                      <wpg:cNvPr id="842" name="Group 842"/>
                      <wpg:cNvGrpSpPr/>
                      <wpg:grpSpPr>
                        <a:xfrm>
                          <a:off x="0" y="0"/>
                          <a:ext cx="7560309" cy="10692130"/>
                          <a:chExt cx="7560309" cy="10692130"/>
                        </a:xfrm>
                      </wpg:grpSpPr>
                      <pic:pic>
                        <pic:nvPicPr>
                          <pic:cNvPr id="843" name="Image 843"/>
                          <pic:cNvPicPr/>
                        </pic:nvPicPr>
                        <pic:blipFill>
                          <a:blip r:embed="rId614" cstate="print"/>
                          <a:stretch>
                            <a:fillRect/>
                          </a:stretch>
                        </pic:blipFill>
                        <pic:spPr>
                          <a:xfrm>
                            <a:off x="0" y="0"/>
                            <a:ext cx="7559999" cy="10691964"/>
                          </a:xfrm>
                          <a:prstGeom prst="rect">
                            <a:avLst/>
                          </a:prstGeom>
                        </pic:spPr>
                      </pic:pic>
                      <pic:pic>
                        <pic:nvPicPr>
                          <pic:cNvPr id="844" name="Image 844"/>
                          <pic:cNvPicPr/>
                        </pic:nvPicPr>
                        <pic:blipFill>
                          <a:blip r:embed="rId615" cstate="print"/>
                          <a:stretch>
                            <a:fillRect/>
                          </a:stretch>
                        </pic:blipFill>
                        <pic:spPr>
                          <a:xfrm>
                            <a:off x="6400" y="3629025"/>
                            <a:ext cx="7553598" cy="7062939"/>
                          </a:xfrm>
                          <a:prstGeom prst="rect">
                            <a:avLst/>
                          </a:prstGeom>
                        </pic:spPr>
                      </pic:pic>
                    </wpg:wgp>
                  </a:graphicData>
                </a:graphic>
              </wp:anchor>
            </w:drawing>
          </mc:Choice>
          <mc:Fallback>
            <w:pict>
              <v:group style="position:absolute;margin-left:0pt;margin-top:.003055pt;width:595.3pt;height:841.9pt;mso-position-horizontal-relative:page;mso-position-vertical-relative:page;z-index:-23982592" id="docshapegroup835" coordorigin="0,0" coordsize="11906,16838">
                <v:shape style="position:absolute;left:0;top:0;width:11906;height:16838" type="#_x0000_t75" id="docshape836" stroked="false">
                  <v:imagedata r:id="rId614" o:title=""/>
                </v:shape>
                <v:shape style="position:absolute;left:10;top:5715;width:11896;height:11123" type="#_x0000_t75" id="docshape837" stroked="false">
                  <v:imagedata r:id="rId615" o:title=""/>
                </v:shape>
                <w10:wrap type="none"/>
              </v:group>
            </w:pict>
          </mc:Fallback>
        </mc:AlternateContent>
      </w:r>
      <w:r>
        <w:rPr>
          <w:color w:val="E3C626"/>
          <w:spacing w:val="-2"/>
        </w:rPr>
        <w:t>Knowledge Concepts</w:t>
      </w:r>
    </w:p>
    <w:p>
      <w:pPr>
        <w:pStyle w:val="BodyText"/>
        <w:spacing w:before="55"/>
        <w:rPr>
          <w:rFonts w:ascii="Trebuchet MS"/>
          <w:b/>
          <w:sz w:val="32"/>
        </w:rPr>
      </w:pPr>
    </w:p>
    <w:p>
      <w:pPr>
        <w:spacing w:before="1"/>
        <w:ind w:left="2025" w:right="0" w:firstLine="0"/>
        <w:jc w:val="left"/>
        <w:rPr>
          <w:sz w:val="32"/>
        </w:rPr>
      </w:pPr>
      <w:r>
        <w:rPr>
          <w:sz w:val="32"/>
        </w:rPr>
        <w:t>School </w:t>
      </w:r>
      <w:r>
        <w:rPr>
          <w:spacing w:val="-2"/>
          <w:sz w:val="32"/>
        </w:rPr>
        <w:t>Education</w:t>
      </w:r>
    </w:p>
    <w:p>
      <w:pPr>
        <w:spacing w:line="391" w:lineRule="auto" w:before="232"/>
        <w:ind w:left="2025" w:right="4604" w:firstLine="0"/>
        <w:jc w:val="left"/>
        <w:rPr>
          <w:sz w:val="32"/>
        </w:rPr>
      </w:pPr>
      <w:r>
        <w:rPr>
          <w:spacing w:val="-2"/>
          <w:sz w:val="32"/>
        </w:rPr>
        <w:t>Vocational</w:t>
      </w:r>
      <w:r>
        <w:rPr>
          <w:spacing w:val="-9"/>
          <w:sz w:val="32"/>
        </w:rPr>
        <w:t> </w:t>
      </w:r>
      <w:r>
        <w:rPr>
          <w:spacing w:val="-2"/>
          <w:sz w:val="32"/>
        </w:rPr>
        <w:t>Education</w:t>
      </w:r>
      <w:r>
        <w:rPr>
          <w:spacing w:val="-9"/>
          <w:sz w:val="32"/>
        </w:rPr>
        <w:t> </w:t>
      </w:r>
      <w:r>
        <w:rPr>
          <w:spacing w:val="-2"/>
          <w:sz w:val="32"/>
        </w:rPr>
        <w:t>and</w:t>
      </w:r>
      <w:r>
        <w:rPr>
          <w:spacing w:val="-15"/>
          <w:sz w:val="32"/>
        </w:rPr>
        <w:t> </w:t>
      </w:r>
      <w:r>
        <w:rPr>
          <w:spacing w:val="-2"/>
          <w:sz w:val="32"/>
        </w:rPr>
        <w:t>Training </w:t>
      </w:r>
      <w:r>
        <w:rPr>
          <w:sz w:val="32"/>
        </w:rPr>
        <w:t>Higher Education</w:t>
      </w:r>
    </w:p>
    <w:p>
      <w:pPr>
        <w:spacing w:line="391" w:lineRule="auto" w:before="0"/>
        <w:ind w:left="2025" w:right="6750" w:firstLine="0"/>
        <w:jc w:val="left"/>
        <w:rPr>
          <w:sz w:val="32"/>
        </w:rPr>
      </w:pPr>
      <w:r>
        <w:rPr>
          <w:sz w:val="32"/>
        </w:rPr>
        <w:t>Legal Education Medical Education Management</w:t>
      </w:r>
      <w:r>
        <w:rPr>
          <w:spacing w:val="-20"/>
          <w:sz w:val="32"/>
        </w:rPr>
        <w:t> </w:t>
      </w:r>
      <w:r>
        <w:rPr>
          <w:sz w:val="32"/>
        </w:rPr>
        <w:t>Education Engineering Education</w:t>
      </w:r>
    </w:p>
    <w:p>
      <w:pPr>
        <w:spacing w:line="391" w:lineRule="auto" w:before="1"/>
        <w:ind w:left="2025" w:right="5496" w:firstLine="0"/>
        <w:jc w:val="left"/>
        <w:rPr>
          <w:sz w:val="32"/>
        </w:rPr>
      </w:pPr>
      <w:r>
        <w:rPr>
          <w:sz w:val="32"/>
        </w:rPr>
        <w:t>Open</w:t>
      </w:r>
      <w:r>
        <w:rPr>
          <w:spacing w:val="-11"/>
          <w:sz w:val="32"/>
        </w:rPr>
        <w:t> </w:t>
      </w:r>
      <w:r>
        <w:rPr>
          <w:sz w:val="32"/>
        </w:rPr>
        <w:t>and</w:t>
      </w:r>
      <w:r>
        <w:rPr>
          <w:spacing w:val="-11"/>
          <w:sz w:val="32"/>
        </w:rPr>
        <w:t> </w:t>
      </w:r>
      <w:r>
        <w:rPr>
          <w:sz w:val="32"/>
        </w:rPr>
        <w:t>Distance</w:t>
      </w:r>
      <w:r>
        <w:rPr>
          <w:spacing w:val="-12"/>
          <w:sz w:val="32"/>
        </w:rPr>
        <w:t> </w:t>
      </w:r>
      <w:r>
        <w:rPr>
          <w:sz w:val="32"/>
        </w:rPr>
        <w:t>Education Open Educational Resources</w:t>
      </w:r>
    </w:p>
    <w:p>
      <w:pPr>
        <w:spacing w:line="391" w:lineRule="auto" w:before="0"/>
        <w:ind w:left="2025" w:right="3595" w:firstLine="0"/>
        <w:jc w:val="left"/>
        <w:rPr>
          <w:sz w:val="32"/>
        </w:rPr>
      </w:pPr>
      <w:r>
        <w:rPr>
          <w:sz w:val="32"/>
        </w:rPr>
        <w:t>More</w:t>
      </w:r>
      <w:r>
        <w:rPr>
          <w:spacing w:val="-15"/>
          <w:sz w:val="32"/>
        </w:rPr>
        <w:t> </w:t>
      </w:r>
      <w:r>
        <w:rPr>
          <w:sz w:val="32"/>
        </w:rPr>
        <w:t>Talented</w:t>
      </w:r>
      <w:r>
        <w:rPr>
          <w:spacing w:val="-9"/>
          <w:sz w:val="32"/>
        </w:rPr>
        <w:t> </w:t>
      </w:r>
      <w:r>
        <w:rPr>
          <w:sz w:val="32"/>
        </w:rPr>
        <w:t>Students</w:t>
      </w:r>
      <w:r>
        <w:rPr>
          <w:spacing w:val="-10"/>
          <w:sz w:val="32"/>
        </w:rPr>
        <w:t> </w:t>
      </w:r>
      <w:r>
        <w:rPr>
          <w:sz w:val="32"/>
        </w:rPr>
        <w:t>in</w:t>
      </w:r>
      <w:r>
        <w:rPr>
          <w:spacing w:val="-9"/>
          <w:sz w:val="32"/>
        </w:rPr>
        <w:t> </w:t>
      </w:r>
      <w:r>
        <w:rPr>
          <w:sz w:val="32"/>
        </w:rPr>
        <w:t>Maths</w:t>
      </w:r>
      <w:r>
        <w:rPr>
          <w:spacing w:val="-10"/>
          <w:sz w:val="32"/>
        </w:rPr>
        <w:t> </w:t>
      </w:r>
      <w:r>
        <w:rPr>
          <w:sz w:val="32"/>
        </w:rPr>
        <w:t>and</w:t>
      </w:r>
      <w:r>
        <w:rPr>
          <w:spacing w:val="-9"/>
          <w:sz w:val="32"/>
        </w:rPr>
        <w:t> </w:t>
      </w:r>
      <w:r>
        <w:rPr>
          <w:sz w:val="32"/>
        </w:rPr>
        <w:t>Science More Quality Ph.Ds</w:t>
      </w:r>
    </w:p>
    <w:p>
      <w:pPr>
        <w:spacing w:after="0" w:line="391" w:lineRule="auto"/>
        <w:jc w:val="left"/>
        <w:rPr>
          <w:sz w:val="32"/>
        </w:rPr>
        <w:sectPr>
          <w:footerReference w:type="default" r:id="rId613"/>
          <w:pgSz w:w="11910" w:h="16840"/>
          <w:pgMar w:header="0" w:footer="0" w:top="1920" w:bottom="280" w:left="0" w:right="0"/>
        </w:sectPr>
      </w:pPr>
    </w:p>
    <w:p>
      <w:pPr>
        <w:pStyle w:val="BodyText"/>
        <w:spacing w:before="4"/>
        <w:rPr>
          <w:sz w:val="17"/>
        </w:rPr>
      </w:pPr>
    </w:p>
    <w:p>
      <w:pPr>
        <w:spacing w:after="0"/>
        <w:rPr>
          <w:sz w:val="17"/>
        </w:rPr>
        <w:sectPr>
          <w:footerReference w:type="even" r:id="rId616"/>
          <w:pgSz w:w="11910" w:h="16840"/>
          <w:pgMar w:header="0" w:footer="0"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3"/>
        <w:rPr>
          <w:sz w:val="20"/>
        </w:rPr>
      </w:pPr>
    </w:p>
    <w:p>
      <w:pPr>
        <w:spacing w:after="0"/>
        <w:rPr>
          <w:sz w:val="20"/>
        </w:rPr>
        <w:sectPr>
          <w:footerReference w:type="default" r:id="rId617"/>
          <w:footerReference w:type="even" r:id="rId618"/>
          <w:pgSz w:w="11910" w:h="16840"/>
          <w:pgMar w:header="0" w:footer="675" w:top="0" w:bottom="860" w:left="0" w:right="0"/>
          <w:pgNumType w:start="43"/>
        </w:sectPr>
      </w:pPr>
    </w:p>
    <w:p>
      <w:pPr>
        <w:pStyle w:val="BodyText"/>
        <w:spacing w:line="266" w:lineRule="auto" w:before="98"/>
        <w:ind w:left="1079" w:firstLine="632"/>
        <w:jc w:val="right"/>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ragraph">
                  <wp:posOffset>-2267233</wp:posOffset>
                </wp:positionV>
                <wp:extent cx="7560309" cy="1752600"/>
                <wp:effectExtent l="0" t="0" r="0" b="0"/>
                <wp:wrapNone/>
                <wp:docPr id="854" name="Group 854"/>
                <wp:cNvGraphicFramePr>
                  <a:graphicFrameLocks/>
                </wp:cNvGraphicFramePr>
                <a:graphic>
                  <a:graphicData uri="http://schemas.microsoft.com/office/word/2010/wordprocessingGroup">
                    <wpg:wgp>
                      <wpg:cNvPr id="854" name="Group 854"/>
                      <wpg:cNvGrpSpPr/>
                      <wpg:grpSpPr>
                        <a:xfrm>
                          <a:off x="0" y="0"/>
                          <a:ext cx="7560309" cy="1752600"/>
                          <a:chExt cx="7560309" cy="1752600"/>
                        </a:xfrm>
                      </wpg:grpSpPr>
                      <pic:pic>
                        <pic:nvPicPr>
                          <pic:cNvPr id="855" name="Image 855"/>
                          <pic:cNvPicPr/>
                        </pic:nvPicPr>
                        <pic:blipFill>
                          <a:blip r:embed="rId11" cstate="print"/>
                          <a:stretch>
                            <a:fillRect/>
                          </a:stretch>
                        </pic:blipFill>
                        <pic:spPr>
                          <a:xfrm>
                            <a:off x="0" y="0"/>
                            <a:ext cx="7559999" cy="1752562"/>
                          </a:xfrm>
                          <a:prstGeom prst="rect">
                            <a:avLst/>
                          </a:prstGeom>
                        </pic:spPr>
                      </pic:pic>
                      <wps:wsp>
                        <wps:cNvPr id="856" name="Textbox 856"/>
                        <wps:cNvSpPr txBox="1"/>
                        <wps:spPr>
                          <a:xfrm>
                            <a:off x="685800" y="598682"/>
                            <a:ext cx="3457575"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School</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s:wsp>
                        <wps:cNvPr id="857" name="Textbox 857"/>
                        <wps:cNvSpPr txBox="1"/>
                        <wps:spPr>
                          <a:xfrm>
                            <a:off x="5918247" y="1439099"/>
                            <a:ext cx="969010" cy="158750"/>
                          </a:xfrm>
                          <a:prstGeom prst="rect">
                            <a:avLst/>
                          </a:prstGeom>
                        </wps:spPr>
                        <wps:txbx>
                          <w:txbxContent>
                            <w:p>
                              <w:pPr>
                                <w:spacing w:line="238" w:lineRule="exact" w:before="0"/>
                                <w:ind w:left="0" w:right="0" w:firstLine="0"/>
                                <w:jc w:val="left"/>
                                <w:rPr>
                                  <w:b/>
                                  <w:sz w:val="22"/>
                                </w:rPr>
                              </w:pPr>
                              <w:r>
                                <w:rPr>
                                  <w:b/>
                                  <w:color w:val="FFFFFF"/>
                                  <w:w w:val="90"/>
                                  <w:sz w:val="22"/>
                                </w:rPr>
                                <w:t>February</w:t>
                              </w:r>
                              <w:r>
                                <w:rPr>
                                  <w:b/>
                                  <w:color w:val="FFFFFF"/>
                                  <w:spacing w:val="-2"/>
                                  <w:w w:val="90"/>
                                  <w:sz w:val="22"/>
                                </w:rPr>
                                <w:t> </w:t>
                              </w:r>
                              <w:r>
                                <w:rPr>
                                  <w:b/>
                                  <w:color w:val="FFFFFF"/>
                                  <w:w w:val="90"/>
                                  <w:sz w:val="22"/>
                                </w:rPr>
                                <w:t>3,</w:t>
                              </w:r>
                              <w:r>
                                <w:rPr>
                                  <w:b/>
                                  <w:color w:val="FFFFFF"/>
                                  <w:spacing w:val="-1"/>
                                  <w:w w:val="90"/>
                                  <w:sz w:val="22"/>
                                </w:rPr>
                                <w:t> </w:t>
                              </w:r>
                              <w:r>
                                <w:rPr>
                                  <w:b/>
                                  <w:color w:val="FFFFFF"/>
                                  <w:spacing w:val="-4"/>
                                  <w:w w:val="90"/>
                                  <w:sz w:val="22"/>
                                </w:rPr>
                                <w:t>2008</w:t>
                              </w:r>
                            </w:p>
                          </w:txbxContent>
                        </wps:txbx>
                        <wps:bodyPr wrap="square" lIns="0" tIns="0" rIns="0" bIns="0" rtlCol="0">
                          <a:noAutofit/>
                        </wps:bodyPr>
                      </wps:wsp>
                    </wpg:wgp>
                  </a:graphicData>
                </a:graphic>
              </wp:anchor>
            </w:drawing>
          </mc:Choice>
          <mc:Fallback>
            <w:pict>
              <v:group style="position:absolute;margin-left:0pt;margin-top:-178.522308pt;width:595.3pt;height:138pt;mso-position-horizontal-relative:page;mso-position-vertical-relative:paragraph;z-index:15757824" id="docshapegroup847" coordorigin="0,-3570" coordsize="11906,2760">
                <v:shape style="position:absolute;left:0;top:-3571;width:11906;height:2760" type="#_x0000_t75" id="docshape848" stroked="false">
                  <v:imagedata r:id="rId11" o:title=""/>
                </v:shape>
                <v:shape style="position:absolute;left:1080;top:-2628;width:5445;height:790" type="#_x0000_t202" id="docshape849" filled="false" stroked="false">
                  <v:textbox inset="0,0,0,0">
                    <w:txbxContent>
                      <w:p>
                        <w:pPr>
                          <w:spacing w:before="0"/>
                          <w:ind w:left="0" w:right="0" w:firstLine="0"/>
                          <w:jc w:val="left"/>
                          <w:rPr>
                            <w:rFonts w:ascii="Trebuchet MS"/>
                            <w:b/>
                            <w:sz w:val="68"/>
                          </w:rPr>
                        </w:pPr>
                        <w:r>
                          <w:rPr>
                            <w:rFonts w:ascii="Trebuchet MS"/>
                            <w:b/>
                            <w:color w:val="FFFFFF"/>
                            <w:sz w:val="68"/>
                          </w:rPr>
                          <w:t>School</w:t>
                        </w:r>
                        <w:r>
                          <w:rPr>
                            <w:rFonts w:ascii="Trebuchet MS"/>
                            <w:b/>
                            <w:color w:val="FFFFFF"/>
                            <w:spacing w:val="-1"/>
                            <w:sz w:val="68"/>
                          </w:rPr>
                          <w:t> </w:t>
                        </w:r>
                        <w:r>
                          <w:rPr>
                            <w:rFonts w:ascii="Trebuchet MS"/>
                            <w:b/>
                            <w:color w:val="FFFFFF"/>
                            <w:spacing w:val="-2"/>
                            <w:sz w:val="68"/>
                          </w:rPr>
                          <w:t>Education</w:t>
                        </w:r>
                      </w:p>
                    </w:txbxContent>
                  </v:textbox>
                  <w10:wrap type="none"/>
                </v:shape>
                <v:shape style="position:absolute;left:9320;top:-1305;width:1526;height:250" type="#_x0000_t202" id="docshape850" filled="false" stroked="false">
                  <v:textbox inset="0,0,0,0">
                    <w:txbxContent>
                      <w:p>
                        <w:pPr>
                          <w:spacing w:line="238" w:lineRule="exact" w:before="0"/>
                          <w:ind w:left="0" w:right="0" w:firstLine="0"/>
                          <w:jc w:val="left"/>
                          <w:rPr>
                            <w:b/>
                            <w:sz w:val="22"/>
                          </w:rPr>
                        </w:pPr>
                        <w:r>
                          <w:rPr>
                            <w:b/>
                            <w:color w:val="FFFFFF"/>
                            <w:w w:val="90"/>
                            <w:sz w:val="22"/>
                          </w:rPr>
                          <w:t>February</w:t>
                        </w:r>
                        <w:r>
                          <w:rPr>
                            <w:b/>
                            <w:color w:val="FFFFFF"/>
                            <w:spacing w:val="-2"/>
                            <w:w w:val="90"/>
                            <w:sz w:val="22"/>
                          </w:rPr>
                          <w:t> </w:t>
                        </w:r>
                        <w:r>
                          <w:rPr>
                            <w:b/>
                            <w:color w:val="FFFFFF"/>
                            <w:w w:val="90"/>
                            <w:sz w:val="22"/>
                          </w:rPr>
                          <w:t>3,</w:t>
                        </w:r>
                        <w:r>
                          <w:rPr>
                            <w:b/>
                            <w:color w:val="FFFFFF"/>
                            <w:spacing w:val="-1"/>
                            <w:w w:val="90"/>
                            <w:sz w:val="22"/>
                          </w:rPr>
                          <w:t> </w:t>
                        </w:r>
                        <w:r>
                          <w:rPr>
                            <w:b/>
                            <w:color w:val="FFFFFF"/>
                            <w:spacing w:val="-4"/>
                            <w:w w:val="90"/>
                            <w:sz w:val="22"/>
                          </w:rPr>
                          <w:t>2008</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34912">
                <wp:simplePos x="0" y="0"/>
                <wp:positionH relativeFrom="page">
                  <wp:posOffset>685799</wp:posOffset>
                </wp:positionH>
                <wp:positionV relativeFrom="paragraph">
                  <wp:posOffset>-26620</wp:posOffset>
                </wp:positionV>
                <wp:extent cx="394970" cy="757555"/>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394970" cy="757555"/>
                        </a:xfrm>
                        <a:prstGeom prst="rect">
                          <a:avLst/>
                        </a:prstGeom>
                      </wps:spPr>
                      <wps:txbx>
                        <w:txbxContent>
                          <w:p>
                            <w:pPr>
                              <w:spacing w:line="1135" w:lineRule="exact" w:before="0"/>
                              <w:ind w:left="0" w:right="0" w:firstLine="0"/>
                              <w:jc w:val="left"/>
                              <w:rPr>
                                <w:sz w:val="106"/>
                              </w:rPr>
                            </w:pPr>
                            <w:r>
                              <w:rPr>
                                <w:color w:val="9CBF3B"/>
                                <w:spacing w:val="-37"/>
                                <w:sz w:val="106"/>
                              </w:rPr>
                              <w:t>E</w:t>
                            </w:r>
                          </w:p>
                        </w:txbxContent>
                      </wps:txbx>
                      <wps:bodyPr wrap="square" lIns="0" tIns="0" rIns="0" bIns="0" rtlCol="0">
                        <a:noAutofit/>
                      </wps:bodyPr>
                    </wps:wsp>
                  </a:graphicData>
                </a:graphic>
              </wp:anchor>
            </w:drawing>
          </mc:Choice>
          <mc:Fallback>
            <w:pict>
              <v:shape style="position:absolute;margin-left:53.999981pt;margin-top:-2.096090pt;width:31.1pt;height:59.65pt;mso-position-horizontal-relative:page;mso-position-vertical-relative:paragraph;z-index:-23981568" type="#_x0000_t202" id="docshape851" filled="false" stroked="false">
                <v:textbox inset="0,0,0,0">
                  <w:txbxContent>
                    <w:p>
                      <w:pPr>
                        <w:spacing w:line="1135" w:lineRule="exact" w:before="0"/>
                        <w:ind w:left="0" w:right="0" w:firstLine="0"/>
                        <w:jc w:val="left"/>
                        <w:rPr>
                          <w:sz w:val="106"/>
                        </w:rPr>
                      </w:pPr>
                      <w:r>
                        <w:rPr>
                          <w:color w:val="9CBF3B"/>
                          <w:spacing w:val="-37"/>
                          <w:sz w:val="106"/>
                        </w:rPr>
                        <w:t>E</w:t>
                      </w:r>
                    </w:p>
                  </w:txbxContent>
                </v:textbox>
                <w10:wrap type="none"/>
              </v:shape>
            </w:pict>
          </mc:Fallback>
        </mc:AlternateContent>
      </w:r>
      <w:r>
        <w:rPr/>
        <w:t>nsuring</w:t>
      </w:r>
      <w:r>
        <w:rPr>
          <w:spacing w:val="18"/>
        </w:rPr>
        <w:t> </w:t>
      </w:r>
      <w:r>
        <w:rPr/>
        <w:t>quality</w:t>
      </w:r>
      <w:r>
        <w:rPr>
          <w:spacing w:val="18"/>
        </w:rPr>
        <w:t> </w:t>
      </w:r>
      <w:r>
        <w:rPr/>
        <w:t>school</w:t>
      </w:r>
      <w:r>
        <w:rPr>
          <w:spacing w:val="18"/>
        </w:rPr>
        <w:t> </w:t>
      </w:r>
      <w:r>
        <w:rPr/>
        <w:t>education</w:t>
      </w:r>
      <w:r>
        <w:rPr>
          <w:spacing w:val="18"/>
        </w:rPr>
        <w:t> </w:t>
      </w:r>
      <w:r>
        <w:rPr/>
        <w:t>to</w:t>
      </w:r>
      <w:r>
        <w:rPr>
          <w:spacing w:val="18"/>
        </w:rPr>
        <w:t> </w:t>
      </w:r>
      <w:r>
        <w:rPr/>
        <w:t>all</w:t>
      </w:r>
      <w:r>
        <w:rPr>
          <w:spacing w:val="18"/>
        </w:rPr>
        <w:t> </w:t>
      </w:r>
      <w:r>
        <w:rPr/>
        <w:t>is</w:t>
      </w:r>
      <w:r>
        <w:rPr>
          <w:spacing w:val="18"/>
        </w:rPr>
        <w:t> </w:t>
      </w:r>
      <w:r>
        <w:rPr/>
        <w:t>the foundation</w:t>
      </w:r>
      <w:r>
        <w:rPr>
          <w:spacing w:val="40"/>
        </w:rPr>
        <w:t> </w:t>
      </w:r>
      <w:r>
        <w:rPr/>
        <w:t>upon</w:t>
      </w:r>
      <w:r>
        <w:rPr>
          <w:spacing w:val="40"/>
        </w:rPr>
        <w:t> </w:t>
      </w:r>
      <w:r>
        <w:rPr/>
        <w:t>which</w:t>
      </w:r>
      <w:r>
        <w:rPr>
          <w:spacing w:val="40"/>
        </w:rPr>
        <w:t> </w:t>
      </w:r>
      <w:r>
        <w:rPr/>
        <w:t>any</w:t>
      </w:r>
      <w:r>
        <w:rPr>
          <w:spacing w:val="40"/>
        </w:rPr>
        <w:t> </w:t>
      </w:r>
      <w:r>
        <w:rPr/>
        <w:t>further</w:t>
      </w:r>
      <w:r>
        <w:rPr>
          <w:spacing w:val="40"/>
        </w:rPr>
        <w:t> </w:t>
      </w:r>
      <w:r>
        <w:rPr/>
        <w:t>advances towards</w:t>
      </w:r>
      <w:r>
        <w:rPr>
          <w:spacing w:val="40"/>
        </w:rPr>
        <w:t> </w:t>
      </w:r>
      <w:r>
        <w:rPr/>
        <w:t>a</w:t>
      </w:r>
      <w:r>
        <w:rPr>
          <w:spacing w:val="40"/>
        </w:rPr>
        <w:t> </w:t>
      </w:r>
      <w:r>
        <w:rPr/>
        <w:t>knowledge</w:t>
      </w:r>
      <w:r>
        <w:rPr>
          <w:spacing w:val="40"/>
        </w:rPr>
        <w:t> </w:t>
      </w:r>
      <w:r>
        <w:rPr/>
        <w:t>society</w:t>
      </w:r>
      <w:r>
        <w:rPr>
          <w:spacing w:val="40"/>
        </w:rPr>
        <w:t> </w:t>
      </w:r>
      <w:r>
        <w:rPr/>
        <w:t>must</w:t>
      </w:r>
      <w:r>
        <w:rPr>
          <w:spacing w:val="40"/>
        </w:rPr>
        <w:t> </w:t>
      </w:r>
      <w:r>
        <w:rPr/>
        <w:t>be</w:t>
      </w:r>
      <w:r>
        <w:rPr>
          <w:spacing w:val="40"/>
        </w:rPr>
        <w:t> </w:t>
      </w:r>
      <w:r>
        <w:rPr/>
        <w:t>based. Noting</w:t>
      </w:r>
      <w:r>
        <w:rPr>
          <w:spacing w:val="31"/>
        </w:rPr>
        <w:t> </w:t>
      </w:r>
      <w:r>
        <w:rPr/>
        <w:t>the</w:t>
      </w:r>
      <w:r>
        <w:rPr>
          <w:spacing w:val="31"/>
        </w:rPr>
        <w:t> </w:t>
      </w:r>
      <w:r>
        <w:rPr/>
        <w:t>crucial</w:t>
      </w:r>
      <w:r>
        <w:rPr>
          <w:spacing w:val="31"/>
        </w:rPr>
        <w:t> </w:t>
      </w:r>
      <w:r>
        <w:rPr/>
        <w:t>importance</w:t>
      </w:r>
      <w:r>
        <w:rPr>
          <w:spacing w:val="31"/>
        </w:rPr>
        <w:t> </w:t>
      </w:r>
      <w:r>
        <w:rPr/>
        <w:t>of</w:t>
      </w:r>
      <w:r>
        <w:rPr>
          <w:spacing w:val="31"/>
        </w:rPr>
        <w:t> </w:t>
      </w:r>
      <w:r>
        <w:rPr/>
        <w:t>school</w:t>
      </w:r>
      <w:r>
        <w:rPr>
          <w:spacing w:val="31"/>
        </w:rPr>
        <w:t> </w:t>
      </w:r>
      <w:r>
        <w:rPr/>
        <w:t>education, the</w:t>
      </w:r>
      <w:r>
        <w:rPr>
          <w:spacing w:val="32"/>
        </w:rPr>
        <w:t> </w:t>
      </w:r>
      <w:r>
        <w:rPr/>
        <w:t>National</w:t>
      </w:r>
      <w:r>
        <w:rPr>
          <w:spacing w:val="32"/>
        </w:rPr>
        <w:t> </w:t>
      </w:r>
      <w:r>
        <w:rPr/>
        <w:t>Knowledge</w:t>
      </w:r>
      <w:r>
        <w:rPr>
          <w:spacing w:val="32"/>
        </w:rPr>
        <w:t> </w:t>
      </w:r>
      <w:r>
        <w:rPr/>
        <w:t>Commission</w:t>
      </w:r>
      <w:r>
        <w:rPr>
          <w:spacing w:val="32"/>
        </w:rPr>
        <w:t> </w:t>
      </w:r>
      <w:r>
        <w:rPr/>
        <w:t>held</w:t>
      </w:r>
      <w:r>
        <w:rPr>
          <w:spacing w:val="32"/>
        </w:rPr>
        <w:t> </w:t>
      </w:r>
      <w:r>
        <w:rPr/>
        <w:t>a</w:t>
      </w:r>
      <w:r>
        <w:rPr>
          <w:spacing w:val="32"/>
        </w:rPr>
        <w:t> </w:t>
      </w:r>
      <w:r>
        <w:rPr/>
        <w:t>series of</w:t>
      </w:r>
      <w:r>
        <w:rPr>
          <w:spacing w:val="26"/>
        </w:rPr>
        <w:t> </w:t>
      </w:r>
      <w:r>
        <w:rPr/>
        <w:t>workshops</w:t>
      </w:r>
      <w:r>
        <w:rPr>
          <w:spacing w:val="26"/>
        </w:rPr>
        <w:t> </w:t>
      </w:r>
      <w:r>
        <w:rPr/>
        <w:t>and</w:t>
      </w:r>
      <w:r>
        <w:rPr>
          <w:spacing w:val="26"/>
        </w:rPr>
        <w:t> </w:t>
      </w:r>
      <w:r>
        <w:rPr/>
        <w:t>consultations</w:t>
      </w:r>
      <w:r>
        <w:rPr>
          <w:spacing w:val="26"/>
        </w:rPr>
        <w:t> </w:t>
      </w:r>
      <w:r>
        <w:rPr/>
        <w:t>around</w:t>
      </w:r>
      <w:r>
        <w:rPr>
          <w:spacing w:val="26"/>
        </w:rPr>
        <w:t> </w:t>
      </w:r>
      <w:r>
        <w:rPr/>
        <w:t>the</w:t>
      </w:r>
      <w:r>
        <w:rPr>
          <w:spacing w:val="26"/>
        </w:rPr>
        <w:t> </w:t>
      </w:r>
      <w:r>
        <w:rPr/>
        <w:t>country involving</w:t>
      </w:r>
      <w:r>
        <w:rPr>
          <w:spacing w:val="73"/>
        </w:rPr>
        <w:t> </w:t>
      </w:r>
      <w:r>
        <w:rPr/>
        <w:t>a</w:t>
      </w:r>
      <w:r>
        <w:rPr>
          <w:spacing w:val="73"/>
        </w:rPr>
        <w:t> </w:t>
      </w:r>
      <w:r>
        <w:rPr/>
        <w:t>very</w:t>
      </w:r>
      <w:r>
        <w:rPr>
          <w:spacing w:val="73"/>
        </w:rPr>
        <w:t> </w:t>
      </w:r>
      <w:r>
        <w:rPr/>
        <w:t>wide</w:t>
      </w:r>
      <w:r>
        <w:rPr>
          <w:spacing w:val="72"/>
        </w:rPr>
        <w:t> </w:t>
      </w:r>
      <w:r>
        <w:rPr/>
        <w:t>range</w:t>
      </w:r>
      <w:r>
        <w:rPr>
          <w:spacing w:val="73"/>
        </w:rPr>
        <w:t> </w:t>
      </w:r>
      <w:r>
        <w:rPr/>
        <w:t>of</w:t>
      </w:r>
      <w:r>
        <w:rPr>
          <w:spacing w:val="73"/>
        </w:rPr>
        <w:t> </w:t>
      </w:r>
      <w:r>
        <w:rPr/>
        <w:t>stakeholders,</w:t>
      </w:r>
      <w:r>
        <w:rPr>
          <w:spacing w:val="73"/>
        </w:rPr>
        <w:t> </w:t>
      </w:r>
      <w:r>
        <w:rPr/>
        <w:t>to </w:t>
      </w:r>
      <w:r>
        <w:rPr>
          <w:spacing w:val="-2"/>
        </w:rPr>
        <w:t>discuss</w:t>
      </w:r>
      <w:r>
        <w:rPr>
          <w:spacing w:val="-4"/>
        </w:rPr>
        <w:t> </w:t>
      </w:r>
      <w:r>
        <w:rPr>
          <w:spacing w:val="-2"/>
        </w:rPr>
        <w:t>issues</w:t>
      </w:r>
      <w:r>
        <w:rPr>
          <w:spacing w:val="-3"/>
        </w:rPr>
        <w:t> </w:t>
      </w:r>
      <w:r>
        <w:rPr>
          <w:spacing w:val="-2"/>
        </w:rPr>
        <w:t>of</w:t>
      </w:r>
      <w:r>
        <w:rPr>
          <w:spacing w:val="-3"/>
        </w:rPr>
        <w:t> </w:t>
      </w:r>
      <w:r>
        <w:rPr>
          <w:spacing w:val="-2"/>
        </w:rPr>
        <w:t>quantity,</w:t>
      </w:r>
      <w:r>
        <w:rPr>
          <w:spacing w:val="-3"/>
        </w:rPr>
        <w:t> </w:t>
      </w:r>
      <w:r>
        <w:rPr>
          <w:spacing w:val="-2"/>
        </w:rPr>
        <w:t>quality</w:t>
      </w:r>
      <w:r>
        <w:rPr>
          <w:spacing w:val="-4"/>
        </w:rPr>
        <w:t> </w:t>
      </w:r>
      <w:r>
        <w:rPr>
          <w:spacing w:val="-2"/>
        </w:rPr>
        <w:t>and</w:t>
      </w:r>
      <w:r>
        <w:rPr>
          <w:spacing w:val="-3"/>
        </w:rPr>
        <w:t> </w:t>
      </w:r>
      <w:r>
        <w:rPr>
          <w:spacing w:val="-2"/>
        </w:rPr>
        <w:t>access</w:t>
      </w:r>
      <w:r>
        <w:rPr>
          <w:spacing w:val="-3"/>
        </w:rPr>
        <w:t> </w:t>
      </w:r>
      <w:r>
        <w:rPr>
          <w:spacing w:val="-2"/>
        </w:rPr>
        <w:t>in</w:t>
      </w:r>
      <w:r>
        <w:rPr>
          <w:spacing w:val="-3"/>
        </w:rPr>
        <w:t> </w:t>
      </w:r>
      <w:r>
        <w:rPr>
          <w:spacing w:val="-2"/>
        </w:rPr>
        <w:t>school</w:t>
      </w:r>
    </w:p>
    <w:p>
      <w:pPr>
        <w:pStyle w:val="BodyText"/>
        <w:spacing w:line="247" w:lineRule="exact"/>
        <w:ind w:left="1079"/>
      </w:pPr>
      <w:r>
        <w:rPr>
          <w:spacing w:val="-2"/>
        </w:rPr>
        <w:t>education.</w:t>
      </w:r>
    </w:p>
    <w:p>
      <w:pPr>
        <w:pStyle w:val="BodyText"/>
        <w:spacing w:before="54"/>
      </w:pPr>
    </w:p>
    <w:p>
      <w:pPr>
        <w:pStyle w:val="BodyText"/>
        <w:spacing w:line="266" w:lineRule="auto"/>
        <w:ind w:left="1079"/>
        <w:jc w:val="both"/>
      </w:pPr>
      <w:r>
        <w:rPr/>
        <w:t>NKC recognises that the primary responsibility </w:t>
      </w:r>
      <w:r>
        <w:rPr/>
        <w:t>for school education is borne by the State Governments, and</w:t>
      </w:r>
      <w:r>
        <w:rPr>
          <w:spacing w:val="-14"/>
        </w:rPr>
        <w:t> </w:t>
      </w:r>
      <w:r>
        <w:rPr/>
        <w:t>therefore</w:t>
      </w:r>
      <w:r>
        <w:rPr>
          <w:spacing w:val="-14"/>
        </w:rPr>
        <w:t> </w:t>
      </w:r>
      <w:r>
        <w:rPr/>
        <w:t>any</w:t>
      </w:r>
      <w:r>
        <w:rPr>
          <w:spacing w:val="-14"/>
        </w:rPr>
        <w:t> </w:t>
      </w:r>
      <w:r>
        <w:rPr/>
        <w:t>policy</w:t>
      </w:r>
      <w:r>
        <w:rPr>
          <w:spacing w:val="-13"/>
        </w:rPr>
        <w:t> </w:t>
      </w:r>
      <w:r>
        <w:rPr/>
        <w:t>changes</w:t>
      </w:r>
      <w:r>
        <w:rPr>
          <w:spacing w:val="-14"/>
        </w:rPr>
        <w:t> </w:t>
      </w:r>
      <w:r>
        <w:rPr/>
        <w:t>must</w:t>
      </w:r>
      <w:r>
        <w:rPr>
          <w:spacing w:val="-14"/>
        </w:rPr>
        <w:t> </w:t>
      </w:r>
      <w:r>
        <w:rPr/>
        <w:t>be</w:t>
      </w:r>
      <w:r>
        <w:rPr>
          <w:spacing w:val="-14"/>
        </w:rPr>
        <w:t> </w:t>
      </w:r>
      <w:r>
        <w:rPr/>
        <w:t>with</w:t>
      </w:r>
      <w:r>
        <w:rPr>
          <w:spacing w:val="-13"/>
        </w:rPr>
        <w:t> </w:t>
      </w:r>
      <w:r>
        <w:rPr/>
        <w:t>the</w:t>
      </w:r>
      <w:r>
        <w:rPr>
          <w:spacing w:val="-14"/>
        </w:rPr>
        <w:t> </w:t>
      </w:r>
      <w:r>
        <w:rPr/>
        <w:t>full </w:t>
      </w:r>
      <w:r>
        <w:rPr>
          <w:w w:val="90"/>
        </w:rPr>
        <w:t>participation and involvement of the states. Nevertheless, </w:t>
      </w:r>
      <w:r>
        <w:rPr/>
        <w:t>NKC believes that positive changes in systems of schooling will require the active involvement of the </w:t>
      </w:r>
      <w:r>
        <w:rPr>
          <w:spacing w:val="-2"/>
        </w:rPr>
        <w:t>Central</w:t>
      </w:r>
      <w:r>
        <w:rPr>
          <w:spacing w:val="-12"/>
        </w:rPr>
        <w:t> </w:t>
      </w:r>
      <w:r>
        <w:rPr>
          <w:spacing w:val="-2"/>
        </w:rPr>
        <w:t>Government</w:t>
      </w:r>
      <w:r>
        <w:rPr>
          <w:spacing w:val="-12"/>
        </w:rPr>
        <w:t> </w:t>
      </w:r>
      <w:r>
        <w:rPr>
          <w:spacing w:val="-2"/>
        </w:rPr>
        <w:t>as</w:t>
      </w:r>
      <w:r>
        <w:rPr>
          <w:spacing w:val="-12"/>
        </w:rPr>
        <w:t> </w:t>
      </w:r>
      <w:r>
        <w:rPr>
          <w:spacing w:val="-2"/>
        </w:rPr>
        <w:t>well</w:t>
      </w:r>
      <w:r>
        <w:rPr>
          <w:spacing w:val="-11"/>
        </w:rPr>
        <w:t> </w:t>
      </w:r>
      <w:r>
        <w:rPr>
          <w:spacing w:val="-2"/>
        </w:rPr>
        <w:t>as</w:t>
      </w:r>
      <w:r>
        <w:rPr>
          <w:spacing w:val="-12"/>
        </w:rPr>
        <w:t> </w:t>
      </w:r>
      <w:r>
        <w:rPr>
          <w:spacing w:val="-2"/>
        </w:rPr>
        <w:t>State</w:t>
      </w:r>
      <w:r>
        <w:rPr>
          <w:spacing w:val="-12"/>
        </w:rPr>
        <w:t> </w:t>
      </w:r>
      <w:r>
        <w:rPr>
          <w:spacing w:val="-2"/>
        </w:rPr>
        <w:t>Governments,</w:t>
      </w:r>
      <w:r>
        <w:rPr>
          <w:spacing w:val="-12"/>
        </w:rPr>
        <w:t> </w:t>
      </w:r>
      <w:r>
        <w:rPr>
          <w:spacing w:val="-2"/>
        </w:rPr>
        <w:t>not </w:t>
      </w:r>
      <w:r>
        <w:rPr/>
        <w:t>only in the matter of providing resources but also in promoting organisational and other changes.</w:t>
      </w:r>
    </w:p>
    <w:p>
      <w:pPr>
        <w:pStyle w:val="BodyText"/>
        <w:spacing w:before="20"/>
      </w:pPr>
    </w:p>
    <w:p>
      <w:pPr>
        <w:pStyle w:val="BodyText"/>
        <w:spacing w:line="266" w:lineRule="auto"/>
        <w:ind w:left="1079"/>
        <w:jc w:val="both"/>
      </w:pPr>
      <w:r>
        <w:rPr>
          <w:spacing w:val="-8"/>
        </w:rPr>
        <w:t>NKC</w:t>
      </w:r>
      <w:r>
        <w:rPr/>
        <w:t> </w:t>
      </w:r>
      <w:r>
        <w:rPr>
          <w:spacing w:val="-8"/>
        </w:rPr>
        <w:t>has</w:t>
      </w:r>
      <w:r>
        <w:rPr>
          <w:spacing w:val="-1"/>
        </w:rPr>
        <w:t> </w:t>
      </w:r>
      <w:r>
        <w:rPr>
          <w:spacing w:val="-8"/>
        </w:rPr>
        <w:t>a</w:t>
      </w:r>
      <w:r>
        <w:rPr/>
        <w:t> </w:t>
      </w:r>
      <w:r>
        <w:rPr>
          <w:spacing w:val="-8"/>
        </w:rPr>
        <w:t>number</w:t>
      </w:r>
      <w:r>
        <w:rPr>
          <w:spacing w:val="-1"/>
        </w:rPr>
        <w:t> </w:t>
      </w:r>
      <w:r>
        <w:rPr>
          <w:spacing w:val="-8"/>
        </w:rPr>
        <w:t>of</w:t>
      </w:r>
      <w:r>
        <w:rPr/>
        <w:t> </w:t>
      </w:r>
      <w:r>
        <w:rPr>
          <w:spacing w:val="-8"/>
        </w:rPr>
        <w:t>suggestions</w:t>
      </w:r>
      <w:r>
        <w:rPr>
          <w:spacing w:val="-1"/>
        </w:rPr>
        <w:t> </w:t>
      </w:r>
      <w:r>
        <w:rPr>
          <w:spacing w:val="-8"/>
        </w:rPr>
        <w:t>and</w:t>
      </w:r>
      <w:r>
        <w:rPr>
          <w:spacing w:val="-1"/>
        </w:rPr>
        <w:t> </w:t>
      </w:r>
      <w:r>
        <w:rPr>
          <w:spacing w:val="-8"/>
        </w:rPr>
        <w:t>recommendations </w:t>
      </w:r>
      <w:r>
        <w:rPr/>
        <w:t>covering</w:t>
      </w:r>
      <w:r>
        <w:rPr>
          <w:spacing w:val="-14"/>
        </w:rPr>
        <w:t> </w:t>
      </w:r>
      <w:r>
        <w:rPr/>
        <w:t>the</w:t>
      </w:r>
      <w:r>
        <w:rPr>
          <w:spacing w:val="-14"/>
        </w:rPr>
        <w:t> </w:t>
      </w:r>
      <w:r>
        <w:rPr/>
        <w:t>different</w:t>
      </w:r>
      <w:r>
        <w:rPr>
          <w:spacing w:val="-14"/>
        </w:rPr>
        <w:t> </w:t>
      </w:r>
      <w:r>
        <w:rPr/>
        <w:t>aspects</w:t>
      </w:r>
      <w:r>
        <w:rPr>
          <w:spacing w:val="-13"/>
        </w:rPr>
        <w:t> </w:t>
      </w:r>
      <w:r>
        <w:rPr/>
        <w:t>of</w:t>
      </w:r>
      <w:r>
        <w:rPr>
          <w:spacing w:val="-14"/>
        </w:rPr>
        <w:t> </w:t>
      </w:r>
      <w:r>
        <w:rPr/>
        <w:t>school</w:t>
      </w:r>
      <w:r>
        <w:rPr>
          <w:spacing w:val="-14"/>
        </w:rPr>
        <w:t> </w:t>
      </w:r>
      <w:r>
        <w:rPr/>
        <w:t>education,</w:t>
      </w:r>
      <w:r>
        <w:rPr>
          <w:spacing w:val="-14"/>
        </w:rPr>
        <w:t> </w:t>
      </w:r>
      <w:r>
        <w:rPr/>
        <w:t>but </w:t>
      </w:r>
      <w:r>
        <w:rPr>
          <w:spacing w:val="-4"/>
        </w:rPr>
        <w:t>the</w:t>
      </w:r>
      <w:r>
        <w:rPr>
          <w:spacing w:val="-7"/>
        </w:rPr>
        <w:t> </w:t>
      </w:r>
      <w:r>
        <w:rPr>
          <w:spacing w:val="-4"/>
        </w:rPr>
        <w:t>essential</w:t>
      </w:r>
      <w:r>
        <w:rPr>
          <w:spacing w:val="-7"/>
        </w:rPr>
        <w:t> </w:t>
      </w:r>
      <w:r>
        <w:rPr>
          <w:spacing w:val="-4"/>
        </w:rPr>
        <w:t>thrust</w:t>
      </w:r>
      <w:r>
        <w:rPr>
          <w:spacing w:val="-7"/>
        </w:rPr>
        <w:t> </w:t>
      </w:r>
      <w:r>
        <w:rPr>
          <w:spacing w:val="-4"/>
        </w:rPr>
        <w:t>can</w:t>
      </w:r>
      <w:r>
        <w:rPr>
          <w:spacing w:val="-7"/>
        </w:rPr>
        <w:t> </w:t>
      </w:r>
      <w:r>
        <w:rPr>
          <w:spacing w:val="-4"/>
        </w:rPr>
        <w:t>be</w:t>
      </w:r>
      <w:r>
        <w:rPr>
          <w:spacing w:val="-7"/>
        </w:rPr>
        <w:t> </w:t>
      </w:r>
      <w:r>
        <w:rPr>
          <w:spacing w:val="-4"/>
        </w:rPr>
        <w:t>summarised</w:t>
      </w:r>
      <w:r>
        <w:rPr>
          <w:spacing w:val="-7"/>
        </w:rPr>
        <w:t> </w:t>
      </w:r>
      <w:r>
        <w:rPr>
          <w:spacing w:val="-4"/>
        </w:rPr>
        <w:t>in</w:t>
      </w:r>
      <w:r>
        <w:rPr>
          <w:spacing w:val="-7"/>
        </w:rPr>
        <w:t> </w:t>
      </w:r>
      <w:r>
        <w:rPr>
          <w:spacing w:val="-4"/>
        </w:rPr>
        <w:t>terms</w:t>
      </w:r>
      <w:r>
        <w:rPr>
          <w:spacing w:val="-7"/>
        </w:rPr>
        <w:t> </w:t>
      </w:r>
      <w:r>
        <w:rPr>
          <w:spacing w:val="-4"/>
        </w:rPr>
        <w:t>of</w:t>
      </w:r>
      <w:r>
        <w:rPr>
          <w:spacing w:val="-7"/>
        </w:rPr>
        <w:t> </w:t>
      </w:r>
      <w:r>
        <w:rPr>
          <w:spacing w:val="-4"/>
        </w:rPr>
        <w:t>more </w:t>
      </w:r>
      <w:r>
        <w:rPr/>
        <w:t>resources,</w:t>
      </w:r>
      <w:r>
        <w:rPr>
          <w:spacing w:val="-14"/>
        </w:rPr>
        <w:t> </w:t>
      </w:r>
      <w:r>
        <w:rPr/>
        <w:t>more</w:t>
      </w:r>
      <w:r>
        <w:rPr>
          <w:spacing w:val="-14"/>
        </w:rPr>
        <w:t> </w:t>
      </w:r>
      <w:r>
        <w:rPr/>
        <w:t>decentralisation</w:t>
      </w:r>
      <w:r>
        <w:rPr>
          <w:spacing w:val="-14"/>
        </w:rPr>
        <w:t> </w:t>
      </w:r>
      <w:r>
        <w:rPr/>
        <w:t>and</w:t>
      </w:r>
      <w:r>
        <w:rPr>
          <w:spacing w:val="-13"/>
        </w:rPr>
        <w:t> </w:t>
      </w:r>
      <w:r>
        <w:rPr/>
        <w:t>more</w:t>
      </w:r>
      <w:r>
        <w:rPr>
          <w:spacing w:val="-14"/>
        </w:rPr>
        <w:t> </w:t>
      </w:r>
      <w:r>
        <w:rPr/>
        <w:t>flexibility.</w:t>
      </w:r>
    </w:p>
    <w:p>
      <w:pPr>
        <w:pStyle w:val="BodyText"/>
        <w:spacing w:before="2"/>
      </w:pPr>
    </w:p>
    <w:p>
      <w:pPr>
        <w:pStyle w:val="Heading6"/>
        <w:numPr>
          <w:ilvl w:val="0"/>
          <w:numId w:val="13"/>
        </w:numPr>
        <w:tabs>
          <w:tab w:pos="1404" w:val="left" w:leader="none"/>
          <w:tab w:pos="1406" w:val="left" w:leader="none"/>
        </w:tabs>
        <w:spacing w:line="182" w:lineRule="auto" w:before="0" w:after="0"/>
        <w:ind w:left="1406" w:right="146" w:hanging="327"/>
        <w:jc w:val="both"/>
      </w:pPr>
      <w:r>
        <w:rPr>
          <w:color w:val="2E614A"/>
          <w:spacing w:val="-8"/>
        </w:rPr>
        <w:t>Central</w:t>
      </w:r>
      <w:r>
        <w:rPr>
          <w:color w:val="2E614A"/>
          <w:spacing w:val="-12"/>
        </w:rPr>
        <w:t> </w:t>
      </w:r>
      <w:r>
        <w:rPr>
          <w:color w:val="2E614A"/>
          <w:spacing w:val="-8"/>
        </w:rPr>
        <w:t>Legislation</w:t>
      </w:r>
      <w:r>
        <w:rPr>
          <w:color w:val="2E614A"/>
          <w:spacing w:val="-12"/>
        </w:rPr>
        <w:t> </w:t>
      </w:r>
      <w:r>
        <w:rPr>
          <w:color w:val="2E614A"/>
          <w:spacing w:val="-8"/>
        </w:rPr>
        <w:t>for</w:t>
      </w:r>
      <w:r>
        <w:rPr>
          <w:color w:val="2E614A"/>
          <w:spacing w:val="-12"/>
        </w:rPr>
        <w:t> </w:t>
      </w:r>
      <w:r>
        <w:rPr>
          <w:color w:val="2E614A"/>
          <w:spacing w:val="-8"/>
        </w:rPr>
        <w:t>the</w:t>
      </w:r>
      <w:r>
        <w:rPr>
          <w:color w:val="2E614A"/>
          <w:spacing w:val="-12"/>
        </w:rPr>
        <w:t> </w:t>
      </w:r>
      <w:r>
        <w:rPr>
          <w:color w:val="2E614A"/>
          <w:spacing w:val="-8"/>
        </w:rPr>
        <w:t>Right </w:t>
      </w:r>
      <w:r>
        <w:rPr>
          <w:color w:val="2E614A"/>
          <w:w w:val="90"/>
        </w:rPr>
        <w:t>to Education, backed by </w:t>
      </w:r>
      <w:r>
        <w:rPr>
          <w:color w:val="2E614A"/>
          <w:w w:val="90"/>
        </w:rPr>
        <w:t>Fnancial </w:t>
      </w:r>
      <w:r>
        <w:rPr>
          <w:color w:val="2E614A"/>
          <w:spacing w:val="-2"/>
        </w:rPr>
        <w:t>Commitment</w:t>
      </w:r>
    </w:p>
    <w:p>
      <w:pPr>
        <w:pStyle w:val="BodyText"/>
        <w:spacing w:line="266" w:lineRule="auto" w:before="303"/>
        <w:ind w:left="1079"/>
        <w:jc w:val="both"/>
      </w:pPr>
      <w:r>
        <w:rPr/>
        <w:t>NKC endorses the speedy enactment of a </w:t>
      </w:r>
      <w:r>
        <w:rPr/>
        <w:t>central legislation that will ensure the right of all children in the country to good quality school education up to Class</w:t>
      </w:r>
      <w:r>
        <w:rPr>
          <w:spacing w:val="-1"/>
        </w:rPr>
        <w:t> </w:t>
      </w:r>
      <w:r>
        <w:rPr/>
        <w:t>VIII, supported with financial commitments of the Central and State Governments. This obviously </w:t>
      </w:r>
      <w:r>
        <w:rPr>
          <w:spacing w:val="-6"/>
        </w:rPr>
        <w:t>requires substantially increased public spending for both elementary and secondary school education, which must </w:t>
      </w:r>
      <w:r>
        <w:rPr>
          <w:spacing w:val="-4"/>
        </w:rPr>
        <w:t>be</w:t>
      </w:r>
      <w:r>
        <w:rPr>
          <w:spacing w:val="-9"/>
        </w:rPr>
        <w:t> </w:t>
      </w:r>
      <w:r>
        <w:rPr>
          <w:spacing w:val="-4"/>
        </w:rPr>
        <w:t>seen</w:t>
      </w:r>
      <w:r>
        <w:rPr>
          <w:spacing w:val="-9"/>
        </w:rPr>
        <w:t> </w:t>
      </w:r>
      <w:r>
        <w:rPr>
          <w:spacing w:val="-4"/>
        </w:rPr>
        <w:t>as</w:t>
      </w:r>
      <w:r>
        <w:rPr>
          <w:spacing w:val="-9"/>
        </w:rPr>
        <w:t> </w:t>
      </w:r>
      <w:r>
        <w:rPr>
          <w:spacing w:val="-4"/>
        </w:rPr>
        <w:t>a</w:t>
      </w:r>
      <w:r>
        <w:rPr>
          <w:spacing w:val="-9"/>
        </w:rPr>
        <w:t> </w:t>
      </w:r>
      <w:r>
        <w:rPr>
          <w:spacing w:val="-4"/>
        </w:rPr>
        <w:t>priority</w:t>
      </w:r>
      <w:r>
        <w:rPr>
          <w:spacing w:val="-9"/>
        </w:rPr>
        <w:t> </w:t>
      </w:r>
      <w:r>
        <w:rPr>
          <w:spacing w:val="-4"/>
        </w:rPr>
        <w:t>area</w:t>
      </w:r>
      <w:r>
        <w:rPr>
          <w:spacing w:val="-9"/>
        </w:rPr>
        <w:t> </w:t>
      </w:r>
      <w:r>
        <w:rPr>
          <w:spacing w:val="-4"/>
        </w:rPr>
        <w:t>for</w:t>
      </w:r>
      <w:r>
        <w:rPr>
          <w:spacing w:val="-9"/>
        </w:rPr>
        <w:t> </w:t>
      </w:r>
      <w:r>
        <w:rPr>
          <w:spacing w:val="-4"/>
        </w:rPr>
        <w:t>spending.</w:t>
      </w:r>
      <w:r>
        <w:rPr>
          <w:spacing w:val="-9"/>
        </w:rPr>
        <w:t> </w:t>
      </w:r>
      <w:r>
        <w:rPr>
          <w:spacing w:val="-4"/>
        </w:rPr>
        <w:t>Currently</w:t>
      </w:r>
      <w:r>
        <w:rPr>
          <w:spacing w:val="-9"/>
        </w:rPr>
        <w:t> </w:t>
      </w:r>
      <w:r>
        <w:rPr>
          <w:spacing w:val="-4"/>
        </w:rPr>
        <w:t>school education</w:t>
      </w:r>
      <w:r>
        <w:rPr>
          <w:spacing w:val="-9"/>
        </w:rPr>
        <w:t> </w:t>
      </w:r>
      <w:r>
        <w:rPr>
          <w:spacing w:val="-4"/>
        </w:rPr>
        <w:t>is</w:t>
      </w:r>
      <w:r>
        <w:rPr>
          <w:spacing w:val="-9"/>
        </w:rPr>
        <w:t> </w:t>
      </w:r>
      <w:r>
        <w:rPr>
          <w:spacing w:val="-4"/>
        </w:rPr>
        <w:t>highly</w:t>
      </w:r>
      <w:r>
        <w:rPr>
          <w:spacing w:val="-9"/>
        </w:rPr>
        <w:t> </w:t>
      </w:r>
      <w:r>
        <w:rPr>
          <w:spacing w:val="-4"/>
        </w:rPr>
        <w:t>segmented,</w:t>
      </w:r>
      <w:r>
        <w:rPr>
          <w:spacing w:val="-9"/>
        </w:rPr>
        <w:t> </w:t>
      </w:r>
      <w:r>
        <w:rPr>
          <w:spacing w:val="-4"/>
        </w:rPr>
        <w:t>even</w:t>
      </w:r>
      <w:r>
        <w:rPr>
          <w:spacing w:val="-9"/>
        </w:rPr>
        <w:t> </w:t>
      </w:r>
      <w:r>
        <w:rPr>
          <w:spacing w:val="-4"/>
        </w:rPr>
        <w:t>in</w:t>
      </w:r>
      <w:r>
        <w:rPr>
          <w:spacing w:val="-9"/>
        </w:rPr>
        <w:t> </w:t>
      </w:r>
      <w:r>
        <w:rPr>
          <w:spacing w:val="-4"/>
        </w:rPr>
        <w:t>government-run </w:t>
      </w:r>
      <w:r>
        <w:rPr>
          <w:spacing w:val="-6"/>
        </w:rPr>
        <w:t>institutions, as a result of the parallel track of “education </w:t>
      </w:r>
      <w:r>
        <w:rPr/>
        <w:t>centres” in some states.</w:t>
      </w:r>
      <w:r>
        <w:rPr>
          <w:spacing w:val="-6"/>
        </w:rPr>
        <w:t> </w:t>
      </w:r>
      <w:r>
        <w:rPr/>
        <w:t>These separate systems must be integrated to give all children access to schools</w:t>
      </w:r>
      <w:r>
        <w:rPr>
          <w:spacing w:val="80"/>
          <w:w w:val="150"/>
        </w:rPr>
        <w:t> </w:t>
      </w:r>
      <w:r>
        <w:rPr/>
        <w:t>of acceptable quality, which will obviously require additional spending.</w:t>
      </w:r>
    </w:p>
    <w:p>
      <w:pPr>
        <w:pStyle w:val="Heading6"/>
        <w:numPr>
          <w:ilvl w:val="0"/>
          <w:numId w:val="13"/>
        </w:numPr>
        <w:tabs>
          <w:tab w:pos="643" w:val="left" w:leader="none"/>
          <w:tab w:pos="645" w:val="left" w:leader="none"/>
        </w:tabs>
        <w:spacing w:line="182" w:lineRule="auto" w:before="150" w:after="0"/>
        <w:ind w:left="645" w:right="1535" w:hanging="327"/>
        <w:jc w:val="left"/>
      </w:pPr>
      <w:r>
        <w:rPr>
          <w:b w:val="0"/>
        </w:rPr>
        <w:br w:type="column"/>
      </w:r>
      <w:r>
        <w:rPr>
          <w:color w:val="2E614A"/>
          <w:spacing w:val="-10"/>
        </w:rPr>
        <w:t>More Fexibility in Disbursal </w:t>
      </w:r>
      <w:r>
        <w:rPr>
          <w:color w:val="2E614A"/>
          <w:spacing w:val="-10"/>
        </w:rPr>
        <w:t>of </w:t>
      </w:r>
      <w:r>
        <w:rPr>
          <w:color w:val="2E614A"/>
          <w:spacing w:val="-2"/>
        </w:rPr>
        <w:t>Funds</w:t>
      </w:r>
    </w:p>
    <w:p>
      <w:pPr>
        <w:pStyle w:val="BodyText"/>
        <w:spacing w:line="266" w:lineRule="auto" w:before="302"/>
        <w:ind w:left="319" w:right="1077"/>
        <w:jc w:val="both"/>
      </w:pPr>
      <w:r>
        <w:rPr>
          <w:spacing w:val="-8"/>
        </w:rPr>
        <w:t>However,</w:t>
      </w:r>
      <w:r>
        <w:rPr>
          <w:spacing w:val="-6"/>
        </w:rPr>
        <w:t> </w:t>
      </w:r>
      <w:r>
        <w:rPr>
          <w:spacing w:val="-8"/>
        </w:rPr>
        <w:t>there</w:t>
      </w:r>
      <w:r>
        <w:rPr>
          <w:spacing w:val="-6"/>
        </w:rPr>
        <w:t> </w:t>
      </w:r>
      <w:r>
        <w:rPr>
          <w:spacing w:val="-8"/>
        </w:rPr>
        <w:t>is</w:t>
      </w:r>
      <w:r>
        <w:rPr>
          <w:spacing w:val="-5"/>
        </w:rPr>
        <w:t> </w:t>
      </w:r>
      <w:r>
        <w:rPr>
          <w:spacing w:val="-8"/>
        </w:rPr>
        <w:t>a</w:t>
      </w:r>
      <w:r>
        <w:rPr>
          <w:spacing w:val="-6"/>
        </w:rPr>
        <w:t> </w:t>
      </w:r>
      <w:r>
        <w:rPr>
          <w:spacing w:val="-8"/>
        </w:rPr>
        <w:t>strong</w:t>
      </w:r>
      <w:r>
        <w:rPr>
          <w:spacing w:val="-6"/>
        </w:rPr>
        <w:t> </w:t>
      </w:r>
      <w:r>
        <w:rPr>
          <w:spacing w:val="-8"/>
        </w:rPr>
        <w:t>case</w:t>
      </w:r>
      <w:r>
        <w:rPr>
          <w:spacing w:val="-5"/>
        </w:rPr>
        <w:t> </w:t>
      </w:r>
      <w:r>
        <w:rPr>
          <w:spacing w:val="-8"/>
        </w:rPr>
        <w:t>for</w:t>
      </w:r>
      <w:r>
        <w:rPr>
          <w:spacing w:val="-6"/>
        </w:rPr>
        <w:t> </w:t>
      </w:r>
      <w:r>
        <w:rPr>
          <w:spacing w:val="-8"/>
        </w:rPr>
        <w:t>changes</w:t>
      </w:r>
      <w:r>
        <w:rPr>
          <w:spacing w:val="-6"/>
        </w:rPr>
        <w:t> </w:t>
      </w:r>
      <w:r>
        <w:rPr>
          <w:spacing w:val="-8"/>
        </w:rPr>
        <w:t>in</w:t>
      </w:r>
      <w:r>
        <w:rPr>
          <w:spacing w:val="-5"/>
        </w:rPr>
        <w:t> </w:t>
      </w:r>
      <w:r>
        <w:rPr>
          <w:spacing w:val="-8"/>
        </w:rPr>
        <w:t>the</w:t>
      </w:r>
      <w:r>
        <w:rPr>
          <w:spacing w:val="-6"/>
        </w:rPr>
        <w:t> </w:t>
      </w:r>
      <w:r>
        <w:rPr>
          <w:spacing w:val="-8"/>
        </w:rPr>
        <w:t>manner in</w:t>
      </w:r>
      <w:r>
        <w:rPr>
          <w:spacing w:val="-6"/>
        </w:rPr>
        <w:t> </w:t>
      </w:r>
      <w:r>
        <w:rPr>
          <w:spacing w:val="-8"/>
        </w:rPr>
        <w:t>which</w:t>
      </w:r>
      <w:r>
        <w:rPr/>
        <w:t> </w:t>
      </w:r>
      <w:r>
        <w:rPr>
          <w:spacing w:val="-8"/>
        </w:rPr>
        <w:t>such</w:t>
      </w:r>
      <w:r>
        <w:rPr/>
        <w:t> </w:t>
      </w:r>
      <w:r>
        <w:rPr>
          <w:spacing w:val="-8"/>
        </w:rPr>
        <w:t>expenditure</w:t>
      </w:r>
      <w:r>
        <w:rPr/>
        <w:t> </w:t>
      </w:r>
      <w:r>
        <w:rPr>
          <w:spacing w:val="-8"/>
        </w:rPr>
        <w:t>is</w:t>
      </w:r>
      <w:r>
        <w:rPr/>
        <w:t> </w:t>
      </w:r>
      <w:r>
        <w:rPr>
          <w:spacing w:val="-8"/>
        </w:rPr>
        <w:t>incurred.</w:t>
      </w:r>
      <w:r>
        <w:rPr>
          <w:spacing w:val="-6"/>
        </w:rPr>
        <w:t> </w:t>
      </w:r>
      <w:r>
        <w:rPr>
          <w:spacing w:val="-8"/>
        </w:rPr>
        <w:t>The</w:t>
      </w:r>
      <w:r>
        <w:rPr/>
        <w:t> </w:t>
      </w:r>
      <w:r>
        <w:rPr>
          <w:spacing w:val="-8"/>
        </w:rPr>
        <w:t>current</w:t>
      </w:r>
      <w:r>
        <w:rPr/>
        <w:t> </w:t>
      </w:r>
      <w:r>
        <w:rPr>
          <w:spacing w:val="-8"/>
        </w:rPr>
        <w:t>norms </w:t>
      </w:r>
      <w:r>
        <w:rPr/>
        <w:t>for</w:t>
      </w:r>
      <w:r>
        <w:rPr>
          <w:spacing w:val="-9"/>
        </w:rPr>
        <w:t> </w:t>
      </w:r>
      <w:r>
        <w:rPr/>
        <w:t>central</w:t>
      </w:r>
      <w:r>
        <w:rPr>
          <w:spacing w:val="-9"/>
        </w:rPr>
        <w:t> </w:t>
      </w:r>
      <w:r>
        <w:rPr/>
        <w:t>government</w:t>
      </w:r>
      <w:r>
        <w:rPr>
          <w:spacing w:val="-9"/>
        </w:rPr>
        <w:t> </w:t>
      </w:r>
      <w:r>
        <w:rPr/>
        <w:t>disbursal</w:t>
      </w:r>
      <w:r>
        <w:rPr>
          <w:spacing w:val="-9"/>
        </w:rPr>
        <w:t> </w:t>
      </w:r>
      <w:r>
        <w:rPr/>
        <w:t>to</w:t>
      </w:r>
      <w:r>
        <w:rPr>
          <w:spacing w:val="-9"/>
        </w:rPr>
        <w:t> </w:t>
      </w:r>
      <w:r>
        <w:rPr/>
        <w:t>states</w:t>
      </w:r>
      <w:r>
        <w:rPr>
          <w:spacing w:val="-9"/>
        </w:rPr>
        <w:t> </w:t>
      </w:r>
      <w:r>
        <w:rPr/>
        <w:t>of</w:t>
      </w:r>
      <w:r>
        <w:rPr>
          <w:spacing w:val="-9"/>
        </w:rPr>
        <w:t> </w:t>
      </w:r>
      <w:r>
        <w:rPr/>
        <w:t>funds</w:t>
      </w:r>
      <w:r>
        <w:rPr>
          <w:spacing w:val="-9"/>
        </w:rPr>
        <w:t> </w:t>
      </w:r>
      <w:r>
        <w:rPr/>
        <w:t>for </w:t>
      </w:r>
      <w:r>
        <w:rPr>
          <w:w w:val="90"/>
        </w:rPr>
        <w:t>[including for Sarva Shiksha Abhiyan (SSA)] the planned </w:t>
      </w:r>
      <w:r>
        <w:rPr>
          <w:spacing w:val="-2"/>
        </w:rPr>
        <w:t>SUCCESS</w:t>
      </w:r>
      <w:r>
        <w:rPr>
          <w:spacing w:val="-10"/>
        </w:rPr>
        <w:t> </w:t>
      </w:r>
      <w:r>
        <w:rPr>
          <w:spacing w:val="-2"/>
        </w:rPr>
        <w:t>program</w:t>
      </w:r>
      <w:r>
        <w:rPr>
          <w:spacing w:val="-10"/>
        </w:rPr>
        <w:t> </w:t>
      </w:r>
      <w:r>
        <w:rPr>
          <w:spacing w:val="-2"/>
        </w:rPr>
        <w:t>for</w:t>
      </w:r>
      <w:r>
        <w:rPr>
          <w:spacing w:val="-10"/>
        </w:rPr>
        <w:t> </w:t>
      </w:r>
      <w:r>
        <w:rPr>
          <w:spacing w:val="-2"/>
        </w:rPr>
        <w:t>secondary</w:t>
      </w:r>
      <w:r>
        <w:rPr>
          <w:spacing w:val="-10"/>
        </w:rPr>
        <w:t> </w:t>
      </w:r>
      <w:r>
        <w:rPr>
          <w:spacing w:val="-2"/>
        </w:rPr>
        <w:t>education</w:t>
      </w:r>
      <w:r>
        <w:rPr>
          <w:spacing w:val="-10"/>
        </w:rPr>
        <w:t> </w:t>
      </w:r>
      <w:r>
        <w:rPr>
          <w:spacing w:val="-2"/>
        </w:rPr>
        <w:t>and</w:t>
      </w:r>
      <w:r>
        <w:rPr>
          <w:spacing w:val="-10"/>
        </w:rPr>
        <w:t> </w:t>
      </w:r>
      <w:r>
        <w:rPr>
          <w:spacing w:val="-2"/>
        </w:rPr>
        <w:t>other </w:t>
      </w:r>
      <w:r>
        <w:rPr/>
        <w:t>central</w:t>
      </w:r>
      <w:r>
        <w:rPr>
          <w:spacing w:val="-9"/>
        </w:rPr>
        <w:t> </w:t>
      </w:r>
      <w:r>
        <w:rPr/>
        <w:t>schemes,</w:t>
      </w:r>
      <w:r>
        <w:rPr>
          <w:spacing w:val="-9"/>
        </w:rPr>
        <w:t> </w:t>
      </w:r>
      <w:r>
        <w:rPr/>
        <w:t>are</w:t>
      </w:r>
      <w:r>
        <w:rPr>
          <w:spacing w:val="-9"/>
        </w:rPr>
        <w:t> </w:t>
      </w:r>
      <w:r>
        <w:rPr/>
        <w:t>too</w:t>
      </w:r>
      <w:r>
        <w:rPr>
          <w:spacing w:val="-9"/>
        </w:rPr>
        <w:t> </w:t>
      </w:r>
      <w:r>
        <w:rPr/>
        <w:t>rigid</w:t>
      </w:r>
      <w:r>
        <w:rPr>
          <w:spacing w:val="-9"/>
        </w:rPr>
        <w:t> </w:t>
      </w:r>
      <w:r>
        <w:rPr/>
        <w:t>and</w:t>
      </w:r>
      <w:r>
        <w:rPr>
          <w:spacing w:val="-9"/>
        </w:rPr>
        <w:t> </w:t>
      </w:r>
      <w:r>
        <w:rPr/>
        <w:t>must</w:t>
      </w:r>
      <w:r>
        <w:rPr>
          <w:spacing w:val="-9"/>
        </w:rPr>
        <w:t> </w:t>
      </w:r>
      <w:r>
        <w:rPr/>
        <w:t>be</w:t>
      </w:r>
      <w:r>
        <w:rPr>
          <w:spacing w:val="-9"/>
        </w:rPr>
        <w:t> </w:t>
      </w:r>
      <w:r>
        <w:rPr/>
        <w:t>made</w:t>
      </w:r>
      <w:r>
        <w:rPr>
          <w:spacing w:val="-9"/>
        </w:rPr>
        <w:t> </w:t>
      </w:r>
      <w:r>
        <w:rPr/>
        <w:t>more </w:t>
      </w:r>
      <w:r>
        <w:rPr>
          <w:spacing w:val="-2"/>
        </w:rPr>
        <w:t>flexible.</w:t>
      </w:r>
      <w:r>
        <w:rPr>
          <w:spacing w:val="-8"/>
        </w:rPr>
        <w:t> </w:t>
      </w:r>
      <w:r>
        <w:rPr>
          <w:spacing w:val="-2"/>
        </w:rPr>
        <w:t>NKC</w:t>
      </w:r>
      <w:r>
        <w:rPr>
          <w:spacing w:val="-8"/>
        </w:rPr>
        <w:t> </w:t>
      </w:r>
      <w:r>
        <w:rPr>
          <w:spacing w:val="-2"/>
        </w:rPr>
        <w:t>strongly</w:t>
      </w:r>
      <w:r>
        <w:rPr>
          <w:spacing w:val="-8"/>
        </w:rPr>
        <w:t> </w:t>
      </w:r>
      <w:r>
        <w:rPr>
          <w:spacing w:val="-2"/>
        </w:rPr>
        <w:t>recommends</w:t>
      </w:r>
      <w:r>
        <w:rPr>
          <w:spacing w:val="-8"/>
        </w:rPr>
        <w:t> </w:t>
      </w:r>
      <w:r>
        <w:rPr>
          <w:spacing w:val="-2"/>
        </w:rPr>
        <w:t>a</w:t>
      </w:r>
      <w:r>
        <w:rPr>
          <w:spacing w:val="-8"/>
        </w:rPr>
        <w:t> </w:t>
      </w:r>
      <w:r>
        <w:rPr>
          <w:spacing w:val="-2"/>
        </w:rPr>
        <w:t>system</w:t>
      </w:r>
      <w:r>
        <w:rPr>
          <w:spacing w:val="-8"/>
        </w:rPr>
        <w:t> </w:t>
      </w:r>
      <w:r>
        <w:rPr>
          <w:spacing w:val="-2"/>
        </w:rPr>
        <w:t>of</w:t>
      </w:r>
      <w:r>
        <w:rPr>
          <w:spacing w:val="-8"/>
        </w:rPr>
        <w:t> </w:t>
      </w:r>
      <w:r>
        <w:rPr>
          <w:spacing w:val="-2"/>
        </w:rPr>
        <w:t>funds transfer</w:t>
      </w:r>
      <w:r>
        <w:rPr>
          <w:spacing w:val="-14"/>
        </w:rPr>
        <w:t> </w:t>
      </w:r>
      <w:r>
        <w:rPr>
          <w:spacing w:val="-2"/>
        </w:rPr>
        <w:t>and</w:t>
      </w:r>
      <w:r>
        <w:rPr>
          <w:spacing w:val="-12"/>
        </w:rPr>
        <w:t> </w:t>
      </w:r>
      <w:r>
        <w:rPr>
          <w:spacing w:val="-2"/>
        </w:rPr>
        <w:t>accounting</w:t>
      </w:r>
      <w:r>
        <w:rPr>
          <w:spacing w:val="-12"/>
        </w:rPr>
        <w:t> </w:t>
      </w:r>
      <w:r>
        <w:rPr>
          <w:spacing w:val="-2"/>
        </w:rPr>
        <w:t>that</w:t>
      </w:r>
      <w:r>
        <w:rPr>
          <w:spacing w:val="-11"/>
        </w:rPr>
        <w:t> </w:t>
      </w:r>
      <w:r>
        <w:rPr>
          <w:spacing w:val="-2"/>
        </w:rPr>
        <w:t>will</w:t>
      </w:r>
      <w:r>
        <w:rPr>
          <w:spacing w:val="-12"/>
        </w:rPr>
        <w:t> </w:t>
      </w:r>
      <w:r>
        <w:rPr>
          <w:spacing w:val="-2"/>
        </w:rPr>
        <w:t>allow</w:t>
      </w:r>
      <w:r>
        <w:rPr>
          <w:spacing w:val="-12"/>
        </w:rPr>
        <w:t> </w:t>
      </w:r>
      <w:r>
        <w:rPr>
          <w:spacing w:val="-2"/>
        </w:rPr>
        <w:t>for</w:t>
      </w:r>
      <w:r>
        <w:rPr>
          <w:spacing w:val="-12"/>
        </w:rPr>
        <w:t> </w:t>
      </w:r>
      <w:r>
        <w:rPr>
          <w:spacing w:val="-2"/>
        </w:rPr>
        <w:t>regional</w:t>
      </w:r>
      <w:r>
        <w:rPr>
          <w:spacing w:val="-11"/>
        </w:rPr>
        <w:t> </w:t>
      </w:r>
      <w:r>
        <w:rPr>
          <w:spacing w:val="-2"/>
        </w:rPr>
        <w:t>and </w:t>
      </w:r>
      <w:r>
        <w:rPr>
          <w:spacing w:val="-4"/>
        </w:rPr>
        <w:t>other</w:t>
      </w:r>
      <w:r>
        <w:rPr>
          <w:spacing w:val="-8"/>
        </w:rPr>
        <w:t> </w:t>
      </w:r>
      <w:r>
        <w:rPr>
          <w:spacing w:val="-4"/>
        </w:rPr>
        <w:t>differences</w:t>
      </w:r>
      <w:r>
        <w:rPr>
          <w:spacing w:val="-8"/>
        </w:rPr>
        <w:t> </w:t>
      </w:r>
      <w:r>
        <w:rPr>
          <w:spacing w:val="-4"/>
        </w:rPr>
        <w:t>as</w:t>
      </w:r>
      <w:r>
        <w:rPr>
          <w:spacing w:val="-8"/>
        </w:rPr>
        <w:t> </w:t>
      </w:r>
      <w:r>
        <w:rPr>
          <w:spacing w:val="-4"/>
        </w:rPr>
        <w:t>well</w:t>
      </w:r>
      <w:r>
        <w:rPr>
          <w:spacing w:val="-8"/>
        </w:rPr>
        <w:t> </w:t>
      </w:r>
      <w:r>
        <w:rPr>
          <w:spacing w:val="-4"/>
        </w:rPr>
        <w:t>as</w:t>
      </w:r>
      <w:r>
        <w:rPr>
          <w:spacing w:val="-8"/>
        </w:rPr>
        <w:t> </w:t>
      </w:r>
      <w:r>
        <w:rPr>
          <w:spacing w:val="-4"/>
        </w:rPr>
        <w:t>changing</w:t>
      </w:r>
      <w:r>
        <w:rPr>
          <w:spacing w:val="-8"/>
        </w:rPr>
        <w:t> </w:t>
      </w:r>
      <w:r>
        <w:rPr>
          <w:spacing w:val="-4"/>
        </w:rPr>
        <w:t>requirements</w:t>
      </w:r>
      <w:r>
        <w:rPr>
          <w:spacing w:val="-8"/>
        </w:rPr>
        <w:t> </w:t>
      </w:r>
      <w:r>
        <w:rPr>
          <w:spacing w:val="-4"/>
        </w:rPr>
        <w:t>over </w:t>
      </w:r>
      <w:r>
        <w:rPr/>
        <w:t>time,</w:t>
      </w:r>
      <w:r>
        <w:rPr>
          <w:spacing w:val="-7"/>
        </w:rPr>
        <w:t> </w:t>
      </w:r>
      <w:r>
        <w:rPr/>
        <w:t>and</w:t>
      </w:r>
      <w:r>
        <w:rPr>
          <w:spacing w:val="-7"/>
        </w:rPr>
        <w:t> </w:t>
      </w:r>
      <w:r>
        <w:rPr/>
        <w:t>thereby</w:t>
      </w:r>
      <w:r>
        <w:rPr>
          <w:spacing w:val="-7"/>
        </w:rPr>
        <w:t> </w:t>
      </w:r>
      <w:r>
        <w:rPr/>
        <w:t>allow</w:t>
      </w:r>
      <w:r>
        <w:rPr>
          <w:spacing w:val="-7"/>
        </w:rPr>
        <w:t> </w:t>
      </w:r>
      <w:r>
        <w:rPr/>
        <w:t>State</w:t>
      </w:r>
      <w:r>
        <w:rPr>
          <w:spacing w:val="-7"/>
        </w:rPr>
        <w:t> </w:t>
      </w:r>
      <w:r>
        <w:rPr/>
        <w:t>Governments</w:t>
      </w:r>
      <w:r>
        <w:rPr>
          <w:spacing w:val="-7"/>
        </w:rPr>
        <w:t> </w:t>
      </w:r>
      <w:r>
        <w:rPr/>
        <w:t>to</w:t>
      </w:r>
      <w:r>
        <w:rPr>
          <w:spacing w:val="-7"/>
        </w:rPr>
        <w:t> </w:t>
      </w:r>
      <w:r>
        <w:rPr/>
        <w:t>use</w:t>
      </w:r>
      <w:r>
        <w:rPr>
          <w:spacing w:val="-7"/>
        </w:rPr>
        <w:t> </w:t>
      </w:r>
      <w:r>
        <w:rPr/>
        <w:t>the resources</w:t>
      </w:r>
      <w:r>
        <w:rPr>
          <w:spacing w:val="-16"/>
        </w:rPr>
        <w:t> </w:t>
      </w:r>
      <w:r>
        <w:rPr/>
        <w:t>in</w:t>
      </w:r>
      <w:r>
        <w:rPr>
          <w:spacing w:val="-14"/>
        </w:rPr>
        <w:t> </w:t>
      </w:r>
      <w:r>
        <w:rPr/>
        <w:t>the</w:t>
      </w:r>
      <w:r>
        <w:rPr>
          <w:spacing w:val="-14"/>
        </w:rPr>
        <w:t> </w:t>
      </w:r>
      <w:r>
        <w:rPr/>
        <w:t>most</w:t>
      </w:r>
      <w:r>
        <w:rPr>
          <w:spacing w:val="-13"/>
        </w:rPr>
        <w:t> </w:t>
      </w:r>
      <w:r>
        <w:rPr/>
        <w:t>effective</w:t>
      </w:r>
      <w:r>
        <w:rPr>
          <w:spacing w:val="-14"/>
        </w:rPr>
        <w:t> </w:t>
      </w:r>
      <w:r>
        <w:rPr/>
        <w:t>way.</w:t>
      </w:r>
      <w:r>
        <w:rPr>
          <w:spacing w:val="-14"/>
        </w:rPr>
        <w:t> </w:t>
      </w:r>
      <w:r>
        <w:rPr/>
        <w:t>There</w:t>
      </w:r>
      <w:r>
        <w:rPr>
          <w:spacing w:val="-14"/>
        </w:rPr>
        <w:t> </w:t>
      </w:r>
      <w:r>
        <w:rPr/>
        <w:t>should</w:t>
      </w:r>
      <w:r>
        <w:rPr>
          <w:spacing w:val="-13"/>
        </w:rPr>
        <w:t> </w:t>
      </w:r>
      <w:r>
        <w:rPr/>
        <w:t>also be greater flexibility in disbursing funds down to the school</w:t>
      </w:r>
      <w:r>
        <w:rPr>
          <w:spacing w:val="-14"/>
        </w:rPr>
        <w:t> </w:t>
      </w:r>
      <w:r>
        <w:rPr/>
        <w:t>level</w:t>
      </w:r>
      <w:r>
        <w:rPr>
          <w:spacing w:val="-14"/>
        </w:rPr>
        <w:t> </w:t>
      </w:r>
      <w:r>
        <w:rPr/>
        <w:t>and</w:t>
      </w:r>
      <w:r>
        <w:rPr>
          <w:spacing w:val="-14"/>
        </w:rPr>
        <w:t> </w:t>
      </w:r>
      <w:r>
        <w:rPr/>
        <w:t>a</w:t>
      </w:r>
      <w:r>
        <w:rPr>
          <w:spacing w:val="-13"/>
        </w:rPr>
        <w:t> </w:t>
      </w:r>
      <w:r>
        <w:rPr/>
        <w:t>greater</w:t>
      </w:r>
      <w:r>
        <w:rPr>
          <w:spacing w:val="-14"/>
        </w:rPr>
        <w:t> </w:t>
      </w:r>
      <w:r>
        <w:rPr/>
        <w:t>degree</w:t>
      </w:r>
      <w:r>
        <w:rPr>
          <w:spacing w:val="-14"/>
        </w:rPr>
        <w:t> </w:t>
      </w:r>
      <w:r>
        <w:rPr/>
        <w:t>of</w:t>
      </w:r>
      <w:r>
        <w:rPr>
          <w:spacing w:val="-14"/>
        </w:rPr>
        <w:t> </w:t>
      </w:r>
      <w:r>
        <w:rPr/>
        <w:t>autonomy</w:t>
      </w:r>
      <w:r>
        <w:rPr>
          <w:spacing w:val="-13"/>
        </w:rPr>
        <w:t> </w:t>
      </w:r>
      <w:r>
        <w:rPr/>
        <w:t>of</w:t>
      </w:r>
      <w:r>
        <w:rPr>
          <w:spacing w:val="-14"/>
        </w:rPr>
        <w:t> </w:t>
      </w:r>
      <w:r>
        <w:rPr/>
        <w:t>local level</w:t>
      </w:r>
      <w:r>
        <w:rPr>
          <w:spacing w:val="-6"/>
        </w:rPr>
        <w:t> </w:t>
      </w:r>
      <w:r>
        <w:rPr/>
        <w:t>management</w:t>
      </w:r>
      <w:r>
        <w:rPr>
          <w:spacing w:val="-6"/>
        </w:rPr>
        <w:t> </w:t>
      </w:r>
      <w:r>
        <w:rPr/>
        <w:t>in</w:t>
      </w:r>
      <w:r>
        <w:rPr>
          <w:spacing w:val="-6"/>
        </w:rPr>
        <w:t> </w:t>
      </w:r>
      <w:r>
        <w:rPr/>
        <w:t>the</w:t>
      </w:r>
      <w:r>
        <w:rPr>
          <w:spacing w:val="-6"/>
        </w:rPr>
        <w:t> </w:t>
      </w:r>
      <w:r>
        <w:rPr/>
        <w:t>use</w:t>
      </w:r>
      <w:r>
        <w:rPr>
          <w:spacing w:val="-6"/>
        </w:rPr>
        <w:t> </w:t>
      </w:r>
      <w:r>
        <w:rPr/>
        <w:t>of</w:t>
      </w:r>
      <w:r>
        <w:rPr>
          <w:spacing w:val="-6"/>
        </w:rPr>
        <w:t> </w:t>
      </w:r>
      <w:r>
        <w:rPr/>
        <w:t>funds.</w:t>
      </w:r>
      <w:r>
        <w:rPr>
          <w:spacing w:val="-13"/>
        </w:rPr>
        <w:t> </w:t>
      </w:r>
      <w:r>
        <w:rPr/>
        <w:t>The</w:t>
      </w:r>
      <w:r>
        <w:rPr>
          <w:spacing w:val="-6"/>
        </w:rPr>
        <w:t> </w:t>
      </w:r>
      <w:r>
        <w:rPr/>
        <w:t>norms</w:t>
      </w:r>
      <w:r>
        <w:rPr>
          <w:spacing w:val="-6"/>
        </w:rPr>
        <w:t> </w:t>
      </w:r>
      <w:r>
        <w:rPr/>
        <w:t>and rules</w:t>
      </w:r>
      <w:r>
        <w:rPr>
          <w:spacing w:val="-14"/>
        </w:rPr>
        <w:t> </w:t>
      </w:r>
      <w:r>
        <w:rPr/>
        <w:t>should</w:t>
      </w:r>
      <w:r>
        <w:rPr>
          <w:spacing w:val="-14"/>
        </w:rPr>
        <w:t> </w:t>
      </w:r>
      <w:r>
        <w:rPr/>
        <w:t>allow</w:t>
      </w:r>
      <w:r>
        <w:rPr>
          <w:spacing w:val="-13"/>
        </w:rPr>
        <w:t> </w:t>
      </w:r>
      <w:r>
        <w:rPr/>
        <w:t>schools</w:t>
      </w:r>
      <w:r>
        <w:rPr>
          <w:spacing w:val="-14"/>
        </w:rPr>
        <w:t> </w:t>
      </w:r>
      <w:r>
        <w:rPr/>
        <w:t>to</w:t>
      </w:r>
      <w:r>
        <w:rPr>
          <w:spacing w:val="-14"/>
        </w:rPr>
        <w:t> </w:t>
      </w:r>
      <w:r>
        <w:rPr/>
        <w:t>adapt</w:t>
      </w:r>
      <w:r>
        <w:rPr>
          <w:spacing w:val="-13"/>
        </w:rPr>
        <w:t> </w:t>
      </w:r>
      <w:r>
        <w:rPr/>
        <w:t>to</w:t>
      </w:r>
      <w:r>
        <w:rPr>
          <w:spacing w:val="-14"/>
        </w:rPr>
        <w:t> </w:t>
      </w:r>
      <w:r>
        <w:rPr/>
        <w:t>local</w:t>
      </w:r>
      <w:r>
        <w:rPr>
          <w:spacing w:val="-14"/>
        </w:rPr>
        <w:t> </w:t>
      </w:r>
      <w:r>
        <w:rPr/>
        <w:t>conditions and meet particular requirements of their students.</w:t>
      </w:r>
    </w:p>
    <w:p>
      <w:pPr>
        <w:pStyle w:val="Heading6"/>
        <w:numPr>
          <w:ilvl w:val="0"/>
          <w:numId w:val="13"/>
        </w:numPr>
        <w:tabs>
          <w:tab w:pos="643" w:val="left" w:leader="none"/>
          <w:tab w:pos="645" w:val="left" w:leader="none"/>
        </w:tabs>
        <w:spacing w:line="182" w:lineRule="auto" w:before="245" w:after="0"/>
        <w:ind w:left="645" w:right="1778" w:hanging="327"/>
        <w:jc w:val="left"/>
      </w:pPr>
      <w:r>
        <w:rPr>
          <w:color w:val="2E614A"/>
          <w:w w:val="90"/>
        </w:rPr>
        <w:t>Decentralisation and </w:t>
      </w:r>
      <w:r>
        <w:rPr>
          <w:color w:val="2E614A"/>
          <w:w w:val="90"/>
        </w:rPr>
        <w:t>Greater </w:t>
      </w:r>
      <w:r>
        <w:rPr>
          <w:color w:val="2E614A"/>
        </w:rPr>
        <w:t>Local</w:t>
      </w:r>
      <w:r>
        <w:rPr>
          <w:color w:val="2E614A"/>
          <w:spacing w:val="-15"/>
        </w:rPr>
        <w:t> </w:t>
      </w:r>
      <w:r>
        <w:rPr>
          <w:color w:val="2E614A"/>
        </w:rPr>
        <w:t>Autonomy</w:t>
      </w:r>
    </w:p>
    <w:p>
      <w:pPr>
        <w:pStyle w:val="BodyText"/>
        <w:spacing w:line="266" w:lineRule="auto" w:before="303"/>
        <w:ind w:left="319" w:right="1077"/>
        <w:jc w:val="both"/>
      </w:pPr>
      <w:r>
        <w:rPr/>
        <w:t>Community participation is an important </w:t>
      </w:r>
      <w:r>
        <w:rPr/>
        <w:t>instrument to ensure accountability and improve the day-to-</w:t>
      </w:r>
      <w:r>
        <w:rPr>
          <w:spacing w:val="80"/>
          <w:w w:val="150"/>
        </w:rPr>
        <w:t> </w:t>
      </w:r>
      <w:r>
        <w:rPr/>
        <w:t>day functioning of schools. This in turn means that the management of schools, including the use and </w:t>
      </w:r>
      <w:r>
        <w:rPr>
          <w:spacing w:val="-2"/>
        </w:rPr>
        <w:t>management</w:t>
      </w:r>
      <w:r>
        <w:rPr>
          <w:spacing w:val="-6"/>
        </w:rPr>
        <w:t> </w:t>
      </w:r>
      <w:r>
        <w:rPr>
          <w:spacing w:val="-2"/>
        </w:rPr>
        <w:t>of</w:t>
      </w:r>
      <w:r>
        <w:rPr>
          <w:spacing w:val="-6"/>
        </w:rPr>
        <w:t> </w:t>
      </w:r>
      <w:r>
        <w:rPr>
          <w:spacing w:val="-2"/>
        </w:rPr>
        <w:t>funds,</w:t>
      </w:r>
      <w:r>
        <w:rPr>
          <w:spacing w:val="-6"/>
        </w:rPr>
        <w:t> </w:t>
      </w:r>
      <w:r>
        <w:rPr>
          <w:spacing w:val="-2"/>
        </w:rPr>
        <w:t>should</w:t>
      </w:r>
      <w:r>
        <w:rPr>
          <w:spacing w:val="-6"/>
        </w:rPr>
        <w:t> </w:t>
      </w:r>
      <w:r>
        <w:rPr>
          <w:spacing w:val="-2"/>
        </w:rPr>
        <w:t>be</w:t>
      </w:r>
      <w:r>
        <w:rPr>
          <w:spacing w:val="-6"/>
        </w:rPr>
        <w:t> </w:t>
      </w:r>
      <w:r>
        <w:rPr>
          <w:spacing w:val="-2"/>
        </w:rPr>
        <w:t>decentralised</w:t>
      </w:r>
      <w:r>
        <w:rPr>
          <w:spacing w:val="-6"/>
        </w:rPr>
        <w:t> </w:t>
      </w:r>
      <w:r>
        <w:rPr>
          <w:spacing w:val="-2"/>
        </w:rPr>
        <w:t>to</w:t>
      </w:r>
      <w:r>
        <w:rPr>
          <w:spacing w:val="-6"/>
        </w:rPr>
        <w:t> </w:t>
      </w:r>
      <w:r>
        <w:rPr>
          <w:spacing w:val="-2"/>
        </w:rPr>
        <w:t>local </w:t>
      </w:r>
      <w:r>
        <w:rPr>
          <w:w w:val="90"/>
        </w:rPr>
        <w:t>authorities as far as possible, whether they be panchayats, </w:t>
      </w:r>
      <w:r>
        <w:rPr/>
        <w:t>Village Education Committees or municipalities,</w:t>
      </w:r>
      <w:r>
        <w:rPr>
          <w:spacing w:val="80"/>
        </w:rPr>
        <w:t> </w:t>
      </w:r>
      <w:r>
        <w:rPr/>
        <w:t>and to School Boards that have representation of all stakeholders including parents.</w:t>
      </w:r>
    </w:p>
    <w:p>
      <w:pPr>
        <w:pStyle w:val="Heading6"/>
        <w:numPr>
          <w:ilvl w:val="0"/>
          <w:numId w:val="13"/>
        </w:numPr>
        <w:tabs>
          <w:tab w:pos="644" w:val="left" w:leader="none"/>
        </w:tabs>
        <w:spacing w:line="240" w:lineRule="auto" w:before="179" w:after="0"/>
        <w:ind w:left="644" w:right="0" w:hanging="325"/>
        <w:jc w:val="left"/>
      </w:pPr>
      <w:r>
        <w:rPr>
          <w:color w:val="2E614A"/>
          <w:w w:val="90"/>
        </w:rPr>
        <w:t>Expansion</w:t>
      </w:r>
      <w:r>
        <w:rPr>
          <w:color w:val="2E614A"/>
          <w:spacing w:val="18"/>
        </w:rPr>
        <w:t> </w:t>
      </w:r>
      <w:r>
        <w:rPr>
          <w:color w:val="2E614A"/>
          <w:w w:val="90"/>
        </w:rPr>
        <w:t>of</w:t>
      </w:r>
      <w:r>
        <w:rPr>
          <w:color w:val="2E614A"/>
          <w:spacing w:val="19"/>
        </w:rPr>
        <w:t> </w:t>
      </w:r>
      <w:r>
        <w:rPr>
          <w:color w:val="2E614A"/>
          <w:w w:val="90"/>
        </w:rPr>
        <w:t>Functional</w:t>
      </w:r>
      <w:r>
        <w:rPr>
          <w:color w:val="2E614A"/>
          <w:spacing w:val="19"/>
        </w:rPr>
        <w:t> </w:t>
      </w:r>
      <w:r>
        <w:rPr>
          <w:color w:val="2E614A"/>
          <w:spacing w:val="-2"/>
          <w:w w:val="90"/>
        </w:rPr>
        <w:t>Literacy</w:t>
      </w:r>
    </w:p>
    <w:p>
      <w:pPr>
        <w:pStyle w:val="BodyText"/>
        <w:spacing w:line="266" w:lineRule="auto" w:before="285"/>
        <w:ind w:left="319" w:right="1077"/>
        <w:jc w:val="both"/>
      </w:pPr>
      <w:r>
        <w:rPr/>
        <w:t>NKC would like to stress the continuing importance of</w:t>
      </w:r>
      <w:r>
        <w:rPr>
          <w:spacing w:val="-12"/>
        </w:rPr>
        <w:t> </w:t>
      </w:r>
      <w:r>
        <w:rPr/>
        <w:t>a</w:t>
      </w:r>
      <w:r>
        <w:rPr>
          <w:spacing w:val="-12"/>
        </w:rPr>
        <w:t> </w:t>
      </w:r>
      <w:r>
        <w:rPr/>
        <w:t>focus</w:t>
      </w:r>
      <w:r>
        <w:rPr>
          <w:spacing w:val="-12"/>
        </w:rPr>
        <w:t> </w:t>
      </w:r>
      <w:r>
        <w:rPr/>
        <w:t>on</w:t>
      </w:r>
      <w:r>
        <w:rPr>
          <w:spacing w:val="-12"/>
        </w:rPr>
        <w:t> </w:t>
      </w:r>
      <w:r>
        <w:rPr/>
        <w:t>expanding</w:t>
      </w:r>
      <w:r>
        <w:rPr>
          <w:spacing w:val="-12"/>
        </w:rPr>
        <w:t> </w:t>
      </w:r>
      <w:r>
        <w:rPr/>
        <w:t>functional</w:t>
      </w:r>
      <w:r>
        <w:rPr>
          <w:spacing w:val="-12"/>
        </w:rPr>
        <w:t> </w:t>
      </w:r>
      <w:r>
        <w:rPr/>
        <w:t>literacy</w:t>
      </w:r>
      <w:r>
        <w:rPr>
          <w:spacing w:val="-12"/>
        </w:rPr>
        <w:t> </w:t>
      </w:r>
      <w:r>
        <w:rPr/>
        <w:t>among</w:t>
      </w:r>
      <w:r>
        <w:rPr>
          <w:spacing w:val="-12"/>
        </w:rPr>
        <w:t> </w:t>
      </w:r>
      <w:r>
        <w:rPr/>
        <w:t>the population. Illiteracy remains a major problem, even </w:t>
      </w:r>
      <w:r>
        <w:rPr>
          <w:spacing w:val="-4"/>
        </w:rPr>
        <w:t>among</w:t>
      </w:r>
      <w:r>
        <w:rPr>
          <w:spacing w:val="-10"/>
        </w:rPr>
        <w:t> </w:t>
      </w:r>
      <w:r>
        <w:rPr>
          <w:spacing w:val="-4"/>
        </w:rPr>
        <w:t>the</w:t>
      </w:r>
      <w:r>
        <w:rPr>
          <w:spacing w:val="-10"/>
        </w:rPr>
        <w:t> </w:t>
      </w:r>
      <w:r>
        <w:rPr>
          <w:spacing w:val="-4"/>
        </w:rPr>
        <w:t>age</w:t>
      </w:r>
      <w:r>
        <w:rPr>
          <w:spacing w:val="-10"/>
        </w:rPr>
        <w:t> </w:t>
      </w:r>
      <w:r>
        <w:rPr>
          <w:spacing w:val="-4"/>
        </w:rPr>
        <w:t>group</w:t>
      </w:r>
      <w:r>
        <w:rPr>
          <w:spacing w:val="-9"/>
        </w:rPr>
        <w:t> </w:t>
      </w:r>
      <w:r>
        <w:rPr>
          <w:spacing w:val="-4"/>
        </w:rPr>
        <w:t>15-35</w:t>
      </w:r>
      <w:r>
        <w:rPr>
          <w:spacing w:val="-10"/>
        </w:rPr>
        <w:t> </w:t>
      </w:r>
      <w:r>
        <w:rPr>
          <w:spacing w:val="-4"/>
        </w:rPr>
        <w:t>years,</w:t>
      </w:r>
      <w:r>
        <w:rPr>
          <w:spacing w:val="-10"/>
        </w:rPr>
        <w:t> </w:t>
      </w:r>
      <w:r>
        <w:rPr>
          <w:spacing w:val="-4"/>
        </w:rPr>
        <w:t>and</w:t>
      </w:r>
      <w:r>
        <w:rPr>
          <w:spacing w:val="-10"/>
        </w:rPr>
        <w:t> </w:t>
      </w:r>
      <w:r>
        <w:rPr>
          <w:spacing w:val="-4"/>
        </w:rPr>
        <w:t>therefore</w:t>
      </w:r>
      <w:r>
        <w:rPr>
          <w:spacing w:val="-9"/>
        </w:rPr>
        <w:t> </w:t>
      </w:r>
      <w:r>
        <w:rPr>
          <w:spacing w:val="-4"/>
        </w:rPr>
        <w:t>literacy </w:t>
      </w:r>
      <w:r>
        <w:rPr/>
        <w:t>programs must be expanded rather than reduced, and </w:t>
      </w:r>
      <w:r>
        <w:rPr>
          <w:spacing w:val="-8"/>
        </w:rPr>
        <w:t>given</w:t>
      </w:r>
      <w:r>
        <w:rPr/>
        <w:t> </w:t>
      </w:r>
      <w:r>
        <w:rPr>
          <w:spacing w:val="-8"/>
        </w:rPr>
        <w:t>a</w:t>
      </w:r>
      <w:r>
        <w:rPr/>
        <w:t> </w:t>
      </w:r>
      <w:r>
        <w:rPr>
          <w:spacing w:val="-8"/>
        </w:rPr>
        <w:t>different</w:t>
      </w:r>
      <w:r>
        <w:rPr/>
        <w:t> </w:t>
      </w:r>
      <w:r>
        <w:rPr>
          <w:spacing w:val="-8"/>
        </w:rPr>
        <w:t>focus</w:t>
      </w:r>
      <w:r>
        <w:rPr/>
        <w:t> </w:t>
      </w:r>
      <w:r>
        <w:rPr>
          <w:spacing w:val="-8"/>
        </w:rPr>
        <w:t>that</w:t>
      </w:r>
      <w:r>
        <w:rPr/>
        <w:t> </w:t>
      </w:r>
      <w:r>
        <w:rPr>
          <w:spacing w:val="-8"/>
        </w:rPr>
        <w:t>is</w:t>
      </w:r>
      <w:r>
        <w:rPr/>
        <w:t> </w:t>
      </w:r>
      <w:r>
        <w:rPr>
          <w:spacing w:val="-8"/>
        </w:rPr>
        <w:t>directed</w:t>
      </w:r>
      <w:r>
        <w:rPr/>
        <w:t> </w:t>
      </w:r>
      <w:r>
        <w:rPr>
          <w:spacing w:val="-8"/>
        </w:rPr>
        <w:t>towards</w:t>
      </w:r>
      <w:r>
        <w:rPr/>
        <w:t> </w:t>
      </w:r>
      <w:r>
        <w:rPr>
          <w:spacing w:val="-8"/>
        </w:rPr>
        <w:t>improving </w:t>
      </w:r>
      <w:r>
        <w:rPr/>
        <w:t>life skills and meeting felt needs, especially (but not only) among the youth.</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13"/>
        </w:numPr>
        <w:tabs>
          <w:tab w:pos="1404" w:val="left" w:leader="none"/>
        </w:tabs>
        <w:spacing w:line="240" w:lineRule="auto" w:before="57" w:after="0"/>
        <w:ind w:left="1404" w:right="0" w:hanging="325"/>
        <w:jc w:val="left"/>
      </w:pPr>
      <w:r>
        <w:rPr>
          <w:color w:val="2E614A"/>
          <w:w w:val="95"/>
        </w:rPr>
        <w:t>Planning</w:t>
      </w:r>
      <w:r>
        <w:rPr>
          <w:color w:val="2E614A"/>
          <w:spacing w:val="-14"/>
          <w:w w:val="95"/>
        </w:rPr>
        <w:t> </w:t>
      </w:r>
      <w:r>
        <w:rPr>
          <w:color w:val="2E614A"/>
          <w:w w:val="95"/>
        </w:rPr>
        <w:t>for</w:t>
      </w:r>
      <w:r>
        <w:rPr>
          <w:color w:val="2E614A"/>
          <w:spacing w:val="-13"/>
          <w:w w:val="95"/>
        </w:rPr>
        <w:t> </w:t>
      </w:r>
      <w:r>
        <w:rPr>
          <w:color w:val="2E614A"/>
          <w:w w:val="95"/>
        </w:rPr>
        <w:t>School</w:t>
      </w:r>
      <w:r>
        <w:rPr>
          <w:color w:val="2E614A"/>
          <w:spacing w:val="-13"/>
          <w:w w:val="95"/>
        </w:rPr>
        <w:t> </w:t>
      </w:r>
      <w:r>
        <w:rPr>
          <w:color w:val="2E614A"/>
          <w:spacing w:val="-2"/>
          <w:w w:val="90"/>
        </w:rPr>
        <w:t>Infrastructure</w:t>
      </w:r>
    </w:p>
    <w:p>
      <w:pPr>
        <w:pStyle w:val="BodyText"/>
        <w:spacing w:line="266" w:lineRule="auto" w:before="275"/>
        <w:ind w:left="1079"/>
        <w:jc w:val="both"/>
      </w:pPr>
      <w:r>
        <w:rPr/>
        <w:t>It is important to remember that land is an </w:t>
      </w:r>
      <w:r>
        <w:rPr/>
        <w:t>essential requirement</w:t>
      </w:r>
      <w:r>
        <w:rPr>
          <w:spacing w:val="-6"/>
        </w:rPr>
        <w:t> </w:t>
      </w:r>
      <w:r>
        <w:rPr/>
        <w:t>of</w:t>
      </w:r>
      <w:r>
        <w:rPr>
          <w:spacing w:val="-6"/>
        </w:rPr>
        <w:t> </w:t>
      </w:r>
      <w:r>
        <w:rPr/>
        <w:t>schools,</w:t>
      </w:r>
      <w:r>
        <w:rPr>
          <w:spacing w:val="-6"/>
        </w:rPr>
        <w:t> </w:t>
      </w:r>
      <w:r>
        <w:rPr/>
        <w:t>and</w:t>
      </w:r>
      <w:r>
        <w:rPr>
          <w:spacing w:val="-6"/>
        </w:rPr>
        <w:t> </w:t>
      </w:r>
      <w:r>
        <w:rPr/>
        <w:t>this</w:t>
      </w:r>
      <w:r>
        <w:rPr>
          <w:spacing w:val="-6"/>
        </w:rPr>
        <w:t> </w:t>
      </w:r>
      <w:r>
        <w:rPr/>
        <w:t>requirement</w:t>
      </w:r>
      <w:r>
        <w:rPr>
          <w:spacing w:val="-6"/>
        </w:rPr>
        <w:t> </w:t>
      </w:r>
      <w:r>
        <w:rPr/>
        <w:t>is</w:t>
      </w:r>
      <w:r>
        <w:rPr>
          <w:spacing w:val="-6"/>
        </w:rPr>
        <w:t> </w:t>
      </w:r>
      <w:r>
        <w:rPr/>
        <w:t>likely to increase in the near future given the expansion implied by demographic changes and need to ensure </w:t>
      </w:r>
      <w:r>
        <w:rPr>
          <w:spacing w:val="-2"/>
        </w:rPr>
        <w:t>universal</w:t>
      </w:r>
      <w:r>
        <w:rPr>
          <w:spacing w:val="-12"/>
        </w:rPr>
        <w:t> </w:t>
      </w:r>
      <w:r>
        <w:rPr>
          <w:spacing w:val="-2"/>
        </w:rPr>
        <w:t>schooling.</w:t>
      </w:r>
      <w:r>
        <w:rPr>
          <w:spacing w:val="-12"/>
        </w:rPr>
        <w:t> </w:t>
      </w:r>
      <w:r>
        <w:rPr>
          <w:spacing w:val="-2"/>
        </w:rPr>
        <w:t>Therefore,</w:t>
      </w:r>
      <w:r>
        <w:rPr>
          <w:spacing w:val="-12"/>
        </w:rPr>
        <w:t> </w:t>
      </w:r>
      <w:r>
        <w:rPr>
          <w:spacing w:val="-2"/>
        </w:rPr>
        <w:t>urban</w:t>
      </w:r>
      <w:r>
        <w:rPr>
          <w:spacing w:val="-11"/>
        </w:rPr>
        <w:t> </w:t>
      </w:r>
      <w:r>
        <w:rPr>
          <w:spacing w:val="-2"/>
        </w:rPr>
        <w:t>master</w:t>
      </w:r>
      <w:r>
        <w:rPr>
          <w:spacing w:val="-12"/>
        </w:rPr>
        <w:t> </w:t>
      </w:r>
      <w:r>
        <w:rPr>
          <w:spacing w:val="-2"/>
        </w:rPr>
        <w:t>plans</w:t>
      </w:r>
      <w:r>
        <w:rPr>
          <w:spacing w:val="-12"/>
        </w:rPr>
        <w:t> </w:t>
      </w:r>
      <w:r>
        <w:rPr>
          <w:spacing w:val="-2"/>
        </w:rPr>
        <w:t>and </w:t>
      </w:r>
      <w:r>
        <w:rPr/>
        <w:t>local development plans must explicitly incorporate the physical requirements for schooling, including provisions</w:t>
      </w:r>
      <w:r>
        <w:rPr>
          <w:spacing w:val="-14"/>
        </w:rPr>
        <w:t> </w:t>
      </w:r>
      <w:r>
        <w:rPr/>
        <w:t>for</w:t>
      </w:r>
      <w:r>
        <w:rPr>
          <w:spacing w:val="-14"/>
        </w:rPr>
        <w:t> </w:t>
      </w:r>
      <w:r>
        <w:rPr/>
        <w:t>playgrounds</w:t>
      </w:r>
      <w:r>
        <w:rPr>
          <w:spacing w:val="-14"/>
        </w:rPr>
        <w:t> </w:t>
      </w:r>
      <w:r>
        <w:rPr/>
        <w:t>and</w:t>
      </w:r>
      <w:r>
        <w:rPr>
          <w:spacing w:val="-13"/>
        </w:rPr>
        <w:t> </w:t>
      </w:r>
      <w:r>
        <w:rPr/>
        <w:t>other</w:t>
      </w:r>
      <w:r>
        <w:rPr>
          <w:spacing w:val="-14"/>
        </w:rPr>
        <w:t> </w:t>
      </w:r>
      <w:r>
        <w:rPr/>
        <w:t>school</w:t>
      </w:r>
      <w:r>
        <w:rPr>
          <w:spacing w:val="-14"/>
        </w:rPr>
        <w:t> </w:t>
      </w:r>
      <w:r>
        <w:rPr/>
        <w:t>facilities.</w:t>
      </w:r>
    </w:p>
    <w:p>
      <w:pPr>
        <w:pStyle w:val="Heading6"/>
        <w:numPr>
          <w:ilvl w:val="0"/>
          <w:numId w:val="13"/>
        </w:numPr>
        <w:tabs>
          <w:tab w:pos="1404" w:val="left" w:leader="none"/>
          <w:tab w:pos="1406" w:val="left" w:leader="none"/>
        </w:tabs>
        <w:spacing w:line="182" w:lineRule="auto" w:before="252" w:after="0"/>
        <w:ind w:left="1406" w:right="330" w:hanging="327"/>
        <w:jc w:val="left"/>
      </w:pPr>
      <w:r>
        <w:rPr>
          <w:color w:val="2E614A"/>
          <w:spacing w:val="-4"/>
        </w:rPr>
        <w:t>Enabling</w:t>
      </w:r>
      <w:r>
        <w:rPr>
          <w:color w:val="2E614A"/>
          <w:spacing w:val="-13"/>
        </w:rPr>
        <w:t> </w:t>
      </w:r>
      <w:r>
        <w:rPr>
          <w:color w:val="2E614A"/>
          <w:spacing w:val="-4"/>
        </w:rPr>
        <w:t>and</w:t>
      </w:r>
      <w:r>
        <w:rPr>
          <w:color w:val="2E614A"/>
          <w:spacing w:val="-13"/>
        </w:rPr>
        <w:t> </w:t>
      </w:r>
      <w:r>
        <w:rPr>
          <w:color w:val="2E614A"/>
          <w:spacing w:val="-4"/>
        </w:rPr>
        <w:t>Regulating </w:t>
      </w:r>
      <w:r>
        <w:rPr>
          <w:color w:val="2E614A"/>
          <w:w w:val="90"/>
        </w:rPr>
        <w:t>Mechanisms for Private </w:t>
      </w:r>
      <w:r>
        <w:rPr>
          <w:color w:val="2E614A"/>
          <w:w w:val="90"/>
        </w:rPr>
        <w:t>Schools</w:t>
      </w:r>
    </w:p>
    <w:p>
      <w:pPr>
        <w:pStyle w:val="BodyText"/>
        <w:spacing w:line="266" w:lineRule="auto" w:before="293"/>
        <w:ind w:left="1079"/>
        <w:jc w:val="both"/>
      </w:pPr>
      <w:r>
        <w:rPr/>
        <w:t>Since private schools play an important role in the </w:t>
      </w:r>
      <w:r>
        <w:rPr>
          <w:spacing w:val="-10"/>
        </w:rPr>
        <w:t>provision</w:t>
      </w:r>
      <w:r>
        <w:rPr/>
        <w:t> </w:t>
      </w:r>
      <w:r>
        <w:rPr>
          <w:spacing w:val="-10"/>
        </w:rPr>
        <w:t>of</w:t>
      </w:r>
      <w:r>
        <w:rPr/>
        <w:t> </w:t>
      </w:r>
      <w:r>
        <w:rPr>
          <w:spacing w:val="-10"/>
        </w:rPr>
        <w:t>education,</w:t>
      </w:r>
      <w:r>
        <w:rPr/>
        <w:t> </w:t>
      </w:r>
      <w:r>
        <w:rPr>
          <w:spacing w:val="-10"/>
        </w:rPr>
        <w:t>there</w:t>
      </w:r>
      <w:r>
        <w:rPr/>
        <w:t> </w:t>
      </w:r>
      <w:r>
        <w:rPr>
          <w:spacing w:val="-10"/>
        </w:rPr>
        <w:t>is</w:t>
      </w:r>
      <w:r>
        <w:rPr/>
        <w:t> </w:t>
      </w:r>
      <w:r>
        <w:rPr>
          <w:spacing w:val="-10"/>
        </w:rPr>
        <w:t>need</w:t>
      </w:r>
      <w:r>
        <w:rPr/>
        <w:t> </w:t>
      </w:r>
      <w:r>
        <w:rPr>
          <w:spacing w:val="-10"/>
        </w:rPr>
        <w:t>for</w:t>
      </w:r>
      <w:r>
        <w:rPr/>
        <w:t> </w:t>
      </w:r>
      <w:r>
        <w:rPr>
          <w:spacing w:val="-10"/>
        </w:rPr>
        <w:t>both</w:t>
      </w:r>
      <w:r>
        <w:rPr/>
        <w:t> </w:t>
      </w:r>
      <w:r>
        <w:rPr>
          <w:spacing w:val="-10"/>
        </w:rPr>
        <w:t>enabling</w:t>
      </w:r>
      <w:r>
        <w:rPr/>
        <w:t> </w:t>
      </w:r>
      <w:r>
        <w:rPr>
          <w:spacing w:val="-10"/>
        </w:rPr>
        <w:t>and </w:t>
      </w:r>
      <w:r>
        <w:rPr>
          <w:spacing w:val="-8"/>
        </w:rPr>
        <w:t>regulating</w:t>
      </w:r>
      <w:r>
        <w:rPr/>
        <w:t> </w:t>
      </w:r>
      <w:r>
        <w:rPr>
          <w:spacing w:val="-8"/>
        </w:rPr>
        <w:t>mechanisms</w:t>
      </w:r>
      <w:r>
        <w:rPr/>
        <w:t> </w:t>
      </w:r>
      <w:r>
        <w:rPr>
          <w:spacing w:val="-8"/>
        </w:rPr>
        <w:t>to</w:t>
      </w:r>
      <w:r>
        <w:rPr/>
        <w:t> </w:t>
      </w:r>
      <w:r>
        <w:rPr>
          <w:spacing w:val="-8"/>
        </w:rPr>
        <w:t>be</w:t>
      </w:r>
      <w:r>
        <w:rPr/>
        <w:t> </w:t>
      </w:r>
      <w:r>
        <w:rPr>
          <w:spacing w:val="-8"/>
        </w:rPr>
        <w:t>developed</w:t>
      </w:r>
      <w:r>
        <w:rPr/>
        <w:t> </w:t>
      </w:r>
      <w:r>
        <w:rPr>
          <w:spacing w:val="-8"/>
        </w:rPr>
        <w:t>and</w:t>
      </w:r>
      <w:r>
        <w:rPr/>
        <w:t> </w:t>
      </w:r>
      <w:r>
        <w:rPr>
          <w:spacing w:val="-8"/>
        </w:rPr>
        <w:t>strengthened </w:t>
      </w:r>
      <w:r>
        <w:rPr/>
        <w:t>for them. There should be transparent, norm-based and</w:t>
      </w:r>
      <w:r>
        <w:rPr>
          <w:spacing w:val="-5"/>
        </w:rPr>
        <w:t> </w:t>
      </w:r>
      <w:r>
        <w:rPr/>
        <w:t>straightforward</w:t>
      </w:r>
      <w:r>
        <w:rPr>
          <w:spacing w:val="-5"/>
        </w:rPr>
        <w:t> </w:t>
      </w:r>
      <w:r>
        <w:rPr/>
        <w:t>procedures</w:t>
      </w:r>
      <w:r>
        <w:rPr>
          <w:spacing w:val="-5"/>
        </w:rPr>
        <w:t> </w:t>
      </w:r>
      <w:r>
        <w:rPr/>
        <w:t>for</w:t>
      </w:r>
      <w:r>
        <w:rPr>
          <w:spacing w:val="-5"/>
        </w:rPr>
        <w:t> </w:t>
      </w:r>
      <w:r>
        <w:rPr/>
        <w:t>the</w:t>
      </w:r>
      <w:r>
        <w:rPr>
          <w:spacing w:val="-5"/>
        </w:rPr>
        <w:t> </w:t>
      </w:r>
      <w:r>
        <w:rPr/>
        <w:t>recognition</w:t>
      </w:r>
      <w:r>
        <w:rPr>
          <w:spacing w:val="-5"/>
        </w:rPr>
        <w:t> </w:t>
      </w:r>
      <w:r>
        <w:rPr/>
        <w:t>of </w:t>
      </w:r>
      <w:r>
        <w:rPr>
          <w:spacing w:val="-2"/>
        </w:rPr>
        <w:t>private</w:t>
      </w:r>
      <w:r>
        <w:rPr>
          <w:spacing w:val="-10"/>
        </w:rPr>
        <w:t> </w:t>
      </w:r>
      <w:r>
        <w:rPr>
          <w:spacing w:val="-2"/>
        </w:rPr>
        <w:t>schools,</w:t>
      </w:r>
      <w:r>
        <w:rPr>
          <w:spacing w:val="-10"/>
        </w:rPr>
        <w:t> </w:t>
      </w:r>
      <w:r>
        <w:rPr>
          <w:spacing w:val="-2"/>
        </w:rPr>
        <w:t>to</w:t>
      </w:r>
      <w:r>
        <w:rPr>
          <w:spacing w:val="-10"/>
        </w:rPr>
        <w:t> </w:t>
      </w:r>
      <w:r>
        <w:rPr>
          <w:spacing w:val="-2"/>
        </w:rPr>
        <w:t>reduce</w:t>
      </w:r>
      <w:r>
        <w:rPr>
          <w:spacing w:val="-10"/>
        </w:rPr>
        <w:t> </w:t>
      </w:r>
      <w:r>
        <w:rPr>
          <w:spacing w:val="-2"/>
        </w:rPr>
        <w:t>harassment</w:t>
      </w:r>
      <w:r>
        <w:rPr>
          <w:spacing w:val="-10"/>
        </w:rPr>
        <w:t> </w:t>
      </w:r>
      <w:r>
        <w:rPr>
          <w:spacing w:val="-2"/>
        </w:rPr>
        <w:t>and</w:t>
      </w:r>
      <w:r>
        <w:rPr>
          <w:spacing w:val="-10"/>
        </w:rPr>
        <w:t> </w:t>
      </w:r>
      <w:r>
        <w:rPr>
          <w:spacing w:val="-2"/>
        </w:rPr>
        <w:t>bureaucratic </w:t>
      </w:r>
      <w:r>
        <w:rPr/>
        <w:t>delay.</w:t>
      </w:r>
      <w:r>
        <w:rPr>
          <w:spacing w:val="-7"/>
        </w:rPr>
        <w:t> </w:t>
      </w:r>
      <w:r>
        <w:rPr/>
        <w:t>There</w:t>
      </w:r>
      <w:r>
        <w:rPr>
          <w:spacing w:val="-2"/>
        </w:rPr>
        <w:t> </w:t>
      </w:r>
      <w:r>
        <w:rPr/>
        <w:t>should</w:t>
      </w:r>
      <w:r>
        <w:rPr>
          <w:spacing w:val="-2"/>
        </w:rPr>
        <w:t> </w:t>
      </w:r>
      <w:r>
        <w:rPr/>
        <w:t>also</w:t>
      </w:r>
      <w:r>
        <w:rPr>
          <w:spacing w:val="-2"/>
        </w:rPr>
        <w:t> </w:t>
      </w:r>
      <w:r>
        <w:rPr/>
        <w:t>be</w:t>
      </w:r>
      <w:r>
        <w:rPr>
          <w:spacing w:val="-2"/>
        </w:rPr>
        <w:t> </w:t>
      </w:r>
      <w:r>
        <w:rPr/>
        <w:t>transparent</w:t>
      </w:r>
      <w:r>
        <w:rPr>
          <w:spacing w:val="-2"/>
        </w:rPr>
        <w:t> </w:t>
      </w:r>
      <w:r>
        <w:rPr/>
        <w:t>criteria</w:t>
      </w:r>
      <w:r>
        <w:rPr>
          <w:spacing w:val="-2"/>
        </w:rPr>
        <w:t> </w:t>
      </w:r>
      <w:r>
        <w:rPr/>
        <w:t>as</w:t>
      </w:r>
      <w:r>
        <w:rPr>
          <w:spacing w:val="-2"/>
        </w:rPr>
        <w:t> </w:t>
      </w:r>
      <w:r>
        <w:rPr/>
        <w:t>for the</w:t>
      </w:r>
      <w:r>
        <w:rPr>
          <w:spacing w:val="-8"/>
        </w:rPr>
        <w:t> </w:t>
      </w:r>
      <w:r>
        <w:rPr/>
        <w:t>disbursement</w:t>
      </w:r>
      <w:r>
        <w:rPr>
          <w:spacing w:val="-8"/>
        </w:rPr>
        <w:t> </w:t>
      </w:r>
      <w:r>
        <w:rPr/>
        <w:t>of</w:t>
      </w:r>
      <w:r>
        <w:rPr>
          <w:spacing w:val="-8"/>
        </w:rPr>
        <w:t> </w:t>
      </w:r>
      <w:r>
        <w:rPr/>
        <w:t>aid</w:t>
      </w:r>
      <w:r>
        <w:rPr>
          <w:spacing w:val="-8"/>
        </w:rPr>
        <w:t> </w:t>
      </w:r>
      <w:r>
        <w:rPr/>
        <w:t>from</w:t>
      </w:r>
      <w:r>
        <w:rPr>
          <w:spacing w:val="-8"/>
        </w:rPr>
        <w:t> </w:t>
      </w:r>
      <w:r>
        <w:rPr/>
        <w:t>the</w:t>
      </w:r>
      <w:r>
        <w:rPr>
          <w:spacing w:val="-8"/>
        </w:rPr>
        <w:t> </w:t>
      </w:r>
      <w:r>
        <w:rPr/>
        <w:t>government</w:t>
      </w:r>
      <w:r>
        <w:rPr>
          <w:spacing w:val="-8"/>
        </w:rPr>
        <w:t> </w:t>
      </w:r>
      <w:r>
        <w:rPr/>
        <w:t>to</w:t>
      </w:r>
      <w:r>
        <w:rPr>
          <w:spacing w:val="-8"/>
        </w:rPr>
        <w:t> </w:t>
      </w:r>
      <w:r>
        <w:rPr/>
        <w:t>some self-financing</w:t>
      </w:r>
      <w:r>
        <w:rPr>
          <w:spacing w:val="-14"/>
        </w:rPr>
        <w:t> </w:t>
      </w:r>
      <w:r>
        <w:rPr/>
        <w:t>schools,</w:t>
      </w:r>
      <w:r>
        <w:rPr>
          <w:spacing w:val="-14"/>
        </w:rPr>
        <w:t> </w:t>
      </w:r>
      <w:r>
        <w:rPr/>
        <w:t>especially</w:t>
      </w:r>
      <w:r>
        <w:rPr>
          <w:spacing w:val="-14"/>
        </w:rPr>
        <w:t> </w:t>
      </w:r>
      <w:r>
        <w:rPr/>
        <w:t>those</w:t>
      </w:r>
      <w:r>
        <w:rPr>
          <w:spacing w:val="-13"/>
        </w:rPr>
        <w:t> </w:t>
      </w:r>
      <w:r>
        <w:rPr/>
        <w:t>which</w:t>
      </w:r>
      <w:r>
        <w:rPr>
          <w:spacing w:val="-14"/>
        </w:rPr>
        <w:t> </w:t>
      </w:r>
      <w:r>
        <w:rPr/>
        <w:t>cater</w:t>
      </w:r>
      <w:r>
        <w:rPr>
          <w:spacing w:val="-14"/>
        </w:rPr>
        <w:t> </w:t>
      </w:r>
      <w:r>
        <w:rPr/>
        <w:t>to </w:t>
      </w:r>
      <w:r>
        <w:rPr>
          <w:spacing w:val="-2"/>
        </w:rPr>
        <w:t>underprivileged</w:t>
      </w:r>
      <w:r>
        <w:rPr>
          <w:spacing w:val="-10"/>
        </w:rPr>
        <w:t> </w:t>
      </w:r>
      <w:r>
        <w:rPr>
          <w:spacing w:val="-2"/>
        </w:rPr>
        <w:t>children,</w:t>
      </w:r>
      <w:r>
        <w:rPr>
          <w:spacing w:val="-10"/>
        </w:rPr>
        <w:t> </w:t>
      </w:r>
      <w:r>
        <w:rPr>
          <w:spacing w:val="-2"/>
        </w:rPr>
        <w:t>and</w:t>
      </w:r>
      <w:r>
        <w:rPr>
          <w:spacing w:val="-10"/>
        </w:rPr>
        <w:t> </w:t>
      </w:r>
      <w:r>
        <w:rPr>
          <w:spacing w:val="-2"/>
        </w:rPr>
        <w:t>clear</w:t>
      </w:r>
      <w:r>
        <w:rPr>
          <w:spacing w:val="-10"/>
        </w:rPr>
        <w:t> </w:t>
      </w:r>
      <w:r>
        <w:rPr>
          <w:spacing w:val="-2"/>
        </w:rPr>
        <w:t>norms</w:t>
      </w:r>
      <w:r>
        <w:rPr>
          <w:spacing w:val="-10"/>
        </w:rPr>
        <w:t> </w:t>
      </w:r>
      <w:r>
        <w:rPr>
          <w:spacing w:val="-2"/>
        </w:rPr>
        <w:t>with</w:t>
      </w:r>
      <w:r>
        <w:rPr>
          <w:spacing w:val="-10"/>
        </w:rPr>
        <w:t> </w:t>
      </w:r>
      <w:r>
        <w:rPr>
          <w:spacing w:val="-2"/>
        </w:rPr>
        <w:t>respect to</w:t>
      </w:r>
      <w:r>
        <w:rPr>
          <w:spacing w:val="-10"/>
        </w:rPr>
        <w:t> </w:t>
      </w:r>
      <w:r>
        <w:rPr>
          <w:spacing w:val="-2"/>
        </w:rPr>
        <w:t>the</w:t>
      </w:r>
      <w:r>
        <w:rPr>
          <w:spacing w:val="-10"/>
        </w:rPr>
        <w:t> </w:t>
      </w:r>
      <w:r>
        <w:rPr>
          <w:spacing w:val="-2"/>
        </w:rPr>
        <w:t>ability</w:t>
      </w:r>
      <w:r>
        <w:rPr>
          <w:spacing w:val="-10"/>
        </w:rPr>
        <w:t> </w:t>
      </w:r>
      <w:r>
        <w:rPr>
          <w:spacing w:val="-2"/>
        </w:rPr>
        <w:t>of</w:t>
      </w:r>
      <w:r>
        <w:rPr>
          <w:spacing w:val="-10"/>
        </w:rPr>
        <w:t> </w:t>
      </w:r>
      <w:r>
        <w:rPr>
          <w:spacing w:val="-2"/>
        </w:rPr>
        <w:t>school</w:t>
      </w:r>
      <w:r>
        <w:rPr>
          <w:spacing w:val="-10"/>
        </w:rPr>
        <w:t> </w:t>
      </w:r>
      <w:r>
        <w:rPr>
          <w:spacing w:val="-2"/>
        </w:rPr>
        <w:t>managements</w:t>
      </w:r>
      <w:r>
        <w:rPr>
          <w:spacing w:val="-10"/>
        </w:rPr>
        <w:t> </w:t>
      </w:r>
      <w:r>
        <w:rPr>
          <w:spacing w:val="-2"/>
        </w:rPr>
        <w:t>to</w:t>
      </w:r>
      <w:r>
        <w:rPr>
          <w:spacing w:val="-10"/>
        </w:rPr>
        <w:t> </w:t>
      </w:r>
      <w:r>
        <w:rPr>
          <w:spacing w:val="-2"/>
        </w:rPr>
        <w:t>raise</w:t>
      </w:r>
      <w:r>
        <w:rPr>
          <w:spacing w:val="-10"/>
        </w:rPr>
        <w:t> </w:t>
      </w:r>
      <w:r>
        <w:rPr>
          <w:spacing w:val="-2"/>
        </w:rPr>
        <w:t>resources from</w:t>
      </w:r>
      <w:r>
        <w:rPr>
          <w:spacing w:val="-10"/>
        </w:rPr>
        <w:t> </w:t>
      </w:r>
      <w:r>
        <w:rPr>
          <w:spacing w:val="-2"/>
        </w:rPr>
        <w:t>other</w:t>
      </w:r>
      <w:r>
        <w:rPr>
          <w:spacing w:val="-8"/>
        </w:rPr>
        <w:t> </w:t>
      </w:r>
      <w:r>
        <w:rPr>
          <w:spacing w:val="-2"/>
        </w:rPr>
        <w:t>sources.</w:t>
      </w:r>
      <w:r>
        <w:rPr>
          <w:spacing w:val="-12"/>
        </w:rPr>
        <w:t> </w:t>
      </w:r>
      <w:r>
        <w:rPr>
          <w:spacing w:val="-2"/>
        </w:rPr>
        <w:t>The</w:t>
      </w:r>
      <w:r>
        <w:rPr>
          <w:spacing w:val="-8"/>
        </w:rPr>
        <w:t> </w:t>
      </w:r>
      <w:r>
        <w:rPr>
          <w:spacing w:val="-2"/>
        </w:rPr>
        <w:t>monitoring</w:t>
      </w:r>
      <w:r>
        <w:rPr>
          <w:spacing w:val="-8"/>
        </w:rPr>
        <w:t> </w:t>
      </w:r>
      <w:r>
        <w:rPr>
          <w:spacing w:val="-2"/>
        </w:rPr>
        <w:t>of</w:t>
      </w:r>
      <w:r>
        <w:rPr>
          <w:spacing w:val="-8"/>
        </w:rPr>
        <w:t> </w:t>
      </w:r>
      <w:r>
        <w:rPr>
          <w:spacing w:val="-2"/>
        </w:rPr>
        <w:t>private</w:t>
      </w:r>
      <w:r>
        <w:rPr>
          <w:spacing w:val="-8"/>
        </w:rPr>
        <w:t> </w:t>
      </w:r>
      <w:r>
        <w:rPr>
          <w:spacing w:val="-2"/>
        </w:rPr>
        <w:t>schools, </w:t>
      </w:r>
      <w:r>
        <w:rPr/>
        <w:t>in</w:t>
      </w:r>
      <w:r>
        <w:rPr>
          <w:spacing w:val="-14"/>
        </w:rPr>
        <w:t> </w:t>
      </w:r>
      <w:r>
        <w:rPr/>
        <w:t>terms</w:t>
      </w:r>
      <w:r>
        <w:rPr>
          <w:spacing w:val="-14"/>
        </w:rPr>
        <w:t> </w:t>
      </w:r>
      <w:r>
        <w:rPr/>
        <w:t>of</w:t>
      </w:r>
      <w:r>
        <w:rPr>
          <w:spacing w:val="-14"/>
        </w:rPr>
        <w:t> </w:t>
      </w:r>
      <w:r>
        <w:rPr/>
        <w:t>ensuring</w:t>
      </w:r>
      <w:r>
        <w:rPr>
          <w:spacing w:val="-13"/>
        </w:rPr>
        <w:t> </w:t>
      </w:r>
      <w:r>
        <w:rPr/>
        <w:t>a</w:t>
      </w:r>
      <w:r>
        <w:rPr>
          <w:spacing w:val="-14"/>
        </w:rPr>
        <w:t> </w:t>
      </w:r>
      <w:r>
        <w:rPr/>
        <w:t>transparent</w:t>
      </w:r>
      <w:r>
        <w:rPr>
          <w:spacing w:val="-14"/>
        </w:rPr>
        <w:t> </w:t>
      </w:r>
      <w:r>
        <w:rPr/>
        <w:t>admissions</w:t>
      </w:r>
      <w:r>
        <w:rPr>
          <w:spacing w:val="-14"/>
        </w:rPr>
        <w:t> </w:t>
      </w:r>
      <w:r>
        <w:rPr/>
        <w:t>process, </w:t>
      </w:r>
      <w:r>
        <w:rPr>
          <w:spacing w:val="-6"/>
        </w:rPr>
        <w:t>regulation</w:t>
      </w:r>
      <w:r>
        <w:rPr>
          <w:spacing w:val="-8"/>
        </w:rPr>
        <w:t> </w:t>
      </w:r>
      <w:r>
        <w:rPr>
          <w:spacing w:val="-6"/>
        </w:rPr>
        <w:t>of</w:t>
      </w:r>
      <w:r>
        <w:rPr>
          <w:spacing w:val="-8"/>
        </w:rPr>
        <w:t> </w:t>
      </w:r>
      <w:r>
        <w:rPr>
          <w:spacing w:val="-6"/>
        </w:rPr>
        <w:t>fee</w:t>
      </w:r>
      <w:r>
        <w:rPr>
          <w:spacing w:val="-8"/>
        </w:rPr>
        <w:t> </w:t>
      </w:r>
      <w:r>
        <w:rPr>
          <w:spacing w:val="-6"/>
        </w:rPr>
        <w:t>structures,</w:t>
      </w:r>
      <w:r>
        <w:rPr>
          <w:spacing w:val="-7"/>
        </w:rPr>
        <w:t> </w:t>
      </w:r>
      <w:r>
        <w:rPr>
          <w:spacing w:val="-6"/>
        </w:rPr>
        <w:t>as</w:t>
      </w:r>
      <w:r>
        <w:rPr>
          <w:spacing w:val="-8"/>
        </w:rPr>
        <w:t> </w:t>
      </w:r>
      <w:r>
        <w:rPr>
          <w:spacing w:val="-6"/>
        </w:rPr>
        <w:t>well</w:t>
      </w:r>
      <w:r>
        <w:rPr>
          <w:spacing w:val="-8"/>
        </w:rPr>
        <w:t> </w:t>
      </w:r>
      <w:r>
        <w:rPr>
          <w:spacing w:val="-6"/>
        </w:rPr>
        <w:t>as</w:t>
      </w:r>
      <w:r>
        <w:rPr>
          <w:spacing w:val="-8"/>
        </w:rPr>
        <w:t> </w:t>
      </w:r>
      <w:r>
        <w:rPr>
          <w:spacing w:val="-6"/>
        </w:rPr>
        <w:t>meeting</w:t>
      </w:r>
      <w:r>
        <w:rPr>
          <w:spacing w:val="-7"/>
        </w:rPr>
        <w:t> </w:t>
      </w:r>
      <w:r>
        <w:rPr>
          <w:spacing w:val="-6"/>
        </w:rPr>
        <w:t>minimum </w:t>
      </w:r>
      <w:r>
        <w:rPr>
          <w:spacing w:val="-2"/>
        </w:rPr>
        <w:t>set</w:t>
      </w:r>
      <w:r>
        <w:rPr>
          <w:spacing w:val="-9"/>
        </w:rPr>
        <w:t> </w:t>
      </w:r>
      <w:r>
        <w:rPr>
          <w:spacing w:val="-2"/>
        </w:rPr>
        <w:t>standards</w:t>
      </w:r>
      <w:r>
        <w:rPr>
          <w:spacing w:val="-9"/>
        </w:rPr>
        <w:t> </w:t>
      </w:r>
      <w:r>
        <w:rPr>
          <w:spacing w:val="-2"/>
        </w:rPr>
        <w:t>for</w:t>
      </w:r>
      <w:r>
        <w:rPr>
          <w:spacing w:val="-9"/>
        </w:rPr>
        <w:t> </w:t>
      </w:r>
      <w:r>
        <w:rPr>
          <w:spacing w:val="-2"/>
        </w:rPr>
        <w:t>quality</w:t>
      </w:r>
      <w:r>
        <w:rPr>
          <w:spacing w:val="-9"/>
        </w:rPr>
        <w:t> </w:t>
      </w:r>
      <w:r>
        <w:rPr>
          <w:spacing w:val="-2"/>
        </w:rPr>
        <w:t>of</w:t>
      </w:r>
      <w:r>
        <w:rPr>
          <w:spacing w:val="-9"/>
        </w:rPr>
        <w:t> </w:t>
      </w:r>
      <w:r>
        <w:rPr>
          <w:spacing w:val="-2"/>
        </w:rPr>
        <w:t>teaching</w:t>
      </w:r>
      <w:r>
        <w:rPr>
          <w:spacing w:val="-9"/>
        </w:rPr>
        <w:t> </w:t>
      </w:r>
      <w:r>
        <w:rPr>
          <w:spacing w:val="-2"/>
        </w:rPr>
        <w:t>and</w:t>
      </w:r>
      <w:r>
        <w:rPr>
          <w:spacing w:val="-9"/>
        </w:rPr>
        <w:t> </w:t>
      </w:r>
      <w:r>
        <w:rPr>
          <w:spacing w:val="-2"/>
        </w:rPr>
        <w:t>infrastructure, </w:t>
      </w:r>
      <w:r>
        <w:rPr>
          <w:w w:val="90"/>
        </w:rPr>
        <w:t>also requires attention.</w:t>
      </w:r>
      <w:r>
        <w:rPr>
          <w:spacing w:val="-9"/>
          <w:w w:val="90"/>
        </w:rPr>
        <w:t> </w:t>
      </w:r>
      <w:r>
        <w:rPr>
          <w:w w:val="90"/>
        </w:rPr>
        <w:t>The possibility of greater exchange </w:t>
      </w:r>
      <w:r>
        <w:rPr>
          <w:spacing w:val="-4"/>
        </w:rPr>
        <w:t>between schools, including mentoring of one school by </w:t>
      </w:r>
      <w:r>
        <w:rPr>
          <w:spacing w:val="-2"/>
        </w:rPr>
        <w:t>another,</w:t>
      </w:r>
      <w:r>
        <w:rPr>
          <w:spacing w:val="-6"/>
        </w:rPr>
        <w:t> </w:t>
      </w:r>
      <w:r>
        <w:rPr>
          <w:spacing w:val="-2"/>
        </w:rPr>
        <w:t>should</w:t>
      </w:r>
      <w:r>
        <w:rPr>
          <w:spacing w:val="-6"/>
        </w:rPr>
        <w:t> </w:t>
      </w:r>
      <w:r>
        <w:rPr>
          <w:spacing w:val="-2"/>
        </w:rPr>
        <w:t>be</w:t>
      </w:r>
      <w:r>
        <w:rPr>
          <w:spacing w:val="-6"/>
        </w:rPr>
        <w:t> </w:t>
      </w:r>
      <w:r>
        <w:rPr>
          <w:spacing w:val="-2"/>
        </w:rPr>
        <w:t>allowed</w:t>
      </w:r>
      <w:r>
        <w:rPr>
          <w:spacing w:val="-6"/>
        </w:rPr>
        <w:t> </w:t>
      </w:r>
      <w:r>
        <w:rPr>
          <w:spacing w:val="-2"/>
        </w:rPr>
        <w:t>and</w:t>
      </w:r>
      <w:r>
        <w:rPr>
          <w:spacing w:val="-6"/>
        </w:rPr>
        <w:t> </w:t>
      </w:r>
      <w:r>
        <w:rPr>
          <w:spacing w:val="-2"/>
        </w:rPr>
        <w:t>encouraged.</w:t>
      </w:r>
    </w:p>
    <w:p>
      <w:pPr>
        <w:pStyle w:val="Heading6"/>
        <w:numPr>
          <w:ilvl w:val="0"/>
          <w:numId w:val="13"/>
        </w:numPr>
        <w:tabs>
          <w:tab w:pos="1404" w:val="left" w:leader="none"/>
        </w:tabs>
        <w:spacing w:line="240" w:lineRule="auto" w:before="132" w:after="0"/>
        <w:ind w:left="1404" w:right="0" w:hanging="325"/>
        <w:jc w:val="left"/>
      </w:pPr>
      <w:r>
        <w:rPr>
          <w:color w:val="2E614A"/>
          <w:spacing w:val="-10"/>
        </w:rPr>
        <w:t>Database</w:t>
      </w:r>
      <w:r>
        <w:rPr>
          <w:color w:val="2E614A"/>
          <w:spacing w:val="-3"/>
        </w:rPr>
        <w:t> </w:t>
      </w:r>
      <w:r>
        <w:rPr>
          <w:color w:val="2E614A"/>
          <w:spacing w:val="-10"/>
        </w:rPr>
        <w:t>on</w:t>
      </w:r>
      <w:r>
        <w:rPr>
          <w:color w:val="2E614A"/>
          <w:spacing w:val="-3"/>
        </w:rPr>
        <w:t> </w:t>
      </w:r>
      <w:r>
        <w:rPr>
          <w:color w:val="2E614A"/>
          <w:spacing w:val="-10"/>
        </w:rPr>
        <w:t>School</w:t>
      </w:r>
      <w:r>
        <w:rPr>
          <w:color w:val="2E614A"/>
          <w:spacing w:val="-3"/>
        </w:rPr>
        <w:t> </w:t>
      </w:r>
      <w:r>
        <w:rPr>
          <w:color w:val="2E614A"/>
          <w:spacing w:val="-10"/>
        </w:rPr>
        <w:t>Education</w:t>
      </w:r>
    </w:p>
    <w:p>
      <w:pPr>
        <w:pStyle w:val="BodyText"/>
        <w:spacing w:line="266" w:lineRule="auto" w:before="275"/>
        <w:ind w:left="1079"/>
        <w:jc w:val="both"/>
      </w:pPr>
      <w:r>
        <w:rPr/>
        <w:t>Educational</w:t>
      </w:r>
      <w:r>
        <w:rPr>
          <w:spacing w:val="-5"/>
        </w:rPr>
        <w:t> </w:t>
      </w:r>
      <w:r>
        <w:rPr/>
        <w:t>planning</w:t>
      </w:r>
      <w:r>
        <w:rPr>
          <w:spacing w:val="-5"/>
        </w:rPr>
        <w:t> </w:t>
      </w:r>
      <w:r>
        <w:rPr/>
        <w:t>and</w:t>
      </w:r>
      <w:r>
        <w:rPr>
          <w:spacing w:val="-5"/>
        </w:rPr>
        <w:t> </w:t>
      </w:r>
      <w:r>
        <w:rPr/>
        <w:t>monitoring</w:t>
      </w:r>
      <w:r>
        <w:rPr>
          <w:spacing w:val="-5"/>
        </w:rPr>
        <w:t> </w:t>
      </w:r>
      <w:r>
        <w:rPr/>
        <w:t>are</w:t>
      </w:r>
      <w:r>
        <w:rPr>
          <w:spacing w:val="-5"/>
        </w:rPr>
        <w:t> </w:t>
      </w:r>
      <w:r>
        <w:rPr/>
        <w:t>made</w:t>
      </w:r>
      <w:r>
        <w:rPr>
          <w:spacing w:val="-5"/>
        </w:rPr>
        <w:t> </w:t>
      </w:r>
      <w:r>
        <w:rPr/>
        <w:t>much </w:t>
      </w:r>
      <w:r>
        <w:rPr>
          <w:spacing w:val="-4"/>
        </w:rPr>
        <w:t>more</w:t>
      </w:r>
      <w:r>
        <w:rPr>
          <w:spacing w:val="-10"/>
        </w:rPr>
        <w:t> </w:t>
      </w:r>
      <w:r>
        <w:rPr>
          <w:spacing w:val="-4"/>
        </w:rPr>
        <w:t>difficult</w:t>
      </w:r>
      <w:r>
        <w:rPr>
          <w:spacing w:val="-10"/>
        </w:rPr>
        <w:t> </w:t>
      </w:r>
      <w:r>
        <w:rPr>
          <w:spacing w:val="-4"/>
        </w:rPr>
        <w:t>because</w:t>
      </w:r>
      <w:r>
        <w:rPr>
          <w:spacing w:val="-10"/>
        </w:rPr>
        <w:t> </w:t>
      </w:r>
      <w:r>
        <w:rPr>
          <w:spacing w:val="-4"/>
        </w:rPr>
        <w:t>of</w:t>
      </w:r>
      <w:r>
        <w:rPr>
          <w:spacing w:val="-9"/>
        </w:rPr>
        <w:t> </w:t>
      </w:r>
      <w:r>
        <w:rPr>
          <w:spacing w:val="-4"/>
        </w:rPr>
        <w:t>the</w:t>
      </w:r>
      <w:r>
        <w:rPr>
          <w:spacing w:val="-10"/>
        </w:rPr>
        <w:t> </w:t>
      </w:r>
      <w:r>
        <w:rPr>
          <w:spacing w:val="-4"/>
        </w:rPr>
        <w:t>lack</w:t>
      </w:r>
      <w:r>
        <w:rPr>
          <w:spacing w:val="-10"/>
        </w:rPr>
        <w:t> </w:t>
      </w:r>
      <w:r>
        <w:rPr>
          <w:spacing w:val="-4"/>
        </w:rPr>
        <w:t>of</w:t>
      </w:r>
      <w:r>
        <w:rPr>
          <w:spacing w:val="-10"/>
        </w:rPr>
        <w:t> </w:t>
      </w:r>
      <w:r>
        <w:rPr>
          <w:spacing w:val="-4"/>
        </w:rPr>
        <w:t>comprehensive</w:t>
      </w:r>
      <w:r>
        <w:rPr>
          <w:spacing w:val="-9"/>
        </w:rPr>
        <w:t> </w:t>
      </w:r>
      <w:r>
        <w:rPr>
          <w:spacing w:val="-4"/>
        </w:rPr>
        <w:t>and accurate</w:t>
      </w:r>
      <w:r>
        <w:rPr>
          <w:spacing w:val="-10"/>
        </w:rPr>
        <w:t> </w:t>
      </w:r>
      <w:r>
        <w:rPr>
          <w:spacing w:val="-4"/>
        </w:rPr>
        <w:t>data</w:t>
      </w:r>
      <w:r>
        <w:rPr>
          <w:spacing w:val="-10"/>
        </w:rPr>
        <w:t> </w:t>
      </w:r>
      <w:r>
        <w:rPr>
          <w:spacing w:val="-4"/>
        </w:rPr>
        <w:t>on</w:t>
      </w:r>
      <w:r>
        <w:rPr>
          <w:spacing w:val="-10"/>
        </w:rPr>
        <w:t> </w:t>
      </w:r>
      <w:r>
        <w:rPr>
          <w:spacing w:val="-4"/>
        </w:rPr>
        <w:t>schools,</w:t>
      </w:r>
      <w:r>
        <w:rPr>
          <w:spacing w:val="-9"/>
        </w:rPr>
        <w:t> </w:t>
      </w:r>
      <w:r>
        <w:rPr>
          <w:spacing w:val="-4"/>
        </w:rPr>
        <w:t>school-age</w:t>
      </w:r>
      <w:r>
        <w:rPr>
          <w:spacing w:val="-10"/>
        </w:rPr>
        <w:t> </w:t>
      </w:r>
      <w:r>
        <w:rPr>
          <w:spacing w:val="-4"/>
        </w:rPr>
        <w:t>children</w:t>
      </w:r>
      <w:r>
        <w:rPr>
          <w:spacing w:val="-10"/>
        </w:rPr>
        <w:t> </w:t>
      </w:r>
      <w:r>
        <w:rPr>
          <w:spacing w:val="-4"/>
        </w:rPr>
        <w:t>and</w:t>
      </w:r>
      <w:r>
        <w:rPr>
          <w:spacing w:val="-10"/>
        </w:rPr>
        <w:t> </w:t>
      </w:r>
      <w:r>
        <w:rPr>
          <w:spacing w:val="-4"/>
        </w:rPr>
        <w:t>actual attendance</w:t>
      </w:r>
      <w:r>
        <w:rPr>
          <w:spacing w:val="-10"/>
        </w:rPr>
        <w:t> </w:t>
      </w:r>
      <w:r>
        <w:rPr>
          <w:spacing w:val="-4"/>
        </w:rPr>
        <w:t>of</w:t>
      </w:r>
      <w:r>
        <w:rPr>
          <w:spacing w:val="-10"/>
        </w:rPr>
        <w:t> </w:t>
      </w:r>
      <w:r>
        <w:rPr>
          <w:spacing w:val="-4"/>
        </w:rPr>
        <w:t>both</w:t>
      </w:r>
      <w:r>
        <w:rPr>
          <w:spacing w:val="-10"/>
        </w:rPr>
        <w:t> </w:t>
      </w:r>
      <w:r>
        <w:rPr>
          <w:spacing w:val="-4"/>
        </w:rPr>
        <w:t>students</w:t>
      </w:r>
      <w:r>
        <w:rPr>
          <w:spacing w:val="-9"/>
        </w:rPr>
        <w:t> </w:t>
      </w:r>
      <w:r>
        <w:rPr>
          <w:spacing w:val="-4"/>
        </w:rPr>
        <w:t>and</w:t>
      </w:r>
      <w:r>
        <w:rPr>
          <w:spacing w:val="-10"/>
        </w:rPr>
        <w:t> </w:t>
      </w:r>
      <w:r>
        <w:rPr>
          <w:spacing w:val="-4"/>
        </w:rPr>
        <w:t>teachers.</w:t>
      </w:r>
      <w:r>
        <w:rPr>
          <w:spacing w:val="-10"/>
        </w:rPr>
        <w:t> </w:t>
      </w:r>
      <w:r>
        <w:rPr>
          <w:spacing w:val="-4"/>
        </w:rPr>
        <w:t>The</w:t>
      </w:r>
      <w:r>
        <w:rPr>
          <w:spacing w:val="-10"/>
        </w:rPr>
        <w:t> </w:t>
      </w:r>
      <w:r>
        <w:rPr>
          <w:spacing w:val="-4"/>
        </w:rPr>
        <w:t>collection </w:t>
      </w:r>
      <w:r>
        <w:rPr/>
        <w:t>and</w:t>
      </w:r>
      <w:r>
        <w:rPr>
          <w:spacing w:val="-14"/>
        </w:rPr>
        <w:t> </w:t>
      </w:r>
      <w:r>
        <w:rPr/>
        <w:t>speedy</w:t>
      </w:r>
      <w:r>
        <w:rPr>
          <w:spacing w:val="-14"/>
        </w:rPr>
        <w:t> </w:t>
      </w:r>
      <w:r>
        <w:rPr/>
        <w:t>dissemination</w:t>
      </w:r>
      <w:r>
        <w:rPr>
          <w:spacing w:val="-14"/>
        </w:rPr>
        <w:t> </w:t>
      </w:r>
      <w:r>
        <w:rPr/>
        <w:t>of</w:t>
      </w:r>
      <w:r>
        <w:rPr>
          <w:spacing w:val="-13"/>
        </w:rPr>
        <w:t> </w:t>
      </w:r>
      <w:r>
        <w:rPr/>
        <w:t>accurate</w:t>
      </w:r>
      <w:r>
        <w:rPr>
          <w:spacing w:val="-14"/>
        </w:rPr>
        <w:t> </w:t>
      </w:r>
      <w:r>
        <w:rPr/>
        <w:t>and</w:t>
      </w:r>
      <w:r>
        <w:rPr>
          <w:spacing w:val="-14"/>
        </w:rPr>
        <w:t> </w:t>
      </w:r>
      <w:r>
        <w:rPr/>
        <w:t>current</w:t>
      </w:r>
      <w:r>
        <w:rPr>
          <w:spacing w:val="-14"/>
        </w:rPr>
        <w:t> </w:t>
      </w:r>
      <w:r>
        <w:rPr/>
        <w:t>data </w:t>
      </w:r>
      <w:r>
        <w:rPr>
          <w:spacing w:val="-2"/>
        </w:rPr>
        <w:t>on</w:t>
      </w:r>
      <w:r>
        <w:rPr>
          <w:spacing w:val="-12"/>
        </w:rPr>
        <w:t> </w:t>
      </w:r>
      <w:r>
        <w:rPr>
          <w:spacing w:val="-2"/>
        </w:rPr>
        <w:t>schooling</w:t>
      </w:r>
      <w:r>
        <w:rPr>
          <w:spacing w:val="-11"/>
        </w:rPr>
        <w:t> </w:t>
      </w:r>
      <w:r>
        <w:rPr>
          <w:spacing w:val="-2"/>
        </w:rPr>
        <w:t>must</w:t>
      </w:r>
      <w:r>
        <w:rPr>
          <w:spacing w:val="-12"/>
        </w:rPr>
        <w:t> </w:t>
      </w:r>
      <w:r>
        <w:rPr>
          <w:spacing w:val="-2"/>
        </w:rPr>
        <w:t>be</w:t>
      </w:r>
      <w:r>
        <w:rPr>
          <w:spacing w:val="-11"/>
        </w:rPr>
        <w:t> </w:t>
      </w:r>
      <w:r>
        <w:rPr>
          <w:spacing w:val="-2"/>
        </w:rPr>
        <w:t>made</w:t>
      </w:r>
      <w:r>
        <w:rPr>
          <w:spacing w:val="-12"/>
        </w:rPr>
        <w:t> </w:t>
      </w:r>
      <w:r>
        <w:rPr>
          <w:spacing w:val="-2"/>
        </w:rPr>
        <w:t>a</w:t>
      </w:r>
      <w:r>
        <w:rPr>
          <w:spacing w:val="-11"/>
        </w:rPr>
        <w:t> </w:t>
      </w:r>
      <w:r>
        <w:rPr>
          <w:spacing w:val="-2"/>
        </w:rPr>
        <w:t>priority.</w:t>
      </w:r>
      <w:r>
        <w:rPr>
          <w:spacing w:val="-12"/>
        </w:rPr>
        <w:t> </w:t>
      </w:r>
      <w:r>
        <w:rPr>
          <w:spacing w:val="-2"/>
        </w:rPr>
        <w:t>It</w:t>
      </w:r>
      <w:r>
        <w:rPr>
          <w:spacing w:val="-11"/>
        </w:rPr>
        <w:t> </w:t>
      </w:r>
      <w:r>
        <w:rPr>
          <w:spacing w:val="-2"/>
        </w:rPr>
        <w:t>is</w:t>
      </w:r>
      <w:r>
        <w:rPr>
          <w:spacing w:val="-12"/>
        </w:rPr>
        <w:t> </w:t>
      </w:r>
      <w:r>
        <w:rPr>
          <w:spacing w:val="-2"/>
        </w:rPr>
        <w:t>necessary</w:t>
      </w:r>
      <w:r>
        <w:rPr>
          <w:spacing w:val="-11"/>
        </w:rPr>
        <w:t> </w:t>
      </w:r>
      <w:r>
        <w:rPr>
          <w:spacing w:val="-2"/>
        </w:rPr>
        <w:t>to </w:t>
      </w:r>
      <w:r>
        <w:rPr/>
        <w:t>create</w:t>
      </w:r>
      <w:r>
        <w:rPr>
          <w:spacing w:val="-10"/>
        </w:rPr>
        <w:t> </w:t>
      </w:r>
      <w:r>
        <w:rPr/>
        <w:t>a</w:t>
      </w:r>
      <w:r>
        <w:rPr>
          <w:spacing w:val="-10"/>
        </w:rPr>
        <w:t> </w:t>
      </w:r>
      <w:r>
        <w:rPr/>
        <w:t>complete</w:t>
      </w:r>
      <w:r>
        <w:rPr>
          <w:spacing w:val="-10"/>
        </w:rPr>
        <w:t> </w:t>
      </w:r>
      <w:r>
        <w:rPr/>
        <w:t>database</w:t>
      </w:r>
      <w:r>
        <w:rPr>
          <w:spacing w:val="-10"/>
        </w:rPr>
        <w:t> </w:t>
      </w:r>
      <w:r>
        <w:rPr/>
        <w:t>on</w:t>
      </w:r>
      <w:r>
        <w:rPr>
          <w:spacing w:val="-10"/>
        </w:rPr>
        <w:t> </w:t>
      </w:r>
      <w:r>
        <w:rPr/>
        <w:t>schools</w:t>
      </w:r>
      <w:r>
        <w:rPr>
          <w:spacing w:val="-10"/>
        </w:rPr>
        <w:t> </w:t>
      </w:r>
      <w:r>
        <w:rPr/>
        <w:t>and</w:t>
      </w:r>
      <w:r>
        <w:rPr>
          <w:spacing w:val="-10"/>
        </w:rPr>
        <w:t> </w:t>
      </w:r>
      <w:r>
        <w:rPr/>
        <w:t>school-age children</w:t>
      </w:r>
      <w:r>
        <w:rPr>
          <w:spacing w:val="-8"/>
        </w:rPr>
        <w:t> </w:t>
      </w:r>
      <w:r>
        <w:rPr/>
        <w:t>so</w:t>
      </w:r>
      <w:r>
        <w:rPr>
          <w:spacing w:val="-8"/>
        </w:rPr>
        <w:t> </w:t>
      </w:r>
      <w:r>
        <w:rPr/>
        <w:t>as</w:t>
      </w:r>
      <w:r>
        <w:rPr>
          <w:spacing w:val="-8"/>
        </w:rPr>
        <w:t> </w:t>
      </w:r>
      <w:r>
        <w:rPr/>
        <w:t>to</w:t>
      </w:r>
      <w:r>
        <w:rPr>
          <w:spacing w:val="-8"/>
        </w:rPr>
        <w:t> </w:t>
      </w:r>
      <w:r>
        <w:rPr/>
        <w:t>track</w:t>
      </w:r>
      <w:r>
        <w:rPr>
          <w:spacing w:val="-8"/>
        </w:rPr>
        <w:t> </w:t>
      </w:r>
      <w:r>
        <w:rPr/>
        <w:t>the</w:t>
      </w:r>
      <w:r>
        <w:rPr>
          <w:spacing w:val="-8"/>
        </w:rPr>
        <w:t> </w:t>
      </w:r>
      <w:r>
        <w:rPr/>
        <w:t>actual</w:t>
      </w:r>
      <w:r>
        <w:rPr>
          <w:spacing w:val="-8"/>
        </w:rPr>
        <w:t> </w:t>
      </w:r>
      <w:r>
        <w:rPr/>
        <w:t>coverage</w:t>
      </w:r>
      <w:r>
        <w:rPr>
          <w:spacing w:val="-8"/>
        </w:rPr>
        <w:t> </w:t>
      </w:r>
      <w:r>
        <w:rPr/>
        <w:t>and</w:t>
      </w:r>
      <w:r>
        <w:rPr>
          <w:spacing w:val="-8"/>
        </w:rPr>
        <w:t> </w:t>
      </w:r>
      <w:r>
        <w:rPr/>
        <w:t>quality of</w:t>
      </w:r>
      <w:r>
        <w:rPr>
          <w:spacing w:val="-6"/>
        </w:rPr>
        <w:t> </w:t>
      </w:r>
      <w:r>
        <w:rPr/>
        <w:t>schooling</w:t>
      </w:r>
      <w:r>
        <w:rPr>
          <w:spacing w:val="-6"/>
        </w:rPr>
        <w:t> </w:t>
      </w:r>
      <w:r>
        <w:rPr/>
        <w:t>at</w:t>
      </w:r>
      <w:r>
        <w:rPr>
          <w:spacing w:val="-6"/>
        </w:rPr>
        <w:t> </w:t>
      </w:r>
      <w:r>
        <w:rPr/>
        <w:t>different</w:t>
      </w:r>
      <w:r>
        <w:rPr>
          <w:spacing w:val="-6"/>
        </w:rPr>
        <w:t> </w:t>
      </w:r>
      <w:r>
        <w:rPr/>
        <w:t>levels,</w:t>
      </w:r>
      <w:r>
        <w:rPr>
          <w:spacing w:val="-6"/>
        </w:rPr>
        <w:t> </w:t>
      </w:r>
      <w:r>
        <w:rPr/>
        <w:t>and</w:t>
      </w:r>
      <w:r>
        <w:rPr>
          <w:spacing w:val="-6"/>
        </w:rPr>
        <w:t> </w:t>
      </w:r>
      <w:r>
        <w:rPr/>
        <w:t>to</w:t>
      </w:r>
      <w:r>
        <w:rPr>
          <w:spacing w:val="-6"/>
        </w:rPr>
        <w:t> </w:t>
      </w:r>
      <w:r>
        <w:rPr/>
        <w:t>make</w:t>
      </w:r>
      <w:r>
        <w:rPr>
          <w:spacing w:val="-6"/>
        </w:rPr>
        <w:t> </w:t>
      </w:r>
      <w:r>
        <w:rPr/>
        <w:t>it</w:t>
      </w:r>
      <w:r>
        <w:rPr>
          <w:spacing w:val="-6"/>
        </w:rPr>
        <w:t> </w:t>
      </w:r>
      <w:r>
        <w:rPr/>
        <w:t>widely </w:t>
      </w:r>
      <w:r>
        <w:rPr>
          <w:w w:val="90"/>
        </w:rPr>
        <w:t>available in a timely manner. Such data collection may be </w:t>
      </w:r>
      <w:r>
        <w:rPr>
          <w:spacing w:val="-2"/>
        </w:rPr>
        <w:t>made</w:t>
      </w:r>
      <w:r>
        <w:rPr>
          <w:spacing w:val="-10"/>
        </w:rPr>
        <w:t> </w:t>
      </w:r>
      <w:r>
        <w:rPr>
          <w:spacing w:val="-2"/>
        </w:rPr>
        <w:t>an</w:t>
      </w:r>
      <w:r>
        <w:rPr>
          <w:spacing w:val="-10"/>
        </w:rPr>
        <w:t> </w:t>
      </w:r>
      <w:r>
        <w:rPr>
          <w:spacing w:val="-2"/>
        </w:rPr>
        <w:t>essential</w:t>
      </w:r>
      <w:r>
        <w:rPr>
          <w:spacing w:val="-10"/>
        </w:rPr>
        <w:t> </w:t>
      </w:r>
      <w:r>
        <w:rPr>
          <w:spacing w:val="-2"/>
        </w:rPr>
        <w:t>part</w:t>
      </w:r>
      <w:r>
        <w:rPr>
          <w:spacing w:val="-10"/>
        </w:rPr>
        <w:t> </w:t>
      </w:r>
      <w:r>
        <w:rPr>
          <w:spacing w:val="-2"/>
        </w:rPr>
        <w:t>of</w:t>
      </w:r>
      <w:r>
        <w:rPr>
          <w:spacing w:val="-10"/>
        </w:rPr>
        <w:t> </w:t>
      </w:r>
      <w:r>
        <w:rPr>
          <w:spacing w:val="-2"/>
        </w:rPr>
        <w:t>the</w:t>
      </w:r>
      <w:r>
        <w:rPr>
          <w:spacing w:val="-10"/>
        </w:rPr>
        <w:t> </w:t>
      </w:r>
      <w:r>
        <w:rPr>
          <w:spacing w:val="-2"/>
        </w:rPr>
        <w:t>fund</w:t>
      </w:r>
      <w:r>
        <w:rPr>
          <w:spacing w:val="-10"/>
        </w:rPr>
        <w:t> </w:t>
      </w:r>
      <w:r>
        <w:rPr>
          <w:spacing w:val="-2"/>
        </w:rPr>
        <w:t>allocation</w:t>
      </w:r>
      <w:r>
        <w:rPr>
          <w:spacing w:val="-10"/>
        </w:rPr>
        <w:t> </w:t>
      </w:r>
      <w:r>
        <w:rPr>
          <w:spacing w:val="-2"/>
        </w:rPr>
        <w:t>for</w:t>
      </w:r>
      <w:r>
        <w:rPr>
          <w:spacing w:val="-10"/>
        </w:rPr>
        <w:t> </w:t>
      </w:r>
      <w:r>
        <w:rPr>
          <w:spacing w:val="-2"/>
        </w:rPr>
        <w:t>school </w:t>
      </w:r>
      <w:r>
        <w:rPr/>
        <w:t>education,</w:t>
      </w:r>
      <w:r>
        <w:rPr>
          <w:spacing w:val="-14"/>
        </w:rPr>
        <w:t> </w:t>
      </w:r>
      <w:r>
        <w:rPr/>
        <w:t>with</w:t>
      </w:r>
      <w:r>
        <w:rPr>
          <w:spacing w:val="-14"/>
        </w:rPr>
        <w:t> </w:t>
      </w:r>
      <w:r>
        <w:rPr/>
        <w:t>appropriate</w:t>
      </w:r>
      <w:r>
        <w:rPr>
          <w:spacing w:val="-14"/>
        </w:rPr>
        <w:t> </w:t>
      </w:r>
      <w:r>
        <w:rPr/>
        <w:t>institutional</w:t>
      </w:r>
      <w:r>
        <w:rPr>
          <w:spacing w:val="-13"/>
        </w:rPr>
        <w:t> </w:t>
      </w:r>
      <w:r>
        <w:rPr/>
        <w:t>mechanisms.</w:t>
      </w:r>
    </w:p>
    <w:p>
      <w:pPr>
        <w:pStyle w:val="BodyText"/>
        <w:spacing w:before="10"/>
      </w:pPr>
    </w:p>
    <w:p>
      <w:pPr>
        <w:pStyle w:val="Heading6"/>
        <w:numPr>
          <w:ilvl w:val="0"/>
          <w:numId w:val="13"/>
        </w:numPr>
        <w:tabs>
          <w:tab w:pos="1404" w:val="left" w:leader="none"/>
          <w:tab w:pos="1406" w:val="left" w:leader="none"/>
        </w:tabs>
        <w:spacing w:line="170" w:lineRule="auto" w:before="1" w:after="0"/>
        <w:ind w:left="1406" w:right="659" w:hanging="327"/>
        <w:jc w:val="left"/>
      </w:pPr>
      <w:r>
        <w:rPr>
          <w:color w:val="2E614A"/>
          <w:spacing w:val="-12"/>
        </w:rPr>
        <w:t>More</w:t>
      </w:r>
      <w:r>
        <w:rPr>
          <w:color w:val="2E614A"/>
          <w:spacing w:val="-3"/>
        </w:rPr>
        <w:t> </w:t>
      </w:r>
      <w:r>
        <w:rPr>
          <w:color w:val="2E614A"/>
          <w:spacing w:val="-12"/>
        </w:rPr>
        <w:t>Co-ordination</w:t>
      </w:r>
      <w:r>
        <w:rPr>
          <w:color w:val="2E614A"/>
          <w:spacing w:val="-3"/>
        </w:rPr>
        <w:t> </w:t>
      </w:r>
      <w:r>
        <w:rPr>
          <w:color w:val="2E614A"/>
          <w:spacing w:val="-12"/>
        </w:rPr>
        <w:t>between </w:t>
      </w:r>
      <w:r>
        <w:rPr>
          <w:color w:val="2E614A"/>
          <w:spacing w:val="-2"/>
        </w:rPr>
        <w:t>Departments</w:t>
      </w:r>
    </w:p>
    <w:p>
      <w:pPr>
        <w:pStyle w:val="BodyText"/>
        <w:spacing w:line="266" w:lineRule="auto" w:before="294"/>
        <w:ind w:left="1079"/>
        <w:jc w:val="both"/>
      </w:pPr>
      <w:r>
        <w:rPr/>
        <w:t>The multiplicity of management structures and government</w:t>
      </w:r>
      <w:r>
        <w:rPr>
          <w:spacing w:val="38"/>
        </w:rPr>
        <w:t>  </w:t>
      </w:r>
      <w:r>
        <w:rPr/>
        <w:t>departments</w:t>
      </w:r>
      <w:r>
        <w:rPr>
          <w:spacing w:val="39"/>
        </w:rPr>
        <w:t>  </w:t>
      </w:r>
      <w:r>
        <w:rPr/>
        <w:t>that</w:t>
      </w:r>
      <w:r>
        <w:rPr>
          <w:spacing w:val="38"/>
        </w:rPr>
        <w:t>  </w:t>
      </w:r>
      <w:r>
        <w:rPr/>
        <w:t>currently</w:t>
      </w:r>
      <w:r>
        <w:rPr>
          <w:spacing w:val="39"/>
        </w:rPr>
        <w:t>  </w:t>
      </w:r>
      <w:r>
        <w:rPr>
          <w:spacing w:val="-2"/>
        </w:rPr>
        <w:t>governs</w:t>
      </w:r>
    </w:p>
    <w:p>
      <w:pPr>
        <w:pStyle w:val="BodyText"/>
        <w:spacing w:line="266" w:lineRule="auto" w:before="77"/>
        <w:ind w:left="319" w:right="1077"/>
        <w:jc w:val="both"/>
      </w:pPr>
      <w:r>
        <w:rPr/>
        <w:br w:type="column"/>
      </w:r>
      <w:r>
        <w:rPr>
          <w:spacing w:val="-6"/>
        </w:rPr>
        <w:t>schooling</w:t>
      </w:r>
      <w:r>
        <w:rPr>
          <w:spacing w:val="-7"/>
        </w:rPr>
        <w:t> </w:t>
      </w:r>
      <w:r>
        <w:rPr>
          <w:spacing w:val="-6"/>
        </w:rPr>
        <w:t>creates</w:t>
      </w:r>
      <w:r>
        <w:rPr>
          <w:spacing w:val="-7"/>
        </w:rPr>
        <w:t> </w:t>
      </w:r>
      <w:r>
        <w:rPr>
          <w:spacing w:val="-6"/>
        </w:rPr>
        <w:t>confusion,</w:t>
      </w:r>
      <w:r>
        <w:rPr>
          <w:spacing w:val="-7"/>
        </w:rPr>
        <w:t> </w:t>
      </w:r>
      <w:r>
        <w:rPr>
          <w:spacing w:val="-6"/>
        </w:rPr>
        <w:t>unnecessary</w:t>
      </w:r>
      <w:r>
        <w:rPr>
          <w:spacing w:val="-7"/>
        </w:rPr>
        <w:t> </w:t>
      </w:r>
      <w:r>
        <w:rPr>
          <w:spacing w:val="-6"/>
        </w:rPr>
        <w:t>replication</w:t>
      </w:r>
      <w:r>
        <w:rPr>
          <w:spacing w:val="-7"/>
        </w:rPr>
        <w:t> </w:t>
      </w:r>
      <w:r>
        <w:rPr>
          <w:spacing w:val="-6"/>
        </w:rPr>
        <w:t>and </w:t>
      </w:r>
      <w:r>
        <w:rPr>
          <w:spacing w:val="-4"/>
        </w:rPr>
        <w:t>possibly</w:t>
      </w:r>
      <w:r>
        <w:rPr>
          <w:spacing w:val="-9"/>
        </w:rPr>
        <w:t> </w:t>
      </w:r>
      <w:r>
        <w:rPr>
          <w:spacing w:val="-4"/>
        </w:rPr>
        <w:t>inconsistent</w:t>
      </w:r>
      <w:r>
        <w:rPr>
          <w:spacing w:val="-9"/>
        </w:rPr>
        <w:t> </w:t>
      </w:r>
      <w:r>
        <w:rPr>
          <w:spacing w:val="-4"/>
        </w:rPr>
        <w:t>strategies</w:t>
      </w:r>
      <w:r>
        <w:rPr>
          <w:spacing w:val="-9"/>
        </w:rPr>
        <w:t> </w:t>
      </w:r>
      <w:r>
        <w:rPr>
          <w:spacing w:val="-4"/>
        </w:rPr>
        <w:t>across</w:t>
      </w:r>
      <w:r>
        <w:rPr>
          <w:spacing w:val="-9"/>
        </w:rPr>
        <w:t> </w:t>
      </w:r>
      <w:r>
        <w:rPr>
          <w:spacing w:val="-4"/>
        </w:rPr>
        <w:t>different</w:t>
      </w:r>
      <w:r>
        <w:rPr>
          <w:spacing w:val="-9"/>
        </w:rPr>
        <w:t> </w:t>
      </w:r>
      <w:r>
        <w:rPr>
          <w:spacing w:val="-4"/>
        </w:rPr>
        <w:t>schools. </w:t>
      </w:r>
      <w:r>
        <w:rPr/>
        <w:t>There</w:t>
      </w:r>
      <w:r>
        <w:rPr>
          <w:spacing w:val="-14"/>
        </w:rPr>
        <w:t> </w:t>
      </w:r>
      <w:r>
        <w:rPr/>
        <w:t>must</w:t>
      </w:r>
      <w:r>
        <w:rPr>
          <w:spacing w:val="-14"/>
        </w:rPr>
        <w:t> </w:t>
      </w:r>
      <w:r>
        <w:rPr/>
        <w:t>be</w:t>
      </w:r>
      <w:r>
        <w:rPr>
          <w:spacing w:val="-14"/>
        </w:rPr>
        <w:t> </w:t>
      </w:r>
      <w:r>
        <w:rPr/>
        <w:t>greater</w:t>
      </w:r>
      <w:r>
        <w:rPr>
          <w:spacing w:val="-13"/>
        </w:rPr>
        <w:t> </w:t>
      </w:r>
      <w:r>
        <w:rPr/>
        <w:t>co-ordination</w:t>
      </w:r>
      <w:r>
        <w:rPr>
          <w:spacing w:val="-14"/>
        </w:rPr>
        <w:t> </w:t>
      </w:r>
      <w:r>
        <w:rPr/>
        <w:t>between</w:t>
      </w:r>
      <w:r>
        <w:rPr>
          <w:spacing w:val="-14"/>
        </w:rPr>
        <w:t> </w:t>
      </w:r>
      <w:r>
        <w:rPr/>
        <w:t>different departments of government on school education </w:t>
      </w:r>
      <w:r>
        <w:rPr>
          <w:spacing w:val="-4"/>
        </w:rPr>
        <w:t>policy,</w:t>
      </w:r>
      <w:r>
        <w:rPr>
          <w:spacing w:val="-8"/>
        </w:rPr>
        <w:t> </w:t>
      </w:r>
      <w:r>
        <w:rPr>
          <w:spacing w:val="-4"/>
        </w:rPr>
        <w:t>even</w:t>
      </w:r>
      <w:r>
        <w:rPr>
          <w:spacing w:val="-8"/>
        </w:rPr>
        <w:t> </w:t>
      </w:r>
      <w:r>
        <w:rPr>
          <w:spacing w:val="-4"/>
        </w:rPr>
        <w:t>while</w:t>
      </w:r>
      <w:r>
        <w:rPr>
          <w:spacing w:val="-8"/>
        </w:rPr>
        <w:t> </w:t>
      </w:r>
      <w:r>
        <w:rPr>
          <w:spacing w:val="-4"/>
        </w:rPr>
        <w:t>ensuring</w:t>
      </w:r>
      <w:r>
        <w:rPr>
          <w:spacing w:val="-8"/>
        </w:rPr>
        <w:t> </w:t>
      </w:r>
      <w:r>
        <w:rPr>
          <w:spacing w:val="-4"/>
        </w:rPr>
        <w:t>more</w:t>
      </w:r>
      <w:r>
        <w:rPr>
          <w:spacing w:val="-8"/>
        </w:rPr>
        <w:t> </w:t>
      </w:r>
      <w:r>
        <w:rPr>
          <w:spacing w:val="-4"/>
        </w:rPr>
        <w:t>autonomy</w:t>
      </w:r>
      <w:r>
        <w:rPr>
          <w:spacing w:val="-8"/>
        </w:rPr>
        <w:t> </w:t>
      </w:r>
      <w:r>
        <w:rPr>
          <w:spacing w:val="-4"/>
        </w:rPr>
        <w:t>to</w:t>
      </w:r>
      <w:r>
        <w:rPr>
          <w:spacing w:val="-8"/>
        </w:rPr>
        <w:t> </w:t>
      </w:r>
      <w:r>
        <w:rPr>
          <w:spacing w:val="-4"/>
        </w:rPr>
        <w:t>the</w:t>
      </w:r>
      <w:r>
        <w:rPr>
          <w:spacing w:val="-8"/>
        </w:rPr>
        <w:t> </w:t>
      </w:r>
      <w:r>
        <w:rPr>
          <w:spacing w:val="-4"/>
        </w:rPr>
        <w:t>local </w:t>
      </w:r>
      <w:r>
        <w:rPr/>
        <w:t>management of schools.</w:t>
      </w:r>
    </w:p>
    <w:p>
      <w:pPr>
        <w:pStyle w:val="BodyText"/>
        <w:spacing w:before="1"/>
      </w:pPr>
    </w:p>
    <w:p>
      <w:pPr>
        <w:pStyle w:val="Heading6"/>
        <w:numPr>
          <w:ilvl w:val="0"/>
          <w:numId w:val="13"/>
        </w:numPr>
        <w:tabs>
          <w:tab w:pos="643" w:val="left" w:leader="none"/>
          <w:tab w:pos="645" w:val="left" w:leader="none"/>
        </w:tabs>
        <w:spacing w:line="182" w:lineRule="auto" w:before="0" w:after="0"/>
        <w:ind w:left="645" w:right="1713" w:hanging="327"/>
        <w:jc w:val="left"/>
      </w:pPr>
      <w:r>
        <w:rPr>
          <w:color w:val="2E614A"/>
          <w:w w:val="90"/>
        </w:rPr>
        <w:t>National Evaluation Body </w:t>
      </w:r>
      <w:r>
        <w:rPr>
          <w:color w:val="2E614A"/>
          <w:w w:val="90"/>
        </w:rPr>
        <w:t>for </w:t>
      </w:r>
      <w:r>
        <w:rPr>
          <w:color w:val="2E614A"/>
        </w:rPr>
        <w:t>Monitoring Quality</w:t>
      </w:r>
    </w:p>
    <w:p>
      <w:pPr>
        <w:pStyle w:val="BodyText"/>
        <w:spacing w:line="266" w:lineRule="auto" w:before="302"/>
        <w:ind w:left="319" w:right="1077"/>
        <w:jc w:val="both"/>
      </w:pPr>
      <w:r>
        <w:rPr/>
        <w:t>Educational administration also needs to be </w:t>
      </w:r>
      <w:r>
        <w:rPr/>
        <w:t>more </w:t>
      </w:r>
      <w:r>
        <w:rPr>
          <w:spacing w:val="-6"/>
        </w:rPr>
        <w:t>conscious</w:t>
      </w:r>
      <w:r>
        <w:rPr>
          <w:spacing w:val="-7"/>
        </w:rPr>
        <w:t> </w:t>
      </w:r>
      <w:r>
        <w:rPr>
          <w:spacing w:val="-6"/>
        </w:rPr>
        <w:t>of</w:t>
      </w:r>
      <w:r>
        <w:rPr>
          <w:spacing w:val="-7"/>
        </w:rPr>
        <w:t> </w:t>
      </w:r>
      <w:r>
        <w:rPr>
          <w:spacing w:val="-6"/>
        </w:rPr>
        <w:t>actual</w:t>
      </w:r>
      <w:r>
        <w:rPr>
          <w:spacing w:val="-7"/>
        </w:rPr>
        <w:t> </w:t>
      </w:r>
      <w:r>
        <w:rPr>
          <w:spacing w:val="-6"/>
        </w:rPr>
        <w:t>learning</w:t>
      </w:r>
      <w:r>
        <w:rPr>
          <w:spacing w:val="-7"/>
        </w:rPr>
        <w:t> </w:t>
      </w:r>
      <w:r>
        <w:rPr>
          <w:spacing w:val="-6"/>
        </w:rPr>
        <w:t>outcomes</w:t>
      </w:r>
      <w:r>
        <w:rPr>
          <w:spacing w:val="-7"/>
        </w:rPr>
        <w:t> </w:t>
      </w:r>
      <w:r>
        <w:rPr>
          <w:spacing w:val="-6"/>
        </w:rPr>
        <w:t>at</w:t>
      </w:r>
      <w:r>
        <w:rPr>
          <w:spacing w:val="-7"/>
        </w:rPr>
        <w:t> </w:t>
      </w:r>
      <w:r>
        <w:rPr>
          <w:spacing w:val="-6"/>
        </w:rPr>
        <w:t>different</w:t>
      </w:r>
      <w:r>
        <w:rPr>
          <w:spacing w:val="-7"/>
        </w:rPr>
        <w:t> </w:t>
      </w:r>
      <w:r>
        <w:rPr>
          <w:spacing w:val="-6"/>
        </w:rPr>
        <w:t>levels, </w:t>
      </w:r>
      <w:r>
        <w:rPr/>
        <w:t>which will determine both policy and functioning. NKC</w:t>
      </w:r>
      <w:r>
        <w:rPr>
          <w:spacing w:val="-14"/>
        </w:rPr>
        <w:t> </w:t>
      </w:r>
      <w:r>
        <w:rPr/>
        <w:t>therefore</w:t>
      </w:r>
      <w:r>
        <w:rPr>
          <w:spacing w:val="-14"/>
        </w:rPr>
        <w:t> </w:t>
      </w:r>
      <w:r>
        <w:rPr/>
        <w:t>proposes</w:t>
      </w:r>
      <w:r>
        <w:rPr>
          <w:spacing w:val="-14"/>
        </w:rPr>
        <w:t> </w:t>
      </w:r>
      <w:r>
        <w:rPr/>
        <w:t>a</w:t>
      </w:r>
      <w:r>
        <w:rPr>
          <w:spacing w:val="-13"/>
        </w:rPr>
        <w:t> </w:t>
      </w:r>
      <w:r>
        <w:rPr/>
        <w:t>national</w:t>
      </w:r>
      <w:r>
        <w:rPr>
          <w:spacing w:val="-14"/>
        </w:rPr>
        <w:t> </w:t>
      </w:r>
      <w:r>
        <w:rPr/>
        <w:t>evaluation</w:t>
      </w:r>
      <w:r>
        <w:rPr>
          <w:spacing w:val="-14"/>
        </w:rPr>
        <w:t> </w:t>
      </w:r>
      <w:r>
        <w:rPr/>
        <w:t>body</w:t>
      </w:r>
      <w:r>
        <w:rPr>
          <w:spacing w:val="-14"/>
        </w:rPr>
        <w:t> </w:t>
      </w:r>
      <w:r>
        <w:rPr/>
        <w:t>to monitor the quality of both government and private schools, using a results-based monitoring framework </w:t>
      </w:r>
      <w:r>
        <w:rPr>
          <w:spacing w:val="-2"/>
        </w:rPr>
        <w:t>based</w:t>
      </w:r>
      <w:r>
        <w:rPr>
          <w:spacing w:val="-12"/>
        </w:rPr>
        <w:t> </w:t>
      </w:r>
      <w:r>
        <w:rPr>
          <w:spacing w:val="-2"/>
        </w:rPr>
        <w:t>on</w:t>
      </w:r>
      <w:r>
        <w:rPr>
          <w:spacing w:val="-12"/>
        </w:rPr>
        <w:t> </w:t>
      </w:r>
      <w:r>
        <w:rPr>
          <w:spacing w:val="-2"/>
        </w:rPr>
        <w:t>a</w:t>
      </w:r>
      <w:r>
        <w:rPr>
          <w:spacing w:val="-12"/>
        </w:rPr>
        <w:t> </w:t>
      </w:r>
      <w:r>
        <w:rPr>
          <w:spacing w:val="-2"/>
        </w:rPr>
        <w:t>short</w:t>
      </w:r>
      <w:r>
        <w:rPr>
          <w:spacing w:val="-11"/>
        </w:rPr>
        <w:t> </w:t>
      </w:r>
      <w:r>
        <w:rPr>
          <w:spacing w:val="-2"/>
        </w:rPr>
        <w:t>list</w:t>
      </w:r>
      <w:r>
        <w:rPr>
          <w:spacing w:val="-12"/>
        </w:rPr>
        <w:t> </w:t>
      </w:r>
      <w:r>
        <w:rPr>
          <w:spacing w:val="-2"/>
        </w:rPr>
        <w:t>of</w:t>
      </w:r>
      <w:r>
        <w:rPr>
          <w:spacing w:val="-12"/>
        </w:rPr>
        <w:t> </w:t>
      </w:r>
      <w:r>
        <w:rPr>
          <w:spacing w:val="-2"/>
        </w:rPr>
        <w:t>monitorable</w:t>
      </w:r>
      <w:r>
        <w:rPr>
          <w:spacing w:val="-12"/>
        </w:rPr>
        <w:t> </w:t>
      </w:r>
      <w:r>
        <w:rPr>
          <w:spacing w:val="-2"/>
        </w:rPr>
        <w:t>criteria</w:t>
      </w:r>
      <w:r>
        <w:rPr>
          <w:spacing w:val="-11"/>
        </w:rPr>
        <w:t> </w:t>
      </w:r>
      <w:r>
        <w:rPr>
          <w:spacing w:val="-2"/>
        </w:rPr>
        <w:t>that</w:t>
      </w:r>
      <w:r>
        <w:rPr>
          <w:spacing w:val="-12"/>
        </w:rPr>
        <w:t> </w:t>
      </w:r>
      <w:r>
        <w:rPr>
          <w:spacing w:val="-2"/>
        </w:rPr>
        <w:t>include </w:t>
      </w:r>
      <w:r>
        <w:rPr/>
        <w:t>both process and outcome indicators.</w:t>
      </w:r>
    </w:p>
    <w:p>
      <w:pPr>
        <w:pStyle w:val="Heading6"/>
        <w:numPr>
          <w:ilvl w:val="0"/>
          <w:numId w:val="13"/>
        </w:numPr>
        <w:tabs>
          <w:tab w:pos="808" w:val="left" w:leader="none"/>
        </w:tabs>
        <w:spacing w:line="240" w:lineRule="auto" w:before="180" w:after="0"/>
        <w:ind w:left="808" w:right="0" w:hanging="489"/>
        <w:jc w:val="left"/>
      </w:pPr>
      <w:r>
        <w:rPr>
          <w:color w:val="2E614A"/>
          <w:w w:val="90"/>
        </w:rPr>
        <w:t>Revamping</w:t>
      </w:r>
      <w:r>
        <w:rPr>
          <w:color w:val="2E614A"/>
          <w:spacing w:val="30"/>
        </w:rPr>
        <w:t> </w:t>
      </w:r>
      <w:r>
        <w:rPr>
          <w:color w:val="2E614A"/>
          <w:w w:val="90"/>
        </w:rPr>
        <w:t>School</w:t>
      </w:r>
      <w:r>
        <w:rPr>
          <w:color w:val="2E614A"/>
          <w:spacing w:val="30"/>
        </w:rPr>
        <w:t> </w:t>
      </w:r>
      <w:r>
        <w:rPr>
          <w:color w:val="2E614A"/>
          <w:spacing w:val="-2"/>
          <w:w w:val="90"/>
        </w:rPr>
        <w:t>Inspection</w:t>
      </w:r>
    </w:p>
    <w:p>
      <w:pPr>
        <w:pStyle w:val="BodyText"/>
        <w:spacing w:line="266" w:lineRule="auto" w:before="286"/>
        <w:ind w:left="319" w:right="1077"/>
        <w:jc w:val="both"/>
      </w:pPr>
      <w:r>
        <w:rPr>
          <w:spacing w:val="-2"/>
        </w:rPr>
        <w:t>The</w:t>
      </w:r>
      <w:r>
        <w:rPr>
          <w:spacing w:val="-7"/>
        </w:rPr>
        <w:t> </w:t>
      </w:r>
      <w:r>
        <w:rPr>
          <w:spacing w:val="-2"/>
        </w:rPr>
        <w:t>system</w:t>
      </w:r>
      <w:r>
        <w:rPr>
          <w:spacing w:val="-7"/>
        </w:rPr>
        <w:t> </w:t>
      </w:r>
      <w:r>
        <w:rPr>
          <w:spacing w:val="-2"/>
        </w:rPr>
        <w:t>of</w:t>
      </w:r>
      <w:r>
        <w:rPr>
          <w:spacing w:val="-7"/>
        </w:rPr>
        <w:t> </w:t>
      </w:r>
      <w:r>
        <w:rPr>
          <w:spacing w:val="-2"/>
        </w:rPr>
        <w:t>school</w:t>
      </w:r>
      <w:r>
        <w:rPr>
          <w:spacing w:val="-7"/>
        </w:rPr>
        <w:t> </w:t>
      </w:r>
      <w:r>
        <w:rPr>
          <w:spacing w:val="-2"/>
        </w:rPr>
        <w:t>inspection</w:t>
      </w:r>
      <w:r>
        <w:rPr>
          <w:spacing w:val="-7"/>
        </w:rPr>
        <w:t> </w:t>
      </w:r>
      <w:r>
        <w:rPr>
          <w:spacing w:val="-2"/>
        </w:rPr>
        <w:t>needs</w:t>
      </w:r>
      <w:r>
        <w:rPr>
          <w:spacing w:val="-7"/>
        </w:rPr>
        <w:t> </w:t>
      </w:r>
      <w:r>
        <w:rPr>
          <w:spacing w:val="-2"/>
        </w:rPr>
        <w:t>to</w:t>
      </w:r>
      <w:r>
        <w:rPr>
          <w:spacing w:val="-7"/>
        </w:rPr>
        <w:t> </w:t>
      </w:r>
      <w:r>
        <w:rPr>
          <w:spacing w:val="-2"/>
        </w:rPr>
        <w:t>be</w:t>
      </w:r>
      <w:r>
        <w:rPr>
          <w:spacing w:val="-7"/>
        </w:rPr>
        <w:t> </w:t>
      </w:r>
      <w:r>
        <w:rPr>
          <w:spacing w:val="-2"/>
        </w:rPr>
        <w:t>revamped </w:t>
      </w:r>
      <w:r>
        <w:rPr>
          <w:spacing w:val="-4"/>
        </w:rPr>
        <w:t>and</w:t>
      </w:r>
      <w:r>
        <w:rPr>
          <w:spacing w:val="-12"/>
        </w:rPr>
        <w:t> </w:t>
      </w:r>
      <w:r>
        <w:rPr>
          <w:spacing w:val="-4"/>
        </w:rPr>
        <w:t>revitalised,</w:t>
      </w:r>
      <w:r>
        <w:rPr>
          <w:spacing w:val="-10"/>
        </w:rPr>
        <w:t> </w:t>
      </w:r>
      <w:r>
        <w:rPr>
          <w:spacing w:val="-4"/>
        </w:rPr>
        <w:t>with</w:t>
      </w:r>
      <w:r>
        <w:rPr>
          <w:spacing w:val="-10"/>
        </w:rPr>
        <w:t> </w:t>
      </w:r>
      <w:r>
        <w:rPr>
          <w:spacing w:val="-4"/>
        </w:rPr>
        <w:t>a</w:t>
      </w:r>
      <w:r>
        <w:rPr>
          <w:spacing w:val="-9"/>
        </w:rPr>
        <w:t> </w:t>
      </w:r>
      <w:r>
        <w:rPr>
          <w:spacing w:val="-4"/>
        </w:rPr>
        <w:t>greater</w:t>
      </w:r>
      <w:r>
        <w:rPr>
          <w:spacing w:val="-10"/>
        </w:rPr>
        <w:t> </w:t>
      </w:r>
      <w:r>
        <w:rPr>
          <w:spacing w:val="-4"/>
        </w:rPr>
        <w:t>role</w:t>
      </w:r>
      <w:r>
        <w:rPr>
          <w:spacing w:val="-10"/>
        </w:rPr>
        <w:t> </w:t>
      </w:r>
      <w:r>
        <w:rPr>
          <w:spacing w:val="-4"/>
        </w:rPr>
        <w:t>for</w:t>
      </w:r>
      <w:r>
        <w:rPr>
          <w:spacing w:val="-10"/>
        </w:rPr>
        <w:t> </w:t>
      </w:r>
      <w:r>
        <w:rPr>
          <w:spacing w:val="-4"/>
        </w:rPr>
        <w:t>local</w:t>
      </w:r>
      <w:r>
        <w:rPr>
          <w:spacing w:val="-9"/>
        </w:rPr>
        <w:t> </w:t>
      </w:r>
      <w:r>
        <w:rPr>
          <w:spacing w:val="-4"/>
        </w:rPr>
        <w:t>stakeholders </w:t>
      </w:r>
      <w:r>
        <w:rPr/>
        <w:t>and greater transparency in the system. The solution does not lie in simply expanding the system – rather, we need to develop systems to ensure meaningful monitoring, including provision of greater facilities to school inspectors, a separation of inspection of </w:t>
      </w:r>
      <w:r>
        <w:rPr>
          <w:spacing w:val="-2"/>
        </w:rPr>
        <w:t>qualitative and administrative aspects, transparency in </w:t>
      </w:r>
      <w:r>
        <w:rPr/>
        <w:t>the criteria of inspection, and greater involvement of local stakeholders.</w:t>
      </w:r>
    </w:p>
    <w:p>
      <w:pPr>
        <w:pStyle w:val="Heading6"/>
        <w:numPr>
          <w:ilvl w:val="0"/>
          <w:numId w:val="13"/>
        </w:numPr>
        <w:tabs>
          <w:tab w:pos="820" w:val="left" w:leader="none"/>
        </w:tabs>
        <w:spacing w:line="240" w:lineRule="auto" w:before="178" w:after="0"/>
        <w:ind w:left="820" w:right="0" w:hanging="501"/>
        <w:jc w:val="left"/>
      </w:pPr>
      <w:r>
        <w:rPr>
          <w:color w:val="2E614A"/>
          <w:w w:val="90"/>
        </w:rPr>
        <w:t>Teachers</w:t>
      </w:r>
      <w:r>
        <w:rPr>
          <w:color w:val="2E614A"/>
          <w:spacing w:val="-11"/>
          <w:w w:val="90"/>
        </w:rPr>
        <w:t> </w:t>
      </w:r>
      <w:r>
        <w:rPr>
          <w:color w:val="2E614A"/>
          <w:w w:val="90"/>
        </w:rPr>
        <w:t>and</w:t>
      </w:r>
      <w:r>
        <w:rPr>
          <w:color w:val="2E614A"/>
          <w:spacing w:val="-2"/>
          <w:w w:val="90"/>
        </w:rPr>
        <w:t> </w:t>
      </w:r>
      <w:r>
        <w:rPr>
          <w:color w:val="2E614A"/>
          <w:w w:val="90"/>
        </w:rPr>
        <w:t>Teacher</w:t>
      </w:r>
      <w:r>
        <w:rPr>
          <w:color w:val="2E614A"/>
          <w:spacing w:val="-2"/>
          <w:w w:val="90"/>
        </w:rPr>
        <w:t> Training</w:t>
      </w:r>
    </w:p>
    <w:p>
      <w:pPr>
        <w:pStyle w:val="BodyText"/>
        <w:spacing w:line="266" w:lineRule="auto" w:before="285"/>
        <w:ind w:left="319" w:right="1077"/>
        <w:jc w:val="both"/>
      </w:pPr>
      <w:r>
        <w:rPr/>
        <w:t>Teachers</w:t>
      </w:r>
      <w:r>
        <w:rPr>
          <w:spacing w:val="-9"/>
        </w:rPr>
        <w:t> </w:t>
      </w:r>
      <w:r>
        <w:rPr/>
        <w:t>are</w:t>
      </w:r>
      <w:r>
        <w:rPr>
          <w:spacing w:val="-9"/>
        </w:rPr>
        <w:t> </w:t>
      </w:r>
      <w:r>
        <w:rPr/>
        <w:t>the</w:t>
      </w:r>
      <w:r>
        <w:rPr>
          <w:spacing w:val="-9"/>
        </w:rPr>
        <w:t> </w:t>
      </w:r>
      <w:r>
        <w:rPr/>
        <w:t>single</w:t>
      </w:r>
      <w:r>
        <w:rPr>
          <w:spacing w:val="-9"/>
        </w:rPr>
        <w:t> </w:t>
      </w:r>
      <w:r>
        <w:rPr/>
        <w:t>most</w:t>
      </w:r>
      <w:r>
        <w:rPr>
          <w:spacing w:val="-9"/>
        </w:rPr>
        <w:t> </w:t>
      </w:r>
      <w:r>
        <w:rPr/>
        <w:t>important</w:t>
      </w:r>
      <w:r>
        <w:rPr>
          <w:spacing w:val="-9"/>
        </w:rPr>
        <w:t> </w:t>
      </w:r>
      <w:r>
        <w:rPr/>
        <w:t>element</w:t>
      </w:r>
      <w:r>
        <w:rPr>
          <w:spacing w:val="-9"/>
        </w:rPr>
        <w:t> </w:t>
      </w:r>
      <w:r>
        <w:rPr/>
        <w:t>of</w:t>
      </w:r>
      <w:r>
        <w:rPr>
          <w:spacing w:val="-9"/>
        </w:rPr>
        <w:t> </w:t>
      </w:r>
      <w:r>
        <w:rPr/>
        <w:t>the </w:t>
      </w:r>
      <w:r>
        <w:rPr>
          <w:spacing w:val="-6"/>
        </w:rPr>
        <w:t>school system, and the country is already facing a </w:t>
      </w:r>
      <w:r>
        <w:rPr>
          <w:spacing w:val="-6"/>
        </w:rPr>
        <w:t>severe </w:t>
      </w:r>
      <w:r>
        <w:rPr/>
        <w:t>shortage of qualified and motivated school teachers at different levels. It is urgent to restore the dignity</w:t>
      </w:r>
      <w:r>
        <w:rPr>
          <w:spacing w:val="40"/>
        </w:rPr>
        <w:t> </w:t>
      </w:r>
      <w:r>
        <w:rPr/>
        <w:t>of school teaching as a profession and provide more incentives</w:t>
      </w:r>
      <w:r>
        <w:rPr>
          <w:spacing w:val="-14"/>
        </w:rPr>
        <w:t> </w:t>
      </w:r>
      <w:r>
        <w:rPr/>
        <w:t>for</w:t>
      </w:r>
      <w:r>
        <w:rPr>
          <w:spacing w:val="-14"/>
        </w:rPr>
        <w:t> </w:t>
      </w:r>
      <w:r>
        <w:rPr/>
        <w:t>qualified</w:t>
      </w:r>
      <w:r>
        <w:rPr>
          <w:spacing w:val="-14"/>
        </w:rPr>
        <w:t> </w:t>
      </w:r>
      <w:r>
        <w:rPr/>
        <w:t>and</w:t>
      </w:r>
      <w:r>
        <w:rPr>
          <w:spacing w:val="-13"/>
        </w:rPr>
        <w:t> </w:t>
      </w:r>
      <w:r>
        <w:rPr/>
        <w:t>committed</w:t>
      </w:r>
      <w:r>
        <w:rPr>
          <w:spacing w:val="-14"/>
        </w:rPr>
        <w:t> </w:t>
      </w:r>
      <w:r>
        <w:rPr/>
        <w:t>teachers.</w:t>
      </w:r>
      <w:r>
        <w:rPr>
          <w:spacing w:val="-14"/>
        </w:rPr>
        <w:t> </w:t>
      </w:r>
      <w:r>
        <w:rPr/>
        <w:t>Non- </w:t>
      </w:r>
      <w:r>
        <w:rPr>
          <w:spacing w:val="-6"/>
        </w:rPr>
        <w:t>teaching official duties such as electoral activities should </w:t>
      </w:r>
      <w:r>
        <w:rPr/>
        <w:t>not</w:t>
      </w:r>
      <w:r>
        <w:rPr>
          <w:spacing w:val="-1"/>
        </w:rPr>
        <w:t> </w:t>
      </w:r>
      <w:r>
        <w:rPr/>
        <w:t>be</w:t>
      </w:r>
      <w:r>
        <w:rPr>
          <w:spacing w:val="-1"/>
        </w:rPr>
        <w:t> </w:t>
      </w:r>
      <w:r>
        <w:rPr/>
        <w:t>allowed</w:t>
      </w:r>
      <w:r>
        <w:rPr>
          <w:spacing w:val="-1"/>
        </w:rPr>
        <w:t> </w:t>
      </w:r>
      <w:r>
        <w:rPr/>
        <w:t>to</w:t>
      </w:r>
      <w:r>
        <w:rPr>
          <w:spacing w:val="-1"/>
        </w:rPr>
        <w:t> </w:t>
      </w:r>
      <w:r>
        <w:rPr/>
        <w:t>interfere</w:t>
      </w:r>
      <w:r>
        <w:rPr>
          <w:spacing w:val="-1"/>
        </w:rPr>
        <w:t> </w:t>
      </w:r>
      <w:r>
        <w:rPr/>
        <w:t>with</w:t>
      </w:r>
      <w:r>
        <w:rPr>
          <w:spacing w:val="-1"/>
        </w:rPr>
        <w:t> </w:t>
      </w:r>
      <w:r>
        <w:rPr/>
        <w:t>the</w:t>
      </w:r>
      <w:r>
        <w:rPr>
          <w:spacing w:val="-1"/>
        </w:rPr>
        <w:t> </w:t>
      </w:r>
      <w:r>
        <w:rPr/>
        <w:t>teaching</w:t>
      </w:r>
      <w:r>
        <w:rPr>
          <w:spacing w:val="-1"/>
        </w:rPr>
        <w:t> </w:t>
      </w:r>
      <w:r>
        <w:rPr/>
        <w:t>process. </w:t>
      </w:r>
      <w:r>
        <w:rPr>
          <w:spacing w:val="-2"/>
        </w:rPr>
        <w:t>Forums</w:t>
      </w:r>
      <w:r>
        <w:rPr>
          <w:spacing w:val="-12"/>
        </w:rPr>
        <w:t> </w:t>
      </w:r>
      <w:r>
        <w:rPr>
          <w:spacing w:val="-2"/>
        </w:rPr>
        <w:t>that</w:t>
      </w:r>
      <w:r>
        <w:rPr>
          <w:spacing w:val="-10"/>
        </w:rPr>
        <w:t> </w:t>
      </w:r>
      <w:r>
        <w:rPr>
          <w:spacing w:val="-2"/>
        </w:rPr>
        <w:t>allow</w:t>
      </w:r>
      <w:r>
        <w:rPr>
          <w:spacing w:val="-10"/>
        </w:rPr>
        <w:t> </w:t>
      </w:r>
      <w:r>
        <w:rPr>
          <w:spacing w:val="-2"/>
        </w:rPr>
        <w:t>and</w:t>
      </w:r>
      <w:r>
        <w:rPr>
          <w:spacing w:val="-10"/>
        </w:rPr>
        <w:t> </w:t>
      </w:r>
      <w:r>
        <w:rPr>
          <w:spacing w:val="-2"/>
        </w:rPr>
        <w:t>encourage</w:t>
      </w:r>
      <w:r>
        <w:rPr>
          <w:spacing w:val="-10"/>
        </w:rPr>
        <w:t> </w:t>
      </w:r>
      <w:r>
        <w:rPr>
          <w:spacing w:val="-2"/>
        </w:rPr>
        <w:t>teachers</w:t>
      </w:r>
      <w:r>
        <w:rPr>
          <w:spacing w:val="-10"/>
        </w:rPr>
        <w:t> </w:t>
      </w:r>
      <w:r>
        <w:rPr>
          <w:spacing w:val="-2"/>
        </w:rPr>
        <w:t>to</w:t>
      </w:r>
      <w:r>
        <w:rPr>
          <w:spacing w:val="-10"/>
        </w:rPr>
        <w:t> </w:t>
      </w:r>
      <w:r>
        <w:rPr>
          <w:spacing w:val="-2"/>
        </w:rPr>
        <w:t>exchange </w:t>
      </w:r>
      <w:r>
        <w:rPr/>
        <w:t>ideas, information and experiences, including a web- based portal, should be developed.</w:t>
      </w:r>
    </w:p>
    <w:p>
      <w:pPr>
        <w:pStyle w:val="BodyText"/>
        <w:spacing w:before="18"/>
      </w:pPr>
    </w:p>
    <w:p>
      <w:pPr>
        <w:pStyle w:val="BodyText"/>
        <w:spacing w:line="266" w:lineRule="auto"/>
        <w:ind w:left="319" w:right="1077"/>
        <w:jc w:val="both"/>
      </w:pPr>
      <w:r>
        <w:rPr/>
        <w:t>At the same time, there should be transparent</w:t>
      </w:r>
      <w:r>
        <w:rPr>
          <w:spacing w:val="40"/>
        </w:rPr>
        <w:t> </w:t>
      </w:r>
      <w:r>
        <w:rPr>
          <w:spacing w:val="-2"/>
        </w:rPr>
        <w:t>systems</w:t>
      </w:r>
      <w:r>
        <w:rPr>
          <w:spacing w:val="-6"/>
        </w:rPr>
        <w:t> </w:t>
      </w:r>
      <w:r>
        <w:rPr>
          <w:spacing w:val="-2"/>
        </w:rPr>
        <w:t>for</w:t>
      </w:r>
      <w:r>
        <w:rPr>
          <w:spacing w:val="-12"/>
        </w:rPr>
        <w:t> </w:t>
      </w:r>
      <w:r>
        <w:rPr>
          <w:spacing w:val="-2"/>
        </w:rPr>
        <w:t>ensuring</w:t>
      </w:r>
      <w:r>
        <w:rPr>
          <w:spacing w:val="-12"/>
        </w:rPr>
        <w:t> </w:t>
      </w:r>
      <w:r>
        <w:rPr>
          <w:spacing w:val="-2"/>
        </w:rPr>
        <w:t>accountability</w:t>
      </w:r>
      <w:r>
        <w:rPr>
          <w:spacing w:val="-11"/>
        </w:rPr>
        <w:t> </w:t>
      </w:r>
      <w:r>
        <w:rPr>
          <w:spacing w:val="-2"/>
        </w:rPr>
        <w:t>of</w:t>
      </w:r>
      <w:r>
        <w:rPr>
          <w:spacing w:val="-12"/>
        </w:rPr>
        <w:t> </w:t>
      </w:r>
      <w:r>
        <w:rPr>
          <w:spacing w:val="-2"/>
        </w:rPr>
        <w:t>school</w:t>
      </w:r>
      <w:r>
        <w:rPr>
          <w:spacing w:val="-12"/>
        </w:rPr>
        <w:t> </w:t>
      </w:r>
      <w:r>
        <w:rPr>
          <w:spacing w:val="-2"/>
        </w:rPr>
        <w:t>teachers. </w:t>
      </w:r>
      <w:r>
        <w:rPr/>
        <w:t>As far as possible, teachers should be recruited </w:t>
      </w:r>
      <w:r>
        <w:rPr/>
        <w:t>to particular schools.</w:t>
      </w:r>
    </w:p>
    <w:p>
      <w:pPr>
        <w:pStyle w:val="BodyText"/>
        <w:spacing w:before="24"/>
      </w:pPr>
    </w:p>
    <w:p>
      <w:pPr>
        <w:pStyle w:val="BodyText"/>
        <w:spacing w:line="266" w:lineRule="auto"/>
        <w:ind w:left="319" w:right="1077"/>
        <w:jc w:val="both"/>
      </w:pPr>
      <w:r>
        <w:rPr/>
        <w:t>The training of teachers is a major area of concern at </w:t>
      </w:r>
      <w:r>
        <w:rPr>
          <w:spacing w:val="-6"/>
        </w:rPr>
        <w:t>present,</w:t>
      </w:r>
      <w:r>
        <w:rPr>
          <w:spacing w:val="3"/>
        </w:rPr>
        <w:t> </w:t>
      </w:r>
      <w:r>
        <w:rPr>
          <w:spacing w:val="-6"/>
        </w:rPr>
        <w:t>since</w:t>
      </w:r>
      <w:r>
        <w:rPr>
          <w:spacing w:val="3"/>
        </w:rPr>
        <w:t> </w:t>
      </w:r>
      <w:r>
        <w:rPr>
          <w:spacing w:val="-6"/>
        </w:rPr>
        <w:t>both</w:t>
      </w:r>
      <w:r>
        <w:rPr>
          <w:spacing w:val="4"/>
        </w:rPr>
        <w:t> </w:t>
      </w:r>
      <w:r>
        <w:rPr>
          <w:spacing w:val="-6"/>
        </w:rPr>
        <w:t>pre-service</w:t>
      </w:r>
      <w:r>
        <w:rPr>
          <w:spacing w:val="3"/>
        </w:rPr>
        <w:t> </w:t>
      </w:r>
      <w:r>
        <w:rPr>
          <w:spacing w:val="-6"/>
        </w:rPr>
        <w:t>and</w:t>
      </w:r>
      <w:r>
        <w:rPr>
          <w:spacing w:val="4"/>
        </w:rPr>
        <w:t> </w:t>
      </w:r>
      <w:r>
        <w:rPr>
          <w:spacing w:val="-6"/>
        </w:rPr>
        <w:t>in-service</w:t>
      </w:r>
      <w:r>
        <w:rPr>
          <w:spacing w:val="3"/>
        </w:rPr>
        <w:t> </w:t>
      </w:r>
      <w:r>
        <w:rPr>
          <w:spacing w:val="-6"/>
        </w:rPr>
        <w:t>training</w:t>
      </w:r>
      <w:r>
        <w:rPr>
          <w:spacing w:val="4"/>
        </w:rPr>
        <w:t> </w:t>
      </w:r>
      <w:r>
        <w:rPr>
          <w:spacing w:val="-6"/>
        </w:rPr>
        <w:t>of</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77"/>
        <w:ind w:left="1080"/>
        <w:jc w:val="both"/>
      </w:pPr>
      <w:r>
        <w:rPr>
          <w:spacing w:val="-4"/>
        </w:rPr>
        <w:t>school</w:t>
      </w:r>
      <w:r>
        <w:rPr>
          <w:spacing w:val="-9"/>
        </w:rPr>
        <w:t> </w:t>
      </w:r>
      <w:r>
        <w:rPr>
          <w:spacing w:val="-4"/>
        </w:rPr>
        <w:t>teachers</w:t>
      </w:r>
      <w:r>
        <w:rPr>
          <w:spacing w:val="-9"/>
        </w:rPr>
        <w:t> </w:t>
      </w:r>
      <w:r>
        <w:rPr>
          <w:spacing w:val="-4"/>
        </w:rPr>
        <w:t>is</w:t>
      </w:r>
      <w:r>
        <w:rPr>
          <w:spacing w:val="-9"/>
        </w:rPr>
        <w:t> </w:t>
      </w:r>
      <w:r>
        <w:rPr>
          <w:spacing w:val="-4"/>
        </w:rPr>
        <w:t>extremely</w:t>
      </w:r>
      <w:r>
        <w:rPr>
          <w:spacing w:val="-9"/>
        </w:rPr>
        <w:t> </w:t>
      </w:r>
      <w:r>
        <w:rPr>
          <w:spacing w:val="-4"/>
        </w:rPr>
        <w:t>inadequate</w:t>
      </w:r>
      <w:r>
        <w:rPr>
          <w:spacing w:val="-9"/>
        </w:rPr>
        <w:t> </w:t>
      </w:r>
      <w:r>
        <w:rPr>
          <w:spacing w:val="-4"/>
        </w:rPr>
        <w:t>and</w:t>
      </w:r>
      <w:r>
        <w:rPr>
          <w:spacing w:val="-9"/>
        </w:rPr>
        <w:t> </w:t>
      </w:r>
      <w:r>
        <w:rPr>
          <w:spacing w:val="-4"/>
        </w:rPr>
        <w:t>also</w:t>
      </w:r>
      <w:r>
        <w:rPr>
          <w:spacing w:val="-9"/>
        </w:rPr>
        <w:t> </w:t>
      </w:r>
      <w:r>
        <w:rPr>
          <w:spacing w:val="-4"/>
        </w:rPr>
        <w:t>poorly </w:t>
      </w:r>
      <w:r>
        <w:rPr/>
        <w:t>managed</w:t>
      </w:r>
      <w:r>
        <w:rPr>
          <w:spacing w:val="-2"/>
        </w:rPr>
        <w:t> </w:t>
      </w:r>
      <w:r>
        <w:rPr/>
        <w:t>in</w:t>
      </w:r>
      <w:r>
        <w:rPr>
          <w:spacing w:val="-2"/>
        </w:rPr>
        <w:t> </w:t>
      </w:r>
      <w:r>
        <w:rPr/>
        <w:t>most</w:t>
      </w:r>
      <w:r>
        <w:rPr>
          <w:spacing w:val="-2"/>
        </w:rPr>
        <w:t> </w:t>
      </w:r>
      <w:r>
        <w:rPr/>
        <w:t>states.</w:t>
      </w:r>
      <w:r>
        <w:rPr>
          <w:spacing w:val="-2"/>
        </w:rPr>
        <w:t> </w:t>
      </w:r>
      <w:r>
        <w:rPr/>
        <w:t>Pre-service</w:t>
      </w:r>
      <w:r>
        <w:rPr>
          <w:spacing w:val="-2"/>
        </w:rPr>
        <w:t> </w:t>
      </w:r>
      <w:r>
        <w:rPr/>
        <w:t>training</w:t>
      </w:r>
      <w:r>
        <w:rPr>
          <w:spacing w:val="-2"/>
        </w:rPr>
        <w:t> </w:t>
      </w:r>
      <w:r>
        <w:rPr/>
        <w:t>needs</w:t>
      </w:r>
      <w:r>
        <w:rPr>
          <w:spacing w:val="-2"/>
        </w:rPr>
        <w:t> </w:t>
      </w:r>
      <w:r>
        <w:rPr/>
        <w:t>to be improved and differently regulated in both public and private institutions, while systems for in-service </w:t>
      </w:r>
      <w:r>
        <w:rPr>
          <w:spacing w:val="-4"/>
        </w:rPr>
        <w:t>training</w:t>
      </w:r>
      <w:r>
        <w:rPr>
          <w:spacing w:val="-10"/>
        </w:rPr>
        <w:t> </w:t>
      </w:r>
      <w:r>
        <w:rPr>
          <w:spacing w:val="-4"/>
        </w:rPr>
        <w:t>require</w:t>
      </w:r>
      <w:r>
        <w:rPr>
          <w:spacing w:val="-10"/>
        </w:rPr>
        <w:t> </w:t>
      </w:r>
      <w:r>
        <w:rPr>
          <w:spacing w:val="-4"/>
        </w:rPr>
        <w:t>expansion</w:t>
      </w:r>
      <w:r>
        <w:rPr>
          <w:spacing w:val="-10"/>
        </w:rPr>
        <w:t> </w:t>
      </w:r>
      <w:r>
        <w:rPr>
          <w:spacing w:val="-4"/>
        </w:rPr>
        <w:t>and</w:t>
      </w:r>
      <w:r>
        <w:rPr>
          <w:spacing w:val="-9"/>
        </w:rPr>
        <w:t> </w:t>
      </w:r>
      <w:r>
        <w:rPr>
          <w:spacing w:val="-4"/>
        </w:rPr>
        <w:t>major</w:t>
      </w:r>
      <w:r>
        <w:rPr>
          <w:spacing w:val="-10"/>
        </w:rPr>
        <w:t> </w:t>
      </w:r>
      <w:r>
        <w:rPr>
          <w:spacing w:val="-4"/>
        </w:rPr>
        <w:t>reform</w:t>
      </w:r>
      <w:r>
        <w:rPr>
          <w:spacing w:val="-10"/>
        </w:rPr>
        <w:t> </w:t>
      </w:r>
      <w:r>
        <w:rPr>
          <w:spacing w:val="-4"/>
        </w:rPr>
        <w:t>that</w:t>
      </w:r>
      <w:r>
        <w:rPr>
          <w:spacing w:val="-10"/>
        </w:rPr>
        <w:t> </w:t>
      </w:r>
      <w:r>
        <w:rPr>
          <w:spacing w:val="-4"/>
        </w:rPr>
        <w:t>allows </w:t>
      </w:r>
      <w:r>
        <w:rPr/>
        <w:t>for greater flexibility.</w:t>
      </w:r>
    </w:p>
    <w:p>
      <w:pPr>
        <w:pStyle w:val="Heading6"/>
        <w:numPr>
          <w:ilvl w:val="0"/>
          <w:numId w:val="13"/>
        </w:numPr>
        <w:tabs>
          <w:tab w:pos="1569" w:val="left" w:leader="none"/>
        </w:tabs>
        <w:spacing w:line="156" w:lineRule="auto" w:before="247" w:after="0"/>
        <w:ind w:left="1569" w:right="193" w:hanging="490"/>
        <w:jc w:val="left"/>
      </w:pPr>
      <w:r>
        <w:rPr>
          <w:color w:val="2E614A"/>
          <w:w w:val="90"/>
        </w:rPr>
        <w:t>Reforms in the Curriculum </w:t>
      </w:r>
      <w:r>
        <w:rPr>
          <w:color w:val="2E614A"/>
          <w:w w:val="90"/>
        </w:rPr>
        <w:t>and </w:t>
      </w:r>
      <w:r>
        <w:rPr>
          <w:color w:val="2E614A"/>
          <w:spacing w:val="-2"/>
        </w:rPr>
        <w:t>Examination</w:t>
      </w:r>
      <w:r>
        <w:rPr>
          <w:color w:val="2E614A"/>
          <w:spacing w:val="-18"/>
        </w:rPr>
        <w:t> </w:t>
      </w:r>
      <w:r>
        <w:rPr>
          <w:color w:val="2E614A"/>
          <w:spacing w:val="-2"/>
        </w:rPr>
        <w:t>System</w:t>
      </w:r>
    </w:p>
    <w:p>
      <w:pPr>
        <w:pStyle w:val="BodyText"/>
        <w:spacing w:line="266" w:lineRule="auto" w:before="296"/>
        <w:ind w:left="1080"/>
        <w:jc w:val="both"/>
      </w:pPr>
      <w:r>
        <w:rPr>
          <w:spacing w:val="-8"/>
        </w:rPr>
        <w:t>Curriculum</w:t>
      </w:r>
      <w:r>
        <w:rPr/>
        <w:t> </w:t>
      </w:r>
      <w:r>
        <w:rPr>
          <w:spacing w:val="-8"/>
        </w:rPr>
        <w:t>reform</w:t>
      </w:r>
      <w:r>
        <w:rPr/>
        <w:t> </w:t>
      </w:r>
      <w:r>
        <w:rPr>
          <w:spacing w:val="-8"/>
        </w:rPr>
        <w:t>remains</w:t>
      </w:r>
      <w:r>
        <w:rPr/>
        <w:t> </w:t>
      </w:r>
      <w:r>
        <w:rPr>
          <w:spacing w:val="-8"/>
        </w:rPr>
        <w:t>a</w:t>
      </w:r>
      <w:r>
        <w:rPr/>
        <w:t> </w:t>
      </w:r>
      <w:r>
        <w:rPr>
          <w:spacing w:val="-8"/>
        </w:rPr>
        <w:t>critically</w:t>
      </w:r>
      <w:r>
        <w:rPr/>
        <w:t> </w:t>
      </w:r>
      <w:r>
        <w:rPr>
          <w:spacing w:val="-8"/>
        </w:rPr>
        <w:t>important</w:t>
      </w:r>
      <w:r>
        <w:rPr/>
        <w:t> </w:t>
      </w:r>
      <w:r>
        <w:rPr>
          <w:spacing w:val="-8"/>
        </w:rPr>
        <w:t>issue</w:t>
      </w:r>
      <w:r>
        <w:rPr/>
        <w:t> </w:t>
      </w:r>
      <w:r>
        <w:rPr>
          <w:spacing w:val="-8"/>
        </w:rPr>
        <w:t>in </w:t>
      </w:r>
      <w:r>
        <w:rPr>
          <w:spacing w:val="-6"/>
        </w:rPr>
        <w:t>almost</w:t>
      </w:r>
      <w:r>
        <w:rPr>
          <w:spacing w:val="-8"/>
        </w:rPr>
        <w:t> </w:t>
      </w:r>
      <w:r>
        <w:rPr>
          <w:spacing w:val="-6"/>
        </w:rPr>
        <w:t>all</w:t>
      </w:r>
      <w:r>
        <w:rPr>
          <w:spacing w:val="-8"/>
        </w:rPr>
        <w:t> </w:t>
      </w:r>
      <w:r>
        <w:rPr>
          <w:spacing w:val="-6"/>
        </w:rPr>
        <w:t>schools.</w:t>
      </w:r>
      <w:r>
        <w:rPr>
          <w:spacing w:val="-8"/>
        </w:rPr>
        <w:t> </w:t>
      </w:r>
      <w:r>
        <w:rPr>
          <w:spacing w:val="-6"/>
        </w:rPr>
        <w:t>School</w:t>
      </w:r>
      <w:r>
        <w:rPr>
          <w:spacing w:val="-7"/>
        </w:rPr>
        <w:t> </w:t>
      </w:r>
      <w:r>
        <w:rPr>
          <w:spacing w:val="-6"/>
        </w:rPr>
        <w:t>education</w:t>
      </w:r>
      <w:r>
        <w:rPr>
          <w:spacing w:val="-8"/>
        </w:rPr>
        <w:t> </w:t>
      </w:r>
      <w:r>
        <w:rPr>
          <w:spacing w:val="-6"/>
        </w:rPr>
        <w:t>must</w:t>
      </w:r>
      <w:r>
        <w:rPr>
          <w:spacing w:val="-8"/>
        </w:rPr>
        <w:t> </w:t>
      </w:r>
      <w:r>
        <w:rPr>
          <w:spacing w:val="-6"/>
        </w:rPr>
        <w:t>be</w:t>
      </w:r>
      <w:r>
        <w:rPr>
          <w:spacing w:val="-8"/>
        </w:rPr>
        <w:t> </w:t>
      </w:r>
      <w:r>
        <w:rPr>
          <w:spacing w:val="-6"/>
        </w:rPr>
        <w:t>made</w:t>
      </w:r>
      <w:r>
        <w:rPr>
          <w:spacing w:val="-7"/>
        </w:rPr>
        <w:t> </w:t>
      </w:r>
      <w:r>
        <w:rPr>
          <w:spacing w:val="-6"/>
        </w:rPr>
        <w:t>more </w:t>
      </w:r>
      <w:r>
        <w:rPr/>
        <w:t>relevant</w:t>
      </w:r>
      <w:r>
        <w:rPr>
          <w:spacing w:val="-14"/>
        </w:rPr>
        <w:t> </w:t>
      </w:r>
      <w:r>
        <w:rPr/>
        <w:t>to</w:t>
      </w:r>
      <w:r>
        <w:rPr>
          <w:spacing w:val="-14"/>
        </w:rPr>
        <w:t> </w:t>
      </w:r>
      <w:r>
        <w:rPr/>
        <w:t>the</w:t>
      </w:r>
      <w:r>
        <w:rPr>
          <w:spacing w:val="-14"/>
        </w:rPr>
        <w:t> </w:t>
      </w:r>
      <w:r>
        <w:rPr/>
        <w:t>lives</w:t>
      </w:r>
      <w:r>
        <w:rPr>
          <w:spacing w:val="-13"/>
        </w:rPr>
        <w:t> </w:t>
      </w:r>
      <w:r>
        <w:rPr/>
        <w:t>of</w:t>
      </w:r>
      <w:r>
        <w:rPr>
          <w:spacing w:val="-14"/>
        </w:rPr>
        <w:t> </w:t>
      </w:r>
      <w:r>
        <w:rPr/>
        <w:t>children.</w:t>
      </w:r>
      <w:r>
        <w:rPr>
          <w:spacing w:val="-14"/>
        </w:rPr>
        <w:t> </w:t>
      </w:r>
      <w:r>
        <w:rPr/>
        <w:t>There</w:t>
      </w:r>
      <w:r>
        <w:rPr>
          <w:spacing w:val="-14"/>
        </w:rPr>
        <w:t> </w:t>
      </w:r>
      <w:r>
        <w:rPr/>
        <w:t>is</w:t>
      </w:r>
      <w:r>
        <w:rPr>
          <w:spacing w:val="-13"/>
        </w:rPr>
        <w:t> </w:t>
      </w:r>
      <w:r>
        <w:rPr/>
        <w:t>need</w:t>
      </w:r>
      <w:r>
        <w:rPr>
          <w:spacing w:val="-14"/>
        </w:rPr>
        <w:t> </w:t>
      </w:r>
      <w:r>
        <w:rPr/>
        <w:t>to</w:t>
      </w:r>
      <w:r>
        <w:rPr>
          <w:spacing w:val="-14"/>
        </w:rPr>
        <w:t> </w:t>
      </w:r>
      <w:r>
        <w:rPr/>
        <w:t>move away from rote-learning to understanding concepts, developing</w:t>
      </w:r>
      <w:r>
        <w:rPr>
          <w:spacing w:val="-4"/>
        </w:rPr>
        <w:t> </w:t>
      </w:r>
      <w:r>
        <w:rPr/>
        <w:t>good</w:t>
      </w:r>
      <w:r>
        <w:rPr>
          <w:spacing w:val="-4"/>
        </w:rPr>
        <w:t> </w:t>
      </w:r>
      <w:r>
        <w:rPr/>
        <w:t>comprehension</w:t>
      </w:r>
      <w:r>
        <w:rPr>
          <w:spacing w:val="-4"/>
        </w:rPr>
        <w:t> </w:t>
      </w:r>
      <w:r>
        <w:rPr/>
        <w:t>and</w:t>
      </w:r>
      <w:r>
        <w:rPr>
          <w:spacing w:val="-4"/>
        </w:rPr>
        <w:t> </w:t>
      </w:r>
      <w:r>
        <w:rPr/>
        <w:t>communication </w:t>
      </w:r>
      <w:r>
        <w:rPr>
          <w:w w:val="90"/>
        </w:rPr>
        <w:t>skills</w:t>
      </w:r>
      <w:r>
        <w:rPr>
          <w:spacing w:val="-9"/>
          <w:w w:val="90"/>
        </w:rPr>
        <w:t> </w:t>
      </w:r>
      <w:r>
        <w:rPr>
          <w:w w:val="90"/>
        </w:rPr>
        <w:t>and</w:t>
      </w:r>
      <w:r>
        <w:rPr>
          <w:spacing w:val="-8"/>
          <w:w w:val="90"/>
        </w:rPr>
        <w:t> </w:t>
      </w:r>
      <w:r>
        <w:rPr>
          <w:w w:val="90"/>
        </w:rPr>
        <w:t>learning</w:t>
      </w:r>
      <w:r>
        <w:rPr>
          <w:spacing w:val="-8"/>
          <w:w w:val="90"/>
        </w:rPr>
        <w:t> </w:t>
      </w:r>
      <w:r>
        <w:rPr>
          <w:w w:val="90"/>
        </w:rPr>
        <w:t>how</w:t>
      </w:r>
      <w:r>
        <w:rPr>
          <w:spacing w:val="-8"/>
          <w:w w:val="90"/>
        </w:rPr>
        <w:t> </w:t>
      </w:r>
      <w:r>
        <w:rPr>
          <w:w w:val="90"/>
        </w:rPr>
        <w:t>to</w:t>
      </w:r>
      <w:r>
        <w:rPr>
          <w:spacing w:val="-9"/>
          <w:w w:val="90"/>
        </w:rPr>
        <w:t> </w:t>
      </w:r>
      <w:r>
        <w:rPr>
          <w:w w:val="90"/>
        </w:rPr>
        <w:t>access</w:t>
      </w:r>
      <w:r>
        <w:rPr>
          <w:spacing w:val="-8"/>
          <w:w w:val="90"/>
        </w:rPr>
        <w:t> </w:t>
      </w:r>
      <w:r>
        <w:rPr>
          <w:w w:val="90"/>
        </w:rPr>
        <w:t>knowledge</w:t>
      </w:r>
      <w:r>
        <w:rPr>
          <w:spacing w:val="-8"/>
          <w:w w:val="90"/>
        </w:rPr>
        <w:t> </w:t>
      </w:r>
      <w:r>
        <w:rPr>
          <w:w w:val="90"/>
        </w:rPr>
        <w:t>independently. </w:t>
      </w:r>
      <w:r>
        <w:rPr>
          <w:spacing w:val="-6"/>
        </w:rPr>
        <w:t>This</w:t>
      </w:r>
      <w:r>
        <w:rPr>
          <w:spacing w:val="-8"/>
        </w:rPr>
        <w:t> </w:t>
      </w:r>
      <w:r>
        <w:rPr>
          <w:spacing w:val="-6"/>
        </w:rPr>
        <w:t>also</w:t>
      </w:r>
      <w:r>
        <w:rPr>
          <w:spacing w:val="-8"/>
        </w:rPr>
        <w:t> </w:t>
      </w:r>
      <w:r>
        <w:rPr>
          <w:spacing w:val="-6"/>
        </w:rPr>
        <w:t>requires</w:t>
      </w:r>
      <w:r>
        <w:rPr>
          <w:spacing w:val="-8"/>
        </w:rPr>
        <w:t> </w:t>
      </w:r>
      <w:r>
        <w:rPr>
          <w:spacing w:val="-6"/>
        </w:rPr>
        <w:t>substantial</w:t>
      </w:r>
      <w:r>
        <w:rPr>
          <w:spacing w:val="-7"/>
        </w:rPr>
        <w:t> </w:t>
      </w:r>
      <w:r>
        <w:rPr>
          <w:spacing w:val="-6"/>
        </w:rPr>
        <w:t>changes</w:t>
      </w:r>
      <w:r>
        <w:rPr>
          <w:spacing w:val="-8"/>
        </w:rPr>
        <w:t> </w:t>
      </w:r>
      <w:r>
        <w:rPr>
          <w:spacing w:val="-6"/>
        </w:rPr>
        <w:t>in</w:t>
      </w:r>
      <w:r>
        <w:rPr>
          <w:spacing w:val="-8"/>
        </w:rPr>
        <w:t> </w:t>
      </w:r>
      <w:r>
        <w:rPr>
          <w:spacing w:val="-6"/>
        </w:rPr>
        <w:t>the</w:t>
      </w:r>
      <w:r>
        <w:rPr>
          <w:spacing w:val="-8"/>
        </w:rPr>
        <w:t> </w:t>
      </w:r>
      <w:r>
        <w:rPr>
          <w:spacing w:val="-6"/>
        </w:rPr>
        <w:t>examination </w:t>
      </w:r>
      <w:r>
        <w:rPr>
          <w:spacing w:val="-4"/>
        </w:rPr>
        <w:t>system,</w:t>
      </w:r>
      <w:r>
        <w:rPr>
          <w:spacing w:val="-10"/>
        </w:rPr>
        <w:t> </w:t>
      </w:r>
      <w:r>
        <w:rPr>
          <w:spacing w:val="-4"/>
        </w:rPr>
        <w:t>especially</w:t>
      </w:r>
      <w:r>
        <w:rPr>
          <w:spacing w:val="-10"/>
        </w:rPr>
        <w:t> </w:t>
      </w:r>
      <w:r>
        <w:rPr>
          <w:spacing w:val="-4"/>
        </w:rPr>
        <w:t>at</w:t>
      </w:r>
      <w:r>
        <w:rPr>
          <w:spacing w:val="-10"/>
        </w:rPr>
        <w:t> </w:t>
      </w:r>
      <w:r>
        <w:rPr>
          <w:spacing w:val="-4"/>
        </w:rPr>
        <w:t>Board</w:t>
      </w:r>
      <w:r>
        <w:rPr>
          <w:spacing w:val="-9"/>
        </w:rPr>
        <w:t> </w:t>
      </w:r>
      <w:r>
        <w:rPr>
          <w:spacing w:val="-4"/>
        </w:rPr>
        <w:t>level</w:t>
      </w:r>
      <w:r>
        <w:rPr>
          <w:spacing w:val="-10"/>
        </w:rPr>
        <w:t> </w:t>
      </w:r>
      <w:r>
        <w:rPr>
          <w:spacing w:val="-4"/>
        </w:rPr>
        <w:t>but</w:t>
      </w:r>
      <w:r>
        <w:rPr>
          <w:spacing w:val="-10"/>
        </w:rPr>
        <w:t> </w:t>
      </w:r>
      <w:r>
        <w:rPr>
          <w:spacing w:val="-4"/>
        </w:rPr>
        <w:t>also</w:t>
      </w:r>
      <w:r>
        <w:rPr>
          <w:spacing w:val="-10"/>
        </w:rPr>
        <w:t> </w:t>
      </w:r>
      <w:r>
        <w:rPr>
          <w:spacing w:val="-4"/>
        </w:rPr>
        <w:t>earlier.</w:t>
      </w:r>
    </w:p>
    <w:p>
      <w:pPr>
        <w:pStyle w:val="Heading6"/>
        <w:numPr>
          <w:ilvl w:val="0"/>
          <w:numId w:val="13"/>
        </w:numPr>
        <w:tabs>
          <w:tab w:pos="1569" w:val="left" w:leader="none"/>
        </w:tabs>
        <w:spacing w:line="182" w:lineRule="auto" w:before="252" w:after="0"/>
        <w:ind w:left="1569" w:right="543" w:hanging="490"/>
        <w:jc w:val="left"/>
      </w:pPr>
      <w:r>
        <w:rPr>
          <w:color w:val="2E614A"/>
        </w:rPr>
        <w:t>Use</w:t>
      </w:r>
      <w:r>
        <w:rPr>
          <w:color w:val="2E614A"/>
          <w:spacing w:val="-16"/>
        </w:rPr>
        <w:t> </w:t>
      </w:r>
      <w:r>
        <w:rPr>
          <w:color w:val="2E614A"/>
        </w:rPr>
        <w:t>of</w:t>
      </w:r>
      <w:r>
        <w:rPr>
          <w:color w:val="2E614A"/>
          <w:spacing w:val="-16"/>
        </w:rPr>
        <w:t> </w:t>
      </w:r>
      <w:r>
        <w:rPr>
          <w:color w:val="2E614A"/>
        </w:rPr>
        <w:t>Information</w:t>
      </w:r>
      <w:r>
        <w:rPr>
          <w:color w:val="2E614A"/>
          <w:spacing w:val="-16"/>
        </w:rPr>
        <w:t> </w:t>
      </w:r>
      <w:r>
        <w:rPr>
          <w:color w:val="2E614A"/>
        </w:rPr>
        <w:t>and </w:t>
      </w:r>
      <w:r>
        <w:rPr>
          <w:color w:val="2E614A"/>
          <w:spacing w:val="-10"/>
        </w:rPr>
        <w:t>Communication </w:t>
      </w:r>
      <w:r>
        <w:rPr>
          <w:color w:val="2E614A"/>
          <w:spacing w:val="-10"/>
        </w:rPr>
        <w:t>Technology</w:t>
      </w:r>
    </w:p>
    <w:p>
      <w:pPr>
        <w:pStyle w:val="BodyText"/>
        <w:spacing w:line="266" w:lineRule="auto" w:before="282"/>
        <w:ind w:left="1080"/>
        <w:jc w:val="both"/>
      </w:pPr>
      <w:r>
        <w:rPr>
          <w:spacing w:val="-6"/>
        </w:rPr>
        <w:t>Wherever feasible, ICT should be made more </w:t>
      </w:r>
      <w:r>
        <w:rPr>
          <w:spacing w:val="-6"/>
        </w:rPr>
        <w:t>accessible </w:t>
      </w:r>
      <w:r>
        <w:rPr/>
        <w:t>to teachers, students and administration for learning, training, research, administration, management, monitoring etc. This requires the provision of more </w:t>
      </w:r>
      <w:r>
        <w:rPr>
          <w:spacing w:val="-2"/>
        </w:rPr>
        <w:t>facilities</w:t>
      </w:r>
      <w:r>
        <w:rPr>
          <w:spacing w:val="-12"/>
        </w:rPr>
        <w:t> </w:t>
      </w:r>
      <w:r>
        <w:rPr>
          <w:spacing w:val="-2"/>
        </w:rPr>
        <w:t>such</w:t>
      </w:r>
      <w:r>
        <w:rPr>
          <w:spacing w:val="-12"/>
        </w:rPr>
        <w:t> </w:t>
      </w:r>
      <w:r>
        <w:rPr>
          <w:spacing w:val="-2"/>
        </w:rPr>
        <w:t>as</w:t>
      </w:r>
      <w:r>
        <w:rPr>
          <w:spacing w:val="-12"/>
        </w:rPr>
        <w:t> </w:t>
      </w:r>
      <w:r>
        <w:rPr>
          <w:spacing w:val="-2"/>
        </w:rPr>
        <w:t>computers</w:t>
      </w:r>
      <w:r>
        <w:rPr>
          <w:spacing w:val="-11"/>
        </w:rPr>
        <w:t> </w:t>
      </w:r>
      <w:r>
        <w:rPr>
          <w:spacing w:val="-2"/>
        </w:rPr>
        <w:t>as</w:t>
      </w:r>
      <w:r>
        <w:rPr>
          <w:spacing w:val="-12"/>
        </w:rPr>
        <w:t> </w:t>
      </w:r>
      <w:r>
        <w:rPr>
          <w:spacing w:val="-2"/>
        </w:rPr>
        <w:t>well</w:t>
      </w:r>
      <w:r>
        <w:rPr>
          <w:spacing w:val="-12"/>
        </w:rPr>
        <w:t> </w:t>
      </w:r>
      <w:r>
        <w:rPr>
          <w:spacing w:val="-2"/>
        </w:rPr>
        <w:t>as</w:t>
      </w:r>
      <w:r>
        <w:rPr>
          <w:spacing w:val="-12"/>
        </w:rPr>
        <w:t> </w:t>
      </w:r>
      <w:r>
        <w:rPr>
          <w:spacing w:val="-2"/>
        </w:rPr>
        <w:t>connectivity</w:t>
      </w:r>
      <w:r>
        <w:rPr>
          <w:spacing w:val="-11"/>
        </w:rPr>
        <w:t> </w:t>
      </w:r>
      <w:r>
        <w:rPr>
          <w:spacing w:val="-2"/>
        </w:rPr>
        <w:t>and </w:t>
      </w:r>
      <w:r>
        <w:rPr/>
        <w:t>broadband facilities. Computer-aided learning also requires</w:t>
      </w:r>
      <w:r>
        <w:rPr>
          <w:spacing w:val="-12"/>
        </w:rPr>
        <w:t> </w:t>
      </w:r>
      <w:r>
        <w:rPr/>
        <w:t>training</w:t>
      </w:r>
      <w:r>
        <w:rPr>
          <w:spacing w:val="-12"/>
        </w:rPr>
        <w:t> </w:t>
      </w:r>
      <w:r>
        <w:rPr/>
        <w:t>of</w:t>
      </w:r>
      <w:r>
        <w:rPr>
          <w:spacing w:val="-12"/>
        </w:rPr>
        <w:t> </w:t>
      </w:r>
      <w:r>
        <w:rPr/>
        <w:t>teachers</w:t>
      </w:r>
      <w:r>
        <w:rPr>
          <w:spacing w:val="-12"/>
        </w:rPr>
        <w:t> </w:t>
      </w:r>
      <w:r>
        <w:rPr/>
        <w:t>and</w:t>
      </w:r>
      <w:r>
        <w:rPr>
          <w:spacing w:val="-12"/>
        </w:rPr>
        <w:t> </w:t>
      </w:r>
      <w:r>
        <w:rPr/>
        <w:t>other</w:t>
      </w:r>
      <w:r>
        <w:rPr>
          <w:spacing w:val="-12"/>
        </w:rPr>
        <w:t> </w:t>
      </w:r>
      <w:r>
        <w:rPr/>
        <w:t>staff</w:t>
      </w:r>
      <w:r>
        <w:rPr>
          <w:spacing w:val="-12"/>
        </w:rPr>
        <w:t> </w:t>
      </w:r>
      <w:r>
        <w:rPr/>
        <w:t>in</w:t>
      </w:r>
      <w:r>
        <w:rPr>
          <w:spacing w:val="-12"/>
        </w:rPr>
        <w:t> </w:t>
      </w:r>
      <w:r>
        <w:rPr/>
        <w:t>order</w:t>
      </w:r>
      <w:r>
        <w:rPr>
          <w:spacing w:val="-12"/>
        </w:rPr>
        <w:t> </w:t>
      </w:r>
      <w:r>
        <w:rPr/>
        <w:t>to make the best use of technology.</w:t>
      </w:r>
    </w:p>
    <w:p>
      <w:pPr>
        <w:pStyle w:val="Heading6"/>
        <w:numPr>
          <w:ilvl w:val="0"/>
          <w:numId w:val="13"/>
        </w:numPr>
        <w:tabs>
          <w:tab w:pos="1569" w:val="left" w:leader="none"/>
        </w:tabs>
        <w:spacing w:line="240" w:lineRule="auto" w:before="170" w:after="0"/>
        <w:ind w:left="1569" w:right="0" w:hanging="489"/>
        <w:jc w:val="left"/>
      </w:pPr>
      <w:r>
        <w:rPr>
          <w:color w:val="2E614A"/>
          <w:w w:val="90"/>
        </w:rPr>
        <w:t>English</w:t>
      </w:r>
      <w:r>
        <w:rPr>
          <w:color w:val="2E614A"/>
          <w:spacing w:val="1"/>
        </w:rPr>
        <w:t> </w:t>
      </w:r>
      <w:r>
        <w:rPr>
          <w:color w:val="2E614A"/>
          <w:w w:val="90"/>
        </w:rPr>
        <w:t>Language</w:t>
      </w:r>
      <w:r>
        <w:rPr>
          <w:color w:val="2E614A"/>
          <w:spacing w:val="13"/>
        </w:rPr>
        <w:t> </w:t>
      </w:r>
      <w:r>
        <w:rPr>
          <w:color w:val="2E614A"/>
          <w:spacing w:val="-2"/>
          <w:w w:val="90"/>
        </w:rPr>
        <w:t>Teaching</w:t>
      </w:r>
    </w:p>
    <w:p>
      <w:pPr>
        <w:pStyle w:val="BodyText"/>
        <w:spacing w:line="266" w:lineRule="auto" w:before="265"/>
        <w:ind w:left="1080"/>
        <w:jc w:val="both"/>
      </w:pPr>
      <w:r>
        <w:rPr>
          <w:spacing w:val="-10"/>
        </w:rPr>
        <w:t>Proficiency</w:t>
      </w:r>
      <w:r>
        <w:rPr/>
        <w:t> </w:t>
      </w:r>
      <w:r>
        <w:rPr>
          <w:spacing w:val="-10"/>
        </w:rPr>
        <w:t>in</w:t>
      </w:r>
      <w:r>
        <w:rPr/>
        <w:t> </w:t>
      </w:r>
      <w:r>
        <w:rPr>
          <w:spacing w:val="-10"/>
        </w:rPr>
        <w:t>English</w:t>
      </w:r>
      <w:r>
        <w:rPr/>
        <w:t> </w:t>
      </w:r>
      <w:r>
        <w:rPr>
          <w:spacing w:val="-10"/>
        </w:rPr>
        <w:t>is</w:t>
      </w:r>
      <w:r>
        <w:rPr/>
        <w:t> </w:t>
      </w:r>
      <w:r>
        <w:rPr>
          <w:spacing w:val="-10"/>
        </w:rPr>
        <w:t>widely</w:t>
      </w:r>
      <w:r>
        <w:rPr/>
        <w:t> </w:t>
      </w:r>
      <w:r>
        <w:rPr>
          <w:spacing w:val="-10"/>
        </w:rPr>
        <w:t>perceived</w:t>
      </w:r>
      <w:r>
        <w:rPr/>
        <w:t> </w:t>
      </w:r>
      <w:r>
        <w:rPr>
          <w:spacing w:val="-10"/>
        </w:rPr>
        <w:t>as</w:t>
      </w:r>
      <w:r>
        <w:rPr/>
        <w:t> </w:t>
      </w:r>
      <w:r>
        <w:rPr>
          <w:spacing w:val="-10"/>
        </w:rPr>
        <w:t>an</w:t>
      </w:r>
      <w:r>
        <w:rPr/>
        <w:t> </w:t>
      </w:r>
      <w:r>
        <w:rPr>
          <w:spacing w:val="-10"/>
        </w:rPr>
        <w:t>important </w:t>
      </w:r>
      <w:r>
        <w:rPr/>
        <w:t>avenue for employment and upward mobility, </w:t>
      </w:r>
      <w:r>
        <w:rPr/>
        <w:t>which also</w:t>
      </w:r>
      <w:r>
        <w:rPr>
          <w:spacing w:val="-13"/>
        </w:rPr>
        <w:t> </w:t>
      </w:r>
      <w:r>
        <w:rPr/>
        <w:t>greatly</w:t>
      </w:r>
      <w:r>
        <w:rPr>
          <w:spacing w:val="-13"/>
        </w:rPr>
        <w:t> </w:t>
      </w:r>
      <w:r>
        <w:rPr/>
        <w:t>facilitates</w:t>
      </w:r>
      <w:r>
        <w:rPr>
          <w:spacing w:val="-13"/>
        </w:rPr>
        <w:t> </w:t>
      </w:r>
      <w:r>
        <w:rPr/>
        <w:t>the</w:t>
      </w:r>
      <w:r>
        <w:rPr>
          <w:spacing w:val="-13"/>
        </w:rPr>
        <w:t> </w:t>
      </w:r>
      <w:r>
        <w:rPr/>
        <w:t>pursuit</w:t>
      </w:r>
      <w:r>
        <w:rPr>
          <w:spacing w:val="-13"/>
        </w:rPr>
        <w:t> </w:t>
      </w:r>
      <w:r>
        <w:rPr/>
        <w:t>of</w:t>
      </w:r>
      <w:r>
        <w:rPr>
          <w:spacing w:val="-13"/>
        </w:rPr>
        <w:t> </w:t>
      </w:r>
      <w:r>
        <w:rPr/>
        <w:t>higher</w:t>
      </w:r>
      <w:r>
        <w:rPr>
          <w:spacing w:val="-13"/>
        </w:rPr>
        <w:t> </w:t>
      </w:r>
      <w:r>
        <w:rPr/>
        <w:t>education. The incorporation of English into the curriculum through</w:t>
      </w:r>
      <w:r>
        <w:rPr>
          <w:spacing w:val="-14"/>
        </w:rPr>
        <w:t> </w:t>
      </w:r>
      <w:r>
        <w:rPr/>
        <w:t>the</w:t>
      </w:r>
      <w:r>
        <w:rPr>
          <w:spacing w:val="-13"/>
        </w:rPr>
        <w:t> </w:t>
      </w:r>
      <w:r>
        <w:rPr/>
        <w:t>teaching</w:t>
      </w:r>
      <w:r>
        <w:rPr>
          <w:spacing w:val="-14"/>
        </w:rPr>
        <w:t> </w:t>
      </w:r>
      <w:r>
        <w:rPr/>
        <w:t>of</w:t>
      </w:r>
      <w:r>
        <w:rPr>
          <w:spacing w:val="-13"/>
        </w:rPr>
        <w:t> </w:t>
      </w:r>
      <w:r>
        <w:rPr/>
        <w:t>English</w:t>
      </w:r>
      <w:r>
        <w:rPr>
          <w:spacing w:val="-14"/>
        </w:rPr>
        <w:t> </w:t>
      </w:r>
      <w:r>
        <w:rPr/>
        <w:t>as</w:t>
      </w:r>
      <w:r>
        <w:rPr>
          <w:spacing w:val="-13"/>
        </w:rPr>
        <w:t> </w:t>
      </w:r>
      <w:r>
        <w:rPr/>
        <w:t>a</w:t>
      </w:r>
      <w:r>
        <w:rPr>
          <w:spacing w:val="-14"/>
        </w:rPr>
        <w:t> </w:t>
      </w:r>
      <w:r>
        <w:rPr/>
        <w:t>language</w:t>
      </w:r>
      <w:r>
        <w:rPr>
          <w:spacing w:val="-13"/>
        </w:rPr>
        <w:t> </w:t>
      </w:r>
      <w:r>
        <w:rPr/>
        <w:t>in</w:t>
      </w:r>
      <w:r>
        <w:rPr>
          <w:spacing w:val="-14"/>
        </w:rPr>
        <w:t> </w:t>
      </w:r>
      <w:r>
        <w:rPr/>
        <w:t>Class I</w:t>
      </w:r>
      <w:r>
        <w:rPr>
          <w:spacing w:val="-14"/>
        </w:rPr>
        <w:t> </w:t>
      </w:r>
      <w:r>
        <w:rPr/>
        <w:t>and</w:t>
      </w:r>
      <w:r>
        <w:rPr>
          <w:spacing w:val="-13"/>
        </w:rPr>
        <w:t> </w:t>
      </w:r>
      <w:r>
        <w:rPr/>
        <w:t>teaching</w:t>
      </w:r>
      <w:r>
        <w:rPr>
          <w:spacing w:val="-14"/>
        </w:rPr>
        <w:t> </w:t>
      </w:r>
      <w:r>
        <w:rPr/>
        <w:t>of</w:t>
      </w:r>
      <w:r>
        <w:rPr>
          <w:spacing w:val="-13"/>
        </w:rPr>
        <w:t> </w:t>
      </w:r>
      <w:r>
        <w:rPr/>
        <w:t>one</w:t>
      </w:r>
      <w:r>
        <w:rPr>
          <w:spacing w:val="-14"/>
        </w:rPr>
        <w:t> </w:t>
      </w:r>
      <w:r>
        <w:rPr/>
        <w:t>other</w:t>
      </w:r>
      <w:r>
        <w:rPr>
          <w:spacing w:val="-13"/>
        </w:rPr>
        <w:t> </w:t>
      </w:r>
      <w:r>
        <w:rPr/>
        <w:t>subject</w:t>
      </w:r>
      <w:r>
        <w:rPr>
          <w:spacing w:val="-14"/>
        </w:rPr>
        <w:t> </w:t>
      </w:r>
      <w:r>
        <w:rPr/>
        <w:t>in</w:t>
      </w:r>
      <w:r>
        <w:rPr>
          <w:spacing w:val="-13"/>
        </w:rPr>
        <w:t> </w:t>
      </w:r>
      <w:r>
        <w:rPr/>
        <w:t>English</w:t>
      </w:r>
      <w:r>
        <w:rPr>
          <w:spacing w:val="-14"/>
        </w:rPr>
        <w:t> </w:t>
      </w:r>
      <w:r>
        <w:rPr/>
        <w:t>medium in later classes requires making pedagogical changes to contextualise language learning, increasing the </w:t>
      </w:r>
      <w:r>
        <w:rPr>
          <w:spacing w:val="-4"/>
        </w:rPr>
        <w:t>availability of English language teachers and providing </w:t>
      </w:r>
      <w:r>
        <w:rPr/>
        <w:t>more</w:t>
      </w:r>
      <w:r>
        <w:rPr>
          <w:spacing w:val="-14"/>
        </w:rPr>
        <w:t> </w:t>
      </w:r>
      <w:r>
        <w:rPr/>
        <w:t>bilingual</w:t>
      </w:r>
      <w:r>
        <w:rPr>
          <w:spacing w:val="-14"/>
        </w:rPr>
        <w:t> </w:t>
      </w:r>
      <w:r>
        <w:rPr/>
        <w:t>and</w:t>
      </w:r>
      <w:r>
        <w:rPr>
          <w:spacing w:val="-14"/>
        </w:rPr>
        <w:t> </w:t>
      </w:r>
      <w:r>
        <w:rPr/>
        <w:t>supplementary</w:t>
      </w:r>
      <w:r>
        <w:rPr>
          <w:spacing w:val="-13"/>
        </w:rPr>
        <w:t> </w:t>
      </w:r>
      <w:r>
        <w:rPr/>
        <w:t>teaching</w:t>
      </w:r>
      <w:r>
        <w:rPr>
          <w:spacing w:val="-14"/>
        </w:rPr>
        <w:t> </w:t>
      </w:r>
      <w:r>
        <w:rPr/>
        <w:t>materials. At the same time, multi-linguality must be promoted </w:t>
      </w:r>
      <w:r>
        <w:rPr>
          <w:spacing w:val="-6"/>
        </w:rPr>
        <w:t>and language issues must be explicitly taken on board in </w:t>
      </w:r>
      <w:r>
        <w:rPr/>
        <w:t>designing</w:t>
      </w:r>
      <w:r>
        <w:rPr>
          <w:spacing w:val="-10"/>
        </w:rPr>
        <w:t> </w:t>
      </w:r>
      <w:r>
        <w:rPr/>
        <w:t>school</w:t>
      </w:r>
      <w:r>
        <w:rPr>
          <w:spacing w:val="-10"/>
        </w:rPr>
        <w:t> </w:t>
      </w:r>
      <w:r>
        <w:rPr/>
        <w:t>curricula</w:t>
      </w:r>
      <w:r>
        <w:rPr>
          <w:spacing w:val="-10"/>
        </w:rPr>
        <w:t> </w:t>
      </w:r>
      <w:r>
        <w:rPr/>
        <w:t>and</w:t>
      </w:r>
      <w:r>
        <w:rPr>
          <w:spacing w:val="-10"/>
        </w:rPr>
        <w:t> </w:t>
      </w:r>
      <w:r>
        <w:rPr/>
        <w:t>methods</w:t>
      </w:r>
      <w:r>
        <w:rPr>
          <w:spacing w:val="-10"/>
        </w:rPr>
        <w:t> </w:t>
      </w:r>
      <w:r>
        <w:rPr/>
        <w:t>of</w:t>
      </w:r>
      <w:r>
        <w:rPr>
          <w:spacing w:val="-10"/>
        </w:rPr>
        <w:t> </w:t>
      </w:r>
      <w:r>
        <w:rPr/>
        <w:t>pedagogy.</w:t>
      </w:r>
    </w:p>
    <w:p>
      <w:pPr>
        <w:pStyle w:val="Heading6"/>
        <w:numPr>
          <w:ilvl w:val="0"/>
          <w:numId w:val="13"/>
        </w:numPr>
        <w:tabs>
          <w:tab w:pos="781" w:val="left" w:leader="none"/>
          <w:tab w:pos="783" w:val="left" w:leader="none"/>
        </w:tabs>
        <w:spacing w:line="220" w:lineRule="auto" w:before="81" w:after="0"/>
        <w:ind w:left="783" w:right="1110" w:hanging="464"/>
        <w:jc w:val="left"/>
      </w:pPr>
      <w:r>
        <w:rPr>
          <w:b w:val="0"/>
        </w:rPr>
        <w:br w:type="column"/>
      </w:r>
      <w:r>
        <w:rPr>
          <w:color w:val="2E614A"/>
          <w:spacing w:val="-12"/>
        </w:rPr>
        <w:t>Interventions to Ensure Access of </w:t>
      </w:r>
      <w:r>
        <w:rPr>
          <w:color w:val="2E614A"/>
          <w:spacing w:val="-4"/>
          <w:w w:val="90"/>
        </w:rPr>
        <w:t>Educationally</w:t>
      </w:r>
      <w:r>
        <w:rPr>
          <w:color w:val="2E614A"/>
          <w:spacing w:val="-8"/>
          <w:w w:val="90"/>
        </w:rPr>
        <w:t> </w:t>
      </w:r>
      <w:r>
        <w:rPr>
          <w:color w:val="2E614A"/>
          <w:spacing w:val="-4"/>
          <w:w w:val="90"/>
        </w:rPr>
        <w:t>Deprived</w:t>
      </w:r>
      <w:r>
        <w:rPr>
          <w:color w:val="2E614A"/>
          <w:spacing w:val="-8"/>
          <w:w w:val="90"/>
        </w:rPr>
        <w:t> </w:t>
      </w:r>
      <w:r>
        <w:rPr>
          <w:color w:val="2E614A"/>
          <w:spacing w:val="-4"/>
          <w:w w:val="90"/>
        </w:rPr>
        <w:t>Categories</w:t>
      </w:r>
    </w:p>
    <w:p>
      <w:pPr>
        <w:pStyle w:val="BodyText"/>
        <w:spacing w:line="266" w:lineRule="auto" w:before="282"/>
        <w:ind w:left="319" w:right="1077"/>
        <w:jc w:val="both"/>
      </w:pPr>
      <w:r>
        <w:rPr/>
        <w:t>Special interventions are necessary to ensure greater </w:t>
      </w:r>
      <w:r>
        <w:rPr>
          <w:w w:val="90"/>
        </w:rPr>
        <w:t>access to education of educationally deprived categories, </w:t>
      </w:r>
      <w:r>
        <w:rPr/>
        <w:t>and some proposals for this are developed in more detail</w:t>
      </w:r>
      <w:r>
        <w:rPr>
          <w:spacing w:val="-4"/>
        </w:rPr>
        <w:t> </w:t>
      </w:r>
      <w:r>
        <w:rPr/>
        <w:t>in</w:t>
      </w:r>
      <w:r>
        <w:rPr>
          <w:spacing w:val="-4"/>
        </w:rPr>
        <w:t> </w:t>
      </w:r>
      <w:r>
        <w:rPr/>
        <w:t>the</w:t>
      </w:r>
      <w:r>
        <w:rPr>
          <w:spacing w:val="-4"/>
        </w:rPr>
        <w:t> </w:t>
      </w:r>
      <w:r>
        <w:rPr/>
        <w:t>accompanying</w:t>
      </w:r>
      <w:r>
        <w:rPr>
          <w:spacing w:val="-4"/>
        </w:rPr>
        <w:t> </w:t>
      </w:r>
      <w:r>
        <w:rPr/>
        <w:t>Note.</w:t>
      </w:r>
      <w:r>
        <w:rPr>
          <w:spacing w:val="-4"/>
        </w:rPr>
        <w:t> </w:t>
      </w:r>
      <w:r>
        <w:rPr/>
        <w:t>Obviously,</w:t>
      </w:r>
      <w:r>
        <w:rPr>
          <w:spacing w:val="-4"/>
        </w:rPr>
        <w:t> </w:t>
      </w:r>
      <w:r>
        <w:rPr/>
        <w:t>specific measures</w:t>
      </w:r>
      <w:r>
        <w:rPr>
          <w:spacing w:val="-14"/>
        </w:rPr>
        <w:t> </w:t>
      </w:r>
      <w:r>
        <w:rPr/>
        <w:t>are</w:t>
      </w:r>
      <w:r>
        <w:rPr>
          <w:spacing w:val="-14"/>
        </w:rPr>
        <w:t> </w:t>
      </w:r>
      <w:r>
        <w:rPr/>
        <w:t>required</w:t>
      </w:r>
      <w:r>
        <w:rPr>
          <w:spacing w:val="-14"/>
        </w:rPr>
        <w:t> </w:t>
      </w:r>
      <w:r>
        <w:rPr/>
        <w:t>to</w:t>
      </w:r>
      <w:r>
        <w:rPr>
          <w:spacing w:val="-13"/>
        </w:rPr>
        <w:t> </w:t>
      </w:r>
      <w:r>
        <w:rPr/>
        <w:t>ensure</w:t>
      </w:r>
      <w:r>
        <w:rPr>
          <w:spacing w:val="-14"/>
        </w:rPr>
        <w:t> </w:t>
      </w:r>
      <w:r>
        <w:rPr/>
        <w:t>greater</w:t>
      </w:r>
      <w:r>
        <w:rPr>
          <w:spacing w:val="-14"/>
        </w:rPr>
        <w:t> </w:t>
      </w:r>
      <w:r>
        <w:rPr/>
        <w:t>enrolment</w:t>
      </w:r>
      <w:r>
        <w:rPr>
          <w:spacing w:val="-14"/>
        </w:rPr>
        <w:t> </w:t>
      </w:r>
      <w:r>
        <w:rPr/>
        <w:t>and retention of girl students. Education of SC children must</w:t>
      </w:r>
      <w:r>
        <w:rPr>
          <w:spacing w:val="-2"/>
        </w:rPr>
        <w:t> </w:t>
      </w:r>
      <w:r>
        <w:rPr/>
        <w:t>be</w:t>
      </w:r>
      <w:r>
        <w:rPr>
          <w:spacing w:val="-2"/>
        </w:rPr>
        <w:t> </w:t>
      </w:r>
      <w:r>
        <w:rPr/>
        <w:t>a</w:t>
      </w:r>
      <w:r>
        <w:rPr>
          <w:spacing w:val="-2"/>
        </w:rPr>
        <w:t> </w:t>
      </w:r>
      <w:r>
        <w:rPr/>
        <w:t>priority,</w:t>
      </w:r>
      <w:r>
        <w:rPr>
          <w:spacing w:val="-2"/>
        </w:rPr>
        <w:t> </w:t>
      </w:r>
      <w:r>
        <w:rPr/>
        <w:t>which</w:t>
      </w:r>
      <w:r>
        <w:rPr>
          <w:spacing w:val="-2"/>
        </w:rPr>
        <w:t> </w:t>
      </w:r>
      <w:r>
        <w:rPr/>
        <w:t>necessitates</w:t>
      </w:r>
      <w:r>
        <w:rPr>
          <w:spacing w:val="-2"/>
        </w:rPr>
        <w:t> </w:t>
      </w:r>
      <w:r>
        <w:rPr/>
        <w:t>both</w:t>
      </w:r>
      <w:r>
        <w:rPr>
          <w:spacing w:val="-2"/>
        </w:rPr>
        <w:t> </w:t>
      </w:r>
      <w:r>
        <w:rPr/>
        <w:t>flexibility of approach and avoidance of discrimination. The </w:t>
      </w:r>
      <w:r>
        <w:rPr>
          <w:spacing w:val="-4"/>
        </w:rPr>
        <w:t>access</w:t>
      </w:r>
      <w:r>
        <w:rPr>
          <w:spacing w:val="-10"/>
        </w:rPr>
        <w:t> </w:t>
      </w:r>
      <w:r>
        <w:rPr>
          <w:spacing w:val="-4"/>
        </w:rPr>
        <w:t>of</w:t>
      </w:r>
      <w:r>
        <w:rPr>
          <w:spacing w:val="-10"/>
        </w:rPr>
        <w:t> </w:t>
      </w:r>
      <w:r>
        <w:rPr>
          <w:spacing w:val="-4"/>
        </w:rPr>
        <w:t>children</w:t>
      </w:r>
      <w:r>
        <w:rPr>
          <w:spacing w:val="-10"/>
        </w:rPr>
        <w:t> </w:t>
      </w:r>
      <w:r>
        <w:rPr>
          <w:spacing w:val="-4"/>
        </w:rPr>
        <w:t>from</w:t>
      </w:r>
      <w:r>
        <w:rPr>
          <w:spacing w:val="-9"/>
        </w:rPr>
        <w:t> </w:t>
      </w:r>
      <w:r>
        <w:rPr>
          <w:spacing w:val="-4"/>
        </w:rPr>
        <w:t>Scheduled</w:t>
      </w:r>
      <w:r>
        <w:rPr>
          <w:spacing w:val="-10"/>
        </w:rPr>
        <w:t> </w:t>
      </w:r>
      <w:r>
        <w:rPr>
          <w:spacing w:val="-4"/>
        </w:rPr>
        <w:t>Tribes</w:t>
      </w:r>
      <w:r>
        <w:rPr>
          <w:spacing w:val="-10"/>
        </w:rPr>
        <w:t> </w:t>
      </w:r>
      <w:r>
        <w:rPr>
          <w:spacing w:val="-4"/>
        </w:rPr>
        <w:t>requires</w:t>
      </w:r>
      <w:r>
        <w:rPr>
          <w:spacing w:val="-10"/>
        </w:rPr>
        <w:t> </w:t>
      </w:r>
      <w:r>
        <w:rPr>
          <w:spacing w:val="-4"/>
        </w:rPr>
        <w:t>more </w:t>
      </w:r>
      <w:r>
        <w:rPr/>
        <w:t>flexible and sensitive schooling strategies. Language issues must be explicitly taken on board in designing school curricula and methods of pedagogy. Special </w:t>
      </w:r>
      <w:r>
        <w:rPr>
          <w:spacing w:val="-6"/>
        </w:rPr>
        <w:t>strategies</w:t>
      </w:r>
      <w:r>
        <w:rPr>
          <w:spacing w:val="-7"/>
        </w:rPr>
        <w:t> </w:t>
      </w:r>
      <w:r>
        <w:rPr>
          <w:spacing w:val="-6"/>
        </w:rPr>
        <w:t>are</w:t>
      </w:r>
      <w:r>
        <w:rPr>
          <w:spacing w:val="-7"/>
        </w:rPr>
        <w:t> </w:t>
      </w:r>
      <w:r>
        <w:rPr>
          <w:spacing w:val="-6"/>
        </w:rPr>
        <w:t>required</w:t>
      </w:r>
      <w:r>
        <w:rPr>
          <w:spacing w:val="-7"/>
        </w:rPr>
        <w:t> </w:t>
      </w:r>
      <w:r>
        <w:rPr>
          <w:spacing w:val="-6"/>
        </w:rPr>
        <w:t>to</w:t>
      </w:r>
      <w:r>
        <w:rPr>
          <w:spacing w:val="-7"/>
        </w:rPr>
        <w:t> </w:t>
      </w:r>
      <w:r>
        <w:rPr>
          <w:spacing w:val="-6"/>
        </w:rPr>
        <w:t>ensure</w:t>
      </w:r>
      <w:r>
        <w:rPr>
          <w:spacing w:val="-7"/>
        </w:rPr>
        <w:t> </w:t>
      </w:r>
      <w:r>
        <w:rPr>
          <w:spacing w:val="-6"/>
        </w:rPr>
        <w:t>greater</w:t>
      </w:r>
      <w:r>
        <w:rPr>
          <w:spacing w:val="-7"/>
        </w:rPr>
        <w:t> </w:t>
      </w:r>
      <w:r>
        <w:rPr>
          <w:spacing w:val="-6"/>
        </w:rPr>
        <w:t>access</w:t>
      </w:r>
      <w:r>
        <w:rPr>
          <w:spacing w:val="-7"/>
        </w:rPr>
        <w:t> </w:t>
      </w:r>
      <w:r>
        <w:rPr>
          <w:spacing w:val="-6"/>
        </w:rPr>
        <w:t>to</w:t>
      </w:r>
      <w:r>
        <w:rPr>
          <w:spacing w:val="-7"/>
        </w:rPr>
        <w:t> </w:t>
      </w:r>
      <w:r>
        <w:rPr>
          <w:spacing w:val="-6"/>
        </w:rPr>
        <w:t>schools </w:t>
      </w:r>
      <w:r>
        <w:rPr>
          <w:spacing w:val="-2"/>
        </w:rPr>
        <w:t>for</w:t>
      </w:r>
      <w:r>
        <w:rPr>
          <w:spacing w:val="-9"/>
        </w:rPr>
        <w:t> </w:t>
      </w:r>
      <w:r>
        <w:rPr>
          <w:spacing w:val="-2"/>
        </w:rPr>
        <w:t>children</w:t>
      </w:r>
      <w:r>
        <w:rPr>
          <w:spacing w:val="-9"/>
        </w:rPr>
        <w:t> </w:t>
      </w:r>
      <w:r>
        <w:rPr>
          <w:spacing w:val="-2"/>
        </w:rPr>
        <w:t>in</w:t>
      </w:r>
      <w:r>
        <w:rPr>
          <w:spacing w:val="-9"/>
        </w:rPr>
        <w:t> </w:t>
      </w:r>
      <w:r>
        <w:rPr>
          <w:spacing w:val="-2"/>
        </w:rPr>
        <w:t>backward</w:t>
      </w:r>
      <w:r>
        <w:rPr>
          <w:spacing w:val="-9"/>
        </w:rPr>
        <w:t> </w:t>
      </w:r>
      <w:r>
        <w:rPr>
          <w:spacing w:val="-2"/>
        </w:rPr>
        <w:t>regions,</w:t>
      </w:r>
      <w:r>
        <w:rPr>
          <w:spacing w:val="-9"/>
        </w:rPr>
        <w:t> </w:t>
      </w:r>
      <w:r>
        <w:rPr>
          <w:spacing w:val="-2"/>
        </w:rPr>
        <w:t>remote</w:t>
      </w:r>
      <w:r>
        <w:rPr>
          <w:spacing w:val="-9"/>
        </w:rPr>
        <w:t> </w:t>
      </w:r>
      <w:r>
        <w:rPr>
          <w:spacing w:val="-2"/>
        </w:rPr>
        <w:t>locations</w:t>
      </w:r>
      <w:r>
        <w:rPr>
          <w:spacing w:val="-9"/>
        </w:rPr>
        <w:t> </w:t>
      </w:r>
      <w:r>
        <w:rPr>
          <w:spacing w:val="-2"/>
        </w:rPr>
        <w:t>and difficult</w:t>
      </w:r>
      <w:r>
        <w:rPr>
          <w:spacing w:val="-3"/>
        </w:rPr>
        <w:t> </w:t>
      </w:r>
      <w:r>
        <w:rPr>
          <w:spacing w:val="-2"/>
        </w:rPr>
        <w:t>terrains.</w:t>
      </w:r>
      <w:r>
        <w:rPr>
          <w:spacing w:val="-3"/>
        </w:rPr>
        <w:t> </w:t>
      </w:r>
      <w:r>
        <w:rPr>
          <w:spacing w:val="-2"/>
        </w:rPr>
        <w:t>Official</w:t>
      </w:r>
      <w:r>
        <w:rPr>
          <w:spacing w:val="-3"/>
        </w:rPr>
        <w:t> </w:t>
      </w:r>
      <w:r>
        <w:rPr>
          <w:spacing w:val="-2"/>
        </w:rPr>
        <w:t>strategies</w:t>
      </w:r>
      <w:r>
        <w:rPr>
          <w:spacing w:val="-3"/>
        </w:rPr>
        <w:t> </w:t>
      </w:r>
      <w:r>
        <w:rPr>
          <w:spacing w:val="-2"/>
        </w:rPr>
        <w:t>for</w:t>
      </w:r>
      <w:r>
        <w:rPr>
          <w:spacing w:val="-3"/>
        </w:rPr>
        <w:t> </w:t>
      </w:r>
      <w:r>
        <w:rPr>
          <w:spacing w:val="-2"/>
        </w:rPr>
        <w:t>ensuring</w:t>
      </w:r>
      <w:r>
        <w:rPr>
          <w:spacing w:val="-3"/>
        </w:rPr>
        <w:t> </w:t>
      </w:r>
      <w:r>
        <w:rPr>
          <w:spacing w:val="-2"/>
        </w:rPr>
        <w:t>better access</w:t>
      </w:r>
      <w:r>
        <w:rPr>
          <w:spacing w:val="-12"/>
        </w:rPr>
        <w:t> </w:t>
      </w:r>
      <w:r>
        <w:rPr>
          <w:spacing w:val="-2"/>
        </w:rPr>
        <w:t>of</w:t>
      </w:r>
      <w:r>
        <w:rPr>
          <w:spacing w:val="-12"/>
        </w:rPr>
        <w:t> </w:t>
      </w:r>
      <w:r>
        <w:rPr>
          <w:spacing w:val="-2"/>
        </w:rPr>
        <w:t>Muslim</w:t>
      </w:r>
      <w:r>
        <w:rPr>
          <w:spacing w:val="-12"/>
        </w:rPr>
        <w:t> </w:t>
      </w:r>
      <w:r>
        <w:rPr>
          <w:spacing w:val="-2"/>
        </w:rPr>
        <w:t>children</w:t>
      </w:r>
      <w:r>
        <w:rPr>
          <w:spacing w:val="-11"/>
        </w:rPr>
        <w:t> </w:t>
      </w:r>
      <w:r>
        <w:rPr>
          <w:spacing w:val="-2"/>
        </w:rPr>
        <w:t>to</w:t>
      </w:r>
      <w:r>
        <w:rPr>
          <w:spacing w:val="-12"/>
        </w:rPr>
        <w:t> </w:t>
      </w:r>
      <w:r>
        <w:rPr>
          <w:spacing w:val="-2"/>
        </w:rPr>
        <w:t>schooling</w:t>
      </w:r>
      <w:r>
        <w:rPr>
          <w:spacing w:val="-12"/>
        </w:rPr>
        <w:t> </w:t>
      </w:r>
      <w:r>
        <w:rPr>
          <w:spacing w:val="-2"/>
        </w:rPr>
        <w:t>are</w:t>
      </w:r>
      <w:r>
        <w:rPr>
          <w:spacing w:val="-12"/>
        </w:rPr>
        <w:t> </w:t>
      </w:r>
      <w:r>
        <w:rPr>
          <w:spacing w:val="-2"/>
        </w:rPr>
        <w:t>excessively </w:t>
      </w:r>
      <w:r>
        <w:rPr>
          <w:spacing w:val="-4"/>
        </w:rPr>
        <w:t>focused</w:t>
      </w:r>
      <w:r>
        <w:rPr>
          <w:spacing w:val="-10"/>
        </w:rPr>
        <w:t> </w:t>
      </w:r>
      <w:r>
        <w:rPr>
          <w:spacing w:val="-4"/>
        </w:rPr>
        <w:t>on</w:t>
      </w:r>
      <w:r>
        <w:rPr>
          <w:spacing w:val="-10"/>
        </w:rPr>
        <w:t> </w:t>
      </w:r>
      <w:r>
        <w:rPr>
          <w:spacing w:val="-4"/>
        </w:rPr>
        <w:t>madrasas</w:t>
      </w:r>
      <w:r>
        <w:rPr>
          <w:spacing w:val="-10"/>
        </w:rPr>
        <w:t> </w:t>
      </w:r>
      <w:r>
        <w:rPr>
          <w:spacing w:val="-4"/>
        </w:rPr>
        <w:t>which</w:t>
      </w:r>
      <w:r>
        <w:rPr>
          <w:spacing w:val="-9"/>
        </w:rPr>
        <w:t> </w:t>
      </w:r>
      <w:r>
        <w:rPr>
          <w:spacing w:val="-4"/>
        </w:rPr>
        <w:t>cater</w:t>
      </w:r>
      <w:r>
        <w:rPr>
          <w:spacing w:val="-10"/>
        </w:rPr>
        <w:t> </w:t>
      </w:r>
      <w:r>
        <w:rPr>
          <w:spacing w:val="-4"/>
        </w:rPr>
        <w:t>to</w:t>
      </w:r>
      <w:r>
        <w:rPr>
          <w:spacing w:val="-10"/>
        </w:rPr>
        <w:t> </w:t>
      </w:r>
      <w:r>
        <w:rPr>
          <w:spacing w:val="-4"/>
        </w:rPr>
        <w:t>only</w:t>
      </w:r>
      <w:r>
        <w:rPr>
          <w:spacing w:val="-10"/>
        </w:rPr>
        <w:t> </w:t>
      </w:r>
      <w:r>
        <w:rPr>
          <w:spacing w:val="-4"/>
        </w:rPr>
        <w:t>a</w:t>
      </w:r>
      <w:r>
        <w:rPr>
          <w:spacing w:val="-9"/>
        </w:rPr>
        <w:t> </w:t>
      </w:r>
      <w:r>
        <w:rPr>
          <w:spacing w:val="-4"/>
        </w:rPr>
        <w:t>tiny</w:t>
      </w:r>
      <w:r>
        <w:rPr>
          <w:spacing w:val="-10"/>
        </w:rPr>
        <w:t> </w:t>
      </w:r>
      <w:r>
        <w:rPr>
          <w:spacing w:val="-4"/>
        </w:rPr>
        <w:t>minority </w:t>
      </w:r>
      <w:r>
        <w:rPr/>
        <w:t>of such children; the emphasis should be on creating </w:t>
      </w:r>
      <w:r>
        <w:rPr>
          <w:spacing w:val="-2"/>
        </w:rPr>
        <w:t>enabling</w:t>
      </w:r>
      <w:r>
        <w:rPr>
          <w:spacing w:val="-8"/>
        </w:rPr>
        <w:t> </w:t>
      </w:r>
      <w:r>
        <w:rPr>
          <w:spacing w:val="-2"/>
        </w:rPr>
        <w:t>conditions</w:t>
      </w:r>
      <w:r>
        <w:rPr>
          <w:spacing w:val="-8"/>
        </w:rPr>
        <w:t> </w:t>
      </w:r>
      <w:r>
        <w:rPr>
          <w:spacing w:val="-2"/>
        </w:rPr>
        <w:t>for</w:t>
      </w:r>
      <w:r>
        <w:rPr>
          <w:spacing w:val="-8"/>
        </w:rPr>
        <w:t> </w:t>
      </w:r>
      <w:r>
        <w:rPr>
          <w:spacing w:val="-2"/>
        </w:rPr>
        <w:t>Muslim</w:t>
      </w:r>
      <w:r>
        <w:rPr>
          <w:spacing w:val="-8"/>
        </w:rPr>
        <w:t> </w:t>
      </w:r>
      <w:r>
        <w:rPr>
          <w:spacing w:val="-2"/>
        </w:rPr>
        <w:t>children</w:t>
      </w:r>
      <w:r>
        <w:rPr>
          <w:spacing w:val="-8"/>
        </w:rPr>
        <w:t> </w:t>
      </w:r>
      <w:r>
        <w:rPr>
          <w:spacing w:val="-2"/>
        </w:rPr>
        <w:t>in</w:t>
      </w:r>
      <w:r>
        <w:rPr>
          <w:spacing w:val="-8"/>
        </w:rPr>
        <w:t> </w:t>
      </w:r>
      <w:r>
        <w:rPr>
          <w:spacing w:val="-2"/>
        </w:rPr>
        <w:t>the</w:t>
      </w:r>
      <w:r>
        <w:rPr>
          <w:spacing w:val="-8"/>
        </w:rPr>
        <w:t> </w:t>
      </w:r>
      <w:r>
        <w:rPr>
          <w:spacing w:val="-2"/>
        </w:rPr>
        <w:t>general </w:t>
      </w:r>
      <w:r>
        <w:rPr/>
        <w:t>school</w:t>
      </w:r>
      <w:r>
        <w:rPr>
          <w:spacing w:val="-1"/>
        </w:rPr>
        <w:t> </w:t>
      </w:r>
      <w:r>
        <w:rPr/>
        <w:t>system.</w:t>
      </w:r>
      <w:r>
        <w:rPr>
          <w:spacing w:val="-1"/>
        </w:rPr>
        <w:t> </w:t>
      </w:r>
      <w:r>
        <w:rPr/>
        <w:t>Children</w:t>
      </w:r>
      <w:r>
        <w:rPr>
          <w:spacing w:val="-1"/>
        </w:rPr>
        <w:t> </w:t>
      </w:r>
      <w:r>
        <w:rPr/>
        <w:t>of</w:t>
      </w:r>
      <w:r>
        <w:rPr>
          <w:spacing w:val="-1"/>
        </w:rPr>
        <w:t> </w:t>
      </w:r>
      <w:r>
        <w:rPr/>
        <w:t>seasonal</w:t>
      </w:r>
      <w:r>
        <w:rPr>
          <w:spacing w:val="-1"/>
        </w:rPr>
        <w:t> </w:t>
      </w:r>
      <w:r>
        <w:rPr/>
        <w:t>migrants</w:t>
      </w:r>
      <w:r>
        <w:rPr>
          <w:spacing w:val="-1"/>
        </w:rPr>
        <w:t> </w:t>
      </w:r>
      <w:r>
        <w:rPr/>
        <w:t>require special conditions and efforts to ensure continuous access to schooling. Similarly, labouring children require incentives and bridge courses. The needs of </w:t>
      </w:r>
      <w:r>
        <w:rPr>
          <w:spacing w:val="-2"/>
        </w:rPr>
        <w:t>physically</w:t>
      </w:r>
      <w:r>
        <w:rPr>
          <w:spacing w:val="-6"/>
        </w:rPr>
        <w:t> </w:t>
      </w:r>
      <w:r>
        <w:rPr>
          <w:spacing w:val="-2"/>
        </w:rPr>
        <w:t>disadvantaged</w:t>
      </w:r>
      <w:r>
        <w:rPr>
          <w:spacing w:val="-6"/>
        </w:rPr>
        <w:t> </w:t>
      </w:r>
      <w:r>
        <w:rPr>
          <w:spacing w:val="-2"/>
        </w:rPr>
        <w:t>children,</w:t>
      </w:r>
      <w:r>
        <w:rPr>
          <w:spacing w:val="-6"/>
        </w:rPr>
        <w:t> </w:t>
      </w:r>
      <w:r>
        <w:rPr>
          <w:spacing w:val="-2"/>
        </w:rPr>
        <w:t>as</w:t>
      </w:r>
      <w:r>
        <w:rPr>
          <w:spacing w:val="-6"/>
        </w:rPr>
        <w:t> </w:t>
      </w:r>
      <w:r>
        <w:rPr>
          <w:spacing w:val="-2"/>
        </w:rPr>
        <w:t>well</w:t>
      </w:r>
      <w:r>
        <w:rPr>
          <w:spacing w:val="-6"/>
        </w:rPr>
        <w:t> </w:t>
      </w:r>
      <w:r>
        <w:rPr>
          <w:spacing w:val="-2"/>
        </w:rPr>
        <w:t>as</w:t>
      </w:r>
      <w:r>
        <w:rPr>
          <w:spacing w:val="-6"/>
        </w:rPr>
        <w:t> </w:t>
      </w:r>
      <w:r>
        <w:rPr>
          <w:spacing w:val="-2"/>
        </w:rPr>
        <w:t>teachers, </w:t>
      </w:r>
      <w:r>
        <w:rPr/>
        <w:t>have to be factored in more thoroughly in provisions for school education.</w:t>
      </w:r>
    </w:p>
    <w:p>
      <w:pPr>
        <w:pStyle w:val="BodyText"/>
        <w:spacing w:before="14"/>
      </w:pPr>
    </w:p>
    <w:p>
      <w:pPr>
        <w:pStyle w:val="BodyText"/>
        <w:spacing w:line="266" w:lineRule="auto"/>
        <w:ind w:left="319" w:right="1077"/>
        <w:jc w:val="both"/>
      </w:pPr>
      <w:r>
        <w:rPr>
          <w:spacing w:val="-6"/>
        </w:rPr>
        <w:t>There is wide diversity across states in terms of progress </w:t>
      </w:r>
      <w:r>
        <w:rPr>
          <w:spacing w:val="-2"/>
        </w:rPr>
        <w:t>towards</w:t>
      </w:r>
      <w:r>
        <w:rPr>
          <w:spacing w:val="-12"/>
        </w:rPr>
        <w:t> </w:t>
      </w:r>
      <w:r>
        <w:rPr>
          <w:spacing w:val="-2"/>
        </w:rPr>
        <w:t>achieving</w:t>
      </w:r>
      <w:r>
        <w:rPr>
          <w:spacing w:val="-12"/>
        </w:rPr>
        <w:t> </w:t>
      </w:r>
      <w:r>
        <w:rPr>
          <w:spacing w:val="-2"/>
        </w:rPr>
        <w:t>universal</w:t>
      </w:r>
      <w:r>
        <w:rPr>
          <w:spacing w:val="-12"/>
        </w:rPr>
        <w:t> </w:t>
      </w:r>
      <w:r>
        <w:rPr>
          <w:spacing w:val="-2"/>
        </w:rPr>
        <w:t>elementary</w:t>
      </w:r>
      <w:r>
        <w:rPr>
          <w:spacing w:val="-11"/>
        </w:rPr>
        <w:t> </w:t>
      </w:r>
      <w:r>
        <w:rPr>
          <w:spacing w:val="-2"/>
        </w:rPr>
        <w:t>education,</w:t>
      </w:r>
      <w:r>
        <w:rPr>
          <w:spacing w:val="-12"/>
        </w:rPr>
        <w:t> </w:t>
      </w:r>
      <w:r>
        <w:rPr>
          <w:spacing w:val="-2"/>
        </w:rPr>
        <w:t>and </w:t>
      </w:r>
      <w:r>
        <w:rPr>
          <w:spacing w:val="-4"/>
        </w:rPr>
        <w:t>also</w:t>
      </w:r>
      <w:r>
        <w:rPr>
          <w:spacing w:val="-7"/>
        </w:rPr>
        <w:t> </w:t>
      </w:r>
      <w:r>
        <w:rPr>
          <w:spacing w:val="-4"/>
        </w:rPr>
        <w:t>diversity</w:t>
      </w:r>
      <w:r>
        <w:rPr>
          <w:spacing w:val="-7"/>
        </w:rPr>
        <w:t> </w:t>
      </w:r>
      <w:r>
        <w:rPr>
          <w:spacing w:val="-4"/>
        </w:rPr>
        <w:t>within</w:t>
      </w:r>
      <w:r>
        <w:rPr>
          <w:spacing w:val="-7"/>
        </w:rPr>
        <w:t> </w:t>
      </w:r>
      <w:r>
        <w:rPr>
          <w:spacing w:val="-4"/>
        </w:rPr>
        <w:t>states</w:t>
      </w:r>
      <w:r>
        <w:rPr>
          <w:spacing w:val="-7"/>
        </w:rPr>
        <w:t> </w:t>
      </w:r>
      <w:r>
        <w:rPr>
          <w:spacing w:val="-4"/>
        </w:rPr>
        <w:t>with</w:t>
      </w:r>
      <w:r>
        <w:rPr>
          <w:spacing w:val="-7"/>
        </w:rPr>
        <w:t> </w:t>
      </w:r>
      <w:r>
        <w:rPr>
          <w:spacing w:val="-4"/>
        </w:rPr>
        <w:t>respect</w:t>
      </w:r>
      <w:r>
        <w:rPr>
          <w:spacing w:val="-7"/>
        </w:rPr>
        <w:t> </w:t>
      </w:r>
      <w:r>
        <w:rPr>
          <w:spacing w:val="-4"/>
        </w:rPr>
        <w:t>to</w:t>
      </w:r>
      <w:r>
        <w:rPr>
          <w:spacing w:val="-7"/>
        </w:rPr>
        <w:t> </w:t>
      </w:r>
      <w:r>
        <w:rPr>
          <w:spacing w:val="-4"/>
        </w:rPr>
        <w:t>the</w:t>
      </w:r>
      <w:r>
        <w:rPr>
          <w:spacing w:val="-7"/>
        </w:rPr>
        <w:t> </w:t>
      </w:r>
      <w:r>
        <w:rPr>
          <w:spacing w:val="-4"/>
        </w:rPr>
        <w:t>quality</w:t>
      </w:r>
      <w:r>
        <w:rPr>
          <w:spacing w:val="-7"/>
        </w:rPr>
        <w:t> </w:t>
      </w:r>
      <w:r>
        <w:rPr>
          <w:spacing w:val="-4"/>
        </w:rPr>
        <w:t>of </w:t>
      </w:r>
      <w:r>
        <w:rPr>
          <w:spacing w:val="-8"/>
        </w:rPr>
        <w:t>school</w:t>
      </w:r>
      <w:r>
        <w:rPr>
          <w:spacing w:val="-1"/>
        </w:rPr>
        <w:t> </w:t>
      </w:r>
      <w:r>
        <w:rPr>
          <w:spacing w:val="-8"/>
        </w:rPr>
        <w:t>education.</w:t>
      </w:r>
      <w:r>
        <w:rPr>
          <w:spacing w:val="-1"/>
        </w:rPr>
        <w:t> </w:t>
      </w:r>
      <w:r>
        <w:rPr>
          <w:spacing w:val="-8"/>
        </w:rPr>
        <w:t>But</w:t>
      </w:r>
      <w:r>
        <w:rPr>
          <w:spacing w:val="-1"/>
        </w:rPr>
        <w:t> </w:t>
      </w:r>
      <w:r>
        <w:rPr>
          <w:spacing w:val="-8"/>
        </w:rPr>
        <w:t>NKC</w:t>
      </w:r>
      <w:r>
        <w:rPr>
          <w:spacing w:val="-1"/>
        </w:rPr>
        <w:t> </w:t>
      </w:r>
      <w:r>
        <w:rPr>
          <w:spacing w:val="-8"/>
        </w:rPr>
        <w:t>believes</w:t>
      </w:r>
      <w:r>
        <w:rPr>
          <w:spacing w:val="-1"/>
        </w:rPr>
        <w:t> </w:t>
      </w:r>
      <w:r>
        <w:rPr>
          <w:spacing w:val="-8"/>
        </w:rPr>
        <w:t>that</w:t>
      </w:r>
      <w:r>
        <w:rPr>
          <w:spacing w:val="-1"/>
        </w:rPr>
        <w:t> </w:t>
      </w:r>
      <w:r>
        <w:rPr>
          <w:spacing w:val="-8"/>
        </w:rPr>
        <w:t>these</w:t>
      </w:r>
      <w:r>
        <w:rPr>
          <w:spacing w:val="-1"/>
        </w:rPr>
        <w:t> </w:t>
      </w:r>
      <w:r>
        <w:rPr>
          <w:spacing w:val="-8"/>
        </w:rPr>
        <w:t>proposals, </w:t>
      </w:r>
      <w:r>
        <w:rPr/>
        <w:t>which require the active involvement of the Central </w:t>
      </w:r>
      <w:r>
        <w:rPr>
          <w:spacing w:val="-6"/>
        </w:rPr>
        <w:t>Government</w:t>
      </w:r>
      <w:r>
        <w:rPr>
          <w:spacing w:val="-8"/>
        </w:rPr>
        <w:t> </w:t>
      </w:r>
      <w:r>
        <w:rPr>
          <w:spacing w:val="-6"/>
        </w:rPr>
        <w:t>as</w:t>
      </w:r>
      <w:r>
        <w:rPr>
          <w:spacing w:val="-8"/>
        </w:rPr>
        <w:t> </w:t>
      </w:r>
      <w:r>
        <w:rPr>
          <w:spacing w:val="-6"/>
        </w:rPr>
        <w:t>well</w:t>
      </w:r>
      <w:r>
        <w:rPr>
          <w:spacing w:val="-8"/>
        </w:rPr>
        <w:t> </w:t>
      </w:r>
      <w:r>
        <w:rPr>
          <w:spacing w:val="-6"/>
        </w:rPr>
        <w:t>as</w:t>
      </w:r>
      <w:r>
        <w:rPr>
          <w:spacing w:val="-7"/>
        </w:rPr>
        <w:t> </w:t>
      </w:r>
      <w:r>
        <w:rPr>
          <w:spacing w:val="-6"/>
        </w:rPr>
        <w:t>State</w:t>
      </w:r>
      <w:r>
        <w:rPr>
          <w:spacing w:val="-8"/>
        </w:rPr>
        <w:t> </w:t>
      </w:r>
      <w:r>
        <w:rPr>
          <w:spacing w:val="-6"/>
        </w:rPr>
        <w:t>Governments,</w:t>
      </w:r>
      <w:r>
        <w:rPr>
          <w:spacing w:val="-8"/>
        </w:rPr>
        <w:t> </w:t>
      </w:r>
      <w:r>
        <w:rPr>
          <w:spacing w:val="-6"/>
        </w:rPr>
        <w:t>will</w:t>
      </w:r>
      <w:r>
        <w:rPr>
          <w:spacing w:val="-8"/>
        </w:rPr>
        <w:t> </w:t>
      </w:r>
      <w:r>
        <w:rPr>
          <w:spacing w:val="-6"/>
        </w:rPr>
        <w:t>go</w:t>
      </w:r>
      <w:r>
        <w:rPr>
          <w:spacing w:val="-7"/>
        </w:rPr>
        <w:t> </w:t>
      </w:r>
      <w:r>
        <w:rPr>
          <w:spacing w:val="-6"/>
        </w:rPr>
        <w:t>some </w:t>
      </w:r>
      <w:r>
        <w:rPr>
          <w:spacing w:val="-4"/>
        </w:rPr>
        <w:t>way</w:t>
      </w:r>
      <w:r>
        <w:rPr>
          <w:spacing w:val="-10"/>
        </w:rPr>
        <w:t> </w:t>
      </w:r>
      <w:r>
        <w:rPr>
          <w:spacing w:val="-4"/>
        </w:rPr>
        <w:t>in</w:t>
      </w:r>
      <w:r>
        <w:rPr>
          <w:spacing w:val="-10"/>
        </w:rPr>
        <w:t> </w:t>
      </w:r>
      <w:r>
        <w:rPr>
          <w:spacing w:val="-4"/>
        </w:rPr>
        <w:t>terms</w:t>
      </w:r>
      <w:r>
        <w:rPr>
          <w:spacing w:val="-10"/>
        </w:rPr>
        <w:t> </w:t>
      </w:r>
      <w:r>
        <w:rPr>
          <w:spacing w:val="-4"/>
        </w:rPr>
        <w:t>of</w:t>
      </w:r>
      <w:r>
        <w:rPr>
          <w:spacing w:val="-9"/>
        </w:rPr>
        <w:t> </w:t>
      </w:r>
      <w:r>
        <w:rPr>
          <w:spacing w:val="-4"/>
        </w:rPr>
        <w:t>ensuring</w:t>
      </w:r>
      <w:r>
        <w:rPr>
          <w:spacing w:val="-10"/>
        </w:rPr>
        <w:t> </w:t>
      </w:r>
      <w:r>
        <w:rPr>
          <w:spacing w:val="-4"/>
        </w:rPr>
        <w:t>universal</w:t>
      </w:r>
      <w:r>
        <w:rPr>
          <w:spacing w:val="-10"/>
        </w:rPr>
        <w:t> </w:t>
      </w:r>
      <w:r>
        <w:rPr>
          <w:spacing w:val="-4"/>
        </w:rPr>
        <w:t>access</w:t>
      </w:r>
      <w:r>
        <w:rPr>
          <w:spacing w:val="-10"/>
        </w:rPr>
        <w:t> </w:t>
      </w:r>
      <w:r>
        <w:rPr>
          <w:spacing w:val="-4"/>
        </w:rPr>
        <w:t>to</w:t>
      </w:r>
      <w:r>
        <w:rPr>
          <w:spacing w:val="-9"/>
        </w:rPr>
        <w:t> </w:t>
      </w:r>
      <w:r>
        <w:rPr>
          <w:spacing w:val="-4"/>
        </w:rPr>
        <w:t>elementary </w:t>
      </w:r>
      <w:r>
        <w:rPr>
          <w:spacing w:val="-2"/>
        </w:rPr>
        <w:t>education,</w:t>
      </w:r>
      <w:r>
        <w:rPr>
          <w:spacing w:val="-12"/>
        </w:rPr>
        <w:t> </w:t>
      </w:r>
      <w:r>
        <w:rPr>
          <w:spacing w:val="-2"/>
        </w:rPr>
        <w:t>wider</w:t>
      </w:r>
      <w:r>
        <w:rPr>
          <w:spacing w:val="-12"/>
        </w:rPr>
        <w:t> </w:t>
      </w:r>
      <w:r>
        <w:rPr>
          <w:spacing w:val="-2"/>
        </w:rPr>
        <w:t>access</w:t>
      </w:r>
      <w:r>
        <w:rPr>
          <w:spacing w:val="-12"/>
        </w:rPr>
        <w:t> </w:t>
      </w:r>
      <w:r>
        <w:rPr>
          <w:spacing w:val="-2"/>
        </w:rPr>
        <w:t>to</w:t>
      </w:r>
      <w:r>
        <w:rPr>
          <w:spacing w:val="-11"/>
        </w:rPr>
        <w:t> </w:t>
      </w:r>
      <w:r>
        <w:rPr>
          <w:spacing w:val="-2"/>
        </w:rPr>
        <w:t>secondary</w:t>
      </w:r>
      <w:r>
        <w:rPr>
          <w:spacing w:val="-12"/>
        </w:rPr>
        <w:t> </w:t>
      </w:r>
      <w:r>
        <w:rPr>
          <w:spacing w:val="-2"/>
        </w:rPr>
        <w:t>education</w:t>
      </w:r>
      <w:r>
        <w:rPr>
          <w:spacing w:val="-12"/>
        </w:rPr>
        <w:t> </w:t>
      </w:r>
      <w:r>
        <w:rPr>
          <w:spacing w:val="-2"/>
        </w:rPr>
        <w:t>as</w:t>
      </w:r>
      <w:r>
        <w:rPr>
          <w:spacing w:val="-12"/>
        </w:rPr>
        <w:t> </w:t>
      </w:r>
      <w:r>
        <w:rPr>
          <w:spacing w:val="-2"/>
        </w:rPr>
        <w:t>well as</w:t>
      </w:r>
      <w:r>
        <w:rPr>
          <w:spacing w:val="-8"/>
        </w:rPr>
        <w:t> </w:t>
      </w:r>
      <w:r>
        <w:rPr>
          <w:spacing w:val="-2"/>
        </w:rPr>
        <w:t>better</w:t>
      </w:r>
      <w:r>
        <w:rPr>
          <w:spacing w:val="-8"/>
        </w:rPr>
        <w:t> </w:t>
      </w:r>
      <w:r>
        <w:rPr>
          <w:spacing w:val="-2"/>
        </w:rPr>
        <w:t>quality</w:t>
      </w:r>
      <w:r>
        <w:rPr>
          <w:spacing w:val="-8"/>
        </w:rPr>
        <w:t> </w:t>
      </w:r>
      <w:r>
        <w:rPr>
          <w:spacing w:val="-2"/>
        </w:rPr>
        <w:t>and</w:t>
      </w:r>
      <w:r>
        <w:rPr>
          <w:spacing w:val="-8"/>
        </w:rPr>
        <w:t> </w:t>
      </w:r>
      <w:r>
        <w:rPr>
          <w:spacing w:val="-2"/>
        </w:rPr>
        <w:t>greater</w:t>
      </w:r>
      <w:r>
        <w:rPr>
          <w:spacing w:val="-8"/>
        </w:rPr>
        <w:t> </w:t>
      </w:r>
      <w:r>
        <w:rPr>
          <w:spacing w:val="-2"/>
        </w:rPr>
        <w:t>relevance</w:t>
      </w:r>
      <w:r>
        <w:rPr>
          <w:spacing w:val="-8"/>
        </w:rPr>
        <w:t> </w:t>
      </w:r>
      <w:r>
        <w:rPr>
          <w:spacing w:val="-2"/>
        </w:rPr>
        <w:t>of</w:t>
      </w:r>
      <w:r>
        <w:rPr>
          <w:spacing w:val="-8"/>
        </w:rPr>
        <w:t> </w:t>
      </w:r>
      <w:r>
        <w:rPr>
          <w:spacing w:val="-2"/>
        </w:rPr>
        <w:t>all</w:t>
      </w:r>
      <w:r>
        <w:rPr>
          <w:spacing w:val="-8"/>
        </w:rPr>
        <w:t> </w:t>
      </w:r>
      <w:r>
        <w:rPr>
          <w:spacing w:val="-2"/>
        </w:rPr>
        <w:t>schooling. </w:t>
      </w:r>
      <w:r>
        <w:rPr>
          <w:spacing w:val="-4"/>
        </w:rPr>
        <w:t>Given</w:t>
      </w:r>
      <w:r>
        <w:rPr>
          <w:spacing w:val="-7"/>
        </w:rPr>
        <w:t> </w:t>
      </w:r>
      <w:r>
        <w:rPr>
          <w:spacing w:val="-4"/>
        </w:rPr>
        <w:t>the</w:t>
      </w:r>
      <w:r>
        <w:rPr>
          <w:spacing w:val="-7"/>
        </w:rPr>
        <w:t> </w:t>
      </w:r>
      <w:r>
        <w:rPr>
          <w:spacing w:val="-4"/>
        </w:rPr>
        <w:t>strong</w:t>
      </w:r>
      <w:r>
        <w:rPr>
          <w:spacing w:val="-7"/>
        </w:rPr>
        <w:t> </w:t>
      </w:r>
      <w:r>
        <w:rPr>
          <w:spacing w:val="-4"/>
        </w:rPr>
        <w:t>synergies</w:t>
      </w:r>
      <w:r>
        <w:rPr>
          <w:spacing w:val="-7"/>
        </w:rPr>
        <w:t> </w:t>
      </w:r>
      <w:r>
        <w:rPr>
          <w:spacing w:val="-4"/>
        </w:rPr>
        <w:t>between</w:t>
      </w:r>
      <w:r>
        <w:rPr>
          <w:spacing w:val="-7"/>
        </w:rPr>
        <w:t> </w:t>
      </w:r>
      <w:r>
        <w:rPr>
          <w:spacing w:val="-4"/>
        </w:rPr>
        <w:t>this</w:t>
      </w:r>
      <w:r>
        <w:rPr>
          <w:spacing w:val="-7"/>
        </w:rPr>
        <w:t> </w:t>
      </w:r>
      <w:r>
        <w:rPr>
          <w:spacing w:val="-4"/>
        </w:rPr>
        <w:t>and</w:t>
      </w:r>
      <w:r>
        <w:rPr>
          <w:spacing w:val="-7"/>
        </w:rPr>
        <w:t> </w:t>
      </w:r>
      <w:r>
        <w:rPr>
          <w:spacing w:val="-4"/>
        </w:rPr>
        <w:t>other</w:t>
      </w:r>
      <w:r>
        <w:rPr>
          <w:spacing w:val="-7"/>
        </w:rPr>
        <w:t> </w:t>
      </w:r>
      <w:r>
        <w:rPr>
          <w:spacing w:val="-4"/>
        </w:rPr>
        <w:t>areas </w:t>
      </w:r>
      <w:r>
        <w:rPr/>
        <w:t>such</w:t>
      </w:r>
      <w:r>
        <w:rPr>
          <w:spacing w:val="-14"/>
        </w:rPr>
        <w:t> </w:t>
      </w:r>
      <w:r>
        <w:rPr/>
        <w:t>as</w:t>
      </w:r>
      <w:r>
        <w:rPr>
          <w:spacing w:val="-14"/>
        </w:rPr>
        <w:t> </w:t>
      </w:r>
      <w:r>
        <w:rPr/>
        <w:t>libraries,</w:t>
      </w:r>
      <w:r>
        <w:rPr>
          <w:spacing w:val="-14"/>
        </w:rPr>
        <w:t> </w:t>
      </w:r>
      <w:r>
        <w:rPr/>
        <w:t>translation,</w:t>
      </w:r>
      <w:r>
        <w:rPr>
          <w:spacing w:val="-13"/>
        </w:rPr>
        <w:t> </w:t>
      </w:r>
      <w:r>
        <w:rPr/>
        <w:t>knowledge</w:t>
      </w:r>
      <w:r>
        <w:rPr>
          <w:spacing w:val="-14"/>
        </w:rPr>
        <w:t> </w:t>
      </w:r>
      <w:r>
        <w:rPr/>
        <w:t>networks</w:t>
      </w:r>
      <w:r>
        <w:rPr>
          <w:spacing w:val="-14"/>
        </w:rPr>
        <w:t> </w:t>
      </w:r>
      <w:r>
        <w:rPr/>
        <w:t>etc, these suggestions should be seen in conjunction with </w:t>
      </w:r>
      <w:r>
        <w:rPr>
          <w:spacing w:val="-2"/>
        </w:rPr>
        <w:t>other</w:t>
      </w:r>
      <w:r>
        <w:rPr>
          <w:spacing w:val="-12"/>
        </w:rPr>
        <w:t> </w:t>
      </w:r>
      <w:r>
        <w:rPr>
          <w:spacing w:val="-2"/>
        </w:rPr>
        <w:t>recommendations</w:t>
      </w:r>
      <w:r>
        <w:rPr>
          <w:spacing w:val="-12"/>
        </w:rPr>
        <w:t> </w:t>
      </w:r>
      <w:r>
        <w:rPr>
          <w:spacing w:val="-2"/>
        </w:rPr>
        <w:t>that</w:t>
      </w:r>
      <w:r>
        <w:rPr>
          <w:spacing w:val="-12"/>
        </w:rPr>
        <w:t> </w:t>
      </w:r>
      <w:r>
        <w:rPr>
          <w:spacing w:val="-2"/>
        </w:rPr>
        <w:t>have</w:t>
      </w:r>
      <w:r>
        <w:rPr>
          <w:spacing w:val="-11"/>
        </w:rPr>
        <w:t> </w:t>
      </w:r>
      <w:r>
        <w:rPr>
          <w:spacing w:val="-2"/>
        </w:rPr>
        <w:t>already</w:t>
      </w:r>
      <w:r>
        <w:rPr>
          <w:spacing w:val="-12"/>
        </w:rPr>
        <w:t> </w:t>
      </w:r>
      <w:r>
        <w:rPr>
          <w:spacing w:val="-2"/>
        </w:rPr>
        <w:t>been</w:t>
      </w:r>
      <w:r>
        <w:rPr>
          <w:spacing w:val="-12"/>
        </w:rPr>
        <w:t> </w:t>
      </w:r>
      <w:r>
        <w:rPr>
          <w:spacing w:val="-2"/>
        </w:rPr>
        <w:t>made</w:t>
      </w:r>
      <w:r>
        <w:rPr>
          <w:spacing w:val="-12"/>
        </w:rPr>
        <w:t> </w:t>
      </w:r>
      <w:r>
        <w:rPr>
          <w:spacing w:val="-2"/>
        </w:rPr>
        <w:t>in </w:t>
      </w:r>
      <w:r>
        <w:rPr>
          <w:w w:val="90"/>
        </w:rPr>
        <w:t>these other areas, as part of a systematic set of knowledge </w:t>
      </w:r>
      <w:r>
        <w:rPr/>
        <w:t>initiatives for the young.</w:t>
      </w:r>
    </w:p>
    <w:p>
      <w:pPr>
        <w:spacing w:after="0" w:line="266" w:lineRule="auto"/>
        <w:jc w:val="both"/>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783"/>
        <w:jc w:val="both"/>
      </w:pPr>
      <w:r>
        <w:rPr/>
        <mc:AlternateContent>
          <mc:Choice Requires="wps">
            <w:drawing>
              <wp:anchor distT="0" distB="0" distL="0" distR="0" allowOverlap="1" layoutInCell="1" locked="0" behindDoc="0" simplePos="0" relativeHeight="15758848">
                <wp:simplePos x="0" y="0"/>
                <wp:positionH relativeFrom="page">
                  <wp:posOffset>0</wp:posOffset>
                </wp:positionH>
                <wp:positionV relativeFrom="paragraph">
                  <wp:posOffset>-2277393</wp:posOffset>
                </wp:positionV>
                <wp:extent cx="7560309" cy="1752600"/>
                <wp:effectExtent l="0" t="0" r="0" b="0"/>
                <wp:wrapNone/>
                <wp:docPr id="859" name="Group 859"/>
                <wp:cNvGraphicFramePr>
                  <a:graphicFrameLocks/>
                </wp:cNvGraphicFramePr>
                <a:graphic>
                  <a:graphicData uri="http://schemas.microsoft.com/office/word/2010/wordprocessingGroup">
                    <wpg:wgp>
                      <wpg:cNvPr id="859" name="Group 859"/>
                      <wpg:cNvGrpSpPr/>
                      <wpg:grpSpPr>
                        <a:xfrm>
                          <a:off x="0" y="0"/>
                          <a:ext cx="7560309" cy="1752600"/>
                          <a:chExt cx="7560309" cy="1752600"/>
                        </a:xfrm>
                      </wpg:grpSpPr>
                      <pic:pic>
                        <pic:nvPicPr>
                          <pic:cNvPr id="860" name="Image 860"/>
                          <pic:cNvPicPr/>
                        </pic:nvPicPr>
                        <pic:blipFill>
                          <a:blip r:embed="rId612" cstate="print"/>
                          <a:stretch>
                            <a:fillRect/>
                          </a:stretch>
                        </pic:blipFill>
                        <pic:spPr>
                          <a:xfrm>
                            <a:off x="0" y="0"/>
                            <a:ext cx="7559999" cy="1752562"/>
                          </a:xfrm>
                          <a:prstGeom prst="rect">
                            <a:avLst/>
                          </a:prstGeom>
                        </pic:spPr>
                      </pic:pic>
                      <wps:wsp>
                        <wps:cNvPr id="861" name="Textbox 861"/>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Note </w:t>
                              </w:r>
                              <w:r>
                                <w:rPr>
                                  <w:rFonts w:ascii="Trebuchet MS"/>
                                  <w:b/>
                                  <w:color w:val="FFFFFF"/>
                                  <w:spacing w:val="-5"/>
                                  <w:sz w:val="68"/>
                                </w:rPr>
                                <w:t>on</w:t>
                              </w:r>
                            </w:p>
                            <w:p>
                              <w:pPr>
                                <w:spacing w:before="26"/>
                                <w:ind w:left="1080" w:right="0" w:firstLine="0"/>
                                <w:jc w:val="left"/>
                                <w:rPr>
                                  <w:rFonts w:ascii="Trebuchet MS"/>
                                  <w:b/>
                                  <w:sz w:val="68"/>
                                </w:rPr>
                              </w:pPr>
                              <w:r>
                                <w:rPr>
                                  <w:rFonts w:ascii="Trebuchet MS"/>
                                  <w:b/>
                                  <w:color w:val="FFFFFF"/>
                                  <w:sz w:val="68"/>
                                </w:rPr>
                                <w:t>School</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58848" id="docshapegroup852" coordorigin="0,-3586" coordsize="11906,2760">
                <v:shape style="position:absolute;left:0;top:-3587;width:11906;height:2760" type="#_x0000_t75" id="docshape853" stroked="false">
                  <v:imagedata r:id="rId612" o:title=""/>
                </v:shape>
                <v:shape style="position:absolute;left:0;top:-3587;width:11906;height:2760" type="#_x0000_t202" id="docshape854"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Note </w:t>
                        </w:r>
                        <w:r>
                          <w:rPr>
                            <w:rFonts w:ascii="Trebuchet MS"/>
                            <w:b/>
                            <w:color w:val="FFFFFF"/>
                            <w:spacing w:val="-5"/>
                            <w:sz w:val="68"/>
                          </w:rPr>
                          <w:t>on</w:t>
                        </w:r>
                      </w:p>
                      <w:p>
                        <w:pPr>
                          <w:spacing w:before="26"/>
                          <w:ind w:left="1080" w:right="0" w:firstLine="0"/>
                          <w:jc w:val="left"/>
                          <w:rPr>
                            <w:rFonts w:ascii="Trebuchet MS"/>
                            <w:b/>
                            <w:sz w:val="68"/>
                          </w:rPr>
                        </w:pPr>
                        <w:r>
                          <w:rPr>
                            <w:rFonts w:ascii="Trebuchet MS"/>
                            <w:b/>
                            <w:color w:val="FFFFFF"/>
                            <w:sz w:val="68"/>
                          </w:rPr>
                          <w:t>School</w:t>
                        </w:r>
                        <w:r>
                          <w:rPr>
                            <w:rFonts w:ascii="Trebuchet MS"/>
                            <w:b/>
                            <w:color w:val="FFFFFF"/>
                            <w:spacing w:val="-1"/>
                            <w:sz w:val="68"/>
                          </w:rPr>
                          <w:t> </w:t>
                        </w:r>
                        <w:r>
                          <w:rPr>
                            <w:rFonts w:ascii="Trebuchet MS"/>
                            <w:b/>
                            <w:color w:val="FFFFFF"/>
                            <w:spacing w:val="-2"/>
                            <w:sz w:val="68"/>
                          </w:rPr>
                          <w:t>Education</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35936">
                <wp:simplePos x="0" y="0"/>
                <wp:positionH relativeFrom="page">
                  <wp:posOffset>686227</wp:posOffset>
                </wp:positionH>
                <wp:positionV relativeFrom="paragraph">
                  <wp:posOffset>-36780</wp:posOffset>
                </wp:positionV>
                <wp:extent cx="446405" cy="757555"/>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4.03368pt;margin-top:-2.89609pt;width:35.15pt;height:59.65pt;mso-position-horizontal-relative:page;mso-position-vertical-relative:paragraph;z-index:-23980544" type="#_x0000_t202" id="docshape855"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w:t>
      </w:r>
      <w:r>
        <w:rPr>
          <w:spacing w:val="-8"/>
        </w:rPr>
        <w:t> </w:t>
      </w:r>
      <w:r>
        <w:rPr/>
        <w:t>Prime</w:t>
      </w:r>
      <w:r>
        <w:rPr>
          <w:spacing w:val="-8"/>
        </w:rPr>
        <w:t> </w:t>
      </w:r>
      <w:r>
        <w:rPr/>
        <w:t>Minister</w:t>
      </w:r>
      <w:r>
        <w:rPr>
          <w:spacing w:val="-8"/>
        </w:rPr>
        <w:t> </w:t>
      </w:r>
      <w:r>
        <w:rPr/>
        <w:t>has</w:t>
      </w:r>
      <w:r>
        <w:rPr>
          <w:spacing w:val="-8"/>
        </w:rPr>
        <w:t> </w:t>
      </w:r>
      <w:r>
        <w:rPr/>
        <w:t>repeatedly</w:t>
      </w:r>
      <w:r>
        <w:rPr>
          <w:spacing w:val="-8"/>
        </w:rPr>
        <w:t> </w:t>
      </w:r>
      <w:r>
        <w:rPr/>
        <w:t>emphasised that ensuring quality school education to all is</w:t>
      </w:r>
      <w:r>
        <w:rPr>
          <w:spacing w:val="10"/>
        </w:rPr>
        <w:t> </w:t>
      </w:r>
      <w:r>
        <w:rPr/>
        <w:t>one</w:t>
      </w:r>
      <w:r>
        <w:rPr>
          <w:spacing w:val="10"/>
        </w:rPr>
        <w:t> </w:t>
      </w:r>
      <w:r>
        <w:rPr/>
        <w:t>of</w:t>
      </w:r>
      <w:r>
        <w:rPr>
          <w:spacing w:val="11"/>
        </w:rPr>
        <w:t> </w:t>
      </w:r>
      <w:r>
        <w:rPr/>
        <w:t>the</w:t>
      </w:r>
      <w:r>
        <w:rPr>
          <w:spacing w:val="10"/>
        </w:rPr>
        <w:t> </w:t>
      </w:r>
      <w:r>
        <w:rPr/>
        <w:t>most</w:t>
      </w:r>
      <w:r>
        <w:rPr>
          <w:spacing w:val="11"/>
        </w:rPr>
        <w:t> </w:t>
      </w:r>
      <w:r>
        <w:rPr/>
        <w:t>important</w:t>
      </w:r>
      <w:r>
        <w:rPr>
          <w:spacing w:val="10"/>
        </w:rPr>
        <w:t> </w:t>
      </w:r>
      <w:r>
        <w:rPr/>
        <w:t>priorities</w:t>
      </w:r>
      <w:r>
        <w:rPr>
          <w:spacing w:val="10"/>
        </w:rPr>
        <w:t> </w:t>
      </w:r>
      <w:r>
        <w:rPr/>
        <w:t>of</w:t>
      </w:r>
      <w:r>
        <w:rPr>
          <w:spacing w:val="11"/>
        </w:rPr>
        <w:t> </w:t>
      </w:r>
      <w:r>
        <w:rPr>
          <w:spacing w:val="-5"/>
        </w:rPr>
        <w:t>the</w:t>
      </w:r>
    </w:p>
    <w:p>
      <w:pPr>
        <w:pStyle w:val="BodyText"/>
        <w:spacing w:line="266" w:lineRule="auto"/>
        <w:ind w:left="1080"/>
        <w:jc w:val="both"/>
      </w:pPr>
      <w:r>
        <w:rPr>
          <w:spacing w:val="-4"/>
        </w:rPr>
        <w:t>government,</w:t>
      </w:r>
      <w:r>
        <w:rPr>
          <w:spacing w:val="-5"/>
        </w:rPr>
        <w:t> </w:t>
      </w:r>
      <w:r>
        <w:rPr>
          <w:spacing w:val="-4"/>
        </w:rPr>
        <w:t>and</w:t>
      </w:r>
      <w:r>
        <w:rPr>
          <w:spacing w:val="-5"/>
        </w:rPr>
        <w:t> </w:t>
      </w:r>
      <w:r>
        <w:rPr>
          <w:spacing w:val="-4"/>
        </w:rPr>
        <w:t>the</w:t>
      </w:r>
      <w:r>
        <w:rPr>
          <w:spacing w:val="-5"/>
        </w:rPr>
        <w:t> </w:t>
      </w:r>
      <w:r>
        <w:rPr>
          <w:spacing w:val="-4"/>
        </w:rPr>
        <w:t>National</w:t>
      </w:r>
      <w:r>
        <w:rPr>
          <w:spacing w:val="-5"/>
        </w:rPr>
        <w:t> </w:t>
      </w:r>
      <w:r>
        <w:rPr>
          <w:spacing w:val="-4"/>
        </w:rPr>
        <w:t>Knowledge</w:t>
      </w:r>
      <w:r>
        <w:rPr>
          <w:spacing w:val="-5"/>
        </w:rPr>
        <w:t> </w:t>
      </w:r>
      <w:r>
        <w:rPr>
          <w:spacing w:val="-4"/>
        </w:rPr>
        <w:t>Commission </w:t>
      </w:r>
      <w:r>
        <w:rPr>
          <w:spacing w:val="-6"/>
        </w:rPr>
        <w:t>has also recognised the crucial significance of this as the </w:t>
      </w:r>
      <w:r>
        <w:rPr/>
        <w:t>foundation</w:t>
      </w:r>
      <w:r>
        <w:rPr>
          <w:spacing w:val="-3"/>
        </w:rPr>
        <w:t> </w:t>
      </w:r>
      <w:r>
        <w:rPr/>
        <w:t>upon</w:t>
      </w:r>
      <w:r>
        <w:rPr>
          <w:spacing w:val="-3"/>
        </w:rPr>
        <w:t> </w:t>
      </w:r>
      <w:r>
        <w:rPr/>
        <w:t>which</w:t>
      </w:r>
      <w:r>
        <w:rPr>
          <w:spacing w:val="-3"/>
        </w:rPr>
        <w:t> </w:t>
      </w:r>
      <w:r>
        <w:rPr/>
        <w:t>any</w:t>
      </w:r>
      <w:r>
        <w:rPr>
          <w:spacing w:val="-3"/>
        </w:rPr>
        <w:t> </w:t>
      </w:r>
      <w:r>
        <w:rPr/>
        <w:t>further</w:t>
      </w:r>
      <w:r>
        <w:rPr>
          <w:spacing w:val="-3"/>
        </w:rPr>
        <w:t> </w:t>
      </w:r>
      <w:r>
        <w:rPr/>
        <w:t>advances</w:t>
      </w:r>
      <w:r>
        <w:rPr>
          <w:spacing w:val="-3"/>
        </w:rPr>
        <w:t> </w:t>
      </w:r>
      <w:r>
        <w:rPr/>
        <w:t>must</w:t>
      </w:r>
      <w:r>
        <w:rPr>
          <w:spacing w:val="-3"/>
        </w:rPr>
        <w:t> </w:t>
      </w:r>
      <w:r>
        <w:rPr/>
        <w:t>be based.</w:t>
      </w:r>
      <w:r>
        <w:rPr>
          <w:spacing w:val="-14"/>
        </w:rPr>
        <w:t> </w:t>
      </w:r>
      <w:r>
        <w:rPr/>
        <w:t>NKC</w:t>
      </w:r>
      <w:r>
        <w:rPr>
          <w:spacing w:val="-14"/>
        </w:rPr>
        <w:t> </w:t>
      </w:r>
      <w:r>
        <w:rPr/>
        <w:t>has</w:t>
      </w:r>
      <w:r>
        <w:rPr>
          <w:spacing w:val="-14"/>
        </w:rPr>
        <w:t> </w:t>
      </w:r>
      <w:r>
        <w:rPr/>
        <w:t>held</w:t>
      </w:r>
      <w:r>
        <w:rPr>
          <w:spacing w:val="-13"/>
        </w:rPr>
        <w:t> </w:t>
      </w:r>
      <w:r>
        <w:rPr/>
        <w:t>a</w:t>
      </w:r>
      <w:r>
        <w:rPr>
          <w:spacing w:val="-14"/>
        </w:rPr>
        <w:t> </w:t>
      </w:r>
      <w:r>
        <w:rPr/>
        <w:t>series</w:t>
      </w:r>
      <w:r>
        <w:rPr>
          <w:spacing w:val="-14"/>
        </w:rPr>
        <w:t> </w:t>
      </w:r>
      <w:r>
        <w:rPr/>
        <w:t>of</w:t>
      </w:r>
      <w:r>
        <w:rPr>
          <w:spacing w:val="-14"/>
        </w:rPr>
        <w:t> </w:t>
      </w:r>
      <w:r>
        <w:rPr/>
        <w:t>workshops</w:t>
      </w:r>
      <w:r>
        <w:rPr>
          <w:spacing w:val="-13"/>
        </w:rPr>
        <w:t> </w:t>
      </w:r>
      <w:r>
        <w:rPr/>
        <w:t>around</w:t>
      </w:r>
      <w:r>
        <w:rPr>
          <w:spacing w:val="-14"/>
        </w:rPr>
        <w:t> </w:t>
      </w:r>
      <w:r>
        <w:rPr/>
        <w:t>the </w:t>
      </w:r>
      <w:r>
        <w:rPr>
          <w:spacing w:val="-6"/>
        </w:rPr>
        <w:t>country,</w:t>
      </w:r>
      <w:r>
        <w:rPr>
          <w:spacing w:val="-8"/>
        </w:rPr>
        <w:t> </w:t>
      </w:r>
      <w:r>
        <w:rPr>
          <w:spacing w:val="-6"/>
        </w:rPr>
        <w:t>addressing</w:t>
      </w:r>
      <w:r>
        <w:rPr>
          <w:spacing w:val="-8"/>
        </w:rPr>
        <w:t> </w:t>
      </w:r>
      <w:r>
        <w:rPr>
          <w:spacing w:val="-6"/>
        </w:rPr>
        <w:t>issues</w:t>
      </w:r>
      <w:r>
        <w:rPr>
          <w:spacing w:val="-8"/>
        </w:rPr>
        <w:t> </w:t>
      </w:r>
      <w:r>
        <w:rPr>
          <w:spacing w:val="-6"/>
        </w:rPr>
        <w:t>of</w:t>
      </w:r>
      <w:r>
        <w:rPr>
          <w:spacing w:val="-7"/>
        </w:rPr>
        <w:t> </w:t>
      </w:r>
      <w:r>
        <w:rPr>
          <w:spacing w:val="-6"/>
        </w:rPr>
        <w:t>quantity,</w:t>
      </w:r>
      <w:r>
        <w:rPr>
          <w:spacing w:val="-8"/>
        </w:rPr>
        <w:t> </w:t>
      </w:r>
      <w:r>
        <w:rPr>
          <w:spacing w:val="-6"/>
        </w:rPr>
        <w:t>quality</w:t>
      </w:r>
      <w:r>
        <w:rPr>
          <w:spacing w:val="-8"/>
        </w:rPr>
        <w:t> </w:t>
      </w:r>
      <w:r>
        <w:rPr>
          <w:spacing w:val="-6"/>
        </w:rPr>
        <w:t>and</w:t>
      </w:r>
      <w:r>
        <w:rPr>
          <w:spacing w:val="-8"/>
        </w:rPr>
        <w:t> </w:t>
      </w:r>
      <w:r>
        <w:rPr>
          <w:spacing w:val="-6"/>
        </w:rPr>
        <w:t>access </w:t>
      </w:r>
      <w:r>
        <w:rPr/>
        <w:t>in school education, and tried to involve a very wide range of stakeholders in the consultations.</w:t>
      </w:r>
    </w:p>
    <w:p>
      <w:pPr>
        <w:pStyle w:val="BodyText"/>
        <w:spacing w:before="19"/>
      </w:pPr>
    </w:p>
    <w:p>
      <w:pPr>
        <w:pStyle w:val="BodyText"/>
        <w:spacing w:line="266" w:lineRule="auto"/>
        <w:ind w:left="1080"/>
        <w:jc w:val="both"/>
      </w:pPr>
      <w:r>
        <w:rPr/>
        <w:t>NKC recognises that the primary responsibility </w:t>
      </w:r>
      <w:r>
        <w:rPr/>
        <w:t>for school education is borne by the State Governments, and therefore any policy changes must be with the full</w:t>
      </w:r>
      <w:r>
        <w:rPr>
          <w:spacing w:val="-5"/>
        </w:rPr>
        <w:t> </w:t>
      </w:r>
      <w:r>
        <w:rPr/>
        <w:t>participation</w:t>
      </w:r>
      <w:r>
        <w:rPr>
          <w:spacing w:val="-5"/>
        </w:rPr>
        <w:t> </w:t>
      </w:r>
      <w:r>
        <w:rPr/>
        <w:t>and</w:t>
      </w:r>
      <w:r>
        <w:rPr>
          <w:spacing w:val="-5"/>
        </w:rPr>
        <w:t> </w:t>
      </w:r>
      <w:r>
        <w:rPr/>
        <w:t>involvement</w:t>
      </w:r>
      <w:r>
        <w:rPr>
          <w:spacing w:val="-5"/>
        </w:rPr>
        <w:t> </w:t>
      </w:r>
      <w:r>
        <w:rPr/>
        <w:t>of</w:t>
      </w:r>
      <w:r>
        <w:rPr>
          <w:spacing w:val="-5"/>
        </w:rPr>
        <w:t> </w:t>
      </w:r>
      <w:r>
        <w:rPr/>
        <w:t>the</w:t>
      </w:r>
      <w:r>
        <w:rPr>
          <w:spacing w:val="-5"/>
        </w:rPr>
        <w:t> </w:t>
      </w:r>
      <w:r>
        <w:rPr/>
        <w:t>states.</w:t>
      </w:r>
      <w:r>
        <w:rPr>
          <w:spacing w:val="-5"/>
        </w:rPr>
        <w:t> </w:t>
      </w:r>
      <w:r>
        <w:rPr/>
        <w:t>Also, </w:t>
      </w:r>
      <w:r>
        <w:rPr>
          <w:spacing w:val="-4"/>
        </w:rPr>
        <w:t>there</w:t>
      </w:r>
      <w:r>
        <w:rPr>
          <w:spacing w:val="-7"/>
        </w:rPr>
        <w:t> </w:t>
      </w:r>
      <w:r>
        <w:rPr>
          <w:spacing w:val="-4"/>
        </w:rPr>
        <w:t>is</w:t>
      </w:r>
      <w:r>
        <w:rPr>
          <w:spacing w:val="-7"/>
        </w:rPr>
        <w:t> </w:t>
      </w:r>
      <w:r>
        <w:rPr>
          <w:spacing w:val="-4"/>
        </w:rPr>
        <w:t>wide</w:t>
      </w:r>
      <w:r>
        <w:rPr>
          <w:spacing w:val="-7"/>
        </w:rPr>
        <w:t> </w:t>
      </w:r>
      <w:r>
        <w:rPr>
          <w:spacing w:val="-4"/>
        </w:rPr>
        <w:t>diversity</w:t>
      </w:r>
      <w:r>
        <w:rPr>
          <w:spacing w:val="-7"/>
        </w:rPr>
        <w:t> </w:t>
      </w:r>
      <w:r>
        <w:rPr>
          <w:spacing w:val="-4"/>
        </w:rPr>
        <w:t>across</w:t>
      </w:r>
      <w:r>
        <w:rPr>
          <w:spacing w:val="-7"/>
        </w:rPr>
        <w:t> </w:t>
      </w:r>
      <w:r>
        <w:rPr>
          <w:spacing w:val="-4"/>
        </w:rPr>
        <w:t>states</w:t>
      </w:r>
      <w:r>
        <w:rPr>
          <w:spacing w:val="-7"/>
        </w:rPr>
        <w:t> </w:t>
      </w:r>
      <w:r>
        <w:rPr>
          <w:spacing w:val="-4"/>
        </w:rPr>
        <w:t>in</w:t>
      </w:r>
      <w:r>
        <w:rPr>
          <w:spacing w:val="-7"/>
        </w:rPr>
        <w:t> </w:t>
      </w:r>
      <w:r>
        <w:rPr>
          <w:spacing w:val="-4"/>
        </w:rPr>
        <w:t>terms</w:t>
      </w:r>
      <w:r>
        <w:rPr>
          <w:spacing w:val="-7"/>
        </w:rPr>
        <w:t> </w:t>
      </w:r>
      <w:r>
        <w:rPr>
          <w:spacing w:val="-4"/>
        </w:rPr>
        <w:t>of</w:t>
      </w:r>
      <w:r>
        <w:rPr>
          <w:spacing w:val="-7"/>
        </w:rPr>
        <w:t> </w:t>
      </w:r>
      <w:r>
        <w:rPr>
          <w:spacing w:val="-4"/>
        </w:rPr>
        <w:t>progress </w:t>
      </w:r>
      <w:r>
        <w:rPr>
          <w:spacing w:val="-2"/>
        </w:rPr>
        <w:t>towards</w:t>
      </w:r>
      <w:r>
        <w:rPr>
          <w:spacing w:val="-12"/>
        </w:rPr>
        <w:t> </w:t>
      </w:r>
      <w:r>
        <w:rPr>
          <w:spacing w:val="-2"/>
        </w:rPr>
        <w:t>achieving</w:t>
      </w:r>
      <w:r>
        <w:rPr>
          <w:spacing w:val="-12"/>
        </w:rPr>
        <w:t> </w:t>
      </w:r>
      <w:r>
        <w:rPr>
          <w:spacing w:val="-2"/>
        </w:rPr>
        <w:t>universal</w:t>
      </w:r>
      <w:r>
        <w:rPr>
          <w:spacing w:val="-12"/>
        </w:rPr>
        <w:t> </w:t>
      </w:r>
      <w:r>
        <w:rPr>
          <w:spacing w:val="-2"/>
        </w:rPr>
        <w:t>elementary</w:t>
      </w:r>
      <w:r>
        <w:rPr>
          <w:spacing w:val="-11"/>
        </w:rPr>
        <w:t> </w:t>
      </w:r>
      <w:r>
        <w:rPr>
          <w:spacing w:val="-2"/>
        </w:rPr>
        <w:t>education,</w:t>
      </w:r>
      <w:r>
        <w:rPr>
          <w:spacing w:val="-12"/>
        </w:rPr>
        <w:t> </w:t>
      </w:r>
      <w:r>
        <w:rPr>
          <w:spacing w:val="-2"/>
        </w:rPr>
        <w:t>and </w:t>
      </w:r>
      <w:r>
        <w:rPr/>
        <w:t>also</w:t>
      </w:r>
      <w:r>
        <w:rPr>
          <w:spacing w:val="-4"/>
        </w:rPr>
        <w:t> </w:t>
      </w:r>
      <w:r>
        <w:rPr/>
        <w:t>diversity</w:t>
      </w:r>
      <w:r>
        <w:rPr>
          <w:spacing w:val="-4"/>
        </w:rPr>
        <w:t> </w:t>
      </w:r>
      <w:r>
        <w:rPr/>
        <w:t>within</w:t>
      </w:r>
      <w:r>
        <w:rPr>
          <w:spacing w:val="-4"/>
        </w:rPr>
        <w:t> </w:t>
      </w:r>
      <w:r>
        <w:rPr/>
        <w:t>states</w:t>
      </w:r>
      <w:r>
        <w:rPr>
          <w:spacing w:val="-4"/>
        </w:rPr>
        <w:t> </w:t>
      </w:r>
      <w:r>
        <w:rPr/>
        <w:t>with</w:t>
      </w:r>
      <w:r>
        <w:rPr>
          <w:spacing w:val="-4"/>
        </w:rPr>
        <w:t> </w:t>
      </w:r>
      <w:r>
        <w:rPr/>
        <w:t>respect</w:t>
      </w:r>
      <w:r>
        <w:rPr>
          <w:spacing w:val="-4"/>
        </w:rPr>
        <w:t> </w:t>
      </w:r>
      <w:r>
        <w:rPr/>
        <w:t>to</w:t>
      </w:r>
      <w:r>
        <w:rPr>
          <w:spacing w:val="-4"/>
        </w:rPr>
        <w:t> </w:t>
      </w:r>
      <w:r>
        <w:rPr/>
        <w:t>the</w:t>
      </w:r>
      <w:r>
        <w:rPr>
          <w:spacing w:val="-4"/>
        </w:rPr>
        <w:t> </w:t>
      </w:r>
      <w:r>
        <w:rPr/>
        <w:t>quality of</w:t>
      </w:r>
      <w:r>
        <w:rPr>
          <w:spacing w:val="-9"/>
        </w:rPr>
        <w:t> </w:t>
      </w:r>
      <w:r>
        <w:rPr/>
        <w:t>school</w:t>
      </w:r>
      <w:r>
        <w:rPr>
          <w:spacing w:val="-9"/>
        </w:rPr>
        <w:t> </w:t>
      </w:r>
      <w:r>
        <w:rPr/>
        <w:t>education.</w:t>
      </w:r>
      <w:r>
        <w:rPr>
          <w:spacing w:val="-9"/>
        </w:rPr>
        <w:t> </w:t>
      </w:r>
      <w:r>
        <w:rPr/>
        <w:t>Nevertheless,</w:t>
      </w:r>
      <w:r>
        <w:rPr>
          <w:spacing w:val="-9"/>
        </w:rPr>
        <w:t> </w:t>
      </w:r>
      <w:r>
        <w:rPr/>
        <w:t>NKC</w:t>
      </w:r>
      <w:r>
        <w:rPr>
          <w:spacing w:val="-9"/>
        </w:rPr>
        <w:t> </w:t>
      </w:r>
      <w:r>
        <w:rPr/>
        <w:t>believes</w:t>
      </w:r>
      <w:r>
        <w:rPr>
          <w:spacing w:val="-9"/>
        </w:rPr>
        <w:t> </w:t>
      </w:r>
      <w:r>
        <w:rPr/>
        <w:t>that </w:t>
      </w:r>
      <w:r>
        <w:rPr>
          <w:spacing w:val="-6"/>
        </w:rPr>
        <w:t>positive</w:t>
      </w:r>
      <w:r>
        <w:rPr>
          <w:spacing w:val="-7"/>
        </w:rPr>
        <w:t> </w:t>
      </w:r>
      <w:r>
        <w:rPr>
          <w:spacing w:val="-6"/>
        </w:rPr>
        <w:t>changes</w:t>
      </w:r>
      <w:r>
        <w:rPr>
          <w:spacing w:val="-7"/>
        </w:rPr>
        <w:t> </w:t>
      </w:r>
      <w:r>
        <w:rPr>
          <w:spacing w:val="-6"/>
        </w:rPr>
        <w:t>in</w:t>
      </w:r>
      <w:r>
        <w:rPr>
          <w:spacing w:val="-7"/>
        </w:rPr>
        <w:t> </w:t>
      </w:r>
      <w:r>
        <w:rPr>
          <w:spacing w:val="-6"/>
        </w:rPr>
        <w:t>systems</w:t>
      </w:r>
      <w:r>
        <w:rPr>
          <w:spacing w:val="-7"/>
        </w:rPr>
        <w:t> </w:t>
      </w:r>
      <w:r>
        <w:rPr>
          <w:spacing w:val="-6"/>
        </w:rPr>
        <w:t>of</w:t>
      </w:r>
      <w:r>
        <w:rPr>
          <w:spacing w:val="-7"/>
        </w:rPr>
        <w:t> </w:t>
      </w:r>
      <w:r>
        <w:rPr>
          <w:spacing w:val="-6"/>
        </w:rPr>
        <w:t>schooling</w:t>
      </w:r>
      <w:r>
        <w:rPr>
          <w:spacing w:val="-7"/>
        </w:rPr>
        <w:t> </w:t>
      </w:r>
      <w:r>
        <w:rPr>
          <w:spacing w:val="-6"/>
        </w:rPr>
        <w:t>that</w:t>
      </w:r>
      <w:r>
        <w:rPr>
          <w:spacing w:val="-7"/>
        </w:rPr>
        <w:t> </w:t>
      </w:r>
      <w:r>
        <w:rPr>
          <w:spacing w:val="-6"/>
        </w:rPr>
        <w:t>will</w:t>
      </w:r>
      <w:r>
        <w:rPr>
          <w:spacing w:val="-7"/>
        </w:rPr>
        <w:t> </w:t>
      </w:r>
      <w:r>
        <w:rPr>
          <w:spacing w:val="-6"/>
        </w:rPr>
        <w:t>ensure </w:t>
      </w:r>
      <w:r>
        <w:rPr>
          <w:spacing w:val="-2"/>
        </w:rPr>
        <w:t>universal</w:t>
      </w:r>
      <w:r>
        <w:rPr>
          <w:spacing w:val="-12"/>
        </w:rPr>
        <w:t> </w:t>
      </w:r>
      <w:r>
        <w:rPr>
          <w:spacing w:val="-2"/>
        </w:rPr>
        <w:t>access</w:t>
      </w:r>
      <w:r>
        <w:rPr>
          <w:spacing w:val="-12"/>
        </w:rPr>
        <w:t> </w:t>
      </w:r>
      <w:r>
        <w:rPr>
          <w:spacing w:val="-2"/>
        </w:rPr>
        <w:t>to</w:t>
      </w:r>
      <w:r>
        <w:rPr>
          <w:spacing w:val="-12"/>
        </w:rPr>
        <w:t> </w:t>
      </w:r>
      <w:r>
        <w:rPr>
          <w:spacing w:val="-2"/>
        </w:rPr>
        <w:t>elementary</w:t>
      </w:r>
      <w:r>
        <w:rPr>
          <w:spacing w:val="-11"/>
        </w:rPr>
        <w:t> </w:t>
      </w:r>
      <w:r>
        <w:rPr>
          <w:spacing w:val="-2"/>
        </w:rPr>
        <w:t>education,</w:t>
      </w:r>
      <w:r>
        <w:rPr>
          <w:spacing w:val="-12"/>
        </w:rPr>
        <w:t> </w:t>
      </w:r>
      <w:r>
        <w:rPr>
          <w:spacing w:val="-2"/>
        </w:rPr>
        <w:t>wider</w:t>
      </w:r>
      <w:r>
        <w:rPr>
          <w:spacing w:val="-12"/>
        </w:rPr>
        <w:t> </w:t>
      </w:r>
      <w:r>
        <w:rPr>
          <w:spacing w:val="-2"/>
        </w:rPr>
        <w:t>access </w:t>
      </w:r>
      <w:r>
        <w:rPr/>
        <w:t>to secondary education as well as better quality and </w:t>
      </w:r>
      <w:r>
        <w:rPr>
          <w:spacing w:val="-6"/>
        </w:rPr>
        <w:t>greater relevance of all schooling, will require the active </w:t>
      </w:r>
      <w:r>
        <w:rPr>
          <w:spacing w:val="-4"/>
        </w:rPr>
        <w:t>involvement</w:t>
      </w:r>
      <w:r>
        <w:rPr>
          <w:spacing w:val="-10"/>
        </w:rPr>
        <w:t> </w:t>
      </w:r>
      <w:r>
        <w:rPr>
          <w:spacing w:val="-4"/>
        </w:rPr>
        <w:t>of</w:t>
      </w:r>
      <w:r>
        <w:rPr>
          <w:spacing w:val="-10"/>
        </w:rPr>
        <w:t> </w:t>
      </w:r>
      <w:r>
        <w:rPr>
          <w:spacing w:val="-4"/>
        </w:rPr>
        <w:t>the</w:t>
      </w:r>
      <w:r>
        <w:rPr>
          <w:spacing w:val="-10"/>
        </w:rPr>
        <w:t> </w:t>
      </w:r>
      <w:r>
        <w:rPr>
          <w:spacing w:val="-4"/>
        </w:rPr>
        <w:t>Central</w:t>
      </w:r>
      <w:r>
        <w:rPr>
          <w:spacing w:val="-9"/>
        </w:rPr>
        <w:t> </w:t>
      </w:r>
      <w:r>
        <w:rPr>
          <w:spacing w:val="-4"/>
        </w:rPr>
        <w:t>Government</w:t>
      </w:r>
      <w:r>
        <w:rPr>
          <w:spacing w:val="-10"/>
        </w:rPr>
        <w:t> </w:t>
      </w:r>
      <w:r>
        <w:rPr>
          <w:spacing w:val="-4"/>
        </w:rPr>
        <w:t>as</w:t>
      </w:r>
      <w:r>
        <w:rPr>
          <w:spacing w:val="-10"/>
        </w:rPr>
        <w:t> </w:t>
      </w:r>
      <w:r>
        <w:rPr>
          <w:spacing w:val="-4"/>
        </w:rPr>
        <w:t>well</w:t>
      </w:r>
      <w:r>
        <w:rPr>
          <w:spacing w:val="-10"/>
        </w:rPr>
        <w:t> </w:t>
      </w:r>
      <w:r>
        <w:rPr>
          <w:spacing w:val="-4"/>
        </w:rPr>
        <w:t>as</w:t>
      </w:r>
      <w:r>
        <w:rPr>
          <w:spacing w:val="-9"/>
        </w:rPr>
        <w:t> </w:t>
      </w:r>
      <w:r>
        <w:rPr>
          <w:spacing w:val="-4"/>
        </w:rPr>
        <w:t>State </w:t>
      </w:r>
      <w:r>
        <w:rPr>
          <w:spacing w:val="-6"/>
        </w:rPr>
        <w:t>Governments.</w:t>
      </w:r>
      <w:r>
        <w:rPr>
          <w:spacing w:val="-8"/>
        </w:rPr>
        <w:t> </w:t>
      </w:r>
      <w:r>
        <w:rPr>
          <w:spacing w:val="-6"/>
        </w:rPr>
        <w:t>Such</w:t>
      </w:r>
      <w:r>
        <w:rPr>
          <w:spacing w:val="-8"/>
        </w:rPr>
        <w:t> </w:t>
      </w:r>
      <w:r>
        <w:rPr>
          <w:spacing w:val="-6"/>
        </w:rPr>
        <w:t>involvement</w:t>
      </w:r>
      <w:r>
        <w:rPr>
          <w:spacing w:val="-8"/>
        </w:rPr>
        <w:t> </w:t>
      </w:r>
      <w:r>
        <w:rPr>
          <w:spacing w:val="-6"/>
        </w:rPr>
        <w:t>is</w:t>
      </w:r>
      <w:r>
        <w:rPr>
          <w:spacing w:val="-7"/>
        </w:rPr>
        <w:t> </w:t>
      </w:r>
      <w:r>
        <w:rPr>
          <w:spacing w:val="-6"/>
        </w:rPr>
        <w:t>necessary</w:t>
      </w:r>
      <w:r>
        <w:rPr>
          <w:spacing w:val="-8"/>
        </w:rPr>
        <w:t> </w:t>
      </w:r>
      <w:r>
        <w:rPr>
          <w:spacing w:val="-6"/>
        </w:rPr>
        <w:t>not</w:t>
      </w:r>
      <w:r>
        <w:rPr>
          <w:spacing w:val="-8"/>
        </w:rPr>
        <w:t> </w:t>
      </w:r>
      <w:r>
        <w:rPr>
          <w:spacing w:val="-6"/>
        </w:rPr>
        <w:t>only</w:t>
      </w:r>
      <w:r>
        <w:rPr>
          <w:spacing w:val="-8"/>
        </w:rPr>
        <w:t> </w:t>
      </w:r>
      <w:r>
        <w:rPr>
          <w:spacing w:val="-6"/>
        </w:rPr>
        <w:t>in </w:t>
      </w:r>
      <w:r>
        <w:rPr>
          <w:spacing w:val="-2"/>
        </w:rPr>
        <w:t>the</w:t>
      </w:r>
      <w:r>
        <w:rPr>
          <w:spacing w:val="-12"/>
        </w:rPr>
        <w:t> </w:t>
      </w:r>
      <w:r>
        <w:rPr>
          <w:spacing w:val="-2"/>
        </w:rPr>
        <w:t>matter</w:t>
      </w:r>
      <w:r>
        <w:rPr>
          <w:spacing w:val="-12"/>
        </w:rPr>
        <w:t> </w:t>
      </w:r>
      <w:r>
        <w:rPr>
          <w:spacing w:val="-2"/>
        </w:rPr>
        <w:t>of</w:t>
      </w:r>
      <w:r>
        <w:rPr>
          <w:spacing w:val="-12"/>
        </w:rPr>
        <w:t> </w:t>
      </w:r>
      <w:r>
        <w:rPr>
          <w:spacing w:val="-2"/>
        </w:rPr>
        <w:t>providing</w:t>
      </w:r>
      <w:r>
        <w:rPr>
          <w:spacing w:val="-11"/>
        </w:rPr>
        <w:t> </w:t>
      </w:r>
      <w:r>
        <w:rPr>
          <w:spacing w:val="-2"/>
        </w:rPr>
        <w:t>resources</w:t>
      </w:r>
      <w:r>
        <w:rPr>
          <w:spacing w:val="-12"/>
        </w:rPr>
        <w:t> </w:t>
      </w:r>
      <w:r>
        <w:rPr>
          <w:spacing w:val="-2"/>
        </w:rPr>
        <w:t>but</w:t>
      </w:r>
      <w:r>
        <w:rPr>
          <w:spacing w:val="-12"/>
        </w:rPr>
        <w:t> </w:t>
      </w:r>
      <w:r>
        <w:rPr>
          <w:spacing w:val="-2"/>
        </w:rPr>
        <w:t>also</w:t>
      </w:r>
      <w:r>
        <w:rPr>
          <w:spacing w:val="-12"/>
        </w:rPr>
        <w:t> </w:t>
      </w:r>
      <w:r>
        <w:rPr>
          <w:spacing w:val="-2"/>
        </w:rPr>
        <w:t>in</w:t>
      </w:r>
      <w:r>
        <w:rPr>
          <w:spacing w:val="-11"/>
        </w:rPr>
        <w:t> </w:t>
      </w:r>
      <w:r>
        <w:rPr>
          <w:spacing w:val="-2"/>
        </w:rPr>
        <w:t>promoting </w:t>
      </w:r>
      <w:r>
        <w:rPr>
          <w:spacing w:val="-4"/>
        </w:rPr>
        <w:t>organisational</w:t>
      </w:r>
      <w:r>
        <w:rPr>
          <w:spacing w:val="-10"/>
        </w:rPr>
        <w:t> </w:t>
      </w:r>
      <w:r>
        <w:rPr>
          <w:spacing w:val="-4"/>
        </w:rPr>
        <w:t>and</w:t>
      </w:r>
      <w:r>
        <w:rPr>
          <w:spacing w:val="-10"/>
        </w:rPr>
        <w:t> </w:t>
      </w:r>
      <w:r>
        <w:rPr>
          <w:spacing w:val="-4"/>
        </w:rPr>
        <w:t>other</w:t>
      </w:r>
      <w:r>
        <w:rPr>
          <w:spacing w:val="-10"/>
        </w:rPr>
        <w:t> </w:t>
      </w:r>
      <w:r>
        <w:rPr>
          <w:spacing w:val="-4"/>
        </w:rPr>
        <w:t>changes.</w:t>
      </w:r>
      <w:r>
        <w:rPr>
          <w:spacing w:val="-9"/>
        </w:rPr>
        <w:t> </w:t>
      </w:r>
      <w:r>
        <w:rPr>
          <w:spacing w:val="-4"/>
        </w:rPr>
        <w:t>NKC</w:t>
      </w:r>
      <w:r>
        <w:rPr>
          <w:spacing w:val="-10"/>
        </w:rPr>
        <w:t> </w:t>
      </w:r>
      <w:r>
        <w:rPr>
          <w:spacing w:val="-4"/>
        </w:rPr>
        <w:t>has</w:t>
      </w:r>
      <w:r>
        <w:rPr>
          <w:spacing w:val="-10"/>
        </w:rPr>
        <w:t> </w:t>
      </w:r>
      <w:r>
        <w:rPr>
          <w:spacing w:val="-4"/>
        </w:rPr>
        <w:t>a</w:t>
      </w:r>
      <w:r>
        <w:rPr>
          <w:spacing w:val="-10"/>
        </w:rPr>
        <w:t> </w:t>
      </w:r>
      <w:r>
        <w:rPr>
          <w:spacing w:val="-4"/>
        </w:rPr>
        <w:t>number</w:t>
      </w:r>
      <w:r>
        <w:rPr>
          <w:spacing w:val="-9"/>
        </w:rPr>
        <w:t> </w:t>
      </w:r>
      <w:r>
        <w:rPr>
          <w:spacing w:val="-4"/>
        </w:rPr>
        <w:t>of </w:t>
      </w:r>
      <w:r>
        <w:rPr>
          <w:spacing w:val="-6"/>
        </w:rPr>
        <w:t>suggestions</w:t>
      </w:r>
      <w:r>
        <w:rPr>
          <w:spacing w:val="-7"/>
        </w:rPr>
        <w:t> </w:t>
      </w:r>
      <w:r>
        <w:rPr>
          <w:spacing w:val="-6"/>
        </w:rPr>
        <w:t>and</w:t>
      </w:r>
      <w:r>
        <w:rPr>
          <w:spacing w:val="-7"/>
        </w:rPr>
        <w:t> </w:t>
      </w:r>
      <w:r>
        <w:rPr>
          <w:spacing w:val="-6"/>
        </w:rPr>
        <w:t>recommendations</w:t>
      </w:r>
      <w:r>
        <w:rPr>
          <w:spacing w:val="-7"/>
        </w:rPr>
        <w:t> </w:t>
      </w:r>
      <w:r>
        <w:rPr>
          <w:spacing w:val="-6"/>
        </w:rPr>
        <w:t>covering</w:t>
      </w:r>
      <w:r>
        <w:rPr>
          <w:spacing w:val="-7"/>
        </w:rPr>
        <w:t> </w:t>
      </w:r>
      <w:r>
        <w:rPr>
          <w:spacing w:val="-6"/>
        </w:rPr>
        <w:t>the</w:t>
      </w:r>
      <w:r>
        <w:rPr>
          <w:spacing w:val="-7"/>
        </w:rPr>
        <w:t> </w:t>
      </w:r>
      <w:r>
        <w:rPr>
          <w:spacing w:val="-6"/>
        </w:rPr>
        <w:t>different </w:t>
      </w:r>
      <w:r>
        <w:rPr/>
        <w:t>aspects of school education, but the essential thrust can</w:t>
      </w:r>
      <w:r>
        <w:rPr>
          <w:spacing w:val="-14"/>
        </w:rPr>
        <w:t> </w:t>
      </w:r>
      <w:r>
        <w:rPr/>
        <w:t>be</w:t>
      </w:r>
      <w:r>
        <w:rPr>
          <w:spacing w:val="-14"/>
        </w:rPr>
        <w:t> </w:t>
      </w:r>
      <w:r>
        <w:rPr/>
        <w:t>summarised</w:t>
      </w:r>
      <w:r>
        <w:rPr>
          <w:spacing w:val="-14"/>
        </w:rPr>
        <w:t> </w:t>
      </w:r>
      <w:r>
        <w:rPr/>
        <w:t>in</w:t>
      </w:r>
      <w:r>
        <w:rPr>
          <w:spacing w:val="-13"/>
        </w:rPr>
        <w:t> </w:t>
      </w:r>
      <w:r>
        <w:rPr/>
        <w:t>terms</w:t>
      </w:r>
      <w:r>
        <w:rPr>
          <w:spacing w:val="-14"/>
        </w:rPr>
        <w:t> </w:t>
      </w:r>
      <w:r>
        <w:rPr/>
        <w:t>of</w:t>
      </w:r>
      <w:r>
        <w:rPr>
          <w:spacing w:val="-14"/>
        </w:rPr>
        <w:t> </w:t>
      </w:r>
      <w:r>
        <w:rPr>
          <w:b/>
        </w:rPr>
        <w:t>more</w:t>
      </w:r>
      <w:r>
        <w:rPr>
          <w:b/>
          <w:spacing w:val="-14"/>
        </w:rPr>
        <w:t> </w:t>
      </w:r>
      <w:r>
        <w:rPr>
          <w:b/>
        </w:rPr>
        <w:t>resources,</w:t>
      </w:r>
      <w:r>
        <w:rPr>
          <w:b/>
          <w:spacing w:val="-13"/>
        </w:rPr>
        <w:t> </w:t>
      </w:r>
      <w:r>
        <w:rPr>
          <w:b/>
        </w:rPr>
        <w:t>more </w:t>
      </w:r>
      <w:r>
        <w:rPr>
          <w:b/>
          <w:spacing w:val="-4"/>
        </w:rPr>
        <w:t>decentralisation</w:t>
      </w:r>
      <w:r>
        <w:rPr>
          <w:b/>
          <w:spacing w:val="-6"/>
        </w:rPr>
        <w:t> </w:t>
      </w:r>
      <w:r>
        <w:rPr>
          <w:b/>
          <w:spacing w:val="-4"/>
        </w:rPr>
        <w:t>and</w:t>
      </w:r>
      <w:r>
        <w:rPr>
          <w:b/>
          <w:spacing w:val="-6"/>
        </w:rPr>
        <w:t> </w:t>
      </w:r>
      <w:r>
        <w:rPr>
          <w:b/>
          <w:spacing w:val="-4"/>
        </w:rPr>
        <w:t>more</w:t>
      </w:r>
      <w:r>
        <w:rPr>
          <w:b/>
          <w:spacing w:val="-6"/>
        </w:rPr>
        <w:t> </w:t>
      </w:r>
      <w:r>
        <w:rPr>
          <w:b/>
          <w:spacing w:val="-4"/>
        </w:rPr>
        <w:t>flexibility.</w:t>
      </w:r>
      <w:r>
        <w:rPr>
          <w:b/>
          <w:spacing w:val="-7"/>
        </w:rPr>
        <w:t> </w:t>
      </w:r>
      <w:r>
        <w:rPr>
          <w:spacing w:val="-4"/>
        </w:rPr>
        <w:t>Outlined</w:t>
      </w:r>
      <w:r>
        <w:rPr>
          <w:spacing w:val="-7"/>
        </w:rPr>
        <w:t> </w:t>
      </w:r>
      <w:r>
        <w:rPr>
          <w:spacing w:val="-4"/>
        </w:rPr>
        <w:t>below </w:t>
      </w:r>
      <w:r>
        <w:rPr/>
        <w:t>are</w:t>
      </w:r>
      <w:r>
        <w:rPr>
          <w:spacing w:val="-4"/>
        </w:rPr>
        <w:t> </w:t>
      </w:r>
      <w:r>
        <w:rPr/>
        <w:t>the</w:t>
      </w:r>
      <w:r>
        <w:rPr>
          <w:spacing w:val="-4"/>
        </w:rPr>
        <w:t> </w:t>
      </w:r>
      <w:r>
        <w:rPr/>
        <w:t>most</w:t>
      </w:r>
      <w:r>
        <w:rPr>
          <w:spacing w:val="-4"/>
        </w:rPr>
        <w:t> </w:t>
      </w:r>
      <w:r>
        <w:rPr/>
        <w:t>important</w:t>
      </w:r>
      <w:r>
        <w:rPr>
          <w:spacing w:val="-4"/>
        </w:rPr>
        <w:t> </w:t>
      </w:r>
      <w:r>
        <w:rPr/>
        <w:t>areas</w:t>
      </w:r>
      <w:r>
        <w:rPr>
          <w:spacing w:val="-4"/>
        </w:rPr>
        <w:t> </w:t>
      </w:r>
      <w:r>
        <w:rPr/>
        <w:t>of</w:t>
      </w:r>
      <w:r>
        <w:rPr>
          <w:spacing w:val="-4"/>
        </w:rPr>
        <w:t> </w:t>
      </w:r>
      <w:r>
        <w:rPr/>
        <w:t>possible</w:t>
      </w:r>
      <w:r>
        <w:rPr>
          <w:spacing w:val="-4"/>
        </w:rPr>
        <w:t> </w:t>
      </w:r>
      <w:r>
        <w:rPr/>
        <w:t>intervention. </w:t>
      </w:r>
      <w:r>
        <w:rPr>
          <w:spacing w:val="-4"/>
        </w:rPr>
        <w:t>NKC</w:t>
      </w:r>
      <w:r>
        <w:rPr>
          <w:spacing w:val="-8"/>
        </w:rPr>
        <w:t> </w:t>
      </w:r>
      <w:r>
        <w:rPr>
          <w:spacing w:val="-4"/>
        </w:rPr>
        <w:t>is</w:t>
      </w:r>
      <w:r>
        <w:rPr>
          <w:spacing w:val="-8"/>
        </w:rPr>
        <w:t> </w:t>
      </w:r>
      <w:r>
        <w:rPr>
          <w:spacing w:val="-4"/>
        </w:rPr>
        <w:t>aware</w:t>
      </w:r>
      <w:r>
        <w:rPr>
          <w:spacing w:val="-8"/>
        </w:rPr>
        <w:t> </w:t>
      </w:r>
      <w:r>
        <w:rPr>
          <w:spacing w:val="-4"/>
        </w:rPr>
        <w:t>that</w:t>
      </w:r>
      <w:r>
        <w:rPr>
          <w:spacing w:val="-8"/>
        </w:rPr>
        <w:t> </w:t>
      </w:r>
      <w:r>
        <w:rPr>
          <w:spacing w:val="-4"/>
        </w:rPr>
        <w:t>while</w:t>
      </w:r>
      <w:r>
        <w:rPr>
          <w:spacing w:val="-8"/>
        </w:rPr>
        <w:t> </w:t>
      </w:r>
      <w:r>
        <w:rPr>
          <w:spacing w:val="-4"/>
        </w:rPr>
        <w:t>some</w:t>
      </w:r>
      <w:r>
        <w:rPr>
          <w:spacing w:val="-8"/>
        </w:rPr>
        <w:t> </w:t>
      </w:r>
      <w:r>
        <w:rPr>
          <w:spacing w:val="-4"/>
        </w:rPr>
        <w:t>proposals</w:t>
      </w:r>
      <w:r>
        <w:rPr>
          <w:spacing w:val="-8"/>
        </w:rPr>
        <w:t> </w:t>
      </w:r>
      <w:r>
        <w:rPr>
          <w:spacing w:val="-4"/>
        </w:rPr>
        <w:t>are</w:t>
      </w:r>
      <w:r>
        <w:rPr>
          <w:spacing w:val="-8"/>
        </w:rPr>
        <w:t> </w:t>
      </w:r>
      <w:r>
        <w:rPr>
          <w:spacing w:val="-4"/>
        </w:rPr>
        <w:t>new,</w:t>
      </w:r>
      <w:r>
        <w:rPr>
          <w:spacing w:val="-8"/>
        </w:rPr>
        <w:t> </w:t>
      </w:r>
      <w:r>
        <w:rPr>
          <w:spacing w:val="-4"/>
        </w:rPr>
        <w:t>other </w:t>
      </w:r>
      <w:r>
        <w:rPr/>
        <w:t>recommendations have found expression in different ways</w:t>
      </w:r>
      <w:r>
        <w:rPr>
          <w:spacing w:val="-5"/>
        </w:rPr>
        <w:t> </w:t>
      </w:r>
      <w:r>
        <w:rPr/>
        <w:t>in</w:t>
      </w:r>
      <w:r>
        <w:rPr>
          <w:spacing w:val="-5"/>
        </w:rPr>
        <w:t> </w:t>
      </w:r>
      <w:r>
        <w:rPr/>
        <w:t>previous</w:t>
      </w:r>
      <w:r>
        <w:rPr>
          <w:spacing w:val="-5"/>
        </w:rPr>
        <w:t> </w:t>
      </w:r>
      <w:r>
        <w:rPr/>
        <w:t>reports</w:t>
      </w:r>
      <w:r>
        <w:rPr>
          <w:spacing w:val="-5"/>
        </w:rPr>
        <w:t> </w:t>
      </w:r>
      <w:r>
        <w:rPr/>
        <w:t>and</w:t>
      </w:r>
      <w:r>
        <w:rPr>
          <w:spacing w:val="-5"/>
        </w:rPr>
        <w:t> </w:t>
      </w:r>
      <w:r>
        <w:rPr/>
        <w:t>studies.</w:t>
      </w:r>
      <w:r>
        <w:rPr>
          <w:spacing w:val="-5"/>
        </w:rPr>
        <w:t> </w:t>
      </w:r>
      <w:r>
        <w:rPr/>
        <w:t>However,</w:t>
      </w:r>
      <w:r>
        <w:rPr>
          <w:spacing w:val="-5"/>
        </w:rPr>
        <w:t> </w:t>
      </w:r>
      <w:r>
        <w:rPr/>
        <w:t>NKC </w:t>
      </w:r>
      <w:r>
        <w:rPr>
          <w:spacing w:val="-6"/>
        </w:rPr>
        <w:t>has chosen to reiterate them because they are still crucial </w:t>
      </w:r>
      <w:r>
        <w:rPr/>
        <w:t>and relevant.</w:t>
      </w:r>
    </w:p>
    <w:p>
      <w:pPr>
        <w:pStyle w:val="BodyText"/>
        <w:spacing w:before="6"/>
      </w:pPr>
    </w:p>
    <w:p>
      <w:pPr>
        <w:pStyle w:val="BodyText"/>
        <w:spacing w:line="266" w:lineRule="auto"/>
        <w:ind w:left="1080"/>
        <w:jc w:val="both"/>
      </w:pPr>
      <w:r>
        <w:rPr/>
        <w:t>NKC</w:t>
      </w:r>
      <w:r>
        <w:rPr>
          <w:spacing w:val="-7"/>
        </w:rPr>
        <w:t> </w:t>
      </w:r>
      <w:r>
        <w:rPr/>
        <w:t>would</w:t>
      </w:r>
      <w:r>
        <w:rPr>
          <w:spacing w:val="-7"/>
        </w:rPr>
        <w:t> </w:t>
      </w:r>
      <w:r>
        <w:rPr/>
        <w:t>also</w:t>
      </w:r>
      <w:r>
        <w:rPr>
          <w:spacing w:val="-7"/>
        </w:rPr>
        <w:t> </w:t>
      </w:r>
      <w:r>
        <w:rPr/>
        <w:t>like</w:t>
      </w:r>
      <w:r>
        <w:rPr>
          <w:spacing w:val="-7"/>
        </w:rPr>
        <w:t> </w:t>
      </w:r>
      <w:r>
        <w:rPr/>
        <w:t>to</w:t>
      </w:r>
      <w:r>
        <w:rPr>
          <w:spacing w:val="-7"/>
        </w:rPr>
        <w:t> </w:t>
      </w:r>
      <w:r>
        <w:rPr/>
        <w:t>emphasise</w:t>
      </w:r>
      <w:r>
        <w:rPr>
          <w:spacing w:val="-7"/>
        </w:rPr>
        <w:t> </w:t>
      </w:r>
      <w:r>
        <w:rPr/>
        <w:t>that</w:t>
      </w:r>
      <w:r>
        <w:rPr>
          <w:spacing w:val="-7"/>
        </w:rPr>
        <w:t> </w:t>
      </w:r>
      <w:r>
        <w:rPr/>
        <w:t>there</w:t>
      </w:r>
      <w:r>
        <w:rPr>
          <w:spacing w:val="-7"/>
        </w:rPr>
        <w:t> </w:t>
      </w:r>
      <w:r>
        <w:rPr/>
        <w:t>are</w:t>
      </w:r>
      <w:r>
        <w:rPr>
          <w:spacing w:val="-7"/>
        </w:rPr>
        <w:t> </w:t>
      </w:r>
      <w:r>
        <w:rPr/>
        <w:t>very strong</w:t>
      </w:r>
      <w:r>
        <w:rPr>
          <w:spacing w:val="-2"/>
        </w:rPr>
        <w:t> </w:t>
      </w:r>
      <w:r>
        <w:rPr/>
        <w:t>synergies</w:t>
      </w:r>
      <w:r>
        <w:rPr>
          <w:spacing w:val="-2"/>
        </w:rPr>
        <w:t> </w:t>
      </w:r>
      <w:r>
        <w:rPr/>
        <w:t>between</w:t>
      </w:r>
      <w:r>
        <w:rPr>
          <w:spacing w:val="-2"/>
        </w:rPr>
        <w:t> </w:t>
      </w:r>
      <w:r>
        <w:rPr/>
        <w:t>these</w:t>
      </w:r>
      <w:r>
        <w:rPr>
          <w:spacing w:val="-2"/>
        </w:rPr>
        <w:t> </w:t>
      </w:r>
      <w:r>
        <w:rPr/>
        <w:t>recommendations</w:t>
      </w:r>
      <w:r>
        <w:rPr>
          <w:spacing w:val="-2"/>
        </w:rPr>
        <w:t> </w:t>
      </w:r>
      <w:r>
        <w:rPr/>
        <w:t>for school education and other proposals of NKC with respect</w:t>
      </w:r>
      <w:r>
        <w:rPr>
          <w:spacing w:val="-10"/>
        </w:rPr>
        <w:t> </w:t>
      </w:r>
      <w:r>
        <w:rPr/>
        <w:t>to</w:t>
      </w:r>
      <w:r>
        <w:rPr>
          <w:spacing w:val="-10"/>
        </w:rPr>
        <w:t> </w:t>
      </w:r>
      <w:r>
        <w:rPr/>
        <w:t>libraries,</w:t>
      </w:r>
      <w:r>
        <w:rPr>
          <w:spacing w:val="-10"/>
        </w:rPr>
        <w:t> </w:t>
      </w:r>
      <w:r>
        <w:rPr/>
        <w:t>translation,</w:t>
      </w:r>
      <w:r>
        <w:rPr>
          <w:spacing w:val="-10"/>
        </w:rPr>
        <w:t> </w:t>
      </w:r>
      <w:r>
        <w:rPr/>
        <w:t>networks,</w:t>
      </w:r>
      <w:r>
        <w:rPr>
          <w:spacing w:val="-10"/>
        </w:rPr>
        <w:t> </w:t>
      </w:r>
      <w:r>
        <w:rPr/>
        <w:t>language</w:t>
      </w:r>
      <w:r>
        <w:rPr>
          <w:spacing w:val="-10"/>
        </w:rPr>
        <w:t> </w:t>
      </w:r>
      <w:r>
        <w:rPr/>
        <w:t>in schools</w:t>
      </w:r>
      <w:r>
        <w:rPr>
          <w:spacing w:val="21"/>
        </w:rPr>
        <w:t> </w:t>
      </w:r>
      <w:r>
        <w:rPr/>
        <w:t>and</w:t>
      </w:r>
      <w:r>
        <w:rPr>
          <w:spacing w:val="22"/>
        </w:rPr>
        <w:t> </w:t>
      </w:r>
      <w:r>
        <w:rPr/>
        <w:t>vocational</w:t>
      </w:r>
      <w:r>
        <w:rPr>
          <w:spacing w:val="22"/>
        </w:rPr>
        <w:t> </w:t>
      </w:r>
      <w:r>
        <w:rPr/>
        <w:t>education.</w:t>
      </w:r>
      <w:r>
        <w:rPr>
          <w:spacing w:val="15"/>
        </w:rPr>
        <w:t> </w:t>
      </w:r>
      <w:r>
        <w:rPr/>
        <w:t>These</w:t>
      </w:r>
      <w:r>
        <w:rPr>
          <w:spacing w:val="22"/>
        </w:rPr>
        <w:t> </w:t>
      </w:r>
      <w:r>
        <w:rPr>
          <w:spacing w:val="-6"/>
        </w:rPr>
        <w:t>suggestions</w:t>
      </w:r>
    </w:p>
    <w:p>
      <w:pPr>
        <w:pStyle w:val="BodyText"/>
        <w:spacing w:line="266" w:lineRule="auto" w:before="82"/>
        <w:ind w:left="319" w:right="1078"/>
        <w:jc w:val="both"/>
      </w:pPr>
      <w:r>
        <w:rPr/>
        <w:br w:type="column"/>
      </w:r>
      <w:r>
        <w:rPr/>
        <w:t>should</w:t>
      </w:r>
      <w:r>
        <w:rPr>
          <w:spacing w:val="-11"/>
        </w:rPr>
        <w:t> </w:t>
      </w:r>
      <w:r>
        <w:rPr/>
        <w:t>therefore</w:t>
      </w:r>
      <w:r>
        <w:rPr>
          <w:spacing w:val="-11"/>
        </w:rPr>
        <w:t> </w:t>
      </w:r>
      <w:r>
        <w:rPr/>
        <w:t>be</w:t>
      </w:r>
      <w:r>
        <w:rPr>
          <w:spacing w:val="-11"/>
        </w:rPr>
        <w:t> </w:t>
      </w:r>
      <w:r>
        <w:rPr/>
        <w:t>seen</w:t>
      </w:r>
      <w:r>
        <w:rPr>
          <w:spacing w:val="-11"/>
        </w:rPr>
        <w:t> </w:t>
      </w:r>
      <w:r>
        <w:rPr/>
        <w:t>in</w:t>
      </w:r>
      <w:r>
        <w:rPr>
          <w:spacing w:val="-11"/>
        </w:rPr>
        <w:t> </w:t>
      </w:r>
      <w:r>
        <w:rPr/>
        <w:t>conjunction</w:t>
      </w:r>
      <w:r>
        <w:rPr>
          <w:spacing w:val="-11"/>
        </w:rPr>
        <w:t> </w:t>
      </w:r>
      <w:r>
        <w:rPr/>
        <w:t>with</w:t>
      </w:r>
      <w:r>
        <w:rPr>
          <w:spacing w:val="-11"/>
        </w:rPr>
        <w:t> </w:t>
      </w:r>
      <w:r>
        <w:rPr/>
        <w:t>the</w:t>
      </w:r>
      <w:r>
        <w:rPr>
          <w:spacing w:val="-11"/>
        </w:rPr>
        <w:t> </w:t>
      </w:r>
      <w:r>
        <w:rPr/>
        <w:t>other </w:t>
      </w:r>
      <w:r>
        <w:rPr>
          <w:spacing w:val="-2"/>
        </w:rPr>
        <w:t>recommendations</w:t>
      </w:r>
      <w:r>
        <w:rPr>
          <w:spacing w:val="-12"/>
        </w:rPr>
        <w:t> </w:t>
      </w:r>
      <w:r>
        <w:rPr>
          <w:spacing w:val="-2"/>
        </w:rPr>
        <w:t>that</w:t>
      </w:r>
      <w:r>
        <w:rPr>
          <w:spacing w:val="-12"/>
        </w:rPr>
        <w:t> </w:t>
      </w:r>
      <w:r>
        <w:rPr>
          <w:spacing w:val="-2"/>
        </w:rPr>
        <w:t>have</w:t>
      </w:r>
      <w:r>
        <w:rPr>
          <w:spacing w:val="-12"/>
        </w:rPr>
        <w:t> </w:t>
      </w:r>
      <w:r>
        <w:rPr>
          <w:spacing w:val="-2"/>
        </w:rPr>
        <w:t>already</w:t>
      </w:r>
      <w:r>
        <w:rPr>
          <w:spacing w:val="-11"/>
        </w:rPr>
        <w:t> </w:t>
      </w:r>
      <w:r>
        <w:rPr>
          <w:spacing w:val="-2"/>
        </w:rPr>
        <w:t>been</w:t>
      </w:r>
      <w:r>
        <w:rPr>
          <w:spacing w:val="-12"/>
        </w:rPr>
        <w:t> </w:t>
      </w:r>
      <w:r>
        <w:rPr>
          <w:spacing w:val="-2"/>
        </w:rPr>
        <w:t>made</w:t>
      </w:r>
      <w:r>
        <w:rPr>
          <w:spacing w:val="-12"/>
        </w:rPr>
        <w:t> </w:t>
      </w:r>
      <w:r>
        <w:rPr>
          <w:spacing w:val="-2"/>
        </w:rPr>
        <w:t>in</w:t>
      </w:r>
      <w:r>
        <w:rPr>
          <w:spacing w:val="-12"/>
        </w:rPr>
        <w:t> </w:t>
      </w:r>
      <w:r>
        <w:rPr>
          <w:spacing w:val="-2"/>
        </w:rPr>
        <w:t>these </w:t>
      </w:r>
      <w:r>
        <w:rPr>
          <w:spacing w:val="-6"/>
        </w:rPr>
        <w:t>areas, as part of a systematic set of knowledge initiatives </w:t>
      </w:r>
      <w:r>
        <w:rPr/>
        <w:t>for the young.</w:t>
      </w:r>
    </w:p>
    <w:p>
      <w:pPr>
        <w:pStyle w:val="Heading6"/>
        <w:numPr>
          <w:ilvl w:val="0"/>
          <w:numId w:val="14"/>
        </w:numPr>
        <w:tabs>
          <w:tab w:pos="644" w:val="left" w:leader="none"/>
        </w:tabs>
        <w:spacing w:line="240" w:lineRule="auto" w:before="184" w:after="0"/>
        <w:ind w:left="644" w:right="0" w:hanging="325"/>
        <w:jc w:val="left"/>
        <w:rPr>
          <w:color w:val="2E614A"/>
        </w:rPr>
      </w:pPr>
      <w:r>
        <w:rPr>
          <w:color w:val="2E614A"/>
          <w:spacing w:val="-10"/>
        </w:rPr>
        <w:t>Quantity</w:t>
      </w:r>
      <w:r>
        <w:rPr>
          <w:color w:val="2E614A"/>
          <w:spacing w:val="-9"/>
        </w:rPr>
        <w:t> </w:t>
      </w:r>
      <w:r>
        <w:rPr>
          <w:color w:val="2E614A"/>
          <w:spacing w:val="-10"/>
        </w:rPr>
        <w:t>and</w:t>
      </w:r>
      <w:r>
        <w:rPr>
          <w:color w:val="2E614A"/>
          <w:spacing w:val="-9"/>
        </w:rPr>
        <w:t> </w:t>
      </w:r>
      <w:r>
        <w:rPr>
          <w:color w:val="2E614A"/>
          <w:spacing w:val="-10"/>
        </w:rPr>
        <w:t>Resources</w:t>
      </w:r>
    </w:p>
    <w:p>
      <w:pPr>
        <w:pStyle w:val="Heading7"/>
        <w:numPr>
          <w:ilvl w:val="1"/>
          <w:numId w:val="14"/>
        </w:numPr>
        <w:tabs>
          <w:tab w:pos="717" w:val="left" w:leader="none"/>
        </w:tabs>
        <w:spacing w:line="225" w:lineRule="auto" w:before="262" w:after="0"/>
        <w:ind w:left="717" w:right="1330" w:hanging="398"/>
        <w:jc w:val="left"/>
      </w:pPr>
      <w:r>
        <w:rPr>
          <w:color w:val="2E614A"/>
          <w:w w:val="90"/>
        </w:rPr>
        <w:t>Substantially increased public </w:t>
      </w:r>
      <w:r>
        <w:rPr>
          <w:color w:val="2E614A"/>
          <w:w w:val="90"/>
        </w:rPr>
        <w:t>spending </w:t>
      </w:r>
      <w:r>
        <w:rPr>
          <w:color w:val="2E614A"/>
          <w:spacing w:val="-4"/>
        </w:rPr>
        <w:t>is</w:t>
      </w:r>
      <w:r>
        <w:rPr>
          <w:color w:val="2E614A"/>
          <w:spacing w:val="-11"/>
        </w:rPr>
        <w:t> </w:t>
      </w:r>
      <w:r>
        <w:rPr>
          <w:color w:val="2E614A"/>
          <w:spacing w:val="-4"/>
        </w:rPr>
        <w:t>required</w:t>
      </w:r>
      <w:r>
        <w:rPr>
          <w:color w:val="2E614A"/>
          <w:spacing w:val="-11"/>
        </w:rPr>
        <w:t> </w:t>
      </w:r>
      <w:r>
        <w:rPr>
          <w:color w:val="2E614A"/>
          <w:spacing w:val="-4"/>
        </w:rPr>
        <w:t>for</w:t>
      </w:r>
      <w:r>
        <w:rPr>
          <w:color w:val="2E614A"/>
          <w:spacing w:val="-11"/>
        </w:rPr>
        <w:t> </w:t>
      </w:r>
      <w:r>
        <w:rPr>
          <w:color w:val="2E614A"/>
          <w:spacing w:val="-4"/>
        </w:rPr>
        <w:t>both</w:t>
      </w:r>
      <w:r>
        <w:rPr>
          <w:color w:val="2E614A"/>
          <w:spacing w:val="-11"/>
        </w:rPr>
        <w:t> </w:t>
      </w:r>
      <w:r>
        <w:rPr>
          <w:color w:val="2E614A"/>
          <w:spacing w:val="-4"/>
        </w:rPr>
        <w:t>elementary</w:t>
      </w:r>
      <w:r>
        <w:rPr>
          <w:color w:val="2E614A"/>
          <w:spacing w:val="-11"/>
        </w:rPr>
        <w:t> </w:t>
      </w:r>
      <w:r>
        <w:rPr>
          <w:color w:val="2E614A"/>
          <w:spacing w:val="-4"/>
        </w:rPr>
        <w:t>and </w:t>
      </w:r>
      <w:r>
        <w:rPr>
          <w:color w:val="2E614A"/>
        </w:rPr>
        <w:t>secondary</w:t>
      </w:r>
      <w:r>
        <w:rPr>
          <w:color w:val="2E614A"/>
          <w:spacing w:val="-17"/>
        </w:rPr>
        <w:t> </w:t>
      </w:r>
      <w:r>
        <w:rPr>
          <w:color w:val="2E614A"/>
        </w:rPr>
        <w:t>education.</w:t>
      </w:r>
    </w:p>
    <w:p>
      <w:pPr>
        <w:pStyle w:val="BodyText"/>
        <w:spacing w:before="1"/>
        <w:rPr>
          <w:b/>
          <w:sz w:val="26"/>
        </w:rPr>
      </w:pPr>
    </w:p>
    <w:p>
      <w:pPr>
        <w:pStyle w:val="BodyText"/>
        <w:spacing w:line="266" w:lineRule="auto"/>
        <w:ind w:left="319" w:right="1077"/>
        <w:jc w:val="both"/>
      </w:pPr>
      <w:r>
        <w:rPr/>
        <w:t>NKC strongly endorses the speedy enactment of </w:t>
      </w:r>
      <w:r>
        <w:rPr/>
        <w:t>a </w:t>
      </w:r>
      <w:r>
        <w:rPr>
          <w:spacing w:val="-6"/>
        </w:rPr>
        <w:t>central</w:t>
      </w:r>
      <w:r>
        <w:rPr>
          <w:spacing w:val="-8"/>
        </w:rPr>
        <w:t> </w:t>
      </w:r>
      <w:r>
        <w:rPr>
          <w:spacing w:val="-6"/>
        </w:rPr>
        <w:t>legislation</w:t>
      </w:r>
      <w:r>
        <w:rPr>
          <w:spacing w:val="-8"/>
        </w:rPr>
        <w:t> </w:t>
      </w:r>
      <w:r>
        <w:rPr>
          <w:spacing w:val="-6"/>
        </w:rPr>
        <w:t>that</w:t>
      </w:r>
      <w:r>
        <w:rPr>
          <w:spacing w:val="-8"/>
        </w:rPr>
        <w:t> </w:t>
      </w:r>
      <w:r>
        <w:rPr>
          <w:spacing w:val="-6"/>
        </w:rPr>
        <w:t>will</w:t>
      </w:r>
      <w:r>
        <w:rPr>
          <w:spacing w:val="-7"/>
        </w:rPr>
        <w:t> </w:t>
      </w:r>
      <w:r>
        <w:rPr>
          <w:spacing w:val="-6"/>
        </w:rPr>
        <w:t>ensure</w:t>
      </w:r>
      <w:r>
        <w:rPr>
          <w:spacing w:val="-8"/>
        </w:rPr>
        <w:t> </w:t>
      </w:r>
      <w:r>
        <w:rPr>
          <w:spacing w:val="-6"/>
        </w:rPr>
        <w:t>the</w:t>
      </w:r>
      <w:r>
        <w:rPr>
          <w:spacing w:val="-8"/>
        </w:rPr>
        <w:t> </w:t>
      </w:r>
      <w:r>
        <w:rPr>
          <w:spacing w:val="-6"/>
        </w:rPr>
        <w:t>right</w:t>
      </w:r>
      <w:r>
        <w:rPr>
          <w:spacing w:val="-8"/>
        </w:rPr>
        <w:t> </w:t>
      </w:r>
      <w:r>
        <w:rPr>
          <w:spacing w:val="-6"/>
        </w:rPr>
        <w:t>of</w:t>
      </w:r>
      <w:r>
        <w:rPr>
          <w:spacing w:val="-7"/>
        </w:rPr>
        <w:t> </w:t>
      </w:r>
      <w:r>
        <w:rPr>
          <w:spacing w:val="-6"/>
        </w:rPr>
        <w:t>all</w:t>
      </w:r>
      <w:r>
        <w:rPr>
          <w:spacing w:val="-8"/>
        </w:rPr>
        <w:t> </w:t>
      </w:r>
      <w:r>
        <w:rPr>
          <w:spacing w:val="-6"/>
        </w:rPr>
        <w:t>children </w:t>
      </w:r>
      <w:r>
        <w:rPr/>
        <w:t>in the country to good quality school education up to </w:t>
      </w:r>
      <w:r>
        <w:rPr>
          <w:spacing w:val="-4"/>
        </w:rPr>
        <w:t>Class</w:t>
      </w:r>
      <w:r>
        <w:rPr>
          <w:spacing w:val="-10"/>
        </w:rPr>
        <w:t> </w:t>
      </w:r>
      <w:r>
        <w:rPr>
          <w:spacing w:val="-4"/>
        </w:rPr>
        <w:t>VIII.</w:t>
      </w:r>
      <w:r>
        <w:rPr>
          <w:spacing w:val="-10"/>
        </w:rPr>
        <w:t> </w:t>
      </w:r>
      <w:r>
        <w:rPr>
          <w:spacing w:val="-4"/>
        </w:rPr>
        <w:t>We</w:t>
      </w:r>
      <w:r>
        <w:rPr>
          <w:spacing w:val="-10"/>
        </w:rPr>
        <w:t> </w:t>
      </w:r>
      <w:r>
        <w:rPr>
          <w:spacing w:val="-4"/>
        </w:rPr>
        <w:t>also</w:t>
      </w:r>
      <w:r>
        <w:rPr>
          <w:spacing w:val="-9"/>
        </w:rPr>
        <w:t> </w:t>
      </w:r>
      <w:r>
        <w:rPr>
          <w:spacing w:val="-4"/>
        </w:rPr>
        <w:t>believe</w:t>
      </w:r>
      <w:r>
        <w:rPr>
          <w:spacing w:val="-10"/>
        </w:rPr>
        <w:t> </w:t>
      </w:r>
      <w:r>
        <w:rPr>
          <w:spacing w:val="-4"/>
        </w:rPr>
        <w:t>that</w:t>
      </w:r>
      <w:r>
        <w:rPr>
          <w:spacing w:val="-10"/>
        </w:rPr>
        <w:t> </w:t>
      </w:r>
      <w:r>
        <w:rPr>
          <w:spacing w:val="-4"/>
        </w:rPr>
        <w:t>this</w:t>
      </w:r>
      <w:r>
        <w:rPr>
          <w:spacing w:val="-10"/>
        </w:rPr>
        <w:t> </w:t>
      </w:r>
      <w:r>
        <w:rPr>
          <w:spacing w:val="-4"/>
        </w:rPr>
        <w:t>should</w:t>
      </w:r>
      <w:r>
        <w:rPr>
          <w:spacing w:val="-9"/>
        </w:rPr>
        <w:t> </w:t>
      </w:r>
      <w:r>
        <w:rPr>
          <w:spacing w:val="-4"/>
        </w:rPr>
        <w:t>be</w:t>
      </w:r>
      <w:r>
        <w:rPr>
          <w:spacing w:val="-10"/>
        </w:rPr>
        <w:t> </w:t>
      </w:r>
      <w:r>
        <w:rPr>
          <w:spacing w:val="-4"/>
        </w:rPr>
        <w:t>extended </w:t>
      </w:r>
      <w:r>
        <w:rPr/>
        <w:t>to</w:t>
      </w:r>
      <w:r>
        <w:rPr>
          <w:spacing w:val="-3"/>
        </w:rPr>
        <w:t> </w:t>
      </w:r>
      <w:r>
        <w:rPr/>
        <w:t>cover</w:t>
      </w:r>
      <w:r>
        <w:rPr>
          <w:spacing w:val="-3"/>
        </w:rPr>
        <w:t> </w:t>
      </w:r>
      <w:r>
        <w:rPr/>
        <w:t>universal</w:t>
      </w:r>
      <w:r>
        <w:rPr>
          <w:spacing w:val="-3"/>
        </w:rPr>
        <w:t> </w:t>
      </w:r>
      <w:r>
        <w:rPr/>
        <w:t>schooling</w:t>
      </w:r>
      <w:r>
        <w:rPr>
          <w:spacing w:val="-3"/>
        </w:rPr>
        <w:t> </w:t>
      </w:r>
      <w:r>
        <w:rPr/>
        <w:t>up</w:t>
      </w:r>
      <w:r>
        <w:rPr>
          <w:spacing w:val="-3"/>
        </w:rPr>
        <w:t> </w:t>
      </w:r>
      <w:r>
        <w:rPr/>
        <w:t>to</w:t>
      </w:r>
      <w:r>
        <w:rPr>
          <w:spacing w:val="-3"/>
        </w:rPr>
        <w:t> </w:t>
      </w:r>
      <w:r>
        <w:rPr/>
        <w:t>Class</w:t>
      </w:r>
      <w:r>
        <w:rPr>
          <w:spacing w:val="-3"/>
        </w:rPr>
        <w:t> </w:t>
      </w:r>
      <w:r>
        <w:rPr/>
        <w:t>X</w:t>
      </w:r>
      <w:r>
        <w:rPr>
          <w:spacing w:val="-3"/>
        </w:rPr>
        <w:t> </w:t>
      </w:r>
      <w:r>
        <w:rPr/>
        <w:t>as</w:t>
      </w:r>
      <w:r>
        <w:rPr>
          <w:spacing w:val="-3"/>
        </w:rPr>
        <w:t> </w:t>
      </w:r>
      <w:r>
        <w:rPr/>
        <w:t>soon</w:t>
      </w:r>
      <w:r>
        <w:rPr>
          <w:spacing w:val="-3"/>
        </w:rPr>
        <w:t> </w:t>
      </w:r>
      <w:r>
        <w:rPr/>
        <w:t>as possible. NKC has emphasised that a vibrant, good quality</w:t>
      </w:r>
      <w:r>
        <w:rPr>
          <w:spacing w:val="-8"/>
        </w:rPr>
        <w:t> </w:t>
      </w:r>
      <w:r>
        <w:rPr/>
        <w:t>and</w:t>
      </w:r>
      <w:r>
        <w:rPr>
          <w:spacing w:val="-8"/>
        </w:rPr>
        <w:t> </w:t>
      </w:r>
      <w:r>
        <w:rPr/>
        <w:t>universally</w:t>
      </w:r>
      <w:r>
        <w:rPr>
          <w:spacing w:val="-8"/>
        </w:rPr>
        <w:t> </w:t>
      </w:r>
      <w:r>
        <w:rPr/>
        <w:t>accessible</w:t>
      </w:r>
      <w:r>
        <w:rPr>
          <w:spacing w:val="-8"/>
        </w:rPr>
        <w:t> </w:t>
      </w:r>
      <w:r>
        <w:rPr/>
        <w:t>government</w:t>
      </w:r>
      <w:r>
        <w:rPr>
          <w:spacing w:val="-8"/>
        </w:rPr>
        <w:t> </w:t>
      </w:r>
      <w:r>
        <w:rPr/>
        <w:t>school </w:t>
      </w:r>
      <w:r>
        <w:rPr>
          <w:spacing w:val="-6"/>
        </w:rPr>
        <w:t>system is the basic foundation upon which the schooling </w:t>
      </w:r>
      <w:r>
        <w:rPr/>
        <w:t>system in the country must rest.</w:t>
      </w:r>
    </w:p>
    <w:p>
      <w:pPr>
        <w:pStyle w:val="BodyText"/>
        <w:spacing w:before="19"/>
      </w:pPr>
    </w:p>
    <w:p>
      <w:pPr>
        <w:pStyle w:val="BodyText"/>
        <w:spacing w:line="266" w:lineRule="auto" w:before="1"/>
        <w:ind w:left="319" w:right="1077"/>
        <w:jc w:val="both"/>
      </w:pPr>
      <w:r>
        <w:rPr/>
        <w:t>Therefore this must be supported with a financial </w:t>
      </w:r>
      <w:r>
        <w:rPr>
          <w:spacing w:val="-2"/>
        </w:rPr>
        <w:t>commitment</w:t>
      </w:r>
      <w:r>
        <w:rPr>
          <w:spacing w:val="-14"/>
        </w:rPr>
        <w:t> </w:t>
      </w:r>
      <w:r>
        <w:rPr>
          <w:spacing w:val="-2"/>
        </w:rPr>
        <w:t>of</w:t>
      </w:r>
      <w:r>
        <w:rPr>
          <w:spacing w:val="-12"/>
        </w:rPr>
        <w:t> </w:t>
      </w:r>
      <w:r>
        <w:rPr>
          <w:spacing w:val="-2"/>
        </w:rPr>
        <w:t>the</w:t>
      </w:r>
      <w:r>
        <w:rPr>
          <w:spacing w:val="-12"/>
        </w:rPr>
        <w:t> </w:t>
      </w:r>
      <w:r>
        <w:rPr>
          <w:spacing w:val="-2"/>
        </w:rPr>
        <w:t>Central</w:t>
      </w:r>
      <w:r>
        <w:rPr>
          <w:spacing w:val="-11"/>
        </w:rPr>
        <w:t> </w:t>
      </w:r>
      <w:r>
        <w:rPr>
          <w:spacing w:val="-2"/>
        </w:rPr>
        <w:t>Government,</w:t>
      </w:r>
      <w:r>
        <w:rPr>
          <w:spacing w:val="-12"/>
        </w:rPr>
        <w:t> </w:t>
      </w:r>
      <w:r>
        <w:rPr>
          <w:spacing w:val="-2"/>
        </w:rPr>
        <w:t>in</w:t>
      </w:r>
      <w:r>
        <w:rPr>
          <w:spacing w:val="-12"/>
        </w:rPr>
        <w:t> </w:t>
      </w:r>
      <w:r>
        <w:rPr>
          <w:spacing w:val="-2"/>
        </w:rPr>
        <w:t>such</w:t>
      </w:r>
      <w:r>
        <w:rPr>
          <w:spacing w:val="-12"/>
        </w:rPr>
        <w:t> </w:t>
      </w:r>
      <w:r>
        <w:rPr>
          <w:spacing w:val="-2"/>
        </w:rPr>
        <w:t>a</w:t>
      </w:r>
      <w:r>
        <w:rPr>
          <w:spacing w:val="-11"/>
        </w:rPr>
        <w:t> </w:t>
      </w:r>
      <w:r>
        <w:rPr>
          <w:spacing w:val="-2"/>
        </w:rPr>
        <w:t>way </w:t>
      </w:r>
      <w:r>
        <w:rPr/>
        <w:t>as to ensure that the right to quality school education is</w:t>
      </w:r>
      <w:r>
        <w:rPr>
          <w:spacing w:val="-14"/>
        </w:rPr>
        <w:t> </w:t>
      </w:r>
      <w:r>
        <w:rPr/>
        <w:t>provided</w:t>
      </w:r>
      <w:r>
        <w:rPr>
          <w:spacing w:val="-14"/>
        </w:rPr>
        <w:t> </w:t>
      </w:r>
      <w:r>
        <w:rPr/>
        <w:t>to</w:t>
      </w:r>
      <w:r>
        <w:rPr>
          <w:spacing w:val="-14"/>
        </w:rPr>
        <w:t> </w:t>
      </w:r>
      <w:r>
        <w:rPr/>
        <w:t>all</w:t>
      </w:r>
      <w:r>
        <w:rPr>
          <w:spacing w:val="-13"/>
        </w:rPr>
        <w:t> </w:t>
      </w:r>
      <w:r>
        <w:rPr/>
        <w:t>children</w:t>
      </w:r>
      <w:r>
        <w:rPr>
          <w:spacing w:val="-14"/>
        </w:rPr>
        <w:t> </w:t>
      </w:r>
      <w:r>
        <w:rPr/>
        <w:t>of</w:t>
      </w:r>
      <w:r>
        <w:rPr>
          <w:spacing w:val="-14"/>
        </w:rPr>
        <w:t> </w:t>
      </w:r>
      <w:r>
        <w:rPr/>
        <w:t>the</w:t>
      </w:r>
      <w:r>
        <w:rPr>
          <w:spacing w:val="-14"/>
        </w:rPr>
        <w:t> </w:t>
      </w:r>
      <w:r>
        <w:rPr/>
        <w:t>country,</w:t>
      </w:r>
      <w:r>
        <w:rPr>
          <w:spacing w:val="-13"/>
        </w:rPr>
        <w:t> </w:t>
      </w:r>
      <w:r>
        <w:rPr/>
        <w:t>regardless</w:t>
      </w:r>
      <w:r>
        <w:rPr>
          <w:spacing w:val="-14"/>
        </w:rPr>
        <w:t> </w:t>
      </w:r>
      <w:r>
        <w:rPr/>
        <w:t>of </w:t>
      </w:r>
      <w:r>
        <w:rPr>
          <w:spacing w:val="-6"/>
        </w:rPr>
        <w:t>which</w:t>
      </w:r>
      <w:r>
        <w:rPr>
          <w:spacing w:val="-8"/>
        </w:rPr>
        <w:t> </w:t>
      </w:r>
      <w:r>
        <w:rPr>
          <w:spacing w:val="-6"/>
        </w:rPr>
        <w:t>state</w:t>
      </w:r>
      <w:r>
        <w:rPr>
          <w:spacing w:val="-8"/>
        </w:rPr>
        <w:t> </w:t>
      </w:r>
      <w:r>
        <w:rPr>
          <w:spacing w:val="-6"/>
        </w:rPr>
        <w:t>they</w:t>
      </w:r>
      <w:r>
        <w:rPr>
          <w:spacing w:val="-8"/>
        </w:rPr>
        <w:t> </w:t>
      </w:r>
      <w:r>
        <w:rPr>
          <w:spacing w:val="-6"/>
        </w:rPr>
        <w:t>are</w:t>
      </w:r>
      <w:r>
        <w:rPr>
          <w:spacing w:val="-7"/>
        </w:rPr>
        <w:t> </w:t>
      </w:r>
      <w:r>
        <w:rPr>
          <w:spacing w:val="-6"/>
        </w:rPr>
        <w:t>residing</w:t>
      </w:r>
      <w:r>
        <w:rPr>
          <w:spacing w:val="-8"/>
        </w:rPr>
        <w:t> </w:t>
      </w:r>
      <w:r>
        <w:rPr>
          <w:spacing w:val="-6"/>
        </w:rPr>
        <w:t>in.</w:t>
      </w:r>
      <w:r>
        <w:rPr>
          <w:spacing w:val="-8"/>
        </w:rPr>
        <w:t> </w:t>
      </w:r>
      <w:r>
        <w:rPr>
          <w:spacing w:val="-6"/>
        </w:rPr>
        <w:t>This</w:t>
      </w:r>
      <w:r>
        <w:rPr>
          <w:spacing w:val="-8"/>
        </w:rPr>
        <w:t> </w:t>
      </w:r>
      <w:r>
        <w:rPr>
          <w:spacing w:val="-6"/>
        </w:rPr>
        <w:t>necessarily</w:t>
      </w:r>
      <w:r>
        <w:rPr>
          <w:spacing w:val="-7"/>
        </w:rPr>
        <w:t> </w:t>
      </w:r>
      <w:r>
        <w:rPr>
          <w:spacing w:val="-6"/>
        </w:rPr>
        <w:t>requires </w:t>
      </w:r>
      <w:r>
        <w:rPr>
          <w:spacing w:val="-2"/>
        </w:rPr>
        <w:t>a</w:t>
      </w:r>
      <w:r>
        <w:rPr>
          <w:spacing w:val="-6"/>
        </w:rPr>
        <w:t> </w:t>
      </w:r>
      <w:r>
        <w:rPr>
          <w:spacing w:val="-2"/>
        </w:rPr>
        <w:t>significant</w:t>
      </w:r>
      <w:r>
        <w:rPr>
          <w:spacing w:val="-7"/>
        </w:rPr>
        <w:t> </w:t>
      </w:r>
      <w:r>
        <w:rPr>
          <w:spacing w:val="-2"/>
        </w:rPr>
        <w:t>expansion</w:t>
      </w:r>
      <w:r>
        <w:rPr>
          <w:spacing w:val="-6"/>
        </w:rPr>
        <w:t> </w:t>
      </w:r>
      <w:r>
        <w:rPr>
          <w:spacing w:val="-2"/>
        </w:rPr>
        <w:t>of</w:t>
      </w:r>
      <w:r>
        <w:rPr>
          <w:spacing w:val="-7"/>
        </w:rPr>
        <w:t> </w:t>
      </w:r>
      <w:r>
        <w:rPr>
          <w:spacing w:val="-2"/>
        </w:rPr>
        <w:t>the</w:t>
      </w:r>
      <w:r>
        <w:rPr>
          <w:spacing w:val="-6"/>
        </w:rPr>
        <w:t> </w:t>
      </w:r>
      <w:r>
        <w:rPr>
          <w:spacing w:val="-2"/>
        </w:rPr>
        <w:t>resources</w:t>
      </w:r>
      <w:r>
        <w:rPr>
          <w:spacing w:val="-7"/>
        </w:rPr>
        <w:t> </w:t>
      </w:r>
      <w:r>
        <w:rPr>
          <w:spacing w:val="-2"/>
        </w:rPr>
        <w:t>to</w:t>
      </w:r>
      <w:r>
        <w:rPr>
          <w:spacing w:val="-6"/>
        </w:rPr>
        <w:t> </w:t>
      </w:r>
      <w:r>
        <w:rPr>
          <w:spacing w:val="-2"/>
        </w:rPr>
        <w:t>be</w:t>
      </w:r>
      <w:r>
        <w:rPr>
          <w:spacing w:val="-7"/>
        </w:rPr>
        <w:t> </w:t>
      </w:r>
      <w:r>
        <w:rPr>
          <w:spacing w:val="-2"/>
        </w:rPr>
        <w:t>provided to</w:t>
      </w:r>
      <w:r>
        <w:rPr>
          <w:spacing w:val="-12"/>
        </w:rPr>
        <w:t> </w:t>
      </w:r>
      <w:r>
        <w:rPr>
          <w:spacing w:val="-2"/>
        </w:rPr>
        <w:t>elementary</w:t>
      </w:r>
      <w:r>
        <w:rPr>
          <w:spacing w:val="-12"/>
        </w:rPr>
        <w:t> </w:t>
      </w:r>
      <w:r>
        <w:rPr>
          <w:spacing w:val="-2"/>
        </w:rPr>
        <w:t>school</w:t>
      </w:r>
      <w:r>
        <w:rPr>
          <w:spacing w:val="-11"/>
        </w:rPr>
        <w:t> </w:t>
      </w:r>
      <w:r>
        <w:rPr>
          <w:spacing w:val="-2"/>
        </w:rPr>
        <w:t>education.</w:t>
      </w:r>
      <w:r>
        <w:rPr>
          <w:spacing w:val="-12"/>
        </w:rPr>
        <w:t> </w:t>
      </w:r>
      <w:r>
        <w:rPr>
          <w:spacing w:val="-2"/>
        </w:rPr>
        <w:t>While</w:t>
      </w:r>
      <w:r>
        <w:rPr>
          <w:spacing w:val="-11"/>
        </w:rPr>
        <w:t> </w:t>
      </w:r>
      <w:r>
        <w:rPr>
          <w:spacing w:val="-2"/>
        </w:rPr>
        <w:t>the</w:t>
      </w:r>
      <w:r>
        <w:rPr>
          <w:spacing w:val="-11"/>
        </w:rPr>
        <w:t> </w:t>
      </w:r>
      <w:r>
        <w:rPr>
          <w:spacing w:val="-2"/>
        </w:rPr>
        <w:t>government </w:t>
      </w:r>
      <w:r>
        <w:rPr/>
        <w:t>has increased allocations for school expenditure, the amounts</w:t>
      </w:r>
      <w:r>
        <w:rPr>
          <w:spacing w:val="-13"/>
        </w:rPr>
        <w:t> </w:t>
      </w:r>
      <w:r>
        <w:rPr/>
        <w:t>are</w:t>
      </w:r>
      <w:r>
        <w:rPr>
          <w:spacing w:val="-13"/>
        </w:rPr>
        <w:t> </w:t>
      </w:r>
      <w:r>
        <w:rPr/>
        <w:t>still</w:t>
      </w:r>
      <w:r>
        <w:rPr>
          <w:spacing w:val="-13"/>
        </w:rPr>
        <w:t> </w:t>
      </w:r>
      <w:r>
        <w:rPr/>
        <w:t>far</w:t>
      </w:r>
      <w:r>
        <w:rPr>
          <w:spacing w:val="-13"/>
        </w:rPr>
        <w:t> </w:t>
      </w:r>
      <w:r>
        <w:rPr/>
        <w:t>below</w:t>
      </w:r>
      <w:r>
        <w:rPr>
          <w:spacing w:val="-13"/>
        </w:rPr>
        <w:t> </w:t>
      </w:r>
      <w:r>
        <w:rPr/>
        <w:t>what</w:t>
      </w:r>
      <w:r>
        <w:rPr>
          <w:spacing w:val="-13"/>
        </w:rPr>
        <w:t> </w:t>
      </w:r>
      <w:r>
        <w:rPr/>
        <w:t>is</w:t>
      </w:r>
      <w:r>
        <w:rPr>
          <w:spacing w:val="-13"/>
        </w:rPr>
        <w:t> </w:t>
      </w:r>
      <w:r>
        <w:rPr/>
        <w:t>required</w:t>
      </w:r>
      <w:r>
        <w:rPr>
          <w:spacing w:val="-13"/>
        </w:rPr>
        <w:t> </w:t>
      </w:r>
      <w:r>
        <w:rPr/>
        <w:t>to</w:t>
      </w:r>
      <w:r>
        <w:rPr>
          <w:spacing w:val="-13"/>
        </w:rPr>
        <w:t> </w:t>
      </w:r>
      <w:r>
        <w:rPr/>
        <w:t>achieve </w:t>
      </w:r>
      <w:r>
        <w:rPr>
          <w:spacing w:val="-4"/>
        </w:rPr>
        <w:t>universal school education of reasonable quality for all. </w:t>
      </w:r>
      <w:r>
        <w:rPr/>
        <w:t>This</w:t>
      </w:r>
      <w:r>
        <w:rPr>
          <w:spacing w:val="-9"/>
        </w:rPr>
        <w:t> </w:t>
      </w:r>
      <w:r>
        <w:rPr/>
        <w:t>is</w:t>
      </w:r>
      <w:r>
        <w:rPr>
          <w:spacing w:val="-9"/>
        </w:rPr>
        <w:t> </w:t>
      </w:r>
      <w:r>
        <w:rPr/>
        <w:t>even</w:t>
      </w:r>
      <w:r>
        <w:rPr>
          <w:spacing w:val="-9"/>
        </w:rPr>
        <w:t> </w:t>
      </w:r>
      <w:r>
        <w:rPr/>
        <w:t>more</w:t>
      </w:r>
      <w:r>
        <w:rPr>
          <w:spacing w:val="-9"/>
        </w:rPr>
        <w:t> </w:t>
      </w:r>
      <w:r>
        <w:rPr/>
        <w:t>true</w:t>
      </w:r>
      <w:r>
        <w:rPr>
          <w:spacing w:val="-9"/>
        </w:rPr>
        <w:t> </w:t>
      </w:r>
      <w:r>
        <w:rPr/>
        <w:t>because</w:t>
      </w:r>
      <w:r>
        <w:rPr>
          <w:spacing w:val="-9"/>
        </w:rPr>
        <w:t> </w:t>
      </w:r>
      <w:r>
        <w:rPr/>
        <w:t>of</w:t>
      </w:r>
      <w:r>
        <w:rPr>
          <w:spacing w:val="-9"/>
        </w:rPr>
        <w:t> </w:t>
      </w:r>
      <w:r>
        <w:rPr/>
        <w:t>the</w:t>
      </w:r>
      <w:r>
        <w:rPr>
          <w:spacing w:val="-9"/>
        </w:rPr>
        <w:t> </w:t>
      </w:r>
      <w:r>
        <w:rPr/>
        <w:t>need</w:t>
      </w:r>
      <w:r>
        <w:rPr>
          <w:spacing w:val="-9"/>
        </w:rPr>
        <w:t> </w:t>
      </w:r>
      <w:r>
        <w:rPr/>
        <w:t>to</w:t>
      </w:r>
      <w:r>
        <w:rPr>
          <w:spacing w:val="-9"/>
        </w:rPr>
        <w:t> </w:t>
      </w:r>
      <w:r>
        <w:rPr/>
        <w:t>upgrade the “Education Centres” that are operating in many </w:t>
      </w:r>
      <w:r>
        <w:rPr>
          <w:spacing w:val="-2"/>
        </w:rPr>
        <w:t>states</w:t>
      </w:r>
      <w:r>
        <w:rPr>
          <w:spacing w:val="-12"/>
        </w:rPr>
        <w:t> </w:t>
      </w:r>
      <w:r>
        <w:rPr>
          <w:spacing w:val="-2"/>
        </w:rPr>
        <w:t>to</w:t>
      </w:r>
      <w:r>
        <w:rPr>
          <w:spacing w:val="-12"/>
        </w:rPr>
        <w:t> </w:t>
      </w:r>
      <w:r>
        <w:rPr>
          <w:spacing w:val="-2"/>
        </w:rPr>
        <w:t>proper</w:t>
      </w:r>
      <w:r>
        <w:rPr>
          <w:spacing w:val="-12"/>
        </w:rPr>
        <w:t> </w:t>
      </w:r>
      <w:r>
        <w:rPr>
          <w:spacing w:val="-2"/>
        </w:rPr>
        <w:t>schools</w:t>
      </w:r>
      <w:r>
        <w:rPr>
          <w:spacing w:val="-11"/>
        </w:rPr>
        <w:t> </w:t>
      </w:r>
      <w:r>
        <w:rPr>
          <w:spacing w:val="-2"/>
        </w:rPr>
        <w:t>that</w:t>
      </w:r>
      <w:r>
        <w:rPr>
          <w:spacing w:val="-12"/>
        </w:rPr>
        <w:t> </w:t>
      </w:r>
      <w:r>
        <w:rPr>
          <w:spacing w:val="-2"/>
        </w:rPr>
        <w:t>meet</w:t>
      </w:r>
      <w:r>
        <w:rPr>
          <w:spacing w:val="-12"/>
        </w:rPr>
        <w:t> </w:t>
      </w:r>
      <w:r>
        <w:rPr>
          <w:spacing w:val="-2"/>
        </w:rPr>
        <w:t>all</w:t>
      </w:r>
      <w:r>
        <w:rPr>
          <w:spacing w:val="-12"/>
        </w:rPr>
        <w:t> </w:t>
      </w:r>
      <w:r>
        <w:rPr>
          <w:spacing w:val="-2"/>
        </w:rPr>
        <w:t>the</w:t>
      </w:r>
      <w:r>
        <w:rPr>
          <w:spacing w:val="-11"/>
        </w:rPr>
        <w:t> </w:t>
      </w:r>
      <w:r>
        <w:rPr>
          <w:spacing w:val="-2"/>
        </w:rPr>
        <w:t>norms</w:t>
      </w:r>
      <w:r>
        <w:rPr>
          <w:spacing w:val="-12"/>
        </w:rPr>
        <w:t> </w:t>
      </w:r>
      <w:r>
        <w:rPr>
          <w:spacing w:val="-2"/>
        </w:rPr>
        <w:t>in</w:t>
      </w:r>
      <w:r>
        <w:rPr>
          <w:spacing w:val="-12"/>
        </w:rPr>
        <w:t> </w:t>
      </w:r>
      <w:r>
        <w:rPr>
          <w:spacing w:val="-2"/>
        </w:rPr>
        <w:t>terms </w:t>
      </w:r>
      <w:r>
        <w:rPr/>
        <w:t>of</w:t>
      </w:r>
      <w:r>
        <w:rPr>
          <w:spacing w:val="-5"/>
        </w:rPr>
        <w:t> </w:t>
      </w:r>
      <w:r>
        <w:rPr/>
        <w:t>trained</w:t>
      </w:r>
      <w:r>
        <w:rPr>
          <w:spacing w:val="-5"/>
        </w:rPr>
        <w:t> </w:t>
      </w:r>
      <w:r>
        <w:rPr/>
        <w:t>teachers,</w:t>
      </w:r>
      <w:r>
        <w:rPr>
          <w:spacing w:val="-5"/>
        </w:rPr>
        <w:t> </w:t>
      </w:r>
      <w:r>
        <w:rPr/>
        <w:t>minimum</w:t>
      </w:r>
      <w:r>
        <w:rPr>
          <w:spacing w:val="-5"/>
        </w:rPr>
        <w:t> </w:t>
      </w:r>
      <w:r>
        <w:rPr/>
        <w:t>facilities</w:t>
      </w:r>
      <w:r>
        <w:rPr>
          <w:spacing w:val="-5"/>
        </w:rPr>
        <w:t> </w:t>
      </w:r>
      <w:r>
        <w:rPr/>
        <w:t>etc.</w:t>
      </w:r>
      <w:r>
        <w:rPr>
          <w:spacing w:val="-11"/>
        </w:rPr>
        <w:t> </w:t>
      </w:r>
      <w:r>
        <w:rPr/>
        <w:t>Therefore NKC strongly recommends a substantial increase in Central Government allocation.</w:t>
      </w:r>
    </w:p>
    <w:p>
      <w:pPr>
        <w:pStyle w:val="BodyText"/>
        <w:spacing w:before="14"/>
      </w:pPr>
    </w:p>
    <w:p>
      <w:pPr>
        <w:pStyle w:val="BodyText"/>
        <w:spacing w:line="266" w:lineRule="auto"/>
        <w:ind w:left="319" w:right="1077"/>
        <w:jc w:val="both"/>
      </w:pPr>
      <w:r>
        <w:rPr/>
        <w:t>NKC has already expressed concern on the recent decision of the central government to reduce the central</w:t>
      </w:r>
      <w:r>
        <w:rPr>
          <w:spacing w:val="-6"/>
        </w:rPr>
        <w:t> </w:t>
      </w:r>
      <w:r>
        <w:rPr/>
        <w:t>funding</w:t>
      </w:r>
      <w:r>
        <w:rPr>
          <w:spacing w:val="-6"/>
        </w:rPr>
        <w:t> </w:t>
      </w:r>
      <w:r>
        <w:rPr/>
        <w:t>for</w:t>
      </w:r>
      <w:r>
        <w:rPr>
          <w:spacing w:val="-6"/>
        </w:rPr>
        <w:t> </w:t>
      </w:r>
      <w:r>
        <w:rPr/>
        <w:t>the</w:t>
      </w:r>
      <w:r>
        <w:rPr>
          <w:spacing w:val="-6"/>
        </w:rPr>
        <w:t> </w:t>
      </w:r>
      <w:r>
        <w:rPr/>
        <w:t>Sarva</w:t>
      </w:r>
      <w:r>
        <w:rPr>
          <w:spacing w:val="-6"/>
        </w:rPr>
        <w:t> </w:t>
      </w:r>
      <w:r>
        <w:rPr/>
        <w:t>Shiksha</w:t>
      </w:r>
      <w:r>
        <w:rPr>
          <w:spacing w:val="-6"/>
        </w:rPr>
        <w:t> </w:t>
      </w:r>
      <w:r>
        <w:rPr/>
        <w:t>Abhiyan</w:t>
      </w:r>
      <w:r>
        <w:rPr>
          <w:spacing w:val="-6"/>
        </w:rPr>
        <w:t> </w:t>
      </w:r>
      <w:r>
        <w:rPr/>
        <w:t>(SSA) from 75 per cent to 50 per cent. This may lead to a </w:t>
      </w:r>
      <w:r>
        <w:rPr>
          <w:spacing w:val="-2"/>
        </w:rPr>
        <w:t>sharp</w:t>
      </w:r>
      <w:r>
        <w:rPr>
          <w:spacing w:val="-5"/>
        </w:rPr>
        <w:t> </w:t>
      </w:r>
      <w:r>
        <w:rPr>
          <w:spacing w:val="-2"/>
        </w:rPr>
        <w:t>curtailment</w:t>
      </w:r>
      <w:r>
        <w:rPr>
          <w:spacing w:val="-5"/>
        </w:rPr>
        <w:t> </w:t>
      </w:r>
      <w:r>
        <w:rPr>
          <w:spacing w:val="-2"/>
        </w:rPr>
        <w:t>of</w:t>
      </w:r>
      <w:r>
        <w:rPr>
          <w:spacing w:val="-4"/>
        </w:rPr>
        <w:t> </w:t>
      </w:r>
      <w:r>
        <w:rPr>
          <w:spacing w:val="-2"/>
        </w:rPr>
        <w:t>progress</w:t>
      </w:r>
      <w:r>
        <w:rPr>
          <w:spacing w:val="-5"/>
        </w:rPr>
        <w:t> </w:t>
      </w:r>
      <w:r>
        <w:rPr>
          <w:spacing w:val="-2"/>
        </w:rPr>
        <w:t>towards</w:t>
      </w:r>
      <w:r>
        <w:rPr>
          <w:spacing w:val="-5"/>
        </w:rPr>
        <w:t> </w:t>
      </w:r>
      <w:r>
        <w:rPr>
          <w:spacing w:val="-2"/>
        </w:rPr>
        <w:t>universal</w:t>
      </w:r>
      <w:r>
        <w:rPr>
          <w:spacing w:val="-4"/>
        </w:rPr>
        <w:t> school</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t>education, especially in the more backward </w:t>
      </w:r>
      <w:r>
        <w:rPr/>
        <w:t>states where the gap is greater. It is worth noting that State Governments</w:t>
      </w:r>
      <w:r>
        <w:rPr>
          <w:spacing w:val="-9"/>
        </w:rPr>
        <w:t> </w:t>
      </w:r>
      <w:r>
        <w:rPr/>
        <w:t>are</w:t>
      </w:r>
      <w:r>
        <w:rPr>
          <w:spacing w:val="-9"/>
        </w:rPr>
        <w:t> </w:t>
      </w:r>
      <w:r>
        <w:rPr/>
        <w:t>already</w:t>
      </w:r>
      <w:r>
        <w:rPr>
          <w:spacing w:val="-9"/>
        </w:rPr>
        <w:t> </w:t>
      </w:r>
      <w:r>
        <w:rPr/>
        <w:t>incurring</w:t>
      </w:r>
      <w:r>
        <w:rPr>
          <w:spacing w:val="-9"/>
        </w:rPr>
        <w:t> </w:t>
      </w:r>
      <w:r>
        <w:rPr/>
        <w:t>the</w:t>
      </w:r>
      <w:r>
        <w:rPr>
          <w:spacing w:val="-9"/>
        </w:rPr>
        <w:t> </w:t>
      </w:r>
      <w:r>
        <w:rPr/>
        <w:t>bulk</w:t>
      </w:r>
      <w:r>
        <w:rPr>
          <w:spacing w:val="-9"/>
        </w:rPr>
        <w:t> </w:t>
      </w:r>
      <w:r>
        <w:rPr/>
        <w:t>of</w:t>
      </w:r>
      <w:r>
        <w:rPr>
          <w:spacing w:val="-9"/>
        </w:rPr>
        <w:t> </w:t>
      </w:r>
      <w:r>
        <w:rPr/>
        <w:t>school education expenditure. NKC strongly feels that, in </w:t>
      </w:r>
      <w:r>
        <w:rPr>
          <w:spacing w:val="-2"/>
        </w:rPr>
        <w:t>addition</w:t>
      </w:r>
      <w:r>
        <w:rPr>
          <w:spacing w:val="-12"/>
        </w:rPr>
        <w:t> </w:t>
      </w:r>
      <w:r>
        <w:rPr>
          <w:spacing w:val="-2"/>
        </w:rPr>
        <w:t>to</w:t>
      </w:r>
      <w:r>
        <w:rPr>
          <w:spacing w:val="-12"/>
        </w:rPr>
        <w:t> </w:t>
      </w:r>
      <w:r>
        <w:rPr>
          <w:spacing w:val="-2"/>
        </w:rPr>
        <w:t>50</w:t>
      </w:r>
      <w:r>
        <w:rPr>
          <w:spacing w:val="-12"/>
        </w:rPr>
        <w:t> </w:t>
      </w:r>
      <w:r>
        <w:rPr>
          <w:spacing w:val="-2"/>
        </w:rPr>
        <w:t>per</w:t>
      </w:r>
      <w:r>
        <w:rPr>
          <w:spacing w:val="-11"/>
        </w:rPr>
        <w:t> </w:t>
      </w:r>
      <w:r>
        <w:rPr>
          <w:spacing w:val="-2"/>
        </w:rPr>
        <w:t>cent</w:t>
      </w:r>
      <w:r>
        <w:rPr>
          <w:spacing w:val="-12"/>
        </w:rPr>
        <w:t> </w:t>
      </w:r>
      <w:r>
        <w:rPr>
          <w:spacing w:val="-2"/>
        </w:rPr>
        <w:t>of</w:t>
      </w:r>
      <w:r>
        <w:rPr>
          <w:spacing w:val="-12"/>
        </w:rPr>
        <w:t> </w:t>
      </w:r>
      <w:r>
        <w:rPr>
          <w:spacing w:val="-2"/>
        </w:rPr>
        <w:t>SSA</w:t>
      </w:r>
      <w:r>
        <w:rPr>
          <w:spacing w:val="-12"/>
        </w:rPr>
        <w:t> </w:t>
      </w:r>
      <w:r>
        <w:rPr>
          <w:spacing w:val="-2"/>
        </w:rPr>
        <w:t>funds,</w:t>
      </w:r>
      <w:r>
        <w:rPr>
          <w:spacing w:val="-11"/>
        </w:rPr>
        <w:t> </w:t>
      </w:r>
      <w:r>
        <w:rPr>
          <w:spacing w:val="-2"/>
        </w:rPr>
        <w:t>the</w:t>
      </w:r>
      <w:r>
        <w:rPr>
          <w:spacing w:val="-12"/>
        </w:rPr>
        <w:t> </w:t>
      </w:r>
      <w:r>
        <w:rPr>
          <w:spacing w:val="-2"/>
        </w:rPr>
        <w:t>Centre</w:t>
      </w:r>
      <w:r>
        <w:rPr>
          <w:spacing w:val="-12"/>
        </w:rPr>
        <w:t> </w:t>
      </w:r>
      <w:r>
        <w:rPr>
          <w:spacing w:val="-2"/>
        </w:rPr>
        <w:t>should </w:t>
      </w:r>
      <w:r>
        <w:rPr/>
        <w:t>provide all the additional funding required to ensure the Right to Education in those states where the state government</w:t>
      </w:r>
      <w:r>
        <w:rPr>
          <w:spacing w:val="-11"/>
        </w:rPr>
        <w:t> </w:t>
      </w:r>
      <w:r>
        <w:rPr/>
        <w:t>is</w:t>
      </w:r>
      <w:r>
        <w:rPr>
          <w:spacing w:val="-11"/>
        </w:rPr>
        <w:t> </w:t>
      </w:r>
      <w:r>
        <w:rPr/>
        <w:t>already</w:t>
      </w:r>
      <w:r>
        <w:rPr>
          <w:spacing w:val="-11"/>
        </w:rPr>
        <w:t> </w:t>
      </w:r>
      <w:r>
        <w:rPr/>
        <w:t>spending</w:t>
      </w:r>
      <w:r>
        <w:rPr>
          <w:spacing w:val="-11"/>
        </w:rPr>
        <w:t> </w:t>
      </w:r>
      <w:r>
        <w:rPr/>
        <w:t>at</w:t>
      </w:r>
      <w:r>
        <w:rPr>
          <w:spacing w:val="-11"/>
        </w:rPr>
        <w:t> </w:t>
      </w:r>
      <w:r>
        <w:rPr/>
        <w:t>least</w:t>
      </w:r>
      <w:r>
        <w:rPr>
          <w:spacing w:val="-11"/>
        </w:rPr>
        <w:t> </w:t>
      </w:r>
      <w:r>
        <w:rPr/>
        <w:t>15</w:t>
      </w:r>
      <w:r>
        <w:rPr>
          <w:spacing w:val="-11"/>
        </w:rPr>
        <w:t> </w:t>
      </w:r>
      <w:r>
        <w:rPr/>
        <w:t>per</w:t>
      </w:r>
      <w:r>
        <w:rPr>
          <w:spacing w:val="-11"/>
        </w:rPr>
        <w:t> </w:t>
      </w:r>
      <w:r>
        <w:rPr/>
        <w:t>cent</w:t>
      </w:r>
      <w:r>
        <w:rPr>
          <w:spacing w:val="-11"/>
        </w:rPr>
        <w:t> </w:t>
      </w:r>
      <w:r>
        <w:rPr/>
        <w:t>of its total budget on school education.</w:t>
      </w:r>
    </w:p>
    <w:p>
      <w:pPr>
        <w:pStyle w:val="BodyText"/>
        <w:spacing w:before="20"/>
      </w:pPr>
    </w:p>
    <w:p>
      <w:pPr>
        <w:pStyle w:val="BodyText"/>
        <w:spacing w:line="266" w:lineRule="auto"/>
        <w:ind w:left="1080"/>
        <w:jc w:val="both"/>
      </w:pPr>
      <w:r>
        <w:rPr>
          <w:spacing w:val="-4"/>
        </w:rPr>
        <w:t>At</w:t>
      </w:r>
      <w:r>
        <w:rPr>
          <w:spacing w:val="-7"/>
        </w:rPr>
        <w:t> </w:t>
      </w:r>
      <w:r>
        <w:rPr>
          <w:spacing w:val="-4"/>
        </w:rPr>
        <w:t>the</w:t>
      </w:r>
      <w:r>
        <w:rPr>
          <w:spacing w:val="-7"/>
        </w:rPr>
        <w:t> </w:t>
      </w:r>
      <w:r>
        <w:rPr>
          <w:spacing w:val="-4"/>
        </w:rPr>
        <w:t>same</w:t>
      </w:r>
      <w:r>
        <w:rPr>
          <w:spacing w:val="-7"/>
        </w:rPr>
        <w:t> </w:t>
      </w:r>
      <w:r>
        <w:rPr>
          <w:spacing w:val="-4"/>
        </w:rPr>
        <w:t>time,</w:t>
      </w:r>
      <w:r>
        <w:rPr>
          <w:spacing w:val="-7"/>
        </w:rPr>
        <w:t> </w:t>
      </w:r>
      <w:r>
        <w:rPr>
          <w:spacing w:val="-4"/>
        </w:rPr>
        <w:t>the</w:t>
      </w:r>
      <w:r>
        <w:rPr>
          <w:spacing w:val="-7"/>
        </w:rPr>
        <w:t> </w:t>
      </w:r>
      <w:r>
        <w:rPr>
          <w:spacing w:val="-4"/>
        </w:rPr>
        <w:t>importance</w:t>
      </w:r>
      <w:r>
        <w:rPr>
          <w:spacing w:val="-7"/>
        </w:rPr>
        <w:t> </w:t>
      </w:r>
      <w:r>
        <w:rPr>
          <w:spacing w:val="-4"/>
        </w:rPr>
        <w:t>of</w:t>
      </w:r>
      <w:r>
        <w:rPr>
          <w:spacing w:val="-7"/>
        </w:rPr>
        <w:t> </w:t>
      </w:r>
      <w:r>
        <w:rPr>
          <w:spacing w:val="-4"/>
        </w:rPr>
        <w:t>increased</w:t>
      </w:r>
      <w:r>
        <w:rPr>
          <w:spacing w:val="-7"/>
        </w:rPr>
        <w:t> </w:t>
      </w:r>
      <w:r>
        <w:rPr>
          <w:spacing w:val="-4"/>
        </w:rPr>
        <w:t>spending </w:t>
      </w:r>
      <w:r>
        <w:rPr/>
        <w:t>on secondary education is greater than ever before. There is a huge shortage of middle and secondary schools,</w:t>
      </w:r>
      <w:r>
        <w:rPr>
          <w:spacing w:val="-6"/>
        </w:rPr>
        <w:t> </w:t>
      </w:r>
      <w:r>
        <w:rPr/>
        <w:t>which</w:t>
      </w:r>
      <w:r>
        <w:rPr>
          <w:spacing w:val="-6"/>
        </w:rPr>
        <w:t> </w:t>
      </w:r>
      <w:r>
        <w:rPr/>
        <w:t>is</w:t>
      </w:r>
      <w:r>
        <w:rPr>
          <w:spacing w:val="-6"/>
        </w:rPr>
        <w:t> </w:t>
      </w:r>
      <w:r>
        <w:rPr/>
        <w:t>one</w:t>
      </w:r>
      <w:r>
        <w:rPr>
          <w:spacing w:val="-6"/>
        </w:rPr>
        <w:t> </w:t>
      </w:r>
      <w:r>
        <w:rPr/>
        <w:t>of</w:t>
      </w:r>
      <w:r>
        <w:rPr>
          <w:spacing w:val="-6"/>
        </w:rPr>
        <w:t> </w:t>
      </w:r>
      <w:r>
        <w:rPr/>
        <w:t>the</w:t>
      </w:r>
      <w:r>
        <w:rPr>
          <w:spacing w:val="-6"/>
        </w:rPr>
        <w:t> </w:t>
      </w:r>
      <w:r>
        <w:rPr/>
        <w:t>important</w:t>
      </w:r>
      <w:r>
        <w:rPr>
          <w:spacing w:val="-6"/>
        </w:rPr>
        <w:t> </w:t>
      </w:r>
      <w:r>
        <w:rPr/>
        <w:t>reasons</w:t>
      </w:r>
      <w:r>
        <w:rPr>
          <w:spacing w:val="-6"/>
        </w:rPr>
        <w:t> </w:t>
      </w:r>
      <w:r>
        <w:rPr/>
        <w:t>for</w:t>
      </w:r>
      <w:r>
        <w:rPr>
          <w:spacing w:val="-6"/>
        </w:rPr>
        <w:t> </w:t>
      </w:r>
      <w:r>
        <w:rPr/>
        <w:t>the </w:t>
      </w:r>
      <w:r>
        <w:rPr>
          <w:spacing w:val="-6"/>
        </w:rPr>
        <w:t>low</w:t>
      </w:r>
      <w:r>
        <w:rPr>
          <w:spacing w:val="-10"/>
        </w:rPr>
        <w:t> </w:t>
      </w:r>
      <w:r>
        <w:rPr>
          <w:spacing w:val="-6"/>
        </w:rPr>
        <w:t>rates</w:t>
      </w:r>
      <w:r>
        <w:rPr>
          <w:spacing w:val="-8"/>
        </w:rPr>
        <w:t> </w:t>
      </w:r>
      <w:r>
        <w:rPr>
          <w:spacing w:val="-6"/>
        </w:rPr>
        <w:t>of</w:t>
      </w:r>
      <w:r>
        <w:rPr>
          <w:spacing w:val="-8"/>
        </w:rPr>
        <w:t> </w:t>
      </w:r>
      <w:r>
        <w:rPr>
          <w:spacing w:val="-6"/>
        </w:rPr>
        <w:t>retention</w:t>
      </w:r>
      <w:r>
        <w:rPr>
          <w:spacing w:val="-7"/>
        </w:rPr>
        <w:t> </w:t>
      </w:r>
      <w:r>
        <w:rPr>
          <w:spacing w:val="-6"/>
        </w:rPr>
        <w:t>after</w:t>
      </w:r>
      <w:r>
        <w:rPr>
          <w:spacing w:val="-8"/>
        </w:rPr>
        <w:t> </w:t>
      </w:r>
      <w:r>
        <w:rPr>
          <w:spacing w:val="-6"/>
        </w:rPr>
        <w:t>Class</w:t>
      </w:r>
      <w:r>
        <w:rPr>
          <w:spacing w:val="-8"/>
        </w:rPr>
        <w:t> </w:t>
      </w:r>
      <w:r>
        <w:rPr>
          <w:spacing w:val="-6"/>
        </w:rPr>
        <w:t>V.</w:t>
      </w:r>
      <w:r>
        <w:rPr>
          <w:spacing w:val="-8"/>
        </w:rPr>
        <w:t> </w:t>
      </w:r>
      <w:r>
        <w:rPr>
          <w:spacing w:val="-6"/>
        </w:rPr>
        <w:t>Currently,</w:t>
      </w:r>
      <w:r>
        <w:rPr>
          <w:spacing w:val="-7"/>
        </w:rPr>
        <w:t> </w:t>
      </w:r>
      <w:r>
        <w:rPr>
          <w:spacing w:val="-6"/>
        </w:rPr>
        <w:t>secondary </w:t>
      </w:r>
      <w:r>
        <w:rPr/>
        <w:t>education is massively under-funded, which in turn creates</w:t>
      </w:r>
      <w:r>
        <w:rPr>
          <w:spacing w:val="-5"/>
        </w:rPr>
        <w:t> </w:t>
      </w:r>
      <w:r>
        <w:rPr/>
        <w:t>not</w:t>
      </w:r>
      <w:r>
        <w:rPr>
          <w:spacing w:val="-5"/>
        </w:rPr>
        <w:t> </w:t>
      </w:r>
      <w:r>
        <w:rPr/>
        <w:t>only</w:t>
      </w:r>
      <w:r>
        <w:rPr>
          <w:spacing w:val="-5"/>
        </w:rPr>
        <w:t> </w:t>
      </w:r>
      <w:r>
        <w:rPr/>
        <w:t>absolute</w:t>
      </w:r>
      <w:r>
        <w:rPr>
          <w:spacing w:val="-5"/>
        </w:rPr>
        <w:t> </w:t>
      </w:r>
      <w:r>
        <w:rPr/>
        <w:t>shortages</w:t>
      </w:r>
      <w:r>
        <w:rPr>
          <w:spacing w:val="-5"/>
        </w:rPr>
        <w:t> </w:t>
      </w:r>
      <w:r>
        <w:rPr/>
        <w:t>but</w:t>
      </w:r>
      <w:r>
        <w:rPr>
          <w:spacing w:val="-5"/>
        </w:rPr>
        <w:t> </w:t>
      </w:r>
      <w:r>
        <w:rPr/>
        <w:t>also</w:t>
      </w:r>
      <w:r>
        <w:rPr>
          <w:spacing w:val="-5"/>
        </w:rPr>
        <w:t> </w:t>
      </w:r>
      <w:r>
        <w:rPr/>
        <w:t>problems of</w:t>
      </w:r>
      <w:r>
        <w:rPr>
          <w:spacing w:val="-5"/>
        </w:rPr>
        <w:t> </w:t>
      </w:r>
      <w:r>
        <w:rPr/>
        <w:t>inadequate</w:t>
      </w:r>
      <w:r>
        <w:rPr>
          <w:spacing w:val="-5"/>
        </w:rPr>
        <w:t> </w:t>
      </w:r>
      <w:r>
        <w:rPr/>
        <w:t>quality</w:t>
      </w:r>
      <w:r>
        <w:rPr>
          <w:spacing w:val="-5"/>
        </w:rPr>
        <w:t> </w:t>
      </w:r>
      <w:r>
        <w:rPr/>
        <w:t>in</w:t>
      </w:r>
      <w:r>
        <w:rPr>
          <w:spacing w:val="-5"/>
        </w:rPr>
        <w:t> </w:t>
      </w:r>
      <w:r>
        <w:rPr/>
        <w:t>many</w:t>
      </w:r>
      <w:r>
        <w:rPr>
          <w:spacing w:val="-5"/>
        </w:rPr>
        <w:t> </w:t>
      </w:r>
      <w:r>
        <w:rPr/>
        <w:t>government</w:t>
      </w:r>
      <w:r>
        <w:rPr>
          <w:spacing w:val="-5"/>
        </w:rPr>
        <w:t> </w:t>
      </w:r>
      <w:r>
        <w:rPr/>
        <w:t>secondary and higher secondary schools. The aim should be to reach universal secondary school education within a maximum of 10 years. Given the demographics, this implies</w:t>
      </w:r>
      <w:r>
        <w:rPr>
          <w:spacing w:val="-14"/>
        </w:rPr>
        <w:t> </w:t>
      </w:r>
      <w:r>
        <w:rPr/>
        <w:t>that</w:t>
      </w:r>
      <w:r>
        <w:rPr>
          <w:spacing w:val="-14"/>
        </w:rPr>
        <w:t> </w:t>
      </w:r>
      <w:r>
        <w:rPr/>
        <w:t>expenditure</w:t>
      </w:r>
      <w:r>
        <w:rPr>
          <w:spacing w:val="-14"/>
        </w:rPr>
        <w:t> </w:t>
      </w:r>
      <w:r>
        <w:rPr/>
        <w:t>on</w:t>
      </w:r>
      <w:r>
        <w:rPr>
          <w:spacing w:val="-13"/>
        </w:rPr>
        <w:t> </w:t>
      </w:r>
      <w:r>
        <w:rPr/>
        <w:t>secondary</w:t>
      </w:r>
      <w:r>
        <w:rPr>
          <w:spacing w:val="-14"/>
        </w:rPr>
        <w:t> </w:t>
      </w:r>
      <w:r>
        <w:rPr/>
        <w:t>schooling</w:t>
      </w:r>
      <w:r>
        <w:rPr>
          <w:spacing w:val="-14"/>
        </w:rPr>
        <w:t> </w:t>
      </w:r>
      <w:r>
        <w:rPr/>
        <w:t>must be</w:t>
      </w:r>
      <w:r>
        <w:rPr>
          <w:spacing w:val="-4"/>
        </w:rPr>
        <w:t> </w:t>
      </w:r>
      <w:r>
        <w:rPr/>
        <w:t>increased</w:t>
      </w:r>
      <w:r>
        <w:rPr>
          <w:spacing w:val="-4"/>
        </w:rPr>
        <w:t> </w:t>
      </w:r>
      <w:r>
        <w:rPr/>
        <w:t>by</w:t>
      </w:r>
      <w:r>
        <w:rPr>
          <w:spacing w:val="-4"/>
        </w:rPr>
        <w:t> </w:t>
      </w:r>
      <w:r>
        <w:rPr/>
        <w:t>several</w:t>
      </w:r>
      <w:r>
        <w:rPr>
          <w:spacing w:val="-4"/>
        </w:rPr>
        <w:t> </w:t>
      </w:r>
      <w:r>
        <w:rPr/>
        <w:t>multiples</w:t>
      </w:r>
      <w:r>
        <w:rPr>
          <w:spacing w:val="-4"/>
        </w:rPr>
        <w:t> </w:t>
      </w:r>
      <w:r>
        <w:rPr/>
        <w:t>within</w:t>
      </w:r>
      <w:r>
        <w:rPr>
          <w:spacing w:val="-4"/>
        </w:rPr>
        <w:t> </w:t>
      </w:r>
      <w:r>
        <w:rPr/>
        <w:t>the</w:t>
      </w:r>
      <w:r>
        <w:rPr>
          <w:spacing w:val="-4"/>
        </w:rPr>
        <w:t> </w:t>
      </w:r>
      <w:r>
        <w:rPr/>
        <w:t>next</w:t>
      </w:r>
      <w:r>
        <w:rPr>
          <w:spacing w:val="-4"/>
        </w:rPr>
        <w:t> </w:t>
      </w:r>
      <w:r>
        <w:rPr/>
        <w:t>two years,</w:t>
      </w:r>
      <w:r>
        <w:rPr>
          <w:spacing w:val="-6"/>
        </w:rPr>
        <w:t> </w:t>
      </w:r>
      <w:r>
        <w:rPr/>
        <w:t>indeed</w:t>
      </w:r>
      <w:r>
        <w:rPr>
          <w:spacing w:val="-6"/>
        </w:rPr>
        <w:t> </w:t>
      </w:r>
      <w:r>
        <w:rPr/>
        <w:t>by</w:t>
      </w:r>
      <w:r>
        <w:rPr>
          <w:spacing w:val="-6"/>
        </w:rPr>
        <w:t> </w:t>
      </w:r>
      <w:r>
        <w:rPr/>
        <w:t>at</w:t>
      </w:r>
      <w:r>
        <w:rPr>
          <w:spacing w:val="-6"/>
        </w:rPr>
        <w:t> </w:t>
      </w:r>
      <w:r>
        <w:rPr/>
        <w:t>least</w:t>
      </w:r>
      <w:r>
        <w:rPr>
          <w:spacing w:val="-6"/>
        </w:rPr>
        <w:t> </w:t>
      </w:r>
      <w:r>
        <w:rPr/>
        <w:t>five</w:t>
      </w:r>
      <w:r>
        <w:rPr>
          <w:spacing w:val="-6"/>
        </w:rPr>
        <w:t> </w:t>
      </w:r>
      <w:r>
        <w:rPr/>
        <w:t>times</w:t>
      </w:r>
      <w:r>
        <w:rPr>
          <w:spacing w:val="-6"/>
        </w:rPr>
        <w:t> </w:t>
      </w:r>
      <w:r>
        <w:rPr/>
        <w:t>the</w:t>
      </w:r>
      <w:r>
        <w:rPr>
          <w:spacing w:val="-6"/>
        </w:rPr>
        <w:t> </w:t>
      </w:r>
      <w:r>
        <w:rPr/>
        <w:t>current</w:t>
      </w:r>
      <w:r>
        <w:rPr>
          <w:spacing w:val="-6"/>
        </w:rPr>
        <w:t> </w:t>
      </w:r>
      <w:r>
        <w:rPr/>
        <w:t>level</w:t>
      </w:r>
      <w:r>
        <w:rPr>
          <w:spacing w:val="-6"/>
        </w:rPr>
        <w:t> </w:t>
      </w:r>
      <w:r>
        <w:rPr/>
        <w:t>if </w:t>
      </w:r>
      <w:r>
        <w:rPr>
          <w:spacing w:val="-4"/>
        </w:rPr>
        <w:t>the</w:t>
      </w:r>
      <w:r>
        <w:rPr>
          <w:spacing w:val="-6"/>
        </w:rPr>
        <w:t> </w:t>
      </w:r>
      <w:r>
        <w:rPr>
          <w:spacing w:val="-4"/>
        </w:rPr>
        <w:t>CABE</w:t>
      </w:r>
      <w:r>
        <w:rPr>
          <w:spacing w:val="-6"/>
        </w:rPr>
        <w:t> </w:t>
      </w:r>
      <w:r>
        <w:rPr>
          <w:spacing w:val="-4"/>
        </w:rPr>
        <w:t>estimates</w:t>
      </w:r>
      <w:r>
        <w:rPr>
          <w:spacing w:val="-6"/>
        </w:rPr>
        <w:t> </w:t>
      </w:r>
      <w:r>
        <w:rPr>
          <w:spacing w:val="-4"/>
        </w:rPr>
        <w:t>are</w:t>
      </w:r>
      <w:r>
        <w:rPr>
          <w:spacing w:val="-6"/>
        </w:rPr>
        <w:t> </w:t>
      </w:r>
      <w:r>
        <w:rPr>
          <w:spacing w:val="-4"/>
        </w:rPr>
        <w:t>used.</w:t>
      </w:r>
      <w:r>
        <w:rPr>
          <w:spacing w:val="-6"/>
        </w:rPr>
        <w:t> </w:t>
      </w:r>
      <w:r>
        <w:rPr>
          <w:spacing w:val="-4"/>
        </w:rPr>
        <w:t>Currently,</w:t>
      </w:r>
      <w:r>
        <w:rPr>
          <w:spacing w:val="-6"/>
        </w:rPr>
        <w:t> </w:t>
      </w:r>
      <w:r>
        <w:rPr>
          <w:spacing w:val="-4"/>
        </w:rPr>
        <w:t>many</w:t>
      </w:r>
      <w:r>
        <w:rPr>
          <w:spacing w:val="-6"/>
        </w:rPr>
        <w:t> </w:t>
      </w:r>
      <w:r>
        <w:rPr>
          <w:spacing w:val="-4"/>
        </w:rPr>
        <w:t>primary </w:t>
      </w:r>
      <w:r>
        <w:rPr>
          <w:spacing w:val="-2"/>
        </w:rPr>
        <w:t>schools</w:t>
      </w:r>
      <w:r>
        <w:rPr>
          <w:spacing w:val="-10"/>
        </w:rPr>
        <w:t> </w:t>
      </w:r>
      <w:r>
        <w:rPr>
          <w:spacing w:val="-2"/>
        </w:rPr>
        <w:t>are</w:t>
      </w:r>
      <w:r>
        <w:rPr>
          <w:spacing w:val="-10"/>
        </w:rPr>
        <w:t> </w:t>
      </w:r>
      <w:r>
        <w:rPr>
          <w:spacing w:val="-2"/>
        </w:rPr>
        <w:t>being</w:t>
      </w:r>
      <w:r>
        <w:rPr>
          <w:spacing w:val="-10"/>
        </w:rPr>
        <w:t> </w:t>
      </w:r>
      <w:r>
        <w:rPr>
          <w:spacing w:val="-2"/>
        </w:rPr>
        <w:t>upgraded</w:t>
      </w:r>
      <w:r>
        <w:rPr>
          <w:spacing w:val="-10"/>
        </w:rPr>
        <w:t> </w:t>
      </w:r>
      <w:r>
        <w:rPr>
          <w:spacing w:val="-2"/>
        </w:rPr>
        <w:t>to</w:t>
      </w:r>
      <w:r>
        <w:rPr>
          <w:spacing w:val="-10"/>
        </w:rPr>
        <w:t> </w:t>
      </w:r>
      <w:r>
        <w:rPr>
          <w:spacing w:val="-2"/>
        </w:rPr>
        <w:t>secondary</w:t>
      </w:r>
      <w:r>
        <w:rPr>
          <w:spacing w:val="-10"/>
        </w:rPr>
        <w:t> </w:t>
      </w:r>
      <w:r>
        <w:rPr>
          <w:spacing w:val="-2"/>
        </w:rPr>
        <w:t>school</w:t>
      </w:r>
      <w:r>
        <w:rPr>
          <w:spacing w:val="-10"/>
        </w:rPr>
        <w:t> </w:t>
      </w:r>
      <w:r>
        <w:rPr>
          <w:spacing w:val="-2"/>
        </w:rPr>
        <w:t>status, </w:t>
      </w:r>
      <w:r>
        <w:rPr>
          <w:spacing w:val="-6"/>
        </w:rPr>
        <w:t>without</w:t>
      </w:r>
      <w:r>
        <w:rPr>
          <w:spacing w:val="-7"/>
        </w:rPr>
        <w:t> </w:t>
      </w:r>
      <w:r>
        <w:rPr>
          <w:spacing w:val="-6"/>
        </w:rPr>
        <w:t>provision</w:t>
      </w:r>
      <w:r>
        <w:rPr>
          <w:spacing w:val="-7"/>
        </w:rPr>
        <w:t> </w:t>
      </w:r>
      <w:r>
        <w:rPr>
          <w:spacing w:val="-6"/>
        </w:rPr>
        <w:t>of</w:t>
      </w:r>
      <w:r>
        <w:rPr>
          <w:spacing w:val="-7"/>
        </w:rPr>
        <w:t> </w:t>
      </w:r>
      <w:r>
        <w:rPr>
          <w:spacing w:val="-6"/>
        </w:rPr>
        <w:t>sufficient</w:t>
      </w:r>
      <w:r>
        <w:rPr>
          <w:spacing w:val="-7"/>
        </w:rPr>
        <w:t> </w:t>
      </w:r>
      <w:r>
        <w:rPr>
          <w:spacing w:val="-6"/>
        </w:rPr>
        <w:t>teachers,</w:t>
      </w:r>
      <w:r>
        <w:rPr>
          <w:spacing w:val="-7"/>
        </w:rPr>
        <w:t> </w:t>
      </w:r>
      <w:r>
        <w:rPr>
          <w:spacing w:val="-6"/>
        </w:rPr>
        <w:t>rooms</w:t>
      </w:r>
      <w:r>
        <w:rPr>
          <w:spacing w:val="-7"/>
        </w:rPr>
        <w:t> </w:t>
      </w:r>
      <w:r>
        <w:rPr>
          <w:spacing w:val="-6"/>
        </w:rPr>
        <w:t>and</w:t>
      </w:r>
      <w:r>
        <w:rPr>
          <w:spacing w:val="-7"/>
        </w:rPr>
        <w:t> </w:t>
      </w:r>
      <w:r>
        <w:rPr>
          <w:spacing w:val="-6"/>
        </w:rPr>
        <w:t>other </w:t>
      </w:r>
      <w:r>
        <w:rPr>
          <w:spacing w:val="-4"/>
        </w:rPr>
        <w:t>pedagogical</w:t>
      </w:r>
      <w:r>
        <w:rPr>
          <w:spacing w:val="-10"/>
        </w:rPr>
        <w:t> </w:t>
      </w:r>
      <w:r>
        <w:rPr>
          <w:spacing w:val="-4"/>
        </w:rPr>
        <w:t>requirements,</w:t>
      </w:r>
      <w:r>
        <w:rPr>
          <w:spacing w:val="-10"/>
        </w:rPr>
        <w:t> </w:t>
      </w:r>
      <w:r>
        <w:rPr>
          <w:spacing w:val="-4"/>
        </w:rPr>
        <w:t>which</w:t>
      </w:r>
      <w:r>
        <w:rPr>
          <w:spacing w:val="-10"/>
        </w:rPr>
        <w:t> </w:t>
      </w:r>
      <w:r>
        <w:rPr>
          <w:spacing w:val="-4"/>
        </w:rPr>
        <w:t>severely</w:t>
      </w:r>
      <w:r>
        <w:rPr>
          <w:spacing w:val="-9"/>
        </w:rPr>
        <w:t> </w:t>
      </w:r>
      <w:r>
        <w:rPr>
          <w:spacing w:val="-4"/>
        </w:rPr>
        <w:t>comprises</w:t>
      </w:r>
      <w:r>
        <w:rPr>
          <w:spacing w:val="-10"/>
        </w:rPr>
        <w:t> </w:t>
      </w:r>
      <w:r>
        <w:rPr>
          <w:spacing w:val="-4"/>
        </w:rPr>
        <w:t>on </w:t>
      </w:r>
      <w:r>
        <w:rPr>
          <w:spacing w:val="-2"/>
        </w:rPr>
        <w:t>the</w:t>
      </w:r>
      <w:r>
        <w:rPr>
          <w:spacing w:val="-12"/>
        </w:rPr>
        <w:t> </w:t>
      </w:r>
      <w:r>
        <w:rPr>
          <w:spacing w:val="-2"/>
        </w:rPr>
        <w:t>quality</w:t>
      </w:r>
      <w:r>
        <w:rPr>
          <w:spacing w:val="-12"/>
        </w:rPr>
        <w:t> </w:t>
      </w:r>
      <w:r>
        <w:rPr>
          <w:spacing w:val="-2"/>
        </w:rPr>
        <w:t>of</w:t>
      </w:r>
      <w:r>
        <w:rPr>
          <w:spacing w:val="-12"/>
        </w:rPr>
        <w:t> </w:t>
      </w:r>
      <w:r>
        <w:rPr>
          <w:spacing w:val="-2"/>
        </w:rPr>
        <w:t>such</w:t>
      </w:r>
      <w:r>
        <w:rPr>
          <w:spacing w:val="-11"/>
        </w:rPr>
        <w:t> </w:t>
      </w:r>
      <w:r>
        <w:rPr>
          <w:spacing w:val="-2"/>
        </w:rPr>
        <w:t>secondary</w:t>
      </w:r>
      <w:r>
        <w:rPr>
          <w:spacing w:val="-12"/>
        </w:rPr>
        <w:t> </w:t>
      </w:r>
      <w:r>
        <w:rPr>
          <w:spacing w:val="-2"/>
        </w:rPr>
        <w:t>education.</w:t>
      </w:r>
      <w:r>
        <w:rPr>
          <w:spacing w:val="-12"/>
        </w:rPr>
        <w:t> </w:t>
      </w:r>
      <w:r>
        <w:rPr>
          <w:spacing w:val="-2"/>
        </w:rPr>
        <w:t>The</w:t>
      </w:r>
      <w:r>
        <w:rPr>
          <w:spacing w:val="-12"/>
        </w:rPr>
        <w:t> </w:t>
      </w:r>
      <w:r>
        <w:rPr>
          <w:spacing w:val="-2"/>
        </w:rPr>
        <w:t>norms</w:t>
      </w:r>
      <w:r>
        <w:rPr>
          <w:spacing w:val="-11"/>
        </w:rPr>
        <w:t> </w:t>
      </w:r>
      <w:r>
        <w:rPr>
          <w:spacing w:val="-2"/>
        </w:rPr>
        <w:t>for </w:t>
      </w:r>
      <w:r>
        <w:rPr/>
        <w:t>secondary schools, which include not only provision for specialised subject teachers but also for science labs,</w:t>
      </w:r>
      <w:r>
        <w:rPr>
          <w:spacing w:val="-14"/>
        </w:rPr>
        <w:t> </w:t>
      </w:r>
      <w:r>
        <w:rPr/>
        <w:t>counselling</w:t>
      </w:r>
      <w:r>
        <w:rPr>
          <w:spacing w:val="-14"/>
        </w:rPr>
        <w:t> </w:t>
      </w:r>
      <w:r>
        <w:rPr/>
        <w:t>etc,</w:t>
      </w:r>
      <w:r>
        <w:rPr>
          <w:spacing w:val="-14"/>
        </w:rPr>
        <w:t> </w:t>
      </w:r>
      <w:r>
        <w:rPr/>
        <w:t>must</w:t>
      </w:r>
      <w:r>
        <w:rPr>
          <w:spacing w:val="-13"/>
        </w:rPr>
        <w:t> </w:t>
      </w:r>
      <w:r>
        <w:rPr/>
        <w:t>be</w:t>
      </w:r>
      <w:r>
        <w:rPr>
          <w:spacing w:val="-14"/>
        </w:rPr>
        <w:t> </w:t>
      </w:r>
      <w:r>
        <w:rPr/>
        <w:t>strictly</w:t>
      </w:r>
      <w:r>
        <w:rPr>
          <w:spacing w:val="-14"/>
        </w:rPr>
        <w:t> </w:t>
      </w:r>
      <w:r>
        <w:rPr/>
        <w:t>adhered</w:t>
      </w:r>
      <w:r>
        <w:rPr>
          <w:spacing w:val="-14"/>
        </w:rPr>
        <w:t> </w:t>
      </w:r>
      <w:r>
        <w:rPr/>
        <w:t>to</w:t>
      </w:r>
      <w:r>
        <w:rPr>
          <w:spacing w:val="-13"/>
        </w:rPr>
        <w:t> </w:t>
      </w:r>
      <w:r>
        <w:rPr/>
        <w:t>when new</w:t>
      </w:r>
      <w:r>
        <w:rPr>
          <w:spacing w:val="-14"/>
        </w:rPr>
        <w:t> </w:t>
      </w:r>
      <w:r>
        <w:rPr/>
        <w:t>schools</w:t>
      </w:r>
      <w:r>
        <w:rPr>
          <w:spacing w:val="-14"/>
        </w:rPr>
        <w:t> </w:t>
      </w:r>
      <w:r>
        <w:rPr/>
        <w:t>are</w:t>
      </w:r>
      <w:r>
        <w:rPr>
          <w:spacing w:val="-14"/>
        </w:rPr>
        <w:t> </w:t>
      </w:r>
      <w:r>
        <w:rPr/>
        <w:t>created</w:t>
      </w:r>
      <w:r>
        <w:rPr>
          <w:spacing w:val="-13"/>
        </w:rPr>
        <w:t> </w:t>
      </w:r>
      <w:r>
        <w:rPr/>
        <w:t>and</w:t>
      </w:r>
      <w:r>
        <w:rPr>
          <w:spacing w:val="-14"/>
        </w:rPr>
        <w:t> </w:t>
      </w:r>
      <w:r>
        <w:rPr/>
        <w:t>when</w:t>
      </w:r>
      <w:r>
        <w:rPr>
          <w:spacing w:val="-14"/>
        </w:rPr>
        <w:t> </w:t>
      </w:r>
      <w:r>
        <w:rPr/>
        <w:t>primary</w:t>
      </w:r>
      <w:r>
        <w:rPr>
          <w:spacing w:val="-14"/>
        </w:rPr>
        <w:t> </w:t>
      </w:r>
      <w:r>
        <w:rPr/>
        <w:t>schools</w:t>
      </w:r>
      <w:r>
        <w:rPr>
          <w:spacing w:val="-13"/>
        </w:rPr>
        <w:t> </w:t>
      </w:r>
      <w:r>
        <w:rPr/>
        <w:t>are </w:t>
      </w:r>
      <w:r>
        <w:rPr>
          <w:spacing w:val="-2"/>
        </w:rPr>
        <w:t>upgraded.</w:t>
      </w:r>
    </w:p>
    <w:p>
      <w:pPr>
        <w:pStyle w:val="Heading7"/>
        <w:numPr>
          <w:ilvl w:val="1"/>
          <w:numId w:val="14"/>
        </w:numPr>
        <w:tabs>
          <w:tab w:pos="1477" w:val="left" w:leader="none"/>
        </w:tabs>
        <w:spacing w:line="225" w:lineRule="auto" w:before="238" w:after="0"/>
        <w:ind w:left="1477" w:right="245" w:hanging="398"/>
        <w:jc w:val="left"/>
      </w:pPr>
      <w:r>
        <w:rPr>
          <w:color w:val="2E614A"/>
          <w:spacing w:val="-2"/>
        </w:rPr>
        <w:t>Urban</w:t>
      </w:r>
      <w:r>
        <w:rPr>
          <w:color w:val="2E614A"/>
          <w:spacing w:val="-17"/>
        </w:rPr>
        <w:t> </w:t>
      </w:r>
      <w:r>
        <w:rPr>
          <w:color w:val="2E614A"/>
          <w:spacing w:val="-2"/>
        </w:rPr>
        <w:t>planning</w:t>
      </w:r>
      <w:r>
        <w:rPr>
          <w:color w:val="2E614A"/>
          <w:spacing w:val="-14"/>
        </w:rPr>
        <w:t> </w:t>
      </w:r>
      <w:r>
        <w:rPr>
          <w:color w:val="2E614A"/>
          <w:spacing w:val="-2"/>
        </w:rPr>
        <w:t>and</w:t>
      </w:r>
      <w:r>
        <w:rPr>
          <w:color w:val="2E614A"/>
          <w:spacing w:val="-14"/>
        </w:rPr>
        <w:t> </w:t>
      </w:r>
      <w:r>
        <w:rPr>
          <w:color w:val="2E614A"/>
          <w:spacing w:val="-2"/>
        </w:rPr>
        <w:t>local</w:t>
      </w:r>
      <w:r>
        <w:rPr>
          <w:color w:val="2E614A"/>
          <w:spacing w:val="-14"/>
        </w:rPr>
        <w:t> </w:t>
      </w:r>
      <w:r>
        <w:rPr>
          <w:color w:val="2E614A"/>
          <w:spacing w:val="-2"/>
        </w:rPr>
        <w:t>planning </w:t>
      </w:r>
      <w:r>
        <w:rPr>
          <w:color w:val="2E614A"/>
          <w:w w:val="90"/>
        </w:rPr>
        <w:t>must explicitly incorporate the </w:t>
      </w:r>
      <w:r>
        <w:rPr>
          <w:color w:val="2E614A"/>
          <w:w w:val="90"/>
        </w:rPr>
        <w:t>physical </w:t>
      </w:r>
      <w:r>
        <w:rPr>
          <w:color w:val="2E614A"/>
          <w:spacing w:val="-4"/>
        </w:rPr>
        <w:t>requirements</w:t>
      </w:r>
      <w:r>
        <w:rPr>
          <w:color w:val="2E614A"/>
          <w:spacing w:val="-5"/>
        </w:rPr>
        <w:t> </w:t>
      </w:r>
      <w:r>
        <w:rPr>
          <w:color w:val="2E614A"/>
          <w:spacing w:val="-4"/>
        </w:rPr>
        <w:t>for</w:t>
      </w:r>
      <w:r>
        <w:rPr>
          <w:color w:val="2E614A"/>
          <w:spacing w:val="-5"/>
        </w:rPr>
        <w:t> </w:t>
      </w:r>
      <w:r>
        <w:rPr>
          <w:color w:val="2E614A"/>
          <w:spacing w:val="-4"/>
        </w:rPr>
        <w:t>schooling,</w:t>
      </w:r>
      <w:r>
        <w:rPr>
          <w:color w:val="2E614A"/>
          <w:spacing w:val="-5"/>
        </w:rPr>
        <w:t> </w:t>
      </w:r>
      <w:r>
        <w:rPr>
          <w:color w:val="2E614A"/>
          <w:spacing w:val="-4"/>
        </w:rPr>
        <w:t>including provisions</w:t>
      </w:r>
      <w:r>
        <w:rPr>
          <w:color w:val="2E614A"/>
          <w:spacing w:val="-15"/>
        </w:rPr>
        <w:t> </w:t>
      </w:r>
      <w:r>
        <w:rPr>
          <w:color w:val="2E614A"/>
          <w:spacing w:val="-4"/>
        </w:rPr>
        <w:t>for</w:t>
      </w:r>
      <w:r>
        <w:rPr>
          <w:color w:val="2E614A"/>
          <w:spacing w:val="-12"/>
        </w:rPr>
        <w:t> </w:t>
      </w:r>
      <w:r>
        <w:rPr>
          <w:color w:val="2E614A"/>
          <w:spacing w:val="-4"/>
        </w:rPr>
        <w:t>playgrounds</w:t>
      </w:r>
      <w:r>
        <w:rPr>
          <w:color w:val="2E614A"/>
          <w:spacing w:val="-12"/>
        </w:rPr>
        <w:t> </w:t>
      </w:r>
      <w:r>
        <w:rPr>
          <w:color w:val="2E614A"/>
          <w:spacing w:val="-4"/>
        </w:rPr>
        <w:t>and</w:t>
      </w:r>
      <w:r>
        <w:rPr>
          <w:color w:val="2E614A"/>
          <w:spacing w:val="-12"/>
        </w:rPr>
        <w:t> </w:t>
      </w:r>
      <w:r>
        <w:rPr>
          <w:color w:val="2E614A"/>
          <w:spacing w:val="-4"/>
        </w:rPr>
        <w:t>other </w:t>
      </w:r>
      <w:r>
        <w:rPr>
          <w:color w:val="2E614A"/>
        </w:rPr>
        <w:t>school facilities.</w:t>
      </w:r>
    </w:p>
    <w:p>
      <w:pPr>
        <w:pStyle w:val="BodyText"/>
        <w:spacing w:line="266" w:lineRule="auto" w:before="297"/>
        <w:ind w:left="1080"/>
        <w:jc w:val="both"/>
      </w:pPr>
      <w:r>
        <w:rPr/>
        <w:t>It is important to remember that land is an </w:t>
      </w:r>
      <w:r>
        <w:rPr/>
        <w:t>essential </w:t>
      </w:r>
      <w:r>
        <w:rPr>
          <w:spacing w:val="-4"/>
        </w:rPr>
        <w:t>requirement</w:t>
      </w:r>
      <w:r>
        <w:rPr>
          <w:spacing w:val="-9"/>
        </w:rPr>
        <w:t> </w:t>
      </w:r>
      <w:r>
        <w:rPr>
          <w:spacing w:val="-4"/>
        </w:rPr>
        <w:t>of</w:t>
      </w:r>
      <w:r>
        <w:rPr>
          <w:spacing w:val="-9"/>
        </w:rPr>
        <w:t> </w:t>
      </w:r>
      <w:r>
        <w:rPr>
          <w:spacing w:val="-4"/>
        </w:rPr>
        <w:t>schools,</w:t>
      </w:r>
      <w:r>
        <w:rPr>
          <w:spacing w:val="-9"/>
        </w:rPr>
        <w:t> </w:t>
      </w:r>
      <w:r>
        <w:rPr>
          <w:spacing w:val="-4"/>
        </w:rPr>
        <w:t>and</w:t>
      </w:r>
      <w:r>
        <w:rPr>
          <w:spacing w:val="-9"/>
        </w:rPr>
        <w:t> </w:t>
      </w:r>
      <w:r>
        <w:rPr>
          <w:spacing w:val="-4"/>
        </w:rPr>
        <w:t>this</w:t>
      </w:r>
      <w:r>
        <w:rPr>
          <w:spacing w:val="-9"/>
        </w:rPr>
        <w:t> </w:t>
      </w:r>
      <w:r>
        <w:rPr>
          <w:spacing w:val="-4"/>
        </w:rPr>
        <w:t>requirement</w:t>
      </w:r>
      <w:r>
        <w:rPr>
          <w:spacing w:val="-9"/>
        </w:rPr>
        <w:t> </w:t>
      </w:r>
      <w:r>
        <w:rPr>
          <w:spacing w:val="-4"/>
        </w:rPr>
        <w:t>is</w:t>
      </w:r>
      <w:r>
        <w:rPr>
          <w:spacing w:val="-9"/>
        </w:rPr>
        <w:t> </w:t>
      </w:r>
      <w:r>
        <w:rPr>
          <w:spacing w:val="-4"/>
        </w:rPr>
        <w:t>likely</w:t>
      </w:r>
      <w:r>
        <w:rPr>
          <w:spacing w:val="-9"/>
        </w:rPr>
        <w:t> </w:t>
      </w:r>
      <w:r>
        <w:rPr>
          <w:spacing w:val="-4"/>
        </w:rPr>
        <w:t>to increase</w:t>
      </w:r>
      <w:r>
        <w:rPr>
          <w:spacing w:val="-6"/>
        </w:rPr>
        <w:t> </w:t>
      </w:r>
      <w:r>
        <w:rPr>
          <w:spacing w:val="-4"/>
        </w:rPr>
        <w:t>in</w:t>
      </w:r>
      <w:r>
        <w:rPr>
          <w:spacing w:val="-6"/>
        </w:rPr>
        <w:t> </w:t>
      </w:r>
      <w:r>
        <w:rPr>
          <w:spacing w:val="-4"/>
        </w:rPr>
        <w:t>the</w:t>
      </w:r>
      <w:r>
        <w:rPr>
          <w:spacing w:val="-6"/>
        </w:rPr>
        <w:t> </w:t>
      </w:r>
      <w:r>
        <w:rPr>
          <w:spacing w:val="-4"/>
        </w:rPr>
        <w:t>near</w:t>
      </w:r>
      <w:r>
        <w:rPr>
          <w:spacing w:val="-6"/>
        </w:rPr>
        <w:t> </w:t>
      </w:r>
      <w:r>
        <w:rPr>
          <w:spacing w:val="-4"/>
        </w:rPr>
        <w:t>future</w:t>
      </w:r>
      <w:r>
        <w:rPr>
          <w:spacing w:val="-6"/>
        </w:rPr>
        <w:t> </w:t>
      </w:r>
      <w:r>
        <w:rPr>
          <w:spacing w:val="-4"/>
        </w:rPr>
        <w:t>given</w:t>
      </w:r>
      <w:r>
        <w:rPr>
          <w:spacing w:val="-6"/>
        </w:rPr>
        <w:t> </w:t>
      </w:r>
      <w:r>
        <w:rPr>
          <w:spacing w:val="-4"/>
        </w:rPr>
        <w:t>the</w:t>
      </w:r>
      <w:r>
        <w:rPr>
          <w:spacing w:val="-6"/>
        </w:rPr>
        <w:t> </w:t>
      </w:r>
      <w:r>
        <w:rPr>
          <w:spacing w:val="-4"/>
        </w:rPr>
        <w:t>expansion</w:t>
      </w:r>
      <w:r>
        <w:rPr>
          <w:spacing w:val="-6"/>
        </w:rPr>
        <w:t> </w:t>
      </w:r>
      <w:r>
        <w:rPr>
          <w:spacing w:val="-4"/>
        </w:rPr>
        <w:t>required </w:t>
      </w:r>
      <w:r>
        <w:rPr>
          <w:spacing w:val="-8"/>
        </w:rPr>
        <w:t>by</w:t>
      </w:r>
      <w:r>
        <w:rPr>
          <w:spacing w:val="-6"/>
        </w:rPr>
        <w:t> </w:t>
      </w:r>
      <w:r>
        <w:rPr>
          <w:spacing w:val="-8"/>
        </w:rPr>
        <w:t>demographic</w:t>
      </w:r>
      <w:r>
        <w:rPr>
          <w:spacing w:val="-5"/>
        </w:rPr>
        <w:t> </w:t>
      </w:r>
      <w:r>
        <w:rPr>
          <w:spacing w:val="-8"/>
        </w:rPr>
        <w:t>changes</w:t>
      </w:r>
      <w:r>
        <w:rPr>
          <w:spacing w:val="-6"/>
        </w:rPr>
        <w:t> </w:t>
      </w:r>
      <w:r>
        <w:rPr>
          <w:spacing w:val="-8"/>
        </w:rPr>
        <w:t>and</w:t>
      </w:r>
      <w:r>
        <w:rPr>
          <w:spacing w:val="-5"/>
        </w:rPr>
        <w:t> </w:t>
      </w:r>
      <w:r>
        <w:rPr>
          <w:spacing w:val="-8"/>
        </w:rPr>
        <w:t>the</w:t>
      </w:r>
      <w:r>
        <w:rPr>
          <w:spacing w:val="-6"/>
        </w:rPr>
        <w:t> </w:t>
      </w:r>
      <w:r>
        <w:rPr>
          <w:spacing w:val="-8"/>
        </w:rPr>
        <w:t>need</w:t>
      </w:r>
      <w:r>
        <w:rPr>
          <w:spacing w:val="-5"/>
        </w:rPr>
        <w:t> </w:t>
      </w:r>
      <w:r>
        <w:rPr>
          <w:spacing w:val="-8"/>
        </w:rPr>
        <w:t>to</w:t>
      </w:r>
      <w:r>
        <w:rPr>
          <w:spacing w:val="-6"/>
        </w:rPr>
        <w:t> </w:t>
      </w:r>
      <w:r>
        <w:rPr>
          <w:spacing w:val="-8"/>
        </w:rPr>
        <w:t>ensure</w:t>
      </w:r>
      <w:r>
        <w:rPr>
          <w:spacing w:val="-5"/>
        </w:rPr>
        <w:t> </w:t>
      </w:r>
      <w:r>
        <w:rPr>
          <w:spacing w:val="-8"/>
        </w:rPr>
        <w:t>universal </w:t>
      </w:r>
      <w:r>
        <w:rPr/>
        <w:t>schooling. In the context of rapid urbanisation, it has been</w:t>
      </w:r>
      <w:r>
        <w:rPr>
          <w:spacing w:val="-14"/>
        </w:rPr>
        <w:t> </w:t>
      </w:r>
      <w:r>
        <w:rPr/>
        <w:t>found</w:t>
      </w:r>
      <w:r>
        <w:rPr>
          <w:spacing w:val="-14"/>
        </w:rPr>
        <w:t> </w:t>
      </w:r>
      <w:r>
        <w:rPr/>
        <w:t>that</w:t>
      </w:r>
      <w:r>
        <w:rPr>
          <w:spacing w:val="-14"/>
        </w:rPr>
        <w:t> </w:t>
      </w:r>
      <w:r>
        <w:rPr/>
        <w:t>urban</w:t>
      </w:r>
      <w:r>
        <w:rPr>
          <w:spacing w:val="-13"/>
        </w:rPr>
        <w:t> </w:t>
      </w:r>
      <w:r>
        <w:rPr/>
        <w:t>conglomerations</w:t>
      </w:r>
      <w:r>
        <w:rPr>
          <w:spacing w:val="-14"/>
        </w:rPr>
        <w:t> </w:t>
      </w:r>
      <w:r>
        <w:rPr/>
        <w:t>often</w:t>
      </w:r>
      <w:r>
        <w:rPr>
          <w:spacing w:val="-14"/>
        </w:rPr>
        <w:t> </w:t>
      </w:r>
      <w:r>
        <w:rPr/>
        <w:t>come</w:t>
      </w:r>
      <w:r>
        <w:rPr>
          <w:spacing w:val="-14"/>
        </w:rPr>
        <w:t> </w:t>
      </w:r>
      <w:r>
        <w:rPr/>
        <w:t>up without adequate provision for ensuring the physical space required for schools in the vicinity. This is </w:t>
      </w:r>
      <w:r>
        <w:rPr>
          <w:spacing w:val="-2"/>
        </w:rPr>
        <w:t>particularly</w:t>
      </w:r>
      <w:r>
        <w:rPr>
          <w:spacing w:val="-9"/>
        </w:rPr>
        <w:t> </w:t>
      </w:r>
      <w:r>
        <w:rPr>
          <w:spacing w:val="-2"/>
        </w:rPr>
        <w:t>a</w:t>
      </w:r>
      <w:r>
        <w:rPr>
          <w:spacing w:val="-9"/>
        </w:rPr>
        <w:t> </w:t>
      </w:r>
      <w:r>
        <w:rPr>
          <w:spacing w:val="-2"/>
        </w:rPr>
        <w:t>problem</w:t>
      </w:r>
      <w:r>
        <w:rPr>
          <w:spacing w:val="-9"/>
        </w:rPr>
        <w:t> </w:t>
      </w:r>
      <w:r>
        <w:rPr>
          <w:spacing w:val="-2"/>
        </w:rPr>
        <w:t>in</w:t>
      </w:r>
      <w:r>
        <w:rPr>
          <w:spacing w:val="-9"/>
        </w:rPr>
        <w:t> </w:t>
      </w:r>
      <w:r>
        <w:rPr>
          <w:spacing w:val="-2"/>
        </w:rPr>
        <w:t>new</w:t>
      </w:r>
      <w:r>
        <w:rPr>
          <w:spacing w:val="-9"/>
        </w:rPr>
        <w:t> </w:t>
      </w:r>
      <w:r>
        <w:rPr>
          <w:spacing w:val="-2"/>
        </w:rPr>
        <w:t>settlements</w:t>
      </w:r>
      <w:r>
        <w:rPr>
          <w:spacing w:val="-9"/>
        </w:rPr>
        <w:t> </w:t>
      </w:r>
      <w:r>
        <w:rPr>
          <w:spacing w:val="-2"/>
        </w:rPr>
        <w:t>with</w:t>
      </w:r>
      <w:r>
        <w:rPr>
          <w:spacing w:val="-9"/>
        </w:rPr>
        <w:t> </w:t>
      </w:r>
      <w:r>
        <w:rPr>
          <w:spacing w:val="-2"/>
        </w:rPr>
        <w:t>quickly </w:t>
      </w:r>
      <w:r>
        <w:rPr>
          <w:spacing w:val="-4"/>
        </w:rPr>
        <w:t>increasing</w:t>
      </w:r>
      <w:r>
        <w:rPr>
          <w:spacing w:val="-7"/>
        </w:rPr>
        <w:t> </w:t>
      </w:r>
      <w:r>
        <w:rPr>
          <w:spacing w:val="-4"/>
        </w:rPr>
        <w:t>density</w:t>
      </w:r>
      <w:r>
        <w:rPr>
          <w:spacing w:val="-7"/>
        </w:rPr>
        <w:t> </w:t>
      </w:r>
      <w:r>
        <w:rPr>
          <w:spacing w:val="-4"/>
        </w:rPr>
        <w:t>of</w:t>
      </w:r>
      <w:r>
        <w:rPr>
          <w:spacing w:val="-7"/>
        </w:rPr>
        <w:t> </w:t>
      </w:r>
      <w:r>
        <w:rPr>
          <w:spacing w:val="-4"/>
        </w:rPr>
        <w:t>population,</w:t>
      </w:r>
      <w:r>
        <w:rPr>
          <w:spacing w:val="-7"/>
        </w:rPr>
        <w:t> </w:t>
      </w:r>
      <w:r>
        <w:rPr>
          <w:spacing w:val="-4"/>
        </w:rPr>
        <w:t>not</w:t>
      </w:r>
      <w:r>
        <w:rPr>
          <w:spacing w:val="-7"/>
        </w:rPr>
        <w:t> </w:t>
      </w:r>
      <w:r>
        <w:rPr>
          <w:spacing w:val="-4"/>
        </w:rPr>
        <w:t>only</w:t>
      </w:r>
      <w:r>
        <w:rPr>
          <w:spacing w:val="-7"/>
        </w:rPr>
        <w:t> </w:t>
      </w:r>
      <w:r>
        <w:rPr>
          <w:spacing w:val="-4"/>
        </w:rPr>
        <w:t>in</w:t>
      </w:r>
      <w:r>
        <w:rPr>
          <w:spacing w:val="-7"/>
        </w:rPr>
        <w:t> </w:t>
      </w:r>
      <w:r>
        <w:rPr>
          <w:spacing w:val="-4"/>
        </w:rPr>
        <w:t>large</w:t>
      </w:r>
      <w:r>
        <w:rPr>
          <w:spacing w:val="-7"/>
        </w:rPr>
        <w:t> </w:t>
      </w:r>
      <w:r>
        <w:rPr>
          <w:spacing w:val="-4"/>
        </w:rPr>
        <w:t>cities </w:t>
      </w:r>
      <w:r>
        <w:rPr>
          <w:spacing w:val="-6"/>
        </w:rPr>
        <w:t>but</w:t>
      </w:r>
      <w:r>
        <w:rPr>
          <w:spacing w:val="-4"/>
        </w:rPr>
        <w:t> </w:t>
      </w:r>
      <w:r>
        <w:rPr>
          <w:spacing w:val="-6"/>
        </w:rPr>
        <w:t>also</w:t>
      </w:r>
      <w:r>
        <w:rPr>
          <w:spacing w:val="-3"/>
        </w:rPr>
        <w:t> </w:t>
      </w:r>
      <w:r>
        <w:rPr>
          <w:spacing w:val="-6"/>
        </w:rPr>
        <w:t>in</w:t>
      </w:r>
      <w:r>
        <w:rPr>
          <w:spacing w:val="-3"/>
        </w:rPr>
        <w:t> </w:t>
      </w:r>
      <w:r>
        <w:rPr>
          <w:spacing w:val="-6"/>
        </w:rPr>
        <w:t>smaller</w:t>
      </w:r>
      <w:r>
        <w:rPr>
          <w:spacing w:val="-3"/>
        </w:rPr>
        <w:t> </w:t>
      </w:r>
      <w:r>
        <w:rPr>
          <w:spacing w:val="-6"/>
        </w:rPr>
        <w:t>towns</w:t>
      </w:r>
      <w:r>
        <w:rPr>
          <w:spacing w:val="-3"/>
        </w:rPr>
        <w:t> </w:t>
      </w:r>
      <w:r>
        <w:rPr>
          <w:spacing w:val="-6"/>
        </w:rPr>
        <w:t>and</w:t>
      </w:r>
      <w:r>
        <w:rPr>
          <w:spacing w:val="-4"/>
        </w:rPr>
        <w:t> </w:t>
      </w:r>
      <w:r>
        <w:rPr>
          <w:spacing w:val="-6"/>
        </w:rPr>
        <w:t>fast</w:t>
      </w:r>
      <w:r>
        <w:rPr>
          <w:spacing w:val="-3"/>
        </w:rPr>
        <w:t> </w:t>
      </w:r>
      <w:r>
        <w:rPr>
          <w:spacing w:val="-6"/>
        </w:rPr>
        <w:t>growing</w:t>
      </w:r>
      <w:r>
        <w:rPr>
          <w:spacing w:val="-3"/>
        </w:rPr>
        <w:t> </w:t>
      </w:r>
      <w:r>
        <w:rPr>
          <w:spacing w:val="-6"/>
        </w:rPr>
        <w:t>villages.</w:t>
      </w:r>
      <w:r>
        <w:rPr>
          <w:spacing w:val="-13"/>
        </w:rPr>
        <w:t> </w:t>
      </w:r>
      <w:r>
        <w:rPr>
          <w:spacing w:val="-6"/>
        </w:rPr>
        <w:t>This</w:t>
      </w:r>
    </w:p>
    <w:p>
      <w:pPr>
        <w:pStyle w:val="BodyText"/>
        <w:spacing w:line="266" w:lineRule="auto" w:before="57"/>
        <w:ind w:left="319" w:right="1077"/>
        <w:jc w:val="both"/>
      </w:pPr>
      <w:r>
        <w:rPr/>
        <w:br w:type="column"/>
      </w:r>
      <w:r>
        <w:rPr/>
        <w:t>makes</w:t>
      </w:r>
      <w:r>
        <w:rPr>
          <w:spacing w:val="-7"/>
        </w:rPr>
        <w:t> </w:t>
      </w:r>
      <w:r>
        <w:rPr/>
        <w:t>it</w:t>
      </w:r>
      <w:r>
        <w:rPr>
          <w:spacing w:val="-7"/>
        </w:rPr>
        <w:t> </w:t>
      </w:r>
      <w:r>
        <w:rPr/>
        <w:t>difficult</w:t>
      </w:r>
      <w:r>
        <w:rPr>
          <w:spacing w:val="-7"/>
        </w:rPr>
        <w:t> </w:t>
      </w:r>
      <w:r>
        <w:rPr/>
        <w:t>to</w:t>
      </w:r>
      <w:r>
        <w:rPr>
          <w:spacing w:val="-7"/>
        </w:rPr>
        <w:t> </w:t>
      </w:r>
      <w:r>
        <w:rPr/>
        <w:t>establish</w:t>
      </w:r>
      <w:r>
        <w:rPr>
          <w:spacing w:val="-7"/>
        </w:rPr>
        <w:t> </w:t>
      </w:r>
      <w:r>
        <w:rPr/>
        <w:t>schools</w:t>
      </w:r>
      <w:r>
        <w:rPr>
          <w:spacing w:val="-7"/>
        </w:rPr>
        <w:t> </w:t>
      </w:r>
      <w:r>
        <w:rPr/>
        <w:t>where</w:t>
      </w:r>
      <w:r>
        <w:rPr>
          <w:spacing w:val="-7"/>
        </w:rPr>
        <w:t> </w:t>
      </w:r>
      <w:r>
        <w:rPr/>
        <w:t>required, and to ensure that schools are able to provide all the necessary facilities including sports fields etc. It is </w:t>
      </w:r>
      <w:r>
        <w:rPr>
          <w:spacing w:val="-4"/>
        </w:rPr>
        <w:t>essential</w:t>
      </w:r>
      <w:r>
        <w:rPr>
          <w:spacing w:val="-10"/>
        </w:rPr>
        <w:t> </w:t>
      </w:r>
      <w:r>
        <w:rPr>
          <w:spacing w:val="-4"/>
        </w:rPr>
        <w:t>that</w:t>
      </w:r>
      <w:r>
        <w:rPr>
          <w:spacing w:val="-10"/>
        </w:rPr>
        <w:t> </w:t>
      </w:r>
      <w:r>
        <w:rPr>
          <w:spacing w:val="-4"/>
        </w:rPr>
        <w:t>the</w:t>
      </w:r>
      <w:r>
        <w:rPr>
          <w:spacing w:val="-10"/>
        </w:rPr>
        <w:t> </w:t>
      </w:r>
      <w:r>
        <w:rPr>
          <w:spacing w:val="-4"/>
        </w:rPr>
        <w:t>urban</w:t>
      </w:r>
      <w:r>
        <w:rPr>
          <w:spacing w:val="-9"/>
        </w:rPr>
        <w:t> </w:t>
      </w:r>
      <w:r>
        <w:rPr>
          <w:spacing w:val="-4"/>
        </w:rPr>
        <w:t>land</w:t>
      </w:r>
      <w:r>
        <w:rPr>
          <w:spacing w:val="-10"/>
        </w:rPr>
        <w:t> </w:t>
      </w:r>
      <w:r>
        <w:rPr>
          <w:spacing w:val="-4"/>
        </w:rPr>
        <w:t>use</w:t>
      </w:r>
      <w:r>
        <w:rPr>
          <w:spacing w:val="-10"/>
        </w:rPr>
        <w:t> </w:t>
      </w:r>
      <w:r>
        <w:rPr>
          <w:spacing w:val="-4"/>
        </w:rPr>
        <w:t>policies</w:t>
      </w:r>
      <w:r>
        <w:rPr>
          <w:spacing w:val="-10"/>
        </w:rPr>
        <w:t> </w:t>
      </w:r>
      <w:r>
        <w:rPr>
          <w:spacing w:val="-4"/>
        </w:rPr>
        <w:t>and</w:t>
      </w:r>
      <w:r>
        <w:rPr>
          <w:spacing w:val="-9"/>
        </w:rPr>
        <w:t> </w:t>
      </w:r>
      <w:r>
        <w:rPr>
          <w:spacing w:val="-4"/>
        </w:rPr>
        <w:t>regulations </w:t>
      </w:r>
      <w:r>
        <w:rPr/>
        <w:t>in</w:t>
      </w:r>
      <w:r>
        <w:rPr>
          <w:spacing w:val="-1"/>
        </w:rPr>
        <w:t> </w:t>
      </w:r>
      <w:r>
        <w:rPr/>
        <w:t>all</w:t>
      </w:r>
      <w:r>
        <w:rPr>
          <w:spacing w:val="-1"/>
        </w:rPr>
        <w:t> </w:t>
      </w:r>
      <w:r>
        <w:rPr/>
        <w:t>states</w:t>
      </w:r>
      <w:r>
        <w:rPr>
          <w:spacing w:val="-1"/>
        </w:rPr>
        <w:t> </w:t>
      </w:r>
      <w:r>
        <w:rPr/>
        <w:t>and</w:t>
      </w:r>
      <w:r>
        <w:rPr>
          <w:spacing w:val="-1"/>
        </w:rPr>
        <w:t> </w:t>
      </w:r>
      <w:r>
        <w:rPr/>
        <w:t>municipalities</w:t>
      </w:r>
      <w:r>
        <w:rPr>
          <w:spacing w:val="-1"/>
        </w:rPr>
        <w:t> </w:t>
      </w:r>
      <w:r>
        <w:rPr/>
        <w:t>explicitly</w:t>
      </w:r>
      <w:r>
        <w:rPr>
          <w:spacing w:val="-1"/>
        </w:rPr>
        <w:t> </w:t>
      </w:r>
      <w:r>
        <w:rPr/>
        <w:t>factor</w:t>
      </w:r>
      <w:r>
        <w:rPr>
          <w:spacing w:val="-1"/>
        </w:rPr>
        <w:t> </w:t>
      </w:r>
      <w:r>
        <w:rPr/>
        <w:t>in</w:t>
      </w:r>
      <w:r>
        <w:rPr>
          <w:spacing w:val="-1"/>
        </w:rPr>
        <w:t> </w:t>
      </w:r>
      <w:r>
        <w:rPr/>
        <w:t>the physical</w:t>
      </w:r>
      <w:r>
        <w:rPr>
          <w:spacing w:val="-1"/>
        </w:rPr>
        <w:t> </w:t>
      </w:r>
      <w:r>
        <w:rPr/>
        <w:t>requirements</w:t>
      </w:r>
      <w:r>
        <w:rPr>
          <w:spacing w:val="-1"/>
        </w:rPr>
        <w:t> </w:t>
      </w:r>
      <w:r>
        <w:rPr/>
        <w:t>of</w:t>
      </w:r>
      <w:r>
        <w:rPr>
          <w:spacing w:val="-1"/>
        </w:rPr>
        <w:t> </w:t>
      </w:r>
      <w:r>
        <w:rPr/>
        <w:t>schools</w:t>
      </w:r>
      <w:r>
        <w:rPr>
          <w:spacing w:val="-1"/>
        </w:rPr>
        <w:t> </w:t>
      </w:r>
      <w:r>
        <w:rPr/>
        <w:t>in</w:t>
      </w:r>
      <w:r>
        <w:rPr>
          <w:spacing w:val="-1"/>
        </w:rPr>
        <w:t> </w:t>
      </w:r>
      <w:r>
        <w:rPr/>
        <w:t>areas</w:t>
      </w:r>
      <w:r>
        <w:rPr>
          <w:spacing w:val="-1"/>
        </w:rPr>
        <w:t> </w:t>
      </w:r>
      <w:r>
        <w:rPr/>
        <w:t>of</w:t>
      </w:r>
      <w:r>
        <w:rPr>
          <w:spacing w:val="-1"/>
        </w:rPr>
        <w:t> </w:t>
      </w:r>
      <w:r>
        <w:rPr/>
        <w:t>a</w:t>
      </w:r>
      <w:r>
        <w:rPr>
          <w:spacing w:val="-1"/>
        </w:rPr>
        <w:t> </w:t>
      </w:r>
      <w:r>
        <w:rPr/>
        <w:t>certain population density.</w:t>
      </w:r>
    </w:p>
    <w:p>
      <w:pPr>
        <w:pStyle w:val="BodyText"/>
        <w:spacing w:before="21"/>
      </w:pPr>
    </w:p>
    <w:p>
      <w:pPr>
        <w:pStyle w:val="BodyText"/>
        <w:spacing w:line="266" w:lineRule="auto" w:before="1"/>
        <w:ind w:left="319" w:right="1077"/>
        <w:jc w:val="both"/>
      </w:pPr>
      <w:r>
        <w:rPr>
          <w:spacing w:val="-6"/>
        </w:rPr>
        <w:t>Similarly</w:t>
      </w:r>
      <w:r>
        <w:rPr>
          <w:spacing w:val="-10"/>
        </w:rPr>
        <w:t> </w:t>
      </w:r>
      <w:r>
        <w:rPr>
          <w:spacing w:val="-6"/>
        </w:rPr>
        <w:t>in</w:t>
      </w:r>
      <w:r>
        <w:rPr>
          <w:spacing w:val="-8"/>
        </w:rPr>
        <w:t> </w:t>
      </w:r>
      <w:r>
        <w:rPr>
          <w:spacing w:val="-6"/>
        </w:rPr>
        <w:t>rural</w:t>
      </w:r>
      <w:r>
        <w:rPr>
          <w:spacing w:val="-8"/>
        </w:rPr>
        <w:t> </w:t>
      </w:r>
      <w:r>
        <w:rPr>
          <w:spacing w:val="-6"/>
        </w:rPr>
        <w:t>areas,</w:t>
      </w:r>
      <w:r>
        <w:rPr>
          <w:spacing w:val="-7"/>
        </w:rPr>
        <w:t> </w:t>
      </w:r>
      <w:r>
        <w:rPr>
          <w:spacing w:val="-6"/>
        </w:rPr>
        <w:t>there</w:t>
      </w:r>
      <w:r>
        <w:rPr>
          <w:spacing w:val="-8"/>
        </w:rPr>
        <w:t> </w:t>
      </w:r>
      <w:r>
        <w:rPr>
          <w:spacing w:val="-6"/>
        </w:rPr>
        <w:t>must</w:t>
      </w:r>
      <w:r>
        <w:rPr>
          <w:spacing w:val="-8"/>
        </w:rPr>
        <w:t> </w:t>
      </w:r>
      <w:r>
        <w:rPr>
          <w:spacing w:val="-6"/>
        </w:rPr>
        <w:t>be</w:t>
      </w:r>
      <w:r>
        <w:rPr>
          <w:spacing w:val="-8"/>
        </w:rPr>
        <w:t> </w:t>
      </w:r>
      <w:r>
        <w:rPr>
          <w:spacing w:val="-6"/>
        </w:rPr>
        <w:t>adequate</w:t>
      </w:r>
      <w:r>
        <w:rPr>
          <w:spacing w:val="-7"/>
        </w:rPr>
        <w:t> </w:t>
      </w:r>
      <w:r>
        <w:rPr>
          <w:spacing w:val="-6"/>
        </w:rPr>
        <w:t>provision </w:t>
      </w:r>
      <w:r>
        <w:rPr/>
        <w:t>for land for setting up schools in areas that surpass </w:t>
      </w:r>
      <w:r>
        <w:rPr/>
        <w:t>a certain population density. In rural areas with low </w:t>
      </w:r>
      <w:r>
        <w:rPr>
          <w:spacing w:val="-2"/>
        </w:rPr>
        <w:t>population</w:t>
      </w:r>
      <w:r>
        <w:rPr>
          <w:spacing w:val="-12"/>
        </w:rPr>
        <w:t> </w:t>
      </w:r>
      <w:r>
        <w:rPr>
          <w:spacing w:val="-2"/>
        </w:rPr>
        <w:t>density,</w:t>
      </w:r>
      <w:r>
        <w:rPr>
          <w:spacing w:val="-12"/>
        </w:rPr>
        <w:t> </w:t>
      </w:r>
      <w:r>
        <w:rPr>
          <w:spacing w:val="-2"/>
        </w:rPr>
        <w:t>difficult</w:t>
      </w:r>
      <w:r>
        <w:rPr>
          <w:spacing w:val="-12"/>
        </w:rPr>
        <w:t> </w:t>
      </w:r>
      <w:r>
        <w:rPr>
          <w:spacing w:val="-2"/>
        </w:rPr>
        <w:t>terrain</w:t>
      </w:r>
      <w:r>
        <w:rPr>
          <w:spacing w:val="-11"/>
        </w:rPr>
        <w:t> </w:t>
      </w:r>
      <w:r>
        <w:rPr>
          <w:spacing w:val="-2"/>
        </w:rPr>
        <w:t>or</w:t>
      </w:r>
      <w:r>
        <w:rPr>
          <w:spacing w:val="-12"/>
        </w:rPr>
        <w:t> </w:t>
      </w:r>
      <w:r>
        <w:rPr>
          <w:spacing w:val="-2"/>
        </w:rPr>
        <w:t>extreme</w:t>
      </w:r>
      <w:r>
        <w:rPr>
          <w:spacing w:val="-12"/>
        </w:rPr>
        <w:t> </w:t>
      </w:r>
      <w:r>
        <w:rPr>
          <w:spacing w:val="-2"/>
        </w:rPr>
        <w:t>climatic </w:t>
      </w:r>
      <w:r>
        <w:rPr/>
        <w:t>conditions, the government may consider setting up </w:t>
      </w:r>
      <w:r>
        <w:rPr>
          <w:spacing w:val="-8"/>
        </w:rPr>
        <w:t>residential</w:t>
      </w:r>
      <w:r>
        <w:rPr/>
        <w:t> </w:t>
      </w:r>
      <w:r>
        <w:rPr>
          <w:spacing w:val="-8"/>
        </w:rPr>
        <w:t>schools,</w:t>
      </w:r>
      <w:r>
        <w:rPr/>
        <w:t> </w:t>
      </w:r>
      <w:r>
        <w:rPr>
          <w:spacing w:val="-8"/>
        </w:rPr>
        <w:t>which</w:t>
      </w:r>
      <w:r>
        <w:rPr/>
        <w:t> </w:t>
      </w:r>
      <w:r>
        <w:rPr>
          <w:spacing w:val="-8"/>
        </w:rPr>
        <w:t>could</w:t>
      </w:r>
      <w:r>
        <w:rPr/>
        <w:t> </w:t>
      </w:r>
      <w:r>
        <w:rPr>
          <w:spacing w:val="-8"/>
        </w:rPr>
        <w:t>also</w:t>
      </w:r>
      <w:r>
        <w:rPr/>
        <w:t> </w:t>
      </w:r>
      <w:r>
        <w:rPr>
          <w:spacing w:val="-8"/>
        </w:rPr>
        <w:t>address</w:t>
      </w:r>
      <w:r>
        <w:rPr/>
        <w:t> </w:t>
      </w:r>
      <w:r>
        <w:rPr>
          <w:spacing w:val="-8"/>
        </w:rPr>
        <w:t>the</w:t>
      </w:r>
      <w:r>
        <w:rPr/>
        <w:t> </w:t>
      </w:r>
      <w:r>
        <w:rPr>
          <w:spacing w:val="-8"/>
        </w:rPr>
        <w:t>problem </w:t>
      </w:r>
      <w:r>
        <w:rPr/>
        <w:t>of migrant labourers and nomadic populations.</w:t>
      </w:r>
    </w:p>
    <w:p>
      <w:pPr>
        <w:pStyle w:val="Heading7"/>
        <w:numPr>
          <w:ilvl w:val="1"/>
          <w:numId w:val="14"/>
        </w:numPr>
        <w:tabs>
          <w:tab w:pos="724" w:val="left" w:leader="none"/>
          <w:tab w:pos="726" w:val="left" w:leader="none"/>
        </w:tabs>
        <w:spacing w:line="225" w:lineRule="auto" w:before="251" w:after="0"/>
        <w:ind w:left="726" w:right="1378" w:hanging="408"/>
        <w:jc w:val="left"/>
      </w:pPr>
      <w:r>
        <w:rPr>
          <w:color w:val="2E614A"/>
          <w:spacing w:val="-2"/>
        </w:rPr>
        <w:t>The</w:t>
      </w:r>
      <w:r>
        <w:rPr>
          <w:color w:val="2E614A"/>
          <w:spacing w:val="-15"/>
        </w:rPr>
        <w:t> </w:t>
      </w:r>
      <w:r>
        <w:rPr>
          <w:color w:val="2E614A"/>
          <w:spacing w:val="-2"/>
        </w:rPr>
        <w:t>norms</w:t>
      </w:r>
      <w:r>
        <w:rPr>
          <w:color w:val="2E614A"/>
          <w:spacing w:val="-14"/>
        </w:rPr>
        <w:t> </w:t>
      </w:r>
      <w:r>
        <w:rPr>
          <w:color w:val="2E614A"/>
          <w:spacing w:val="-2"/>
        </w:rPr>
        <w:t>for</w:t>
      </w:r>
      <w:r>
        <w:rPr>
          <w:color w:val="2E614A"/>
          <w:spacing w:val="-14"/>
        </w:rPr>
        <w:t> </w:t>
      </w:r>
      <w:r>
        <w:rPr>
          <w:color w:val="2E614A"/>
          <w:spacing w:val="-2"/>
        </w:rPr>
        <w:t>central</w:t>
      </w:r>
      <w:r>
        <w:rPr>
          <w:color w:val="2E614A"/>
          <w:spacing w:val="-14"/>
        </w:rPr>
        <w:t> </w:t>
      </w:r>
      <w:r>
        <w:rPr>
          <w:color w:val="2E614A"/>
          <w:spacing w:val="-2"/>
        </w:rPr>
        <w:t>government </w:t>
      </w:r>
      <w:r>
        <w:rPr>
          <w:color w:val="2E614A"/>
          <w:spacing w:val="-4"/>
        </w:rPr>
        <w:t>disbursal</w:t>
      </w:r>
      <w:r>
        <w:rPr>
          <w:color w:val="2E614A"/>
          <w:spacing w:val="-13"/>
        </w:rPr>
        <w:t> </w:t>
      </w:r>
      <w:r>
        <w:rPr>
          <w:color w:val="2E614A"/>
          <w:spacing w:val="-4"/>
        </w:rPr>
        <w:t>to</w:t>
      </w:r>
      <w:r>
        <w:rPr>
          <w:color w:val="2E614A"/>
          <w:spacing w:val="-12"/>
        </w:rPr>
        <w:t> </w:t>
      </w:r>
      <w:r>
        <w:rPr>
          <w:color w:val="2E614A"/>
          <w:spacing w:val="-4"/>
        </w:rPr>
        <w:t>states</w:t>
      </w:r>
      <w:r>
        <w:rPr>
          <w:color w:val="2E614A"/>
          <w:spacing w:val="-12"/>
        </w:rPr>
        <w:t> </w:t>
      </w:r>
      <w:r>
        <w:rPr>
          <w:color w:val="2E614A"/>
          <w:spacing w:val="-4"/>
        </w:rPr>
        <w:t>of</w:t>
      </w:r>
      <w:r>
        <w:rPr>
          <w:color w:val="2E614A"/>
          <w:spacing w:val="-12"/>
        </w:rPr>
        <w:t> </w:t>
      </w:r>
      <w:r>
        <w:rPr>
          <w:color w:val="2E614A"/>
          <w:spacing w:val="-4"/>
        </w:rPr>
        <w:t>Sarva</w:t>
      </w:r>
      <w:r>
        <w:rPr>
          <w:color w:val="2E614A"/>
          <w:spacing w:val="-13"/>
        </w:rPr>
        <w:t> </w:t>
      </w:r>
      <w:r>
        <w:rPr>
          <w:color w:val="2E614A"/>
          <w:spacing w:val="-4"/>
        </w:rPr>
        <w:t>Shiksha </w:t>
      </w:r>
      <w:r>
        <w:rPr>
          <w:color w:val="2E614A"/>
          <w:w w:val="90"/>
        </w:rPr>
        <w:t>Abhiyan (SSA) funds and other </w:t>
      </w:r>
      <w:r>
        <w:rPr>
          <w:color w:val="2E614A"/>
          <w:w w:val="90"/>
        </w:rPr>
        <w:t>central </w:t>
      </w:r>
      <w:r>
        <w:rPr>
          <w:color w:val="2E614A"/>
          <w:spacing w:val="-2"/>
        </w:rPr>
        <w:t>schemes</w:t>
      </w:r>
      <w:r>
        <w:rPr>
          <w:color w:val="2E614A"/>
          <w:spacing w:val="-13"/>
        </w:rPr>
        <w:t> </w:t>
      </w:r>
      <w:r>
        <w:rPr>
          <w:color w:val="2E614A"/>
          <w:spacing w:val="-2"/>
        </w:rPr>
        <w:t>for</w:t>
      </w:r>
      <w:r>
        <w:rPr>
          <w:color w:val="2E614A"/>
          <w:spacing w:val="-13"/>
        </w:rPr>
        <w:t> </w:t>
      </w:r>
      <w:r>
        <w:rPr>
          <w:color w:val="2E614A"/>
          <w:spacing w:val="-2"/>
        </w:rPr>
        <w:t>school</w:t>
      </w:r>
      <w:r>
        <w:rPr>
          <w:color w:val="2E614A"/>
          <w:spacing w:val="-13"/>
        </w:rPr>
        <w:t> </w:t>
      </w:r>
      <w:r>
        <w:rPr>
          <w:color w:val="2E614A"/>
          <w:spacing w:val="-2"/>
        </w:rPr>
        <w:t>education</w:t>
      </w:r>
      <w:r>
        <w:rPr>
          <w:color w:val="2E614A"/>
          <w:spacing w:val="-13"/>
        </w:rPr>
        <w:t> </w:t>
      </w:r>
      <w:r>
        <w:rPr>
          <w:color w:val="2E614A"/>
          <w:spacing w:val="-2"/>
        </w:rPr>
        <w:t>are</w:t>
      </w:r>
      <w:r>
        <w:rPr>
          <w:color w:val="2E614A"/>
          <w:spacing w:val="-13"/>
        </w:rPr>
        <w:t> </w:t>
      </w:r>
      <w:r>
        <w:rPr>
          <w:color w:val="2E614A"/>
          <w:spacing w:val="-2"/>
        </w:rPr>
        <w:t>too </w:t>
      </w:r>
      <w:r>
        <w:rPr>
          <w:color w:val="2E614A"/>
          <w:spacing w:val="-6"/>
        </w:rPr>
        <w:t>rigid</w:t>
      </w:r>
      <w:r>
        <w:rPr>
          <w:color w:val="2E614A"/>
          <w:spacing w:val="-11"/>
        </w:rPr>
        <w:t> </w:t>
      </w:r>
      <w:r>
        <w:rPr>
          <w:color w:val="2E614A"/>
          <w:spacing w:val="-6"/>
        </w:rPr>
        <w:t>and</w:t>
      </w:r>
      <w:r>
        <w:rPr>
          <w:color w:val="2E614A"/>
          <w:spacing w:val="-10"/>
        </w:rPr>
        <w:t> </w:t>
      </w:r>
      <w:r>
        <w:rPr>
          <w:color w:val="2E614A"/>
          <w:spacing w:val="-6"/>
        </w:rPr>
        <w:t>must</w:t>
      </w:r>
      <w:r>
        <w:rPr>
          <w:color w:val="2E614A"/>
          <w:spacing w:val="-10"/>
        </w:rPr>
        <w:t> </w:t>
      </w:r>
      <w:r>
        <w:rPr>
          <w:color w:val="2E614A"/>
          <w:spacing w:val="-6"/>
        </w:rPr>
        <w:t>be</w:t>
      </w:r>
      <w:r>
        <w:rPr>
          <w:color w:val="2E614A"/>
          <w:spacing w:val="-10"/>
        </w:rPr>
        <w:t> </w:t>
      </w:r>
      <w:r>
        <w:rPr>
          <w:color w:val="2E614A"/>
          <w:spacing w:val="-6"/>
        </w:rPr>
        <w:t>made</w:t>
      </w:r>
      <w:r>
        <w:rPr>
          <w:color w:val="2E614A"/>
          <w:spacing w:val="-11"/>
        </w:rPr>
        <w:t> </w:t>
      </w:r>
      <w:r>
        <w:rPr>
          <w:color w:val="2E614A"/>
          <w:spacing w:val="-6"/>
        </w:rPr>
        <w:t>more</w:t>
      </w:r>
      <w:r>
        <w:rPr>
          <w:color w:val="2E614A"/>
          <w:spacing w:val="-10"/>
        </w:rPr>
        <w:t> </w:t>
      </w:r>
      <w:r>
        <w:rPr>
          <w:color w:val="2E614A"/>
          <w:spacing w:val="-6"/>
        </w:rPr>
        <w:t>flexible.</w:t>
      </w:r>
    </w:p>
    <w:p>
      <w:pPr>
        <w:pStyle w:val="BodyText"/>
        <w:spacing w:line="266" w:lineRule="auto" w:before="298"/>
        <w:ind w:left="319" w:right="1077"/>
        <w:jc w:val="both"/>
      </w:pPr>
      <w:r>
        <w:rPr>
          <w:spacing w:val="-4"/>
        </w:rPr>
        <w:t>The</w:t>
      </w:r>
      <w:r>
        <w:rPr>
          <w:spacing w:val="-8"/>
        </w:rPr>
        <w:t> </w:t>
      </w:r>
      <w:r>
        <w:rPr>
          <w:spacing w:val="-4"/>
        </w:rPr>
        <w:t>current</w:t>
      </w:r>
      <w:r>
        <w:rPr>
          <w:spacing w:val="-8"/>
        </w:rPr>
        <w:t> </w:t>
      </w:r>
      <w:r>
        <w:rPr>
          <w:spacing w:val="-4"/>
        </w:rPr>
        <w:t>system</w:t>
      </w:r>
      <w:r>
        <w:rPr>
          <w:spacing w:val="-8"/>
        </w:rPr>
        <w:t> </w:t>
      </w:r>
      <w:r>
        <w:rPr>
          <w:spacing w:val="-4"/>
        </w:rPr>
        <w:t>of</w:t>
      </w:r>
      <w:r>
        <w:rPr>
          <w:spacing w:val="-8"/>
        </w:rPr>
        <w:t> </w:t>
      </w:r>
      <w:r>
        <w:rPr>
          <w:spacing w:val="-4"/>
        </w:rPr>
        <w:t>funds</w:t>
      </w:r>
      <w:r>
        <w:rPr>
          <w:spacing w:val="-8"/>
        </w:rPr>
        <w:t> </w:t>
      </w:r>
      <w:r>
        <w:rPr>
          <w:spacing w:val="-4"/>
        </w:rPr>
        <w:t>transfer</w:t>
      </w:r>
      <w:r>
        <w:rPr>
          <w:spacing w:val="-8"/>
        </w:rPr>
        <w:t> </w:t>
      </w:r>
      <w:r>
        <w:rPr>
          <w:spacing w:val="-4"/>
        </w:rPr>
        <w:t>and</w:t>
      </w:r>
      <w:r>
        <w:rPr>
          <w:spacing w:val="-8"/>
        </w:rPr>
        <w:t> </w:t>
      </w:r>
      <w:r>
        <w:rPr>
          <w:spacing w:val="-4"/>
        </w:rPr>
        <w:t>the</w:t>
      </w:r>
      <w:r>
        <w:rPr>
          <w:spacing w:val="-8"/>
        </w:rPr>
        <w:t> </w:t>
      </w:r>
      <w:r>
        <w:rPr>
          <w:spacing w:val="-4"/>
        </w:rPr>
        <w:t>accounting </w:t>
      </w:r>
      <w:r>
        <w:rPr/>
        <w:t>rules create unnecessary rigidities that often do </w:t>
      </w:r>
      <w:r>
        <w:rPr/>
        <w:t>not allow the State Governments to use the money in the </w:t>
      </w:r>
      <w:r>
        <w:rPr>
          <w:spacing w:val="-6"/>
        </w:rPr>
        <w:t>most</w:t>
      </w:r>
      <w:r>
        <w:rPr>
          <w:spacing w:val="-8"/>
        </w:rPr>
        <w:t> </w:t>
      </w:r>
      <w:r>
        <w:rPr>
          <w:spacing w:val="-6"/>
        </w:rPr>
        <w:t>efficient</w:t>
      </w:r>
      <w:r>
        <w:rPr>
          <w:spacing w:val="-8"/>
        </w:rPr>
        <w:t> </w:t>
      </w:r>
      <w:r>
        <w:rPr>
          <w:spacing w:val="-6"/>
        </w:rPr>
        <w:t>or</w:t>
      </w:r>
      <w:r>
        <w:rPr>
          <w:spacing w:val="-7"/>
        </w:rPr>
        <w:t> </w:t>
      </w:r>
      <w:r>
        <w:rPr>
          <w:spacing w:val="-6"/>
        </w:rPr>
        <w:t>desirable</w:t>
      </w:r>
      <w:r>
        <w:rPr>
          <w:spacing w:val="-8"/>
        </w:rPr>
        <w:t> </w:t>
      </w:r>
      <w:r>
        <w:rPr>
          <w:spacing w:val="-6"/>
        </w:rPr>
        <w:t>way,</w:t>
      </w:r>
      <w:r>
        <w:rPr>
          <w:spacing w:val="-8"/>
        </w:rPr>
        <w:t> </w:t>
      </w:r>
      <w:r>
        <w:rPr>
          <w:spacing w:val="-6"/>
        </w:rPr>
        <w:t>and</w:t>
      </w:r>
      <w:r>
        <w:rPr>
          <w:spacing w:val="-7"/>
        </w:rPr>
        <w:t> </w:t>
      </w:r>
      <w:r>
        <w:rPr>
          <w:spacing w:val="-6"/>
        </w:rPr>
        <w:t>also</w:t>
      </w:r>
      <w:r>
        <w:rPr>
          <w:spacing w:val="-8"/>
        </w:rPr>
        <w:t> </w:t>
      </w:r>
      <w:r>
        <w:rPr>
          <w:spacing w:val="-6"/>
        </w:rPr>
        <w:t>lead</w:t>
      </w:r>
      <w:r>
        <w:rPr>
          <w:spacing w:val="-8"/>
        </w:rPr>
        <w:t> </w:t>
      </w:r>
      <w:r>
        <w:rPr>
          <w:spacing w:val="-6"/>
        </w:rPr>
        <w:t>to</w:t>
      </w:r>
      <w:r>
        <w:rPr>
          <w:spacing w:val="-7"/>
        </w:rPr>
        <w:t> </w:t>
      </w:r>
      <w:r>
        <w:rPr>
          <w:spacing w:val="-6"/>
        </w:rPr>
        <w:t>less</w:t>
      </w:r>
      <w:r>
        <w:rPr>
          <w:spacing w:val="-8"/>
        </w:rPr>
        <w:t> </w:t>
      </w:r>
      <w:r>
        <w:rPr>
          <w:spacing w:val="-6"/>
        </w:rPr>
        <w:t>than </w:t>
      </w:r>
      <w:r>
        <w:rPr/>
        <w:t>complete utilisation of the budgetary allocation.</w:t>
      </w:r>
    </w:p>
    <w:p>
      <w:pPr>
        <w:pStyle w:val="BodyText"/>
        <w:spacing w:before="22"/>
      </w:pPr>
    </w:p>
    <w:p>
      <w:pPr>
        <w:pStyle w:val="BodyText"/>
        <w:spacing w:before="1"/>
        <w:ind w:left="319"/>
        <w:jc w:val="both"/>
      </w:pPr>
      <w:r>
        <w:rPr>
          <w:spacing w:val="-4"/>
        </w:rPr>
        <w:t>Some</w:t>
      </w:r>
      <w:r>
        <w:rPr>
          <w:spacing w:val="-10"/>
        </w:rPr>
        <w:t> </w:t>
      </w:r>
      <w:r>
        <w:rPr>
          <w:spacing w:val="-4"/>
        </w:rPr>
        <w:t>of</w:t>
      </w:r>
      <w:r>
        <w:rPr>
          <w:spacing w:val="-10"/>
        </w:rPr>
        <w:t> </w:t>
      </w:r>
      <w:r>
        <w:rPr>
          <w:spacing w:val="-4"/>
        </w:rPr>
        <w:t>these</w:t>
      </w:r>
      <w:r>
        <w:rPr>
          <w:spacing w:val="-9"/>
        </w:rPr>
        <w:t> </w:t>
      </w:r>
      <w:r>
        <w:rPr>
          <w:spacing w:val="-4"/>
        </w:rPr>
        <w:t>problems</w:t>
      </w:r>
      <w:r>
        <w:rPr>
          <w:spacing w:val="-10"/>
        </w:rPr>
        <w:t> </w:t>
      </w:r>
      <w:r>
        <w:rPr>
          <w:spacing w:val="-4"/>
        </w:rPr>
        <w:t>include:</w:t>
      </w:r>
    </w:p>
    <w:p>
      <w:pPr>
        <w:pStyle w:val="ListParagraph"/>
        <w:numPr>
          <w:ilvl w:val="2"/>
          <w:numId w:val="14"/>
        </w:numPr>
        <w:tabs>
          <w:tab w:pos="679" w:val="left" w:leader="none"/>
        </w:tabs>
        <w:spacing w:line="266" w:lineRule="auto" w:before="27" w:after="0"/>
        <w:ind w:left="679" w:right="1077" w:hanging="360"/>
        <w:jc w:val="both"/>
        <w:rPr>
          <w:sz w:val="22"/>
        </w:rPr>
      </w:pPr>
      <w:r>
        <w:rPr>
          <w:sz w:val="22"/>
        </w:rPr>
        <w:t>very</w:t>
      </w:r>
      <w:r>
        <w:rPr>
          <w:spacing w:val="-14"/>
          <w:sz w:val="22"/>
        </w:rPr>
        <w:t> </w:t>
      </w:r>
      <w:r>
        <w:rPr>
          <w:sz w:val="22"/>
        </w:rPr>
        <w:t>rigid</w:t>
      </w:r>
      <w:r>
        <w:rPr>
          <w:spacing w:val="-14"/>
          <w:sz w:val="22"/>
        </w:rPr>
        <w:t> </w:t>
      </w:r>
      <w:r>
        <w:rPr>
          <w:sz w:val="22"/>
        </w:rPr>
        <w:t>norms</w:t>
      </w:r>
      <w:r>
        <w:rPr>
          <w:spacing w:val="-14"/>
          <w:sz w:val="22"/>
        </w:rPr>
        <w:t> </w:t>
      </w:r>
      <w:r>
        <w:rPr>
          <w:sz w:val="22"/>
        </w:rPr>
        <w:t>on</w:t>
      </w:r>
      <w:r>
        <w:rPr>
          <w:spacing w:val="-13"/>
          <w:sz w:val="22"/>
        </w:rPr>
        <w:t> </w:t>
      </w:r>
      <w:r>
        <w:rPr>
          <w:sz w:val="22"/>
        </w:rPr>
        <w:t>unit</w:t>
      </w:r>
      <w:r>
        <w:rPr>
          <w:spacing w:val="-14"/>
          <w:sz w:val="22"/>
        </w:rPr>
        <w:t> </w:t>
      </w:r>
      <w:r>
        <w:rPr>
          <w:sz w:val="22"/>
        </w:rPr>
        <w:t>costs</w:t>
      </w:r>
      <w:r>
        <w:rPr>
          <w:spacing w:val="-14"/>
          <w:sz w:val="22"/>
        </w:rPr>
        <w:t> </w:t>
      </w:r>
      <w:r>
        <w:rPr>
          <w:sz w:val="22"/>
        </w:rPr>
        <w:t>and</w:t>
      </w:r>
      <w:r>
        <w:rPr>
          <w:spacing w:val="-14"/>
          <w:sz w:val="22"/>
        </w:rPr>
        <w:t> </w:t>
      </w:r>
      <w:r>
        <w:rPr>
          <w:sz w:val="22"/>
        </w:rPr>
        <w:t>what</w:t>
      </w:r>
      <w:r>
        <w:rPr>
          <w:spacing w:val="-13"/>
          <w:sz w:val="22"/>
        </w:rPr>
        <w:t> </w:t>
      </w:r>
      <w:r>
        <w:rPr>
          <w:sz w:val="22"/>
        </w:rPr>
        <w:t>is</w:t>
      </w:r>
      <w:r>
        <w:rPr>
          <w:spacing w:val="-14"/>
          <w:sz w:val="22"/>
        </w:rPr>
        <w:t> </w:t>
      </w:r>
      <w:r>
        <w:rPr>
          <w:sz w:val="22"/>
        </w:rPr>
        <w:t>allowed in terms of spending, that do not recognise the </w:t>
      </w:r>
      <w:r>
        <w:rPr>
          <w:spacing w:val="-4"/>
          <w:sz w:val="22"/>
        </w:rPr>
        <w:t>diverse</w:t>
      </w:r>
      <w:r>
        <w:rPr>
          <w:spacing w:val="-10"/>
          <w:sz w:val="22"/>
        </w:rPr>
        <w:t> </w:t>
      </w:r>
      <w:r>
        <w:rPr>
          <w:spacing w:val="-4"/>
          <w:sz w:val="22"/>
        </w:rPr>
        <w:t>requirements</w:t>
      </w:r>
      <w:r>
        <w:rPr>
          <w:spacing w:val="-10"/>
          <w:sz w:val="22"/>
        </w:rPr>
        <w:t> </w:t>
      </w:r>
      <w:r>
        <w:rPr>
          <w:spacing w:val="-4"/>
          <w:sz w:val="22"/>
        </w:rPr>
        <w:t>of</w:t>
      </w:r>
      <w:r>
        <w:rPr>
          <w:spacing w:val="-10"/>
          <w:sz w:val="22"/>
        </w:rPr>
        <w:t> </w:t>
      </w:r>
      <w:r>
        <w:rPr>
          <w:spacing w:val="-4"/>
          <w:sz w:val="22"/>
        </w:rPr>
        <w:t>different</w:t>
      </w:r>
      <w:r>
        <w:rPr>
          <w:spacing w:val="-9"/>
          <w:sz w:val="22"/>
        </w:rPr>
        <w:t> </w:t>
      </w:r>
      <w:r>
        <w:rPr>
          <w:spacing w:val="-4"/>
          <w:sz w:val="22"/>
        </w:rPr>
        <w:t>states</w:t>
      </w:r>
      <w:r>
        <w:rPr>
          <w:spacing w:val="-10"/>
          <w:sz w:val="22"/>
        </w:rPr>
        <w:t> </w:t>
      </w:r>
      <w:r>
        <w:rPr>
          <w:spacing w:val="-4"/>
          <w:sz w:val="22"/>
        </w:rPr>
        <w:t>or</w:t>
      </w:r>
      <w:r>
        <w:rPr>
          <w:spacing w:val="-10"/>
          <w:sz w:val="22"/>
        </w:rPr>
        <w:t> </w:t>
      </w:r>
      <w:r>
        <w:rPr>
          <w:spacing w:val="-4"/>
          <w:sz w:val="22"/>
        </w:rPr>
        <w:t>particular </w:t>
      </w:r>
      <w:r>
        <w:rPr>
          <w:spacing w:val="-2"/>
          <w:sz w:val="22"/>
        </w:rPr>
        <w:t>regions;</w:t>
      </w:r>
    </w:p>
    <w:p>
      <w:pPr>
        <w:pStyle w:val="ListParagraph"/>
        <w:numPr>
          <w:ilvl w:val="2"/>
          <w:numId w:val="14"/>
        </w:numPr>
        <w:tabs>
          <w:tab w:pos="679" w:val="left" w:leader="none"/>
        </w:tabs>
        <w:spacing w:line="266" w:lineRule="auto" w:before="0" w:after="0"/>
        <w:ind w:left="679" w:right="1077" w:hanging="360"/>
        <w:jc w:val="both"/>
        <w:rPr>
          <w:sz w:val="22"/>
        </w:rPr>
      </w:pPr>
      <w:r>
        <w:rPr>
          <w:sz w:val="22"/>
        </w:rPr>
        <w:t>inadequate</w:t>
      </w:r>
      <w:r>
        <w:rPr>
          <w:spacing w:val="-1"/>
          <w:sz w:val="22"/>
        </w:rPr>
        <w:t> </w:t>
      </w:r>
      <w:r>
        <w:rPr>
          <w:sz w:val="22"/>
        </w:rPr>
        <w:t>financial</w:t>
      </w:r>
      <w:r>
        <w:rPr>
          <w:spacing w:val="-1"/>
          <w:sz w:val="22"/>
        </w:rPr>
        <w:t> </w:t>
      </w:r>
      <w:r>
        <w:rPr>
          <w:sz w:val="22"/>
        </w:rPr>
        <w:t>provisions</w:t>
      </w:r>
      <w:r>
        <w:rPr>
          <w:spacing w:val="-1"/>
          <w:sz w:val="22"/>
        </w:rPr>
        <w:t> </w:t>
      </w:r>
      <w:r>
        <w:rPr>
          <w:sz w:val="22"/>
        </w:rPr>
        <w:t>for</w:t>
      </w:r>
      <w:r>
        <w:rPr>
          <w:spacing w:val="-1"/>
          <w:sz w:val="22"/>
        </w:rPr>
        <w:t> </w:t>
      </w:r>
      <w:r>
        <w:rPr>
          <w:sz w:val="22"/>
        </w:rPr>
        <w:t>infrastructure </w:t>
      </w:r>
      <w:r>
        <w:rPr>
          <w:spacing w:val="-4"/>
          <w:sz w:val="22"/>
        </w:rPr>
        <w:t>such</w:t>
      </w:r>
      <w:r>
        <w:rPr>
          <w:spacing w:val="-12"/>
          <w:sz w:val="22"/>
        </w:rPr>
        <w:t> </w:t>
      </w:r>
      <w:r>
        <w:rPr>
          <w:spacing w:val="-4"/>
          <w:sz w:val="22"/>
        </w:rPr>
        <w:t>as</w:t>
      </w:r>
      <w:r>
        <w:rPr>
          <w:spacing w:val="-10"/>
          <w:sz w:val="22"/>
        </w:rPr>
        <w:t> </w:t>
      </w:r>
      <w:r>
        <w:rPr>
          <w:spacing w:val="-4"/>
          <w:sz w:val="22"/>
        </w:rPr>
        <w:t>buildings</w:t>
      </w:r>
      <w:r>
        <w:rPr>
          <w:spacing w:val="-10"/>
          <w:sz w:val="22"/>
        </w:rPr>
        <w:t> </w:t>
      </w:r>
      <w:r>
        <w:rPr>
          <w:spacing w:val="-4"/>
          <w:sz w:val="22"/>
        </w:rPr>
        <w:t>etc,</w:t>
      </w:r>
      <w:r>
        <w:rPr>
          <w:spacing w:val="-9"/>
          <w:sz w:val="22"/>
        </w:rPr>
        <w:t> </w:t>
      </w:r>
      <w:r>
        <w:rPr>
          <w:spacing w:val="-4"/>
          <w:sz w:val="22"/>
        </w:rPr>
        <w:t>especially</w:t>
      </w:r>
      <w:r>
        <w:rPr>
          <w:spacing w:val="-10"/>
          <w:sz w:val="22"/>
        </w:rPr>
        <w:t> </w:t>
      </w:r>
      <w:r>
        <w:rPr>
          <w:spacing w:val="-4"/>
          <w:sz w:val="22"/>
        </w:rPr>
        <w:t>for</w:t>
      </w:r>
      <w:r>
        <w:rPr>
          <w:spacing w:val="-10"/>
          <w:sz w:val="22"/>
        </w:rPr>
        <w:t> </w:t>
      </w:r>
      <w:r>
        <w:rPr>
          <w:spacing w:val="-4"/>
          <w:sz w:val="22"/>
        </w:rPr>
        <w:t>some</w:t>
      </w:r>
      <w:r>
        <w:rPr>
          <w:spacing w:val="-10"/>
          <w:sz w:val="22"/>
        </w:rPr>
        <w:t> </w:t>
      </w:r>
      <w:r>
        <w:rPr>
          <w:spacing w:val="-4"/>
          <w:sz w:val="22"/>
        </w:rPr>
        <w:t>states</w:t>
      </w:r>
      <w:r>
        <w:rPr>
          <w:spacing w:val="-9"/>
          <w:sz w:val="22"/>
        </w:rPr>
        <w:t> </w:t>
      </w:r>
      <w:r>
        <w:rPr>
          <w:spacing w:val="-4"/>
          <w:sz w:val="22"/>
        </w:rPr>
        <w:t>and </w:t>
      </w:r>
      <w:r>
        <w:rPr>
          <w:sz w:val="22"/>
        </w:rPr>
        <w:t>cities, which leads to the creation of poor quality </w:t>
      </w:r>
      <w:r>
        <w:rPr>
          <w:spacing w:val="-2"/>
          <w:sz w:val="22"/>
        </w:rPr>
        <w:t>infrastructure;</w:t>
      </w:r>
    </w:p>
    <w:p>
      <w:pPr>
        <w:pStyle w:val="ListParagraph"/>
        <w:numPr>
          <w:ilvl w:val="2"/>
          <w:numId w:val="14"/>
        </w:numPr>
        <w:tabs>
          <w:tab w:pos="679" w:val="left" w:leader="none"/>
        </w:tabs>
        <w:spacing w:line="266" w:lineRule="auto" w:before="0" w:after="0"/>
        <w:ind w:left="679" w:right="1077" w:hanging="360"/>
        <w:jc w:val="both"/>
        <w:rPr>
          <w:sz w:val="22"/>
        </w:rPr>
      </w:pPr>
      <w:r>
        <w:rPr>
          <w:spacing w:val="-4"/>
          <w:sz w:val="22"/>
        </w:rPr>
        <w:t>an</w:t>
      </w:r>
      <w:r>
        <w:rPr>
          <w:spacing w:val="-6"/>
          <w:sz w:val="22"/>
        </w:rPr>
        <w:t> </w:t>
      </w:r>
      <w:r>
        <w:rPr>
          <w:spacing w:val="-4"/>
          <w:sz w:val="22"/>
        </w:rPr>
        <w:t>inflexible</w:t>
      </w:r>
      <w:r>
        <w:rPr>
          <w:spacing w:val="-6"/>
          <w:sz w:val="22"/>
        </w:rPr>
        <w:t> </w:t>
      </w:r>
      <w:r>
        <w:rPr>
          <w:spacing w:val="-4"/>
          <w:sz w:val="22"/>
        </w:rPr>
        <w:t>accounting</w:t>
      </w:r>
      <w:r>
        <w:rPr>
          <w:spacing w:val="-6"/>
          <w:sz w:val="22"/>
        </w:rPr>
        <w:t> </w:t>
      </w:r>
      <w:r>
        <w:rPr>
          <w:spacing w:val="-4"/>
          <w:sz w:val="22"/>
        </w:rPr>
        <w:t>system</w:t>
      </w:r>
      <w:r>
        <w:rPr>
          <w:spacing w:val="-6"/>
          <w:sz w:val="22"/>
        </w:rPr>
        <w:t> </w:t>
      </w:r>
      <w:r>
        <w:rPr>
          <w:spacing w:val="-4"/>
          <w:sz w:val="22"/>
        </w:rPr>
        <w:t>that</w:t>
      </w:r>
      <w:r>
        <w:rPr>
          <w:spacing w:val="-6"/>
          <w:sz w:val="22"/>
        </w:rPr>
        <w:t> </w:t>
      </w:r>
      <w:r>
        <w:rPr>
          <w:spacing w:val="-4"/>
          <w:sz w:val="22"/>
        </w:rPr>
        <w:t>does</w:t>
      </w:r>
      <w:r>
        <w:rPr>
          <w:spacing w:val="-6"/>
          <w:sz w:val="22"/>
        </w:rPr>
        <w:t> </w:t>
      </w:r>
      <w:r>
        <w:rPr>
          <w:spacing w:val="-4"/>
          <w:sz w:val="22"/>
        </w:rPr>
        <w:t>not</w:t>
      </w:r>
      <w:r>
        <w:rPr>
          <w:spacing w:val="-6"/>
          <w:sz w:val="22"/>
        </w:rPr>
        <w:t> </w:t>
      </w:r>
      <w:r>
        <w:rPr>
          <w:spacing w:val="-4"/>
          <w:sz w:val="22"/>
        </w:rPr>
        <w:t>allow </w:t>
      </w:r>
      <w:r>
        <w:rPr>
          <w:sz w:val="22"/>
        </w:rPr>
        <w:t>transferring</w:t>
      </w:r>
      <w:r>
        <w:rPr>
          <w:spacing w:val="-7"/>
          <w:sz w:val="22"/>
        </w:rPr>
        <w:t> </w:t>
      </w:r>
      <w:r>
        <w:rPr>
          <w:sz w:val="22"/>
        </w:rPr>
        <w:t>funds</w:t>
      </w:r>
      <w:r>
        <w:rPr>
          <w:spacing w:val="-7"/>
          <w:sz w:val="22"/>
        </w:rPr>
        <w:t> </w:t>
      </w:r>
      <w:r>
        <w:rPr>
          <w:sz w:val="22"/>
        </w:rPr>
        <w:t>across</w:t>
      </w:r>
      <w:r>
        <w:rPr>
          <w:spacing w:val="-7"/>
          <w:sz w:val="22"/>
        </w:rPr>
        <w:t> </w:t>
      </w:r>
      <w:r>
        <w:rPr>
          <w:sz w:val="22"/>
        </w:rPr>
        <w:t>heads</w:t>
      </w:r>
      <w:r>
        <w:rPr>
          <w:spacing w:val="-7"/>
          <w:sz w:val="22"/>
        </w:rPr>
        <w:t> </w:t>
      </w:r>
      <w:r>
        <w:rPr>
          <w:sz w:val="22"/>
        </w:rPr>
        <w:t>to</w:t>
      </w:r>
      <w:r>
        <w:rPr>
          <w:spacing w:val="-7"/>
          <w:sz w:val="22"/>
        </w:rPr>
        <w:t> </w:t>
      </w:r>
      <w:r>
        <w:rPr>
          <w:sz w:val="22"/>
        </w:rPr>
        <w:t>meet</w:t>
      </w:r>
      <w:r>
        <w:rPr>
          <w:spacing w:val="-7"/>
          <w:sz w:val="22"/>
        </w:rPr>
        <w:t> </w:t>
      </w:r>
      <w:r>
        <w:rPr>
          <w:sz w:val="22"/>
        </w:rPr>
        <w:t>particular or changing requirements, and therefore inhibits full utilisation and also prevents synergies from </w:t>
      </w:r>
      <w:r>
        <w:rPr>
          <w:spacing w:val="-2"/>
          <w:sz w:val="22"/>
        </w:rPr>
        <w:t>developing;</w:t>
      </w:r>
    </w:p>
    <w:p>
      <w:pPr>
        <w:pStyle w:val="ListParagraph"/>
        <w:numPr>
          <w:ilvl w:val="2"/>
          <w:numId w:val="14"/>
        </w:numPr>
        <w:tabs>
          <w:tab w:pos="679" w:val="left" w:leader="none"/>
        </w:tabs>
        <w:spacing w:line="266" w:lineRule="auto" w:before="0" w:after="0"/>
        <w:ind w:left="679" w:right="1078" w:hanging="360"/>
        <w:jc w:val="both"/>
        <w:rPr>
          <w:sz w:val="22"/>
        </w:rPr>
      </w:pPr>
      <w:r>
        <w:rPr>
          <w:sz w:val="22"/>
        </w:rPr>
        <w:t>insufficient</w:t>
      </w:r>
      <w:r>
        <w:rPr>
          <w:spacing w:val="-9"/>
          <w:sz w:val="22"/>
        </w:rPr>
        <w:t> </w:t>
      </w:r>
      <w:r>
        <w:rPr>
          <w:sz w:val="22"/>
        </w:rPr>
        <w:t>allocation</w:t>
      </w:r>
      <w:r>
        <w:rPr>
          <w:spacing w:val="-9"/>
          <w:sz w:val="22"/>
        </w:rPr>
        <w:t> </w:t>
      </w:r>
      <w:r>
        <w:rPr>
          <w:sz w:val="22"/>
        </w:rPr>
        <w:t>for</w:t>
      </w:r>
      <w:r>
        <w:rPr>
          <w:spacing w:val="-9"/>
          <w:sz w:val="22"/>
        </w:rPr>
        <w:t> </w:t>
      </w:r>
      <w:r>
        <w:rPr>
          <w:sz w:val="22"/>
        </w:rPr>
        <w:t>repair</w:t>
      </w:r>
      <w:r>
        <w:rPr>
          <w:spacing w:val="-9"/>
          <w:sz w:val="22"/>
        </w:rPr>
        <w:t> </w:t>
      </w:r>
      <w:r>
        <w:rPr>
          <w:sz w:val="22"/>
        </w:rPr>
        <w:t>and</w:t>
      </w:r>
      <w:r>
        <w:rPr>
          <w:spacing w:val="-9"/>
          <w:sz w:val="22"/>
        </w:rPr>
        <w:t> </w:t>
      </w:r>
      <w:r>
        <w:rPr>
          <w:sz w:val="22"/>
        </w:rPr>
        <w:t>maintenance of infrastructure;</w:t>
      </w:r>
    </w:p>
    <w:p>
      <w:pPr>
        <w:pStyle w:val="ListParagraph"/>
        <w:numPr>
          <w:ilvl w:val="2"/>
          <w:numId w:val="14"/>
        </w:numPr>
        <w:tabs>
          <w:tab w:pos="679" w:val="left" w:leader="none"/>
        </w:tabs>
        <w:spacing w:line="266" w:lineRule="auto" w:before="0" w:after="0"/>
        <w:ind w:left="679" w:right="1077" w:hanging="360"/>
        <w:jc w:val="both"/>
        <w:rPr>
          <w:sz w:val="22"/>
        </w:rPr>
      </w:pPr>
      <w:r>
        <w:rPr>
          <w:spacing w:val="-4"/>
          <w:sz w:val="22"/>
        </w:rPr>
        <w:t>treating</w:t>
      </w:r>
      <w:r>
        <w:rPr>
          <w:spacing w:val="-12"/>
          <w:sz w:val="22"/>
        </w:rPr>
        <w:t> </w:t>
      </w:r>
      <w:r>
        <w:rPr>
          <w:spacing w:val="-4"/>
          <w:sz w:val="22"/>
        </w:rPr>
        <w:t>rural</w:t>
      </w:r>
      <w:r>
        <w:rPr>
          <w:spacing w:val="-10"/>
          <w:sz w:val="22"/>
        </w:rPr>
        <w:t> </w:t>
      </w:r>
      <w:r>
        <w:rPr>
          <w:spacing w:val="-4"/>
          <w:sz w:val="22"/>
        </w:rPr>
        <w:t>and</w:t>
      </w:r>
      <w:r>
        <w:rPr>
          <w:spacing w:val="-10"/>
          <w:sz w:val="22"/>
        </w:rPr>
        <w:t> </w:t>
      </w:r>
      <w:r>
        <w:rPr>
          <w:spacing w:val="-4"/>
          <w:sz w:val="22"/>
        </w:rPr>
        <w:t>urban</w:t>
      </w:r>
      <w:r>
        <w:rPr>
          <w:spacing w:val="-9"/>
          <w:sz w:val="22"/>
        </w:rPr>
        <w:t> </w:t>
      </w:r>
      <w:r>
        <w:rPr>
          <w:spacing w:val="-4"/>
          <w:sz w:val="22"/>
        </w:rPr>
        <w:t>schools</w:t>
      </w:r>
      <w:r>
        <w:rPr>
          <w:spacing w:val="-10"/>
          <w:sz w:val="22"/>
        </w:rPr>
        <w:t> </w:t>
      </w:r>
      <w:r>
        <w:rPr>
          <w:spacing w:val="-4"/>
          <w:sz w:val="22"/>
        </w:rPr>
        <w:t>in</w:t>
      </w:r>
      <w:r>
        <w:rPr>
          <w:spacing w:val="-10"/>
          <w:sz w:val="22"/>
        </w:rPr>
        <w:t> </w:t>
      </w:r>
      <w:r>
        <w:rPr>
          <w:spacing w:val="-4"/>
          <w:sz w:val="22"/>
        </w:rPr>
        <w:t>the</w:t>
      </w:r>
      <w:r>
        <w:rPr>
          <w:spacing w:val="-10"/>
          <w:sz w:val="22"/>
        </w:rPr>
        <w:t> </w:t>
      </w:r>
      <w:r>
        <w:rPr>
          <w:spacing w:val="-4"/>
          <w:sz w:val="22"/>
        </w:rPr>
        <w:t>same</w:t>
      </w:r>
      <w:r>
        <w:rPr>
          <w:spacing w:val="-9"/>
          <w:sz w:val="22"/>
        </w:rPr>
        <w:t> </w:t>
      </w:r>
      <w:r>
        <w:rPr>
          <w:spacing w:val="-4"/>
          <w:sz w:val="22"/>
        </w:rPr>
        <w:t>manner </w:t>
      </w:r>
      <w:r>
        <w:rPr>
          <w:sz w:val="22"/>
        </w:rPr>
        <w:t>even though the requirements are often very different</w:t>
      </w:r>
      <w:r>
        <w:rPr>
          <w:spacing w:val="-14"/>
          <w:sz w:val="22"/>
        </w:rPr>
        <w:t> </w:t>
      </w:r>
      <w:r>
        <w:rPr>
          <w:sz w:val="22"/>
        </w:rPr>
        <w:t>(for</w:t>
      </w:r>
      <w:r>
        <w:rPr>
          <w:spacing w:val="-14"/>
          <w:sz w:val="22"/>
        </w:rPr>
        <w:t> </w:t>
      </w:r>
      <w:r>
        <w:rPr>
          <w:sz w:val="22"/>
        </w:rPr>
        <w:t>example,</w:t>
      </w:r>
      <w:r>
        <w:rPr>
          <w:spacing w:val="-14"/>
          <w:sz w:val="22"/>
        </w:rPr>
        <w:t> </w:t>
      </w:r>
      <w:r>
        <w:rPr>
          <w:sz w:val="22"/>
        </w:rPr>
        <w:t>urban</w:t>
      </w:r>
      <w:r>
        <w:rPr>
          <w:spacing w:val="-13"/>
          <w:sz w:val="22"/>
        </w:rPr>
        <w:t> </w:t>
      </w:r>
      <w:r>
        <w:rPr>
          <w:sz w:val="22"/>
        </w:rPr>
        <w:t>government</w:t>
      </w:r>
      <w:r>
        <w:rPr>
          <w:spacing w:val="-14"/>
          <w:sz w:val="22"/>
        </w:rPr>
        <w:t> </w:t>
      </w:r>
      <w:r>
        <w:rPr>
          <w:sz w:val="22"/>
        </w:rPr>
        <w:t>schools </w:t>
      </w:r>
      <w:r>
        <w:rPr>
          <w:spacing w:val="-4"/>
          <w:sz w:val="22"/>
        </w:rPr>
        <w:t>may</w:t>
      </w:r>
      <w:r>
        <w:rPr>
          <w:spacing w:val="-5"/>
          <w:sz w:val="22"/>
        </w:rPr>
        <w:t> </w:t>
      </w:r>
      <w:r>
        <w:rPr>
          <w:spacing w:val="-4"/>
          <w:sz w:val="22"/>
        </w:rPr>
        <w:t>require</w:t>
      </w:r>
      <w:r>
        <w:rPr>
          <w:spacing w:val="-5"/>
          <w:sz w:val="22"/>
        </w:rPr>
        <w:t> </w:t>
      </w:r>
      <w:r>
        <w:rPr>
          <w:spacing w:val="-4"/>
          <w:sz w:val="22"/>
        </w:rPr>
        <w:t>different</w:t>
      </w:r>
      <w:r>
        <w:rPr>
          <w:spacing w:val="-5"/>
          <w:sz w:val="22"/>
        </w:rPr>
        <w:t> </w:t>
      </w:r>
      <w:r>
        <w:rPr>
          <w:spacing w:val="-4"/>
          <w:sz w:val="22"/>
        </w:rPr>
        <w:t>infrastructure</w:t>
      </w:r>
      <w:r>
        <w:rPr>
          <w:spacing w:val="-5"/>
          <w:sz w:val="22"/>
        </w:rPr>
        <w:t> </w:t>
      </w:r>
      <w:r>
        <w:rPr>
          <w:spacing w:val="-4"/>
          <w:sz w:val="22"/>
        </w:rPr>
        <w:t>and</w:t>
      </w:r>
      <w:r>
        <w:rPr>
          <w:spacing w:val="-5"/>
          <w:sz w:val="22"/>
        </w:rPr>
        <w:t> </w:t>
      </w:r>
      <w:r>
        <w:rPr>
          <w:spacing w:val="-4"/>
          <w:sz w:val="22"/>
        </w:rPr>
        <w:t>facilities</w:t>
      </w:r>
      <w:r>
        <w:rPr>
          <w:spacing w:val="-5"/>
          <w:sz w:val="22"/>
        </w:rPr>
        <w:t> </w:t>
      </w:r>
      <w:r>
        <w:rPr>
          <w:spacing w:val="-4"/>
          <w:sz w:val="22"/>
        </w:rPr>
        <w:t>in </w:t>
      </w:r>
      <w:r>
        <w:rPr>
          <w:sz w:val="22"/>
        </w:rPr>
        <w:t>order to attract students); and</w:t>
      </w:r>
    </w:p>
    <w:p>
      <w:pPr>
        <w:pStyle w:val="ListParagraph"/>
        <w:numPr>
          <w:ilvl w:val="2"/>
          <w:numId w:val="14"/>
        </w:numPr>
        <w:tabs>
          <w:tab w:pos="679" w:val="left" w:leader="none"/>
        </w:tabs>
        <w:spacing w:line="266" w:lineRule="auto" w:before="0" w:after="0"/>
        <w:ind w:left="679" w:right="1078" w:hanging="360"/>
        <w:jc w:val="both"/>
        <w:rPr>
          <w:sz w:val="22"/>
        </w:rPr>
      </w:pPr>
      <w:r>
        <w:rPr>
          <w:w w:val="90"/>
          <w:sz w:val="22"/>
        </w:rPr>
        <w:t>treating</w:t>
      </w:r>
      <w:r>
        <w:rPr>
          <w:spacing w:val="-6"/>
          <w:w w:val="90"/>
          <w:sz w:val="22"/>
        </w:rPr>
        <w:t> </w:t>
      </w:r>
      <w:r>
        <w:rPr>
          <w:w w:val="90"/>
          <w:sz w:val="22"/>
        </w:rPr>
        <w:t>all</w:t>
      </w:r>
      <w:r>
        <w:rPr>
          <w:spacing w:val="-6"/>
          <w:w w:val="90"/>
          <w:sz w:val="22"/>
        </w:rPr>
        <w:t> </w:t>
      </w:r>
      <w:r>
        <w:rPr>
          <w:w w:val="90"/>
          <w:sz w:val="22"/>
        </w:rPr>
        <w:t>districts</w:t>
      </w:r>
      <w:r>
        <w:rPr>
          <w:spacing w:val="-6"/>
          <w:w w:val="90"/>
          <w:sz w:val="22"/>
        </w:rPr>
        <w:t> </w:t>
      </w:r>
      <w:r>
        <w:rPr>
          <w:w w:val="90"/>
          <w:sz w:val="22"/>
        </w:rPr>
        <w:t>and</w:t>
      </w:r>
      <w:r>
        <w:rPr>
          <w:spacing w:val="-6"/>
          <w:w w:val="90"/>
          <w:sz w:val="22"/>
        </w:rPr>
        <w:t> </w:t>
      </w:r>
      <w:r>
        <w:rPr>
          <w:w w:val="90"/>
          <w:sz w:val="22"/>
        </w:rPr>
        <w:t>geographical</w:t>
      </w:r>
      <w:r>
        <w:rPr>
          <w:spacing w:val="-6"/>
          <w:w w:val="90"/>
          <w:sz w:val="22"/>
        </w:rPr>
        <w:t> </w:t>
      </w:r>
      <w:r>
        <w:rPr>
          <w:w w:val="90"/>
          <w:sz w:val="22"/>
        </w:rPr>
        <w:t>areas</w:t>
      </w:r>
      <w:r>
        <w:rPr>
          <w:spacing w:val="-6"/>
          <w:w w:val="90"/>
          <w:sz w:val="22"/>
        </w:rPr>
        <w:t> </w:t>
      </w:r>
      <w:r>
        <w:rPr>
          <w:w w:val="90"/>
          <w:sz w:val="22"/>
        </w:rPr>
        <w:t>in</w:t>
      </w:r>
      <w:r>
        <w:rPr>
          <w:spacing w:val="-6"/>
          <w:w w:val="90"/>
          <w:sz w:val="22"/>
        </w:rPr>
        <w:t> </w:t>
      </w:r>
      <w:r>
        <w:rPr>
          <w:w w:val="90"/>
          <w:sz w:val="22"/>
        </w:rPr>
        <w:t>the</w:t>
      </w:r>
      <w:r>
        <w:rPr>
          <w:spacing w:val="-6"/>
          <w:w w:val="90"/>
          <w:sz w:val="22"/>
        </w:rPr>
        <w:t> </w:t>
      </w:r>
      <w:r>
        <w:rPr>
          <w:w w:val="90"/>
          <w:sz w:val="22"/>
        </w:rPr>
        <w:t>same </w:t>
      </w:r>
      <w:r>
        <w:rPr>
          <w:sz w:val="22"/>
        </w:rPr>
        <w:t>manner</w:t>
      </w:r>
      <w:r>
        <w:rPr>
          <w:spacing w:val="-14"/>
          <w:sz w:val="22"/>
        </w:rPr>
        <w:t> </w:t>
      </w:r>
      <w:r>
        <w:rPr>
          <w:sz w:val="22"/>
        </w:rPr>
        <w:t>regardless</w:t>
      </w:r>
      <w:r>
        <w:rPr>
          <w:spacing w:val="-14"/>
          <w:sz w:val="22"/>
        </w:rPr>
        <w:t> </w:t>
      </w:r>
      <w:r>
        <w:rPr>
          <w:sz w:val="22"/>
        </w:rPr>
        <w:t>of</w:t>
      </w:r>
      <w:r>
        <w:rPr>
          <w:spacing w:val="-14"/>
          <w:sz w:val="22"/>
        </w:rPr>
        <w:t> </w:t>
      </w:r>
      <w:r>
        <w:rPr>
          <w:sz w:val="22"/>
        </w:rPr>
        <w:t>the</w:t>
      </w:r>
      <w:r>
        <w:rPr>
          <w:spacing w:val="-13"/>
          <w:sz w:val="22"/>
        </w:rPr>
        <w:t> </w:t>
      </w:r>
      <w:r>
        <w:rPr>
          <w:sz w:val="22"/>
        </w:rPr>
        <w:t>degree</w:t>
      </w:r>
      <w:r>
        <w:rPr>
          <w:spacing w:val="-14"/>
          <w:sz w:val="22"/>
        </w:rPr>
        <w:t> </w:t>
      </w:r>
      <w:r>
        <w:rPr>
          <w:sz w:val="22"/>
        </w:rPr>
        <w:t>of</w:t>
      </w:r>
      <w:r>
        <w:rPr>
          <w:spacing w:val="-14"/>
          <w:sz w:val="22"/>
        </w:rPr>
        <w:t> </w:t>
      </w:r>
      <w:r>
        <w:rPr>
          <w:sz w:val="22"/>
        </w:rPr>
        <w:t>backwardness, </w:t>
      </w:r>
      <w:r>
        <w:rPr>
          <w:spacing w:val="-2"/>
          <w:sz w:val="22"/>
        </w:rPr>
        <w:t>topographical</w:t>
      </w:r>
      <w:r>
        <w:rPr>
          <w:sz w:val="22"/>
        </w:rPr>
        <w:t> </w:t>
      </w:r>
      <w:r>
        <w:rPr>
          <w:spacing w:val="-2"/>
          <w:sz w:val="22"/>
        </w:rPr>
        <w:t>conditions</w:t>
      </w:r>
      <w:r>
        <w:rPr>
          <w:sz w:val="22"/>
        </w:rPr>
        <w:t> </w:t>
      </w:r>
      <w:r>
        <w:rPr>
          <w:spacing w:val="-2"/>
          <w:sz w:val="22"/>
        </w:rPr>
        <w:t>etc.</w:t>
      </w:r>
      <w:r>
        <w:rPr>
          <w:sz w:val="22"/>
        </w:rPr>
        <w:t> </w:t>
      </w:r>
      <w:r>
        <w:rPr>
          <w:spacing w:val="-2"/>
          <w:sz w:val="22"/>
        </w:rPr>
        <w:t>(This</w:t>
      </w:r>
      <w:r>
        <w:rPr>
          <w:sz w:val="22"/>
        </w:rPr>
        <w:t> </w:t>
      </w:r>
      <w:r>
        <w:rPr>
          <w:spacing w:val="-2"/>
          <w:sz w:val="22"/>
        </w:rPr>
        <w:t>is</w:t>
      </w:r>
      <w:r>
        <w:rPr>
          <w:sz w:val="22"/>
        </w:rPr>
        <w:t> </w:t>
      </w:r>
      <w:r>
        <w:rPr>
          <w:spacing w:val="-2"/>
          <w:sz w:val="22"/>
        </w:rPr>
        <w:t>especially</w:t>
      </w:r>
      <w:r>
        <w:rPr>
          <w:sz w:val="22"/>
        </w:rPr>
        <w:t> </w:t>
      </w:r>
      <w:r>
        <w:rPr>
          <w:spacing w:val="-2"/>
          <w:sz w:val="22"/>
        </w:rPr>
        <w:t>a</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440"/>
        <w:jc w:val="both"/>
      </w:pPr>
      <w:r>
        <w:rPr>
          <w:spacing w:val="-6"/>
        </w:rPr>
        <w:t>problem</w:t>
      </w:r>
      <w:r>
        <w:rPr>
          <w:spacing w:val="-8"/>
        </w:rPr>
        <w:t> </w:t>
      </w:r>
      <w:r>
        <w:rPr>
          <w:spacing w:val="-6"/>
        </w:rPr>
        <w:t>for</w:t>
      </w:r>
      <w:r>
        <w:rPr>
          <w:spacing w:val="-8"/>
        </w:rPr>
        <w:t> </w:t>
      </w:r>
      <w:r>
        <w:rPr>
          <w:spacing w:val="-6"/>
        </w:rPr>
        <w:t>schools</w:t>
      </w:r>
      <w:r>
        <w:rPr>
          <w:spacing w:val="-8"/>
        </w:rPr>
        <w:t> </w:t>
      </w:r>
      <w:r>
        <w:rPr>
          <w:spacing w:val="-6"/>
        </w:rPr>
        <w:t>in</w:t>
      </w:r>
      <w:r>
        <w:rPr>
          <w:spacing w:val="-7"/>
        </w:rPr>
        <w:t> </w:t>
      </w:r>
      <w:r>
        <w:rPr>
          <w:spacing w:val="-6"/>
        </w:rPr>
        <w:t>hilly</w:t>
      </w:r>
      <w:r>
        <w:rPr>
          <w:spacing w:val="-8"/>
        </w:rPr>
        <w:t> </w:t>
      </w:r>
      <w:r>
        <w:rPr>
          <w:spacing w:val="-6"/>
        </w:rPr>
        <w:t>or</w:t>
      </w:r>
      <w:r>
        <w:rPr>
          <w:spacing w:val="-8"/>
        </w:rPr>
        <w:t> </w:t>
      </w:r>
      <w:r>
        <w:rPr>
          <w:spacing w:val="-6"/>
        </w:rPr>
        <w:t>heavily</w:t>
      </w:r>
      <w:r>
        <w:rPr>
          <w:spacing w:val="-8"/>
        </w:rPr>
        <w:t> </w:t>
      </w:r>
      <w:r>
        <w:rPr>
          <w:spacing w:val="-6"/>
        </w:rPr>
        <w:t>forested</w:t>
      </w:r>
      <w:r>
        <w:rPr>
          <w:spacing w:val="-7"/>
        </w:rPr>
        <w:t> </w:t>
      </w:r>
      <w:r>
        <w:rPr>
          <w:spacing w:val="-6"/>
        </w:rPr>
        <w:t>areas </w:t>
      </w:r>
      <w:r>
        <w:rPr>
          <w:spacing w:val="-4"/>
        </w:rPr>
        <w:t>or those with poor physical connectivity, for which per</w:t>
      </w:r>
      <w:r>
        <w:rPr>
          <w:spacing w:val="-10"/>
        </w:rPr>
        <w:t> </w:t>
      </w:r>
      <w:r>
        <w:rPr>
          <w:spacing w:val="-4"/>
        </w:rPr>
        <w:t>capita</w:t>
      </w:r>
      <w:r>
        <w:rPr>
          <w:spacing w:val="-10"/>
        </w:rPr>
        <w:t> </w:t>
      </w:r>
      <w:r>
        <w:rPr>
          <w:spacing w:val="-4"/>
        </w:rPr>
        <w:t>allocations</w:t>
      </w:r>
      <w:r>
        <w:rPr>
          <w:spacing w:val="-10"/>
        </w:rPr>
        <w:t> </w:t>
      </w:r>
      <w:r>
        <w:rPr>
          <w:spacing w:val="-4"/>
        </w:rPr>
        <w:t>are</w:t>
      </w:r>
      <w:r>
        <w:rPr>
          <w:spacing w:val="-9"/>
        </w:rPr>
        <w:t> </w:t>
      </w:r>
      <w:r>
        <w:rPr>
          <w:spacing w:val="-4"/>
        </w:rPr>
        <w:t>the</w:t>
      </w:r>
      <w:r>
        <w:rPr>
          <w:spacing w:val="-10"/>
        </w:rPr>
        <w:t> </w:t>
      </w:r>
      <w:r>
        <w:rPr>
          <w:spacing w:val="-4"/>
        </w:rPr>
        <w:t>same</w:t>
      </w:r>
      <w:r>
        <w:rPr>
          <w:spacing w:val="-10"/>
        </w:rPr>
        <w:t> </w:t>
      </w:r>
      <w:r>
        <w:rPr>
          <w:spacing w:val="-4"/>
        </w:rPr>
        <w:t>as</w:t>
      </w:r>
      <w:r>
        <w:rPr>
          <w:spacing w:val="-10"/>
        </w:rPr>
        <w:t> </w:t>
      </w:r>
      <w:r>
        <w:rPr>
          <w:spacing w:val="-4"/>
        </w:rPr>
        <w:t>for</w:t>
      </w:r>
      <w:r>
        <w:rPr>
          <w:spacing w:val="-9"/>
        </w:rPr>
        <w:t> </w:t>
      </w:r>
      <w:r>
        <w:rPr>
          <w:spacing w:val="-4"/>
        </w:rPr>
        <w:t>other</w:t>
      </w:r>
      <w:r>
        <w:rPr>
          <w:spacing w:val="-10"/>
        </w:rPr>
        <w:t> </w:t>
      </w:r>
      <w:r>
        <w:rPr>
          <w:spacing w:val="-4"/>
        </w:rPr>
        <w:t>more </w:t>
      </w:r>
      <w:r>
        <w:rPr/>
        <w:t>accessible areas);</w:t>
      </w:r>
    </w:p>
    <w:p>
      <w:pPr>
        <w:pStyle w:val="ListParagraph"/>
        <w:numPr>
          <w:ilvl w:val="3"/>
          <w:numId w:val="14"/>
        </w:numPr>
        <w:tabs>
          <w:tab w:pos="1439" w:val="left" w:leader="none"/>
        </w:tabs>
        <w:spacing w:line="266" w:lineRule="auto" w:before="0" w:after="0"/>
        <w:ind w:left="1439" w:right="0" w:hanging="360"/>
        <w:jc w:val="both"/>
        <w:rPr>
          <w:sz w:val="22"/>
        </w:rPr>
      </w:pPr>
      <w:r>
        <w:rPr>
          <w:sz w:val="22"/>
        </w:rPr>
        <w:t>problems in the timing of fund transfer, as well as uncertainties in fund provision created by </w:t>
      </w:r>
      <w:r>
        <w:rPr>
          <w:sz w:val="22"/>
        </w:rPr>
        <w:t>the </w:t>
      </w:r>
      <w:r>
        <w:rPr>
          <w:spacing w:val="-2"/>
          <w:sz w:val="22"/>
        </w:rPr>
        <w:t>insistence</w:t>
      </w:r>
      <w:r>
        <w:rPr>
          <w:spacing w:val="-10"/>
          <w:sz w:val="22"/>
        </w:rPr>
        <w:t> </w:t>
      </w:r>
      <w:r>
        <w:rPr>
          <w:spacing w:val="-2"/>
          <w:sz w:val="22"/>
        </w:rPr>
        <w:t>on</w:t>
      </w:r>
      <w:r>
        <w:rPr>
          <w:spacing w:val="-10"/>
          <w:sz w:val="22"/>
        </w:rPr>
        <w:t> </w:t>
      </w:r>
      <w:r>
        <w:rPr>
          <w:spacing w:val="-2"/>
          <w:sz w:val="22"/>
        </w:rPr>
        <w:t>matching</w:t>
      </w:r>
      <w:r>
        <w:rPr>
          <w:spacing w:val="-10"/>
          <w:sz w:val="22"/>
        </w:rPr>
        <w:t> </w:t>
      </w:r>
      <w:r>
        <w:rPr>
          <w:spacing w:val="-2"/>
          <w:sz w:val="22"/>
        </w:rPr>
        <w:t>funds</w:t>
      </w:r>
      <w:r>
        <w:rPr>
          <w:spacing w:val="-10"/>
          <w:sz w:val="22"/>
        </w:rPr>
        <w:t> </w:t>
      </w:r>
      <w:r>
        <w:rPr>
          <w:spacing w:val="-2"/>
          <w:sz w:val="22"/>
        </w:rPr>
        <w:t>and</w:t>
      </w:r>
      <w:r>
        <w:rPr>
          <w:spacing w:val="-10"/>
          <w:sz w:val="22"/>
        </w:rPr>
        <w:t> </w:t>
      </w:r>
      <w:r>
        <w:rPr>
          <w:spacing w:val="-2"/>
          <w:sz w:val="22"/>
        </w:rPr>
        <w:t>the</w:t>
      </w:r>
      <w:r>
        <w:rPr>
          <w:spacing w:val="-10"/>
          <w:sz w:val="22"/>
        </w:rPr>
        <w:t> </w:t>
      </w:r>
      <w:r>
        <w:rPr>
          <w:spacing w:val="-2"/>
          <w:sz w:val="22"/>
        </w:rPr>
        <w:t>fact</w:t>
      </w:r>
      <w:r>
        <w:rPr>
          <w:spacing w:val="-10"/>
          <w:sz w:val="22"/>
        </w:rPr>
        <w:t> </w:t>
      </w:r>
      <w:r>
        <w:rPr>
          <w:spacing w:val="-2"/>
          <w:sz w:val="22"/>
        </w:rPr>
        <w:t>that</w:t>
      </w:r>
      <w:r>
        <w:rPr>
          <w:spacing w:val="-10"/>
          <w:sz w:val="22"/>
        </w:rPr>
        <w:t> </w:t>
      </w:r>
      <w:r>
        <w:rPr>
          <w:spacing w:val="-2"/>
          <w:sz w:val="22"/>
        </w:rPr>
        <w:t>plan </w:t>
      </w:r>
      <w:r>
        <w:rPr>
          <w:sz w:val="22"/>
        </w:rPr>
        <w:t>ceilings</w:t>
      </w:r>
      <w:r>
        <w:rPr>
          <w:spacing w:val="-13"/>
          <w:sz w:val="22"/>
        </w:rPr>
        <w:t> </w:t>
      </w:r>
      <w:r>
        <w:rPr>
          <w:sz w:val="22"/>
        </w:rPr>
        <w:t>keep</w:t>
      </w:r>
      <w:r>
        <w:rPr>
          <w:spacing w:val="-13"/>
          <w:sz w:val="22"/>
        </w:rPr>
        <w:t> </w:t>
      </w:r>
      <w:r>
        <w:rPr>
          <w:sz w:val="22"/>
        </w:rPr>
        <w:t>changing</w:t>
      </w:r>
      <w:r>
        <w:rPr>
          <w:spacing w:val="-13"/>
          <w:sz w:val="22"/>
        </w:rPr>
        <w:t> </w:t>
      </w:r>
      <w:r>
        <w:rPr>
          <w:sz w:val="22"/>
        </w:rPr>
        <w:t>every</w:t>
      </w:r>
      <w:r>
        <w:rPr>
          <w:spacing w:val="-13"/>
          <w:sz w:val="22"/>
        </w:rPr>
        <w:t> </w:t>
      </w:r>
      <w:r>
        <w:rPr>
          <w:sz w:val="22"/>
        </w:rPr>
        <w:t>year.</w:t>
      </w:r>
    </w:p>
    <w:p>
      <w:pPr>
        <w:pStyle w:val="BodyText"/>
        <w:spacing w:before="21"/>
      </w:pPr>
    </w:p>
    <w:p>
      <w:pPr>
        <w:pStyle w:val="BodyText"/>
        <w:spacing w:line="266" w:lineRule="auto"/>
        <w:ind w:left="1079"/>
        <w:jc w:val="both"/>
      </w:pPr>
      <w:r>
        <w:rPr/>
        <w:t>NKC strongly recommends a less rigid and more flexible system of funds transfer and accounting </w:t>
      </w:r>
      <w:r>
        <w:rPr/>
        <w:t>that will</w:t>
      </w:r>
      <w:r>
        <w:rPr>
          <w:spacing w:val="-14"/>
        </w:rPr>
        <w:t> </w:t>
      </w:r>
      <w:r>
        <w:rPr/>
        <w:t>allow</w:t>
      </w:r>
      <w:r>
        <w:rPr>
          <w:spacing w:val="-14"/>
        </w:rPr>
        <w:t> </w:t>
      </w:r>
      <w:r>
        <w:rPr/>
        <w:t>for</w:t>
      </w:r>
      <w:r>
        <w:rPr>
          <w:spacing w:val="-14"/>
        </w:rPr>
        <w:t> </w:t>
      </w:r>
      <w:r>
        <w:rPr/>
        <w:t>regional</w:t>
      </w:r>
      <w:r>
        <w:rPr>
          <w:spacing w:val="-13"/>
        </w:rPr>
        <w:t> </w:t>
      </w:r>
      <w:r>
        <w:rPr/>
        <w:t>and</w:t>
      </w:r>
      <w:r>
        <w:rPr>
          <w:spacing w:val="-14"/>
        </w:rPr>
        <w:t> </w:t>
      </w:r>
      <w:r>
        <w:rPr/>
        <w:t>other</w:t>
      </w:r>
      <w:r>
        <w:rPr>
          <w:spacing w:val="-14"/>
        </w:rPr>
        <w:t> </w:t>
      </w:r>
      <w:r>
        <w:rPr/>
        <w:t>differences</w:t>
      </w:r>
      <w:r>
        <w:rPr>
          <w:spacing w:val="-14"/>
        </w:rPr>
        <w:t> </w:t>
      </w:r>
      <w:r>
        <w:rPr/>
        <w:t>as</w:t>
      </w:r>
      <w:r>
        <w:rPr>
          <w:spacing w:val="-13"/>
        </w:rPr>
        <w:t> </w:t>
      </w:r>
      <w:r>
        <w:rPr/>
        <w:t>well</w:t>
      </w:r>
      <w:r>
        <w:rPr>
          <w:spacing w:val="-14"/>
        </w:rPr>
        <w:t> </w:t>
      </w:r>
      <w:r>
        <w:rPr/>
        <w:t>as changing requirements over time, and thereby allow State Governments to use the resources in the most </w:t>
      </w:r>
      <w:r>
        <w:rPr>
          <w:spacing w:val="-6"/>
        </w:rPr>
        <w:t>effective</w:t>
      </w:r>
      <w:r>
        <w:rPr>
          <w:spacing w:val="-8"/>
        </w:rPr>
        <w:t> </w:t>
      </w:r>
      <w:r>
        <w:rPr>
          <w:spacing w:val="-6"/>
        </w:rPr>
        <w:t>way.</w:t>
      </w:r>
      <w:r>
        <w:rPr>
          <w:spacing w:val="-8"/>
        </w:rPr>
        <w:t> </w:t>
      </w:r>
      <w:r>
        <w:rPr>
          <w:spacing w:val="-6"/>
        </w:rPr>
        <w:t>This recommendation is both for the SSA </w:t>
      </w:r>
      <w:r>
        <w:rPr/>
        <w:t>and</w:t>
      </w:r>
      <w:r>
        <w:rPr>
          <w:spacing w:val="-14"/>
        </w:rPr>
        <w:t> </w:t>
      </w:r>
      <w:r>
        <w:rPr/>
        <w:t>for</w:t>
      </w:r>
      <w:r>
        <w:rPr>
          <w:spacing w:val="-14"/>
        </w:rPr>
        <w:t> </w:t>
      </w:r>
      <w:r>
        <w:rPr/>
        <w:t>the</w:t>
      </w:r>
      <w:r>
        <w:rPr>
          <w:spacing w:val="-14"/>
        </w:rPr>
        <w:t> </w:t>
      </w:r>
      <w:r>
        <w:rPr/>
        <w:t>planned</w:t>
      </w:r>
      <w:r>
        <w:rPr>
          <w:spacing w:val="-13"/>
        </w:rPr>
        <w:t> </w:t>
      </w:r>
      <w:r>
        <w:rPr/>
        <w:t>SUCCESS</w:t>
      </w:r>
      <w:r>
        <w:rPr>
          <w:spacing w:val="-14"/>
        </w:rPr>
        <w:t> </w:t>
      </w:r>
      <w:r>
        <w:rPr/>
        <w:t>program</w:t>
      </w:r>
      <w:r>
        <w:rPr>
          <w:spacing w:val="-14"/>
        </w:rPr>
        <w:t> </w:t>
      </w:r>
      <w:r>
        <w:rPr/>
        <w:t>for</w:t>
      </w:r>
      <w:r>
        <w:rPr>
          <w:spacing w:val="-14"/>
        </w:rPr>
        <w:t> </w:t>
      </w:r>
      <w:r>
        <w:rPr/>
        <w:t>secondary education, and also for other centrally sponsored schemes relating to school education.</w:t>
      </w:r>
    </w:p>
    <w:p>
      <w:pPr>
        <w:pStyle w:val="Heading7"/>
        <w:numPr>
          <w:ilvl w:val="1"/>
          <w:numId w:val="14"/>
        </w:numPr>
        <w:tabs>
          <w:tab w:pos="1485" w:val="left" w:leader="none"/>
          <w:tab w:pos="1487" w:val="left" w:leader="none"/>
        </w:tabs>
        <w:spacing w:line="225" w:lineRule="auto" w:before="250" w:after="0"/>
        <w:ind w:left="1487" w:right="18" w:hanging="408"/>
        <w:jc w:val="left"/>
      </w:pPr>
      <w:r>
        <w:rPr>
          <w:color w:val="2E614A"/>
          <w:spacing w:val="-2"/>
        </w:rPr>
        <w:t>There</w:t>
      </w:r>
      <w:r>
        <w:rPr>
          <w:color w:val="2E614A"/>
          <w:spacing w:val="-15"/>
        </w:rPr>
        <w:t> </w:t>
      </w:r>
      <w:r>
        <w:rPr>
          <w:color w:val="2E614A"/>
          <w:spacing w:val="-2"/>
        </w:rPr>
        <w:t>should</w:t>
      </w:r>
      <w:r>
        <w:rPr>
          <w:color w:val="2E614A"/>
          <w:spacing w:val="-14"/>
        </w:rPr>
        <w:t> </w:t>
      </w:r>
      <w:r>
        <w:rPr>
          <w:color w:val="2E614A"/>
          <w:spacing w:val="-2"/>
        </w:rPr>
        <w:t>be</w:t>
      </w:r>
      <w:r>
        <w:rPr>
          <w:color w:val="2E614A"/>
          <w:spacing w:val="-14"/>
        </w:rPr>
        <w:t> </w:t>
      </w:r>
      <w:r>
        <w:rPr>
          <w:color w:val="2E614A"/>
          <w:spacing w:val="-2"/>
        </w:rPr>
        <w:t>greater</w:t>
      </w:r>
      <w:r>
        <w:rPr>
          <w:color w:val="2E614A"/>
          <w:spacing w:val="-14"/>
        </w:rPr>
        <w:t> </w:t>
      </w:r>
      <w:r>
        <w:rPr>
          <w:color w:val="2E614A"/>
          <w:spacing w:val="-2"/>
        </w:rPr>
        <w:t>flexibility</w:t>
      </w:r>
      <w:r>
        <w:rPr>
          <w:color w:val="2E614A"/>
          <w:spacing w:val="-15"/>
        </w:rPr>
        <w:t> </w:t>
      </w:r>
      <w:r>
        <w:rPr>
          <w:color w:val="2E614A"/>
          <w:spacing w:val="-2"/>
        </w:rPr>
        <w:t>in </w:t>
      </w:r>
      <w:r>
        <w:rPr>
          <w:color w:val="2E614A"/>
          <w:spacing w:val="-8"/>
        </w:rPr>
        <w:t>disbursing funds down to the school </w:t>
      </w:r>
      <w:r>
        <w:rPr>
          <w:color w:val="2E614A"/>
          <w:spacing w:val="-8"/>
        </w:rPr>
        <w:t>level </w:t>
      </w:r>
      <w:r>
        <w:rPr>
          <w:color w:val="2E614A"/>
          <w:w w:val="90"/>
        </w:rPr>
        <w:t>and a greater degree of autonomy of local </w:t>
      </w:r>
      <w:r>
        <w:rPr>
          <w:color w:val="2E614A"/>
        </w:rPr>
        <w:t>level</w:t>
      </w:r>
      <w:r>
        <w:rPr>
          <w:color w:val="2E614A"/>
          <w:spacing w:val="-17"/>
        </w:rPr>
        <w:t> </w:t>
      </w:r>
      <w:r>
        <w:rPr>
          <w:color w:val="2E614A"/>
        </w:rPr>
        <w:t>management</w:t>
      </w:r>
      <w:r>
        <w:rPr>
          <w:color w:val="2E614A"/>
          <w:spacing w:val="-16"/>
        </w:rPr>
        <w:t> </w:t>
      </w:r>
      <w:r>
        <w:rPr>
          <w:color w:val="2E614A"/>
        </w:rPr>
        <w:t>in</w:t>
      </w:r>
      <w:r>
        <w:rPr>
          <w:color w:val="2E614A"/>
          <w:spacing w:val="-16"/>
        </w:rPr>
        <w:t> </w:t>
      </w:r>
      <w:r>
        <w:rPr>
          <w:color w:val="2E614A"/>
        </w:rPr>
        <w:t>the</w:t>
      </w:r>
      <w:r>
        <w:rPr>
          <w:color w:val="2E614A"/>
          <w:spacing w:val="-16"/>
        </w:rPr>
        <w:t> </w:t>
      </w:r>
      <w:r>
        <w:rPr>
          <w:color w:val="2E614A"/>
        </w:rPr>
        <w:t>use</w:t>
      </w:r>
      <w:r>
        <w:rPr>
          <w:color w:val="2E614A"/>
          <w:spacing w:val="-17"/>
        </w:rPr>
        <w:t> </w:t>
      </w:r>
      <w:r>
        <w:rPr>
          <w:color w:val="2E614A"/>
        </w:rPr>
        <w:t>of</w:t>
      </w:r>
      <w:r>
        <w:rPr>
          <w:color w:val="2E614A"/>
          <w:spacing w:val="-16"/>
        </w:rPr>
        <w:t> </w:t>
      </w:r>
      <w:r>
        <w:rPr>
          <w:color w:val="2E614A"/>
        </w:rPr>
        <w:t>funds.</w:t>
      </w:r>
    </w:p>
    <w:p>
      <w:pPr>
        <w:pStyle w:val="BodyText"/>
        <w:spacing w:line="266" w:lineRule="auto" w:before="298"/>
        <w:ind w:left="1080"/>
        <w:jc w:val="both"/>
      </w:pPr>
      <w:r>
        <w:rPr>
          <w:spacing w:val="-4"/>
        </w:rPr>
        <w:t>Even</w:t>
      </w:r>
      <w:r>
        <w:rPr>
          <w:spacing w:val="-8"/>
        </w:rPr>
        <w:t> </w:t>
      </w:r>
      <w:r>
        <w:rPr>
          <w:spacing w:val="-4"/>
        </w:rPr>
        <w:t>within</w:t>
      </w:r>
      <w:r>
        <w:rPr>
          <w:spacing w:val="-8"/>
        </w:rPr>
        <w:t> </w:t>
      </w:r>
      <w:r>
        <w:rPr>
          <w:spacing w:val="-4"/>
        </w:rPr>
        <w:t>the</w:t>
      </w:r>
      <w:r>
        <w:rPr>
          <w:spacing w:val="-8"/>
        </w:rPr>
        <w:t> </w:t>
      </w:r>
      <w:r>
        <w:rPr>
          <w:spacing w:val="-4"/>
        </w:rPr>
        <w:t>states,</w:t>
      </w:r>
      <w:r>
        <w:rPr>
          <w:spacing w:val="-8"/>
        </w:rPr>
        <w:t> </w:t>
      </w:r>
      <w:r>
        <w:rPr>
          <w:spacing w:val="-4"/>
        </w:rPr>
        <w:t>the</w:t>
      </w:r>
      <w:r>
        <w:rPr>
          <w:spacing w:val="-8"/>
        </w:rPr>
        <w:t> </w:t>
      </w:r>
      <w:r>
        <w:rPr>
          <w:spacing w:val="-4"/>
        </w:rPr>
        <w:t>norms</w:t>
      </w:r>
      <w:r>
        <w:rPr>
          <w:spacing w:val="-8"/>
        </w:rPr>
        <w:t> </w:t>
      </w:r>
      <w:r>
        <w:rPr>
          <w:spacing w:val="-4"/>
        </w:rPr>
        <w:t>for</w:t>
      </w:r>
      <w:r>
        <w:rPr>
          <w:spacing w:val="-8"/>
        </w:rPr>
        <w:t> </w:t>
      </w:r>
      <w:r>
        <w:rPr>
          <w:spacing w:val="-4"/>
        </w:rPr>
        <w:t>fund</w:t>
      </w:r>
      <w:r>
        <w:rPr>
          <w:spacing w:val="-8"/>
        </w:rPr>
        <w:t> </w:t>
      </w:r>
      <w:r>
        <w:rPr>
          <w:spacing w:val="-4"/>
        </w:rPr>
        <w:t>disbursal</w:t>
      </w:r>
      <w:r>
        <w:rPr>
          <w:spacing w:val="-8"/>
        </w:rPr>
        <w:t> </w:t>
      </w:r>
      <w:r>
        <w:rPr>
          <w:spacing w:val="-4"/>
        </w:rPr>
        <w:t>and </w:t>
      </w:r>
      <w:r>
        <w:rPr/>
        <w:t>the requirements are often very time consuming and breed</w:t>
      </w:r>
      <w:r>
        <w:rPr>
          <w:spacing w:val="-9"/>
        </w:rPr>
        <w:t> </w:t>
      </w:r>
      <w:r>
        <w:rPr/>
        <w:t>delays</w:t>
      </w:r>
      <w:r>
        <w:rPr>
          <w:spacing w:val="-9"/>
        </w:rPr>
        <w:t> </w:t>
      </w:r>
      <w:r>
        <w:rPr/>
        <w:t>and</w:t>
      </w:r>
      <w:r>
        <w:rPr>
          <w:spacing w:val="-9"/>
        </w:rPr>
        <w:t> </w:t>
      </w:r>
      <w:r>
        <w:rPr/>
        <w:t>unnecessary</w:t>
      </w:r>
      <w:r>
        <w:rPr>
          <w:spacing w:val="-9"/>
        </w:rPr>
        <w:t> </w:t>
      </w:r>
      <w:r>
        <w:rPr/>
        <w:t>rigidities.</w:t>
      </w:r>
      <w:r>
        <w:rPr>
          <w:spacing w:val="-14"/>
        </w:rPr>
        <w:t> </w:t>
      </w:r>
      <w:r>
        <w:rPr/>
        <w:t>There</w:t>
      </w:r>
      <w:r>
        <w:rPr>
          <w:spacing w:val="-9"/>
        </w:rPr>
        <w:t> </w:t>
      </w:r>
      <w:r>
        <w:rPr/>
        <w:t>should be recognition of differences in per capita resource requirement according to particular criteria, such as </w:t>
      </w:r>
      <w:r>
        <w:rPr>
          <w:spacing w:val="-4"/>
        </w:rPr>
        <w:t>geographical</w:t>
      </w:r>
      <w:r>
        <w:rPr>
          <w:spacing w:val="-6"/>
        </w:rPr>
        <w:t> </w:t>
      </w:r>
      <w:r>
        <w:rPr>
          <w:spacing w:val="-4"/>
        </w:rPr>
        <w:t>and</w:t>
      </w:r>
      <w:r>
        <w:rPr>
          <w:spacing w:val="-6"/>
        </w:rPr>
        <w:t> </w:t>
      </w:r>
      <w:r>
        <w:rPr>
          <w:spacing w:val="-4"/>
        </w:rPr>
        <w:t>spatial</w:t>
      </w:r>
      <w:r>
        <w:rPr>
          <w:spacing w:val="-6"/>
        </w:rPr>
        <w:t> </w:t>
      </w:r>
      <w:r>
        <w:rPr>
          <w:spacing w:val="-4"/>
        </w:rPr>
        <w:t>characteristics,</w:t>
      </w:r>
      <w:r>
        <w:rPr>
          <w:spacing w:val="-6"/>
        </w:rPr>
        <w:t> </w:t>
      </w:r>
      <w:r>
        <w:rPr>
          <w:spacing w:val="-4"/>
        </w:rPr>
        <w:t>the</w:t>
      </w:r>
      <w:r>
        <w:rPr>
          <w:spacing w:val="-6"/>
        </w:rPr>
        <w:t> </w:t>
      </w:r>
      <w:r>
        <w:rPr>
          <w:spacing w:val="-4"/>
        </w:rPr>
        <w:t>presence</w:t>
      </w:r>
      <w:r>
        <w:rPr>
          <w:spacing w:val="-6"/>
        </w:rPr>
        <w:t> </w:t>
      </w:r>
      <w:r>
        <w:rPr>
          <w:spacing w:val="-4"/>
        </w:rPr>
        <w:t>of </w:t>
      </w:r>
      <w:r>
        <w:rPr>
          <w:spacing w:val="-8"/>
        </w:rPr>
        <w:t>children</w:t>
      </w:r>
      <w:r>
        <w:rPr>
          <w:spacing w:val="-9"/>
        </w:rPr>
        <w:t> </w:t>
      </w:r>
      <w:r>
        <w:rPr>
          <w:spacing w:val="-8"/>
        </w:rPr>
        <w:t>with</w:t>
      </w:r>
      <w:r>
        <w:rPr>
          <w:spacing w:val="-9"/>
        </w:rPr>
        <w:t> </w:t>
      </w:r>
      <w:r>
        <w:rPr>
          <w:spacing w:val="-8"/>
        </w:rPr>
        <w:t>special</w:t>
      </w:r>
      <w:r>
        <w:rPr>
          <w:spacing w:val="-9"/>
        </w:rPr>
        <w:t> </w:t>
      </w:r>
      <w:r>
        <w:rPr>
          <w:spacing w:val="-8"/>
        </w:rPr>
        <w:t>needs,</w:t>
      </w:r>
      <w:r>
        <w:rPr>
          <w:spacing w:val="-9"/>
        </w:rPr>
        <w:t> </w:t>
      </w:r>
      <w:r>
        <w:rPr>
          <w:spacing w:val="-8"/>
        </w:rPr>
        <w:t>seasonality</w:t>
      </w:r>
      <w:r>
        <w:rPr>
          <w:spacing w:val="-9"/>
        </w:rPr>
        <w:t> </w:t>
      </w:r>
      <w:r>
        <w:rPr>
          <w:spacing w:val="-8"/>
        </w:rPr>
        <w:t>and</w:t>
      </w:r>
      <w:r>
        <w:rPr>
          <w:spacing w:val="-9"/>
        </w:rPr>
        <w:t> </w:t>
      </w:r>
      <w:r>
        <w:rPr>
          <w:spacing w:val="-8"/>
        </w:rPr>
        <w:t>other</w:t>
      </w:r>
      <w:r>
        <w:rPr>
          <w:spacing w:val="-9"/>
        </w:rPr>
        <w:t> </w:t>
      </w:r>
      <w:r>
        <w:rPr>
          <w:spacing w:val="-8"/>
        </w:rPr>
        <w:t>features.</w:t>
      </w:r>
    </w:p>
    <w:p>
      <w:pPr>
        <w:pStyle w:val="BodyText"/>
        <w:spacing w:before="22"/>
      </w:pPr>
    </w:p>
    <w:p>
      <w:pPr>
        <w:pStyle w:val="BodyText"/>
        <w:spacing w:line="266" w:lineRule="auto"/>
        <w:ind w:left="1080"/>
        <w:jc w:val="both"/>
      </w:pPr>
      <w:r>
        <w:rPr/>
        <w:t>In</w:t>
      </w:r>
      <w:r>
        <w:rPr>
          <w:spacing w:val="-14"/>
        </w:rPr>
        <w:t> </w:t>
      </w:r>
      <w:r>
        <w:rPr/>
        <w:t>addition,</w:t>
      </w:r>
      <w:r>
        <w:rPr>
          <w:spacing w:val="-14"/>
        </w:rPr>
        <w:t> </w:t>
      </w:r>
      <w:r>
        <w:rPr/>
        <w:t>there</w:t>
      </w:r>
      <w:r>
        <w:rPr>
          <w:spacing w:val="-14"/>
        </w:rPr>
        <w:t> </w:t>
      </w:r>
      <w:r>
        <w:rPr/>
        <w:t>is</w:t>
      </w:r>
      <w:r>
        <w:rPr>
          <w:spacing w:val="-13"/>
        </w:rPr>
        <w:t> </w:t>
      </w:r>
      <w:r>
        <w:rPr/>
        <w:t>a</w:t>
      </w:r>
      <w:r>
        <w:rPr>
          <w:spacing w:val="-14"/>
        </w:rPr>
        <w:t> </w:t>
      </w:r>
      <w:r>
        <w:rPr/>
        <w:t>strong</w:t>
      </w:r>
      <w:r>
        <w:rPr>
          <w:spacing w:val="-14"/>
        </w:rPr>
        <w:t> </w:t>
      </w:r>
      <w:r>
        <w:rPr/>
        <w:t>case</w:t>
      </w:r>
      <w:r>
        <w:rPr>
          <w:spacing w:val="-14"/>
        </w:rPr>
        <w:t> </w:t>
      </w:r>
      <w:r>
        <w:rPr/>
        <w:t>for</w:t>
      </w:r>
      <w:r>
        <w:rPr>
          <w:spacing w:val="-13"/>
        </w:rPr>
        <w:t> </w:t>
      </w:r>
      <w:r>
        <w:rPr/>
        <w:t>providing</w:t>
      </w:r>
      <w:r>
        <w:rPr>
          <w:spacing w:val="-14"/>
        </w:rPr>
        <w:t> </w:t>
      </w:r>
      <w:r>
        <w:rPr/>
        <w:t>greater autonomy to local level management of schools, </w:t>
      </w:r>
      <w:r>
        <w:rPr>
          <w:spacing w:val="-4"/>
        </w:rPr>
        <w:t>including locally elected bodies, school boards,</w:t>
      </w:r>
      <w:r>
        <w:rPr>
          <w:spacing w:val="-7"/>
        </w:rPr>
        <w:t> </w:t>
      </w:r>
      <w:r>
        <w:rPr>
          <w:spacing w:val="-4"/>
        </w:rPr>
        <w:t>Village Education</w:t>
      </w:r>
      <w:r>
        <w:rPr>
          <w:spacing w:val="-7"/>
        </w:rPr>
        <w:t> </w:t>
      </w:r>
      <w:r>
        <w:rPr>
          <w:spacing w:val="-4"/>
        </w:rPr>
        <w:t>Committees</w:t>
      </w:r>
      <w:r>
        <w:rPr>
          <w:spacing w:val="-7"/>
        </w:rPr>
        <w:t> </w:t>
      </w:r>
      <w:r>
        <w:rPr>
          <w:spacing w:val="-4"/>
        </w:rPr>
        <w:t>etc.,</w:t>
      </w:r>
      <w:r>
        <w:rPr>
          <w:spacing w:val="-7"/>
        </w:rPr>
        <w:t> </w:t>
      </w:r>
      <w:r>
        <w:rPr>
          <w:spacing w:val="-4"/>
        </w:rPr>
        <w:t>in</w:t>
      </w:r>
      <w:r>
        <w:rPr>
          <w:spacing w:val="-7"/>
        </w:rPr>
        <w:t> </w:t>
      </w:r>
      <w:r>
        <w:rPr>
          <w:spacing w:val="-4"/>
        </w:rPr>
        <w:t>the</w:t>
      </w:r>
      <w:r>
        <w:rPr>
          <w:spacing w:val="-7"/>
        </w:rPr>
        <w:t> </w:t>
      </w:r>
      <w:r>
        <w:rPr>
          <w:spacing w:val="-4"/>
        </w:rPr>
        <w:t>use</w:t>
      </w:r>
      <w:r>
        <w:rPr>
          <w:spacing w:val="-7"/>
        </w:rPr>
        <w:t> </w:t>
      </w:r>
      <w:r>
        <w:rPr>
          <w:spacing w:val="-4"/>
        </w:rPr>
        <w:t>and</w:t>
      </w:r>
      <w:r>
        <w:rPr>
          <w:spacing w:val="-7"/>
        </w:rPr>
        <w:t> </w:t>
      </w:r>
      <w:r>
        <w:rPr>
          <w:spacing w:val="-4"/>
        </w:rPr>
        <w:t>management </w:t>
      </w:r>
      <w:r>
        <w:rPr/>
        <w:t>of funds, subject to some overall criteria. Within the </w:t>
      </w:r>
      <w:r>
        <w:rPr>
          <w:spacing w:val="-4"/>
        </w:rPr>
        <w:t>stipulated</w:t>
      </w:r>
      <w:r>
        <w:rPr>
          <w:spacing w:val="-5"/>
        </w:rPr>
        <w:t> </w:t>
      </w:r>
      <w:r>
        <w:rPr>
          <w:spacing w:val="-4"/>
        </w:rPr>
        <w:t>norms</w:t>
      </w:r>
      <w:r>
        <w:rPr>
          <w:spacing w:val="-5"/>
        </w:rPr>
        <w:t> </w:t>
      </w:r>
      <w:r>
        <w:rPr>
          <w:spacing w:val="-4"/>
        </w:rPr>
        <w:t>for expenditure, there</w:t>
      </w:r>
      <w:r>
        <w:rPr>
          <w:spacing w:val="-5"/>
        </w:rPr>
        <w:t> </w:t>
      </w:r>
      <w:r>
        <w:rPr>
          <w:spacing w:val="-4"/>
        </w:rPr>
        <w:t>should be</w:t>
      </w:r>
      <w:r>
        <w:rPr>
          <w:spacing w:val="-5"/>
        </w:rPr>
        <w:t> </w:t>
      </w:r>
      <w:r>
        <w:rPr>
          <w:spacing w:val="-4"/>
        </w:rPr>
        <w:t>scope </w:t>
      </w:r>
      <w:r>
        <w:rPr/>
        <w:t>for</w:t>
      </w:r>
      <w:r>
        <w:rPr>
          <w:spacing w:val="-14"/>
        </w:rPr>
        <w:t> </w:t>
      </w:r>
      <w:r>
        <w:rPr/>
        <w:t>greater</w:t>
      </w:r>
      <w:r>
        <w:rPr>
          <w:spacing w:val="-14"/>
        </w:rPr>
        <w:t> </w:t>
      </w:r>
      <w:r>
        <w:rPr/>
        <w:t>flexibility</w:t>
      </w:r>
      <w:r>
        <w:rPr>
          <w:spacing w:val="-14"/>
        </w:rPr>
        <w:t> </w:t>
      </w:r>
      <w:r>
        <w:rPr/>
        <w:t>in</w:t>
      </w:r>
      <w:r>
        <w:rPr>
          <w:spacing w:val="-13"/>
        </w:rPr>
        <w:t> </w:t>
      </w:r>
      <w:r>
        <w:rPr/>
        <w:t>the</w:t>
      </w:r>
      <w:r>
        <w:rPr>
          <w:spacing w:val="-14"/>
        </w:rPr>
        <w:t> </w:t>
      </w:r>
      <w:r>
        <w:rPr/>
        <w:t>use</w:t>
      </w:r>
      <w:r>
        <w:rPr>
          <w:spacing w:val="-14"/>
        </w:rPr>
        <w:t> </w:t>
      </w:r>
      <w:r>
        <w:rPr/>
        <w:t>of</w:t>
      </w:r>
      <w:r>
        <w:rPr>
          <w:spacing w:val="-14"/>
        </w:rPr>
        <w:t> </w:t>
      </w:r>
      <w:r>
        <w:rPr/>
        <w:t>funds</w:t>
      </w:r>
      <w:r>
        <w:rPr>
          <w:spacing w:val="-13"/>
        </w:rPr>
        <w:t> </w:t>
      </w:r>
      <w:r>
        <w:rPr/>
        <w:t>in</w:t>
      </w:r>
      <w:r>
        <w:rPr>
          <w:spacing w:val="-14"/>
        </w:rPr>
        <w:t> </w:t>
      </w:r>
      <w:r>
        <w:rPr/>
        <w:t>response</w:t>
      </w:r>
      <w:r>
        <w:rPr>
          <w:spacing w:val="-14"/>
        </w:rPr>
        <w:t> </w:t>
      </w:r>
      <w:r>
        <w:rPr/>
        <w:t>to local needs and local innovation.</w:t>
      </w:r>
    </w:p>
    <w:p>
      <w:pPr>
        <w:pStyle w:val="Heading7"/>
        <w:numPr>
          <w:ilvl w:val="1"/>
          <w:numId w:val="14"/>
        </w:numPr>
        <w:tabs>
          <w:tab w:pos="1485" w:val="left" w:leader="none"/>
          <w:tab w:pos="1487" w:val="left" w:leader="none"/>
        </w:tabs>
        <w:spacing w:line="225" w:lineRule="auto" w:before="250" w:after="0"/>
        <w:ind w:left="1487" w:right="25" w:hanging="408"/>
        <w:jc w:val="left"/>
      </w:pPr>
      <w:r>
        <w:rPr>
          <w:color w:val="2E614A"/>
          <w:w w:val="90"/>
        </w:rPr>
        <w:t>There should be transparent, </w:t>
      </w:r>
      <w:r>
        <w:rPr>
          <w:color w:val="2E614A"/>
          <w:w w:val="90"/>
        </w:rPr>
        <w:t>norm-based </w:t>
      </w:r>
      <w:r>
        <w:rPr>
          <w:color w:val="2E614A"/>
          <w:spacing w:val="-6"/>
        </w:rPr>
        <w:t>and</w:t>
      </w:r>
      <w:r>
        <w:rPr>
          <w:color w:val="2E614A"/>
          <w:spacing w:val="-11"/>
        </w:rPr>
        <w:t> </w:t>
      </w:r>
      <w:r>
        <w:rPr>
          <w:color w:val="2E614A"/>
          <w:spacing w:val="-6"/>
        </w:rPr>
        <w:t>straightforward</w:t>
      </w:r>
      <w:r>
        <w:rPr>
          <w:color w:val="2E614A"/>
          <w:spacing w:val="-10"/>
        </w:rPr>
        <w:t> </w:t>
      </w:r>
      <w:r>
        <w:rPr>
          <w:color w:val="2E614A"/>
          <w:spacing w:val="-6"/>
        </w:rPr>
        <w:t>procedures</w:t>
      </w:r>
      <w:r>
        <w:rPr>
          <w:color w:val="2E614A"/>
          <w:spacing w:val="-10"/>
        </w:rPr>
        <w:t> </w:t>
      </w:r>
      <w:r>
        <w:rPr>
          <w:color w:val="2E614A"/>
          <w:spacing w:val="-6"/>
        </w:rPr>
        <w:t>for</w:t>
      </w:r>
      <w:r>
        <w:rPr>
          <w:color w:val="2E614A"/>
          <w:spacing w:val="-10"/>
        </w:rPr>
        <w:t> </w:t>
      </w:r>
      <w:r>
        <w:rPr>
          <w:color w:val="2E614A"/>
          <w:spacing w:val="-6"/>
        </w:rPr>
        <w:t>the </w:t>
      </w:r>
      <w:r>
        <w:rPr>
          <w:color w:val="2E614A"/>
          <w:spacing w:val="-2"/>
        </w:rPr>
        <w:t>recognition of private schools, as well as</w:t>
      </w:r>
      <w:r>
        <w:rPr>
          <w:color w:val="2E614A"/>
          <w:spacing w:val="-13"/>
        </w:rPr>
        <w:t> </w:t>
      </w:r>
      <w:r>
        <w:rPr>
          <w:color w:val="2E614A"/>
          <w:spacing w:val="-2"/>
        </w:rPr>
        <w:t>for</w:t>
      </w:r>
      <w:r>
        <w:rPr>
          <w:color w:val="2E614A"/>
          <w:spacing w:val="-13"/>
        </w:rPr>
        <w:t> </w:t>
      </w:r>
      <w:r>
        <w:rPr>
          <w:color w:val="2E614A"/>
          <w:spacing w:val="-2"/>
        </w:rPr>
        <w:t>the</w:t>
      </w:r>
      <w:r>
        <w:rPr>
          <w:color w:val="2E614A"/>
          <w:spacing w:val="-13"/>
        </w:rPr>
        <w:t> </w:t>
      </w:r>
      <w:r>
        <w:rPr>
          <w:color w:val="2E614A"/>
          <w:spacing w:val="-2"/>
        </w:rPr>
        <w:t>disbursement</w:t>
      </w:r>
      <w:r>
        <w:rPr>
          <w:color w:val="2E614A"/>
          <w:spacing w:val="-13"/>
        </w:rPr>
        <w:t> </w:t>
      </w:r>
      <w:r>
        <w:rPr>
          <w:color w:val="2E614A"/>
          <w:spacing w:val="-2"/>
        </w:rPr>
        <w:t>of</w:t>
      </w:r>
      <w:r>
        <w:rPr>
          <w:color w:val="2E614A"/>
          <w:spacing w:val="-13"/>
        </w:rPr>
        <w:t> </w:t>
      </w:r>
      <w:r>
        <w:rPr>
          <w:color w:val="2E614A"/>
          <w:spacing w:val="-2"/>
        </w:rPr>
        <w:t>aid</w:t>
      </w:r>
      <w:r>
        <w:rPr>
          <w:color w:val="2E614A"/>
          <w:spacing w:val="-13"/>
        </w:rPr>
        <w:t> </w:t>
      </w:r>
      <w:r>
        <w:rPr>
          <w:color w:val="2E614A"/>
          <w:spacing w:val="-2"/>
        </w:rPr>
        <w:t>from</w:t>
      </w:r>
      <w:r>
        <w:rPr>
          <w:color w:val="2E614A"/>
          <w:spacing w:val="-13"/>
        </w:rPr>
        <w:t> </w:t>
      </w:r>
      <w:r>
        <w:rPr>
          <w:color w:val="2E614A"/>
          <w:spacing w:val="-2"/>
        </w:rPr>
        <w:t>the </w:t>
      </w:r>
      <w:r>
        <w:rPr>
          <w:color w:val="2E614A"/>
          <w:spacing w:val="-6"/>
        </w:rPr>
        <w:t>government</w:t>
      </w:r>
      <w:r>
        <w:rPr>
          <w:color w:val="2E614A"/>
          <w:spacing w:val="-11"/>
        </w:rPr>
        <w:t> </w:t>
      </w:r>
      <w:r>
        <w:rPr>
          <w:color w:val="2E614A"/>
          <w:spacing w:val="-6"/>
        </w:rPr>
        <w:t>to</w:t>
      </w:r>
      <w:r>
        <w:rPr>
          <w:color w:val="2E614A"/>
          <w:spacing w:val="-10"/>
        </w:rPr>
        <w:t> </w:t>
      </w:r>
      <w:r>
        <w:rPr>
          <w:color w:val="2E614A"/>
          <w:spacing w:val="-6"/>
        </w:rPr>
        <w:t>self</w:t>
      </w:r>
      <w:r>
        <w:rPr>
          <w:color w:val="2E614A"/>
          <w:spacing w:val="-10"/>
        </w:rPr>
        <w:t> </w:t>
      </w:r>
      <w:r>
        <w:rPr>
          <w:color w:val="2E614A"/>
          <w:spacing w:val="-6"/>
        </w:rPr>
        <w:t>financing</w:t>
      </w:r>
      <w:r>
        <w:rPr>
          <w:color w:val="2E614A"/>
          <w:spacing w:val="-10"/>
        </w:rPr>
        <w:t> </w:t>
      </w:r>
      <w:r>
        <w:rPr>
          <w:color w:val="2E614A"/>
          <w:spacing w:val="-6"/>
        </w:rPr>
        <w:t>schools</w:t>
      </w:r>
      <w:r>
        <w:rPr>
          <w:color w:val="2E614A"/>
          <w:spacing w:val="-11"/>
        </w:rPr>
        <w:t> </w:t>
      </w:r>
      <w:r>
        <w:rPr>
          <w:color w:val="2E614A"/>
          <w:spacing w:val="-6"/>
        </w:rPr>
        <w:t>and </w:t>
      </w:r>
      <w:r>
        <w:rPr>
          <w:color w:val="2E614A"/>
          <w:spacing w:val="-8"/>
        </w:rPr>
        <w:t>the ability of school management to raise </w:t>
      </w:r>
      <w:r>
        <w:rPr>
          <w:color w:val="2E614A"/>
          <w:spacing w:val="-4"/>
        </w:rPr>
        <w:t>resources</w:t>
      </w:r>
      <w:r>
        <w:rPr>
          <w:color w:val="2E614A"/>
          <w:spacing w:val="-11"/>
        </w:rPr>
        <w:t> </w:t>
      </w:r>
      <w:r>
        <w:rPr>
          <w:color w:val="2E614A"/>
          <w:spacing w:val="-4"/>
        </w:rPr>
        <w:t>from</w:t>
      </w:r>
      <w:r>
        <w:rPr>
          <w:color w:val="2E614A"/>
          <w:spacing w:val="-11"/>
        </w:rPr>
        <w:t> </w:t>
      </w:r>
      <w:r>
        <w:rPr>
          <w:color w:val="2E614A"/>
          <w:spacing w:val="-4"/>
        </w:rPr>
        <w:t>other</w:t>
      </w:r>
      <w:r>
        <w:rPr>
          <w:color w:val="2E614A"/>
          <w:spacing w:val="-11"/>
        </w:rPr>
        <w:t> </w:t>
      </w:r>
      <w:r>
        <w:rPr>
          <w:color w:val="2E614A"/>
          <w:spacing w:val="-4"/>
        </w:rPr>
        <w:t>sources.</w:t>
      </w:r>
    </w:p>
    <w:p>
      <w:pPr>
        <w:pStyle w:val="BodyText"/>
        <w:spacing w:line="266" w:lineRule="auto" w:before="296"/>
        <w:ind w:left="1080"/>
        <w:jc w:val="both"/>
      </w:pPr>
      <w:r>
        <w:rPr>
          <w:w w:val="90"/>
        </w:rPr>
        <w:t>Private schools play a significant role in dispensing </w:t>
      </w:r>
      <w:r>
        <w:rPr>
          <w:w w:val="90"/>
        </w:rPr>
        <w:t>school </w:t>
      </w:r>
      <w:r>
        <w:rPr/>
        <w:t>education. It is estimated by NUEPA that around 15 per</w:t>
      </w:r>
      <w:r>
        <w:rPr>
          <w:spacing w:val="-6"/>
        </w:rPr>
        <w:t> </w:t>
      </w:r>
      <w:r>
        <w:rPr/>
        <w:t>cent</w:t>
      </w:r>
      <w:r>
        <w:rPr>
          <w:spacing w:val="-5"/>
        </w:rPr>
        <w:t> </w:t>
      </w:r>
      <w:r>
        <w:rPr/>
        <w:t>of</w:t>
      </w:r>
      <w:r>
        <w:rPr>
          <w:spacing w:val="-6"/>
        </w:rPr>
        <w:t> </w:t>
      </w:r>
      <w:r>
        <w:rPr/>
        <w:t>schools</w:t>
      </w:r>
      <w:r>
        <w:rPr>
          <w:spacing w:val="-5"/>
        </w:rPr>
        <w:t> </w:t>
      </w:r>
      <w:r>
        <w:rPr/>
        <w:t>in</w:t>
      </w:r>
      <w:r>
        <w:rPr>
          <w:spacing w:val="-5"/>
        </w:rPr>
        <w:t> </w:t>
      </w:r>
      <w:r>
        <w:rPr/>
        <w:t>the</w:t>
      </w:r>
      <w:r>
        <w:rPr>
          <w:spacing w:val="-6"/>
        </w:rPr>
        <w:t> </w:t>
      </w:r>
      <w:r>
        <w:rPr/>
        <w:t>country</w:t>
      </w:r>
      <w:r>
        <w:rPr>
          <w:spacing w:val="-5"/>
        </w:rPr>
        <w:t> </w:t>
      </w:r>
      <w:r>
        <w:rPr/>
        <w:t>are</w:t>
      </w:r>
      <w:r>
        <w:rPr>
          <w:spacing w:val="-5"/>
        </w:rPr>
        <w:t> </w:t>
      </w:r>
      <w:r>
        <w:rPr/>
        <w:t>privately</w:t>
      </w:r>
      <w:r>
        <w:rPr>
          <w:spacing w:val="-6"/>
        </w:rPr>
        <w:t> </w:t>
      </w:r>
      <w:r>
        <w:rPr>
          <w:spacing w:val="-4"/>
        </w:rPr>
        <w:t>owned</w:t>
      </w:r>
    </w:p>
    <w:p>
      <w:pPr>
        <w:pStyle w:val="BodyText"/>
        <w:spacing w:line="266" w:lineRule="auto" w:before="57"/>
        <w:ind w:left="319" w:right="1077"/>
        <w:jc w:val="both"/>
      </w:pPr>
      <w:r>
        <w:rPr/>
        <w:br w:type="column"/>
      </w:r>
      <w:r>
        <w:rPr>
          <w:spacing w:val="-6"/>
        </w:rPr>
        <w:t>and</w:t>
      </w:r>
      <w:r>
        <w:rPr>
          <w:spacing w:val="-10"/>
        </w:rPr>
        <w:t> </w:t>
      </w:r>
      <w:r>
        <w:rPr>
          <w:spacing w:val="-6"/>
        </w:rPr>
        <w:t>managed,</w:t>
      </w:r>
      <w:r>
        <w:rPr>
          <w:spacing w:val="-8"/>
        </w:rPr>
        <w:t> </w:t>
      </w:r>
      <w:r>
        <w:rPr>
          <w:spacing w:val="-6"/>
        </w:rPr>
        <w:t>while</w:t>
      </w:r>
      <w:r>
        <w:rPr>
          <w:spacing w:val="-8"/>
        </w:rPr>
        <w:t> </w:t>
      </w:r>
      <w:r>
        <w:rPr>
          <w:spacing w:val="-6"/>
        </w:rPr>
        <w:t>in</w:t>
      </w:r>
      <w:r>
        <w:rPr>
          <w:spacing w:val="-7"/>
        </w:rPr>
        <w:t> </w:t>
      </w:r>
      <w:r>
        <w:rPr>
          <w:spacing w:val="-6"/>
        </w:rPr>
        <w:t>some</w:t>
      </w:r>
      <w:r>
        <w:rPr>
          <w:spacing w:val="-8"/>
        </w:rPr>
        <w:t> </w:t>
      </w:r>
      <w:r>
        <w:rPr>
          <w:spacing w:val="-6"/>
        </w:rPr>
        <w:t>urban</w:t>
      </w:r>
      <w:r>
        <w:rPr>
          <w:spacing w:val="-8"/>
        </w:rPr>
        <w:t> </w:t>
      </w:r>
      <w:r>
        <w:rPr>
          <w:spacing w:val="-6"/>
        </w:rPr>
        <w:t>areas,</w:t>
      </w:r>
      <w:r>
        <w:rPr>
          <w:spacing w:val="-8"/>
        </w:rPr>
        <w:t> </w:t>
      </w:r>
      <w:r>
        <w:rPr>
          <w:spacing w:val="-6"/>
        </w:rPr>
        <w:t>private</w:t>
      </w:r>
      <w:r>
        <w:rPr>
          <w:spacing w:val="-7"/>
        </w:rPr>
        <w:t> </w:t>
      </w:r>
      <w:r>
        <w:rPr>
          <w:spacing w:val="-6"/>
        </w:rPr>
        <w:t>schools cater to a very large proportion of school going children. </w:t>
      </w:r>
      <w:r>
        <w:rPr/>
        <w:t>Their role must be recognised, and those </w:t>
      </w:r>
      <w:r>
        <w:rPr/>
        <w:t>providing quality education should be encouraged, especially when</w:t>
      </w:r>
      <w:r>
        <w:rPr>
          <w:spacing w:val="-4"/>
        </w:rPr>
        <w:t> </w:t>
      </w:r>
      <w:r>
        <w:rPr/>
        <w:t>they</w:t>
      </w:r>
      <w:r>
        <w:rPr>
          <w:spacing w:val="-4"/>
        </w:rPr>
        <w:t> </w:t>
      </w:r>
      <w:r>
        <w:rPr/>
        <w:t>cater</w:t>
      </w:r>
      <w:r>
        <w:rPr>
          <w:spacing w:val="-4"/>
        </w:rPr>
        <w:t> </w:t>
      </w:r>
      <w:r>
        <w:rPr/>
        <w:t>to</w:t>
      </w:r>
      <w:r>
        <w:rPr>
          <w:spacing w:val="-4"/>
        </w:rPr>
        <w:t> </w:t>
      </w:r>
      <w:r>
        <w:rPr/>
        <w:t>less</w:t>
      </w:r>
      <w:r>
        <w:rPr>
          <w:spacing w:val="-4"/>
        </w:rPr>
        <w:t> </w:t>
      </w:r>
      <w:r>
        <w:rPr/>
        <w:t>privileged</w:t>
      </w:r>
      <w:r>
        <w:rPr>
          <w:spacing w:val="-4"/>
        </w:rPr>
        <w:t> </w:t>
      </w:r>
      <w:r>
        <w:rPr/>
        <w:t>children.</w:t>
      </w:r>
    </w:p>
    <w:p>
      <w:pPr>
        <w:pStyle w:val="BodyText"/>
        <w:spacing w:before="23"/>
      </w:pPr>
    </w:p>
    <w:p>
      <w:pPr>
        <w:pStyle w:val="BodyText"/>
        <w:spacing w:line="266" w:lineRule="auto"/>
        <w:ind w:left="319" w:right="1077"/>
        <w:jc w:val="both"/>
      </w:pPr>
      <w:r>
        <w:rPr/>
        <w:t>However, many private schools have identified </w:t>
      </w:r>
      <w:r>
        <w:rPr/>
        <w:t>the </w:t>
      </w:r>
      <w:r>
        <w:rPr>
          <w:spacing w:val="-2"/>
        </w:rPr>
        <w:t>time</w:t>
      </w:r>
      <w:r>
        <w:rPr>
          <w:spacing w:val="-7"/>
        </w:rPr>
        <w:t> </w:t>
      </w:r>
      <w:r>
        <w:rPr>
          <w:spacing w:val="-2"/>
        </w:rPr>
        <w:t>consuming</w:t>
      </w:r>
      <w:r>
        <w:rPr>
          <w:spacing w:val="-7"/>
        </w:rPr>
        <w:t> </w:t>
      </w:r>
      <w:r>
        <w:rPr>
          <w:spacing w:val="-2"/>
        </w:rPr>
        <w:t>procedures</w:t>
      </w:r>
      <w:r>
        <w:rPr>
          <w:spacing w:val="-7"/>
        </w:rPr>
        <w:t> </w:t>
      </w:r>
      <w:r>
        <w:rPr>
          <w:spacing w:val="-2"/>
        </w:rPr>
        <w:t>for</w:t>
      </w:r>
      <w:r>
        <w:rPr>
          <w:spacing w:val="-7"/>
        </w:rPr>
        <w:t> </w:t>
      </w:r>
      <w:r>
        <w:rPr>
          <w:spacing w:val="-2"/>
        </w:rPr>
        <w:t>renewal</w:t>
      </w:r>
      <w:r>
        <w:rPr>
          <w:spacing w:val="-7"/>
        </w:rPr>
        <w:t> </w:t>
      </w:r>
      <w:r>
        <w:rPr>
          <w:spacing w:val="-2"/>
        </w:rPr>
        <w:t>of</w:t>
      </w:r>
      <w:r>
        <w:rPr>
          <w:spacing w:val="-7"/>
        </w:rPr>
        <w:t> </w:t>
      </w:r>
      <w:r>
        <w:rPr>
          <w:spacing w:val="-2"/>
        </w:rPr>
        <w:t>recognition </w:t>
      </w:r>
      <w:r>
        <w:rPr/>
        <w:t>from</w:t>
      </w:r>
      <w:r>
        <w:rPr>
          <w:spacing w:val="-7"/>
        </w:rPr>
        <w:t> </w:t>
      </w:r>
      <w:r>
        <w:rPr/>
        <w:t>the</w:t>
      </w:r>
      <w:r>
        <w:rPr>
          <w:spacing w:val="-7"/>
        </w:rPr>
        <w:t> </w:t>
      </w:r>
      <w:r>
        <w:rPr/>
        <w:t>government,</w:t>
      </w:r>
      <w:r>
        <w:rPr>
          <w:spacing w:val="-7"/>
        </w:rPr>
        <w:t> </w:t>
      </w:r>
      <w:r>
        <w:rPr/>
        <w:t>which</w:t>
      </w:r>
      <w:r>
        <w:rPr>
          <w:spacing w:val="-7"/>
        </w:rPr>
        <w:t> </w:t>
      </w:r>
      <w:r>
        <w:rPr/>
        <w:t>have</w:t>
      </w:r>
      <w:r>
        <w:rPr>
          <w:spacing w:val="-7"/>
        </w:rPr>
        <w:t> </w:t>
      </w:r>
      <w:r>
        <w:rPr/>
        <w:t>to</w:t>
      </w:r>
      <w:r>
        <w:rPr>
          <w:spacing w:val="-7"/>
        </w:rPr>
        <w:t> </w:t>
      </w:r>
      <w:r>
        <w:rPr/>
        <w:t>be</w:t>
      </w:r>
      <w:r>
        <w:rPr>
          <w:spacing w:val="-7"/>
        </w:rPr>
        <w:t> </w:t>
      </w:r>
      <w:r>
        <w:rPr/>
        <w:t>undertaken</w:t>
      </w:r>
      <w:r>
        <w:rPr>
          <w:spacing w:val="-7"/>
        </w:rPr>
        <w:t> </w:t>
      </w:r>
      <w:r>
        <w:rPr/>
        <w:t>at </w:t>
      </w:r>
      <w:r>
        <w:rPr>
          <w:spacing w:val="-2"/>
        </w:rPr>
        <w:t>relatively</w:t>
      </w:r>
      <w:r>
        <w:rPr>
          <w:spacing w:val="-12"/>
        </w:rPr>
        <w:t> </w:t>
      </w:r>
      <w:r>
        <w:rPr>
          <w:spacing w:val="-2"/>
        </w:rPr>
        <w:t>frequent</w:t>
      </w:r>
      <w:r>
        <w:rPr>
          <w:spacing w:val="-12"/>
        </w:rPr>
        <w:t> </w:t>
      </w:r>
      <w:r>
        <w:rPr>
          <w:spacing w:val="-2"/>
        </w:rPr>
        <w:t>intervals,</w:t>
      </w:r>
      <w:r>
        <w:rPr>
          <w:spacing w:val="-12"/>
        </w:rPr>
        <w:t> </w:t>
      </w:r>
      <w:r>
        <w:rPr>
          <w:spacing w:val="-2"/>
        </w:rPr>
        <w:t>as</w:t>
      </w:r>
      <w:r>
        <w:rPr>
          <w:spacing w:val="-11"/>
        </w:rPr>
        <w:t> </w:t>
      </w:r>
      <w:r>
        <w:rPr>
          <w:spacing w:val="-2"/>
        </w:rPr>
        <w:t>a</w:t>
      </w:r>
      <w:r>
        <w:rPr>
          <w:spacing w:val="-12"/>
        </w:rPr>
        <w:t> </w:t>
      </w:r>
      <w:r>
        <w:rPr>
          <w:spacing w:val="-2"/>
        </w:rPr>
        <w:t>source</w:t>
      </w:r>
      <w:r>
        <w:rPr>
          <w:spacing w:val="-12"/>
        </w:rPr>
        <w:t> </w:t>
      </w:r>
      <w:r>
        <w:rPr>
          <w:spacing w:val="-2"/>
        </w:rPr>
        <w:t>of</w:t>
      </w:r>
      <w:r>
        <w:rPr>
          <w:spacing w:val="-12"/>
        </w:rPr>
        <w:t> </w:t>
      </w:r>
      <w:r>
        <w:rPr>
          <w:spacing w:val="-2"/>
        </w:rPr>
        <w:t>harassment. </w:t>
      </w:r>
      <w:r>
        <w:rPr/>
        <w:t>It is necessary to simplify the rules and reduce the </w:t>
      </w:r>
      <w:r>
        <w:rPr>
          <w:w w:val="90"/>
        </w:rPr>
        <w:t>multiplicity of clearances required for private schools, by </w:t>
      </w:r>
      <w:r>
        <w:rPr>
          <w:spacing w:val="-6"/>
        </w:rPr>
        <w:t>developing</w:t>
      </w:r>
      <w:r>
        <w:rPr>
          <w:spacing w:val="-8"/>
        </w:rPr>
        <w:t> </w:t>
      </w:r>
      <w:r>
        <w:rPr>
          <w:spacing w:val="-6"/>
        </w:rPr>
        <w:t>a</w:t>
      </w:r>
      <w:r>
        <w:rPr>
          <w:spacing w:val="-7"/>
        </w:rPr>
        <w:t> </w:t>
      </w:r>
      <w:r>
        <w:rPr>
          <w:spacing w:val="-6"/>
        </w:rPr>
        <w:t>modality</w:t>
      </w:r>
      <w:r>
        <w:rPr>
          <w:spacing w:val="-8"/>
        </w:rPr>
        <w:t> </w:t>
      </w:r>
      <w:r>
        <w:rPr>
          <w:spacing w:val="-6"/>
        </w:rPr>
        <w:t>for</w:t>
      </w:r>
      <w:r>
        <w:rPr>
          <w:spacing w:val="-7"/>
        </w:rPr>
        <w:t> </w:t>
      </w:r>
      <w:r>
        <w:rPr>
          <w:spacing w:val="-6"/>
        </w:rPr>
        <w:t>coordinated</w:t>
      </w:r>
      <w:r>
        <w:rPr>
          <w:spacing w:val="-8"/>
        </w:rPr>
        <w:t> </w:t>
      </w:r>
      <w:r>
        <w:rPr>
          <w:spacing w:val="-6"/>
        </w:rPr>
        <w:t>point</w:t>
      </w:r>
      <w:r>
        <w:rPr>
          <w:spacing w:val="-7"/>
        </w:rPr>
        <w:t> </w:t>
      </w:r>
      <w:r>
        <w:rPr>
          <w:spacing w:val="-6"/>
        </w:rPr>
        <w:t>of</w:t>
      </w:r>
      <w:r>
        <w:rPr>
          <w:spacing w:val="-8"/>
        </w:rPr>
        <w:t> </w:t>
      </w:r>
      <w:r>
        <w:rPr>
          <w:spacing w:val="-6"/>
        </w:rPr>
        <w:t>clearance </w:t>
      </w:r>
      <w:r>
        <w:rPr>
          <w:spacing w:val="-2"/>
        </w:rPr>
        <w:t>as</w:t>
      </w:r>
      <w:r>
        <w:rPr>
          <w:spacing w:val="-12"/>
        </w:rPr>
        <w:t> </w:t>
      </w:r>
      <w:r>
        <w:rPr>
          <w:spacing w:val="-2"/>
        </w:rPr>
        <w:t>far</w:t>
      </w:r>
      <w:r>
        <w:rPr>
          <w:spacing w:val="-12"/>
        </w:rPr>
        <w:t> </w:t>
      </w:r>
      <w:r>
        <w:rPr>
          <w:spacing w:val="-2"/>
        </w:rPr>
        <w:t>as</w:t>
      </w:r>
      <w:r>
        <w:rPr>
          <w:spacing w:val="-12"/>
        </w:rPr>
        <w:t> </w:t>
      </w:r>
      <w:r>
        <w:rPr>
          <w:spacing w:val="-2"/>
        </w:rPr>
        <w:t>possible.</w:t>
      </w:r>
      <w:r>
        <w:rPr>
          <w:spacing w:val="-11"/>
        </w:rPr>
        <w:t> </w:t>
      </w:r>
      <w:r>
        <w:rPr>
          <w:spacing w:val="-2"/>
        </w:rPr>
        <w:t>There</w:t>
      </w:r>
      <w:r>
        <w:rPr>
          <w:spacing w:val="-12"/>
        </w:rPr>
        <w:t> </w:t>
      </w:r>
      <w:r>
        <w:rPr>
          <w:spacing w:val="-2"/>
        </w:rPr>
        <w:t>is</w:t>
      </w:r>
      <w:r>
        <w:rPr>
          <w:spacing w:val="-12"/>
        </w:rPr>
        <w:t> </w:t>
      </w:r>
      <w:r>
        <w:rPr>
          <w:spacing w:val="-2"/>
        </w:rPr>
        <w:t>also</w:t>
      </w:r>
      <w:r>
        <w:rPr>
          <w:spacing w:val="-12"/>
        </w:rPr>
        <w:t> </w:t>
      </w:r>
      <w:r>
        <w:rPr>
          <w:spacing w:val="-2"/>
        </w:rPr>
        <w:t>a</w:t>
      </w:r>
      <w:r>
        <w:rPr>
          <w:spacing w:val="-11"/>
        </w:rPr>
        <w:t> </w:t>
      </w:r>
      <w:r>
        <w:rPr>
          <w:spacing w:val="-2"/>
        </w:rPr>
        <w:t>case</w:t>
      </w:r>
      <w:r>
        <w:rPr>
          <w:spacing w:val="-12"/>
        </w:rPr>
        <w:t> </w:t>
      </w:r>
      <w:r>
        <w:rPr>
          <w:spacing w:val="-2"/>
        </w:rPr>
        <w:t>for</w:t>
      </w:r>
      <w:r>
        <w:rPr>
          <w:spacing w:val="-12"/>
        </w:rPr>
        <w:t> </w:t>
      </w:r>
      <w:r>
        <w:rPr>
          <w:spacing w:val="-2"/>
        </w:rPr>
        <w:t>increasing</w:t>
      </w:r>
      <w:r>
        <w:rPr>
          <w:spacing w:val="-12"/>
        </w:rPr>
        <w:t> </w:t>
      </w:r>
      <w:r>
        <w:rPr>
          <w:spacing w:val="-2"/>
        </w:rPr>
        <w:t>the </w:t>
      </w:r>
      <w:r>
        <w:rPr/>
        <w:t>time period for which recognition is granted to such schools, especially those with a proven track record. </w:t>
      </w:r>
      <w:r>
        <w:rPr>
          <w:spacing w:val="-2"/>
        </w:rPr>
        <w:t>Transparency</w:t>
      </w:r>
      <w:r>
        <w:rPr>
          <w:spacing w:val="-9"/>
        </w:rPr>
        <w:t> </w:t>
      </w:r>
      <w:r>
        <w:rPr>
          <w:spacing w:val="-2"/>
        </w:rPr>
        <w:t>in</w:t>
      </w:r>
      <w:r>
        <w:rPr>
          <w:spacing w:val="-9"/>
        </w:rPr>
        <w:t> </w:t>
      </w:r>
      <w:r>
        <w:rPr>
          <w:spacing w:val="-2"/>
        </w:rPr>
        <w:t>dealings</w:t>
      </w:r>
      <w:r>
        <w:rPr>
          <w:spacing w:val="-9"/>
        </w:rPr>
        <w:t> </w:t>
      </w:r>
      <w:r>
        <w:rPr>
          <w:spacing w:val="-2"/>
        </w:rPr>
        <w:t>between</w:t>
      </w:r>
      <w:r>
        <w:rPr>
          <w:spacing w:val="-9"/>
        </w:rPr>
        <w:t> </w:t>
      </w:r>
      <w:r>
        <w:rPr>
          <w:spacing w:val="-2"/>
        </w:rPr>
        <w:t>the</w:t>
      </w:r>
      <w:r>
        <w:rPr>
          <w:spacing w:val="-9"/>
        </w:rPr>
        <w:t> </w:t>
      </w:r>
      <w:r>
        <w:rPr>
          <w:spacing w:val="-2"/>
        </w:rPr>
        <w:t>government</w:t>
      </w:r>
      <w:r>
        <w:rPr>
          <w:spacing w:val="-9"/>
        </w:rPr>
        <w:t> </w:t>
      </w:r>
      <w:r>
        <w:rPr>
          <w:spacing w:val="-2"/>
        </w:rPr>
        <w:t>and </w:t>
      </w:r>
      <w:r>
        <w:rPr/>
        <w:t>private</w:t>
      </w:r>
      <w:r>
        <w:rPr>
          <w:spacing w:val="-14"/>
        </w:rPr>
        <w:t> </w:t>
      </w:r>
      <w:r>
        <w:rPr/>
        <w:t>schools</w:t>
      </w:r>
      <w:r>
        <w:rPr>
          <w:spacing w:val="-14"/>
        </w:rPr>
        <w:t> </w:t>
      </w:r>
      <w:r>
        <w:rPr/>
        <w:t>will</w:t>
      </w:r>
      <w:r>
        <w:rPr>
          <w:spacing w:val="-14"/>
        </w:rPr>
        <w:t> </w:t>
      </w:r>
      <w:r>
        <w:rPr/>
        <w:t>also</w:t>
      </w:r>
      <w:r>
        <w:rPr>
          <w:spacing w:val="-13"/>
        </w:rPr>
        <w:t> </w:t>
      </w:r>
      <w:r>
        <w:rPr/>
        <w:t>be</w:t>
      </w:r>
      <w:r>
        <w:rPr>
          <w:spacing w:val="-14"/>
        </w:rPr>
        <w:t> </w:t>
      </w:r>
      <w:r>
        <w:rPr/>
        <w:t>aided</w:t>
      </w:r>
      <w:r>
        <w:rPr>
          <w:spacing w:val="-14"/>
        </w:rPr>
        <w:t> </w:t>
      </w:r>
      <w:r>
        <w:rPr/>
        <w:t>if</w:t>
      </w:r>
      <w:r>
        <w:rPr>
          <w:spacing w:val="-14"/>
        </w:rPr>
        <w:t> </w:t>
      </w:r>
      <w:r>
        <w:rPr/>
        <w:t>the</w:t>
      </w:r>
      <w:r>
        <w:rPr>
          <w:spacing w:val="-13"/>
        </w:rPr>
        <w:t> </w:t>
      </w:r>
      <w:r>
        <w:rPr/>
        <w:t>information</w:t>
      </w:r>
      <w:r>
        <w:rPr>
          <w:spacing w:val="-14"/>
        </w:rPr>
        <w:t> </w:t>
      </w:r>
      <w:r>
        <w:rPr/>
        <w:t>on rules</w:t>
      </w:r>
      <w:r>
        <w:rPr>
          <w:spacing w:val="-3"/>
        </w:rPr>
        <w:t> </w:t>
      </w:r>
      <w:r>
        <w:rPr/>
        <w:t>and</w:t>
      </w:r>
      <w:r>
        <w:rPr>
          <w:spacing w:val="-3"/>
        </w:rPr>
        <w:t> </w:t>
      </w:r>
      <w:r>
        <w:rPr/>
        <w:t>criteria</w:t>
      </w:r>
      <w:r>
        <w:rPr>
          <w:spacing w:val="-3"/>
        </w:rPr>
        <w:t> </w:t>
      </w:r>
      <w:r>
        <w:rPr/>
        <w:t>for</w:t>
      </w:r>
      <w:r>
        <w:rPr>
          <w:spacing w:val="-3"/>
        </w:rPr>
        <w:t> </w:t>
      </w:r>
      <w:r>
        <w:rPr/>
        <w:t>registration</w:t>
      </w:r>
      <w:r>
        <w:rPr>
          <w:spacing w:val="-3"/>
        </w:rPr>
        <w:t> </w:t>
      </w:r>
      <w:r>
        <w:rPr/>
        <w:t>and</w:t>
      </w:r>
      <w:r>
        <w:rPr>
          <w:spacing w:val="-3"/>
        </w:rPr>
        <w:t> </w:t>
      </w:r>
      <w:r>
        <w:rPr/>
        <w:t>the</w:t>
      </w:r>
      <w:r>
        <w:rPr>
          <w:spacing w:val="-3"/>
        </w:rPr>
        <w:t> </w:t>
      </w:r>
      <w:r>
        <w:rPr/>
        <w:t>results</w:t>
      </w:r>
      <w:r>
        <w:rPr>
          <w:spacing w:val="-3"/>
        </w:rPr>
        <w:t> </w:t>
      </w:r>
      <w:r>
        <w:rPr/>
        <w:t>of</w:t>
      </w:r>
      <w:r>
        <w:rPr>
          <w:spacing w:val="-3"/>
        </w:rPr>
        <w:t> </w:t>
      </w:r>
      <w:r>
        <w:rPr/>
        <w:t>all </w:t>
      </w:r>
      <w:r>
        <w:rPr>
          <w:spacing w:val="-4"/>
        </w:rPr>
        <w:t>school</w:t>
      </w:r>
      <w:r>
        <w:rPr>
          <w:spacing w:val="-10"/>
        </w:rPr>
        <w:t> </w:t>
      </w:r>
      <w:r>
        <w:rPr>
          <w:spacing w:val="-4"/>
        </w:rPr>
        <w:t>applications</w:t>
      </w:r>
      <w:r>
        <w:rPr>
          <w:spacing w:val="-10"/>
        </w:rPr>
        <w:t> </w:t>
      </w:r>
      <w:r>
        <w:rPr>
          <w:spacing w:val="-4"/>
        </w:rPr>
        <w:t>for</w:t>
      </w:r>
      <w:r>
        <w:rPr>
          <w:spacing w:val="-10"/>
        </w:rPr>
        <w:t> </w:t>
      </w:r>
      <w:r>
        <w:rPr>
          <w:spacing w:val="-4"/>
        </w:rPr>
        <w:t>granting</w:t>
      </w:r>
      <w:r>
        <w:rPr>
          <w:spacing w:val="-9"/>
        </w:rPr>
        <w:t> </w:t>
      </w:r>
      <w:r>
        <w:rPr>
          <w:spacing w:val="-4"/>
        </w:rPr>
        <w:t>of</w:t>
      </w:r>
      <w:r>
        <w:rPr>
          <w:spacing w:val="-10"/>
        </w:rPr>
        <w:t> </w:t>
      </w:r>
      <w:r>
        <w:rPr>
          <w:spacing w:val="-4"/>
        </w:rPr>
        <w:t>recognition</w:t>
      </w:r>
      <w:r>
        <w:rPr>
          <w:spacing w:val="-10"/>
        </w:rPr>
        <w:t> </w:t>
      </w:r>
      <w:r>
        <w:rPr>
          <w:spacing w:val="-4"/>
        </w:rPr>
        <w:t>are</w:t>
      </w:r>
      <w:r>
        <w:rPr>
          <w:spacing w:val="-10"/>
        </w:rPr>
        <w:t> </w:t>
      </w:r>
      <w:r>
        <w:rPr>
          <w:spacing w:val="-4"/>
        </w:rPr>
        <w:t>made </w:t>
      </w:r>
      <w:r>
        <w:rPr/>
        <w:t>public</w:t>
      </w:r>
      <w:r>
        <w:rPr>
          <w:spacing w:val="-8"/>
        </w:rPr>
        <w:t> </w:t>
      </w:r>
      <w:r>
        <w:rPr/>
        <w:t>in</w:t>
      </w:r>
      <w:r>
        <w:rPr>
          <w:spacing w:val="-8"/>
        </w:rPr>
        <w:t> </w:t>
      </w:r>
      <w:r>
        <w:rPr/>
        <w:t>an</w:t>
      </w:r>
      <w:r>
        <w:rPr>
          <w:spacing w:val="-8"/>
        </w:rPr>
        <w:t> </w:t>
      </w:r>
      <w:r>
        <w:rPr/>
        <w:t>accessible</w:t>
      </w:r>
      <w:r>
        <w:rPr>
          <w:spacing w:val="-8"/>
        </w:rPr>
        <w:t> </w:t>
      </w:r>
      <w:r>
        <w:rPr/>
        <w:t>form,</w:t>
      </w:r>
      <w:r>
        <w:rPr>
          <w:spacing w:val="-8"/>
        </w:rPr>
        <w:t> </w:t>
      </w:r>
      <w:r>
        <w:rPr/>
        <w:t>including</w:t>
      </w:r>
      <w:r>
        <w:rPr>
          <w:spacing w:val="-8"/>
        </w:rPr>
        <w:t> </w:t>
      </w:r>
      <w:r>
        <w:rPr/>
        <w:t>by</w:t>
      </w:r>
      <w:r>
        <w:rPr>
          <w:spacing w:val="-8"/>
        </w:rPr>
        <w:t> </w:t>
      </w:r>
      <w:r>
        <w:rPr/>
        <w:t>making</w:t>
      </w:r>
      <w:r>
        <w:rPr>
          <w:spacing w:val="-8"/>
        </w:rPr>
        <w:t> </w:t>
      </w:r>
      <w:r>
        <w:rPr/>
        <w:t>the relevant</w:t>
      </w:r>
      <w:r>
        <w:rPr>
          <w:spacing w:val="-9"/>
        </w:rPr>
        <w:t> </w:t>
      </w:r>
      <w:r>
        <w:rPr/>
        <w:t>information</w:t>
      </w:r>
      <w:r>
        <w:rPr>
          <w:spacing w:val="-9"/>
        </w:rPr>
        <w:t> </w:t>
      </w:r>
      <w:r>
        <w:rPr/>
        <w:t>available</w:t>
      </w:r>
      <w:r>
        <w:rPr>
          <w:spacing w:val="-9"/>
        </w:rPr>
        <w:t> </w:t>
      </w:r>
      <w:r>
        <w:rPr/>
        <w:t>on</w:t>
      </w:r>
      <w:r>
        <w:rPr>
          <w:spacing w:val="-9"/>
        </w:rPr>
        <w:t> </w:t>
      </w:r>
      <w:r>
        <w:rPr/>
        <w:t>websites.</w:t>
      </w:r>
    </w:p>
    <w:p>
      <w:pPr>
        <w:pStyle w:val="BodyText"/>
        <w:spacing w:before="14"/>
      </w:pPr>
    </w:p>
    <w:p>
      <w:pPr>
        <w:pStyle w:val="BodyText"/>
        <w:spacing w:line="266" w:lineRule="auto"/>
        <w:ind w:left="319" w:right="1077"/>
        <w:jc w:val="both"/>
      </w:pPr>
      <w:r>
        <w:rPr>
          <w:spacing w:val="-4"/>
        </w:rPr>
        <w:t>Those charitable schools that provide quality </w:t>
      </w:r>
      <w:r>
        <w:rPr>
          <w:spacing w:val="-4"/>
        </w:rPr>
        <w:t>education </w:t>
      </w:r>
      <w:r>
        <w:rPr/>
        <w:t>to children from underprivileged and marginalised </w:t>
      </w:r>
      <w:r>
        <w:rPr>
          <w:spacing w:val="-4"/>
        </w:rPr>
        <w:t>sections</w:t>
      </w:r>
      <w:r>
        <w:rPr>
          <w:spacing w:val="-5"/>
        </w:rPr>
        <w:t> </w:t>
      </w:r>
      <w:r>
        <w:rPr>
          <w:spacing w:val="-4"/>
        </w:rPr>
        <w:t>of</w:t>
      </w:r>
      <w:r>
        <w:rPr>
          <w:spacing w:val="-5"/>
        </w:rPr>
        <w:t> </w:t>
      </w:r>
      <w:r>
        <w:rPr>
          <w:spacing w:val="-4"/>
        </w:rPr>
        <w:t>society</w:t>
      </w:r>
      <w:r>
        <w:rPr>
          <w:spacing w:val="-5"/>
        </w:rPr>
        <w:t> </w:t>
      </w:r>
      <w:r>
        <w:rPr>
          <w:spacing w:val="-4"/>
        </w:rPr>
        <w:t>deserve</w:t>
      </w:r>
      <w:r>
        <w:rPr>
          <w:spacing w:val="-5"/>
        </w:rPr>
        <w:t> </w:t>
      </w:r>
      <w:r>
        <w:rPr>
          <w:spacing w:val="-4"/>
        </w:rPr>
        <w:t>encouragement,</w:t>
      </w:r>
      <w:r>
        <w:rPr>
          <w:spacing w:val="-5"/>
        </w:rPr>
        <w:t> </w:t>
      </w:r>
      <w:r>
        <w:rPr>
          <w:spacing w:val="-4"/>
        </w:rPr>
        <w:t>and</w:t>
      </w:r>
      <w:r>
        <w:rPr>
          <w:spacing w:val="-5"/>
        </w:rPr>
        <w:t> </w:t>
      </w:r>
      <w:r>
        <w:rPr>
          <w:spacing w:val="-4"/>
        </w:rPr>
        <w:t>may</w:t>
      </w:r>
      <w:r>
        <w:rPr>
          <w:spacing w:val="-5"/>
        </w:rPr>
        <w:t> </w:t>
      </w:r>
      <w:r>
        <w:rPr>
          <w:spacing w:val="-4"/>
        </w:rPr>
        <w:t>be </w:t>
      </w:r>
      <w:r>
        <w:rPr>
          <w:spacing w:val="-8"/>
        </w:rPr>
        <w:t>considered</w:t>
      </w:r>
      <w:r>
        <w:rPr>
          <w:spacing w:val="-6"/>
        </w:rPr>
        <w:t> </w:t>
      </w:r>
      <w:r>
        <w:rPr>
          <w:spacing w:val="-8"/>
        </w:rPr>
        <w:t>for</w:t>
      </w:r>
      <w:r>
        <w:rPr>
          <w:spacing w:val="-6"/>
        </w:rPr>
        <w:t> </w:t>
      </w:r>
      <w:r>
        <w:rPr>
          <w:spacing w:val="-8"/>
        </w:rPr>
        <w:t>receipt</w:t>
      </w:r>
      <w:r>
        <w:rPr>
          <w:spacing w:val="-6"/>
        </w:rPr>
        <w:t> </w:t>
      </w:r>
      <w:r>
        <w:rPr>
          <w:spacing w:val="-8"/>
        </w:rPr>
        <w:t>of</w:t>
      </w:r>
      <w:r>
        <w:rPr>
          <w:spacing w:val="-5"/>
        </w:rPr>
        <w:t> </w:t>
      </w:r>
      <w:r>
        <w:rPr>
          <w:spacing w:val="-8"/>
        </w:rPr>
        <w:t>government</w:t>
      </w:r>
      <w:r>
        <w:rPr>
          <w:spacing w:val="-6"/>
        </w:rPr>
        <w:t> </w:t>
      </w:r>
      <w:r>
        <w:rPr>
          <w:spacing w:val="-8"/>
        </w:rPr>
        <w:t>resources,</w:t>
      </w:r>
      <w:r>
        <w:rPr>
          <w:spacing w:val="-6"/>
        </w:rPr>
        <w:t> </w:t>
      </w:r>
      <w:r>
        <w:rPr>
          <w:spacing w:val="-8"/>
        </w:rPr>
        <w:t>according </w:t>
      </w:r>
      <w:r>
        <w:rPr/>
        <w:t>to</w:t>
      </w:r>
      <w:r>
        <w:rPr>
          <w:spacing w:val="-1"/>
        </w:rPr>
        <w:t> </w:t>
      </w:r>
      <w:r>
        <w:rPr/>
        <w:t>transparent</w:t>
      </w:r>
      <w:r>
        <w:rPr>
          <w:spacing w:val="-1"/>
        </w:rPr>
        <w:t> </w:t>
      </w:r>
      <w:r>
        <w:rPr/>
        <w:t>and</w:t>
      </w:r>
      <w:r>
        <w:rPr>
          <w:spacing w:val="-1"/>
        </w:rPr>
        <w:t> </w:t>
      </w:r>
      <w:r>
        <w:rPr/>
        <w:t>norm-based</w:t>
      </w:r>
      <w:r>
        <w:rPr>
          <w:spacing w:val="-1"/>
        </w:rPr>
        <w:t> </w:t>
      </w:r>
      <w:r>
        <w:rPr/>
        <w:t>procedures.</w:t>
      </w:r>
      <w:r>
        <w:rPr>
          <w:spacing w:val="-1"/>
        </w:rPr>
        <w:t> </w:t>
      </w:r>
      <w:r>
        <w:rPr/>
        <w:t>However, all mechanisms of government aid disbursement to </w:t>
      </w:r>
      <w:r>
        <w:rPr>
          <w:spacing w:val="-4"/>
        </w:rPr>
        <w:t>privately</w:t>
      </w:r>
      <w:r>
        <w:rPr>
          <w:spacing w:val="-10"/>
        </w:rPr>
        <w:t> </w:t>
      </w:r>
      <w:r>
        <w:rPr>
          <w:spacing w:val="-4"/>
        </w:rPr>
        <w:t>run</w:t>
      </w:r>
      <w:r>
        <w:rPr>
          <w:spacing w:val="-10"/>
        </w:rPr>
        <w:t> </w:t>
      </w:r>
      <w:r>
        <w:rPr>
          <w:spacing w:val="-4"/>
        </w:rPr>
        <w:t>schools</w:t>
      </w:r>
      <w:r>
        <w:rPr>
          <w:spacing w:val="-9"/>
        </w:rPr>
        <w:t> </w:t>
      </w:r>
      <w:r>
        <w:rPr>
          <w:spacing w:val="-4"/>
        </w:rPr>
        <w:t>should</w:t>
      </w:r>
      <w:r>
        <w:rPr>
          <w:spacing w:val="-10"/>
        </w:rPr>
        <w:t> </w:t>
      </w:r>
      <w:r>
        <w:rPr>
          <w:spacing w:val="-4"/>
        </w:rPr>
        <w:t>be</w:t>
      </w:r>
      <w:r>
        <w:rPr>
          <w:spacing w:val="-10"/>
        </w:rPr>
        <w:t> </w:t>
      </w:r>
      <w:r>
        <w:rPr>
          <w:spacing w:val="-4"/>
        </w:rPr>
        <w:t>transparently</w:t>
      </w:r>
      <w:r>
        <w:rPr>
          <w:spacing w:val="-9"/>
        </w:rPr>
        <w:t> </w:t>
      </w:r>
      <w:r>
        <w:rPr>
          <w:spacing w:val="-4"/>
        </w:rPr>
        <w:t>conducted </w:t>
      </w:r>
      <w:r>
        <w:rPr/>
        <w:t>and according to defined norms.</w:t>
      </w:r>
    </w:p>
    <w:p>
      <w:pPr>
        <w:pStyle w:val="BodyText"/>
        <w:spacing w:before="21"/>
      </w:pPr>
    </w:p>
    <w:p>
      <w:pPr>
        <w:pStyle w:val="BodyText"/>
        <w:spacing w:line="266" w:lineRule="auto"/>
        <w:ind w:left="319" w:right="1077"/>
        <w:jc w:val="both"/>
      </w:pPr>
      <w:r>
        <w:rPr>
          <w:spacing w:val="-4"/>
        </w:rPr>
        <w:t>There</w:t>
      </w:r>
      <w:r>
        <w:rPr>
          <w:spacing w:val="-5"/>
        </w:rPr>
        <w:t> </w:t>
      </w:r>
      <w:r>
        <w:rPr>
          <w:spacing w:val="-4"/>
        </w:rPr>
        <w:t>is</w:t>
      </w:r>
      <w:r>
        <w:rPr>
          <w:spacing w:val="-5"/>
        </w:rPr>
        <w:t> </w:t>
      </w:r>
      <w:r>
        <w:rPr>
          <w:spacing w:val="-4"/>
        </w:rPr>
        <w:t>a</w:t>
      </w:r>
      <w:r>
        <w:rPr>
          <w:spacing w:val="-5"/>
        </w:rPr>
        <w:t> </w:t>
      </w:r>
      <w:r>
        <w:rPr>
          <w:spacing w:val="-4"/>
        </w:rPr>
        <w:t>widespread</w:t>
      </w:r>
      <w:r>
        <w:rPr>
          <w:spacing w:val="-5"/>
        </w:rPr>
        <w:t> </w:t>
      </w:r>
      <w:r>
        <w:rPr>
          <w:spacing w:val="-4"/>
        </w:rPr>
        <w:t>perception</w:t>
      </w:r>
      <w:r>
        <w:rPr>
          <w:spacing w:val="-5"/>
        </w:rPr>
        <w:t> </w:t>
      </w:r>
      <w:r>
        <w:rPr>
          <w:spacing w:val="-4"/>
        </w:rPr>
        <w:t>that</w:t>
      </w:r>
      <w:r>
        <w:rPr>
          <w:spacing w:val="-5"/>
        </w:rPr>
        <w:t> </w:t>
      </w:r>
      <w:r>
        <w:rPr>
          <w:spacing w:val="-4"/>
        </w:rPr>
        <w:t>government</w:t>
      </w:r>
      <w:r>
        <w:rPr>
          <w:spacing w:val="-5"/>
        </w:rPr>
        <w:t> </w:t>
      </w:r>
      <w:r>
        <w:rPr>
          <w:spacing w:val="-4"/>
        </w:rPr>
        <w:t>rules </w:t>
      </w:r>
      <w:r>
        <w:rPr/>
        <w:t>currently</w:t>
      </w:r>
      <w:r>
        <w:rPr>
          <w:spacing w:val="-11"/>
        </w:rPr>
        <w:t> </w:t>
      </w:r>
      <w:r>
        <w:rPr/>
        <w:t>reduce</w:t>
      </w:r>
      <w:r>
        <w:rPr>
          <w:spacing w:val="-11"/>
        </w:rPr>
        <w:t> </w:t>
      </w:r>
      <w:r>
        <w:rPr/>
        <w:t>the</w:t>
      </w:r>
      <w:r>
        <w:rPr>
          <w:spacing w:val="-11"/>
        </w:rPr>
        <w:t> </w:t>
      </w:r>
      <w:r>
        <w:rPr/>
        <w:t>ability</w:t>
      </w:r>
      <w:r>
        <w:rPr>
          <w:spacing w:val="-11"/>
        </w:rPr>
        <w:t> </w:t>
      </w:r>
      <w:r>
        <w:rPr/>
        <w:t>of</w:t>
      </w:r>
      <w:r>
        <w:rPr>
          <w:spacing w:val="-11"/>
        </w:rPr>
        <w:t> </w:t>
      </w:r>
      <w:r>
        <w:rPr/>
        <w:t>school</w:t>
      </w:r>
      <w:r>
        <w:rPr>
          <w:spacing w:val="-11"/>
        </w:rPr>
        <w:t> </w:t>
      </w:r>
      <w:r>
        <w:rPr/>
        <w:t>managements</w:t>
      </w:r>
      <w:r>
        <w:rPr>
          <w:spacing w:val="-11"/>
        </w:rPr>
        <w:t> </w:t>
      </w:r>
      <w:r>
        <w:rPr/>
        <w:t>to raise resources from other sources for the expansion of infrastructure or to provide other facilities. This varies across states, but in general in most states the current</w:t>
      </w:r>
      <w:r>
        <w:rPr>
          <w:spacing w:val="-9"/>
        </w:rPr>
        <w:t> </w:t>
      </w:r>
      <w:r>
        <w:rPr/>
        <w:t>system</w:t>
      </w:r>
      <w:r>
        <w:rPr>
          <w:spacing w:val="-9"/>
        </w:rPr>
        <w:t> </w:t>
      </w:r>
      <w:r>
        <w:rPr/>
        <w:t>does</w:t>
      </w:r>
      <w:r>
        <w:rPr>
          <w:spacing w:val="-9"/>
        </w:rPr>
        <w:t> </w:t>
      </w:r>
      <w:r>
        <w:rPr/>
        <w:t>allow</w:t>
      </w:r>
      <w:r>
        <w:rPr>
          <w:spacing w:val="-9"/>
        </w:rPr>
        <w:t> </w:t>
      </w:r>
      <w:r>
        <w:rPr/>
        <w:t>schools</w:t>
      </w:r>
      <w:r>
        <w:rPr>
          <w:spacing w:val="-9"/>
        </w:rPr>
        <w:t> </w:t>
      </w:r>
      <w:r>
        <w:rPr/>
        <w:t>to</w:t>
      </w:r>
      <w:r>
        <w:rPr>
          <w:spacing w:val="-9"/>
        </w:rPr>
        <w:t> </w:t>
      </w:r>
      <w:r>
        <w:rPr/>
        <w:t>raise</w:t>
      </w:r>
      <w:r>
        <w:rPr>
          <w:spacing w:val="-9"/>
        </w:rPr>
        <w:t> </w:t>
      </w:r>
      <w:r>
        <w:rPr/>
        <w:t>funds</w:t>
      </w:r>
      <w:r>
        <w:rPr>
          <w:spacing w:val="-9"/>
        </w:rPr>
        <w:t> </w:t>
      </w:r>
      <w:r>
        <w:rPr/>
        <w:t>from donations,</w:t>
      </w:r>
      <w:r>
        <w:rPr>
          <w:spacing w:val="-14"/>
        </w:rPr>
        <w:t> </w:t>
      </w:r>
      <w:r>
        <w:rPr/>
        <w:t>resources</w:t>
      </w:r>
      <w:r>
        <w:rPr>
          <w:spacing w:val="-14"/>
        </w:rPr>
        <w:t> </w:t>
      </w:r>
      <w:r>
        <w:rPr/>
        <w:t>extended</w:t>
      </w:r>
      <w:r>
        <w:rPr>
          <w:spacing w:val="-14"/>
        </w:rPr>
        <w:t> </w:t>
      </w:r>
      <w:r>
        <w:rPr/>
        <w:t>from</w:t>
      </w:r>
      <w:r>
        <w:rPr>
          <w:spacing w:val="-13"/>
        </w:rPr>
        <w:t> </w:t>
      </w:r>
      <w:r>
        <w:rPr/>
        <w:t>the</w:t>
      </w:r>
      <w:r>
        <w:rPr>
          <w:spacing w:val="-14"/>
        </w:rPr>
        <w:t> </w:t>
      </w:r>
      <w:r>
        <w:rPr/>
        <w:t>panchayat</w:t>
      </w:r>
      <w:r>
        <w:rPr>
          <w:spacing w:val="-14"/>
        </w:rPr>
        <w:t> </w:t>
      </w:r>
      <w:r>
        <w:rPr/>
        <w:t>and other</w:t>
      </w:r>
      <w:r>
        <w:rPr>
          <w:spacing w:val="-1"/>
        </w:rPr>
        <w:t> </w:t>
      </w:r>
      <w:r>
        <w:rPr/>
        <w:t>sources.</w:t>
      </w:r>
      <w:r>
        <w:rPr>
          <w:spacing w:val="-1"/>
        </w:rPr>
        <w:t> </w:t>
      </w:r>
      <w:r>
        <w:rPr/>
        <w:t>However,</w:t>
      </w:r>
      <w:r>
        <w:rPr>
          <w:spacing w:val="-1"/>
        </w:rPr>
        <w:t> </w:t>
      </w:r>
      <w:r>
        <w:rPr/>
        <w:t>it</w:t>
      </w:r>
      <w:r>
        <w:rPr>
          <w:spacing w:val="-1"/>
        </w:rPr>
        <w:t> </w:t>
      </w:r>
      <w:r>
        <w:rPr/>
        <w:t>is</w:t>
      </w:r>
      <w:r>
        <w:rPr>
          <w:spacing w:val="-1"/>
        </w:rPr>
        <w:t> </w:t>
      </w:r>
      <w:r>
        <w:rPr/>
        <w:t>important</w:t>
      </w:r>
      <w:r>
        <w:rPr>
          <w:spacing w:val="-1"/>
        </w:rPr>
        <w:t> </w:t>
      </w:r>
      <w:r>
        <w:rPr/>
        <w:t>to</w:t>
      </w:r>
      <w:r>
        <w:rPr>
          <w:spacing w:val="-1"/>
        </w:rPr>
        <w:t> </w:t>
      </w:r>
      <w:r>
        <w:rPr/>
        <w:t>ensure</w:t>
      </w:r>
      <w:r>
        <w:rPr>
          <w:spacing w:val="-1"/>
        </w:rPr>
        <w:t> </w:t>
      </w:r>
      <w:r>
        <w:rPr/>
        <w:t>that </w:t>
      </w:r>
      <w:r>
        <w:rPr>
          <w:spacing w:val="-2"/>
        </w:rPr>
        <w:t>the</w:t>
      </w:r>
      <w:r>
        <w:rPr>
          <w:spacing w:val="-12"/>
        </w:rPr>
        <w:t> </w:t>
      </w:r>
      <w:r>
        <w:rPr>
          <w:spacing w:val="-2"/>
        </w:rPr>
        <w:t>available</w:t>
      </w:r>
      <w:r>
        <w:rPr>
          <w:spacing w:val="-12"/>
        </w:rPr>
        <w:t> </w:t>
      </w:r>
      <w:r>
        <w:rPr>
          <w:spacing w:val="-2"/>
        </w:rPr>
        <w:t>flexibility</w:t>
      </w:r>
      <w:r>
        <w:rPr>
          <w:spacing w:val="-12"/>
        </w:rPr>
        <w:t> </w:t>
      </w:r>
      <w:r>
        <w:rPr>
          <w:spacing w:val="-2"/>
        </w:rPr>
        <w:t>for</w:t>
      </w:r>
      <w:r>
        <w:rPr>
          <w:spacing w:val="-11"/>
        </w:rPr>
        <w:t> </w:t>
      </w:r>
      <w:r>
        <w:rPr>
          <w:spacing w:val="-2"/>
        </w:rPr>
        <w:t>school</w:t>
      </w:r>
      <w:r>
        <w:rPr>
          <w:spacing w:val="-12"/>
        </w:rPr>
        <w:t> </w:t>
      </w:r>
      <w:r>
        <w:rPr>
          <w:spacing w:val="-2"/>
        </w:rPr>
        <w:t>management</w:t>
      </w:r>
      <w:r>
        <w:rPr>
          <w:spacing w:val="-12"/>
        </w:rPr>
        <w:t> </w:t>
      </w:r>
      <w:r>
        <w:rPr>
          <w:spacing w:val="-2"/>
        </w:rPr>
        <w:t>to</w:t>
      </w:r>
      <w:r>
        <w:rPr>
          <w:spacing w:val="-12"/>
        </w:rPr>
        <w:t> </w:t>
      </w:r>
      <w:r>
        <w:rPr>
          <w:spacing w:val="-2"/>
        </w:rPr>
        <w:t>raise </w:t>
      </w:r>
      <w:r>
        <w:rPr/>
        <w:t>resources</w:t>
      </w:r>
      <w:r>
        <w:rPr>
          <w:spacing w:val="-2"/>
        </w:rPr>
        <w:t> </w:t>
      </w:r>
      <w:r>
        <w:rPr/>
        <w:t>should</w:t>
      </w:r>
      <w:r>
        <w:rPr>
          <w:spacing w:val="-2"/>
        </w:rPr>
        <w:t> </w:t>
      </w:r>
      <w:r>
        <w:rPr/>
        <w:t>be</w:t>
      </w:r>
      <w:r>
        <w:rPr>
          <w:spacing w:val="-2"/>
        </w:rPr>
        <w:t> </w:t>
      </w:r>
      <w:r>
        <w:rPr/>
        <w:t>widely</w:t>
      </w:r>
      <w:r>
        <w:rPr>
          <w:spacing w:val="-2"/>
        </w:rPr>
        <w:t> </w:t>
      </w:r>
      <w:r>
        <w:rPr/>
        <w:t>known</w:t>
      </w:r>
      <w:r>
        <w:rPr>
          <w:spacing w:val="-2"/>
        </w:rPr>
        <w:t> </w:t>
      </w:r>
      <w:r>
        <w:rPr/>
        <w:t>and</w:t>
      </w:r>
      <w:r>
        <w:rPr>
          <w:spacing w:val="-2"/>
        </w:rPr>
        <w:t> </w:t>
      </w:r>
      <w:r>
        <w:rPr/>
        <w:t>publicised.</w:t>
      </w:r>
      <w:r>
        <w:rPr>
          <w:spacing w:val="-2"/>
        </w:rPr>
        <w:t> </w:t>
      </w:r>
      <w:r>
        <w:rPr/>
        <w:t>In addition, innovative methods of raising additional </w:t>
      </w:r>
      <w:r>
        <w:rPr>
          <w:spacing w:val="-8"/>
        </w:rPr>
        <w:t>resources</w:t>
      </w:r>
      <w:r>
        <w:rPr>
          <w:spacing w:val="-6"/>
        </w:rPr>
        <w:t> </w:t>
      </w:r>
      <w:r>
        <w:rPr>
          <w:spacing w:val="-8"/>
        </w:rPr>
        <w:t>could</w:t>
      </w:r>
      <w:r>
        <w:rPr>
          <w:spacing w:val="-6"/>
        </w:rPr>
        <w:t> </w:t>
      </w:r>
      <w:r>
        <w:rPr>
          <w:spacing w:val="-8"/>
        </w:rPr>
        <w:t>be</w:t>
      </w:r>
      <w:r>
        <w:rPr>
          <w:spacing w:val="-6"/>
        </w:rPr>
        <w:t> </w:t>
      </w:r>
      <w:r>
        <w:rPr>
          <w:spacing w:val="-8"/>
        </w:rPr>
        <w:t>allowed</w:t>
      </w:r>
      <w:r>
        <w:rPr>
          <w:spacing w:val="-5"/>
        </w:rPr>
        <w:t> </w:t>
      </w:r>
      <w:r>
        <w:rPr>
          <w:spacing w:val="-8"/>
        </w:rPr>
        <w:t>and</w:t>
      </w:r>
      <w:r>
        <w:rPr>
          <w:spacing w:val="-6"/>
        </w:rPr>
        <w:t> </w:t>
      </w:r>
      <w:r>
        <w:rPr>
          <w:spacing w:val="-8"/>
        </w:rPr>
        <w:t>encouraged.</w:t>
      </w:r>
      <w:r>
        <w:rPr>
          <w:spacing w:val="-6"/>
        </w:rPr>
        <w:t> </w:t>
      </w:r>
      <w:r>
        <w:rPr>
          <w:spacing w:val="-8"/>
        </w:rPr>
        <w:t>For</w:t>
      </w:r>
      <w:r>
        <w:rPr>
          <w:spacing w:val="-6"/>
        </w:rPr>
        <w:t> </w:t>
      </w:r>
      <w:r>
        <w:rPr>
          <w:spacing w:val="-8"/>
        </w:rPr>
        <w:t>example, </w:t>
      </w:r>
      <w:r>
        <w:rPr/>
        <w:t>schools, particularly in urban areas, could use assets such</w:t>
      </w:r>
      <w:r>
        <w:rPr>
          <w:spacing w:val="-13"/>
        </w:rPr>
        <w:t> </w:t>
      </w:r>
      <w:r>
        <w:rPr/>
        <w:t>as</w:t>
      </w:r>
      <w:r>
        <w:rPr>
          <w:spacing w:val="-13"/>
        </w:rPr>
        <w:t> </w:t>
      </w:r>
      <w:r>
        <w:rPr/>
        <w:t>buildings</w:t>
      </w:r>
      <w:r>
        <w:rPr>
          <w:spacing w:val="-13"/>
        </w:rPr>
        <w:t> </w:t>
      </w:r>
      <w:r>
        <w:rPr/>
        <w:t>during</w:t>
      </w:r>
      <w:r>
        <w:rPr>
          <w:spacing w:val="-13"/>
        </w:rPr>
        <w:t> </w:t>
      </w:r>
      <w:r>
        <w:rPr/>
        <w:t>non-school</w:t>
      </w:r>
      <w:r>
        <w:rPr>
          <w:spacing w:val="-13"/>
        </w:rPr>
        <w:t> </w:t>
      </w:r>
      <w:r>
        <w:rPr/>
        <w:t>hours</w:t>
      </w:r>
      <w:r>
        <w:rPr>
          <w:spacing w:val="-13"/>
        </w:rPr>
        <w:t> </w:t>
      </w:r>
      <w:r>
        <w:rPr/>
        <w:t>to</w:t>
      </w:r>
      <w:r>
        <w:rPr>
          <w:spacing w:val="-13"/>
        </w:rPr>
        <w:t> </w:t>
      </w:r>
      <w:r>
        <w:rPr/>
        <w:t>generate additional</w:t>
      </w:r>
      <w:r>
        <w:rPr>
          <w:spacing w:val="-3"/>
        </w:rPr>
        <w:t> </w:t>
      </w:r>
      <w:r>
        <w:rPr/>
        <w:t>funds</w:t>
      </w:r>
      <w:r>
        <w:rPr>
          <w:spacing w:val="-3"/>
        </w:rPr>
        <w:t> </w:t>
      </w:r>
      <w:r>
        <w:rPr/>
        <w:t>to</w:t>
      </w:r>
      <w:r>
        <w:rPr>
          <w:spacing w:val="-3"/>
        </w:rPr>
        <w:t> </w:t>
      </w:r>
      <w:r>
        <w:rPr/>
        <w:t>improve</w:t>
      </w:r>
      <w:r>
        <w:rPr>
          <w:spacing w:val="-3"/>
        </w:rPr>
        <w:t> </w:t>
      </w:r>
      <w:r>
        <w:rPr/>
        <w:t>the</w:t>
      </w:r>
      <w:r>
        <w:rPr>
          <w:spacing w:val="-3"/>
        </w:rPr>
        <w:t> </w:t>
      </w:r>
      <w:r>
        <w:rPr/>
        <w:t>quality</w:t>
      </w:r>
      <w:r>
        <w:rPr>
          <w:spacing w:val="-3"/>
        </w:rPr>
        <w:t> </w:t>
      </w:r>
      <w:r>
        <w:rPr/>
        <w:t>of</w:t>
      </w:r>
      <w:r>
        <w:rPr>
          <w:spacing w:val="-3"/>
        </w:rPr>
        <w:t> </w:t>
      </w:r>
      <w:r>
        <w:rPr/>
        <w:t>facilities.</w:t>
      </w:r>
    </w:p>
    <w:p>
      <w:pPr>
        <w:pStyle w:val="Heading7"/>
        <w:numPr>
          <w:ilvl w:val="1"/>
          <w:numId w:val="14"/>
        </w:numPr>
        <w:tabs>
          <w:tab w:pos="717" w:val="left" w:leader="none"/>
        </w:tabs>
        <w:spacing w:line="225" w:lineRule="auto" w:before="245" w:after="0"/>
        <w:ind w:left="717" w:right="1393" w:hanging="398"/>
        <w:jc w:val="left"/>
      </w:pPr>
      <w:r>
        <w:rPr>
          <w:color w:val="2E614A"/>
          <w:spacing w:val="-4"/>
        </w:rPr>
        <w:t>Illiteracy</w:t>
      </w:r>
      <w:r>
        <w:rPr>
          <w:color w:val="2E614A"/>
          <w:spacing w:val="-13"/>
        </w:rPr>
        <w:t> </w:t>
      </w:r>
      <w:r>
        <w:rPr>
          <w:color w:val="2E614A"/>
          <w:spacing w:val="-4"/>
        </w:rPr>
        <w:t>remains</w:t>
      </w:r>
      <w:r>
        <w:rPr>
          <w:color w:val="2E614A"/>
          <w:spacing w:val="-12"/>
        </w:rPr>
        <w:t> </w:t>
      </w:r>
      <w:r>
        <w:rPr>
          <w:color w:val="2E614A"/>
          <w:spacing w:val="-4"/>
        </w:rPr>
        <w:t>a</w:t>
      </w:r>
      <w:r>
        <w:rPr>
          <w:color w:val="2E614A"/>
          <w:spacing w:val="-12"/>
        </w:rPr>
        <w:t> </w:t>
      </w:r>
      <w:r>
        <w:rPr>
          <w:color w:val="2E614A"/>
          <w:spacing w:val="-4"/>
        </w:rPr>
        <w:t>major</w:t>
      </w:r>
      <w:r>
        <w:rPr>
          <w:color w:val="2E614A"/>
          <w:spacing w:val="-12"/>
        </w:rPr>
        <w:t> </w:t>
      </w:r>
      <w:r>
        <w:rPr>
          <w:color w:val="2E614A"/>
          <w:spacing w:val="-4"/>
        </w:rPr>
        <w:t>problem, </w:t>
      </w:r>
      <w:r>
        <w:rPr>
          <w:color w:val="2E614A"/>
          <w:w w:val="90"/>
        </w:rPr>
        <w:t>and therefore literacy programs </w:t>
      </w:r>
      <w:r>
        <w:rPr>
          <w:color w:val="2E614A"/>
          <w:w w:val="90"/>
        </w:rPr>
        <w:t>cannot </w:t>
      </w:r>
      <w:r>
        <w:rPr>
          <w:color w:val="2E614A"/>
          <w:spacing w:val="-2"/>
        </w:rPr>
        <w:t>be</w:t>
      </w:r>
      <w:r>
        <w:rPr>
          <w:color w:val="2E614A"/>
          <w:spacing w:val="-15"/>
        </w:rPr>
        <w:t> </w:t>
      </w:r>
      <w:r>
        <w:rPr>
          <w:color w:val="2E614A"/>
          <w:spacing w:val="-2"/>
        </w:rPr>
        <w:t>ignored</w:t>
      </w:r>
      <w:r>
        <w:rPr>
          <w:color w:val="2E614A"/>
          <w:spacing w:val="-14"/>
        </w:rPr>
        <w:t> </w:t>
      </w:r>
      <w:r>
        <w:rPr>
          <w:color w:val="2E614A"/>
          <w:spacing w:val="-2"/>
        </w:rPr>
        <w:t>or</w:t>
      </w:r>
      <w:r>
        <w:rPr>
          <w:color w:val="2E614A"/>
          <w:spacing w:val="-14"/>
        </w:rPr>
        <w:t> </w:t>
      </w:r>
      <w:r>
        <w:rPr>
          <w:color w:val="2E614A"/>
          <w:spacing w:val="-2"/>
        </w:rPr>
        <w:t>given</w:t>
      </w:r>
      <w:r>
        <w:rPr>
          <w:color w:val="2E614A"/>
          <w:spacing w:val="-14"/>
        </w:rPr>
        <w:t> </w:t>
      </w:r>
      <w:r>
        <w:rPr>
          <w:color w:val="2E614A"/>
          <w:spacing w:val="-2"/>
        </w:rPr>
        <w:t>less</w:t>
      </w:r>
      <w:r>
        <w:rPr>
          <w:color w:val="2E614A"/>
          <w:spacing w:val="-15"/>
        </w:rPr>
        <w:t> </w:t>
      </w:r>
      <w:r>
        <w:rPr>
          <w:color w:val="2E614A"/>
          <w:spacing w:val="-2"/>
        </w:rPr>
        <w:t>importance. </w:t>
      </w:r>
      <w:r>
        <w:rPr>
          <w:color w:val="2E614A"/>
          <w:spacing w:val="-6"/>
        </w:rPr>
        <w:t>Expenditure on the National Literacy</w:t>
      </w:r>
    </w:p>
    <w:p>
      <w:pPr>
        <w:spacing w:after="0" w:line="225" w:lineRule="auto"/>
        <w:jc w:val="left"/>
        <w:sectPr>
          <w:pgSz w:w="11910" w:h="16840"/>
          <w:pgMar w:header="0" w:footer="675" w:top="960" w:bottom="860" w:left="0" w:right="0"/>
          <w:cols w:num="2" w:equalWidth="0">
            <w:col w:w="5774" w:space="40"/>
            <w:col w:w="6096"/>
          </w:cols>
        </w:sectPr>
      </w:pPr>
    </w:p>
    <w:p>
      <w:pPr>
        <w:spacing w:line="225" w:lineRule="auto" w:before="84"/>
        <w:ind w:left="1477" w:right="0" w:firstLine="0"/>
        <w:jc w:val="left"/>
        <w:rPr>
          <w:b/>
          <w:sz w:val="26"/>
        </w:rPr>
      </w:pPr>
      <w:r>
        <w:rPr>
          <w:b/>
          <w:color w:val="2E614A"/>
          <w:spacing w:val="-10"/>
          <w:sz w:val="26"/>
        </w:rPr>
        <w:t>Mission</w:t>
      </w:r>
      <w:r>
        <w:rPr>
          <w:b/>
          <w:color w:val="2E614A"/>
          <w:spacing w:val="-4"/>
          <w:sz w:val="26"/>
        </w:rPr>
        <w:t> </w:t>
      </w:r>
      <w:r>
        <w:rPr>
          <w:b/>
          <w:color w:val="2E614A"/>
          <w:spacing w:val="-10"/>
          <w:sz w:val="26"/>
        </w:rPr>
        <w:t>(NLM)</w:t>
      </w:r>
      <w:r>
        <w:rPr>
          <w:b/>
          <w:color w:val="2E614A"/>
          <w:spacing w:val="-4"/>
          <w:sz w:val="26"/>
        </w:rPr>
        <w:t> </w:t>
      </w:r>
      <w:r>
        <w:rPr>
          <w:b/>
          <w:color w:val="2E614A"/>
          <w:spacing w:val="-10"/>
          <w:sz w:val="26"/>
        </w:rPr>
        <w:t>must</w:t>
      </w:r>
      <w:r>
        <w:rPr>
          <w:b/>
          <w:color w:val="2E614A"/>
          <w:spacing w:val="-4"/>
          <w:sz w:val="26"/>
        </w:rPr>
        <w:t> </w:t>
      </w:r>
      <w:r>
        <w:rPr>
          <w:b/>
          <w:color w:val="2E614A"/>
          <w:spacing w:val="-10"/>
          <w:sz w:val="26"/>
        </w:rPr>
        <w:t>be</w:t>
      </w:r>
      <w:r>
        <w:rPr>
          <w:b/>
          <w:color w:val="2E614A"/>
          <w:spacing w:val="-4"/>
          <w:sz w:val="26"/>
        </w:rPr>
        <w:t> </w:t>
      </w:r>
      <w:r>
        <w:rPr>
          <w:b/>
          <w:color w:val="2E614A"/>
          <w:spacing w:val="-10"/>
          <w:sz w:val="26"/>
        </w:rPr>
        <w:t>expanded</w:t>
      </w:r>
      <w:r>
        <w:rPr>
          <w:b/>
          <w:color w:val="2E614A"/>
          <w:spacing w:val="-4"/>
          <w:sz w:val="26"/>
        </w:rPr>
        <w:t> </w:t>
      </w:r>
      <w:r>
        <w:rPr>
          <w:b/>
          <w:color w:val="2E614A"/>
          <w:spacing w:val="-10"/>
          <w:sz w:val="26"/>
        </w:rPr>
        <w:t>rather </w:t>
      </w:r>
      <w:r>
        <w:rPr>
          <w:b/>
          <w:color w:val="2E614A"/>
          <w:w w:val="90"/>
          <w:sz w:val="26"/>
        </w:rPr>
        <w:t>than</w:t>
      </w:r>
      <w:r>
        <w:rPr>
          <w:b/>
          <w:color w:val="2E614A"/>
          <w:spacing w:val="3"/>
          <w:sz w:val="26"/>
        </w:rPr>
        <w:t> </w:t>
      </w:r>
      <w:r>
        <w:rPr>
          <w:b/>
          <w:color w:val="2E614A"/>
          <w:w w:val="90"/>
          <w:sz w:val="26"/>
        </w:rPr>
        <w:t>reduced,</w:t>
      </w:r>
      <w:r>
        <w:rPr>
          <w:b/>
          <w:color w:val="2E614A"/>
          <w:spacing w:val="3"/>
          <w:sz w:val="26"/>
        </w:rPr>
        <w:t> </w:t>
      </w:r>
      <w:r>
        <w:rPr>
          <w:b/>
          <w:color w:val="2E614A"/>
          <w:w w:val="90"/>
          <w:sz w:val="26"/>
        </w:rPr>
        <w:t>and</w:t>
      </w:r>
      <w:r>
        <w:rPr>
          <w:b/>
          <w:color w:val="2E614A"/>
          <w:spacing w:val="3"/>
          <w:sz w:val="26"/>
        </w:rPr>
        <w:t> </w:t>
      </w:r>
      <w:r>
        <w:rPr>
          <w:b/>
          <w:color w:val="2E614A"/>
          <w:w w:val="90"/>
          <w:sz w:val="26"/>
        </w:rPr>
        <w:t>given</w:t>
      </w:r>
      <w:r>
        <w:rPr>
          <w:b/>
          <w:color w:val="2E614A"/>
          <w:spacing w:val="3"/>
          <w:sz w:val="26"/>
        </w:rPr>
        <w:t> </w:t>
      </w:r>
      <w:r>
        <w:rPr>
          <w:b/>
          <w:color w:val="2E614A"/>
          <w:w w:val="90"/>
          <w:sz w:val="26"/>
        </w:rPr>
        <w:t>a</w:t>
      </w:r>
      <w:r>
        <w:rPr>
          <w:b/>
          <w:color w:val="2E614A"/>
          <w:spacing w:val="3"/>
          <w:sz w:val="26"/>
        </w:rPr>
        <w:t> </w:t>
      </w:r>
      <w:r>
        <w:rPr>
          <w:b/>
          <w:color w:val="2E614A"/>
          <w:w w:val="90"/>
          <w:sz w:val="26"/>
        </w:rPr>
        <w:t>different</w:t>
      </w:r>
      <w:r>
        <w:rPr>
          <w:b/>
          <w:color w:val="2E614A"/>
          <w:spacing w:val="3"/>
          <w:sz w:val="26"/>
        </w:rPr>
        <w:t> </w:t>
      </w:r>
      <w:r>
        <w:rPr>
          <w:b/>
          <w:color w:val="2E614A"/>
          <w:spacing w:val="-2"/>
          <w:w w:val="90"/>
          <w:sz w:val="26"/>
        </w:rPr>
        <w:t>focus.</w:t>
      </w:r>
    </w:p>
    <w:p>
      <w:pPr>
        <w:pStyle w:val="BodyText"/>
        <w:spacing w:before="1"/>
        <w:rPr>
          <w:b/>
          <w:sz w:val="26"/>
        </w:rPr>
      </w:pPr>
    </w:p>
    <w:p>
      <w:pPr>
        <w:pStyle w:val="BodyText"/>
        <w:spacing w:line="266" w:lineRule="auto"/>
        <w:ind w:left="1080"/>
        <w:jc w:val="both"/>
      </w:pPr>
      <w:r>
        <w:rPr/>
        <w:t>The shift in policy focus from the National </w:t>
      </w:r>
      <w:r>
        <w:rPr/>
        <w:t>Literacy Mission</w:t>
      </w:r>
      <w:r>
        <w:rPr>
          <w:spacing w:val="-11"/>
        </w:rPr>
        <w:t> </w:t>
      </w:r>
      <w:r>
        <w:rPr/>
        <w:t>(NLM)</w:t>
      </w:r>
      <w:r>
        <w:rPr>
          <w:spacing w:val="-11"/>
        </w:rPr>
        <w:t> </w:t>
      </w:r>
      <w:r>
        <w:rPr/>
        <w:t>to</w:t>
      </w:r>
      <w:r>
        <w:rPr>
          <w:spacing w:val="-11"/>
        </w:rPr>
        <w:t> </w:t>
      </w:r>
      <w:r>
        <w:rPr/>
        <w:t>the</w:t>
      </w:r>
      <w:r>
        <w:rPr>
          <w:spacing w:val="-11"/>
        </w:rPr>
        <w:t> </w:t>
      </w:r>
      <w:r>
        <w:rPr/>
        <w:t>Sarva</w:t>
      </w:r>
      <w:r>
        <w:rPr>
          <w:spacing w:val="-11"/>
        </w:rPr>
        <w:t> </w:t>
      </w:r>
      <w:r>
        <w:rPr/>
        <w:t>Shiksha</w:t>
      </w:r>
      <w:r>
        <w:rPr>
          <w:spacing w:val="-11"/>
        </w:rPr>
        <w:t> </w:t>
      </w:r>
      <w:r>
        <w:rPr/>
        <w:t>Abhiyan</w:t>
      </w:r>
      <w:r>
        <w:rPr>
          <w:spacing w:val="-11"/>
        </w:rPr>
        <w:t> </w:t>
      </w:r>
      <w:r>
        <w:rPr/>
        <w:t>has</w:t>
      </w:r>
      <w:r>
        <w:rPr>
          <w:spacing w:val="-11"/>
        </w:rPr>
        <w:t> </w:t>
      </w:r>
      <w:r>
        <w:rPr/>
        <w:t>led </w:t>
      </w:r>
      <w:r>
        <w:rPr>
          <w:spacing w:val="-2"/>
        </w:rPr>
        <w:t>to</w:t>
      </w:r>
      <w:r>
        <w:rPr>
          <w:spacing w:val="-12"/>
        </w:rPr>
        <w:t> </w:t>
      </w:r>
      <w:r>
        <w:rPr>
          <w:spacing w:val="-2"/>
        </w:rPr>
        <w:t>a</w:t>
      </w:r>
      <w:r>
        <w:rPr>
          <w:spacing w:val="-12"/>
        </w:rPr>
        <w:t> </w:t>
      </w:r>
      <w:r>
        <w:rPr>
          <w:spacing w:val="-2"/>
        </w:rPr>
        <w:t>declining</w:t>
      </w:r>
      <w:r>
        <w:rPr>
          <w:spacing w:val="-12"/>
        </w:rPr>
        <w:t> </w:t>
      </w:r>
      <w:r>
        <w:rPr>
          <w:spacing w:val="-2"/>
        </w:rPr>
        <w:t>emphasis</w:t>
      </w:r>
      <w:r>
        <w:rPr>
          <w:spacing w:val="-11"/>
        </w:rPr>
        <w:t> </w:t>
      </w:r>
      <w:r>
        <w:rPr>
          <w:spacing w:val="-2"/>
        </w:rPr>
        <w:t>on</w:t>
      </w:r>
      <w:r>
        <w:rPr>
          <w:spacing w:val="-12"/>
        </w:rPr>
        <w:t> </w:t>
      </w:r>
      <w:r>
        <w:rPr>
          <w:spacing w:val="-2"/>
        </w:rPr>
        <w:t>the</w:t>
      </w:r>
      <w:r>
        <w:rPr>
          <w:spacing w:val="-12"/>
        </w:rPr>
        <w:t> </w:t>
      </w:r>
      <w:r>
        <w:rPr>
          <w:spacing w:val="-2"/>
        </w:rPr>
        <w:t>need</w:t>
      </w:r>
      <w:r>
        <w:rPr>
          <w:spacing w:val="-12"/>
        </w:rPr>
        <w:t> </w:t>
      </w:r>
      <w:r>
        <w:rPr>
          <w:spacing w:val="-2"/>
        </w:rPr>
        <w:t>to</w:t>
      </w:r>
      <w:r>
        <w:rPr>
          <w:spacing w:val="-11"/>
        </w:rPr>
        <w:t> </w:t>
      </w:r>
      <w:r>
        <w:rPr>
          <w:spacing w:val="-2"/>
        </w:rPr>
        <w:t>ensure</w:t>
      </w:r>
      <w:r>
        <w:rPr>
          <w:spacing w:val="-12"/>
        </w:rPr>
        <w:t> </w:t>
      </w:r>
      <w:r>
        <w:rPr>
          <w:spacing w:val="-2"/>
        </w:rPr>
        <w:t>universal </w:t>
      </w:r>
      <w:r>
        <w:rPr/>
        <w:t>functional literacy. However, according to the 2001 Census,</w:t>
      </w:r>
      <w:r>
        <w:rPr>
          <w:spacing w:val="40"/>
        </w:rPr>
        <w:t> </w:t>
      </w:r>
      <w:r>
        <w:rPr/>
        <w:t>a</w:t>
      </w:r>
      <w:r>
        <w:rPr>
          <w:spacing w:val="40"/>
        </w:rPr>
        <w:t> </w:t>
      </w:r>
      <w:r>
        <w:rPr/>
        <w:t>significant</w:t>
      </w:r>
      <w:r>
        <w:rPr>
          <w:spacing w:val="40"/>
        </w:rPr>
        <w:t> </w:t>
      </w:r>
      <w:r>
        <w:rPr/>
        <w:t>proportion</w:t>
      </w:r>
      <w:r>
        <w:rPr>
          <w:spacing w:val="40"/>
        </w:rPr>
        <w:t> </w:t>
      </w:r>
      <w:r>
        <w:rPr/>
        <w:t>of</w:t>
      </w:r>
      <w:r>
        <w:rPr>
          <w:spacing w:val="40"/>
        </w:rPr>
        <w:t> </w:t>
      </w:r>
      <w:r>
        <w:rPr/>
        <w:t>the</w:t>
      </w:r>
      <w:r>
        <w:rPr>
          <w:spacing w:val="40"/>
        </w:rPr>
        <w:t> </w:t>
      </w:r>
      <w:r>
        <w:rPr/>
        <w:t>population –</w:t>
      </w:r>
      <w:r>
        <w:rPr>
          <w:spacing w:val="-13"/>
        </w:rPr>
        <w:t> </w:t>
      </w:r>
      <w:r>
        <w:rPr/>
        <w:t>nearly</w:t>
      </w:r>
      <w:r>
        <w:rPr>
          <w:spacing w:val="-13"/>
        </w:rPr>
        <w:t> </w:t>
      </w:r>
      <w:r>
        <w:rPr/>
        <w:t>half</w:t>
      </w:r>
      <w:r>
        <w:rPr>
          <w:spacing w:val="-13"/>
        </w:rPr>
        <w:t> </w:t>
      </w:r>
      <w:r>
        <w:rPr/>
        <w:t>of</w:t>
      </w:r>
      <w:r>
        <w:rPr>
          <w:spacing w:val="-13"/>
        </w:rPr>
        <w:t> </w:t>
      </w:r>
      <w:r>
        <w:rPr/>
        <w:t>all</w:t>
      </w:r>
      <w:r>
        <w:rPr>
          <w:spacing w:val="-13"/>
        </w:rPr>
        <w:t> </w:t>
      </w:r>
      <w:r>
        <w:rPr/>
        <w:t>females</w:t>
      </w:r>
      <w:r>
        <w:rPr>
          <w:spacing w:val="-13"/>
        </w:rPr>
        <w:t> </w:t>
      </w:r>
      <w:r>
        <w:rPr/>
        <w:t>and</w:t>
      </w:r>
      <w:r>
        <w:rPr>
          <w:spacing w:val="-13"/>
        </w:rPr>
        <w:t> </w:t>
      </w:r>
      <w:r>
        <w:rPr/>
        <w:t>one-quarter</w:t>
      </w:r>
      <w:r>
        <w:rPr>
          <w:spacing w:val="-13"/>
        </w:rPr>
        <w:t> </w:t>
      </w:r>
      <w:r>
        <w:rPr/>
        <w:t>of</w:t>
      </w:r>
      <w:r>
        <w:rPr>
          <w:spacing w:val="-13"/>
        </w:rPr>
        <w:t> </w:t>
      </w:r>
      <w:r>
        <w:rPr/>
        <w:t>males</w:t>
      </w:r>
      <w:r>
        <w:rPr>
          <w:spacing w:val="-13"/>
        </w:rPr>
        <w:t> </w:t>
      </w:r>
      <w:r>
        <w:rPr/>
        <w:t>– </w:t>
      </w:r>
      <w:r>
        <w:rPr>
          <w:spacing w:val="-4"/>
        </w:rPr>
        <w:t>remains functionally illiterate. According to the NSSO, </w:t>
      </w:r>
      <w:r>
        <w:rPr/>
        <w:t>a significant proportion of households in 2004-05 (more than a quarter in rural India and nearly 10 per cent</w:t>
      </w:r>
      <w:r>
        <w:rPr>
          <w:spacing w:val="-14"/>
        </w:rPr>
        <w:t> </w:t>
      </w:r>
      <w:r>
        <w:rPr/>
        <w:t>in</w:t>
      </w:r>
      <w:r>
        <w:rPr>
          <w:spacing w:val="-14"/>
        </w:rPr>
        <w:t> </w:t>
      </w:r>
      <w:r>
        <w:rPr/>
        <w:t>urban</w:t>
      </w:r>
      <w:r>
        <w:rPr>
          <w:spacing w:val="-14"/>
        </w:rPr>
        <w:t> </w:t>
      </w:r>
      <w:r>
        <w:rPr/>
        <w:t>India)</w:t>
      </w:r>
      <w:r>
        <w:rPr>
          <w:spacing w:val="-13"/>
        </w:rPr>
        <w:t> </w:t>
      </w:r>
      <w:r>
        <w:rPr/>
        <w:t>have</w:t>
      </w:r>
      <w:r>
        <w:rPr>
          <w:spacing w:val="-14"/>
        </w:rPr>
        <w:t> </w:t>
      </w:r>
      <w:r>
        <w:rPr/>
        <w:t>no</w:t>
      </w:r>
      <w:r>
        <w:rPr>
          <w:spacing w:val="-14"/>
        </w:rPr>
        <w:t> </w:t>
      </w:r>
      <w:r>
        <w:rPr/>
        <w:t>literate</w:t>
      </w:r>
      <w:r>
        <w:rPr>
          <w:spacing w:val="-14"/>
        </w:rPr>
        <w:t> </w:t>
      </w:r>
      <w:r>
        <w:rPr/>
        <w:t>member.</w:t>
      </w:r>
      <w:r>
        <w:rPr>
          <w:spacing w:val="-13"/>
        </w:rPr>
        <w:t> </w:t>
      </w:r>
      <w:r>
        <w:rPr/>
        <w:t>The</w:t>
      </w:r>
      <w:r>
        <w:rPr>
          <w:spacing w:val="-14"/>
        </w:rPr>
        <w:t> </w:t>
      </w:r>
      <w:r>
        <w:rPr/>
        <w:t>lack of functional literacy is much more marked among women, those residing in backward areas and those from marginalised social groups. Also, a significant proportion of young people – around 30 per cent of </w:t>
      </w:r>
      <w:r>
        <w:rPr>
          <w:spacing w:val="-4"/>
        </w:rPr>
        <w:t>the</w:t>
      </w:r>
      <w:r>
        <w:rPr>
          <w:spacing w:val="-8"/>
        </w:rPr>
        <w:t> </w:t>
      </w:r>
      <w:r>
        <w:rPr>
          <w:spacing w:val="-4"/>
        </w:rPr>
        <w:t>age-cohort</w:t>
      </w:r>
      <w:r>
        <w:rPr>
          <w:spacing w:val="-8"/>
        </w:rPr>
        <w:t> </w:t>
      </w:r>
      <w:r>
        <w:rPr>
          <w:spacing w:val="-4"/>
        </w:rPr>
        <w:t>of</w:t>
      </w:r>
      <w:r>
        <w:rPr>
          <w:spacing w:val="-8"/>
        </w:rPr>
        <w:t> </w:t>
      </w:r>
      <w:r>
        <w:rPr>
          <w:spacing w:val="-4"/>
        </w:rPr>
        <w:t>15-35</w:t>
      </w:r>
      <w:r>
        <w:rPr>
          <w:spacing w:val="-8"/>
        </w:rPr>
        <w:t> </w:t>
      </w:r>
      <w:r>
        <w:rPr>
          <w:spacing w:val="-4"/>
        </w:rPr>
        <w:t>years</w:t>
      </w:r>
      <w:r>
        <w:rPr>
          <w:spacing w:val="-8"/>
        </w:rPr>
        <w:t> </w:t>
      </w:r>
      <w:r>
        <w:rPr>
          <w:spacing w:val="-4"/>
        </w:rPr>
        <w:t>–</w:t>
      </w:r>
      <w:r>
        <w:rPr>
          <w:spacing w:val="-8"/>
        </w:rPr>
        <w:t> </w:t>
      </w:r>
      <w:r>
        <w:rPr>
          <w:spacing w:val="-4"/>
        </w:rPr>
        <w:t>is</w:t>
      </w:r>
      <w:r>
        <w:rPr>
          <w:spacing w:val="-8"/>
        </w:rPr>
        <w:t> </w:t>
      </w:r>
      <w:r>
        <w:rPr>
          <w:spacing w:val="-4"/>
        </w:rPr>
        <w:t>functionally</w:t>
      </w:r>
      <w:r>
        <w:rPr>
          <w:spacing w:val="-8"/>
        </w:rPr>
        <w:t> </w:t>
      </w:r>
      <w:r>
        <w:rPr>
          <w:spacing w:val="-4"/>
        </w:rPr>
        <w:t>illiterate, </w:t>
      </w:r>
      <w:r>
        <w:rPr>
          <w:spacing w:val="-6"/>
        </w:rPr>
        <w:t>since they were too old to benefit from the SSA and also </w:t>
      </w:r>
      <w:r>
        <w:rPr/>
        <w:t>slipped</w:t>
      </w:r>
      <w:r>
        <w:rPr>
          <w:spacing w:val="-4"/>
        </w:rPr>
        <w:t> </w:t>
      </w:r>
      <w:r>
        <w:rPr/>
        <w:t>through</w:t>
      </w:r>
      <w:r>
        <w:rPr>
          <w:spacing w:val="-4"/>
        </w:rPr>
        <w:t> </w:t>
      </w:r>
      <w:r>
        <w:rPr/>
        <w:t>the</w:t>
      </w:r>
      <w:r>
        <w:rPr>
          <w:spacing w:val="-4"/>
        </w:rPr>
        <w:t> </w:t>
      </w:r>
      <w:r>
        <w:rPr/>
        <w:t>net</w:t>
      </w:r>
      <w:r>
        <w:rPr>
          <w:spacing w:val="-4"/>
        </w:rPr>
        <w:t> </w:t>
      </w:r>
      <w:r>
        <w:rPr/>
        <w:t>of</w:t>
      </w:r>
      <w:r>
        <w:rPr>
          <w:spacing w:val="-4"/>
        </w:rPr>
        <w:t> </w:t>
      </w:r>
      <w:r>
        <w:rPr/>
        <w:t>the</w:t>
      </w:r>
      <w:r>
        <w:rPr>
          <w:spacing w:val="-4"/>
        </w:rPr>
        <w:t> </w:t>
      </w:r>
      <w:r>
        <w:rPr/>
        <w:t>literacy</w:t>
      </w:r>
      <w:r>
        <w:rPr>
          <w:spacing w:val="-4"/>
        </w:rPr>
        <w:t> </w:t>
      </w:r>
      <w:r>
        <w:rPr/>
        <w:t>programs.</w:t>
      </w:r>
      <w:r>
        <w:rPr>
          <w:spacing w:val="-10"/>
        </w:rPr>
        <w:t> </w:t>
      </w:r>
      <w:r>
        <w:rPr/>
        <w:t>This </w:t>
      </w:r>
      <w:r>
        <w:rPr>
          <w:spacing w:val="-4"/>
        </w:rPr>
        <w:t>is</w:t>
      </w:r>
      <w:r>
        <w:rPr>
          <w:spacing w:val="-9"/>
        </w:rPr>
        <w:t> </w:t>
      </w:r>
      <w:r>
        <w:rPr>
          <w:spacing w:val="-4"/>
        </w:rPr>
        <w:t>of</w:t>
      </w:r>
      <w:r>
        <w:rPr>
          <w:spacing w:val="-9"/>
        </w:rPr>
        <w:t> </w:t>
      </w:r>
      <w:r>
        <w:rPr>
          <w:spacing w:val="-4"/>
        </w:rPr>
        <w:t>great</w:t>
      </w:r>
      <w:r>
        <w:rPr>
          <w:spacing w:val="-9"/>
        </w:rPr>
        <w:t> </w:t>
      </w:r>
      <w:r>
        <w:rPr>
          <w:spacing w:val="-4"/>
        </w:rPr>
        <w:t>concern</w:t>
      </w:r>
      <w:r>
        <w:rPr>
          <w:spacing w:val="-9"/>
        </w:rPr>
        <w:t> </w:t>
      </w:r>
      <w:r>
        <w:rPr>
          <w:spacing w:val="-4"/>
        </w:rPr>
        <w:t>because</w:t>
      </w:r>
      <w:r>
        <w:rPr>
          <w:spacing w:val="-9"/>
        </w:rPr>
        <w:t> </w:t>
      </w:r>
      <w:r>
        <w:rPr>
          <w:spacing w:val="-4"/>
        </w:rPr>
        <w:t>such</w:t>
      </w:r>
      <w:r>
        <w:rPr>
          <w:spacing w:val="-9"/>
        </w:rPr>
        <w:t> </w:t>
      </w:r>
      <w:r>
        <w:rPr>
          <w:spacing w:val="-4"/>
        </w:rPr>
        <w:t>people</w:t>
      </w:r>
      <w:r>
        <w:rPr>
          <w:spacing w:val="-9"/>
        </w:rPr>
        <w:t> </w:t>
      </w:r>
      <w:r>
        <w:rPr>
          <w:spacing w:val="-4"/>
        </w:rPr>
        <w:t>will</w:t>
      </w:r>
      <w:r>
        <w:rPr>
          <w:spacing w:val="-9"/>
        </w:rPr>
        <w:t> </w:t>
      </w:r>
      <w:r>
        <w:rPr>
          <w:spacing w:val="-4"/>
        </w:rPr>
        <w:t>continue</w:t>
      </w:r>
      <w:r>
        <w:rPr>
          <w:spacing w:val="-9"/>
        </w:rPr>
        <w:t> </w:t>
      </w:r>
      <w:r>
        <w:rPr>
          <w:spacing w:val="-4"/>
        </w:rPr>
        <w:t>to </w:t>
      </w:r>
      <w:r>
        <w:rPr>
          <w:spacing w:val="-6"/>
        </w:rPr>
        <w:t>be active citizens for the next half century and therefore, </w:t>
      </w:r>
      <w:r>
        <w:rPr/>
        <w:t>must not be denied the capacities and opportunities that come from being literate.</w:t>
      </w:r>
    </w:p>
    <w:p>
      <w:pPr>
        <w:pStyle w:val="BodyText"/>
        <w:spacing w:before="10"/>
      </w:pPr>
    </w:p>
    <w:p>
      <w:pPr>
        <w:pStyle w:val="BodyText"/>
        <w:spacing w:line="266" w:lineRule="auto" w:before="1"/>
        <w:ind w:left="1080" w:right="1"/>
        <w:jc w:val="both"/>
      </w:pPr>
      <w:r>
        <w:rPr>
          <w:spacing w:val="-4"/>
        </w:rPr>
        <w:t>NKC</w:t>
      </w:r>
      <w:r>
        <w:rPr>
          <w:spacing w:val="-10"/>
        </w:rPr>
        <w:t> </w:t>
      </w:r>
      <w:r>
        <w:rPr>
          <w:spacing w:val="-4"/>
        </w:rPr>
        <w:t>therefore</w:t>
      </w:r>
      <w:r>
        <w:rPr>
          <w:spacing w:val="-10"/>
        </w:rPr>
        <w:t> </w:t>
      </w:r>
      <w:r>
        <w:rPr>
          <w:spacing w:val="-4"/>
        </w:rPr>
        <w:t>recommends</w:t>
      </w:r>
      <w:r>
        <w:rPr>
          <w:spacing w:val="-10"/>
        </w:rPr>
        <w:t> </w:t>
      </w:r>
      <w:r>
        <w:rPr>
          <w:spacing w:val="-4"/>
        </w:rPr>
        <w:t>the</w:t>
      </w:r>
      <w:r>
        <w:rPr>
          <w:spacing w:val="-9"/>
        </w:rPr>
        <w:t> </w:t>
      </w:r>
      <w:r>
        <w:rPr>
          <w:spacing w:val="-4"/>
        </w:rPr>
        <w:t>following</w:t>
      </w:r>
      <w:r>
        <w:rPr>
          <w:spacing w:val="-10"/>
        </w:rPr>
        <w:t> </w:t>
      </w:r>
      <w:r>
        <w:rPr>
          <w:spacing w:val="-4"/>
        </w:rPr>
        <w:t>measures</w:t>
      </w:r>
      <w:r>
        <w:rPr>
          <w:spacing w:val="-10"/>
        </w:rPr>
        <w:t> </w:t>
      </w:r>
      <w:r>
        <w:rPr>
          <w:spacing w:val="-4"/>
        </w:rPr>
        <w:t>for </w:t>
      </w:r>
      <w:r>
        <w:rPr>
          <w:spacing w:val="-2"/>
        </w:rPr>
        <w:t>literacy:</w:t>
      </w:r>
    </w:p>
    <w:p>
      <w:pPr>
        <w:pStyle w:val="ListParagraph"/>
        <w:numPr>
          <w:ilvl w:val="2"/>
          <w:numId w:val="14"/>
        </w:numPr>
        <w:tabs>
          <w:tab w:pos="1439" w:val="left" w:leader="none"/>
        </w:tabs>
        <w:spacing w:line="266" w:lineRule="auto" w:before="0" w:after="0"/>
        <w:ind w:left="1439" w:right="0" w:hanging="360"/>
        <w:jc w:val="both"/>
        <w:rPr>
          <w:sz w:val="22"/>
        </w:rPr>
      </w:pPr>
      <w:r>
        <w:rPr>
          <w:sz w:val="22"/>
        </w:rPr>
        <w:t>Ensure greater funds for the NLM, </w:t>
      </w:r>
      <w:r>
        <w:rPr>
          <w:sz w:val="22"/>
        </w:rPr>
        <w:t>including </w:t>
      </w:r>
      <w:r>
        <w:rPr>
          <w:spacing w:val="-4"/>
          <w:sz w:val="22"/>
        </w:rPr>
        <w:t>provision</w:t>
      </w:r>
      <w:r>
        <w:rPr>
          <w:spacing w:val="-10"/>
          <w:sz w:val="22"/>
        </w:rPr>
        <w:t> </w:t>
      </w:r>
      <w:r>
        <w:rPr>
          <w:spacing w:val="-4"/>
          <w:sz w:val="22"/>
        </w:rPr>
        <w:t>for</w:t>
      </w:r>
      <w:r>
        <w:rPr>
          <w:spacing w:val="-10"/>
          <w:sz w:val="22"/>
        </w:rPr>
        <w:t> </w:t>
      </w:r>
      <w:r>
        <w:rPr>
          <w:spacing w:val="-4"/>
          <w:sz w:val="22"/>
        </w:rPr>
        <w:t>more</w:t>
      </w:r>
      <w:r>
        <w:rPr>
          <w:spacing w:val="-10"/>
          <w:sz w:val="22"/>
        </w:rPr>
        <w:t> </w:t>
      </w:r>
      <w:r>
        <w:rPr>
          <w:spacing w:val="-4"/>
          <w:sz w:val="22"/>
        </w:rPr>
        <w:t>pedagogical</w:t>
      </w:r>
      <w:r>
        <w:rPr>
          <w:spacing w:val="-9"/>
          <w:sz w:val="22"/>
        </w:rPr>
        <w:t> </w:t>
      </w:r>
      <w:r>
        <w:rPr>
          <w:spacing w:val="-4"/>
          <w:sz w:val="22"/>
        </w:rPr>
        <w:t>resources</w:t>
      </w:r>
      <w:r>
        <w:rPr>
          <w:spacing w:val="-10"/>
          <w:sz w:val="22"/>
        </w:rPr>
        <w:t> </w:t>
      </w:r>
      <w:r>
        <w:rPr>
          <w:spacing w:val="-4"/>
          <w:sz w:val="22"/>
        </w:rPr>
        <w:t>including </w:t>
      </w:r>
      <w:r>
        <w:rPr>
          <w:sz w:val="22"/>
        </w:rPr>
        <w:t>not only ICT but also locally generated teaching material</w:t>
      </w:r>
      <w:r>
        <w:rPr>
          <w:spacing w:val="-6"/>
          <w:sz w:val="22"/>
        </w:rPr>
        <w:t> </w:t>
      </w:r>
      <w:r>
        <w:rPr>
          <w:sz w:val="22"/>
        </w:rPr>
        <w:t>as</w:t>
      </w:r>
      <w:r>
        <w:rPr>
          <w:spacing w:val="-6"/>
          <w:sz w:val="22"/>
        </w:rPr>
        <w:t> </w:t>
      </w:r>
      <w:r>
        <w:rPr>
          <w:sz w:val="22"/>
        </w:rPr>
        <w:t>well</w:t>
      </w:r>
      <w:r>
        <w:rPr>
          <w:spacing w:val="-6"/>
          <w:sz w:val="22"/>
        </w:rPr>
        <w:t> </w:t>
      </w:r>
      <w:r>
        <w:rPr>
          <w:sz w:val="22"/>
        </w:rPr>
        <w:t>as</w:t>
      </w:r>
      <w:r>
        <w:rPr>
          <w:spacing w:val="-6"/>
          <w:sz w:val="22"/>
        </w:rPr>
        <w:t> </w:t>
      </w:r>
      <w:r>
        <w:rPr>
          <w:sz w:val="22"/>
        </w:rPr>
        <w:t>local</w:t>
      </w:r>
      <w:r>
        <w:rPr>
          <w:spacing w:val="-6"/>
          <w:sz w:val="22"/>
        </w:rPr>
        <w:t> </w:t>
      </w:r>
      <w:r>
        <w:rPr>
          <w:sz w:val="22"/>
        </w:rPr>
        <w:t>hiring</w:t>
      </w:r>
      <w:r>
        <w:rPr>
          <w:spacing w:val="-6"/>
          <w:sz w:val="22"/>
        </w:rPr>
        <w:t> </w:t>
      </w:r>
      <w:r>
        <w:rPr>
          <w:sz w:val="22"/>
        </w:rPr>
        <w:t>of</w:t>
      </w:r>
      <w:r>
        <w:rPr>
          <w:spacing w:val="-6"/>
          <w:sz w:val="22"/>
        </w:rPr>
        <w:t> </w:t>
      </w:r>
      <w:r>
        <w:rPr>
          <w:sz w:val="22"/>
        </w:rPr>
        <w:t>temporary</w:t>
      </w:r>
      <w:r>
        <w:rPr>
          <w:spacing w:val="-6"/>
          <w:sz w:val="22"/>
        </w:rPr>
        <w:t> </w:t>
      </w:r>
      <w:r>
        <w:rPr>
          <w:sz w:val="22"/>
        </w:rPr>
        <w:t>staff wherever required.</w:t>
      </w:r>
    </w:p>
    <w:p>
      <w:pPr>
        <w:pStyle w:val="ListParagraph"/>
        <w:numPr>
          <w:ilvl w:val="2"/>
          <w:numId w:val="14"/>
        </w:numPr>
        <w:tabs>
          <w:tab w:pos="1439" w:val="left" w:leader="none"/>
        </w:tabs>
        <w:spacing w:line="266" w:lineRule="auto" w:before="0" w:after="0"/>
        <w:ind w:left="1439" w:right="0" w:hanging="360"/>
        <w:jc w:val="both"/>
        <w:rPr>
          <w:sz w:val="22"/>
        </w:rPr>
      </w:pPr>
      <w:r>
        <w:rPr>
          <w:spacing w:val="-4"/>
          <w:sz w:val="22"/>
        </w:rPr>
        <w:t>Encourage</w:t>
      </w:r>
      <w:r>
        <w:rPr>
          <w:spacing w:val="-8"/>
          <w:sz w:val="22"/>
        </w:rPr>
        <w:t> </w:t>
      </w:r>
      <w:r>
        <w:rPr>
          <w:spacing w:val="-4"/>
          <w:sz w:val="22"/>
        </w:rPr>
        <w:t>the</w:t>
      </w:r>
      <w:r>
        <w:rPr>
          <w:spacing w:val="-8"/>
          <w:sz w:val="22"/>
        </w:rPr>
        <w:t> </w:t>
      </w:r>
      <w:r>
        <w:rPr>
          <w:spacing w:val="-4"/>
          <w:sz w:val="22"/>
        </w:rPr>
        <w:t>NLM</w:t>
      </w:r>
      <w:r>
        <w:rPr>
          <w:spacing w:val="-8"/>
          <w:sz w:val="22"/>
        </w:rPr>
        <w:t> </w:t>
      </w:r>
      <w:r>
        <w:rPr>
          <w:spacing w:val="-4"/>
          <w:sz w:val="22"/>
        </w:rPr>
        <w:t>to</w:t>
      </w:r>
      <w:r>
        <w:rPr>
          <w:spacing w:val="-8"/>
          <w:sz w:val="22"/>
        </w:rPr>
        <w:t> </w:t>
      </w:r>
      <w:r>
        <w:rPr>
          <w:spacing w:val="-4"/>
          <w:sz w:val="22"/>
        </w:rPr>
        <w:t>shift</w:t>
      </w:r>
      <w:r>
        <w:rPr>
          <w:spacing w:val="-8"/>
          <w:sz w:val="22"/>
        </w:rPr>
        <w:t> </w:t>
      </w:r>
      <w:r>
        <w:rPr>
          <w:spacing w:val="-4"/>
          <w:sz w:val="22"/>
        </w:rPr>
        <w:t>to</w:t>
      </w:r>
      <w:r>
        <w:rPr>
          <w:spacing w:val="-8"/>
          <w:sz w:val="22"/>
        </w:rPr>
        <w:t> </w:t>
      </w:r>
      <w:r>
        <w:rPr>
          <w:spacing w:val="-4"/>
          <w:sz w:val="22"/>
        </w:rPr>
        <w:t>creating</w:t>
      </w:r>
      <w:r>
        <w:rPr>
          <w:spacing w:val="-8"/>
          <w:sz w:val="22"/>
        </w:rPr>
        <w:t> </w:t>
      </w:r>
      <w:r>
        <w:rPr>
          <w:spacing w:val="-4"/>
          <w:sz w:val="22"/>
        </w:rPr>
        <w:t>Continuing </w:t>
      </w:r>
      <w:r>
        <w:rPr>
          <w:sz w:val="22"/>
        </w:rPr>
        <w:t>Education Centres in both rural and urban areas, to impart functional literacy that is of relevance and</w:t>
      </w:r>
      <w:r>
        <w:rPr>
          <w:spacing w:val="-13"/>
          <w:sz w:val="22"/>
        </w:rPr>
        <w:t> </w:t>
      </w:r>
      <w:r>
        <w:rPr>
          <w:sz w:val="22"/>
        </w:rPr>
        <w:t>interest</w:t>
      </w:r>
      <w:r>
        <w:rPr>
          <w:spacing w:val="-13"/>
          <w:sz w:val="22"/>
        </w:rPr>
        <w:t> </w:t>
      </w:r>
      <w:r>
        <w:rPr>
          <w:sz w:val="22"/>
        </w:rPr>
        <w:t>to</w:t>
      </w:r>
      <w:r>
        <w:rPr>
          <w:spacing w:val="-13"/>
          <w:sz w:val="22"/>
        </w:rPr>
        <w:t> </w:t>
      </w:r>
      <w:r>
        <w:rPr>
          <w:sz w:val="22"/>
        </w:rPr>
        <w:t>those</w:t>
      </w:r>
      <w:r>
        <w:rPr>
          <w:spacing w:val="-13"/>
          <w:sz w:val="22"/>
        </w:rPr>
        <w:t> </w:t>
      </w:r>
      <w:r>
        <w:rPr>
          <w:sz w:val="22"/>
        </w:rPr>
        <w:t>who</w:t>
      </w:r>
      <w:r>
        <w:rPr>
          <w:spacing w:val="-13"/>
          <w:sz w:val="22"/>
        </w:rPr>
        <w:t> </w:t>
      </w:r>
      <w:r>
        <w:rPr>
          <w:sz w:val="22"/>
        </w:rPr>
        <w:t>are</w:t>
      </w:r>
      <w:r>
        <w:rPr>
          <w:spacing w:val="-13"/>
          <w:sz w:val="22"/>
        </w:rPr>
        <w:t> </w:t>
      </w:r>
      <w:r>
        <w:rPr>
          <w:sz w:val="22"/>
        </w:rPr>
        <w:t>currently</w:t>
      </w:r>
      <w:r>
        <w:rPr>
          <w:spacing w:val="-13"/>
          <w:sz w:val="22"/>
        </w:rPr>
        <w:t> </w:t>
      </w:r>
      <w:r>
        <w:rPr>
          <w:sz w:val="22"/>
        </w:rPr>
        <w:t>illiterate</w:t>
      </w:r>
      <w:r>
        <w:rPr>
          <w:spacing w:val="-13"/>
          <w:sz w:val="22"/>
        </w:rPr>
        <w:t> </w:t>
      </w:r>
      <w:r>
        <w:rPr>
          <w:sz w:val="22"/>
        </w:rPr>
        <w:t>or </w:t>
      </w:r>
      <w:r>
        <w:rPr>
          <w:spacing w:val="-2"/>
          <w:sz w:val="22"/>
        </w:rPr>
        <w:t>recently</w:t>
      </w:r>
      <w:r>
        <w:rPr>
          <w:spacing w:val="-12"/>
          <w:sz w:val="22"/>
        </w:rPr>
        <w:t> </w:t>
      </w:r>
      <w:r>
        <w:rPr>
          <w:spacing w:val="-2"/>
          <w:sz w:val="22"/>
        </w:rPr>
        <w:t>literate,</w:t>
      </w:r>
      <w:r>
        <w:rPr>
          <w:spacing w:val="-12"/>
          <w:sz w:val="22"/>
        </w:rPr>
        <w:t> </w:t>
      </w:r>
      <w:r>
        <w:rPr>
          <w:spacing w:val="-2"/>
          <w:sz w:val="22"/>
        </w:rPr>
        <w:t>as</w:t>
      </w:r>
      <w:r>
        <w:rPr>
          <w:spacing w:val="-12"/>
          <w:sz w:val="22"/>
        </w:rPr>
        <w:t> </w:t>
      </w:r>
      <w:r>
        <w:rPr>
          <w:spacing w:val="-2"/>
          <w:sz w:val="22"/>
        </w:rPr>
        <w:t>well</w:t>
      </w:r>
      <w:r>
        <w:rPr>
          <w:spacing w:val="-11"/>
          <w:sz w:val="22"/>
        </w:rPr>
        <w:t> </w:t>
      </w:r>
      <w:r>
        <w:rPr>
          <w:spacing w:val="-2"/>
          <w:sz w:val="22"/>
        </w:rPr>
        <w:t>as</w:t>
      </w:r>
      <w:r>
        <w:rPr>
          <w:spacing w:val="-12"/>
          <w:sz w:val="22"/>
        </w:rPr>
        <w:t> </w:t>
      </w:r>
      <w:r>
        <w:rPr>
          <w:spacing w:val="-2"/>
          <w:sz w:val="22"/>
        </w:rPr>
        <w:t>provide</w:t>
      </w:r>
      <w:r>
        <w:rPr>
          <w:spacing w:val="-12"/>
          <w:sz w:val="22"/>
        </w:rPr>
        <w:t> </w:t>
      </w:r>
      <w:r>
        <w:rPr>
          <w:spacing w:val="-2"/>
          <w:sz w:val="22"/>
        </w:rPr>
        <w:t>further</w:t>
      </w:r>
      <w:r>
        <w:rPr>
          <w:spacing w:val="-12"/>
          <w:sz w:val="22"/>
        </w:rPr>
        <w:t> </w:t>
      </w:r>
      <w:r>
        <w:rPr>
          <w:spacing w:val="-2"/>
          <w:sz w:val="22"/>
        </w:rPr>
        <w:t>learning </w:t>
      </w:r>
      <w:r>
        <w:rPr>
          <w:sz w:val="22"/>
        </w:rPr>
        <w:t>material and other resources and facilities to the newly literate.</w:t>
      </w:r>
    </w:p>
    <w:p>
      <w:pPr>
        <w:pStyle w:val="ListParagraph"/>
        <w:numPr>
          <w:ilvl w:val="2"/>
          <w:numId w:val="14"/>
        </w:numPr>
        <w:tabs>
          <w:tab w:pos="1439" w:val="left" w:leader="none"/>
        </w:tabs>
        <w:spacing w:line="266" w:lineRule="auto" w:before="0" w:after="0"/>
        <w:ind w:left="1439" w:right="0" w:hanging="360"/>
        <w:jc w:val="both"/>
        <w:rPr>
          <w:sz w:val="22"/>
        </w:rPr>
      </w:pPr>
      <w:r>
        <w:rPr>
          <w:sz w:val="22"/>
        </w:rPr>
        <w:t>Orient</w:t>
      </w:r>
      <w:r>
        <w:rPr>
          <w:spacing w:val="-5"/>
          <w:sz w:val="22"/>
        </w:rPr>
        <w:t> </w:t>
      </w:r>
      <w:r>
        <w:rPr>
          <w:sz w:val="22"/>
        </w:rPr>
        <w:t>the</w:t>
      </w:r>
      <w:r>
        <w:rPr>
          <w:spacing w:val="-5"/>
          <w:sz w:val="22"/>
        </w:rPr>
        <w:t> </w:t>
      </w:r>
      <w:r>
        <w:rPr>
          <w:sz w:val="22"/>
        </w:rPr>
        <w:t>post-literacy</w:t>
      </w:r>
      <w:r>
        <w:rPr>
          <w:spacing w:val="-5"/>
          <w:sz w:val="22"/>
        </w:rPr>
        <w:t> </w:t>
      </w:r>
      <w:r>
        <w:rPr>
          <w:sz w:val="22"/>
        </w:rPr>
        <w:t>and</w:t>
      </w:r>
      <w:r>
        <w:rPr>
          <w:spacing w:val="-5"/>
          <w:sz w:val="22"/>
        </w:rPr>
        <w:t> </w:t>
      </w:r>
      <w:r>
        <w:rPr>
          <w:sz w:val="22"/>
        </w:rPr>
        <w:t>continuing</w:t>
      </w:r>
      <w:r>
        <w:rPr>
          <w:spacing w:val="-5"/>
          <w:sz w:val="22"/>
        </w:rPr>
        <w:t> </w:t>
      </w:r>
      <w:r>
        <w:rPr>
          <w:sz w:val="22"/>
        </w:rPr>
        <w:t>education programs to the emotional, physical and </w:t>
      </w:r>
      <w:r>
        <w:rPr>
          <w:spacing w:val="-2"/>
          <w:sz w:val="22"/>
        </w:rPr>
        <w:t>psychological</w:t>
      </w:r>
      <w:r>
        <w:rPr>
          <w:spacing w:val="-8"/>
          <w:sz w:val="22"/>
        </w:rPr>
        <w:t> </w:t>
      </w:r>
      <w:r>
        <w:rPr>
          <w:spacing w:val="-2"/>
          <w:sz w:val="22"/>
        </w:rPr>
        <w:t>needs</w:t>
      </w:r>
      <w:r>
        <w:rPr>
          <w:spacing w:val="-8"/>
          <w:sz w:val="22"/>
        </w:rPr>
        <w:t> </w:t>
      </w:r>
      <w:r>
        <w:rPr>
          <w:spacing w:val="-2"/>
          <w:sz w:val="22"/>
        </w:rPr>
        <w:t>of</w:t>
      </w:r>
      <w:r>
        <w:rPr>
          <w:spacing w:val="-8"/>
          <w:sz w:val="22"/>
        </w:rPr>
        <w:t> </w:t>
      </w:r>
      <w:r>
        <w:rPr>
          <w:spacing w:val="-2"/>
          <w:sz w:val="22"/>
        </w:rPr>
        <w:t>adults</w:t>
      </w:r>
      <w:r>
        <w:rPr>
          <w:spacing w:val="-8"/>
          <w:sz w:val="22"/>
        </w:rPr>
        <w:t> </w:t>
      </w:r>
      <w:r>
        <w:rPr>
          <w:spacing w:val="-2"/>
          <w:sz w:val="22"/>
        </w:rPr>
        <w:t>rather</w:t>
      </w:r>
      <w:r>
        <w:rPr>
          <w:spacing w:val="-8"/>
          <w:sz w:val="22"/>
        </w:rPr>
        <w:t> </w:t>
      </w:r>
      <w:r>
        <w:rPr>
          <w:spacing w:val="-2"/>
          <w:sz w:val="22"/>
        </w:rPr>
        <w:t>than</w:t>
      </w:r>
      <w:r>
        <w:rPr>
          <w:spacing w:val="-8"/>
          <w:sz w:val="22"/>
        </w:rPr>
        <w:t> </w:t>
      </w:r>
      <w:r>
        <w:rPr>
          <w:spacing w:val="-2"/>
          <w:sz w:val="22"/>
        </w:rPr>
        <w:t>children, </w:t>
      </w:r>
      <w:r>
        <w:rPr>
          <w:sz w:val="22"/>
        </w:rPr>
        <w:t>incorporating issues regarding citizens’ rights, </w:t>
      </w:r>
      <w:r>
        <w:rPr>
          <w:spacing w:val="-2"/>
          <w:sz w:val="22"/>
        </w:rPr>
        <w:t>human</w:t>
      </w:r>
      <w:r>
        <w:rPr>
          <w:spacing w:val="-9"/>
          <w:sz w:val="22"/>
        </w:rPr>
        <w:t> </w:t>
      </w:r>
      <w:r>
        <w:rPr>
          <w:spacing w:val="-2"/>
          <w:sz w:val="22"/>
        </w:rPr>
        <w:t>rights,</w:t>
      </w:r>
      <w:r>
        <w:rPr>
          <w:spacing w:val="-9"/>
          <w:sz w:val="22"/>
        </w:rPr>
        <w:t> </w:t>
      </w:r>
      <w:r>
        <w:rPr>
          <w:spacing w:val="-2"/>
          <w:sz w:val="22"/>
        </w:rPr>
        <w:t>sex</w:t>
      </w:r>
      <w:r>
        <w:rPr>
          <w:spacing w:val="-9"/>
          <w:sz w:val="22"/>
        </w:rPr>
        <w:t> </w:t>
      </w:r>
      <w:r>
        <w:rPr>
          <w:spacing w:val="-2"/>
          <w:sz w:val="22"/>
        </w:rPr>
        <w:t>education,</w:t>
      </w:r>
      <w:r>
        <w:rPr>
          <w:spacing w:val="-9"/>
          <w:sz w:val="22"/>
        </w:rPr>
        <w:t> </w:t>
      </w:r>
      <w:r>
        <w:rPr>
          <w:spacing w:val="-2"/>
          <w:sz w:val="22"/>
        </w:rPr>
        <w:t>health</w:t>
      </w:r>
      <w:r>
        <w:rPr>
          <w:spacing w:val="-9"/>
          <w:sz w:val="22"/>
        </w:rPr>
        <w:t> </w:t>
      </w:r>
      <w:r>
        <w:rPr>
          <w:spacing w:val="-2"/>
          <w:sz w:val="22"/>
        </w:rPr>
        <w:t>and</w:t>
      </w:r>
      <w:r>
        <w:rPr>
          <w:spacing w:val="-9"/>
          <w:sz w:val="22"/>
        </w:rPr>
        <w:t> </w:t>
      </w:r>
      <w:r>
        <w:rPr>
          <w:spacing w:val="-2"/>
          <w:sz w:val="22"/>
        </w:rPr>
        <w:t>livelihood </w:t>
      </w:r>
      <w:r>
        <w:rPr>
          <w:sz w:val="22"/>
        </w:rPr>
        <w:t>government programs etc.</w:t>
      </w:r>
    </w:p>
    <w:p>
      <w:pPr>
        <w:pStyle w:val="ListParagraph"/>
        <w:numPr>
          <w:ilvl w:val="2"/>
          <w:numId w:val="14"/>
        </w:numPr>
        <w:tabs>
          <w:tab w:pos="1439" w:val="left" w:leader="none"/>
        </w:tabs>
        <w:spacing w:line="266" w:lineRule="auto" w:before="0" w:after="0"/>
        <w:ind w:left="1439" w:right="0" w:hanging="360"/>
        <w:jc w:val="both"/>
        <w:rPr>
          <w:sz w:val="22"/>
        </w:rPr>
      </w:pPr>
      <w:r>
        <w:rPr>
          <w:sz w:val="22"/>
        </w:rPr>
        <w:t>Use a variety of methods to ensure functional </w:t>
      </w:r>
      <w:r>
        <w:rPr>
          <w:spacing w:val="-2"/>
          <w:sz w:val="22"/>
        </w:rPr>
        <w:t>literacy,</w:t>
      </w:r>
      <w:r>
        <w:rPr>
          <w:spacing w:val="-11"/>
          <w:sz w:val="22"/>
        </w:rPr>
        <w:t> </w:t>
      </w:r>
      <w:r>
        <w:rPr>
          <w:spacing w:val="-2"/>
          <w:sz w:val="22"/>
        </w:rPr>
        <w:t>which</w:t>
      </w:r>
      <w:r>
        <w:rPr>
          <w:spacing w:val="-11"/>
          <w:sz w:val="22"/>
        </w:rPr>
        <w:t> </w:t>
      </w:r>
      <w:r>
        <w:rPr>
          <w:spacing w:val="-2"/>
          <w:sz w:val="22"/>
        </w:rPr>
        <w:t>combine</w:t>
      </w:r>
      <w:r>
        <w:rPr>
          <w:spacing w:val="-11"/>
          <w:sz w:val="22"/>
        </w:rPr>
        <w:t> </w:t>
      </w:r>
      <w:r>
        <w:rPr>
          <w:spacing w:val="-2"/>
          <w:sz w:val="22"/>
        </w:rPr>
        <w:t>more</w:t>
      </w:r>
      <w:r>
        <w:rPr>
          <w:spacing w:val="-11"/>
          <w:sz w:val="22"/>
        </w:rPr>
        <w:t> </w:t>
      </w:r>
      <w:r>
        <w:rPr>
          <w:spacing w:val="-2"/>
          <w:sz w:val="22"/>
        </w:rPr>
        <w:t>centralised</w:t>
      </w:r>
      <w:r>
        <w:rPr>
          <w:spacing w:val="-11"/>
          <w:sz w:val="22"/>
        </w:rPr>
        <w:t> </w:t>
      </w:r>
      <w:r>
        <w:rPr>
          <w:spacing w:val="-2"/>
          <w:sz w:val="22"/>
        </w:rPr>
        <w:t>schemes </w:t>
      </w:r>
      <w:r>
        <w:rPr>
          <w:sz w:val="22"/>
        </w:rPr>
        <w:t>based on ICT and other new technology with continuous</w:t>
      </w:r>
      <w:r>
        <w:rPr>
          <w:spacing w:val="-14"/>
          <w:sz w:val="22"/>
        </w:rPr>
        <w:t> </w:t>
      </w:r>
      <w:r>
        <w:rPr>
          <w:sz w:val="22"/>
        </w:rPr>
        <w:t>work</w:t>
      </w:r>
      <w:r>
        <w:rPr>
          <w:spacing w:val="-14"/>
          <w:sz w:val="22"/>
        </w:rPr>
        <w:t> </w:t>
      </w:r>
      <w:r>
        <w:rPr>
          <w:sz w:val="22"/>
        </w:rPr>
        <w:t>at</w:t>
      </w:r>
      <w:r>
        <w:rPr>
          <w:spacing w:val="-14"/>
          <w:sz w:val="22"/>
        </w:rPr>
        <w:t> </w:t>
      </w:r>
      <w:r>
        <w:rPr>
          <w:sz w:val="22"/>
        </w:rPr>
        <w:t>the</w:t>
      </w:r>
      <w:r>
        <w:rPr>
          <w:spacing w:val="-13"/>
          <w:sz w:val="22"/>
        </w:rPr>
        <w:t> </w:t>
      </w:r>
      <w:r>
        <w:rPr>
          <w:sz w:val="22"/>
        </w:rPr>
        <w:t>local</w:t>
      </w:r>
      <w:r>
        <w:rPr>
          <w:spacing w:val="-14"/>
          <w:sz w:val="22"/>
        </w:rPr>
        <w:t> </w:t>
      </w:r>
      <w:r>
        <w:rPr>
          <w:sz w:val="22"/>
        </w:rPr>
        <w:t>level</w:t>
      </w:r>
      <w:r>
        <w:rPr>
          <w:spacing w:val="-14"/>
          <w:sz w:val="22"/>
        </w:rPr>
        <w:t> </w:t>
      </w:r>
      <w:r>
        <w:rPr>
          <w:sz w:val="22"/>
        </w:rPr>
        <w:t>based</w:t>
      </w:r>
      <w:r>
        <w:rPr>
          <w:spacing w:val="-14"/>
          <w:sz w:val="22"/>
        </w:rPr>
        <w:t> </w:t>
      </w:r>
      <w:r>
        <w:rPr>
          <w:sz w:val="22"/>
        </w:rPr>
        <w:t>on</w:t>
      </w:r>
      <w:r>
        <w:rPr>
          <w:spacing w:val="-13"/>
          <w:sz w:val="22"/>
        </w:rPr>
        <w:t> </w:t>
      </w:r>
      <w:r>
        <w:rPr>
          <w:sz w:val="22"/>
        </w:rPr>
        <w:t>a</w:t>
      </w:r>
      <w:r>
        <w:rPr>
          <w:spacing w:val="-14"/>
          <w:sz w:val="22"/>
        </w:rPr>
        <w:t> </w:t>
      </w:r>
      <w:r>
        <w:rPr>
          <w:sz w:val="22"/>
        </w:rPr>
        <w:t>clear institutional structure. While new technologies such as ICT provide important new methods for </w:t>
      </w:r>
      <w:r>
        <w:rPr>
          <w:spacing w:val="-2"/>
          <w:sz w:val="22"/>
        </w:rPr>
        <w:t>imparting</w:t>
      </w:r>
      <w:r>
        <w:rPr>
          <w:spacing w:val="-4"/>
          <w:sz w:val="22"/>
        </w:rPr>
        <w:t> </w:t>
      </w:r>
      <w:r>
        <w:rPr>
          <w:spacing w:val="-2"/>
          <w:sz w:val="22"/>
        </w:rPr>
        <w:t>literacy</w:t>
      </w:r>
      <w:r>
        <w:rPr>
          <w:spacing w:val="-4"/>
          <w:sz w:val="22"/>
        </w:rPr>
        <w:t> </w:t>
      </w:r>
      <w:r>
        <w:rPr>
          <w:spacing w:val="-2"/>
          <w:sz w:val="22"/>
        </w:rPr>
        <w:t>in</w:t>
      </w:r>
      <w:r>
        <w:rPr>
          <w:spacing w:val="-4"/>
          <w:sz w:val="22"/>
        </w:rPr>
        <w:t> </w:t>
      </w:r>
      <w:r>
        <w:rPr>
          <w:spacing w:val="-2"/>
          <w:sz w:val="22"/>
        </w:rPr>
        <w:t>a</w:t>
      </w:r>
      <w:r>
        <w:rPr>
          <w:spacing w:val="-4"/>
          <w:sz w:val="22"/>
        </w:rPr>
        <w:t> </w:t>
      </w:r>
      <w:r>
        <w:rPr>
          <w:spacing w:val="-2"/>
          <w:sz w:val="22"/>
        </w:rPr>
        <w:t>short</w:t>
      </w:r>
      <w:r>
        <w:rPr>
          <w:spacing w:val="-4"/>
          <w:sz w:val="22"/>
        </w:rPr>
        <w:t> </w:t>
      </w:r>
      <w:r>
        <w:rPr>
          <w:spacing w:val="-2"/>
          <w:sz w:val="22"/>
        </w:rPr>
        <w:t>time,</w:t>
      </w:r>
      <w:r>
        <w:rPr>
          <w:spacing w:val="-4"/>
          <w:sz w:val="22"/>
        </w:rPr>
        <w:t> </w:t>
      </w:r>
      <w:r>
        <w:rPr>
          <w:spacing w:val="-2"/>
          <w:sz w:val="22"/>
        </w:rPr>
        <w:t>they</w:t>
      </w:r>
      <w:r>
        <w:rPr>
          <w:spacing w:val="-4"/>
          <w:sz w:val="22"/>
        </w:rPr>
        <w:t> </w:t>
      </w:r>
      <w:r>
        <w:rPr>
          <w:spacing w:val="-2"/>
          <w:sz w:val="22"/>
        </w:rPr>
        <w:t>necessarily</w:t>
      </w:r>
    </w:p>
    <w:p>
      <w:pPr>
        <w:pStyle w:val="BodyText"/>
        <w:spacing w:line="266" w:lineRule="auto" w:before="77"/>
        <w:ind w:left="679" w:right="1077"/>
        <w:jc w:val="both"/>
      </w:pPr>
      <w:r>
        <w:rPr/>
        <w:br w:type="column"/>
      </w:r>
      <w:r>
        <w:rPr/>
        <w:t>have</w:t>
      </w:r>
      <w:r>
        <w:rPr>
          <w:spacing w:val="-11"/>
        </w:rPr>
        <w:t> </w:t>
      </w:r>
      <w:r>
        <w:rPr/>
        <w:t>a</w:t>
      </w:r>
      <w:r>
        <w:rPr>
          <w:spacing w:val="-9"/>
        </w:rPr>
        <w:t> </w:t>
      </w:r>
      <w:r>
        <w:rPr/>
        <w:t>limited</w:t>
      </w:r>
      <w:r>
        <w:rPr>
          <w:spacing w:val="-9"/>
        </w:rPr>
        <w:t> </w:t>
      </w:r>
      <w:r>
        <w:rPr/>
        <w:t>role.</w:t>
      </w:r>
      <w:r>
        <w:rPr>
          <w:spacing w:val="-14"/>
        </w:rPr>
        <w:t> </w:t>
      </w:r>
      <w:r>
        <w:rPr/>
        <w:t>They</w:t>
      </w:r>
      <w:r>
        <w:rPr>
          <w:spacing w:val="-9"/>
        </w:rPr>
        <w:t> </w:t>
      </w:r>
      <w:r>
        <w:rPr/>
        <w:t>cannot</w:t>
      </w:r>
      <w:r>
        <w:rPr>
          <w:spacing w:val="-9"/>
        </w:rPr>
        <w:t> </w:t>
      </w:r>
      <w:r>
        <w:rPr/>
        <w:t>be</w:t>
      </w:r>
      <w:r>
        <w:rPr>
          <w:spacing w:val="-9"/>
        </w:rPr>
        <w:t> </w:t>
      </w:r>
      <w:r>
        <w:rPr/>
        <w:t>seen</w:t>
      </w:r>
      <w:r>
        <w:rPr>
          <w:spacing w:val="-9"/>
        </w:rPr>
        <w:t> </w:t>
      </w:r>
      <w:r>
        <w:rPr/>
        <w:t>as</w:t>
      </w:r>
      <w:r>
        <w:rPr>
          <w:spacing w:val="-9"/>
        </w:rPr>
        <w:t> </w:t>
      </w:r>
      <w:r>
        <w:rPr/>
        <w:t>stand- alone quick-fix solutions, but must be combined with other methods.</w:t>
      </w:r>
    </w:p>
    <w:p>
      <w:pPr>
        <w:pStyle w:val="ListParagraph"/>
        <w:numPr>
          <w:ilvl w:val="0"/>
          <w:numId w:val="15"/>
        </w:numPr>
        <w:tabs>
          <w:tab w:pos="679" w:val="left" w:leader="none"/>
        </w:tabs>
        <w:spacing w:line="266" w:lineRule="auto" w:before="0" w:after="0"/>
        <w:ind w:left="679" w:right="1077" w:hanging="360"/>
        <w:jc w:val="both"/>
        <w:rPr>
          <w:sz w:val="22"/>
        </w:rPr>
      </w:pPr>
      <w:r>
        <w:rPr>
          <w:spacing w:val="-4"/>
          <w:sz w:val="22"/>
        </w:rPr>
        <w:t>Move</w:t>
      </w:r>
      <w:r>
        <w:rPr>
          <w:spacing w:val="-8"/>
          <w:sz w:val="22"/>
        </w:rPr>
        <w:t> </w:t>
      </w:r>
      <w:r>
        <w:rPr>
          <w:spacing w:val="-4"/>
          <w:sz w:val="22"/>
        </w:rPr>
        <w:t>to</w:t>
      </w:r>
      <w:r>
        <w:rPr>
          <w:spacing w:val="-8"/>
          <w:sz w:val="22"/>
        </w:rPr>
        <w:t> </w:t>
      </w:r>
      <w:r>
        <w:rPr>
          <w:spacing w:val="-4"/>
          <w:sz w:val="22"/>
        </w:rPr>
        <w:t>a</w:t>
      </w:r>
      <w:r>
        <w:rPr>
          <w:spacing w:val="-8"/>
          <w:sz w:val="22"/>
        </w:rPr>
        <w:t> </w:t>
      </w:r>
      <w:r>
        <w:rPr>
          <w:spacing w:val="-4"/>
          <w:sz w:val="22"/>
        </w:rPr>
        <w:t>sustainable</w:t>
      </w:r>
      <w:r>
        <w:rPr>
          <w:spacing w:val="-8"/>
          <w:sz w:val="22"/>
        </w:rPr>
        <w:t> </w:t>
      </w:r>
      <w:r>
        <w:rPr>
          <w:spacing w:val="-4"/>
          <w:sz w:val="22"/>
        </w:rPr>
        <w:t>system</w:t>
      </w:r>
      <w:r>
        <w:rPr>
          <w:spacing w:val="-8"/>
          <w:sz w:val="22"/>
        </w:rPr>
        <w:t> </w:t>
      </w:r>
      <w:r>
        <w:rPr>
          <w:spacing w:val="-4"/>
          <w:sz w:val="22"/>
        </w:rPr>
        <w:t>of</w:t>
      </w:r>
      <w:r>
        <w:rPr>
          <w:spacing w:val="-8"/>
          <w:sz w:val="22"/>
        </w:rPr>
        <w:t> </w:t>
      </w:r>
      <w:r>
        <w:rPr>
          <w:spacing w:val="-4"/>
          <w:sz w:val="22"/>
        </w:rPr>
        <w:t>literacy</w:t>
      </w:r>
      <w:r>
        <w:rPr>
          <w:spacing w:val="-8"/>
          <w:sz w:val="22"/>
        </w:rPr>
        <w:t> </w:t>
      </w:r>
      <w:r>
        <w:rPr>
          <w:spacing w:val="-4"/>
          <w:sz w:val="22"/>
        </w:rPr>
        <w:t>generation </w:t>
      </w:r>
      <w:r>
        <w:rPr>
          <w:spacing w:val="-2"/>
          <w:sz w:val="22"/>
        </w:rPr>
        <w:t>that</w:t>
      </w:r>
      <w:r>
        <w:rPr>
          <w:spacing w:val="-7"/>
          <w:sz w:val="22"/>
        </w:rPr>
        <w:t> </w:t>
      </w:r>
      <w:r>
        <w:rPr>
          <w:spacing w:val="-2"/>
          <w:sz w:val="22"/>
        </w:rPr>
        <w:t>does</w:t>
      </w:r>
      <w:r>
        <w:rPr>
          <w:spacing w:val="-7"/>
          <w:sz w:val="22"/>
        </w:rPr>
        <w:t> </w:t>
      </w:r>
      <w:r>
        <w:rPr>
          <w:spacing w:val="-2"/>
          <w:sz w:val="22"/>
        </w:rPr>
        <w:t>not</w:t>
      </w:r>
      <w:r>
        <w:rPr>
          <w:spacing w:val="-7"/>
          <w:sz w:val="22"/>
        </w:rPr>
        <w:t> </w:t>
      </w:r>
      <w:r>
        <w:rPr>
          <w:spacing w:val="-2"/>
          <w:sz w:val="22"/>
        </w:rPr>
        <w:t>rely</w:t>
      </w:r>
      <w:r>
        <w:rPr>
          <w:spacing w:val="-7"/>
          <w:sz w:val="22"/>
        </w:rPr>
        <w:t> </w:t>
      </w:r>
      <w:r>
        <w:rPr>
          <w:spacing w:val="-2"/>
          <w:sz w:val="22"/>
        </w:rPr>
        <w:t>on</w:t>
      </w:r>
      <w:r>
        <w:rPr>
          <w:spacing w:val="-7"/>
          <w:sz w:val="22"/>
        </w:rPr>
        <w:t> </w:t>
      </w:r>
      <w:r>
        <w:rPr>
          <w:spacing w:val="-2"/>
          <w:sz w:val="22"/>
        </w:rPr>
        <w:t>underpaid</w:t>
      </w:r>
      <w:r>
        <w:rPr>
          <w:spacing w:val="-7"/>
          <w:sz w:val="22"/>
        </w:rPr>
        <w:t> </w:t>
      </w:r>
      <w:r>
        <w:rPr>
          <w:spacing w:val="-2"/>
          <w:sz w:val="22"/>
        </w:rPr>
        <w:t>“volunteer”</w:t>
      </w:r>
      <w:r>
        <w:rPr>
          <w:spacing w:val="-7"/>
          <w:sz w:val="22"/>
        </w:rPr>
        <w:t> </w:t>
      </w:r>
      <w:r>
        <w:rPr>
          <w:spacing w:val="-2"/>
          <w:sz w:val="22"/>
        </w:rPr>
        <w:t>labour </w:t>
      </w:r>
      <w:r>
        <w:rPr>
          <w:spacing w:val="-6"/>
          <w:sz w:val="22"/>
        </w:rPr>
        <w:t>alone, which therefore involves budgetary provision </w:t>
      </w:r>
      <w:r>
        <w:rPr>
          <w:sz w:val="22"/>
        </w:rPr>
        <w:t>for better remuneration for literacy workers.</w:t>
      </w:r>
    </w:p>
    <w:p>
      <w:pPr>
        <w:pStyle w:val="ListParagraph"/>
        <w:numPr>
          <w:ilvl w:val="0"/>
          <w:numId w:val="15"/>
        </w:numPr>
        <w:tabs>
          <w:tab w:pos="679" w:val="left" w:leader="none"/>
        </w:tabs>
        <w:spacing w:line="266" w:lineRule="auto" w:before="0" w:after="0"/>
        <w:ind w:left="679" w:right="1077" w:hanging="360"/>
        <w:jc w:val="both"/>
        <w:rPr>
          <w:sz w:val="22"/>
        </w:rPr>
      </w:pPr>
      <w:r>
        <w:rPr>
          <w:sz w:val="22"/>
        </w:rPr>
        <w:t>Create</w:t>
      </w:r>
      <w:r>
        <w:rPr>
          <w:spacing w:val="-9"/>
          <w:sz w:val="22"/>
        </w:rPr>
        <w:t> </w:t>
      </w:r>
      <w:r>
        <w:rPr>
          <w:sz w:val="22"/>
        </w:rPr>
        <w:t>synergies</w:t>
      </w:r>
      <w:r>
        <w:rPr>
          <w:spacing w:val="-9"/>
          <w:sz w:val="22"/>
        </w:rPr>
        <w:t> </w:t>
      </w:r>
      <w:r>
        <w:rPr>
          <w:sz w:val="22"/>
        </w:rPr>
        <w:t>between</w:t>
      </w:r>
      <w:r>
        <w:rPr>
          <w:spacing w:val="-9"/>
          <w:sz w:val="22"/>
        </w:rPr>
        <w:t> </w:t>
      </w:r>
      <w:r>
        <w:rPr>
          <w:sz w:val="22"/>
        </w:rPr>
        <w:t>NLM</w:t>
      </w:r>
      <w:r>
        <w:rPr>
          <w:spacing w:val="-9"/>
          <w:sz w:val="22"/>
        </w:rPr>
        <w:t> </w:t>
      </w:r>
      <w:r>
        <w:rPr>
          <w:sz w:val="22"/>
        </w:rPr>
        <w:t>and</w:t>
      </w:r>
      <w:r>
        <w:rPr>
          <w:spacing w:val="-9"/>
          <w:sz w:val="22"/>
        </w:rPr>
        <w:t> </w:t>
      </w:r>
      <w:r>
        <w:rPr>
          <w:sz w:val="22"/>
        </w:rPr>
        <w:t>the</w:t>
      </w:r>
      <w:r>
        <w:rPr>
          <w:spacing w:val="-9"/>
          <w:sz w:val="22"/>
        </w:rPr>
        <w:t> </w:t>
      </w:r>
      <w:r>
        <w:rPr>
          <w:sz w:val="22"/>
        </w:rPr>
        <w:t>proposed Skill Development Mission, while taking local needs and field requirements into account. For example, in some primarily agrarian </w:t>
      </w:r>
      <w:r>
        <w:rPr>
          <w:sz w:val="22"/>
        </w:rPr>
        <w:t>economies, undue emphasis on industrial skills in ITIs may be incongruous while horticultural and animal husbandry</w:t>
      </w:r>
      <w:r>
        <w:rPr>
          <w:spacing w:val="-1"/>
          <w:sz w:val="22"/>
        </w:rPr>
        <w:t> </w:t>
      </w:r>
      <w:r>
        <w:rPr>
          <w:sz w:val="22"/>
        </w:rPr>
        <w:t>skills</w:t>
      </w:r>
      <w:r>
        <w:rPr>
          <w:spacing w:val="-1"/>
          <w:sz w:val="22"/>
        </w:rPr>
        <w:t> </w:t>
      </w:r>
      <w:r>
        <w:rPr>
          <w:sz w:val="22"/>
        </w:rPr>
        <w:t>may</w:t>
      </w:r>
      <w:r>
        <w:rPr>
          <w:spacing w:val="-1"/>
          <w:sz w:val="22"/>
        </w:rPr>
        <w:t> </w:t>
      </w:r>
      <w:r>
        <w:rPr>
          <w:sz w:val="22"/>
        </w:rPr>
        <w:t>be</w:t>
      </w:r>
      <w:r>
        <w:rPr>
          <w:spacing w:val="-1"/>
          <w:sz w:val="22"/>
        </w:rPr>
        <w:t> </w:t>
      </w:r>
      <w:r>
        <w:rPr>
          <w:sz w:val="22"/>
        </w:rPr>
        <w:t>more</w:t>
      </w:r>
      <w:r>
        <w:rPr>
          <w:spacing w:val="-1"/>
          <w:sz w:val="22"/>
        </w:rPr>
        <w:t> </w:t>
      </w:r>
      <w:r>
        <w:rPr>
          <w:sz w:val="22"/>
        </w:rPr>
        <w:t>relevant.</w:t>
      </w:r>
    </w:p>
    <w:p>
      <w:pPr>
        <w:pStyle w:val="Heading7"/>
        <w:numPr>
          <w:ilvl w:val="1"/>
          <w:numId w:val="14"/>
        </w:numPr>
        <w:tabs>
          <w:tab w:pos="717" w:val="left" w:leader="none"/>
        </w:tabs>
        <w:spacing w:line="225" w:lineRule="auto" w:before="246" w:after="0"/>
        <w:ind w:left="717" w:right="1378" w:hanging="398"/>
        <w:jc w:val="left"/>
      </w:pPr>
      <w:r>
        <w:rPr>
          <w:color w:val="2E614A"/>
          <w:w w:val="90"/>
        </w:rPr>
        <w:t>Early childhood education is </w:t>
      </w:r>
      <w:r>
        <w:rPr>
          <w:color w:val="2E614A"/>
          <w:w w:val="90"/>
        </w:rPr>
        <w:t>extremely </w:t>
      </w:r>
      <w:r>
        <w:rPr>
          <w:color w:val="2E614A"/>
          <w:spacing w:val="-4"/>
        </w:rPr>
        <w:t>important</w:t>
      </w:r>
      <w:r>
        <w:rPr>
          <w:color w:val="2E614A"/>
          <w:spacing w:val="-13"/>
        </w:rPr>
        <w:t> </w:t>
      </w:r>
      <w:r>
        <w:rPr>
          <w:color w:val="2E614A"/>
          <w:spacing w:val="-4"/>
        </w:rPr>
        <w:t>and</w:t>
      </w:r>
      <w:r>
        <w:rPr>
          <w:color w:val="2E614A"/>
          <w:spacing w:val="-12"/>
        </w:rPr>
        <w:t> </w:t>
      </w:r>
      <w:r>
        <w:rPr>
          <w:color w:val="2E614A"/>
          <w:spacing w:val="-4"/>
        </w:rPr>
        <w:t>must</w:t>
      </w:r>
      <w:r>
        <w:rPr>
          <w:color w:val="2E614A"/>
          <w:spacing w:val="-12"/>
        </w:rPr>
        <w:t> </w:t>
      </w:r>
      <w:r>
        <w:rPr>
          <w:color w:val="2E614A"/>
          <w:spacing w:val="-4"/>
        </w:rPr>
        <w:t>be</w:t>
      </w:r>
      <w:r>
        <w:rPr>
          <w:color w:val="2E614A"/>
          <w:spacing w:val="-12"/>
        </w:rPr>
        <w:t> </w:t>
      </w:r>
      <w:r>
        <w:rPr>
          <w:color w:val="2E614A"/>
          <w:spacing w:val="-4"/>
        </w:rPr>
        <w:t>universalised.</w:t>
      </w:r>
    </w:p>
    <w:p>
      <w:pPr>
        <w:pStyle w:val="BodyText"/>
        <w:spacing w:before="2"/>
        <w:rPr>
          <w:b/>
          <w:sz w:val="26"/>
        </w:rPr>
      </w:pPr>
    </w:p>
    <w:p>
      <w:pPr>
        <w:pStyle w:val="BodyText"/>
        <w:spacing w:line="266" w:lineRule="auto"/>
        <w:ind w:left="319" w:right="1077"/>
        <w:jc w:val="both"/>
      </w:pPr>
      <w:r>
        <w:rPr/>
        <w:t>There</w:t>
      </w:r>
      <w:r>
        <w:rPr>
          <w:spacing w:val="-9"/>
        </w:rPr>
        <w:t> </w:t>
      </w:r>
      <w:r>
        <w:rPr/>
        <w:t>are</w:t>
      </w:r>
      <w:r>
        <w:rPr>
          <w:spacing w:val="-9"/>
        </w:rPr>
        <w:t> </w:t>
      </w:r>
      <w:r>
        <w:rPr/>
        <w:t>two</w:t>
      </w:r>
      <w:r>
        <w:rPr>
          <w:spacing w:val="-9"/>
        </w:rPr>
        <w:t> </w:t>
      </w:r>
      <w:r>
        <w:rPr/>
        <w:t>aspects</w:t>
      </w:r>
      <w:r>
        <w:rPr>
          <w:spacing w:val="-9"/>
        </w:rPr>
        <w:t> </w:t>
      </w:r>
      <w:r>
        <w:rPr/>
        <w:t>to</w:t>
      </w:r>
      <w:r>
        <w:rPr>
          <w:spacing w:val="-9"/>
        </w:rPr>
        <w:t> </w:t>
      </w:r>
      <w:r>
        <w:rPr/>
        <w:t>ensuring</w:t>
      </w:r>
      <w:r>
        <w:rPr>
          <w:spacing w:val="-9"/>
        </w:rPr>
        <w:t> </w:t>
      </w:r>
      <w:r>
        <w:rPr/>
        <w:t>the</w:t>
      </w:r>
      <w:r>
        <w:rPr>
          <w:spacing w:val="-9"/>
        </w:rPr>
        <w:t> </w:t>
      </w:r>
      <w:r>
        <w:rPr/>
        <w:t>universalisation </w:t>
      </w:r>
      <w:r>
        <w:rPr>
          <w:spacing w:val="-4"/>
        </w:rPr>
        <w:t>of</w:t>
      </w:r>
      <w:r>
        <w:rPr>
          <w:spacing w:val="-10"/>
        </w:rPr>
        <w:t> </w:t>
      </w:r>
      <w:r>
        <w:rPr>
          <w:spacing w:val="-4"/>
        </w:rPr>
        <w:t>early</w:t>
      </w:r>
      <w:r>
        <w:rPr>
          <w:spacing w:val="-10"/>
        </w:rPr>
        <w:t> </w:t>
      </w:r>
      <w:r>
        <w:rPr>
          <w:spacing w:val="-4"/>
        </w:rPr>
        <w:t>schooling</w:t>
      </w:r>
      <w:r>
        <w:rPr>
          <w:spacing w:val="-6"/>
        </w:rPr>
        <w:t> </w:t>
      </w:r>
      <w:r>
        <w:rPr>
          <w:spacing w:val="-4"/>
        </w:rPr>
        <w:t>and</w:t>
      </w:r>
      <w:r>
        <w:rPr>
          <w:spacing w:val="-7"/>
        </w:rPr>
        <w:t> </w:t>
      </w:r>
      <w:r>
        <w:rPr>
          <w:spacing w:val="-4"/>
        </w:rPr>
        <w:t>pre-school</w:t>
      </w:r>
      <w:r>
        <w:rPr>
          <w:spacing w:val="-7"/>
        </w:rPr>
        <w:t> </w:t>
      </w:r>
      <w:r>
        <w:rPr>
          <w:spacing w:val="-4"/>
        </w:rPr>
        <w:t>education.</w:t>
      </w:r>
      <w:r>
        <w:rPr>
          <w:spacing w:val="-10"/>
        </w:rPr>
        <w:t> </w:t>
      </w:r>
      <w:r>
        <w:rPr>
          <w:spacing w:val="-4"/>
        </w:rPr>
        <w:t>The</w:t>
      </w:r>
      <w:r>
        <w:rPr>
          <w:spacing w:val="-7"/>
        </w:rPr>
        <w:t> </w:t>
      </w:r>
      <w:r>
        <w:rPr>
          <w:spacing w:val="-4"/>
        </w:rPr>
        <w:t>first</w:t>
      </w:r>
      <w:r>
        <w:rPr>
          <w:spacing w:val="-7"/>
        </w:rPr>
        <w:t> </w:t>
      </w:r>
      <w:r>
        <w:rPr>
          <w:spacing w:val="-4"/>
        </w:rPr>
        <w:t>is </w:t>
      </w:r>
      <w:r>
        <w:rPr/>
        <w:t>the</w:t>
      </w:r>
      <w:r>
        <w:rPr>
          <w:spacing w:val="-14"/>
        </w:rPr>
        <w:t> </w:t>
      </w:r>
      <w:r>
        <w:rPr/>
        <w:t>systematic</w:t>
      </w:r>
      <w:r>
        <w:rPr>
          <w:spacing w:val="-14"/>
        </w:rPr>
        <w:t> </w:t>
      </w:r>
      <w:r>
        <w:rPr/>
        <w:t>extension</w:t>
      </w:r>
      <w:r>
        <w:rPr>
          <w:spacing w:val="-14"/>
        </w:rPr>
        <w:t> </w:t>
      </w:r>
      <w:r>
        <w:rPr/>
        <w:t>of</w:t>
      </w:r>
      <w:r>
        <w:rPr>
          <w:spacing w:val="-13"/>
        </w:rPr>
        <w:t> </w:t>
      </w:r>
      <w:r>
        <w:rPr/>
        <w:t>balwadis</w:t>
      </w:r>
      <w:r>
        <w:rPr>
          <w:spacing w:val="-14"/>
        </w:rPr>
        <w:t> </w:t>
      </w:r>
      <w:r>
        <w:rPr/>
        <w:t>with</w:t>
      </w:r>
      <w:r>
        <w:rPr>
          <w:spacing w:val="-14"/>
        </w:rPr>
        <w:t> </w:t>
      </w:r>
      <w:r>
        <w:rPr/>
        <w:t>trained</w:t>
      </w:r>
      <w:r>
        <w:rPr>
          <w:spacing w:val="-14"/>
        </w:rPr>
        <w:t> </w:t>
      </w:r>
      <w:r>
        <w:rPr/>
        <w:t>staff </w:t>
      </w:r>
      <w:r>
        <w:rPr>
          <w:spacing w:val="-8"/>
        </w:rPr>
        <w:t>to</w:t>
      </w:r>
      <w:r>
        <w:rPr>
          <w:spacing w:val="-6"/>
        </w:rPr>
        <w:t> </w:t>
      </w:r>
      <w:r>
        <w:rPr>
          <w:spacing w:val="-8"/>
        </w:rPr>
        <w:t>handle</w:t>
      </w:r>
      <w:r>
        <w:rPr>
          <w:spacing w:val="-1"/>
        </w:rPr>
        <w:t> </w:t>
      </w:r>
      <w:r>
        <w:rPr>
          <w:spacing w:val="-8"/>
        </w:rPr>
        <w:t>child</w:t>
      </w:r>
      <w:r>
        <w:rPr>
          <w:spacing w:val="-1"/>
        </w:rPr>
        <w:t> </w:t>
      </w:r>
      <w:r>
        <w:rPr>
          <w:spacing w:val="-8"/>
        </w:rPr>
        <w:t>pedagogy.</w:t>
      </w:r>
      <w:r>
        <w:rPr>
          <w:spacing w:val="-6"/>
        </w:rPr>
        <w:t> </w:t>
      </w:r>
      <w:r>
        <w:rPr>
          <w:spacing w:val="-8"/>
        </w:rPr>
        <w:t>The</w:t>
      </w:r>
      <w:r>
        <w:rPr>
          <w:spacing w:val="-1"/>
        </w:rPr>
        <w:t> </w:t>
      </w:r>
      <w:r>
        <w:rPr>
          <w:spacing w:val="-8"/>
        </w:rPr>
        <w:t>second</w:t>
      </w:r>
      <w:r>
        <w:rPr>
          <w:spacing w:val="-1"/>
        </w:rPr>
        <w:t> </w:t>
      </w:r>
      <w:r>
        <w:rPr>
          <w:spacing w:val="-8"/>
        </w:rPr>
        <w:t>is</w:t>
      </w:r>
      <w:r>
        <w:rPr>
          <w:spacing w:val="-1"/>
        </w:rPr>
        <w:t> </w:t>
      </w:r>
      <w:r>
        <w:rPr>
          <w:spacing w:val="-8"/>
        </w:rPr>
        <w:t>the</w:t>
      </w:r>
      <w:r>
        <w:rPr>
          <w:spacing w:val="-1"/>
        </w:rPr>
        <w:t> </w:t>
      </w:r>
      <w:r>
        <w:rPr>
          <w:spacing w:val="-8"/>
        </w:rPr>
        <w:t>provision</w:t>
      </w:r>
      <w:r>
        <w:rPr>
          <w:spacing w:val="-1"/>
        </w:rPr>
        <w:t> </w:t>
      </w:r>
      <w:r>
        <w:rPr>
          <w:spacing w:val="-8"/>
        </w:rPr>
        <w:t>for one</w:t>
      </w:r>
      <w:r>
        <w:rPr/>
        <w:t> </w:t>
      </w:r>
      <w:r>
        <w:rPr>
          <w:spacing w:val="-8"/>
        </w:rPr>
        <w:t>year</w:t>
      </w:r>
      <w:r>
        <w:rPr/>
        <w:t> </w:t>
      </w:r>
      <w:r>
        <w:rPr>
          <w:spacing w:val="-8"/>
        </w:rPr>
        <w:t>of</w:t>
      </w:r>
      <w:r>
        <w:rPr/>
        <w:t> </w:t>
      </w:r>
      <w:r>
        <w:rPr>
          <w:spacing w:val="-8"/>
        </w:rPr>
        <w:t>pre-schooling</w:t>
      </w:r>
      <w:r>
        <w:rPr/>
        <w:t> </w:t>
      </w:r>
      <w:r>
        <w:rPr>
          <w:spacing w:val="-8"/>
        </w:rPr>
        <w:t>in</w:t>
      </w:r>
      <w:r>
        <w:rPr/>
        <w:t> </w:t>
      </w:r>
      <w:r>
        <w:rPr>
          <w:spacing w:val="-8"/>
        </w:rPr>
        <w:t>all</w:t>
      </w:r>
      <w:r>
        <w:rPr/>
        <w:t> </w:t>
      </w:r>
      <w:r>
        <w:rPr>
          <w:spacing w:val="-8"/>
        </w:rPr>
        <w:t>institutions</w:t>
      </w:r>
      <w:r>
        <w:rPr/>
        <w:t> </w:t>
      </w:r>
      <w:r>
        <w:rPr>
          <w:spacing w:val="-8"/>
        </w:rPr>
        <w:t>of</w:t>
      </w:r>
      <w:r>
        <w:rPr/>
        <w:t> </w:t>
      </w:r>
      <w:r>
        <w:rPr>
          <w:spacing w:val="-8"/>
        </w:rPr>
        <w:t>elementary </w:t>
      </w:r>
      <w:r>
        <w:rPr>
          <w:spacing w:val="-2"/>
        </w:rPr>
        <w:t>education.</w:t>
      </w:r>
      <w:r>
        <w:rPr>
          <w:spacing w:val="-12"/>
        </w:rPr>
        <w:t> </w:t>
      </w:r>
      <w:r>
        <w:rPr>
          <w:spacing w:val="-2"/>
        </w:rPr>
        <w:t>Both</w:t>
      </w:r>
      <w:r>
        <w:rPr>
          <w:spacing w:val="-12"/>
        </w:rPr>
        <w:t> </w:t>
      </w:r>
      <w:r>
        <w:rPr>
          <w:spacing w:val="-2"/>
        </w:rPr>
        <w:t>of</w:t>
      </w:r>
      <w:r>
        <w:rPr>
          <w:spacing w:val="-12"/>
        </w:rPr>
        <w:t> </w:t>
      </w:r>
      <w:r>
        <w:rPr>
          <w:spacing w:val="-2"/>
        </w:rPr>
        <w:t>these</w:t>
      </w:r>
      <w:r>
        <w:rPr>
          <w:spacing w:val="-11"/>
        </w:rPr>
        <w:t> </w:t>
      </w:r>
      <w:r>
        <w:rPr>
          <w:spacing w:val="-2"/>
        </w:rPr>
        <w:t>have</w:t>
      </w:r>
      <w:r>
        <w:rPr>
          <w:spacing w:val="-12"/>
        </w:rPr>
        <w:t> </w:t>
      </w:r>
      <w:r>
        <w:rPr>
          <w:spacing w:val="-2"/>
        </w:rPr>
        <w:t>implications</w:t>
      </w:r>
      <w:r>
        <w:rPr>
          <w:spacing w:val="-12"/>
        </w:rPr>
        <w:t> </w:t>
      </w:r>
      <w:r>
        <w:rPr>
          <w:spacing w:val="-2"/>
        </w:rPr>
        <w:t>for</w:t>
      </w:r>
      <w:r>
        <w:rPr>
          <w:spacing w:val="-12"/>
        </w:rPr>
        <w:t> </w:t>
      </w:r>
      <w:r>
        <w:rPr>
          <w:spacing w:val="-2"/>
        </w:rPr>
        <w:t>resource allocation</w:t>
      </w:r>
      <w:r>
        <w:rPr>
          <w:spacing w:val="-7"/>
        </w:rPr>
        <w:t> </w:t>
      </w:r>
      <w:r>
        <w:rPr>
          <w:spacing w:val="-2"/>
        </w:rPr>
        <w:t>and</w:t>
      </w:r>
      <w:r>
        <w:rPr>
          <w:spacing w:val="-7"/>
        </w:rPr>
        <w:t> </w:t>
      </w:r>
      <w:r>
        <w:rPr>
          <w:spacing w:val="-2"/>
        </w:rPr>
        <w:t>recruitment</w:t>
      </w:r>
      <w:r>
        <w:rPr>
          <w:spacing w:val="-7"/>
        </w:rPr>
        <w:t> </w:t>
      </w:r>
      <w:r>
        <w:rPr>
          <w:spacing w:val="-2"/>
        </w:rPr>
        <w:t>of</w:t>
      </w:r>
      <w:r>
        <w:rPr>
          <w:spacing w:val="-7"/>
        </w:rPr>
        <w:t> </w:t>
      </w:r>
      <w:r>
        <w:rPr>
          <w:spacing w:val="-2"/>
        </w:rPr>
        <w:t>the</w:t>
      </w:r>
      <w:r>
        <w:rPr>
          <w:spacing w:val="-7"/>
        </w:rPr>
        <w:t> </w:t>
      </w:r>
      <w:r>
        <w:rPr>
          <w:spacing w:val="-2"/>
        </w:rPr>
        <w:t>requisite</w:t>
      </w:r>
      <w:r>
        <w:rPr>
          <w:spacing w:val="-7"/>
        </w:rPr>
        <w:t> </w:t>
      </w:r>
      <w:r>
        <w:rPr>
          <w:spacing w:val="-2"/>
        </w:rPr>
        <w:t>staff.</w:t>
      </w:r>
    </w:p>
    <w:p>
      <w:pPr>
        <w:pStyle w:val="Heading7"/>
        <w:numPr>
          <w:ilvl w:val="1"/>
          <w:numId w:val="14"/>
        </w:numPr>
        <w:tabs>
          <w:tab w:pos="724" w:val="left" w:leader="none"/>
          <w:tab w:pos="726" w:val="left" w:leader="none"/>
        </w:tabs>
        <w:spacing w:line="225" w:lineRule="auto" w:before="251" w:after="0"/>
        <w:ind w:left="726" w:right="1109" w:hanging="408"/>
        <w:jc w:val="left"/>
      </w:pPr>
      <w:r>
        <w:rPr>
          <w:color w:val="2E614A"/>
          <w:spacing w:val="-6"/>
        </w:rPr>
        <w:t>The collection and speedy dissemination </w:t>
      </w:r>
      <w:r>
        <w:rPr>
          <w:color w:val="2E614A"/>
          <w:w w:val="90"/>
        </w:rPr>
        <w:t>of accurate and current data on </w:t>
      </w:r>
      <w:r>
        <w:rPr>
          <w:color w:val="2E614A"/>
          <w:w w:val="90"/>
        </w:rPr>
        <w:t>schooling </w:t>
      </w:r>
      <w:r>
        <w:rPr>
          <w:color w:val="2E614A"/>
          <w:spacing w:val="-4"/>
        </w:rPr>
        <w:t>must</w:t>
      </w:r>
      <w:r>
        <w:rPr>
          <w:color w:val="2E614A"/>
          <w:spacing w:val="-12"/>
        </w:rPr>
        <w:t> </w:t>
      </w:r>
      <w:r>
        <w:rPr>
          <w:color w:val="2E614A"/>
          <w:spacing w:val="-4"/>
        </w:rPr>
        <w:t>be</w:t>
      </w:r>
      <w:r>
        <w:rPr>
          <w:color w:val="2E614A"/>
          <w:spacing w:val="-12"/>
        </w:rPr>
        <w:t> </w:t>
      </w:r>
      <w:r>
        <w:rPr>
          <w:color w:val="2E614A"/>
          <w:spacing w:val="-4"/>
        </w:rPr>
        <w:t>made</w:t>
      </w:r>
      <w:r>
        <w:rPr>
          <w:color w:val="2E614A"/>
          <w:spacing w:val="-12"/>
        </w:rPr>
        <w:t> </w:t>
      </w:r>
      <w:r>
        <w:rPr>
          <w:color w:val="2E614A"/>
          <w:spacing w:val="-4"/>
        </w:rPr>
        <w:t>a</w:t>
      </w:r>
      <w:r>
        <w:rPr>
          <w:color w:val="2E614A"/>
          <w:spacing w:val="-12"/>
        </w:rPr>
        <w:t> </w:t>
      </w:r>
      <w:r>
        <w:rPr>
          <w:color w:val="2E614A"/>
          <w:spacing w:val="-4"/>
        </w:rPr>
        <w:t>priority.</w:t>
      </w:r>
      <w:r>
        <w:rPr>
          <w:color w:val="2E614A"/>
          <w:spacing w:val="-12"/>
        </w:rPr>
        <w:t> </w:t>
      </w:r>
      <w:r>
        <w:rPr>
          <w:color w:val="2E614A"/>
          <w:spacing w:val="-4"/>
        </w:rPr>
        <w:t>It</w:t>
      </w:r>
      <w:r>
        <w:rPr>
          <w:color w:val="2E614A"/>
          <w:spacing w:val="-12"/>
        </w:rPr>
        <w:t> </w:t>
      </w:r>
      <w:r>
        <w:rPr>
          <w:color w:val="2E614A"/>
          <w:spacing w:val="-4"/>
        </w:rPr>
        <w:t>is</w:t>
      </w:r>
      <w:r>
        <w:rPr>
          <w:color w:val="2E614A"/>
          <w:spacing w:val="-12"/>
        </w:rPr>
        <w:t> </w:t>
      </w:r>
      <w:r>
        <w:rPr>
          <w:color w:val="2E614A"/>
          <w:spacing w:val="-4"/>
        </w:rPr>
        <w:t>necessary </w:t>
      </w:r>
      <w:r>
        <w:rPr>
          <w:color w:val="2E614A"/>
          <w:spacing w:val="-6"/>
        </w:rPr>
        <w:t>to</w:t>
      </w:r>
      <w:r>
        <w:rPr>
          <w:color w:val="2E614A"/>
          <w:spacing w:val="-7"/>
        </w:rPr>
        <w:t> </w:t>
      </w:r>
      <w:r>
        <w:rPr>
          <w:color w:val="2E614A"/>
          <w:spacing w:val="-6"/>
        </w:rPr>
        <w:t>create</w:t>
      </w:r>
      <w:r>
        <w:rPr>
          <w:color w:val="2E614A"/>
          <w:spacing w:val="-7"/>
        </w:rPr>
        <w:t> </w:t>
      </w:r>
      <w:r>
        <w:rPr>
          <w:color w:val="2E614A"/>
          <w:spacing w:val="-6"/>
        </w:rPr>
        <w:t>a</w:t>
      </w:r>
      <w:r>
        <w:rPr>
          <w:color w:val="2E614A"/>
          <w:spacing w:val="-7"/>
        </w:rPr>
        <w:t> </w:t>
      </w:r>
      <w:r>
        <w:rPr>
          <w:color w:val="2E614A"/>
          <w:spacing w:val="-6"/>
        </w:rPr>
        <w:t>complete</w:t>
      </w:r>
      <w:r>
        <w:rPr>
          <w:color w:val="2E614A"/>
          <w:spacing w:val="-7"/>
        </w:rPr>
        <w:t> </w:t>
      </w:r>
      <w:r>
        <w:rPr>
          <w:color w:val="2E614A"/>
          <w:spacing w:val="-6"/>
        </w:rPr>
        <w:t>database</w:t>
      </w:r>
      <w:r>
        <w:rPr>
          <w:color w:val="2E614A"/>
          <w:spacing w:val="-7"/>
        </w:rPr>
        <w:t> </w:t>
      </w:r>
      <w:r>
        <w:rPr>
          <w:color w:val="2E614A"/>
          <w:spacing w:val="-6"/>
        </w:rPr>
        <w:t>on</w:t>
      </w:r>
      <w:r>
        <w:rPr>
          <w:color w:val="2E614A"/>
          <w:spacing w:val="-7"/>
        </w:rPr>
        <w:t> </w:t>
      </w:r>
      <w:r>
        <w:rPr>
          <w:color w:val="2E614A"/>
          <w:spacing w:val="-6"/>
        </w:rPr>
        <w:t>schools </w:t>
      </w:r>
      <w:r>
        <w:rPr>
          <w:color w:val="2E614A"/>
          <w:spacing w:val="-8"/>
        </w:rPr>
        <w:t>and</w:t>
      </w:r>
      <w:r>
        <w:rPr>
          <w:color w:val="2E614A"/>
          <w:spacing w:val="-9"/>
        </w:rPr>
        <w:t> </w:t>
      </w:r>
      <w:r>
        <w:rPr>
          <w:color w:val="2E614A"/>
          <w:spacing w:val="-8"/>
        </w:rPr>
        <w:t>school-age children so as</w:t>
      </w:r>
      <w:r>
        <w:rPr>
          <w:color w:val="2E614A"/>
          <w:spacing w:val="-9"/>
        </w:rPr>
        <w:t> </w:t>
      </w:r>
      <w:r>
        <w:rPr>
          <w:color w:val="2E614A"/>
          <w:spacing w:val="-8"/>
        </w:rPr>
        <w:t>to track the </w:t>
      </w:r>
      <w:r>
        <w:rPr>
          <w:color w:val="2E614A"/>
          <w:spacing w:val="-4"/>
        </w:rPr>
        <w:t>actual</w:t>
      </w:r>
      <w:r>
        <w:rPr>
          <w:color w:val="2E614A"/>
          <w:spacing w:val="-13"/>
        </w:rPr>
        <w:t> </w:t>
      </w:r>
      <w:r>
        <w:rPr>
          <w:color w:val="2E614A"/>
          <w:spacing w:val="-4"/>
        </w:rPr>
        <w:t>coverage</w:t>
      </w:r>
      <w:r>
        <w:rPr>
          <w:color w:val="2E614A"/>
          <w:spacing w:val="-12"/>
        </w:rPr>
        <w:t> </w:t>
      </w:r>
      <w:r>
        <w:rPr>
          <w:color w:val="2E614A"/>
          <w:spacing w:val="-4"/>
        </w:rPr>
        <w:t>and</w:t>
      </w:r>
      <w:r>
        <w:rPr>
          <w:color w:val="2E614A"/>
          <w:spacing w:val="-12"/>
        </w:rPr>
        <w:t> </w:t>
      </w:r>
      <w:r>
        <w:rPr>
          <w:color w:val="2E614A"/>
          <w:spacing w:val="-4"/>
        </w:rPr>
        <w:t>quality</w:t>
      </w:r>
      <w:r>
        <w:rPr>
          <w:color w:val="2E614A"/>
          <w:spacing w:val="-12"/>
        </w:rPr>
        <w:t> </w:t>
      </w:r>
      <w:r>
        <w:rPr>
          <w:color w:val="2E614A"/>
          <w:spacing w:val="-4"/>
        </w:rPr>
        <w:t>of</w:t>
      </w:r>
      <w:r>
        <w:rPr>
          <w:color w:val="2E614A"/>
          <w:spacing w:val="-13"/>
        </w:rPr>
        <w:t> </w:t>
      </w:r>
      <w:r>
        <w:rPr>
          <w:color w:val="2E614A"/>
          <w:spacing w:val="-4"/>
        </w:rPr>
        <w:t>schooling at</w:t>
      </w:r>
      <w:r>
        <w:rPr>
          <w:color w:val="2E614A"/>
          <w:spacing w:val="-11"/>
        </w:rPr>
        <w:t> </w:t>
      </w:r>
      <w:r>
        <w:rPr>
          <w:color w:val="2E614A"/>
          <w:spacing w:val="-4"/>
        </w:rPr>
        <w:t>different</w:t>
      </w:r>
      <w:r>
        <w:rPr>
          <w:color w:val="2E614A"/>
          <w:spacing w:val="-11"/>
        </w:rPr>
        <w:t> </w:t>
      </w:r>
      <w:r>
        <w:rPr>
          <w:color w:val="2E614A"/>
          <w:spacing w:val="-4"/>
        </w:rPr>
        <w:t>levels,</w:t>
      </w:r>
      <w:r>
        <w:rPr>
          <w:color w:val="2E614A"/>
          <w:spacing w:val="-11"/>
        </w:rPr>
        <w:t> </w:t>
      </w:r>
      <w:r>
        <w:rPr>
          <w:color w:val="2E614A"/>
          <w:spacing w:val="-4"/>
        </w:rPr>
        <w:t>and</w:t>
      </w:r>
      <w:r>
        <w:rPr>
          <w:color w:val="2E614A"/>
          <w:spacing w:val="-11"/>
        </w:rPr>
        <w:t> </w:t>
      </w:r>
      <w:r>
        <w:rPr>
          <w:color w:val="2E614A"/>
          <w:spacing w:val="-4"/>
        </w:rPr>
        <w:t>to</w:t>
      </w:r>
      <w:r>
        <w:rPr>
          <w:color w:val="2E614A"/>
          <w:spacing w:val="-11"/>
        </w:rPr>
        <w:t> </w:t>
      </w:r>
      <w:r>
        <w:rPr>
          <w:color w:val="2E614A"/>
          <w:spacing w:val="-4"/>
        </w:rPr>
        <w:t>make</w:t>
      </w:r>
      <w:r>
        <w:rPr>
          <w:color w:val="2E614A"/>
          <w:spacing w:val="-11"/>
        </w:rPr>
        <w:t> </w:t>
      </w:r>
      <w:r>
        <w:rPr>
          <w:color w:val="2E614A"/>
          <w:spacing w:val="-4"/>
        </w:rPr>
        <w:t>it</w:t>
      </w:r>
      <w:r>
        <w:rPr>
          <w:color w:val="2E614A"/>
          <w:spacing w:val="-11"/>
        </w:rPr>
        <w:t> </w:t>
      </w:r>
      <w:r>
        <w:rPr>
          <w:color w:val="2E614A"/>
          <w:spacing w:val="-4"/>
        </w:rPr>
        <w:t>widely available</w:t>
      </w:r>
      <w:r>
        <w:rPr>
          <w:color w:val="2E614A"/>
          <w:spacing w:val="-13"/>
        </w:rPr>
        <w:t> </w:t>
      </w:r>
      <w:r>
        <w:rPr>
          <w:color w:val="2E614A"/>
          <w:spacing w:val="-4"/>
        </w:rPr>
        <w:t>in</w:t>
      </w:r>
      <w:r>
        <w:rPr>
          <w:color w:val="2E614A"/>
          <w:spacing w:val="-12"/>
        </w:rPr>
        <w:t> </w:t>
      </w:r>
      <w:r>
        <w:rPr>
          <w:color w:val="2E614A"/>
          <w:spacing w:val="-4"/>
        </w:rPr>
        <w:t>a</w:t>
      </w:r>
      <w:r>
        <w:rPr>
          <w:color w:val="2E614A"/>
          <w:spacing w:val="-12"/>
        </w:rPr>
        <w:t> </w:t>
      </w:r>
      <w:r>
        <w:rPr>
          <w:color w:val="2E614A"/>
          <w:spacing w:val="-4"/>
        </w:rPr>
        <w:t>timely</w:t>
      </w:r>
      <w:r>
        <w:rPr>
          <w:color w:val="2E614A"/>
          <w:spacing w:val="-12"/>
        </w:rPr>
        <w:t> </w:t>
      </w:r>
      <w:r>
        <w:rPr>
          <w:color w:val="2E614A"/>
          <w:spacing w:val="-4"/>
        </w:rPr>
        <w:t>manner.</w:t>
      </w:r>
      <w:r>
        <w:rPr>
          <w:color w:val="2E614A"/>
          <w:spacing w:val="-13"/>
        </w:rPr>
        <w:t> </w:t>
      </w:r>
      <w:r>
        <w:rPr>
          <w:color w:val="2E614A"/>
          <w:spacing w:val="-4"/>
        </w:rPr>
        <w:t>Such</w:t>
      </w:r>
      <w:r>
        <w:rPr>
          <w:color w:val="2E614A"/>
          <w:spacing w:val="-12"/>
        </w:rPr>
        <w:t> </w:t>
      </w:r>
      <w:r>
        <w:rPr>
          <w:color w:val="2E614A"/>
          <w:spacing w:val="-4"/>
        </w:rPr>
        <w:t>data </w:t>
      </w:r>
      <w:r>
        <w:rPr>
          <w:color w:val="2E614A"/>
          <w:spacing w:val="-2"/>
        </w:rPr>
        <w:t>collection</w:t>
      </w:r>
      <w:r>
        <w:rPr>
          <w:color w:val="2E614A"/>
          <w:spacing w:val="-11"/>
        </w:rPr>
        <w:t> </w:t>
      </w:r>
      <w:r>
        <w:rPr>
          <w:color w:val="2E614A"/>
          <w:spacing w:val="-2"/>
        </w:rPr>
        <w:t>may</w:t>
      </w:r>
      <w:r>
        <w:rPr>
          <w:color w:val="2E614A"/>
          <w:spacing w:val="-11"/>
        </w:rPr>
        <w:t> </w:t>
      </w:r>
      <w:r>
        <w:rPr>
          <w:color w:val="2E614A"/>
          <w:spacing w:val="-2"/>
        </w:rPr>
        <w:t>be</w:t>
      </w:r>
      <w:r>
        <w:rPr>
          <w:color w:val="2E614A"/>
          <w:spacing w:val="-11"/>
        </w:rPr>
        <w:t> </w:t>
      </w:r>
      <w:r>
        <w:rPr>
          <w:color w:val="2E614A"/>
          <w:spacing w:val="-2"/>
        </w:rPr>
        <w:t>made</w:t>
      </w:r>
      <w:r>
        <w:rPr>
          <w:color w:val="2E614A"/>
          <w:spacing w:val="-11"/>
        </w:rPr>
        <w:t> </w:t>
      </w:r>
      <w:r>
        <w:rPr>
          <w:color w:val="2E614A"/>
          <w:spacing w:val="-2"/>
        </w:rPr>
        <w:t>an</w:t>
      </w:r>
      <w:r>
        <w:rPr>
          <w:color w:val="2E614A"/>
          <w:spacing w:val="-11"/>
        </w:rPr>
        <w:t> </w:t>
      </w:r>
      <w:r>
        <w:rPr>
          <w:color w:val="2E614A"/>
          <w:spacing w:val="-2"/>
        </w:rPr>
        <w:t>essential </w:t>
      </w:r>
      <w:r>
        <w:rPr>
          <w:color w:val="2E614A"/>
        </w:rPr>
        <w:t>part</w:t>
      </w:r>
      <w:r>
        <w:rPr>
          <w:color w:val="2E614A"/>
          <w:spacing w:val="-17"/>
        </w:rPr>
        <w:t> </w:t>
      </w:r>
      <w:r>
        <w:rPr>
          <w:color w:val="2E614A"/>
        </w:rPr>
        <w:t>of</w:t>
      </w:r>
      <w:r>
        <w:rPr>
          <w:color w:val="2E614A"/>
          <w:spacing w:val="-16"/>
        </w:rPr>
        <w:t> </w:t>
      </w:r>
      <w:r>
        <w:rPr>
          <w:color w:val="2E614A"/>
        </w:rPr>
        <w:t>the</w:t>
      </w:r>
      <w:r>
        <w:rPr>
          <w:color w:val="2E614A"/>
          <w:spacing w:val="-16"/>
        </w:rPr>
        <w:t> </w:t>
      </w:r>
      <w:r>
        <w:rPr>
          <w:color w:val="2E614A"/>
        </w:rPr>
        <w:t>fund</w:t>
      </w:r>
      <w:r>
        <w:rPr>
          <w:color w:val="2E614A"/>
          <w:spacing w:val="-16"/>
        </w:rPr>
        <w:t> </w:t>
      </w:r>
      <w:r>
        <w:rPr>
          <w:color w:val="2E614A"/>
        </w:rPr>
        <w:t>allocation</w:t>
      </w:r>
      <w:r>
        <w:rPr>
          <w:color w:val="2E614A"/>
          <w:spacing w:val="-17"/>
        </w:rPr>
        <w:t> </w:t>
      </w:r>
      <w:r>
        <w:rPr>
          <w:color w:val="2E614A"/>
        </w:rPr>
        <w:t>for</w:t>
      </w:r>
      <w:r>
        <w:rPr>
          <w:color w:val="2E614A"/>
          <w:spacing w:val="-16"/>
        </w:rPr>
        <w:t> </w:t>
      </w:r>
      <w:r>
        <w:rPr>
          <w:color w:val="2E614A"/>
        </w:rPr>
        <w:t>school </w:t>
      </w:r>
      <w:r>
        <w:rPr>
          <w:color w:val="2E614A"/>
          <w:spacing w:val="-6"/>
        </w:rPr>
        <w:t>education,</w:t>
      </w:r>
      <w:r>
        <w:rPr>
          <w:color w:val="2E614A"/>
          <w:spacing w:val="-11"/>
        </w:rPr>
        <w:t> </w:t>
      </w:r>
      <w:r>
        <w:rPr>
          <w:color w:val="2E614A"/>
          <w:spacing w:val="-6"/>
        </w:rPr>
        <w:t>with</w:t>
      </w:r>
      <w:r>
        <w:rPr>
          <w:color w:val="2E614A"/>
          <w:spacing w:val="-10"/>
        </w:rPr>
        <w:t> </w:t>
      </w:r>
      <w:r>
        <w:rPr>
          <w:color w:val="2E614A"/>
          <w:spacing w:val="-6"/>
        </w:rPr>
        <w:t>appropriate</w:t>
      </w:r>
      <w:r>
        <w:rPr>
          <w:color w:val="2E614A"/>
          <w:spacing w:val="-10"/>
        </w:rPr>
        <w:t> </w:t>
      </w:r>
      <w:r>
        <w:rPr>
          <w:color w:val="2E614A"/>
          <w:spacing w:val="-6"/>
        </w:rPr>
        <w:t>institutional </w:t>
      </w:r>
      <w:r>
        <w:rPr>
          <w:color w:val="2E614A"/>
          <w:spacing w:val="-2"/>
        </w:rPr>
        <w:t>mechanisms.</w:t>
      </w:r>
    </w:p>
    <w:p>
      <w:pPr>
        <w:pStyle w:val="BodyText"/>
        <w:spacing w:line="266" w:lineRule="auto" w:before="291"/>
        <w:ind w:left="319" w:right="1077"/>
        <w:jc w:val="both"/>
      </w:pPr>
      <w:r>
        <w:rPr/>
        <w:t>India has an extensive and regular mechanism of</w:t>
      </w:r>
      <w:r>
        <w:rPr>
          <w:spacing w:val="40"/>
        </w:rPr>
        <w:t> </w:t>
      </w:r>
      <w:r>
        <w:rPr/>
        <w:t>data</w:t>
      </w:r>
      <w:r>
        <w:rPr>
          <w:spacing w:val="40"/>
        </w:rPr>
        <w:t> </w:t>
      </w:r>
      <w:r>
        <w:rPr/>
        <w:t>collection</w:t>
      </w:r>
      <w:r>
        <w:rPr>
          <w:spacing w:val="40"/>
        </w:rPr>
        <w:t> </w:t>
      </w:r>
      <w:r>
        <w:rPr/>
        <w:t>for</w:t>
      </w:r>
      <w:r>
        <w:rPr>
          <w:spacing w:val="40"/>
        </w:rPr>
        <w:t> </w:t>
      </w:r>
      <w:r>
        <w:rPr/>
        <w:t>primary</w:t>
      </w:r>
      <w:r>
        <w:rPr>
          <w:spacing w:val="40"/>
        </w:rPr>
        <w:t> </w:t>
      </w:r>
      <w:r>
        <w:rPr/>
        <w:t>education.</w:t>
      </w:r>
      <w:r>
        <w:rPr>
          <w:spacing w:val="40"/>
        </w:rPr>
        <w:t> </w:t>
      </w:r>
      <w:r>
        <w:rPr/>
        <w:t>However,</w:t>
      </w:r>
      <w:r>
        <w:rPr>
          <w:spacing w:val="80"/>
        </w:rPr>
        <w:t> </w:t>
      </w:r>
      <w:r>
        <w:rPr/>
        <w:t>its methodology and use leave much to be desired. For example, at present there is no reliable method for establishing which children are in schools. Data collection is too extensive, time-intensive and done </w:t>
      </w:r>
      <w:r>
        <w:rPr>
          <w:spacing w:val="-2"/>
        </w:rPr>
        <w:t>almost</w:t>
      </w:r>
      <w:r>
        <w:rPr>
          <w:spacing w:val="-11"/>
        </w:rPr>
        <w:t> </w:t>
      </w:r>
      <w:r>
        <w:rPr>
          <w:spacing w:val="-2"/>
        </w:rPr>
        <w:t>entirely</w:t>
      </w:r>
      <w:r>
        <w:rPr>
          <w:spacing w:val="-11"/>
        </w:rPr>
        <w:t> </w:t>
      </w:r>
      <w:r>
        <w:rPr>
          <w:spacing w:val="-2"/>
        </w:rPr>
        <w:t>by</w:t>
      </w:r>
      <w:r>
        <w:rPr>
          <w:spacing w:val="-11"/>
        </w:rPr>
        <w:t> </w:t>
      </w:r>
      <w:r>
        <w:rPr>
          <w:spacing w:val="-2"/>
        </w:rPr>
        <w:t>teachers,</w:t>
      </w:r>
      <w:r>
        <w:rPr>
          <w:spacing w:val="-11"/>
        </w:rPr>
        <w:t> </w:t>
      </w:r>
      <w:r>
        <w:rPr>
          <w:spacing w:val="-2"/>
        </w:rPr>
        <w:t>rather</w:t>
      </w:r>
      <w:r>
        <w:rPr>
          <w:spacing w:val="-11"/>
        </w:rPr>
        <w:t> </w:t>
      </w:r>
      <w:r>
        <w:rPr>
          <w:spacing w:val="-2"/>
        </w:rPr>
        <w:t>than</w:t>
      </w:r>
      <w:r>
        <w:rPr>
          <w:spacing w:val="-11"/>
        </w:rPr>
        <w:t> </w:t>
      </w:r>
      <w:r>
        <w:rPr>
          <w:spacing w:val="-2"/>
        </w:rPr>
        <w:t>by</w:t>
      </w:r>
      <w:r>
        <w:rPr>
          <w:spacing w:val="-11"/>
        </w:rPr>
        <w:t> </w:t>
      </w:r>
      <w:r>
        <w:rPr>
          <w:spacing w:val="-2"/>
        </w:rPr>
        <w:t>independent </w:t>
      </w:r>
      <w:r>
        <w:rPr/>
        <w:t>and specialised personnel. There is minimal cross tabulation,</w:t>
      </w:r>
      <w:r>
        <w:rPr>
          <w:spacing w:val="-14"/>
        </w:rPr>
        <w:t> </w:t>
      </w:r>
      <w:r>
        <w:rPr/>
        <w:t>coordination</w:t>
      </w:r>
      <w:r>
        <w:rPr>
          <w:spacing w:val="-14"/>
        </w:rPr>
        <w:t> </w:t>
      </w:r>
      <w:r>
        <w:rPr/>
        <w:t>and</w:t>
      </w:r>
      <w:r>
        <w:rPr>
          <w:spacing w:val="-14"/>
        </w:rPr>
        <w:t> </w:t>
      </w:r>
      <w:r>
        <w:rPr/>
        <w:t>cross</w:t>
      </w:r>
      <w:r>
        <w:rPr>
          <w:spacing w:val="-13"/>
        </w:rPr>
        <w:t> </w:t>
      </w:r>
      <w:r>
        <w:rPr/>
        <w:t>referencing</w:t>
      </w:r>
      <w:r>
        <w:rPr>
          <w:spacing w:val="-14"/>
        </w:rPr>
        <w:t> </w:t>
      </w:r>
      <w:r>
        <w:rPr/>
        <w:t>of</w:t>
      </w:r>
      <w:r>
        <w:rPr>
          <w:spacing w:val="-14"/>
        </w:rPr>
        <w:t> </w:t>
      </w:r>
      <w:r>
        <w:rPr/>
        <w:t>data. The results are typically revealed to administrators, </w:t>
      </w:r>
      <w:r>
        <w:rPr>
          <w:spacing w:val="-2"/>
        </w:rPr>
        <w:t>schools</w:t>
      </w:r>
      <w:r>
        <w:rPr>
          <w:spacing w:val="-11"/>
        </w:rPr>
        <w:t> </w:t>
      </w:r>
      <w:r>
        <w:rPr>
          <w:spacing w:val="-2"/>
        </w:rPr>
        <w:t>etc.</w:t>
      </w:r>
      <w:r>
        <w:rPr>
          <w:spacing w:val="-11"/>
        </w:rPr>
        <w:t> </w:t>
      </w:r>
      <w:r>
        <w:rPr>
          <w:spacing w:val="-2"/>
        </w:rPr>
        <w:t>too</w:t>
      </w:r>
      <w:r>
        <w:rPr>
          <w:spacing w:val="-11"/>
        </w:rPr>
        <w:t> </w:t>
      </w:r>
      <w:r>
        <w:rPr>
          <w:spacing w:val="-2"/>
        </w:rPr>
        <w:t>late</w:t>
      </w:r>
      <w:r>
        <w:rPr>
          <w:spacing w:val="-11"/>
        </w:rPr>
        <w:t> </w:t>
      </w:r>
      <w:r>
        <w:rPr>
          <w:spacing w:val="-2"/>
        </w:rPr>
        <w:t>to</w:t>
      </w:r>
      <w:r>
        <w:rPr>
          <w:spacing w:val="-11"/>
        </w:rPr>
        <w:t> </w:t>
      </w:r>
      <w:r>
        <w:rPr>
          <w:spacing w:val="-2"/>
        </w:rPr>
        <w:t>be</w:t>
      </w:r>
      <w:r>
        <w:rPr>
          <w:spacing w:val="-11"/>
        </w:rPr>
        <w:t> </w:t>
      </w:r>
      <w:r>
        <w:rPr>
          <w:spacing w:val="-2"/>
        </w:rPr>
        <w:t>relevant</w:t>
      </w:r>
      <w:r>
        <w:rPr>
          <w:spacing w:val="-11"/>
        </w:rPr>
        <w:t> </w:t>
      </w:r>
      <w:r>
        <w:rPr>
          <w:spacing w:val="-2"/>
        </w:rPr>
        <w:t>–</w:t>
      </w:r>
      <w:r>
        <w:rPr>
          <w:spacing w:val="-11"/>
        </w:rPr>
        <w:t> </w:t>
      </w:r>
      <w:r>
        <w:rPr>
          <w:spacing w:val="-2"/>
        </w:rPr>
        <w:t>often</w:t>
      </w:r>
      <w:r>
        <w:rPr>
          <w:spacing w:val="-11"/>
        </w:rPr>
        <w:t> </w:t>
      </w:r>
      <w:r>
        <w:rPr>
          <w:spacing w:val="-2"/>
        </w:rPr>
        <w:t>several</w:t>
      </w:r>
      <w:r>
        <w:rPr>
          <w:spacing w:val="-11"/>
        </w:rPr>
        <w:t> </w:t>
      </w:r>
      <w:r>
        <w:rPr>
          <w:spacing w:val="-2"/>
        </w:rPr>
        <w:t>years </w:t>
      </w:r>
      <w:r>
        <w:rPr>
          <w:w w:val="90"/>
        </w:rPr>
        <w:t>after the survey takes place. It is immensely difficult even </w:t>
      </w:r>
      <w:r>
        <w:rPr/>
        <w:t>for</w:t>
      </w:r>
      <w:r>
        <w:rPr>
          <w:spacing w:val="13"/>
        </w:rPr>
        <w:t> </w:t>
      </w:r>
      <w:r>
        <w:rPr/>
        <w:t>stakeholders,</w:t>
      </w:r>
      <w:r>
        <w:rPr>
          <w:spacing w:val="14"/>
        </w:rPr>
        <w:t> </w:t>
      </w:r>
      <w:r>
        <w:rPr/>
        <w:t>as</w:t>
      </w:r>
      <w:r>
        <w:rPr>
          <w:spacing w:val="14"/>
        </w:rPr>
        <w:t> </w:t>
      </w:r>
      <w:r>
        <w:rPr/>
        <w:t>well</w:t>
      </w:r>
      <w:r>
        <w:rPr>
          <w:spacing w:val="14"/>
        </w:rPr>
        <w:t> </w:t>
      </w:r>
      <w:r>
        <w:rPr/>
        <w:t>as</w:t>
      </w:r>
      <w:r>
        <w:rPr>
          <w:spacing w:val="14"/>
        </w:rPr>
        <w:t> </w:t>
      </w:r>
      <w:r>
        <w:rPr/>
        <w:t>other</w:t>
      </w:r>
      <w:r>
        <w:rPr>
          <w:spacing w:val="14"/>
        </w:rPr>
        <w:t> </w:t>
      </w:r>
      <w:r>
        <w:rPr/>
        <w:t>concerned</w:t>
      </w:r>
      <w:r>
        <w:rPr>
          <w:spacing w:val="14"/>
        </w:rPr>
        <w:t> </w:t>
      </w:r>
      <w:r>
        <w:rPr>
          <w:spacing w:val="-5"/>
        </w:rPr>
        <w:t>citizens,</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57"/>
        <w:ind w:left="1079"/>
        <w:jc w:val="both"/>
      </w:pPr>
      <w:r>
        <w:rPr/>
        <w:t>to access the data lying with official sources, </w:t>
      </w:r>
      <w:r>
        <w:rPr/>
        <w:t>despite repeated requests.</w:t>
      </w:r>
    </w:p>
    <w:p>
      <w:pPr>
        <w:pStyle w:val="BodyText"/>
        <w:spacing w:before="26"/>
      </w:pPr>
    </w:p>
    <w:p>
      <w:pPr>
        <w:pStyle w:val="BodyText"/>
        <w:spacing w:line="266" w:lineRule="auto"/>
        <w:ind w:left="1079"/>
        <w:jc w:val="both"/>
      </w:pPr>
      <w:r>
        <w:rPr/>
        <w:t>It is necessary to have a system to provide reliable </w:t>
      </w:r>
      <w:r>
        <w:rPr>
          <w:spacing w:val="-2"/>
        </w:rPr>
        <w:t>school</w:t>
      </w:r>
      <w:r>
        <w:rPr>
          <w:spacing w:val="-12"/>
        </w:rPr>
        <w:t> </w:t>
      </w:r>
      <w:r>
        <w:rPr>
          <w:spacing w:val="-2"/>
        </w:rPr>
        <w:t>education</w:t>
      </w:r>
      <w:r>
        <w:rPr>
          <w:spacing w:val="-12"/>
        </w:rPr>
        <w:t> </w:t>
      </w:r>
      <w:r>
        <w:rPr>
          <w:spacing w:val="-2"/>
        </w:rPr>
        <w:t>statistics</w:t>
      </w:r>
      <w:r>
        <w:rPr>
          <w:spacing w:val="-12"/>
        </w:rPr>
        <w:t> </w:t>
      </w:r>
      <w:r>
        <w:rPr>
          <w:spacing w:val="-2"/>
        </w:rPr>
        <w:t>which</w:t>
      </w:r>
      <w:r>
        <w:rPr>
          <w:spacing w:val="-11"/>
        </w:rPr>
        <w:t> </w:t>
      </w:r>
      <w:r>
        <w:rPr>
          <w:spacing w:val="-2"/>
        </w:rPr>
        <w:t>must</w:t>
      </w:r>
      <w:r>
        <w:rPr>
          <w:spacing w:val="-12"/>
        </w:rPr>
        <w:t> </w:t>
      </w:r>
      <w:r>
        <w:rPr>
          <w:spacing w:val="-2"/>
        </w:rPr>
        <w:t>be</w:t>
      </w:r>
      <w:r>
        <w:rPr>
          <w:spacing w:val="-12"/>
        </w:rPr>
        <w:t> </w:t>
      </w:r>
      <w:r>
        <w:rPr>
          <w:spacing w:val="-2"/>
        </w:rPr>
        <w:t>transparently </w:t>
      </w:r>
      <w:r>
        <w:rPr/>
        <w:t>formulated and freely available to all. This requires mechanisms</w:t>
      </w:r>
      <w:r>
        <w:rPr>
          <w:spacing w:val="-12"/>
        </w:rPr>
        <w:t> </w:t>
      </w:r>
      <w:r>
        <w:rPr/>
        <w:t>that</w:t>
      </w:r>
      <w:r>
        <w:rPr>
          <w:spacing w:val="-12"/>
        </w:rPr>
        <w:t> </w:t>
      </w:r>
      <w:r>
        <w:rPr/>
        <w:t>are</w:t>
      </w:r>
      <w:r>
        <w:rPr>
          <w:spacing w:val="-12"/>
        </w:rPr>
        <w:t> </w:t>
      </w:r>
      <w:r>
        <w:rPr/>
        <w:t>incorporated</w:t>
      </w:r>
      <w:r>
        <w:rPr>
          <w:spacing w:val="-12"/>
        </w:rPr>
        <w:t> </w:t>
      </w:r>
      <w:r>
        <w:rPr/>
        <w:t>into</w:t>
      </w:r>
      <w:r>
        <w:rPr>
          <w:spacing w:val="-12"/>
        </w:rPr>
        <w:t> </w:t>
      </w:r>
      <w:r>
        <w:rPr/>
        <w:t>the</w:t>
      </w:r>
      <w:r>
        <w:rPr>
          <w:spacing w:val="-12"/>
        </w:rPr>
        <w:t> </w:t>
      </w:r>
      <w:r>
        <w:rPr/>
        <w:t>funding</w:t>
      </w:r>
      <w:r>
        <w:rPr>
          <w:spacing w:val="-12"/>
        </w:rPr>
        <w:t> </w:t>
      </w:r>
      <w:r>
        <w:rPr/>
        <w:t>for all school education, at central and state government levels.</w:t>
      </w:r>
      <w:r>
        <w:rPr>
          <w:spacing w:val="-14"/>
        </w:rPr>
        <w:t> </w:t>
      </w:r>
      <w:r>
        <w:rPr/>
        <w:t>These</w:t>
      </w:r>
      <w:r>
        <w:rPr>
          <w:spacing w:val="-14"/>
        </w:rPr>
        <w:t> </w:t>
      </w:r>
      <w:r>
        <w:rPr/>
        <w:t>would</w:t>
      </w:r>
      <w:r>
        <w:rPr>
          <w:spacing w:val="-14"/>
        </w:rPr>
        <w:t> </w:t>
      </w:r>
      <w:r>
        <w:rPr/>
        <w:t>ensure</w:t>
      </w:r>
      <w:r>
        <w:rPr>
          <w:spacing w:val="-13"/>
        </w:rPr>
        <w:t> </w:t>
      </w:r>
      <w:r>
        <w:rPr/>
        <w:t>data</w:t>
      </w:r>
      <w:r>
        <w:rPr>
          <w:spacing w:val="-14"/>
        </w:rPr>
        <w:t> </w:t>
      </w:r>
      <w:r>
        <w:rPr/>
        <w:t>collection</w:t>
      </w:r>
      <w:r>
        <w:rPr>
          <w:spacing w:val="-14"/>
        </w:rPr>
        <w:t> </w:t>
      </w:r>
      <w:r>
        <w:rPr/>
        <w:t>and</w:t>
      </w:r>
      <w:r>
        <w:rPr>
          <w:spacing w:val="-14"/>
        </w:rPr>
        <w:t> </w:t>
      </w:r>
      <w:r>
        <w:rPr/>
        <w:t>access, provide</w:t>
      </w:r>
      <w:r>
        <w:rPr>
          <w:spacing w:val="-3"/>
        </w:rPr>
        <w:t> </w:t>
      </w:r>
      <w:r>
        <w:rPr/>
        <w:t>up</w:t>
      </w:r>
      <w:r>
        <w:rPr>
          <w:spacing w:val="-3"/>
        </w:rPr>
        <w:t> </w:t>
      </w:r>
      <w:r>
        <w:rPr/>
        <w:t>to</w:t>
      </w:r>
      <w:r>
        <w:rPr>
          <w:spacing w:val="-3"/>
        </w:rPr>
        <w:t> </w:t>
      </w:r>
      <w:r>
        <w:rPr/>
        <w:t>date</w:t>
      </w:r>
      <w:r>
        <w:rPr>
          <w:spacing w:val="-3"/>
        </w:rPr>
        <w:t> </w:t>
      </w:r>
      <w:r>
        <w:rPr/>
        <w:t>information</w:t>
      </w:r>
      <w:r>
        <w:rPr>
          <w:spacing w:val="-3"/>
        </w:rPr>
        <w:t> </w:t>
      </w:r>
      <w:r>
        <w:rPr/>
        <w:t>as</w:t>
      </w:r>
      <w:r>
        <w:rPr>
          <w:spacing w:val="-3"/>
        </w:rPr>
        <w:t> </w:t>
      </w:r>
      <w:r>
        <w:rPr/>
        <w:t>rapidly</w:t>
      </w:r>
      <w:r>
        <w:rPr>
          <w:spacing w:val="-3"/>
        </w:rPr>
        <w:t> </w:t>
      </w:r>
      <w:r>
        <w:rPr/>
        <w:t>as</w:t>
      </w:r>
      <w:r>
        <w:rPr>
          <w:spacing w:val="-3"/>
        </w:rPr>
        <w:t> </w:t>
      </w:r>
      <w:r>
        <w:rPr/>
        <w:t>possible, </w:t>
      </w:r>
      <w:r>
        <w:rPr>
          <w:spacing w:val="-4"/>
        </w:rPr>
        <w:t>make</w:t>
      </w:r>
      <w:r>
        <w:rPr>
          <w:spacing w:val="-5"/>
        </w:rPr>
        <w:t> </w:t>
      </w:r>
      <w:r>
        <w:rPr>
          <w:spacing w:val="-4"/>
        </w:rPr>
        <w:t>it</w:t>
      </w:r>
      <w:r>
        <w:rPr>
          <w:spacing w:val="-5"/>
        </w:rPr>
        <w:t> </w:t>
      </w:r>
      <w:r>
        <w:rPr>
          <w:spacing w:val="-4"/>
        </w:rPr>
        <w:t>more</w:t>
      </w:r>
      <w:r>
        <w:rPr>
          <w:spacing w:val="-5"/>
        </w:rPr>
        <w:t> </w:t>
      </w:r>
      <w:r>
        <w:rPr>
          <w:spacing w:val="-4"/>
        </w:rPr>
        <w:t>relevant</w:t>
      </w:r>
      <w:r>
        <w:rPr>
          <w:spacing w:val="-5"/>
        </w:rPr>
        <w:t> </w:t>
      </w:r>
      <w:r>
        <w:rPr>
          <w:spacing w:val="-4"/>
        </w:rPr>
        <w:t>for</w:t>
      </w:r>
      <w:r>
        <w:rPr>
          <w:spacing w:val="-5"/>
        </w:rPr>
        <w:t> </w:t>
      </w:r>
      <w:r>
        <w:rPr>
          <w:spacing w:val="-4"/>
        </w:rPr>
        <w:t>planning</w:t>
      </w:r>
      <w:r>
        <w:rPr>
          <w:spacing w:val="-5"/>
        </w:rPr>
        <w:t> </w:t>
      </w:r>
      <w:r>
        <w:rPr>
          <w:spacing w:val="-4"/>
        </w:rPr>
        <w:t>and</w:t>
      </w:r>
      <w:r>
        <w:rPr>
          <w:spacing w:val="-5"/>
        </w:rPr>
        <w:t> </w:t>
      </w:r>
      <w:r>
        <w:rPr>
          <w:spacing w:val="-4"/>
        </w:rPr>
        <w:t>implementation </w:t>
      </w:r>
      <w:r>
        <w:rPr>
          <w:spacing w:val="-2"/>
        </w:rPr>
        <w:t>and</w:t>
      </w:r>
      <w:r>
        <w:rPr>
          <w:spacing w:val="-12"/>
        </w:rPr>
        <w:t> </w:t>
      </w:r>
      <w:r>
        <w:rPr>
          <w:spacing w:val="-2"/>
        </w:rPr>
        <w:t>more</w:t>
      </w:r>
      <w:r>
        <w:rPr>
          <w:spacing w:val="-12"/>
        </w:rPr>
        <w:t> </w:t>
      </w:r>
      <w:r>
        <w:rPr>
          <w:spacing w:val="-2"/>
        </w:rPr>
        <w:t>accessible</w:t>
      </w:r>
      <w:r>
        <w:rPr>
          <w:spacing w:val="-12"/>
        </w:rPr>
        <w:t> </w:t>
      </w:r>
      <w:r>
        <w:rPr>
          <w:spacing w:val="-2"/>
        </w:rPr>
        <w:t>for</w:t>
      </w:r>
      <w:r>
        <w:rPr>
          <w:spacing w:val="-11"/>
        </w:rPr>
        <w:t> </w:t>
      </w:r>
      <w:r>
        <w:rPr>
          <w:spacing w:val="-2"/>
        </w:rPr>
        <w:t>everyone.</w:t>
      </w:r>
      <w:r>
        <w:rPr>
          <w:spacing w:val="-12"/>
        </w:rPr>
        <w:t> </w:t>
      </w:r>
      <w:r>
        <w:rPr>
          <w:spacing w:val="-2"/>
        </w:rPr>
        <w:t>The</w:t>
      </w:r>
      <w:r>
        <w:rPr>
          <w:spacing w:val="-10"/>
        </w:rPr>
        <w:t> </w:t>
      </w:r>
      <w:r>
        <w:rPr>
          <w:spacing w:val="-2"/>
        </w:rPr>
        <w:t>following</w:t>
      </w:r>
      <w:r>
        <w:rPr>
          <w:spacing w:val="-11"/>
        </w:rPr>
        <w:t> </w:t>
      </w:r>
      <w:r>
        <w:rPr>
          <w:spacing w:val="-2"/>
        </w:rPr>
        <w:t>goals </w:t>
      </w:r>
      <w:r>
        <w:rPr/>
        <w:t>are relevant in this context:</w:t>
      </w:r>
    </w:p>
    <w:p>
      <w:pPr>
        <w:pStyle w:val="ListParagraph"/>
        <w:numPr>
          <w:ilvl w:val="2"/>
          <w:numId w:val="14"/>
        </w:numPr>
        <w:tabs>
          <w:tab w:pos="1439" w:val="left" w:leader="none"/>
        </w:tabs>
        <w:spacing w:line="266" w:lineRule="auto" w:before="0" w:after="0"/>
        <w:ind w:left="1439" w:right="0" w:hanging="360"/>
        <w:jc w:val="both"/>
        <w:rPr>
          <w:sz w:val="22"/>
        </w:rPr>
      </w:pPr>
      <w:r>
        <w:rPr>
          <w:spacing w:val="-4"/>
          <w:sz w:val="22"/>
        </w:rPr>
        <w:t>The</w:t>
      </w:r>
      <w:r>
        <w:rPr>
          <w:spacing w:val="-8"/>
          <w:sz w:val="22"/>
        </w:rPr>
        <w:t> </w:t>
      </w:r>
      <w:r>
        <w:rPr>
          <w:spacing w:val="-4"/>
          <w:sz w:val="22"/>
        </w:rPr>
        <w:t>process</w:t>
      </w:r>
      <w:r>
        <w:rPr>
          <w:spacing w:val="-8"/>
          <w:sz w:val="22"/>
        </w:rPr>
        <w:t> </w:t>
      </w:r>
      <w:r>
        <w:rPr>
          <w:spacing w:val="-4"/>
          <w:sz w:val="22"/>
        </w:rPr>
        <w:t>of</w:t>
      </w:r>
      <w:r>
        <w:rPr>
          <w:spacing w:val="-8"/>
          <w:sz w:val="22"/>
        </w:rPr>
        <w:t> </w:t>
      </w:r>
      <w:r>
        <w:rPr>
          <w:spacing w:val="-4"/>
          <w:sz w:val="22"/>
        </w:rPr>
        <w:t>data</w:t>
      </w:r>
      <w:r>
        <w:rPr>
          <w:spacing w:val="-8"/>
          <w:sz w:val="22"/>
        </w:rPr>
        <w:t> </w:t>
      </w:r>
      <w:r>
        <w:rPr>
          <w:spacing w:val="-4"/>
          <w:sz w:val="22"/>
        </w:rPr>
        <w:t>collection</w:t>
      </w:r>
      <w:r>
        <w:rPr>
          <w:spacing w:val="-8"/>
          <w:sz w:val="22"/>
        </w:rPr>
        <w:t> </w:t>
      </w:r>
      <w:r>
        <w:rPr>
          <w:spacing w:val="-4"/>
          <w:sz w:val="22"/>
        </w:rPr>
        <w:t>must</w:t>
      </w:r>
      <w:r>
        <w:rPr>
          <w:spacing w:val="-8"/>
          <w:sz w:val="22"/>
        </w:rPr>
        <w:t> </w:t>
      </w:r>
      <w:r>
        <w:rPr>
          <w:spacing w:val="-4"/>
          <w:sz w:val="22"/>
        </w:rPr>
        <w:t>be</w:t>
      </w:r>
      <w:r>
        <w:rPr>
          <w:spacing w:val="-8"/>
          <w:sz w:val="22"/>
        </w:rPr>
        <w:t> </w:t>
      </w:r>
      <w:r>
        <w:rPr>
          <w:spacing w:val="-4"/>
          <w:sz w:val="22"/>
        </w:rPr>
        <w:t>streamlined, </w:t>
      </w:r>
      <w:r>
        <w:rPr>
          <w:sz w:val="22"/>
        </w:rPr>
        <w:t>made less time consuming and more relevant.</w:t>
      </w:r>
    </w:p>
    <w:p>
      <w:pPr>
        <w:pStyle w:val="ListParagraph"/>
        <w:numPr>
          <w:ilvl w:val="2"/>
          <w:numId w:val="14"/>
        </w:numPr>
        <w:tabs>
          <w:tab w:pos="1439" w:val="left" w:leader="none"/>
        </w:tabs>
        <w:spacing w:line="266" w:lineRule="auto" w:before="0" w:after="0"/>
        <w:ind w:left="1439" w:right="0" w:hanging="360"/>
        <w:jc w:val="both"/>
        <w:rPr>
          <w:sz w:val="22"/>
        </w:rPr>
      </w:pPr>
      <w:r>
        <w:rPr>
          <w:sz w:val="22"/>
        </w:rPr>
        <w:t>A</w:t>
      </w:r>
      <w:r>
        <w:rPr>
          <w:spacing w:val="-4"/>
          <w:sz w:val="22"/>
        </w:rPr>
        <w:t> </w:t>
      </w:r>
      <w:r>
        <w:rPr>
          <w:sz w:val="22"/>
        </w:rPr>
        <w:t>comprehensive</w:t>
      </w:r>
      <w:r>
        <w:rPr>
          <w:spacing w:val="-4"/>
          <w:sz w:val="22"/>
        </w:rPr>
        <w:t> </w:t>
      </w:r>
      <w:r>
        <w:rPr>
          <w:sz w:val="22"/>
        </w:rPr>
        <w:t>mapping</w:t>
      </w:r>
      <w:r>
        <w:rPr>
          <w:spacing w:val="-4"/>
          <w:sz w:val="22"/>
        </w:rPr>
        <w:t> </w:t>
      </w:r>
      <w:r>
        <w:rPr>
          <w:sz w:val="22"/>
        </w:rPr>
        <w:t>is</w:t>
      </w:r>
      <w:r>
        <w:rPr>
          <w:spacing w:val="-4"/>
          <w:sz w:val="22"/>
        </w:rPr>
        <w:t> </w:t>
      </w:r>
      <w:r>
        <w:rPr>
          <w:sz w:val="22"/>
        </w:rPr>
        <w:t>required</w:t>
      </w:r>
      <w:r>
        <w:rPr>
          <w:spacing w:val="-4"/>
          <w:sz w:val="22"/>
        </w:rPr>
        <w:t> </w:t>
      </w:r>
      <w:r>
        <w:rPr>
          <w:sz w:val="22"/>
        </w:rPr>
        <w:t>of</w:t>
      </w:r>
      <w:r>
        <w:rPr>
          <w:spacing w:val="-4"/>
          <w:sz w:val="22"/>
        </w:rPr>
        <w:t> </w:t>
      </w:r>
      <w:r>
        <w:rPr>
          <w:sz w:val="22"/>
        </w:rPr>
        <w:t>schools and children of school-going age, so as to have accurate information on which children in which </w:t>
      </w:r>
      <w:r>
        <w:rPr>
          <w:spacing w:val="-4"/>
          <w:sz w:val="22"/>
        </w:rPr>
        <w:t>localities</w:t>
      </w:r>
      <w:r>
        <w:rPr>
          <w:spacing w:val="-10"/>
          <w:sz w:val="22"/>
        </w:rPr>
        <w:t> </w:t>
      </w:r>
      <w:r>
        <w:rPr>
          <w:spacing w:val="-4"/>
          <w:sz w:val="22"/>
        </w:rPr>
        <w:t>are</w:t>
      </w:r>
      <w:r>
        <w:rPr>
          <w:spacing w:val="-10"/>
          <w:sz w:val="22"/>
        </w:rPr>
        <w:t> </w:t>
      </w:r>
      <w:r>
        <w:rPr>
          <w:spacing w:val="-4"/>
          <w:sz w:val="22"/>
        </w:rPr>
        <w:t>enrolled,</w:t>
      </w:r>
      <w:r>
        <w:rPr>
          <w:spacing w:val="-10"/>
          <w:sz w:val="22"/>
        </w:rPr>
        <w:t> </w:t>
      </w:r>
      <w:r>
        <w:rPr>
          <w:spacing w:val="-4"/>
          <w:sz w:val="22"/>
        </w:rPr>
        <w:t>and</w:t>
      </w:r>
      <w:r>
        <w:rPr>
          <w:spacing w:val="-9"/>
          <w:sz w:val="22"/>
        </w:rPr>
        <w:t> </w:t>
      </w:r>
      <w:r>
        <w:rPr>
          <w:spacing w:val="-4"/>
          <w:sz w:val="22"/>
        </w:rPr>
        <w:t>attending</w:t>
      </w:r>
      <w:r>
        <w:rPr>
          <w:spacing w:val="-10"/>
          <w:sz w:val="22"/>
        </w:rPr>
        <w:t> </w:t>
      </w:r>
      <w:r>
        <w:rPr>
          <w:spacing w:val="-4"/>
          <w:sz w:val="22"/>
        </w:rPr>
        <w:t>which</w:t>
      </w:r>
      <w:r>
        <w:rPr>
          <w:spacing w:val="-10"/>
          <w:sz w:val="22"/>
        </w:rPr>
        <w:t> </w:t>
      </w:r>
      <w:r>
        <w:rPr>
          <w:spacing w:val="-4"/>
          <w:sz w:val="22"/>
        </w:rPr>
        <w:t>schools, </w:t>
      </w:r>
      <w:r>
        <w:rPr>
          <w:sz w:val="22"/>
        </w:rPr>
        <w:t>as</w:t>
      </w:r>
      <w:r>
        <w:rPr>
          <w:spacing w:val="-14"/>
          <w:sz w:val="22"/>
        </w:rPr>
        <w:t> </w:t>
      </w:r>
      <w:r>
        <w:rPr>
          <w:sz w:val="22"/>
        </w:rPr>
        <w:t>well</w:t>
      </w:r>
      <w:r>
        <w:rPr>
          <w:spacing w:val="-14"/>
          <w:sz w:val="22"/>
        </w:rPr>
        <w:t> </w:t>
      </w:r>
      <w:r>
        <w:rPr>
          <w:sz w:val="22"/>
        </w:rPr>
        <w:t>as</w:t>
      </w:r>
      <w:r>
        <w:rPr>
          <w:spacing w:val="-14"/>
          <w:sz w:val="22"/>
        </w:rPr>
        <w:t> </w:t>
      </w:r>
      <w:r>
        <w:rPr>
          <w:sz w:val="22"/>
        </w:rPr>
        <w:t>those</w:t>
      </w:r>
      <w:r>
        <w:rPr>
          <w:spacing w:val="-13"/>
          <w:sz w:val="22"/>
        </w:rPr>
        <w:t> </w:t>
      </w:r>
      <w:r>
        <w:rPr>
          <w:sz w:val="22"/>
        </w:rPr>
        <w:t>not</w:t>
      </w:r>
      <w:r>
        <w:rPr>
          <w:spacing w:val="-14"/>
          <w:sz w:val="22"/>
        </w:rPr>
        <w:t> </w:t>
      </w:r>
      <w:r>
        <w:rPr>
          <w:sz w:val="22"/>
        </w:rPr>
        <w:t>enrolled.</w:t>
      </w:r>
      <w:r>
        <w:rPr>
          <w:spacing w:val="-14"/>
          <w:sz w:val="22"/>
        </w:rPr>
        <w:t> </w:t>
      </w:r>
      <w:r>
        <w:rPr>
          <w:sz w:val="22"/>
        </w:rPr>
        <w:t>This</w:t>
      </w:r>
      <w:r>
        <w:rPr>
          <w:spacing w:val="-14"/>
          <w:sz w:val="22"/>
        </w:rPr>
        <w:t> </w:t>
      </w:r>
      <w:r>
        <w:rPr>
          <w:sz w:val="22"/>
        </w:rPr>
        <w:t>would</w:t>
      </w:r>
      <w:r>
        <w:rPr>
          <w:spacing w:val="-13"/>
          <w:sz w:val="22"/>
        </w:rPr>
        <w:t> </w:t>
      </w:r>
      <w:r>
        <w:rPr>
          <w:sz w:val="22"/>
        </w:rPr>
        <w:t>also</w:t>
      </w:r>
      <w:r>
        <w:rPr>
          <w:spacing w:val="-14"/>
          <w:sz w:val="22"/>
        </w:rPr>
        <w:t> </w:t>
      </w:r>
      <w:r>
        <w:rPr>
          <w:sz w:val="22"/>
        </w:rPr>
        <w:t>map </w:t>
      </w:r>
      <w:r>
        <w:rPr>
          <w:spacing w:val="-2"/>
          <w:sz w:val="22"/>
        </w:rPr>
        <w:t>out</w:t>
      </w:r>
      <w:r>
        <w:rPr>
          <w:spacing w:val="-12"/>
          <w:sz w:val="22"/>
        </w:rPr>
        <w:t> </w:t>
      </w:r>
      <w:r>
        <w:rPr>
          <w:spacing w:val="-2"/>
          <w:sz w:val="22"/>
        </w:rPr>
        <w:t>localities</w:t>
      </w:r>
      <w:r>
        <w:rPr>
          <w:spacing w:val="-12"/>
          <w:sz w:val="22"/>
        </w:rPr>
        <w:t> </w:t>
      </w:r>
      <w:r>
        <w:rPr>
          <w:spacing w:val="-2"/>
          <w:sz w:val="22"/>
        </w:rPr>
        <w:t>where</w:t>
      </w:r>
      <w:r>
        <w:rPr>
          <w:spacing w:val="-12"/>
          <w:sz w:val="22"/>
        </w:rPr>
        <w:t> </w:t>
      </w:r>
      <w:r>
        <w:rPr>
          <w:spacing w:val="-2"/>
          <w:sz w:val="22"/>
        </w:rPr>
        <w:t>there</w:t>
      </w:r>
      <w:r>
        <w:rPr>
          <w:spacing w:val="-11"/>
          <w:sz w:val="22"/>
        </w:rPr>
        <w:t> </w:t>
      </w:r>
      <w:r>
        <w:rPr>
          <w:spacing w:val="-2"/>
          <w:sz w:val="22"/>
        </w:rPr>
        <w:t>are</w:t>
      </w:r>
      <w:r>
        <w:rPr>
          <w:spacing w:val="-12"/>
          <w:sz w:val="22"/>
        </w:rPr>
        <w:t> </w:t>
      </w:r>
      <w:r>
        <w:rPr>
          <w:spacing w:val="-2"/>
          <w:sz w:val="22"/>
        </w:rPr>
        <w:t>high</w:t>
      </w:r>
      <w:r>
        <w:rPr>
          <w:spacing w:val="-12"/>
          <w:sz w:val="22"/>
        </w:rPr>
        <w:t> </w:t>
      </w:r>
      <w:r>
        <w:rPr>
          <w:spacing w:val="-2"/>
          <w:sz w:val="22"/>
        </w:rPr>
        <w:t>rates</w:t>
      </w:r>
      <w:r>
        <w:rPr>
          <w:spacing w:val="-12"/>
          <w:sz w:val="22"/>
        </w:rPr>
        <w:t> </w:t>
      </w:r>
      <w:r>
        <w:rPr>
          <w:spacing w:val="-2"/>
          <w:sz w:val="22"/>
        </w:rPr>
        <w:t>of</w:t>
      </w:r>
      <w:r>
        <w:rPr>
          <w:spacing w:val="-11"/>
          <w:sz w:val="22"/>
        </w:rPr>
        <w:t> </w:t>
      </w:r>
      <w:r>
        <w:rPr>
          <w:spacing w:val="-2"/>
          <w:sz w:val="22"/>
        </w:rPr>
        <w:t>drop</w:t>
      </w:r>
      <w:r>
        <w:rPr>
          <w:spacing w:val="-12"/>
          <w:sz w:val="22"/>
        </w:rPr>
        <w:t> </w:t>
      </w:r>
      <w:r>
        <w:rPr>
          <w:spacing w:val="-2"/>
          <w:sz w:val="22"/>
        </w:rPr>
        <w:t>out </w:t>
      </w:r>
      <w:r>
        <w:rPr>
          <w:sz w:val="22"/>
        </w:rPr>
        <w:t>and/or non-enrolment.</w:t>
      </w:r>
    </w:p>
    <w:p>
      <w:pPr>
        <w:pStyle w:val="ListParagraph"/>
        <w:numPr>
          <w:ilvl w:val="2"/>
          <w:numId w:val="14"/>
        </w:numPr>
        <w:tabs>
          <w:tab w:pos="1439" w:val="left" w:leader="none"/>
        </w:tabs>
        <w:spacing w:line="266" w:lineRule="auto" w:before="0" w:after="0"/>
        <w:ind w:left="1439" w:right="0" w:hanging="360"/>
        <w:jc w:val="both"/>
        <w:rPr>
          <w:sz w:val="22"/>
        </w:rPr>
      </w:pPr>
      <w:r>
        <w:rPr>
          <w:spacing w:val="-6"/>
          <w:sz w:val="22"/>
        </w:rPr>
        <w:t>A</w:t>
      </w:r>
      <w:r>
        <w:rPr>
          <w:spacing w:val="-8"/>
          <w:sz w:val="22"/>
        </w:rPr>
        <w:t> </w:t>
      </w:r>
      <w:r>
        <w:rPr>
          <w:spacing w:val="-6"/>
          <w:sz w:val="22"/>
        </w:rPr>
        <w:t>tracking</w:t>
      </w:r>
      <w:r>
        <w:rPr>
          <w:spacing w:val="-8"/>
          <w:sz w:val="22"/>
        </w:rPr>
        <w:t> </w:t>
      </w:r>
      <w:r>
        <w:rPr>
          <w:spacing w:val="-6"/>
          <w:sz w:val="22"/>
        </w:rPr>
        <w:t>mechanism</w:t>
      </w:r>
      <w:r>
        <w:rPr>
          <w:spacing w:val="-8"/>
          <w:sz w:val="22"/>
        </w:rPr>
        <w:t> </w:t>
      </w:r>
      <w:r>
        <w:rPr>
          <w:spacing w:val="-6"/>
          <w:sz w:val="22"/>
        </w:rPr>
        <w:t>for</w:t>
      </w:r>
      <w:r>
        <w:rPr>
          <w:spacing w:val="-7"/>
          <w:sz w:val="22"/>
        </w:rPr>
        <w:t> </w:t>
      </w:r>
      <w:r>
        <w:rPr>
          <w:spacing w:val="-6"/>
          <w:sz w:val="22"/>
        </w:rPr>
        <w:t>all</w:t>
      </w:r>
      <w:r>
        <w:rPr>
          <w:spacing w:val="-8"/>
          <w:sz w:val="22"/>
        </w:rPr>
        <w:t> </w:t>
      </w:r>
      <w:r>
        <w:rPr>
          <w:spacing w:val="-6"/>
          <w:sz w:val="22"/>
        </w:rPr>
        <w:t>school</w:t>
      </w:r>
      <w:r>
        <w:rPr>
          <w:spacing w:val="-8"/>
          <w:sz w:val="22"/>
        </w:rPr>
        <w:t> </w:t>
      </w:r>
      <w:r>
        <w:rPr>
          <w:spacing w:val="-6"/>
          <w:sz w:val="22"/>
        </w:rPr>
        <w:t>children</w:t>
      </w:r>
      <w:r>
        <w:rPr>
          <w:spacing w:val="-8"/>
          <w:sz w:val="22"/>
        </w:rPr>
        <w:t> </w:t>
      </w:r>
      <w:r>
        <w:rPr>
          <w:spacing w:val="-6"/>
          <w:sz w:val="22"/>
        </w:rPr>
        <w:t>should </w:t>
      </w:r>
      <w:r>
        <w:rPr>
          <w:sz w:val="22"/>
        </w:rPr>
        <w:t>be set up, to track their individual school going </w:t>
      </w:r>
      <w:r>
        <w:rPr>
          <w:spacing w:val="-4"/>
          <w:sz w:val="22"/>
        </w:rPr>
        <w:t>status,</w:t>
      </w:r>
      <w:r>
        <w:rPr>
          <w:spacing w:val="-6"/>
          <w:sz w:val="22"/>
        </w:rPr>
        <w:t> </w:t>
      </w:r>
      <w:r>
        <w:rPr>
          <w:spacing w:val="-4"/>
          <w:sz w:val="22"/>
        </w:rPr>
        <w:t>and progress in school.</w:t>
      </w:r>
      <w:r>
        <w:rPr>
          <w:spacing w:val="-10"/>
          <w:sz w:val="22"/>
        </w:rPr>
        <w:t> </w:t>
      </w:r>
      <w:r>
        <w:rPr>
          <w:spacing w:val="-4"/>
          <w:sz w:val="22"/>
        </w:rPr>
        <w:t>This tracking should </w:t>
      </w:r>
      <w:r>
        <w:rPr>
          <w:spacing w:val="-6"/>
          <w:sz w:val="22"/>
        </w:rPr>
        <w:t>cover both government schools and private schools. </w:t>
      </w:r>
      <w:r>
        <w:rPr>
          <w:spacing w:val="-8"/>
          <w:sz w:val="22"/>
        </w:rPr>
        <w:t>This</w:t>
      </w:r>
      <w:r>
        <w:rPr>
          <w:spacing w:val="-4"/>
          <w:sz w:val="22"/>
        </w:rPr>
        <w:t> </w:t>
      </w:r>
      <w:r>
        <w:rPr>
          <w:spacing w:val="-8"/>
          <w:sz w:val="22"/>
        </w:rPr>
        <w:t>would</w:t>
      </w:r>
      <w:r>
        <w:rPr>
          <w:spacing w:val="-4"/>
          <w:sz w:val="22"/>
        </w:rPr>
        <w:t> </w:t>
      </w:r>
      <w:r>
        <w:rPr>
          <w:spacing w:val="-8"/>
          <w:sz w:val="22"/>
        </w:rPr>
        <w:t>ensure</w:t>
      </w:r>
      <w:r>
        <w:rPr>
          <w:spacing w:val="-4"/>
          <w:sz w:val="22"/>
        </w:rPr>
        <w:t> </w:t>
      </w:r>
      <w:r>
        <w:rPr>
          <w:spacing w:val="-8"/>
          <w:sz w:val="22"/>
        </w:rPr>
        <w:t>universal</w:t>
      </w:r>
      <w:r>
        <w:rPr>
          <w:spacing w:val="-4"/>
          <w:sz w:val="22"/>
        </w:rPr>
        <w:t> </w:t>
      </w:r>
      <w:r>
        <w:rPr>
          <w:spacing w:val="-8"/>
          <w:sz w:val="22"/>
        </w:rPr>
        <w:t>access</w:t>
      </w:r>
      <w:r>
        <w:rPr>
          <w:spacing w:val="-4"/>
          <w:sz w:val="22"/>
        </w:rPr>
        <w:t> </w:t>
      </w:r>
      <w:r>
        <w:rPr>
          <w:spacing w:val="-8"/>
          <w:sz w:val="22"/>
        </w:rPr>
        <w:t>for</w:t>
      </w:r>
      <w:r>
        <w:rPr>
          <w:spacing w:val="-4"/>
          <w:sz w:val="22"/>
        </w:rPr>
        <w:t> </w:t>
      </w:r>
      <w:r>
        <w:rPr>
          <w:spacing w:val="-8"/>
          <w:sz w:val="22"/>
        </w:rPr>
        <w:t>children</w:t>
      </w:r>
      <w:r>
        <w:rPr>
          <w:spacing w:val="-4"/>
          <w:sz w:val="22"/>
        </w:rPr>
        <w:t> </w:t>
      </w:r>
      <w:r>
        <w:rPr>
          <w:spacing w:val="-8"/>
          <w:sz w:val="22"/>
        </w:rPr>
        <w:t>in</w:t>
      </w:r>
      <w:r>
        <w:rPr>
          <w:spacing w:val="-4"/>
          <w:sz w:val="22"/>
        </w:rPr>
        <w:t> </w:t>
      </w:r>
      <w:r>
        <w:rPr>
          <w:spacing w:val="-8"/>
          <w:sz w:val="22"/>
        </w:rPr>
        <w:t>all </w:t>
      </w:r>
      <w:r>
        <w:rPr>
          <w:spacing w:val="-6"/>
          <w:sz w:val="22"/>
        </w:rPr>
        <w:t>locations, as well as for girls and specific categories. </w:t>
      </w:r>
      <w:r>
        <w:rPr>
          <w:spacing w:val="-2"/>
          <w:sz w:val="22"/>
        </w:rPr>
        <w:t>A</w:t>
      </w:r>
      <w:r>
        <w:rPr>
          <w:spacing w:val="-12"/>
          <w:sz w:val="22"/>
        </w:rPr>
        <w:t> </w:t>
      </w:r>
      <w:r>
        <w:rPr>
          <w:spacing w:val="-2"/>
          <w:sz w:val="22"/>
        </w:rPr>
        <w:t>tracking</w:t>
      </w:r>
      <w:r>
        <w:rPr>
          <w:spacing w:val="-12"/>
          <w:sz w:val="22"/>
        </w:rPr>
        <w:t> </w:t>
      </w:r>
      <w:r>
        <w:rPr>
          <w:spacing w:val="-2"/>
          <w:sz w:val="22"/>
        </w:rPr>
        <w:t>mechanism</w:t>
      </w:r>
      <w:r>
        <w:rPr>
          <w:spacing w:val="-12"/>
          <w:sz w:val="22"/>
        </w:rPr>
        <w:t> </w:t>
      </w:r>
      <w:r>
        <w:rPr>
          <w:spacing w:val="-2"/>
          <w:sz w:val="22"/>
        </w:rPr>
        <w:t>will</w:t>
      </w:r>
      <w:r>
        <w:rPr>
          <w:spacing w:val="-11"/>
          <w:sz w:val="22"/>
        </w:rPr>
        <w:t> </w:t>
      </w:r>
      <w:r>
        <w:rPr>
          <w:spacing w:val="-2"/>
          <w:sz w:val="22"/>
        </w:rPr>
        <w:t>also</w:t>
      </w:r>
      <w:r>
        <w:rPr>
          <w:spacing w:val="-12"/>
          <w:sz w:val="22"/>
        </w:rPr>
        <w:t> </w:t>
      </w:r>
      <w:r>
        <w:rPr>
          <w:spacing w:val="-2"/>
          <w:sz w:val="22"/>
        </w:rPr>
        <w:t>facilitate</w:t>
      </w:r>
      <w:r>
        <w:rPr>
          <w:spacing w:val="-12"/>
          <w:sz w:val="22"/>
        </w:rPr>
        <w:t> </w:t>
      </w:r>
      <w:r>
        <w:rPr>
          <w:spacing w:val="-2"/>
          <w:sz w:val="22"/>
        </w:rPr>
        <w:t>checking </w:t>
      </w:r>
      <w:r>
        <w:rPr>
          <w:sz w:val="22"/>
        </w:rPr>
        <w:t>for</w:t>
      </w:r>
      <w:r>
        <w:rPr>
          <w:spacing w:val="-4"/>
          <w:sz w:val="22"/>
        </w:rPr>
        <w:t> </w:t>
      </w:r>
      <w:r>
        <w:rPr>
          <w:sz w:val="22"/>
        </w:rPr>
        <w:t>drop</w:t>
      </w:r>
      <w:r>
        <w:rPr>
          <w:spacing w:val="-4"/>
          <w:sz w:val="22"/>
        </w:rPr>
        <w:t> </w:t>
      </w:r>
      <w:r>
        <w:rPr>
          <w:sz w:val="22"/>
        </w:rPr>
        <w:t>outs</w:t>
      </w:r>
      <w:r>
        <w:rPr>
          <w:spacing w:val="-4"/>
          <w:sz w:val="22"/>
        </w:rPr>
        <w:t> </w:t>
      </w:r>
      <w:r>
        <w:rPr>
          <w:sz w:val="22"/>
        </w:rPr>
        <w:t>and</w:t>
      </w:r>
      <w:r>
        <w:rPr>
          <w:spacing w:val="-4"/>
          <w:sz w:val="22"/>
        </w:rPr>
        <w:t> </w:t>
      </w:r>
      <w:r>
        <w:rPr>
          <w:sz w:val="22"/>
        </w:rPr>
        <w:t>related</w:t>
      </w:r>
      <w:r>
        <w:rPr>
          <w:spacing w:val="-4"/>
          <w:sz w:val="22"/>
        </w:rPr>
        <w:t> </w:t>
      </w:r>
      <w:r>
        <w:rPr>
          <w:sz w:val="22"/>
        </w:rPr>
        <w:t>problems,</w:t>
      </w:r>
      <w:r>
        <w:rPr>
          <w:spacing w:val="-4"/>
          <w:sz w:val="22"/>
        </w:rPr>
        <w:t> </w:t>
      </w:r>
      <w:r>
        <w:rPr>
          <w:sz w:val="22"/>
        </w:rPr>
        <w:t>and</w:t>
      </w:r>
      <w:r>
        <w:rPr>
          <w:spacing w:val="-4"/>
          <w:sz w:val="22"/>
        </w:rPr>
        <w:t> </w:t>
      </w:r>
      <w:r>
        <w:rPr>
          <w:sz w:val="22"/>
        </w:rPr>
        <w:t>allow</w:t>
      </w:r>
      <w:r>
        <w:rPr>
          <w:spacing w:val="-4"/>
          <w:sz w:val="22"/>
        </w:rPr>
        <w:t> </w:t>
      </w:r>
      <w:r>
        <w:rPr>
          <w:sz w:val="22"/>
        </w:rPr>
        <w:t>for speedy intervention to address such problems. It should be noted that there are already ongoing initiatives</w:t>
      </w:r>
      <w:r>
        <w:rPr>
          <w:spacing w:val="-11"/>
          <w:sz w:val="22"/>
        </w:rPr>
        <w:t> </w:t>
      </w:r>
      <w:r>
        <w:rPr>
          <w:sz w:val="22"/>
        </w:rPr>
        <w:t>in</w:t>
      </w:r>
      <w:r>
        <w:rPr>
          <w:spacing w:val="-11"/>
          <w:sz w:val="22"/>
        </w:rPr>
        <w:t> </w:t>
      </w:r>
      <w:r>
        <w:rPr>
          <w:sz w:val="22"/>
        </w:rPr>
        <w:t>this</w:t>
      </w:r>
      <w:r>
        <w:rPr>
          <w:spacing w:val="-11"/>
          <w:sz w:val="22"/>
        </w:rPr>
        <w:t> </w:t>
      </w:r>
      <w:r>
        <w:rPr>
          <w:sz w:val="22"/>
        </w:rPr>
        <w:t>regard</w:t>
      </w:r>
      <w:r>
        <w:rPr>
          <w:spacing w:val="-11"/>
          <w:sz w:val="22"/>
        </w:rPr>
        <w:t> </w:t>
      </w:r>
      <w:r>
        <w:rPr>
          <w:sz w:val="22"/>
        </w:rPr>
        <w:t>in</w:t>
      </w:r>
      <w:r>
        <w:rPr>
          <w:spacing w:val="-11"/>
          <w:sz w:val="22"/>
        </w:rPr>
        <w:t> </w:t>
      </w:r>
      <w:r>
        <w:rPr>
          <w:sz w:val="22"/>
        </w:rPr>
        <w:t>some</w:t>
      </w:r>
      <w:r>
        <w:rPr>
          <w:spacing w:val="-11"/>
          <w:sz w:val="22"/>
        </w:rPr>
        <w:t> </w:t>
      </w:r>
      <w:r>
        <w:rPr>
          <w:sz w:val="22"/>
        </w:rPr>
        <w:t>states,</w:t>
      </w:r>
      <w:r>
        <w:rPr>
          <w:spacing w:val="-11"/>
          <w:sz w:val="22"/>
        </w:rPr>
        <w:t> </w:t>
      </w:r>
      <w:r>
        <w:rPr>
          <w:sz w:val="22"/>
        </w:rPr>
        <w:t>which</w:t>
      </w:r>
      <w:r>
        <w:rPr>
          <w:spacing w:val="-11"/>
          <w:sz w:val="22"/>
        </w:rPr>
        <w:t> </w:t>
      </w:r>
      <w:r>
        <w:rPr>
          <w:sz w:val="22"/>
        </w:rPr>
        <w:t>can be replicated and scaled up.</w:t>
      </w:r>
    </w:p>
    <w:p>
      <w:pPr>
        <w:pStyle w:val="ListParagraph"/>
        <w:numPr>
          <w:ilvl w:val="2"/>
          <w:numId w:val="14"/>
        </w:numPr>
        <w:tabs>
          <w:tab w:pos="1439" w:val="left" w:leader="none"/>
        </w:tabs>
        <w:spacing w:line="266" w:lineRule="auto" w:before="0" w:after="0"/>
        <w:ind w:left="1439" w:right="0" w:hanging="360"/>
        <w:jc w:val="both"/>
        <w:rPr>
          <w:sz w:val="22"/>
        </w:rPr>
      </w:pPr>
      <w:r>
        <w:rPr>
          <w:sz w:val="22"/>
        </w:rPr>
        <w:t>Data collected for the purposes of </w:t>
      </w:r>
      <w:r>
        <w:rPr>
          <w:sz w:val="22"/>
        </w:rPr>
        <w:t>planning</w:t>
      </w:r>
      <w:r>
        <w:rPr>
          <w:spacing w:val="80"/>
          <w:w w:val="150"/>
          <w:sz w:val="22"/>
        </w:rPr>
        <w:t> </w:t>
      </w:r>
      <w:r>
        <w:rPr>
          <w:sz w:val="22"/>
        </w:rPr>
        <w:t>must provide all the relevant information. This</w:t>
      </w:r>
      <w:r>
        <w:rPr>
          <w:spacing w:val="80"/>
          <w:sz w:val="22"/>
        </w:rPr>
        <w:t> </w:t>
      </w:r>
      <w:r>
        <w:rPr>
          <w:sz w:val="22"/>
        </w:rPr>
        <w:t>is also important with respect to information on infrastructure</w:t>
      </w:r>
      <w:r>
        <w:rPr>
          <w:spacing w:val="-11"/>
          <w:sz w:val="22"/>
        </w:rPr>
        <w:t> </w:t>
      </w:r>
      <w:r>
        <w:rPr>
          <w:sz w:val="22"/>
        </w:rPr>
        <w:t>provision:</w:t>
      </w:r>
      <w:r>
        <w:rPr>
          <w:spacing w:val="-11"/>
          <w:sz w:val="22"/>
        </w:rPr>
        <w:t> </w:t>
      </w:r>
      <w:r>
        <w:rPr>
          <w:sz w:val="22"/>
        </w:rPr>
        <w:t>for</w:t>
      </w:r>
      <w:r>
        <w:rPr>
          <w:spacing w:val="-11"/>
          <w:sz w:val="22"/>
        </w:rPr>
        <w:t> </w:t>
      </w:r>
      <w:r>
        <w:rPr>
          <w:sz w:val="22"/>
        </w:rPr>
        <w:t>example,</w:t>
      </w:r>
      <w:r>
        <w:rPr>
          <w:spacing w:val="-11"/>
          <w:sz w:val="22"/>
        </w:rPr>
        <w:t> </w:t>
      </w:r>
      <w:r>
        <w:rPr>
          <w:sz w:val="22"/>
        </w:rPr>
        <w:t>the</w:t>
      </w:r>
      <w:r>
        <w:rPr>
          <w:spacing w:val="-11"/>
          <w:sz w:val="22"/>
        </w:rPr>
        <w:t> </w:t>
      </w:r>
      <w:r>
        <w:rPr>
          <w:sz w:val="22"/>
        </w:rPr>
        <w:t>number of rooms should also mention whether these are </w:t>
      </w:r>
      <w:r>
        <w:rPr>
          <w:spacing w:val="-4"/>
          <w:sz w:val="22"/>
        </w:rPr>
        <w:t>electrified;</w:t>
      </w:r>
      <w:r>
        <w:rPr>
          <w:spacing w:val="-10"/>
          <w:sz w:val="22"/>
        </w:rPr>
        <w:t> </w:t>
      </w:r>
      <w:r>
        <w:rPr>
          <w:spacing w:val="-4"/>
          <w:sz w:val="22"/>
        </w:rPr>
        <w:t>where</w:t>
      </w:r>
      <w:r>
        <w:rPr>
          <w:spacing w:val="-10"/>
          <w:sz w:val="22"/>
        </w:rPr>
        <w:t> </w:t>
      </w:r>
      <w:r>
        <w:rPr>
          <w:spacing w:val="-4"/>
          <w:sz w:val="22"/>
        </w:rPr>
        <w:t>availability</w:t>
      </w:r>
      <w:r>
        <w:rPr>
          <w:spacing w:val="-10"/>
          <w:sz w:val="22"/>
        </w:rPr>
        <w:t> </w:t>
      </w:r>
      <w:r>
        <w:rPr>
          <w:spacing w:val="-4"/>
          <w:sz w:val="22"/>
        </w:rPr>
        <w:t>of</w:t>
      </w:r>
      <w:r>
        <w:rPr>
          <w:spacing w:val="-9"/>
          <w:sz w:val="22"/>
        </w:rPr>
        <w:t> </w:t>
      </w:r>
      <w:r>
        <w:rPr>
          <w:spacing w:val="-4"/>
          <w:sz w:val="22"/>
        </w:rPr>
        <w:t>toilets</w:t>
      </w:r>
      <w:r>
        <w:rPr>
          <w:spacing w:val="-10"/>
          <w:sz w:val="22"/>
        </w:rPr>
        <w:t> </w:t>
      </w:r>
      <w:r>
        <w:rPr>
          <w:spacing w:val="-4"/>
          <w:sz w:val="22"/>
        </w:rPr>
        <w:t>is</w:t>
      </w:r>
      <w:r>
        <w:rPr>
          <w:spacing w:val="-10"/>
          <w:sz w:val="22"/>
        </w:rPr>
        <w:t> </w:t>
      </w:r>
      <w:r>
        <w:rPr>
          <w:spacing w:val="-4"/>
          <w:sz w:val="22"/>
        </w:rPr>
        <w:t>described, </w:t>
      </w:r>
      <w:r>
        <w:rPr>
          <w:spacing w:val="-2"/>
          <w:sz w:val="22"/>
        </w:rPr>
        <w:t>there</w:t>
      </w:r>
      <w:r>
        <w:rPr>
          <w:spacing w:val="-12"/>
          <w:sz w:val="22"/>
        </w:rPr>
        <w:t> </w:t>
      </w:r>
      <w:r>
        <w:rPr>
          <w:spacing w:val="-2"/>
          <w:sz w:val="22"/>
        </w:rPr>
        <w:t>should</w:t>
      </w:r>
      <w:r>
        <w:rPr>
          <w:spacing w:val="-12"/>
          <w:sz w:val="22"/>
        </w:rPr>
        <w:t> </w:t>
      </w:r>
      <w:r>
        <w:rPr>
          <w:spacing w:val="-2"/>
          <w:sz w:val="22"/>
        </w:rPr>
        <w:t>also</w:t>
      </w:r>
      <w:r>
        <w:rPr>
          <w:spacing w:val="-12"/>
          <w:sz w:val="22"/>
        </w:rPr>
        <w:t> </w:t>
      </w:r>
      <w:r>
        <w:rPr>
          <w:spacing w:val="-2"/>
          <w:sz w:val="22"/>
        </w:rPr>
        <w:t>be</w:t>
      </w:r>
      <w:r>
        <w:rPr>
          <w:spacing w:val="-11"/>
          <w:sz w:val="22"/>
        </w:rPr>
        <w:t> </w:t>
      </w:r>
      <w:r>
        <w:rPr>
          <w:spacing w:val="-2"/>
          <w:sz w:val="22"/>
        </w:rPr>
        <w:t>information</w:t>
      </w:r>
      <w:r>
        <w:rPr>
          <w:spacing w:val="-12"/>
          <w:sz w:val="22"/>
        </w:rPr>
        <w:t> </w:t>
      </w:r>
      <w:r>
        <w:rPr>
          <w:spacing w:val="-2"/>
          <w:sz w:val="22"/>
        </w:rPr>
        <w:t>on</w:t>
      </w:r>
      <w:r>
        <w:rPr>
          <w:spacing w:val="-12"/>
          <w:sz w:val="22"/>
        </w:rPr>
        <w:t> </w:t>
      </w:r>
      <w:r>
        <w:rPr>
          <w:spacing w:val="-2"/>
          <w:sz w:val="22"/>
        </w:rPr>
        <w:t>the</w:t>
      </w:r>
      <w:r>
        <w:rPr>
          <w:spacing w:val="-12"/>
          <w:sz w:val="22"/>
        </w:rPr>
        <w:t> </w:t>
      </w:r>
      <w:r>
        <w:rPr>
          <w:spacing w:val="-2"/>
          <w:sz w:val="22"/>
        </w:rPr>
        <w:t>availability </w:t>
      </w:r>
      <w:r>
        <w:rPr>
          <w:sz w:val="22"/>
        </w:rPr>
        <w:t>of water in the toilets.</w:t>
      </w:r>
    </w:p>
    <w:p>
      <w:pPr>
        <w:pStyle w:val="ListParagraph"/>
        <w:numPr>
          <w:ilvl w:val="2"/>
          <w:numId w:val="14"/>
        </w:numPr>
        <w:tabs>
          <w:tab w:pos="1439" w:val="left" w:leader="none"/>
        </w:tabs>
        <w:spacing w:line="266" w:lineRule="auto" w:before="0" w:after="0"/>
        <w:ind w:left="1439" w:right="0" w:hanging="360"/>
        <w:jc w:val="both"/>
        <w:rPr>
          <w:sz w:val="22"/>
        </w:rPr>
      </w:pPr>
      <w:r>
        <w:rPr>
          <w:sz w:val="22"/>
        </w:rPr>
        <w:t>Safeguards must be instituted against </w:t>
      </w:r>
      <w:r>
        <w:rPr>
          <w:sz w:val="22"/>
        </w:rPr>
        <w:t>“creative </w:t>
      </w:r>
      <w:r>
        <w:rPr>
          <w:spacing w:val="-4"/>
          <w:sz w:val="22"/>
        </w:rPr>
        <w:t>readjustment”</w:t>
      </w:r>
      <w:r>
        <w:rPr>
          <w:spacing w:val="-8"/>
          <w:sz w:val="22"/>
        </w:rPr>
        <w:t> </w:t>
      </w:r>
      <w:r>
        <w:rPr>
          <w:spacing w:val="-4"/>
          <w:sz w:val="22"/>
        </w:rPr>
        <w:t>of</w:t>
      </w:r>
      <w:r>
        <w:rPr>
          <w:spacing w:val="-8"/>
          <w:sz w:val="22"/>
        </w:rPr>
        <w:t> </w:t>
      </w:r>
      <w:r>
        <w:rPr>
          <w:spacing w:val="-4"/>
          <w:sz w:val="22"/>
        </w:rPr>
        <w:t>data,</w:t>
      </w:r>
      <w:r>
        <w:rPr>
          <w:spacing w:val="-8"/>
          <w:sz w:val="22"/>
        </w:rPr>
        <w:t> </w:t>
      </w:r>
      <w:r>
        <w:rPr>
          <w:spacing w:val="-4"/>
          <w:sz w:val="22"/>
        </w:rPr>
        <w:t>which</w:t>
      </w:r>
      <w:r>
        <w:rPr>
          <w:spacing w:val="-8"/>
          <w:sz w:val="22"/>
        </w:rPr>
        <w:t> </w:t>
      </w:r>
      <w:r>
        <w:rPr>
          <w:spacing w:val="-4"/>
          <w:sz w:val="22"/>
        </w:rPr>
        <w:t>is</w:t>
      </w:r>
      <w:r>
        <w:rPr>
          <w:spacing w:val="-8"/>
          <w:sz w:val="22"/>
        </w:rPr>
        <w:t> </w:t>
      </w:r>
      <w:r>
        <w:rPr>
          <w:spacing w:val="-4"/>
          <w:sz w:val="22"/>
        </w:rPr>
        <w:t>a</w:t>
      </w:r>
      <w:r>
        <w:rPr>
          <w:spacing w:val="-8"/>
          <w:sz w:val="22"/>
        </w:rPr>
        <w:t> </w:t>
      </w:r>
      <w:r>
        <w:rPr>
          <w:spacing w:val="-4"/>
          <w:sz w:val="22"/>
        </w:rPr>
        <w:t>common</w:t>
      </w:r>
      <w:r>
        <w:rPr>
          <w:spacing w:val="-8"/>
          <w:sz w:val="22"/>
        </w:rPr>
        <w:t> </w:t>
      </w:r>
      <w:r>
        <w:rPr>
          <w:spacing w:val="-4"/>
          <w:sz w:val="22"/>
        </w:rPr>
        <w:t>problem </w:t>
      </w:r>
      <w:r>
        <w:rPr>
          <w:sz w:val="22"/>
        </w:rPr>
        <w:t>given the structure of incentives and the fact that the data are most often provided by the teachers or school management. This requires that data </w:t>
      </w:r>
      <w:r>
        <w:rPr>
          <w:spacing w:val="-2"/>
          <w:sz w:val="22"/>
        </w:rPr>
        <w:t>should</w:t>
      </w:r>
      <w:r>
        <w:rPr>
          <w:spacing w:val="-11"/>
          <w:sz w:val="22"/>
        </w:rPr>
        <w:t> </w:t>
      </w:r>
      <w:r>
        <w:rPr>
          <w:spacing w:val="-2"/>
          <w:sz w:val="22"/>
        </w:rPr>
        <w:t>be</w:t>
      </w:r>
      <w:r>
        <w:rPr>
          <w:spacing w:val="-11"/>
          <w:sz w:val="22"/>
        </w:rPr>
        <w:t> </w:t>
      </w:r>
      <w:r>
        <w:rPr>
          <w:spacing w:val="-2"/>
          <w:sz w:val="22"/>
        </w:rPr>
        <w:t>collected</w:t>
      </w:r>
      <w:r>
        <w:rPr>
          <w:spacing w:val="-11"/>
          <w:sz w:val="22"/>
        </w:rPr>
        <w:t> </w:t>
      </w:r>
      <w:r>
        <w:rPr>
          <w:spacing w:val="-2"/>
          <w:sz w:val="22"/>
        </w:rPr>
        <w:t>by</w:t>
      </w:r>
      <w:r>
        <w:rPr>
          <w:spacing w:val="-11"/>
          <w:sz w:val="22"/>
        </w:rPr>
        <w:t> </w:t>
      </w:r>
      <w:r>
        <w:rPr>
          <w:spacing w:val="-2"/>
          <w:sz w:val="22"/>
        </w:rPr>
        <w:t>independent</w:t>
      </w:r>
      <w:r>
        <w:rPr>
          <w:spacing w:val="-11"/>
          <w:sz w:val="22"/>
        </w:rPr>
        <w:t> </w:t>
      </w:r>
      <w:r>
        <w:rPr>
          <w:spacing w:val="-2"/>
          <w:sz w:val="22"/>
        </w:rPr>
        <w:t>agencies</w:t>
      </w:r>
      <w:r>
        <w:rPr>
          <w:spacing w:val="-11"/>
          <w:sz w:val="22"/>
        </w:rPr>
        <w:t> </w:t>
      </w:r>
      <w:r>
        <w:rPr>
          <w:spacing w:val="-2"/>
          <w:sz w:val="22"/>
        </w:rPr>
        <w:t>as</w:t>
      </w:r>
      <w:r>
        <w:rPr>
          <w:spacing w:val="-11"/>
          <w:sz w:val="22"/>
        </w:rPr>
        <w:t> </w:t>
      </w:r>
      <w:r>
        <w:rPr>
          <w:spacing w:val="-2"/>
          <w:sz w:val="22"/>
        </w:rPr>
        <w:t>far </w:t>
      </w:r>
      <w:r>
        <w:rPr>
          <w:sz w:val="22"/>
        </w:rPr>
        <w:t>as</w:t>
      </w:r>
      <w:r>
        <w:rPr>
          <w:spacing w:val="-8"/>
          <w:sz w:val="22"/>
        </w:rPr>
        <w:t> </w:t>
      </w:r>
      <w:r>
        <w:rPr>
          <w:sz w:val="22"/>
        </w:rPr>
        <w:t>possible,</w:t>
      </w:r>
      <w:r>
        <w:rPr>
          <w:spacing w:val="-8"/>
          <w:sz w:val="22"/>
        </w:rPr>
        <w:t> </w:t>
      </w:r>
      <w:r>
        <w:rPr>
          <w:sz w:val="22"/>
        </w:rPr>
        <w:t>or</w:t>
      </w:r>
      <w:r>
        <w:rPr>
          <w:spacing w:val="-8"/>
          <w:sz w:val="22"/>
        </w:rPr>
        <w:t> </w:t>
      </w:r>
      <w:r>
        <w:rPr>
          <w:sz w:val="22"/>
        </w:rPr>
        <w:t>necessarily</w:t>
      </w:r>
      <w:r>
        <w:rPr>
          <w:spacing w:val="-8"/>
          <w:sz w:val="22"/>
        </w:rPr>
        <w:t> </w:t>
      </w:r>
      <w:r>
        <w:rPr>
          <w:sz w:val="22"/>
        </w:rPr>
        <w:t>subject</w:t>
      </w:r>
      <w:r>
        <w:rPr>
          <w:spacing w:val="-8"/>
          <w:sz w:val="22"/>
        </w:rPr>
        <w:t> </w:t>
      </w:r>
      <w:r>
        <w:rPr>
          <w:sz w:val="22"/>
        </w:rPr>
        <w:t>to</w:t>
      </w:r>
      <w:r>
        <w:rPr>
          <w:spacing w:val="-8"/>
          <w:sz w:val="22"/>
        </w:rPr>
        <w:t> </w:t>
      </w:r>
      <w:r>
        <w:rPr>
          <w:sz w:val="22"/>
        </w:rPr>
        <w:t>frequent</w:t>
      </w:r>
      <w:r>
        <w:rPr>
          <w:spacing w:val="-8"/>
          <w:sz w:val="22"/>
        </w:rPr>
        <w:t> </w:t>
      </w:r>
      <w:r>
        <w:rPr>
          <w:sz w:val="22"/>
        </w:rPr>
        <w:t>and random cross-checks.</w:t>
      </w:r>
    </w:p>
    <w:p>
      <w:pPr>
        <w:pStyle w:val="ListParagraph"/>
        <w:numPr>
          <w:ilvl w:val="2"/>
          <w:numId w:val="14"/>
        </w:numPr>
        <w:tabs>
          <w:tab w:pos="1439" w:val="left" w:leader="none"/>
        </w:tabs>
        <w:spacing w:line="266" w:lineRule="auto" w:before="0" w:after="0"/>
        <w:ind w:left="1439" w:right="0" w:hanging="360"/>
        <w:jc w:val="both"/>
        <w:rPr>
          <w:sz w:val="22"/>
        </w:rPr>
      </w:pPr>
      <w:r>
        <w:rPr>
          <w:sz w:val="22"/>
        </w:rPr>
        <w:t>ICT must be integrated for data collation </w:t>
      </w:r>
      <w:r>
        <w:rPr>
          <w:sz w:val="22"/>
        </w:rPr>
        <w:t>and management,</w:t>
      </w:r>
      <w:r>
        <w:rPr>
          <w:spacing w:val="56"/>
          <w:sz w:val="22"/>
        </w:rPr>
        <w:t> </w:t>
      </w:r>
      <w:r>
        <w:rPr>
          <w:sz w:val="22"/>
        </w:rPr>
        <w:t>wherever</w:t>
      </w:r>
      <w:r>
        <w:rPr>
          <w:spacing w:val="56"/>
          <w:sz w:val="22"/>
        </w:rPr>
        <w:t> </w:t>
      </w:r>
      <w:r>
        <w:rPr>
          <w:sz w:val="22"/>
        </w:rPr>
        <w:t>required.</w:t>
      </w:r>
      <w:r>
        <w:rPr>
          <w:spacing w:val="56"/>
          <w:sz w:val="22"/>
        </w:rPr>
        <w:t> </w:t>
      </w:r>
      <w:r>
        <w:rPr>
          <w:sz w:val="22"/>
        </w:rPr>
        <w:t>A</w:t>
      </w:r>
      <w:r>
        <w:rPr>
          <w:spacing w:val="56"/>
          <w:sz w:val="22"/>
        </w:rPr>
        <w:t> </w:t>
      </w:r>
      <w:r>
        <w:rPr>
          <w:sz w:val="22"/>
        </w:rPr>
        <w:t>local</w:t>
      </w:r>
      <w:r>
        <w:rPr>
          <w:spacing w:val="56"/>
          <w:sz w:val="22"/>
        </w:rPr>
        <w:t> </w:t>
      </w:r>
      <w:r>
        <w:rPr>
          <w:sz w:val="22"/>
        </w:rPr>
        <w:t>area</w:t>
      </w:r>
    </w:p>
    <w:p>
      <w:pPr>
        <w:pStyle w:val="BodyText"/>
        <w:spacing w:line="266" w:lineRule="auto" w:before="57"/>
        <w:ind w:left="679" w:right="1078"/>
        <w:jc w:val="both"/>
      </w:pPr>
      <w:r>
        <w:rPr/>
        <w:br w:type="column"/>
      </w:r>
      <w:r>
        <w:rPr/>
        <w:t>network</w:t>
      </w:r>
      <w:r>
        <w:rPr>
          <w:spacing w:val="-10"/>
        </w:rPr>
        <w:t> </w:t>
      </w:r>
      <w:r>
        <w:rPr/>
        <w:t>with</w:t>
      </w:r>
      <w:r>
        <w:rPr>
          <w:spacing w:val="-10"/>
        </w:rPr>
        <w:t> </w:t>
      </w:r>
      <w:r>
        <w:rPr/>
        <w:t>digital</w:t>
      </w:r>
      <w:r>
        <w:rPr>
          <w:spacing w:val="-10"/>
        </w:rPr>
        <w:t> </w:t>
      </w:r>
      <w:r>
        <w:rPr/>
        <w:t>entry</w:t>
      </w:r>
      <w:r>
        <w:rPr>
          <w:spacing w:val="-10"/>
        </w:rPr>
        <w:t> </w:t>
      </w:r>
      <w:r>
        <w:rPr/>
        <w:t>provisions</w:t>
      </w:r>
      <w:r>
        <w:rPr>
          <w:spacing w:val="-10"/>
        </w:rPr>
        <w:t> </w:t>
      </w:r>
      <w:r>
        <w:rPr/>
        <w:t>could</w:t>
      </w:r>
      <w:r>
        <w:rPr>
          <w:spacing w:val="-10"/>
        </w:rPr>
        <w:t> </w:t>
      </w:r>
      <w:r>
        <w:rPr/>
        <w:t>be</w:t>
      </w:r>
      <w:r>
        <w:rPr>
          <w:spacing w:val="-10"/>
        </w:rPr>
        <w:t> </w:t>
      </w:r>
      <w:r>
        <w:rPr/>
        <w:t>set </w:t>
      </w:r>
      <w:r>
        <w:rPr>
          <w:spacing w:val="-4"/>
        </w:rPr>
        <w:t>up</w:t>
      </w:r>
      <w:r>
        <w:rPr>
          <w:spacing w:val="-7"/>
        </w:rPr>
        <w:t> </w:t>
      </w:r>
      <w:r>
        <w:rPr>
          <w:spacing w:val="-4"/>
        </w:rPr>
        <w:t>to</w:t>
      </w:r>
      <w:r>
        <w:rPr>
          <w:spacing w:val="-7"/>
        </w:rPr>
        <w:t> </w:t>
      </w:r>
      <w:r>
        <w:rPr>
          <w:spacing w:val="-4"/>
        </w:rPr>
        <w:t>make</w:t>
      </w:r>
      <w:r>
        <w:rPr>
          <w:spacing w:val="-7"/>
        </w:rPr>
        <w:t> </w:t>
      </w:r>
      <w:r>
        <w:rPr>
          <w:spacing w:val="-4"/>
        </w:rPr>
        <w:t>it</w:t>
      </w:r>
      <w:r>
        <w:rPr>
          <w:spacing w:val="-7"/>
        </w:rPr>
        <w:t> </w:t>
      </w:r>
      <w:r>
        <w:rPr>
          <w:spacing w:val="-4"/>
        </w:rPr>
        <w:t>easier</w:t>
      </w:r>
      <w:r>
        <w:rPr>
          <w:spacing w:val="-7"/>
        </w:rPr>
        <w:t> </w:t>
      </w:r>
      <w:r>
        <w:rPr>
          <w:spacing w:val="-4"/>
        </w:rPr>
        <w:t>for</w:t>
      </w:r>
      <w:r>
        <w:rPr>
          <w:spacing w:val="-7"/>
        </w:rPr>
        <w:t> </w:t>
      </w:r>
      <w:r>
        <w:rPr>
          <w:spacing w:val="-4"/>
        </w:rPr>
        <w:t>the</w:t>
      </w:r>
      <w:r>
        <w:rPr>
          <w:spacing w:val="-7"/>
        </w:rPr>
        <w:t> </w:t>
      </w:r>
      <w:r>
        <w:rPr>
          <w:spacing w:val="-4"/>
        </w:rPr>
        <w:t>teachers</w:t>
      </w:r>
      <w:r>
        <w:rPr>
          <w:spacing w:val="-7"/>
        </w:rPr>
        <w:t> </w:t>
      </w:r>
      <w:r>
        <w:rPr>
          <w:spacing w:val="-4"/>
        </w:rPr>
        <w:t>and</w:t>
      </w:r>
      <w:r>
        <w:rPr>
          <w:spacing w:val="-7"/>
        </w:rPr>
        <w:t> </w:t>
      </w:r>
      <w:r>
        <w:rPr>
          <w:spacing w:val="-4"/>
        </w:rPr>
        <w:t>others</w:t>
      </w:r>
      <w:r>
        <w:rPr>
          <w:spacing w:val="-7"/>
        </w:rPr>
        <w:t> </w:t>
      </w:r>
      <w:r>
        <w:rPr>
          <w:spacing w:val="-4"/>
        </w:rPr>
        <w:t>who </w:t>
      </w:r>
      <w:r>
        <w:rPr/>
        <w:t>provide and use the data.</w:t>
      </w:r>
    </w:p>
    <w:p>
      <w:pPr>
        <w:pStyle w:val="ListParagraph"/>
        <w:numPr>
          <w:ilvl w:val="0"/>
          <w:numId w:val="16"/>
        </w:numPr>
        <w:tabs>
          <w:tab w:pos="679" w:val="left" w:leader="none"/>
        </w:tabs>
        <w:spacing w:line="266" w:lineRule="auto" w:before="0" w:after="0"/>
        <w:ind w:left="679" w:right="1077" w:hanging="360"/>
        <w:jc w:val="both"/>
        <w:rPr>
          <w:sz w:val="22"/>
        </w:rPr>
      </w:pPr>
      <w:r>
        <w:rPr>
          <w:spacing w:val="-4"/>
          <w:sz w:val="22"/>
        </w:rPr>
        <w:t>The</w:t>
      </w:r>
      <w:r>
        <w:rPr>
          <w:spacing w:val="-10"/>
          <w:sz w:val="22"/>
        </w:rPr>
        <w:t> </w:t>
      </w:r>
      <w:r>
        <w:rPr>
          <w:spacing w:val="-4"/>
          <w:sz w:val="22"/>
        </w:rPr>
        <w:t>data</w:t>
      </w:r>
      <w:r>
        <w:rPr>
          <w:spacing w:val="-10"/>
          <w:sz w:val="22"/>
        </w:rPr>
        <w:t> </w:t>
      </w:r>
      <w:r>
        <w:rPr>
          <w:spacing w:val="-4"/>
          <w:sz w:val="22"/>
        </w:rPr>
        <w:t>thus</w:t>
      </w:r>
      <w:r>
        <w:rPr>
          <w:spacing w:val="-10"/>
          <w:sz w:val="22"/>
        </w:rPr>
        <w:t> </w:t>
      </w:r>
      <w:r>
        <w:rPr>
          <w:spacing w:val="-4"/>
          <w:sz w:val="22"/>
        </w:rPr>
        <w:t>collected</w:t>
      </w:r>
      <w:r>
        <w:rPr>
          <w:spacing w:val="-9"/>
          <w:sz w:val="22"/>
        </w:rPr>
        <w:t> </w:t>
      </w:r>
      <w:r>
        <w:rPr>
          <w:spacing w:val="-4"/>
          <w:sz w:val="22"/>
        </w:rPr>
        <w:t>must</w:t>
      </w:r>
      <w:r>
        <w:rPr>
          <w:spacing w:val="-10"/>
          <w:sz w:val="22"/>
        </w:rPr>
        <w:t> </w:t>
      </w:r>
      <w:r>
        <w:rPr>
          <w:spacing w:val="-4"/>
          <w:sz w:val="22"/>
        </w:rPr>
        <w:t>be</w:t>
      </w:r>
      <w:r>
        <w:rPr>
          <w:spacing w:val="-10"/>
          <w:sz w:val="22"/>
        </w:rPr>
        <w:t> </w:t>
      </w:r>
      <w:r>
        <w:rPr>
          <w:spacing w:val="-4"/>
          <w:sz w:val="22"/>
        </w:rPr>
        <w:t>freely</w:t>
      </w:r>
      <w:r>
        <w:rPr>
          <w:spacing w:val="-10"/>
          <w:sz w:val="22"/>
        </w:rPr>
        <w:t> </w:t>
      </w:r>
      <w:r>
        <w:rPr>
          <w:spacing w:val="-4"/>
          <w:sz w:val="22"/>
        </w:rPr>
        <w:t>available</w:t>
      </w:r>
      <w:r>
        <w:rPr>
          <w:spacing w:val="-9"/>
          <w:sz w:val="22"/>
        </w:rPr>
        <w:t> </w:t>
      </w:r>
      <w:r>
        <w:rPr>
          <w:spacing w:val="-4"/>
          <w:sz w:val="22"/>
        </w:rPr>
        <w:t>and easily</w:t>
      </w:r>
      <w:r>
        <w:rPr>
          <w:spacing w:val="-10"/>
          <w:sz w:val="22"/>
        </w:rPr>
        <w:t> </w:t>
      </w:r>
      <w:r>
        <w:rPr>
          <w:spacing w:val="-4"/>
          <w:sz w:val="22"/>
        </w:rPr>
        <w:t>accessible,</w:t>
      </w:r>
      <w:r>
        <w:rPr>
          <w:spacing w:val="-10"/>
          <w:sz w:val="22"/>
        </w:rPr>
        <w:t> </w:t>
      </w:r>
      <w:r>
        <w:rPr>
          <w:spacing w:val="-4"/>
          <w:sz w:val="22"/>
        </w:rPr>
        <w:t>provided</w:t>
      </w:r>
      <w:r>
        <w:rPr>
          <w:spacing w:val="-10"/>
          <w:sz w:val="22"/>
        </w:rPr>
        <w:t> </w:t>
      </w:r>
      <w:r>
        <w:rPr>
          <w:spacing w:val="-4"/>
          <w:sz w:val="22"/>
        </w:rPr>
        <w:t>on</w:t>
      </w:r>
      <w:r>
        <w:rPr>
          <w:spacing w:val="-9"/>
          <w:sz w:val="22"/>
        </w:rPr>
        <w:t> </w:t>
      </w:r>
      <w:r>
        <w:rPr>
          <w:spacing w:val="-4"/>
          <w:sz w:val="22"/>
        </w:rPr>
        <w:t>dedicated</w:t>
      </w:r>
      <w:r>
        <w:rPr>
          <w:spacing w:val="-10"/>
          <w:sz w:val="22"/>
        </w:rPr>
        <w:t> </w:t>
      </w:r>
      <w:r>
        <w:rPr>
          <w:spacing w:val="-4"/>
          <w:sz w:val="22"/>
        </w:rPr>
        <w:t>websites</w:t>
      </w:r>
      <w:r>
        <w:rPr>
          <w:spacing w:val="-10"/>
          <w:sz w:val="22"/>
        </w:rPr>
        <w:t> </w:t>
      </w:r>
      <w:r>
        <w:rPr>
          <w:spacing w:val="-4"/>
          <w:sz w:val="22"/>
        </w:rPr>
        <w:t>in </w:t>
      </w:r>
      <w:r>
        <w:rPr>
          <w:sz w:val="22"/>
        </w:rPr>
        <w:t>addition to the usual means of publication.</w:t>
      </w:r>
    </w:p>
    <w:p>
      <w:pPr>
        <w:pStyle w:val="ListParagraph"/>
        <w:numPr>
          <w:ilvl w:val="0"/>
          <w:numId w:val="16"/>
        </w:numPr>
        <w:tabs>
          <w:tab w:pos="679" w:val="left" w:leader="none"/>
        </w:tabs>
        <w:spacing w:line="266" w:lineRule="auto" w:before="0" w:after="0"/>
        <w:ind w:left="679" w:right="1077" w:hanging="360"/>
        <w:jc w:val="both"/>
        <w:rPr>
          <w:sz w:val="22"/>
        </w:rPr>
      </w:pPr>
      <w:r>
        <w:rPr>
          <w:spacing w:val="-2"/>
          <w:sz w:val="22"/>
        </w:rPr>
        <w:t>More</w:t>
      </w:r>
      <w:r>
        <w:rPr>
          <w:spacing w:val="-9"/>
          <w:sz w:val="22"/>
        </w:rPr>
        <w:t> </w:t>
      </w:r>
      <w:r>
        <w:rPr>
          <w:spacing w:val="-2"/>
          <w:sz w:val="22"/>
        </w:rPr>
        <w:t>specialised</w:t>
      </w:r>
      <w:r>
        <w:rPr>
          <w:spacing w:val="-9"/>
          <w:sz w:val="22"/>
        </w:rPr>
        <w:t> </w:t>
      </w:r>
      <w:r>
        <w:rPr>
          <w:spacing w:val="-2"/>
          <w:sz w:val="22"/>
        </w:rPr>
        <w:t>micro</w:t>
      </w:r>
      <w:r>
        <w:rPr>
          <w:spacing w:val="-9"/>
          <w:sz w:val="22"/>
        </w:rPr>
        <w:t> </w:t>
      </w:r>
      <w:r>
        <w:rPr>
          <w:spacing w:val="-2"/>
          <w:sz w:val="22"/>
        </w:rPr>
        <w:t>level</w:t>
      </w:r>
      <w:r>
        <w:rPr>
          <w:spacing w:val="-9"/>
          <w:sz w:val="22"/>
        </w:rPr>
        <w:t> </w:t>
      </w:r>
      <w:r>
        <w:rPr>
          <w:spacing w:val="-2"/>
          <w:sz w:val="22"/>
        </w:rPr>
        <w:t>surveys</w:t>
      </w:r>
      <w:r>
        <w:rPr>
          <w:spacing w:val="-9"/>
          <w:sz w:val="22"/>
        </w:rPr>
        <w:t> </w:t>
      </w:r>
      <w:r>
        <w:rPr>
          <w:spacing w:val="-2"/>
          <w:sz w:val="22"/>
        </w:rPr>
        <w:t>and</w:t>
      </w:r>
      <w:r>
        <w:rPr>
          <w:spacing w:val="-9"/>
          <w:sz w:val="22"/>
        </w:rPr>
        <w:t> </w:t>
      </w:r>
      <w:r>
        <w:rPr>
          <w:spacing w:val="-2"/>
          <w:sz w:val="22"/>
        </w:rPr>
        <w:t>research </w:t>
      </w:r>
      <w:r>
        <w:rPr>
          <w:sz w:val="22"/>
        </w:rPr>
        <w:t>should be commissioned. There should also </w:t>
      </w:r>
      <w:r>
        <w:rPr>
          <w:sz w:val="22"/>
        </w:rPr>
        <w:t>be attempts</w:t>
      </w:r>
      <w:r>
        <w:rPr>
          <w:spacing w:val="-5"/>
          <w:sz w:val="22"/>
        </w:rPr>
        <w:t> </w:t>
      </w:r>
      <w:r>
        <w:rPr>
          <w:sz w:val="22"/>
        </w:rPr>
        <w:t>to</w:t>
      </w:r>
      <w:r>
        <w:rPr>
          <w:spacing w:val="-5"/>
          <w:sz w:val="22"/>
        </w:rPr>
        <w:t> </w:t>
      </w:r>
      <w:r>
        <w:rPr>
          <w:sz w:val="22"/>
        </w:rPr>
        <w:t>bring</w:t>
      </w:r>
      <w:r>
        <w:rPr>
          <w:spacing w:val="-5"/>
          <w:sz w:val="22"/>
        </w:rPr>
        <w:t> </w:t>
      </w:r>
      <w:r>
        <w:rPr>
          <w:sz w:val="22"/>
        </w:rPr>
        <w:t>together</w:t>
      </w:r>
      <w:r>
        <w:rPr>
          <w:spacing w:val="-5"/>
          <w:sz w:val="22"/>
        </w:rPr>
        <w:t> </w:t>
      </w:r>
      <w:r>
        <w:rPr>
          <w:sz w:val="22"/>
        </w:rPr>
        <w:t>other</w:t>
      </w:r>
      <w:r>
        <w:rPr>
          <w:spacing w:val="-5"/>
          <w:sz w:val="22"/>
        </w:rPr>
        <w:t> </w:t>
      </w:r>
      <w:r>
        <w:rPr>
          <w:sz w:val="22"/>
        </w:rPr>
        <w:t>relevant</w:t>
      </w:r>
      <w:r>
        <w:rPr>
          <w:spacing w:val="-5"/>
          <w:sz w:val="22"/>
        </w:rPr>
        <w:t> </w:t>
      </w:r>
      <w:r>
        <w:rPr>
          <w:sz w:val="22"/>
        </w:rPr>
        <w:t>research for</w:t>
      </w:r>
      <w:r>
        <w:rPr>
          <w:spacing w:val="-6"/>
          <w:sz w:val="22"/>
        </w:rPr>
        <w:t> </w:t>
      </w:r>
      <w:r>
        <w:rPr>
          <w:sz w:val="22"/>
        </w:rPr>
        <w:t>easy</w:t>
      </w:r>
      <w:r>
        <w:rPr>
          <w:spacing w:val="-6"/>
          <w:sz w:val="22"/>
        </w:rPr>
        <w:t> </w:t>
      </w:r>
      <w:r>
        <w:rPr>
          <w:sz w:val="22"/>
        </w:rPr>
        <w:t>access</w:t>
      </w:r>
      <w:r>
        <w:rPr>
          <w:spacing w:val="-6"/>
          <w:sz w:val="22"/>
        </w:rPr>
        <w:t> </w:t>
      </w:r>
      <w:r>
        <w:rPr>
          <w:sz w:val="22"/>
        </w:rPr>
        <w:t>by</w:t>
      </w:r>
      <w:r>
        <w:rPr>
          <w:spacing w:val="-6"/>
          <w:sz w:val="22"/>
        </w:rPr>
        <w:t> </w:t>
      </w:r>
      <w:r>
        <w:rPr>
          <w:sz w:val="22"/>
        </w:rPr>
        <w:t>practitioners.</w:t>
      </w:r>
    </w:p>
    <w:p>
      <w:pPr>
        <w:pStyle w:val="Heading6"/>
        <w:numPr>
          <w:ilvl w:val="0"/>
          <w:numId w:val="14"/>
        </w:numPr>
        <w:tabs>
          <w:tab w:pos="644" w:val="left" w:leader="none"/>
        </w:tabs>
        <w:spacing w:line="240" w:lineRule="auto" w:before="179" w:after="0"/>
        <w:ind w:left="644" w:right="0" w:hanging="325"/>
        <w:jc w:val="left"/>
        <w:rPr>
          <w:color w:val="2E614A"/>
        </w:rPr>
      </w:pPr>
      <w:r>
        <w:rPr>
          <w:color w:val="2E614A"/>
          <w:w w:val="90"/>
        </w:rPr>
        <w:t>Quality</w:t>
      </w:r>
      <w:r>
        <w:rPr>
          <w:color w:val="2E614A"/>
          <w:spacing w:val="17"/>
        </w:rPr>
        <w:t> </w:t>
      </w:r>
      <w:r>
        <w:rPr>
          <w:color w:val="2E614A"/>
          <w:w w:val="90"/>
        </w:rPr>
        <w:t>and</w:t>
      </w:r>
      <w:r>
        <w:rPr>
          <w:color w:val="2E614A"/>
          <w:spacing w:val="18"/>
        </w:rPr>
        <w:t> </w:t>
      </w:r>
      <w:r>
        <w:rPr>
          <w:color w:val="2E614A"/>
          <w:spacing w:val="-2"/>
          <w:w w:val="90"/>
        </w:rPr>
        <w:t>Management</w:t>
      </w:r>
    </w:p>
    <w:p>
      <w:pPr>
        <w:pStyle w:val="Heading7"/>
        <w:numPr>
          <w:ilvl w:val="1"/>
          <w:numId w:val="14"/>
        </w:numPr>
        <w:tabs>
          <w:tab w:pos="716" w:val="left" w:leader="none"/>
        </w:tabs>
        <w:spacing w:line="225" w:lineRule="auto" w:before="262" w:after="0"/>
        <w:ind w:left="716" w:right="1415" w:hanging="398"/>
        <w:jc w:val="left"/>
      </w:pPr>
      <w:r>
        <w:rPr>
          <w:color w:val="2E614A"/>
          <w:spacing w:val="-2"/>
        </w:rPr>
        <w:t>Currently</w:t>
      </w:r>
      <w:r>
        <w:rPr>
          <w:color w:val="2E614A"/>
          <w:spacing w:val="-17"/>
        </w:rPr>
        <w:t> </w:t>
      </w:r>
      <w:r>
        <w:rPr>
          <w:color w:val="2E614A"/>
          <w:spacing w:val="-2"/>
        </w:rPr>
        <w:t>school</w:t>
      </w:r>
      <w:r>
        <w:rPr>
          <w:color w:val="2E614A"/>
          <w:spacing w:val="-14"/>
        </w:rPr>
        <w:t> </w:t>
      </w:r>
      <w:r>
        <w:rPr>
          <w:color w:val="2E614A"/>
          <w:spacing w:val="-2"/>
        </w:rPr>
        <w:t>education</w:t>
      </w:r>
      <w:r>
        <w:rPr>
          <w:color w:val="2E614A"/>
          <w:spacing w:val="-14"/>
        </w:rPr>
        <w:t> </w:t>
      </w:r>
      <w:r>
        <w:rPr>
          <w:color w:val="2E614A"/>
          <w:spacing w:val="-2"/>
        </w:rPr>
        <w:t>is</w:t>
      </w:r>
      <w:r>
        <w:rPr>
          <w:color w:val="2E614A"/>
          <w:spacing w:val="-14"/>
        </w:rPr>
        <w:t> </w:t>
      </w:r>
      <w:r>
        <w:rPr>
          <w:color w:val="2E614A"/>
          <w:spacing w:val="-2"/>
        </w:rPr>
        <w:t>highly segmented,</w:t>
      </w:r>
      <w:r>
        <w:rPr>
          <w:color w:val="2E614A"/>
          <w:spacing w:val="-12"/>
        </w:rPr>
        <w:t> </w:t>
      </w:r>
      <w:r>
        <w:rPr>
          <w:color w:val="2E614A"/>
          <w:spacing w:val="-2"/>
        </w:rPr>
        <w:t>even</w:t>
      </w:r>
      <w:r>
        <w:rPr>
          <w:color w:val="2E614A"/>
          <w:spacing w:val="-12"/>
        </w:rPr>
        <w:t> </w:t>
      </w:r>
      <w:r>
        <w:rPr>
          <w:color w:val="2E614A"/>
          <w:spacing w:val="-2"/>
        </w:rPr>
        <w:t>in</w:t>
      </w:r>
      <w:r>
        <w:rPr>
          <w:color w:val="2E614A"/>
          <w:spacing w:val="-12"/>
        </w:rPr>
        <w:t> </w:t>
      </w:r>
      <w:r>
        <w:rPr>
          <w:color w:val="2E614A"/>
          <w:spacing w:val="-2"/>
        </w:rPr>
        <w:t>government</w:t>
      </w:r>
      <w:r>
        <w:rPr>
          <w:color w:val="2E614A"/>
          <w:spacing w:val="-12"/>
        </w:rPr>
        <w:t> </w:t>
      </w:r>
      <w:r>
        <w:rPr>
          <w:color w:val="2E614A"/>
          <w:spacing w:val="-2"/>
        </w:rPr>
        <w:t>run institutions,</w:t>
      </w:r>
      <w:r>
        <w:rPr>
          <w:color w:val="2E614A"/>
          <w:spacing w:val="-15"/>
        </w:rPr>
        <w:t> </w:t>
      </w:r>
      <w:r>
        <w:rPr>
          <w:color w:val="2E614A"/>
          <w:spacing w:val="-2"/>
        </w:rPr>
        <w:t>as</w:t>
      </w:r>
      <w:r>
        <w:rPr>
          <w:color w:val="2E614A"/>
          <w:spacing w:val="-14"/>
        </w:rPr>
        <w:t> </w:t>
      </w:r>
      <w:r>
        <w:rPr>
          <w:color w:val="2E614A"/>
          <w:spacing w:val="-2"/>
        </w:rPr>
        <w:t>a</w:t>
      </w:r>
      <w:r>
        <w:rPr>
          <w:color w:val="2E614A"/>
          <w:spacing w:val="-14"/>
        </w:rPr>
        <w:t> </w:t>
      </w:r>
      <w:r>
        <w:rPr>
          <w:color w:val="2E614A"/>
          <w:spacing w:val="-2"/>
        </w:rPr>
        <w:t>result</w:t>
      </w:r>
      <w:r>
        <w:rPr>
          <w:color w:val="2E614A"/>
          <w:spacing w:val="-14"/>
        </w:rPr>
        <w:t> </w:t>
      </w:r>
      <w:r>
        <w:rPr>
          <w:color w:val="2E614A"/>
          <w:spacing w:val="-2"/>
        </w:rPr>
        <w:t>of</w:t>
      </w:r>
      <w:r>
        <w:rPr>
          <w:color w:val="2E614A"/>
          <w:spacing w:val="-15"/>
        </w:rPr>
        <w:t> </w:t>
      </w:r>
      <w:r>
        <w:rPr>
          <w:color w:val="2E614A"/>
          <w:spacing w:val="-2"/>
        </w:rPr>
        <w:t>the</w:t>
      </w:r>
      <w:r>
        <w:rPr>
          <w:color w:val="2E614A"/>
          <w:spacing w:val="-14"/>
        </w:rPr>
        <w:t> </w:t>
      </w:r>
      <w:r>
        <w:rPr>
          <w:color w:val="2E614A"/>
          <w:spacing w:val="-2"/>
        </w:rPr>
        <w:t>parallel </w:t>
      </w:r>
      <w:r>
        <w:rPr>
          <w:color w:val="2E614A"/>
          <w:spacing w:val="-4"/>
        </w:rPr>
        <w:t>track</w:t>
      </w:r>
      <w:r>
        <w:rPr>
          <w:color w:val="2E614A"/>
          <w:spacing w:val="-11"/>
        </w:rPr>
        <w:t> </w:t>
      </w:r>
      <w:r>
        <w:rPr>
          <w:color w:val="2E614A"/>
          <w:spacing w:val="-4"/>
        </w:rPr>
        <w:t>of</w:t>
      </w:r>
      <w:r>
        <w:rPr>
          <w:color w:val="2E614A"/>
          <w:spacing w:val="-11"/>
        </w:rPr>
        <w:t> </w:t>
      </w:r>
      <w:r>
        <w:rPr>
          <w:color w:val="2E614A"/>
          <w:spacing w:val="-4"/>
        </w:rPr>
        <w:t>“education</w:t>
      </w:r>
      <w:r>
        <w:rPr>
          <w:color w:val="2E614A"/>
          <w:spacing w:val="-11"/>
        </w:rPr>
        <w:t> </w:t>
      </w:r>
      <w:r>
        <w:rPr>
          <w:color w:val="2E614A"/>
          <w:spacing w:val="-4"/>
        </w:rPr>
        <w:t>centres”</w:t>
      </w:r>
      <w:r>
        <w:rPr>
          <w:color w:val="2E614A"/>
          <w:spacing w:val="-11"/>
        </w:rPr>
        <w:t> </w:t>
      </w:r>
      <w:r>
        <w:rPr>
          <w:color w:val="2E614A"/>
          <w:spacing w:val="-4"/>
        </w:rPr>
        <w:t>in</w:t>
      </w:r>
      <w:r>
        <w:rPr>
          <w:color w:val="2E614A"/>
          <w:spacing w:val="-11"/>
        </w:rPr>
        <w:t> </w:t>
      </w:r>
      <w:r>
        <w:rPr>
          <w:color w:val="2E614A"/>
          <w:spacing w:val="-4"/>
        </w:rPr>
        <w:t>some </w:t>
      </w:r>
      <w:r>
        <w:rPr>
          <w:color w:val="2E614A"/>
          <w:w w:val="90"/>
        </w:rPr>
        <w:t>states. These separate systems must </w:t>
      </w:r>
      <w:r>
        <w:rPr>
          <w:color w:val="2E614A"/>
          <w:w w:val="90"/>
        </w:rPr>
        <w:t>be integrated to give all children access to </w:t>
      </w:r>
      <w:r>
        <w:rPr>
          <w:color w:val="2E614A"/>
          <w:spacing w:val="-8"/>
        </w:rPr>
        <w:t>schools</w:t>
      </w:r>
      <w:r>
        <w:rPr>
          <w:color w:val="2E614A"/>
          <w:spacing w:val="-9"/>
        </w:rPr>
        <w:t> </w:t>
      </w:r>
      <w:r>
        <w:rPr>
          <w:color w:val="2E614A"/>
          <w:spacing w:val="-8"/>
        </w:rPr>
        <w:t>of acceptable quality. This</w:t>
      </w:r>
      <w:r>
        <w:rPr>
          <w:color w:val="2E614A"/>
          <w:spacing w:val="-9"/>
        </w:rPr>
        <w:t> </w:t>
      </w:r>
      <w:r>
        <w:rPr>
          <w:color w:val="2E614A"/>
          <w:spacing w:val="-8"/>
        </w:rPr>
        <w:t>will </w:t>
      </w:r>
      <w:r>
        <w:rPr>
          <w:color w:val="2E614A"/>
          <w:spacing w:val="-2"/>
        </w:rPr>
        <w:t>require</w:t>
      </w:r>
      <w:r>
        <w:rPr>
          <w:color w:val="2E614A"/>
          <w:spacing w:val="-15"/>
        </w:rPr>
        <w:t> </w:t>
      </w:r>
      <w:r>
        <w:rPr>
          <w:color w:val="2E614A"/>
          <w:spacing w:val="-2"/>
        </w:rPr>
        <w:t>additional</w:t>
      </w:r>
      <w:r>
        <w:rPr>
          <w:color w:val="2E614A"/>
          <w:spacing w:val="-14"/>
        </w:rPr>
        <w:t> </w:t>
      </w:r>
      <w:r>
        <w:rPr>
          <w:color w:val="2E614A"/>
          <w:spacing w:val="-2"/>
        </w:rPr>
        <w:t>spending.</w:t>
      </w:r>
    </w:p>
    <w:p>
      <w:pPr>
        <w:pStyle w:val="BodyText"/>
        <w:spacing w:line="266" w:lineRule="auto" w:before="295"/>
        <w:ind w:left="319" w:right="1077"/>
        <w:jc w:val="both"/>
      </w:pPr>
      <w:r>
        <w:rPr/>
        <w:t>In a number of states, funds under various schemes (SSA,</w:t>
      </w:r>
      <w:r>
        <w:rPr>
          <w:spacing w:val="-1"/>
        </w:rPr>
        <w:t> </w:t>
      </w:r>
      <w:r>
        <w:rPr/>
        <w:t>EGS</w:t>
      </w:r>
      <w:r>
        <w:rPr>
          <w:spacing w:val="-1"/>
        </w:rPr>
        <w:t> </w:t>
      </w:r>
      <w:r>
        <w:rPr/>
        <w:t>and</w:t>
      </w:r>
      <w:r>
        <w:rPr>
          <w:spacing w:val="-1"/>
        </w:rPr>
        <w:t> </w:t>
      </w:r>
      <w:r>
        <w:rPr/>
        <w:t>AIE)</w:t>
      </w:r>
      <w:r>
        <w:rPr>
          <w:spacing w:val="-1"/>
        </w:rPr>
        <w:t> </w:t>
      </w:r>
      <w:r>
        <w:rPr/>
        <w:t>were</w:t>
      </w:r>
      <w:r>
        <w:rPr>
          <w:spacing w:val="-1"/>
        </w:rPr>
        <w:t> </w:t>
      </w:r>
      <w:r>
        <w:rPr/>
        <w:t>used</w:t>
      </w:r>
      <w:r>
        <w:rPr>
          <w:spacing w:val="-1"/>
        </w:rPr>
        <w:t> </w:t>
      </w:r>
      <w:r>
        <w:rPr/>
        <w:t>to</w:t>
      </w:r>
      <w:r>
        <w:rPr>
          <w:spacing w:val="-1"/>
        </w:rPr>
        <w:t> </w:t>
      </w:r>
      <w:r>
        <w:rPr/>
        <w:t>create</w:t>
      </w:r>
      <w:r>
        <w:rPr>
          <w:spacing w:val="-1"/>
        </w:rPr>
        <w:t> </w:t>
      </w:r>
      <w:r>
        <w:rPr/>
        <w:t>“Education </w:t>
      </w:r>
      <w:r>
        <w:rPr>
          <w:spacing w:val="-4"/>
        </w:rPr>
        <w:t>Centres” (Shiksha Kendras) rather than proper schools. </w:t>
      </w:r>
      <w:r>
        <w:rPr>
          <w:w w:val="90"/>
        </w:rPr>
        <w:t>These</w:t>
      </w:r>
      <w:r>
        <w:rPr>
          <w:spacing w:val="-9"/>
          <w:w w:val="90"/>
        </w:rPr>
        <w:t> </w:t>
      </w:r>
      <w:r>
        <w:rPr>
          <w:w w:val="90"/>
        </w:rPr>
        <w:t>typically</w:t>
      </w:r>
      <w:r>
        <w:rPr>
          <w:spacing w:val="-8"/>
          <w:w w:val="90"/>
        </w:rPr>
        <w:t> </w:t>
      </w:r>
      <w:r>
        <w:rPr>
          <w:w w:val="90"/>
        </w:rPr>
        <w:t>involve</w:t>
      </w:r>
      <w:r>
        <w:rPr>
          <w:spacing w:val="-8"/>
          <w:w w:val="90"/>
        </w:rPr>
        <w:t> </w:t>
      </w:r>
      <w:r>
        <w:rPr>
          <w:w w:val="90"/>
        </w:rPr>
        <w:t>“teachers”</w:t>
      </w:r>
      <w:r>
        <w:rPr>
          <w:spacing w:val="-8"/>
          <w:w w:val="90"/>
        </w:rPr>
        <w:t> </w:t>
      </w:r>
      <w:r>
        <w:rPr>
          <w:w w:val="90"/>
        </w:rPr>
        <w:t>who</w:t>
      </w:r>
      <w:r>
        <w:rPr>
          <w:spacing w:val="-9"/>
          <w:w w:val="90"/>
        </w:rPr>
        <w:t> </w:t>
      </w:r>
      <w:r>
        <w:rPr>
          <w:w w:val="90"/>
        </w:rPr>
        <w:t>are</w:t>
      </w:r>
      <w:r>
        <w:rPr>
          <w:spacing w:val="-8"/>
          <w:w w:val="90"/>
        </w:rPr>
        <w:t> </w:t>
      </w:r>
      <w:r>
        <w:rPr>
          <w:w w:val="90"/>
        </w:rPr>
        <w:t>essentially</w:t>
      </w:r>
      <w:r>
        <w:rPr>
          <w:spacing w:val="-8"/>
          <w:w w:val="90"/>
        </w:rPr>
        <w:t> </w:t>
      </w:r>
      <w:r>
        <w:rPr>
          <w:w w:val="90"/>
        </w:rPr>
        <w:t>local </w:t>
      </w:r>
      <w:r>
        <w:rPr>
          <w:spacing w:val="-8"/>
        </w:rPr>
        <w:t>women</w:t>
      </w:r>
      <w:r>
        <w:rPr>
          <w:spacing w:val="-6"/>
        </w:rPr>
        <w:t> </w:t>
      </w:r>
      <w:r>
        <w:rPr>
          <w:spacing w:val="-8"/>
        </w:rPr>
        <w:t>who</w:t>
      </w:r>
      <w:r>
        <w:rPr>
          <w:spacing w:val="-5"/>
        </w:rPr>
        <w:t> </w:t>
      </w:r>
      <w:r>
        <w:rPr>
          <w:spacing w:val="-8"/>
        </w:rPr>
        <w:t>have</w:t>
      </w:r>
      <w:r>
        <w:rPr>
          <w:spacing w:val="-5"/>
        </w:rPr>
        <w:t> </w:t>
      </w:r>
      <w:r>
        <w:rPr>
          <w:spacing w:val="-8"/>
        </w:rPr>
        <w:t>just</w:t>
      </w:r>
      <w:r>
        <w:rPr>
          <w:spacing w:val="-5"/>
        </w:rPr>
        <w:t> </w:t>
      </w:r>
      <w:r>
        <w:rPr>
          <w:spacing w:val="-8"/>
        </w:rPr>
        <w:t>passed</w:t>
      </w:r>
      <w:r>
        <w:rPr>
          <w:spacing w:val="-5"/>
        </w:rPr>
        <w:t> </w:t>
      </w:r>
      <w:r>
        <w:rPr>
          <w:spacing w:val="-8"/>
        </w:rPr>
        <w:t>Class</w:t>
      </w:r>
      <w:r>
        <w:rPr>
          <w:spacing w:val="-6"/>
        </w:rPr>
        <w:t> </w:t>
      </w:r>
      <w:r>
        <w:rPr>
          <w:spacing w:val="-8"/>
        </w:rPr>
        <w:t>VIII</w:t>
      </w:r>
      <w:r>
        <w:rPr>
          <w:spacing w:val="-4"/>
        </w:rPr>
        <w:t> </w:t>
      </w:r>
      <w:r>
        <w:rPr>
          <w:spacing w:val="-8"/>
        </w:rPr>
        <w:t>(or</w:t>
      </w:r>
      <w:r>
        <w:rPr>
          <w:spacing w:val="-5"/>
        </w:rPr>
        <w:t> </w:t>
      </w:r>
      <w:r>
        <w:rPr>
          <w:spacing w:val="-8"/>
        </w:rPr>
        <w:t>even</w:t>
      </w:r>
      <w:r>
        <w:rPr>
          <w:spacing w:val="-5"/>
        </w:rPr>
        <w:t> </w:t>
      </w:r>
      <w:r>
        <w:rPr>
          <w:spacing w:val="-8"/>
        </w:rPr>
        <w:t>Class</w:t>
      </w:r>
      <w:r>
        <w:rPr>
          <w:spacing w:val="-6"/>
        </w:rPr>
        <w:t> </w:t>
      </w:r>
      <w:r>
        <w:rPr>
          <w:spacing w:val="-8"/>
        </w:rPr>
        <w:t>V in</w:t>
      </w:r>
      <w:r>
        <w:rPr>
          <w:spacing w:val="-6"/>
        </w:rPr>
        <w:t> </w:t>
      </w:r>
      <w:r>
        <w:rPr>
          <w:spacing w:val="-8"/>
        </w:rPr>
        <w:t>some</w:t>
      </w:r>
      <w:r>
        <w:rPr>
          <w:spacing w:val="-6"/>
        </w:rPr>
        <w:t> </w:t>
      </w:r>
      <w:r>
        <w:rPr>
          <w:spacing w:val="-8"/>
        </w:rPr>
        <w:t>cases)</w:t>
      </w:r>
      <w:r>
        <w:rPr>
          <w:spacing w:val="-6"/>
        </w:rPr>
        <w:t> </w:t>
      </w:r>
      <w:r>
        <w:rPr>
          <w:spacing w:val="-8"/>
        </w:rPr>
        <w:t>and</w:t>
      </w:r>
      <w:r>
        <w:rPr>
          <w:spacing w:val="-5"/>
        </w:rPr>
        <w:t> </w:t>
      </w:r>
      <w:r>
        <w:rPr>
          <w:spacing w:val="-8"/>
        </w:rPr>
        <w:t>are</w:t>
      </w:r>
      <w:r>
        <w:rPr>
          <w:spacing w:val="-6"/>
        </w:rPr>
        <w:t> </w:t>
      </w:r>
      <w:r>
        <w:rPr>
          <w:spacing w:val="-8"/>
        </w:rPr>
        <w:t>paid</w:t>
      </w:r>
      <w:r>
        <w:rPr>
          <w:spacing w:val="-6"/>
        </w:rPr>
        <w:t> </w:t>
      </w:r>
      <w:r>
        <w:rPr>
          <w:spacing w:val="-8"/>
        </w:rPr>
        <w:t>between</w:t>
      </w:r>
      <w:r>
        <w:rPr>
          <w:spacing w:val="-6"/>
        </w:rPr>
        <w:t> </w:t>
      </w:r>
      <w:r>
        <w:rPr>
          <w:spacing w:val="-8"/>
        </w:rPr>
        <w:t>Rs.</w:t>
      </w:r>
      <w:r>
        <w:rPr>
          <w:spacing w:val="-5"/>
        </w:rPr>
        <w:t> </w:t>
      </w:r>
      <w:r>
        <w:rPr>
          <w:spacing w:val="-8"/>
        </w:rPr>
        <w:t>1000</w:t>
      </w:r>
      <w:r>
        <w:rPr>
          <w:spacing w:val="-6"/>
        </w:rPr>
        <w:t> </w:t>
      </w:r>
      <w:r>
        <w:rPr>
          <w:spacing w:val="-8"/>
        </w:rPr>
        <w:t>to</w:t>
      </w:r>
      <w:r>
        <w:rPr>
          <w:spacing w:val="-6"/>
        </w:rPr>
        <w:t> </w:t>
      </w:r>
      <w:r>
        <w:rPr>
          <w:spacing w:val="-8"/>
        </w:rPr>
        <w:t>Rs.</w:t>
      </w:r>
      <w:r>
        <w:rPr>
          <w:spacing w:val="-6"/>
        </w:rPr>
        <w:t> </w:t>
      </w:r>
      <w:r>
        <w:rPr>
          <w:spacing w:val="-8"/>
        </w:rPr>
        <w:t>3000 </w:t>
      </w:r>
      <w:r>
        <w:rPr>
          <w:spacing w:val="-2"/>
        </w:rPr>
        <w:t>per</w:t>
      </w:r>
      <w:r>
        <w:rPr>
          <w:spacing w:val="-12"/>
        </w:rPr>
        <w:t> </w:t>
      </w:r>
      <w:r>
        <w:rPr>
          <w:spacing w:val="-2"/>
        </w:rPr>
        <w:t>month</w:t>
      </w:r>
      <w:r>
        <w:rPr>
          <w:spacing w:val="-12"/>
        </w:rPr>
        <w:t> </w:t>
      </w:r>
      <w:r>
        <w:rPr>
          <w:spacing w:val="-2"/>
        </w:rPr>
        <w:t>in</w:t>
      </w:r>
      <w:r>
        <w:rPr>
          <w:spacing w:val="-12"/>
        </w:rPr>
        <w:t> </w:t>
      </w:r>
      <w:r>
        <w:rPr>
          <w:spacing w:val="-2"/>
        </w:rPr>
        <w:t>the</w:t>
      </w:r>
      <w:r>
        <w:rPr>
          <w:spacing w:val="-11"/>
        </w:rPr>
        <w:t> </w:t>
      </w:r>
      <w:r>
        <w:rPr>
          <w:spacing w:val="-2"/>
        </w:rPr>
        <w:t>different</w:t>
      </w:r>
      <w:r>
        <w:rPr>
          <w:spacing w:val="-12"/>
        </w:rPr>
        <w:t> </w:t>
      </w:r>
      <w:r>
        <w:rPr>
          <w:spacing w:val="-2"/>
        </w:rPr>
        <w:t>states.</w:t>
      </w:r>
      <w:r>
        <w:rPr>
          <w:spacing w:val="-12"/>
        </w:rPr>
        <w:t> </w:t>
      </w:r>
      <w:r>
        <w:rPr>
          <w:spacing w:val="-2"/>
        </w:rPr>
        <w:t>They</w:t>
      </w:r>
      <w:r>
        <w:rPr>
          <w:spacing w:val="-12"/>
        </w:rPr>
        <w:t> </w:t>
      </w:r>
      <w:r>
        <w:rPr>
          <w:spacing w:val="-2"/>
        </w:rPr>
        <w:t>typically</w:t>
      </w:r>
      <w:r>
        <w:rPr>
          <w:spacing w:val="-11"/>
        </w:rPr>
        <w:t> </w:t>
      </w:r>
      <w:r>
        <w:rPr>
          <w:spacing w:val="-2"/>
        </w:rPr>
        <w:t>receive </w:t>
      </w:r>
      <w:r>
        <w:rPr>
          <w:spacing w:val="-4"/>
        </w:rPr>
        <w:t>no</w:t>
      </w:r>
      <w:r>
        <w:rPr>
          <w:spacing w:val="-10"/>
        </w:rPr>
        <w:t> </w:t>
      </w:r>
      <w:r>
        <w:rPr>
          <w:spacing w:val="-4"/>
        </w:rPr>
        <w:t>training</w:t>
      </w:r>
      <w:r>
        <w:rPr>
          <w:spacing w:val="-10"/>
        </w:rPr>
        <w:t> </w:t>
      </w:r>
      <w:r>
        <w:rPr>
          <w:spacing w:val="-4"/>
        </w:rPr>
        <w:t>or</w:t>
      </w:r>
      <w:r>
        <w:rPr>
          <w:spacing w:val="-10"/>
        </w:rPr>
        <w:t> </w:t>
      </w:r>
      <w:r>
        <w:rPr>
          <w:spacing w:val="-4"/>
        </w:rPr>
        <w:t>a</w:t>
      </w:r>
      <w:r>
        <w:rPr>
          <w:spacing w:val="-9"/>
        </w:rPr>
        <w:t> </w:t>
      </w:r>
      <w:r>
        <w:rPr>
          <w:spacing w:val="-4"/>
        </w:rPr>
        <w:t>two-week</w:t>
      </w:r>
      <w:r>
        <w:rPr>
          <w:spacing w:val="-10"/>
        </w:rPr>
        <w:t> </w:t>
      </w:r>
      <w:r>
        <w:rPr>
          <w:spacing w:val="-4"/>
        </w:rPr>
        <w:t>training</w:t>
      </w:r>
      <w:r>
        <w:rPr>
          <w:spacing w:val="-10"/>
        </w:rPr>
        <w:t> </w:t>
      </w:r>
      <w:r>
        <w:rPr>
          <w:spacing w:val="-4"/>
        </w:rPr>
        <w:t>at</w:t>
      </w:r>
      <w:r>
        <w:rPr>
          <w:spacing w:val="-10"/>
        </w:rPr>
        <w:t> </w:t>
      </w:r>
      <w:r>
        <w:rPr>
          <w:spacing w:val="-4"/>
        </w:rPr>
        <w:t>best,</w:t>
      </w:r>
      <w:r>
        <w:rPr>
          <w:spacing w:val="-9"/>
        </w:rPr>
        <w:t> </w:t>
      </w:r>
      <w:r>
        <w:rPr>
          <w:spacing w:val="-4"/>
        </w:rPr>
        <w:t>and</w:t>
      </w:r>
      <w:r>
        <w:rPr>
          <w:spacing w:val="-10"/>
        </w:rPr>
        <w:t> </w:t>
      </w:r>
      <w:r>
        <w:rPr>
          <w:spacing w:val="-4"/>
        </w:rPr>
        <w:t>may</w:t>
      </w:r>
      <w:r>
        <w:rPr>
          <w:spacing w:val="-10"/>
        </w:rPr>
        <w:t> </w:t>
      </w:r>
      <w:r>
        <w:rPr>
          <w:spacing w:val="-4"/>
        </w:rPr>
        <w:t>have </w:t>
      </w:r>
      <w:r>
        <w:rPr>
          <w:spacing w:val="-2"/>
        </w:rPr>
        <w:t>to</w:t>
      </w:r>
      <w:r>
        <w:rPr>
          <w:spacing w:val="-7"/>
        </w:rPr>
        <w:t> </w:t>
      </w:r>
      <w:r>
        <w:rPr>
          <w:spacing w:val="-2"/>
        </w:rPr>
        <w:t>teach</w:t>
      </w:r>
      <w:r>
        <w:rPr>
          <w:spacing w:val="-6"/>
        </w:rPr>
        <w:t> </w:t>
      </w:r>
      <w:r>
        <w:rPr>
          <w:spacing w:val="-2"/>
        </w:rPr>
        <w:t>multi-grade</w:t>
      </w:r>
      <w:r>
        <w:rPr>
          <w:spacing w:val="-6"/>
        </w:rPr>
        <w:t> </w:t>
      </w:r>
      <w:r>
        <w:rPr>
          <w:spacing w:val="-2"/>
        </w:rPr>
        <w:t>classes</w:t>
      </w:r>
      <w:r>
        <w:rPr>
          <w:spacing w:val="-6"/>
        </w:rPr>
        <w:t> </w:t>
      </w:r>
      <w:r>
        <w:rPr>
          <w:spacing w:val="-2"/>
        </w:rPr>
        <w:t>often</w:t>
      </w:r>
      <w:r>
        <w:rPr>
          <w:spacing w:val="-6"/>
        </w:rPr>
        <w:t> </w:t>
      </w:r>
      <w:r>
        <w:rPr>
          <w:spacing w:val="-2"/>
        </w:rPr>
        <w:t>in</w:t>
      </w:r>
      <w:r>
        <w:rPr>
          <w:spacing w:val="-6"/>
        </w:rPr>
        <w:t> </w:t>
      </w:r>
      <w:r>
        <w:rPr>
          <w:spacing w:val="-2"/>
        </w:rPr>
        <w:t>single</w:t>
      </w:r>
      <w:r>
        <w:rPr>
          <w:spacing w:val="-6"/>
        </w:rPr>
        <w:t> </w:t>
      </w:r>
      <w:r>
        <w:rPr>
          <w:spacing w:val="-2"/>
        </w:rPr>
        <w:t>rooms.</w:t>
      </w:r>
      <w:r>
        <w:rPr>
          <w:spacing w:val="-12"/>
        </w:rPr>
        <w:t> </w:t>
      </w:r>
      <w:r>
        <w:rPr>
          <w:spacing w:val="-2"/>
        </w:rPr>
        <w:t>The </w:t>
      </w:r>
      <w:r>
        <w:rPr>
          <w:spacing w:val="-6"/>
        </w:rPr>
        <w:t>proportion of children in such schools varies widely, but </w:t>
      </w:r>
      <w:r>
        <w:rPr/>
        <w:t>the</w:t>
      </w:r>
      <w:r>
        <w:rPr>
          <w:spacing w:val="-10"/>
        </w:rPr>
        <w:t> </w:t>
      </w:r>
      <w:r>
        <w:rPr/>
        <w:t>all</w:t>
      </w:r>
      <w:r>
        <w:rPr>
          <w:spacing w:val="-10"/>
        </w:rPr>
        <w:t> </w:t>
      </w:r>
      <w:r>
        <w:rPr/>
        <w:t>India</w:t>
      </w:r>
      <w:r>
        <w:rPr>
          <w:spacing w:val="-10"/>
        </w:rPr>
        <w:t> </w:t>
      </w:r>
      <w:r>
        <w:rPr/>
        <w:t>average</w:t>
      </w:r>
      <w:r>
        <w:rPr>
          <w:spacing w:val="-10"/>
        </w:rPr>
        <w:t> </w:t>
      </w:r>
      <w:r>
        <w:rPr/>
        <w:t>amounts</w:t>
      </w:r>
      <w:r>
        <w:rPr>
          <w:spacing w:val="-10"/>
        </w:rPr>
        <w:t> </w:t>
      </w:r>
      <w:r>
        <w:rPr/>
        <w:t>to</w:t>
      </w:r>
      <w:r>
        <w:rPr>
          <w:spacing w:val="-10"/>
        </w:rPr>
        <w:t> </w:t>
      </w:r>
      <w:r>
        <w:rPr/>
        <w:t>around</w:t>
      </w:r>
      <w:r>
        <w:rPr>
          <w:spacing w:val="-10"/>
        </w:rPr>
        <w:t> </w:t>
      </w:r>
      <w:r>
        <w:rPr/>
        <w:t>16</w:t>
      </w:r>
      <w:r>
        <w:rPr>
          <w:spacing w:val="-10"/>
        </w:rPr>
        <w:t> </w:t>
      </w:r>
      <w:r>
        <w:rPr/>
        <w:t>per</w:t>
      </w:r>
      <w:r>
        <w:rPr>
          <w:spacing w:val="-10"/>
        </w:rPr>
        <w:t> </w:t>
      </w:r>
      <w:r>
        <w:rPr/>
        <w:t>cent</w:t>
      </w:r>
      <w:r>
        <w:rPr>
          <w:spacing w:val="-10"/>
        </w:rPr>
        <w:t> </w:t>
      </w:r>
      <w:r>
        <w:rPr/>
        <w:t>of total</w:t>
      </w:r>
      <w:r>
        <w:rPr>
          <w:spacing w:val="-14"/>
        </w:rPr>
        <w:t> </w:t>
      </w:r>
      <w:r>
        <w:rPr/>
        <w:t>enrolment</w:t>
      </w:r>
      <w:r>
        <w:rPr>
          <w:spacing w:val="-14"/>
        </w:rPr>
        <w:t> </w:t>
      </w:r>
      <w:r>
        <w:rPr/>
        <w:t>in</w:t>
      </w:r>
      <w:r>
        <w:rPr>
          <w:spacing w:val="-13"/>
        </w:rPr>
        <w:t> </w:t>
      </w:r>
      <w:r>
        <w:rPr/>
        <w:t>primary</w:t>
      </w:r>
      <w:r>
        <w:rPr>
          <w:spacing w:val="-14"/>
        </w:rPr>
        <w:t> </w:t>
      </w:r>
      <w:r>
        <w:rPr/>
        <w:t>education,</w:t>
      </w:r>
      <w:r>
        <w:rPr>
          <w:spacing w:val="-14"/>
        </w:rPr>
        <w:t> </w:t>
      </w:r>
      <w:r>
        <w:rPr/>
        <w:t>according</w:t>
      </w:r>
      <w:r>
        <w:rPr>
          <w:spacing w:val="-13"/>
        </w:rPr>
        <w:t> </w:t>
      </w:r>
      <w:r>
        <w:rPr/>
        <w:t>to</w:t>
      </w:r>
      <w:r>
        <w:rPr>
          <w:spacing w:val="-14"/>
        </w:rPr>
        <w:t> </w:t>
      </w:r>
      <w:r>
        <w:rPr/>
        <w:t>the </w:t>
      </w:r>
      <w:r>
        <w:rPr>
          <w:spacing w:val="-6"/>
        </w:rPr>
        <w:t>Planning</w:t>
      </w:r>
      <w:r>
        <w:rPr>
          <w:spacing w:val="-8"/>
        </w:rPr>
        <w:t> </w:t>
      </w:r>
      <w:r>
        <w:rPr>
          <w:spacing w:val="-6"/>
        </w:rPr>
        <w:t>Commission.</w:t>
      </w:r>
      <w:r>
        <w:rPr>
          <w:spacing w:val="-8"/>
        </w:rPr>
        <w:t> </w:t>
      </w:r>
      <w:r>
        <w:rPr>
          <w:spacing w:val="-6"/>
        </w:rPr>
        <w:t>All</w:t>
      </w:r>
      <w:r>
        <w:rPr>
          <w:spacing w:val="-8"/>
        </w:rPr>
        <w:t> </w:t>
      </w:r>
      <w:r>
        <w:rPr>
          <w:spacing w:val="-6"/>
        </w:rPr>
        <w:t>such</w:t>
      </w:r>
      <w:r>
        <w:rPr>
          <w:spacing w:val="-7"/>
        </w:rPr>
        <w:t> </w:t>
      </w:r>
      <w:r>
        <w:rPr>
          <w:spacing w:val="-6"/>
        </w:rPr>
        <w:t>children</w:t>
      </w:r>
      <w:r>
        <w:rPr>
          <w:spacing w:val="-8"/>
        </w:rPr>
        <w:t> </w:t>
      </w:r>
      <w:r>
        <w:rPr>
          <w:spacing w:val="-6"/>
        </w:rPr>
        <w:t>are</w:t>
      </w:r>
      <w:r>
        <w:rPr>
          <w:spacing w:val="-8"/>
        </w:rPr>
        <w:t> </w:t>
      </w:r>
      <w:r>
        <w:rPr>
          <w:spacing w:val="-6"/>
        </w:rPr>
        <w:t>described</w:t>
      </w:r>
      <w:r>
        <w:rPr>
          <w:spacing w:val="-8"/>
        </w:rPr>
        <w:t> </w:t>
      </w:r>
      <w:r>
        <w:rPr>
          <w:spacing w:val="-6"/>
        </w:rPr>
        <w:t>in </w:t>
      </w:r>
      <w:r>
        <w:rPr>
          <w:spacing w:val="-4"/>
        </w:rPr>
        <w:t>the</w:t>
      </w:r>
      <w:r>
        <w:rPr>
          <w:spacing w:val="-7"/>
        </w:rPr>
        <w:t> </w:t>
      </w:r>
      <w:r>
        <w:rPr>
          <w:spacing w:val="-4"/>
        </w:rPr>
        <w:t>official</w:t>
      </w:r>
      <w:r>
        <w:rPr>
          <w:spacing w:val="-7"/>
        </w:rPr>
        <w:t> </w:t>
      </w:r>
      <w:r>
        <w:rPr>
          <w:spacing w:val="-4"/>
        </w:rPr>
        <w:t>statistics</w:t>
      </w:r>
      <w:r>
        <w:rPr>
          <w:spacing w:val="-7"/>
        </w:rPr>
        <w:t> </w:t>
      </w:r>
      <w:r>
        <w:rPr>
          <w:spacing w:val="-4"/>
        </w:rPr>
        <w:t>as</w:t>
      </w:r>
      <w:r>
        <w:rPr>
          <w:spacing w:val="-7"/>
        </w:rPr>
        <w:t> </w:t>
      </w:r>
      <w:r>
        <w:rPr>
          <w:spacing w:val="-4"/>
        </w:rPr>
        <w:t>enrolled</w:t>
      </w:r>
      <w:r>
        <w:rPr>
          <w:spacing w:val="-7"/>
        </w:rPr>
        <w:t> </w:t>
      </w:r>
      <w:r>
        <w:rPr>
          <w:spacing w:val="-4"/>
        </w:rPr>
        <w:t>in</w:t>
      </w:r>
      <w:r>
        <w:rPr>
          <w:spacing w:val="-7"/>
        </w:rPr>
        <w:t> </w:t>
      </w:r>
      <w:r>
        <w:rPr>
          <w:spacing w:val="-4"/>
        </w:rPr>
        <w:t>schools,</w:t>
      </w:r>
      <w:r>
        <w:rPr>
          <w:spacing w:val="-7"/>
        </w:rPr>
        <w:t> </w:t>
      </w:r>
      <w:r>
        <w:rPr>
          <w:spacing w:val="-4"/>
        </w:rPr>
        <w:t>even</w:t>
      </w:r>
      <w:r>
        <w:rPr>
          <w:spacing w:val="-7"/>
        </w:rPr>
        <w:t> </w:t>
      </w:r>
      <w:r>
        <w:rPr>
          <w:spacing w:val="-4"/>
        </w:rPr>
        <w:t>though </w:t>
      </w:r>
      <w:r>
        <w:rPr>
          <w:spacing w:val="-6"/>
        </w:rPr>
        <w:t>going</w:t>
      </w:r>
      <w:r>
        <w:rPr>
          <w:spacing w:val="-7"/>
        </w:rPr>
        <w:t> </w:t>
      </w:r>
      <w:r>
        <w:rPr>
          <w:spacing w:val="-6"/>
        </w:rPr>
        <w:t>to</w:t>
      </w:r>
      <w:r>
        <w:rPr>
          <w:spacing w:val="-7"/>
        </w:rPr>
        <w:t> </w:t>
      </w:r>
      <w:r>
        <w:rPr>
          <w:spacing w:val="-6"/>
        </w:rPr>
        <w:t>an</w:t>
      </w:r>
      <w:r>
        <w:rPr>
          <w:spacing w:val="-7"/>
        </w:rPr>
        <w:t> </w:t>
      </w:r>
      <w:r>
        <w:rPr>
          <w:spacing w:val="-6"/>
        </w:rPr>
        <w:t>Education</w:t>
      </w:r>
      <w:r>
        <w:rPr>
          <w:spacing w:val="-7"/>
        </w:rPr>
        <w:t> </w:t>
      </w:r>
      <w:r>
        <w:rPr>
          <w:spacing w:val="-6"/>
        </w:rPr>
        <w:t>Centre</w:t>
      </w:r>
      <w:r>
        <w:rPr>
          <w:spacing w:val="-7"/>
        </w:rPr>
        <w:t> </w:t>
      </w:r>
      <w:r>
        <w:rPr>
          <w:spacing w:val="-6"/>
        </w:rPr>
        <w:t>cannot</w:t>
      </w:r>
      <w:r>
        <w:rPr>
          <w:spacing w:val="-7"/>
        </w:rPr>
        <w:t> </w:t>
      </w:r>
      <w:r>
        <w:rPr>
          <w:spacing w:val="-6"/>
        </w:rPr>
        <w:t>be</w:t>
      </w:r>
      <w:r>
        <w:rPr>
          <w:spacing w:val="-7"/>
        </w:rPr>
        <w:t> </w:t>
      </w:r>
      <w:r>
        <w:rPr>
          <w:spacing w:val="-6"/>
        </w:rPr>
        <w:t>treated</w:t>
      </w:r>
      <w:r>
        <w:rPr>
          <w:spacing w:val="-7"/>
        </w:rPr>
        <w:t> </w:t>
      </w:r>
      <w:r>
        <w:rPr>
          <w:spacing w:val="-6"/>
        </w:rPr>
        <w:t>as</w:t>
      </w:r>
      <w:r>
        <w:rPr>
          <w:spacing w:val="-7"/>
        </w:rPr>
        <w:t> </w:t>
      </w:r>
      <w:r>
        <w:rPr>
          <w:spacing w:val="-6"/>
        </w:rPr>
        <w:t>school </w:t>
      </w:r>
      <w:r>
        <w:rPr/>
        <w:t>enrolment on par with the proper schools, and such </w:t>
      </w:r>
      <w:r>
        <w:rPr>
          <w:spacing w:val="-4"/>
        </w:rPr>
        <w:t>instructors do not meet the required norms for teachers. </w:t>
      </w:r>
      <w:r>
        <w:rPr>
          <w:spacing w:val="-2"/>
        </w:rPr>
        <w:t>Currently,</w:t>
      </w:r>
      <w:r>
        <w:rPr>
          <w:spacing w:val="-12"/>
        </w:rPr>
        <w:t> </w:t>
      </w:r>
      <w:r>
        <w:rPr>
          <w:spacing w:val="-2"/>
        </w:rPr>
        <w:t>State</w:t>
      </w:r>
      <w:r>
        <w:rPr>
          <w:spacing w:val="-12"/>
        </w:rPr>
        <w:t> </w:t>
      </w:r>
      <w:r>
        <w:rPr>
          <w:spacing w:val="-2"/>
        </w:rPr>
        <w:t>Governments</w:t>
      </w:r>
      <w:r>
        <w:rPr>
          <w:spacing w:val="-12"/>
        </w:rPr>
        <w:t> </w:t>
      </w:r>
      <w:r>
        <w:rPr>
          <w:spacing w:val="-2"/>
        </w:rPr>
        <w:t>allow</w:t>
      </w:r>
      <w:r>
        <w:rPr>
          <w:spacing w:val="-11"/>
        </w:rPr>
        <w:t> </w:t>
      </w:r>
      <w:r>
        <w:rPr>
          <w:spacing w:val="-2"/>
        </w:rPr>
        <w:t>these</w:t>
      </w:r>
      <w:r>
        <w:rPr>
          <w:spacing w:val="-12"/>
        </w:rPr>
        <w:t> </w:t>
      </w:r>
      <w:r>
        <w:rPr>
          <w:spacing w:val="-2"/>
        </w:rPr>
        <w:t>parallel</w:t>
      </w:r>
      <w:r>
        <w:rPr>
          <w:spacing w:val="-12"/>
        </w:rPr>
        <w:t> </w:t>
      </w:r>
      <w:r>
        <w:rPr>
          <w:spacing w:val="-2"/>
        </w:rPr>
        <w:t>(and deeply</w:t>
      </w:r>
      <w:r>
        <w:rPr>
          <w:spacing w:val="-11"/>
        </w:rPr>
        <w:t> </w:t>
      </w:r>
      <w:r>
        <w:rPr>
          <w:spacing w:val="-2"/>
        </w:rPr>
        <w:t>unequal)</w:t>
      </w:r>
      <w:r>
        <w:rPr>
          <w:spacing w:val="-11"/>
        </w:rPr>
        <w:t> </w:t>
      </w:r>
      <w:r>
        <w:rPr>
          <w:spacing w:val="-2"/>
        </w:rPr>
        <w:t>systems</w:t>
      </w:r>
      <w:r>
        <w:rPr>
          <w:spacing w:val="-11"/>
        </w:rPr>
        <w:t> </w:t>
      </w:r>
      <w:r>
        <w:rPr>
          <w:spacing w:val="-2"/>
        </w:rPr>
        <w:t>of</w:t>
      </w:r>
      <w:r>
        <w:rPr>
          <w:spacing w:val="-11"/>
        </w:rPr>
        <w:t> </w:t>
      </w:r>
      <w:r>
        <w:rPr>
          <w:spacing w:val="-2"/>
        </w:rPr>
        <w:t>schooling</w:t>
      </w:r>
      <w:r>
        <w:rPr>
          <w:spacing w:val="-11"/>
        </w:rPr>
        <w:t> </w:t>
      </w:r>
      <w:r>
        <w:rPr>
          <w:spacing w:val="-2"/>
        </w:rPr>
        <w:t>to</w:t>
      </w:r>
      <w:r>
        <w:rPr>
          <w:spacing w:val="-11"/>
        </w:rPr>
        <w:t> </w:t>
      </w:r>
      <w:r>
        <w:rPr>
          <w:spacing w:val="-2"/>
        </w:rPr>
        <w:t>continue</w:t>
      </w:r>
      <w:r>
        <w:rPr>
          <w:spacing w:val="-11"/>
        </w:rPr>
        <w:t> </w:t>
      </w:r>
      <w:r>
        <w:rPr>
          <w:spacing w:val="-2"/>
        </w:rPr>
        <w:t>to</w:t>
      </w:r>
      <w:r>
        <w:rPr>
          <w:spacing w:val="-11"/>
        </w:rPr>
        <w:t> </w:t>
      </w:r>
      <w:r>
        <w:rPr>
          <w:spacing w:val="-2"/>
        </w:rPr>
        <w:t>be run</w:t>
      </w:r>
      <w:r>
        <w:rPr>
          <w:spacing w:val="-8"/>
        </w:rPr>
        <w:t> </w:t>
      </w:r>
      <w:r>
        <w:rPr>
          <w:spacing w:val="-2"/>
        </w:rPr>
        <w:t>by</w:t>
      </w:r>
      <w:r>
        <w:rPr>
          <w:spacing w:val="-8"/>
        </w:rPr>
        <w:t> </w:t>
      </w:r>
      <w:r>
        <w:rPr>
          <w:spacing w:val="-2"/>
        </w:rPr>
        <w:t>different</w:t>
      </w:r>
      <w:r>
        <w:rPr>
          <w:spacing w:val="-8"/>
        </w:rPr>
        <w:t> </w:t>
      </w:r>
      <w:r>
        <w:rPr>
          <w:spacing w:val="-2"/>
        </w:rPr>
        <w:t>departments</w:t>
      </w:r>
      <w:r>
        <w:rPr>
          <w:spacing w:val="-8"/>
        </w:rPr>
        <w:t> </w:t>
      </w:r>
      <w:r>
        <w:rPr>
          <w:spacing w:val="-2"/>
        </w:rPr>
        <w:t>–</w:t>
      </w:r>
      <w:r>
        <w:rPr>
          <w:spacing w:val="-8"/>
        </w:rPr>
        <w:t> </w:t>
      </w:r>
      <w:r>
        <w:rPr>
          <w:spacing w:val="-2"/>
        </w:rPr>
        <w:t>“proper</w:t>
      </w:r>
      <w:r>
        <w:rPr>
          <w:spacing w:val="-8"/>
        </w:rPr>
        <w:t> </w:t>
      </w:r>
      <w:r>
        <w:rPr>
          <w:spacing w:val="-2"/>
        </w:rPr>
        <w:t>schools”</w:t>
      </w:r>
      <w:r>
        <w:rPr>
          <w:spacing w:val="-8"/>
        </w:rPr>
        <w:t> </w:t>
      </w:r>
      <w:r>
        <w:rPr>
          <w:spacing w:val="-2"/>
        </w:rPr>
        <w:t>by</w:t>
      </w:r>
      <w:r>
        <w:rPr>
          <w:spacing w:val="-8"/>
        </w:rPr>
        <w:t> </w:t>
      </w:r>
      <w:r>
        <w:rPr>
          <w:spacing w:val="-2"/>
        </w:rPr>
        <w:t>the </w:t>
      </w:r>
      <w:r>
        <w:rPr>
          <w:spacing w:val="-4"/>
        </w:rPr>
        <w:t>Education</w:t>
      </w:r>
      <w:r>
        <w:rPr>
          <w:spacing w:val="-6"/>
        </w:rPr>
        <w:t> </w:t>
      </w:r>
      <w:r>
        <w:rPr>
          <w:spacing w:val="-4"/>
        </w:rPr>
        <w:t>Department,</w:t>
      </w:r>
      <w:r>
        <w:rPr>
          <w:spacing w:val="-6"/>
        </w:rPr>
        <w:t> </w:t>
      </w:r>
      <w:r>
        <w:rPr>
          <w:spacing w:val="-4"/>
        </w:rPr>
        <w:t>and</w:t>
      </w:r>
      <w:r>
        <w:rPr>
          <w:spacing w:val="-6"/>
        </w:rPr>
        <w:t> </w:t>
      </w:r>
      <w:r>
        <w:rPr>
          <w:spacing w:val="-4"/>
        </w:rPr>
        <w:t>education</w:t>
      </w:r>
      <w:r>
        <w:rPr>
          <w:spacing w:val="-6"/>
        </w:rPr>
        <w:t> </w:t>
      </w:r>
      <w:r>
        <w:rPr>
          <w:spacing w:val="-4"/>
        </w:rPr>
        <w:t>centres</w:t>
      </w:r>
      <w:r>
        <w:rPr>
          <w:spacing w:val="-6"/>
        </w:rPr>
        <w:t> </w:t>
      </w:r>
      <w:r>
        <w:rPr>
          <w:spacing w:val="-4"/>
        </w:rPr>
        <w:t>under</w:t>
      </w:r>
      <w:r>
        <w:rPr>
          <w:spacing w:val="-6"/>
        </w:rPr>
        <w:t> </w:t>
      </w:r>
      <w:r>
        <w:rPr>
          <w:spacing w:val="-4"/>
        </w:rPr>
        <w:t>the panchayats</w:t>
      </w:r>
      <w:r>
        <w:rPr>
          <w:spacing w:val="-10"/>
        </w:rPr>
        <w:t> </w:t>
      </w:r>
      <w:r>
        <w:rPr>
          <w:spacing w:val="-4"/>
        </w:rPr>
        <w:t>and</w:t>
      </w:r>
      <w:r>
        <w:rPr>
          <w:spacing w:val="-10"/>
        </w:rPr>
        <w:t> </w:t>
      </w:r>
      <w:r>
        <w:rPr>
          <w:spacing w:val="-4"/>
        </w:rPr>
        <w:t>therefore</w:t>
      </w:r>
      <w:r>
        <w:rPr>
          <w:spacing w:val="-10"/>
        </w:rPr>
        <w:t> </w:t>
      </w:r>
      <w:r>
        <w:rPr>
          <w:spacing w:val="-4"/>
        </w:rPr>
        <w:t>by</w:t>
      </w:r>
      <w:r>
        <w:rPr>
          <w:spacing w:val="-9"/>
        </w:rPr>
        <w:t> </w:t>
      </w:r>
      <w:r>
        <w:rPr>
          <w:spacing w:val="-4"/>
        </w:rPr>
        <w:t>the</w:t>
      </w:r>
      <w:r>
        <w:rPr>
          <w:spacing w:val="-10"/>
        </w:rPr>
        <w:t> </w:t>
      </w:r>
      <w:r>
        <w:rPr>
          <w:spacing w:val="-4"/>
        </w:rPr>
        <w:t>Panchayat</w:t>
      </w:r>
      <w:r>
        <w:rPr>
          <w:spacing w:val="-10"/>
        </w:rPr>
        <w:t> </w:t>
      </w:r>
      <w:r>
        <w:rPr>
          <w:spacing w:val="-4"/>
        </w:rPr>
        <w:t>Department.</w:t>
      </w:r>
    </w:p>
    <w:p>
      <w:pPr>
        <w:pStyle w:val="BodyText"/>
        <w:spacing w:before="9"/>
      </w:pPr>
    </w:p>
    <w:p>
      <w:pPr>
        <w:pStyle w:val="BodyText"/>
        <w:spacing w:line="266" w:lineRule="auto"/>
        <w:ind w:left="319" w:right="1077"/>
        <w:jc w:val="both"/>
      </w:pPr>
      <w:r>
        <w:rPr/>
        <w:t>The</w:t>
      </w:r>
      <w:r>
        <w:rPr>
          <w:spacing w:val="-6"/>
        </w:rPr>
        <w:t> </w:t>
      </w:r>
      <w:r>
        <w:rPr/>
        <w:t>need</w:t>
      </w:r>
      <w:r>
        <w:rPr>
          <w:spacing w:val="-6"/>
        </w:rPr>
        <w:t> </w:t>
      </w:r>
      <w:r>
        <w:rPr/>
        <w:t>to</w:t>
      </w:r>
      <w:r>
        <w:rPr>
          <w:spacing w:val="-6"/>
        </w:rPr>
        <w:t> </w:t>
      </w:r>
      <w:r>
        <w:rPr/>
        <w:t>integrate</w:t>
      </w:r>
      <w:r>
        <w:rPr>
          <w:spacing w:val="-6"/>
        </w:rPr>
        <w:t> </w:t>
      </w:r>
      <w:r>
        <w:rPr/>
        <w:t>these</w:t>
      </w:r>
      <w:r>
        <w:rPr>
          <w:spacing w:val="-6"/>
        </w:rPr>
        <w:t> </w:t>
      </w:r>
      <w:r>
        <w:rPr/>
        <w:t>two</w:t>
      </w:r>
      <w:r>
        <w:rPr>
          <w:spacing w:val="-6"/>
        </w:rPr>
        <w:t> </w:t>
      </w:r>
      <w:r>
        <w:rPr/>
        <w:t>parallel</w:t>
      </w:r>
      <w:r>
        <w:rPr>
          <w:spacing w:val="-6"/>
        </w:rPr>
        <w:t> </w:t>
      </w:r>
      <w:r>
        <w:rPr/>
        <w:t>systems</w:t>
      </w:r>
      <w:r>
        <w:rPr>
          <w:spacing w:val="-6"/>
        </w:rPr>
        <w:t> </w:t>
      </w:r>
      <w:r>
        <w:rPr/>
        <w:t>must </w:t>
      </w:r>
      <w:r>
        <w:rPr>
          <w:spacing w:val="-6"/>
        </w:rPr>
        <w:t>be explicitly recognised.</w:t>
      </w:r>
      <w:r>
        <w:rPr>
          <w:spacing w:val="-8"/>
        </w:rPr>
        <w:t> </w:t>
      </w:r>
      <w:r>
        <w:rPr>
          <w:spacing w:val="-6"/>
        </w:rPr>
        <w:t>This requires special budgetary </w:t>
      </w:r>
      <w:r>
        <w:rPr/>
        <w:t>allocations for upgradation and quality improvement of</w:t>
      </w:r>
      <w:r>
        <w:rPr>
          <w:spacing w:val="-14"/>
        </w:rPr>
        <w:t> </w:t>
      </w:r>
      <w:r>
        <w:rPr/>
        <w:t>the</w:t>
      </w:r>
      <w:r>
        <w:rPr>
          <w:spacing w:val="-14"/>
        </w:rPr>
        <w:t> </w:t>
      </w:r>
      <w:r>
        <w:rPr/>
        <w:t>Education</w:t>
      </w:r>
      <w:r>
        <w:rPr>
          <w:spacing w:val="-14"/>
        </w:rPr>
        <w:t> </w:t>
      </w:r>
      <w:r>
        <w:rPr/>
        <w:t>Centres</w:t>
      </w:r>
      <w:r>
        <w:rPr>
          <w:spacing w:val="-13"/>
        </w:rPr>
        <w:t> </w:t>
      </w:r>
      <w:r>
        <w:rPr/>
        <w:t>through</w:t>
      </w:r>
      <w:r>
        <w:rPr>
          <w:spacing w:val="-14"/>
        </w:rPr>
        <w:t> </w:t>
      </w:r>
      <w:r>
        <w:rPr/>
        <w:t>better</w:t>
      </w:r>
      <w:r>
        <w:rPr>
          <w:spacing w:val="-14"/>
        </w:rPr>
        <w:t> </w:t>
      </w:r>
      <w:r>
        <w:rPr/>
        <w:t>infrastructure, as well as intensive training of existing teachers and </w:t>
      </w:r>
      <w:r>
        <w:rPr>
          <w:spacing w:val="-6"/>
        </w:rPr>
        <w:t>additional</w:t>
      </w:r>
      <w:r>
        <w:rPr>
          <w:spacing w:val="-8"/>
        </w:rPr>
        <w:t> </w:t>
      </w:r>
      <w:r>
        <w:rPr>
          <w:spacing w:val="-6"/>
        </w:rPr>
        <w:t>employment</w:t>
      </w:r>
      <w:r>
        <w:rPr>
          <w:spacing w:val="-8"/>
        </w:rPr>
        <w:t> </w:t>
      </w:r>
      <w:r>
        <w:rPr>
          <w:spacing w:val="-6"/>
        </w:rPr>
        <w:t>of</w:t>
      </w:r>
      <w:r>
        <w:rPr>
          <w:spacing w:val="-8"/>
        </w:rPr>
        <w:t> </w:t>
      </w:r>
      <w:r>
        <w:rPr>
          <w:spacing w:val="-6"/>
        </w:rPr>
        <w:t>adequate</w:t>
      </w:r>
      <w:r>
        <w:rPr>
          <w:spacing w:val="-7"/>
        </w:rPr>
        <w:t> </w:t>
      </w:r>
      <w:r>
        <w:rPr>
          <w:spacing w:val="-6"/>
        </w:rPr>
        <w:t>numbers</w:t>
      </w:r>
      <w:r>
        <w:rPr>
          <w:spacing w:val="-8"/>
        </w:rPr>
        <w:t> </w:t>
      </w:r>
      <w:r>
        <w:rPr>
          <w:spacing w:val="-6"/>
        </w:rPr>
        <w:t>of</w:t>
      </w:r>
      <w:r>
        <w:rPr>
          <w:spacing w:val="-8"/>
        </w:rPr>
        <w:t> </w:t>
      </w:r>
      <w:r>
        <w:rPr>
          <w:spacing w:val="-6"/>
        </w:rPr>
        <w:t>qualified </w:t>
      </w:r>
      <w:r>
        <w:rPr>
          <w:spacing w:val="-2"/>
        </w:rPr>
        <w:t>teachers</w:t>
      </w:r>
      <w:r>
        <w:rPr>
          <w:spacing w:val="-14"/>
        </w:rPr>
        <w:t> </w:t>
      </w:r>
      <w:r>
        <w:rPr>
          <w:spacing w:val="-2"/>
        </w:rPr>
        <w:t>–</w:t>
      </w:r>
      <w:r>
        <w:rPr>
          <w:spacing w:val="-12"/>
        </w:rPr>
        <w:t> </w:t>
      </w:r>
      <w:r>
        <w:rPr>
          <w:spacing w:val="-2"/>
        </w:rPr>
        <w:t>all</w:t>
      </w:r>
      <w:r>
        <w:rPr>
          <w:spacing w:val="-12"/>
        </w:rPr>
        <w:t> </w:t>
      </w:r>
      <w:r>
        <w:rPr>
          <w:spacing w:val="-2"/>
        </w:rPr>
        <w:t>of</w:t>
      </w:r>
      <w:r>
        <w:rPr>
          <w:spacing w:val="-11"/>
        </w:rPr>
        <w:t> </w:t>
      </w:r>
      <w:r>
        <w:rPr>
          <w:spacing w:val="-2"/>
        </w:rPr>
        <w:t>which</w:t>
      </w:r>
      <w:r>
        <w:rPr>
          <w:spacing w:val="-12"/>
        </w:rPr>
        <w:t> </w:t>
      </w:r>
      <w:r>
        <w:rPr>
          <w:spacing w:val="-2"/>
        </w:rPr>
        <w:t>will</w:t>
      </w:r>
      <w:r>
        <w:rPr>
          <w:spacing w:val="-12"/>
        </w:rPr>
        <w:t> </w:t>
      </w:r>
      <w:r>
        <w:rPr>
          <w:spacing w:val="-2"/>
        </w:rPr>
        <w:t>have</w:t>
      </w:r>
      <w:r>
        <w:rPr>
          <w:spacing w:val="-12"/>
        </w:rPr>
        <w:t> </w:t>
      </w:r>
      <w:r>
        <w:rPr>
          <w:spacing w:val="-2"/>
        </w:rPr>
        <w:t>financial</w:t>
      </w:r>
      <w:r>
        <w:rPr>
          <w:spacing w:val="-11"/>
        </w:rPr>
        <w:t> </w:t>
      </w:r>
      <w:r>
        <w:rPr>
          <w:spacing w:val="-2"/>
        </w:rPr>
        <w:t>implications.</w:t>
      </w:r>
    </w:p>
    <w:p>
      <w:pPr>
        <w:spacing w:after="0" w:line="266" w:lineRule="auto"/>
        <w:jc w:val="both"/>
        <w:sectPr>
          <w:pgSz w:w="11910" w:h="16840"/>
          <w:pgMar w:header="0" w:footer="675" w:top="960" w:bottom="860" w:left="0" w:right="0"/>
          <w:cols w:num="2" w:equalWidth="0">
            <w:col w:w="5774" w:space="40"/>
            <w:col w:w="6096"/>
          </w:cols>
        </w:sectPr>
      </w:pPr>
    </w:p>
    <w:p>
      <w:pPr>
        <w:pStyle w:val="Heading7"/>
        <w:numPr>
          <w:ilvl w:val="1"/>
          <w:numId w:val="14"/>
        </w:numPr>
        <w:tabs>
          <w:tab w:pos="1477" w:val="left" w:leader="none"/>
        </w:tabs>
        <w:spacing w:line="225" w:lineRule="auto" w:before="84" w:after="0"/>
        <w:ind w:left="1080" w:right="20" w:firstLine="0"/>
        <w:jc w:val="left"/>
      </w:pPr>
      <w:r>
        <w:rPr>
          <w:color w:val="2E614A"/>
        </w:rPr>
        <w:t>At</w:t>
      </w:r>
      <w:r>
        <w:rPr>
          <w:color w:val="2E614A"/>
          <w:spacing w:val="-17"/>
        </w:rPr>
        <w:t> </w:t>
      </w:r>
      <w:r>
        <w:rPr>
          <w:color w:val="2E614A"/>
        </w:rPr>
        <w:t>the</w:t>
      </w:r>
      <w:r>
        <w:rPr>
          <w:color w:val="2E614A"/>
          <w:spacing w:val="-16"/>
        </w:rPr>
        <w:t> </w:t>
      </w:r>
      <w:r>
        <w:rPr>
          <w:color w:val="2E614A"/>
        </w:rPr>
        <w:t>same</w:t>
      </w:r>
      <w:r>
        <w:rPr>
          <w:color w:val="2E614A"/>
          <w:spacing w:val="-16"/>
        </w:rPr>
        <w:t> </w:t>
      </w:r>
      <w:r>
        <w:rPr>
          <w:color w:val="2E614A"/>
        </w:rPr>
        <w:t>time,</w:t>
      </w:r>
      <w:r>
        <w:rPr>
          <w:color w:val="2E614A"/>
          <w:spacing w:val="-16"/>
        </w:rPr>
        <w:t> </w:t>
      </w:r>
      <w:r>
        <w:rPr>
          <w:color w:val="2E614A"/>
        </w:rPr>
        <w:t>planning</w:t>
      </w:r>
      <w:r>
        <w:rPr>
          <w:color w:val="2E614A"/>
          <w:spacing w:val="-17"/>
        </w:rPr>
        <w:t> </w:t>
      </w:r>
      <w:r>
        <w:rPr>
          <w:color w:val="2E614A"/>
        </w:rPr>
        <w:t>for</w:t>
      </w:r>
      <w:r>
        <w:rPr>
          <w:color w:val="2E614A"/>
          <w:spacing w:val="-16"/>
        </w:rPr>
        <w:t> </w:t>
      </w:r>
      <w:r>
        <w:rPr>
          <w:color w:val="2E614A"/>
        </w:rPr>
        <w:t>school </w:t>
      </w:r>
      <w:r>
        <w:rPr>
          <w:color w:val="2E614A"/>
          <w:spacing w:val="-8"/>
        </w:rPr>
        <w:t>education must take into account the </w:t>
      </w:r>
      <w:r>
        <w:rPr>
          <w:color w:val="2E614A"/>
          <w:spacing w:val="-8"/>
        </w:rPr>
        <w:t>ecology </w:t>
      </w:r>
      <w:r>
        <w:rPr>
          <w:color w:val="2E614A"/>
        </w:rPr>
        <w:t>of</w:t>
      </w:r>
      <w:r>
        <w:rPr>
          <w:color w:val="2E614A"/>
          <w:spacing w:val="-14"/>
        </w:rPr>
        <w:t> </w:t>
      </w:r>
      <w:r>
        <w:rPr>
          <w:color w:val="2E614A"/>
        </w:rPr>
        <w:t>education</w:t>
      </w:r>
      <w:r>
        <w:rPr>
          <w:color w:val="2E614A"/>
          <w:spacing w:val="-14"/>
        </w:rPr>
        <w:t> </w:t>
      </w:r>
      <w:r>
        <w:rPr>
          <w:color w:val="2E614A"/>
        </w:rPr>
        <w:t>–</w:t>
      </w:r>
      <w:r>
        <w:rPr>
          <w:color w:val="2E614A"/>
          <w:spacing w:val="-14"/>
        </w:rPr>
        <w:t> </w:t>
      </w:r>
      <w:r>
        <w:rPr>
          <w:color w:val="2E614A"/>
        </w:rPr>
        <w:t>the</w:t>
      </w:r>
      <w:r>
        <w:rPr>
          <w:color w:val="2E614A"/>
          <w:spacing w:val="-14"/>
        </w:rPr>
        <w:t> </w:t>
      </w:r>
      <w:r>
        <w:rPr>
          <w:color w:val="2E614A"/>
        </w:rPr>
        <w:t>need</w:t>
      </w:r>
      <w:r>
        <w:rPr>
          <w:color w:val="2E614A"/>
          <w:spacing w:val="-14"/>
        </w:rPr>
        <w:t> </w:t>
      </w:r>
      <w:r>
        <w:rPr>
          <w:color w:val="2E614A"/>
        </w:rPr>
        <w:t>to</w:t>
      </w:r>
      <w:r>
        <w:rPr>
          <w:color w:val="2E614A"/>
          <w:spacing w:val="-14"/>
        </w:rPr>
        <w:t> </w:t>
      </w:r>
      <w:r>
        <w:rPr>
          <w:color w:val="2E614A"/>
        </w:rPr>
        <w:t>adjust</w:t>
      </w:r>
      <w:r>
        <w:rPr>
          <w:color w:val="2E614A"/>
          <w:spacing w:val="-14"/>
        </w:rPr>
        <w:t> </w:t>
      </w:r>
      <w:r>
        <w:rPr>
          <w:color w:val="2E614A"/>
        </w:rPr>
        <w:t>school </w:t>
      </w:r>
      <w:r>
        <w:rPr>
          <w:color w:val="2E614A"/>
          <w:spacing w:val="-2"/>
        </w:rPr>
        <w:t>systems</w:t>
      </w:r>
      <w:r>
        <w:rPr>
          <w:color w:val="2E614A"/>
          <w:spacing w:val="-15"/>
        </w:rPr>
        <w:t> </w:t>
      </w:r>
      <w:r>
        <w:rPr>
          <w:color w:val="2E614A"/>
          <w:spacing w:val="-2"/>
        </w:rPr>
        <w:t>to</w:t>
      </w:r>
      <w:r>
        <w:rPr>
          <w:color w:val="2E614A"/>
          <w:spacing w:val="-14"/>
        </w:rPr>
        <w:t> </w:t>
      </w:r>
      <w:r>
        <w:rPr>
          <w:color w:val="2E614A"/>
          <w:spacing w:val="-2"/>
        </w:rPr>
        <w:t>agro-climatic</w:t>
      </w:r>
      <w:r>
        <w:rPr>
          <w:color w:val="2E614A"/>
          <w:spacing w:val="-14"/>
        </w:rPr>
        <w:t> </w:t>
      </w:r>
      <w:r>
        <w:rPr>
          <w:color w:val="2E614A"/>
          <w:spacing w:val="-2"/>
        </w:rPr>
        <w:t>and</w:t>
      </w:r>
      <w:r>
        <w:rPr>
          <w:color w:val="2E614A"/>
          <w:spacing w:val="-14"/>
        </w:rPr>
        <w:t> </w:t>
      </w:r>
      <w:r>
        <w:rPr>
          <w:color w:val="2E614A"/>
          <w:spacing w:val="-2"/>
        </w:rPr>
        <w:t>other</w:t>
      </w:r>
      <w:r>
        <w:rPr>
          <w:color w:val="2E614A"/>
          <w:spacing w:val="-15"/>
        </w:rPr>
        <w:t> </w:t>
      </w:r>
      <w:r>
        <w:rPr>
          <w:color w:val="2E614A"/>
          <w:spacing w:val="-2"/>
        </w:rPr>
        <w:t>local variations.</w:t>
      </w:r>
    </w:p>
    <w:p>
      <w:pPr>
        <w:pStyle w:val="BodyText"/>
        <w:spacing w:line="266" w:lineRule="auto" w:before="297"/>
        <w:ind w:left="1080"/>
        <w:jc w:val="both"/>
      </w:pPr>
      <w:r>
        <w:rPr>
          <w:spacing w:val="-2"/>
        </w:rPr>
        <w:t>This</w:t>
      </w:r>
      <w:r>
        <w:rPr>
          <w:spacing w:val="-11"/>
        </w:rPr>
        <w:t> </w:t>
      </w:r>
      <w:r>
        <w:rPr>
          <w:spacing w:val="-2"/>
        </w:rPr>
        <w:t>requires</w:t>
      </w:r>
      <w:r>
        <w:rPr>
          <w:spacing w:val="-11"/>
        </w:rPr>
        <w:t> </w:t>
      </w:r>
      <w:r>
        <w:rPr>
          <w:spacing w:val="-2"/>
        </w:rPr>
        <w:t>flexibility</w:t>
      </w:r>
      <w:r>
        <w:rPr>
          <w:spacing w:val="-11"/>
        </w:rPr>
        <w:t> </w:t>
      </w:r>
      <w:r>
        <w:rPr>
          <w:spacing w:val="-2"/>
        </w:rPr>
        <w:t>with</w:t>
      </w:r>
      <w:r>
        <w:rPr>
          <w:spacing w:val="-11"/>
        </w:rPr>
        <w:t> </w:t>
      </w:r>
      <w:r>
        <w:rPr>
          <w:spacing w:val="-2"/>
        </w:rPr>
        <w:t>respect</w:t>
      </w:r>
      <w:r>
        <w:rPr>
          <w:spacing w:val="-11"/>
        </w:rPr>
        <w:t> </w:t>
      </w:r>
      <w:r>
        <w:rPr>
          <w:spacing w:val="-2"/>
        </w:rPr>
        <w:t>to</w:t>
      </w:r>
      <w:r>
        <w:rPr>
          <w:spacing w:val="-11"/>
        </w:rPr>
        <w:t> </w:t>
      </w:r>
      <w:r>
        <w:rPr>
          <w:spacing w:val="-2"/>
        </w:rPr>
        <w:t>school</w:t>
      </w:r>
      <w:r>
        <w:rPr>
          <w:spacing w:val="-11"/>
        </w:rPr>
        <w:t> </w:t>
      </w:r>
      <w:r>
        <w:rPr>
          <w:spacing w:val="-2"/>
        </w:rPr>
        <w:t>timings, </w:t>
      </w:r>
      <w:r>
        <w:rPr>
          <w:spacing w:val="-4"/>
        </w:rPr>
        <w:t>vacations, teacher recruitment – but without sacrificing </w:t>
      </w:r>
      <w:r>
        <w:rPr/>
        <w:t>quality. Norms for schools must recognise the </w:t>
      </w:r>
      <w:r>
        <w:rPr>
          <w:spacing w:val="-6"/>
        </w:rPr>
        <w:t>possibility</w:t>
      </w:r>
      <w:r>
        <w:rPr>
          <w:spacing w:val="-8"/>
        </w:rPr>
        <w:t> </w:t>
      </w:r>
      <w:r>
        <w:rPr>
          <w:spacing w:val="-6"/>
        </w:rPr>
        <w:t>of</w:t>
      </w:r>
      <w:r>
        <w:rPr>
          <w:spacing w:val="-8"/>
        </w:rPr>
        <w:t> </w:t>
      </w:r>
      <w:r>
        <w:rPr>
          <w:spacing w:val="-6"/>
        </w:rPr>
        <w:t>regional</w:t>
      </w:r>
      <w:r>
        <w:rPr>
          <w:spacing w:val="-8"/>
        </w:rPr>
        <w:t> </w:t>
      </w:r>
      <w:r>
        <w:rPr>
          <w:spacing w:val="-6"/>
        </w:rPr>
        <w:t>and</w:t>
      </w:r>
      <w:r>
        <w:rPr>
          <w:spacing w:val="-7"/>
        </w:rPr>
        <w:t> </w:t>
      </w:r>
      <w:r>
        <w:rPr>
          <w:spacing w:val="-6"/>
        </w:rPr>
        <w:t>local</w:t>
      </w:r>
      <w:r>
        <w:rPr>
          <w:spacing w:val="-8"/>
        </w:rPr>
        <w:t> </w:t>
      </w:r>
      <w:r>
        <w:rPr>
          <w:spacing w:val="-6"/>
        </w:rPr>
        <w:t>differences</w:t>
      </w:r>
      <w:r>
        <w:rPr>
          <w:spacing w:val="-8"/>
        </w:rPr>
        <w:t> </w:t>
      </w:r>
      <w:r>
        <w:rPr>
          <w:spacing w:val="-6"/>
        </w:rPr>
        <w:t>as</w:t>
      </w:r>
      <w:r>
        <w:rPr>
          <w:spacing w:val="-8"/>
        </w:rPr>
        <w:t> </w:t>
      </w:r>
      <w:r>
        <w:rPr>
          <w:spacing w:val="-6"/>
        </w:rPr>
        <w:t>well</w:t>
      </w:r>
      <w:r>
        <w:rPr>
          <w:spacing w:val="-7"/>
        </w:rPr>
        <w:t> </w:t>
      </w:r>
      <w:r>
        <w:rPr>
          <w:spacing w:val="-6"/>
        </w:rPr>
        <w:t>as</w:t>
      </w:r>
      <w:r>
        <w:rPr>
          <w:spacing w:val="-8"/>
        </w:rPr>
        <w:t> </w:t>
      </w:r>
      <w:r>
        <w:rPr>
          <w:spacing w:val="-6"/>
        </w:rPr>
        <w:t>the </w:t>
      </w:r>
      <w:r>
        <w:rPr>
          <w:spacing w:val="-4"/>
        </w:rPr>
        <w:t>particular</w:t>
      </w:r>
      <w:r>
        <w:rPr>
          <w:spacing w:val="-6"/>
        </w:rPr>
        <w:t> </w:t>
      </w:r>
      <w:r>
        <w:rPr>
          <w:spacing w:val="-4"/>
        </w:rPr>
        <w:t>requirements</w:t>
      </w:r>
      <w:r>
        <w:rPr>
          <w:spacing w:val="-6"/>
        </w:rPr>
        <w:t> </w:t>
      </w:r>
      <w:r>
        <w:rPr>
          <w:spacing w:val="-4"/>
        </w:rPr>
        <w:t>of</w:t>
      </w:r>
      <w:r>
        <w:rPr>
          <w:spacing w:val="-6"/>
        </w:rPr>
        <w:t> </w:t>
      </w:r>
      <w:r>
        <w:rPr>
          <w:spacing w:val="-4"/>
        </w:rPr>
        <w:t>certain</w:t>
      </w:r>
      <w:r>
        <w:rPr>
          <w:spacing w:val="-6"/>
        </w:rPr>
        <w:t> </w:t>
      </w:r>
      <w:r>
        <w:rPr>
          <w:spacing w:val="-4"/>
        </w:rPr>
        <w:t>communities,</w:t>
      </w:r>
      <w:r>
        <w:rPr>
          <w:spacing w:val="-6"/>
        </w:rPr>
        <w:t> </w:t>
      </w:r>
      <w:r>
        <w:rPr>
          <w:spacing w:val="-4"/>
        </w:rPr>
        <w:t>such</w:t>
      </w:r>
      <w:r>
        <w:rPr>
          <w:spacing w:val="-6"/>
        </w:rPr>
        <w:t> </w:t>
      </w:r>
      <w:r>
        <w:rPr>
          <w:spacing w:val="-4"/>
        </w:rPr>
        <w:t>as </w:t>
      </w:r>
      <w:r>
        <w:rPr>
          <w:spacing w:val="-6"/>
        </w:rPr>
        <w:t>nomadic groups, tribal communities, short-term migrant </w:t>
      </w:r>
      <w:r>
        <w:rPr/>
        <w:t>households etc.</w:t>
      </w:r>
    </w:p>
    <w:p>
      <w:pPr>
        <w:pStyle w:val="Heading7"/>
        <w:numPr>
          <w:ilvl w:val="1"/>
          <w:numId w:val="14"/>
        </w:numPr>
        <w:tabs>
          <w:tab w:pos="1477" w:val="left" w:leader="none"/>
        </w:tabs>
        <w:spacing w:line="225" w:lineRule="auto" w:before="252" w:after="0"/>
        <w:ind w:left="1477" w:right="1129" w:hanging="398"/>
        <w:jc w:val="left"/>
      </w:pPr>
      <w:r>
        <w:rPr>
          <w:color w:val="2E614A"/>
        </w:rPr>
        <w:t>School</w:t>
      </w:r>
      <w:r>
        <w:rPr>
          <w:color w:val="2E614A"/>
          <w:spacing w:val="-15"/>
        </w:rPr>
        <w:t> </w:t>
      </w:r>
      <w:r>
        <w:rPr>
          <w:color w:val="2E614A"/>
        </w:rPr>
        <w:t>management</w:t>
      </w:r>
      <w:r>
        <w:rPr>
          <w:color w:val="2E614A"/>
          <w:spacing w:val="-15"/>
        </w:rPr>
        <w:t> </w:t>
      </w:r>
      <w:r>
        <w:rPr>
          <w:color w:val="2E614A"/>
        </w:rPr>
        <w:t>must</w:t>
      </w:r>
      <w:r>
        <w:rPr>
          <w:color w:val="2E614A"/>
          <w:spacing w:val="-15"/>
        </w:rPr>
        <w:t> </w:t>
      </w:r>
      <w:r>
        <w:rPr>
          <w:color w:val="2E614A"/>
        </w:rPr>
        <w:t>be </w:t>
      </w:r>
      <w:r>
        <w:rPr>
          <w:color w:val="2E614A"/>
          <w:w w:val="90"/>
        </w:rPr>
        <w:t>decentralised as far as </w:t>
      </w:r>
      <w:r>
        <w:rPr>
          <w:color w:val="2E614A"/>
          <w:w w:val="90"/>
        </w:rPr>
        <w:t>possible.</w:t>
      </w:r>
    </w:p>
    <w:p>
      <w:pPr>
        <w:pStyle w:val="BodyText"/>
        <w:spacing w:before="1"/>
        <w:rPr>
          <w:b/>
          <w:sz w:val="26"/>
        </w:rPr>
      </w:pPr>
    </w:p>
    <w:p>
      <w:pPr>
        <w:pStyle w:val="BodyText"/>
        <w:spacing w:line="266" w:lineRule="auto" w:before="1"/>
        <w:ind w:left="1080"/>
        <w:jc w:val="both"/>
      </w:pPr>
      <w:r>
        <w:rPr/>
        <w:t>Decentralisation of the management of </w:t>
      </w:r>
      <w:r>
        <w:rPr/>
        <w:t>schools, combined with community participation, is the most effective instrument for ensuring accountability, improving the day-to-day functioning of schools and allowing</w:t>
      </w:r>
      <w:r>
        <w:rPr>
          <w:spacing w:val="-6"/>
        </w:rPr>
        <w:t> </w:t>
      </w:r>
      <w:r>
        <w:rPr/>
        <w:t>for</w:t>
      </w:r>
      <w:r>
        <w:rPr>
          <w:spacing w:val="-6"/>
        </w:rPr>
        <w:t> </w:t>
      </w:r>
      <w:r>
        <w:rPr/>
        <w:t>flexible</w:t>
      </w:r>
      <w:r>
        <w:rPr>
          <w:spacing w:val="-6"/>
        </w:rPr>
        <w:t> </w:t>
      </w:r>
      <w:r>
        <w:rPr/>
        <w:t>responses</w:t>
      </w:r>
      <w:r>
        <w:rPr>
          <w:spacing w:val="-6"/>
        </w:rPr>
        <w:t> </w:t>
      </w:r>
      <w:r>
        <w:rPr/>
        <w:t>to</w:t>
      </w:r>
      <w:r>
        <w:rPr>
          <w:spacing w:val="-6"/>
        </w:rPr>
        <w:t> </w:t>
      </w:r>
      <w:r>
        <w:rPr/>
        <w:t>local</w:t>
      </w:r>
      <w:r>
        <w:rPr>
          <w:spacing w:val="-6"/>
        </w:rPr>
        <w:t> </w:t>
      </w:r>
      <w:r>
        <w:rPr/>
        <w:t>requirements. Therefore, there should be devolution of authority to </w:t>
      </w:r>
      <w:r>
        <w:rPr>
          <w:spacing w:val="-2"/>
        </w:rPr>
        <w:t>local</w:t>
      </w:r>
      <w:r>
        <w:rPr>
          <w:spacing w:val="-5"/>
        </w:rPr>
        <w:t> </w:t>
      </w:r>
      <w:r>
        <w:rPr>
          <w:spacing w:val="-2"/>
        </w:rPr>
        <w:t>levels,</w:t>
      </w:r>
      <w:r>
        <w:rPr>
          <w:spacing w:val="-5"/>
        </w:rPr>
        <w:t> </w:t>
      </w:r>
      <w:r>
        <w:rPr>
          <w:spacing w:val="-2"/>
        </w:rPr>
        <w:t>whether</w:t>
      </w:r>
      <w:r>
        <w:rPr>
          <w:spacing w:val="-5"/>
        </w:rPr>
        <w:t> </w:t>
      </w:r>
      <w:r>
        <w:rPr>
          <w:spacing w:val="-2"/>
        </w:rPr>
        <w:t>to</w:t>
      </w:r>
      <w:r>
        <w:rPr>
          <w:spacing w:val="-5"/>
        </w:rPr>
        <w:t> </w:t>
      </w:r>
      <w:r>
        <w:rPr>
          <w:spacing w:val="-2"/>
        </w:rPr>
        <w:t>panchayats,</w:t>
      </w:r>
      <w:r>
        <w:rPr>
          <w:spacing w:val="-7"/>
        </w:rPr>
        <w:t> </w:t>
      </w:r>
      <w:r>
        <w:rPr>
          <w:spacing w:val="-2"/>
        </w:rPr>
        <w:t>Village</w:t>
      </w:r>
      <w:r>
        <w:rPr>
          <w:spacing w:val="-5"/>
        </w:rPr>
        <w:t> </w:t>
      </w:r>
      <w:r>
        <w:rPr>
          <w:spacing w:val="-2"/>
        </w:rPr>
        <w:t>Education </w:t>
      </w:r>
      <w:r>
        <w:rPr/>
        <w:t>Committees or municipalities. School Management Committees that include representatives of all </w:t>
      </w:r>
      <w:r>
        <w:rPr>
          <w:spacing w:val="-2"/>
        </w:rPr>
        <w:t>stakeholders,</w:t>
      </w:r>
      <w:r>
        <w:rPr>
          <w:spacing w:val="-12"/>
        </w:rPr>
        <w:t> </w:t>
      </w:r>
      <w:r>
        <w:rPr>
          <w:spacing w:val="-2"/>
        </w:rPr>
        <w:t>including</w:t>
      </w:r>
      <w:r>
        <w:rPr>
          <w:spacing w:val="-12"/>
        </w:rPr>
        <w:t> </w:t>
      </w:r>
      <w:r>
        <w:rPr>
          <w:spacing w:val="-2"/>
        </w:rPr>
        <w:t>parents</w:t>
      </w:r>
      <w:r>
        <w:rPr>
          <w:spacing w:val="-12"/>
        </w:rPr>
        <w:t> </w:t>
      </w:r>
      <w:r>
        <w:rPr>
          <w:spacing w:val="-2"/>
        </w:rPr>
        <w:t>and</w:t>
      </w:r>
      <w:r>
        <w:rPr>
          <w:spacing w:val="-11"/>
        </w:rPr>
        <w:t> </w:t>
      </w:r>
      <w:r>
        <w:rPr>
          <w:spacing w:val="-2"/>
        </w:rPr>
        <w:t>teachers,</w:t>
      </w:r>
      <w:r>
        <w:rPr>
          <w:spacing w:val="-12"/>
        </w:rPr>
        <w:t> </w:t>
      </w:r>
      <w:r>
        <w:rPr>
          <w:spacing w:val="-2"/>
        </w:rPr>
        <w:t>should</w:t>
      </w:r>
      <w:r>
        <w:rPr>
          <w:spacing w:val="-12"/>
        </w:rPr>
        <w:t> </w:t>
      </w:r>
      <w:r>
        <w:rPr>
          <w:spacing w:val="-2"/>
        </w:rPr>
        <w:t>be </w:t>
      </w:r>
      <w:r>
        <w:rPr/>
        <w:t>empowered</w:t>
      </w:r>
      <w:r>
        <w:rPr>
          <w:spacing w:val="-4"/>
        </w:rPr>
        <w:t> </w:t>
      </w:r>
      <w:r>
        <w:rPr/>
        <w:t>to</w:t>
      </w:r>
      <w:r>
        <w:rPr>
          <w:spacing w:val="-4"/>
        </w:rPr>
        <w:t> </w:t>
      </w:r>
      <w:r>
        <w:rPr/>
        <w:t>make</w:t>
      </w:r>
      <w:r>
        <w:rPr>
          <w:spacing w:val="-4"/>
        </w:rPr>
        <w:t> </w:t>
      </w:r>
      <w:r>
        <w:rPr/>
        <w:t>many</w:t>
      </w:r>
      <w:r>
        <w:rPr>
          <w:spacing w:val="-4"/>
        </w:rPr>
        <w:t> </w:t>
      </w:r>
      <w:r>
        <w:rPr/>
        <w:t>decisions.</w:t>
      </w:r>
      <w:r>
        <w:rPr>
          <w:spacing w:val="-4"/>
        </w:rPr>
        <w:t> </w:t>
      </w:r>
      <w:r>
        <w:rPr/>
        <w:t>Social</w:t>
      </w:r>
      <w:r>
        <w:rPr>
          <w:spacing w:val="-4"/>
        </w:rPr>
        <w:t> </w:t>
      </w:r>
      <w:r>
        <w:rPr/>
        <w:t>audits</w:t>
      </w:r>
      <w:r>
        <w:rPr>
          <w:spacing w:val="-4"/>
        </w:rPr>
        <w:t> </w:t>
      </w:r>
      <w:r>
        <w:rPr/>
        <w:t>of schools should be supported and encouraged.</w:t>
      </w:r>
    </w:p>
    <w:p>
      <w:pPr>
        <w:pStyle w:val="Heading7"/>
        <w:numPr>
          <w:ilvl w:val="1"/>
          <w:numId w:val="14"/>
        </w:numPr>
        <w:tabs>
          <w:tab w:pos="1485" w:val="left" w:leader="none"/>
          <w:tab w:pos="1487" w:val="left" w:leader="none"/>
        </w:tabs>
        <w:spacing w:line="225" w:lineRule="auto" w:before="247" w:after="0"/>
        <w:ind w:left="1487" w:right="185" w:hanging="408"/>
        <w:jc w:val="left"/>
      </w:pPr>
      <w:r>
        <w:rPr>
          <w:color w:val="2E614A"/>
          <w:spacing w:val="-2"/>
        </w:rPr>
        <w:t>There</w:t>
      </w:r>
      <w:r>
        <w:rPr>
          <w:color w:val="2E614A"/>
          <w:spacing w:val="-15"/>
        </w:rPr>
        <w:t> </w:t>
      </w:r>
      <w:r>
        <w:rPr>
          <w:color w:val="2E614A"/>
          <w:spacing w:val="-2"/>
        </w:rPr>
        <w:t>is</w:t>
      </w:r>
      <w:r>
        <w:rPr>
          <w:color w:val="2E614A"/>
          <w:spacing w:val="-14"/>
        </w:rPr>
        <w:t> </w:t>
      </w:r>
      <w:r>
        <w:rPr>
          <w:color w:val="2E614A"/>
          <w:spacing w:val="-2"/>
        </w:rPr>
        <w:t>a</w:t>
      </w:r>
      <w:r>
        <w:rPr>
          <w:color w:val="2E614A"/>
          <w:spacing w:val="-14"/>
        </w:rPr>
        <w:t> </w:t>
      </w:r>
      <w:r>
        <w:rPr>
          <w:color w:val="2E614A"/>
          <w:spacing w:val="-2"/>
        </w:rPr>
        <w:t>multiplicity</w:t>
      </w:r>
      <w:r>
        <w:rPr>
          <w:color w:val="2E614A"/>
          <w:spacing w:val="-14"/>
        </w:rPr>
        <w:t> </w:t>
      </w:r>
      <w:r>
        <w:rPr>
          <w:color w:val="2E614A"/>
          <w:spacing w:val="-2"/>
        </w:rPr>
        <w:t>of</w:t>
      </w:r>
      <w:r>
        <w:rPr>
          <w:color w:val="2E614A"/>
          <w:spacing w:val="-15"/>
        </w:rPr>
        <w:t> </w:t>
      </w:r>
      <w:r>
        <w:rPr>
          <w:color w:val="2E614A"/>
          <w:spacing w:val="-2"/>
        </w:rPr>
        <w:t>management </w:t>
      </w:r>
      <w:r>
        <w:rPr>
          <w:color w:val="2E614A"/>
          <w:w w:val="90"/>
        </w:rPr>
        <w:t>structures and government </w:t>
      </w:r>
      <w:r>
        <w:rPr>
          <w:color w:val="2E614A"/>
          <w:w w:val="90"/>
        </w:rPr>
        <w:t>departments </w:t>
      </w:r>
      <w:r>
        <w:rPr>
          <w:color w:val="2E614A"/>
        </w:rPr>
        <w:t>in</w:t>
      </w:r>
      <w:r>
        <w:rPr>
          <w:color w:val="2E614A"/>
          <w:spacing w:val="-11"/>
        </w:rPr>
        <w:t> </w:t>
      </w:r>
      <w:r>
        <w:rPr>
          <w:color w:val="2E614A"/>
        </w:rPr>
        <w:t>the</w:t>
      </w:r>
      <w:r>
        <w:rPr>
          <w:color w:val="2E614A"/>
          <w:spacing w:val="-11"/>
        </w:rPr>
        <w:t> </w:t>
      </w:r>
      <w:r>
        <w:rPr>
          <w:color w:val="2E614A"/>
        </w:rPr>
        <w:t>administration</w:t>
      </w:r>
      <w:r>
        <w:rPr>
          <w:color w:val="2E614A"/>
          <w:spacing w:val="-11"/>
        </w:rPr>
        <w:t> </w:t>
      </w:r>
      <w:r>
        <w:rPr>
          <w:color w:val="2E614A"/>
        </w:rPr>
        <w:t>of</w:t>
      </w:r>
      <w:r>
        <w:rPr>
          <w:color w:val="2E614A"/>
          <w:spacing w:val="-11"/>
        </w:rPr>
        <w:t> </w:t>
      </w:r>
      <w:r>
        <w:rPr>
          <w:color w:val="2E614A"/>
        </w:rPr>
        <w:t>school education.</w:t>
      </w:r>
      <w:r>
        <w:rPr>
          <w:color w:val="2E614A"/>
          <w:spacing w:val="-17"/>
        </w:rPr>
        <w:t> </w:t>
      </w:r>
      <w:r>
        <w:rPr>
          <w:color w:val="2E614A"/>
        </w:rPr>
        <w:t>This</w:t>
      </w:r>
      <w:r>
        <w:rPr>
          <w:color w:val="2E614A"/>
          <w:spacing w:val="-16"/>
        </w:rPr>
        <w:t> </w:t>
      </w:r>
      <w:r>
        <w:rPr>
          <w:color w:val="2E614A"/>
        </w:rPr>
        <w:t>creates</w:t>
      </w:r>
      <w:r>
        <w:rPr>
          <w:color w:val="2E614A"/>
          <w:spacing w:val="-16"/>
        </w:rPr>
        <w:t> </w:t>
      </w:r>
      <w:r>
        <w:rPr>
          <w:color w:val="2E614A"/>
        </w:rPr>
        <w:t>confusion, </w:t>
      </w:r>
      <w:r>
        <w:rPr>
          <w:color w:val="2E614A"/>
          <w:spacing w:val="-4"/>
        </w:rPr>
        <w:t>unnecessary</w:t>
      </w:r>
      <w:r>
        <w:rPr>
          <w:color w:val="2E614A"/>
          <w:spacing w:val="-13"/>
        </w:rPr>
        <w:t> </w:t>
      </w:r>
      <w:r>
        <w:rPr>
          <w:color w:val="2E614A"/>
          <w:spacing w:val="-4"/>
        </w:rPr>
        <w:t>replication</w:t>
      </w:r>
      <w:r>
        <w:rPr>
          <w:color w:val="2E614A"/>
          <w:spacing w:val="-12"/>
        </w:rPr>
        <w:t> </w:t>
      </w:r>
      <w:r>
        <w:rPr>
          <w:color w:val="2E614A"/>
          <w:spacing w:val="-4"/>
        </w:rPr>
        <w:t>and</w:t>
      </w:r>
      <w:r>
        <w:rPr>
          <w:color w:val="2E614A"/>
          <w:spacing w:val="-12"/>
        </w:rPr>
        <w:t> </w:t>
      </w:r>
      <w:r>
        <w:rPr>
          <w:color w:val="2E614A"/>
          <w:spacing w:val="-4"/>
        </w:rPr>
        <w:t>possibly inconsistent</w:t>
      </w:r>
      <w:r>
        <w:rPr>
          <w:color w:val="2E614A"/>
          <w:spacing w:val="-13"/>
        </w:rPr>
        <w:t> </w:t>
      </w:r>
      <w:r>
        <w:rPr>
          <w:color w:val="2E614A"/>
          <w:spacing w:val="-4"/>
        </w:rPr>
        <w:t>strategies</w:t>
      </w:r>
      <w:r>
        <w:rPr>
          <w:color w:val="2E614A"/>
          <w:spacing w:val="-12"/>
        </w:rPr>
        <w:t> </w:t>
      </w:r>
      <w:r>
        <w:rPr>
          <w:color w:val="2E614A"/>
          <w:spacing w:val="-4"/>
        </w:rPr>
        <w:t>across</w:t>
      </w:r>
      <w:r>
        <w:rPr>
          <w:color w:val="2E614A"/>
          <w:spacing w:val="-12"/>
        </w:rPr>
        <w:t> </w:t>
      </w:r>
      <w:r>
        <w:rPr>
          <w:color w:val="2E614A"/>
          <w:spacing w:val="-4"/>
        </w:rPr>
        <w:t>different </w:t>
      </w:r>
      <w:r>
        <w:rPr>
          <w:color w:val="2E614A"/>
        </w:rPr>
        <w:t>schools.</w:t>
      </w:r>
      <w:r>
        <w:rPr>
          <w:color w:val="2E614A"/>
          <w:spacing w:val="-17"/>
        </w:rPr>
        <w:t> </w:t>
      </w:r>
      <w:r>
        <w:rPr>
          <w:color w:val="2E614A"/>
        </w:rPr>
        <w:t>There</w:t>
      </w:r>
      <w:r>
        <w:rPr>
          <w:color w:val="2E614A"/>
          <w:spacing w:val="-16"/>
        </w:rPr>
        <w:t> </w:t>
      </w:r>
      <w:r>
        <w:rPr>
          <w:color w:val="2E614A"/>
        </w:rPr>
        <w:t>must</w:t>
      </w:r>
      <w:r>
        <w:rPr>
          <w:color w:val="2E614A"/>
          <w:spacing w:val="-16"/>
        </w:rPr>
        <w:t> </w:t>
      </w:r>
      <w:r>
        <w:rPr>
          <w:color w:val="2E614A"/>
        </w:rPr>
        <w:t>be</w:t>
      </w:r>
      <w:r>
        <w:rPr>
          <w:color w:val="2E614A"/>
          <w:spacing w:val="-16"/>
        </w:rPr>
        <w:t> </w:t>
      </w:r>
      <w:r>
        <w:rPr>
          <w:color w:val="2E614A"/>
        </w:rPr>
        <w:t>greater</w:t>
      </w:r>
    </w:p>
    <w:p>
      <w:pPr>
        <w:spacing w:line="225" w:lineRule="auto" w:before="0"/>
        <w:ind w:left="1487" w:right="91" w:firstLine="0"/>
        <w:jc w:val="left"/>
        <w:rPr>
          <w:b/>
          <w:sz w:val="26"/>
        </w:rPr>
      </w:pPr>
      <w:r>
        <w:rPr>
          <w:b/>
          <w:color w:val="2E614A"/>
          <w:spacing w:val="-2"/>
          <w:sz w:val="26"/>
        </w:rPr>
        <w:t>co-ordination</w:t>
      </w:r>
      <w:r>
        <w:rPr>
          <w:b/>
          <w:color w:val="2E614A"/>
          <w:spacing w:val="-15"/>
          <w:sz w:val="26"/>
        </w:rPr>
        <w:t> </w:t>
      </w:r>
      <w:r>
        <w:rPr>
          <w:b/>
          <w:color w:val="2E614A"/>
          <w:spacing w:val="-2"/>
          <w:sz w:val="26"/>
        </w:rPr>
        <w:t>between</w:t>
      </w:r>
      <w:r>
        <w:rPr>
          <w:b/>
          <w:color w:val="2E614A"/>
          <w:spacing w:val="-14"/>
          <w:sz w:val="26"/>
        </w:rPr>
        <w:t> </w:t>
      </w:r>
      <w:r>
        <w:rPr>
          <w:b/>
          <w:color w:val="2E614A"/>
          <w:spacing w:val="-2"/>
          <w:sz w:val="26"/>
        </w:rPr>
        <w:t>different departments</w:t>
      </w:r>
      <w:r>
        <w:rPr>
          <w:b/>
          <w:color w:val="2E614A"/>
          <w:spacing w:val="-14"/>
          <w:sz w:val="26"/>
        </w:rPr>
        <w:t> </w:t>
      </w:r>
      <w:r>
        <w:rPr>
          <w:b/>
          <w:color w:val="2E614A"/>
          <w:spacing w:val="-2"/>
          <w:sz w:val="26"/>
        </w:rPr>
        <w:t>of</w:t>
      </w:r>
      <w:r>
        <w:rPr>
          <w:b/>
          <w:color w:val="2E614A"/>
          <w:spacing w:val="-14"/>
          <w:sz w:val="26"/>
        </w:rPr>
        <w:t> </w:t>
      </w:r>
      <w:r>
        <w:rPr>
          <w:b/>
          <w:color w:val="2E614A"/>
          <w:spacing w:val="-2"/>
          <w:sz w:val="26"/>
        </w:rPr>
        <w:t>government</w:t>
      </w:r>
      <w:r>
        <w:rPr>
          <w:b/>
          <w:color w:val="2E614A"/>
          <w:spacing w:val="-14"/>
          <w:sz w:val="26"/>
        </w:rPr>
        <w:t> </w:t>
      </w:r>
      <w:r>
        <w:rPr>
          <w:b/>
          <w:color w:val="2E614A"/>
          <w:spacing w:val="-2"/>
          <w:sz w:val="26"/>
        </w:rPr>
        <w:t>on</w:t>
      </w:r>
      <w:r>
        <w:rPr>
          <w:b/>
          <w:color w:val="2E614A"/>
          <w:spacing w:val="-14"/>
          <w:sz w:val="26"/>
        </w:rPr>
        <w:t> </w:t>
      </w:r>
      <w:r>
        <w:rPr>
          <w:b/>
          <w:color w:val="2E614A"/>
          <w:spacing w:val="-2"/>
          <w:sz w:val="26"/>
        </w:rPr>
        <w:t>school education</w:t>
      </w:r>
      <w:r>
        <w:rPr>
          <w:b/>
          <w:color w:val="2E614A"/>
          <w:spacing w:val="-15"/>
          <w:sz w:val="26"/>
        </w:rPr>
        <w:t> </w:t>
      </w:r>
      <w:r>
        <w:rPr>
          <w:b/>
          <w:color w:val="2E614A"/>
          <w:spacing w:val="-2"/>
          <w:sz w:val="26"/>
        </w:rPr>
        <w:t>policy,</w:t>
      </w:r>
      <w:r>
        <w:rPr>
          <w:b/>
          <w:color w:val="2E614A"/>
          <w:spacing w:val="-14"/>
          <w:sz w:val="26"/>
        </w:rPr>
        <w:t> </w:t>
      </w:r>
      <w:r>
        <w:rPr>
          <w:b/>
          <w:color w:val="2E614A"/>
          <w:spacing w:val="-2"/>
          <w:sz w:val="26"/>
        </w:rPr>
        <w:t>even</w:t>
      </w:r>
      <w:r>
        <w:rPr>
          <w:b/>
          <w:color w:val="2E614A"/>
          <w:spacing w:val="-14"/>
          <w:sz w:val="26"/>
        </w:rPr>
        <w:t> </w:t>
      </w:r>
      <w:r>
        <w:rPr>
          <w:b/>
          <w:color w:val="2E614A"/>
          <w:spacing w:val="-2"/>
          <w:sz w:val="26"/>
        </w:rPr>
        <w:t>while</w:t>
      </w:r>
      <w:r>
        <w:rPr>
          <w:b/>
          <w:color w:val="2E614A"/>
          <w:spacing w:val="-14"/>
          <w:sz w:val="26"/>
        </w:rPr>
        <w:t> </w:t>
      </w:r>
      <w:r>
        <w:rPr>
          <w:b/>
          <w:color w:val="2E614A"/>
          <w:spacing w:val="-2"/>
          <w:sz w:val="26"/>
        </w:rPr>
        <w:t>ensuring </w:t>
      </w:r>
      <w:r>
        <w:rPr>
          <w:b/>
          <w:color w:val="2E614A"/>
          <w:spacing w:val="-8"/>
          <w:sz w:val="26"/>
        </w:rPr>
        <w:t>more autonomy to the local </w:t>
      </w:r>
      <w:r>
        <w:rPr>
          <w:b/>
          <w:color w:val="2E614A"/>
          <w:spacing w:val="-8"/>
          <w:sz w:val="26"/>
        </w:rPr>
        <w:t>community </w:t>
      </w:r>
      <w:r>
        <w:rPr>
          <w:b/>
          <w:color w:val="2E614A"/>
          <w:spacing w:val="-2"/>
          <w:sz w:val="26"/>
        </w:rPr>
        <w:t>in</w:t>
      </w:r>
      <w:r>
        <w:rPr>
          <w:b/>
          <w:color w:val="2E614A"/>
          <w:spacing w:val="-17"/>
          <w:sz w:val="26"/>
        </w:rPr>
        <w:t> </w:t>
      </w:r>
      <w:r>
        <w:rPr>
          <w:b/>
          <w:color w:val="2E614A"/>
          <w:spacing w:val="-2"/>
          <w:sz w:val="26"/>
        </w:rPr>
        <w:t>matters</w:t>
      </w:r>
      <w:r>
        <w:rPr>
          <w:b/>
          <w:color w:val="2E614A"/>
          <w:spacing w:val="-14"/>
          <w:sz w:val="26"/>
        </w:rPr>
        <w:t> </w:t>
      </w:r>
      <w:r>
        <w:rPr>
          <w:b/>
          <w:color w:val="2E614A"/>
          <w:spacing w:val="-2"/>
          <w:sz w:val="26"/>
        </w:rPr>
        <w:t>of</w:t>
      </w:r>
      <w:r>
        <w:rPr>
          <w:b/>
          <w:color w:val="2E614A"/>
          <w:spacing w:val="-14"/>
          <w:sz w:val="26"/>
        </w:rPr>
        <w:t> </w:t>
      </w:r>
      <w:r>
        <w:rPr>
          <w:b/>
          <w:color w:val="2E614A"/>
          <w:spacing w:val="-2"/>
          <w:sz w:val="26"/>
        </w:rPr>
        <w:t>day-to-day</w:t>
      </w:r>
      <w:r>
        <w:rPr>
          <w:b/>
          <w:color w:val="2E614A"/>
          <w:spacing w:val="-14"/>
          <w:sz w:val="26"/>
        </w:rPr>
        <w:t> </w:t>
      </w:r>
      <w:r>
        <w:rPr>
          <w:b/>
          <w:color w:val="2E614A"/>
          <w:spacing w:val="-2"/>
          <w:sz w:val="26"/>
        </w:rPr>
        <w:t>management </w:t>
      </w:r>
      <w:r>
        <w:rPr>
          <w:b/>
          <w:color w:val="2E614A"/>
          <w:sz w:val="26"/>
        </w:rPr>
        <w:t>of schools.</w:t>
      </w:r>
    </w:p>
    <w:p>
      <w:pPr>
        <w:pStyle w:val="BodyText"/>
        <w:spacing w:line="266" w:lineRule="auto" w:before="261"/>
        <w:ind w:left="1080"/>
        <w:jc w:val="both"/>
      </w:pPr>
      <w:r>
        <w:rPr>
          <w:spacing w:val="-2"/>
        </w:rPr>
        <w:t>Currently</w:t>
      </w:r>
      <w:r>
        <w:rPr>
          <w:spacing w:val="-8"/>
        </w:rPr>
        <w:t> </w:t>
      </w:r>
      <w:r>
        <w:rPr>
          <w:spacing w:val="-2"/>
        </w:rPr>
        <w:t>schools</w:t>
      </w:r>
      <w:r>
        <w:rPr>
          <w:spacing w:val="-8"/>
        </w:rPr>
        <w:t> </w:t>
      </w:r>
      <w:r>
        <w:rPr>
          <w:spacing w:val="-2"/>
        </w:rPr>
        <w:t>are</w:t>
      </w:r>
      <w:r>
        <w:rPr>
          <w:spacing w:val="-8"/>
        </w:rPr>
        <w:t> </w:t>
      </w:r>
      <w:r>
        <w:rPr>
          <w:spacing w:val="-2"/>
        </w:rPr>
        <w:t>run</w:t>
      </w:r>
      <w:r>
        <w:rPr>
          <w:spacing w:val="-8"/>
        </w:rPr>
        <w:t> </w:t>
      </w:r>
      <w:r>
        <w:rPr>
          <w:spacing w:val="-2"/>
        </w:rPr>
        <w:t>or</w:t>
      </w:r>
      <w:r>
        <w:rPr>
          <w:spacing w:val="-8"/>
        </w:rPr>
        <w:t> </w:t>
      </w:r>
      <w:r>
        <w:rPr>
          <w:spacing w:val="-2"/>
        </w:rPr>
        <w:t>funded</w:t>
      </w:r>
      <w:r>
        <w:rPr>
          <w:spacing w:val="-8"/>
        </w:rPr>
        <w:t> </w:t>
      </w:r>
      <w:r>
        <w:rPr>
          <w:spacing w:val="-2"/>
        </w:rPr>
        <w:t>and</w:t>
      </w:r>
      <w:r>
        <w:rPr>
          <w:spacing w:val="-8"/>
        </w:rPr>
        <w:t> </w:t>
      </w:r>
      <w:r>
        <w:rPr>
          <w:spacing w:val="-2"/>
        </w:rPr>
        <w:t>monitored</w:t>
      </w:r>
      <w:r>
        <w:rPr>
          <w:spacing w:val="-8"/>
        </w:rPr>
        <w:t> </w:t>
      </w:r>
      <w:r>
        <w:rPr>
          <w:spacing w:val="-2"/>
        </w:rPr>
        <w:t>not only</w:t>
      </w:r>
      <w:r>
        <w:rPr>
          <w:spacing w:val="-12"/>
        </w:rPr>
        <w:t> </w:t>
      </w:r>
      <w:r>
        <w:rPr>
          <w:spacing w:val="-2"/>
        </w:rPr>
        <w:t>by</w:t>
      </w:r>
      <w:r>
        <w:rPr>
          <w:spacing w:val="-12"/>
        </w:rPr>
        <w:t> </w:t>
      </w:r>
      <w:r>
        <w:rPr>
          <w:spacing w:val="-2"/>
        </w:rPr>
        <w:t>the</w:t>
      </w:r>
      <w:r>
        <w:rPr>
          <w:spacing w:val="-12"/>
        </w:rPr>
        <w:t> </w:t>
      </w:r>
      <w:r>
        <w:rPr>
          <w:spacing w:val="-2"/>
        </w:rPr>
        <w:t>Central</w:t>
      </w:r>
      <w:r>
        <w:rPr>
          <w:spacing w:val="-11"/>
        </w:rPr>
        <w:t> </w:t>
      </w:r>
      <w:r>
        <w:rPr>
          <w:spacing w:val="-2"/>
        </w:rPr>
        <w:t>and</w:t>
      </w:r>
      <w:r>
        <w:rPr>
          <w:spacing w:val="-12"/>
        </w:rPr>
        <w:t> </w:t>
      </w:r>
      <w:r>
        <w:rPr>
          <w:spacing w:val="-2"/>
        </w:rPr>
        <w:t>State</w:t>
      </w:r>
      <w:r>
        <w:rPr>
          <w:spacing w:val="-12"/>
        </w:rPr>
        <w:t> </w:t>
      </w:r>
      <w:r>
        <w:rPr>
          <w:spacing w:val="-2"/>
        </w:rPr>
        <w:t>Governments,</w:t>
      </w:r>
      <w:r>
        <w:rPr>
          <w:spacing w:val="-12"/>
        </w:rPr>
        <w:t> </w:t>
      </w:r>
      <w:r>
        <w:rPr>
          <w:spacing w:val="-2"/>
        </w:rPr>
        <w:t>but</w:t>
      </w:r>
      <w:r>
        <w:rPr>
          <w:spacing w:val="-11"/>
        </w:rPr>
        <w:t> </w:t>
      </w:r>
      <w:r>
        <w:rPr>
          <w:spacing w:val="-2"/>
        </w:rPr>
        <w:t>also</w:t>
      </w:r>
      <w:r>
        <w:rPr>
          <w:spacing w:val="-12"/>
        </w:rPr>
        <w:t> </w:t>
      </w:r>
      <w:r>
        <w:rPr>
          <w:spacing w:val="-2"/>
        </w:rPr>
        <w:t>by </w:t>
      </w:r>
      <w:r>
        <w:rPr/>
        <w:t>different</w:t>
      </w:r>
      <w:r>
        <w:rPr>
          <w:spacing w:val="-13"/>
        </w:rPr>
        <w:t> </w:t>
      </w:r>
      <w:r>
        <w:rPr/>
        <w:t>departments</w:t>
      </w:r>
      <w:r>
        <w:rPr>
          <w:spacing w:val="-13"/>
        </w:rPr>
        <w:t> </w:t>
      </w:r>
      <w:r>
        <w:rPr/>
        <w:t>within</w:t>
      </w:r>
      <w:r>
        <w:rPr>
          <w:spacing w:val="-13"/>
        </w:rPr>
        <w:t> </w:t>
      </w:r>
      <w:r>
        <w:rPr/>
        <w:t>State</w:t>
      </w:r>
      <w:r>
        <w:rPr>
          <w:spacing w:val="-13"/>
        </w:rPr>
        <w:t> </w:t>
      </w:r>
      <w:r>
        <w:rPr/>
        <w:t>Governments</w:t>
      </w:r>
      <w:r>
        <w:rPr>
          <w:spacing w:val="-13"/>
        </w:rPr>
        <w:t> </w:t>
      </w:r>
      <w:r>
        <w:rPr/>
        <w:t>–</w:t>
      </w:r>
      <w:r>
        <w:rPr>
          <w:spacing w:val="-13"/>
        </w:rPr>
        <w:t> </w:t>
      </w:r>
      <w:r>
        <w:rPr/>
        <w:t>the Education Department, the Panchayat Department, the Department for Tribal Welfare, the Department for Minority Welfare etc. This creates overlapping and conflicting structures of authority, an excess of </w:t>
      </w:r>
      <w:r>
        <w:rPr>
          <w:spacing w:val="-2"/>
        </w:rPr>
        <w:t>bureaucratic</w:t>
      </w:r>
      <w:r>
        <w:rPr>
          <w:spacing w:val="17"/>
        </w:rPr>
        <w:t> </w:t>
      </w:r>
      <w:r>
        <w:rPr>
          <w:spacing w:val="-2"/>
        </w:rPr>
        <w:t>tangles,</w:t>
      </w:r>
      <w:r>
        <w:rPr>
          <w:spacing w:val="17"/>
        </w:rPr>
        <w:t> </w:t>
      </w:r>
      <w:r>
        <w:rPr>
          <w:spacing w:val="-2"/>
        </w:rPr>
        <w:t>unnecessary</w:t>
      </w:r>
      <w:r>
        <w:rPr>
          <w:spacing w:val="17"/>
        </w:rPr>
        <w:t> </w:t>
      </w:r>
      <w:r>
        <w:rPr>
          <w:spacing w:val="-2"/>
        </w:rPr>
        <w:t>replication</w:t>
      </w:r>
      <w:r>
        <w:rPr>
          <w:spacing w:val="17"/>
        </w:rPr>
        <w:t> </w:t>
      </w:r>
      <w:r>
        <w:rPr>
          <w:spacing w:val="-2"/>
        </w:rPr>
        <w:t>of</w:t>
      </w:r>
      <w:r>
        <w:rPr>
          <w:spacing w:val="18"/>
        </w:rPr>
        <w:t> </w:t>
      </w:r>
      <w:r>
        <w:rPr>
          <w:spacing w:val="-6"/>
        </w:rPr>
        <w:t>some</w:t>
      </w:r>
    </w:p>
    <w:p>
      <w:pPr>
        <w:pStyle w:val="BodyText"/>
        <w:spacing w:line="266" w:lineRule="auto" w:before="77"/>
        <w:ind w:left="319" w:right="1077"/>
        <w:jc w:val="both"/>
      </w:pPr>
      <w:r>
        <w:rPr/>
        <w:br w:type="column"/>
      </w:r>
      <w:r>
        <w:rPr/>
        <w:t>activities (and even replication of enrolment in </w:t>
      </w:r>
      <w:r>
        <w:rPr/>
        <w:t>some cases!),</w:t>
      </w:r>
      <w:r>
        <w:rPr>
          <w:spacing w:val="-14"/>
        </w:rPr>
        <w:t> </w:t>
      </w:r>
      <w:r>
        <w:rPr/>
        <w:t>different</w:t>
      </w:r>
      <w:r>
        <w:rPr>
          <w:spacing w:val="-14"/>
        </w:rPr>
        <w:t> </w:t>
      </w:r>
      <w:r>
        <w:rPr/>
        <w:t>guidelines</w:t>
      </w:r>
      <w:r>
        <w:rPr>
          <w:spacing w:val="-14"/>
        </w:rPr>
        <w:t> </w:t>
      </w:r>
      <w:r>
        <w:rPr/>
        <w:t>and</w:t>
      </w:r>
      <w:r>
        <w:rPr>
          <w:spacing w:val="-13"/>
        </w:rPr>
        <w:t> </w:t>
      </w:r>
      <w:r>
        <w:rPr/>
        <w:t>differential</w:t>
      </w:r>
      <w:r>
        <w:rPr>
          <w:spacing w:val="-14"/>
        </w:rPr>
        <w:t> </w:t>
      </w:r>
      <w:r>
        <w:rPr/>
        <w:t>standards </w:t>
      </w:r>
      <w:r>
        <w:rPr>
          <w:spacing w:val="-2"/>
        </w:rPr>
        <w:t>for</w:t>
      </w:r>
      <w:r>
        <w:rPr>
          <w:spacing w:val="-10"/>
        </w:rPr>
        <w:t> </w:t>
      </w:r>
      <w:r>
        <w:rPr>
          <w:spacing w:val="-2"/>
        </w:rPr>
        <w:t>acceptable</w:t>
      </w:r>
      <w:r>
        <w:rPr>
          <w:spacing w:val="-10"/>
        </w:rPr>
        <w:t> </w:t>
      </w:r>
      <w:r>
        <w:rPr>
          <w:spacing w:val="-2"/>
        </w:rPr>
        <w:t>quality</w:t>
      </w:r>
      <w:r>
        <w:rPr>
          <w:spacing w:val="-10"/>
        </w:rPr>
        <w:t> </w:t>
      </w:r>
      <w:r>
        <w:rPr>
          <w:spacing w:val="-2"/>
        </w:rPr>
        <w:t>and</w:t>
      </w:r>
      <w:r>
        <w:rPr>
          <w:spacing w:val="-10"/>
        </w:rPr>
        <w:t> </w:t>
      </w:r>
      <w:r>
        <w:rPr>
          <w:spacing w:val="-2"/>
        </w:rPr>
        <w:t>other</w:t>
      </w:r>
      <w:r>
        <w:rPr>
          <w:spacing w:val="-10"/>
        </w:rPr>
        <w:t> </w:t>
      </w:r>
      <w:r>
        <w:rPr>
          <w:spacing w:val="-2"/>
        </w:rPr>
        <w:t>sorts</w:t>
      </w:r>
      <w:r>
        <w:rPr>
          <w:spacing w:val="-10"/>
        </w:rPr>
        <w:t> </w:t>
      </w:r>
      <w:r>
        <w:rPr>
          <w:spacing w:val="-2"/>
        </w:rPr>
        <w:t>of</w:t>
      </w:r>
      <w:r>
        <w:rPr>
          <w:spacing w:val="-10"/>
        </w:rPr>
        <w:t> </w:t>
      </w:r>
      <w:r>
        <w:rPr>
          <w:spacing w:val="-2"/>
        </w:rPr>
        <w:t>confusion.</w:t>
      </w:r>
      <w:r>
        <w:rPr>
          <w:spacing w:val="-10"/>
        </w:rPr>
        <w:t> </w:t>
      </w:r>
      <w:r>
        <w:rPr>
          <w:spacing w:val="-2"/>
        </w:rPr>
        <w:t>For </w:t>
      </w:r>
      <w:r>
        <w:rPr/>
        <w:t>example, in the rural areas of several states, the local Panchayati Raj Institution (PRI) runs parallel to the SSA run Village Education Committee (VEC). The </w:t>
      </w:r>
      <w:r>
        <w:rPr>
          <w:spacing w:val="-4"/>
        </w:rPr>
        <w:t>exact</w:t>
      </w:r>
      <w:r>
        <w:rPr>
          <w:spacing w:val="-8"/>
        </w:rPr>
        <w:t> </w:t>
      </w:r>
      <w:r>
        <w:rPr>
          <w:spacing w:val="-4"/>
        </w:rPr>
        <w:t>remit</w:t>
      </w:r>
      <w:r>
        <w:rPr>
          <w:spacing w:val="-8"/>
        </w:rPr>
        <w:t> </w:t>
      </w:r>
      <w:r>
        <w:rPr>
          <w:spacing w:val="-4"/>
        </w:rPr>
        <w:t>of</w:t>
      </w:r>
      <w:r>
        <w:rPr>
          <w:spacing w:val="-8"/>
        </w:rPr>
        <w:t> </w:t>
      </w:r>
      <w:r>
        <w:rPr>
          <w:spacing w:val="-4"/>
        </w:rPr>
        <w:t>each</w:t>
      </w:r>
      <w:r>
        <w:rPr>
          <w:spacing w:val="-8"/>
        </w:rPr>
        <w:t> </w:t>
      </w:r>
      <w:r>
        <w:rPr>
          <w:spacing w:val="-4"/>
        </w:rPr>
        <w:t>is</w:t>
      </w:r>
      <w:r>
        <w:rPr>
          <w:spacing w:val="-8"/>
        </w:rPr>
        <w:t> </w:t>
      </w:r>
      <w:r>
        <w:rPr>
          <w:spacing w:val="-4"/>
        </w:rPr>
        <w:t>not</w:t>
      </w:r>
      <w:r>
        <w:rPr>
          <w:spacing w:val="-8"/>
        </w:rPr>
        <w:t> </w:t>
      </w:r>
      <w:r>
        <w:rPr>
          <w:spacing w:val="-4"/>
        </w:rPr>
        <w:t>clear</w:t>
      </w:r>
      <w:r>
        <w:rPr>
          <w:spacing w:val="-8"/>
        </w:rPr>
        <w:t> </w:t>
      </w:r>
      <w:r>
        <w:rPr>
          <w:spacing w:val="-4"/>
        </w:rPr>
        <w:t>and</w:t>
      </w:r>
      <w:r>
        <w:rPr>
          <w:spacing w:val="-8"/>
        </w:rPr>
        <w:t> </w:t>
      </w:r>
      <w:r>
        <w:rPr>
          <w:spacing w:val="-4"/>
        </w:rPr>
        <w:t>the</w:t>
      </w:r>
      <w:r>
        <w:rPr>
          <w:spacing w:val="-8"/>
        </w:rPr>
        <w:t> </w:t>
      </w:r>
      <w:r>
        <w:rPr>
          <w:spacing w:val="-4"/>
        </w:rPr>
        <w:t>policy</w:t>
      </w:r>
      <w:r>
        <w:rPr>
          <w:spacing w:val="-8"/>
        </w:rPr>
        <w:t> </w:t>
      </w:r>
      <w:r>
        <w:rPr>
          <w:spacing w:val="-4"/>
        </w:rPr>
        <w:t>intentions </w:t>
      </w:r>
      <w:r>
        <w:rPr/>
        <w:t>of both become diluted in the process.</w:t>
      </w:r>
    </w:p>
    <w:p>
      <w:pPr>
        <w:pStyle w:val="BodyText"/>
        <w:spacing w:before="21"/>
      </w:pPr>
    </w:p>
    <w:p>
      <w:pPr>
        <w:pStyle w:val="BodyText"/>
        <w:spacing w:line="266" w:lineRule="auto"/>
        <w:ind w:left="319" w:right="1077"/>
        <w:jc w:val="both"/>
      </w:pPr>
      <w:r>
        <w:rPr/>
        <w:t>It</w:t>
      </w:r>
      <w:r>
        <w:rPr>
          <w:spacing w:val="-1"/>
        </w:rPr>
        <w:t> </w:t>
      </w:r>
      <w:r>
        <w:rPr/>
        <w:t>is</w:t>
      </w:r>
      <w:r>
        <w:rPr>
          <w:spacing w:val="-1"/>
        </w:rPr>
        <w:t> </w:t>
      </w:r>
      <w:r>
        <w:rPr/>
        <w:t>necessary</w:t>
      </w:r>
      <w:r>
        <w:rPr>
          <w:spacing w:val="-1"/>
        </w:rPr>
        <w:t> </w:t>
      </w:r>
      <w:r>
        <w:rPr/>
        <w:t>to</w:t>
      </w:r>
      <w:r>
        <w:rPr>
          <w:spacing w:val="-1"/>
        </w:rPr>
        <w:t> </w:t>
      </w:r>
      <w:r>
        <w:rPr/>
        <w:t>make</w:t>
      </w:r>
      <w:r>
        <w:rPr>
          <w:spacing w:val="-1"/>
        </w:rPr>
        <w:t> </w:t>
      </w:r>
      <w:r>
        <w:rPr/>
        <w:t>systematic</w:t>
      </w:r>
      <w:r>
        <w:rPr>
          <w:spacing w:val="-1"/>
        </w:rPr>
        <w:t> </w:t>
      </w:r>
      <w:r>
        <w:rPr/>
        <w:t>efforts</w:t>
      </w:r>
      <w:r>
        <w:rPr>
          <w:spacing w:val="-1"/>
        </w:rPr>
        <w:t> </w:t>
      </w:r>
      <w:r>
        <w:rPr/>
        <w:t>to</w:t>
      </w:r>
      <w:r>
        <w:rPr>
          <w:spacing w:val="-1"/>
        </w:rPr>
        <w:t> </w:t>
      </w:r>
      <w:r>
        <w:rPr/>
        <w:t>integrate or at least co-ordinate the activities of these separate management structures. The precise roles and responsibilities of each local level and state level department</w:t>
      </w:r>
      <w:r>
        <w:rPr>
          <w:spacing w:val="-14"/>
        </w:rPr>
        <w:t> </w:t>
      </w:r>
      <w:r>
        <w:rPr/>
        <w:t>should</w:t>
      </w:r>
      <w:r>
        <w:rPr>
          <w:spacing w:val="-14"/>
        </w:rPr>
        <w:t> </w:t>
      </w:r>
      <w:r>
        <w:rPr/>
        <w:t>be</w:t>
      </w:r>
      <w:r>
        <w:rPr>
          <w:spacing w:val="-14"/>
        </w:rPr>
        <w:t> </w:t>
      </w:r>
      <w:r>
        <w:rPr/>
        <w:t>clearly</w:t>
      </w:r>
      <w:r>
        <w:rPr>
          <w:spacing w:val="-13"/>
        </w:rPr>
        <w:t> </w:t>
      </w:r>
      <w:r>
        <w:rPr/>
        <w:t>specified,</w:t>
      </w:r>
      <w:r>
        <w:rPr>
          <w:spacing w:val="-14"/>
        </w:rPr>
        <w:t> </w:t>
      </w:r>
      <w:r>
        <w:rPr/>
        <w:t>but</w:t>
      </w:r>
      <w:r>
        <w:rPr>
          <w:spacing w:val="-14"/>
        </w:rPr>
        <w:t> </w:t>
      </w:r>
      <w:r>
        <w:rPr/>
        <w:t>even</w:t>
      </w:r>
      <w:r>
        <w:rPr>
          <w:spacing w:val="-14"/>
        </w:rPr>
        <w:t> </w:t>
      </w:r>
      <w:r>
        <w:rPr/>
        <w:t>more than that, there should be some sort of pressure for </w:t>
      </w:r>
      <w:r>
        <w:rPr>
          <w:spacing w:val="-4"/>
        </w:rPr>
        <w:t>these</w:t>
      </w:r>
      <w:r>
        <w:rPr>
          <w:spacing w:val="-10"/>
        </w:rPr>
        <w:t> </w:t>
      </w:r>
      <w:r>
        <w:rPr>
          <w:spacing w:val="-4"/>
        </w:rPr>
        <w:t>different</w:t>
      </w:r>
      <w:r>
        <w:rPr>
          <w:spacing w:val="-10"/>
        </w:rPr>
        <w:t> </w:t>
      </w:r>
      <w:r>
        <w:rPr>
          <w:spacing w:val="-4"/>
        </w:rPr>
        <w:t>bodies</w:t>
      </w:r>
      <w:r>
        <w:rPr>
          <w:spacing w:val="-10"/>
        </w:rPr>
        <w:t> </w:t>
      </w:r>
      <w:r>
        <w:rPr>
          <w:spacing w:val="-4"/>
        </w:rPr>
        <w:t>to</w:t>
      </w:r>
      <w:r>
        <w:rPr>
          <w:spacing w:val="-9"/>
        </w:rPr>
        <w:t> </w:t>
      </w:r>
      <w:r>
        <w:rPr>
          <w:spacing w:val="-4"/>
        </w:rPr>
        <w:t>work</w:t>
      </w:r>
      <w:r>
        <w:rPr>
          <w:spacing w:val="-10"/>
        </w:rPr>
        <w:t> </w:t>
      </w:r>
      <w:r>
        <w:rPr>
          <w:spacing w:val="-4"/>
        </w:rPr>
        <w:t>together</w:t>
      </w:r>
      <w:r>
        <w:rPr>
          <w:spacing w:val="-10"/>
        </w:rPr>
        <w:t> </w:t>
      </w:r>
      <w:r>
        <w:rPr>
          <w:spacing w:val="-4"/>
        </w:rPr>
        <w:t>as</w:t>
      </w:r>
      <w:r>
        <w:rPr>
          <w:spacing w:val="-10"/>
        </w:rPr>
        <w:t> </w:t>
      </w:r>
      <w:r>
        <w:rPr>
          <w:spacing w:val="-4"/>
        </w:rPr>
        <w:t>far</w:t>
      </w:r>
      <w:r>
        <w:rPr>
          <w:spacing w:val="-9"/>
        </w:rPr>
        <w:t> </w:t>
      </w:r>
      <w:r>
        <w:rPr>
          <w:spacing w:val="-4"/>
        </w:rPr>
        <w:t>as</w:t>
      </w:r>
      <w:r>
        <w:rPr>
          <w:spacing w:val="-10"/>
        </w:rPr>
        <w:t> </w:t>
      </w:r>
      <w:r>
        <w:rPr>
          <w:spacing w:val="-4"/>
        </w:rPr>
        <w:t>possible </w:t>
      </w:r>
      <w:r>
        <w:rPr>
          <w:spacing w:val="-2"/>
        </w:rPr>
        <w:t>and</w:t>
      </w:r>
      <w:r>
        <w:rPr>
          <w:spacing w:val="-12"/>
        </w:rPr>
        <w:t> </w:t>
      </w:r>
      <w:r>
        <w:rPr>
          <w:spacing w:val="-2"/>
        </w:rPr>
        <w:t>provide</w:t>
      </w:r>
      <w:r>
        <w:rPr>
          <w:spacing w:val="-12"/>
        </w:rPr>
        <w:t> </w:t>
      </w:r>
      <w:r>
        <w:rPr>
          <w:spacing w:val="-2"/>
        </w:rPr>
        <w:t>a</w:t>
      </w:r>
      <w:r>
        <w:rPr>
          <w:spacing w:val="-12"/>
        </w:rPr>
        <w:t> </w:t>
      </w:r>
      <w:r>
        <w:rPr>
          <w:spacing w:val="-2"/>
        </w:rPr>
        <w:t>common</w:t>
      </w:r>
      <w:r>
        <w:rPr>
          <w:spacing w:val="-11"/>
        </w:rPr>
        <w:t> </w:t>
      </w:r>
      <w:r>
        <w:rPr>
          <w:spacing w:val="-2"/>
        </w:rPr>
        <w:t>and</w:t>
      </w:r>
      <w:r>
        <w:rPr>
          <w:spacing w:val="-12"/>
        </w:rPr>
        <w:t> </w:t>
      </w:r>
      <w:r>
        <w:rPr>
          <w:spacing w:val="-2"/>
        </w:rPr>
        <w:t>equal</w:t>
      </w:r>
      <w:r>
        <w:rPr>
          <w:spacing w:val="-12"/>
        </w:rPr>
        <w:t> </w:t>
      </w:r>
      <w:r>
        <w:rPr>
          <w:spacing w:val="-2"/>
        </w:rPr>
        <w:t>schooling.</w:t>
      </w:r>
      <w:r>
        <w:rPr>
          <w:spacing w:val="-12"/>
        </w:rPr>
        <w:t> </w:t>
      </w:r>
      <w:r>
        <w:rPr>
          <w:spacing w:val="-2"/>
        </w:rPr>
        <w:t>Education </w:t>
      </w:r>
      <w:r>
        <w:rPr/>
        <w:t>policy must be part of the integrated framework of decentralised planning.</w:t>
      </w:r>
    </w:p>
    <w:p>
      <w:pPr>
        <w:pStyle w:val="BodyText"/>
        <w:spacing w:before="19"/>
      </w:pPr>
    </w:p>
    <w:p>
      <w:pPr>
        <w:pStyle w:val="BodyText"/>
        <w:spacing w:line="266" w:lineRule="auto"/>
        <w:ind w:left="319" w:right="1077"/>
        <w:jc w:val="both"/>
      </w:pPr>
      <w:r>
        <w:rPr/>
        <w:t>In the day-to-day management of schools, it is also necessary</w:t>
      </w:r>
      <w:r>
        <w:rPr>
          <w:spacing w:val="-2"/>
        </w:rPr>
        <w:t> </w:t>
      </w:r>
      <w:r>
        <w:rPr/>
        <w:t>to</w:t>
      </w:r>
      <w:r>
        <w:rPr>
          <w:spacing w:val="-2"/>
        </w:rPr>
        <w:t> </w:t>
      </w:r>
      <w:r>
        <w:rPr/>
        <w:t>work</w:t>
      </w:r>
      <w:r>
        <w:rPr>
          <w:spacing w:val="-2"/>
        </w:rPr>
        <w:t> </w:t>
      </w:r>
      <w:r>
        <w:rPr/>
        <w:t>towards</w:t>
      </w:r>
      <w:r>
        <w:rPr>
          <w:spacing w:val="-2"/>
        </w:rPr>
        <w:t> </w:t>
      </w:r>
      <w:r>
        <w:rPr/>
        <w:t>segregating</w:t>
      </w:r>
      <w:r>
        <w:rPr>
          <w:spacing w:val="-2"/>
        </w:rPr>
        <w:t> </w:t>
      </w:r>
      <w:r>
        <w:rPr/>
        <w:t>teachers</w:t>
      </w:r>
      <w:r>
        <w:rPr>
          <w:spacing w:val="-2"/>
        </w:rPr>
        <w:t> </w:t>
      </w:r>
      <w:r>
        <w:rPr/>
        <w:t>from managers in the school administration. At the same time,</w:t>
      </w:r>
      <w:r>
        <w:rPr>
          <w:spacing w:val="-1"/>
        </w:rPr>
        <w:t> </w:t>
      </w:r>
      <w:r>
        <w:rPr/>
        <w:t>as</w:t>
      </w:r>
      <w:r>
        <w:rPr>
          <w:spacing w:val="-1"/>
        </w:rPr>
        <w:t> </w:t>
      </w:r>
      <w:r>
        <w:rPr/>
        <w:t>noted</w:t>
      </w:r>
      <w:r>
        <w:rPr>
          <w:spacing w:val="-1"/>
        </w:rPr>
        <w:t> </w:t>
      </w:r>
      <w:r>
        <w:rPr/>
        <w:t>above</w:t>
      </w:r>
      <w:r>
        <w:rPr>
          <w:spacing w:val="-1"/>
        </w:rPr>
        <w:t> </w:t>
      </w:r>
      <w:r>
        <w:rPr/>
        <w:t>in</w:t>
      </w:r>
      <w:r>
        <w:rPr>
          <w:spacing w:val="-1"/>
        </w:rPr>
        <w:t> </w:t>
      </w:r>
      <w:r>
        <w:rPr/>
        <w:t>point</w:t>
      </w:r>
      <w:r>
        <w:rPr>
          <w:spacing w:val="-1"/>
        </w:rPr>
        <w:t> </w:t>
      </w:r>
      <w:r>
        <w:rPr/>
        <w:t>I.4,</w:t>
      </w:r>
      <w:r>
        <w:rPr>
          <w:spacing w:val="-1"/>
        </w:rPr>
        <w:t> </w:t>
      </w:r>
      <w:r>
        <w:rPr/>
        <w:t>the</w:t>
      </w:r>
      <w:r>
        <w:rPr>
          <w:spacing w:val="-1"/>
        </w:rPr>
        <w:t> </w:t>
      </w:r>
      <w:r>
        <w:rPr/>
        <w:t>decentralisation of authority is critical in improving and maintaining the quality of education. Therefore, the local level </w:t>
      </w:r>
      <w:r>
        <w:rPr>
          <w:w w:val="90"/>
        </w:rPr>
        <w:t>management of schools, including locally elected bodies, </w:t>
      </w:r>
      <w:r>
        <w:rPr>
          <w:spacing w:val="-2"/>
        </w:rPr>
        <w:t>school</w:t>
      </w:r>
      <w:r>
        <w:rPr>
          <w:spacing w:val="-12"/>
        </w:rPr>
        <w:t> </w:t>
      </w:r>
      <w:r>
        <w:rPr>
          <w:spacing w:val="-2"/>
        </w:rPr>
        <w:t>boards,</w:t>
      </w:r>
      <w:r>
        <w:rPr>
          <w:spacing w:val="-12"/>
        </w:rPr>
        <w:t> </w:t>
      </w:r>
      <w:r>
        <w:rPr>
          <w:spacing w:val="-2"/>
        </w:rPr>
        <w:t>Village</w:t>
      </w:r>
      <w:r>
        <w:rPr>
          <w:spacing w:val="-12"/>
        </w:rPr>
        <w:t> </w:t>
      </w:r>
      <w:r>
        <w:rPr>
          <w:spacing w:val="-2"/>
        </w:rPr>
        <w:t>Education</w:t>
      </w:r>
      <w:r>
        <w:rPr>
          <w:spacing w:val="-11"/>
        </w:rPr>
        <w:t> </w:t>
      </w:r>
      <w:r>
        <w:rPr>
          <w:spacing w:val="-2"/>
        </w:rPr>
        <w:t>Committees,</w:t>
      </w:r>
      <w:r>
        <w:rPr>
          <w:spacing w:val="-12"/>
        </w:rPr>
        <w:t> </w:t>
      </w:r>
      <w:r>
        <w:rPr>
          <w:spacing w:val="-2"/>
        </w:rPr>
        <w:t>must</w:t>
      </w:r>
      <w:r>
        <w:rPr>
          <w:spacing w:val="-12"/>
        </w:rPr>
        <w:t> </w:t>
      </w:r>
      <w:r>
        <w:rPr>
          <w:spacing w:val="-2"/>
        </w:rPr>
        <w:t>be </w:t>
      </w:r>
      <w:r>
        <w:rPr/>
        <w:t>allowed</w:t>
      </w:r>
      <w:r>
        <w:rPr>
          <w:spacing w:val="-6"/>
        </w:rPr>
        <w:t> </w:t>
      </w:r>
      <w:r>
        <w:rPr/>
        <w:t>a</w:t>
      </w:r>
      <w:r>
        <w:rPr>
          <w:spacing w:val="-6"/>
        </w:rPr>
        <w:t> </w:t>
      </w:r>
      <w:r>
        <w:rPr/>
        <w:t>significant</w:t>
      </w:r>
      <w:r>
        <w:rPr>
          <w:spacing w:val="-6"/>
        </w:rPr>
        <w:t> </w:t>
      </w:r>
      <w:r>
        <w:rPr/>
        <w:t>degree</w:t>
      </w:r>
      <w:r>
        <w:rPr>
          <w:spacing w:val="-6"/>
        </w:rPr>
        <w:t> </w:t>
      </w:r>
      <w:r>
        <w:rPr/>
        <w:t>of</w:t>
      </w:r>
      <w:r>
        <w:rPr>
          <w:spacing w:val="-6"/>
        </w:rPr>
        <w:t> </w:t>
      </w:r>
      <w:r>
        <w:rPr/>
        <w:t>autonomy</w:t>
      </w:r>
      <w:r>
        <w:rPr>
          <w:spacing w:val="-6"/>
        </w:rPr>
        <w:t> </w:t>
      </w:r>
      <w:r>
        <w:rPr/>
        <w:t>in</w:t>
      </w:r>
      <w:r>
        <w:rPr>
          <w:spacing w:val="-6"/>
        </w:rPr>
        <w:t> </w:t>
      </w:r>
      <w:r>
        <w:rPr/>
        <w:t>handling </w:t>
      </w:r>
      <w:r>
        <w:rPr>
          <w:spacing w:val="-2"/>
        </w:rPr>
        <w:t>matters</w:t>
      </w:r>
      <w:r>
        <w:rPr>
          <w:spacing w:val="-8"/>
        </w:rPr>
        <w:t> </w:t>
      </w:r>
      <w:r>
        <w:rPr>
          <w:spacing w:val="-2"/>
        </w:rPr>
        <w:t>relating</w:t>
      </w:r>
      <w:r>
        <w:rPr>
          <w:spacing w:val="-8"/>
        </w:rPr>
        <w:t> </w:t>
      </w:r>
      <w:r>
        <w:rPr>
          <w:spacing w:val="-2"/>
        </w:rPr>
        <w:t>to</w:t>
      </w:r>
      <w:r>
        <w:rPr>
          <w:spacing w:val="-8"/>
        </w:rPr>
        <w:t> </w:t>
      </w:r>
      <w:r>
        <w:rPr>
          <w:spacing w:val="-2"/>
        </w:rPr>
        <w:t>their</w:t>
      </w:r>
      <w:r>
        <w:rPr>
          <w:spacing w:val="-8"/>
        </w:rPr>
        <w:t> </w:t>
      </w:r>
      <w:r>
        <w:rPr>
          <w:spacing w:val="-2"/>
        </w:rPr>
        <w:t>schools,</w:t>
      </w:r>
      <w:r>
        <w:rPr>
          <w:spacing w:val="-8"/>
        </w:rPr>
        <w:t> </w:t>
      </w:r>
      <w:r>
        <w:rPr>
          <w:spacing w:val="-2"/>
        </w:rPr>
        <w:t>including</w:t>
      </w:r>
      <w:r>
        <w:rPr>
          <w:spacing w:val="-8"/>
        </w:rPr>
        <w:t> </w:t>
      </w:r>
      <w:r>
        <w:rPr>
          <w:spacing w:val="-2"/>
        </w:rPr>
        <w:t>not</w:t>
      </w:r>
      <w:r>
        <w:rPr>
          <w:spacing w:val="-8"/>
        </w:rPr>
        <w:t> </w:t>
      </w:r>
      <w:r>
        <w:rPr>
          <w:spacing w:val="-2"/>
        </w:rPr>
        <w:t>only</w:t>
      </w:r>
      <w:r>
        <w:rPr>
          <w:spacing w:val="-8"/>
        </w:rPr>
        <w:t> </w:t>
      </w:r>
      <w:r>
        <w:rPr>
          <w:spacing w:val="-2"/>
        </w:rPr>
        <w:t>the </w:t>
      </w:r>
      <w:r>
        <w:rPr>
          <w:spacing w:val="-4"/>
        </w:rPr>
        <w:t>exact</w:t>
      </w:r>
      <w:r>
        <w:rPr>
          <w:spacing w:val="-6"/>
        </w:rPr>
        <w:t> </w:t>
      </w:r>
      <w:r>
        <w:rPr>
          <w:spacing w:val="-4"/>
        </w:rPr>
        <w:t>allocation</w:t>
      </w:r>
      <w:r>
        <w:rPr>
          <w:spacing w:val="-6"/>
        </w:rPr>
        <w:t> </w:t>
      </w:r>
      <w:r>
        <w:rPr>
          <w:spacing w:val="-4"/>
        </w:rPr>
        <w:t>of</w:t>
      </w:r>
      <w:r>
        <w:rPr>
          <w:spacing w:val="-6"/>
        </w:rPr>
        <w:t> </w:t>
      </w:r>
      <w:r>
        <w:rPr>
          <w:spacing w:val="-4"/>
        </w:rPr>
        <w:t>funds,</w:t>
      </w:r>
      <w:r>
        <w:rPr>
          <w:spacing w:val="-6"/>
        </w:rPr>
        <w:t> </w:t>
      </w:r>
      <w:r>
        <w:rPr>
          <w:spacing w:val="-4"/>
        </w:rPr>
        <w:t>but</w:t>
      </w:r>
      <w:r>
        <w:rPr>
          <w:spacing w:val="-6"/>
        </w:rPr>
        <w:t> </w:t>
      </w:r>
      <w:r>
        <w:rPr>
          <w:spacing w:val="-4"/>
        </w:rPr>
        <w:t>also</w:t>
      </w:r>
      <w:r>
        <w:rPr>
          <w:spacing w:val="-6"/>
        </w:rPr>
        <w:t> </w:t>
      </w:r>
      <w:r>
        <w:rPr>
          <w:spacing w:val="-4"/>
        </w:rPr>
        <w:t>other</w:t>
      </w:r>
      <w:r>
        <w:rPr>
          <w:spacing w:val="-6"/>
        </w:rPr>
        <w:t> </w:t>
      </w:r>
      <w:r>
        <w:rPr>
          <w:spacing w:val="-4"/>
        </w:rPr>
        <w:t>matters</w:t>
      </w:r>
      <w:r>
        <w:rPr>
          <w:spacing w:val="-6"/>
        </w:rPr>
        <w:t> </w:t>
      </w:r>
      <w:r>
        <w:rPr>
          <w:spacing w:val="-4"/>
        </w:rPr>
        <w:t>relating </w:t>
      </w:r>
      <w:r>
        <w:rPr/>
        <w:t>to school functioning and monitoring of teachers etc.</w:t>
      </w:r>
    </w:p>
    <w:p>
      <w:pPr>
        <w:pStyle w:val="Heading7"/>
        <w:numPr>
          <w:ilvl w:val="1"/>
          <w:numId w:val="14"/>
        </w:numPr>
        <w:tabs>
          <w:tab w:pos="724" w:val="left" w:leader="none"/>
          <w:tab w:pos="726" w:val="left" w:leader="none"/>
        </w:tabs>
        <w:spacing w:line="225" w:lineRule="auto" w:before="247" w:after="0"/>
        <w:ind w:left="726" w:right="1235" w:hanging="408"/>
        <w:jc w:val="left"/>
      </w:pPr>
      <w:r>
        <w:rPr>
          <w:color w:val="2E614A"/>
        </w:rPr>
        <w:t>There</w:t>
      </w:r>
      <w:r>
        <w:rPr>
          <w:color w:val="2E614A"/>
          <w:spacing w:val="-15"/>
        </w:rPr>
        <w:t> </w:t>
      </w:r>
      <w:r>
        <w:rPr>
          <w:color w:val="2E614A"/>
        </w:rPr>
        <w:t>is</w:t>
      </w:r>
      <w:r>
        <w:rPr>
          <w:color w:val="2E614A"/>
          <w:spacing w:val="-15"/>
        </w:rPr>
        <w:t> </w:t>
      </w:r>
      <w:r>
        <w:rPr>
          <w:color w:val="2E614A"/>
        </w:rPr>
        <w:t>need</w:t>
      </w:r>
      <w:r>
        <w:rPr>
          <w:color w:val="2E614A"/>
          <w:spacing w:val="-15"/>
        </w:rPr>
        <w:t> </w:t>
      </w:r>
      <w:r>
        <w:rPr>
          <w:color w:val="2E614A"/>
        </w:rPr>
        <w:t>for</w:t>
      </w:r>
      <w:r>
        <w:rPr>
          <w:color w:val="2E614A"/>
          <w:spacing w:val="-15"/>
        </w:rPr>
        <w:t> </w:t>
      </w:r>
      <w:r>
        <w:rPr>
          <w:color w:val="2E614A"/>
        </w:rPr>
        <w:t>a</w:t>
      </w:r>
      <w:r>
        <w:rPr>
          <w:color w:val="2E614A"/>
          <w:spacing w:val="-15"/>
        </w:rPr>
        <w:t> </w:t>
      </w:r>
      <w:r>
        <w:rPr>
          <w:color w:val="2E614A"/>
        </w:rPr>
        <w:t>national</w:t>
      </w:r>
      <w:r>
        <w:rPr>
          <w:color w:val="2E614A"/>
          <w:spacing w:val="-15"/>
        </w:rPr>
        <w:t> </w:t>
      </w:r>
      <w:r>
        <w:rPr>
          <w:color w:val="2E614A"/>
        </w:rPr>
        <w:t>body</w:t>
      </w:r>
      <w:r>
        <w:rPr>
          <w:color w:val="2E614A"/>
          <w:spacing w:val="-15"/>
        </w:rPr>
        <w:t> </w:t>
      </w:r>
      <w:r>
        <w:rPr>
          <w:color w:val="2E614A"/>
        </w:rPr>
        <w:t>to </w:t>
      </w:r>
      <w:r>
        <w:rPr>
          <w:color w:val="2E614A"/>
          <w:spacing w:val="-8"/>
        </w:rPr>
        <w:t>monitor the quality of both </w:t>
      </w:r>
      <w:r>
        <w:rPr>
          <w:color w:val="2E614A"/>
          <w:spacing w:val="-8"/>
        </w:rPr>
        <w:t>government </w:t>
      </w:r>
      <w:r>
        <w:rPr>
          <w:color w:val="2E614A"/>
          <w:spacing w:val="-2"/>
        </w:rPr>
        <w:t>and</w:t>
      </w:r>
      <w:r>
        <w:rPr>
          <w:color w:val="2E614A"/>
          <w:spacing w:val="-15"/>
        </w:rPr>
        <w:t> </w:t>
      </w:r>
      <w:r>
        <w:rPr>
          <w:color w:val="2E614A"/>
          <w:spacing w:val="-2"/>
        </w:rPr>
        <w:t>private</w:t>
      </w:r>
      <w:r>
        <w:rPr>
          <w:color w:val="2E614A"/>
          <w:spacing w:val="-14"/>
        </w:rPr>
        <w:t> </w:t>
      </w:r>
      <w:r>
        <w:rPr>
          <w:color w:val="2E614A"/>
          <w:spacing w:val="-2"/>
        </w:rPr>
        <w:t>schools,</w:t>
      </w:r>
      <w:r>
        <w:rPr>
          <w:color w:val="2E614A"/>
          <w:spacing w:val="-14"/>
        </w:rPr>
        <w:t> </w:t>
      </w:r>
      <w:r>
        <w:rPr>
          <w:color w:val="2E614A"/>
          <w:spacing w:val="-2"/>
        </w:rPr>
        <w:t>to</w:t>
      </w:r>
      <w:r>
        <w:rPr>
          <w:color w:val="2E614A"/>
          <w:spacing w:val="-14"/>
        </w:rPr>
        <w:t> </w:t>
      </w:r>
      <w:r>
        <w:rPr>
          <w:color w:val="2E614A"/>
          <w:spacing w:val="-2"/>
        </w:rPr>
        <w:t>ensure</w:t>
      </w:r>
      <w:r>
        <w:rPr>
          <w:color w:val="2E614A"/>
          <w:spacing w:val="-15"/>
        </w:rPr>
        <w:t> </w:t>
      </w:r>
      <w:r>
        <w:rPr>
          <w:color w:val="2E614A"/>
          <w:spacing w:val="-2"/>
        </w:rPr>
        <w:t>that </w:t>
      </w:r>
      <w:r>
        <w:rPr>
          <w:color w:val="2E614A"/>
          <w:spacing w:val="-8"/>
        </w:rPr>
        <w:t>minimum</w:t>
      </w:r>
      <w:r>
        <w:rPr>
          <w:color w:val="2E614A"/>
          <w:spacing w:val="-9"/>
        </w:rPr>
        <w:t> </w:t>
      </w:r>
      <w:r>
        <w:rPr>
          <w:color w:val="2E614A"/>
          <w:spacing w:val="-8"/>
        </w:rPr>
        <w:t>standards are met in</w:t>
      </w:r>
      <w:r>
        <w:rPr>
          <w:color w:val="2E614A"/>
          <w:spacing w:val="-9"/>
        </w:rPr>
        <w:t> </w:t>
      </w:r>
      <w:r>
        <w:rPr>
          <w:color w:val="2E614A"/>
          <w:spacing w:val="-8"/>
        </w:rPr>
        <w:t>terms of </w:t>
      </w:r>
      <w:r>
        <w:rPr>
          <w:color w:val="2E614A"/>
        </w:rPr>
        <w:t>learning outcomes.</w:t>
      </w:r>
    </w:p>
    <w:p>
      <w:pPr>
        <w:pStyle w:val="BodyText"/>
        <w:spacing w:line="266" w:lineRule="auto" w:before="298"/>
        <w:ind w:left="319" w:right="1077"/>
        <w:jc w:val="both"/>
      </w:pPr>
      <w:r>
        <w:rPr/>
        <w:t>Currently there is no systematic and continuous feedback</w:t>
      </w:r>
      <w:r>
        <w:rPr>
          <w:spacing w:val="-12"/>
        </w:rPr>
        <w:t> </w:t>
      </w:r>
      <w:r>
        <w:rPr/>
        <w:t>on</w:t>
      </w:r>
      <w:r>
        <w:rPr>
          <w:spacing w:val="-12"/>
        </w:rPr>
        <w:t> </w:t>
      </w:r>
      <w:r>
        <w:rPr/>
        <w:t>the</w:t>
      </w:r>
      <w:r>
        <w:rPr>
          <w:spacing w:val="-12"/>
        </w:rPr>
        <w:t> </w:t>
      </w:r>
      <w:r>
        <w:rPr/>
        <w:t>actual</w:t>
      </w:r>
      <w:r>
        <w:rPr>
          <w:spacing w:val="-12"/>
        </w:rPr>
        <w:t> </w:t>
      </w:r>
      <w:r>
        <w:rPr/>
        <w:t>impact</w:t>
      </w:r>
      <w:r>
        <w:rPr>
          <w:spacing w:val="-12"/>
        </w:rPr>
        <w:t> </w:t>
      </w:r>
      <w:r>
        <w:rPr/>
        <w:t>and</w:t>
      </w:r>
      <w:r>
        <w:rPr>
          <w:spacing w:val="-12"/>
        </w:rPr>
        <w:t> </w:t>
      </w:r>
      <w:r>
        <w:rPr/>
        <w:t>outcome</w:t>
      </w:r>
      <w:r>
        <w:rPr>
          <w:spacing w:val="-12"/>
        </w:rPr>
        <w:t> </w:t>
      </w:r>
      <w:r>
        <w:rPr/>
        <w:t>of</w:t>
      </w:r>
      <w:r>
        <w:rPr>
          <w:spacing w:val="-12"/>
        </w:rPr>
        <w:t> </w:t>
      </w:r>
      <w:r>
        <w:rPr/>
        <w:t>various </w:t>
      </w:r>
      <w:r>
        <w:rPr>
          <w:spacing w:val="-6"/>
        </w:rPr>
        <w:t>educational schemes and initiatives, or the actual quality </w:t>
      </w:r>
      <w:r>
        <w:rPr/>
        <w:t>of education imparted in schools. There is a strong case</w:t>
      </w:r>
      <w:r>
        <w:rPr>
          <w:spacing w:val="-9"/>
        </w:rPr>
        <w:t> </w:t>
      </w:r>
      <w:r>
        <w:rPr/>
        <w:t>for</w:t>
      </w:r>
      <w:r>
        <w:rPr>
          <w:spacing w:val="-9"/>
        </w:rPr>
        <w:t> </w:t>
      </w:r>
      <w:r>
        <w:rPr/>
        <w:t>a</w:t>
      </w:r>
      <w:r>
        <w:rPr>
          <w:spacing w:val="-9"/>
        </w:rPr>
        <w:t> </w:t>
      </w:r>
      <w:r>
        <w:rPr/>
        <w:t>testing</w:t>
      </w:r>
      <w:r>
        <w:rPr>
          <w:spacing w:val="-9"/>
        </w:rPr>
        <w:t> </w:t>
      </w:r>
      <w:r>
        <w:rPr/>
        <w:t>body</w:t>
      </w:r>
      <w:r>
        <w:rPr>
          <w:spacing w:val="-9"/>
        </w:rPr>
        <w:t> </w:t>
      </w:r>
      <w:r>
        <w:rPr/>
        <w:t>at</w:t>
      </w:r>
      <w:r>
        <w:rPr>
          <w:spacing w:val="-9"/>
        </w:rPr>
        <w:t> </w:t>
      </w:r>
      <w:r>
        <w:rPr/>
        <w:t>the</w:t>
      </w:r>
      <w:r>
        <w:rPr>
          <w:spacing w:val="-9"/>
        </w:rPr>
        <w:t> </w:t>
      </w:r>
      <w:r>
        <w:rPr/>
        <w:t>national</w:t>
      </w:r>
      <w:r>
        <w:rPr>
          <w:spacing w:val="-9"/>
        </w:rPr>
        <w:t> </w:t>
      </w:r>
      <w:r>
        <w:rPr/>
        <w:t>level</w:t>
      </w:r>
      <w:r>
        <w:rPr>
          <w:spacing w:val="-9"/>
        </w:rPr>
        <w:t> </w:t>
      </w:r>
      <w:r>
        <w:rPr/>
        <w:t>for</w:t>
      </w:r>
      <w:r>
        <w:rPr>
          <w:spacing w:val="-9"/>
        </w:rPr>
        <w:t> </w:t>
      </w:r>
      <w:r>
        <w:rPr/>
        <w:t>quality assessment of schools. A results-based monitoring framework with due process indicators and outcome indicators needs to be evolved.</w:t>
      </w:r>
      <w:r>
        <w:rPr>
          <w:spacing w:val="-2"/>
        </w:rPr>
        <w:t> </w:t>
      </w:r>
      <w:r>
        <w:rPr/>
        <w:t>This should be based on a short list of monitorable criteria. These should include</w:t>
      </w:r>
      <w:r>
        <w:rPr>
          <w:spacing w:val="-1"/>
        </w:rPr>
        <w:t> </w:t>
      </w:r>
      <w:r>
        <w:rPr/>
        <w:t>fixed</w:t>
      </w:r>
      <w:r>
        <w:rPr>
          <w:spacing w:val="-1"/>
        </w:rPr>
        <w:t> </w:t>
      </w:r>
      <w:r>
        <w:rPr/>
        <w:t>infrastructural</w:t>
      </w:r>
      <w:r>
        <w:rPr>
          <w:spacing w:val="-1"/>
        </w:rPr>
        <w:t> </w:t>
      </w:r>
      <w:r>
        <w:rPr/>
        <w:t>requirements,</w:t>
      </w:r>
      <w:r>
        <w:rPr>
          <w:spacing w:val="-1"/>
        </w:rPr>
        <w:t> </w:t>
      </w:r>
      <w:r>
        <w:rPr/>
        <w:t>enrolment and</w:t>
      </w:r>
      <w:r>
        <w:rPr>
          <w:spacing w:val="-7"/>
        </w:rPr>
        <w:t> </w:t>
      </w:r>
      <w:r>
        <w:rPr/>
        <w:t>attendance,</w:t>
      </w:r>
      <w:r>
        <w:rPr>
          <w:spacing w:val="-7"/>
        </w:rPr>
        <w:t> </w:t>
      </w:r>
      <w:r>
        <w:rPr/>
        <w:t>as</w:t>
      </w:r>
      <w:r>
        <w:rPr>
          <w:spacing w:val="-7"/>
        </w:rPr>
        <w:t> </w:t>
      </w:r>
      <w:r>
        <w:rPr/>
        <w:t>well</w:t>
      </w:r>
      <w:r>
        <w:rPr>
          <w:spacing w:val="-7"/>
        </w:rPr>
        <w:t> </w:t>
      </w:r>
      <w:r>
        <w:rPr/>
        <w:t>as</w:t>
      </w:r>
      <w:r>
        <w:rPr>
          <w:spacing w:val="-7"/>
        </w:rPr>
        <w:t> </w:t>
      </w:r>
      <w:r>
        <w:rPr/>
        <w:t>outcome</w:t>
      </w:r>
      <w:r>
        <w:rPr>
          <w:spacing w:val="-7"/>
        </w:rPr>
        <w:t> </w:t>
      </w:r>
      <w:r>
        <w:rPr/>
        <w:t>indicators</w:t>
      </w:r>
      <w:r>
        <w:rPr>
          <w:spacing w:val="-7"/>
        </w:rPr>
        <w:t> </w:t>
      </w:r>
      <w:r>
        <w:rPr/>
        <w:t>such</w:t>
      </w:r>
      <w:r>
        <w:rPr>
          <w:spacing w:val="-7"/>
        </w:rPr>
        <w:t> </w:t>
      </w:r>
      <w:r>
        <w:rPr/>
        <w:t>as learning</w:t>
      </w:r>
      <w:r>
        <w:rPr>
          <w:spacing w:val="-7"/>
        </w:rPr>
        <w:t> </w:t>
      </w:r>
      <w:r>
        <w:rPr/>
        <w:t>levels</w:t>
      </w:r>
      <w:r>
        <w:rPr>
          <w:spacing w:val="-7"/>
        </w:rPr>
        <w:t> </w:t>
      </w:r>
      <w:r>
        <w:rPr/>
        <w:t>achieved</w:t>
      </w:r>
      <w:r>
        <w:rPr>
          <w:spacing w:val="-7"/>
        </w:rPr>
        <w:t> </w:t>
      </w:r>
      <w:r>
        <w:rPr/>
        <w:t>in</w:t>
      </w:r>
      <w:r>
        <w:rPr>
          <w:spacing w:val="-7"/>
        </w:rPr>
        <w:t> </w:t>
      </w:r>
      <w:r>
        <w:rPr/>
        <w:t>certain</w:t>
      </w:r>
      <w:r>
        <w:rPr>
          <w:spacing w:val="-7"/>
        </w:rPr>
        <w:t> </w:t>
      </w:r>
      <w:r>
        <w:rPr/>
        <w:t>basic</w:t>
      </w:r>
      <w:r>
        <w:rPr>
          <w:spacing w:val="-7"/>
        </w:rPr>
        <w:t> </w:t>
      </w:r>
      <w:r>
        <w:rPr/>
        <w:t>areas</w:t>
      </w:r>
      <w:r>
        <w:rPr>
          <w:spacing w:val="-7"/>
        </w:rPr>
        <w:t> </w:t>
      </w:r>
      <w:r>
        <w:rPr/>
        <w:t>such</w:t>
      </w:r>
      <w:r>
        <w:rPr>
          <w:spacing w:val="-7"/>
        </w:rPr>
        <w:t> </w:t>
      </w:r>
      <w:r>
        <w:rPr/>
        <w:t>as language</w:t>
      </w:r>
      <w:r>
        <w:rPr>
          <w:spacing w:val="12"/>
        </w:rPr>
        <w:t> </w:t>
      </w:r>
      <w:r>
        <w:rPr/>
        <w:t>skills</w:t>
      </w:r>
      <w:r>
        <w:rPr>
          <w:spacing w:val="13"/>
        </w:rPr>
        <w:t> </w:t>
      </w:r>
      <w:r>
        <w:rPr/>
        <w:t>and</w:t>
      </w:r>
      <w:r>
        <w:rPr>
          <w:spacing w:val="13"/>
        </w:rPr>
        <w:t> </w:t>
      </w:r>
      <w:r>
        <w:rPr/>
        <w:t>numeracy</w:t>
      </w:r>
      <w:r>
        <w:rPr>
          <w:spacing w:val="13"/>
        </w:rPr>
        <w:t> </w:t>
      </w:r>
      <w:r>
        <w:rPr/>
        <w:t>etc.</w:t>
      </w:r>
      <w:r>
        <w:rPr>
          <w:spacing w:val="13"/>
        </w:rPr>
        <w:t> </w:t>
      </w:r>
      <w:r>
        <w:rPr/>
        <w:t>Such</w:t>
      </w:r>
      <w:r>
        <w:rPr>
          <w:spacing w:val="13"/>
        </w:rPr>
        <w:t> </w:t>
      </w:r>
      <w:r>
        <w:rPr/>
        <w:t>a</w:t>
      </w:r>
      <w:r>
        <w:rPr>
          <w:spacing w:val="13"/>
        </w:rPr>
        <w:t> </w:t>
      </w:r>
      <w:r>
        <w:rPr/>
        <w:t>process</w:t>
      </w:r>
      <w:r>
        <w:rPr>
          <w:spacing w:val="13"/>
        </w:rPr>
        <w:t> </w:t>
      </w:r>
      <w:r>
        <w:rPr>
          <w:spacing w:val="-5"/>
        </w:rPr>
        <w:t>of</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97"/>
        <w:ind w:left="1079"/>
        <w:jc w:val="both"/>
      </w:pPr>
      <w:r>
        <w:rPr/>
        <w:t>assessment needs to be applied to all schools – </w:t>
      </w:r>
      <w:r>
        <w:rPr/>
        <w:t>both public and private. However, the testing of students must</w:t>
      </w:r>
      <w:r>
        <w:rPr>
          <w:spacing w:val="-2"/>
        </w:rPr>
        <w:t> </w:t>
      </w:r>
      <w:r>
        <w:rPr/>
        <w:t>not</w:t>
      </w:r>
      <w:r>
        <w:rPr>
          <w:spacing w:val="-2"/>
        </w:rPr>
        <w:t> </w:t>
      </w:r>
      <w:r>
        <w:rPr/>
        <w:t>involve</w:t>
      </w:r>
      <w:r>
        <w:rPr>
          <w:spacing w:val="-2"/>
        </w:rPr>
        <w:t> </w:t>
      </w:r>
      <w:r>
        <w:rPr/>
        <w:t>topics</w:t>
      </w:r>
      <w:r>
        <w:rPr>
          <w:spacing w:val="-2"/>
        </w:rPr>
        <w:t> </w:t>
      </w:r>
      <w:r>
        <w:rPr/>
        <w:t>or</w:t>
      </w:r>
      <w:r>
        <w:rPr>
          <w:spacing w:val="-2"/>
        </w:rPr>
        <w:t> </w:t>
      </w:r>
      <w:r>
        <w:rPr/>
        <w:t>questions</w:t>
      </w:r>
      <w:r>
        <w:rPr>
          <w:spacing w:val="-2"/>
        </w:rPr>
        <w:t> </w:t>
      </w:r>
      <w:r>
        <w:rPr/>
        <w:t>that</w:t>
      </w:r>
      <w:r>
        <w:rPr>
          <w:spacing w:val="-2"/>
        </w:rPr>
        <w:t> </w:t>
      </w:r>
      <w:r>
        <w:rPr/>
        <w:t>provide</w:t>
      </w:r>
      <w:r>
        <w:rPr>
          <w:spacing w:val="-2"/>
        </w:rPr>
        <w:t> </w:t>
      </w:r>
      <w:r>
        <w:rPr/>
        <w:t>any incentives</w:t>
      </w:r>
      <w:r>
        <w:rPr>
          <w:spacing w:val="-4"/>
        </w:rPr>
        <w:t> </w:t>
      </w:r>
      <w:r>
        <w:rPr/>
        <w:t>for</w:t>
      </w:r>
      <w:r>
        <w:rPr>
          <w:spacing w:val="-4"/>
        </w:rPr>
        <w:t> </w:t>
      </w:r>
      <w:r>
        <w:rPr/>
        <w:t>rote-learning.</w:t>
      </w:r>
      <w:r>
        <w:rPr>
          <w:spacing w:val="-10"/>
        </w:rPr>
        <w:t> </w:t>
      </w:r>
      <w:r>
        <w:rPr/>
        <w:t>The</w:t>
      </w:r>
      <w:r>
        <w:rPr>
          <w:spacing w:val="-4"/>
        </w:rPr>
        <w:t> </w:t>
      </w:r>
      <w:r>
        <w:rPr/>
        <w:t>tracking</w:t>
      </w:r>
      <w:r>
        <w:rPr>
          <w:spacing w:val="-4"/>
        </w:rPr>
        <w:t> </w:t>
      </w:r>
      <w:r>
        <w:rPr/>
        <w:t>mechanism should ideally be concerned with the profile of skill attainment of each student.</w:t>
      </w:r>
    </w:p>
    <w:p>
      <w:pPr>
        <w:pStyle w:val="BodyText"/>
        <w:spacing w:before="22"/>
      </w:pPr>
    </w:p>
    <w:p>
      <w:pPr>
        <w:pStyle w:val="BodyText"/>
        <w:spacing w:line="266" w:lineRule="auto"/>
        <w:ind w:left="1080"/>
        <w:jc w:val="both"/>
      </w:pPr>
      <w:r>
        <w:rPr>
          <w:spacing w:val="-4"/>
        </w:rPr>
        <w:t>Since</w:t>
      </w:r>
      <w:r>
        <w:rPr>
          <w:spacing w:val="-10"/>
        </w:rPr>
        <w:t> </w:t>
      </w:r>
      <w:r>
        <w:rPr>
          <w:spacing w:val="-4"/>
        </w:rPr>
        <w:t>school</w:t>
      </w:r>
      <w:r>
        <w:rPr>
          <w:spacing w:val="-10"/>
        </w:rPr>
        <w:t> </w:t>
      </w:r>
      <w:r>
        <w:rPr>
          <w:spacing w:val="-4"/>
        </w:rPr>
        <w:t>education</w:t>
      </w:r>
      <w:r>
        <w:rPr>
          <w:spacing w:val="-10"/>
        </w:rPr>
        <w:t> </w:t>
      </w:r>
      <w:r>
        <w:rPr>
          <w:spacing w:val="-4"/>
        </w:rPr>
        <w:t>is</w:t>
      </w:r>
      <w:r>
        <w:rPr>
          <w:spacing w:val="-9"/>
        </w:rPr>
        <w:t> </w:t>
      </w:r>
      <w:r>
        <w:rPr>
          <w:spacing w:val="-4"/>
        </w:rPr>
        <w:t>largely</w:t>
      </w:r>
      <w:r>
        <w:rPr>
          <w:spacing w:val="-10"/>
        </w:rPr>
        <w:t> </w:t>
      </w:r>
      <w:r>
        <w:rPr>
          <w:spacing w:val="-4"/>
        </w:rPr>
        <w:t>a</w:t>
      </w:r>
      <w:r>
        <w:rPr>
          <w:spacing w:val="-10"/>
        </w:rPr>
        <w:t> </w:t>
      </w:r>
      <w:r>
        <w:rPr>
          <w:spacing w:val="-4"/>
        </w:rPr>
        <w:t>state</w:t>
      </w:r>
      <w:r>
        <w:rPr>
          <w:spacing w:val="-10"/>
        </w:rPr>
        <w:t> </w:t>
      </w:r>
      <w:r>
        <w:rPr>
          <w:spacing w:val="-4"/>
        </w:rPr>
        <w:t>subject,</w:t>
      </w:r>
      <w:r>
        <w:rPr>
          <w:spacing w:val="-9"/>
        </w:rPr>
        <w:t> </w:t>
      </w:r>
      <w:r>
        <w:rPr>
          <w:spacing w:val="-4"/>
        </w:rPr>
        <w:t>but</w:t>
      </w:r>
      <w:r>
        <w:rPr>
          <w:spacing w:val="-10"/>
        </w:rPr>
        <w:t> </w:t>
      </w:r>
      <w:r>
        <w:rPr>
          <w:spacing w:val="-4"/>
        </w:rPr>
        <w:t>it</w:t>
      </w:r>
      <w:r>
        <w:rPr>
          <w:spacing w:val="-10"/>
        </w:rPr>
        <w:t> </w:t>
      </w:r>
      <w:r>
        <w:rPr>
          <w:spacing w:val="-4"/>
        </w:rPr>
        <w:t>is also important to achieve minimum schooling norms at </w:t>
      </w:r>
      <w:r>
        <w:rPr/>
        <w:t>the</w:t>
      </w:r>
      <w:r>
        <w:rPr>
          <w:spacing w:val="-8"/>
        </w:rPr>
        <w:t> </w:t>
      </w:r>
      <w:r>
        <w:rPr/>
        <w:t>national</w:t>
      </w:r>
      <w:r>
        <w:rPr>
          <w:spacing w:val="-8"/>
        </w:rPr>
        <w:t> </w:t>
      </w:r>
      <w:r>
        <w:rPr/>
        <w:t>level,</w:t>
      </w:r>
      <w:r>
        <w:rPr>
          <w:spacing w:val="-8"/>
        </w:rPr>
        <w:t> </w:t>
      </w:r>
      <w:r>
        <w:rPr/>
        <w:t>the</w:t>
      </w:r>
      <w:r>
        <w:rPr>
          <w:spacing w:val="-8"/>
        </w:rPr>
        <w:t> </w:t>
      </w:r>
      <w:r>
        <w:rPr/>
        <w:t>institutional</w:t>
      </w:r>
      <w:r>
        <w:rPr>
          <w:spacing w:val="-8"/>
        </w:rPr>
        <w:t> </w:t>
      </w:r>
      <w:r>
        <w:rPr/>
        <w:t>framework</w:t>
      </w:r>
      <w:r>
        <w:rPr>
          <w:spacing w:val="-8"/>
        </w:rPr>
        <w:t> </w:t>
      </w:r>
      <w:r>
        <w:rPr/>
        <w:t>for</w:t>
      </w:r>
      <w:r>
        <w:rPr>
          <w:spacing w:val="-8"/>
        </w:rPr>
        <w:t> </w:t>
      </w:r>
      <w:r>
        <w:rPr/>
        <w:t>this could be at the national level with state subsidiaries. The</w:t>
      </w:r>
      <w:r>
        <w:rPr>
          <w:spacing w:val="-10"/>
        </w:rPr>
        <w:t> </w:t>
      </w:r>
      <w:r>
        <w:rPr/>
        <w:t>role</w:t>
      </w:r>
      <w:r>
        <w:rPr>
          <w:spacing w:val="-10"/>
        </w:rPr>
        <w:t> </w:t>
      </w:r>
      <w:r>
        <w:rPr/>
        <w:t>of</w:t>
      </w:r>
      <w:r>
        <w:rPr>
          <w:spacing w:val="-11"/>
        </w:rPr>
        <w:t> </w:t>
      </w:r>
      <w:r>
        <w:rPr/>
        <w:t>this</w:t>
      </w:r>
      <w:r>
        <w:rPr>
          <w:spacing w:val="-10"/>
        </w:rPr>
        <w:t> </w:t>
      </w:r>
      <w:r>
        <w:rPr/>
        <w:t>testing</w:t>
      </w:r>
      <w:r>
        <w:rPr>
          <w:spacing w:val="-10"/>
        </w:rPr>
        <w:t> </w:t>
      </w:r>
      <w:r>
        <w:rPr/>
        <w:t>body</w:t>
      </w:r>
      <w:r>
        <w:rPr>
          <w:spacing w:val="-11"/>
        </w:rPr>
        <w:t> </w:t>
      </w:r>
      <w:r>
        <w:rPr/>
        <w:t>will</w:t>
      </w:r>
      <w:r>
        <w:rPr>
          <w:spacing w:val="-10"/>
        </w:rPr>
        <w:t> </w:t>
      </w:r>
      <w:r>
        <w:rPr/>
        <w:t>simply</w:t>
      </w:r>
      <w:r>
        <w:rPr>
          <w:spacing w:val="-10"/>
        </w:rPr>
        <w:t> </w:t>
      </w:r>
      <w:r>
        <w:rPr/>
        <w:t>be</w:t>
      </w:r>
      <w:r>
        <w:rPr>
          <w:spacing w:val="-11"/>
        </w:rPr>
        <w:t> </w:t>
      </w:r>
      <w:r>
        <w:rPr/>
        <w:t>to</w:t>
      </w:r>
      <w:r>
        <w:rPr>
          <w:spacing w:val="-10"/>
        </w:rPr>
        <w:t> </w:t>
      </w:r>
      <w:r>
        <w:rPr/>
        <w:t>provide information</w:t>
      </w:r>
      <w:r>
        <w:rPr>
          <w:spacing w:val="-8"/>
        </w:rPr>
        <w:t> </w:t>
      </w:r>
      <w:r>
        <w:rPr/>
        <w:t>on</w:t>
      </w:r>
      <w:r>
        <w:rPr>
          <w:spacing w:val="-8"/>
        </w:rPr>
        <w:t> </w:t>
      </w:r>
      <w:r>
        <w:rPr/>
        <w:t>the</w:t>
      </w:r>
      <w:r>
        <w:rPr>
          <w:spacing w:val="-8"/>
        </w:rPr>
        <w:t> </w:t>
      </w:r>
      <w:r>
        <w:rPr/>
        <w:t>results</w:t>
      </w:r>
      <w:r>
        <w:rPr>
          <w:spacing w:val="-8"/>
        </w:rPr>
        <w:t> </w:t>
      </w:r>
      <w:r>
        <w:rPr/>
        <w:t>of</w:t>
      </w:r>
      <w:r>
        <w:rPr>
          <w:spacing w:val="-8"/>
        </w:rPr>
        <w:t> </w:t>
      </w:r>
      <w:r>
        <w:rPr/>
        <w:t>its</w:t>
      </w:r>
      <w:r>
        <w:rPr>
          <w:spacing w:val="-8"/>
        </w:rPr>
        <w:t> </w:t>
      </w:r>
      <w:r>
        <w:rPr/>
        <w:t>assessments,</w:t>
      </w:r>
      <w:r>
        <w:rPr>
          <w:spacing w:val="-8"/>
        </w:rPr>
        <w:t> </w:t>
      </w:r>
      <w:r>
        <w:rPr/>
        <w:t>with</w:t>
      </w:r>
      <w:r>
        <w:rPr>
          <w:spacing w:val="-8"/>
        </w:rPr>
        <w:t> </w:t>
      </w:r>
      <w:r>
        <w:rPr/>
        <w:t>the State Governments free to act upon this information. </w:t>
      </w:r>
      <w:r>
        <w:rPr>
          <w:spacing w:val="-2"/>
        </w:rPr>
        <w:t>The</w:t>
      </w:r>
      <w:r>
        <w:rPr>
          <w:spacing w:val="-12"/>
        </w:rPr>
        <w:t> </w:t>
      </w:r>
      <w:r>
        <w:rPr>
          <w:spacing w:val="-2"/>
        </w:rPr>
        <w:t>results</w:t>
      </w:r>
      <w:r>
        <w:rPr>
          <w:spacing w:val="-11"/>
        </w:rPr>
        <w:t> </w:t>
      </w:r>
      <w:r>
        <w:rPr>
          <w:spacing w:val="-2"/>
        </w:rPr>
        <w:t>of</w:t>
      </w:r>
      <w:r>
        <w:rPr>
          <w:spacing w:val="-12"/>
        </w:rPr>
        <w:t> </w:t>
      </w:r>
      <w:r>
        <w:rPr>
          <w:spacing w:val="-2"/>
        </w:rPr>
        <w:t>such</w:t>
      </w:r>
      <w:r>
        <w:rPr>
          <w:spacing w:val="-11"/>
        </w:rPr>
        <w:t> </w:t>
      </w:r>
      <w:r>
        <w:rPr>
          <w:spacing w:val="-2"/>
        </w:rPr>
        <w:t>regular</w:t>
      </w:r>
      <w:r>
        <w:rPr>
          <w:spacing w:val="-12"/>
        </w:rPr>
        <w:t> </w:t>
      </w:r>
      <w:r>
        <w:rPr>
          <w:spacing w:val="-2"/>
        </w:rPr>
        <w:t>tests</w:t>
      </w:r>
      <w:r>
        <w:rPr>
          <w:spacing w:val="-11"/>
        </w:rPr>
        <w:t> </w:t>
      </w:r>
      <w:r>
        <w:rPr>
          <w:spacing w:val="-2"/>
        </w:rPr>
        <w:t>must</w:t>
      </w:r>
      <w:r>
        <w:rPr>
          <w:spacing w:val="-12"/>
        </w:rPr>
        <w:t> </w:t>
      </w:r>
      <w:r>
        <w:rPr>
          <w:spacing w:val="-2"/>
        </w:rPr>
        <w:t>be</w:t>
      </w:r>
      <w:r>
        <w:rPr>
          <w:spacing w:val="-11"/>
        </w:rPr>
        <w:t> </w:t>
      </w:r>
      <w:r>
        <w:rPr>
          <w:spacing w:val="-2"/>
        </w:rPr>
        <w:t>made</w:t>
      </w:r>
      <w:r>
        <w:rPr>
          <w:spacing w:val="-12"/>
        </w:rPr>
        <w:t> </w:t>
      </w:r>
      <w:r>
        <w:rPr>
          <w:spacing w:val="-2"/>
        </w:rPr>
        <w:t>publicly </w:t>
      </w:r>
      <w:r>
        <w:rPr>
          <w:spacing w:val="-8"/>
        </w:rPr>
        <w:t>available</w:t>
      </w:r>
      <w:r>
        <w:rPr>
          <w:spacing w:val="-1"/>
        </w:rPr>
        <w:t> </w:t>
      </w:r>
      <w:r>
        <w:rPr>
          <w:spacing w:val="-8"/>
        </w:rPr>
        <w:t>in</w:t>
      </w:r>
      <w:r>
        <w:rPr>
          <w:spacing w:val="-1"/>
        </w:rPr>
        <w:t> </w:t>
      </w:r>
      <w:r>
        <w:rPr>
          <w:spacing w:val="-8"/>
        </w:rPr>
        <w:t>a</w:t>
      </w:r>
      <w:r>
        <w:rPr>
          <w:spacing w:val="-1"/>
        </w:rPr>
        <w:t> </w:t>
      </w:r>
      <w:r>
        <w:rPr>
          <w:spacing w:val="-8"/>
        </w:rPr>
        <w:t>format</w:t>
      </w:r>
      <w:r>
        <w:rPr>
          <w:spacing w:val="-1"/>
        </w:rPr>
        <w:t> </w:t>
      </w:r>
      <w:r>
        <w:rPr>
          <w:spacing w:val="-8"/>
        </w:rPr>
        <w:t>accessible</w:t>
      </w:r>
      <w:r>
        <w:rPr>
          <w:spacing w:val="-1"/>
        </w:rPr>
        <w:t> </w:t>
      </w:r>
      <w:r>
        <w:rPr>
          <w:spacing w:val="-8"/>
        </w:rPr>
        <w:t>to</w:t>
      </w:r>
      <w:r>
        <w:rPr>
          <w:spacing w:val="-1"/>
        </w:rPr>
        <w:t> </w:t>
      </w:r>
      <w:r>
        <w:rPr>
          <w:spacing w:val="-8"/>
        </w:rPr>
        <w:t>all,</w:t>
      </w:r>
      <w:r>
        <w:rPr>
          <w:spacing w:val="-1"/>
        </w:rPr>
        <w:t> </w:t>
      </w:r>
      <w:r>
        <w:rPr>
          <w:spacing w:val="-8"/>
        </w:rPr>
        <w:t>including</w:t>
      </w:r>
      <w:r>
        <w:rPr>
          <w:spacing w:val="-1"/>
        </w:rPr>
        <w:t> </w:t>
      </w:r>
      <w:r>
        <w:rPr>
          <w:spacing w:val="-8"/>
        </w:rPr>
        <w:t>websites.</w:t>
      </w:r>
    </w:p>
    <w:p>
      <w:pPr>
        <w:pStyle w:val="BodyText"/>
        <w:spacing w:before="20"/>
      </w:pPr>
    </w:p>
    <w:p>
      <w:pPr>
        <w:pStyle w:val="BodyText"/>
        <w:spacing w:line="266" w:lineRule="auto"/>
        <w:ind w:left="1080"/>
        <w:jc w:val="both"/>
      </w:pPr>
      <w:r>
        <w:rPr>
          <w:spacing w:val="-2"/>
        </w:rPr>
        <w:t>The</w:t>
      </w:r>
      <w:r>
        <w:rPr>
          <w:spacing w:val="-14"/>
        </w:rPr>
        <w:t> </w:t>
      </w:r>
      <w:r>
        <w:rPr>
          <w:spacing w:val="-2"/>
        </w:rPr>
        <w:t>monitoring</w:t>
      </w:r>
      <w:r>
        <w:rPr>
          <w:spacing w:val="-12"/>
        </w:rPr>
        <w:t> </w:t>
      </w:r>
      <w:r>
        <w:rPr>
          <w:spacing w:val="-2"/>
        </w:rPr>
        <w:t>of</w:t>
      </w:r>
      <w:r>
        <w:rPr>
          <w:spacing w:val="-12"/>
        </w:rPr>
        <w:t> </w:t>
      </w:r>
      <w:r>
        <w:rPr>
          <w:spacing w:val="-2"/>
        </w:rPr>
        <w:t>private</w:t>
      </w:r>
      <w:r>
        <w:rPr>
          <w:spacing w:val="-11"/>
        </w:rPr>
        <w:t> </w:t>
      </w:r>
      <w:r>
        <w:rPr>
          <w:spacing w:val="-2"/>
        </w:rPr>
        <w:t>schools,</w:t>
      </w:r>
      <w:r>
        <w:rPr>
          <w:spacing w:val="-12"/>
        </w:rPr>
        <w:t> </w:t>
      </w:r>
      <w:r>
        <w:rPr>
          <w:spacing w:val="-2"/>
        </w:rPr>
        <w:t>in</w:t>
      </w:r>
      <w:r>
        <w:rPr>
          <w:spacing w:val="-12"/>
        </w:rPr>
        <w:t> </w:t>
      </w:r>
      <w:r>
        <w:rPr>
          <w:spacing w:val="-2"/>
        </w:rPr>
        <w:t>terms</w:t>
      </w:r>
      <w:r>
        <w:rPr>
          <w:spacing w:val="-12"/>
        </w:rPr>
        <w:t> </w:t>
      </w:r>
      <w:r>
        <w:rPr>
          <w:spacing w:val="-2"/>
        </w:rPr>
        <w:t>of</w:t>
      </w:r>
      <w:r>
        <w:rPr>
          <w:spacing w:val="-11"/>
        </w:rPr>
        <w:t> </w:t>
      </w:r>
      <w:r>
        <w:rPr>
          <w:spacing w:val="-2"/>
        </w:rPr>
        <w:t>ensuring </w:t>
      </w:r>
      <w:r>
        <w:rPr/>
        <w:t>a transparent admissions process, regulation of fee structures,</w:t>
      </w:r>
      <w:r>
        <w:rPr>
          <w:spacing w:val="-4"/>
        </w:rPr>
        <w:t> </w:t>
      </w:r>
      <w:r>
        <w:rPr/>
        <w:t>as</w:t>
      </w:r>
      <w:r>
        <w:rPr>
          <w:spacing w:val="-4"/>
        </w:rPr>
        <w:t> </w:t>
      </w:r>
      <w:r>
        <w:rPr/>
        <w:t>well</w:t>
      </w:r>
      <w:r>
        <w:rPr>
          <w:spacing w:val="-4"/>
        </w:rPr>
        <w:t> </w:t>
      </w:r>
      <w:r>
        <w:rPr/>
        <w:t>as</w:t>
      </w:r>
      <w:r>
        <w:rPr>
          <w:spacing w:val="-4"/>
        </w:rPr>
        <w:t> </w:t>
      </w:r>
      <w:r>
        <w:rPr/>
        <w:t>meeting</w:t>
      </w:r>
      <w:r>
        <w:rPr>
          <w:spacing w:val="-4"/>
        </w:rPr>
        <w:t> </w:t>
      </w:r>
      <w:r>
        <w:rPr/>
        <w:t>minimum</w:t>
      </w:r>
      <w:r>
        <w:rPr>
          <w:spacing w:val="-4"/>
        </w:rPr>
        <w:t> </w:t>
      </w:r>
      <w:r>
        <w:rPr/>
        <w:t>set</w:t>
      </w:r>
      <w:r>
        <w:rPr>
          <w:spacing w:val="-4"/>
        </w:rPr>
        <w:t> </w:t>
      </w:r>
      <w:r>
        <w:rPr/>
        <w:t>standards </w:t>
      </w:r>
      <w:r>
        <w:rPr>
          <w:spacing w:val="-2"/>
        </w:rPr>
        <w:t>for</w:t>
      </w:r>
      <w:r>
        <w:rPr>
          <w:spacing w:val="-5"/>
        </w:rPr>
        <w:t> </w:t>
      </w:r>
      <w:r>
        <w:rPr>
          <w:spacing w:val="-2"/>
        </w:rPr>
        <w:t>quality</w:t>
      </w:r>
      <w:r>
        <w:rPr>
          <w:spacing w:val="-8"/>
        </w:rPr>
        <w:t> </w:t>
      </w:r>
      <w:r>
        <w:rPr>
          <w:spacing w:val="-2"/>
        </w:rPr>
        <w:t>of</w:t>
      </w:r>
      <w:r>
        <w:rPr>
          <w:spacing w:val="-8"/>
        </w:rPr>
        <w:t> </w:t>
      </w:r>
      <w:r>
        <w:rPr>
          <w:spacing w:val="-2"/>
        </w:rPr>
        <w:t>teaching</w:t>
      </w:r>
      <w:r>
        <w:rPr>
          <w:spacing w:val="-8"/>
        </w:rPr>
        <w:t> </w:t>
      </w:r>
      <w:r>
        <w:rPr>
          <w:spacing w:val="-2"/>
        </w:rPr>
        <w:t>and</w:t>
      </w:r>
      <w:r>
        <w:rPr>
          <w:spacing w:val="-8"/>
        </w:rPr>
        <w:t> </w:t>
      </w:r>
      <w:r>
        <w:rPr>
          <w:spacing w:val="-2"/>
        </w:rPr>
        <w:t>infrastructure,</w:t>
      </w:r>
      <w:r>
        <w:rPr>
          <w:spacing w:val="-8"/>
        </w:rPr>
        <w:t> </w:t>
      </w:r>
      <w:r>
        <w:rPr>
          <w:spacing w:val="-2"/>
        </w:rPr>
        <w:t>also</w:t>
      </w:r>
      <w:r>
        <w:rPr>
          <w:spacing w:val="-8"/>
        </w:rPr>
        <w:t> </w:t>
      </w:r>
      <w:r>
        <w:rPr>
          <w:spacing w:val="-2"/>
        </w:rPr>
        <w:t>requires </w:t>
      </w:r>
      <w:r>
        <w:rPr>
          <w:spacing w:val="-8"/>
        </w:rPr>
        <w:t>attention.</w:t>
      </w:r>
      <w:r>
        <w:rPr>
          <w:spacing w:val="-6"/>
        </w:rPr>
        <w:t> </w:t>
      </w:r>
      <w:r>
        <w:rPr>
          <w:spacing w:val="-8"/>
        </w:rPr>
        <w:t>There</w:t>
      </w:r>
      <w:r>
        <w:rPr>
          <w:spacing w:val="-6"/>
        </w:rPr>
        <w:t> </w:t>
      </w:r>
      <w:r>
        <w:rPr>
          <w:spacing w:val="-8"/>
        </w:rPr>
        <w:t>is</w:t>
      </w:r>
      <w:r>
        <w:rPr>
          <w:spacing w:val="-6"/>
        </w:rPr>
        <w:t> </w:t>
      </w:r>
      <w:r>
        <w:rPr>
          <w:spacing w:val="-8"/>
        </w:rPr>
        <w:t>currently</w:t>
      </w:r>
      <w:r>
        <w:rPr>
          <w:spacing w:val="-2"/>
        </w:rPr>
        <w:t> </w:t>
      </w:r>
      <w:r>
        <w:rPr>
          <w:spacing w:val="-8"/>
        </w:rPr>
        <w:t>no</w:t>
      </w:r>
      <w:r>
        <w:rPr>
          <w:spacing w:val="-2"/>
        </w:rPr>
        <w:t> </w:t>
      </w:r>
      <w:r>
        <w:rPr>
          <w:spacing w:val="-8"/>
        </w:rPr>
        <w:t>exact</w:t>
      </w:r>
      <w:r>
        <w:rPr>
          <w:spacing w:val="-2"/>
        </w:rPr>
        <w:t> </w:t>
      </w:r>
      <w:r>
        <w:rPr>
          <w:spacing w:val="-8"/>
        </w:rPr>
        <w:t>data</w:t>
      </w:r>
      <w:r>
        <w:rPr>
          <w:spacing w:val="-2"/>
        </w:rPr>
        <w:t> </w:t>
      </w:r>
      <w:r>
        <w:rPr>
          <w:spacing w:val="-8"/>
        </w:rPr>
        <w:t>on</w:t>
      </w:r>
      <w:r>
        <w:rPr>
          <w:spacing w:val="-2"/>
        </w:rPr>
        <w:t> </w:t>
      </w:r>
      <w:r>
        <w:rPr>
          <w:spacing w:val="-8"/>
        </w:rPr>
        <w:t>the</w:t>
      </w:r>
      <w:r>
        <w:rPr>
          <w:spacing w:val="-2"/>
        </w:rPr>
        <w:t> </w:t>
      </w:r>
      <w:r>
        <w:rPr>
          <w:spacing w:val="-8"/>
        </w:rPr>
        <w:t>numbers </w:t>
      </w:r>
      <w:r>
        <w:rPr/>
        <w:t>and</w:t>
      </w:r>
      <w:r>
        <w:rPr>
          <w:spacing w:val="-2"/>
        </w:rPr>
        <w:t> </w:t>
      </w:r>
      <w:r>
        <w:rPr/>
        <w:t>enrolment</w:t>
      </w:r>
      <w:r>
        <w:rPr>
          <w:spacing w:val="-2"/>
        </w:rPr>
        <w:t> </w:t>
      </w:r>
      <w:r>
        <w:rPr/>
        <w:t>of</w:t>
      </w:r>
      <w:r>
        <w:rPr>
          <w:spacing w:val="-2"/>
        </w:rPr>
        <w:t> </w:t>
      </w:r>
      <w:r>
        <w:rPr/>
        <w:t>unrecognised</w:t>
      </w:r>
      <w:r>
        <w:rPr>
          <w:spacing w:val="-2"/>
        </w:rPr>
        <w:t> </w:t>
      </w:r>
      <w:r>
        <w:rPr/>
        <w:t>private</w:t>
      </w:r>
      <w:r>
        <w:rPr>
          <w:spacing w:val="-2"/>
        </w:rPr>
        <w:t> </w:t>
      </w:r>
      <w:r>
        <w:rPr/>
        <w:t>schools</w:t>
      </w:r>
      <w:r>
        <w:rPr>
          <w:spacing w:val="-2"/>
        </w:rPr>
        <w:t> </w:t>
      </w:r>
      <w:r>
        <w:rPr/>
        <w:t>in</w:t>
      </w:r>
      <w:r>
        <w:rPr>
          <w:spacing w:val="-2"/>
        </w:rPr>
        <w:t> </w:t>
      </w:r>
      <w:r>
        <w:rPr/>
        <w:t>the </w:t>
      </w:r>
      <w:r>
        <w:rPr>
          <w:spacing w:val="-4"/>
        </w:rPr>
        <w:t>country,</w:t>
      </w:r>
      <w:r>
        <w:rPr>
          <w:spacing w:val="-10"/>
        </w:rPr>
        <w:t> </w:t>
      </w:r>
      <w:r>
        <w:rPr>
          <w:spacing w:val="-4"/>
        </w:rPr>
        <w:t>their</w:t>
      </w:r>
      <w:r>
        <w:rPr>
          <w:spacing w:val="-10"/>
        </w:rPr>
        <w:t> </w:t>
      </w:r>
      <w:r>
        <w:rPr>
          <w:spacing w:val="-4"/>
        </w:rPr>
        <w:t>fee</w:t>
      </w:r>
      <w:r>
        <w:rPr>
          <w:spacing w:val="-10"/>
        </w:rPr>
        <w:t> </w:t>
      </w:r>
      <w:r>
        <w:rPr>
          <w:spacing w:val="-4"/>
        </w:rPr>
        <w:t>structure</w:t>
      </w:r>
      <w:r>
        <w:rPr>
          <w:spacing w:val="-9"/>
        </w:rPr>
        <w:t> </w:t>
      </w:r>
      <w:r>
        <w:rPr>
          <w:spacing w:val="-4"/>
        </w:rPr>
        <w:t>or</w:t>
      </w:r>
      <w:r>
        <w:rPr>
          <w:spacing w:val="-10"/>
        </w:rPr>
        <w:t> </w:t>
      </w:r>
      <w:r>
        <w:rPr>
          <w:spacing w:val="-4"/>
        </w:rPr>
        <w:t>admissions</w:t>
      </w:r>
      <w:r>
        <w:rPr>
          <w:spacing w:val="-10"/>
        </w:rPr>
        <w:t> </w:t>
      </w:r>
      <w:r>
        <w:rPr>
          <w:spacing w:val="-4"/>
        </w:rPr>
        <w:t>policy,</w:t>
      </w:r>
      <w:r>
        <w:rPr>
          <w:spacing w:val="-10"/>
        </w:rPr>
        <w:t> </w:t>
      </w:r>
      <w:r>
        <w:rPr>
          <w:spacing w:val="-4"/>
        </w:rPr>
        <w:t>or</w:t>
      </w:r>
      <w:r>
        <w:rPr>
          <w:spacing w:val="-9"/>
        </w:rPr>
        <w:t> </w:t>
      </w:r>
      <w:r>
        <w:rPr>
          <w:spacing w:val="-4"/>
        </w:rPr>
        <w:t>their </w:t>
      </w:r>
      <w:r>
        <w:rPr>
          <w:spacing w:val="-2"/>
        </w:rPr>
        <w:t>standards</w:t>
      </w:r>
      <w:r>
        <w:rPr>
          <w:spacing w:val="-8"/>
        </w:rPr>
        <w:t> </w:t>
      </w:r>
      <w:r>
        <w:rPr>
          <w:spacing w:val="-2"/>
        </w:rPr>
        <w:t>of</w:t>
      </w:r>
      <w:r>
        <w:rPr>
          <w:spacing w:val="-8"/>
        </w:rPr>
        <w:t> </w:t>
      </w:r>
      <w:r>
        <w:rPr>
          <w:spacing w:val="-2"/>
        </w:rPr>
        <w:t>infrastructure</w:t>
      </w:r>
      <w:r>
        <w:rPr>
          <w:spacing w:val="-8"/>
        </w:rPr>
        <w:t> </w:t>
      </w:r>
      <w:r>
        <w:rPr>
          <w:spacing w:val="-2"/>
        </w:rPr>
        <w:t>and</w:t>
      </w:r>
      <w:r>
        <w:rPr>
          <w:spacing w:val="-8"/>
        </w:rPr>
        <w:t> </w:t>
      </w:r>
      <w:r>
        <w:rPr>
          <w:spacing w:val="-2"/>
        </w:rPr>
        <w:t>quality.</w:t>
      </w:r>
      <w:r>
        <w:rPr>
          <w:spacing w:val="-8"/>
        </w:rPr>
        <w:t> </w:t>
      </w:r>
      <w:r>
        <w:rPr>
          <w:spacing w:val="-2"/>
        </w:rPr>
        <w:t>Private</w:t>
      </w:r>
      <w:r>
        <w:rPr>
          <w:spacing w:val="-8"/>
        </w:rPr>
        <w:t> </w:t>
      </w:r>
      <w:r>
        <w:rPr>
          <w:spacing w:val="-2"/>
        </w:rPr>
        <w:t>schools should</w:t>
      </w:r>
      <w:r>
        <w:rPr>
          <w:spacing w:val="-12"/>
        </w:rPr>
        <w:t> </w:t>
      </w:r>
      <w:r>
        <w:rPr>
          <w:spacing w:val="-2"/>
        </w:rPr>
        <w:t>become</w:t>
      </w:r>
      <w:r>
        <w:rPr>
          <w:spacing w:val="-12"/>
        </w:rPr>
        <w:t> </w:t>
      </w:r>
      <w:r>
        <w:rPr>
          <w:spacing w:val="-2"/>
        </w:rPr>
        <w:t>the</w:t>
      </w:r>
      <w:r>
        <w:rPr>
          <w:spacing w:val="-12"/>
        </w:rPr>
        <w:t> </w:t>
      </w:r>
      <w:r>
        <w:rPr>
          <w:spacing w:val="-2"/>
        </w:rPr>
        <w:t>subject</w:t>
      </w:r>
      <w:r>
        <w:rPr>
          <w:spacing w:val="-11"/>
        </w:rPr>
        <w:t> </w:t>
      </w:r>
      <w:r>
        <w:rPr>
          <w:spacing w:val="-2"/>
        </w:rPr>
        <w:t>of</w:t>
      </w:r>
      <w:r>
        <w:rPr>
          <w:spacing w:val="-12"/>
        </w:rPr>
        <w:t> </w:t>
      </w:r>
      <w:r>
        <w:rPr>
          <w:spacing w:val="-2"/>
        </w:rPr>
        <w:t>regulation</w:t>
      </w:r>
      <w:r>
        <w:rPr>
          <w:spacing w:val="-12"/>
        </w:rPr>
        <w:t> </w:t>
      </w:r>
      <w:r>
        <w:rPr>
          <w:spacing w:val="-2"/>
        </w:rPr>
        <w:t>and</w:t>
      </w:r>
      <w:r>
        <w:rPr>
          <w:spacing w:val="-12"/>
        </w:rPr>
        <w:t> </w:t>
      </w:r>
      <w:r>
        <w:rPr>
          <w:spacing w:val="-2"/>
        </w:rPr>
        <w:t>inspection </w:t>
      </w:r>
      <w:r>
        <w:rPr>
          <w:spacing w:val="-4"/>
        </w:rPr>
        <w:t>within</w:t>
      </w:r>
      <w:r>
        <w:rPr>
          <w:spacing w:val="-8"/>
        </w:rPr>
        <w:t> </w:t>
      </w:r>
      <w:r>
        <w:rPr>
          <w:spacing w:val="-4"/>
        </w:rPr>
        <w:t>a</w:t>
      </w:r>
      <w:r>
        <w:rPr>
          <w:spacing w:val="-8"/>
        </w:rPr>
        <w:t> </w:t>
      </w:r>
      <w:r>
        <w:rPr>
          <w:spacing w:val="-4"/>
        </w:rPr>
        <w:t>set</w:t>
      </w:r>
      <w:r>
        <w:rPr>
          <w:spacing w:val="-8"/>
        </w:rPr>
        <w:t> </w:t>
      </w:r>
      <w:r>
        <w:rPr>
          <w:spacing w:val="-4"/>
        </w:rPr>
        <w:t>framework</w:t>
      </w:r>
      <w:r>
        <w:rPr>
          <w:spacing w:val="-8"/>
        </w:rPr>
        <w:t> </w:t>
      </w:r>
      <w:r>
        <w:rPr>
          <w:spacing w:val="-4"/>
        </w:rPr>
        <w:t>which</w:t>
      </w:r>
      <w:r>
        <w:rPr>
          <w:spacing w:val="-8"/>
        </w:rPr>
        <w:t> </w:t>
      </w:r>
      <w:r>
        <w:rPr>
          <w:spacing w:val="-4"/>
        </w:rPr>
        <w:t>is</w:t>
      </w:r>
      <w:r>
        <w:rPr>
          <w:spacing w:val="-8"/>
        </w:rPr>
        <w:t> </w:t>
      </w:r>
      <w:r>
        <w:rPr>
          <w:spacing w:val="-4"/>
        </w:rPr>
        <w:t>universally</w:t>
      </w:r>
      <w:r>
        <w:rPr>
          <w:spacing w:val="-8"/>
        </w:rPr>
        <w:t> </w:t>
      </w:r>
      <w:r>
        <w:rPr>
          <w:spacing w:val="-4"/>
        </w:rPr>
        <w:t>applicable.</w:t>
      </w:r>
    </w:p>
    <w:p>
      <w:pPr>
        <w:pStyle w:val="Heading7"/>
        <w:numPr>
          <w:ilvl w:val="1"/>
          <w:numId w:val="14"/>
        </w:numPr>
        <w:tabs>
          <w:tab w:pos="1485" w:val="left" w:leader="none"/>
          <w:tab w:pos="1487" w:val="left" w:leader="none"/>
        </w:tabs>
        <w:spacing w:line="225" w:lineRule="auto" w:before="249" w:after="0"/>
        <w:ind w:left="1487" w:right="310" w:hanging="408"/>
        <w:jc w:val="left"/>
      </w:pPr>
      <w:r>
        <w:rPr>
          <w:color w:val="2E614A"/>
          <w:spacing w:val="-6"/>
        </w:rPr>
        <w:t>The</w:t>
      </w:r>
      <w:r>
        <w:rPr>
          <w:color w:val="2E614A"/>
          <w:spacing w:val="-8"/>
        </w:rPr>
        <w:t> </w:t>
      </w:r>
      <w:r>
        <w:rPr>
          <w:color w:val="2E614A"/>
          <w:spacing w:val="-6"/>
        </w:rPr>
        <w:t>system</w:t>
      </w:r>
      <w:r>
        <w:rPr>
          <w:color w:val="2E614A"/>
          <w:spacing w:val="-8"/>
        </w:rPr>
        <w:t> </w:t>
      </w:r>
      <w:r>
        <w:rPr>
          <w:color w:val="2E614A"/>
          <w:spacing w:val="-6"/>
        </w:rPr>
        <w:t>of</w:t>
      </w:r>
      <w:r>
        <w:rPr>
          <w:color w:val="2E614A"/>
          <w:spacing w:val="-8"/>
        </w:rPr>
        <w:t> </w:t>
      </w:r>
      <w:r>
        <w:rPr>
          <w:color w:val="2E614A"/>
          <w:spacing w:val="-6"/>
        </w:rPr>
        <w:t>school</w:t>
      </w:r>
      <w:r>
        <w:rPr>
          <w:color w:val="2E614A"/>
          <w:spacing w:val="-8"/>
        </w:rPr>
        <w:t> </w:t>
      </w:r>
      <w:r>
        <w:rPr>
          <w:color w:val="2E614A"/>
          <w:spacing w:val="-6"/>
        </w:rPr>
        <w:t>inspection</w:t>
      </w:r>
      <w:r>
        <w:rPr>
          <w:color w:val="2E614A"/>
          <w:spacing w:val="-8"/>
        </w:rPr>
        <w:t> </w:t>
      </w:r>
      <w:r>
        <w:rPr>
          <w:color w:val="2E614A"/>
          <w:spacing w:val="-6"/>
        </w:rPr>
        <w:t>needs </w:t>
      </w:r>
      <w:r>
        <w:rPr>
          <w:color w:val="2E614A"/>
          <w:w w:val="90"/>
        </w:rPr>
        <w:t>to be revamped and revitalised in </w:t>
      </w:r>
      <w:r>
        <w:rPr>
          <w:color w:val="2E614A"/>
          <w:w w:val="90"/>
        </w:rPr>
        <w:t>most </w:t>
      </w:r>
      <w:r>
        <w:rPr>
          <w:color w:val="2E614A"/>
          <w:spacing w:val="-2"/>
        </w:rPr>
        <w:t>states,</w:t>
      </w:r>
      <w:r>
        <w:rPr>
          <w:color w:val="2E614A"/>
          <w:spacing w:val="-15"/>
        </w:rPr>
        <w:t> </w:t>
      </w:r>
      <w:r>
        <w:rPr>
          <w:color w:val="2E614A"/>
          <w:spacing w:val="-2"/>
        </w:rPr>
        <w:t>with</w:t>
      </w:r>
      <w:r>
        <w:rPr>
          <w:color w:val="2E614A"/>
          <w:spacing w:val="-14"/>
        </w:rPr>
        <w:t> </w:t>
      </w:r>
      <w:r>
        <w:rPr>
          <w:color w:val="2E614A"/>
          <w:spacing w:val="-2"/>
        </w:rPr>
        <w:t>a</w:t>
      </w:r>
      <w:r>
        <w:rPr>
          <w:color w:val="2E614A"/>
          <w:spacing w:val="-14"/>
        </w:rPr>
        <w:t> </w:t>
      </w:r>
      <w:r>
        <w:rPr>
          <w:color w:val="2E614A"/>
          <w:spacing w:val="-2"/>
        </w:rPr>
        <w:t>greater</w:t>
      </w:r>
      <w:r>
        <w:rPr>
          <w:color w:val="2E614A"/>
          <w:spacing w:val="-14"/>
        </w:rPr>
        <w:t> </w:t>
      </w:r>
      <w:r>
        <w:rPr>
          <w:color w:val="2E614A"/>
          <w:spacing w:val="-2"/>
        </w:rPr>
        <w:t>role</w:t>
      </w:r>
      <w:r>
        <w:rPr>
          <w:color w:val="2E614A"/>
          <w:spacing w:val="-15"/>
        </w:rPr>
        <w:t> </w:t>
      </w:r>
      <w:r>
        <w:rPr>
          <w:color w:val="2E614A"/>
          <w:spacing w:val="-2"/>
        </w:rPr>
        <w:t>for</w:t>
      </w:r>
      <w:r>
        <w:rPr>
          <w:color w:val="2E614A"/>
          <w:spacing w:val="-14"/>
        </w:rPr>
        <w:t> </w:t>
      </w:r>
      <w:r>
        <w:rPr>
          <w:color w:val="2E614A"/>
          <w:spacing w:val="-2"/>
        </w:rPr>
        <w:t>local stakeholders.</w:t>
      </w:r>
    </w:p>
    <w:p>
      <w:pPr>
        <w:pStyle w:val="BodyText"/>
        <w:spacing w:line="266" w:lineRule="auto" w:before="284"/>
        <w:ind w:left="1079"/>
        <w:jc w:val="both"/>
      </w:pPr>
      <w:r>
        <w:rPr/>
        <w:t>The current inspection system is overburdened </w:t>
      </w:r>
      <w:r>
        <w:rPr/>
        <w:t>and </w:t>
      </w:r>
      <w:r>
        <w:rPr>
          <w:spacing w:val="-2"/>
        </w:rPr>
        <w:t>inadequate,</w:t>
      </w:r>
      <w:r>
        <w:rPr>
          <w:spacing w:val="-12"/>
        </w:rPr>
        <w:t> </w:t>
      </w:r>
      <w:r>
        <w:rPr>
          <w:spacing w:val="-2"/>
        </w:rPr>
        <w:t>with</w:t>
      </w:r>
      <w:r>
        <w:rPr>
          <w:spacing w:val="-12"/>
        </w:rPr>
        <w:t> </w:t>
      </w:r>
      <w:r>
        <w:rPr>
          <w:spacing w:val="-2"/>
        </w:rPr>
        <w:t>a</w:t>
      </w:r>
      <w:r>
        <w:rPr>
          <w:spacing w:val="-12"/>
        </w:rPr>
        <w:t> </w:t>
      </w:r>
      <w:r>
        <w:rPr>
          <w:spacing w:val="-2"/>
        </w:rPr>
        <w:t>small</w:t>
      </w:r>
      <w:r>
        <w:rPr>
          <w:spacing w:val="-11"/>
        </w:rPr>
        <w:t> </w:t>
      </w:r>
      <w:r>
        <w:rPr>
          <w:spacing w:val="-2"/>
        </w:rPr>
        <w:t>number</w:t>
      </w:r>
      <w:r>
        <w:rPr>
          <w:spacing w:val="-12"/>
        </w:rPr>
        <w:t> </w:t>
      </w:r>
      <w:r>
        <w:rPr>
          <w:spacing w:val="-2"/>
        </w:rPr>
        <w:t>of</w:t>
      </w:r>
      <w:r>
        <w:rPr>
          <w:spacing w:val="-12"/>
        </w:rPr>
        <w:t> </w:t>
      </w:r>
      <w:r>
        <w:rPr>
          <w:spacing w:val="-2"/>
        </w:rPr>
        <w:t>inspectors</w:t>
      </w:r>
      <w:r>
        <w:rPr>
          <w:spacing w:val="-12"/>
        </w:rPr>
        <w:t> </w:t>
      </w:r>
      <w:r>
        <w:rPr>
          <w:spacing w:val="-2"/>
        </w:rPr>
        <w:t>required </w:t>
      </w:r>
      <w:r>
        <w:rPr/>
        <w:t>to</w:t>
      </w:r>
      <w:r>
        <w:rPr>
          <w:spacing w:val="-3"/>
        </w:rPr>
        <w:t> </w:t>
      </w:r>
      <w:r>
        <w:rPr/>
        <w:t>cover</w:t>
      </w:r>
      <w:r>
        <w:rPr>
          <w:spacing w:val="-3"/>
        </w:rPr>
        <w:t> </w:t>
      </w:r>
      <w:r>
        <w:rPr/>
        <w:t>a</w:t>
      </w:r>
      <w:r>
        <w:rPr>
          <w:spacing w:val="-3"/>
        </w:rPr>
        <w:t> </w:t>
      </w:r>
      <w:r>
        <w:rPr/>
        <w:t>large</w:t>
      </w:r>
      <w:r>
        <w:rPr>
          <w:spacing w:val="-3"/>
        </w:rPr>
        <w:t> </w:t>
      </w:r>
      <w:r>
        <w:rPr/>
        <w:t>number</w:t>
      </w:r>
      <w:r>
        <w:rPr>
          <w:spacing w:val="-3"/>
        </w:rPr>
        <w:t> </w:t>
      </w:r>
      <w:r>
        <w:rPr/>
        <w:t>of</w:t>
      </w:r>
      <w:r>
        <w:rPr>
          <w:spacing w:val="-3"/>
        </w:rPr>
        <w:t> </w:t>
      </w:r>
      <w:r>
        <w:rPr/>
        <w:t>schools,</w:t>
      </w:r>
      <w:r>
        <w:rPr>
          <w:spacing w:val="-3"/>
        </w:rPr>
        <w:t> </w:t>
      </w:r>
      <w:r>
        <w:rPr/>
        <w:t>often</w:t>
      </w:r>
      <w:r>
        <w:rPr>
          <w:spacing w:val="-3"/>
        </w:rPr>
        <w:t> </w:t>
      </w:r>
      <w:r>
        <w:rPr/>
        <w:t>spread</w:t>
      </w:r>
      <w:r>
        <w:rPr>
          <w:spacing w:val="-3"/>
        </w:rPr>
        <w:t> </w:t>
      </w:r>
      <w:r>
        <w:rPr/>
        <w:t>over </w:t>
      </w:r>
      <w:r>
        <w:rPr>
          <w:spacing w:val="-4"/>
        </w:rPr>
        <w:t>wide</w:t>
      </w:r>
      <w:r>
        <w:rPr>
          <w:spacing w:val="-8"/>
        </w:rPr>
        <w:t> </w:t>
      </w:r>
      <w:r>
        <w:rPr>
          <w:spacing w:val="-4"/>
        </w:rPr>
        <w:t>physical</w:t>
      </w:r>
      <w:r>
        <w:rPr>
          <w:spacing w:val="-5"/>
        </w:rPr>
        <w:t> </w:t>
      </w:r>
      <w:r>
        <w:rPr>
          <w:spacing w:val="-4"/>
        </w:rPr>
        <w:t>areas.</w:t>
      </w:r>
      <w:r>
        <w:rPr>
          <w:spacing w:val="-10"/>
        </w:rPr>
        <w:t> </w:t>
      </w:r>
      <w:r>
        <w:rPr>
          <w:spacing w:val="-4"/>
        </w:rPr>
        <w:t>The solution</w:t>
      </w:r>
      <w:r>
        <w:rPr>
          <w:spacing w:val="-5"/>
        </w:rPr>
        <w:t> </w:t>
      </w:r>
      <w:r>
        <w:rPr>
          <w:spacing w:val="-4"/>
        </w:rPr>
        <w:t>does</w:t>
      </w:r>
      <w:r>
        <w:rPr>
          <w:spacing w:val="-5"/>
        </w:rPr>
        <w:t> </w:t>
      </w:r>
      <w:r>
        <w:rPr>
          <w:spacing w:val="-4"/>
        </w:rPr>
        <w:t>not</w:t>
      </w:r>
      <w:r>
        <w:rPr>
          <w:spacing w:val="-5"/>
        </w:rPr>
        <w:t> </w:t>
      </w:r>
      <w:r>
        <w:rPr>
          <w:spacing w:val="-4"/>
        </w:rPr>
        <w:t>lie</w:t>
      </w:r>
      <w:r>
        <w:rPr>
          <w:spacing w:val="-5"/>
        </w:rPr>
        <w:t> </w:t>
      </w:r>
      <w:r>
        <w:rPr>
          <w:spacing w:val="-4"/>
        </w:rPr>
        <w:t>in</w:t>
      </w:r>
      <w:r>
        <w:rPr>
          <w:spacing w:val="-5"/>
        </w:rPr>
        <w:t> </w:t>
      </w:r>
      <w:r>
        <w:rPr>
          <w:spacing w:val="-4"/>
        </w:rPr>
        <w:t>simply </w:t>
      </w:r>
      <w:r>
        <w:rPr/>
        <w:t>expanding the system – rather, we need to develop systems to ensure meaningful monitoring. NKC </w:t>
      </w:r>
      <w:r>
        <w:rPr>
          <w:spacing w:val="-6"/>
        </w:rPr>
        <w:t>recommends that the strategy for the revitalisation of the </w:t>
      </w:r>
      <w:r>
        <w:rPr>
          <w:spacing w:val="-2"/>
        </w:rPr>
        <w:t>school</w:t>
      </w:r>
      <w:r>
        <w:rPr>
          <w:spacing w:val="-12"/>
        </w:rPr>
        <w:t> </w:t>
      </w:r>
      <w:r>
        <w:rPr>
          <w:spacing w:val="-2"/>
        </w:rPr>
        <w:t>inspection</w:t>
      </w:r>
      <w:r>
        <w:rPr>
          <w:spacing w:val="-12"/>
        </w:rPr>
        <w:t> </w:t>
      </w:r>
      <w:r>
        <w:rPr>
          <w:spacing w:val="-2"/>
        </w:rPr>
        <w:t>system</w:t>
      </w:r>
      <w:r>
        <w:rPr>
          <w:spacing w:val="-12"/>
        </w:rPr>
        <w:t> </w:t>
      </w:r>
      <w:r>
        <w:rPr>
          <w:spacing w:val="-2"/>
        </w:rPr>
        <w:t>should</w:t>
      </w:r>
      <w:r>
        <w:rPr>
          <w:spacing w:val="-11"/>
        </w:rPr>
        <w:t> </w:t>
      </w:r>
      <w:r>
        <w:rPr>
          <w:spacing w:val="-2"/>
        </w:rPr>
        <w:t>include</w:t>
      </w:r>
      <w:r>
        <w:rPr>
          <w:spacing w:val="-12"/>
        </w:rPr>
        <w:t> </w:t>
      </w:r>
      <w:r>
        <w:rPr>
          <w:spacing w:val="-2"/>
        </w:rPr>
        <w:t>the</w:t>
      </w:r>
      <w:r>
        <w:rPr>
          <w:spacing w:val="-12"/>
        </w:rPr>
        <w:t> </w:t>
      </w:r>
      <w:r>
        <w:rPr>
          <w:spacing w:val="-2"/>
        </w:rPr>
        <w:t>following:</w:t>
      </w:r>
    </w:p>
    <w:p>
      <w:pPr>
        <w:pStyle w:val="ListParagraph"/>
        <w:numPr>
          <w:ilvl w:val="2"/>
          <w:numId w:val="14"/>
        </w:numPr>
        <w:tabs>
          <w:tab w:pos="1439" w:val="left" w:leader="none"/>
        </w:tabs>
        <w:spacing w:line="266" w:lineRule="auto" w:before="0" w:after="0"/>
        <w:ind w:left="1439" w:right="0" w:hanging="360"/>
        <w:jc w:val="both"/>
        <w:rPr>
          <w:sz w:val="22"/>
        </w:rPr>
      </w:pPr>
      <w:r>
        <w:rPr>
          <w:sz w:val="22"/>
        </w:rPr>
        <w:t>Local stakeholders should be involved in </w:t>
      </w:r>
      <w:r>
        <w:rPr>
          <w:sz w:val="22"/>
        </w:rPr>
        <w:t>the monitoring of schools, whether in the form of </w:t>
      </w:r>
      <w:r>
        <w:rPr>
          <w:spacing w:val="-4"/>
          <w:sz w:val="22"/>
        </w:rPr>
        <w:t>Village</w:t>
      </w:r>
      <w:r>
        <w:rPr>
          <w:spacing w:val="-10"/>
          <w:sz w:val="22"/>
        </w:rPr>
        <w:t> </w:t>
      </w:r>
      <w:r>
        <w:rPr>
          <w:spacing w:val="-4"/>
          <w:sz w:val="22"/>
        </w:rPr>
        <w:t>Education</w:t>
      </w:r>
      <w:r>
        <w:rPr>
          <w:spacing w:val="-10"/>
          <w:sz w:val="22"/>
        </w:rPr>
        <w:t> </w:t>
      </w:r>
      <w:r>
        <w:rPr>
          <w:spacing w:val="-4"/>
          <w:sz w:val="22"/>
        </w:rPr>
        <w:t>Committees,</w:t>
      </w:r>
      <w:r>
        <w:rPr>
          <w:spacing w:val="-10"/>
          <w:sz w:val="22"/>
        </w:rPr>
        <w:t> </w:t>
      </w:r>
      <w:r>
        <w:rPr>
          <w:spacing w:val="-4"/>
          <w:sz w:val="22"/>
        </w:rPr>
        <w:t>parent</w:t>
      </w:r>
      <w:r>
        <w:rPr>
          <w:spacing w:val="-9"/>
          <w:sz w:val="22"/>
        </w:rPr>
        <w:t> </w:t>
      </w:r>
      <w:r>
        <w:rPr>
          <w:spacing w:val="-4"/>
          <w:sz w:val="22"/>
        </w:rPr>
        <w:t>associations, </w:t>
      </w:r>
      <w:r>
        <w:rPr>
          <w:sz w:val="22"/>
        </w:rPr>
        <w:t>or other such bodies.</w:t>
      </w:r>
    </w:p>
    <w:p>
      <w:pPr>
        <w:pStyle w:val="ListParagraph"/>
        <w:numPr>
          <w:ilvl w:val="2"/>
          <w:numId w:val="14"/>
        </w:numPr>
        <w:tabs>
          <w:tab w:pos="1439" w:val="left" w:leader="none"/>
        </w:tabs>
        <w:spacing w:line="266" w:lineRule="auto" w:before="0" w:after="0"/>
        <w:ind w:left="1439" w:right="1" w:hanging="360"/>
        <w:jc w:val="both"/>
        <w:rPr>
          <w:sz w:val="22"/>
        </w:rPr>
      </w:pPr>
      <w:r>
        <w:rPr>
          <w:sz w:val="22"/>
        </w:rPr>
        <w:t>The number of inspectors needs to be </w:t>
      </w:r>
      <w:r>
        <w:rPr>
          <w:sz w:val="22"/>
        </w:rPr>
        <w:t>increased in many states, and they must be provided the </w:t>
      </w:r>
      <w:r>
        <w:rPr>
          <w:spacing w:val="-4"/>
          <w:sz w:val="22"/>
        </w:rPr>
        <w:t>facilities</w:t>
      </w:r>
      <w:r>
        <w:rPr>
          <w:spacing w:val="-7"/>
          <w:sz w:val="22"/>
        </w:rPr>
        <w:t> </w:t>
      </w:r>
      <w:r>
        <w:rPr>
          <w:spacing w:val="-4"/>
          <w:sz w:val="22"/>
        </w:rPr>
        <w:t>to</w:t>
      </w:r>
      <w:r>
        <w:rPr>
          <w:spacing w:val="-7"/>
          <w:sz w:val="22"/>
        </w:rPr>
        <w:t> </w:t>
      </w:r>
      <w:r>
        <w:rPr>
          <w:spacing w:val="-4"/>
          <w:sz w:val="22"/>
        </w:rPr>
        <w:t>undertake</w:t>
      </w:r>
      <w:r>
        <w:rPr>
          <w:spacing w:val="-7"/>
          <w:sz w:val="22"/>
        </w:rPr>
        <w:t> </w:t>
      </w:r>
      <w:r>
        <w:rPr>
          <w:spacing w:val="-4"/>
          <w:sz w:val="22"/>
        </w:rPr>
        <w:t>their</w:t>
      </w:r>
      <w:r>
        <w:rPr>
          <w:spacing w:val="-7"/>
          <w:sz w:val="22"/>
        </w:rPr>
        <w:t> </w:t>
      </w:r>
      <w:r>
        <w:rPr>
          <w:spacing w:val="-4"/>
          <w:sz w:val="22"/>
        </w:rPr>
        <w:t>activities</w:t>
      </w:r>
      <w:r>
        <w:rPr>
          <w:spacing w:val="-7"/>
          <w:sz w:val="22"/>
        </w:rPr>
        <w:t> </w:t>
      </w:r>
      <w:r>
        <w:rPr>
          <w:spacing w:val="-4"/>
          <w:sz w:val="22"/>
        </w:rPr>
        <w:t>properly,</w:t>
      </w:r>
      <w:r>
        <w:rPr>
          <w:spacing w:val="-7"/>
          <w:sz w:val="22"/>
        </w:rPr>
        <w:t> </w:t>
      </w:r>
      <w:r>
        <w:rPr>
          <w:spacing w:val="-4"/>
          <w:sz w:val="22"/>
        </w:rPr>
        <w:t>such </w:t>
      </w:r>
      <w:r>
        <w:rPr>
          <w:sz w:val="22"/>
        </w:rPr>
        <w:t>as transport, communications devices etc.</w:t>
      </w:r>
    </w:p>
    <w:p>
      <w:pPr>
        <w:pStyle w:val="ListParagraph"/>
        <w:numPr>
          <w:ilvl w:val="2"/>
          <w:numId w:val="14"/>
        </w:numPr>
        <w:tabs>
          <w:tab w:pos="1439" w:val="left" w:leader="none"/>
        </w:tabs>
        <w:spacing w:line="266" w:lineRule="auto" w:before="0" w:after="0"/>
        <w:ind w:left="1439" w:right="0" w:hanging="360"/>
        <w:jc w:val="both"/>
        <w:rPr>
          <w:sz w:val="22"/>
        </w:rPr>
      </w:pPr>
      <w:r>
        <w:rPr>
          <w:sz w:val="22"/>
        </w:rPr>
        <w:t>The</w:t>
      </w:r>
      <w:r>
        <w:rPr>
          <w:spacing w:val="-14"/>
          <w:sz w:val="22"/>
        </w:rPr>
        <w:t> </w:t>
      </w:r>
      <w:r>
        <w:rPr>
          <w:sz w:val="22"/>
        </w:rPr>
        <w:t>inspectors</w:t>
      </w:r>
      <w:r>
        <w:rPr>
          <w:spacing w:val="-14"/>
          <w:sz w:val="22"/>
        </w:rPr>
        <w:t> </w:t>
      </w:r>
      <w:r>
        <w:rPr>
          <w:sz w:val="22"/>
        </w:rPr>
        <w:t>themselves</w:t>
      </w:r>
      <w:r>
        <w:rPr>
          <w:spacing w:val="-14"/>
          <w:sz w:val="22"/>
        </w:rPr>
        <w:t> </w:t>
      </w:r>
      <w:r>
        <w:rPr>
          <w:sz w:val="22"/>
        </w:rPr>
        <w:t>must</w:t>
      </w:r>
      <w:r>
        <w:rPr>
          <w:spacing w:val="-13"/>
          <w:sz w:val="22"/>
        </w:rPr>
        <w:t> </w:t>
      </w:r>
      <w:r>
        <w:rPr>
          <w:sz w:val="22"/>
        </w:rPr>
        <w:t>be</w:t>
      </w:r>
      <w:r>
        <w:rPr>
          <w:spacing w:val="-14"/>
          <w:sz w:val="22"/>
        </w:rPr>
        <w:t> </w:t>
      </w:r>
      <w:r>
        <w:rPr>
          <w:sz w:val="22"/>
        </w:rPr>
        <w:t>accountable</w:t>
      </w:r>
      <w:r>
        <w:rPr>
          <w:spacing w:val="-14"/>
          <w:sz w:val="22"/>
        </w:rPr>
        <w:t> </w:t>
      </w:r>
      <w:r>
        <w:rPr>
          <w:sz w:val="22"/>
        </w:rPr>
        <w:t>to the stakeholders of the area, through appropriate checks and balances.</w:t>
      </w:r>
    </w:p>
    <w:p>
      <w:pPr>
        <w:pStyle w:val="ListParagraph"/>
        <w:numPr>
          <w:ilvl w:val="0"/>
          <w:numId w:val="17"/>
        </w:numPr>
        <w:tabs>
          <w:tab w:pos="679" w:val="left" w:leader="none"/>
        </w:tabs>
        <w:spacing w:line="266" w:lineRule="auto" w:before="60" w:after="0"/>
        <w:ind w:left="679" w:right="1077" w:hanging="360"/>
        <w:jc w:val="both"/>
        <w:rPr>
          <w:sz w:val="22"/>
        </w:rPr>
      </w:pPr>
      <w:r>
        <w:rPr/>
        <w:br w:type="column"/>
      </w:r>
      <w:r>
        <w:rPr>
          <w:sz w:val="22"/>
        </w:rPr>
        <w:t>The criteria for inspection, the dates on </w:t>
      </w:r>
      <w:r>
        <w:rPr>
          <w:sz w:val="22"/>
        </w:rPr>
        <w:t>which inspection of particular schools has taken place and</w:t>
      </w:r>
      <w:r>
        <w:rPr>
          <w:spacing w:val="-13"/>
          <w:sz w:val="22"/>
        </w:rPr>
        <w:t> </w:t>
      </w:r>
      <w:r>
        <w:rPr>
          <w:sz w:val="22"/>
        </w:rPr>
        <w:t>the</w:t>
      </w:r>
      <w:r>
        <w:rPr>
          <w:spacing w:val="-13"/>
          <w:sz w:val="22"/>
        </w:rPr>
        <w:t> </w:t>
      </w:r>
      <w:r>
        <w:rPr>
          <w:sz w:val="22"/>
        </w:rPr>
        <w:t>results</w:t>
      </w:r>
      <w:r>
        <w:rPr>
          <w:spacing w:val="-13"/>
          <w:sz w:val="22"/>
        </w:rPr>
        <w:t> </w:t>
      </w:r>
      <w:r>
        <w:rPr>
          <w:sz w:val="22"/>
        </w:rPr>
        <w:t>should</w:t>
      </w:r>
      <w:r>
        <w:rPr>
          <w:spacing w:val="-13"/>
          <w:sz w:val="22"/>
        </w:rPr>
        <w:t> </w:t>
      </w:r>
      <w:r>
        <w:rPr>
          <w:sz w:val="22"/>
        </w:rPr>
        <w:t>be</w:t>
      </w:r>
      <w:r>
        <w:rPr>
          <w:spacing w:val="-13"/>
          <w:sz w:val="22"/>
        </w:rPr>
        <w:t> </w:t>
      </w:r>
      <w:r>
        <w:rPr>
          <w:sz w:val="22"/>
        </w:rPr>
        <w:t>made</w:t>
      </w:r>
      <w:r>
        <w:rPr>
          <w:spacing w:val="-13"/>
          <w:sz w:val="22"/>
        </w:rPr>
        <w:t> </w:t>
      </w:r>
      <w:r>
        <w:rPr>
          <w:sz w:val="22"/>
        </w:rPr>
        <w:t>publicly</w:t>
      </w:r>
      <w:r>
        <w:rPr>
          <w:spacing w:val="-13"/>
          <w:sz w:val="22"/>
        </w:rPr>
        <w:t> </w:t>
      </w:r>
      <w:r>
        <w:rPr>
          <w:sz w:val="22"/>
        </w:rPr>
        <w:t>available, including by posting on websites.</w:t>
      </w:r>
    </w:p>
    <w:p>
      <w:pPr>
        <w:pStyle w:val="ListParagraph"/>
        <w:numPr>
          <w:ilvl w:val="0"/>
          <w:numId w:val="17"/>
        </w:numPr>
        <w:tabs>
          <w:tab w:pos="679" w:val="left" w:leader="none"/>
        </w:tabs>
        <w:spacing w:line="266" w:lineRule="auto" w:before="0" w:after="0"/>
        <w:ind w:left="679" w:right="1078" w:hanging="360"/>
        <w:jc w:val="both"/>
        <w:rPr>
          <w:sz w:val="22"/>
        </w:rPr>
      </w:pPr>
      <w:r>
        <w:rPr>
          <w:sz w:val="22"/>
        </w:rPr>
        <w:t>The</w:t>
      </w:r>
      <w:r>
        <w:rPr>
          <w:spacing w:val="-14"/>
          <w:sz w:val="22"/>
        </w:rPr>
        <w:t> </w:t>
      </w:r>
      <w:r>
        <w:rPr>
          <w:sz w:val="22"/>
        </w:rPr>
        <w:t>monitoring</w:t>
      </w:r>
      <w:r>
        <w:rPr>
          <w:spacing w:val="-14"/>
          <w:sz w:val="22"/>
        </w:rPr>
        <w:t> </w:t>
      </w:r>
      <w:r>
        <w:rPr>
          <w:sz w:val="22"/>
        </w:rPr>
        <w:t>and</w:t>
      </w:r>
      <w:r>
        <w:rPr>
          <w:spacing w:val="-14"/>
          <w:sz w:val="22"/>
        </w:rPr>
        <w:t> </w:t>
      </w:r>
      <w:r>
        <w:rPr>
          <w:sz w:val="22"/>
        </w:rPr>
        <w:t>inspection</w:t>
      </w:r>
      <w:r>
        <w:rPr>
          <w:spacing w:val="-13"/>
          <w:sz w:val="22"/>
        </w:rPr>
        <w:t> </w:t>
      </w:r>
      <w:r>
        <w:rPr>
          <w:sz w:val="22"/>
        </w:rPr>
        <w:t>of</w:t>
      </w:r>
      <w:r>
        <w:rPr>
          <w:spacing w:val="-14"/>
          <w:sz w:val="22"/>
        </w:rPr>
        <w:t> </w:t>
      </w:r>
      <w:r>
        <w:rPr>
          <w:sz w:val="22"/>
        </w:rPr>
        <w:t>schools</w:t>
      </w:r>
      <w:r>
        <w:rPr>
          <w:spacing w:val="-14"/>
          <w:sz w:val="22"/>
        </w:rPr>
        <w:t> </w:t>
      </w:r>
      <w:r>
        <w:rPr>
          <w:sz w:val="22"/>
        </w:rPr>
        <w:t>must</w:t>
      </w:r>
      <w:r>
        <w:rPr>
          <w:spacing w:val="-14"/>
          <w:sz w:val="22"/>
        </w:rPr>
        <w:t> </w:t>
      </w:r>
      <w:r>
        <w:rPr>
          <w:sz w:val="22"/>
        </w:rPr>
        <w:t>be separated from school administration, as the two </w:t>
      </w:r>
      <w:r>
        <w:rPr>
          <w:spacing w:val="-4"/>
          <w:sz w:val="22"/>
        </w:rPr>
        <w:t>functions require completely different orientations.</w:t>
      </w:r>
    </w:p>
    <w:p>
      <w:pPr>
        <w:pStyle w:val="ListParagraph"/>
        <w:numPr>
          <w:ilvl w:val="0"/>
          <w:numId w:val="17"/>
        </w:numPr>
        <w:tabs>
          <w:tab w:pos="679" w:val="left" w:leader="none"/>
        </w:tabs>
        <w:spacing w:line="266" w:lineRule="auto" w:before="0" w:after="0"/>
        <w:ind w:left="679" w:right="1077" w:hanging="360"/>
        <w:jc w:val="both"/>
        <w:rPr>
          <w:sz w:val="22"/>
        </w:rPr>
      </w:pPr>
      <w:r>
        <w:rPr>
          <w:sz w:val="22"/>
        </w:rPr>
        <w:t>The</w:t>
      </w:r>
      <w:r>
        <w:rPr>
          <w:spacing w:val="-14"/>
          <w:sz w:val="22"/>
        </w:rPr>
        <w:t> </w:t>
      </w:r>
      <w:r>
        <w:rPr>
          <w:sz w:val="22"/>
        </w:rPr>
        <w:t>criteria</w:t>
      </w:r>
      <w:r>
        <w:rPr>
          <w:spacing w:val="-14"/>
          <w:sz w:val="22"/>
        </w:rPr>
        <w:t> </w:t>
      </w:r>
      <w:r>
        <w:rPr>
          <w:sz w:val="22"/>
        </w:rPr>
        <w:t>for</w:t>
      </w:r>
      <w:r>
        <w:rPr>
          <w:spacing w:val="-14"/>
          <w:sz w:val="22"/>
        </w:rPr>
        <w:t> </w:t>
      </w:r>
      <w:r>
        <w:rPr>
          <w:sz w:val="22"/>
        </w:rPr>
        <w:t>inspection</w:t>
      </w:r>
      <w:r>
        <w:rPr>
          <w:spacing w:val="-13"/>
          <w:sz w:val="22"/>
        </w:rPr>
        <w:t> </w:t>
      </w:r>
      <w:r>
        <w:rPr>
          <w:sz w:val="22"/>
        </w:rPr>
        <w:t>should</w:t>
      </w:r>
      <w:r>
        <w:rPr>
          <w:spacing w:val="-14"/>
          <w:sz w:val="22"/>
        </w:rPr>
        <w:t> </w:t>
      </w:r>
      <w:r>
        <w:rPr>
          <w:sz w:val="22"/>
        </w:rPr>
        <w:t>include</w:t>
      </w:r>
      <w:r>
        <w:rPr>
          <w:spacing w:val="-14"/>
          <w:sz w:val="22"/>
        </w:rPr>
        <w:t> </w:t>
      </w:r>
      <w:r>
        <w:rPr>
          <w:sz w:val="22"/>
        </w:rPr>
        <w:t>not</w:t>
      </w:r>
      <w:r>
        <w:rPr>
          <w:spacing w:val="-14"/>
          <w:sz w:val="22"/>
        </w:rPr>
        <w:t> </w:t>
      </w:r>
      <w:r>
        <w:rPr>
          <w:sz w:val="22"/>
        </w:rPr>
        <w:t>only infrastructure, facilities and teacher presence but also minimum standards for quality.</w:t>
      </w:r>
    </w:p>
    <w:p>
      <w:pPr>
        <w:pStyle w:val="Heading7"/>
        <w:numPr>
          <w:ilvl w:val="1"/>
          <w:numId w:val="14"/>
        </w:numPr>
        <w:tabs>
          <w:tab w:pos="724" w:val="left" w:leader="none"/>
          <w:tab w:pos="726" w:val="left" w:leader="none"/>
        </w:tabs>
        <w:spacing w:line="225" w:lineRule="auto" w:before="249" w:after="0"/>
        <w:ind w:left="726" w:right="1374" w:hanging="408"/>
        <w:jc w:val="left"/>
      </w:pPr>
      <w:r>
        <w:rPr>
          <w:color w:val="2E614A"/>
        </w:rPr>
        <w:t>The</w:t>
      </w:r>
      <w:r>
        <w:rPr>
          <w:color w:val="2E614A"/>
          <w:spacing w:val="-12"/>
        </w:rPr>
        <w:t> </w:t>
      </w:r>
      <w:r>
        <w:rPr>
          <w:color w:val="2E614A"/>
        </w:rPr>
        <w:t>dignity</w:t>
      </w:r>
      <w:r>
        <w:rPr>
          <w:color w:val="2E614A"/>
          <w:spacing w:val="-12"/>
        </w:rPr>
        <w:t> </w:t>
      </w:r>
      <w:r>
        <w:rPr>
          <w:color w:val="2E614A"/>
        </w:rPr>
        <w:t>of</w:t>
      </w:r>
      <w:r>
        <w:rPr>
          <w:color w:val="2E614A"/>
          <w:spacing w:val="-12"/>
        </w:rPr>
        <w:t> </w:t>
      </w:r>
      <w:r>
        <w:rPr>
          <w:color w:val="2E614A"/>
        </w:rPr>
        <w:t>school</w:t>
      </w:r>
      <w:r>
        <w:rPr>
          <w:color w:val="2E614A"/>
          <w:spacing w:val="-12"/>
        </w:rPr>
        <w:t> </w:t>
      </w:r>
      <w:r>
        <w:rPr>
          <w:color w:val="2E614A"/>
        </w:rPr>
        <w:t>teaching</w:t>
      </w:r>
      <w:r>
        <w:rPr>
          <w:color w:val="2E614A"/>
          <w:spacing w:val="-12"/>
        </w:rPr>
        <w:t> </w:t>
      </w:r>
      <w:r>
        <w:rPr>
          <w:color w:val="2E614A"/>
        </w:rPr>
        <w:t>as</w:t>
      </w:r>
      <w:r>
        <w:rPr>
          <w:color w:val="2E614A"/>
          <w:spacing w:val="-12"/>
        </w:rPr>
        <w:t> </w:t>
      </w:r>
      <w:r>
        <w:rPr>
          <w:color w:val="2E614A"/>
        </w:rPr>
        <w:t>a </w:t>
      </w:r>
      <w:r>
        <w:rPr>
          <w:color w:val="2E614A"/>
          <w:spacing w:val="-10"/>
        </w:rPr>
        <w:t>profession</w:t>
      </w:r>
      <w:r>
        <w:rPr>
          <w:color w:val="2E614A"/>
          <w:spacing w:val="-5"/>
        </w:rPr>
        <w:t> </w:t>
      </w:r>
      <w:r>
        <w:rPr>
          <w:color w:val="2E614A"/>
          <w:spacing w:val="-10"/>
        </w:rPr>
        <w:t>must</w:t>
      </w:r>
      <w:r>
        <w:rPr>
          <w:color w:val="2E614A"/>
          <w:spacing w:val="-5"/>
        </w:rPr>
        <w:t> </w:t>
      </w:r>
      <w:r>
        <w:rPr>
          <w:color w:val="2E614A"/>
          <w:spacing w:val="-10"/>
        </w:rPr>
        <w:t>be</w:t>
      </w:r>
      <w:r>
        <w:rPr>
          <w:color w:val="2E614A"/>
          <w:spacing w:val="-5"/>
        </w:rPr>
        <w:t> </w:t>
      </w:r>
      <w:r>
        <w:rPr>
          <w:color w:val="2E614A"/>
          <w:spacing w:val="-10"/>
        </w:rPr>
        <w:t>restored,</w:t>
      </w:r>
      <w:r>
        <w:rPr>
          <w:color w:val="2E614A"/>
          <w:spacing w:val="-5"/>
        </w:rPr>
        <w:t> </w:t>
      </w:r>
      <w:r>
        <w:rPr>
          <w:color w:val="2E614A"/>
          <w:spacing w:val="-10"/>
        </w:rPr>
        <w:t>and</w:t>
      </w:r>
      <w:r>
        <w:rPr>
          <w:color w:val="2E614A"/>
          <w:spacing w:val="-5"/>
        </w:rPr>
        <w:t> </w:t>
      </w:r>
      <w:r>
        <w:rPr>
          <w:color w:val="2E614A"/>
          <w:spacing w:val="-10"/>
        </w:rPr>
        <w:t>at</w:t>
      </w:r>
      <w:r>
        <w:rPr>
          <w:color w:val="2E614A"/>
          <w:spacing w:val="-5"/>
        </w:rPr>
        <w:t> </w:t>
      </w:r>
      <w:r>
        <w:rPr>
          <w:color w:val="2E614A"/>
          <w:spacing w:val="-10"/>
        </w:rPr>
        <w:t>the </w:t>
      </w:r>
      <w:r>
        <w:rPr>
          <w:color w:val="2E614A"/>
          <w:spacing w:val="-8"/>
        </w:rPr>
        <w:t>same</w:t>
      </w:r>
      <w:r>
        <w:rPr>
          <w:color w:val="2E614A"/>
          <w:spacing w:val="-9"/>
        </w:rPr>
        <w:t> </w:t>
      </w:r>
      <w:r>
        <w:rPr>
          <w:color w:val="2E614A"/>
          <w:spacing w:val="-8"/>
        </w:rPr>
        <w:t>time there should be</w:t>
      </w:r>
      <w:r>
        <w:rPr>
          <w:color w:val="2E614A"/>
          <w:spacing w:val="-9"/>
        </w:rPr>
        <w:t> </w:t>
      </w:r>
      <w:r>
        <w:rPr>
          <w:color w:val="2E614A"/>
          <w:spacing w:val="-8"/>
        </w:rPr>
        <w:t>transparent </w:t>
      </w:r>
      <w:r>
        <w:rPr>
          <w:color w:val="2E614A"/>
          <w:spacing w:val="-6"/>
        </w:rPr>
        <w:t>systems</w:t>
      </w:r>
      <w:r>
        <w:rPr>
          <w:color w:val="2E614A"/>
          <w:spacing w:val="-11"/>
        </w:rPr>
        <w:t> </w:t>
      </w:r>
      <w:r>
        <w:rPr>
          <w:color w:val="2E614A"/>
          <w:spacing w:val="-6"/>
        </w:rPr>
        <w:t>for</w:t>
      </w:r>
      <w:r>
        <w:rPr>
          <w:color w:val="2E614A"/>
          <w:spacing w:val="-10"/>
        </w:rPr>
        <w:t> </w:t>
      </w:r>
      <w:r>
        <w:rPr>
          <w:color w:val="2E614A"/>
          <w:spacing w:val="-6"/>
        </w:rPr>
        <w:t>ensuring</w:t>
      </w:r>
      <w:r>
        <w:rPr>
          <w:color w:val="2E614A"/>
          <w:spacing w:val="-10"/>
        </w:rPr>
        <w:t> </w:t>
      </w:r>
      <w:r>
        <w:rPr>
          <w:color w:val="2E614A"/>
          <w:spacing w:val="-6"/>
        </w:rPr>
        <w:t>accountability</w:t>
      </w:r>
      <w:r>
        <w:rPr>
          <w:color w:val="2E614A"/>
          <w:spacing w:val="-10"/>
        </w:rPr>
        <w:t> </w:t>
      </w:r>
      <w:r>
        <w:rPr>
          <w:color w:val="2E614A"/>
          <w:spacing w:val="-6"/>
        </w:rPr>
        <w:t>of </w:t>
      </w:r>
      <w:r>
        <w:rPr>
          <w:color w:val="2E614A"/>
        </w:rPr>
        <w:t>school teachers.</w:t>
      </w:r>
    </w:p>
    <w:p>
      <w:pPr>
        <w:pStyle w:val="BodyText"/>
        <w:spacing w:line="266" w:lineRule="auto" w:before="298"/>
        <w:ind w:left="319" w:right="1077"/>
        <w:jc w:val="both"/>
      </w:pPr>
      <w:r>
        <w:rPr/>
        <w:t>Teachers</w:t>
      </w:r>
      <w:r>
        <w:rPr>
          <w:spacing w:val="-11"/>
        </w:rPr>
        <w:t> </w:t>
      </w:r>
      <w:r>
        <w:rPr/>
        <w:t>constitute</w:t>
      </w:r>
      <w:r>
        <w:rPr>
          <w:spacing w:val="-11"/>
        </w:rPr>
        <w:t> </w:t>
      </w:r>
      <w:r>
        <w:rPr/>
        <w:t>the</w:t>
      </w:r>
      <w:r>
        <w:rPr>
          <w:spacing w:val="-11"/>
        </w:rPr>
        <w:t> </w:t>
      </w:r>
      <w:r>
        <w:rPr/>
        <w:t>basic</w:t>
      </w:r>
      <w:r>
        <w:rPr>
          <w:spacing w:val="-11"/>
        </w:rPr>
        <w:t> </w:t>
      </w:r>
      <w:r>
        <w:rPr/>
        <w:t>foundation</w:t>
      </w:r>
      <w:r>
        <w:rPr>
          <w:spacing w:val="-11"/>
        </w:rPr>
        <w:t> </w:t>
      </w:r>
      <w:r>
        <w:rPr/>
        <w:t>of</w:t>
      </w:r>
      <w:r>
        <w:rPr>
          <w:spacing w:val="-11"/>
        </w:rPr>
        <w:t> </w:t>
      </w:r>
      <w:r>
        <w:rPr/>
        <w:t>the</w:t>
      </w:r>
      <w:r>
        <w:rPr>
          <w:spacing w:val="-11"/>
        </w:rPr>
        <w:t> </w:t>
      </w:r>
      <w:r>
        <w:rPr/>
        <w:t>school education</w:t>
      </w:r>
      <w:r>
        <w:rPr>
          <w:spacing w:val="-11"/>
        </w:rPr>
        <w:t> </w:t>
      </w:r>
      <w:r>
        <w:rPr/>
        <w:t>system.</w:t>
      </w:r>
      <w:r>
        <w:rPr>
          <w:spacing w:val="-11"/>
        </w:rPr>
        <w:t> </w:t>
      </w:r>
      <w:r>
        <w:rPr/>
        <w:t>However,</w:t>
      </w:r>
      <w:r>
        <w:rPr>
          <w:spacing w:val="-11"/>
        </w:rPr>
        <w:t> </w:t>
      </w:r>
      <w:r>
        <w:rPr/>
        <w:t>there</w:t>
      </w:r>
      <w:r>
        <w:rPr>
          <w:spacing w:val="-11"/>
        </w:rPr>
        <w:t> </w:t>
      </w:r>
      <w:r>
        <w:rPr/>
        <w:t>is</w:t>
      </w:r>
      <w:r>
        <w:rPr>
          <w:spacing w:val="-11"/>
        </w:rPr>
        <w:t> </w:t>
      </w:r>
      <w:r>
        <w:rPr/>
        <w:t>a</w:t>
      </w:r>
      <w:r>
        <w:rPr>
          <w:spacing w:val="-11"/>
        </w:rPr>
        <w:t> </w:t>
      </w:r>
      <w:r>
        <w:rPr/>
        <w:t>general</w:t>
      </w:r>
      <w:r>
        <w:rPr>
          <w:spacing w:val="-11"/>
        </w:rPr>
        <w:t> </w:t>
      </w:r>
      <w:r>
        <w:rPr/>
        <w:t>decline in morale among school teachers, especially those </w:t>
      </w:r>
      <w:r>
        <w:rPr/>
        <w:t>in primary</w:t>
      </w:r>
      <w:r>
        <w:rPr>
          <w:spacing w:val="-14"/>
        </w:rPr>
        <w:t> </w:t>
      </w:r>
      <w:r>
        <w:rPr/>
        <w:t>schools,</w:t>
      </w:r>
      <w:r>
        <w:rPr>
          <w:spacing w:val="-14"/>
        </w:rPr>
        <w:t> </w:t>
      </w:r>
      <w:r>
        <w:rPr/>
        <w:t>and</w:t>
      </w:r>
      <w:r>
        <w:rPr>
          <w:spacing w:val="-14"/>
        </w:rPr>
        <w:t> </w:t>
      </w:r>
      <w:r>
        <w:rPr/>
        <w:t>consequently</w:t>
      </w:r>
      <w:r>
        <w:rPr>
          <w:spacing w:val="-13"/>
        </w:rPr>
        <w:t> </w:t>
      </w:r>
      <w:r>
        <w:rPr/>
        <w:t>it</w:t>
      </w:r>
      <w:r>
        <w:rPr>
          <w:spacing w:val="-14"/>
        </w:rPr>
        <w:t> </w:t>
      </w:r>
      <w:r>
        <w:rPr/>
        <w:t>is</w:t>
      </w:r>
      <w:r>
        <w:rPr>
          <w:spacing w:val="-14"/>
        </w:rPr>
        <w:t> </w:t>
      </w:r>
      <w:r>
        <w:rPr/>
        <w:t>no</w:t>
      </w:r>
      <w:r>
        <w:rPr>
          <w:spacing w:val="-14"/>
        </w:rPr>
        <w:t> </w:t>
      </w:r>
      <w:r>
        <w:rPr/>
        <w:t>longer</w:t>
      </w:r>
      <w:r>
        <w:rPr>
          <w:spacing w:val="-13"/>
        </w:rPr>
        <w:t> </w:t>
      </w:r>
      <w:r>
        <w:rPr/>
        <w:t>seen as</w:t>
      </w:r>
      <w:r>
        <w:rPr>
          <w:spacing w:val="-12"/>
        </w:rPr>
        <w:t> </w:t>
      </w:r>
      <w:r>
        <w:rPr/>
        <w:t>an</w:t>
      </w:r>
      <w:r>
        <w:rPr>
          <w:spacing w:val="-12"/>
        </w:rPr>
        <w:t> </w:t>
      </w:r>
      <w:r>
        <w:rPr/>
        <w:t>attractive</w:t>
      </w:r>
      <w:r>
        <w:rPr>
          <w:spacing w:val="-12"/>
        </w:rPr>
        <w:t> </w:t>
      </w:r>
      <w:r>
        <w:rPr/>
        <w:t>profession</w:t>
      </w:r>
      <w:r>
        <w:rPr>
          <w:spacing w:val="-12"/>
        </w:rPr>
        <w:t> </w:t>
      </w:r>
      <w:r>
        <w:rPr/>
        <w:t>for</w:t>
      </w:r>
      <w:r>
        <w:rPr>
          <w:spacing w:val="-12"/>
        </w:rPr>
        <w:t> </w:t>
      </w:r>
      <w:r>
        <w:rPr/>
        <w:t>qualified</w:t>
      </w:r>
      <w:r>
        <w:rPr>
          <w:spacing w:val="-12"/>
        </w:rPr>
        <w:t> </w:t>
      </w:r>
      <w:r>
        <w:rPr/>
        <w:t>young</w:t>
      </w:r>
      <w:r>
        <w:rPr>
          <w:spacing w:val="-12"/>
        </w:rPr>
        <w:t> </w:t>
      </w:r>
      <w:r>
        <w:rPr/>
        <w:t>people. </w:t>
      </w:r>
      <w:r>
        <w:rPr>
          <w:spacing w:val="-4"/>
        </w:rPr>
        <w:t>Two</w:t>
      </w:r>
      <w:r>
        <w:rPr>
          <w:spacing w:val="-5"/>
        </w:rPr>
        <w:t> </w:t>
      </w:r>
      <w:r>
        <w:rPr>
          <w:spacing w:val="-4"/>
        </w:rPr>
        <w:t>types</w:t>
      </w:r>
      <w:r>
        <w:rPr>
          <w:spacing w:val="-5"/>
        </w:rPr>
        <w:t> </w:t>
      </w:r>
      <w:r>
        <w:rPr>
          <w:spacing w:val="-4"/>
        </w:rPr>
        <w:t>of</w:t>
      </w:r>
      <w:r>
        <w:rPr>
          <w:spacing w:val="-5"/>
        </w:rPr>
        <w:t> </w:t>
      </w:r>
      <w:r>
        <w:rPr>
          <w:spacing w:val="-4"/>
        </w:rPr>
        <w:t>public</w:t>
      </w:r>
      <w:r>
        <w:rPr>
          <w:spacing w:val="-5"/>
        </w:rPr>
        <w:t> </w:t>
      </w:r>
      <w:r>
        <w:rPr>
          <w:spacing w:val="-4"/>
        </w:rPr>
        <w:t>perceptions,</w:t>
      </w:r>
      <w:r>
        <w:rPr>
          <w:spacing w:val="-5"/>
        </w:rPr>
        <w:t> </w:t>
      </w:r>
      <w:r>
        <w:rPr>
          <w:spacing w:val="-4"/>
        </w:rPr>
        <w:t>also</w:t>
      </w:r>
      <w:r>
        <w:rPr>
          <w:spacing w:val="-5"/>
        </w:rPr>
        <w:t> </w:t>
      </w:r>
      <w:r>
        <w:rPr>
          <w:spacing w:val="-4"/>
        </w:rPr>
        <w:t>propagated</w:t>
      </w:r>
      <w:r>
        <w:rPr>
          <w:spacing w:val="-5"/>
        </w:rPr>
        <w:t> </w:t>
      </w:r>
      <w:r>
        <w:rPr>
          <w:spacing w:val="-4"/>
        </w:rPr>
        <w:t>in</w:t>
      </w:r>
      <w:r>
        <w:rPr>
          <w:spacing w:val="-5"/>
        </w:rPr>
        <w:t> </w:t>
      </w:r>
      <w:r>
        <w:rPr>
          <w:spacing w:val="-4"/>
        </w:rPr>
        <w:t>the </w:t>
      </w:r>
      <w:r>
        <w:rPr/>
        <w:t>media and among officialdom, contribute to the low morale among school teachers: first, that anyone can teach and no particular pedagogical skills or training are</w:t>
      </w:r>
      <w:r>
        <w:rPr>
          <w:spacing w:val="-14"/>
        </w:rPr>
        <w:t> </w:t>
      </w:r>
      <w:r>
        <w:rPr/>
        <w:t>required;</w:t>
      </w:r>
      <w:r>
        <w:rPr>
          <w:spacing w:val="-14"/>
        </w:rPr>
        <w:t> </w:t>
      </w:r>
      <w:r>
        <w:rPr/>
        <w:t>second,</w:t>
      </w:r>
      <w:r>
        <w:rPr>
          <w:spacing w:val="-14"/>
        </w:rPr>
        <w:t> </w:t>
      </w:r>
      <w:r>
        <w:rPr/>
        <w:t>that</w:t>
      </w:r>
      <w:r>
        <w:rPr>
          <w:spacing w:val="-13"/>
        </w:rPr>
        <w:t> </w:t>
      </w:r>
      <w:r>
        <w:rPr/>
        <w:t>in</w:t>
      </w:r>
      <w:r>
        <w:rPr>
          <w:spacing w:val="-14"/>
        </w:rPr>
        <w:t> </w:t>
      </w:r>
      <w:r>
        <w:rPr/>
        <w:t>any</w:t>
      </w:r>
      <w:r>
        <w:rPr>
          <w:spacing w:val="-14"/>
        </w:rPr>
        <w:t> </w:t>
      </w:r>
      <w:r>
        <w:rPr/>
        <w:t>case</w:t>
      </w:r>
      <w:r>
        <w:rPr>
          <w:spacing w:val="-14"/>
        </w:rPr>
        <w:t> </w:t>
      </w:r>
      <w:r>
        <w:rPr/>
        <w:t>most</w:t>
      </w:r>
      <w:r>
        <w:rPr>
          <w:spacing w:val="-13"/>
        </w:rPr>
        <w:t> </w:t>
      </w:r>
      <w:r>
        <w:rPr/>
        <w:t>teachers</w:t>
      </w:r>
      <w:r>
        <w:rPr>
          <w:spacing w:val="-14"/>
        </w:rPr>
        <w:t> </w:t>
      </w:r>
      <w:r>
        <w:rPr/>
        <w:t>do not</w:t>
      </w:r>
      <w:r>
        <w:rPr>
          <w:spacing w:val="-14"/>
        </w:rPr>
        <w:t> </w:t>
      </w:r>
      <w:r>
        <w:rPr/>
        <w:t>work</w:t>
      </w:r>
      <w:r>
        <w:rPr>
          <w:spacing w:val="-14"/>
        </w:rPr>
        <w:t> </w:t>
      </w:r>
      <w:r>
        <w:rPr/>
        <w:t>much</w:t>
      </w:r>
      <w:r>
        <w:rPr>
          <w:spacing w:val="-14"/>
        </w:rPr>
        <w:t> </w:t>
      </w:r>
      <w:r>
        <w:rPr/>
        <w:t>and</w:t>
      </w:r>
      <w:r>
        <w:rPr>
          <w:spacing w:val="-13"/>
        </w:rPr>
        <w:t> </w:t>
      </w:r>
      <w:r>
        <w:rPr/>
        <w:t>are</w:t>
      </w:r>
      <w:r>
        <w:rPr>
          <w:spacing w:val="-14"/>
        </w:rPr>
        <w:t> </w:t>
      </w:r>
      <w:r>
        <w:rPr/>
        <w:t>frequently</w:t>
      </w:r>
      <w:r>
        <w:rPr>
          <w:spacing w:val="-14"/>
        </w:rPr>
        <w:t> </w:t>
      </w:r>
      <w:r>
        <w:rPr/>
        <w:t>absent</w:t>
      </w:r>
      <w:r>
        <w:rPr>
          <w:spacing w:val="-14"/>
        </w:rPr>
        <w:t> </w:t>
      </w:r>
      <w:r>
        <w:rPr/>
        <w:t>from</w:t>
      </w:r>
      <w:r>
        <w:rPr>
          <w:spacing w:val="-13"/>
        </w:rPr>
        <w:t> </w:t>
      </w:r>
      <w:r>
        <w:rPr/>
        <w:t>school. While</w:t>
      </w:r>
      <w:r>
        <w:rPr>
          <w:spacing w:val="-5"/>
        </w:rPr>
        <w:t> </w:t>
      </w:r>
      <w:r>
        <w:rPr/>
        <w:t>the</w:t>
      </w:r>
      <w:r>
        <w:rPr>
          <w:spacing w:val="-5"/>
        </w:rPr>
        <w:t> </w:t>
      </w:r>
      <w:r>
        <w:rPr/>
        <w:t>latter</w:t>
      </w:r>
      <w:r>
        <w:rPr>
          <w:spacing w:val="-5"/>
        </w:rPr>
        <w:t> </w:t>
      </w:r>
      <w:r>
        <w:rPr/>
        <w:t>may</w:t>
      </w:r>
      <w:r>
        <w:rPr>
          <w:spacing w:val="-5"/>
        </w:rPr>
        <w:t> </w:t>
      </w:r>
      <w:r>
        <w:rPr/>
        <w:t>be</w:t>
      </w:r>
      <w:r>
        <w:rPr>
          <w:spacing w:val="-5"/>
        </w:rPr>
        <w:t> </w:t>
      </w:r>
      <w:r>
        <w:rPr/>
        <w:t>the</w:t>
      </w:r>
      <w:r>
        <w:rPr>
          <w:spacing w:val="-5"/>
        </w:rPr>
        <w:t> </w:t>
      </w:r>
      <w:r>
        <w:rPr/>
        <w:t>case</w:t>
      </w:r>
      <w:r>
        <w:rPr>
          <w:spacing w:val="-5"/>
        </w:rPr>
        <w:t> </w:t>
      </w:r>
      <w:r>
        <w:rPr/>
        <w:t>for</w:t>
      </w:r>
      <w:r>
        <w:rPr>
          <w:spacing w:val="-5"/>
        </w:rPr>
        <w:t> </w:t>
      </w:r>
      <w:r>
        <w:rPr/>
        <w:t>a</w:t>
      </w:r>
      <w:r>
        <w:rPr>
          <w:spacing w:val="-5"/>
        </w:rPr>
        <w:t> </w:t>
      </w:r>
      <w:r>
        <w:rPr/>
        <w:t>relatively</w:t>
      </w:r>
      <w:r>
        <w:rPr>
          <w:spacing w:val="-5"/>
        </w:rPr>
        <w:t> </w:t>
      </w:r>
      <w:r>
        <w:rPr/>
        <w:t>small </w:t>
      </w:r>
      <w:r>
        <w:rPr>
          <w:spacing w:val="-6"/>
        </w:rPr>
        <w:t>minority</w:t>
      </w:r>
      <w:r>
        <w:rPr>
          <w:spacing w:val="-8"/>
        </w:rPr>
        <w:t> </w:t>
      </w:r>
      <w:r>
        <w:rPr>
          <w:spacing w:val="-6"/>
        </w:rPr>
        <w:t>of</w:t>
      </w:r>
      <w:r>
        <w:rPr>
          <w:spacing w:val="-8"/>
        </w:rPr>
        <w:t> </w:t>
      </w:r>
      <w:r>
        <w:rPr>
          <w:spacing w:val="-6"/>
        </w:rPr>
        <w:t>teachers,</w:t>
      </w:r>
      <w:r>
        <w:rPr>
          <w:spacing w:val="-8"/>
        </w:rPr>
        <w:t> </w:t>
      </w:r>
      <w:r>
        <w:rPr>
          <w:spacing w:val="-6"/>
        </w:rPr>
        <w:t>most</w:t>
      </w:r>
      <w:r>
        <w:rPr>
          <w:spacing w:val="-7"/>
        </w:rPr>
        <w:t> </w:t>
      </w:r>
      <w:r>
        <w:rPr>
          <w:spacing w:val="-6"/>
        </w:rPr>
        <w:t>school</w:t>
      </w:r>
      <w:r>
        <w:rPr>
          <w:spacing w:val="-8"/>
        </w:rPr>
        <w:t> </w:t>
      </w:r>
      <w:r>
        <w:rPr>
          <w:spacing w:val="-6"/>
        </w:rPr>
        <w:t>teachers</w:t>
      </w:r>
      <w:r>
        <w:rPr>
          <w:spacing w:val="-8"/>
        </w:rPr>
        <w:t> </w:t>
      </w:r>
      <w:r>
        <w:rPr>
          <w:spacing w:val="-6"/>
        </w:rPr>
        <w:t>are</w:t>
      </w:r>
      <w:r>
        <w:rPr>
          <w:spacing w:val="-8"/>
        </w:rPr>
        <w:t> </w:t>
      </w:r>
      <w:r>
        <w:rPr>
          <w:spacing w:val="-6"/>
        </w:rPr>
        <w:t>committed </w:t>
      </w:r>
      <w:r>
        <w:rPr/>
        <w:t>to</w:t>
      </w:r>
      <w:r>
        <w:rPr>
          <w:spacing w:val="-9"/>
        </w:rPr>
        <w:t> </w:t>
      </w:r>
      <w:r>
        <w:rPr/>
        <w:t>their</w:t>
      </w:r>
      <w:r>
        <w:rPr>
          <w:spacing w:val="-9"/>
        </w:rPr>
        <w:t> </w:t>
      </w:r>
      <w:r>
        <w:rPr/>
        <w:t>profession</w:t>
      </w:r>
      <w:r>
        <w:rPr>
          <w:spacing w:val="-9"/>
        </w:rPr>
        <w:t> </w:t>
      </w:r>
      <w:r>
        <w:rPr/>
        <w:t>even</w:t>
      </w:r>
      <w:r>
        <w:rPr>
          <w:spacing w:val="-9"/>
        </w:rPr>
        <w:t> </w:t>
      </w:r>
      <w:r>
        <w:rPr/>
        <w:t>if</w:t>
      </w:r>
      <w:r>
        <w:rPr>
          <w:spacing w:val="-9"/>
        </w:rPr>
        <w:t> </w:t>
      </w:r>
      <w:r>
        <w:rPr/>
        <w:t>they</w:t>
      </w:r>
      <w:r>
        <w:rPr>
          <w:spacing w:val="-9"/>
        </w:rPr>
        <w:t> </w:t>
      </w:r>
      <w:r>
        <w:rPr/>
        <w:t>have</w:t>
      </w:r>
      <w:r>
        <w:rPr>
          <w:spacing w:val="-9"/>
        </w:rPr>
        <w:t> </w:t>
      </w:r>
      <w:r>
        <w:rPr/>
        <w:t>to</w:t>
      </w:r>
      <w:r>
        <w:rPr>
          <w:spacing w:val="-9"/>
        </w:rPr>
        <w:t> </w:t>
      </w:r>
      <w:r>
        <w:rPr/>
        <w:t>function</w:t>
      </w:r>
      <w:r>
        <w:rPr>
          <w:spacing w:val="-9"/>
        </w:rPr>
        <w:t> </w:t>
      </w:r>
      <w:r>
        <w:rPr/>
        <w:t>under </w:t>
      </w:r>
      <w:r>
        <w:rPr>
          <w:spacing w:val="-4"/>
        </w:rPr>
        <w:t>very</w:t>
      </w:r>
      <w:r>
        <w:rPr>
          <w:spacing w:val="-10"/>
        </w:rPr>
        <w:t> </w:t>
      </w:r>
      <w:r>
        <w:rPr>
          <w:spacing w:val="-4"/>
        </w:rPr>
        <w:t>difficult</w:t>
      </w:r>
      <w:r>
        <w:rPr>
          <w:spacing w:val="-10"/>
        </w:rPr>
        <w:t> </w:t>
      </w:r>
      <w:r>
        <w:rPr>
          <w:spacing w:val="-4"/>
        </w:rPr>
        <w:t>conditions.</w:t>
      </w:r>
      <w:r>
        <w:rPr>
          <w:spacing w:val="-10"/>
        </w:rPr>
        <w:t> </w:t>
      </w:r>
      <w:r>
        <w:rPr>
          <w:spacing w:val="-4"/>
        </w:rPr>
        <w:t>However,</w:t>
      </w:r>
      <w:r>
        <w:rPr>
          <w:spacing w:val="-9"/>
        </w:rPr>
        <w:t> </w:t>
      </w:r>
      <w:r>
        <w:rPr>
          <w:spacing w:val="-4"/>
        </w:rPr>
        <w:t>they</w:t>
      </w:r>
      <w:r>
        <w:rPr>
          <w:spacing w:val="-10"/>
        </w:rPr>
        <w:t> </w:t>
      </w:r>
      <w:r>
        <w:rPr>
          <w:spacing w:val="-4"/>
        </w:rPr>
        <w:t>are</w:t>
      </w:r>
      <w:r>
        <w:rPr>
          <w:spacing w:val="-10"/>
        </w:rPr>
        <w:t> </w:t>
      </w:r>
      <w:r>
        <w:rPr>
          <w:spacing w:val="-4"/>
        </w:rPr>
        <w:t>also</w:t>
      </w:r>
      <w:r>
        <w:rPr>
          <w:spacing w:val="-10"/>
        </w:rPr>
        <w:t> </w:t>
      </w:r>
      <w:r>
        <w:rPr>
          <w:spacing w:val="-4"/>
        </w:rPr>
        <w:t>subject </w:t>
      </w:r>
      <w:r>
        <w:rPr/>
        <w:t>to</w:t>
      </w:r>
      <w:r>
        <w:rPr>
          <w:spacing w:val="-9"/>
        </w:rPr>
        <w:t> </w:t>
      </w:r>
      <w:r>
        <w:rPr/>
        <w:t>many</w:t>
      </w:r>
      <w:r>
        <w:rPr>
          <w:spacing w:val="-9"/>
        </w:rPr>
        <w:t> </w:t>
      </w:r>
      <w:r>
        <w:rPr/>
        <w:t>other</w:t>
      </w:r>
      <w:r>
        <w:rPr>
          <w:spacing w:val="-9"/>
        </w:rPr>
        <w:t> </w:t>
      </w:r>
      <w:r>
        <w:rPr/>
        <w:t>pressures</w:t>
      </w:r>
      <w:r>
        <w:rPr>
          <w:spacing w:val="-9"/>
        </w:rPr>
        <w:t> </w:t>
      </w:r>
      <w:r>
        <w:rPr/>
        <w:t>such</w:t>
      </w:r>
      <w:r>
        <w:rPr>
          <w:spacing w:val="-9"/>
        </w:rPr>
        <w:t> </w:t>
      </w:r>
      <w:r>
        <w:rPr/>
        <w:t>as</w:t>
      </w:r>
      <w:r>
        <w:rPr>
          <w:spacing w:val="-9"/>
        </w:rPr>
        <w:t> </w:t>
      </w:r>
      <w:r>
        <w:rPr/>
        <w:t>political</w:t>
      </w:r>
      <w:r>
        <w:rPr>
          <w:spacing w:val="-9"/>
        </w:rPr>
        <w:t> </w:t>
      </w:r>
      <w:r>
        <w:rPr/>
        <w:t>pressure</w:t>
      </w:r>
      <w:r>
        <w:rPr>
          <w:spacing w:val="-9"/>
        </w:rPr>
        <w:t> </w:t>
      </w:r>
      <w:r>
        <w:rPr/>
        <w:t>and obligations to perform non-teaching duties, which can</w:t>
      </w:r>
      <w:r>
        <w:rPr>
          <w:spacing w:val="-2"/>
        </w:rPr>
        <w:t> </w:t>
      </w:r>
      <w:r>
        <w:rPr/>
        <w:t>prevent</w:t>
      </w:r>
      <w:r>
        <w:rPr>
          <w:spacing w:val="-2"/>
        </w:rPr>
        <w:t> </w:t>
      </w:r>
      <w:r>
        <w:rPr/>
        <w:t>them</w:t>
      </w:r>
      <w:r>
        <w:rPr>
          <w:spacing w:val="-2"/>
        </w:rPr>
        <w:t> </w:t>
      </w:r>
      <w:r>
        <w:rPr/>
        <w:t>from</w:t>
      </w:r>
      <w:r>
        <w:rPr>
          <w:spacing w:val="-2"/>
        </w:rPr>
        <w:t> </w:t>
      </w:r>
      <w:r>
        <w:rPr/>
        <w:t>fulfilling</w:t>
      </w:r>
      <w:r>
        <w:rPr>
          <w:spacing w:val="-2"/>
        </w:rPr>
        <w:t> </w:t>
      </w:r>
      <w:r>
        <w:rPr/>
        <w:t>their</w:t>
      </w:r>
      <w:r>
        <w:rPr>
          <w:spacing w:val="-2"/>
        </w:rPr>
        <w:t> </w:t>
      </w:r>
      <w:r>
        <w:rPr/>
        <w:t>teaching</w:t>
      </w:r>
      <w:r>
        <w:rPr>
          <w:spacing w:val="-2"/>
        </w:rPr>
        <w:t> </w:t>
      </w:r>
      <w:r>
        <w:rPr/>
        <w:t>duties </w:t>
      </w:r>
      <w:r>
        <w:rPr>
          <w:spacing w:val="-2"/>
        </w:rPr>
        <w:t>adequately.</w:t>
      </w:r>
    </w:p>
    <w:p>
      <w:pPr>
        <w:pStyle w:val="BodyText"/>
        <w:spacing w:before="11"/>
      </w:pPr>
    </w:p>
    <w:p>
      <w:pPr>
        <w:pStyle w:val="BodyText"/>
        <w:spacing w:line="266" w:lineRule="auto"/>
        <w:ind w:left="319" w:right="1077"/>
        <w:jc w:val="both"/>
      </w:pPr>
      <w:r>
        <w:rPr>
          <w:w w:val="90"/>
        </w:rPr>
        <w:t>It</w:t>
      </w:r>
      <w:r>
        <w:rPr>
          <w:spacing w:val="-3"/>
          <w:w w:val="90"/>
        </w:rPr>
        <w:t> </w:t>
      </w:r>
      <w:r>
        <w:rPr>
          <w:w w:val="90"/>
        </w:rPr>
        <w:t>is</w:t>
      </w:r>
      <w:r>
        <w:rPr>
          <w:spacing w:val="-3"/>
          <w:w w:val="90"/>
        </w:rPr>
        <w:t> </w:t>
      </w:r>
      <w:r>
        <w:rPr>
          <w:w w:val="90"/>
        </w:rPr>
        <w:t>essential</w:t>
      </w:r>
      <w:r>
        <w:rPr>
          <w:spacing w:val="-3"/>
          <w:w w:val="90"/>
        </w:rPr>
        <w:t> </w:t>
      </w:r>
      <w:r>
        <w:rPr>
          <w:w w:val="90"/>
        </w:rPr>
        <w:t>to</w:t>
      </w:r>
      <w:r>
        <w:rPr>
          <w:spacing w:val="-3"/>
          <w:w w:val="90"/>
        </w:rPr>
        <w:t> </w:t>
      </w:r>
      <w:r>
        <w:rPr>
          <w:w w:val="90"/>
        </w:rPr>
        <w:t>ensure</w:t>
      </w:r>
      <w:r>
        <w:rPr>
          <w:spacing w:val="-3"/>
          <w:w w:val="90"/>
        </w:rPr>
        <w:t> </w:t>
      </w:r>
      <w:r>
        <w:rPr>
          <w:w w:val="90"/>
        </w:rPr>
        <w:t>that</w:t>
      </w:r>
      <w:r>
        <w:rPr>
          <w:spacing w:val="-3"/>
          <w:w w:val="90"/>
        </w:rPr>
        <w:t> </w:t>
      </w:r>
      <w:r>
        <w:rPr>
          <w:w w:val="90"/>
        </w:rPr>
        <w:t>qualified</w:t>
      </w:r>
      <w:r>
        <w:rPr>
          <w:spacing w:val="-3"/>
          <w:w w:val="90"/>
        </w:rPr>
        <w:t> </w:t>
      </w:r>
      <w:r>
        <w:rPr>
          <w:w w:val="90"/>
        </w:rPr>
        <w:t>teachers</w:t>
      </w:r>
      <w:r>
        <w:rPr>
          <w:spacing w:val="-3"/>
          <w:w w:val="90"/>
        </w:rPr>
        <w:t> </w:t>
      </w:r>
      <w:r>
        <w:rPr>
          <w:w w:val="90"/>
        </w:rPr>
        <w:t>are</w:t>
      </w:r>
      <w:r>
        <w:rPr>
          <w:spacing w:val="-3"/>
          <w:w w:val="90"/>
        </w:rPr>
        <w:t> </w:t>
      </w:r>
      <w:r>
        <w:rPr>
          <w:w w:val="90"/>
        </w:rPr>
        <w:t>hired</w:t>
      </w:r>
      <w:r>
        <w:rPr>
          <w:spacing w:val="-3"/>
          <w:w w:val="90"/>
        </w:rPr>
        <w:t> </w:t>
      </w:r>
      <w:r>
        <w:rPr>
          <w:w w:val="90"/>
        </w:rPr>
        <w:t>and </w:t>
      </w:r>
      <w:r>
        <w:rPr>
          <w:spacing w:val="-6"/>
        </w:rPr>
        <w:t>provided with the necessary incentives to enable them </w:t>
      </w:r>
      <w:r>
        <w:rPr>
          <w:spacing w:val="-6"/>
        </w:rPr>
        <w:t>to </w:t>
      </w:r>
      <w:r>
        <w:rPr>
          <w:spacing w:val="-2"/>
        </w:rPr>
        <w:t>work</w:t>
      </w:r>
      <w:r>
        <w:rPr>
          <w:spacing w:val="-7"/>
        </w:rPr>
        <w:t> </w:t>
      </w:r>
      <w:r>
        <w:rPr>
          <w:spacing w:val="-2"/>
        </w:rPr>
        <w:t>better.</w:t>
      </w:r>
      <w:r>
        <w:rPr>
          <w:spacing w:val="-12"/>
        </w:rPr>
        <w:t> </w:t>
      </w:r>
      <w:r>
        <w:rPr>
          <w:spacing w:val="-2"/>
        </w:rPr>
        <w:t>The</w:t>
      </w:r>
      <w:r>
        <w:rPr>
          <w:spacing w:val="-6"/>
        </w:rPr>
        <w:t> </w:t>
      </w:r>
      <w:r>
        <w:rPr>
          <w:spacing w:val="-2"/>
        </w:rPr>
        <w:t>professional</w:t>
      </w:r>
      <w:r>
        <w:rPr>
          <w:spacing w:val="-6"/>
        </w:rPr>
        <w:t> </w:t>
      </w:r>
      <w:r>
        <w:rPr>
          <w:spacing w:val="-2"/>
        </w:rPr>
        <w:t>status</w:t>
      </w:r>
      <w:r>
        <w:rPr>
          <w:spacing w:val="-6"/>
        </w:rPr>
        <w:t> </w:t>
      </w:r>
      <w:r>
        <w:rPr>
          <w:spacing w:val="-2"/>
        </w:rPr>
        <w:t>of</w:t>
      </w:r>
      <w:r>
        <w:rPr>
          <w:spacing w:val="-6"/>
        </w:rPr>
        <w:t> </w:t>
      </w:r>
      <w:r>
        <w:rPr>
          <w:spacing w:val="-2"/>
        </w:rPr>
        <w:t>teachers</w:t>
      </w:r>
      <w:r>
        <w:rPr>
          <w:spacing w:val="-6"/>
        </w:rPr>
        <w:t> </w:t>
      </w:r>
      <w:r>
        <w:rPr>
          <w:spacing w:val="-2"/>
        </w:rPr>
        <w:t>should </w:t>
      </w:r>
      <w:r>
        <w:rPr/>
        <w:t>not be diluted, and all drives at recruiting untrained teachers must be checked, although it is important to </w:t>
      </w:r>
      <w:r>
        <w:rPr>
          <w:spacing w:val="-6"/>
        </w:rPr>
        <w:t>allow for flexibility in recruitment of teaches for specific </w:t>
      </w:r>
      <w:r>
        <w:rPr>
          <w:spacing w:val="-2"/>
        </w:rPr>
        <w:t>subjects</w:t>
      </w:r>
      <w:r>
        <w:rPr>
          <w:spacing w:val="-12"/>
        </w:rPr>
        <w:t> </w:t>
      </w:r>
      <w:r>
        <w:rPr>
          <w:spacing w:val="-2"/>
        </w:rPr>
        <w:t>such</w:t>
      </w:r>
      <w:r>
        <w:rPr>
          <w:spacing w:val="-10"/>
        </w:rPr>
        <w:t> </w:t>
      </w:r>
      <w:r>
        <w:rPr>
          <w:spacing w:val="-2"/>
        </w:rPr>
        <w:t>as</w:t>
      </w:r>
      <w:r>
        <w:rPr>
          <w:spacing w:val="-9"/>
        </w:rPr>
        <w:t> </w:t>
      </w:r>
      <w:r>
        <w:rPr>
          <w:spacing w:val="-2"/>
        </w:rPr>
        <w:t>art,</w:t>
      </w:r>
      <w:r>
        <w:rPr>
          <w:spacing w:val="-9"/>
        </w:rPr>
        <w:t> </w:t>
      </w:r>
      <w:r>
        <w:rPr>
          <w:spacing w:val="-2"/>
        </w:rPr>
        <w:t>craft</w:t>
      </w:r>
      <w:r>
        <w:rPr>
          <w:spacing w:val="-9"/>
        </w:rPr>
        <w:t> </w:t>
      </w:r>
      <w:r>
        <w:rPr>
          <w:spacing w:val="-2"/>
        </w:rPr>
        <w:t>and</w:t>
      </w:r>
      <w:r>
        <w:rPr>
          <w:spacing w:val="-9"/>
        </w:rPr>
        <w:t> </w:t>
      </w:r>
      <w:r>
        <w:rPr>
          <w:spacing w:val="-2"/>
        </w:rPr>
        <w:t>livelihood</w:t>
      </w:r>
      <w:r>
        <w:rPr>
          <w:spacing w:val="-9"/>
        </w:rPr>
        <w:t> </w:t>
      </w:r>
      <w:r>
        <w:rPr>
          <w:spacing w:val="-2"/>
        </w:rPr>
        <w:t>skills.</w:t>
      </w:r>
      <w:r>
        <w:rPr>
          <w:spacing w:val="-12"/>
        </w:rPr>
        <w:t> </w:t>
      </w:r>
      <w:r>
        <w:rPr>
          <w:spacing w:val="-2"/>
        </w:rPr>
        <w:t>The</w:t>
      </w:r>
      <w:r>
        <w:rPr>
          <w:spacing w:val="-9"/>
        </w:rPr>
        <w:t> </w:t>
      </w:r>
      <w:r>
        <w:rPr>
          <w:spacing w:val="-2"/>
        </w:rPr>
        <w:t>use </w:t>
      </w:r>
      <w:r>
        <w:rPr>
          <w:spacing w:val="-4"/>
        </w:rPr>
        <w:t>of</w:t>
      </w:r>
      <w:r>
        <w:rPr>
          <w:spacing w:val="-6"/>
        </w:rPr>
        <w:t> </w:t>
      </w:r>
      <w:r>
        <w:rPr>
          <w:spacing w:val="-4"/>
        </w:rPr>
        <w:t>para-teachers</w:t>
      </w:r>
      <w:r>
        <w:rPr>
          <w:spacing w:val="-6"/>
        </w:rPr>
        <w:t> </w:t>
      </w:r>
      <w:r>
        <w:rPr>
          <w:spacing w:val="-4"/>
        </w:rPr>
        <w:t>must</w:t>
      </w:r>
      <w:r>
        <w:rPr>
          <w:spacing w:val="-6"/>
        </w:rPr>
        <w:t> </w:t>
      </w:r>
      <w:r>
        <w:rPr>
          <w:spacing w:val="-4"/>
        </w:rPr>
        <w:t>be</w:t>
      </w:r>
      <w:r>
        <w:rPr>
          <w:spacing w:val="-6"/>
        </w:rPr>
        <w:t> </w:t>
      </w:r>
      <w:r>
        <w:rPr>
          <w:spacing w:val="-4"/>
        </w:rPr>
        <w:t>treated</w:t>
      </w:r>
      <w:r>
        <w:rPr>
          <w:spacing w:val="-6"/>
        </w:rPr>
        <w:t> </w:t>
      </w:r>
      <w:r>
        <w:rPr>
          <w:spacing w:val="-4"/>
        </w:rPr>
        <w:t>as</w:t>
      </w:r>
      <w:r>
        <w:rPr>
          <w:spacing w:val="-6"/>
        </w:rPr>
        <w:t> </w:t>
      </w:r>
      <w:r>
        <w:rPr>
          <w:spacing w:val="-4"/>
        </w:rPr>
        <w:t>a</w:t>
      </w:r>
      <w:r>
        <w:rPr>
          <w:spacing w:val="-6"/>
        </w:rPr>
        <w:t> </w:t>
      </w:r>
      <w:r>
        <w:rPr>
          <w:spacing w:val="-4"/>
        </w:rPr>
        <w:t>strictly</w:t>
      </w:r>
      <w:r>
        <w:rPr>
          <w:spacing w:val="-6"/>
        </w:rPr>
        <w:t> </w:t>
      </w:r>
      <w:r>
        <w:rPr>
          <w:spacing w:val="-4"/>
        </w:rPr>
        <w:t>transitional </w:t>
      </w:r>
      <w:r>
        <w:rPr/>
        <w:t>measure</w:t>
      </w:r>
      <w:r>
        <w:rPr>
          <w:spacing w:val="-5"/>
        </w:rPr>
        <w:t> </w:t>
      </w:r>
      <w:r>
        <w:rPr/>
        <w:t>until</w:t>
      </w:r>
      <w:r>
        <w:rPr>
          <w:spacing w:val="-5"/>
        </w:rPr>
        <w:t> </w:t>
      </w:r>
      <w:r>
        <w:rPr/>
        <w:t>proper</w:t>
      </w:r>
      <w:r>
        <w:rPr>
          <w:spacing w:val="-5"/>
        </w:rPr>
        <w:t> </w:t>
      </w:r>
      <w:r>
        <w:rPr/>
        <w:t>schools</w:t>
      </w:r>
      <w:r>
        <w:rPr>
          <w:spacing w:val="-5"/>
        </w:rPr>
        <w:t> </w:t>
      </w:r>
      <w:r>
        <w:rPr/>
        <w:t>are</w:t>
      </w:r>
      <w:r>
        <w:rPr>
          <w:spacing w:val="-5"/>
        </w:rPr>
        <w:t> </w:t>
      </w:r>
      <w:r>
        <w:rPr/>
        <w:t>established.</w:t>
      </w:r>
    </w:p>
    <w:p>
      <w:pPr>
        <w:pStyle w:val="BodyText"/>
        <w:spacing w:before="20"/>
      </w:pPr>
    </w:p>
    <w:p>
      <w:pPr>
        <w:pStyle w:val="BodyText"/>
        <w:spacing w:line="266" w:lineRule="auto"/>
        <w:ind w:left="319" w:right="1077"/>
        <w:jc w:val="both"/>
      </w:pPr>
      <w:r>
        <w:rPr>
          <w:spacing w:val="-2"/>
        </w:rPr>
        <w:t>The</w:t>
      </w:r>
      <w:r>
        <w:rPr>
          <w:spacing w:val="-11"/>
        </w:rPr>
        <w:t> </w:t>
      </w:r>
      <w:r>
        <w:rPr>
          <w:spacing w:val="-2"/>
        </w:rPr>
        <w:t>imposition</w:t>
      </w:r>
      <w:r>
        <w:rPr>
          <w:spacing w:val="-11"/>
        </w:rPr>
        <w:t> </w:t>
      </w:r>
      <w:r>
        <w:rPr>
          <w:spacing w:val="-2"/>
        </w:rPr>
        <w:t>of</w:t>
      </w:r>
      <w:r>
        <w:rPr>
          <w:spacing w:val="-11"/>
        </w:rPr>
        <w:t> </w:t>
      </w:r>
      <w:r>
        <w:rPr>
          <w:spacing w:val="-2"/>
        </w:rPr>
        <w:t>a</w:t>
      </w:r>
      <w:r>
        <w:rPr>
          <w:spacing w:val="-11"/>
        </w:rPr>
        <w:t> </w:t>
      </w:r>
      <w:r>
        <w:rPr>
          <w:spacing w:val="-2"/>
        </w:rPr>
        <w:t>wide</w:t>
      </w:r>
      <w:r>
        <w:rPr>
          <w:spacing w:val="-11"/>
        </w:rPr>
        <w:t> </w:t>
      </w:r>
      <w:r>
        <w:rPr>
          <w:spacing w:val="-2"/>
        </w:rPr>
        <w:t>range</w:t>
      </w:r>
      <w:r>
        <w:rPr>
          <w:spacing w:val="-11"/>
        </w:rPr>
        <w:t> </w:t>
      </w:r>
      <w:r>
        <w:rPr>
          <w:spacing w:val="-2"/>
        </w:rPr>
        <w:t>of</w:t>
      </w:r>
      <w:r>
        <w:rPr>
          <w:spacing w:val="-11"/>
        </w:rPr>
        <w:t> </w:t>
      </w:r>
      <w:r>
        <w:rPr>
          <w:spacing w:val="-2"/>
        </w:rPr>
        <w:t>non-teaching</w:t>
      </w:r>
      <w:r>
        <w:rPr>
          <w:spacing w:val="-11"/>
        </w:rPr>
        <w:t> </w:t>
      </w:r>
      <w:r>
        <w:rPr>
          <w:spacing w:val="-2"/>
        </w:rPr>
        <w:t>duties, such</w:t>
      </w:r>
      <w:r>
        <w:rPr>
          <w:spacing w:val="-11"/>
        </w:rPr>
        <w:t> </w:t>
      </w:r>
      <w:r>
        <w:rPr>
          <w:spacing w:val="-2"/>
        </w:rPr>
        <w:t>as</w:t>
      </w:r>
      <w:r>
        <w:rPr>
          <w:spacing w:val="-11"/>
        </w:rPr>
        <w:t> </w:t>
      </w:r>
      <w:r>
        <w:rPr>
          <w:spacing w:val="-2"/>
        </w:rPr>
        <w:t>that</w:t>
      </w:r>
      <w:r>
        <w:rPr>
          <w:spacing w:val="-11"/>
        </w:rPr>
        <w:t> </w:t>
      </w:r>
      <w:r>
        <w:rPr>
          <w:spacing w:val="-2"/>
        </w:rPr>
        <w:t>of</w:t>
      </w:r>
      <w:r>
        <w:rPr>
          <w:spacing w:val="-11"/>
        </w:rPr>
        <w:t> </w:t>
      </w:r>
      <w:r>
        <w:rPr>
          <w:spacing w:val="-2"/>
        </w:rPr>
        <w:t>manning</w:t>
      </w:r>
      <w:r>
        <w:rPr>
          <w:spacing w:val="-11"/>
        </w:rPr>
        <w:t> </w:t>
      </w:r>
      <w:r>
        <w:rPr>
          <w:spacing w:val="-2"/>
        </w:rPr>
        <w:t>poll</w:t>
      </w:r>
      <w:r>
        <w:rPr>
          <w:spacing w:val="-11"/>
        </w:rPr>
        <w:t> </w:t>
      </w:r>
      <w:r>
        <w:rPr>
          <w:spacing w:val="-2"/>
        </w:rPr>
        <w:t>booths</w:t>
      </w:r>
      <w:r>
        <w:rPr>
          <w:spacing w:val="-11"/>
        </w:rPr>
        <w:t> </w:t>
      </w:r>
      <w:r>
        <w:rPr>
          <w:spacing w:val="-2"/>
        </w:rPr>
        <w:t>and</w:t>
      </w:r>
      <w:r>
        <w:rPr>
          <w:spacing w:val="-11"/>
        </w:rPr>
        <w:t> </w:t>
      </w:r>
      <w:r>
        <w:rPr>
          <w:spacing w:val="-2"/>
        </w:rPr>
        <w:t>collecting</w:t>
      </w:r>
      <w:r>
        <w:rPr>
          <w:spacing w:val="-11"/>
        </w:rPr>
        <w:t> </w:t>
      </w:r>
      <w:r>
        <w:rPr>
          <w:spacing w:val="-2"/>
        </w:rPr>
        <w:t>data </w:t>
      </w:r>
      <w:r>
        <w:rPr>
          <w:spacing w:val="-6"/>
        </w:rPr>
        <w:t>for surveys etc., cuts into the available teaching time and </w:t>
      </w:r>
      <w:r>
        <w:rPr>
          <w:spacing w:val="-8"/>
        </w:rPr>
        <w:t>also</w:t>
      </w:r>
      <w:r>
        <w:rPr>
          <w:spacing w:val="-6"/>
        </w:rPr>
        <w:t> </w:t>
      </w:r>
      <w:r>
        <w:rPr>
          <w:spacing w:val="-8"/>
        </w:rPr>
        <w:t>undermines</w:t>
      </w:r>
      <w:r>
        <w:rPr>
          <w:spacing w:val="-6"/>
        </w:rPr>
        <w:t> </w:t>
      </w:r>
      <w:r>
        <w:rPr>
          <w:spacing w:val="-8"/>
        </w:rPr>
        <w:t>the</w:t>
      </w:r>
      <w:r>
        <w:rPr>
          <w:spacing w:val="-2"/>
        </w:rPr>
        <w:t> </w:t>
      </w:r>
      <w:r>
        <w:rPr>
          <w:spacing w:val="-8"/>
        </w:rPr>
        <w:t>professional</w:t>
      </w:r>
      <w:r>
        <w:rPr>
          <w:spacing w:val="-3"/>
        </w:rPr>
        <w:t> </w:t>
      </w:r>
      <w:r>
        <w:rPr>
          <w:spacing w:val="-8"/>
        </w:rPr>
        <w:t>status</w:t>
      </w:r>
      <w:r>
        <w:rPr>
          <w:spacing w:val="-3"/>
        </w:rPr>
        <w:t> </w:t>
      </w:r>
      <w:r>
        <w:rPr>
          <w:spacing w:val="-8"/>
        </w:rPr>
        <w:t>of</w:t>
      </w:r>
      <w:r>
        <w:rPr>
          <w:spacing w:val="-3"/>
        </w:rPr>
        <w:t> </w:t>
      </w:r>
      <w:r>
        <w:rPr>
          <w:spacing w:val="-8"/>
        </w:rPr>
        <w:t>teachers.</w:t>
      </w:r>
      <w:r>
        <w:rPr>
          <w:spacing w:val="-6"/>
        </w:rPr>
        <w:t> </w:t>
      </w:r>
      <w:r>
        <w:rPr>
          <w:spacing w:val="-8"/>
        </w:rPr>
        <w:t>These </w:t>
      </w:r>
      <w:r>
        <w:rPr>
          <w:spacing w:val="-2"/>
        </w:rPr>
        <w:t>activities</w:t>
      </w:r>
      <w:r>
        <w:rPr>
          <w:spacing w:val="-5"/>
        </w:rPr>
        <w:t> </w:t>
      </w:r>
      <w:r>
        <w:rPr>
          <w:spacing w:val="-2"/>
        </w:rPr>
        <w:t>should</w:t>
      </w:r>
      <w:r>
        <w:rPr>
          <w:spacing w:val="-5"/>
        </w:rPr>
        <w:t> </w:t>
      </w:r>
      <w:r>
        <w:rPr>
          <w:spacing w:val="-2"/>
        </w:rPr>
        <w:t>be</w:t>
      </w:r>
      <w:r>
        <w:rPr>
          <w:spacing w:val="-5"/>
        </w:rPr>
        <w:t> </w:t>
      </w:r>
      <w:r>
        <w:rPr>
          <w:spacing w:val="-2"/>
        </w:rPr>
        <w:t>shared</w:t>
      </w:r>
      <w:r>
        <w:rPr>
          <w:spacing w:val="-4"/>
        </w:rPr>
        <w:t> </w:t>
      </w:r>
      <w:r>
        <w:rPr>
          <w:spacing w:val="-2"/>
        </w:rPr>
        <w:t>out</w:t>
      </w:r>
      <w:r>
        <w:rPr>
          <w:spacing w:val="-5"/>
        </w:rPr>
        <w:t> </w:t>
      </w:r>
      <w:r>
        <w:rPr>
          <w:spacing w:val="-2"/>
        </w:rPr>
        <w:t>among</w:t>
      </w:r>
      <w:r>
        <w:rPr>
          <w:spacing w:val="-5"/>
        </w:rPr>
        <w:t> </w:t>
      </w:r>
      <w:r>
        <w:rPr>
          <w:spacing w:val="-2"/>
        </w:rPr>
        <w:t>a</w:t>
      </w:r>
      <w:r>
        <w:rPr>
          <w:spacing w:val="-5"/>
        </w:rPr>
        <w:t> </w:t>
      </w:r>
      <w:r>
        <w:rPr>
          <w:spacing w:val="-2"/>
        </w:rPr>
        <w:t>wider</w:t>
      </w:r>
      <w:r>
        <w:rPr>
          <w:spacing w:val="-4"/>
        </w:rPr>
        <w:t> </w:t>
      </w:r>
      <w:r>
        <w:rPr>
          <w:spacing w:val="-2"/>
        </w:rPr>
        <w:t>range</w:t>
      </w:r>
      <w:r>
        <w:rPr>
          <w:spacing w:val="-5"/>
        </w:rPr>
        <w:t> of</w:t>
      </w:r>
    </w:p>
    <w:p>
      <w:pPr>
        <w:spacing w:after="0" w:line="266" w:lineRule="auto"/>
        <w:jc w:val="both"/>
        <w:sectPr>
          <w:pgSz w:w="11910" w:h="16840"/>
          <w:pgMar w:header="0" w:footer="675" w:top="920" w:bottom="860" w:left="0" w:right="0"/>
          <w:cols w:num="2" w:equalWidth="0">
            <w:col w:w="5774" w:space="40"/>
            <w:col w:w="6096"/>
          </w:cols>
        </w:sectPr>
      </w:pPr>
    </w:p>
    <w:p>
      <w:pPr>
        <w:pStyle w:val="BodyText"/>
        <w:spacing w:line="266" w:lineRule="auto" w:before="77"/>
        <w:ind w:left="1080"/>
        <w:jc w:val="both"/>
      </w:pPr>
      <w:r>
        <w:rPr/>
        <w:t>public</w:t>
      </w:r>
      <w:r>
        <w:rPr>
          <w:spacing w:val="-2"/>
        </w:rPr>
        <w:t> </w:t>
      </w:r>
      <w:r>
        <w:rPr/>
        <w:t>employees</w:t>
      </w:r>
      <w:r>
        <w:rPr>
          <w:spacing w:val="-2"/>
        </w:rPr>
        <w:t> </w:t>
      </w:r>
      <w:r>
        <w:rPr/>
        <w:t>or</w:t>
      </w:r>
      <w:r>
        <w:rPr>
          <w:spacing w:val="-2"/>
        </w:rPr>
        <w:t> </w:t>
      </w:r>
      <w:r>
        <w:rPr/>
        <w:t>even</w:t>
      </w:r>
      <w:r>
        <w:rPr>
          <w:spacing w:val="-2"/>
        </w:rPr>
        <w:t> </w:t>
      </w:r>
      <w:r>
        <w:rPr/>
        <w:t>those</w:t>
      </w:r>
      <w:r>
        <w:rPr>
          <w:spacing w:val="-2"/>
        </w:rPr>
        <w:t> </w:t>
      </w:r>
      <w:r>
        <w:rPr/>
        <w:t>hired</w:t>
      </w:r>
      <w:r>
        <w:rPr>
          <w:spacing w:val="-2"/>
        </w:rPr>
        <w:t> </w:t>
      </w:r>
      <w:r>
        <w:rPr/>
        <w:t>specifically</w:t>
      </w:r>
      <w:r>
        <w:rPr>
          <w:spacing w:val="-2"/>
        </w:rPr>
        <w:t> </w:t>
      </w:r>
      <w:r>
        <w:rPr/>
        <w:t>for the</w:t>
      </w:r>
      <w:r>
        <w:rPr>
          <w:spacing w:val="-5"/>
        </w:rPr>
        <w:t> </w:t>
      </w:r>
      <w:r>
        <w:rPr/>
        <w:t>purpose,</w:t>
      </w:r>
      <w:r>
        <w:rPr>
          <w:spacing w:val="-5"/>
        </w:rPr>
        <w:t> </w:t>
      </w:r>
      <w:r>
        <w:rPr/>
        <w:t>and</w:t>
      </w:r>
      <w:r>
        <w:rPr>
          <w:spacing w:val="-5"/>
        </w:rPr>
        <w:t> </w:t>
      </w:r>
      <w:r>
        <w:rPr/>
        <w:t>the</w:t>
      </w:r>
      <w:r>
        <w:rPr>
          <w:spacing w:val="-5"/>
        </w:rPr>
        <w:t> </w:t>
      </w:r>
      <w:r>
        <w:rPr/>
        <w:t>burden</w:t>
      </w:r>
      <w:r>
        <w:rPr>
          <w:spacing w:val="-5"/>
        </w:rPr>
        <w:t> </w:t>
      </w:r>
      <w:r>
        <w:rPr/>
        <w:t>of</w:t>
      </w:r>
      <w:r>
        <w:rPr>
          <w:spacing w:val="-5"/>
        </w:rPr>
        <w:t> </w:t>
      </w:r>
      <w:r>
        <w:rPr/>
        <w:t>such</w:t>
      </w:r>
      <w:r>
        <w:rPr>
          <w:spacing w:val="-5"/>
        </w:rPr>
        <w:t> </w:t>
      </w:r>
      <w:r>
        <w:rPr/>
        <w:t>work</w:t>
      </w:r>
      <w:r>
        <w:rPr>
          <w:spacing w:val="-5"/>
        </w:rPr>
        <w:t> </w:t>
      </w:r>
      <w:r>
        <w:rPr/>
        <w:t>on</w:t>
      </w:r>
      <w:r>
        <w:rPr>
          <w:spacing w:val="-5"/>
        </w:rPr>
        <w:t> </w:t>
      </w:r>
      <w:r>
        <w:rPr/>
        <w:t>teachers </w:t>
      </w:r>
      <w:r>
        <w:rPr>
          <w:spacing w:val="-2"/>
        </w:rPr>
        <w:t>must</w:t>
      </w:r>
      <w:r>
        <w:rPr>
          <w:spacing w:val="-12"/>
        </w:rPr>
        <w:t> </w:t>
      </w:r>
      <w:r>
        <w:rPr>
          <w:spacing w:val="-2"/>
        </w:rPr>
        <w:t>be</w:t>
      </w:r>
      <w:r>
        <w:rPr>
          <w:spacing w:val="-12"/>
        </w:rPr>
        <w:t> </w:t>
      </w:r>
      <w:r>
        <w:rPr>
          <w:spacing w:val="-2"/>
        </w:rPr>
        <w:t>reduced.</w:t>
      </w:r>
      <w:r>
        <w:rPr>
          <w:spacing w:val="-12"/>
        </w:rPr>
        <w:t> </w:t>
      </w:r>
      <w:r>
        <w:rPr>
          <w:spacing w:val="-2"/>
        </w:rPr>
        <w:t>Specifically,</w:t>
      </w:r>
      <w:r>
        <w:rPr>
          <w:spacing w:val="-11"/>
        </w:rPr>
        <w:t> </w:t>
      </w:r>
      <w:r>
        <w:rPr>
          <w:spacing w:val="-2"/>
        </w:rPr>
        <w:t>unemployed</w:t>
      </w:r>
      <w:r>
        <w:rPr>
          <w:spacing w:val="-12"/>
        </w:rPr>
        <w:t> </w:t>
      </w:r>
      <w:r>
        <w:rPr>
          <w:spacing w:val="-2"/>
        </w:rPr>
        <w:t>local</w:t>
      </w:r>
      <w:r>
        <w:rPr>
          <w:spacing w:val="-12"/>
        </w:rPr>
        <w:t> </w:t>
      </w:r>
      <w:r>
        <w:rPr>
          <w:spacing w:val="-2"/>
        </w:rPr>
        <w:t>youth and</w:t>
      </w:r>
      <w:r>
        <w:rPr>
          <w:spacing w:val="-10"/>
        </w:rPr>
        <w:t> </w:t>
      </w:r>
      <w:r>
        <w:rPr>
          <w:spacing w:val="-2"/>
        </w:rPr>
        <w:t>recently</w:t>
      </w:r>
      <w:r>
        <w:rPr>
          <w:spacing w:val="-10"/>
        </w:rPr>
        <w:t> </w:t>
      </w:r>
      <w:r>
        <w:rPr>
          <w:spacing w:val="-2"/>
        </w:rPr>
        <w:t>retired</w:t>
      </w:r>
      <w:r>
        <w:rPr>
          <w:spacing w:val="-10"/>
        </w:rPr>
        <w:t> </w:t>
      </w:r>
      <w:r>
        <w:rPr>
          <w:spacing w:val="-2"/>
        </w:rPr>
        <w:t>people</w:t>
      </w:r>
      <w:r>
        <w:rPr>
          <w:spacing w:val="-10"/>
        </w:rPr>
        <w:t> </w:t>
      </w:r>
      <w:r>
        <w:rPr>
          <w:spacing w:val="-2"/>
        </w:rPr>
        <w:t>may</w:t>
      </w:r>
      <w:r>
        <w:rPr>
          <w:spacing w:val="-10"/>
        </w:rPr>
        <w:t> </w:t>
      </w:r>
      <w:r>
        <w:rPr>
          <w:spacing w:val="-2"/>
        </w:rPr>
        <w:t>be</w:t>
      </w:r>
      <w:r>
        <w:rPr>
          <w:spacing w:val="-10"/>
        </w:rPr>
        <w:t> </w:t>
      </w:r>
      <w:r>
        <w:rPr>
          <w:spacing w:val="-2"/>
        </w:rPr>
        <w:t>considered</w:t>
      </w:r>
      <w:r>
        <w:rPr>
          <w:spacing w:val="-10"/>
        </w:rPr>
        <w:t> </w:t>
      </w:r>
      <w:r>
        <w:rPr>
          <w:spacing w:val="-2"/>
        </w:rPr>
        <w:t>for</w:t>
      </w:r>
      <w:r>
        <w:rPr>
          <w:spacing w:val="-10"/>
        </w:rPr>
        <w:t> </w:t>
      </w:r>
      <w:r>
        <w:rPr>
          <w:spacing w:val="-2"/>
        </w:rPr>
        <w:t>such </w:t>
      </w:r>
      <w:r>
        <w:rPr/>
        <w:t>activities</w:t>
      </w:r>
      <w:r>
        <w:rPr>
          <w:spacing w:val="-5"/>
        </w:rPr>
        <w:t> </w:t>
      </w:r>
      <w:r>
        <w:rPr/>
        <w:t>as</w:t>
      </w:r>
      <w:r>
        <w:rPr>
          <w:spacing w:val="-5"/>
        </w:rPr>
        <w:t> </w:t>
      </w:r>
      <w:r>
        <w:rPr/>
        <w:t>far</w:t>
      </w:r>
      <w:r>
        <w:rPr>
          <w:spacing w:val="-5"/>
        </w:rPr>
        <w:t> </w:t>
      </w:r>
      <w:r>
        <w:rPr/>
        <w:t>as</w:t>
      </w:r>
      <w:r>
        <w:rPr>
          <w:spacing w:val="-5"/>
        </w:rPr>
        <w:t> </w:t>
      </w:r>
      <w:r>
        <w:rPr/>
        <w:t>possible.</w:t>
      </w:r>
    </w:p>
    <w:p>
      <w:pPr>
        <w:pStyle w:val="BodyText"/>
        <w:spacing w:before="23"/>
      </w:pPr>
    </w:p>
    <w:p>
      <w:pPr>
        <w:pStyle w:val="BodyText"/>
        <w:spacing w:line="266" w:lineRule="auto"/>
        <w:ind w:left="1080"/>
        <w:jc w:val="both"/>
      </w:pPr>
      <w:r>
        <w:rPr>
          <w:spacing w:val="-2"/>
        </w:rPr>
        <w:t>The</w:t>
      </w:r>
      <w:r>
        <w:rPr>
          <w:spacing w:val="-12"/>
        </w:rPr>
        <w:t> </w:t>
      </w:r>
      <w:r>
        <w:rPr>
          <w:spacing w:val="-2"/>
        </w:rPr>
        <w:t>recruitment</w:t>
      </w:r>
      <w:r>
        <w:rPr>
          <w:spacing w:val="-12"/>
        </w:rPr>
        <w:t> </w:t>
      </w:r>
      <w:r>
        <w:rPr>
          <w:spacing w:val="-2"/>
        </w:rPr>
        <w:t>of</w:t>
      </w:r>
      <w:r>
        <w:rPr>
          <w:spacing w:val="-12"/>
        </w:rPr>
        <w:t> </w:t>
      </w:r>
      <w:r>
        <w:rPr>
          <w:spacing w:val="-2"/>
        </w:rPr>
        <w:t>teachers</w:t>
      </w:r>
      <w:r>
        <w:rPr>
          <w:spacing w:val="-11"/>
        </w:rPr>
        <w:t> </w:t>
      </w:r>
      <w:r>
        <w:rPr>
          <w:spacing w:val="-2"/>
        </w:rPr>
        <w:t>from</w:t>
      </w:r>
      <w:r>
        <w:rPr>
          <w:spacing w:val="-12"/>
        </w:rPr>
        <w:t> </w:t>
      </w:r>
      <w:r>
        <w:rPr>
          <w:spacing w:val="-2"/>
        </w:rPr>
        <w:t>the</w:t>
      </w:r>
      <w:r>
        <w:rPr>
          <w:spacing w:val="-12"/>
        </w:rPr>
        <w:t> </w:t>
      </w:r>
      <w:r>
        <w:rPr>
          <w:spacing w:val="-2"/>
        </w:rPr>
        <w:t>locality</w:t>
      </w:r>
      <w:r>
        <w:rPr>
          <w:spacing w:val="-12"/>
        </w:rPr>
        <w:t> </w:t>
      </w:r>
      <w:r>
        <w:rPr>
          <w:spacing w:val="-2"/>
        </w:rPr>
        <w:t>has</w:t>
      </w:r>
      <w:r>
        <w:rPr>
          <w:spacing w:val="-11"/>
        </w:rPr>
        <w:t> </w:t>
      </w:r>
      <w:r>
        <w:rPr>
          <w:spacing w:val="-2"/>
        </w:rPr>
        <w:t>many </w:t>
      </w:r>
      <w:r>
        <w:rPr/>
        <w:t>advantages, as they can become accountable to </w:t>
      </w:r>
      <w:r>
        <w:rPr/>
        <w:t>the community, and have added stakes in improving the </w:t>
      </w:r>
      <w:r>
        <w:rPr>
          <w:spacing w:val="-6"/>
        </w:rPr>
        <w:t>quality</w:t>
      </w:r>
      <w:r>
        <w:rPr>
          <w:spacing w:val="-8"/>
        </w:rPr>
        <w:t> </w:t>
      </w:r>
      <w:r>
        <w:rPr>
          <w:spacing w:val="-6"/>
        </w:rPr>
        <w:t>of</w:t>
      </w:r>
      <w:r>
        <w:rPr>
          <w:spacing w:val="-8"/>
        </w:rPr>
        <w:t> </w:t>
      </w:r>
      <w:r>
        <w:rPr>
          <w:spacing w:val="-6"/>
        </w:rPr>
        <w:t>education</w:t>
      </w:r>
      <w:r>
        <w:rPr>
          <w:spacing w:val="-8"/>
        </w:rPr>
        <w:t> </w:t>
      </w:r>
      <w:r>
        <w:rPr>
          <w:spacing w:val="-6"/>
        </w:rPr>
        <w:t>in</w:t>
      </w:r>
      <w:r>
        <w:rPr>
          <w:spacing w:val="-7"/>
        </w:rPr>
        <w:t> </w:t>
      </w:r>
      <w:r>
        <w:rPr>
          <w:spacing w:val="-6"/>
        </w:rPr>
        <w:t>their</w:t>
      </w:r>
      <w:r>
        <w:rPr>
          <w:spacing w:val="-8"/>
        </w:rPr>
        <w:t> </w:t>
      </w:r>
      <w:r>
        <w:rPr>
          <w:spacing w:val="-6"/>
        </w:rPr>
        <w:t>schools.</w:t>
      </w:r>
      <w:r>
        <w:rPr>
          <w:spacing w:val="-8"/>
        </w:rPr>
        <w:t> </w:t>
      </w:r>
      <w:r>
        <w:rPr>
          <w:spacing w:val="-6"/>
        </w:rPr>
        <w:t>In</w:t>
      </w:r>
      <w:r>
        <w:rPr>
          <w:spacing w:val="-8"/>
        </w:rPr>
        <w:t> </w:t>
      </w:r>
      <w:r>
        <w:rPr>
          <w:spacing w:val="-6"/>
        </w:rPr>
        <w:t>cases</w:t>
      </w:r>
      <w:r>
        <w:rPr>
          <w:spacing w:val="-7"/>
        </w:rPr>
        <w:t> </w:t>
      </w:r>
      <w:r>
        <w:rPr>
          <w:spacing w:val="-6"/>
        </w:rPr>
        <w:t>where</w:t>
      </w:r>
      <w:r>
        <w:rPr>
          <w:spacing w:val="-8"/>
        </w:rPr>
        <w:t> </w:t>
      </w:r>
      <w:r>
        <w:rPr>
          <w:spacing w:val="-6"/>
        </w:rPr>
        <w:t>local </w:t>
      </w:r>
      <w:r>
        <w:rPr>
          <w:spacing w:val="-2"/>
        </w:rPr>
        <w:t>language</w:t>
      </w:r>
      <w:r>
        <w:rPr>
          <w:spacing w:val="-12"/>
        </w:rPr>
        <w:t> </w:t>
      </w:r>
      <w:r>
        <w:rPr>
          <w:spacing w:val="-2"/>
        </w:rPr>
        <w:t>or</w:t>
      </w:r>
      <w:r>
        <w:rPr>
          <w:spacing w:val="-12"/>
        </w:rPr>
        <w:t> </w:t>
      </w:r>
      <w:r>
        <w:rPr>
          <w:spacing w:val="-2"/>
        </w:rPr>
        <w:t>dialect</w:t>
      </w:r>
      <w:r>
        <w:rPr>
          <w:spacing w:val="-12"/>
        </w:rPr>
        <w:t> </w:t>
      </w:r>
      <w:r>
        <w:rPr>
          <w:spacing w:val="-2"/>
        </w:rPr>
        <w:t>is</w:t>
      </w:r>
      <w:r>
        <w:rPr>
          <w:spacing w:val="-11"/>
        </w:rPr>
        <w:t> </w:t>
      </w:r>
      <w:r>
        <w:rPr>
          <w:spacing w:val="-2"/>
        </w:rPr>
        <w:t>different</w:t>
      </w:r>
      <w:r>
        <w:rPr>
          <w:spacing w:val="-12"/>
        </w:rPr>
        <w:t> </w:t>
      </w:r>
      <w:r>
        <w:rPr>
          <w:spacing w:val="-2"/>
        </w:rPr>
        <w:t>from</w:t>
      </w:r>
      <w:r>
        <w:rPr>
          <w:spacing w:val="-12"/>
        </w:rPr>
        <w:t> </w:t>
      </w:r>
      <w:r>
        <w:rPr>
          <w:spacing w:val="-2"/>
        </w:rPr>
        <w:t>the</w:t>
      </w:r>
      <w:r>
        <w:rPr>
          <w:spacing w:val="-12"/>
        </w:rPr>
        <w:t> </w:t>
      </w:r>
      <w:r>
        <w:rPr>
          <w:spacing w:val="-2"/>
        </w:rPr>
        <w:t>state</w:t>
      </w:r>
      <w:r>
        <w:rPr>
          <w:spacing w:val="-11"/>
        </w:rPr>
        <w:t> </w:t>
      </w:r>
      <w:r>
        <w:rPr>
          <w:spacing w:val="-2"/>
        </w:rPr>
        <w:t>language, </w:t>
      </w:r>
      <w:r>
        <w:rPr/>
        <w:t>teachers</w:t>
      </w:r>
      <w:r>
        <w:rPr>
          <w:spacing w:val="-4"/>
        </w:rPr>
        <w:t> </w:t>
      </w:r>
      <w:r>
        <w:rPr/>
        <w:t>familiar</w:t>
      </w:r>
      <w:r>
        <w:rPr>
          <w:spacing w:val="-4"/>
        </w:rPr>
        <w:t> </w:t>
      </w:r>
      <w:r>
        <w:rPr/>
        <w:t>with</w:t>
      </w:r>
      <w:r>
        <w:rPr>
          <w:spacing w:val="-4"/>
        </w:rPr>
        <w:t> </w:t>
      </w:r>
      <w:r>
        <w:rPr/>
        <w:t>the</w:t>
      </w:r>
      <w:r>
        <w:rPr>
          <w:spacing w:val="-4"/>
        </w:rPr>
        <w:t> </w:t>
      </w:r>
      <w:r>
        <w:rPr/>
        <w:t>local</w:t>
      </w:r>
      <w:r>
        <w:rPr>
          <w:spacing w:val="-4"/>
        </w:rPr>
        <w:t> </w:t>
      </w:r>
      <w:r>
        <w:rPr/>
        <w:t>language</w:t>
      </w:r>
      <w:r>
        <w:rPr>
          <w:spacing w:val="-4"/>
        </w:rPr>
        <w:t> </w:t>
      </w:r>
      <w:r>
        <w:rPr/>
        <w:t>are</w:t>
      </w:r>
      <w:r>
        <w:rPr>
          <w:spacing w:val="-4"/>
        </w:rPr>
        <w:t> </w:t>
      </w:r>
      <w:r>
        <w:rPr/>
        <w:t>likely</w:t>
      </w:r>
      <w:r>
        <w:rPr>
          <w:spacing w:val="-4"/>
        </w:rPr>
        <w:t> </w:t>
      </w:r>
      <w:r>
        <w:rPr/>
        <w:t>to make better teachers.</w:t>
      </w:r>
    </w:p>
    <w:p>
      <w:pPr>
        <w:pStyle w:val="BodyText"/>
        <w:spacing w:before="21"/>
      </w:pPr>
    </w:p>
    <w:p>
      <w:pPr>
        <w:pStyle w:val="BodyText"/>
        <w:spacing w:line="266" w:lineRule="auto" w:before="1"/>
        <w:ind w:left="1080"/>
        <w:jc w:val="both"/>
      </w:pPr>
      <w:r>
        <w:rPr/>
        <w:t>NKC proposes that teachers should be recruited </w:t>
      </w:r>
      <w:r>
        <w:rPr/>
        <w:t>to </w:t>
      </w:r>
      <w:r>
        <w:rPr>
          <w:w w:val="90"/>
        </w:rPr>
        <w:t>particular</w:t>
      </w:r>
      <w:r>
        <w:rPr>
          <w:spacing w:val="-1"/>
          <w:w w:val="90"/>
        </w:rPr>
        <w:t> </w:t>
      </w:r>
      <w:r>
        <w:rPr>
          <w:w w:val="90"/>
        </w:rPr>
        <w:t>schools</w:t>
      </w:r>
      <w:r>
        <w:rPr>
          <w:spacing w:val="-1"/>
          <w:w w:val="90"/>
        </w:rPr>
        <w:t> </w:t>
      </w:r>
      <w:r>
        <w:rPr>
          <w:w w:val="90"/>
        </w:rPr>
        <w:t>as</w:t>
      </w:r>
      <w:r>
        <w:rPr>
          <w:spacing w:val="-1"/>
          <w:w w:val="90"/>
        </w:rPr>
        <w:t> </w:t>
      </w:r>
      <w:r>
        <w:rPr>
          <w:w w:val="90"/>
        </w:rPr>
        <w:t>far</w:t>
      </w:r>
      <w:r>
        <w:rPr>
          <w:spacing w:val="-1"/>
          <w:w w:val="90"/>
        </w:rPr>
        <w:t> </w:t>
      </w:r>
      <w:r>
        <w:rPr>
          <w:w w:val="90"/>
        </w:rPr>
        <w:t>as</w:t>
      </w:r>
      <w:r>
        <w:rPr>
          <w:spacing w:val="-1"/>
          <w:w w:val="90"/>
        </w:rPr>
        <w:t> </w:t>
      </w:r>
      <w:r>
        <w:rPr>
          <w:w w:val="90"/>
        </w:rPr>
        <w:t>possible.</w:t>
      </w:r>
      <w:r>
        <w:rPr>
          <w:spacing w:val="-1"/>
          <w:w w:val="90"/>
        </w:rPr>
        <w:t> </w:t>
      </w:r>
      <w:r>
        <w:rPr>
          <w:w w:val="90"/>
        </w:rPr>
        <w:t>At</w:t>
      </w:r>
      <w:r>
        <w:rPr>
          <w:spacing w:val="-1"/>
          <w:w w:val="90"/>
        </w:rPr>
        <w:t> </w:t>
      </w:r>
      <w:r>
        <w:rPr>
          <w:w w:val="90"/>
        </w:rPr>
        <w:t>the</w:t>
      </w:r>
      <w:r>
        <w:rPr>
          <w:spacing w:val="-1"/>
          <w:w w:val="90"/>
        </w:rPr>
        <w:t> </w:t>
      </w:r>
      <w:r>
        <w:rPr>
          <w:w w:val="90"/>
        </w:rPr>
        <w:t>very</w:t>
      </w:r>
      <w:r>
        <w:rPr>
          <w:spacing w:val="-1"/>
          <w:w w:val="90"/>
        </w:rPr>
        <w:t> </w:t>
      </w:r>
      <w:r>
        <w:rPr>
          <w:w w:val="90"/>
        </w:rPr>
        <w:t>minimum, </w:t>
      </w:r>
      <w:r>
        <w:rPr/>
        <w:t>school teachers should be appointed to a particular </w:t>
      </w:r>
      <w:r>
        <w:rPr>
          <w:spacing w:val="-4"/>
        </w:rPr>
        <w:t>location</w:t>
      </w:r>
      <w:r>
        <w:rPr>
          <w:spacing w:val="-9"/>
        </w:rPr>
        <w:t> </w:t>
      </w:r>
      <w:r>
        <w:rPr>
          <w:spacing w:val="-4"/>
        </w:rPr>
        <w:t>for</w:t>
      </w:r>
      <w:r>
        <w:rPr>
          <w:spacing w:val="-9"/>
        </w:rPr>
        <w:t> </w:t>
      </w:r>
      <w:r>
        <w:rPr>
          <w:spacing w:val="-4"/>
        </w:rPr>
        <w:t>a</w:t>
      </w:r>
      <w:r>
        <w:rPr>
          <w:spacing w:val="-9"/>
        </w:rPr>
        <w:t> </w:t>
      </w:r>
      <w:r>
        <w:rPr>
          <w:spacing w:val="-4"/>
        </w:rPr>
        <w:t>minimum</w:t>
      </w:r>
      <w:r>
        <w:rPr>
          <w:spacing w:val="-9"/>
        </w:rPr>
        <w:t> </w:t>
      </w:r>
      <w:r>
        <w:rPr>
          <w:spacing w:val="-4"/>
        </w:rPr>
        <w:t>fixed</w:t>
      </w:r>
      <w:r>
        <w:rPr>
          <w:spacing w:val="-9"/>
        </w:rPr>
        <w:t> </w:t>
      </w:r>
      <w:r>
        <w:rPr>
          <w:spacing w:val="-4"/>
        </w:rPr>
        <w:t>term</w:t>
      </w:r>
      <w:r>
        <w:rPr>
          <w:spacing w:val="-9"/>
        </w:rPr>
        <w:t> </w:t>
      </w:r>
      <w:r>
        <w:rPr>
          <w:spacing w:val="-4"/>
        </w:rPr>
        <w:t>of</w:t>
      </w:r>
      <w:r>
        <w:rPr>
          <w:spacing w:val="-9"/>
        </w:rPr>
        <w:t> </w:t>
      </w:r>
      <w:r>
        <w:rPr>
          <w:spacing w:val="-4"/>
        </w:rPr>
        <w:t>at</w:t>
      </w:r>
      <w:r>
        <w:rPr>
          <w:spacing w:val="-9"/>
        </w:rPr>
        <w:t> </w:t>
      </w:r>
      <w:r>
        <w:rPr>
          <w:spacing w:val="-4"/>
        </w:rPr>
        <w:t>least</w:t>
      </w:r>
      <w:r>
        <w:rPr>
          <w:spacing w:val="-9"/>
        </w:rPr>
        <w:t> </w:t>
      </w:r>
      <w:r>
        <w:rPr>
          <w:spacing w:val="-4"/>
        </w:rPr>
        <w:t>five</w:t>
      </w:r>
      <w:r>
        <w:rPr>
          <w:spacing w:val="-9"/>
        </w:rPr>
        <w:t> </w:t>
      </w:r>
      <w:r>
        <w:rPr>
          <w:spacing w:val="-4"/>
        </w:rPr>
        <w:t>years, </w:t>
      </w:r>
      <w:r>
        <w:rPr/>
        <w:t>since a major problem cited by many teachers in the </w:t>
      </w:r>
      <w:r>
        <w:rPr>
          <w:spacing w:val="-2"/>
        </w:rPr>
        <w:t>government</w:t>
      </w:r>
      <w:r>
        <w:rPr>
          <w:spacing w:val="-11"/>
        </w:rPr>
        <w:t> </w:t>
      </w:r>
      <w:r>
        <w:rPr>
          <w:spacing w:val="-2"/>
        </w:rPr>
        <w:t>school</w:t>
      </w:r>
      <w:r>
        <w:rPr>
          <w:spacing w:val="-11"/>
        </w:rPr>
        <w:t> </w:t>
      </w:r>
      <w:r>
        <w:rPr>
          <w:spacing w:val="-2"/>
        </w:rPr>
        <w:t>system</w:t>
      </w:r>
      <w:r>
        <w:rPr>
          <w:spacing w:val="-11"/>
        </w:rPr>
        <w:t> </w:t>
      </w:r>
      <w:r>
        <w:rPr>
          <w:spacing w:val="-2"/>
        </w:rPr>
        <w:t>is</w:t>
      </w:r>
      <w:r>
        <w:rPr>
          <w:spacing w:val="-11"/>
        </w:rPr>
        <w:t> </w:t>
      </w:r>
      <w:r>
        <w:rPr>
          <w:spacing w:val="-2"/>
        </w:rPr>
        <w:t>that</w:t>
      </w:r>
      <w:r>
        <w:rPr>
          <w:spacing w:val="-11"/>
        </w:rPr>
        <w:t> </w:t>
      </w:r>
      <w:r>
        <w:rPr>
          <w:spacing w:val="-2"/>
        </w:rPr>
        <w:t>of</w:t>
      </w:r>
      <w:r>
        <w:rPr>
          <w:spacing w:val="-11"/>
        </w:rPr>
        <w:t> </w:t>
      </w:r>
      <w:r>
        <w:rPr>
          <w:spacing w:val="-2"/>
        </w:rPr>
        <w:t>frequent</w:t>
      </w:r>
      <w:r>
        <w:rPr>
          <w:spacing w:val="-11"/>
        </w:rPr>
        <w:t> </w:t>
      </w:r>
      <w:r>
        <w:rPr>
          <w:spacing w:val="-2"/>
        </w:rPr>
        <w:t>transfers. </w:t>
      </w:r>
      <w:r>
        <w:rPr/>
        <w:t>(The</w:t>
      </w:r>
      <w:r>
        <w:rPr>
          <w:spacing w:val="-13"/>
        </w:rPr>
        <w:t> </w:t>
      </w:r>
      <w:r>
        <w:rPr/>
        <w:t>specific</w:t>
      </w:r>
      <w:r>
        <w:rPr>
          <w:spacing w:val="-13"/>
        </w:rPr>
        <w:t> </w:t>
      </w:r>
      <w:r>
        <w:rPr/>
        <w:t>case</w:t>
      </w:r>
      <w:r>
        <w:rPr>
          <w:spacing w:val="-13"/>
        </w:rPr>
        <w:t> </w:t>
      </w:r>
      <w:r>
        <w:rPr/>
        <w:t>of</w:t>
      </w:r>
      <w:r>
        <w:rPr>
          <w:spacing w:val="-13"/>
        </w:rPr>
        <w:t> </w:t>
      </w:r>
      <w:r>
        <w:rPr/>
        <w:t>attracting</w:t>
      </w:r>
      <w:r>
        <w:rPr>
          <w:spacing w:val="-13"/>
        </w:rPr>
        <w:t> </w:t>
      </w:r>
      <w:r>
        <w:rPr/>
        <w:t>teachers</w:t>
      </w:r>
      <w:r>
        <w:rPr>
          <w:spacing w:val="-13"/>
        </w:rPr>
        <w:t> </w:t>
      </w:r>
      <w:r>
        <w:rPr/>
        <w:t>to</w:t>
      </w:r>
      <w:r>
        <w:rPr>
          <w:spacing w:val="-13"/>
        </w:rPr>
        <w:t> </w:t>
      </w:r>
      <w:r>
        <w:rPr/>
        <w:t>remote</w:t>
      </w:r>
      <w:r>
        <w:rPr>
          <w:spacing w:val="-13"/>
        </w:rPr>
        <w:t> </w:t>
      </w:r>
      <w:r>
        <w:rPr/>
        <w:t>and </w:t>
      </w:r>
      <w:r>
        <w:rPr>
          <w:spacing w:val="-2"/>
        </w:rPr>
        <w:t>backward</w:t>
      </w:r>
      <w:r>
        <w:rPr>
          <w:spacing w:val="-7"/>
        </w:rPr>
        <w:t> </w:t>
      </w:r>
      <w:r>
        <w:rPr>
          <w:spacing w:val="-2"/>
        </w:rPr>
        <w:t>areas</w:t>
      </w:r>
      <w:r>
        <w:rPr>
          <w:spacing w:val="-7"/>
        </w:rPr>
        <w:t> </w:t>
      </w:r>
      <w:r>
        <w:rPr>
          <w:spacing w:val="-2"/>
        </w:rPr>
        <w:t>is</w:t>
      </w:r>
      <w:r>
        <w:rPr>
          <w:spacing w:val="-7"/>
        </w:rPr>
        <w:t> </w:t>
      </w:r>
      <w:r>
        <w:rPr>
          <w:spacing w:val="-2"/>
        </w:rPr>
        <w:t>considered</w:t>
      </w:r>
      <w:r>
        <w:rPr>
          <w:spacing w:val="-7"/>
        </w:rPr>
        <w:t> </w:t>
      </w:r>
      <w:r>
        <w:rPr>
          <w:spacing w:val="-2"/>
        </w:rPr>
        <w:t>below</w:t>
      </w:r>
      <w:r>
        <w:rPr>
          <w:spacing w:val="-7"/>
        </w:rPr>
        <w:t> </w:t>
      </w:r>
      <w:r>
        <w:rPr>
          <w:spacing w:val="-2"/>
        </w:rPr>
        <w:t>under</w:t>
      </w:r>
      <w:r>
        <w:rPr>
          <w:spacing w:val="-7"/>
        </w:rPr>
        <w:t> </w:t>
      </w:r>
      <w:r>
        <w:rPr>
          <w:spacing w:val="-2"/>
        </w:rPr>
        <w:t>Access.)</w:t>
      </w:r>
    </w:p>
    <w:p>
      <w:pPr>
        <w:pStyle w:val="BodyText"/>
        <w:spacing w:before="20"/>
      </w:pPr>
    </w:p>
    <w:p>
      <w:pPr>
        <w:pStyle w:val="BodyText"/>
        <w:spacing w:line="266" w:lineRule="auto"/>
        <w:ind w:left="1080"/>
        <w:jc w:val="both"/>
      </w:pPr>
      <w:r>
        <w:rPr/>
        <w:t>There</w:t>
      </w:r>
      <w:r>
        <w:rPr>
          <w:spacing w:val="-10"/>
        </w:rPr>
        <w:t> </w:t>
      </w:r>
      <w:r>
        <w:rPr/>
        <w:t>should</w:t>
      </w:r>
      <w:r>
        <w:rPr>
          <w:spacing w:val="-10"/>
        </w:rPr>
        <w:t> </w:t>
      </w:r>
      <w:r>
        <w:rPr/>
        <w:t>be</w:t>
      </w:r>
      <w:r>
        <w:rPr>
          <w:spacing w:val="-10"/>
        </w:rPr>
        <w:t> </w:t>
      </w:r>
      <w:r>
        <w:rPr/>
        <w:t>increased</w:t>
      </w:r>
      <w:r>
        <w:rPr>
          <w:spacing w:val="-10"/>
        </w:rPr>
        <w:t> </w:t>
      </w:r>
      <w:r>
        <w:rPr/>
        <w:t>attempts</w:t>
      </w:r>
      <w:r>
        <w:rPr>
          <w:spacing w:val="-10"/>
        </w:rPr>
        <w:t> </w:t>
      </w:r>
      <w:r>
        <w:rPr/>
        <w:t>to</w:t>
      </w:r>
      <w:r>
        <w:rPr>
          <w:spacing w:val="-10"/>
        </w:rPr>
        <w:t> </w:t>
      </w:r>
      <w:r>
        <w:rPr/>
        <w:t>improve</w:t>
      </w:r>
      <w:r>
        <w:rPr>
          <w:spacing w:val="-10"/>
        </w:rPr>
        <w:t> </w:t>
      </w:r>
      <w:r>
        <w:rPr/>
        <w:t>public recognition of the contribution of school teachers, </w:t>
      </w:r>
      <w:r>
        <w:rPr>
          <w:spacing w:val="-6"/>
        </w:rPr>
        <w:t>through</w:t>
      </w:r>
      <w:r>
        <w:rPr>
          <w:spacing w:val="-8"/>
        </w:rPr>
        <w:t> </w:t>
      </w:r>
      <w:r>
        <w:rPr>
          <w:spacing w:val="-6"/>
        </w:rPr>
        <w:t>various</w:t>
      </w:r>
      <w:r>
        <w:rPr>
          <w:spacing w:val="-8"/>
        </w:rPr>
        <w:t> </w:t>
      </w:r>
      <w:r>
        <w:rPr>
          <w:spacing w:val="-6"/>
        </w:rPr>
        <w:t>incentives</w:t>
      </w:r>
      <w:r>
        <w:rPr>
          <w:spacing w:val="-8"/>
        </w:rPr>
        <w:t> </w:t>
      </w:r>
      <w:r>
        <w:rPr>
          <w:spacing w:val="-6"/>
        </w:rPr>
        <w:t>such</w:t>
      </w:r>
      <w:r>
        <w:rPr>
          <w:spacing w:val="-7"/>
        </w:rPr>
        <w:t> </w:t>
      </w:r>
      <w:r>
        <w:rPr>
          <w:spacing w:val="-6"/>
        </w:rPr>
        <w:t>as</w:t>
      </w:r>
      <w:r>
        <w:rPr>
          <w:spacing w:val="-8"/>
        </w:rPr>
        <w:t> </w:t>
      </w:r>
      <w:r>
        <w:rPr>
          <w:spacing w:val="-6"/>
        </w:rPr>
        <w:t>more</w:t>
      </w:r>
      <w:r>
        <w:rPr>
          <w:spacing w:val="-8"/>
        </w:rPr>
        <w:t> </w:t>
      </w:r>
      <w:r>
        <w:rPr>
          <w:spacing w:val="-6"/>
        </w:rPr>
        <w:t>local,</w:t>
      </w:r>
      <w:r>
        <w:rPr>
          <w:spacing w:val="-8"/>
        </w:rPr>
        <w:t> </w:t>
      </w:r>
      <w:r>
        <w:rPr>
          <w:spacing w:val="-6"/>
        </w:rPr>
        <w:t>state-level </w:t>
      </w:r>
      <w:r>
        <w:rPr/>
        <w:t>and national awards etc.</w:t>
      </w:r>
    </w:p>
    <w:p>
      <w:pPr>
        <w:pStyle w:val="BodyText"/>
        <w:spacing w:before="24"/>
      </w:pPr>
    </w:p>
    <w:p>
      <w:pPr>
        <w:pStyle w:val="BodyText"/>
        <w:spacing w:line="266" w:lineRule="auto"/>
        <w:ind w:left="1080"/>
        <w:jc w:val="both"/>
      </w:pPr>
      <w:r>
        <w:rPr>
          <w:spacing w:val="-2"/>
        </w:rPr>
        <w:t>It</w:t>
      </w:r>
      <w:r>
        <w:rPr>
          <w:spacing w:val="-12"/>
        </w:rPr>
        <w:t> </w:t>
      </w:r>
      <w:r>
        <w:rPr>
          <w:spacing w:val="-2"/>
        </w:rPr>
        <w:t>is</w:t>
      </w:r>
      <w:r>
        <w:rPr>
          <w:spacing w:val="-12"/>
        </w:rPr>
        <w:t> </w:t>
      </w:r>
      <w:r>
        <w:rPr>
          <w:spacing w:val="-2"/>
        </w:rPr>
        <w:t>necessary</w:t>
      </w:r>
      <w:r>
        <w:rPr>
          <w:spacing w:val="-12"/>
        </w:rPr>
        <w:t> </w:t>
      </w:r>
      <w:r>
        <w:rPr>
          <w:spacing w:val="-2"/>
        </w:rPr>
        <w:t>to</w:t>
      </w:r>
      <w:r>
        <w:rPr>
          <w:spacing w:val="-11"/>
        </w:rPr>
        <w:t> </w:t>
      </w:r>
      <w:r>
        <w:rPr>
          <w:spacing w:val="-2"/>
        </w:rPr>
        <w:t>monitor</w:t>
      </w:r>
      <w:r>
        <w:rPr>
          <w:spacing w:val="-12"/>
        </w:rPr>
        <w:t> </w:t>
      </w:r>
      <w:r>
        <w:rPr>
          <w:spacing w:val="-2"/>
        </w:rPr>
        <w:t>the</w:t>
      </w:r>
      <w:r>
        <w:rPr>
          <w:spacing w:val="-12"/>
        </w:rPr>
        <w:t> </w:t>
      </w:r>
      <w:r>
        <w:rPr>
          <w:spacing w:val="-2"/>
        </w:rPr>
        <w:t>emoluments</w:t>
      </w:r>
      <w:r>
        <w:rPr>
          <w:spacing w:val="-12"/>
        </w:rPr>
        <w:t> </w:t>
      </w:r>
      <w:r>
        <w:rPr>
          <w:spacing w:val="-2"/>
        </w:rPr>
        <w:t>and</w:t>
      </w:r>
      <w:r>
        <w:rPr>
          <w:spacing w:val="-11"/>
        </w:rPr>
        <w:t> </w:t>
      </w:r>
      <w:r>
        <w:rPr>
          <w:spacing w:val="-2"/>
        </w:rPr>
        <w:t>working </w:t>
      </w:r>
      <w:r>
        <w:rPr/>
        <w:t>conditions of teachers in private schools, which vary substantially, and prevent exploitation of teachers by private</w:t>
      </w:r>
      <w:r>
        <w:rPr>
          <w:spacing w:val="-14"/>
        </w:rPr>
        <w:t> </w:t>
      </w:r>
      <w:r>
        <w:rPr/>
        <w:t>school</w:t>
      </w:r>
      <w:r>
        <w:rPr>
          <w:spacing w:val="-14"/>
        </w:rPr>
        <w:t> </w:t>
      </w:r>
      <w:r>
        <w:rPr/>
        <w:t>employers</w:t>
      </w:r>
      <w:r>
        <w:rPr>
          <w:spacing w:val="-14"/>
        </w:rPr>
        <w:t> </w:t>
      </w:r>
      <w:r>
        <w:rPr/>
        <w:t>as</w:t>
      </w:r>
      <w:r>
        <w:rPr>
          <w:spacing w:val="-13"/>
        </w:rPr>
        <w:t> </w:t>
      </w:r>
      <w:r>
        <w:rPr/>
        <w:t>far</w:t>
      </w:r>
      <w:r>
        <w:rPr>
          <w:spacing w:val="-14"/>
        </w:rPr>
        <w:t> </w:t>
      </w:r>
      <w:r>
        <w:rPr/>
        <w:t>as</w:t>
      </w:r>
      <w:r>
        <w:rPr>
          <w:spacing w:val="-14"/>
        </w:rPr>
        <w:t> </w:t>
      </w:r>
      <w:r>
        <w:rPr/>
        <w:t>possible.</w:t>
      </w:r>
    </w:p>
    <w:p>
      <w:pPr>
        <w:pStyle w:val="BodyText"/>
        <w:spacing w:before="23"/>
      </w:pPr>
    </w:p>
    <w:p>
      <w:pPr>
        <w:pStyle w:val="BodyText"/>
        <w:spacing w:line="266" w:lineRule="auto" w:before="1"/>
        <w:ind w:left="1080"/>
        <w:jc w:val="both"/>
      </w:pPr>
      <w:r>
        <w:rPr/>
        <w:t>However, in addition to improving the </w:t>
      </w:r>
      <w:r>
        <w:rPr/>
        <w:t>working conditions</w:t>
      </w:r>
      <w:r>
        <w:rPr>
          <w:spacing w:val="-3"/>
        </w:rPr>
        <w:t> </w:t>
      </w:r>
      <w:r>
        <w:rPr/>
        <w:t>of</w:t>
      </w:r>
      <w:r>
        <w:rPr>
          <w:spacing w:val="-3"/>
        </w:rPr>
        <w:t> </w:t>
      </w:r>
      <w:r>
        <w:rPr/>
        <w:t>teachers,</w:t>
      </w:r>
      <w:r>
        <w:rPr>
          <w:spacing w:val="-3"/>
        </w:rPr>
        <w:t> </w:t>
      </w:r>
      <w:r>
        <w:rPr/>
        <w:t>it</w:t>
      </w:r>
      <w:r>
        <w:rPr>
          <w:spacing w:val="-3"/>
        </w:rPr>
        <w:t> </w:t>
      </w:r>
      <w:r>
        <w:rPr/>
        <w:t>is</w:t>
      </w:r>
      <w:r>
        <w:rPr>
          <w:spacing w:val="-3"/>
        </w:rPr>
        <w:t> </w:t>
      </w:r>
      <w:r>
        <w:rPr/>
        <w:t>also</w:t>
      </w:r>
      <w:r>
        <w:rPr>
          <w:spacing w:val="-3"/>
        </w:rPr>
        <w:t> </w:t>
      </w:r>
      <w:r>
        <w:rPr/>
        <w:t>necessary</w:t>
      </w:r>
      <w:r>
        <w:rPr>
          <w:spacing w:val="-3"/>
        </w:rPr>
        <w:t> </w:t>
      </w:r>
      <w:r>
        <w:rPr/>
        <w:t>to</w:t>
      </w:r>
      <w:r>
        <w:rPr>
          <w:spacing w:val="-3"/>
        </w:rPr>
        <w:t> </w:t>
      </w:r>
      <w:r>
        <w:rPr/>
        <w:t>institute measures to provide greater accountability of school teachers not only to their superiors, but to students, parents and the local community. Currently, any </w:t>
      </w:r>
      <w:r>
        <w:rPr>
          <w:spacing w:val="-2"/>
        </w:rPr>
        <w:t>mention</w:t>
      </w:r>
      <w:r>
        <w:rPr>
          <w:spacing w:val="-9"/>
        </w:rPr>
        <w:t> </w:t>
      </w:r>
      <w:r>
        <w:rPr>
          <w:spacing w:val="-2"/>
        </w:rPr>
        <w:t>of</w:t>
      </w:r>
      <w:r>
        <w:rPr>
          <w:spacing w:val="-9"/>
        </w:rPr>
        <w:t> </w:t>
      </w:r>
      <w:r>
        <w:rPr>
          <w:spacing w:val="-2"/>
        </w:rPr>
        <w:t>increasing</w:t>
      </w:r>
      <w:r>
        <w:rPr>
          <w:spacing w:val="-9"/>
        </w:rPr>
        <w:t> </w:t>
      </w:r>
      <w:r>
        <w:rPr>
          <w:spacing w:val="-2"/>
        </w:rPr>
        <w:t>teacher</w:t>
      </w:r>
      <w:r>
        <w:rPr>
          <w:spacing w:val="-9"/>
        </w:rPr>
        <w:t> </w:t>
      </w:r>
      <w:r>
        <w:rPr>
          <w:spacing w:val="-2"/>
        </w:rPr>
        <w:t>accountability</w:t>
      </w:r>
      <w:r>
        <w:rPr>
          <w:spacing w:val="-9"/>
        </w:rPr>
        <w:t> </w:t>
      </w:r>
      <w:r>
        <w:rPr>
          <w:spacing w:val="-2"/>
        </w:rPr>
        <w:t>is</w:t>
      </w:r>
      <w:r>
        <w:rPr>
          <w:spacing w:val="-9"/>
        </w:rPr>
        <w:t> </w:t>
      </w:r>
      <w:r>
        <w:rPr>
          <w:spacing w:val="-2"/>
        </w:rPr>
        <w:t>viewed </w:t>
      </w:r>
      <w:r>
        <w:rPr/>
        <w:t>with hostility and suspicion by teachers themselves. Such</w:t>
      </w:r>
      <w:r>
        <w:rPr>
          <w:spacing w:val="-11"/>
        </w:rPr>
        <w:t> </w:t>
      </w:r>
      <w:r>
        <w:rPr/>
        <w:t>an</w:t>
      </w:r>
      <w:r>
        <w:rPr>
          <w:spacing w:val="-9"/>
        </w:rPr>
        <w:t> </w:t>
      </w:r>
      <w:r>
        <w:rPr/>
        <w:t>outlook</w:t>
      </w:r>
      <w:r>
        <w:rPr>
          <w:spacing w:val="-9"/>
        </w:rPr>
        <w:t> </w:t>
      </w:r>
      <w:r>
        <w:rPr/>
        <w:t>needs</w:t>
      </w:r>
      <w:r>
        <w:rPr>
          <w:spacing w:val="-9"/>
        </w:rPr>
        <w:t> </w:t>
      </w:r>
      <w:r>
        <w:rPr/>
        <w:t>to</w:t>
      </w:r>
      <w:r>
        <w:rPr>
          <w:spacing w:val="-9"/>
        </w:rPr>
        <w:t> </w:t>
      </w:r>
      <w:r>
        <w:rPr/>
        <w:t>be</w:t>
      </w:r>
      <w:r>
        <w:rPr>
          <w:spacing w:val="-9"/>
        </w:rPr>
        <w:t> </w:t>
      </w:r>
      <w:r>
        <w:rPr/>
        <w:t>changed.</w:t>
      </w:r>
      <w:r>
        <w:rPr>
          <w:spacing w:val="-14"/>
        </w:rPr>
        <w:t> </w:t>
      </w:r>
      <w:r>
        <w:rPr/>
        <w:t>There</w:t>
      </w:r>
      <w:r>
        <w:rPr>
          <w:spacing w:val="-9"/>
        </w:rPr>
        <w:t> </w:t>
      </w:r>
      <w:r>
        <w:rPr/>
        <w:t>is</w:t>
      </w:r>
      <w:r>
        <w:rPr>
          <w:spacing w:val="-9"/>
        </w:rPr>
        <w:t> </w:t>
      </w:r>
      <w:r>
        <w:rPr/>
        <w:t>clearly a need for greater accountability of teachers to the community</w:t>
      </w:r>
      <w:r>
        <w:rPr>
          <w:spacing w:val="-9"/>
        </w:rPr>
        <w:t> </w:t>
      </w:r>
      <w:r>
        <w:rPr/>
        <w:t>and</w:t>
      </w:r>
      <w:r>
        <w:rPr>
          <w:spacing w:val="-9"/>
        </w:rPr>
        <w:t> </w:t>
      </w:r>
      <w:r>
        <w:rPr/>
        <w:t>the</w:t>
      </w:r>
      <w:r>
        <w:rPr>
          <w:spacing w:val="-9"/>
        </w:rPr>
        <w:t> </w:t>
      </w:r>
      <w:r>
        <w:rPr/>
        <w:t>school,</w:t>
      </w:r>
      <w:r>
        <w:rPr>
          <w:spacing w:val="-9"/>
        </w:rPr>
        <w:t> </w:t>
      </w:r>
      <w:r>
        <w:rPr/>
        <w:t>and</w:t>
      </w:r>
      <w:r>
        <w:rPr>
          <w:spacing w:val="-9"/>
        </w:rPr>
        <w:t> </w:t>
      </w:r>
      <w:r>
        <w:rPr/>
        <w:t>this</w:t>
      </w:r>
      <w:r>
        <w:rPr>
          <w:spacing w:val="-9"/>
        </w:rPr>
        <w:t> </w:t>
      </w:r>
      <w:r>
        <w:rPr/>
        <w:t>will</w:t>
      </w:r>
      <w:r>
        <w:rPr>
          <w:spacing w:val="-9"/>
        </w:rPr>
        <w:t> </w:t>
      </w:r>
      <w:r>
        <w:rPr/>
        <w:t>be</w:t>
      </w:r>
      <w:r>
        <w:rPr>
          <w:spacing w:val="-9"/>
        </w:rPr>
        <w:t> </w:t>
      </w:r>
      <w:r>
        <w:rPr/>
        <w:t>facilitated by greater decentralisation of school management to local stakeholders as has been suggested above.</w:t>
      </w:r>
      <w:r>
        <w:rPr>
          <w:spacing w:val="-4"/>
        </w:rPr>
        <w:t> </w:t>
      </w:r>
      <w:r>
        <w:rPr/>
        <w:t>This </w:t>
      </w:r>
      <w:r>
        <w:rPr>
          <w:spacing w:val="-2"/>
        </w:rPr>
        <w:t>should</w:t>
      </w:r>
      <w:r>
        <w:rPr>
          <w:spacing w:val="-8"/>
        </w:rPr>
        <w:t> </w:t>
      </w:r>
      <w:r>
        <w:rPr>
          <w:spacing w:val="-2"/>
        </w:rPr>
        <w:t>be</w:t>
      </w:r>
      <w:r>
        <w:rPr>
          <w:spacing w:val="-8"/>
        </w:rPr>
        <w:t> </w:t>
      </w:r>
      <w:r>
        <w:rPr>
          <w:spacing w:val="-2"/>
        </w:rPr>
        <w:t>accompanied</w:t>
      </w:r>
      <w:r>
        <w:rPr>
          <w:spacing w:val="-8"/>
        </w:rPr>
        <w:t> </w:t>
      </w:r>
      <w:r>
        <w:rPr>
          <w:spacing w:val="-2"/>
        </w:rPr>
        <w:t>by</w:t>
      </w:r>
      <w:r>
        <w:rPr>
          <w:spacing w:val="-8"/>
        </w:rPr>
        <w:t> </w:t>
      </w:r>
      <w:r>
        <w:rPr>
          <w:spacing w:val="-2"/>
        </w:rPr>
        <w:t>recognition</w:t>
      </w:r>
      <w:r>
        <w:rPr>
          <w:spacing w:val="-8"/>
        </w:rPr>
        <w:t> </w:t>
      </w:r>
      <w:r>
        <w:rPr>
          <w:spacing w:val="-2"/>
        </w:rPr>
        <w:t>of</w:t>
      </w:r>
      <w:r>
        <w:rPr>
          <w:spacing w:val="-8"/>
        </w:rPr>
        <w:t> </w:t>
      </w:r>
      <w:r>
        <w:rPr>
          <w:spacing w:val="-2"/>
        </w:rPr>
        <w:t>the</w:t>
      </w:r>
      <w:r>
        <w:rPr>
          <w:spacing w:val="-8"/>
        </w:rPr>
        <w:t> </w:t>
      </w:r>
      <w:r>
        <w:rPr>
          <w:spacing w:val="-2"/>
        </w:rPr>
        <w:t>concerns </w:t>
      </w:r>
      <w:r>
        <w:rPr/>
        <w:t>of</w:t>
      </w:r>
      <w:r>
        <w:rPr>
          <w:spacing w:val="-13"/>
        </w:rPr>
        <w:t> </w:t>
      </w:r>
      <w:r>
        <w:rPr/>
        <w:t>teachers</w:t>
      </w:r>
      <w:r>
        <w:rPr>
          <w:spacing w:val="-13"/>
        </w:rPr>
        <w:t> </w:t>
      </w:r>
      <w:r>
        <w:rPr/>
        <w:t>and</w:t>
      </w:r>
      <w:r>
        <w:rPr>
          <w:spacing w:val="-13"/>
        </w:rPr>
        <w:t> </w:t>
      </w:r>
      <w:r>
        <w:rPr/>
        <w:t>allowing</w:t>
      </w:r>
      <w:r>
        <w:rPr>
          <w:spacing w:val="-13"/>
        </w:rPr>
        <w:t> </w:t>
      </w:r>
      <w:r>
        <w:rPr/>
        <w:t>them</w:t>
      </w:r>
      <w:r>
        <w:rPr>
          <w:spacing w:val="-14"/>
        </w:rPr>
        <w:t> </w:t>
      </w:r>
      <w:r>
        <w:rPr/>
        <w:t>more</w:t>
      </w:r>
      <w:r>
        <w:rPr>
          <w:spacing w:val="-13"/>
        </w:rPr>
        <w:t> </w:t>
      </w:r>
      <w:r>
        <w:rPr/>
        <w:t>space</w:t>
      </w:r>
      <w:r>
        <w:rPr>
          <w:spacing w:val="-13"/>
        </w:rPr>
        <w:t> </w:t>
      </w:r>
      <w:r>
        <w:rPr/>
        <w:t>to</w:t>
      </w:r>
      <w:r>
        <w:rPr>
          <w:spacing w:val="-13"/>
        </w:rPr>
        <w:t> </w:t>
      </w:r>
      <w:r>
        <w:rPr/>
        <w:t>be</w:t>
      </w:r>
      <w:r>
        <w:rPr>
          <w:spacing w:val="-13"/>
        </w:rPr>
        <w:t> </w:t>
      </w:r>
      <w:r>
        <w:rPr/>
        <w:t>active </w:t>
      </w:r>
      <w:r>
        <w:rPr>
          <w:spacing w:val="-4"/>
        </w:rPr>
        <w:t>in school management and school activities.</w:t>
      </w:r>
      <w:r>
        <w:rPr>
          <w:spacing w:val="-10"/>
        </w:rPr>
        <w:t> </w:t>
      </w:r>
      <w:r>
        <w:rPr>
          <w:spacing w:val="-4"/>
        </w:rPr>
        <w:t>The actual </w:t>
      </w:r>
      <w:r>
        <w:rPr>
          <w:spacing w:val="-6"/>
        </w:rPr>
        <w:t>administrative</w:t>
      </w:r>
      <w:r>
        <w:rPr>
          <w:spacing w:val="-8"/>
        </w:rPr>
        <w:t> </w:t>
      </w:r>
      <w:r>
        <w:rPr>
          <w:spacing w:val="-6"/>
        </w:rPr>
        <w:t>arrangements</w:t>
      </w:r>
      <w:r>
        <w:rPr>
          <w:spacing w:val="-8"/>
        </w:rPr>
        <w:t> </w:t>
      </w:r>
      <w:r>
        <w:rPr>
          <w:spacing w:val="-6"/>
        </w:rPr>
        <w:t>whereby</w:t>
      </w:r>
      <w:r>
        <w:rPr>
          <w:spacing w:val="-8"/>
        </w:rPr>
        <w:t> </w:t>
      </w:r>
      <w:r>
        <w:rPr>
          <w:spacing w:val="-6"/>
        </w:rPr>
        <w:t>this</w:t>
      </w:r>
      <w:r>
        <w:rPr>
          <w:spacing w:val="-7"/>
        </w:rPr>
        <w:t> </w:t>
      </w:r>
      <w:r>
        <w:rPr>
          <w:spacing w:val="-6"/>
        </w:rPr>
        <w:t>is</w:t>
      </w:r>
      <w:r>
        <w:rPr>
          <w:spacing w:val="-8"/>
        </w:rPr>
        <w:t> </w:t>
      </w:r>
      <w:r>
        <w:rPr>
          <w:spacing w:val="-6"/>
        </w:rPr>
        <w:t>done</w:t>
      </w:r>
      <w:r>
        <w:rPr>
          <w:spacing w:val="-8"/>
        </w:rPr>
        <w:t> </w:t>
      </w:r>
      <w:r>
        <w:rPr>
          <w:spacing w:val="-6"/>
        </w:rPr>
        <w:t>should </w:t>
      </w:r>
      <w:r>
        <w:rPr>
          <w:spacing w:val="-4"/>
        </w:rPr>
        <w:t>be</w:t>
      </w:r>
      <w:r>
        <w:rPr>
          <w:spacing w:val="-10"/>
        </w:rPr>
        <w:t> </w:t>
      </w:r>
      <w:r>
        <w:rPr>
          <w:spacing w:val="-4"/>
        </w:rPr>
        <w:t>left</w:t>
      </w:r>
      <w:r>
        <w:rPr>
          <w:spacing w:val="-10"/>
        </w:rPr>
        <w:t> </w:t>
      </w:r>
      <w:r>
        <w:rPr>
          <w:spacing w:val="-4"/>
        </w:rPr>
        <w:t>to</w:t>
      </w:r>
      <w:r>
        <w:rPr>
          <w:spacing w:val="-10"/>
        </w:rPr>
        <w:t> </w:t>
      </w:r>
      <w:r>
        <w:rPr>
          <w:spacing w:val="-4"/>
        </w:rPr>
        <w:t>be</w:t>
      </w:r>
      <w:r>
        <w:rPr>
          <w:spacing w:val="-9"/>
        </w:rPr>
        <w:t> </w:t>
      </w:r>
      <w:r>
        <w:rPr>
          <w:spacing w:val="-4"/>
        </w:rPr>
        <w:t>decided</w:t>
      </w:r>
      <w:r>
        <w:rPr>
          <w:spacing w:val="-10"/>
        </w:rPr>
        <w:t> </w:t>
      </w:r>
      <w:r>
        <w:rPr>
          <w:spacing w:val="-4"/>
        </w:rPr>
        <w:t>at</w:t>
      </w:r>
      <w:r>
        <w:rPr>
          <w:spacing w:val="-10"/>
        </w:rPr>
        <w:t> </w:t>
      </w:r>
      <w:r>
        <w:rPr>
          <w:spacing w:val="-4"/>
        </w:rPr>
        <w:t>the</w:t>
      </w:r>
      <w:r>
        <w:rPr>
          <w:spacing w:val="-10"/>
        </w:rPr>
        <w:t> </w:t>
      </w:r>
      <w:r>
        <w:rPr>
          <w:spacing w:val="-4"/>
        </w:rPr>
        <w:t>state</w:t>
      </w:r>
      <w:r>
        <w:rPr>
          <w:spacing w:val="-9"/>
        </w:rPr>
        <w:t> </w:t>
      </w:r>
      <w:r>
        <w:rPr>
          <w:spacing w:val="-4"/>
        </w:rPr>
        <w:t>and</w:t>
      </w:r>
      <w:r>
        <w:rPr>
          <w:spacing w:val="-10"/>
        </w:rPr>
        <w:t> </w:t>
      </w:r>
      <w:r>
        <w:rPr>
          <w:spacing w:val="-4"/>
        </w:rPr>
        <w:t>local</w:t>
      </w:r>
      <w:r>
        <w:rPr>
          <w:spacing w:val="-10"/>
        </w:rPr>
        <w:t> </w:t>
      </w:r>
      <w:r>
        <w:rPr>
          <w:spacing w:val="-4"/>
        </w:rPr>
        <w:t>level.</w:t>
      </w:r>
      <w:r>
        <w:rPr>
          <w:spacing w:val="-10"/>
        </w:rPr>
        <w:t> </w:t>
      </w:r>
      <w:r>
        <w:rPr>
          <w:spacing w:val="-4"/>
        </w:rPr>
        <w:t>Systems </w:t>
      </w:r>
      <w:r>
        <w:rPr>
          <w:spacing w:val="-6"/>
        </w:rPr>
        <w:t>of self-evaluation and peer evaluation of teachers should </w:t>
      </w:r>
      <w:r>
        <w:rPr/>
        <w:t>be encouraged.</w:t>
      </w:r>
    </w:p>
    <w:p>
      <w:pPr>
        <w:pStyle w:val="Heading7"/>
        <w:numPr>
          <w:ilvl w:val="1"/>
          <w:numId w:val="14"/>
        </w:numPr>
        <w:tabs>
          <w:tab w:pos="724" w:val="left" w:leader="none"/>
          <w:tab w:pos="726" w:val="left" w:leader="none"/>
        </w:tabs>
        <w:spacing w:line="225" w:lineRule="auto" w:before="84" w:after="0"/>
        <w:ind w:left="726" w:right="1090" w:hanging="408"/>
        <w:jc w:val="left"/>
      </w:pPr>
      <w:r>
        <w:rPr>
          <w:b w:val="0"/>
        </w:rPr>
        <w:br w:type="column"/>
      </w:r>
      <w:r>
        <w:rPr>
          <w:color w:val="2E614A"/>
        </w:rPr>
        <w:t>The</w:t>
      </w:r>
      <w:r>
        <w:rPr>
          <w:color w:val="2E614A"/>
          <w:spacing w:val="-17"/>
        </w:rPr>
        <w:t> </w:t>
      </w:r>
      <w:r>
        <w:rPr>
          <w:color w:val="2E614A"/>
        </w:rPr>
        <w:t>training</w:t>
      </w:r>
      <w:r>
        <w:rPr>
          <w:color w:val="2E614A"/>
          <w:spacing w:val="-16"/>
        </w:rPr>
        <w:t> </w:t>
      </w:r>
      <w:r>
        <w:rPr>
          <w:color w:val="2E614A"/>
        </w:rPr>
        <w:t>of</w:t>
      </w:r>
      <w:r>
        <w:rPr>
          <w:color w:val="2E614A"/>
          <w:spacing w:val="-16"/>
        </w:rPr>
        <w:t> </w:t>
      </w:r>
      <w:r>
        <w:rPr>
          <w:color w:val="2E614A"/>
        </w:rPr>
        <w:t>school</w:t>
      </w:r>
      <w:r>
        <w:rPr>
          <w:color w:val="2E614A"/>
          <w:spacing w:val="-16"/>
        </w:rPr>
        <w:t> </w:t>
      </w:r>
      <w:r>
        <w:rPr>
          <w:color w:val="2E614A"/>
        </w:rPr>
        <w:t>teachers</w:t>
      </w:r>
      <w:r>
        <w:rPr>
          <w:color w:val="2E614A"/>
          <w:spacing w:val="-17"/>
        </w:rPr>
        <w:t> </w:t>
      </w:r>
      <w:r>
        <w:rPr>
          <w:color w:val="2E614A"/>
        </w:rPr>
        <w:t>is </w:t>
      </w:r>
      <w:r>
        <w:rPr>
          <w:color w:val="2E614A"/>
          <w:spacing w:val="-4"/>
        </w:rPr>
        <w:t>extremely</w:t>
      </w:r>
      <w:r>
        <w:rPr>
          <w:color w:val="2E614A"/>
          <w:spacing w:val="-15"/>
        </w:rPr>
        <w:t> </w:t>
      </w:r>
      <w:r>
        <w:rPr>
          <w:color w:val="2E614A"/>
          <w:spacing w:val="-4"/>
        </w:rPr>
        <w:t>inadequate</w:t>
      </w:r>
      <w:r>
        <w:rPr>
          <w:color w:val="2E614A"/>
          <w:spacing w:val="-12"/>
        </w:rPr>
        <w:t> </w:t>
      </w:r>
      <w:r>
        <w:rPr>
          <w:color w:val="2E614A"/>
          <w:spacing w:val="-4"/>
        </w:rPr>
        <w:t>and</w:t>
      </w:r>
      <w:r>
        <w:rPr>
          <w:color w:val="2E614A"/>
          <w:spacing w:val="-12"/>
        </w:rPr>
        <w:t> </w:t>
      </w:r>
      <w:r>
        <w:rPr>
          <w:color w:val="2E614A"/>
          <w:spacing w:val="-4"/>
        </w:rPr>
        <w:t>also</w:t>
      </w:r>
      <w:r>
        <w:rPr>
          <w:color w:val="2E614A"/>
          <w:spacing w:val="-12"/>
        </w:rPr>
        <w:t> </w:t>
      </w:r>
      <w:r>
        <w:rPr>
          <w:color w:val="2E614A"/>
          <w:spacing w:val="-4"/>
        </w:rPr>
        <w:t>poorly </w:t>
      </w:r>
      <w:r>
        <w:rPr>
          <w:color w:val="2E614A"/>
          <w:w w:val="90"/>
        </w:rPr>
        <w:t>managed. Pre-service training needs to </w:t>
      </w:r>
      <w:r>
        <w:rPr>
          <w:color w:val="2E614A"/>
          <w:w w:val="90"/>
        </w:rPr>
        <w:t>be </w:t>
      </w:r>
      <w:r>
        <w:rPr>
          <w:color w:val="2E614A"/>
          <w:spacing w:val="-4"/>
        </w:rPr>
        <w:t>improved</w:t>
      </w:r>
      <w:r>
        <w:rPr>
          <w:color w:val="2E614A"/>
          <w:spacing w:val="-12"/>
        </w:rPr>
        <w:t> </w:t>
      </w:r>
      <w:r>
        <w:rPr>
          <w:color w:val="2E614A"/>
          <w:spacing w:val="-4"/>
        </w:rPr>
        <w:t>and</w:t>
      </w:r>
      <w:r>
        <w:rPr>
          <w:color w:val="2E614A"/>
          <w:spacing w:val="-12"/>
        </w:rPr>
        <w:t> </w:t>
      </w:r>
      <w:r>
        <w:rPr>
          <w:color w:val="2E614A"/>
          <w:spacing w:val="-4"/>
        </w:rPr>
        <w:t>regulated,</w:t>
      </w:r>
      <w:r>
        <w:rPr>
          <w:color w:val="2E614A"/>
          <w:spacing w:val="-12"/>
        </w:rPr>
        <w:t> </w:t>
      </w:r>
      <w:r>
        <w:rPr>
          <w:color w:val="2E614A"/>
          <w:spacing w:val="-4"/>
        </w:rPr>
        <w:t>while</w:t>
      </w:r>
      <w:r>
        <w:rPr>
          <w:color w:val="2E614A"/>
          <w:spacing w:val="-12"/>
        </w:rPr>
        <w:t> </w:t>
      </w:r>
      <w:r>
        <w:rPr>
          <w:color w:val="2E614A"/>
          <w:spacing w:val="-4"/>
        </w:rPr>
        <w:t>systems </w:t>
      </w:r>
      <w:r>
        <w:rPr>
          <w:color w:val="2E614A"/>
          <w:spacing w:val="-6"/>
        </w:rPr>
        <w:t>for</w:t>
      </w:r>
      <w:r>
        <w:rPr>
          <w:color w:val="2E614A"/>
          <w:spacing w:val="-8"/>
        </w:rPr>
        <w:t> </w:t>
      </w:r>
      <w:r>
        <w:rPr>
          <w:color w:val="2E614A"/>
          <w:spacing w:val="-6"/>
        </w:rPr>
        <w:t>in-service</w:t>
      </w:r>
      <w:r>
        <w:rPr>
          <w:color w:val="2E614A"/>
          <w:spacing w:val="-8"/>
        </w:rPr>
        <w:t> </w:t>
      </w:r>
      <w:r>
        <w:rPr>
          <w:color w:val="2E614A"/>
          <w:spacing w:val="-6"/>
        </w:rPr>
        <w:t>training</w:t>
      </w:r>
      <w:r>
        <w:rPr>
          <w:color w:val="2E614A"/>
          <w:spacing w:val="-8"/>
        </w:rPr>
        <w:t> </w:t>
      </w:r>
      <w:r>
        <w:rPr>
          <w:color w:val="2E614A"/>
          <w:spacing w:val="-6"/>
        </w:rPr>
        <w:t>require</w:t>
      </w:r>
      <w:r>
        <w:rPr>
          <w:color w:val="2E614A"/>
          <w:spacing w:val="-8"/>
        </w:rPr>
        <w:t> </w:t>
      </w:r>
      <w:r>
        <w:rPr>
          <w:color w:val="2E614A"/>
          <w:spacing w:val="-6"/>
        </w:rPr>
        <w:t>expansion </w:t>
      </w:r>
      <w:r>
        <w:rPr>
          <w:color w:val="2E614A"/>
          <w:spacing w:val="-2"/>
        </w:rPr>
        <w:t>and</w:t>
      </w:r>
      <w:r>
        <w:rPr>
          <w:color w:val="2E614A"/>
          <w:spacing w:val="-15"/>
        </w:rPr>
        <w:t> </w:t>
      </w:r>
      <w:r>
        <w:rPr>
          <w:color w:val="2E614A"/>
          <w:spacing w:val="-2"/>
        </w:rPr>
        <w:t>major</w:t>
      </w:r>
      <w:r>
        <w:rPr>
          <w:color w:val="2E614A"/>
          <w:spacing w:val="-14"/>
        </w:rPr>
        <w:t> </w:t>
      </w:r>
      <w:r>
        <w:rPr>
          <w:color w:val="2E614A"/>
          <w:spacing w:val="-2"/>
        </w:rPr>
        <w:t>reform</w:t>
      </w:r>
      <w:r>
        <w:rPr>
          <w:color w:val="2E614A"/>
          <w:spacing w:val="-14"/>
        </w:rPr>
        <w:t> </w:t>
      </w:r>
      <w:r>
        <w:rPr>
          <w:color w:val="2E614A"/>
          <w:spacing w:val="-2"/>
        </w:rPr>
        <w:t>in</w:t>
      </w:r>
      <w:r>
        <w:rPr>
          <w:color w:val="2E614A"/>
          <w:spacing w:val="-14"/>
        </w:rPr>
        <w:t> </w:t>
      </w:r>
      <w:r>
        <w:rPr>
          <w:color w:val="2E614A"/>
          <w:spacing w:val="-2"/>
        </w:rPr>
        <w:t>all</w:t>
      </w:r>
      <w:r>
        <w:rPr>
          <w:color w:val="2E614A"/>
          <w:spacing w:val="-15"/>
        </w:rPr>
        <w:t> </w:t>
      </w:r>
      <w:r>
        <w:rPr>
          <w:color w:val="2E614A"/>
          <w:spacing w:val="-2"/>
        </w:rPr>
        <w:t>states.</w:t>
      </w:r>
    </w:p>
    <w:p>
      <w:pPr>
        <w:pStyle w:val="BodyText"/>
        <w:spacing w:line="266" w:lineRule="auto" w:before="268"/>
        <w:ind w:left="319" w:right="1077"/>
        <w:jc w:val="both"/>
      </w:pPr>
      <w:r>
        <w:rPr>
          <w:w w:val="90"/>
        </w:rPr>
        <w:t>Both pre-service and in-service teacher training programs </w:t>
      </w:r>
      <w:r>
        <w:rPr>
          <w:spacing w:val="-4"/>
        </w:rPr>
        <w:t>face</w:t>
      </w:r>
      <w:r>
        <w:rPr>
          <w:spacing w:val="-8"/>
        </w:rPr>
        <w:t> </w:t>
      </w:r>
      <w:r>
        <w:rPr>
          <w:spacing w:val="-4"/>
        </w:rPr>
        <w:t>major</w:t>
      </w:r>
      <w:r>
        <w:rPr>
          <w:spacing w:val="-8"/>
        </w:rPr>
        <w:t> </w:t>
      </w:r>
      <w:r>
        <w:rPr>
          <w:spacing w:val="-4"/>
        </w:rPr>
        <w:t>problems</w:t>
      </w:r>
      <w:r>
        <w:rPr>
          <w:spacing w:val="-8"/>
        </w:rPr>
        <w:t> </w:t>
      </w:r>
      <w:r>
        <w:rPr>
          <w:spacing w:val="-4"/>
        </w:rPr>
        <w:t>at</w:t>
      </w:r>
      <w:r>
        <w:rPr>
          <w:spacing w:val="-8"/>
        </w:rPr>
        <w:t> </w:t>
      </w:r>
      <w:r>
        <w:rPr>
          <w:spacing w:val="-4"/>
        </w:rPr>
        <w:t>present,</w:t>
      </w:r>
      <w:r>
        <w:rPr>
          <w:spacing w:val="-8"/>
        </w:rPr>
        <w:t> </w:t>
      </w:r>
      <w:r>
        <w:rPr>
          <w:spacing w:val="-4"/>
        </w:rPr>
        <w:t>at</w:t>
      </w:r>
      <w:r>
        <w:rPr>
          <w:spacing w:val="-8"/>
        </w:rPr>
        <w:t> </w:t>
      </w:r>
      <w:r>
        <w:rPr>
          <w:spacing w:val="-4"/>
        </w:rPr>
        <w:t>the</w:t>
      </w:r>
      <w:r>
        <w:rPr>
          <w:spacing w:val="-8"/>
        </w:rPr>
        <w:t> </w:t>
      </w:r>
      <w:r>
        <w:rPr>
          <w:spacing w:val="-4"/>
        </w:rPr>
        <w:t>national</w:t>
      </w:r>
      <w:r>
        <w:rPr>
          <w:spacing w:val="-8"/>
        </w:rPr>
        <w:t> </w:t>
      </w:r>
      <w:r>
        <w:rPr>
          <w:spacing w:val="-4"/>
        </w:rPr>
        <w:t>level</w:t>
      </w:r>
      <w:r>
        <w:rPr>
          <w:spacing w:val="-8"/>
        </w:rPr>
        <w:t> </w:t>
      </w:r>
      <w:r>
        <w:rPr>
          <w:spacing w:val="-4"/>
        </w:rPr>
        <w:t>and in</w:t>
      </w:r>
      <w:r>
        <w:rPr>
          <w:spacing w:val="-6"/>
        </w:rPr>
        <w:t> </w:t>
      </w:r>
      <w:r>
        <w:rPr>
          <w:spacing w:val="-4"/>
        </w:rPr>
        <w:t>almost</w:t>
      </w:r>
      <w:r>
        <w:rPr>
          <w:spacing w:val="-6"/>
        </w:rPr>
        <w:t> </w:t>
      </w:r>
      <w:r>
        <w:rPr>
          <w:spacing w:val="-4"/>
        </w:rPr>
        <w:t>all</w:t>
      </w:r>
      <w:r>
        <w:rPr>
          <w:spacing w:val="-6"/>
        </w:rPr>
        <w:t> </w:t>
      </w:r>
      <w:r>
        <w:rPr>
          <w:spacing w:val="-4"/>
        </w:rPr>
        <w:t>states.</w:t>
      </w:r>
      <w:r>
        <w:rPr>
          <w:spacing w:val="-10"/>
        </w:rPr>
        <w:t> </w:t>
      </w:r>
      <w:r>
        <w:rPr>
          <w:spacing w:val="-4"/>
        </w:rPr>
        <w:t>With</w:t>
      </w:r>
      <w:r>
        <w:rPr>
          <w:spacing w:val="-6"/>
        </w:rPr>
        <w:t> </w:t>
      </w:r>
      <w:r>
        <w:rPr>
          <w:spacing w:val="-4"/>
        </w:rPr>
        <w:t>respect</w:t>
      </w:r>
      <w:r>
        <w:rPr>
          <w:spacing w:val="-6"/>
        </w:rPr>
        <w:t> </w:t>
      </w:r>
      <w:r>
        <w:rPr>
          <w:spacing w:val="-4"/>
        </w:rPr>
        <w:t>to</w:t>
      </w:r>
      <w:r>
        <w:rPr>
          <w:spacing w:val="-6"/>
        </w:rPr>
        <w:t> </w:t>
      </w:r>
      <w:r>
        <w:rPr>
          <w:spacing w:val="-4"/>
        </w:rPr>
        <w:t>pre-service</w:t>
      </w:r>
      <w:r>
        <w:rPr>
          <w:spacing w:val="-6"/>
        </w:rPr>
        <w:t> </w:t>
      </w:r>
      <w:r>
        <w:rPr>
          <w:spacing w:val="-4"/>
        </w:rPr>
        <w:t>training, </w:t>
      </w:r>
      <w:r>
        <w:rPr>
          <w:spacing w:val="-2"/>
        </w:rPr>
        <w:t>there</w:t>
      </w:r>
      <w:r>
        <w:rPr>
          <w:spacing w:val="-9"/>
        </w:rPr>
        <w:t> </w:t>
      </w:r>
      <w:r>
        <w:rPr>
          <w:spacing w:val="-2"/>
        </w:rPr>
        <w:t>is</w:t>
      </w:r>
      <w:r>
        <w:rPr>
          <w:spacing w:val="-9"/>
        </w:rPr>
        <w:t> </w:t>
      </w:r>
      <w:r>
        <w:rPr>
          <w:spacing w:val="-2"/>
        </w:rPr>
        <w:t>a</w:t>
      </w:r>
      <w:r>
        <w:rPr>
          <w:spacing w:val="-9"/>
        </w:rPr>
        <w:t> </w:t>
      </w:r>
      <w:r>
        <w:rPr>
          <w:spacing w:val="-2"/>
        </w:rPr>
        <w:t>proliferation</w:t>
      </w:r>
      <w:r>
        <w:rPr>
          <w:spacing w:val="-9"/>
        </w:rPr>
        <w:t> </w:t>
      </w:r>
      <w:r>
        <w:rPr>
          <w:spacing w:val="-2"/>
        </w:rPr>
        <w:t>of</w:t>
      </w:r>
      <w:r>
        <w:rPr>
          <w:spacing w:val="-9"/>
        </w:rPr>
        <w:t> </w:t>
      </w:r>
      <w:r>
        <w:rPr>
          <w:spacing w:val="-2"/>
        </w:rPr>
        <w:t>private</w:t>
      </w:r>
      <w:r>
        <w:rPr>
          <w:spacing w:val="-9"/>
        </w:rPr>
        <w:t> </w:t>
      </w:r>
      <w:r>
        <w:rPr>
          <w:spacing w:val="-2"/>
        </w:rPr>
        <w:t>colleges</w:t>
      </w:r>
      <w:r>
        <w:rPr>
          <w:spacing w:val="-9"/>
        </w:rPr>
        <w:t> </w:t>
      </w:r>
      <w:r>
        <w:rPr>
          <w:spacing w:val="-2"/>
        </w:rPr>
        <w:t>awarding</w:t>
      </w:r>
      <w:r>
        <w:rPr>
          <w:spacing w:val="-9"/>
        </w:rPr>
        <w:t> </w:t>
      </w:r>
      <w:r>
        <w:rPr>
          <w:spacing w:val="-2"/>
        </w:rPr>
        <w:t>the </w:t>
      </w:r>
      <w:r>
        <w:rPr/>
        <w:t>B.Ed. degree, and these are inadequately monitored or regulated. A significant proportion of those who </w:t>
      </w:r>
      <w:r>
        <w:rPr>
          <w:spacing w:val="-2"/>
        </w:rPr>
        <w:t>receive</w:t>
      </w:r>
      <w:r>
        <w:rPr>
          <w:spacing w:val="-12"/>
        </w:rPr>
        <w:t> </w:t>
      </w:r>
      <w:r>
        <w:rPr>
          <w:spacing w:val="-2"/>
        </w:rPr>
        <w:t>B.Ed.</w:t>
      </w:r>
      <w:r>
        <w:rPr>
          <w:spacing w:val="-12"/>
        </w:rPr>
        <w:t> </w:t>
      </w:r>
      <w:r>
        <w:rPr>
          <w:spacing w:val="-2"/>
        </w:rPr>
        <w:t>degrees</w:t>
      </w:r>
      <w:r>
        <w:rPr>
          <w:spacing w:val="-12"/>
        </w:rPr>
        <w:t> </w:t>
      </w:r>
      <w:r>
        <w:rPr>
          <w:spacing w:val="-2"/>
        </w:rPr>
        <w:t>do</w:t>
      </w:r>
      <w:r>
        <w:rPr>
          <w:spacing w:val="-11"/>
        </w:rPr>
        <w:t> </w:t>
      </w:r>
      <w:r>
        <w:rPr>
          <w:spacing w:val="-2"/>
        </w:rPr>
        <w:t>so</w:t>
      </w:r>
      <w:r>
        <w:rPr>
          <w:spacing w:val="-12"/>
        </w:rPr>
        <w:t> </w:t>
      </w:r>
      <w:r>
        <w:rPr>
          <w:spacing w:val="-2"/>
        </w:rPr>
        <w:t>through</w:t>
      </w:r>
      <w:r>
        <w:rPr>
          <w:spacing w:val="-12"/>
        </w:rPr>
        <w:t> </w:t>
      </w:r>
      <w:r>
        <w:rPr>
          <w:spacing w:val="-2"/>
        </w:rPr>
        <w:t>correspondence</w:t>
      </w:r>
      <w:r>
        <w:rPr>
          <w:spacing w:val="-12"/>
        </w:rPr>
        <w:t> </w:t>
      </w:r>
      <w:r>
        <w:rPr>
          <w:spacing w:val="-2"/>
        </w:rPr>
        <w:t>or distance</w:t>
      </w:r>
      <w:r>
        <w:rPr>
          <w:spacing w:val="-9"/>
        </w:rPr>
        <w:t> </w:t>
      </w:r>
      <w:r>
        <w:rPr>
          <w:spacing w:val="-2"/>
        </w:rPr>
        <w:t>learning</w:t>
      </w:r>
      <w:r>
        <w:rPr>
          <w:spacing w:val="-9"/>
        </w:rPr>
        <w:t> </w:t>
      </w:r>
      <w:r>
        <w:rPr>
          <w:spacing w:val="-2"/>
        </w:rPr>
        <w:t>courses,</w:t>
      </w:r>
      <w:r>
        <w:rPr>
          <w:spacing w:val="-9"/>
        </w:rPr>
        <w:t> </w:t>
      </w:r>
      <w:r>
        <w:rPr>
          <w:spacing w:val="-2"/>
        </w:rPr>
        <w:t>which</w:t>
      </w:r>
      <w:r>
        <w:rPr>
          <w:spacing w:val="-9"/>
        </w:rPr>
        <w:t> </w:t>
      </w:r>
      <w:r>
        <w:rPr>
          <w:spacing w:val="-2"/>
        </w:rPr>
        <w:t>involve</w:t>
      </w:r>
      <w:r>
        <w:rPr>
          <w:spacing w:val="-9"/>
        </w:rPr>
        <w:t> </w:t>
      </w:r>
      <w:r>
        <w:rPr>
          <w:spacing w:val="-2"/>
        </w:rPr>
        <w:t>absolutely</w:t>
      </w:r>
      <w:r>
        <w:rPr>
          <w:spacing w:val="-9"/>
        </w:rPr>
        <w:t> </w:t>
      </w:r>
      <w:r>
        <w:rPr>
          <w:spacing w:val="-2"/>
        </w:rPr>
        <w:t>no </w:t>
      </w:r>
      <w:r>
        <w:rPr>
          <w:spacing w:val="-4"/>
        </w:rPr>
        <w:t>practical</w:t>
      </w:r>
      <w:r>
        <w:rPr>
          <w:spacing w:val="-9"/>
        </w:rPr>
        <w:t> </w:t>
      </w:r>
      <w:r>
        <w:rPr>
          <w:spacing w:val="-4"/>
        </w:rPr>
        <w:t>exposure.</w:t>
      </w:r>
      <w:r>
        <w:rPr>
          <w:spacing w:val="-9"/>
        </w:rPr>
        <w:t> </w:t>
      </w:r>
      <w:r>
        <w:rPr>
          <w:spacing w:val="-4"/>
        </w:rPr>
        <w:t>In</w:t>
      </w:r>
      <w:r>
        <w:rPr>
          <w:spacing w:val="-9"/>
        </w:rPr>
        <w:t> </w:t>
      </w:r>
      <w:r>
        <w:rPr>
          <w:spacing w:val="-4"/>
        </w:rPr>
        <w:t>any</w:t>
      </w:r>
      <w:r>
        <w:rPr>
          <w:spacing w:val="-9"/>
        </w:rPr>
        <w:t> </w:t>
      </w:r>
      <w:r>
        <w:rPr>
          <w:spacing w:val="-4"/>
        </w:rPr>
        <w:t>case,</w:t>
      </w:r>
      <w:r>
        <w:rPr>
          <w:spacing w:val="-9"/>
        </w:rPr>
        <w:t> </w:t>
      </w:r>
      <w:r>
        <w:rPr>
          <w:spacing w:val="-4"/>
        </w:rPr>
        <w:t>classroom</w:t>
      </w:r>
      <w:r>
        <w:rPr>
          <w:spacing w:val="-9"/>
        </w:rPr>
        <w:t> </w:t>
      </w:r>
      <w:r>
        <w:rPr>
          <w:spacing w:val="-4"/>
        </w:rPr>
        <w:t>experience</w:t>
      </w:r>
      <w:r>
        <w:rPr>
          <w:spacing w:val="-9"/>
        </w:rPr>
        <w:t> </w:t>
      </w:r>
      <w:r>
        <w:rPr>
          <w:spacing w:val="-4"/>
        </w:rPr>
        <w:t>is </w:t>
      </w:r>
      <w:r>
        <w:rPr>
          <w:spacing w:val="-6"/>
        </w:rPr>
        <w:t>underplayed</w:t>
      </w:r>
      <w:r>
        <w:rPr>
          <w:spacing w:val="-7"/>
        </w:rPr>
        <w:t> </w:t>
      </w:r>
      <w:r>
        <w:rPr>
          <w:spacing w:val="-6"/>
        </w:rPr>
        <w:t>in</w:t>
      </w:r>
      <w:r>
        <w:rPr>
          <w:spacing w:val="-7"/>
        </w:rPr>
        <w:t> </w:t>
      </w:r>
      <w:r>
        <w:rPr>
          <w:spacing w:val="-6"/>
        </w:rPr>
        <w:t>standard</w:t>
      </w:r>
      <w:r>
        <w:rPr>
          <w:spacing w:val="-7"/>
        </w:rPr>
        <w:t> </w:t>
      </w:r>
      <w:r>
        <w:rPr>
          <w:spacing w:val="-6"/>
        </w:rPr>
        <w:t>B.Ed</w:t>
      </w:r>
      <w:r>
        <w:rPr>
          <w:spacing w:val="-7"/>
        </w:rPr>
        <w:t> </w:t>
      </w:r>
      <w:r>
        <w:rPr>
          <w:spacing w:val="-6"/>
        </w:rPr>
        <w:t>courses.</w:t>
      </w:r>
      <w:r>
        <w:rPr>
          <w:spacing w:val="-7"/>
        </w:rPr>
        <w:t> </w:t>
      </w:r>
      <w:r>
        <w:rPr>
          <w:spacing w:val="-6"/>
        </w:rPr>
        <w:t>At</w:t>
      </w:r>
      <w:r>
        <w:rPr>
          <w:spacing w:val="-7"/>
        </w:rPr>
        <w:t> </w:t>
      </w:r>
      <w:r>
        <w:rPr>
          <w:spacing w:val="-6"/>
        </w:rPr>
        <w:t>the</w:t>
      </w:r>
      <w:r>
        <w:rPr>
          <w:spacing w:val="-7"/>
        </w:rPr>
        <w:t> </w:t>
      </w:r>
      <w:r>
        <w:rPr>
          <w:spacing w:val="-6"/>
        </w:rPr>
        <w:t>same</w:t>
      </w:r>
      <w:r>
        <w:rPr>
          <w:spacing w:val="-7"/>
        </w:rPr>
        <w:t> </w:t>
      </w:r>
      <w:r>
        <w:rPr>
          <w:spacing w:val="-6"/>
        </w:rPr>
        <w:t>time, </w:t>
      </w:r>
      <w:r>
        <w:rPr/>
        <w:t>the</w:t>
      </w:r>
      <w:r>
        <w:rPr>
          <w:spacing w:val="-5"/>
        </w:rPr>
        <w:t> </w:t>
      </w:r>
      <w:r>
        <w:rPr/>
        <w:t>employment</w:t>
      </w:r>
      <w:r>
        <w:rPr>
          <w:spacing w:val="-5"/>
        </w:rPr>
        <w:t> </w:t>
      </w:r>
      <w:r>
        <w:rPr/>
        <w:t>of</w:t>
      </w:r>
      <w:r>
        <w:rPr>
          <w:spacing w:val="-5"/>
        </w:rPr>
        <w:t> </w:t>
      </w:r>
      <w:r>
        <w:rPr/>
        <w:t>ad</w:t>
      </w:r>
      <w:r>
        <w:rPr>
          <w:spacing w:val="-5"/>
        </w:rPr>
        <w:t> </w:t>
      </w:r>
      <w:r>
        <w:rPr/>
        <w:t>hoc</w:t>
      </w:r>
      <w:r>
        <w:rPr>
          <w:spacing w:val="-5"/>
        </w:rPr>
        <w:t> </w:t>
      </w:r>
      <w:r>
        <w:rPr/>
        <w:t>teachers</w:t>
      </w:r>
      <w:r>
        <w:rPr>
          <w:spacing w:val="-5"/>
        </w:rPr>
        <w:t> </w:t>
      </w:r>
      <w:r>
        <w:rPr/>
        <w:t>and</w:t>
      </w:r>
      <w:r>
        <w:rPr>
          <w:spacing w:val="-5"/>
        </w:rPr>
        <w:t> </w:t>
      </w:r>
      <w:r>
        <w:rPr/>
        <w:t>those</w:t>
      </w:r>
      <w:r>
        <w:rPr>
          <w:spacing w:val="-5"/>
        </w:rPr>
        <w:t> </w:t>
      </w:r>
      <w:r>
        <w:rPr/>
        <w:t>without even high school diplomas as teachers in the parallel </w:t>
      </w:r>
      <w:r>
        <w:rPr>
          <w:spacing w:val="-4"/>
        </w:rPr>
        <w:t>stream</w:t>
      </w:r>
      <w:r>
        <w:rPr>
          <w:spacing w:val="-6"/>
        </w:rPr>
        <w:t> </w:t>
      </w:r>
      <w:r>
        <w:rPr>
          <w:spacing w:val="-4"/>
        </w:rPr>
        <w:t>perpetuates</w:t>
      </w:r>
      <w:r>
        <w:rPr>
          <w:spacing w:val="-6"/>
        </w:rPr>
        <w:t> </w:t>
      </w:r>
      <w:r>
        <w:rPr>
          <w:spacing w:val="-4"/>
        </w:rPr>
        <w:t>the</w:t>
      </w:r>
      <w:r>
        <w:rPr>
          <w:spacing w:val="-6"/>
        </w:rPr>
        <w:t> </w:t>
      </w:r>
      <w:r>
        <w:rPr>
          <w:spacing w:val="-4"/>
        </w:rPr>
        <w:t>notion</w:t>
      </w:r>
      <w:r>
        <w:rPr>
          <w:spacing w:val="-6"/>
        </w:rPr>
        <w:t> </w:t>
      </w:r>
      <w:r>
        <w:rPr>
          <w:spacing w:val="-4"/>
        </w:rPr>
        <w:t>that</w:t>
      </w:r>
      <w:r>
        <w:rPr>
          <w:spacing w:val="-6"/>
        </w:rPr>
        <w:t> </w:t>
      </w:r>
      <w:r>
        <w:rPr>
          <w:spacing w:val="-4"/>
        </w:rPr>
        <w:t>it</w:t>
      </w:r>
      <w:r>
        <w:rPr>
          <w:spacing w:val="-6"/>
        </w:rPr>
        <w:t> </w:t>
      </w:r>
      <w:r>
        <w:rPr>
          <w:spacing w:val="-4"/>
        </w:rPr>
        <w:t>is</w:t>
      </w:r>
      <w:r>
        <w:rPr>
          <w:spacing w:val="-6"/>
        </w:rPr>
        <w:t> </w:t>
      </w:r>
      <w:r>
        <w:rPr>
          <w:spacing w:val="-4"/>
        </w:rPr>
        <w:t>not</w:t>
      </w:r>
      <w:r>
        <w:rPr>
          <w:spacing w:val="-6"/>
        </w:rPr>
        <w:t> </w:t>
      </w:r>
      <w:r>
        <w:rPr>
          <w:spacing w:val="-4"/>
        </w:rPr>
        <w:t>necessary</w:t>
      </w:r>
      <w:r>
        <w:rPr>
          <w:spacing w:val="-6"/>
        </w:rPr>
        <w:t> </w:t>
      </w:r>
      <w:r>
        <w:rPr>
          <w:spacing w:val="-4"/>
        </w:rPr>
        <w:t>for </w:t>
      </w:r>
      <w:r>
        <w:rPr/>
        <w:t>school</w:t>
      </w:r>
      <w:r>
        <w:rPr>
          <w:spacing w:val="-14"/>
        </w:rPr>
        <w:t> </w:t>
      </w:r>
      <w:r>
        <w:rPr/>
        <w:t>teachers</w:t>
      </w:r>
      <w:r>
        <w:rPr>
          <w:spacing w:val="-14"/>
        </w:rPr>
        <w:t> </w:t>
      </w:r>
      <w:r>
        <w:rPr/>
        <w:t>to</w:t>
      </w:r>
      <w:r>
        <w:rPr>
          <w:spacing w:val="-14"/>
        </w:rPr>
        <w:t> </w:t>
      </w:r>
      <w:r>
        <w:rPr/>
        <w:t>have</w:t>
      </w:r>
      <w:r>
        <w:rPr>
          <w:spacing w:val="-13"/>
        </w:rPr>
        <w:t> </w:t>
      </w:r>
      <w:r>
        <w:rPr/>
        <w:t>systematic</w:t>
      </w:r>
      <w:r>
        <w:rPr>
          <w:spacing w:val="-14"/>
        </w:rPr>
        <w:t> </w:t>
      </w:r>
      <w:r>
        <w:rPr/>
        <w:t>and</w:t>
      </w:r>
      <w:r>
        <w:rPr>
          <w:spacing w:val="-14"/>
        </w:rPr>
        <w:t> </w:t>
      </w:r>
      <w:r>
        <w:rPr/>
        <w:t>prolonged</w:t>
      </w:r>
      <w:r>
        <w:rPr>
          <w:spacing w:val="-14"/>
        </w:rPr>
        <w:t> </w:t>
      </w:r>
      <w:r>
        <w:rPr/>
        <w:t>pre- service training.</w:t>
      </w:r>
    </w:p>
    <w:p>
      <w:pPr>
        <w:pStyle w:val="BodyText"/>
        <w:spacing w:before="15"/>
      </w:pPr>
    </w:p>
    <w:p>
      <w:pPr>
        <w:pStyle w:val="BodyText"/>
        <w:spacing w:line="266" w:lineRule="auto"/>
        <w:ind w:left="319" w:right="1077"/>
        <w:jc w:val="both"/>
      </w:pPr>
      <w:r>
        <w:rPr/>
        <w:t>In-service training shows problems of </w:t>
      </w:r>
      <w:r>
        <w:rPr/>
        <w:t>inadequate quantity, uneven quality, outdated syllabi, and poor </w:t>
      </w:r>
      <w:r>
        <w:rPr>
          <w:spacing w:val="-6"/>
        </w:rPr>
        <w:t>management. A very large proportion of school teachers </w:t>
      </w:r>
      <w:r>
        <w:rPr/>
        <w:t>in the country have received no in-service training at </w:t>
      </w:r>
      <w:r>
        <w:rPr>
          <w:spacing w:val="-4"/>
        </w:rPr>
        <w:t>all.</w:t>
      </w:r>
      <w:r>
        <w:rPr>
          <w:spacing w:val="-10"/>
        </w:rPr>
        <w:t> </w:t>
      </w:r>
      <w:r>
        <w:rPr>
          <w:spacing w:val="-4"/>
        </w:rPr>
        <w:t>In</w:t>
      </w:r>
      <w:r>
        <w:rPr>
          <w:spacing w:val="-10"/>
        </w:rPr>
        <w:t> </w:t>
      </w:r>
      <w:r>
        <w:rPr>
          <w:spacing w:val="-4"/>
        </w:rPr>
        <w:t>any</w:t>
      </w:r>
      <w:r>
        <w:rPr>
          <w:spacing w:val="-10"/>
        </w:rPr>
        <w:t> </w:t>
      </w:r>
      <w:r>
        <w:rPr>
          <w:spacing w:val="-4"/>
        </w:rPr>
        <w:t>case,</w:t>
      </w:r>
      <w:r>
        <w:rPr>
          <w:spacing w:val="-9"/>
        </w:rPr>
        <w:t> </w:t>
      </w:r>
      <w:r>
        <w:rPr>
          <w:spacing w:val="-4"/>
        </w:rPr>
        <w:t>many</w:t>
      </w:r>
      <w:r>
        <w:rPr>
          <w:spacing w:val="-10"/>
        </w:rPr>
        <w:t> </w:t>
      </w:r>
      <w:r>
        <w:rPr>
          <w:spacing w:val="-4"/>
        </w:rPr>
        <w:t>DIETs</w:t>
      </w:r>
      <w:r>
        <w:rPr>
          <w:spacing w:val="-10"/>
        </w:rPr>
        <w:t> </w:t>
      </w:r>
      <w:r>
        <w:rPr>
          <w:spacing w:val="-4"/>
        </w:rPr>
        <w:t>are</w:t>
      </w:r>
      <w:r>
        <w:rPr>
          <w:spacing w:val="-10"/>
        </w:rPr>
        <w:t> </w:t>
      </w:r>
      <w:r>
        <w:rPr>
          <w:spacing w:val="-4"/>
        </w:rPr>
        <w:t>currently</w:t>
      </w:r>
      <w:r>
        <w:rPr>
          <w:spacing w:val="-9"/>
        </w:rPr>
        <w:t> </w:t>
      </w:r>
      <w:r>
        <w:rPr>
          <w:spacing w:val="-4"/>
        </w:rPr>
        <w:t>understaffed, </w:t>
      </w:r>
      <w:r>
        <w:rPr/>
        <w:t>demoralised, and incapable of giving good quality training to teachers. In part, this is because teacher training positions are often occupied by those who have not themselves been school teachers. In many </w:t>
      </w:r>
      <w:r>
        <w:rPr>
          <w:spacing w:val="-2"/>
        </w:rPr>
        <w:t>states</w:t>
      </w:r>
      <w:r>
        <w:rPr>
          <w:spacing w:val="-12"/>
        </w:rPr>
        <w:t> </w:t>
      </w:r>
      <w:r>
        <w:rPr>
          <w:spacing w:val="-2"/>
        </w:rPr>
        <w:t>the</w:t>
      </w:r>
      <w:r>
        <w:rPr>
          <w:spacing w:val="-12"/>
        </w:rPr>
        <w:t> </w:t>
      </w:r>
      <w:r>
        <w:rPr>
          <w:spacing w:val="-2"/>
        </w:rPr>
        <w:t>administration</w:t>
      </w:r>
      <w:r>
        <w:rPr>
          <w:spacing w:val="-12"/>
        </w:rPr>
        <w:t> </w:t>
      </w:r>
      <w:r>
        <w:rPr>
          <w:spacing w:val="-2"/>
        </w:rPr>
        <w:t>of</w:t>
      </w:r>
      <w:r>
        <w:rPr>
          <w:spacing w:val="-11"/>
        </w:rPr>
        <w:t> </w:t>
      </w:r>
      <w:r>
        <w:rPr>
          <w:spacing w:val="-2"/>
        </w:rPr>
        <w:t>DIETs</w:t>
      </w:r>
      <w:r>
        <w:rPr>
          <w:spacing w:val="-12"/>
        </w:rPr>
        <w:t> </w:t>
      </w:r>
      <w:r>
        <w:rPr>
          <w:spacing w:val="-2"/>
        </w:rPr>
        <w:t>is</w:t>
      </w:r>
      <w:r>
        <w:rPr>
          <w:spacing w:val="-12"/>
        </w:rPr>
        <w:t> </w:t>
      </w:r>
      <w:r>
        <w:rPr>
          <w:spacing w:val="-2"/>
        </w:rPr>
        <w:t>left</w:t>
      </w:r>
      <w:r>
        <w:rPr>
          <w:spacing w:val="-12"/>
        </w:rPr>
        <w:t> </w:t>
      </w:r>
      <w:r>
        <w:rPr>
          <w:spacing w:val="-2"/>
        </w:rPr>
        <w:t>to</w:t>
      </w:r>
      <w:r>
        <w:rPr>
          <w:spacing w:val="-11"/>
        </w:rPr>
        <w:t> </w:t>
      </w:r>
      <w:r>
        <w:rPr>
          <w:spacing w:val="-2"/>
        </w:rPr>
        <w:t>bureaucrats </w:t>
      </w:r>
      <w:r>
        <w:rPr/>
        <w:t>who view this as a punishment posting and have no </w:t>
      </w:r>
      <w:r>
        <w:rPr>
          <w:spacing w:val="-2"/>
        </w:rPr>
        <w:t>pedagogical</w:t>
      </w:r>
      <w:r>
        <w:rPr>
          <w:spacing w:val="-3"/>
        </w:rPr>
        <w:t> </w:t>
      </w:r>
      <w:r>
        <w:rPr>
          <w:spacing w:val="-2"/>
        </w:rPr>
        <w:t>experience.</w:t>
      </w:r>
      <w:r>
        <w:rPr>
          <w:spacing w:val="-3"/>
        </w:rPr>
        <w:t> </w:t>
      </w:r>
      <w:r>
        <w:rPr>
          <w:spacing w:val="-2"/>
        </w:rPr>
        <w:t>Further,</w:t>
      </w:r>
      <w:r>
        <w:rPr>
          <w:spacing w:val="-4"/>
        </w:rPr>
        <w:t> </w:t>
      </w:r>
      <w:r>
        <w:rPr>
          <w:spacing w:val="-2"/>
        </w:rPr>
        <w:t>DIETs</w:t>
      </w:r>
      <w:r>
        <w:rPr>
          <w:spacing w:val="-3"/>
        </w:rPr>
        <w:t> </w:t>
      </w:r>
      <w:r>
        <w:rPr>
          <w:spacing w:val="-2"/>
        </w:rPr>
        <w:t>typically</w:t>
      </w:r>
      <w:r>
        <w:rPr>
          <w:spacing w:val="-3"/>
        </w:rPr>
        <w:t> </w:t>
      </w:r>
      <w:r>
        <w:rPr>
          <w:spacing w:val="-2"/>
        </w:rPr>
        <w:t>lack </w:t>
      </w:r>
      <w:r>
        <w:rPr>
          <w:spacing w:val="-4"/>
        </w:rPr>
        <w:t>adequate</w:t>
      </w:r>
      <w:r>
        <w:rPr>
          <w:spacing w:val="-9"/>
        </w:rPr>
        <w:t> </w:t>
      </w:r>
      <w:r>
        <w:rPr>
          <w:spacing w:val="-4"/>
        </w:rPr>
        <w:t>infrastructural</w:t>
      </w:r>
      <w:r>
        <w:rPr>
          <w:spacing w:val="-9"/>
        </w:rPr>
        <w:t> </w:t>
      </w:r>
      <w:r>
        <w:rPr>
          <w:spacing w:val="-4"/>
        </w:rPr>
        <w:t>facilities.</w:t>
      </w:r>
      <w:r>
        <w:rPr>
          <w:spacing w:val="-9"/>
        </w:rPr>
        <w:t> </w:t>
      </w:r>
      <w:r>
        <w:rPr>
          <w:spacing w:val="-4"/>
        </w:rPr>
        <w:t>Even</w:t>
      </w:r>
      <w:r>
        <w:rPr>
          <w:spacing w:val="-9"/>
        </w:rPr>
        <w:t> </w:t>
      </w:r>
      <w:r>
        <w:rPr>
          <w:spacing w:val="-4"/>
        </w:rPr>
        <w:t>when</w:t>
      </w:r>
      <w:r>
        <w:rPr>
          <w:spacing w:val="-9"/>
        </w:rPr>
        <w:t> </w:t>
      </w:r>
      <w:r>
        <w:rPr>
          <w:spacing w:val="-4"/>
        </w:rPr>
        <w:t>in-service </w:t>
      </w:r>
      <w:r>
        <w:rPr>
          <w:spacing w:val="-2"/>
        </w:rPr>
        <w:t>training</w:t>
      </w:r>
      <w:r>
        <w:rPr>
          <w:spacing w:val="-12"/>
        </w:rPr>
        <w:t> </w:t>
      </w:r>
      <w:r>
        <w:rPr>
          <w:spacing w:val="-2"/>
        </w:rPr>
        <w:t>is</w:t>
      </w:r>
      <w:r>
        <w:rPr>
          <w:spacing w:val="-12"/>
        </w:rPr>
        <w:t> </w:t>
      </w:r>
      <w:r>
        <w:rPr>
          <w:spacing w:val="-2"/>
        </w:rPr>
        <w:t>regularly</w:t>
      </w:r>
      <w:r>
        <w:rPr>
          <w:spacing w:val="-11"/>
        </w:rPr>
        <w:t> </w:t>
      </w:r>
      <w:r>
        <w:rPr>
          <w:spacing w:val="-2"/>
        </w:rPr>
        <w:t>held,</w:t>
      </w:r>
      <w:r>
        <w:rPr>
          <w:spacing w:val="-12"/>
        </w:rPr>
        <w:t> </w:t>
      </w:r>
      <w:r>
        <w:rPr>
          <w:spacing w:val="-2"/>
        </w:rPr>
        <w:t>there</w:t>
      </w:r>
      <w:r>
        <w:rPr>
          <w:spacing w:val="-12"/>
        </w:rPr>
        <w:t> </w:t>
      </w:r>
      <w:r>
        <w:rPr>
          <w:spacing w:val="-2"/>
        </w:rPr>
        <w:t>is</w:t>
      </w:r>
      <w:r>
        <w:rPr>
          <w:spacing w:val="-11"/>
        </w:rPr>
        <w:t> </w:t>
      </w:r>
      <w:r>
        <w:rPr>
          <w:spacing w:val="-2"/>
        </w:rPr>
        <w:t>no</w:t>
      </w:r>
      <w:r>
        <w:rPr>
          <w:spacing w:val="-12"/>
        </w:rPr>
        <w:t> </w:t>
      </w:r>
      <w:r>
        <w:rPr>
          <w:spacing w:val="-2"/>
        </w:rPr>
        <w:t>mechanism</w:t>
      </w:r>
      <w:r>
        <w:rPr>
          <w:spacing w:val="-12"/>
        </w:rPr>
        <w:t> </w:t>
      </w:r>
      <w:r>
        <w:rPr>
          <w:spacing w:val="-2"/>
        </w:rPr>
        <w:t>which </w:t>
      </w:r>
      <w:r>
        <w:rPr/>
        <w:t>can monitor the impact of in service teacher training </w:t>
      </w:r>
      <w:r>
        <w:rPr>
          <w:spacing w:val="-2"/>
        </w:rPr>
        <w:t>courses</w:t>
      </w:r>
      <w:r>
        <w:rPr>
          <w:spacing w:val="-12"/>
        </w:rPr>
        <w:t> </w:t>
      </w:r>
      <w:r>
        <w:rPr>
          <w:spacing w:val="-2"/>
        </w:rPr>
        <w:t>on</w:t>
      </w:r>
      <w:r>
        <w:rPr>
          <w:spacing w:val="-12"/>
        </w:rPr>
        <w:t> </w:t>
      </w:r>
      <w:r>
        <w:rPr>
          <w:spacing w:val="-2"/>
        </w:rPr>
        <w:t>the</w:t>
      </w:r>
      <w:r>
        <w:rPr>
          <w:spacing w:val="-12"/>
        </w:rPr>
        <w:t> </w:t>
      </w:r>
      <w:r>
        <w:rPr>
          <w:spacing w:val="-2"/>
        </w:rPr>
        <w:t>subsequent</w:t>
      </w:r>
      <w:r>
        <w:rPr>
          <w:spacing w:val="-11"/>
        </w:rPr>
        <w:t> </w:t>
      </w:r>
      <w:r>
        <w:rPr>
          <w:spacing w:val="-2"/>
        </w:rPr>
        <w:t>teaching-learning</w:t>
      </w:r>
      <w:r>
        <w:rPr>
          <w:spacing w:val="-12"/>
        </w:rPr>
        <w:t> </w:t>
      </w:r>
      <w:r>
        <w:rPr>
          <w:spacing w:val="-2"/>
        </w:rPr>
        <w:t>process</w:t>
      </w:r>
      <w:r>
        <w:rPr>
          <w:spacing w:val="-12"/>
        </w:rPr>
        <w:t> </w:t>
      </w:r>
      <w:r>
        <w:rPr>
          <w:spacing w:val="-2"/>
        </w:rPr>
        <w:t>in the</w:t>
      </w:r>
      <w:r>
        <w:rPr>
          <w:spacing w:val="-8"/>
        </w:rPr>
        <w:t> </w:t>
      </w:r>
      <w:r>
        <w:rPr>
          <w:spacing w:val="-2"/>
        </w:rPr>
        <w:t>classroom.</w:t>
      </w:r>
      <w:r>
        <w:rPr>
          <w:spacing w:val="-8"/>
        </w:rPr>
        <w:t> </w:t>
      </w:r>
      <w:r>
        <w:rPr>
          <w:spacing w:val="-2"/>
        </w:rPr>
        <w:t>Most</w:t>
      </w:r>
      <w:r>
        <w:rPr>
          <w:spacing w:val="-8"/>
        </w:rPr>
        <w:t> </w:t>
      </w:r>
      <w:r>
        <w:rPr>
          <w:spacing w:val="-2"/>
        </w:rPr>
        <w:t>SCERTs</w:t>
      </w:r>
      <w:r>
        <w:rPr>
          <w:spacing w:val="-8"/>
        </w:rPr>
        <w:t> </w:t>
      </w:r>
      <w:r>
        <w:rPr>
          <w:spacing w:val="-2"/>
        </w:rPr>
        <w:t>themselves</w:t>
      </w:r>
      <w:r>
        <w:rPr>
          <w:spacing w:val="-8"/>
        </w:rPr>
        <w:t> </w:t>
      </w:r>
      <w:r>
        <w:rPr>
          <w:spacing w:val="-2"/>
        </w:rPr>
        <w:t>hire</w:t>
      </w:r>
      <w:r>
        <w:rPr>
          <w:spacing w:val="-8"/>
        </w:rPr>
        <w:t> </w:t>
      </w:r>
      <w:r>
        <w:rPr>
          <w:spacing w:val="-2"/>
        </w:rPr>
        <w:t>contract </w:t>
      </w:r>
      <w:r>
        <w:rPr/>
        <w:t>teachers</w:t>
      </w:r>
      <w:r>
        <w:rPr>
          <w:spacing w:val="-14"/>
        </w:rPr>
        <w:t> </w:t>
      </w:r>
      <w:r>
        <w:rPr/>
        <w:t>since</w:t>
      </w:r>
      <w:r>
        <w:rPr>
          <w:spacing w:val="-13"/>
        </w:rPr>
        <w:t> </w:t>
      </w:r>
      <w:r>
        <w:rPr/>
        <w:t>there</w:t>
      </w:r>
      <w:r>
        <w:rPr>
          <w:spacing w:val="-14"/>
        </w:rPr>
        <w:t> </w:t>
      </w:r>
      <w:r>
        <w:rPr/>
        <w:t>are</w:t>
      </w:r>
      <w:r>
        <w:rPr>
          <w:spacing w:val="-13"/>
        </w:rPr>
        <w:t> </w:t>
      </w:r>
      <w:r>
        <w:rPr/>
        <w:t>very</w:t>
      </w:r>
      <w:r>
        <w:rPr>
          <w:spacing w:val="-14"/>
        </w:rPr>
        <w:t> </w:t>
      </w:r>
      <w:r>
        <w:rPr/>
        <w:t>few</w:t>
      </w:r>
      <w:r>
        <w:rPr>
          <w:spacing w:val="-13"/>
        </w:rPr>
        <w:t> </w:t>
      </w:r>
      <w:r>
        <w:rPr/>
        <w:t>qualified</w:t>
      </w:r>
      <w:r>
        <w:rPr>
          <w:spacing w:val="-14"/>
        </w:rPr>
        <w:t> </w:t>
      </w:r>
      <w:r>
        <w:rPr/>
        <w:t>and</w:t>
      </w:r>
      <w:r>
        <w:rPr>
          <w:spacing w:val="-13"/>
        </w:rPr>
        <w:t> </w:t>
      </w:r>
      <w:r>
        <w:rPr/>
        <w:t>regular teachers</w:t>
      </w:r>
      <w:r>
        <w:rPr>
          <w:spacing w:val="-14"/>
        </w:rPr>
        <w:t> </w:t>
      </w:r>
      <w:r>
        <w:rPr/>
        <w:t>and</w:t>
      </w:r>
      <w:r>
        <w:rPr>
          <w:spacing w:val="-10"/>
        </w:rPr>
        <w:t> </w:t>
      </w:r>
      <w:r>
        <w:rPr/>
        <w:t>lecturers.</w:t>
      </w:r>
      <w:r>
        <w:rPr>
          <w:spacing w:val="-14"/>
        </w:rPr>
        <w:t> </w:t>
      </w:r>
      <w:r>
        <w:rPr/>
        <w:t>These</w:t>
      </w:r>
      <w:r>
        <w:rPr>
          <w:spacing w:val="-11"/>
        </w:rPr>
        <w:t> </w:t>
      </w:r>
      <w:r>
        <w:rPr/>
        <w:t>therefore</w:t>
      </w:r>
      <w:r>
        <w:rPr>
          <w:spacing w:val="-11"/>
        </w:rPr>
        <w:t> </w:t>
      </w:r>
      <w:r>
        <w:rPr/>
        <w:t>find</w:t>
      </w:r>
      <w:r>
        <w:rPr>
          <w:spacing w:val="-11"/>
        </w:rPr>
        <w:t> </w:t>
      </w:r>
      <w:r>
        <w:rPr/>
        <w:t>it</w:t>
      </w:r>
      <w:r>
        <w:rPr>
          <w:spacing w:val="-11"/>
        </w:rPr>
        <w:t> </w:t>
      </w:r>
      <w:r>
        <w:rPr/>
        <w:t>difficult to supervise functions at the block level unless their numbers</w:t>
      </w:r>
      <w:r>
        <w:rPr>
          <w:spacing w:val="-14"/>
        </w:rPr>
        <w:t> </w:t>
      </w:r>
      <w:r>
        <w:rPr/>
        <w:t>are</w:t>
      </w:r>
      <w:r>
        <w:rPr>
          <w:spacing w:val="-14"/>
        </w:rPr>
        <w:t> </w:t>
      </w:r>
      <w:r>
        <w:rPr/>
        <w:t>greatly</w:t>
      </w:r>
      <w:r>
        <w:rPr>
          <w:spacing w:val="-14"/>
        </w:rPr>
        <w:t> </w:t>
      </w:r>
      <w:r>
        <w:rPr/>
        <w:t>increased.</w:t>
      </w:r>
      <w:r>
        <w:rPr>
          <w:spacing w:val="-13"/>
        </w:rPr>
        <w:t> </w:t>
      </w:r>
      <w:r>
        <w:rPr/>
        <w:t>Funds</w:t>
      </w:r>
      <w:r>
        <w:rPr>
          <w:spacing w:val="-14"/>
        </w:rPr>
        <w:t> </w:t>
      </w:r>
      <w:r>
        <w:rPr/>
        <w:t>are</w:t>
      </w:r>
      <w:r>
        <w:rPr>
          <w:spacing w:val="-14"/>
        </w:rPr>
        <w:t> </w:t>
      </w:r>
      <w:r>
        <w:rPr/>
        <w:t>needed</w:t>
      </w:r>
      <w:r>
        <w:rPr>
          <w:spacing w:val="-14"/>
        </w:rPr>
        <w:t> </w:t>
      </w:r>
      <w:r>
        <w:rPr/>
        <w:t>from </w:t>
      </w:r>
      <w:r>
        <w:rPr>
          <w:spacing w:val="-6"/>
        </w:rPr>
        <w:t>the</w:t>
      </w:r>
      <w:r>
        <w:rPr>
          <w:spacing w:val="-8"/>
        </w:rPr>
        <w:t> </w:t>
      </w:r>
      <w:r>
        <w:rPr>
          <w:spacing w:val="-6"/>
        </w:rPr>
        <w:t>central</w:t>
      </w:r>
      <w:r>
        <w:rPr>
          <w:spacing w:val="-7"/>
        </w:rPr>
        <w:t> </w:t>
      </w:r>
      <w:r>
        <w:rPr>
          <w:spacing w:val="-6"/>
        </w:rPr>
        <w:t>government</w:t>
      </w:r>
      <w:r>
        <w:rPr>
          <w:spacing w:val="-8"/>
        </w:rPr>
        <w:t> </w:t>
      </w:r>
      <w:r>
        <w:rPr>
          <w:spacing w:val="-6"/>
        </w:rPr>
        <w:t>for</w:t>
      </w:r>
      <w:r>
        <w:rPr>
          <w:spacing w:val="-7"/>
        </w:rPr>
        <w:t> </w:t>
      </w:r>
      <w:r>
        <w:rPr>
          <w:spacing w:val="-6"/>
        </w:rPr>
        <w:t>human</w:t>
      </w:r>
      <w:r>
        <w:rPr>
          <w:spacing w:val="-8"/>
        </w:rPr>
        <w:t> </w:t>
      </w:r>
      <w:r>
        <w:rPr>
          <w:spacing w:val="-6"/>
        </w:rPr>
        <w:t>resource</w:t>
      </w:r>
      <w:r>
        <w:rPr>
          <w:spacing w:val="-7"/>
        </w:rPr>
        <w:t> </w:t>
      </w:r>
      <w:r>
        <w:rPr>
          <w:spacing w:val="-6"/>
        </w:rPr>
        <w:t>development </w:t>
      </w:r>
      <w:r>
        <w:rPr/>
        <w:t>at this level.</w:t>
      </w:r>
    </w:p>
    <w:p>
      <w:pPr>
        <w:pStyle w:val="BodyText"/>
        <w:spacing w:before="8"/>
      </w:pPr>
    </w:p>
    <w:p>
      <w:pPr>
        <w:pStyle w:val="BodyText"/>
        <w:spacing w:line="266" w:lineRule="auto" w:before="1"/>
        <w:ind w:left="319" w:right="1078"/>
        <w:jc w:val="both"/>
      </w:pPr>
      <w:r>
        <w:rPr/>
        <w:t>NKC therefore suggests the following for </w:t>
      </w:r>
      <w:r>
        <w:rPr/>
        <w:t>teacher </w:t>
      </w:r>
      <w:r>
        <w:rPr>
          <w:spacing w:val="-2"/>
        </w:rPr>
        <w:t>training:</w:t>
      </w:r>
    </w:p>
    <w:p>
      <w:pPr>
        <w:pStyle w:val="ListParagraph"/>
        <w:numPr>
          <w:ilvl w:val="2"/>
          <w:numId w:val="14"/>
        </w:numPr>
        <w:tabs>
          <w:tab w:pos="679" w:val="left" w:leader="none"/>
        </w:tabs>
        <w:spacing w:line="266" w:lineRule="auto" w:before="0" w:after="0"/>
        <w:ind w:left="679" w:right="1078" w:hanging="360"/>
        <w:jc w:val="both"/>
        <w:rPr>
          <w:sz w:val="22"/>
        </w:rPr>
      </w:pPr>
      <w:r>
        <w:rPr>
          <w:sz w:val="22"/>
        </w:rPr>
        <w:t>Institutions</w:t>
      </w:r>
      <w:r>
        <w:rPr>
          <w:spacing w:val="-14"/>
          <w:sz w:val="22"/>
        </w:rPr>
        <w:t> </w:t>
      </w:r>
      <w:r>
        <w:rPr>
          <w:sz w:val="22"/>
        </w:rPr>
        <w:t>providing</w:t>
      </w:r>
      <w:r>
        <w:rPr>
          <w:spacing w:val="-14"/>
          <w:sz w:val="22"/>
        </w:rPr>
        <w:t> </w:t>
      </w:r>
      <w:r>
        <w:rPr>
          <w:sz w:val="22"/>
        </w:rPr>
        <w:t>pre-service</w:t>
      </w:r>
      <w:r>
        <w:rPr>
          <w:spacing w:val="-14"/>
          <w:sz w:val="22"/>
        </w:rPr>
        <w:t> </w:t>
      </w:r>
      <w:r>
        <w:rPr>
          <w:sz w:val="22"/>
        </w:rPr>
        <w:t>teacher</w:t>
      </w:r>
      <w:r>
        <w:rPr>
          <w:spacing w:val="-13"/>
          <w:sz w:val="22"/>
        </w:rPr>
        <w:t> </w:t>
      </w:r>
      <w:r>
        <w:rPr>
          <w:sz w:val="22"/>
        </w:rPr>
        <w:t>training and granting B.Ed degrees should be subject to the</w:t>
      </w:r>
      <w:r>
        <w:rPr>
          <w:spacing w:val="-13"/>
          <w:sz w:val="22"/>
        </w:rPr>
        <w:t> </w:t>
      </w:r>
      <w:r>
        <w:rPr>
          <w:sz w:val="22"/>
        </w:rPr>
        <w:t>same</w:t>
      </w:r>
      <w:r>
        <w:rPr>
          <w:spacing w:val="-13"/>
          <w:sz w:val="22"/>
        </w:rPr>
        <w:t> </w:t>
      </w:r>
      <w:r>
        <w:rPr>
          <w:sz w:val="22"/>
        </w:rPr>
        <w:t>regulatory</w:t>
      </w:r>
      <w:r>
        <w:rPr>
          <w:spacing w:val="-13"/>
          <w:sz w:val="22"/>
        </w:rPr>
        <w:t> </w:t>
      </w:r>
      <w:r>
        <w:rPr>
          <w:sz w:val="22"/>
        </w:rPr>
        <w:t>authority,</w:t>
      </w:r>
      <w:r>
        <w:rPr>
          <w:spacing w:val="-12"/>
          <w:sz w:val="22"/>
        </w:rPr>
        <w:t> </w:t>
      </w:r>
      <w:r>
        <w:rPr>
          <w:sz w:val="22"/>
        </w:rPr>
        <w:t>and</w:t>
      </w:r>
      <w:r>
        <w:rPr>
          <w:spacing w:val="-13"/>
          <w:sz w:val="22"/>
        </w:rPr>
        <w:t> </w:t>
      </w:r>
      <w:r>
        <w:rPr>
          <w:sz w:val="22"/>
        </w:rPr>
        <w:t>there</w:t>
      </w:r>
      <w:r>
        <w:rPr>
          <w:spacing w:val="-13"/>
          <w:sz w:val="22"/>
        </w:rPr>
        <w:t> </w:t>
      </w:r>
      <w:r>
        <w:rPr>
          <w:sz w:val="22"/>
        </w:rPr>
        <w:t>should</w:t>
      </w:r>
      <w:r>
        <w:rPr>
          <w:spacing w:val="-13"/>
          <w:sz w:val="22"/>
        </w:rPr>
        <w:t> </w:t>
      </w:r>
      <w:r>
        <w:rPr>
          <w:sz w:val="22"/>
        </w:rPr>
        <w:t>be</w:t>
      </w:r>
    </w:p>
    <w:p>
      <w:pPr>
        <w:spacing w:after="0" w:line="266" w:lineRule="auto"/>
        <w:jc w:val="both"/>
        <w:rPr>
          <w:sz w:val="22"/>
        </w:rPr>
        <w:sectPr>
          <w:pgSz w:w="11910" w:h="16840"/>
          <w:pgMar w:header="0" w:footer="675" w:top="940" w:bottom="860" w:left="0" w:right="0"/>
          <w:cols w:num="2" w:equalWidth="0">
            <w:col w:w="5774" w:space="40"/>
            <w:col w:w="6096"/>
          </w:cols>
        </w:sectPr>
      </w:pPr>
    </w:p>
    <w:p>
      <w:pPr>
        <w:pStyle w:val="BodyText"/>
        <w:spacing w:line="266" w:lineRule="auto" w:before="57"/>
        <w:ind w:left="1439"/>
        <w:jc w:val="both"/>
      </w:pPr>
      <w:r>
        <w:rPr/>
        <w:t>adequate monitoring of the training provided </w:t>
      </w:r>
      <w:r>
        <w:rPr/>
        <w:t>by private organisations.</w:t>
      </w:r>
    </w:p>
    <w:p>
      <w:pPr>
        <w:pStyle w:val="ListParagraph"/>
        <w:numPr>
          <w:ilvl w:val="3"/>
          <w:numId w:val="14"/>
        </w:numPr>
        <w:tabs>
          <w:tab w:pos="1439" w:val="left" w:leader="none"/>
        </w:tabs>
        <w:spacing w:line="266" w:lineRule="auto" w:before="0" w:after="0"/>
        <w:ind w:left="1439" w:right="0" w:hanging="360"/>
        <w:jc w:val="both"/>
        <w:rPr>
          <w:sz w:val="22"/>
        </w:rPr>
      </w:pPr>
      <w:r>
        <w:rPr>
          <w:spacing w:val="-4"/>
          <w:sz w:val="22"/>
        </w:rPr>
        <w:t>The budgetary allocation for teacher training </w:t>
      </w:r>
      <w:r>
        <w:rPr>
          <w:spacing w:val="-4"/>
          <w:sz w:val="22"/>
        </w:rPr>
        <w:t>needs </w:t>
      </w:r>
      <w:r>
        <w:rPr>
          <w:sz w:val="22"/>
        </w:rPr>
        <w:t>to be enhanced and made explicit, and central government</w:t>
      </w:r>
      <w:r>
        <w:rPr>
          <w:spacing w:val="-2"/>
          <w:sz w:val="22"/>
        </w:rPr>
        <w:t> </w:t>
      </w:r>
      <w:r>
        <w:rPr>
          <w:sz w:val="22"/>
        </w:rPr>
        <w:t>provisions</w:t>
      </w:r>
      <w:r>
        <w:rPr>
          <w:spacing w:val="-2"/>
          <w:sz w:val="22"/>
        </w:rPr>
        <w:t> </w:t>
      </w:r>
      <w:r>
        <w:rPr>
          <w:sz w:val="22"/>
        </w:rPr>
        <w:t>are</w:t>
      </w:r>
      <w:r>
        <w:rPr>
          <w:spacing w:val="-2"/>
          <w:sz w:val="22"/>
        </w:rPr>
        <w:t> </w:t>
      </w:r>
      <w:r>
        <w:rPr>
          <w:sz w:val="22"/>
        </w:rPr>
        <w:t>required</w:t>
      </w:r>
      <w:r>
        <w:rPr>
          <w:spacing w:val="-2"/>
          <w:sz w:val="22"/>
        </w:rPr>
        <w:t> </w:t>
      </w:r>
      <w:r>
        <w:rPr>
          <w:sz w:val="22"/>
        </w:rPr>
        <w:t>for</w:t>
      </w:r>
      <w:r>
        <w:rPr>
          <w:spacing w:val="-2"/>
          <w:sz w:val="22"/>
        </w:rPr>
        <w:t> </w:t>
      </w:r>
      <w:r>
        <w:rPr>
          <w:sz w:val="22"/>
        </w:rPr>
        <w:t>this.</w:t>
      </w:r>
    </w:p>
    <w:p>
      <w:pPr>
        <w:pStyle w:val="ListParagraph"/>
        <w:numPr>
          <w:ilvl w:val="3"/>
          <w:numId w:val="14"/>
        </w:numPr>
        <w:tabs>
          <w:tab w:pos="1439" w:val="left" w:leader="none"/>
        </w:tabs>
        <w:spacing w:line="266" w:lineRule="auto" w:before="0" w:after="0"/>
        <w:ind w:left="1439" w:right="0" w:hanging="360"/>
        <w:jc w:val="both"/>
        <w:rPr>
          <w:sz w:val="22"/>
        </w:rPr>
      </w:pPr>
      <w:r>
        <w:rPr>
          <w:spacing w:val="-2"/>
          <w:sz w:val="22"/>
        </w:rPr>
        <w:t>There</w:t>
      </w:r>
      <w:r>
        <w:rPr>
          <w:spacing w:val="-10"/>
          <w:sz w:val="22"/>
        </w:rPr>
        <w:t> </w:t>
      </w:r>
      <w:r>
        <w:rPr>
          <w:spacing w:val="-2"/>
          <w:sz w:val="22"/>
        </w:rPr>
        <w:t>has</w:t>
      </w:r>
      <w:r>
        <w:rPr>
          <w:spacing w:val="-10"/>
          <w:sz w:val="22"/>
        </w:rPr>
        <w:t> </w:t>
      </w:r>
      <w:r>
        <w:rPr>
          <w:spacing w:val="-2"/>
          <w:sz w:val="22"/>
        </w:rPr>
        <w:t>to</w:t>
      </w:r>
      <w:r>
        <w:rPr>
          <w:spacing w:val="-10"/>
          <w:sz w:val="22"/>
        </w:rPr>
        <w:t> </w:t>
      </w:r>
      <w:r>
        <w:rPr>
          <w:spacing w:val="-2"/>
          <w:sz w:val="22"/>
        </w:rPr>
        <w:t>be</w:t>
      </w:r>
      <w:r>
        <w:rPr>
          <w:spacing w:val="-10"/>
          <w:sz w:val="22"/>
        </w:rPr>
        <w:t> </w:t>
      </w:r>
      <w:r>
        <w:rPr>
          <w:spacing w:val="-2"/>
          <w:sz w:val="22"/>
        </w:rPr>
        <w:t>greater</w:t>
      </w:r>
      <w:r>
        <w:rPr>
          <w:spacing w:val="-10"/>
          <w:sz w:val="22"/>
        </w:rPr>
        <w:t> </w:t>
      </w:r>
      <w:r>
        <w:rPr>
          <w:spacing w:val="-2"/>
          <w:sz w:val="22"/>
        </w:rPr>
        <w:t>flexibility</w:t>
      </w:r>
      <w:r>
        <w:rPr>
          <w:spacing w:val="-10"/>
          <w:sz w:val="22"/>
        </w:rPr>
        <w:t> </w:t>
      </w:r>
      <w:r>
        <w:rPr>
          <w:spacing w:val="-2"/>
          <w:sz w:val="22"/>
        </w:rPr>
        <w:t>in</w:t>
      </w:r>
      <w:r>
        <w:rPr>
          <w:spacing w:val="-10"/>
          <w:sz w:val="22"/>
        </w:rPr>
        <w:t> </w:t>
      </w:r>
      <w:r>
        <w:rPr>
          <w:spacing w:val="-2"/>
          <w:sz w:val="22"/>
        </w:rPr>
        <w:t>the</w:t>
      </w:r>
      <w:r>
        <w:rPr>
          <w:spacing w:val="-10"/>
          <w:sz w:val="22"/>
        </w:rPr>
        <w:t> </w:t>
      </w:r>
      <w:r>
        <w:rPr>
          <w:spacing w:val="-2"/>
          <w:sz w:val="22"/>
        </w:rPr>
        <w:t>modalities </w:t>
      </w:r>
      <w:r>
        <w:rPr>
          <w:spacing w:val="-6"/>
          <w:sz w:val="22"/>
        </w:rPr>
        <w:t>of</w:t>
      </w:r>
      <w:r>
        <w:rPr>
          <w:spacing w:val="-8"/>
          <w:sz w:val="22"/>
        </w:rPr>
        <w:t> </w:t>
      </w:r>
      <w:r>
        <w:rPr>
          <w:spacing w:val="-6"/>
          <w:sz w:val="22"/>
        </w:rPr>
        <w:t>teacher</w:t>
      </w:r>
      <w:r>
        <w:rPr>
          <w:spacing w:val="-8"/>
          <w:sz w:val="22"/>
        </w:rPr>
        <w:t> </w:t>
      </w:r>
      <w:r>
        <w:rPr>
          <w:spacing w:val="-6"/>
          <w:sz w:val="22"/>
        </w:rPr>
        <w:t>training.</w:t>
      </w:r>
      <w:r>
        <w:rPr>
          <w:spacing w:val="-8"/>
          <w:sz w:val="22"/>
        </w:rPr>
        <w:t> </w:t>
      </w:r>
      <w:r>
        <w:rPr>
          <w:spacing w:val="-6"/>
          <w:sz w:val="22"/>
        </w:rPr>
        <w:t>Diverse</w:t>
      </w:r>
      <w:r>
        <w:rPr>
          <w:spacing w:val="-7"/>
          <w:sz w:val="22"/>
        </w:rPr>
        <w:t> </w:t>
      </w:r>
      <w:r>
        <w:rPr>
          <w:spacing w:val="-6"/>
          <w:sz w:val="22"/>
        </w:rPr>
        <w:t>strategies</w:t>
      </w:r>
      <w:r>
        <w:rPr>
          <w:spacing w:val="-8"/>
          <w:sz w:val="22"/>
        </w:rPr>
        <w:t> </w:t>
      </w:r>
      <w:r>
        <w:rPr>
          <w:spacing w:val="-6"/>
          <w:sz w:val="22"/>
        </w:rPr>
        <w:t>such</w:t>
      </w:r>
      <w:r>
        <w:rPr>
          <w:spacing w:val="-8"/>
          <w:sz w:val="22"/>
        </w:rPr>
        <w:t> </w:t>
      </w:r>
      <w:r>
        <w:rPr>
          <w:spacing w:val="-6"/>
          <w:sz w:val="22"/>
        </w:rPr>
        <w:t>as</w:t>
      </w:r>
      <w:r>
        <w:rPr>
          <w:spacing w:val="-8"/>
          <w:sz w:val="22"/>
        </w:rPr>
        <w:t> </w:t>
      </w:r>
      <w:r>
        <w:rPr>
          <w:spacing w:val="-6"/>
          <w:sz w:val="22"/>
        </w:rPr>
        <w:t>greater </w:t>
      </w:r>
      <w:r>
        <w:rPr>
          <w:sz w:val="22"/>
        </w:rPr>
        <w:t>use of ICT, Visiting Trainers and empowering local trainers who would visit schools should be </w:t>
      </w:r>
      <w:r>
        <w:rPr>
          <w:spacing w:val="-2"/>
          <w:sz w:val="22"/>
        </w:rPr>
        <w:t>encouraged.</w:t>
      </w:r>
    </w:p>
    <w:p>
      <w:pPr>
        <w:pStyle w:val="ListParagraph"/>
        <w:numPr>
          <w:ilvl w:val="3"/>
          <w:numId w:val="14"/>
        </w:numPr>
        <w:tabs>
          <w:tab w:pos="1439" w:val="left" w:leader="none"/>
        </w:tabs>
        <w:spacing w:line="266" w:lineRule="auto" w:before="0" w:after="0"/>
        <w:ind w:left="1439" w:right="0" w:hanging="360"/>
        <w:jc w:val="both"/>
        <w:rPr>
          <w:sz w:val="22"/>
        </w:rPr>
      </w:pPr>
      <w:r>
        <w:rPr>
          <w:sz w:val="22"/>
        </w:rPr>
        <w:t>State-level</w:t>
      </w:r>
      <w:r>
        <w:rPr>
          <w:spacing w:val="-8"/>
          <w:sz w:val="22"/>
        </w:rPr>
        <w:t> </w:t>
      </w:r>
      <w:r>
        <w:rPr>
          <w:sz w:val="22"/>
        </w:rPr>
        <w:t>teacher</w:t>
      </w:r>
      <w:r>
        <w:rPr>
          <w:spacing w:val="-8"/>
          <w:sz w:val="22"/>
        </w:rPr>
        <w:t> </w:t>
      </w:r>
      <w:r>
        <w:rPr>
          <w:sz w:val="22"/>
        </w:rPr>
        <w:t>training</w:t>
      </w:r>
      <w:r>
        <w:rPr>
          <w:spacing w:val="-8"/>
          <w:sz w:val="22"/>
        </w:rPr>
        <w:t> </w:t>
      </w:r>
      <w:r>
        <w:rPr>
          <w:sz w:val="22"/>
        </w:rPr>
        <w:t>needs</w:t>
      </w:r>
      <w:r>
        <w:rPr>
          <w:spacing w:val="-8"/>
          <w:sz w:val="22"/>
        </w:rPr>
        <w:t> </w:t>
      </w:r>
      <w:r>
        <w:rPr>
          <w:sz w:val="22"/>
        </w:rPr>
        <w:t>to</w:t>
      </w:r>
      <w:r>
        <w:rPr>
          <w:spacing w:val="-8"/>
          <w:sz w:val="22"/>
        </w:rPr>
        <w:t> </w:t>
      </w:r>
      <w:r>
        <w:rPr>
          <w:sz w:val="22"/>
        </w:rPr>
        <w:t>be</w:t>
      </w:r>
      <w:r>
        <w:rPr>
          <w:spacing w:val="-8"/>
          <w:sz w:val="22"/>
        </w:rPr>
        <w:t> </w:t>
      </w:r>
      <w:r>
        <w:rPr>
          <w:sz w:val="22"/>
        </w:rPr>
        <w:t>revamped in</w:t>
      </w:r>
      <w:r>
        <w:rPr>
          <w:spacing w:val="40"/>
          <w:sz w:val="22"/>
        </w:rPr>
        <w:t> </w:t>
      </w:r>
      <w:r>
        <w:rPr>
          <w:sz w:val="22"/>
        </w:rPr>
        <w:t>most</w:t>
      </w:r>
      <w:r>
        <w:rPr>
          <w:spacing w:val="40"/>
          <w:sz w:val="22"/>
        </w:rPr>
        <w:t> </w:t>
      </w:r>
      <w:r>
        <w:rPr>
          <w:sz w:val="22"/>
        </w:rPr>
        <w:t>states.</w:t>
      </w:r>
      <w:r>
        <w:rPr>
          <w:spacing w:val="32"/>
          <w:sz w:val="22"/>
        </w:rPr>
        <w:t> </w:t>
      </w:r>
      <w:r>
        <w:rPr>
          <w:sz w:val="22"/>
        </w:rPr>
        <w:t>The</w:t>
      </w:r>
      <w:r>
        <w:rPr>
          <w:spacing w:val="40"/>
          <w:sz w:val="22"/>
        </w:rPr>
        <w:t> </w:t>
      </w:r>
      <w:r>
        <w:rPr>
          <w:sz w:val="22"/>
        </w:rPr>
        <w:t>system</w:t>
      </w:r>
      <w:r>
        <w:rPr>
          <w:spacing w:val="40"/>
          <w:sz w:val="22"/>
        </w:rPr>
        <w:t> </w:t>
      </w:r>
      <w:r>
        <w:rPr>
          <w:sz w:val="22"/>
        </w:rPr>
        <w:t>of</w:t>
      </w:r>
      <w:r>
        <w:rPr>
          <w:spacing w:val="40"/>
          <w:sz w:val="22"/>
        </w:rPr>
        <w:t> </w:t>
      </w:r>
      <w:r>
        <w:rPr>
          <w:sz w:val="22"/>
        </w:rPr>
        <w:t>DIETs</w:t>
      </w:r>
      <w:r>
        <w:rPr>
          <w:spacing w:val="40"/>
          <w:sz w:val="22"/>
        </w:rPr>
        <w:t> </w:t>
      </w:r>
      <w:r>
        <w:rPr>
          <w:sz w:val="22"/>
        </w:rPr>
        <w:t>needs</w:t>
      </w:r>
      <w:r>
        <w:rPr>
          <w:spacing w:val="40"/>
          <w:sz w:val="22"/>
        </w:rPr>
        <w:t> </w:t>
      </w:r>
      <w:r>
        <w:rPr>
          <w:sz w:val="22"/>
        </w:rPr>
        <w:t>to be</w:t>
      </w:r>
      <w:r>
        <w:rPr>
          <w:spacing w:val="24"/>
          <w:sz w:val="22"/>
        </w:rPr>
        <w:t> </w:t>
      </w:r>
      <w:r>
        <w:rPr>
          <w:sz w:val="22"/>
        </w:rPr>
        <w:t>restructured.</w:t>
      </w:r>
      <w:r>
        <w:rPr>
          <w:spacing w:val="24"/>
          <w:sz w:val="22"/>
        </w:rPr>
        <w:t> </w:t>
      </w:r>
      <w:r>
        <w:rPr>
          <w:sz w:val="22"/>
        </w:rPr>
        <w:t>In</w:t>
      </w:r>
      <w:r>
        <w:rPr>
          <w:spacing w:val="24"/>
          <w:sz w:val="22"/>
        </w:rPr>
        <w:t> </w:t>
      </w:r>
      <w:r>
        <w:rPr>
          <w:sz w:val="22"/>
        </w:rPr>
        <w:t>some</w:t>
      </w:r>
      <w:r>
        <w:rPr>
          <w:spacing w:val="24"/>
          <w:sz w:val="22"/>
        </w:rPr>
        <w:t> </w:t>
      </w:r>
      <w:r>
        <w:rPr>
          <w:sz w:val="22"/>
        </w:rPr>
        <w:t>smaller</w:t>
      </w:r>
      <w:r>
        <w:rPr>
          <w:spacing w:val="24"/>
          <w:sz w:val="22"/>
        </w:rPr>
        <w:t> </w:t>
      </w:r>
      <w:r>
        <w:rPr>
          <w:sz w:val="22"/>
        </w:rPr>
        <w:t>states,</w:t>
      </w:r>
      <w:r>
        <w:rPr>
          <w:spacing w:val="24"/>
          <w:sz w:val="22"/>
        </w:rPr>
        <w:t> </w:t>
      </w:r>
      <w:r>
        <w:rPr>
          <w:sz w:val="22"/>
        </w:rPr>
        <w:t>there</w:t>
      </w:r>
      <w:r>
        <w:rPr>
          <w:spacing w:val="24"/>
          <w:sz w:val="22"/>
        </w:rPr>
        <w:t> </w:t>
      </w:r>
      <w:r>
        <w:rPr>
          <w:sz w:val="22"/>
        </w:rPr>
        <w:t>is a strong case for one state-level institution for teacher training. In other states, the DIETs need </w:t>
      </w:r>
      <w:r>
        <w:rPr>
          <w:spacing w:val="-2"/>
          <w:sz w:val="22"/>
        </w:rPr>
        <w:t>to</w:t>
      </w:r>
      <w:r>
        <w:rPr>
          <w:spacing w:val="-12"/>
          <w:sz w:val="22"/>
        </w:rPr>
        <w:t> </w:t>
      </w:r>
      <w:r>
        <w:rPr>
          <w:spacing w:val="-2"/>
          <w:sz w:val="22"/>
        </w:rPr>
        <w:t>be</w:t>
      </w:r>
      <w:r>
        <w:rPr>
          <w:spacing w:val="-12"/>
          <w:sz w:val="22"/>
        </w:rPr>
        <w:t> </w:t>
      </w:r>
      <w:r>
        <w:rPr>
          <w:spacing w:val="-2"/>
          <w:sz w:val="22"/>
        </w:rPr>
        <w:t>strengthened</w:t>
      </w:r>
      <w:r>
        <w:rPr>
          <w:spacing w:val="-12"/>
          <w:sz w:val="22"/>
        </w:rPr>
        <w:t> </w:t>
      </w:r>
      <w:r>
        <w:rPr>
          <w:spacing w:val="-2"/>
          <w:sz w:val="22"/>
        </w:rPr>
        <w:t>and</w:t>
      </w:r>
      <w:r>
        <w:rPr>
          <w:spacing w:val="-11"/>
          <w:sz w:val="22"/>
        </w:rPr>
        <w:t> </w:t>
      </w:r>
      <w:r>
        <w:rPr>
          <w:spacing w:val="-2"/>
          <w:sz w:val="22"/>
        </w:rPr>
        <w:t>undergo</w:t>
      </w:r>
      <w:r>
        <w:rPr>
          <w:spacing w:val="-12"/>
          <w:sz w:val="22"/>
        </w:rPr>
        <w:t> </w:t>
      </w:r>
      <w:r>
        <w:rPr>
          <w:spacing w:val="-2"/>
          <w:sz w:val="22"/>
        </w:rPr>
        <w:t>structural</w:t>
      </w:r>
      <w:r>
        <w:rPr>
          <w:spacing w:val="-12"/>
          <w:sz w:val="22"/>
        </w:rPr>
        <w:t> </w:t>
      </w:r>
      <w:r>
        <w:rPr>
          <w:spacing w:val="-2"/>
          <w:sz w:val="22"/>
        </w:rPr>
        <w:t>changes. </w:t>
      </w:r>
      <w:r>
        <w:rPr>
          <w:sz w:val="22"/>
        </w:rPr>
        <w:t>The</w:t>
      </w:r>
      <w:r>
        <w:rPr>
          <w:spacing w:val="-8"/>
          <w:sz w:val="22"/>
        </w:rPr>
        <w:t> </w:t>
      </w:r>
      <w:r>
        <w:rPr>
          <w:sz w:val="22"/>
        </w:rPr>
        <w:t>faculty</w:t>
      </w:r>
      <w:r>
        <w:rPr>
          <w:spacing w:val="-8"/>
          <w:sz w:val="22"/>
        </w:rPr>
        <w:t> </w:t>
      </w:r>
      <w:r>
        <w:rPr>
          <w:sz w:val="22"/>
        </w:rPr>
        <w:t>of</w:t>
      </w:r>
      <w:r>
        <w:rPr>
          <w:spacing w:val="-8"/>
          <w:sz w:val="22"/>
        </w:rPr>
        <w:t> </w:t>
      </w:r>
      <w:r>
        <w:rPr>
          <w:sz w:val="22"/>
        </w:rPr>
        <w:t>SCERTs,</w:t>
      </w:r>
      <w:r>
        <w:rPr>
          <w:spacing w:val="-8"/>
          <w:sz w:val="22"/>
        </w:rPr>
        <w:t> </w:t>
      </w:r>
      <w:r>
        <w:rPr>
          <w:sz w:val="22"/>
        </w:rPr>
        <w:t>SIEs</w:t>
      </w:r>
      <w:r>
        <w:rPr>
          <w:spacing w:val="-8"/>
          <w:sz w:val="22"/>
        </w:rPr>
        <w:t> </w:t>
      </w:r>
      <w:r>
        <w:rPr>
          <w:sz w:val="22"/>
        </w:rPr>
        <w:t>and</w:t>
      </w:r>
      <w:r>
        <w:rPr>
          <w:spacing w:val="-8"/>
          <w:sz w:val="22"/>
        </w:rPr>
        <w:t> </w:t>
      </w:r>
      <w:r>
        <w:rPr>
          <w:sz w:val="22"/>
        </w:rPr>
        <w:t>DIETs</w:t>
      </w:r>
      <w:r>
        <w:rPr>
          <w:spacing w:val="-8"/>
          <w:sz w:val="22"/>
        </w:rPr>
        <w:t> </w:t>
      </w:r>
      <w:r>
        <w:rPr>
          <w:sz w:val="22"/>
        </w:rPr>
        <w:t>must</w:t>
      </w:r>
      <w:r>
        <w:rPr>
          <w:spacing w:val="-8"/>
          <w:sz w:val="22"/>
        </w:rPr>
        <w:t> </w:t>
      </w:r>
      <w:r>
        <w:rPr>
          <w:sz w:val="22"/>
        </w:rPr>
        <w:t>be </w:t>
      </w:r>
      <w:r>
        <w:rPr>
          <w:spacing w:val="-4"/>
          <w:sz w:val="22"/>
        </w:rPr>
        <w:t>expanded,</w:t>
      </w:r>
      <w:r>
        <w:rPr>
          <w:spacing w:val="-10"/>
          <w:sz w:val="22"/>
        </w:rPr>
        <w:t> </w:t>
      </w:r>
      <w:r>
        <w:rPr>
          <w:spacing w:val="-4"/>
          <w:sz w:val="22"/>
        </w:rPr>
        <w:t>and</w:t>
      </w:r>
      <w:r>
        <w:rPr>
          <w:spacing w:val="-10"/>
          <w:sz w:val="22"/>
        </w:rPr>
        <w:t> </w:t>
      </w:r>
      <w:r>
        <w:rPr>
          <w:spacing w:val="-4"/>
          <w:sz w:val="22"/>
        </w:rPr>
        <w:t>include</w:t>
      </w:r>
      <w:r>
        <w:rPr>
          <w:spacing w:val="-10"/>
          <w:sz w:val="22"/>
        </w:rPr>
        <w:t> </w:t>
      </w:r>
      <w:r>
        <w:rPr>
          <w:spacing w:val="-4"/>
          <w:sz w:val="22"/>
        </w:rPr>
        <w:t>experienced</w:t>
      </w:r>
      <w:r>
        <w:rPr>
          <w:spacing w:val="-9"/>
          <w:sz w:val="22"/>
        </w:rPr>
        <w:t> </w:t>
      </w:r>
      <w:r>
        <w:rPr>
          <w:spacing w:val="-4"/>
          <w:sz w:val="22"/>
        </w:rPr>
        <w:t>school</w:t>
      </w:r>
      <w:r>
        <w:rPr>
          <w:spacing w:val="-10"/>
          <w:sz w:val="22"/>
        </w:rPr>
        <w:t> </w:t>
      </w:r>
      <w:r>
        <w:rPr>
          <w:spacing w:val="-4"/>
          <w:sz w:val="22"/>
        </w:rPr>
        <w:t>teachers. </w:t>
      </w:r>
      <w:r>
        <w:rPr>
          <w:sz w:val="22"/>
        </w:rPr>
        <w:t>The use of contract teachers must be kept to a </w:t>
      </w:r>
      <w:r>
        <w:rPr>
          <w:spacing w:val="-2"/>
          <w:sz w:val="22"/>
        </w:rPr>
        <w:t>minimum.</w:t>
      </w:r>
      <w:r>
        <w:rPr>
          <w:spacing w:val="-8"/>
          <w:sz w:val="22"/>
        </w:rPr>
        <w:t> </w:t>
      </w:r>
      <w:r>
        <w:rPr>
          <w:spacing w:val="-2"/>
          <w:sz w:val="22"/>
        </w:rPr>
        <w:t>In</w:t>
      </w:r>
      <w:r>
        <w:rPr>
          <w:spacing w:val="-8"/>
          <w:sz w:val="22"/>
        </w:rPr>
        <w:t> </w:t>
      </w:r>
      <w:r>
        <w:rPr>
          <w:spacing w:val="-2"/>
          <w:sz w:val="22"/>
        </w:rPr>
        <w:t>addition,</w:t>
      </w:r>
      <w:r>
        <w:rPr>
          <w:spacing w:val="-8"/>
          <w:sz w:val="22"/>
        </w:rPr>
        <w:t> </w:t>
      </w:r>
      <w:r>
        <w:rPr>
          <w:spacing w:val="-2"/>
          <w:sz w:val="22"/>
        </w:rPr>
        <w:t>the</w:t>
      </w:r>
      <w:r>
        <w:rPr>
          <w:spacing w:val="-8"/>
          <w:sz w:val="22"/>
        </w:rPr>
        <w:t> </w:t>
      </w:r>
      <w:r>
        <w:rPr>
          <w:spacing w:val="-2"/>
          <w:sz w:val="22"/>
        </w:rPr>
        <w:t>link</w:t>
      </w:r>
      <w:r>
        <w:rPr>
          <w:spacing w:val="-8"/>
          <w:sz w:val="22"/>
        </w:rPr>
        <w:t> </w:t>
      </w:r>
      <w:r>
        <w:rPr>
          <w:spacing w:val="-2"/>
          <w:sz w:val="22"/>
        </w:rPr>
        <w:t>between</w:t>
      </w:r>
      <w:r>
        <w:rPr>
          <w:spacing w:val="-8"/>
          <w:sz w:val="22"/>
        </w:rPr>
        <w:t> </w:t>
      </w:r>
      <w:r>
        <w:rPr>
          <w:spacing w:val="-2"/>
          <w:sz w:val="22"/>
        </w:rPr>
        <w:t>university </w:t>
      </w:r>
      <w:r>
        <w:rPr>
          <w:sz w:val="22"/>
        </w:rPr>
        <w:t>departments and school teaching needs to be </w:t>
      </w:r>
      <w:r>
        <w:rPr>
          <w:spacing w:val="-2"/>
          <w:sz w:val="22"/>
        </w:rPr>
        <w:t>strengthened.</w:t>
      </w:r>
    </w:p>
    <w:p>
      <w:pPr>
        <w:pStyle w:val="ListParagraph"/>
        <w:numPr>
          <w:ilvl w:val="3"/>
          <w:numId w:val="14"/>
        </w:numPr>
        <w:tabs>
          <w:tab w:pos="1439" w:val="left" w:leader="none"/>
        </w:tabs>
        <w:spacing w:line="266" w:lineRule="auto" w:before="0" w:after="0"/>
        <w:ind w:left="1439" w:right="0" w:hanging="360"/>
        <w:jc w:val="both"/>
        <w:rPr>
          <w:sz w:val="22"/>
        </w:rPr>
      </w:pPr>
      <w:r>
        <w:rPr>
          <w:sz w:val="22"/>
        </w:rPr>
        <w:t>The</w:t>
      </w:r>
      <w:r>
        <w:rPr>
          <w:spacing w:val="40"/>
          <w:sz w:val="22"/>
        </w:rPr>
        <w:t> </w:t>
      </w:r>
      <w:r>
        <w:rPr>
          <w:sz w:val="22"/>
        </w:rPr>
        <w:t>administrative</w:t>
      </w:r>
      <w:r>
        <w:rPr>
          <w:spacing w:val="40"/>
          <w:sz w:val="22"/>
        </w:rPr>
        <w:t> </w:t>
      </w:r>
      <w:r>
        <w:rPr>
          <w:sz w:val="22"/>
        </w:rPr>
        <w:t>hierarchies</w:t>
      </w:r>
      <w:r>
        <w:rPr>
          <w:spacing w:val="40"/>
          <w:sz w:val="22"/>
        </w:rPr>
        <w:t> </w:t>
      </w:r>
      <w:r>
        <w:rPr>
          <w:sz w:val="22"/>
        </w:rPr>
        <w:t>within</w:t>
      </w:r>
      <w:r>
        <w:rPr>
          <w:spacing w:val="40"/>
          <w:sz w:val="22"/>
        </w:rPr>
        <w:t> </w:t>
      </w:r>
      <w:r>
        <w:rPr>
          <w:sz w:val="22"/>
        </w:rPr>
        <w:t>DIET and SCERT have to be restructured, so that</w:t>
      </w:r>
      <w:r>
        <w:rPr>
          <w:spacing w:val="80"/>
          <w:sz w:val="22"/>
        </w:rPr>
        <w:t> </w:t>
      </w:r>
      <w:r>
        <w:rPr>
          <w:sz w:val="22"/>
        </w:rPr>
        <w:t>there is a clear separation of personnel engaged in administrative and academic activities. (This distinction is currently blurred in most states.)</w:t>
      </w:r>
    </w:p>
    <w:p>
      <w:pPr>
        <w:pStyle w:val="ListParagraph"/>
        <w:numPr>
          <w:ilvl w:val="3"/>
          <w:numId w:val="14"/>
        </w:numPr>
        <w:tabs>
          <w:tab w:pos="1439" w:val="left" w:leader="none"/>
        </w:tabs>
        <w:spacing w:line="266" w:lineRule="auto" w:before="0" w:after="0"/>
        <w:ind w:left="1439" w:right="0" w:hanging="360"/>
        <w:jc w:val="both"/>
        <w:rPr>
          <w:sz w:val="22"/>
        </w:rPr>
      </w:pPr>
      <w:r>
        <w:rPr>
          <w:sz w:val="22"/>
        </w:rPr>
        <w:t>The</w:t>
      </w:r>
      <w:r>
        <w:rPr>
          <w:spacing w:val="-3"/>
          <w:sz w:val="22"/>
        </w:rPr>
        <w:t> </w:t>
      </w:r>
      <w:r>
        <w:rPr>
          <w:sz w:val="22"/>
        </w:rPr>
        <w:t>teacher</w:t>
      </w:r>
      <w:r>
        <w:rPr>
          <w:spacing w:val="-3"/>
          <w:sz w:val="22"/>
        </w:rPr>
        <w:t> </w:t>
      </w:r>
      <w:r>
        <w:rPr>
          <w:sz w:val="22"/>
        </w:rPr>
        <w:t>training</w:t>
      </w:r>
      <w:r>
        <w:rPr>
          <w:spacing w:val="-3"/>
          <w:sz w:val="22"/>
        </w:rPr>
        <w:t> </w:t>
      </w:r>
      <w:r>
        <w:rPr>
          <w:sz w:val="22"/>
        </w:rPr>
        <w:t>course</w:t>
      </w:r>
      <w:r>
        <w:rPr>
          <w:spacing w:val="-3"/>
          <w:sz w:val="22"/>
        </w:rPr>
        <w:t> </w:t>
      </w:r>
      <w:r>
        <w:rPr>
          <w:sz w:val="22"/>
        </w:rPr>
        <w:t>should</w:t>
      </w:r>
      <w:r>
        <w:rPr>
          <w:spacing w:val="-3"/>
          <w:sz w:val="22"/>
        </w:rPr>
        <w:t> </w:t>
      </w:r>
      <w:r>
        <w:rPr>
          <w:sz w:val="22"/>
        </w:rPr>
        <w:t>not</w:t>
      </w:r>
      <w:r>
        <w:rPr>
          <w:spacing w:val="-3"/>
          <w:sz w:val="22"/>
        </w:rPr>
        <w:t> </w:t>
      </w:r>
      <w:r>
        <w:rPr>
          <w:sz w:val="22"/>
        </w:rPr>
        <w:t>be</w:t>
      </w:r>
      <w:r>
        <w:rPr>
          <w:spacing w:val="-3"/>
          <w:sz w:val="22"/>
        </w:rPr>
        <w:t> </w:t>
      </w:r>
      <w:r>
        <w:rPr>
          <w:sz w:val="22"/>
        </w:rPr>
        <w:t>seen</w:t>
      </w:r>
      <w:r>
        <w:rPr>
          <w:spacing w:val="-3"/>
          <w:sz w:val="22"/>
        </w:rPr>
        <w:t> </w:t>
      </w:r>
      <w:r>
        <w:rPr>
          <w:sz w:val="22"/>
        </w:rPr>
        <w:t>in terms of a finite period of time, but as a process by which the quality of teaching and learning in the classroom can be regularly improved, in a </w:t>
      </w:r>
      <w:r>
        <w:rPr>
          <w:spacing w:val="-2"/>
          <w:sz w:val="22"/>
        </w:rPr>
        <w:t>context</w:t>
      </w:r>
      <w:r>
        <w:rPr>
          <w:spacing w:val="-11"/>
          <w:sz w:val="22"/>
        </w:rPr>
        <w:t> </w:t>
      </w:r>
      <w:r>
        <w:rPr>
          <w:spacing w:val="-2"/>
          <w:sz w:val="22"/>
        </w:rPr>
        <w:t>that</w:t>
      </w:r>
      <w:r>
        <w:rPr>
          <w:spacing w:val="-11"/>
          <w:sz w:val="22"/>
        </w:rPr>
        <w:t> </w:t>
      </w:r>
      <w:r>
        <w:rPr>
          <w:spacing w:val="-2"/>
          <w:sz w:val="22"/>
        </w:rPr>
        <w:t>fosters</w:t>
      </w:r>
      <w:r>
        <w:rPr>
          <w:spacing w:val="-11"/>
          <w:sz w:val="22"/>
        </w:rPr>
        <w:t> </w:t>
      </w:r>
      <w:r>
        <w:rPr>
          <w:spacing w:val="-2"/>
          <w:sz w:val="22"/>
        </w:rPr>
        <w:t>an</w:t>
      </w:r>
      <w:r>
        <w:rPr>
          <w:spacing w:val="-11"/>
          <w:sz w:val="22"/>
        </w:rPr>
        <w:t> </w:t>
      </w:r>
      <w:r>
        <w:rPr>
          <w:spacing w:val="-2"/>
          <w:sz w:val="22"/>
        </w:rPr>
        <w:t>attitude</w:t>
      </w:r>
      <w:r>
        <w:rPr>
          <w:spacing w:val="-11"/>
          <w:sz w:val="22"/>
        </w:rPr>
        <w:t> </w:t>
      </w:r>
      <w:r>
        <w:rPr>
          <w:spacing w:val="-2"/>
          <w:sz w:val="22"/>
        </w:rPr>
        <w:t>of</w:t>
      </w:r>
      <w:r>
        <w:rPr>
          <w:spacing w:val="-11"/>
          <w:sz w:val="22"/>
        </w:rPr>
        <w:t> </w:t>
      </w:r>
      <w:r>
        <w:rPr>
          <w:spacing w:val="-2"/>
          <w:sz w:val="22"/>
        </w:rPr>
        <w:t>lifelong</w:t>
      </w:r>
      <w:r>
        <w:rPr>
          <w:spacing w:val="-11"/>
          <w:sz w:val="22"/>
        </w:rPr>
        <w:t> </w:t>
      </w:r>
      <w:r>
        <w:rPr>
          <w:spacing w:val="-2"/>
          <w:sz w:val="22"/>
        </w:rPr>
        <w:t>learning. </w:t>
      </w:r>
      <w:r>
        <w:rPr>
          <w:spacing w:val="-8"/>
          <w:sz w:val="22"/>
        </w:rPr>
        <w:t>Therefore,</w:t>
      </w:r>
      <w:r>
        <w:rPr>
          <w:spacing w:val="-6"/>
          <w:sz w:val="22"/>
        </w:rPr>
        <w:t> </w:t>
      </w:r>
      <w:r>
        <w:rPr>
          <w:spacing w:val="-8"/>
          <w:sz w:val="22"/>
        </w:rPr>
        <w:t>there</w:t>
      </w:r>
      <w:r>
        <w:rPr>
          <w:spacing w:val="-6"/>
          <w:sz w:val="22"/>
        </w:rPr>
        <w:t> </w:t>
      </w:r>
      <w:r>
        <w:rPr>
          <w:spacing w:val="-8"/>
          <w:sz w:val="22"/>
        </w:rPr>
        <w:t>should</w:t>
      </w:r>
      <w:r>
        <w:rPr>
          <w:spacing w:val="-6"/>
          <w:sz w:val="22"/>
        </w:rPr>
        <w:t> </w:t>
      </w:r>
      <w:r>
        <w:rPr>
          <w:spacing w:val="-8"/>
          <w:sz w:val="22"/>
        </w:rPr>
        <w:t>be</w:t>
      </w:r>
      <w:r>
        <w:rPr>
          <w:spacing w:val="-5"/>
          <w:sz w:val="22"/>
        </w:rPr>
        <w:t> </w:t>
      </w:r>
      <w:r>
        <w:rPr>
          <w:spacing w:val="-8"/>
          <w:sz w:val="22"/>
        </w:rPr>
        <w:t>a</w:t>
      </w:r>
      <w:r>
        <w:rPr>
          <w:spacing w:val="-6"/>
          <w:sz w:val="22"/>
        </w:rPr>
        <w:t> </w:t>
      </w:r>
      <w:r>
        <w:rPr>
          <w:spacing w:val="-8"/>
          <w:sz w:val="22"/>
        </w:rPr>
        <w:t>mechanism</w:t>
      </w:r>
      <w:r>
        <w:rPr>
          <w:spacing w:val="-6"/>
          <w:sz w:val="22"/>
        </w:rPr>
        <w:t> </w:t>
      </w:r>
      <w:r>
        <w:rPr>
          <w:spacing w:val="-8"/>
          <w:sz w:val="22"/>
        </w:rPr>
        <w:t>for</w:t>
      </w:r>
      <w:r>
        <w:rPr>
          <w:spacing w:val="-6"/>
          <w:sz w:val="22"/>
        </w:rPr>
        <w:t> </w:t>
      </w:r>
      <w:r>
        <w:rPr>
          <w:spacing w:val="-8"/>
          <w:sz w:val="22"/>
        </w:rPr>
        <w:t>feedback </w:t>
      </w:r>
      <w:r>
        <w:rPr>
          <w:sz w:val="22"/>
        </w:rPr>
        <w:t>and subsequent interaction between teachers and the training institutes, especially for pedagogical </w:t>
      </w:r>
      <w:r>
        <w:rPr>
          <w:spacing w:val="-4"/>
          <w:sz w:val="22"/>
        </w:rPr>
        <w:t>techniques</w:t>
      </w:r>
      <w:r>
        <w:rPr>
          <w:spacing w:val="-7"/>
          <w:sz w:val="22"/>
        </w:rPr>
        <w:t> </w:t>
      </w:r>
      <w:r>
        <w:rPr>
          <w:spacing w:val="-4"/>
          <w:sz w:val="22"/>
        </w:rPr>
        <w:t>that</w:t>
      </w:r>
      <w:r>
        <w:rPr>
          <w:spacing w:val="-7"/>
          <w:sz w:val="22"/>
        </w:rPr>
        <w:t> </w:t>
      </w:r>
      <w:r>
        <w:rPr>
          <w:spacing w:val="-4"/>
          <w:sz w:val="22"/>
        </w:rPr>
        <w:t>are</w:t>
      </w:r>
      <w:r>
        <w:rPr>
          <w:spacing w:val="-7"/>
          <w:sz w:val="22"/>
        </w:rPr>
        <w:t> </w:t>
      </w:r>
      <w:r>
        <w:rPr>
          <w:spacing w:val="-4"/>
          <w:sz w:val="22"/>
        </w:rPr>
        <w:t>new</w:t>
      </w:r>
      <w:r>
        <w:rPr>
          <w:spacing w:val="-7"/>
          <w:sz w:val="22"/>
        </w:rPr>
        <w:t> </w:t>
      </w:r>
      <w:r>
        <w:rPr>
          <w:spacing w:val="-4"/>
          <w:sz w:val="22"/>
        </w:rPr>
        <w:t>or</w:t>
      </w:r>
      <w:r>
        <w:rPr>
          <w:spacing w:val="-7"/>
          <w:sz w:val="22"/>
        </w:rPr>
        <w:t> </w:t>
      </w:r>
      <w:r>
        <w:rPr>
          <w:spacing w:val="-4"/>
          <w:sz w:val="22"/>
        </w:rPr>
        <w:t>require</w:t>
      </w:r>
      <w:r>
        <w:rPr>
          <w:spacing w:val="-7"/>
          <w:sz w:val="22"/>
        </w:rPr>
        <w:t> </w:t>
      </w:r>
      <w:r>
        <w:rPr>
          <w:spacing w:val="-4"/>
          <w:sz w:val="22"/>
        </w:rPr>
        <w:t>more</w:t>
      </w:r>
      <w:r>
        <w:rPr>
          <w:spacing w:val="-7"/>
          <w:sz w:val="22"/>
        </w:rPr>
        <w:t> </w:t>
      </w:r>
      <w:r>
        <w:rPr>
          <w:spacing w:val="-4"/>
          <w:sz w:val="22"/>
        </w:rPr>
        <w:t>continuous </w:t>
      </w:r>
      <w:r>
        <w:rPr>
          <w:sz w:val="22"/>
        </w:rPr>
        <w:t>innovation from the teacher.</w:t>
      </w:r>
    </w:p>
    <w:p>
      <w:pPr>
        <w:pStyle w:val="ListParagraph"/>
        <w:numPr>
          <w:ilvl w:val="3"/>
          <w:numId w:val="14"/>
        </w:numPr>
        <w:tabs>
          <w:tab w:pos="1439" w:val="left" w:leader="none"/>
        </w:tabs>
        <w:spacing w:line="266" w:lineRule="auto" w:before="0" w:after="0"/>
        <w:ind w:left="1439" w:right="0" w:hanging="360"/>
        <w:jc w:val="both"/>
        <w:rPr>
          <w:sz w:val="22"/>
        </w:rPr>
      </w:pPr>
      <w:r>
        <w:rPr>
          <w:sz w:val="22"/>
        </w:rPr>
        <w:t>Currently in-service training is offered </w:t>
      </w:r>
      <w:r>
        <w:rPr>
          <w:sz w:val="22"/>
        </w:rPr>
        <w:t>through pre-determined</w:t>
      </w:r>
      <w:r>
        <w:rPr>
          <w:spacing w:val="-14"/>
          <w:sz w:val="22"/>
        </w:rPr>
        <w:t> </w:t>
      </w:r>
      <w:r>
        <w:rPr>
          <w:sz w:val="22"/>
        </w:rPr>
        <w:t>themes</w:t>
      </w:r>
      <w:r>
        <w:rPr>
          <w:spacing w:val="-14"/>
          <w:sz w:val="22"/>
        </w:rPr>
        <w:t> </w:t>
      </w:r>
      <w:r>
        <w:rPr>
          <w:sz w:val="22"/>
        </w:rPr>
        <w:t>which</w:t>
      </w:r>
      <w:r>
        <w:rPr>
          <w:spacing w:val="-14"/>
          <w:sz w:val="22"/>
        </w:rPr>
        <w:t> </w:t>
      </w:r>
      <w:r>
        <w:rPr>
          <w:sz w:val="22"/>
        </w:rPr>
        <w:t>trivialise</w:t>
      </w:r>
      <w:r>
        <w:rPr>
          <w:spacing w:val="-13"/>
          <w:sz w:val="22"/>
        </w:rPr>
        <w:t> </w:t>
      </w:r>
      <w:r>
        <w:rPr>
          <w:sz w:val="22"/>
        </w:rPr>
        <w:t>the</w:t>
      </w:r>
      <w:r>
        <w:rPr>
          <w:spacing w:val="-14"/>
          <w:sz w:val="22"/>
        </w:rPr>
        <w:t> </w:t>
      </w:r>
      <w:r>
        <w:rPr>
          <w:sz w:val="22"/>
        </w:rPr>
        <w:t>role</w:t>
      </w:r>
      <w:r>
        <w:rPr>
          <w:spacing w:val="-14"/>
          <w:sz w:val="22"/>
        </w:rPr>
        <w:t> </w:t>
      </w:r>
      <w:r>
        <w:rPr>
          <w:sz w:val="22"/>
        </w:rPr>
        <w:t>of personal meaning while upholding requirements dictated by educational reform agendas. Greater </w:t>
      </w:r>
      <w:r>
        <w:rPr>
          <w:spacing w:val="-2"/>
          <w:sz w:val="22"/>
        </w:rPr>
        <w:t>freedom</w:t>
      </w:r>
      <w:r>
        <w:rPr>
          <w:spacing w:val="-9"/>
          <w:sz w:val="22"/>
        </w:rPr>
        <w:t> </w:t>
      </w:r>
      <w:r>
        <w:rPr>
          <w:spacing w:val="-2"/>
          <w:sz w:val="22"/>
        </w:rPr>
        <w:t>of</w:t>
      </w:r>
      <w:r>
        <w:rPr>
          <w:spacing w:val="-9"/>
          <w:sz w:val="22"/>
        </w:rPr>
        <w:t> </w:t>
      </w:r>
      <w:r>
        <w:rPr>
          <w:spacing w:val="-2"/>
          <w:sz w:val="22"/>
        </w:rPr>
        <w:t>choice</w:t>
      </w:r>
      <w:r>
        <w:rPr>
          <w:spacing w:val="-9"/>
          <w:sz w:val="22"/>
        </w:rPr>
        <w:t> </w:t>
      </w:r>
      <w:r>
        <w:rPr>
          <w:spacing w:val="-2"/>
          <w:sz w:val="22"/>
        </w:rPr>
        <w:t>would</w:t>
      </w:r>
      <w:r>
        <w:rPr>
          <w:spacing w:val="-9"/>
          <w:sz w:val="22"/>
        </w:rPr>
        <w:t> </w:t>
      </w:r>
      <w:r>
        <w:rPr>
          <w:spacing w:val="-2"/>
          <w:sz w:val="22"/>
        </w:rPr>
        <w:t>help</w:t>
      </w:r>
      <w:r>
        <w:rPr>
          <w:spacing w:val="-9"/>
          <w:sz w:val="22"/>
        </w:rPr>
        <w:t> </w:t>
      </w:r>
      <w:r>
        <w:rPr>
          <w:spacing w:val="-2"/>
          <w:sz w:val="22"/>
        </w:rPr>
        <w:t>to</w:t>
      </w:r>
      <w:r>
        <w:rPr>
          <w:spacing w:val="-9"/>
          <w:sz w:val="22"/>
        </w:rPr>
        <w:t> </w:t>
      </w:r>
      <w:r>
        <w:rPr>
          <w:spacing w:val="-2"/>
          <w:sz w:val="22"/>
        </w:rPr>
        <w:t>increase</w:t>
      </w:r>
      <w:r>
        <w:rPr>
          <w:spacing w:val="-9"/>
          <w:sz w:val="22"/>
        </w:rPr>
        <w:t> </w:t>
      </w:r>
      <w:r>
        <w:rPr>
          <w:spacing w:val="-2"/>
          <w:sz w:val="22"/>
        </w:rPr>
        <w:t>personal </w:t>
      </w:r>
      <w:r>
        <w:rPr>
          <w:sz w:val="22"/>
        </w:rPr>
        <w:t>initiative and absorption of training inputs. NKC therefore,</w:t>
      </w:r>
      <w:r>
        <w:rPr>
          <w:spacing w:val="-8"/>
          <w:sz w:val="22"/>
        </w:rPr>
        <w:t> </w:t>
      </w:r>
      <w:r>
        <w:rPr>
          <w:sz w:val="22"/>
        </w:rPr>
        <w:t>suggests</w:t>
      </w:r>
      <w:r>
        <w:rPr>
          <w:spacing w:val="-8"/>
          <w:sz w:val="22"/>
        </w:rPr>
        <w:t> </w:t>
      </w:r>
      <w:r>
        <w:rPr>
          <w:sz w:val="22"/>
        </w:rPr>
        <w:t>the</w:t>
      </w:r>
      <w:r>
        <w:rPr>
          <w:spacing w:val="-8"/>
          <w:sz w:val="22"/>
        </w:rPr>
        <w:t> </w:t>
      </w:r>
      <w:r>
        <w:rPr>
          <w:sz w:val="22"/>
        </w:rPr>
        <w:t>provision</w:t>
      </w:r>
      <w:r>
        <w:rPr>
          <w:spacing w:val="-8"/>
          <w:sz w:val="22"/>
        </w:rPr>
        <w:t> </w:t>
      </w:r>
      <w:r>
        <w:rPr>
          <w:sz w:val="22"/>
        </w:rPr>
        <w:t>of</w:t>
      </w:r>
      <w:r>
        <w:rPr>
          <w:spacing w:val="-8"/>
          <w:sz w:val="22"/>
        </w:rPr>
        <w:t> </w:t>
      </w:r>
      <w:r>
        <w:rPr>
          <w:sz w:val="22"/>
        </w:rPr>
        <w:t>short</w:t>
      </w:r>
      <w:r>
        <w:rPr>
          <w:spacing w:val="-8"/>
          <w:sz w:val="22"/>
        </w:rPr>
        <w:t> </w:t>
      </w:r>
      <w:r>
        <w:rPr>
          <w:sz w:val="22"/>
        </w:rPr>
        <w:t>term</w:t>
      </w:r>
      <w:r>
        <w:rPr>
          <w:spacing w:val="-8"/>
          <w:sz w:val="22"/>
        </w:rPr>
        <w:t> </w:t>
      </w:r>
      <w:r>
        <w:rPr>
          <w:sz w:val="22"/>
        </w:rPr>
        <w:t>in- </w:t>
      </w:r>
      <w:r>
        <w:rPr>
          <w:spacing w:val="-4"/>
          <w:sz w:val="22"/>
        </w:rPr>
        <w:t>service</w:t>
      </w:r>
      <w:r>
        <w:rPr>
          <w:spacing w:val="-10"/>
          <w:sz w:val="22"/>
        </w:rPr>
        <w:t> </w:t>
      </w:r>
      <w:r>
        <w:rPr>
          <w:spacing w:val="-4"/>
          <w:sz w:val="22"/>
        </w:rPr>
        <w:t>courses</w:t>
      </w:r>
      <w:r>
        <w:rPr>
          <w:spacing w:val="-10"/>
          <w:sz w:val="22"/>
        </w:rPr>
        <w:t> </w:t>
      </w:r>
      <w:r>
        <w:rPr>
          <w:spacing w:val="-4"/>
          <w:sz w:val="22"/>
        </w:rPr>
        <w:t>(in</w:t>
      </w:r>
      <w:r>
        <w:rPr>
          <w:spacing w:val="-10"/>
          <w:sz w:val="22"/>
        </w:rPr>
        <w:t> </w:t>
      </w:r>
      <w:r>
        <w:rPr>
          <w:spacing w:val="-4"/>
          <w:sz w:val="22"/>
        </w:rPr>
        <w:t>both</w:t>
      </w:r>
      <w:r>
        <w:rPr>
          <w:spacing w:val="-9"/>
          <w:sz w:val="22"/>
        </w:rPr>
        <w:t> </w:t>
      </w:r>
      <w:r>
        <w:rPr>
          <w:spacing w:val="-4"/>
          <w:sz w:val="22"/>
        </w:rPr>
        <w:t>contact</w:t>
      </w:r>
      <w:r>
        <w:rPr>
          <w:spacing w:val="-10"/>
          <w:sz w:val="22"/>
        </w:rPr>
        <w:t> </w:t>
      </w:r>
      <w:r>
        <w:rPr>
          <w:spacing w:val="-4"/>
          <w:sz w:val="22"/>
        </w:rPr>
        <w:t>and</w:t>
      </w:r>
      <w:r>
        <w:rPr>
          <w:spacing w:val="-10"/>
          <w:sz w:val="22"/>
        </w:rPr>
        <w:t> </w:t>
      </w:r>
      <w:r>
        <w:rPr>
          <w:spacing w:val="-4"/>
          <w:sz w:val="22"/>
        </w:rPr>
        <w:t>distance</w:t>
      </w:r>
      <w:r>
        <w:rPr>
          <w:spacing w:val="-10"/>
          <w:sz w:val="22"/>
        </w:rPr>
        <w:t> </w:t>
      </w:r>
      <w:r>
        <w:rPr>
          <w:spacing w:val="-4"/>
          <w:sz w:val="22"/>
        </w:rPr>
        <w:t>mode) that</w:t>
      </w:r>
      <w:r>
        <w:rPr>
          <w:spacing w:val="-6"/>
          <w:sz w:val="22"/>
        </w:rPr>
        <w:t> </w:t>
      </w:r>
      <w:r>
        <w:rPr>
          <w:spacing w:val="-4"/>
          <w:sz w:val="22"/>
        </w:rPr>
        <w:t>teachers can choose from.</w:t>
      </w:r>
      <w:r>
        <w:rPr>
          <w:spacing w:val="-10"/>
          <w:sz w:val="22"/>
        </w:rPr>
        <w:t> </w:t>
      </w:r>
      <w:r>
        <w:rPr>
          <w:spacing w:val="-4"/>
          <w:sz w:val="22"/>
        </w:rPr>
        <w:t>These could include </w:t>
      </w:r>
      <w:r>
        <w:rPr>
          <w:sz w:val="22"/>
        </w:rPr>
        <w:t>courses developed outside the DIET/SCERT structure,</w:t>
      </w:r>
      <w:r>
        <w:rPr>
          <w:spacing w:val="-7"/>
          <w:sz w:val="22"/>
        </w:rPr>
        <w:t> </w:t>
      </w:r>
      <w:r>
        <w:rPr>
          <w:sz w:val="22"/>
        </w:rPr>
        <w:t>subject</w:t>
      </w:r>
      <w:r>
        <w:rPr>
          <w:spacing w:val="-7"/>
          <w:sz w:val="22"/>
        </w:rPr>
        <w:t> </w:t>
      </w:r>
      <w:r>
        <w:rPr>
          <w:sz w:val="22"/>
        </w:rPr>
        <w:t>to</w:t>
      </w:r>
      <w:r>
        <w:rPr>
          <w:spacing w:val="-7"/>
          <w:sz w:val="22"/>
        </w:rPr>
        <w:t> </w:t>
      </w:r>
      <w:r>
        <w:rPr>
          <w:sz w:val="22"/>
        </w:rPr>
        <w:t>a</w:t>
      </w:r>
      <w:r>
        <w:rPr>
          <w:spacing w:val="-8"/>
          <w:sz w:val="22"/>
        </w:rPr>
        <w:t> </w:t>
      </w:r>
      <w:r>
        <w:rPr>
          <w:sz w:val="22"/>
        </w:rPr>
        <w:t>thorough</w:t>
      </w:r>
      <w:r>
        <w:rPr>
          <w:spacing w:val="-7"/>
          <w:sz w:val="22"/>
        </w:rPr>
        <w:t> </w:t>
      </w:r>
      <w:r>
        <w:rPr>
          <w:sz w:val="22"/>
        </w:rPr>
        <w:t>review</w:t>
      </w:r>
      <w:r>
        <w:rPr>
          <w:spacing w:val="-7"/>
          <w:sz w:val="22"/>
        </w:rPr>
        <w:t> </w:t>
      </w:r>
      <w:r>
        <w:rPr>
          <w:sz w:val="22"/>
        </w:rPr>
        <w:t>of</w:t>
      </w:r>
      <w:r>
        <w:rPr>
          <w:spacing w:val="-7"/>
          <w:sz w:val="22"/>
        </w:rPr>
        <w:t> </w:t>
      </w:r>
      <w:r>
        <w:rPr>
          <w:sz w:val="22"/>
        </w:rPr>
        <w:t>quality.</w:t>
      </w:r>
    </w:p>
    <w:p>
      <w:pPr>
        <w:pStyle w:val="ListParagraph"/>
        <w:numPr>
          <w:ilvl w:val="3"/>
          <w:numId w:val="14"/>
        </w:numPr>
        <w:tabs>
          <w:tab w:pos="1439" w:val="left" w:leader="none"/>
        </w:tabs>
        <w:spacing w:line="266" w:lineRule="auto" w:before="0" w:after="0"/>
        <w:ind w:left="1439" w:right="0" w:hanging="360"/>
        <w:jc w:val="both"/>
        <w:rPr>
          <w:sz w:val="22"/>
        </w:rPr>
      </w:pPr>
      <w:r>
        <w:rPr>
          <w:spacing w:val="-2"/>
          <w:sz w:val="22"/>
        </w:rPr>
        <w:t>In</w:t>
      </w:r>
      <w:r>
        <w:rPr>
          <w:spacing w:val="-12"/>
          <w:sz w:val="22"/>
        </w:rPr>
        <w:t> </w:t>
      </w:r>
      <w:r>
        <w:rPr>
          <w:spacing w:val="-2"/>
          <w:sz w:val="22"/>
        </w:rPr>
        <w:t>addition</w:t>
      </w:r>
      <w:r>
        <w:rPr>
          <w:spacing w:val="-12"/>
          <w:sz w:val="22"/>
        </w:rPr>
        <w:t> </w:t>
      </w:r>
      <w:r>
        <w:rPr>
          <w:spacing w:val="-2"/>
          <w:sz w:val="22"/>
        </w:rPr>
        <w:t>to</w:t>
      </w:r>
      <w:r>
        <w:rPr>
          <w:spacing w:val="-12"/>
          <w:sz w:val="22"/>
        </w:rPr>
        <w:t> </w:t>
      </w:r>
      <w:r>
        <w:rPr>
          <w:spacing w:val="-2"/>
          <w:sz w:val="22"/>
        </w:rPr>
        <w:t>being</w:t>
      </w:r>
      <w:r>
        <w:rPr>
          <w:spacing w:val="-11"/>
          <w:sz w:val="22"/>
        </w:rPr>
        <w:t> </w:t>
      </w:r>
      <w:r>
        <w:rPr>
          <w:spacing w:val="-2"/>
          <w:sz w:val="22"/>
        </w:rPr>
        <w:t>made</w:t>
      </w:r>
      <w:r>
        <w:rPr>
          <w:spacing w:val="-12"/>
          <w:sz w:val="22"/>
        </w:rPr>
        <w:t> </w:t>
      </w:r>
      <w:r>
        <w:rPr>
          <w:spacing w:val="-2"/>
          <w:sz w:val="22"/>
        </w:rPr>
        <w:t>more</w:t>
      </w:r>
      <w:r>
        <w:rPr>
          <w:spacing w:val="-12"/>
          <w:sz w:val="22"/>
        </w:rPr>
        <w:t> </w:t>
      </w:r>
      <w:r>
        <w:rPr>
          <w:spacing w:val="-2"/>
          <w:sz w:val="22"/>
        </w:rPr>
        <w:t>flexible,</w:t>
      </w:r>
      <w:r>
        <w:rPr>
          <w:spacing w:val="-12"/>
          <w:sz w:val="22"/>
        </w:rPr>
        <w:t> </w:t>
      </w:r>
      <w:r>
        <w:rPr>
          <w:spacing w:val="-2"/>
          <w:sz w:val="22"/>
        </w:rPr>
        <w:t>in-service </w:t>
      </w:r>
      <w:r>
        <w:rPr>
          <w:sz w:val="22"/>
        </w:rPr>
        <w:t>teaching</w:t>
      </w:r>
      <w:r>
        <w:rPr>
          <w:spacing w:val="-14"/>
          <w:sz w:val="22"/>
        </w:rPr>
        <w:t> </w:t>
      </w:r>
      <w:r>
        <w:rPr>
          <w:sz w:val="22"/>
        </w:rPr>
        <w:t>courses</w:t>
      </w:r>
      <w:r>
        <w:rPr>
          <w:spacing w:val="-14"/>
          <w:sz w:val="22"/>
        </w:rPr>
        <w:t> </w:t>
      </w:r>
      <w:r>
        <w:rPr>
          <w:sz w:val="22"/>
        </w:rPr>
        <w:t>need</w:t>
      </w:r>
      <w:r>
        <w:rPr>
          <w:spacing w:val="-14"/>
          <w:sz w:val="22"/>
        </w:rPr>
        <w:t> </w:t>
      </w:r>
      <w:r>
        <w:rPr>
          <w:sz w:val="22"/>
        </w:rPr>
        <w:t>to</w:t>
      </w:r>
      <w:r>
        <w:rPr>
          <w:spacing w:val="-13"/>
          <w:sz w:val="22"/>
        </w:rPr>
        <w:t> </w:t>
      </w:r>
      <w:r>
        <w:rPr>
          <w:sz w:val="22"/>
        </w:rPr>
        <w:t>be</w:t>
      </w:r>
      <w:r>
        <w:rPr>
          <w:spacing w:val="-14"/>
          <w:sz w:val="22"/>
        </w:rPr>
        <w:t> </w:t>
      </w:r>
      <w:r>
        <w:rPr>
          <w:sz w:val="22"/>
        </w:rPr>
        <w:t>incentivised,</w:t>
      </w:r>
      <w:r>
        <w:rPr>
          <w:spacing w:val="-14"/>
          <w:sz w:val="22"/>
        </w:rPr>
        <w:t> </w:t>
      </w:r>
      <w:r>
        <w:rPr>
          <w:sz w:val="22"/>
        </w:rPr>
        <w:t>possibly by making attendance at and completion of such </w:t>
      </w:r>
      <w:r>
        <w:rPr>
          <w:spacing w:val="-4"/>
          <w:sz w:val="22"/>
        </w:rPr>
        <w:t>courses prerequisites to professional advancement.</w:t>
      </w:r>
    </w:p>
    <w:p>
      <w:pPr>
        <w:pStyle w:val="ListParagraph"/>
        <w:numPr>
          <w:ilvl w:val="2"/>
          <w:numId w:val="14"/>
        </w:numPr>
        <w:tabs>
          <w:tab w:pos="679" w:val="left" w:leader="none"/>
        </w:tabs>
        <w:spacing w:line="266" w:lineRule="auto" w:before="57" w:after="0"/>
        <w:ind w:left="679" w:right="1077" w:hanging="360"/>
        <w:jc w:val="both"/>
        <w:rPr>
          <w:sz w:val="22"/>
        </w:rPr>
      </w:pPr>
      <w:r>
        <w:rPr/>
        <w:br w:type="column"/>
      </w:r>
      <w:r>
        <w:rPr>
          <w:sz w:val="22"/>
        </w:rPr>
        <w:t>There is need for curricular reform in both pre- service and in-service teacher training. </w:t>
      </w:r>
      <w:r>
        <w:rPr>
          <w:sz w:val="22"/>
        </w:rPr>
        <w:t>The curriculum should be framed in ways that are </w:t>
      </w:r>
      <w:r>
        <w:rPr>
          <w:spacing w:val="-4"/>
          <w:sz w:val="22"/>
        </w:rPr>
        <w:t>directly</w:t>
      </w:r>
      <w:r>
        <w:rPr>
          <w:spacing w:val="-10"/>
          <w:sz w:val="22"/>
        </w:rPr>
        <w:t> </w:t>
      </w:r>
      <w:r>
        <w:rPr>
          <w:spacing w:val="-4"/>
          <w:sz w:val="22"/>
        </w:rPr>
        <w:t>relevant</w:t>
      </w:r>
      <w:r>
        <w:rPr>
          <w:spacing w:val="-10"/>
          <w:sz w:val="22"/>
        </w:rPr>
        <w:t> </w:t>
      </w:r>
      <w:r>
        <w:rPr>
          <w:spacing w:val="-4"/>
          <w:sz w:val="22"/>
        </w:rPr>
        <w:t>to</w:t>
      </w:r>
      <w:r>
        <w:rPr>
          <w:spacing w:val="-10"/>
          <w:sz w:val="22"/>
        </w:rPr>
        <w:t> </w:t>
      </w:r>
      <w:r>
        <w:rPr>
          <w:spacing w:val="-4"/>
          <w:sz w:val="22"/>
        </w:rPr>
        <w:t>teachers</w:t>
      </w:r>
      <w:r>
        <w:rPr>
          <w:spacing w:val="-9"/>
          <w:sz w:val="22"/>
        </w:rPr>
        <w:t> </w:t>
      </w:r>
      <w:r>
        <w:rPr>
          <w:spacing w:val="-4"/>
          <w:sz w:val="22"/>
        </w:rPr>
        <w:t>and</w:t>
      </w:r>
      <w:r>
        <w:rPr>
          <w:spacing w:val="-10"/>
          <w:sz w:val="22"/>
        </w:rPr>
        <w:t> </w:t>
      </w:r>
      <w:r>
        <w:rPr>
          <w:spacing w:val="-4"/>
          <w:sz w:val="22"/>
        </w:rPr>
        <w:t>the</w:t>
      </w:r>
      <w:r>
        <w:rPr>
          <w:spacing w:val="-10"/>
          <w:sz w:val="22"/>
        </w:rPr>
        <w:t> </w:t>
      </w:r>
      <w:r>
        <w:rPr>
          <w:spacing w:val="-4"/>
          <w:sz w:val="22"/>
        </w:rPr>
        <w:t>requirements</w:t>
      </w:r>
      <w:r>
        <w:rPr>
          <w:spacing w:val="-10"/>
          <w:sz w:val="22"/>
        </w:rPr>
        <w:t> </w:t>
      </w:r>
      <w:r>
        <w:rPr>
          <w:spacing w:val="-4"/>
          <w:sz w:val="22"/>
        </w:rPr>
        <w:t>of particular classroom situations, such as multi grade </w:t>
      </w:r>
      <w:r>
        <w:rPr>
          <w:spacing w:val="-2"/>
          <w:sz w:val="22"/>
        </w:rPr>
        <w:t>teaching,</w:t>
      </w:r>
      <w:r>
        <w:rPr>
          <w:spacing w:val="-6"/>
          <w:sz w:val="22"/>
        </w:rPr>
        <w:t> </w:t>
      </w:r>
      <w:r>
        <w:rPr>
          <w:spacing w:val="-2"/>
          <w:sz w:val="22"/>
        </w:rPr>
        <w:t>special</w:t>
      </w:r>
      <w:r>
        <w:rPr>
          <w:spacing w:val="-6"/>
          <w:sz w:val="22"/>
        </w:rPr>
        <w:t> </w:t>
      </w:r>
      <w:r>
        <w:rPr>
          <w:spacing w:val="-2"/>
          <w:sz w:val="22"/>
        </w:rPr>
        <w:t>needs</w:t>
      </w:r>
      <w:r>
        <w:rPr>
          <w:spacing w:val="-6"/>
          <w:sz w:val="22"/>
        </w:rPr>
        <w:t> </w:t>
      </w:r>
      <w:r>
        <w:rPr>
          <w:spacing w:val="-2"/>
          <w:sz w:val="22"/>
        </w:rPr>
        <w:t>of</w:t>
      </w:r>
      <w:r>
        <w:rPr>
          <w:spacing w:val="-6"/>
          <w:sz w:val="22"/>
        </w:rPr>
        <w:t> </w:t>
      </w:r>
      <w:r>
        <w:rPr>
          <w:spacing w:val="-2"/>
          <w:sz w:val="22"/>
        </w:rPr>
        <w:t>first-generation</w:t>
      </w:r>
      <w:r>
        <w:rPr>
          <w:spacing w:val="-6"/>
          <w:sz w:val="22"/>
        </w:rPr>
        <w:t> </w:t>
      </w:r>
      <w:r>
        <w:rPr>
          <w:spacing w:val="-2"/>
          <w:sz w:val="22"/>
        </w:rPr>
        <w:t>learners </w:t>
      </w:r>
      <w:r>
        <w:rPr>
          <w:sz w:val="22"/>
        </w:rPr>
        <w:t>etc. This means that curricula should be framed with</w:t>
      </w:r>
      <w:r>
        <w:rPr>
          <w:spacing w:val="-12"/>
          <w:sz w:val="22"/>
        </w:rPr>
        <w:t> </w:t>
      </w:r>
      <w:r>
        <w:rPr>
          <w:sz w:val="22"/>
        </w:rPr>
        <w:t>greater</w:t>
      </w:r>
      <w:r>
        <w:rPr>
          <w:spacing w:val="-12"/>
          <w:sz w:val="22"/>
        </w:rPr>
        <w:t> </w:t>
      </w:r>
      <w:r>
        <w:rPr>
          <w:sz w:val="22"/>
        </w:rPr>
        <w:t>inputs</w:t>
      </w:r>
      <w:r>
        <w:rPr>
          <w:spacing w:val="-12"/>
          <w:sz w:val="22"/>
        </w:rPr>
        <w:t> </w:t>
      </w:r>
      <w:r>
        <w:rPr>
          <w:sz w:val="22"/>
        </w:rPr>
        <w:t>from</w:t>
      </w:r>
      <w:r>
        <w:rPr>
          <w:spacing w:val="-12"/>
          <w:sz w:val="22"/>
        </w:rPr>
        <w:t> </w:t>
      </w:r>
      <w:r>
        <w:rPr>
          <w:sz w:val="22"/>
        </w:rPr>
        <w:t>teachers</w:t>
      </w:r>
      <w:r>
        <w:rPr>
          <w:spacing w:val="-12"/>
          <w:sz w:val="22"/>
        </w:rPr>
        <w:t> </w:t>
      </w:r>
      <w:r>
        <w:rPr>
          <w:sz w:val="22"/>
        </w:rPr>
        <w:t>themselves,</w:t>
      </w:r>
      <w:r>
        <w:rPr>
          <w:spacing w:val="-12"/>
          <w:sz w:val="22"/>
        </w:rPr>
        <w:t> </w:t>
      </w:r>
      <w:r>
        <w:rPr>
          <w:sz w:val="22"/>
        </w:rPr>
        <w:t>and their practical requirements in the classroom.</w:t>
      </w:r>
    </w:p>
    <w:p>
      <w:pPr>
        <w:pStyle w:val="ListParagraph"/>
        <w:numPr>
          <w:ilvl w:val="2"/>
          <w:numId w:val="14"/>
        </w:numPr>
        <w:tabs>
          <w:tab w:pos="679" w:val="left" w:leader="none"/>
        </w:tabs>
        <w:spacing w:line="266" w:lineRule="auto" w:before="0" w:after="0"/>
        <w:ind w:left="679" w:right="1077" w:hanging="360"/>
        <w:jc w:val="both"/>
        <w:rPr>
          <w:sz w:val="22"/>
        </w:rPr>
      </w:pPr>
      <w:r>
        <w:rPr>
          <w:sz w:val="22"/>
        </w:rPr>
        <w:t>ICT</w:t>
      </w:r>
      <w:r>
        <w:rPr>
          <w:spacing w:val="-5"/>
          <w:sz w:val="22"/>
        </w:rPr>
        <w:t> </w:t>
      </w:r>
      <w:r>
        <w:rPr>
          <w:sz w:val="22"/>
        </w:rPr>
        <w:t>must</w:t>
      </w:r>
      <w:r>
        <w:rPr>
          <w:spacing w:val="-5"/>
          <w:sz w:val="22"/>
        </w:rPr>
        <w:t> </w:t>
      </w:r>
      <w:r>
        <w:rPr>
          <w:sz w:val="22"/>
        </w:rPr>
        <w:t>be</w:t>
      </w:r>
      <w:r>
        <w:rPr>
          <w:spacing w:val="-5"/>
          <w:sz w:val="22"/>
        </w:rPr>
        <w:t> </w:t>
      </w:r>
      <w:r>
        <w:rPr>
          <w:sz w:val="22"/>
        </w:rPr>
        <w:t>incorporated</w:t>
      </w:r>
      <w:r>
        <w:rPr>
          <w:spacing w:val="-5"/>
          <w:sz w:val="22"/>
        </w:rPr>
        <w:t> </w:t>
      </w:r>
      <w:r>
        <w:rPr>
          <w:sz w:val="22"/>
        </w:rPr>
        <w:t>more</w:t>
      </w:r>
      <w:r>
        <w:rPr>
          <w:spacing w:val="-5"/>
          <w:sz w:val="22"/>
        </w:rPr>
        <w:t> </w:t>
      </w:r>
      <w:r>
        <w:rPr>
          <w:sz w:val="22"/>
        </w:rPr>
        <w:t>fully</w:t>
      </w:r>
      <w:r>
        <w:rPr>
          <w:spacing w:val="-5"/>
          <w:sz w:val="22"/>
        </w:rPr>
        <w:t> </w:t>
      </w:r>
      <w:r>
        <w:rPr>
          <w:sz w:val="22"/>
        </w:rPr>
        <w:t>into</w:t>
      </w:r>
      <w:r>
        <w:rPr>
          <w:spacing w:val="-5"/>
          <w:sz w:val="22"/>
        </w:rPr>
        <w:t> </w:t>
      </w:r>
      <w:r>
        <w:rPr>
          <w:sz w:val="22"/>
        </w:rPr>
        <w:t>teacher </w:t>
      </w:r>
      <w:r>
        <w:rPr>
          <w:spacing w:val="-4"/>
          <w:sz w:val="22"/>
        </w:rPr>
        <w:t>training</w:t>
      </w:r>
      <w:r>
        <w:rPr>
          <w:spacing w:val="-9"/>
          <w:sz w:val="22"/>
        </w:rPr>
        <w:t> </w:t>
      </w:r>
      <w:r>
        <w:rPr>
          <w:spacing w:val="-4"/>
          <w:sz w:val="22"/>
        </w:rPr>
        <w:t>programs,</w:t>
      </w:r>
      <w:r>
        <w:rPr>
          <w:spacing w:val="-9"/>
          <w:sz w:val="22"/>
        </w:rPr>
        <w:t> </w:t>
      </w:r>
      <w:r>
        <w:rPr>
          <w:spacing w:val="-4"/>
          <w:sz w:val="22"/>
        </w:rPr>
        <w:t>which</w:t>
      </w:r>
      <w:r>
        <w:rPr>
          <w:spacing w:val="-9"/>
          <w:sz w:val="22"/>
        </w:rPr>
        <w:t> </w:t>
      </w:r>
      <w:r>
        <w:rPr>
          <w:spacing w:val="-4"/>
          <w:sz w:val="22"/>
        </w:rPr>
        <w:t>in</w:t>
      </w:r>
      <w:r>
        <w:rPr>
          <w:spacing w:val="-9"/>
          <w:sz w:val="22"/>
        </w:rPr>
        <w:t> </w:t>
      </w:r>
      <w:r>
        <w:rPr>
          <w:spacing w:val="-4"/>
          <w:sz w:val="22"/>
        </w:rPr>
        <w:t>turn</w:t>
      </w:r>
      <w:r>
        <w:rPr>
          <w:spacing w:val="-9"/>
          <w:sz w:val="22"/>
        </w:rPr>
        <w:t> </w:t>
      </w:r>
      <w:r>
        <w:rPr>
          <w:spacing w:val="-4"/>
          <w:sz w:val="22"/>
        </w:rPr>
        <w:t>leads</w:t>
      </w:r>
      <w:r>
        <w:rPr>
          <w:spacing w:val="-9"/>
          <w:sz w:val="22"/>
        </w:rPr>
        <w:t> </w:t>
      </w:r>
      <w:r>
        <w:rPr>
          <w:spacing w:val="-4"/>
          <w:sz w:val="22"/>
        </w:rPr>
        <w:t>to</w:t>
      </w:r>
      <w:r>
        <w:rPr>
          <w:spacing w:val="-9"/>
          <w:sz w:val="22"/>
        </w:rPr>
        <w:t> </w:t>
      </w:r>
      <w:r>
        <w:rPr>
          <w:spacing w:val="-4"/>
          <w:sz w:val="22"/>
        </w:rPr>
        <w:t>ICT</w:t>
      </w:r>
      <w:r>
        <w:rPr>
          <w:spacing w:val="-9"/>
          <w:sz w:val="22"/>
        </w:rPr>
        <w:t> </w:t>
      </w:r>
      <w:r>
        <w:rPr>
          <w:spacing w:val="-4"/>
          <w:sz w:val="22"/>
        </w:rPr>
        <w:t>being </w:t>
      </w:r>
      <w:r>
        <w:rPr>
          <w:sz w:val="22"/>
        </w:rPr>
        <w:t>used more freely in the classroom.</w:t>
      </w:r>
    </w:p>
    <w:p>
      <w:pPr>
        <w:pStyle w:val="ListParagraph"/>
        <w:numPr>
          <w:ilvl w:val="2"/>
          <w:numId w:val="14"/>
        </w:numPr>
        <w:tabs>
          <w:tab w:pos="679" w:val="left" w:leader="none"/>
        </w:tabs>
        <w:spacing w:line="266" w:lineRule="auto" w:before="0" w:after="0"/>
        <w:ind w:left="679" w:right="1078" w:hanging="360"/>
        <w:jc w:val="both"/>
        <w:rPr>
          <w:sz w:val="22"/>
        </w:rPr>
      </w:pPr>
      <w:r>
        <w:rPr>
          <w:spacing w:val="-2"/>
          <w:sz w:val="22"/>
        </w:rPr>
        <w:t>It</w:t>
      </w:r>
      <w:r>
        <w:rPr>
          <w:spacing w:val="-8"/>
          <w:sz w:val="22"/>
        </w:rPr>
        <w:t> </w:t>
      </w:r>
      <w:r>
        <w:rPr>
          <w:spacing w:val="-2"/>
          <w:sz w:val="22"/>
        </w:rPr>
        <w:t>is</w:t>
      </w:r>
      <w:r>
        <w:rPr>
          <w:spacing w:val="-8"/>
          <w:sz w:val="22"/>
        </w:rPr>
        <w:t> </w:t>
      </w:r>
      <w:r>
        <w:rPr>
          <w:spacing w:val="-2"/>
          <w:sz w:val="22"/>
        </w:rPr>
        <w:t>necessary</w:t>
      </w:r>
      <w:r>
        <w:rPr>
          <w:spacing w:val="-8"/>
          <w:sz w:val="22"/>
        </w:rPr>
        <w:t> </w:t>
      </w:r>
      <w:r>
        <w:rPr>
          <w:spacing w:val="-2"/>
          <w:sz w:val="22"/>
        </w:rPr>
        <w:t>to</w:t>
      </w:r>
      <w:r>
        <w:rPr>
          <w:spacing w:val="-8"/>
          <w:sz w:val="22"/>
        </w:rPr>
        <w:t> </w:t>
      </w:r>
      <w:r>
        <w:rPr>
          <w:spacing w:val="-2"/>
          <w:sz w:val="22"/>
        </w:rPr>
        <w:t>develop</w:t>
      </w:r>
      <w:r>
        <w:rPr>
          <w:spacing w:val="-8"/>
          <w:sz w:val="22"/>
        </w:rPr>
        <w:t> </w:t>
      </w:r>
      <w:r>
        <w:rPr>
          <w:spacing w:val="-2"/>
          <w:sz w:val="22"/>
        </w:rPr>
        <w:t>content</w:t>
      </w:r>
      <w:r>
        <w:rPr>
          <w:spacing w:val="-8"/>
          <w:sz w:val="22"/>
        </w:rPr>
        <w:t> </w:t>
      </w:r>
      <w:r>
        <w:rPr>
          <w:spacing w:val="-2"/>
          <w:sz w:val="22"/>
        </w:rPr>
        <w:t>for</w:t>
      </w:r>
      <w:r>
        <w:rPr>
          <w:spacing w:val="-8"/>
          <w:sz w:val="22"/>
        </w:rPr>
        <w:t> </w:t>
      </w:r>
      <w:r>
        <w:rPr>
          <w:spacing w:val="-2"/>
          <w:sz w:val="22"/>
        </w:rPr>
        <w:t>and</w:t>
      </w:r>
      <w:r>
        <w:rPr>
          <w:spacing w:val="-8"/>
          <w:sz w:val="22"/>
        </w:rPr>
        <w:t> </w:t>
      </w:r>
      <w:r>
        <w:rPr>
          <w:spacing w:val="-2"/>
          <w:sz w:val="22"/>
        </w:rPr>
        <w:t>access</w:t>
      </w:r>
      <w:r>
        <w:rPr>
          <w:spacing w:val="-8"/>
          <w:sz w:val="22"/>
        </w:rPr>
        <w:t> </w:t>
      </w:r>
      <w:r>
        <w:rPr>
          <w:spacing w:val="-2"/>
          <w:sz w:val="22"/>
        </w:rPr>
        <w:t>to </w:t>
      </w:r>
      <w:r>
        <w:rPr>
          <w:sz w:val="22"/>
        </w:rPr>
        <w:t>open</w:t>
      </w:r>
      <w:r>
        <w:rPr>
          <w:spacing w:val="-1"/>
          <w:sz w:val="22"/>
        </w:rPr>
        <w:t> </w:t>
      </w:r>
      <w:r>
        <w:rPr>
          <w:sz w:val="22"/>
        </w:rPr>
        <w:t>educational</w:t>
      </w:r>
      <w:r>
        <w:rPr>
          <w:spacing w:val="-1"/>
          <w:sz w:val="22"/>
        </w:rPr>
        <w:t> </w:t>
      </w:r>
      <w:r>
        <w:rPr>
          <w:sz w:val="22"/>
        </w:rPr>
        <w:t>resources</w:t>
      </w:r>
      <w:r>
        <w:rPr>
          <w:spacing w:val="-1"/>
          <w:sz w:val="22"/>
        </w:rPr>
        <w:t> </w:t>
      </w:r>
      <w:r>
        <w:rPr>
          <w:sz w:val="22"/>
        </w:rPr>
        <w:t>for</w:t>
      </w:r>
      <w:r>
        <w:rPr>
          <w:spacing w:val="-1"/>
          <w:sz w:val="22"/>
        </w:rPr>
        <w:t> </w:t>
      </w:r>
      <w:r>
        <w:rPr>
          <w:sz w:val="22"/>
        </w:rPr>
        <w:t>teacher</w:t>
      </w:r>
      <w:r>
        <w:rPr>
          <w:spacing w:val="-1"/>
          <w:sz w:val="22"/>
        </w:rPr>
        <w:t> </w:t>
      </w:r>
      <w:r>
        <w:rPr>
          <w:sz w:val="22"/>
        </w:rPr>
        <w:t>training.</w:t>
      </w:r>
    </w:p>
    <w:p>
      <w:pPr>
        <w:pStyle w:val="Heading7"/>
        <w:numPr>
          <w:ilvl w:val="1"/>
          <w:numId w:val="14"/>
        </w:numPr>
        <w:tabs>
          <w:tab w:pos="717" w:val="left" w:leader="none"/>
        </w:tabs>
        <w:spacing w:line="225" w:lineRule="auto" w:before="246" w:after="0"/>
        <w:ind w:left="717" w:right="1443" w:hanging="398"/>
        <w:jc w:val="left"/>
      </w:pPr>
      <w:r>
        <w:rPr>
          <w:color w:val="2E614A"/>
          <w:spacing w:val="-10"/>
        </w:rPr>
        <w:t>It</w:t>
      </w:r>
      <w:r>
        <w:rPr>
          <w:color w:val="2E614A"/>
          <w:spacing w:val="-3"/>
        </w:rPr>
        <w:t> </w:t>
      </w:r>
      <w:r>
        <w:rPr>
          <w:color w:val="2E614A"/>
          <w:spacing w:val="-10"/>
        </w:rPr>
        <w:t>is</w:t>
      </w:r>
      <w:r>
        <w:rPr>
          <w:color w:val="2E614A"/>
          <w:spacing w:val="-3"/>
        </w:rPr>
        <w:t> </w:t>
      </w:r>
      <w:r>
        <w:rPr>
          <w:color w:val="2E614A"/>
          <w:spacing w:val="-10"/>
        </w:rPr>
        <w:t>important</w:t>
      </w:r>
      <w:r>
        <w:rPr>
          <w:color w:val="2E614A"/>
          <w:spacing w:val="-3"/>
        </w:rPr>
        <w:t> </w:t>
      </w:r>
      <w:r>
        <w:rPr>
          <w:color w:val="2E614A"/>
          <w:spacing w:val="-10"/>
        </w:rPr>
        <w:t>to</w:t>
      </w:r>
      <w:r>
        <w:rPr>
          <w:color w:val="2E614A"/>
          <w:spacing w:val="-3"/>
        </w:rPr>
        <w:t> </w:t>
      </w:r>
      <w:r>
        <w:rPr>
          <w:color w:val="2E614A"/>
          <w:spacing w:val="-10"/>
        </w:rPr>
        <w:t>develop</w:t>
      </w:r>
      <w:r>
        <w:rPr>
          <w:color w:val="2E614A"/>
          <w:spacing w:val="-3"/>
        </w:rPr>
        <w:t> </w:t>
      </w:r>
      <w:r>
        <w:rPr>
          <w:color w:val="2E614A"/>
          <w:spacing w:val="-10"/>
        </w:rPr>
        <w:t>and</w:t>
      </w:r>
      <w:r>
        <w:rPr>
          <w:color w:val="2E614A"/>
          <w:spacing w:val="-3"/>
        </w:rPr>
        <w:t> </w:t>
      </w:r>
      <w:r>
        <w:rPr>
          <w:color w:val="2E614A"/>
          <w:spacing w:val="-10"/>
        </w:rPr>
        <w:t>nurture </w:t>
      </w:r>
      <w:r>
        <w:rPr>
          <w:color w:val="2E614A"/>
          <w:spacing w:val="-2"/>
        </w:rPr>
        <w:t>leadership</w:t>
      </w:r>
      <w:r>
        <w:rPr>
          <w:color w:val="2E614A"/>
          <w:spacing w:val="-15"/>
        </w:rPr>
        <w:t> </w:t>
      </w:r>
      <w:r>
        <w:rPr>
          <w:color w:val="2E614A"/>
          <w:spacing w:val="-2"/>
        </w:rPr>
        <w:t>for</w:t>
      </w:r>
      <w:r>
        <w:rPr>
          <w:color w:val="2E614A"/>
          <w:spacing w:val="-14"/>
        </w:rPr>
        <w:t> </w:t>
      </w:r>
      <w:r>
        <w:rPr>
          <w:color w:val="2E614A"/>
          <w:spacing w:val="-2"/>
        </w:rPr>
        <w:t>managing</w:t>
      </w:r>
      <w:r>
        <w:rPr>
          <w:color w:val="2E614A"/>
          <w:spacing w:val="-14"/>
        </w:rPr>
        <w:t> </w:t>
      </w:r>
      <w:r>
        <w:rPr>
          <w:color w:val="2E614A"/>
          <w:spacing w:val="-2"/>
        </w:rPr>
        <w:t>schools.</w:t>
      </w:r>
    </w:p>
    <w:p>
      <w:pPr>
        <w:pStyle w:val="BodyText"/>
        <w:spacing w:before="2"/>
        <w:rPr>
          <w:b/>
          <w:sz w:val="26"/>
        </w:rPr>
      </w:pPr>
    </w:p>
    <w:p>
      <w:pPr>
        <w:pStyle w:val="BodyText"/>
        <w:spacing w:line="266" w:lineRule="auto"/>
        <w:ind w:left="319" w:right="1077"/>
        <w:jc w:val="both"/>
      </w:pPr>
      <w:r>
        <w:rPr/>
        <w:t>Even talented individuals who could be suitable for the</w:t>
      </w:r>
      <w:r>
        <w:rPr>
          <w:spacing w:val="-10"/>
        </w:rPr>
        <w:t> </w:t>
      </w:r>
      <w:r>
        <w:rPr/>
        <w:t>tasks</w:t>
      </w:r>
      <w:r>
        <w:rPr>
          <w:spacing w:val="-10"/>
        </w:rPr>
        <w:t> </w:t>
      </w:r>
      <w:r>
        <w:rPr/>
        <w:t>of</w:t>
      </w:r>
      <w:r>
        <w:rPr>
          <w:spacing w:val="-10"/>
        </w:rPr>
        <w:t> </w:t>
      </w:r>
      <w:r>
        <w:rPr/>
        <w:t>school</w:t>
      </w:r>
      <w:r>
        <w:rPr>
          <w:spacing w:val="-10"/>
        </w:rPr>
        <w:t> </w:t>
      </w:r>
      <w:r>
        <w:rPr/>
        <w:t>management</w:t>
      </w:r>
      <w:r>
        <w:rPr>
          <w:spacing w:val="-10"/>
        </w:rPr>
        <w:t> </w:t>
      </w:r>
      <w:r>
        <w:rPr/>
        <w:t>need</w:t>
      </w:r>
      <w:r>
        <w:rPr>
          <w:spacing w:val="-10"/>
        </w:rPr>
        <w:t> </w:t>
      </w:r>
      <w:r>
        <w:rPr/>
        <w:t>to</w:t>
      </w:r>
      <w:r>
        <w:rPr>
          <w:spacing w:val="-10"/>
        </w:rPr>
        <w:t> </w:t>
      </w:r>
      <w:r>
        <w:rPr/>
        <w:t>be</w:t>
      </w:r>
      <w:r>
        <w:rPr>
          <w:spacing w:val="-10"/>
        </w:rPr>
        <w:t> </w:t>
      </w:r>
      <w:r>
        <w:rPr/>
        <w:t>trained</w:t>
      </w:r>
      <w:r>
        <w:rPr>
          <w:spacing w:val="-10"/>
        </w:rPr>
        <w:t> </w:t>
      </w:r>
      <w:r>
        <w:rPr/>
        <w:t>for this purpose. Such capacity building would create a pool</w:t>
      </w:r>
      <w:r>
        <w:rPr>
          <w:spacing w:val="-14"/>
        </w:rPr>
        <w:t> </w:t>
      </w:r>
      <w:r>
        <w:rPr/>
        <w:t>of</w:t>
      </w:r>
      <w:r>
        <w:rPr>
          <w:spacing w:val="-14"/>
        </w:rPr>
        <w:t> </w:t>
      </w:r>
      <w:r>
        <w:rPr/>
        <w:t>potential</w:t>
      </w:r>
      <w:r>
        <w:rPr>
          <w:spacing w:val="-14"/>
        </w:rPr>
        <w:t> </w:t>
      </w:r>
      <w:r>
        <w:rPr/>
        <w:t>principals</w:t>
      </w:r>
      <w:r>
        <w:rPr>
          <w:spacing w:val="-13"/>
        </w:rPr>
        <w:t> </w:t>
      </w:r>
      <w:r>
        <w:rPr/>
        <w:t>or</w:t>
      </w:r>
      <w:r>
        <w:rPr>
          <w:spacing w:val="-14"/>
        </w:rPr>
        <w:t> </w:t>
      </w:r>
      <w:r>
        <w:rPr/>
        <w:t>heads.</w:t>
      </w:r>
      <w:r>
        <w:rPr>
          <w:spacing w:val="-14"/>
        </w:rPr>
        <w:t> </w:t>
      </w:r>
      <w:r>
        <w:rPr/>
        <w:t>There</w:t>
      </w:r>
      <w:r>
        <w:rPr>
          <w:spacing w:val="-14"/>
        </w:rPr>
        <w:t> </w:t>
      </w:r>
      <w:r>
        <w:rPr/>
        <w:t>are</w:t>
      </w:r>
      <w:r>
        <w:rPr>
          <w:spacing w:val="-13"/>
        </w:rPr>
        <w:t> </w:t>
      </w:r>
      <w:r>
        <w:rPr/>
        <w:t>several ways in which this can be done. State Governments could</w:t>
      </w:r>
      <w:r>
        <w:rPr>
          <w:spacing w:val="-14"/>
        </w:rPr>
        <w:t> </w:t>
      </w:r>
      <w:r>
        <w:rPr/>
        <w:t>assign</w:t>
      </w:r>
      <w:r>
        <w:rPr>
          <w:spacing w:val="-14"/>
        </w:rPr>
        <w:t> </w:t>
      </w:r>
      <w:r>
        <w:rPr/>
        <w:t>such</w:t>
      </w:r>
      <w:r>
        <w:rPr>
          <w:spacing w:val="-14"/>
        </w:rPr>
        <w:t> </w:t>
      </w:r>
      <w:r>
        <w:rPr/>
        <w:t>training</w:t>
      </w:r>
      <w:r>
        <w:rPr>
          <w:spacing w:val="-13"/>
        </w:rPr>
        <w:t> </w:t>
      </w:r>
      <w:r>
        <w:rPr/>
        <w:t>to</w:t>
      </w:r>
      <w:r>
        <w:rPr>
          <w:spacing w:val="-14"/>
        </w:rPr>
        <w:t> </w:t>
      </w:r>
      <w:r>
        <w:rPr/>
        <w:t>existing</w:t>
      </w:r>
      <w:r>
        <w:rPr>
          <w:spacing w:val="-14"/>
        </w:rPr>
        <w:t> </w:t>
      </w:r>
      <w:r>
        <w:rPr/>
        <w:t>institutions</w:t>
      </w:r>
      <w:r>
        <w:rPr>
          <w:spacing w:val="-14"/>
        </w:rPr>
        <w:t> </w:t>
      </w:r>
      <w:r>
        <w:rPr/>
        <w:t>such as</w:t>
      </w:r>
      <w:r>
        <w:rPr>
          <w:spacing w:val="-14"/>
        </w:rPr>
        <w:t> </w:t>
      </w:r>
      <w:r>
        <w:rPr/>
        <w:t>SCERTs</w:t>
      </w:r>
      <w:r>
        <w:rPr>
          <w:spacing w:val="-14"/>
        </w:rPr>
        <w:t> </w:t>
      </w:r>
      <w:r>
        <w:rPr/>
        <w:t>or</w:t>
      </w:r>
      <w:r>
        <w:rPr>
          <w:spacing w:val="-14"/>
        </w:rPr>
        <w:t> </w:t>
      </w:r>
      <w:r>
        <w:rPr/>
        <w:t>SIEs,</w:t>
      </w:r>
      <w:r>
        <w:rPr>
          <w:spacing w:val="-13"/>
        </w:rPr>
        <w:t> </w:t>
      </w:r>
      <w:r>
        <w:rPr/>
        <w:t>leveraging</w:t>
      </w:r>
      <w:r>
        <w:rPr>
          <w:spacing w:val="-14"/>
        </w:rPr>
        <w:t> </w:t>
      </w:r>
      <w:r>
        <w:rPr/>
        <w:t>the</w:t>
      </w:r>
      <w:r>
        <w:rPr>
          <w:spacing w:val="-14"/>
        </w:rPr>
        <w:t> </w:t>
      </w:r>
      <w:r>
        <w:rPr/>
        <w:t>expertise</w:t>
      </w:r>
      <w:r>
        <w:rPr>
          <w:spacing w:val="-14"/>
        </w:rPr>
        <w:t> </w:t>
      </w:r>
      <w:r>
        <w:rPr/>
        <w:t>available in</w:t>
      </w:r>
      <w:r>
        <w:rPr>
          <w:spacing w:val="-8"/>
        </w:rPr>
        <w:t> </w:t>
      </w:r>
      <w:r>
        <w:rPr/>
        <w:t>Navodaya</w:t>
      </w:r>
      <w:r>
        <w:rPr>
          <w:spacing w:val="-9"/>
        </w:rPr>
        <w:t> </w:t>
      </w:r>
      <w:r>
        <w:rPr/>
        <w:t>Vidyalayas,</w:t>
      </w:r>
      <w:r>
        <w:rPr>
          <w:spacing w:val="-8"/>
        </w:rPr>
        <w:t> </w:t>
      </w:r>
      <w:r>
        <w:rPr/>
        <w:t>Kendriya</w:t>
      </w:r>
      <w:r>
        <w:rPr>
          <w:spacing w:val="-9"/>
        </w:rPr>
        <w:t> </w:t>
      </w:r>
      <w:r>
        <w:rPr/>
        <w:t>Vidyalayas,</w:t>
      </w:r>
      <w:r>
        <w:rPr>
          <w:spacing w:val="-8"/>
        </w:rPr>
        <w:t> </w:t>
      </w:r>
      <w:r>
        <w:rPr/>
        <w:t>other </w:t>
      </w:r>
      <w:r>
        <w:rPr>
          <w:spacing w:val="-2"/>
        </w:rPr>
        <w:t>government</w:t>
      </w:r>
      <w:r>
        <w:rPr>
          <w:spacing w:val="-10"/>
        </w:rPr>
        <w:t> </w:t>
      </w:r>
      <w:r>
        <w:rPr>
          <w:spacing w:val="-2"/>
        </w:rPr>
        <w:t>schools</w:t>
      </w:r>
      <w:r>
        <w:rPr>
          <w:spacing w:val="-10"/>
        </w:rPr>
        <w:t> </w:t>
      </w:r>
      <w:r>
        <w:rPr>
          <w:spacing w:val="-2"/>
        </w:rPr>
        <w:t>and</w:t>
      </w:r>
      <w:r>
        <w:rPr>
          <w:spacing w:val="-10"/>
        </w:rPr>
        <w:t> </w:t>
      </w:r>
      <w:r>
        <w:rPr>
          <w:spacing w:val="-2"/>
        </w:rPr>
        <w:t>private</w:t>
      </w:r>
      <w:r>
        <w:rPr>
          <w:spacing w:val="-10"/>
        </w:rPr>
        <w:t> </w:t>
      </w:r>
      <w:r>
        <w:rPr>
          <w:spacing w:val="-2"/>
        </w:rPr>
        <w:t>schools.</w:t>
      </w:r>
      <w:r>
        <w:rPr>
          <w:spacing w:val="-10"/>
        </w:rPr>
        <w:t> </w:t>
      </w:r>
      <w:r>
        <w:rPr>
          <w:spacing w:val="-2"/>
        </w:rPr>
        <w:t>Such</w:t>
      </w:r>
      <w:r>
        <w:rPr>
          <w:spacing w:val="-10"/>
        </w:rPr>
        <w:t> </w:t>
      </w:r>
      <w:r>
        <w:rPr>
          <w:spacing w:val="-2"/>
        </w:rPr>
        <w:t>training </w:t>
      </w:r>
      <w:r>
        <w:rPr/>
        <w:t>programs,</w:t>
      </w:r>
      <w:r>
        <w:rPr>
          <w:spacing w:val="-10"/>
        </w:rPr>
        <w:t> </w:t>
      </w:r>
      <w:r>
        <w:rPr/>
        <w:t>as</w:t>
      </w:r>
      <w:r>
        <w:rPr>
          <w:spacing w:val="-10"/>
        </w:rPr>
        <w:t> </w:t>
      </w:r>
      <w:r>
        <w:rPr/>
        <w:t>well</w:t>
      </w:r>
      <w:r>
        <w:rPr>
          <w:spacing w:val="-10"/>
        </w:rPr>
        <w:t> </w:t>
      </w:r>
      <w:r>
        <w:rPr/>
        <w:t>as</w:t>
      </w:r>
      <w:r>
        <w:rPr>
          <w:spacing w:val="-10"/>
        </w:rPr>
        <w:t> </w:t>
      </w:r>
      <w:r>
        <w:rPr/>
        <w:t>re-training</w:t>
      </w:r>
      <w:r>
        <w:rPr>
          <w:spacing w:val="-10"/>
        </w:rPr>
        <w:t> </w:t>
      </w:r>
      <w:r>
        <w:rPr/>
        <w:t>programs</w:t>
      </w:r>
      <w:r>
        <w:rPr>
          <w:spacing w:val="-10"/>
        </w:rPr>
        <w:t> </w:t>
      </w:r>
      <w:r>
        <w:rPr/>
        <w:t>for</w:t>
      </w:r>
      <w:r>
        <w:rPr>
          <w:spacing w:val="-10"/>
        </w:rPr>
        <w:t> </w:t>
      </w:r>
      <w:r>
        <w:rPr/>
        <w:t>existing principals,</w:t>
      </w:r>
      <w:r>
        <w:rPr>
          <w:spacing w:val="-5"/>
        </w:rPr>
        <w:t> </w:t>
      </w:r>
      <w:r>
        <w:rPr/>
        <w:t>could</w:t>
      </w:r>
      <w:r>
        <w:rPr>
          <w:spacing w:val="-5"/>
        </w:rPr>
        <w:t> </w:t>
      </w:r>
      <w:r>
        <w:rPr/>
        <w:t>also</w:t>
      </w:r>
      <w:r>
        <w:rPr>
          <w:spacing w:val="-5"/>
        </w:rPr>
        <w:t> </w:t>
      </w:r>
      <w:r>
        <w:rPr/>
        <w:t>seek</w:t>
      </w:r>
      <w:r>
        <w:rPr>
          <w:spacing w:val="-5"/>
        </w:rPr>
        <w:t> </w:t>
      </w:r>
      <w:r>
        <w:rPr/>
        <w:t>the</w:t>
      </w:r>
      <w:r>
        <w:rPr>
          <w:spacing w:val="-5"/>
        </w:rPr>
        <w:t> </w:t>
      </w:r>
      <w:r>
        <w:rPr/>
        <w:t>expertise</w:t>
      </w:r>
      <w:r>
        <w:rPr>
          <w:spacing w:val="-5"/>
        </w:rPr>
        <w:t> </w:t>
      </w:r>
      <w:r>
        <w:rPr/>
        <w:t>of</w:t>
      </w:r>
      <w:r>
        <w:rPr>
          <w:spacing w:val="-5"/>
        </w:rPr>
        <w:t> </w:t>
      </w:r>
      <w:r>
        <w:rPr/>
        <w:t>specialists in</w:t>
      </w:r>
      <w:r>
        <w:rPr>
          <w:spacing w:val="-14"/>
        </w:rPr>
        <w:t> </w:t>
      </w:r>
      <w:r>
        <w:rPr/>
        <w:t>management</w:t>
      </w:r>
      <w:r>
        <w:rPr>
          <w:spacing w:val="-14"/>
        </w:rPr>
        <w:t> </w:t>
      </w:r>
      <w:r>
        <w:rPr/>
        <w:t>education.</w:t>
      </w:r>
      <w:r>
        <w:rPr>
          <w:spacing w:val="-14"/>
        </w:rPr>
        <w:t> </w:t>
      </w:r>
      <w:r>
        <w:rPr/>
        <w:t>Also,</w:t>
      </w:r>
      <w:r>
        <w:rPr>
          <w:spacing w:val="-13"/>
        </w:rPr>
        <w:t> </w:t>
      </w:r>
      <w:r>
        <w:rPr/>
        <w:t>individual</w:t>
      </w:r>
      <w:r>
        <w:rPr>
          <w:spacing w:val="-14"/>
        </w:rPr>
        <w:t> </w:t>
      </w:r>
      <w:r>
        <w:rPr/>
        <w:t>mentoring programs</w:t>
      </w:r>
      <w:r>
        <w:rPr>
          <w:spacing w:val="-11"/>
        </w:rPr>
        <w:t> </w:t>
      </w:r>
      <w:r>
        <w:rPr/>
        <w:t>for</w:t>
      </w:r>
      <w:r>
        <w:rPr>
          <w:spacing w:val="-11"/>
        </w:rPr>
        <w:t> </w:t>
      </w:r>
      <w:r>
        <w:rPr/>
        <w:t>school</w:t>
      </w:r>
      <w:r>
        <w:rPr>
          <w:spacing w:val="-11"/>
        </w:rPr>
        <w:t> </w:t>
      </w:r>
      <w:r>
        <w:rPr/>
        <w:t>leaders</w:t>
      </w:r>
      <w:r>
        <w:rPr>
          <w:spacing w:val="-11"/>
        </w:rPr>
        <w:t> </w:t>
      </w:r>
      <w:r>
        <w:rPr/>
        <w:t>could</w:t>
      </w:r>
      <w:r>
        <w:rPr>
          <w:spacing w:val="-11"/>
        </w:rPr>
        <w:t> </w:t>
      </w:r>
      <w:r>
        <w:rPr/>
        <w:t>be</w:t>
      </w:r>
      <w:r>
        <w:rPr>
          <w:spacing w:val="-11"/>
        </w:rPr>
        <w:t> </w:t>
      </w:r>
      <w:r>
        <w:rPr/>
        <w:t>evolved.</w:t>
      </w:r>
    </w:p>
    <w:p>
      <w:pPr>
        <w:pStyle w:val="Heading7"/>
        <w:numPr>
          <w:ilvl w:val="1"/>
          <w:numId w:val="14"/>
        </w:numPr>
        <w:tabs>
          <w:tab w:pos="859" w:val="left" w:leader="none"/>
        </w:tabs>
        <w:spacing w:line="225" w:lineRule="auto" w:before="247" w:after="0"/>
        <w:ind w:left="859" w:right="1314" w:hanging="540"/>
        <w:jc w:val="left"/>
      </w:pPr>
      <w:r>
        <w:rPr>
          <w:color w:val="2E614A"/>
          <w:spacing w:val="-2"/>
        </w:rPr>
        <w:t>The</w:t>
      </w:r>
      <w:r>
        <w:rPr>
          <w:color w:val="2E614A"/>
          <w:spacing w:val="-15"/>
        </w:rPr>
        <w:t> </w:t>
      </w:r>
      <w:r>
        <w:rPr>
          <w:color w:val="2E614A"/>
          <w:spacing w:val="-2"/>
        </w:rPr>
        <w:t>possibility</w:t>
      </w:r>
      <w:r>
        <w:rPr>
          <w:color w:val="2E614A"/>
          <w:spacing w:val="-14"/>
        </w:rPr>
        <w:t> </w:t>
      </w:r>
      <w:r>
        <w:rPr>
          <w:color w:val="2E614A"/>
          <w:spacing w:val="-2"/>
        </w:rPr>
        <w:t>of</w:t>
      </w:r>
      <w:r>
        <w:rPr>
          <w:color w:val="2E614A"/>
          <w:spacing w:val="-14"/>
        </w:rPr>
        <w:t> </w:t>
      </w:r>
      <w:r>
        <w:rPr>
          <w:color w:val="2E614A"/>
          <w:spacing w:val="-2"/>
        </w:rPr>
        <w:t>greater</w:t>
      </w:r>
      <w:r>
        <w:rPr>
          <w:color w:val="2E614A"/>
          <w:spacing w:val="-14"/>
        </w:rPr>
        <w:t> </w:t>
      </w:r>
      <w:r>
        <w:rPr>
          <w:color w:val="2E614A"/>
          <w:spacing w:val="-2"/>
        </w:rPr>
        <w:t>exchange </w:t>
      </w:r>
      <w:r>
        <w:rPr>
          <w:color w:val="2E614A"/>
          <w:spacing w:val="-8"/>
        </w:rPr>
        <w:t>between schools, including </w:t>
      </w:r>
      <w:r>
        <w:rPr>
          <w:color w:val="2E614A"/>
          <w:spacing w:val="-8"/>
        </w:rPr>
        <w:t>mentoring </w:t>
      </w:r>
      <w:r>
        <w:rPr>
          <w:color w:val="2E614A"/>
        </w:rPr>
        <w:t>of</w:t>
      </w:r>
      <w:r>
        <w:rPr>
          <w:color w:val="2E614A"/>
          <w:spacing w:val="-13"/>
        </w:rPr>
        <w:t> </w:t>
      </w:r>
      <w:r>
        <w:rPr>
          <w:color w:val="2E614A"/>
        </w:rPr>
        <w:t>one</w:t>
      </w:r>
      <w:r>
        <w:rPr>
          <w:color w:val="2E614A"/>
          <w:spacing w:val="-13"/>
        </w:rPr>
        <w:t> </w:t>
      </w:r>
      <w:r>
        <w:rPr>
          <w:color w:val="2E614A"/>
        </w:rPr>
        <w:t>school</w:t>
      </w:r>
      <w:r>
        <w:rPr>
          <w:color w:val="2E614A"/>
          <w:spacing w:val="-13"/>
        </w:rPr>
        <w:t> </w:t>
      </w:r>
      <w:r>
        <w:rPr>
          <w:color w:val="2E614A"/>
        </w:rPr>
        <w:t>by</w:t>
      </w:r>
      <w:r>
        <w:rPr>
          <w:color w:val="2E614A"/>
          <w:spacing w:val="-13"/>
        </w:rPr>
        <w:t> </w:t>
      </w:r>
      <w:r>
        <w:rPr>
          <w:color w:val="2E614A"/>
        </w:rPr>
        <w:t>another</w:t>
      </w:r>
      <w:r>
        <w:rPr>
          <w:color w:val="2E614A"/>
          <w:spacing w:val="-13"/>
        </w:rPr>
        <w:t> </w:t>
      </w:r>
      <w:r>
        <w:rPr>
          <w:color w:val="2E614A"/>
        </w:rPr>
        <w:t>should</w:t>
      </w:r>
      <w:r>
        <w:rPr>
          <w:color w:val="2E614A"/>
          <w:spacing w:val="-13"/>
        </w:rPr>
        <w:t> </w:t>
      </w:r>
      <w:r>
        <w:rPr>
          <w:color w:val="2E614A"/>
        </w:rPr>
        <w:t>be allowed</w:t>
      </w:r>
      <w:r>
        <w:rPr>
          <w:color w:val="2E614A"/>
          <w:spacing w:val="-17"/>
        </w:rPr>
        <w:t> </w:t>
      </w:r>
      <w:r>
        <w:rPr>
          <w:color w:val="2E614A"/>
        </w:rPr>
        <w:t>and</w:t>
      </w:r>
      <w:r>
        <w:rPr>
          <w:color w:val="2E614A"/>
          <w:spacing w:val="-16"/>
        </w:rPr>
        <w:t> </w:t>
      </w:r>
      <w:r>
        <w:rPr>
          <w:color w:val="2E614A"/>
        </w:rPr>
        <w:t>encouraged.</w:t>
      </w:r>
    </w:p>
    <w:p>
      <w:pPr>
        <w:pStyle w:val="BodyText"/>
        <w:spacing w:line="266" w:lineRule="auto" w:before="298"/>
        <w:ind w:left="319" w:right="1077"/>
        <w:jc w:val="both"/>
      </w:pPr>
      <w:r>
        <w:rPr/>
        <w:t>The current system creates many distinctions </w:t>
      </w:r>
      <w:r>
        <w:rPr/>
        <w:t>and prevents</w:t>
      </w:r>
      <w:r>
        <w:rPr>
          <w:spacing w:val="-4"/>
        </w:rPr>
        <w:t> </w:t>
      </w:r>
      <w:r>
        <w:rPr/>
        <w:t>interaction</w:t>
      </w:r>
      <w:r>
        <w:rPr>
          <w:spacing w:val="-4"/>
        </w:rPr>
        <w:t> </w:t>
      </w:r>
      <w:r>
        <w:rPr/>
        <w:t>between</w:t>
      </w:r>
      <w:r>
        <w:rPr>
          <w:spacing w:val="-4"/>
        </w:rPr>
        <w:t> </w:t>
      </w:r>
      <w:r>
        <w:rPr/>
        <w:t>schools.</w:t>
      </w:r>
      <w:r>
        <w:rPr>
          <w:spacing w:val="-10"/>
        </w:rPr>
        <w:t> </w:t>
      </w:r>
      <w:r>
        <w:rPr/>
        <w:t>There</w:t>
      </w:r>
      <w:r>
        <w:rPr>
          <w:spacing w:val="-4"/>
        </w:rPr>
        <w:t> </w:t>
      </w:r>
      <w:r>
        <w:rPr/>
        <w:t>is</w:t>
      </w:r>
      <w:r>
        <w:rPr>
          <w:spacing w:val="-4"/>
        </w:rPr>
        <w:t> </w:t>
      </w:r>
      <w:r>
        <w:rPr/>
        <w:t>a</w:t>
      </w:r>
      <w:r>
        <w:rPr>
          <w:spacing w:val="-4"/>
        </w:rPr>
        <w:t> </w:t>
      </w:r>
      <w:r>
        <w:rPr/>
        <w:t>need to</w:t>
      </w:r>
      <w:r>
        <w:rPr>
          <w:spacing w:val="-10"/>
        </w:rPr>
        <w:t> </w:t>
      </w:r>
      <w:r>
        <w:rPr/>
        <w:t>constitute</w:t>
      </w:r>
      <w:r>
        <w:rPr>
          <w:spacing w:val="-10"/>
        </w:rPr>
        <w:t> </w:t>
      </w:r>
      <w:r>
        <w:rPr/>
        <w:t>mechanisms</w:t>
      </w:r>
      <w:r>
        <w:rPr>
          <w:spacing w:val="-10"/>
        </w:rPr>
        <w:t> </w:t>
      </w:r>
      <w:r>
        <w:rPr/>
        <w:t>of</w:t>
      </w:r>
      <w:r>
        <w:rPr>
          <w:spacing w:val="-10"/>
        </w:rPr>
        <w:t> </w:t>
      </w:r>
      <w:r>
        <w:rPr/>
        <w:t>exchange</w:t>
      </w:r>
      <w:r>
        <w:rPr>
          <w:spacing w:val="-10"/>
        </w:rPr>
        <w:t> </w:t>
      </w:r>
      <w:r>
        <w:rPr/>
        <w:t>and</w:t>
      </w:r>
      <w:r>
        <w:rPr>
          <w:spacing w:val="-10"/>
        </w:rPr>
        <w:t> </w:t>
      </w:r>
      <w:r>
        <w:rPr/>
        <w:t>interaction between</w:t>
      </w:r>
      <w:r>
        <w:rPr>
          <w:spacing w:val="-9"/>
        </w:rPr>
        <w:t> </w:t>
      </w:r>
      <w:r>
        <w:rPr/>
        <w:t>students</w:t>
      </w:r>
      <w:r>
        <w:rPr>
          <w:spacing w:val="-9"/>
        </w:rPr>
        <w:t> </w:t>
      </w:r>
      <w:r>
        <w:rPr/>
        <w:t>and</w:t>
      </w:r>
      <w:r>
        <w:rPr>
          <w:spacing w:val="-9"/>
        </w:rPr>
        <w:t> </w:t>
      </w:r>
      <w:r>
        <w:rPr/>
        <w:t>teachers</w:t>
      </w:r>
      <w:r>
        <w:rPr>
          <w:spacing w:val="-9"/>
        </w:rPr>
        <w:t> </w:t>
      </w:r>
      <w:r>
        <w:rPr/>
        <w:t>of</w:t>
      </w:r>
      <w:r>
        <w:rPr>
          <w:spacing w:val="-9"/>
        </w:rPr>
        <w:t> </w:t>
      </w:r>
      <w:r>
        <w:rPr/>
        <w:t>different</w:t>
      </w:r>
      <w:r>
        <w:rPr>
          <w:spacing w:val="-9"/>
        </w:rPr>
        <w:t> </w:t>
      </w:r>
      <w:r>
        <w:rPr/>
        <w:t>schools.</w:t>
      </w:r>
      <w:r>
        <w:rPr>
          <w:spacing w:val="-9"/>
        </w:rPr>
        <w:t> </w:t>
      </w:r>
      <w:r>
        <w:rPr/>
        <w:t>In addition,</w:t>
      </w:r>
      <w:r>
        <w:rPr>
          <w:spacing w:val="-11"/>
        </w:rPr>
        <w:t> </w:t>
      </w:r>
      <w:r>
        <w:rPr/>
        <w:t>schools</w:t>
      </w:r>
      <w:r>
        <w:rPr>
          <w:spacing w:val="-11"/>
        </w:rPr>
        <w:t> </w:t>
      </w:r>
      <w:r>
        <w:rPr/>
        <w:t>that</w:t>
      </w:r>
      <w:r>
        <w:rPr>
          <w:spacing w:val="-11"/>
        </w:rPr>
        <w:t> </w:t>
      </w:r>
      <w:r>
        <w:rPr/>
        <w:t>wish</w:t>
      </w:r>
      <w:r>
        <w:rPr>
          <w:spacing w:val="-11"/>
        </w:rPr>
        <w:t> </w:t>
      </w:r>
      <w:r>
        <w:rPr/>
        <w:t>to</w:t>
      </w:r>
      <w:r>
        <w:rPr>
          <w:spacing w:val="-11"/>
        </w:rPr>
        <w:t> </w:t>
      </w:r>
      <w:r>
        <w:rPr/>
        <w:t>do</w:t>
      </w:r>
      <w:r>
        <w:rPr>
          <w:spacing w:val="-11"/>
        </w:rPr>
        <w:t> </w:t>
      </w:r>
      <w:r>
        <w:rPr/>
        <w:t>so</w:t>
      </w:r>
      <w:r>
        <w:rPr>
          <w:spacing w:val="-11"/>
        </w:rPr>
        <w:t> </w:t>
      </w:r>
      <w:r>
        <w:rPr/>
        <w:t>should</w:t>
      </w:r>
      <w:r>
        <w:rPr>
          <w:spacing w:val="-11"/>
        </w:rPr>
        <w:t> </w:t>
      </w:r>
      <w:r>
        <w:rPr/>
        <w:t>be</w:t>
      </w:r>
      <w:r>
        <w:rPr>
          <w:spacing w:val="-11"/>
        </w:rPr>
        <w:t> </w:t>
      </w:r>
      <w:r>
        <w:rPr/>
        <w:t>allowed to</w:t>
      </w:r>
      <w:r>
        <w:rPr>
          <w:spacing w:val="-4"/>
        </w:rPr>
        <w:t> </w:t>
      </w:r>
      <w:r>
        <w:rPr/>
        <w:t>exercise</w:t>
      </w:r>
      <w:r>
        <w:rPr>
          <w:spacing w:val="-4"/>
        </w:rPr>
        <w:t> </w:t>
      </w:r>
      <w:r>
        <w:rPr/>
        <w:t>the</w:t>
      </w:r>
      <w:r>
        <w:rPr>
          <w:spacing w:val="-4"/>
        </w:rPr>
        <w:t> </w:t>
      </w:r>
      <w:r>
        <w:rPr/>
        <w:t>option</w:t>
      </w:r>
      <w:r>
        <w:rPr>
          <w:spacing w:val="-4"/>
        </w:rPr>
        <w:t> </w:t>
      </w:r>
      <w:r>
        <w:rPr/>
        <w:t>of</w:t>
      </w:r>
      <w:r>
        <w:rPr>
          <w:spacing w:val="-4"/>
        </w:rPr>
        <w:t> </w:t>
      </w:r>
      <w:r>
        <w:rPr/>
        <w:t>being</w:t>
      </w:r>
      <w:r>
        <w:rPr>
          <w:spacing w:val="-4"/>
        </w:rPr>
        <w:t> </w:t>
      </w:r>
      <w:r>
        <w:rPr/>
        <w:t>‘mentored’</w:t>
      </w:r>
      <w:r>
        <w:rPr>
          <w:spacing w:val="-4"/>
        </w:rPr>
        <w:t> </w:t>
      </w:r>
      <w:r>
        <w:rPr/>
        <w:t>by</w:t>
      </w:r>
      <w:r>
        <w:rPr>
          <w:spacing w:val="-4"/>
        </w:rPr>
        <w:t> </w:t>
      </w:r>
      <w:r>
        <w:rPr/>
        <w:t>another school</w:t>
      </w:r>
      <w:r>
        <w:rPr>
          <w:spacing w:val="-4"/>
        </w:rPr>
        <w:t> </w:t>
      </w:r>
      <w:r>
        <w:rPr/>
        <w:t>to</w:t>
      </w:r>
      <w:r>
        <w:rPr>
          <w:spacing w:val="-4"/>
        </w:rPr>
        <w:t> </w:t>
      </w:r>
      <w:r>
        <w:rPr/>
        <w:t>improve</w:t>
      </w:r>
      <w:r>
        <w:rPr>
          <w:spacing w:val="-4"/>
        </w:rPr>
        <w:t> </w:t>
      </w:r>
      <w:r>
        <w:rPr/>
        <w:t>facilities</w:t>
      </w:r>
      <w:r>
        <w:rPr>
          <w:spacing w:val="-4"/>
        </w:rPr>
        <w:t> </w:t>
      </w:r>
      <w:r>
        <w:rPr/>
        <w:t>and</w:t>
      </w:r>
      <w:r>
        <w:rPr>
          <w:spacing w:val="-4"/>
        </w:rPr>
        <w:t> </w:t>
      </w:r>
      <w:r>
        <w:rPr/>
        <w:t>teaching</w:t>
      </w:r>
      <w:r>
        <w:rPr>
          <w:spacing w:val="-4"/>
        </w:rPr>
        <w:t> </w:t>
      </w:r>
      <w:r>
        <w:rPr/>
        <w:t>methods.</w:t>
      </w:r>
    </w:p>
    <w:p>
      <w:pPr>
        <w:pStyle w:val="Heading7"/>
        <w:numPr>
          <w:ilvl w:val="1"/>
          <w:numId w:val="14"/>
        </w:numPr>
        <w:tabs>
          <w:tab w:pos="849" w:val="left" w:leader="none"/>
        </w:tabs>
        <w:spacing w:line="225" w:lineRule="auto" w:before="252" w:after="0"/>
        <w:ind w:left="849" w:right="1094" w:hanging="531"/>
        <w:jc w:val="left"/>
      </w:pPr>
      <w:r>
        <w:rPr>
          <w:color w:val="2E614A"/>
          <w:spacing w:val="-4"/>
        </w:rPr>
        <w:t>Curriculum</w:t>
      </w:r>
      <w:r>
        <w:rPr>
          <w:color w:val="2E614A"/>
          <w:spacing w:val="-13"/>
        </w:rPr>
        <w:t> </w:t>
      </w:r>
      <w:r>
        <w:rPr>
          <w:color w:val="2E614A"/>
          <w:spacing w:val="-4"/>
        </w:rPr>
        <w:t>reform</w:t>
      </w:r>
      <w:r>
        <w:rPr>
          <w:color w:val="2E614A"/>
          <w:spacing w:val="-12"/>
        </w:rPr>
        <w:t> </w:t>
      </w:r>
      <w:r>
        <w:rPr>
          <w:color w:val="2E614A"/>
          <w:spacing w:val="-4"/>
        </w:rPr>
        <w:t>remains</w:t>
      </w:r>
      <w:r>
        <w:rPr>
          <w:color w:val="2E614A"/>
          <w:spacing w:val="-12"/>
        </w:rPr>
        <w:t> </w:t>
      </w:r>
      <w:r>
        <w:rPr>
          <w:color w:val="2E614A"/>
          <w:spacing w:val="-4"/>
        </w:rPr>
        <w:t>an </w:t>
      </w:r>
      <w:r>
        <w:rPr>
          <w:color w:val="2E614A"/>
        </w:rPr>
        <w:t>important</w:t>
      </w:r>
      <w:r>
        <w:rPr>
          <w:color w:val="2E614A"/>
          <w:spacing w:val="-17"/>
        </w:rPr>
        <w:t> </w:t>
      </w:r>
      <w:r>
        <w:rPr>
          <w:color w:val="2E614A"/>
        </w:rPr>
        <w:t>issue</w:t>
      </w:r>
      <w:r>
        <w:rPr>
          <w:color w:val="2E614A"/>
          <w:spacing w:val="-16"/>
        </w:rPr>
        <w:t> </w:t>
      </w:r>
      <w:r>
        <w:rPr>
          <w:color w:val="2E614A"/>
        </w:rPr>
        <w:t>in</w:t>
      </w:r>
      <w:r>
        <w:rPr>
          <w:color w:val="2E614A"/>
          <w:spacing w:val="-16"/>
        </w:rPr>
        <w:t> </w:t>
      </w:r>
      <w:r>
        <w:rPr>
          <w:color w:val="2E614A"/>
        </w:rPr>
        <w:t>almost</w:t>
      </w:r>
      <w:r>
        <w:rPr>
          <w:color w:val="2E614A"/>
          <w:spacing w:val="-16"/>
        </w:rPr>
        <w:t> </w:t>
      </w:r>
      <w:r>
        <w:rPr>
          <w:color w:val="2E614A"/>
        </w:rPr>
        <w:t>all</w:t>
      </w:r>
      <w:r>
        <w:rPr>
          <w:color w:val="2E614A"/>
          <w:spacing w:val="-17"/>
        </w:rPr>
        <w:t> </w:t>
      </w:r>
      <w:r>
        <w:rPr>
          <w:color w:val="2E614A"/>
        </w:rPr>
        <w:t>schools. School</w:t>
      </w:r>
      <w:r>
        <w:rPr>
          <w:color w:val="2E614A"/>
          <w:spacing w:val="-17"/>
        </w:rPr>
        <w:t> </w:t>
      </w:r>
      <w:r>
        <w:rPr>
          <w:color w:val="2E614A"/>
        </w:rPr>
        <w:t>education</w:t>
      </w:r>
      <w:r>
        <w:rPr>
          <w:color w:val="2E614A"/>
          <w:spacing w:val="-16"/>
        </w:rPr>
        <w:t> </w:t>
      </w:r>
      <w:r>
        <w:rPr>
          <w:color w:val="2E614A"/>
        </w:rPr>
        <w:t>must</w:t>
      </w:r>
      <w:r>
        <w:rPr>
          <w:color w:val="2E614A"/>
          <w:spacing w:val="-16"/>
        </w:rPr>
        <w:t> </w:t>
      </w:r>
      <w:r>
        <w:rPr>
          <w:color w:val="2E614A"/>
        </w:rPr>
        <w:t>be</w:t>
      </w:r>
      <w:r>
        <w:rPr>
          <w:color w:val="2E614A"/>
          <w:spacing w:val="-16"/>
        </w:rPr>
        <w:t> </w:t>
      </w:r>
      <w:r>
        <w:rPr>
          <w:color w:val="2E614A"/>
        </w:rPr>
        <w:t>made</w:t>
      </w:r>
      <w:r>
        <w:rPr>
          <w:color w:val="2E614A"/>
          <w:spacing w:val="-17"/>
        </w:rPr>
        <w:t> </w:t>
      </w:r>
      <w:r>
        <w:rPr>
          <w:color w:val="2E614A"/>
        </w:rPr>
        <w:t>more </w:t>
      </w:r>
      <w:r>
        <w:rPr>
          <w:color w:val="2E614A"/>
          <w:spacing w:val="-8"/>
        </w:rPr>
        <w:t>relevant</w:t>
      </w:r>
      <w:r>
        <w:rPr>
          <w:color w:val="2E614A"/>
          <w:spacing w:val="-9"/>
        </w:rPr>
        <w:t> </w:t>
      </w:r>
      <w:r>
        <w:rPr>
          <w:color w:val="2E614A"/>
          <w:spacing w:val="-8"/>
        </w:rPr>
        <w:t>to the lives of</w:t>
      </w:r>
      <w:r>
        <w:rPr>
          <w:color w:val="2E614A"/>
          <w:spacing w:val="-9"/>
        </w:rPr>
        <w:t> </w:t>
      </w:r>
      <w:r>
        <w:rPr>
          <w:color w:val="2E614A"/>
          <w:spacing w:val="-8"/>
        </w:rPr>
        <w:t>children. There </w:t>
      </w:r>
      <w:r>
        <w:rPr>
          <w:color w:val="2E614A"/>
          <w:spacing w:val="-8"/>
        </w:rPr>
        <w:t>is </w:t>
      </w:r>
      <w:r>
        <w:rPr>
          <w:color w:val="2E614A"/>
          <w:spacing w:val="-2"/>
        </w:rPr>
        <w:t>need</w:t>
      </w:r>
      <w:r>
        <w:rPr>
          <w:color w:val="2E614A"/>
          <w:spacing w:val="-15"/>
        </w:rPr>
        <w:t> </w:t>
      </w:r>
      <w:r>
        <w:rPr>
          <w:color w:val="2E614A"/>
          <w:spacing w:val="-2"/>
        </w:rPr>
        <w:t>to</w:t>
      </w:r>
      <w:r>
        <w:rPr>
          <w:color w:val="2E614A"/>
          <w:spacing w:val="-14"/>
        </w:rPr>
        <w:t> </w:t>
      </w:r>
      <w:r>
        <w:rPr>
          <w:color w:val="2E614A"/>
          <w:spacing w:val="-2"/>
        </w:rPr>
        <w:t>move</w:t>
      </w:r>
      <w:r>
        <w:rPr>
          <w:color w:val="2E614A"/>
          <w:spacing w:val="-14"/>
        </w:rPr>
        <w:t> </w:t>
      </w:r>
      <w:r>
        <w:rPr>
          <w:color w:val="2E614A"/>
          <w:spacing w:val="-2"/>
        </w:rPr>
        <w:t>away</w:t>
      </w:r>
      <w:r>
        <w:rPr>
          <w:color w:val="2E614A"/>
          <w:spacing w:val="-14"/>
        </w:rPr>
        <w:t> </w:t>
      </w:r>
      <w:r>
        <w:rPr>
          <w:color w:val="2E614A"/>
          <w:spacing w:val="-2"/>
        </w:rPr>
        <w:t>from</w:t>
      </w:r>
      <w:r>
        <w:rPr>
          <w:color w:val="2E614A"/>
          <w:spacing w:val="-15"/>
        </w:rPr>
        <w:t> </w:t>
      </w:r>
      <w:r>
        <w:rPr>
          <w:color w:val="2E614A"/>
          <w:spacing w:val="-2"/>
        </w:rPr>
        <w:t>rote-learning </w:t>
      </w:r>
      <w:r>
        <w:rPr>
          <w:color w:val="2E614A"/>
        </w:rPr>
        <w:t>to</w:t>
      </w:r>
      <w:r>
        <w:rPr>
          <w:color w:val="2E614A"/>
          <w:spacing w:val="-17"/>
        </w:rPr>
        <w:t> </w:t>
      </w:r>
      <w:r>
        <w:rPr>
          <w:color w:val="2E614A"/>
        </w:rPr>
        <w:t>understanding</w:t>
      </w:r>
      <w:r>
        <w:rPr>
          <w:color w:val="2E614A"/>
          <w:spacing w:val="-16"/>
        </w:rPr>
        <w:t> </w:t>
      </w:r>
      <w:r>
        <w:rPr>
          <w:color w:val="2E614A"/>
        </w:rPr>
        <w:t>concepts,</w:t>
      </w:r>
      <w:r>
        <w:rPr>
          <w:color w:val="2E614A"/>
          <w:spacing w:val="-16"/>
        </w:rPr>
        <w:t> </w:t>
      </w:r>
      <w:r>
        <w:rPr>
          <w:color w:val="2E614A"/>
        </w:rPr>
        <w:t>good </w:t>
      </w:r>
      <w:r>
        <w:rPr>
          <w:color w:val="2E614A"/>
          <w:spacing w:val="-2"/>
        </w:rPr>
        <w:t>comprehension</w:t>
      </w:r>
      <w:r>
        <w:rPr>
          <w:color w:val="2E614A"/>
          <w:spacing w:val="-15"/>
        </w:rPr>
        <w:t> </w:t>
      </w:r>
      <w:r>
        <w:rPr>
          <w:color w:val="2E614A"/>
          <w:spacing w:val="-2"/>
        </w:rPr>
        <w:t>and</w:t>
      </w:r>
      <w:r>
        <w:rPr>
          <w:color w:val="2E614A"/>
          <w:spacing w:val="-14"/>
        </w:rPr>
        <w:t> </w:t>
      </w:r>
      <w:r>
        <w:rPr>
          <w:color w:val="2E614A"/>
          <w:spacing w:val="-2"/>
        </w:rPr>
        <w:t>communication</w:t>
      </w:r>
    </w:p>
    <w:p>
      <w:pPr>
        <w:spacing w:after="0" w:line="225" w:lineRule="auto"/>
        <w:jc w:val="left"/>
        <w:sectPr>
          <w:pgSz w:w="11910" w:h="16840"/>
          <w:pgMar w:header="0" w:footer="675" w:top="960" w:bottom="860" w:left="0" w:right="0"/>
          <w:cols w:num="2" w:equalWidth="0">
            <w:col w:w="5774" w:space="40"/>
            <w:col w:w="6096"/>
          </w:cols>
        </w:sectPr>
      </w:pPr>
    </w:p>
    <w:p>
      <w:pPr>
        <w:spacing w:line="225" w:lineRule="auto" w:before="84"/>
        <w:ind w:left="1610" w:right="0" w:firstLine="0"/>
        <w:jc w:val="left"/>
        <w:rPr>
          <w:b/>
          <w:sz w:val="26"/>
        </w:rPr>
      </w:pPr>
      <w:r>
        <w:rPr>
          <w:b/>
          <w:color w:val="2E614A"/>
          <w:w w:val="90"/>
          <w:sz w:val="26"/>
        </w:rPr>
        <w:t>skills and learning how to </w:t>
      </w:r>
      <w:r>
        <w:rPr>
          <w:b/>
          <w:color w:val="2E614A"/>
          <w:w w:val="90"/>
          <w:sz w:val="26"/>
        </w:rPr>
        <w:t>access </w:t>
      </w:r>
      <w:r>
        <w:rPr>
          <w:b/>
          <w:color w:val="2E614A"/>
          <w:spacing w:val="-2"/>
          <w:sz w:val="26"/>
        </w:rPr>
        <w:t>knowledge</w:t>
      </w:r>
      <w:r>
        <w:rPr>
          <w:b/>
          <w:color w:val="2E614A"/>
          <w:spacing w:val="-3"/>
          <w:sz w:val="26"/>
        </w:rPr>
        <w:t> </w:t>
      </w:r>
      <w:r>
        <w:rPr>
          <w:b/>
          <w:color w:val="2E614A"/>
          <w:spacing w:val="-2"/>
          <w:sz w:val="26"/>
        </w:rPr>
        <w:t>independently.</w:t>
      </w:r>
    </w:p>
    <w:p>
      <w:pPr>
        <w:pStyle w:val="BodyText"/>
        <w:spacing w:before="1"/>
        <w:rPr>
          <w:b/>
          <w:sz w:val="26"/>
        </w:rPr>
      </w:pPr>
    </w:p>
    <w:p>
      <w:pPr>
        <w:pStyle w:val="BodyText"/>
        <w:spacing w:line="266" w:lineRule="auto"/>
        <w:ind w:left="1080"/>
        <w:jc w:val="both"/>
      </w:pPr>
      <w:r>
        <w:rPr/>
        <w:t>Successive Commissions and Committees set up by </w:t>
      </w:r>
      <w:r>
        <w:rPr>
          <w:spacing w:val="-2"/>
        </w:rPr>
        <w:t>the</w:t>
      </w:r>
      <w:r>
        <w:rPr>
          <w:spacing w:val="-8"/>
        </w:rPr>
        <w:t> </w:t>
      </w:r>
      <w:r>
        <w:rPr>
          <w:spacing w:val="-2"/>
        </w:rPr>
        <w:t>government</w:t>
      </w:r>
      <w:r>
        <w:rPr>
          <w:spacing w:val="-8"/>
        </w:rPr>
        <w:t> </w:t>
      </w:r>
      <w:r>
        <w:rPr>
          <w:spacing w:val="-2"/>
        </w:rPr>
        <w:t>have</w:t>
      </w:r>
      <w:r>
        <w:rPr>
          <w:spacing w:val="-8"/>
        </w:rPr>
        <w:t> </w:t>
      </w:r>
      <w:r>
        <w:rPr>
          <w:spacing w:val="-2"/>
        </w:rPr>
        <w:t>emphasised</w:t>
      </w:r>
      <w:r>
        <w:rPr>
          <w:spacing w:val="-8"/>
        </w:rPr>
        <w:t> </w:t>
      </w:r>
      <w:r>
        <w:rPr>
          <w:spacing w:val="-2"/>
        </w:rPr>
        <w:t>the</w:t>
      </w:r>
      <w:r>
        <w:rPr>
          <w:spacing w:val="-8"/>
        </w:rPr>
        <w:t> </w:t>
      </w:r>
      <w:r>
        <w:rPr>
          <w:spacing w:val="-2"/>
        </w:rPr>
        <w:t>need</w:t>
      </w:r>
      <w:r>
        <w:rPr>
          <w:spacing w:val="-8"/>
        </w:rPr>
        <w:t> </w:t>
      </w:r>
      <w:r>
        <w:rPr>
          <w:spacing w:val="-2"/>
        </w:rPr>
        <w:t>to</w:t>
      </w:r>
      <w:r>
        <w:rPr>
          <w:spacing w:val="-8"/>
        </w:rPr>
        <w:t> </w:t>
      </w:r>
      <w:r>
        <w:rPr>
          <w:spacing w:val="-2"/>
        </w:rPr>
        <w:t>make</w:t>
      </w:r>
      <w:r>
        <w:rPr>
          <w:spacing w:val="-8"/>
        </w:rPr>
        <w:t> </w:t>
      </w:r>
      <w:r>
        <w:rPr>
          <w:spacing w:val="-2"/>
        </w:rPr>
        <w:t>the </w:t>
      </w:r>
      <w:r>
        <w:rPr>
          <w:spacing w:val="-8"/>
        </w:rPr>
        <w:t>curriculum</w:t>
      </w:r>
      <w:r>
        <w:rPr/>
        <w:t> </w:t>
      </w:r>
      <w:r>
        <w:rPr>
          <w:spacing w:val="-8"/>
        </w:rPr>
        <w:t>more</w:t>
      </w:r>
      <w:r>
        <w:rPr/>
        <w:t> </w:t>
      </w:r>
      <w:r>
        <w:rPr>
          <w:spacing w:val="-8"/>
        </w:rPr>
        <w:t>interesting,</w:t>
      </w:r>
      <w:r>
        <w:rPr/>
        <w:t> </w:t>
      </w:r>
      <w:r>
        <w:rPr>
          <w:spacing w:val="-8"/>
        </w:rPr>
        <w:t>relevant,</w:t>
      </w:r>
      <w:r>
        <w:rPr/>
        <w:t> </w:t>
      </w:r>
      <w:r>
        <w:rPr>
          <w:spacing w:val="-8"/>
        </w:rPr>
        <w:t>creative</w:t>
      </w:r>
      <w:r>
        <w:rPr/>
        <w:t> </w:t>
      </w:r>
      <w:r>
        <w:rPr>
          <w:spacing w:val="-8"/>
        </w:rPr>
        <w:t>and</w:t>
      </w:r>
      <w:r>
        <w:rPr/>
        <w:t> </w:t>
      </w:r>
      <w:r>
        <w:rPr>
          <w:spacing w:val="-8"/>
        </w:rPr>
        <w:t>useful </w:t>
      </w:r>
      <w:r>
        <w:rPr>
          <w:spacing w:val="-6"/>
        </w:rPr>
        <w:t>for students.</w:t>
      </w:r>
      <w:r>
        <w:rPr>
          <w:spacing w:val="-8"/>
        </w:rPr>
        <w:t> </w:t>
      </w:r>
      <w:r>
        <w:rPr>
          <w:spacing w:val="-6"/>
        </w:rPr>
        <w:t>The</w:t>
      </w:r>
      <w:r>
        <w:rPr/>
        <w:t> </w:t>
      </w:r>
      <w:r>
        <w:rPr>
          <w:spacing w:val="-6"/>
        </w:rPr>
        <w:t>National Curriculum Framework 2005 also clearly articulated such an approach. Nevertheless it </w:t>
      </w:r>
      <w:r>
        <w:rPr>
          <w:spacing w:val="-4"/>
        </w:rPr>
        <w:t>appears</w:t>
      </w:r>
      <w:r>
        <w:rPr>
          <w:spacing w:val="-6"/>
        </w:rPr>
        <w:t> </w:t>
      </w:r>
      <w:r>
        <w:rPr>
          <w:spacing w:val="-4"/>
        </w:rPr>
        <w:t>that</w:t>
      </w:r>
      <w:r>
        <w:rPr>
          <w:spacing w:val="-6"/>
        </w:rPr>
        <w:t> </w:t>
      </w:r>
      <w:r>
        <w:rPr>
          <w:spacing w:val="-4"/>
        </w:rPr>
        <w:t>in</w:t>
      </w:r>
      <w:r>
        <w:rPr>
          <w:spacing w:val="-6"/>
        </w:rPr>
        <w:t> </w:t>
      </w:r>
      <w:r>
        <w:rPr>
          <w:spacing w:val="-4"/>
        </w:rPr>
        <w:t>a</w:t>
      </w:r>
      <w:r>
        <w:rPr>
          <w:spacing w:val="-6"/>
        </w:rPr>
        <w:t> </w:t>
      </w:r>
      <w:r>
        <w:rPr>
          <w:spacing w:val="-4"/>
        </w:rPr>
        <w:t>majority</w:t>
      </w:r>
      <w:r>
        <w:rPr>
          <w:spacing w:val="-6"/>
        </w:rPr>
        <w:t> </w:t>
      </w:r>
      <w:r>
        <w:rPr>
          <w:spacing w:val="-4"/>
        </w:rPr>
        <w:t>of</w:t>
      </w:r>
      <w:r>
        <w:rPr>
          <w:spacing w:val="-6"/>
        </w:rPr>
        <w:t> </w:t>
      </w:r>
      <w:r>
        <w:rPr>
          <w:spacing w:val="-4"/>
        </w:rPr>
        <w:t>schools</w:t>
      </w:r>
      <w:r>
        <w:rPr>
          <w:spacing w:val="-6"/>
        </w:rPr>
        <w:t> </w:t>
      </w:r>
      <w:r>
        <w:rPr>
          <w:spacing w:val="-4"/>
        </w:rPr>
        <w:t>across</w:t>
      </w:r>
      <w:r>
        <w:rPr>
          <w:spacing w:val="-6"/>
        </w:rPr>
        <w:t> </w:t>
      </w:r>
      <w:r>
        <w:rPr>
          <w:spacing w:val="-4"/>
        </w:rPr>
        <w:t>the</w:t>
      </w:r>
      <w:r>
        <w:rPr>
          <w:spacing w:val="-6"/>
        </w:rPr>
        <w:t> </w:t>
      </w:r>
      <w:r>
        <w:rPr>
          <w:spacing w:val="-4"/>
        </w:rPr>
        <w:t>country, a</w:t>
      </w:r>
      <w:r>
        <w:rPr>
          <w:spacing w:val="-9"/>
        </w:rPr>
        <w:t> </w:t>
      </w:r>
      <w:r>
        <w:rPr>
          <w:spacing w:val="-4"/>
        </w:rPr>
        <w:t>significant</w:t>
      </w:r>
      <w:r>
        <w:rPr>
          <w:spacing w:val="-10"/>
        </w:rPr>
        <w:t> </w:t>
      </w:r>
      <w:r>
        <w:rPr>
          <w:spacing w:val="-4"/>
        </w:rPr>
        <w:t>emphasis</w:t>
      </w:r>
      <w:r>
        <w:rPr>
          <w:spacing w:val="-9"/>
        </w:rPr>
        <w:t> </w:t>
      </w:r>
      <w:r>
        <w:rPr>
          <w:spacing w:val="-4"/>
        </w:rPr>
        <w:t>on</w:t>
      </w:r>
      <w:r>
        <w:rPr>
          <w:spacing w:val="-9"/>
        </w:rPr>
        <w:t> </w:t>
      </w:r>
      <w:r>
        <w:rPr>
          <w:spacing w:val="-4"/>
        </w:rPr>
        <w:t>rote-learning</w:t>
      </w:r>
      <w:r>
        <w:rPr>
          <w:spacing w:val="-10"/>
        </w:rPr>
        <w:t> </w:t>
      </w:r>
      <w:r>
        <w:rPr>
          <w:spacing w:val="-4"/>
        </w:rPr>
        <w:t>and</w:t>
      </w:r>
      <w:r>
        <w:rPr>
          <w:spacing w:val="-9"/>
        </w:rPr>
        <w:t> </w:t>
      </w:r>
      <w:r>
        <w:rPr>
          <w:spacing w:val="-4"/>
        </w:rPr>
        <w:t>memorising </w:t>
      </w:r>
      <w:r>
        <w:rPr>
          <w:spacing w:val="-10"/>
        </w:rPr>
        <w:t>facts</w:t>
      </w:r>
      <w:r>
        <w:rPr/>
        <w:t> </w:t>
      </w:r>
      <w:r>
        <w:rPr>
          <w:spacing w:val="-10"/>
        </w:rPr>
        <w:t>remains</w:t>
      </w:r>
      <w:r>
        <w:rPr/>
        <w:t> </w:t>
      </w:r>
      <w:r>
        <w:rPr>
          <w:spacing w:val="-10"/>
        </w:rPr>
        <w:t>the</w:t>
      </w:r>
      <w:r>
        <w:rPr/>
        <w:t> </w:t>
      </w:r>
      <w:r>
        <w:rPr>
          <w:spacing w:val="-10"/>
        </w:rPr>
        <w:t>norm.</w:t>
      </w:r>
      <w:r>
        <w:rPr/>
        <w:t> </w:t>
      </w:r>
      <w:r>
        <w:rPr>
          <w:spacing w:val="-10"/>
        </w:rPr>
        <w:t>Also,</w:t>
      </w:r>
      <w:r>
        <w:rPr/>
        <w:t> </w:t>
      </w:r>
      <w:r>
        <w:rPr>
          <w:spacing w:val="-10"/>
        </w:rPr>
        <w:t>there</w:t>
      </w:r>
      <w:r>
        <w:rPr/>
        <w:t> </w:t>
      </w:r>
      <w:r>
        <w:rPr>
          <w:spacing w:val="-10"/>
        </w:rPr>
        <w:t>is</w:t>
      </w:r>
      <w:r>
        <w:rPr/>
        <w:t> </w:t>
      </w:r>
      <w:r>
        <w:rPr>
          <w:spacing w:val="-10"/>
        </w:rPr>
        <w:t>evidence</w:t>
      </w:r>
      <w:r>
        <w:rPr/>
        <w:t> </w:t>
      </w:r>
      <w:r>
        <w:rPr>
          <w:spacing w:val="-10"/>
        </w:rPr>
        <w:t>of</w:t>
      </w:r>
      <w:r>
        <w:rPr/>
        <w:t> </w:t>
      </w:r>
      <w:r>
        <w:rPr>
          <w:spacing w:val="-10"/>
        </w:rPr>
        <w:t>children </w:t>
      </w:r>
      <w:r>
        <w:rPr>
          <w:spacing w:val="-4"/>
        </w:rPr>
        <w:t>being</w:t>
      </w:r>
      <w:r>
        <w:rPr>
          <w:spacing w:val="-7"/>
        </w:rPr>
        <w:t> </w:t>
      </w:r>
      <w:r>
        <w:rPr>
          <w:spacing w:val="-4"/>
        </w:rPr>
        <w:t>overburdened</w:t>
      </w:r>
      <w:r>
        <w:rPr>
          <w:spacing w:val="-7"/>
        </w:rPr>
        <w:t> </w:t>
      </w:r>
      <w:r>
        <w:rPr>
          <w:spacing w:val="-4"/>
        </w:rPr>
        <w:t>with</w:t>
      </w:r>
      <w:r>
        <w:rPr>
          <w:spacing w:val="-7"/>
        </w:rPr>
        <w:t> </w:t>
      </w:r>
      <w:r>
        <w:rPr>
          <w:spacing w:val="-4"/>
        </w:rPr>
        <w:t>too</w:t>
      </w:r>
      <w:r>
        <w:rPr>
          <w:spacing w:val="-7"/>
        </w:rPr>
        <w:t> </w:t>
      </w:r>
      <w:r>
        <w:rPr>
          <w:spacing w:val="-4"/>
        </w:rPr>
        <w:t>much</w:t>
      </w:r>
      <w:r>
        <w:rPr>
          <w:spacing w:val="-7"/>
        </w:rPr>
        <w:t> </w:t>
      </w:r>
      <w:r>
        <w:rPr>
          <w:spacing w:val="-4"/>
        </w:rPr>
        <w:t>detail</w:t>
      </w:r>
      <w:r>
        <w:rPr>
          <w:spacing w:val="-7"/>
        </w:rPr>
        <w:t> </w:t>
      </w:r>
      <w:r>
        <w:rPr>
          <w:spacing w:val="-4"/>
        </w:rPr>
        <w:t>and</w:t>
      </w:r>
      <w:r>
        <w:rPr>
          <w:spacing w:val="-7"/>
        </w:rPr>
        <w:t> </w:t>
      </w:r>
      <w:r>
        <w:rPr>
          <w:spacing w:val="-4"/>
        </w:rPr>
        <w:t>an</w:t>
      </w:r>
      <w:r>
        <w:rPr>
          <w:spacing w:val="-7"/>
        </w:rPr>
        <w:t> </w:t>
      </w:r>
      <w:r>
        <w:rPr>
          <w:spacing w:val="-4"/>
        </w:rPr>
        <w:t>excess of scholastic requirements at the elementary level.</w:t>
      </w:r>
    </w:p>
    <w:p>
      <w:pPr>
        <w:pStyle w:val="BodyText"/>
        <w:spacing w:before="19"/>
      </w:pPr>
    </w:p>
    <w:p>
      <w:pPr>
        <w:pStyle w:val="BodyText"/>
        <w:spacing w:line="266" w:lineRule="auto"/>
        <w:ind w:left="1080"/>
        <w:jc w:val="both"/>
      </w:pPr>
      <w:r>
        <w:rPr/>
        <w:t>It</w:t>
      </w:r>
      <w:r>
        <w:rPr>
          <w:spacing w:val="-7"/>
        </w:rPr>
        <w:t> </w:t>
      </w:r>
      <w:r>
        <w:rPr/>
        <w:t>is</w:t>
      </w:r>
      <w:r>
        <w:rPr>
          <w:spacing w:val="-7"/>
        </w:rPr>
        <w:t> </w:t>
      </w:r>
      <w:r>
        <w:rPr/>
        <w:t>important</w:t>
      </w:r>
      <w:r>
        <w:rPr>
          <w:spacing w:val="-7"/>
        </w:rPr>
        <w:t> </w:t>
      </w:r>
      <w:r>
        <w:rPr/>
        <w:t>to</w:t>
      </w:r>
      <w:r>
        <w:rPr>
          <w:spacing w:val="-7"/>
        </w:rPr>
        <w:t> </w:t>
      </w:r>
      <w:r>
        <w:rPr/>
        <w:t>orient</w:t>
      </w:r>
      <w:r>
        <w:rPr>
          <w:spacing w:val="-7"/>
        </w:rPr>
        <w:t> </w:t>
      </w:r>
      <w:r>
        <w:rPr/>
        <w:t>students</w:t>
      </w:r>
      <w:r>
        <w:rPr>
          <w:spacing w:val="-7"/>
        </w:rPr>
        <w:t> </w:t>
      </w:r>
      <w:r>
        <w:rPr/>
        <w:t>towards</w:t>
      </w:r>
      <w:r>
        <w:rPr>
          <w:spacing w:val="-7"/>
        </w:rPr>
        <w:t> </w:t>
      </w:r>
      <w:r>
        <w:rPr/>
        <w:t>independent and continuous learning. This makes it essential to make</w:t>
      </w:r>
      <w:r>
        <w:rPr>
          <w:spacing w:val="-8"/>
        </w:rPr>
        <w:t> </w:t>
      </w:r>
      <w:r>
        <w:rPr/>
        <w:t>greater</w:t>
      </w:r>
      <w:r>
        <w:rPr>
          <w:spacing w:val="-8"/>
        </w:rPr>
        <w:t> </w:t>
      </w:r>
      <w:r>
        <w:rPr/>
        <w:t>efforts</w:t>
      </w:r>
      <w:r>
        <w:rPr>
          <w:spacing w:val="-8"/>
        </w:rPr>
        <w:t> </w:t>
      </w:r>
      <w:r>
        <w:rPr/>
        <w:t>to</w:t>
      </w:r>
      <w:r>
        <w:rPr>
          <w:spacing w:val="-8"/>
        </w:rPr>
        <w:t> </w:t>
      </w:r>
      <w:r>
        <w:rPr/>
        <w:t>change</w:t>
      </w:r>
      <w:r>
        <w:rPr>
          <w:spacing w:val="-8"/>
        </w:rPr>
        <w:t> </w:t>
      </w:r>
      <w:r>
        <w:rPr/>
        <w:t>the</w:t>
      </w:r>
      <w:r>
        <w:rPr>
          <w:spacing w:val="-8"/>
        </w:rPr>
        <w:t> </w:t>
      </w:r>
      <w:r>
        <w:rPr/>
        <w:t>attitude</w:t>
      </w:r>
      <w:r>
        <w:rPr>
          <w:spacing w:val="-8"/>
        </w:rPr>
        <w:t> </w:t>
      </w:r>
      <w:r>
        <w:rPr/>
        <w:t>to</w:t>
      </w:r>
      <w:r>
        <w:rPr>
          <w:spacing w:val="-8"/>
        </w:rPr>
        <w:t> </w:t>
      </w:r>
      <w:r>
        <w:rPr/>
        <w:t>learning and</w:t>
      </w:r>
      <w:r>
        <w:rPr>
          <w:spacing w:val="-14"/>
        </w:rPr>
        <w:t> </w:t>
      </w:r>
      <w:r>
        <w:rPr/>
        <w:t>knowledge.</w:t>
      </w:r>
      <w:r>
        <w:rPr>
          <w:spacing w:val="-14"/>
        </w:rPr>
        <w:t> </w:t>
      </w:r>
      <w:r>
        <w:rPr/>
        <w:t>It</w:t>
      </w:r>
      <w:r>
        <w:rPr>
          <w:spacing w:val="-14"/>
        </w:rPr>
        <w:t> </w:t>
      </w:r>
      <w:r>
        <w:rPr/>
        <w:t>has</w:t>
      </w:r>
      <w:r>
        <w:rPr>
          <w:spacing w:val="-13"/>
        </w:rPr>
        <w:t> </w:t>
      </w:r>
      <w:r>
        <w:rPr/>
        <w:t>been</w:t>
      </w:r>
      <w:r>
        <w:rPr>
          <w:spacing w:val="-14"/>
        </w:rPr>
        <w:t> </w:t>
      </w:r>
      <w:r>
        <w:rPr/>
        <w:t>noted</w:t>
      </w:r>
      <w:r>
        <w:rPr>
          <w:spacing w:val="-14"/>
        </w:rPr>
        <w:t> </w:t>
      </w:r>
      <w:r>
        <w:rPr/>
        <w:t>in</w:t>
      </w:r>
      <w:r>
        <w:rPr>
          <w:spacing w:val="-14"/>
        </w:rPr>
        <w:t> </w:t>
      </w:r>
      <w:r>
        <w:rPr/>
        <w:t>several</w:t>
      </w:r>
      <w:r>
        <w:rPr>
          <w:spacing w:val="-13"/>
        </w:rPr>
        <w:t> </w:t>
      </w:r>
      <w:r>
        <w:rPr/>
        <w:t>states</w:t>
      </w:r>
      <w:r>
        <w:rPr>
          <w:spacing w:val="-14"/>
        </w:rPr>
        <w:t> </w:t>
      </w:r>
      <w:r>
        <w:rPr/>
        <w:t>that learning results have improved considerably upon </w:t>
      </w:r>
      <w:r>
        <w:rPr>
          <w:spacing w:val="-6"/>
        </w:rPr>
        <w:t>providing inputs for communication and comprehension in language and basic mathematical skills using activity- based and imaginative pedagogical strategies.</w:t>
      </w:r>
      <w:r>
        <w:rPr>
          <w:spacing w:val="-8"/>
        </w:rPr>
        <w:t> </w:t>
      </w:r>
      <w:r>
        <w:rPr>
          <w:spacing w:val="-6"/>
        </w:rPr>
        <w:t>The focus </w:t>
      </w:r>
      <w:r>
        <w:rPr/>
        <w:t>of primary schooling in particular must be on good language</w:t>
      </w:r>
      <w:r>
        <w:rPr>
          <w:spacing w:val="-6"/>
        </w:rPr>
        <w:t> </w:t>
      </w:r>
      <w:r>
        <w:rPr/>
        <w:t>and</w:t>
      </w:r>
      <w:r>
        <w:rPr>
          <w:spacing w:val="-6"/>
        </w:rPr>
        <w:t> </w:t>
      </w:r>
      <w:r>
        <w:rPr/>
        <w:t>communication</w:t>
      </w:r>
      <w:r>
        <w:rPr>
          <w:spacing w:val="-6"/>
        </w:rPr>
        <w:t> </w:t>
      </w:r>
      <w:r>
        <w:rPr/>
        <w:t>skills,</w:t>
      </w:r>
      <w:r>
        <w:rPr>
          <w:spacing w:val="-6"/>
        </w:rPr>
        <w:t> </w:t>
      </w:r>
      <w:r>
        <w:rPr/>
        <w:t>basic</w:t>
      </w:r>
      <w:r>
        <w:rPr>
          <w:spacing w:val="-6"/>
        </w:rPr>
        <w:t> </w:t>
      </w:r>
      <w:r>
        <w:rPr/>
        <w:t>foundation maths and inculcation of self-learning and critical examination through innovative teaching methods. For language teaching in particular, there should be much greater emphasis on communication skills at a practical level.</w:t>
      </w:r>
    </w:p>
    <w:p>
      <w:pPr>
        <w:pStyle w:val="BodyText"/>
        <w:spacing w:before="15"/>
      </w:pPr>
    </w:p>
    <w:p>
      <w:pPr>
        <w:pStyle w:val="BodyText"/>
        <w:spacing w:line="266" w:lineRule="auto"/>
        <w:ind w:left="1080"/>
        <w:jc w:val="both"/>
      </w:pPr>
      <w:r>
        <w:rPr/>
        <w:t>It is also important to ensure that the </w:t>
      </w:r>
      <w:r>
        <w:rPr/>
        <w:t>curriculum contains locally relevant content that children can </w:t>
      </w:r>
      <w:r>
        <w:rPr>
          <w:spacing w:val="-4"/>
        </w:rPr>
        <w:t>relate</w:t>
      </w:r>
      <w:r>
        <w:rPr>
          <w:spacing w:val="-10"/>
        </w:rPr>
        <w:t> </w:t>
      </w:r>
      <w:r>
        <w:rPr>
          <w:spacing w:val="-4"/>
        </w:rPr>
        <w:t>to</w:t>
      </w:r>
      <w:r>
        <w:rPr>
          <w:spacing w:val="-10"/>
        </w:rPr>
        <w:t> </w:t>
      </w:r>
      <w:r>
        <w:rPr>
          <w:spacing w:val="-4"/>
        </w:rPr>
        <w:t>their</w:t>
      </w:r>
      <w:r>
        <w:rPr>
          <w:spacing w:val="-10"/>
        </w:rPr>
        <w:t> </w:t>
      </w:r>
      <w:r>
        <w:rPr>
          <w:spacing w:val="-4"/>
        </w:rPr>
        <w:t>own</w:t>
      </w:r>
      <w:r>
        <w:rPr>
          <w:spacing w:val="-9"/>
        </w:rPr>
        <w:t> </w:t>
      </w:r>
      <w:r>
        <w:rPr>
          <w:spacing w:val="-4"/>
        </w:rPr>
        <w:t>lives.</w:t>
      </w:r>
      <w:r>
        <w:rPr>
          <w:spacing w:val="-10"/>
        </w:rPr>
        <w:t> </w:t>
      </w:r>
      <w:r>
        <w:rPr>
          <w:spacing w:val="-4"/>
        </w:rPr>
        <w:t>For</w:t>
      </w:r>
      <w:r>
        <w:rPr>
          <w:spacing w:val="-10"/>
        </w:rPr>
        <w:t> </w:t>
      </w:r>
      <w:r>
        <w:rPr>
          <w:spacing w:val="-4"/>
        </w:rPr>
        <w:t>example,</w:t>
      </w:r>
      <w:r>
        <w:rPr>
          <w:spacing w:val="-10"/>
        </w:rPr>
        <w:t> </w:t>
      </w:r>
      <w:r>
        <w:rPr>
          <w:spacing w:val="-4"/>
        </w:rPr>
        <w:t>in</w:t>
      </w:r>
      <w:r>
        <w:rPr>
          <w:spacing w:val="-9"/>
        </w:rPr>
        <w:t> </w:t>
      </w:r>
      <w:r>
        <w:rPr>
          <w:spacing w:val="-4"/>
        </w:rPr>
        <w:t>certain</w:t>
      </w:r>
      <w:r>
        <w:rPr>
          <w:spacing w:val="-10"/>
        </w:rPr>
        <w:t> </w:t>
      </w:r>
      <w:r>
        <w:rPr>
          <w:spacing w:val="-4"/>
        </w:rPr>
        <w:t>parts</w:t>
      </w:r>
      <w:r>
        <w:rPr>
          <w:spacing w:val="-10"/>
        </w:rPr>
        <w:t> </w:t>
      </w:r>
      <w:r>
        <w:rPr>
          <w:spacing w:val="-4"/>
        </w:rPr>
        <w:t>of </w:t>
      </w:r>
      <w:r>
        <w:rPr/>
        <w:t>the country (such as, but not only, the Northeast) the </w:t>
      </w:r>
      <w:r>
        <w:rPr>
          <w:spacing w:val="-2"/>
        </w:rPr>
        <w:t>curriculum</w:t>
      </w:r>
      <w:r>
        <w:rPr>
          <w:spacing w:val="-9"/>
        </w:rPr>
        <w:t> </w:t>
      </w:r>
      <w:r>
        <w:rPr>
          <w:spacing w:val="-2"/>
        </w:rPr>
        <w:t>at</w:t>
      </w:r>
      <w:r>
        <w:rPr>
          <w:spacing w:val="-9"/>
        </w:rPr>
        <w:t> </w:t>
      </w:r>
      <w:r>
        <w:rPr>
          <w:spacing w:val="-2"/>
        </w:rPr>
        <w:t>both</w:t>
      </w:r>
      <w:r>
        <w:rPr>
          <w:spacing w:val="-9"/>
        </w:rPr>
        <w:t> </w:t>
      </w:r>
      <w:r>
        <w:rPr>
          <w:spacing w:val="-2"/>
        </w:rPr>
        <w:t>primary</w:t>
      </w:r>
      <w:r>
        <w:rPr>
          <w:spacing w:val="-9"/>
        </w:rPr>
        <w:t> </w:t>
      </w:r>
      <w:r>
        <w:rPr>
          <w:spacing w:val="-2"/>
        </w:rPr>
        <w:t>and</w:t>
      </w:r>
      <w:r>
        <w:rPr>
          <w:spacing w:val="-9"/>
        </w:rPr>
        <w:t> </w:t>
      </w:r>
      <w:r>
        <w:rPr>
          <w:spacing w:val="-2"/>
        </w:rPr>
        <w:t>secondary</w:t>
      </w:r>
      <w:r>
        <w:rPr>
          <w:spacing w:val="-9"/>
        </w:rPr>
        <w:t> </w:t>
      </w:r>
      <w:r>
        <w:rPr>
          <w:spacing w:val="-2"/>
        </w:rPr>
        <w:t>levels</w:t>
      </w:r>
      <w:r>
        <w:rPr>
          <w:spacing w:val="-9"/>
        </w:rPr>
        <w:t> </w:t>
      </w:r>
      <w:r>
        <w:rPr>
          <w:spacing w:val="-2"/>
        </w:rPr>
        <w:t>could </w:t>
      </w:r>
      <w:r>
        <w:rPr>
          <w:spacing w:val="-4"/>
        </w:rPr>
        <w:t>also</w:t>
      </w:r>
      <w:r>
        <w:rPr>
          <w:spacing w:val="-10"/>
        </w:rPr>
        <w:t> </w:t>
      </w:r>
      <w:r>
        <w:rPr>
          <w:spacing w:val="-4"/>
        </w:rPr>
        <w:t>include</w:t>
      </w:r>
      <w:r>
        <w:rPr>
          <w:spacing w:val="-10"/>
        </w:rPr>
        <w:t> </w:t>
      </w:r>
      <w:r>
        <w:rPr>
          <w:spacing w:val="-4"/>
        </w:rPr>
        <w:t>training</w:t>
      </w:r>
      <w:r>
        <w:rPr>
          <w:spacing w:val="-10"/>
        </w:rPr>
        <w:t> </w:t>
      </w:r>
      <w:r>
        <w:rPr>
          <w:spacing w:val="-4"/>
        </w:rPr>
        <w:t>in</w:t>
      </w:r>
      <w:r>
        <w:rPr>
          <w:spacing w:val="-9"/>
        </w:rPr>
        <w:t> </w:t>
      </w:r>
      <w:r>
        <w:rPr>
          <w:spacing w:val="-4"/>
        </w:rPr>
        <w:t>disaster</w:t>
      </w:r>
      <w:r>
        <w:rPr>
          <w:spacing w:val="-10"/>
        </w:rPr>
        <w:t> </w:t>
      </w:r>
      <w:r>
        <w:rPr>
          <w:spacing w:val="-4"/>
        </w:rPr>
        <w:t>management,</w:t>
      </w:r>
      <w:r>
        <w:rPr>
          <w:spacing w:val="-10"/>
        </w:rPr>
        <w:t> </w:t>
      </w:r>
      <w:r>
        <w:rPr>
          <w:spacing w:val="-4"/>
        </w:rPr>
        <w:t>especially </w:t>
      </w:r>
      <w:r>
        <w:rPr>
          <w:spacing w:val="-2"/>
        </w:rPr>
        <w:t>for</w:t>
      </w:r>
      <w:r>
        <w:rPr>
          <w:spacing w:val="-12"/>
        </w:rPr>
        <w:t> </w:t>
      </w:r>
      <w:r>
        <w:rPr>
          <w:spacing w:val="-2"/>
        </w:rPr>
        <w:t>floods,</w:t>
      </w:r>
      <w:r>
        <w:rPr>
          <w:spacing w:val="-12"/>
        </w:rPr>
        <w:t> </w:t>
      </w:r>
      <w:r>
        <w:rPr>
          <w:spacing w:val="-2"/>
        </w:rPr>
        <w:t>while</w:t>
      </w:r>
      <w:r>
        <w:rPr>
          <w:spacing w:val="-12"/>
        </w:rPr>
        <w:t> </w:t>
      </w:r>
      <w:r>
        <w:rPr>
          <w:spacing w:val="-2"/>
        </w:rPr>
        <w:t>in</w:t>
      </w:r>
      <w:r>
        <w:rPr>
          <w:spacing w:val="-11"/>
        </w:rPr>
        <w:t> </w:t>
      </w:r>
      <w:r>
        <w:rPr>
          <w:spacing w:val="-2"/>
        </w:rPr>
        <w:t>other</w:t>
      </w:r>
      <w:r>
        <w:rPr>
          <w:spacing w:val="-12"/>
        </w:rPr>
        <w:t> </w:t>
      </w:r>
      <w:r>
        <w:rPr>
          <w:spacing w:val="-2"/>
        </w:rPr>
        <w:t>parts</w:t>
      </w:r>
      <w:r>
        <w:rPr>
          <w:spacing w:val="-12"/>
        </w:rPr>
        <w:t> </w:t>
      </w:r>
      <w:r>
        <w:rPr>
          <w:spacing w:val="-2"/>
        </w:rPr>
        <w:t>of</w:t>
      </w:r>
      <w:r>
        <w:rPr>
          <w:spacing w:val="-12"/>
        </w:rPr>
        <w:t> </w:t>
      </w:r>
      <w:r>
        <w:rPr>
          <w:spacing w:val="-2"/>
        </w:rPr>
        <w:t>the</w:t>
      </w:r>
      <w:r>
        <w:rPr>
          <w:spacing w:val="-11"/>
        </w:rPr>
        <w:t> </w:t>
      </w:r>
      <w:r>
        <w:rPr>
          <w:spacing w:val="-2"/>
        </w:rPr>
        <w:t>country</w:t>
      </w:r>
      <w:r>
        <w:rPr>
          <w:spacing w:val="-12"/>
        </w:rPr>
        <w:t> </w:t>
      </w:r>
      <w:r>
        <w:rPr>
          <w:spacing w:val="-2"/>
        </w:rPr>
        <w:t>responses </w:t>
      </w:r>
      <w:r>
        <w:rPr/>
        <w:t>to earthquakes may be more relevant. In rural areas, horticulture and pisciculture techniques should be </w:t>
      </w:r>
      <w:r>
        <w:rPr>
          <w:spacing w:val="-4"/>
        </w:rPr>
        <w:t>included in the syllabus. Co-curricular reading material </w:t>
      </w:r>
      <w:r>
        <w:rPr>
          <w:spacing w:val="-8"/>
        </w:rPr>
        <w:t>should</w:t>
      </w:r>
      <w:r>
        <w:rPr>
          <w:spacing w:val="-4"/>
        </w:rPr>
        <w:t> </w:t>
      </w:r>
      <w:r>
        <w:rPr>
          <w:spacing w:val="-8"/>
        </w:rPr>
        <w:t>be</w:t>
      </w:r>
      <w:r>
        <w:rPr>
          <w:spacing w:val="-4"/>
        </w:rPr>
        <w:t> </w:t>
      </w:r>
      <w:r>
        <w:rPr>
          <w:spacing w:val="-8"/>
        </w:rPr>
        <w:t>propagated,</w:t>
      </w:r>
      <w:r>
        <w:rPr>
          <w:spacing w:val="-4"/>
        </w:rPr>
        <w:t> </w:t>
      </w:r>
      <w:r>
        <w:rPr>
          <w:spacing w:val="-8"/>
        </w:rPr>
        <w:t>such</w:t>
      </w:r>
      <w:r>
        <w:rPr>
          <w:spacing w:val="-4"/>
        </w:rPr>
        <w:t> </w:t>
      </w:r>
      <w:r>
        <w:rPr>
          <w:spacing w:val="-8"/>
        </w:rPr>
        <w:t>as</w:t>
      </w:r>
      <w:r>
        <w:rPr>
          <w:spacing w:val="-4"/>
        </w:rPr>
        <w:t> </w:t>
      </w:r>
      <w:r>
        <w:rPr>
          <w:spacing w:val="-8"/>
        </w:rPr>
        <w:t>children’s</w:t>
      </w:r>
      <w:r>
        <w:rPr>
          <w:spacing w:val="-4"/>
        </w:rPr>
        <w:t> </w:t>
      </w:r>
      <w:r>
        <w:rPr>
          <w:spacing w:val="-8"/>
        </w:rPr>
        <w:t>books</w:t>
      </w:r>
      <w:r>
        <w:rPr>
          <w:spacing w:val="-4"/>
        </w:rPr>
        <w:t> </w:t>
      </w:r>
      <w:r>
        <w:rPr>
          <w:spacing w:val="-8"/>
        </w:rPr>
        <w:t>with</w:t>
      </w:r>
      <w:r>
        <w:rPr>
          <w:spacing w:val="-4"/>
        </w:rPr>
        <w:t> </w:t>
      </w:r>
      <w:r>
        <w:rPr>
          <w:spacing w:val="-8"/>
        </w:rPr>
        <w:t>local </w:t>
      </w:r>
      <w:r>
        <w:rPr>
          <w:spacing w:val="-2"/>
        </w:rPr>
        <w:t>stories</w:t>
      </w:r>
      <w:r>
        <w:rPr>
          <w:spacing w:val="-12"/>
        </w:rPr>
        <w:t> </w:t>
      </w:r>
      <w:r>
        <w:rPr>
          <w:spacing w:val="-2"/>
        </w:rPr>
        <w:t>and</w:t>
      </w:r>
      <w:r>
        <w:rPr>
          <w:spacing w:val="-12"/>
        </w:rPr>
        <w:t> </w:t>
      </w:r>
      <w:r>
        <w:rPr>
          <w:spacing w:val="-2"/>
        </w:rPr>
        <w:t>histories</w:t>
      </w:r>
      <w:r>
        <w:rPr>
          <w:spacing w:val="-12"/>
        </w:rPr>
        <w:t> </w:t>
      </w:r>
      <w:r>
        <w:rPr>
          <w:spacing w:val="-2"/>
        </w:rPr>
        <w:t>to</w:t>
      </w:r>
      <w:r>
        <w:rPr>
          <w:spacing w:val="-11"/>
        </w:rPr>
        <w:t> </w:t>
      </w:r>
      <w:r>
        <w:rPr>
          <w:spacing w:val="-2"/>
        </w:rPr>
        <w:t>strengthen</w:t>
      </w:r>
      <w:r>
        <w:rPr>
          <w:spacing w:val="-12"/>
        </w:rPr>
        <w:t> </w:t>
      </w:r>
      <w:r>
        <w:rPr>
          <w:spacing w:val="-2"/>
        </w:rPr>
        <w:t>the</w:t>
      </w:r>
      <w:r>
        <w:rPr>
          <w:spacing w:val="-12"/>
        </w:rPr>
        <w:t> </w:t>
      </w:r>
      <w:r>
        <w:rPr>
          <w:spacing w:val="-2"/>
        </w:rPr>
        <w:t>linkages</w:t>
      </w:r>
      <w:r>
        <w:rPr>
          <w:spacing w:val="-12"/>
        </w:rPr>
        <w:t> </w:t>
      </w:r>
      <w:r>
        <w:rPr>
          <w:spacing w:val="-2"/>
        </w:rPr>
        <w:t>between </w:t>
      </w:r>
      <w:r>
        <w:rPr/>
        <w:t>school and home.</w:t>
      </w:r>
    </w:p>
    <w:p>
      <w:pPr>
        <w:pStyle w:val="BodyText"/>
        <w:spacing w:before="17"/>
      </w:pPr>
    </w:p>
    <w:p>
      <w:pPr>
        <w:pStyle w:val="BodyText"/>
        <w:spacing w:line="266" w:lineRule="auto"/>
        <w:ind w:left="1080"/>
        <w:jc w:val="both"/>
      </w:pPr>
      <w:r>
        <w:rPr>
          <w:spacing w:val="-6"/>
        </w:rPr>
        <w:t>To make secondary school education more relevant, and </w:t>
      </w:r>
      <w:r>
        <w:rPr>
          <w:spacing w:val="-8"/>
        </w:rPr>
        <w:t>also</w:t>
      </w:r>
      <w:r>
        <w:rPr>
          <w:spacing w:val="-5"/>
        </w:rPr>
        <w:t> </w:t>
      </w:r>
      <w:r>
        <w:rPr>
          <w:spacing w:val="-8"/>
        </w:rPr>
        <w:t>address</w:t>
      </w:r>
      <w:r>
        <w:rPr>
          <w:spacing w:val="-5"/>
        </w:rPr>
        <w:t> </w:t>
      </w:r>
      <w:r>
        <w:rPr>
          <w:spacing w:val="-8"/>
        </w:rPr>
        <w:t>the</w:t>
      </w:r>
      <w:r>
        <w:rPr>
          <w:spacing w:val="-5"/>
        </w:rPr>
        <w:t> </w:t>
      </w:r>
      <w:r>
        <w:rPr>
          <w:spacing w:val="-8"/>
        </w:rPr>
        <w:t>problem</w:t>
      </w:r>
      <w:r>
        <w:rPr>
          <w:spacing w:val="-5"/>
        </w:rPr>
        <w:t> </w:t>
      </w:r>
      <w:r>
        <w:rPr>
          <w:spacing w:val="-8"/>
        </w:rPr>
        <w:t>of</w:t>
      </w:r>
      <w:r>
        <w:rPr>
          <w:spacing w:val="-5"/>
        </w:rPr>
        <w:t> </w:t>
      </w:r>
      <w:r>
        <w:rPr>
          <w:spacing w:val="-8"/>
        </w:rPr>
        <w:t>drop</w:t>
      </w:r>
      <w:r>
        <w:rPr>
          <w:spacing w:val="-5"/>
        </w:rPr>
        <w:t> </w:t>
      </w:r>
      <w:r>
        <w:rPr>
          <w:spacing w:val="-8"/>
        </w:rPr>
        <w:t>outs,</w:t>
      </w:r>
      <w:r>
        <w:rPr>
          <w:spacing w:val="-5"/>
        </w:rPr>
        <w:t> </w:t>
      </w:r>
      <w:r>
        <w:rPr>
          <w:spacing w:val="-8"/>
        </w:rPr>
        <w:t>NKC</w:t>
      </w:r>
      <w:r>
        <w:rPr>
          <w:spacing w:val="-5"/>
        </w:rPr>
        <w:t> </w:t>
      </w:r>
      <w:r>
        <w:rPr>
          <w:spacing w:val="-8"/>
        </w:rPr>
        <w:t>recommends </w:t>
      </w:r>
      <w:r>
        <w:rPr/>
        <w:t>the setting up of Livelihood Centres in </w:t>
      </w:r>
      <w:r>
        <w:rPr/>
        <w:t>secondary schools</w:t>
      </w:r>
      <w:r>
        <w:rPr>
          <w:spacing w:val="-7"/>
        </w:rPr>
        <w:t> </w:t>
      </w:r>
      <w:r>
        <w:rPr/>
        <w:t>that</w:t>
      </w:r>
      <w:r>
        <w:rPr>
          <w:spacing w:val="-7"/>
        </w:rPr>
        <w:t> </w:t>
      </w:r>
      <w:r>
        <w:rPr/>
        <w:t>would</w:t>
      </w:r>
      <w:r>
        <w:rPr>
          <w:spacing w:val="-7"/>
        </w:rPr>
        <w:t> </w:t>
      </w:r>
      <w:r>
        <w:rPr/>
        <w:t>impart</w:t>
      </w:r>
      <w:r>
        <w:rPr>
          <w:spacing w:val="-7"/>
        </w:rPr>
        <w:t> </w:t>
      </w:r>
      <w:r>
        <w:rPr/>
        <w:t>practical</w:t>
      </w:r>
      <w:r>
        <w:rPr>
          <w:spacing w:val="-7"/>
        </w:rPr>
        <w:t> </w:t>
      </w:r>
      <w:r>
        <w:rPr/>
        <w:t>employable</w:t>
      </w:r>
      <w:r>
        <w:rPr>
          <w:spacing w:val="-7"/>
        </w:rPr>
        <w:t> </w:t>
      </w:r>
      <w:r>
        <w:rPr/>
        <w:t>skills and</w:t>
      </w:r>
      <w:r>
        <w:rPr>
          <w:spacing w:val="-11"/>
        </w:rPr>
        <w:t> </w:t>
      </w:r>
      <w:r>
        <w:rPr/>
        <w:t>provide</w:t>
      </w:r>
      <w:r>
        <w:rPr>
          <w:spacing w:val="-11"/>
        </w:rPr>
        <w:t> </w:t>
      </w:r>
      <w:r>
        <w:rPr/>
        <w:t>career</w:t>
      </w:r>
      <w:r>
        <w:rPr>
          <w:spacing w:val="-11"/>
        </w:rPr>
        <w:t> </w:t>
      </w:r>
      <w:r>
        <w:rPr/>
        <w:t>counselling</w:t>
      </w:r>
      <w:r>
        <w:rPr>
          <w:spacing w:val="-11"/>
        </w:rPr>
        <w:t> </w:t>
      </w:r>
      <w:r>
        <w:rPr/>
        <w:t>to</w:t>
      </w:r>
      <w:r>
        <w:rPr>
          <w:spacing w:val="-11"/>
        </w:rPr>
        <w:t> </w:t>
      </w:r>
      <w:r>
        <w:rPr/>
        <w:t>students.</w:t>
      </w:r>
      <w:r>
        <w:rPr>
          <w:spacing w:val="-11"/>
        </w:rPr>
        <w:t> </w:t>
      </w:r>
      <w:r>
        <w:rPr/>
        <w:t>All</w:t>
      </w:r>
      <w:r>
        <w:rPr>
          <w:spacing w:val="-11"/>
        </w:rPr>
        <w:t> </w:t>
      </w:r>
      <w:r>
        <w:rPr/>
        <w:t>school children</w:t>
      </w:r>
      <w:r>
        <w:rPr>
          <w:spacing w:val="-13"/>
        </w:rPr>
        <w:t> </w:t>
      </w:r>
      <w:r>
        <w:rPr/>
        <w:t>should</w:t>
      </w:r>
      <w:r>
        <w:rPr>
          <w:spacing w:val="-13"/>
        </w:rPr>
        <w:t> </w:t>
      </w:r>
      <w:r>
        <w:rPr/>
        <w:t>be</w:t>
      </w:r>
      <w:r>
        <w:rPr>
          <w:spacing w:val="-13"/>
        </w:rPr>
        <w:t> </w:t>
      </w:r>
      <w:r>
        <w:rPr/>
        <w:t>encouraged</w:t>
      </w:r>
      <w:r>
        <w:rPr>
          <w:spacing w:val="-13"/>
        </w:rPr>
        <w:t> </w:t>
      </w:r>
      <w:r>
        <w:rPr/>
        <w:t>to</w:t>
      </w:r>
      <w:r>
        <w:rPr>
          <w:spacing w:val="-13"/>
        </w:rPr>
        <w:t> </w:t>
      </w:r>
      <w:r>
        <w:rPr/>
        <w:t>be</w:t>
      </w:r>
      <w:r>
        <w:rPr>
          <w:spacing w:val="-13"/>
        </w:rPr>
        <w:t> </w:t>
      </w:r>
      <w:r>
        <w:rPr/>
        <w:t>involved</w:t>
      </w:r>
      <w:r>
        <w:rPr>
          <w:spacing w:val="-13"/>
        </w:rPr>
        <w:t> </w:t>
      </w:r>
      <w:r>
        <w:rPr/>
        <w:t>in</w:t>
      </w:r>
      <w:r>
        <w:rPr>
          <w:spacing w:val="-13"/>
        </w:rPr>
        <w:t> </w:t>
      </w:r>
      <w:r>
        <w:rPr/>
        <w:t>some </w:t>
      </w:r>
      <w:r>
        <w:rPr>
          <w:spacing w:val="-2"/>
        </w:rPr>
        <w:t>practical</w:t>
      </w:r>
      <w:r>
        <w:rPr>
          <w:spacing w:val="-12"/>
        </w:rPr>
        <w:t> </w:t>
      </w:r>
      <w:r>
        <w:rPr>
          <w:spacing w:val="-2"/>
        </w:rPr>
        <w:t>activities</w:t>
      </w:r>
      <w:r>
        <w:rPr>
          <w:spacing w:val="-12"/>
        </w:rPr>
        <w:t> </w:t>
      </w:r>
      <w:r>
        <w:rPr>
          <w:spacing w:val="-2"/>
        </w:rPr>
        <w:t>that</w:t>
      </w:r>
      <w:r>
        <w:rPr>
          <w:spacing w:val="-12"/>
        </w:rPr>
        <w:t> </w:t>
      </w:r>
      <w:r>
        <w:rPr>
          <w:spacing w:val="-2"/>
        </w:rPr>
        <w:t>require</w:t>
      </w:r>
      <w:r>
        <w:rPr>
          <w:spacing w:val="-11"/>
        </w:rPr>
        <w:t> </w:t>
      </w:r>
      <w:r>
        <w:rPr>
          <w:spacing w:val="-2"/>
        </w:rPr>
        <w:t>working</w:t>
      </w:r>
      <w:r>
        <w:rPr>
          <w:spacing w:val="-12"/>
        </w:rPr>
        <w:t> </w:t>
      </w:r>
      <w:r>
        <w:rPr>
          <w:spacing w:val="-2"/>
        </w:rPr>
        <w:t>with</w:t>
      </w:r>
      <w:r>
        <w:rPr>
          <w:spacing w:val="-12"/>
        </w:rPr>
        <w:t> </w:t>
      </w:r>
      <w:r>
        <w:rPr>
          <w:spacing w:val="-2"/>
        </w:rPr>
        <w:t>the</w:t>
      </w:r>
      <w:r>
        <w:rPr>
          <w:spacing w:val="-12"/>
        </w:rPr>
        <w:t> </w:t>
      </w:r>
      <w:r>
        <w:rPr>
          <w:spacing w:val="-2"/>
        </w:rPr>
        <w:t>hands. </w:t>
      </w:r>
      <w:r>
        <w:rPr/>
        <w:t>These</w:t>
      </w:r>
      <w:r>
        <w:rPr>
          <w:spacing w:val="2"/>
        </w:rPr>
        <w:t> </w:t>
      </w:r>
      <w:r>
        <w:rPr/>
        <w:t>activities</w:t>
      </w:r>
      <w:r>
        <w:rPr>
          <w:spacing w:val="3"/>
        </w:rPr>
        <w:t> </w:t>
      </w:r>
      <w:r>
        <w:rPr/>
        <w:t>should</w:t>
      </w:r>
      <w:r>
        <w:rPr>
          <w:spacing w:val="3"/>
        </w:rPr>
        <w:t> </w:t>
      </w:r>
      <w:r>
        <w:rPr/>
        <w:t>not</w:t>
      </w:r>
      <w:r>
        <w:rPr>
          <w:spacing w:val="3"/>
        </w:rPr>
        <w:t> </w:t>
      </w:r>
      <w:r>
        <w:rPr/>
        <w:t>be</w:t>
      </w:r>
      <w:r>
        <w:rPr>
          <w:spacing w:val="3"/>
        </w:rPr>
        <w:t> </w:t>
      </w:r>
      <w:r>
        <w:rPr/>
        <w:t>treated</w:t>
      </w:r>
      <w:r>
        <w:rPr>
          <w:spacing w:val="3"/>
        </w:rPr>
        <w:t> </w:t>
      </w:r>
      <w:r>
        <w:rPr/>
        <w:t>as</w:t>
      </w:r>
      <w:r>
        <w:rPr>
          <w:spacing w:val="3"/>
        </w:rPr>
        <w:t> </w:t>
      </w:r>
      <w:r>
        <w:rPr/>
        <w:t>catering</w:t>
      </w:r>
      <w:r>
        <w:rPr>
          <w:spacing w:val="3"/>
        </w:rPr>
        <w:t> </w:t>
      </w:r>
      <w:r>
        <w:rPr/>
        <w:t>to</w:t>
      </w:r>
      <w:r>
        <w:rPr>
          <w:spacing w:val="3"/>
        </w:rPr>
        <w:t> </w:t>
      </w:r>
      <w:r>
        <w:rPr>
          <w:spacing w:val="-10"/>
        </w:rPr>
        <w:t>a</w:t>
      </w:r>
    </w:p>
    <w:p>
      <w:pPr>
        <w:pStyle w:val="BodyText"/>
        <w:spacing w:line="266" w:lineRule="auto" w:before="77"/>
        <w:ind w:left="319" w:right="1077"/>
        <w:jc w:val="both"/>
      </w:pPr>
      <w:r>
        <w:rPr/>
        <w:br w:type="column"/>
      </w:r>
      <w:r>
        <w:rPr/>
        <w:t>parallel</w:t>
      </w:r>
      <w:r>
        <w:rPr>
          <w:spacing w:val="-7"/>
        </w:rPr>
        <w:t> </w:t>
      </w:r>
      <w:r>
        <w:rPr/>
        <w:t>stream,</w:t>
      </w:r>
      <w:r>
        <w:rPr>
          <w:spacing w:val="-7"/>
        </w:rPr>
        <w:t> </w:t>
      </w:r>
      <w:r>
        <w:rPr/>
        <w:t>but</w:t>
      </w:r>
      <w:r>
        <w:rPr>
          <w:spacing w:val="-7"/>
        </w:rPr>
        <w:t> </w:t>
      </w:r>
      <w:r>
        <w:rPr/>
        <w:t>should</w:t>
      </w:r>
      <w:r>
        <w:rPr>
          <w:spacing w:val="-7"/>
        </w:rPr>
        <w:t> </w:t>
      </w:r>
      <w:r>
        <w:rPr/>
        <w:t>be</w:t>
      </w:r>
      <w:r>
        <w:rPr>
          <w:spacing w:val="-7"/>
        </w:rPr>
        <w:t> </w:t>
      </w:r>
      <w:r>
        <w:rPr/>
        <w:t>provided</w:t>
      </w:r>
      <w:r>
        <w:rPr>
          <w:spacing w:val="-7"/>
        </w:rPr>
        <w:t> </w:t>
      </w:r>
      <w:r>
        <w:rPr/>
        <w:t>to</w:t>
      </w:r>
      <w:r>
        <w:rPr>
          <w:spacing w:val="-7"/>
        </w:rPr>
        <w:t> </w:t>
      </w:r>
      <w:r>
        <w:rPr/>
        <w:t>all</w:t>
      </w:r>
      <w:r>
        <w:rPr>
          <w:spacing w:val="-7"/>
        </w:rPr>
        <w:t> </w:t>
      </w:r>
      <w:r>
        <w:rPr/>
        <w:t>students and integrated with the overall syllabus. Once </w:t>
      </w:r>
      <w:r>
        <w:rPr/>
        <w:t>again, links with the Skill Development Mission should be developed</w:t>
      </w:r>
      <w:r>
        <w:rPr>
          <w:spacing w:val="-6"/>
        </w:rPr>
        <w:t> </w:t>
      </w:r>
      <w:r>
        <w:rPr/>
        <w:t>wherever</w:t>
      </w:r>
      <w:r>
        <w:rPr>
          <w:spacing w:val="-4"/>
        </w:rPr>
        <w:t> </w:t>
      </w:r>
      <w:r>
        <w:rPr/>
        <w:t>possible.</w:t>
      </w:r>
    </w:p>
    <w:p>
      <w:pPr>
        <w:pStyle w:val="BodyText"/>
        <w:spacing w:before="1"/>
      </w:pPr>
    </w:p>
    <w:p>
      <w:pPr>
        <w:pStyle w:val="Heading7"/>
        <w:numPr>
          <w:ilvl w:val="1"/>
          <w:numId w:val="14"/>
        </w:numPr>
        <w:tabs>
          <w:tab w:pos="849" w:val="left" w:leader="none"/>
        </w:tabs>
        <w:spacing w:line="225" w:lineRule="auto" w:before="0" w:after="0"/>
        <w:ind w:left="849" w:right="1225" w:hanging="531"/>
        <w:jc w:val="left"/>
      </w:pPr>
      <w:r>
        <w:rPr>
          <w:color w:val="2E614A"/>
          <w:w w:val="90"/>
        </w:rPr>
        <w:t>Changes in the examination system </w:t>
      </w:r>
      <w:r>
        <w:rPr>
          <w:color w:val="2E614A"/>
          <w:w w:val="90"/>
        </w:rPr>
        <w:t>are </w:t>
      </w:r>
      <w:r>
        <w:rPr>
          <w:color w:val="2E614A"/>
          <w:spacing w:val="-6"/>
        </w:rPr>
        <w:t>required,</w:t>
      </w:r>
      <w:r>
        <w:rPr>
          <w:color w:val="2E614A"/>
          <w:spacing w:val="-7"/>
        </w:rPr>
        <w:t> </w:t>
      </w:r>
      <w:r>
        <w:rPr>
          <w:color w:val="2E614A"/>
          <w:spacing w:val="-6"/>
        </w:rPr>
        <w:t>especially</w:t>
      </w:r>
      <w:r>
        <w:rPr>
          <w:color w:val="2E614A"/>
          <w:spacing w:val="-7"/>
        </w:rPr>
        <w:t> </w:t>
      </w:r>
      <w:r>
        <w:rPr>
          <w:color w:val="2E614A"/>
          <w:spacing w:val="-6"/>
        </w:rPr>
        <w:t>at</w:t>
      </w:r>
      <w:r>
        <w:rPr>
          <w:color w:val="2E614A"/>
          <w:spacing w:val="-7"/>
        </w:rPr>
        <w:t> </w:t>
      </w:r>
      <w:r>
        <w:rPr>
          <w:color w:val="2E614A"/>
          <w:spacing w:val="-6"/>
        </w:rPr>
        <w:t>Board</w:t>
      </w:r>
      <w:r>
        <w:rPr>
          <w:color w:val="2E614A"/>
          <w:spacing w:val="-7"/>
        </w:rPr>
        <w:t> </w:t>
      </w:r>
      <w:r>
        <w:rPr>
          <w:color w:val="2E614A"/>
          <w:spacing w:val="-6"/>
        </w:rPr>
        <w:t>level</w:t>
      </w:r>
      <w:r>
        <w:rPr>
          <w:color w:val="2E614A"/>
          <w:spacing w:val="-7"/>
        </w:rPr>
        <w:t> </w:t>
      </w:r>
      <w:r>
        <w:rPr>
          <w:color w:val="2E614A"/>
          <w:spacing w:val="-6"/>
        </w:rPr>
        <w:t>but </w:t>
      </w:r>
      <w:r>
        <w:rPr>
          <w:color w:val="2E614A"/>
          <w:spacing w:val="-8"/>
        </w:rPr>
        <w:t>also</w:t>
      </w:r>
      <w:r>
        <w:rPr>
          <w:color w:val="2E614A"/>
          <w:spacing w:val="-9"/>
        </w:rPr>
        <w:t> </w:t>
      </w:r>
      <w:r>
        <w:rPr>
          <w:color w:val="2E614A"/>
          <w:spacing w:val="-8"/>
        </w:rPr>
        <w:t>earlier, to ensure that</w:t>
      </w:r>
      <w:r>
        <w:rPr>
          <w:color w:val="2E614A"/>
          <w:spacing w:val="-9"/>
        </w:rPr>
        <w:t> </w:t>
      </w:r>
      <w:r>
        <w:rPr>
          <w:color w:val="2E614A"/>
          <w:spacing w:val="-8"/>
        </w:rPr>
        <w:t>the pressure </w:t>
      </w:r>
      <w:r>
        <w:rPr>
          <w:color w:val="2E614A"/>
          <w:spacing w:val="-2"/>
        </w:rPr>
        <w:t>for</w:t>
      </w:r>
      <w:r>
        <w:rPr>
          <w:color w:val="2E614A"/>
          <w:spacing w:val="-15"/>
        </w:rPr>
        <w:t> </w:t>
      </w:r>
      <w:r>
        <w:rPr>
          <w:color w:val="2E614A"/>
          <w:spacing w:val="-2"/>
        </w:rPr>
        <w:t>rote-learning</w:t>
      </w:r>
      <w:r>
        <w:rPr>
          <w:color w:val="2E614A"/>
          <w:spacing w:val="-14"/>
        </w:rPr>
        <w:t> </w:t>
      </w:r>
      <w:r>
        <w:rPr>
          <w:color w:val="2E614A"/>
          <w:spacing w:val="-2"/>
        </w:rPr>
        <w:t>is</w:t>
      </w:r>
      <w:r>
        <w:rPr>
          <w:color w:val="2E614A"/>
          <w:spacing w:val="-14"/>
        </w:rPr>
        <w:t> </w:t>
      </w:r>
      <w:r>
        <w:rPr>
          <w:color w:val="2E614A"/>
          <w:spacing w:val="-2"/>
        </w:rPr>
        <w:t>reduced.</w:t>
      </w:r>
    </w:p>
    <w:p>
      <w:pPr>
        <w:pStyle w:val="BodyText"/>
        <w:rPr>
          <w:b/>
          <w:sz w:val="26"/>
        </w:rPr>
      </w:pPr>
    </w:p>
    <w:p>
      <w:pPr>
        <w:pStyle w:val="BodyText"/>
        <w:spacing w:line="266" w:lineRule="auto"/>
        <w:ind w:left="319" w:right="1077"/>
        <w:jc w:val="both"/>
      </w:pPr>
      <w:r>
        <w:rPr/>
        <w:t>The</w:t>
      </w:r>
      <w:r>
        <w:rPr>
          <w:spacing w:val="-1"/>
        </w:rPr>
        <w:t> </w:t>
      </w:r>
      <w:r>
        <w:rPr/>
        <w:t>current</w:t>
      </w:r>
      <w:r>
        <w:rPr>
          <w:spacing w:val="-1"/>
        </w:rPr>
        <w:t> </w:t>
      </w:r>
      <w:r>
        <w:rPr/>
        <w:t>over-emphasis</w:t>
      </w:r>
      <w:r>
        <w:rPr>
          <w:spacing w:val="-1"/>
        </w:rPr>
        <w:t> </w:t>
      </w:r>
      <w:r>
        <w:rPr/>
        <w:t>on</w:t>
      </w:r>
      <w:r>
        <w:rPr>
          <w:spacing w:val="-1"/>
        </w:rPr>
        <w:t> </w:t>
      </w:r>
      <w:r>
        <w:rPr/>
        <w:t>details,</w:t>
      </w:r>
      <w:r>
        <w:rPr>
          <w:spacing w:val="-1"/>
        </w:rPr>
        <w:t> </w:t>
      </w:r>
      <w:r>
        <w:rPr/>
        <w:t>memorising</w:t>
      </w:r>
      <w:r>
        <w:rPr>
          <w:spacing w:val="-1"/>
        </w:rPr>
        <w:t> </w:t>
      </w:r>
      <w:r>
        <w:rPr/>
        <w:t>of facts</w:t>
      </w:r>
      <w:r>
        <w:rPr>
          <w:spacing w:val="-14"/>
        </w:rPr>
        <w:t> </w:t>
      </w:r>
      <w:r>
        <w:rPr/>
        <w:t>and</w:t>
      </w:r>
      <w:r>
        <w:rPr>
          <w:spacing w:val="-14"/>
        </w:rPr>
        <w:t> </w:t>
      </w:r>
      <w:r>
        <w:rPr/>
        <w:t>similar</w:t>
      </w:r>
      <w:r>
        <w:rPr>
          <w:spacing w:val="-14"/>
        </w:rPr>
        <w:t> </w:t>
      </w:r>
      <w:r>
        <w:rPr/>
        <w:t>abilities</w:t>
      </w:r>
      <w:r>
        <w:rPr>
          <w:spacing w:val="-13"/>
        </w:rPr>
        <w:t> </w:t>
      </w:r>
      <w:r>
        <w:rPr/>
        <w:t>rather</w:t>
      </w:r>
      <w:r>
        <w:rPr>
          <w:spacing w:val="-14"/>
        </w:rPr>
        <w:t> </w:t>
      </w:r>
      <w:r>
        <w:rPr/>
        <w:t>than</w:t>
      </w:r>
      <w:r>
        <w:rPr>
          <w:spacing w:val="-14"/>
        </w:rPr>
        <w:t> </w:t>
      </w:r>
      <w:r>
        <w:rPr/>
        <w:t>on</w:t>
      </w:r>
      <w:r>
        <w:rPr>
          <w:spacing w:val="-14"/>
        </w:rPr>
        <w:t> </w:t>
      </w:r>
      <w:r>
        <w:rPr/>
        <w:t>understanding </w:t>
      </w:r>
      <w:r>
        <w:rPr>
          <w:spacing w:val="-2"/>
        </w:rPr>
        <w:t>and</w:t>
      </w:r>
      <w:r>
        <w:rPr>
          <w:spacing w:val="-6"/>
        </w:rPr>
        <w:t> </w:t>
      </w:r>
      <w:r>
        <w:rPr>
          <w:spacing w:val="-2"/>
        </w:rPr>
        <w:t>accessing</w:t>
      </w:r>
      <w:r>
        <w:rPr>
          <w:spacing w:val="-6"/>
        </w:rPr>
        <w:t> </w:t>
      </w:r>
      <w:r>
        <w:rPr>
          <w:spacing w:val="-2"/>
        </w:rPr>
        <w:t>knowledge</w:t>
      </w:r>
      <w:r>
        <w:rPr>
          <w:spacing w:val="-6"/>
        </w:rPr>
        <w:t> </w:t>
      </w:r>
      <w:r>
        <w:rPr>
          <w:spacing w:val="-2"/>
        </w:rPr>
        <w:t>independently</w:t>
      </w:r>
      <w:r>
        <w:rPr>
          <w:spacing w:val="-6"/>
        </w:rPr>
        <w:t> </w:t>
      </w:r>
      <w:r>
        <w:rPr>
          <w:spacing w:val="-2"/>
        </w:rPr>
        <w:t>is</w:t>
      </w:r>
      <w:r>
        <w:rPr>
          <w:spacing w:val="-6"/>
        </w:rPr>
        <w:t> </w:t>
      </w:r>
      <w:r>
        <w:rPr>
          <w:spacing w:val="-2"/>
        </w:rPr>
        <w:t>reflected</w:t>
      </w:r>
      <w:r>
        <w:rPr>
          <w:spacing w:val="-6"/>
        </w:rPr>
        <w:t> </w:t>
      </w:r>
      <w:r>
        <w:rPr>
          <w:spacing w:val="-2"/>
        </w:rPr>
        <w:t>in </w:t>
      </w:r>
      <w:r>
        <w:rPr/>
        <w:t>the pattern of examinations. Board examinations in which</w:t>
      </w:r>
      <w:r>
        <w:rPr>
          <w:spacing w:val="-14"/>
        </w:rPr>
        <w:t> </w:t>
      </w:r>
      <w:r>
        <w:rPr/>
        <w:t>marks</w:t>
      </w:r>
      <w:r>
        <w:rPr>
          <w:spacing w:val="-14"/>
        </w:rPr>
        <w:t> </w:t>
      </w:r>
      <w:r>
        <w:rPr/>
        <w:t>are</w:t>
      </w:r>
      <w:r>
        <w:rPr>
          <w:spacing w:val="-14"/>
        </w:rPr>
        <w:t> </w:t>
      </w:r>
      <w:r>
        <w:rPr/>
        <w:t>awarded</w:t>
      </w:r>
      <w:r>
        <w:rPr>
          <w:spacing w:val="-13"/>
        </w:rPr>
        <w:t> </w:t>
      </w:r>
      <w:r>
        <w:rPr/>
        <w:t>based</w:t>
      </w:r>
      <w:r>
        <w:rPr>
          <w:spacing w:val="-14"/>
        </w:rPr>
        <w:t> </w:t>
      </w:r>
      <w:r>
        <w:rPr/>
        <w:t>on</w:t>
      </w:r>
      <w:r>
        <w:rPr>
          <w:spacing w:val="-14"/>
        </w:rPr>
        <w:t> </w:t>
      </w:r>
      <w:r>
        <w:rPr/>
        <w:t>the</w:t>
      </w:r>
      <w:r>
        <w:rPr>
          <w:spacing w:val="-14"/>
        </w:rPr>
        <w:t> </w:t>
      </w:r>
      <w:r>
        <w:rPr/>
        <w:t>ability</w:t>
      </w:r>
      <w:r>
        <w:rPr>
          <w:spacing w:val="-13"/>
        </w:rPr>
        <w:t> </w:t>
      </w:r>
      <w:r>
        <w:rPr/>
        <w:t>to</w:t>
      </w:r>
      <w:r>
        <w:rPr>
          <w:spacing w:val="-14"/>
        </w:rPr>
        <w:t> </w:t>
      </w:r>
      <w:r>
        <w:rPr/>
        <w:t>recall </w:t>
      </w:r>
      <w:r>
        <w:rPr>
          <w:spacing w:val="-4"/>
        </w:rPr>
        <w:t>lots</w:t>
      </w:r>
      <w:r>
        <w:rPr>
          <w:spacing w:val="-10"/>
        </w:rPr>
        <w:t> </w:t>
      </w:r>
      <w:r>
        <w:rPr>
          <w:spacing w:val="-4"/>
        </w:rPr>
        <w:t>of</w:t>
      </w:r>
      <w:r>
        <w:rPr>
          <w:spacing w:val="-9"/>
        </w:rPr>
        <w:t> </w:t>
      </w:r>
      <w:r>
        <w:rPr>
          <w:spacing w:val="-4"/>
        </w:rPr>
        <w:t>details</w:t>
      </w:r>
      <w:r>
        <w:rPr>
          <w:spacing w:val="-10"/>
        </w:rPr>
        <w:t> </w:t>
      </w:r>
      <w:r>
        <w:rPr>
          <w:spacing w:val="-4"/>
        </w:rPr>
        <w:t>or</w:t>
      </w:r>
      <w:r>
        <w:rPr>
          <w:spacing w:val="-9"/>
        </w:rPr>
        <w:t> </w:t>
      </w:r>
      <w:r>
        <w:rPr>
          <w:spacing w:val="-4"/>
        </w:rPr>
        <w:t>on</w:t>
      </w:r>
      <w:r>
        <w:rPr>
          <w:spacing w:val="-10"/>
        </w:rPr>
        <w:t> </w:t>
      </w:r>
      <w:r>
        <w:rPr>
          <w:spacing w:val="-4"/>
        </w:rPr>
        <w:t>rapidity</w:t>
      </w:r>
      <w:r>
        <w:rPr>
          <w:spacing w:val="-9"/>
        </w:rPr>
        <w:t> </w:t>
      </w:r>
      <w:r>
        <w:rPr>
          <w:spacing w:val="-4"/>
        </w:rPr>
        <w:t>of</w:t>
      </w:r>
      <w:r>
        <w:rPr>
          <w:spacing w:val="-10"/>
        </w:rPr>
        <w:t> </w:t>
      </w:r>
      <w:r>
        <w:rPr>
          <w:spacing w:val="-4"/>
        </w:rPr>
        <w:t>response</w:t>
      </w:r>
      <w:r>
        <w:rPr>
          <w:spacing w:val="-9"/>
        </w:rPr>
        <w:t> </w:t>
      </w:r>
      <w:r>
        <w:rPr>
          <w:spacing w:val="-4"/>
        </w:rPr>
        <w:t>or</w:t>
      </w:r>
      <w:r>
        <w:rPr>
          <w:spacing w:val="-10"/>
        </w:rPr>
        <w:t> </w:t>
      </w:r>
      <w:r>
        <w:rPr>
          <w:spacing w:val="-4"/>
        </w:rPr>
        <w:t>on</w:t>
      </w:r>
      <w:r>
        <w:rPr>
          <w:spacing w:val="-9"/>
        </w:rPr>
        <w:t> </w:t>
      </w:r>
      <w:r>
        <w:rPr>
          <w:spacing w:val="-4"/>
        </w:rPr>
        <w:t>the</w:t>
      </w:r>
      <w:r>
        <w:rPr>
          <w:spacing w:val="-10"/>
        </w:rPr>
        <w:t> </w:t>
      </w:r>
      <w:r>
        <w:rPr>
          <w:spacing w:val="-4"/>
        </w:rPr>
        <w:t>ability to</w:t>
      </w:r>
      <w:r>
        <w:rPr>
          <w:spacing w:val="-8"/>
        </w:rPr>
        <w:t> </w:t>
      </w:r>
      <w:r>
        <w:rPr>
          <w:spacing w:val="-4"/>
        </w:rPr>
        <w:t>do</w:t>
      </w:r>
      <w:r>
        <w:rPr>
          <w:spacing w:val="-8"/>
        </w:rPr>
        <w:t> </w:t>
      </w:r>
      <w:r>
        <w:rPr>
          <w:spacing w:val="-4"/>
        </w:rPr>
        <w:t>large</w:t>
      </w:r>
      <w:r>
        <w:rPr>
          <w:spacing w:val="-8"/>
        </w:rPr>
        <w:t> </w:t>
      </w:r>
      <w:r>
        <w:rPr>
          <w:spacing w:val="-4"/>
        </w:rPr>
        <w:t>numbers</w:t>
      </w:r>
      <w:r>
        <w:rPr>
          <w:spacing w:val="-8"/>
        </w:rPr>
        <w:t> </w:t>
      </w:r>
      <w:r>
        <w:rPr>
          <w:spacing w:val="-4"/>
        </w:rPr>
        <w:t>of</w:t>
      </w:r>
      <w:r>
        <w:rPr>
          <w:spacing w:val="-8"/>
        </w:rPr>
        <w:t> </w:t>
      </w:r>
      <w:r>
        <w:rPr>
          <w:spacing w:val="-4"/>
        </w:rPr>
        <w:t>sums</w:t>
      </w:r>
      <w:r>
        <w:rPr>
          <w:spacing w:val="-8"/>
        </w:rPr>
        <w:t> </w:t>
      </w:r>
      <w:r>
        <w:rPr>
          <w:spacing w:val="-4"/>
        </w:rPr>
        <w:t>in</w:t>
      </w:r>
      <w:r>
        <w:rPr>
          <w:spacing w:val="-8"/>
        </w:rPr>
        <w:t> </w:t>
      </w:r>
      <w:r>
        <w:rPr>
          <w:spacing w:val="-4"/>
        </w:rPr>
        <w:t>a</w:t>
      </w:r>
      <w:r>
        <w:rPr>
          <w:spacing w:val="-8"/>
        </w:rPr>
        <w:t> </w:t>
      </w:r>
      <w:r>
        <w:rPr>
          <w:spacing w:val="-4"/>
        </w:rPr>
        <w:t>limited</w:t>
      </w:r>
      <w:r>
        <w:rPr>
          <w:spacing w:val="-8"/>
        </w:rPr>
        <w:t> </w:t>
      </w:r>
      <w:r>
        <w:rPr>
          <w:spacing w:val="-4"/>
        </w:rPr>
        <w:t>period</w:t>
      </w:r>
      <w:r>
        <w:rPr>
          <w:spacing w:val="-8"/>
        </w:rPr>
        <w:t> </w:t>
      </w:r>
      <w:r>
        <w:rPr>
          <w:spacing w:val="-4"/>
        </w:rPr>
        <w:t>through </w:t>
      </w:r>
      <w:r>
        <w:rPr/>
        <w:t>practice in pattern recognition, are not sufficiently discriminatory</w:t>
      </w:r>
      <w:r>
        <w:rPr>
          <w:spacing w:val="-2"/>
        </w:rPr>
        <w:t> </w:t>
      </w:r>
      <w:r>
        <w:rPr/>
        <w:t>and</w:t>
      </w:r>
      <w:r>
        <w:rPr>
          <w:spacing w:val="-2"/>
        </w:rPr>
        <w:t> </w:t>
      </w:r>
      <w:r>
        <w:rPr/>
        <w:t>may</w:t>
      </w:r>
      <w:r>
        <w:rPr>
          <w:spacing w:val="-2"/>
        </w:rPr>
        <w:t> </w:t>
      </w:r>
      <w:r>
        <w:rPr/>
        <w:t>end</w:t>
      </w:r>
      <w:r>
        <w:rPr>
          <w:spacing w:val="-2"/>
        </w:rPr>
        <w:t> </w:t>
      </w:r>
      <w:r>
        <w:rPr/>
        <w:t>up</w:t>
      </w:r>
      <w:r>
        <w:rPr>
          <w:spacing w:val="-2"/>
        </w:rPr>
        <w:t> </w:t>
      </w:r>
      <w:r>
        <w:rPr/>
        <w:t>providing</w:t>
      </w:r>
      <w:r>
        <w:rPr>
          <w:spacing w:val="-2"/>
        </w:rPr>
        <w:t> </w:t>
      </w:r>
      <w:r>
        <w:rPr/>
        <w:t>misleading </w:t>
      </w:r>
      <w:r>
        <w:rPr>
          <w:spacing w:val="-4"/>
        </w:rPr>
        <w:t>results.</w:t>
      </w:r>
      <w:r>
        <w:rPr>
          <w:spacing w:val="-10"/>
        </w:rPr>
        <w:t> </w:t>
      </w:r>
      <w:r>
        <w:rPr>
          <w:spacing w:val="-4"/>
        </w:rPr>
        <w:t>They</w:t>
      </w:r>
      <w:r>
        <w:rPr>
          <w:spacing w:val="-8"/>
        </w:rPr>
        <w:t> </w:t>
      </w:r>
      <w:r>
        <w:rPr>
          <w:spacing w:val="-4"/>
        </w:rPr>
        <w:t>also</w:t>
      </w:r>
      <w:r>
        <w:rPr>
          <w:spacing w:val="-5"/>
        </w:rPr>
        <w:t> </w:t>
      </w:r>
      <w:r>
        <w:rPr>
          <w:spacing w:val="-4"/>
        </w:rPr>
        <w:t>put</w:t>
      </w:r>
      <w:r>
        <w:rPr>
          <w:spacing w:val="-5"/>
        </w:rPr>
        <w:t> </w:t>
      </w:r>
      <w:r>
        <w:rPr>
          <w:spacing w:val="-4"/>
        </w:rPr>
        <w:t>pressure</w:t>
      </w:r>
      <w:r>
        <w:rPr>
          <w:spacing w:val="-5"/>
        </w:rPr>
        <w:t> </w:t>
      </w:r>
      <w:r>
        <w:rPr>
          <w:spacing w:val="-4"/>
        </w:rPr>
        <w:t>on</w:t>
      </w:r>
      <w:r>
        <w:rPr>
          <w:spacing w:val="-5"/>
        </w:rPr>
        <w:t> </w:t>
      </w:r>
      <w:r>
        <w:rPr>
          <w:spacing w:val="-4"/>
        </w:rPr>
        <w:t>schools</w:t>
      </w:r>
      <w:r>
        <w:rPr>
          <w:spacing w:val="-5"/>
        </w:rPr>
        <w:t> </w:t>
      </w:r>
      <w:r>
        <w:rPr>
          <w:spacing w:val="-4"/>
        </w:rPr>
        <w:t>to</w:t>
      </w:r>
      <w:r>
        <w:rPr>
          <w:spacing w:val="-5"/>
        </w:rPr>
        <w:t> </w:t>
      </w:r>
      <w:r>
        <w:rPr>
          <w:spacing w:val="-4"/>
        </w:rPr>
        <w:t>ensure</w:t>
      </w:r>
      <w:r>
        <w:rPr>
          <w:spacing w:val="-5"/>
        </w:rPr>
        <w:t> </w:t>
      </w:r>
      <w:r>
        <w:rPr>
          <w:spacing w:val="-4"/>
        </w:rPr>
        <w:t>that </w:t>
      </w:r>
      <w:r>
        <w:rPr>
          <w:spacing w:val="-2"/>
        </w:rPr>
        <w:t>memory</w:t>
      </w:r>
      <w:r>
        <w:rPr>
          <w:spacing w:val="-12"/>
        </w:rPr>
        <w:t> </w:t>
      </w:r>
      <w:r>
        <w:rPr>
          <w:spacing w:val="-2"/>
        </w:rPr>
        <w:t>and</w:t>
      </w:r>
      <w:r>
        <w:rPr>
          <w:spacing w:val="-12"/>
        </w:rPr>
        <w:t> </w:t>
      </w:r>
      <w:r>
        <w:rPr>
          <w:spacing w:val="-2"/>
        </w:rPr>
        <w:t>pattern</w:t>
      </w:r>
      <w:r>
        <w:rPr>
          <w:spacing w:val="-12"/>
        </w:rPr>
        <w:t> </w:t>
      </w:r>
      <w:r>
        <w:rPr>
          <w:spacing w:val="-2"/>
        </w:rPr>
        <w:t>recognition</w:t>
      </w:r>
      <w:r>
        <w:rPr>
          <w:spacing w:val="-11"/>
        </w:rPr>
        <w:t> </w:t>
      </w:r>
      <w:r>
        <w:rPr>
          <w:spacing w:val="-2"/>
        </w:rPr>
        <w:t>skills</w:t>
      </w:r>
      <w:r>
        <w:rPr>
          <w:spacing w:val="-12"/>
        </w:rPr>
        <w:t> </w:t>
      </w:r>
      <w:r>
        <w:rPr>
          <w:spacing w:val="-2"/>
        </w:rPr>
        <w:t>are</w:t>
      </w:r>
      <w:r>
        <w:rPr>
          <w:spacing w:val="-12"/>
        </w:rPr>
        <w:t> </w:t>
      </w:r>
      <w:r>
        <w:rPr>
          <w:spacing w:val="-2"/>
        </w:rPr>
        <w:t>developed</w:t>
      </w:r>
      <w:r>
        <w:rPr>
          <w:spacing w:val="-12"/>
        </w:rPr>
        <w:t> </w:t>
      </w:r>
      <w:r>
        <w:rPr>
          <w:spacing w:val="-2"/>
        </w:rPr>
        <w:t>at </w:t>
      </w:r>
      <w:r>
        <w:rPr/>
        <w:t>the expense of genuine understanding.</w:t>
      </w:r>
    </w:p>
    <w:p>
      <w:pPr>
        <w:pStyle w:val="BodyText"/>
        <w:spacing w:before="17"/>
      </w:pPr>
    </w:p>
    <w:p>
      <w:pPr>
        <w:pStyle w:val="BodyText"/>
        <w:spacing w:line="266" w:lineRule="auto"/>
        <w:ind w:left="319" w:right="1077"/>
        <w:jc w:val="both"/>
      </w:pPr>
      <w:r>
        <w:rPr/>
        <w:t>This is also reflected in the pattern of </w:t>
      </w:r>
      <w:r>
        <w:rPr/>
        <w:t>annual examinations which many schools continue to run even in junior classes such as Class III and Class V. Performance in such examinations then becomes the basis for choosing students who will be eligible for </w:t>
      </w:r>
      <w:r>
        <w:rPr>
          <w:spacing w:val="-2"/>
        </w:rPr>
        <w:t>scholarships</w:t>
      </w:r>
      <w:r>
        <w:rPr>
          <w:spacing w:val="-4"/>
        </w:rPr>
        <w:t> </w:t>
      </w:r>
      <w:r>
        <w:rPr>
          <w:spacing w:val="-2"/>
        </w:rPr>
        <w:t>or</w:t>
      </w:r>
      <w:r>
        <w:rPr>
          <w:spacing w:val="-4"/>
        </w:rPr>
        <w:t> </w:t>
      </w:r>
      <w:r>
        <w:rPr>
          <w:spacing w:val="-2"/>
        </w:rPr>
        <w:t>gain</w:t>
      </w:r>
      <w:r>
        <w:rPr>
          <w:spacing w:val="-4"/>
        </w:rPr>
        <w:t> </w:t>
      </w:r>
      <w:r>
        <w:rPr>
          <w:spacing w:val="-2"/>
        </w:rPr>
        <w:t>entrance</w:t>
      </w:r>
      <w:r>
        <w:rPr>
          <w:spacing w:val="-4"/>
        </w:rPr>
        <w:t> </w:t>
      </w:r>
      <w:r>
        <w:rPr>
          <w:spacing w:val="-2"/>
        </w:rPr>
        <w:t>to</w:t>
      </w:r>
      <w:r>
        <w:rPr>
          <w:spacing w:val="-4"/>
        </w:rPr>
        <w:t> </w:t>
      </w:r>
      <w:r>
        <w:rPr>
          <w:spacing w:val="-2"/>
        </w:rPr>
        <w:t>Navodaya</w:t>
      </w:r>
      <w:r>
        <w:rPr>
          <w:spacing w:val="-6"/>
        </w:rPr>
        <w:t> </w:t>
      </w:r>
      <w:r>
        <w:rPr>
          <w:spacing w:val="-2"/>
        </w:rPr>
        <w:t>Vidyalayas </w:t>
      </w:r>
      <w:r>
        <w:rPr>
          <w:spacing w:val="-4"/>
        </w:rPr>
        <w:t>and</w:t>
      </w:r>
      <w:r>
        <w:rPr>
          <w:spacing w:val="-9"/>
        </w:rPr>
        <w:t> </w:t>
      </w:r>
      <w:r>
        <w:rPr>
          <w:spacing w:val="-4"/>
        </w:rPr>
        <w:t>similar</w:t>
      </w:r>
      <w:r>
        <w:rPr>
          <w:spacing w:val="-9"/>
        </w:rPr>
        <w:t> </w:t>
      </w:r>
      <w:r>
        <w:rPr>
          <w:spacing w:val="-4"/>
        </w:rPr>
        <w:t>schools.</w:t>
      </w:r>
      <w:r>
        <w:rPr>
          <w:spacing w:val="-9"/>
        </w:rPr>
        <w:t> </w:t>
      </w:r>
      <w:r>
        <w:rPr>
          <w:spacing w:val="-4"/>
        </w:rPr>
        <w:t>Forcing</w:t>
      </w:r>
      <w:r>
        <w:rPr>
          <w:spacing w:val="-9"/>
        </w:rPr>
        <w:t> </w:t>
      </w:r>
      <w:r>
        <w:rPr>
          <w:spacing w:val="-4"/>
        </w:rPr>
        <w:t>children</w:t>
      </w:r>
      <w:r>
        <w:rPr>
          <w:spacing w:val="-9"/>
        </w:rPr>
        <w:t> </w:t>
      </w:r>
      <w:r>
        <w:rPr>
          <w:spacing w:val="-4"/>
        </w:rPr>
        <w:t>to</w:t>
      </w:r>
      <w:r>
        <w:rPr>
          <w:spacing w:val="-9"/>
        </w:rPr>
        <w:t> </w:t>
      </w:r>
      <w:r>
        <w:rPr>
          <w:spacing w:val="-4"/>
        </w:rPr>
        <w:t>undergo</w:t>
      </w:r>
      <w:r>
        <w:rPr>
          <w:spacing w:val="-9"/>
        </w:rPr>
        <w:t> </w:t>
      </w:r>
      <w:r>
        <w:rPr>
          <w:spacing w:val="-4"/>
        </w:rPr>
        <w:t>a</w:t>
      </w:r>
      <w:r>
        <w:rPr>
          <w:spacing w:val="-9"/>
        </w:rPr>
        <w:t> </w:t>
      </w:r>
      <w:r>
        <w:rPr>
          <w:spacing w:val="-4"/>
        </w:rPr>
        <w:t>large </w:t>
      </w:r>
      <w:r>
        <w:rPr/>
        <w:t>number</w:t>
      </w:r>
      <w:r>
        <w:rPr>
          <w:spacing w:val="-7"/>
        </w:rPr>
        <w:t> </w:t>
      </w:r>
      <w:r>
        <w:rPr/>
        <w:t>of</w:t>
      </w:r>
      <w:r>
        <w:rPr>
          <w:spacing w:val="-7"/>
        </w:rPr>
        <w:t> </w:t>
      </w:r>
      <w:r>
        <w:rPr/>
        <w:t>examinations</w:t>
      </w:r>
      <w:r>
        <w:rPr>
          <w:spacing w:val="-7"/>
        </w:rPr>
        <w:t> </w:t>
      </w:r>
      <w:r>
        <w:rPr/>
        <w:t>in</w:t>
      </w:r>
      <w:r>
        <w:rPr>
          <w:spacing w:val="-7"/>
        </w:rPr>
        <w:t> </w:t>
      </w:r>
      <w:r>
        <w:rPr/>
        <w:t>different</w:t>
      </w:r>
      <w:r>
        <w:rPr>
          <w:spacing w:val="-7"/>
        </w:rPr>
        <w:t> </w:t>
      </w:r>
      <w:r>
        <w:rPr/>
        <w:t>subjects,</w:t>
      </w:r>
      <w:r>
        <w:rPr>
          <w:spacing w:val="-7"/>
        </w:rPr>
        <w:t> </w:t>
      </w:r>
      <w:r>
        <w:rPr/>
        <w:t>with</w:t>
      </w:r>
      <w:r>
        <w:rPr>
          <w:spacing w:val="-7"/>
        </w:rPr>
        <w:t> </w:t>
      </w:r>
      <w:r>
        <w:rPr/>
        <w:t>an </w:t>
      </w:r>
      <w:r>
        <w:rPr>
          <w:spacing w:val="-2"/>
        </w:rPr>
        <w:t>emphasis</w:t>
      </w:r>
      <w:r>
        <w:rPr>
          <w:spacing w:val="-12"/>
        </w:rPr>
        <w:t> </w:t>
      </w:r>
      <w:r>
        <w:rPr>
          <w:spacing w:val="-2"/>
        </w:rPr>
        <w:t>on</w:t>
      </w:r>
      <w:r>
        <w:rPr>
          <w:spacing w:val="-12"/>
        </w:rPr>
        <w:t> </w:t>
      </w:r>
      <w:r>
        <w:rPr>
          <w:spacing w:val="-2"/>
        </w:rPr>
        <w:t>memory</w:t>
      </w:r>
      <w:r>
        <w:rPr>
          <w:spacing w:val="-12"/>
        </w:rPr>
        <w:t> </w:t>
      </w:r>
      <w:r>
        <w:rPr>
          <w:spacing w:val="-2"/>
        </w:rPr>
        <w:t>rather</w:t>
      </w:r>
      <w:r>
        <w:rPr>
          <w:spacing w:val="-11"/>
        </w:rPr>
        <w:t> </w:t>
      </w:r>
      <w:r>
        <w:rPr>
          <w:spacing w:val="-2"/>
        </w:rPr>
        <w:t>than</w:t>
      </w:r>
      <w:r>
        <w:rPr>
          <w:spacing w:val="-12"/>
        </w:rPr>
        <w:t> </w:t>
      </w:r>
      <w:r>
        <w:rPr>
          <w:spacing w:val="-2"/>
        </w:rPr>
        <w:t>comprehension,</w:t>
      </w:r>
      <w:r>
        <w:rPr>
          <w:spacing w:val="-12"/>
        </w:rPr>
        <w:t> </w:t>
      </w:r>
      <w:r>
        <w:rPr>
          <w:spacing w:val="-2"/>
        </w:rPr>
        <w:t>must </w:t>
      </w:r>
      <w:r>
        <w:rPr/>
        <w:t>be discouraged at the primary level.</w:t>
      </w:r>
    </w:p>
    <w:p>
      <w:pPr>
        <w:pStyle w:val="BodyText"/>
        <w:spacing w:before="19"/>
      </w:pPr>
    </w:p>
    <w:p>
      <w:pPr>
        <w:pStyle w:val="BodyText"/>
        <w:spacing w:line="266" w:lineRule="auto"/>
        <w:ind w:left="319" w:right="1077"/>
        <w:jc w:val="both"/>
      </w:pPr>
      <w:r>
        <w:rPr/>
        <w:t>For</w:t>
      </w:r>
      <w:r>
        <w:rPr>
          <w:spacing w:val="-14"/>
        </w:rPr>
        <w:t> </w:t>
      </w:r>
      <w:r>
        <w:rPr/>
        <w:t>curriculum</w:t>
      </w:r>
      <w:r>
        <w:rPr>
          <w:spacing w:val="-14"/>
        </w:rPr>
        <w:t> </w:t>
      </w:r>
      <w:r>
        <w:rPr/>
        <w:t>reform</w:t>
      </w:r>
      <w:r>
        <w:rPr>
          <w:spacing w:val="-14"/>
        </w:rPr>
        <w:t> </w:t>
      </w:r>
      <w:r>
        <w:rPr/>
        <w:t>to</w:t>
      </w:r>
      <w:r>
        <w:rPr>
          <w:spacing w:val="-13"/>
        </w:rPr>
        <w:t> </w:t>
      </w:r>
      <w:r>
        <w:rPr/>
        <w:t>be</w:t>
      </w:r>
      <w:r>
        <w:rPr>
          <w:spacing w:val="-14"/>
        </w:rPr>
        <w:t> </w:t>
      </w:r>
      <w:r>
        <w:rPr/>
        <w:t>successful,</w:t>
      </w:r>
      <w:r>
        <w:rPr>
          <w:spacing w:val="-14"/>
        </w:rPr>
        <w:t> </w:t>
      </w:r>
      <w:r>
        <w:rPr/>
        <w:t>it</w:t>
      </w:r>
      <w:r>
        <w:rPr>
          <w:spacing w:val="-14"/>
        </w:rPr>
        <w:t> </w:t>
      </w:r>
      <w:r>
        <w:rPr/>
        <w:t>is</w:t>
      </w:r>
      <w:r>
        <w:rPr>
          <w:spacing w:val="-13"/>
        </w:rPr>
        <w:t> </w:t>
      </w:r>
      <w:r>
        <w:rPr/>
        <w:t>necessary to make major changes in the examination system. This applies equally to some of the national school boards (such as CBSE) and the state-level boards. It is also crucial to push for such reform in the annual examinations</w:t>
      </w:r>
      <w:r>
        <w:rPr>
          <w:spacing w:val="-5"/>
        </w:rPr>
        <w:t> </w:t>
      </w:r>
      <w:r>
        <w:rPr/>
        <w:t>held</w:t>
      </w:r>
      <w:r>
        <w:rPr>
          <w:spacing w:val="-5"/>
        </w:rPr>
        <w:t> </w:t>
      </w:r>
      <w:r>
        <w:rPr/>
        <w:t>by</w:t>
      </w:r>
      <w:r>
        <w:rPr>
          <w:spacing w:val="-5"/>
        </w:rPr>
        <w:t> </w:t>
      </w:r>
      <w:r>
        <w:rPr/>
        <w:t>schools,</w:t>
      </w:r>
      <w:r>
        <w:rPr>
          <w:spacing w:val="-5"/>
        </w:rPr>
        <w:t> </w:t>
      </w:r>
      <w:r>
        <w:rPr/>
        <w:t>where</w:t>
      </w:r>
      <w:r>
        <w:rPr>
          <w:spacing w:val="-5"/>
        </w:rPr>
        <w:t> </w:t>
      </w:r>
      <w:r>
        <w:rPr/>
        <w:t>the</w:t>
      </w:r>
      <w:r>
        <w:rPr>
          <w:spacing w:val="-5"/>
        </w:rPr>
        <w:t> </w:t>
      </w:r>
      <w:r>
        <w:rPr/>
        <w:t>testing</w:t>
      </w:r>
      <w:r>
        <w:rPr>
          <w:spacing w:val="-5"/>
        </w:rPr>
        <w:t> </w:t>
      </w:r>
      <w:r>
        <w:rPr/>
        <w:t>must be</w:t>
      </w:r>
      <w:r>
        <w:rPr>
          <w:spacing w:val="-3"/>
        </w:rPr>
        <w:t> </w:t>
      </w:r>
      <w:r>
        <w:rPr/>
        <w:t>focused</w:t>
      </w:r>
      <w:r>
        <w:rPr>
          <w:spacing w:val="-3"/>
        </w:rPr>
        <w:t> </w:t>
      </w:r>
      <w:r>
        <w:rPr/>
        <w:t>on</w:t>
      </w:r>
      <w:r>
        <w:rPr>
          <w:spacing w:val="-3"/>
        </w:rPr>
        <w:t> </w:t>
      </w:r>
      <w:r>
        <w:rPr/>
        <w:t>language</w:t>
      </w:r>
      <w:r>
        <w:rPr>
          <w:spacing w:val="-3"/>
        </w:rPr>
        <w:t> </w:t>
      </w:r>
      <w:r>
        <w:rPr/>
        <w:t>and</w:t>
      </w:r>
      <w:r>
        <w:rPr>
          <w:spacing w:val="-3"/>
        </w:rPr>
        <w:t> </w:t>
      </w:r>
      <w:r>
        <w:rPr/>
        <w:t>comprehension,</w:t>
      </w:r>
      <w:r>
        <w:rPr>
          <w:spacing w:val="-3"/>
        </w:rPr>
        <w:t> </w:t>
      </w:r>
      <w:r>
        <w:rPr/>
        <w:t>numeric and quantitative skills, and ability to use knowledge </w:t>
      </w:r>
      <w:r>
        <w:rPr>
          <w:spacing w:val="-2"/>
        </w:rPr>
        <w:t>creatively.</w:t>
      </w:r>
    </w:p>
    <w:p>
      <w:pPr>
        <w:pStyle w:val="Heading7"/>
        <w:numPr>
          <w:ilvl w:val="1"/>
          <w:numId w:val="14"/>
        </w:numPr>
        <w:tabs>
          <w:tab w:pos="849" w:val="left" w:leader="none"/>
        </w:tabs>
        <w:spacing w:line="225" w:lineRule="auto" w:before="250" w:after="0"/>
        <w:ind w:left="849" w:right="1086" w:hanging="531"/>
        <w:jc w:val="left"/>
      </w:pPr>
      <w:r>
        <w:rPr>
          <w:color w:val="2E614A"/>
        </w:rPr>
        <w:t>New</w:t>
      </w:r>
      <w:r>
        <w:rPr>
          <w:color w:val="2E614A"/>
          <w:spacing w:val="-16"/>
        </w:rPr>
        <w:t> </w:t>
      </w:r>
      <w:r>
        <w:rPr>
          <w:color w:val="2E614A"/>
        </w:rPr>
        <w:t>technologies,</w:t>
      </w:r>
      <w:r>
        <w:rPr>
          <w:color w:val="2E614A"/>
          <w:spacing w:val="-16"/>
        </w:rPr>
        <w:t> </w:t>
      </w:r>
      <w:r>
        <w:rPr>
          <w:color w:val="2E614A"/>
        </w:rPr>
        <w:t>especially</w:t>
      </w:r>
      <w:r>
        <w:rPr>
          <w:color w:val="2E614A"/>
          <w:spacing w:val="-16"/>
        </w:rPr>
        <w:t> </w:t>
      </w:r>
      <w:r>
        <w:rPr>
          <w:color w:val="2E614A"/>
        </w:rPr>
        <w:t>but</w:t>
      </w:r>
      <w:r>
        <w:rPr>
          <w:color w:val="2E614A"/>
          <w:spacing w:val="-16"/>
        </w:rPr>
        <w:t> </w:t>
      </w:r>
      <w:r>
        <w:rPr>
          <w:color w:val="2E614A"/>
        </w:rPr>
        <w:t>not only</w:t>
      </w:r>
      <w:r>
        <w:rPr>
          <w:color w:val="2E614A"/>
          <w:spacing w:val="-17"/>
        </w:rPr>
        <w:t> </w:t>
      </w:r>
      <w:r>
        <w:rPr>
          <w:color w:val="2E614A"/>
        </w:rPr>
        <w:t>ICT,</w:t>
      </w:r>
      <w:r>
        <w:rPr>
          <w:color w:val="2E614A"/>
          <w:spacing w:val="-16"/>
        </w:rPr>
        <w:t> </w:t>
      </w:r>
      <w:r>
        <w:rPr>
          <w:color w:val="2E614A"/>
        </w:rPr>
        <w:t>should</w:t>
      </w:r>
      <w:r>
        <w:rPr>
          <w:color w:val="2E614A"/>
          <w:spacing w:val="-16"/>
        </w:rPr>
        <w:t> </w:t>
      </w:r>
      <w:r>
        <w:rPr>
          <w:color w:val="2E614A"/>
        </w:rPr>
        <w:t>be</w:t>
      </w:r>
      <w:r>
        <w:rPr>
          <w:color w:val="2E614A"/>
          <w:spacing w:val="-16"/>
        </w:rPr>
        <w:t> </w:t>
      </w:r>
      <w:r>
        <w:rPr>
          <w:color w:val="2E614A"/>
        </w:rPr>
        <w:t>used</w:t>
      </w:r>
      <w:r>
        <w:rPr>
          <w:color w:val="2E614A"/>
          <w:spacing w:val="-17"/>
        </w:rPr>
        <w:t> </w:t>
      </w:r>
      <w:r>
        <w:rPr>
          <w:color w:val="2E614A"/>
        </w:rPr>
        <w:t>as</w:t>
      </w:r>
      <w:r>
        <w:rPr>
          <w:color w:val="2E614A"/>
          <w:spacing w:val="-16"/>
        </w:rPr>
        <w:t> </w:t>
      </w:r>
      <w:r>
        <w:rPr>
          <w:color w:val="2E614A"/>
        </w:rPr>
        <w:t>much</w:t>
      </w:r>
      <w:r>
        <w:rPr>
          <w:color w:val="2E614A"/>
          <w:spacing w:val="-16"/>
        </w:rPr>
        <w:t> </w:t>
      </w:r>
      <w:r>
        <w:rPr>
          <w:color w:val="2E614A"/>
        </w:rPr>
        <w:t>as </w:t>
      </w:r>
      <w:r>
        <w:rPr>
          <w:color w:val="2E614A"/>
          <w:spacing w:val="-2"/>
        </w:rPr>
        <w:t>possible</w:t>
      </w:r>
      <w:r>
        <w:rPr>
          <w:color w:val="2E614A"/>
          <w:spacing w:val="-15"/>
        </w:rPr>
        <w:t> </w:t>
      </w:r>
      <w:r>
        <w:rPr>
          <w:color w:val="2E614A"/>
          <w:spacing w:val="-2"/>
        </w:rPr>
        <w:t>to</w:t>
      </w:r>
      <w:r>
        <w:rPr>
          <w:color w:val="2E614A"/>
          <w:spacing w:val="-14"/>
        </w:rPr>
        <w:t> </w:t>
      </w:r>
      <w:r>
        <w:rPr>
          <w:color w:val="2E614A"/>
          <w:spacing w:val="-2"/>
        </w:rPr>
        <w:t>reduce</w:t>
      </w:r>
      <w:r>
        <w:rPr>
          <w:color w:val="2E614A"/>
          <w:spacing w:val="-14"/>
        </w:rPr>
        <w:t> </w:t>
      </w:r>
      <w:r>
        <w:rPr>
          <w:color w:val="2E614A"/>
          <w:spacing w:val="-2"/>
        </w:rPr>
        <w:t>costs,</w:t>
      </w:r>
      <w:r>
        <w:rPr>
          <w:color w:val="2E614A"/>
          <w:spacing w:val="-14"/>
        </w:rPr>
        <w:t> </w:t>
      </w:r>
      <w:r>
        <w:rPr>
          <w:color w:val="2E614A"/>
          <w:spacing w:val="-2"/>
        </w:rPr>
        <w:t>enable</w:t>
      </w:r>
      <w:r>
        <w:rPr>
          <w:color w:val="2E614A"/>
          <w:spacing w:val="-15"/>
        </w:rPr>
        <w:t> </w:t>
      </w:r>
      <w:r>
        <w:rPr>
          <w:color w:val="2E614A"/>
          <w:spacing w:val="-2"/>
        </w:rPr>
        <w:t>more </w:t>
      </w:r>
      <w:r>
        <w:rPr>
          <w:color w:val="2E614A"/>
          <w:spacing w:val="-4"/>
        </w:rPr>
        <w:t>effective</w:t>
      </w:r>
      <w:r>
        <w:rPr>
          <w:color w:val="2E614A"/>
          <w:spacing w:val="-13"/>
        </w:rPr>
        <w:t> </w:t>
      </w:r>
      <w:r>
        <w:rPr>
          <w:color w:val="2E614A"/>
          <w:spacing w:val="-4"/>
        </w:rPr>
        <w:t>use</w:t>
      </w:r>
      <w:r>
        <w:rPr>
          <w:color w:val="2E614A"/>
          <w:spacing w:val="-12"/>
        </w:rPr>
        <w:t> </w:t>
      </w:r>
      <w:r>
        <w:rPr>
          <w:color w:val="2E614A"/>
          <w:spacing w:val="-4"/>
        </w:rPr>
        <w:t>of</w:t>
      </w:r>
      <w:r>
        <w:rPr>
          <w:color w:val="2E614A"/>
          <w:spacing w:val="-12"/>
        </w:rPr>
        <w:t> </w:t>
      </w:r>
      <w:r>
        <w:rPr>
          <w:color w:val="2E614A"/>
          <w:spacing w:val="-4"/>
        </w:rPr>
        <w:t>resources,</w:t>
      </w:r>
      <w:r>
        <w:rPr>
          <w:color w:val="2E614A"/>
          <w:spacing w:val="-12"/>
        </w:rPr>
        <w:t> </w:t>
      </w:r>
      <w:r>
        <w:rPr>
          <w:color w:val="2E614A"/>
          <w:spacing w:val="-4"/>
        </w:rPr>
        <w:t>and</w:t>
      </w:r>
      <w:r>
        <w:rPr>
          <w:color w:val="2E614A"/>
          <w:spacing w:val="-13"/>
        </w:rPr>
        <w:t> </w:t>
      </w:r>
      <w:r>
        <w:rPr>
          <w:color w:val="2E614A"/>
          <w:spacing w:val="-4"/>
        </w:rPr>
        <w:t>provide </w:t>
      </w:r>
      <w:r>
        <w:rPr>
          <w:color w:val="2E614A"/>
          <w:w w:val="90"/>
        </w:rPr>
        <w:t>wider exposure to students and </w:t>
      </w:r>
      <w:r>
        <w:rPr>
          <w:color w:val="2E614A"/>
          <w:w w:val="90"/>
        </w:rPr>
        <w:t>teachers.</w:t>
      </w:r>
    </w:p>
    <w:p>
      <w:pPr>
        <w:pStyle w:val="BodyText"/>
        <w:spacing w:line="266" w:lineRule="auto" w:before="297"/>
        <w:ind w:left="319" w:right="1077"/>
        <w:jc w:val="both"/>
      </w:pPr>
      <w:r>
        <w:rPr>
          <w:spacing w:val="-2"/>
        </w:rPr>
        <w:t>The</w:t>
      </w:r>
      <w:r>
        <w:rPr>
          <w:spacing w:val="-12"/>
        </w:rPr>
        <w:t> </w:t>
      </w:r>
      <w:r>
        <w:rPr>
          <w:spacing w:val="-2"/>
        </w:rPr>
        <w:t>use</w:t>
      </w:r>
      <w:r>
        <w:rPr>
          <w:spacing w:val="-12"/>
        </w:rPr>
        <w:t> </w:t>
      </w:r>
      <w:r>
        <w:rPr>
          <w:spacing w:val="-2"/>
        </w:rPr>
        <w:t>of</w:t>
      </w:r>
      <w:r>
        <w:rPr>
          <w:spacing w:val="-11"/>
        </w:rPr>
        <w:t> </w:t>
      </w:r>
      <w:r>
        <w:rPr>
          <w:spacing w:val="-2"/>
        </w:rPr>
        <w:t>ICT</w:t>
      </w:r>
      <w:r>
        <w:rPr>
          <w:spacing w:val="-12"/>
        </w:rPr>
        <w:t> </w:t>
      </w:r>
      <w:r>
        <w:rPr>
          <w:spacing w:val="-2"/>
        </w:rPr>
        <w:t>as</w:t>
      </w:r>
      <w:r>
        <w:rPr>
          <w:spacing w:val="-12"/>
        </w:rPr>
        <w:t> </w:t>
      </w:r>
      <w:r>
        <w:rPr>
          <w:spacing w:val="-2"/>
        </w:rPr>
        <w:t>a</w:t>
      </w:r>
      <w:r>
        <w:rPr>
          <w:spacing w:val="-11"/>
        </w:rPr>
        <w:t> </w:t>
      </w:r>
      <w:r>
        <w:rPr>
          <w:spacing w:val="-2"/>
        </w:rPr>
        <w:t>teaching</w:t>
      </w:r>
      <w:r>
        <w:rPr>
          <w:spacing w:val="-12"/>
        </w:rPr>
        <w:t> </w:t>
      </w:r>
      <w:r>
        <w:rPr>
          <w:spacing w:val="-2"/>
        </w:rPr>
        <w:t>and</w:t>
      </w:r>
      <w:r>
        <w:rPr>
          <w:spacing w:val="-12"/>
        </w:rPr>
        <w:t> </w:t>
      </w:r>
      <w:r>
        <w:rPr>
          <w:spacing w:val="-2"/>
        </w:rPr>
        <w:t>learning</w:t>
      </w:r>
      <w:r>
        <w:rPr>
          <w:spacing w:val="-11"/>
        </w:rPr>
        <w:t> </w:t>
      </w:r>
      <w:r>
        <w:rPr>
          <w:spacing w:val="-2"/>
        </w:rPr>
        <w:t>device</w:t>
      </w:r>
      <w:r>
        <w:rPr>
          <w:spacing w:val="-12"/>
        </w:rPr>
        <w:t> </w:t>
      </w:r>
      <w:r>
        <w:rPr>
          <w:spacing w:val="-2"/>
        </w:rPr>
        <w:t>needs </w:t>
      </w:r>
      <w:r>
        <w:rPr>
          <w:spacing w:val="-4"/>
        </w:rPr>
        <w:t>to</w:t>
      </w:r>
      <w:r>
        <w:rPr>
          <w:spacing w:val="-9"/>
        </w:rPr>
        <w:t> </w:t>
      </w:r>
      <w:r>
        <w:rPr>
          <w:spacing w:val="-4"/>
        </w:rPr>
        <w:t>be</w:t>
      </w:r>
      <w:r>
        <w:rPr>
          <w:spacing w:val="-9"/>
        </w:rPr>
        <w:t> </w:t>
      </w:r>
      <w:r>
        <w:rPr>
          <w:spacing w:val="-4"/>
        </w:rPr>
        <w:t>more</w:t>
      </w:r>
      <w:r>
        <w:rPr>
          <w:spacing w:val="-8"/>
        </w:rPr>
        <w:t> </w:t>
      </w:r>
      <w:r>
        <w:rPr>
          <w:spacing w:val="-4"/>
        </w:rPr>
        <w:t>firmly</w:t>
      </w:r>
      <w:r>
        <w:rPr>
          <w:spacing w:val="-9"/>
        </w:rPr>
        <w:t> </w:t>
      </w:r>
      <w:r>
        <w:rPr>
          <w:spacing w:val="-4"/>
        </w:rPr>
        <w:t>incorporated</w:t>
      </w:r>
      <w:r>
        <w:rPr>
          <w:spacing w:val="-8"/>
        </w:rPr>
        <w:t> </w:t>
      </w:r>
      <w:r>
        <w:rPr>
          <w:spacing w:val="-4"/>
        </w:rPr>
        <w:t>into</w:t>
      </w:r>
      <w:r>
        <w:rPr>
          <w:spacing w:val="-9"/>
        </w:rPr>
        <w:t> </w:t>
      </w:r>
      <w:r>
        <w:rPr>
          <w:spacing w:val="-4"/>
        </w:rPr>
        <w:t>the</w:t>
      </w:r>
      <w:r>
        <w:rPr>
          <w:spacing w:val="-9"/>
        </w:rPr>
        <w:t> </w:t>
      </w:r>
      <w:r>
        <w:rPr>
          <w:spacing w:val="-4"/>
        </w:rPr>
        <w:t>classroom.</w:t>
      </w:r>
      <w:r>
        <w:rPr>
          <w:spacing w:val="-8"/>
        </w:rPr>
        <w:t> </w:t>
      </w:r>
      <w:r>
        <w:rPr>
          <w:spacing w:val="-4"/>
        </w:rPr>
        <w:t>Both</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57"/>
        <w:ind w:left="1079"/>
        <w:jc w:val="both"/>
      </w:pPr>
      <w:r>
        <w:rPr>
          <w:spacing w:val="-2"/>
        </w:rPr>
        <w:t>teachers</w:t>
      </w:r>
      <w:r>
        <w:rPr>
          <w:spacing w:val="-10"/>
        </w:rPr>
        <w:t> </w:t>
      </w:r>
      <w:r>
        <w:rPr>
          <w:spacing w:val="-2"/>
        </w:rPr>
        <w:t>and</w:t>
      </w:r>
      <w:r>
        <w:rPr>
          <w:spacing w:val="-10"/>
        </w:rPr>
        <w:t> </w:t>
      </w:r>
      <w:r>
        <w:rPr>
          <w:spacing w:val="-2"/>
        </w:rPr>
        <w:t>students</w:t>
      </w:r>
      <w:r>
        <w:rPr>
          <w:spacing w:val="-10"/>
        </w:rPr>
        <w:t> </w:t>
      </w:r>
      <w:r>
        <w:rPr>
          <w:spacing w:val="-2"/>
        </w:rPr>
        <w:t>need</w:t>
      </w:r>
      <w:r>
        <w:rPr>
          <w:spacing w:val="-10"/>
        </w:rPr>
        <w:t> </w:t>
      </w:r>
      <w:r>
        <w:rPr>
          <w:spacing w:val="-2"/>
        </w:rPr>
        <w:t>to</w:t>
      </w:r>
      <w:r>
        <w:rPr>
          <w:spacing w:val="-10"/>
        </w:rPr>
        <w:t> </w:t>
      </w:r>
      <w:r>
        <w:rPr>
          <w:spacing w:val="-2"/>
        </w:rPr>
        <w:t>be</w:t>
      </w:r>
      <w:r>
        <w:rPr>
          <w:spacing w:val="-10"/>
        </w:rPr>
        <w:t> </w:t>
      </w:r>
      <w:r>
        <w:rPr>
          <w:spacing w:val="-2"/>
        </w:rPr>
        <w:t>far</w:t>
      </w:r>
      <w:r>
        <w:rPr>
          <w:spacing w:val="-10"/>
        </w:rPr>
        <w:t> </w:t>
      </w:r>
      <w:r>
        <w:rPr>
          <w:spacing w:val="-2"/>
        </w:rPr>
        <w:t>more</w:t>
      </w:r>
      <w:r>
        <w:rPr>
          <w:spacing w:val="-10"/>
        </w:rPr>
        <w:t> </w:t>
      </w:r>
      <w:r>
        <w:rPr>
          <w:spacing w:val="-2"/>
        </w:rPr>
        <w:t>familiar</w:t>
      </w:r>
      <w:r>
        <w:rPr>
          <w:spacing w:val="-10"/>
        </w:rPr>
        <w:t> </w:t>
      </w:r>
      <w:r>
        <w:rPr>
          <w:spacing w:val="-2"/>
        </w:rPr>
        <w:t>with </w:t>
      </w:r>
      <w:r>
        <w:rPr>
          <w:spacing w:val="-6"/>
        </w:rPr>
        <w:t>ICT, and get practical experience of web based research. </w:t>
      </w:r>
      <w:r>
        <w:rPr/>
        <w:t>Therefore ICT should be made more accessible </w:t>
      </w:r>
      <w:r>
        <w:rPr/>
        <w:t>to teachers, students and administration for learning, training, research, administration, management, monitoring etc. This requires the provision of more </w:t>
      </w:r>
      <w:r>
        <w:rPr>
          <w:spacing w:val="-2"/>
        </w:rPr>
        <w:t>facilities</w:t>
      </w:r>
      <w:r>
        <w:rPr>
          <w:spacing w:val="-12"/>
        </w:rPr>
        <w:t> </w:t>
      </w:r>
      <w:r>
        <w:rPr>
          <w:spacing w:val="-2"/>
        </w:rPr>
        <w:t>such</w:t>
      </w:r>
      <w:r>
        <w:rPr>
          <w:spacing w:val="-12"/>
        </w:rPr>
        <w:t> </w:t>
      </w:r>
      <w:r>
        <w:rPr>
          <w:spacing w:val="-2"/>
        </w:rPr>
        <w:t>as</w:t>
      </w:r>
      <w:r>
        <w:rPr>
          <w:spacing w:val="-12"/>
        </w:rPr>
        <w:t> </w:t>
      </w:r>
      <w:r>
        <w:rPr>
          <w:spacing w:val="-2"/>
        </w:rPr>
        <w:t>computers</w:t>
      </w:r>
      <w:r>
        <w:rPr>
          <w:spacing w:val="-11"/>
        </w:rPr>
        <w:t> </w:t>
      </w:r>
      <w:r>
        <w:rPr>
          <w:spacing w:val="-2"/>
        </w:rPr>
        <w:t>as</w:t>
      </w:r>
      <w:r>
        <w:rPr>
          <w:spacing w:val="-12"/>
        </w:rPr>
        <w:t> </w:t>
      </w:r>
      <w:r>
        <w:rPr>
          <w:spacing w:val="-2"/>
        </w:rPr>
        <w:t>well</w:t>
      </w:r>
      <w:r>
        <w:rPr>
          <w:spacing w:val="-12"/>
        </w:rPr>
        <w:t> </w:t>
      </w:r>
      <w:r>
        <w:rPr>
          <w:spacing w:val="-2"/>
        </w:rPr>
        <w:t>as</w:t>
      </w:r>
      <w:r>
        <w:rPr>
          <w:spacing w:val="-12"/>
        </w:rPr>
        <w:t> </w:t>
      </w:r>
      <w:r>
        <w:rPr>
          <w:spacing w:val="-2"/>
        </w:rPr>
        <w:t>connectivity</w:t>
      </w:r>
      <w:r>
        <w:rPr>
          <w:spacing w:val="-11"/>
        </w:rPr>
        <w:t> </w:t>
      </w:r>
      <w:r>
        <w:rPr>
          <w:spacing w:val="-2"/>
        </w:rPr>
        <w:t>and </w:t>
      </w:r>
      <w:r>
        <w:rPr/>
        <w:t>broadband facilities. Computer-aided learning also requires</w:t>
      </w:r>
      <w:r>
        <w:rPr>
          <w:spacing w:val="-12"/>
        </w:rPr>
        <w:t> </w:t>
      </w:r>
      <w:r>
        <w:rPr/>
        <w:t>training</w:t>
      </w:r>
      <w:r>
        <w:rPr>
          <w:spacing w:val="-12"/>
        </w:rPr>
        <w:t> </w:t>
      </w:r>
      <w:r>
        <w:rPr/>
        <w:t>of</w:t>
      </w:r>
      <w:r>
        <w:rPr>
          <w:spacing w:val="-12"/>
        </w:rPr>
        <w:t> </w:t>
      </w:r>
      <w:r>
        <w:rPr/>
        <w:t>teachers</w:t>
      </w:r>
      <w:r>
        <w:rPr>
          <w:spacing w:val="-12"/>
        </w:rPr>
        <w:t> </w:t>
      </w:r>
      <w:r>
        <w:rPr/>
        <w:t>and</w:t>
      </w:r>
      <w:r>
        <w:rPr>
          <w:spacing w:val="-12"/>
        </w:rPr>
        <w:t> </w:t>
      </w:r>
      <w:r>
        <w:rPr/>
        <w:t>other</w:t>
      </w:r>
      <w:r>
        <w:rPr>
          <w:spacing w:val="-12"/>
        </w:rPr>
        <w:t> </w:t>
      </w:r>
      <w:r>
        <w:rPr/>
        <w:t>staff</w:t>
      </w:r>
      <w:r>
        <w:rPr>
          <w:spacing w:val="-12"/>
        </w:rPr>
        <w:t> </w:t>
      </w:r>
      <w:r>
        <w:rPr/>
        <w:t>in</w:t>
      </w:r>
      <w:r>
        <w:rPr>
          <w:spacing w:val="-12"/>
        </w:rPr>
        <w:t> </w:t>
      </w:r>
      <w:r>
        <w:rPr/>
        <w:t>order</w:t>
      </w:r>
      <w:r>
        <w:rPr>
          <w:spacing w:val="-12"/>
        </w:rPr>
        <w:t> </w:t>
      </w:r>
      <w:r>
        <w:rPr/>
        <w:t>to make the best use of the technology.</w:t>
      </w:r>
    </w:p>
    <w:p>
      <w:pPr>
        <w:pStyle w:val="Heading7"/>
        <w:numPr>
          <w:ilvl w:val="1"/>
          <w:numId w:val="14"/>
        </w:numPr>
        <w:tabs>
          <w:tab w:pos="1619" w:val="left" w:leader="none"/>
        </w:tabs>
        <w:spacing w:line="225" w:lineRule="auto" w:before="249" w:after="0"/>
        <w:ind w:left="1619" w:right="44" w:hanging="540"/>
        <w:jc w:val="both"/>
      </w:pPr>
      <w:r>
        <w:rPr>
          <w:color w:val="2E614A"/>
          <w:w w:val="90"/>
        </w:rPr>
        <w:t>There is need for a web-based portal </w:t>
      </w:r>
      <w:r>
        <w:rPr>
          <w:color w:val="2E614A"/>
          <w:w w:val="90"/>
        </w:rPr>
        <w:t>for </w:t>
      </w:r>
      <w:r>
        <w:rPr>
          <w:color w:val="2E614A"/>
          <w:spacing w:val="-8"/>
        </w:rPr>
        <w:t>teachers</w:t>
      </w:r>
      <w:r>
        <w:rPr>
          <w:color w:val="2E614A"/>
          <w:spacing w:val="-9"/>
        </w:rPr>
        <w:t> </w:t>
      </w:r>
      <w:r>
        <w:rPr>
          <w:color w:val="2E614A"/>
          <w:spacing w:val="-8"/>
        </w:rPr>
        <w:t>to exchange ideas, information </w:t>
      </w:r>
      <w:r>
        <w:rPr>
          <w:color w:val="2E614A"/>
        </w:rPr>
        <w:t>and experiences.</w:t>
      </w:r>
    </w:p>
    <w:p>
      <w:pPr>
        <w:pStyle w:val="BodyText"/>
        <w:spacing w:before="1"/>
        <w:rPr>
          <w:b/>
          <w:sz w:val="26"/>
        </w:rPr>
      </w:pPr>
    </w:p>
    <w:p>
      <w:pPr>
        <w:pStyle w:val="BodyText"/>
        <w:spacing w:line="266" w:lineRule="auto"/>
        <w:ind w:left="1079"/>
        <w:jc w:val="both"/>
      </w:pPr>
      <w:r>
        <w:rPr>
          <w:spacing w:val="-2"/>
        </w:rPr>
        <w:t>A</w:t>
      </w:r>
      <w:r>
        <w:rPr>
          <w:spacing w:val="-12"/>
        </w:rPr>
        <w:t> </w:t>
      </w:r>
      <w:r>
        <w:rPr>
          <w:spacing w:val="-2"/>
        </w:rPr>
        <w:t>forum</w:t>
      </w:r>
      <w:r>
        <w:rPr>
          <w:spacing w:val="-12"/>
        </w:rPr>
        <w:t> </w:t>
      </w:r>
      <w:r>
        <w:rPr>
          <w:spacing w:val="-2"/>
        </w:rPr>
        <w:t>for</w:t>
      </w:r>
      <w:r>
        <w:rPr>
          <w:spacing w:val="-12"/>
        </w:rPr>
        <w:t> </w:t>
      </w:r>
      <w:r>
        <w:rPr>
          <w:spacing w:val="-2"/>
        </w:rPr>
        <w:t>teachers</w:t>
      </w:r>
      <w:r>
        <w:rPr>
          <w:spacing w:val="-11"/>
        </w:rPr>
        <w:t> </w:t>
      </w:r>
      <w:r>
        <w:rPr>
          <w:spacing w:val="-2"/>
        </w:rPr>
        <w:t>needs</w:t>
      </w:r>
      <w:r>
        <w:rPr>
          <w:spacing w:val="-12"/>
        </w:rPr>
        <w:t> </w:t>
      </w:r>
      <w:r>
        <w:rPr>
          <w:spacing w:val="-2"/>
        </w:rPr>
        <w:t>to</w:t>
      </w:r>
      <w:r>
        <w:rPr>
          <w:spacing w:val="-12"/>
        </w:rPr>
        <w:t> </w:t>
      </w:r>
      <w:r>
        <w:rPr>
          <w:spacing w:val="-2"/>
        </w:rPr>
        <w:t>be</w:t>
      </w:r>
      <w:r>
        <w:rPr>
          <w:spacing w:val="-12"/>
        </w:rPr>
        <w:t> </w:t>
      </w:r>
      <w:r>
        <w:rPr>
          <w:spacing w:val="-2"/>
        </w:rPr>
        <w:t>developed</w:t>
      </w:r>
      <w:r>
        <w:rPr>
          <w:spacing w:val="-11"/>
        </w:rPr>
        <w:t> </w:t>
      </w:r>
      <w:r>
        <w:rPr>
          <w:spacing w:val="-2"/>
        </w:rPr>
        <w:t>where</w:t>
      </w:r>
      <w:r>
        <w:rPr>
          <w:spacing w:val="-12"/>
        </w:rPr>
        <w:t> </w:t>
      </w:r>
      <w:r>
        <w:rPr>
          <w:spacing w:val="-2"/>
        </w:rPr>
        <w:t>they </w:t>
      </w:r>
      <w:r>
        <w:rPr/>
        <w:t>may</w:t>
      </w:r>
      <w:r>
        <w:rPr>
          <w:spacing w:val="-6"/>
        </w:rPr>
        <w:t> </w:t>
      </w:r>
      <w:r>
        <w:rPr/>
        <w:t>interact,</w:t>
      </w:r>
      <w:r>
        <w:rPr>
          <w:spacing w:val="-6"/>
        </w:rPr>
        <w:t> </w:t>
      </w:r>
      <w:r>
        <w:rPr/>
        <w:t>share</w:t>
      </w:r>
      <w:r>
        <w:rPr>
          <w:spacing w:val="-6"/>
        </w:rPr>
        <w:t> </w:t>
      </w:r>
      <w:r>
        <w:rPr/>
        <w:t>experiences</w:t>
      </w:r>
      <w:r>
        <w:rPr>
          <w:spacing w:val="-6"/>
        </w:rPr>
        <w:t> </w:t>
      </w:r>
      <w:r>
        <w:rPr/>
        <w:t>and</w:t>
      </w:r>
      <w:r>
        <w:rPr>
          <w:spacing w:val="-6"/>
        </w:rPr>
        <w:t> </w:t>
      </w:r>
      <w:r>
        <w:rPr/>
        <w:t>ideas.</w:t>
      </w:r>
      <w:r>
        <w:rPr>
          <w:spacing w:val="-11"/>
        </w:rPr>
        <w:t> </w:t>
      </w:r>
      <w:r>
        <w:rPr/>
        <w:t>This</w:t>
      </w:r>
      <w:r>
        <w:rPr>
          <w:spacing w:val="-6"/>
        </w:rPr>
        <w:t> </w:t>
      </w:r>
      <w:r>
        <w:rPr/>
        <w:t>needs to</w:t>
      </w:r>
      <w:r>
        <w:rPr>
          <w:spacing w:val="-13"/>
        </w:rPr>
        <w:t> </w:t>
      </w:r>
      <w:r>
        <w:rPr/>
        <w:t>be</w:t>
      </w:r>
      <w:r>
        <w:rPr>
          <w:spacing w:val="-13"/>
        </w:rPr>
        <w:t> </w:t>
      </w:r>
      <w:r>
        <w:rPr/>
        <w:t>incorporated</w:t>
      </w:r>
      <w:r>
        <w:rPr>
          <w:spacing w:val="-13"/>
        </w:rPr>
        <w:t> </w:t>
      </w:r>
      <w:r>
        <w:rPr/>
        <w:t>into</w:t>
      </w:r>
      <w:r>
        <w:rPr>
          <w:spacing w:val="-13"/>
        </w:rPr>
        <w:t> </w:t>
      </w:r>
      <w:r>
        <w:rPr/>
        <w:t>teacher</w:t>
      </w:r>
      <w:r>
        <w:rPr>
          <w:spacing w:val="-13"/>
        </w:rPr>
        <w:t> </w:t>
      </w:r>
      <w:r>
        <w:rPr/>
        <w:t>training</w:t>
      </w:r>
      <w:r>
        <w:rPr>
          <w:spacing w:val="-13"/>
        </w:rPr>
        <w:t> </w:t>
      </w:r>
      <w:r>
        <w:rPr/>
        <w:t>programs,</w:t>
      </w:r>
      <w:r>
        <w:rPr>
          <w:spacing w:val="-13"/>
        </w:rPr>
        <w:t> </w:t>
      </w:r>
      <w:r>
        <w:rPr/>
        <w:t>and </w:t>
      </w:r>
      <w:r>
        <w:rPr>
          <w:spacing w:val="-2"/>
        </w:rPr>
        <w:t>also</w:t>
      </w:r>
      <w:r>
        <w:rPr>
          <w:spacing w:val="-12"/>
        </w:rPr>
        <w:t> </w:t>
      </w:r>
      <w:r>
        <w:rPr>
          <w:spacing w:val="-2"/>
        </w:rPr>
        <w:t>provided</w:t>
      </w:r>
      <w:r>
        <w:rPr>
          <w:spacing w:val="-12"/>
        </w:rPr>
        <w:t> </w:t>
      </w:r>
      <w:r>
        <w:rPr>
          <w:spacing w:val="-2"/>
        </w:rPr>
        <w:t>generally</w:t>
      </w:r>
      <w:r>
        <w:rPr>
          <w:spacing w:val="-12"/>
        </w:rPr>
        <w:t> </w:t>
      </w:r>
      <w:r>
        <w:rPr>
          <w:spacing w:val="-2"/>
        </w:rPr>
        <w:t>for</w:t>
      </w:r>
      <w:r>
        <w:rPr>
          <w:spacing w:val="-11"/>
        </w:rPr>
        <w:t> </w:t>
      </w:r>
      <w:r>
        <w:rPr>
          <w:spacing w:val="-2"/>
        </w:rPr>
        <w:t>in-service</w:t>
      </w:r>
      <w:r>
        <w:rPr>
          <w:spacing w:val="-12"/>
        </w:rPr>
        <w:t> </w:t>
      </w:r>
      <w:r>
        <w:rPr>
          <w:spacing w:val="-2"/>
        </w:rPr>
        <w:t>teachers.</w:t>
      </w:r>
      <w:r>
        <w:rPr>
          <w:spacing w:val="-12"/>
        </w:rPr>
        <w:t> </w:t>
      </w:r>
      <w:r>
        <w:rPr>
          <w:spacing w:val="-2"/>
        </w:rPr>
        <w:t>A</w:t>
      </w:r>
      <w:r>
        <w:rPr>
          <w:spacing w:val="-12"/>
        </w:rPr>
        <w:t> </w:t>
      </w:r>
      <w:r>
        <w:rPr>
          <w:spacing w:val="-2"/>
        </w:rPr>
        <w:t>web- </w:t>
      </w:r>
      <w:r>
        <w:rPr>
          <w:spacing w:val="-6"/>
        </w:rPr>
        <w:t>based teachers’ portal can play an important role as such </w:t>
      </w:r>
      <w:r>
        <w:rPr/>
        <w:t>a networking forum.</w:t>
      </w:r>
    </w:p>
    <w:p>
      <w:pPr>
        <w:pStyle w:val="Heading6"/>
        <w:numPr>
          <w:ilvl w:val="0"/>
          <w:numId w:val="14"/>
        </w:numPr>
        <w:tabs>
          <w:tab w:pos="1404" w:val="left" w:leader="none"/>
        </w:tabs>
        <w:spacing w:line="240" w:lineRule="auto" w:before="182" w:after="0"/>
        <w:ind w:left="1404" w:right="0" w:hanging="325"/>
        <w:jc w:val="left"/>
        <w:rPr>
          <w:color w:val="2E614A"/>
        </w:rPr>
      </w:pPr>
      <w:r>
        <w:rPr>
          <w:color w:val="2E614A"/>
          <w:spacing w:val="-2"/>
        </w:rPr>
        <w:t>Access</w:t>
      </w:r>
    </w:p>
    <w:p>
      <w:pPr>
        <w:pStyle w:val="Heading7"/>
        <w:numPr>
          <w:ilvl w:val="1"/>
          <w:numId w:val="14"/>
        </w:numPr>
        <w:tabs>
          <w:tab w:pos="1477" w:val="left" w:leader="none"/>
        </w:tabs>
        <w:spacing w:line="225" w:lineRule="auto" w:before="262" w:after="0"/>
        <w:ind w:left="1477" w:right="269" w:hanging="398"/>
        <w:jc w:val="left"/>
      </w:pPr>
      <w:r>
        <w:rPr>
          <w:color w:val="2E614A"/>
          <w:w w:val="90"/>
        </w:rPr>
        <w:t>Special</w:t>
      </w:r>
      <w:r>
        <w:rPr>
          <w:color w:val="2E614A"/>
          <w:spacing w:val="-5"/>
          <w:w w:val="90"/>
        </w:rPr>
        <w:t> </w:t>
      </w:r>
      <w:r>
        <w:rPr>
          <w:color w:val="2E614A"/>
          <w:w w:val="90"/>
        </w:rPr>
        <w:t>strategies</w:t>
      </w:r>
      <w:r>
        <w:rPr>
          <w:color w:val="2E614A"/>
          <w:spacing w:val="-5"/>
          <w:w w:val="90"/>
        </w:rPr>
        <w:t> </w:t>
      </w:r>
      <w:r>
        <w:rPr>
          <w:color w:val="2E614A"/>
          <w:w w:val="90"/>
        </w:rPr>
        <w:t>are</w:t>
      </w:r>
      <w:r>
        <w:rPr>
          <w:color w:val="2E614A"/>
          <w:spacing w:val="-5"/>
          <w:w w:val="90"/>
        </w:rPr>
        <w:t> </w:t>
      </w:r>
      <w:r>
        <w:rPr>
          <w:color w:val="2E614A"/>
          <w:w w:val="90"/>
        </w:rPr>
        <w:t>required</w:t>
      </w:r>
      <w:r>
        <w:rPr>
          <w:color w:val="2E614A"/>
          <w:spacing w:val="-5"/>
          <w:w w:val="90"/>
        </w:rPr>
        <w:t> </w:t>
      </w:r>
      <w:r>
        <w:rPr>
          <w:color w:val="2E614A"/>
          <w:w w:val="90"/>
        </w:rPr>
        <w:t>to</w:t>
      </w:r>
      <w:r>
        <w:rPr>
          <w:color w:val="2E614A"/>
          <w:spacing w:val="-5"/>
          <w:w w:val="90"/>
        </w:rPr>
        <w:t> </w:t>
      </w:r>
      <w:r>
        <w:rPr>
          <w:color w:val="2E614A"/>
          <w:w w:val="90"/>
        </w:rPr>
        <w:t>ensure </w:t>
      </w:r>
      <w:r>
        <w:rPr>
          <w:color w:val="2E614A"/>
          <w:spacing w:val="-4"/>
        </w:rPr>
        <w:t>greater</w:t>
      </w:r>
      <w:r>
        <w:rPr>
          <w:color w:val="2E614A"/>
          <w:spacing w:val="-13"/>
        </w:rPr>
        <w:t> </w:t>
      </w:r>
      <w:r>
        <w:rPr>
          <w:color w:val="2E614A"/>
          <w:spacing w:val="-4"/>
        </w:rPr>
        <w:t>access</w:t>
      </w:r>
      <w:r>
        <w:rPr>
          <w:color w:val="2E614A"/>
          <w:spacing w:val="-12"/>
        </w:rPr>
        <w:t> </w:t>
      </w:r>
      <w:r>
        <w:rPr>
          <w:color w:val="2E614A"/>
          <w:spacing w:val="-4"/>
        </w:rPr>
        <w:t>to</w:t>
      </w:r>
      <w:r>
        <w:rPr>
          <w:color w:val="2E614A"/>
          <w:spacing w:val="-12"/>
        </w:rPr>
        <w:t> </w:t>
      </w:r>
      <w:r>
        <w:rPr>
          <w:color w:val="2E614A"/>
          <w:spacing w:val="-4"/>
        </w:rPr>
        <w:t>schools</w:t>
      </w:r>
      <w:r>
        <w:rPr>
          <w:color w:val="2E614A"/>
          <w:spacing w:val="-12"/>
        </w:rPr>
        <w:t> </w:t>
      </w:r>
      <w:r>
        <w:rPr>
          <w:color w:val="2E614A"/>
          <w:spacing w:val="-4"/>
        </w:rPr>
        <w:t>in</w:t>
      </w:r>
      <w:r>
        <w:rPr>
          <w:color w:val="2E614A"/>
          <w:spacing w:val="-13"/>
        </w:rPr>
        <w:t> </w:t>
      </w:r>
      <w:r>
        <w:rPr>
          <w:color w:val="2E614A"/>
          <w:spacing w:val="-4"/>
        </w:rPr>
        <w:t>backward regions,</w:t>
      </w:r>
      <w:r>
        <w:rPr>
          <w:color w:val="2E614A"/>
          <w:spacing w:val="-15"/>
        </w:rPr>
        <w:t> </w:t>
      </w:r>
      <w:r>
        <w:rPr>
          <w:color w:val="2E614A"/>
          <w:spacing w:val="-4"/>
        </w:rPr>
        <w:t>remote</w:t>
      </w:r>
      <w:r>
        <w:rPr>
          <w:color w:val="2E614A"/>
          <w:spacing w:val="-12"/>
        </w:rPr>
        <w:t> </w:t>
      </w:r>
      <w:r>
        <w:rPr>
          <w:color w:val="2E614A"/>
          <w:spacing w:val="-4"/>
        </w:rPr>
        <w:t>locations</w:t>
      </w:r>
      <w:r>
        <w:rPr>
          <w:color w:val="2E614A"/>
          <w:spacing w:val="-12"/>
        </w:rPr>
        <w:t> </w:t>
      </w:r>
      <w:r>
        <w:rPr>
          <w:color w:val="2E614A"/>
          <w:spacing w:val="-4"/>
        </w:rPr>
        <w:t>and</w:t>
      </w:r>
      <w:r>
        <w:rPr>
          <w:color w:val="2E614A"/>
          <w:spacing w:val="-12"/>
        </w:rPr>
        <w:t> </w:t>
      </w:r>
      <w:r>
        <w:rPr>
          <w:color w:val="2E614A"/>
          <w:spacing w:val="-4"/>
        </w:rPr>
        <w:t>difficult </w:t>
      </w:r>
      <w:r>
        <w:rPr>
          <w:color w:val="2E614A"/>
          <w:spacing w:val="-2"/>
        </w:rPr>
        <w:t>terrains.</w:t>
      </w:r>
    </w:p>
    <w:p>
      <w:pPr>
        <w:pStyle w:val="BodyText"/>
        <w:rPr>
          <w:b/>
          <w:sz w:val="26"/>
        </w:rPr>
      </w:pPr>
    </w:p>
    <w:p>
      <w:pPr>
        <w:pStyle w:val="BodyText"/>
        <w:spacing w:line="266" w:lineRule="auto"/>
        <w:ind w:left="1079"/>
        <w:jc w:val="both"/>
      </w:pPr>
      <w:r>
        <w:rPr>
          <w:spacing w:val="-6"/>
        </w:rPr>
        <w:t>There</w:t>
      </w:r>
      <w:r>
        <w:rPr>
          <w:spacing w:val="-8"/>
        </w:rPr>
        <w:t> </w:t>
      </w:r>
      <w:r>
        <w:rPr>
          <w:spacing w:val="-6"/>
        </w:rPr>
        <w:t>is</w:t>
      </w:r>
      <w:r>
        <w:rPr>
          <w:spacing w:val="-8"/>
        </w:rPr>
        <w:t> </w:t>
      </w:r>
      <w:r>
        <w:rPr>
          <w:spacing w:val="-6"/>
        </w:rPr>
        <w:t>a</w:t>
      </w:r>
      <w:r>
        <w:rPr>
          <w:spacing w:val="-8"/>
        </w:rPr>
        <w:t> </w:t>
      </w:r>
      <w:r>
        <w:rPr>
          <w:spacing w:val="-6"/>
        </w:rPr>
        <w:t>tremendous</w:t>
      </w:r>
      <w:r>
        <w:rPr>
          <w:spacing w:val="-7"/>
        </w:rPr>
        <w:t> </w:t>
      </w:r>
      <w:r>
        <w:rPr>
          <w:spacing w:val="-6"/>
        </w:rPr>
        <w:t>shortage</w:t>
      </w:r>
      <w:r>
        <w:rPr>
          <w:spacing w:val="-8"/>
        </w:rPr>
        <w:t> </w:t>
      </w:r>
      <w:r>
        <w:rPr>
          <w:spacing w:val="-6"/>
        </w:rPr>
        <w:t>of</w:t>
      </w:r>
      <w:r>
        <w:rPr>
          <w:spacing w:val="-8"/>
        </w:rPr>
        <w:t> </w:t>
      </w:r>
      <w:r>
        <w:rPr>
          <w:spacing w:val="-6"/>
        </w:rPr>
        <w:t>teachers</w:t>
      </w:r>
      <w:r>
        <w:rPr>
          <w:spacing w:val="-8"/>
        </w:rPr>
        <w:t> </w:t>
      </w:r>
      <w:r>
        <w:rPr>
          <w:spacing w:val="-6"/>
        </w:rPr>
        <w:t>and</w:t>
      </w:r>
      <w:r>
        <w:rPr>
          <w:spacing w:val="-7"/>
        </w:rPr>
        <w:t> </w:t>
      </w:r>
      <w:r>
        <w:rPr>
          <w:spacing w:val="-6"/>
        </w:rPr>
        <w:t>also</w:t>
      </w:r>
      <w:r>
        <w:rPr>
          <w:spacing w:val="-8"/>
        </w:rPr>
        <w:t> </w:t>
      </w:r>
      <w:r>
        <w:rPr>
          <w:spacing w:val="-6"/>
        </w:rPr>
        <w:t>great </w:t>
      </w:r>
      <w:r>
        <w:rPr>
          <w:spacing w:val="-4"/>
        </w:rPr>
        <w:t>difficulty</w:t>
      </w:r>
      <w:r>
        <w:rPr>
          <w:spacing w:val="-10"/>
        </w:rPr>
        <w:t> </w:t>
      </w:r>
      <w:r>
        <w:rPr>
          <w:spacing w:val="-4"/>
        </w:rPr>
        <w:t>in</w:t>
      </w:r>
      <w:r>
        <w:rPr>
          <w:spacing w:val="-10"/>
        </w:rPr>
        <w:t> </w:t>
      </w:r>
      <w:r>
        <w:rPr>
          <w:spacing w:val="-4"/>
        </w:rPr>
        <w:t>ensuring</w:t>
      </w:r>
      <w:r>
        <w:rPr>
          <w:spacing w:val="-10"/>
        </w:rPr>
        <w:t> </w:t>
      </w:r>
      <w:r>
        <w:rPr>
          <w:spacing w:val="-4"/>
        </w:rPr>
        <w:t>minimum</w:t>
      </w:r>
      <w:r>
        <w:rPr>
          <w:spacing w:val="-9"/>
        </w:rPr>
        <w:t> </w:t>
      </w:r>
      <w:r>
        <w:rPr>
          <w:spacing w:val="-4"/>
        </w:rPr>
        <w:t>schooling</w:t>
      </w:r>
      <w:r>
        <w:rPr>
          <w:spacing w:val="-10"/>
        </w:rPr>
        <w:t> </w:t>
      </w:r>
      <w:r>
        <w:rPr>
          <w:spacing w:val="-4"/>
        </w:rPr>
        <w:t>infrastructure </w:t>
      </w:r>
      <w:r>
        <w:rPr/>
        <w:t>in some areas that have been historically deprived or have</w:t>
      </w:r>
      <w:r>
        <w:rPr>
          <w:spacing w:val="-3"/>
        </w:rPr>
        <w:t> </w:t>
      </w:r>
      <w:r>
        <w:rPr/>
        <w:t>difficult</w:t>
      </w:r>
      <w:r>
        <w:rPr>
          <w:spacing w:val="-3"/>
        </w:rPr>
        <w:t> </w:t>
      </w:r>
      <w:r>
        <w:rPr/>
        <w:t>topographical</w:t>
      </w:r>
      <w:r>
        <w:rPr>
          <w:spacing w:val="-3"/>
        </w:rPr>
        <w:t> </w:t>
      </w:r>
      <w:r>
        <w:rPr/>
        <w:t>conditions.</w:t>
      </w:r>
      <w:r>
        <w:rPr>
          <w:spacing w:val="-3"/>
        </w:rPr>
        <w:t> </w:t>
      </w:r>
      <w:r>
        <w:rPr/>
        <w:t>Distance</w:t>
      </w:r>
      <w:r>
        <w:rPr>
          <w:spacing w:val="-3"/>
        </w:rPr>
        <w:t> </w:t>
      </w:r>
      <w:r>
        <w:rPr/>
        <w:t>and difficulty</w:t>
      </w:r>
      <w:r>
        <w:rPr>
          <w:spacing w:val="-10"/>
        </w:rPr>
        <w:t> </w:t>
      </w:r>
      <w:r>
        <w:rPr/>
        <w:t>of</w:t>
      </w:r>
      <w:r>
        <w:rPr>
          <w:spacing w:val="-10"/>
        </w:rPr>
        <w:t> </w:t>
      </w:r>
      <w:r>
        <w:rPr/>
        <w:t>physical</w:t>
      </w:r>
      <w:r>
        <w:rPr>
          <w:spacing w:val="-10"/>
        </w:rPr>
        <w:t> </w:t>
      </w:r>
      <w:r>
        <w:rPr/>
        <w:t>access</w:t>
      </w:r>
      <w:r>
        <w:rPr>
          <w:spacing w:val="-10"/>
        </w:rPr>
        <w:t> </w:t>
      </w:r>
      <w:r>
        <w:rPr/>
        <w:t>are</w:t>
      </w:r>
      <w:r>
        <w:rPr>
          <w:spacing w:val="-10"/>
        </w:rPr>
        <w:t> </w:t>
      </w:r>
      <w:r>
        <w:rPr/>
        <w:t>important</w:t>
      </w:r>
      <w:r>
        <w:rPr>
          <w:spacing w:val="-10"/>
        </w:rPr>
        <w:t> </w:t>
      </w:r>
      <w:r>
        <w:rPr/>
        <w:t>reasons</w:t>
      </w:r>
      <w:r>
        <w:rPr>
          <w:spacing w:val="-10"/>
        </w:rPr>
        <w:t> </w:t>
      </w:r>
      <w:r>
        <w:rPr/>
        <w:t>for </w:t>
      </w:r>
      <w:r>
        <w:rPr>
          <w:spacing w:val="-6"/>
        </w:rPr>
        <w:t>school</w:t>
      </w:r>
      <w:r>
        <w:rPr>
          <w:spacing w:val="-8"/>
        </w:rPr>
        <w:t> </w:t>
      </w:r>
      <w:r>
        <w:rPr>
          <w:spacing w:val="-6"/>
        </w:rPr>
        <w:t>drop</w:t>
      </w:r>
      <w:r>
        <w:rPr>
          <w:spacing w:val="-8"/>
        </w:rPr>
        <w:t> </w:t>
      </w:r>
      <w:r>
        <w:rPr>
          <w:spacing w:val="-6"/>
        </w:rPr>
        <w:t>out,</w:t>
      </w:r>
      <w:r>
        <w:rPr>
          <w:spacing w:val="-7"/>
        </w:rPr>
        <w:t> </w:t>
      </w:r>
      <w:r>
        <w:rPr>
          <w:spacing w:val="-6"/>
        </w:rPr>
        <w:t>especially</w:t>
      </w:r>
      <w:r>
        <w:rPr>
          <w:spacing w:val="-8"/>
        </w:rPr>
        <w:t> </w:t>
      </w:r>
      <w:r>
        <w:rPr>
          <w:spacing w:val="-6"/>
        </w:rPr>
        <w:t>in</w:t>
      </w:r>
      <w:r>
        <w:rPr>
          <w:spacing w:val="-8"/>
        </w:rPr>
        <w:t> </w:t>
      </w:r>
      <w:r>
        <w:rPr>
          <w:spacing w:val="-6"/>
        </w:rPr>
        <w:t>such</w:t>
      </w:r>
      <w:r>
        <w:rPr>
          <w:spacing w:val="-7"/>
        </w:rPr>
        <w:t> </w:t>
      </w:r>
      <w:r>
        <w:rPr>
          <w:spacing w:val="-6"/>
        </w:rPr>
        <w:t>areas.</w:t>
      </w:r>
      <w:r>
        <w:rPr>
          <w:spacing w:val="-8"/>
        </w:rPr>
        <w:t> </w:t>
      </w:r>
      <w:r>
        <w:rPr>
          <w:spacing w:val="-6"/>
        </w:rPr>
        <w:t>Sometimes</w:t>
      </w:r>
      <w:r>
        <w:rPr>
          <w:spacing w:val="-8"/>
        </w:rPr>
        <w:t> </w:t>
      </w:r>
      <w:r>
        <w:rPr>
          <w:spacing w:val="-6"/>
        </w:rPr>
        <w:t>it</w:t>
      </w:r>
      <w:r>
        <w:rPr>
          <w:spacing w:val="-7"/>
        </w:rPr>
        <w:t> </w:t>
      </w:r>
      <w:r>
        <w:rPr>
          <w:spacing w:val="-6"/>
        </w:rPr>
        <w:t>is </w:t>
      </w:r>
      <w:r>
        <w:rPr>
          <w:spacing w:val="-2"/>
        </w:rPr>
        <w:t>also</w:t>
      </w:r>
      <w:r>
        <w:rPr>
          <w:spacing w:val="-9"/>
        </w:rPr>
        <w:t> </w:t>
      </w:r>
      <w:r>
        <w:rPr>
          <w:spacing w:val="-2"/>
        </w:rPr>
        <w:t>the</w:t>
      </w:r>
      <w:r>
        <w:rPr>
          <w:spacing w:val="-9"/>
        </w:rPr>
        <w:t> </w:t>
      </w:r>
      <w:r>
        <w:rPr>
          <w:spacing w:val="-2"/>
        </w:rPr>
        <w:t>case</w:t>
      </w:r>
      <w:r>
        <w:rPr>
          <w:spacing w:val="-9"/>
        </w:rPr>
        <w:t> </w:t>
      </w:r>
      <w:r>
        <w:rPr>
          <w:spacing w:val="-2"/>
        </w:rPr>
        <w:t>that</w:t>
      </w:r>
      <w:r>
        <w:rPr>
          <w:spacing w:val="-9"/>
        </w:rPr>
        <w:t> </w:t>
      </w:r>
      <w:r>
        <w:rPr>
          <w:spacing w:val="-2"/>
        </w:rPr>
        <w:t>such</w:t>
      </w:r>
      <w:r>
        <w:rPr>
          <w:spacing w:val="-9"/>
        </w:rPr>
        <w:t> </w:t>
      </w:r>
      <w:r>
        <w:rPr>
          <w:spacing w:val="-2"/>
        </w:rPr>
        <w:t>areas</w:t>
      </w:r>
      <w:r>
        <w:rPr>
          <w:spacing w:val="-9"/>
        </w:rPr>
        <w:t> </w:t>
      </w:r>
      <w:r>
        <w:rPr>
          <w:spacing w:val="-2"/>
        </w:rPr>
        <w:t>are</w:t>
      </w:r>
      <w:r>
        <w:rPr>
          <w:spacing w:val="-9"/>
        </w:rPr>
        <w:t> </w:t>
      </w:r>
      <w:r>
        <w:rPr>
          <w:spacing w:val="-2"/>
        </w:rPr>
        <w:t>inhabited</w:t>
      </w:r>
      <w:r>
        <w:rPr>
          <w:spacing w:val="-9"/>
        </w:rPr>
        <w:t> </w:t>
      </w:r>
      <w:r>
        <w:rPr>
          <w:spacing w:val="-2"/>
        </w:rPr>
        <w:t>by</w:t>
      </w:r>
      <w:r>
        <w:rPr>
          <w:spacing w:val="-9"/>
        </w:rPr>
        <w:t> </w:t>
      </w:r>
      <w:r>
        <w:rPr>
          <w:spacing w:val="-2"/>
        </w:rPr>
        <w:t>particular </w:t>
      </w:r>
      <w:r>
        <w:rPr/>
        <w:t>communities with their own language or dialect that is</w:t>
      </w:r>
      <w:r>
        <w:rPr>
          <w:spacing w:val="-10"/>
        </w:rPr>
        <w:t> </w:t>
      </w:r>
      <w:r>
        <w:rPr/>
        <w:t>different</w:t>
      </w:r>
      <w:r>
        <w:rPr>
          <w:spacing w:val="-10"/>
        </w:rPr>
        <w:t> </w:t>
      </w:r>
      <w:r>
        <w:rPr/>
        <w:t>from</w:t>
      </w:r>
      <w:r>
        <w:rPr>
          <w:spacing w:val="-10"/>
        </w:rPr>
        <w:t> </w:t>
      </w:r>
      <w:r>
        <w:rPr/>
        <w:t>the</w:t>
      </w:r>
      <w:r>
        <w:rPr>
          <w:spacing w:val="-10"/>
        </w:rPr>
        <w:t> </w:t>
      </w:r>
      <w:r>
        <w:rPr/>
        <w:t>state</w:t>
      </w:r>
      <w:r>
        <w:rPr>
          <w:spacing w:val="-10"/>
        </w:rPr>
        <w:t> </w:t>
      </w:r>
      <w:r>
        <w:rPr/>
        <w:t>language.</w:t>
      </w:r>
      <w:r>
        <w:rPr>
          <w:spacing w:val="-10"/>
        </w:rPr>
        <w:t> </w:t>
      </w:r>
      <w:r>
        <w:rPr/>
        <w:t>In</w:t>
      </w:r>
      <w:r>
        <w:rPr>
          <w:spacing w:val="-10"/>
        </w:rPr>
        <w:t> </w:t>
      </w:r>
      <w:r>
        <w:rPr/>
        <w:t>order</w:t>
      </w:r>
      <w:r>
        <w:rPr>
          <w:spacing w:val="-10"/>
        </w:rPr>
        <w:t> </w:t>
      </w:r>
      <w:r>
        <w:rPr/>
        <w:t>to</w:t>
      </w:r>
      <w:r>
        <w:rPr>
          <w:spacing w:val="-10"/>
        </w:rPr>
        <w:t> </w:t>
      </w:r>
      <w:r>
        <w:rPr/>
        <w:t>ensure access to schools for children in such areas, special measures must be taken.</w:t>
      </w:r>
    </w:p>
    <w:p>
      <w:pPr>
        <w:pStyle w:val="BodyText"/>
        <w:spacing w:before="18"/>
      </w:pPr>
    </w:p>
    <w:p>
      <w:pPr>
        <w:pStyle w:val="BodyText"/>
        <w:spacing w:line="266" w:lineRule="auto"/>
        <w:ind w:left="1079" w:right="1"/>
        <w:jc w:val="both"/>
      </w:pPr>
      <w:r>
        <w:rPr/>
        <w:t>NKC recommends the following measures for </w:t>
      </w:r>
      <w:r>
        <w:rPr/>
        <w:t>such </w:t>
      </w:r>
      <w:r>
        <w:rPr>
          <w:spacing w:val="-2"/>
        </w:rPr>
        <w:t>areas:</w:t>
      </w:r>
    </w:p>
    <w:p>
      <w:pPr>
        <w:pStyle w:val="ListParagraph"/>
        <w:numPr>
          <w:ilvl w:val="2"/>
          <w:numId w:val="14"/>
        </w:numPr>
        <w:tabs>
          <w:tab w:pos="1439" w:val="left" w:leader="none"/>
        </w:tabs>
        <w:spacing w:line="266" w:lineRule="auto" w:before="0" w:after="0"/>
        <w:ind w:left="1439" w:right="0" w:hanging="360"/>
        <w:jc w:val="both"/>
        <w:rPr>
          <w:sz w:val="22"/>
        </w:rPr>
      </w:pPr>
      <w:r>
        <w:rPr>
          <w:spacing w:val="-2"/>
          <w:sz w:val="22"/>
        </w:rPr>
        <w:t>Financial</w:t>
      </w:r>
      <w:r>
        <w:rPr>
          <w:spacing w:val="-12"/>
          <w:sz w:val="22"/>
        </w:rPr>
        <w:t> </w:t>
      </w:r>
      <w:r>
        <w:rPr>
          <w:spacing w:val="-2"/>
          <w:sz w:val="22"/>
        </w:rPr>
        <w:t>norms</w:t>
      </w:r>
      <w:r>
        <w:rPr>
          <w:spacing w:val="-12"/>
          <w:sz w:val="22"/>
        </w:rPr>
        <w:t> </w:t>
      </w:r>
      <w:r>
        <w:rPr>
          <w:spacing w:val="-2"/>
          <w:sz w:val="22"/>
        </w:rPr>
        <w:t>for</w:t>
      </w:r>
      <w:r>
        <w:rPr>
          <w:spacing w:val="-12"/>
          <w:sz w:val="22"/>
        </w:rPr>
        <w:t> </w:t>
      </w:r>
      <w:r>
        <w:rPr>
          <w:spacing w:val="-2"/>
          <w:sz w:val="22"/>
        </w:rPr>
        <w:t>schools</w:t>
      </w:r>
      <w:r>
        <w:rPr>
          <w:spacing w:val="-11"/>
          <w:sz w:val="22"/>
        </w:rPr>
        <w:t> </w:t>
      </w:r>
      <w:r>
        <w:rPr>
          <w:spacing w:val="-2"/>
          <w:sz w:val="22"/>
        </w:rPr>
        <w:t>in</w:t>
      </w:r>
      <w:r>
        <w:rPr>
          <w:spacing w:val="-12"/>
          <w:sz w:val="22"/>
        </w:rPr>
        <w:t> </w:t>
      </w:r>
      <w:r>
        <w:rPr>
          <w:spacing w:val="-2"/>
          <w:sz w:val="22"/>
        </w:rPr>
        <w:t>such</w:t>
      </w:r>
      <w:r>
        <w:rPr>
          <w:spacing w:val="-12"/>
          <w:sz w:val="22"/>
        </w:rPr>
        <w:t> </w:t>
      </w:r>
      <w:r>
        <w:rPr>
          <w:spacing w:val="-2"/>
          <w:sz w:val="22"/>
        </w:rPr>
        <w:t>locations</w:t>
      </w:r>
      <w:r>
        <w:rPr>
          <w:spacing w:val="-12"/>
          <w:sz w:val="22"/>
        </w:rPr>
        <w:t> </w:t>
      </w:r>
      <w:r>
        <w:rPr>
          <w:spacing w:val="-2"/>
          <w:sz w:val="22"/>
        </w:rPr>
        <w:t>must </w:t>
      </w:r>
      <w:r>
        <w:rPr>
          <w:sz w:val="22"/>
        </w:rPr>
        <w:t>be different from those in more accessible areas, as</w:t>
      </w:r>
      <w:r>
        <w:rPr>
          <w:spacing w:val="-10"/>
          <w:sz w:val="22"/>
        </w:rPr>
        <w:t> </w:t>
      </w:r>
      <w:r>
        <w:rPr>
          <w:sz w:val="22"/>
        </w:rPr>
        <w:t>they</w:t>
      </w:r>
      <w:r>
        <w:rPr>
          <w:spacing w:val="-10"/>
          <w:sz w:val="22"/>
        </w:rPr>
        <w:t> </w:t>
      </w:r>
      <w:r>
        <w:rPr>
          <w:sz w:val="22"/>
        </w:rPr>
        <w:t>will</w:t>
      </w:r>
      <w:r>
        <w:rPr>
          <w:spacing w:val="-10"/>
          <w:sz w:val="22"/>
        </w:rPr>
        <w:t> </w:t>
      </w:r>
      <w:r>
        <w:rPr>
          <w:sz w:val="22"/>
        </w:rPr>
        <w:t>require</w:t>
      </w:r>
      <w:r>
        <w:rPr>
          <w:spacing w:val="-10"/>
          <w:sz w:val="22"/>
        </w:rPr>
        <w:t> </w:t>
      </w:r>
      <w:r>
        <w:rPr>
          <w:sz w:val="22"/>
        </w:rPr>
        <w:t>additional</w:t>
      </w:r>
      <w:r>
        <w:rPr>
          <w:spacing w:val="-10"/>
          <w:sz w:val="22"/>
        </w:rPr>
        <w:t> </w:t>
      </w:r>
      <w:r>
        <w:rPr>
          <w:sz w:val="22"/>
        </w:rPr>
        <w:t>resource</w:t>
      </w:r>
      <w:r>
        <w:rPr>
          <w:spacing w:val="-10"/>
          <w:sz w:val="22"/>
        </w:rPr>
        <w:t> </w:t>
      </w:r>
      <w:r>
        <w:rPr>
          <w:sz w:val="22"/>
        </w:rPr>
        <w:t>allocation based on particular conditions.</w:t>
      </w:r>
    </w:p>
    <w:p>
      <w:pPr>
        <w:pStyle w:val="ListParagraph"/>
        <w:numPr>
          <w:ilvl w:val="2"/>
          <w:numId w:val="14"/>
        </w:numPr>
        <w:tabs>
          <w:tab w:pos="1439" w:val="left" w:leader="none"/>
        </w:tabs>
        <w:spacing w:line="266" w:lineRule="auto" w:before="0" w:after="0"/>
        <w:ind w:left="1439" w:right="0" w:hanging="360"/>
        <w:jc w:val="both"/>
        <w:rPr>
          <w:sz w:val="22"/>
        </w:rPr>
      </w:pPr>
      <w:r>
        <w:rPr>
          <w:sz w:val="22"/>
        </w:rPr>
        <w:t>Special</w:t>
      </w:r>
      <w:r>
        <w:rPr>
          <w:spacing w:val="-14"/>
          <w:sz w:val="22"/>
        </w:rPr>
        <w:t> </w:t>
      </w:r>
      <w:r>
        <w:rPr>
          <w:sz w:val="22"/>
        </w:rPr>
        <w:t>incentives,</w:t>
      </w:r>
      <w:r>
        <w:rPr>
          <w:spacing w:val="-14"/>
          <w:sz w:val="22"/>
        </w:rPr>
        <w:t> </w:t>
      </w:r>
      <w:r>
        <w:rPr>
          <w:sz w:val="22"/>
        </w:rPr>
        <w:t>including</w:t>
      </w:r>
      <w:r>
        <w:rPr>
          <w:spacing w:val="-14"/>
          <w:sz w:val="22"/>
        </w:rPr>
        <w:t> </w:t>
      </w:r>
      <w:r>
        <w:rPr>
          <w:sz w:val="22"/>
        </w:rPr>
        <w:t>a</w:t>
      </w:r>
      <w:r>
        <w:rPr>
          <w:spacing w:val="-13"/>
          <w:sz w:val="22"/>
        </w:rPr>
        <w:t> </w:t>
      </w:r>
      <w:r>
        <w:rPr>
          <w:sz w:val="22"/>
        </w:rPr>
        <w:t>financial</w:t>
      </w:r>
      <w:r>
        <w:rPr>
          <w:spacing w:val="-14"/>
          <w:sz w:val="22"/>
        </w:rPr>
        <w:t> </w:t>
      </w:r>
      <w:r>
        <w:rPr>
          <w:sz w:val="22"/>
        </w:rPr>
        <w:t>incentive (such</w:t>
      </w:r>
      <w:r>
        <w:rPr>
          <w:spacing w:val="-4"/>
          <w:sz w:val="22"/>
        </w:rPr>
        <w:t> </w:t>
      </w:r>
      <w:r>
        <w:rPr>
          <w:sz w:val="22"/>
        </w:rPr>
        <w:t>as</w:t>
      </w:r>
      <w:r>
        <w:rPr>
          <w:spacing w:val="-4"/>
          <w:sz w:val="22"/>
        </w:rPr>
        <w:t> </w:t>
      </w:r>
      <w:r>
        <w:rPr>
          <w:sz w:val="22"/>
        </w:rPr>
        <w:t>a</w:t>
      </w:r>
      <w:r>
        <w:rPr>
          <w:spacing w:val="-4"/>
          <w:sz w:val="22"/>
        </w:rPr>
        <w:t> </w:t>
      </w:r>
      <w:r>
        <w:rPr>
          <w:sz w:val="22"/>
        </w:rPr>
        <w:t>“hardship</w:t>
      </w:r>
      <w:r>
        <w:rPr>
          <w:spacing w:val="-4"/>
          <w:sz w:val="22"/>
        </w:rPr>
        <w:t> </w:t>
      </w:r>
      <w:r>
        <w:rPr>
          <w:sz w:val="22"/>
        </w:rPr>
        <w:t>bonus”)</w:t>
      </w:r>
      <w:r>
        <w:rPr>
          <w:spacing w:val="-4"/>
          <w:sz w:val="22"/>
        </w:rPr>
        <w:t> </w:t>
      </w:r>
      <w:r>
        <w:rPr>
          <w:sz w:val="22"/>
        </w:rPr>
        <w:t>need</w:t>
      </w:r>
      <w:r>
        <w:rPr>
          <w:spacing w:val="-4"/>
          <w:sz w:val="22"/>
        </w:rPr>
        <w:t> </w:t>
      </w:r>
      <w:r>
        <w:rPr>
          <w:sz w:val="22"/>
        </w:rPr>
        <w:t>to</w:t>
      </w:r>
      <w:r>
        <w:rPr>
          <w:spacing w:val="-4"/>
          <w:sz w:val="22"/>
        </w:rPr>
        <w:t> </w:t>
      </w:r>
      <w:r>
        <w:rPr>
          <w:sz w:val="22"/>
        </w:rPr>
        <w:t>be</w:t>
      </w:r>
      <w:r>
        <w:rPr>
          <w:spacing w:val="-4"/>
          <w:sz w:val="22"/>
        </w:rPr>
        <w:t> </w:t>
      </w:r>
      <w:r>
        <w:rPr>
          <w:sz w:val="22"/>
        </w:rPr>
        <w:t>provided for teachers to take up jobs in such areas. Two different models may be considered – one based on recruiting local teachers on a permanent basis</w:t>
      </w:r>
    </w:p>
    <w:p>
      <w:pPr>
        <w:pStyle w:val="BodyText"/>
        <w:spacing w:line="266" w:lineRule="auto" w:before="57"/>
        <w:ind w:left="679" w:right="1077"/>
        <w:jc w:val="both"/>
      </w:pPr>
      <w:r>
        <w:rPr/>
        <w:br w:type="column"/>
      </w:r>
      <w:r>
        <w:rPr/>
        <w:t>for a job in a particular school without </w:t>
      </w:r>
      <w:r>
        <w:rPr/>
        <w:t>transfer; and</w:t>
      </w:r>
      <w:r>
        <w:rPr>
          <w:spacing w:val="-14"/>
        </w:rPr>
        <w:t> </w:t>
      </w:r>
      <w:r>
        <w:rPr/>
        <w:t>another</w:t>
      </w:r>
      <w:r>
        <w:rPr>
          <w:spacing w:val="-14"/>
        </w:rPr>
        <w:t> </w:t>
      </w:r>
      <w:r>
        <w:rPr/>
        <w:t>based</w:t>
      </w:r>
      <w:r>
        <w:rPr>
          <w:spacing w:val="-14"/>
        </w:rPr>
        <w:t> </w:t>
      </w:r>
      <w:r>
        <w:rPr/>
        <w:t>on</w:t>
      </w:r>
      <w:r>
        <w:rPr>
          <w:spacing w:val="-13"/>
        </w:rPr>
        <w:t> </w:t>
      </w:r>
      <w:r>
        <w:rPr/>
        <w:t>a</w:t>
      </w:r>
      <w:r>
        <w:rPr>
          <w:spacing w:val="-14"/>
        </w:rPr>
        <w:t> </w:t>
      </w:r>
      <w:r>
        <w:rPr/>
        <w:t>transfer</w:t>
      </w:r>
      <w:r>
        <w:rPr>
          <w:spacing w:val="-14"/>
        </w:rPr>
        <w:t> </w:t>
      </w:r>
      <w:r>
        <w:rPr/>
        <w:t>policy</w:t>
      </w:r>
      <w:r>
        <w:rPr>
          <w:spacing w:val="-14"/>
        </w:rPr>
        <w:t> </w:t>
      </w:r>
      <w:r>
        <w:rPr/>
        <w:t>that</w:t>
      </w:r>
      <w:r>
        <w:rPr>
          <w:spacing w:val="-13"/>
        </w:rPr>
        <w:t> </w:t>
      </w:r>
      <w:r>
        <w:rPr/>
        <w:t>divides locations into hard/middle/easy categories and allows</w:t>
      </w:r>
      <w:r>
        <w:rPr>
          <w:spacing w:val="-7"/>
        </w:rPr>
        <w:t> </w:t>
      </w:r>
      <w:r>
        <w:rPr/>
        <w:t>teachers</w:t>
      </w:r>
      <w:r>
        <w:rPr>
          <w:spacing w:val="-7"/>
        </w:rPr>
        <w:t> </w:t>
      </w:r>
      <w:r>
        <w:rPr/>
        <w:t>to</w:t>
      </w:r>
      <w:r>
        <w:rPr>
          <w:spacing w:val="-7"/>
        </w:rPr>
        <w:t> </w:t>
      </w:r>
      <w:r>
        <w:rPr/>
        <w:t>rotate</w:t>
      </w:r>
      <w:r>
        <w:rPr>
          <w:spacing w:val="-7"/>
        </w:rPr>
        <w:t> </w:t>
      </w:r>
      <w:r>
        <w:rPr/>
        <w:t>among</w:t>
      </w:r>
      <w:r>
        <w:rPr>
          <w:spacing w:val="-7"/>
        </w:rPr>
        <w:t> </w:t>
      </w:r>
      <w:r>
        <w:rPr/>
        <w:t>them</w:t>
      </w:r>
      <w:r>
        <w:rPr>
          <w:spacing w:val="-7"/>
        </w:rPr>
        <w:t> </w:t>
      </w:r>
      <w:r>
        <w:rPr/>
        <w:t>at</w:t>
      </w:r>
      <w:r>
        <w:rPr>
          <w:spacing w:val="-7"/>
        </w:rPr>
        <w:t> </w:t>
      </w:r>
      <w:r>
        <w:rPr/>
        <w:t>specified </w:t>
      </w:r>
      <w:r>
        <w:rPr>
          <w:spacing w:val="-2"/>
        </w:rPr>
        <w:t>intervals.</w:t>
      </w:r>
      <w:r>
        <w:rPr>
          <w:spacing w:val="-9"/>
        </w:rPr>
        <w:t> </w:t>
      </w:r>
      <w:r>
        <w:rPr>
          <w:spacing w:val="-2"/>
        </w:rPr>
        <w:t>Ideally,</w:t>
      </w:r>
      <w:r>
        <w:rPr>
          <w:spacing w:val="-9"/>
        </w:rPr>
        <w:t> </w:t>
      </w:r>
      <w:r>
        <w:rPr>
          <w:spacing w:val="-2"/>
        </w:rPr>
        <w:t>there</w:t>
      </w:r>
      <w:r>
        <w:rPr>
          <w:spacing w:val="-9"/>
        </w:rPr>
        <w:t> </w:t>
      </w:r>
      <w:r>
        <w:rPr>
          <w:spacing w:val="-2"/>
        </w:rPr>
        <w:t>should</w:t>
      </w:r>
      <w:r>
        <w:rPr>
          <w:spacing w:val="-9"/>
        </w:rPr>
        <w:t> </w:t>
      </w:r>
      <w:r>
        <w:rPr>
          <w:spacing w:val="-2"/>
        </w:rPr>
        <w:t>be</w:t>
      </w:r>
      <w:r>
        <w:rPr>
          <w:spacing w:val="-9"/>
        </w:rPr>
        <w:t> </w:t>
      </w:r>
      <w:r>
        <w:rPr>
          <w:spacing w:val="-2"/>
        </w:rPr>
        <w:t>at</w:t>
      </w:r>
      <w:r>
        <w:rPr>
          <w:spacing w:val="-9"/>
        </w:rPr>
        <w:t> </w:t>
      </w:r>
      <w:r>
        <w:rPr>
          <w:spacing w:val="-2"/>
        </w:rPr>
        <w:t>least</w:t>
      </w:r>
      <w:r>
        <w:rPr>
          <w:spacing w:val="-9"/>
        </w:rPr>
        <w:t> </w:t>
      </w:r>
      <w:r>
        <w:rPr>
          <w:spacing w:val="-2"/>
        </w:rPr>
        <w:t>one</w:t>
      </w:r>
      <w:r>
        <w:rPr>
          <w:spacing w:val="-9"/>
        </w:rPr>
        <w:t> </w:t>
      </w:r>
      <w:r>
        <w:rPr>
          <w:spacing w:val="-2"/>
        </w:rPr>
        <w:t>local </w:t>
      </w:r>
      <w:r>
        <w:rPr/>
        <w:t>teacher</w:t>
      </w:r>
      <w:r>
        <w:rPr>
          <w:spacing w:val="-11"/>
        </w:rPr>
        <w:t> </w:t>
      </w:r>
      <w:r>
        <w:rPr/>
        <w:t>and</w:t>
      </w:r>
      <w:r>
        <w:rPr>
          <w:spacing w:val="-11"/>
        </w:rPr>
        <w:t> </w:t>
      </w:r>
      <w:r>
        <w:rPr/>
        <w:t>one</w:t>
      </w:r>
      <w:r>
        <w:rPr>
          <w:spacing w:val="-11"/>
        </w:rPr>
        <w:t> </w:t>
      </w:r>
      <w:r>
        <w:rPr/>
        <w:t>non-</w:t>
      </w:r>
      <w:r>
        <w:rPr>
          <w:spacing w:val="-11"/>
        </w:rPr>
        <w:t> </w:t>
      </w:r>
      <w:r>
        <w:rPr/>
        <w:t>local</w:t>
      </w:r>
      <w:r>
        <w:rPr>
          <w:spacing w:val="-11"/>
        </w:rPr>
        <w:t> </w:t>
      </w:r>
      <w:r>
        <w:rPr/>
        <w:t>teacher</w:t>
      </w:r>
      <w:r>
        <w:rPr>
          <w:spacing w:val="-11"/>
        </w:rPr>
        <w:t> </w:t>
      </w:r>
      <w:r>
        <w:rPr/>
        <w:t>to</w:t>
      </w:r>
      <w:r>
        <w:rPr>
          <w:spacing w:val="-11"/>
        </w:rPr>
        <w:t> </w:t>
      </w:r>
      <w:r>
        <w:rPr/>
        <w:t>ensure</w:t>
      </w:r>
      <w:r>
        <w:rPr>
          <w:spacing w:val="-11"/>
        </w:rPr>
        <w:t> </w:t>
      </w:r>
      <w:r>
        <w:rPr/>
        <w:t>some variation,</w:t>
      </w:r>
      <w:r>
        <w:rPr>
          <w:spacing w:val="-5"/>
        </w:rPr>
        <w:t> </w:t>
      </w:r>
      <w:r>
        <w:rPr/>
        <w:t>local</w:t>
      </w:r>
      <w:r>
        <w:rPr>
          <w:spacing w:val="-5"/>
        </w:rPr>
        <w:t> </w:t>
      </w:r>
      <w:r>
        <w:rPr/>
        <w:t>acceptability</w:t>
      </w:r>
      <w:r>
        <w:rPr>
          <w:spacing w:val="-5"/>
        </w:rPr>
        <w:t> </w:t>
      </w:r>
      <w:r>
        <w:rPr/>
        <w:t>and</w:t>
      </w:r>
      <w:r>
        <w:rPr>
          <w:spacing w:val="-5"/>
        </w:rPr>
        <w:t> </w:t>
      </w:r>
      <w:r>
        <w:rPr/>
        <w:t>quality.</w:t>
      </w:r>
    </w:p>
    <w:p>
      <w:pPr>
        <w:pStyle w:val="ListParagraph"/>
        <w:numPr>
          <w:ilvl w:val="2"/>
          <w:numId w:val="14"/>
        </w:numPr>
        <w:tabs>
          <w:tab w:pos="679" w:val="left" w:leader="none"/>
        </w:tabs>
        <w:spacing w:line="266" w:lineRule="auto" w:before="0" w:after="0"/>
        <w:ind w:left="679" w:right="1077" w:hanging="360"/>
        <w:jc w:val="both"/>
        <w:rPr>
          <w:sz w:val="22"/>
        </w:rPr>
      </w:pPr>
      <w:r>
        <w:rPr>
          <w:spacing w:val="-6"/>
          <w:sz w:val="22"/>
        </w:rPr>
        <w:t>Residential arrangements must be made for </w:t>
      </w:r>
      <w:r>
        <w:rPr>
          <w:spacing w:val="-6"/>
          <w:sz w:val="22"/>
        </w:rPr>
        <w:t>teachers </w:t>
      </w:r>
      <w:r>
        <w:rPr>
          <w:sz w:val="22"/>
        </w:rPr>
        <w:t>in</w:t>
      </w:r>
      <w:r>
        <w:rPr>
          <w:spacing w:val="-11"/>
          <w:sz w:val="22"/>
        </w:rPr>
        <w:t> </w:t>
      </w:r>
      <w:r>
        <w:rPr>
          <w:sz w:val="22"/>
        </w:rPr>
        <w:t>such</w:t>
      </w:r>
      <w:r>
        <w:rPr>
          <w:spacing w:val="-11"/>
          <w:sz w:val="22"/>
        </w:rPr>
        <w:t> </w:t>
      </w:r>
      <w:r>
        <w:rPr>
          <w:sz w:val="22"/>
        </w:rPr>
        <w:t>locations,</w:t>
      </w:r>
      <w:r>
        <w:rPr>
          <w:spacing w:val="-11"/>
          <w:sz w:val="22"/>
        </w:rPr>
        <w:t> </w:t>
      </w:r>
      <w:r>
        <w:rPr>
          <w:sz w:val="22"/>
        </w:rPr>
        <w:t>by</w:t>
      </w:r>
      <w:r>
        <w:rPr>
          <w:spacing w:val="-11"/>
          <w:sz w:val="22"/>
        </w:rPr>
        <w:t> </w:t>
      </w:r>
      <w:r>
        <w:rPr>
          <w:sz w:val="22"/>
        </w:rPr>
        <w:t>providing</w:t>
      </w:r>
      <w:r>
        <w:rPr>
          <w:spacing w:val="-11"/>
          <w:sz w:val="22"/>
        </w:rPr>
        <w:t> </w:t>
      </w:r>
      <w:r>
        <w:rPr>
          <w:sz w:val="22"/>
        </w:rPr>
        <w:t>quarters</w:t>
      </w:r>
      <w:r>
        <w:rPr>
          <w:spacing w:val="-11"/>
          <w:sz w:val="22"/>
        </w:rPr>
        <w:t> </w:t>
      </w:r>
      <w:r>
        <w:rPr>
          <w:sz w:val="22"/>
        </w:rPr>
        <w:t>next</w:t>
      </w:r>
      <w:r>
        <w:rPr>
          <w:spacing w:val="-11"/>
          <w:sz w:val="22"/>
        </w:rPr>
        <w:t> </w:t>
      </w:r>
      <w:r>
        <w:rPr>
          <w:sz w:val="22"/>
        </w:rPr>
        <w:t>to</w:t>
      </w:r>
      <w:r>
        <w:rPr>
          <w:spacing w:val="-11"/>
          <w:sz w:val="22"/>
        </w:rPr>
        <w:t> </w:t>
      </w:r>
      <w:r>
        <w:rPr>
          <w:sz w:val="22"/>
        </w:rPr>
        <w:t>or </w:t>
      </w:r>
      <w:r>
        <w:rPr>
          <w:spacing w:val="-2"/>
          <w:sz w:val="22"/>
        </w:rPr>
        <w:t>near</w:t>
      </w:r>
      <w:r>
        <w:rPr>
          <w:spacing w:val="-8"/>
          <w:sz w:val="22"/>
        </w:rPr>
        <w:t> </w:t>
      </w:r>
      <w:r>
        <w:rPr>
          <w:spacing w:val="-2"/>
          <w:sz w:val="22"/>
        </w:rPr>
        <w:t>the</w:t>
      </w:r>
      <w:r>
        <w:rPr>
          <w:spacing w:val="-7"/>
          <w:sz w:val="22"/>
        </w:rPr>
        <w:t> </w:t>
      </w:r>
      <w:r>
        <w:rPr>
          <w:spacing w:val="-2"/>
          <w:sz w:val="22"/>
        </w:rPr>
        <w:t>school.</w:t>
      </w:r>
      <w:r>
        <w:rPr>
          <w:spacing w:val="-12"/>
          <w:sz w:val="22"/>
        </w:rPr>
        <w:t> </w:t>
      </w:r>
      <w:r>
        <w:rPr>
          <w:spacing w:val="-2"/>
          <w:sz w:val="22"/>
        </w:rPr>
        <w:t>The</w:t>
      </w:r>
      <w:r>
        <w:rPr>
          <w:spacing w:val="-7"/>
          <w:sz w:val="22"/>
        </w:rPr>
        <w:t> </w:t>
      </w:r>
      <w:r>
        <w:rPr>
          <w:spacing w:val="-2"/>
          <w:sz w:val="22"/>
        </w:rPr>
        <w:t>cost</w:t>
      </w:r>
      <w:r>
        <w:rPr>
          <w:spacing w:val="-6"/>
          <w:sz w:val="22"/>
        </w:rPr>
        <w:t> </w:t>
      </w:r>
      <w:r>
        <w:rPr>
          <w:spacing w:val="-2"/>
          <w:sz w:val="22"/>
        </w:rPr>
        <w:t>of</w:t>
      </w:r>
      <w:r>
        <w:rPr>
          <w:spacing w:val="-7"/>
          <w:sz w:val="22"/>
        </w:rPr>
        <w:t> </w:t>
      </w:r>
      <w:r>
        <w:rPr>
          <w:spacing w:val="-2"/>
          <w:sz w:val="22"/>
        </w:rPr>
        <w:t>building</w:t>
      </w:r>
      <w:r>
        <w:rPr>
          <w:spacing w:val="-6"/>
          <w:sz w:val="22"/>
        </w:rPr>
        <w:t> </w:t>
      </w:r>
      <w:r>
        <w:rPr>
          <w:spacing w:val="-2"/>
          <w:sz w:val="22"/>
        </w:rPr>
        <w:t>such</w:t>
      </w:r>
      <w:r>
        <w:rPr>
          <w:spacing w:val="-7"/>
          <w:sz w:val="22"/>
        </w:rPr>
        <w:t> </w:t>
      </w:r>
      <w:r>
        <w:rPr>
          <w:spacing w:val="-2"/>
          <w:sz w:val="22"/>
        </w:rPr>
        <w:t>quarters </w:t>
      </w:r>
      <w:r>
        <w:rPr>
          <w:sz w:val="22"/>
        </w:rPr>
        <w:t>should be factored into the costs of the school </w:t>
      </w:r>
      <w:r>
        <w:rPr>
          <w:spacing w:val="-2"/>
          <w:sz w:val="22"/>
        </w:rPr>
        <w:t>building.</w:t>
      </w:r>
    </w:p>
    <w:p>
      <w:pPr>
        <w:pStyle w:val="ListParagraph"/>
        <w:numPr>
          <w:ilvl w:val="2"/>
          <w:numId w:val="14"/>
        </w:numPr>
        <w:tabs>
          <w:tab w:pos="679" w:val="left" w:leader="none"/>
        </w:tabs>
        <w:spacing w:line="266" w:lineRule="auto" w:before="0" w:after="0"/>
        <w:ind w:left="679" w:right="1077" w:hanging="360"/>
        <w:jc w:val="both"/>
        <w:rPr>
          <w:sz w:val="22"/>
        </w:rPr>
      </w:pPr>
      <w:r>
        <w:rPr>
          <w:sz w:val="22"/>
        </w:rPr>
        <w:t>There are some geographical zones especially </w:t>
      </w:r>
      <w:r>
        <w:rPr>
          <w:sz w:val="22"/>
        </w:rPr>
        <w:t>in mountainous regions, that are plagued by unique problems due to vast tracts of land, difficult </w:t>
      </w:r>
      <w:r>
        <w:rPr>
          <w:spacing w:val="-2"/>
          <w:sz w:val="22"/>
        </w:rPr>
        <w:t>topography,</w:t>
      </w:r>
      <w:r>
        <w:rPr>
          <w:spacing w:val="-7"/>
          <w:sz w:val="22"/>
        </w:rPr>
        <w:t> </w:t>
      </w:r>
      <w:r>
        <w:rPr>
          <w:spacing w:val="-2"/>
          <w:sz w:val="22"/>
        </w:rPr>
        <w:t>and</w:t>
      </w:r>
      <w:r>
        <w:rPr>
          <w:spacing w:val="-7"/>
          <w:sz w:val="22"/>
        </w:rPr>
        <w:t> </w:t>
      </w:r>
      <w:r>
        <w:rPr>
          <w:spacing w:val="-2"/>
          <w:sz w:val="22"/>
        </w:rPr>
        <w:t>a</w:t>
      </w:r>
      <w:r>
        <w:rPr>
          <w:spacing w:val="-7"/>
          <w:sz w:val="22"/>
        </w:rPr>
        <w:t> </w:t>
      </w:r>
      <w:r>
        <w:rPr>
          <w:spacing w:val="-2"/>
          <w:sz w:val="22"/>
        </w:rPr>
        <w:t>sparse</w:t>
      </w:r>
      <w:r>
        <w:rPr>
          <w:spacing w:val="-7"/>
          <w:sz w:val="22"/>
        </w:rPr>
        <w:t> </w:t>
      </w:r>
      <w:r>
        <w:rPr>
          <w:spacing w:val="-2"/>
          <w:sz w:val="22"/>
        </w:rPr>
        <w:t>and</w:t>
      </w:r>
      <w:r>
        <w:rPr>
          <w:spacing w:val="-7"/>
          <w:sz w:val="22"/>
        </w:rPr>
        <w:t> </w:t>
      </w:r>
      <w:r>
        <w:rPr>
          <w:spacing w:val="-2"/>
          <w:sz w:val="22"/>
        </w:rPr>
        <w:t>nomadic</w:t>
      </w:r>
      <w:r>
        <w:rPr>
          <w:spacing w:val="-7"/>
          <w:sz w:val="22"/>
        </w:rPr>
        <w:t> </w:t>
      </w:r>
      <w:r>
        <w:rPr>
          <w:spacing w:val="-2"/>
          <w:sz w:val="22"/>
        </w:rPr>
        <w:t>population. </w:t>
      </w:r>
      <w:r>
        <w:rPr>
          <w:sz w:val="22"/>
        </w:rPr>
        <w:t>In such areas, well equipped residential schools should</w:t>
      </w:r>
      <w:r>
        <w:rPr>
          <w:spacing w:val="-13"/>
          <w:sz w:val="22"/>
        </w:rPr>
        <w:t> </w:t>
      </w:r>
      <w:r>
        <w:rPr>
          <w:sz w:val="22"/>
        </w:rPr>
        <w:t>be</w:t>
      </w:r>
      <w:r>
        <w:rPr>
          <w:spacing w:val="-13"/>
          <w:sz w:val="22"/>
        </w:rPr>
        <w:t> </w:t>
      </w:r>
      <w:r>
        <w:rPr>
          <w:sz w:val="22"/>
        </w:rPr>
        <w:t>set</w:t>
      </w:r>
      <w:r>
        <w:rPr>
          <w:spacing w:val="-13"/>
          <w:sz w:val="22"/>
        </w:rPr>
        <w:t> </w:t>
      </w:r>
      <w:r>
        <w:rPr>
          <w:sz w:val="22"/>
        </w:rPr>
        <w:t>up</w:t>
      </w:r>
      <w:r>
        <w:rPr>
          <w:spacing w:val="-13"/>
          <w:sz w:val="22"/>
        </w:rPr>
        <w:t> </w:t>
      </w:r>
      <w:r>
        <w:rPr>
          <w:sz w:val="22"/>
        </w:rPr>
        <w:t>instead</w:t>
      </w:r>
      <w:r>
        <w:rPr>
          <w:spacing w:val="-13"/>
          <w:sz w:val="22"/>
        </w:rPr>
        <w:t> </w:t>
      </w:r>
      <w:r>
        <w:rPr>
          <w:sz w:val="22"/>
        </w:rPr>
        <w:t>of</w:t>
      </w:r>
      <w:r>
        <w:rPr>
          <w:spacing w:val="-13"/>
          <w:sz w:val="22"/>
        </w:rPr>
        <w:t> </w:t>
      </w:r>
      <w:r>
        <w:rPr>
          <w:sz w:val="22"/>
        </w:rPr>
        <w:t>insisting</w:t>
      </w:r>
      <w:r>
        <w:rPr>
          <w:spacing w:val="-13"/>
          <w:sz w:val="22"/>
        </w:rPr>
        <w:t> </w:t>
      </w:r>
      <w:r>
        <w:rPr>
          <w:sz w:val="22"/>
        </w:rPr>
        <w:t>on</w:t>
      </w:r>
      <w:r>
        <w:rPr>
          <w:spacing w:val="-13"/>
          <w:sz w:val="22"/>
        </w:rPr>
        <w:t> </w:t>
      </w:r>
      <w:r>
        <w:rPr>
          <w:sz w:val="22"/>
        </w:rPr>
        <w:t>a</w:t>
      </w:r>
      <w:r>
        <w:rPr>
          <w:spacing w:val="-13"/>
          <w:sz w:val="22"/>
        </w:rPr>
        <w:t> </w:t>
      </w:r>
      <w:r>
        <w:rPr>
          <w:sz w:val="22"/>
        </w:rPr>
        <w:t>school</w:t>
      </w:r>
      <w:r>
        <w:rPr>
          <w:spacing w:val="-13"/>
          <w:sz w:val="22"/>
        </w:rPr>
        <w:t> </w:t>
      </w:r>
      <w:r>
        <w:rPr>
          <w:sz w:val="22"/>
        </w:rPr>
        <w:t>in every</w:t>
      </w:r>
      <w:r>
        <w:rPr>
          <w:spacing w:val="-14"/>
          <w:sz w:val="22"/>
        </w:rPr>
        <w:t> </w:t>
      </w:r>
      <w:r>
        <w:rPr>
          <w:sz w:val="22"/>
        </w:rPr>
        <w:t>habitation.</w:t>
      </w:r>
      <w:r>
        <w:rPr>
          <w:spacing w:val="-14"/>
          <w:sz w:val="22"/>
        </w:rPr>
        <w:t> </w:t>
      </w:r>
      <w:r>
        <w:rPr>
          <w:sz w:val="22"/>
        </w:rPr>
        <w:t>These</w:t>
      </w:r>
      <w:r>
        <w:rPr>
          <w:spacing w:val="-14"/>
          <w:sz w:val="22"/>
        </w:rPr>
        <w:t> </w:t>
      </w:r>
      <w:r>
        <w:rPr>
          <w:sz w:val="22"/>
        </w:rPr>
        <w:t>schools</w:t>
      </w:r>
      <w:r>
        <w:rPr>
          <w:spacing w:val="-13"/>
          <w:sz w:val="22"/>
        </w:rPr>
        <w:t> </w:t>
      </w:r>
      <w:r>
        <w:rPr>
          <w:sz w:val="22"/>
        </w:rPr>
        <w:t>must</w:t>
      </w:r>
      <w:r>
        <w:rPr>
          <w:spacing w:val="-14"/>
          <w:sz w:val="22"/>
        </w:rPr>
        <w:t> </w:t>
      </w:r>
      <w:r>
        <w:rPr>
          <w:sz w:val="22"/>
        </w:rPr>
        <w:t>be</w:t>
      </w:r>
      <w:r>
        <w:rPr>
          <w:spacing w:val="-12"/>
          <w:sz w:val="22"/>
        </w:rPr>
        <w:t> </w:t>
      </w:r>
      <w:r>
        <w:rPr>
          <w:sz w:val="22"/>
        </w:rPr>
        <w:t>equipped </w:t>
      </w:r>
      <w:r>
        <w:rPr>
          <w:spacing w:val="-4"/>
          <w:sz w:val="22"/>
        </w:rPr>
        <w:t>to</w:t>
      </w:r>
      <w:r>
        <w:rPr>
          <w:spacing w:val="-7"/>
          <w:sz w:val="22"/>
        </w:rPr>
        <w:t> </w:t>
      </w:r>
      <w:r>
        <w:rPr>
          <w:spacing w:val="-4"/>
          <w:sz w:val="22"/>
        </w:rPr>
        <w:t>look</w:t>
      </w:r>
      <w:r>
        <w:rPr>
          <w:spacing w:val="-7"/>
          <w:sz w:val="22"/>
        </w:rPr>
        <w:t> </w:t>
      </w:r>
      <w:r>
        <w:rPr>
          <w:spacing w:val="-4"/>
          <w:sz w:val="22"/>
        </w:rPr>
        <w:t>into</w:t>
      </w:r>
      <w:r>
        <w:rPr>
          <w:spacing w:val="-7"/>
          <w:sz w:val="22"/>
        </w:rPr>
        <w:t> </w:t>
      </w:r>
      <w:r>
        <w:rPr>
          <w:spacing w:val="-4"/>
          <w:sz w:val="22"/>
        </w:rPr>
        <w:t>the</w:t>
      </w:r>
      <w:r>
        <w:rPr>
          <w:spacing w:val="-7"/>
          <w:sz w:val="22"/>
        </w:rPr>
        <w:t> </w:t>
      </w:r>
      <w:r>
        <w:rPr>
          <w:spacing w:val="-4"/>
          <w:sz w:val="22"/>
        </w:rPr>
        <w:t>needs</w:t>
      </w:r>
      <w:r>
        <w:rPr>
          <w:spacing w:val="-7"/>
          <w:sz w:val="22"/>
        </w:rPr>
        <w:t> </w:t>
      </w:r>
      <w:r>
        <w:rPr>
          <w:spacing w:val="-4"/>
          <w:sz w:val="22"/>
        </w:rPr>
        <w:t>of</w:t>
      </w:r>
      <w:r>
        <w:rPr>
          <w:spacing w:val="-7"/>
          <w:sz w:val="22"/>
        </w:rPr>
        <w:t> </w:t>
      </w:r>
      <w:r>
        <w:rPr>
          <w:spacing w:val="-4"/>
          <w:sz w:val="22"/>
        </w:rPr>
        <w:t>very</w:t>
      </w:r>
      <w:r>
        <w:rPr>
          <w:spacing w:val="-7"/>
          <w:sz w:val="22"/>
        </w:rPr>
        <w:t> </w:t>
      </w:r>
      <w:r>
        <w:rPr>
          <w:spacing w:val="-4"/>
          <w:sz w:val="22"/>
        </w:rPr>
        <w:t>young</w:t>
      </w:r>
      <w:r>
        <w:rPr>
          <w:spacing w:val="-7"/>
          <w:sz w:val="22"/>
        </w:rPr>
        <w:t> </w:t>
      </w:r>
      <w:r>
        <w:rPr>
          <w:spacing w:val="-4"/>
          <w:sz w:val="22"/>
        </w:rPr>
        <w:t>children</w:t>
      </w:r>
      <w:r>
        <w:rPr>
          <w:spacing w:val="-7"/>
          <w:sz w:val="22"/>
        </w:rPr>
        <w:t> </w:t>
      </w:r>
      <w:r>
        <w:rPr>
          <w:spacing w:val="-4"/>
          <w:sz w:val="22"/>
        </w:rPr>
        <w:t>living </w:t>
      </w:r>
      <w:r>
        <w:rPr>
          <w:sz w:val="22"/>
        </w:rPr>
        <w:t>away from their families.</w:t>
      </w:r>
    </w:p>
    <w:p>
      <w:pPr>
        <w:pStyle w:val="Heading7"/>
        <w:numPr>
          <w:ilvl w:val="1"/>
          <w:numId w:val="14"/>
        </w:numPr>
        <w:tabs>
          <w:tab w:pos="717" w:val="left" w:leader="none"/>
        </w:tabs>
        <w:spacing w:line="225" w:lineRule="auto" w:before="241" w:after="0"/>
        <w:ind w:left="717" w:right="1174" w:hanging="398"/>
        <w:jc w:val="both"/>
      </w:pPr>
      <w:r>
        <w:rPr>
          <w:color w:val="2E614A"/>
          <w:spacing w:val="-8"/>
        </w:rPr>
        <w:t>Measures</w:t>
      </w:r>
      <w:r>
        <w:rPr>
          <w:color w:val="2E614A"/>
          <w:spacing w:val="-9"/>
        </w:rPr>
        <w:t> </w:t>
      </w:r>
      <w:r>
        <w:rPr>
          <w:color w:val="2E614A"/>
          <w:spacing w:val="-8"/>
        </w:rPr>
        <w:t>are required to ensure</w:t>
      </w:r>
      <w:r>
        <w:rPr>
          <w:color w:val="2E614A"/>
          <w:spacing w:val="-9"/>
        </w:rPr>
        <w:t> </w:t>
      </w:r>
      <w:r>
        <w:rPr>
          <w:color w:val="2E614A"/>
          <w:spacing w:val="-8"/>
        </w:rPr>
        <w:t>greater enrolment and retention of girl </w:t>
      </w:r>
      <w:r>
        <w:rPr>
          <w:color w:val="2E614A"/>
          <w:spacing w:val="-8"/>
        </w:rPr>
        <w:t>students.</w:t>
      </w:r>
    </w:p>
    <w:p>
      <w:pPr>
        <w:pStyle w:val="BodyText"/>
        <w:spacing w:before="1"/>
        <w:rPr>
          <w:b/>
          <w:sz w:val="26"/>
        </w:rPr>
      </w:pPr>
    </w:p>
    <w:p>
      <w:pPr>
        <w:pStyle w:val="BodyText"/>
        <w:spacing w:line="266" w:lineRule="auto"/>
        <w:ind w:left="319" w:right="1077"/>
        <w:jc w:val="both"/>
      </w:pPr>
      <w:r>
        <w:rPr/>
        <w:t>The</w:t>
      </w:r>
      <w:r>
        <w:rPr>
          <w:spacing w:val="-14"/>
        </w:rPr>
        <w:t> </w:t>
      </w:r>
      <w:r>
        <w:rPr/>
        <w:t>high</w:t>
      </w:r>
      <w:r>
        <w:rPr>
          <w:spacing w:val="-14"/>
        </w:rPr>
        <w:t> </w:t>
      </w:r>
      <w:r>
        <w:rPr/>
        <w:t>drop</w:t>
      </w:r>
      <w:r>
        <w:rPr>
          <w:spacing w:val="-14"/>
        </w:rPr>
        <w:t> </w:t>
      </w:r>
      <w:r>
        <w:rPr/>
        <w:t>out</w:t>
      </w:r>
      <w:r>
        <w:rPr>
          <w:spacing w:val="-13"/>
        </w:rPr>
        <w:t> </w:t>
      </w:r>
      <w:r>
        <w:rPr/>
        <w:t>rate</w:t>
      </w:r>
      <w:r>
        <w:rPr>
          <w:spacing w:val="-14"/>
        </w:rPr>
        <w:t> </w:t>
      </w:r>
      <w:r>
        <w:rPr/>
        <w:t>of</w:t>
      </w:r>
      <w:r>
        <w:rPr>
          <w:spacing w:val="-14"/>
        </w:rPr>
        <w:t> </w:t>
      </w:r>
      <w:r>
        <w:rPr/>
        <w:t>girls</w:t>
      </w:r>
      <w:r>
        <w:rPr>
          <w:spacing w:val="-14"/>
        </w:rPr>
        <w:t> </w:t>
      </w:r>
      <w:r>
        <w:rPr/>
        <w:t>especially</w:t>
      </w:r>
      <w:r>
        <w:rPr>
          <w:spacing w:val="-13"/>
        </w:rPr>
        <w:t> </w:t>
      </w:r>
      <w:r>
        <w:rPr/>
        <w:t>from</w:t>
      </w:r>
      <w:r>
        <w:rPr>
          <w:spacing w:val="-14"/>
        </w:rPr>
        <w:t> </w:t>
      </w:r>
      <w:r>
        <w:rPr/>
        <w:t>Class</w:t>
      </w:r>
      <w:r>
        <w:rPr>
          <w:spacing w:val="-14"/>
        </w:rPr>
        <w:t> </w:t>
      </w:r>
      <w:r>
        <w:rPr/>
        <w:t>V </w:t>
      </w:r>
      <w:r>
        <w:rPr>
          <w:spacing w:val="-4"/>
        </w:rPr>
        <w:t>onwards</w:t>
      </w:r>
      <w:r>
        <w:rPr>
          <w:spacing w:val="-10"/>
        </w:rPr>
        <w:t> </w:t>
      </w:r>
      <w:r>
        <w:rPr>
          <w:spacing w:val="-4"/>
        </w:rPr>
        <w:t>is</w:t>
      </w:r>
      <w:r>
        <w:rPr>
          <w:spacing w:val="-10"/>
        </w:rPr>
        <w:t> </w:t>
      </w:r>
      <w:r>
        <w:rPr>
          <w:spacing w:val="-4"/>
        </w:rPr>
        <w:t>a</w:t>
      </w:r>
      <w:r>
        <w:rPr>
          <w:spacing w:val="-10"/>
        </w:rPr>
        <w:t> </w:t>
      </w:r>
      <w:r>
        <w:rPr>
          <w:spacing w:val="-4"/>
        </w:rPr>
        <w:t>matter</w:t>
      </w:r>
      <w:r>
        <w:rPr>
          <w:spacing w:val="-9"/>
        </w:rPr>
        <w:t> </w:t>
      </w:r>
      <w:r>
        <w:rPr>
          <w:spacing w:val="-4"/>
        </w:rPr>
        <w:t>of</w:t>
      </w:r>
      <w:r>
        <w:rPr>
          <w:spacing w:val="-10"/>
        </w:rPr>
        <w:t> </w:t>
      </w:r>
      <w:r>
        <w:rPr>
          <w:spacing w:val="-4"/>
        </w:rPr>
        <w:t>great</w:t>
      </w:r>
      <w:r>
        <w:rPr>
          <w:spacing w:val="-10"/>
        </w:rPr>
        <w:t> </w:t>
      </w:r>
      <w:r>
        <w:rPr>
          <w:spacing w:val="-4"/>
        </w:rPr>
        <w:t>concern.</w:t>
      </w:r>
      <w:r>
        <w:rPr>
          <w:spacing w:val="-10"/>
        </w:rPr>
        <w:t> </w:t>
      </w:r>
      <w:r>
        <w:rPr>
          <w:spacing w:val="-4"/>
        </w:rPr>
        <w:t>One</w:t>
      </w:r>
      <w:r>
        <w:rPr>
          <w:spacing w:val="-9"/>
        </w:rPr>
        <w:t> </w:t>
      </w:r>
      <w:r>
        <w:rPr>
          <w:spacing w:val="-4"/>
        </w:rPr>
        <w:t>major</w:t>
      </w:r>
      <w:r>
        <w:rPr>
          <w:spacing w:val="-10"/>
        </w:rPr>
        <w:t> </w:t>
      </w:r>
      <w:r>
        <w:rPr>
          <w:spacing w:val="-4"/>
        </w:rPr>
        <w:t>reason, </w:t>
      </w:r>
      <w:r>
        <w:rPr/>
        <w:t>as</w:t>
      </w:r>
      <w:r>
        <w:rPr>
          <w:spacing w:val="-8"/>
        </w:rPr>
        <w:t> </w:t>
      </w:r>
      <w:r>
        <w:rPr/>
        <w:t>noted</w:t>
      </w:r>
      <w:r>
        <w:rPr>
          <w:spacing w:val="-8"/>
        </w:rPr>
        <w:t> </w:t>
      </w:r>
      <w:r>
        <w:rPr/>
        <w:t>above,</w:t>
      </w:r>
      <w:r>
        <w:rPr>
          <w:spacing w:val="-8"/>
        </w:rPr>
        <w:t> </w:t>
      </w:r>
      <w:r>
        <w:rPr/>
        <w:t>is</w:t>
      </w:r>
      <w:r>
        <w:rPr>
          <w:spacing w:val="-8"/>
        </w:rPr>
        <w:t> </w:t>
      </w:r>
      <w:r>
        <w:rPr/>
        <w:t>the</w:t>
      </w:r>
      <w:r>
        <w:rPr>
          <w:spacing w:val="-8"/>
        </w:rPr>
        <w:t> </w:t>
      </w:r>
      <w:r>
        <w:rPr/>
        <w:t>sheer</w:t>
      </w:r>
      <w:r>
        <w:rPr>
          <w:spacing w:val="-8"/>
        </w:rPr>
        <w:t> </w:t>
      </w:r>
      <w:r>
        <w:rPr/>
        <w:t>lack</w:t>
      </w:r>
      <w:r>
        <w:rPr>
          <w:spacing w:val="-8"/>
        </w:rPr>
        <w:t> </w:t>
      </w:r>
      <w:r>
        <w:rPr/>
        <w:t>of</w:t>
      </w:r>
      <w:r>
        <w:rPr>
          <w:spacing w:val="-8"/>
        </w:rPr>
        <w:t> </w:t>
      </w:r>
      <w:r>
        <w:rPr/>
        <w:t>secondary</w:t>
      </w:r>
      <w:r>
        <w:rPr>
          <w:spacing w:val="-8"/>
        </w:rPr>
        <w:t> </w:t>
      </w:r>
      <w:r>
        <w:rPr/>
        <w:t>schools nearby, as parents are reluctant to send girls to travel </w:t>
      </w:r>
      <w:r>
        <w:rPr>
          <w:spacing w:val="-2"/>
        </w:rPr>
        <w:t>long</w:t>
      </w:r>
      <w:r>
        <w:rPr>
          <w:spacing w:val="-10"/>
        </w:rPr>
        <w:t> </w:t>
      </w:r>
      <w:r>
        <w:rPr>
          <w:spacing w:val="-2"/>
        </w:rPr>
        <w:t>distances</w:t>
      </w:r>
      <w:r>
        <w:rPr>
          <w:spacing w:val="-10"/>
        </w:rPr>
        <w:t> </w:t>
      </w:r>
      <w:r>
        <w:rPr>
          <w:spacing w:val="-2"/>
        </w:rPr>
        <w:t>to</w:t>
      </w:r>
      <w:r>
        <w:rPr>
          <w:spacing w:val="-10"/>
        </w:rPr>
        <w:t> </w:t>
      </w:r>
      <w:r>
        <w:rPr>
          <w:spacing w:val="-2"/>
        </w:rPr>
        <w:t>school.</w:t>
      </w:r>
      <w:r>
        <w:rPr>
          <w:spacing w:val="-10"/>
        </w:rPr>
        <w:t> </w:t>
      </w:r>
      <w:r>
        <w:rPr>
          <w:spacing w:val="-2"/>
        </w:rPr>
        <w:t>However,</w:t>
      </w:r>
      <w:r>
        <w:rPr>
          <w:spacing w:val="-10"/>
        </w:rPr>
        <w:t> </w:t>
      </w:r>
      <w:r>
        <w:rPr>
          <w:spacing w:val="-2"/>
        </w:rPr>
        <w:t>social</w:t>
      </w:r>
      <w:r>
        <w:rPr>
          <w:spacing w:val="-10"/>
        </w:rPr>
        <w:t> </w:t>
      </w:r>
      <w:r>
        <w:rPr>
          <w:spacing w:val="-2"/>
        </w:rPr>
        <w:t>conditioning </w:t>
      </w:r>
      <w:r>
        <w:rPr/>
        <w:t>and</w:t>
      </w:r>
      <w:r>
        <w:rPr>
          <w:spacing w:val="-14"/>
        </w:rPr>
        <w:t> </w:t>
      </w:r>
      <w:r>
        <w:rPr/>
        <w:t>other</w:t>
      </w:r>
      <w:r>
        <w:rPr>
          <w:spacing w:val="-14"/>
        </w:rPr>
        <w:t> </w:t>
      </w:r>
      <w:r>
        <w:rPr/>
        <w:t>constraints</w:t>
      </w:r>
      <w:r>
        <w:rPr>
          <w:spacing w:val="-14"/>
        </w:rPr>
        <w:t> </w:t>
      </w:r>
      <w:r>
        <w:rPr/>
        <w:t>also</w:t>
      </w:r>
      <w:r>
        <w:rPr>
          <w:spacing w:val="-13"/>
        </w:rPr>
        <w:t> </w:t>
      </w:r>
      <w:r>
        <w:rPr/>
        <w:t>play</w:t>
      </w:r>
      <w:r>
        <w:rPr>
          <w:spacing w:val="-14"/>
        </w:rPr>
        <w:t> </w:t>
      </w:r>
      <w:r>
        <w:rPr/>
        <w:t>a</w:t>
      </w:r>
      <w:r>
        <w:rPr>
          <w:spacing w:val="-14"/>
        </w:rPr>
        <w:t> </w:t>
      </w:r>
      <w:r>
        <w:rPr/>
        <w:t>role.</w:t>
      </w:r>
      <w:r>
        <w:rPr>
          <w:spacing w:val="-14"/>
        </w:rPr>
        <w:t> </w:t>
      </w:r>
      <w:r>
        <w:rPr/>
        <w:t>Some</w:t>
      </w:r>
      <w:r>
        <w:rPr>
          <w:spacing w:val="-13"/>
        </w:rPr>
        <w:t> </w:t>
      </w:r>
      <w:r>
        <w:rPr/>
        <w:t>policies</w:t>
      </w:r>
      <w:r>
        <w:rPr>
          <w:spacing w:val="-14"/>
        </w:rPr>
        <w:t> </w:t>
      </w:r>
      <w:r>
        <w:rPr/>
        <w:t>to address this include:</w:t>
      </w:r>
    </w:p>
    <w:p>
      <w:pPr>
        <w:pStyle w:val="ListParagraph"/>
        <w:numPr>
          <w:ilvl w:val="2"/>
          <w:numId w:val="14"/>
        </w:numPr>
        <w:tabs>
          <w:tab w:pos="679" w:val="left" w:leader="none"/>
        </w:tabs>
        <w:spacing w:line="266" w:lineRule="auto" w:before="0" w:after="0"/>
        <w:ind w:left="679" w:right="1078" w:hanging="360"/>
        <w:jc w:val="both"/>
        <w:rPr>
          <w:sz w:val="22"/>
        </w:rPr>
      </w:pPr>
      <w:r>
        <w:rPr>
          <w:spacing w:val="-2"/>
          <w:sz w:val="22"/>
        </w:rPr>
        <w:t>Special</w:t>
      </w:r>
      <w:r>
        <w:rPr>
          <w:spacing w:val="-8"/>
          <w:sz w:val="22"/>
        </w:rPr>
        <w:t> </w:t>
      </w:r>
      <w:r>
        <w:rPr>
          <w:spacing w:val="-2"/>
          <w:sz w:val="22"/>
        </w:rPr>
        <w:t>incentives</w:t>
      </w:r>
      <w:r>
        <w:rPr>
          <w:spacing w:val="-8"/>
          <w:sz w:val="22"/>
        </w:rPr>
        <w:t> </w:t>
      </w:r>
      <w:r>
        <w:rPr>
          <w:spacing w:val="-2"/>
          <w:sz w:val="22"/>
        </w:rPr>
        <w:t>for</w:t>
      </w:r>
      <w:r>
        <w:rPr>
          <w:spacing w:val="-8"/>
          <w:sz w:val="22"/>
        </w:rPr>
        <w:t> </w:t>
      </w:r>
      <w:r>
        <w:rPr>
          <w:spacing w:val="-2"/>
          <w:sz w:val="22"/>
        </w:rPr>
        <w:t>girls</w:t>
      </w:r>
      <w:r>
        <w:rPr>
          <w:spacing w:val="-8"/>
          <w:sz w:val="22"/>
        </w:rPr>
        <w:t> </w:t>
      </w:r>
      <w:r>
        <w:rPr>
          <w:spacing w:val="-2"/>
          <w:sz w:val="22"/>
        </w:rPr>
        <w:t>in</w:t>
      </w:r>
      <w:r>
        <w:rPr>
          <w:spacing w:val="-8"/>
          <w:sz w:val="22"/>
        </w:rPr>
        <w:t> </w:t>
      </w:r>
      <w:r>
        <w:rPr>
          <w:spacing w:val="-2"/>
          <w:sz w:val="22"/>
        </w:rPr>
        <w:t>secondary</w:t>
      </w:r>
      <w:r>
        <w:rPr>
          <w:spacing w:val="-8"/>
          <w:sz w:val="22"/>
        </w:rPr>
        <w:t> </w:t>
      </w:r>
      <w:r>
        <w:rPr>
          <w:spacing w:val="-2"/>
          <w:sz w:val="22"/>
        </w:rPr>
        <w:t>education </w:t>
      </w:r>
      <w:r>
        <w:rPr>
          <w:sz w:val="22"/>
        </w:rPr>
        <w:t>where these are required (they are not required everywhere), in addition to free textbooks and uniforms, such as bicycles.</w:t>
      </w:r>
    </w:p>
    <w:p>
      <w:pPr>
        <w:pStyle w:val="ListParagraph"/>
        <w:numPr>
          <w:ilvl w:val="2"/>
          <w:numId w:val="14"/>
        </w:numPr>
        <w:tabs>
          <w:tab w:pos="678" w:val="left" w:leader="none"/>
        </w:tabs>
        <w:spacing w:line="250" w:lineRule="exact" w:before="0" w:after="0"/>
        <w:ind w:left="678" w:right="0" w:hanging="359"/>
        <w:jc w:val="both"/>
        <w:rPr>
          <w:sz w:val="22"/>
        </w:rPr>
      </w:pPr>
      <w:r>
        <w:rPr>
          <w:spacing w:val="-6"/>
          <w:sz w:val="22"/>
        </w:rPr>
        <w:t>Girls-only</w:t>
      </w:r>
      <w:r>
        <w:rPr>
          <w:spacing w:val="2"/>
          <w:sz w:val="22"/>
        </w:rPr>
        <w:t> </w:t>
      </w:r>
      <w:r>
        <w:rPr>
          <w:spacing w:val="-6"/>
          <w:sz w:val="22"/>
        </w:rPr>
        <w:t>schools</w:t>
      </w:r>
      <w:r>
        <w:rPr>
          <w:spacing w:val="3"/>
          <w:sz w:val="22"/>
        </w:rPr>
        <w:t> </w:t>
      </w:r>
      <w:r>
        <w:rPr>
          <w:spacing w:val="-6"/>
          <w:sz w:val="22"/>
        </w:rPr>
        <w:t>especially</w:t>
      </w:r>
      <w:r>
        <w:rPr>
          <w:spacing w:val="2"/>
          <w:sz w:val="22"/>
        </w:rPr>
        <w:t> </w:t>
      </w:r>
      <w:r>
        <w:rPr>
          <w:spacing w:val="-6"/>
          <w:sz w:val="22"/>
        </w:rPr>
        <w:t>in</w:t>
      </w:r>
      <w:r>
        <w:rPr>
          <w:spacing w:val="3"/>
          <w:sz w:val="22"/>
        </w:rPr>
        <w:t> </w:t>
      </w:r>
      <w:r>
        <w:rPr>
          <w:spacing w:val="-6"/>
          <w:sz w:val="22"/>
        </w:rPr>
        <w:t>particular</w:t>
      </w:r>
      <w:r>
        <w:rPr>
          <w:spacing w:val="2"/>
          <w:sz w:val="22"/>
        </w:rPr>
        <w:t> </w:t>
      </w:r>
      <w:r>
        <w:rPr>
          <w:spacing w:val="-6"/>
          <w:sz w:val="22"/>
        </w:rPr>
        <w:t>areas.</w:t>
      </w:r>
    </w:p>
    <w:p>
      <w:pPr>
        <w:pStyle w:val="ListParagraph"/>
        <w:numPr>
          <w:ilvl w:val="2"/>
          <w:numId w:val="14"/>
        </w:numPr>
        <w:tabs>
          <w:tab w:pos="679" w:val="left" w:leader="none"/>
        </w:tabs>
        <w:spacing w:line="266" w:lineRule="auto" w:before="22" w:after="0"/>
        <w:ind w:left="679" w:right="1078" w:hanging="360"/>
        <w:jc w:val="both"/>
        <w:rPr>
          <w:sz w:val="22"/>
        </w:rPr>
      </w:pPr>
      <w:r>
        <w:rPr>
          <w:sz w:val="22"/>
        </w:rPr>
        <w:t>An enhanced scholarship scheme especially </w:t>
      </w:r>
      <w:r>
        <w:rPr>
          <w:sz w:val="22"/>
        </w:rPr>
        <w:t>for </w:t>
      </w:r>
      <w:r>
        <w:rPr>
          <w:spacing w:val="-6"/>
          <w:sz w:val="22"/>
        </w:rPr>
        <w:t>girls, with particular emphasis on girls from socially </w:t>
      </w:r>
      <w:r>
        <w:rPr>
          <w:sz w:val="22"/>
        </w:rPr>
        <w:t>deprived groups.</w:t>
      </w:r>
    </w:p>
    <w:p>
      <w:pPr>
        <w:pStyle w:val="ListParagraph"/>
        <w:numPr>
          <w:ilvl w:val="2"/>
          <w:numId w:val="14"/>
        </w:numPr>
        <w:tabs>
          <w:tab w:pos="679" w:val="left" w:leader="none"/>
        </w:tabs>
        <w:spacing w:line="266" w:lineRule="auto" w:before="0" w:after="0"/>
        <w:ind w:left="679" w:right="1077" w:hanging="360"/>
        <w:jc w:val="both"/>
        <w:rPr>
          <w:sz w:val="22"/>
        </w:rPr>
      </w:pPr>
      <w:r>
        <w:rPr>
          <w:spacing w:val="-4"/>
          <w:sz w:val="22"/>
        </w:rPr>
        <w:t>The</w:t>
      </w:r>
      <w:r>
        <w:rPr>
          <w:spacing w:val="-12"/>
          <w:sz w:val="22"/>
        </w:rPr>
        <w:t> </w:t>
      </w:r>
      <w:r>
        <w:rPr>
          <w:spacing w:val="-4"/>
          <w:sz w:val="22"/>
        </w:rPr>
        <w:t>need</w:t>
      </w:r>
      <w:r>
        <w:rPr>
          <w:spacing w:val="-10"/>
          <w:sz w:val="22"/>
        </w:rPr>
        <w:t> </w:t>
      </w:r>
      <w:r>
        <w:rPr>
          <w:spacing w:val="-4"/>
          <w:sz w:val="22"/>
        </w:rPr>
        <w:t>for</w:t>
      </w:r>
      <w:r>
        <w:rPr>
          <w:spacing w:val="-10"/>
          <w:sz w:val="22"/>
        </w:rPr>
        <w:t> </w:t>
      </w:r>
      <w:r>
        <w:rPr>
          <w:spacing w:val="-4"/>
          <w:sz w:val="22"/>
        </w:rPr>
        <w:t>separate</w:t>
      </w:r>
      <w:r>
        <w:rPr>
          <w:spacing w:val="-9"/>
          <w:sz w:val="22"/>
        </w:rPr>
        <w:t> </w:t>
      </w:r>
      <w:r>
        <w:rPr>
          <w:spacing w:val="-4"/>
          <w:sz w:val="22"/>
        </w:rPr>
        <w:t>and</w:t>
      </w:r>
      <w:r>
        <w:rPr>
          <w:spacing w:val="-10"/>
          <w:sz w:val="22"/>
        </w:rPr>
        <w:t> </w:t>
      </w:r>
      <w:r>
        <w:rPr>
          <w:spacing w:val="-4"/>
          <w:sz w:val="22"/>
        </w:rPr>
        <w:t>functional</w:t>
      </w:r>
      <w:r>
        <w:rPr>
          <w:spacing w:val="-10"/>
          <w:sz w:val="22"/>
        </w:rPr>
        <w:t> </w:t>
      </w:r>
      <w:r>
        <w:rPr>
          <w:spacing w:val="-4"/>
          <w:sz w:val="22"/>
        </w:rPr>
        <w:t>toilets</w:t>
      </w:r>
      <w:r>
        <w:rPr>
          <w:spacing w:val="-10"/>
          <w:sz w:val="22"/>
        </w:rPr>
        <w:t> </w:t>
      </w:r>
      <w:r>
        <w:rPr>
          <w:spacing w:val="-4"/>
          <w:sz w:val="22"/>
        </w:rPr>
        <w:t>for</w:t>
      </w:r>
      <w:r>
        <w:rPr>
          <w:spacing w:val="-9"/>
          <w:sz w:val="22"/>
        </w:rPr>
        <w:t> </w:t>
      </w:r>
      <w:r>
        <w:rPr>
          <w:spacing w:val="-4"/>
          <w:sz w:val="22"/>
        </w:rPr>
        <w:t>girls </w:t>
      </w:r>
      <w:r>
        <w:rPr>
          <w:w w:val="90"/>
          <w:sz w:val="22"/>
        </w:rPr>
        <w:t>in all schools, with access to water, is very important, </w:t>
      </w:r>
      <w:r>
        <w:rPr>
          <w:sz w:val="22"/>
        </w:rPr>
        <w:t>especially</w:t>
      </w:r>
      <w:r>
        <w:rPr>
          <w:spacing w:val="-11"/>
          <w:sz w:val="22"/>
        </w:rPr>
        <w:t> </w:t>
      </w:r>
      <w:r>
        <w:rPr>
          <w:sz w:val="22"/>
        </w:rPr>
        <w:t>but</w:t>
      </w:r>
      <w:r>
        <w:rPr>
          <w:spacing w:val="-11"/>
          <w:sz w:val="22"/>
        </w:rPr>
        <w:t> </w:t>
      </w:r>
      <w:r>
        <w:rPr>
          <w:sz w:val="22"/>
        </w:rPr>
        <w:t>not</w:t>
      </w:r>
      <w:r>
        <w:rPr>
          <w:spacing w:val="-11"/>
          <w:sz w:val="22"/>
        </w:rPr>
        <w:t> </w:t>
      </w:r>
      <w:r>
        <w:rPr>
          <w:sz w:val="22"/>
        </w:rPr>
        <w:t>exclusively</w:t>
      </w:r>
      <w:r>
        <w:rPr>
          <w:spacing w:val="-11"/>
          <w:sz w:val="22"/>
        </w:rPr>
        <w:t> </w:t>
      </w:r>
      <w:r>
        <w:rPr>
          <w:sz w:val="22"/>
        </w:rPr>
        <w:t>in</w:t>
      </w:r>
      <w:r>
        <w:rPr>
          <w:spacing w:val="-11"/>
          <w:sz w:val="22"/>
        </w:rPr>
        <w:t> </w:t>
      </w:r>
      <w:r>
        <w:rPr>
          <w:sz w:val="22"/>
        </w:rPr>
        <w:t>urban</w:t>
      </w:r>
      <w:r>
        <w:rPr>
          <w:spacing w:val="-11"/>
          <w:sz w:val="22"/>
        </w:rPr>
        <w:t> </w:t>
      </w:r>
      <w:r>
        <w:rPr>
          <w:sz w:val="22"/>
        </w:rPr>
        <w:t>areas.</w:t>
      </w:r>
    </w:p>
    <w:p>
      <w:pPr>
        <w:pStyle w:val="Heading7"/>
        <w:numPr>
          <w:ilvl w:val="1"/>
          <w:numId w:val="14"/>
        </w:numPr>
        <w:tabs>
          <w:tab w:pos="717" w:val="left" w:leader="none"/>
        </w:tabs>
        <w:spacing w:line="225" w:lineRule="auto" w:before="252" w:after="0"/>
        <w:ind w:left="717" w:right="1224" w:hanging="398"/>
        <w:jc w:val="left"/>
      </w:pPr>
      <w:r>
        <w:rPr>
          <w:color w:val="2E614A"/>
          <w:w w:val="90"/>
        </w:rPr>
        <w:t>Language issues must be explicitly </w:t>
      </w:r>
      <w:r>
        <w:rPr>
          <w:color w:val="2E614A"/>
          <w:w w:val="90"/>
        </w:rPr>
        <w:t>taken </w:t>
      </w:r>
      <w:r>
        <w:rPr>
          <w:color w:val="2E614A"/>
          <w:spacing w:val="-2"/>
        </w:rPr>
        <w:t>on</w:t>
      </w:r>
      <w:r>
        <w:rPr>
          <w:color w:val="2E614A"/>
          <w:spacing w:val="-15"/>
        </w:rPr>
        <w:t> </w:t>
      </w:r>
      <w:r>
        <w:rPr>
          <w:color w:val="2E614A"/>
          <w:spacing w:val="-2"/>
        </w:rPr>
        <w:t>board</w:t>
      </w:r>
      <w:r>
        <w:rPr>
          <w:color w:val="2E614A"/>
          <w:spacing w:val="-14"/>
        </w:rPr>
        <w:t> </w:t>
      </w:r>
      <w:r>
        <w:rPr>
          <w:color w:val="2E614A"/>
          <w:spacing w:val="-2"/>
        </w:rPr>
        <w:t>in</w:t>
      </w:r>
      <w:r>
        <w:rPr>
          <w:color w:val="2E614A"/>
          <w:spacing w:val="-14"/>
        </w:rPr>
        <w:t> </w:t>
      </w:r>
      <w:r>
        <w:rPr>
          <w:color w:val="2E614A"/>
          <w:spacing w:val="-2"/>
        </w:rPr>
        <w:t>designing</w:t>
      </w:r>
      <w:r>
        <w:rPr>
          <w:color w:val="2E614A"/>
          <w:spacing w:val="-14"/>
        </w:rPr>
        <w:t> </w:t>
      </w:r>
      <w:r>
        <w:rPr>
          <w:color w:val="2E614A"/>
          <w:spacing w:val="-2"/>
        </w:rPr>
        <w:t>school</w:t>
      </w:r>
      <w:r>
        <w:rPr>
          <w:color w:val="2E614A"/>
          <w:spacing w:val="-15"/>
        </w:rPr>
        <w:t> </w:t>
      </w:r>
      <w:r>
        <w:rPr>
          <w:color w:val="2E614A"/>
          <w:spacing w:val="-2"/>
        </w:rPr>
        <w:t>curricula </w:t>
      </w:r>
      <w:r>
        <w:rPr>
          <w:color w:val="2E614A"/>
        </w:rPr>
        <w:t>and</w:t>
      </w:r>
      <w:r>
        <w:rPr>
          <w:color w:val="2E614A"/>
          <w:spacing w:val="-14"/>
        </w:rPr>
        <w:t> </w:t>
      </w:r>
      <w:r>
        <w:rPr>
          <w:color w:val="2E614A"/>
        </w:rPr>
        <w:t>methods</w:t>
      </w:r>
      <w:r>
        <w:rPr>
          <w:color w:val="2E614A"/>
          <w:spacing w:val="-14"/>
        </w:rPr>
        <w:t> </w:t>
      </w:r>
      <w:r>
        <w:rPr>
          <w:color w:val="2E614A"/>
        </w:rPr>
        <w:t>of</w:t>
      </w:r>
      <w:r>
        <w:rPr>
          <w:color w:val="2E614A"/>
          <w:spacing w:val="-14"/>
        </w:rPr>
        <w:t> </w:t>
      </w:r>
      <w:r>
        <w:rPr>
          <w:color w:val="2E614A"/>
        </w:rPr>
        <w:t>pedagogy.</w:t>
      </w:r>
    </w:p>
    <w:p>
      <w:pPr>
        <w:pStyle w:val="BodyText"/>
        <w:rPr>
          <w:b/>
          <w:sz w:val="26"/>
        </w:rPr>
      </w:pPr>
    </w:p>
    <w:p>
      <w:pPr>
        <w:pStyle w:val="BodyText"/>
        <w:spacing w:line="266" w:lineRule="auto" w:before="1"/>
        <w:ind w:left="319" w:right="1077"/>
        <w:jc w:val="both"/>
      </w:pPr>
      <w:r>
        <w:rPr>
          <w:spacing w:val="-6"/>
        </w:rPr>
        <w:t>Language</w:t>
      </w:r>
      <w:r>
        <w:rPr>
          <w:spacing w:val="-7"/>
        </w:rPr>
        <w:t> </w:t>
      </w:r>
      <w:r>
        <w:rPr>
          <w:spacing w:val="-6"/>
        </w:rPr>
        <w:t>has</w:t>
      </w:r>
      <w:r>
        <w:rPr>
          <w:spacing w:val="-7"/>
        </w:rPr>
        <w:t> </w:t>
      </w:r>
      <w:r>
        <w:rPr>
          <w:spacing w:val="-6"/>
        </w:rPr>
        <w:t>been</w:t>
      </w:r>
      <w:r>
        <w:rPr>
          <w:spacing w:val="-7"/>
        </w:rPr>
        <w:t> </w:t>
      </w:r>
      <w:r>
        <w:rPr>
          <w:spacing w:val="-6"/>
        </w:rPr>
        <w:t>found</w:t>
      </w:r>
      <w:r>
        <w:rPr>
          <w:spacing w:val="-7"/>
        </w:rPr>
        <w:t> </w:t>
      </w:r>
      <w:r>
        <w:rPr>
          <w:spacing w:val="-6"/>
        </w:rPr>
        <w:t>to</w:t>
      </w:r>
      <w:r>
        <w:rPr>
          <w:spacing w:val="-7"/>
        </w:rPr>
        <w:t> </w:t>
      </w:r>
      <w:r>
        <w:rPr>
          <w:spacing w:val="-6"/>
        </w:rPr>
        <w:t>be</w:t>
      </w:r>
      <w:r>
        <w:rPr>
          <w:spacing w:val="-7"/>
        </w:rPr>
        <w:t> </w:t>
      </w:r>
      <w:r>
        <w:rPr>
          <w:spacing w:val="-6"/>
        </w:rPr>
        <w:t>a</w:t>
      </w:r>
      <w:r>
        <w:rPr>
          <w:spacing w:val="-7"/>
        </w:rPr>
        <w:t> </w:t>
      </w:r>
      <w:r>
        <w:rPr>
          <w:spacing w:val="-6"/>
        </w:rPr>
        <w:t>highly</w:t>
      </w:r>
      <w:r>
        <w:rPr>
          <w:spacing w:val="-7"/>
        </w:rPr>
        <w:t> </w:t>
      </w:r>
      <w:r>
        <w:rPr>
          <w:spacing w:val="-6"/>
        </w:rPr>
        <w:t>alienating</w:t>
      </w:r>
      <w:r>
        <w:rPr>
          <w:spacing w:val="-7"/>
        </w:rPr>
        <w:t> </w:t>
      </w:r>
      <w:r>
        <w:rPr>
          <w:spacing w:val="-6"/>
        </w:rPr>
        <w:t>factor </w:t>
      </w:r>
      <w:r>
        <w:rPr/>
        <w:t>in</w:t>
      </w:r>
      <w:r>
        <w:rPr>
          <w:spacing w:val="-9"/>
        </w:rPr>
        <w:t> </w:t>
      </w:r>
      <w:r>
        <w:rPr/>
        <w:t>the</w:t>
      </w:r>
      <w:r>
        <w:rPr>
          <w:spacing w:val="-9"/>
        </w:rPr>
        <w:t> </w:t>
      </w:r>
      <w:r>
        <w:rPr/>
        <w:t>education</w:t>
      </w:r>
      <w:r>
        <w:rPr>
          <w:spacing w:val="-9"/>
        </w:rPr>
        <w:t> </w:t>
      </w:r>
      <w:r>
        <w:rPr/>
        <w:t>of</w:t>
      </w:r>
      <w:r>
        <w:rPr>
          <w:spacing w:val="-9"/>
        </w:rPr>
        <w:t> </w:t>
      </w:r>
      <w:r>
        <w:rPr/>
        <w:t>many</w:t>
      </w:r>
      <w:r>
        <w:rPr>
          <w:spacing w:val="-9"/>
        </w:rPr>
        <w:t> </w:t>
      </w:r>
      <w:r>
        <w:rPr/>
        <w:t>school</w:t>
      </w:r>
      <w:r>
        <w:rPr>
          <w:spacing w:val="-9"/>
        </w:rPr>
        <w:t> </w:t>
      </w:r>
      <w:r>
        <w:rPr/>
        <w:t>children,</w:t>
      </w:r>
      <w:r>
        <w:rPr>
          <w:spacing w:val="-9"/>
        </w:rPr>
        <w:t> </w:t>
      </w:r>
      <w:r>
        <w:rPr/>
        <w:t>particularly </w:t>
      </w:r>
      <w:r>
        <w:rPr>
          <w:spacing w:val="-2"/>
        </w:rPr>
        <w:t>amongst</w:t>
      </w:r>
      <w:r>
        <w:rPr>
          <w:spacing w:val="-12"/>
        </w:rPr>
        <w:t> </w:t>
      </w:r>
      <w:r>
        <w:rPr>
          <w:spacing w:val="-2"/>
        </w:rPr>
        <w:t>minorities,</w:t>
      </w:r>
      <w:r>
        <w:rPr>
          <w:spacing w:val="-12"/>
        </w:rPr>
        <w:t> </w:t>
      </w:r>
      <w:r>
        <w:rPr>
          <w:spacing w:val="-2"/>
        </w:rPr>
        <w:t>tribal</w:t>
      </w:r>
      <w:r>
        <w:rPr>
          <w:spacing w:val="-12"/>
        </w:rPr>
        <w:t> </w:t>
      </w:r>
      <w:r>
        <w:rPr>
          <w:spacing w:val="-2"/>
        </w:rPr>
        <w:t>communities</w:t>
      </w:r>
      <w:r>
        <w:rPr>
          <w:spacing w:val="-11"/>
        </w:rPr>
        <w:t> </w:t>
      </w:r>
      <w:r>
        <w:rPr>
          <w:spacing w:val="-2"/>
        </w:rPr>
        <w:t>with</w:t>
      </w:r>
      <w:r>
        <w:rPr>
          <w:spacing w:val="-12"/>
        </w:rPr>
        <w:t> </w:t>
      </w:r>
      <w:r>
        <w:rPr>
          <w:spacing w:val="-2"/>
        </w:rPr>
        <w:t>languages without</w:t>
      </w:r>
      <w:r>
        <w:rPr>
          <w:spacing w:val="-12"/>
        </w:rPr>
        <w:t> </w:t>
      </w:r>
      <w:r>
        <w:rPr>
          <w:spacing w:val="-2"/>
        </w:rPr>
        <w:t>a</w:t>
      </w:r>
      <w:r>
        <w:rPr>
          <w:spacing w:val="-11"/>
        </w:rPr>
        <w:t> </w:t>
      </w:r>
      <w:r>
        <w:rPr>
          <w:spacing w:val="-2"/>
        </w:rPr>
        <w:t>script,</w:t>
      </w:r>
      <w:r>
        <w:rPr>
          <w:spacing w:val="-12"/>
        </w:rPr>
        <w:t> </w:t>
      </w:r>
      <w:r>
        <w:rPr>
          <w:spacing w:val="-2"/>
        </w:rPr>
        <w:t>as</w:t>
      </w:r>
      <w:r>
        <w:rPr>
          <w:spacing w:val="-11"/>
        </w:rPr>
        <w:t> </w:t>
      </w:r>
      <w:r>
        <w:rPr>
          <w:spacing w:val="-2"/>
        </w:rPr>
        <w:t>well</w:t>
      </w:r>
      <w:r>
        <w:rPr>
          <w:spacing w:val="-11"/>
        </w:rPr>
        <w:t> </w:t>
      </w:r>
      <w:r>
        <w:rPr>
          <w:spacing w:val="-2"/>
        </w:rPr>
        <w:t>as</w:t>
      </w:r>
      <w:r>
        <w:rPr>
          <w:spacing w:val="-12"/>
        </w:rPr>
        <w:t> </w:t>
      </w:r>
      <w:r>
        <w:rPr>
          <w:spacing w:val="-2"/>
        </w:rPr>
        <w:t>linguistic</w:t>
      </w:r>
      <w:r>
        <w:rPr>
          <w:spacing w:val="-11"/>
        </w:rPr>
        <w:t> </w:t>
      </w:r>
      <w:r>
        <w:rPr>
          <w:spacing w:val="-2"/>
        </w:rPr>
        <w:t>minorities</w:t>
      </w:r>
      <w:r>
        <w:rPr>
          <w:spacing w:val="-11"/>
        </w:rPr>
        <w:t> </w:t>
      </w:r>
      <w:r>
        <w:rPr>
          <w:spacing w:val="-2"/>
        </w:rPr>
        <w:t>in</w:t>
      </w:r>
      <w:r>
        <w:rPr>
          <w:spacing w:val="-12"/>
        </w:rPr>
        <w:t> </w:t>
      </w:r>
      <w:r>
        <w:rPr>
          <w:spacing w:val="-4"/>
        </w:rPr>
        <w:t>most</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80"/>
        <w:jc w:val="both"/>
      </w:pPr>
      <w:r>
        <w:rPr>
          <w:spacing w:val="-2"/>
        </w:rPr>
        <w:t>states.</w:t>
      </w:r>
      <w:r>
        <w:rPr>
          <w:spacing w:val="-8"/>
        </w:rPr>
        <w:t> </w:t>
      </w:r>
      <w:r>
        <w:rPr>
          <w:spacing w:val="-2"/>
        </w:rPr>
        <w:t>Many</w:t>
      </w:r>
      <w:r>
        <w:rPr>
          <w:spacing w:val="-8"/>
        </w:rPr>
        <w:t> </w:t>
      </w:r>
      <w:r>
        <w:rPr>
          <w:spacing w:val="-2"/>
        </w:rPr>
        <w:t>children</w:t>
      </w:r>
      <w:r>
        <w:rPr>
          <w:spacing w:val="-8"/>
        </w:rPr>
        <w:t> </w:t>
      </w:r>
      <w:r>
        <w:rPr>
          <w:spacing w:val="-2"/>
        </w:rPr>
        <w:t>resent</w:t>
      </w:r>
      <w:r>
        <w:rPr>
          <w:spacing w:val="-8"/>
        </w:rPr>
        <w:t> </w:t>
      </w:r>
      <w:r>
        <w:rPr>
          <w:spacing w:val="-2"/>
        </w:rPr>
        <w:t>the</w:t>
      </w:r>
      <w:r>
        <w:rPr>
          <w:spacing w:val="-8"/>
        </w:rPr>
        <w:t> </w:t>
      </w:r>
      <w:r>
        <w:rPr>
          <w:spacing w:val="-2"/>
        </w:rPr>
        <w:t>imposition</w:t>
      </w:r>
      <w:r>
        <w:rPr>
          <w:spacing w:val="-8"/>
        </w:rPr>
        <w:t> </w:t>
      </w:r>
      <w:r>
        <w:rPr>
          <w:spacing w:val="-2"/>
        </w:rPr>
        <w:t>of</w:t>
      </w:r>
      <w:r>
        <w:rPr>
          <w:spacing w:val="-8"/>
        </w:rPr>
        <w:t> </w:t>
      </w:r>
      <w:r>
        <w:rPr>
          <w:spacing w:val="-2"/>
        </w:rPr>
        <w:t>the</w:t>
      </w:r>
      <w:r>
        <w:rPr>
          <w:spacing w:val="-8"/>
        </w:rPr>
        <w:t> </w:t>
      </w:r>
      <w:r>
        <w:rPr>
          <w:spacing w:val="-2"/>
        </w:rPr>
        <w:t>state </w:t>
      </w:r>
      <w:r>
        <w:rPr/>
        <w:t>language as the medium of instruction, or as second language in school.</w:t>
      </w:r>
    </w:p>
    <w:p>
      <w:pPr>
        <w:pStyle w:val="BodyText"/>
        <w:spacing w:before="25"/>
      </w:pPr>
    </w:p>
    <w:p>
      <w:pPr>
        <w:pStyle w:val="BodyText"/>
        <w:spacing w:line="266" w:lineRule="auto"/>
        <w:ind w:left="1080"/>
        <w:jc w:val="both"/>
      </w:pPr>
      <w:r>
        <w:rPr>
          <w:spacing w:val="-2"/>
        </w:rPr>
        <w:t>More</w:t>
      </w:r>
      <w:r>
        <w:rPr>
          <w:spacing w:val="-12"/>
        </w:rPr>
        <w:t> </w:t>
      </w:r>
      <w:r>
        <w:rPr>
          <w:spacing w:val="-2"/>
        </w:rPr>
        <w:t>teachers</w:t>
      </w:r>
      <w:r>
        <w:rPr>
          <w:spacing w:val="-12"/>
        </w:rPr>
        <w:t> </w:t>
      </w:r>
      <w:r>
        <w:rPr>
          <w:spacing w:val="-2"/>
        </w:rPr>
        <w:t>for</w:t>
      </w:r>
      <w:r>
        <w:rPr>
          <w:spacing w:val="-12"/>
        </w:rPr>
        <w:t> </w:t>
      </w:r>
      <w:r>
        <w:rPr>
          <w:spacing w:val="-2"/>
        </w:rPr>
        <w:t>teaching</w:t>
      </w:r>
      <w:r>
        <w:rPr>
          <w:spacing w:val="-11"/>
        </w:rPr>
        <w:t> </w:t>
      </w:r>
      <w:r>
        <w:rPr>
          <w:spacing w:val="-2"/>
        </w:rPr>
        <w:t>minority</w:t>
      </w:r>
      <w:r>
        <w:rPr>
          <w:spacing w:val="-12"/>
        </w:rPr>
        <w:t> </w:t>
      </w:r>
      <w:r>
        <w:rPr>
          <w:spacing w:val="-2"/>
        </w:rPr>
        <w:t>languages</w:t>
      </w:r>
      <w:r>
        <w:rPr>
          <w:spacing w:val="-12"/>
        </w:rPr>
        <w:t> </w:t>
      </w:r>
      <w:r>
        <w:rPr>
          <w:spacing w:val="-2"/>
        </w:rPr>
        <w:t>must</w:t>
      </w:r>
      <w:r>
        <w:rPr>
          <w:spacing w:val="-12"/>
        </w:rPr>
        <w:t> </w:t>
      </w:r>
      <w:r>
        <w:rPr>
          <w:spacing w:val="-2"/>
        </w:rPr>
        <w:t>be </w:t>
      </w:r>
      <w:r>
        <w:rPr>
          <w:spacing w:val="-8"/>
        </w:rPr>
        <w:t>appointed</w:t>
      </w:r>
      <w:r>
        <w:rPr>
          <w:spacing w:val="-4"/>
        </w:rPr>
        <w:t> </w:t>
      </w:r>
      <w:r>
        <w:rPr>
          <w:spacing w:val="-8"/>
        </w:rPr>
        <w:t>in</w:t>
      </w:r>
      <w:r>
        <w:rPr>
          <w:spacing w:val="-4"/>
        </w:rPr>
        <w:t> </w:t>
      </w:r>
      <w:r>
        <w:rPr>
          <w:spacing w:val="-8"/>
        </w:rPr>
        <w:t>government</w:t>
      </w:r>
      <w:r>
        <w:rPr>
          <w:spacing w:val="-4"/>
        </w:rPr>
        <w:t> </w:t>
      </w:r>
      <w:r>
        <w:rPr>
          <w:spacing w:val="-8"/>
        </w:rPr>
        <w:t>schools</w:t>
      </w:r>
      <w:r>
        <w:rPr>
          <w:spacing w:val="-4"/>
        </w:rPr>
        <w:t> </w:t>
      </w:r>
      <w:r>
        <w:rPr>
          <w:spacing w:val="-8"/>
        </w:rPr>
        <w:t>to</w:t>
      </w:r>
      <w:r>
        <w:rPr>
          <w:spacing w:val="-4"/>
        </w:rPr>
        <w:t> </w:t>
      </w:r>
      <w:r>
        <w:rPr>
          <w:spacing w:val="-8"/>
        </w:rPr>
        <w:t>increase</w:t>
      </w:r>
      <w:r>
        <w:rPr>
          <w:spacing w:val="-4"/>
        </w:rPr>
        <w:t> </w:t>
      </w:r>
      <w:r>
        <w:rPr>
          <w:spacing w:val="-8"/>
        </w:rPr>
        <w:t>the</w:t>
      </w:r>
      <w:r>
        <w:rPr>
          <w:spacing w:val="-4"/>
        </w:rPr>
        <w:t> </w:t>
      </w:r>
      <w:r>
        <w:rPr>
          <w:spacing w:val="-8"/>
        </w:rPr>
        <w:t>intake</w:t>
      </w:r>
      <w:r>
        <w:rPr>
          <w:spacing w:val="-4"/>
        </w:rPr>
        <w:t> </w:t>
      </w:r>
      <w:r>
        <w:rPr>
          <w:spacing w:val="-8"/>
        </w:rPr>
        <w:t>of </w:t>
      </w:r>
      <w:r>
        <w:rPr>
          <w:spacing w:val="-6"/>
        </w:rPr>
        <w:t>children</w:t>
      </w:r>
      <w:r>
        <w:rPr>
          <w:spacing w:val="-8"/>
        </w:rPr>
        <w:t> </w:t>
      </w:r>
      <w:r>
        <w:rPr>
          <w:spacing w:val="-6"/>
        </w:rPr>
        <w:t>from</w:t>
      </w:r>
      <w:r>
        <w:rPr>
          <w:spacing w:val="-8"/>
        </w:rPr>
        <w:t> </w:t>
      </w:r>
      <w:r>
        <w:rPr>
          <w:spacing w:val="-6"/>
        </w:rPr>
        <w:t>minority</w:t>
      </w:r>
      <w:r>
        <w:rPr>
          <w:spacing w:val="-8"/>
        </w:rPr>
        <w:t> </w:t>
      </w:r>
      <w:r>
        <w:rPr>
          <w:spacing w:val="-6"/>
        </w:rPr>
        <w:t>language</w:t>
      </w:r>
      <w:r>
        <w:rPr>
          <w:spacing w:val="-7"/>
        </w:rPr>
        <w:t> </w:t>
      </w:r>
      <w:r>
        <w:rPr>
          <w:spacing w:val="-6"/>
        </w:rPr>
        <w:t>communities.</w:t>
      </w:r>
      <w:r>
        <w:rPr>
          <w:spacing w:val="-8"/>
        </w:rPr>
        <w:t> </w:t>
      </w:r>
      <w:r>
        <w:rPr>
          <w:spacing w:val="-6"/>
        </w:rPr>
        <w:t>Qualified </w:t>
      </w:r>
      <w:r>
        <w:rPr>
          <w:spacing w:val="-10"/>
        </w:rPr>
        <w:t>teachers</w:t>
      </w:r>
      <w:r>
        <w:rPr/>
        <w:t> </w:t>
      </w:r>
      <w:r>
        <w:rPr>
          <w:spacing w:val="-10"/>
        </w:rPr>
        <w:t>from</w:t>
      </w:r>
      <w:r>
        <w:rPr/>
        <w:t> </w:t>
      </w:r>
      <w:r>
        <w:rPr>
          <w:spacing w:val="-10"/>
        </w:rPr>
        <w:t>the</w:t>
      </w:r>
      <w:r>
        <w:rPr/>
        <w:t> </w:t>
      </w:r>
      <w:r>
        <w:rPr>
          <w:spacing w:val="-10"/>
        </w:rPr>
        <w:t>local</w:t>
      </w:r>
      <w:r>
        <w:rPr/>
        <w:t> </w:t>
      </w:r>
      <w:r>
        <w:rPr>
          <w:spacing w:val="-10"/>
        </w:rPr>
        <w:t>community</w:t>
      </w:r>
      <w:r>
        <w:rPr/>
        <w:t> </w:t>
      </w:r>
      <w:r>
        <w:rPr>
          <w:spacing w:val="-10"/>
        </w:rPr>
        <w:t>and</w:t>
      </w:r>
      <w:r>
        <w:rPr/>
        <w:t> </w:t>
      </w:r>
      <w:r>
        <w:rPr>
          <w:spacing w:val="-10"/>
        </w:rPr>
        <w:t>therefore</w:t>
      </w:r>
      <w:r>
        <w:rPr/>
        <w:t> </w:t>
      </w:r>
      <w:r>
        <w:rPr>
          <w:spacing w:val="-10"/>
        </w:rPr>
        <w:t>speaking </w:t>
      </w:r>
      <w:r>
        <w:rPr/>
        <w:t>the</w:t>
      </w:r>
      <w:r>
        <w:rPr>
          <w:spacing w:val="-12"/>
        </w:rPr>
        <w:t> </w:t>
      </w:r>
      <w:r>
        <w:rPr/>
        <w:t>same</w:t>
      </w:r>
      <w:r>
        <w:rPr>
          <w:spacing w:val="-11"/>
        </w:rPr>
        <w:t> </w:t>
      </w:r>
      <w:r>
        <w:rPr/>
        <w:t>language</w:t>
      </w:r>
      <w:r>
        <w:rPr>
          <w:spacing w:val="-11"/>
        </w:rPr>
        <w:t> </w:t>
      </w:r>
      <w:r>
        <w:rPr/>
        <w:t>must</w:t>
      </w:r>
      <w:r>
        <w:rPr>
          <w:spacing w:val="-12"/>
        </w:rPr>
        <w:t> </w:t>
      </w:r>
      <w:r>
        <w:rPr/>
        <w:t>be</w:t>
      </w:r>
      <w:r>
        <w:rPr>
          <w:spacing w:val="-11"/>
        </w:rPr>
        <w:t> </w:t>
      </w:r>
      <w:r>
        <w:rPr/>
        <w:t>recruited</w:t>
      </w:r>
      <w:r>
        <w:rPr>
          <w:spacing w:val="-12"/>
        </w:rPr>
        <w:t> </w:t>
      </w:r>
      <w:r>
        <w:rPr/>
        <w:t>on</w:t>
      </w:r>
      <w:r>
        <w:rPr>
          <w:spacing w:val="-11"/>
        </w:rPr>
        <w:t> </w:t>
      </w:r>
      <w:r>
        <w:rPr/>
        <w:t>a</w:t>
      </w:r>
      <w:r>
        <w:rPr>
          <w:spacing w:val="-12"/>
        </w:rPr>
        <w:t> </w:t>
      </w:r>
      <w:r>
        <w:rPr/>
        <w:t>larger</w:t>
      </w:r>
      <w:r>
        <w:rPr>
          <w:spacing w:val="-12"/>
        </w:rPr>
        <w:t> </w:t>
      </w:r>
      <w:r>
        <w:rPr/>
        <w:t>scale, </w:t>
      </w:r>
      <w:r>
        <w:rPr>
          <w:spacing w:val="-4"/>
        </w:rPr>
        <w:t>as</w:t>
      </w:r>
      <w:r>
        <w:rPr>
          <w:spacing w:val="-10"/>
        </w:rPr>
        <w:t> </w:t>
      </w:r>
      <w:r>
        <w:rPr>
          <w:spacing w:val="-4"/>
        </w:rPr>
        <w:t>a</w:t>
      </w:r>
      <w:r>
        <w:rPr>
          <w:spacing w:val="-10"/>
        </w:rPr>
        <w:t> </w:t>
      </w:r>
      <w:r>
        <w:rPr>
          <w:spacing w:val="-4"/>
        </w:rPr>
        <w:t>means</w:t>
      </w:r>
      <w:r>
        <w:rPr>
          <w:spacing w:val="-10"/>
        </w:rPr>
        <w:t> </w:t>
      </w:r>
      <w:r>
        <w:rPr>
          <w:spacing w:val="-4"/>
        </w:rPr>
        <w:t>of</w:t>
      </w:r>
      <w:r>
        <w:rPr>
          <w:spacing w:val="-9"/>
        </w:rPr>
        <w:t> </w:t>
      </w:r>
      <w:r>
        <w:rPr>
          <w:spacing w:val="-4"/>
        </w:rPr>
        <w:t>encouraging</w:t>
      </w:r>
      <w:r>
        <w:rPr>
          <w:spacing w:val="-10"/>
        </w:rPr>
        <w:t> </w:t>
      </w:r>
      <w:r>
        <w:rPr>
          <w:spacing w:val="-4"/>
        </w:rPr>
        <w:t>retention</w:t>
      </w:r>
      <w:r>
        <w:rPr>
          <w:spacing w:val="-10"/>
        </w:rPr>
        <w:t> </w:t>
      </w:r>
      <w:r>
        <w:rPr>
          <w:spacing w:val="-4"/>
        </w:rPr>
        <w:t>amongst</w:t>
      </w:r>
      <w:r>
        <w:rPr>
          <w:spacing w:val="-10"/>
        </w:rPr>
        <w:t> </w:t>
      </w:r>
      <w:r>
        <w:rPr>
          <w:spacing w:val="-4"/>
        </w:rPr>
        <w:t>those</w:t>
      </w:r>
      <w:r>
        <w:rPr>
          <w:spacing w:val="-9"/>
        </w:rPr>
        <w:t> </w:t>
      </w:r>
      <w:r>
        <w:rPr>
          <w:spacing w:val="-4"/>
        </w:rPr>
        <w:t>who feel</w:t>
      </w:r>
      <w:r>
        <w:rPr>
          <w:spacing w:val="-10"/>
        </w:rPr>
        <w:t> </w:t>
      </w:r>
      <w:r>
        <w:rPr>
          <w:spacing w:val="-4"/>
        </w:rPr>
        <w:t>marginalised,</w:t>
      </w:r>
      <w:r>
        <w:rPr>
          <w:spacing w:val="-10"/>
        </w:rPr>
        <w:t> </w:t>
      </w:r>
      <w:r>
        <w:rPr>
          <w:spacing w:val="-4"/>
        </w:rPr>
        <w:t>as</w:t>
      </w:r>
      <w:r>
        <w:rPr>
          <w:spacing w:val="-10"/>
        </w:rPr>
        <w:t> </w:t>
      </w:r>
      <w:r>
        <w:rPr>
          <w:spacing w:val="-4"/>
        </w:rPr>
        <w:t>well</w:t>
      </w:r>
      <w:r>
        <w:rPr>
          <w:spacing w:val="-9"/>
        </w:rPr>
        <w:t> </w:t>
      </w:r>
      <w:r>
        <w:rPr>
          <w:spacing w:val="-4"/>
        </w:rPr>
        <w:t>as</w:t>
      </w:r>
      <w:r>
        <w:rPr>
          <w:spacing w:val="-10"/>
        </w:rPr>
        <w:t> </w:t>
      </w:r>
      <w:r>
        <w:rPr>
          <w:spacing w:val="-4"/>
        </w:rPr>
        <w:t>a</w:t>
      </w:r>
      <w:r>
        <w:rPr>
          <w:spacing w:val="-10"/>
        </w:rPr>
        <w:t> </w:t>
      </w:r>
      <w:r>
        <w:rPr>
          <w:spacing w:val="-4"/>
        </w:rPr>
        <w:t>means</w:t>
      </w:r>
      <w:r>
        <w:rPr>
          <w:spacing w:val="-10"/>
        </w:rPr>
        <w:t> </w:t>
      </w:r>
      <w:r>
        <w:rPr>
          <w:spacing w:val="-4"/>
        </w:rPr>
        <w:t>of</w:t>
      </w:r>
      <w:r>
        <w:rPr>
          <w:spacing w:val="-9"/>
        </w:rPr>
        <w:t> </w:t>
      </w:r>
      <w:r>
        <w:rPr>
          <w:spacing w:val="-4"/>
        </w:rPr>
        <w:t>bringing</w:t>
      </w:r>
      <w:r>
        <w:rPr>
          <w:spacing w:val="-10"/>
        </w:rPr>
        <w:t> </w:t>
      </w:r>
      <w:r>
        <w:rPr>
          <w:spacing w:val="-4"/>
        </w:rPr>
        <w:t>greater </w:t>
      </w:r>
      <w:r>
        <w:rPr>
          <w:spacing w:val="-8"/>
        </w:rPr>
        <w:t>community</w:t>
      </w:r>
      <w:r>
        <w:rPr>
          <w:spacing w:val="-6"/>
        </w:rPr>
        <w:t> </w:t>
      </w:r>
      <w:r>
        <w:rPr>
          <w:spacing w:val="-8"/>
        </w:rPr>
        <w:t>control</w:t>
      </w:r>
      <w:r>
        <w:rPr>
          <w:spacing w:val="-6"/>
        </w:rPr>
        <w:t> </w:t>
      </w:r>
      <w:r>
        <w:rPr>
          <w:spacing w:val="-8"/>
        </w:rPr>
        <w:t>in</w:t>
      </w:r>
      <w:r>
        <w:rPr>
          <w:spacing w:val="-6"/>
        </w:rPr>
        <w:t> </w:t>
      </w:r>
      <w:r>
        <w:rPr>
          <w:spacing w:val="-8"/>
        </w:rPr>
        <w:t>the</w:t>
      </w:r>
      <w:r>
        <w:rPr>
          <w:spacing w:val="-5"/>
        </w:rPr>
        <w:t> </w:t>
      </w:r>
      <w:r>
        <w:rPr>
          <w:spacing w:val="-8"/>
        </w:rPr>
        <w:t>school.</w:t>
      </w:r>
      <w:r>
        <w:rPr>
          <w:spacing w:val="-6"/>
        </w:rPr>
        <w:t> </w:t>
      </w:r>
      <w:r>
        <w:rPr>
          <w:spacing w:val="-8"/>
        </w:rPr>
        <w:t>This</w:t>
      </w:r>
      <w:r>
        <w:rPr>
          <w:spacing w:val="-5"/>
        </w:rPr>
        <w:t> </w:t>
      </w:r>
      <w:r>
        <w:rPr>
          <w:spacing w:val="-8"/>
        </w:rPr>
        <w:t>would</w:t>
      </w:r>
      <w:r>
        <w:rPr>
          <w:spacing w:val="-4"/>
        </w:rPr>
        <w:t> </w:t>
      </w:r>
      <w:r>
        <w:rPr>
          <w:spacing w:val="-8"/>
        </w:rPr>
        <w:t>also</w:t>
      </w:r>
      <w:r>
        <w:rPr>
          <w:spacing w:val="-4"/>
        </w:rPr>
        <w:t> </w:t>
      </w:r>
      <w:r>
        <w:rPr>
          <w:spacing w:val="-8"/>
        </w:rPr>
        <w:t>act</w:t>
      </w:r>
      <w:r>
        <w:rPr>
          <w:spacing w:val="-4"/>
        </w:rPr>
        <w:t> </w:t>
      </w:r>
      <w:r>
        <w:rPr>
          <w:spacing w:val="-8"/>
        </w:rPr>
        <w:t>as</w:t>
      </w:r>
      <w:r>
        <w:rPr>
          <w:spacing w:val="-4"/>
        </w:rPr>
        <w:t> </w:t>
      </w:r>
      <w:r>
        <w:rPr>
          <w:spacing w:val="-8"/>
        </w:rPr>
        <w:t>a </w:t>
      </w:r>
      <w:r>
        <w:rPr>
          <w:spacing w:val="-6"/>
        </w:rPr>
        <w:t>boost to confidence, and provide role models to students </w:t>
      </w:r>
      <w:r>
        <w:rPr/>
        <w:t>from</w:t>
      </w:r>
      <w:r>
        <w:rPr>
          <w:spacing w:val="-14"/>
        </w:rPr>
        <w:t> </w:t>
      </w:r>
      <w:r>
        <w:rPr/>
        <w:t>disadvantaged</w:t>
      </w:r>
      <w:r>
        <w:rPr>
          <w:spacing w:val="-14"/>
        </w:rPr>
        <w:t> </w:t>
      </w:r>
      <w:r>
        <w:rPr/>
        <w:t>backgrounds.</w:t>
      </w:r>
    </w:p>
    <w:p>
      <w:pPr>
        <w:pStyle w:val="Heading7"/>
        <w:numPr>
          <w:ilvl w:val="1"/>
          <w:numId w:val="14"/>
        </w:numPr>
        <w:tabs>
          <w:tab w:pos="1485" w:val="left" w:leader="none"/>
          <w:tab w:pos="1487" w:val="left" w:leader="none"/>
        </w:tabs>
        <w:spacing w:line="225" w:lineRule="auto" w:before="249" w:after="0"/>
        <w:ind w:left="1487" w:right="98" w:hanging="408"/>
        <w:jc w:val="left"/>
      </w:pPr>
      <w:r>
        <w:rPr>
          <w:color w:val="2E614A"/>
        </w:rPr>
        <w:t>The</w:t>
      </w:r>
      <w:r>
        <w:rPr>
          <w:color w:val="2E614A"/>
          <w:spacing w:val="-14"/>
        </w:rPr>
        <w:t> </w:t>
      </w:r>
      <w:r>
        <w:rPr>
          <w:color w:val="2E614A"/>
        </w:rPr>
        <w:t>teaching</w:t>
      </w:r>
      <w:r>
        <w:rPr>
          <w:color w:val="2E614A"/>
          <w:spacing w:val="-14"/>
        </w:rPr>
        <w:t> </w:t>
      </w:r>
      <w:r>
        <w:rPr>
          <w:color w:val="2E614A"/>
        </w:rPr>
        <w:t>of</w:t>
      </w:r>
      <w:r>
        <w:rPr>
          <w:color w:val="2E614A"/>
          <w:spacing w:val="-14"/>
        </w:rPr>
        <w:t> </w:t>
      </w:r>
      <w:r>
        <w:rPr>
          <w:color w:val="2E614A"/>
        </w:rPr>
        <w:t>English</w:t>
      </w:r>
      <w:r>
        <w:rPr>
          <w:color w:val="2E614A"/>
          <w:spacing w:val="-14"/>
        </w:rPr>
        <w:t> </w:t>
      </w:r>
      <w:r>
        <w:rPr>
          <w:color w:val="2E614A"/>
        </w:rPr>
        <w:t>should</w:t>
      </w:r>
      <w:r>
        <w:rPr>
          <w:color w:val="2E614A"/>
          <w:spacing w:val="-14"/>
        </w:rPr>
        <w:t> </w:t>
      </w:r>
      <w:r>
        <w:rPr>
          <w:color w:val="2E614A"/>
        </w:rPr>
        <w:t>be </w:t>
      </w:r>
      <w:r>
        <w:rPr>
          <w:color w:val="2E614A"/>
          <w:w w:val="90"/>
        </w:rPr>
        <w:t>introduced along with the first </w:t>
      </w:r>
      <w:r>
        <w:rPr>
          <w:color w:val="2E614A"/>
          <w:w w:val="90"/>
        </w:rPr>
        <w:t>language, </w:t>
      </w:r>
      <w:r>
        <w:rPr>
          <w:color w:val="2E614A"/>
        </w:rPr>
        <w:t>starting</w:t>
      </w:r>
      <w:r>
        <w:rPr>
          <w:color w:val="2E614A"/>
          <w:spacing w:val="-15"/>
        </w:rPr>
        <w:t> </w:t>
      </w:r>
      <w:r>
        <w:rPr>
          <w:color w:val="2E614A"/>
        </w:rPr>
        <w:t>from</w:t>
      </w:r>
      <w:r>
        <w:rPr>
          <w:color w:val="2E614A"/>
          <w:spacing w:val="-15"/>
        </w:rPr>
        <w:t> </w:t>
      </w:r>
      <w:r>
        <w:rPr>
          <w:color w:val="2E614A"/>
        </w:rPr>
        <w:t>Class</w:t>
      </w:r>
      <w:r>
        <w:rPr>
          <w:color w:val="2E614A"/>
          <w:spacing w:val="-15"/>
        </w:rPr>
        <w:t> </w:t>
      </w:r>
      <w:r>
        <w:rPr>
          <w:color w:val="2E614A"/>
        </w:rPr>
        <w:t>I</w:t>
      </w:r>
      <w:r>
        <w:rPr>
          <w:color w:val="2E614A"/>
          <w:spacing w:val="-15"/>
        </w:rPr>
        <w:t> </w:t>
      </w:r>
      <w:r>
        <w:rPr>
          <w:color w:val="2E614A"/>
        </w:rPr>
        <w:t>in</w:t>
      </w:r>
      <w:r>
        <w:rPr>
          <w:color w:val="2E614A"/>
          <w:spacing w:val="-15"/>
        </w:rPr>
        <w:t> </w:t>
      </w:r>
      <w:r>
        <w:rPr>
          <w:color w:val="2E614A"/>
        </w:rPr>
        <w:t>school.</w:t>
      </w:r>
    </w:p>
    <w:p>
      <w:pPr>
        <w:pStyle w:val="BodyText"/>
        <w:rPr>
          <w:b/>
          <w:sz w:val="26"/>
        </w:rPr>
      </w:pPr>
    </w:p>
    <w:p>
      <w:pPr>
        <w:pStyle w:val="BodyText"/>
        <w:spacing w:line="266" w:lineRule="auto" w:before="1"/>
        <w:ind w:left="1080"/>
        <w:jc w:val="both"/>
      </w:pPr>
      <w:r>
        <w:rPr/>
        <w:t>Proficiency in English is widely perceived as </w:t>
      </w:r>
      <w:r>
        <w:rPr/>
        <w:t>an important avenue for employment and upward mobility, which also greatly facilitates the pursuit of </w:t>
      </w:r>
      <w:r>
        <w:rPr>
          <w:spacing w:val="-2"/>
        </w:rPr>
        <w:t>higher</w:t>
      </w:r>
      <w:r>
        <w:rPr>
          <w:spacing w:val="-12"/>
        </w:rPr>
        <w:t> </w:t>
      </w:r>
      <w:r>
        <w:rPr>
          <w:spacing w:val="-2"/>
        </w:rPr>
        <w:t>education.</w:t>
      </w:r>
      <w:r>
        <w:rPr>
          <w:spacing w:val="-12"/>
        </w:rPr>
        <w:t> </w:t>
      </w:r>
      <w:r>
        <w:rPr>
          <w:spacing w:val="-2"/>
        </w:rPr>
        <w:t>The</w:t>
      </w:r>
      <w:r>
        <w:rPr>
          <w:spacing w:val="-12"/>
        </w:rPr>
        <w:t> </w:t>
      </w:r>
      <w:r>
        <w:rPr>
          <w:spacing w:val="-2"/>
        </w:rPr>
        <w:t>incorporation</w:t>
      </w:r>
      <w:r>
        <w:rPr>
          <w:spacing w:val="-11"/>
        </w:rPr>
        <w:t> </w:t>
      </w:r>
      <w:r>
        <w:rPr>
          <w:spacing w:val="-2"/>
        </w:rPr>
        <w:t>of</w:t>
      </w:r>
      <w:r>
        <w:rPr>
          <w:spacing w:val="-12"/>
        </w:rPr>
        <w:t> </w:t>
      </w:r>
      <w:r>
        <w:rPr>
          <w:spacing w:val="-2"/>
        </w:rPr>
        <w:t>English</w:t>
      </w:r>
      <w:r>
        <w:rPr>
          <w:spacing w:val="-12"/>
        </w:rPr>
        <w:t> </w:t>
      </w:r>
      <w:r>
        <w:rPr>
          <w:spacing w:val="-2"/>
        </w:rPr>
        <w:t>into</w:t>
      </w:r>
      <w:r>
        <w:rPr>
          <w:spacing w:val="-12"/>
        </w:rPr>
        <w:t> </w:t>
      </w:r>
      <w:r>
        <w:rPr>
          <w:spacing w:val="-2"/>
        </w:rPr>
        <w:t>the </w:t>
      </w:r>
      <w:r>
        <w:rPr/>
        <w:t>curriculum, through the introduction of English as a </w:t>
      </w:r>
      <w:r>
        <w:rPr>
          <w:spacing w:val="-6"/>
        </w:rPr>
        <w:t>language in Class I and the teaching of one other subject in English medium in later classes, requires pedagogical </w:t>
      </w:r>
      <w:r>
        <w:rPr>
          <w:spacing w:val="-2"/>
        </w:rPr>
        <w:t>changes</w:t>
      </w:r>
      <w:r>
        <w:rPr>
          <w:spacing w:val="-8"/>
        </w:rPr>
        <w:t> </w:t>
      </w:r>
      <w:r>
        <w:rPr>
          <w:spacing w:val="-2"/>
        </w:rPr>
        <w:t>to</w:t>
      </w:r>
      <w:r>
        <w:rPr>
          <w:spacing w:val="-8"/>
        </w:rPr>
        <w:t> </w:t>
      </w:r>
      <w:r>
        <w:rPr>
          <w:spacing w:val="-2"/>
        </w:rPr>
        <w:t>contextualise</w:t>
      </w:r>
      <w:r>
        <w:rPr>
          <w:spacing w:val="-8"/>
        </w:rPr>
        <w:t> </w:t>
      </w:r>
      <w:r>
        <w:rPr>
          <w:spacing w:val="-2"/>
        </w:rPr>
        <w:t>language</w:t>
      </w:r>
      <w:r>
        <w:rPr>
          <w:spacing w:val="-8"/>
        </w:rPr>
        <w:t> </w:t>
      </w:r>
      <w:r>
        <w:rPr>
          <w:spacing w:val="-2"/>
        </w:rPr>
        <w:t>learning,</w:t>
      </w:r>
      <w:r>
        <w:rPr>
          <w:spacing w:val="-8"/>
        </w:rPr>
        <w:t> </w:t>
      </w:r>
      <w:r>
        <w:rPr>
          <w:spacing w:val="-2"/>
        </w:rPr>
        <w:t>increasing the</w:t>
      </w:r>
      <w:r>
        <w:rPr>
          <w:spacing w:val="-7"/>
        </w:rPr>
        <w:t> </w:t>
      </w:r>
      <w:r>
        <w:rPr>
          <w:spacing w:val="-2"/>
        </w:rPr>
        <w:t>availability</w:t>
      </w:r>
      <w:r>
        <w:rPr>
          <w:spacing w:val="-7"/>
        </w:rPr>
        <w:t> </w:t>
      </w:r>
      <w:r>
        <w:rPr>
          <w:spacing w:val="-2"/>
        </w:rPr>
        <w:t>of</w:t>
      </w:r>
      <w:r>
        <w:rPr>
          <w:spacing w:val="-7"/>
        </w:rPr>
        <w:t> </w:t>
      </w:r>
      <w:r>
        <w:rPr>
          <w:spacing w:val="-2"/>
        </w:rPr>
        <w:t>English</w:t>
      </w:r>
      <w:r>
        <w:rPr>
          <w:spacing w:val="-7"/>
        </w:rPr>
        <w:t> </w:t>
      </w:r>
      <w:r>
        <w:rPr>
          <w:spacing w:val="-2"/>
        </w:rPr>
        <w:t>language</w:t>
      </w:r>
      <w:r>
        <w:rPr>
          <w:spacing w:val="-7"/>
        </w:rPr>
        <w:t> </w:t>
      </w:r>
      <w:r>
        <w:rPr>
          <w:spacing w:val="-2"/>
        </w:rPr>
        <w:t>teachers</w:t>
      </w:r>
      <w:r>
        <w:rPr>
          <w:spacing w:val="-7"/>
        </w:rPr>
        <w:t> </w:t>
      </w:r>
      <w:r>
        <w:rPr>
          <w:spacing w:val="-2"/>
        </w:rPr>
        <w:t>and</w:t>
      </w:r>
      <w:r>
        <w:rPr>
          <w:spacing w:val="-7"/>
        </w:rPr>
        <w:t> </w:t>
      </w:r>
      <w:r>
        <w:rPr>
          <w:spacing w:val="-2"/>
        </w:rPr>
        <w:t>those who</w:t>
      </w:r>
      <w:r>
        <w:rPr>
          <w:spacing w:val="-12"/>
        </w:rPr>
        <w:t> </w:t>
      </w:r>
      <w:r>
        <w:rPr>
          <w:spacing w:val="-2"/>
        </w:rPr>
        <w:t>can</w:t>
      </w:r>
      <w:r>
        <w:rPr>
          <w:spacing w:val="-12"/>
        </w:rPr>
        <w:t> </w:t>
      </w:r>
      <w:r>
        <w:rPr>
          <w:spacing w:val="-2"/>
        </w:rPr>
        <w:t>teach</w:t>
      </w:r>
      <w:r>
        <w:rPr>
          <w:spacing w:val="-12"/>
        </w:rPr>
        <w:t> </w:t>
      </w:r>
      <w:r>
        <w:rPr>
          <w:spacing w:val="-2"/>
        </w:rPr>
        <w:t>at</w:t>
      </w:r>
      <w:r>
        <w:rPr>
          <w:spacing w:val="-11"/>
        </w:rPr>
        <w:t> </w:t>
      </w:r>
      <w:r>
        <w:rPr>
          <w:spacing w:val="-2"/>
        </w:rPr>
        <w:t>least</w:t>
      </w:r>
      <w:r>
        <w:rPr>
          <w:spacing w:val="-12"/>
        </w:rPr>
        <w:t> </w:t>
      </w:r>
      <w:r>
        <w:rPr>
          <w:spacing w:val="-2"/>
        </w:rPr>
        <w:t>one</w:t>
      </w:r>
      <w:r>
        <w:rPr>
          <w:spacing w:val="-12"/>
        </w:rPr>
        <w:t> </w:t>
      </w:r>
      <w:r>
        <w:rPr>
          <w:spacing w:val="-2"/>
        </w:rPr>
        <w:t>subject</w:t>
      </w:r>
      <w:r>
        <w:rPr>
          <w:spacing w:val="-12"/>
        </w:rPr>
        <w:t> </w:t>
      </w:r>
      <w:r>
        <w:rPr>
          <w:spacing w:val="-2"/>
        </w:rPr>
        <w:t>in</w:t>
      </w:r>
      <w:r>
        <w:rPr>
          <w:spacing w:val="-11"/>
        </w:rPr>
        <w:t> </w:t>
      </w:r>
      <w:r>
        <w:rPr>
          <w:spacing w:val="-2"/>
        </w:rPr>
        <w:t>English,</w:t>
      </w:r>
      <w:r>
        <w:rPr>
          <w:spacing w:val="-12"/>
        </w:rPr>
        <w:t> </w:t>
      </w:r>
      <w:r>
        <w:rPr>
          <w:spacing w:val="-2"/>
        </w:rPr>
        <w:t>as</w:t>
      </w:r>
      <w:r>
        <w:rPr>
          <w:spacing w:val="-12"/>
        </w:rPr>
        <w:t> </w:t>
      </w:r>
      <w:r>
        <w:rPr>
          <w:spacing w:val="-2"/>
        </w:rPr>
        <w:t>well</w:t>
      </w:r>
      <w:r>
        <w:rPr>
          <w:spacing w:val="-12"/>
        </w:rPr>
        <w:t> </w:t>
      </w:r>
      <w:r>
        <w:rPr>
          <w:spacing w:val="-2"/>
        </w:rPr>
        <w:t>as </w:t>
      </w:r>
      <w:r>
        <w:rPr/>
        <w:t>bilingual and supplementary teaching materials.</w:t>
      </w:r>
    </w:p>
    <w:p>
      <w:pPr>
        <w:pStyle w:val="BodyText"/>
        <w:spacing w:before="18"/>
      </w:pPr>
    </w:p>
    <w:p>
      <w:pPr>
        <w:pStyle w:val="BodyText"/>
        <w:spacing w:line="266" w:lineRule="auto"/>
        <w:ind w:left="1080"/>
        <w:jc w:val="both"/>
      </w:pPr>
      <w:r>
        <w:rPr/>
        <w:t>At the same time, school education must commit </w:t>
      </w:r>
      <w:r>
        <w:rPr/>
        <w:t>to promoting multi-linguality, given the multilingual nature of our country.</w:t>
      </w:r>
    </w:p>
    <w:p>
      <w:pPr>
        <w:pStyle w:val="BodyText"/>
        <w:spacing w:before="1"/>
      </w:pPr>
    </w:p>
    <w:p>
      <w:pPr>
        <w:pStyle w:val="Heading7"/>
        <w:numPr>
          <w:ilvl w:val="1"/>
          <w:numId w:val="14"/>
        </w:numPr>
        <w:tabs>
          <w:tab w:pos="1485" w:val="left" w:leader="none"/>
          <w:tab w:pos="1487" w:val="left" w:leader="none"/>
        </w:tabs>
        <w:spacing w:line="225" w:lineRule="auto" w:before="0" w:after="0"/>
        <w:ind w:left="1487" w:right="405" w:hanging="408"/>
        <w:jc w:val="left"/>
      </w:pPr>
      <w:r>
        <w:rPr>
          <w:color w:val="2E614A"/>
        </w:rPr>
        <w:t>There</w:t>
      </w:r>
      <w:r>
        <w:rPr>
          <w:color w:val="2E614A"/>
          <w:spacing w:val="-17"/>
        </w:rPr>
        <w:t> </w:t>
      </w:r>
      <w:r>
        <w:rPr>
          <w:color w:val="2E614A"/>
        </w:rPr>
        <w:t>is</w:t>
      </w:r>
      <w:r>
        <w:rPr>
          <w:color w:val="2E614A"/>
          <w:spacing w:val="-16"/>
        </w:rPr>
        <w:t> </w:t>
      </w:r>
      <w:r>
        <w:rPr>
          <w:color w:val="2E614A"/>
        </w:rPr>
        <w:t>need</w:t>
      </w:r>
      <w:r>
        <w:rPr>
          <w:color w:val="2E614A"/>
          <w:spacing w:val="-16"/>
        </w:rPr>
        <w:t> </w:t>
      </w:r>
      <w:r>
        <w:rPr>
          <w:color w:val="2E614A"/>
        </w:rPr>
        <w:t>to</w:t>
      </w:r>
      <w:r>
        <w:rPr>
          <w:color w:val="2E614A"/>
          <w:spacing w:val="-16"/>
        </w:rPr>
        <w:t> </w:t>
      </w:r>
      <w:r>
        <w:rPr>
          <w:color w:val="2E614A"/>
        </w:rPr>
        <w:t>re-orient</w:t>
      </w:r>
      <w:r>
        <w:rPr>
          <w:color w:val="2E614A"/>
          <w:spacing w:val="-17"/>
        </w:rPr>
        <w:t> </w:t>
      </w:r>
      <w:r>
        <w:rPr>
          <w:color w:val="2E614A"/>
        </w:rPr>
        <w:t>official </w:t>
      </w:r>
      <w:r>
        <w:rPr>
          <w:color w:val="2E614A"/>
          <w:w w:val="90"/>
        </w:rPr>
        <w:t>strategies for ensuring better access </w:t>
      </w:r>
      <w:r>
        <w:rPr>
          <w:color w:val="2E614A"/>
          <w:w w:val="90"/>
        </w:rPr>
        <w:t>of </w:t>
      </w:r>
      <w:r>
        <w:rPr>
          <w:color w:val="2E614A"/>
        </w:rPr>
        <w:t>Muslim</w:t>
      </w:r>
      <w:r>
        <w:rPr>
          <w:color w:val="2E614A"/>
          <w:spacing w:val="-13"/>
        </w:rPr>
        <w:t> </w:t>
      </w:r>
      <w:r>
        <w:rPr>
          <w:color w:val="2E614A"/>
        </w:rPr>
        <w:t>children</w:t>
      </w:r>
      <w:r>
        <w:rPr>
          <w:color w:val="2E614A"/>
          <w:spacing w:val="-13"/>
        </w:rPr>
        <w:t> </w:t>
      </w:r>
      <w:r>
        <w:rPr>
          <w:color w:val="2E614A"/>
        </w:rPr>
        <w:t>to</w:t>
      </w:r>
      <w:r>
        <w:rPr>
          <w:color w:val="2E614A"/>
          <w:spacing w:val="-13"/>
        </w:rPr>
        <w:t> </w:t>
      </w:r>
      <w:r>
        <w:rPr>
          <w:color w:val="2E614A"/>
        </w:rPr>
        <w:t>schooling.</w:t>
      </w:r>
    </w:p>
    <w:p>
      <w:pPr>
        <w:pStyle w:val="BodyText"/>
        <w:spacing w:before="1"/>
        <w:rPr>
          <w:b/>
          <w:sz w:val="26"/>
        </w:rPr>
      </w:pPr>
    </w:p>
    <w:p>
      <w:pPr>
        <w:pStyle w:val="BodyText"/>
        <w:spacing w:line="266" w:lineRule="auto"/>
        <w:ind w:left="1080"/>
        <w:jc w:val="both"/>
      </w:pPr>
      <w:r>
        <w:rPr>
          <w:spacing w:val="-2"/>
        </w:rPr>
        <w:t>Areas</w:t>
      </w:r>
      <w:r>
        <w:rPr>
          <w:spacing w:val="-12"/>
        </w:rPr>
        <w:t> </w:t>
      </w:r>
      <w:r>
        <w:rPr>
          <w:spacing w:val="-2"/>
        </w:rPr>
        <w:t>with</w:t>
      </w:r>
      <w:r>
        <w:rPr>
          <w:spacing w:val="-12"/>
        </w:rPr>
        <w:t> </w:t>
      </w:r>
      <w:r>
        <w:rPr>
          <w:spacing w:val="-2"/>
        </w:rPr>
        <w:t>Muslim</w:t>
      </w:r>
      <w:r>
        <w:rPr>
          <w:spacing w:val="-12"/>
        </w:rPr>
        <w:t> </w:t>
      </w:r>
      <w:r>
        <w:rPr>
          <w:spacing w:val="-2"/>
        </w:rPr>
        <w:t>majority</w:t>
      </w:r>
      <w:r>
        <w:rPr>
          <w:spacing w:val="-11"/>
        </w:rPr>
        <w:t> </w:t>
      </w:r>
      <w:r>
        <w:rPr>
          <w:spacing w:val="-2"/>
        </w:rPr>
        <w:t>population</w:t>
      </w:r>
      <w:r>
        <w:rPr>
          <w:spacing w:val="-12"/>
        </w:rPr>
        <w:t> </w:t>
      </w:r>
      <w:r>
        <w:rPr>
          <w:spacing w:val="-2"/>
        </w:rPr>
        <w:t>have</w:t>
      </w:r>
      <w:r>
        <w:rPr>
          <w:spacing w:val="-12"/>
        </w:rPr>
        <w:t> </w:t>
      </w:r>
      <w:r>
        <w:rPr>
          <w:spacing w:val="-2"/>
        </w:rPr>
        <w:t>tended</w:t>
      </w:r>
      <w:r>
        <w:rPr>
          <w:spacing w:val="-12"/>
        </w:rPr>
        <w:t> </w:t>
      </w:r>
      <w:r>
        <w:rPr>
          <w:spacing w:val="-2"/>
        </w:rPr>
        <w:t>to </w:t>
      </w:r>
      <w:r>
        <w:rPr/>
        <w:t>be overlooked in the implementation of government </w:t>
      </w:r>
      <w:r>
        <w:rPr>
          <w:spacing w:val="-6"/>
        </w:rPr>
        <w:t>educational schemes. In addition, with a few exceptions, </w:t>
      </w:r>
      <w:r>
        <w:rPr/>
        <w:t>there</w:t>
      </w:r>
      <w:r>
        <w:rPr>
          <w:spacing w:val="-7"/>
        </w:rPr>
        <w:t> </w:t>
      </w:r>
      <w:r>
        <w:rPr/>
        <w:t>has</w:t>
      </w:r>
      <w:r>
        <w:rPr>
          <w:spacing w:val="-7"/>
        </w:rPr>
        <w:t> </w:t>
      </w:r>
      <w:r>
        <w:rPr/>
        <w:t>been</w:t>
      </w:r>
      <w:r>
        <w:rPr>
          <w:spacing w:val="-7"/>
        </w:rPr>
        <w:t> </w:t>
      </w:r>
      <w:r>
        <w:rPr/>
        <w:t>less</w:t>
      </w:r>
      <w:r>
        <w:rPr>
          <w:spacing w:val="-7"/>
        </w:rPr>
        <w:t> </w:t>
      </w:r>
      <w:r>
        <w:rPr/>
        <w:t>private</w:t>
      </w:r>
      <w:r>
        <w:rPr>
          <w:spacing w:val="-7"/>
        </w:rPr>
        <w:t> </w:t>
      </w:r>
      <w:r>
        <w:rPr/>
        <w:t>initiative</w:t>
      </w:r>
      <w:r>
        <w:rPr>
          <w:spacing w:val="-7"/>
        </w:rPr>
        <w:t> </w:t>
      </w:r>
      <w:r>
        <w:rPr/>
        <w:t>in</w:t>
      </w:r>
      <w:r>
        <w:rPr>
          <w:spacing w:val="-7"/>
        </w:rPr>
        <w:t> </w:t>
      </w:r>
      <w:r>
        <w:rPr/>
        <w:t>this</w:t>
      </w:r>
      <w:r>
        <w:rPr>
          <w:spacing w:val="-7"/>
        </w:rPr>
        <w:t> </w:t>
      </w:r>
      <w:r>
        <w:rPr/>
        <w:t>regard.</w:t>
      </w:r>
      <w:r>
        <w:rPr>
          <w:spacing w:val="-7"/>
        </w:rPr>
        <w:t> </w:t>
      </w:r>
      <w:r>
        <w:rPr/>
        <w:t>As a</w:t>
      </w:r>
      <w:r>
        <w:rPr>
          <w:spacing w:val="-14"/>
        </w:rPr>
        <w:t> </w:t>
      </w:r>
      <w:r>
        <w:rPr/>
        <w:t>consequence,</w:t>
      </w:r>
      <w:r>
        <w:rPr>
          <w:spacing w:val="-14"/>
        </w:rPr>
        <w:t> </w:t>
      </w:r>
      <w:r>
        <w:rPr/>
        <w:t>Muslims</w:t>
      </w:r>
      <w:r>
        <w:rPr>
          <w:spacing w:val="-13"/>
        </w:rPr>
        <w:t> </w:t>
      </w:r>
      <w:r>
        <w:rPr/>
        <w:t>as</w:t>
      </w:r>
      <w:r>
        <w:rPr>
          <w:spacing w:val="-14"/>
        </w:rPr>
        <w:t> </w:t>
      </w:r>
      <w:r>
        <w:rPr/>
        <w:t>a</w:t>
      </w:r>
      <w:r>
        <w:rPr>
          <w:spacing w:val="-14"/>
        </w:rPr>
        <w:t> </w:t>
      </w:r>
      <w:r>
        <w:rPr/>
        <w:t>community,</w:t>
      </w:r>
      <w:r>
        <w:rPr>
          <w:spacing w:val="-13"/>
        </w:rPr>
        <w:t> </w:t>
      </w:r>
      <w:r>
        <w:rPr/>
        <w:t>have</w:t>
      </w:r>
      <w:r>
        <w:rPr>
          <w:spacing w:val="-14"/>
        </w:rPr>
        <w:t> </w:t>
      </w:r>
      <w:r>
        <w:rPr/>
        <w:t>access </w:t>
      </w:r>
      <w:r>
        <w:rPr>
          <w:spacing w:val="-2"/>
        </w:rPr>
        <w:t>to</w:t>
      </w:r>
      <w:r>
        <w:rPr>
          <w:spacing w:val="-9"/>
        </w:rPr>
        <w:t> </w:t>
      </w:r>
      <w:r>
        <w:rPr>
          <w:spacing w:val="-2"/>
        </w:rPr>
        <w:t>fewer</w:t>
      </w:r>
      <w:r>
        <w:rPr>
          <w:spacing w:val="-9"/>
        </w:rPr>
        <w:t> </w:t>
      </w:r>
      <w:r>
        <w:rPr>
          <w:spacing w:val="-2"/>
        </w:rPr>
        <w:t>government</w:t>
      </w:r>
      <w:r>
        <w:rPr>
          <w:spacing w:val="-9"/>
        </w:rPr>
        <w:t> </w:t>
      </w:r>
      <w:r>
        <w:rPr>
          <w:spacing w:val="-2"/>
        </w:rPr>
        <w:t>schools,</w:t>
      </w:r>
      <w:r>
        <w:rPr>
          <w:spacing w:val="-9"/>
        </w:rPr>
        <w:t> </w:t>
      </w:r>
      <w:r>
        <w:rPr>
          <w:spacing w:val="-2"/>
        </w:rPr>
        <w:t>girls</w:t>
      </w:r>
      <w:r>
        <w:rPr>
          <w:spacing w:val="-9"/>
        </w:rPr>
        <w:t> </w:t>
      </w:r>
      <w:r>
        <w:rPr>
          <w:spacing w:val="-2"/>
        </w:rPr>
        <w:t>schools,</w:t>
      </w:r>
      <w:r>
        <w:rPr>
          <w:spacing w:val="-9"/>
        </w:rPr>
        <w:t> </w:t>
      </w:r>
      <w:r>
        <w:rPr>
          <w:spacing w:val="-2"/>
        </w:rPr>
        <w:t>and</w:t>
      </w:r>
      <w:r>
        <w:rPr>
          <w:spacing w:val="-9"/>
        </w:rPr>
        <w:t> </w:t>
      </w:r>
      <w:r>
        <w:rPr>
          <w:spacing w:val="-2"/>
        </w:rPr>
        <w:t>higher </w:t>
      </w:r>
      <w:r>
        <w:rPr/>
        <w:t>educational institutions.</w:t>
      </w:r>
    </w:p>
    <w:p>
      <w:pPr>
        <w:pStyle w:val="BodyText"/>
        <w:spacing w:before="21"/>
      </w:pPr>
    </w:p>
    <w:p>
      <w:pPr>
        <w:pStyle w:val="BodyText"/>
        <w:spacing w:line="266" w:lineRule="auto"/>
        <w:ind w:left="1080"/>
        <w:jc w:val="both"/>
      </w:pPr>
      <w:r>
        <w:rPr/>
        <w:t>It</w:t>
      </w:r>
      <w:r>
        <w:rPr>
          <w:spacing w:val="-4"/>
        </w:rPr>
        <w:t> </w:t>
      </w:r>
      <w:r>
        <w:rPr/>
        <w:t>is</w:t>
      </w:r>
      <w:r>
        <w:rPr>
          <w:spacing w:val="-4"/>
        </w:rPr>
        <w:t> </w:t>
      </w:r>
      <w:r>
        <w:rPr/>
        <w:t>important</w:t>
      </w:r>
      <w:r>
        <w:rPr>
          <w:spacing w:val="-4"/>
        </w:rPr>
        <w:t> </w:t>
      </w:r>
      <w:r>
        <w:rPr/>
        <w:t>to</w:t>
      </w:r>
      <w:r>
        <w:rPr>
          <w:spacing w:val="-4"/>
        </w:rPr>
        <w:t> </w:t>
      </w:r>
      <w:r>
        <w:rPr/>
        <w:t>rectify</w:t>
      </w:r>
      <w:r>
        <w:rPr>
          <w:spacing w:val="-4"/>
        </w:rPr>
        <w:t> </w:t>
      </w:r>
      <w:r>
        <w:rPr/>
        <w:t>this</w:t>
      </w:r>
      <w:r>
        <w:rPr>
          <w:spacing w:val="-4"/>
        </w:rPr>
        <w:t> </w:t>
      </w:r>
      <w:r>
        <w:rPr/>
        <w:t>gap</w:t>
      </w:r>
      <w:r>
        <w:rPr>
          <w:spacing w:val="-4"/>
        </w:rPr>
        <w:t> </w:t>
      </w:r>
      <w:r>
        <w:rPr/>
        <w:t>and</w:t>
      </w:r>
      <w:r>
        <w:rPr>
          <w:spacing w:val="-4"/>
        </w:rPr>
        <w:t> </w:t>
      </w:r>
      <w:r>
        <w:rPr/>
        <w:t>ensure</w:t>
      </w:r>
      <w:r>
        <w:rPr>
          <w:spacing w:val="-4"/>
        </w:rPr>
        <w:t> </w:t>
      </w:r>
      <w:r>
        <w:rPr/>
        <w:t>adequate </w:t>
      </w:r>
      <w:r>
        <w:rPr>
          <w:spacing w:val="-4"/>
        </w:rPr>
        <w:t>public</w:t>
      </w:r>
      <w:r>
        <w:rPr>
          <w:spacing w:val="-12"/>
        </w:rPr>
        <w:t> </w:t>
      </w:r>
      <w:r>
        <w:rPr>
          <w:spacing w:val="-4"/>
        </w:rPr>
        <w:t>expenditure</w:t>
      </w:r>
      <w:r>
        <w:rPr>
          <w:spacing w:val="-10"/>
        </w:rPr>
        <w:t> </w:t>
      </w:r>
      <w:r>
        <w:rPr>
          <w:spacing w:val="-4"/>
        </w:rPr>
        <w:t>to</w:t>
      </w:r>
      <w:r>
        <w:rPr>
          <w:spacing w:val="-10"/>
        </w:rPr>
        <w:t> </w:t>
      </w:r>
      <w:r>
        <w:rPr>
          <w:spacing w:val="-4"/>
        </w:rPr>
        <w:t>ensure</w:t>
      </w:r>
      <w:r>
        <w:rPr>
          <w:spacing w:val="-9"/>
        </w:rPr>
        <w:t> </w:t>
      </w:r>
      <w:r>
        <w:rPr>
          <w:spacing w:val="-4"/>
        </w:rPr>
        <w:t>that</w:t>
      </w:r>
      <w:r>
        <w:rPr>
          <w:spacing w:val="-10"/>
        </w:rPr>
        <w:t> </w:t>
      </w:r>
      <w:r>
        <w:rPr>
          <w:spacing w:val="-4"/>
        </w:rPr>
        <w:t>the</w:t>
      </w:r>
      <w:r>
        <w:rPr>
          <w:spacing w:val="-10"/>
        </w:rPr>
        <w:t> </w:t>
      </w:r>
      <w:r>
        <w:rPr>
          <w:spacing w:val="-4"/>
        </w:rPr>
        <w:t>physical</w:t>
      </w:r>
      <w:r>
        <w:rPr>
          <w:spacing w:val="-10"/>
        </w:rPr>
        <w:t> </w:t>
      </w:r>
      <w:r>
        <w:rPr>
          <w:spacing w:val="-4"/>
        </w:rPr>
        <w:t>and</w:t>
      </w:r>
      <w:r>
        <w:rPr>
          <w:spacing w:val="-9"/>
        </w:rPr>
        <w:t> </w:t>
      </w:r>
      <w:r>
        <w:rPr>
          <w:spacing w:val="-4"/>
        </w:rPr>
        <w:t>social </w:t>
      </w:r>
      <w:r>
        <w:rPr/>
        <w:t>infrastructure for schooling is made available. This means that the government should have a minority </w:t>
      </w:r>
      <w:r>
        <w:rPr>
          <w:spacing w:val="-2"/>
        </w:rPr>
        <w:t>component</w:t>
      </w:r>
      <w:r>
        <w:rPr>
          <w:spacing w:val="3"/>
        </w:rPr>
        <w:t> </w:t>
      </w:r>
      <w:r>
        <w:rPr>
          <w:spacing w:val="-2"/>
        </w:rPr>
        <w:t>in</w:t>
      </w:r>
      <w:r>
        <w:rPr>
          <w:spacing w:val="3"/>
        </w:rPr>
        <w:t> </w:t>
      </w:r>
      <w:r>
        <w:rPr>
          <w:spacing w:val="-2"/>
        </w:rPr>
        <w:t>all</w:t>
      </w:r>
      <w:r>
        <w:rPr>
          <w:spacing w:val="3"/>
        </w:rPr>
        <w:t> </w:t>
      </w:r>
      <w:r>
        <w:rPr>
          <w:spacing w:val="-2"/>
        </w:rPr>
        <w:t>its</w:t>
      </w:r>
      <w:r>
        <w:rPr>
          <w:spacing w:val="3"/>
        </w:rPr>
        <w:t> </w:t>
      </w:r>
      <w:r>
        <w:rPr>
          <w:spacing w:val="-2"/>
        </w:rPr>
        <w:t>school</w:t>
      </w:r>
      <w:r>
        <w:rPr>
          <w:spacing w:val="3"/>
        </w:rPr>
        <w:t> </w:t>
      </w:r>
      <w:r>
        <w:rPr>
          <w:spacing w:val="-2"/>
        </w:rPr>
        <w:t>development</w:t>
      </w:r>
      <w:r>
        <w:rPr>
          <w:spacing w:val="3"/>
        </w:rPr>
        <w:t> </w:t>
      </w:r>
      <w:r>
        <w:rPr>
          <w:spacing w:val="-2"/>
        </w:rPr>
        <w:t>schemes</w:t>
      </w:r>
      <w:r>
        <w:rPr>
          <w:spacing w:val="3"/>
        </w:rPr>
        <w:t> </w:t>
      </w:r>
      <w:r>
        <w:rPr>
          <w:spacing w:val="-5"/>
        </w:rPr>
        <w:t>and</w:t>
      </w:r>
    </w:p>
    <w:p>
      <w:pPr>
        <w:pStyle w:val="BodyText"/>
        <w:spacing w:line="266" w:lineRule="auto" w:before="57"/>
        <w:ind w:left="319" w:right="1077"/>
        <w:jc w:val="both"/>
      </w:pPr>
      <w:r>
        <w:rPr/>
        <w:br w:type="column"/>
      </w:r>
      <w:r>
        <w:rPr/>
        <w:t>budget outlays, which should be in proportion to </w:t>
      </w:r>
      <w:r>
        <w:rPr/>
        <w:t>the minority population.</w:t>
      </w:r>
    </w:p>
    <w:p>
      <w:pPr>
        <w:pStyle w:val="BodyText"/>
        <w:spacing w:before="25"/>
      </w:pPr>
    </w:p>
    <w:p>
      <w:pPr>
        <w:pStyle w:val="BodyText"/>
        <w:spacing w:line="266" w:lineRule="auto" w:before="1"/>
        <w:ind w:left="319" w:right="1077"/>
        <w:jc w:val="both"/>
      </w:pPr>
      <w:r>
        <w:rPr/>
        <w:t>The strategy cannot be based solely on more </w:t>
      </w:r>
      <w:r>
        <w:rPr/>
        <w:t>public </w:t>
      </w:r>
      <w:r>
        <w:rPr>
          <w:spacing w:val="-4"/>
        </w:rPr>
        <w:t>resources</w:t>
      </w:r>
      <w:r>
        <w:rPr>
          <w:spacing w:val="-9"/>
        </w:rPr>
        <w:t> </w:t>
      </w:r>
      <w:r>
        <w:rPr>
          <w:spacing w:val="-4"/>
        </w:rPr>
        <w:t>provided</w:t>
      </w:r>
      <w:r>
        <w:rPr>
          <w:spacing w:val="-9"/>
        </w:rPr>
        <w:t> </w:t>
      </w:r>
      <w:r>
        <w:rPr>
          <w:spacing w:val="-4"/>
        </w:rPr>
        <w:t>to</w:t>
      </w:r>
      <w:r>
        <w:rPr>
          <w:spacing w:val="-9"/>
        </w:rPr>
        <w:t> </w:t>
      </w:r>
      <w:r>
        <w:rPr>
          <w:spacing w:val="-4"/>
        </w:rPr>
        <w:t>madrasas</w:t>
      </w:r>
      <w:r>
        <w:rPr>
          <w:spacing w:val="-9"/>
        </w:rPr>
        <w:t> </w:t>
      </w:r>
      <w:r>
        <w:rPr>
          <w:spacing w:val="-4"/>
        </w:rPr>
        <w:t>for</w:t>
      </w:r>
      <w:r>
        <w:rPr>
          <w:spacing w:val="-9"/>
        </w:rPr>
        <w:t> </w:t>
      </w:r>
      <w:r>
        <w:rPr>
          <w:spacing w:val="-4"/>
        </w:rPr>
        <w:t>their</w:t>
      </w:r>
      <w:r>
        <w:rPr>
          <w:spacing w:val="-9"/>
        </w:rPr>
        <w:t> </w:t>
      </w:r>
      <w:r>
        <w:rPr>
          <w:spacing w:val="-4"/>
        </w:rPr>
        <w:t>modernisation, </w:t>
      </w:r>
      <w:r>
        <w:rPr/>
        <w:t>as</w:t>
      </w:r>
      <w:r>
        <w:rPr>
          <w:spacing w:val="-1"/>
        </w:rPr>
        <w:t> </w:t>
      </w:r>
      <w:r>
        <w:rPr/>
        <w:t>according</w:t>
      </w:r>
      <w:r>
        <w:rPr>
          <w:spacing w:val="-1"/>
        </w:rPr>
        <w:t> </w:t>
      </w:r>
      <w:r>
        <w:rPr/>
        <w:t>to</w:t>
      </w:r>
      <w:r>
        <w:rPr>
          <w:spacing w:val="-1"/>
        </w:rPr>
        <w:t> </w:t>
      </w:r>
      <w:r>
        <w:rPr/>
        <w:t>the</w:t>
      </w:r>
      <w:r>
        <w:rPr>
          <w:spacing w:val="-1"/>
        </w:rPr>
        <w:t> </w:t>
      </w:r>
      <w:r>
        <w:rPr/>
        <w:t>Sachar</w:t>
      </w:r>
      <w:r>
        <w:rPr>
          <w:spacing w:val="-1"/>
        </w:rPr>
        <w:t> </w:t>
      </w:r>
      <w:r>
        <w:rPr/>
        <w:t>Committee</w:t>
      </w:r>
      <w:r>
        <w:rPr>
          <w:spacing w:val="-1"/>
        </w:rPr>
        <w:t> </w:t>
      </w:r>
      <w:r>
        <w:rPr/>
        <w:t>Report,</w:t>
      </w:r>
      <w:r>
        <w:rPr>
          <w:spacing w:val="-1"/>
        </w:rPr>
        <w:t> </w:t>
      </w:r>
      <w:r>
        <w:rPr/>
        <w:t>96</w:t>
      </w:r>
      <w:r>
        <w:rPr>
          <w:spacing w:val="-1"/>
        </w:rPr>
        <w:t> </w:t>
      </w:r>
      <w:r>
        <w:rPr/>
        <w:t>per cent of Muslim children do not attend madrasas for schooling. Indeed, if the modernisation of madrasa education is the only policy for increasing access for Muslim school children to modernised education, it will only result in their being further isolated.</w:t>
      </w:r>
    </w:p>
    <w:p>
      <w:pPr>
        <w:pStyle w:val="BodyText"/>
        <w:spacing w:before="20"/>
      </w:pPr>
    </w:p>
    <w:p>
      <w:pPr>
        <w:pStyle w:val="BodyText"/>
        <w:spacing w:line="266" w:lineRule="auto"/>
        <w:ind w:left="319" w:right="1077"/>
        <w:jc w:val="both"/>
      </w:pPr>
      <w:r>
        <w:rPr>
          <w:spacing w:val="-4"/>
        </w:rPr>
        <w:t>It</w:t>
      </w:r>
      <w:r>
        <w:rPr>
          <w:spacing w:val="-10"/>
        </w:rPr>
        <w:t> </w:t>
      </w:r>
      <w:r>
        <w:rPr>
          <w:spacing w:val="-4"/>
        </w:rPr>
        <w:t>is</w:t>
      </w:r>
      <w:r>
        <w:rPr>
          <w:spacing w:val="-10"/>
        </w:rPr>
        <w:t> </w:t>
      </w:r>
      <w:r>
        <w:rPr>
          <w:spacing w:val="-4"/>
        </w:rPr>
        <w:t>important</w:t>
      </w:r>
      <w:r>
        <w:rPr>
          <w:spacing w:val="-10"/>
        </w:rPr>
        <w:t> </w:t>
      </w:r>
      <w:r>
        <w:rPr>
          <w:spacing w:val="-4"/>
        </w:rPr>
        <w:t>to</w:t>
      </w:r>
      <w:r>
        <w:rPr>
          <w:spacing w:val="-9"/>
        </w:rPr>
        <w:t> </w:t>
      </w:r>
      <w:r>
        <w:rPr>
          <w:spacing w:val="-4"/>
        </w:rPr>
        <w:t>ensure</w:t>
      </w:r>
      <w:r>
        <w:rPr>
          <w:spacing w:val="-10"/>
        </w:rPr>
        <w:t> </w:t>
      </w:r>
      <w:r>
        <w:rPr>
          <w:spacing w:val="-4"/>
        </w:rPr>
        <w:t>that</w:t>
      </w:r>
      <w:r>
        <w:rPr>
          <w:spacing w:val="-10"/>
        </w:rPr>
        <w:t> </w:t>
      </w:r>
      <w:r>
        <w:rPr>
          <w:spacing w:val="-4"/>
        </w:rPr>
        <w:t>children</w:t>
      </w:r>
      <w:r>
        <w:rPr>
          <w:spacing w:val="-10"/>
        </w:rPr>
        <w:t> </w:t>
      </w:r>
      <w:r>
        <w:rPr>
          <w:spacing w:val="-4"/>
        </w:rPr>
        <w:t>from</w:t>
      </w:r>
      <w:r>
        <w:rPr>
          <w:spacing w:val="-9"/>
        </w:rPr>
        <w:t> </w:t>
      </w:r>
      <w:r>
        <w:rPr>
          <w:spacing w:val="-4"/>
        </w:rPr>
        <w:t>all</w:t>
      </w:r>
      <w:r>
        <w:rPr>
          <w:spacing w:val="-10"/>
        </w:rPr>
        <w:t> </w:t>
      </w:r>
      <w:r>
        <w:rPr>
          <w:spacing w:val="-4"/>
        </w:rPr>
        <w:t>minorities </w:t>
      </w:r>
      <w:r>
        <w:rPr/>
        <w:t>and socially deprived groups are not discriminated </w:t>
      </w:r>
      <w:r>
        <w:rPr>
          <w:spacing w:val="-2"/>
        </w:rPr>
        <w:t>against</w:t>
      </w:r>
      <w:r>
        <w:rPr>
          <w:spacing w:val="-12"/>
        </w:rPr>
        <w:t> </w:t>
      </w:r>
      <w:r>
        <w:rPr>
          <w:spacing w:val="-2"/>
        </w:rPr>
        <w:t>in</w:t>
      </w:r>
      <w:r>
        <w:rPr>
          <w:spacing w:val="-12"/>
        </w:rPr>
        <w:t> </w:t>
      </w:r>
      <w:r>
        <w:rPr>
          <w:spacing w:val="-2"/>
        </w:rPr>
        <w:t>the</w:t>
      </w:r>
      <w:r>
        <w:rPr>
          <w:spacing w:val="-12"/>
        </w:rPr>
        <w:t> </w:t>
      </w:r>
      <w:r>
        <w:rPr>
          <w:spacing w:val="-2"/>
        </w:rPr>
        <w:t>process</w:t>
      </w:r>
      <w:r>
        <w:rPr>
          <w:spacing w:val="-11"/>
        </w:rPr>
        <w:t> </w:t>
      </w:r>
      <w:r>
        <w:rPr>
          <w:spacing w:val="-2"/>
        </w:rPr>
        <w:t>of</w:t>
      </w:r>
      <w:r>
        <w:rPr>
          <w:spacing w:val="-12"/>
        </w:rPr>
        <w:t> </w:t>
      </w:r>
      <w:r>
        <w:rPr>
          <w:spacing w:val="-2"/>
        </w:rPr>
        <w:t>attending</w:t>
      </w:r>
      <w:r>
        <w:rPr>
          <w:spacing w:val="-12"/>
        </w:rPr>
        <w:t> </w:t>
      </w:r>
      <w:r>
        <w:rPr>
          <w:spacing w:val="-2"/>
        </w:rPr>
        <w:t>school.</w:t>
      </w:r>
      <w:r>
        <w:rPr>
          <w:spacing w:val="-12"/>
        </w:rPr>
        <w:t> </w:t>
      </w:r>
      <w:r>
        <w:rPr>
          <w:spacing w:val="-2"/>
        </w:rPr>
        <w:t>This</w:t>
      </w:r>
      <w:r>
        <w:rPr>
          <w:spacing w:val="-11"/>
        </w:rPr>
        <w:t> </w:t>
      </w:r>
      <w:r>
        <w:rPr>
          <w:spacing w:val="-2"/>
        </w:rPr>
        <w:t>must</w:t>
      </w:r>
      <w:r>
        <w:rPr>
          <w:spacing w:val="-12"/>
        </w:rPr>
        <w:t> </w:t>
      </w:r>
      <w:r>
        <w:rPr>
          <w:spacing w:val="-2"/>
        </w:rPr>
        <w:t>be an</w:t>
      </w:r>
      <w:r>
        <w:rPr>
          <w:spacing w:val="-12"/>
        </w:rPr>
        <w:t> </w:t>
      </w:r>
      <w:r>
        <w:rPr>
          <w:spacing w:val="-2"/>
        </w:rPr>
        <w:t>active</w:t>
      </w:r>
      <w:r>
        <w:rPr>
          <w:spacing w:val="-12"/>
        </w:rPr>
        <w:t> </w:t>
      </w:r>
      <w:r>
        <w:rPr>
          <w:spacing w:val="-2"/>
        </w:rPr>
        <w:t>and</w:t>
      </w:r>
      <w:r>
        <w:rPr>
          <w:spacing w:val="-12"/>
        </w:rPr>
        <w:t> </w:t>
      </w:r>
      <w:r>
        <w:rPr>
          <w:spacing w:val="-2"/>
        </w:rPr>
        <w:t>concerted</w:t>
      </w:r>
      <w:r>
        <w:rPr>
          <w:spacing w:val="-11"/>
        </w:rPr>
        <w:t> </w:t>
      </w:r>
      <w:r>
        <w:rPr>
          <w:spacing w:val="-2"/>
        </w:rPr>
        <w:t>campaign,</w:t>
      </w:r>
      <w:r>
        <w:rPr>
          <w:spacing w:val="-12"/>
        </w:rPr>
        <w:t> </w:t>
      </w:r>
      <w:r>
        <w:rPr>
          <w:spacing w:val="-2"/>
        </w:rPr>
        <w:t>in</w:t>
      </w:r>
      <w:r>
        <w:rPr>
          <w:spacing w:val="-12"/>
        </w:rPr>
        <w:t> </w:t>
      </w:r>
      <w:r>
        <w:rPr>
          <w:spacing w:val="-2"/>
        </w:rPr>
        <w:t>which</w:t>
      </w:r>
      <w:r>
        <w:rPr>
          <w:spacing w:val="-12"/>
        </w:rPr>
        <w:t> </w:t>
      </w:r>
      <w:r>
        <w:rPr>
          <w:spacing w:val="-2"/>
        </w:rPr>
        <w:t>syllabi</w:t>
      </w:r>
      <w:r>
        <w:rPr>
          <w:spacing w:val="-11"/>
        </w:rPr>
        <w:t> </w:t>
      </w:r>
      <w:r>
        <w:rPr>
          <w:spacing w:val="-2"/>
        </w:rPr>
        <w:t>and curriculum</w:t>
      </w:r>
      <w:r>
        <w:rPr>
          <w:spacing w:val="-12"/>
        </w:rPr>
        <w:t> </w:t>
      </w:r>
      <w:r>
        <w:rPr>
          <w:spacing w:val="-2"/>
        </w:rPr>
        <w:t>are</w:t>
      </w:r>
      <w:r>
        <w:rPr>
          <w:spacing w:val="-12"/>
        </w:rPr>
        <w:t> </w:t>
      </w:r>
      <w:r>
        <w:rPr>
          <w:spacing w:val="-2"/>
        </w:rPr>
        <w:t>checked</w:t>
      </w:r>
      <w:r>
        <w:rPr>
          <w:spacing w:val="-12"/>
        </w:rPr>
        <w:t> </w:t>
      </w:r>
      <w:r>
        <w:rPr>
          <w:spacing w:val="-2"/>
        </w:rPr>
        <w:t>to</w:t>
      </w:r>
      <w:r>
        <w:rPr>
          <w:spacing w:val="-11"/>
        </w:rPr>
        <w:t> </w:t>
      </w:r>
      <w:r>
        <w:rPr>
          <w:spacing w:val="-2"/>
        </w:rPr>
        <w:t>avoid</w:t>
      </w:r>
      <w:r>
        <w:rPr>
          <w:spacing w:val="-12"/>
        </w:rPr>
        <w:t> </w:t>
      </w:r>
      <w:r>
        <w:rPr>
          <w:spacing w:val="-2"/>
        </w:rPr>
        <w:t>prejudice,</w:t>
      </w:r>
      <w:r>
        <w:rPr>
          <w:spacing w:val="-12"/>
        </w:rPr>
        <w:t> </w:t>
      </w:r>
      <w:r>
        <w:rPr>
          <w:spacing w:val="-2"/>
        </w:rPr>
        <w:t>teachers</w:t>
      </w:r>
      <w:r>
        <w:rPr>
          <w:spacing w:val="-12"/>
        </w:rPr>
        <w:t> </w:t>
      </w:r>
      <w:r>
        <w:rPr>
          <w:spacing w:val="-2"/>
        </w:rPr>
        <w:t>are </w:t>
      </w:r>
      <w:r>
        <w:rPr>
          <w:spacing w:val="-4"/>
        </w:rPr>
        <w:t>sensitised and instances of discrimination are punished. </w:t>
      </w:r>
      <w:r>
        <w:rPr>
          <w:spacing w:val="-6"/>
        </w:rPr>
        <w:t>This also requires grievance redressal mechanisms at the </w:t>
      </w:r>
      <w:r>
        <w:rPr/>
        <w:t>school</w:t>
      </w:r>
      <w:r>
        <w:rPr>
          <w:spacing w:val="-9"/>
        </w:rPr>
        <w:t> </w:t>
      </w:r>
      <w:r>
        <w:rPr/>
        <w:t>level</w:t>
      </w:r>
      <w:r>
        <w:rPr>
          <w:spacing w:val="-9"/>
        </w:rPr>
        <w:t> </w:t>
      </w:r>
      <w:r>
        <w:rPr/>
        <w:t>and</w:t>
      </w:r>
      <w:r>
        <w:rPr>
          <w:spacing w:val="-9"/>
        </w:rPr>
        <w:t> </w:t>
      </w:r>
      <w:r>
        <w:rPr/>
        <w:t>also</w:t>
      </w:r>
      <w:r>
        <w:rPr>
          <w:spacing w:val="-9"/>
        </w:rPr>
        <w:t> </w:t>
      </w:r>
      <w:r>
        <w:rPr/>
        <w:t>at</w:t>
      </w:r>
      <w:r>
        <w:rPr>
          <w:spacing w:val="-9"/>
        </w:rPr>
        <w:t> </w:t>
      </w:r>
      <w:r>
        <w:rPr/>
        <w:t>higher</w:t>
      </w:r>
      <w:r>
        <w:rPr>
          <w:spacing w:val="-9"/>
        </w:rPr>
        <w:t> </w:t>
      </w:r>
      <w:r>
        <w:rPr/>
        <w:t>levels.</w:t>
      </w:r>
    </w:p>
    <w:p>
      <w:pPr>
        <w:pStyle w:val="Heading7"/>
        <w:numPr>
          <w:ilvl w:val="1"/>
          <w:numId w:val="14"/>
        </w:numPr>
        <w:tabs>
          <w:tab w:pos="724" w:val="left" w:leader="none"/>
          <w:tab w:pos="726" w:val="left" w:leader="none"/>
        </w:tabs>
        <w:spacing w:line="225" w:lineRule="auto" w:before="251" w:after="0"/>
        <w:ind w:left="726" w:right="1081" w:hanging="408"/>
        <w:jc w:val="left"/>
      </w:pPr>
      <w:r>
        <w:rPr>
          <w:color w:val="2E614A"/>
          <w:spacing w:val="-2"/>
        </w:rPr>
        <w:t>The</w:t>
      </w:r>
      <w:r>
        <w:rPr>
          <w:color w:val="2E614A"/>
          <w:spacing w:val="-15"/>
        </w:rPr>
        <w:t> </w:t>
      </w:r>
      <w:r>
        <w:rPr>
          <w:color w:val="2E614A"/>
          <w:spacing w:val="-2"/>
        </w:rPr>
        <w:t>access</w:t>
      </w:r>
      <w:r>
        <w:rPr>
          <w:color w:val="2E614A"/>
          <w:spacing w:val="-14"/>
        </w:rPr>
        <w:t> </w:t>
      </w:r>
      <w:r>
        <w:rPr>
          <w:color w:val="2E614A"/>
          <w:spacing w:val="-2"/>
        </w:rPr>
        <w:t>of</w:t>
      </w:r>
      <w:r>
        <w:rPr>
          <w:color w:val="2E614A"/>
          <w:spacing w:val="-14"/>
        </w:rPr>
        <w:t> </w:t>
      </w:r>
      <w:r>
        <w:rPr>
          <w:color w:val="2E614A"/>
          <w:spacing w:val="-2"/>
        </w:rPr>
        <w:t>children</w:t>
      </w:r>
      <w:r>
        <w:rPr>
          <w:color w:val="2E614A"/>
          <w:spacing w:val="-14"/>
        </w:rPr>
        <w:t> </w:t>
      </w:r>
      <w:r>
        <w:rPr>
          <w:color w:val="2E614A"/>
          <w:spacing w:val="-2"/>
        </w:rPr>
        <w:t>from</w:t>
      </w:r>
      <w:r>
        <w:rPr>
          <w:color w:val="2E614A"/>
          <w:spacing w:val="-15"/>
        </w:rPr>
        <w:t> </w:t>
      </w:r>
      <w:r>
        <w:rPr>
          <w:color w:val="2E614A"/>
          <w:spacing w:val="-2"/>
        </w:rPr>
        <w:t>Scheduled </w:t>
      </w:r>
      <w:r>
        <w:rPr>
          <w:color w:val="2E614A"/>
          <w:w w:val="90"/>
        </w:rPr>
        <w:t>Tribes requires more flexible and </w:t>
      </w:r>
      <w:r>
        <w:rPr>
          <w:color w:val="2E614A"/>
          <w:w w:val="90"/>
        </w:rPr>
        <w:t>sensitive </w:t>
      </w:r>
      <w:r>
        <w:rPr>
          <w:color w:val="2E614A"/>
        </w:rPr>
        <w:t>schooling</w:t>
      </w:r>
      <w:r>
        <w:rPr>
          <w:color w:val="2E614A"/>
          <w:spacing w:val="-1"/>
        </w:rPr>
        <w:t> </w:t>
      </w:r>
      <w:r>
        <w:rPr>
          <w:color w:val="2E614A"/>
        </w:rPr>
        <w:t>strategies.</w:t>
      </w:r>
    </w:p>
    <w:p>
      <w:pPr>
        <w:pStyle w:val="BodyText"/>
        <w:rPr>
          <w:b/>
          <w:sz w:val="26"/>
        </w:rPr>
      </w:pPr>
    </w:p>
    <w:p>
      <w:pPr>
        <w:pStyle w:val="BodyText"/>
        <w:spacing w:line="266" w:lineRule="auto" w:before="1"/>
        <w:ind w:left="319" w:right="1077"/>
        <w:jc w:val="both"/>
      </w:pPr>
      <w:r>
        <w:rPr>
          <w:spacing w:val="-8"/>
        </w:rPr>
        <w:t>Tribal</w:t>
      </w:r>
      <w:r>
        <w:rPr/>
        <w:t> </w:t>
      </w:r>
      <w:r>
        <w:rPr>
          <w:spacing w:val="-8"/>
        </w:rPr>
        <w:t>children</w:t>
      </w:r>
      <w:r>
        <w:rPr/>
        <w:t> </w:t>
      </w:r>
      <w:r>
        <w:rPr>
          <w:spacing w:val="-8"/>
        </w:rPr>
        <w:t>face</w:t>
      </w:r>
      <w:r>
        <w:rPr/>
        <w:t> </w:t>
      </w:r>
      <w:r>
        <w:rPr>
          <w:spacing w:val="-8"/>
        </w:rPr>
        <w:t>problems</w:t>
      </w:r>
      <w:r>
        <w:rPr/>
        <w:t> </w:t>
      </w:r>
      <w:r>
        <w:rPr>
          <w:spacing w:val="-8"/>
        </w:rPr>
        <w:t>of</w:t>
      </w:r>
      <w:r>
        <w:rPr/>
        <w:t> </w:t>
      </w:r>
      <w:r>
        <w:rPr>
          <w:spacing w:val="-8"/>
        </w:rPr>
        <w:t>inadequate</w:t>
      </w:r>
      <w:r>
        <w:rPr/>
        <w:t> </w:t>
      </w:r>
      <w:r>
        <w:rPr>
          <w:spacing w:val="-8"/>
        </w:rPr>
        <w:t>geographical </w:t>
      </w:r>
      <w:r>
        <w:rPr>
          <w:spacing w:val="-4"/>
        </w:rPr>
        <w:t>access, discrimination at school and issues of </w:t>
      </w:r>
      <w:r>
        <w:rPr>
          <w:spacing w:val="-4"/>
        </w:rPr>
        <w:t>language, </w:t>
      </w:r>
      <w:r>
        <w:rPr/>
        <w:t>which have been discussed earlier but are especially </w:t>
      </w:r>
      <w:r>
        <w:rPr>
          <w:spacing w:val="-4"/>
        </w:rPr>
        <w:t>relevant in these cases.</w:t>
      </w:r>
      <w:r>
        <w:rPr>
          <w:spacing w:val="-10"/>
        </w:rPr>
        <w:t> </w:t>
      </w:r>
      <w:r>
        <w:rPr>
          <w:spacing w:val="-4"/>
        </w:rPr>
        <w:t>Tribal students have to compete </w:t>
      </w:r>
      <w:r>
        <w:rPr>
          <w:spacing w:val="-2"/>
        </w:rPr>
        <w:t>with</w:t>
      </w:r>
      <w:r>
        <w:rPr>
          <w:spacing w:val="-12"/>
        </w:rPr>
        <w:t> </w:t>
      </w:r>
      <w:r>
        <w:rPr>
          <w:spacing w:val="-2"/>
        </w:rPr>
        <w:t>SC</w:t>
      </w:r>
      <w:r>
        <w:rPr>
          <w:spacing w:val="-12"/>
        </w:rPr>
        <w:t> </w:t>
      </w:r>
      <w:r>
        <w:rPr>
          <w:spacing w:val="-2"/>
        </w:rPr>
        <w:t>students,</w:t>
      </w:r>
      <w:r>
        <w:rPr>
          <w:spacing w:val="-12"/>
        </w:rPr>
        <w:t> </w:t>
      </w:r>
      <w:r>
        <w:rPr>
          <w:spacing w:val="-2"/>
        </w:rPr>
        <w:t>often</w:t>
      </w:r>
      <w:r>
        <w:rPr>
          <w:spacing w:val="-11"/>
        </w:rPr>
        <w:t> </w:t>
      </w:r>
      <w:r>
        <w:rPr>
          <w:spacing w:val="-2"/>
        </w:rPr>
        <w:t>at</w:t>
      </w:r>
      <w:r>
        <w:rPr>
          <w:spacing w:val="-12"/>
        </w:rPr>
        <w:t> </w:t>
      </w:r>
      <w:r>
        <w:rPr>
          <w:spacing w:val="-2"/>
        </w:rPr>
        <w:t>a</w:t>
      </w:r>
      <w:r>
        <w:rPr>
          <w:spacing w:val="-12"/>
        </w:rPr>
        <w:t> </w:t>
      </w:r>
      <w:r>
        <w:rPr>
          <w:spacing w:val="-2"/>
        </w:rPr>
        <w:t>disadvantage</w:t>
      </w:r>
      <w:r>
        <w:rPr>
          <w:spacing w:val="-12"/>
        </w:rPr>
        <w:t> </w:t>
      </w:r>
      <w:r>
        <w:rPr>
          <w:spacing w:val="-2"/>
        </w:rPr>
        <w:t>to</w:t>
      </w:r>
      <w:r>
        <w:rPr>
          <w:spacing w:val="-11"/>
        </w:rPr>
        <w:t> </w:t>
      </w:r>
      <w:r>
        <w:rPr>
          <w:spacing w:val="-2"/>
        </w:rPr>
        <w:t>the</w:t>
      </w:r>
      <w:r>
        <w:rPr>
          <w:spacing w:val="-12"/>
        </w:rPr>
        <w:t> </w:t>
      </w:r>
      <w:r>
        <w:rPr>
          <w:spacing w:val="-2"/>
        </w:rPr>
        <w:t>former. </w:t>
      </w:r>
      <w:r>
        <w:rPr>
          <w:w w:val="90"/>
        </w:rPr>
        <w:t>All of these must be addressed at the local level as well as </w:t>
      </w:r>
      <w:r>
        <w:rPr/>
        <w:t>at the district and state level.</w:t>
      </w:r>
    </w:p>
    <w:p>
      <w:pPr>
        <w:pStyle w:val="BodyText"/>
        <w:spacing w:before="21"/>
      </w:pPr>
    </w:p>
    <w:p>
      <w:pPr>
        <w:pStyle w:val="BodyText"/>
        <w:spacing w:line="266" w:lineRule="auto"/>
        <w:ind w:left="319" w:right="1077"/>
        <w:jc w:val="both"/>
      </w:pPr>
      <w:r>
        <w:rPr/>
        <w:t>Every</w:t>
      </w:r>
      <w:r>
        <w:rPr>
          <w:spacing w:val="-6"/>
        </w:rPr>
        <w:t> </w:t>
      </w:r>
      <w:r>
        <w:rPr/>
        <w:t>state</w:t>
      </w:r>
      <w:r>
        <w:rPr>
          <w:spacing w:val="-6"/>
        </w:rPr>
        <w:t> </w:t>
      </w:r>
      <w:r>
        <w:rPr/>
        <w:t>should</w:t>
      </w:r>
      <w:r>
        <w:rPr>
          <w:spacing w:val="-6"/>
        </w:rPr>
        <w:t> </w:t>
      </w:r>
      <w:r>
        <w:rPr/>
        <w:t>have</w:t>
      </w:r>
      <w:r>
        <w:rPr>
          <w:spacing w:val="-6"/>
        </w:rPr>
        <w:t> </w:t>
      </w:r>
      <w:r>
        <w:rPr/>
        <w:t>an</w:t>
      </w:r>
      <w:r>
        <w:rPr>
          <w:spacing w:val="-6"/>
        </w:rPr>
        <w:t> </w:t>
      </w:r>
      <w:r>
        <w:rPr/>
        <w:t>education</w:t>
      </w:r>
      <w:r>
        <w:rPr>
          <w:spacing w:val="-6"/>
        </w:rPr>
        <w:t> </w:t>
      </w:r>
      <w:r>
        <w:rPr/>
        <w:t>policy</w:t>
      </w:r>
      <w:r>
        <w:rPr>
          <w:spacing w:val="-6"/>
        </w:rPr>
        <w:t> </w:t>
      </w:r>
      <w:r>
        <w:rPr/>
        <w:t>for</w:t>
      </w:r>
      <w:r>
        <w:rPr>
          <w:spacing w:val="-6"/>
        </w:rPr>
        <w:t> </w:t>
      </w:r>
      <w:r>
        <w:rPr/>
        <w:t>tribal and minority education, with a long term vision of eventual integration into the mainstream.</w:t>
      </w:r>
    </w:p>
    <w:p>
      <w:pPr>
        <w:pStyle w:val="BodyText"/>
        <w:spacing w:before="24"/>
      </w:pPr>
    </w:p>
    <w:p>
      <w:pPr>
        <w:pStyle w:val="BodyText"/>
        <w:spacing w:line="266" w:lineRule="auto"/>
        <w:ind w:left="319" w:right="1077"/>
        <w:jc w:val="both"/>
      </w:pPr>
      <w:r>
        <w:rPr/>
        <w:t>Rather</w:t>
      </w:r>
      <w:r>
        <w:rPr>
          <w:spacing w:val="-5"/>
        </w:rPr>
        <w:t> </w:t>
      </w:r>
      <w:r>
        <w:rPr/>
        <w:t>than</w:t>
      </w:r>
      <w:r>
        <w:rPr>
          <w:spacing w:val="-5"/>
        </w:rPr>
        <w:t> </w:t>
      </w:r>
      <w:r>
        <w:rPr/>
        <w:t>setting</w:t>
      </w:r>
      <w:r>
        <w:rPr>
          <w:spacing w:val="-5"/>
        </w:rPr>
        <w:t> </w:t>
      </w:r>
      <w:r>
        <w:rPr/>
        <w:t>up</w:t>
      </w:r>
      <w:r>
        <w:rPr>
          <w:spacing w:val="-5"/>
        </w:rPr>
        <w:t> </w:t>
      </w:r>
      <w:r>
        <w:rPr/>
        <w:t>separate</w:t>
      </w:r>
      <w:r>
        <w:rPr>
          <w:spacing w:val="-5"/>
        </w:rPr>
        <w:t> </w:t>
      </w:r>
      <w:r>
        <w:rPr/>
        <w:t>schools</w:t>
      </w:r>
      <w:r>
        <w:rPr>
          <w:spacing w:val="-5"/>
        </w:rPr>
        <w:t> </w:t>
      </w:r>
      <w:r>
        <w:rPr/>
        <w:t>for</w:t>
      </w:r>
      <w:r>
        <w:rPr>
          <w:spacing w:val="-5"/>
        </w:rPr>
        <w:t> </w:t>
      </w:r>
      <w:r>
        <w:rPr/>
        <w:t>those</w:t>
      </w:r>
      <w:r>
        <w:rPr>
          <w:spacing w:val="-5"/>
        </w:rPr>
        <w:t> </w:t>
      </w:r>
      <w:r>
        <w:rPr/>
        <w:t>who have dropped out because they felt discriminated against, teachers should be better sensitised to the </w:t>
      </w:r>
      <w:r>
        <w:rPr>
          <w:spacing w:val="-4"/>
        </w:rPr>
        <w:t>needs</w:t>
      </w:r>
      <w:r>
        <w:rPr>
          <w:spacing w:val="-10"/>
        </w:rPr>
        <w:t> </w:t>
      </w:r>
      <w:r>
        <w:rPr>
          <w:spacing w:val="-4"/>
        </w:rPr>
        <w:t>of</w:t>
      </w:r>
      <w:r>
        <w:rPr>
          <w:spacing w:val="-10"/>
        </w:rPr>
        <w:t> </w:t>
      </w:r>
      <w:r>
        <w:rPr>
          <w:spacing w:val="-4"/>
        </w:rPr>
        <w:t>students</w:t>
      </w:r>
      <w:r>
        <w:rPr>
          <w:spacing w:val="-10"/>
        </w:rPr>
        <w:t> </w:t>
      </w:r>
      <w:r>
        <w:rPr>
          <w:spacing w:val="-4"/>
        </w:rPr>
        <w:t>from</w:t>
      </w:r>
      <w:r>
        <w:rPr>
          <w:spacing w:val="-9"/>
        </w:rPr>
        <w:t> </w:t>
      </w:r>
      <w:r>
        <w:rPr>
          <w:spacing w:val="-4"/>
        </w:rPr>
        <w:t>such</w:t>
      </w:r>
      <w:r>
        <w:rPr>
          <w:spacing w:val="-10"/>
        </w:rPr>
        <w:t> </w:t>
      </w:r>
      <w:r>
        <w:rPr>
          <w:spacing w:val="-4"/>
        </w:rPr>
        <w:t>communities,</w:t>
      </w:r>
      <w:r>
        <w:rPr>
          <w:spacing w:val="-10"/>
        </w:rPr>
        <w:t> </w:t>
      </w:r>
      <w:r>
        <w:rPr>
          <w:spacing w:val="-4"/>
        </w:rPr>
        <w:t>as</w:t>
      </w:r>
      <w:r>
        <w:rPr>
          <w:spacing w:val="-10"/>
        </w:rPr>
        <w:t> </w:t>
      </w:r>
      <w:r>
        <w:rPr>
          <w:spacing w:val="-4"/>
        </w:rPr>
        <w:t>well</w:t>
      </w:r>
      <w:r>
        <w:rPr>
          <w:spacing w:val="-9"/>
        </w:rPr>
        <w:t> </w:t>
      </w:r>
      <w:r>
        <w:rPr>
          <w:spacing w:val="-4"/>
        </w:rPr>
        <w:t>as</w:t>
      </w:r>
      <w:r>
        <w:rPr>
          <w:spacing w:val="-10"/>
        </w:rPr>
        <w:t> </w:t>
      </w:r>
      <w:r>
        <w:rPr>
          <w:spacing w:val="-4"/>
        </w:rPr>
        <w:t>the </w:t>
      </w:r>
      <w:r>
        <w:rPr/>
        <w:t>particular</w:t>
      </w:r>
      <w:r>
        <w:rPr>
          <w:spacing w:val="-3"/>
        </w:rPr>
        <w:t> </w:t>
      </w:r>
      <w:r>
        <w:rPr/>
        <w:t>needs</w:t>
      </w:r>
      <w:r>
        <w:rPr>
          <w:spacing w:val="-3"/>
        </w:rPr>
        <w:t> </w:t>
      </w:r>
      <w:r>
        <w:rPr/>
        <w:t>of</w:t>
      </w:r>
      <w:r>
        <w:rPr>
          <w:spacing w:val="-3"/>
        </w:rPr>
        <w:t> </w:t>
      </w:r>
      <w:r>
        <w:rPr/>
        <w:t>first</w:t>
      </w:r>
      <w:r>
        <w:rPr>
          <w:spacing w:val="-3"/>
        </w:rPr>
        <w:t> </w:t>
      </w:r>
      <w:r>
        <w:rPr/>
        <w:t>generation</w:t>
      </w:r>
      <w:r>
        <w:rPr>
          <w:spacing w:val="-3"/>
        </w:rPr>
        <w:t> </w:t>
      </w:r>
      <w:r>
        <w:rPr/>
        <w:t>learners.</w:t>
      </w:r>
    </w:p>
    <w:p>
      <w:pPr>
        <w:pStyle w:val="BodyText"/>
        <w:spacing w:before="23"/>
      </w:pPr>
    </w:p>
    <w:p>
      <w:pPr>
        <w:pStyle w:val="BodyText"/>
        <w:spacing w:line="266" w:lineRule="auto"/>
        <w:ind w:left="319" w:right="1077"/>
        <w:jc w:val="both"/>
      </w:pPr>
      <w:r>
        <w:rPr>
          <w:spacing w:val="-2"/>
        </w:rPr>
        <w:t>The</w:t>
      </w:r>
      <w:r>
        <w:rPr>
          <w:spacing w:val="-11"/>
        </w:rPr>
        <w:t> </w:t>
      </w:r>
      <w:r>
        <w:rPr>
          <w:spacing w:val="-2"/>
        </w:rPr>
        <w:t>issue</w:t>
      </w:r>
      <w:r>
        <w:rPr>
          <w:spacing w:val="-11"/>
        </w:rPr>
        <w:t> </w:t>
      </w:r>
      <w:r>
        <w:rPr>
          <w:spacing w:val="-2"/>
        </w:rPr>
        <w:t>of</w:t>
      </w:r>
      <w:r>
        <w:rPr>
          <w:spacing w:val="-11"/>
        </w:rPr>
        <w:t> </w:t>
      </w:r>
      <w:r>
        <w:rPr>
          <w:spacing w:val="-2"/>
        </w:rPr>
        <w:t>language</w:t>
      </w:r>
      <w:r>
        <w:rPr>
          <w:spacing w:val="-11"/>
        </w:rPr>
        <w:t> </w:t>
      </w:r>
      <w:r>
        <w:rPr>
          <w:spacing w:val="-2"/>
        </w:rPr>
        <w:t>is</w:t>
      </w:r>
      <w:r>
        <w:rPr>
          <w:spacing w:val="-11"/>
        </w:rPr>
        <w:t> </w:t>
      </w:r>
      <w:r>
        <w:rPr>
          <w:spacing w:val="-2"/>
        </w:rPr>
        <w:t>particularly</w:t>
      </w:r>
      <w:r>
        <w:rPr>
          <w:spacing w:val="-11"/>
        </w:rPr>
        <w:t> </w:t>
      </w:r>
      <w:r>
        <w:rPr>
          <w:spacing w:val="-2"/>
        </w:rPr>
        <w:t>important</w:t>
      </w:r>
      <w:r>
        <w:rPr>
          <w:spacing w:val="-11"/>
        </w:rPr>
        <w:t> </w:t>
      </w:r>
      <w:r>
        <w:rPr>
          <w:spacing w:val="-2"/>
        </w:rPr>
        <w:t>in</w:t>
      </w:r>
      <w:r>
        <w:rPr>
          <w:spacing w:val="-11"/>
        </w:rPr>
        <w:t> </w:t>
      </w:r>
      <w:r>
        <w:rPr>
          <w:spacing w:val="-2"/>
        </w:rPr>
        <w:t>areas </w:t>
      </w:r>
      <w:r>
        <w:rPr/>
        <w:t>with</w:t>
      </w:r>
      <w:r>
        <w:rPr>
          <w:spacing w:val="-1"/>
        </w:rPr>
        <w:t> </w:t>
      </w:r>
      <w:r>
        <w:rPr/>
        <w:t>tribal</w:t>
      </w:r>
      <w:r>
        <w:rPr>
          <w:spacing w:val="-1"/>
        </w:rPr>
        <w:t> </w:t>
      </w:r>
      <w:r>
        <w:rPr/>
        <w:t>population,</w:t>
      </w:r>
      <w:r>
        <w:rPr>
          <w:spacing w:val="-1"/>
        </w:rPr>
        <w:t> </w:t>
      </w:r>
      <w:r>
        <w:rPr/>
        <w:t>and</w:t>
      </w:r>
      <w:r>
        <w:rPr>
          <w:spacing w:val="-1"/>
        </w:rPr>
        <w:t> </w:t>
      </w:r>
      <w:r>
        <w:rPr/>
        <w:t>care</w:t>
      </w:r>
      <w:r>
        <w:rPr>
          <w:spacing w:val="-1"/>
        </w:rPr>
        <w:t> </w:t>
      </w:r>
      <w:r>
        <w:rPr/>
        <w:t>must</w:t>
      </w:r>
      <w:r>
        <w:rPr>
          <w:spacing w:val="-1"/>
        </w:rPr>
        <w:t> </w:t>
      </w:r>
      <w:r>
        <w:rPr/>
        <w:t>be</w:t>
      </w:r>
      <w:r>
        <w:rPr>
          <w:spacing w:val="-1"/>
        </w:rPr>
        <w:t> </w:t>
      </w:r>
      <w:r>
        <w:rPr/>
        <w:t>taken</w:t>
      </w:r>
      <w:r>
        <w:rPr>
          <w:spacing w:val="-1"/>
        </w:rPr>
        <w:t> </w:t>
      </w:r>
      <w:r>
        <w:rPr/>
        <w:t>to</w:t>
      </w:r>
      <w:r>
        <w:rPr>
          <w:spacing w:val="-1"/>
        </w:rPr>
        <w:t> </w:t>
      </w:r>
      <w:r>
        <w:rPr/>
        <w:t>find and</w:t>
      </w:r>
      <w:r>
        <w:rPr>
          <w:spacing w:val="-2"/>
        </w:rPr>
        <w:t> </w:t>
      </w:r>
      <w:r>
        <w:rPr/>
        <w:t>train</w:t>
      </w:r>
      <w:r>
        <w:rPr>
          <w:spacing w:val="-2"/>
        </w:rPr>
        <w:t> </w:t>
      </w:r>
      <w:r>
        <w:rPr/>
        <w:t>teachers</w:t>
      </w:r>
      <w:r>
        <w:rPr>
          <w:spacing w:val="-2"/>
        </w:rPr>
        <w:t> </w:t>
      </w:r>
      <w:r>
        <w:rPr/>
        <w:t>who</w:t>
      </w:r>
      <w:r>
        <w:rPr>
          <w:spacing w:val="-2"/>
        </w:rPr>
        <w:t> </w:t>
      </w:r>
      <w:r>
        <w:rPr/>
        <w:t>can</w:t>
      </w:r>
      <w:r>
        <w:rPr>
          <w:spacing w:val="-2"/>
        </w:rPr>
        <w:t> </w:t>
      </w:r>
      <w:r>
        <w:rPr/>
        <w:t>deal</w:t>
      </w:r>
      <w:r>
        <w:rPr>
          <w:spacing w:val="-2"/>
        </w:rPr>
        <w:t> </w:t>
      </w:r>
      <w:r>
        <w:rPr/>
        <w:t>with</w:t>
      </w:r>
      <w:r>
        <w:rPr>
          <w:spacing w:val="-2"/>
        </w:rPr>
        <w:t> </w:t>
      </w:r>
      <w:r>
        <w:rPr/>
        <w:t>children</w:t>
      </w:r>
      <w:r>
        <w:rPr>
          <w:spacing w:val="-2"/>
        </w:rPr>
        <w:t> </w:t>
      </w:r>
      <w:r>
        <w:rPr/>
        <w:t>in</w:t>
      </w:r>
      <w:r>
        <w:rPr>
          <w:spacing w:val="-2"/>
        </w:rPr>
        <w:t> </w:t>
      </w:r>
      <w:r>
        <w:rPr/>
        <w:t>their </w:t>
      </w:r>
      <w:r>
        <w:rPr>
          <w:spacing w:val="-2"/>
        </w:rPr>
        <w:t>own</w:t>
      </w:r>
      <w:r>
        <w:rPr>
          <w:spacing w:val="-9"/>
        </w:rPr>
        <w:t> </w:t>
      </w:r>
      <w:r>
        <w:rPr>
          <w:spacing w:val="-2"/>
        </w:rPr>
        <w:t>language,</w:t>
      </w:r>
      <w:r>
        <w:rPr>
          <w:spacing w:val="-9"/>
        </w:rPr>
        <w:t> </w:t>
      </w:r>
      <w:r>
        <w:rPr>
          <w:spacing w:val="-2"/>
        </w:rPr>
        <w:t>rather</w:t>
      </w:r>
      <w:r>
        <w:rPr>
          <w:spacing w:val="-9"/>
        </w:rPr>
        <w:t> </w:t>
      </w:r>
      <w:r>
        <w:rPr>
          <w:spacing w:val="-2"/>
        </w:rPr>
        <w:t>than</w:t>
      </w:r>
      <w:r>
        <w:rPr>
          <w:spacing w:val="-9"/>
        </w:rPr>
        <w:t> </w:t>
      </w:r>
      <w:r>
        <w:rPr>
          <w:spacing w:val="-2"/>
        </w:rPr>
        <w:t>forcing</w:t>
      </w:r>
      <w:r>
        <w:rPr>
          <w:spacing w:val="-9"/>
        </w:rPr>
        <w:t> </w:t>
      </w:r>
      <w:r>
        <w:rPr>
          <w:spacing w:val="-2"/>
        </w:rPr>
        <w:t>them</w:t>
      </w:r>
      <w:r>
        <w:rPr>
          <w:spacing w:val="-9"/>
        </w:rPr>
        <w:t> </w:t>
      </w:r>
      <w:r>
        <w:rPr>
          <w:spacing w:val="-2"/>
        </w:rPr>
        <w:t>to</w:t>
      </w:r>
      <w:r>
        <w:rPr>
          <w:spacing w:val="-9"/>
        </w:rPr>
        <w:t> </w:t>
      </w:r>
      <w:r>
        <w:rPr>
          <w:spacing w:val="-2"/>
        </w:rPr>
        <w:t>adjust</w:t>
      </w:r>
      <w:r>
        <w:rPr>
          <w:spacing w:val="-9"/>
        </w:rPr>
        <w:t> </w:t>
      </w:r>
      <w:r>
        <w:rPr>
          <w:spacing w:val="-2"/>
        </w:rPr>
        <w:t>to</w:t>
      </w:r>
      <w:r>
        <w:rPr>
          <w:spacing w:val="-9"/>
        </w:rPr>
        <w:t> </w:t>
      </w:r>
      <w:r>
        <w:rPr>
          <w:spacing w:val="-2"/>
        </w:rPr>
        <w:t>the </w:t>
      </w:r>
      <w:r>
        <w:rPr/>
        <w:t>regional language.</w:t>
      </w:r>
    </w:p>
    <w:p>
      <w:pPr>
        <w:pStyle w:val="BodyText"/>
      </w:pPr>
    </w:p>
    <w:p>
      <w:pPr>
        <w:pStyle w:val="Heading7"/>
        <w:numPr>
          <w:ilvl w:val="1"/>
          <w:numId w:val="14"/>
        </w:numPr>
        <w:tabs>
          <w:tab w:pos="717" w:val="left" w:leader="none"/>
        </w:tabs>
        <w:spacing w:line="225" w:lineRule="auto" w:before="0" w:after="0"/>
        <w:ind w:left="717" w:right="1251" w:hanging="398"/>
        <w:jc w:val="left"/>
      </w:pPr>
      <w:r>
        <w:rPr>
          <w:color w:val="2E614A"/>
        </w:rPr>
        <w:t>Education</w:t>
      </w:r>
      <w:r>
        <w:rPr>
          <w:color w:val="2E614A"/>
          <w:spacing w:val="-17"/>
        </w:rPr>
        <w:t> </w:t>
      </w:r>
      <w:r>
        <w:rPr>
          <w:color w:val="2E614A"/>
        </w:rPr>
        <w:t>of</w:t>
      </w:r>
      <w:r>
        <w:rPr>
          <w:color w:val="2E614A"/>
          <w:spacing w:val="-16"/>
        </w:rPr>
        <w:t> </w:t>
      </w:r>
      <w:r>
        <w:rPr>
          <w:color w:val="2E614A"/>
        </w:rPr>
        <w:t>SC</w:t>
      </w:r>
      <w:r>
        <w:rPr>
          <w:color w:val="2E614A"/>
          <w:spacing w:val="-16"/>
        </w:rPr>
        <w:t> </w:t>
      </w:r>
      <w:r>
        <w:rPr>
          <w:color w:val="2E614A"/>
        </w:rPr>
        <w:t>children</w:t>
      </w:r>
      <w:r>
        <w:rPr>
          <w:color w:val="2E614A"/>
          <w:spacing w:val="-16"/>
        </w:rPr>
        <w:t> </w:t>
      </w:r>
      <w:r>
        <w:rPr>
          <w:color w:val="2E614A"/>
        </w:rPr>
        <w:t>must</w:t>
      </w:r>
      <w:r>
        <w:rPr>
          <w:color w:val="2E614A"/>
          <w:spacing w:val="-17"/>
        </w:rPr>
        <w:t> </w:t>
      </w:r>
      <w:r>
        <w:rPr>
          <w:color w:val="2E614A"/>
        </w:rPr>
        <w:t>be</w:t>
      </w:r>
      <w:r>
        <w:rPr>
          <w:color w:val="2E614A"/>
          <w:spacing w:val="-16"/>
        </w:rPr>
        <w:t> </w:t>
      </w:r>
      <w:r>
        <w:rPr>
          <w:color w:val="2E614A"/>
        </w:rPr>
        <w:t>a </w:t>
      </w:r>
      <w:r>
        <w:rPr>
          <w:color w:val="2E614A"/>
          <w:w w:val="90"/>
        </w:rPr>
        <w:t>priority, but with the required </w:t>
      </w:r>
      <w:r>
        <w:rPr>
          <w:color w:val="2E614A"/>
          <w:w w:val="90"/>
        </w:rPr>
        <w:t>flexibility </w:t>
      </w:r>
      <w:r>
        <w:rPr>
          <w:color w:val="2E614A"/>
          <w:spacing w:val="-2"/>
        </w:rPr>
        <w:t>and</w:t>
      </w:r>
      <w:r>
        <w:rPr>
          <w:color w:val="2E614A"/>
          <w:spacing w:val="-15"/>
        </w:rPr>
        <w:t> </w:t>
      </w:r>
      <w:r>
        <w:rPr>
          <w:color w:val="2E614A"/>
          <w:spacing w:val="-2"/>
        </w:rPr>
        <w:t>avoidance</w:t>
      </w:r>
      <w:r>
        <w:rPr>
          <w:color w:val="2E614A"/>
          <w:spacing w:val="-14"/>
        </w:rPr>
        <w:t> </w:t>
      </w:r>
      <w:r>
        <w:rPr>
          <w:color w:val="2E614A"/>
          <w:spacing w:val="-2"/>
        </w:rPr>
        <w:t>of</w:t>
      </w:r>
      <w:r>
        <w:rPr>
          <w:color w:val="2E614A"/>
          <w:spacing w:val="-14"/>
        </w:rPr>
        <w:t> </w:t>
      </w:r>
      <w:r>
        <w:rPr>
          <w:color w:val="2E614A"/>
          <w:spacing w:val="-2"/>
        </w:rPr>
        <w:t>discrimination.</w:t>
      </w:r>
    </w:p>
    <w:p>
      <w:pPr>
        <w:spacing w:after="0" w:line="225" w:lineRule="auto"/>
        <w:jc w:val="left"/>
        <w:sectPr>
          <w:pgSz w:w="11910" w:h="16840"/>
          <w:pgMar w:header="0" w:footer="675" w:top="960" w:bottom="860" w:left="0" w:right="0"/>
          <w:cols w:num="2" w:equalWidth="0">
            <w:col w:w="5774" w:space="40"/>
            <w:col w:w="6096"/>
          </w:cols>
        </w:sectPr>
      </w:pPr>
    </w:p>
    <w:p>
      <w:pPr>
        <w:pStyle w:val="BodyText"/>
        <w:spacing w:line="266" w:lineRule="auto" w:before="57"/>
        <w:ind w:left="1079"/>
        <w:jc w:val="both"/>
      </w:pPr>
      <w:r>
        <w:rPr/>
        <w:t>The</w:t>
      </w:r>
      <w:r>
        <w:rPr>
          <w:spacing w:val="-14"/>
        </w:rPr>
        <w:t> </w:t>
      </w:r>
      <w:r>
        <w:rPr/>
        <w:t>points</w:t>
      </w:r>
      <w:r>
        <w:rPr>
          <w:spacing w:val="-14"/>
        </w:rPr>
        <w:t> </w:t>
      </w:r>
      <w:r>
        <w:rPr/>
        <w:t>made</w:t>
      </w:r>
      <w:r>
        <w:rPr>
          <w:spacing w:val="-14"/>
        </w:rPr>
        <w:t> </w:t>
      </w:r>
      <w:r>
        <w:rPr/>
        <w:t>earlier</w:t>
      </w:r>
      <w:r>
        <w:rPr>
          <w:spacing w:val="-13"/>
        </w:rPr>
        <w:t> </w:t>
      </w:r>
      <w:r>
        <w:rPr/>
        <w:t>with</w:t>
      </w:r>
      <w:r>
        <w:rPr>
          <w:spacing w:val="-14"/>
        </w:rPr>
        <w:t> </w:t>
      </w:r>
      <w:r>
        <w:rPr/>
        <w:t>respect</w:t>
      </w:r>
      <w:r>
        <w:rPr>
          <w:spacing w:val="-14"/>
        </w:rPr>
        <w:t> </w:t>
      </w:r>
      <w:r>
        <w:rPr/>
        <w:t>to</w:t>
      </w:r>
      <w:r>
        <w:rPr>
          <w:spacing w:val="-14"/>
        </w:rPr>
        <w:t> </w:t>
      </w:r>
      <w:r>
        <w:rPr/>
        <w:t>discrimination are</w:t>
      </w:r>
      <w:r>
        <w:rPr>
          <w:spacing w:val="-5"/>
        </w:rPr>
        <w:t> </w:t>
      </w:r>
      <w:r>
        <w:rPr/>
        <w:t>especially</w:t>
      </w:r>
      <w:r>
        <w:rPr>
          <w:spacing w:val="-5"/>
        </w:rPr>
        <w:t> </w:t>
      </w:r>
      <w:r>
        <w:rPr/>
        <w:t>valid</w:t>
      </w:r>
      <w:r>
        <w:rPr>
          <w:spacing w:val="-5"/>
        </w:rPr>
        <w:t> </w:t>
      </w:r>
      <w:r>
        <w:rPr/>
        <w:t>also</w:t>
      </w:r>
      <w:r>
        <w:rPr>
          <w:spacing w:val="-5"/>
        </w:rPr>
        <w:t> </w:t>
      </w:r>
      <w:r>
        <w:rPr/>
        <w:t>for</w:t>
      </w:r>
      <w:r>
        <w:rPr>
          <w:spacing w:val="-5"/>
        </w:rPr>
        <w:t> </w:t>
      </w:r>
      <w:r>
        <w:rPr/>
        <w:t>SC</w:t>
      </w:r>
      <w:r>
        <w:rPr>
          <w:spacing w:val="-5"/>
        </w:rPr>
        <w:t> </w:t>
      </w:r>
      <w:r>
        <w:rPr/>
        <w:t>children,</w:t>
      </w:r>
      <w:r>
        <w:rPr>
          <w:spacing w:val="-5"/>
        </w:rPr>
        <w:t> </w:t>
      </w:r>
      <w:r>
        <w:rPr/>
        <w:t>and</w:t>
      </w:r>
      <w:r>
        <w:rPr>
          <w:spacing w:val="-5"/>
        </w:rPr>
        <w:t> </w:t>
      </w:r>
      <w:r>
        <w:rPr/>
        <w:t>must</w:t>
      </w:r>
      <w:r>
        <w:rPr>
          <w:spacing w:val="-5"/>
        </w:rPr>
        <w:t> </w:t>
      </w:r>
      <w:r>
        <w:rPr/>
        <w:t>be addressed in similar ways.</w:t>
      </w:r>
    </w:p>
    <w:p>
      <w:pPr>
        <w:pStyle w:val="BodyText"/>
        <w:spacing w:before="25"/>
      </w:pPr>
    </w:p>
    <w:p>
      <w:pPr>
        <w:pStyle w:val="BodyText"/>
        <w:spacing w:line="266" w:lineRule="auto"/>
        <w:ind w:left="1079"/>
        <w:jc w:val="both"/>
      </w:pPr>
      <w:r>
        <w:rPr/>
        <w:t>In addition, scholarships should be increased </w:t>
      </w:r>
      <w:r>
        <w:rPr/>
        <w:t>and provided to much larger numbers of Dalit children, </w:t>
      </w:r>
      <w:r>
        <w:rPr>
          <w:spacing w:val="-4"/>
        </w:rPr>
        <w:t>along</w:t>
      </w:r>
      <w:r>
        <w:rPr>
          <w:spacing w:val="-9"/>
        </w:rPr>
        <w:t> </w:t>
      </w:r>
      <w:r>
        <w:rPr>
          <w:spacing w:val="-4"/>
        </w:rPr>
        <w:t>with</w:t>
      </w:r>
      <w:r>
        <w:rPr>
          <w:spacing w:val="-9"/>
        </w:rPr>
        <w:t> </w:t>
      </w:r>
      <w:r>
        <w:rPr>
          <w:spacing w:val="-4"/>
        </w:rPr>
        <w:t>other</w:t>
      </w:r>
      <w:r>
        <w:rPr>
          <w:spacing w:val="-9"/>
        </w:rPr>
        <w:t> </w:t>
      </w:r>
      <w:r>
        <w:rPr>
          <w:spacing w:val="-4"/>
        </w:rPr>
        <w:t>provisions</w:t>
      </w:r>
      <w:r>
        <w:rPr>
          <w:spacing w:val="-9"/>
        </w:rPr>
        <w:t> </w:t>
      </w:r>
      <w:r>
        <w:rPr>
          <w:spacing w:val="-4"/>
        </w:rPr>
        <w:t>such</w:t>
      </w:r>
      <w:r>
        <w:rPr>
          <w:spacing w:val="-9"/>
        </w:rPr>
        <w:t> </w:t>
      </w:r>
      <w:r>
        <w:rPr>
          <w:spacing w:val="-4"/>
        </w:rPr>
        <w:t>as</w:t>
      </w:r>
      <w:r>
        <w:rPr>
          <w:spacing w:val="-9"/>
        </w:rPr>
        <w:t> </w:t>
      </w:r>
      <w:r>
        <w:rPr>
          <w:spacing w:val="-4"/>
        </w:rPr>
        <w:t>free</w:t>
      </w:r>
      <w:r>
        <w:rPr>
          <w:spacing w:val="-9"/>
        </w:rPr>
        <w:t> </w:t>
      </w:r>
      <w:r>
        <w:rPr>
          <w:spacing w:val="-4"/>
        </w:rPr>
        <w:t>textbooks</w:t>
      </w:r>
      <w:r>
        <w:rPr>
          <w:spacing w:val="-9"/>
        </w:rPr>
        <w:t> </w:t>
      </w:r>
      <w:r>
        <w:rPr>
          <w:spacing w:val="-4"/>
        </w:rPr>
        <w:t>up</w:t>
      </w:r>
      <w:r>
        <w:rPr>
          <w:spacing w:val="-9"/>
        </w:rPr>
        <w:t> </w:t>
      </w:r>
      <w:r>
        <w:rPr>
          <w:spacing w:val="-4"/>
        </w:rPr>
        <w:t>to </w:t>
      </w:r>
      <w:r>
        <w:rPr/>
        <w:t>Class X and other incentives.</w:t>
      </w:r>
    </w:p>
    <w:p>
      <w:pPr>
        <w:pStyle w:val="BodyText"/>
        <w:spacing w:before="1"/>
      </w:pPr>
    </w:p>
    <w:p>
      <w:pPr>
        <w:pStyle w:val="Heading7"/>
        <w:numPr>
          <w:ilvl w:val="1"/>
          <w:numId w:val="14"/>
        </w:numPr>
        <w:tabs>
          <w:tab w:pos="1477" w:val="left" w:leader="none"/>
        </w:tabs>
        <w:spacing w:line="225" w:lineRule="auto" w:before="0" w:after="0"/>
        <w:ind w:left="1477" w:right="287" w:hanging="398"/>
        <w:jc w:val="left"/>
      </w:pPr>
      <w:r>
        <w:rPr>
          <w:color w:val="2E614A"/>
          <w:spacing w:val="-6"/>
        </w:rPr>
        <w:t>Children</w:t>
      </w:r>
      <w:r>
        <w:rPr>
          <w:color w:val="2E614A"/>
          <w:spacing w:val="-13"/>
        </w:rPr>
        <w:t> </w:t>
      </w:r>
      <w:r>
        <w:rPr>
          <w:color w:val="2E614A"/>
          <w:spacing w:val="-6"/>
        </w:rPr>
        <w:t>of</w:t>
      </w:r>
      <w:r>
        <w:rPr>
          <w:color w:val="2E614A"/>
          <w:spacing w:val="-10"/>
        </w:rPr>
        <w:t> </w:t>
      </w:r>
      <w:r>
        <w:rPr>
          <w:color w:val="2E614A"/>
          <w:spacing w:val="-6"/>
        </w:rPr>
        <w:t>seasonal</w:t>
      </w:r>
      <w:r>
        <w:rPr>
          <w:color w:val="2E614A"/>
          <w:spacing w:val="-10"/>
        </w:rPr>
        <w:t> </w:t>
      </w:r>
      <w:r>
        <w:rPr>
          <w:color w:val="2E614A"/>
          <w:spacing w:val="-6"/>
        </w:rPr>
        <w:t>migrants</w:t>
      </w:r>
      <w:r>
        <w:rPr>
          <w:color w:val="2E614A"/>
          <w:spacing w:val="-10"/>
        </w:rPr>
        <w:t> </w:t>
      </w:r>
      <w:r>
        <w:rPr>
          <w:color w:val="2E614A"/>
          <w:spacing w:val="-6"/>
        </w:rPr>
        <w:t>require </w:t>
      </w:r>
      <w:r>
        <w:rPr>
          <w:color w:val="2E614A"/>
          <w:spacing w:val="-8"/>
        </w:rPr>
        <w:t>special</w:t>
      </w:r>
      <w:r>
        <w:rPr>
          <w:color w:val="2E614A"/>
          <w:spacing w:val="-9"/>
        </w:rPr>
        <w:t> </w:t>
      </w:r>
      <w:r>
        <w:rPr>
          <w:color w:val="2E614A"/>
          <w:spacing w:val="-8"/>
        </w:rPr>
        <w:t>conditions and efforts to</w:t>
      </w:r>
      <w:r>
        <w:rPr>
          <w:color w:val="2E614A"/>
          <w:spacing w:val="-9"/>
        </w:rPr>
        <w:t> </w:t>
      </w:r>
      <w:r>
        <w:rPr>
          <w:color w:val="2E614A"/>
          <w:spacing w:val="-8"/>
        </w:rPr>
        <w:t>ensure </w:t>
      </w:r>
      <w:r>
        <w:rPr>
          <w:color w:val="2E614A"/>
        </w:rPr>
        <w:t>continuous</w:t>
      </w:r>
      <w:r>
        <w:rPr>
          <w:color w:val="2E614A"/>
          <w:spacing w:val="-13"/>
        </w:rPr>
        <w:t> </w:t>
      </w:r>
      <w:r>
        <w:rPr>
          <w:color w:val="2E614A"/>
        </w:rPr>
        <w:t>access</w:t>
      </w:r>
      <w:r>
        <w:rPr>
          <w:color w:val="2E614A"/>
          <w:spacing w:val="-13"/>
        </w:rPr>
        <w:t> </w:t>
      </w:r>
      <w:r>
        <w:rPr>
          <w:color w:val="2E614A"/>
        </w:rPr>
        <w:t>to</w:t>
      </w:r>
      <w:r>
        <w:rPr>
          <w:color w:val="2E614A"/>
          <w:spacing w:val="-13"/>
        </w:rPr>
        <w:t> </w:t>
      </w:r>
      <w:r>
        <w:rPr>
          <w:color w:val="2E614A"/>
        </w:rPr>
        <w:t>schooling.</w:t>
      </w:r>
    </w:p>
    <w:p>
      <w:pPr>
        <w:pStyle w:val="BodyText"/>
        <w:rPr>
          <w:b/>
          <w:sz w:val="26"/>
        </w:rPr>
      </w:pPr>
    </w:p>
    <w:p>
      <w:pPr>
        <w:pStyle w:val="BodyText"/>
        <w:spacing w:line="266" w:lineRule="auto"/>
        <w:ind w:left="1079"/>
        <w:jc w:val="both"/>
      </w:pPr>
      <w:r>
        <w:rPr>
          <w:spacing w:val="-2"/>
        </w:rPr>
        <w:t>Seasonal</w:t>
      </w:r>
      <w:r>
        <w:rPr>
          <w:spacing w:val="-9"/>
        </w:rPr>
        <w:t> </w:t>
      </w:r>
      <w:r>
        <w:rPr>
          <w:spacing w:val="-2"/>
        </w:rPr>
        <w:t>and</w:t>
      </w:r>
      <w:r>
        <w:rPr>
          <w:spacing w:val="-9"/>
        </w:rPr>
        <w:t> </w:t>
      </w:r>
      <w:r>
        <w:rPr>
          <w:spacing w:val="-2"/>
        </w:rPr>
        <w:t>short-term</w:t>
      </w:r>
      <w:r>
        <w:rPr>
          <w:spacing w:val="-9"/>
        </w:rPr>
        <w:t> </w:t>
      </w:r>
      <w:r>
        <w:rPr>
          <w:spacing w:val="-2"/>
        </w:rPr>
        <w:t>migration</w:t>
      </w:r>
      <w:r>
        <w:rPr>
          <w:spacing w:val="-9"/>
        </w:rPr>
        <w:t> </w:t>
      </w:r>
      <w:r>
        <w:rPr>
          <w:spacing w:val="-2"/>
        </w:rPr>
        <w:t>is</w:t>
      </w:r>
      <w:r>
        <w:rPr>
          <w:spacing w:val="-9"/>
        </w:rPr>
        <w:t> </w:t>
      </w:r>
      <w:r>
        <w:rPr>
          <w:spacing w:val="-2"/>
        </w:rPr>
        <w:t>a</w:t>
      </w:r>
      <w:r>
        <w:rPr>
          <w:spacing w:val="-9"/>
        </w:rPr>
        <w:t> </w:t>
      </w:r>
      <w:r>
        <w:rPr>
          <w:spacing w:val="-2"/>
        </w:rPr>
        <w:t>major</w:t>
      </w:r>
      <w:r>
        <w:rPr>
          <w:spacing w:val="-9"/>
        </w:rPr>
        <w:t> </w:t>
      </w:r>
      <w:r>
        <w:rPr>
          <w:spacing w:val="-2"/>
        </w:rPr>
        <w:t>cause</w:t>
      </w:r>
      <w:r>
        <w:rPr>
          <w:spacing w:val="-9"/>
        </w:rPr>
        <w:t> </w:t>
      </w:r>
      <w:r>
        <w:rPr>
          <w:spacing w:val="-2"/>
        </w:rPr>
        <w:t>for </w:t>
      </w:r>
      <w:r>
        <w:rPr/>
        <w:t>early</w:t>
      </w:r>
      <w:r>
        <w:rPr>
          <w:spacing w:val="-5"/>
        </w:rPr>
        <w:t> </w:t>
      </w:r>
      <w:r>
        <w:rPr/>
        <w:t>drop</w:t>
      </w:r>
      <w:r>
        <w:rPr>
          <w:spacing w:val="-5"/>
        </w:rPr>
        <w:t> </w:t>
      </w:r>
      <w:r>
        <w:rPr/>
        <w:t>outs</w:t>
      </w:r>
      <w:r>
        <w:rPr>
          <w:spacing w:val="-5"/>
        </w:rPr>
        <w:t> </w:t>
      </w:r>
      <w:r>
        <w:rPr/>
        <w:t>and</w:t>
      </w:r>
      <w:r>
        <w:rPr>
          <w:spacing w:val="-5"/>
        </w:rPr>
        <w:t> </w:t>
      </w:r>
      <w:r>
        <w:rPr/>
        <w:t>non</w:t>
      </w:r>
      <w:r>
        <w:rPr>
          <w:spacing w:val="-5"/>
        </w:rPr>
        <w:t> </w:t>
      </w:r>
      <w:r>
        <w:rPr/>
        <w:t>enrolment.</w:t>
      </w:r>
      <w:r>
        <w:rPr>
          <w:spacing w:val="-5"/>
        </w:rPr>
        <w:t> </w:t>
      </w:r>
      <w:r>
        <w:rPr/>
        <w:t>In</w:t>
      </w:r>
      <w:r>
        <w:rPr>
          <w:spacing w:val="-5"/>
        </w:rPr>
        <w:t> </w:t>
      </w:r>
      <w:r>
        <w:rPr/>
        <w:t>order</w:t>
      </w:r>
      <w:r>
        <w:rPr>
          <w:spacing w:val="-5"/>
        </w:rPr>
        <w:t> </w:t>
      </w:r>
      <w:r>
        <w:rPr/>
        <w:t>to</w:t>
      </w:r>
      <w:r>
        <w:rPr>
          <w:spacing w:val="-5"/>
        </w:rPr>
        <w:t> </w:t>
      </w:r>
      <w:r>
        <w:rPr/>
        <w:t>ensure </w:t>
      </w:r>
      <w:r>
        <w:rPr>
          <w:spacing w:val="-4"/>
        </w:rPr>
        <w:t>that</w:t>
      </w:r>
      <w:r>
        <w:rPr>
          <w:spacing w:val="-10"/>
        </w:rPr>
        <w:t> </w:t>
      </w:r>
      <w:r>
        <w:rPr>
          <w:spacing w:val="-4"/>
        </w:rPr>
        <w:t>such</w:t>
      </w:r>
      <w:r>
        <w:rPr>
          <w:spacing w:val="-10"/>
        </w:rPr>
        <w:t> </w:t>
      </w:r>
      <w:r>
        <w:rPr>
          <w:spacing w:val="-4"/>
        </w:rPr>
        <w:t>children</w:t>
      </w:r>
      <w:r>
        <w:rPr>
          <w:spacing w:val="-10"/>
        </w:rPr>
        <w:t> </w:t>
      </w:r>
      <w:r>
        <w:rPr>
          <w:spacing w:val="-4"/>
        </w:rPr>
        <w:t>have</w:t>
      </w:r>
      <w:r>
        <w:rPr>
          <w:spacing w:val="-9"/>
        </w:rPr>
        <w:t> </w:t>
      </w:r>
      <w:r>
        <w:rPr>
          <w:spacing w:val="-4"/>
        </w:rPr>
        <w:t>access</w:t>
      </w:r>
      <w:r>
        <w:rPr>
          <w:spacing w:val="-10"/>
        </w:rPr>
        <w:t> </w:t>
      </w:r>
      <w:r>
        <w:rPr>
          <w:spacing w:val="-4"/>
        </w:rPr>
        <w:t>to</w:t>
      </w:r>
      <w:r>
        <w:rPr>
          <w:spacing w:val="-10"/>
        </w:rPr>
        <w:t> </w:t>
      </w:r>
      <w:r>
        <w:rPr>
          <w:spacing w:val="-4"/>
        </w:rPr>
        <w:t>a</w:t>
      </w:r>
      <w:r>
        <w:rPr>
          <w:spacing w:val="-10"/>
        </w:rPr>
        <w:t> </w:t>
      </w:r>
      <w:r>
        <w:rPr>
          <w:spacing w:val="-4"/>
        </w:rPr>
        <w:t>quality</w:t>
      </w:r>
      <w:r>
        <w:rPr>
          <w:spacing w:val="-9"/>
        </w:rPr>
        <w:t> </w:t>
      </w:r>
      <w:r>
        <w:rPr>
          <w:spacing w:val="-4"/>
        </w:rPr>
        <w:t>and</w:t>
      </w:r>
      <w:r>
        <w:rPr>
          <w:spacing w:val="-10"/>
        </w:rPr>
        <w:t> </w:t>
      </w:r>
      <w:r>
        <w:rPr>
          <w:spacing w:val="-4"/>
        </w:rPr>
        <w:t>complete </w:t>
      </w:r>
      <w:r>
        <w:rPr/>
        <w:t>education, their economic insecurity has to be taken into account while formulating educational schemes. Tent</w:t>
      </w:r>
      <w:r>
        <w:rPr>
          <w:spacing w:val="-5"/>
        </w:rPr>
        <w:t> </w:t>
      </w:r>
      <w:r>
        <w:rPr/>
        <w:t>schools</w:t>
      </w:r>
      <w:r>
        <w:rPr>
          <w:spacing w:val="-5"/>
        </w:rPr>
        <w:t> </w:t>
      </w:r>
      <w:r>
        <w:rPr/>
        <w:t>and</w:t>
      </w:r>
      <w:r>
        <w:rPr>
          <w:spacing w:val="-5"/>
        </w:rPr>
        <w:t> </w:t>
      </w:r>
      <w:r>
        <w:rPr/>
        <w:t>mobile</w:t>
      </w:r>
      <w:r>
        <w:rPr>
          <w:spacing w:val="-5"/>
        </w:rPr>
        <w:t> </w:t>
      </w:r>
      <w:r>
        <w:rPr/>
        <w:t>schools</w:t>
      </w:r>
      <w:r>
        <w:rPr>
          <w:spacing w:val="-5"/>
        </w:rPr>
        <w:t> </w:t>
      </w:r>
      <w:r>
        <w:rPr/>
        <w:t>must</w:t>
      </w:r>
      <w:r>
        <w:rPr>
          <w:spacing w:val="-5"/>
        </w:rPr>
        <w:t> </w:t>
      </w:r>
      <w:r>
        <w:rPr/>
        <w:t>be</w:t>
      </w:r>
      <w:r>
        <w:rPr>
          <w:spacing w:val="-5"/>
        </w:rPr>
        <w:t> </w:t>
      </w:r>
      <w:r>
        <w:rPr/>
        <w:t>made</w:t>
      </w:r>
      <w:r>
        <w:rPr>
          <w:spacing w:val="-5"/>
        </w:rPr>
        <w:t> </w:t>
      </w:r>
      <w:r>
        <w:rPr/>
        <w:t>a</w:t>
      </w:r>
      <w:r>
        <w:rPr>
          <w:spacing w:val="-5"/>
        </w:rPr>
        <w:t> </w:t>
      </w:r>
      <w:r>
        <w:rPr/>
        <w:t>part </w:t>
      </w:r>
      <w:r>
        <w:rPr>
          <w:spacing w:val="-4"/>
        </w:rPr>
        <w:t>of</w:t>
      </w:r>
      <w:r>
        <w:rPr>
          <w:spacing w:val="-5"/>
        </w:rPr>
        <w:t> </w:t>
      </w:r>
      <w:r>
        <w:rPr>
          <w:spacing w:val="-4"/>
        </w:rPr>
        <w:t>the</w:t>
      </w:r>
      <w:r>
        <w:rPr>
          <w:spacing w:val="-5"/>
        </w:rPr>
        <w:t> </w:t>
      </w:r>
      <w:r>
        <w:rPr>
          <w:spacing w:val="-4"/>
        </w:rPr>
        <w:t>urban</w:t>
      </w:r>
      <w:r>
        <w:rPr>
          <w:spacing w:val="-5"/>
        </w:rPr>
        <w:t> </w:t>
      </w:r>
      <w:r>
        <w:rPr>
          <w:spacing w:val="-4"/>
        </w:rPr>
        <w:t>landscape</w:t>
      </w:r>
      <w:r>
        <w:rPr>
          <w:spacing w:val="-5"/>
        </w:rPr>
        <w:t> </w:t>
      </w:r>
      <w:r>
        <w:rPr>
          <w:spacing w:val="-4"/>
        </w:rPr>
        <w:t>for</w:t>
      </w:r>
      <w:r>
        <w:rPr>
          <w:spacing w:val="-5"/>
        </w:rPr>
        <w:t> </w:t>
      </w:r>
      <w:r>
        <w:rPr>
          <w:spacing w:val="-4"/>
        </w:rPr>
        <w:t>migrant</w:t>
      </w:r>
      <w:r>
        <w:rPr>
          <w:spacing w:val="-5"/>
        </w:rPr>
        <w:t> </w:t>
      </w:r>
      <w:r>
        <w:rPr>
          <w:spacing w:val="-4"/>
        </w:rPr>
        <w:t>children,</w:t>
      </w:r>
      <w:r>
        <w:rPr>
          <w:spacing w:val="-5"/>
        </w:rPr>
        <w:t> </w:t>
      </w:r>
      <w:r>
        <w:rPr>
          <w:spacing w:val="-4"/>
        </w:rPr>
        <w:t>while</w:t>
      </w:r>
      <w:r>
        <w:rPr>
          <w:spacing w:val="-5"/>
        </w:rPr>
        <w:t> </w:t>
      </w:r>
      <w:r>
        <w:rPr>
          <w:spacing w:val="-4"/>
        </w:rPr>
        <w:t>rural schools</w:t>
      </w:r>
      <w:r>
        <w:rPr>
          <w:spacing w:val="-10"/>
        </w:rPr>
        <w:t> </w:t>
      </w:r>
      <w:r>
        <w:rPr>
          <w:spacing w:val="-4"/>
        </w:rPr>
        <w:t>also</w:t>
      </w:r>
      <w:r>
        <w:rPr>
          <w:spacing w:val="-10"/>
        </w:rPr>
        <w:t> </w:t>
      </w:r>
      <w:r>
        <w:rPr>
          <w:spacing w:val="-4"/>
        </w:rPr>
        <w:t>have</w:t>
      </w:r>
      <w:r>
        <w:rPr>
          <w:spacing w:val="-10"/>
        </w:rPr>
        <w:t> </w:t>
      </w:r>
      <w:r>
        <w:rPr>
          <w:spacing w:val="-4"/>
        </w:rPr>
        <w:t>to</w:t>
      </w:r>
      <w:r>
        <w:rPr>
          <w:spacing w:val="-9"/>
        </w:rPr>
        <w:t> </w:t>
      </w:r>
      <w:r>
        <w:rPr>
          <w:spacing w:val="-4"/>
        </w:rPr>
        <w:t>be</w:t>
      </w:r>
      <w:r>
        <w:rPr>
          <w:spacing w:val="-10"/>
        </w:rPr>
        <w:t> </w:t>
      </w:r>
      <w:r>
        <w:rPr>
          <w:spacing w:val="-4"/>
        </w:rPr>
        <w:t>made</w:t>
      </w:r>
      <w:r>
        <w:rPr>
          <w:spacing w:val="-10"/>
        </w:rPr>
        <w:t> </w:t>
      </w:r>
      <w:r>
        <w:rPr>
          <w:spacing w:val="-4"/>
        </w:rPr>
        <w:t>aware</w:t>
      </w:r>
      <w:r>
        <w:rPr>
          <w:spacing w:val="-10"/>
        </w:rPr>
        <w:t> </w:t>
      </w:r>
      <w:r>
        <w:rPr>
          <w:spacing w:val="-4"/>
        </w:rPr>
        <w:t>of</w:t>
      </w:r>
      <w:r>
        <w:rPr>
          <w:spacing w:val="-9"/>
        </w:rPr>
        <w:t> </w:t>
      </w:r>
      <w:r>
        <w:rPr>
          <w:spacing w:val="-4"/>
        </w:rPr>
        <w:t>the</w:t>
      </w:r>
      <w:r>
        <w:rPr>
          <w:spacing w:val="-10"/>
        </w:rPr>
        <w:t> </w:t>
      </w:r>
      <w:r>
        <w:rPr>
          <w:spacing w:val="-4"/>
        </w:rPr>
        <w:t>need</w:t>
      </w:r>
      <w:r>
        <w:rPr>
          <w:spacing w:val="-10"/>
        </w:rPr>
        <w:t> </w:t>
      </w:r>
      <w:r>
        <w:rPr>
          <w:spacing w:val="-4"/>
        </w:rPr>
        <w:t>to</w:t>
      </w:r>
      <w:r>
        <w:rPr>
          <w:spacing w:val="-10"/>
        </w:rPr>
        <w:t> </w:t>
      </w:r>
      <w:r>
        <w:rPr>
          <w:spacing w:val="-4"/>
        </w:rPr>
        <w:t>admit </w:t>
      </w:r>
      <w:r>
        <w:rPr/>
        <w:t>migrant children. This requires a significant change in the way that school admissions and enrolment are </w:t>
      </w:r>
      <w:r>
        <w:rPr>
          <w:spacing w:val="-4"/>
        </w:rPr>
        <w:t>carried out, as well as greater sensitivity, flexibility and </w:t>
      </w:r>
      <w:r>
        <w:rPr/>
        <w:t>effort on the part of the school administration, all of </w:t>
      </w:r>
      <w:r>
        <w:rPr>
          <w:spacing w:val="-4"/>
        </w:rPr>
        <w:t>which</w:t>
      </w:r>
      <w:r>
        <w:rPr>
          <w:spacing w:val="-5"/>
        </w:rPr>
        <w:t> </w:t>
      </w:r>
      <w:r>
        <w:rPr>
          <w:spacing w:val="-4"/>
        </w:rPr>
        <w:t>require</w:t>
      </w:r>
      <w:r>
        <w:rPr>
          <w:spacing w:val="-5"/>
        </w:rPr>
        <w:t> </w:t>
      </w:r>
      <w:r>
        <w:rPr>
          <w:spacing w:val="-4"/>
        </w:rPr>
        <w:t>hard</w:t>
      </w:r>
      <w:r>
        <w:rPr>
          <w:spacing w:val="-5"/>
        </w:rPr>
        <w:t> </w:t>
      </w:r>
      <w:r>
        <w:rPr>
          <w:spacing w:val="-4"/>
        </w:rPr>
        <w:t>and</w:t>
      </w:r>
      <w:r>
        <w:rPr>
          <w:spacing w:val="-5"/>
        </w:rPr>
        <w:t> </w:t>
      </w:r>
      <w:r>
        <w:rPr>
          <w:spacing w:val="-4"/>
        </w:rPr>
        <w:t>soft</w:t>
      </w:r>
      <w:r>
        <w:rPr>
          <w:spacing w:val="-5"/>
        </w:rPr>
        <w:t> </w:t>
      </w:r>
      <w:r>
        <w:rPr>
          <w:spacing w:val="-4"/>
        </w:rPr>
        <w:t>resources.</w:t>
      </w:r>
      <w:r>
        <w:rPr>
          <w:spacing w:val="-5"/>
        </w:rPr>
        <w:t> </w:t>
      </w:r>
      <w:r>
        <w:rPr>
          <w:spacing w:val="-4"/>
        </w:rPr>
        <w:t>It</w:t>
      </w:r>
      <w:r>
        <w:rPr>
          <w:spacing w:val="-5"/>
        </w:rPr>
        <w:t> </w:t>
      </w:r>
      <w:r>
        <w:rPr>
          <w:spacing w:val="-4"/>
        </w:rPr>
        <w:t>is</w:t>
      </w:r>
      <w:r>
        <w:rPr>
          <w:spacing w:val="-5"/>
        </w:rPr>
        <w:t> </w:t>
      </w:r>
      <w:r>
        <w:rPr>
          <w:spacing w:val="-4"/>
        </w:rPr>
        <w:t>necessary</w:t>
      </w:r>
      <w:r>
        <w:rPr>
          <w:spacing w:val="-5"/>
        </w:rPr>
        <w:t> </w:t>
      </w:r>
      <w:r>
        <w:rPr>
          <w:spacing w:val="-4"/>
        </w:rPr>
        <w:t>to identify</w:t>
      </w:r>
      <w:r>
        <w:rPr>
          <w:spacing w:val="-10"/>
        </w:rPr>
        <w:t> </w:t>
      </w:r>
      <w:r>
        <w:rPr>
          <w:spacing w:val="-4"/>
        </w:rPr>
        <w:t>good</w:t>
      </w:r>
      <w:r>
        <w:rPr>
          <w:spacing w:val="-10"/>
        </w:rPr>
        <w:t> </w:t>
      </w:r>
      <w:r>
        <w:rPr>
          <w:spacing w:val="-4"/>
        </w:rPr>
        <w:t>practices</w:t>
      </w:r>
      <w:r>
        <w:rPr>
          <w:spacing w:val="-10"/>
        </w:rPr>
        <w:t> </w:t>
      </w:r>
      <w:r>
        <w:rPr>
          <w:spacing w:val="-4"/>
        </w:rPr>
        <w:t>in</w:t>
      </w:r>
      <w:r>
        <w:rPr>
          <w:spacing w:val="-9"/>
        </w:rPr>
        <w:t> </w:t>
      </w:r>
      <w:r>
        <w:rPr>
          <w:spacing w:val="-4"/>
        </w:rPr>
        <w:t>this</w:t>
      </w:r>
      <w:r>
        <w:rPr>
          <w:spacing w:val="-10"/>
        </w:rPr>
        <w:t> </w:t>
      </w:r>
      <w:r>
        <w:rPr>
          <w:spacing w:val="-4"/>
        </w:rPr>
        <w:t>regard</w:t>
      </w:r>
      <w:r>
        <w:rPr>
          <w:spacing w:val="-10"/>
        </w:rPr>
        <w:t> </w:t>
      </w:r>
      <w:r>
        <w:rPr>
          <w:spacing w:val="-4"/>
        </w:rPr>
        <w:t>which</w:t>
      </w:r>
      <w:r>
        <w:rPr>
          <w:spacing w:val="-10"/>
        </w:rPr>
        <w:t> </w:t>
      </w:r>
      <w:r>
        <w:rPr>
          <w:spacing w:val="-4"/>
        </w:rPr>
        <w:t>can</w:t>
      </w:r>
      <w:r>
        <w:rPr>
          <w:spacing w:val="-9"/>
        </w:rPr>
        <w:t> </w:t>
      </w:r>
      <w:r>
        <w:rPr>
          <w:spacing w:val="-4"/>
        </w:rPr>
        <w:t>serve</w:t>
      </w:r>
      <w:r>
        <w:rPr>
          <w:spacing w:val="-10"/>
        </w:rPr>
        <w:t> </w:t>
      </w:r>
      <w:r>
        <w:rPr>
          <w:spacing w:val="-4"/>
        </w:rPr>
        <w:t>as </w:t>
      </w:r>
      <w:r>
        <w:rPr/>
        <w:t>a model to be emulated elsewhere.</w:t>
      </w:r>
    </w:p>
    <w:p>
      <w:pPr>
        <w:pStyle w:val="Heading7"/>
        <w:numPr>
          <w:ilvl w:val="1"/>
          <w:numId w:val="14"/>
        </w:numPr>
        <w:tabs>
          <w:tab w:pos="1477" w:val="left" w:leader="none"/>
        </w:tabs>
        <w:spacing w:line="225" w:lineRule="auto" w:before="246" w:after="0"/>
        <w:ind w:left="1477" w:right="1" w:hanging="398"/>
        <w:jc w:val="left"/>
      </w:pPr>
      <w:r>
        <w:rPr>
          <w:color w:val="2E614A"/>
          <w:w w:val="90"/>
        </w:rPr>
        <w:t>Labouring children require incentives </w:t>
      </w:r>
      <w:r>
        <w:rPr>
          <w:color w:val="2E614A"/>
          <w:w w:val="90"/>
        </w:rPr>
        <w:t>and </w:t>
      </w:r>
      <w:r>
        <w:rPr>
          <w:color w:val="2E614A"/>
        </w:rPr>
        <w:t>bridge courses.</w:t>
      </w:r>
    </w:p>
    <w:p>
      <w:pPr>
        <w:pStyle w:val="BodyText"/>
        <w:spacing w:before="1"/>
        <w:rPr>
          <w:b/>
          <w:sz w:val="26"/>
        </w:rPr>
      </w:pPr>
    </w:p>
    <w:p>
      <w:pPr>
        <w:pStyle w:val="BodyText"/>
        <w:spacing w:line="266" w:lineRule="auto"/>
        <w:ind w:left="1079"/>
        <w:jc w:val="both"/>
      </w:pPr>
      <w:r>
        <w:rPr/>
        <w:t>Some sort of monetary stipend may have to be paid to labouring children to bring them into schools. In addition,</w:t>
      </w:r>
      <w:r>
        <w:rPr>
          <w:spacing w:val="40"/>
        </w:rPr>
        <w:t> </w:t>
      </w:r>
      <w:r>
        <w:rPr/>
        <w:t>synergies</w:t>
      </w:r>
      <w:r>
        <w:rPr>
          <w:spacing w:val="40"/>
        </w:rPr>
        <w:t> </w:t>
      </w:r>
      <w:r>
        <w:rPr/>
        <w:t>must</w:t>
      </w:r>
      <w:r>
        <w:rPr>
          <w:spacing w:val="40"/>
        </w:rPr>
        <w:t> </w:t>
      </w:r>
      <w:r>
        <w:rPr/>
        <w:t>be</w:t>
      </w:r>
      <w:r>
        <w:rPr>
          <w:spacing w:val="40"/>
        </w:rPr>
        <w:t> </w:t>
      </w:r>
      <w:r>
        <w:rPr/>
        <w:t>created</w:t>
      </w:r>
      <w:r>
        <w:rPr>
          <w:spacing w:val="40"/>
        </w:rPr>
        <w:t> </w:t>
      </w:r>
      <w:r>
        <w:rPr/>
        <w:t>with</w:t>
      </w:r>
      <w:r>
        <w:rPr>
          <w:spacing w:val="40"/>
        </w:rPr>
        <w:t> </w:t>
      </w:r>
      <w:r>
        <w:rPr/>
        <w:t>NREGA to look into school education concerns of labouring children. Pre-school systems like balwadis </w:t>
      </w:r>
      <w:r>
        <w:rPr/>
        <w:t>and anganwadis must be strengthened, so that a school going habit can be ingrained, as well as providing a space for small children to be cared for, while their elder</w:t>
      </w:r>
      <w:r>
        <w:rPr>
          <w:spacing w:val="14"/>
        </w:rPr>
        <w:t> </w:t>
      </w:r>
      <w:r>
        <w:rPr/>
        <w:t>siblings</w:t>
      </w:r>
      <w:r>
        <w:rPr>
          <w:spacing w:val="15"/>
        </w:rPr>
        <w:t> </w:t>
      </w:r>
      <w:r>
        <w:rPr/>
        <w:t>may</w:t>
      </w:r>
      <w:r>
        <w:rPr>
          <w:spacing w:val="15"/>
        </w:rPr>
        <w:t> </w:t>
      </w:r>
      <w:r>
        <w:rPr/>
        <w:t>go</w:t>
      </w:r>
      <w:r>
        <w:rPr>
          <w:spacing w:val="14"/>
        </w:rPr>
        <w:t> </w:t>
      </w:r>
      <w:r>
        <w:rPr/>
        <w:t>to</w:t>
      </w:r>
      <w:r>
        <w:rPr>
          <w:spacing w:val="15"/>
        </w:rPr>
        <w:t> </w:t>
      </w:r>
      <w:r>
        <w:rPr/>
        <w:t>school.</w:t>
      </w:r>
      <w:r>
        <w:rPr>
          <w:spacing w:val="15"/>
        </w:rPr>
        <w:t> </w:t>
      </w:r>
      <w:r>
        <w:rPr/>
        <w:t>Alternative</w:t>
      </w:r>
      <w:r>
        <w:rPr>
          <w:spacing w:val="15"/>
        </w:rPr>
        <w:t> </w:t>
      </w:r>
      <w:r>
        <w:rPr>
          <w:spacing w:val="-2"/>
        </w:rPr>
        <w:t>Centres</w:t>
      </w:r>
    </w:p>
    <w:p>
      <w:pPr>
        <w:pStyle w:val="BodyText"/>
        <w:spacing w:line="266" w:lineRule="auto" w:before="57"/>
        <w:ind w:left="319" w:right="1077"/>
        <w:jc w:val="both"/>
      </w:pPr>
      <w:r>
        <w:rPr/>
        <w:br w:type="column"/>
      </w:r>
      <w:r>
        <w:rPr/>
        <w:t>for</w:t>
      </w:r>
      <w:r>
        <w:rPr>
          <w:spacing w:val="-2"/>
        </w:rPr>
        <w:t> </w:t>
      </w:r>
      <w:r>
        <w:rPr/>
        <w:t>Education</w:t>
      </w:r>
      <w:r>
        <w:rPr>
          <w:spacing w:val="-2"/>
        </w:rPr>
        <w:t> </w:t>
      </w:r>
      <w:r>
        <w:rPr/>
        <w:t>must</w:t>
      </w:r>
      <w:r>
        <w:rPr>
          <w:spacing w:val="-2"/>
        </w:rPr>
        <w:t> </w:t>
      </w:r>
      <w:r>
        <w:rPr/>
        <w:t>be</w:t>
      </w:r>
      <w:r>
        <w:rPr>
          <w:spacing w:val="-3"/>
        </w:rPr>
        <w:t> </w:t>
      </w:r>
      <w:r>
        <w:rPr/>
        <w:t>utilised</w:t>
      </w:r>
      <w:r>
        <w:rPr>
          <w:spacing w:val="-2"/>
        </w:rPr>
        <w:t> </w:t>
      </w:r>
      <w:r>
        <w:rPr/>
        <w:t>specifically</w:t>
      </w:r>
      <w:r>
        <w:rPr>
          <w:spacing w:val="-2"/>
        </w:rPr>
        <w:t> </w:t>
      </w:r>
      <w:r>
        <w:rPr/>
        <w:t>to</w:t>
      </w:r>
      <w:r>
        <w:rPr>
          <w:spacing w:val="-2"/>
        </w:rPr>
        <w:t> </w:t>
      </w:r>
      <w:r>
        <w:rPr/>
        <w:t>provide bridge courses aimed at different age groups and classes</w:t>
      </w:r>
      <w:r>
        <w:rPr>
          <w:spacing w:val="-9"/>
        </w:rPr>
        <w:t> </w:t>
      </w:r>
      <w:r>
        <w:rPr/>
        <w:t>for</w:t>
      </w:r>
      <w:r>
        <w:rPr>
          <w:spacing w:val="-9"/>
        </w:rPr>
        <w:t> </w:t>
      </w:r>
      <w:r>
        <w:rPr/>
        <w:t>drop</w:t>
      </w:r>
      <w:r>
        <w:rPr>
          <w:spacing w:val="-9"/>
        </w:rPr>
        <w:t> </w:t>
      </w:r>
      <w:r>
        <w:rPr/>
        <w:t>outs.</w:t>
      </w:r>
      <w:r>
        <w:rPr>
          <w:spacing w:val="-9"/>
        </w:rPr>
        <w:t> </w:t>
      </w:r>
      <w:r>
        <w:rPr/>
        <w:t>However,</w:t>
      </w:r>
      <w:r>
        <w:rPr>
          <w:spacing w:val="-9"/>
        </w:rPr>
        <w:t> </w:t>
      </w:r>
      <w:r>
        <w:rPr/>
        <w:t>the</w:t>
      </w:r>
      <w:r>
        <w:rPr>
          <w:spacing w:val="-9"/>
        </w:rPr>
        <w:t> </w:t>
      </w:r>
      <w:r>
        <w:rPr/>
        <w:t>use</w:t>
      </w:r>
      <w:r>
        <w:rPr>
          <w:spacing w:val="-9"/>
        </w:rPr>
        <w:t> </w:t>
      </w:r>
      <w:r>
        <w:rPr/>
        <w:t>of</w:t>
      </w:r>
      <w:r>
        <w:rPr>
          <w:spacing w:val="-9"/>
        </w:rPr>
        <w:t> </w:t>
      </w:r>
      <w:r>
        <w:rPr/>
        <w:t>Alternative Centres for Education must be no more than in a transition</w:t>
      </w:r>
      <w:r>
        <w:rPr>
          <w:spacing w:val="40"/>
        </w:rPr>
        <w:t> </w:t>
      </w:r>
      <w:r>
        <w:rPr/>
        <w:t>capacity.</w:t>
      </w:r>
      <w:r>
        <w:rPr>
          <w:spacing w:val="40"/>
        </w:rPr>
        <w:t> </w:t>
      </w:r>
      <w:r>
        <w:rPr/>
        <w:t>AIE</w:t>
      </w:r>
      <w:r>
        <w:rPr>
          <w:spacing w:val="40"/>
        </w:rPr>
        <w:t> </w:t>
      </w:r>
      <w:r>
        <w:rPr/>
        <w:t>should</w:t>
      </w:r>
      <w:r>
        <w:rPr>
          <w:spacing w:val="40"/>
        </w:rPr>
        <w:t> </w:t>
      </w:r>
      <w:r>
        <w:rPr/>
        <w:t>not</w:t>
      </w:r>
      <w:r>
        <w:rPr>
          <w:spacing w:val="40"/>
        </w:rPr>
        <w:t> </w:t>
      </w:r>
      <w:r>
        <w:rPr/>
        <w:t>become</w:t>
      </w:r>
      <w:r>
        <w:rPr>
          <w:spacing w:val="40"/>
        </w:rPr>
        <w:t> </w:t>
      </w:r>
      <w:r>
        <w:rPr/>
        <w:t>the only option for access to poor school children for a school education.</w:t>
      </w:r>
    </w:p>
    <w:p>
      <w:pPr>
        <w:pStyle w:val="BodyText"/>
        <w:spacing w:before="21"/>
      </w:pPr>
    </w:p>
    <w:p>
      <w:pPr>
        <w:pStyle w:val="BodyText"/>
        <w:spacing w:line="266" w:lineRule="auto" w:before="1"/>
        <w:ind w:left="319" w:right="1077"/>
        <w:jc w:val="both"/>
      </w:pPr>
      <w:r>
        <w:rPr/>
        <w:t>Study Centres must be provided for first generation </w:t>
      </w:r>
      <w:r>
        <w:rPr>
          <w:spacing w:val="-4"/>
        </w:rPr>
        <w:t>learners</w:t>
      </w:r>
      <w:r>
        <w:rPr>
          <w:spacing w:val="-10"/>
        </w:rPr>
        <w:t> </w:t>
      </w:r>
      <w:r>
        <w:rPr>
          <w:spacing w:val="-4"/>
        </w:rPr>
        <w:t>and</w:t>
      </w:r>
      <w:r>
        <w:rPr>
          <w:spacing w:val="-10"/>
        </w:rPr>
        <w:t> </w:t>
      </w:r>
      <w:r>
        <w:rPr>
          <w:spacing w:val="-4"/>
        </w:rPr>
        <w:t>seasonal</w:t>
      </w:r>
      <w:r>
        <w:rPr>
          <w:spacing w:val="-10"/>
        </w:rPr>
        <w:t> </w:t>
      </w:r>
      <w:r>
        <w:rPr>
          <w:spacing w:val="-4"/>
        </w:rPr>
        <w:t>migrants</w:t>
      </w:r>
      <w:r>
        <w:rPr>
          <w:spacing w:val="-9"/>
        </w:rPr>
        <w:t> </w:t>
      </w:r>
      <w:r>
        <w:rPr>
          <w:spacing w:val="-4"/>
        </w:rPr>
        <w:t>as</w:t>
      </w:r>
      <w:r>
        <w:rPr>
          <w:spacing w:val="-10"/>
        </w:rPr>
        <w:t> </w:t>
      </w:r>
      <w:r>
        <w:rPr>
          <w:spacing w:val="-4"/>
        </w:rPr>
        <w:t>a</w:t>
      </w:r>
      <w:r>
        <w:rPr>
          <w:spacing w:val="-10"/>
        </w:rPr>
        <w:t> </w:t>
      </w:r>
      <w:r>
        <w:rPr>
          <w:spacing w:val="-4"/>
        </w:rPr>
        <w:t>space</w:t>
      </w:r>
      <w:r>
        <w:rPr>
          <w:spacing w:val="-10"/>
        </w:rPr>
        <w:t> </w:t>
      </w:r>
      <w:r>
        <w:rPr>
          <w:spacing w:val="-4"/>
        </w:rPr>
        <w:t>which</w:t>
      </w:r>
      <w:r>
        <w:rPr>
          <w:spacing w:val="-9"/>
        </w:rPr>
        <w:t> </w:t>
      </w:r>
      <w:r>
        <w:rPr>
          <w:spacing w:val="-4"/>
        </w:rPr>
        <w:t>is</w:t>
      </w:r>
      <w:r>
        <w:rPr>
          <w:spacing w:val="-10"/>
        </w:rPr>
        <w:t> </w:t>
      </w:r>
      <w:r>
        <w:rPr>
          <w:spacing w:val="-4"/>
        </w:rPr>
        <w:t>more </w:t>
      </w:r>
      <w:r>
        <w:rPr/>
        <w:t>conducive to learning than what may be available at home.</w:t>
      </w:r>
      <w:r>
        <w:rPr>
          <w:spacing w:val="-13"/>
        </w:rPr>
        <w:t> </w:t>
      </w:r>
      <w:r>
        <w:rPr/>
        <w:t>These</w:t>
      </w:r>
      <w:r>
        <w:rPr>
          <w:spacing w:val="-7"/>
        </w:rPr>
        <w:t> </w:t>
      </w:r>
      <w:r>
        <w:rPr/>
        <w:t>may</w:t>
      </w:r>
      <w:r>
        <w:rPr>
          <w:spacing w:val="-7"/>
        </w:rPr>
        <w:t> </w:t>
      </w:r>
      <w:r>
        <w:rPr/>
        <w:t>also</w:t>
      </w:r>
      <w:r>
        <w:rPr>
          <w:spacing w:val="-7"/>
        </w:rPr>
        <w:t> </w:t>
      </w:r>
      <w:r>
        <w:rPr/>
        <w:t>be</w:t>
      </w:r>
      <w:r>
        <w:rPr>
          <w:spacing w:val="-7"/>
        </w:rPr>
        <w:t> </w:t>
      </w:r>
      <w:r>
        <w:rPr/>
        <w:t>used</w:t>
      </w:r>
      <w:r>
        <w:rPr>
          <w:spacing w:val="-7"/>
        </w:rPr>
        <w:t> </w:t>
      </w:r>
      <w:r>
        <w:rPr/>
        <w:t>as</w:t>
      </w:r>
      <w:r>
        <w:rPr>
          <w:spacing w:val="-7"/>
        </w:rPr>
        <w:t> </w:t>
      </w:r>
      <w:r>
        <w:rPr/>
        <w:t>community</w:t>
      </w:r>
      <w:r>
        <w:rPr>
          <w:spacing w:val="-7"/>
        </w:rPr>
        <w:t> </w:t>
      </w:r>
      <w:r>
        <w:rPr/>
        <w:t>centres, libraries etc.</w:t>
      </w:r>
    </w:p>
    <w:p>
      <w:pPr>
        <w:pStyle w:val="BodyText"/>
      </w:pPr>
    </w:p>
    <w:p>
      <w:pPr>
        <w:pStyle w:val="Heading7"/>
        <w:numPr>
          <w:ilvl w:val="1"/>
          <w:numId w:val="14"/>
        </w:numPr>
        <w:tabs>
          <w:tab w:pos="859" w:val="left" w:leader="none"/>
        </w:tabs>
        <w:spacing w:line="225" w:lineRule="auto" w:before="0" w:after="0"/>
        <w:ind w:left="859" w:right="1308" w:hanging="540"/>
        <w:jc w:val="left"/>
      </w:pPr>
      <w:r>
        <w:rPr>
          <w:color w:val="2E614A"/>
          <w:w w:val="90"/>
        </w:rPr>
        <w:t>The needs of physically </w:t>
      </w:r>
      <w:r>
        <w:rPr>
          <w:color w:val="2E614A"/>
          <w:w w:val="90"/>
        </w:rPr>
        <w:t>disadvantaged </w:t>
      </w:r>
      <w:r>
        <w:rPr>
          <w:color w:val="2E614A"/>
          <w:spacing w:val="-2"/>
        </w:rPr>
        <w:t>children,</w:t>
      </w:r>
      <w:r>
        <w:rPr>
          <w:color w:val="2E614A"/>
          <w:spacing w:val="-15"/>
        </w:rPr>
        <w:t> </w:t>
      </w:r>
      <w:r>
        <w:rPr>
          <w:color w:val="2E614A"/>
          <w:spacing w:val="-2"/>
        </w:rPr>
        <w:t>as</w:t>
      </w:r>
      <w:r>
        <w:rPr>
          <w:color w:val="2E614A"/>
          <w:spacing w:val="-14"/>
        </w:rPr>
        <w:t> </w:t>
      </w:r>
      <w:r>
        <w:rPr>
          <w:color w:val="2E614A"/>
          <w:spacing w:val="-2"/>
        </w:rPr>
        <w:t>well</w:t>
      </w:r>
      <w:r>
        <w:rPr>
          <w:color w:val="2E614A"/>
          <w:spacing w:val="-14"/>
        </w:rPr>
        <w:t> </w:t>
      </w:r>
      <w:r>
        <w:rPr>
          <w:color w:val="2E614A"/>
          <w:spacing w:val="-2"/>
        </w:rPr>
        <w:t>as</w:t>
      </w:r>
      <w:r>
        <w:rPr>
          <w:color w:val="2E614A"/>
          <w:spacing w:val="-14"/>
        </w:rPr>
        <w:t> </w:t>
      </w:r>
      <w:r>
        <w:rPr>
          <w:color w:val="2E614A"/>
          <w:spacing w:val="-2"/>
        </w:rPr>
        <w:t>teachers,</w:t>
      </w:r>
      <w:r>
        <w:rPr>
          <w:color w:val="2E614A"/>
          <w:spacing w:val="-15"/>
        </w:rPr>
        <w:t> </w:t>
      </w:r>
      <w:r>
        <w:rPr>
          <w:color w:val="2E614A"/>
          <w:spacing w:val="-2"/>
        </w:rPr>
        <w:t>have</w:t>
      </w:r>
      <w:r>
        <w:rPr>
          <w:color w:val="2E614A"/>
          <w:spacing w:val="-14"/>
        </w:rPr>
        <w:t> </w:t>
      </w:r>
      <w:r>
        <w:rPr>
          <w:color w:val="2E614A"/>
          <w:spacing w:val="-2"/>
        </w:rPr>
        <w:t>to </w:t>
      </w:r>
      <w:r>
        <w:rPr>
          <w:color w:val="2E614A"/>
        </w:rPr>
        <w:t>be</w:t>
      </w:r>
      <w:r>
        <w:rPr>
          <w:color w:val="2E614A"/>
          <w:spacing w:val="-17"/>
        </w:rPr>
        <w:t> </w:t>
      </w:r>
      <w:r>
        <w:rPr>
          <w:color w:val="2E614A"/>
        </w:rPr>
        <w:t>factored</w:t>
      </w:r>
      <w:r>
        <w:rPr>
          <w:color w:val="2E614A"/>
          <w:spacing w:val="-16"/>
        </w:rPr>
        <w:t> </w:t>
      </w:r>
      <w:r>
        <w:rPr>
          <w:color w:val="2E614A"/>
        </w:rPr>
        <w:t>in</w:t>
      </w:r>
      <w:r>
        <w:rPr>
          <w:color w:val="2E614A"/>
          <w:spacing w:val="-16"/>
        </w:rPr>
        <w:t> </w:t>
      </w:r>
      <w:r>
        <w:rPr>
          <w:color w:val="2E614A"/>
        </w:rPr>
        <w:t>more</w:t>
      </w:r>
      <w:r>
        <w:rPr>
          <w:color w:val="2E614A"/>
          <w:spacing w:val="-16"/>
        </w:rPr>
        <w:t> </w:t>
      </w:r>
      <w:r>
        <w:rPr>
          <w:color w:val="2E614A"/>
        </w:rPr>
        <w:t>thoroughly</w:t>
      </w:r>
      <w:r>
        <w:rPr>
          <w:color w:val="2E614A"/>
          <w:spacing w:val="-17"/>
        </w:rPr>
        <w:t> </w:t>
      </w:r>
      <w:r>
        <w:rPr>
          <w:color w:val="2E614A"/>
        </w:rPr>
        <w:t>in </w:t>
      </w:r>
      <w:r>
        <w:rPr>
          <w:color w:val="2E614A"/>
          <w:spacing w:val="-2"/>
        </w:rPr>
        <w:t>provisions</w:t>
      </w:r>
      <w:r>
        <w:rPr>
          <w:color w:val="2E614A"/>
          <w:spacing w:val="-9"/>
        </w:rPr>
        <w:t> </w:t>
      </w:r>
      <w:r>
        <w:rPr>
          <w:color w:val="2E614A"/>
          <w:spacing w:val="-2"/>
        </w:rPr>
        <w:t>for</w:t>
      </w:r>
      <w:r>
        <w:rPr>
          <w:color w:val="2E614A"/>
          <w:spacing w:val="-9"/>
        </w:rPr>
        <w:t> </w:t>
      </w:r>
      <w:r>
        <w:rPr>
          <w:color w:val="2E614A"/>
          <w:spacing w:val="-2"/>
        </w:rPr>
        <w:t>school</w:t>
      </w:r>
      <w:r>
        <w:rPr>
          <w:color w:val="2E614A"/>
          <w:spacing w:val="-9"/>
        </w:rPr>
        <w:t> </w:t>
      </w:r>
      <w:r>
        <w:rPr>
          <w:color w:val="2E614A"/>
          <w:spacing w:val="-2"/>
        </w:rPr>
        <w:t>education.</w:t>
      </w:r>
    </w:p>
    <w:p>
      <w:pPr>
        <w:pStyle w:val="BodyText"/>
        <w:spacing w:line="266" w:lineRule="auto" w:before="298"/>
        <w:ind w:left="319" w:right="1077"/>
        <w:jc w:val="both"/>
      </w:pPr>
      <w:r>
        <w:rPr/>
        <w:t>The</w:t>
      </w:r>
      <w:r>
        <w:rPr>
          <w:spacing w:val="-7"/>
        </w:rPr>
        <w:t> </w:t>
      </w:r>
      <w:r>
        <w:rPr/>
        <w:t>goal</w:t>
      </w:r>
      <w:r>
        <w:rPr>
          <w:spacing w:val="-7"/>
        </w:rPr>
        <w:t> </w:t>
      </w:r>
      <w:r>
        <w:rPr/>
        <w:t>in</w:t>
      </w:r>
      <w:r>
        <w:rPr>
          <w:spacing w:val="-7"/>
        </w:rPr>
        <w:t> </w:t>
      </w:r>
      <w:r>
        <w:rPr/>
        <w:t>all</w:t>
      </w:r>
      <w:r>
        <w:rPr>
          <w:spacing w:val="-7"/>
        </w:rPr>
        <w:t> </w:t>
      </w:r>
      <w:r>
        <w:rPr/>
        <w:t>schools</w:t>
      </w:r>
      <w:r>
        <w:rPr>
          <w:spacing w:val="-7"/>
        </w:rPr>
        <w:t> </w:t>
      </w:r>
      <w:r>
        <w:rPr/>
        <w:t>should</w:t>
      </w:r>
      <w:r>
        <w:rPr>
          <w:spacing w:val="-7"/>
        </w:rPr>
        <w:t> </w:t>
      </w:r>
      <w:r>
        <w:rPr/>
        <w:t>be</w:t>
      </w:r>
      <w:r>
        <w:rPr>
          <w:spacing w:val="-7"/>
        </w:rPr>
        <w:t> </w:t>
      </w:r>
      <w:r>
        <w:rPr/>
        <w:t>inclusive</w:t>
      </w:r>
      <w:r>
        <w:rPr>
          <w:spacing w:val="-7"/>
        </w:rPr>
        <w:t> </w:t>
      </w:r>
      <w:r>
        <w:rPr/>
        <w:t>education, </w:t>
      </w:r>
      <w:r>
        <w:rPr>
          <w:spacing w:val="-2"/>
        </w:rPr>
        <w:t>which</w:t>
      </w:r>
      <w:r>
        <w:rPr>
          <w:spacing w:val="-12"/>
        </w:rPr>
        <w:t> </w:t>
      </w:r>
      <w:r>
        <w:rPr>
          <w:spacing w:val="-2"/>
        </w:rPr>
        <w:t>means</w:t>
      </w:r>
      <w:r>
        <w:rPr>
          <w:spacing w:val="-12"/>
        </w:rPr>
        <w:t> </w:t>
      </w:r>
      <w:r>
        <w:rPr>
          <w:spacing w:val="-2"/>
        </w:rPr>
        <w:t>that</w:t>
      </w:r>
      <w:r>
        <w:rPr>
          <w:spacing w:val="-12"/>
        </w:rPr>
        <w:t> </w:t>
      </w:r>
      <w:r>
        <w:rPr>
          <w:spacing w:val="-2"/>
        </w:rPr>
        <w:t>all</w:t>
      </w:r>
      <w:r>
        <w:rPr>
          <w:spacing w:val="-11"/>
        </w:rPr>
        <w:t> </w:t>
      </w:r>
      <w:r>
        <w:rPr>
          <w:spacing w:val="-2"/>
        </w:rPr>
        <w:t>systems</w:t>
      </w:r>
      <w:r>
        <w:rPr>
          <w:spacing w:val="-12"/>
        </w:rPr>
        <w:t> </w:t>
      </w:r>
      <w:r>
        <w:rPr>
          <w:spacing w:val="-2"/>
        </w:rPr>
        <w:t>must</w:t>
      </w:r>
      <w:r>
        <w:rPr>
          <w:spacing w:val="-12"/>
        </w:rPr>
        <w:t> </w:t>
      </w:r>
      <w:r>
        <w:rPr>
          <w:spacing w:val="-2"/>
        </w:rPr>
        <w:t>be</w:t>
      </w:r>
      <w:r>
        <w:rPr>
          <w:spacing w:val="-12"/>
        </w:rPr>
        <w:t> </w:t>
      </w:r>
      <w:r>
        <w:rPr>
          <w:spacing w:val="-2"/>
        </w:rPr>
        <w:t>oriented</w:t>
      </w:r>
      <w:r>
        <w:rPr>
          <w:spacing w:val="-11"/>
        </w:rPr>
        <w:t> </w:t>
      </w:r>
      <w:r>
        <w:rPr>
          <w:spacing w:val="-2"/>
        </w:rPr>
        <w:t>to</w:t>
      </w:r>
      <w:r>
        <w:rPr>
          <w:spacing w:val="-12"/>
        </w:rPr>
        <w:t> </w:t>
      </w:r>
      <w:r>
        <w:rPr>
          <w:spacing w:val="-2"/>
        </w:rPr>
        <w:t>allow </w:t>
      </w:r>
      <w:r>
        <w:rPr/>
        <w:t>the</w:t>
      </w:r>
      <w:r>
        <w:rPr>
          <w:spacing w:val="-1"/>
        </w:rPr>
        <w:t> </w:t>
      </w:r>
      <w:r>
        <w:rPr/>
        <w:t>greatest</w:t>
      </w:r>
      <w:r>
        <w:rPr>
          <w:spacing w:val="-1"/>
        </w:rPr>
        <w:t> </w:t>
      </w:r>
      <w:r>
        <w:rPr/>
        <w:t>possible</w:t>
      </w:r>
      <w:r>
        <w:rPr>
          <w:spacing w:val="-1"/>
        </w:rPr>
        <w:t> </w:t>
      </w:r>
      <w:r>
        <w:rPr/>
        <w:t>access</w:t>
      </w:r>
      <w:r>
        <w:rPr>
          <w:spacing w:val="-1"/>
        </w:rPr>
        <w:t> </w:t>
      </w:r>
      <w:r>
        <w:rPr/>
        <w:t>to</w:t>
      </w:r>
      <w:r>
        <w:rPr>
          <w:spacing w:val="-1"/>
        </w:rPr>
        <w:t> </w:t>
      </w:r>
      <w:r>
        <w:rPr/>
        <w:t>children</w:t>
      </w:r>
      <w:r>
        <w:rPr>
          <w:spacing w:val="-1"/>
        </w:rPr>
        <w:t> </w:t>
      </w:r>
      <w:r>
        <w:rPr/>
        <w:t>with</w:t>
      </w:r>
      <w:r>
        <w:rPr>
          <w:spacing w:val="-1"/>
        </w:rPr>
        <w:t> </w:t>
      </w:r>
      <w:r>
        <w:rPr/>
        <w:t>different </w:t>
      </w:r>
      <w:r>
        <w:rPr>
          <w:spacing w:val="-4"/>
        </w:rPr>
        <w:t>needs and abilities.</w:t>
      </w:r>
      <w:r>
        <w:rPr>
          <w:spacing w:val="-10"/>
        </w:rPr>
        <w:t> </w:t>
      </w:r>
      <w:r>
        <w:rPr>
          <w:spacing w:val="-4"/>
        </w:rPr>
        <w:t>This requires substantial changes in </w:t>
      </w:r>
      <w:r>
        <w:rPr/>
        <w:t>both infrastructure and pedagogical methods. School </w:t>
      </w:r>
      <w:r>
        <w:rPr>
          <w:spacing w:val="-6"/>
        </w:rPr>
        <w:t>buildings</w:t>
      </w:r>
      <w:r>
        <w:rPr>
          <w:spacing w:val="-8"/>
        </w:rPr>
        <w:t> </w:t>
      </w:r>
      <w:r>
        <w:rPr>
          <w:spacing w:val="-6"/>
        </w:rPr>
        <w:t>must</w:t>
      </w:r>
      <w:r>
        <w:rPr>
          <w:spacing w:val="-8"/>
        </w:rPr>
        <w:t> </w:t>
      </w:r>
      <w:r>
        <w:rPr>
          <w:spacing w:val="-6"/>
        </w:rPr>
        <w:t>have</w:t>
      </w:r>
      <w:r>
        <w:rPr>
          <w:spacing w:val="-8"/>
        </w:rPr>
        <w:t> </w:t>
      </w:r>
      <w:r>
        <w:rPr>
          <w:spacing w:val="-6"/>
        </w:rPr>
        <w:t>provisions</w:t>
      </w:r>
      <w:r>
        <w:rPr>
          <w:spacing w:val="-7"/>
        </w:rPr>
        <w:t> </w:t>
      </w:r>
      <w:r>
        <w:rPr>
          <w:spacing w:val="-6"/>
        </w:rPr>
        <w:t>for</w:t>
      </w:r>
      <w:r>
        <w:rPr>
          <w:spacing w:val="-8"/>
        </w:rPr>
        <w:t> </w:t>
      </w:r>
      <w:r>
        <w:rPr>
          <w:spacing w:val="-6"/>
        </w:rPr>
        <w:t>access</w:t>
      </w:r>
      <w:r>
        <w:rPr>
          <w:spacing w:val="-8"/>
        </w:rPr>
        <w:t> </w:t>
      </w:r>
      <w:r>
        <w:rPr>
          <w:spacing w:val="-6"/>
        </w:rPr>
        <w:t>and</w:t>
      </w:r>
      <w:r>
        <w:rPr>
          <w:spacing w:val="-8"/>
        </w:rPr>
        <w:t> </w:t>
      </w:r>
      <w:r>
        <w:rPr>
          <w:spacing w:val="-6"/>
        </w:rPr>
        <w:t>navigation </w:t>
      </w:r>
      <w:r>
        <w:rPr/>
        <w:t>for</w:t>
      </w:r>
      <w:r>
        <w:rPr>
          <w:spacing w:val="-3"/>
        </w:rPr>
        <w:t> </w:t>
      </w:r>
      <w:r>
        <w:rPr/>
        <w:t>the</w:t>
      </w:r>
      <w:r>
        <w:rPr>
          <w:spacing w:val="-3"/>
        </w:rPr>
        <w:t> </w:t>
      </w:r>
      <w:r>
        <w:rPr/>
        <w:t>visually</w:t>
      </w:r>
      <w:r>
        <w:rPr>
          <w:spacing w:val="-3"/>
        </w:rPr>
        <w:t> </w:t>
      </w:r>
      <w:r>
        <w:rPr/>
        <w:t>impaired,</w:t>
      </w:r>
      <w:r>
        <w:rPr>
          <w:spacing w:val="-3"/>
        </w:rPr>
        <w:t> </w:t>
      </w:r>
      <w:r>
        <w:rPr/>
        <w:t>the</w:t>
      </w:r>
      <w:r>
        <w:rPr>
          <w:spacing w:val="-3"/>
        </w:rPr>
        <w:t> </w:t>
      </w:r>
      <w:r>
        <w:rPr/>
        <w:t>physically</w:t>
      </w:r>
      <w:r>
        <w:rPr>
          <w:spacing w:val="-3"/>
        </w:rPr>
        <w:t> </w:t>
      </w:r>
      <w:r>
        <w:rPr/>
        <w:t>handicapped </w:t>
      </w:r>
      <w:r>
        <w:rPr>
          <w:spacing w:val="-6"/>
        </w:rPr>
        <w:t>etc.</w:t>
      </w:r>
      <w:r>
        <w:rPr>
          <w:spacing w:val="-8"/>
        </w:rPr>
        <w:t> </w:t>
      </w:r>
      <w:r>
        <w:rPr>
          <w:spacing w:val="-6"/>
        </w:rPr>
        <w:t>Teachers</w:t>
      </w:r>
      <w:r>
        <w:rPr>
          <w:spacing w:val="-8"/>
        </w:rPr>
        <w:t> </w:t>
      </w:r>
      <w:r>
        <w:rPr>
          <w:spacing w:val="-6"/>
        </w:rPr>
        <w:t>must</w:t>
      </w:r>
      <w:r>
        <w:rPr>
          <w:spacing w:val="-8"/>
        </w:rPr>
        <w:t> </w:t>
      </w:r>
      <w:r>
        <w:rPr>
          <w:spacing w:val="-6"/>
        </w:rPr>
        <w:t>be trained,</w:t>
      </w:r>
      <w:r>
        <w:rPr>
          <w:spacing w:val="-5"/>
        </w:rPr>
        <w:t> </w:t>
      </w:r>
      <w:r>
        <w:rPr>
          <w:spacing w:val="-6"/>
        </w:rPr>
        <w:t>sensitised and empowered </w:t>
      </w:r>
      <w:r>
        <w:rPr/>
        <w:t>to deal with children with different abilities in the classroom situation.</w:t>
      </w:r>
    </w:p>
    <w:p>
      <w:pPr>
        <w:pStyle w:val="BodyText"/>
        <w:spacing w:before="19"/>
      </w:pPr>
    </w:p>
    <w:p>
      <w:pPr>
        <w:pStyle w:val="BodyText"/>
        <w:spacing w:line="266" w:lineRule="auto"/>
        <w:ind w:left="319" w:right="1077"/>
        <w:jc w:val="both"/>
      </w:pPr>
      <w:r>
        <w:rPr/>
        <w:t>While this is the ultimate goal, it must also </w:t>
      </w:r>
      <w:r>
        <w:rPr/>
        <w:t>be recognised that current schooling patterns are not always</w:t>
      </w:r>
      <w:r>
        <w:rPr>
          <w:spacing w:val="-3"/>
        </w:rPr>
        <w:t> </w:t>
      </w:r>
      <w:r>
        <w:rPr/>
        <w:t>conducive</w:t>
      </w:r>
      <w:r>
        <w:rPr>
          <w:spacing w:val="-3"/>
        </w:rPr>
        <w:t> </w:t>
      </w:r>
      <w:r>
        <w:rPr/>
        <w:t>to</w:t>
      </w:r>
      <w:r>
        <w:rPr>
          <w:spacing w:val="-3"/>
        </w:rPr>
        <w:t> </w:t>
      </w:r>
      <w:r>
        <w:rPr/>
        <w:t>bringing</w:t>
      </w:r>
      <w:r>
        <w:rPr>
          <w:spacing w:val="-3"/>
        </w:rPr>
        <w:t> </w:t>
      </w:r>
      <w:r>
        <w:rPr/>
        <w:t>out</w:t>
      </w:r>
      <w:r>
        <w:rPr>
          <w:spacing w:val="-3"/>
        </w:rPr>
        <w:t> </w:t>
      </w:r>
      <w:r>
        <w:rPr/>
        <w:t>the</w:t>
      </w:r>
      <w:r>
        <w:rPr>
          <w:spacing w:val="-3"/>
        </w:rPr>
        <w:t> </w:t>
      </w:r>
      <w:r>
        <w:rPr/>
        <w:t>full</w:t>
      </w:r>
      <w:r>
        <w:rPr>
          <w:spacing w:val="-3"/>
        </w:rPr>
        <w:t> </w:t>
      </w:r>
      <w:r>
        <w:rPr/>
        <w:t>potential</w:t>
      </w:r>
      <w:r>
        <w:rPr>
          <w:spacing w:val="-3"/>
        </w:rPr>
        <w:t> </w:t>
      </w:r>
      <w:r>
        <w:rPr/>
        <w:t>of </w:t>
      </w:r>
      <w:r>
        <w:rPr>
          <w:spacing w:val="-2"/>
        </w:rPr>
        <w:t>physically</w:t>
      </w:r>
      <w:r>
        <w:rPr>
          <w:spacing w:val="-12"/>
        </w:rPr>
        <w:t> </w:t>
      </w:r>
      <w:r>
        <w:rPr>
          <w:spacing w:val="-2"/>
        </w:rPr>
        <w:t>disadvantaged</w:t>
      </w:r>
      <w:r>
        <w:rPr>
          <w:spacing w:val="-12"/>
        </w:rPr>
        <w:t> </w:t>
      </w:r>
      <w:r>
        <w:rPr>
          <w:spacing w:val="-2"/>
        </w:rPr>
        <w:t>children,</w:t>
      </w:r>
      <w:r>
        <w:rPr>
          <w:spacing w:val="-12"/>
        </w:rPr>
        <w:t> </w:t>
      </w:r>
      <w:r>
        <w:rPr>
          <w:spacing w:val="-2"/>
        </w:rPr>
        <w:t>and</w:t>
      </w:r>
      <w:r>
        <w:rPr>
          <w:spacing w:val="-11"/>
        </w:rPr>
        <w:t> </w:t>
      </w:r>
      <w:r>
        <w:rPr>
          <w:spacing w:val="-2"/>
        </w:rPr>
        <w:t>therefore,</w:t>
      </w:r>
      <w:r>
        <w:rPr>
          <w:spacing w:val="-12"/>
        </w:rPr>
        <w:t> </w:t>
      </w:r>
      <w:r>
        <w:rPr>
          <w:spacing w:val="-2"/>
        </w:rPr>
        <w:t>there </w:t>
      </w:r>
      <w:r>
        <w:rPr/>
        <w:t>is</w:t>
      </w:r>
      <w:r>
        <w:rPr>
          <w:spacing w:val="-14"/>
        </w:rPr>
        <w:t> </w:t>
      </w:r>
      <w:r>
        <w:rPr/>
        <w:t>still</w:t>
      </w:r>
      <w:r>
        <w:rPr>
          <w:spacing w:val="-10"/>
        </w:rPr>
        <w:t> </w:t>
      </w:r>
      <w:r>
        <w:rPr/>
        <w:t>a</w:t>
      </w:r>
      <w:r>
        <w:rPr>
          <w:spacing w:val="-11"/>
        </w:rPr>
        <w:t> </w:t>
      </w:r>
      <w:r>
        <w:rPr/>
        <w:t>case</w:t>
      </w:r>
      <w:r>
        <w:rPr>
          <w:spacing w:val="-11"/>
        </w:rPr>
        <w:t> </w:t>
      </w:r>
      <w:r>
        <w:rPr/>
        <w:t>for</w:t>
      </w:r>
      <w:r>
        <w:rPr>
          <w:spacing w:val="-11"/>
        </w:rPr>
        <w:t> </w:t>
      </w:r>
      <w:r>
        <w:rPr/>
        <w:t>special</w:t>
      </w:r>
      <w:r>
        <w:rPr>
          <w:spacing w:val="-11"/>
        </w:rPr>
        <w:t> </w:t>
      </w:r>
      <w:r>
        <w:rPr/>
        <w:t>schools.</w:t>
      </w:r>
      <w:r>
        <w:rPr>
          <w:spacing w:val="-14"/>
        </w:rPr>
        <w:t> </w:t>
      </w:r>
      <w:r>
        <w:rPr/>
        <w:t>There</w:t>
      </w:r>
      <w:r>
        <w:rPr>
          <w:spacing w:val="-11"/>
        </w:rPr>
        <w:t> </w:t>
      </w:r>
      <w:r>
        <w:rPr/>
        <w:t>is</w:t>
      </w:r>
      <w:r>
        <w:rPr>
          <w:spacing w:val="-11"/>
        </w:rPr>
        <w:t> </w:t>
      </w:r>
      <w:r>
        <w:rPr/>
        <w:t>a</w:t>
      </w:r>
      <w:r>
        <w:rPr>
          <w:spacing w:val="-11"/>
        </w:rPr>
        <w:t> </w:t>
      </w:r>
      <w:r>
        <w:rPr/>
        <w:t>perception </w:t>
      </w:r>
      <w:r>
        <w:rPr>
          <w:spacing w:val="-2"/>
        </w:rPr>
        <w:t>that</w:t>
      </w:r>
      <w:r>
        <w:rPr>
          <w:spacing w:val="-10"/>
        </w:rPr>
        <w:t> </w:t>
      </w:r>
      <w:r>
        <w:rPr>
          <w:spacing w:val="-2"/>
        </w:rPr>
        <w:t>government</w:t>
      </w:r>
      <w:r>
        <w:rPr>
          <w:spacing w:val="-10"/>
        </w:rPr>
        <w:t> </w:t>
      </w:r>
      <w:r>
        <w:rPr>
          <w:spacing w:val="-2"/>
        </w:rPr>
        <w:t>mechanisms</w:t>
      </w:r>
      <w:r>
        <w:rPr>
          <w:spacing w:val="-10"/>
        </w:rPr>
        <w:t> </w:t>
      </w:r>
      <w:r>
        <w:rPr>
          <w:spacing w:val="-2"/>
        </w:rPr>
        <w:t>may</w:t>
      </w:r>
      <w:r>
        <w:rPr>
          <w:spacing w:val="-10"/>
        </w:rPr>
        <w:t> </w:t>
      </w:r>
      <w:r>
        <w:rPr>
          <w:spacing w:val="-2"/>
        </w:rPr>
        <w:t>not</w:t>
      </w:r>
      <w:r>
        <w:rPr>
          <w:spacing w:val="-10"/>
        </w:rPr>
        <w:t> </w:t>
      </w:r>
      <w:r>
        <w:rPr>
          <w:spacing w:val="-2"/>
        </w:rPr>
        <w:t>be</w:t>
      </w:r>
      <w:r>
        <w:rPr>
          <w:spacing w:val="-10"/>
        </w:rPr>
        <w:t> </w:t>
      </w:r>
      <w:r>
        <w:rPr>
          <w:spacing w:val="-2"/>
        </w:rPr>
        <w:t>best</w:t>
      </w:r>
      <w:r>
        <w:rPr>
          <w:spacing w:val="-10"/>
        </w:rPr>
        <w:t> </w:t>
      </w:r>
      <w:r>
        <w:rPr>
          <w:spacing w:val="-2"/>
        </w:rPr>
        <w:t>suited</w:t>
      </w:r>
      <w:r>
        <w:rPr>
          <w:spacing w:val="-10"/>
        </w:rPr>
        <w:t> </w:t>
      </w:r>
      <w:r>
        <w:rPr>
          <w:spacing w:val="-2"/>
        </w:rPr>
        <w:t>to provide</w:t>
      </w:r>
      <w:r>
        <w:rPr>
          <w:spacing w:val="-10"/>
        </w:rPr>
        <w:t> </w:t>
      </w:r>
      <w:r>
        <w:rPr>
          <w:spacing w:val="-2"/>
        </w:rPr>
        <w:t>sustained</w:t>
      </w:r>
      <w:r>
        <w:rPr>
          <w:spacing w:val="-10"/>
        </w:rPr>
        <w:t> </w:t>
      </w:r>
      <w:r>
        <w:rPr>
          <w:spacing w:val="-2"/>
        </w:rPr>
        <w:t>and</w:t>
      </w:r>
      <w:r>
        <w:rPr>
          <w:spacing w:val="-10"/>
        </w:rPr>
        <w:t> </w:t>
      </w:r>
      <w:r>
        <w:rPr>
          <w:spacing w:val="-2"/>
        </w:rPr>
        <w:t>sympathetic</w:t>
      </w:r>
      <w:r>
        <w:rPr>
          <w:spacing w:val="-10"/>
        </w:rPr>
        <w:t> </w:t>
      </w:r>
      <w:r>
        <w:rPr>
          <w:spacing w:val="-2"/>
        </w:rPr>
        <w:t>support</w:t>
      </w:r>
      <w:r>
        <w:rPr>
          <w:spacing w:val="-10"/>
        </w:rPr>
        <w:t> </w:t>
      </w:r>
      <w:r>
        <w:rPr>
          <w:spacing w:val="-2"/>
        </w:rPr>
        <w:t>for</w:t>
      </w:r>
      <w:r>
        <w:rPr>
          <w:spacing w:val="-10"/>
        </w:rPr>
        <w:t> </w:t>
      </w:r>
      <w:r>
        <w:rPr>
          <w:spacing w:val="-2"/>
        </w:rPr>
        <w:t>learners </w:t>
      </w:r>
      <w:r>
        <w:rPr/>
        <w:t>with special needs and severely disabled children (such</w:t>
      </w:r>
      <w:r>
        <w:rPr>
          <w:spacing w:val="-4"/>
        </w:rPr>
        <w:t> </w:t>
      </w:r>
      <w:r>
        <w:rPr/>
        <w:t>as</w:t>
      </w:r>
      <w:r>
        <w:rPr>
          <w:spacing w:val="-4"/>
        </w:rPr>
        <w:t> </w:t>
      </w:r>
      <w:r>
        <w:rPr/>
        <w:t>the</w:t>
      </w:r>
      <w:r>
        <w:rPr>
          <w:spacing w:val="-4"/>
        </w:rPr>
        <w:t> </w:t>
      </w:r>
      <w:r>
        <w:rPr/>
        <w:t>blind).</w:t>
      </w:r>
      <w:r>
        <w:rPr>
          <w:spacing w:val="-4"/>
        </w:rPr>
        <w:t> </w:t>
      </w:r>
      <w:r>
        <w:rPr/>
        <w:t>In</w:t>
      </w:r>
      <w:r>
        <w:rPr>
          <w:spacing w:val="-4"/>
        </w:rPr>
        <w:t> </w:t>
      </w:r>
      <w:r>
        <w:rPr/>
        <w:t>this</w:t>
      </w:r>
      <w:r>
        <w:rPr>
          <w:spacing w:val="-4"/>
        </w:rPr>
        <w:t> </w:t>
      </w:r>
      <w:r>
        <w:rPr/>
        <w:t>context,</w:t>
      </w:r>
      <w:r>
        <w:rPr>
          <w:spacing w:val="-4"/>
        </w:rPr>
        <w:t> </w:t>
      </w:r>
      <w:r>
        <w:rPr/>
        <w:t>it</w:t>
      </w:r>
      <w:r>
        <w:rPr>
          <w:spacing w:val="-4"/>
        </w:rPr>
        <w:t> </w:t>
      </w:r>
      <w:r>
        <w:rPr/>
        <w:t>may</w:t>
      </w:r>
      <w:r>
        <w:rPr>
          <w:spacing w:val="-4"/>
        </w:rPr>
        <w:t> </w:t>
      </w:r>
      <w:r>
        <w:rPr/>
        <w:t>be</w:t>
      </w:r>
      <w:r>
        <w:rPr>
          <w:spacing w:val="-4"/>
        </w:rPr>
        <w:t> </w:t>
      </w:r>
      <w:r>
        <w:rPr/>
        <w:t>better</w:t>
      </w:r>
      <w:r>
        <w:rPr>
          <w:spacing w:val="-4"/>
        </w:rPr>
        <w:t> </w:t>
      </w:r>
      <w:r>
        <w:rPr/>
        <w:t>to </w:t>
      </w:r>
      <w:r>
        <w:rPr>
          <w:spacing w:val="-2"/>
        </w:rPr>
        <w:t>identify</w:t>
      </w:r>
      <w:r>
        <w:rPr>
          <w:spacing w:val="-12"/>
        </w:rPr>
        <w:t> </w:t>
      </w:r>
      <w:r>
        <w:rPr>
          <w:spacing w:val="-2"/>
        </w:rPr>
        <w:t>appropriate</w:t>
      </w:r>
      <w:r>
        <w:rPr>
          <w:spacing w:val="-12"/>
        </w:rPr>
        <w:t> </w:t>
      </w:r>
      <w:r>
        <w:rPr>
          <w:spacing w:val="-2"/>
        </w:rPr>
        <w:t>and</w:t>
      </w:r>
      <w:r>
        <w:rPr>
          <w:spacing w:val="-12"/>
        </w:rPr>
        <w:t> </w:t>
      </w:r>
      <w:r>
        <w:rPr>
          <w:spacing w:val="-2"/>
        </w:rPr>
        <w:t>willing</w:t>
      </w:r>
      <w:r>
        <w:rPr>
          <w:spacing w:val="-11"/>
        </w:rPr>
        <w:t> </w:t>
      </w:r>
      <w:r>
        <w:rPr>
          <w:spacing w:val="-2"/>
        </w:rPr>
        <w:t>institutions</w:t>
      </w:r>
      <w:r>
        <w:rPr>
          <w:spacing w:val="-12"/>
        </w:rPr>
        <w:t> </w:t>
      </w:r>
      <w:r>
        <w:rPr>
          <w:spacing w:val="-2"/>
        </w:rPr>
        <w:t>outside</w:t>
      </w:r>
      <w:r>
        <w:rPr>
          <w:spacing w:val="-12"/>
        </w:rPr>
        <w:t> </w:t>
      </w:r>
      <w:r>
        <w:rPr>
          <w:spacing w:val="-2"/>
        </w:rPr>
        <w:t>the </w:t>
      </w:r>
      <w:r>
        <w:rPr/>
        <w:t>government who may become partners.</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913"/>
        <w:jc w:val="both"/>
      </w:pPr>
      <w:r>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ragraph">
                  <wp:posOffset>-2277393</wp:posOffset>
                </wp:positionV>
                <wp:extent cx="7560309" cy="1752600"/>
                <wp:effectExtent l="0" t="0" r="0" b="0"/>
                <wp:wrapNone/>
                <wp:docPr id="863" name="Group 863"/>
                <wp:cNvGraphicFramePr>
                  <a:graphicFrameLocks/>
                </wp:cNvGraphicFramePr>
                <a:graphic>
                  <a:graphicData uri="http://schemas.microsoft.com/office/word/2010/wordprocessingGroup">
                    <wpg:wgp>
                      <wpg:cNvPr id="863" name="Group 863"/>
                      <wpg:cNvGrpSpPr/>
                      <wpg:grpSpPr>
                        <a:xfrm>
                          <a:off x="0" y="0"/>
                          <a:ext cx="7560309" cy="1752600"/>
                          <a:chExt cx="7560309" cy="1752600"/>
                        </a:xfrm>
                      </wpg:grpSpPr>
                      <pic:pic>
                        <pic:nvPicPr>
                          <pic:cNvPr id="864" name="Image 864"/>
                          <pic:cNvPicPr/>
                        </pic:nvPicPr>
                        <pic:blipFill>
                          <a:blip r:embed="rId11" cstate="print"/>
                          <a:stretch>
                            <a:fillRect/>
                          </a:stretch>
                        </pic:blipFill>
                        <pic:spPr>
                          <a:xfrm>
                            <a:off x="0" y="0"/>
                            <a:ext cx="7559999" cy="1752562"/>
                          </a:xfrm>
                          <a:prstGeom prst="rect">
                            <a:avLst/>
                          </a:prstGeom>
                        </pic:spPr>
                      </pic:pic>
                      <wps:wsp>
                        <wps:cNvPr id="865" name="Textbox 865"/>
                        <wps:cNvSpPr txBox="1"/>
                        <wps:spPr>
                          <a:xfrm>
                            <a:off x="685800" y="598682"/>
                            <a:ext cx="4234815" cy="1019810"/>
                          </a:xfrm>
                          <a:prstGeom prst="rect">
                            <a:avLst/>
                          </a:prstGeom>
                        </wps:spPr>
                        <wps:txbx>
                          <w:txbxContent>
                            <w:p>
                              <w:pPr>
                                <w:spacing w:line="247" w:lineRule="auto" w:before="0"/>
                                <w:ind w:left="0" w:right="18" w:firstLine="0"/>
                                <w:jc w:val="left"/>
                                <w:rPr>
                                  <w:rFonts w:ascii="Trebuchet MS"/>
                                  <w:b/>
                                  <w:sz w:val="68"/>
                                </w:rPr>
                              </w:pPr>
                              <w:r>
                                <w:rPr>
                                  <w:rFonts w:ascii="Trebuchet MS"/>
                                  <w:b/>
                                  <w:color w:val="FFFFFF"/>
                                  <w:spacing w:val="-2"/>
                                  <w:sz w:val="68"/>
                                </w:rPr>
                                <w:t>Vocational</w:t>
                              </w:r>
                              <w:r>
                                <w:rPr>
                                  <w:rFonts w:ascii="Trebuchet MS"/>
                                  <w:b/>
                                  <w:color w:val="FFFFFF"/>
                                  <w:spacing w:val="-48"/>
                                  <w:sz w:val="68"/>
                                </w:rPr>
                                <w:t> </w:t>
                              </w:r>
                              <w:r>
                                <w:rPr>
                                  <w:rFonts w:ascii="Trebuchet MS"/>
                                  <w:b/>
                                  <w:color w:val="FFFFFF"/>
                                  <w:spacing w:val="-2"/>
                                  <w:sz w:val="68"/>
                                </w:rPr>
                                <w:t>Education </w:t>
                              </w:r>
                              <w:r>
                                <w:rPr>
                                  <w:rFonts w:ascii="Trebuchet MS"/>
                                  <w:b/>
                                  <w:color w:val="FFFFFF"/>
                                  <w:sz w:val="68"/>
                                </w:rPr>
                                <w:t>and Training</w:t>
                              </w:r>
                            </w:p>
                          </w:txbxContent>
                        </wps:txbx>
                        <wps:bodyPr wrap="square" lIns="0" tIns="0" rIns="0" bIns="0" rtlCol="0">
                          <a:noAutofit/>
                        </wps:bodyPr>
                      </wps:wsp>
                      <wps:wsp>
                        <wps:cNvPr id="866" name="Textbox 866"/>
                        <wps:cNvSpPr txBox="1"/>
                        <wps:spPr>
                          <a:xfrm>
                            <a:off x="5843646" y="1439099"/>
                            <a:ext cx="1043305" cy="158750"/>
                          </a:xfrm>
                          <a:prstGeom prst="rect">
                            <a:avLst/>
                          </a:prstGeom>
                        </wps:spPr>
                        <wps:txbx>
                          <w:txbxContent>
                            <w:p>
                              <w:pPr>
                                <w:spacing w:line="238" w:lineRule="exact" w:before="0"/>
                                <w:ind w:left="0" w:right="0" w:firstLine="0"/>
                                <w:jc w:val="left"/>
                                <w:rPr>
                                  <w:b/>
                                  <w:sz w:val="22"/>
                                </w:rPr>
                              </w:pPr>
                              <w:r>
                                <w:rPr>
                                  <w:b/>
                                  <w:color w:val="FFFFFF"/>
                                  <w:spacing w:val="-4"/>
                                  <w:sz w:val="22"/>
                                </w:rPr>
                                <w:t>December</w:t>
                              </w:r>
                              <w:r>
                                <w:rPr>
                                  <w:b/>
                                  <w:color w:val="FFFFFF"/>
                                  <w:spacing w:val="-8"/>
                                  <w:sz w:val="22"/>
                                </w:rPr>
                                <w:t> </w:t>
                              </w:r>
                              <w:r>
                                <w:rPr>
                                  <w:b/>
                                  <w:color w:val="FFFFFF"/>
                                  <w:spacing w:val="-4"/>
                                  <w:sz w:val="22"/>
                                </w:rPr>
                                <w:t>1,</w:t>
                              </w:r>
                              <w:r>
                                <w:rPr>
                                  <w:b/>
                                  <w:color w:val="FFFFFF"/>
                                  <w:spacing w:val="-8"/>
                                  <w:sz w:val="22"/>
                                </w:rPr>
                                <w:t> </w:t>
                              </w:r>
                              <w:r>
                                <w:rPr>
                                  <w:b/>
                                  <w:color w:val="FFFFFF"/>
                                  <w:spacing w:val="-4"/>
                                  <w:sz w:val="22"/>
                                </w:rPr>
                                <w:t>2006</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59872" id="docshapegroup856" coordorigin="0,-3586" coordsize="11906,2760">
                <v:shape style="position:absolute;left:0;top:-3587;width:11906;height:2760" type="#_x0000_t75" id="docshape857" stroked="false">
                  <v:imagedata r:id="rId11" o:title=""/>
                </v:shape>
                <v:shape style="position:absolute;left:1080;top:-2644;width:6669;height:1606" type="#_x0000_t202" id="docshape858" filled="false" stroked="false">
                  <v:textbox inset="0,0,0,0">
                    <w:txbxContent>
                      <w:p>
                        <w:pPr>
                          <w:spacing w:line="247" w:lineRule="auto" w:before="0"/>
                          <w:ind w:left="0" w:right="18" w:firstLine="0"/>
                          <w:jc w:val="left"/>
                          <w:rPr>
                            <w:rFonts w:ascii="Trebuchet MS"/>
                            <w:b/>
                            <w:sz w:val="68"/>
                          </w:rPr>
                        </w:pPr>
                        <w:r>
                          <w:rPr>
                            <w:rFonts w:ascii="Trebuchet MS"/>
                            <w:b/>
                            <w:color w:val="FFFFFF"/>
                            <w:spacing w:val="-2"/>
                            <w:sz w:val="68"/>
                          </w:rPr>
                          <w:t>Vocational</w:t>
                        </w:r>
                        <w:r>
                          <w:rPr>
                            <w:rFonts w:ascii="Trebuchet MS"/>
                            <w:b/>
                            <w:color w:val="FFFFFF"/>
                            <w:spacing w:val="-48"/>
                            <w:sz w:val="68"/>
                          </w:rPr>
                          <w:t> </w:t>
                        </w:r>
                        <w:r>
                          <w:rPr>
                            <w:rFonts w:ascii="Trebuchet MS"/>
                            <w:b/>
                            <w:color w:val="FFFFFF"/>
                            <w:spacing w:val="-2"/>
                            <w:sz w:val="68"/>
                          </w:rPr>
                          <w:t>Education </w:t>
                        </w:r>
                        <w:r>
                          <w:rPr>
                            <w:rFonts w:ascii="Trebuchet MS"/>
                            <w:b/>
                            <w:color w:val="FFFFFF"/>
                            <w:sz w:val="68"/>
                          </w:rPr>
                          <w:t>and Training</w:t>
                        </w:r>
                      </w:p>
                    </w:txbxContent>
                  </v:textbox>
                  <w10:wrap type="none"/>
                </v:shape>
                <v:shape style="position:absolute;left:9202;top:-1321;width:1643;height:250" type="#_x0000_t202" id="docshape859" filled="false" stroked="false">
                  <v:textbox inset="0,0,0,0">
                    <w:txbxContent>
                      <w:p>
                        <w:pPr>
                          <w:spacing w:line="238" w:lineRule="exact" w:before="0"/>
                          <w:ind w:left="0" w:right="0" w:firstLine="0"/>
                          <w:jc w:val="left"/>
                          <w:rPr>
                            <w:b/>
                            <w:sz w:val="22"/>
                          </w:rPr>
                        </w:pPr>
                        <w:r>
                          <w:rPr>
                            <w:b/>
                            <w:color w:val="FFFFFF"/>
                            <w:spacing w:val="-4"/>
                            <w:sz w:val="22"/>
                          </w:rPr>
                          <w:t>December</w:t>
                        </w:r>
                        <w:r>
                          <w:rPr>
                            <w:b/>
                            <w:color w:val="FFFFFF"/>
                            <w:spacing w:val="-8"/>
                            <w:sz w:val="22"/>
                          </w:rPr>
                          <w:t> </w:t>
                        </w:r>
                        <w:r>
                          <w:rPr>
                            <w:b/>
                            <w:color w:val="FFFFFF"/>
                            <w:spacing w:val="-4"/>
                            <w:sz w:val="22"/>
                          </w:rPr>
                          <w:t>1,</w:t>
                        </w:r>
                        <w:r>
                          <w:rPr>
                            <w:b/>
                            <w:color w:val="FFFFFF"/>
                            <w:spacing w:val="-8"/>
                            <w:sz w:val="22"/>
                          </w:rPr>
                          <w:t> </w:t>
                        </w:r>
                        <w:r>
                          <w:rPr>
                            <w:b/>
                            <w:color w:val="FFFFFF"/>
                            <w:spacing w:val="-4"/>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36960">
                <wp:simplePos x="0" y="0"/>
                <wp:positionH relativeFrom="page">
                  <wp:posOffset>685799</wp:posOffset>
                </wp:positionH>
                <wp:positionV relativeFrom="paragraph">
                  <wp:posOffset>-36780</wp:posOffset>
                </wp:positionV>
                <wp:extent cx="529590" cy="757555"/>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529590" cy="757555"/>
                        </a:xfrm>
                        <a:prstGeom prst="rect">
                          <a:avLst/>
                        </a:prstGeom>
                      </wps:spPr>
                      <wps:txbx>
                        <w:txbxContent>
                          <w:p>
                            <w:pPr>
                              <w:spacing w:line="1135" w:lineRule="exact" w:before="0"/>
                              <w:ind w:left="0" w:right="0" w:firstLine="0"/>
                              <w:jc w:val="left"/>
                              <w:rPr>
                                <w:sz w:val="106"/>
                              </w:rPr>
                            </w:pPr>
                            <w:r>
                              <w:rPr>
                                <w:color w:val="9CBF3B"/>
                                <w:spacing w:val="-10"/>
                                <w:sz w:val="106"/>
                              </w:rPr>
                              <w:t>N</w:t>
                            </w:r>
                          </w:p>
                        </w:txbxContent>
                      </wps:txbx>
                      <wps:bodyPr wrap="square" lIns="0" tIns="0" rIns="0" bIns="0" rtlCol="0">
                        <a:noAutofit/>
                      </wps:bodyPr>
                    </wps:wsp>
                  </a:graphicData>
                </a:graphic>
              </wp:anchor>
            </w:drawing>
          </mc:Choice>
          <mc:Fallback>
            <w:pict>
              <v:shape style="position:absolute;margin-left:53.999981pt;margin-top:-2.89609pt;width:41.7pt;height:59.65pt;mso-position-horizontal-relative:page;mso-position-vertical-relative:paragraph;z-index:-23979520" type="#_x0000_t202" id="docshape860" filled="false" stroked="false">
                <v:textbox inset="0,0,0,0">
                  <w:txbxContent>
                    <w:p>
                      <w:pPr>
                        <w:spacing w:line="1135" w:lineRule="exact" w:before="0"/>
                        <w:ind w:left="0" w:right="0" w:firstLine="0"/>
                        <w:jc w:val="left"/>
                        <w:rPr>
                          <w:sz w:val="106"/>
                        </w:rPr>
                      </w:pPr>
                      <w:r>
                        <w:rPr>
                          <w:color w:val="9CBF3B"/>
                          <w:spacing w:val="-10"/>
                          <w:sz w:val="106"/>
                        </w:rPr>
                        <w:t>N</w:t>
                      </w:r>
                    </w:p>
                  </w:txbxContent>
                </v:textbox>
                <w10:wrap type="none"/>
              </v:shape>
            </w:pict>
          </mc:Fallback>
        </mc:AlternateContent>
      </w:r>
      <w:r>
        <w:rPr/>
        <w:t>KC considers Vocational Education </w:t>
      </w:r>
      <w:r>
        <w:rPr/>
        <w:t>and Training (VET) to be an important element of</w:t>
      </w:r>
      <w:r>
        <w:rPr>
          <w:spacing w:val="4"/>
        </w:rPr>
        <w:t> </w:t>
      </w:r>
      <w:r>
        <w:rPr/>
        <w:t>the</w:t>
      </w:r>
      <w:r>
        <w:rPr>
          <w:spacing w:val="4"/>
        </w:rPr>
        <w:t> </w:t>
      </w:r>
      <w:r>
        <w:rPr/>
        <w:t>nation’s</w:t>
      </w:r>
      <w:r>
        <w:rPr>
          <w:spacing w:val="4"/>
        </w:rPr>
        <w:t> </w:t>
      </w:r>
      <w:r>
        <w:rPr/>
        <w:t>education</w:t>
      </w:r>
      <w:r>
        <w:rPr>
          <w:spacing w:val="4"/>
        </w:rPr>
        <w:t> </w:t>
      </w:r>
      <w:r>
        <w:rPr/>
        <w:t>initiative.</w:t>
      </w:r>
      <w:r>
        <w:rPr>
          <w:spacing w:val="4"/>
        </w:rPr>
        <w:t> </w:t>
      </w:r>
      <w:r>
        <w:rPr/>
        <w:t>In</w:t>
      </w:r>
      <w:r>
        <w:rPr>
          <w:spacing w:val="4"/>
        </w:rPr>
        <w:t> </w:t>
      </w:r>
      <w:r>
        <w:rPr>
          <w:spacing w:val="-4"/>
        </w:rPr>
        <w:t>order</w:t>
      </w:r>
    </w:p>
    <w:p>
      <w:pPr>
        <w:pStyle w:val="BodyText"/>
        <w:spacing w:line="266" w:lineRule="auto"/>
        <w:ind w:left="1079"/>
        <w:jc w:val="both"/>
      </w:pPr>
      <w:r>
        <w:rPr/>
        <w:t>for VET to play its part effectively in the </w:t>
      </w:r>
      <w:r>
        <w:rPr/>
        <w:t>changing national context and for India to enjoy the fruits of the demographic dividend, there is an urgent need to redefine</w:t>
      </w:r>
      <w:r>
        <w:rPr>
          <w:spacing w:val="-3"/>
        </w:rPr>
        <w:t> </w:t>
      </w:r>
      <w:r>
        <w:rPr/>
        <w:t>the</w:t>
      </w:r>
      <w:r>
        <w:rPr>
          <w:spacing w:val="-3"/>
        </w:rPr>
        <w:t> </w:t>
      </w:r>
      <w:r>
        <w:rPr/>
        <w:t>critical</w:t>
      </w:r>
      <w:r>
        <w:rPr>
          <w:spacing w:val="-3"/>
        </w:rPr>
        <w:t> </w:t>
      </w:r>
      <w:r>
        <w:rPr/>
        <w:t>elements</w:t>
      </w:r>
      <w:r>
        <w:rPr>
          <w:spacing w:val="-3"/>
        </w:rPr>
        <w:t> </w:t>
      </w:r>
      <w:r>
        <w:rPr/>
        <w:t>of</w:t>
      </w:r>
      <w:r>
        <w:rPr>
          <w:spacing w:val="-3"/>
        </w:rPr>
        <w:t> </w:t>
      </w:r>
      <w:r>
        <w:rPr/>
        <w:t>imparting</w:t>
      </w:r>
      <w:r>
        <w:rPr>
          <w:spacing w:val="-3"/>
        </w:rPr>
        <w:t> </w:t>
      </w:r>
      <w:r>
        <w:rPr/>
        <w:t>vocational </w:t>
      </w:r>
      <w:r>
        <w:rPr>
          <w:spacing w:val="-8"/>
        </w:rPr>
        <w:t>education</w:t>
      </w:r>
      <w:r>
        <w:rPr/>
        <w:t> </w:t>
      </w:r>
      <w:r>
        <w:rPr>
          <w:spacing w:val="-8"/>
        </w:rPr>
        <w:t>to</w:t>
      </w:r>
      <w:r>
        <w:rPr/>
        <w:t> </w:t>
      </w:r>
      <w:r>
        <w:rPr>
          <w:spacing w:val="-8"/>
        </w:rPr>
        <w:t>make</w:t>
      </w:r>
      <w:r>
        <w:rPr/>
        <w:t> </w:t>
      </w:r>
      <w:r>
        <w:rPr>
          <w:spacing w:val="-8"/>
        </w:rPr>
        <w:t>them</w:t>
      </w:r>
      <w:r>
        <w:rPr/>
        <w:t> </w:t>
      </w:r>
      <w:r>
        <w:rPr>
          <w:spacing w:val="-8"/>
        </w:rPr>
        <w:t>flexible,</w:t>
      </w:r>
      <w:r>
        <w:rPr/>
        <w:t> </w:t>
      </w:r>
      <w:r>
        <w:rPr>
          <w:spacing w:val="-8"/>
        </w:rPr>
        <w:t>contemporary,</w:t>
      </w:r>
      <w:r>
        <w:rPr/>
        <w:t> </w:t>
      </w:r>
      <w:r>
        <w:rPr>
          <w:spacing w:val="-8"/>
        </w:rPr>
        <w:t>relevant, </w:t>
      </w:r>
      <w:r>
        <w:rPr/>
        <w:t>inclusive</w:t>
      </w:r>
      <w:r>
        <w:rPr>
          <w:spacing w:val="-14"/>
        </w:rPr>
        <w:t> </w:t>
      </w:r>
      <w:r>
        <w:rPr/>
        <w:t>and</w:t>
      </w:r>
      <w:r>
        <w:rPr>
          <w:spacing w:val="-12"/>
        </w:rPr>
        <w:t> </w:t>
      </w:r>
      <w:r>
        <w:rPr/>
        <w:t>creative.</w:t>
      </w:r>
      <w:r>
        <w:rPr>
          <w:spacing w:val="-14"/>
        </w:rPr>
        <w:t> </w:t>
      </w:r>
      <w:r>
        <w:rPr/>
        <w:t>The</w:t>
      </w:r>
      <w:r>
        <w:rPr>
          <w:spacing w:val="-12"/>
        </w:rPr>
        <w:t> </w:t>
      </w:r>
      <w:r>
        <w:rPr/>
        <w:t>Government</w:t>
      </w:r>
      <w:r>
        <w:rPr>
          <w:spacing w:val="-12"/>
        </w:rPr>
        <w:t> </w:t>
      </w:r>
      <w:r>
        <w:rPr/>
        <w:t>is</w:t>
      </w:r>
      <w:r>
        <w:rPr>
          <w:spacing w:val="-12"/>
        </w:rPr>
        <w:t> </w:t>
      </w:r>
      <w:r>
        <w:rPr/>
        <w:t>well</w:t>
      </w:r>
      <w:r>
        <w:rPr>
          <w:spacing w:val="-12"/>
        </w:rPr>
        <w:t> </w:t>
      </w:r>
      <w:r>
        <w:rPr/>
        <w:t>aware of the important role of</w:t>
      </w:r>
      <w:r>
        <w:rPr>
          <w:spacing w:val="-1"/>
        </w:rPr>
        <w:t> </w:t>
      </w:r>
      <w:r>
        <w:rPr/>
        <w:t>VET and has already taken a </w:t>
      </w:r>
      <w:r>
        <w:rPr>
          <w:spacing w:val="-2"/>
        </w:rPr>
        <w:t>number</w:t>
      </w:r>
      <w:r>
        <w:rPr>
          <w:spacing w:val="-12"/>
        </w:rPr>
        <w:t> </w:t>
      </w:r>
      <w:r>
        <w:rPr>
          <w:spacing w:val="-2"/>
        </w:rPr>
        <w:t>of</w:t>
      </w:r>
      <w:r>
        <w:rPr>
          <w:spacing w:val="-12"/>
        </w:rPr>
        <w:t> </w:t>
      </w:r>
      <w:r>
        <w:rPr>
          <w:spacing w:val="-2"/>
        </w:rPr>
        <w:t>important</w:t>
      </w:r>
      <w:r>
        <w:rPr>
          <w:spacing w:val="-12"/>
        </w:rPr>
        <w:t> </w:t>
      </w:r>
      <w:r>
        <w:rPr>
          <w:spacing w:val="-2"/>
        </w:rPr>
        <w:t>initiatives.</w:t>
      </w:r>
      <w:r>
        <w:rPr>
          <w:spacing w:val="-11"/>
        </w:rPr>
        <w:t> </w:t>
      </w:r>
      <w:r>
        <w:rPr>
          <w:spacing w:val="-2"/>
        </w:rPr>
        <w:t>Through</w:t>
      </w:r>
      <w:r>
        <w:rPr>
          <w:spacing w:val="-12"/>
        </w:rPr>
        <w:t> </w:t>
      </w:r>
      <w:r>
        <w:rPr>
          <w:spacing w:val="-2"/>
        </w:rPr>
        <w:t>consultations </w:t>
      </w:r>
      <w:r>
        <w:rPr/>
        <w:t>with industry groups, academics, civil society and </w:t>
      </w:r>
      <w:r>
        <w:rPr>
          <w:spacing w:val="-2"/>
        </w:rPr>
        <w:t>practitioners,</w:t>
      </w:r>
      <w:r>
        <w:rPr>
          <w:spacing w:val="-12"/>
        </w:rPr>
        <w:t> </w:t>
      </w:r>
      <w:r>
        <w:rPr>
          <w:spacing w:val="-2"/>
        </w:rPr>
        <w:t>NKC</w:t>
      </w:r>
      <w:r>
        <w:rPr>
          <w:spacing w:val="-12"/>
        </w:rPr>
        <w:t> </w:t>
      </w:r>
      <w:r>
        <w:rPr>
          <w:spacing w:val="-2"/>
        </w:rPr>
        <w:t>has</w:t>
      </w:r>
      <w:r>
        <w:rPr>
          <w:spacing w:val="-12"/>
        </w:rPr>
        <w:t> </w:t>
      </w:r>
      <w:r>
        <w:rPr>
          <w:spacing w:val="-2"/>
        </w:rPr>
        <w:t>deliberated</w:t>
      </w:r>
      <w:r>
        <w:rPr>
          <w:spacing w:val="-11"/>
        </w:rPr>
        <w:t> </w:t>
      </w:r>
      <w:r>
        <w:rPr>
          <w:spacing w:val="-2"/>
        </w:rPr>
        <w:t>on</w:t>
      </w:r>
      <w:r>
        <w:rPr>
          <w:spacing w:val="-12"/>
        </w:rPr>
        <w:t> </w:t>
      </w:r>
      <w:r>
        <w:rPr>
          <w:spacing w:val="-2"/>
        </w:rPr>
        <w:t>ways</w:t>
      </w:r>
      <w:r>
        <w:rPr>
          <w:spacing w:val="-12"/>
        </w:rPr>
        <w:t> </w:t>
      </w:r>
      <w:r>
        <w:rPr>
          <w:spacing w:val="-2"/>
        </w:rPr>
        <w:t>and</w:t>
      </w:r>
      <w:r>
        <w:rPr>
          <w:spacing w:val="-12"/>
        </w:rPr>
        <w:t> </w:t>
      </w:r>
      <w:r>
        <w:rPr>
          <w:spacing w:val="-2"/>
        </w:rPr>
        <w:t>means </w:t>
      </w:r>
      <w:r>
        <w:rPr/>
        <w:t>to strengthen these initiatives and recommends the following long and short-term strategies.</w:t>
      </w:r>
    </w:p>
    <w:p>
      <w:pPr>
        <w:pStyle w:val="Heading6"/>
        <w:numPr>
          <w:ilvl w:val="0"/>
          <w:numId w:val="18"/>
        </w:numPr>
        <w:tabs>
          <w:tab w:pos="1404" w:val="left" w:leader="none"/>
          <w:tab w:pos="1406" w:val="left" w:leader="none"/>
        </w:tabs>
        <w:spacing w:line="182" w:lineRule="auto" w:before="247" w:after="0"/>
        <w:ind w:left="1406" w:right="372" w:hanging="327"/>
        <w:jc w:val="left"/>
      </w:pPr>
      <w:r>
        <w:rPr>
          <w:color w:val="2E614A"/>
          <w:spacing w:val="-2"/>
        </w:rPr>
        <w:t>Place</w:t>
      </w:r>
      <w:r>
        <w:rPr>
          <w:color w:val="2E614A"/>
          <w:spacing w:val="-18"/>
        </w:rPr>
        <w:t> </w:t>
      </w:r>
      <w:r>
        <w:rPr>
          <w:color w:val="2E614A"/>
          <w:spacing w:val="-2"/>
        </w:rPr>
        <w:t>vocational</w:t>
      </w:r>
      <w:r>
        <w:rPr>
          <w:color w:val="2E614A"/>
          <w:spacing w:val="-18"/>
        </w:rPr>
        <w:t> </w:t>
      </w:r>
      <w:r>
        <w:rPr>
          <w:color w:val="2E614A"/>
          <w:spacing w:val="-2"/>
        </w:rPr>
        <w:t>education entirely</w:t>
      </w:r>
      <w:r>
        <w:rPr>
          <w:color w:val="2E614A"/>
          <w:spacing w:val="-18"/>
        </w:rPr>
        <w:t> </w:t>
      </w:r>
      <w:r>
        <w:rPr>
          <w:color w:val="2E614A"/>
          <w:spacing w:val="-2"/>
        </w:rPr>
        <w:t>under</w:t>
      </w:r>
      <w:r>
        <w:rPr>
          <w:color w:val="2E614A"/>
          <w:spacing w:val="-18"/>
        </w:rPr>
        <w:t> </w:t>
      </w:r>
      <w:r>
        <w:rPr>
          <w:color w:val="2E614A"/>
          <w:spacing w:val="-2"/>
        </w:rPr>
        <w:t>the</w:t>
      </w:r>
      <w:r>
        <w:rPr>
          <w:color w:val="2E614A"/>
          <w:spacing w:val="-18"/>
        </w:rPr>
        <w:t> </w:t>
      </w:r>
      <w:r>
        <w:rPr>
          <w:color w:val="2E614A"/>
          <w:spacing w:val="-2"/>
        </w:rPr>
        <w:t>Ministry</w:t>
      </w:r>
      <w:r>
        <w:rPr>
          <w:color w:val="2E614A"/>
          <w:spacing w:val="-18"/>
        </w:rPr>
        <w:t> </w:t>
      </w:r>
      <w:r>
        <w:rPr>
          <w:color w:val="2E614A"/>
          <w:spacing w:val="-2"/>
        </w:rPr>
        <w:t>of </w:t>
      </w:r>
      <w:r>
        <w:rPr>
          <w:color w:val="2E614A"/>
          <w:spacing w:val="-12"/>
        </w:rPr>
        <w:t>Human</w:t>
      </w:r>
      <w:r>
        <w:rPr>
          <w:color w:val="2E614A"/>
          <w:spacing w:val="-3"/>
        </w:rPr>
        <w:t> </w:t>
      </w:r>
      <w:r>
        <w:rPr>
          <w:color w:val="2E614A"/>
          <w:spacing w:val="-12"/>
        </w:rPr>
        <w:t>Resource</w:t>
      </w:r>
      <w:r>
        <w:rPr>
          <w:color w:val="2E614A"/>
          <w:spacing w:val="-3"/>
        </w:rPr>
        <w:t> </w:t>
      </w:r>
      <w:r>
        <w:rPr>
          <w:color w:val="2E614A"/>
          <w:spacing w:val="-12"/>
        </w:rPr>
        <w:t>Development </w:t>
      </w:r>
      <w:r>
        <w:rPr>
          <w:color w:val="2E614A"/>
          <w:spacing w:val="-2"/>
        </w:rPr>
        <w:t>(MHRD)</w:t>
      </w:r>
    </w:p>
    <w:p>
      <w:pPr>
        <w:pStyle w:val="BodyText"/>
        <w:spacing w:line="266" w:lineRule="auto" w:before="303"/>
        <w:ind w:left="1079"/>
        <w:jc w:val="both"/>
      </w:pPr>
      <w:r>
        <w:rPr/>
        <w:t>In view of the role of VET in human </w:t>
      </w:r>
      <w:r>
        <w:rPr/>
        <w:t>resource </w:t>
      </w:r>
      <w:r>
        <w:rPr>
          <w:spacing w:val="-2"/>
        </w:rPr>
        <w:t>development</w:t>
      </w:r>
      <w:r>
        <w:rPr>
          <w:spacing w:val="-8"/>
        </w:rPr>
        <w:t> </w:t>
      </w:r>
      <w:r>
        <w:rPr>
          <w:spacing w:val="-2"/>
        </w:rPr>
        <w:t>and</w:t>
      </w:r>
      <w:r>
        <w:rPr>
          <w:spacing w:val="-8"/>
        </w:rPr>
        <w:t> </w:t>
      </w:r>
      <w:r>
        <w:rPr>
          <w:spacing w:val="-2"/>
        </w:rPr>
        <w:t>importance</w:t>
      </w:r>
      <w:r>
        <w:rPr>
          <w:spacing w:val="-8"/>
        </w:rPr>
        <w:t> </w:t>
      </w:r>
      <w:r>
        <w:rPr>
          <w:spacing w:val="-2"/>
        </w:rPr>
        <w:t>of</w:t>
      </w:r>
      <w:r>
        <w:rPr>
          <w:spacing w:val="-8"/>
        </w:rPr>
        <w:t> </w:t>
      </w:r>
      <w:r>
        <w:rPr>
          <w:spacing w:val="-2"/>
        </w:rPr>
        <w:t>its</w:t>
      </w:r>
      <w:r>
        <w:rPr>
          <w:spacing w:val="-8"/>
        </w:rPr>
        <w:t> </w:t>
      </w:r>
      <w:r>
        <w:rPr>
          <w:spacing w:val="-2"/>
        </w:rPr>
        <w:t>linkages</w:t>
      </w:r>
      <w:r>
        <w:rPr>
          <w:spacing w:val="-8"/>
        </w:rPr>
        <w:t> </w:t>
      </w:r>
      <w:r>
        <w:rPr>
          <w:spacing w:val="-2"/>
        </w:rPr>
        <w:t>with</w:t>
      </w:r>
      <w:r>
        <w:rPr>
          <w:spacing w:val="-8"/>
        </w:rPr>
        <w:t> </w:t>
      </w:r>
      <w:r>
        <w:rPr>
          <w:spacing w:val="-2"/>
        </w:rPr>
        <w:t>other </w:t>
      </w:r>
      <w:r>
        <w:rPr/>
        <w:t>streams of education, the Government may consider placing all aspects of VET under MHRD. Currently, VET falls under the purview of MHRD as well as</w:t>
      </w:r>
      <w:r>
        <w:rPr>
          <w:spacing w:val="40"/>
        </w:rPr>
        <w:t> </w:t>
      </w:r>
      <w:r>
        <w:rPr/>
        <w:t>the Ministry of Labour, which leads to fragmented management of the VET framework. MHRD may consider</w:t>
      </w:r>
      <w:r>
        <w:rPr>
          <w:spacing w:val="-12"/>
        </w:rPr>
        <w:t> </w:t>
      </w:r>
      <w:r>
        <w:rPr/>
        <w:t>setting</w:t>
      </w:r>
      <w:r>
        <w:rPr>
          <w:spacing w:val="-12"/>
        </w:rPr>
        <w:t> </w:t>
      </w:r>
      <w:r>
        <w:rPr/>
        <w:t>up</w:t>
      </w:r>
      <w:r>
        <w:rPr>
          <w:spacing w:val="-12"/>
        </w:rPr>
        <w:t> </w:t>
      </w:r>
      <w:r>
        <w:rPr/>
        <w:t>a</w:t>
      </w:r>
      <w:r>
        <w:rPr>
          <w:spacing w:val="-12"/>
        </w:rPr>
        <w:t> </w:t>
      </w:r>
      <w:r>
        <w:rPr/>
        <w:t>National</w:t>
      </w:r>
      <w:r>
        <w:rPr>
          <w:spacing w:val="-12"/>
        </w:rPr>
        <w:t> </w:t>
      </w:r>
      <w:r>
        <w:rPr/>
        <w:t>Institute</w:t>
      </w:r>
      <w:r>
        <w:rPr>
          <w:spacing w:val="-12"/>
        </w:rPr>
        <w:t> </w:t>
      </w:r>
      <w:r>
        <w:rPr/>
        <w:t>for</w:t>
      </w:r>
      <w:r>
        <w:rPr>
          <w:spacing w:val="-14"/>
        </w:rPr>
        <w:t> </w:t>
      </w:r>
      <w:r>
        <w:rPr/>
        <w:t>Vocational Education Planning and Development to formulate </w:t>
      </w:r>
      <w:r>
        <w:rPr>
          <w:spacing w:val="-6"/>
        </w:rPr>
        <w:t>strategy, advise the Government, and undertake research </w:t>
      </w:r>
      <w:r>
        <w:rPr>
          <w:spacing w:val="-2"/>
        </w:rPr>
        <w:t>and</w:t>
      </w:r>
      <w:r>
        <w:rPr>
          <w:spacing w:val="-11"/>
        </w:rPr>
        <w:t> </w:t>
      </w:r>
      <w:r>
        <w:rPr>
          <w:spacing w:val="-2"/>
        </w:rPr>
        <w:t>development</w:t>
      </w:r>
      <w:r>
        <w:rPr>
          <w:spacing w:val="-11"/>
        </w:rPr>
        <w:t> </w:t>
      </w:r>
      <w:r>
        <w:rPr>
          <w:spacing w:val="-2"/>
        </w:rPr>
        <w:t>in</w:t>
      </w:r>
      <w:r>
        <w:rPr>
          <w:spacing w:val="-11"/>
        </w:rPr>
        <w:t> </w:t>
      </w:r>
      <w:r>
        <w:rPr>
          <w:spacing w:val="-2"/>
        </w:rPr>
        <w:t>areas</w:t>
      </w:r>
      <w:r>
        <w:rPr>
          <w:spacing w:val="-11"/>
        </w:rPr>
        <w:t> </w:t>
      </w:r>
      <w:r>
        <w:rPr>
          <w:spacing w:val="-2"/>
        </w:rPr>
        <w:t>pertaining</w:t>
      </w:r>
      <w:r>
        <w:rPr>
          <w:spacing w:val="-11"/>
        </w:rPr>
        <w:t> </w:t>
      </w:r>
      <w:r>
        <w:rPr>
          <w:spacing w:val="-2"/>
        </w:rPr>
        <w:t>to</w:t>
      </w:r>
      <w:r>
        <w:rPr>
          <w:spacing w:val="-11"/>
        </w:rPr>
        <w:t> </w:t>
      </w:r>
      <w:r>
        <w:rPr>
          <w:spacing w:val="-2"/>
        </w:rPr>
        <w:t>technology</w:t>
      </w:r>
      <w:r>
        <w:rPr>
          <w:spacing w:val="-11"/>
        </w:rPr>
        <w:t> </w:t>
      </w:r>
      <w:r>
        <w:rPr>
          <w:spacing w:val="-2"/>
        </w:rPr>
        <w:t>and </w:t>
      </w:r>
      <w:r>
        <w:rPr/>
        <w:t>workforce development.</w:t>
      </w:r>
    </w:p>
    <w:p>
      <w:pPr>
        <w:pStyle w:val="Heading6"/>
        <w:numPr>
          <w:ilvl w:val="0"/>
          <w:numId w:val="18"/>
        </w:numPr>
        <w:tabs>
          <w:tab w:pos="1404" w:val="left" w:leader="none"/>
          <w:tab w:pos="1406" w:val="left" w:leader="none"/>
        </w:tabs>
        <w:spacing w:line="182" w:lineRule="auto" w:before="248" w:after="0"/>
        <w:ind w:left="1406" w:right="163" w:hanging="327"/>
        <w:jc w:val="left"/>
      </w:pPr>
      <w:r>
        <w:rPr>
          <w:color w:val="2E614A"/>
          <w:spacing w:val="-4"/>
        </w:rPr>
        <w:t>Increase</w:t>
      </w:r>
      <w:r>
        <w:rPr>
          <w:color w:val="2E614A"/>
          <w:spacing w:val="-16"/>
        </w:rPr>
        <w:t> </w:t>
      </w:r>
      <w:r>
        <w:rPr>
          <w:color w:val="2E614A"/>
          <w:spacing w:val="-4"/>
        </w:rPr>
        <w:t>the</w:t>
      </w:r>
      <w:r>
        <w:rPr>
          <w:color w:val="2E614A"/>
          <w:spacing w:val="-16"/>
        </w:rPr>
        <w:t> </w:t>
      </w:r>
      <w:r>
        <w:rPr>
          <w:color w:val="2E614A"/>
          <w:spacing w:val="-4"/>
        </w:rPr>
        <w:t>flexibility</w:t>
      </w:r>
      <w:r>
        <w:rPr>
          <w:color w:val="2E614A"/>
          <w:spacing w:val="-16"/>
        </w:rPr>
        <w:t> </w:t>
      </w:r>
      <w:r>
        <w:rPr>
          <w:color w:val="2E614A"/>
          <w:spacing w:val="-4"/>
        </w:rPr>
        <w:t>of</w:t>
      </w:r>
      <w:r>
        <w:rPr>
          <w:color w:val="2E614A"/>
          <w:spacing w:val="-16"/>
        </w:rPr>
        <w:t> </w:t>
      </w:r>
      <w:r>
        <w:rPr>
          <w:color w:val="2E614A"/>
          <w:spacing w:val="-4"/>
        </w:rPr>
        <w:t>VET </w:t>
      </w:r>
      <w:r>
        <w:rPr>
          <w:color w:val="2E614A"/>
          <w:w w:val="90"/>
        </w:rPr>
        <w:t>within the mainstream </w:t>
      </w:r>
      <w:r>
        <w:rPr>
          <w:color w:val="2E614A"/>
          <w:w w:val="90"/>
        </w:rPr>
        <w:t>education </w:t>
      </w:r>
      <w:r>
        <w:rPr>
          <w:color w:val="2E614A"/>
        </w:rPr>
        <w:t>system</w:t>
      </w:r>
      <w:r>
        <w:rPr>
          <w:color w:val="2E614A"/>
          <w:spacing w:val="-20"/>
        </w:rPr>
        <w:t> </w:t>
      </w:r>
      <w:r>
        <w:rPr>
          <w:color w:val="2E614A"/>
        </w:rPr>
        <w:t>through</w:t>
      </w:r>
      <w:r>
        <w:rPr>
          <w:color w:val="2E614A"/>
          <w:spacing w:val="-20"/>
        </w:rPr>
        <w:t> </w:t>
      </w:r>
      <w:r>
        <w:rPr>
          <w:color w:val="2E614A"/>
        </w:rPr>
        <w:t>the</w:t>
      </w:r>
      <w:r>
        <w:rPr>
          <w:color w:val="2E614A"/>
          <w:spacing w:val="-20"/>
        </w:rPr>
        <w:t> </w:t>
      </w:r>
      <w:r>
        <w:rPr>
          <w:color w:val="2E614A"/>
        </w:rPr>
        <w:t>following </w:t>
      </w:r>
      <w:r>
        <w:rPr>
          <w:color w:val="2E614A"/>
          <w:spacing w:val="-2"/>
        </w:rPr>
        <w:t>steps</w:t>
      </w:r>
    </w:p>
    <w:p>
      <w:pPr>
        <w:pStyle w:val="ListParagraph"/>
        <w:numPr>
          <w:ilvl w:val="1"/>
          <w:numId w:val="18"/>
        </w:numPr>
        <w:tabs>
          <w:tab w:pos="1439" w:val="left" w:leader="none"/>
        </w:tabs>
        <w:spacing w:line="266" w:lineRule="auto" w:before="303" w:after="0"/>
        <w:ind w:left="1439" w:right="1" w:hanging="360"/>
        <w:jc w:val="left"/>
        <w:rPr>
          <w:sz w:val="22"/>
        </w:rPr>
      </w:pPr>
      <w:r>
        <w:rPr>
          <w:sz w:val="22"/>
        </w:rPr>
        <w:t>Aspects</w:t>
      </w:r>
      <w:r>
        <w:rPr>
          <w:spacing w:val="13"/>
          <w:sz w:val="22"/>
        </w:rPr>
        <w:t> </w:t>
      </w:r>
      <w:r>
        <w:rPr>
          <w:sz w:val="22"/>
        </w:rPr>
        <w:t>of</w:t>
      </w:r>
      <w:r>
        <w:rPr>
          <w:spacing w:val="14"/>
          <w:sz w:val="22"/>
        </w:rPr>
        <w:t> </w:t>
      </w:r>
      <w:r>
        <w:rPr>
          <w:sz w:val="22"/>
        </w:rPr>
        <w:t>general</w:t>
      </w:r>
      <w:r>
        <w:rPr>
          <w:spacing w:val="14"/>
          <w:sz w:val="22"/>
        </w:rPr>
        <w:t> </w:t>
      </w:r>
      <w:r>
        <w:rPr>
          <w:sz w:val="22"/>
        </w:rPr>
        <w:t>education</w:t>
      </w:r>
      <w:r>
        <w:rPr>
          <w:spacing w:val="14"/>
          <w:sz w:val="22"/>
        </w:rPr>
        <w:t> </w:t>
      </w:r>
      <w:r>
        <w:rPr>
          <w:sz w:val="22"/>
        </w:rPr>
        <w:t>(such</w:t>
      </w:r>
      <w:r>
        <w:rPr>
          <w:spacing w:val="14"/>
          <w:sz w:val="22"/>
        </w:rPr>
        <w:t> </w:t>
      </w:r>
      <w:r>
        <w:rPr>
          <w:sz w:val="22"/>
        </w:rPr>
        <w:t>as</w:t>
      </w:r>
      <w:r>
        <w:rPr>
          <w:spacing w:val="14"/>
          <w:sz w:val="22"/>
        </w:rPr>
        <w:t> </w:t>
      </w:r>
      <w:r>
        <w:rPr>
          <w:sz w:val="22"/>
        </w:rPr>
        <w:t>numeracy </w:t>
      </w:r>
      <w:r>
        <w:rPr>
          <w:spacing w:val="-6"/>
          <w:sz w:val="22"/>
        </w:rPr>
        <w:t>skills)</w:t>
      </w:r>
      <w:r>
        <w:rPr>
          <w:spacing w:val="-18"/>
          <w:sz w:val="22"/>
        </w:rPr>
        <w:t> </w:t>
      </w:r>
      <w:r>
        <w:rPr>
          <w:spacing w:val="-6"/>
          <w:sz w:val="22"/>
        </w:rPr>
        <w:t>should</w:t>
      </w:r>
      <w:r>
        <w:rPr>
          <w:spacing w:val="-18"/>
          <w:sz w:val="22"/>
        </w:rPr>
        <w:t> </w:t>
      </w:r>
      <w:r>
        <w:rPr>
          <w:spacing w:val="-6"/>
          <w:sz w:val="22"/>
        </w:rPr>
        <w:t>be</w:t>
      </w:r>
      <w:r>
        <w:rPr>
          <w:spacing w:val="-18"/>
          <w:sz w:val="22"/>
        </w:rPr>
        <w:t> </w:t>
      </w:r>
      <w:r>
        <w:rPr>
          <w:spacing w:val="-6"/>
          <w:sz w:val="22"/>
        </w:rPr>
        <w:t>retained</w:t>
      </w:r>
      <w:r>
        <w:rPr>
          <w:spacing w:val="-18"/>
          <w:sz w:val="22"/>
        </w:rPr>
        <w:t> </w:t>
      </w:r>
      <w:r>
        <w:rPr>
          <w:spacing w:val="-6"/>
          <w:sz w:val="22"/>
        </w:rPr>
        <w:t>in</w:t>
      </w:r>
      <w:r>
        <w:rPr>
          <w:spacing w:val="-22"/>
          <w:sz w:val="22"/>
        </w:rPr>
        <w:t> </w:t>
      </w:r>
      <w:r>
        <w:rPr>
          <w:spacing w:val="-6"/>
          <w:sz w:val="22"/>
        </w:rPr>
        <w:t>VET</w:t>
      </w:r>
      <w:r>
        <w:rPr>
          <w:spacing w:val="-18"/>
          <w:sz w:val="22"/>
        </w:rPr>
        <w:t> </w:t>
      </w:r>
      <w:r>
        <w:rPr>
          <w:spacing w:val="-6"/>
          <w:sz w:val="22"/>
        </w:rPr>
        <w:t>as</w:t>
      </w:r>
      <w:r>
        <w:rPr>
          <w:spacing w:val="-18"/>
          <w:sz w:val="22"/>
        </w:rPr>
        <w:t> </w:t>
      </w:r>
      <w:r>
        <w:rPr>
          <w:spacing w:val="-6"/>
          <w:sz w:val="22"/>
        </w:rPr>
        <w:t>far</w:t>
      </w:r>
      <w:r>
        <w:rPr>
          <w:spacing w:val="-18"/>
          <w:sz w:val="22"/>
        </w:rPr>
        <w:t> </w:t>
      </w:r>
      <w:r>
        <w:rPr>
          <w:spacing w:val="-6"/>
          <w:sz w:val="22"/>
        </w:rPr>
        <w:t>as</w:t>
      </w:r>
      <w:r>
        <w:rPr>
          <w:spacing w:val="-18"/>
          <w:sz w:val="22"/>
        </w:rPr>
        <w:t> </w:t>
      </w:r>
      <w:r>
        <w:rPr>
          <w:spacing w:val="-6"/>
          <w:sz w:val="22"/>
        </w:rPr>
        <w:t>possible,</w:t>
      </w:r>
      <w:r>
        <w:rPr>
          <w:spacing w:val="-18"/>
          <w:sz w:val="22"/>
        </w:rPr>
        <w:t> </w:t>
      </w:r>
      <w:r>
        <w:rPr>
          <w:spacing w:val="-6"/>
          <w:sz w:val="22"/>
        </w:rPr>
        <w:t>to</w:t>
      </w:r>
    </w:p>
    <w:p>
      <w:pPr>
        <w:pStyle w:val="BodyText"/>
        <w:spacing w:line="266" w:lineRule="auto" w:before="82"/>
        <w:ind w:left="679" w:right="1078"/>
        <w:jc w:val="both"/>
      </w:pPr>
      <w:r>
        <w:rPr/>
        <w:br w:type="column"/>
      </w:r>
      <w:r>
        <w:rPr/>
        <w:t>enable</w:t>
      </w:r>
      <w:r>
        <w:rPr>
          <w:spacing w:val="-13"/>
        </w:rPr>
        <w:t> </w:t>
      </w:r>
      <w:r>
        <w:rPr/>
        <w:t>students</w:t>
      </w:r>
      <w:r>
        <w:rPr>
          <w:spacing w:val="-13"/>
        </w:rPr>
        <w:t> </w:t>
      </w:r>
      <w:r>
        <w:rPr/>
        <w:t>to</w:t>
      </w:r>
      <w:r>
        <w:rPr>
          <w:spacing w:val="-13"/>
        </w:rPr>
        <w:t> </w:t>
      </w:r>
      <w:r>
        <w:rPr/>
        <w:t>return</w:t>
      </w:r>
      <w:r>
        <w:rPr>
          <w:spacing w:val="-13"/>
        </w:rPr>
        <w:t> </w:t>
      </w:r>
      <w:r>
        <w:rPr/>
        <w:t>to</w:t>
      </w:r>
      <w:r>
        <w:rPr>
          <w:spacing w:val="-13"/>
        </w:rPr>
        <w:t> </w:t>
      </w:r>
      <w:r>
        <w:rPr/>
        <w:t>mainstream</w:t>
      </w:r>
      <w:r>
        <w:rPr>
          <w:spacing w:val="-13"/>
        </w:rPr>
        <w:t> </w:t>
      </w:r>
      <w:r>
        <w:rPr/>
        <w:t>education at a later stage.</w:t>
      </w:r>
    </w:p>
    <w:p>
      <w:pPr>
        <w:pStyle w:val="ListParagraph"/>
        <w:numPr>
          <w:ilvl w:val="1"/>
          <w:numId w:val="18"/>
        </w:numPr>
        <w:tabs>
          <w:tab w:pos="679" w:val="left" w:leader="none"/>
        </w:tabs>
        <w:spacing w:line="266" w:lineRule="auto" w:before="0" w:after="0"/>
        <w:ind w:left="679" w:right="1077" w:hanging="360"/>
        <w:jc w:val="both"/>
        <w:rPr>
          <w:sz w:val="22"/>
        </w:rPr>
      </w:pPr>
      <w:r>
        <w:rPr>
          <w:sz w:val="22"/>
        </w:rPr>
        <w:t>Courses in training institutes and </w:t>
      </w:r>
      <w:r>
        <w:rPr>
          <w:sz w:val="22"/>
        </w:rPr>
        <w:t>polytechnics </w:t>
      </w:r>
      <w:r>
        <w:rPr>
          <w:spacing w:val="-2"/>
          <w:sz w:val="22"/>
        </w:rPr>
        <w:t>should</w:t>
      </w:r>
      <w:r>
        <w:rPr>
          <w:spacing w:val="-12"/>
          <w:sz w:val="22"/>
        </w:rPr>
        <w:t> </w:t>
      </w:r>
      <w:r>
        <w:rPr>
          <w:spacing w:val="-2"/>
          <w:sz w:val="22"/>
        </w:rPr>
        <w:t>have</w:t>
      </w:r>
      <w:r>
        <w:rPr>
          <w:spacing w:val="-12"/>
          <w:sz w:val="22"/>
        </w:rPr>
        <w:t> </w:t>
      </w:r>
      <w:r>
        <w:rPr>
          <w:spacing w:val="-2"/>
          <w:sz w:val="22"/>
        </w:rPr>
        <w:t>distinct</w:t>
      </w:r>
      <w:r>
        <w:rPr>
          <w:spacing w:val="-12"/>
          <w:sz w:val="22"/>
        </w:rPr>
        <w:t> </w:t>
      </w:r>
      <w:r>
        <w:rPr>
          <w:spacing w:val="-2"/>
          <w:sz w:val="22"/>
        </w:rPr>
        <w:t>tracks</w:t>
      </w:r>
      <w:r>
        <w:rPr>
          <w:spacing w:val="-11"/>
          <w:sz w:val="22"/>
        </w:rPr>
        <w:t> </w:t>
      </w:r>
      <w:r>
        <w:rPr>
          <w:spacing w:val="-2"/>
          <w:sz w:val="22"/>
        </w:rPr>
        <w:t>for</w:t>
      </w:r>
      <w:r>
        <w:rPr>
          <w:spacing w:val="-12"/>
          <w:sz w:val="22"/>
        </w:rPr>
        <w:t> </w:t>
      </w:r>
      <w:r>
        <w:rPr>
          <w:spacing w:val="-2"/>
          <w:sz w:val="22"/>
        </w:rPr>
        <w:t>students</w:t>
      </w:r>
      <w:r>
        <w:rPr>
          <w:spacing w:val="-12"/>
          <w:sz w:val="22"/>
        </w:rPr>
        <w:t> </w:t>
      </w:r>
      <w:r>
        <w:rPr>
          <w:spacing w:val="-2"/>
          <w:sz w:val="22"/>
        </w:rPr>
        <w:t>of</w:t>
      </w:r>
      <w:r>
        <w:rPr>
          <w:spacing w:val="-12"/>
          <w:sz w:val="22"/>
        </w:rPr>
        <w:t> </w:t>
      </w:r>
      <w:r>
        <w:rPr>
          <w:spacing w:val="-2"/>
          <w:sz w:val="22"/>
        </w:rPr>
        <w:t>different </w:t>
      </w:r>
      <w:r>
        <w:rPr>
          <w:sz w:val="22"/>
        </w:rPr>
        <w:t>educational attainments.</w:t>
      </w:r>
    </w:p>
    <w:p>
      <w:pPr>
        <w:pStyle w:val="ListParagraph"/>
        <w:numPr>
          <w:ilvl w:val="1"/>
          <w:numId w:val="18"/>
        </w:numPr>
        <w:tabs>
          <w:tab w:pos="679" w:val="left" w:leader="none"/>
        </w:tabs>
        <w:spacing w:line="266" w:lineRule="auto" w:before="0" w:after="0"/>
        <w:ind w:left="679" w:right="1077" w:hanging="360"/>
        <w:jc w:val="both"/>
        <w:rPr>
          <w:sz w:val="22"/>
        </w:rPr>
      </w:pPr>
      <w:r>
        <w:rPr>
          <w:spacing w:val="-4"/>
          <w:sz w:val="22"/>
        </w:rPr>
        <w:t>Entry requirements for certain trades should reflect </w:t>
      </w:r>
      <w:r>
        <w:rPr>
          <w:sz w:val="22"/>
        </w:rPr>
        <w:t>the requirement of the trade (as appropriate, for instance the entry requirement of Class X </w:t>
      </w:r>
      <w:r>
        <w:rPr>
          <w:sz w:val="22"/>
        </w:rPr>
        <w:t>could be</w:t>
      </w:r>
      <w:r>
        <w:rPr>
          <w:spacing w:val="-1"/>
          <w:sz w:val="22"/>
        </w:rPr>
        <w:t> </w:t>
      </w:r>
      <w:r>
        <w:rPr>
          <w:sz w:val="22"/>
        </w:rPr>
        <w:t>relaxed</w:t>
      </w:r>
      <w:r>
        <w:rPr>
          <w:spacing w:val="-1"/>
          <w:sz w:val="22"/>
        </w:rPr>
        <w:t> </w:t>
      </w:r>
      <w:r>
        <w:rPr>
          <w:sz w:val="22"/>
        </w:rPr>
        <w:t>to</w:t>
      </w:r>
      <w:r>
        <w:rPr>
          <w:spacing w:val="-1"/>
          <w:sz w:val="22"/>
        </w:rPr>
        <w:t> </w:t>
      </w:r>
      <w:r>
        <w:rPr>
          <w:sz w:val="22"/>
        </w:rPr>
        <w:t>Class</w:t>
      </w:r>
      <w:r>
        <w:rPr>
          <w:spacing w:val="-3"/>
          <w:sz w:val="22"/>
        </w:rPr>
        <w:t> </w:t>
      </w:r>
      <w:r>
        <w:rPr>
          <w:sz w:val="22"/>
        </w:rPr>
        <w:t>VIII</w:t>
      </w:r>
      <w:r>
        <w:rPr>
          <w:spacing w:val="-1"/>
          <w:sz w:val="22"/>
        </w:rPr>
        <w:t> </w:t>
      </w:r>
      <w:r>
        <w:rPr>
          <w:sz w:val="22"/>
        </w:rPr>
        <w:t>in</w:t>
      </w:r>
      <w:r>
        <w:rPr>
          <w:spacing w:val="-1"/>
          <w:sz w:val="22"/>
        </w:rPr>
        <w:t> </w:t>
      </w:r>
      <w:r>
        <w:rPr>
          <w:sz w:val="22"/>
        </w:rPr>
        <w:t>some</w:t>
      </w:r>
      <w:r>
        <w:rPr>
          <w:spacing w:val="-1"/>
          <w:sz w:val="22"/>
        </w:rPr>
        <w:t> </w:t>
      </w:r>
      <w:r>
        <w:rPr>
          <w:sz w:val="22"/>
        </w:rPr>
        <w:t>cases).</w:t>
      </w:r>
      <w:r>
        <w:rPr>
          <w:spacing w:val="-1"/>
          <w:sz w:val="22"/>
        </w:rPr>
        <w:t> </w:t>
      </w:r>
      <w:r>
        <w:rPr>
          <w:sz w:val="22"/>
        </w:rPr>
        <w:t>Students </w:t>
      </w:r>
      <w:r>
        <w:rPr>
          <w:spacing w:val="-4"/>
          <w:sz w:val="22"/>
        </w:rPr>
        <w:t>should be permitted multiple entry and exit options </w:t>
      </w:r>
      <w:r>
        <w:rPr>
          <w:sz w:val="22"/>
        </w:rPr>
        <w:t>in the vocational education stream.</w:t>
      </w:r>
    </w:p>
    <w:p>
      <w:pPr>
        <w:pStyle w:val="ListParagraph"/>
        <w:numPr>
          <w:ilvl w:val="1"/>
          <w:numId w:val="18"/>
        </w:numPr>
        <w:tabs>
          <w:tab w:pos="677" w:val="left" w:leader="none"/>
          <w:tab w:pos="679" w:val="left" w:leader="none"/>
        </w:tabs>
        <w:spacing w:line="266" w:lineRule="auto" w:before="0" w:after="0"/>
        <w:ind w:left="679" w:right="1078" w:hanging="360"/>
        <w:jc w:val="both"/>
        <w:rPr>
          <w:sz w:val="22"/>
        </w:rPr>
      </w:pPr>
      <w:r>
        <w:rPr>
          <w:spacing w:val="-4"/>
          <w:sz w:val="22"/>
        </w:rPr>
        <w:t>Links</w:t>
      </w:r>
      <w:r>
        <w:rPr>
          <w:spacing w:val="-8"/>
          <w:sz w:val="22"/>
        </w:rPr>
        <w:t> </w:t>
      </w:r>
      <w:r>
        <w:rPr>
          <w:spacing w:val="-4"/>
          <w:sz w:val="22"/>
        </w:rPr>
        <w:t>should</w:t>
      </w:r>
      <w:r>
        <w:rPr>
          <w:spacing w:val="-8"/>
          <w:sz w:val="22"/>
        </w:rPr>
        <w:t> </w:t>
      </w:r>
      <w:r>
        <w:rPr>
          <w:spacing w:val="-4"/>
          <w:sz w:val="22"/>
        </w:rPr>
        <w:t>be</w:t>
      </w:r>
      <w:r>
        <w:rPr>
          <w:spacing w:val="-8"/>
          <w:sz w:val="22"/>
        </w:rPr>
        <w:t> </w:t>
      </w:r>
      <w:r>
        <w:rPr>
          <w:spacing w:val="-4"/>
          <w:sz w:val="22"/>
        </w:rPr>
        <w:t>established</w:t>
      </w:r>
      <w:r>
        <w:rPr>
          <w:spacing w:val="-8"/>
          <w:sz w:val="22"/>
        </w:rPr>
        <w:t> </w:t>
      </w:r>
      <w:r>
        <w:rPr>
          <w:spacing w:val="-4"/>
          <w:sz w:val="22"/>
        </w:rPr>
        <w:t>between</w:t>
      </w:r>
      <w:r>
        <w:rPr>
          <w:spacing w:val="-8"/>
          <w:sz w:val="22"/>
        </w:rPr>
        <w:t> </w:t>
      </w:r>
      <w:r>
        <w:rPr>
          <w:spacing w:val="-4"/>
          <w:sz w:val="22"/>
        </w:rPr>
        <w:t>the</w:t>
      </w:r>
      <w:r>
        <w:rPr>
          <w:spacing w:val="-8"/>
          <w:sz w:val="22"/>
        </w:rPr>
        <w:t> </w:t>
      </w:r>
      <w:r>
        <w:rPr>
          <w:spacing w:val="-4"/>
          <w:sz w:val="22"/>
        </w:rPr>
        <w:t>vocational </w:t>
      </w:r>
      <w:r>
        <w:rPr>
          <w:sz w:val="22"/>
        </w:rPr>
        <w:t>education</w:t>
      </w:r>
      <w:r>
        <w:rPr>
          <w:spacing w:val="-3"/>
          <w:sz w:val="22"/>
        </w:rPr>
        <w:t> </w:t>
      </w:r>
      <w:r>
        <w:rPr>
          <w:sz w:val="22"/>
        </w:rPr>
        <w:t>stream</w:t>
      </w:r>
      <w:r>
        <w:rPr>
          <w:spacing w:val="-3"/>
          <w:sz w:val="22"/>
        </w:rPr>
        <w:t> </w:t>
      </w:r>
      <w:r>
        <w:rPr>
          <w:sz w:val="22"/>
        </w:rPr>
        <w:t>and</w:t>
      </w:r>
      <w:r>
        <w:rPr>
          <w:spacing w:val="-3"/>
          <w:sz w:val="22"/>
        </w:rPr>
        <w:t> </w:t>
      </w:r>
      <w:r>
        <w:rPr>
          <w:sz w:val="22"/>
        </w:rPr>
        <w:t>school</w:t>
      </w:r>
      <w:r>
        <w:rPr>
          <w:spacing w:val="-3"/>
          <w:sz w:val="22"/>
        </w:rPr>
        <w:t> </w:t>
      </w:r>
      <w:r>
        <w:rPr>
          <w:sz w:val="22"/>
        </w:rPr>
        <w:t>education</w:t>
      </w:r>
      <w:r>
        <w:rPr>
          <w:spacing w:val="-3"/>
          <w:sz w:val="22"/>
        </w:rPr>
        <w:t> </w:t>
      </w:r>
      <w:r>
        <w:rPr>
          <w:sz w:val="22"/>
        </w:rPr>
        <w:t>as</w:t>
      </w:r>
      <w:r>
        <w:rPr>
          <w:spacing w:val="-3"/>
          <w:sz w:val="22"/>
        </w:rPr>
        <w:t> </w:t>
      </w:r>
      <w:r>
        <w:rPr>
          <w:sz w:val="22"/>
        </w:rPr>
        <w:t>well</w:t>
      </w:r>
      <w:r>
        <w:rPr>
          <w:spacing w:val="-3"/>
          <w:sz w:val="22"/>
        </w:rPr>
        <w:t> </w:t>
      </w:r>
      <w:r>
        <w:rPr>
          <w:sz w:val="22"/>
        </w:rPr>
        <w:t>as higher education.</w:t>
      </w:r>
    </w:p>
    <w:p>
      <w:pPr>
        <w:pStyle w:val="ListParagraph"/>
        <w:numPr>
          <w:ilvl w:val="1"/>
          <w:numId w:val="18"/>
        </w:numPr>
        <w:tabs>
          <w:tab w:pos="679" w:val="left" w:leader="none"/>
        </w:tabs>
        <w:spacing w:line="266" w:lineRule="auto" w:before="0" w:after="0"/>
        <w:ind w:left="679" w:right="1077" w:hanging="360"/>
        <w:jc w:val="both"/>
        <w:rPr>
          <w:sz w:val="22"/>
        </w:rPr>
      </w:pPr>
      <w:r>
        <w:rPr>
          <w:sz w:val="22"/>
        </w:rPr>
        <w:t>Courses devoted to certain skills training at </w:t>
      </w:r>
      <w:r>
        <w:rPr>
          <w:sz w:val="22"/>
        </w:rPr>
        <w:t>the primary</w:t>
      </w:r>
      <w:r>
        <w:rPr>
          <w:spacing w:val="-14"/>
          <w:sz w:val="22"/>
        </w:rPr>
        <w:t> </w:t>
      </w:r>
      <w:r>
        <w:rPr>
          <w:sz w:val="22"/>
        </w:rPr>
        <w:t>and</w:t>
      </w:r>
      <w:r>
        <w:rPr>
          <w:spacing w:val="-14"/>
          <w:sz w:val="22"/>
        </w:rPr>
        <w:t> </w:t>
      </w:r>
      <w:r>
        <w:rPr>
          <w:sz w:val="22"/>
        </w:rPr>
        <w:t>secondary</w:t>
      </w:r>
      <w:r>
        <w:rPr>
          <w:spacing w:val="-14"/>
          <w:sz w:val="22"/>
        </w:rPr>
        <w:t> </w:t>
      </w:r>
      <w:r>
        <w:rPr>
          <w:sz w:val="22"/>
        </w:rPr>
        <w:t>level</w:t>
      </w:r>
      <w:r>
        <w:rPr>
          <w:spacing w:val="-13"/>
          <w:sz w:val="22"/>
        </w:rPr>
        <w:t> </w:t>
      </w:r>
      <w:r>
        <w:rPr>
          <w:sz w:val="22"/>
        </w:rPr>
        <w:t>should</w:t>
      </w:r>
      <w:r>
        <w:rPr>
          <w:spacing w:val="-14"/>
          <w:sz w:val="22"/>
        </w:rPr>
        <w:t> </w:t>
      </w:r>
      <w:r>
        <w:rPr>
          <w:sz w:val="22"/>
        </w:rPr>
        <w:t>be</w:t>
      </w:r>
      <w:r>
        <w:rPr>
          <w:spacing w:val="-14"/>
          <w:sz w:val="22"/>
        </w:rPr>
        <w:t> </w:t>
      </w:r>
      <w:r>
        <w:rPr>
          <w:sz w:val="22"/>
        </w:rPr>
        <w:t>introduced in all schools.</w:t>
      </w:r>
    </w:p>
    <w:p>
      <w:pPr>
        <w:pStyle w:val="ListParagraph"/>
        <w:numPr>
          <w:ilvl w:val="1"/>
          <w:numId w:val="18"/>
        </w:numPr>
        <w:tabs>
          <w:tab w:pos="679" w:val="left" w:leader="none"/>
        </w:tabs>
        <w:spacing w:line="266" w:lineRule="auto" w:before="0" w:after="0"/>
        <w:ind w:left="679" w:right="1078" w:hanging="360"/>
        <w:jc w:val="both"/>
        <w:rPr>
          <w:sz w:val="22"/>
        </w:rPr>
      </w:pPr>
      <w:r>
        <w:rPr>
          <w:sz w:val="22"/>
        </w:rPr>
        <w:t>Vocational training should be made available </w:t>
      </w:r>
      <w:r>
        <w:rPr>
          <w:sz w:val="22"/>
        </w:rPr>
        <w:t>in various</w:t>
      </w:r>
      <w:r>
        <w:rPr>
          <w:spacing w:val="-3"/>
          <w:sz w:val="22"/>
        </w:rPr>
        <w:t> </w:t>
      </w:r>
      <w:r>
        <w:rPr>
          <w:sz w:val="22"/>
        </w:rPr>
        <w:t>literacy</w:t>
      </w:r>
      <w:r>
        <w:rPr>
          <w:spacing w:val="-3"/>
          <w:sz w:val="22"/>
        </w:rPr>
        <w:t> </w:t>
      </w:r>
      <w:r>
        <w:rPr>
          <w:sz w:val="22"/>
        </w:rPr>
        <w:t>and</w:t>
      </w:r>
      <w:r>
        <w:rPr>
          <w:spacing w:val="-3"/>
          <w:sz w:val="22"/>
        </w:rPr>
        <w:t> </w:t>
      </w:r>
      <w:r>
        <w:rPr>
          <w:sz w:val="22"/>
        </w:rPr>
        <w:t>adult</w:t>
      </w:r>
      <w:r>
        <w:rPr>
          <w:spacing w:val="-3"/>
          <w:sz w:val="22"/>
        </w:rPr>
        <w:t> </w:t>
      </w:r>
      <w:r>
        <w:rPr>
          <w:sz w:val="22"/>
        </w:rPr>
        <w:t>education</w:t>
      </w:r>
      <w:r>
        <w:rPr>
          <w:spacing w:val="-3"/>
          <w:sz w:val="22"/>
        </w:rPr>
        <w:t> </w:t>
      </w:r>
      <w:r>
        <w:rPr>
          <w:sz w:val="22"/>
        </w:rPr>
        <w:t>schemes.</w:t>
      </w:r>
    </w:p>
    <w:p>
      <w:pPr>
        <w:pStyle w:val="ListParagraph"/>
        <w:numPr>
          <w:ilvl w:val="1"/>
          <w:numId w:val="18"/>
        </w:numPr>
        <w:tabs>
          <w:tab w:pos="637" w:val="left" w:leader="none"/>
        </w:tabs>
        <w:spacing w:line="266" w:lineRule="auto" w:before="0" w:after="0"/>
        <w:ind w:left="637" w:right="1077" w:hanging="319"/>
        <w:jc w:val="both"/>
        <w:rPr>
          <w:sz w:val="22"/>
        </w:rPr>
      </w:pPr>
      <w:r>
        <w:rPr>
          <w:sz w:val="22"/>
        </w:rPr>
        <w:t>Schemes for lifelong skill up-gradation, </w:t>
      </w:r>
      <w:r>
        <w:rPr>
          <w:sz w:val="22"/>
        </w:rPr>
        <w:t>through short training programs, should be introduced.</w:t>
      </w:r>
    </w:p>
    <w:p>
      <w:pPr>
        <w:pStyle w:val="ListParagraph"/>
        <w:numPr>
          <w:ilvl w:val="1"/>
          <w:numId w:val="18"/>
        </w:numPr>
        <w:tabs>
          <w:tab w:pos="679" w:val="left" w:leader="none"/>
          <w:tab w:pos="691" w:val="left" w:leader="none"/>
        </w:tabs>
        <w:spacing w:line="266" w:lineRule="auto" w:before="0" w:after="0"/>
        <w:ind w:left="679" w:right="1077" w:hanging="360"/>
        <w:jc w:val="both"/>
        <w:rPr>
          <w:sz w:val="22"/>
        </w:rPr>
      </w:pPr>
      <w:r>
        <w:rPr>
          <w:sz w:val="22"/>
        </w:rPr>
        <w:tab/>
      </w:r>
      <w:r>
        <w:rPr>
          <w:spacing w:val="-2"/>
          <w:sz w:val="22"/>
        </w:rPr>
        <w:t>There</w:t>
      </w:r>
      <w:r>
        <w:rPr>
          <w:spacing w:val="-8"/>
          <w:sz w:val="22"/>
        </w:rPr>
        <w:t> </w:t>
      </w:r>
      <w:r>
        <w:rPr>
          <w:spacing w:val="-2"/>
          <w:sz w:val="22"/>
        </w:rPr>
        <w:t>should</w:t>
      </w:r>
      <w:r>
        <w:rPr>
          <w:spacing w:val="-8"/>
          <w:sz w:val="22"/>
        </w:rPr>
        <w:t> </w:t>
      </w:r>
      <w:r>
        <w:rPr>
          <w:spacing w:val="-2"/>
          <w:sz w:val="22"/>
        </w:rPr>
        <w:t>be</w:t>
      </w:r>
      <w:r>
        <w:rPr>
          <w:spacing w:val="-8"/>
          <w:sz w:val="22"/>
        </w:rPr>
        <w:t> </w:t>
      </w:r>
      <w:r>
        <w:rPr>
          <w:spacing w:val="-2"/>
          <w:sz w:val="22"/>
        </w:rPr>
        <w:t>a</w:t>
      </w:r>
      <w:r>
        <w:rPr>
          <w:spacing w:val="-8"/>
          <w:sz w:val="22"/>
        </w:rPr>
        <w:t> </w:t>
      </w:r>
      <w:r>
        <w:rPr>
          <w:spacing w:val="-2"/>
          <w:sz w:val="22"/>
        </w:rPr>
        <w:t>provision</w:t>
      </w:r>
      <w:r>
        <w:rPr>
          <w:spacing w:val="-8"/>
          <w:sz w:val="22"/>
        </w:rPr>
        <w:t> </w:t>
      </w:r>
      <w:r>
        <w:rPr>
          <w:spacing w:val="-2"/>
          <w:sz w:val="22"/>
        </w:rPr>
        <w:t>for</w:t>
      </w:r>
      <w:r>
        <w:rPr>
          <w:spacing w:val="-8"/>
          <w:sz w:val="22"/>
        </w:rPr>
        <w:t> </w:t>
      </w:r>
      <w:r>
        <w:rPr>
          <w:spacing w:val="-2"/>
          <w:sz w:val="22"/>
        </w:rPr>
        <w:t>generating</w:t>
      </w:r>
      <w:r>
        <w:rPr>
          <w:spacing w:val="-8"/>
          <w:sz w:val="22"/>
        </w:rPr>
        <w:t> </w:t>
      </w:r>
      <w:r>
        <w:rPr>
          <w:spacing w:val="-2"/>
          <w:sz w:val="22"/>
        </w:rPr>
        <w:t>a</w:t>
      </w:r>
      <w:r>
        <w:rPr>
          <w:spacing w:val="-8"/>
          <w:sz w:val="22"/>
        </w:rPr>
        <w:t> </w:t>
      </w:r>
      <w:r>
        <w:rPr>
          <w:spacing w:val="-2"/>
          <w:sz w:val="22"/>
        </w:rPr>
        <w:t>cadre </w:t>
      </w:r>
      <w:r>
        <w:rPr>
          <w:sz w:val="22"/>
        </w:rPr>
        <w:t>of multi-skilled persons.</w:t>
      </w:r>
    </w:p>
    <w:p>
      <w:pPr>
        <w:pStyle w:val="Heading6"/>
        <w:numPr>
          <w:ilvl w:val="0"/>
          <w:numId w:val="18"/>
        </w:numPr>
        <w:tabs>
          <w:tab w:pos="643" w:val="left" w:leader="none"/>
          <w:tab w:pos="645" w:val="left" w:leader="none"/>
        </w:tabs>
        <w:spacing w:line="182" w:lineRule="auto" w:before="240" w:after="0"/>
        <w:ind w:left="645" w:right="1184" w:hanging="327"/>
        <w:jc w:val="both"/>
      </w:pPr>
      <w:r>
        <w:rPr>
          <w:color w:val="2E614A"/>
          <w:spacing w:val="-10"/>
        </w:rPr>
        <w:t>Quantify and monitor the</w:t>
      </w:r>
      <w:r>
        <w:rPr>
          <w:color w:val="2E614A"/>
          <w:spacing w:val="-9"/>
        </w:rPr>
        <w:t> </w:t>
      </w:r>
      <w:r>
        <w:rPr>
          <w:color w:val="2E614A"/>
          <w:spacing w:val="-10"/>
        </w:rPr>
        <w:t>impact </w:t>
      </w:r>
      <w:r>
        <w:rPr>
          <w:color w:val="2E614A"/>
        </w:rPr>
        <w:t>of</w:t>
      </w:r>
      <w:r>
        <w:rPr>
          <w:color w:val="2E614A"/>
          <w:spacing w:val="-20"/>
        </w:rPr>
        <w:t> </w:t>
      </w:r>
      <w:r>
        <w:rPr>
          <w:color w:val="2E614A"/>
        </w:rPr>
        <w:t>vocational</w:t>
      </w:r>
      <w:r>
        <w:rPr>
          <w:color w:val="2E614A"/>
          <w:spacing w:val="-20"/>
        </w:rPr>
        <w:t> </w:t>
      </w:r>
      <w:r>
        <w:rPr>
          <w:color w:val="2E614A"/>
        </w:rPr>
        <w:t>education</w:t>
      </w:r>
    </w:p>
    <w:p>
      <w:pPr>
        <w:pStyle w:val="BodyText"/>
        <w:spacing w:line="266" w:lineRule="auto" w:before="302"/>
        <w:ind w:left="319" w:right="1077"/>
        <w:jc w:val="both"/>
      </w:pPr>
      <w:r>
        <w:rPr/>
        <w:t>Data</w:t>
      </w:r>
      <w:r>
        <w:rPr>
          <w:spacing w:val="-6"/>
        </w:rPr>
        <w:t> </w:t>
      </w:r>
      <w:r>
        <w:rPr/>
        <w:t>should</w:t>
      </w:r>
      <w:r>
        <w:rPr>
          <w:spacing w:val="-6"/>
        </w:rPr>
        <w:t> </w:t>
      </w:r>
      <w:r>
        <w:rPr/>
        <w:t>be</w:t>
      </w:r>
      <w:r>
        <w:rPr>
          <w:spacing w:val="-6"/>
        </w:rPr>
        <w:t> </w:t>
      </w:r>
      <w:r>
        <w:rPr/>
        <w:t>collected</w:t>
      </w:r>
      <w:r>
        <w:rPr>
          <w:spacing w:val="-6"/>
        </w:rPr>
        <w:t> </w:t>
      </w:r>
      <w:r>
        <w:rPr/>
        <w:t>periodically</w:t>
      </w:r>
      <w:r>
        <w:rPr>
          <w:spacing w:val="-6"/>
        </w:rPr>
        <w:t> </w:t>
      </w:r>
      <w:r>
        <w:rPr/>
        <w:t>and</w:t>
      </w:r>
      <w:r>
        <w:rPr>
          <w:spacing w:val="-6"/>
        </w:rPr>
        <w:t> </w:t>
      </w:r>
      <w:r>
        <w:rPr/>
        <w:t>analysed</w:t>
      </w:r>
      <w:r>
        <w:rPr>
          <w:spacing w:val="-6"/>
        </w:rPr>
        <w:t> </w:t>
      </w:r>
      <w:r>
        <w:rPr/>
        <w:t>in </w:t>
      </w:r>
      <w:r>
        <w:rPr>
          <w:spacing w:val="-2"/>
        </w:rPr>
        <w:t>order</w:t>
      </w:r>
      <w:r>
        <w:rPr>
          <w:spacing w:val="-12"/>
        </w:rPr>
        <w:t> </w:t>
      </w:r>
      <w:r>
        <w:rPr>
          <w:spacing w:val="-2"/>
        </w:rPr>
        <w:t>to</w:t>
      </w:r>
      <w:r>
        <w:rPr>
          <w:spacing w:val="-11"/>
        </w:rPr>
        <w:t> </w:t>
      </w:r>
      <w:r>
        <w:rPr>
          <w:spacing w:val="-2"/>
        </w:rPr>
        <w:t>assess</w:t>
      </w:r>
      <w:r>
        <w:rPr>
          <w:spacing w:val="-12"/>
        </w:rPr>
        <w:t> </w:t>
      </w:r>
      <w:r>
        <w:rPr>
          <w:spacing w:val="-2"/>
        </w:rPr>
        <w:t>the</w:t>
      </w:r>
      <w:r>
        <w:rPr>
          <w:spacing w:val="-11"/>
        </w:rPr>
        <w:t> </w:t>
      </w:r>
      <w:r>
        <w:rPr>
          <w:spacing w:val="-2"/>
        </w:rPr>
        <w:t>impact</w:t>
      </w:r>
      <w:r>
        <w:rPr>
          <w:spacing w:val="-12"/>
        </w:rPr>
        <w:t> </w:t>
      </w:r>
      <w:r>
        <w:rPr>
          <w:spacing w:val="-2"/>
        </w:rPr>
        <w:t>of</w:t>
      </w:r>
      <w:r>
        <w:rPr>
          <w:spacing w:val="-11"/>
        </w:rPr>
        <w:t> </w:t>
      </w:r>
      <w:r>
        <w:rPr>
          <w:spacing w:val="-2"/>
        </w:rPr>
        <w:t>training</w:t>
      </w:r>
      <w:r>
        <w:rPr>
          <w:spacing w:val="-12"/>
        </w:rPr>
        <w:t> </w:t>
      </w:r>
      <w:r>
        <w:rPr>
          <w:spacing w:val="-2"/>
        </w:rPr>
        <w:t>on</w:t>
      </w:r>
      <w:r>
        <w:rPr>
          <w:spacing w:val="-11"/>
        </w:rPr>
        <w:t> </w:t>
      </w:r>
      <w:r>
        <w:rPr>
          <w:spacing w:val="-2"/>
        </w:rPr>
        <w:t>employability. </w:t>
      </w:r>
      <w:r>
        <w:rPr/>
        <w:t>Empirical evidence on wage premium or other advantages</w:t>
      </w:r>
      <w:r>
        <w:rPr>
          <w:spacing w:val="-14"/>
        </w:rPr>
        <w:t> </w:t>
      </w:r>
      <w:r>
        <w:rPr/>
        <w:t>enjoyed</w:t>
      </w:r>
      <w:r>
        <w:rPr>
          <w:spacing w:val="-14"/>
        </w:rPr>
        <w:t> </w:t>
      </w:r>
      <w:r>
        <w:rPr/>
        <w:t>by</w:t>
      </w:r>
      <w:r>
        <w:rPr>
          <w:spacing w:val="-14"/>
        </w:rPr>
        <w:t> </w:t>
      </w:r>
      <w:r>
        <w:rPr/>
        <w:t>VET</w:t>
      </w:r>
      <w:r>
        <w:rPr>
          <w:spacing w:val="-13"/>
        </w:rPr>
        <w:t> </w:t>
      </w:r>
      <w:r>
        <w:rPr/>
        <w:t>graduates,</w:t>
      </w:r>
      <w:r>
        <w:rPr>
          <w:spacing w:val="-14"/>
        </w:rPr>
        <w:t> </w:t>
      </w:r>
      <w:r>
        <w:rPr/>
        <w:t>seat</w:t>
      </w:r>
      <w:r>
        <w:rPr>
          <w:spacing w:val="-14"/>
        </w:rPr>
        <w:t> </w:t>
      </w:r>
      <w:r>
        <w:rPr/>
        <w:t>utilisation in training institutes, nature of employment post- </w:t>
      </w:r>
      <w:r>
        <w:rPr>
          <w:spacing w:val="-4"/>
        </w:rPr>
        <w:t>training,</w:t>
      </w:r>
      <w:r>
        <w:rPr>
          <w:spacing w:val="-10"/>
        </w:rPr>
        <w:t> </w:t>
      </w:r>
      <w:r>
        <w:rPr>
          <w:spacing w:val="-4"/>
        </w:rPr>
        <w:t>and</w:t>
      </w:r>
      <w:r>
        <w:rPr>
          <w:spacing w:val="-10"/>
        </w:rPr>
        <w:t> </w:t>
      </w:r>
      <w:r>
        <w:rPr>
          <w:spacing w:val="-4"/>
        </w:rPr>
        <w:t>the</w:t>
      </w:r>
      <w:r>
        <w:rPr>
          <w:spacing w:val="-10"/>
        </w:rPr>
        <w:t> </w:t>
      </w:r>
      <w:r>
        <w:rPr>
          <w:spacing w:val="-4"/>
        </w:rPr>
        <w:t>efficacy</w:t>
      </w:r>
      <w:r>
        <w:rPr>
          <w:spacing w:val="-9"/>
        </w:rPr>
        <w:t> </w:t>
      </w:r>
      <w:r>
        <w:rPr>
          <w:spacing w:val="-4"/>
        </w:rPr>
        <w:t>of</w:t>
      </w:r>
      <w:r>
        <w:rPr>
          <w:spacing w:val="-10"/>
        </w:rPr>
        <w:t> </w:t>
      </w:r>
      <w:r>
        <w:rPr>
          <w:spacing w:val="-4"/>
        </w:rPr>
        <w:t>various</w:t>
      </w:r>
      <w:r>
        <w:rPr>
          <w:spacing w:val="-10"/>
        </w:rPr>
        <w:t> </w:t>
      </w:r>
      <w:r>
        <w:rPr>
          <w:spacing w:val="-4"/>
        </w:rPr>
        <w:t>schemes</w:t>
      </w:r>
      <w:r>
        <w:rPr>
          <w:spacing w:val="-10"/>
        </w:rPr>
        <w:t> </w:t>
      </w:r>
      <w:r>
        <w:rPr>
          <w:spacing w:val="-4"/>
        </w:rPr>
        <w:t>is</w:t>
      </w:r>
      <w:r>
        <w:rPr>
          <w:spacing w:val="-9"/>
        </w:rPr>
        <w:t> </w:t>
      </w:r>
      <w:r>
        <w:rPr>
          <w:spacing w:val="-4"/>
        </w:rPr>
        <w:t>essential </w:t>
      </w:r>
      <w:r>
        <w:rPr/>
        <w:t>for continuous improvement. A detailed exercise of </w:t>
      </w:r>
      <w:r>
        <w:rPr>
          <w:spacing w:val="-4"/>
        </w:rPr>
        <w:t>manpower</w:t>
      </w:r>
      <w:r>
        <w:rPr>
          <w:spacing w:val="-7"/>
        </w:rPr>
        <w:t> </w:t>
      </w:r>
      <w:r>
        <w:rPr>
          <w:spacing w:val="-4"/>
        </w:rPr>
        <w:t>analysis</w:t>
      </w:r>
      <w:r>
        <w:rPr>
          <w:spacing w:val="-7"/>
        </w:rPr>
        <w:t> </w:t>
      </w:r>
      <w:r>
        <w:rPr>
          <w:spacing w:val="-4"/>
        </w:rPr>
        <w:t>is</w:t>
      </w:r>
      <w:r>
        <w:rPr>
          <w:spacing w:val="-7"/>
        </w:rPr>
        <w:t> </w:t>
      </w:r>
      <w:r>
        <w:rPr>
          <w:spacing w:val="-4"/>
        </w:rPr>
        <w:t>a</w:t>
      </w:r>
      <w:r>
        <w:rPr>
          <w:spacing w:val="-7"/>
        </w:rPr>
        <w:t> </w:t>
      </w:r>
      <w:r>
        <w:rPr>
          <w:spacing w:val="-4"/>
        </w:rPr>
        <w:t>necessary</w:t>
      </w:r>
      <w:r>
        <w:rPr>
          <w:spacing w:val="-7"/>
        </w:rPr>
        <w:t> </w:t>
      </w:r>
      <w:r>
        <w:rPr>
          <w:spacing w:val="-4"/>
        </w:rPr>
        <w:t>step</w:t>
      </w:r>
      <w:r>
        <w:rPr>
          <w:spacing w:val="-7"/>
        </w:rPr>
        <w:t> </w:t>
      </w:r>
      <w:r>
        <w:rPr>
          <w:spacing w:val="-4"/>
        </w:rPr>
        <w:t>to</w:t>
      </w:r>
      <w:r>
        <w:rPr>
          <w:spacing w:val="-7"/>
        </w:rPr>
        <w:t> </w:t>
      </w:r>
      <w:r>
        <w:rPr>
          <w:spacing w:val="-4"/>
        </w:rPr>
        <w:t>understanding </w:t>
      </w:r>
      <w:r>
        <w:rPr/>
        <w:t>the</w:t>
      </w:r>
      <w:r>
        <w:rPr>
          <w:spacing w:val="40"/>
        </w:rPr>
        <w:t> </w:t>
      </w:r>
      <w:r>
        <w:rPr/>
        <w:t>nature</w:t>
      </w:r>
      <w:r>
        <w:rPr>
          <w:spacing w:val="40"/>
        </w:rPr>
        <w:t> </w:t>
      </w:r>
      <w:r>
        <w:rPr/>
        <w:t>and</w:t>
      </w:r>
      <w:r>
        <w:rPr>
          <w:spacing w:val="40"/>
        </w:rPr>
        <w:t> </w:t>
      </w:r>
      <w:r>
        <w:rPr/>
        <w:t>quantum</w:t>
      </w:r>
      <w:r>
        <w:rPr>
          <w:spacing w:val="40"/>
        </w:rPr>
        <w:t> </w:t>
      </w:r>
      <w:r>
        <w:rPr/>
        <w:t>of</w:t>
      </w:r>
      <w:r>
        <w:rPr>
          <w:spacing w:val="40"/>
        </w:rPr>
        <w:t> </w:t>
      </w:r>
      <w:r>
        <w:rPr/>
        <w:t>demand</w:t>
      </w:r>
      <w:r>
        <w:rPr>
          <w:spacing w:val="40"/>
        </w:rPr>
        <w:t> </w:t>
      </w:r>
      <w:r>
        <w:rPr/>
        <w:t>for</w:t>
      </w:r>
      <w:r>
        <w:rPr>
          <w:spacing w:val="40"/>
        </w:rPr>
        <w:t> </w:t>
      </w:r>
      <w:r>
        <w:rPr/>
        <w:t>VET</w:t>
      </w:r>
      <w:r>
        <w:rPr>
          <w:spacing w:val="40"/>
        </w:rPr>
        <w:t> </w:t>
      </w:r>
      <w:r>
        <w:rPr/>
        <w:t>and the mismatch between the skills of VET certificate holders and the requirements of the labour market. This exercise may be undertaken by the proposed National Institute for Vocational Education Planning and Development.</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18"/>
        </w:numPr>
        <w:tabs>
          <w:tab w:pos="1404" w:val="left" w:leader="none"/>
          <w:tab w:pos="1406" w:val="left" w:leader="none"/>
        </w:tabs>
        <w:spacing w:line="182" w:lineRule="auto" w:before="129" w:after="0"/>
        <w:ind w:left="1406" w:right="566" w:hanging="327"/>
        <w:jc w:val="left"/>
      </w:pPr>
      <w:r>
        <w:rPr>
          <w:color w:val="2E614A"/>
          <w:w w:val="90"/>
        </w:rPr>
        <w:t>Increase resource allocation </w:t>
      </w:r>
      <w:r>
        <w:rPr>
          <w:color w:val="2E614A"/>
          <w:w w:val="90"/>
        </w:rPr>
        <w:t>to </w:t>
      </w:r>
      <w:r>
        <w:rPr>
          <w:color w:val="2E614A"/>
        </w:rPr>
        <w:t>vocational</w:t>
      </w:r>
      <w:r>
        <w:rPr>
          <w:color w:val="2E614A"/>
          <w:spacing w:val="-20"/>
        </w:rPr>
        <w:t> </w:t>
      </w:r>
      <w:r>
        <w:rPr>
          <w:color w:val="2E614A"/>
        </w:rPr>
        <w:t>education</w:t>
      </w:r>
    </w:p>
    <w:p>
      <w:pPr>
        <w:pStyle w:val="BodyText"/>
        <w:spacing w:line="266" w:lineRule="auto" w:before="302"/>
        <w:ind w:left="1080"/>
        <w:jc w:val="both"/>
      </w:pPr>
      <w:r>
        <w:rPr/>
        <w:t>In per capita terms, vocational education costs </w:t>
      </w:r>
      <w:r>
        <w:rPr/>
        <w:t>more than general education, however public expenditure on vocational education has been extremely low, as compared</w:t>
      </w:r>
      <w:r>
        <w:rPr>
          <w:spacing w:val="40"/>
        </w:rPr>
        <w:t> </w:t>
      </w:r>
      <w:r>
        <w:rPr/>
        <w:t>to</w:t>
      </w:r>
      <w:r>
        <w:rPr>
          <w:spacing w:val="40"/>
        </w:rPr>
        <w:t> </w:t>
      </w:r>
      <w:r>
        <w:rPr/>
        <w:t>general</w:t>
      </w:r>
      <w:r>
        <w:rPr>
          <w:spacing w:val="40"/>
        </w:rPr>
        <w:t> </w:t>
      </w:r>
      <w:r>
        <w:rPr/>
        <w:t>secondary</w:t>
      </w:r>
      <w:r>
        <w:rPr>
          <w:spacing w:val="40"/>
        </w:rPr>
        <w:t> </w:t>
      </w:r>
      <w:r>
        <w:rPr/>
        <w:t>education.</w:t>
      </w:r>
      <w:r>
        <w:rPr>
          <w:spacing w:val="40"/>
        </w:rPr>
        <w:t> </w:t>
      </w:r>
      <w:r>
        <w:rPr/>
        <w:t>Given the demand for skilled manpower in manufacturing and services, the Government should aim to spend</w:t>
      </w:r>
      <w:r>
        <w:rPr>
          <w:spacing w:val="80"/>
          <w:w w:val="150"/>
        </w:rPr>
        <w:t> </w:t>
      </w:r>
      <w:r>
        <w:rPr/>
        <w:t>at least 10-15 per cent of its total public expenditure on</w:t>
      </w:r>
      <w:r>
        <w:rPr>
          <w:spacing w:val="-1"/>
        </w:rPr>
        <w:t> </w:t>
      </w:r>
      <w:r>
        <w:rPr/>
        <w:t>education,</w:t>
      </w:r>
      <w:r>
        <w:rPr>
          <w:spacing w:val="-1"/>
        </w:rPr>
        <w:t> </w:t>
      </w:r>
      <w:r>
        <w:rPr/>
        <w:t>on</w:t>
      </w:r>
      <w:r>
        <w:rPr>
          <w:spacing w:val="-1"/>
        </w:rPr>
        <w:t> </w:t>
      </w:r>
      <w:r>
        <w:rPr/>
        <w:t>vocational</w:t>
      </w:r>
      <w:r>
        <w:rPr>
          <w:spacing w:val="-1"/>
        </w:rPr>
        <w:t> </w:t>
      </w:r>
      <w:r>
        <w:rPr/>
        <w:t>education.</w:t>
      </w:r>
      <w:r>
        <w:rPr>
          <w:spacing w:val="-1"/>
        </w:rPr>
        <w:t> </w:t>
      </w:r>
      <w:r>
        <w:rPr/>
        <w:t>Some</w:t>
      </w:r>
      <w:r>
        <w:rPr>
          <w:spacing w:val="-1"/>
        </w:rPr>
        <w:t> </w:t>
      </w:r>
      <w:r>
        <w:rPr/>
        <w:t>options that</w:t>
      </w:r>
      <w:r>
        <w:rPr>
          <w:spacing w:val="-7"/>
        </w:rPr>
        <w:t> </w:t>
      </w:r>
      <w:r>
        <w:rPr/>
        <w:t>may</w:t>
      </w:r>
      <w:r>
        <w:rPr>
          <w:spacing w:val="-7"/>
        </w:rPr>
        <w:t> </w:t>
      </w:r>
      <w:r>
        <w:rPr/>
        <w:t>be</w:t>
      </w:r>
      <w:r>
        <w:rPr>
          <w:spacing w:val="-7"/>
        </w:rPr>
        <w:t> </w:t>
      </w:r>
      <w:r>
        <w:rPr/>
        <w:t>considered</w:t>
      </w:r>
      <w:r>
        <w:rPr>
          <w:spacing w:val="-7"/>
        </w:rPr>
        <w:t> </w:t>
      </w:r>
      <w:r>
        <w:rPr/>
        <w:t>for</w:t>
      </w:r>
      <w:r>
        <w:rPr>
          <w:spacing w:val="-7"/>
        </w:rPr>
        <w:t> </w:t>
      </w:r>
      <w:r>
        <w:rPr/>
        <w:t>raising</w:t>
      </w:r>
      <w:r>
        <w:rPr>
          <w:spacing w:val="-7"/>
        </w:rPr>
        <w:t> </w:t>
      </w:r>
      <w:r>
        <w:rPr/>
        <w:t>additional</w:t>
      </w:r>
      <w:r>
        <w:rPr>
          <w:spacing w:val="-7"/>
        </w:rPr>
        <w:t> </w:t>
      </w:r>
      <w:r>
        <w:rPr/>
        <w:t>funds</w:t>
      </w:r>
      <w:r>
        <w:rPr>
          <w:spacing w:val="-7"/>
        </w:rPr>
        <w:t> </w:t>
      </w:r>
      <w:r>
        <w:rPr/>
        <w:t>to finance a modernised</w:t>
      </w:r>
      <w:r>
        <w:rPr>
          <w:spacing w:val="-3"/>
        </w:rPr>
        <w:t> </w:t>
      </w:r>
      <w:r>
        <w:rPr/>
        <w:t>VET scheme are:</w:t>
      </w:r>
    </w:p>
    <w:p>
      <w:pPr>
        <w:pStyle w:val="ListParagraph"/>
        <w:numPr>
          <w:ilvl w:val="1"/>
          <w:numId w:val="18"/>
        </w:numPr>
        <w:tabs>
          <w:tab w:pos="1439" w:val="left" w:leader="none"/>
        </w:tabs>
        <w:spacing w:line="266" w:lineRule="auto" w:before="0" w:after="0"/>
        <w:ind w:left="1439" w:right="0" w:hanging="360"/>
        <w:jc w:val="both"/>
        <w:rPr>
          <w:sz w:val="22"/>
        </w:rPr>
      </w:pPr>
      <w:r>
        <w:rPr>
          <w:spacing w:val="-6"/>
          <w:sz w:val="22"/>
        </w:rPr>
        <w:t>Enhancing fees, coupled with student loan </w:t>
      </w:r>
      <w:r>
        <w:rPr>
          <w:spacing w:val="-6"/>
          <w:sz w:val="22"/>
        </w:rPr>
        <w:t>schemes. </w:t>
      </w:r>
      <w:r>
        <w:rPr>
          <w:sz w:val="22"/>
        </w:rPr>
        <w:t>This would also make VET institutions more responsive to market needs.</w:t>
      </w:r>
    </w:p>
    <w:p>
      <w:pPr>
        <w:pStyle w:val="ListParagraph"/>
        <w:numPr>
          <w:ilvl w:val="1"/>
          <w:numId w:val="18"/>
        </w:numPr>
        <w:tabs>
          <w:tab w:pos="1439" w:val="left" w:leader="none"/>
        </w:tabs>
        <w:spacing w:line="266" w:lineRule="auto" w:before="0" w:after="0"/>
        <w:ind w:left="1439" w:right="0" w:hanging="360"/>
        <w:jc w:val="both"/>
        <w:rPr>
          <w:sz w:val="22"/>
        </w:rPr>
      </w:pPr>
      <w:r>
        <w:rPr>
          <w:sz w:val="22"/>
        </w:rPr>
        <w:t>Raising funds through a cess on employers </w:t>
      </w:r>
      <w:r>
        <w:rPr>
          <w:sz w:val="22"/>
        </w:rPr>
        <w:t>(for </w:t>
      </w:r>
      <w:r>
        <w:rPr>
          <w:spacing w:val="-6"/>
          <w:sz w:val="22"/>
        </w:rPr>
        <w:t>instance two per cent of salaries of all employees, as </w:t>
      </w:r>
      <w:r>
        <w:rPr>
          <w:sz w:val="22"/>
        </w:rPr>
        <w:t>in Singapore).</w:t>
      </w:r>
    </w:p>
    <w:p>
      <w:pPr>
        <w:pStyle w:val="ListParagraph"/>
        <w:numPr>
          <w:ilvl w:val="1"/>
          <w:numId w:val="18"/>
        </w:numPr>
        <w:tabs>
          <w:tab w:pos="1439" w:val="left" w:leader="none"/>
        </w:tabs>
        <w:spacing w:line="266" w:lineRule="auto" w:before="0" w:after="0"/>
        <w:ind w:left="1439" w:right="0" w:hanging="360"/>
        <w:jc w:val="both"/>
        <w:rPr>
          <w:sz w:val="22"/>
        </w:rPr>
      </w:pPr>
      <w:r>
        <w:rPr>
          <w:sz w:val="22"/>
        </w:rPr>
        <w:t>Making it obligatory for companies to </w:t>
      </w:r>
      <w:r>
        <w:rPr>
          <w:sz w:val="22"/>
        </w:rPr>
        <w:t>finance </w:t>
      </w:r>
      <w:r>
        <w:rPr>
          <w:spacing w:val="-2"/>
          <w:sz w:val="22"/>
        </w:rPr>
        <w:t>public</w:t>
      </w:r>
      <w:r>
        <w:rPr>
          <w:spacing w:val="-10"/>
          <w:sz w:val="22"/>
        </w:rPr>
        <w:t> </w:t>
      </w:r>
      <w:r>
        <w:rPr>
          <w:spacing w:val="-2"/>
          <w:sz w:val="22"/>
        </w:rPr>
        <w:t>vocational</w:t>
      </w:r>
      <w:r>
        <w:rPr>
          <w:spacing w:val="-10"/>
          <w:sz w:val="22"/>
        </w:rPr>
        <w:t> </w:t>
      </w:r>
      <w:r>
        <w:rPr>
          <w:spacing w:val="-2"/>
          <w:sz w:val="22"/>
        </w:rPr>
        <w:t>education</w:t>
      </w:r>
      <w:r>
        <w:rPr>
          <w:spacing w:val="-10"/>
          <w:sz w:val="22"/>
        </w:rPr>
        <w:t> </w:t>
      </w:r>
      <w:r>
        <w:rPr>
          <w:spacing w:val="-2"/>
          <w:sz w:val="22"/>
        </w:rPr>
        <w:t>and</w:t>
      </w:r>
      <w:r>
        <w:rPr>
          <w:spacing w:val="-10"/>
          <w:sz w:val="22"/>
        </w:rPr>
        <w:t> </w:t>
      </w:r>
      <w:r>
        <w:rPr>
          <w:spacing w:val="-2"/>
          <w:sz w:val="22"/>
        </w:rPr>
        <w:t>training</w:t>
      </w:r>
      <w:r>
        <w:rPr>
          <w:spacing w:val="-10"/>
          <w:sz w:val="22"/>
        </w:rPr>
        <w:t> </w:t>
      </w:r>
      <w:r>
        <w:rPr>
          <w:spacing w:val="-2"/>
          <w:sz w:val="22"/>
        </w:rPr>
        <w:t>programs </w:t>
      </w:r>
      <w:r>
        <w:rPr>
          <w:sz w:val="22"/>
        </w:rPr>
        <w:t>(as in Korea).</w:t>
      </w:r>
    </w:p>
    <w:p>
      <w:pPr>
        <w:pStyle w:val="Heading6"/>
        <w:numPr>
          <w:ilvl w:val="0"/>
          <w:numId w:val="18"/>
        </w:numPr>
        <w:tabs>
          <w:tab w:pos="1404" w:val="left" w:leader="none"/>
          <w:tab w:pos="1406" w:val="left" w:leader="none"/>
        </w:tabs>
        <w:spacing w:line="182" w:lineRule="auto" w:before="243" w:after="0"/>
        <w:ind w:left="1406" w:right="1000" w:hanging="327"/>
        <w:jc w:val="left"/>
      </w:pPr>
      <w:r>
        <w:rPr>
          <w:color w:val="2E614A"/>
          <w:spacing w:val="-6"/>
        </w:rPr>
        <w:t>Expand</w:t>
      </w:r>
      <w:r>
        <w:rPr>
          <w:color w:val="2E614A"/>
          <w:spacing w:val="-11"/>
        </w:rPr>
        <w:t> </w:t>
      </w:r>
      <w:r>
        <w:rPr>
          <w:color w:val="2E614A"/>
          <w:spacing w:val="-6"/>
        </w:rPr>
        <w:t>capacity</w:t>
      </w:r>
      <w:r>
        <w:rPr>
          <w:color w:val="2E614A"/>
          <w:spacing w:val="-11"/>
        </w:rPr>
        <w:t> </w:t>
      </w:r>
      <w:r>
        <w:rPr>
          <w:color w:val="2E614A"/>
          <w:spacing w:val="-6"/>
        </w:rPr>
        <w:t>through </w:t>
      </w:r>
      <w:r>
        <w:rPr>
          <w:color w:val="2E614A"/>
          <w:w w:val="90"/>
        </w:rPr>
        <w:t>innovative delivery </w:t>
      </w:r>
      <w:r>
        <w:rPr>
          <w:color w:val="2E614A"/>
          <w:w w:val="90"/>
        </w:rPr>
        <w:t>models</w:t>
      </w:r>
    </w:p>
    <w:p>
      <w:pPr>
        <w:pStyle w:val="BodyText"/>
        <w:spacing w:line="266" w:lineRule="auto" w:before="302"/>
        <w:ind w:left="1080"/>
        <w:jc w:val="both"/>
      </w:pPr>
      <w:r>
        <w:rPr>
          <w:spacing w:val="-4"/>
        </w:rPr>
        <w:t>In</w:t>
      </w:r>
      <w:r>
        <w:rPr>
          <w:spacing w:val="-5"/>
        </w:rPr>
        <w:t> </w:t>
      </w:r>
      <w:r>
        <w:rPr>
          <w:spacing w:val="-4"/>
        </w:rPr>
        <w:t>order to</w:t>
      </w:r>
      <w:r>
        <w:rPr>
          <w:spacing w:val="-5"/>
        </w:rPr>
        <w:t> </w:t>
      </w:r>
      <w:r>
        <w:rPr>
          <w:spacing w:val="-4"/>
        </w:rPr>
        <w:t>meet</w:t>
      </w:r>
      <w:r>
        <w:rPr>
          <w:spacing w:val="-5"/>
        </w:rPr>
        <w:t> </w:t>
      </w:r>
      <w:r>
        <w:rPr>
          <w:spacing w:val="-4"/>
        </w:rPr>
        <w:t>the</w:t>
      </w:r>
      <w:r>
        <w:rPr>
          <w:spacing w:val="-5"/>
        </w:rPr>
        <w:t> </w:t>
      </w:r>
      <w:r>
        <w:rPr>
          <w:spacing w:val="-4"/>
        </w:rPr>
        <w:t>burgeoning requirements</w:t>
      </w:r>
      <w:r>
        <w:rPr>
          <w:spacing w:val="-5"/>
        </w:rPr>
        <w:t> </w:t>
      </w:r>
      <w:r>
        <w:rPr>
          <w:spacing w:val="-4"/>
        </w:rPr>
        <w:t>of</w:t>
      </w:r>
      <w:r>
        <w:rPr>
          <w:spacing w:val="-5"/>
        </w:rPr>
        <w:t> </w:t>
      </w:r>
      <w:r>
        <w:rPr>
          <w:spacing w:val="-4"/>
        </w:rPr>
        <w:t>skilled </w:t>
      </w:r>
      <w:r>
        <w:rPr/>
        <w:t>and</w:t>
      </w:r>
      <w:r>
        <w:rPr>
          <w:spacing w:val="-16"/>
        </w:rPr>
        <w:t> </w:t>
      </w:r>
      <w:r>
        <w:rPr/>
        <w:t>unskilled</w:t>
      </w:r>
      <w:r>
        <w:rPr>
          <w:spacing w:val="-14"/>
        </w:rPr>
        <w:t> </w:t>
      </w:r>
      <w:r>
        <w:rPr/>
        <w:t>labour,</w:t>
      </w:r>
      <w:r>
        <w:rPr>
          <w:spacing w:val="-14"/>
        </w:rPr>
        <w:t> </w:t>
      </w:r>
      <w:r>
        <w:rPr/>
        <w:t>a</w:t>
      </w:r>
      <w:r>
        <w:rPr>
          <w:spacing w:val="-13"/>
        </w:rPr>
        <w:t> </w:t>
      </w:r>
      <w:r>
        <w:rPr/>
        <w:t>massive</w:t>
      </w:r>
      <w:r>
        <w:rPr>
          <w:spacing w:val="-14"/>
        </w:rPr>
        <w:t> </w:t>
      </w:r>
      <w:r>
        <w:rPr/>
        <w:t>increase</w:t>
      </w:r>
      <w:r>
        <w:rPr>
          <w:spacing w:val="-14"/>
        </w:rPr>
        <w:t> </w:t>
      </w:r>
      <w:r>
        <w:rPr/>
        <w:t>in</w:t>
      </w:r>
      <w:r>
        <w:rPr>
          <w:spacing w:val="-14"/>
        </w:rPr>
        <w:t> </w:t>
      </w:r>
      <w:r>
        <w:rPr/>
        <w:t>quantity</w:t>
      </w:r>
      <w:r>
        <w:rPr>
          <w:spacing w:val="-13"/>
        </w:rPr>
        <w:t> </w:t>
      </w:r>
      <w:r>
        <w:rPr/>
        <w:t>of </w:t>
      </w:r>
      <w:r>
        <w:rPr>
          <w:spacing w:val="-2"/>
        </w:rPr>
        <w:t>training</w:t>
      </w:r>
      <w:r>
        <w:rPr>
          <w:spacing w:val="-12"/>
        </w:rPr>
        <w:t> </w:t>
      </w:r>
      <w:r>
        <w:rPr>
          <w:spacing w:val="-2"/>
        </w:rPr>
        <w:t>is</w:t>
      </w:r>
      <w:r>
        <w:rPr>
          <w:spacing w:val="-12"/>
        </w:rPr>
        <w:t> </w:t>
      </w:r>
      <w:r>
        <w:rPr>
          <w:spacing w:val="-2"/>
        </w:rPr>
        <w:t>needed.</w:t>
      </w:r>
      <w:r>
        <w:rPr>
          <w:spacing w:val="-12"/>
        </w:rPr>
        <w:t> </w:t>
      </w:r>
      <w:r>
        <w:rPr>
          <w:spacing w:val="-2"/>
        </w:rPr>
        <w:t>The</w:t>
      </w:r>
      <w:r>
        <w:rPr>
          <w:spacing w:val="-11"/>
        </w:rPr>
        <w:t> </w:t>
      </w:r>
      <w:r>
        <w:rPr>
          <w:spacing w:val="-2"/>
        </w:rPr>
        <w:t>Government</w:t>
      </w:r>
      <w:r>
        <w:rPr>
          <w:spacing w:val="-12"/>
        </w:rPr>
        <w:t> </w:t>
      </w:r>
      <w:r>
        <w:rPr>
          <w:spacing w:val="-2"/>
        </w:rPr>
        <w:t>could</w:t>
      </w:r>
      <w:r>
        <w:rPr>
          <w:spacing w:val="-12"/>
        </w:rPr>
        <w:t> </w:t>
      </w:r>
      <w:r>
        <w:rPr>
          <w:spacing w:val="-2"/>
        </w:rPr>
        <w:t>explore</w:t>
      </w:r>
      <w:r>
        <w:rPr>
          <w:spacing w:val="-12"/>
        </w:rPr>
        <w:t> </w:t>
      </w:r>
      <w:r>
        <w:rPr>
          <w:spacing w:val="-2"/>
        </w:rPr>
        <w:t>new </w:t>
      </w:r>
      <w:r>
        <w:rPr>
          <w:w w:val="90"/>
        </w:rPr>
        <w:t>delivery models to increase capacity such as public private </w:t>
      </w:r>
      <w:r>
        <w:rPr>
          <w:spacing w:val="-8"/>
        </w:rPr>
        <w:t>partnerships,</w:t>
      </w:r>
      <w:r>
        <w:rPr>
          <w:spacing w:val="-3"/>
        </w:rPr>
        <w:t> </w:t>
      </w:r>
      <w:r>
        <w:rPr>
          <w:spacing w:val="-8"/>
        </w:rPr>
        <w:t>decentralised</w:t>
      </w:r>
      <w:r>
        <w:rPr>
          <w:spacing w:val="-3"/>
        </w:rPr>
        <w:t> </w:t>
      </w:r>
      <w:r>
        <w:rPr>
          <w:spacing w:val="-8"/>
        </w:rPr>
        <w:t>delivery,</w:t>
      </w:r>
      <w:r>
        <w:rPr>
          <w:spacing w:val="-4"/>
        </w:rPr>
        <w:t> </w:t>
      </w:r>
      <w:r>
        <w:rPr>
          <w:spacing w:val="-8"/>
        </w:rPr>
        <w:t>distance</w:t>
      </w:r>
      <w:r>
        <w:rPr>
          <w:spacing w:val="-3"/>
        </w:rPr>
        <w:t> </w:t>
      </w:r>
      <w:r>
        <w:rPr>
          <w:spacing w:val="-8"/>
        </w:rPr>
        <w:t>learning</w:t>
      </w:r>
      <w:r>
        <w:rPr>
          <w:spacing w:val="-3"/>
        </w:rPr>
        <w:t> </w:t>
      </w:r>
      <w:r>
        <w:rPr>
          <w:spacing w:val="-8"/>
        </w:rPr>
        <w:t>and </w:t>
      </w:r>
      <w:r>
        <w:rPr>
          <w:spacing w:val="-4"/>
        </w:rPr>
        <w:t>computerised</w:t>
      </w:r>
      <w:r>
        <w:rPr>
          <w:spacing w:val="-6"/>
        </w:rPr>
        <w:t> </w:t>
      </w:r>
      <w:r>
        <w:rPr>
          <w:spacing w:val="-4"/>
        </w:rPr>
        <w:t>vocational</w:t>
      </w:r>
      <w:r>
        <w:rPr>
          <w:spacing w:val="-6"/>
        </w:rPr>
        <w:t> </w:t>
      </w:r>
      <w:r>
        <w:rPr>
          <w:spacing w:val="-4"/>
        </w:rPr>
        <w:t>training.</w:t>
      </w:r>
      <w:r>
        <w:rPr>
          <w:spacing w:val="-6"/>
        </w:rPr>
        <w:t> </w:t>
      </w:r>
      <w:r>
        <w:rPr>
          <w:spacing w:val="-4"/>
        </w:rPr>
        <w:t>At</w:t>
      </w:r>
      <w:r>
        <w:rPr>
          <w:spacing w:val="-6"/>
        </w:rPr>
        <w:t> </w:t>
      </w:r>
      <w:r>
        <w:rPr>
          <w:spacing w:val="-4"/>
        </w:rPr>
        <w:t>the</w:t>
      </w:r>
      <w:r>
        <w:rPr>
          <w:spacing w:val="-6"/>
        </w:rPr>
        <w:t> </w:t>
      </w:r>
      <w:r>
        <w:rPr>
          <w:spacing w:val="-4"/>
        </w:rPr>
        <w:t>same</w:t>
      </w:r>
      <w:r>
        <w:rPr>
          <w:spacing w:val="-6"/>
        </w:rPr>
        <w:t> </w:t>
      </w:r>
      <w:r>
        <w:rPr>
          <w:spacing w:val="-4"/>
        </w:rPr>
        <w:t>time,</w:t>
      </w:r>
      <w:r>
        <w:rPr>
          <w:spacing w:val="-6"/>
        </w:rPr>
        <w:t> </w:t>
      </w:r>
      <w:r>
        <w:rPr>
          <w:spacing w:val="-4"/>
        </w:rPr>
        <w:t>the </w:t>
      </w:r>
      <w:r>
        <w:rPr>
          <w:spacing w:val="-6"/>
        </w:rPr>
        <w:t>Government must introduce certain minimum standards </w:t>
      </w:r>
      <w:r>
        <w:rPr/>
        <w:t>as</w:t>
      </w:r>
      <w:r>
        <w:rPr>
          <w:spacing w:val="-7"/>
        </w:rPr>
        <w:t> </w:t>
      </w:r>
      <w:r>
        <w:rPr/>
        <w:t>a</w:t>
      </w:r>
      <w:r>
        <w:rPr>
          <w:spacing w:val="-7"/>
        </w:rPr>
        <w:t> </w:t>
      </w:r>
      <w:r>
        <w:rPr/>
        <w:t>measure</w:t>
      </w:r>
      <w:r>
        <w:rPr>
          <w:spacing w:val="-7"/>
        </w:rPr>
        <w:t> </w:t>
      </w:r>
      <w:r>
        <w:rPr/>
        <w:t>of</w:t>
      </w:r>
      <w:r>
        <w:rPr>
          <w:spacing w:val="-7"/>
        </w:rPr>
        <w:t> </w:t>
      </w:r>
      <w:r>
        <w:rPr/>
        <w:t>quality,</w:t>
      </w:r>
      <w:r>
        <w:rPr>
          <w:spacing w:val="-7"/>
        </w:rPr>
        <w:t> </w:t>
      </w:r>
      <w:r>
        <w:rPr/>
        <w:t>and</w:t>
      </w:r>
      <w:r>
        <w:rPr>
          <w:spacing w:val="-7"/>
        </w:rPr>
        <w:t> </w:t>
      </w:r>
      <w:r>
        <w:rPr/>
        <w:t>ensure</w:t>
      </w:r>
      <w:r>
        <w:rPr>
          <w:spacing w:val="-7"/>
        </w:rPr>
        <w:t> </w:t>
      </w:r>
      <w:r>
        <w:rPr/>
        <w:t>that</w:t>
      </w:r>
      <w:r>
        <w:rPr>
          <w:spacing w:val="-7"/>
        </w:rPr>
        <w:t> </w:t>
      </w:r>
      <w:r>
        <w:rPr/>
        <w:t>all</w:t>
      </w:r>
      <w:r>
        <w:rPr>
          <w:spacing w:val="-7"/>
        </w:rPr>
        <w:t> </w:t>
      </w:r>
      <w:r>
        <w:rPr/>
        <w:t>public</w:t>
      </w:r>
      <w:r>
        <w:rPr>
          <w:spacing w:val="-7"/>
        </w:rPr>
        <w:t> </w:t>
      </w:r>
      <w:r>
        <w:rPr/>
        <w:t>and private</w:t>
      </w:r>
      <w:r>
        <w:rPr>
          <w:spacing w:val="-14"/>
        </w:rPr>
        <w:t> </w:t>
      </w:r>
      <w:r>
        <w:rPr/>
        <w:t>VET</w:t>
      </w:r>
      <w:r>
        <w:rPr>
          <w:spacing w:val="-11"/>
        </w:rPr>
        <w:t> </w:t>
      </w:r>
      <w:r>
        <w:rPr/>
        <w:t>institutions</w:t>
      </w:r>
      <w:r>
        <w:rPr>
          <w:spacing w:val="-12"/>
        </w:rPr>
        <w:t> </w:t>
      </w:r>
      <w:r>
        <w:rPr/>
        <w:t>adhere</w:t>
      </w:r>
      <w:r>
        <w:rPr>
          <w:spacing w:val="-12"/>
        </w:rPr>
        <w:t> </w:t>
      </w:r>
      <w:r>
        <w:rPr/>
        <w:t>to</w:t>
      </w:r>
      <w:r>
        <w:rPr>
          <w:spacing w:val="-12"/>
        </w:rPr>
        <w:t> </w:t>
      </w:r>
      <w:r>
        <w:rPr/>
        <w:t>these.</w:t>
      </w:r>
    </w:p>
    <w:p>
      <w:pPr>
        <w:pStyle w:val="Heading6"/>
        <w:numPr>
          <w:ilvl w:val="0"/>
          <w:numId w:val="18"/>
        </w:numPr>
        <w:tabs>
          <w:tab w:pos="1404" w:val="left" w:leader="none"/>
          <w:tab w:pos="1406" w:val="left" w:leader="none"/>
        </w:tabs>
        <w:spacing w:line="182" w:lineRule="auto" w:before="251" w:after="0"/>
        <w:ind w:left="1406" w:right="167" w:hanging="327"/>
        <w:jc w:val="left"/>
      </w:pPr>
      <w:r>
        <w:rPr>
          <w:color w:val="2E614A"/>
          <w:spacing w:val="-2"/>
        </w:rPr>
        <w:t>Enhance</w:t>
      </w:r>
      <w:r>
        <w:rPr>
          <w:color w:val="2E614A"/>
          <w:spacing w:val="-18"/>
        </w:rPr>
        <w:t> </w:t>
      </w:r>
      <w:r>
        <w:rPr>
          <w:color w:val="2E614A"/>
          <w:spacing w:val="-2"/>
        </w:rPr>
        <w:t>the</w:t>
      </w:r>
      <w:r>
        <w:rPr>
          <w:color w:val="2E614A"/>
          <w:spacing w:val="-18"/>
        </w:rPr>
        <w:t> </w:t>
      </w:r>
      <w:r>
        <w:rPr>
          <w:color w:val="2E614A"/>
          <w:spacing w:val="-2"/>
        </w:rPr>
        <w:t>training</w:t>
      </w:r>
      <w:r>
        <w:rPr>
          <w:color w:val="2E614A"/>
          <w:spacing w:val="-18"/>
        </w:rPr>
        <w:t> </w:t>
      </w:r>
      <w:r>
        <w:rPr>
          <w:color w:val="2E614A"/>
          <w:spacing w:val="-2"/>
        </w:rPr>
        <w:t>options </w:t>
      </w:r>
      <w:r>
        <w:rPr>
          <w:color w:val="2E614A"/>
          <w:w w:val="90"/>
        </w:rPr>
        <w:t>available for the unorganised </w:t>
      </w:r>
      <w:r>
        <w:rPr>
          <w:color w:val="2E614A"/>
          <w:w w:val="90"/>
        </w:rPr>
        <w:t>and </w:t>
      </w:r>
      <w:r>
        <w:rPr>
          <w:color w:val="2E614A"/>
        </w:rPr>
        <w:t>informal</w:t>
      </w:r>
      <w:r>
        <w:rPr>
          <w:color w:val="2E614A"/>
          <w:spacing w:val="-14"/>
        </w:rPr>
        <w:t> </w:t>
      </w:r>
      <w:r>
        <w:rPr>
          <w:color w:val="2E614A"/>
        </w:rPr>
        <w:t>sector</w:t>
      </w:r>
    </w:p>
    <w:p>
      <w:pPr>
        <w:pStyle w:val="BodyText"/>
        <w:spacing w:line="266" w:lineRule="auto" w:before="303"/>
        <w:ind w:left="1080"/>
        <w:jc w:val="both"/>
      </w:pPr>
      <w:r>
        <w:rPr/>
        <w:t>The</w:t>
      </w:r>
      <w:r>
        <w:rPr>
          <w:spacing w:val="40"/>
        </w:rPr>
        <w:t> </w:t>
      </w:r>
      <w:r>
        <w:rPr/>
        <w:t>greatest</w:t>
      </w:r>
      <w:r>
        <w:rPr>
          <w:spacing w:val="40"/>
        </w:rPr>
        <w:t> </w:t>
      </w:r>
      <w:r>
        <w:rPr/>
        <w:t>challenge</w:t>
      </w:r>
      <w:r>
        <w:rPr>
          <w:spacing w:val="40"/>
        </w:rPr>
        <w:t> </w:t>
      </w:r>
      <w:r>
        <w:rPr/>
        <w:t>lies</w:t>
      </w:r>
      <w:r>
        <w:rPr>
          <w:spacing w:val="40"/>
        </w:rPr>
        <w:t> </w:t>
      </w:r>
      <w:r>
        <w:rPr/>
        <w:t>in</w:t>
      </w:r>
      <w:r>
        <w:rPr>
          <w:spacing w:val="40"/>
        </w:rPr>
        <w:t> </w:t>
      </w:r>
      <w:r>
        <w:rPr/>
        <w:t>providing</w:t>
      </w:r>
      <w:r>
        <w:rPr>
          <w:spacing w:val="40"/>
        </w:rPr>
        <w:t> </w:t>
      </w:r>
      <w:r>
        <w:rPr/>
        <w:t>training for potential entrants in the unorganised/informal sector, which accounts for the largest proportion of employment. Systematic efforts need to be made to impart the skills required by the unorganised sector. These should be formally introduced in the curricula and</w:t>
      </w:r>
      <w:r>
        <w:rPr>
          <w:spacing w:val="-14"/>
        </w:rPr>
        <w:t> </w:t>
      </w:r>
      <w:r>
        <w:rPr/>
        <w:t>practical</w:t>
      </w:r>
      <w:r>
        <w:rPr>
          <w:spacing w:val="-14"/>
        </w:rPr>
        <w:t> </w:t>
      </w:r>
      <w:r>
        <w:rPr/>
        <w:t>training</w:t>
      </w:r>
      <w:r>
        <w:rPr>
          <w:spacing w:val="-14"/>
        </w:rPr>
        <w:t> </w:t>
      </w:r>
      <w:r>
        <w:rPr/>
        <w:t>courses.</w:t>
      </w:r>
      <w:r>
        <w:rPr>
          <w:spacing w:val="-13"/>
        </w:rPr>
        <w:t> </w:t>
      </w:r>
      <w:r>
        <w:rPr/>
        <w:t>In</w:t>
      </w:r>
      <w:r>
        <w:rPr>
          <w:spacing w:val="-14"/>
        </w:rPr>
        <w:t> </w:t>
      </w:r>
      <w:r>
        <w:rPr/>
        <w:t>order</w:t>
      </w:r>
      <w:r>
        <w:rPr>
          <w:spacing w:val="-14"/>
        </w:rPr>
        <w:t> </w:t>
      </w:r>
      <w:r>
        <w:rPr/>
        <w:t>to</w:t>
      </w:r>
      <w:r>
        <w:rPr>
          <w:spacing w:val="-14"/>
        </w:rPr>
        <w:t> </w:t>
      </w:r>
      <w:r>
        <w:rPr/>
        <w:t>achieve</w:t>
      </w:r>
      <w:r>
        <w:rPr>
          <w:spacing w:val="-13"/>
        </w:rPr>
        <w:t> </w:t>
      </w:r>
      <w:r>
        <w:rPr/>
        <w:t>this, the</w:t>
      </w:r>
      <w:r>
        <w:rPr>
          <w:spacing w:val="-14"/>
        </w:rPr>
        <w:t> </w:t>
      </w:r>
      <w:r>
        <w:rPr/>
        <w:t>Government</w:t>
      </w:r>
      <w:r>
        <w:rPr>
          <w:spacing w:val="-14"/>
        </w:rPr>
        <w:t> </w:t>
      </w:r>
      <w:r>
        <w:rPr/>
        <w:t>should</w:t>
      </w:r>
      <w:r>
        <w:rPr>
          <w:spacing w:val="-14"/>
        </w:rPr>
        <w:t> </w:t>
      </w:r>
      <w:r>
        <w:rPr/>
        <w:t>act</w:t>
      </w:r>
      <w:r>
        <w:rPr>
          <w:spacing w:val="-13"/>
        </w:rPr>
        <w:t> </w:t>
      </w:r>
      <w:r>
        <w:rPr/>
        <w:t>as</w:t>
      </w:r>
      <w:r>
        <w:rPr>
          <w:spacing w:val="-14"/>
        </w:rPr>
        <w:t> </w:t>
      </w:r>
      <w:r>
        <w:rPr/>
        <w:t>a</w:t>
      </w:r>
      <w:r>
        <w:rPr>
          <w:spacing w:val="-14"/>
        </w:rPr>
        <w:t> </w:t>
      </w:r>
      <w:r>
        <w:rPr/>
        <w:t>facilitator</w:t>
      </w:r>
      <w:r>
        <w:rPr>
          <w:spacing w:val="-14"/>
        </w:rPr>
        <w:t> </w:t>
      </w:r>
      <w:r>
        <w:rPr/>
        <w:t>and</w:t>
      </w:r>
      <w:r>
        <w:rPr>
          <w:spacing w:val="-13"/>
        </w:rPr>
        <w:t> </w:t>
      </w:r>
      <w:r>
        <w:rPr/>
        <w:t>provide </w:t>
      </w:r>
      <w:r>
        <w:rPr>
          <w:spacing w:val="-2"/>
        </w:rPr>
        <w:t>financial</w:t>
      </w:r>
      <w:r>
        <w:rPr>
          <w:spacing w:val="-8"/>
        </w:rPr>
        <w:t> </w:t>
      </w:r>
      <w:r>
        <w:rPr>
          <w:spacing w:val="-2"/>
        </w:rPr>
        <w:t>support.</w:t>
      </w:r>
      <w:r>
        <w:rPr>
          <w:spacing w:val="-12"/>
        </w:rPr>
        <w:t> </w:t>
      </w:r>
      <w:r>
        <w:rPr>
          <w:spacing w:val="-2"/>
        </w:rPr>
        <w:t>This</w:t>
      </w:r>
      <w:r>
        <w:rPr>
          <w:spacing w:val="-6"/>
        </w:rPr>
        <w:t> </w:t>
      </w:r>
      <w:r>
        <w:rPr>
          <w:spacing w:val="-2"/>
        </w:rPr>
        <w:t>aspect</w:t>
      </w:r>
      <w:r>
        <w:rPr>
          <w:spacing w:val="-7"/>
        </w:rPr>
        <w:t> </w:t>
      </w:r>
      <w:r>
        <w:rPr>
          <w:spacing w:val="-2"/>
        </w:rPr>
        <w:t>of</w:t>
      </w:r>
      <w:r>
        <w:rPr>
          <w:spacing w:val="-9"/>
        </w:rPr>
        <w:t> </w:t>
      </w:r>
      <w:r>
        <w:rPr>
          <w:spacing w:val="-2"/>
        </w:rPr>
        <w:t>VET</w:t>
      </w:r>
      <w:r>
        <w:rPr>
          <w:spacing w:val="-7"/>
        </w:rPr>
        <w:t> </w:t>
      </w:r>
      <w:r>
        <w:rPr>
          <w:spacing w:val="-2"/>
        </w:rPr>
        <w:t>is</w:t>
      </w:r>
      <w:r>
        <w:rPr>
          <w:spacing w:val="-7"/>
        </w:rPr>
        <w:t> </w:t>
      </w:r>
      <w:r>
        <w:rPr>
          <w:spacing w:val="-2"/>
        </w:rPr>
        <w:t>critical</w:t>
      </w:r>
      <w:r>
        <w:rPr>
          <w:spacing w:val="-7"/>
        </w:rPr>
        <w:t> </w:t>
      </w:r>
      <w:r>
        <w:rPr>
          <w:spacing w:val="-2"/>
        </w:rPr>
        <w:t>for</w:t>
      </w:r>
      <w:r>
        <w:rPr>
          <w:spacing w:val="-7"/>
        </w:rPr>
        <w:t> </w:t>
      </w:r>
      <w:r>
        <w:rPr>
          <w:spacing w:val="-2"/>
        </w:rPr>
        <w:t>the </w:t>
      </w:r>
      <w:r>
        <w:rPr/>
        <w:t>success</w:t>
      </w:r>
      <w:r>
        <w:rPr>
          <w:spacing w:val="-6"/>
        </w:rPr>
        <w:t> </w:t>
      </w:r>
      <w:r>
        <w:rPr/>
        <w:t>of</w:t>
      </w:r>
      <w:r>
        <w:rPr>
          <w:spacing w:val="-6"/>
        </w:rPr>
        <w:t> </w:t>
      </w:r>
      <w:r>
        <w:rPr/>
        <w:t>the</w:t>
      </w:r>
      <w:r>
        <w:rPr>
          <w:spacing w:val="-6"/>
        </w:rPr>
        <w:t> </w:t>
      </w:r>
      <w:r>
        <w:rPr/>
        <w:t>system</w:t>
      </w:r>
      <w:r>
        <w:rPr>
          <w:spacing w:val="-6"/>
        </w:rPr>
        <w:t> </w:t>
      </w:r>
      <w:r>
        <w:rPr/>
        <w:t>as</w:t>
      </w:r>
      <w:r>
        <w:rPr>
          <w:spacing w:val="-6"/>
        </w:rPr>
        <w:t> </w:t>
      </w:r>
      <w:r>
        <w:rPr/>
        <w:t>a</w:t>
      </w:r>
      <w:r>
        <w:rPr>
          <w:spacing w:val="-6"/>
        </w:rPr>
        <w:t> </w:t>
      </w:r>
      <w:r>
        <w:rPr/>
        <w:t>whole.</w:t>
      </w:r>
    </w:p>
    <w:p>
      <w:pPr>
        <w:pStyle w:val="Heading6"/>
        <w:numPr>
          <w:ilvl w:val="0"/>
          <w:numId w:val="18"/>
        </w:numPr>
        <w:tabs>
          <w:tab w:pos="643" w:val="left" w:leader="none"/>
          <w:tab w:pos="645" w:val="left" w:leader="none"/>
        </w:tabs>
        <w:spacing w:line="182" w:lineRule="auto" w:before="129" w:after="0"/>
        <w:ind w:left="645" w:right="2582" w:hanging="327"/>
        <w:jc w:val="left"/>
      </w:pPr>
      <w:r>
        <w:rPr>
          <w:b w:val="0"/>
        </w:rPr>
        <w:br w:type="column"/>
      </w:r>
      <w:r>
        <w:rPr>
          <w:color w:val="2E614A"/>
          <w:w w:val="90"/>
        </w:rPr>
        <w:t>Strengthen the </w:t>
      </w:r>
      <w:r>
        <w:rPr>
          <w:color w:val="2E614A"/>
          <w:w w:val="90"/>
        </w:rPr>
        <w:t>current </w:t>
      </w:r>
      <w:r>
        <w:rPr>
          <w:color w:val="2E614A"/>
          <w:spacing w:val="-6"/>
        </w:rPr>
        <w:t>institutional</w:t>
      </w:r>
      <w:r>
        <w:rPr>
          <w:color w:val="2E614A"/>
          <w:spacing w:val="-14"/>
        </w:rPr>
        <w:t> </w:t>
      </w:r>
      <w:r>
        <w:rPr>
          <w:color w:val="2E614A"/>
          <w:spacing w:val="-6"/>
        </w:rPr>
        <w:t>structure</w:t>
      </w:r>
    </w:p>
    <w:p>
      <w:pPr>
        <w:pStyle w:val="BodyText"/>
        <w:spacing w:line="266" w:lineRule="auto" w:before="302"/>
        <w:ind w:left="319" w:right="1077"/>
        <w:jc w:val="both"/>
      </w:pPr>
      <w:r>
        <w:rPr/>
        <w:t>The existing Industrial Training Institutes (ITIs) </w:t>
      </w:r>
      <w:r>
        <w:rPr/>
        <w:t>and </w:t>
      </w:r>
      <w:r>
        <w:rPr>
          <w:spacing w:val="-6"/>
        </w:rPr>
        <w:t>Industrial</w:t>
      </w:r>
      <w:r>
        <w:rPr>
          <w:spacing w:val="-8"/>
        </w:rPr>
        <w:t> </w:t>
      </w:r>
      <w:r>
        <w:rPr>
          <w:spacing w:val="-6"/>
        </w:rPr>
        <w:t>Training</w:t>
      </w:r>
      <w:r>
        <w:rPr>
          <w:spacing w:val="-8"/>
        </w:rPr>
        <w:t> </w:t>
      </w:r>
      <w:r>
        <w:rPr>
          <w:spacing w:val="-6"/>
        </w:rPr>
        <w:t>Centres</w:t>
      </w:r>
      <w:r>
        <w:rPr>
          <w:spacing w:val="-8"/>
        </w:rPr>
        <w:t> </w:t>
      </w:r>
      <w:r>
        <w:rPr>
          <w:spacing w:val="-6"/>
        </w:rPr>
        <w:t>(ITCs)</w:t>
      </w:r>
      <w:r>
        <w:rPr>
          <w:spacing w:val="-7"/>
        </w:rPr>
        <w:t> </w:t>
      </w:r>
      <w:r>
        <w:rPr>
          <w:spacing w:val="-6"/>
        </w:rPr>
        <w:t>are</w:t>
      </w:r>
      <w:r>
        <w:rPr>
          <w:spacing w:val="-8"/>
        </w:rPr>
        <w:t> </w:t>
      </w:r>
      <w:r>
        <w:rPr>
          <w:spacing w:val="-6"/>
        </w:rPr>
        <w:t>widely</w:t>
      </w:r>
      <w:r>
        <w:rPr>
          <w:spacing w:val="-8"/>
        </w:rPr>
        <w:t> </w:t>
      </w:r>
      <w:r>
        <w:rPr>
          <w:spacing w:val="-6"/>
        </w:rPr>
        <w:t>recognised </w:t>
      </w:r>
      <w:r>
        <w:rPr/>
        <w:t>to</w:t>
      </w:r>
      <w:r>
        <w:rPr>
          <w:spacing w:val="-7"/>
        </w:rPr>
        <w:t> </w:t>
      </w:r>
      <w:r>
        <w:rPr/>
        <w:t>face</w:t>
      </w:r>
      <w:r>
        <w:rPr>
          <w:spacing w:val="-7"/>
        </w:rPr>
        <w:t> </w:t>
      </w:r>
      <w:r>
        <w:rPr/>
        <w:t>problems</w:t>
      </w:r>
      <w:r>
        <w:rPr>
          <w:spacing w:val="-7"/>
        </w:rPr>
        <w:t> </w:t>
      </w:r>
      <w:r>
        <w:rPr/>
        <w:t>such</w:t>
      </w:r>
      <w:r>
        <w:rPr>
          <w:spacing w:val="-7"/>
        </w:rPr>
        <w:t> </w:t>
      </w:r>
      <w:r>
        <w:rPr/>
        <w:t>as</w:t>
      </w:r>
      <w:r>
        <w:rPr>
          <w:spacing w:val="-7"/>
        </w:rPr>
        <w:t> </w:t>
      </w:r>
      <w:r>
        <w:rPr/>
        <w:t>poor</w:t>
      </w:r>
      <w:r>
        <w:rPr>
          <w:spacing w:val="-7"/>
        </w:rPr>
        <w:t> </w:t>
      </w:r>
      <w:r>
        <w:rPr/>
        <w:t>quality</w:t>
      </w:r>
      <w:r>
        <w:rPr>
          <w:spacing w:val="-7"/>
        </w:rPr>
        <w:t> </w:t>
      </w:r>
      <w:r>
        <w:rPr/>
        <w:t>trainers,</w:t>
      </w:r>
      <w:r>
        <w:rPr>
          <w:spacing w:val="-7"/>
        </w:rPr>
        <w:t> </w:t>
      </w:r>
      <w:r>
        <w:rPr/>
        <w:t>lack</w:t>
      </w:r>
      <w:r>
        <w:rPr>
          <w:spacing w:val="-7"/>
        </w:rPr>
        <w:t> </w:t>
      </w:r>
      <w:r>
        <w:rPr/>
        <w:t>of flexibility, and outdated infrastructure. Measures to improve</w:t>
      </w:r>
      <w:r>
        <w:rPr>
          <w:spacing w:val="-9"/>
        </w:rPr>
        <w:t> </w:t>
      </w:r>
      <w:r>
        <w:rPr/>
        <w:t>the</w:t>
      </w:r>
      <w:r>
        <w:rPr>
          <w:spacing w:val="-9"/>
        </w:rPr>
        <w:t> </w:t>
      </w:r>
      <w:r>
        <w:rPr/>
        <w:t>existing</w:t>
      </w:r>
      <w:r>
        <w:rPr>
          <w:spacing w:val="-9"/>
        </w:rPr>
        <w:t> </w:t>
      </w:r>
      <w:r>
        <w:rPr/>
        <w:t>institutions</w:t>
      </w:r>
      <w:r>
        <w:rPr>
          <w:spacing w:val="-9"/>
        </w:rPr>
        <w:t> </w:t>
      </w:r>
      <w:r>
        <w:rPr/>
        <w:t>are</w:t>
      </w:r>
      <w:r>
        <w:rPr>
          <w:spacing w:val="-9"/>
        </w:rPr>
        <w:t> </w:t>
      </w:r>
      <w:r>
        <w:rPr/>
        <w:t>as</w:t>
      </w:r>
      <w:r>
        <w:rPr>
          <w:spacing w:val="-9"/>
        </w:rPr>
        <w:t> </w:t>
      </w:r>
      <w:r>
        <w:rPr/>
        <w:t>follows:</w:t>
      </w:r>
    </w:p>
    <w:p>
      <w:pPr>
        <w:pStyle w:val="ListParagraph"/>
        <w:numPr>
          <w:ilvl w:val="1"/>
          <w:numId w:val="18"/>
        </w:numPr>
        <w:tabs>
          <w:tab w:pos="719" w:val="left" w:leader="none"/>
        </w:tabs>
        <w:spacing w:line="266" w:lineRule="auto" w:before="0" w:after="0"/>
        <w:ind w:left="719" w:right="1077" w:hanging="400"/>
        <w:jc w:val="both"/>
        <w:rPr>
          <w:sz w:val="22"/>
        </w:rPr>
      </w:pPr>
      <w:r>
        <w:rPr>
          <w:spacing w:val="-2"/>
          <w:sz w:val="22"/>
        </w:rPr>
        <w:t>Extent</w:t>
      </w:r>
      <w:r>
        <w:rPr>
          <w:spacing w:val="-7"/>
          <w:sz w:val="22"/>
        </w:rPr>
        <w:t> </w:t>
      </w:r>
      <w:r>
        <w:rPr>
          <w:spacing w:val="-2"/>
          <w:sz w:val="22"/>
        </w:rPr>
        <w:t>of</w:t>
      </w:r>
      <w:r>
        <w:rPr>
          <w:spacing w:val="-7"/>
          <w:sz w:val="22"/>
        </w:rPr>
        <w:t> </w:t>
      </w:r>
      <w:r>
        <w:rPr>
          <w:spacing w:val="-2"/>
          <w:sz w:val="22"/>
        </w:rPr>
        <w:t>functional</w:t>
      </w:r>
      <w:r>
        <w:rPr>
          <w:spacing w:val="-7"/>
          <w:sz w:val="22"/>
        </w:rPr>
        <w:t> </w:t>
      </w:r>
      <w:r>
        <w:rPr>
          <w:spacing w:val="-2"/>
          <w:sz w:val="22"/>
        </w:rPr>
        <w:t>autonomy</w:t>
      </w:r>
      <w:r>
        <w:rPr>
          <w:spacing w:val="-7"/>
          <w:sz w:val="22"/>
        </w:rPr>
        <w:t> </w:t>
      </w:r>
      <w:r>
        <w:rPr>
          <w:spacing w:val="-2"/>
          <w:sz w:val="22"/>
        </w:rPr>
        <w:t>must</w:t>
      </w:r>
      <w:r>
        <w:rPr>
          <w:spacing w:val="-7"/>
          <w:sz w:val="22"/>
        </w:rPr>
        <w:t> </w:t>
      </w:r>
      <w:r>
        <w:rPr>
          <w:spacing w:val="-2"/>
          <w:sz w:val="22"/>
        </w:rPr>
        <w:t>be</w:t>
      </w:r>
      <w:r>
        <w:rPr>
          <w:spacing w:val="-7"/>
          <w:sz w:val="22"/>
        </w:rPr>
        <w:t> </w:t>
      </w:r>
      <w:r>
        <w:rPr>
          <w:spacing w:val="-2"/>
          <w:sz w:val="22"/>
        </w:rPr>
        <w:t>increased, </w:t>
      </w:r>
      <w:r>
        <w:rPr>
          <w:spacing w:val="-4"/>
          <w:sz w:val="22"/>
        </w:rPr>
        <w:t>ITIs</w:t>
      </w:r>
      <w:r>
        <w:rPr>
          <w:spacing w:val="-10"/>
          <w:sz w:val="22"/>
        </w:rPr>
        <w:t> </w:t>
      </w:r>
      <w:r>
        <w:rPr>
          <w:spacing w:val="-4"/>
          <w:sz w:val="22"/>
        </w:rPr>
        <w:t>should</w:t>
      </w:r>
      <w:r>
        <w:rPr>
          <w:spacing w:val="-9"/>
          <w:sz w:val="22"/>
        </w:rPr>
        <w:t> </w:t>
      </w:r>
      <w:r>
        <w:rPr>
          <w:spacing w:val="-4"/>
          <w:sz w:val="22"/>
        </w:rPr>
        <w:t>be</w:t>
      </w:r>
      <w:r>
        <w:rPr>
          <w:spacing w:val="-10"/>
          <w:sz w:val="22"/>
        </w:rPr>
        <w:t> </w:t>
      </w:r>
      <w:r>
        <w:rPr>
          <w:spacing w:val="-4"/>
          <w:sz w:val="22"/>
        </w:rPr>
        <w:t>given</w:t>
      </w:r>
      <w:r>
        <w:rPr>
          <w:spacing w:val="-9"/>
          <w:sz w:val="22"/>
        </w:rPr>
        <w:t> </w:t>
      </w:r>
      <w:r>
        <w:rPr>
          <w:spacing w:val="-4"/>
          <w:sz w:val="22"/>
        </w:rPr>
        <w:t>more</w:t>
      </w:r>
      <w:r>
        <w:rPr>
          <w:spacing w:val="-10"/>
          <w:sz w:val="22"/>
        </w:rPr>
        <w:t> </w:t>
      </w:r>
      <w:r>
        <w:rPr>
          <w:spacing w:val="-4"/>
          <w:sz w:val="22"/>
        </w:rPr>
        <w:t>power</w:t>
      </w:r>
      <w:r>
        <w:rPr>
          <w:spacing w:val="-9"/>
          <w:sz w:val="22"/>
        </w:rPr>
        <w:t> </w:t>
      </w:r>
      <w:r>
        <w:rPr>
          <w:spacing w:val="-4"/>
          <w:sz w:val="22"/>
        </w:rPr>
        <w:t>to</w:t>
      </w:r>
      <w:r>
        <w:rPr>
          <w:spacing w:val="-10"/>
          <w:sz w:val="22"/>
        </w:rPr>
        <w:t> </w:t>
      </w:r>
      <w:r>
        <w:rPr>
          <w:spacing w:val="-4"/>
          <w:sz w:val="22"/>
        </w:rPr>
        <w:t>strengthen</w:t>
      </w:r>
      <w:r>
        <w:rPr>
          <w:spacing w:val="-9"/>
          <w:sz w:val="22"/>
        </w:rPr>
        <w:t> </w:t>
      </w:r>
      <w:r>
        <w:rPr>
          <w:spacing w:val="-4"/>
          <w:sz w:val="22"/>
        </w:rPr>
        <w:t>and </w:t>
      </w:r>
      <w:r>
        <w:rPr>
          <w:sz w:val="22"/>
        </w:rPr>
        <w:t>adapt</w:t>
      </w:r>
      <w:r>
        <w:rPr>
          <w:spacing w:val="-7"/>
          <w:sz w:val="22"/>
        </w:rPr>
        <w:t> </w:t>
      </w:r>
      <w:r>
        <w:rPr>
          <w:sz w:val="22"/>
        </w:rPr>
        <w:t>their</w:t>
      </w:r>
      <w:r>
        <w:rPr>
          <w:spacing w:val="-7"/>
          <w:sz w:val="22"/>
        </w:rPr>
        <w:t> </w:t>
      </w:r>
      <w:r>
        <w:rPr>
          <w:sz w:val="22"/>
        </w:rPr>
        <w:t>training</w:t>
      </w:r>
      <w:r>
        <w:rPr>
          <w:spacing w:val="-7"/>
          <w:sz w:val="22"/>
        </w:rPr>
        <w:t> </w:t>
      </w:r>
      <w:r>
        <w:rPr>
          <w:sz w:val="22"/>
        </w:rPr>
        <w:t>programs</w:t>
      </w:r>
      <w:r>
        <w:rPr>
          <w:spacing w:val="-7"/>
          <w:sz w:val="22"/>
        </w:rPr>
        <w:t> </w:t>
      </w:r>
      <w:r>
        <w:rPr>
          <w:sz w:val="22"/>
        </w:rPr>
        <w:t>to</w:t>
      </w:r>
      <w:r>
        <w:rPr>
          <w:spacing w:val="-7"/>
          <w:sz w:val="22"/>
        </w:rPr>
        <w:t> </w:t>
      </w:r>
      <w:r>
        <w:rPr>
          <w:sz w:val="22"/>
        </w:rPr>
        <w:t>better</w:t>
      </w:r>
      <w:r>
        <w:rPr>
          <w:spacing w:val="-7"/>
          <w:sz w:val="22"/>
        </w:rPr>
        <w:t> </w:t>
      </w:r>
      <w:r>
        <w:rPr>
          <w:sz w:val="22"/>
        </w:rPr>
        <w:t>meet</w:t>
      </w:r>
      <w:r>
        <w:rPr>
          <w:spacing w:val="-7"/>
          <w:sz w:val="22"/>
        </w:rPr>
        <w:t> </w:t>
      </w:r>
      <w:r>
        <w:rPr>
          <w:sz w:val="22"/>
        </w:rPr>
        <w:t>local market needs.</w:t>
      </w:r>
    </w:p>
    <w:p>
      <w:pPr>
        <w:pStyle w:val="ListParagraph"/>
        <w:numPr>
          <w:ilvl w:val="1"/>
          <w:numId w:val="18"/>
        </w:numPr>
        <w:tabs>
          <w:tab w:pos="719" w:val="left" w:leader="none"/>
        </w:tabs>
        <w:spacing w:line="266" w:lineRule="auto" w:before="0" w:after="0"/>
        <w:ind w:left="719" w:right="1077" w:hanging="400"/>
        <w:jc w:val="both"/>
        <w:rPr>
          <w:sz w:val="22"/>
        </w:rPr>
      </w:pPr>
      <w:r>
        <w:rPr>
          <w:spacing w:val="-6"/>
          <w:sz w:val="22"/>
        </w:rPr>
        <w:t>Indicators of internal and external efficiency </w:t>
      </w:r>
      <w:r>
        <w:rPr>
          <w:spacing w:val="-6"/>
          <w:sz w:val="22"/>
        </w:rPr>
        <w:t>should </w:t>
      </w:r>
      <w:r>
        <w:rPr>
          <w:sz w:val="22"/>
        </w:rPr>
        <w:t>be</w:t>
      </w:r>
      <w:r>
        <w:rPr>
          <w:spacing w:val="-14"/>
          <w:sz w:val="22"/>
        </w:rPr>
        <w:t> </w:t>
      </w:r>
      <w:r>
        <w:rPr>
          <w:sz w:val="22"/>
        </w:rPr>
        <w:t>developed</w:t>
      </w:r>
      <w:r>
        <w:rPr>
          <w:spacing w:val="-14"/>
          <w:sz w:val="22"/>
        </w:rPr>
        <w:t> </w:t>
      </w:r>
      <w:r>
        <w:rPr>
          <w:sz w:val="22"/>
        </w:rPr>
        <w:t>(by</w:t>
      </w:r>
      <w:r>
        <w:rPr>
          <w:spacing w:val="-14"/>
          <w:sz w:val="22"/>
        </w:rPr>
        <w:t> </w:t>
      </w:r>
      <w:r>
        <w:rPr>
          <w:sz w:val="22"/>
        </w:rPr>
        <w:t>the</w:t>
      </w:r>
      <w:r>
        <w:rPr>
          <w:spacing w:val="-13"/>
          <w:sz w:val="22"/>
        </w:rPr>
        <w:t> </w:t>
      </w:r>
      <w:r>
        <w:rPr>
          <w:sz w:val="22"/>
        </w:rPr>
        <w:t>proposed</w:t>
      </w:r>
      <w:r>
        <w:rPr>
          <w:spacing w:val="-14"/>
          <w:sz w:val="22"/>
        </w:rPr>
        <w:t> </w:t>
      </w:r>
      <w:r>
        <w:rPr>
          <w:sz w:val="22"/>
        </w:rPr>
        <w:t>National</w:t>
      </w:r>
      <w:r>
        <w:rPr>
          <w:spacing w:val="-14"/>
          <w:sz w:val="22"/>
        </w:rPr>
        <w:t> </w:t>
      </w:r>
      <w:r>
        <w:rPr>
          <w:sz w:val="22"/>
        </w:rPr>
        <w:t>Institute) to incentivise good performance.</w:t>
      </w:r>
    </w:p>
    <w:p>
      <w:pPr>
        <w:pStyle w:val="ListParagraph"/>
        <w:numPr>
          <w:ilvl w:val="1"/>
          <w:numId w:val="18"/>
        </w:numPr>
        <w:tabs>
          <w:tab w:pos="719" w:val="left" w:leader="none"/>
        </w:tabs>
        <w:spacing w:line="266" w:lineRule="auto" w:before="0" w:after="0"/>
        <w:ind w:left="719" w:right="1077" w:hanging="400"/>
        <w:jc w:val="both"/>
        <w:rPr>
          <w:sz w:val="22"/>
        </w:rPr>
      </w:pPr>
      <w:r>
        <w:rPr>
          <w:sz w:val="22"/>
        </w:rPr>
        <w:t>Modules on literacy, numeracy, </w:t>
      </w:r>
      <w:r>
        <w:rPr>
          <w:sz w:val="22"/>
        </w:rPr>
        <w:t>communication skills, entrepreneurship and other general skills relevant to workplace requirements must be introduced in all courses.</w:t>
      </w:r>
    </w:p>
    <w:p>
      <w:pPr>
        <w:pStyle w:val="ListParagraph"/>
        <w:numPr>
          <w:ilvl w:val="1"/>
          <w:numId w:val="18"/>
        </w:numPr>
        <w:tabs>
          <w:tab w:pos="717" w:val="left" w:leader="none"/>
          <w:tab w:pos="719" w:val="left" w:leader="none"/>
        </w:tabs>
        <w:spacing w:line="266" w:lineRule="auto" w:before="0" w:after="0"/>
        <w:ind w:left="719" w:right="1077" w:hanging="400"/>
        <w:jc w:val="both"/>
        <w:rPr>
          <w:sz w:val="22"/>
        </w:rPr>
      </w:pPr>
      <w:r>
        <w:rPr>
          <w:spacing w:val="-2"/>
          <w:sz w:val="22"/>
        </w:rPr>
        <w:t>Different</w:t>
      </w:r>
      <w:r>
        <w:rPr>
          <w:spacing w:val="-10"/>
          <w:sz w:val="22"/>
        </w:rPr>
        <w:t> </w:t>
      </w:r>
      <w:r>
        <w:rPr>
          <w:spacing w:val="-2"/>
          <w:sz w:val="22"/>
        </w:rPr>
        <w:t>tracks</w:t>
      </w:r>
      <w:r>
        <w:rPr>
          <w:spacing w:val="-10"/>
          <w:sz w:val="22"/>
        </w:rPr>
        <w:t> </w:t>
      </w:r>
      <w:r>
        <w:rPr>
          <w:spacing w:val="-2"/>
          <w:sz w:val="22"/>
        </w:rPr>
        <w:t>within</w:t>
      </w:r>
      <w:r>
        <w:rPr>
          <w:spacing w:val="-10"/>
          <w:sz w:val="22"/>
        </w:rPr>
        <w:t> </w:t>
      </w:r>
      <w:r>
        <w:rPr>
          <w:spacing w:val="-2"/>
          <w:sz w:val="22"/>
        </w:rPr>
        <w:t>courses</w:t>
      </w:r>
      <w:r>
        <w:rPr>
          <w:spacing w:val="-10"/>
          <w:sz w:val="22"/>
        </w:rPr>
        <w:t> </w:t>
      </w:r>
      <w:r>
        <w:rPr>
          <w:spacing w:val="-2"/>
          <w:sz w:val="22"/>
        </w:rPr>
        <w:t>for</w:t>
      </w:r>
      <w:r>
        <w:rPr>
          <w:spacing w:val="-10"/>
          <w:sz w:val="22"/>
        </w:rPr>
        <w:t> </w:t>
      </w:r>
      <w:r>
        <w:rPr>
          <w:spacing w:val="-2"/>
          <w:sz w:val="22"/>
        </w:rPr>
        <w:t>different</w:t>
      </w:r>
      <w:r>
        <w:rPr>
          <w:spacing w:val="-10"/>
          <w:sz w:val="22"/>
        </w:rPr>
        <w:t> </w:t>
      </w:r>
      <w:r>
        <w:rPr>
          <w:spacing w:val="-2"/>
          <w:sz w:val="22"/>
        </w:rPr>
        <w:t>levels </w:t>
      </w:r>
      <w:r>
        <w:rPr>
          <w:sz w:val="22"/>
        </w:rPr>
        <w:t>of specialisation should be introduced.</w:t>
      </w:r>
    </w:p>
    <w:p>
      <w:pPr>
        <w:pStyle w:val="ListParagraph"/>
        <w:numPr>
          <w:ilvl w:val="1"/>
          <w:numId w:val="18"/>
        </w:numPr>
        <w:tabs>
          <w:tab w:pos="719" w:val="left" w:leader="none"/>
        </w:tabs>
        <w:spacing w:line="266" w:lineRule="auto" w:before="0" w:after="0"/>
        <w:ind w:left="719" w:right="1078" w:hanging="400"/>
        <w:jc w:val="both"/>
        <w:rPr>
          <w:sz w:val="22"/>
        </w:rPr>
      </w:pPr>
      <w:r>
        <w:rPr>
          <w:spacing w:val="-4"/>
          <w:sz w:val="22"/>
        </w:rPr>
        <w:t>Students</w:t>
      </w:r>
      <w:r>
        <w:rPr>
          <w:spacing w:val="-10"/>
          <w:sz w:val="22"/>
        </w:rPr>
        <w:t> </w:t>
      </w:r>
      <w:r>
        <w:rPr>
          <w:spacing w:val="-4"/>
          <w:sz w:val="22"/>
        </w:rPr>
        <w:t>should</w:t>
      </w:r>
      <w:r>
        <w:rPr>
          <w:spacing w:val="-10"/>
          <w:sz w:val="22"/>
        </w:rPr>
        <w:t> </w:t>
      </w:r>
      <w:r>
        <w:rPr>
          <w:spacing w:val="-4"/>
          <w:sz w:val="22"/>
        </w:rPr>
        <w:t>be</w:t>
      </w:r>
      <w:r>
        <w:rPr>
          <w:spacing w:val="-10"/>
          <w:sz w:val="22"/>
        </w:rPr>
        <w:t> </w:t>
      </w:r>
      <w:r>
        <w:rPr>
          <w:spacing w:val="-4"/>
          <w:sz w:val="22"/>
        </w:rPr>
        <w:t>offered</w:t>
      </w:r>
      <w:r>
        <w:rPr>
          <w:spacing w:val="-9"/>
          <w:sz w:val="22"/>
        </w:rPr>
        <w:t> </w:t>
      </w:r>
      <w:r>
        <w:rPr>
          <w:spacing w:val="-4"/>
          <w:sz w:val="22"/>
        </w:rPr>
        <w:t>incentives</w:t>
      </w:r>
      <w:r>
        <w:rPr>
          <w:spacing w:val="-10"/>
          <w:sz w:val="22"/>
        </w:rPr>
        <w:t> </w:t>
      </w:r>
      <w:r>
        <w:rPr>
          <w:spacing w:val="-4"/>
          <w:sz w:val="22"/>
        </w:rPr>
        <w:t>such</w:t>
      </w:r>
      <w:r>
        <w:rPr>
          <w:spacing w:val="-10"/>
          <w:sz w:val="22"/>
        </w:rPr>
        <w:t> </w:t>
      </w:r>
      <w:r>
        <w:rPr>
          <w:spacing w:val="-4"/>
          <w:sz w:val="22"/>
        </w:rPr>
        <w:t>as</w:t>
      </w:r>
      <w:r>
        <w:rPr>
          <w:spacing w:val="-10"/>
          <w:sz w:val="22"/>
        </w:rPr>
        <w:t> </w:t>
      </w:r>
      <w:r>
        <w:rPr>
          <w:spacing w:val="-4"/>
          <w:sz w:val="22"/>
        </w:rPr>
        <w:t>tools, </w:t>
      </w:r>
      <w:r>
        <w:rPr>
          <w:sz w:val="22"/>
        </w:rPr>
        <w:t>membership of trade associations etc., as part of their degree or diploma.</w:t>
      </w:r>
    </w:p>
    <w:p>
      <w:pPr>
        <w:pStyle w:val="ListParagraph"/>
        <w:numPr>
          <w:ilvl w:val="1"/>
          <w:numId w:val="18"/>
        </w:numPr>
        <w:tabs>
          <w:tab w:pos="719" w:val="left" w:leader="none"/>
        </w:tabs>
        <w:spacing w:line="266" w:lineRule="auto" w:before="0" w:after="0"/>
        <w:ind w:left="719" w:right="1078" w:hanging="400"/>
        <w:jc w:val="both"/>
        <w:rPr>
          <w:sz w:val="22"/>
        </w:rPr>
      </w:pPr>
      <w:r>
        <w:rPr>
          <w:spacing w:val="-6"/>
          <w:sz w:val="22"/>
        </w:rPr>
        <w:t>Industry and trade involvement should be </w:t>
      </w:r>
      <w:r>
        <w:rPr>
          <w:spacing w:val="-6"/>
          <w:sz w:val="22"/>
        </w:rPr>
        <w:t>enhanced </w:t>
      </w:r>
      <w:r>
        <w:rPr>
          <w:spacing w:val="-2"/>
          <w:sz w:val="22"/>
        </w:rPr>
        <w:t>not</w:t>
      </w:r>
      <w:r>
        <w:rPr>
          <w:spacing w:val="-12"/>
          <w:sz w:val="22"/>
        </w:rPr>
        <w:t> </w:t>
      </w:r>
      <w:r>
        <w:rPr>
          <w:spacing w:val="-2"/>
          <w:sz w:val="22"/>
        </w:rPr>
        <w:t>only</w:t>
      </w:r>
      <w:r>
        <w:rPr>
          <w:spacing w:val="-12"/>
          <w:sz w:val="22"/>
        </w:rPr>
        <w:t> </w:t>
      </w:r>
      <w:r>
        <w:rPr>
          <w:spacing w:val="-2"/>
          <w:sz w:val="22"/>
        </w:rPr>
        <w:t>at</w:t>
      </w:r>
      <w:r>
        <w:rPr>
          <w:spacing w:val="-12"/>
          <w:sz w:val="22"/>
        </w:rPr>
        <w:t> </w:t>
      </w:r>
      <w:r>
        <w:rPr>
          <w:spacing w:val="-2"/>
          <w:sz w:val="22"/>
        </w:rPr>
        <w:t>the</w:t>
      </w:r>
      <w:r>
        <w:rPr>
          <w:spacing w:val="-11"/>
          <w:sz w:val="22"/>
        </w:rPr>
        <w:t> </w:t>
      </w:r>
      <w:r>
        <w:rPr>
          <w:spacing w:val="-2"/>
          <w:sz w:val="22"/>
        </w:rPr>
        <w:t>internship</w:t>
      </w:r>
      <w:r>
        <w:rPr>
          <w:spacing w:val="-12"/>
          <w:sz w:val="22"/>
        </w:rPr>
        <w:t> </w:t>
      </w:r>
      <w:r>
        <w:rPr>
          <w:spacing w:val="-2"/>
          <w:sz w:val="22"/>
        </w:rPr>
        <w:t>stage,</w:t>
      </w:r>
      <w:r>
        <w:rPr>
          <w:spacing w:val="-12"/>
          <w:sz w:val="22"/>
        </w:rPr>
        <w:t> </w:t>
      </w:r>
      <w:r>
        <w:rPr>
          <w:spacing w:val="-2"/>
          <w:sz w:val="22"/>
        </w:rPr>
        <w:t>but</w:t>
      </w:r>
      <w:r>
        <w:rPr>
          <w:spacing w:val="-12"/>
          <w:sz w:val="22"/>
        </w:rPr>
        <w:t> </w:t>
      </w:r>
      <w:r>
        <w:rPr>
          <w:spacing w:val="-2"/>
          <w:sz w:val="22"/>
        </w:rPr>
        <w:t>also</w:t>
      </w:r>
      <w:r>
        <w:rPr>
          <w:spacing w:val="-11"/>
          <w:sz w:val="22"/>
        </w:rPr>
        <w:t> </w:t>
      </w:r>
      <w:r>
        <w:rPr>
          <w:spacing w:val="-2"/>
          <w:sz w:val="22"/>
        </w:rPr>
        <w:t>at</w:t>
      </w:r>
      <w:r>
        <w:rPr>
          <w:spacing w:val="-12"/>
          <w:sz w:val="22"/>
        </w:rPr>
        <w:t> </w:t>
      </w:r>
      <w:r>
        <w:rPr>
          <w:spacing w:val="-2"/>
          <w:sz w:val="22"/>
        </w:rPr>
        <w:t>the</w:t>
      </w:r>
      <w:r>
        <w:rPr>
          <w:spacing w:val="-12"/>
          <w:sz w:val="22"/>
        </w:rPr>
        <w:t> </w:t>
      </w:r>
      <w:r>
        <w:rPr>
          <w:spacing w:val="-2"/>
          <w:sz w:val="22"/>
        </w:rPr>
        <w:t>time </w:t>
      </w:r>
      <w:r>
        <w:rPr>
          <w:sz w:val="22"/>
        </w:rPr>
        <w:t>of examinations and placements.</w:t>
      </w:r>
    </w:p>
    <w:p>
      <w:pPr>
        <w:pStyle w:val="ListParagraph"/>
        <w:numPr>
          <w:ilvl w:val="1"/>
          <w:numId w:val="18"/>
        </w:numPr>
        <w:tabs>
          <w:tab w:pos="719" w:val="left" w:leader="none"/>
        </w:tabs>
        <w:spacing w:line="266" w:lineRule="auto" w:before="0" w:after="0"/>
        <w:ind w:left="719" w:right="1078" w:hanging="400"/>
        <w:jc w:val="both"/>
        <w:rPr>
          <w:sz w:val="22"/>
        </w:rPr>
      </w:pPr>
      <w:r>
        <w:rPr>
          <w:sz w:val="22"/>
        </w:rPr>
        <w:t>Curricula should be constantly monitored </w:t>
      </w:r>
      <w:r>
        <w:rPr>
          <w:sz w:val="22"/>
        </w:rPr>
        <w:t>and </w:t>
      </w:r>
      <w:r>
        <w:rPr>
          <w:spacing w:val="-2"/>
          <w:sz w:val="22"/>
        </w:rPr>
        <w:t>updated.</w:t>
      </w:r>
    </w:p>
    <w:p>
      <w:pPr>
        <w:pStyle w:val="ListParagraph"/>
        <w:numPr>
          <w:ilvl w:val="1"/>
          <w:numId w:val="18"/>
        </w:numPr>
        <w:tabs>
          <w:tab w:pos="719" w:val="left" w:leader="none"/>
        </w:tabs>
        <w:spacing w:line="266" w:lineRule="auto" w:before="0" w:after="0"/>
        <w:ind w:left="719" w:right="1077" w:hanging="400"/>
        <w:jc w:val="both"/>
        <w:rPr>
          <w:sz w:val="22"/>
        </w:rPr>
      </w:pPr>
      <w:r>
        <w:rPr>
          <w:spacing w:val="-2"/>
          <w:sz w:val="22"/>
        </w:rPr>
        <w:t>The</w:t>
      </w:r>
      <w:r>
        <w:rPr>
          <w:spacing w:val="-9"/>
          <w:sz w:val="22"/>
        </w:rPr>
        <w:t> </w:t>
      </w:r>
      <w:r>
        <w:rPr>
          <w:spacing w:val="-2"/>
          <w:sz w:val="22"/>
        </w:rPr>
        <w:t>skills</w:t>
      </w:r>
      <w:r>
        <w:rPr>
          <w:spacing w:val="-9"/>
          <w:sz w:val="22"/>
        </w:rPr>
        <w:t> </w:t>
      </w:r>
      <w:r>
        <w:rPr>
          <w:spacing w:val="-2"/>
          <w:sz w:val="22"/>
        </w:rPr>
        <w:t>and</w:t>
      </w:r>
      <w:r>
        <w:rPr>
          <w:spacing w:val="-9"/>
          <w:sz w:val="22"/>
        </w:rPr>
        <w:t> </w:t>
      </w:r>
      <w:r>
        <w:rPr>
          <w:spacing w:val="-2"/>
          <w:sz w:val="22"/>
        </w:rPr>
        <w:t>courses</w:t>
      </w:r>
      <w:r>
        <w:rPr>
          <w:spacing w:val="-9"/>
          <w:sz w:val="22"/>
        </w:rPr>
        <w:t> </w:t>
      </w:r>
      <w:r>
        <w:rPr>
          <w:spacing w:val="-2"/>
          <w:sz w:val="22"/>
        </w:rPr>
        <w:t>offered</w:t>
      </w:r>
      <w:r>
        <w:rPr>
          <w:spacing w:val="-9"/>
          <w:sz w:val="22"/>
        </w:rPr>
        <w:t> </w:t>
      </w:r>
      <w:r>
        <w:rPr>
          <w:spacing w:val="-2"/>
          <w:sz w:val="22"/>
        </w:rPr>
        <w:t>should</w:t>
      </w:r>
      <w:r>
        <w:rPr>
          <w:spacing w:val="-9"/>
          <w:sz w:val="22"/>
        </w:rPr>
        <w:t> </w:t>
      </w:r>
      <w:r>
        <w:rPr>
          <w:spacing w:val="-2"/>
          <w:sz w:val="22"/>
        </w:rPr>
        <w:t>be</w:t>
      </w:r>
      <w:r>
        <w:rPr>
          <w:spacing w:val="-9"/>
          <w:sz w:val="22"/>
        </w:rPr>
        <w:t> </w:t>
      </w:r>
      <w:r>
        <w:rPr>
          <w:spacing w:val="-2"/>
          <w:sz w:val="22"/>
        </w:rPr>
        <w:t>reviewed </w:t>
      </w:r>
      <w:r>
        <w:rPr>
          <w:spacing w:val="-4"/>
          <w:sz w:val="22"/>
        </w:rPr>
        <w:t>periodically.</w:t>
      </w:r>
      <w:r>
        <w:rPr>
          <w:spacing w:val="-10"/>
          <w:sz w:val="22"/>
        </w:rPr>
        <w:t> </w:t>
      </w:r>
      <w:r>
        <w:rPr>
          <w:spacing w:val="-4"/>
          <w:sz w:val="22"/>
        </w:rPr>
        <w:t>The</w:t>
      </w:r>
      <w:r>
        <w:rPr>
          <w:spacing w:val="-10"/>
          <w:sz w:val="22"/>
        </w:rPr>
        <w:t> </w:t>
      </w:r>
      <w:r>
        <w:rPr>
          <w:spacing w:val="-4"/>
          <w:sz w:val="22"/>
        </w:rPr>
        <w:t>number</w:t>
      </w:r>
      <w:r>
        <w:rPr>
          <w:spacing w:val="-10"/>
          <w:sz w:val="22"/>
        </w:rPr>
        <w:t> </w:t>
      </w:r>
      <w:r>
        <w:rPr>
          <w:spacing w:val="-4"/>
          <w:sz w:val="22"/>
        </w:rPr>
        <w:t>of</w:t>
      </w:r>
      <w:r>
        <w:rPr>
          <w:spacing w:val="-9"/>
          <w:sz w:val="22"/>
        </w:rPr>
        <w:t> </w:t>
      </w:r>
      <w:r>
        <w:rPr>
          <w:spacing w:val="-4"/>
          <w:sz w:val="22"/>
        </w:rPr>
        <w:t>skills</w:t>
      </w:r>
      <w:r>
        <w:rPr>
          <w:spacing w:val="-10"/>
          <w:sz w:val="22"/>
        </w:rPr>
        <w:t> </w:t>
      </w:r>
      <w:r>
        <w:rPr>
          <w:spacing w:val="-4"/>
          <w:sz w:val="22"/>
        </w:rPr>
        <w:t>currently</w:t>
      </w:r>
      <w:r>
        <w:rPr>
          <w:spacing w:val="-10"/>
          <w:sz w:val="22"/>
        </w:rPr>
        <w:t> </w:t>
      </w:r>
      <w:r>
        <w:rPr>
          <w:spacing w:val="-4"/>
          <w:sz w:val="22"/>
        </w:rPr>
        <w:t>offered </w:t>
      </w:r>
      <w:r>
        <w:rPr>
          <w:sz w:val="22"/>
        </w:rPr>
        <w:t>needs to be increased.</w:t>
      </w:r>
    </w:p>
    <w:p>
      <w:pPr>
        <w:pStyle w:val="ListParagraph"/>
        <w:numPr>
          <w:ilvl w:val="1"/>
          <w:numId w:val="18"/>
        </w:numPr>
        <w:tabs>
          <w:tab w:pos="719" w:val="left" w:leader="none"/>
        </w:tabs>
        <w:spacing w:line="266" w:lineRule="auto" w:before="0" w:after="0"/>
        <w:ind w:left="719" w:right="1078" w:hanging="400"/>
        <w:jc w:val="both"/>
        <w:rPr>
          <w:sz w:val="22"/>
        </w:rPr>
      </w:pPr>
      <w:r>
        <w:rPr>
          <w:spacing w:val="-6"/>
          <w:sz w:val="22"/>
        </w:rPr>
        <w:t>Teaching should be conducted in English as well </w:t>
      </w:r>
      <w:r>
        <w:rPr>
          <w:spacing w:val="-6"/>
          <w:sz w:val="22"/>
        </w:rPr>
        <w:t>as </w:t>
      </w:r>
      <w:r>
        <w:rPr>
          <w:sz w:val="22"/>
        </w:rPr>
        <w:t>local languages.</w:t>
      </w:r>
    </w:p>
    <w:p>
      <w:pPr>
        <w:pStyle w:val="ListParagraph"/>
        <w:numPr>
          <w:ilvl w:val="1"/>
          <w:numId w:val="18"/>
        </w:numPr>
        <w:tabs>
          <w:tab w:pos="718" w:val="left" w:leader="none"/>
        </w:tabs>
        <w:spacing w:line="251" w:lineRule="exact" w:before="0" w:after="0"/>
        <w:ind w:left="718" w:right="0" w:hanging="399"/>
        <w:jc w:val="both"/>
        <w:rPr>
          <w:sz w:val="22"/>
        </w:rPr>
      </w:pPr>
      <w:r>
        <w:rPr>
          <w:spacing w:val="-4"/>
          <w:sz w:val="22"/>
        </w:rPr>
        <w:t>Infrastructure</w:t>
      </w:r>
      <w:r>
        <w:rPr>
          <w:spacing w:val="-2"/>
          <w:sz w:val="22"/>
        </w:rPr>
        <w:t> </w:t>
      </w:r>
      <w:r>
        <w:rPr>
          <w:spacing w:val="-4"/>
          <w:sz w:val="22"/>
        </w:rPr>
        <w:t>should</w:t>
      </w:r>
      <w:r>
        <w:rPr>
          <w:spacing w:val="-1"/>
          <w:sz w:val="22"/>
        </w:rPr>
        <w:t> </w:t>
      </w:r>
      <w:r>
        <w:rPr>
          <w:spacing w:val="-4"/>
          <w:sz w:val="22"/>
        </w:rPr>
        <w:t>be</w:t>
      </w:r>
      <w:r>
        <w:rPr>
          <w:spacing w:val="-2"/>
          <w:sz w:val="22"/>
        </w:rPr>
        <w:t> </w:t>
      </w:r>
      <w:r>
        <w:rPr>
          <w:spacing w:val="-4"/>
          <w:sz w:val="22"/>
        </w:rPr>
        <w:t>regularly</w:t>
      </w:r>
      <w:r>
        <w:rPr>
          <w:spacing w:val="-1"/>
          <w:sz w:val="22"/>
        </w:rPr>
        <w:t> </w:t>
      </w:r>
      <w:r>
        <w:rPr>
          <w:spacing w:val="-4"/>
          <w:sz w:val="22"/>
        </w:rPr>
        <w:t>upgraded.</w:t>
      </w:r>
    </w:p>
    <w:p>
      <w:pPr>
        <w:pStyle w:val="ListParagraph"/>
        <w:numPr>
          <w:ilvl w:val="1"/>
          <w:numId w:val="18"/>
        </w:numPr>
        <w:tabs>
          <w:tab w:pos="716" w:val="left" w:leader="none"/>
        </w:tabs>
        <w:spacing w:line="240" w:lineRule="auto" w:before="4" w:after="0"/>
        <w:ind w:left="716" w:right="0" w:hanging="397"/>
        <w:jc w:val="both"/>
        <w:rPr>
          <w:sz w:val="22"/>
        </w:rPr>
      </w:pPr>
      <w:r>
        <w:rPr>
          <w:spacing w:val="-8"/>
          <w:sz w:val="22"/>
        </w:rPr>
        <w:t>Quality</w:t>
      </w:r>
      <w:r>
        <w:rPr>
          <w:spacing w:val="1"/>
          <w:sz w:val="22"/>
        </w:rPr>
        <w:t> </w:t>
      </w:r>
      <w:r>
        <w:rPr>
          <w:spacing w:val="-8"/>
          <w:sz w:val="22"/>
        </w:rPr>
        <w:t>of</w:t>
      </w:r>
      <w:r>
        <w:rPr>
          <w:spacing w:val="2"/>
          <w:sz w:val="22"/>
        </w:rPr>
        <w:t> </w:t>
      </w:r>
      <w:r>
        <w:rPr>
          <w:spacing w:val="-8"/>
          <w:sz w:val="22"/>
        </w:rPr>
        <w:t>teaching</w:t>
      </w:r>
      <w:r>
        <w:rPr>
          <w:spacing w:val="2"/>
          <w:sz w:val="22"/>
        </w:rPr>
        <w:t> </w:t>
      </w:r>
      <w:r>
        <w:rPr>
          <w:spacing w:val="-8"/>
          <w:sz w:val="22"/>
        </w:rPr>
        <w:t>should</w:t>
      </w:r>
      <w:r>
        <w:rPr>
          <w:spacing w:val="2"/>
          <w:sz w:val="22"/>
        </w:rPr>
        <w:t> </w:t>
      </w:r>
      <w:r>
        <w:rPr>
          <w:spacing w:val="-8"/>
          <w:sz w:val="22"/>
        </w:rPr>
        <w:t>be</w:t>
      </w:r>
      <w:r>
        <w:rPr>
          <w:spacing w:val="2"/>
          <w:sz w:val="22"/>
        </w:rPr>
        <w:t> </w:t>
      </w:r>
      <w:r>
        <w:rPr>
          <w:spacing w:val="-8"/>
          <w:sz w:val="22"/>
        </w:rPr>
        <w:t>drastically</w:t>
      </w:r>
      <w:r>
        <w:rPr>
          <w:spacing w:val="2"/>
          <w:sz w:val="22"/>
        </w:rPr>
        <w:t> </w:t>
      </w:r>
      <w:r>
        <w:rPr>
          <w:spacing w:val="-8"/>
          <w:sz w:val="22"/>
        </w:rPr>
        <w:t>improved.</w:t>
      </w:r>
    </w:p>
    <w:p>
      <w:pPr>
        <w:pStyle w:val="BodyText"/>
        <w:spacing w:before="32"/>
      </w:pPr>
    </w:p>
    <w:p>
      <w:pPr>
        <w:pStyle w:val="Heading6"/>
        <w:numPr>
          <w:ilvl w:val="0"/>
          <w:numId w:val="18"/>
        </w:numPr>
        <w:tabs>
          <w:tab w:pos="643" w:val="left" w:leader="none"/>
          <w:tab w:pos="645" w:val="left" w:leader="none"/>
        </w:tabs>
        <w:spacing w:line="182" w:lineRule="auto" w:before="0" w:after="0"/>
        <w:ind w:left="645" w:right="1547" w:hanging="327"/>
        <w:jc w:val="left"/>
      </w:pPr>
      <w:r>
        <w:rPr>
          <w:color w:val="2E614A"/>
          <w:w w:val="90"/>
        </w:rPr>
        <w:t>Ensure</w:t>
      </w:r>
      <w:r>
        <w:rPr>
          <w:color w:val="2E614A"/>
          <w:spacing w:val="-2"/>
          <w:w w:val="90"/>
        </w:rPr>
        <w:t> </w:t>
      </w:r>
      <w:r>
        <w:rPr>
          <w:color w:val="2E614A"/>
          <w:w w:val="90"/>
        </w:rPr>
        <w:t>a</w:t>
      </w:r>
      <w:r>
        <w:rPr>
          <w:color w:val="2E614A"/>
          <w:spacing w:val="-2"/>
          <w:w w:val="90"/>
        </w:rPr>
        <w:t> </w:t>
      </w:r>
      <w:r>
        <w:rPr>
          <w:color w:val="2E614A"/>
          <w:w w:val="90"/>
        </w:rPr>
        <w:t>robust</w:t>
      </w:r>
      <w:r>
        <w:rPr>
          <w:color w:val="2E614A"/>
          <w:spacing w:val="-2"/>
          <w:w w:val="90"/>
        </w:rPr>
        <w:t> </w:t>
      </w:r>
      <w:r>
        <w:rPr>
          <w:color w:val="2E614A"/>
          <w:w w:val="90"/>
        </w:rPr>
        <w:t>regulatory</w:t>
      </w:r>
      <w:r>
        <w:rPr>
          <w:color w:val="2E614A"/>
          <w:spacing w:val="-2"/>
          <w:w w:val="90"/>
        </w:rPr>
        <w:t> </w:t>
      </w:r>
      <w:r>
        <w:rPr>
          <w:color w:val="2E614A"/>
          <w:w w:val="90"/>
        </w:rPr>
        <w:t>and </w:t>
      </w:r>
      <w:r>
        <w:rPr>
          <w:color w:val="2E614A"/>
          <w:spacing w:val="-6"/>
        </w:rPr>
        <w:t>accreditation</w:t>
      </w:r>
      <w:r>
        <w:rPr>
          <w:color w:val="2E614A"/>
          <w:spacing w:val="-14"/>
        </w:rPr>
        <w:t> </w:t>
      </w:r>
      <w:r>
        <w:rPr>
          <w:color w:val="2E614A"/>
          <w:spacing w:val="-6"/>
        </w:rPr>
        <w:t>framework</w:t>
      </w:r>
    </w:p>
    <w:p>
      <w:pPr>
        <w:pStyle w:val="BodyText"/>
        <w:spacing w:line="266" w:lineRule="auto" w:before="302"/>
        <w:ind w:left="319" w:right="1077"/>
        <w:jc w:val="both"/>
      </w:pPr>
      <w:r>
        <w:rPr/>
        <w:t>In order to achieve the desired modernisation </w:t>
      </w:r>
      <w:r>
        <w:rPr/>
        <w:t>and expansion,</w:t>
      </w:r>
      <w:r>
        <w:rPr>
          <w:spacing w:val="-12"/>
        </w:rPr>
        <w:t> </w:t>
      </w:r>
      <w:r>
        <w:rPr/>
        <w:t>a</w:t>
      </w:r>
      <w:r>
        <w:rPr>
          <w:spacing w:val="-12"/>
        </w:rPr>
        <w:t> </w:t>
      </w:r>
      <w:r>
        <w:rPr/>
        <w:t>critical</w:t>
      </w:r>
      <w:r>
        <w:rPr>
          <w:spacing w:val="-12"/>
        </w:rPr>
        <w:t> </w:t>
      </w:r>
      <w:r>
        <w:rPr/>
        <w:t>aspect</w:t>
      </w:r>
      <w:r>
        <w:rPr>
          <w:spacing w:val="-12"/>
        </w:rPr>
        <w:t> </w:t>
      </w:r>
      <w:r>
        <w:rPr/>
        <w:t>will</w:t>
      </w:r>
      <w:r>
        <w:rPr>
          <w:spacing w:val="-12"/>
        </w:rPr>
        <w:t> </w:t>
      </w:r>
      <w:r>
        <w:rPr/>
        <w:t>be</w:t>
      </w:r>
      <w:r>
        <w:rPr>
          <w:spacing w:val="-12"/>
        </w:rPr>
        <w:t> </w:t>
      </w:r>
      <w:r>
        <w:rPr/>
        <w:t>to</w:t>
      </w:r>
      <w:r>
        <w:rPr>
          <w:spacing w:val="-12"/>
        </w:rPr>
        <w:t> </w:t>
      </w:r>
      <w:r>
        <w:rPr/>
        <w:t>regulate</w:t>
      </w:r>
      <w:r>
        <w:rPr>
          <w:spacing w:val="-12"/>
        </w:rPr>
        <w:t> </w:t>
      </w:r>
      <w:r>
        <w:rPr/>
        <w:t>entry</w:t>
      </w:r>
      <w:r>
        <w:rPr>
          <w:spacing w:val="-12"/>
        </w:rPr>
        <w:t> </w:t>
      </w:r>
      <w:r>
        <w:rPr/>
        <w:t>of new institutions and accreditation of all institutions. NKC therefore recommends that an independent regulatory agency for</w:t>
      </w:r>
      <w:r>
        <w:rPr>
          <w:spacing w:val="-3"/>
        </w:rPr>
        <w:t> </w:t>
      </w:r>
      <w:r>
        <w:rPr/>
        <w:t>VET be established.</w:t>
      </w:r>
      <w:r>
        <w:rPr>
          <w:spacing w:val="-7"/>
        </w:rPr>
        <w:t> </w:t>
      </w:r>
      <w:r>
        <w:rPr/>
        <w:t>This body would license accreditation agencies and prescribe standards for certification. The procedures and methodologies</w:t>
      </w:r>
      <w:r>
        <w:rPr>
          <w:spacing w:val="-6"/>
        </w:rPr>
        <w:t> </w:t>
      </w:r>
      <w:r>
        <w:rPr/>
        <w:t>adopted</w:t>
      </w:r>
      <w:r>
        <w:rPr>
          <w:spacing w:val="-6"/>
        </w:rPr>
        <w:t> </w:t>
      </w:r>
      <w:r>
        <w:rPr/>
        <w:t>by</w:t>
      </w:r>
      <w:r>
        <w:rPr>
          <w:spacing w:val="-6"/>
        </w:rPr>
        <w:t> </w:t>
      </w:r>
      <w:r>
        <w:rPr/>
        <w:t>the</w:t>
      </w:r>
      <w:r>
        <w:rPr>
          <w:spacing w:val="-6"/>
        </w:rPr>
        <w:t> </w:t>
      </w:r>
      <w:r>
        <w:rPr/>
        <w:t>body</w:t>
      </w:r>
      <w:r>
        <w:rPr>
          <w:spacing w:val="-6"/>
        </w:rPr>
        <w:t> </w:t>
      </w:r>
      <w:r>
        <w:rPr/>
        <w:t>would</w:t>
      </w:r>
      <w:r>
        <w:rPr>
          <w:spacing w:val="-6"/>
        </w:rPr>
        <w:t> </w:t>
      </w:r>
      <w:r>
        <w:rPr/>
        <w:t>need</w:t>
      </w:r>
      <w:r>
        <w:rPr>
          <w:spacing w:val="-6"/>
        </w:rPr>
        <w:t> </w:t>
      </w:r>
      <w:r>
        <w:rPr/>
        <w:t>to</w:t>
      </w:r>
      <w:r>
        <w:rPr>
          <w:spacing w:val="-6"/>
        </w:rPr>
        <w:t> </w:t>
      </w:r>
      <w:r>
        <w:rPr/>
        <w:t>be </w:t>
      </w:r>
      <w:r>
        <w:rPr>
          <w:spacing w:val="-2"/>
        </w:rPr>
        <w:t>simple</w:t>
      </w:r>
      <w:r>
        <w:rPr>
          <w:spacing w:val="-7"/>
        </w:rPr>
        <w:t> </w:t>
      </w:r>
      <w:r>
        <w:rPr>
          <w:spacing w:val="-2"/>
        </w:rPr>
        <w:t>and</w:t>
      </w:r>
      <w:r>
        <w:rPr>
          <w:spacing w:val="-7"/>
        </w:rPr>
        <w:t> </w:t>
      </w:r>
      <w:r>
        <w:rPr>
          <w:spacing w:val="-2"/>
        </w:rPr>
        <w:t>transparent</w:t>
      </w:r>
      <w:r>
        <w:rPr>
          <w:spacing w:val="-7"/>
        </w:rPr>
        <w:t> </w:t>
      </w:r>
      <w:r>
        <w:rPr>
          <w:spacing w:val="-2"/>
        </w:rPr>
        <w:t>to</w:t>
      </w:r>
      <w:r>
        <w:rPr>
          <w:spacing w:val="-7"/>
        </w:rPr>
        <w:t> </w:t>
      </w:r>
      <w:r>
        <w:rPr>
          <w:spacing w:val="-2"/>
        </w:rPr>
        <w:t>ensure</w:t>
      </w:r>
      <w:r>
        <w:rPr>
          <w:spacing w:val="-7"/>
        </w:rPr>
        <w:t> </w:t>
      </w:r>
      <w:r>
        <w:rPr>
          <w:spacing w:val="-2"/>
        </w:rPr>
        <w:t>unhindered</w:t>
      </w:r>
      <w:r>
        <w:rPr>
          <w:spacing w:val="-7"/>
        </w:rPr>
        <w:t> </w:t>
      </w:r>
      <w:r>
        <w:rPr>
          <w:spacing w:val="-2"/>
        </w:rPr>
        <w:t>growth</w:t>
      </w:r>
      <w:r>
        <w:rPr>
          <w:spacing w:val="-7"/>
        </w:rPr>
        <w:t> </w:t>
      </w:r>
      <w:r>
        <w:rPr>
          <w:spacing w:val="-2"/>
        </w:rPr>
        <w:t>in </w:t>
      </w:r>
      <w:r>
        <w:rPr/>
        <w:t>the sector.</w:t>
      </w:r>
    </w:p>
    <w:p>
      <w:pPr>
        <w:spacing w:after="0" w:line="266" w:lineRule="auto"/>
        <w:jc w:val="both"/>
        <w:sectPr>
          <w:pgSz w:w="11910" w:h="16840"/>
          <w:pgMar w:header="0" w:footer="675" w:top="940" w:bottom="860" w:left="0" w:right="0"/>
          <w:cols w:num="2" w:equalWidth="0">
            <w:col w:w="5774" w:space="40"/>
            <w:col w:w="6096"/>
          </w:cols>
        </w:sectPr>
      </w:pPr>
    </w:p>
    <w:p>
      <w:pPr>
        <w:pStyle w:val="Heading6"/>
        <w:numPr>
          <w:ilvl w:val="0"/>
          <w:numId w:val="18"/>
        </w:numPr>
        <w:tabs>
          <w:tab w:pos="1405" w:val="left" w:leader="none"/>
        </w:tabs>
        <w:spacing w:line="240" w:lineRule="auto" w:before="57" w:after="0"/>
        <w:ind w:left="1405" w:right="0" w:hanging="325"/>
        <w:jc w:val="left"/>
      </w:pPr>
      <w:r>
        <w:rPr>
          <w:color w:val="2E614A"/>
          <w:w w:val="90"/>
        </w:rPr>
        <w:t>Ensure</w:t>
      </w:r>
      <w:r>
        <w:rPr>
          <w:color w:val="2E614A"/>
          <w:spacing w:val="-9"/>
          <w:w w:val="90"/>
        </w:rPr>
        <w:t> </w:t>
      </w:r>
      <w:r>
        <w:rPr>
          <w:color w:val="2E614A"/>
          <w:w w:val="90"/>
        </w:rPr>
        <w:t>proper</w:t>
      </w:r>
      <w:r>
        <w:rPr>
          <w:color w:val="2E614A"/>
          <w:spacing w:val="-9"/>
          <w:w w:val="90"/>
        </w:rPr>
        <w:t> </w:t>
      </w:r>
      <w:r>
        <w:rPr>
          <w:color w:val="2E614A"/>
          <w:spacing w:val="-2"/>
          <w:w w:val="90"/>
        </w:rPr>
        <w:t>certification</w:t>
      </w:r>
    </w:p>
    <w:p>
      <w:pPr>
        <w:pStyle w:val="BodyText"/>
        <w:spacing w:line="266" w:lineRule="auto" w:before="257"/>
        <w:ind w:left="1080"/>
        <w:jc w:val="both"/>
      </w:pPr>
      <w:r>
        <w:rPr>
          <w:spacing w:val="-4"/>
        </w:rPr>
        <w:t>At</w:t>
      </w:r>
      <w:r>
        <w:rPr>
          <w:spacing w:val="-7"/>
        </w:rPr>
        <w:t> </w:t>
      </w:r>
      <w:r>
        <w:rPr>
          <w:spacing w:val="-4"/>
        </w:rPr>
        <w:t>present,</w:t>
      </w:r>
      <w:r>
        <w:rPr>
          <w:spacing w:val="-7"/>
        </w:rPr>
        <w:t> </w:t>
      </w:r>
      <w:r>
        <w:rPr>
          <w:spacing w:val="-4"/>
        </w:rPr>
        <w:t>the</w:t>
      </w:r>
      <w:r>
        <w:rPr>
          <w:spacing w:val="-7"/>
        </w:rPr>
        <w:t> </w:t>
      </w:r>
      <w:r>
        <w:rPr>
          <w:spacing w:val="-4"/>
        </w:rPr>
        <w:t>process</w:t>
      </w:r>
      <w:r>
        <w:rPr>
          <w:spacing w:val="-7"/>
        </w:rPr>
        <w:t> </w:t>
      </w:r>
      <w:r>
        <w:rPr>
          <w:spacing w:val="-4"/>
        </w:rPr>
        <w:t>of</w:t>
      </w:r>
      <w:r>
        <w:rPr>
          <w:spacing w:val="-7"/>
        </w:rPr>
        <w:t> </w:t>
      </w:r>
      <w:r>
        <w:rPr>
          <w:spacing w:val="-4"/>
        </w:rPr>
        <w:t>certification</w:t>
      </w:r>
      <w:r>
        <w:rPr>
          <w:spacing w:val="-7"/>
        </w:rPr>
        <w:t> </w:t>
      </w:r>
      <w:r>
        <w:rPr>
          <w:spacing w:val="-4"/>
        </w:rPr>
        <w:t>is</w:t>
      </w:r>
      <w:r>
        <w:rPr>
          <w:spacing w:val="-7"/>
        </w:rPr>
        <w:t> </w:t>
      </w:r>
      <w:r>
        <w:rPr>
          <w:spacing w:val="-4"/>
        </w:rPr>
        <w:t>handled</w:t>
      </w:r>
      <w:r>
        <w:rPr>
          <w:spacing w:val="-7"/>
        </w:rPr>
        <w:t> </w:t>
      </w:r>
      <w:r>
        <w:rPr>
          <w:spacing w:val="-4"/>
        </w:rPr>
        <w:t>by</w:t>
      </w:r>
      <w:r>
        <w:rPr>
          <w:spacing w:val="-7"/>
        </w:rPr>
        <w:t> </w:t>
      </w:r>
      <w:r>
        <w:rPr>
          <w:spacing w:val="-4"/>
        </w:rPr>
        <w:t>the </w:t>
      </w:r>
      <w:r>
        <w:rPr/>
        <w:t>National</w:t>
      </w:r>
      <w:r>
        <w:rPr>
          <w:spacing w:val="-14"/>
        </w:rPr>
        <w:t> </w:t>
      </w:r>
      <w:r>
        <w:rPr/>
        <w:t>Council</w:t>
      </w:r>
      <w:r>
        <w:rPr>
          <w:spacing w:val="-14"/>
        </w:rPr>
        <w:t> </w:t>
      </w:r>
      <w:r>
        <w:rPr/>
        <w:t>for</w:t>
      </w:r>
      <w:r>
        <w:rPr>
          <w:spacing w:val="-14"/>
        </w:rPr>
        <w:t> </w:t>
      </w:r>
      <w:r>
        <w:rPr/>
        <w:t>Vocational</w:t>
      </w:r>
      <w:r>
        <w:rPr>
          <w:spacing w:val="-13"/>
        </w:rPr>
        <w:t> </w:t>
      </w:r>
      <w:r>
        <w:rPr/>
        <w:t>Training</w:t>
      </w:r>
      <w:r>
        <w:rPr>
          <w:spacing w:val="-14"/>
        </w:rPr>
        <w:t> </w:t>
      </w:r>
      <w:r>
        <w:rPr/>
        <w:t>(NCVT),</w:t>
      </w:r>
      <w:r>
        <w:rPr>
          <w:spacing w:val="-13"/>
        </w:rPr>
        <w:t> </w:t>
      </w:r>
      <w:r>
        <w:rPr/>
        <w:t>in </w:t>
      </w:r>
      <w:r>
        <w:rPr>
          <w:spacing w:val="-4"/>
        </w:rPr>
        <w:t>association</w:t>
      </w:r>
      <w:r>
        <w:rPr>
          <w:spacing w:val="-10"/>
        </w:rPr>
        <w:t> </w:t>
      </w:r>
      <w:r>
        <w:rPr>
          <w:spacing w:val="-4"/>
        </w:rPr>
        <w:t>with</w:t>
      </w:r>
      <w:r>
        <w:rPr>
          <w:spacing w:val="-9"/>
        </w:rPr>
        <w:t> </w:t>
      </w:r>
      <w:r>
        <w:rPr>
          <w:spacing w:val="-4"/>
        </w:rPr>
        <w:t>State</w:t>
      </w:r>
      <w:r>
        <w:rPr>
          <w:spacing w:val="-6"/>
        </w:rPr>
        <w:t> </w:t>
      </w:r>
      <w:r>
        <w:rPr>
          <w:spacing w:val="-4"/>
        </w:rPr>
        <w:t>Councils</w:t>
      </w:r>
      <w:r>
        <w:rPr>
          <w:spacing w:val="-7"/>
        </w:rPr>
        <w:t> </w:t>
      </w:r>
      <w:r>
        <w:rPr>
          <w:spacing w:val="-4"/>
        </w:rPr>
        <w:t>for</w:t>
      </w:r>
      <w:r>
        <w:rPr>
          <w:spacing w:val="-10"/>
        </w:rPr>
        <w:t> </w:t>
      </w:r>
      <w:r>
        <w:rPr>
          <w:spacing w:val="-4"/>
        </w:rPr>
        <w:t>Vocational</w:t>
      </w:r>
      <w:r>
        <w:rPr>
          <w:spacing w:val="-10"/>
        </w:rPr>
        <w:t> </w:t>
      </w:r>
      <w:r>
        <w:rPr>
          <w:spacing w:val="-4"/>
        </w:rPr>
        <w:t>Training </w:t>
      </w:r>
      <w:r>
        <w:rPr/>
        <w:t>(SCVTs).</w:t>
      </w:r>
      <w:r>
        <w:rPr>
          <w:spacing w:val="-4"/>
        </w:rPr>
        <w:t> </w:t>
      </w:r>
      <w:r>
        <w:rPr/>
        <w:t>Clear</w:t>
      </w:r>
      <w:r>
        <w:rPr>
          <w:spacing w:val="-4"/>
        </w:rPr>
        <w:t> </w:t>
      </w:r>
      <w:r>
        <w:rPr/>
        <w:t>demarcation</w:t>
      </w:r>
      <w:r>
        <w:rPr>
          <w:spacing w:val="-4"/>
        </w:rPr>
        <w:t> </w:t>
      </w:r>
      <w:r>
        <w:rPr/>
        <w:t>between</w:t>
      </w:r>
      <w:r>
        <w:rPr>
          <w:spacing w:val="-4"/>
        </w:rPr>
        <w:t> </w:t>
      </w:r>
      <w:r>
        <w:rPr/>
        <w:t>the</w:t>
      </w:r>
      <w:r>
        <w:rPr>
          <w:spacing w:val="-4"/>
        </w:rPr>
        <w:t> </w:t>
      </w:r>
      <w:r>
        <w:rPr/>
        <w:t>roles</w:t>
      </w:r>
      <w:r>
        <w:rPr>
          <w:spacing w:val="-4"/>
        </w:rPr>
        <w:t> </w:t>
      </w:r>
      <w:r>
        <w:rPr/>
        <w:t>of</w:t>
      </w:r>
      <w:r>
        <w:rPr>
          <w:spacing w:val="-4"/>
        </w:rPr>
        <w:t> </w:t>
      </w:r>
      <w:r>
        <w:rPr/>
        <w:t>the NCVT, the SCVTs and the Directorate General of Employment and Training is essential for the proper functioning of the certification process. In order to ensure</w:t>
      </w:r>
      <w:r>
        <w:rPr>
          <w:spacing w:val="-14"/>
        </w:rPr>
        <w:t> </w:t>
      </w:r>
      <w:r>
        <w:rPr/>
        <w:t>recognition</w:t>
      </w:r>
      <w:r>
        <w:rPr>
          <w:spacing w:val="-14"/>
        </w:rPr>
        <w:t> </w:t>
      </w:r>
      <w:r>
        <w:rPr/>
        <w:t>of</w:t>
      </w:r>
      <w:r>
        <w:rPr>
          <w:spacing w:val="-13"/>
        </w:rPr>
        <w:t> </w:t>
      </w:r>
      <w:r>
        <w:rPr/>
        <w:t>certification</w:t>
      </w:r>
      <w:r>
        <w:rPr>
          <w:spacing w:val="-14"/>
        </w:rPr>
        <w:t> </w:t>
      </w:r>
      <w:r>
        <w:rPr/>
        <w:t>by</w:t>
      </w:r>
      <w:r>
        <w:rPr>
          <w:spacing w:val="-14"/>
        </w:rPr>
        <w:t> </w:t>
      </w:r>
      <w:r>
        <w:rPr/>
        <w:t>employers,</w:t>
      </w:r>
      <w:r>
        <w:rPr>
          <w:spacing w:val="-13"/>
        </w:rPr>
        <w:t> </w:t>
      </w:r>
      <w:r>
        <w:rPr/>
        <w:t>both in</w:t>
      </w:r>
      <w:r>
        <w:rPr>
          <w:spacing w:val="-14"/>
        </w:rPr>
        <w:t> </w:t>
      </w:r>
      <w:r>
        <w:rPr/>
        <w:t>India</w:t>
      </w:r>
      <w:r>
        <w:rPr>
          <w:spacing w:val="-14"/>
        </w:rPr>
        <w:t> </w:t>
      </w:r>
      <w:r>
        <w:rPr/>
        <w:t>and</w:t>
      </w:r>
      <w:r>
        <w:rPr>
          <w:spacing w:val="-14"/>
        </w:rPr>
        <w:t> </w:t>
      </w:r>
      <w:r>
        <w:rPr/>
        <w:t>abroad,</w:t>
      </w:r>
      <w:r>
        <w:rPr>
          <w:spacing w:val="-13"/>
        </w:rPr>
        <w:t> </w:t>
      </w:r>
      <w:r>
        <w:rPr/>
        <w:t>an</w:t>
      </w:r>
      <w:r>
        <w:rPr>
          <w:spacing w:val="-14"/>
        </w:rPr>
        <w:t> </w:t>
      </w:r>
      <w:r>
        <w:rPr/>
        <w:t>electronic</w:t>
      </w:r>
      <w:r>
        <w:rPr>
          <w:spacing w:val="-14"/>
        </w:rPr>
        <w:t> </w:t>
      </w:r>
      <w:r>
        <w:rPr/>
        <w:t>database</w:t>
      </w:r>
      <w:r>
        <w:rPr>
          <w:spacing w:val="-14"/>
        </w:rPr>
        <w:t> </w:t>
      </w:r>
      <w:r>
        <w:rPr/>
        <w:t>of</w:t>
      </w:r>
      <w:r>
        <w:rPr>
          <w:spacing w:val="-13"/>
        </w:rPr>
        <w:t> </w:t>
      </w:r>
      <w:r>
        <w:rPr/>
        <w:t>certified training providers as well as electronic identification for</w:t>
      </w:r>
      <w:r>
        <w:rPr>
          <w:spacing w:val="-12"/>
        </w:rPr>
        <w:t> </w:t>
      </w:r>
      <w:r>
        <w:rPr/>
        <w:t>certified</w:t>
      </w:r>
      <w:r>
        <w:rPr>
          <w:spacing w:val="-12"/>
        </w:rPr>
        <w:t> </w:t>
      </w:r>
      <w:r>
        <w:rPr/>
        <w:t>workers</w:t>
      </w:r>
      <w:r>
        <w:rPr>
          <w:spacing w:val="-12"/>
        </w:rPr>
        <w:t> </w:t>
      </w:r>
      <w:r>
        <w:rPr/>
        <w:t>should</w:t>
      </w:r>
      <w:r>
        <w:rPr>
          <w:spacing w:val="-12"/>
        </w:rPr>
        <w:t> </w:t>
      </w:r>
      <w:r>
        <w:rPr/>
        <w:t>be</w:t>
      </w:r>
      <w:r>
        <w:rPr>
          <w:spacing w:val="-12"/>
        </w:rPr>
        <w:t> </w:t>
      </w:r>
      <w:r>
        <w:rPr/>
        <w:t>introduced.</w:t>
      </w:r>
      <w:r>
        <w:rPr>
          <w:spacing w:val="-12"/>
        </w:rPr>
        <w:t> </w:t>
      </w:r>
      <w:r>
        <w:rPr/>
        <w:t>Electronic identification should contain information regarding </w:t>
      </w:r>
      <w:r>
        <w:rPr>
          <w:spacing w:val="-2"/>
        </w:rPr>
        <w:t>skills</w:t>
      </w:r>
      <w:r>
        <w:rPr>
          <w:spacing w:val="-4"/>
        </w:rPr>
        <w:t> </w:t>
      </w:r>
      <w:r>
        <w:rPr>
          <w:spacing w:val="-2"/>
        </w:rPr>
        <w:t>and</w:t>
      </w:r>
      <w:r>
        <w:rPr>
          <w:spacing w:val="-4"/>
        </w:rPr>
        <w:t> </w:t>
      </w:r>
      <w:r>
        <w:rPr>
          <w:spacing w:val="-2"/>
        </w:rPr>
        <w:t>qualifications</w:t>
      </w:r>
      <w:r>
        <w:rPr>
          <w:spacing w:val="-4"/>
        </w:rPr>
        <w:t> </w:t>
      </w:r>
      <w:r>
        <w:rPr>
          <w:spacing w:val="-2"/>
        </w:rPr>
        <w:t>(and</w:t>
      </w:r>
      <w:r>
        <w:rPr>
          <w:spacing w:val="-4"/>
        </w:rPr>
        <w:t> </w:t>
      </w:r>
      <w:r>
        <w:rPr>
          <w:spacing w:val="-2"/>
        </w:rPr>
        <w:t>eventually</w:t>
      </w:r>
      <w:r>
        <w:rPr>
          <w:spacing w:val="-4"/>
        </w:rPr>
        <w:t> </w:t>
      </w:r>
      <w:r>
        <w:rPr>
          <w:spacing w:val="-2"/>
        </w:rPr>
        <w:t>other</w:t>
      </w:r>
      <w:r>
        <w:rPr>
          <w:spacing w:val="-4"/>
        </w:rPr>
        <w:t> </w:t>
      </w:r>
      <w:r>
        <w:rPr>
          <w:spacing w:val="-2"/>
        </w:rPr>
        <w:t>relevant </w:t>
      </w:r>
      <w:r>
        <w:rPr/>
        <w:t>information as well) about certified individuals and </w:t>
      </w:r>
      <w:r>
        <w:rPr>
          <w:spacing w:val="-4"/>
        </w:rPr>
        <w:t>can</w:t>
      </w:r>
      <w:r>
        <w:rPr>
          <w:spacing w:val="-6"/>
        </w:rPr>
        <w:t> </w:t>
      </w:r>
      <w:r>
        <w:rPr>
          <w:spacing w:val="-4"/>
        </w:rPr>
        <w:t>be</w:t>
      </w:r>
      <w:r>
        <w:rPr>
          <w:spacing w:val="-6"/>
        </w:rPr>
        <w:t> </w:t>
      </w:r>
      <w:r>
        <w:rPr>
          <w:spacing w:val="-4"/>
        </w:rPr>
        <w:t>used</w:t>
      </w:r>
      <w:r>
        <w:rPr>
          <w:spacing w:val="-6"/>
        </w:rPr>
        <w:t> </w:t>
      </w:r>
      <w:r>
        <w:rPr>
          <w:spacing w:val="-4"/>
        </w:rPr>
        <w:t>to</w:t>
      </w:r>
      <w:r>
        <w:rPr>
          <w:spacing w:val="-6"/>
        </w:rPr>
        <w:t> </w:t>
      </w:r>
      <w:r>
        <w:rPr>
          <w:spacing w:val="-4"/>
        </w:rPr>
        <w:t>facilitate</w:t>
      </w:r>
      <w:r>
        <w:rPr>
          <w:spacing w:val="-6"/>
        </w:rPr>
        <w:t> </w:t>
      </w:r>
      <w:r>
        <w:rPr>
          <w:spacing w:val="-4"/>
        </w:rPr>
        <w:t>mobility</w:t>
      </w:r>
      <w:r>
        <w:rPr>
          <w:spacing w:val="-6"/>
        </w:rPr>
        <w:t> </w:t>
      </w:r>
      <w:r>
        <w:rPr>
          <w:spacing w:val="-4"/>
        </w:rPr>
        <w:t>of</w:t>
      </w:r>
      <w:r>
        <w:rPr>
          <w:spacing w:val="-6"/>
        </w:rPr>
        <w:t> </w:t>
      </w:r>
      <w:r>
        <w:rPr>
          <w:spacing w:val="-4"/>
        </w:rPr>
        <w:t>workers,</w:t>
      </w:r>
      <w:r>
        <w:rPr>
          <w:spacing w:val="-6"/>
        </w:rPr>
        <w:t> </w:t>
      </w:r>
      <w:r>
        <w:rPr>
          <w:spacing w:val="-4"/>
        </w:rPr>
        <w:t>encourage </w:t>
      </w:r>
      <w:r>
        <w:rPr/>
        <w:t>bank</w:t>
      </w:r>
      <w:r>
        <w:rPr>
          <w:spacing w:val="-1"/>
        </w:rPr>
        <w:t> </w:t>
      </w:r>
      <w:r>
        <w:rPr/>
        <w:t>linkages</w:t>
      </w:r>
      <w:r>
        <w:rPr>
          <w:spacing w:val="-1"/>
        </w:rPr>
        <w:t> </w:t>
      </w:r>
      <w:r>
        <w:rPr/>
        <w:t>and</w:t>
      </w:r>
      <w:r>
        <w:rPr>
          <w:spacing w:val="-1"/>
        </w:rPr>
        <w:t> </w:t>
      </w:r>
      <w:r>
        <w:rPr/>
        <w:t>entrepreneurial</w:t>
      </w:r>
      <w:r>
        <w:rPr>
          <w:spacing w:val="-1"/>
        </w:rPr>
        <w:t> </w:t>
      </w:r>
      <w:r>
        <w:rPr/>
        <w:t>initiatives.</w:t>
      </w:r>
    </w:p>
    <w:p>
      <w:pPr>
        <w:pStyle w:val="Heading6"/>
        <w:numPr>
          <w:ilvl w:val="0"/>
          <w:numId w:val="18"/>
        </w:numPr>
        <w:tabs>
          <w:tab w:pos="1569" w:val="left" w:leader="none"/>
        </w:tabs>
        <w:spacing w:line="240" w:lineRule="auto" w:before="174" w:after="0"/>
        <w:ind w:left="1569" w:right="0" w:hanging="489"/>
        <w:jc w:val="left"/>
      </w:pPr>
      <w:r>
        <w:rPr>
          <w:color w:val="2E614A"/>
          <w:w w:val="90"/>
        </w:rPr>
        <w:t>Undertake</w:t>
      </w:r>
      <w:r>
        <w:rPr>
          <w:color w:val="2E614A"/>
          <w:spacing w:val="-1"/>
        </w:rPr>
        <w:t> </w:t>
      </w:r>
      <w:r>
        <w:rPr>
          <w:color w:val="2E614A"/>
          <w:w w:val="90"/>
        </w:rPr>
        <w:t>a</w:t>
      </w:r>
      <w:r>
        <w:rPr>
          <w:color w:val="2E614A"/>
        </w:rPr>
        <w:t> </w:t>
      </w:r>
      <w:r>
        <w:rPr>
          <w:color w:val="2E614A"/>
          <w:w w:val="90"/>
        </w:rPr>
        <w:t>re-branding</w:t>
      </w:r>
      <w:r>
        <w:rPr>
          <w:color w:val="2E614A"/>
          <w:spacing w:val="-1"/>
        </w:rPr>
        <w:t> </w:t>
      </w:r>
      <w:r>
        <w:rPr>
          <w:color w:val="2E614A"/>
          <w:spacing w:val="-2"/>
          <w:w w:val="90"/>
        </w:rPr>
        <w:t>exercise</w:t>
      </w:r>
    </w:p>
    <w:p>
      <w:pPr>
        <w:pStyle w:val="BodyText"/>
        <w:spacing w:line="266" w:lineRule="auto" w:before="258"/>
        <w:ind w:left="1080"/>
        <w:jc w:val="both"/>
      </w:pPr>
      <w:r>
        <w:rPr/>
        <w:t>It is widely recognised that a crucial problem </w:t>
      </w:r>
      <w:r>
        <w:rPr/>
        <w:t>with vocational</w:t>
      </w:r>
      <w:r>
        <w:rPr>
          <w:spacing w:val="22"/>
        </w:rPr>
        <w:t> </w:t>
      </w:r>
      <w:r>
        <w:rPr/>
        <w:t>training</w:t>
      </w:r>
      <w:r>
        <w:rPr>
          <w:spacing w:val="23"/>
        </w:rPr>
        <w:t> </w:t>
      </w:r>
      <w:r>
        <w:rPr/>
        <w:t>in</w:t>
      </w:r>
      <w:r>
        <w:rPr>
          <w:spacing w:val="23"/>
        </w:rPr>
        <w:t> </w:t>
      </w:r>
      <w:r>
        <w:rPr/>
        <w:t>India</w:t>
      </w:r>
      <w:r>
        <w:rPr>
          <w:spacing w:val="23"/>
        </w:rPr>
        <w:t> </w:t>
      </w:r>
      <w:r>
        <w:rPr/>
        <w:t>is</w:t>
      </w:r>
      <w:r>
        <w:rPr>
          <w:spacing w:val="23"/>
        </w:rPr>
        <w:t> </w:t>
      </w:r>
      <w:r>
        <w:rPr/>
        <w:t>a</w:t>
      </w:r>
      <w:r>
        <w:rPr>
          <w:spacing w:val="23"/>
        </w:rPr>
        <w:t> </w:t>
      </w:r>
      <w:r>
        <w:rPr/>
        <w:t>negative</w:t>
      </w:r>
      <w:r>
        <w:rPr>
          <w:spacing w:val="22"/>
        </w:rPr>
        <w:t> </w:t>
      </w:r>
      <w:r>
        <w:rPr>
          <w:spacing w:val="-6"/>
        </w:rPr>
        <w:t>association</w:t>
      </w:r>
    </w:p>
    <w:p>
      <w:pPr>
        <w:pStyle w:val="BodyText"/>
        <w:spacing w:line="266" w:lineRule="auto" w:before="77"/>
        <w:ind w:left="319" w:right="1077"/>
        <w:jc w:val="both"/>
      </w:pPr>
      <w:r>
        <w:rPr/>
        <w:br w:type="column"/>
      </w:r>
      <w:r>
        <w:rPr/>
        <w:t>with manual labour. In order to match the </w:t>
      </w:r>
      <w:r>
        <w:rPr/>
        <w:t>modern requirement of the skills and competitiveness of the </w:t>
      </w:r>
      <w:r>
        <w:rPr>
          <w:w w:val="90"/>
        </w:rPr>
        <w:t>workforce,</w:t>
      </w:r>
      <w:r>
        <w:rPr>
          <w:spacing w:val="-1"/>
          <w:w w:val="90"/>
        </w:rPr>
        <w:t> </w:t>
      </w:r>
      <w:r>
        <w:rPr>
          <w:w w:val="90"/>
        </w:rPr>
        <w:t>a</w:t>
      </w:r>
      <w:r>
        <w:rPr>
          <w:spacing w:val="-1"/>
          <w:w w:val="90"/>
        </w:rPr>
        <w:t> </w:t>
      </w:r>
      <w:r>
        <w:rPr>
          <w:w w:val="90"/>
        </w:rPr>
        <w:t>massive</w:t>
      </w:r>
      <w:r>
        <w:rPr>
          <w:spacing w:val="-1"/>
          <w:w w:val="90"/>
        </w:rPr>
        <w:t> </w:t>
      </w:r>
      <w:r>
        <w:rPr>
          <w:w w:val="90"/>
        </w:rPr>
        <w:t>re-branding</w:t>
      </w:r>
      <w:r>
        <w:rPr>
          <w:spacing w:val="-1"/>
          <w:w w:val="90"/>
        </w:rPr>
        <w:t> </w:t>
      </w:r>
      <w:r>
        <w:rPr>
          <w:w w:val="90"/>
        </w:rPr>
        <w:t>exercise</w:t>
      </w:r>
      <w:r>
        <w:rPr>
          <w:spacing w:val="-1"/>
          <w:w w:val="90"/>
        </w:rPr>
        <w:t> </w:t>
      </w:r>
      <w:r>
        <w:rPr>
          <w:w w:val="90"/>
        </w:rPr>
        <w:t>is</w:t>
      </w:r>
      <w:r>
        <w:rPr>
          <w:spacing w:val="-1"/>
          <w:w w:val="90"/>
        </w:rPr>
        <w:t> </w:t>
      </w:r>
      <w:r>
        <w:rPr>
          <w:w w:val="90"/>
        </w:rPr>
        <w:t>of</w:t>
      </w:r>
      <w:r>
        <w:rPr>
          <w:spacing w:val="-1"/>
          <w:w w:val="90"/>
        </w:rPr>
        <w:t> </w:t>
      </w:r>
      <w:r>
        <w:rPr>
          <w:w w:val="90"/>
        </w:rPr>
        <w:t>the</w:t>
      </w:r>
      <w:r>
        <w:rPr>
          <w:spacing w:val="-1"/>
          <w:w w:val="90"/>
        </w:rPr>
        <w:t> </w:t>
      </w:r>
      <w:r>
        <w:rPr>
          <w:w w:val="90"/>
        </w:rPr>
        <w:t>highest </w:t>
      </w:r>
      <w:r>
        <w:rPr/>
        <w:t>priority. This could be the prime task of the recently announced</w:t>
      </w:r>
      <w:r>
        <w:rPr>
          <w:spacing w:val="-14"/>
        </w:rPr>
        <w:t> </w:t>
      </w:r>
      <w:r>
        <w:rPr/>
        <w:t>National</w:t>
      </w:r>
      <w:r>
        <w:rPr>
          <w:spacing w:val="-14"/>
        </w:rPr>
        <w:t> </w:t>
      </w:r>
      <w:r>
        <w:rPr/>
        <w:t>Skills</w:t>
      </w:r>
      <w:r>
        <w:rPr>
          <w:spacing w:val="-14"/>
        </w:rPr>
        <w:t> </w:t>
      </w:r>
      <w:r>
        <w:rPr/>
        <w:t>Mission.</w:t>
      </w:r>
      <w:r>
        <w:rPr>
          <w:spacing w:val="-13"/>
        </w:rPr>
        <w:t> </w:t>
      </w:r>
      <w:r>
        <w:rPr/>
        <w:t>Initiatives</w:t>
      </w:r>
      <w:r>
        <w:rPr>
          <w:spacing w:val="-14"/>
        </w:rPr>
        <w:t> </w:t>
      </w:r>
      <w:r>
        <w:rPr/>
        <w:t>such</w:t>
      </w:r>
      <w:r>
        <w:rPr>
          <w:spacing w:val="-14"/>
        </w:rPr>
        <w:t> </w:t>
      </w:r>
      <w:r>
        <w:rPr/>
        <w:t>as replacing</w:t>
      </w:r>
      <w:r>
        <w:rPr>
          <w:spacing w:val="-4"/>
        </w:rPr>
        <w:t> </w:t>
      </w:r>
      <w:r>
        <w:rPr/>
        <w:t>the</w:t>
      </w:r>
      <w:r>
        <w:rPr>
          <w:spacing w:val="-4"/>
        </w:rPr>
        <w:t> </w:t>
      </w:r>
      <w:r>
        <w:rPr/>
        <w:t>use</w:t>
      </w:r>
      <w:r>
        <w:rPr>
          <w:spacing w:val="-4"/>
        </w:rPr>
        <w:t> </w:t>
      </w:r>
      <w:r>
        <w:rPr/>
        <w:t>of</w:t>
      </w:r>
      <w:r>
        <w:rPr>
          <w:spacing w:val="-4"/>
        </w:rPr>
        <w:t> </w:t>
      </w:r>
      <w:r>
        <w:rPr/>
        <w:t>terms</w:t>
      </w:r>
      <w:r>
        <w:rPr>
          <w:spacing w:val="-4"/>
        </w:rPr>
        <w:t> </w:t>
      </w:r>
      <w:r>
        <w:rPr/>
        <w:t>like</w:t>
      </w:r>
      <w:r>
        <w:rPr>
          <w:spacing w:val="-4"/>
        </w:rPr>
        <w:t> </w:t>
      </w:r>
      <w:r>
        <w:rPr/>
        <w:t>‘vocational</w:t>
      </w:r>
      <w:r>
        <w:rPr>
          <w:spacing w:val="-4"/>
        </w:rPr>
        <w:t> </w:t>
      </w:r>
      <w:r>
        <w:rPr/>
        <w:t>education’ by</w:t>
      </w:r>
      <w:r>
        <w:rPr>
          <w:spacing w:val="-14"/>
        </w:rPr>
        <w:t> </w:t>
      </w:r>
      <w:r>
        <w:rPr/>
        <w:t>‘skill</w:t>
      </w:r>
      <w:r>
        <w:rPr>
          <w:spacing w:val="-14"/>
        </w:rPr>
        <w:t> </w:t>
      </w:r>
      <w:r>
        <w:rPr/>
        <w:t>development’</w:t>
      </w:r>
      <w:r>
        <w:rPr>
          <w:spacing w:val="-14"/>
        </w:rPr>
        <w:t> </w:t>
      </w:r>
      <w:r>
        <w:rPr/>
        <w:t>are</w:t>
      </w:r>
      <w:r>
        <w:rPr>
          <w:spacing w:val="-13"/>
        </w:rPr>
        <w:t> </w:t>
      </w:r>
      <w:r>
        <w:rPr/>
        <w:t>a</w:t>
      </w:r>
      <w:r>
        <w:rPr>
          <w:spacing w:val="-14"/>
        </w:rPr>
        <w:t> </w:t>
      </w:r>
      <w:r>
        <w:rPr/>
        <w:t>step</w:t>
      </w:r>
      <w:r>
        <w:rPr>
          <w:spacing w:val="-14"/>
        </w:rPr>
        <w:t> </w:t>
      </w:r>
      <w:r>
        <w:rPr/>
        <w:t>in</w:t>
      </w:r>
      <w:r>
        <w:rPr>
          <w:spacing w:val="-14"/>
        </w:rPr>
        <w:t> </w:t>
      </w:r>
      <w:r>
        <w:rPr/>
        <w:t>the</w:t>
      </w:r>
      <w:r>
        <w:rPr>
          <w:spacing w:val="-13"/>
        </w:rPr>
        <w:t> </w:t>
      </w:r>
      <w:r>
        <w:rPr/>
        <w:t>right</w:t>
      </w:r>
      <w:r>
        <w:rPr>
          <w:spacing w:val="-14"/>
        </w:rPr>
        <w:t> </w:t>
      </w:r>
      <w:r>
        <w:rPr/>
        <w:t>direction. Training institutes should try to chart out a career path</w:t>
      </w:r>
      <w:r>
        <w:rPr>
          <w:spacing w:val="-10"/>
        </w:rPr>
        <w:t> </w:t>
      </w:r>
      <w:r>
        <w:rPr/>
        <w:t>for</w:t>
      </w:r>
      <w:r>
        <w:rPr>
          <w:spacing w:val="-10"/>
        </w:rPr>
        <w:t> </w:t>
      </w:r>
      <w:r>
        <w:rPr/>
        <w:t>their</w:t>
      </w:r>
      <w:r>
        <w:rPr>
          <w:spacing w:val="-10"/>
        </w:rPr>
        <w:t> </w:t>
      </w:r>
      <w:r>
        <w:rPr/>
        <w:t>students</w:t>
      </w:r>
      <w:r>
        <w:rPr>
          <w:spacing w:val="-10"/>
        </w:rPr>
        <w:t> </w:t>
      </w:r>
      <w:r>
        <w:rPr/>
        <w:t>and</w:t>
      </w:r>
      <w:r>
        <w:rPr>
          <w:spacing w:val="-10"/>
        </w:rPr>
        <w:t> </w:t>
      </w:r>
      <w:r>
        <w:rPr/>
        <w:t>introduce</w:t>
      </w:r>
      <w:r>
        <w:rPr>
          <w:spacing w:val="-10"/>
        </w:rPr>
        <w:t> </w:t>
      </w:r>
      <w:r>
        <w:rPr/>
        <w:t>entrepreneurship training modules.</w:t>
      </w:r>
    </w:p>
    <w:p>
      <w:pPr>
        <w:pStyle w:val="BodyText"/>
        <w:spacing w:before="27"/>
      </w:pPr>
    </w:p>
    <w:p>
      <w:pPr>
        <w:pStyle w:val="BodyText"/>
        <w:spacing w:line="266" w:lineRule="auto"/>
        <w:ind w:left="319" w:right="1077"/>
        <w:jc w:val="both"/>
      </w:pPr>
      <w:r>
        <w:rPr/>
        <w:t>It</w:t>
      </w:r>
      <w:r>
        <w:rPr>
          <w:spacing w:val="-16"/>
        </w:rPr>
        <w:t> </w:t>
      </w:r>
      <w:r>
        <w:rPr/>
        <w:t>is</w:t>
      </w:r>
      <w:r>
        <w:rPr>
          <w:spacing w:val="-14"/>
        </w:rPr>
        <w:t> </w:t>
      </w:r>
      <w:r>
        <w:rPr/>
        <w:t>crucial</w:t>
      </w:r>
      <w:r>
        <w:rPr>
          <w:spacing w:val="-14"/>
        </w:rPr>
        <w:t> </w:t>
      </w:r>
      <w:r>
        <w:rPr/>
        <w:t>to</w:t>
      </w:r>
      <w:r>
        <w:rPr>
          <w:spacing w:val="-13"/>
        </w:rPr>
        <w:t> </w:t>
      </w:r>
      <w:r>
        <w:rPr/>
        <w:t>significantly</w:t>
      </w:r>
      <w:r>
        <w:rPr>
          <w:spacing w:val="-14"/>
        </w:rPr>
        <w:t> </w:t>
      </w:r>
      <w:r>
        <w:rPr/>
        <w:t>increase</w:t>
      </w:r>
      <w:r>
        <w:rPr>
          <w:spacing w:val="-14"/>
        </w:rPr>
        <w:t> </w:t>
      </w:r>
      <w:r>
        <w:rPr/>
        <w:t>public</w:t>
      </w:r>
      <w:r>
        <w:rPr>
          <w:spacing w:val="-14"/>
        </w:rPr>
        <w:t> </w:t>
      </w:r>
      <w:r>
        <w:rPr/>
        <w:t>and</w:t>
      </w:r>
      <w:r>
        <w:rPr>
          <w:spacing w:val="-13"/>
        </w:rPr>
        <w:t> </w:t>
      </w:r>
      <w:r>
        <w:rPr/>
        <w:t>private investment in VET. However, a detailed analysis of </w:t>
      </w:r>
      <w:r>
        <w:rPr>
          <w:spacing w:val="-4"/>
        </w:rPr>
        <w:t>manpower</w:t>
      </w:r>
      <w:r>
        <w:rPr>
          <w:spacing w:val="-9"/>
        </w:rPr>
        <w:t> </w:t>
      </w:r>
      <w:r>
        <w:rPr>
          <w:spacing w:val="-4"/>
        </w:rPr>
        <w:t>requirements</w:t>
      </w:r>
      <w:r>
        <w:rPr>
          <w:spacing w:val="-9"/>
        </w:rPr>
        <w:t> </w:t>
      </w:r>
      <w:r>
        <w:rPr>
          <w:spacing w:val="-4"/>
        </w:rPr>
        <w:t>in</w:t>
      </w:r>
      <w:r>
        <w:rPr>
          <w:spacing w:val="-9"/>
        </w:rPr>
        <w:t> </w:t>
      </w:r>
      <w:r>
        <w:rPr>
          <w:spacing w:val="-4"/>
        </w:rPr>
        <w:t>terms</w:t>
      </w:r>
      <w:r>
        <w:rPr>
          <w:spacing w:val="-9"/>
        </w:rPr>
        <w:t> </w:t>
      </w:r>
      <w:r>
        <w:rPr>
          <w:spacing w:val="-4"/>
        </w:rPr>
        <w:t>of</w:t>
      </w:r>
      <w:r>
        <w:rPr>
          <w:spacing w:val="-9"/>
        </w:rPr>
        <w:t> </w:t>
      </w:r>
      <w:r>
        <w:rPr>
          <w:spacing w:val="-4"/>
        </w:rPr>
        <w:t>numbers,</w:t>
      </w:r>
      <w:r>
        <w:rPr>
          <w:spacing w:val="-9"/>
        </w:rPr>
        <w:t> </w:t>
      </w:r>
      <w:r>
        <w:rPr>
          <w:spacing w:val="-4"/>
        </w:rPr>
        <w:t>skills</w:t>
      </w:r>
      <w:r>
        <w:rPr>
          <w:spacing w:val="-9"/>
        </w:rPr>
        <w:t> </w:t>
      </w:r>
      <w:r>
        <w:rPr>
          <w:spacing w:val="-4"/>
        </w:rPr>
        <w:t>and competitiveness</w:t>
      </w:r>
      <w:r>
        <w:rPr>
          <w:spacing w:val="-10"/>
        </w:rPr>
        <w:t> </w:t>
      </w:r>
      <w:r>
        <w:rPr>
          <w:spacing w:val="-4"/>
        </w:rPr>
        <w:t>is</w:t>
      </w:r>
      <w:r>
        <w:rPr>
          <w:spacing w:val="-10"/>
        </w:rPr>
        <w:t> </w:t>
      </w:r>
      <w:r>
        <w:rPr>
          <w:spacing w:val="-4"/>
        </w:rPr>
        <w:t>essential</w:t>
      </w:r>
      <w:r>
        <w:rPr>
          <w:spacing w:val="-10"/>
        </w:rPr>
        <w:t> </w:t>
      </w:r>
      <w:r>
        <w:rPr>
          <w:spacing w:val="-4"/>
        </w:rPr>
        <w:t>before</w:t>
      </w:r>
      <w:r>
        <w:rPr>
          <w:spacing w:val="-9"/>
        </w:rPr>
        <w:t> </w:t>
      </w:r>
      <w:r>
        <w:rPr>
          <w:spacing w:val="-4"/>
        </w:rPr>
        <w:t>formulating</w:t>
      </w:r>
      <w:r>
        <w:rPr>
          <w:spacing w:val="-10"/>
        </w:rPr>
        <w:t> </w:t>
      </w:r>
      <w:r>
        <w:rPr>
          <w:spacing w:val="-4"/>
        </w:rPr>
        <w:t>a</w:t>
      </w:r>
      <w:r>
        <w:rPr>
          <w:spacing w:val="-10"/>
        </w:rPr>
        <w:t> </w:t>
      </w:r>
      <w:r>
        <w:rPr>
          <w:spacing w:val="-4"/>
        </w:rPr>
        <w:t>master </w:t>
      </w:r>
      <w:r>
        <w:rPr/>
        <w:t>plan and deciding the quantum of expenditure in the </w:t>
      </w:r>
      <w:r>
        <w:rPr>
          <w:spacing w:val="-2"/>
        </w:rPr>
        <w:t>11th</w:t>
      </w:r>
      <w:r>
        <w:rPr>
          <w:spacing w:val="-10"/>
        </w:rPr>
        <w:t> </w:t>
      </w:r>
      <w:r>
        <w:rPr>
          <w:spacing w:val="-2"/>
        </w:rPr>
        <w:t>Plan.</w:t>
      </w:r>
      <w:r>
        <w:rPr>
          <w:spacing w:val="-10"/>
        </w:rPr>
        <w:t> </w:t>
      </w:r>
      <w:r>
        <w:rPr>
          <w:spacing w:val="-2"/>
        </w:rPr>
        <w:t>A</w:t>
      </w:r>
      <w:r>
        <w:rPr>
          <w:spacing w:val="-10"/>
        </w:rPr>
        <w:t> </w:t>
      </w:r>
      <w:r>
        <w:rPr>
          <w:spacing w:val="-2"/>
        </w:rPr>
        <w:t>robust</w:t>
      </w:r>
      <w:r>
        <w:rPr>
          <w:spacing w:val="-10"/>
        </w:rPr>
        <w:t> </w:t>
      </w:r>
      <w:r>
        <w:rPr>
          <w:spacing w:val="-2"/>
        </w:rPr>
        <w:t>framework</w:t>
      </w:r>
      <w:r>
        <w:rPr>
          <w:spacing w:val="-10"/>
        </w:rPr>
        <w:t> </w:t>
      </w:r>
      <w:r>
        <w:rPr>
          <w:spacing w:val="-2"/>
        </w:rPr>
        <w:t>put</w:t>
      </w:r>
      <w:r>
        <w:rPr>
          <w:spacing w:val="-10"/>
        </w:rPr>
        <w:t> </w:t>
      </w:r>
      <w:r>
        <w:rPr>
          <w:spacing w:val="-2"/>
        </w:rPr>
        <w:t>in</w:t>
      </w:r>
      <w:r>
        <w:rPr>
          <w:spacing w:val="-10"/>
        </w:rPr>
        <w:t> </w:t>
      </w:r>
      <w:r>
        <w:rPr>
          <w:spacing w:val="-2"/>
        </w:rPr>
        <w:t>place</w:t>
      </w:r>
      <w:r>
        <w:rPr>
          <w:spacing w:val="-10"/>
        </w:rPr>
        <w:t> </w:t>
      </w:r>
      <w:r>
        <w:rPr>
          <w:spacing w:val="-2"/>
        </w:rPr>
        <w:t>as</w:t>
      </w:r>
      <w:r>
        <w:rPr>
          <w:spacing w:val="-10"/>
        </w:rPr>
        <w:t> </w:t>
      </w:r>
      <w:r>
        <w:rPr>
          <w:spacing w:val="-2"/>
        </w:rPr>
        <w:t>a</w:t>
      </w:r>
      <w:r>
        <w:rPr>
          <w:spacing w:val="-10"/>
        </w:rPr>
        <w:t> </w:t>
      </w:r>
      <w:r>
        <w:rPr>
          <w:spacing w:val="-2"/>
        </w:rPr>
        <w:t>visible and</w:t>
      </w:r>
      <w:r>
        <w:rPr>
          <w:spacing w:val="-7"/>
        </w:rPr>
        <w:t> </w:t>
      </w:r>
      <w:r>
        <w:rPr>
          <w:spacing w:val="-2"/>
        </w:rPr>
        <w:t>dedicated</w:t>
      </w:r>
      <w:r>
        <w:rPr>
          <w:spacing w:val="-7"/>
        </w:rPr>
        <w:t> </w:t>
      </w:r>
      <w:r>
        <w:rPr>
          <w:spacing w:val="-2"/>
        </w:rPr>
        <w:t>resource</w:t>
      </w:r>
      <w:r>
        <w:rPr>
          <w:spacing w:val="-7"/>
        </w:rPr>
        <w:t> </w:t>
      </w:r>
      <w:r>
        <w:rPr>
          <w:spacing w:val="-2"/>
        </w:rPr>
        <w:t>in</w:t>
      </w:r>
      <w:r>
        <w:rPr>
          <w:spacing w:val="-7"/>
        </w:rPr>
        <w:t> </w:t>
      </w:r>
      <w:r>
        <w:rPr>
          <w:spacing w:val="-2"/>
        </w:rPr>
        <w:t>the</w:t>
      </w:r>
      <w:r>
        <w:rPr>
          <w:spacing w:val="-7"/>
        </w:rPr>
        <w:t> </w:t>
      </w:r>
      <w:r>
        <w:rPr>
          <w:spacing w:val="-2"/>
        </w:rPr>
        <w:t>MHRD</w:t>
      </w:r>
      <w:r>
        <w:rPr>
          <w:spacing w:val="-7"/>
        </w:rPr>
        <w:t> </w:t>
      </w:r>
      <w:r>
        <w:rPr>
          <w:spacing w:val="-2"/>
        </w:rPr>
        <w:t>is</w:t>
      </w:r>
      <w:r>
        <w:rPr>
          <w:spacing w:val="-7"/>
        </w:rPr>
        <w:t> </w:t>
      </w:r>
      <w:r>
        <w:rPr>
          <w:spacing w:val="-2"/>
        </w:rPr>
        <w:t>a</w:t>
      </w:r>
      <w:r>
        <w:rPr>
          <w:spacing w:val="-7"/>
        </w:rPr>
        <w:t> </w:t>
      </w:r>
      <w:r>
        <w:rPr>
          <w:spacing w:val="-2"/>
        </w:rPr>
        <w:t>pre-requisite </w:t>
      </w:r>
      <w:r>
        <w:rPr/>
        <w:t>to</w:t>
      </w:r>
      <w:r>
        <w:rPr>
          <w:spacing w:val="-4"/>
        </w:rPr>
        <w:t> </w:t>
      </w:r>
      <w:r>
        <w:rPr/>
        <w:t>ensuring</w:t>
      </w:r>
      <w:r>
        <w:rPr>
          <w:spacing w:val="-4"/>
        </w:rPr>
        <w:t> </w:t>
      </w:r>
      <w:r>
        <w:rPr/>
        <w:t>quality</w:t>
      </w:r>
      <w:r>
        <w:rPr>
          <w:spacing w:val="-4"/>
        </w:rPr>
        <w:t> </w:t>
      </w:r>
      <w:r>
        <w:rPr/>
        <w:t>and</w:t>
      </w:r>
      <w:r>
        <w:rPr>
          <w:spacing w:val="-4"/>
        </w:rPr>
        <w:t> </w:t>
      </w:r>
      <w:r>
        <w:rPr/>
        <w:t>facilitating</w:t>
      </w:r>
      <w:r>
        <w:rPr>
          <w:spacing w:val="-4"/>
        </w:rPr>
        <w:t> </w:t>
      </w:r>
      <w:r>
        <w:rPr/>
        <w:t>significant</w:t>
      </w:r>
      <w:r>
        <w:rPr>
          <w:spacing w:val="-4"/>
        </w:rPr>
        <w:t> </w:t>
      </w:r>
      <w:r>
        <w:rPr/>
        <w:t>private investment and participation. Most importantly, the </w:t>
      </w:r>
      <w:r>
        <w:rPr>
          <w:spacing w:val="-4"/>
        </w:rPr>
        <w:t>quality</w:t>
      </w:r>
      <w:r>
        <w:rPr>
          <w:spacing w:val="-10"/>
        </w:rPr>
        <w:t> </w:t>
      </w:r>
      <w:r>
        <w:rPr>
          <w:spacing w:val="-4"/>
        </w:rPr>
        <w:t>as</w:t>
      </w:r>
      <w:r>
        <w:rPr>
          <w:spacing w:val="-10"/>
        </w:rPr>
        <w:t> </w:t>
      </w:r>
      <w:r>
        <w:rPr>
          <w:spacing w:val="-4"/>
        </w:rPr>
        <w:t>well</w:t>
      </w:r>
      <w:r>
        <w:rPr>
          <w:spacing w:val="-10"/>
        </w:rPr>
        <w:t> </w:t>
      </w:r>
      <w:r>
        <w:rPr>
          <w:spacing w:val="-4"/>
        </w:rPr>
        <w:t>as</w:t>
      </w:r>
      <w:r>
        <w:rPr>
          <w:spacing w:val="-9"/>
        </w:rPr>
        <w:t> </w:t>
      </w:r>
      <w:r>
        <w:rPr>
          <w:spacing w:val="-4"/>
        </w:rPr>
        <w:t>the</w:t>
      </w:r>
      <w:r>
        <w:rPr>
          <w:spacing w:val="-10"/>
        </w:rPr>
        <w:t> </w:t>
      </w:r>
      <w:r>
        <w:rPr>
          <w:spacing w:val="-4"/>
        </w:rPr>
        <w:t>image</w:t>
      </w:r>
      <w:r>
        <w:rPr>
          <w:spacing w:val="-10"/>
        </w:rPr>
        <w:t> </w:t>
      </w:r>
      <w:r>
        <w:rPr>
          <w:spacing w:val="-4"/>
        </w:rPr>
        <w:t>of</w:t>
      </w:r>
      <w:r>
        <w:rPr>
          <w:spacing w:val="-10"/>
        </w:rPr>
        <w:t> </w:t>
      </w:r>
      <w:r>
        <w:rPr>
          <w:spacing w:val="-4"/>
        </w:rPr>
        <w:t>VET</w:t>
      </w:r>
      <w:r>
        <w:rPr>
          <w:spacing w:val="-9"/>
        </w:rPr>
        <w:t> </w:t>
      </w:r>
      <w:r>
        <w:rPr>
          <w:spacing w:val="-4"/>
        </w:rPr>
        <w:t>needs</w:t>
      </w:r>
      <w:r>
        <w:rPr>
          <w:spacing w:val="-10"/>
        </w:rPr>
        <w:t> </w:t>
      </w:r>
      <w:r>
        <w:rPr>
          <w:spacing w:val="-4"/>
        </w:rPr>
        <w:t>to</w:t>
      </w:r>
      <w:r>
        <w:rPr>
          <w:spacing w:val="-10"/>
        </w:rPr>
        <w:t> </w:t>
      </w:r>
      <w:r>
        <w:rPr>
          <w:spacing w:val="-4"/>
        </w:rPr>
        <w:t>be</w:t>
      </w:r>
      <w:r>
        <w:rPr>
          <w:spacing w:val="-10"/>
        </w:rPr>
        <w:t> </w:t>
      </w:r>
      <w:r>
        <w:rPr>
          <w:spacing w:val="-4"/>
        </w:rPr>
        <w:t>actively </w:t>
      </w:r>
      <w:r>
        <w:rPr/>
        <w:t>promoted</w:t>
      </w:r>
      <w:r>
        <w:rPr>
          <w:spacing w:val="-14"/>
        </w:rPr>
        <w:t> </w:t>
      </w:r>
      <w:r>
        <w:rPr/>
        <w:t>in</w:t>
      </w:r>
      <w:r>
        <w:rPr>
          <w:spacing w:val="-14"/>
        </w:rPr>
        <w:t> </w:t>
      </w:r>
      <w:r>
        <w:rPr/>
        <w:t>order</w:t>
      </w:r>
      <w:r>
        <w:rPr>
          <w:spacing w:val="-14"/>
        </w:rPr>
        <w:t> </w:t>
      </w:r>
      <w:r>
        <w:rPr/>
        <w:t>for</w:t>
      </w:r>
      <w:r>
        <w:rPr>
          <w:spacing w:val="-13"/>
        </w:rPr>
        <w:t> </w:t>
      </w:r>
      <w:r>
        <w:rPr/>
        <w:t>it</w:t>
      </w:r>
      <w:r>
        <w:rPr>
          <w:spacing w:val="-14"/>
        </w:rPr>
        <w:t> </w:t>
      </w:r>
      <w:r>
        <w:rPr/>
        <w:t>to</w:t>
      </w:r>
      <w:r>
        <w:rPr>
          <w:spacing w:val="-14"/>
        </w:rPr>
        <w:t> </w:t>
      </w:r>
      <w:r>
        <w:rPr/>
        <w:t>be</w:t>
      </w:r>
      <w:r>
        <w:rPr>
          <w:spacing w:val="-14"/>
        </w:rPr>
        <w:t> </w:t>
      </w:r>
      <w:r>
        <w:rPr/>
        <w:t>viewed</w:t>
      </w:r>
      <w:r>
        <w:rPr>
          <w:spacing w:val="-13"/>
        </w:rPr>
        <w:t> </w:t>
      </w:r>
      <w:r>
        <w:rPr/>
        <w:t>as</w:t>
      </w:r>
      <w:r>
        <w:rPr>
          <w:spacing w:val="-14"/>
        </w:rPr>
        <w:t> </w:t>
      </w:r>
      <w:r>
        <w:rPr/>
        <w:t>comparable</w:t>
      </w:r>
      <w:r>
        <w:rPr>
          <w:spacing w:val="-14"/>
        </w:rPr>
        <w:t> </w:t>
      </w:r>
      <w:r>
        <w:rPr/>
        <w:t>to general</w:t>
      </w:r>
      <w:r>
        <w:rPr>
          <w:spacing w:val="-5"/>
        </w:rPr>
        <w:t> </w:t>
      </w:r>
      <w:r>
        <w:rPr/>
        <w:t>secondary</w:t>
      </w:r>
      <w:r>
        <w:rPr>
          <w:spacing w:val="-5"/>
        </w:rPr>
        <w:t> </w:t>
      </w:r>
      <w:r>
        <w:rPr/>
        <w:t>education,</w:t>
      </w:r>
      <w:r>
        <w:rPr>
          <w:spacing w:val="-5"/>
        </w:rPr>
        <w:t> </w:t>
      </w:r>
      <w:r>
        <w:rPr/>
        <w:t>and</w:t>
      </w:r>
      <w:r>
        <w:rPr>
          <w:spacing w:val="-5"/>
        </w:rPr>
        <w:t> </w:t>
      </w:r>
      <w:r>
        <w:rPr/>
        <w:t>as</w:t>
      </w:r>
      <w:r>
        <w:rPr>
          <w:spacing w:val="-5"/>
        </w:rPr>
        <w:t> </w:t>
      </w:r>
      <w:r>
        <w:rPr/>
        <w:t>relevant.</w:t>
      </w:r>
    </w:p>
    <w:p>
      <w:pPr>
        <w:spacing w:after="0" w:line="266" w:lineRule="auto"/>
        <w:jc w:val="both"/>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3"/>
        <w:rPr>
          <w:sz w:val="20"/>
        </w:rPr>
      </w:pPr>
    </w:p>
    <w:p>
      <w:pPr>
        <w:spacing w:after="0"/>
        <w:rPr>
          <w:sz w:val="20"/>
        </w:rPr>
        <w:sectPr>
          <w:pgSz w:w="11910" w:h="16840"/>
          <w:pgMar w:header="0" w:footer="675" w:top="0" w:bottom="860" w:left="0" w:right="0"/>
        </w:sectPr>
      </w:pPr>
    </w:p>
    <w:p>
      <w:pPr>
        <w:pStyle w:val="BodyText"/>
        <w:spacing w:line="266" w:lineRule="auto" w:before="98"/>
        <w:ind w:left="1927"/>
        <w:jc w:val="both"/>
      </w:pPr>
      <w:r>
        <w:rPr/>
        <mc:AlternateContent>
          <mc:Choice Requires="wps">
            <w:drawing>
              <wp:anchor distT="0" distB="0" distL="0" distR="0" allowOverlap="1" layoutInCell="1" locked="0" behindDoc="0" simplePos="0" relativeHeight="15760896">
                <wp:simplePos x="0" y="0"/>
                <wp:positionH relativeFrom="page">
                  <wp:posOffset>0</wp:posOffset>
                </wp:positionH>
                <wp:positionV relativeFrom="paragraph">
                  <wp:posOffset>-2267233</wp:posOffset>
                </wp:positionV>
                <wp:extent cx="7560309" cy="1752600"/>
                <wp:effectExtent l="0" t="0" r="0" b="0"/>
                <wp:wrapNone/>
                <wp:docPr id="868" name="Group 868"/>
                <wp:cNvGraphicFramePr>
                  <a:graphicFrameLocks/>
                </wp:cNvGraphicFramePr>
                <a:graphic>
                  <a:graphicData uri="http://schemas.microsoft.com/office/word/2010/wordprocessingGroup">
                    <wpg:wgp>
                      <wpg:cNvPr id="868" name="Group 868"/>
                      <wpg:cNvGrpSpPr/>
                      <wpg:grpSpPr>
                        <a:xfrm>
                          <a:off x="0" y="0"/>
                          <a:ext cx="7560309" cy="1752600"/>
                          <a:chExt cx="7560309" cy="1752600"/>
                        </a:xfrm>
                      </wpg:grpSpPr>
                      <pic:pic>
                        <pic:nvPicPr>
                          <pic:cNvPr id="869" name="Image 869"/>
                          <pic:cNvPicPr/>
                        </pic:nvPicPr>
                        <pic:blipFill>
                          <a:blip r:embed="rId612" cstate="print"/>
                          <a:stretch>
                            <a:fillRect/>
                          </a:stretch>
                        </pic:blipFill>
                        <pic:spPr>
                          <a:xfrm>
                            <a:off x="0" y="0"/>
                            <a:ext cx="7559999" cy="1752562"/>
                          </a:xfrm>
                          <a:prstGeom prst="rect">
                            <a:avLst/>
                          </a:prstGeom>
                        </pic:spPr>
                      </pic:pic>
                      <wps:wsp>
                        <wps:cNvPr id="870" name="Textbox 870"/>
                        <wps:cNvSpPr txBox="1"/>
                        <wps:spPr>
                          <a:xfrm>
                            <a:off x="685800" y="598657"/>
                            <a:ext cx="3472179"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Higher</w:t>
                              </w:r>
                              <w:r>
                                <w:rPr>
                                  <w:rFonts w:ascii="Trebuchet MS"/>
                                  <w:b/>
                                  <w:color w:val="FFFFFF"/>
                                  <w:spacing w:val="-6"/>
                                  <w:sz w:val="68"/>
                                </w:rPr>
                                <w:t> </w:t>
                              </w:r>
                              <w:r>
                                <w:rPr>
                                  <w:rFonts w:ascii="Trebuchet MS"/>
                                  <w:b/>
                                  <w:color w:val="FFFFFF"/>
                                  <w:spacing w:val="-2"/>
                                  <w:sz w:val="68"/>
                                </w:rPr>
                                <w:t>Education</w:t>
                              </w:r>
                            </w:p>
                          </w:txbxContent>
                        </wps:txbx>
                        <wps:bodyPr wrap="square" lIns="0" tIns="0" rIns="0" bIns="0" rtlCol="0">
                          <a:noAutofit/>
                        </wps:bodyPr>
                      </wps:wsp>
                      <wps:wsp>
                        <wps:cNvPr id="871" name="Textbox 871"/>
                        <wps:cNvSpPr txBox="1"/>
                        <wps:spPr>
                          <a:xfrm>
                            <a:off x="5762480" y="1439074"/>
                            <a:ext cx="1124585" cy="158750"/>
                          </a:xfrm>
                          <a:prstGeom prst="rect">
                            <a:avLst/>
                          </a:prstGeom>
                        </wps:spPr>
                        <wps:txbx>
                          <w:txbxContent>
                            <w:p>
                              <w:pPr>
                                <w:spacing w:line="238" w:lineRule="exact" w:before="0"/>
                                <w:ind w:left="0" w:right="0" w:firstLine="0"/>
                                <w:jc w:val="left"/>
                                <w:rPr>
                                  <w:b/>
                                  <w:sz w:val="22"/>
                                </w:rPr>
                              </w:pPr>
                              <w:r>
                                <w:rPr>
                                  <w:b/>
                                  <w:color w:val="FFFFFF"/>
                                  <w:spacing w:val="-6"/>
                                  <w:sz w:val="22"/>
                                </w:rPr>
                                <w:t>November</w:t>
                              </w:r>
                              <w:r>
                                <w:rPr>
                                  <w:b/>
                                  <w:color w:val="FFFFFF"/>
                                  <w:spacing w:val="-2"/>
                                  <w:sz w:val="22"/>
                                </w:rPr>
                                <w:t> </w:t>
                              </w:r>
                              <w:r>
                                <w:rPr>
                                  <w:b/>
                                  <w:color w:val="FFFFFF"/>
                                  <w:spacing w:val="-6"/>
                                  <w:sz w:val="22"/>
                                </w:rPr>
                                <w:t>29,</w:t>
                              </w:r>
                              <w:r>
                                <w:rPr>
                                  <w:b/>
                                  <w:color w:val="FFFFFF"/>
                                  <w:spacing w:val="-2"/>
                                  <w:sz w:val="22"/>
                                </w:rPr>
                                <w:t> </w:t>
                              </w:r>
                              <w:r>
                                <w:rPr>
                                  <w:b/>
                                  <w:color w:val="FFFFFF"/>
                                  <w:spacing w:val="-6"/>
                                  <w:sz w:val="22"/>
                                </w:rPr>
                                <w:t>2006</w:t>
                              </w:r>
                            </w:p>
                          </w:txbxContent>
                        </wps:txbx>
                        <wps:bodyPr wrap="square" lIns="0" tIns="0" rIns="0" bIns="0" rtlCol="0">
                          <a:noAutofit/>
                        </wps:bodyPr>
                      </wps:wsp>
                    </wpg:wgp>
                  </a:graphicData>
                </a:graphic>
              </wp:anchor>
            </w:drawing>
          </mc:Choice>
          <mc:Fallback>
            <w:pict>
              <v:group style="position:absolute;margin-left:0pt;margin-top:-178.522308pt;width:595.3pt;height:138pt;mso-position-horizontal-relative:page;mso-position-vertical-relative:paragraph;z-index:15760896" id="docshapegroup861" coordorigin="0,-3570" coordsize="11906,2760">
                <v:shape style="position:absolute;left:0;top:-3571;width:11906;height:2760" type="#_x0000_t75" id="docshape862" stroked="false">
                  <v:imagedata r:id="rId612" o:title=""/>
                </v:shape>
                <v:shape style="position:absolute;left:1080;top:-2628;width:5468;height:790" type="#_x0000_t202" id="docshape863" filled="false" stroked="false">
                  <v:textbox inset="0,0,0,0">
                    <w:txbxContent>
                      <w:p>
                        <w:pPr>
                          <w:spacing w:before="0"/>
                          <w:ind w:left="0" w:right="0" w:firstLine="0"/>
                          <w:jc w:val="left"/>
                          <w:rPr>
                            <w:rFonts w:ascii="Trebuchet MS"/>
                            <w:b/>
                            <w:sz w:val="68"/>
                          </w:rPr>
                        </w:pPr>
                        <w:r>
                          <w:rPr>
                            <w:rFonts w:ascii="Trebuchet MS"/>
                            <w:b/>
                            <w:color w:val="FFFFFF"/>
                            <w:sz w:val="68"/>
                          </w:rPr>
                          <w:t>Higher</w:t>
                        </w:r>
                        <w:r>
                          <w:rPr>
                            <w:rFonts w:ascii="Trebuchet MS"/>
                            <w:b/>
                            <w:color w:val="FFFFFF"/>
                            <w:spacing w:val="-6"/>
                            <w:sz w:val="68"/>
                          </w:rPr>
                          <w:t> </w:t>
                        </w:r>
                        <w:r>
                          <w:rPr>
                            <w:rFonts w:ascii="Trebuchet MS"/>
                            <w:b/>
                            <w:color w:val="FFFFFF"/>
                            <w:spacing w:val="-2"/>
                            <w:sz w:val="68"/>
                          </w:rPr>
                          <w:t>Education</w:t>
                        </w:r>
                      </w:p>
                    </w:txbxContent>
                  </v:textbox>
                  <w10:wrap type="none"/>
                </v:shape>
                <v:shape style="position:absolute;left:9074;top:-1305;width:1771;height:250" type="#_x0000_t202" id="docshape864" filled="false" stroked="false">
                  <v:textbox inset="0,0,0,0">
                    <w:txbxContent>
                      <w:p>
                        <w:pPr>
                          <w:spacing w:line="238" w:lineRule="exact" w:before="0"/>
                          <w:ind w:left="0" w:right="0" w:firstLine="0"/>
                          <w:jc w:val="left"/>
                          <w:rPr>
                            <w:b/>
                            <w:sz w:val="22"/>
                          </w:rPr>
                        </w:pPr>
                        <w:r>
                          <w:rPr>
                            <w:b/>
                            <w:color w:val="FFFFFF"/>
                            <w:spacing w:val="-6"/>
                            <w:sz w:val="22"/>
                          </w:rPr>
                          <w:t>November</w:t>
                        </w:r>
                        <w:r>
                          <w:rPr>
                            <w:b/>
                            <w:color w:val="FFFFFF"/>
                            <w:spacing w:val="-2"/>
                            <w:sz w:val="22"/>
                          </w:rPr>
                          <w:t> </w:t>
                        </w:r>
                        <w:r>
                          <w:rPr>
                            <w:b/>
                            <w:color w:val="FFFFFF"/>
                            <w:spacing w:val="-6"/>
                            <w:sz w:val="22"/>
                          </w:rPr>
                          <w:t>29,</w:t>
                        </w:r>
                        <w:r>
                          <w:rPr>
                            <w:b/>
                            <w:color w:val="FFFFFF"/>
                            <w:spacing w:val="-2"/>
                            <w:sz w:val="22"/>
                          </w:rPr>
                          <w:t> </w:t>
                        </w:r>
                        <w:r>
                          <w:rPr>
                            <w:b/>
                            <w:color w:val="FFFFFF"/>
                            <w:spacing w:val="-6"/>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37984">
                <wp:simplePos x="0" y="0"/>
                <wp:positionH relativeFrom="page">
                  <wp:posOffset>685799</wp:posOffset>
                </wp:positionH>
                <wp:positionV relativeFrom="paragraph">
                  <wp:posOffset>-26645</wp:posOffset>
                </wp:positionV>
                <wp:extent cx="545465" cy="757555"/>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545465" cy="757555"/>
                        </a:xfrm>
                        <a:prstGeom prst="rect">
                          <a:avLst/>
                        </a:prstGeom>
                      </wps:spPr>
                      <wps:txbx>
                        <w:txbxContent>
                          <w:p>
                            <w:pPr>
                              <w:spacing w:line="1135" w:lineRule="exact" w:before="0"/>
                              <w:ind w:left="0" w:right="0" w:firstLine="0"/>
                              <w:jc w:val="left"/>
                              <w:rPr>
                                <w:sz w:val="106"/>
                              </w:rPr>
                            </w:pPr>
                            <w:r>
                              <w:rPr>
                                <w:color w:val="9CBF3B"/>
                                <w:spacing w:val="-10"/>
                                <w:w w:val="110"/>
                                <w:sz w:val="106"/>
                              </w:rPr>
                              <w:t>H</w:t>
                            </w:r>
                          </w:p>
                        </w:txbxContent>
                      </wps:txbx>
                      <wps:bodyPr wrap="square" lIns="0" tIns="0" rIns="0" bIns="0" rtlCol="0">
                        <a:noAutofit/>
                      </wps:bodyPr>
                    </wps:wsp>
                  </a:graphicData>
                </a:graphic>
              </wp:anchor>
            </w:drawing>
          </mc:Choice>
          <mc:Fallback>
            <w:pict>
              <v:shape style="position:absolute;margin-left:53.999981pt;margin-top:-2.09804pt;width:42.95pt;height:59.65pt;mso-position-horizontal-relative:page;mso-position-vertical-relative:paragraph;z-index:-23978496" type="#_x0000_t202" id="docshape865" filled="false" stroked="false">
                <v:textbox inset="0,0,0,0">
                  <w:txbxContent>
                    <w:p>
                      <w:pPr>
                        <w:spacing w:line="1135" w:lineRule="exact" w:before="0"/>
                        <w:ind w:left="0" w:right="0" w:firstLine="0"/>
                        <w:jc w:val="left"/>
                        <w:rPr>
                          <w:sz w:val="106"/>
                        </w:rPr>
                      </w:pPr>
                      <w:r>
                        <w:rPr>
                          <w:color w:val="9CBF3B"/>
                          <w:spacing w:val="-10"/>
                          <w:w w:val="110"/>
                          <w:sz w:val="106"/>
                        </w:rPr>
                        <w:t>H</w:t>
                      </w:r>
                    </w:p>
                  </w:txbxContent>
                </v:textbox>
                <w10:wrap type="none"/>
              </v:shape>
            </w:pict>
          </mc:Fallback>
        </mc:AlternateContent>
      </w:r>
      <w:r>
        <w:rPr/>
        <w:t>igher education has made a significant contribution to economic </w:t>
      </w:r>
      <w:r>
        <w:rPr/>
        <w:t>development, social</w:t>
      </w:r>
      <w:r>
        <w:rPr>
          <w:spacing w:val="22"/>
        </w:rPr>
        <w:t> </w:t>
      </w:r>
      <w:r>
        <w:rPr/>
        <w:t>progress</w:t>
      </w:r>
      <w:r>
        <w:rPr>
          <w:spacing w:val="23"/>
        </w:rPr>
        <w:t> </w:t>
      </w:r>
      <w:r>
        <w:rPr/>
        <w:t>and</w:t>
      </w:r>
      <w:r>
        <w:rPr>
          <w:spacing w:val="22"/>
        </w:rPr>
        <w:t> </w:t>
      </w:r>
      <w:r>
        <w:rPr/>
        <w:t>political</w:t>
      </w:r>
      <w:r>
        <w:rPr>
          <w:spacing w:val="23"/>
        </w:rPr>
        <w:t> </w:t>
      </w:r>
      <w:r>
        <w:rPr/>
        <w:t>democracy</w:t>
      </w:r>
      <w:r>
        <w:rPr>
          <w:spacing w:val="22"/>
        </w:rPr>
        <w:t> </w:t>
      </w:r>
      <w:r>
        <w:rPr>
          <w:spacing w:val="-5"/>
        </w:rPr>
        <w:t>in</w:t>
      </w:r>
    </w:p>
    <w:p>
      <w:pPr>
        <w:pStyle w:val="BodyText"/>
        <w:spacing w:line="266" w:lineRule="auto"/>
        <w:ind w:left="1079"/>
        <w:jc w:val="both"/>
      </w:pPr>
      <w:r>
        <w:rPr>
          <w:spacing w:val="-6"/>
        </w:rPr>
        <w:t>independent India. But there is serious cause for concern </w:t>
      </w:r>
      <w:r>
        <w:rPr/>
        <w:t>at this juncture.</w:t>
      </w:r>
      <w:r>
        <w:rPr>
          <w:spacing w:val="-3"/>
        </w:rPr>
        <w:t> </w:t>
      </w:r>
      <w:r>
        <w:rPr/>
        <w:t>The proportion of our population, in the</w:t>
      </w:r>
      <w:r>
        <w:rPr>
          <w:spacing w:val="-9"/>
        </w:rPr>
        <w:t> </w:t>
      </w:r>
      <w:r>
        <w:rPr/>
        <w:t>relevant</w:t>
      </w:r>
      <w:r>
        <w:rPr>
          <w:spacing w:val="-9"/>
        </w:rPr>
        <w:t> </w:t>
      </w:r>
      <w:r>
        <w:rPr/>
        <w:t>age</w:t>
      </w:r>
      <w:r>
        <w:rPr>
          <w:spacing w:val="-9"/>
        </w:rPr>
        <w:t> </w:t>
      </w:r>
      <w:r>
        <w:rPr/>
        <w:t>group,</w:t>
      </w:r>
      <w:r>
        <w:rPr>
          <w:spacing w:val="-9"/>
        </w:rPr>
        <w:t> </w:t>
      </w:r>
      <w:r>
        <w:rPr/>
        <w:t>that</w:t>
      </w:r>
      <w:r>
        <w:rPr>
          <w:spacing w:val="-9"/>
        </w:rPr>
        <w:t> </w:t>
      </w:r>
      <w:r>
        <w:rPr/>
        <w:t>enters</w:t>
      </w:r>
      <w:r>
        <w:rPr>
          <w:spacing w:val="-9"/>
        </w:rPr>
        <w:t> </w:t>
      </w:r>
      <w:r>
        <w:rPr/>
        <w:t>the</w:t>
      </w:r>
      <w:r>
        <w:rPr>
          <w:spacing w:val="-9"/>
        </w:rPr>
        <w:t> </w:t>
      </w:r>
      <w:r>
        <w:rPr/>
        <w:t>world</w:t>
      </w:r>
      <w:r>
        <w:rPr>
          <w:spacing w:val="-9"/>
        </w:rPr>
        <w:t> </w:t>
      </w:r>
      <w:r>
        <w:rPr/>
        <w:t>of</w:t>
      </w:r>
      <w:r>
        <w:rPr>
          <w:spacing w:val="-9"/>
        </w:rPr>
        <w:t> </w:t>
      </w:r>
      <w:r>
        <w:rPr/>
        <w:t>higher education is about 7 per cent. The opportunities for higher education in terms of the number of places in universities</w:t>
      </w:r>
      <w:r>
        <w:rPr>
          <w:spacing w:val="-5"/>
        </w:rPr>
        <w:t> </w:t>
      </w:r>
      <w:r>
        <w:rPr/>
        <w:t>are</w:t>
      </w:r>
      <w:r>
        <w:rPr>
          <w:spacing w:val="-5"/>
        </w:rPr>
        <w:t> </w:t>
      </w:r>
      <w:r>
        <w:rPr/>
        <w:t>simply</w:t>
      </w:r>
      <w:r>
        <w:rPr>
          <w:spacing w:val="-5"/>
        </w:rPr>
        <w:t> </w:t>
      </w:r>
      <w:r>
        <w:rPr/>
        <w:t>not</w:t>
      </w:r>
      <w:r>
        <w:rPr>
          <w:spacing w:val="-5"/>
        </w:rPr>
        <w:t> </w:t>
      </w:r>
      <w:r>
        <w:rPr/>
        <w:t>adequate</w:t>
      </w:r>
      <w:r>
        <w:rPr>
          <w:spacing w:val="-5"/>
        </w:rPr>
        <w:t> </w:t>
      </w:r>
      <w:r>
        <w:rPr/>
        <w:t>in</w:t>
      </w:r>
      <w:r>
        <w:rPr>
          <w:spacing w:val="-5"/>
        </w:rPr>
        <w:t> </w:t>
      </w:r>
      <w:r>
        <w:rPr/>
        <w:t>relation</w:t>
      </w:r>
      <w:r>
        <w:rPr>
          <w:spacing w:val="-5"/>
        </w:rPr>
        <w:t> </w:t>
      </w:r>
      <w:r>
        <w:rPr/>
        <w:t>to</w:t>
      </w:r>
      <w:r>
        <w:rPr>
          <w:spacing w:val="-5"/>
        </w:rPr>
        <w:t> </w:t>
      </w:r>
      <w:r>
        <w:rPr/>
        <w:t>our needs. Large segments of our population just do not have access to higher education. What is more, the quality</w:t>
      </w:r>
      <w:r>
        <w:rPr>
          <w:spacing w:val="-11"/>
        </w:rPr>
        <w:t> </w:t>
      </w:r>
      <w:r>
        <w:rPr/>
        <w:t>of</w:t>
      </w:r>
      <w:r>
        <w:rPr>
          <w:spacing w:val="-11"/>
        </w:rPr>
        <w:t> </w:t>
      </w:r>
      <w:r>
        <w:rPr/>
        <w:t>higher</w:t>
      </w:r>
      <w:r>
        <w:rPr>
          <w:spacing w:val="-11"/>
        </w:rPr>
        <w:t> </w:t>
      </w:r>
      <w:r>
        <w:rPr/>
        <w:t>education</w:t>
      </w:r>
      <w:r>
        <w:rPr>
          <w:spacing w:val="-11"/>
        </w:rPr>
        <w:t> </w:t>
      </w:r>
      <w:r>
        <w:rPr/>
        <w:t>in</w:t>
      </w:r>
      <w:r>
        <w:rPr>
          <w:spacing w:val="-11"/>
        </w:rPr>
        <w:t> </w:t>
      </w:r>
      <w:r>
        <w:rPr/>
        <w:t>most</w:t>
      </w:r>
      <w:r>
        <w:rPr>
          <w:spacing w:val="-11"/>
        </w:rPr>
        <w:t> </w:t>
      </w:r>
      <w:r>
        <w:rPr/>
        <w:t>of</w:t>
      </w:r>
      <w:r>
        <w:rPr>
          <w:spacing w:val="-11"/>
        </w:rPr>
        <w:t> </w:t>
      </w:r>
      <w:r>
        <w:rPr/>
        <w:t>our</w:t>
      </w:r>
      <w:r>
        <w:rPr>
          <w:spacing w:val="-11"/>
        </w:rPr>
        <w:t> </w:t>
      </w:r>
      <w:r>
        <w:rPr/>
        <w:t>universities leaves much to be desired.</w:t>
      </w:r>
    </w:p>
    <w:p>
      <w:pPr>
        <w:pStyle w:val="BodyText"/>
        <w:spacing w:before="17"/>
      </w:pPr>
    </w:p>
    <w:p>
      <w:pPr>
        <w:pStyle w:val="BodyText"/>
        <w:spacing w:line="266" w:lineRule="auto"/>
        <w:ind w:left="1079"/>
        <w:jc w:val="both"/>
      </w:pPr>
      <w:r>
        <w:rPr/>
        <w:t>Foundations are critical. NKC believes that </w:t>
      </w:r>
      <w:r>
        <w:rPr/>
        <w:t>an </w:t>
      </w:r>
      <w:r>
        <w:rPr>
          <w:spacing w:val="-6"/>
        </w:rPr>
        <w:t>emphasis on expansion and reform of our school system </w:t>
      </w:r>
      <w:r>
        <w:rPr/>
        <w:t>is necessary to ensure that every child has an equal opportunity to enter the world of higher education.</w:t>
      </w:r>
      <w:r>
        <w:rPr>
          <w:spacing w:val="80"/>
          <w:w w:val="150"/>
        </w:rPr>
        <w:t> </w:t>
      </w:r>
      <w:r>
        <w:rPr/>
        <w:t>It is engaged in consultations on school education and</w:t>
      </w:r>
      <w:r>
        <w:rPr>
          <w:spacing w:val="-1"/>
        </w:rPr>
        <w:t> </w:t>
      </w:r>
      <w:r>
        <w:rPr/>
        <w:t>will</w:t>
      </w:r>
      <w:r>
        <w:rPr>
          <w:spacing w:val="-1"/>
        </w:rPr>
        <w:t> </w:t>
      </w:r>
      <w:r>
        <w:rPr/>
        <w:t>submit</w:t>
      </w:r>
      <w:r>
        <w:rPr>
          <w:spacing w:val="-1"/>
        </w:rPr>
        <w:t> </w:t>
      </w:r>
      <w:r>
        <w:rPr/>
        <w:t>recommendations</w:t>
      </w:r>
      <w:r>
        <w:rPr>
          <w:spacing w:val="-1"/>
        </w:rPr>
        <w:t> </w:t>
      </w:r>
      <w:r>
        <w:rPr/>
        <w:t>in</w:t>
      </w:r>
      <w:r>
        <w:rPr>
          <w:spacing w:val="-1"/>
        </w:rPr>
        <w:t> </w:t>
      </w:r>
      <w:r>
        <w:rPr/>
        <w:t>this</w:t>
      </w:r>
      <w:r>
        <w:rPr>
          <w:spacing w:val="-1"/>
        </w:rPr>
        <w:t> </w:t>
      </w:r>
      <w:r>
        <w:rPr/>
        <w:t>crucial</w:t>
      </w:r>
      <w:r>
        <w:rPr>
          <w:spacing w:val="-1"/>
        </w:rPr>
        <w:t> </w:t>
      </w:r>
      <w:r>
        <w:rPr/>
        <w:t>area in</w:t>
      </w:r>
      <w:r>
        <w:rPr>
          <w:spacing w:val="40"/>
        </w:rPr>
        <w:t> </w:t>
      </w:r>
      <w:r>
        <w:rPr/>
        <w:t>due</w:t>
      </w:r>
      <w:r>
        <w:rPr>
          <w:spacing w:val="40"/>
        </w:rPr>
        <w:t> </w:t>
      </w:r>
      <w:r>
        <w:rPr/>
        <w:t>course.</w:t>
      </w:r>
      <w:r>
        <w:rPr>
          <w:spacing w:val="40"/>
        </w:rPr>
        <w:t> </w:t>
      </w:r>
      <w:r>
        <w:rPr/>
        <w:t>In</w:t>
      </w:r>
      <w:r>
        <w:rPr>
          <w:spacing w:val="40"/>
        </w:rPr>
        <w:t> </w:t>
      </w:r>
      <w:r>
        <w:rPr/>
        <w:t>this</w:t>
      </w:r>
      <w:r>
        <w:rPr>
          <w:spacing w:val="40"/>
        </w:rPr>
        <w:t> </w:t>
      </w:r>
      <w:r>
        <w:rPr/>
        <w:t>recommendation,</w:t>
      </w:r>
      <w:r>
        <w:rPr>
          <w:spacing w:val="40"/>
        </w:rPr>
        <w:t> </w:t>
      </w:r>
      <w:r>
        <w:rPr/>
        <w:t>it</w:t>
      </w:r>
      <w:r>
        <w:rPr>
          <w:spacing w:val="40"/>
        </w:rPr>
        <w:t> </w:t>
      </w:r>
      <w:r>
        <w:rPr/>
        <w:t>focuses on higher education. NKC has engaged in formal</w:t>
      </w:r>
      <w:r>
        <w:rPr>
          <w:spacing w:val="40"/>
        </w:rPr>
        <w:t> </w:t>
      </w:r>
      <w:r>
        <w:rPr/>
        <w:t>and informal consultations on the issue with a wide range of people in the world of higher education. In addition,</w:t>
      </w:r>
      <w:r>
        <w:rPr>
          <w:spacing w:val="-13"/>
        </w:rPr>
        <w:t> </w:t>
      </w:r>
      <w:r>
        <w:rPr/>
        <w:t>it</w:t>
      </w:r>
      <w:r>
        <w:rPr>
          <w:spacing w:val="-13"/>
        </w:rPr>
        <w:t> </w:t>
      </w:r>
      <w:r>
        <w:rPr/>
        <w:t>consulted</w:t>
      </w:r>
      <w:r>
        <w:rPr>
          <w:spacing w:val="-13"/>
        </w:rPr>
        <w:t> </w:t>
      </w:r>
      <w:r>
        <w:rPr/>
        <w:t>concerned</w:t>
      </w:r>
      <w:r>
        <w:rPr>
          <w:spacing w:val="-13"/>
        </w:rPr>
        <w:t> </w:t>
      </w:r>
      <w:r>
        <w:rPr/>
        <w:t>people</w:t>
      </w:r>
      <w:r>
        <w:rPr>
          <w:spacing w:val="-13"/>
        </w:rPr>
        <w:t> </w:t>
      </w:r>
      <w:r>
        <w:rPr/>
        <w:t>in</w:t>
      </w:r>
      <w:r>
        <w:rPr>
          <w:spacing w:val="-13"/>
        </w:rPr>
        <w:t> </w:t>
      </w:r>
      <w:r>
        <w:rPr/>
        <w:t>parliament, government, civil society and industry. Concerns about</w:t>
      </w:r>
      <w:r>
        <w:rPr>
          <w:spacing w:val="-2"/>
        </w:rPr>
        <w:t> </w:t>
      </w:r>
      <w:r>
        <w:rPr/>
        <w:t>the</w:t>
      </w:r>
      <w:r>
        <w:rPr>
          <w:spacing w:val="-2"/>
        </w:rPr>
        <w:t> </w:t>
      </w:r>
      <w:r>
        <w:rPr/>
        <w:t>higher</w:t>
      </w:r>
      <w:r>
        <w:rPr>
          <w:spacing w:val="-2"/>
        </w:rPr>
        <w:t> </w:t>
      </w:r>
      <w:r>
        <w:rPr/>
        <w:t>education</w:t>
      </w:r>
      <w:r>
        <w:rPr>
          <w:spacing w:val="-2"/>
        </w:rPr>
        <w:t> </w:t>
      </w:r>
      <w:r>
        <w:rPr/>
        <w:t>system</w:t>
      </w:r>
      <w:r>
        <w:rPr>
          <w:spacing w:val="-2"/>
        </w:rPr>
        <w:t> </w:t>
      </w:r>
      <w:r>
        <w:rPr/>
        <w:t>are</w:t>
      </w:r>
      <w:r>
        <w:rPr>
          <w:spacing w:val="-2"/>
        </w:rPr>
        <w:t> </w:t>
      </w:r>
      <w:r>
        <w:rPr/>
        <w:t>widely</w:t>
      </w:r>
      <w:r>
        <w:rPr>
          <w:spacing w:val="-2"/>
        </w:rPr>
        <w:t> </w:t>
      </w:r>
      <w:r>
        <w:rPr/>
        <w:t>shared. There is a clear, almost unanimous, view that higher education needs a systematic overhaul, so that India can educate much larger numbers without diluting academic standards. Indeed, this is essential because the transformation of economy and society in the 21st</w:t>
      </w:r>
      <w:r>
        <w:rPr>
          <w:spacing w:val="-5"/>
        </w:rPr>
        <w:t> </w:t>
      </w:r>
      <w:r>
        <w:rPr/>
        <w:t>century</w:t>
      </w:r>
      <w:r>
        <w:rPr>
          <w:spacing w:val="-5"/>
        </w:rPr>
        <w:t> </w:t>
      </w:r>
      <w:r>
        <w:rPr/>
        <w:t>would</w:t>
      </w:r>
      <w:r>
        <w:rPr>
          <w:spacing w:val="-5"/>
        </w:rPr>
        <w:t> </w:t>
      </w:r>
      <w:r>
        <w:rPr/>
        <w:t>depend,</w:t>
      </w:r>
      <w:r>
        <w:rPr>
          <w:spacing w:val="-5"/>
        </w:rPr>
        <w:t> </w:t>
      </w:r>
      <w:r>
        <w:rPr/>
        <w:t>in</w:t>
      </w:r>
      <w:r>
        <w:rPr>
          <w:spacing w:val="-5"/>
        </w:rPr>
        <w:t> </w:t>
      </w:r>
      <w:r>
        <w:rPr/>
        <w:t>significant</w:t>
      </w:r>
      <w:r>
        <w:rPr>
          <w:spacing w:val="-5"/>
        </w:rPr>
        <w:t> </w:t>
      </w:r>
      <w:r>
        <w:rPr/>
        <w:t>part,</w:t>
      </w:r>
      <w:r>
        <w:rPr>
          <w:spacing w:val="-5"/>
        </w:rPr>
        <w:t> </w:t>
      </w:r>
      <w:r>
        <w:rPr/>
        <w:t>on</w:t>
      </w:r>
      <w:r>
        <w:rPr>
          <w:spacing w:val="-5"/>
        </w:rPr>
        <w:t> </w:t>
      </w:r>
      <w:r>
        <w:rPr/>
        <w:t>the spread</w:t>
      </w:r>
      <w:r>
        <w:rPr>
          <w:spacing w:val="-14"/>
        </w:rPr>
        <w:t> </w:t>
      </w:r>
      <w:r>
        <w:rPr/>
        <w:t>and</w:t>
      </w:r>
      <w:r>
        <w:rPr>
          <w:spacing w:val="-14"/>
        </w:rPr>
        <w:t> </w:t>
      </w:r>
      <w:r>
        <w:rPr/>
        <w:t>the</w:t>
      </w:r>
      <w:r>
        <w:rPr>
          <w:spacing w:val="-14"/>
        </w:rPr>
        <w:t> </w:t>
      </w:r>
      <w:r>
        <w:rPr/>
        <w:t>quality</w:t>
      </w:r>
      <w:r>
        <w:rPr>
          <w:spacing w:val="-13"/>
        </w:rPr>
        <w:t> </w:t>
      </w:r>
      <w:r>
        <w:rPr/>
        <w:t>of</w:t>
      </w:r>
      <w:r>
        <w:rPr>
          <w:spacing w:val="-14"/>
        </w:rPr>
        <w:t> </w:t>
      </w:r>
      <w:r>
        <w:rPr/>
        <w:t>education</w:t>
      </w:r>
      <w:r>
        <w:rPr>
          <w:spacing w:val="-14"/>
        </w:rPr>
        <w:t> </w:t>
      </w:r>
      <w:r>
        <w:rPr/>
        <w:t>among</w:t>
      </w:r>
      <w:r>
        <w:rPr>
          <w:spacing w:val="-14"/>
        </w:rPr>
        <w:t> </w:t>
      </w:r>
      <w:r>
        <w:rPr/>
        <w:t>our</w:t>
      </w:r>
      <w:r>
        <w:rPr>
          <w:spacing w:val="-13"/>
        </w:rPr>
        <w:t> </w:t>
      </w:r>
      <w:r>
        <w:rPr/>
        <w:t>people, </w:t>
      </w:r>
      <w:r>
        <w:rPr>
          <w:spacing w:val="-2"/>
        </w:rPr>
        <w:t>particularly</w:t>
      </w:r>
      <w:r>
        <w:rPr>
          <w:spacing w:val="-11"/>
        </w:rPr>
        <w:t> </w:t>
      </w:r>
      <w:r>
        <w:rPr>
          <w:spacing w:val="-2"/>
        </w:rPr>
        <w:t>in</w:t>
      </w:r>
      <w:r>
        <w:rPr>
          <w:spacing w:val="-11"/>
        </w:rPr>
        <w:t> </w:t>
      </w:r>
      <w:r>
        <w:rPr>
          <w:spacing w:val="-2"/>
        </w:rPr>
        <w:t>the</w:t>
      </w:r>
      <w:r>
        <w:rPr>
          <w:spacing w:val="-11"/>
        </w:rPr>
        <w:t> </w:t>
      </w:r>
      <w:r>
        <w:rPr>
          <w:spacing w:val="-2"/>
        </w:rPr>
        <w:t>sphere</w:t>
      </w:r>
      <w:r>
        <w:rPr>
          <w:spacing w:val="-11"/>
        </w:rPr>
        <w:t> </w:t>
      </w:r>
      <w:r>
        <w:rPr>
          <w:spacing w:val="-2"/>
        </w:rPr>
        <w:t>of</w:t>
      </w:r>
      <w:r>
        <w:rPr>
          <w:spacing w:val="-11"/>
        </w:rPr>
        <w:t> </w:t>
      </w:r>
      <w:r>
        <w:rPr>
          <w:spacing w:val="-2"/>
        </w:rPr>
        <w:t>higher</w:t>
      </w:r>
      <w:r>
        <w:rPr>
          <w:spacing w:val="-11"/>
        </w:rPr>
        <w:t> </w:t>
      </w:r>
      <w:r>
        <w:rPr>
          <w:spacing w:val="-2"/>
        </w:rPr>
        <w:t>education.</w:t>
      </w:r>
      <w:r>
        <w:rPr>
          <w:spacing w:val="-11"/>
        </w:rPr>
        <w:t> </w:t>
      </w:r>
      <w:r>
        <w:rPr>
          <w:spacing w:val="-2"/>
        </w:rPr>
        <w:t>It</w:t>
      </w:r>
      <w:r>
        <w:rPr>
          <w:spacing w:val="-11"/>
        </w:rPr>
        <w:t> </w:t>
      </w:r>
      <w:r>
        <w:rPr>
          <w:spacing w:val="-2"/>
        </w:rPr>
        <w:t>is</w:t>
      </w:r>
      <w:r>
        <w:rPr>
          <w:spacing w:val="-11"/>
        </w:rPr>
        <w:t> </w:t>
      </w:r>
      <w:r>
        <w:rPr>
          <w:spacing w:val="-2"/>
        </w:rPr>
        <w:t>only </w:t>
      </w:r>
      <w:r>
        <w:rPr/>
        <w:t>an inclusive society that can provide the foundations for a knowledge society.</w:t>
      </w:r>
    </w:p>
    <w:p>
      <w:pPr>
        <w:pStyle w:val="BodyText"/>
        <w:spacing w:before="8"/>
      </w:pPr>
    </w:p>
    <w:p>
      <w:pPr>
        <w:pStyle w:val="BodyText"/>
        <w:spacing w:line="266" w:lineRule="auto"/>
        <w:ind w:left="1079"/>
        <w:jc w:val="both"/>
      </w:pPr>
      <w:r>
        <w:rPr/>
        <w:t>The objectives of reform and change in our </w:t>
      </w:r>
      <w:r>
        <w:rPr/>
        <w:t>higher education system must be expansion, excellence and inclusion. NKC recognises that meaningful reform</w:t>
      </w:r>
      <w:r>
        <w:rPr>
          <w:spacing w:val="40"/>
        </w:rPr>
        <w:t> </w:t>
      </w:r>
      <w:r>
        <w:rPr/>
        <w:t>of the system, with a long-term perspective, is both complex</w:t>
      </w:r>
      <w:r>
        <w:rPr>
          <w:spacing w:val="-8"/>
        </w:rPr>
        <w:t> </w:t>
      </w:r>
      <w:r>
        <w:rPr/>
        <w:t>and</w:t>
      </w:r>
      <w:r>
        <w:rPr>
          <w:spacing w:val="-8"/>
        </w:rPr>
        <w:t> </w:t>
      </w:r>
      <w:r>
        <w:rPr/>
        <w:t>difficult.</w:t>
      </w:r>
      <w:r>
        <w:rPr>
          <w:spacing w:val="-11"/>
        </w:rPr>
        <w:t> </w:t>
      </w:r>
      <w:r>
        <w:rPr/>
        <w:t>Yet,</w:t>
      </w:r>
      <w:r>
        <w:rPr>
          <w:spacing w:val="-8"/>
        </w:rPr>
        <w:t> </w:t>
      </w:r>
      <w:r>
        <w:rPr/>
        <w:t>it</w:t>
      </w:r>
      <w:r>
        <w:rPr>
          <w:spacing w:val="-8"/>
        </w:rPr>
        <w:t> </w:t>
      </w:r>
      <w:r>
        <w:rPr/>
        <w:t>is</w:t>
      </w:r>
      <w:r>
        <w:rPr>
          <w:spacing w:val="-8"/>
        </w:rPr>
        <w:t> </w:t>
      </w:r>
      <w:r>
        <w:rPr/>
        <w:t>imperative.</w:t>
      </w:r>
    </w:p>
    <w:p>
      <w:pPr>
        <w:pStyle w:val="Heading6"/>
        <w:numPr>
          <w:ilvl w:val="0"/>
          <w:numId w:val="19"/>
        </w:numPr>
        <w:tabs>
          <w:tab w:pos="594" w:val="left" w:leader="none"/>
        </w:tabs>
        <w:spacing w:line="240" w:lineRule="auto" w:before="78" w:after="0"/>
        <w:ind w:left="594" w:right="0" w:hanging="275"/>
        <w:jc w:val="left"/>
      </w:pPr>
      <w:r>
        <w:rPr>
          <w:b w:val="0"/>
        </w:rPr>
        <w:br w:type="column"/>
      </w:r>
      <w:r>
        <w:rPr>
          <w:color w:val="2E614A"/>
          <w:spacing w:val="-2"/>
        </w:rPr>
        <w:t>Expansion</w:t>
      </w:r>
    </w:p>
    <w:p>
      <w:pPr>
        <w:pStyle w:val="Heading7"/>
        <w:numPr>
          <w:ilvl w:val="1"/>
          <w:numId w:val="19"/>
        </w:numPr>
        <w:tabs>
          <w:tab w:pos="583" w:val="left" w:leader="none"/>
        </w:tabs>
        <w:spacing w:line="240" w:lineRule="auto" w:before="248" w:after="0"/>
        <w:ind w:left="583" w:right="0" w:hanging="264"/>
        <w:jc w:val="left"/>
      </w:pPr>
      <w:r>
        <w:rPr>
          <w:color w:val="2E614A"/>
          <w:w w:val="90"/>
        </w:rPr>
        <w:t>Create</w:t>
      </w:r>
      <w:r>
        <w:rPr>
          <w:color w:val="2E614A"/>
          <w:spacing w:val="3"/>
        </w:rPr>
        <w:t> </w:t>
      </w:r>
      <w:r>
        <w:rPr>
          <w:color w:val="2E614A"/>
          <w:w w:val="90"/>
        </w:rPr>
        <w:t>many</w:t>
      </w:r>
      <w:r>
        <w:rPr>
          <w:color w:val="2E614A"/>
          <w:spacing w:val="3"/>
        </w:rPr>
        <w:t> </w:t>
      </w:r>
      <w:r>
        <w:rPr>
          <w:color w:val="2E614A"/>
          <w:w w:val="90"/>
        </w:rPr>
        <w:t>more</w:t>
      </w:r>
      <w:r>
        <w:rPr>
          <w:color w:val="2E614A"/>
          <w:spacing w:val="4"/>
        </w:rPr>
        <w:t> </w:t>
      </w:r>
      <w:r>
        <w:rPr>
          <w:color w:val="2E614A"/>
          <w:spacing w:val="-2"/>
          <w:w w:val="90"/>
        </w:rPr>
        <w:t>universities</w:t>
      </w:r>
    </w:p>
    <w:p>
      <w:pPr>
        <w:pStyle w:val="BodyText"/>
        <w:spacing w:line="266" w:lineRule="auto" w:before="298"/>
        <w:ind w:left="319" w:right="1077"/>
        <w:jc w:val="both"/>
      </w:pPr>
      <w:r>
        <w:rPr>
          <w:spacing w:val="-6"/>
        </w:rPr>
        <w:t>The higher education system needs a massive </w:t>
      </w:r>
      <w:r>
        <w:rPr>
          <w:spacing w:val="-6"/>
        </w:rPr>
        <w:t>expansion of opportunities, to around 1500 universities nationwide, </w:t>
      </w:r>
      <w:r>
        <w:rPr/>
        <w:t>that would enable India to attain a gross enrolment ratio</w:t>
      </w:r>
      <w:r>
        <w:rPr>
          <w:spacing w:val="-4"/>
        </w:rPr>
        <w:t> </w:t>
      </w:r>
      <w:r>
        <w:rPr/>
        <w:t>of</w:t>
      </w:r>
      <w:r>
        <w:rPr>
          <w:spacing w:val="-4"/>
        </w:rPr>
        <w:t> </w:t>
      </w:r>
      <w:r>
        <w:rPr/>
        <w:t>at</w:t>
      </w:r>
      <w:r>
        <w:rPr>
          <w:spacing w:val="-4"/>
        </w:rPr>
        <w:t> </w:t>
      </w:r>
      <w:r>
        <w:rPr/>
        <w:t>least</w:t>
      </w:r>
      <w:r>
        <w:rPr>
          <w:spacing w:val="-4"/>
        </w:rPr>
        <w:t> </w:t>
      </w:r>
      <w:r>
        <w:rPr/>
        <w:t>15</w:t>
      </w:r>
      <w:r>
        <w:rPr>
          <w:spacing w:val="-4"/>
        </w:rPr>
        <w:t> </w:t>
      </w:r>
      <w:r>
        <w:rPr/>
        <w:t>per</w:t>
      </w:r>
      <w:r>
        <w:rPr>
          <w:spacing w:val="-4"/>
        </w:rPr>
        <w:t> </w:t>
      </w:r>
      <w:r>
        <w:rPr/>
        <w:t>cent</w:t>
      </w:r>
      <w:r>
        <w:rPr>
          <w:spacing w:val="-4"/>
        </w:rPr>
        <w:t> </w:t>
      </w:r>
      <w:r>
        <w:rPr/>
        <w:t>by</w:t>
      </w:r>
      <w:r>
        <w:rPr>
          <w:spacing w:val="-4"/>
        </w:rPr>
        <w:t> </w:t>
      </w:r>
      <w:r>
        <w:rPr/>
        <w:t>2015.</w:t>
      </w:r>
      <w:r>
        <w:rPr>
          <w:spacing w:val="-12"/>
        </w:rPr>
        <w:t> </w:t>
      </w:r>
      <w:r>
        <w:rPr/>
        <w:t>The</w:t>
      </w:r>
      <w:r>
        <w:rPr>
          <w:spacing w:val="-4"/>
        </w:rPr>
        <w:t> </w:t>
      </w:r>
      <w:r>
        <w:rPr/>
        <w:t>focus</w:t>
      </w:r>
      <w:r>
        <w:rPr>
          <w:spacing w:val="-4"/>
        </w:rPr>
        <w:t> </w:t>
      </w:r>
      <w:r>
        <w:rPr/>
        <w:t>would have to be on new universities, but some clusters of </w:t>
      </w:r>
      <w:r>
        <w:rPr>
          <w:spacing w:val="-4"/>
        </w:rPr>
        <w:t>affiliated colleges could also become universities. Such expansion</w:t>
      </w:r>
      <w:r>
        <w:rPr>
          <w:spacing w:val="-5"/>
        </w:rPr>
        <w:t> </w:t>
      </w:r>
      <w:r>
        <w:rPr>
          <w:spacing w:val="-4"/>
        </w:rPr>
        <w:t>would</w:t>
      </w:r>
      <w:r>
        <w:rPr>
          <w:spacing w:val="-5"/>
        </w:rPr>
        <w:t> </w:t>
      </w:r>
      <w:r>
        <w:rPr>
          <w:spacing w:val="-4"/>
        </w:rPr>
        <w:t>require</w:t>
      </w:r>
      <w:r>
        <w:rPr>
          <w:spacing w:val="-5"/>
        </w:rPr>
        <w:t> </w:t>
      </w:r>
      <w:r>
        <w:rPr>
          <w:spacing w:val="-4"/>
        </w:rPr>
        <w:t>major</w:t>
      </w:r>
      <w:r>
        <w:rPr>
          <w:spacing w:val="-5"/>
        </w:rPr>
        <w:t> </w:t>
      </w:r>
      <w:r>
        <w:rPr>
          <w:spacing w:val="-4"/>
        </w:rPr>
        <w:t>changes</w:t>
      </w:r>
      <w:r>
        <w:rPr>
          <w:spacing w:val="-5"/>
        </w:rPr>
        <w:t> </w:t>
      </w:r>
      <w:r>
        <w:rPr>
          <w:spacing w:val="-4"/>
        </w:rPr>
        <w:t>in</w:t>
      </w:r>
      <w:r>
        <w:rPr>
          <w:spacing w:val="-5"/>
        </w:rPr>
        <w:t> </w:t>
      </w:r>
      <w:r>
        <w:rPr>
          <w:spacing w:val="-4"/>
        </w:rPr>
        <w:t>the</w:t>
      </w:r>
      <w:r>
        <w:rPr>
          <w:spacing w:val="-5"/>
        </w:rPr>
        <w:t> </w:t>
      </w:r>
      <w:r>
        <w:rPr>
          <w:spacing w:val="-4"/>
        </w:rPr>
        <w:t>structure </w:t>
      </w:r>
      <w:r>
        <w:rPr/>
        <w:t>of regulation.</w:t>
      </w:r>
    </w:p>
    <w:p>
      <w:pPr>
        <w:pStyle w:val="Heading7"/>
        <w:numPr>
          <w:ilvl w:val="1"/>
          <w:numId w:val="19"/>
        </w:numPr>
        <w:tabs>
          <w:tab w:pos="582" w:val="left" w:leader="none"/>
          <w:tab w:pos="584" w:val="left" w:leader="none"/>
        </w:tabs>
        <w:spacing w:line="225" w:lineRule="auto" w:before="251" w:after="0"/>
        <w:ind w:left="584" w:right="1092" w:hanging="266"/>
        <w:jc w:val="both"/>
      </w:pPr>
      <w:r>
        <w:rPr>
          <w:color w:val="2E614A"/>
          <w:spacing w:val="-10"/>
        </w:rPr>
        <w:t>Change</w:t>
      </w:r>
      <w:r>
        <w:rPr>
          <w:color w:val="2E614A"/>
          <w:spacing w:val="-2"/>
        </w:rPr>
        <w:t> </w:t>
      </w:r>
      <w:r>
        <w:rPr>
          <w:color w:val="2E614A"/>
          <w:spacing w:val="-10"/>
        </w:rPr>
        <w:t>the</w:t>
      </w:r>
      <w:r>
        <w:rPr>
          <w:color w:val="2E614A"/>
          <w:spacing w:val="-2"/>
        </w:rPr>
        <w:t> </w:t>
      </w:r>
      <w:r>
        <w:rPr>
          <w:color w:val="2E614A"/>
          <w:spacing w:val="-10"/>
        </w:rPr>
        <w:t>system</w:t>
      </w:r>
      <w:r>
        <w:rPr>
          <w:color w:val="2E614A"/>
          <w:spacing w:val="-2"/>
        </w:rPr>
        <w:t> </w:t>
      </w:r>
      <w:r>
        <w:rPr>
          <w:color w:val="2E614A"/>
          <w:spacing w:val="-10"/>
        </w:rPr>
        <w:t>of</w:t>
      </w:r>
      <w:r>
        <w:rPr>
          <w:color w:val="2E614A"/>
          <w:spacing w:val="-2"/>
        </w:rPr>
        <w:t> </w:t>
      </w:r>
      <w:r>
        <w:rPr>
          <w:color w:val="2E614A"/>
          <w:spacing w:val="-10"/>
        </w:rPr>
        <w:t>regulation</w:t>
      </w:r>
      <w:r>
        <w:rPr>
          <w:color w:val="2E614A"/>
          <w:spacing w:val="-2"/>
        </w:rPr>
        <w:t> </w:t>
      </w:r>
      <w:r>
        <w:rPr>
          <w:color w:val="2E614A"/>
          <w:spacing w:val="-10"/>
        </w:rPr>
        <w:t>for</w:t>
      </w:r>
      <w:r>
        <w:rPr>
          <w:color w:val="2E614A"/>
          <w:spacing w:val="-2"/>
        </w:rPr>
        <w:t> </w:t>
      </w:r>
      <w:r>
        <w:rPr>
          <w:color w:val="2E614A"/>
          <w:spacing w:val="-10"/>
        </w:rPr>
        <w:t>higher </w:t>
      </w:r>
      <w:r>
        <w:rPr>
          <w:color w:val="2E614A"/>
          <w:spacing w:val="-2"/>
        </w:rPr>
        <w:t>education</w:t>
      </w:r>
    </w:p>
    <w:p>
      <w:pPr>
        <w:pStyle w:val="BodyText"/>
        <w:spacing w:before="2"/>
        <w:rPr>
          <w:b/>
          <w:sz w:val="26"/>
        </w:rPr>
      </w:pPr>
    </w:p>
    <w:p>
      <w:pPr>
        <w:pStyle w:val="BodyText"/>
        <w:spacing w:line="266" w:lineRule="auto"/>
        <w:ind w:left="319" w:right="1077"/>
        <w:jc w:val="both"/>
      </w:pPr>
      <w:r>
        <w:rPr/>
        <w:t>The</w:t>
      </w:r>
      <w:r>
        <w:rPr>
          <w:spacing w:val="40"/>
        </w:rPr>
        <w:t> </w:t>
      </w:r>
      <w:r>
        <w:rPr/>
        <w:t>present</w:t>
      </w:r>
      <w:r>
        <w:rPr>
          <w:spacing w:val="40"/>
        </w:rPr>
        <w:t> </w:t>
      </w:r>
      <w:r>
        <w:rPr/>
        <w:t>regulatory</w:t>
      </w:r>
      <w:r>
        <w:rPr>
          <w:spacing w:val="40"/>
        </w:rPr>
        <w:t> </w:t>
      </w:r>
      <w:r>
        <w:rPr/>
        <w:t>system</w:t>
      </w:r>
      <w:r>
        <w:rPr>
          <w:spacing w:val="40"/>
        </w:rPr>
        <w:t> </w:t>
      </w:r>
      <w:r>
        <w:rPr/>
        <w:t>in</w:t>
      </w:r>
      <w:r>
        <w:rPr>
          <w:spacing w:val="40"/>
        </w:rPr>
        <w:t> </w:t>
      </w:r>
      <w:r>
        <w:rPr/>
        <w:t>higher</w:t>
      </w:r>
      <w:r>
        <w:rPr>
          <w:spacing w:val="40"/>
        </w:rPr>
        <w:t> </w:t>
      </w:r>
      <w:r>
        <w:rPr/>
        <w:t>education is flawed in some important respects.</w:t>
      </w:r>
      <w:r>
        <w:rPr>
          <w:spacing w:val="-2"/>
        </w:rPr>
        <w:t> </w:t>
      </w:r>
      <w:r>
        <w:rPr/>
        <w:t>The barriers to entry are too high. The system of authorising entry</w:t>
      </w:r>
      <w:r>
        <w:rPr>
          <w:spacing w:val="80"/>
        </w:rPr>
        <w:t> </w:t>
      </w:r>
      <w:r>
        <w:rPr/>
        <w:t>is cumbersome. There is a multiplicity of </w:t>
      </w:r>
      <w:r>
        <w:rPr/>
        <w:t>regulatory agencies where mandates are both confusing and </w:t>
      </w:r>
      <w:r>
        <w:rPr>
          <w:spacing w:val="-2"/>
        </w:rPr>
        <w:t>overlapping.</w:t>
      </w:r>
      <w:r>
        <w:rPr>
          <w:spacing w:val="-12"/>
        </w:rPr>
        <w:t> </w:t>
      </w:r>
      <w:r>
        <w:rPr>
          <w:spacing w:val="-2"/>
        </w:rPr>
        <w:t>The</w:t>
      </w:r>
      <w:r>
        <w:rPr>
          <w:spacing w:val="-7"/>
        </w:rPr>
        <w:t> </w:t>
      </w:r>
      <w:r>
        <w:rPr>
          <w:spacing w:val="-2"/>
        </w:rPr>
        <w:t>system,</w:t>
      </w:r>
      <w:r>
        <w:rPr>
          <w:spacing w:val="-6"/>
        </w:rPr>
        <w:t> </w:t>
      </w:r>
      <w:r>
        <w:rPr>
          <w:spacing w:val="-2"/>
        </w:rPr>
        <w:t>as</w:t>
      </w:r>
      <w:r>
        <w:rPr>
          <w:spacing w:val="-6"/>
        </w:rPr>
        <w:t> </w:t>
      </w:r>
      <w:r>
        <w:rPr>
          <w:spacing w:val="-2"/>
        </w:rPr>
        <w:t>a</w:t>
      </w:r>
      <w:r>
        <w:rPr>
          <w:spacing w:val="-6"/>
        </w:rPr>
        <w:t> </w:t>
      </w:r>
      <w:r>
        <w:rPr>
          <w:spacing w:val="-2"/>
        </w:rPr>
        <w:t>whole,</w:t>
      </w:r>
      <w:r>
        <w:rPr>
          <w:spacing w:val="-6"/>
        </w:rPr>
        <w:t> </w:t>
      </w:r>
      <w:r>
        <w:rPr>
          <w:spacing w:val="-2"/>
        </w:rPr>
        <w:t>is</w:t>
      </w:r>
      <w:r>
        <w:rPr>
          <w:spacing w:val="-6"/>
        </w:rPr>
        <w:t> </w:t>
      </w:r>
      <w:r>
        <w:rPr>
          <w:spacing w:val="-2"/>
        </w:rPr>
        <w:t>over-regulated </w:t>
      </w:r>
      <w:r>
        <w:rPr/>
        <w:t>but under-governed. NKC perceives a clear need to establish an Independent Regulatory Authority for </w:t>
      </w:r>
      <w:r>
        <w:rPr>
          <w:spacing w:val="-2"/>
        </w:rPr>
        <w:t>Higher</w:t>
      </w:r>
      <w:r>
        <w:rPr>
          <w:spacing w:val="-12"/>
        </w:rPr>
        <w:t> </w:t>
      </w:r>
      <w:r>
        <w:rPr>
          <w:spacing w:val="-2"/>
        </w:rPr>
        <w:t>Education</w:t>
      </w:r>
      <w:r>
        <w:rPr>
          <w:spacing w:val="-12"/>
        </w:rPr>
        <w:t> </w:t>
      </w:r>
      <w:r>
        <w:rPr>
          <w:spacing w:val="-2"/>
        </w:rPr>
        <w:t>(IRAHE).</w:t>
      </w:r>
      <w:r>
        <w:rPr>
          <w:spacing w:val="-12"/>
        </w:rPr>
        <w:t> </w:t>
      </w:r>
      <w:r>
        <w:rPr>
          <w:spacing w:val="-2"/>
        </w:rPr>
        <w:t>The</w:t>
      </w:r>
      <w:r>
        <w:rPr>
          <w:spacing w:val="-11"/>
        </w:rPr>
        <w:t> </w:t>
      </w:r>
      <w:r>
        <w:rPr>
          <w:spacing w:val="-2"/>
        </w:rPr>
        <w:t>IRAHE</w:t>
      </w:r>
      <w:r>
        <w:rPr>
          <w:spacing w:val="-12"/>
        </w:rPr>
        <w:t> </w:t>
      </w:r>
      <w:r>
        <w:rPr>
          <w:spacing w:val="-2"/>
        </w:rPr>
        <w:t>must</w:t>
      </w:r>
      <w:r>
        <w:rPr>
          <w:spacing w:val="-12"/>
        </w:rPr>
        <w:t> </w:t>
      </w:r>
      <w:r>
        <w:rPr>
          <w:spacing w:val="-2"/>
        </w:rPr>
        <w:t>be</w:t>
      </w:r>
      <w:r>
        <w:rPr>
          <w:spacing w:val="-10"/>
        </w:rPr>
        <w:t> </w:t>
      </w:r>
      <w:r>
        <w:rPr>
          <w:spacing w:val="-2"/>
        </w:rPr>
        <w:t>at</w:t>
      </w:r>
      <w:r>
        <w:rPr>
          <w:spacing w:val="-11"/>
        </w:rPr>
        <w:t> </w:t>
      </w:r>
      <w:r>
        <w:rPr>
          <w:spacing w:val="-2"/>
        </w:rPr>
        <w:t>an arm’s</w:t>
      </w:r>
      <w:r>
        <w:rPr>
          <w:spacing w:val="-9"/>
        </w:rPr>
        <w:t> </w:t>
      </w:r>
      <w:r>
        <w:rPr>
          <w:spacing w:val="-2"/>
        </w:rPr>
        <w:t>length</w:t>
      </w:r>
      <w:r>
        <w:rPr>
          <w:spacing w:val="-9"/>
        </w:rPr>
        <w:t> </w:t>
      </w:r>
      <w:r>
        <w:rPr>
          <w:spacing w:val="-2"/>
        </w:rPr>
        <w:t>from</w:t>
      </w:r>
      <w:r>
        <w:rPr>
          <w:spacing w:val="-9"/>
        </w:rPr>
        <w:t> </w:t>
      </w:r>
      <w:r>
        <w:rPr>
          <w:spacing w:val="-2"/>
        </w:rPr>
        <w:t>the</w:t>
      </w:r>
      <w:r>
        <w:rPr>
          <w:spacing w:val="-9"/>
        </w:rPr>
        <w:t> </w:t>
      </w:r>
      <w:r>
        <w:rPr>
          <w:spacing w:val="-2"/>
        </w:rPr>
        <w:t>Government</w:t>
      </w:r>
      <w:r>
        <w:rPr>
          <w:spacing w:val="-9"/>
        </w:rPr>
        <w:t> </w:t>
      </w:r>
      <w:r>
        <w:rPr>
          <w:spacing w:val="-2"/>
        </w:rPr>
        <w:t>and</w:t>
      </w:r>
      <w:r>
        <w:rPr>
          <w:spacing w:val="-9"/>
        </w:rPr>
        <w:t> </w:t>
      </w:r>
      <w:r>
        <w:rPr>
          <w:spacing w:val="-2"/>
        </w:rPr>
        <w:t>independent</w:t>
      </w:r>
      <w:r>
        <w:rPr>
          <w:spacing w:val="-9"/>
        </w:rPr>
        <w:t> </w:t>
      </w:r>
      <w:r>
        <w:rPr>
          <w:spacing w:val="-2"/>
        </w:rPr>
        <w:t>of </w:t>
      </w:r>
      <w:r>
        <w:rPr/>
        <w:t>all</w:t>
      </w:r>
      <w:r>
        <w:rPr>
          <w:spacing w:val="-12"/>
        </w:rPr>
        <w:t> </w:t>
      </w:r>
      <w:r>
        <w:rPr/>
        <w:t>stakeholders</w:t>
      </w:r>
      <w:r>
        <w:rPr>
          <w:spacing w:val="-12"/>
        </w:rPr>
        <w:t> </w:t>
      </w:r>
      <w:r>
        <w:rPr/>
        <w:t>including</w:t>
      </w:r>
      <w:r>
        <w:rPr>
          <w:spacing w:val="-12"/>
        </w:rPr>
        <w:t> </w:t>
      </w:r>
      <w:r>
        <w:rPr/>
        <w:t>the</w:t>
      </w:r>
      <w:r>
        <w:rPr>
          <w:spacing w:val="-12"/>
        </w:rPr>
        <w:t> </w:t>
      </w:r>
      <w:r>
        <w:rPr/>
        <w:t>concerned</w:t>
      </w:r>
      <w:r>
        <w:rPr>
          <w:spacing w:val="-12"/>
        </w:rPr>
        <w:t> </w:t>
      </w:r>
      <w:r>
        <w:rPr/>
        <w:t>Ministries</w:t>
      </w:r>
      <w:r>
        <w:rPr>
          <w:spacing w:val="-12"/>
        </w:rPr>
        <w:t> </w:t>
      </w:r>
      <w:r>
        <w:rPr/>
        <w:t>of the Government.</w:t>
      </w:r>
    </w:p>
    <w:p>
      <w:pPr>
        <w:pStyle w:val="ListParagraph"/>
        <w:numPr>
          <w:ilvl w:val="2"/>
          <w:numId w:val="19"/>
        </w:numPr>
        <w:tabs>
          <w:tab w:pos="679" w:val="left" w:leader="none"/>
        </w:tabs>
        <w:spacing w:line="266" w:lineRule="auto" w:before="0" w:after="0"/>
        <w:ind w:left="679" w:right="1077" w:hanging="360"/>
        <w:jc w:val="both"/>
        <w:rPr>
          <w:sz w:val="22"/>
        </w:rPr>
      </w:pPr>
      <w:r>
        <w:rPr>
          <w:spacing w:val="-6"/>
          <w:sz w:val="22"/>
        </w:rPr>
        <w:t>The IRAHE would have to be established by an </w:t>
      </w:r>
      <w:r>
        <w:rPr>
          <w:spacing w:val="-6"/>
          <w:sz w:val="22"/>
        </w:rPr>
        <w:t>Act </w:t>
      </w:r>
      <w:r>
        <w:rPr>
          <w:spacing w:val="-2"/>
          <w:sz w:val="22"/>
        </w:rPr>
        <w:t>of</w:t>
      </w:r>
      <w:r>
        <w:rPr>
          <w:spacing w:val="-12"/>
          <w:sz w:val="22"/>
        </w:rPr>
        <w:t> </w:t>
      </w:r>
      <w:r>
        <w:rPr>
          <w:spacing w:val="-2"/>
          <w:sz w:val="22"/>
        </w:rPr>
        <w:t>Parliament,</w:t>
      </w:r>
      <w:r>
        <w:rPr>
          <w:spacing w:val="-12"/>
          <w:sz w:val="22"/>
        </w:rPr>
        <w:t> </w:t>
      </w:r>
      <w:r>
        <w:rPr>
          <w:spacing w:val="-2"/>
          <w:sz w:val="22"/>
        </w:rPr>
        <w:t>and</w:t>
      </w:r>
      <w:r>
        <w:rPr>
          <w:spacing w:val="-12"/>
          <w:sz w:val="22"/>
        </w:rPr>
        <w:t> </w:t>
      </w:r>
      <w:r>
        <w:rPr>
          <w:spacing w:val="-2"/>
          <w:sz w:val="22"/>
        </w:rPr>
        <w:t>would</w:t>
      </w:r>
      <w:r>
        <w:rPr>
          <w:spacing w:val="-11"/>
          <w:sz w:val="22"/>
        </w:rPr>
        <w:t> </w:t>
      </w:r>
      <w:r>
        <w:rPr>
          <w:spacing w:val="-2"/>
          <w:sz w:val="22"/>
        </w:rPr>
        <w:t>be</w:t>
      </w:r>
      <w:r>
        <w:rPr>
          <w:spacing w:val="-12"/>
          <w:sz w:val="22"/>
        </w:rPr>
        <w:t> </w:t>
      </w:r>
      <w:r>
        <w:rPr>
          <w:spacing w:val="-2"/>
          <w:sz w:val="22"/>
        </w:rPr>
        <w:t>responsible</w:t>
      </w:r>
      <w:r>
        <w:rPr>
          <w:spacing w:val="-12"/>
          <w:sz w:val="22"/>
        </w:rPr>
        <w:t> </w:t>
      </w:r>
      <w:r>
        <w:rPr>
          <w:spacing w:val="-2"/>
          <w:sz w:val="22"/>
        </w:rPr>
        <w:t>for</w:t>
      </w:r>
      <w:r>
        <w:rPr>
          <w:spacing w:val="-12"/>
          <w:sz w:val="22"/>
        </w:rPr>
        <w:t> </w:t>
      </w:r>
      <w:r>
        <w:rPr>
          <w:spacing w:val="-2"/>
          <w:sz w:val="22"/>
        </w:rPr>
        <w:t>setting </w:t>
      </w:r>
      <w:r>
        <w:rPr>
          <w:sz w:val="22"/>
        </w:rPr>
        <w:t>the criteria and deciding on entry.</w:t>
      </w:r>
    </w:p>
    <w:p>
      <w:pPr>
        <w:pStyle w:val="ListParagraph"/>
        <w:numPr>
          <w:ilvl w:val="2"/>
          <w:numId w:val="19"/>
        </w:numPr>
        <w:tabs>
          <w:tab w:pos="679" w:val="left" w:leader="none"/>
        </w:tabs>
        <w:spacing w:line="266" w:lineRule="auto" w:before="0" w:after="0"/>
        <w:ind w:left="679" w:right="1077" w:hanging="360"/>
        <w:jc w:val="both"/>
        <w:rPr>
          <w:sz w:val="22"/>
        </w:rPr>
      </w:pPr>
      <w:r>
        <w:rPr>
          <w:spacing w:val="-8"/>
          <w:sz w:val="22"/>
        </w:rPr>
        <w:t>It</w:t>
      </w:r>
      <w:r>
        <w:rPr>
          <w:spacing w:val="-4"/>
          <w:sz w:val="22"/>
        </w:rPr>
        <w:t> </w:t>
      </w:r>
      <w:r>
        <w:rPr>
          <w:spacing w:val="-8"/>
          <w:sz w:val="22"/>
        </w:rPr>
        <w:t>would</w:t>
      </w:r>
      <w:r>
        <w:rPr>
          <w:spacing w:val="-4"/>
          <w:sz w:val="22"/>
        </w:rPr>
        <w:t> </w:t>
      </w:r>
      <w:r>
        <w:rPr>
          <w:spacing w:val="-8"/>
          <w:sz w:val="22"/>
        </w:rPr>
        <w:t>be</w:t>
      </w:r>
      <w:r>
        <w:rPr>
          <w:spacing w:val="-4"/>
          <w:sz w:val="22"/>
        </w:rPr>
        <w:t> </w:t>
      </w:r>
      <w:r>
        <w:rPr>
          <w:spacing w:val="-8"/>
          <w:sz w:val="22"/>
        </w:rPr>
        <w:t>the</w:t>
      </w:r>
      <w:r>
        <w:rPr>
          <w:spacing w:val="-4"/>
          <w:sz w:val="22"/>
        </w:rPr>
        <w:t> </w:t>
      </w:r>
      <w:r>
        <w:rPr>
          <w:spacing w:val="-8"/>
          <w:sz w:val="22"/>
        </w:rPr>
        <w:t>only</w:t>
      </w:r>
      <w:r>
        <w:rPr>
          <w:spacing w:val="-4"/>
          <w:sz w:val="22"/>
        </w:rPr>
        <w:t> </w:t>
      </w:r>
      <w:r>
        <w:rPr>
          <w:spacing w:val="-8"/>
          <w:sz w:val="22"/>
        </w:rPr>
        <w:t>agency</w:t>
      </w:r>
      <w:r>
        <w:rPr>
          <w:spacing w:val="-4"/>
          <w:sz w:val="22"/>
        </w:rPr>
        <w:t> </w:t>
      </w:r>
      <w:r>
        <w:rPr>
          <w:spacing w:val="-8"/>
          <w:sz w:val="22"/>
        </w:rPr>
        <w:t>that</w:t>
      </w:r>
      <w:r>
        <w:rPr>
          <w:spacing w:val="-4"/>
          <w:sz w:val="22"/>
        </w:rPr>
        <w:t> </w:t>
      </w:r>
      <w:r>
        <w:rPr>
          <w:spacing w:val="-8"/>
          <w:sz w:val="22"/>
        </w:rPr>
        <w:t>would</w:t>
      </w:r>
      <w:r>
        <w:rPr>
          <w:spacing w:val="-4"/>
          <w:sz w:val="22"/>
        </w:rPr>
        <w:t> </w:t>
      </w:r>
      <w:r>
        <w:rPr>
          <w:spacing w:val="-8"/>
          <w:sz w:val="22"/>
        </w:rPr>
        <w:t>be</w:t>
      </w:r>
      <w:r>
        <w:rPr>
          <w:spacing w:val="-4"/>
          <w:sz w:val="22"/>
        </w:rPr>
        <w:t> </w:t>
      </w:r>
      <w:r>
        <w:rPr>
          <w:spacing w:val="-8"/>
          <w:sz w:val="22"/>
        </w:rPr>
        <w:t>authorised </w:t>
      </w:r>
      <w:r>
        <w:rPr>
          <w:spacing w:val="-6"/>
          <w:sz w:val="22"/>
        </w:rPr>
        <w:t>to</w:t>
      </w:r>
      <w:r>
        <w:rPr>
          <w:spacing w:val="-8"/>
          <w:sz w:val="22"/>
        </w:rPr>
        <w:t> </w:t>
      </w:r>
      <w:r>
        <w:rPr>
          <w:spacing w:val="-6"/>
          <w:sz w:val="22"/>
        </w:rPr>
        <w:t>accord</w:t>
      </w:r>
      <w:r>
        <w:rPr>
          <w:spacing w:val="-8"/>
          <w:sz w:val="22"/>
        </w:rPr>
        <w:t> </w:t>
      </w:r>
      <w:r>
        <w:rPr>
          <w:spacing w:val="-6"/>
          <w:sz w:val="22"/>
        </w:rPr>
        <w:t>degree-granting</w:t>
      </w:r>
      <w:r>
        <w:rPr>
          <w:spacing w:val="-8"/>
          <w:sz w:val="22"/>
        </w:rPr>
        <w:t> </w:t>
      </w:r>
      <w:r>
        <w:rPr>
          <w:spacing w:val="-6"/>
          <w:sz w:val="22"/>
        </w:rPr>
        <w:t>power</w:t>
      </w:r>
      <w:r>
        <w:rPr>
          <w:spacing w:val="-7"/>
          <w:sz w:val="22"/>
        </w:rPr>
        <w:t> </w:t>
      </w:r>
      <w:r>
        <w:rPr>
          <w:spacing w:val="-6"/>
          <w:sz w:val="22"/>
        </w:rPr>
        <w:t>to</w:t>
      </w:r>
      <w:r>
        <w:rPr>
          <w:spacing w:val="-8"/>
          <w:sz w:val="22"/>
        </w:rPr>
        <w:t> </w:t>
      </w:r>
      <w:r>
        <w:rPr>
          <w:spacing w:val="-6"/>
          <w:sz w:val="22"/>
        </w:rPr>
        <w:t>higher</w:t>
      </w:r>
      <w:r>
        <w:rPr>
          <w:spacing w:val="-8"/>
          <w:sz w:val="22"/>
        </w:rPr>
        <w:t> </w:t>
      </w:r>
      <w:r>
        <w:rPr>
          <w:spacing w:val="-6"/>
          <w:sz w:val="22"/>
        </w:rPr>
        <w:t>education </w:t>
      </w:r>
      <w:r>
        <w:rPr>
          <w:spacing w:val="-2"/>
          <w:sz w:val="22"/>
        </w:rPr>
        <w:t>institutions.</w:t>
      </w:r>
    </w:p>
    <w:p>
      <w:pPr>
        <w:pStyle w:val="ListParagraph"/>
        <w:numPr>
          <w:ilvl w:val="2"/>
          <w:numId w:val="19"/>
        </w:numPr>
        <w:tabs>
          <w:tab w:pos="679" w:val="left" w:leader="none"/>
        </w:tabs>
        <w:spacing w:line="266" w:lineRule="auto" w:before="0" w:after="0"/>
        <w:ind w:left="679" w:right="1077" w:hanging="360"/>
        <w:jc w:val="both"/>
        <w:rPr>
          <w:sz w:val="22"/>
        </w:rPr>
      </w:pPr>
      <w:r>
        <w:rPr>
          <w:sz w:val="22"/>
        </w:rPr>
        <w:t>It would be responsible for monitoring </w:t>
      </w:r>
      <w:r>
        <w:rPr>
          <w:sz w:val="22"/>
        </w:rPr>
        <w:t>standards and settling disputes.</w:t>
      </w:r>
    </w:p>
    <w:p>
      <w:pPr>
        <w:pStyle w:val="ListParagraph"/>
        <w:numPr>
          <w:ilvl w:val="2"/>
          <w:numId w:val="19"/>
        </w:numPr>
        <w:tabs>
          <w:tab w:pos="679" w:val="left" w:leader="none"/>
        </w:tabs>
        <w:spacing w:line="266" w:lineRule="auto" w:before="0" w:after="0"/>
        <w:ind w:left="679" w:right="1077" w:hanging="360"/>
        <w:jc w:val="both"/>
        <w:rPr>
          <w:sz w:val="22"/>
        </w:rPr>
      </w:pPr>
      <w:r>
        <w:rPr>
          <w:spacing w:val="-6"/>
          <w:sz w:val="22"/>
        </w:rPr>
        <w:t>It</w:t>
      </w:r>
      <w:r>
        <w:rPr>
          <w:spacing w:val="-7"/>
          <w:sz w:val="22"/>
        </w:rPr>
        <w:t> </w:t>
      </w:r>
      <w:r>
        <w:rPr>
          <w:spacing w:val="-6"/>
          <w:sz w:val="22"/>
        </w:rPr>
        <w:t>would</w:t>
      </w:r>
      <w:r>
        <w:rPr>
          <w:spacing w:val="-7"/>
          <w:sz w:val="22"/>
        </w:rPr>
        <w:t> </w:t>
      </w:r>
      <w:r>
        <w:rPr>
          <w:spacing w:val="-6"/>
          <w:sz w:val="22"/>
        </w:rPr>
        <w:t>apply</w:t>
      </w:r>
      <w:r>
        <w:rPr>
          <w:spacing w:val="-7"/>
          <w:sz w:val="22"/>
        </w:rPr>
        <w:t> </w:t>
      </w:r>
      <w:r>
        <w:rPr>
          <w:spacing w:val="-6"/>
          <w:sz w:val="22"/>
        </w:rPr>
        <w:t>exactly</w:t>
      </w:r>
      <w:r>
        <w:rPr>
          <w:spacing w:val="-7"/>
          <w:sz w:val="22"/>
        </w:rPr>
        <w:t> </w:t>
      </w:r>
      <w:r>
        <w:rPr>
          <w:spacing w:val="-6"/>
          <w:sz w:val="22"/>
        </w:rPr>
        <w:t>the</w:t>
      </w:r>
      <w:r>
        <w:rPr>
          <w:spacing w:val="-7"/>
          <w:sz w:val="22"/>
        </w:rPr>
        <w:t> </w:t>
      </w:r>
      <w:r>
        <w:rPr>
          <w:spacing w:val="-6"/>
          <w:sz w:val="22"/>
        </w:rPr>
        <w:t>same</w:t>
      </w:r>
      <w:r>
        <w:rPr>
          <w:spacing w:val="-7"/>
          <w:sz w:val="22"/>
        </w:rPr>
        <w:t> </w:t>
      </w:r>
      <w:r>
        <w:rPr>
          <w:spacing w:val="-6"/>
          <w:sz w:val="22"/>
        </w:rPr>
        <w:t>norms</w:t>
      </w:r>
      <w:r>
        <w:rPr>
          <w:spacing w:val="-7"/>
          <w:sz w:val="22"/>
        </w:rPr>
        <w:t> </w:t>
      </w:r>
      <w:r>
        <w:rPr>
          <w:spacing w:val="-6"/>
          <w:sz w:val="22"/>
        </w:rPr>
        <w:t>to</w:t>
      </w:r>
      <w:r>
        <w:rPr>
          <w:spacing w:val="-7"/>
          <w:sz w:val="22"/>
        </w:rPr>
        <w:t> </w:t>
      </w:r>
      <w:r>
        <w:rPr>
          <w:spacing w:val="-6"/>
          <w:sz w:val="22"/>
        </w:rPr>
        <w:t>public</w:t>
      </w:r>
      <w:r>
        <w:rPr>
          <w:spacing w:val="-7"/>
          <w:sz w:val="22"/>
        </w:rPr>
        <w:t> </w:t>
      </w:r>
      <w:r>
        <w:rPr>
          <w:spacing w:val="-6"/>
          <w:sz w:val="22"/>
        </w:rPr>
        <w:t>and </w:t>
      </w:r>
      <w:r>
        <w:rPr>
          <w:spacing w:val="-2"/>
          <w:sz w:val="22"/>
        </w:rPr>
        <w:t>private</w:t>
      </w:r>
      <w:r>
        <w:rPr>
          <w:spacing w:val="-10"/>
          <w:sz w:val="22"/>
        </w:rPr>
        <w:t> </w:t>
      </w:r>
      <w:r>
        <w:rPr>
          <w:spacing w:val="-2"/>
          <w:sz w:val="22"/>
        </w:rPr>
        <w:t>institutions,</w:t>
      </w:r>
      <w:r>
        <w:rPr>
          <w:spacing w:val="-10"/>
          <w:sz w:val="22"/>
        </w:rPr>
        <w:t> </w:t>
      </w:r>
      <w:r>
        <w:rPr>
          <w:spacing w:val="-2"/>
          <w:sz w:val="22"/>
        </w:rPr>
        <w:t>just</w:t>
      </w:r>
      <w:r>
        <w:rPr>
          <w:spacing w:val="-10"/>
          <w:sz w:val="22"/>
        </w:rPr>
        <w:t> </w:t>
      </w:r>
      <w:r>
        <w:rPr>
          <w:spacing w:val="-2"/>
          <w:sz w:val="22"/>
        </w:rPr>
        <w:t>as</w:t>
      </w:r>
      <w:r>
        <w:rPr>
          <w:spacing w:val="-10"/>
          <w:sz w:val="22"/>
        </w:rPr>
        <w:t> </w:t>
      </w:r>
      <w:r>
        <w:rPr>
          <w:spacing w:val="-2"/>
          <w:sz w:val="22"/>
        </w:rPr>
        <w:t>it</w:t>
      </w:r>
      <w:r>
        <w:rPr>
          <w:spacing w:val="-10"/>
          <w:sz w:val="22"/>
        </w:rPr>
        <w:t> </w:t>
      </w:r>
      <w:r>
        <w:rPr>
          <w:spacing w:val="-2"/>
          <w:sz w:val="22"/>
        </w:rPr>
        <w:t>would</w:t>
      </w:r>
      <w:r>
        <w:rPr>
          <w:spacing w:val="-10"/>
          <w:sz w:val="22"/>
        </w:rPr>
        <w:t> </w:t>
      </w:r>
      <w:r>
        <w:rPr>
          <w:spacing w:val="-2"/>
          <w:sz w:val="22"/>
        </w:rPr>
        <w:t>apply</w:t>
      </w:r>
      <w:r>
        <w:rPr>
          <w:spacing w:val="-10"/>
          <w:sz w:val="22"/>
        </w:rPr>
        <w:t> </w:t>
      </w:r>
      <w:r>
        <w:rPr>
          <w:spacing w:val="-2"/>
          <w:sz w:val="22"/>
        </w:rPr>
        <w:t>the</w:t>
      </w:r>
      <w:r>
        <w:rPr>
          <w:spacing w:val="-10"/>
          <w:sz w:val="22"/>
        </w:rPr>
        <w:t> </w:t>
      </w:r>
      <w:r>
        <w:rPr>
          <w:spacing w:val="-2"/>
          <w:sz w:val="22"/>
        </w:rPr>
        <w:t>same </w:t>
      </w:r>
      <w:r>
        <w:rPr>
          <w:sz w:val="22"/>
        </w:rPr>
        <w:t>norms to domestic and international institutions.</w:t>
      </w:r>
    </w:p>
    <w:p>
      <w:pPr>
        <w:pStyle w:val="ListParagraph"/>
        <w:numPr>
          <w:ilvl w:val="2"/>
          <w:numId w:val="19"/>
        </w:numPr>
        <w:tabs>
          <w:tab w:pos="679" w:val="left" w:leader="none"/>
        </w:tabs>
        <w:spacing w:line="266" w:lineRule="auto" w:before="0" w:after="0"/>
        <w:ind w:left="679" w:right="1078" w:hanging="360"/>
        <w:jc w:val="both"/>
        <w:rPr>
          <w:sz w:val="22"/>
        </w:rPr>
      </w:pPr>
      <w:r>
        <w:rPr>
          <w:spacing w:val="-4"/>
          <w:sz w:val="22"/>
        </w:rPr>
        <w:t>It</w:t>
      </w:r>
      <w:r>
        <w:rPr>
          <w:spacing w:val="-7"/>
          <w:sz w:val="22"/>
        </w:rPr>
        <w:t> </w:t>
      </w:r>
      <w:r>
        <w:rPr>
          <w:spacing w:val="-4"/>
          <w:sz w:val="22"/>
        </w:rPr>
        <w:t>would</w:t>
      </w:r>
      <w:r>
        <w:rPr>
          <w:spacing w:val="-7"/>
          <w:sz w:val="22"/>
        </w:rPr>
        <w:t> </w:t>
      </w:r>
      <w:r>
        <w:rPr>
          <w:spacing w:val="-4"/>
          <w:sz w:val="22"/>
        </w:rPr>
        <w:t>be</w:t>
      </w:r>
      <w:r>
        <w:rPr>
          <w:spacing w:val="-7"/>
          <w:sz w:val="22"/>
        </w:rPr>
        <w:t> </w:t>
      </w:r>
      <w:r>
        <w:rPr>
          <w:spacing w:val="-4"/>
          <w:sz w:val="22"/>
        </w:rPr>
        <w:t>the</w:t>
      </w:r>
      <w:r>
        <w:rPr>
          <w:spacing w:val="-7"/>
          <w:sz w:val="22"/>
        </w:rPr>
        <w:t> </w:t>
      </w:r>
      <w:r>
        <w:rPr>
          <w:spacing w:val="-4"/>
          <w:sz w:val="22"/>
        </w:rPr>
        <w:t>authority</w:t>
      </w:r>
      <w:r>
        <w:rPr>
          <w:spacing w:val="-7"/>
          <w:sz w:val="22"/>
        </w:rPr>
        <w:t> </w:t>
      </w:r>
      <w:r>
        <w:rPr>
          <w:spacing w:val="-4"/>
          <w:sz w:val="22"/>
        </w:rPr>
        <w:t>for</w:t>
      </w:r>
      <w:r>
        <w:rPr>
          <w:spacing w:val="-7"/>
          <w:sz w:val="22"/>
        </w:rPr>
        <w:t> </w:t>
      </w:r>
      <w:r>
        <w:rPr>
          <w:spacing w:val="-4"/>
          <w:sz w:val="22"/>
        </w:rPr>
        <w:t>licensing</w:t>
      </w:r>
      <w:r>
        <w:rPr>
          <w:spacing w:val="-7"/>
          <w:sz w:val="22"/>
        </w:rPr>
        <w:t> </w:t>
      </w:r>
      <w:r>
        <w:rPr>
          <w:spacing w:val="-4"/>
          <w:sz w:val="22"/>
        </w:rPr>
        <w:t>accreditation </w:t>
      </w:r>
      <w:r>
        <w:rPr>
          <w:spacing w:val="-2"/>
          <w:sz w:val="22"/>
        </w:rPr>
        <w:t>agencies.</w:t>
      </w:r>
    </w:p>
    <w:p>
      <w:pPr>
        <w:pStyle w:val="ListParagraph"/>
        <w:numPr>
          <w:ilvl w:val="2"/>
          <w:numId w:val="19"/>
        </w:numPr>
        <w:tabs>
          <w:tab w:pos="679" w:val="left" w:leader="none"/>
        </w:tabs>
        <w:spacing w:line="266" w:lineRule="auto" w:before="0" w:after="0"/>
        <w:ind w:left="679" w:right="1078" w:hanging="360"/>
        <w:jc w:val="both"/>
        <w:rPr>
          <w:sz w:val="22"/>
        </w:rPr>
      </w:pPr>
      <w:r>
        <w:rPr>
          <w:sz w:val="22"/>
        </w:rPr>
        <w:t>The role of the University Grants Commission (UGC)</w:t>
      </w:r>
      <w:r>
        <w:rPr>
          <w:spacing w:val="72"/>
          <w:sz w:val="22"/>
        </w:rPr>
        <w:t> </w:t>
      </w:r>
      <w:r>
        <w:rPr>
          <w:sz w:val="22"/>
        </w:rPr>
        <w:t>would</w:t>
      </w:r>
      <w:r>
        <w:rPr>
          <w:spacing w:val="72"/>
          <w:sz w:val="22"/>
        </w:rPr>
        <w:t> </w:t>
      </w:r>
      <w:r>
        <w:rPr>
          <w:sz w:val="22"/>
        </w:rPr>
        <w:t>be</w:t>
      </w:r>
      <w:r>
        <w:rPr>
          <w:spacing w:val="72"/>
          <w:sz w:val="22"/>
        </w:rPr>
        <w:t> </w:t>
      </w:r>
      <w:r>
        <w:rPr>
          <w:sz w:val="22"/>
        </w:rPr>
        <w:t>re-defined</w:t>
      </w:r>
      <w:r>
        <w:rPr>
          <w:spacing w:val="72"/>
          <w:sz w:val="22"/>
        </w:rPr>
        <w:t> </w:t>
      </w:r>
      <w:r>
        <w:rPr>
          <w:sz w:val="22"/>
        </w:rPr>
        <w:t>to</w:t>
      </w:r>
      <w:r>
        <w:rPr>
          <w:spacing w:val="72"/>
          <w:sz w:val="22"/>
        </w:rPr>
        <w:t> </w:t>
      </w:r>
      <w:r>
        <w:rPr>
          <w:sz w:val="22"/>
        </w:rPr>
        <w:t>focus</w:t>
      </w:r>
      <w:r>
        <w:rPr>
          <w:spacing w:val="72"/>
          <w:sz w:val="22"/>
        </w:rPr>
        <w:t> </w:t>
      </w:r>
      <w:r>
        <w:rPr>
          <w:sz w:val="22"/>
        </w:rPr>
        <w:t>on</w:t>
      </w:r>
      <w:r>
        <w:rPr>
          <w:spacing w:val="72"/>
          <w:sz w:val="22"/>
        </w:rPr>
        <w:t> </w:t>
      </w:r>
      <w:r>
        <w:rPr>
          <w:sz w:val="22"/>
        </w:rPr>
        <w:t>the</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BodyText"/>
        <w:spacing w:line="266" w:lineRule="auto" w:before="57"/>
        <w:ind w:left="1440"/>
        <w:jc w:val="both"/>
      </w:pPr>
      <w:r>
        <w:rPr/>
        <w:t>disbursement of grants to, and maintenance </w:t>
      </w:r>
      <w:r>
        <w:rPr/>
        <w:t>of, public institutions in higher education.</w:t>
      </w:r>
      <w:r>
        <w:rPr>
          <w:spacing w:val="-7"/>
        </w:rPr>
        <w:t> </w:t>
      </w:r>
      <w:r>
        <w:rPr/>
        <w:t>The entry regulatory functions of the All India Council for </w:t>
      </w:r>
      <w:r>
        <w:rPr>
          <w:spacing w:val="-6"/>
        </w:rPr>
        <w:t>Technical Education (AICTE), the Medical Council </w:t>
      </w:r>
      <w:r>
        <w:rPr/>
        <w:t>of India (MCI) and the BCI would be performed by</w:t>
      </w:r>
      <w:r>
        <w:rPr>
          <w:spacing w:val="-8"/>
        </w:rPr>
        <w:t> </w:t>
      </w:r>
      <w:r>
        <w:rPr/>
        <w:t>the</w:t>
      </w:r>
      <w:r>
        <w:rPr>
          <w:spacing w:val="-8"/>
        </w:rPr>
        <w:t> </w:t>
      </w:r>
      <w:r>
        <w:rPr/>
        <w:t>IRAHE,</w:t>
      </w:r>
      <w:r>
        <w:rPr>
          <w:spacing w:val="-8"/>
        </w:rPr>
        <w:t> </w:t>
      </w:r>
      <w:r>
        <w:rPr/>
        <w:t>so</w:t>
      </w:r>
      <w:r>
        <w:rPr>
          <w:spacing w:val="-8"/>
        </w:rPr>
        <w:t> </w:t>
      </w:r>
      <w:r>
        <w:rPr/>
        <w:t>that</w:t>
      </w:r>
      <w:r>
        <w:rPr>
          <w:spacing w:val="-8"/>
        </w:rPr>
        <w:t> </w:t>
      </w:r>
      <w:r>
        <w:rPr/>
        <w:t>their</w:t>
      </w:r>
      <w:r>
        <w:rPr>
          <w:spacing w:val="-8"/>
        </w:rPr>
        <w:t> </w:t>
      </w:r>
      <w:r>
        <w:rPr/>
        <w:t>role</w:t>
      </w:r>
      <w:r>
        <w:rPr>
          <w:spacing w:val="-8"/>
        </w:rPr>
        <w:t> </w:t>
      </w:r>
      <w:r>
        <w:rPr/>
        <w:t>would</w:t>
      </w:r>
      <w:r>
        <w:rPr>
          <w:spacing w:val="-8"/>
        </w:rPr>
        <w:t> </w:t>
      </w:r>
      <w:r>
        <w:rPr/>
        <w:t>be</w:t>
      </w:r>
      <w:r>
        <w:rPr>
          <w:spacing w:val="-8"/>
        </w:rPr>
        <w:t> </w:t>
      </w:r>
      <w:r>
        <w:rPr/>
        <w:t>limited to that of professional associations.</w:t>
      </w:r>
    </w:p>
    <w:p>
      <w:pPr>
        <w:pStyle w:val="Heading7"/>
        <w:numPr>
          <w:ilvl w:val="1"/>
          <w:numId w:val="19"/>
        </w:numPr>
        <w:tabs>
          <w:tab w:pos="1343" w:val="left" w:leader="none"/>
          <w:tab w:pos="1345" w:val="left" w:leader="none"/>
        </w:tabs>
        <w:spacing w:line="225" w:lineRule="auto" w:before="252" w:after="0"/>
        <w:ind w:left="1345" w:right="511" w:hanging="266"/>
        <w:jc w:val="left"/>
      </w:pPr>
      <w:r>
        <w:rPr>
          <w:color w:val="2E614A"/>
          <w:w w:val="90"/>
        </w:rPr>
        <w:t>Increase public spending and </w:t>
      </w:r>
      <w:r>
        <w:rPr>
          <w:color w:val="2E614A"/>
          <w:w w:val="90"/>
        </w:rPr>
        <w:t>diversify </w:t>
      </w:r>
      <w:r>
        <w:rPr>
          <w:color w:val="2E614A"/>
        </w:rPr>
        <w:t>sources</w:t>
      </w:r>
      <w:r>
        <w:rPr>
          <w:color w:val="2E614A"/>
          <w:spacing w:val="-7"/>
        </w:rPr>
        <w:t> </w:t>
      </w:r>
      <w:r>
        <w:rPr>
          <w:color w:val="2E614A"/>
        </w:rPr>
        <w:t>of</w:t>
      </w:r>
      <w:r>
        <w:rPr>
          <w:color w:val="2E614A"/>
          <w:spacing w:val="-7"/>
        </w:rPr>
        <w:t> </w:t>
      </w:r>
      <w:r>
        <w:rPr>
          <w:color w:val="2E614A"/>
        </w:rPr>
        <w:t>financing</w:t>
      </w:r>
    </w:p>
    <w:p>
      <w:pPr>
        <w:pStyle w:val="BodyText"/>
        <w:spacing w:before="1"/>
        <w:rPr>
          <w:b/>
          <w:sz w:val="26"/>
        </w:rPr>
      </w:pPr>
    </w:p>
    <w:p>
      <w:pPr>
        <w:pStyle w:val="BodyText"/>
        <w:spacing w:line="266" w:lineRule="auto" w:before="1"/>
        <w:ind w:left="1080"/>
        <w:jc w:val="both"/>
      </w:pPr>
      <w:r>
        <w:rPr>
          <w:spacing w:val="-2"/>
        </w:rPr>
        <w:t>The</w:t>
      </w:r>
      <w:r>
        <w:rPr>
          <w:spacing w:val="-12"/>
        </w:rPr>
        <w:t> </w:t>
      </w:r>
      <w:r>
        <w:rPr>
          <w:spacing w:val="-2"/>
        </w:rPr>
        <w:t>expansion</w:t>
      </w:r>
      <w:r>
        <w:rPr>
          <w:spacing w:val="-11"/>
        </w:rPr>
        <w:t> </w:t>
      </w:r>
      <w:r>
        <w:rPr>
          <w:spacing w:val="-2"/>
        </w:rPr>
        <w:t>of</w:t>
      </w:r>
      <w:r>
        <w:rPr>
          <w:spacing w:val="-12"/>
        </w:rPr>
        <w:t> </w:t>
      </w:r>
      <w:r>
        <w:rPr>
          <w:spacing w:val="-2"/>
        </w:rPr>
        <w:t>our</w:t>
      </w:r>
      <w:r>
        <w:rPr>
          <w:spacing w:val="-11"/>
        </w:rPr>
        <w:t> </w:t>
      </w:r>
      <w:r>
        <w:rPr>
          <w:spacing w:val="-2"/>
        </w:rPr>
        <w:t>system</w:t>
      </w:r>
      <w:r>
        <w:rPr>
          <w:spacing w:val="-12"/>
        </w:rPr>
        <w:t> </w:t>
      </w:r>
      <w:r>
        <w:rPr>
          <w:spacing w:val="-2"/>
        </w:rPr>
        <w:t>of</w:t>
      </w:r>
      <w:r>
        <w:rPr>
          <w:spacing w:val="-11"/>
        </w:rPr>
        <w:t> </w:t>
      </w:r>
      <w:r>
        <w:rPr>
          <w:spacing w:val="-2"/>
        </w:rPr>
        <w:t>higher</w:t>
      </w:r>
      <w:r>
        <w:rPr>
          <w:spacing w:val="-12"/>
        </w:rPr>
        <w:t> </w:t>
      </w:r>
      <w:r>
        <w:rPr>
          <w:spacing w:val="-2"/>
        </w:rPr>
        <w:t>education</w:t>
      </w:r>
      <w:r>
        <w:rPr>
          <w:spacing w:val="-11"/>
        </w:rPr>
        <w:t> </w:t>
      </w:r>
      <w:r>
        <w:rPr>
          <w:spacing w:val="-2"/>
        </w:rPr>
        <w:t>is</w:t>
      </w:r>
      <w:r>
        <w:rPr>
          <w:spacing w:val="-12"/>
        </w:rPr>
        <w:t> </w:t>
      </w:r>
      <w:r>
        <w:rPr>
          <w:spacing w:val="-2"/>
        </w:rPr>
        <w:t>not </w:t>
      </w:r>
      <w:r>
        <w:rPr>
          <w:spacing w:val="-6"/>
        </w:rPr>
        <w:t>possible</w:t>
      </w:r>
      <w:r>
        <w:rPr>
          <w:spacing w:val="-8"/>
        </w:rPr>
        <w:t> </w:t>
      </w:r>
      <w:r>
        <w:rPr>
          <w:spacing w:val="-6"/>
        </w:rPr>
        <w:t>without</w:t>
      </w:r>
      <w:r>
        <w:rPr>
          <w:spacing w:val="-8"/>
        </w:rPr>
        <w:t> </w:t>
      </w:r>
      <w:r>
        <w:rPr>
          <w:spacing w:val="-6"/>
        </w:rPr>
        <w:t>enhanced</w:t>
      </w:r>
      <w:r>
        <w:rPr>
          <w:spacing w:val="-8"/>
        </w:rPr>
        <w:t> </w:t>
      </w:r>
      <w:r>
        <w:rPr>
          <w:spacing w:val="-6"/>
        </w:rPr>
        <w:t>levels</w:t>
      </w:r>
      <w:r>
        <w:rPr>
          <w:spacing w:val="-7"/>
        </w:rPr>
        <w:t> </w:t>
      </w:r>
      <w:r>
        <w:rPr>
          <w:spacing w:val="-6"/>
        </w:rPr>
        <w:t>of</w:t>
      </w:r>
      <w:r>
        <w:rPr>
          <w:spacing w:val="-8"/>
        </w:rPr>
        <w:t> </w:t>
      </w:r>
      <w:r>
        <w:rPr>
          <w:spacing w:val="-6"/>
        </w:rPr>
        <w:t>financing.</w:t>
      </w:r>
      <w:r>
        <w:rPr>
          <w:spacing w:val="-8"/>
        </w:rPr>
        <w:t> </w:t>
      </w:r>
      <w:r>
        <w:rPr>
          <w:spacing w:val="-6"/>
        </w:rPr>
        <w:t>This</w:t>
      </w:r>
      <w:r>
        <w:rPr>
          <w:spacing w:val="-8"/>
        </w:rPr>
        <w:t> </w:t>
      </w:r>
      <w:r>
        <w:rPr>
          <w:spacing w:val="-6"/>
        </w:rPr>
        <w:t>must </w:t>
      </w:r>
      <w:r>
        <w:rPr>
          <w:spacing w:val="-2"/>
        </w:rPr>
        <w:t>necessarily</w:t>
      </w:r>
      <w:r>
        <w:rPr>
          <w:spacing w:val="-12"/>
        </w:rPr>
        <w:t> </w:t>
      </w:r>
      <w:r>
        <w:rPr>
          <w:spacing w:val="-2"/>
        </w:rPr>
        <w:t>come</w:t>
      </w:r>
      <w:r>
        <w:rPr>
          <w:spacing w:val="-12"/>
        </w:rPr>
        <w:t> </w:t>
      </w:r>
      <w:r>
        <w:rPr>
          <w:spacing w:val="-2"/>
        </w:rPr>
        <w:t>from</w:t>
      </w:r>
      <w:r>
        <w:rPr>
          <w:spacing w:val="-12"/>
        </w:rPr>
        <w:t> </w:t>
      </w:r>
      <w:r>
        <w:rPr>
          <w:spacing w:val="-2"/>
        </w:rPr>
        <w:t>both</w:t>
      </w:r>
      <w:r>
        <w:rPr>
          <w:spacing w:val="-11"/>
        </w:rPr>
        <w:t> </w:t>
      </w:r>
      <w:r>
        <w:rPr>
          <w:spacing w:val="-2"/>
        </w:rPr>
        <w:t>public</w:t>
      </w:r>
      <w:r>
        <w:rPr>
          <w:spacing w:val="-12"/>
        </w:rPr>
        <w:t> </w:t>
      </w:r>
      <w:r>
        <w:rPr>
          <w:spacing w:val="-2"/>
        </w:rPr>
        <w:t>and</w:t>
      </w:r>
      <w:r>
        <w:rPr>
          <w:spacing w:val="-12"/>
        </w:rPr>
        <w:t> </w:t>
      </w:r>
      <w:r>
        <w:rPr>
          <w:spacing w:val="-2"/>
        </w:rPr>
        <w:t>private</w:t>
      </w:r>
      <w:r>
        <w:rPr>
          <w:spacing w:val="-12"/>
        </w:rPr>
        <w:t> </w:t>
      </w:r>
      <w:r>
        <w:rPr>
          <w:spacing w:val="-2"/>
        </w:rPr>
        <w:t>sources.</w:t>
      </w:r>
    </w:p>
    <w:p>
      <w:pPr>
        <w:pStyle w:val="ListParagraph"/>
        <w:numPr>
          <w:ilvl w:val="2"/>
          <w:numId w:val="19"/>
        </w:numPr>
        <w:tabs>
          <w:tab w:pos="1439" w:val="left" w:leader="none"/>
        </w:tabs>
        <w:spacing w:line="266" w:lineRule="auto" w:before="0" w:after="0"/>
        <w:ind w:left="1439" w:right="0" w:hanging="360"/>
        <w:jc w:val="both"/>
        <w:rPr>
          <w:sz w:val="22"/>
        </w:rPr>
      </w:pPr>
      <w:r>
        <w:rPr>
          <w:sz w:val="22"/>
        </w:rPr>
        <w:t>Since government financing will remain </w:t>
      </w:r>
      <w:r>
        <w:rPr>
          <w:sz w:val="22"/>
        </w:rPr>
        <w:t>the cornerstone, government support for higher </w:t>
      </w:r>
      <w:r>
        <w:rPr>
          <w:spacing w:val="-2"/>
          <w:sz w:val="22"/>
        </w:rPr>
        <w:t>education</w:t>
      </w:r>
      <w:r>
        <w:rPr>
          <w:spacing w:val="-12"/>
          <w:sz w:val="22"/>
        </w:rPr>
        <w:t> </w:t>
      </w:r>
      <w:r>
        <w:rPr>
          <w:spacing w:val="-2"/>
          <w:sz w:val="22"/>
        </w:rPr>
        <w:t>should</w:t>
      </w:r>
      <w:r>
        <w:rPr>
          <w:spacing w:val="-12"/>
          <w:sz w:val="22"/>
        </w:rPr>
        <w:t> </w:t>
      </w:r>
      <w:r>
        <w:rPr>
          <w:spacing w:val="-2"/>
          <w:sz w:val="22"/>
        </w:rPr>
        <w:t>increase</w:t>
      </w:r>
      <w:r>
        <w:rPr>
          <w:spacing w:val="-12"/>
          <w:sz w:val="22"/>
        </w:rPr>
        <w:t> </w:t>
      </w:r>
      <w:r>
        <w:rPr>
          <w:spacing w:val="-2"/>
          <w:sz w:val="22"/>
        </w:rPr>
        <w:t>to</w:t>
      </w:r>
      <w:r>
        <w:rPr>
          <w:spacing w:val="-11"/>
          <w:sz w:val="22"/>
        </w:rPr>
        <w:t> </w:t>
      </w:r>
      <w:r>
        <w:rPr>
          <w:spacing w:val="-2"/>
          <w:sz w:val="22"/>
        </w:rPr>
        <w:t>at</w:t>
      </w:r>
      <w:r>
        <w:rPr>
          <w:spacing w:val="-12"/>
          <w:sz w:val="22"/>
        </w:rPr>
        <w:t> </w:t>
      </w:r>
      <w:r>
        <w:rPr>
          <w:spacing w:val="-2"/>
          <w:sz w:val="22"/>
        </w:rPr>
        <w:t>least</w:t>
      </w:r>
      <w:r>
        <w:rPr>
          <w:spacing w:val="-12"/>
          <w:sz w:val="22"/>
        </w:rPr>
        <w:t> </w:t>
      </w:r>
      <w:r>
        <w:rPr>
          <w:spacing w:val="-2"/>
          <w:sz w:val="22"/>
        </w:rPr>
        <w:t>1.5</w:t>
      </w:r>
      <w:r>
        <w:rPr>
          <w:spacing w:val="-12"/>
          <w:sz w:val="22"/>
        </w:rPr>
        <w:t> </w:t>
      </w:r>
      <w:r>
        <w:rPr>
          <w:spacing w:val="-2"/>
          <w:sz w:val="22"/>
        </w:rPr>
        <w:t>per</w:t>
      </w:r>
      <w:r>
        <w:rPr>
          <w:spacing w:val="-11"/>
          <w:sz w:val="22"/>
        </w:rPr>
        <w:t> </w:t>
      </w:r>
      <w:r>
        <w:rPr>
          <w:spacing w:val="-2"/>
          <w:sz w:val="22"/>
        </w:rPr>
        <w:t>cent</w:t>
      </w:r>
      <w:r>
        <w:rPr>
          <w:spacing w:val="-12"/>
          <w:sz w:val="22"/>
        </w:rPr>
        <w:t> </w:t>
      </w:r>
      <w:r>
        <w:rPr>
          <w:spacing w:val="-2"/>
          <w:sz w:val="22"/>
        </w:rPr>
        <w:t>of GDP,</w:t>
      </w:r>
      <w:r>
        <w:rPr>
          <w:spacing w:val="-12"/>
          <w:sz w:val="22"/>
        </w:rPr>
        <w:t> </w:t>
      </w:r>
      <w:r>
        <w:rPr>
          <w:spacing w:val="-2"/>
          <w:sz w:val="22"/>
        </w:rPr>
        <w:t>out</w:t>
      </w:r>
      <w:r>
        <w:rPr>
          <w:spacing w:val="-12"/>
          <w:sz w:val="22"/>
        </w:rPr>
        <w:t> </w:t>
      </w:r>
      <w:r>
        <w:rPr>
          <w:spacing w:val="-2"/>
          <w:sz w:val="22"/>
        </w:rPr>
        <w:t>of</w:t>
      </w:r>
      <w:r>
        <w:rPr>
          <w:spacing w:val="-12"/>
          <w:sz w:val="22"/>
        </w:rPr>
        <w:t> </w:t>
      </w:r>
      <w:r>
        <w:rPr>
          <w:spacing w:val="-2"/>
          <w:sz w:val="22"/>
        </w:rPr>
        <w:t>a</w:t>
      </w:r>
      <w:r>
        <w:rPr>
          <w:spacing w:val="-11"/>
          <w:sz w:val="22"/>
        </w:rPr>
        <w:t> </w:t>
      </w:r>
      <w:r>
        <w:rPr>
          <w:spacing w:val="-2"/>
          <w:sz w:val="22"/>
        </w:rPr>
        <w:t>total</w:t>
      </w:r>
      <w:r>
        <w:rPr>
          <w:spacing w:val="-12"/>
          <w:sz w:val="22"/>
        </w:rPr>
        <w:t> </w:t>
      </w:r>
      <w:r>
        <w:rPr>
          <w:spacing w:val="-2"/>
          <w:sz w:val="22"/>
        </w:rPr>
        <w:t>of</w:t>
      </w:r>
      <w:r>
        <w:rPr>
          <w:spacing w:val="-12"/>
          <w:sz w:val="22"/>
        </w:rPr>
        <w:t> </w:t>
      </w:r>
      <w:r>
        <w:rPr>
          <w:spacing w:val="-2"/>
          <w:sz w:val="22"/>
        </w:rPr>
        <w:t>at</w:t>
      </w:r>
      <w:r>
        <w:rPr>
          <w:spacing w:val="-12"/>
          <w:sz w:val="22"/>
        </w:rPr>
        <w:t> </w:t>
      </w:r>
      <w:r>
        <w:rPr>
          <w:spacing w:val="-2"/>
          <w:sz w:val="22"/>
        </w:rPr>
        <w:t>least</w:t>
      </w:r>
      <w:r>
        <w:rPr>
          <w:spacing w:val="-11"/>
          <w:sz w:val="22"/>
        </w:rPr>
        <w:t> </w:t>
      </w:r>
      <w:r>
        <w:rPr>
          <w:spacing w:val="-2"/>
          <w:sz w:val="22"/>
        </w:rPr>
        <w:t>6</w:t>
      </w:r>
      <w:r>
        <w:rPr>
          <w:spacing w:val="-12"/>
          <w:sz w:val="22"/>
        </w:rPr>
        <w:t> </w:t>
      </w:r>
      <w:r>
        <w:rPr>
          <w:spacing w:val="-2"/>
          <w:sz w:val="22"/>
        </w:rPr>
        <w:t>per</w:t>
      </w:r>
      <w:r>
        <w:rPr>
          <w:spacing w:val="-12"/>
          <w:sz w:val="22"/>
        </w:rPr>
        <w:t> </w:t>
      </w:r>
      <w:r>
        <w:rPr>
          <w:spacing w:val="-2"/>
          <w:sz w:val="22"/>
        </w:rPr>
        <w:t>cent</w:t>
      </w:r>
      <w:r>
        <w:rPr>
          <w:spacing w:val="-12"/>
          <w:sz w:val="22"/>
        </w:rPr>
        <w:t> </w:t>
      </w:r>
      <w:r>
        <w:rPr>
          <w:spacing w:val="-2"/>
          <w:sz w:val="22"/>
        </w:rPr>
        <w:t>of</w:t>
      </w:r>
      <w:r>
        <w:rPr>
          <w:spacing w:val="-11"/>
          <w:sz w:val="22"/>
        </w:rPr>
        <w:t> </w:t>
      </w:r>
      <w:r>
        <w:rPr>
          <w:spacing w:val="-2"/>
          <w:sz w:val="22"/>
        </w:rPr>
        <w:t>GDP</w:t>
      </w:r>
      <w:r>
        <w:rPr>
          <w:spacing w:val="-12"/>
          <w:sz w:val="22"/>
        </w:rPr>
        <w:t> </w:t>
      </w:r>
      <w:r>
        <w:rPr>
          <w:spacing w:val="-2"/>
          <w:sz w:val="22"/>
        </w:rPr>
        <w:t>for </w:t>
      </w:r>
      <w:r>
        <w:rPr>
          <w:sz w:val="22"/>
        </w:rPr>
        <w:t>education overall.</w:t>
      </w:r>
    </w:p>
    <w:p>
      <w:pPr>
        <w:pStyle w:val="ListParagraph"/>
        <w:numPr>
          <w:ilvl w:val="2"/>
          <w:numId w:val="19"/>
        </w:numPr>
        <w:tabs>
          <w:tab w:pos="1439" w:val="left" w:leader="none"/>
        </w:tabs>
        <w:spacing w:line="266" w:lineRule="auto" w:before="0" w:after="0"/>
        <w:ind w:left="1439" w:right="0" w:hanging="360"/>
        <w:jc w:val="both"/>
        <w:rPr>
          <w:sz w:val="22"/>
        </w:rPr>
      </w:pPr>
      <w:r>
        <w:rPr>
          <w:sz w:val="22"/>
        </w:rPr>
        <w:t>Even this would not suffice for the </w:t>
      </w:r>
      <w:r>
        <w:rPr>
          <w:sz w:val="22"/>
        </w:rPr>
        <w:t>massive </w:t>
      </w:r>
      <w:r>
        <w:rPr>
          <w:spacing w:val="-4"/>
          <w:sz w:val="22"/>
        </w:rPr>
        <w:t>expansion</w:t>
      </w:r>
      <w:r>
        <w:rPr>
          <w:spacing w:val="-10"/>
          <w:sz w:val="22"/>
        </w:rPr>
        <w:t> </w:t>
      </w:r>
      <w:r>
        <w:rPr>
          <w:spacing w:val="-4"/>
          <w:sz w:val="22"/>
        </w:rPr>
        <w:t>in</w:t>
      </w:r>
      <w:r>
        <w:rPr>
          <w:spacing w:val="-10"/>
          <w:sz w:val="22"/>
        </w:rPr>
        <w:t> </w:t>
      </w:r>
      <w:r>
        <w:rPr>
          <w:spacing w:val="-4"/>
          <w:sz w:val="22"/>
        </w:rPr>
        <w:t>higher</w:t>
      </w:r>
      <w:r>
        <w:rPr>
          <w:spacing w:val="-10"/>
          <w:sz w:val="22"/>
        </w:rPr>
        <w:t> </w:t>
      </w:r>
      <w:r>
        <w:rPr>
          <w:spacing w:val="-4"/>
          <w:sz w:val="22"/>
        </w:rPr>
        <w:t>education</w:t>
      </w:r>
      <w:r>
        <w:rPr>
          <w:spacing w:val="-9"/>
          <w:sz w:val="22"/>
        </w:rPr>
        <w:t> </w:t>
      </w:r>
      <w:r>
        <w:rPr>
          <w:spacing w:val="-4"/>
          <w:sz w:val="22"/>
        </w:rPr>
        <w:t>that</w:t>
      </w:r>
      <w:r>
        <w:rPr>
          <w:spacing w:val="-10"/>
          <w:sz w:val="22"/>
        </w:rPr>
        <w:t> </w:t>
      </w:r>
      <w:r>
        <w:rPr>
          <w:spacing w:val="-4"/>
          <w:sz w:val="22"/>
        </w:rPr>
        <w:t>is</w:t>
      </w:r>
      <w:r>
        <w:rPr>
          <w:spacing w:val="-10"/>
          <w:sz w:val="22"/>
        </w:rPr>
        <w:t> </w:t>
      </w:r>
      <w:r>
        <w:rPr>
          <w:spacing w:val="-4"/>
          <w:sz w:val="22"/>
        </w:rPr>
        <w:t>an</w:t>
      </w:r>
      <w:r>
        <w:rPr>
          <w:spacing w:val="-10"/>
          <w:sz w:val="22"/>
        </w:rPr>
        <w:t> </w:t>
      </w:r>
      <w:r>
        <w:rPr>
          <w:spacing w:val="-4"/>
          <w:sz w:val="22"/>
        </w:rPr>
        <w:t>imperative. </w:t>
      </w:r>
      <w:r>
        <w:rPr>
          <w:spacing w:val="-2"/>
          <w:sz w:val="22"/>
        </w:rPr>
        <w:t>It</w:t>
      </w:r>
      <w:r>
        <w:rPr>
          <w:spacing w:val="-8"/>
          <w:sz w:val="22"/>
        </w:rPr>
        <w:t> </w:t>
      </w:r>
      <w:r>
        <w:rPr>
          <w:spacing w:val="-2"/>
          <w:sz w:val="22"/>
        </w:rPr>
        <w:t>is</w:t>
      </w:r>
      <w:r>
        <w:rPr>
          <w:spacing w:val="-8"/>
          <w:sz w:val="22"/>
        </w:rPr>
        <w:t> </w:t>
      </w:r>
      <w:r>
        <w:rPr>
          <w:spacing w:val="-2"/>
          <w:sz w:val="22"/>
        </w:rPr>
        <w:t>essential</w:t>
      </w:r>
      <w:r>
        <w:rPr>
          <w:spacing w:val="-8"/>
          <w:sz w:val="22"/>
        </w:rPr>
        <w:t> </w:t>
      </w:r>
      <w:r>
        <w:rPr>
          <w:spacing w:val="-2"/>
          <w:sz w:val="22"/>
        </w:rPr>
        <w:t>to</w:t>
      </w:r>
      <w:r>
        <w:rPr>
          <w:spacing w:val="-8"/>
          <w:sz w:val="22"/>
        </w:rPr>
        <w:t> </w:t>
      </w:r>
      <w:r>
        <w:rPr>
          <w:spacing w:val="-2"/>
          <w:sz w:val="22"/>
        </w:rPr>
        <w:t>explore</w:t>
      </w:r>
      <w:r>
        <w:rPr>
          <w:spacing w:val="-8"/>
          <w:sz w:val="22"/>
        </w:rPr>
        <w:t> </w:t>
      </w:r>
      <w:r>
        <w:rPr>
          <w:spacing w:val="-2"/>
          <w:sz w:val="22"/>
        </w:rPr>
        <w:t>other</w:t>
      </w:r>
      <w:r>
        <w:rPr>
          <w:spacing w:val="-8"/>
          <w:sz w:val="22"/>
        </w:rPr>
        <w:t> </w:t>
      </w:r>
      <w:r>
        <w:rPr>
          <w:spacing w:val="-2"/>
          <w:sz w:val="22"/>
        </w:rPr>
        <w:t>possibilities</w:t>
      </w:r>
      <w:r>
        <w:rPr>
          <w:spacing w:val="-8"/>
          <w:sz w:val="22"/>
        </w:rPr>
        <w:t> </w:t>
      </w:r>
      <w:r>
        <w:rPr>
          <w:spacing w:val="-2"/>
          <w:sz w:val="22"/>
        </w:rPr>
        <w:t>that</w:t>
      </w:r>
      <w:r>
        <w:rPr>
          <w:spacing w:val="-8"/>
          <w:sz w:val="22"/>
        </w:rPr>
        <w:t> </w:t>
      </w:r>
      <w:r>
        <w:rPr>
          <w:spacing w:val="-2"/>
          <w:sz w:val="22"/>
        </w:rPr>
        <w:t>can </w:t>
      </w:r>
      <w:r>
        <w:rPr>
          <w:sz w:val="22"/>
        </w:rPr>
        <w:t>complement the increase in public expenditure.</w:t>
      </w:r>
    </w:p>
    <w:p>
      <w:pPr>
        <w:pStyle w:val="ListParagraph"/>
        <w:numPr>
          <w:ilvl w:val="2"/>
          <w:numId w:val="19"/>
        </w:numPr>
        <w:tabs>
          <w:tab w:pos="1439" w:val="left" w:leader="none"/>
        </w:tabs>
        <w:spacing w:line="266" w:lineRule="auto" w:before="0" w:after="0"/>
        <w:ind w:left="1439" w:right="0" w:hanging="360"/>
        <w:jc w:val="both"/>
        <w:rPr>
          <w:sz w:val="22"/>
        </w:rPr>
      </w:pPr>
      <w:r>
        <w:rPr>
          <w:sz w:val="22"/>
        </w:rPr>
        <w:t>Most public universities are sitting on a </w:t>
      </w:r>
      <w:r>
        <w:rPr>
          <w:sz w:val="22"/>
        </w:rPr>
        <w:t>large reservoir of untapped resources in the form of land. It should be possible to draw up norms and parameters for universities to use their available land as a source of finance.</w:t>
      </w:r>
    </w:p>
    <w:p>
      <w:pPr>
        <w:pStyle w:val="ListParagraph"/>
        <w:numPr>
          <w:ilvl w:val="2"/>
          <w:numId w:val="19"/>
        </w:numPr>
        <w:tabs>
          <w:tab w:pos="1439" w:val="left" w:leader="none"/>
        </w:tabs>
        <w:spacing w:line="266" w:lineRule="auto" w:before="0" w:after="0"/>
        <w:ind w:left="1439" w:right="0" w:hanging="360"/>
        <w:jc w:val="both"/>
        <w:rPr>
          <w:sz w:val="22"/>
        </w:rPr>
      </w:pPr>
      <w:r>
        <w:rPr>
          <w:sz w:val="22"/>
        </w:rPr>
        <w:t>It is for universities to decide the level of </w:t>
      </w:r>
      <w:r>
        <w:rPr>
          <w:sz w:val="22"/>
        </w:rPr>
        <w:t>fees but, as a norm, fees should meet at least 20 per cent of the total expenditure in universities.</w:t>
      </w:r>
      <w:r>
        <w:rPr>
          <w:spacing w:val="-2"/>
          <w:sz w:val="22"/>
        </w:rPr>
        <w:t> </w:t>
      </w:r>
      <w:r>
        <w:rPr>
          <w:sz w:val="22"/>
        </w:rPr>
        <w:t>This should be subject to two conditions: first, needy </w:t>
      </w:r>
      <w:r>
        <w:rPr>
          <w:spacing w:val="-2"/>
          <w:sz w:val="22"/>
        </w:rPr>
        <w:t>students</w:t>
      </w:r>
      <w:r>
        <w:rPr>
          <w:spacing w:val="-11"/>
          <w:sz w:val="22"/>
        </w:rPr>
        <w:t> </w:t>
      </w:r>
      <w:r>
        <w:rPr>
          <w:spacing w:val="-2"/>
          <w:sz w:val="22"/>
        </w:rPr>
        <w:t>should</w:t>
      </w:r>
      <w:r>
        <w:rPr>
          <w:spacing w:val="-11"/>
          <w:sz w:val="22"/>
        </w:rPr>
        <w:t> </w:t>
      </w:r>
      <w:r>
        <w:rPr>
          <w:spacing w:val="-2"/>
          <w:sz w:val="22"/>
        </w:rPr>
        <w:t>be</w:t>
      </w:r>
      <w:r>
        <w:rPr>
          <w:spacing w:val="-11"/>
          <w:sz w:val="22"/>
        </w:rPr>
        <w:t> </w:t>
      </w:r>
      <w:r>
        <w:rPr>
          <w:spacing w:val="-2"/>
          <w:sz w:val="22"/>
        </w:rPr>
        <w:t>provided</w:t>
      </w:r>
      <w:r>
        <w:rPr>
          <w:spacing w:val="-11"/>
          <w:sz w:val="22"/>
        </w:rPr>
        <w:t> </w:t>
      </w:r>
      <w:r>
        <w:rPr>
          <w:spacing w:val="-2"/>
          <w:sz w:val="22"/>
        </w:rPr>
        <w:t>with</w:t>
      </w:r>
      <w:r>
        <w:rPr>
          <w:spacing w:val="-11"/>
          <w:sz w:val="22"/>
        </w:rPr>
        <w:t> </w:t>
      </w:r>
      <w:r>
        <w:rPr>
          <w:spacing w:val="-2"/>
          <w:sz w:val="22"/>
        </w:rPr>
        <w:t>a</w:t>
      </w:r>
      <w:r>
        <w:rPr>
          <w:spacing w:val="-11"/>
          <w:sz w:val="22"/>
        </w:rPr>
        <w:t> </w:t>
      </w:r>
      <w:r>
        <w:rPr>
          <w:spacing w:val="-2"/>
          <w:sz w:val="22"/>
        </w:rPr>
        <w:t>fee</w:t>
      </w:r>
      <w:r>
        <w:rPr>
          <w:spacing w:val="-11"/>
          <w:sz w:val="22"/>
        </w:rPr>
        <w:t> </w:t>
      </w:r>
      <w:r>
        <w:rPr>
          <w:spacing w:val="-2"/>
          <w:sz w:val="22"/>
        </w:rPr>
        <w:t>waiver</w:t>
      </w:r>
      <w:r>
        <w:rPr>
          <w:spacing w:val="-11"/>
          <w:sz w:val="22"/>
        </w:rPr>
        <w:t> </w:t>
      </w:r>
      <w:r>
        <w:rPr>
          <w:spacing w:val="-2"/>
          <w:sz w:val="22"/>
        </w:rPr>
        <w:t>plus </w:t>
      </w:r>
      <w:r>
        <w:rPr>
          <w:spacing w:val="-6"/>
          <w:sz w:val="22"/>
        </w:rPr>
        <w:t>scholarships to meet their costs; second, universities </w:t>
      </w:r>
      <w:r>
        <w:rPr>
          <w:sz w:val="22"/>
        </w:rPr>
        <w:t>should not be penalised by the UGC for the </w:t>
      </w:r>
      <w:r>
        <w:rPr>
          <w:spacing w:val="-4"/>
          <w:sz w:val="22"/>
        </w:rPr>
        <w:t>resources</w:t>
      </w:r>
      <w:r>
        <w:rPr>
          <w:spacing w:val="-10"/>
          <w:sz w:val="22"/>
        </w:rPr>
        <w:t> </w:t>
      </w:r>
      <w:r>
        <w:rPr>
          <w:spacing w:val="-4"/>
          <w:sz w:val="22"/>
        </w:rPr>
        <w:t>raised</w:t>
      </w:r>
      <w:r>
        <w:rPr>
          <w:spacing w:val="-10"/>
          <w:sz w:val="22"/>
        </w:rPr>
        <w:t> </w:t>
      </w:r>
      <w:r>
        <w:rPr>
          <w:spacing w:val="-4"/>
          <w:sz w:val="22"/>
        </w:rPr>
        <w:t>from</w:t>
      </w:r>
      <w:r>
        <w:rPr>
          <w:spacing w:val="-10"/>
          <w:sz w:val="22"/>
        </w:rPr>
        <w:t> </w:t>
      </w:r>
      <w:r>
        <w:rPr>
          <w:spacing w:val="-4"/>
          <w:sz w:val="22"/>
        </w:rPr>
        <w:t>higher</w:t>
      </w:r>
      <w:r>
        <w:rPr>
          <w:spacing w:val="-9"/>
          <w:sz w:val="22"/>
        </w:rPr>
        <w:t> </w:t>
      </w:r>
      <w:r>
        <w:rPr>
          <w:spacing w:val="-4"/>
          <w:sz w:val="22"/>
        </w:rPr>
        <w:t>fees</w:t>
      </w:r>
      <w:r>
        <w:rPr>
          <w:spacing w:val="-10"/>
          <w:sz w:val="22"/>
        </w:rPr>
        <w:t> </w:t>
      </w:r>
      <w:r>
        <w:rPr>
          <w:spacing w:val="-4"/>
          <w:sz w:val="22"/>
        </w:rPr>
        <w:t>through</w:t>
      </w:r>
      <w:r>
        <w:rPr>
          <w:spacing w:val="-10"/>
          <w:sz w:val="22"/>
        </w:rPr>
        <w:t> </w:t>
      </w:r>
      <w:r>
        <w:rPr>
          <w:spacing w:val="-4"/>
          <w:sz w:val="22"/>
        </w:rPr>
        <w:t>matching </w:t>
      </w:r>
      <w:r>
        <w:rPr>
          <w:sz w:val="22"/>
        </w:rPr>
        <w:t>deductions from their grants-in-aid.</w:t>
      </w:r>
    </w:p>
    <w:p>
      <w:pPr>
        <w:pStyle w:val="ListParagraph"/>
        <w:numPr>
          <w:ilvl w:val="2"/>
          <w:numId w:val="19"/>
        </w:numPr>
        <w:tabs>
          <w:tab w:pos="1439" w:val="left" w:leader="none"/>
        </w:tabs>
        <w:spacing w:line="266" w:lineRule="auto" w:before="0" w:after="0"/>
        <w:ind w:left="1439" w:right="0" w:hanging="360"/>
        <w:jc w:val="both"/>
        <w:rPr>
          <w:sz w:val="22"/>
        </w:rPr>
      </w:pPr>
      <w:r>
        <w:rPr>
          <w:sz w:val="22"/>
        </w:rPr>
        <w:t>India</w:t>
      </w:r>
      <w:r>
        <w:rPr>
          <w:spacing w:val="-14"/>
          <w:sz w:val="22"/>
        </w:rPr>
        <w:t> </w:t>
      </w:r>
      <w:r>
        <w:rPr>
          <w:sz w:val="22"/>
        </w:rPr>
        <w:t>should</w:t>
      </w:r>
      <w:r>
        <w:rPr>
          <w:spacing w:val="-14"/>
          <w:sz w:val="22"/>
        </w:rPr>
        <w:t> </w:t>
      </w:r>
      <w:r>
        <w:rPr>
          <w:sz w:val="22"/>
        </w:rPr>
        <w:t>nurture</w:t>
      </w:r>
      <w:r>
        <w:rPr>
          <w:spacing w:val="-13"/>
          <w:sz w:val="22"/>
        </w:rPr>
        <w:t> </w:t>
      </w:r>
      <w:r>
        <w:rPr>
          <w:sz w:val="22"/>
        </w:rPr>
        <w:t>the</w:t>
      </w:r>
      <w:r>
        <w:rPr>
          <w:spacing w:val="-14"/>
          <w:sz w:val="22"/>
        </w:rPr>
        <w:t> </w:t>
      </w:r>
      <w:r>
        <w:rPr>
          <w:sz w:val="22"/>
        </w:rPr>
        <w:t>tradition</w:t>
      </w:r>
      <w:r>
        <w:rPr>
          <w:spacing w:val="-14"/>
          <w:sz w:val="22"/>
        </w:rPr>
        <w:t> </w:t>
      </w:r>
      <w:r>
        <w:rPr>
          <w:sz w:val="22"/>
        </w:rPr>
        <w:t>of</w:t>
      </w:r>
      <w:r>
        <w:rPr>
          <w:spacing w:val="-13"/>
          <w:sz w:val="22"/>
        </w:rPr>
        <w:t> </w:t>
      </w:r>
      <w:r>
        <w:rPr>
          <w:sz w:val="22"/>
        </w:rPr>
        <w:t>philanthropic contributions through changes in incentives for universities</w:t>
      </w:r>
      <w:r>
        <w:rPr>
          <w:spacing w:val="-12"/>
          <w:sz w:val="22"/>
        </w:rPr>
        <w:t> </w:t>
      </w:r>
      <w:r>
        <w:rPr>
          <w:sz w:val="22"/>
        </w:rPr>
        <w:t>and</w:t>
      </w:r>
      <w:r>
        <w:rPr>
          <w:spacing w:val="-12"/>
          <w:sz w:val="22"/>
        </w:rPr>
        <w:t> </w:t>
      </w:r>
      <w:r>
        <w:rPr>
          <w:sz w:val="22"/>
        </w:rPr>
        <w:t>for</w:t>
      </w:r>
      <w:r>
        <w:rPr>
          <w:spacing w:val="-12"/>
          <w:sz w:val="22"/>
        </w:rPr>
        <w:t> </w:t>
      </w:r>
      <w:r>
        <w:rPr>
          <w:sz w:val="22"/>
        </w:rPr>
        <w:t>donors.</w:t>
      </w:r>
      <w:r>
        <w:rPr>
          <w:spacing w:val="-12"/>
          <w:sz w:val="22"/>
        </w:rPr>
        <w:t> </w:t>
      </w:r>
      <w:r>
        <w:rPr>
          <w:sz w:val="22"/>
        </w:rPr>
        <w:t>At</w:t>
      </w:r>
      <w:r>
        <w:rPr>
          <w:spacing w:val="-12"/>
          <w:sz w:val="22"/>
        </w:rPr>
        <w:t> </w:t>
      </w:r>
      <w:r>
        <w:rPr>
          <w:sz w:val="22"/>
        </w:rPr>
        <w:t>present,</w:t>
      </w:r>
      <w:r>
        <w:rPr>
          <w:spacing w:val="-12"/>
          <w:sz w:val="22"/>
        </w:rPr>
        <w:t> </w:t>
      </w:r>
      <w:r>
        <w:rPr>
          <w:sz w:val="22"/>
        </w:rPr>
        <w:t>there</w:t>
      </w:r>
      <w:r>
        <w:rPr>
          <w:spacing w:val="-12"/>
          <w:sz w:val="22"/>
        </w:rPr>
        <w:t> </w:t>
      </w:r>
      <w:r>
        <w:rPr>
          <w:sz w:val="22"/>
        </w:rPr>
        <w:t>is</w:t>
      </w:r>
      <w:r>
        <w:rPr>
          <w:spacing w:val="-12"/>
          <w:sz w:val="22"/>
        </w:rPr>
        <w:t> </w:t>
      </w:r>
      <w:r>
        <w:rPr>
          <w:sz w:val="22"/>
        </w:rPr>
        <w:t>an </w:t>
      </w:r>
      <w:r>
        <w:rPr>
          <w:spacing w:val="-6"/>
          <w:sz w:val="22"/>
        </w:rPr>
        <w:t>implicit disincentive in both tax laws and trust laws. </w:t>
      </w:r>
      <w:r>
        <w:rPr>
          <w:sz w:val="22"/>
        </w:rPr>
        <w:t>These</w:t>
      </w:r>
      <w:r>
        <w:rPr>
          <w:spacing w:val="-13"/>
          <w:sz w:val="22"/>
        </w:rPr>
        <w:t> </w:t>
      </w:r>
      <w:r>
        <w:rPr>
          <w:sz w:val="22"/>
        </w:rPr>
        <w:t>laws</w:t>
      </w:r>
      <w:r>
        <w:rPr>
          <w:spacing w:val="-13"/>
          <w:sz w:val="22"/>
        </w:rPr>
        <w:t> </w:t>
      </w:r>
      <w:r>
        <w:rPr>
          <w:sz w:val="22"/>
        </w:rPr>
        <w:t>should</w:t>
      </w:r>
      <w:r>
        <w:rPr>
          <w:spacing w:val="-13"/>
          <w:sz w:val="22"/>
        </w:rPr>
        <w:t> </w:t>
      </w:r>
      <w:r>
        <w:rPr>
          <w:sz w:val="22"/>
        </w:rPr>
        <w:t>be</w:t>
      </w:r>
      <w:r>
        <w:rPr>
          <w:spacing w:val="-13"/>
          <w:sz w:val="22"/>
        </w:rPr>
        <w:t> </w:t>
      </w:r>
      <w:r>
        <w:rPr>
          <w:sz w:val="22"/>
        </w:rPr>
        <w:t>changed</w:t>
      </w:r>
      <w:r>
        <w:rPr>
          <w:spacing w:val="-13"/>
          <w:sz w:val="22"/>
        </w:rPr>
        <w:t> </w:t>
      </w:r>
      <w:r>
        <w:rPr>
          <w:sz w:val="22"/>
        </w:rPr>
        <w:t>so</w:t>
      </w:r>
      <w:r>
        <w:rPr>
          <w:spacing w:val="-13"/>
          <w:sz w:val="22"/>
        </w:rPr>
        <w:t> </w:t>
      </w:r>
      <w:r>
        <w:rPr>
          <w:sz w:val="22"/>
        </w:rPr>
        <w:t>that</w:t>
      </w:r>
      <w:r>
        <w:rPr>
          <w:spacing w:val="-13"/>
          <w:sz w:val="22"/>
        </w:rPr>
        <w:t> </w:t>
      </w:r>
      <w:r>
        <w:rPr>
          <w:sz w:val="22"/>
        </w:rPr>
        <w:t>universities can</w:t>
      </w:r>
      <w:r>
        <w:rPr>
          <w:spacing w:val="-7"/>
          <w:sz w:val="22"/>
        </w:rPr>
        <w:t> </w:t>
      </w:r>
      <w:r>
        <w:rPr>
          <w:sz w:val="22"/>
        </w:rPr>
        <w:t>invest</w:t>
      </w:r>
      <w:r>
        <w:rPr>
          <w:spacing w:val="-7"/>
          <w:sz w:val="22"/>
        </w:rPr>
        <w:t> </w:t>
      </w:r>
      <w:r>
        <w:rPr>
          <w:sz w:val="22"/>
        </w:rPr>
        <w:t>in</w:t>
      </w:r>
      <w:r>
        <w:rPr>
          <w:spacing w:val="-7"/>
          <w:sz w:val="22"/>
        </w:rPr>
        <w:t> </w:t>
      </w:r>
      <w:r>
        <w:rPr>
          <w:sz w:val="22"/>
        </w:rPr>
        <w:t>financial</w:t>
      </w:r>
      <w:r>
        <w:rPr>
          <w:spacing w:val="-7"/>
          <w:sz w:val="22"/>
        </w:rPr>
        <w:t> </w:t>
      </w:r>
      <w:r>
        <w:rPr>
          <w:sz w:val="22"/>
        </w:rPr>
        <w:t>instruments</w:t>
      </w:r>
      <w:r>
        <w:rPr>
          <w:spacing w:val="-7"/>
          <w:sz w:val="22"/>
        </w:rPr>
        <w:t> </w:t>
      </w:r>
      <w:r>
        <w:rPr>
          <w:sz w:val="22"/>
        </w:rPr>
        <w:t>of</w:t>
      </w:r>
      <w:r>
        <w:rPr>
          <w:spacing w:val="-7"/>
          <w:sz w:val="22"/>
        </w:rPr>
        <w:t> </w:t>
      </w:r>
      <w:r>
        <w:rPr>
          <w:sz w:val="22"/>
        </w:rPr>
        <w:t>their</w:t>
      </w:r>
      <w:r>
        <w:rPr>
          <w:spacing w:val="-7"/>
          <w:sz w:val="22"/>
        </w:rPr>
        <w:t> </w:t>
      </w:r>
      <w:r>
        <w:rPr>
          <w:sz w:val="22"/>
        </w:rPr>
        <w:t>choice and use the income from their endowments to build up a corpus.</w:t>
      </w:r>
    </w:p>
    <w:p>
      <w:pPr>
        <w:pStyle w:val="ListParagraph"/>
        <w:numPr>
          <w:ilvl w:val="2"/>
          <w:numId w:val="19"/>
        </w:numPr>
        <w:tabs>
          <w:tab w:pos="1439" w:val="left" w:leader="none"/>
        </w:tabs>
        <w:spacing w:line="266" w:lineRule="auto" w:before="0" w:after="0"/>
        <w:ind w:left="1439" w:right="0" w:hanging="360"/>
        <w:jc w:val="both"/>
        <w:rPr>
          <w:sz w:val="22"/>
        </w:rPr>
      </w:pPr>
      <w:r>
        <w:rPr>
          <w:sz w:val="22"/>
        </w:rPr>
        <w:t>Universities</w:t>
      </w:r>
      <w:r>
        <w:rPr>
          <w:spacing w:val="-6"/>
          <w:sz w:val="22"/>
        </w:rPr>
        <w:t> </w:t>
      </w:r>
      <w:r>
        <w:rPr>
          <w:sz w:val="22"/>
        </w:rPr>
        <w:t>should</w:t>
      </w:r>
      <w:r>
        <w:rPr>
          <w:spacing w:val="-6"/>
          <w:sz w:val="22"/>
        </w:rPr>
        <w:t> </w:t>
      </w:r>
      <w:r>
        <w:rPr>
          <w:sz w:val="22"/>
        </w:rPr>
        <w:t>also</w:t>
      </w:r>
      <w:r>
        <w:rPr>
          <w:spacing w:val="-6"/>
          <w:sz w:val="22"/>
        </w:rPr>
        <w:t> </w:t>
      </w:r>
      <w:r>
        <w:rPr>
          <w:sz w:val="22"/>
        </w:rPr>
        <w:t>seek</w:t>
      </w:r>
      <w:r>
        <w:rPr>
          <w:spacing w:val="-6"/>
          <w:sz w:val="22"/>
        </w:rPr>
        <w:t> </w:t>
      </w:r>
      <w:r>
        <w:rPr>
          <w:sz w:val="22"/>
        </w:rPr>
        <w:t>to</w:t>
      </w:r>
      <w:r>
        <w:rPr>
          <w:spacing w:val="-6"/>
          <w:sz w:val="22"/>
        </w:rPr>
        <w:t> </w:t>
      </w:r>
      <w:r>
        <w:rPr>
          <w:sz w:val="22"/>
        </w:rPr>
        <w:t>tap</w:t>
      </w:r>
      <w:r>
        <w:rPr>
          <w:spacing w:val="-6"/>
          <w:sz w:val="22"/>
        </w:rPr>
        <w:t> </w:t>
      </w:r>
      <w:r>
        <w:rPr>
          <w:sz w:val="22"/>
        </w:rPr>
        <w:t>other</w:t>
      </w:r>
      <w:r>
        <w:rPr>
          <w:spacing w:val="-6"/>
          <w:sz w:val="22"/>
        </w:rPr>
        <w:t> </w:t>
      </w:r>
      <w:r>
        <w:rPr>
          <w:sz w:val="22"/>
        </w:rPr>
        <w:t>sources such as alumni contributions and licensing fees. There is need to create supportive institutional mechanisms that allow universities to engage professional firms for this purpose.</w:t>
      </w:r>
    </w:p>
    <w:p>
      <w:pPr>
        <w:pStyle w:val="ListParagraph"/>
        <w:numPr>
          <w:ilvl w:val="2"/>
          <w:numId w:val="19"/>
        </w:numPr>
        <w:tabs>
          <w:tab w:pos="1439" w:val="left" w:leader="none"/>
        </w:tabs>
        <w:spacing w:line="266" w:lineRule="auto" w:before="0" w:after="0"/>
        <w:ind w:left="1439" w:right="0" w:hanging="360"/>
        <w:jc w:val="both"/>
        <w:rPr>
          <w:sz w:val="22"/>
        </w:rPr>
      </w:pPr>
      <w:r>
        <w:rPr>
          <w:sz w:val="22"/>
        </w:rPr>
        <w:t>It is essential to stimulate private investment </w:t>
      </w:r>
      <w:r>
        <w:rPr>
          <w:sz w:val="22"/>
        </w:rPr>
        <w:t>in education</w:t>
      </w:r>
      <w:r>
        <w:rPr>
          <w:spacing w:val="33"/>
          <w:sz w:val="22"/>
        </w:rPr>
        <w:t> </w:t>
      </w:r>
      <w:r>
        <w:rPr>
          <w:sz w:val="22"/>
        </w:rPr>
        <w:t>as</w:t>
      </w:r>
      <w:r>
        <w:rPr>
          <w:spacing w:val="33"/>
          <w:sz w:val="22"/>
        </w:rPr>
        <w:t> </w:t>
      </w:r>
      <w:r>
        <w:rPr>
          <w:sz w:val="22"/>
        </w:rPr>
        <w:t>a</w:t>
      </w:r>
      <w:r>
        <w:rPr>
          <w:spacing w:val="33"/>
          <w:sz w:val="22"/>
        </w:rPr>
        <w:t> </w:t>
      </w:r>
      <w:r>
        <w:rPr>
          <w:sz w:val="22"/>
        </w:rPr>
        <w:t>means</w:t>
      </w:r>
      <w:r>
        <w:rPr>
          <w:spacing w:val="33"/>
          <w:sz w:val="22"/>
        </w:rPr>
        <w:t> </w:t>
      </w:r>
      <w:r>
        <w:rPr>
          <w:sz w:val="22"/>
        </w:rPr>
        <w:t>of</w:t>
      </w:r>
      <w:r>
        <w:rPr>
          <w:spacing w:val="33"/>
          <w:sz w:val="22"/>
        </w:rPr>
        <w:t> </w:t>
      </w:r>
      <w:r>
        <w:rPr>
          <w:sz w:val="22"/>
        </w:rPr>
        <w:t>extending</w:t>
      </w:r>
      <w:r>
        <w:rPr>
          <w:spacing w:val="33"/>
          <w:sz w:val="22"/>
        </w:rPr>
        <w:t> </w:t>
      </w:r>
      <w:r>
        <w:rPr>
          <w:sz w:val="22"/>
        </w:rPr>
        <w:t>educational</w:t>
      </w:r>
    </w:p>
    <w:p>
      <w:pPr>
        <w:pStyle w:val="BodyText"/>
        <w:spacing w:line="266" w:lineRule="auto" w:before="57"/>
        <w:ind w:left="679" w:right="1077"/>
        <w:jc w:val="both"/>
      </w:pPr>
      <w:r>
        <w:rPr/>
        <w:br w:type="column"/>
      </w:r>
      <w:r>
        <w:rPr>
          <w:spacing w:val="-4"/>
        </w:rPr>
        <w:t>opportunities.</w:t>
      </w:r>
      <w:r>
        <w:rPr>
          <w:spacing w:val="-5"/>
        </w:rPr>
        <w:t> </w:t>
      </w:r>
      <w:r>
        <w:rPr>
          <w:spacing w:val="-4"/>
        </w:rPr>
        <w:t>It</w:t>
      </w:r>
      <w:r>
        <w:rPr>
          <w:spacing w:val="-5"/>
        </w:rPr>
        <w:t> </w:t>
      </w:r>
      <w:r>
        <w:rPr>
          <w:spacing w:val="-4"/>
        </w:rPr>
        <w:t>may</w:t>
      </w:r>
      <w:r>
        <w:rPr>
          <w:spacing w:val="-5"/>
        </w:rPr>
        <w:t> </w:t>
      </w:r>
      <w:r>
        <w:rPr>
          <w:spacing w:val="-4"/>
        </w:rPr>
        <w:t>be</w:t>
      </w:r>
      <w:r>
        <w:rPr>
          <w:spacing w:val="-5"/>
        </w:rPr>
        <w:t> </w:t>
      </w:r>
      <w:r>
        <w:rPr>
          <w:spacing w:val="-4"/>
        </w:rPr>
        <w:t>possible</w:t>
      </w:r>
      <w:r>
        <w:rPr>
          <w:spacing w:val="-5"/>
        </w:rPr>
        <w:t> </w:t>
      </w:r>
      <w:r>
        <w:rPr>
          <w:spacing w:val="-4"/>
        </w:rPr>
        <w:t>to</w:t>
      </w:r>
      <w:r>
        <w:rPr>
          <w:spacing w:val="-5"/>
        </w:rPr>
        <w:t> </w:t>
      </w:r>
      <w:r>
        <w:rPr>
          <w:spacing w:val="-4"/>
        </w:rPr>
        <w:t>leverage</w:t>
      </w:r>
      <w:r>
        <w:rPr>
          <w:spacing w:val="-5"/>
        </w:rPr>
        <w:t> </w:t>
      </w:r>
      <w:r>
        <w:rPr>
          <w:spacing w:val="-4"/>
        </w:rPr>
        <w:t>public </w:t>
      </w:r>
      <w:r>
        <w:rPr/>
        <w:t>resources,</w:t>
      </w:r>
      <w:r>
        <w:rPr>
          <w:spacing w:val="-13"/>
        </w:rPr>
        <w:t> </w:t>
      </w:r>
      <w:r>
        <w:rPr/>
        <w:t>especially</w:t>
      </w:r>
      <w:r>
        <w:rPr>
          <w:spacing w:val="-13"/>
        </w:rPr>
        <w:t> </w:t>
      </w:r>
      <w:r>
        <w:rPr/>
        <w:t>in</w:t>
      </w:r>
      <w:r>
        <w:rPr>
          <w:spacing w:val="-13"/>
        </w:rPr>
        <w:t> </w:t>
      </w:r>
      <w:r>
        <w:rPr/>
        <w:t>the</w:t>
      </w:r>
      <w:r>
        <w:rPr>
          <w:spacing w:val="-13"/>
        </w:rPr>
        <w:t> </w:t>
      </w:r>
      <w:r>
        <w:rPr/>
        <w:t>form</w:t>
      </w:r>
      <w:r>
        <w:rPr>
          <w:spacing w:val="-13"/>
        </w:rPr>
        <w:t> </w:t>
      </w:r>
      <w:r>
        <w:rPr/>
        <w:t>of</w:t>
      </w:r>
      <w:r>
        <w:rPr>
          <w:spacing w:val="-13"/>
        </w:rPr>
        <w:t> </w:t>
      </w:r>
      <w:r>
        <w:rPr/>
        <w:t>land</w:t>
      </w:r>
      <w:r>
        <w:rPr>
          <w:spacing w:val="-13"/>
        </w:rPr>
        <w:t> </w:t>
      </w:r>
      <w:r>
        <w:rPr/>
        <w:t>grants,</w:t>
      </w:r>
      <w:r>
        <w:rPr>
          <w:spacing w:val="-13"/>
        </w:rPr>
        <w:t> </w:t>
      </w:r>
      <w:r>
        <w:rPr/>
        <w:t>to attract more (not-for-profit) private investment.</w:t>
      </w:r>
    </w:p>
    <w:p>
      <w:pPr>
        <w:pStyle w:val="Heading7"/>
        <w:numPr>
          <w:ilvl w:val="0"/>
          <w:numId w:val="14"/>
        </w:numPr>
        <w:tabs>
          <w:tab w:pos="583" w:val="left" w:leader="none"/>
        </w:tabs>
        <w:spacing w:line="240" w:lineRule="auto" w:before="241" w:after="0"/>
        <w:ind w:left="583" w:right="0" w:hanging="264"/>
        <w:jc w:val="left"/>
        <w:rPr>
          <w:color w:val="2E614A"/>
        </w:rPr>
      </w:pPr>
      <w:r>
        <w:rPr>
          <w:color w:val="2E614A"/>
          <w:spacing w:val="-8"/>
        </w:rPr>
        <w:t>Establish</w:t>
      </w:r>
      <w:r>
        <w:rPr>
          <w:color w:val="2E614A"/>
          <w:spacing w:val="1"/>
        </w:rPr>
        <w:t> </w:t>
      </w:r>
      <w:r>
        <w:rPr>
          <w:color w:val="2E614A"/>
          <w:spacing w:val="-8"/>
        </w:rPr>
        <w:t>50</w:t>
      </w:r>
      <w:r>
        <w:rPr>
          <w:color w:val="2E614A"/>
          <w:spacing w:val="1"/>
        </w:rPr>
        <w:t> </w:t>
      </w:r>
      <w:r>
        <w:rPr>
          <w:color w:val="2E614A"/>
          <w:spacing w:val="-8"/>
        </w:rPr>
        <w:t>National</w:t>
      </w:r>
      <w:r>
        <w:rPr>
          <w:color w:val="2E614A"/>
          <w:spacing w:val="1"/>
        </w:rPr>
        <w:t> </w:t>
      </w:r>
      <w:r>
        <w:rPr>
          <w:color w:val="2E614A"/>
          <w:spacing w:val="-8"/>
        </w:rPr>
        <w:t>Universities</w:t>
      </w:r>
    </w:p>
    <w:p>
      <w:pPr>
        <w:pStyle w:val="BodyText"/>
        <w:spacing w:line="266" w:lineRule="auto" w:before="298"/>
        <w:ind w:left="319" w:right="1077"/>
        <w:jc w:val="both"/>
      </w:pPr>
      <w:r>
        <w:rPr/>
        <w:t>NKC recommends the creation of 50 National Universities</w:t>
      </w:r>
      <w:r>
        <w:rPr>
          <w:spacing w:val="-6"/>
        </w:rPr>
        <w:t> </w:t>
      </w:r>
      <w:r>
        <w:rPr/>
        <w:t>that</w:t>
      </w:r>
      <w:r>
        <w:rPr>
          <w:spacing w:val="-6"/>
        </w:rPr>
        <w:t> </w:t>
      </w:r>
      <w:r>
        <w:rPr/>
        <w:t>can</w:t>
      </w:r>
      <w:r>
        <w:rPr>
          <w:spacing w:val="-6"/>
        </w:rPr>
        <w:t> </w:t>
      </w:r>
      <w:r>
        <w:rPr/>
        <w:t>provide</w:t>
      </w:r>
      <w:r>
        <w:rPr>
          <w:spacing w:val="-6"/>
        </w:rPr>
        <w:t> </w:t>
      </w:r>
      <w:r>
        <w:rPr/>
        <w:t>education</w:t>
      </w:r>
      <w:r>
        <w:rPr>
          <w:spacing w:val="-6"/>
        </w:rPr>
        <w:t> </w:t>
      </w:r>
      <w:r>
        <w:rPr/>
        <w:t>of</w:t>
      </w:r>
      <w:r>
        <w:rPr>
          <w:spacing w:val="-6"/>
        </w:rPr>
        <w:t> </w:t>
      </w:r>
      <w:r>
        <w:rPr/>
        <w:t>the</w:t>
      </w:r>
      <w:r>
        <w:rPr>
          <w:spacing w:val="-6"/>
        </w:rPr>
        <w:t> </w:t>
      </w:r>
      <w:r>
        <w:rPr/>
        <w:t>highest standard. As exemplars for the rest of the nation, these</w:t>
      </w:r>
      <w:r>
        <w:rPr>
          <w:spacing w:val="36"/>
        </w:rPr>
        <w:t> </w:t>
      </w:r>
      <w:r>
        <w:rPr/>
        <w:t>universities</w:t>
      </w:r>
      <w:r>
        <w:rPr>
          <w:spacing w:val="36"/>
        </w:rPr>
        <w:t> </w:t>
      </w:r>
      <w:r>
        <w:rPr/>
        <w:t>would</w:t>
      </w:r>
      <w:r>
        <w:rPr>
          <w:spacing w:val="36"/>
        </w:rPr>
        <w:t> </w:t>
      </w:r>
      <w:r>
        <w:rPr/>
        <w:t>train</w:t>
      </w:r>
      <w:r>
        <w:rPr>
          <w:spacing w:val="36"/>
        </w:rPr>
        <w:t> </w:t>
      </w:r>
      <w:r>
        <w:rPr/>
        <w:t>students</w:t>
      </w:r>
      <w:r>
        <w:rPr>
          <w:spacing w:val="36"/>
        </w:rPr>
        <w:t> </w:t>
      </w:r>
      <w:r>
        <w:rPr/>
        <w:t>in</w:t>
      </w:r>
      <w:r>
        <w:rPr>
          <w:spacing w:val="36"/>
        </w:rPr>
        <w:t> </w:t>
      </w:r>
      <w:r>
        <w:rPr/>
        <w:t>a</w:t>
      </w:r>
      <w:r>
        <w:rPr>
          <w:spacing w:val="36"/>
        </w:rPr>
        <w:t> </w:t>
      </w:r>
      <w:r>
        <w:rPr/>
        <w:t>variety of disciplines, including humanities, social sciences, </w:t>
      </w:r>
      <w:r>
        <w:rPr>
          <w:spacing w:val="-2"/>
        </w:rPr>
        <w:t>basic</w:t>
      </w:r>
      <w:r>
        <w:rPr>
          <w:spacing w:val="-8"/>
        </w:rPr>
        <w:t> </w:t>
      </w:r>
      <w:r>
        <w:rPr>
          <w:spacing w:val="-2"/>
        </w:rPr>
        <w:t>sciences,</w:t>
      </w:r>
      <w:r>
        <w:rPr>
          <w:spacing w:val="-8"/>
        </w:rPr>
        <w:t> </w:t>
      </w:r>
      <w:r>
        <w:rPr>
          <w:spacing w:val="-2"/>
        </w:rPr>
        <w:t>commerce</w:t>
      </w:r>
      <w:r>
        <w:rPr>
          <w:spacing w:val="-8"/>
        </w:rPr>
        <w:t> </w:t>
      </w:r>
      <w:r>
        <w:rPr>
          <w:spacing w:val="-2"/>
        </w:rPr>
        <w:t>and</w:t>
      </w:r>
      <w:r>
        <w:rPr>
          <w:spacing w:val="-8"/>
        </w:rPr>
        <w:t> </w:t>
      </w:r>
      <w:r>
        <w:rPr>
          <w:spacing w:val="-2"/>
        </w:rPr>
        <w:t>professional</w:t>
      </w:r>
      <w:r>
        <w:rPr>
          <w:spacing w:val="-8"/>
        </w:rPr>
        <w:t> </w:t>
      </w:r>
      <w:r>
        <w:rPr>
          <w:spacing w:val="-2"/>
        </w:rPr>
        <w:t>subjects,</w:t>
      </w:r>
      <w:r>
        <w:rPr>
          <w:spacing w:val="-8"/>
        </w:rPr>
        <w:t> </w:t>
      </w:r>
      <w:r>
        <w:rPr>
          <w:spacing w:val="-2"/>
        </w:rPr>
        <w:t>at </w:t>
      </w:r>
      <w:r>
        <w:rPr/>
        <w:t>both</w:t>
      </w:r>
      <w:r>
        <w:rPr>
          <w:spacing w:val="-1"/>
        </w:rPr>
        <w:t> </w:t>
      </w:r>
      <w:r>
        <w:rPr/>
        <w:t>the</w:t>
      </w:r>
      <w:r>
        <w:rPr>
          <w:spacing w:val="-1"/>
        </w:rPr>
        <w:t> </w:t>
      </w:r>
      <w:r>
        <w:rPr/>
        <w:t>undergraduate</w:t>
      </w:r>
      <w:r>
        <w:rPr>
          <w:spacing w:val="-1"/>
        </w:rPr>
        <w:t> </w:t>
      </w:r>
      <w:r>
        <w:rPr/>
        <w:t>and</w:t>
      </w:r>
      <w:r>
        <w:rPr>
          <w:spacing w:val="-1"/>
        </w:rPr>
        <w:t> </w:t>
      </w:r>
      <w:r>
        <w:rPr/>
        <w:t>post-graduate</w:t>
      </w:r>
      <w:r>
        <w:rPr>
          <w:spacing w:val="-1"/>
        </w:rPr>
        <w:t> </w:t>
      </w:r>
      <w:r>
        <w:rPr/>
        <w:t>levels.</w:t>
      </w:r>
      <w:r>
        <w:rPr>
          <w:spacing w:val="-9"/>
        </w:rPr>
        <w:t> </w:t>
      </w:r>
      <w:r>
        <w:rPr/>
        <w:t>The number</w:t>
      </w:r>
      <w:r>
        <w:rPr>
          <w:spacing w:val="-12"/>
        </w:rPr>
        <w:t> </w:t>
      </w:r>
      <w:r>
        <w:rPr/>
        <w:t>50</w:t>
      </w:r>
      <w:r>
        <w:rPr>
          <w:spacing w:val="-12"/>
        </w:rPr>
        <w:t> </w:t>
      </w:r>
      <w:r>
        <w:rPr/>
        <w:t>is</w:t>
      </w:r>
      <w:r>
        <w:rPr>
          <w:spacing w:val="-12"/>
        </w:rPr>
        <w:t> </w:t>
      </w:r>
      <w:r>
        <w:rPr/>
        <w:t>a</w:t>
      </w:r>
      <w:r>
        <w:rPr>
          <w:spacing w:val="-12"/>
        </w:rPr>
        <w:t> </w:t>
      </w:r>
      <w:r>
        <w:rPr/>
        <w:t>long-term</w:t>
      </w:r>
      <w:r>
        <w:rPr>
          <w:spacing w:val="-12"/>
        </w:rPr>
        <w:t> </w:t>
      </w:r>
      <w:r>
        <w:rPr/>
        <w:t>objective.</w:t>
      </w:r>
      <w:r>
        <w:rPr>
          <w:spacing w:val="-12"/>
        </w:rPr>
        <w:t> </w:t>
      </w:r>
      <w:r>
        <w:rPr/>
        <w:t>In</w:t>
      </w:r>
      <w:r>
        <w:rPr>
          <w:spacing w:val="-12"/>
        </w:rPr>
        <w:t> </w:t>
      </w:r>
      <w:r>
        <w:rPr/>
        <w:t>the</w:t>
      </w:r>
      <w:r>
        <w:rPr>
          <w:spacing w:val="-12"/>
        </w:rPr>
        <w:t> </w:t>
      </w:r>
      <w:r>
        <w:rPr/>
        <w:t>short</w:t>
      </w:r>
      <w:r>
        <w:rPr>
          <w:spacing w:val="-12"/>
        </w:rPr>
        <w:t> </w:t>
      </w:r>
      <w:r>
        <w:rPr/>
        <w:t>run,</w:t>
      </w:r>
      <w:r>
        <w:rPr>
          <w:spacing w:val="-12"/>
        </w:rPr>
        <w:t> </w:t>
      </w:r>
      <w:r>
        <w:rPr/>
        <w:t>it is</w:t>
      </w:r>
      <w:r>
        <w:rPr>
          <w:spacing w:val="-10"/>
        </w:rPr>
        <w:t> </w:t>
      </w:r>
      <w:r>
        <w:rPr/>
        <w:t>important</w:t>
      </w:r>
      <w:r>
        <w:rPr>
          <w:spacing w:val="-10"/>
        </w:rPr>
        <w:t> </w:t>
      </w:r>
      <w:r>
        <w:rPr/>
        <w:t>to</w:t>
      </w:r>
      <w:r>
        <w:rPr>
          <w:spacing w:val="-10"/>
        </w:rPr>
        <w:t> </w:t>
      </w:r>
      <w:r>
        <w:rPr/>
        <w:t>begin</w:t>
      </w:r>
      <w:r>
        <w:rPr>
          <w:spacing w:val="-10"/>
        </w:rPr>
        <w:t> </w:t>
      </w:r>
      <w:r>
        <w:rPr/>
        <w:t>with</w:t>
      </w:r>
      <w:r>
        <w:rPr>
          <w:spacing w:val="-10"/>
        </w:rPr>
        <w:t> </w:t>
      </w:r>
      <w:r>
        <w:rPr/>
        <w:t>at</w:t>
      </w:r>
      <w:r>
        <w:rPr>
          <w:spacing w:val="-10"/>
        </w:rPr>
        <w:t> </w:t>
      </w:r>
      <w:r>
        <w:rPr/>
        <w:t>least</w:t>
      </w:r>
      <w:r>
        <w:rPr>
          <w:spacing w:val="-10"/>
        </w:rPr>
        <w:t> </w:t>
      </w:r>
      <w:r>
        <w:rPr/>
        <w:t>10</w:t>
      </w:r>
      <w:r>
        <w:rPr>
          <w:spacing w:val="-10"/>
        </w:rPr>
        <w:t> </w:t>
      </w:r>
      <w:r>
        <w:rPr/>
        <w:t>such</w:t>
      </w:r>
      <w:r>
        <w:rPr>
          <w:spacing w:val="-10"/>
        </w:rPr>
        <w:t> </w:t>
      </w:r>
      <w:r>
        <w:rPr/>
        <w:t>universities in</w:t>
      </w:r>
      <w:r>
        <w:rPr>
          <w:spacing w:val="40"/>
        </w:rPr>
        <w:t> </w:t>
      </w:r>
      <w:r>
        <w:rPr/>
        <w:t>the</w:t>
      </w:r>
      <w:r>
        <w:rPr>
          <w:spacing w:val="40"/>
        </w:rPr>
        <w:t> </w:t>
      </w:r>
      <w:r>
        <w:rPr/>
        <w:t>next</w:t>
      </w:r>
      <w:r>
        <w:rPr>
          <w:spacing w:val="40"/>
        </w:rPr>
        <w:t> </w:t>
      </w:r>
      <w:r>
        <w:rPr/>
        <w:t>three</w:t>
      </w:r>
      <w:r>
        <w:rPr>
          <w:spacing w:val="40"/>
        </w:rPr>
        <w:t> </w:t>
      </w:r>
      <w:r>
        <w:rPr/>
        <w:t>years.</w:t>
      </w:r>
      <w:r>
        <w:rPr>
          <w:spacing w:val="40"/>
        </w:rPr>
        <w:t> </w:t>
      </w:r>
      <w:r>
        <w:rPr/>
        <w:t>National</w:t>
      </w:r>
      <w:r>
        <w:rPr>
          <w:spacing w:val="40"/>
        </w:rPr>
        <w:t> </w:t>
      </w:r>
      <w:r>
        <w:rPr/>
        <w:t>Universities</w:t>
      </w:r>
      <w:r>
        <w:rPr>
          <w:spacing w:val="40"/>
        </w:rPr>
        <w:t> </w:t>
      </w:r>
      <w:r>
        <w:rPr/>
        <w:t>can be established in two ways, by the Government, or</w:t>
      </w:r>
      <w:r>
        <w:rPr>
          <w:spacing w:val="40"/>
        </w:rPr>
        <w:t> </w:t>
      </w:r>
      <w:r>
        <w:rPr/>
        <w:t>by a private sponsoring body that sets up a society, charitable trust or Section 25 company.</w:t>
      </w:r>
    </w:p>
    <w:p>
      <w:pPr>
        <w:pStyle w:val="BodyText"/>
        <w:spacing w:before="16"/>
      </w:pPr>
    </w:p>
    <w:p>
      <w:pPr>
        <w:pStyle w:val="BodyText"/>
        <w:spacing w:line="266" w:lineRule="auto"/>
        <w:ind w:left="319" w:right="1077"/>
        <w:jc w:val="both"/>
      </w:pPr>
      <w:r>
        <w:rPr/>
        <w:t>Since public finance is an integral constituent of universities worldwide, most of the new universities shall need significant initial financial support from the Government. Each university may be endowed with a substantial allocation of public land, in excess of its spatial requirements. The excess land can be a subsequent source of income generation. Exceptions </w:t>
      </w:r>
      <w:r>
        <w:rPr>
          <w:w w:val="90"/>
        </w:rPr>
        <w:t>need to be made in existing income tax laws to encourage </w:t>
      </w:r>
      <w:r>
        <w:rPr/>
        <w:t>large endowments.</w:t>
      </w:r>
      <w:r>
        <w:rPr>
          <w:spacing w:val="-3"/>
        </w:rPr>
        <w:t> </w:t>
      </w:r>
      <w:r>
        <w:rPr/>
        <w:t>There should be no restriction on the utilisation of income in any given period or in</w:t>
      </w:r>
      <w:r>
        <w:rPr>
          <w:spacing w:val="80"/>
        </w:rPr>
        <w:t> </w:t>
      </w:r>
      <w:r>
        <w:rPr/>
        <w:t>the use of appropriate financial instruments. These universities should have the autonomy to set student fee levels and tap other sources for generating funds.</w:t>
      </w:r>
    </w:p>
    <w:p>
      <w:pPr>
        <w:pStyle w:val="BodyText"/>
        <w:spacing w:before="17"/>
      </w:pPr>
    </w:p>
    <w:p>
      <w:pPr>
        <w:pStyle w:val="BodyText"/>
        <w:spacing w:line="266" w:lineRule="auto"/>
        <w:ind w:left="319" w:right="1077"/>
        <w:jc w:val="both"/>
      </w:pPr>
      <w:r>
        <w:rPr/>
        <w:t>The</w:t>
      </w:r>
      <w:r>
        <w:rPr>
          <w:spacing w:val="-6"/>
        </w:rPr>
        <w:t> </w:t>
      </w:r>
      <w:r>
        <w:rPr/>
        <w:t>National</w:t>
      </w:r>
      <w:r>
        <w:rPr>
          <w:spacing w:val="-6"/>
        </w:rPr>
        <w:t> </w:t>
      </w:r>
      <w:r>
        <w:rPr/>
        <w:t>Universities,</w:t>
      </w:r>
      <w:r>
        <w:rPr>
          <w:spacing w:val="-6"/>
        </w:rPr>
        <w:t> </w:t>
      </w:r>
      <w:r>
        <w:rPr/>
        <w:t>NKC</w:t>
      </w:r>
      <w:r>
        <w:rPr>
          <w:spacing w:val="-6"/>
        </w:rPr>
        <w:t> </w:t>
      </w:r>
      <w:r>
        <w:rPr/>
        <w:t>proposes,</w:t>
      </w:r>
      <w:r>
        <w:rPr>
          <w:spacing w:val="-6"/>
        </w:rPr>
        <w:t> </w:t>
      </w:r>
      <w:r>
        <w:rPr/>
        <w:t>will</w:t>
      </w:r>
      <w:r>
        <w:rPr>
          <w:spacing w:val="-6"/>
        </w:rPr>
        <w:t> </w:t>
      </w:r>
      <w:r>
        <w:rPr/>
        <w:t>admit students on an all-India basis. They will adopt the principle</w:t>
      </w:r>
      <w:r>
        <w:rPr>
          <w:spacing w:val="-8"/>
        </w:rPr>
        <w:t> </w:t>
      </w:r>
      <w:r>
        <w:rPr/>
        <w:t>of</w:t>
      </w:r>
      <w:r>
        <w:rPr>
          <w:spacing w:val="-8"/>
        </w:rPr>
        <w:t> </w:t>
      </w:r>
      <w:r>
        <w:rPr>
          <w:i/>
        </w:rPr>
        <w:t>needs-blind</w:t>
      </w:r>
      <w:r>
        <w:rPr>
          <w:i/>
          <w:spacing w:val="-8"/>
        </w:rPr>
        <w:t> </w:t>
      </w:r>
      <w:r>
        <w:rPr>
          <w:i/>
        </w:rPr>
        <w:t>admissions.</w:t>
      </w:r>
      <w:r>
        <w:rPr>
          <w:i/>
          <w:spacing w:val="-12"/>
        </w:rPr>
        <w:t> </w:t>
      </w:r>
      <w:r>
        <w:rPr/>
        <w:t>This</w:t>
      </w:r>
      <w:r>
        <w:rPr>
          <w:spacing w:val="-8"/>
        </w:rPr>
        <w:t> </w:t>
      </w:r>
      <w:r>
        <w:rPr/>
        <w:t>will</w:t>
      </w:r>
      <w:r>
        <w:rPr>
          <w:spacing w:val="-8"/>
        </w:rPr>
        <w:t> </w:t>
      </w:r>
      <w:r>
        <w:rPr/>
        <w:t>require </w:t>
      </w:r>
      <w:r>
        <w:rPr>
          <w:spacing w:val="-2"/>
        </w:rPr>
        <w:t>an</w:t>
      </w:r>
      <w:r>
        <w:rPr>
          <w:spacing w:val="-12"/>
        </w:rPr>
        <w:t> </w:t>
      </w:r>
      <w:r>
        <w:rPr>
          <w:spacing w:val="-2"/>
        </w:rPr>
        <w:t>extensive</w:t>
      </w:r>
      <w:r>
        <w:rPr>
          <w:spacing w:val="-12"/>
        </w:rPr>
        <w:t> </w:t>
      </w:r>
      <w:r>
        <w:rPr>
          <w:spacing w:val="-2"/>
        </w:rPr>
        <w:t>system</w:t>
      </w:r>
      <w:r>
        <w:rPr>
          <w:spacing w:val="-12"/>
        </w:rPr>
        <w:t> </w:t>
      </w:r>
      <w:r>
        <w:rPr>
          <w:spacing w:val="-2"/>
        </w:rPr>
        <w:t>of</w:t>
      </w:r>
      <w:r>
        <w:rPr>
          <w:spacing w:val="-11"/>
        </w:rPr>
        <w:t> </w:t>
      </w:r>
      <w:r>
        <w:rPr>
          <w:spacing w:val="-2"/>
        </w:rPr>
        <w:t>scholarships</w:t>
      </w:r>
      <w:r>
        <w:rPr>
          <w:spacing w:val="-12"/>
        </w:rPr>
        <w:t> </w:t>
      </w:r>
      <w:r>
        <w:rPr>
          <w:spacing w:val="-2"/>
        </w:rPr>
        <w:t>for</w:t>
      </w:r>
      <w:r>
        <w:rPr>
          <w:spacing w:val="-12"/>
        </w:rPr>
        <w:t> </w:t>
      </w:r>
      <w:r>
        <w:rPr>
          <w:spacing w:val="-2"/>
        </w:rPr>
        <w:t>needy</w:t>
      </w:r>
      <w:r>
        <w:rPr>
          <w:spacing w:val="-12"/>
        </w:rPr>
        <w:t> </w:t>
      </w:r>
      <w:r>
        <w:rPr>
          <w:spacing w:val="-2"/>
        </w:rPr>
        <w:t>students. Undergraduate</w:t>
      </w:r>
      <w:r>
        <w:rPr>
          <w:spacing w:val="-7"/>
        </w:rPr>
        <w:t> </w:t>
      </w:r>
      <w:r>
        <w:rPr>
          <w:spacing w:val="-2"/>
        </w:rPr>
        <w:t>degrees</w:t>
      </w:r>
      <w:r>
        <w:rPr>
          <w:spacing w:val="-7"/>
        </w:rPr>
        <w:t> </w:t>
      </w:r>
      <w:r>
        <w:rPr>
          <w:spacing w:val="-2"/>
        </w:rPr>
        <w:t>in</w:t>
      </w:r>
      <w:r>
        <w:rPr>
          <w:spacing w:val="-7"/>
        </w:rPr>
        <w:t> </w:t>
      </w:r>
      <w:r>
        <w:rPr>
          <w:spacing w:val="-2"/>
        </w:rPr>
        <w:t>the</w:t>
      </w:r>
      <w:r>
        <w:rPr>
          <w:spacing w:val="-7"/>
        </w:rPr>
        <w:t> </w:t>
      </w:r>
      <w:r>
        <w:rPr>
          <w:spacing w:val="-2"/>
        </w:rPr>
        <w:t>National</w:t>
      </w:r>
      <w:r>
        <w:rPr>
          <w:spacing w:val="-7"/>
        </w:rPr>
        <w:t> </w:t>
      </w:r>
      <w:r>
        <w:rPr>
          <w:spacing w:val="-2"/>
        </w:rPr>
        <w:t>Universities,</w:t>
      </w:r>
      <w:r>
        <w:rPr>
          <w:spacing w:val="-7"/>
        </w:rPr>
        <w:t> </w:t>
      </w:r>
      <w:r>
        <w:rPr>
          <w:spacing w:val="-2"/>
        </w:rPr>
        <w:t>in a</w:t>
      </w:r>
      <w:r>
        <w:rPr>
          <w:spacing w:val="-11"/>
        </w:rPr>
        <w:t> </w:t>
      </w:r>
      <w:r>
        <w:rPr>
          <w:spacing w:val="-2"/>
        </w:rPr>
        <w:t>three-year</w:t>
      </w:r>
      <w:r>
        <w:rPr>
          <w:spacing w:val="-11"/>
        </w:rPr>
        <w:t> </w:t>
      </w:r>
      <w:r>
        <w:rPr>
          <w:spacing w:val="-2"/>
        </w:rPr>
        <w:t>program,</w:t>
      </w:r>
      <w:r>
        <w:rPr>
          <w:spacing w:val="-11"/>
        </w:rPr>
        <w:t> </w:t>
      </w:r>
      <w:r>
        <w:rPr>
          <w:spacing w:val="-2"/>
        </w:rPr>
        <w:t>should</w:t>
      </w:r>
      <w:r>
        <w:rPr>
          <w:spacing w:val="-11"/>
        </w:rPr>
        <w:t> </w:t>
      </w:r>
      <w:r>
        <w:rPr>
          <w:spacing w:val="-2"/>
        </w:rPr>
        <w:t>be</w:t>
      </w:r>
      <w:r>
        <w:rPr>
          <w:spacing w:val="-11"/>
        </w:rPr>
        <w:t> </w:t>
      </w:r>
      <w:r>
        <w:rPr>
          <w:spacing w:val="-2"/>
        </w:rPr>
        <w:t>granted</w:t>
      </w:r>
      <w:r>
        <w:rPr>
          <w:spacing w:val="-11"/>
        </w:rPr>
        <w:t> </w:t>
      </w:r>
      <w:r>
        <w:rPr>
          <w:spacing w:val="-2"/>
        </w:rPr>
        <w:t>on</w:t>
      </w:r>
      <w:r>
        <w:rPr>
          <w:spacing w:val="-11"/>
        </w:rPr>
        <w:t> </w:t>
      </w:r>
      <w:r>
        <w:rPr>
          <w:spacing w:val="-2"/>
        </w:rPr>
        <w:t>the</w:t>
      </w:r>
      <w:r>
        <w:rPr>
          <w:spacing w:val="-11"/>
        </w:rPr>
        <w:t> </w:t>
      </w:r>
      <w:r>
        <w:rPr>
          <w:spacing w:val="-2"/>
        </w:rPr>
        <w:t>basis</w:t>
      </w:r>
      <w:r>
        <w:rPr>
          <w:spacing w:val="-11"/>
        </w:rPr>
        <w:t> </w:t>
      </w:r>
      <w:r>
        <w:rPr>
          <w:spacing w:val="-2"/>
        </w:rPr>
        <w:t>of </w:t>
      </w:r>
      <w:r>
        <w:rPr>
          <w:spacing w:val="-4"/>
        </w:rPr>
        <w:t>completing</w:t>
      </w:r>
      <w:r>
        <w:rPr>
          <w:spacing w:val="-9"/>
        </w:rPr>
        <w:t> </w:t>
      </w:r>
      <w:r>
        <w:rPr>
          <w:spacing w:val="-4"/>
        </w:rPr>
        <w:t>a</w:t>
      </w:r>
      <w:r>
        <w:rPr>
          <w:spacing w:val="-9"/>
        </w:rPr>
        <w:t> </w:t>
      </w:r>
      <w:r>
        <w:rPr>
          <w:spacing w:val="-4"/>
        </w:rPr>
        <w:t>requisite</w:t>
      </w:r>
      <w:r>
        <w:rPr>
          <w:spacing w:val="-9"/>
        </w:rPr>
        <w:t> </w:t>
      </w:r>
      <w:r>
        <w:rPr>
          <w:spacing w:val="-4"/>
        </w:rPr>
        <w:t>number</w:t>
      </w:r>
      <w:r>
        <w:rPr>
          <w:spacing w:val="-9"/>
        </w:rPr>
        <w:t> </w:t>
      </w:r>
      <w:r>
        <w:rPr>
          <w:spacing w:val="-4"/>
        </w:rPr>
        <w:t>of</w:t>
      </w:r>
      <w:r>
        <w:rPr>
          <w:spacing w:val="-9"/>
        </w:rPr>
        <w:t> </w:t>
      </w:r>
      <w:r>
        <w:rPr>
          <w:spacing w:val="-4"/>
        </w:rPr>
        <w:t>credits,</w:t>
      </w:r>
      <w:r>
        <w:rPr>
          <w:spacing w:val="-9"/>
        </w:rPr>
        <w:t> </w:t>
      </w:r>
      <w:r>
        <w:rPr>
          <w:spacing w:val="-4"/>
        </w:rPr>
        <w:t>obtained</w:t>
      </w:r>
      <w:r>
        <w:rPr>
          <w:spacing w:val="-9"/>
        </w:rPr>
        <w:t> </w:t>
      </w:r>
      <w:r>
        <w:rPr>
          <w:spacing w:val="-4"/>
        </w:rPr>
        <w:t>from </w:t>
      </w:r>
      <w:r>
        <w:rPr/>
        <w:t>different</w:t>
      </w:r>
      <w:r>
        <w:rPr>
          <w:spacing w:val="-14"/>
        </w:rPr>
        <w:t> </w:t>
      </w:r>
      <w:r>
        <w:rPr/>
        <w:t>courses.</w:t>
      </w:r>
      <w:r>
        <w:rPr>
          <w:spacing w:val="-14"/>
        </w:rPr>
        <w:t> </w:t>
      </w:r>
      <w:r>
        <w:rPr/>
        <w:t>The</w:t>
      </w:r>
      <w:r>
        <w:rPr>
          <w:spacing w:val="-14"/>
        </w:rPr>
        <w:t> </w:t>
      </w:r>
      <w:r>
        <w:rPr/>
        <w:t>academic</w:t>
      </w:r>
      <w:r>
        <w:rPr>
          <w:spacing w:val="-13"/>
        </w:rPr>
        <w:t> </w:t>
      </w:r>
      <w:r>
        <w:rPr/>
        <w:t>year</w:t>
      </w:r>
      <w:r>
        <w:rPr>
          <w:spacing w:val="-13"/>
        </w:rPr>
        <w:t> </w:t>
      </w:r>
      <w:r>
        <w:rPr/>
        <w:t>will</w:t>
      </w:r>
      <w:r>
        <w:rPr>
          <w:spacing w:val="-13"/>
        </w:rPr>
        <w:t> </w:t>
      </w:r>
      <w:r>
        <w:rPr/>
        <w:t>therefore</w:t>
      </w:r>
      <w:r>
        <w:rPr>
          <w:spacing w:val="-13"/>
        </w:rPr>
        <w:t> </w:t>
      </w:r>
      <w:r>
        <w:rPr/>
        <w:t>be </w:t>
      </w:r>
      <w:r>
        <w:rPr>
          <w:spacing w:val="-4"/>
        </w:rPr>
        <w:t>semester</w:t>
      </w:r>
      <w:r>
        <w:rPr>
          <w:spacing w:val="-10"/>
        </w:rPr>
        <w:t> </w:t>
      </w:r>
      <w:r>
        <w:rPr>
          <w:spacing w:val="-4"/>
        </w:rPr>
        <w:t>based</w:t>
      </w:r>
      <w:r>
        <w:rPr>
          <w:spacing w:val="-10"/>
        </w:rPr>
        <w:t> </w:t>
      </w:r>
      <w:r>
        <w:rPr>
          <w:spacing w:val="-4"/>
        </w:rPr>
        <w:t>and</w:t>
      </w:r>
      <w:r>
        <w:rPr>
          <w:spacing w:val="-10"/>
        </w:rPr>
        <w:t> </w:t>
      </w:r>
      <w:r>
        <w:rPr>
          <w:spacing w:val="-4"/>
        </w:rPr>
        <w:t>students</w:t>
      </w:r>
      <w:r>
        <w:rPr>
          <w:spacing w:val="-9"/>
        </w:rPr>
        <w:t> </w:t>
      </w:r>
      <w:r>
        <w:rPr>
          <w:spacing w:val="-4"/>
        </w:rPr>
        <w:t>will</w:t>
      </w:r>
      <w:r>
        <w:rPr>
          <w:spacing w:val="-10"/>
        </w:rPr>
        <w:t> </w:t>
      </w:r>
      <w:r>
        <w:rPr>
          <w:spacing w:val="-4"/>
        </w:rPr>
        <w:t>be</w:t>
      </w:r>
      <w:r>
        <w:rPr>
          <w:spacing w:val="-10"/>
        </w:rPr>
        <w:t> </w:t>
      </w:r>
      <w:r>
        <w:rPr>
          <w:spacing w:val="-4"/>
        </w:rPr>
        <w:t>internally</w:t>
      </w:r>
      <w:r>
        <w:rPr>
          <w:spacing w:val="-10"/>
        </w:rPr>
        <w:t> </w:t>
      </w:r>
      <w:r>
        <w:rPr>
          <w:spacing w:val="-4"/>
        </w:rPr>
        <w:t>evaluated </w:t>
      </w:r>
      <w:r>
        <w:rPr/>
        <w:t>at</w:t>
      </w:r>
      <w:r>
        <w:rPr>
          <w:spacing w:val="-13"/>
        </w:rPr>
        <w:t> </w:t>
      </w:r>
      <w:r>
        <w:rPr/>
        <w:t>the</w:t>
      </w:r>
      <w:r>
        <w:rPr>
          <w:spacing w:val="-11"/>
        </w:rPr>
        <w:t> </w:t>
      </w:r>
      <w:r>
        <w:rPr/>
        <w:t>end</w:t>
      </w:r>
      <w:r>
        <w:rPr>
          <w:spacing w:val="-11"/>
        </w:rPr>
        <w:t> </w:t>
      </w:r>
      <w:r>
        <w:rPr/>
        <w:t>of</w:t>
      </w:r>
      <w:r>
        <w:rPr>
          <w:spacing w:val="-11"/>
        </w:rPr>
        <w:t> </w:t>
      </w:r>
      <w:r>
        <w:rPr/>
        <w:t>each</w:t>
      </w:r>
      <w:r>
        <w:rPr>
          <w:spacing w:val="-11"/>
        </w:rPr>
        <w:t> </w:t>
      </w:r>
      <w:r>
        <w:rPr/>
        <w:t>course.</w:t>
      </w:r>
      <w:r>
        <w:rPr>
          <w:spacing w:val="-14"/>
        </w:rPr>
        <w:t> </w:t>
      </w:r>
      <w:r>
        <w:rPr/>
        <w:t>Transfer</w:t>
      </w:r>
      <w:r>
        <w:rPr>
          <w:spacing w:val="-11"/>
        </w:rPr>
        <w:t> </w:t>
      </w:r>
      <w:r>
        <w:rPr/>
        <w:t>of</w:t>
      </w:r>
      <w:r>
        <w:rPr>
          <w:spacing w:val="-11"/>
        </w:rPr>
        <w:t> </w:t>
      </w:r>
      <w:r>
        <w:rPr/>
        <w:t>credits</w:t>
      </w:r>
      <w:r>
        <w:rPr>
          <w:spacing w:val="-11"/>
        </w:rPr>
        <w:t> </w:t>
      </w:r>
      <w:r>
        <w:rPr/>
        <w:t>from</w:t>
      </w:r>
      <w:r>
        <w:rPr>
          <w:spacing w:val="-11"/>
        </w:rPr>
        <w:t> </w:t>
      </w:r>
      <w:r>
        <w:rPr/>
        <w:t>one </w:t>
      </w:r>
      <w:r>
        <w:rPr>
          <w:spacing w:val="-2"/>
        </w:rPr>
        <w:t>National</w:t>
      </w:r>
      <w:r>
        <w:rPr>
          <w:spacing w:val="-6"/>
        </w:rPr>
        <w:t> </w:t>
      </w:r>
      <w:r>
        <w:rPr>
          <w:spacing w:val="-2"/>
        </w:rPr>
        <w:t>University</w:t>
      </w:r>
      <w:r>
        <w:rPr>
          <w:spacing w:val="-6"/>
        </w:rPr>
        <w:t> </w:t>
      </w:r>
      <w:r>
        <w:rPr>
          <w:spacing w:val="-2"/>
        </w:rPr>
        <w:t>to</w:t>
      </w:r>
      <w:r>
        <w:rPr>
          <w:spacing w:val="-6"/>
        </w:rPr>
        <w:t> </w:t>
      </w:r>
      <w:r>
        <w:rPr>
          <w:spacing w:val="-2"/>
        </w:rPr>
        <w:t>another</w:t>
      </w:r>
      <w:r>
        <w:rPr>
          <w:spacing w:val="-6"/>
        </w:rPr>
        <w:t> </w:t>
      </w:r>
      <w:r>
        <w:rPr>
          <w:spacing w:val="-2"/>
        </w:rPr>
        <w:t>would</w:t>
      </w:r>
      <w:r>
        <w:rPr>
          <w:spacing w:val="-6"/>
        </w:rPr>
        <w:t> </w:t>
      </w:r>
      <w:r>
        <w:rPr>
          <w:spacing w:val="-2"/>
        </w:rPr>
        <w:t>also</w:t>
      </w:r>
      <w:r>
        <w:rPr>
          <w:spacing w:val="-6"/>
        </w:rPr>
        <w:t> </w:t>
      </w:r>
      <w:r>
        <w:rPr>
          <w:spacing w:val="-2"/>
        </w:rPr>
        <w:t>be</w:t>
      </w:r>
      <w:r>
        <w:rPr>
          <w:spacing w:val="-6"/>
        </w:rPr>
        <w:t> </w:t>
      </w:r>
      <w:r>
        <w:rPr>
          <w:spacing w:val="-2"/>
        </w:rPr>
        <w:t>possible. </w:t>
      </w:r>
      <w:r>
        <w:rPr>
          <w:spacing w:val="-6"/>
        </w:rPr>
        <w:t>An</w:t>
      </w:r>
      <w:r>
        <w:rPr>
          <w:spacing w:val="-7"/>
        </w:rPr>
        <w:t> </w:t>
      </w:r>
      <w:r>
        <w:rPr>
          <w:spacing w:val="-6"/>
        </w:rPr>
        <w:t>appropriate</w:t>
      </w:r>
      <w:r>
        <w:rPr>
          <w:spacing w:val="-7"/>
        </w:rPr>
        <w:t> </w:t>
      </w:r>
      <w:r>
        <w:rPr>
          <w:spacing w:val="-6"/>
        </w:rPr>
        <w:t>system</w:t>
      </w:r>
      <w:r>
        <w:rPr>
          <w:spacing w:val="-7"/>
        </w:rPr>
        <w:t> </w:t>
      </w:r>
      <w:r>
        <w:rPr>
          <w:spacing w:val="-6"/>
        </w:rPr>
        <w:t>of</w:t>
      </w:r>
      <w:r>
        <w:rPr>
          <w:spacing w:val="-7"/>
        </w:rPr>
        <w:t> </w:t>
      </w:r>
      <w:r>
        <w:rPr>
          <w:spacing w:val="-6"/>
        </w:rPr>
        <w:t>appointments</w:t>
      </w:r>
      <w:r>
        <w:rPr>
          <w:spacing w:val="-7"/>
        </w:rPr>
        <w:t> </w:t>
      </w:r>
      <w:r>
        <w:rPr>
          <w:spacing w:val="-6"/>
        </w:rPr>
        <w:t>and</w:t>
      </w:r>
      <w:r>
        <w:rPr>
          <w:spacing w:val="-7"/>
        </w:rPr>
        <w:t> </w:t>
      </w:r>
      <w:r>
        <w:rPr>
          <w:spacing w:val="-6"/>
        </w:rPr>
        <w:t>incentives</w:t>
      </w:r>
      <w:r>
        <w:rPr>
          <w:spacing w:val="-7"/>
        </w:rPr>
        <w:t> </w:t>
      </w:r>
      <w:r>
        <w:rPr>
          <w:spacing w:val="-6"/>
        </w:rPr>
        <w:t>is </w:t>
      </w:r>
      <w:r>
        <w:rPr>
          <w:spacing w:val="-4"/>
        </w:rPr>
        <w:t>required</w:t>
      </w:r>
      <w:r>
        <w:rPr>
          <w:spacing w:val="-10"/>
        </w:rPr>
        <w:t> </w:t>
      </w:r>
      <w:r>
        <w:rPr>
          <w:spacing w:val="-4"/>
        </w:rPr>
        <w:t>to</w:t>
      </w:r>
      <w:r>
        <w:rPr>
          <w:spacing w:val="-10"/>
        </w:rPr>
        <w:t> </w:t>
      </w:r>
      <w:r>
        <w:rPr>
          <w:spacing w:val="-4"/>
        </w:rPr>
        <w:t>maximise</w:t>
      </w:r>
      <w:r>
        <w:rPr>
          <w:spacing w:val="-10"/>
        </w:rPr>
        <w:t> </w:t>
      </w:r>
      <w:r>
        <w:rPr>
          <w:spacing w:val="-4"/>
        </w:rPr>
        <w:t>the</w:t>
      </w:r>
      <w:r>
        <w:rPr>
          <w:spacing w:val="-9"/>
        </w:rPr>
        <w:t> </w:t>
      </w:r>
      <w:r>
        <w:rPr>
          <w:spacing w:val="-4"/>
        </w:rPr>
        <w:t>productivity</w:t>
      </w:r>
      <w:r>
        <w:rPr>
          <w:spacing w:val="-10"/>
        </w:rPr>
        <w:t> </w:t>
      </w:r>
      <w:r>
        <w:rPr>
          <w:spacing w:val="-4"/>
        </w:rPr>
        <w:t>of</w:t>
      </w:r>
      <w:r>
        <w:rPr>
          <w:spacing w:val="-10"/>
        </w:rPr>
        <w:t> </w:t>
      </w:r>
      <w:r>
        <w:rPr>
          <w:spacing w:val="-4"/>
        </w:rPr>
        <w:t>faculty</w:t>
      </w:r>
      <w:r>
        <w:rPr>
          <w:spacing w:val="-10"/>
        </w:rPr>
        <w:t> </w:t>
      </w:r>
      <w:r>
        <w:rPr>
          <w:spacing w:val="-4"/>
        </w:rPr>
        <w:t>in</w:t>
      </w:r>
      <w:r>
        <w:rPr>
          <w:spacing w:val="-9"/>
        </w:rPr>
        <w:t> </w:t>
      </w:r>
      <w:r>
        <w:rPr>
          <w:spacing w:val="-4"/>
        </w:rPr>
        <w:t>these National Universities. Strong linkages would be forged </w:t>
      </w:r>
      <w:r>
        <w:rPr>
          <w:spacing w:val="-6"/>
        </w:rPr>
        <w:t>between</w:t>
      </w:r>
      <w:r>
        <w:rPr>
          <w:spacing w:val="-8"/>
        </w:rPr>
        <w:t> </w:t>
      </w:r>
      <w:r>
        <w:rPr>
          <w:spacing w:val="-6"/>
        </w:rPr>
        <w:t>teaching</w:t>
      </w:r>
      <w:r>
        <w:rPr>
          <w:spacing w:val="-8"/>
        </w:rPr>
        <w:t> </w:t>
      </w:r>
      <w:r>
        <w:rPr>
          <w:spacing w:val="-6"/>
        </w:rPr>
        <w:t>and</w:t>
      </w:r>
      <w:r>
        <w:rPr>
          <w:spacing w:val="-8"/>
        </w:rPr>
        <w:t> </w:t>
      </w:r>
      <w:r>
        <w:rPr>
          <w:spacing w:val="-6"/>
        </w:rPr>
        <w:t>research,</w:t>
      </w:r>
      <w:r>
        <w:rPr>
          <w:spacing w:val="-7"/>
        </w:rPr>
        <w:t> </w:t>
      </w:r>
      <w:r>
        <w:rPr>
          <w:spacing w:val="-6"/>
        </w:rPr>
        <w:t>universities</w:t>
      </w:r>
      <w:r>
        <w:rPr>
          <w:spacing w:val="-8"/>
        </w:rPr>
        <w:t> </w:t>
      </w:r>
      <w:r>
        <w:rPr>
          <w:spacing w:val="-6"/>
        </w:rPr>
        <w:t>and</w:t>
      </w:r>
      <w:r>
        <w:rPr>
          <w:spacing w:val="-8"/>
        </w:rPr>
        <w:t> </w:t>
      </w:r>
      <w:r>
        <w:rPr>
          <w:spacing w:val="-6"/>
        </w:rPr>
        <w:t>industry, </w:t>
      </w:r>
      <w:r>
        <w:rPr>
          <w:spacing w:val="-4"/>
        </w:rPr>
        <w:t>and</w:t>
      </w:r>
      <w:r>
        <w:rPr>
          <w:spacing w:val="-10"/>
        </w:rPr>
        <w:t> </w:t>
      </w:r>
      <w:r>
        <w:rPr>
          <w:spacing w:val="-4"/>
        </w:rPr>
        <w:t>universities</w:t>
      </w:r>
      <w:r>
        <w:rPr>
          <w:spacing w:val="-7"/>
        </w:rPr>
        <w:t> </w:t>
      </w:r>
      <w:r>
        <w:rPr>
          <w:spacing w:val="-4"/>
        </w:rPr>
        <w:t>and</w:t>
      </w:r>
      <w:r>
        <w:rPr>
          <w:spacing w:val="-7"/>
        </w:rPr>
        <w:t> </w:t>
      </w:r>
      <w:r>
        <w:rPr>
          <w:spacing w:val="-4"/>
        </w:rPr>
        <w:t>research</w:t>
      </w:r>
      <w:r>
        <w:rPr>
          <w:spacing w:val="-7"/>
        </w:rPr>
        <w:t> </w:t>
      </w:r>
      <w:r>
        <w:rPr>
          <w:spacing w:val="-4"/>
        </w:rPr>
        <w:t>laboratories.</w:t>
      </w:r>
      <w:r>
        <w:rPr>
          <w:spacing w:val="-10"/>
        </w:rPr>
        <w:t> </w:t>
      </w:r>
      <w:r>
        <w:rPr>
          <w:spacing w:val="-4"/>
        </w:rPr>
        <w:t>The</w:t>
      </w:r>
      <w:r>
        <w:rPr>
          <w:spacing w:val="-7"/>
        </w:rPr>
        <w:t> </w:t>
      </w:r>
      <w:r>
        <w:rPr>
          <w:spacing w:val="-4"/>
        </w:rPr>
        <w:t>National </w:t>
      </w:r>
      <w:r>
        <w:rPr>
          <w:spacing w:val="-8"/>
        </w:rPr>
        <w:t>Universities</w:t>
      </w:r>
      <w:r>
        <w:rPr>
          <w:spacing w:val="-1"/>
        </w:rPr>
        <w:t> </w:t>
      </w:r>
      <w:r>
        <w:rPr>
          <w:spacing w:val="-8"/>
        </w:rPr>
        <w:t>shall</w:t>
      </w:r>
      <w:r>
        <w:rPr>
          <w:spacing w:val="-1"/>
        </w:rPr>
        <w:t> </w:t>
      </w:r>
      <w:r>
        <w:rPr>
          <w:spacing w:val="-8"/>
        </w:rPr>
        <w:t>be</w:t>
      </w:r>
      <w:r>
        <w:rPr>
          <w:spacing w:val="-1"/>
        </w:rPr>
        <w:t> </w:t>
      </w:r>
      <w:r>
        <w:rPr>
          <w:spacing w:val="-8"/>
        </w:rPr>
        <w:t>department-based</w:t>
      </w:r>
      <w:r>
        <w:rPr>
          <w:spacing w:val="-1"/>
        </w:rPr>
        <w:t> </w:t>
      </w:r>
      <w:r>
        <w:rPr>
          <w:spacing w:val="-8"/>
        </w:rPr>
        <w:t>and</w:t>
      </w:r>
      <w:r>
        <w:rPr>
          <w:spacing w:val="-1"/>
        </w:rPr>
        <w:t> </w:t>
      </w:r>
      <w:r>
        <w:rPr>
          <w:spacing w:val="-8"/>
        </w:rPr>
        <w:t>shall</w:t>
      </w:r>
      <w:r>
        <w:rPr>
          <w:spacing w:val="-1"/>
        </w:rPr>
        <w:t> </w:t>
      </w:r>
      <w:r>
        <w:rPr>
          <w:spacing w:val="-8"/>
        </w:rPr>
        <w:t>not</w:t>
      </w:r>
      <w:r>
        <w:rPr>
          <w:spacing w:val="-1"/>
        </w:rPr>
        <w:t> </w:t>
      </w:r>
      <w:r>
        <w:rPr>
          <w:spacing w:val="-8"/>
        </w:rPr>
        <w:t>have </w:t>
      </w:r>
      <w:r>
        <w:rPr/>
        <w:t>any</w:t>
      </w:r>
      <w:r>
        <w:rPr>
          <w:spacing w:val="-14"/>
        </w:rPr>
        <w:t> </w:t>
      </w:r>
      <w:r>
        <w:rPr/>
        <w:t>affiliated</w:t>
      </w:r>
      <w:r>
        <w:rPr>
          <w:spacing w:val="-14"/>
        </w:rPr>
        <w:t> </w:t>
      </w:r>
      <w:r>
        <w:rPr/>
        <w:t>colleges.</w:t>
      </w:r>
    </w:p>
    <w:p>
      <w:pPr>
        <w:spacing w:after="0" w:line="266" w:lineRule="auto"/>
        <w:jc w:val="both"/>
        <w:sectPr>
          <w:pgSz w:w="11910" w:h="16840"/>
          <w:pgMar w:header="0" w:footer="675" w:top="960" w:bottom="860" w:left="0" w:right="0"/>
          <w:cols w:num="2" w:equalWidth="0">
            <w:col w:w="5774" w:space="40"/>
            <w:col w:w="6096"/>
          </w:cols>
        </w:sectPr>
      </w:pPr>
    </w:p>
    <w:p>
      <w:pPr>
        <w:pStyle w:val="Heading6"/>
        <w:numPr>
          <w:ilvl w:val="0"/>
          <w:numId w:val="19"/>
        </w:numPr>
        <w:tabs>
          <w:tab w:pos="1468" w:val="left" w:leader="none"/>
        </w:tabs>
        <w:spacing w:line="240" w:lineRule="auto" w:before="57" w:after="0"/>
        <w:ind w:left="1468" w:right="0" w:hanging="389"/>
        <w:jc w:val="both"/>
      </w:pPr>
      <w:r>
        <w:rPr>
          <w:color w:val="2E614A"/>
          <w:spacing w:val="-2"/>
        </w:rPr>
        <w:t>Excellence</w:t>
      </w:r>
    </w:p>
    <w:p>
      <w:pPr>
        <w:pStyle w:val="Heading7"/>
        <w:numPr>
          <w:ilvl w:val="0"/>
          <w:numId w:val="14"/>
        </w:numPr>
        <w:tabs>
          <w:tab w:pos="1343" w:val="left" w:leader="none"/>
        </w:tabs>
        <w:spacing w:line="240" w:lineRule="auto" w:before="248" w:after="0"/>
        <w:ind w:left="1343" w:right="0" w:hanging="264"/>
        <w:jc w:val="both"/>
        <w:rPr>
          <w:color w:val="2E614A"/>
        </w:rPr>
      </w:pPr>
      <w:r>
        <w:rPr>
          <w:color w:val="2E614A"/>
          <w:w w:val="90"/>
        </w:rPr>
        <w:t>Reform</w:t>
      </w:r>
      <w:r>
        <w:rPr>
          <w:color w:val="2E614A"/>
          <w:spacing w:val="11"/>
        </w:rPr>
        <w:t> </w:t>
      </w:r>
      <w:r>
        <w:rPr>
          <w:color w:val="2E614A"/>
          <w:w w:val="90"/>
        </w:rPr>
        <w:t>existing</w:t>
      </w:r>
      <w:r>
        <w:rPr>
          <w:color w:val="2E614A"/>
          <w:spacing w:val="12"/>
        </w:rPr>
        <w:t> </w:t>
      </w:r>
      <w:r>
        <w:rPr>
          <w:color w:val="2E614A"/>
          <w:spacing w:val="-2"/>
          <w:w w:val="90"/>
        </w:rPr>
        <w:t>universities</w:t>
      </w:r>
    </w:p>
    <w:p>
      <w:pPr>
        <w:pStyle w:val="BodyText"/>
        <w:spacing w:line="266" w:lineRule="auto" w:before="298"/>
        <w:ind w:left="1079" w:right="1"/>
        <w:jc w:val="both"/>
      </w:pPr>
      <w:r>
        <w:rPr/>
        <w:t>The endeavour to transform higher education </w:t>
      </w:r>
      <w:r>
        <w:rPr/>
        <w:t>must reform</w:t>
      </w:r>
      <w:r>
        <w:rPr>
          <w:spacing w:val="-13"/>
        </w:rPr>
        <w:t> </w:t>
      </w:r>
      <w:r>
        <w:rPr/>
        <w:t>existing</w:t>
      </w:r>
      <w:r>
        <w:rPr>
          <w:spacing w:val="-13"/>
        </w:rPr>
        <w:t> </w:t>
      </w:r>
      <w:r>
        <w:rPr/>
        <w:t>institutions.</w:t>
      </w:r>
      <w:r>
        <w:rPr>
          <w:spacing w:val="-13"/>
        </w:rPr>
        <w:t> </w:t>
      </w:r>
      <w:r>
        <w:rPr/>
        <w:t>Some</w:t>
      </w:r>
      <w:r>
        <w:rPr>
          <w:spacing w:val="-13"/>
        </w:rPr>
        <w:t> </w:t>
      </w:r>
      <w:r>
        <w:rPr/>
        <w:t>essential</w:t>
      </w:r>
      <w:r>
        <w:rPr>
          <w:spacing w:val="-13"/>
        </w:rPr>
        <w:t> </w:t>
      </w:r>
      <w:r>
        <w:rPr/>
        <w:t>steps</w:t>
      </w:r>
      <w:r>
        <w:rPr>
          <w:spacing w:val="-13"/>
        </w:rPr>
        <w:t> </w:t>
      </w:r>
      <w:r>
        <w:rPr/>
        <w:t>are:</w:t>
      </w:r>
    </w:p>
    <w:p>
      <w:pPr>
        <w:pStyle w:val="ListParagraph"/>
        <w:numPr>
          <w:ilvl w:val="0"/>
          <w:numId w:val="20"/>
        </w:numPr>
        <w:tabs>
          <w:tab w:pos="1439" w:val="left" w:leader="none"/>
        </w:tabs>
        <w:spacing w:line="266" w:lineRule="auto" w:before="0" w:after="0"/>
        <w:ind w:left="1439" w:right="0" w:hanging="360"/>
        <w:jc w:val="both"/>
        <w:rPr>
          <w:sz w:val="22"/>
        </w:rPr>
      </w:pPr>
      <w:r>
        <w:rPr>
          <w:sz w:val="22"/>
        </w:rPr>
        <w:t>Universities should be required to revise </w:t>
      </w:r>
      <w:r>
        <w:rPr>
          <w:sz w:val="22"/>
        </w:rPr>
        <w:t>or restructure</w:t>
      </w:r>
      <w:r>
        <w:rPr>
          <w:spacing w:val="-4"/>
          <w:sz w:val="22"/>
        </w:rPr>
        <w:t> </w:t>
      </w:r>
      <w:r>
        <w:rPr>
          <w:sz w:val="22"/>
        </w:rPr>
        <w:t>curricula</w:t>
      </w:r>
      <w:r>
        <w:rPr>
          <w:spacing w:val="-4"/>
          <w:sz w:val="22"/>
        </w:rPr>
        <w:t> </w:t>
      </w:r>
      <w:r>
        <w:rPr>
          <w:sz w:val="22"/>
        </w:rPr>
        <w:t>at</w:t>
      </w:r>
      <w:r>
        <w:rPr>
          <w:spacing w:val="-4"/>
          <w:sz w:val="22"/>
        </w:rPr>
        <w:t> </w:t>
      </w:r>
      <w:r>
        <w:rPr>
          <w:sz w:val="22"/>
        </w:rPr>
        <w:t>least</w:t>
      </w:r>
      <w:r>
        <w:rPr>
          <w:spacing w:val="-4"/>
          <w:sz w:val="22"/>
        </w:rPr>
        <w:t> </w:t>
      </w:r>
      <w:r>
        <w:rPr>
          <w:sz w:val="22"/>
        </w:rPr>
        <w:t>once</w:t>
      </w:r>
      <w:r>
        <w:rPr>
          <w:spacing w:val="-4"/>
          <w:sz w:val="22"/>
        </w:rPr>
        <w:t> </w:t>
      </w:r>
      <w:r>
        <w:rPr>
          <w:sz w:val="22"/>
        </w:rPr>
        <w:t>in</w:t>
      </w:r>
      <w:r>
        <w:rPr>
          <w:spacing w:val="-4"/>
          <w:sz w:val="22"/>
        </w:rPr>
        <w:t> </w:t>
      </w:r>
      <w:r>
        <w:rPr>
          <w:sz w:val="22"/>
        </w:rPr>
        <w:t>three</w:t>
      </w:r>
      <w:r>
        <w:rPr>
          <w:spacing w:val="-4"/>
          <w:sz w:val="22"/>
        </w:rPr>
        <w:t> </w:t>
      </w:r>
      <w:r>
        <w:rPr>
          <w:sz w:val="22"/>
        </w:rPr>
        <w:t>years.</w:t>
      </w:r>
    </w:p>
    <w:p>
      <w:pPr>
        <w:pStyle w:val="ListParagraph"/>
        <w:numPr>
          <w:ilvl w:val="0"/>
          <w:numId w:val="20"/>
        </w:numPr>
        <w:tabs>
          <w:tab w:pos="1439" w:val="left" w:leader="none"/>
        </w:tabs>
        <w:spacing w:line="266" w:lineRule="auto" w:before="0" w:after="0"/>
        <w:ind w:left="1439" w:right="0" w:hanging="360"/>
        <w:jc w:val="both"/>
        <w:rPr>
          <w:sz w:val="22"/>
        </w:rPr>
      </w:pPr>
      <w:r>
        <w:rPr>
          <w:sz w:val="22"/>
        </w:rPr>
        <w:t>Annual examinations, which test memory </w:t>
      </w:r>
      <w:r>
        <w:rPr>
          <w:sz w:val="22"/>
        </w:rPr>
        <w:t>rather than</w:t>
      </w:r>
      <w:r>
        <w:rPr>
          <w:spacing w:val="-14"/>
          <w:sz w:val="22"/>
        </w:rPr>
        <w:t> </w:t>
      </w:r>
      <w:r>
        <w:rPr>
          <w:sz w:val="22"/>
        </w:rPr>
        <w:t>understanding,</w:t>
      </w:r>
      <w:r>
        <w:rPr>
          <w:spacing w:val="-14"/>
          <w:sz w:val="22"/>
        </w:rPr>
        <w:t> </w:t>
      </w:r>
      <w:r>
        <w:rPr>
          <w:sz w:val="22"/>
        </w:rPr>
        <w:t>should</w:t>
      </w:r>
      <w:r>
        <w:rPr>
          <w:spacing w:val="-14"/>
          <w:sz w:val="22"/>
        </w:rPr>
        <w:t> </w:t>
      </w:r>
      <w:r>
        <w:rPr>
          <w:sz w:val="22"/>
        </w:rPr>
        <w:t>be</w:t>
      </w:r>
      <w:r>
        <w:rPr>
          <w:spacing w:val="-13"/>
          <w:sz w:val="22"/>
        </w:rPr>
        <w:t> </w:t>
      </w:r>
      <w:r>
        <w:rPr>
          <w:sz w:val="22"/>
        </w:rPr>
        <w:t>supplemented</w:t>
      </w:r>
      <w:r>
        <w:rPr>
          <w:spacing w:val="-14"/>
          <w:sz w:val="22"/>
        </w:rPr>
        <w:t> </w:t>
      </w:r>
      <w:r>
        <w:rPr>
          <w:sz w:val="22"/>
        </w:rPr>
        <w:t>with </w:t>
      </w:r>
      <w:r>
        <w:rPr>
          <w:spacing w:val="-2"/>
          <w:sz w:val="22"/>
        </w:rPr>
        <w:t>continuous</w:t>
      </w:r>
      <w:r>
        <w:rPr>
          <w:spacing w:val="-5"/>
          <w:sz w:val="22"/>
        </w:rPr>
        <w:t> </w:t>
      </w:r>
      <w:r>
        <w:rPr>
          <w:spacing w:val="-2"/>
          <w:sz w:val="22"/>
        </w:rPr>
        <w:t>internal</w:t>
      </w:r>
      <w:r>
        <w:rPr>
          <w:spacing w:val="-5"/>
          <w:sz w:val="22"/>
        </w:rPr>
        <w:t> </w:t>
      </w:r>
      <w:r>
        <w:rPr>
          <w:spacing w:val="-2"/>
          <w:sz w:val="22"/>
        </w:rPr>
        <w:t>assessment</w:t>
      </w:r>
      <w:r>
        <w:rPr>
          <w:spacing w:val="-5"/>
          <w:sz w:val="22"/>
        </w:rPr>
        <w:t> </w:t>
      </w:r>
      <w:r>
        <w:rPr>
          <w:spacing w:val="-2"/>
          <w:sz w:val="22"/>
        </w:rPr>
        <w:t>which</w:t>
      </w:r>
      <w:r>
        <w:rPr>
          <w:spacing w:val="-5"/>
          <w:sz w:val="22"/>
        </w:rPr>
        <w:t> </w:t>
      </w:r>
      <w:r>
        <w:rPr>
          <w:spacing w:val="-2"/>
          <w:sz w:val="22"/>
        </w:rPr>
        <w:t>could</w:t>
      </w:r>
      <w:r>
        <w:rPr>
          <w:spacing w:val="-5"/>
          <w:sz w:val="22"/>
        </w:rPr>
        <w:t> </w:t>
      </w:r>
      <w:r>
        <w:rPr>
          <w:spacing w:val="-2"/>
          <w:sz w:val="22"/>
        </w:rPr>
        <w:t>begin with</w:t>
      </w:r>
      <w:r>
        <w:rPr>
          <w:spacing w:val="-14"/>
          <w:sz w:val="22"/>
        </w:rPr>
        <w:t> </w:t>
      </w:r>
      <w:r>
        <w:rPr>
          <w:spacing w:val="-2"/>
          <w:sz w:val="22"/>
        </w:rPr>
        <w:t>a</w:t>
      </w:r>
      <w:r>
        <w:rPr>
          <w:spacing w:val="-12"/>
          <w:sz w:val="22"/>
        </w:rPr>
        <w:t> </w:t>
      </w:r>
      <w:r>
        <w:rPr>
          <w:spacing w:val="-2"/>
          <w:sz w:val="22"/>
        </w:rPr>
        <w:t>weight</w:t>
      </w:r>
      <w:r>
        <w:rPr>
          <w:spacing w:val="-12"/>
          <w:sz w:val="22"/>
        </w:rPr>
        <w:t> </w:t>
      </w:r>
      <w:r>
        <w:rPr>
          <w:spacing w:val="-2"/>
          <w:sz w:val="22"/>
        </w:rPr>
        <w:t>of</w:t>
      </w:r>
      <w:r>
        <w:rPr>
          <w:spacing w:val="-11"/>
          <w:sz w:val="22"/>
        </w:rPr>
        <w:t> </w:t>
      </w:r>
      <w:r>
        <w:rPr>
          <w:spacing w:val="-2"/>
          <w:sz w:val="22"/>
        </w:rPr>
        <w:t>25</w:t>
      </w:r>
      <w:r>
        <w:rPr>
          <w:spacing w:val="-12"/>
          <w:sz w:val="22"/>
        </w:rPr>
        <w:t> </w:t>
      </w:r>
      <w:r>
        <w:rPr>
          <w:spacing w:val="-2"/>
          <w:sz w:val="22"/>
        </w:rPr>
        <w:t>per</w:t>
      </w:r>
      <w:r>
        <w:rPr>
          <w:spacing w:val="-12"/>
          <w:sz w:val="22"/>
        </w:rPr>
        <w:t> </w:t>
      </w:r>
      <w:r>
        <w:rPr>
          <w:spacing w:val="-2"/>
          <w:sz w:val="22"/>
        </w:rPr>
        <w:t>cent</w:t>
      </w:r>
      <w:r>
        <w:rPr>
          <w:spacing w:val="-12"/>
          <w:sz w:val="22"/>
        </w:rPr>
        <w:t> </w:t>
      </w:r>
      <w:r>
        <w:rPr>
          <w:spacing w:val="-2"/>
          <w:sz w:val="22"/>
        </w:rPr>
        <w:t>in</w:t>
      </w:r>
      <w:r>
        <w:rPr>
          <w:spacing w:val="-11"/>
          <w:sz w:val="22"/>
        </w:rPr>
        <w:t> </w:t>
      </w:r>
      <w:r>
        <w:rPr>
          <w:spacing w:val="-2"/>
          <w:sz w:val="22"/>
        </w:rPr>
        <w:t>the</w:t>
      </w:r>
      <w:r>
        <w:rPr>
          <w:spacing w:val="-12"/>
          <w:sz w:val="22"/>
        </w:rPr>
        <w:t> </w:t>
      </w:r>
      <w:r>
        <w:rPr>
          <w:spacing w:val="-2"/>
          <w:sz w:val="22"/>
        </w:rPr>
        <w:t>total</w:t>
      </w:r>
      <w:r>
        <w:rPr>
          <w:spacing w:val="-12"/>
          <w:sz w:val="22"/>
        </w:rPr>
        <w:t> </w:t>
      </w:r>
      <w:r>
        <w:rPr>
          <w:spacing w:val="-2"/>
          <w:sz w:val="22"/>
        </w:rPr>
        <w:t>to</w:t>
      </w:r>
      <w:r>
        <w:rPr>
          <w:spacing w:val="-12"/>
          <w:sz w:val="22"/>
        </w:rPr>
        <w:t> </w:t>
      </w:r>
      <w:r>
        <w:rPr>
          <w:spacing w:val="-2"/>
          <w:sz w:val="22"/>
        </w:rPr>
        <w:t>be</w:t>
      </w:r>
      <w:r>
        <w:rPr>
          <w:spacing w:val="-11"/>
          <w:sz w:val="22"/>
        </w:rPr>
        <w:t> </w:t>
      </w:r>
      <w:r>
        <w:rPr>
          <w:spacing w:val="-2"/>
          <w:sz w:val="22"/>
        </w:rPr>
        <w:t>raised </w:t>
      </w:r>
      <w:r>
        <w:rPr>
          <w:sz w:val="22"/>
        </w:rPr>
        <w:t>to 50 per cent over a stipulated period.</w:t>
      </w:r>
    </w:p>
    <w:p>
      <w:pPr>
        <w:pStyle w:val="ListParagraph"/>
        <w:numPr>
          <w:ilvl w:val="0"/>
          <w:numId w:val="20"/>
        </w:numPr>
        <w:tabs>
          <w:tab w:pos="1439" w:val="left" w:leader="none"/>
        </w:tabs>
        <w:spacing w:line="266" w:lineRule="auto" w:before="0" w:after="0"/>
        <w:ind w:left="1439" w:right="0" w:hanging="360"/>
        <w:jc w:val="both"/>
        <w:rPr>
          <w:sz w:val="22"/>
        </w:rPr>
      </w:pPr>
      <w:r>
        <w:rPr>
          <w:spacing w:val="-4"/>
          <w:sz w:val="22"/>
        </w:rPr>
        <w:t>NKC</w:t>
      </w:r>
      <w:r>
        <w:rPr>
          <w:spacing w:val="-10"/>
          <w:sz w:val="22"/>
        </w:rPr>
        <w:t> </w:t>
      </w:r>
      <w:r>
        <w:rPr>
          <w:spacing w:val="-4"/>
          <w:sz w:val="22"/>
        </w:rPr>
        <w:t>proposes</w:t>
      </w:r>
      <w:r>
        <w:rPr>
          <w:spacing w:val="-10"/>
          <w:sz w:val="22"/>
        </w:rPr>
        <w:t> </w:t>
      </w:r>
      <w:r>
        <w:rPr>
          <w:spacing w:val="-4"/>
          <w:sz w:val="22"/>
        </w:rPr>
        <w:t>a</w:t>
      </w:r>
      <w:r>
        <w:rPr>
          <w:spacing w:val="-10"/>
          <w:sz w:val="22"/>
        </w:rPr>
        <w:t> </w:t>
      </w:r>
      <w:r>
        <w:rPr>
          <w:spacing w:val="-4"/>
          <w:sz w:val="22"/>
        </w:rPr>
        <w:t>transition</w:t>
      </w:r>
      <w:r>
        <w:rPr>
          <w:spacing w:val="-9"/>
          <w:sz w:val="22"/>
        </w:rPr>
        <w:t> </w:t>
      </w:r>
      <w:r>
        <w:rPr>
          <w:spacing w:val="-4"/>
          <w:sz w:val="22"/>
        </w:rPr>
        <w:t>to</w:t>
      </w:r>
      <w:r>
        <w:rPr>
          <w:spacing w:val="-10"/>
          <w:sz w:val="22"/>
        </w:rPr>
        <w:t> </w:t>
      </w:r>
      <w:r>
        <w:rPr>
          <w:spacing w:val="-4"/>
          <w:sz w:val="22"/>
        </w:rPr>
        <w:t>a</w:t>
      </w:r>
      <w:r>
        <w:rPr>
          <w:spacing w:val="-10"/>
          <w:sz w:val="22"/>
        </w:rPr>
        <w:t> </w:t>
      </w:r>
      <w:r>
        <w:rPr>
          <w:spacing w:val="-4"/>
          <w:sz w:val="22"/>
        </w:rPr>
        <w:t>course</w:t>
      </w:r>
      <w:r>
        <w:rPr>
          <w:spacing w:val="-10"/>
          <w:sz w:val="22"/>
        </w:rPr>
        <w:t> </w:t>
      </w:r>
      <w:r>
        <w:rPr>
          <w:spacing w:val="-4"/>
          <w:sz w:val="22"/>
        </w:rPr>
        <w:t>credit</w:t>
      </w:r>
      <w:r>
        <w:rPr>
          <w:spacing w:val="-9"/>
          <w:sz w:val="22"/>
        </w:rPr>
        <w:t> </w:t>
      </w:r>
      <w:r>
        <w:rPr>
          <w:spacing w:val="-4"/>
          <w:sz w:val="22"/>
        </w:rPr>
        <w:t>system </w:t>
      </w:r>
      <w:r>
        <w:rPr>
          <w:spacing w:val="-8"/>
          <w:sz w:val="22"/>
        </w:rPr>
        <w:t>where</w:t>
      </w:r>
      <w:r>
        <w:rPr>
          <w:spacing w:val="-5"/>
          <w:sz w:val="22"/>
        </w:rPr>
        <w:t> </w:t>
      </w:r>
      <w:r>
        <w:rPr>
          <w:spacing w:val="-8"/>
          <w:sz w:val="22"/>
        </w:rPr>
        <w:t>degrees</w:t>
      </w:r>
      <w:r>
        <w:rPr>
          <w:spacing w:val="-5"/>
          <w:sz w:val="22"/>
        </w:rPr>
        <w:t> </w:t>
      </w:r>
      <w:r>
        <w:rPr>
          <w:spacing w:val="-8"/>
          <w:sz w:val="22"/>
        </w:rPr>
        <w:t>are</w:t>
      </w:r>
      <w:r>
        <w:rPr>
          <w:spacing w:val="-5"/>
          <w:sz w:val="22"/>
        </w:rPr>
        <w:t> </w:t>
      </w:r>
      <w:r>
        <w:rPr>
          <w:spacing w:val="-8"/>
          <w:sz w:val="22"/>
        </w:rPr>
        <w:t>granted</w:t>
      </w:r>
      <w:r>
        <w:rPr>
          <w:spacing w:val="-5"/>
          <w:sz w:val="22"/>
        </w:rPr>
        <w:t> </w:t>
      </w:r>
      <w:r>
        <w:rPr>
          <w:spacing w:val="-8"/>
          <w:sz w:val="22"/>
        </w:rPr>
        <w:t>on</w:t>
      </w:r>
      <w:r>
        <w:rPr>
          <w:spacing w:val="-5"/>
          <w:sz w:val="22"/>
        </w:rPr>
        <w:t> </w:t>
      </w:r>
      <w:r>
        <w:rPr>
          <w:spacing w:val="-8"/>
          <w:sz w:val="22"/>
        </w:rPr>
        <w:t>the</w:t>
      </w:r>
      <w:r>
        <w:rPr>
          <w:spacing w:val="-5"/>
          <w:sz w:val="22"/>
        </w:rPr>
        <w:t> </w:t>
      </w:r>
      <w:r>
        <w:rPr>
          <w:spacing w:val="-8"/>
          <w:sz w:val="22"/>
        </w:rPr>
        <w:t>basis</w:t>
      </w:r>
      <w:r>
        <w:rPr>
          <w:spacing w:val="-5"/>
          <w:sz w:val="22"/>
        </w:rPr>
        <w:t> </w:t>
      </w:r>
      <w:r>
        <w:rPr>
          <w:spacing w:val="-8"/>
          <w:sz w:val="22"/>
        </w:rPr>
        <w:t>of</w:t>
      </w:r>
      <w:r>
        <w:rPr>
          <w:spacing w:val="-5"/>
          <w:sz w:val="22"/>
        </w:rPr>
        <w:t> </w:t>
      </w:r>
      <w:r>
        <w:rPr>
          <w:spacing w:val="-8"/>
          <w:sz w:val="22"/>
        </w:rPr>
        <w:t>completing </w:t>
      </w:r>
      <w:r>
        <w:rPr>
          <w:spacing w:val="-6"/>
          <w:sz w:val="22"/>
        </w:rPr>
        <w:t>a requisite number of credits from different courses, </w:t>
      </w:r>
      <w:r>
        <w:rPr>
          <w:sz w:val="22"/>
        </w:rPr>
        <w:t>which provides students with choices.</w:t>
      </w:r>
    </w:p>
    <w:p>
      <w:pPr>
        <w:pStyle w:val="ListParagraph"/>
        <w:numPr>
          <w:ilvl w:val="0"/>
          <w:numId w:val="20"/>
        </w:numPr>
        <w:tabs>
          <w:tab w:pos="1440" w:val="left" w:leader="none"/>
        </w:tabs>
        <w:spacing w:line="266" w:lineRule="auto" w:before="0" w:after="0"/>
        <w:ind w:left="1440" w:right="0" w:hanging="360"/>
        <w:jc w:val="both"/>
        <w:rPr>
          <w:sz w:val="22"/>
        </w:rPr>
      </w:pPr>
      <w:r>
        <w:rPr>
          <w:spacing w:val="-2"/>
          <w:sz w:val="22"/>
        </w:rPr>
        <w:t>Universities</w:t>
      </w:r>
      <w:r>
        <w:rPr>
          <w:spacing w:val="-12"/>
          <w:sz w:val="22"/>
        </w:rPr>
        <w:t> </w:t>
      </w:r>
      <w:r>
        <w:rPr>
          <w:spacing w:val="-2"/>
          <w:sz w:val="22"/>
        </w:rPr>
        <w:t>must</w:t>
      </w:r>
      <w:r>
        <w:rPr>
          <w:spacing w:val="-12"/>
          <w:sz w:val="22"/>
        </w:rPr>
        <w:t> </w:t>
      </w:r>
      <w:r>
        <w:rPr>
          <w:spacing w:val="-2"/>
          <w:sz w:val="22"/>
        </w:rPr>
        <w:t>become</w:t>
      </w:r>
      <w:r>
        <w:rPr>
          <w:spacing w:val="-12"/>
          <w:sz w:val="22"/>
        </w:rPr>
        <w:t> </w:t>
      </w:r>
      <w:r>
        <w:rPr>
          <w:spacing w:val="-2"/>
          <w:sz w:val="22"/>
        </w:rPr>
        <w:t>the</w:t>
      </w:r>
      <w:r>
        <w:rPr>
          <w:spacing w:val="-11"/>
          <w:sz w:val="22"/>
        </w:rPr>
        <w:t> </w:t>
      </w:r>
      <w:r>
        <w:rPr>
          <w:spacing w:val="-2"/>
          <w:sz w:val="22"/>
        </w:rPr>
        <w:t>hub</w:t>
      </w:r>
      <w:r>
        <w:rPr>
          <w:spacing w:val="-12"/>
          <w:sz w:val="22"/>
        </w:rPr>
        <w:t> </w:t>
      </w:r>
      <w:r>
        <w:rPr>
          <w:spacing w:val="-2"/>
          <w:sz w:val="22"/>
        </w:rPr>
        <w:t>of</w:t>
      </w:r>
      <w:r>
        <w:rPr>
          <w:spacing w:val="-12"/>
          <w:sz w:val="22"/>
        </w:rPr>
        <w:t> </w:t>
      </w:r>
      <w:r>
        <w:rPr>
          <w:spacing w:val="-2"/>
          <w:sz w:val="22"/>
        </w:rPr>
        <w:t>research</w:t>
      </w:r>
      <w:r>
        <w:rPr>
          <w:spacing w:val="-12"/>
          <w:sz w:val="22"/>
        </w:rPr>
        <w:t> </w:t>
      </w:r>
      <w:r>
        <w:rPr>
          <w:spacing w:val="-2"/>
          <w:sz w:val="22"/>
        </w:rPr>
        <w:t>once </w:t>
      </w:r>
      <w:r>
        <w:rPr>
          <w:sz w:val="22"/>
        </w:rPr>
        <w:t>again to capture synergies between teaching and research that enrich each other.</w:t>
      </w:r>
      <w:r>
        <w:rPr>
          <w:spacing w:val="-5"/>
          <w:sz w:val="22"/>
        </w:rPr>
        <w:t> </w:t>
      </w:r>
      <w:r>
        <w:rPr>
          <w:sz w:val="22"/>
        </w:rPr>
        <w:t>This requires not only</w:t>
      </w:r>
      <w:r>
        <w:rPr>
          <w:spacing w:val="-14"/>
          <w:sz w:val="22"/>
        </w:rPr>
        <w:t> </w:t>
      </w:r>
      <w:r>
        <w:rPr>
          <w:sz w:val="22"/>
        </w:rPr>
        <w:t>policy</w:t>
      </w:r>
      <w:r>
        <w:rPr>
          <w:spacing w:val="-14"/>
          <w:sz w:val="22"/>
        </w:rPr>
        <w:t> </w:t>
      </w:r>
      <w:r>
        <w:rPr>
          <w:sz w:val="22"/>
        </w:rPr>
        <w:t>measures</w:t>
      </w:r>
      <w:r>
        <w:rPr>
          <w:spacing w:val="-14"/>
          <w:sz w:val="22"/>
        </w:rPr>
        <w:t> </w:t>
      </w:r>
      <w:r>
        <w:rPr>
          <w:sz w:val="22"/>
        </w:rPr>
        <w:t>but</w:t>
      </w:r>
      <w:r>
        <w:rPr>
          <w:spacing w:val="-13"/>
          <w:sz w:val="22"/>
        </w:rPr>
        <w:t> </w:t>
      </w:r>
      <w:r>
        <w:rPr>
          <w:sz w:val="22"/>
        </w:rPr>
        <w:t>also</w:t>
      </w:r>
      <w:r>
        <w:rPr>
          <w:spacing w:val="-14"/>
          <w:sz w:val="22"/>
        </w:rPr>
        <w:t> </w:t>
      </w:r>
      <w:r>
        <w:rPr>
          <w:sz w:val="22"/>
        </w:rPr>
        <w:t>changes</w:t>
      </w:r>
      <w:r>
        <w:rPr>
          <w:spacing w:val="-14"/>
          <w:sz w:val="22"/>
        </w:rPr>
        <w:t> </w:t>
      </w:r>
      <w:r>
        <w:rPr>
          <w:sz w:val="22"/>
        </w:rPr>
        <w:t>in</w:t>
      </w:r>
      <w:r>
        <w:rPr>
          <w:spacing w:val="-14"/>
          <w:sz w:val="22"/>
        </w:rPr>
        <w:t> </w:t>
      </w:r>
      <w:r>
        <w:rPr>
          <w:sz w:val="22"/>
        </w:rPr>
        <w:t>resource </w:t>
      </w:r>
      <w:r>
        <w:rPr>
          <w:spacing w:val="-2"/>
          <w:sz w:val="22"/>
        </w:rPr>
        <w:t>allocation,</w:t>
      </w:r>
      <w:r>
        <w:rPr>
          <w:spacing w:val="-12"/>
          <w:sz w:val="22"/>
        </w:rPr>
        <w:t> </w:t>
      </w:r>
      <w:r>
        <w:rPr>
          <w:spacing w:val="-2"/>
          <w:sz w:val="22"/>
        </w:rPr>
        <w:t>reward</w:t>
      </w:r>
      <w:r>
        <w:rPr>
          <w:spacing w:val="-11"/>
          <w:sz w:val="22"/>
        </w:rPr>
        <w:t> </w:t>
      </w:r>
      <w:r>
        <w:rPr>
          <w:spacing w:val="-2"/>
          <w:sz w:val="22"/>
        </w:rPr>
        <w:t>systems</w:t>
      </w:r>
      <w:r>
        <w:rPr>
          <w:spacing w:val="-12"/>
          <w:sz w:val="22"/>
        </w:rPr>
        <w:t> </w:t>
      </w:r>
      <w:r>
        <w:rPr>
          <w:spacing w:val="-2"/>
          <w:sz w:val="22"/>
        </w:rPr>
        <w:t>and</w:t>
      </w:r>
      <w:r>
        <w:rPr>
          <w:spacing w:val="-11"/>
          <w:sz w:val="22"/>
        </w:rPr>
        <w:t> </w:t>
      </w:r>
      <w:r>
        <w:rPr>
          <w:spacing w:val="-2"/>
          <w:sz w:val="22"/>
        </w:rPr>
        <w:t>mindsets.</w:t>
      </w:r>
    </w:p>
    <w:p>
      <w:pPr>
        <w:pStyle w:val="ListParagraph"/>
        <w:numPr>
          <w:ilvl w:val="0"/>
          <w:numId w:val="20"/>
        </w:numPr>
        <w:tabs>
          <w:tab w:pos="1439" w:val="left" w:leader="none"/>
        </w:tabs>
        <w:spacing w:line="266" w:lineRule="auto" w:before="0" w:after="0"/>
        <w:ind w:left="1439" w:right="0" w:hanging="360"/>
        <w:jc w:val="both"/>
        <w:rPr>
          <w:sz w:val="22"/>
        </w:rPr>
      </w:pPr>
      <w:r>
        <w:rPr>
          <w:spacing w:val="-6"/>
          <w:sz w:val="22"/>
        </w:rPr>
        <w:t>There</w:t>
      </w:r>
      <w:r>
        <w:rPr>
          <w:spacing w:val="-8"/>
          <w:sz w:val="22"/>
        </w:rPr>
        <w:t> </w:t>
      </w:r>
      <w:r>
        <w:rPr>
          <w:spacing w:val="-6"/>
          <w:sz w:val="22"/>
        </w:rPr>
        <w:t>must</w:t>
      </w:r>
      <w:r>
        <w:rPr>
          <w:spacing w:val="-8"/>
          <w:sz w:val="22"/>
        </w:rPr>
        <w:t> </w:t>
      </w:r>
      <w:r>
        <w:rPr>
          <w:spacing w:val="-6"/>
          <w:sz w:val="22"/>
        </w:rPr>
        <w:t>be</w:t>
      </w:r>
      <w:r>
        <w:rPr>
          <w:spacing w:val="-8"/>
          <w:sz w:val="22"/>
        </w:rPr>
        <w:t> </w:t>
      </w:r>
      <w:r>
        <w:rPr>
          <w:spacing w:val="-6"/>
          <w:sz w:val="22"/>
        </w:rPr>
        <w:t>a</w:t>
      </w:r>
      <w:r>
        <w:rPr>
          <w:spacing w:val="-7"/>
          <w:sz w:val="22"/>
        </w:rPr>
        <w:t> </w:t>
      </w:r>
      <w:r>
        <w:rPr>
          <w:spacing w:val="-6"/>
          <w:sz w:val="22"/>
        </w:rPr>
        <w:t>conscious</w:t>
      </w:r>
      <w:r>
        <w:rPr>
          <w:spacing w:val="-8"/>
          <w:sz w:val="22"/>
        </w:rPr>
        <w:t> </w:t>
      </w:r>
      <w:r>
        <w:rPr>
          <w:spacing w:val="-6"/>
          <w:sz w:val="22"/>
        </w:rPr>
        <w:t>effort</w:t>
      </w:r>
      <w:r>
        <w:rPr>
          <w:spacing w:val="-8"/>
          <w:sz w:val="22"/>
        </w:rPr>
        <w:t> </w:t>
      </w:r>
      <w:r>
        <w:rPr>
          <w:spacing w:val="-6"/>
          <w:sz w:val="22"/>
        </w:rPr>
        <w:t>to</w:t>
      </w:r>
      <w:r>
        <w:rPr>
          <w:spacing w:val="-8"/>
          <w:sz w:val="22"/>
        </w:rPr>
        <w:t> </w:t>
      </w:r>
      <w:r>
        <w:rPr>
          <w:spacing w:val="-6"/>
          <w:sz w:val="22"/>
        </w:rPr>
        <w:t>attract</w:t>
      </w:r>
      <w:r>
        <w:rPr>
          <w:spacing w:val="-7"/>
          <w:sz w:val="22"/>
        </w:rPr>
        <w:t> </w:t>
      </w:r>
      <w:r>
        <w:rPr>
          <w:spacing w:val="-6"/>
          <w:sz w:val="22"/>
        </w:rPr>
        <w:t>and</w:t>
      </w:r>
      <w:r>
        <w:rPr>
          <w:spacing w:val="-8"/>
          <w:sz w:val="22"/>
        </w:rPr>
        <w:t> </w:t>
      </w:r>
      <w:r>
        <w:rPr>
          <w:spacing w:val="-6"/>
          <w:sz w:val="22"/>
        </w:rPr>
        <w:t>retain </w:t>
      </w:r>
      <w:r>
        <w:rPr>
          <w:sz w:val="22"/>
        </w:rPr>
        <w:t>talented</w:t>
      </w:r>
      <w:r>
        <w:rPr>
          <w:spacing w:val="-3"/>
          <w:sz w:val="22"/>
        </w:rPr>
        <w:t> </w:t>
      </w:r>
      <w:r>
        <w:rPr>
          <w:sz w:val="22"/>
        </w:rPr>
        <w:t>faculty</w:t>
      </w:r>
      <w:r>
        <w:rPr>
          <w:spacing w:val="-3"/>
          <w:sz w:val="22"/>
        </w:rPr>
        <w:t> </w:t>
      </w:r>
      <w:r>
        <w:rPr>
          <w:sz w:val="22"/>
        </w:rPr>
        <w:t>members</w:t>
      </w:r>
      <w:r>
        <w:rPr>
          <w:spacing w:val="-3"/>
          <w:sz w:val="22"/>
        </w:rPr>
        <w:t> </w:t>
      </w:r>
      <w:r>
        <w:rPr>
          <w:sz w:val="22"/>
        </w:rPr>
        <w:t>through</w:t>
      </w:r>
      <w:r>
        <w:rPr>
          <w:spacing w:val="-3"/>
          <w:sz w:val="22"/>
        </w:rPr>
        <w:t> </w:t>
      </w:r>
      <w:r>
        <w:rPr>
          <w:sz w:val="22"/>
        </w:rPr>
        <w:t>better</w:t>
      </w:r>
      <w:r>
        <w:rPr>
          <w:spacing w:val="-3"/>
          <w:sz w:val="22"/>
        </w:rPr>
        <w:t> </w:t>
      </w:r>
      <w:r>
        <w:rPr>
          <w:sz w:val="22"/>
        </w:rPr>
        <w:t>working </w:t>
      </w:r>
      <w:r>
        <w:rPr>
          <w:spacing w:val="-8"/>
          <w:sz w:val="22"/>
        </w:rPr>
        <w:t>conditions</w:t>
      </w:r>
      <w:r>
        <w:rPr>
          <w:spacing w:val="-14"/>
          <w:sz w:val="22"/>
        </w:rPr>
        <w:t> </w:t>
      </w:r>
      <w:r>
        <w:rPr>
          <w:spacing w:val="-8"/>
          <w:sz w:val="22"/>
        </w:rPr>
        <w:t>combined</w:t>
      </w:r>
      <w:r>
        <w:rPr>
          <w:spacing w:val="-14"/>
          <w:sz w:val="22"/>
        </w:rPr>
        <w:t> </w:t>
      </w:r>
      <w:r>
        <w:rPr>
          <w:spacing w:val="-8"/>
          <w:sz w:val="22"/>
        </w:rPr>
        <w:t>with</w:t>
      </w:r>
      <w:r>
        <w:rPr>
          <w:spacing w:val="-14"/>
          <w:sz w:val="22"/>
        </w:rPr>
        <w:t> </w:t>
      </w:r>
      <w:r>
        <w:rPr>
          <w:spacing w:val="-8"/>
          <w:sz w:val="22"/>
        </w:rPr>
        <w:t>incentives</w:t>
      </w:r>
      <w:r>
        <w:rPr>
          <w:spacing w:val="-14"/>
          <w:sz w:val="22"/>
        </w:rPr>
        <w:t> </w:t>
      </w:r>
      <w:r>
        <w:rPr>
          <w:spacing w:val="-8"/>
          <w:sz w:val="22"/>
        </w:rPr>
        <w:t>for</w:t>
      </w:r>
      <w:r>
        <w:rPr>
          <w:spacing w:val="-14"/>
          <w:sz w:val="22"/>
        </w:rPr>
        <w:t> </w:t>
      </w:r>
      <w:r>
        <w:rPr>
          <w:spacing w:val="-8"/>
          <w:sz w:val="22"/>
        </w:rPr>
        <w:t>performance.</w:t>
      </w:r>
    </w:p>
    <w:p>
      <w:pPr>
        <w:pStyle w:val="ListParagraph"/>
        <w:numPr>
          <w:ilvl w:val="0"/>
          <w:numId w:val="20"/>
        </w:numPr>
        <w:tabs>
          <w:tab w:pos="1439" w:val="left" w:leader="none"/>
        </w:tabs>
        <w:spacing w:line="266" w:lineRule="auto" w:before="0" w:after="0"/>
        <w:ind w:left="1439" w:right="0" w:hanging="360"/>
        <w:jc w:val="both"/>
        <w:rPr>
          <w:sz w:val="22"/>
        </w:rPr>
      </w:pPr>
      <w:r>
        <w:rPr>
          <w:sz w:val="22"/>
        </w:rPr>
        <w:t>The</w:t>
      </w:r>
      <w:r>
        <w:rPr>
          <w:spacing w:val="-10"/>
          <w:sz w:val="22"/>
        </w:rPr>
        <w:t> </w:t>
      </w:r>
      <w:r>
        <w:rPr>
          <w:sz w:val="22"/>
        </w:rPr>
        <w:t>criteria</w:t>
      </w:r>
      <w:r>
        <w:rPr>
          <w:spacing w:val="-10"/>
          <w:sz w:val="22"/>
        </w:rPr>
        <w:t> </w:t>
      </w:r>
      <w:r>
        <w:rPr>
          <w:sz w:val="22"/>
        </w:rPr>
        <w:t>for</w:t>
      </w:r>
      <w:r>
        <w:rPr>
          <w:spacing w:val="-10"/>
          <w:sz w:val="22"/>
        </w:rPr>
        <w:t> </w:t>
      </w:r>
      <w:r>
        <w:rPr>
          <w:sz w:val="22"/>
        </w:rPr>
        <w:t>resource</w:t>
      </w:r>
      <w:r>
        <w:rPr>
          <w:spacing w:val="-10"/>
          <w:sz w:val="22"/>
        </w:rPr>
        <w:t> </w:t>
      </w:r>
      <w:r>
        <w:rPr>
          <w:sz w:val="22"/>
        </w:rPr>
        <w:t>allocation</w:t>
      </w:r>
      <w:r>
        <w:rPr>
          <w:spacing w:val="-10"/>
          <w:sz w:val="22"/>
        </w:rPr>
        <w:t> </w:t>
      </w:r>
      <w:r>
        <w:rPr>
          <w:sz w:val="22"/>
        </w:rPr>
        <w:t>to</w:t>
      </w:r>
      <w:r>
        <w:rPr>
          <w:spacing w:val="-10"/>
          <w:sz w:val="22"/>
        </w:rPr>
        <w:t> </w:t>
      </w:r>
      <w:r>
        <w:rPr>
          <w:sz w:val="22"/>
        </w:rPr>
        <w:t>universities </w:t>
      </w:r>
      <w:r>
        <w:rPr>
          <w:spacing w:val="-4"/>
          <w:sz w:val="22"/>
        </w:rPr>
        <w:t>should</w:t>
      </w:r>
      <w:r>
        <w:rPr>
          <w:spacing w:val="-10"/>
          <w:sz w:val="22"/>
        </w:rPr>
        <w:t> </w:t>
      </w:r>
      <w:r>
        <w:rPr>
          <w:spacing w:val="-4"/>
          <w:sz w:val="22"/>
        </w:rPr>
        <w:t>seek</w:t>
      </w:r>
      <w:r>
        <w:rPr>
          <w:spacing w:val="-10"/>
          <w:sz w:val="22"/>
        </w:rPr>
        <w:t> </w:t>
      </w:r>
      <w:r>
        <w:rPr>
          <w:spacing w:val="-4"/>
          <w:sz w:val="22"/>
        </w:rPr>
        <w:t>to</w:t>
      </w:r>
      <w:r>
        <w:rPr>
          <w:spacing w:val="-10"/>
          <w:sz w:val="22"/>
        </w:rPr>
        <w:t> </w:t>
      </w:r>
      <w:r>
        <w:rPr>
          <w:spacing w:val="-4"/>
          <w:sz w:val="22"/>
        </w:rPr>
        <w:t>strike</w:t>
      </w:r>
      <w:r>
        <w:rPr>
          <w:spacing w:val="-9"/>
          <w:sz w:val="22"/>
        </w:rPr>
        <w:t> </w:t>
      </w:r>
      <w:r>
        <w:rPr>
          <w:spacing w:val="-4"/>
          <w:sz w:val="22"/>
        </w:rPr>
        <w:t>a</w:t>
      </w:r>
      <w:r>
        <w:rPr>
          <w:spacing w:val="-10"/>
          <w:sz w:val="22"/>
        </w:rPr>
        <w:t> </w:t>
      </w:r>
      <w:r>
        <w:rPr>
          <w:spacing w:val="-4"/>
          <w:sz w:val="22"/>
        </w:rPr>
        <w:t>much</w:t>
      </w:r>
      <w:r>
        <w:rPr>
          <w:spacing w:val="-10"/>
          <w:sz w:val="22"/>
        </w:rPr>
        <w:t> </w:t>
      </w:r>
      <w:r>
        <w:rPr>
          <w:spacing w:val="-4"/>
          <w:sz w:val="22"/>
        </w:rPr>
        <w:t>better</w:t>
      </w:r>
      <w:r>
        <w:rPr>
          <w:spacing w:val="-10"/>
          <w:sz w:val="22"/>
        </w:rPr>
        <w:t> </w:t>
      </w:r>
      <w:r>
        <w:rPr>
          <w:spacing w:val="-4"/>
          <w:sz w:val="22"/>
        </w:rPr>
        <w:t>balance</w:t>
      </w:r>
      <w:r>
        <w:rPr>
          <w:spacing w:val="-9"/>
          <w:sz w:val="22"/>
        </w:rPr>
        <w:t> </w:t>
      </w:r>
      <w:r>
        <w:rPr>
          <w:spacing w:val="-4"/>
          <w:sz w:val="22"/>
        </w:rPr>
        <w:t>between providing</w:t>
      </w:r>
      <w:r>
        <w:rPr>
          <w:spacing w:val="-10"/>
          <w:sz w:val="22"/>
        </w:rPr>
        <w:t> </w:t>
      </w:r>
      <w:r>
        <w:rPr>
          <w:spacing w:val="-4"/>
          <w:sz w:val="22"/>
        </w:rPr>
        <w:t>for</w:t>
      </w:r>
      <w:r>
        <w:rPr>
          <w:spacing w:val="-10"/>
          <w:sz w:val="22"/>
        </w:rPr>
        <w:t> </w:t>
      </w:r>
      <w:r>
        <w:rPr>
          <w:spacing w:val="-4"/>
          <w:sz w:val="22"/>
        </w:rPr>
        <w:t>salaries</w:t>
      </w:r>
      <w:r>
        <w:rPr>
          <w:spacing w:val="-9"/>
          <w:sz w:val="22"/>
        </w:rPr>
        <w:t> </w:t>
      </w:r>
      <w:r>
        <w:rPr>
          <w:spacing w:val="-4"/>
          <w:sz w:val="22"/>
        </w:rPr>
        <w:t>or</w:t>
      </w:r>
      <w:r>
        <w:rPr>
          <w:spacing w:val="-10"/>
          <w:sz w:val="22"/>
        </w:rPr>
        <w:t> </w:t>
      </w:r>
      <w:r>
        <w:rPr>
          <w:spacing w:val="-4"/>
          <w:sz w:val="22"/>
        </w:rPr>
        <w:t>pensions</w:t>
      </w:r>
      <w:r>
        <w:rPr>
          <w:spacing w:val="-10"/>
          <w:sz w:val="22"/>
        </w:rPr>
        <w:t> </w:t>
      </w:r>
      <w:r>
        <w:rPr>
          <w:spacing w:val="-4"/>
          <w:sz w:val="22"/>
        </w:rPr>
        <w:t>and</w:t>
      </w:r>
      <w:r>
        <w:rPr>
          <w:spacing w:val="-9"/>
          <w:sz w:val="22"/>
        </w:rPr>
        <w:t> </w:t>
      </w:r>
      <w:r>
        <w:rPr>
          <w:spacing w:val="-4"/>
          <w:sz w:val="22"/>
        </w:rPr>
        <w:t>providing</w:t>
      </w:r>
      <w:r>
        <w:rPr>
          <w:spacing w:val="-10"/>
          <w:sz w:val="22"/>
        </w:rPr>
        <w:t> </w:t>
      </w:r>
      <w:r>
        <w:rPr>
          <w:spacing w:val="-4"/>
          <w:sz w:val="22"/>
        </w:rPr>
        <w:t>for maintenance,</w:t>
      </w:r>
      <w:r>
        <w:rPr>
          <w:spacing w:val="-7"/>
          <w:sz w:val="22"/>
        </w:rPr>
        <w:t> </w:t>
      </w:r>
      <w:r>
        <w:rPr>
          <w:spacing w:val="-4"/>
          <w:sz w:val="22"/>
        </w:rPr>
        <w:t>development</w:t>
      </w:r>
      <w:r>
        <w:rPr>
          <w:spacing w:val="-7"/>
          <w:sz w:val="22"/>
        </w:rPr>
        <w:t> </w:t>
      </w:r>
      <w:r>
        <w:rPr>
          <w:spacing w:val="-4"/>
          <w:sz w:val="22"/>
        </w:rPr>
        <w:t>or</w:t>
      </w:r>
      <w:r>
        <w:rPr>
          <w:spacing w:val="-7"/>
          <w:sz w:val="22"/>
        </w:rPr>
        <w:t> </w:t>
      </w:r>
      <w:r>
        <w:rPr>
          <w:spacing w:val="-4"/>
          <w:sz w:val="22"/>
        </w:rPr>
        <w:t>investment.</w:t>
      </w:r>
      <w:r>
        <w:rPr>
          <w:spacing w:val="-7"/>
          <w:sz w:val="22"/>
        </w:rPr>
        <w:t> </w:t>
      </w:r>
      <w:r>
        <w:rPr>
          <w:spacing w:val="-4"/>
          <w:sz w:val="22"/>
        </w:rPr>
        <w:t>It</w:t>
      </w:r>
      <w:r>
        <w:rPr>
          <w:spacing w:val="-7"/>
          <w:sz w:val="22"/>
        </w:rPr>
        <w:t> </w:t>
      </w:r>
      <w:r>
        <w:rPr>
          <w:spacing w:val="-4"/>
          <w:sz w:val="22"/>
        </w:rPr>
        <w:t>should </w:t>
      </w:r>
      <w:r>
        <w:rPr>
          <w:spacing w:val="-6"/>
          <w:sz w:val="22"/>
        </w:rPr>
        <w:t>also recognise the importance of a critical minimum </w:t>
      </w:r>
      <w:r>
        <w:rPr>
          <w:sz w:val="22"/>
        </w:rPr>
        <w:t>to ensure standards and strategic preferences to promote excellence.</w:t>
      </w:r>
    </w:p>
    <w:p>
      <w:pPr>
        <w:pStyle w:val="ListParagraph"/>
        <w:numPr>
          <w:ilvl w:val="0"/>
          <w:numId w:val="20"/>
        </w:numPr>
        <w:tabs>
          <w:tab w:pos="1439" w:val="left" w:leader="none"/>
        </w:tabs>
        <w:spacing w:line="266" w:lineRule="auto" w:before="0" w:after="0"/>
        <w:ind w:left="1439" w:right="0" w:hanging="360"/>
        <w:jc w:val="both"/>
        <w:rPr>
          <w:sz w:val="22"/>
        </w:rPr>
      </w:pPr>
      <w:r>
        <w:rPr>
          <w:sz w:val="22"/>
        </w:rPr>
        <w:t>The</w:t>
      </w:r>
      <w:r>
        <w:rPr>
          <w:spacing w:val="40"/>
          <w:sz w:val="22"/>
        </w:rPr>
        <w:t> </w:t>
      </w:r>
      <w:r>
        <w:rPr>
          <w:sz w:val="22"/>
        </w:rPr>
        <w:t>elements</w:t>
      </w:r>
      <w:r>
        <w:rPr>
          <w:spacing w:val="40"/>
          <w:sz w:val="22"/>
        </w:rPr>
        <w:t> </w:t>
      </w:r>
      <w:r>
        <w:rPr>
          <w:sz w:val="22"/>
        </w:rPr>
        <w:t>of</w:t>
      </w:r>
      <w:r>
        <w:rPr>
          <w:spacing w:val="40"/>
          <w:sz w:val="22"/>
        </w:rPr>
        <w:t> </w:t>
      </w:r>
      <w:r>
        <w:rPr>
          <w:sz w:val="22"/>
        </w:rPr>
        <w:t>infrastructure</w:t>
      </w:r>
      <w:r>
        <w:rPr>
          <w:spacing w:val="40"/>
          <w:sz w:val="22"/>
        </w:rPr>
        <w:t> </w:t>
      </w:r>
      <w:r>
        <w:rPr>
          <w:sz w:val="22"/>
        </w:rPr>
        <w:t>that</w:t>
      </w:r>
      <w:r>
        <w:rPr>
          <w:spacing w:val="40"/>
          <w:sz w:val="22"/>
        </w:rPr>
        <w:t> </w:t>
      </w:r>
      <w:r>
        <w:rPr>
          <w:sz w:val="22"/>
        </w:rPr>
        <w:t>support</w:t>
      </w:r>
      <w:r>
        <w:rPr>
          <w:spacing w:val="80"/>
          <w:w w:val="150"/>
          <w:sz w:val="22"/>
        </w:rPr>
        <w:t> </w:t>
      </w:r>
      <w:r>
        <w:rPr>
          <w:sz w:val="22"/>
        </w:rPr>
        <w:t>the teaching-learning process, such as libraries, </w:t>
      </w:r>
      <w:r>
        <w:rPr>
          <w:spacing w:val="-4"/>
          <w:sz w:val="22"/>
        </w:rPr>
        <w:t>laboratories</w:t>
      </w:r>
      <w:r>
        <w:rPr>
          <w:spacing w:val="-9"/>
          <w:sz w:val="22"/>
        </w:rPr>
        <w:t> </w:t>
      </w:r>
      <w:r>
        <w:rPr>
          <w:spacing w:val="-4"/>
          <w:sz w:val="22"/>
        </w:rPr>
        <w:t>and</w:t>
      </w:r>
      <w:r>
        <w:rPr>
          <w:spacing w:val="-9"/>
          <w:sz w:val="22"/>
        </w:rPr>
        <w:t> </w:t>
      </w:r>
      <w:r>
        <w:rPr>
          <w:spacing w:val="-4"/>
          <w:sz w:val="22"/>
        </w:rPr>
        <w:t>connectivity,</w:t>
      </w:r>
      <w:r>
        <w:rPr>
          <w:spacing w:val="-9"/>
          <w:sz w:val="22"/>
        </w:rPr>
        <w:t> </w:t>
      </w:r>
      <w:r>
        <w:rPr>
          <w:spacing w:val="-4"/>
          <w:sz w:val="22"/>
        </w:rPr>
        <w:t>need</w:t>
      </w:r>
      <w:r>
        <w:rPr>
          <w:spacing w:val="-9"/>
          <w:sz w:val="22"/>
        </w:rPr>
        <w:t> </w:t>
      </w:r>
      <w:r>
        <w:rPr>
          <w:spacing w:val="-4"/>
          <w:sz w:val="22"/>
        </w:rPr>
        <w:t>to</w:t>
      </w:r>
      <w:r>
        <w:rPr>
          <w:spacing w:val="-9"/>
          <w:sz w:val="22"/>
        </w:rPr>
        <w:t> </w:t>
      </w:r>
      <w:r>
        <w:rPr>
          <w:spacing w:val="-4"/>
          <w:sz w:val="22"/>
        </w:rPr>
        <w:t>be</w:t>
      </w:r>
      <w:r>
        <w:rPr>
          <w:spacing w:val="-9"/>
          <w:sz w:val="22"/>
        </w:rPr>
        <w:t> </w:t>
      </w:r>
      <w:r>
        <w:rPr>
          <w:spacing w:val="-4"/>
          <w:sz w:val="22"/>
        </w:rPr>
        <w:t>monitored </w:t>
      </w:r>
      <w:r>
        <w:rPr>
          <w:sz w:val="22"/>
        </w:rPr>
        <w:t>and upgraded on a regular basis.</w:t>
      </w:r>
    </w:p>
    <w:p>
      <w:pPr>
        <w:pStyle w:val="ListParagraph"/>
        <w:numPr>
          <w:ilvl w:val="0"/>
          <w:numId w:val="20"/>
        </w:numPr>
        <w:tabs>
          <w:tab w:pos="1439" w:val="left" w:leader="none"/>
        </w:tabs>
        <w:spacing w:line="266" w:lineRule="auto" w:before="0" w:after="0"/>
        <w:ind w:left="1439" w:right="0" w:hanging="360"/>
        <w:jc w:val="both"/>
        <w:rPr>
          <w:sz w:val="22"/>
        </w:rPr>
      </w:pPr>
      <w:r>
        <w:rPr>
          <w:sz w:val="22"/>
        </w:rPr>
        <w:t>There</w:t>
      </w:r>
      <w:r>
        <w:rPr>
          <w:spacing w:val="-11"/>
          <w:sz w:val="22"/>
        </w:rPr>
        <w:t> </w:t>
      </w:r>
      <w:r>
        <w:rPr>
          <w:sz w:val="22"/>
        </w:rPr>
        <w:t>is</w:t>
      </w:r>
      <w:r>
        <w:rPr>
          <w:spacing w:val="-11"/>
          <w:sz w:val="22"/>
        </w:rPr>
        <w:t> </w:t>
      </w:r>
      <w:r>
        <w:rPr>
          <w:sz w:val="22"/>
        </w:rPr>
        <w:t>an</w:t>
      </w:r>
      <w:r>
        <w:rPr>
          <w:spacing w:val="-11"/>
          <w:sz w:val="22"/>
        </w:rPr>
        <w:t> </w:t>
      </w:r>
      <w:r>
        <w:rPr>
          <w:sz w:val="22"/>
        </w:rPr>
        <w:t>acute</w:t>
      </w:r>
      <w:r>
        <w:rPr>
          <w:spacing w:val="-11"/>
          <w:sz w:val="22"/>
        </w:rPr>
        <w:t> </w:t>
      </w:r>
      <w:r>
        <w:rPr>
          <w:sz w:val="22"/>
        </w:rPr>
        <w:t>need</w:t>
      </w:r>
      <w:r>
        <w:rPr>
          <w:spacing w:val="-11"/>
          <w:sz w:val="22"/>
        </w:rPr>
        <w:t> </w:t>
      </w:r>
      <w:r>
        <w:rPr>
          <w:sz w:val="22"/>
        </w:rPr>
        <w:t>for</w:t>
      </w:r>
      <w:r>
        <w:rPr>
          <w:spacing w:val="-11"/>
          <w:sz w:val="22"/>
        </w:rPr>
        <w:t> </w:t>
      </w:r>
      <w:r>
        <w:rPr>
          <w:sz w:val="22"/>
        </w:rPr>
        <w:t>reform</w:t>
      </w:r>
      <w:r>
        <w:rPr>
          <w:spacing w:val="-11"/>
          <w:sz w:val="22"/>
        </w:rPr>
        <w:t> </w:t>
      </w:r>
      <w:r>
        <w:rPr>
          <w:sz w:val="22"/>
        </w:rPr>
        <w:t>in</w:t>
      </w:r>
      <w:r>
        <w:rPr>
          <w:spacing w:val="-11"/>
          <w:sz w:val="22"/>
        </w:rPr>
        <w:t> </w:t>
      </w:r>
      <w:r>
        <w:rPr>
          <w:sz w:val="22"/>
        </w:rPr>
        <w:t>the</w:t>
      </w:r>
      <w:r>
        <w:rPr>
          <w:spacing w:val="-11"/>
          <w:sz w:val="22"/>
        </w:rPr>
        <w:t> </w:t>
      </w:r>
      <w:r>
        <w:rPr>
          <w:sz w:val="22"/>
        </w:rPr>
        <w:t>structures of</w:t>
      </w:r>
      <w:r>
        <w:rPr>
          <w:spacing w:val="-9"/>
          <w:sz w:val="22"/>
        </w:rPr>
        <w:t> </w:t>
      </w:r>
      <w:r>
        <w:rPr>
          <w:sz w:val="22"/>
        </w:rPr>
        <w:t>governance</w:t>
      </w:r>
      <w:r>
        <w:rPr>
          <w:spacing w:val="-9"/>
          <w:sz w:val="22"/>
        </w:rPr>
        <w:t> </w:t>
      </w:r>
      <w:r>
        <w:rPr>
          <w:sz w:val="22"/>
        </w:rPr>
        <w:t>of</w:t>
      </w:r>
      <w:r>
        <w:rPr>
          <w:spacing w:val="-9"/>
          <w:sz w:val="22"/>
        </w:rPr>
        <w:t> </w:t>
      </w:r>
      <w:r>
        <w:rPr>
          <w:sz w:val="22"/>
        </w:rPr>
        <w:t>universities</w:t>
      </w:r>
      <w:r>
        <w:rPr>
          <w:spacing w:val="-9"/>
          <w:sz w:val="22"/>
        </w:rPr>
        <w:t> </w:t>
      </w:r>
      <w:r>
        <w:rPr>
          <w:sz w:val="22"/>
        </w:rPr>
        <w:t>that</w:t>
      </w:r>
      <w:r>
        <w:rPr>
          <w:spacing w:val="-9"/>
          <w:sz w:val="22"/>
        </w:rPr>
        <w:t> </w:t>
      </w:r>
      <w:r>
        <w:rPr>
          <w:sz w:val="22"/>
        </w:rPr>
        <w:t>do</w:t>
      </w:r>
      <w:r>
        <w:rPr>
          <w:spacing w:val="-9"/>
          <w:sz w:val="22"/>
        </w:rPr>
        <w:t> </w:t>
      </w:r>
      <w:r>
        <w:rPr>
          <w:sz w:val="22"/>
        </w:rPr>
        <w:t>not</w:t>
      </w:r>
      <w:r>
        <w:rPr>
          <w:spacing w:val="-9"/>
          <w:sz w:val="22"/>
        </w:rPr>
        <w:t> </w:t>
      </w:r>
      <w:r>
        <w:rPr>
          <w:sz w:val="22"/>
        </w:rPr>
        <w:t>preserve </w:t>
      </w:r>
      <w:r>
        <w:rPr>
          <w:spacing w:val="-6"/>
          <w:sz w:val="22"/>
        </w:rPr>
        <w:t>autonomy and do not promote accountability. Much </w:t>
      </w:r>
      <w:r>
        <w:rPr>
          <w:spacing w:val="-2"/>
          <w:sz w:val="22"/>
        </w:rPr>
        <w:t>needs</w:t>
      </w:r>
      <w:r>
        <w:rPr>
          <w:spacing w:val="-14"/>
          <w:sz w:val="22"/>
        </w:rPr>
        <w:t> </w:t>
      </w:r>
      <w:r>
        <w:rPr>
          <w:spacing w:val="-2"/>
          <w:sz w:val="22"/>
        </w:rPr>
        <w:t>to</w:t>
      </w:r>
      <w:r>
        <w:rPr>
          <w:spacing w:val="-12"/>
          <w:sz w:val="22"/>
        </w:rPr>
        <w:t> </w:t>
      </w:r>
      <w:r>
        <w:rPr>
          <w:spacing w:val="-2"/>
          <w:sz w:val="22"/>
        </w:rPr>
        <w:t>be</w:t>
      </w:r>
      <w:r>
        <w:rPr>
          <w:spacing w:val="-12"/>
          <w:sz w:val="22"/>
        </w:rPr>
        <w:t> </w:t>
      </w:r>
      <w:r>
        <w:rPr>
          <w:spacing w:val="-2"/>
          <w:sz w:val="22"/>
        </w:rPr>
        <w:t>done,</w:t>
      </w:r>
      <w:r>
        <w:rPr>
          <w:spacing w:val="-11"/>
          <w:sz w:val="22"/>
        </w:rPr>
        <w:t> </w:t>
      </w:r>
      <w:r>
        <w:rPr>
          <w:spacing w:val="-2"/>
          <w:sz w:val="22"/>
        </w:rPr>
        <w:t>but</w:t>
      </w:r>
      <w:r>
        <w:rPr>
          <w:spacing w:val="-12"/>
          <w:sz w:val="22"/>
        </w:rPr>
        <w:t> </w:t>
      </w:r>
      <w:r>
        <w:rPr>
          <w:spacing w:val="-2"/>
          <w:sz w:val="22"/>
        </w:rPr>
        <w:t>two</w:t>
      </w:r>
      <w:r>
        <w:rPr>
          <w:spacing w:val="-12"/>
          <w:sz w:val="22"/>
        </w:rPr>
        <w:t> </w:t>
      </w:r>
      <w:r>
        <w:rPr>
          <w:spacing w:val="-2"/>
          <w:sz w:val="22"/>
        </w:rPr>
        <w:t>important</w:t>
      </w:r>
      <w:r>
        <w:rPr>
          <w:spacing w:val="-12"/>
          <w:sz w:val="22"/>
        </w:rPr>
        <w:t> </w:t>
      </w:r>
      <w:r>
        <w:rPr>
          <w:spacing w:val="-2"/>
          <w:sz w:val="22"/>
        </w:rPr>
        <w:t>points</w:t>
      </w:r>
      <w:r>
        <w:rPr>
          <w:spacing w:val="-11"/>
          <w:sz w:val="22"/>
        </w:rPr>
        <w:t> </w:t>
      </w:r>
      <w:r>
        <w:rPr>
          <w:spacing w:val="-2"/>
          <w:sz w:val="22"/>
        </w:rPr>
        <w:t>deserve </w:t>
      </w:r>
      <w:r>
        <w:rPr>
          <w:sz w:val="22"/>
        </w:rPr>
        <w:t>mention. The appointments of Vice-Chancellors must</w:t>
      </w:r>
      <w:r>
        <w:rPr>
          <w:spacing w:val="-14"/>
          <w:sz w:val="22"/>
        </w:rPr>
        <w:t> </w:t>
      </w:r>
      <w:r>
        <w:rPr>
          <w:sz w:val="22"/>
        </w:rPr>
        <w:t>be</w:t>
      </w:r>
      <w:r>
        <w:rPr>
          <w:spacing w:val="-14"/>
          <w:sz w:val="22"/>
        </w:rPr>
        <w:t> </w:t>
      </w:r>
      <w:r>
        <w:rPr>
          <w:sz w:val="22"/>
        </w:rPr>
        <w:t>freed</w:t>
      </w:r>
      <w:r>
        <w:rPr>
          <w:spacing w:val="-14"/>
          <w:sz w:val="22"/>
        </w:rPr>
        <w:t> </w:t>
      </w:r>
      <w:r>
        <w:rPr>
          <w:sz w:val="22"/>
        </w:rPr>
        <w:t>from</w:t>
      </w:r>
      <w:r>
        <w:rPr>
          <w:spacing w:val="-13"/>
          <w:sz w:val="22"/>
        </w:rPr>
        <w:t> </w:t>
      </w:r>
      <w:r>
        <w:rPr>
          <w:sz w:val="22"/>
        </w:rPr>
        <w:t>direct</w:t>
      </w:r>
      <w:r>
        <w:rPr>
          <w:spacing w:val="-14"/>
          <w:sz w:val="22"/>
        </w:rPr>
        <w:t> </w:t>
      </w:r>
      <w:r>
        <w:rPr>
          <w:sz w:val="22"/>
        </w:rPr>
        <w:t>or</w:t>
      </w:r>
      <w:r>
        <w:rPr>
          <w:spacing w:val="-14"/>
          <w:sz w:val="22"/>
        </w:rPr>
        <w:t> </w:t>
      </w:r>
      <w:r>
        <w:rPr>
          <w:sz w:val="22"/>
        </w:rPr>
        <w:t>indirect</w:t>
      </w:r>
      <w:r>
        <w:rPr>
          <w:spacing w:val="-14"/>
          <w:sz w:val="22"/>
        </w:rPr>
        <w:t> </w:t>
      </w:r>
      <w:r>
        <w:rPr>
          <w:sz w:val="22"/>
        </w:rPr>
        <w:t>interventions on the part of governments, for these should be </w:t>
      </w:r>
      <w:r>
        <w:rPr>
          <w:spacing w:val="-6"/>
          <w:sz w:val="22"/>
        </w:rPr>
        <w:t>based on search processes and peer judgment alone. </w:t>
      </w:r>
      <w:r>
        <w:rPr>
          <w:sz w:val="22"/>
        </w:rPr>
        <w:t>The size and composition of University Courts, Academic Councils and Executive Councils, which</w:t>
      </w:r>
      <w:r>
        <w:rPr>
          <w:spacing w:val="-10"/>
          <w:sz w:val="22"/>
        </w:rPr>
        <w:t> </w:t>
      </w:r>
      <w:r>
        <w:rPr>
          <w:sz w:val="22"/>
        </w:rPr>
        <w:t>slow</w:t>
      </w:r>
      <w:r>
        <w:rPr>
          <w:spacing w:val="-10"/>
          <w:sz w:val="22"/>
        </w:rPr>
        <w:t> </w:t>
      </w:r>
      <w:r>
        <w:rPr>
          <w:sz w:val="22"/>
        </w:rPr>
        <w:t>down</w:t>
      </w:r>
      <w:r>
        <w:rPr>
          <w:spacing w:val="-10"/>
          <w:sz w:val="22"/>
        </w:rPr>
        <w:t> </w:t>
      </w:r>
      <w:r>
        <w:rPr>
          <w:sz w:val="22"/>
        </w:rPr>
        <w:t>decision-making</w:t>
      </w:r>
      <w:r>
        <w:rPr>
          <w:spacing w:val="-10"/>
          <w:sz w:val="22"/>
        </w:rPr>
        <w:t> </w:t>
      </w:r>
      <w:r>
        <w:rPr>
          <w:sz w:val="22"/>
        </w:rPr>
        <w:t>processes</w:t>
      </w:r>
      <w:r>
        <w:rPr>
          <w:spacing w:val="-10"/>
          <w:sz w:val="22"/>
        </w:rPr>
        <w:t> </w:t>
      </w:r>
      <w:r>
        <w:rPr>
          <w:sz w:val="22"/>
        </w:rPr>
        <w:t>and sometimes constitute an impediment to change, need to be reconsidered on a priority basis.</w:t>
      </w:r>
    </w:p>
    <w:p>
      <w:pPr>
        <w:pStyle w:val="ListParagraph"/>
        <w:numPr>
          <w:ilvl w:val="0"/>
          <w:numId w:val="20"/>
        </w:numPr>
        <w:tabs>
          <w:tab w:pos="1438" w:val="left" w:leader="none"/>
        </w:tabs>
        <w:spacing w:line="242" w:lineRule="exact" w:before="0" w:after="0"/>
        <w:ind w:left="1438" w:right="0" w:hanging="359"/>
        <w:jc w:val="both"/>
        <w:rPr>
          <w:sz w:val="22"/>
        </w:rPr>
      </w:pPr>
      <w:r>
        <w:rPr>
          <w:sz w:val="22"/>
        </w:rPr>
        <w:t>The</w:t>
      </w:r>
      <w:r>
        <w:rPr>
          <w:spacing w:val="45"/>
          <w:sz w:val="22"/>
        </w:rPr>
        <w:t> </w:t>
      </w:r>
      <w:r>
        <w:rPr>
          <w:sz w:val="22"/>
        </w:rPr>
        <w:t>need</w:t>
      </w:r>
      <w:r>
        <w:rPr>
          <w:spacing w:val="46"/>
          <w:sz w:val="22"/>
        </w:rPr>
        <w:t> </w:t>
      </w:r>
      <w:r>
        <w:rPr>
          <w:sz w:val="22"/>
        </w:rPr>
        <w:t>is</w:t>
      </w:r>
      <w:r>
        <w:rPr>
          <w:spacing w:val="46"/>
          <w:sz w:val="22"/>
        </w:rPr>
        <w:t> </w:t>
      </w:r>
      <w:r>
        <w:rPr>
          <w:sz w:val="22"/>
        </w:rPr>
        <w:t>for</w:t>
      </w:r>
      <w:r>
        <w:rPr>
          <w:spacing w:val="46"/>
          <w:sz w:val="22"/>
        </w:rPr>
        <w:t> </w:t>
      </w:r>
      <w:r>
        <w:rPr>
          <w:sz w:val="22"/>
        </w:rPr>
        <w:t>smaller</w:t>
      </w:r>
      <w:r>
        <w:rPr>
          <w:spacing w:val="46"/>
          <w:sz w:val="22"/>
        </w:rPr>
        <w:t> </w:t>
      </w:r>
      <w:r>
        <w:rPr>
          <w:sz w:val="22"/>
        </w:rPr>
        <w:t>universities</w:t>
      </w:r>
      <w:r>
        <w:rPr>
          <w:spacing w:val="46"/>
          <w:sz w:val="22"/>
        </w:rPr>
        <w:t> </w:t>
      </w:r>
      <w:r>
        <w:rPr>
          <w:sz w:val="22"/>
        </w:rPr>
        <w:t>which</w:t>
      </w:r>
      <w:r>
        <w:rPr>
          <w:spacing w:val="46"/>
          <w:sz w:val="22"/>
        </w:rPr>
        <w:t> </w:t>
      </w:r>
      <w:r>
        <w:rPr>
          <w:spacing w:val="-5"/>
          <w:sz w:val="22"/>
        </w:rPr>
        <w:t>are</w:t>
      </w:r>
    </w:p>
    <w:p>
      <w:pPr>
        <w:pStyle w:val="BodyText"/>
        <w:spacing w:line="266" w:lineRule="auto" w:before="2"/>
        <w:ind w:left="1439" w:right="1"/>
        <w:jc w:val="both"/>
      </w:pPr>
      <w:r>
        <w:rPr/>
        <w:t>responsive to change and easier to manage, </w:t>
      </w:r>
      <w:r>
        <w:rPr/>
        <w:t>and these should be created.</w:t>
      </w:r>
    </w:p>
    <w:p>
      <w:pPr>
        <w:pStyle w:val="Heading7"/>
        <w:numPr>
          <w:ilvl w:val="0"/>
          <w:numId w:val="14"/>
        </w:numPr>
        <w:tabs>
          <w:tab w:pos="583" w:val="left" w:leader="none"/>
        </w:tabs>
        <w:spacing w:line="240" w:lineRule="auto" w:before="69" w:after="0"/>
        <w:ind w:left="583" w:right="0" w:hanging="264"/>
        <w:jc w:val="left"/>
        <w:rPr>
          <w:color w:val="2E614A"/>
        </w:rPr>
      </w:pPr>
      <w:r>
        <w:rPr>
          <w:b w:val="0"/>
        </w:rPr>
        <w:br w:type="column"/>
      </w:r>
      <w:r>
        <w:rPr>
          <w:color w:val="2E614A"/>
          <w:w w:val="90"/>
        </w:rPr>
        <w:t>Restructure</w:t>
      </w:r>
      <w:r>
        <w:rPr>
          <w:color w:val="2E614A"/>
          <w:spacing w:val="-8"/>
          <w:w w:val="90"/>
        </w:rPr>
        <w:t> </w:t>
      </w:r>
      <w:r>
        <w:rPr>
          <w:color w:val="2E614A"/>
          <w:w w:val="90"/>
        </w:rPr>
        <w:t>undergraduate</w:t>
      </w:r>
      <w:r>
        <w:rPr>
          <w:color w:val="2E614A"/>
          <w:spacing w:val="-8"/>
          <w:w w:val="90"/>
        </w:rPr>
        <w:t> </w:t>
      </w:r>
      <w:r>
        <w:rPr>
          <w:color w:val="2E614A"/>
          <w:spacing w:val="-2"/>
          <w:w w:val="90"/>
        </w:rPr>
        <w:t>colleges</w:t>
      </w:r>
    </w:p>
    <w:p>
      <w:pPr>
        <w:pStyle w:val="BodyText"/>
        <w:spacing w:line="266" w:lineRule="auto" w:before="298"/>
        <w:ind w:left="319" w:right="1077"/>
        <w:jc w:val="both"/>
      </w:pPr>
      <w:r>
        <w:rPr/>
        <w:t>The system of affiliated colleges for </w:t>
      </w:r>
      <w:r>
        <w:rPr/>
        <w:t>undergraduate education,</w:t>
      </w:r>
      <w:r>
        <w:rPr>
          <w:spacing w:val="-10"/>
        </w:rPr>
        <w:t> </w:t>
      </w:r>
      <w:r>
        <w:rPr/>
        <w:t>which</w:t>
      </w:r>
      <w:r>
        <w:rPr>
          <w:spacing w:val="-10"/>
        </w:rPr>
        <w:t> </w:t>
      </w:r>
      <w:r>
        <w:rPr/>
        <w:t>may</w:t>
      </w:r>
      <w:r>
        <w:rPr>
          <w:spacing w:val="-10"/>
        </w:rPr>
        <w:t> </w:t>
      </w:r>
      <w:r>
        <w:rPr/>
        <w:t>have</w:t>
      </w:r>
      <w:r>
        <w:rPr>
          <w:spacing w:val="-10"/>
        </w:rPr>
        <w:t> </w:t>
      </w:r>
      <w:r>
        <w:rPr/>
        <w:t>been</w:t>
      </w:r>
      <w:r>
        <w:rPr>
          <w:spacing w:val="-10"/>
        </w:rPr>
        <w:t> </w:t>
      </w:r>
      <w:r>
        <w:rPr/>
        <w:t>appropriate</w:t>
      </w:r>
      <w:r>
        <w:rPr>
          <w:spacing w:val="-10"/>
        </w:rPr>
        <w:t> </w:t>
      </w:r>
      <w:r>
        <w:rPr/>
        <w:t>50</w:t>
      </w:r>
      <w:r>
        <w:rPr>
          <w:spacing w:val="-10"/>
        </w:rPr>
        <w:t> </w:t>
      </w:r>
      <w:r>
        <w:rPr/>
        <w:t>years ago, is no longer adequate or appropriate and needs to</w:t>
      </w:r>
      <w:r>
        <w:rPr>
          <w:spacing w:val="-3"/>
        </w:rPr>
        <w:t> </w:t>
      </w:r>
      <w:r>
        <w:rPr/>
        <w:t>be</w:t>
      </w:r>
      <w:r>
        <w:rPr>
          <w:spacing w:val="-3"/>
        </w:rPr>
        <w:t> </w:t>
      </w:r>
      <w:r>
        <w:rPr/>
        <w:t>reformed.</w:t>
      </w:r>
      <w:r>
        <w:rPr>
          <w:spacing w:val="-11"/>
        </w:rPr>
        <w:t> </w:t>
      </w:r>
      <w:r>
        <w:rPr/>
        <w:t>There</w:t>
      </w:r>
      <w:r>
        <w:rPr>
          <w:spacing w:val="-3"/>
        </w:rPr>
        <w:t> </w:t>
      </w:r>
      <w:r>
        <w:rPr/>
        <w:t>is</w:t>
      </w:r>
      <w:r>
        <w:rPr>
          <w:spacing w:val="-3"/>
        </w:rPr>
        <w:t> </w:t>
      </w:r>
      <w:r>
        <w:rPr/>
        <w:t>an</w:t>
      </w:r>
      <w:r>
        <w:rPr>
          <w:spacing w:val="-3"/>
        </w:rPr>
        <w:t> </w:t>
      </w:r>
      <w:r>
        <w:rPr/>
        <w:t>urgent</w:t>
      </w:r>
      <w:r>
        <w:rPr>
          <w:spacing w:val="-3"/>
        </w:rPr>
        <w:t> </w:t>
      </w:r>
      <w:r>
        <w:rPr/>
        <w:t>need</w:t>
      </w:r>
      <w:r>
        <w:rPr>
          <w:spacing w:val="-3"/>
        </w:rPr>
        <w:t> </w:t>
      </w:r>
      <w:r>
        <w:rPr/>
        <w:t>to</w:t>
      </w:r>
      <w:r>
        <w:rPr>
          <w:spacing w:val="-3"/>
        </w:rPr>
        <w:t> </w:t>
      </w:r>
      <w:r>
        <w:rPr/>
        <w:t>restructure the system of undergraduate colleges affiliated to </w:t>
      </w:r>
      <w:r>
        <w:rPr>
          <w:spacing w:val="-2"/>
        </w:rPr>
        <w:t>universities.</w:t>
      </w:r>
    </w:p>
    <w:p>
      <w:pPr>
        <w:pStyle w:val="ListParagraph"/>
        <w:numPr>
          <w:ilvl w:val="0"/>
          <w:numId w:val="21"/>
        </w:numPr>
        <w:tabs>
          <w:tab w:pos="679" w:val="left" w:leader="none"/>
        </w:tabs>
        <w:spacing w:line="266" w:lineRule="auto" w:before="0" w:after="0"/>
        <w:ind w:left="679" w:right="1078" w:hanging="360"/>
        <w:jc w:val="both"/>
        <w:rPr>
          <w:sz w:val="22"/>
        </w:rPr>
      </w:pPr>
      <w:r>
        <w:rPr>
          <w:spacing w:val="-2"/>
          <w:sz w:val="22"/>
        </w:rPr>
        <w:t>The</w:t>
      </w:r>
      <w:r>
        <w:rPr>
          <w:spacing w:val="-8"/>
          <w:sz w:val="22"/>
        </w:rPr>
        <w:t> </w:t>
      </w:r>
      <w:r>
        <w:rPr>
          <w:spacing w:val="-2"/>
          <w:sz w:val="22"/>
        </w:rPr>
        <w:t>most</w:t>
      </w:r>
      <w:r>
        <w:rPr>
          <w:spacing w:val="-8"/>
          <w:sz w:val="22"/>
        </w:rPr>
        <w:t> </w:t>
      </w:r>
      <w:r>
        <w:rPr>
          <w:spacing w:val="-2"/>
          <w:sz w:val="22"/>
        </w:rPr>
        <w:t>obvious</w:t>
      </w:r>
      <w:r>
        <w:rPr>
          <w:spacing w:val="-8"/>
          <w:sz w:val="22"/>
        </w:rPr>
        <w:t> </w:t>
      </w:r>
      <w:r>
        <w:rPr>
          <w:spacing w:val="-2"/>
          <w:sz w:val="22"/>
        </w:rPr>
        <w:t>solution</w:t>
      </w:r>
      <w:r>
        <w:rPr>
          <w:spacing w:val="-8"/>
          <w:sz w:val="22"/>
        </w:rPr>
        <w:t> </w:t>
      </w:r>
      <w:r>
        <w:rPr>
          <w:spacing w:val="-2"/>
          <w:sz w:val="22"/>
        </w:rPr>
        <w:t>is</w:t>
      </w:r>
      <w:r>
        <w:rPr>
          <w:spacing w:val="-8"/>
          <w:sz w:val="22"/>
        </w:rPr>
        <w:t> </w:t>
      </w:r>
      <w:r>
        <w:rPr>
          <w:spacing w:val="-2"/>
          <w:sz w:val="22"/>
        </w:rPr>
        <w:t>to</w:t>
      </w:r>
      <w:r>
        <w:rPr>
          <w:spacing w:val="-8"/>
          <w:sz w:val="22"/>
        </w:rPr>
        <w:t> </w:t>
      </w:r>
      <w:r>
        <w:rPr>
          <w:spacing w:val="-2"/>
          <w:sz w:val="22"/>
        </w:rPr>
        <w:t>provide</w:t>
      </w:r>
      <w:r>
        <w:rPr>
          <w:spacing w:val="-8"/>
          <w:sz w:val="22"/>
        </w:rPr>
        <w:t> </w:t>
      </w:r>
      <w:r>
        <w:rPr>
          <w:spacing w:val="-2"/>
          <w:sz w:val="22"/>
        </w:rPr>
        <w:t>autonomy </w:t>
      </w:r>
      <w:r>
        <w:rPr>
          <w:sz w:val="22"/>
        </w:rPr>
        <w:t>to colleges either as individual colleges or </w:t>
      </w:r>
      <w:r>
        <w:rPr>
          <w:sz w:val="22"/>
        </w:rPr>
        <w:t>as clusters of colleges, on the basis of criteria that </w:t>
      </w:r>
      <w:r>
        <w:rPr>
          <w:spacing w:val="-2"/>
          <w:sz w:val="22"/>
        </w:rPr>
        <w:t>have</w:t>
      </w:r>
      <w:r>
        <w:rPr>
          <w:spacing w:val="-12"/>
          <w:sz w:val="22"/>
        </w:rPr>
        <w:t> </w:t>
      </w:r>
      <w:r>
        <w:rPr>
          <w:spacing w:val="-2"/>
          <w:sz w:val="22"/>
        </w:rPr>
        <w:t>been</w:t>
      </w:r>
      <w:r>
        <w:rPr>
          <w:spacing w:val="-12"/>
          <w:sz w:val="22"/>
        </w:rPr>
        <w:t> </w:t>
      </w:r>
      <w:r>
        <w:rPr>
          <w:spacing w:val="-2"/>
          <w:sz w:val="22"/>
        </w:rPr>
        <w:t>stipulated.</w:t>
      </w:r>
      <w:r>
        <w:rPr>
          <w:spacing w:val="-12"/>
          <w:sz w:val="22"/>
        </w:rPr>
        <w:t> </w:t>
      </w:r>
      <w:r>
        <w:rPr>
          <w:spacing w:val="-2"/>
          <w:sz w:val="22"/>
        </w:rPr>
        <w:t>However,</w:t>
      </w:r>
      <w:r>
        <w:rPr>
          <w:spacing w:val="-11"/>
          <w:sz w:val="22"/>
        </w:rPr>
        <w:t> </w:t>
      </w:r>
      <w:r>
        <w:rPr>
          <w:spacing w:val="-2"/>
          <w:sz w:val="22"/>
        </w:rPr>
        <w:t>this</w:t>
      </w:r>
      <w:r>
        <w:rPr>
          <w:spacing w:val="-12"/>
          <w:sz w:val="22"/>
        </w:rPr>
        <w:t> </w:t>
      </w:r>
      <w:r>
        <w:rPr>
          <w:spacing w:val="-2"/>
          <w:sz w:val="22"/>
        </w:rPr>
        <w:t>would</w:t>
      </w:r>
      <w:r>
        <w:rPr>
          <w:spacing w:val="-12"/>
          <w:sz w:val="22"/>
        </w:rPr>
        <w:t> </w:t>
      </w:r>
      <w:r>
        <w:rPr>
          <w:spacing w:val="-2"/>
          <w:sz w:val="22"/>
        </w:rPr>
        <w:t>provide </w:t>
      </w:r>
      <w:r>
        <w:rPr>
          <w:sz w:val="22"/>
        </w:rPr>
        <w:t>a</w:t>
      </w:r>
      <w:r>
        <w:rPr>
          <w:spacing w:val="-1"/>
          <w:sz w:val="22"/>
        </w:rPr>
        <w:t> </w:t>
      </w:r>
      <w:r>
        <w:rPr>
          <w:sz w:val="22"/>
        </w:rPr>
        <w:t>solution</w:t>
      </w:r>
      <w:r>
        <w:rPr>
          <w:spacing w:val="-1"/>
          <w:sz w:val="22"/>
        </w:rPr>
        <w:t> </w:t>
      </w:r>
      <w:r>
        <w:rPr>
          <w:sz w:val="22"/>
        </w:rPr>
        <w:t>for</w:t>
      </w:r>
      <w:r>
        <w:rPr>
          <w:spacing w:val="-1"/>
          <w:sz w:val="22"/>
        </w:rPr>
        <w:t> </w:t>
      </w:r>
      <w:r>
        <w:rPr>
          <w:sz w:val="22"/>
        </w:rPr>
        <w:t>a</w:t>
      </w:r>
      <w:r>
        <w:rPr>
          <w:spacing w:val="-1"/>
          <w:sz w:val="22"/>
        </w:rPr>
        <w:t> </w:t>
      </w:r>
      <w:r>
        <w:rPr>
          <w:sz w:val="22"/>
        </w:rPr>
        <w:t>limited</w:t>
      </w:r>
      <w:r>
        <w:rPr>
          <w:spacing w:val="-1"/>
          <w:sz w:val="22"/>
        </w:rPr>
        <w:t> </w:t>
      </w:r>
      <w:r>
        <w:rPr>
          <w:sz w:val="22"/>
        </w:rPr>
        <w:t>proportion,</w:t>
      </w:r>
      <w:r>
        <w:rPr>
          <w:spacing w:val="-1"/>
          <w:sz w:val="22"/>
        </w:rPr>
        <w:t> </w:t>
      </w:r>
      <w:r>
        <w:rPr>
          <w:sz w:val="22"/>
        </w:rPr>
        <w:t>or</w:t>
      </w:r>
      <w:r>
        <w:rPr>
          <w:spacing w:val="-1"/>
          <w:sz w:val="22"/>
        </w:rPr>
        <w:t> </w:t>
      </w:r>
      <w:r>
        <w:rPr>
          <w:sz w:val="22"/>
        </w:rPr>
        <w:t>number,</w:t>
      </w:r>
      <w:r>
        <w:rPr>
          <w:spacing w:val="-1"/>
          <w:sz w:val="22"/>
        </w:rPr>
        <w:t> </w:t>
      </w:r>
      <w:r>
        <w:rPr>
          <w:sz w:val="22"/>
        </w:rPr>
        <w:t>of undergraduate colleges.</w:t>
      </w:r>
    </w:p>
    <w:p>
      <w:pPr>
        <w:pStyle w:val="ListParagraph"/>
        <w:numPr>
          <w:ilvl w:val="0"/>
          <w:numId w:val="21"/>
        </w:numPr>
        <w:tabs>
          <w:tab w:pos="679" w:val="left" w:leader="none"/>
        </w:tabs>
        <w:spacing w:line="266" w:lineRule="auto" w:before="0" w:after="0"/>
        <w:ind w:left="679" w:right="1078" w:hanging="360"/>
        <w:jc w:val="both"/>
        <w:rPr>
          <w:sz w:val="22"/>
        </w:rPr>
      </w:pPr>
      <w:r>
        <w:rPr>
          <w:w w:val="90"/>
          <w:sz w:val="22"/>
        </w:rPr>
        <w:t>Some of these affiliated colleges could be </w:t>
      </w:r>
      <w:r>
        <w:rPr>
          <w:w w:val="90"/>
          <w:sz w:val="22"/>
        </w:rPr>
        <w:t>remodelled </w:t>
      </w:r>
      <w:r>
        <w:rPr>
          <w:sz w:val="22"/>
        </w:rPr>
        <w:t>as</w:t>
      </w:r>
      <w:r>
        <w:rPr>
          <w:spacing w:val="-14"/>
          <w:sz w:val="22"/>
        </w:rPr>
        <w:t> </w:t>
      </w:r>
      <w:r>
        <w:rPr>
          <w:sz w:val="22"/>
        </w:rPr>
        <w:t>community</w:t>
      </w:r>
      <w:r>
        <w:rPr>
          <w:spacing w:val="-14"/>
          <w:sz w:val="22"/>
        </w:rPr>
        <w:t> </w:t>
      </w:r>
      <w:r>
        <w:rPr>
          <w:sz w:val="22"/>
        </w:rPr>
        <w:t>colleges,</w:t>
      </w:r>
      <w:r>
        <w:rPr>
          <w:spacing w:val="-14"/>
          <w:sz w:val="22"/>
        </w:rPr>
        <w:t> </w:t>
      </w:r>
      <w:r>
        <w:rPr>
          <w:sz w:val="22"/>
        </w:rPr>
        <w:t>which</w:t>
      </w:r>
      <w:r>
        <w:rPr>
          <w:spacing w:val="-13"/>
          <w:sz w:val="22"/>
        </w:rPr>
        <w:t> </w:t>
      </w:r>
      <w:r>
        <w:rPr>
          <w:sz w:val="22"/>
        </w:rPr>
        <w:t>could</w:t>
      </w:r>
      <w:r>
        <w:rPr>
          <w:spacing w:val="-14"/>
          <w:sz w:val="22"/>
        </w:rPr>
        <w:t> </w:t>
      </w:r>
      <w:r>
        <w:rPr>
          <w:sz w:val="22"/>
        </w:rPr>
        <w:t>provide</w:t>
      </w:r>
      <w:r>
        <w:rPr>
          <w:spacing w:val="-14"/>
          <w:sz w:val="22"/>
        </w:rPr>
        <w:t> </w:t>
      </w:r>
      <w:r>
        <w:rPr>
          <w:sz w:val="22"/>
        </w:rPr>
        <w:t>both vocational education and formal education.</w:t>
      </w:r>
    </w:p>
    <w:p>
      <w:pPr>
        <w:pStyle w:val="ListParagraph"/>
        <w:numPr>
          <w:ilvl w:val="0"/>
          <w:numId w:val="21"/>
        </w:numPr>
        <w:tabs>
          <w:tab w:pos="679" w:val="left" w:leader="none"/>
        </w:tabs>
        <w:spacing w:line="266" w:lineRule="auto" w:before="0" w:after="0"/>
        <w:ind w:left="679" w:right="1077" w:hanging="360"/>
        <w:jc w:val="both"/>
        <w:rPr>
          <w:sz w:val="22"/>
        </w:rPr>
      </w:pPr>
      <w:r>
        <w:rPr>
          <w:sz w:val="22"/>
        </w:rPr>
        <w:t>A Central Board of Undergraduate </w:t>
      </w:r>
      <w:r>
        <w:rPr>
          <w:sz w:val="22"/>
        </w:rPr>
        <w:t>Education should</w:t>
      </w:r>
      <w:r>
        <w:rPr>
          <w:spacing w:val="-6"/>
          <w:sz w:val="22"/>
        </w:rPr>
        <w:t> </w:t>
      </w:r>
      <w:r>
        <w:rPr>
          <w:sz w:val="22"/>
        </w:rPr>
        <w:t>be</w:t>
      </w:r>
      <w:r>
        <w:rPr>
          <w:spacing w:val="-6"/>
          <w:sz w:val="22"/>
        </w:rPr>
        <w:t> </w:t>
      </w:r>
      <w:r>
        <w:rPr>
          <w:sz w:val="22"/>
        </w:rPr>
        <w:t>established,</w:t>
      </w:r>
      <w:r>
        <w:rPr>
          <w:spacing w:val="-6"/>
          <w:sz w:val="22"/>
        </w:rPr>
        <w:t> </w:t>
      </w:r>
      <w:r>
        <w:rPr>
          <w:sz w:val="22"/>
        </w:rPr>
        <w:t>along</w:t>
      </w:r>
      <w:r>
        <w:rPr>
          <w:spacing w:val="-6"/>
          <w:sz w:val="22"/>
        </w:rPr>
        <w:t> </w:t>
      </w:r>
      <w:r>
        <w:rPr>
          <w:sz w:val="22"/>
        </w:rPr>
        <w:t>with</w:t>
      </w:r>
      <w:r>
        <w:rPr>
          <w:spacing w:val="-6"/>
          <w:sz w:val="22"/>
        </w:rPr>
        <w:t> </w:t>
      </w:r>
      <w:r>
        <w:rPr>
          <w:sz w:val="22"/>
        </w:rPr>
        <w:t>State</w:t>
      </w:r>
      <w:r>
        <w:rPr>
          <w:spacing w:val="-6"/>
          <w:sz w:val="22"/>
        </w:rPr>
        <w:t> </w:t>
      </w:r>
      <w:r>
        <w:rPr>
          <w:sz w:val="22"/>
        </w:rPr>
        <w:t>Boards</w:t>
      </w:r>
      <w:r>
        <w:rPr>
          <w:spacing w:val="-6"/>
          <w:sz w:val="22"/>
        </w:rPr>
        <w:t> </w:t>
      </w:r>
      <w:r>
        <w:rPr>
          <w:sz w:val="22"/>
        </w:rPr>
        <w:t>of </w:t>
      </w:r>
      <w:r>
        <w:rPr>
          <w:spacing w:val="-8"/>
          <w:sz w:val="22"/>
        </w:rPr>
        <w:t>Undergraduate</w:t>
      </w:r>
      <w:r>
        <w:rPr>
          <w:sz w:val="22"/>
        </w:rPr>
        <w:t> </w:t>
      </w:r>
      <w:r>
        <w:rPr>
          <w:spacing w:val="-8"/>
          <w:sz w:val="22"/>
        </w:rPr>
        <w:t>Education,</w:t>
      </w:r>
      <w:r>
        <w:rPr>
          <w:sz w:val="22"/>
        </w:rPr>
        <w:t> </w:t>
      </w:r>
      <w:r>
        <w:rPr>
          <w:spacing w:val="-8"/>
          <w:sz w:val="22"/>
        </w:rPr>
        <w:t>which</w:t>
      </w:r>
      <w:r>
        <w:rPr>
          <w:sz w:val="22"/>
        </w:rPr>
        <w:t> </w:t>
      </w:r>
      <w:r>
        <w:rPr>
          <w:spacing w:val="-8"/>
          <w:sz w:val="22"/>
        </w:rPr>
        <w:t>would</w:t>
      </w:r>
      <w:r>
        <w:rPr>
          <w:sz w:val="22"/>
        </w:rPr>
        <w:t> </w:t>
      </w:r>
      <w:r>
        <w:rPr>
          <w:spacing w:val="-8"/>
          <w:sz w:val="22"/>
        </w:rPr>
        <w:t>set</w:t>
      </w:r>
      <w:r>
        <w:rPr>
          <w:sz w:val="22"/>
        </w:rPr>
        <w:t> </w:t>
      </w:r>
      <w:r>
        <w:rPr>
          <w:spacing w:val="-8"/>
          <w:sz w:val="22"/>
        </w:rPr>
        <w:t>curricula </w:t>
      </w:r>
      <w:r>
        <w:rPr>
          <w:sz w:val="22"/>
        </w:rPr>
        <w:t>and conduct examinations for undergraduate </w:t>
      </w:r>
      <w:r>
        <w:rPr>
          <w:w w:val="90"/>
          <w:sz w:val="22"/>
        </w:rPr>
        <w:t>colleges that choose to be affiliated with them.</w:t>
      </w:r>
      <w:r>
        <w:rPr>
          <w:spacing w:val="-5"/>
          <w:w w:val="90"/>
          <w:sz w:val="22"/>
        </w:rPr>
        <w:t> </w:t>
      </w:r>
      <w:r>
        <w:rPr>
          <w:w w:val="90"/>
          <w:sz w:val="22"/>
        </w:rPr>
        <w:t>These </w:t>
      </w:r>
      <w:r>
        <w:rPr>
          <w:spacing w:val="-6"/>
          <w:sz w:val="22"/>
        </w:rPr>
        <w:t>Boards would separate the academic functions from </w:t>
      </w:r>
      <w:r>
        <w:rPr>
          <w:spacing w:val="-2"/>
          <w:sz w:val="22"/>
        </w:rPr>
        <w:t>the</w:t>
      </w:r>
      <w:r>
        <w:rPr>
          <w:spacing w:val="-6"/>
          <w:sz w:val="22"/>
        </w:rPr>
        <w:t> </w:t>
      </w:r>
      <w:r>
        <w:rPr>
          <w:spacing w:val="-2"/>
          <w:sz w:val="22"/>
        </w:rPr>
        <w:t>administrative</w:t>
      </w:r>
      <w:r>
        <w:rPr>
          <w:spacing w:val="-6"/>
          <w:sz w:val="22"/>
        </w:rPr>
        <w:t> </w:t>
      </w:r>
      <w:r>
        <w:rPr>
          <w:spacing w:val="-2"/>
          <w:sz w:val="22"/>
        </w:rPr>
        <w:t>functions</w:t>
      </w:r>
      <w:r>
        <w:rPr>
          <w:spacing w:val="-6"/>
          <w:sz w:val="22"/>
        </w:rPr>
        <w:t> </w:t>
      </w:r>
      <w:r>
        <w:rPr>
          <w:spacing w:val="-2"/>
          <w:sz w:val="22"/>
        </w:rPr>
        <w:t>and,</w:t>
      </w:r>
      <w:r>
        <w:rPr>
          <w:spacing w:val="-6"/>
          <w:sz w:val="22"/>
        </w:rPr>
        <w:t> </w:t>
      </w:r>
      <w:r>
        <w:rPr>
          <w:spacing w:val="-2"/>
          <w:sz w:val="22"/>
        </w:rPr>
        <w:t>at</w:t>
      </w:r>
      <w:r>
        <w:rPr>
          <w:spacing w:val="-6"/>
          <w:sz w:val="22"/>
        </w:rPr>
        <w:t> </w:t>
      </w:r>
      <w:r>
        <w:rPr>
          <w:spacing w:val="-2"/>
          <w:sz w:val="22"/>
        </w:rPr>
        <w:t>the</w:t>
      </w:r>
      <w:r>
        <w:rPr>
          <w:spacing w:val="-6"/>
          <w:sz w:val="22"/>
        </w:rPr>
        <w:t> </w:t>
      </w:r>
      <w:r>
        <w:rPr>
          <w:spacing w:val="-2"/>
          <w:sz w:val="22"/>
        </w:rPr>
        <w:t>same</w:t>
      </w:r>
      <w:r>
        <w:rPr>
          <w:spacing w:val="-6"/>
          <w:sz w:val="22"/>
        </w:rPr>
        <w:t> </w:t>
      </w:r>
      <w:r>
        <w:rPr>
          <w:spacing w:val="-2"/>
          <w:sz w:val="22"/>
        </w:rPr>
        <w:t>time, </w:t>
      </w:r>
      <w:r>
        <w:rPr>
          <w:sz w:val="22"/>
        </w:rPr>
        <w:t>provide quality benchmarks.</w:t>
      </w:r>
    </w:p>
    <w:p>
      <w:pPr>
        <w:pStyle w:val="ListParagraph"/>
        <w:numPr>
          <w:ilvl w:val="0"/>
          <w:numId w:val="21"/>
        </w:numPr>
        <w:tabs>
          <w:tab w:pos="679" w:val="left" w:leader="none"/>
        </w:tabs>
        <w:spacing w:line="266" w:lineRule="auto" w:before="0" w:after="0"/>
        <w:ind w:left="679" w:right="1077" w:hanging="360"/>
        <w:jc w:val="both"/>
        <w:rPr>
          <w:sz w:val="22"/>
        </w:rPr>
      </w:pPr>
      <w:r>
        <w:rPr>
          <w:sz w:val="22"/>
        </w:rPr>
        <w:t>New</w:t>
      </w:r>
      <w:r>
        <w:rPr>
          <w:spacing w:val="-9"/>
          <w:sz w:val="22"/>
        </w:rPr>
        <w:t> </w:t>
      </w:r>
      <w:r>
        <w:rPr>
          <w:sz w:val="22"/>
        </w:rPr>
        <w:t>undergraduate</w:t>
      </w:r>
      <w:r>
        <w:rPr>
          <w:spacing w:val="-9"/>
          <w:sz w:val="22"/>
        </w:rPr>
        <w:t> </w:t>
      </w:r>
      <w:r>
        <w:rPr>
          <w:sz w:val="22"/>
        </w:rPr>
        <w:t>colleges</w:t>
      </w:r>
      <w:r>
        <w:rPr>
          <w:spacing w:val="-9"/>
          <w:sz w:val="22"/>
        </w:rPr>
        <w:t> </w:t>
      </w:r>
      <w:r>
        <w:rPr>
          <w:sz w:val="22"/>
        </w:rPr>
        <w:t>could</w:t>
      </w:r>
      <w:r>
        <w:rPr>
          <w:spacing w:val="-9"/>
          <w:sz w:val="22"/>
        </w:rPr>
        <w:t> </w:t>
      </w:r>
      <w:r>
        <w:rPr>
          <w:sz w:val="22"/>
        </w:rPr>
        <w:t>be</w:t>
      </w:r>
      <w:r>
        <w:rPr>
          <w:spacing w:val="-9"/>
          <w:sz w:val="22"/>
        </w:rPr>
        <w:t> </w:t>
      </w:r>
      <w:r>
        <w:rPr>
          <w:sz w:val="22"/>
        </w:rPr>
        <w:t>established as community colleges and be affiliated with the </w:t>
      </w:r>
      <w:r>
        <w:rPr>
          <w:spacing w:val="-4"/>
          <w:sz w:val="22"/>
        </w:rPr>
        <w:t>Central</w:t>
      </w:r>
      <w:r>
        <w:rPr>
          <w:spacing w:val="-9"/>
          <w:sz w:val="22"/>
        </w:rPr>
        <w:t> </w:t>
      </w:r>
      <w:r>
        <w:rPr>
          <w:spacing w:val="-4"/>
          <w:sz w:val="22"/>
        </w:rPr>
        <w:t>Board</w:t>
      </w:r>
      <w:r>
        <w:rPr>
          <w:spacing w:val="-9"/>
          <w:sz w:val="22"/>
        </w:rPr>
        <w:t> </w:t>
      </w:r>
      <w:r>
        <w:rPr>
          <w:spacing w:val="-4"/>
          <w:sz w:val="22"/>
        </w:rPr>
        <w:t>of</w:t>
      </w:r>
      <w:r>
        <w:rPr>
          <w:spacing w:val="-9"/>
          <w:sz w:val="22"/>
        </w:rPr>
        <w:t> </w:t>
      </w:r>
      <w:r>
        <w:rPr>
          <w:spacing w:val="-4"/>
          <w:sz w:val="22"/>
        </w:rPr>
        <w:t>Undergraduate</w:t>
      </w:r>
      <w:r>
        <w:rPr>
          <w:spacing w:val="-9"/>
          <w:sz w:val="22"/>
        </w:rPr>
        <w:t> </w:t>
      </w:r>
      <w:r>
        <w:rPr>
          <w:spacing w:val="-4"/>
          <w:sz w:val="22"/>
        </w:rPr>
        <w:t>Education</w:t>
      </w:r>
      <w:r>
        <w:rPr>
          <w:spacing w:val="-9"/>
          <w:sz w:val="22"/>
        </w:rPr>
        <w:t> </w:t>
      </w:r>
      <w:r>
        <w:rPr>
          <w:spacing w:val="-4"/>
          <w:sz w:val="22"/>
        </w:rPr>
        <w:t>or</w:t>
      </w:r>
      <w:r>
        <w:rPr>
          <w:spacing w:val="-9"/>
          <w:sz w:val="22"/>
        </w:rPr>
        <w:t> </w:t>
      </w:r>
      <w:r>
        <w:rPr>
          <w:spacing w:val="-4"/>
          <w:sz w:val="22"/>
        </w:rPr>
        <w:t>State </w:t>
      </w:r>
      <w:r>
        <w:rPr>
          <w:spacing w:val="-2"/>
          <w:sz w:val="22"/>
        </w:rPr>
        <w:t>Boards</w:t>
      </w:r>
      <w:r>
        <w:rPr>
          <w:spacing w:val="-8"/>
          <w:sz w:val="22"/>
        </w:rPr>
        <w:t> </w:t>
      </w:r>
      <w:r>
        <w:rPr>
          <w:spacing w:val="-2"/>
          <w:sz w:val="22"/>
        </w:rPr>
        <w:t>of</w:t>
      </w:r>
      <w:r>
        <w:rPr>
          <w:spacing w:val="-8"/>
          <w:sz w:val="22"/>
        </w:rPr>
        <w:t> </w:t>
      </w:r>
      <w:r>
        <w:rPr>
          <w:spacing w:val="-2"/>
          <w:sz w:val="22"/>
        </w:rPr>
        <w:t>Undergraduate</w:t>
      </w:r>
      <w:r>
        <w:rPr>
          <w:spacing w:val="-8"/>
          <w:sz w:val="22"/>
        </w:rPr>
        <w:t> </w:t>
      </w:r>
      <w:r>
        <w:rPr>
          <w:spacing w:val="-2"/>
          <w:sz w:val="22"/>
        </w:rPr>
        <w:t>Education,</w:t>
      </w:r>
      <w:r>
        <w:rPr>
          <w:spacing w:val="-8"/>
          <w:sz w:val="22"/>
        </w:rPr>
        <w:t> </w:t>
      </w:r>
      <w:r>
        <w:rPr>
          <w:spacing w:val="-2"/>
          <w:sz w:val="22"/>
        </w:rPr>
        <w:t>or</w:t>
      </w:r>
      <w:r>
        <w:rPr>
          <w:spacing w:val="-8"/>
          <w:sz w:val="22"/>
        </w:rPr>
        <w:t> </w:t>
      </w:r>
      <w:r>
        <w:rPr>
          <w:spacing w:val="-2"/>
          <w:sz w:val="22"/>
        </w:rPr>
        <w:t>with</w:t>
      </w:r>
      <w:r>
        <w:rPr>
          <w:spacing w:val="-8"/>
          <w:sz w:val="22"/>
        </w:rPr>
        <w:t> </w:t>
      </w:r>
      <w:r>
        <w:rPr>
          <w:spacing w:val="-2"/>
          <w:sz w:val="22"/>
        </w:rPr>
        <w:t>some </w:t>
      </w:r>
      <w:r>
        <w:rPr>
          <w:sz w:val="22"/>
        </w:rPr>
        <w:t>of</w:t>
      </w:r>
      <w:r>
        <w:rPr>
          <w:spacing w:val="-2"/>
          <w:sz w:val="22"/>
        </w:rPr>
        <w:t> </w:t>
      </w:r>
      <w:r>
        <w:rPr>
          <w:sz w:val="22"/>
        </w:rPr>
        <w:t>the</w:t>
      </w:r>
      <w:r>
        <w:rPr>
          <w:spacing w:val="-2"/>
          <w:sz w:val="22"/>
        </w:rPr>
        <w:t> </w:t>
      </w:r>
      <w:r>
        <w:rPr>
          <w:sz w:val="22"/>
        </w:rPr>
        <w:t>new</w:t>
      </w:r>
      <w:r>
        <w:rPr>
          <w:spacing w:val="-2"/>
          <w:sz w:val="22"/>
        </w:rPr>
        <w:t> </w:t>
      </w:r>
      <w:r>
        <w:rPr>
          <w:sz w:val="22"/>
        </w:rPr>
        <w:t>universities</w:t>
      </w:r>
      <w:r>
        <w:rPr>
          <w:spacing w:val="-2"/>
          <w:sz w:val="22"/>
        </w:rPr>
        <w:t> </w:t>
      </w:r>
      <w:r>
        <w:rPr>
          <w:sz w:val="22"/>
        </w:rPr>
        <w:t>that</w:t>
      </w:r>
      <w:r>
        <w:rPr>
          <w:spacing w:val="-2"/>
          <w:sz w:val="22"/>
        </w:rPr>
        <w:t> </w:t>
      </w:r>
      <w:r>
        <w:rPr>
          <w:sz w:val="22"/>
        </w:rPr>
        <w:t>are</w:t>
      </w:r>
      <w:r>
        <w:rPr>
          <w:spacing w:val="-2"/>
          <w:sz w:val="22"/>
        </w:rPr>
        <w:t> </w:t>
      </w:r>
      <w:r>
        <w:rPr>
          <w:sz w:val="22"/>
        </w:rPr>
        <w:t>established.</w:t>
      </w:r>
    </w:p>
    <w:p>
      <w:pPr>
        <w:pStyle w:val="Heading7"/>
        <w:numPr>
          <w:ilvl w:val="0"/>
          <w:numId w:val="14"/>
        </w:numPr>
        <w:tabs>
          <w:tab w:pos="583" w:val="left" w:leader="none"/>
        </w:tabs>
        <w:spacing w:line="240" w:lineRule="auto" w:before="221" w:after="0"/>
        <w:ind w:left="583" w:right="0" w:hanging="264"/>
        <w:jc w:val="left"/>
        <w:rPr>
          <w:color w:val="2E614A"/>
        </w:rPr>
      </w:pPr>
      <w:r>
        <w:rPr>
          <w:color w:val="2E614A"/>
          <w:w w:val="90"/>
        </w:rPr>
        <w:t>Promote</w:t>
      </w:r>
      <w:r>
        <w:rPr>
          <w:color w:val="2E614A"/>
          <w:spacing w:val="24"/>
        </w:rPr>
        <w:t> </w:t>
      </w:r>
      <w:r>
        <w:rPr>
          <w:color w:val="2E614A"/>
          <w:w w:val="90"/>
        </w:rPr>
        <w:t>enhanced</w:t>
      </w:r>
      <w:r>
        <w:rPr>
          <w:color w:val="2E614A"/>
          <w:spacing w:val="25"/>
        </w:rPr>
        <w:t> </w:t>
      </w:r>
      <w:r>
        <w:rPr>
          <w:color w:val="2E614A"/>
          <w:spacing w:val="-2"/>
          <w:w w:val="90"/>
        </w:rPr>
        <w:t>quality</w:t>
      </w:r>
    </w:p>
    <w:p>
      <w:pPr>
        <w:pStyle w:val="BodyText"/>
        <w:spacing w:line="266" w:lineRule="auto" w:before="298"/>
        <w:ind w:left="319" w:right="1077"/>
        <w:jc w:val="both"/>
      </w:pPr>
      <w:r>
        <w:rPr/>
        <w:t>The higher education system must provide </w:t>
      </w:r>
      <w:r>
        <w:rPr/>
        <w:t>for accountability to society and create accountability within. An expansion of higher education which </w:t>
      </w:r>
      <w:r>
        <w:rPr>
          <w:spacing w:val="-2"/>
        </w:rPr>
        <w:t>provides</w:t>
      </w:r>
      <w:r>
        <w:rPr>
          <w:spacing w:val="-12"/>
        </w:rPr>
        <w:t> </w:t>
      </w:r>
      <w:r>
        <w:rPr>
          <w:spacing w:val="-2"/>
        </w:rPr>
        <w:t>students</w:t>
      </w:r>
      <w:r>
        <w:rPr>
          <w:spacing w:val="-12"/>
        </w:rPr>
        <w:t> </w:t>
      </w:r>
      <w:r>
        <w:rPr>
          <w:spacing w:val="-2"/>
        </w:rPr>
        <w:t>with</w:t>
      </w:r>
      <w:r>
        <w:rPr>
          <w:spacing w:val="-12"/>
        </w:rPr>
        <w:t> </w:t>
      </w:r>
      <w:r>
        <w:rPr>
          <w:spacing w:val="-2"/>
        </w:rPr>
        <w:t>choices</w:t>
      </w:r>
      <w:r>
        <w:rPr>
          <w:spacing w:val="-11"/>
        </w:rPr>
        <w:t> </w:t>
      </w:r>
      <w:r>
        <w:rPr>
          <w:spacing w:val="-2"/>
        </w:rPr>
        <w:t>and</w:t>
      </w:r>
      <w:r>
        <w:rPr>
          <w:spacing w:val="-12"/>
        </w:rPr>
        <w:t> </w:t>
      </w:r>
      <w:r>
        <w:rPr>
          <w:spacing w:val="-2"/>
        </w:rPr>
        <w:t>creates</w:t>
      </w:r>
      <w:r>
        <w:rPr>
          <w:spacing w:val="-12"/>
        </w:rPr>
        <w:t> </w:t>
      </w:r>
      <w:r>
        <w:rPr>
          <w:spacing w:val="-2"/>
        </w:rPr>
        <w:t>competition </w:t>
      </w:r>
      <w:r>
        <w:rPr/>
        <w:t>between institutions is going to be vital in enhancing </w:t>
      </w:r>
      <w:r>
        <w:rPr>
          <w:spacing w:val="-2"/>
        </w:rPr>
        <w:t>accountability.</w:t>
      </w:r>
    </w:p>
    <w:p>
      <w:pPr>
        <w:pStyle w:val="ListParagraph"/>
        <w:numPr>
          <w:ilvl w:val="0"/>
          <w:numId w:val="22"/>
        </w:numPr>
        <w:tabs>
          <w:tab w:pos="679" w:val="left" w:leader="none"/>
        </w:tabs>
        <w:spacing w:line="266" w:lineRule="auto" w:before="17" w:after="0"/>
        <w:ind w:left="679" w:right="1077" w:hanging="360"/>
        <w:jc w:val="both"/>
        <w:rPr>
          <w:sz w:val="22"/>
        </w:rPr>
      </w:pPr>
      <w:r>
        <w:rPr>
          <w:sz w:val="22"/>
        </w:rPr>
        <w:t>There should be stringent information </w:t>
      </w:r>
      <w:r>
        <w:rPr>
          <w:sz w:val="22"/>
        </w:rPr>
        <w:t>disclosure norms</w:t>
      </w:r>
      <w:r>
        <w:rPr>
          <w:spacing w:val="-14"/>
          <w:sz w:val="22"/>
        </w:rPr>
        <w:t> </w:t>
      </w:r>
      <w:r>
        <w:rPr>
          <w:sz w:val="22"/>
        </w:rPr>
        <w:t>for</w:t>
      </w:r>
      <w:r>
        <w:rPr>
          <w:spacing w:val="-14"/>
          <w:sz w:val="22"/>
        </w:rPr>
        <w:t> </w:t>
      </w:r>
      <w:r>
        <w:rPr>
          <w:sz w:val="22"/>
        </w:rPr>
        <w:t>all</w:t>
      </w:r>
      <w:r>
        <w:rPr>
          <w:spacing w:val="-13"/>
          <w:sz w:val="22"/>
        </w:rPr>
        <w:t> </w:t>
      </w:r>
      <w:r>
        <w:rPr>
          <w:sz w:val="22"/>
        </w:rPr>
        <w:t>educational</w:t>
      </w:r>
      <w:r>
        <w:rPr>
          <w:spacing w:val="-14"/>
          <w:sz w:val="22"/>
        </w:rPr>
        <w:t> </w:t>
      </w:r>
      <w:r>
        <w:rPr>
          <w:sz w:val="22"/>
        </w:rPr>
        <w:t>institutions</w:t>
      </w:r>
      <w:r>
        <w:rPr>
          <w:spacing w:val="-14"/>
          <w:sz w:val="22"/>
        </w:rPr>
        <w:t> </w:t>
      </w:r>
      <w:r>
        <w:rPr>
          <w:sz w:val="22"/>
        </w:rPr>
        <w:t>such</w:t>
      </w:r>
      <w:r>
        <w:rPr>
          <w:spacing w:val="-13"/>
          <w:sz w:val="22"/>
        </w:rPr>
        <w:t> </w:t>
      </w:r>
      <w:r>
        <w:rPr>
          <w:sz w:val="22"/>
        </w:rPr>
        <w:t>as</w:t>
      </w:r>
      <w:r>
        <w:rPr>
          <w:spacing w:val="-14"/>
          <w:sz w:val="22"/>
        </w:rPr>
        <w:t> </w:t>
      </w:r>
      <w:r>
        <w:rPr>
          <w:sz w:val="22"/>
        </w:rPr>
        <w:t>their financial situation, physical assets, admissions criteria, faculty positions, academic curricula, as also</w:t>
      </w:r>
      <w:r>
        <w:rPr>
          <w:spacing w:val="-5"/>
          <w:sz w:val="22"/>
        </w:rPr>
        <w:t> </w:t>
      </w:r>
      <w:r>
        <w:rPr>
          <w:sz w:val="22"/>
        </w:rPr>
        <w:t>their</w:t>
      </w:r>
      <w:r>
        <w:rPr>
          <w:spacing w:val="-5"/>
          <w:sz w:val="22"/>
        </w:rPr>
        <w:t> </w:t>
      </w:r>
      <w:r>
        <w:rPr>
          <w:sz w:val="22"/>
        </w:rPr>
        <w:t>source</w:t>
      </w:r>
      <w:r>
        <w:rPr>
          <w:spacing w:val="-5"/>
          <w:sz w:val="22"/>
        </w:rPr>
        <w:t> </w:t>
      </w:r>
      <w:r>
        <w:rPr>
          <w:sz w:val="22"/>
        </w:rPr>
        <w:t>and</w:t>
      </w:r>
      <w:r>
        <w:rPr>
          <w:spacing w:val="-5"/>
          <w:sz w:val="22"/>
        </w:rPr>
        <w:t> </w:t>
      </w:r>
      <w:r>
        <w:rPr>
          <w:sz w:val="22"/>
        </w:rPr>
        <w:t>level</w:t>
      </w:r>
      <w:r>
        <w:rPr>
          <w:spacing w:val="-5"/>
          <w:sz w:val="22"/>
        </w:rPr>
        <w:t> </w:t>
      </w:r>
      <w:r>
        <w:rPr>
          <w:sz w:val="22"/>
        </w:rPr>
        <w:t>of</w:t>
      </w:r>
      <w:r>
        <w:rPr>
          <w:spacing w:val="-5"/>
          <w:sz w:val="22"/>
        </w:rPr>
        <w:t> </w:t>
      </w:r>
      <w:r>
        <w:rPr>
          <w:sz w:val="22"/>
        </w:rPr>
        <w:t>accreditation.</w:t>
      </w:r>
    </w:p>
    <w:p>
      <w:pPr>
        <w:pStyle w:val="ListParagraph"/>
        <w:numPr>
          <w:ilvl w:val="0"/>
          <w:numId w:val="22"/>
        </w:numPr>
        <w:tabs>
          <w:tab w:pos="679" w:val="left" w:leader="none"/>
        </w:tabs>
        <w:spacing w:line="266" w:lineRule="auto" w:before="17" w:after="0"/>
        <w:ind w:left="679" w:right="1077" w:hanging="360"/>
        <w:jc w:val="both"/>
        <w:rPr>
          <w:sz w:val="22"/>
        </w:rPr>
      </w:pPr>
      <w:r>
        <w:rPr>
          <w:w w:val="90"/>
          <w:sz w:val="22"/>
        </w:rPr>
        <w:t>Evaluation of courses and teachers by students as well </w:t>
      </w:r>
      <w:r>
        <w:rPr>
          <w:spacing w:val="-4"/>
          <w:sz w:val="22"/>
        </w:rPr>
        <w:t>as</w:t>
      </w:r>
      <w:r>
        <w:rPr>
          <w:spacing w:val="-10"/>
          <w:sz w:val="22"/>
        </w:rPr>
        <w:t> </w:t>
      </w:r>
      <w:r>
        <w:rPr>
          <w:spacing w:val="-4"/>
          <w:sz w:val="22"/>
        </w:rPr>
        <w:t>peer</w:t>
      </w:r>
      <w:r>
        <w:rPr>
          <w:spacing w:val="-10"/>
          <w:sz w:val="22"/>
        </w:rPr>
        <w:t> </w:t>
      </w:r>
      <w:r>
        <w:rPr>
          <w:spacing w:val="-4"/>
          <w:sz w:val="22"/>
        </w:rPr>
        <w:t>evaluation</w:t>
      </w:r>
      <w:r>
        <w:rPr>
          <w:spacing w:val="-10"/>
          <w:sz w:val="22"/>
        </w:rPr>
        <w:t> </w:t>
      </w:r>
      <w:r>
        <w:rPr>
          <w:spacing w:val="-4"/>
          <w:sz w:val="22"/>
        </w:rPr>
        <w:t>of</w:t>
      </w:r>
      <w:r>
        <w:rPr>
          <w:spacing w:val="-9"/>
          <w:sz w:val="22"/>
        </w:rPr>
        <w:t> </w:t>
      </w:r>
      <w:r>
        <w:rPr>
          <w:spacing w:val="-4"/>
          <w:sz w:val="22"/>
        </w:rPr>
        <w:t>teachers</w:t>
      </w:r>
      <w:r>
        <w:rPr>
          <w:spacing w:val="-10"/>
          <w:sz w:val="22"/>
        </w:rPr>
        <w:t> </w:t>
      </w:r>
      <w:r>
        <w:rPr>
          <w:spacing w:val="-4"/>
          <w:sz w:val="22"/>
        </w:rPr>
        <w:t>by</w:t>
      </w:r>
      <w:r>
        <w:rPr>
          <w:spacing w:val="-10"/>
          <w:sz w:val="22"/>
        </w:rPr>
        <w:t> </w:t>
      </w:r>
      <w:r>
        <w:rPr>
          <w:spacing w:val="-4"/>
          <w:sz w:val="22"/>
        </w:rPr>
        <w:t>teachers</w:t>
      </w:r>
      <w:r>
        <w:rPr>
          <w:spacing w:val="-10"/>
          <w:sz w:val="22"/>
        </w:rPr>
        <w:t> </w:t>
      </w:r>
      <w:r>
        <w:rPr>
          <w:spacing w:val="-4"/>
          <w:sz w:val="22"/>
        </w:rPr>
        <w:t>should</w:t>
      </w:r>
      <w:r>
        <w:rPr>
          <w:spacing w:val="-9"/>
          <w:sz w:val="22"/>
        </w:rPr>
        <w:t> </w:t>
      </w:r>
      <w:r>
        <w:rPr>
          <w:spacing w:val="-4"/>
          <w:sz w:val="22"/>
        </w:rPr>
        <w:t>be </w:t>
      </w:r>
      <w:r>
        <w:rPr>
          <w:spacing w:val="-2"/>
          <w:sz w:val="22"/>
        </w:rPr>
        <w:t>encouraged.</w:t>
      </w:r>
    </w:p>
    <w:p>
      <w:pPr>
        <w:pStyle w:val="ListParagraph"/>
        <w:numPr>
          <w:ilvl w:val="0"/>
          <w:numId w:val="22"/>
        </w:numPr>
        <w:tabs>
          <w:tab w:pos="679" w:val="left" w:leader="none"/>
        </w:tabs>
        <w:spacing w:line="266" w:lineRule="auto" w:before="19" w:after="0"/>
        <w:ind w:left="679" w:right="1078" w:hanging="360"/>
        <w:jc w:val="both"/>
        <w:rPr>
          <w:sz w:val="22"/>
        </w:rPr>
      </w:pPr>
      <w:r>
        <w:rPr>
          <w:spacing w:val="-2"/>
          <w:sz w:val="22"/>
        </w:rPr>
        <w:t>There</w:t>
      </w:r>
      <w:r>
        <w:rPr>
          <w:spacing w:val="-11"/>
          <w:sz w:val="22"/>
        </w:rPr>
        <w:t> </w:t>
      </w:r>
      <w:r>
        <w:rPr>
          <w:spacing w:val="-2"/>
          <w:sz w:val="22"/>
        </w:rPr>
        <w:t>must</w:t>
      </w:r>
      <w:r>
        <w:rPr>
          <w:spacing w:val="-11"/>
          <w:sz w:val="22"/>
        </w:rPr>
        <w:t> </w:t>
      </w:r>
      <w:r>
        <w:rPr>
          <w:spacing w:val="-2"/>
          <w:sz w:val="22"/>
        </w:rPr>
        <w:t>be</w:t>
      </w:r>
      <w:r>
        <w:rPr>
          <w:spacing w:val="-11"/>
          <w:sz w:val="22"/>
        </w:rPr>
        <w:t> </w:t>
      </w:r>
      <w:r>
        <w:rPr>
          <w:spacing w:val="-2"/>
          <w:sz w:val="22"/>
        </w:rPr>
        <w:t>a</w:t>
      </w:r>
      <w:r>
        <w:rPr>
          <w:spacing w:val="-11"/>
          <w:sz w:val="22"/>
        </w:rPr>
        <w:t> </w:t>
      </w:r>
      <w:r>
        <w:rPr>
          <w:spacing w:val="-2"/>
          <w:sz w:val="22"/>
        </w:rPr>
        <w:t>focus</w:t>
      </w:r>
      <w:r>
        <w:rPr>
          <w:spacing w:val="-11"/>
          <w:sz w:val="22"/>
        </w:rPr>
        <w:t> </w:t>
      </w:r>
      <w:r>
        <w:rPr>
          <w:spacing w:val="-2"/>
          <w:sz w:val="22"/>
        </w:rPr>
        <w:t>on</w:t>
      </w:r>
      <w:r>
        <w:rPr>
          <w:spacing w:val="-11"/>
          <w:sz w:val="22"/>
        </w:rPr>
        <w:t> </w:t>
      </w:r>
      <w:r>
        <w:rPr>
          <w:spacing w:val="-2"/>
          <w:sz w:val="22"/>
        </w:rPr>
        <w:t>upgrading</w:t>
      </w:r>
      <w:r>
        <w:rPr>
          <w:spacing w:val="-11"/>
          <w:sz w:val="22"/>
        </w:rPr>
        <w:t> </w:t>
      </w:r>
      <w:r>
        <w:rPr>
          <w:spacing w:val="-2"/>
          <w:sz w:val="22"/>
        </w:rPr>
        <w:t>infrastructure, </w:t>
      </w:r>
      <w:r>
        <w:rPr>
          <w:sz w:val="22"/>
        </w:rPr>
        <w:t>improving</w:t>
      </w:r>
      <w:r>
        <w:rPr>
          <w:spacing w:val="-14"/>
          <w:sz w:val="22"/>
        </w:rPr>
        <w:t> </w:t>
      </w:r>
      <w:r>
        <w:rPr>
          <w:sz w:val="22"/>
        </w:rPr>
        <w:t>the</w:t>
      </w:r>
      <w:r>
        <w:rPr>
          <w:spacing w:val="-14"/>
          <w:sz w:val="22"/>
        </w:rPr>
        <w:t> </w:t>
      </w:r>
      <w:r>
        <w:rPr>
          <w:sz w:val="22"/>
        </w:rPr>
        <w:t>training</w:t>
      </w:r>
      <w:r>
        <w:rPr>
          <w:spacing w:val="-14"/>
          <w:sz w:val="22"/>
        </w:rPr>
        <w:t> </w:t>
      </w:r>
      <w:r>
        <w:rPr>
          <w:sz w:val="22"/>
        </w:rPr>
        <w:t>of</w:t>
      </w:r>
      <w:r>
        <w:rPr>
          <w:spacing w:val="-13"/>
          <w:sz w:val="22"/>
        </w:rPr>
        <w:t> </w:t>
      </w:r>
      <w:r>
        <w:rPr>
          <w:sz w:val="22"/>
        </w:rPr>
        <w:t>teachers</w:t>
      </w:r>
      <w:r>
        <w:rPr>
          <w:spacing w:val="-14"/>
          <w:sz w:val="22"/>
        </w:rPr>
        <w:t> </w:t>
      </w:r>
      <w:r>
        <w:rPr>
          <w:sz w:val="22"/>
        </w:rPr>
        <w:t>and</w:t>
      </w:r>
      <w:r>
        <w:rPr>
          <w:spacing w:val="-14"/>
          <w:sz w:val="22"/>
        </w:rPr>
        <w:t> </w:t>
      </w:r>
      <w:r>
        <w:rPr>
          <w:sz w:val="22"/>
        </w:rPr>
        <w:t>continuous assessment</w:t>
      </w:r>
      <w:r>
        <w:rPr>
          <w:spacing w:val="-14"/>
          <w:sz w:val="22"/>
        </w:rPr>
        <w:t> </w:t>
      </w:r>
      <w:r>
        <w:rPr>
          <w:sz w:val="22"/>
        </w:rPr>
        <w:t>of</w:t>
      </w:r>
      <w:r>
        <w:rPr>
          <w:spacing w:val="-14"/>
          <w:sz w:val="22"/>
        </w:rPr>
        <w:t> </w:t>
      </w:r>
      <w:r>
        <w:rPr>
          <w:sz w:val="22"/>
        </w:rPr>
        <w:t>syllabi</w:t>
      </w:r>
      <w:r>
        <w:rPr>
          <w:spacing w:val="-14"/>
          <w:sz w:val="22"/>
        </w:rPr>
        <w:t> </w:t>
      </w:r>
      <w:r>
        <w:rPr>
          <w:sz w:val="22"/>
        </w:rPr>
        <w:t>and</w:t>
      </w:r>
      <w:r>
        <w:rPr>
          <w:spacing w:val="-13"/>
          <w:sz w:val="22"/>
        </w:rPr>
        <w:t> </w:t>
      </w:r>
      <w:r>
        <w:rPr>
          <w:sz w:val="22"/>
        </w:rPr>
        <w:t>examination</w:t>
      </w:r>
      <w:r>
        <w:rPr>
          <w:spacing w:val="-14"/>
          <w:sz w:val="22"/>
        </w:rPr>
        <w:t> </w:t>
      </w:r>
      <w:r>
        <w:rPr>
          <w:sz w:val="22"/>
        </w:rPr>
        <w:t>systems.</w:t>
      </w:r>
    </w:p>
    <w:p>
      <w:pPr>
        <w:pStyle w:val="ListParagraph"/>
        <w:numPr>
          <w:ilvl w:val="0"/>
          <w:numId w:val="22"/>
        </w:numPr>
        <w:tabs>
          <w:tab w:pos="679" w:val="left" w:leader="none"/>
        </w:tabs>
        <w:spacing w:line="266" w:lineRule="auto" w:before="20" w:after="0"/>
        <w:ind w:left="679" w:right="1077" w:hanging="360"/>
        <w:jc w:val="both"/>
        <w:rPr>
          <w:sz w:val="22"/>
        </w:rPr>
      </w:pPr>
      <w:r>
        <w:rPr>
          <w:sz w:val="22"/>
        </w:rPr>
        <w:t>It is particularly important to enhance the ICT </w:t>
      </w:r>
      <w:r>
        <w:rPr>
          <w:spacing w:val="-10"/>
          <w:sz w:val="22"/>
        </w:rPr>
        <w:t>infrastructure.</w:t>
      </w:r>
      <w:r>
        <w:rPr>
          <w:spacing w:val="-16"/>
          <w:sz w:val="22"/>
        </w:rPr>
        <w:t> </w:t>
      </w:r>
      <w:r>
        <w:rPr>
          <w:spacing w:val="-10"/>
          <w:sz w:val="22"/>
        </w:rPr>
        <w:t>Websites</w:t>
      </w:r>
      <w:r>
        <w:rPr>
          <w:spacing w:val="-11"/>
          <w:sz w:val="22"/>
        </w:rPr>
        <w:t> </w:t>
      </w:r>
      <w:r>
        <w:rPr>
          <w:spacing w:val="-10"/>
          <w:sz w:val="22"/>
        </w:rPr>
        <w:t>and</w:t>
      </w:r>
      <w:r>
        <w:rPr>
          <w:spacing w:val="-11"/>
          <w:sz w:val="22"/>
        </w:rPr>
        <w:t> </w:t>
      </w:r>
      <w:r>
        <w:rPr>
          <w:spacing w:val="-10"/>
          <w:sz w:val="22"/>
        </w:rPr>
        <w:t>web-based</w:t>
      </w:r>
      <w:r>
        <w:rPr>
          <w:spacing w:val="-11"/>
          <w:sz w:val="22"/>
        </w:rPr>
        <w:t> </w:t>
      </w:r>
      <w:r>
        <w:rPr>
          <w:spacing w:val="-10"/>
          <w:sz w:val="22"/>
        </w:rPr>
        <w:t>services</w:t>
      </w:r>
      <w:r>
        <w:rPr>
          <w:spacing w:val="-11"/>
          <w:sz w:val="22"/>
        </w:rPr>
        <w:t> </w:t>
      </w:r>
      <w:r>
        <w:rPr>
          <w:spacing w:val="-10"/>
          <w:sz w:val="22"/>
        </w:rPr>
        <w:t>would</w:t>
      </w:r>
    </w:p>
    <w:p>
      <w:pPr>
        <w:spacing w:after="0" w:line="266" w:lineRule="auto"/>
        <w:jc w:val="both"/>
        <w:rPr>
          <w:sz w:val="22"/>
        </w:rPr>
        <w:sectPr>
          <w:pgSz w:w="11910" w:h="16840"/>
          <w:pgMar w:header="0" w:footer="675" w:top="940" w:bottom="860" w:left="0" w:right="0"/>
          <w:cols w:num="2" w:equalWidth="0">
            <w:col w:w="5774" w:space="40"/>
            <w:col w:w="6096"/>
          </w:cols>
        </w:sectPr>
      </w:pPr>
    </w:p>
    <w:p>
      <w:pPr>
        <w:pStyle w:val="BodyText"/>
        <w:spacing w:line="266" w:lineRule="auto" w:before="57"/>
        <w:ind w:left="1440"/>
        <w:jc w:val="both"/>
      </w:pPr>
      <w:r>
        <w:rPr>
          <w:spacing w:val="-2"/>
        </w:rPr>
        <w:t>improve</w:t>
      </w:r>
      <w:r>
        <w:rPr>
          <w:spacing w:val="-9"/>
        </w:rPr>
        <w:t> </w:t>
      </w:r>
      <w:r>
        <w:rPr>
          <w:spacing w:val="-2"/>
        </w:rPr>
        <w:t>transparency</w:t>
      </w:r>
      <w:r>
        <w:rPr>
          <w:spacing w:val="-9"/>
        </w:rPr>
        <w:t> </w:t>
      </w:r>
      <w:r>
        <w:rPr>
          <w:spacing w:val="-2"/>
        </w:rPr>
        <w:t>and</w:t>
      </w:r>
      <w:r>
        <w:rPr>
          <w:spacing w:val="-9"/>
        </w:rPr>
        <w:t> </w:t>
      </w:r>
      <w:r>
        <w:rPr>
          <w:spacing w:val="-2"/>
        </w:rPr>
        <w:t>accountability.</w:t>
      </w:r>
      <w:r>
        <w:rPr>
          <w:spacing w:val="-9"/>
        </w:rPr>
        <w:t> </w:t>
      </w:r>
      <w:r>
        <w:rPr>
          <w:spacing w:val="-2"/>
        </w:rPr>
        <w:t>A</w:t>
      </w:r>
      <w:r>
        <w:rPr>
          <w:spacing w:val="-9"/>
        </w:rPr>
        <w:t> </w:t>
      </w:r>
      <w:r>
        <w:rPr>
          <w:spacing w:val="-2"/>
        </w:rPr>
        <w:t>portal </w:t>
      </w:r>
      <w:r>
        <w:rPr/>
        <w:t>on higher education and research would increase </w:t>
      </w:r>
      <w:r>
        <w:rPr>
          <w:spacing w:val="-4"/>
        </w:rPr>
        <w:t>interaction</w:t>
      </w:r>
      <w:r>
        <w:rPr>
          <w:spacing w:val="-10"/>
        </w:rPr>
        <w:t> </w:t>
      </w:r>
      <w:r>
        <w:rPr>
          <w:spacing w:val="-4"/>
        </w:rPr>
        <w:t>and</w:t>
      </w:r>
      <w:r>
        <w:rPr>
          <w:spacing w:val="-10"/>
        </w:rPr>
        <w:t> </w:t>
      </w:r>
      <w:r>
        <w:rPr>
          <w:spacing w:val="-4"/>
        </w:rPr>
        <w:t>accessibility.</w:t>
      </w:r>
      <w:r>
        <w:rPr>
          <w:spacing w:val="-9"/>
        </w:rPr>
        <w:t> </w:t>
      </w:r>
      <w:r>
        <w:rPr>
          <w:spacing w:val="-4"/>
        </w:rPr>
        <w:t>A</w:t>
      </w:r>
      <w:r>
        <w:rPr>
          <w:spacing w:val="-10"/>
        </w:rPr>
        <w:t> </w:t>
      </w:r>
      <w:r>
        <w:rPr>
          <w:spacing w:val="-4"/>
        </w:rPr>
        <w:t>knowledge</w:t>
      </w:r>
      <w:r>
        <w:rPr>
          <w:spacing w:val="-10"/>
        </w:rPr>
        <w:t> </w:t>
      </w:r>
      <w:r>
        <w:rPr>
          <w:spacing w:val="-4"/>
        </w:rPr>
        <w:t>network </w:t>
      </w:r>
      <w:r>
        <w:rPr>
          <w:spacing w:val="-8"/>
        </w:rPr>
        <w:t>would</w:t>
      </w:r>
      <w:r>
        <w:rPr>
          <w:spacing w:val="-5"/>
        </w:rPr>
        <w:t> </w:t>
      </w:r>
      <w:r>
        <w:rPr>
          <w:spacing w:val="-8"/>
        </w:rPr>
        <w:t>connect</w:t>
      </w:r>
      <w:r>
        <w:rPr>
          <w:spacing w:val="-5"/>
        </w:rPr>
        <w:t> </w:t>
      </w:r>
      <w:r>
        <w:rPr>
          <w:spacing w:val="-8"/>
        </w:rPr>
        <w:t>all</w:t>
      </w:r>
      <w:r>
        <w:rPr>
          <w:spacing w:val="-5"/>
        </w:rPr>
        <w:t> </w:t>
      </w:r>
      <w:r>
        <w:rPr>
          <w:spacing w:val="-8"/>
        </w:rPr>
        <w:t>universities</w:t>
      </w:r>
      <w:r>
        <w:rPr>
          <w:spacing w:val="-5"/>
        </w:rPr>
        <w:t> </w:t>
      </w:r>
      <w:r>
        <w:rPr>
          <w:spacing w:val="-8"/>
        </w:rPr>
        <w:t>and</w:t>
      </w:r>
      <w:r>
        <w:rPr>
          <w:spacing w:val="-5"/>
        </w:rPr>
        <w:t> </w:t>
      </w:r>
      <w:r>
        <w:rPr>
          <w:spacing w:val="-8"/>
        </w:rPr>
        <w:t>colleges</w:t>
      </w:r>
      <w:r>
        <w:rPr>
          <w:spacing w:val="-5"/>
        </w:rPr>
        <w:t> </w:t>
      </w:r>
      <w:r>
        <w:rPr>
          <w:spacing w:val="-8"/>
        </w:rPr>
        <w:t>for</w:t>
      </w:r>
      <w:r>
        <w:rPr>
          <w:spacing w:val="-5"/>
        </w:rPr>
        <w:t> </w:t>
      </w:r>
      <w:r>
        <w:rPr>
          <w:spacing w:val="-8"/>
        </w:rPr>
        <w:t>online </w:t>
      </w:r>
      <w:r>
        <w:rPr/>
        <w:t>open</w:t>
      </w:r>
      <w:r>
        <w:rPr>
          <w:spacing w:val="-4"/>
        </w:rPr>
        <w:t> </w:t>
      </w:r>
      <w:r>
        <w:rPr/>
        <w:t>resources.</w:t>
      </w:r>
    </w:p>
    <w:p>
      <w:pPr>
        <w:pStyle w:val="ListParagraph"/>
        <w:numPr>
          <w:ilvl w:val="1"/>
          <w:numId w:val="22"/>
        </w:numPr>
        <w:tabs>
          <w:tab w:pos="1439" w:val="left" w:leader="none"/>
        </w:tabs>
        <w:spacing w:line="266" w:lineRule="auto" w:before="0" w:after="0"/>
        <w:ind w:left="1439" w:right="0" w:hanging="360"/>
        <w:jc w:val="both"/>
        <w:rPr>
          <w:sz w:val="22"/>
        </w:rPr>
      </w:pPr>
      <w:r>
        <w:rPr>
          <w:sz w:val="22"/>
        </w:rPr>
        <w:t>It may be necessary to rethink the issue of salary </w:t>
      </w:r>
      <w:r>
        <w:rPr>
          <w:spacing w:val="-2"/>
          <w:sz w:val="22"/>
        </w:rPr>
        <w:t>differentials</w:t>
      </w:r>
      <w:r>
        <w:rPr>
          <w:spacing w:val="-12"/>
          <w:sz w:val="22"/>
        </w:rPr>
        <w:t> </w:t>
      </w:r>
      <w:r>
        <w:rPr>
          <w:spacing w:val="-2"/>
          <w:sz w:val="22"/>
        </w:rPr>
        <w:t>within</w:t>
      </w:r>
      <w:r>
        <w:rPr>
          <w:spacing w:val="-12"/>
          <w:sz w:val="22"/>
        </w:rPr>
        <w:t> </w:t>
      </w:r>
      <w:r>
        <w:rPr>
          <w:spacing w:val="-2"/>
          <w:sz w:val="22"/>
        </w:rPr>
        <w:t>and</w:t>
      </w:r>
      <w:r>
        <w:rPr>
          <w:spacing w:val="-12"/>
          <w:sz w:val="22"/>
        </w:rPr>
        <w:t> </w:t>
      </w:r>
      <w:r>
        <w:rPr>
          <w:spacing w:val="-2"/>
          <w:sz w:val="22"/>
        </w:rPr>
        <w:t>between</w:t>
      </w:r>
      <w:r>
        <w:rPr>
          <w:spacing w:val="-11"/>
          <w:sz w:val="22"/>
        </w:rPr>
        <w:t> </w:t>
      </w:r>
      <w:r>
        <w:rPr>
          <w:spacing w:val="-2"/>
          <w:sz w:val="22"/>
        </w:rPr>
        <w:t>universities</w:t>
      </w:r>
      <w:r>
        <w:rPr>
          <w:spacing w:val="-12"/>
          <w:sz w:val="22"/>
        </w:rPr>
        <w:t> </w:t>
      </w:r>
      <w:r>
        <w:rPr>
          <w:spacing w:val="-2"/>
          <w:sz w:val="22"/>
        </w:rPr>
        <w:t>along </w:t>
      </w:r>
      <w:r>
        <w:rPr>
          <w:spacing w:val="-6"/>
          <w:sz w:val="22"/>
        </w:rPr>
        <w:t>with other means of attracting and retaining talented </w:t>
      </w:r>
      <w:r>
        <w:rPr>
          <w:spacing w:val="-4"/>
          <w:sz w:val="22"/>
        </w:rPr>
        <w:t>faculty</w:t>
      </w:r>
      <w:r>
        <w:rPr>
          <w:spacing w:val="-7"/>
          <w:sz w:val="22"/>
        </w:rPr>
        <w:t> </w:t>
      </w:r>
      <w:r>
        <w:rPr>
          <w:spacing w:val="-4"/>
          <w:sz w:val="22"/>
        </w:rPr>
        <w:t>members.</w:t>
      </w:r>
      <w:r>
        <w:rPr>
          <w:spacing w:val="-7"/>
          <w:sz w:val="22"/>
        </w:rPr>
        <w:t> </w:t>
      </w:r>
      <w:r>
        <w:rPr>
          <w:spacing w:val="-4"/>
          <w:sz w:val="22"/>
        </w:rPr>
        <w:t>Such</w:t>
      </w:r>
      <w:r>
        <w:rPr>
          <w:spacing w:val="-7"/>
          <w:sz w:val="22"/>
        </w:rPr>
        <w:t> </w:t>
      </w:r>
      <w:r>
        <w:rPr>
          <w:spacing w:val="-4"/>
          <w:sz w:val="22"/>
        </w:rPr>
        <w:t>salary</w:t>
      </w:r>
      <w:r>
        <w:rPr>
          <w:spacing w:val="-7"/>
          <w:sz w:val="22"/>
        </w:rPr>
        <w:t> </w:t>
      </w:r>
      <w:r>
        <w:rPr>
          <w:spacing w:val="-4"/>
          <w:sz w:val="22"/>
        </w:rPr>
        <w:t>differentials</w:t>
      </w:r>
      <w:r>
        <w:rPr>
          <w:spacing w:val="-7"/>
          <w:sz w:val="22"/>
        </w:rPr>
        <w:t> </w:t>
      </w:r>
      <w:r>
        <w:rPr>
          <w:spacing w:val="-4"/>
          <w:sz w:val="22"/>
        </w:rPr>
        <w:t>between </w:t>
      </w:r>
      <w:r>
        <w:rPr>
          <w:sz w:val="22"/>
        </w:rPr>
        <w:t>and</w:t>
      </w:r>
      <w:r>
        <w:rPr>
          <w:spacing w:val="-12"/>
          <w:sz w:val="22"/>
        </w:rPr>
        <w:t> </w:t>
      </w:r>
      <w:r>
        <w:rPr>
          <w:sz w:val="22"/>
        </w:rPr>
        <w:t>within</w:t>
      </w:r>
      <w:r>
        <w:rPr>
          <w:spacing w:val="-12"/>
          <w:sz w:val="22"/>
        </w:rPr>
        <w:t> </w:t>
      </w:r>
      <w:r>
        <w:rPr>
          <w:sz w:val="22"/>
        </w:rPr>
        <w:t>universities</w:t>
      </w:r>
      <w:r>
        <w:rPr>
          <w:spacing w:val="-12"/>
          <w:sz w:val="22"/>
        </w:rPr>
        <w:t> </w:t>
      </w:r>
      <w:r>
        <w:rPr>
          <w:sz w:val="22"/>
        </w:rPr>
        <w:t>could</w:t>
      </w:r>
      <w:r>
        <w:rPr>
          <w:spacing w:val="-12"/>
          <w:sz w:val="22"/>
        </w:rPr>
        <w:t> </w:t>
      </w:r>
      <w:r>
        <w:rPr>
          <w:sz w:val="22"/>
        </w:rPr>
        <w:t>be</w:t>
      </w:r>
      <w:r>
        <w:rPr>
          <w:spacing w:val="-12"/>
          <w:sz w:val="22"/>
        </w:rPr>
        <w:t> </w:t>
      </w:r>
      <w:r>
        <w:rPr>
          <w:sz w:val="22"/>
        </w:rPr>
        <w:t>effective</w:t>
      </w:r>
      <w:r>
        <w:rPr>
          <w:spacing w:val="-12"/>
          <w:sz w:val="22"/>
        </w:rPr>
        <w:t> </w:t>
      </w:r>
      <w:r>
        <w:rPr>
          <w:sz w:val="22"/>
        </w:rPr>
        <w:t>without being large.</w:t>
      </w:r>
    </w:p>
    <w:p>
      <w:pPr>
        <w:pStyle w:val="ListParagraph"/>
        <w:numPr>
          <w:ilvl w:val="1"/>
          <w:numId w:val="22"/>
        </w:numPr>
        <w:tabs>
          <w:tab w:pos="1439" w:val="left" w:leader="none"/>
        </w:tabs>
        <w:spacing w:line="266" w:lineRule="auto" w:before="0" w:after="0"/>
        <w:ind w:left="1439" w:right="0" w:hanging="360"/>
        <w:jc w:val="both"/>
        <w:rPr>
          <w:sz w:val="22"/>
        </w:rPr>
      </w:pPr>
      <w:r>
        <w:rPr>
          <w:sz w:val="22"/>
        </w:rPr>
        <w:t>It is necessary to formulate appropriate policies for</w:t>
      </w:r>
      <w:r>
        <w:rPr>
          <w:spacing w:val="-6"/>
          <w:sz w:val="22"/>
        </w:rPr>
        <w:t> </w:t>
      </w:r>
      <w:r>
        <w:rPr>
          <w:sz w:val="22"/>
        </w:rPr>
        <w:t>the</w:t>
      </w:r>
      <w:r>
        <w:rPr>
          <w:spacing w:val="-6"/>
          <w:sz w:val="22"/>
        </w:rPr>
        <w:t> </w:t>
      </w:r>
      <w:r>
        <w:rPr>
          <w:sz w:val="22"/>
        </w:rPr>
        <w:t>entry</w:t>
      </w:r>
      <w:r>
        <w:rPr>
          <w:spacing w:val="-6"/>
          <w:sz w:val="22"/>
        </w:rPr>
        <w:t> </w:t>
      </w:r>
      <w:r>
        <w:rPr>
          <w:sz w:val="22"/>
        </w:rPr>
        <w:t>of</w:t>
      </w:r>
      <w:r>
        <w:rPr>
          <w:spacing w:val="-6"/>
          <w:sz w:val="22"/>
        </w:rPr>
        <w:t> </w:t>
      </w:r>
      <w:r>
        <w:rPr>
          <w:sz w:val="22"/>
        </w:rPr>
        <w:t>foreign</w:t>
      </w:r>
      <w:r>
        <w:rPr>
          <w:spacing w:val="-6"/>
          <w:sz w:val="22"/>
        </w:rPr>
        <w:t> </w:t>
      </w:r>
      <w:r>
        <w:rPr>
          <w:sz w:val="22"/>
        </w:rPr>
        <w:t>institutions</w:t>
      </w:r>
      <w:r>
        <w:rPr>
          <w:spacing w:val="-4"/>
          <w:sz w:val="22"/>
        </w:rPr>
        <w:t> </w:t>
      </w:r>
      <w:r>
        <w:rPr>
          <w:sz w:val="22"/>
        </w:rPr>
        <w:t>into India and the promotion of Indian institutions </w:t>
      </w:r>
      <w:r>
        <w:rPr>
          <w:sz w:val="22"/>
        </w:rPr>
        <w:t>abroad,</w:t>
      </w:r>
      <w:r>
        <w:rPr>
          <w:spacing w:val="40"/>
          <w:sz w:val="22"/>
        </w:rPr>
        <w:t> </w:t>
      </w:r>
      <w:r>
        <w:rPr>
          <w:spacing w:val="-2"/>
          <w:sz w:val="22"/>
        </w:rPr>
        <w:t>while</w:t>
      </w:r>
      <w:r>
        <w:rPr>
          <w:spacing w:val="-14"/>
          <w:sz w:val="22"/>
        </w:rPr>
        <w:t> </w:t>
      </w:r>
      <w:r>
        <w:rPr>
          <w:spacing w:val="-2"/>
          <w:sz w:val="22"/>
        </w:rPr>
        <w:t>ensuring</w:t>
      </w:r>
      <w:r>
        <w:rPr>
          <w:spacing w:val="-12"/>
          <w:sz w:val="22"/>
        </w:rPr>
        <w:t> </w:t>
      </w:r>
      <w:r>
        <w:rPr>
          <w:spacing w:val="-2"/>
          <w:sz w:val="22"/>
        </w:rPr>
        <w:t>a</w:t>
      </w:r>
      <w:r>
        <w:rPr>
          <w:spacing w:val="-12"/>
          <w:sz w:val="22"/>
        </w:rPr>
        <w:t> </w:t>
      </w:r>
      <w:r>
        <w:rPr>
          <w:spacing w:val="-2"/>
          <w:sz w:val="22"/>
        </w:rPr>
        <w:t>level</w:t>
      </w:r>
      <w:r>
        <w:rPr>
          <w:spacing w:val="-11"/>
          <w:sz w:val="22"/>
        </w:rPr>
        <w:t> </w:t>
      </w:r>
      <w:r>
        <w:rPr>
          <w:spacing w:val="-2"/>
          <w:sz w:val="22"/>
        </w:rPr>
        <w:t>playing</w:t>
      </w:r>
      <w:r>
        <w:rPr>
          <w:spacing w:val="-12"/>
          <w:sz w:val="22"/>
        </w:rPr>
        <w:t> </w:t>
      </w:r>
      <w:r>
        <w:rPr>
          <w:spacing w:val="-2"/>
          <w:sz w:val="22"/>
        </w:rPr>
        <w:t>field</w:t>
      </w:r>
      <w:r>
        <w:rPr>
          <w:spacing w:val="-12"/>
          <w:sz w:val="22"/>
        </w:rPr>
        <w:t> </w:t>
      </w:r>
      <w:r>
        <w:rPr>
          <w:spacing w:val="-2"/>
          <w:sz w:val="22"/>
        </w:rPr>
        <w:t>for</w:t>
      </w:r>
      <w:r>
        <w:rPr>
          <w:spacing w:val="-12"/>
          <w:sz w:val="22"/>
        </w:rPr>
        <w:t> </w:t>
      </w:r>
      <w:r>
        <w:rPr>
          <w:spacing w:val="-2"/>
          <w:sz w:val="22"/>
        </w:rPr>
        <w:t>foreign</w:t>
      </w:r>
      <w:r>
        <w:rPr>
          <w:spacing w:val="-11"/>
          <w:sz w:val="22"/>
        </w:rPr>
        <w:t> </w:t>
      </w:r>
      <w:r>
        <w:rPr>
          <w:spacing w:val="-2"/>
          <w:sz w:val="22"/>
        </w:rPr>
        <w:t>and </w:t>
      </w:r>
      <w:r>
        <w:rPr>
          <w:sz w:val="22"/>
        </w:rPr>
        <w:t>domestic institutions within the country.</w:t>
      </w:r>
    </w:p>
    <w:p>
      <w:pPr>
        <w:pStyle w:val="ListParagraph"/>
        <w:numPr>
          <w:ilvl w:val="1"/>
          <w:numId w:val="22"/>
        </w:numPr>
        <w:tabs>
          <w:tab w:pos="1439" w:val="left" w:leader="none"/>
        </w:tabs>
        <w:spacing w:line="266" w:lineRule="auto" w:before="0" w:after="0"/>
        <w:ind w:left="1439" w:right="0" w:hanging="360"/>
        <w:jc w:val="both"/>
        <w:rPr>
          <w:sz w:val="22"/>
        </w:rPr>
      </w:pPr>
      <w:r>
        <w:rPr>
          <w:spacing w:val="-4"/>
          <w:sz w:val="22"/>
        </w:rPr>
        <w:t>The</w:t>
      </w:r>
      <w:r>
        <w:rPr>
          <w:spacing w:val="-10"/>
          <w:sz w:val="22"/>
        </w:rPr>
        <w:t> </w:t>
      </w:r>
      <w:r>
        <w:rPr>
          <w:spacing w:val="-4"/>
          <w:sz w:val="22"/>
        </w:rPr>
        <w:t>system</w:t>
      </w:r>
      <w:r>
        <w:rPr>
          <w:spacing w:val="-10"/>
          <w:sz w:val="22"/>
        </w:rPr>
        <w:t> </w:t>
      </w:r>
      <w:r>
        <w:rPr>
          <w:spacing w:val="-4"/>
          <w:sz w:val="22"/>
        </w:rPr>
        <w:t>of</w:t>
      </w:r>
      <w:r>
        <w:rPr>
          <w:spacing w:val="-10"/>
          <w:sz w:val="22"/>
        </w:rPr>
        <w:t> </w:t>
      </w:r>
      <w:r>
        <w:rPr>
          <w:spacing w:val="-4"/>
          <w:sz w:val="22"/>
        </w:rPr>
        <w:t>higher</w:t>
      </w:r>
      <w:r>
        <w:rPr>
          <w:spacing w:val="-9"/>
          <w:sz w:val="22"/>
        </w:rPr>
        <w:t> </w:t>
      </w:r>
      <w:r>
        <w:rPr>
          <w:spacing w:val="-4"/>
          <w:sz w:val="22"/>
        </w:rPr>
        <w:t>education</w:t>
      </w:r>
      <w:r>
        <w:rPr>
          <w:spacing w:val="-10"/>
          <w:sz w:val="22"/>
        </w:rPr>
        <w:t> </w:t>
      </w:r>
      <w:r>
        <w:rPr>
          <w:spacing w:val="-4"/>
          <w:sz w:val="22"/>
        </w:rPr>
        <w:t>must</w:t>
      </w:r>
      <w:r>
        <w:rPr>
          <w:spacing w:val="-10"/>
          <w:sz w:val="22"/>
        </w:rPr>
        <w:t> </w:t>
      </w:r>
      <w:r>
        <w:rPr>
          <w:spacing w:val="-4"/>
          <w:sz w:val="22"/>
        </w:rPr>
        <w:t>recognise</w:t>
      </w:r>
      <w:r>
        <w:rPr>
          <w:spacing w:val="-10"/>
          <w:sz w:val="22"/>
        </w:rPr>
        <w:t> </w:t>
      </w:r>
      <w:r>
        <w:rPr>
          <w:spacing w:val="-4"/>
          <w:sz w:val="22"/>
        </w:rPr>
        <w:t>that </w:t>
      </w:r>
      <w:r>
        <w:rPr>
          <w:sz w:val="22"/>
        </w:rPr>
        <w:t>there</w:t>
      </w:r>
      <w:r>
        <w:rPr>
          <w:spacing w:val="-14"/>
          <w:sz w:val="22"/>
        </w:rPr>
        <w:t> </w:t>
      </w:r>
      <w:r>
        <w:rPr>
          <w:sz w:val="22"/>
        </w:rPr>
        <w:t>is</w:t>
      </w:r>
      <w:r>
        <w:rPr>
          <w:spacing w:val="-14"/>
          <w:sz w:val="22"/>
        </w:rPr>
        <w:t> </w:t>
      </w:r>
      <w:r>
        <w:rPr>
          <w:sz w:val="22"/>
        </w:rPr>
        <w:t>bound</w:t>
      </w:r>
      <w:r>
        <w:rPr>
          <w:spacing w:val="-14"/>
          <w:sz w:val="22"/>
        </w:rPr>
        <w:t> </w:t>
      </w:r>
      <w:r>
        <w:rPr>
          <w:sz w:val="22"/>
        </w:rPr>
        <w:t>to</w:t>
      </w:r>
      <w:r>
        <w:rPr>
          <w:spacing w:val="-13"/>
          <w:sz w:val="22"/>
        </w:rPr>
        <w:t> </w:t>
      </w:r>
      <w:r>
        <w:rPr>
          <w:sz w:val="22"/>
        </w:rPr>
        <w:t>be</w:t>
      </w:r>
      <w:r>
        <w:rPr>
          <w:spacing w:val="-14"/>
          <w:sz w:val="22"/>
        </w:rPr>
        <w:t> </w:t>
      </w:r>
      <w:r>
        <w:rPr>
          <w:sz w:val="22"/>
        </w:rPr>
        <w:t>diversity</w:t>
      </w:r>
      <w:r>
        <w:rPr>
          <w:spacing w:val="-14"/>
          <w:sz w:val="22"/>
        </w:rPr>
        <w:t> </w:t>
      </w:r>
      <w:r>
        <w:rPr>
          <w:sz w:val="22"/>
        </w:rPr>
        <w:t>and</w:t>
      </w:r>
      <w:r>
        <w:rPr>
          <w:spacing w:val="-14"/>
          <w:sz w:val="22"/>
        </w:rPr>
        <w:t> </w:t>
      </w:r>
      <w:r>
        <w:rPr>
          <w:sz w:val="22"/>
        </w:rPr>
        <w:t>pluralism</w:t>
      </w:r>
      <w:r>
        <w:rPr>
          <w:spacing w:val="-13"/>
          <w:sz w:val="22"/>
        </w:rPr>
        <w:t> </w:t>
      </w:r>
      <w:r>
        <w:rPr>
          <w:sz w:val="22"/>
        </w:rPr>
        <w:t>in</w:t>
      </w:r>
      <w:r>
        <w:rPr>
          <w:spacing w:val="-14"/>
          <w:sz w:val="22"/>
        </w:rPr>
        <w:t> </w:t>
      </w:r>
      <w:r>
        <w:rPr>
          <w:sz w:val="22"/>
        </w:rPr>
        <w:t>any system of higher education, and avoid a uniform </w:t>
      </w:r>
      <w:r>
        <w:rPr>
          <w:spacing w:val="-4"/>
          <w:sz w:val="22"/>
        </w:rPr>
        <w:t>‘one-size fits all’ approach.</w:t>
      </w:r>
      <w:r>
        <w:rPr>
          <w:spacing w:val="-10"/>
          <w:sz w:val="22"/>
        </w:rPr>
        <w:t> </w:t>
      </w:r>
      <w:r>
        <w:rPr>
          <w:spacing w:val="-4"/>
          <w:sz w:val="22"/>
        </w:rPr>
        <w:t>This sense of pluralism </w:t>
      </w:r>
      <w:r>
        <w:rPr>
          <w:sz w:val="22"/>
        </w:rPr>
        <w:t>must recognise, rather than ignore or shy away from, such diversity and differentiation.</w:t>
      </w:r>
    </w:p>
    <w:p>
      <w:pPr>
        <w:pStyle w:val="Heading6"/>
        <w:numPr>
          <w:ilvl w:val="0"/>
          <w:numId w:val="19"/>
        </w:numPr>
        <w:tabs>
          <w:tab w:pos="1582" w:val="left" w:leader="none"/>
        </w:tabs>
        <w:spacing w:line="240" w:lineRule="auto" w:before="169" w:after="0"/>
        <w:ind w:left="1582" w:right="0" w:hanging="502"/>
        <w:jc w:val="left"/>
      </w:pPr>
      <w:r>
        <w:rPr>
          <w:color w:val="2E614A"/>
          <w:spacing w:val="-2"/>
        </w:rPr>
        <w:t>Inclusion</w:t>
      </w:r>
    </w:p>
    <w:p>
      <w:pPr>
        <w:pStyle w:val="Heading7"/>
        <w:numPr>
          <w:ilvl w:val="0"/>
          <w:numId w:val="14"/>
        </w:numPr>
        <w:tabs>
          <w:tab w:pos="1344" w:val="left" w:leader="none"/>
        </w:tabs>
        <w:spacing w:line="240" w:lineRule="auto" w:before="248" w:after="0"/>
        <w:ind w:left="1344" w:right="0" w:hanging="264"/>
        <w:jc w:val="left"/>
        <w:rPr>
          <w:color w:val="2E614A"/>
        </w:rPr>
      </w:pPr>
      <w:r>
        <w:rPr>
          <w:color w:val="2E614A"/>
          <w:w w:val="90"/>
        </w:rPr>
        <w:t>Ensure</w:t>
      </w:r>
      <w:r>
        <w:rPr>
          <w:color w:val="2E614A"/>
          <w:spacing w:val="-1"/>
          <w:w w:val="90"/>
        </w:rPr>
        <w:t> </w:t>
      </w:r>
      <w:r>
        <w:rPr>
          <w:color w:val="2E614A"/>
          <w:w w:val="90"/>
        </w:rPr>
        <w:t>access</w:t>
      </w:r>
      <w:r>
        <w:rPr>
          <w:color w:val="2E614A"/>
          <w:spacing w:val="-6"/>
        </w:rPr>
        <w:t> </w:t>
      </w:r>
      <w:r>
        <w:rPr>
          <w:color w:val="2E614A"/>
          <w:w w:val="90"/>
        </w:rPr>
        <w:t>for</w:t>
      </w:r>
      <w:r>
        <w:rPr>
          <w:color w:val="2E614A"/>
          <w:spacing w:val="-1"/>
          <w:w w:val="90"/>
        </w:rPr>
        <w:t> </w:t>
      </w:r>
      <w:r>
        <w:rPr>
          <w:color w:val="2E614A"/>
          <w:w w:val="90"/>
        </w:rPr>
        <w:t>all</w:t>
      </w:r>
      <w:r>
        <w:rPr>
          <w:color w:val="2E614A"/>
          <w:spacing w:val="-6"/>
        </w:rPr>
        <w:t> </w:t>
      </w:r>
      <w:r>
        <w:rPr>
          <w:color w:val="2E614A"/>
          <w:w w:val="90"/>
        </w:rPr>
        <w:t>deserving</w:t>
      </w:r>
      <w:r>
        <w:rPr>
          <w:color w:val="2E614A"/>
          <w:spacing w:val="-7"/>
        </w:rPr>
        <w:t> </w:t>
      </w:r>
      <w:r>
        <w:rPr>
          <w:color w:val="2E614A"/>
          <w:spacing w:val="-2"/>
          <w:w w:val="90"/>
        </w:rPr>
        <w:t>students</w:t>
      </w:r>
    </w:p>
    <w:p>
      <w:pPr>
        <w:pStyle w:val="BodyText"/>
        <w:spacing w:line="266" w:lineRule="auto" w:before="298"/>
        <w:ind w:left="1080"/>
        <w:jc w:val="both"/>
      </w:pPr>
      <w:r>
        <w:rPr/>
        <w:t>Education is the fundamental mechanism for social inclusion through the creation of more opportunities. It</w:t>
      </w:r>
      <w:r>
        <w:rPr>
          <w:spacing w:val="40"/>
        </w:rPr>
        <w:t> </w:t>
      </w:r>
      <w:r>
        <w:rPr/>
        <w:t>is</w:t>
      </w:r>
      <w:r>
        <w:rPr>
          <w:spacing w:val="40"/>
        </w:rPr>
        <w:t> </w:t>
      </w:r>
      <w:r>
        <w:rPr/>
        <w:t>therefore</w:t>
      </w:r>
      <w:r>
        <w:rPr>
          <w:spacing w:val="40"/>
        </w:rPr>
        <w:t> </w:t>
      </w:r>
      <w:r>
        <w:rPr/>
        <w:t>essential</w:t>
      </w:r>
      <w:r>
        <w:rPr>
          <w:spacing w:val="40"/>
        </w:rPr>
        <w:t> </w:t>
      </w:r>
      <w:r>
        <w:rPr/>
        <w:t>to</w:t>
      </w:r>
      <w:r>
        <w:rPr>
          <w:spacing w:val="40"/>
        </w:rPr>
        <w:t> </w:t>
      </w:r>
      <w:r>
        <w:rPr/>
        <w:t>ensure</w:t>
      </w:r>
      <w:r>
        <w:rPr>
          <w:spacing w:val="40"/>
        </w:rPr>
        <w:t> </w:t>
      </w:r>
      <w:r>
        <w:rPr/>
        <w:t>that</w:t>
      </w:r>
      <w:r>
        <w:rPr>
          <w:spacing w:val="40"/>
        </w:rPr>
        <w:t> </w:t>
      </w:r>
      <w:r>
        <w:rPr/>
        <w:t>no</w:t>
      </w:r>
      <w:r>
        <w:rPr>
          <w:spacing w:val="40"/>
        </w:rPr>
        <w:t> </w:t>
      </w:r>
      <w:r>
        <w:rPr/>
        <w:t>student</w:t>
      </w:r>
      <w:r>
        <w:rPr>
          <w:spacing w:val="40"/>
        </w:rPr>
        <w:t> </w:t>
      </w:r>
      <w:r>
        <w:rPr/>
        <w:t>is denied the opportunity to participate in higher education</w:t>
      </w:r>
      <w:r>
        <w:rPr>
          <w:spacing w:val="-8"/>
        </w:rPr>
        <w:t> </w:t>
      </w:r>
      <w:r>
        <w:rPr/>
        <w:t>due</w:t>
      </w:r>
      <w:r>
        <w:rPr>
          <w:spacing w:val="-8"/>
        </w:rPr>
        <w:t> </w:t>
      </w:r>
      <w:r>
        <w:rPr/>
        <w:t>to</w:t>
      </w:r>
      <w:r>
        <w:rPr>
          <w:spacing w:val="-8"/>
        </w:rPr>
        <w:t> </w:t>
      </w:r>
      <w:r>
        <w:rPr/>
        <w:t>financial</w:t>
      </w:r>
      <w:r>
        <w:rPr>
          <w:spacing w:val="-8"/>
        </w:rPr>
        <w:t> </w:t>
      </w:r>
      <w:r>
        <w:rPr/>
        <w:t>constraints.</w:t>
      </w:r>
      <w:r>
        <w:rPr>
          <w:spacing w:val="-8"/>
        </w:rPr>
        <w:t> </w:t>
      </w:r>
      <w:r>
        <w:rPr/>
        <w:t>NKC</w:t>
      </w:r>
      <w:r>
        <w:rPr>
          <w:spacing w:val="-8"/>
        </w:rPr>
        <w:t> </w:t>
      </w:r>
      <w:r>
        <w:rPr/>
        <w:t>proposes the following measures.</w:t>
      </w:r>
    </w:p>
    <w:p>
      <w:pPr>
        <w:pStyle w:val="ListParagraph"/>
        <w:numPr>
          <w:ilvl w:val="0"/>
          <w:numId w:val="23"/>
        </w:numPr>
        <w:tabs>
          <w:tab w:pos="1439" w:val="left" w:leader="none"/>
        </w:tabs>
        <w:spacing w:line="266" w:lineRule="auto" w:before="0" w:after="0"/>
        <w:ind w:left="1439" w:right="0" w:hanging="360"/>
        <w:jc w:val="both"/>
        <w:rPr>
          <w:sz w:val="22"/>
        </w:rPr>
      </w:pPr>
      <w:r>
        <w:rPr>
          <w:sz w:val="22"/>
        </w:rPr>
        <w:t>Institutions of higher education should </w:t>
      </w:r>
      <w:r>
        <w:rPr>
          <w:sz w:val="22"/>
        </w:rPr>
        <w:t>be encouraged to adopt a needs-blind admissions </w:t>
      </w:r>
      <w:r>
        <w:rPr>
          <w:spacing w:val="-6"/>
          <w:sz w:val="22"/>
        </w:rPr>
        <w:t>policy.</w:t>
      </w:r>
      <w:r>
        <w:rPr>
          <w:spacing w:val="-8"/>
          <w:sz w:val="22"/>
        </w:rPr>
        <w:t> </w:t>
      </w:r>
      <w:r>
        <w:rPr>
          <w:spacing w:val="-6"/>
          <w:sz w:val="22"/>
        </w:rPr>
        <w:t>This</w:t>
      </w:r>
      <w:r>
        <w:rPr>
          <w:spacing w:val="-7"/>
          <w:sz w:val="22"/>
        </w:rPr>
        <w:t> </w:t>
      </w:r>
      <w:r>
        <w:rPr>
          <w:spacing w:val="-6"/>
          <w:sz w:val="22"/>
        </w:rPr>
        <w:t>would make it unlawful for educational </w:t>
      </w:r>
      <w:r>
        <w:rPr>
          <w:spacing w:val="-4"/>
          <w:sz w:val="22"/>
        </w:rPr>
        <w:t>institutions</w:t>
      </w:r>
      <w:r>
        <w:rPr>
          <w:spacing w:val="-7"/>
          <w:sz w:val="22"/>
        </w:rPr>
        <w:t> </w:t>
      </w:r>
      <w:r>
        <w:rPr>
          <w:spacing w:val="-4"/>
          <w:sz w:val="22"/>
        </w:rPr>
        <w:t>to</w:t>
      </w:r>
      <w:r>
        <w:rPr>
          <w:spacing w:val="-7"/>
          <w:sz w:val="22"/>
        </w:rPr>
        <w:t> </w:t>
      </w:r>
      <w:r>
        <w:rPr>
          <w:spacing w:val="-4"/>
          <w:sz w:val="22"/>
        </w:rPr>
        <w:t>take</w:t>
      </w:r>
      <w:r>
        <w:rPr>
          <w:spacing w:val="-7"/>
          <w:sz w:val="22"/>
        </w:rPr>
        <w:t> </w:t>
      </w:r>
      <w:r>
        <w:rPr>
          <w:spacing w:val="-4"/>
          <w:sz w:val="22"/>
        </w:rPr>
        <w:t>into</w:t>
      </w:r>
      <w:r>
        <w:rPr>
          <w:spacing w:val="-7"/>
          <w:sz w:val="22"/>
        </w:rPr>
        <w:t> </w:t>
      </w:r>
      <w:r>
        <w:rPr>
          <w:spacing w:val="-4"/>
          <w:sz w:val="22"/>
        </w:rPr>
        <w:t>account</w:t>
      </w:r>
      <w:r>
        <w:rPr>
          <w:spacing w:val="-7"/>
          <w:sz w:val="22"/>
        </w:rPr>
        <w:t> </w:t>
      </w:r>
      <w:r>
        <w:rPr>
          <w:spacing w:val="-4"/>
          <w:sz w:val="22"/>
        </w:rPr>
        <w:t>any</w:t>
      </w:r>
      <w:r>
        <w:rPr>
          <w:spacing w:val="-7"/>
          <w:sz w:val="22"/>
        </w:rPr>
        <w:t> </w:t>
      </w:r>
      <w:r>
        <w:rPr>
          <w:spacing w:val="-4"/>
          <w:sz w:val="22"/>
        </w:rPr>
        <w:t>financial</w:t>
      </w:r>
      <w:r>
        <w:rPr>
          <w:spacing w:val="-7"/>
          <w:sz w:val="22"/>
        </w:rPr>
        <w:t> </w:t>
      </w:r>
      <w:r>
        <w:rPr>
          <w:spacing w:val="-4"/>
          <w:sz w:val="22"/>
        </w:rPr>
        <w:t>factor </w:t>
      </w:r>
      <w:r>
        <w:rPr>
          <w:sz w:val="22"/>
        </w:rPr>
        <w:t>while</w:t>
      </w:r>
      <w:r>
        <w:rPr>
          <w:spacing w:val="-4"/>
          <w:sz w:val="22"/>
        </w:rPr>
        <w:t> </w:t>
      </w:r>
      <w:r>
        <w:rPr>
          <w:sz w:val="22"/>
        </w:rPr>
        <w:t>deciding</w:t>
      </w:r>
      <w:r>
        <w:rPr>
          <w:spacing w:val="-4"/>
          <w:sz w:val="22"/>
        </w:rPr>
        <w:t> </w:t>
      </w:r>
      <w:r>
        <w:rPr>
          <w:sz w:val="22"/>
        </w:rPr>
        <w:t>whether</w:t>
      </w:r>
      <w:r>
        <w:rPr>
          <w:spacing w:val="-4"/>
          <w:sz w:val="22"/>
        </w:rPr>
        <w:t> </w:t>
      </w:r>
      <w:r>
        <w:rPr>
          <w:sz w:val="22"/>
        </w:rPr>
        <w:t>or</w:t>
      </w:r>
      <w:r>
        <w:rPr>
          <w:spacing w:val="-4"/>
          <w:sz w:val="22"/>
        </w:rPr>
        <w:t> </w:t>
      </w:r>
      <w:r>
        <w:rPr>
          <w:sz w:val="22"/>
        </w:rPr>
        <w:t>not</w:t>
      </w:r>
      <w:r>
        <w:rPr>
          <w:spacing w:val="-4"/>
          <w:sz w:val="22"/>
        </w:rPr>
        <w:t> </w:t>
      </w:r>
      <w:r>
        <w:rPr>
          <w:sz w:val="22"/>
        </w:rPr>
        <w:t>to</w:t>
      </w:r>
      <w:r>
        <w:rPr>
          <w:spacing w:val="-4"/>
          <w:sz w:val="22"/>
        </w:rPr>
        <w:t> </w:t>
      </w:r>
      <w:r>
        <w:rPr>
          <w:sz w:val="22"/>
        </w:rPr>
        <w:t>admit</w:t>
      </w:r>
      <w:r>
        <w:rPr>
          <w:spacing w:val="-4"/>
          <w:sz w:val="22"/>
        </w:rPr>
        <w:t> </w:t>
      </w:r>
      <w:r>
        <w:rPr>
          <w:sz w:val="22"/>
        </w:rPr>
        <w:t>a</w:t>
      </w:r>
      <w:r>
        <w:rPr>
          <w:spacing w:val="-4"/>
          <w:sz w:val="22"/>
        </w:rPr>
        <w:t> </w:t>
      </w:r>
      <w:r>
        <w:rPr>
          <w:sz w:val="22"/>
        </w:rPr>
        <w:t>student.</w:t>
      </w:r>
    </w:p>
    <w:p>
      <w:pPr>
        <w:pStyle w:val="ListParagraph"/>
        <w:numPr>
          <w:ilvl w:val="0"/>
          <w:numId w:val="23"/>
        </w:numPr>
        <w:tabs>
          <w:tab w:pos="1439" w:val="left" w:leader="none"/>
        </w:tabs>
        <w:spacing w:line="266" w:lineRule="auto" w:before="0" w:after="0"/>
        <w:ind w:left="1439" w:right="0" w:hanging="360"/>
        <w:jc w:val="both"/>
        <w:rPr>
          <w:sz w:val="22"/>
        </w:rPr>
      </w:pPr>
      <w:r>
        <w:rPr>
          <w:spacing w:val="-6"/>
          <w:sz w:val="22"/>
        </w:rPr>
        <w:t>There</w:t>
      </w:r>
      <w:r>
        <w:rPr>
          <w:spacing w:val="-7"/>
          <w:sz w:val="22"/>
        </w:rPr>
        <w:t> </w:t>
      </w:r>
      <w:r>
        <w:rPr>
          <w:spacing w:val="-6"/>
          <w:sz w:val="22"/>
        </w:rPr>
        <w:t>must</w:t>
      </w:r>
      <w:r>
        <w:rPr>
          <w:spacing w:val="-7"/>
          <w:sz w:val="22"/>
        </w:rPr>
        <w:t> </w:t>
      </w:r>
      <w:r>
        <w:rPr>
          <w:spacing w:val="-6"/>
          <w:sz w:val="22"/>
        </w:rPr>
        <w:t>be</w:t>
      </w:r>
      <w:r>
        <w:rPr>
          <w:spacing w:val="-7"/>
          <w:sz w:val="22"/>
        </w:rPr>
        <w:t> </w:t>
      </w:r>
      <w:r>
        <w:rPr>
          <w:spacing w:val="-6"/>
          <w:sz w:val="22"/>
        </w:rPr>
        <w:t>a</w:t>
      </w:r>
      <w:r>
        <w:rPr>
          <w:spacing w:val="-7"/>
          <w:sz w:val="22"/>
        </w:rPr>
        <w:t> </w:t>
      </w:r>
      <w:r>
        <w:rPr>
          <w:spacing w:val="-6"/>
          <w:sz w:val="22"/>
        </w:rPr>
        <w:t>well-funded</w:t>
      </w:r>
      <w:r>
        <w:rPr>
          <w:spacing w:val="-7"/>
          <w:sz w:val="22"/>
        </w:rPr>
        <w:t> </w:t>
      </w:r>
      <w:r>
        <w:rPr>
          <w:spacing w:val="-6"/>
          <w:sz w:val="22"/>
        </w:rPr>
        <w:t>and</w:t>
      </w:r>
      <w:r>
        <w:rPr>
          <w:spacing w:val="-7"/>
          <w:sz w:val="22"/>
        </w:rPr>
        <w:t> </w:t>
      </w:r>
      <w:r>
        <w:rPr>
          <w:spacing w:val="-6"/>
          <w:sz w:val="22"/>
        </w:rPr>
        <w:t>extensive</w:t>
      </w:r>
      <w:r>
        <w:rPr>
          <w:spacing w:val="-7"/>
          <w:sz w:val="22"/>
        </w:rPr>
        <w:t> </w:t>
      </w:r>
      <w:r>
        <w:rPr>
          <w:spacing w:val="-6"/>
          <w:sz w:val="22"/>
        </w:rPr>
        <w:t>National </w:t>
      </w:r>
      <w:r>
        <w:rPr>
          <w:sz w:val="22"/>
        </w:rPr>
        <w:t>Scholarship</w:t>
      </w:r>
      <w:r>
        <w:rPr>
          <w:spacing w:val="80"/>
          <w:w w:val="150"/>
          <w:sz w:val="22"/>
        </w:rPr>
        <w:t> </w:t>
      </w:r>
      <w:r>
        <w:rPr>
          <w:sz w:val="22"/>
        </w:rPr>
        <w:t>Scheme</w:t>
      </w:r>
      <w:r>
        <w:rPr>
          <w:spacing w:val="80"/>
          <w:w w:val="150"/>
          <w:sz w:val="22"/>
        </w:rPr>
        <w:t> </w:t>
      </w:r>
      <w:r>
        <w:rPr>
          <w:sz w:val="22"/>
        </w:rPr>
        <w:t>targeting</w:t>
      </w:r>
      <w:r>
        <w:rPr>
          <w:spacing w:val="80"/>
          <w:w w:val="150"/>
          <w:sz w:val="22"/>
        </w:rPr>
        <w:t> </w:t>
      </w:r>
      <w:r>
        <w:rPr>
          <w:sz w:val="22"/>
        </w:rPr>
        <w:t>economically</w:t>
      </w:r>
    </w:p>
    <w:p>
      <w:pPr>
        <w:pStyle w:val="BodyText"/>
        <w:spacing w:line="266" w:lineRule="auto" w:before="57"/>
        <w:ind w:left="679" w:right="1075"/>
      </w:pPr>
      <w:r>
        <w:rPr/>
        <w:br w:type="column"/>
      </w:r>
      <w:r>
        <w:rPr>
          <w:spacing w:val="-2"/>
        </w:rPr>
        <w:t>underprivileged</w:t>
      </w:r>
      <w:r>
        <w:rPr>
          <w:spacing w:val="-12"/>
        </w:rPr>
        <w:t> </w:t>
      </w:r>
      <w:r>
        <w:rPr>
          <w:spacing w:val="-2"/>
        </w:rPr>
        <w:t>students</w:t>
      </w:r>
      <w:r>
        <w:rPr>
          <w:spacing w:val="-12"/>
        </w:rPr>
        <w:t> </w:t>
      </w:r>
      <w:r>
        <w:rPr>
          <w:spacing w:val="-2"/>
        </w:rPr>
        <w:t>and</w:t>
      </w:r>
      <w:r>
        <w:rPr>
          <w:spacing w:val="-12"/>
        </w:rPr>
        <w:t> </w:t>
      </w:r>
      <w:r>
        <w:rPr>
          <w:spacing w:val="-2"/>
        </w:rPr>
        <w:t>students</w:t>
      </w:r>
      <w:r>
        <w:rPr>
          <w:spacing w:val="-11"/>
        </w:rPr>
        <w:t> </w:t>
      </w:r>
      <w:r>
        <w:rPr>
          <w:spacing w:val="-2"/>
        </w:rPr>
        <w:t>from</w:t>
      </w:r>
      <w:r>
        <w:rPr>
          <w:spacing w:val="-12"/>
        </w:rPr>
        <w:t> </w:t>
      </w:r>
      <w:r>
        <w:rPr>
          <w:spacing w:val="-2"/>
        </w:rPr>
        <w:t>groups </w:t>
      </w:r>
      <w:r>
        <w:rPr/>
        <w:t>that</w:t>
      </w:r>
      <w:r>
        <w:rPr>
          <w:spacing w:val="-14"/>
        </w:rPr>
        <w:t> </w:t>
      </w:r>
      <w:r>
        <w:rPr/>
        <w:t>are</w:t>
      </w:r>
      <w:r>
        <w:rPr>
          <w:spacing w:val="-14"/>
        </w:rPr>
        <w:t> </w:t>
      </w:r>
      <w:r>
        <w:rPr/>
        <w:t>historically,</w:t>
      </w:r>
      <w:r>
        <w:rPr>
          <w:spacing w:val="-14"/>
        </w:rPr>
        <w:t> </w:t>
      </w:r>
      <w:r>
        <w:rPr/>
        <w:t>socially</w:t>
      </w:r>
      <w:r>
        <w:rPr>
          <w:spacing w:val="-13"/>
        </w:rPr>
        <w:t> </w:t>
      </w:r>
      <w:r>
        <w:rPr/>
        <w:t>disadvantaged.</w:t>
      </w:r>
    </w:p>
    <w:p>
      <w:pPr>
        <w:pStyle w:val="Heading7"/>
        <w:numPr>
          <w:ilvl w:val="0"/>
          <w:numId w:val="14"/>
        </w:numPr>
        <w:tabs>
          <w:tab w:pos="583" w:val="left" w:leader="none"/>
        </w:tabs>
        <w:spacing w:line="240" w:lineRule="auto" w:before="241" w:after="0"/>
        <w:ind w:left="583" w:right="0" w:hanging="264"/>
        <w:jc w:val="left"/>
        <w:rPr>
          <w:color w:val="2E614A"/>
        </w:rPr>
      </w:pPr>
      <w:r>
        <w:rPr>
          <w:color w:val="2E614A"/>
          <w:spacing w:val="-2"/>
          <w:w w:val="90"/>
        </w:rPr>
        <w:t>Affirmative</w:t>
      </w:r>
      <w:r>
        <w:rPr>
          <w:color w:val="2E614A"/>
          <w:spacing w:val="5"/>
        </w:rPr>
        <w:t> </w:t>
      </w:r>
      <w:r>
        <w:rPr>
          <w:color w:val="2E614A"/>
          <w:spacing w:val="-2"/>
        </w:rPr>
        <w:t>action</w:t>
      </w:r>
    </w:p>
    <w:p>
      <w:pPr>
        <w:pStyle w:val="BodyText"/>
        <w:spacing w:line="266" w:lineRule="auto" w:before="299"/>
        <w:ind w:left="319" w:right="1077"/>
        <w:jc w:val="both"/>
      </w:pPr>
      <w:r>
        <w:rPr/>
        <w:t>A major aim of the higher education system must be </w:t>
      </w:r>
      <w:r>
        <w:rPr>
          <w:spacing w:val="-2"/>
        </w:rPr>
        <w:t>to</w:t>
      </w:r>
      <w:r>
        <w:rPr>
          <w:spacing w:val="-14"/>
        </w:rPr>
        <w:t> </w:t>
      </w:r>
      <w:r>
        <w:rPr>
          <w:spacing w:val="-2"/>
        </w:rPr>
        <w:t>ensure</w:t>
      </w:r>
      <w:r>
        <w:rPr>
          <w:spacing w:val="-12"/>
        </w:rPr>
        <w:t> </w:t>
      </w:r>
      <w:r>
        <w:rPr>
          <w:spacing w:val="-2"/>
        </w:rPr>
        <w:t>that</w:t>
      </w:r>
      <w:r>
        <w:rPr>
          <w:spacing w:val="-12"/>
        </w:rPr>
        <w:t> </w:t>
      </w:r>
      <w:r>
        <w:rPr>
          <w:spacing w:val="-2"/>
        </w:rPr>
        <w:t>access</w:t>
      </w:r>
      <w:r>
        <w:rPr>
          <w:spacing w:val="-11"/>
        </w:rPr>
        <w:t> </w:t>
      </w:r>
      <w:r>
        <w:rPr>
          <w:spacing w:val="-2"/>
        </w:rPr>
        <w:t>to</w:t>
      </w:r>
      <w:r>
        <w:rPr>
          <w:spacing w:val="-12"/>
        </w:rPr>
        <w:t> </w:t>
      </w:r>
      <w:r>
        <w:rPr>
          <w:spacing w:val="-2"/>
        </w:rPr>
        <w:t>education</w:t>
      </w:r>
      <w:r>
        <w:rPr>
          <w:spacing w:val="-12"/>
        </w:rPr>
        <w:t> </w:t>
      </w:r>
      <w:r>
        <w:rPr>
          <w:spacing w:val="-2"/>
        </w:rPr>
        <w:t>for</w:t>
      </w:r>
      <w:r>
        <w:rPr>
          <w:spacing w:val="-12"/>
        </w:rPr>
        <w:t> </w:t>
      </w:r>
      <w:r>
        <w:rPr>
          <w:spacing w:val="-2"/>
        </w:rPr>
        <w:t>economically</w:t>
      </w:r>
      <w:r>
        <w:rPr>
          <w:spacing w:val="-11"/>
        </w:rPr>
        <w:t> </w:t>
      </w:r>
      <w:r>
        <w:rPr>
          <w:spacing w:val="-2"/>
        </w:rPr>
        <w:t>and </w:t>
      </w:r>
      <w:r>
        <w:rPr>
          <w:w w:val="90"/>
        </w:rPr>
        <w:t>historically socially underprivileged students is enhanced </w:t>
      </w:r>
      <w:r>
        <w:rPr/>
        <w:t>in</w:t>
      </w:r>
      <w:r>
        <w:rPr>
          <w:spacing w:val="-4"/>
        </w:rPr>
        <w:t> </w:t>
      </w:r>
      <w:r>
        <w:rPr/>
        <w:t>a</w:t>
      </w:r>
      <w:r>
        <w:rPr>
          <w:spacing w:val="-4"/>
        </w:rPr>
        <w:t> </w:t>
      </w:r>
      <w:r>
        <w:rPr/>
        <w:t>substantially</w:t>
      </w:r>
      <w:r>
        <w:rPr>
          <w:spacing w:val="-4"/>
        </w:rPr>
        <w:t> </w:t>
      </w:r>
      <w:r>
        <w:rPr/>
        <w:t>more</w:t>
      </w:r>
      <w:r>
        <w:rPr>
          <w:spacing w:val="-4"/>
        </w:rPr>
        <w:t> </w:t>
      </w:r>
      <w:r>
        <w:rPr/>
        <w:t>effective</w:t>
      </w:r>
      <w:r>
        <w:rPr>
          <w:spacing w:val="-4"/>
        </w:rPr>
        <w:t> </w:t>
      </w:r>
      <w:r>
        <w:rPr/>
        <w:t>manner.</w:t>
      </w:r>
    </w:p>
    <w:p>
      <w:pPr>
        <w:pStyle w:val="ListParagraph"/>
        <w:numPr>
          <w:ilvl w:val="0"/>
          <w:numId w:val="24"/>
        </w:numPr>
        <w:tabs>
          <w:tab w:pos="679" w:val="left" w:leader="none"/>
        </w:tabs>
        <w:spacing w:line="266" w:lineRule="auto" w:before="0" w:after="0"/>
        <w:ind w:left="679" w:right="1078" w:hanging="360"/>
        <w:jc w:val="both"/>
        <w:rPr>
          <w:sz w:val="22"/>
        </w:rPr>
      </w:pPr>
      <w:r>
        <w:rPr>
          <w:spacing w:val="-2"/>
          <w:sz w:val="22"/>
        </w:rPr>
        <w:t>Reservations</w:t>
      </w:r>
      <w:r>
        <w:rPr>
          <w:spacing w:val="-11"/>
          <w:sz w:val="22"/>
        </w:rPr>
        <w:t> </w:t>
      </w:r>
      <w:r>
        <w:rPr>
          <w:spacing w:val="-2"/>
          <w:sz w:val="22"/>
        </w:rPr>
        <w:t>are</w:t>
      </w:r>
      <w:r>
        <w:rPr>
          <w:spacing w:val="-11"/>
          <w:sz w:val="22"/>
        </w:rPr>
        <w:t> </w:t>
      </w:r>
      <w:r>
        <w:rPr>
          <w:spacing w:val="-2"/>
          <w:sz w:val="22"/>
        </w:rPr>
        <w:t>essential,</w:t>
      </w:r>
      <w:r>
        <w:rPr>
          <w:spacing w:val="-11"/>
          <w:sz w:val="22"/>
        </w:rPr>
        <w:t> </w:t>
      </w:r>
      <w:r>
        <w:rPr>
          <w:spacing w:val="-2"/>
          <w:sz w:val="22"/>
        </w:rPr>
        <w:t>but</w:t>
      </w:r>
      <w:r>
        <w:rPr>
          <w:spacing w:val="-11"/>
          <w:sz w:val="22"/>
        </w:rPr>
        <w:t> </w:t>
      </w:r>
      <w:r>
        <w:rPr>
          <w:spacing w:val="-2"/>
          <w:sz w:val="22"/>
        </w:rPr>
        <w:t>they</w:t>
      </w:r>
      <w:r>
        <w:rPr>
          <w:spacing w:val="-11"/>
          <w:sz w:val="22"/>
        </w:rPr>
        <w:t> </w:t>
      </w:r>
      <w:r>
        <w:rPr>
          <w:spacing w:val="-2"/>
          <w:sz w:val="22"/>
        </w:rPr>
        <w:t>are</w:t>
      </w:r>
      <w:r>
        <w:rPr>
          <w:spacing w:val="-11"/>
          <w:sz w:val="22"/>
        </w:rPr>
        <w:t> </w:t>
      </w:r>
      <w:r>
        <w:rPr>
          <w:spacing w:val="-2"/>
          <w:sz w:val="22"/>
        </w:rPr>
        <w:t>only</w:t>
      </w:r>
      <w:r>
        <w:rPr>
          <w:spacing w:val="-11"/>
          <w:sz w:val="22"/>
        </w:rPr>
        <w:t> </w:t>
      </w:r>
      <w:r>
        <w:rPr>
          <w:spacing w:val="-2"/>
          <w:sz w:val="22"/>
        </w:rPr>
        <w:t>a</w:t>
      </w:r>
      <w:r>
        <w:rPr>
          <w:spacing w:val="-11"/>
          <w:sz w:val="22"/>
        </w:rPr>
        <w:t> </w:t>
      </w:r>
      <w:r>
        <w:rPr>
          <w:spacing w:val="-2"/>
          <w:sz w:val="22"/>
        </w:rPr>
        <w:t>part, </w:t>
      </w:r>
      <w:r>
        <w:rPr>
          <w:sz w:val="22"/>
        </w:rPr>
        <w:t>and one form, of affirmative action.</w:t>
      </w:r>
    </w:p>
    <w:p>
      <w:pPr>
        <w:pStyle w:val="ListParagraph"/>
        <w:numPr>
          <w:ilvl w:val="0"/>
          <w:numId w:val="24"/>
        </w:numPr>
        <w:tabs>
          <w:tab w:pos="679" w:val="left" w:leader="none"/>
        </w:tabs>
        <w:spacing w:line="266" w:lineRule="auto" w:before="0" w:after="0"/>
        <w:ind w:left="679" w:right="1077" w:hanging="360"/>
        <w:jc w:val="both"/>
        <w:rPr>
          <w:sz w:val="22"/>
        </w:rPr>
      </w:pPr>
      <w:r>
        <w:rPr>
          <w:sz w:val="22"/>
        </w:rPr>
        <w:t>Disparities in educational attainments are related to caste and social groups, but are also strongly related to other indicators such as income, gender, region and place of residence. There is need</w:t>
      </w:r>
      <w:r>
        <w:rPr>
          <w:spacing w:val="-11"/>
          <w:sz w:val="22"/>
        </w:rPr>
        <w:t> </w:t>
      </w:r>
      <w:r>
        <w:rPr>
          <w:sz w:val="22"/>
        </w:rPr>
        <w:t>to</w:t>
      </w:r>
      <w:r>
        <w:rPr>
          <w:spacing w:val="-11"/>
          <w:sz w:val="22"/>
        </w:rPr>
        <w:t> </w:t>
      </w:r>
      <w:r>
        <w:rPr>
          <w:sz w:val="22"/>
        </w:rPr>
        <w:t>develop</w:t>
      </w:r>
      <w:r>
        <w:rPr>
          <w:spacing w:val="-11"/>
          <w:sz w:val="22"/>
        </w:rPr>
        <w:t> </w:t>
      </w:r>
      <w:r>
        <w:rPr>
          <w:sz w:val="22"/>
        </w:rPr>
        <w:t>a</w:t>
      </w:r>
      <w:r>
        <w:rPr>
          <w:spacing w:val="-11"/>
          <w:sz w:val="22"/>
        </w:rPr>
        <w:t> </w:t>
      </w:r>
      <w:r>
        <w:rPr>
          <w:sz w:val="22"/>
        </w:rPr>
        <w:t>meaningful</w:t>
      </w:r>
      <w:r>
        <w:rPr>
          <w:spacing w:val="-11"/>
          <w:sz w:val="22"/>
        </w:rPr>
        <w:t> </w:t>
      </w:r>
      <w:r>
        <w:rPr>
          <w:sz w:val="22"/>
        </w:rPr>
        <w:t>and</w:t>
      </w:r>
      <w:r>
        <w:rPr>
          <w:spacing w:val="-11"/>
          <w:sz w:val="22"/>
        </w:rPr>
        <w:t> </w:t>
      </w:r>
      <w:r>
        <w:rPr>
          <w:sz w:val="22"/>
        </w:rPr>
        <w:t>comprehensive framework that would address the </w:t>
      </w:r>
      <w:r>
        <w:rPr>
          <w:sz w:val="22"/>
        </w:rPr>
        <w:t>multi- dimensionality of differences that still persist. For example, a deprivation index could be used to provide weighted scores to students and the cumulative score could be used to supplement a student’s school examination score.</w:t>
      </w:r>
    </w:p>
    <w:p>
      <w:pPr>
        <w:pStyle w:val="BodyText"/>
        <w:spacing w:before="13"/>
      </w:pPr>
    </w:p>
    <w:p>
      <w:pPr>
        <w:pStyle w:val="BodyText"/>
        <w:spacing w:line="266" w:lineRule="auto"/>
        <w:ind w:left="319" w:right="1077"/>
        <w:jc w:val="both"/>
      </w:pPr>
      <w:r>
        <w:rPr/>
        <w:t>NKC’s recommendations require action at </w:t>
      </w:r>
      <w:r>
        <w:rPr/>
        <w:t>three </w:t>
      </w:r>
      <w:r>
        <w:rPr>
          <w:w w:val="90"/>
        </w:rPr>
        <w:t>different levels: reforms within existing systems, changes </w:t>
      </w:r>
      <w:r>
        <w:rPr/>
        <w:t>in</w:t>
      </w:r>
      <w:r>
        <w:rPr>
          <w:spacing w:val="-16"/>
        </w:rPr>
        <w:t> </w:t>
      </w:r>
      <w:r>
        <w:rPr/>
        <w:t>policies,</w:t>
      </w:r>
      <w:r>
        <w:rPr>
          <w:spacing w:val="-14"/>
        </w:rPr>
        <w:t> </w:t>
      </w:r>
      <w:r>
        <w:rPr/>
        <w:t>and</w:t>
      </w:r>
      <w:r>
        <w:rPr>
          <w:spacing w:val="-14"/>
        </w:rPr>
        <w:t> </w:t>
      </w:r>
      <w:r>
        <w:rPr/>
        <w:t>amendments</w:t>
      </w:r>
      <w:r>
        <w:rPr>
          <w:spacing w:val="-13"/>
        </w:rPr>
        <w:t> </w:t>
      </w:r>
      <w:r>
        <w:rPr/>
        <w:t>in,</w:t>
      </w:r>
      <w:r>
        <w:rPr>
          <w:spacing w:val="-14"/>
        </w:rPr>
        <w:t> </w:t>
      </w:r>
      <w:r>
        <w:rPr/>
        <w:t>or</w:t>
      </w:r>
      <w:r>
        <w:rPr>
          <w:spacing w:val="-14"/>
        </w:rPr>
        <w:t> </w:t>
      </w:r>
      <w:r>
        <w:rPr/>
        <w:t>the</w:t>
      </w:r>
      <w:r>
        <w:rPr>
          <w:spacing w:val="-14"/>
        </w:rPr>
        <w:t> </w:t>
      </w:r>
      <w:r>
        <w:rPr/>
        <w:t>introduction</w:t>
      </w:r>
      <w:r>
        <w:rPr>
          <w:spacing w:val="-13"/>
        </w:rPr>
        <w:t> </w:t>
      </w:r>
      <w:r>
        <w:rPr/>
        <w:t>of, </w:t>
      </w:r>
      <w:r>
        <w:rPr>
          <w:spacing w:val="-6"/>
        </w:rPr>
        <w:t>new</w:t>
      </w:r>
      <w:r>
        <w:rPr>
          <w:spacing w:val="-8"/>
        </w:rPr>
        <w:t> </w:t>
      </w:r>
      <w:r>
        <w:rPr>
          <w:spacing w:val="-6"/>
        </w:rPr>
        <w:t>statutes</w:t>
      </w:r>
      <w:r>
        <w:rPr>
          <w:spacing w:val="-8"/>
        </w:rPr>
        <w:t> </w:t>
      </w:r>
      <w:r>
        <w:rPr>
          <w:spacing w:val="-6"/>
        </w:rPr>
        <w:t>or</w:t>
      </w:r>
      <w:r>
        <w:rPr>
          <w:spacing w:val="-8"/>
        </w:rPr>
        <w:t> </w:t>
      </w:r>
      <w:r>
        <w:rPr>
          <w:spacing w:val="-6"/>
        </w:rPr>
        <w:t>legislation.</w:t>
      </w:r>
      <w:r>
        <w:rPr>
          <w:spacing w:val="-7"/>
        </w:rPr>
        <w:t> </w:t>
      </w:r>
      <w:r>
        <w:rPr>
          <w:spacing w:val="-6"/>
        </w:rPr>
        <w:t>The</w:t>
      </w:r>
      <w:r>
        <w:rPr>
          <w:spacing w:val="-8"/>
        </w:rPr>
        <w:t> </w:t>
      </w:r>
      <w:r>
        <w:rPr>
          <w:spacing w:val="-6"/>
        </w:rPr>
        <w:t>suggested</w:t>
      </w:r>
      <w:r>
        <w:rPr>
          <w:spacing w:val="-8"/>
        </w:rPr>
        <w:t> </w:t>
      </w:r>
      <w:r>
        <w:rPr>
          <w:spacing w:val="-6"/>
        </w:rPr>
        <w:t>changes</w:t>
      </w:r>
      <w:r>
        <w:rPr>
          <w:spacing w:val="-8"/>
        </w:rPr>
        <w:t> </w:t>
      </w:r>
      <w:r>
        <w:rPr>
          <w:spacing w:val="-6"/>
        </w:rPr>
        <w:t>would </w:t>
      </w:r>
      <w:r>
        <w:rPr>
          <w:w w:val="90"/>
        </w:rPr>
        <w:t>also be implemented at three different levels: universities, </w:t>
      </w:r>
      <w:r>
        <w:rPr/>
        <w:t>state governments and the Central Government.</w:t>
      </w:r>
    </w:p>
    <w:p>
      <w:pPr>
        <w:pStyle w:val="BodyText"/>
        <w:spacing w:before="22"/>
      </w:pPr>
    </w:p>
    <w:p>
      <w:pPr>
        <w:pStyle w:val="BodyText"/>
        <w:spacing w:line="266" w:lineRule="auto"/>
        <w:ind w:left="319" w:right="1077"/>
        <w:jc w:val="both"/>
      </w:pPr>
      <w:r>
        <w:rPr>
          <w:spacing w:val="-2"/>
        </w:rPr>
        <w:t>It</w:t>
      </w:r>
      <w:r>
        <w:rPr>
          <w:spacing w:val="-8"/>
        </w:rPr>
        <w:t> </w:t>
      </w:r>
      <w:r>
        <w:rPr>
          <w:spacing w:val="-2"/>
        </w:rPr>
        <w:t>is</w:t>
      </w:r>
      <w:r>
        <w:rPr>
          <w:spacing w:val="-8"/>
        </w:rPr>
        <w:t> </w:t>
      </w:r>
      <w:r>
        <w:rPr>
          <w:spacing w:val="-2"/>
        </w:rPr>
        <w:t>important</w:t>
      </w:r>
      <w:r>
        <w:rPr>
          <w:spacing w:val="-8"/>
        </w:rPr>
        <w:t> </w:t>
      </w:r>
      <w:r>
        <w:rPr>
          <w:spacing w:val="-2"/>
        </w:rPr>
        <w:t>to</w:t>
      </w:r>
      <w:r>
        <w:rPr>
          <w:spacing w:val="-8"/>
        </w:rPr>
        <w:t> </w:t>
      </w:r>
      <w:r>
        <w:rPr>
          <w:spacing w:val="-2"/>
        </w:rPr>
        <w:t>recognise</w:t>
      </w:r>
      <w:r>
        <w:rPr>
          <w:spacing w:val="-8"/>
        </w:rPr>
        <w:t> </w:t>
      </w:r>
      <w:r>
        <w:rPr>
          <w:spacing w:val="-2"/>
        </w:rPr>
        <w:t>that</w:t>
      </w:r>
      <w:r>
        <w:rPr>
          <w:spacing w:val="-8"/>
        </w:rPr>
        <w:t> </w:t>
      </w:r>
      <w:r>
        <w:rPr>
          <w:spacing w:val="-2"/>
        </w:rPr>
        <w:t>there</w:t>
      </w:r>
      <w:r>
        <w:rPr>
          <w:spacing w:val="-8"/>
        </w:rPr>
        <w:t> </w:t>
      </w:r>
      <w:r>
        <w:rPr>
          <w:spacing w:val="-2"/>
        </w:rPr>
        <w:t>is</w:t>
      </w:r>
      <w:r>
        <w:rPr>
          <w:spacing w:val="-8"/>
        </w:rPr>
        <w:t> </w:t>
      </w:r>
      <w:r>
        <w:rPr>
          <w:spacing w:val="-2"/>
        </w:rPr>
        <w:t>a</w:t>
      </w:r>
      <w:r>
        <w:rPr>
          <w:spacing w:val="-8"/>
        </w:rPr>
        <w:t> </w:t>
      </w:r>
      <w:r>
        <w:rPr>
          <w:spacing w:val="-2"/>
        </w:rPr>
        <w:t>quiet</w:t>
      </w:r>
      <w:r>
        <w:rPr>
          <w:spacing w:val="-8"/>
        </w:rPr>
        <w:t> </w:t>
      </w:r>
      <w:r>
        <w:rPr>
          <w:spacing w:val="-2"/>
        </w:rPr>
        <w:t>crisis</w:t>
      </w:r>
      <w:r>
        <w:rPr>
          <w:spacing w:val="-8"/>
        </w:rPr>
        <w:t> </w:t>
      </w:r>
      <w:r>
        <w:rPr>
          <w:spacing w:val="-2"/>
        </w:rPr>
        <w:t>in </w:t>
      </w:r>
      <w:r>
        <w:rPr>
          <w:spacing w:val="-4"/>
        </w:rPr>
        <w:t>higher</w:t>
      </w:r>
      <w:r>
        <w:rPr>
          <w:spacing w:val="-10"/>
        </w:rPr>
        <w:t> </w:t>
      </w:r>
      <w:r>
        <w:rPr>
          <w:spacing w:val="-4"/>
        </w:rPr>
        <w:t>education</w:t>
      </w:r>
      <w:r>
        <w:rPr>
          <w:spacing w:val="-10"/>
        </w:rPr>
        <w:t> </w:t>
      </w:r>
      <w:r>
        <w:rPr>
          <w:spacing w:val="-4"/>
        </w:rPr>
        <w:t>in</w:t>
      </w:r>
      <w:r>
        <w:rPr>
          <w:spacing w:val="-10"/>
        </w:rPr>
        <w:t> </w:t>
      </w:r>
      <w:r>
        <w:rPr>
          <w:spacing w:val="-4"/>
        </w:rPr>
        <w:t>India</w:t>
      </w:r>
      <w:r>
        <w:rPr>
          <w:spacing w:val="-9"/>
        </w:rPr>
        <w:t> </w:t>
      </w:r>
      <w:r>
        <w:rPr>
          <w:spacing w:val="-4"/>
        </w:rPr>
        <w:t>which</w:t>
      </w:r>
      <w:r>
        <w:rPr>
          <w:spacing w:val="-10"/>
        </w:rPr>
        <w:t> </w:t>
      </w:r>
      <w:r>
        <w:rPr>
          <w:spacing w:val="-4"/>
        </w:rPr>
        <w:t>runs</w:t>
      </w:r>
      <w:r>
        <w:rPr>
          <w:spacing w:val="-10"/>
        </w:rPr>
        <w:t> </w:t>
      </w:r>
      <w:r>
        <w:rPr>
          <w:spacing w:val="-4"/>
        </w:rPr>
        <w:t>deep.</w:t>
      </w:r>
      <w:r>
        <w:rPr>
          <w:spacing w:val="-10"/>
        </w:rPr>
        <w:t> </w:t>
      </w:r>
      <w:r>
        <w:rPr>
          <w:spacing w:val="-4"/>
        </w:rPr>
        <w:t>The</w:t>
      </w:r>
      <w:r>
        <w:rPr>
          <w:spacing w:val="-9"/>
        </w:rPr>
        <w:t> </w:t>
      </w:r>
      <w:r>
        <w:rPr>
          <w:spacing w:val="-4"/>
        </w:rPr>
        <w:t>time</w:t>
      </w:r>
      <w:r>
        <w:rPr>
          <w:spacing w:val="-10"/>
        </w:rPr>
        <w:t> </w:t>
      </w:r>
      <w:r>
        <w:rPr>
          <w:spacing w:val="-4"/>
        </w:rPr>
        <w:t>has come</w:t>
      </w:r>
      <w:r>
        <w:rPr>
          <w:spacing w:val="-10"/>
        </w:rPr>
        <w:t> </w:t>
      </w:r>
      <w:r>
        <w:rPr>
          <w:spacing w:val="-4"/>
        </w:rPr>
        <w:t>to</w:t>
      </w:r>
      <w:r>
        <w:rPr>
          <w:spacing w:val="-10"/>
        </w:rPr>
        <w:t> </w:t>
      </w:r>
      <w:r>
        <w:rPr>
          <w:spacing w:val="-4"/>
        </w:rPr>
        <w:t>address</w:t>
      </w:r>
      <w:r>
        <w:rPr>
          <w:spacing w:val="-10"/>
        </w:rPr>
        <w:t> </w:t>
      </w:r>
      <w:r>
        <w:rPr>
          <w:spacing w:val="-4"/>
        </w:rPr>
        <w:t>this</w:t>
      </w:r>
      <w:r>
        <w:rPr>
          <w:spacing w:val="-9"/>
        </w:rPr>
        <w:t> </w:t>
      </w:r>
      <w:r>
        <w:rPr>
          <w:spacing w:val="-4"/>
        </w:rPr>
        <w:t>crisis</w:t>
      </w:r>
      <w:r>
        <w:rPr>
          <w:spacing w:val="-10"/>
        </w:rPr>
        <w:t> </w:t>
      </w:r>
      <w:r>
        <w:rPr>
          <w:spacing w:val="-4"/>
        </w:rPr>
        <w:t>in</w:t>
      </w:r>
      <w:r>
        <w:rPr>
          <w:spacing w:val="-10"/>
        </w:rPr>
        <w:t> </w:t>
      </w:r>
      <w:r>
        <w:rPr>
          <w:spacing w:val="-4"/>
        </w:rPr>
        <w:t>a</w:t>
      </w:r>
      <w:r>
        <w:rPr>
          <w:spacing w:val="-10"/>
        </w:rPr>
        <w:t> </w:t>
      </w:r>
      <w:r>
        <w:rPr>
          <w:spacing w:val="-4"/>
        </w:rPr>
        <w:t>systematic</w:t>
      </w:r>
      <w:r>
        <w:rPr>
          <w:spacing w:val="-9"/>
        </w:rPr>
        <w:t> </w:t>
      </w:r>
      <w:r>
        <w:rPr>
          <w:spacing w:val="-4"/>
        </w:rPr>
        <w:t>and</w:t>
      </w:r>
      <w:r>
        <w:rPr>
          <w:spacing w:val="-10"/>
        </w:rPr>
        <w:t> </w:t>
      </w:r>
      <w:r>
        <w:rPr>
          <w:spacing w:val="-4"/>
        </w:rPr>
        <w:t>forthright </w:t>
      </w:r>
      <w:r>
        <w:rPr>
          <w:spacing w:val="-8"/>
        </w:rPr>
        <w:t>manner.</w:t>
      </w:r>
      <w:r>
        <w:rPr>
          <w:spacing w:val="-6"/>
        </w:rPr>
        <w:t> </w:t>
      </w:r>
      <w:r>
        <w:rPr>
          <w:spacing w:val="-8"/>
        </w:rPr>
        <w:t>NKC’s</w:t>
      </w:r>
      <w:r>
        <w:rPr>
          <w:spacing w:val="-6"/>
        </w:rPr>
        <w:t> </w:t>
      </w:r>
      <w:r>
        <w:rPr>
          <w:spacing w:val="-8"/>
        </w:rPr>
        <w:t>recommendations</w:t>
      </w:r>
      <w:r>
        <w:rPr>
          <w:spacing w:val="-6"/>
        </w:rPr>
        <w:t> </w:t>
      </w:r>
      <w:r>
        <w:rPr>
          <w:spacing w:val="-8"/>
        </w:rPr>
        <w:t>constitute</w:t>
      </w:r>
      <w:r>
        <w:rPr>
          <w:spacing w:val="-5"/>
        </w:rPr>
        <w:t> </w:t>
      </w:r>
      <w:r>
        <w:rPr>
          <w:spacing w:val="-8"/>
        </w:rPr>
        <w:t>an</w:t>
      </w:r>
      <w:r>
        <w:rPr>
          <w:spacing w:val="-6"/>
        </w:rPr>
        <w:t> </w:t>
      </w:r>
      <w:r>
        <w:rPr>
          <w:spacing w:val="-8"/>
        </w:rPr>
        <w:t>important </w:t>
      </w:r>
      <w:r>
        <w:rPr/>
        <w:t>beginning; the changes suggested would make a real </w:t>
      </w:r>
      <w:r>
        <w:rPr>
          <w:spacing w:val="-4"/>
        </w:rPr>
        <w:t>difference.</w:t>
      </w:r>
      <w:r>
        <w:rPr>
          <w:spacing w:val="-7"/>
        </w:rPr>
        <w:t> </w:t>
      </w:r>
      <w:r>
        <w:rPr>
          <w:spacing w:val="-4"/>
        </w:rPr>
        <w:t>Of</w:t>
      </w:r>
      <w:r>
        <w:rPr>
          <w:spacing w:val="-7"/>
        </w:rPr>
        <w:t> </w:t>
      </w:r>
      <w:r>
        <w:rPr>
          <w:spacing w:val="-4"/>
        </w:rPr>
        <w:t>course,</w:t>
      </w:r>
      <w:r>
        <w:rPr>
          <w:spacing w:val="-7"/>
        </w:rPr>
        <w:t> </w:t>
      </w:r>
      <w:r>
        <w:rPr>
          <w:spacing w:val="-4"/>
        </w:rPr>
        <w:t>the</w:t>
      </w:r>
      <w:r>
        <w:rPr>
          <w:spacing w:val="-7"/>
        </w:rPr>
        <w:t> </w:t>
      </w:r>
      <w:r>
        <w:rPr>
          <w:spacing w:val="-4"/>
        </w:rPr>
        <w:t>process</w:t>
      </w:r>
      <w:r>
        <w:rPr>
          <w:spacing w:val="-7"/>
        </w:rPr>
        <w:t> </w:t>
      </w:r>
      <w:r>
        <w:rPr>
          <w:spacing w:val="-4"/>
        </w:rPr>
        <w:t>of</w:t>
      </w:r>
      <w:r>
        <w:rPr>
          <w:spacing w:val="-7"/>
        </w:rPr>
        <w:t> </w:t>
      </w:r>
      <w:r>
        <w:rPr>
          <w:spacing w:val="-4"/>
        </w:rPr>
        <w:t>reform</w:t>
      </w:r>
      <w:r>
        <w:rPr>
          <w:spacing w:val="-7"/>
        </w:rPr>
        <w:t> </w:t>
      </w:r>
      <w:r>
        <w:rPr>
          <w:spacing w:val="-4"/>
        </w:rPr>
        <w:t>and</w:t>
      </w:r>
      <w:r>
        <w:rPr>
          <w:spacing w:val="-7"/>
        </w:rPr>
        <w:t> </w:t>
      </w:r>
      <w:r>
        <w:rPr>
          <w:spacing w:val="-4"/>
        </w:rPr>
        <w:t>change </w:t>
      </w:r>
      <w:r>
        <w:rPr/>
        <w:t>is</w:t>
      </w:r>
      <w:r>
        <w:rPr>
          <w:spacing w:val="-14"/>
        </w:rPr>
        <w:t> </w:t>
      </w:r>
      <w:r>
        <w:rPr/>
        <w:t>continuous.</w:t>
      </w:r>
      <w:r>
        <w:rPr>
          <w:spacing w:val="-14"/>
        </w:rPr>
        <w:t> </w:t>
      </w:r>
      <w:r>
        <w:rPr/>
        <w:t>There</w:t>
      </w:r>
      <w:r>
        <w:rPr>
          <w:spacing w:val="-14"/>
        </w:rPr>
        <w:t> </w:t>
      </w:r>
      <w:r>
        <w:rPr/>
        <w:t>is</w:t>
      </w:r>
      <w:r>
        <w:rPr>
          <w:spacing w:val="-13"/>
        </w:rPr>
        <w:t> </w:t>
      </w:r>
      <w:r>
        <w:rPr/>
        <w:t>more</w:t>
      </w:r>
      <w:r>
        <w:rPr>
          <w:spacing w:val="-14"/>
        </w:rPr>
        <w:t> </w:t>
      </w:r>
      <w:r>
        <w:rPr/>
        <w:t>to</w:t>
      </w:r>
      <w:r>
        <w:rPr>
          <w:spacing w:val="-14"/>
        </w:rPr>
        <w:t> </w:t>
      </w:r>
      <w:r>
        <w:rPr/>
        <w:t>be</w:t>
      </w:r>
      <w:r>
        <w:rPr>
          <w:spacing w:val="-14"/>
        </w:rPr>
        <w:t> </w:t>
      </w:r>
      <w:r>
        <w:rPr/>
        <w:t>done,</w:t>
      </w:r>
      <w:r>
        <w:rPr>
          <w:spacing w:val="-13"/>
        </w:rPr>
        <w:t> </w:t>
      </w:r>
      <w:r>
        <w:rPr/>
        <w:t>and</w:t>
      </w:r>
      <w:r>
        <w:rPr>
          <w:spacing w:val="-14"/>
        </w:rPr>
        <w:t> </w:t>
      </w:r>
      <w:r>
        <w:rPr/>
        <w:t>NKC</w:t>
      </w:r>
      <w:r>
        <w:rPr>
          <w:spacing w:val="-14"/>
        </w:rPr>
        <w:t> </w:t>
      </w:r>
      <w:r>
        <w:rPr/>
        <w:t>will </w:t>
      </w:r>
      <w:r>
        <w:rPr>
          <w:spacing w:val="-4"/>
        </w:rPr>
        <w:t>continue</w:t>
      </w:r>
      <w:r>
        <w:rPr>
          <w:spacing w:val="-7"/>
        </w:rPr>
        <w:t> </w:t>
      </w:r>
      <w:r>
        <w:rPr>
          <w:spacing w:val="-4"/>
        </w:rPr>
        <w:t>to</w:t>
      </w:r>
      <w:r>
        <w:rPr>
          <w:spacing w:val="-7"/>
        </w:rPr>
        <w:t> </w:t>
      </w:r>
      <w:r>
        <w:rPr>
          <w:spacing w:val="-4"/>
        </w:rPr>
        <w:t>think</w:t>
      </w:r>
      <w:r>
        <w:rPr>
          <w:spacing w:val="-7"/>
        </w:rPr>
        <w:t> </w:t>
      </w:r>
      <w:r>
        <w:rPr>
          <w:spacing w:val="-4"/>
        </w:rPr>
        <w:t>about</w:t>
      </w:r>
      <w:r>
        <w:rPr>
          <w:spacing w:val="-7"/>
        </w:rPr>
        <w:t> </w:t>
      </w:r>
      <w:r>
        <w:rPr>
          <w:spacing w:val="-4"/>
        </w:rPr>
        <w:t>next</w:t>
      </w:r>
      <w:r>
        <w:rPr>
          <w:spacing w:val="-7"/>
        </w:rPr>
        <w:t> </w:t>
      </w:r>
      <w:r>
        <w:rPr>
          <w:spacing w:val="-4"/>
        </w:rPr>
        <w:t>steps,</w:t>
      </w:r>
      <w:r>
        <w:rPr>
          <w:spacing w:val="-7"/>
        </w:rPr>
        <w:t> </w:t>
      </w:r>
      <w:r>
        <w:rPr>
          <w:spacing w:val="-4"/>
        </w:rPr>
        <w:t>but</w:t>
      </w:r>
      <w:r>
        <w:rPr>
          <w:spacing w:val="-7"/>
        </w:rPr>
        <w:t> </w:t>
      </w:r>
      <w:r>
        <w:rPr>
          <w:spacing w:val="-4"/>
        </w:rPr>
        <w:t>it</w:t>
      </w:r>
      <w:r>
        <w:rPr>
          <w:spacing w:val="-7"/>
        </w:rPr>
        <w:t> </w:t>
      </w:r>
      <w:r>
        <w:rPr>
          <w:spacing w:val="-4"/>
        </w:rPr>
        <w:t>emphasises</w:t>
      </w:r>
      <w:r>
        <w:rPr>
          <w:spacing w:val="-7"/>
        </w:rPr>
        <w:t> </w:t>
      </w:r>
      <w:r>
        <w:rPr>
          <w:spacing w:val="-4"/>
        </w:rPr>
        <w:t>the urgency</w:t>
      </w:r>
      <w:r>
        <w:rPr>
          <w:spacing w:val="-8"/>
        </w:rPr>
        <w:t> </w:t>
      </w:r>
      <w:r>
        <w:rPr>
          <w:spacing w:val="-4"/>
        </w:rPr>
        <w:t>of</w:t>
      </w:r>
      <w:r>
        <w:rPr>
          <w:spacing w:val="-8"/>
        </w:rPr>
        <w:t> </w:t>
      </w:r>
      <w:r>
        <w:rPr>
          <w:spacing w:val="-4"/>
        </w:rPr>
        <w:t>the</w:t>
      </w:r>
      <w:r>
        <w:rPr>
          <w:spacing w:val="-8"/>
        </w:rPr>
        <w:t> </w:t>
      </w:r>
      <w:r>
        <w:rPr>
          <w:spacing w:val="-4"/>
        </w:rPr>
        <w:t>situation,</w:t>
      </w:r>
      <w:r>
        <w:rPr>
          <w:spacing w:val="-8"/>
        </w:rPr>
        <w:t> </w:t>
      </w:r>
      <w:r>
        <w:rPr>
          <w:spacing w:val="-4"/>
        </w:rPr>
        <w:t>because</w:t>
      </w:r>
      <w:r>
        <w:rPr>
          <w:spacing w:val="-8"/>
        </w:rPr>
        <w:t> </w:t>
      </w:r>
      <w:r>
        <w:rPr>
          <w:spacing w:val="-4"/>
        </w:rPr>
        <w:t>India’s</w:t>
      </w:r>
      <w:r>
        <w:rPr>
          <w:spacing w:val="-8"/>
        </w:rPr>
        <w:t> </w:t>
      </w:r>
      <w:r>
        <w:rPr>
          <w:spacing w:val="-4"/>
        </w:rPr>
        <w:t>future</w:t>
      </w:r>
      <w:r>
        <w:rPr>
          <w:spacing w:val="-8"/>
        </w:rPr>
        <w:t> </w:t>
      </w:r>
      <w:r>
        <w:rPr>
          <w:spacing w:val="-4"/>
        </w:rPr>
        <w:t>depends </w:t>
      </w:r>
      <w:r>
        <w:rPr/>
        <w:t>on</w:t>
      </w:r>
      <w:r>
        <w:rPr>
          <w:spacing w:val="-3"/>
        </w:rPr>
        <w:t> </w:t>
      </w:r>
      <w:r>
        <w:rPr/>
        <w:t>it.</w:t>
      </w:r>
      <w:r>
        <w:rPr>
          <w:spacing w:val="-3"/>
        </w:rPr>
        <w:t> </w:t>
      </w:r>
      <w:r>
        <w:rPr/>
        <w:t>It</w:t>
      </w:r>
      <w:r>
        <w:rPr>
          <w:spacing w:val="-3"/>
        </w:rPr>
        <w:t> </w:t>
      </w:r>
      <w:r>
        <w:rPr/>
        <w:t>is</w:t>
      </w:r>
      <w:r>
        <w:rPr>
          <w:spacing w:val="-3"/>
        </w:rPr>
        <w:t> </w:t>
      </w:r>
      <w:r>
        <w:rPr/>
        <w:t>important</w:t>
      </w:r>
      <w:r>
        <w:rPr>
          <w:spacing w:val="-3"/>
        </w:rPr>
        <w:t> </w:t>
      </w:r>
      <w:r>
        <w:rPr/>
        <w:t>to</w:t>
      </w:r>
      <w:r>
        <w:rPr>
          <w:spacing w:val="-3"/>
        </w:rPr>
        <w:t> </w:t>
      </w:r>
      <w:r>
        <w:rPr/>
        <w:t>act</w:t>
      </w:r>
      <w:r>
        <w:rPr>
          <w:spacing w:val="-3"/>
        </w:rPr>
        <w:t> </w:t>
      </w:r>
      <w:r>
        <w:rPr/>
        <w:t>here</w:t>
      </w:r>
      <w:r>
        <w:rPr>
          <w:spacing w:val="-3"/>
        </w:rPr>
        <w:t> </w:t>
      </w:r>
      <w:r>
        <w:rPr/>
        <w:t>and</w:t>
      </w:r>
      <w:r>
        <w:rPr>
          <w:spacing w:val="-3"/>
        </w:rPr>
        <w:t> </w:t>
      </w:r>
      <w:r>
        <w:rPr/>
        <w:t>now.</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Heading6"/>
        <w:numPr>
          <w:ilvl w:val="0"/>
          <w:numId w:val="25"/>
        </w:numPr>
        <w:tabs>
          <w:tab w:pos="1448" w:val="left" w:leader="none"/>
        </w:tabs>
        <w:spacing w:line="240" w:lineRule="auto" w:before="105" w:after="0"/>
        <w:ind w:left="1448" w:right="0" w:hanging="325"/>
        <w:jc w:val="left"/>
      </w:pPr>
      <w:r>
        <w:rPr/>
        <mc:AlternateContent>
          <mc:Choice Requires="wps">
            <w:drawing>
              <wp:anchor distT="0" distB="0" distL="0" distR="0" allowOverlap="1" layoutInCell="1" locked="0" behindDoc="0" simplePos="0" relativeHeight="15761920">
                <wp:simplePos x="0" y="0"/>
                <wp:positionH relativeFrom="page">
                  <wp:posOffset>0</wp:posOffset>
                </wp:positionH>
                <wp:positionV relativeFrom="paragraph">
                  <wp:posOffset>-2277393</wp:posOffset>
                </wp:positionV>
                <wp:extent cx="7560309" cy="1752600"/>
                <wp:effectExtent l="0" t="0" r="0" b="0"/>
                <wp:wrapNone/>
                <wp:docPr id="873" name="Group 873"/>
                <wp:cNvGraphicFramePr>
                  <a:graphicFrameLocks/>
                </wp:cNvGraphicFramePr>
                <a:graphic>
                  <a:graphicData uri="http://schemas.microsoft.com/office/word/2010/wordprocessingGroup">
                    <wpg:wgp>
                      <wpg:cNvPr id="873" name="Group 873"/>
                      <wpg:cNvGrpSpPr/>
                      <wpg:grpSpPr>
                        <a:xfrm>
                          <a:off x="0" y="0"/>
                          <a:ext cx="7560309" cy="1752600"/>
                          <a:chExt cx="7560309" cy="1752600"/>
                        </a:xfrm>
                      </wpg:grpSpPr>
                      <pic:pic>
                        <pic:nvPicPr>
                          <pic:cNvPr id="874" name="Image 874"/>
                          <pic:cNvPicPr/>
                        </pic:nvPicPr>
                        <pic:blipFill>
                          <a:blip r:embed="rId612" cstate="print"/>
                          <a:stretch>
                            <a:fillRect/>
                          </a:stretch>
                        </pic:blipFill>
                        <pic:spPr>
                          <a:xfrm>
                            <a:off x="0" y="0"/>
                            <a:ext cx="7559999" cy="1752562"/>
                          </a:xfrm>
                          <a:prstGeom prst="rect">
                            <a:avLst/>
                          </a:prstGeom>
                        </pic:spPr>
                      </pic:pic>
                      <wps:wsp>
                        <wps:cNvPr id="875" name="Textbox 875"/>
                        <wps:cNvSpPr txBox="1"/>
                        <wps:spPr>
                          <a:xfrm>
                            <a:off x="0" y="0"/>
                            <a:ext cx="7560309" cy="1752600"/>
                          </a:xfrm>
                          <a:prstGeom prst="rect">
                            <a:avLst/>
                          </a:prstGeom>
                        </wps:spPr>
                        <wps:txbx>
                          <w:txbxContent>
                            <w:p>
                              <w:pPr>
                                <w:spacing w:line="240" w:lineRule="auto" w:before="160"/>
                                <w:rPr>
                                  <w:sz w:val="68"/>
                                </w:rPr>
                              </w:pPr>
                            </w:p>
                            <w:p>
                              <w:pPr>
                                <w:spacing w:before="1"/>
                                <w:ind w:left="1123" w:right="0" w:firstLine="0"/>
                                <w:jc w:val="left"/>
                                <w:rPr>
                                  <w:rFonts w:ascii="Trebuchet MS"/>
                                  <w:b/>
                                  <w:sz w:val="68"/>
                                </w:rPr>
                              </w:pPr>
                              <w:r>
                                <w:rPr>
                                  <w:rFonts w:ascii="Trebuchet MS"/>
                                  <w:b/>
                                  <w:color w:val="FFFFFF"/>
                                  <w:sz w:val="68"/>
                                </w:rPr>
                                <w:t>Note </w:t>
                              </w:r>
                              <w:r>
                                <w:rPr>
                                  <w:rFonts w:ascii="Trebuchet MS"/>
                                  <w:b/>
                                  <w:color w:val="FFFFFF"/>
                                  <w:spacing w:val="-5"/>
                                  <w:sz w:val="68"/>
                                </w:rPr>
                                <w:t>on</w:t>
                              </w:r>
                            </w:p>
                            <w:p>
                              <w:pPr>
                                <w:spacing w:before="26"/>
                                <w:ind w:left="1123" w:right="0" w:firstLine="0"/>
                                <w:jc w:val="left"/>
                                <w:rPr>
                                  <w:rFonts w:ascii="Trebuchet MS"/>
                                  <w:b/>
                                  <w:sz w:val="68"/>
                                </w:rPr>
                              </w:pPr>
                              <w:r>
                                <w:rPr>
                                  <w:rFonts w:ascii="Trebuchet MS"/>
                                  <w:b/>
                                  <w:color w:val="FFFFFF"/>
                                  <w:sz w:val="68"/>
                                </w:rPr>
                                <w:t>Higher</w:t>
                              </w:r>
                              <w:r>
                                <w:rPr>
                                  <w:rFonts w:ascii="Trebuchet MS"/>
                                  <w:b/>
                                  <w:color w:val="FFFFFF"/>
                                  <w:spacing w:val="-6"/>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61920" id="docshapegroup866" coordorigin="0,-3586" coordsize="11906,2760">
                <v:shape style="position:absolute;left:0;top:-3587;width:11906;height:2760" type="#_x0000_t75" id="docshape867" stroked="false">
                  <v:imagedata r:id="rId612" o:title=""/>
                </v:shape>
                <v:shape style="position:absolute;left:0;top:-3587;width:11906;height:2760" type="#_x0000_t202" id="docshape868" filled="false" stroked="false">
                  <v:textbox inset="0,0,0,0">
                    <w:txbxContent>
                      <w:p>
                        <w:pPr>
                          <w:spacing w:line="240" w:lineRule="auto" w:before="160"/>
                          <w:rPr>
                            <w:sz w:val="68"/>
                          </w:rPr>
                        </w:pPr>
                      </w:p>
                      <w:p>
                        <w:pPr>
                          <w:spacing w:before="1"/>
                          <w:ind w:left="1123" w:right="0" w:firstLine="0"/>
                          <w:jc w:val="left"/>
                          <w:rPr>
                            <w:rFonts w:ascii="Trebuchet MS"/>
                            <w:b/>
                            <w:sz w:val="68"/>
                          </w:rPr>
                        </w:pPr>
                        <w:r>
                          <w:rPr>
                            <w:rFonts w:ascii="Trebuchet MS"/>
                            <w:b/>
                            <w:color w:val="FFFFFF"/>
                            <w:sz w:val="68"/>
                          </w:rPr>
                          <w:t>Note </w:t>
                        </w:r>
                        <w:r>
                          <w:rPr>
                            <w:rFonts w:ascii="Trebuchet MS"/>
                            <w:b/>
                            <w:color w:val="FFFFFF"/>
                            <w:spacing w:val="-5"/>
                            <w:sz w:val="68"/>
                          </w:rPr>
                          <w:t>on</w:t>
                        </w:r>
                      </w:p>
                      <w:p>
                        <w:pPr>
                          <w:spacing w:before="26"/>
                          <w:ind w:left="1123" w:right="0" w:firstLine="0"/>
                          <w:jc w:val="left"/>
                          <w:rPr>
                            <w:rFonts w:ascii="Trebuchet MS"/>
                            <w:b/>
                            <w:sz w:val="68"/>
                          </w:rPr>
                        </w:pPr>
                        <w:r>
                          <w:rPr>
                            <w:rFonts w:ascii="Trebuchet MS"/>
                            <w:b/>
                            <w:color w:val="FFFFFF"/>
                            <w:sz w:val="68"/>
                          </w:rPr>
                          <w:t>Higher</w:t>
                        </w:r>
                        <w:r>
                          <w:rPr>
                            <w:rFonts w:ascii="Trebuchet MS"/>
                            <w:b/>
                            <w:color w:val="FFFFFF"/>
                            <w:spacing w:val="-6"/>
                            <w:sz w:val="68"/>
                          </w:rPr>
                          <w:t> </w:t>
                        </w:r>
                        <w:r>
                          <w:rPr>
                            <w:rFonts w:ascii="Trebuchet MS"/>
                            <w:b/>
                            <w:color w:val="FFFFFF"/>
                            <w:spacing w:val="-2"/>
                            <w:sz w:val="68"/>
                          </w:rPr>
                          <w:t>Education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432">
                <wp:simplePos x="0" y="0"/>
                <wp:positionH relativeFrom="page">
                  <wp:posOffset>713227</wp:posOffset>
                </wp:positionH>
                <wp:positionV relativeFrom="paragraph">
                  <wp:posOffset>328738</wp:posOffset>
                </wp:positionV>
                <wp:extent cx="446405" cy="757555"/>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6.159649pt;margin-top:25.88492pt;width:35.15pt;height:59.65pt;mso-position-horizontal-relative:page;mso-position-vertical-relative:paragraph;z-index:15762432" type="#_x0000_t202" id="docshape869"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color w:val="2E614A"/>
          <w:spacing w:val="-2"/>
        </w:rPr>
        <w:t>Introduction</w:t>
      </w:r>
    </w:p>
    <w:p>
      <w:pPr>
        <w:pStyle w:val="BodyText"/>
        <w:spacing w:line="266" w:lineRule="auto" w:before="185"/>
        <w:ind w:left="1123" w:firstLine="702"/>
        <w:jc w:val="right"/>
      </w:pPr>
      <w:r>
        <w:rPr/>
        <w:t>he</w:t>
      </w:r>
      <w:r>
        <w:rPr>
          <w:spacing w:val="35"/>
        </w:rPr>
        <w:t> </w:t>
      </w:r>
      <w:r>
        <w:rPr/>
        <w:t>spread</w:t>
      </w:r>
      <w:r>
        <w:rPr>
          <w:spacing w:val="35"/>
        </w:rPr>
        <w:t> </w:t>
      </w:r>
      <w:r>
        <w:rPr/>
        <w:t>of</w:t>
      </w:r>
      <w:r>
        <w:rPr>
          <w:spacing w:val="35"/>
        </w:rPr>
        <w:t> </w:t>
      </w:r>
      <w:r>
        <w:rPr/>
        <w:t>education</w:t>
      </w:r>
      <w:r>
        <w:rPr>
          <w:spacing w:val="35"/>
        </w:rPr>
        <w:t> </w:t>
      </w:r>
      <w:r>
        <w:rPr/>
        <w:t>in</w:t>
      </w:r>
      <w:r>
        <w:rPr>
          <w:spacing w:val="34"/>
        </w:rPr>
        <w:t> </w:t>
      </w:r>
      <w:r>
        <w:rPr/>
        <w:t>society</w:t>
      </w:r>
      <w:r>
        <w:rPr>
          <w:spacing w:val="35"/>
        </w:rPr>
        <w:t> </w:t>
      </w:r>
      <w:r>
        <w:rPr/>
        <w:t>is</w:t>
      </w:r>
      <w:r>
        <w:rPr>
          <w:spacing w:val="35"/>
        </w:rPr>
        <w:t> </w:t>
      </w:r>
      <w:r>
        <w:rPr/>
        <w:t>at</w:t>
      </w:r>
      <w:r>
        <w:rPr>
          <w:spacing w:val="35"/>
        </w:rPr>
        <w:t> </w:t>
      </w:r>
      <w:r>
        <w:rPr/>
        <w:t>the foundation</w:t>
      </w:r>
      <w:r>
        <w:rPr>
          <w:spacing w:val="40"/>
        </w:rPr>
        <w:t> </w:t>
      </w:r>
      <w:r>
        <w:rPr/>
        <w:t>of</w:t>
      </w:r>
      <w:r>
        <w:rPr>
          <w:spacing w:val="40"/>
        </w:rPr>
        <w:t> </w:t>
      </w:r>
      <w:r>
        <w:rPr/>
        <w:t>success</w:t>
      </w:r>
      <w:r>
        <w:rPr>
          <w:spacing w:val="40"/>
        </w:rPr>
        <w:t> </w:t>
      </w:r>
      <w:r>
        <w:rPr/>
        <w:t>in</w:t>
      </w:r>
      <w:r>
        <w:rPr>
          <w:spacing w:val="40"/>
        </w:rPr>
        <w:t> </w:t>
      </w:r>
      <w:r>
        <w:rPr/>
        <w:t>countries</w:t>
      </w:r>
      <w:r>
        <w:rPr>
          <w:spacing w:val="40"/>
        </w:rPr>
        <w:t> </w:t>
      </w:r>
      <w:r>
        <w:rPr/>
        <w:t>that</w:t>
      </w:r>
      <w:r>
        <w:rPr>
          <w:spacing w:val="40"/>
        </w:rPr>
        <w:t> </w:t>
      </w:r>
      <w:r>
        <w:rPr/>
        <w:t>are latecomers</w:t>
      </w:r>
      <w:r>
        <w:rPr>
          <w:spacing w:val="40"/>
        </w:rPr>
        <w:t> </w:t>
      </w:r>
      <w:r>
        <w:rPr/>
        <w:t>to</w:t>
      </w:r>
      <w:r>
        <w:rPr>
          <w:spacing w:val="40"/>
        </w:rPr>
        <w:t> </w:t>
      </w:r>
      <w:r>
        <w:rPr/>
        <w:t>development.</w:t>
      </w:r>
      <w:r>
        <w:rPr>
          <w:spacing w:val="40"/>
        </w:rPr>
        <w:t> </w:t>
      </w:r>
      <w:r>
        <w:rPr/>
        <w:t>In</w:t>
      </w:r>
      <w:r>
        <w:rPr>
          <w:spacing w:val="40"/>
        </w:rPr>
        <w:t> </w:t>
      </w:r>
      <w:r>
        <w:rPr/>
        <w:t>the</w:t>
      </w:r>
      <w:r>
        <w:rPr>
          <w:spacing w:val="40"/>
        </w:rPr>
        <w:t> </w:t>
      </w:r>
      <w:r>
        <w:rPr/>
        <w:t>quest</w:t>
      </w:r>
      <w:r>
        <w:rPr>
          <w:spacing w:val="40"/>
        </w:rPr>
        <w:t> </w:t>
      </w:r>
      <w:r>
        <w:rPr/>
        <w:t>for </w:t>
      </w:r>
      <w:r>
        <w:rPr>
          <w:spacing w:val="-4"/>
        </w:rPr>
        <w:t>development, primary education is absolutely essential </w:t>
      </w:r>
      <w:r>
        <w:rPr>
          <w:spacing w:val="-2"/>
        </w:rPr>
        <w:t>because</w:t>
      </w:r>
      <w:r>
        <w:rPr>
          <w:spacing w:val="-12"/>
        </w:rPr>
        <w:t> </w:t>
      </w:r>
      <w:r>
        <w:rPr>
          <w:spacing w:val="-2"/>
        </w:rPr>
        <w:t>it</w:t>
      </w:r>
      <w:r>
        <w:rPr>
          <w:spacing w:val="-12"/>
        </w:rPr>
        <w:t> </w:t>
      </w:r>
      <w:r>
        <w:rPr>
          <w:spacing w:val="-2"/>
        </w:rPr>
        <w:t>creates</w:t>
      </w:r>
      <w:r>
        <w:rPr>
          <w:spacing w:val="-12"/>
        </w:rPr>
        <w:t> </w:t>
      </w:r>
      <w:r>
        <w:rPr>
          <w:spacing w:val="-2"/>
        </w:rPr>
        <w:t>the</w:t>
      </w:r>
      <w:r>
        <w:rPr>
          <w:spacing w:val="-11"/>
        </w:rPr>
        <w:t> </w:t>
      </w:r>
      <w:r>
        <w:rPr>
          <w:spacing w:val="-2"/>
        </w:rPr>
        <w:t>base.</w:t>
      </w:r>
      <w:r>
        <w:rPr>
          <w:spacing w:val="-12"/>
        </w:rPr>
        <w:t> </w:t>
      </w:r>
      <w:r>
        <w:rPr>
          <w:spacing w:val="-2"/>
        </w:rPr>
        <w:t>But</w:t>
      </w:r>
      <w:r>
        <w:rPr>
          <w:spacing w:val="-12"/>
        </w:rPr>
        <w:t> </w:t>
      </w:r>
      <w:r>
        <w:rPr>
          <w:spacing w:val="-2"/>
        </w:rPr>
        <w:t>higher</w:t>
      </w:r>
      <w:r>
        <w:rPr>
          <w:spacing w:val="-12"/>
        </w:rPr>
        <w:t> </w:t>
      </w:r>
      <w:r>
        <w:rPr>
          <w:spacing w:val="-2"/>
        </w:rPr>
        <w:t>education</w:t>
      </w:r>
      <w:r>
        <w:rPr>
          <w:spacing w:val="-11"/>
        </w:rPr>
        <w:t> </w:t>
      </w:r>
      <w:r>
        <w:rPr>
          <w:spacing w:val="-2"/>
        </w:rPr>
        <w:t>is</w:t>
      </w:r>
      <w:r>
        <w:rPr>
          <w:spacing w:val="-12"/>
        </w:rPr>
        <w:t> </w:t>
      </w:r>
      <w:r>
        <w:rPr>
          <w:spacing w:val="-2"/>
        </w:rPr>
        <w:t>just </w:t>
      </w:r>
      <w:r>
        <w:rPr/>
        <w:t>as</w:t>
      </w:r>
      <w:r>
        <w:rPr>
          <w:spacing w:val="26"/>
        </w:rPr>
        <w:t> </w:t>
      </w:r>
      <w:r>
        <w:rPr/>
        <w:t>important,</w:t>
      </w:r>
      <w:r>
        <w:rPr>
          <w:spacing w:val="26"/>
        </w:rPr>
        <w:t> </w:t>
      </w:r>
      <w:r>
        <w:rPr/>
        <w:t>for</w:t>
      </w:r>
      <w:r>
        <w:rPr>
          <w:spacing w:val="26"/>
        </w:rPr>
        <w:t> </w:t>
      </w:r>
      <w:r>
        <w:rPr/>
        <w:t>it</w:t>
      </w:r>
      <w:r>
        <w:rPr>
          <w:spacing w:val="26"/>
        </w:rPr>
        <w:t> </w:t>
      </w:r>
      <w:r>
        <w:rPr/>
        <w:t>provides</w:t>
      </w:r>
      <w:r>
        <w:rPr>
          <w:spacing w:val="26"/>
        </w:rPr>
        <w:t> </w:t>
      </w:r>
      <w:r>
        <w:rPr/>
        <w:t>the</w:t>
      </w:r>
      <w:r>
        <w:rPr>
          <w:spacing w:val="26"/>
        </w:rPr>
        <w:t> </w:t>
      </w:r>
      <w:r>
        <w:rPr/>
        <w:t>cutting</w:t>
      </w:r>
      <w:r>
        <w:rPr>
          <w:spacing w:val="26"/>
        </w:rPr>
        <w:t> </w:t>
      </w:r>
      <w:r>
        <w:rPr/>
        <w:t>edge.</w:t>
      </w:r>
      <w:r>
        <w:rPr>
          <w:spacing w:val="26"/>
        </w:rPr>
        <w:t> </w:t>
      </w:r>
      <w:r>
        <w:rPr/>
        <w:t>And </w:t>
      </w:r>
      <w:r>
        <w:rPr>
          <w:spacing w:val="-6"/>
        </w:rPr>
        <w:t>universities</w:t>
      </w:r>
      <w:r>
        <w:rPr>
          <w:spacing w:val="-23"/>
        </w:rPr>
        <w:t> </w:t>
      </w:r>
      <w:r>
        <w:rPr>
          <w:spacing w:val="-6"/>
        </w:rPr>
        <w:t>are</w:t>
      </w:r>
      <w:r>
        <w:rPr>
          <w:spacing w:val="-23"/>
        </w:rPr>
        <w:t> </w:t>
      </w:r>
      <w:r>
        <w:rPr>
          <w:spacing w:val="-6"/>
        </w:rPr>
        <w:t>the</w:t>
      </w:r>
      <w:r>
        <w:rPr>
          <w:spacing w:val="-23"/>
        </w:rPr>
        <w:t> </w:t>
      </w:r>
      <w:r>
        <w:rPr>
          <w:spacing w:val="-6"/>
        </w:rPr>
        <w:t>life-blood</w:t>
      </w:r>
      <w:r>
        <w:rPr>
          <w:spacing w:val="-23"/>
        </w:rPr>
        <w:t> </w:t>
      </w:r>
      <w:r>
        <w:rPr>
          <w:spacing w:val="-6"/>
        </w:rPr>
        <w:t>of</w:t>
      </w:r>
      <w:r>
        <w:rPr>
          <w:spacing w:val="-23"/>
        </w:rPr>
        <w:t> </w:t>
      </w:r>
      <w:r>
        <w:rPr>
          <w:spacing w:val="-6"/>
        </w:rPr>
        <w:t>higher</w:t>
      </w:r>
      <w:r>
        <w:rPr>
          <w:spacing w:val="-23"/>
        </w:rPr>
        <w:t> </w:t>
      </w:r>
      <w:r>
        <w:rPr>
          <w:spacing w:val="-6"/>
        </w:rPr>
        <w:t>education.</w:t>
      </w:r>
      <w:r>
        <w:rPr>
          <w:spacing w:val="-23"/>
        </w:rPr>
        <w:t> </w:t>
      </w:r>
      <w:r>
        <w:rPr>
          <w:spacing w:val="-6"/>
        </w:rPr>
        <w:t>Islands </w:t>
      </w:r>
      <w:r>
        <w:rPr>
          <w:spacing w:val="-2"/>
        </w:rPr>
        <w:t>of</w:t>
      </w:r>
      <w:r>
        <w:rPr>
          <w:spacing w:val="-12"/>
        </w:rPr>
        <w:t> </w:t>
      </w:r>
      <w:r>
        <w:rPr>
          <w:spacing w:val="-2"/>
        </w:rPr>
        <w:t>excellence</w:t>
      </w:r>
      <w:r>
        <w:rPr>
          <w:spacing w:val="-12"/>
        </w:rPr>
        <w:t> </w:t>
      </w:r>
      <w:r>
        <w:rPr>
          <w:spacing w:val="-2"/>
        </w:rPr>
        <w:t>in</w:t>
      </w:r>
      <w:r>
        <w:rPr>
          <w:spacing w:val="-12"/>
        </w:rPr>
        <w:t> </w:t>
      </w:r>
      <w:r>
        <w:rPr>
          <w:spacing w:val="-2"/>
        </w:rPr>
        <w:t>professional</w:t>
      </w:r>
      <w:r>
        <w:rPr>
          <w:spacing w:val="-11"/>
        </w:rPr>
        <w:t> </w:t>
      </w:r>
      <w:r>
        <w:rPr>
          <w:spacing w:val="-2"/>
        </w:rPr>
        <w:t>education,</w:t>
      </w:r>
      <w:r>
        <w:rPr>
          <w:spacing w:val="-12"/>
        </w:rPr>
        <w:t> </w:t>
      </w:r>
      <w:r>
        <w:rPr>
          <w:spacing w:val="-2"/>
        </w:rPr>
        <w:t>such</w:t>
      </w:r>
      <w:r>
        <w:rPr>
          <w:spacing w:val="-12"/>
        </w:rPr>
        <w:t> </w:t>
      </w:r>
      <w:r>
        <w:rPr>
          <w:spacing w:val="-2"/>
        </w:rPr>
        <w:t>as</w:t>
      </w:r>
      <w:r>
        <w:rPr>
          <w:spacing w:val="-12"/>
        </w:rPr>
        <w:t> </w:t>
      </w:r>
      <w:r>
        <w:rPr>
          <w:spacing w:val="-2"/>
        </w:rPr>
        <w:t>Indian </w:t>
      </w:r>
      <w:r>
        <w:rPr/>
        <w:t>Institutes</w:t>
      </w:r>
      <w:r>
        <w:rPr>
          <w:spacing w:val="7"/>
        </w:rPr>
        <w:t> </w:t>
      </w:r>
      <w:r>
        <w:rPr/>
        <w:t>of Technology</w:t>
      </w:r>
      <w:r>
        <w:rPr>
          <w:spacing w:val="7"/>
        </w:rPr>
        <w:t> </w:t>
      </w:r>
      <w:r>
        <w:rPr/>
        <w:t>(IITs)</w:t>
      </w:r>
      <w:r>
        <w:rPr>
          <w:spacing w:val="7"/>
        </w:rPr>
        <w:t> </w:t>
      </w:r>
      <w:r>
        <w:rPr/>
        <w:t>and</w:t>
      </w:r>
      <w:r>
        <w:rPr>
          <w:spacing w:val="7"/>
        </w:rPr>
        <w:t> </w:t>
      </w:r>
      <w:r>
        <w:rPr/>
        <w:t>Indian</w:t>
      </w:r>
      <w:r>
        <w:rPr>
          <w:spacing w:val="7"/>
        </w:rPr>
        <w:t> </w:t>
      </w:r>
      <w:r>
        <w:rPr/>
        <w:t>Institutes </w:t>
      </w:r>
      <w:r>
        <w:rPr>
          <w:spacing w:val="-2"/>
        </w:rPr>
        <w:t>of</w:t>
      </w:r>
      <w:r>
        <w:rPr>
          <w:spacing w:val="-11"/>
        </w:rPr>
        <w:t> </w:t>
      </w:r>
      <w:r>
        <w:rPr>
          <w:spacing w:val="-2"/>
        </w:rPr>
        <w:t>Management</w:t>
      </w:r>
      <w:r>
        <w:rPr>
          <w:spacing w:val="-11"/>
        </w:rPr>
        <w:t> </w:t>
      </w:r>
      <w:r>
        <w:rPr>
          <w:spacing w:val="-2"/>
        </w:rPr>
        <w:t>(IIMs),</w:t>
      </w:r>
      <w:r>
        <w:rPr>
          <w:spacing w:val="-11"/>
        </w:rPr>
        <w:t> </w:t>
      </w:r>
      <w:r>
        <w:rPr>
          <w:spacing w:val="-2"/>
        </w:rPr>
        <w:t>are</w:t>
      </w:r>
      <w:r>
        <w:rPr>
          <w:spacing w:val="-11"/>
        </w:rPr>
        <w:t> </w:t>
      </w:r>
      <w:r>
        <w:rPr>
          <w:spacing w:val="-2"/>
        </w:rPr>
        <w:t>valuable</w:t>
      </w:r>
      <w:r>
        <w:rPr>
          <w:spacing w:val="-11"/>
        </w:rPr>
        <w:t> </w:t>
      </w:r>
      <w:r>
        <w:rPr>
          <w:spacing w:val="-2"/>
        </w:rPr>
        <w:t>complements</w:t>
      </w:r>
      <w:r>
        <w:rPr>
          <w:spacing w:val="-11"/>
        </w:rPr>
        <w:t> </w:t>
      </w:r>
      <w:r>
        <w:rPr>
          <w:spacing w:val="-2"/>
        </w:rPr>
        <w:t>but </w:t>
      </w:r>
      <w:r>
        <w:rPr/>
        <w:t>cannot</w:t>
      </w:r>
      <w:r>
        <w:rPr>
          <w:spacing w:val="22"/>
        </w:rPr>
        <w:t> </w:t>
      </w:r>
      <w:r>
        <w:rPr/>
        <w:t>be</w:t>
      </w:r>
      <w:r>
        <w:rPr>
          <w:spacing w:val="22"/>
        </w:rPr>
        <w:t> </w:t>
      </w:r>
      <w:r>
        <w:rPr/>
        <w:t>substitutes</w:t>
      </w:r>
      <w:r>
        <w:rPr>
          <w:spacing w:val="23"/>
        </w:rPr>
        <w:t> </w:t>
      </w:r>
      <w:r>
        <w:rPr/>
        <w:t>for</w:t>
      </w:r>
      <w:r>
        <w:rPr>
          <w:spacing w:val="22"/>
        </w:rPr>
        <w:t> </w:t>
      </w:r>
      <w:r>
        <w:rPr/>
        <w:t>universities</w:t>
      </w:r>
      <w:r>
        <w:rPr>
          <w:spacing w:val="22"/>
        </w:rPr>
        <w:t> </w:t>
      </w:r>
      <w:r>
        <w:rPr/>
        <w:t>which</w:t>
      </w:r>
      <w:r>
        <w:rPr>
          <w:spacing w:val="23"/>
        </w:rPr>
        <w:t> </w:t>
      </w:r>
      <w:r>
        <w:rPr>
          <w:spacing w:val="-5"/>
        </w:rPr>
        <w:t>provide</w:t>
      </w:r>
    </w:p>
    <w:p>
      <w:pPr>
        <w:pStyle w:val="BodyText"/>
        <w:spacing w:line="244" w:lineRule="exact"/>
        <w:ind w:left="1123"/>
        <w:jc w:val="both"/>
      </w:pPr>
      <w:r>
        <w:rPr>
          <w:spacing w:val="-2"/>
        </w:rPr>
        <w:t>educational</w:t>
      </w:r>
      <w:r>
        <w:rPr>
          <w:spacing w:val="-8"/>
        </w:rPr>
        <w:t> </w:t>
      </w:r>
      <w:r>
        <w:rPr>
          <w:spacing w:val="-2"/>
        </w:rPr>
        <w:t>opportunities</w:t>
      </w:r>
      <w:r>
        <w:rPr>
          <w:spacing w:val="-8"/>
        </w:rPr>
        <w:t> </w:t>
      </w:r>
      <w:r>
        <w:rPr>
          <w:spacing w:val="-2"/>
        </w:rPr>
        <w:t>for</w:t>
      </w:r>
      <w:r>
        <w:rPr>
          <w:spacing w:val="-8"/>
        </w:rPr>
        <w:t> </w:t>
      </w:r>
      <w:r>
        <w:rPr>
          <w:spacing w:val="-2"/>
        </w:rPr>
        <w:t>people</w:t>
      </w:r>
      <w:r>
        <w:rPr>
          <w:spacing w:val="-8"/>
        </w:rPr>
        <w:t> </w:t>
      </w:r>
      <w:r>
        <w:rPr>
          <w:spacing w:val="-2"/>
        </w:rPr>
        <w:t>at</w:t>
      </w:r>
      <w:r>
        <w:rPr>
          <w:spacing w:val="-8"/>
        </w:rPr>
        <w:t> </w:t>
      </w:r>
      <w:r>
        <w:rPr>
          <w:spacing w:val="-2"/>
        </w:rPr>
        <w:t>large.</w:t>
      </w:r>
    </w:p>
    <w:p>
      <w:pPr>
        <w:pStyle w:val="BodyText"/>
        <w:spacing w:before="54"/>
      </w:pPr>
    </w:p>
    <w:p>
      <w:pPr>
        <w:pStyle w:val="BodyText"/>
        <w:spacing w:line="266" w:lineRule="auto"/>
        <w:ind w:left="1123"/>
        <w:jc w:val="both"/>
      </w:pPr>
      <w:r>
        <w:rPr/>
        <w:t>There</w:t>
      </w:r>
      <w:r>
        <w:rPr>
          <w:spacing w:val="-14"/>
        </w:rPr>
        <w:t> </w:t>
      </w:r>
      <w:r>
        <w:rPr/>
        <w:t>can</w:t>
      </w:r>
      <w:r>
        <w:rPr>
          <w:spacing w:val="-14"/>
        </w:rPr>
        <w:t> </w:t>
      </w:r>
      <w:r>
        <w:rPr/>
        <w:t>be</w:t>
      </w:r>
      <w:r>
        <w:rPr>
          <w:spacing w:val="-14"/>
        </w:rPr>
        <w:t> </w:t>
      </w:r>
      <w:r>
        <w:rPr/>
        <w:t>no</w:t>
      </w:r>
      <w:r>
        <w:rPr>
          <w:spacing w:val="-13"/>
        </w:rPr>
        <w:t> </w:t>
      </w:r>
      <w:r>
        <w:rPr/>
        <w:t>doubt</w:t>
      </w:r>
      <w:r>
        <w:rPr>
          <w:spacing w:val="-14"/>
        </w:rPr>
        <w:t> </w:t>
      </w:r>
      <w:r>
        <w:rPr/>
        <w:t>that</w:t>
      </w:r>
      <w:r>
        <w:rPr>
          <w:spacing w:val="-14"/>
        </w:rPr>
        <w:t> </w:t>
      </w:r>
      <w:r>
        <w:rPr/>
        <w:t>higher</w:t>
      </w:r>
      <w:r>
        <w:rPr>
          <w:spacing w:val="-14"/>
        </w:rPr>
        <w:t> </w:t>
      </w:r>
      <w:r>
        <w:rPr/>
        <w:t>education</w:t>
      </w:r>
      <w:r>
        <w:rPr>
          <w:spacing w:val="-13"/>
        </w:rPr>
        <w:t> </w:t>
      </w:r>
      <w:r>
        <w:rPr/>
        <w:t>has</w:t>
      </w:r>
      <w:r>
        <w:rPr>
          <w:spacing w:val="-14"/>
        </w:rPr>
        <w:t> </w:t>
      </w:r>
      <w:r>
        <w:rPr/>
        <w:t>made a significant contribution to economic development, </w:t>
      </w:r>
      <w:r>
        <w:rPr>
          <w:spacing w:val="-4"/>
        </w:rPr>
        <w:t>social</w:t>
      </w:r>
      <w:r>
        <w:rPr>
          <w:spacing w:val="-6"/>
        </w:rPr>
        <w:t> </w:t>
      </w:r>
      <w:r>
        <w:rPr>
          <w:spacing w:val="-4"/>
        </w:rPr>
        <w:t>progress</w:t>
      </w:r>
      <w:r>
        <w:rPr>
          <w:spacing w:val="-6"/>
        </w:rPr>
        <w:t> </w:t>
      </w:r>
      <w:r>
        <w:rPr>
          <w:spacing w:val="-4"/>
        </w:rPr>
        <w:t>and</w:t>
      </w:r>
      <w:r>
        <w:rPr>
          <w:spacing w:val="-6"/>
        </w:rPr>
        <w:t> </w:t>
      </w:r>
      <w:r>
        <w:rPr>
          <w:spacing w:val="-4"/>
        </w:rPr>
        <w:t>political</w:t>
      </w:r>
      <w:r>
        <w:rPr>
          <w:spacing w:val="-6"/>
        </w:rPr>
        <w:t> </w:t>
      </w:r>
      <w:r>
        <w:rPr>
          <w:spacing w:val="-4"/>
        </w:rPr>
        <w:t>democracy</w:t>
      </w:r>
      <w:r>
        <w:rPr>
          <w:spacing w:val="-6"/>
        </w:rPr>
        <w:t> </w:t>
      </w:r>
      <w:r>
        <w:rPr>
          <w:spacing w:val="-4"/>
        </w:rPr>
        <w:t>in</w:t>
      </w:r>
      <w:r>
        <w:rPr>
          <w:spacing w:val="-6"/>
        </w:rPr>
        <w:t> </w:t>
      </w:r>
      <w:r>
        <w:rPr>
          <w:spacing w:val="-4"/>
        </w:rPr>
        <w:t>independent </w:t>
      </w:r>
      <w:r>
        <w:rPr/>
        <w:t>India. It is a source of dynamism for the economy.</w:t>
      </w:r>
      <w:r>
        <w:rPr>
          <w:spacing w:val="80"/>
        </w:rPr>
        <w:t> </w:t>
      </w:r>
      <w:r>
        <w:rPr/>
        <w:t>It has created social opportunities for people. It has fostered the vibrant democracy in our polity. It has provided</w:t>
      </w:r>
      <w:r>
        <w:rPr>
          <w:spacing w:val="-9"/>
        </w:rPr>
        <w:t> </w:t>
      </w:r>
      <w:r>
        <w:rPr/>
        <w:t>a</w:t>
      </w:r>
      <w:r>
        <w:rPr>
          <w:spacing w:val="-9"/>
        </w:rPr>
        <w:t> </w:t>
      </w:r>
      <w:r>
        <w:rPr/>
        <w:t>beginning</w:t>
      </w:r>
      <w:r>
        <w:rPr>
          <w:spacing w:val="-9"/>
        </w:rPr>
        <w:t> </w:t>
      </w:r>
      <w:r>
        <w:rPr/>
        <w:t>for</w:t>
      </w:r>
      <w:r>
        <w:rPr>
          <w:spacing w:val="-9"/>
        </w:rPr>
        <w:t> </w:t>
      </w:r>
      <w:r>
        <w:rPr/>
        <w:t>the</w:t>
      </w:r>
      <w:r>
        <w:rPr>
          <w:spacing w:val="-9"/>
        </w:rPr>
        <w:t> </w:t>
      </w:r>
      <w:r>
        <w:rPr/>
        <w:t>creation</w:t>
      </w:r>
      <w:r>
        <w:rPr>
          <w:spacing w:val="-9"/>
        </w:rPr>
        <w:t> </w:t>
      </w:r>
      <w:r>
        <w:rPr/>
        <w:t>of</w:t>
      </w:r>
      <w:r>
        <w:rPr>
          <w:spacing w:val="-9"/>
        </w:rPr>
        <w:t> </w:t>
      </w:r>
      <w:r>
        <w:rPr/>
        <w:t>a</w:t>
      </w:r>
      <w:r>
        <w:rPr>
          <w:spacing w:val="-9"/>
        </w:rPr>
        <w:t> </w:t>
      </w:r>
      <w:r>
        <w:rPr/>
        <w:t>knowledge society. But it would be a mistake to focus on its strengths</w:t>
      </w:r>
      <w:r>
        <w:rPr>
          <w:spacing w:val="-12"/>
        </w:rPr>
        <w:t> </w:t>
      </w:r>
      <w:r>
        <w:rPr/>
        <w:t>alone.</w:t>
      </w:r>
      <w:r>
        <w:rPr>
          <w:spacing w:val="-12"/>
        </w:rPr>
        <w:t> </w:t>
      </w:r>
      <w:r>
        <w:rPr/>
        <w:t>It</w:t>
      </w:r>
      <w:r>
        <w:rPr>
          <w:spacing w:val="-12"/>
        </w:rPr>
        <w:t> </w:t>
      </w:r>
      <w:r>
        <w:rPr/>
        <w:t>has</w:t>
      </w:r>
      <w:r>
        <w:rPr>
          <w:spacing w:val="-12"/>
        </w:rPr>
        <w:t> </w:t>
      </w:r>
      <w:r>
        <w:rPr/>
        <w:t>weaknesses</w:t>
      </w:r>
      <w:r>
        <w:rPr>
          <w:spacing w:val="-12"/>
        </w:rPr>
        <w:t> </w:t>
      </w:r>
      <w:r>
        <w:rPr/>
        <w:t>that</w:t>
      </w:r>
      <w:r>
        <w:rPr>
          <w:spacing w:val="-12"/>
        </w:rPr>
        <w:t> </w:t>
      </w:r>
      <w:r>
        <w:rPr/>
        <w:t>are</w:t>
      </w:r>
      <w:r>
        <w:rPr>
          <w:spacing w:val="-12"/>
        </w:rPr>
        <w:t> </w:t>
      </w:r>
      <w:r>
        <w:rPr/>
        <w:t>a</w:t>
      </w:r>
      <w:r>
        <w:rPr>
          <w:spacing w:val="-12"/>
        </w:rPr>
        <w:t> </w:t>
      </w:r>
      <w:r>
        <w:rPr/>
        <w:t>cause</w:t>
      </w:r>
      <w:r>
        <w:rPr>
          <w:spacing w:val="-12"/>
        </w:rPr>
        <w:t> </w:t>
      </w:r>
      <w:r>
        <w:rPr/>
        <w:t>for serious concern.</w:t>
      </w:r>
    </w:p>
    <w:p>
      <w:pPr>
        <w:pStyle w:val="BodyText"/>
        <w:spacing w:before="19"/>
      </w:pPr>
    </w:p>
    <w:p>
      <w:pPr>
        <w:pStyle w:val="BodyText"/>
        <w:spacing w:line="266" w:lineRule="auto"/>
        <w:ind w:left="1123"/>
        <w:jc w:val="both"/>
      </w:pPr>
      <w:r>
        <w:rPr>
          <w:spacing w:val="-8"/>
        </w:rPr>
        <w:t>There</w:t>
      </w:r>
      <w:r>
        <w:rPr>
          <w:spacing w:val="-6"/>
        </w:rPr>
        <w:t> </w:t>
      </w:r>
      <w:r>
        <w:rPr>
          <w:spacing w:val="-8"/>
        </w:rPr>
        <w:t>is,</w:t>
      </w:r>
      <w:r>
        <w:rPr>
          <w:spacing w:val="-6"/>
        </w:rPr>
        <w:t> </w:t>
      </w:r>
      <w:r>
        <w:rPr>
          <w:spacing w:val="-8"/>
        </w:rPr>
        <w:t>in</w:t>
      </w:r>
      <w:r>
        <w:rPr>
          <w:spacing w:val="-6"/>
        </w:rPr>
        <w:t> </w:t>
      </w:r>
      <w:r>
        <w:rPr>
          <w:spacing w:val="-8"/>
        </w:rPr>
        <w:t>fact,</w:t>
      </w:r>
      <w:r>
        <w:rPr>
          <w:spacing w:val="-5"/>
        </w:rPr>
        <w:t> </w:t>
      </w:r>
      <w:r>
        <w:rPr>
          <w:spacing w:val="-8"/>
        </w:rPr>
        <w:t>a</w:t>
      </w:r>
      <w:r>
        <w:rPr>
          <w:spacing w:val="-6"/>
        </w:rPr>
        <w:t> </w:t>
      </w:r>
      <w:r>
        <w:rPr>
          <w:spacing w:val="-8"/>
        </w:rPr>
        <w:t>quiet</w:t>
      </w:r>
      <w:r>
        <w:rPr>
          <w:spacing w:val="-6"/>
        </w:rPr>
        <w:t> </w:t>
      </w:r>
      <w:r>
        <w:rPr>
          <w:spacing w:val="-8"/>
        </w:rPr>
        <w:t>crisis</w:t>
      </w:r>
      <w:r>
        <w:rPr>
          <w:spacing w:val="-6"/>
        </w:rPr>
        <w:t> </w:t>
      </w:r>
      <w:r>
        <w:rPr>
          <w:spacing w:val="-8"/>
        </w:rPr>
        <w:t>in</w:t>
      </w:r>
      <w:r>
        <w:rPr>
          <w:spacing w:val="-5"/>
        </w:rPr>
        <w:t> </w:t>
      </w:r>
      <w:r>
        <w:rPr>
          <w:spacing w:val="-8"/>
        </w:rPr>
        <w:t>higher</w:t>
      </w:r>
      <w:r>
        <w:rPr>
          <w:spacing w:val="-6"/>
        </w:rPr>
        <w:t> </w:t>
      </w:r>
      <w:r>
        <w:rPr>
          <w:spacing w:val="-8"/>
        </w:rPr>
        <w:t>education</w:t>
      </w:r>
      <w:r>
        <w:rPr>
          <w:spacing w:val="-6"/>
        </w:rPr>
        <w:t> </w:t>
      </w:r>
      <w:r>
        <w:rPr>
          <w:spacing w:val="-8"/>
        </w:rPr>
        <w:t>in</w:t>
      </w:r>
      <w:r>
        <w:rPr>
          <w:spacing w:val="-6"/>
        </w:rPr>
        <w:t> </w:t>
      </w:r>
      <w:r>
        <w:rPr>
          <w:spacing w:val="-8"/>
        </w:rPr>
        <w:t>India </w:t>
      </w:r>
      <w:r>
        <w:rPr>
          <w:spacing w:val="-2"/>
        </w:rPr>
        <w:t>that</w:t>
      </w:r>
      <w:r>
        <w:rPr>
          <w:spacing w:val="-7"/>
        </w:rPr>
        <w:t> </w:t>
      </w:r>
      <w:r>
        <w:rPr>
          <w:spacing w:val="-2"/>
        </w:rPr>
        <w:t>runs</w:t>
      </w:r>
      <w:r>
        <w:rPr>
          <w:spacing w:val="-7"/>
        </w:rPr>
        <w:t> </w:t>
      </w:r>
      <w:r>
        <w:rPr>
          <w:spacing w:val="-2"/>
        </w:rPr>
        <w:t>deep.</w:t>
      </w:r>
      <w:r>
        <w:rPr>
          <w:spacing w:val="-7"/>
        </w:rPr>
        <w:t> </w:t>
      </w:r>
      <w:r>
        <w:rPr>
          <w:spacing w:val="-2"/>
        </w:rPr>
        <w:t>It</w:t>
      </w:r>
      <w:r>
        <w:rPr>
          <w:spacing w:val="-7"/>
        </w:rPr>
        <w:t> </w:t>
      </w:r>
      <w:r>
        <w:rPr>
          <w:spacing w:val="-2"/>
        </w:rPr>
        <w:t>is</w:t>
      </w:r>
      <w:r>
        <w:rPr>
          <w:spacing w:val="-7"/>
        </w:rPr>
        <w:t> </w:t>
      </w:r>
      <w:r>
        <w:rPr>
          <w:spacing w:val="-2"/>
        </w:rPr>
        <w:t>not</w:t>
      </w:r>
      <w:r>
        <w:rPr>
          <w:spacing w:val="-7"/>
        </w:rPr>
        <w:t> </w:t>
      </w:r>
      <w:r>
        <w:rPr>
          <w:spacing w:val="-2"/>
        </w:rPr>
        <w:t>yet</w:t>
      </w:r>
      <w:r>
        <w:rPr>
          <w:spacing w:val="-7"/>
        </w:rPr>
        <w:t> </w:t>
      </w:r>
      <w:r>
        <w:rPr>
          <w:spacing w:val="-2"/>
        </w:rPr>
        <w:t>discernible</w:t>
      </w:r>
      <w:r>
        <w:rPr>
          <w:spacing w:val="-7"/>
        </w:rPr>
        <w:t> </w:t>
      </w:r>
      <w:r>
        <w:rPr>
          <w:spacing w:val="-2"/>
        </w:rPr>
        <w:t>simply</w:t>
      </w:r>
      <w:r>
        <w:rPr>
          <w:spacing w:val="-7"/>
        </w:rPr>
        <w:t> </w:t>
      </w:r>
      <w:r>
        <w:rPr>
          <w:spacing w:val="-2"/>
        </w:rPr>
        <w:t>because there</w:t>
      </w:r>
      <w:r>
        <w:rPr>
          <w:spacing w:val="-12"/>
        </w:rPr>
        <w:t> </w:t>
      </w:r>
      <w:r>
        <w:rPr>
          <w:spacing w:val="-2"/>
        </w:rPr>
        <w:t>are</w:t>
      </w:r>
      <w:r>
        <w:rPr>
          <w:spacing w:val="-12"/>
        </w:rPr>
        <w:t> </w:t>
      </w:r>
      <w:r>
        <w:rPr>
          <w:spacing w:val="-2"/>
        </w:rPr>
        <w:t>pockets</w:t>
      </w:r>
      <w:r>
        <w:rPr>
          <w:spacing w:val="-12"/>
        </w:rPr>
        <w:t> </w:t>
      </w:r>
      <w:r>
        <w:rPr>
          <w:spacing w:val="-2"/>
        </w:rPr>
        <w:t>of</w:t>
      </w:r>
      <w:r>
        <w:rPr>
          <w:spacing w:val="-11"/>
        </w:rPr>
        <w:t> </w:t>
      </w:r>
      <w:r>
        <w:rPr>
          <w:spacing w:val="-2"/>
        </w:rPr>
        <w:t>excellence,</w:t>
      </w:r>
      <w:r>
        <w:rPr>
          <w:spacing w:val="-12"/>
        </w:rPr>
        <w:t> </w:t>
      </w:r>
      <w:r>
        <w:rPr>
          <w:spacing w:val="-2"/>
        </w:rPr>
        <w:t>an</w:t>
      </w:r>
      <w:r>
        <w:rPr>
          <w:spacing w:val="-12"/>
        </w:rPr>
        <w:t> </w:t>
      </w:r>
      <w:r>
        <w:rPr>
          <w:spacing w:val="-2"/>
        </w:rPr>
        <w:t>enormous</w:t>
      </w:r>
      <w:r>
        <w:rPr>
          <w:spacing w:val="-12"/>
        </w:rPr>
        <w:t> </w:t>
      </w:r>
      <w:r>
        <w:rPr>
          <w:spacing w:val="-2"/>
        </w:rPr>
        <w:t>reservoir of</w:t>
      </w:r>
      <w:r>
        <w:rPr>
          <w:spacing w:val="-12"/>
        </w:rPr>
        <w:t> </w:t>
      </w:r>
      <w:r>
        <w:rPr>
          <w:spacing w:val="-2"/>
        </w:rPr>
        <w:t>talented</w:t>
      </w:r>
      <w:r>
        <w:rPr>
          <w:spacing w:val="-12"/>
        </w:rPr>
        <w:t> </w:t>
      </w:r>
      <w:r>
        <w:rPr>
          <w:spacing w:val="-2"/>
        </w:rPr>
        <w:t>young</w:t>
      </w:r>
      <w:r>
        <w:rPr>
          <w:spacing w:val="-12"/>
        </w:rPr>
        <w:t> </w:t>
      </w:r>
      <w:r>
        <w:rPr>
          <w:spacing w:val="-2"/>
        </w:rPr>
        <w:t>people</w:t>
      </w:r>
      <w:r>
        <w:rPr>
          <w:spacing w:val="-11"/>
        </w:rPr>
        <w:t> </w:t>
      </w:r>
      <w:r>
        <w:rPr>
          <w:spacing w:val="-2"/>
        </w:rPr>
        <w:t>and</w:t>
      </w:r>
      <w:r>
        <w:rPr>
          <w:spacing w:val="-12"/>
        </w:rPr>
        <w:t> </w:t>
      </w:r>
      <w:r>
        <w:rPr>
          <w:spacing w:val="-2"/>
        </w:rPr>
        <w:t>an</w:t>
      </w:r>
      <w:r>
        <w:rPr>
          <w:spacing w:val="-12"/>
        </w:rPr>
        <w:t> </w:t>
      </w:r>
      <w:r>
        <w:rPr>
          <w:spacing w:val="-2"/>
        </w:rPr>
        <w:t>intense</w:t>
      </w:r>
      <w:r>
        <w:rPr>
          <w:spacing w:val="-12"/>
        </w:rPr>
        <w:t> </w:t>
      </w:r>
      <w:r>
        <w:rPr>
          <w:spacing w:val="-2"/>
        </w:rPr>
        <w:t>competition</w:t>
      </w:r>
      <w:r>
        <w:rPr>
          <w:spacing w:val="-11"/>
        </w:rPr>
        <w:t> </w:t>
      </w:r>
      <w:r>
        <w:rPr>
          <w:spacing w:val="-2"/>
        </w:rPr>
        <w:t>in </w:t>
      </w:r>
      <w:r>
        <w:rPr>
          <w:spacing w:val="-8"/>
        </w:rPr>
        <w:t>the</w:t>
      </w:r>
      <w:r>
        <w:rPr/>
        <w:t> </w:t>
      </w:r>
      <w:r>
        <w:rPr>
          <w:spacing w:val="-8"/>
        </w:rPr>
        <w:t>admissions</w:t>
      </w:r>
      <w:r>
        <w:rPr/>
        <w:t> </w:t>
      </w:r>
      <w:r>
        <w:rPr>
          <w:spacing w:val="-8"/>
        </w:rPr>
        <w:t>process.</w:t>
      </w:r>
      <w:r>
        <w:rPr/>
        <w:t> </w:t>
      </w:r>
      <w:r>
        <w:rPr>
          <w:spacing w:val="-8"/>
        </w:rPr>
        <w:t>And,</w:t>
      </w:r>
      <w:r>
        <w:rPr/>
        <w:t> </w:t>
      </w:r>
      <w:r>
        <w:rPr>
          <w:spacing w:val="-8"/>
        </w:rPr>
        <w:t>in</w:t>
      </w:r>
      <w:r>
        <w:rPr/>
        <w:t> </w:t>
      </w:r>
      <w:r>
        <w:rPr>
          <w:spacing w:val="-8"/>
        </w:rPr>
        <w:t>some</w:t>
      </w:r>
      <w:r>
        <w:rPr/>
        <w:t> </w:t>
      </w:r>
      <w:r>
        <w:rPr>
          <w:spacing w:val="-8"/>
        </w:rPr>
        <w:t>important</w:t>
      </w:r>
      <w:r>
        <w:rPr/>
        <w:t> </w:t>
      </w:r>
      <w:r>
        <w:rPr>
          <w:spacing w:val="-8"/>
        </w:rPr>
        <w:t>spheres, </w:t>
      </w:r>
      <w:r>
        <w:rPr/>
        <w:t>we</w:t>
      </w:r>
      <w:r>
        <w:rPr>
          <w:spacing w:val="-6"/>
        </w:rPr>
        <w:t> </w:t>
      </w:r>
      <w:r>
        <w:rPr/>
        <w:t>continue</w:t>
      </w:r>
      <w:r>
        <w:rPr>
          <w:spacing w:val="-6"/>
        </w:rPr>
        <w:t> </w:t>
      </w:r>
      <w:r>
        <w:rPr/>
        <w:t>to</w:t>
      </w:r>
      <w:r>
        <w:rPr>
          <w:spacing w:val="-6"/>
        </w:rPr>
        <w:t> </w:t>
      </w:r>
      <w:r>
        <w:rPr/>
        <w:t>reap</w:t>
      </w:r>
      <w:r>
        <w:rPr>
          <w:spacing w:val="-6"/>
        </w:rPr>
        <w:t> </w:t>
      </w:r>
      <w:r>
        <w:rPr/>
        <w:t>the</w:t>
      </w:r>
      <w:r>
        <w:rPr>
          <w:spacing w:val="-6"/>
        </w:rPr>
        <w:t> </w:t>
      </w:r>
      <w:r>
        <w:rPr/>
        <w:t>benefits</w:t>
      </w:r>
      <w:r>
        <w:rPr>
          <w:spacing w:val="-6"/>
        </w:rPr>
        <w:t> </w:t>
      </w:r>
      <w:r>
        <w:rPr/>
        <w:t>of</w:t>
      </w:r>
      <w:r>
        <w:rPr>
          <w:spacing w:val="-6"/>
        </w:rPr>
        <w:t> </w:t>
      </w:r>
      <w:r>
        <w:rPr/>
        <w:t>what</w:t>
      </w:r>
      <w:r>
        <w:rPr>
          <w:spacing w:val="-6"/>
        </w:rPr>
        <w:t> </w:t>
      </w:r>
      <w:r>
        <w:rPr/>
        <w:t>was</w:t>
      </w:r>
      <w:r>
        <w:rPr>
          <w:spacing w:val="-6"/>
        </w:rPr>
        <w:t> </w:t>
      </w:r>
      <w:r>
        <w:rPr/>
        <w:t>sown</w:t>
      </w:r>
      <w:r>
        <w:rPr>
          <w:spacing w:val="-6"/>
        </w:rPr>
        <w:t> </w:t>
      </w:r>
      <w:r>
        <w:rPr/>
        <w:t>in higher</w:t>
      </w:r>
      <w:r>
        <w:rPr>
          <w:spacing w:val="-16"/>
        </w:rPr>
        <w:t> </w:t>
      </w:r>
      <w:r>
        <w:rPr/>
        <w:t>education</w:t>
      </w:r>
      <w:r>
        <w:rPr>
          <w:spacing w:val="-14"/>
        </w:rPr>
        <w:t> </w:t>
      </w:r>
      <w:r>
        <w:rPr/>
        <w:t>50</w:t>
      </w:r>
      <w:r>
        <w:rPr>
          <w:spacing w:val="-14"/>
        </w:rPr>
        <w:t> </w:t>
      </w:r>
      <w:r>
        <w:rPr/>
        <w:t>years</w:t>
      </w:r>
      <w:r>
        <w:rPr>
          <w:spacing w:val="-13"/>
        </w:rPr>
        <w:t> </w:t>
      </w:r>
      <w:r>
        <w:rPr/>
        <w:t>ago</w:t>
      </w:r>
      <w:r>
        <w:rPr>
          <w:spacing w:val="-14"/>
        </w:rPr>
        <w:t> </w:t>
      </w:r>
      <w:r>
        <w:rPr/>
        <w:t>by</w:t>
      </w:r>
      <w:r>
        <w:rPr>
          <w:spacing w:val="-14"/>
        </w:rPr>
        <w:t> </w:t>
      </w:r>
      <w:r>
        <w:rPr/>
        <w:t>the</w:t>
      </w:r>
      <w:r>
        <w:rPr>
          <w:spacing w:val="-14"/>
        </w:rPr>
        <w:t> </w:t>
      </w:r>
      <w:r>
        <w:rPr/>
        <w:t>founding</w:t>
      </w:r>
      <w:r>
        <w:rPr>
          <w:spacing w:val="-13"/>
        </w:rPr>
        <w:t> </w:t>
      </w:r>
      <w:r>
        <w:rPr/>
        <w:t>fathers </w:t>
      </w:r>
      <w:r>
        <w:rPr>
          <w:spacing w:val="-4"/>
        </w:rPr>
        <w:t>of</w:t>
      </w:r>
      <w:r>
        <w:rPr>
          <w:spacing w:val="-10"/>
        </w:rPr>
        <w:t> </w:t>
      </w:r>
      <w:r>
        <w:rPr>
          <w:spacing w:val="-4"/>
        </w:rPr>
        <w:t>the</w:t>
      </w:r>
      <w:r>
        <w:rPr>
          <w:spacing w:val="-10"/>
        </w:rPr>
        <w:t> </w:t>
      </w:r>
      <w:r>
        <w:rPr>
          <w:spacing w:val="-4"/>
        </w:rPr>
        <w:t>Republic.</w:t>
      </w:r>
      <w:r>
        <w:rPr>
          <w:spacing w:val="-10"/>
        </w:rPr>
        <w:t> </w:t>
      </w:r>
      <w:r>
        <w:rPr>
          <w:spacing w:val="-4"/>
        </w:rPr>
        <w:t>The</w:t>
      </w:r>
      <w:r>
        <w:rPr>
          <w:spacing w:val="-7"/>
        </w:rPr>
        <w:t> </w:t>
      </w:r>
      <w:r>
        <w:rPr>
          <w:spacing w:val="-4"/>
        </w:rPr>
        <w:t>reality</w:t>
      </w:r>
      <w:r>
        <w:rPr>
          <w:spacing w:val="-8"/>
        </w:rPr>
        <w:t> </w:t>
      </w:r>
      <w:r>
        <w:rPr>
          <w:spacing w:val="-4"/>
        </w:rPr>
        <w:t>is</w:t>
      </w:r>
      <w:r>
        <w:rPr>
          <w:spacing w:val="-8"/>
        </w:rPr>
        <w:t> </w:t>
      </w:r>
      <w:r>
        <w:rPr>
          <w:spacing w:val="-4"/>
        </w:rPr>
        <w:t>that</w:t>
      </w:r>
      <w:r>
        <w:rPr>
          <w:spacing w:val="-8"/>
        </w:rPr>
        <w:t> </w:t>
      </w:r>
      <w:r>
        <w:rPr>
          <w:spacing w:val="-4"/>
        </w:rPr>
        <w:t>we</w:t>
      </w:r>
      <w:r>
        <w:rPr>
          <w:spacing w:val="-8"/>
        </w:rPr>
        <w:t> </w:t>
      </w:r>
      <w:r>
        <w:rPr>
          <w:spacing w:val="-4"/>
        </w:rPr>
        <w:t>have</w:t>
      </w:r>
      <w:r>
        <w:rPr>
          <w:spacing w:val="-8"/>
        </w:rPr>
        <w:t> </w:t>
      </w:r>
      <w:r>
        <w:rPr>
          <w:spacing w:val="-4"/>
        </w:rPr>
        <w:t>miles</w:t>
      </w:r>
      <w:r>
        <w:rPr>
          <w:spacing w:val="-8"/>
        </w:rPr>
        <w:t> </w:t>
      </w:r>
      <w:r>
        <w:rPr>
          <w:spacing w:val="-4"/>
        </w:rPr>
        <w:t>to</w:t>
      </w:r>
      <w:r>
        <w:rPr>
          <w:spacing w:val="-8"/>
        </w:rPr>
        <w:t> </w:t>
      </w:r>
      <w:r>
        <w:rPr>
          <w:spacing w:val="-4"/>
        </w:rPr>
        <w:t>go. </w:t>
      </w:r>
      <w:r>
        <w:rPr>
          <w:spacing w:val="-2"/>
        </w:rPr>
        <w:t>The</w:t>
      </w:r>
      <w:r>
        <w:rPr>
          <w:spacing w:val="-10"/>
        </w:rPr>
        <w:t> </w:t>
      </w:r>
      <w:r>
        <w:rPr>
          <w:spacing w:val="-2"/>
        </w:rPr>
        <w:t>proportion</w:t>
      </w:r>
      <w:r>
        <w:rPr>
          <w:spacing w:val="-10"/>
        </w:rPr>
        <w:t> </w:t>
      </w:r>
      <w:r>
        <w:rPr>
          <w:spacing w:val="-2"/>
        </w:rPr>
        <w:t>of</w:t>
      </w:r>
      <w:r>
        <w:rPr>
          <w:spacing w:val="-10"/>
        </w:rPr>
        <w:t> </w:t>
      </w:r>
      <w:r>
        <w:rPr>
          <w:spacing w:val="-2"/>
        </w:rPr>
        <w:t>our</w:t>
      </w:r>
      <w:r>
        <w:rPr>
          <w:spacing w:val="-10"/>
        </w:rPr>
        <w:t> </w:t>
      </w:r>
      <w:r>
        <w:rPr>
          <w:spacing w:val="-2"/>
        </w:rPr>
        <w:t>population,</w:t>
      </w:r>
      <w:r>
        <w:rPr>
          <w:spacing w:val="-10"/>
        </w:rPr>
        <w:t> </w:t>
      </w:r>
      <w:r>
        <w:rPr>
          <w:spacing w:val="-2"/>
        </w:rPr>
        <w:t>in</w:t>
      </w:r>
      <w:r>
        <w:rPr>
          <w:spacing w:val="-10"/>
        </w:rPr>
        <w:t> </w:t>
      </w:r>
      <w:r>
        <w:rPr>
          <w:spacing w:val="-2"/>
        </w:rPr>
        <w:t>the</w:t>
      </w:r>
      <w:r>
        <w:rPr>
          <w:spacing w:val="-10"/>
        </w:rPr>
        <w:t> </w:t>
      </w:r>
      <w:r>
        <w:rPr>
          <w:spacing w:val="-2"/>
        </w:rPr>
        <w:t>age</w:t>
      </w:r>
      <w:r>
        <w:rPr>
          <w:spacing w:val="-10"/>
        </w:rPr>
        <w:t> </w:t>
      </w:r>
      <w:r>
        <w:rPr>
          <w:spacing w:val="-2"/>
        </w:rPr>
        <w:t>group</w:t>
      </w:r>
      <w:r>
        <w:rPr>
          <w:spacing w:val="-10"/>
        </w:rPr>
        <w:t> </w:t>
      </w:r>
      <w:r>
        <w:rPr>
          <w:spacing w:val="-2"/>
        </w:rPr>
        <w:t>18- 24,</w:t>
      </w:r>
      <w:r>
        <w:rPr>
          <w:spacing w:val="-7"/>
        </w:rPr>
        <w:t> </w:t>
      </w:r>
      <w:r>
        <w:rPr>
          <w:spacing w:val="-2"/>
        </w:rPr>
        <w:t>that</w:t>
      </w:r>
      <w:r>
        <w:rPr>
          <w:spacing w:val="-7"/>
        </w:rPr>
        <w:t> </w:t>
      </w:r>
      <w:r>
        <w:rPr>
          <w:spacing w:val="-2"/>
        </w:rPr>
        <w:t>enters</w:t>
      </w:r>
      <w:r>
        <w:rPr>
          <w:spacing w:val="-7"/>
        </w:rPr>
        <w:t> </w:t>
      </w:r>
      <w:r>
        <w:rPr>
          <w:spacing w:val="-2"/>
        </w:rPr>
        <w:t>the</w:t>
      </w:r>
      <w:r>
        <w:rPr>
          <w:spacing w:val="-7"/>
        </w:rPr>
        <w:t> </w:t>
      </w:r>
      <w:r>
        <w:rPr>
          <w:spacing w:val="-2"/>
        </w:rPr>
        <w:t>world</w:t>
      </w:r>
      <w:r>
        <w:rPr>
          <w:spacing w:val="-7"/>
        </w:rPr>
        <w:t> </w:t>
      </w:r>
      <w:r>
        <w:rPr>
          <w:spacing w:val="-2"/>
        </w:rPr>
        <w:t>of</w:t>
      </w:r>
      <w:r>
        <w:rPr>
          <w:spacing w:val="-7"/>
        </w:rPr>
        <w:t> </w:t>
      </w:r>
      <w:r>
        <w:rPr>
          <w:spacing w:val="-2"/>
        </w:rPr>
        <w:t>higher</w:t>
      </w:r>
      <w:r>
        <w:rPr>
          <w:spacing w:val="-7"/>
        </w:rPr>
        <w:t> </w:t>
      </w:r>
      <w:r>
        <w:rPr>
          <w:spacing w:val="-2"/>
        </w:rPr>
        <w:t>education</w:t>
      </w:r>
      <w:r>
        <w:rPr>
          <w:spacing w:val="-7"/>
        </w:rPr>
        <w:t> </w:t>
      </w:r>
      <w:r>
        <w:rPr>
          <w:spacing w:val="-2"/>
        </w:rPr>
        <w:t>is</w:t>
      </w:r>
      <w:r>
        <w:rPr>
          <w:spacing w:val="-7"/>
        </w:rPr>
        <w:t> </w:t>
      </w:r>
      <w:r>
        <w:rPr>
          <w:spacing w:val="-2"/>
        </w:rPr>
        <w:t>around 7</w:t>
      </w:r>
      <w:r>
        <w:rPr>
          <w:spacing w:val="-12"/>
        </w:rPr>
        <w:t> </w:t>
      </w:r>
      <w:r>
        <w:rPr>
          <w:spacing w:val="-2"/>
        </w:rPr>
        <w:t>per</w:t>
      </w:r>
      <w:r>
        <w:rPr>
          <w:spacing w:val="-12"/>
        </w:rPr>
        <w:t> </w:t>
      </w:r>
      <w:r>
        <w:rPr>
          <w:spacing w:val="-2"/>
        </w:rPr>
        <w:t>cent,</w:t>
      </w:r>
      <w:r>
        <w:rPr>
          <w:spacing w:val="-12"/>
        </w:rPr>
        <w:t> </w:t>
      </w:r>
      <w:r>
        <w:rPr>
          <w:spacing w:val="-2"/>
        </w:rPr>
        <w:t>which</w:t>
      </w:r>
      <w:r>
        <w:rPr>
          <w:spacing w:val="-11"/>
        </w:rPr>
        <w:t> </w:t>
      </w:r>
      <w:r>
        <w:rPr>
          <w:spacing w:val="-2"/>
        </w:rPr>
        <w:t>is</w:t>
      </w:r>
      <w:r>
        <w:rPr>
          <w:spacing w:val="-12"/>
        </w:rPr>
        <w:t> </w:t>
      </w:r>
      <w:r>
        <w:rPr>
          <w:spacing w:val="-2"/>
        </w:rPr>
        <w:t>only</w:t>
      </w:r>
      <w:r>
        <w:rPr>
          <w:spacing w:val="-12"/>
        </w:rPr>
        <w:t> </w:t>
      </w:r>
      <w:r>
        <w:rPr>
          <w:spacing w:val="-2"/>
        </w:rPr>
        <w:t>one-half</w:t>
      </w:r>
      <w:r>
        <w:rPr>
          <w:spacing w:val="-12"/>
        </w:rPr>
        <w:t> </w:t>
      </w:r>
      <w:r>
        <w:rPr>
          <w:spacing w:val="-2"/>
        </w:rPr>
        <w:t>the</w:t>
      </w:r>
      <w:r>
        <w:rPr>
          <w:spacing w:val="-11"/>
        </w:rPr>
        <w:t> </w:t>
      </w:r>
      <w:r>
        <w:rPr>
          <w:spacing w:val="-2"/>
        </w:rPr>
        <w:t>average</w:t>
      </w:r>
      <w:r>
        <w:rPr>
          <w:spacing w:val="-12"/>
        </w:rPr>
        <w:t> </w:t>
      </w:r>
      <w:r>
        <w:rPr>
          <w:spacing w:val="-2"/>
        </w:rPr>
        <w:t>for</w:t>
      </w:r>
      <w:r>
        <w:rPr>
          <w:spacing w:val="-12"/>
        </w:rPr>
        <w:t> </w:t>
      </w:r>
      <w:r>
        <w:rPr>
          <w:spacing w:val="-2"/>
        </w:rPr>
        <w:t>Asia. The</w:t>
      </w:r>
      <w:r>
        <w:rPr>
          <w:spacing w:val="-10"/>
        </w:rPr>
        <w:t> </w:t>
      </w:r>
      <w:r>
        <w:rPr>
          <w:spacing w:val="-2"/>
        </w:rPr>
        <w:t>opportunities</w:t>
      </w:r>
      <w:r>
        <w:rPr>
          <w:spacing w:val="-10"/>
        </w:rPr>
        <w:t> </w:t>
      </w:r>
      <w:r>
        <w:rPr>
          <w:spacing w:val="-2"/>
        </w:rPr>
        <w:t>for</w:t>
      </w:r>
      <w:r>
        <w:rPr>
          <w:spacing w:val="-10"/>
        </w:rPr>
        <w:t> </w:t>
      </w:r>
      <w:r>
        <w:rPr>
          <w:spacing w:val="-2"/>
        </w:rPr>
        <w:t>higher</w:t>
      </w:r>
      <w:r>
        <w:rPr>
          <w:spacing w:val="-10"/>
        </w:rPr>
        <w:t> </w:t>
      </w:r>
      <w:r>
        <w:rPr>
          <w:spacing w:val="-2"/>
        </w:rPr>
        <w:t>education,</w:t>
      </w:r>
      <w:r>
        <w:rPr>
          <w:spacing w:val="-10"/>
        </w:rPr>
        <w:t> </w:t>
      </w:r>
      <w:r>
        <w:rPr>
          <w:spacing w:val="-2"/>
        </w:rPr>
        <w:t>in</w:t>
      </w:r>
      <w:r>
        <w:rPr>
          <w:spacing w:val="-10"/>
        </w:rPr>
        <w:t> </w:t>
      </w:r>
      <w:r>
        <w:rPr>
          <w:spacing w:val="-2"/>
        </w:rPr>
        <w:t>terms</w:t>
      </w:r>
      <w:r>
        <w:rPr>
          <w:spacing w:val="-10"/>
        </w:rPr>
        <w:t> </w:t>
      </w:r>
      <w:r>
        <w:rPr>
          <w:spacing w:val="-2"/>
        </w:rPr>
        <w:t>of</w:t>
      </w:r>
      <w:r>
        <w:rPr>
          <w:spacing w:val="-10"/>
        </w:rPr>
        <w:t> </w:t>
      </w:r>
      <w:r>
        <w:rPr>
          <w:spacing w:val="-2"/>
        </w:rPr>
        <w:t>the </w:t>
      </w:r>
      <w:r>
        <w:rPr>
          <w:spacing w:val="-4"/>
        </w:rPr>
        <w:t>number</w:t>
      </w:r>
      <w:r>
        <w:rPr>
          <w:spacing w:val="-10"/>
        </w:rPr>
        <w:t> </w:t>
      </w:r>
      <w:r>
        <w:rPr>
          <w:spacing w:val="-4"/>
        </w:rPr>
        <w:t>of</w:t>
      </w:r>
      <w:r>
        <w:rPr>
          <w:spacing w:val="-10"/>
        </w:rPr>
        <w:t> </w:t>
      </w:r>
      <w:r>
        <w:rPr>
          <w:spacing w:val="-4"/>
        </w:rPr>
        <w:t>places</w:t>
      </w:r>
      <w:r>
        <w:rPr>
          <w:spacing w:val="-10"/>
        </w:rPr>
        <w:t> </w:t>
      </w:r>
      <w:r>
        <w:rPr>
          <w:spacing w:val="-4"/>
        </w:rPr>
        <w:t>in</w:t>
      </w:r>
      <w:r>
        <w:rPr>
          <w:spacing w:val="-9"/>
        </w:rPr>
        <w:t> </w:t>
      </w:r>
      <w:r>
        <w:rPr>
          <w:spacing w:val="-4"/>
        </w:rPr>
        <w:t>universities,</w:t>
      </w:r>
      <w:r>
        <w:rPr>
          <w:spacing w:val="-10"/>
        </w:rPr>
        <w:t> </w:t>
      </w:r>
      <w:r>
        <w:rPr>
          <w:spacing w:val="-4"/>
        </w:rPr>
        <w:t>are</w:t>
      </w:r>
      <w:r>
        <w:rPr>
          <w:spacing w:val="-10"/>
        </w:rPr>
        <w:t> </w:t>
      </w:r>
      <w:r>
        <w:rPr>
          <w:spacing w:val="-4"/>
        </w:rPr>
        <w:t>simply</w:t>
      </w:r>
      <w:r>
        <w:rPr>
          <w:spacing w:val="-10"/>
        </w:rPr>
        <w:t> </w:t>
      </w:r>
      <w:r>
        <w:rPr>
          <w:spacing w:val="-4"/>
        </w:rPr>
        <w:t>not</w:t>
      </w:r>
      <w:r>
        <w:rPr>
          <w:spacing w:val="-9"/>
        </w:rPr>
        <w:t> </w:t>
      </w:r>
      <w:r>
        <w:rPr>
          <w:spacing w:val="-4"/>
        </w:rPr>
        <w:t>enough </w:t>
      </w:r>
      <w:r>
        <w:rPr/>
        <w:t>in relation to our needs.</w:t>
      </w:r>
      <w:r>
        <w:rPr>
          <w:spacing w:val="-2"/>
        </w:rPr>
        <w:t> </w:t>
      </w:r>
      <w:r>
        <w:rPr/>
        <w:t>What is more, the quality of higher education in most of our universities requires substantial improvement.</w:t>
      </w:r>
    </w:p>
    <w:p>
      <w:pPr>
        <w:pStyle w:val="BodyText"/>
        <w:spacing w:line="266" w:lineRule="auto" w:before="82"/>
        <w:ind w:left="318" w:right="1077"/>
        <w:jc w:val="both"/>
      </w:pPr>
      <w:r>
        <w:rPr/>
        <w:br w:type="column"/>
      </w:r>
      <w:r>
        <w:rPr/>
        <w:t>It</w:t>
      </w:r>
      <w:r>
        <w:rPr>
          <w:spacing w:val="-4"/>
        </w:rPr>
        <w:t> </w:t>
      </w:r>
      <w:r>
        <w:rPr/>
        <w:t>is</w:t>
      </w:r>
      <w:r>
        <w:rPr>
          <w:spacing w:val="-4"/>
        </w:rPr>
        <w:t> </w:t>
      </w:r>
      <w:r>
        <w:rPr/>
        <w:t>clear</w:t>
      </w:r>
      <w:r>
        <w:rPr>
          <w:spacing w:val="-4"/>
        </w:rPr>
        <w:t> </w:t>
      </w:r>
      <w:r>
        <w:rPr/>
        <w:t>that</w:t>
      </w:r>
      <w:r>
        <w:rPr>
          <w:spacing w:val="-4"/>
        </w:rPr>
        <w:t> </w:t>
      </w:r>
      <w:r>
        <w:rPr/>
        <w:t>the</w:t>
      </w:r>
      <w:r>
        <w:rPr>
          <w:spacing w:val="-4"/>
        </w:rPr>
        <w:t> </w:t>
      </w:r>
      <w:r>
        <w:rPr/>
        <w:t>system</w:t>
      </w:r>
      <w:r>
        <w:rPr>
          <w:spacing w:val="-4"/>
        </w:rPr>
        <w:t> </w:t>
      </w:r>
      <w:r>
        <w:rPr/>
        <w:t>of</w:t>
      </w:r>
      <w:r>
        <w:rPr>
          <w:spacing w:val="-4"/>
        </w:rPr>
        <w:t> </w:t>
      </w:r>
      <w:r>
        <w:rPr/>
        <w:t>higher</w:t>
      </w:r>
      <w:r>
        <w:rPr>
          <w:spacing w:val="-4"/>
        </w:rPr>
        <w:t> </w:t>
      </w:r>
      <w:r>
        <w:rPr/>
        <w:t>education</w:t>
      </w:r>
      <w:r>
        <w:rPr>
          <w:spacing w:val="-4"/>
        </w:rPr>
        <w:t> </w:t>
      </w:r>
      <w:r>
        <w:rPr/>
        <w:t>in</w:t>
      </w:r>
      <w:r>
        <w:rPr>
          <w:spacing w:val="-4"/>
        </w:rPr>
        <w:t> </w:t>
      </w:r>
      <w:r>
        <w:rPr/>
        <w:t>India </w:t>
      </w:r>
      <w:r>
        <w:rPr>
          <w:spacing w:val="-4"/>
        </w:rPr>
        <w:t>faces</w:t>
      </w:r>
      <w:r>
        <w:rPr>
          <w:spacing w:val="-10"/>
        </w:rPr>
        <w:t> </w:t>
      </w:r>
      <w:r>
        <w:rPr>
          <w:spacing w:val="-4"/>
        </w:rPr>
        <w:t>serious</w:t>
      </w:r>
      <w:r>
        <w:rPr>
          <w:spacing w:val="-10"/>
        </w:rPr>
        <w:t> </w:t>
      </w:r>
      <w:r>
        <w:rPr>
          <w:spacing w:val="-4"/>
        </w:rPr>
        <w:t>challenges.</w:t>
      </w:r>
      <w:r>
        <w:rPr>
          <w:spacing w:val="-10"/>
        </w:rPr>
        <w:t> </w:t>
      </w:r>
      <w:r>
        <w:rPr>
          <w:spacing w:val="-4"/>
        </w:rPr>
        <w:t>It</w:t>
      </w:r>
      <w:r>
        <w:rPr>
          <w:spacing w:val="-9"/>
        </w:rPr>
        <w:t> </w:t>
      </w:r>
      <w:r>
        <w:rPr>
          <w:spacing w:val="-4"/>
        </w:rPr>
        <w:t>needs</w:t>
      </w:r>
      <w:r>
        <w:rPr>
          <w:spacing w:val="-10"/>
        </w:rPr>
        <w:t> </w:t>
      </w:r>
      <w:r>
        <w:rPr>
          <w:spacing w:val="-4"/>
        </w:rPr>
        <w:t>a</w:t>
      </w:r>
      <w:r>
        <w:rPr>
          <w:spacing w:val="-10"/>
        </w:rPr>
        <w:t> </w:t>
      </w:r>
      <w:r>
        <w:rPr>
          <w:spacing w:val="-4"/>
        </w:rPr>
        <w:t>systematic</w:t>
      </w:r>
      <w:r>
        <w:rPr>
          <w:spacing w:val="-10"/>
        </w:rPr>
        <w:t> </w:t>
      </w:r>
      <w:r>
        <w:rPr>
          <w:spacing w:val="-4"/>
        </w:rPr>
        <w:t>overhaul, </w:t>
      </w:r>
      <w:r>
        <w:rPr/>
        <w:t>so that we can educate much larger numbers without </w:t>
      </w:r>
      <w:r>
        <w:rPr>
          <w:spacing w:val="-4"/>
        </w:rPr>
        <w:t>diluting</w:t>
      </w:r>
      <w:r>
        <w:rPr>
          <w:spacing w:val="-10"/>
        </w:rPr>
        <w:t> </w:t>
      </w:r>
      <w:r>
        <w:rPr>
          <w:spacing w:val="-4"/>
        </w:rPr>
        <w:t>academic</w:t>
      </w:r>
      <w:r>
        <w:rPr>
          <w:spacing w:val="-9"/>
        </w:rPr>
        <w:t> </w:t>
      </w:r>
      <w:r>
        <w:rPr>
          <w:spacing w:val="-4"/>
        </w:rPr>
        <w:t>standards.</w:t>
      </w:r>
      <w:r>
        <w:rPr>
          <w:spacing w:val="-10"/>
        </w:rPr>
        <w:t> </w:t>
      </w:r>
      <w:r>
        <w:rPr>
          <w:spacing w:val="-4"/>
        </w:rPr>
        <w:t>This</w:t>
      </w:r>
      <w:r>
        <w:rPr>
          <w:spacing w:val="-7"/>
        </w:rPr>
        <w:t> </w:t>
      </w:r>
      <w:r>
        <w:rPr>
          <w:spacing w:val="-4"/>
        </w:rPr>
        <w:t>is</w:t>
      </w:r>
      <w:r>
        <w:rPr>
          <w:spacing w:val="-7"/>
        </w:rPr>
        <w:t> </w:t>
      </w:r>
      <w:r>
        <w:rPr>
          <w:spacing w:val="-4"/>
        </w:rPr>
        <w:t>imperative</w:t>
      </w:r>
      <w:r>
        <w:rPr>
          <w:spacing w:val="-7"/>
        </w:rPr>
        <w:t> </w:t>
      </w:r>
      <w:r>
        <w:rPr>
          <w:spacing w:val="-4"/>
        </w:rPr>
        <w:t>because </w:t>
      </w:r>
      <w:r>
        <w:rPr/>
        <w:t>the transformation of economy and society in the</w:t>
      </w:r>
      <w:r>
        <w:rPr>
          <w:spacing w:val="40"/>
        </w:rPr>
        <w:t> </w:t>
      </w:r>
      <w:r>
        <w:rPr/>
        <w:t>21st</w:t>
      </w:r>
      <w:r>
        <w:rPr>
          <w:spacing w:val="-4"/>
        </w:rPr>
        <w:t> </w:t>
      </w:r>
      <w:r>
        <w:rPr/>
        <w:t>century</w:t>
      </w:r>
      <w:r>
        <w:rPr>
          <w:spacing w:val="-4"/>
        </w:rPr>
        <w:t> </w:t>
      </w:r>
      <w:r>
        <w:rPr/>
        <w:t>would</w:t>
      </w:r>
      <w:r>
        <w:rPr>
          <w:spacing w:val="-4"/>
        </w:rPr>
        <w:t> </w:t>
      </w:r>
      <w:r>
        <w:rPr/>
        <w:t>depend,</w:t>
      </w:r>
      <w:r>
        <w:rPr>
          <w:spacing w:val="-4"/>
        </w:rPr>
        <w:t> </w:t>
      </w:r>
      <w:r>
        <w:rPr/>
        <w:t>in</w:t>
      </w:r>
      <w:r>
        <w:rPr>
          <w:spacing w:val="-4"/>
        </w:rPr>
        <w:t> </w:t>
      </w:r>
      <w:r>
        <w:rPr/>
        <w:t>significant</w:t>
      </w:r>
      <w:r>
        <w:rPr>
          <w:spacing w:val="-4"/>
        </w:rPr>
        <w:t> </w:t>
      </w:r>
      <w:r>
        <w:rPr/>
        <w:t>part,</w:t>
      </w:r>
      <w:r>
        <w:rPr>
          <w:spacing w:val="-4"/>
        </w:rPr>
        <w:t> </w:t>
      </w:r>
      <w:r>
        <w:rPr/>
        <w:t>on</w:t>
      </w:r>
      <w:r>
        <w:rPr>
          <w:spacing w:val="-4"/>
        </w:rPr>
        <w:t> </w:t>
      </w:r>
      <w:r>
        <w:rPr/>
        <w:t>the spread</w:t>
      </w:r>
      <w:r>
        <w:rPr>
          <w:spacing w:val="-14"/>
        </w:rPr>
        <w:t> </w:t>
      </w:r>
      <w:r>
        <w:rPr/>
        <w:t>and</w:t>
      </w:r>
      <w:r>
        <w:rPr>
          <w:spacing w:val="-14"/>
        </w:rPr>
        <w:t> </w:t>
      </w:r>
      <w:r>
        <w:rPr/>
        <w:t>the</w:t>
      </w:r>
      <w:r>
        <w:rPr>
          <w:spacing w:val="-14"/>
        </w:rPr>
        <w:t> </w:t>
      </w:r>
      <w:r>
        <w:rPr/>
        <w:t>quality</w:t>
      </w:r>
      <w:r>
        <w:rPr>
          <w:spacing w:val="-13"/>
        </w:rPr>
        <w:t> </w:t>
      </w:r>
      <w:r>
        <w:rPr/>
        <w:t>of</w:t>
      </w:r>
      <w:r>
        <w:rPr>
          <w:spacing w:val="-14"/>
        </w:rPr>
        <w:t> </w:t>
      </w:r>
      <w:r>
        <w:rPr/>
        <w:t>education</w:t>
      </w:r>
      <w:r>
        <w:rPr>
          <w:spacing w:val="-14"/>
        </w:rPr>
        <w:t> </w:t>
      </w:r>
      <w:r>
        <w:rPr/>
        <w:t>among</w:t>
      </w:r>
      <w:r>
        <w:rPr>
          <w:spacing w:val="-14"/>
        </w:rPr>
        <w:t> </w:t>
      </w:r>
      <w:r>
        <w:rPr/>
        <w:t>our</w:t>
      </w:r>
      <w:r>
        <w:rPr>
          <w:spacing w:val="-13"/>
        </w:rPr>
        <w:t> </w:t>
      </w:r>
      <w:r>
        <w:rPr/>
        <w:t>people, </w:t>
      </w:r>
      <w:r>
        <w:rPr>
          <w:spacing w:val="-2"/>
        </w:rPr>
        <w:t>particularly</w:t>
      </w:r>
      <w:r>
        <w:rPr>
          <w:spacing w:val="-11"/>
        </w:rPr>
        <w:t> </w:t>
      </w:r>
      <w:r>
        <w:rPr>
          <w:spacing w:val="-2"/>
        </w:rPr>
        <w:t>in</w:t>
      </w:r>
      <w:r>
        <w:rPr>
          <w:spacing w:val="-11"/>
        </w:rPr>
        <w:t> </w:t>
      </w:r>
      <w:r>
        <w:rPr>
          <w:spacing w:val="-2"/>
        </w:rPr>
        <w:t>the</w:t>
      </w:r>
      <w:r>
        <w:rPr>
          <w:spacing w:val="-11"/>
        </w:rPr>
        <w:t> </w:t>
      </w:r>
      <w:r>
        <w:rPr>
          <w:spacing w:val="-2"/>
        </w:rPr>
        <w:t>sphere</w:t>
      </w:r>
      <w:r>
        <w:rPr>
          <w:spacing w:val="-11"/>
        </w:rPr>
        <w:t> </w:t>
      </w:r>
      <w:r>
        <w:rPr>
          <w:spacing w:val="-2"/>
        </w:rPr>
        <w:t>of</w:t>
      </w:r>
      <w:r>
        <w:rPr>
          <w:spacing w:val="-11"/>
        </w:rPr>
        <w:t> </w:t>
      </w:r>
      <w:r>
        <w:rPr>
          <w:spacing w:val="-2"/>
        </w:rPr>
        <w:t>higher</w:t>
      </w:r>
      <w:r>
        <w:rPr>
          <w:spacing w:val="-11"/>
        </w:rPr>
        <w:t> </w:t>
      </w:r>
      <w:r>
        <w:rPr>
          <w:spacing w:val="-2"/>
        </w:rPr>
        <w:t>education.</w:t>
      </w:r>
      <w:r>
        <w:rPr>
          <w:spacing w:val="-11"/>
        </w:rPr>
        <w:t> </w:t>
      </w:r>
      <w:r>
        <w:rPr>
          <w:spacing w:val="-2"/>
        </w:rPr>
        <w:t>It</w:t>
      </w:r>
      <w:r>
        <w:rPr>
          <w:spacing w:val="-11"/>
        </w:rPr>
        <w:t> </w:t>
      </w:r>
      <w:r>
        <w:rPr>
          <w:spacing w:val="-2"/>
        </w:rPr>
        <w:t>is</w:t>
      </w:r>
      <w:r>
        <w:rPr>
          <w:spacing w:val="-11"/>
        </w:rPr>
        <w:t> </w:t>
      </w:r>
      <w:r>
        <w:rPr>
          <w:spacing w:val="-2"/>
        </w:rPr>
        <w:t>only </w:t>
      </w:r>
      <w:r>
        <w:rPr>
          <w:spacing w:val="-4"/>
        </w:rPr>
        <w:t>an</w:t>
      </w:r>
      <w:r>
        <w:rPr>
          <w:spacing w:val="-12"/>
        </w:rPr>
        <w:t> </w:t>
      </w:r>
      <w:r>
        <w:rPr>
          <w:spacing w:val="-4"/>
        </w:rPr>
        <w:t>inclusive</w:t>
      </w:r>
      <w:r>
        <w:rPr>
          <w:spacing w:val="-10"/>
        </w:rPr>
        <w:t> </w:t>
      </w:r>
      <w:r>
        <w:rPr>
          <w:spacing w:val="-4"/>
        </w:rPr>
        <w:t>society</w:t>
      </w:r>
      <w:r>
        <w:rPr>
          <w:spacing w:val="-10"/>
        </w:rPr>
        <w:t> </w:t>
      </w:r>
      <w:r>
        <w:rPr>
          <w:spacing w:val="-4"/>
        </w:rPr>
        <w:t>that</w:t>
      </w:r>
      <w:r>
        <w:rPr>
          <w:spacing w:val="-9"/>
        </w:rPr>
        <w:t> </w:t>
      </w:r>
      <w:r>
        <w:rPr>
          <w:spacing w:val="-4"/>
        </w:rPr>
        <w:t>can</w:t>
      </w:r>
      <w:r>
        <w:rPr>
          <w:spacing w:val="-10"/>
        </w:rPr>
        <w:t> </w:t>
      </w:r>
      <w:r>
        <w:rPr>
          <w:spacing w:val="-4"/>
        </w:rPr>
        <w:t>provide</w:t>
      </w:r>
      <w:r>
        <w:rPr>
          <w:spacing w:val="-10"/>
        </w:rPr>
        <w:t> </w:t>
      </w:r>
      <w:r>
        <w:rPr>
          <w:spacing w:val="-4"/>
        </w:rPr>
        <w:t>the</w:t>
      </w:r>
      <w:r>
        <w:rPr>
          <w:spacing w:val="-10"/>
        </w:rPr>
        <w:t> </w:t>
      </w:r>
      <w:r>
        <w:rPr>
          <w:spacing w:val="-4"/>
        </w:rPr>
        <w:t>foundations</w:t>
      </w:r>
      <w:r>
        <w:rPr>
          <w:spacing w:val="-9"/>
        </w:rPr>
        <w:t> </w:t>
      </w:r>
      <w:r>
        <w:rPr>
          <w:spacing w:val="-4"/>
        </w:rPr>
        <w:t>for </w:t>
      </w:r>
      <w:r>
        <w:rPr/>
        <w:t>a knowledge society.</w:t>
      </w:r>
    </w:p>
    <w:p>
      <w:pPr>
        <w:pStyle w:val="BodyText"/>
        <w:spacing w:before="19"/>
      </w:pPr>
    </w:p>
    <w:p>
      <w:pPr>
        <w:pStyle w:val="BodyText"/>
        <w:spacing w:line="266" w:lineRule="auto"/>
        <w:ind w:left="318" w:right="1077"/>
        <w:jc w:val="both"/>
      </w:pPr>
      <w:r>
        <w:rPr/>
        <w:t>The</w:t>
      </w:r>
      <w:r>
        <w:rPr>
          <w:spacing w:val="-14"/>
        </w:rPr>
        <w:t> </w:t>
      </w:r>
      <w:r>
        <w:rPr/>
        <w:t>challenges</w:t>
      </w:r>
      <w:r>
        <w:rPr>
          <w:spacing w:val="-14"/>
        </w:rPr>
        <w:t> </w:t>
      </w:r>
      <w:r>
        <w:rPr/>
        <w:t>that</w:t>
      </w:r>
      <w:r>
        <w:rPr>
          <w:spacing w:val="-14"/>
        </w:rPr>
        <w:t> </w:t>
      </w:r>
      <w:r>
        <w:rPr/>
        <w:t>confront</w:t>
      </w:r>
      <w:r>
        <w:rPr>
          <w:spacing w:val="-13"/>
        </w:rPr>
        <w:t> </w:t>
      </w:r>
      <w:r>
        <w:rPr/>
        <w:t>higher</w:t>
      </w:r>
      <w:r>
        <w:rPr>
          <w:spacing w:val="-14"/>
        </w:rPr>
        <w:t> </w:t>
      </w:r>
      <w:r>
        <w:rPr/>
        <w:t>education</w:t>
      </w:r>
      <w:r>
        <w:rPr>
          <w:spacing w:val="-14"/>
        </w:rPr>
        <w:t> </w:t>
      </w:r>
      <w:r>
        <w:rPr/>
        <w:t>in</w:t>
      </w:r>
      <w:r>
        <w:rPr>
          <w:spacing w:val="-14"/>
        </w:rPr>
        <w:t> </w:t>
      </w:r>
      <w:r>
        <w:rPr/>
        <w:t>India </w:t>
      </w:r>
      <w:r>
        <w:rPr>
          <w:spacing w:val="-10"/>
        </w:rPr>
        <w:t>are</w:t>
      </w:r>
      <w:r>
        <w:rPr>
          <w:spacing w:val="-2"/>
        </w:rPr>
        <w:t> </w:t>
      </w:r>
      <w:r>
        <w:rPr>
          <w:spacing w:val="-10"/>
        </w:rPr>
        <w:t>clear.</w:t>
      </w:r>
      <w:r>
        <w:rPr>
          <w:spacing w:val="-2"/>
        </w:rPr>
        <w:t> </w:t>
      </w:r>
      <w:r>
        <w:rPr>
          <w:spacing w:val="-10"/>
        </w:rPr>
        <w:t>It</w:t>
      </w:r>
      <w:r>
        <w:rPr>
          <w:spacing w:val="-2"/>
        </w:rPr>
        <w:t> </w:t>
      </w:r>
      <w:r>
        <w:rPr>
          <w:spacing w:val="-10"/>
        </w:rPr>
        <w:t>needs</w:t>
      </w:r>
      <w:r>
        <w:rPr>
          <w:spacing w:val="-2"/>
        </w:rPr>
        <w:t> </w:t>
      </w:r>
      <w:r>
        <w:rPr>
          <w:spacing w:val="-10"/>
        </w:rPr>
        <w:t>a</w:t>
      </w:r>
      <w:r>
        <w:rPr>
          <w:spacing w:val="-2"/>
        </w:rPr>
        <w:t> </w:t>
      </w:r>
      <w:r>
        <w:rPr>
          <w:spacing w:val="-10"/>
        </w:rPr>
        <w:t>massive</w:t>
      </w:r>
      <w:r>
        <w:rPr>
          <w:spacing w:val="-2"/>
        </w:rPr>
        <w:t> </w:t>
      </w:r>
      <w:r>
        <w:rPr>
          <w:spacing w:val="-10"/>
        </w:rPr>
        <w:t>expansion</w:t>
      </w:r>
      <w:r>
        <w:rPr>
          <w:spacing w:val="-2"/>
        </w:rPr>
        <w:t> </w:t>
      </w:r>
      <w:r>
        <w:rPr>
          <w:spacing w:val="-10"/>
        </w:rPr>
        <w:t>of</w:t>
      </w:r>
      <w:r>
        <w:rPr>
          <w:spacing w:val="-2"/>
        </w:rPr>
        <w:t> </w:t>
      </w:r>
      <w:r>
        <w:rPr>
          <w:spacing w:val="-10"/>
        </w:rPr>
        <w:t>opportunities</w:t>
      </w:r>
      <w:r>
        <w:rPr>
          <w:spacing w:val="-2"/>
        </w:rPr>
        <w:t> </w:t>
      </w:r>
      <w:r>
        <w:rPr>
          <w:spacing w:val="-10"/>
        </w:rPr>
        <w:t>for </w:t>
      </w:r>
      <w:r>
        <w:rPr>
          <w:spacing w:val="-2"/>
        </w:rPr>
        <w:t>higher</w:t>
      </w:r>
      <w:r>
        <w:rPr>
          <w:spacing w:val="-6"/>
        </w:rPr>
        <w:t> </w:t>
      </w:r>
      <w:r>
        <w:rPr>
          <w:spacing w:val="-2"/>
        </w:rPr>
        <w:t>education,</w:t>
      </w:r>
      <w:r>
        <w:rPr>
          <w:spacing w:val="-6"/>
        </w:rPr>
        <w:t> </w:t>
      </w:r>
      <w:r>
        <w:rPr>
          <w:spacing w:val="-2"/>
        </w:rPr>
        <w:t>to</w:t>
      </w:r>
      <w:r>
        <w:rPr>
          <w:spacing w:val="-6"/>
        </w:rPr>
        <w:t> </w:t>
      </w:r>
      <w:r>
        <w:rPr>
          <w:spacing w:val="-2"/>
        </w:rPr>
        <w:t>1500</w:t>
      </w:r>
      <w:r>
        <w:rPr>
          <w:spacing w:val="-6"/>
        </w:rPr>
        <w:t> </w:t>
      </w:r>
      <w:r>
        <w:rPr>
          <w:spacing w:val="-2"/>
        </w:rPr>
        <w:t>universities</w:t>
      </w:r>
      <w:r>
        <w:rPr>
          <w:spacing w:val="-6"/>
        </w:rPr>
        <w:t> </w:t>
      </w:r>
      <w:r>
        <w:rPr>
          <w:spacing w:val="-2"/>
        </w:rPr>
        <w:t>nationwide,</w:t>
      </w:r>
      <w:r>
        <w:rPr>
          <w:spacing w:val="-6"/>
        </w:rPr>
        <w:t> </w:t>
      </w:r>
      <w:r>
        <w:rPr>
          <w:spacing w:val="-2"/>
        </w:rPr>
        <w:t>that </w:t>
      </w:r>
      <w:r>
        <w:rPr>
          <w:spacing w:val="-6"/>
        </w:rPr>
        <w:t>would enable India to attain a gross enrolment ratio of at </w:t>
      </w:r>
      <w:r>
        <w:rPr>
          <w:spacing w:val="-2"/>
        </w:rPr>
        <w:t>least</w:t>
      </w:r>
      <w:r>
        <w:rPr>
          <w:spacing w:val="-10"/>
        </w:rPr>
        <w:t> </w:t>
      </w:r>
      <w:r>
        <w:rPr>
          <w:spacing w:val="-2"/>
        </w:rPr>
        <w:t>15</w:t>
      </w:r>
      <w:r>
        <w:rPr>
          <w:spacing w:val="-10"/>
        </w:rPr>
        <w:t> </w:t>
      </w:r>
      <w:r>
        <w:rPr>
          <w:spacing w:val="-2"/>
        </w:rPr>
        <w:t>per</w:t>
      </w:r>
      <w:r>
        <w:rPr>
          <w:spacing w:val="-10"/>
        </w:rPr>
        <w:t> </w:t>
      </w:r>
      <w:r>
        <w:rPr>
          <w:spacing w:val="-2"/>
        </w:rPr>
        <w:t>cent</w:t>
      </w:r>
      <w:r>
        <w:rPr>
          <w:spacing w:val="-10"/>
        </w:rPr>
        <w:t> </w:t>
      </w:r>
      <w:r>
        <w:rPr>
          <w:spacing w:val="-2"/>
        </w:rPr>
        <w:t>by</w:t>
      </w:r>
      <w:r>
        <w:rPr>
          <w:spacing w:val="-10"/>
        </w:rPr>
        <w:t> </w:t>
      </w:r>
      <w:r>
        <w:rPr>
          <w:spacing w:val="-2"/>
        </w:rPr>
        <w:t>2015.</w:t>
      </w:r>
      <w:r>
        <w:rPr>
          <w:spacing w:val="-10"/>
        </w:rPr>
        <w:t> </w:t>
      </w:r>
      <w:r>
        <w:rPr>
          <w:spacing w:val="-2"/>
        </w:rPr>
        <w:t>It</w:t>
      </w:r>
      <w:r>
        <w:rPr>
          <w:spacing w:val="-10"/>
        </w:rPr>
        <w:t> </w:t>
      </w:r>
      <w:r>
        <w:rPr>
          <w:spacing w:val="-2"/>
        </w:rPr>
        <w:t>is</w:t>
      </w:r>
      <w:r>
        <w:rPr>
          <w:spacing w:val="-10"/>
        </w:rPr>
        <w:t> </w:t>
      </w:r>
      <w:r>
        <w:rPr>
          <w:spacing w:val="-2"/>
        </w:rPr>
        <w:t>just</w:t>
      </w:r>
      <w:r>
        <w:rPr>
          <w:spacing w:val="-10"/>
        </w:rPr>
        <w:t> </w:t>
      </w:r>
      <w:r>
        <w:rPr>
          <w:spacing w:val="-2"/>
        </w:rPr>
        <w:t>as</w:t>
      </w:r>
      <w:r>
        <w:rPr>
          <w:spacing w:val="-10"/>
        </w:rPr>
        <w:t> </w:t>
      </w:r>
      <w:r>
        <w:rPr>
          <w:spacing w:val="-2"/>
        </w:rPr>
        <w:t>important</w:t>
      </w:r>
      <w:r>
        <w:rPr>
          <w:spacing w:val="-10"/>
        </w:rPr>
        <w:t> </w:t>
      </w:r>
      <w:r>
        <w:rPr>
          <w:spacing w:val="-2"/>
        </w:rPr>
        <w:t>to</w:t>
      </w:r>
      <w:r>
        <w:rPr>
          <w:spacing w:val="-10"/>
        </w:rPr>
        <w:t> </w:t>
      </w:r>
      <w:r>
        <w:rPr>
          <w:spacing w:val="-2"/>
        </w:rPr>
        <w:t>raise </w:t>
      </w:r>
      <w:r>
        <w:rPr>
          <w:spacing w:val="-10"/>
        </w:rPr>
        <w:t>the</w:t>
      </w:r>
      <w:r>
        <w:rPr>
          <w:spacing w:val="-1"/>
        </w:rPr>
        <w:t> </w:t>
      </w:r>
      <w:r>
        <w:rPr>
          <w:spacing w:val="-10"/>
        </w:rPr>
        <w:t>average</w:t>
      </w:r>
      <w:r>
        <w:rPr>
          <w:spacing w:val="-1"/>
        </w:rPr>
        <w:t> </w:t>
      </w:r>
      <w:r>
        <w:rPr>
          <w:spacing w:val="-10"/>
        </w:rPr>
        <w:t>quality</w:t>
      </w:r>
      <w:r>
        <w:rPr>
          <w:spacing w:val="-1"/>
        </w:rPr>
        <w:t> </w:t>
      </w:r>
      <w:r>
        <w:rPr>
          <w:spacing w:val="-10"/>
        </w:rPr>
        <w:t>of</w:t>
      </w:r>
      <w:r>
        <w:rPr>
          <w:spacing w:val="-1"/>
        </w:rPr>
        <w:t> </w:t>
      </w:r>
      <w:r>
        <w:rPr>
          <w:spacing w:val="-10"/>
        </w:rPr>
        <w:t>higher</w:t>
      </w:r>
      <w:r>
        <w:rPr>
          <w:spacing w:val="-1"/>
        </w:rPr>
        <w:t> </w:t>
      </w:r>
      <w:r>
        <w:rPr>
          <w:spacing w:val="-10"/>
        </w:rPr>
        <w:t>education</w:t>
      </w:r>
      <w:r>
        <w:rPr>
          <w:spacing w:val="-1"/>
        </w:rPr>
        <w:t> </w:t>
      </w:r>
      <w:r>
        <w:rPr>
          <w:spacing w:val="-10"/>
        </w:rPr>
        <w:t>in</w:t>
      </w:r>
      <w:r>
        <w:rPr>
          <w:spacing w:val="-1"/>
        </w:rPr>
        <w:t> </w:t>
      </w:r>
      <w:r>
        <w:rPr>
          <w:spacing w:val="-10"/>
        </w:rPr>
        <w:t>every</w:t>
      </w:r>
      <w:r>
        <w:rPr>
          <w:spacing w:val="-1"/>
        </w:rPr>
        <w:t> </w:t>
      </w:r>
      <w:r>
        <w:rPr>
          <w:spacing w:val="-10"/>
        </w:rPr>
        <w:t>sphere.</w:t>
      </w:r>
      <w:r>
        <w:rPr>
          <w:spacing w:val="-1"/>
        </w:rPr>
        <w:t> </w:t>
      </w:r>
      <w:r>
        <w:rPr>
          <w:spacing w:val="-10"/>
        </w:rPr>
        <w:t>At </w:t>
      </w:r>
      <w:r>
        <w:rPr>
          <w:spacing w:val="-6"/>
        </w:rPr>
        <w:t>the same time, it is essential to create institutions that are exemplars</w:t>
      </w:r>
      <w:r>
        <w:rPr>
          <w:spacing w:val="-8"/>
        </w:rPr>
        <w:t> </w:t>
      </w:r>
      <w:r>
        <w:rPr>
          <w:spacing w:val="-6"/>
        </w:rPr>
        <w:t>of</w:t>
      </w:r>
      <w:r>
        <w:rPr>
          <w:spacing w:val="-8"/>
        </w:rPr>
        <w:t> </w:t>
      </w:r>
      <w:r>
        <w:rPr>
          <w:spacing w:val="-6"/>
        </w:rPr>
        <w:t>excellence</w:t>
      </w:r>
      <w:r>
        <w:rPr>
          <w:spacing w:val="-8"/>
        </w:rPr>
        <w:t> </w:t>
      </w:r>
      <w:r>
        <w:rPr>
          <w:spacing w:val="-6"/>
        </w:rPr>
        <w:t>at</w:t>
      </w:r>
      <w:r>
        <w:rPr>
          <w:spacing w:val="-7"/>
        </w:rPr>
        <w:t> </w:t>
      </w:r>
      <w:r>
        <w:rPr>
          <w:spacing w:val="-6"/>
        </w:rPr>
        <w:t>par</w:t>
      </w:r>
      <w:r>
        <w:rPr>
          <w:spacing w:val="-8"/>
        </w:rPr>
        <w:t> </w:t>
      </w:r>
      <w:r>
        <w:rPr>
          <w:spacing w:val="-6"/>
        </w:rPr>
        <w:t>with</w:t>
      </w:r>
      <w:r>
        <w:rPr>
          <w:spacing w:val="-8"/>
        </w:rPr>
        <w:t> </w:t>
      </w:r>
      <w:r>
        <w:rPr>
          <w:spacing w:val="-6"/>
        </w:rPr>
        <w:t>the</w:t>
      </w:r>
      <w:r>
        <w:rPr>
          <w:spacing w:val="-8"/>
        </w:rPr>
        <w:t> </w:t>
      </w:r>
      <w:r>
        <w:rPr>
          <w:spacing w:val="-6"/>
        </w:rPr>
        <w:t>best</w:t>
      </w:r>
      <w:r>
        <w:rPr>
          <w:spacing w:val="-7"/>
        </w:rPr>
        <w:t> </w:t>
      </w:r>
      <w:r>
        <w:rPr>
          <w:spacing w:val="-6"/>
        </w:rPr>
        <w:t>in</w:t>
      </w:r>
      <w:r>
        <w:rPr>
          <w:spacing w:val="-8"/>
        </w:rPr>
        <w:t> </w:t>
      </w:r>
      <w:r>
        <w:rPr>
          <w:spacing w:val="-6"/>
        </w:rPr>
        <w:t>the</w:t>
      </w:r>
      <w:r>
        <w:rPr>
          <w:spacing w:val="-8"/>
        </w:rPr>
        <w:t> </w:t>
      </w:r>
      <w:r>
        <w:rPr>
          <w:spacing w:val="-6"/>
        </w:rPr>
        <w:t>world. </w:t>
      </w:r>
      <w:r>
        <w:rPr>
          <w:spacing w:val="-4"/>
        </w:rPr>
        <w:t>In</w:t>
      </w:r>
      <w:r>
        <w:rPr>
          <w:spacing w:val="-8"/>
        </w:rPr>
        <w:t> </w:t>
      </w:r>
      <w:r>
        <w:rPr>
          <w:spacing w:val="-4"/>
        </w:rPr>
        <w:t>the</w:t>
      </w:r>
      <w:r>
        <w:rPr>
          <w:spacing w:val="-8"/>
        </w:rPr>
        <w:t> </w:t>
      </w:r>
      <w:r>
        <w:rPr>
          <w:spacing w:val="-4"/>
        </w:rPr>
        <w:t>pursuit</w:t>
      </w:r>
      <w:r>
        <w:rPr>
          <w:spacing w:val="-8"/>
        </w:rPr>
        <w:t> </w:t>
      </w:r>
      <w:r>
        <w:rPr>
          <w:spacing w:val="-4"/>
        </w:rPr>
        <w:t>of</w:t>
      </w:r>
      <w:r>
        <w:rPr>
          <w:spacing w:val="-8"/>
        </w:rPr>
        <w:t> </w:t>
      </w:r>
      <w:r>
        <w:rPr>
          <w:spacing w:val="-4"/>
        </w:rPr>
        <w:t>these</w:t>
      </w:r>
      <w:r>
        <w:rPr>
          <w:spacing w:val="-8"/>
        </w:rPr>
        <w:t> </w:t>
      </w:r>
      <w:r>
        <w:rPr>
          <w:spacing w:val="-4"/>
        </w:rPr>
        <w:t>objectives,</w:t>
      </w:r>
      <w:r>
        <w:rPr>
          <w:spacing w:val="-8"/>
        </w:rPr>
        <w:t> </w:t>
      </w:r>
      <w:r>
        <w:rPr>
          <w:spacing w:val="-4"/>
        </w:rPr>
        <w:t>providing</w:t>
      </w:r>
      <w:r>
        <w:rPr>
          <w:spacing w:val="-8"/>
        </w:rPr>
        <w:t> </w:t>
      </w:r>
      <w:r>
        <w:rPr>
          <w:spacing w:val="-4"/>
        </w:rPr>
        <w:t>people</w:t>
      </w:r>
      <w:r>
        <w:rPr>
          <w:spacing w:val="-8"/>
        </w:rPr>
        <w:t> </w:t>
      </w:r>
      <w:r>
        <w:rPr>
          <w:spacing w:val="-4"/>
        </w:rPr>
        <w:t>with </w:t>
      </w:r>
      <w:r>
        <w:rPr>
          <w:spacing w:val="-10"/>
        </w:rPr>
        <w:t>access</w:t>
      </w:r>
      <w:r>
        <w:rPr>
          <w:spacing w:val="-4"/>
        </w:rPr>
        <w:t> </w:t>
      </w:r>
      <w:r>
        <w:rPr>
          <w:spacing w:val="-10"/>
        </w:rPr>
        <w:t>to</w:t>
      </w:r>
      <w:r>
        <w:rPr>
          <w:spacing w:val="-3"/>
        </w:rPr>
        <w:t> </w:t>
      </w:r>
      <w:r>
        <w:rPr>
          <w:spacing w:val="-10"/>
        </w:rPr>
        <w:t>higher</w:t>
      </w:r>
      <w:r>
        <w:rPr>
          <w:spacing w:val="-4"/>
        </w:rPr>
        <w:t> </w:t>
      </w:r>
      <w:r>
        <w:rPr>
          <w:spacing w:val="-10"/>
        </w:rPr>
        <w:t>education</w:t>
      </w:r>
      <w:r>
        <w:rPr>
          <w:spacing w:val="-3"/>
        </w:rPr>
        <w:t> </w:t>
      </w:r>
      <w:r>
        <w:rPr>
          <w:spacing w:val="-10"/>
        </w:rPr>
        <w:t>in</w:t>
      </w:r>
      <w:r>
        <w:rPr>
          <w:spacing w:val="-4"/>
        </w:rPr>
        <w:t> </w:t>
      </w:r>
      <w:r>
        <w:rPr>
          <w:spacing w:val="-10"/>
        </w:rPr>
        <w:t>a</w:t>
      </w:r>
      <w:r>
        <w:rPr>
          <w:spacing w:val="-3"/>
        </w:rPr>
        <w:t> </w:t>
      </w:r>
      <w:r>
        <w:rPr>
          <w:spacing w:val="-10"/>
        </w:rPr>
        <w:t>socially</w:t>
      </w:r>
      <w:r>
        <w:rPr>
          <w:spacing w:val="-4"/>
        </w:rPr>
        <w:t> </w:t>
      </w:r>
      <w:r>
        <w:rPr>
          <w:spacing w:val="-10"/>
        </w:rPr>
        <w:t>inclusive</w:t>
      </w:r>
      <w:r>
        <w:rPr>
          <w:spacing w:val="-3"/>
        </w:rPr>
        <w:t> </w:t>
      </w:r>
      <w:r>
        <w:rPr>
          <w:spacing w:val="-10"/>
        </w:rPr>
        <w:t>manner</w:t>
      </w:r>
      <w:r>
        <w:rPr>
          <w:spacing w:val="-4"/>
        </w:rPr>
        <w:t> </w:t>
      </w:r>
      <w:r>
        <w:rPr>
          <w:spacing w:val="-10"/>
        </w:rPr>
        <w:t>is </w:t>
      </w:r>
      <w:r>
        <w:rPr>
          <w:spacing w:val="-6"/>
        </w:rPr>
        <w:t>imperative.</w:t>
      </w:r>
      <w:r>
        <w:rPr>
          <w:spacing w:val="-8"/>
        </w:rPr>
        <w:t> </w:t>
      </w:r>
      <w:r>
        <w:rPr>
          <w:spacing w:val="-6"/>
        </w:rPr>
        <w:t>The</w:t>
      </w:r>
      <w:r>
        <w:rPr>
          <w:spacing w:val="-8"/>
        </w:rPr>
        <w:t> </w:t>
      </w:r>
      <w:r>
        <w:rPr>
          <w:spacing w:val="-6"/>
        </w:rPr>
        <w:t>realisation</w:t>
      </w:r>
      <w:r>
        <w:rPr>
          <w:spacing w:val="-8"/>
        </w:rPr>
        <w:t> </w:t>
      </w:r>
      <w:r>
        <w:rPr>
          <w:spacing w:val="-6"/>
        </w:rPr>
        <w:t>of</w:t>
      </w:r>
      <w:r>
        <w:rPr>
          <w:spacing w:val="-7"/>
        </w:rPr>
        <w:t> </w:t>
      </w:r>
      <w:r>
        <w:rPr>
          <w:spacing w:val="-6"/>
        </w:rPr>
        <w:t>these</w:t>
      </w:r>
      <w:r>
        <w:rPr>
          <w:spacing w:val="-8"/>
        </w:rPr>
        <w:t> </w:t>
      </w:r>
      <w:r>
        <w:rPr>
          <w:spacing w:val="-6"/>
        </w:rPr>
        <w:t>objectives,</w:t>
      </w:r>
      <w:r>
        <w:rPr>
          <w:spacing w:val="-8"/>
        </w:rPr>
        <w:t> </w:t>
      </w:r>
      <w:r>
        <w:rPr>
          <w:spacing w:val="-6"/>
        </w:rPr>
        <w:t>combined </w:t>
      </w:r>
      <w:r>
        <w:rPr/>
        <w:t>with access, would not only develop the skills and </w:t>
      </w:r>
      <w:r>
        <w:rPr>
          <w:spacing w:val="-8"/>
        </w:rPr>
        <w:t>capabilities</w:t>
      </w:r>
      <w:r>
        <w:rPr>
          <w:spacing w:val="-4"/>
        </w:rPr>
        <w:t> </w:t>
      </w:r>
      <w:r>
        <w:rPr>
          <w:spacing w:val="-8"/>
        </w:rPr>
        <w:t>we</w:t>
      </w:r>
      <w:r>
        <w:rPr>
          <w:spacing w:val="-4"/>
        </w:rPr>
        <w:t> </w:t>
      </w:r>
      <w:r>
        <w:rPr>
          <w:spacing w:val="-8"/>
        </w:rPr>
        <w:t>need</w:t>
      </w:r>
      <w:r>
        <w:rPr>
          <w:spacing w:val="-4"/>
        </w:rPr>
        <w:t> </w:t>
      </w:r>
      <w:r>
        <w:rPr>
          <w:spacing w:val="-8"/>
        </w:rPr>
        <w:t>for</w:t>
      </w:r>
      <w:r>
        <w:rPr>
          <w:spacing w:val="-4"/>
        </w:rPr>
        <w:t> </w:t>
      </w:r>
      <w:r>
        <w:rPr>
          <w:spacing w:val="-8"/>
        </w:rPr>
        <w:t>the</w:t>
      </w:r>
      <w:r>
        <w:rPr>
          <w:spacing w:val="-4"/>
        </w:rPr>
        <w:t> </w:t>
      </w:r>
      <w:r>
        <w:rPr>
          <w:spacing w:val="-8"/>
        </w:rPr>
        <w:t>economy</w:t>
      </w:r>
      <w:r>
        <w:rPr>
          <w:spacing w:val="-4"/>
        </w:rPr>
        <w:t> </w:t>
      </w:r>
      <w:r>
        <w:rPr>
          <w:spacing w:val="-8"/>
        </w:rPr>
        <w:t>but</w:t>
      </w:r>
      <w:r>
        <w:rPr>
          <w:spacing w:val="-4"/>
        </w:rPr>
        <w:t> </w:t>
      </w:r>
      <w:r>
        <w:rPr>
          <w:spacing w:val="-8"/>
        </w:rPr>
        <w:t>would</w:t>
      </w:r>
      <w:r>
        <w:rPr>
          <w:spacing w:val="-4"/>
        </w:rPr>
        <w:t> </w:t>
      </w:r>
      <w:r>
        <w:rPr>
          <w:spacing w:val="-8"/>
        </w:rPr>
        <w:t>also</w:t>
      </w:r>
      <w:r>
        <w:rPr>
          <w:spacing w:val="-4"/>
        </w:rPr>
        <w:t> </w:t>
      </w:r>
      <w:r>
        <w:rPr>
          <w:spacing w:val="-8"/>
        </w:rPr>
        <w:t>help </w:t>
      </w:r>
      <w:r>
        <w:rPr>
          <w:spacing w:val="-6"/>
        </w:rPr>
        <w:t>transform India into a knowledge economy and society.</w:t>
      </w:r>
    </w:p>
    <w:p>
      <w:pPr>
        <w:pStyle w:val="BodyText"/>
        <w:spacing w:before="16"/>
      </w:pPr>
    </w:p>
    <w:p>
      <w:pPr>
        <w:pStyle w:val="BodyText"/>
        <w:spacing w:line="266" w:lineRule="auto"/>
        <w:ind w:left="318" w:right="1077"/>
        <w:jc w:val="both"/>
      </w:pPr>
      <w:r>
        <w:rPr/>
        <w:t>We recognise that a meaningful reform of the higher </w:t>
      </w:r>
      <w:r>
        <w:rPr>
          <w:spacing w:val="-2"/>
        </w:rPr>
        <w:t>education</w:t>
      </w:r>
      <w:r>
        <w:rPr>
          <w:spacing w:val="-7"/>
        </w:rPr>
        <w:t> </w:t>
      </w:r>
      <w:r>
        <w:rPr>
          <w:spacing w:val="-2"/>
        </w:rPr>
        <w:t>system,</w:t>
      </w:r>
      <w:r>
        <w:rPr>
          <w:spacing w:val="-7"/>
        </w:rPr>
        <w:t> </w:t>
      </w:r>
      <w:r>
        <w:rPr>
          <w:spacing w:val="-2"/>
        </w:rPr>
        <w:t>with</w:t>
      </w:r>
      <w:r>
        <w:rPr>
          <w:spacing w:val="-7"/>
        </w:rPr>
        <w:t> </w:t>
      </w:r>
      <w:r>
        <w:rPr>
          <w:spacing w:val="-2"/>
        </w:rPr>
        <w:t>a</w:t>
      </w:r>
      <w:r>
        <w:rPr>
          <w:spacing w:val="-7"/>
        </w:rPr>
        <w:t> </w:t>
      </w:r>
      <w:r>
        <w:rPr>
          <w:spacing w:val="-2"/>
        </w:rPr>
        <w:t>long-term</w:t>
      </w:r>
      <w:r>
        <w:rPr>
          <w:spacing w:val="-7"/>
        </w:rPr>
        <w:t> </w:t>
      </w:r>
      <w:r>
        <w:rPr>
          <w:spacing w:val="-2"/>
        </w:rPr>
        <w:t>perspective</w:t>
      </w:r>
      <w:r>
        <w:rPr>
          <w:spacing w:val="-7"/>
        </w:rPr>
        <w:t> </w:t>
      </w:r>
      <w:r>
        <w:rPr>
          <w:spacing w:val="-2"/>
        </w:rPr>
        <w:t>is</w:t>
      </w:r>
      <w:r>
        <w:rPr>
          <w:spacing w:val="-7"/>
        </w:rPr>
        <w:t> </w:t>
      </w:r>
      <w:r>
        <w:rPr>
          <w:spacing w:val="-2"/>
        </w:rPr>
        <w:t>both </w:t>
      </w:r>
      <w:r>
        <w:rPr>
          <w:spacing w:val="-10"/>
        </w:rPr>
        <w:t>complex</w:t>
      </w:r>
      <w:r>
        <w:rPr>
          <w:spacing w:val="-2"/>
        </w:rPr>
        <w:t> </w:t>
      </w:r>
      <w:r>
        <w:rPr>
          <w:spacing w:val="-10"/>
        </w:rPr>
        <w:t>and</w:t>
      </w:r>
      <w:r>
        <w:rPr>
          <w:spacing w:val="-1"/>
        </w:rPr>
        <w:t> </w:t>
      </w:r>
      <w:r>
        <w:rPr>
          <w:spacing w:val="-10"/>
        </w:rPr>
        <w:t>difficult.</w:t>
      </w:r>
      <w:r>
        <w:rPr>
          <w:spacing w:val="-4"/>
        </w:rPr>
        <w:t> </w:t>
      </w:r>
      <w:r>
        <w:rPr>
          <w:spacing w:val="-10"/>
        </w:rPr>
        <w:t>Yet,</w:t>
      </w:r>
      <w:r>
        <w:rPr/>
        <w:t> </w:t>
      </w:r>
      <w:r>
        <w:rPr>
          <w:spacing w:val="-10"/>
        </w:rPr>
        <w:t>it</w:t>
      </w:r>
      <w:r>
        <w:rPr>
          <w:spacing w:val="-1"/>
        </w:rPr>
        <w:t> </w:t>
      </w:r>
      <w:r>
        <w:rPr>
          <w:spacing w:val="-10"/>
        </w:rPr>
        <w:t>is</w:t>
      </w:r>
      <w:r>
        <w:rPr>
          <w:spacing w:val="-1"/>
        </w:rPr>
        <w:t> </w:t>
      </w:r>
      <w:r>
        <w:rPr>
          <w:spacing w:val="-10"/>
        </w:rPr>
        <w:t>imperative.</w:t>
      </w:r>
      <w:r>
        <w:rPr>
          <w:spacing w:val="-1"/>
        </w:rPr>
        <w:t> </w:t>
      </w:r>
      <w:r>
        <w:rPr>
          <w:spacing w:val="-10"/>
        </w:rPr>
        <w:t>And</w:t>
      </w:r>
      <w:r>
        <w:rPr>
          <w:spacing w:val="-1"/>
        </w:rPr>
        <w:t> </w:t>
      </w:r>
      <w:r>
        <w:rPr>
          <w:spacing w:val="-10"/>
        </w:rPr>
        <w:t>we</w:t>
      </w:r>
      <w:r>
        <w:rPr>
          <w:spacing w:val="-1"/>
        </w:rPr>
        <w:t> </w:t>
      </w:r>
      <w:r>
        <w:rPr>
          <w:spacing w:val="-10"/>
        </w:rPr>
        <w:t>would </w:t>
      </w:r>
      <w:r>
        <w:rPr>
          <w:spacing w:val="-4"/>
        </w:rPr>
        <w:t>suggest</w:t>
      </w:r>
      <w:r>
        <w:rPr>
          <w:spacing w:val="-10"/>
        </w:rPr>
        <w:t> </w:t>
      </w:r>
      <w:r>
        <w:rPr>
          <w:spacing w:val="-4"/>
        </w:rPr>
        <w:t>the</w:t>
      </w:r>
      <w:r>
        <w:rPr>
          <w:spacing w:val="-10"/>
        </w:rPr>
        <w:t> </w:t>
      </w:r>
      <w:r>
        <w:rPr>
          <w:spacing w:val="-4"/>
        </w:rPr>
        <w:t>following</w:t>
      </w:r>
      <w:r>
        <w:rPr>
          <w:spacing w:val="-10"/>
        </w:rPr>
        <w:t> </w:t>
      </w:r>
      <w:r>
        <w:rPr>
          <w:spacing w:val="-4"/>
        </w:rPr>
        <w:t>building</w:t>
      </w:r>
      <w:r>
        <w:rPr>
          <w:spacing w:val="-9"/>
        </w:rPr>
        <w:t> </w:t>
      </w:r>
      <w:r>
        <w:rPr>
          <w:spacing w:val="-4"/>
        </w:rPr>
        <w:t>blocks</w:t>
      </w:r>
      <w:r>
        <w:rPr>
          <w:spacing w:val="-10"/>
        </w:rPr>
        <w:t> </w:t>
      </w:r>
      <w:r>
        <w:rPr>
          <w:spacing w:val="-4"/>
        </w:rPr>
        <w:t>in</w:t>
      </w:r>
      <w:r>
        <w:rPr>
          <w:spacing w:val="-10"/>
        </w:rPr>
        <w:t> </w:t>
      </w:r>
      <w:r>
        <w:rPr>
          <w:spacing w:val="-4"/>
        </w:rPr>
        <w:t>this</w:t>
      </w:r>
      <w:r>
        <w:rPr>
          <w:spacing w:val="-10"/>
        </w:rPr>
        <w:t> </w:t>
      </w:r>
      <w:r>
        <w:rPr>
          <w:spacing w:val="-4"/>
        </w:rPr>
        <w:t>endeavour. First,</w:t>
      </w:r>
      <w:r>
        <w:rPr>
          <w:spacing w:val="-10"/>
        </w:rPr>
        <w:t> </w:t>
      </w:r>
      <w:r>
        <w:rPr>
          <w:spacing w:val="-4"/>
        </w:rPr>
        <w:t>it</w:t>
      </w:r>
      <w:r>
        <w:rPr>
          <w:spacing w:val="-10"/>
        </w:rPr>
        <w:t> </w:t>
      </w:r>
      <w:r>
        <w:rPr>
          <w:spacing w:val="-4"/>
        </w:rPr>
        <w:t>is</w:t>
      </w:r>
      <w:r>
        <w:rPr>
          <w:spacing w:val="-10"/>
        </w:rPr>
        <w:t> </w:t>
      </w:r>
      <w:r>
        <w:rPr>
          <w:spacing w:val="-4"/>
        </w:rPr>
        <w:t>essential</w:t>
      </w:r>
      <w:r>
        <w:rPr>
          <w:spacing w:val="-9"/>
        </w:rPr>
        <w:t> </w:t>
      </w:r>
      <w:r>
        <w:rPr>
          <w:spacing w:val="-4"/>
        </w:rPr>
        <w:t>to</w:t>
      </w:r>
      <w:r>
        <w:rPr>
          <w:spacing w:val="-10"/>
        </w:rPr>
        <w:t> </w:t>
      </w:r>
      <w:r>
        <w:rPr>
          <w:spacing w:val="-4"/>
        </w:rPr>
        <w:t>reform</w:t>
      </w:r>
      <w:r>
        <w:rPr>
          <w:spacing w:val="-10"/>
        </w:rPr>
        <w:t> </w:t>
      </w:r>
      <w:r>
        <w:rPr>
          <w:spacing w:val="-4"/>
        </w:rPr>
        <w:t>existing</w:t>
      </w:r>
      <w:r>
        <w:rPr>
          <w:spacing w:val="-10"/>
        </w:rPr>
        <w:t> </w:t>
      </w:r>
      <w:r>
        <w:rPr>
          <w:spacing w:val="-4"/>
        </w:rPr>
        <w:t>public</w:t>
      </w:r>
      <w:r>
        <w:rPr>
          <w:spacing w:val="-9"/>
        </w:rPr>
        <w:t> </w:t>
      </w:r>
      <w:r>
        <w:rPr>
          <w:spacing w:val="-4"/>
        </w:rPr>
        <w:t>universities </w:t>
      </w:r>
      <w:r>
        <w:rPr/>
        <w:t>and</w:t>
      </w:r>
      <w:r>
        <w:rPr>
          <w:spacing w:val="-11"/>
        </w:rPr>
        <w:t> </w:t>
      </w:r>
      <w:r>
        <w:rPr/>
        <w:t>undergraduate</w:t>
      </w:r>
      <w:r>
        <w:rPr>
          <w:spacing w:val="-11"/>
        </w:rPr>
        <w:t> </w:t>
      </w:r>
      <w:r>
        <w:rPr/>
        <w:t>colleges.</w:t>
      </w:r>
      <w:r>
        <w:rPr>
          <w:spacing w:val="-11"/>
        </w:rPr>
        <w:t> </w:t>
      </w:r>
      <w:r>
        <w:rPr/>
        <w:t>Second,</w:t>
      </w:r>
      <w:r>
        <w:rPr>
          <w:spacing w:val="-11"/>
        </w:rPr>
        <w:t> </w:t>
      </w:r>
      <w:r>
        <w:rPr/>
        <w:t>it</w:t>
      </w:r>
      <w:r>
        <w:rPr>
          <w:spacing w:val="-11"/>
        </w:rPr>
        <w:t> </w:t>
      </w:r>
      <w:r>
        <w:rPr/>
        <w:t>is</w:t>
      </w:r>
      <w:r>
        <w:rPr>
          <w:spacing w:val="-11"/>
        </w:rPr>
        <w:t> </w:t>
      </w:r>
      <w:r>
        <w:rPr/>
        <w:t>necessary</w:t>
      </w:r>
      <w:r>
        <w:rPr>
          <w:spacing w:val="-11"/>
        </w:rPr>
        <w:t> </w:t>
      </w:r>
      <w:r>
        <w:rPr/>
        <w:t>to </w:t>
      </w:r>
      <w:r>
        <w:rPr>
          <w:spacing w:val="-6"/>
        </w:rPr>
        <w:t>overhaul the entire regulatory structure governing higher </w:t>
      </w:r>
      <w:r>
        <w:rPr/>
        <w:t>education. Third, every possible source of financing investment in higher education needs to be explored. </w:t>
      </w:r>
      <w:r>
        <w:rPr>
          <w:spacing w:val="-6"/>
        </w:rPr>
        <w:t>Fourth,</w:t>
      </w:r>
      <w:r>
        <w:rPr>
          <w:spacing w:val="-10"/>
        </w:rPr>
        <w:t> </w:t>
      </w:r>
      <w:r>
        <w:rPr>
          <w:spacing w:val="-6"/>
        </w:rPr>
        <w:t>it</w:t>
      </w:r>
      <w:r>
        <w:rPr>
          <w:spacing w:val="-8"/>
        </w:rPr>
        <w:t> </w:t>
      </w:r>
      <w:r>
        <w:rPr>
          <w:spacing w:val="-6"/>
        </w:rPr>
        <w:t>is</w:t>
      </w:r>
      <w:r>
        <w:rPr>
          <w:spacing w:val="-8"/>
        </w:rPr>
        <w:t> </w:t>
      </w:r>
      <w:r>
        <w:rPr>
          <w:spacing w:val="-6"/>
        </w:rPr>
        <w:t>important</w:t>
      </w:r>
      <w:r>
        <w:rPr>
          <w:spacing w:val="-7"/>
        </w:rPr>
        <w:t> </w:t>
      </w:r>
      <w:r>
        <w:rPr>
          <w:spacing w:val="-6"/>
        </w:rPr>
        <w:t>to</w:t>
      </w:r>
      <w:r>
        <w:rPr>
          <w:spacing w:val="-8"/>
        </w:rPr>
        <w:t> </w:t>
      </w:r>
      <w:r>
        <w:rPr>
          <w:spacing w:val="-6"/>
        </w:rPr>
        <w:t>think</w:t>
      </w:r>
      <w:r>
        <w:rPr>
          <w:spacing w:val="-8"/>
        </w:rPr>
        <w:t> </w:t>
      </w:r>
      <w:r>
        <w:rPr>
          <w:spacing w:val="-6"/>
        </w:rPr>
        <w:t>about</w:t>
      </w:r>
      <w:r>
        <w:rPr>
          <w:spacing w:val="-8"/>
        </w:rPr>
        <w:t> </w:t>
      </w:r>
      <w:r>
        <w:rPr>
          <w:spacing w:val="-6"/>
        </w:rPr>
        <w:t>pro-active</w:t>
      </w:r>
      <w:r>
        <w:rPr>
          <w:spacing w:val="-7"/>
        </w:rPr>
        <w:t> </w:t>
      </w:r>
      <w:r>
        <w:rPr>
          <w:spacing w:val="-6"/>
        </w:rPr>
        <w:t>strategies </w:t>
      </w:r>
      <w:r>
        <w:rPr/>
        <w:t>for</w:t>
      </w:r>
      <w:r>
        <w:rPr>
          <w:spacing w:val="-9"/>
        </w:rPr>
        <w:t> </w:t>
      </w:r>
      <w:r>
        <w:rPr/>
        <w:t>enhancement</w:t>
      </w:r>
      <w:r>
        <w:rPr>
          <w:spacing w:val="-9"/>
        </w:rPr>
        <w:t> </w:t>
      </w:r>
      <w:r>
        <w:rPr/>
        <w:t>of</w:t>
      </w:r>
      <w:r>
        <w:rPr>
          <w:spacing w:val="-9"/>
        </w:rPr>
        <w:t> </w:t>
      </w:r>
      <w:r>
        <w:rPr/>
        <w:t>quality</w:t>
      </w:r>
      <w:r>
        <w:rPr>
          <w:spacing w:val="-9"/>
        </w:rPr>
        <w:t> </w:t>
      </w:r>
      <w:r>
        <w:rPr/>
        <w:t>in</w:t>
      </w:r>
      <w:r>
        <w:rPr>
          <w:spacing w:val="-9"/>
        </w:rPr>
        <w:t> </w:t>
      </w:r>
      <w:r>
        <w:rPr/>
        <w:t>higher</w:t>
      </w:r>
      <w:r>
        <w:rPr>
          <w:spacing w:val="-9"/>
        </w:rPr>
        <w:t> </w:t>
      </w:r>
      <w:r>
        <w:rPr/>
        <w:t>education.</w:t>
      </w:r>
      <w:r>
        <w:rPr>
          <w:spacing w:val="-9"/>
        </w:rPr>
        <w:t> </w:t>
      </w:r>
      <w:r>
        <w:rPr/>
        <w:t>Fifth, </w:t>
      </w:r>
      <w:r>
        <w:rPr>
          <w:spacing w:val="-2"/>
        </w:rPr>
        <w:t>the</w:t>
      </w:r>
      <w:r>
        <w:rPr>
          <w:spacing w:val="-12"/>
        </w:rPr>
        <w:t> </w:t>
      </w:r>
      <w:r>
        <w:rPr>
          <w:spacing w:val="-2"/>
        </w:rPr>
        <w:t>time</w:t>
      </w:r>
      <w:r>
        <w:rPr>
          <w:spacing w:val="-12"/>
        </w:rPr>
        <w:t> </w:t>
      </w:r>
      <w:r>
        <w:rPr>
          <w:spacing w:val="-2"/>
        </w:rPr>
        <w:t>has</w:t>
      </w:r>
      <w:r>
        <w:rPr>
          <w:spacing w:val="-12"/>
        </w:rPr>
        <w:t> </w:t>
      </w:r>
      <w:r>
        <w:rPr>
          <w:spacing w:val="-2"/>
        </w:rPr>
        <w:t>come</w:t>
      </w:r>
      <w:r>
        <w:rPr>
          <w:spacing w:val="-11"/>
        </w:rPr>
        <w:t> </w:t>
      </w:r>
      <w:r>
        <w:rPr>
          <w:spacing w:val="-2"/>
        </w:rPr>
        <w:t>to</w:t>
      </w:r>
      <w:r>
        <w:rPr>
          <w:spacing w:val="-12"/>
        </w:rPr>
        <w:t> </w:t>
      </w:r>
      <w:r>
        <w:rPr>
          <w:spacing w:val="-2"/>
        </w:rPr>
        <w:t>create</w:t>
      </w:r>
      <w:r>
        <w:rPr>
          <w:spacing w:val="-12"/>
        </w:rPr>
        <w:t> </w:t>
      </w:r>
      <w:r>
        <w:rPr>
          <w:spacing w:val="-2"/>
        </w:rPr>
        <w:t>new</w:t>
      </w:r>
      <w:r>
        <w:rPr>
          <w:spacing w:val="-12"/>
        </w:rPr>
        <w:t> </w:t>
      </w:r>
      <w:r>
        <w:rPr>
          <w:spacing w:val="-2"/>
        </w:rPr>
        <w:t>institutions</w:t>
      </w:r>
      <w:r>
        <w:rPr>
          <w:spacing w:val="-11"/>
        </w:rPr>
        <w:t> </w:t>
      </w:r>
      <w:r>
        <w:rPr>
          <w:spacing w:val="-2"/>
        </w:rPr>
        <w:t>in</w:t>
      </w:r>
      <w:r>
        <w:rPr>
          <w:spacing w:val="-12"/>
        </w:rPr>
        <w:t> </w:t>
      </w:r>
      <w:r>
        <w:rPr>
          <w:spacing w:val="-2"/>
        </w:rPr>
        <w:t>the</w:t>
      </w:r>
      <w:r>
        <w:rPr>
          <w:spacing w:val="-12"/>
        </w:rPr>
        <w:t> </w:t>
      </w:r>
      <w:r>
        <w:rPr>
          <w:spacing w:val="-2"/>
        </w:rPr>
        <w:t>form </w:t>
      </w:r>
      <w:r>
        <w:rPr>
          <w:spacing w:val="-4"/>
        </w:rPr>
        <w:t>of</w:t>
      </w:r>
      <w:r>
        <w:rPr>
          <w:spacing w:val="-10"/>
        </w:rPr>
        <w:t> </w:t>
      </w:r>
      <w:r>
        <w:rPr>
          <w:spacing w:val="-4"/>
        </w:rPr>
        <w:t>National</w:t>
      </w:r>
      <w:r>
        <w:rPr>
          <w:spacing w:val="-10"/>
        </w:rPr>
        <w:t> </w:t>
      </w:r>
      <w:r>
        <w:rPr>
          <w:spacing w:val="-4"/>
        </w:rPr>
        <w:t>Universities</w:t>
      </w:r>
      <w:r>
        <w:rPr>
          <w:spacing w:val="-10"/>
        </w:rPr>
        <w:t> </w:t>
      </w:r>
      <w:r>
        <w:rPr>
          <w:spacing w:val="-4"/>
        </w:rPr>
        <w:t>that</w:t>
      </w:r>
      <w:r>
        <w:rPr>
          <w:spacing w:val="-9"/>
        </w:rPr>
        <w:t> </w:t>
      </w:r>
      <w:r>
        <w:rPr>
          <w:spacing w:val="-4"/>
        </w:rPr>
        <w:t>would</w:t>
      </w:r>
      <w:r>
        <w:rPr>
          <w:spacing w:val="-10"/>
        </w:rPr>
        <w:t> </w:t>
      </w:r>
      <w:r>
        <w:rPr>
          <w:spacing w:val="-4"/>
        </w:rPr>
        <w:t>become</w:t>
      </w:r>
      <w:r>
        <w:rPr>
          <w:spacing w:val="-10"/>
        </w:rPr>
        <w:t> </w:t>
      </w:r>
      <w:r>
        <w:rPr>
          <w:spacing w:val="-4"/>
        </w:rPr>
        <w:t>role</w:t>
      </w:r>
      <w:r>
        <w:rPr>
          <w:spacing w:val="-10"/>
        </w:rPr>
        <w:t> </w:t>
      </w:r>
      <w:r>
        <w:rPr>
          <w:spacing w:val="-4"/>
        </w:rPr>
        <w:t>models </w:t>
      </w:r>
      <w:r>
        <w:rPr/>
        <w:t>as centres of academic excellence. Sixth, the higher education</w:t>
      </w:r>
      <w:r>
        <w:rPr>
          <w:spacing w:val="-9"/>
        </w:rPr>
        <w:t> </w:t>
      </w:r>
      <w:r>
        <w:rPr/>
        <w:t>system</w:t>
      </w:r>
      <w:r>
        <w:rPr>
          <w:spacing w:val="-9"/>
        </w:rPr>
        <w:t> </w:t>
      </w:r>
      <w:r>
        <w:rPr/>
        <w:t>must</w:t>
      </w:r>
      <w:r>
        <w:rPr>
          <w:spacing w:val="-9"/>
        </w:rPr>
        <w:t> </w:t>
      </w:r>
      <w:r>
        <w:rPr/>
        <w:t>be</w:t>
      </w:r>
      <w:r>
        <w:rPr>
          <w:spacing w:val="-9"/>
        </w:rPr>
        <w:t> </w:t>
      </w:r>
      <w:r>
        <w:rPr/>
        <w:t>so</w:t>
      </w:r>
      <w:r>
        <w:rPr>
          <w:spacing w:val="-9"/>
        </w:rPr>
        <w:t> </w:t>
      </w:r>
      <w:r>
        <w:rPr/>
        <w:t>designed</w:t>
      </w:r>
      <w:r>
        <w:rPr>
          <w:spacing w:val="-9"/>
        </w:rPr>
        <w:t> </w:t>
      </w:r>
      <w:r>
        <w:rPr/>
        <w:t>that</w:t>
      </w:r>
      <w:r>
        <w:rPr>
          <w:spacing w:val="-9"/>
        </w:rPr>
        <w:t> </w:t>
      </w:r>
      <w:r>
        <w:rPr/>
        <w:t>it</w:t>
      </w:r>
      <w:r>
        <w:rPr>
          <w:spacing w:val="-9"/>
        </w:rPr>
        <w:t> </w:t>
      </w:r>
      <w:r>
        <w:rPr/>
        <w:t>provides </w:t>
      </w:r>
      <w:r>
        <w:rPr>
          <w:spacing w:val="-2"/>
        </w:rPr>
        <w:t>access</w:t>
      </w:r>
      <w:r>
        <w:rPr>
          <w:spacing w:val="-12"/>
        </w:rPr>
        <w:t> </w:t>
      </w:r>
      <w:r>
        <w:rPr>
          <w:spacing w:val="-2"/>
        </w:rPr>
        <w:t>to</w:t>
      </w:r>
      <w:r>
        <w:rPr>
          <w:spacing w:val="-12"/>
        </w:rPr>
        <w:t> </w:t>
      </w:r>
      <w:r>
        <w:rPr>
          <w:spacing w:val="-2"/>
        </w:rPr>
        <w:t>marginalised</w:t>
      </w:r>
      <w:r>
        <w:rPr>
          <w:spacing w:val="-12"/>
        </w:rPr>
        <w:t> </w:t>
      </w:r>
      <w:r>
        <w:rPr>
          <w:spacing w:val="-2"/>
        </w:rPr>
        <w:t>and</w:t>
      </w:r>
      <w:r>
        <w:rPr>
          <w:spacing w:val="-11"/>
        </w:rPr>
        <w:t> </w:t>
      </w:r>
      <w:r>
        <w:rPr>
          <w:spacing w:val="-2"/>
        </w:rPr>
        <w:t>excluded</w:t>
      </w:r>
      <w:r>
        <w:rPr>
          <w:spacing w:val="-12"/>
        </w:rPr>
        <w:t> </w:t>
      </w:r>
      <w:r>
        <w:rPr>
          <w:spacing w:val="-2"/>
        </w:rPr>
        <w:t>groups.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25"/>
        </w:numPr>
        <w:tabs>
          <w:tab w:pos="1405" w:val="left" w:leader="none"/>
        </w:tabs>
        <w:spacing w:line="240" w:lineRule="auto" w:before="57" w:after="0"/>
        <w:ind w:left="1405" w:right="0" w:hanging="325"/>
        <w:jc w:val="both"/>
      </w:pPr>
      <w:r>
        <w:rPr>
          <w:color w:val="2E614A"/>
          <w:spacing w:val="-2"/>
        </w:rPr>
        <w:t>Universities</w:t>
      </w:r>
    </w:p>
    <w:p>
      <w:pPr>
        <w:pStyle w:val="BodyText"/>
        <w:spacing w:line="266" w:lineRule="auto" w:before="185"/>
        <w:ind w:left="1080"/>
        <w:jc w:val="both"/>
      </w:pPr>
      <w:r>
        <w:rPr/>
        <w:t>Universities</w:t>
      </w:r>
      <w:r>
        <w:rPr>
          <w:spacing w:val="-14"/>
        </w:rPr>
        <w:t> </w:t>
      </w:r>
      <w:r>
        <w:rPr/>
        <w:t>perform</w:t>
      </w:r>
      <w:r>
        <w:rPr>
          <w:spacing w:val="-14"/>
        </w:rPr>
        <w:t> </w:t>
      </w:r>
      <w:r>
        <w:rPr/>
        <w:t>a</w:t>
      </w:r>
      <w:r>
        <w:rPr>
          <w:spacing w:val="-14"/>
        </w:rPr>
        <w:t> </w:t>
      </w:r>
      <w:r>
        <w:rPr/>
        <w:t>critical</w:t>
      </w:r>
      <w:r>
        <w:rPr>
          <w:spacing w:val="-13"/>
        </w:rPr>
        <w:t> </w:t>
      </w:r>
      <w:r>
        <w:rPr/>
        <w:t>role</w:t>
      </w:r>
      <w:r>
        <w:rPr>
          <w:spacing w:val="-14"/>
        </w:rPr>
        <w:t> </w:t>
      </w:r>
      <w:r>
        <w:rPr/>
        <w:t>in</w:t>
      </w:r>
      <w:r>
        <w:rPr>
          <w:spacing w:val="-14"/>
        </w:rPr>
        <w:t> </w:t>
      </w:r>
      <w:r>
        <w:rPr/>
        <w:t>an</w:t>
      </w:r>
      <w:r>
        <w:rPr>
          <w:spacing w:val="-14"/>
        </w:rPr>
        <w:t> </w:t>
      </w:r>
      <w:r>
        <w:rPr/>
        <w:t>economy</w:t>
      </w:r>
      <w:r>
        <w:rPr>
          <w:spacing w:val="-13"/>
        </w:rPr>
        <w:t> </w:t>
      </w:r>
      <w:r>
        <w:rPr/>
        <w:t>and </w:t>
      </w:r>
      <w:r>
        <w:rPr>
          <w:spacing w:val="-8"/>
        </w:rPr>
        <w:t>society.</w:t>
      </w:r>
      <w:r>
        <w:rPr>
          <w:spacing w:val="-6"/>
        </w:rPr>
        <w:t> </w:t>
      </w:r>
      <w:r>
        <w:rPr>
          <w:spacing w:val="-8"/>
        </w:rPr>
        <w:t>They</w:t>
      </w:r>
      <w:r>
        <w:rPr>
          <w:spacing w:val="-6"/>
        </w:rPr>
        <w:t> </w:t>
      </w:r>
      <w:r>
        <w:rPr>
          <w:spacing w:val="-8"/>
        </w:rPr>
        <w:t>create</w:t>
      </w:r>
      <w:r>
        <w:rPr>
          <w:spacing w:val="-3"/>
        </w:rPr>
        <w:t> </w:t>
      </w:r>
      <w:r>
        <w:rPr>
          <w:spacing w:val="-8"/>
        </w:rPr>
        <w:t>knowledge.</w:t>
      </w:r>
      <w:r>
        <w:rPr>
          <w:spacing w:val="-5"/>
        </w:rPr>
        <w:t> </w:t>
      </w:r>
      <w:r>
        <w:rPr>
          <w:spacing w:val="-8"/>
        </w:rPr>
        <w:t>They</w:t>
      </w:r>
      <w:r>
        <w:rPr/>
        <w:t> </w:t>
      </w:r>
      <w:r>
        <w:rPr>
          <w:spacing w:val="-8"/>
        </w:rPr>
        <w:t>impart</w:t>
      </w:r>
      <w:r>
        <w:rPr/>
        <w:t> </w:t>
      </w:r>
      <w:r>
        <w:rPr>
          <w:spacing w:val="-8"/>
        </w:rPr>
        <w:t>knowledge. </w:t>
      </w:r>
      <w:r>
        <w:rPr>
          <w:spacing w:val="-2"/>
        </w:rPr>
        <w:t>And</w:t>
      </w:r>
      <w:r>
        <w:rPr>
          <w:spacing w:val="-12"/>
        </w:rPr>
        <w:t> </w:t>
      </w:r>
      <w:r>
        <w:rPr>
          <w:spacing w:val="-2"/>
        </w:rPr>
        <w:t>they</w:t>
      </w:r>
      <w:r>
        <w:rPr>
          <w:spacing w:val="-12"/>
        </w:rPr>
        <w:t> </w:t>
      </w:r>
      <w:r>
        <w:rPr>
          <w:spacing w:val="-2"/>
        </w:rPr>
        <w:t>disseminate</w:t>
      </w:r>
      <w:r>
        <w:rPr>
          <w:spacing w:val="-12"/>
        </w:rPr>
        <w:t> </w:t>
      </w:r>
      <w:r>
        <w:rPr>
          <w:spacing w:val="-2"/>
        </w:rPr>
        <w:t>knowledge.</w:t>
      </w:r>
      <w:r>
        <w:rPr>
          <w:spacing w:val="-11"/>
        </w:rPr>
        <w:t> </w:t>
      </w:r>
      <w:r>
        <w:rPr>
          <w:spacing w:val="-2"/>
        </w:rPr>
        <w:t>Universities</w:t>
      </w:r>
      <w:r>
        <w:rPr>
          <w:spacing w:val="-12"/>
        </w:rPr>
        <w:t> </w:t>
      </w:r>
      <w:r>
        <w:rPr>
          <w:spacing w:val="-2"/>
        </w:rPr>
        <w:t>must</w:t>
      </w:r>
      <w:r>
        <w:rPr>
          <w:spacing w:val="-12"/>
        </w:rPr>
        <w:t> </w:t>
      </w:r>
      <w:r>
        <w:rPr>
          <w:spacing w:val="-2"/>
        </w:rPr>
        <w:t>be </w:t>
      </w:r>
      <w:r>
        <w:rPr/>
        <w:t>flexible,</w:t>
      </w:r>
      <w:r>
        <w:rPr>
          <w:spacing w:val="-14"/>
        </w:rPr>
        <w:t> </w:t>
      </w:r>
      <w:r>
        <w:rPr/>
        <w:t>innovative</w:t>
      </w:r>
      <w:r>
        <w:rPr>
          <w:spacing w:val="-14"/>
        </w:rPr>
        <w:t> </w:t>
      </w:r>
      <w:r>
        <w:rPr/>
        <w:t>and</w:t>
      </w:r>
      <w:r>
        <w:rPr>
          <w:spacing w:val="-14"/>
        </w:rPr>
        <w:t> </w:t>
      </w:r>
      <w:r>
        <w:rPr/>
        <w:t>creative.</w:t>
      </w:r>
      <w:r>
        <w:rPr>
          <w:spacing w:val="-13"/>
        </w:rPr>
        <w:t> </w:t>
      </w:r>
      <w:r>
        <w:rPr/>
        <w:t>They</w:t>
      </w:r>
      <w:r>
        <w:rPr>
          <w:spacing w:val="-14"/>
        </w:rPr>
        <w:t> </w:t>
      </w:r>
      <w:r>
        <w:rPr/>
        <w:t>must</w:t>
      </w:r>
      <w:r>
        <w:rPr>
          <w:spacing w:val="-14"/>
        </w:rPr>
        <w:t> </w:t>
      </w:r>
      <w:r>
        <w:rPr/>
        <w:t>be</w:t>
      </w:r>
      <w:r>
        <w:rPr>
          <w:spacing w:val="-14"/>
        </w:rPr>
        <w:t> </w:t>
      </w:r>
      <w:r>
        <w:rPr/>
        <w:t>able</w:t>
      </w:r>
      <w:r>
        <w:rPr>
          <w:spacing w:val="-13"/>
        </w:rPr>
        <w:t> </w:t>
      </w:r>
      <w:r>
        <w:rPr/>
        <w:t>to </w:t>
      </w:r>
      <w:r>
        <w:rPr>
          <w:spacing w:val="-4"/>
        </w:rPr>
        <w:t>attract</w:t>
      </w:r>
      <w:r>
        <w:rPr>
          <w:spacing w:val="-12"/>
        </w:rPr>
        <w:t> </w:t>
      </w:r>
      <w:r>
        <w:rPr>
          <w:spacing w:val="-4"/>
        </w:rPr>
        <w:t>the</w:t>
      </w:r>
      <w:r>
        <w:rPr>
          <w:spacing w:val="-10"/>
        </w:rPr>
        <w:t> </w:t>
      </w:r>
      <w:r>
        <w:rPr>
          <w:spacing w:val="-4"/>
        </w:rPr>
        <w:t>best</w:t>
      </w:r>
      <w:r>
        <w:rPr>
          <w:spacing w:val="-10"/>
        </w:rPr>
        <w:t> </w:t>
      </w:r>
      <w:r>
        <w:rPr>
          <w:spacing w:val="-4"/>
        </w:rPr>
        <w:t>talent</w:t>
      </w:r>
      <w:r>
        <w:rPr>
          <w:spacing w:val="-9"/>
        </w:rPr>
        <w:t> </w:t>
      </w:r>
      <w:r>
        <w:rPr>
          <w:spacing w:val="-4"/>
        </w:rPr>
        <w:t>whether</w:t>
      </w:r>
      <w:r>
        <w:rPr>
          <w:spacing w:val="-10"/>
        </w:rPr>
        <w:t> </w:t>
      </w:r>
      <w:r>
        <w:rPr>
          <w:spacing w:val="-4"/>
        </w:rPr>
        <w:t>teachers</w:t>
      </w:r>
      <w:r>
        <w:rPr>
          <w:spacing w:val="-10"/>
        </w:rPr>
        <w:t> </w:t>
      </w:r>
      <w:r>
        <w:rPr>
          <w:spacing w:val="-4"/>
        </w:rPr>
        <w:t>or</w:t>
      </w:r>
      <w:r>
        <w:rPr>
          <w:spacing w:val="-10"/>
        </w:rPr>
        <w:t> </w:t>
      </w:r>
      <w:r>
        <w:rPr>
          <w:spacing w:val="-4"/>
        </w:rPr>
        <w:t>students.</w:t>
      </w:r>
      <w:r>
        <w:rPr>
          <w:spacing w:val="-9"/>
        </w:rPr>
        <w:t> </w:t>
      </w:r>
      <w:r>
        <w:rPr>
          <w:spacing w:val="-4"/>
        </w:rPr>
        <w:t>They </w:t>
      </w:r>
      <w:r>
        <w:rPr/>
        <w:t>must have the ability to compete and the motivation </w:t>
      </w:r>
      <w:r>
        <w:rPr>
          <w:spacing w:val="-2"/>
        </w:rPr>
        <w:t>to</w:t>
      </w:r>
      <w:r>
        <w:rPr>
          <w:spacing w:val="-12"/>
        </w:rPr>
        <w:t> </w:t>
      </w:r>
      <w:r>
        <w:rPr>
          <w:spacing w:val="-2"/>
        </w:rPr>
        <w:t>excel.</w:t>
      </w:r>
      <w:r>
        <w:rPr>
          <w:spacing w:val="-12"/>
        </w:rPr>
        <w:t> </w:t>
      </w:r>
      <w:r>
        <w:rPr>
          <w:spacing w:val="-2"/>
        </w:rPr>
        <w:t>We</w:t>
      </w:r>
      <w:r>
        <w:rPr>
          <w:spacing w:val="-12"/>
        </w:rPr>
        <w:t> </w:t>
      </w:r>
      <w:r>
        <w:rPr>
          <w:spacing w:val="-2"/>
        </w:rPr>
        <w:t>cannot</w:t>
      </w:r>
      <w:r>
        <w:rPr>
          <w:spacing w:val="-11"/>
        </w:rPr>
        <w:t> </w:t>
      </w:r>
      <w:r>
        <w:rPr>
          <w:spacing w:val="-2"/>
        </w:rPr>
        <w:t>even</w:t>
      </w:r>
      <w:r>
        <w:rPr>
          <w:spacing w:val="-12"/>
        </w:rPr>
        <w:t> </w:t>
      </w:r>
      <w:r>
        <w:rPr>
          <w:spacing w:val="-2"/>
        </w:rPr>
        <w:t>contemplate</w:t>
      </w:r>
      <w:r>
        <w:rPr>
          <w:spacing w:val="-12"/>
        </w:rPr>
        <w:t> </w:t>
      </w:r>
      <w:r>
        <w:rPr>
          <w:spacing w:val="-2"/>
        </w:rPr>
        <w:t>a</w:t>
      </w:r>
      <w:r>
        <w:rPr>
          <w:spacing w:val="-12"/>
        </w:rPr>
        <w:t> </w:t>
      </w:r>
      <w:r>
        <w:rPr>
          <w:spacing w:val="-2"/>
        </w:rPr>
        <w:t>transformation </w:t>
      </w:r>
      <w:r>
        <w:rPr/>
        <w:t>of</w:t>
      </w:r>
      <w:r>
        <w:rPr>
          <w:spacing w:val="-4"/>
        </w:rPr>
        <w:t> </w:t>
      </w:r>
      <w:r>
        <w:rPr/>
        <w:t>our</w:t>
      </w:r>
      <w:r>
        <w:rPr>
          <w:spacing w:val="-4"/>
        </w:rPr>
        <w:t> </w:t>
      </w:r>
      <w:r>
        <w:rPr/>
        <w:t>higher</w:t>
      </w:r>
      <w:r>
        <w:rPr>
          <w:spacing w:val="-4"/>
        </w:rPr>
        <w:t> </w:t>
      </w:r>
      <w:r>
        <w:rPr/>
        <w:t>education</w:t>
      </w:r>
      <w:r>
        <w:rPr>
          <w:spacing w:val="-4"/>
        </w:rPr>
        <w:t> </w:t>
      </w:r>
      <w:r>
        <w:rPr/>
        <w:t>system</w:t>
      </w:r>
      <w:r>
        <w:rPr>
          <w:spacing w:val="-4"/>
        </w:rPr>
        <w:t> </w:t>
      </w:r>
      <w:r>
        <w:rPr/>
        <w:t>without</w:t>
      </w:r>
      <w:r>
        <w:rPr>
          <w:spacing w:val="-4"/>
        </w:rPr>
        <w:t> </w:t>
      </w:r>
      <w:r>
        <w:rPr/>
        <w:t>reform</w:t>
      </w:r>
      <w:r>
        <w:rPr>
          <w:spacing w:val="-4"/>
        </w:rPr>
        <w:t> </w:t>
      </w:r>
      <w:r>
        <w:rPr/>
        <w:t>in</w:t>
      </w:r>
      <w:r>
        <w:rPr>
          <w:spacing w:val="-4"/>
        </w:rPr>
        <w:t> </w:t>
      </w:r>
      <w:r>
        <w:rPr/>
        <w:t>our existing universities.</w:t>
      </w:r>
    </w:p>
    <w:p>
      <w:pPr>
        <w:pStyle w:val="BodyText"/>
        <w:spacing w:before="20"/>
      </w:pPr>
    </w:p>
    <w:p>
      <w:pPr>
        <w:pStyle w:val="BodyText"/>
        <w:spacing w:line="266" w:lineRule="auto"/>
        <w:ind w:left="1080"/>
        <w:jc w:val="both"/>
      </w:pPr>
      <w:r>
        <w:rPr/>
        <w:t>There is, however, a serious cause for concern about </w:t>
      </w:r>
      <w:r>
        <w:rPr>
          <w:spacing w:val="-8"/>
        </w:rPr>
        <w:t>universities</w:t>
      </w:r>
      <w:r>
        <w:rPr>
          <w:spacing w:val="-6"/>
        </w:rPr>
        <w:t> </w:t>
      </w:r>
      <w:r>
        <w:rPr>
          <w:spacing w:val="-8"/>
        </w:rPr>
        <w:t>in</w:t>
      </w:r>
      <w:r>
        <w:rPr>
          <w:spacing w:val="-4"/>
        </w:rPr>
        <w:t> </w:t>
      </w:r>
      <w:r>
        <w:rPr>
          <w:spacing w:val="-8"/>
        </w:rPr>
        <w:t>India.</w:t>
      </w:r>
      <w:r>
        <w:rPr>
          <w:spacing w:val="-6"/>
        </w:rPr>
        <w:t> </w:t>
      </w:r>
      <w:r>
        <w:rPr>
          <w:spacing w:val="-8"/>
        </w:rPr>
        <w:t>The</w:t>
      </w:r>
      <w:r>
        <w:rPr/>
        <w:t> </w:t>
      </w:r>
      <w:r>
        <w:rPr>
          <w:spacing w:val="-8"/>
        </w:rPr>
        <w:t>number</w:t>
      </w:r>
      <w:r>
        <w:rPr>
          <w:spacing w:val="-2"/>
        </w:rPr>
        <w:t> </w:t>
      </w:r>
      <w:r>
        <w:rPr>
          <w:spacing w:val="-8"/>
        </w:rPr>
        <w:t>of</w:t>
      </w:r>
      <w:r>
        <w:rPr/>
        <w:t> </w:t>
      </w:r>
      <w:r>
        <w:rPr>
          <w:spacing w:val="-8"/>
        </w:rPr>
        <w:t>places</w:t>
      </w:r>
      <w:r>
        <w:rPr/>
        <w:t> </w:t>
      </w:r>
      <w:r>
        <w:rPr>
          <w:spacing w:val="-8"/>
        </w:rPr>
        <w:t>for</w:t>
      </w:r>
      <w:r>
        <w:rPr/>
        <w:t> </w:t>
      </w:r>
      <w:r>
        <w:rPr>
          <w:spacing w:val="-8"/>
        </w:rPr>
        <w:t>students</w:t>
      </w:r>
      <w:r>
        <w:rPr>
          <w:spacing w:val="-2"/>
        </w:rPr>
        <w:t> </w:t>
      </w:r>
      <w:r>
        <w:rPr>
          <w:spacing w:val="-8"/>
        </w:rPr>
        <w:t>at </w:t>
      </w:r>
      <w:r>
        <w:rPr>
          <w:spacing w:val="-10"/>
        </w:rPr>
        <w:t>universities</w:t>
      </w:r>
      <w:r>
        <w:rPr>
          <w:spacing w:val="-1"/>
        </w:rPr>
        <w:t> </w:t>
      </w:r>
      <w:r>
        <w:rPr>
          <w:spacing w:val="-10"/>
        </w:rPr>
        <w:t>is</w:t>
      </w:r>
      <w:r>
        <w:rPr/>
        <w:t> </w:t>
      </w:r>
      <w:r>
        <w:rPr>
          <w:spacing w:val="-10"/>
        </w:rPr>
        <w:t>simply</w:t>
      </w:r>
      <w:r>
        <w:rPr/>
        <w:t> </w:t>
      </w:r>
      <w:r>
        <w:rPr>
          <w:spacing w:val="-10"/>
        </w:rPr>
        <w:t>inadequate.</w:t>
      </w:r>
      <w:r>
        <w:rPr>
          <w:spacing w:val="-4"/>
        </w:rPr>
        <w:t> </w:t>
      </w:r>
      <w:r>
        <w:rPr>
          <w:spacing w:val="-10"/>
        </w:rPr>
        <w:t>The</w:t>
      </w:r>
      <w:r>
        <w:rPr/>
        <w:t> </w:t>
      </w:r>
      <w:r>
        <w:rPr>
          <w:spacing w:val="-10"/>
        </w:rPr>
        <w:t>quality</w:t>
      </w:r>
      <w:r>
        <w:rPr/>
        <w:t> </w:t>
      </w:r>
      <w:r>
        <w:rPr>
          <w:spacing w:val="-10"/>
        </w:rPr>
        <w:t>of</w:t>
      </w:r>
      <w:r>
        <w:rPr/>
        <w:t> </w:t>
      </w:r>
      <w:r>
        <w:rPr>
          <w:spacing w:val="-10"/>
        </w:rPr>
        <w:t>education </w:t>
      </w:r>
      <w:r>
        <w:rPr>
          <w:spacing w:val="-2"/>
        </w:rPr>
        <w:t>at</w:t>
      </w:r>
      <w:r>
        <w:rPr>
          <w:spacing w:val="-12"/>
        </w:rPr>
        <w:t> </w:t>
      </w:r>
      <w:r>
        <w:rPr>
          <w:spacing w:val="-2"/>
        </w:rPr>
        <w:t>most</w:t>
      </w:r>
      <w:r>
        <w:rPr>
          <w:spacing w:val="-12"/>
        </w:rPr>
        <w:t> </w:t>
      </w:r>
      <w:r>
        <w:rPr>
          <w:spacing w:val="-2"/>
        </w:rPr>
        <w:t>universities</w:t>
      </w:r>
      <w:r>
        <w:rPr>
          <w:spacing w:val="-12"/>
        </w:rPr>
        <w:t> </w:t>
      </w:r>
      <w:r>
        <w:rPr>
          <w:spacing w:val="-2"/>
        </w:rPr>
        <w:t>leaves</w:t>
      </w:r>
      <w:r>
        <w:rPr>
          <w:spacing w:val="-11"/>
        </w:rPr>
        <w:t> </w:t>
      </w:r>
      <w:r>
        <w:rPr>
          <w:spacing w:val="-2"/>
        </w:rPr>
        <w:t>much</w:t>
      </w:r>
      <w:r>
        <w:rPr>
          <w:spacing w:val="-12"/>
        </w:rPr>
        <w:t> </w:t>
      </w:r>
      <w:r>
        <w:rPr>
          <w:spacing w:val="-2"/>
        </w:rPr>
        <w:t>to</w:t>
      </w:r>
      <w:r>
        <w:rPr>
          <w:spacing w:val="-12"/>
        </w:rPr>
        <w:t> </w:t>
      </w:r>
      <w:r>
        <w:rPr>
          <w:spacing w:val="-2"/>
        </w:rPr>
        <w:t>be</w:t>
      </w:r>
      <w:r>
        <w:rPr>
          <w:spacing w:val="-12"/>
        </w:rPr>
        <w:t> </w:t>
      </w:r>
      <w:r>
        <w:rPr>
          <w:spacing w:val="-2"/>
        </w:rPr>
        <w:t>desired.</w:t>
      </w:r>
      <w:r>
        <w:rPr>
          <w:spacing w:val="-11"/>
        </w:rPr>
        <w:t> </w:t>
      </w:r>
      <w:r>
        <w:rPr>
          <w:spacing w:val="-2"/>
        </w:rPr>
        <w:t>The</w:t>
      </w:r>
      <w:r>
        <w:rPr>
          <w:spacing w:val="-12"/>
        </w:rPr>
        <w:t> </w:t>
      </w:r>
      <w:r>
        <w:rPr>
          <w:spacing w:val="-2"/>
        </w:rPr>
        <w:t>gap between</w:t>
      </w:r>
      <w:r>
        <w:rPr>
          <w:spacing w:val="-12"/>
        </w:rPr>
        <w:t> </w:t>
      </w:r>
      <w:r>
        <w:rPr>
          <w:spacing w:val="-2"/>
        </w:rPr>
        <w:t>our</w:t>
      </w:r>
      <w:r>
        <w:rPr>
          <w:spacing w:val="-12"/>
        </w:rPr>
        <w:t> </w:t>
      </w:r>
      <w:r>
        <w:rPr>
          <w:spacing w:val="-2"/>
        </w:rPr>
        <w:t>universities</w:t>
      </w:r>
      <w:r>
        <w:rPr>
          <w:spacing w:val="-12"/>
        </w:rPr>
        <w:t> </w:t>
      </w:r>
      <w:r>
        <w:rPr>
          <w:spacing w:val="-2"/>
        </w:rPr>
        <w:t>and</w:t>
      </w:r>
      <w:r>
        <w:rPr>
          <w:spacing w:val="-11"/>
        </w:rPr>
        <w:t> </w:t>
      </w:r>
      <w:r>
        <w:rPr>
          <w:spacing w:val="-2"/>
        </w:rPr>
        <w:t>those</w:t>
      </w:r>
      <w:r>
        <w:rPr>
          <w:spacing w:val="-12"/>
        </w:rPr>
        <w:t> </w:t>
      </w:r>
      <w:r>
        <w:rPr>
          <w:spacing w:val="-2"/>
        </w:rPr>
        <w:t>in</w:t>
      </w:r>
      <w:r>
        <w:rPr>
          <w:spacing w:val="-12"/>
        </w:rPr>
        <w:t> </w:t>
      </w:r>
      <w:r>
        <w:rPr>
          <w:spacing w:val="-2"/>
        </w:rPr>
        <w:t>the</w:t>
      </w:r>
      <w:r>
        <w:rPr>
          <w:spacing w:val="-12"/>
        </w:rPr>
        <w:t> </w:t>
      </w:r>
      <w:r>
        <w:rPr>
          <w:spacing w:val="-2"/>
        </w:rPr>
        <w:t>outside</w:t>
      </w:r>
      <w:r>
        <w:rPr>
          <w:spacing w:val="-11"/>
        </w:rPr>
        <w:t> </w:t>
      </w:r>
      <w:r>
        <w:rPr>
          <w:spacing w:val="-2"/>
        </w:rPr>
        <w:t>world has</w:t>
      </w:r>
      <w:r>
        <w:rPr>
          <w:spacing w:val="-10"/>
        </w:rPr>
        <w:t> </w:t>
      </w:r>
      <w:r>
        <w:rPr>
          <w:spacing w:val="-2"/>
        </w:rPr>
        <w:t>widened.</w:t>
      </w:r>
      <w:r>
        <w:rPr>
          <w:spacing w:val="-10"/>
        </w:rPr>
        <w:t> </w:t>
      </w:r>
      <w:r>
        <w:rPr>
          <w:spacing w:val="-2"/>
        </w:rPr>
        <w:t>And</w:t>
      </w:r>
      <w:r>
        <w:rPr>
          <w:spacing w:val="-10"/>
        </w:rPr>
        <w:t> </w:t>
      </w:r>
      <w:r>
        <w:rPr>
          <w:spacing w:val="-2"/>
        </w:rPr>
        <w:t>none</w:t>
      </w:r>
      <w:r>
        <w:rPr>
          <w:spacing w:val="-10"/>
        </w:rPr>
        <w:t> </w:t>
      </w:r>
      <w:r>
        <w:rPr>
          <w:spacing w:val="-2"/>
        </w:rPr>
        <w:t>of</w:t>
      </w:r>
      <w:r>
        <w:rPr>
          <w:spacing w:val="-10"/>
        </w:rPr>
        <w:t> </w:t>
      </w:r>
      <w:r>
        <w:rPr>
          <w:spacing w:val="-2"/>
        </w:rPr>
        <w:t>our</w:t>
      </w:r>
      <w:r>
        <w:rPr>
          <w:spacing w:val="-10"/>
        </w:rPr>
        <w:t> </w:t>
      </w:r>
      <w:r>
        <w:rPr>
          <w:spacing w:val="-2"/>
        </w:rPr>
        <w:t>universities</w:t>
      </w:r>
      <w:r>
        <w:rPr>
          <w:spacing w:val="-10"/>
        </w:rPr>
        <w:t> </w:t>
      </w:r>
      <w:r>
        <w:rPr>
          <w:spacing w:val="-2"/>
        </w:rPr>
        <w:t>rank</w:t>
      </w:r>
      <w:r>
        <w:rPr>
          <w:spacing w:val="-10"/>
        </w:rPr>
        <w:t> </w:t>
      </w:r>
      <w:r>
        <w:rPr>
          <w:spacing w:val="-2"/>
        </w:rPr>
        <w:t>among </w:t>
      </w:r>
      <w:r>
        <w:rPr>
          <w:spacing w:val="-4"/>
        </w:rPr>
        <w:t>the</w:t>
      </w:r>
      <w:r>
        <w:rPr>
          <w:spacing w:val="-10"/>
        </w:rPr>
        <w:t> </w:t>
      </w:r>
      <w:r>
        <w:rPr>
          <w:spacing w:val="-4"/>
        </w:rPr>
        <w:t>best,</w:t>
      </w:r>
      <w:r>
        <w:rPr>
          <w:spacing w:val="-10"/>
        </w:rPr>
        <w:t> </w:t>
      </w:r>
      <w:r>
        <w:rPr>
          <w:spacing w:val="-4"/>
        </w:rPr>
        <w:t>say</w:t>
      </w:r>
      <w:r>
        <w:rPr>
          <w:spacing w:val="-10"/>
        </w:rPr>
        <w:t> </w:t>
      </w:r>
      <w:r>
        <w:rPr>
          <w:spacing w:val="-4"/>
        </w:rPr>
        <w:t>the</w:t>
      </w:r>
      <w:r>
        <w:rPr>
          <w:spacing w:val="-7"/>
        </w:rPr>
        <w:t> </w:t>
      </w:r>
      <w:r>
        <w:rPr>
          <w:spacing w:val="-4"/>
        </w:rPr>
        <w:t>top</w:t>
      </w:r>
      <w:r>
        <w:rPr>
          <w:spacing w:val="-8"/>
        </w:rPr>
        <w:t> </w:t>
      </w:r>
      <w:r>
        <w:rPr>
          <w:spacing w:val="-4"/>
        </w:rPr>
        <w:t>50,</w:t>
      </w:r>
      <w:r>
        <w:rPr>
          <w:spacing w:val="-8"/>
        </w:rPr>
        <w:t> </w:t>
      </w:r>
      <w:r>
        <w:rPr>
          <w:spacing w:val="-4"/>
        </w:rPr>
        <w:t>in</w:t>
      </w:r>
      <w:r>
        <w:rPr>
          <w:spacing w:val="-8"/>
        </w:rPr>
        <w:t> </w:t>
      </w:r>
      <w:r>
        <w:rPr>
          <w:spacing w:val="-4"/>
        </w:rPr>
        <w:t>the</w:t>
      </w:r>
      <w:r>
        <w:rPr>
          <w:spacing w:val="-8"/>
        </w:rPr>
        <w:t> </w:t>
      </w:r>
      <w:r>
        <w:rPr>
          <w:spacing w:val="-4"/>
        </w:rPr>
        <w:t>world.</w:t>
      </w:r>
      <w:r>
        <w:rPr>
          <w:spacing w:val="-10"/>
        </w:rPr>
        <w:t> </w:t>
      </w:r>
      <w:r>
        <w:rPr>
          <w:spacing w:val="-4"/>
        </w:rPr>
        <w:t>The</w:t>
      </w:r>
      <w:r>
        <w:rPr>
          <w:spacing w:val="-8"/>
        </w:rPr>
        <w:t> </w:t>
      </w:r>
      <w:r>
        <w:rPr>
          <w:spacing w:val="-4"/>
        </w:rPr>
        <w:t>symptoms</w:t>
      </w:r>
      <w:r>
        <w:rPr>
          <w:spacing w:val="-8"/>
        </w:rPr>
        <w:t> </w:t>
      </w:r>
      <w:r>
        <w:rPr>
          <w:spacing w:val="-4"/>
        </w:rPr>
        <w:t>are </w:t>
      </w:r>
      <w:r>
        <w:rPr>
          <w:w w:val="90"/>
        </w:rPr>
        <w:t>clearly</w:t>
      </w:r>
      <w:r>
        <w:rPr>
          <w:spacing w:val="-7"/>
          <w:w w:val="90"/>
        </w:rPr>
        <w:t> </w:t>
      </w:r>
      <w:r>
        <w:rPr>
          <w:w w:val="90"/>
        </w:rPr>
        <w:t>visible,</w:t>
      </w:r>
      <w:r>
        <w:rPr>
          <w:spacing w:val="-7"/>
          <w:w w:val="90"/>
        </w:rPr>
        <w:t> </w:t>
      </w:r>
      <w:r>
        <w:rPr>
          <w:w w:val="90"/>
        </w:rPr>
        <w:t>even</w:t>
      </w:r>
      <w:r>
        <w:rPr>
          <w:spacing w:val="-7"/>
          <w:w w:val="90"/>
        </w:rPr>
        <w:t> </w:t>
      </w:r>
      <w:r>
        <w:rPr>
          <w:w w:val="90"/>
        </w:rPr>
        <w:t>if</w:t>
      </w:r>
      <w:r>
        <w:rPr>
          <w:spacing w:val="-7"/>
          <w:w w:val="90"/>
        </w:rPr>
        <w:t> </w:t>
      </w:r>
      <w:r>
        <w:rPr>
          <w:w w:val="90"/>
        </w:rPr>
        <w:t>we</w:t>
      </w:r>
      <w:r>
        <w:rPr>
          <w:spacing w:val="-7"/>
          <w:w w:val="90"/>
        </w:rPr>
        <w:t> </w:t>
      </w:r>
      <w:r>
        <w:rPr>
          <w:w w:val="90"/>
        </w:rPr>
        <w:t>do</w:t>
      </w:r>
      <w:r>
        <w:rPr>
          <w:spacing w:val="-7"/>
          <w:w w:val="90"/>
        </w:rPr>
        <w:t> </w:t>
      </w:r>
      <w:r>
        <w:rPr>
          <w:w w:val="90"/>
        </w:rPr>
        <w:t>not</w:t>
      </w:r>
      <w:r>
        <w:rPr>
          <w:spacing w:val="-7"/>
          <w:w w:val="90"/>
        </w:rPr>
        <w:t> </w:t>
      </w:r>
      <w:r>
        <w:rPr>
          <w:w w:val="90"/>
        </w:rPr>
        <w:t>wish</w:t>
      </w:r>
      <w:r>
        <w:rPr>
          <w:spacing w:val="-7"/>
          <w:w w:val="90"/>
        </w:rPr>
        <w:t> </w:t>
      </w:r>
      <w:r>
        <w:rPr>
          <w:w w:val="90"/>
        </w:rPr>
        <w:t>to</w:t>
      </w:r>
      <w:r>
        <w:rPr>
          <w:spacing w:val="-7"/>
          <w:w w:val="90"/>
        </w:rPr>
        <w:t> </w:t>
      </w:r>
      <w:r>
        <w:rPr>
          <w:w w:val="90"/>
        </w:rPr>
        <w:t>diagnose</w:t>
      </w:r>
      <w:r>
        <w:rPr>
          <w:spacing w:val="-7"/>
          <w:w w:val="90"/>
        </w:rPr>
        <w:t> </w:t>
      </w:r>
      <w:r>
        <w:rPr>
          <w:w w:val="90"/>
        </w:rPr>
        <w:t>what</w:t>
      </w:r>
      <w:r>
        <w:rPr>
          <w:spacing w:val="-7"/>
          <w:w w:val="90"/>
        </w:rPr>
        <w:t> </w:t>
      </w:r>
      <w:r>
        <w:rPr>
          <w:w w:val="90"/>
        </w:rPr>
        <w:t>ails </w:t>
      </w:r>
      <w:r>
        <w:rPr>
          <w:spacing w:val="-6"/>
        </w:rPr>
        <w:t>our universities. Of course, every problem does not exist everywhere.</w:t>
      </w:r>
      <w:r>
        <w:rPr>
          <w:spacing w:val="-8"/>
        </w:rPr>
        <w:t> </w:t>
      </w:r>
      <w:r>
        <w:rPr>
          <w:spacing w:val="-6"/>
        </w:rPr>
        <w:t>And</w:t>
      </w:r>
      <w:r>
        <w:rPr>
          <w:spacing w:val="-7"/>
        </w:rPr>
        <w:t> </w:t>
      </w:r>
      <w:r>
        <w:rPr>
          <w:spacing w:val="-6"/>
        </w:rPr>
        <w:t>there</w:t>
      </w:r>
      <w:r>
        <w:rPr>
          <w:spacing w:val="-8"/>
        </w:rPr>
        <w:t> </w:t>
      </w:r>
      <w:r>
        <w:rPr>
          <w:spacing w:val="-6"/>
        </w:rPr>
        <w:t>are</w:t>
      </w:r>
      <w:r>
        <w:rPr>
          <w:spacing w:val="-7"/>
        </w:rPr>
        <w:t> </w:t>
      </w:r>
      <w:r>
        <w:rPr>
          <w:spacing w:val="-6"/>
        </w:rPr>
        <w:t>exceptions.</w:t>
      </w:r>
      <w:r>
        <w:rPr>
          <w:spacing w:val="-8"/>
        </w:rPr>
        <w:t> </w:t>
      </w:r>
      <w:r>
        <w:rPr>
          <w:spacing w:val="-6"/>
        </w:rPr>
        <w:t>But</w:t>
      </w:r>
      <w:r>
        <w:rPr>
          <w:spacing w:val="-7"/>
        </w:rPr>
        <w:t> </w:t>
      </w:r>
      <w:r>
        <w:rPr>
          <w:spacing w:val="-6"/>
        </w:rPr>
        <w:t>the</w:t>
      </w:r>
      <w:r>
        <w:rPr>
          <w:spacing w:val="-8"/>
        </w:rPr>
        <w:t> </w:t>
      </w:r>
      <w:r>
        <w:rPr>
          <w:spacing w:val="-6"/>
        </w:rPr>
        <w:t>following problems</w:t>
      </w:r>
      <w:r>
        <w:rPr>
          <w:spacing w:val="-7"/>
        </w:rPr>
        <w:t> </w:t>
      </w:r>
      <w:r>
        <w:rPr>
          <w:spacing w:val="-6"/>
        </w:rPr>
        <w:t>are</w:t>
      </w:r>
      <w:r>
        <w:rPr>
          <w:spacing w:val="-7"/>
        </w:rPr>
        <w:t> </w:t>
      </w:r>
      <w:r>
        <w:rPr>
          <w:spacing w:val="-6"/>
        </w:rPr>
        <w:t>common</w:t>
      </w:r>
      <w:r>
        <w:rPr>
          <w:spacing w:val="-7"/>
        </w:rPr>
        <w:t> </w:t>
      </w:r>
      <w:r>
        <w:rPr>
          <w:spacing w:val="-6"/>
        </w:rPr>
        <w:t>enough</w:t>
      </w:r>
      <w:r>
        <w:rPr>
          <w:spacing w:val="-7"/>
        </w:rPr>
        <w:t> </w:t>
      </w:r>
      <w:r>
        <w:rPr>
          <w:spacing w:val="-6"/>
        </w:rPr>
        <w:t>to</w:t>
      </w:r>
      <w:r>
        <w:rPr>
          <w:spacing w:val="-7"/>
        </w:rPr>
        <w:t> </w:t>
      </w:r>
      <w:r>
        <w:rPr>
          <w:spacing w:val="-6"/>
        </w:rPr>
        <w:t>be</w:t>
      </w:r>
      <w:r>
        <w:rPr>
          <w:spacing w:val="-7"/>
        </w:rPr>
        <w:t> </w:t>
      </w:r>
      <w:r>
        <w:rPr>
          <w:spacing w:val="-6"/>
        </w:rPr>
        <w:t>a</w:t>
      </w:r>
      <w:r>
        <w:rPr>
          <w:spacing w:val="-7"/>
        </w:rPr>
        <w:t> </w:t>
      </w:r>
      <w:r>
        <w:rPr>
          <w:spacing w:val="-6"/>
        </w:rPr>
        <w:t>cause</w:t>
      </w:r>
      <w:r>
        <w:rPr>
          <w:spacing w:val="-7"/>
        </w:rPr>
        <w:t> </w:t>
      </w:r>
      <w:r>
        <w:rPr>
          <w:spacing w:val="-6"/>
        </w:rPr>
        <w:t>for</w:t>
      </w:r>
      <w:r>
        <w:rPr>
          <w:spacing w:val="-7"/>
        </w:rPr>
        <w:t> </w:t>
      </w:r>
      <w:r>
        <w:rPr>
          <w:spacing w:val="-6"/>
        </w:rPr>
        <w:t>concern. First, curricula, which have remained almost unchanged </w:t>
      </w:r>
      <w:r>
        <w:rPr>
          <w:spacing w:val="-4"/>
        </w:rPr>
        <w:t>for</w:t>
      </w:r>
      <w:r>
        <w:rPr>
          <w:spacing w:val="-9"/>
        </w:rPr>
        <w:t> </w:t>
      </w:r>
      <w:r>
        <w:rPr>
          <w:spacing w:val="-4"/>
        </w:rPr>
        <w:t>decades,</w:t>
      </w:r>
      <w:r>
        <w:rPr>
          <w:spacing w:val="-9"/>
        </w:rPr>
        <w:t> </w:t>
      </w:r>
      <w:r>
        <w:rPr>
          <w:spacing w:val="-4"/>
        </w:rPr>
        <w:t>have</w:t>
      </w:r>
      <w:r>
        <w:rPr>
          <w:spacing w:val="-9"/>
        </w:rPr>
        <w:t> </w:t>
      </w:r>
      <w:r>
        <w:rPr>
          <w:spacing w:val="-4"/>
        </w:rPr>
        <w:t>not</w:t>
      </w:r>
      <w:r>
        <w:rPr>
          <w:spacing w:val="-9"/>
        </w:rPr>
        <w:t> </w:t>
      </w:r>
      <w:r>
        <w:rPr>
          <w:spacing w:val="-4"/>
        </w:rPr>
        <w:t>kept</w:t>
      </w:r>
      <w:r>
        <w:rPr>
          <w:spacing w:val="-9"/>
        </w:rPr>
        <w:t> </w:t>
      </w:r>
      <w:r>
        <w:rPr>
          <w:spacing w:val="-4"/>
        </w:rPr>
        <w:t>pace</w:t>
      </w:r>
      <w:r>
        <w:rPr>
          <w:spacing w:val="-9"/>
        </w:rPr>
        <w:t> </w:t>
      </w:r>
      <w:r>
        <w:rPr>
          <w:spacing w:val="-4"/>
        </w:rPr>
        <w:t>with</w:t>
      </w:r>
      <w:r>
        <w:rPr>
          <w:spacing w:val="-9"/>
        </w:rPr>
        <w:t> </w:t>
      </w:r>
      <w:r>
        <w:rPr>
          <w:spacing w:val="-4"/>
        </w:rPr>
        <w:t>the</w:t>
      </w:r>
      <w:r>
        <w:rPr>
          <w:spacing w:val="-9"/>
        </w:rPr>
        <w:t> </w:t>
      </w:r>
      <w:r>
        <w:rPr>
          <w:spacing w:val="-4"/>
        </w:rPr>
        <w:t>times,</w:t>
      </w:r>
      <w:r>
        <w:rPr>
          <w:spacing w:val="-9"/>
        </w:rPr>
        <w:t> </w:t>
      </w:r>
      <w:r>
        <w:rPr>
          <w:spacing w:val="-4"/>
        </w:rPr>
        <w:t>let</w:t>
      </w:r>
      <w:r>
        <w:rPr>
          <w:spacing w:val="-9"/>
        </w:rPr>
        <w:t> </w:t>
      </w:r>
      <w:r>
        <w:rPr>
          <w:spacing w:val="-4"/>
        </w:rPr>
        <w:t>alone </w:t>
      </w:r>
      <w:r>
        <w:rPr/>
        <w:t>with the extending frontiers of knowledge. Second, learning</w:t>
      </w:r>
      <w:r>
        <w:rPr>
          <w:spacing w:val="-10"/>
        </w:rPr>
        <w:t> </w:t>
      </w:r>
      <w:r>
        <w:rPr/>
        <w:t>and</w:t>
      </w:r>
      <w:r>
        <w:rPr>
          <w:spacing w:val="-10"/>
        </w:rPr>
        <w:t> </w:t>
      </w:r>
      <w:r>
        <w:rPr/>
        <w:t>creativity</w:t>
      </w:r>
      <w:r>
        <w:rPr>
          <w:spacing w:val="-10"/>
        </w:rPr>
        <w:t> </w:t>
      </w:r>
      <w:r>
        <w:rPr/>
        <w:t>are</w:t>
      </w:r>
      <w:r>
        <w:rPr>
          <w:spacing w:val="-10"/>
        </w:rPr>
        <w:t> </w:t>
      </w:r>
      <w:r>
        <w:rPr/>
        <w:t>at</w:t>
      </w:r>
      <w:r>
        <w:rPr>
          <w:spacing w:val="-10"/>
        </w:rPr>
        <w:t> </w:t>
      </w:r>
      <w:r>
        <w:rPr/>
        <w:t>a</w:t>
      </w:r>
      <w:r>
        <w:rPr>
          <w:spacing w:val="-10"/>
        </w:rPr>
        <w:t> </w:t>
      </w:r>
      <w:r>
        <w:rPr/>
        <w:t>discount</w:t>
      </w:r>
      <w:r>
        <w:rPr>
          <w:spacing w:val="-10"/>
        </w:rPr>
        <w:t> </w:t>
      </w:r>
      <w:r>
        <w:rPr/>
        <w:t>in</w:t>
      </w:r>
      <w:r>
        <w:rPr>
          <w:spacing w:val="-10"/>
        </w:rPr>
        <w:t> </w:t>
      </w:r>
      <w:r>
        <w:rPr/>
        <w:t>a</w:t>
      </w:r>
      <w:r>
        <w:rPr>
          <w:spacing w:val="-10"/>
        </w:rPr>
        <w:t> </w:t>
      </w:r>
      <w:r>
        <w:rPr/>
        <w:t>system</w:t>
      </w:r>
      <w:r>
        <w:rPr>
          <w:spacing w:val="-10"/>
        </w:rPr>
        <w:t> </w:t>
      </w:r>
      <w:r>
        <w:rPr/>
        <w:t>of assessment that places a premium on memory rather than</w:t>
      </w:r>
      <w:r>
        <w:rPr>
          <w:spacing w:val="-14"/>
        </w:rPr>
        <w:t> </w:t>
      </w:r>
      <w:r>
        <w:rPr/>
        <w:t>understanding.</w:t>
      </w:r>
      <w:r>
        <w:rPr>
          <w:spacing w:val="-14"/>
        </w:rPr>
        <w:t> </w:t>
      </w:r>
      <w:r>
        <w:rPr/>
        <w:t>Third,</w:t>
      </w:r>
      <w:r>
        <w:rPr>
          <w:spacing w:val="-14"/>
        </w:rPr>
        <w:t> </w:t>
      </w:r>
      <w:r>
        <w:rPr/>
        <w:t>the</w:t>
      </w:r>
      <w:r>
        <w:rPr>
          <w:spacing w:val="-13"/>
        </w:rPr>
        <w:t> </w:t>
      </w:r>
      <w:r>
        <w:rPr/>
        <w:t>milieu</w:t>
      </w:r>
      <w:r>
        <w:rPr>
          <w:spacing w:val="-14"/>
        </w:rPr>
        <w:t> </w:t>
      </w:r>
      <w:r>
        <w:rPr/>
        <w:t>is</w:t>
      </w:r>
      <w:r>
        <w:rPr>
          <w:spacing w:val="-14"/>
        </w:rPr>
        <w:t> </w:t>
      </w:r>
      <w:r>
        <w:rPr/>
        <w:t>not</w:t>
      </w:r>
      <w:r>
        <w:rPr>
          <w:spacing w:val="-14"/>
        </w:rPr>
        <w:t> </w:t>
      </w:r>
      <w:r>
        <w:rPr/>
        <w:t>conducive </w:t>
      </w:r>
      <w:r>
        <w:rPr>
          <w:spacing w:val="-2"/>
        </w:rPr>
        <w:t>to</w:t>
      </w:r>
      <w:r>
        <w:rPr>
          <w:spacing w:val="-5"/>
        </w:rPr>
        <w:t> </w:t>
      </w:r>
      <w:r>
        <w:rPr>
          <w:spacing w:val="-2"/>
        </w:rPr>
        <w:t>anything</w:t>
      </w:r>
      <w:r>
        <w:rPr>
          <w:spacing w:val="-4"/>
        </w:rPr>
        <w:t> </w:t>
      </w:r>
      <w:r>
        <w:rPr>
          <w:spacing w:val="-2"/>
        </w:rPr>
        <w:t>beyond</w:t>
      </w:r>
      <w:r>
        <w:rPr>
          <w:spacing w:val="-4"/>
        </w:rPr>
        <w:t> </w:t>
      </w:r>
      <w:r>
        <w:rPr>
          <w:spacing w:val="-2"/>
        </w:rPr>
        <w:t>the</w:t>
      </w:r>
      <w:r>
        <w:rPr>
          <w:spacing w:val="-4"/>
        </w:rPr>
        <w:t> </w:t>
      </w:r>
      <w:r>
        <w:rPr>
          <w:spacing w:val="-2"/>
        </w:rPr>
        <w:t>class</w:t>
      </w:r>
      <w:r>
        <w:rPr>
          <w:spacing w:val="-4"/>
        </w:rPr>
        <w:t> </w:t>
      </w:r>
      <w:r>
        <w:rPr>
          <w:spacing w:val="-2"/>
        </w:rPr>
        <w:t>room,</w:t>
      </w:r>
      <w:r>
        <w:rPr>
          <w:spacing w:val="-4"/>
        </w:rPr>
        <w:t> </w:t>
      </w:r>
      <w:r>
        <w:rPr>
          <w:spacing w:val="-2"/>
        </w:rPr>
        <w:t>for</w:t>
      </w:r>
      <w:r>
        <w:rPr>
          <w:spacing w:val="-4"/>
        </w:rPr>
        <w:t> </w:t>
      </w:r>
      <w:r>
        <w:rPr>
          <w:spacing w:val="-2"/>
        </w:rPr>
        <w:t>it</w:t>
      </w:r>
      <w:r>
        <w:rPr>
          <w:spacing w:val="-4"/>
        </w:rPr>
        <w:t> </w:t>
      </w:r>
      <w:r>
        <w:rPr>
          <w:spacing w:val="-2"/>
        </w:rPr>
        <w:t>is</w:t>
      </w:r>
      <w:r>
        <w:rPr>
          <w:spacing w:val="-5"/>
        </w:rPr>
        <w:t> </w:t>
      </w:r>
      <w:r>
        <w:rPr>
          <w:spacing w:val="-2"/>
        </w:rPr>
        <w:t>caught</w:t>
      </w:r>
      <w:r>
        <w:rPr>
          <w:spacing w:val="-4"/>
        </w:rPr>
        <w:t> </w:t>
      </w:r>
      <w:r>
        <w:rPr>
          <w:spacing w:val="-2"/>
        </w:rPr>
        <w:t>in</w:t>
      </w:r>
      <w:r>
        <w:rPr>
          <w:spacing w:val="-4"/>
        </w:rPr>
        <w:t> </w:t>
      </w:r>
      <w:r>
        <w:rPr>
          <w:spacing w:val="-10"/>
        </w:rPr>
        <w:t>a</w:t>
      </w:r>
    </w:p>
    <w:p>
      <w:pPr>
        <w:pStyle w:val="BodyText"/>
        <w:spacing w:line="238" w:lineRule="exact"/>
        <w:ind w:left="1080"/>
        <w:jc w:val="both"/>
      </w:pPr>
      <w:r>
        <w:rPr/>
        <w:t>9.30</w:t>
      </w:r>
      <w:r>
        <w:rPr>
          <w:spacing w:val="-4"/>
        </w:rPr>
        <w:t> </w:t>
      </w:r>
      <w:r>
        <w:rPr/>
        <w:t>to</w:t>
      </w:r>
      <w:r>
        <w:rPr>
          <w:spacing w:val="-4"/>
        </w:rPr>
        <w:t> </w:t>
      </w:r>
      <w:r>
        <w:rPr/>
        <w:t>1.30</w:t>
      </w:r>
      <w:r>
        <w:rPr>
          <w:spacing w:val="-3"/>
        </w:rPr>
        <w:t> </w:t>
      </w:r>
      <w:r>
        <w:rPr/>
        <w:t>syndrome.</w:t>
      </w:r>
      <w:r>
        <w:rPr>
          <w:spacing w:val="-4"/>
        </w:rPr>
        <w:t> </w:t>
      </w:r>
      <w:r>
        <w:rPr/>
        <w:t>Fourth,</w:t>
      </w:r>
      <w:r>
        <w:rPr>
          <w:spacing w:val="-3"/>
        </w:rPr>
        <w:t> </w:t>
      </w:r>
      <w:r>
        <w:rPr/>
        <w:t>the</w:t>
      </w:r>
      <w:r>
        <w:rPr>
          <w:spacing w:val="-4"/>
        </w:rPr>
        <w:t> </w:t>
      </w:r>
      <w:r>
        <w:rPr/>
        <w:t>academic</w:t>
      </w:r>
      <w:r>
        <w:rPr>
          <w:spacing w:val="-3"/>
        </w:rPr>
        <w:t> </w:t>
      </w:r>
      <w:r>
        <w:rPr>
          <w:spacing w:val="-5"/>
        </w:rPr>
        <w:t>calendar</w:t>
      </w:r>
    </w:p>
    <w:p>
      <w:pPr>
        <w:pStyle w:val="BodyText"/>
        <w:spacing w:line="266" w:lineRule="auto" w:before="27"/>
        <w:ind w:left="1080"/>
        <w:jc w:val="both"/>
      </w:pPr>
      <w:r>
        <w:rPr>
          <w:spacing w:val="-2"/>
        </w:rPr>
        <w:t>is</w:t>
      </w:r>
      <w:r>
        <w:rPr>
          <w:spacing w:val="-9"/>
        </w:rPr>
        <w:t> </w:t>
      </w:r>
      <w:r>
        <w:rPr>
          <w:spacing w:val="-2"/>
        </w:rPr>
        <w:t>no</w:t>
      </w:r>
      <w:r>
        <w:rPr>
          <w:spacing w:val="-9"/>
        </w:rPr>
        <w:t> </w:t>
      </w:r>
      <w:r>
        <w:rPr>
          <w:spacing w:val="-2"/>
        </w:rPr>
        <w:t>longer</w:t>
      </w:r>
      <w:r>
        <w:rPr>
          <w:spacing w:val="-9"/>
        </w:rPr>
        <w:t> </w:t>
      </w:r>
      <w:r>
        <w:rPr>
          <w:spacing w:val="-2"/>
        </w:rPr>
        <w:t>sacrosanct</w:t>
      </w:r>
      <w:r>
        <w:rPr>
          <w:spacing w:val="-9"/>
        </w:rPr>
        <w:t> </w:t>
      </w:r>
      <w:r>
        <w:rPr>
          <w:spacing w:val="-2"/>
        </w:rPr>
        <w:t>for</w:t>
      </w:r>
      <w:r>
        <w:rPr>
          <w:spacing w:val="-9"/>
        </w:rPr>
        <w:t> </w:t>
      </w:r>
      <w:r>
        <w:rPr>
          <w:spacing w:val="-2"/>
        </w:rPr>
        <w:t>classes</w:t>
      </w:r>
      <w:r>
        <w:rPr>
          <w:spacing w:val="-9"/>
        </w:rPr>
        <w:t> </w:t>
      </w:r>
      <w:r>
        <w:rPr>
          <w:spacing w:val="-2"/>
        </w:rPr>
        <w:t>or</w:t>
      </w:r>
      <w:r>
        <w:rPr>
          <w:spacing w:val="-9"/>
        </w:rPr>
        <w:t> </w:t>
      </w:r>
      <w:r>
        <w:rPr>
          <w:spacing w:val="-2"/>
        </w:rPr>
        <w:t>for</w:t>
      </w:r>
      <w:r>
        <w:rPr>
          <w:spacing w:val="-9"/>
        </w:rPr>
        <w:t> </w:t>
      </w:r>
      <w:r>
        <w:rPr>
          <w:spacing w:val="-2"/>
        </w:rPr>
        <w:t>examinations, </w:t>
      </w:r>
      <w:r>
        <w:rPr/>
        <w:t>as</w:t>
      </w:r>
      <w:r>
        <w:rPr>
          <w:spacing w:val="-11"/>
        </w:rPr>
        <w:t> </w:t>
      </w:r>
      <w:r>
        <w:rPr/>
        <w:t>there</w:t>
      </w:r>
      <w:r>
        <w:rPr>
          <w:spacing w:val="-11"/>
        </w:rPr>
        <w:t> </w:t>
      </w:r>
      <w:r>
        <w:rPr/>
        <w:t>are</w:t>
      </w:r>
      <w:r>
        <w:rPr>
          <w:spacing w:val="-11"/>
        </w:rPr>
        <w:t> </w:t>
      </w:r>
      <w:r>
        <w:rPr/>
        <w:t>slip</w:t>
      </w:r>
      <w:r>
        <w:rPr>
          <w:spacing w:val="-11"/>
        </w:rPr>
        <w:t> </w:t>
      </w:r>
      <w:r>
        <w:rPr/>
        <w:t>pages</w:t>
      </w:r>
      <w:r>
        <w:rPr>
          <w:spacing w:val="-11"/>
        </w:rPr>
        <w:t> </w:t>
      </w:r>
      <w:r>
        <w:rPr/>
        <w:t>in</w:t>
      </w:r>
      <w:r>
        <w:rPr>
          <w:spacing w:val="-11"/>
        </w:rPr>
        <w:t> </w:t>
      </w:r>
      <w:r>
        <w:rPr/>
        <w:t>schedules</w:t>
      </w:r>
      <w:r>
        <w:rPr>
          <w:spacing w:val="-11"/>
        </w:rPr>
        <w:t> </w:t>
      </w:r>
      <w:r>
        <w:rPr/>
        <w:t>so</w:t>
      </w:r>
      <w:r>
        <w:rPr>
          <w:spacing w:val="-11"/>
        </w:rPr>
        <w:t> </w:t>
      </w:r>
      <w:r>
        <w:rPr/>
        <w:t>much</w:t>
      </w:r>
      <w:r>
        <w:rPr>
          <w:spacing w:val="-11"/>
        </w:rPr>
        <w:t> </w:t>
      </w:r>
      <w:r>
        <w:rPr/>
        <w:t>so</w:t>
      </w:r>
      <w:r>
        <w:rPr>
          <w:spacing w:val="-11"/>
        </w:rPr>
        <w:t> </w:t>
      </w:r>
      <w:r>
        <w:rPr/>
        <w:t>that,</w:t>
      </w:r>
      <w:r>
        <w:rPr>
          <w:spacing w:val="-11"/>
        </w:rPr>
        <w:t> </w:t>
      </w:r>
      <w:r>
        <w:rPr/>
        <w:t>at </w:t>
      </w:r>
      <w:r>
        <w:rPr>
          <w:spacing w:val="-2"/>
        </w:rPr>
        <w:t>several</w:t>
      </w:r>
      <w:r>
        <w:rPr>
          <w:spacing w:val="-10"/>
        </w:rPr>
        <w:t> </w:t>
      </w:r>
      <w:r>
        <w:rPr>
          <w:spacing w:val="-2"/>
        </w:rPr>
        <w:t>places,</w:t>
      </w:r>
      <w:r>
        <w:rPr>
          <w:spacing w:val="-10"/>
        </w:rPr>
        <w:t> </w:t>
      </w:r>
      <w:r>
        <w:rPr>
          <w:spacing w:val="-2"/>
        </w:rPr>
        <w:t>classes</w:t>
      </w:r>
      <w:r>
        <w:rPr>
          <w:spacing w:val="-10"/>
        </w:rPr>
        <w:t> </w:t>
      </w:r>
      <w:r>
        <w:rPr>
          <w:spacing w:val="-2"/>
        </w:rPr>
        <w:t>in</w:t>
      </w:r>
      <w:r>
        <w:rPr>
          <w:spacing w:val="-10"/>
        </w:rPr>
        <w:t> </w:t>
      </w:r>
      <w:r>
        <w:rPr>
          <w:spacing w:val="-2"/>
        </w:rPr>
        <w:t>the</w:t>
      </w:r>
      <w:r>
        <w:rPr>
          <w:spacing w:val="-10"/>
        </w:rPr>
        <w:t> </w:t>
      </w:r>
      <w:r>
        <w:rPr>
          <w:spacing w:val="-2"/>
        </w:rPr>
        <w:t>timetable</w:t>
      </w:r>
      <w:r>
        <w:rPr>
          <w:spacing w:val="-10"/>
        </w:rPr>
        <w:t> </w:t>
      </w:r>
      <w:r>
        <w:rPr>
          <w:spacing w:val="-2"/>
        </w:rPr>
        <w:t>are</w:t>
      </w:r>
      <w:r>
        <w:rPr>
          <w:spacing w:val="-10"/>
        </w:rPr>
        <w:t> </w:t>
      </w:r>
      <w:r>
        <w:rPr>
          <w:spacing w:val="-2"/>
        </w:rPr>
        <w:t>not</w:t>
      </w:r>
      <w:r>
        <w:rPr>
          <w:spacing w:val="-10"/>
        </w:rPr>
        <w:t> </w:t>
      </w:r>
      <w:r>
        <w:rPr>
          <w:spacing w:val="-2"/>
        </w:rPr>
        <w:t>held</w:t>
      </w:r>
      <w:r>
        <w:rPr>
          <w:spacing w:val="-10"/>
        </w:rPr>
        <w:t> </w:t>
      </w:r>
      <w:r>
        <w:rPr>
          <w:spacing w:val="-2"/>
        </w:rPr>
        <w:t>and </w:t>
      </w:r>
      <w:r>
        <w:rPr/>
        <w:t>results are often declared with a time-lag of 6 to 12 </w:t>
      </w:r>
      <w:r>
        <w:rPr>
          <w:spacing w:val="-2"/>
        </w:rPr>
        <w:t>months.</w:t>
      </w:r>
      <w:r>
        <w:rPr>
          <w:spacing w:val="-7"/>
        </w:rPr>
        <w:t> </w:t>
      </w:r>
      <w:r>
        <w:rPr>
          <w:spacing w:val="-2"/>
        </w:rPr>
        <w:t>Fifth,</w:t>
      </w:r>
      <w:r>
        <w:rPr>
          <w:spacing w:val="-7"/>
        </w:rPr>
        <w:t> </w:t>
      </w:r>
      <w:r>
        <w:rPr>
          <w:spacing w:val="-2"/>
        </w:rPr>
        <w:t>the</w:t>
      </w:r>
      <w:r>
        <w:rPr>
          <w:spacing w:val="-7"/>
        </w:rPr>
        <w:t> </w:t>
      </w:r>
      <w:r>
        <w:rPr>
          <w:spacing w:val="-2"/>
        </w:rPr>
        <w:t>infrastructure</w:t>
      </w:r>
      <w:r>
        <w:rPr>
          <w:spacing w:val="-7"/>
        </w:rPr>
        <w:t> </w:t>
      </w:r>
      <w:r>
        <w:rPr>
          <w:spacing w:val="-2"/>
        </w:rPr>
        <w:t>is</w:t>
      </w:r>
      <w:r>
        <w:rPr>
          <w:spacing w:val="-7"/>
        </w:rPr>
        <w:t> </w:t>
      </w:r>
      <w:r>
        <w:rPr>
          <w:spacing w:val="-2"/>
        </w:rPr>
        <w:t>not</w:t>
      </w:r>
      <w:r>
        <w:rPr>
          <w:spacing w:val="-7"/>
        </w:rPr>
        <w:t> </w:t>
      </w:r>
      <w:r>
        <w:rPr>
          <w:spacing w:val="-2"/>
        </w:rPr>
        <w:t>only</w:t>
      </w:r>
      <w:r>
        <w:rPr>
          <w:spacing w:val="-7"/>
        </w:rPr>
        <w:t> </w:t>
      </w:r>
      <w:r>
        <w:rPr>
          <w:spacing w:val="-2"/>
        </w:rPr>
        <w:t>inadequate but</w:t>
      </w:r>
      <w:r>
        <w:rPr>
          <w:spacing w:val="-9"/>
        </w:rPr>
        <w:t> </w:t>
      </w:r>
      <w:r>
        <w:rPr>
          <w:spacing w:val="-2"/>
        </w:rPr>
        <w:t>also</w:t>
      </w:r>
      <w:r>
        <w:rPr>
          <w:spacing w:val="-9"/>
        </w:rPr>
        <w:t> </w:t>
      </w:r>
      <w:r>
        <w:rPr>
          <w:spacing w:val="-2"/>
        </w:rPr>
        <w:t>on</w:t>
      </w:r>
      <w:r>
        <w:rPr>
          <w:spacing w:val="-9"/>
        </w:rPr>
        <w:t> </w:t>
      </w:r>
      <w:r>
        <w:rPr>
          <w:spacing w:val="-2"/>
        </w:rPr>
        <w:t>the</w:t>
      </w:r>
      <w:r>
        <w:rPr>
          <w:spacing w:val="-9"/>
        </w:rPr>
        <w:t> </w:t>
      </w:r>
      <w:r>
        <w:rPr>
          <w:spacing w:val="-2"/>
        </w:rPr>
        <w:t>verge</w:t>
      </w:r>
      <w:r>
        <w:rPr>
          <w:spacing w:val="-9"/>
        </w:rPr>
        <w:t> </w:t>
      </w:r>
      <w:r>
        <w:rPr>
          <w:spacing w:val="-2"/>
        </w:rPr>
        <w:t>of</w:t>
      </w:r>
      <w:r>
        <w:rPr>
          <w:spacing w:val="-9"/>
        </w:rPr>
        <w:t> </w:t>
      </w:r>
      <w:r>
        <w:rPr>
          <w:spacing w:val="-2"/>
        </w:rPr>
        <w:t>collapse.</w:t>
      </w:r>
      <w:r>
        <w:rPr>
          <w:spacing w:val="-9"/>
        </w:rPr>
        <w:t> </w:t>
      </w:r>
      <w:r>
        <w:rPr>
          <w:spacing w:val="-2"/>
        </w:rPr>
        <w:t>Sixth,</w:t>
      </w:r>
      <w:r>
        <w:rPr>
          <w:spacing w:val="-9"/>
        </w:rPr>
        <w:t> </w:t>
      </w:r>
      <w:r>
        <w:rPr>
          <w:spacing w:val="-2"/>
        </w:rPr>
        <w:t>the</w:t>
      </w:r>
      <w:r>
        <w:rPr>
          <w:spacing w:val="-9"/>
        </w:rPr>
        <w:t> </w:t>
      </w:r>
      <w:r>
        <w:rPr>
          <w:spacing w:val="-2"/>
        </w:rPr>
        <w:t>boundaries </w:t>
      </w:r>
      <w:r>
        <w:rPr/>
        <w:t>between disciplines have become dividing walls that constitute</w:t>
      </w:r>
      <w:r>
        <w:rPr>
          <w:spacing w:val="-7"/>
        </w:rPr>
        <w:t> </w:t>
      </w:r>
      <w:r>
        <w:rPr/>
        <w:t>barriers</w:t>
      </w:r>
      <w:r>
        <w:rPr>
          <w:spacing w:val="-7"/>
        </w:rPr>
        <w:t> </w:t>
      </w:r>
      <w:r>
        <w:rPr/>
        <w:t>to</w:t>
      </w:r>
      <w:r>
        <w:rPr>
          <w:spacing w:val="-7"/>
        </w:rPr>
        <w:t> </w:t>
      </w:r>
      <w:r>
        <w:rPr/>
        <w:t>entry</w:t>
      </w:r>
      <w:r>
        <w:rPr>
          <w:spacing w:val="-7"/>
        </w:rPr>
        <w:t> </w:t>
      </w:r>
      <w:r>
        <w:rPr/>
        <w:t>for</w:t>
      </w:r>
      <w:r>
        <w:rPr>
          <w:spacing w:val="-7"/>
        </w:rPr>
        <w:t> </w:t>
      </w:r>
      <w:r>
        <w:rPr/>
        <w:t>new</w:t>
      </w:r>
      <w:r>
        <w:rPr>
          <w:spacing w:val="-7"/>
        </w:rPr>
        <w:t> </w:t>
      </w:r>
      <w:r>
        <w:rPr/>
        <w:t>disciplines</w:t>
      </w:r>
      <w:r>
        <w:rPr>
          <w:spacing w:val="-7"/>
        </w:rPr>
        <w:t> </w:t>
      </w:r>
      <w:r>
        <w:rPr/>
        <w:t>or</w:t>
      </w:r>
      <w:r>
        <w:rPr>
          <w:spacing w:val="-7"/>
        </w:rPr>
        <w:t> </w:t>
      </w:r>
      <w:r>
        <w:rPr/>
        <w:t>new </w:t>
      </w:r>
      <w:r>
        <w:rPr>
          <w:spacing w:val="-4"/>
        </w:rPr>
        <w:t>courses,</w:t>
      </w:r>
      <w:r>
        <w:rPr>
          <w:spacing w:val="-7"/>
        </w:rPr>
        <w:t> </w:t>
      </w:r>
      <w:r>
        <w:rPr>
          <w:spacing w:val="-4"/>
        </w:rPr>
        <w:t>while</w:t>
      </w:r>
      <w:r>
        <w:rPr>
          <w:spacing w:val="-7"/>
        </w:rPr>
        <w:t> </w:t>
      </w:r>
      <w:r>
        <w:rPr>
          <w:spacing w:val="-4"/>
        </w:rPr>
        <w:t>knowledge</w:t>
      </w:r>
      <w:r>
        <w:rPr>
          <w:spacing w:val="-7"/>
        </w:rPr>
        <w:t> </w:t>
      </w:r>
      <w:r>
        <w:rPr>
          <w:spacing w:val="-4"/>
        </w:rPr>
        <w:t>is</w:t>
      </w:r>
      <w:r>
        <w:rPr>
          <w:spacing w:val="-7"/>
        </w:rPr>
        <w:t> </w:t>
      </w:r>
      <w:r>
        <w:rPr>
          <w:spacing w:val="-4"/>
        </w:rPr>
        <w:t>developing</w:t>
      </w:r>
      <w:r>
        <w:rPr>
          <w:spacing w:val="-7"/>
        </w:rPr>
        <w:t> </w:t>
      </w:r>
      <w:r>
        <w:rPr>
          <w:spacing w:val="-4"/>
        </w:rPr>
        <w:t>most</w:t>
      </w:r>
      <w:r>
        <w:rPr>
          <w:spacing w:val="-7"/>
        </w:rPr>
        <w:t> </w:t>
      </w:r>
      <w:r>
        <w:rPr>
          <w:spacing w:val="-4"/>
        </w:rPr>
        <w:t>rapidly</w:t>
      </w:r>
      <w:r>
        <w:rPr>
          <w:spacing w:val="-7"/>
        </w:rPr>
        <w:t> </w:t>
      </w:r>
      <w:r>
        <w:rPr>
          <w:spacing w:val="-4"/>
        </w:rPr>
        <w:t>at </w:t>
      </w:r>
      <w:r>
        <w:rPr>
          <w:spacing w:val="-2"/>
        </w:rPr>
        <w:t>the</w:t>
      </w:r>
      <w:r>
        <w:rPr>
          <w:spacing w:val="-12"/>
        </w:rPr>
        <w:t> </w:t>
      </w:r>
      <w:r>
        <w:rPr>
          <w:spacing w:val="-2"/>
        </w:rPr>
        <w:t>intersection</w:t>
      </w:r>
      <w:r>
        <w:rPr>
          <w:spacing w:val="-12"/>
        </w:rPr>
        <w:t> </w:t>
      </w:r>
      <w:r>
        <w:rPr>
          <w:spacing w:val="-2"/>
        </w:rPr>
        <w:t>of</w:t>
      </w:r>
      <w:r>
        <w:rPr>
          <w:spacing w:val="-12"/>
        </w:rPr>
        <w:t> </w:t>
      </w:r>
      <w:r>
        <w:rPr>
          <w:spacing w:val="-2"/>
        </w:rPr>
        <w:t>disciplines.</w:t>
      </w:r>
      <w:r>
        <w:rPr>
          <w:spacing w:val="-11"/>
        </w:rPr>
        <w:t> </w:t>
      </w:r>
      <w:r>
        <w:rPr>
          <w:spacing w:val="-2"/>
        </w:rPr>
        <w:t>Seventh,</w:t>
      </w:r>
      <w:r>
        <w:rPr>
          <w:spacing w:val="-12"/>
        </w:rPr>
        <w:t> </w:t>
      </w:r>
      <w:r>
        <w:rPr>
          <w:spacing w:val="-2"/>
        </w:rPr>
        <w:t>the</w:t>
      </w:r>
      <w:r>
        <w:rPr>
          <w:spacing w:val="-12"/>
        </w:rPr>
        <w:t> </w:t>
      </w:r>
      <w:r>
        <w:rPr>
          <w:spacing w:val="-2"/>
        </w:rPr>
        <w:t>importance </w:t>
      </w:r>
      <w:r>
        <w:rPr/>
        <w:t>attached to research has eroded steadily over </w:t>
      </w:r>
      <w:r>
        <w:rPr/>
        <w:t>time. Eighth, the volume of research in terms of frequency of</w:t>
      </w:r>
      <w:r>
        <w:rPr>
          <w:spacing w:val="-2"/>
        </w:rPr>
        <w:t> </w:t>
      </w:r>
      <w:r>
        <w:rPr/>
        <w:t>publication</w:t>
      </w:r>
      <w:r>
        <w:rPr>
          <w:spacing w:val="-2"/>
        </w:rPr>
        <w:t> </w:t>
      </w:r>
      <w:r>
        <w:rPr/>
        <w:t>and</w:t>
      </w:r>
      <w:r>
        <w:rPr>
          <w:spacing w:val="-2"/>
        </w:rPr>
        <w:t> </w:t>
      </w:r>
      <w:r>
        <w:rPr/>
        <w:t>the</w:t>
      </w:r>
      <w:r>
        <w:rPr>
          <w:spacing w:val="-2"/>
        </w:rPr>
        <w:t> </w:t>
      </w:r>
      <w:r>
        <w:rPr/>
        <w:t>quality</w:t>
      </w:r>
      <w:r>
        <w:rPr>
          <w:spacing w:val="-2"/>
        </w:rPr>
        <w:t> </w:t>
      </w:r>
      <w:r>
        <w:rPr/>
        <w:t>of</w:t>
      </w:r>
      <w:r>
        <w:rPr>
          <w:spacing w:val="-2"/>
        </w:rPr>
        <w:t> </w:t>
      </w:r>
      <w:r>
        <w:rPr/>
        <w:t>research</w:t>
      </w:r>
      <w:r>
        <w:rPr>
          <w:spacing w:val="-2"/>
        </w:rPr>
        <w:t> </w:t>
      </w:r>
      <w:r>
        <w:rPr/>
        <w:t>reflected</w:t>
      </w:r>
      <w:r>
        <w:rPr>
          <w:spacing w:val="-2"/>
        </w:rPr>
        <w:t> </w:t>
      </w:r>
      <w:r>
        <w:rPr/>
        <w:t>in </w:t>
      </w:r>
      <w:r>
        <w:rPr>
          <w:spacing w:val="-2"/>
        </w:rPr>
        <w:t>the</w:t>
      </w:r>
      <w:r>
        <w:rPr>
          <w:spacing w:val="-12"/>
        </w:rPr>
        <w:t> </w:t>
      </w:r>
      <w:r>
        <w:rPr>
          <w:spacing w:val="-2"/>
        </w:rPr>
        <w:t>frequency</w:t>
      </w:r>
      <w:r>
        <w:rPr>
          <w:spacing w:val="-11"/>
        </w:rPr>
        <w:t> </w:t>
      </w:r>
      <w:r>
        <w:rPr>
          <w:spacing w:val="-2"/>
        </w:rPr>
        <w:t>of</w:t>
      </w:r>
      <w:r>
        <w:rPr>
          <w:spacing w:val="-12"/>
        </w:rPr>
        <w:t> </w:t>
      </w:r>
      <w:r>
        <w:rPr>
          <w:spacing w:val="-2"/>
        </w:rPr>
        <w:t>citation</w:t>
      </w:r>
      <w:r>
        <w:rPr>
          <w:spacing w:val="-11"/>
        </w:rPr>
        <w:t> </w:t>
      </w:r>
      <w:r>
        <w:rPr>
          <w:spacing w:val="-2"/>
        </w:rPr>
        <w:t>or</w:t>
      </w:r>
      <w:r>
        <w:rPr>
          <w:spacing w:val="-12"/>
        </w:rPr>
        <w:t> </w:t>
      </w:r>
      <w:r>
        <w:rPr>
          <w:spacing w:val="-2"/>
        </w:rPr>
        <w:t>the</w:t>
      </w:r>
      <w:r>
        <w:rPr>
          <w:spacing w:val="-11"/>
        </w:rPr>
        <w:t> </w:t>
      </w:r>
      <w:r>
        <w:rPr>
          <w:spacing w:val="-2"/>
        </w:rPr>
        <w:t>place</w:t>
      </w:r>
      <w:r>
        <w:rPr>
          <w:spacing w:val="-12"/>
        </w:rPr>
        <w:t> </w:t>
      </w:r>
      <w:r>
        <w:rPr>
          <w:spacing w:val="-2"/>
        </w:rPr>
        <w:t>of</w:t>
      </w:r>
      <w:r>
        <w:rPr>
          <w:spacing w:val="-11"/>
        </w:rPr>
        <w:t> </w:t>
      </w:r>
      <w:r>
        <w:rPr>
          <w:spacing w:val="-2"/>
        </w:rPr>
        <w:t>publication,</w:t>
      </w:r>
      <w:r>
        <w:rPr>
          <w:spacing w:val="-12"/>
        </w:rPr>
        <w:t> </w:t>
      </w:r>
      <w:r>
        <w:rPr>
          <w:spacing w:val="-2"/>
        </w:rPr>
        <w:t>on </w:t>
      </w:r>
      <w:r>
        <w:rPr/>
        <w:t>balance,</w:t>
      </w:r>
      <w:r>
        <w:rPr>
          <w:spacing w:val="-1"/>
        </w:rPr>
        <w:t> </w:t>
      </w:r>
      <w:r>
        <w:rPr/>
        <w:t>is</w:t>
      </w:r>
      <w:r>
        <w:rPr>
          <w:spacing w:val="-1"/>
        </w:rPr>
        <w:t> </w:t>
      </w:r>
      <w:r>
        <w:rPr/>
        <w:t>simply</w:t>
      </w:r>
      <w:r>
        <w:rPr>
          <w:spacing w:val="-1"/>
        </w:rPr>
        <w:t> </w:t>
      </w:r>
      <w:r>
        <w:rPr/>
        <w:t>not</w:t>
      </w:r>
      <w:r>
        <w:rPr>
          <w:spacing w:val="-1"/>
        </w:rPr>
        <w:t> </w:t>
      </w:r>
      <w:r>
        <w:rPr/>
        <w:t>what</w:t>
      </w:r>
      <w:r>
        <w:rPr>
          <w:spacing w:val="-1"/>
        </w:rPr>
        <w:t> </w:t>
      </w:r>
      <w:r>
        <w:rPr/>
        <w:t>it</w:t>
      </w:r>
      <w:r>
        <w:rPr>
          <w:spacing w:val="-1"/>
        </w:rPr>
        <w:t> </w:t>
      </w:r>
      <w:r>
        <w:rPr/>
        <w:t>used</w:t>
      </w:r>
      <w:r>
        <w:rPr>
          <w:spacing w:val="-1"/>
        </w:rPr>
        <w:t> </w:t>
      </w:r>
      <w:r>
        <w:rPr/>
        <w:t>to</w:t>
      </w:r>
      <w:r>
        <w:rPr>
          <w:spacing w:val="-1"/>
        </w:rPr>
        <w:t> </w:t>
      </w:r>
      <w:r>
        <w:rPr/>
        <w:t>be.</w:t>
      </w:r>
      <w:r>
        <w:rPr>
          <w:spacing w:val="-1"/>
        </w:rPr>
        <w:t> </w:t>
      </w:r>
      <w:r>
        <w:rPr/>
        <w:t>Ninth,</w:t>
      </w:r>
      <w:r>
        <w:rPr>
          <w:spacing w:val="-1"/>
        </w:rPr>
        <w:t> </w:t>
      </w:r>
      <w:r>
        <w:rPr/>
        <w:t>as</w:t>
      </w:r>
      <w:r>
        <w:rPr>
          <w:spacing w:val="-1"/>
        </w:rPr>
        <w:t> </w:t>
      </w:r>
      <w:r>
        <w:rPr/>
        <w:t>in most public institutions, there is little accountability, because</w:t>
      </w:r>
      <w:r>
        <w:rPr>
          <w:spacing w:val="-2"/>
        </w:rPr>
        <w:t> </w:t>
      </w:r>
      <w:r>
        <w:rPr/>
        <w:t>there</w:t>
      </w:r>
      <w:r>
        <w:rPr>
          <w:spacing w:val="-2"/>
        </w:rPr>
        <w:t> </w:t>
      </w:r>
      <w:r>
        <w:rPr/>
        <w:t>are</w:t>
      </w:r>
      <w:r>
        <w:rPr>
          <w:spacing w:val="-2"/>
        </w:rPr>
        <w:t> </w:t>
      </w:r>
      <w:r>
        <w:rPr/>
        <w:t>no</w:t>
      </w:r>
      <w:r>
        <w:rPr>
          <w:spacing w:val="-2"/>
        </w:rPr>
        <w:t> </w:t>
      </w:r>
      <w:r>
        <w:rPr/>
        <w:t>rewards</w:t>
      </w:r>
      <w:r>
        <w:rPr>
          <w:spacing w:val="-2"/>
        </w:rPr>
        <w:t> </w:t>
      </w:r>
      <w:r>
        <w:rPr/>
        <w:t>for</w:t>
      </w:r>
      <w:r>
        <w:rPr>
          <w:spacing w:val="-2"/>
        </w:rPr>
        <w:t> </w:t>
      </w:r>
      <w:r>
        <w:rPr/>
        <w:t>performance</w:t>
      </w:r>
      <w:r>
        <w:rPr>
          <w:spacing w:val="-2"/>
        </w:rPr>
        <w:t> </w:t>
      </w:r>
      <w:r>
        <w:rPr/>
        <w:t>and</w:t>
      </w:r>
      <w:r>
        <w:rPr>
          <w:spacing w:val="-2"/>
        </w:rPr>
        <w:t> </w:t>
      </w:r>
      <w:r>
        <w:rPr/>
        <w:t>no penalties for non-performance. Tenth, structures of </w:t>
      </w:r>
      <w:r>
        <w:rPr>
          <w:spacing w:val="-4"/>
        </w:rPr>
        <w:t>governance</w:t>
      </w:r>
      <w:r>
        <w:rPr>
          <w:spacing w:val="-9"/>
        </w:rPr>
        <w:t> </w:t>
      </w:r>
      <w:r>
        <w:rPr>
          <w:spacing w:val="-4"/>
        </w:rPr>
        <w:t>put</w:t>
      </w:r>
      <w:r>
        <w:rPr>
          <w:spacing w:val="-9"/>
        </w:rPr>
        <w:t> </w:t>
      </w:r>
      <w:r>
        <w:rPr>
          <w:spacing w:val="-4"/>
        </w:rPr>
        <w:t>in</w:t>
      </w:r>
      <w:r>
        <w:rPr>
          <w:spacing w:val="-9"/>
        </w:rPr>
        <w:t> </w:t>
      </w:r>
      <w:r>
        <w:rPr>
          <w:spacing w:val="-4"/>
        </w:rPr>
        <w:t>place</w:t>
      </w:r>
      <w:r>
        <w:rPr>
          <w:spacing w:val="-9"/>
        </w:rPr>
        <w:t> </w:t>
      </w:r>
      <w:r>
        <w:rPr>
          <w:spacing w:val="-4"/>
        </w:rPr>
        <w:t>50</w:t>
      </w:r>
      <w:r>
        <w:rPr>
          <w:spacing w:val="-9"/>
        </w:rPr>
        <w:t> </w:t>
      </w:r>
      <w:r>
        <w:rPr>
          <w:spacing w:val="-4"/>
        </w:rPr>
        <w:t>years</w:t>
      </w:r>
      <w:r>
        <w:rPr>
          <w:spacing w:val="-9"/>
        </w:rPr>
        <w:t> </w:t>
      </w:r>
      <w:r>
        <w:rPr>
          <w:spacing w:val="-4"/>
        </w:rPr>
        <w:t>ago</w:t>
      </w:r>
      <w:r>
        <w:rPr>
          <w:spacing w:val="-9"/>
        </w:rPr>
        <w:t> </w:t>
      </w:r>
      <w:r>
        <w:rPr>
          <w:spacing w:val="-4"/>
        </w:rPr>
        <w:t>are</w:t>
      </w:r>
      <w:r>
        <w:rPr>
          <w:spacing w:val="-9"/>
        </w:rPr>
        <w:t> </w:t>
      </w:r>
      <w:r>
        <w:rPr>
          <w:spacing w:val="-4"/>
        </w:rPr>
        <w:t>not</w:t>
      </w:r>
      <w:r>
        <w:rPr>
          <w:spacing w:val="-9"/>
        </w:rPr>
        <w:t> </w:t>
      </w:r>
      <w:r>
        <w:rPr>
          <w:spacing w:val="-4"/>
        </w:rPr>
        <w:t>responsive </w:t>
      </w:r>
      <w:r>
        <w:rPr/>
        <w:t>to</w:t>
      </w:r>
      <w:r>
        <w:rPr>
          <w:spacing w:val="-16"/>
        </w:rPr>
        <w:t> </w:t>
      </w:r>
      <w:r>
        <w:rPr/>
        <w:t>changing</w:t>
      </w:r>
      <w:r>
        <w:rPr>
          <w:spacing w:val="-14"/>
        </w:rPr>
        <w:t> </w:t>
      </w:r>
      <w:r>
        <w:rPr/>
        <w:t>times</w:t>
      </w:r>
      <w:r>
        <w:rPr>
          <w:spacing w:val="-14"/>
        </w:rPr>
        <w:t> </w:t>
      </w:r>
      <w:r>
        <w:rPr/>
        <w:t>and</w:t>
      </w:r>
      <w:r>
        <w:rPr>
          <w:spacing w:val="-13"/>
        </w:rPr>
        <w:t> </w:t>
      </w:r>
      <w:r>
        <w:rPr/>
        <w:t>circumstances</w:t>
      </w:r>
      <w:r>
        <w:rPr>
          <w:spacing w:val="-14"/>
        </w:rPr>
        <w:t> </w:t>
      </w:r>
      <w:r>
        <w:rPr/>
        <w:t>but</w:t>
      </w:r>
      <w:r>
        <w:rPr>
          <w:spacing w:val="-14"/>
        </w:rPr>
        <w:t> </w:t>
      </w:r>
      <w:r>
        <w:rPr/>
        <w:t>the</w:t>
      </w:r>
      <w:r>
        <w:rPr>
          <w:spacing w:val="-14"/>
        </w:rPr>
        <w:t> </w:t>
      </w:r>
      <w:r>
        <w:rPr/>
        <w:t>system</w:t>
      </w:r>
      <w:r>
        <w:rPr>
          <w:spacing w:val="-13"/>
        </w:rPr>
        <w:t> </w:t>
      </w:r>
      <w:r>
        <w:rPr/>
        <w:t>is readily</w:t>
      </w:r>
      <w:r>
        <w:rPr>
          <w:spacing w:val="-7"/>
        </w:rPr>
        <w:t> </w:t>
      </w:r>
      <w:r>
        <w:rPr/>
        <w:t>subverted</w:t>
      </w:r>
      <w:r>
        <w:rPr>
          <w:spacing w:val="-7"/>
        </w:rPr>
        <w:t> </w:t>
      </w:r>
      <w:r>
        <w:rPr/>
        <w:t>by</w:t>
      </w:r>
      <w:r>
        <w:rPr>
          <w:spacing w:val="-7"/>
        </w:rPr>
        <w:t> </w:t>
      </w:r>
      <w:r>
        <w:rPr/>
        <w:t>vested</w:t>
      </w:r>
      <w:r>
        <w:rPr>
          <w:spacing w:val="-7"/>
        </w:rPr>
        <w:t> </w:t>
      </w:r>
      <w:r>
        <w:rPr/>
        <w:t>interests.</w:t>
      </w:r>
    </w:p>
    <w:p>
      <w:pPr>
        <w:pStyle w:val="BodyText"/>
        <w:spacing w:line="266" w:lineRule="auto" w:before="77"/>
        <w:ind w:left="319" w:right="1077"/>
        <w:jc w:val="both"/>
      </w:pPr>
      <w:r>
        <w:rPr/>
        <w:br w:type="column"/>
      </w:r>
      <w:r>
        <w:rPr/>
        <w:t>It is difficult enough to provide a complete </w:t>
      </w:r>
      <w:r>
        <w:rPr/>
        <w:t>diagnosis of</w:t>
      </w:r>
      <w:r>
        <w:rPr>
          <w:spacing w:val="-3"/>
        </w:rPr>
        <w:t> </w:t>
      </w:r>
      <w:r>
        <w:rPr/>
        <w:t>what</w:t>
      </w:r>
      <w:r>
        <w:rPr>
          <w:spacing w:val="-3"/>
        </w:rPr>
        <w:t> </w:t>
      </w:r>
      <w:r>
        <w:rPr/>
        <w:t>ails</w:t>
      </w:r>
      <w:r>
        <w:rPr>
          <w:spacing w:val="-3"/>
        </w:rPr>
        <w:t> </w:t>
      </w:r>
      <w:r>
        <w:rPr/>
        <w:t>our</w:t>
      </w:r>
      <w:r>
        <w:rPr>
          <w:spacing w:val="-3"/>
        </w:rPr>
        <w:t> </w:t>
      </w:r>
      <w:r>
        <w:rPr/>
        <w:t>universities.</w:t>
      </w:r>
      <w:r>
        <w:rPr>
          <w:spacing w:val="-3"/>
        </w:rPr>
        <w:t> </w:t>
      </w:r>
      <w:r>
        <w:rPr/>
        <w:t>It</w:t>
      </w:r>
      <w:r>
        <w:rPr>
          <w:spacing w:val="-3"/>
        </w:rPr>
        <w:t> </w:t>
      </w:r>
      <w:r>
        <w:rPr/>
        <w:t>is</w:t>
      </w:r>
      <w:r>
        <w:rPr>
          <w:spacing w:val="-3"/>
        </w:rPr>
        <w:t> </w:t>
      </w:r>
      <w:r>
        <w:rPr/>
        <w:t>even</w:t>
      </w:r>
      <w:r>
        <w:rPr>
          <w:spacing w:val="-3"/>
        </w:rPr>
        <w:t> </w:t>
      </w:r>
      <w:r>
        <w:rPr/>
        <w:t>more</w:t>
      </w:r>
      <w:r>
        <w:rPr>
          <w:spacing w:val="-3"/>
        </w:rPr>
        <w:t> </w:t>
      </w:r>
      <w:r>
        <w:rPr/>
        <w:t>difficult, if not impossible, to outline a set of prescriptions for our</w:t>
      </w:r>
      <w:r>
        <w:rPr>
          <w:spacing w:val="-8"/>
        </w:rPr>
        <w:t> </w:t>
      </w:r>
      <w:r>
        <w:rPr/>
        <w:t>universities.</w:t>
      </w:r>
      <w:r>
        <w:rPr>
          <w:spacing w:val="-8"/>
        </w:rPr>
        <w:t> </w:t>
      </w:r>
      <w:r>
        <w:rPr/>
        <w:t>Nevertheless,</w:t>
      </w:r>
      <w:r>
        <w:rPr>
          <w:spacing w:val="-8"/>
        </w:rPr>
        <w:t> </w:t>
      </w:r>
      <w:r>
        <w:rPr/>
        <w:t>it</w:t>
      </w:r>
      <w:r>
        <w:rPr>
          <w:spacing w:val="-8"/>
        </w:rPr>
        <w:t> </w:t>
      </w:r>
      <w:r>
        <w:rPr/>
        <w:t>is</w:t>
      </w:r>
      <w:r>
        <w:rPr>
          <w:spacing w:val="-8"/>
        </w:rPr>
        <w:t> </w:t>
      </w:r>
      <w:r>
        <w:rPr/>
        <w:t>clear</w:t>
      </w:r>
      <w:r>
        <w:rPr>
          <w:spacing w:val="-8"/>
        </w:rPr>
        <w:t> </w:t>
      </w:r>
      <w:r>
        <w:rPr/>
        <w:t>that</w:t>
      </w:r>
      <w:r>
        <w:rPr>
          <w:spacing w:val="-8"/>
        </w:rPr>
        <w:t> </w:t>
      </w:r>
      <w:r>
        <w:rPr/>
        <w:t>a</w:t>
      </w:r>
      <w:r>
        <w:rPr>
          <w:spacing w:val="-8"/>
        </w:rPr>
        <w:t> </w:t>
      </w:r>
      <w:r>
        <w:rPr/>
        <w:t>reform of</w:t>
      </w:r>
      <w:r>
        <w:rPr>
          <w:spacing w:val="-3"/>
        </w:rPr>
        <w:t> </w:t>
      </w:r>
      <w:r>
        <w:rPr/>
        <w:t>existing</w:t>
      </w:r>
      <w:r>
        <w:rPr>
          <w:spacing w:val="-3"/>
        </w:rPr>
        <w:t> </w:t>
      </w:r>
      <w:r>
        <w:rPr/>
        <w:t>institutions</w:t>
      </w:r>
      <w:r>
        <w:rPr>
          <w:spacing w:val="-3"/>
        </w:rPr>
        <w:t> </w:t>
      </w:r>
      <w:r>
        <w:rPr/>
        <w:t>must</w:t>
      </w:r>
      <w:r>
        <w:rPr>
          <w:spacing w:val="-3"/>
        </w:rPr>
        <w:t> </w:t>
      </w:r>
      <w:r>
        <w:rPr/>
        <w:t>be</w:t>
      </w:r>
      <w:r>
        <w:rPr>
          <w:spacing w:val="-3"/>
        </w:rPr>
        <w:t> </w:t>
      </w:r>
      <w:r>
        <w:rPr/>
        <w:t>an</w:t>
      </w:r>
      <w:r>
        <w:rPr>
          <w:spacing w:val="-3"/>
        </w:rPr>
        <w:t> </w:t>
      </w:r>
      <w:r>
        <w:rPr/>
        <w:t>integral</w:t>
      </w:r>
      <w:r>
        <w:rPr>
          <w:spacing w:val="-3"/>
        </w:rPr>
        <w:t> </w:t>
      </w:r>
      <w:r>
        <w:rPr/>
        <w:t>part</w:t>
      </w:r>
      <w:r>
        <w:rPr>
          <w:spacing w:val="-3"/>
        </w:rPr>
        <w:t> </w:t>
      </w:r>
      <w:r>
        <w:rPr/>
        <w:t>of</w:t>
      </w:r>
      <w:r>
        <w:rPr>
          <w:spacing w:val="-3"/>
        </w:rPr>
        <w:t> </w:t>
      </w:r>
      <w:r>
        <w:rPr/>
        <w:t>our </w:t>
      </w:r>
      <w:r>
        <w:rPr>
          <w:spacing w:val="-4"/>
        </w:rPr>
        <w:t>endeavour</w:t>
      </w:r>
      <w:r>
        <w:rPr>
          <w:spacing w:val="-8"/>
        </w:rPr>
        <w:t> </w:t>
      </w:r>
      <w:r>
        <w:rPr>
          <w:spacing w:val="-4"/>
        </w:rPr>
        <w:t>to</w:t>
      </w:r>
      <w:r>
        <w:rPr>
          <w:spacing w:val="-7"/>
        </w:rPr>
        <w:t> </w:t>
      </w:r>
      <w:r>
        <w:rPr>
          <w:spacing w:val="-4"/>
        </w:rPr>
        <w:t>transform</w:t>
      </w:r>
      <w:r>
        <w:rPr>
          <w:spacing w:val="-7"/>
        </w:rPr>
        <w:t> </w:t>
      </w:r>
      <w:r>
        <w:rPr>
          <w:spacing w:val="-4"/>
        </w:rPr>
        <w:t>higher</w:t>
      </w:r>
      <w:r>
        <w:rPr>
          <w:spacing w:val="-7"/>
        </w:rPr>
        <w:t> </w:t>
      </w:r>
      <w:r>
        <w:rPr>
          <w:spacing w:val="-4"/>
        </w:rPr>
        <w:t>education.</w:t>
      </w:r>
      <w:r>
        <w:rPr>
          <w:spacing w:val="-10"/>
        </w:rPr>
        <w:t> </w:t>
      </w:r>
      <w:r>
        <w:rPr>
          <w:spacing w:val="-4"/>
        </w:rPr>
        <w:t>We</w:t>
      </w:r>
      <w:r>
        <w:rPr>
          <w:spacing w:val="-7"/>
        </w:rPr>
        <w:t> </w:t>
      </w:r>
      <w:r>
        <w:rPr>
          <w:spacing w:val="-4"/>
        </w:rPr>
        <w:t>recognise </w:t>
      </w:r>
      <w:r>
        <w:rPr/>
        <w:t>that</w:t>
      </w:r>
      <w:r>
        <w:rPr>
          <w:spacing w:val="-1"/>
        </w:rPr>
        <w:t> </w:t>
      </w:r>
      <w:r>
        <w:rPr/>
        <w:t>this</w:t>
      </w:r>
      <w:r>
        <w:rPr>
          <w:spacing w:val="-1"/>
        </w:rPr>
        <w:t> </w:t>
      </w:r>
      <w:r>
        <w:rPr/>
        <w:t>is</w:t>
      </w:r>
      <w:r>
        <w:rPr>
          <w:spacing w:val="-1"/>
        </w:rPr>
        <w:t> </w:t>
      </w:r>
      <w:r>
        <w:rPr/>
        <w:t>easier</w:t>
      </w:r>
      <w:r>
        <w:rPr>
          <w:spacing w:val="-1"/>
        </w:rPr>
        <w:t> </w:t>
      </w:r>
      <w:r>
        <w:rPr/>
        <w:t>said</w:t>
      </w:r>
      <w:r>
        <w:rPr>
          <w:spacing w:val="-1"/>
        </w:rPr>
        <w:t> </w:t>
      </w:r>
      <w:r>
        <w:rPr/>
        <w:t>than</w:t>
      </w:r>
      <w:r>
        <w:rPr>
          <w:spacing w:val="-1"/>
        </w:rPr>
        <w:t> </w:t>
      </w:r>
      <w:r>
        <w:rPr/>
        <w:t>done.</w:t>
      </w:r>
      <w:r>
        <w:rPr>
          <w:spacing w:val="-1"/>
        </w:rPr>
        <w:t> </w:t>
      </w:r>
      <w:r>
        <w:rPr/>
        <w:t>Even</w:t>
      </w:r>
      <w:r>
        <w:rPr>
          <w:spacing w:val="-1"/>
        </w:rPr>
        <w:t> </w:t>
      </w:r>
      <w:r>
        <w:rPr/>
        <w:t>so,</w:t>
      </w:r>
      <w:r>
        <w:rPr>
          <w:spacing w:val="-1"/>
        </w:rPr>
        <w:t> </w:t>
      </w:r>
      <w:r>
        <w:rPr/>
        <w:t>we</w:t>
      </w:r>
      <w:r>
        <w:rPr>
          <w:spacing w:val="-1"/>
        </w:rPr>
        <w:t> </w:t>
      </w:r>
      <w:r>
        <w:rPr/>
        <w:t>believe that reforms in the following spheres, along the lines suggested</w:t>
      </w:r>
      <w:r>
        <w:rPr>
          <w:spacing w:val="-3"/>
        </w:rPr>
        <w:t> </w:t>
      </w:r>
      <w:r>
        <w:rPr/>
        <w:t>by</w:t>
      </w:r>
      <w:r>
        <w:rPr>
          <w:spacing w:val="-3"/>
        </w:rPr>
        <w:t> </w:t>
      </w:r>
      <w:r>
        <w:rPr/>
        <w:t>us,</w:t>
      </w:r>
      <w:r>
        <w:rPr>
          <w:spacing w:val="-3"/>
        </w:rPr>
        <w:t> </w:t>
      </w:r>
      <w:r>
        <w:rPr/>
        <w:t>are</w:t>
      </w:r>
      <w:r>
        <w:rPr>
          <w:spacing w:val="-3"/>
        </w:rPr>
        <w:t> </w:t>
      </w:r>
      <w:r>
        <w:rPr/>
        <w:t>not</w:t>
      </w:r>
      <w:r>
        <w:rPr>
          <w:spacing w:val="-3"/>
        </w:rPr>
        <w:t> </w:t>
      </w:r>
      <w:r>
        <w:rPr/>
        <w:t>only</w:t>
      </w:r>
      <w:r>
        <w:rPr>
          <w:spacing w:val="-3"/>
        </w:rPr>
        <w:t> </w:t>
      </w:r>
      <w:r>
        <w:rPr/>
        <w:t>possible</w:t>
      </w:r>
      <w:r>
        <w:rPr>
          <w:spacing w:val="-3"/>
        </w:rPr>
        <w:t> </w:t>
      </w:r>
      <w:r>
        <w:rPr/>
        <w:t>but</w:t>
      </w:r>
      <w:r>
        <w:rPr>
          <w:spacing w:val="-3"/>
        </w:rPr>
        <w:t> </w:t>
      </w:r>
      <w:r>
        <w:rPr/>
        <w:t>would</w:t>
      </w:r>
      <w:r>
        <w:rPr>
          <w:spacing w:val="-3"/>
        </w:rPr>
        <w:t> </w:t>
      </w:r>
      <w:r>
        <w:rPr/>
        <w:t>also make a difference.</w:t>
      </w:r>
    </w:p>
    <w:p>
      <w:pPr>
        <w:pStyle w:val="BodyText"/>
        <w:spacing w:before="19"/>
      </w:pPr>
    </w:p>
    <w:p>
      <w:pPr>
        <w:pStyle w:val="BodyText"/>
        <w:spacing w:line="266" w:lineRule="auto"/>
        <w:ind w:left="319" w:right="1077"/>
        <w:jc w:val="both"/>
      </w:pPr>
      <w:r>
        <w:rPr>
          <w:b/>
        </w:rPr>
        <w:t>Number and size: </w:t>
      </w:r>
      <w:r>
        <w:rPr/>
        <w:t>India has about 350 </w:t>
      </w:r>
      <w:r>
        <w:rPr/>
        <w:t>universities. This number is simply not enough with reference to our needs in higher education, or in comparison with China</w:t>
      </w:r>
      <w:r>
        <w:rPr>
          <w:spacing w:val="-3"/>
        </w:rPr>
        <w:t> </w:t>
      </w:r>
      <w:r>
        <w:rPr/>
        <w:t>which</w:t>
      </w:r>
      <w:r>
        <w:rPr>
          <w:spacing w:val="-3"/>
        </w:rPr>
        <w:t> </w:t>
      </w:r>
      <w:r>
        <w:rPr/>
        <w:t>has</w:t>
      </w:r>
      <w:r>
        <w:rPr>
          <w:spacing w:val="-3"/>
        </w:rPr>
        <w:t> </w:t>
      </w:r>
      <w:r>
        <w:rPr/>
        <w:t>authorised</w:t>
      </w:r>
      <w:r>
        <w:rPr>
          <w:spacing w:val="-3"/>
        </w:rPr>
        <w:t> </w:t>
      </w:r>
      <w:r>
        <w:rPr/>
        <w:t>the</w:t>
      </w:r>
      <w:r>
        <w:rPr>
          <w:spacing w:val="-3"/>
        </w:rPr>
        <w:t> </w:t>
      </w:r>
      <w:r>
        <w:rPr/>
        <w:t>creation</w:t>
      </w:r>
      <w:r>
        <w:rPr>
          <w:spacing w:val="-3"/>
        </w:rPr>
        <w:t> </w:t>
      </w:r>
      <w:r>
        <w:rPr/>
        <w:t>of</w:t>
      </w:r>
      <w:r>
        <w:rPr>
          <w:spacing w:val="-3"/>
        </w:rPr>
        <w:t> </w:t>
      </w:r>
      <w:r>
        <w:rPr/>
        <w:t>1250</w:t>
      </w:r>
      <w:r>
        <w:rPr>
          <w:spacing w:val="-3"/>
        </w:rPr>
        <w:t> </w:t>
      </w:r>
      <w:r>
        <w:rPr/>
        <w:t>new universities in the last three years. Yet, some of our universities</w:t>
      </w:r>
      <w:r>
        <w:rPr>
          <w:spacing w:val="-14"/>
        </w:rPr>
        <w:t> </w:t>
      </w:r>
      <w:r>
        <w:rPr/>
        <w:t>are</w:t>
      </w:r>
      <w:r>
        <w:rPr>
          <w:spacing w:val="-14"/>
        </w:rPr>
        <w:t> </w:t>
      </w:r>
      <w:r>
        <w:rPr/>
        <w:t>much</w:t>
      </w:r>
      <w:r>
        <w:rPr>
          <w:spacing w:val="-14"/>
        </w:rPr>
        <w:t> </w:t>
      </w:r>
      <w:r>
        <w:rPr/>
        <w:t>too</w:t>
      </w:r>
      <w:r>
        <w:rPr>
          <w:spacing w:val="-13"/>
        </w:rPr>
        <w:t> </w:t>
      </w:r>
      <w:r>
        <w:rPr/>
        <w:t>large,</w:t>
      </w:r>
      <w:r>
        <w:rPr>
          <w:spacing w:val="-14"/>
        </w:rPr>
        <w:t> </w:t>
      </w:r>
      <w:r>
        <w:rPr/>
        <w:t>for</w:t>
      </w:r>
      <w:r>
        <w:rPr>
          <w:spacing w:val="-14"/>
        </w:rPr>
        <w:t> </w:t>
      </w:r>
      <w:r>
        <w:rPr/>
        <w:t>ensuring</w:t>
      </w:r>
      <w:r>
        <w:rPr>
          <w:spacing w:val="-14"/>
        </w:rPr>
        <w:t> </w:t>
      </w:r>
      <w:r>
        <w:rPr/>
        <w:t>academic standards and providing good governance. We need to create more appropriately scaled and more nimble universities.</w:t>
      </w:r>
      <w:r>
        <w:rPr>
          <w:spacing w:val="-14"/>
        </w:rPr>
        <w:t> </w:t>
      </w:r>
      <w:r>
        <w:rPr/>
        <w:t>The</w:t>
      </w:r>
      <w:r>
        <w:rPr>
          <w:spacing w:val="-14"/>
        </w:rPr>
        <w:t> </w:t>
      </w:r>
      <w:r>
        <w:rPr/>
        <w:t>moral</w:t>
      </w:r>
      <w:r>
        <w:rPr>
          <w:spacing w:val="-11"/>
        </w:rPr>
        <w:t> </w:t>
      </w:r>
      <w:r>
        <w:rPr/>
        <w:t>of</w:t>
      </w:r>
      <w:r>
        <w:rPr>
          <w:spacing w:val="-11"/>
        </w:rPr>
        <w:t> </w:t>
      </w:r>
      <w:r>
        <w:rPr/>
        <w:t>the</w:t>
      </w:r>
      <w:r>
        <w:rPr>
          <w:spacing w:val="-11"/>
        </w:rPr>
        <w:t> </w:t>
      </w:r>
      <w:r>
        <w:rPr/>
        <w:t>story</w:t>
      </w:r>
      <w:r>
        <w:rPr>
          <w:spacing w:val="-11"/>
        </w:rPr>
        <w:t> </w:t>
      </w:r>
      <w:r>
        <w:rPr/>
        <w:t>is</w:t>
      </w:r>
      <w:r>
        <w:rPr>
          <w:spacing w:val="-11"/>
        </w:rPr>
        <w:t> </w:t>
      </w:r>
      <w:r>
        <w:rPr/>
        <w:t>not</w:t>
      </w:r>
      <w:r>
        <w:rPr>
          <w:spacing w:val="-11"/>
        </w:rPr>
        <w:t> </w:t>
      </w:r>
      <w:r>
        <w:rPr/>
        <w:t>only</w:t>
      </w:r>
      <w:r>
        <w:rPr>
          <w:spacing w:val="-11"/>
        </w:rPr>
        <w:t> </w:t>
      </w:r>
      <w:r>
        <w:rPr/>
        <w:t>that</w:t>
      </w:r>
      <w:r>
        <w:rPr>
          <w:spacing w:val="-11"/>
        </w:rPr>
        <w:t> </w:t>
      </w:r>
      <w:r>
        <w:rPr/>
        <w:t>we need a much larger number of universities, say 1500 nationwide by 2015, but also that we need smaller universities</w:t>
      </w:r>
      <w:r>
        <w:rPr>
          <w:spacing w:val="-14"/>
        </w:rPr>
        <w:t> </w:t>
      </w:r>
      <w:r>
        <w:rPr/>
        <w:t>which</w:t>
      </w:r>
      <w:r>
        <w:rPr>
          <w:spacing w:val="-14"/>
        </w:rPr>
        <w:t> </w:t>
      </w:r>
      <w:r>
        <w:rPr/>
        <w:t>are</w:t>
      </w:r>
      <w:r>
        <w:rPr>
          <w:spacing w:val="-14"/>
        </w:rPr>
        <w:t> </w:t>
      </w:r>
      <w:r>
        <w:rPr/>
        <w:t>responsive</w:t>
      </w:r>
      <w:r>
        <w:rPr>
          <w:spacing w:val="-13"/>
        </w:rPr>
        <w:t> </w:t>
      </w:r>
      <w:r>
        <w:rPr/>
        <w:t>to</w:t>
      </w:r>
      <w:r>
        <w:rPr>
          <w:spacing w:val="-14"/>
        </w:rPr>
        <w:t> </w:t>
      </w:r>
      <w:r>
        <w:rPr/>
        <w:t>change</w:t>
      </w:r>
      <w:r>
        <w:rPr>
          <w:spacing w:val="-14"/>
        </w:rPr>
        <w:t> </w:t>
      </w:r>
      <w:r>
        <w:rPr/>
        <w:t>and</w:t>
      </w:r>
      <w:r>
        <w:rPr>
          <w:spacing w:val="-14"/>
        </w:rPr>
        <w:t> </w:t>
      </w:r>
      <w:r>
        <w:rPr/>
        <w:t>easier to manage.</w:t>
      </w:r>
    </w:p>
    <w:p>
      <w:pPr>
        <w:pStyle w:val="BodyText"/>
        <w:spacing w:before="17"/>
      </w:pPr>
    </w:p>
    <w:p>
      <w:pPr>
        <w:pStyle w:val="BodyText"/>
        <w:spacing w:line="266" w:lineRule="auto"/>
        <w:ind w:left="319" w:right="1077"/>
        <w:jc w:val="both"/>
      </w:pPr>
      <w:r>
        <w:rPr>
          <w:b/>
        </w:rPr>
        <w:t>Curriculum: </w:t>
      </w:r>
      <w:r>
        <w:rPr/>
        <w:t>The syllabi of courses in </w:t>
      </w:r>
      <w:r>
        <w:rPr/>
        <w:t>universities, which remain unchanged for decades, need to be upgraded</w:t>
      </w:r>
      <w:r>
        <w:rPr>
          <w:spacing w:val="-8"/>
        </w:rPr>
        <w:t> </w:t>
      </w:r>
      <w:r>
        <w:rPr/>
        <w:t>constantly</w:t>
      </w:r>
      <w:r>
        <w:rPr>
          <w:spacing w:val="-8"/>
        </w:rPr>
        <w:t> </w:t>
      </w:r>
      <w:r>
        <w:rPr/>
        <w:t>and</w:t>
      </w:r>
      <w:r>
        <w:rPr>
          <w:spacing w:val="-8"/>
        </w:rPr>
        <w:t> </w:t>
      </w:r>
      <w:r>
        <w:rPr/>
        <w:t>revised</w:t>
      </w:r>
      <w:r>
        <w:rPr>
          <w:spacing w:val="-8"/>
        </w:rPr>
        <w:t> </w:t>
      </w:r>
      <w:r>
        <w:rPr/>
        <w:t>frequently.</w:t>
      </w:r>
      <w:r>
        <w:rPr>
          <w:spacing w:val="-13"/>
        </w:rPr>
        <w:t> </w:t>
      </w:r>
      <w:r>
        <w:rPr/>
        <w:t>The</w:t>
      </w:r>
      <w:r>
        <w:rPr>
          <w:spacing w:val="-8"/>
        </w:rPr>
        <w:t> </w:t>
      </w:r>
      <w:r>
        <w:rPr/>
        <w:t>laws of inertia reinforced by resistance to change must be overcome.</w:t>
      </w:r>
      <w:r>
        <w:rPr>
          <w:spacing w:val="-14"/>
        </w:rPr>
        <w:t> </w:t>
      </w:r>
      <w:r>
        <w:rPr/>
        <w:t>Universities</w:t>
      </w:r>
      <w:r>
        <w:rPr>
          <w:spacing w:val="-14"/>
        </w:rPr>
        <w:t> </w:t>
      </w:r>
      <w:r>
        <w:rPr/>
        <w:t>should</w:t>
      </w:r>
      <w:r>
        <w:rPr>
          <w:spacing w:val="-14"/>
        </w:rPr>
        <w:t> </w:t>
      </w:r>
      <w:r>
        <w:rPr/>
        <w:t>be</w:t>
      </w:r>
      <w:r>
        <w:rPr>
          <w:spacing w:val="-13"/>
        </w:rPr>
        <w:t> </w:t>
      </w:r>
      <w:r>
        <w:rPr/>
        <w:t>required</w:t>
      </w:r>
      <w:r>
        <w:rPr>
          <w:spacing w:val="-14"/>
        </w:rPr>
        <w:t> </w:t>
      </w:r>
      <w:r>
        <w:rPr/>
        <w:t>to</w:t>
      </w:r>
      <w:r>
        <w:rPr>
          <w:spacing w:val="-14"/>
        </w:rPr>
        <w:t> </w:t>
      </w:r>
      <w:r>
        <w:rPr/>
        <w:t>revise</w:t>
      </w:r>
      <w:r>
        <w:rPr>
          <w:spacing w:val="-14"/>
        </w:rPr>
        <w:t> </w:t>
      </w:r>
      <w:r>
        <w:rPr/>
        <w:t>or restructure</w:t>
      </w:r>
      <w:r>
        <w:rPr>
          <w:spacing w:val="-16"/>
        </w:rPr>
        <w:t> </w:t>
      </w:r>
      <w:r>
        <w:rPr/>
        <w:t>curricula</w:t>
      </w:r>
      <w:r>
        <w:rPr>
          <w:spacing w:val="-14"/>
        </w:rPr>
        <w:t> </w:t>
      </w:r>
      <w:r>
        <w:rPr/>
        <w:t>at</w:t>
      </w:r>
      <w:r>
        <w:rPr>
          <w:spacing w:val="-14"/>
        </w:rPr>
        <w:t> </w:t>
      </w:r>
      <w:r>
        <w:rPr/>
        <w:t>least</w:t>
      </w:r>
      <w:r>
        <w:rPr>
          <w:spacing w:val="-13"/>
        </w:rPr>
        <w:t> </w:t>
      </w:r>
      <w:r>
        <w:rPr/>
        <w:t>once</w:t>
      </w:r>
      <w:r>
        <w:rPr>
          <w:spacing w:val="-14"/>
        </w:rPr>
        <w:t> </w:t>
      </w:r>
      <w:r>
        <w:rPr/>
        <w:t>in</w:t>
      </w:r>
      <w:r>
        <w:rPr>
          <w:spacing w:val="-14"/>
        </w:rPr>
        <w:t> </w:t>
      </w:r>
      <w:r>
        <w:rPr/>
        <w:t>three</w:t>
      </w:r>
      <w:r>
        <w:rPr>
          <w:spacing w:val="-14"/>
        </w:rPr>
        <w:t> </w:t>
      </w:r>
      <w:r>
        <w:rPr/>
        <w:t>years.</w:t>
      </w:r>
      <w:r>
        <w:rPr>
          <w:spacing w:val="-13"/>
        </w:rPr>
        <w:t> </w:t>
      </w:r>
      <w:r>
        <w:rPr/>
        <w:t>These revisions must be subjected to outside peer review </w:t>
      </w:r>
      <w:r>
        <w:rPr>
          <w:spacing w:val="-2"/>
        </w:rPr>
        <w:t>before</w:t>
      </w:r>
      <w:r>
        <w:rPr>
          <w:spacing w:val="-4"/>
        </w:rPr>
        <w:t> </w:t>
      </w:r>
      <w:r>
        <w:rPr>
          <w:spacing w:val="-2"/>
        </w:rPr>
        <w:t>implementation.</w:t>
      </w:r>
      <w:r>
        <w:rPr>
          <w:spacing w:val="-11"/>
        </w:rPr>
        <w:t> </w:t>
      </w:r>
      <w:r>
        <w:rPr>
          <w:spacing w:val="-2"/>
        </w:rPr>
        <w:t>The</w:t>
      </w:r>
      <w:r>
        <w:rPr>
          <w:spacing w:val="-4"/>
        </w:rPr>
        <w:t> </w:t>
      </w:r>
      <w:r>
        <w:rPr>
          <w:spacing w:val="-2"/>
        </w:rPr>
        <w:t>process</w:t>
      </w:r>
      <w:r>
        <w:rPr>
          <w:spacing w:val="-4"/>
        </w:rPr>
        <w:t> </w:t>
      </w:r>
      <w:r>
        <w:rPr>
          <w:spacing w:val="-2"/>
        </w:rPr>
        <w:t>for</w:t>
      </w:r>
      <w:r>
        <w:rPr>
          <w:spacing w:val="-4"/>
        </w:rPr>
        <w:t> </w:t>
      </w:r>
      <w:r>
        <w:rPr>
          <w:spacing w:val="-2"/>
        </w:rPr>
        <w:t>such</w:t>
      </w:r>
      <w:r>
        <w:rPr>
          <w:spacing w:val="-4"/>
        </w:rPr>
        <w:t> </w:t>
      </w:r>
      <w:r>
        <w:rPr>
          <w:spacing w:val="-2"/>
        </w:rPr>
        <w:t>revisions </w:t>
      </w:r>
      <w:r>
        <w:rPr/>
        <w:t>should be streamlined and decentralised, with more autonomy for teachers, through a change in statutes wherever</w:t>
      </w:r>
      <w:r>
        <w:rPr>
          <w:spacing w:val="-7"/>
        </w:rPr>
        <w:t> </w:t>
      </w:r>
      <w:r>
        <w:rPr/>
        <w:t>necessary.</w:t>
      </w:r>
      <w:r>
        <w:rPr>
          <w:spacing w:val="-7"/>
        </w:rPr>
        <w:t> </w:t>
      </w:r>
      <w:r>
        <w:rPr/>
        <w:t>For</w:t>
      </w:r>
      <w:r>
        <w:rPr>
          <w:spacing w:val="-7"/>
        </w:rPr>
        <w:t> </w:t>
      </w:r>
      <w:r>
        <w:rPr/>
        <w:t>existing</w:t>
      </w:r>
      <w:r>
        <w:rPr>
          <w:spacing w:val="-7"/>
        </w:rPr>
        <w:t> </w:t>
      </w:r>
      <w:r>
        <w:rPr/>
        <w:t>systems</w:t>
      </w:r>
      <w:r>
        <w:rPr>
          <w:spacing w:val="-7"/>
        </w:rPr>
        <w:t> </w:t>
      </w:r>
      <w:r>
        <w:rPr/>
        <w:t>often</w:t>
      </w:r>
      <w:r>
        <w:rPr>
          <w:spacing w:val="-7"/>
        </w:rPr>
        <w:t> </w:t>
      </w:r>
      <w:r>
        <w:rPr/>
        <w:t>act</w:t>
      </w:r>
      <w:r>
        <w:rPr>
          <w:spacing w:val="-7"/>
        </w:rPr>
        <w:t> </w:t>
      </w:r>
      <w:r>
        <w:rPr/>
        <w:t>as major impediments to a timely or speedy revision of curricula.</w:t>
      </w:r>
      <w:r>
        <w:rPr>
          <w:spacing w:val="-5"/>
        </w:rPr>
        <w:t> </w:t>
      </w:r>
      <w:r>
        <w:rPr/>
        <w:t>There should be some mode of censure for departments or universities that do not upgrade their courses regularly. It needs to be recognised that it is very difficult to introduce new courses or innovative </w:t>
      </w:r>
      <w:r>
        <w:rPr>
          <w:spacing w:val="-4"/>
        </w:rPr>
        <w:t>courses</w:t>
      </w:r>
      <w:r>
        <w:rPr>
          <w:spacing w:val="-6"/>
        </w:rPr>
        <w:t> </w:t>
      </w:r>
      <w:r>
        <w:rPr>
          <w:spacing w:val="-4"/>
        </w:rPr>
        <w:t>in</w:t>
      </w:r>
      <w:r>
        <w:rPr>
          <w:spacing w:val="-6"/>
        </w:rPr>
        <w:t> </w:t>
      </w:r>
      <w:r>
        <w:rPr>
          <w:spacing w:val="-4"/>
        </w:rPr>
        <w:t>universities</w:t>
      </w:r>
      <w:r>
        <w:rPr>
          <w:spacing w:val="-6"/>
        </w:rPr>
        <w:t> </w:t>
      </w:r>
      <w:r>
        <w:rPr>
          <w:spacing w:val="-4"/>
        </w:rPr>
        <w:t>because</w:t>
      </w:r>
      <w:r>
        <w:rPr>
          <w:spacing w:val="-6"/>
        </w:rPr>
        <w:t> </w:t>
      </w:r>
      <w:r>
        <w:rPr>
          <w:spacing w:val="-4"/>
        </w:rPr>
        <w:t>of</w:t>
      </w:r>
      <w:r>
        <w:rPr>
          <w:spacing w:val="-6"/>
        </w:rPr>
        <w:t> </w:t>
      </w:r>
      <w:r>
        <w:rPr>
          <w:spacing w:val="-4"/>
        </w:rPr>
        <w:t>departmental</w:t>
      </w:r>
      <w:r>
        <w:rPr>
          <w:spacing w:val="-6"/>
        </w:rPr>
        <w:t> </w:t>
      </w:r>
      <w:r>
        <w:rPr>
          <w:spacing w:val="-4"/>
        </w:rPr>
        <w:t>divides. </w:t>
      </w:r>
      <w:r>
        <w:rPr>
          <w:spacing w:val="-2"/>
        </w:rPr>
        <w:t>Appropriate</w:t>
      </w:r>
      <w:r>
        <w:rPr>
          <w:spacing w:val="-5"/>
        </w:rPr>
        <w:t> </w:t>
      </w:r>
      <w:r>
        <w:rPr>
          <w:spacing w:val="-2"/>
        </w:rPr>
        <w:t>institutional</w:t>
      </w:r>
      <w:r>
        <w:rPr>
          <w:spacing w:val="-5"/>
        </w:rPr>
        <w:t> </w:t>
      </w:r>
      <w:r>
        <w:rPr>
          <w:spacing w:val="-2"/>
        </w:rPr>
        <w:t>mechanisms</w:t>
      </w:r>
      <w:r>
        <w:rPr>
          <w:spacing w:val="-5"/>
        </w:rPr>
        <w:t> </w:t>
      </w:r>
      <w:r>
        <w:rPr>
          <w:spacing w:val="-2"/>
        </w:rPr>
        <w:t>should</w:t>
      </w:r>
      <w:r>
        <w:rPr>
          <w:spacing w:val="-5"/>
        </w:rPr>
        <w:t> </w:t>
      </w:r>
      <w:r>
        <w:rPr>
          <w:spacing w:val="-2"/>
        </w:rPr>
        <w:t>be</w:t>
      </w:r>
      <w:r>
        <w:rPr>
          <w:spacing w:val="-5"/>
        </w:rPr>
        <w:t> </w:t>
      </w:r>
      <w:r>
        <w:rPr>
          <w:spacing w:val="-2"/>
        </w:rPr>
        <w:t>put</w:t>
      </w:r>
      <w:r>
        <w:rPr>
          <w:spacing w:val="-5"/>
        </w:rPr>
        <w:t> </w:t>
      </w:r>
      <w:r>
        <w:rPr>
          <w:spacing w:val="-2"/>
        </w:rPr>
        <w:t>in </w:t>
      </w:r>
      <w:r>
        <w:rPr/>
        <w:t>place to resolve this problem.</w:t>
      </w:r>
    </w:p>
    <w:p>
      <w:pPr>
        <w:pStyle w:val="BodyText"/>
        <w:spacing w:before="11"/>
      </w:pPr>
    </w:p>
    <w:p>
      <w:pPr>
        <w:pStyle w:val="BodyText"/>
        <w:spacing w:line="266" w:lineRule="auto"/>
        <w:ind w:left="319" w:right="1077"/>
        <w:jc w:val="both"/>
      </w:pPr>
      <w:r>
        <w:rPr>
          <w:b/>
        </w:rPr>
        <w:t>Assessment: </w:t>
      </w:r>
      <w:r>
        <w:rPr/>
        <w:t>The nature of annual examinations </w:t>
      </w:r>
      <w:r>
        <w:rPr/>
        <w:t>at universities</w:t>
      </w:r>
      <w:r>
        <w:rPr>
          <w:spacing w:val="-14"/>
        </w:rPr>
        <w:t> </w:t>
      </w:r>
      <w:r>
        <w:rPr/>
        <w:t>in</w:t>
      </w:r>
      <w:r>
        <w:rPr>
          <w:spacing w:val="-14"/>
        </w:rPr>
        <w:t> </w:t>
      </w:r>
      <w:r>
        <w:rPr/>
        <w:t>India</w:t>
      </w:r>
      <w:r>
        <w:rPr>
          <w:spacing w:val="-14"/>
        </w:rPr>
        <w:t> </w:t>
      </w:r>
      <w:r>
        <w:rPr/>
        <w:t>often</w:t>
      </w:r>
      <w:r>
        <w:rPr>
          <w:spacing w:val="-13"/>
        </w:rPr>
        <w:t> </w:t>
      </w:r>
      <w:r>
        <w:rPr/>
        <w:t>stifles</w:t>
      </w:r>
      <w:r>
        <w:rPr>
          <w:spacing w:val="-14"/>
        </w:rPr>
        <w:t> </w:t>
      </w:r>
      <w:r>
        <w:rPr/>
        <w:t>the</w:t>
      </w:r>
      <w:r>
        <w:rPr>
          <w:spacing w:val="-14"/>
        </w:rPr>
        <w:t> </w:t>
      </w:r>
      <w:r>
        <w:rPr/>
        <w:t>teaching-learning process because they reward selective and uncritical learning. There is an acute need to reform this </w:t>
      </w:r>
      <w:r>
        <w:rPr>
          <w:spacing w:val="-4"/>
        </w:rPr>
        <w:t>examination system so that it tests understanding rather </w:t>
      </w:r>
      <w:r>
        <w:rPr>
          <w:spacing w:val="-2"/>
        </w:rPr>
        <w:t>than</w:t>
      </w:r>
      <w:r>
        <w:rPr>
          <w:spacing w:val="-12"/>
        </w:rPr>
        <w:t> </w:t>
      </w:r>
      <w:r>
        <w:rPr>
          <w:spacing w:val="-2"/>
        </w:rPr>
        <w:t>memory.</w:t>
      </w:r>
      <w:r>
        <w:rPr>
          <w:spacing w:val="-12"/>
        </w:rPr>
        <w:t> </w:t>
      </w:r>
      <w:r>
        <w:rPr>
          <w:spacing w:val="-2"/>
        </w:rPr>
        <w:t>Analytical</w:t>
      </w:r>
      <w:r>
        <w:rPr>
          <w:spacing w:val="-12"/>
        </w:rPr>
        <w:t> </w:t>
      </w:r>
      <w:r>
        <w:rPr>
          <w:spacing w:val="-2"/>
        </w:rPr>
        <w:t>abilities</w:t>
      </w:r>
      <w:r>
        <w:rPr>
          <w:spacing w:val="-11"/>
        </w:rPr>
        <w:t> </w:t>
      </w:r>
      <w:r>
        <w:rPr>
          <w:spacing w:val="-2"/>
        </w:rPr>
        <w:t>and</w:t>
      </w:r>
      <w:r>
        <w:rPr>
          <w:spacing w:val="-12"/>
        </w:rPr>
        <w:t> </w:t>
      </w:r>
      <w:r>
        <w:rPr>
          <w:spacing w:val="-2"/>
        </w:rPr>
        <w:t>creative</w:t>
      </w:r>
      <w:r>
        <w:rPr>
          <w:spacing w:val="-12"/>
        </w:rPr>
        <w:t> </w:t>
      </w:r>
      <w:r>
        <w:rPr>
          <w:spacing w:val="-2"/>
        </w:rPr>
        <w:t>thinking </w:t>
      </w:r>
      <w:r>
        <w:rPr/>
        <w:t>should</w:t>
      </w:r>
      <w:r>
        <w:rPr>
          <w:spacing w:val="50"/>
        </w:rPr>
        <w:t> </w:t>
      </w:r>
      <w:r>
        <w:rPr/>
        <w:t>be</w:t>
      </w:r>
      <w:r>
        <w:rPr>
          <w:spacing w:val="50"/>
        </w:rPr>
        <w:t> </w:t>
      </w:r>
      <w:r>
        <w:rPr/>
        <w:t>at</w:t>
      </w:r>
      <w:r>
        <w:rPr>
          <w:spacing w:val="51"/>
        </w:rPr>
        <w:t> </w:t>
      </w:r>
      <w:r>
        <w:rPr/>
        <w:t>a</w:t>
      </w:r>
      <w:r>
        <w:rPr>
          <w:spacing w:val="50"/>
        </w:rPr>
        <w:t> </w:t>
      </w:r>
      <w:r>
        <w:rPr/>
        <w:t>premium.</w:t>
      </w:r>
      <w:r>
        <w:rPr>
          <w:spacing w:val="50"/>
        </w:rPr>
        <w:t> </w:t>
      </w:r>
      <w:r>
        <w:rPr/>
        <w:t>Learning</w:t>
      </w:r>
      <w:r>
        <w:rPr>
          <w:spacing w:val="51"/>
        </w:rPr>
        <w:t> </w:t>
      </w:r>
      <w:r>
        <w:rPr/>
        <w:t>by</w:t>
      </w:r>
      <w:r>
        <w:rPr>
          <w:spacing w:val="50"/>
        </w:rPr>
        <w:t> </w:t>
      </w:r>
      <w:r>
        <w:rPr/>
        <w:t>rote</w:t>
      </w:r>
      <w:r>
        <w:rPr>
          <w:spacing w:val="50"/>
        </w:rPr>
        <w:t> </w:t>
      </w:r>
      <w:r>
        <w:rPr>
          <w:spacing w:val="-2"/>
        </w:rPr>
        <w:t>should</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57"/>
        <w:ind w:left="1079"/>
        <w:jc w:val="both"/>
      </w:pPr>
      <w:r>
        <w:rPr/>
        <w:t>be at a discount. Such reform would become </w:t>
      </w:r>
      <w:r>
        <w:rPr/>
        <w:t>more feasible with decentralised examination and smaller universities.</w:t>
      </w:r>
      <w:r>
        <w:rPr>
          <w:spacing w:val="-11"/>
        </w:rPr>
        <w:t> </w:t>
      </w:r>
      <w:r>
        <w:rPr/>
        <w:t>But</w:t>
      </w:r>
      <w:r>
        <w:rPr>
          <w:spacing w:val="-11"/>
        </w:rPr>
        <w:t> </w:t>
      </w:r>
      <w:r>
        <w:rPr/>
        <w:t>assessment</w:t>
      </w:r>
      <w:r>
        <w:rPr>
          <w:spacing w:val="-11"/>
        </w:rPr>
        <w:t> </w:t>
      </w:r>
      <w:r>
        <w:rPr/>
        <w:t>cannot</w:t>
      </w:r>
      <w:r>
        <w:rPr>
          <w:spacing w:val="-11"/>
        </w:rPr>
        <w:t> </w:t>
      </w:r>
      <w:r>
        <w:rPr/>
        <w:t>and</w:t>
      </w:r>
      <w:r>
        <w:rPr>
          <w:spacing w:val="-11"/>
        </w:rPr>
        <w:t> </w:t>
      </w:r>
      <w:r>
        <w:rPr/>
        <w:t>should</w:t>
      </w:r>
      <w:r>
        <w:rPr>
          <w:spacing w:val="-11"/>
        </w:rPr>
        <w:t> </w:t>
      </w:r>
      <w:r>
        <w:rPr/>
        <w:t>not</w:t>
      </w:r>
      <w:r>
        <w:rPr>
          <w:spacing w:val="-11"/>
        </w:rPr>
        <w:t> </w:t>
      </w:r>
      <w:r>
        <w:rPr/>
        <w:t>be based</w:t>
      </w:r>
      <w:r>
        <w:rPr>
          <w:spacing w:val="-14"/>
        </w:rPr>
        <w:t> </w:t>
      </w:r>
      <w:r>
        <w:rPr/>
        <w:t>on</w:t>
      </w:r>
      <w:r>
        <w:rPr>
          <w:spacing w:val="-13"/>
        </w:rPr>
        <w:t> </w:t>
      </w:r>
      <w:r>
        <w:rPr/>
        <w:t>examinations</w:t>
      </w:r>
      <w:r>
        <w:rPr>
          <w:spacing w:val="-14"/>
        </w:rPr>
        <w:t> </w:t>
      </w:r>
      <w:r>
        <w:rPr/>
        <w:t>alone.</w:t>
      </w:r>
      <w:r>
        <w:rPr>
          <w:spacing w:val="-14"/>
        </w:rPr>
        <w:t> </w:t>
      </w:r>
      <w:r>
        <w:rPr/>
        <w:t>There</w:t>
      </w:r>
      <w:r>
        <w:rPr>
          <w:spacing w:val="-13"/>
        </w:rPr>
        <w:t> </w:t>
      </w:r>
      <w:r>
        <w:rPr/>
        <w:t>is</w:t>
      </w:r>
      <w:r>
        <w:rPr>
          <w:spacing w:val="-14"/>
        </w:rPr>
        <w:t> </w:t>
      </w:r>
      <w:r>
        <w:rPr/>
        <w:t>a</w:t>
      </w:r>
      <w:r>
        <w:rPr>
          <w:spacing w:val="-14"/>
        </w:rPr>
        <w:t> </w:t>
      </w:r>
      <w:r>
        <w:rPr/>
        <w:t>clear</w:t>
      </w:r>
      <w:r>
        <w:rPr>
          <w:spacing w:val="-13"/>
        </w:rPr>
        <w:t> </w:t>
      </w:r>
      <w:r>
        <w:rPr/>
        <w:t>need</w:t>
      </w:r>
      <w:r>
        <w:rPr>
          <w:spacing w:val="-14"/>
        </w:rPr>
        <w:t> </w:t>
      </w:r>
      <w:r>
        <w:rPr/>
        <w:t>for </w:t>
      </w:r>
      <w:r>
        <w:rPr>
          <w:spacing w:val="-8"/>
        </w:rPr>
        <w:t>continuous</w:t>
      </w:r>
      <w:r>
        <w:rPr>
          <w:spacing w:val="-2"/>
        </w:rPr>
        <w:t> </w:t>
      </w:r>
      <w:r>
        <w:rPr>
          <w:spacing w:val="-8"/>
        </w:rPr>
        <w:t>internal</w:t>
      </w:r>
      <w:r>
        <w:rPr>
          <w:spacing w:val="-2"/>
        </w:rPr>
        <w:t> </w:t>
      </w:r>
      <w:r>
        <w:rPr>
          <w:spacing w:val="-8"/>
        </w:rPr>
        <w:t>assessment</w:t>
      </w:r>
      <w:r>
        <w:rPr>
          <w:spacing w:val="-2"/>
        </w:rPr>
        <w:t> </w:t>
      </w:r>
      <w:r>
        <w:rPr>
          <w:spacing w:val="-8"/>
        </w:rPr>
        <w:t>which</w:t>
      </w:r>
      <w:r>
        <w:rPr>
          <w:spacing w:val="-2"/>
        </w:rPr>
        <w:t> </w:t>
      </w:r>
      <w:r>
        <w:rPr>
          <w:spacing w:val="-8"/>
        </w:rPr>
        <w:t>empowers</w:t>
      </w:r>
      <w:r>
        <w:rPr>
          <w:spacing w:val="-2"/>
        </w:rPr>
        <w:t> </w:t>
      </w:r>
      <w:r>
        <w:rPr>
          <w:spacing w:val="-8"/>
        </w:rPr>
        <w:t>teachers </w:t>
      </w:r>
      <w:r>
        <w:rPr/>
        <w:t>and</w:t>
      </w:r>
      <w:r>
        <w:rPr>
          <w:spacing w:val="-10"/>
        </w:rPr>
        <w:t> </w:t>
      </w:r>
      <w:r>
        <w:rPr/>
        <w:t>students</w:t>
      </w:r>
      <w:r>
        <w:rPr>
          <w:spacing w:val="-10"/>
        </w:rPr>
        <w:t> </w:t>
      </w:r>
      <w:r>
        <w:rPr/>
        <w:t>alike,</w:t>
      </w:r>
      <w:r>
        <w:rPr>
          <w:spacing w:val="-10"/>
        </w:rPr>
        <w:t> </w:t>
      </w:r>
      <w:r>
        <w:rPr/>
        <w:t>just</w:t>
      </w:r>
      <w:r>
        <w:rPr>
          <w:spacing w:val="-10"/>
        </w:rPr>
        <w:t> </w:t>
      </w:r>
      <w:r>
        <w:rPr/>
        <w:t>as</w:t>
      </w:r>
      <w:r>
        <w:rPr>
          <w:spacing w:val="-10"/>
        </w:rPr>
        <w:t> </w:t>
      </w:r>
      <w:r>
        <w:rPr/>
        <w:t>it</w:t>
      </w:r>
      <w:r>
        <w:rPr>
          <w:spacing w:val="-10"/>
        </w:rPr>
        <w:t> </w:t>
      </w:r>
      <w:r>
        <w:rPr/>
        <w:t>breathes</w:t>
      </w:r>
      <w:r>
        <w:rPr>
          <w:spacing w:val="-10"/>
        </w:rPr>
        <w:t> </w:t>
      </w:r>
      <w:r>
        <w:rPr/>
        <w:t>life</w:t>
      </w:r>
      <w:r>
        <w:rPr>
          <w:spacing w:val="-10"/>
        </w:rPr>
        <w:t> </w:t>
      </w:r>
      <w:r>
        <w:rPr/>
        <w:t>back</w:t>
      </w:r>
      <w:r>
        <w:rPr>
          <w:spacing w:val="-10"/>
        </w:rPr>
        <w:t> </w:t>
      </w:r>
      <w:r>
        <w:rPr/>
        <w:t>into</w:t>
      </w:r>
      <w:r>
        <w:rPr>
          <w:spacing w:val="-10"/>
        </w:rPr>
        <w:t> </w:t>
      </w:r>
      <w:r>
        <w:rPr/>
        <w:t>the </w:t>
      </w:r>
      <w:r>
        <w:rPr>
          <w:w w:val="90"/>
        </w:rPr>
        <w:t>teaching-learning process. Such internal assessment would </w:t>
      </w:r>
      <w:r>
        <w:rPr>
          <w:spacing w:val="-6"/>
        </w:rPr>
        <w:t>also</w:t>
      </w:r>
      <w:r>
        <w:rPr>
          <w:spacing w:val="-8"/>
        </w:rPr>
        <w:t> </w:t>
      </w:r>
      <w:r>
        <w:rPr>
          <w:spacing w:val="-6"/>
        </w:rPr>
        <w:t>foster</w:t>
      </w:r>
      <w:r>
        <w:rPr>
          <w:spacing w:val="-8"/>
        </w:rPr>
        <w:t> </w:t>
      </w:r>
      <w:r>
        <w:rPr>
          <w:spacing w:val="-6"/>
        </w:rPr>
        <w:t>the</w:t>
      </w:r>
      <w:r>
        <w:rPr>
          <w:spacing w:val="-8"/>
        </w:rPr>
        <w:t> </w:t>
      </w:r>
      <w:r>
        <w:rPr>
          <w:spacing w:val="-6"/>
        </w:rPr>
        <w:t>analytical</w:t>
      </w:r>
      <w:r>
        <w:rPr>
          <w:spacing w:val="-7"/>
        </w:rPr>
        <w:t> </w:t>
      </w:r>
      <w:r>
        <w:rPr>
          <w:spacing w:val="-6"/>
        </w:rPr>
        <w:t>and</w:t>
      </w:r>
      <w:r>
        <w:rPr>
          <w:spacing w:val="-8"/>
        </w:rPr>
        <w:t> </w:t>
      </w:r>
      <w:r>
        <w:rPr>
          <w:spacing w:val="-6"/>
        </w:rPr>
        <w:t>creative</w:t>
      </w:r>
      <w:r>
        <w:rPr>
          <w:spacing w:val="-8"/>
        </w:rPr>
        <w:t> </w:t>
      </w:r>
      <w:r>
        <w:rPr>
          <w:spacing w:val="-6"/>
        </w:rPr>
        <w:t>abilities</w:t>
      </w:r>
      <w:r>
        <w:rPr>
          <w:spacing w:val="-8"/>
        </w:rPr>
        <w:t> </w:t>
      </w:r>
      <w:r>
        <w:rPr>
          <w:spacing w:val="-6"/>
        </w:rPr>
        <w:t>of</w:t>
      </w:r>
      <w:r>
        <w:rPr>
          <w:spacing w:val="-7"/>
        </w:rPr>
        <w:t> </w:t>
      </w:r>
      <w:r>
        <w:rPr>
          <w:spacing w:val="-6"/>
        </w:rPr>
        <w:t>students </w:t>
      </w:r>
      <w:r>
        <w:rPr/>
        <w:t>which</w:t>
      </w:r>
      <w:r>
        <w:rPr>
          <w:spacing w:val="-3"/>
        </w:rPr>
        <w:t> </w:t>
      </w:r>
      <w:r>
        <w:rPr/>
        <w:t>are</w:t>
      </w:r>
      <w:r>
        <w:rPr>
          <w:spacing w:val="-3"/>
        </w:rPr>
        <w:t> </w:t>
      </w:r>
      <w:r>
        <w:rPr/>
        <w:t>often</w:t>
      </w:r>
      <w:r>
        <w:rPr>
          <w:spacing w:val="-3"/>
        </w:rPr>
        <w:t> </w:t>
      </w:r>
      <w:r>
        <w:rPr/>
        <w:t>a</w:t>
      </w:r>
      <w:r>
        <w:rPr>
          <w:spacing w:val="-3"/>
        </w:rPr>
        <w:t> </w:t>
      </w:r>
      <w:r>
        <w:rPr/>
        <w:t>casualty</w:t>
      </w:r>
      <w:r>
        <w:rPr>
          <w:spacing w:val="-3"/>
        </w:rPr>
        <w:t> </w:t>
      </w:r>
      <w:r>
        <w:rPr/>
        <w:t>in</w:t>
      </w:r>
      <w:r>
        <w:rPr>
          <w:spacing w:val="-3"/>
        </w:rPr>
        <w:t> </w:t>
      </w:r>
      <w:r>
        <w:rPr/>
        <w:t>university-administered </w:t>
      </w:r>
      <w:r>
        <w:rPr>
          <w:spacing w:val="-6"/>
        </w:rPr>
        <w:t>annual</w:t>
      </w:r>
      <w:r>
        <w:rPr>
          <w:spacing w:val="-7"/>
        </w:rPr>
        <w:t> </w:t>
      </w:r>
      <w:r>
        <w:rPr>
          <w:spacing w:val="-6"/>
        </w:rPr>
        <w:t>examinations.</w:t>
      </w:r>
      <w:r>
        <w:rPr>
          <w:spacing w:val="-8"/>
        </w:rPr>
        <w:t> </w:t>
      </w:r>
      <w:r>
        <w:rPr>
          <w:spacing w:val="-6"/>
        </w:rPr>
        <w:t>To</w:t>
      </w:r>
      <w:r>
        <w:rPr>
          <w:spacing w:val="-2"/>
        </w:rPr>
        <w:t> </w:t>
      </w:r>
      <w:r>
        <w:rPr>
          <w:spacing w:val="-6"/>
        </w:rPr>
        <w:t>begin with, internal assessment </w:t>
      </w:r>
      <w:r>
        <w:rPr/>
        <w:t>could</w:t>
      </w:r>
      <w:r>
        <w:rPr>
          <w:spacing w:val="-8"/>
        </w:rPr>
        <w:t> </w:t>
      </w:r>
      <w:r>
        <w:rPr/>
        <w:t>have</w:t>
      </w:r>
      <w:r>
        <w:rPr>
          <w:spacing w:val="-8"/>
        </w:rPr>
        <w:t> </w:t>
      </w:r>
      <w:r>
        <w:rPr/>
        <w:t>a</w:t>
      </w:r>
      <w:r>
        <w:rPr>
          <w:spacing w:val="-8"/>
        </w:rPr>
        <w:t> </w:t>
      </w:r>
      <w:r>
        <w:rPr/>
        <w:t>weight</w:t>
      </w:r>
      <w:r>
        <w:rPr>
          <w:spacing w:val="-8"/>
        </w:rPr>
        <w:t> </w:t>
      </w:r>
      <w:r>
        <w:rPr/>
        <w:t>of</w:t>
      </w:r>
      <w:r>
        <w:rPr>
          <w:spacing w:val="-8"/>
        </w:rPr>
        <w:t> </w:t>
      </w:r>
      <w:r>
        <w:rPr/>
        <w:t>25</w:t>
      </w:r>
      <w:r>
        <w:rPr>
          <w:spacing w:val="-8"/>
        </w:rPr>
        <w:t> </w:t>
      </w:r>
      <w:r>
        <w:rPr/>
        <w:t>per</w:t>
      </w:r>
      <w:r>
        <w:rPr>
          <w:spacing w:val="-8"/>
        </w:rPr>
        <w:t> </w:t>
      </w:r>
      <w:r>
        <w:rPr/>
        <w:t>cent</w:t>
      </w:r>
      <w:r>
        <w:rPr>
          <w:spacing w:val="-8"/>
        </w:rPr>
        <w:t> </w:t>
      </w:r>
      <w:r>
        <w:rPr/>
        <w:t>in</w:t>
      </w:r>
      <w:r>
        <w:rPr>
          <w:spacing w:val="-8"/>
        </w:rPr>
        <w:t> </w:t>
      </w:r>
      <w:r>
        <w:rPr/>
        <w:t>the</w:t>
      </w:r>
      <w:r>
        <w:rPr>
          <w:spacing w:val="-8"/>
        </w:rPr>
        <w:t> </w:t>
      </w:r>
      <w:r>
        <w:rPr/>
        <w:t>total</w:t>
      </w:r>
      <w:r>
        <w:rPr>
          <w:spacing w:val="-8"/>
        </w:rPr>
        <w:t> </w:t>
      </w:r>
      <w:r>
        <w:rPr/>
        <w:t>but</w:t>
      </w:r>
      <w:r>
        <w:rPr>
          <w:spacing w:val="-8"/>
        </w:rPr>
        <w:t> </w:t>
      </w:r>
      <w:r>
        <w:rPr/>
        <w:t>this should</w:t>
      </w:r>
      <w:r>
        <w:rPr>
          <w:spacing w:val="-10"/>
        </w:rPr>
        <w:t> </w:t>
      </w:r>
      <w:r>
        <w:rPr/>
        <w:t>be</w:t>
      </w:r>
      <w:r>
        <w:rPr>
          <w:spacing w:val="-10"/>
        </w:rPr>
        <w:t> </w:t>
      </w:r>
      <w:r>
        <w:rPr/>
        <w:t>raised</w:t>
      </w:r>
      <w:r>
        <w:rPr>
          <w:spacing w:val="-10"/>
        </w:rPr>
        <w:t> </w:t>
      </w:r>
      <w:r>
        <w:rPr/>
        <w:t>to</w:t>
      </w:r>
      <w:r>
        <w:rPr>
          <w:spacing w:val="-10"/>
        </w:rPr>
        <w:t> </w:t>
      </w:r>
      <w:r>
        <w:rPr/>
        <w:t>50</w:t>
      </w:r>
      <w:r>
        <w:rPr>
          <w:spacing w:val="-10"/>
        </w:rPr>
        <w:t> </w:t>
      </w:r>
      <w:r>
        <w:rPr/>
        <w:t>per</w:t>
      </w:r>
      <w:r>
        <w:rPr>
          <w:spacing w:val="-10"/>
        </w:rPr>
        <w:t> </w:t>
      </w:r>
      <w:r>
        <w:rPr/>
        <w:t>cent</w:t>
      </w:r>
      <w:r>
        <w:rPr>
          <w:spacing w:val="-10"/>
        </w:rPr>
        <w:t> </w:t>
      </w:r>
      <w:r>
        <w:rPr/>
        <w:t>over</w:t>
      </w:r>
      <w:r>
        <w:rPr>
          <w:spacing w:val="-10"/>
        </w:rPr>
        <w:t> </w:t>
      </w:r>
      <w:r>
        <w:rPr/>
        <w:t>time.</w:t>
      </w:r>
    </w:p>
    <w:p>
      <w:pPr>
        <w:pStyle w:val="BodyText"/>
        <w:spacing w:before="17"/>
      </w:pPr>
    </w:p>
    <w:p>
      <w:pPr>
        <w:pStyle w:val="BodyText"/>
        <w:spacing w:line="266" w:lineRule="auto" w:before="1"/>
        <w:ind w:left="1079"/>
        <w:jc w:val="both"/>
      </w:pPr>
      <w:r>
        <w:rPr>
          <w:b/>
          <w:spacing w:val="-4"/>
        </w:rPr>
        <w:t>Course</w:t>
      </w:r>
      <w:r>
        <w:rPr>
          <w:b/>
          <w:spacing w:val="-6"/>
        </w:rPr>
        <w:t> </w:t>
      </w:r>
      <w:r>
        <w:rPr>
          <w:b/>
          <w:spacing w:val="-4"/>
        </w:rPr>
        <w:t>credits:</w:t>
      </w:r>
      <w:r>
        <w:rPr>
          <w:b/>
          <w:spacing w:val="-10"/>
        </w:rPr>
        <w:t> </w:t>
      </w:r>
      <w:r>
        <w:rPr>
          <w:spacing w:val="-4"/>
        </w:rPr>
        <w:t>The</w:t>
      </w:r>
      <w:r>
        <w:rPr>
          <w:spacing w:val="-5"/>
        </w:rPr>
        <w:t> </w:t>
      </w:r>
      <w:r>
        <w:rPr>
          <w:spacing w:val="-4"/>
        </w:rPr>
        <w:t>present</w:t>
      </w:r>
      <w:r>
        <w:rPr>
          <w:spacing w:val="-5"/>
        </w:rPr>
        <w:t> </w:t>
      </w:r>
      <w:r>
        <w:rPr>
          <w:spacing w:val="-4"/>
        </w:rPr>
        <w:t>system</w:t>
      </w:r>
      <w:r>
        <w:rPr>
          <w:spacing w:val="-5"/>
        </w:rPr>
        <w:t> </w:t>
      </w:r>
      <w:r>
        <w:rPr>
          <w:spacing w:val="-4"/>
        </w:rPr>
        <w:t>is</w:t>
      </w:r>
      <w:r>
        <w:rPr>
          <w:spacing w:val="-5"/>
        </w:rPr>
        <w:t> </w:t>
      </w:r>
      <w:r>
        <w:rPr>
          <w:spacing w:val="-4"/>
        </w:rPr>
        <w:t>characterised</w:t>
      </w:r>
      <w:r>
        <w:rPr>
          <w:spacing w:val="-5"/>
        </w:rPr>
        <w:t> </w:t>
      </w:r>
      <w:r>
        <w:rPr>
          <w:spacing w:val="-4"/>
        </w:rPr>
        <w:t>by </w:t>
      </w:r>
      <w:r>
        <w:rPr/>
        <w:t>too many rigidities and too few choices for students. Universities that are smaller, or run semester-based systems, are obviously more flexible. Even in large </w:t>
      </w:r>
      <w:r>
        <w:rPr>
          <w:spacing w:val="-6"/>
        </w:rPr>
        <w:t>universities, however, it is necessary to introduce greater </w:t>
      </w:r>
      <w:r>
        <w:rPr>
          <w:spacing w:val="-2"/>
        </w:rPr>
        <w:t>diversity</w:t>
      </w:r>
      <w:r>
        <w:rPr>
          <w:spacing w:val="-12"/>
        </w:rPr>
        <w:t> </w:t>
      </w:r>
      <w:r>
        <w:rPr>
          <w:spacing w:val="-2"/>
        </w:rPr>
        <w:t>and</w:t>
      </w:r>
      <w:r>
        <w:rPr>
          <w:spacing w:val="-12"/>
        </w:rPr>
        <w:t> </w:t>
      </w:r>
      <w:r>
        <w:rPr>
          <w:spacing w:val="-2"/>
        </w:rPr>
        <w:t>more</w:t>
      </w:r>
      <w:r>
        <w:rPr>
          <w:spacing w:val="-12"/>
        </w:rPr>
        <w:t> </w:t>
      </w:r>
      <w:r>
        <w:rPr>
          <w:spacing w:val="-2"/>
        </w:rPr>
        <w:t>flexibility</w:t>
      </w:r>
      <w:r>
        <w:rPr>
          <w:spacing w:val="-11"/>
        </w:rPr>
        <w:t> </w:t>
      </w:r>
      <w:r>
        <w:rPr>
          <w:spacing w:val="-2"/>
        </w:rPr>
        <w:t>in</w:t>
      </w:r>
      <w:r>
        <w:rPr>
          <w:spacing w:val="-12"/>
        </w:rPr>
        <w:t> </w:t>
      </w:r>
      <w:r>
        <w:rPr>
          <w:spacing w:val="-2"/>
        </w:rPr>
        <w:t>course</w:t>
      </w:r>
      <w:r>
        <w:rPr>
          <w:spacing w:val="-12"/>
        </w:rPr>
        <w:t> </w:t>
      </w:r>
      <w:r>
        <w:rPr>
          <w:spacing w:val="-2"/>
        </w:rPr>
        <w:t>structures.</w:t>
      </w:r>
      <w:r>
        <w:rPr>
          <w:spacing w:val="-12"/>
        </w:rPr>
        <w:t> </w:t>
      </w:r>
      <w:r>
        <w:rPr>
          <w:spacing w:val="-2"/>
        </w:rPr>
        <w:t>This </w:t>
      </w:r>
      <w:r>
        <w:rPr/>
        <w:t>would be the beginning of a transition to a course </w:t>
      </w:r>
      <w:r>
        <w:rPr>
          <w:spacing w:val="-4"/>
        </w:rPr>
        <w:t>credit</w:t>
      </w:r>
      <w:r>
        <w:rPr>
          <w:spacing w:val="-7"/>
        </w:rPr>
        <w:t> </w:t>
      </w:r>
      <w:r>
        <w:rPr>
          <w:spacing w:val="-4"/>
        </w:rPr>
        <w:t>system,</w:t>
      </w:r>
      <w:r>
        <w:rPr>
          <w:spacing w:val="-9"/>
        </w:rPr>
        <w:t> </w:t>
      </w:r>
      <w:r>
        <w:rPr>
          <w:spacing w:val="-4"/>
        </w:rPr>
        <w:t>where</w:t>
      </w:r>
      <w:r>
        <w:rPr>
          <w:spacing w:val="-9"/>
        </w:rPr>
        <w:t> </w:t>
      </w:r>
      <w:r>
        <w:rPr>
          <w:spacing w:val="-4"/>
        </w:rPr>
        <w:t>degrees</w:t>
      </w:r>
      <w:r>
        <w:rPr>
          <w:spacing w:val="-8"/>
        </w:rPr>
        <w:t> </w:t>
      </w:r>
      <w:r>
        <w:rPr>
          <w:spacing w:val="-4"/>
        </w:rPr>
        <w:t>are</w:t>
      </w:r>
      <w:r>
        <w:rPr>
          <w:spacing w:val="-8"/>
        </w:rPr>
        <w:t> </w:t>
      </w:r>
      <w:r>
        <w:rPr>
          <w:spacing w:val="-4"/>
        </w:rPr>
        <w:t>granted</w:t>
      </w:r>
      <w:r>
        <w:rPr>
          <w:spacing w:val="-8"/>
        </w:rPr>
        <w:t> </w:t>
      </w:r>
      <w:r>
        <w:rPr>
          <w:spacing w:val="-4"/>
        </w:rPr>
        <w:t>on</w:t>
      </w:r>
      <w:r>
        <w:rPr>
          <w:spacing w:val="-8"/>
        </w:rPr>
        <w:t> </w:t>
      </w:r>
      <w:r>
        <w:rPr>
          <w:spacing w:val="-4"/>
        </w:rPr>
        <w:t>the</w:t>
      </w:r>
      <w:r>
        <w:rPr>
          <w:spacing w:val="-8"/>
        </w:rPr>
        <w:t> </w:t>
      </w:r>
      <w:r>
        <w:rPr>
          <w:spacing w:val="-4"/>
        </w:rPr>
        <w:t>basis</w:t>
      </w:r>
      <w:r>
        <w:rPr>
          <w:spacing w:val="-9"/>
        </w:rPr>
        <w:t> </w:t>
      </w:r>
      <w:r>
        <w:rPr>
          <w:spacing w:val="-4"/>
        </w:rPr>
        <w:t>of </w:t>
      </w:r>
      <w:r>
        <w:rPr>
          <w:spacing w:val="-2"/>
        </w:rPr>
        <w:t>completing</w:t>
      </w:r>
      <w:r>
        <w:rPr>
          <w:spacing w:val="-12"/>
        </w:rPr>
        <w:t> </w:t>
      </w:r>
      <w:r>
        <w:rPr>
          <w:spacing w:val="-2"/>
        </w:rPr>
        <w:t>a</w:t>
      </w:r>
      <w:r>
        <w:rPr>
          <w:spacing w:val="-12"/>
        </w:rPr>
        <w:t> </w:t>
      </w:r>
      <w:r>
        <w:rPr>
          <w:spacing w:val="-2"/>
        </w:rPr>
        <w:t>requisite</w:t>
      </w:r>
      <w:r>
        <w:rPr>
          <w:spacing w:val="-12"/>
        </w:rPr>
        <w:t> </w:t>
      </w:r>
      <w:r>
        <w:rPr>
          <w:spacing w:val="-2"/>
        </w:rPr>
        <w:t>number</w:t>
      </w:r>
      <w:r>
        <w:rPr>
          <w:spacing w:val="-11"/>
        </w:rPr>
        <w:t> </w:t>
      </w:r>
      <w:r>
        <w:rPr>
          <w:spacing w:val="-2"/>
        </w:rPr>
        <w:t>of</w:t>
      </w:r>
      <w:r>
        <w:rPr>
          <w:spacing w:val="-12"/>
        </w:rPr>
        <w:t> </w:t>
      </w:r>
      <w:r>
        <w:rPr>
          <w:spacing w:val="-2"/>
        </w:rPr>
        <w:t>credits</w:t>
      </w:r>
      <w:r>
        <w:rPr>
          <w:spacing w:val="-12"/>
        </w:rPr>
        <w:t> </w:t>
      </w:r>
      <w:r>
        <w:rPr>
          <w:spacing w:val="-2"/>
        </w:rPr>
        <w:t>from</w:t>
      </w:r>
      <w:r>
        <w:rPr>
          <w:spacing w:val="-12"/>
        </w:rPr>
        <w:t> </w:t>
      </w:r>
      <w:r>
        <w:rPr>
          <w:spacing w:val="-2"/>
        </w:rPr>
        <w:t>different </w:t>
      </w:r>
      <w:r>
        <w:rPr/>
        <w:t>courses. Every student should be required to earn a </w:t>
      </w:r>
      <w:r>
        <w:rPr>
          <w:spacing w:val="-4"/>
        </w:rPr>
        <w:t>minimum</w:t>
      </w:r>
      <w:r>
        <w:rPr>
          <w:spacing w:val="-10"/>
        </w:rPr>
        <w:t> </w:t>
      </w:r>
      <w:r>
        <w:rPr>
          <w:spacing w:val="-4"/>
        </w:rPr>
        <w:t>number</w:t>
      </w:r>
      <w:r>
        <w:rPr>
          <w:spacing w:val="-10"/>
        </w:rPr>
        <w:t> </w:t>
      </w:r>
      <w:r>
        <w:rPr>
          <w:spacing w:val="-4"/>
        </w:rPr>
        <w:t>of</w:t>
      </w:r>
      <w:r>
        <w:rPr>
          <w:spacing w:val="-10"/>
        </w:rPr>
        <w:t> </w:t>
      </w:r>
      <w:r>
        <w:rPr>
          <w:spacing w:val="-4"/>
        </w:rPr>
        <w:t>credits</w:t>
      </w:r>
      <w:r>
        <w:rPr>
          <w:spacing w:val="-9"/>
        </w:rPr>
        <w:t> </w:t>
      </w:r>
      <w:r>
        <w:rPr>
          <w:spacing w:val="-4"/>
        </w:rPr>
        <w:t>in</w:t>
      </w:r>
      <w:r>
        <w:rPr>
          <w:spacing w:val="-10"/>
        </w:rPr>
        <w:t> </w:t>
      </w:r>
      <w:r>
        <w:rPr>
          <w:spacing w:val="-4"/>
        </w:rPr>
        <w:t>his/her</w:t>
      </w:r>
      <w:r>
        <w:rPr>
          <w:spacing w:val="-10"/>
        </w:rPr>
        <w:t> </w:t>
      </w:r>
      <w:r>
        <w:rPr>
          <w:spacing w:val="-4"/>
        </w:rPr>
        <w:t>chosen</w:t>
      </w:r>
      <w:r>
        <w:rPr>
          <w:spacing w:val="-10"/>
        </w:rPr>
        <w:t> </w:t>
      </w:r>
      <w:r>
        <w:rPr>
          <w:spacing w:val="-4"/>
        </w:rPr>
        <w:t>discipline </w:t>
      </w:r>
      <w:r>
        <w:rPr>
          <w:spacing w:val="-8"/>
        </w:rPr>
        <w:t>but</w:t>
      </w:r>
      <w:r>
        <w:rPr>
          <w:spacing w:val="-3"/>
        </w:rPr>
        <w:t> </w:t>
      </w:r>
      <w:r>
        <w:rPr>
          <w:spacing w:val="-8"/>
        </w:rPr>
        <w:t>should</w:t>
      </w:r>
      <w:r>
        <w:rPr>
          <w:spacing w:val="-3"/>
        </w:rPr>
        <w:t> </w:t>
      </w:r>
      <w:r>
        <w:rPr>
          <w:spacing w:val="-8"/>
        </w:rPr>
        <w:t>have</w:t>
      </w:r>
      <w:r>
        <w:rPr>
          <w:spacing w:val="-3"/>
        </w:rPr>
        <w:t> </w:t>
      </w:r>
      <w:r>
        <w:rPr>
          <w:spacing w:val="-8"/>
        </w:rPr>
        <w:t>the</w:t>
      </w:r>
      <w:r>
        <w:rPr>
          <w:spacing w:val="-3"/>
        </w:rPr>
        <w:t> </w:t>
      </w:r>
      <w:r>
        <w:rPr>
          <w:spacing w:val="-8"/>
        </w:rPr>
        <w:t>freedom</w:t>
      </w:r>
      <w:r>
        <w:rPr>
          <w:spacing w:val="-3"/>
        </w:rPr>
        <w:t> </w:t>
      </w:r>
      <w:r>
        <w:rPr>
          <w:spacing w:val="-8"/>
        </w:rPr>
        <w:t>to</w:t>
      </w:r>
      <w:r>
        <w:rPr>
          <w:spacing w:val="-3"/>
        </w:rPr>
        <w:t> </w:t>
      </w:r>
      <w:r>
        <w:rPr>
          <w:spacing w:val="-8"/>
        </w:rPr>
        <w:t>earn</w:t>
      </w:r>
      <w:r>
        <w:rPr>
          <w:spacing w:val="-3"/>
        </w:rPr>
        <w:t> </w:t>
      </w:r>
      <w:r>
        <w:rPr>
          <w:spacing w:val="-8"/>
        </w:rPr>
        <w:t>the</w:t>
      </w:r>
      <w:r>
        <w:rPr>
          <w:spacing w:val="-3"/>
        </w:rPr>
        <w:t> </w:t>
      </w:r>
      <w:r>
        <w:rPr>
          <w:spacing w:val="-8"/>
        </w:rPr>
        <w:t>rest</w:t>
      </w:r>
      <w:r>
        <w:rPr>
          <w:spacing w:val="-3"/>
        </w:rPr>
        <w:t> </w:t>
      </w:r>
      <w:r>
        <w:rPr>
          <w:spacing w:val="-8"/>
        </w:rPr>
        <w:t>from</w:t>
      </w:r>
      <w:r>
        <w:rPr>
          <w:spacing w:val="-3"/>
        </w:rPr>
        <w:t> </w:t>
      </w:r>
      <w:r>
        <w:rPr>
          <w:spacing w:val="-8"/>
        </w:rPr>
        <w:t>courses in</w:t>
      </w:r>
      <w:r>
        <w:rPr>
          <w:spacing w:val="-4"/>
        </w:rPr>
        <w:t> </w:t>
      </w:r>
      <w:r>
        <w:rPr>
          <w:spacing w:val="-8"/>
        </w:rPr>
        <w:t>other</w:t>
      </w:r>
      <w:r>
        <w:rPr>
          <w:spacing w:val="-4"/>
        </w:rPr>
        <w:t> </w:t>
      </w:r>
      <w:r>
        <w:rPr>
          <w:spacing w:val="-8"/>
        </w:rPr>
        <w:t>disciplines.</w:t>
      </w:r>
      <w:r>
        <w:rPr>
          <w:spacing w:val="-4"/>
        </w:rPr>
        <w:t> </w:t>
      </w:r>
      <w:r>
        <w:rPr>
          <w:spacing w:val="-8"/>
        </w:rPr>
        <w:t>It</w:t>
      </w:r>
      <w:r>
        <w:rPr>
          <w:spacing w:val="-4"/>
        </w:rPr>
        <w:t> </w:t>
      </w:r>
      <w:r>
        <w:rPr>
          <w:spacing w:val="-8"/>
        </w:rPr>
        <w:t>is</w:t>
      </w:r>
      <w:r>
        <w:rPr>
          <w:spacing w:val="-4"/>
        </w:rPr>
        <w:t> </w:t>
      </w:r>
      <w:r>
        <w:rPr>
          <w:spacing w:val="-8"/>
        </w:rPr>
        <w:t>essential</w:t>
      </w:r>
      <w:r>
        <w:rPr>
          <w:spacing w:val="-4"/>
        </w:rPr>
        <w:t> </w:t>
      </w:r>
      <w:r>
        <w:rPr>
          <w:spacing w:val="-8"/>
        </w:rPr>
        <w:t>to</w:t>
      </w:r>
      <w:r>
        <w:rPr>
          <w:spacing w:val="-4"/>
        </w:rPr>
        <w:t> </w:t>
      </w:r>
      <w:r>
        <w:rPr>
          <w:spacing w:val="-8"/>
        </w:rPr>
        <w:t>provide</w:t>
      </w:r>
      <w:r>
        <w:rPr>
          <w:spacing w:val="-4"/>
        </w:rPr>
        <w:t> </w:t>
      </w:r>
      <w:r>
        <w:rPr>
          <w:spacing w:val="-8"/>
        </w:rPr>
        <w:t>students</w:t>
      </w:r>
      <w:r>
        <w:rPr>
          <w:spacing w:val="-4"/>
        </w:rPr>
        <w:t> </w:t>
      </w:r>
      <w:r>
        <w:rPr>
          <w:spacing w:val="-8"/>
        </w:rPr>
        <w:t>with </w:t>
      </w:r>
      <w:r>
        <w:rPr>
          <w:spacing w:val="-2"/>
        </w:rPr>
        <w:t>choices</w:t>
      </w:r>
      <w:r>
        <w:rPr>
          <w:spacing w:val="-9"/>
        </w:rPr>
        <w:t> </w:t>
      </w:r>
      <w:r>
        <w:rPr>
          <w:spacing w:val="-2"/>
        </w:rPr>
        <w:t>instead</w:t>
      </w:r>
      <w:r>
        <w:rPr>
          <w:spacing w:val="-9"/>
        </w:rPr>
        <w:t> </w:t>
      </w:r>
      <w:r>
        <w:rPr>
          <w:spacing w:val="-2"/>
        </w:rPr>
        <w:t>of</w:t>
      </w:r>
      <w:r>
        <w:rPr>
          <w:spacing w:val="-9"/>
        </w:rPr>
        <w:t> </w:t>
      </w:r>
      <w:r>
        <w:rPr>
          <w:spacing w:val="-2"/>
        </w:rPr>
        <w:t>keeping</w:t>
      </w:r>
      <w:r>
        <w:rPr>
          <w:spacing w:val="-9"/>
        </w:rPr>
        <w:t> </w:t>
      </w:r>
      <w:r>
        <w:rPr>
          <w:spacing w:val="-2"/>
        </w:rPr>
        <w:t>them</w:t>
      </w:r>
      <w:r>
        <w:rPr>
          <w:spacing w:val="-9"/>
        </w:rPr>
        <w:t> </w:t>
      </w:r>
      <w:r>
        <w:rPr>
          <w:spacing w:val="-2"/>
        </w:rPr>
        <w:t>captive.</w:t>
      </w:r>
    </w:p>
    <w:p>
      <w:pPr>
        <w:pStyle w:val="BodyText"/>
        <w:spacing w:before="15"/>
      </w:pPr>
    </w:p>
    <w:p>
      <w:pPr>
        <w:pStyle w:val="BodyText"/>
        <w:spacing w:line="266" w:lineRule="auto"/>
        <w:ind w:left="1079"/>
        <w:jc w:val="both"/>
      </w:pPr>
      <w:r>
        <w:rPr>
          <w:b/>
          <w:spacing w:val="-4"/>
        </w:rPr>
        <w:t>Research:</w:t>
      </w:r>
      <w:r>
        <w:rPr>
          <w:b/>
          <w:spacing w:val="-9"/>
        </w:rPr>
        <w:t> </w:t>
      </w:r>
      <w:r>
        <w:rPr>
          <w:spacing w:val="-4"/>
        </w:rPr>
        <w:t>We</w:t>
      </w:r>
      <w:r>
        <w:rPr>
          <w:spacing w:val="-7"/>
        </w:rPr>
        <w:t> </w:t>
      </w:r>
      <w:r>
        <w:rPr>
          <w:spacing w:val="-4"/>
        </w:rPr>
        <w:t>attempted</w:t>
      </w:r>
      <w:r>
        <w:rPr>
          <w:spacing w:val="-7"/>
        </w:rPr>
        <w:t> </w:t>
      </w:r>
      <w:r>
        <w:rPr>
          <w:spacing w:val="-4"/>
        </w:rPr>
        <w:t>to</w:t>
      </w:r>
      <w:r>
        <w:rPr>
          <w:spacing w:val="-7"/>
        </w:rPr>
        <w:t> </w:t>
      </w:r>
      <w:r>
        <w:rPr>
          <w:spacing w:val="-4"/>
        </w:rPr>
        <w:t>create</w:t>
      </w:r>
      <w:r>
        <w:rPr>
          <w:spacing w:val="-7"/>
        </w:rPr>
        <w:t> </w:t>
      </w:r>
      <w:r>
        <w:rPr>
          <w:spacing w:val="-4"/>
        </w:rPr>
        <w:t>stand-alone</w:t>
      </w:r>
      <w:r>
        <w:rPr>
          <w:spacing w:val="-7"/>
        </w:rPr>
        <w:t> </w:t>
      </w:r>
      <w:r>
        <w:rPr>
          <w:spacing w:val="-4"/>
        </w:rPr>
        <w:t>research </w:t>
      </w:r>
      <w:r>
        <w:rPr/>
        <w:t>institutions, pampered with resources, in the belief that research should be moved out of universities. In </w:t>
      </w:r>
      <w:r>
        <w:rPr>
          <w:spacing w:val="-2"/>
        </w:rPr>
        <w:t>the</w:t>
      </w:r>
      <w:r>
        <w:rPr>
          <w:spacing w:val="-6"/>
        </w:rPr>
        <w:t> </w:t>
      </w:r>
      <w:r>
        <w:rPr>
          <w:spacing w:val="-2"/>
        </w:rPr>
        <w:t>process,</w:t>
      </w:r>
      <w:r>
        <w:rPr>
          <w:spacing w:val="-6"/>
        </w:rPr>
        <w:t> </w:t>
      </w:r>
      <w:r>
        <w:rPr>
          <w:spacing w:val="-2"/>
        </w:rPr>
        <w:t>we</w:t>
      </w:r>
      <w:r>
        <w:rPr>
          <w:spacing w:val="-6"/>
        </w:rPr>
        <w:t> </w:t>
      </w:r>
      <w:r>
        <w:rPr>
          <w:spacing w:val="-2"/>
        </w:rPr>
        <w:t>forgot</w:t>
      </w:r>
      <w:r>
        <w:rPr>
          <w:spacing w:val="-6"/>
        </w:rPr>
        <w:t> </w:t>
      </w:r>
      <w:r>
        <w:rPr>
          <w:spacing w:val="-2"/>
        </w:rPr>
        <w:t>an</w:t>
      </w:r>
      <w:r>
        <w:rPr>
          <w:spacing w:val="-6"/>
        </w:rPr>
        <w:t> </w:t>
      </w:r>
      <w:r>
        <w:rPr>
          <w:spacing w:val="-2"/>
        </w:rPr>
        <w:t>essential</w:t>
      </w:r>
      <w:r>
        <w:rPr>
          <w:spacing w:val="-6"/>
        </w:rPr>
        <w:t> </w:t>
      </w:r>
      <w:r>
        <w:rPr>
          <w:spacing w:val="-2"/>
        </w:rPr>
        <w:t>principle.</w:t>
      </w:r>
      <w:r>
        <w:rPr>
          <w:spacing w:val="-12"/>
        </w:rPr>
        <w:t> </w:t>
      </w:r>
      <w:r>
        <w:rPr>
          <w:spacing w:val="-2"/>
        </w:rPr>
        <w:t>There</w:t>
      </w:r>
      <w:r>
        <w:rPr>
          <w:spacing w:val="-6"/>
        </w:rPr>
        <w:t> </w:t>
      </w:r>
      <w:r>
        <w:rPr>
          <w:spacing w:val="-2"/>
        </w:rPr>
        <w:t>are </w:t>
      </w:r>
      <w:r>
        <w:rPr>
          <w:spacing w:val="-6"/>
        </w:rPr>
        <w:t>synergies</w:t>
      </w:r>
      <w:r>
        <w:rPr>
          <w:spacing w:val="-8"/>
        </w:rPr>
        <w:t> </w:t>
      </w:r>
      <w:r>
        <w:rPr>
          <w:spacing w:val="-6"/>
        </w:rPr>
        <w:t>between</w:t>
      </w:r>
      <w:r>
        <w:rPr>
          <w:spacing w:val="-8"/>
        </w:rPr>
        <w:t> </w:t>
      </w:r>
      <w:r>
        <w:rPr>
          <w:spacing w:val="-6"/>
        </w:rPr>
        <w:t>teaching</w:t>
      </w:r>
      <w:r>
        <w:rPr>
          <w:spacing w:val="-8"/>
        </w:rPr>
        <w:t> </w:t>
      </w:r>
      <w:r>
        <w:rPr>
          <w:spacing w:val="-6"/>
        </w:rPr>
        <w:t>and</w:t>
      </w:r>
      <w:r>
        <w:rPr>
          <w:spacing w:val="-7"/>
        </w:rPr>
        <w:t> </w:t>
      </w:r>
      <w:r>
        <w:rPr>
          <w:spacing w:val="-6"/>
        </w:rPr>
        <w:t>research</w:t>
      </w:r>
      <w:r>
        <w:rPr>
          <w:spacing w:val="-8"/>
        </w:rPr>
        <w:t> </w:t>
      </w:r>
      <w:r>
        <w:rPr>
          <w:spacing w:val="-6"/>
        </w:rPr>
        <w:t>that</w:t>
      </w:r>
      <w:r>
        <w:rPr>
          <w:spacing w:val="-8"/>
        </w:rPr>
        <w:t> </w:t>
      </w:r>
      <w:r>
        <w:rPr>
          <w:spacing w:val="-6"/>
        </w:rPr>
        <w:t>enrich</w:t>
      </w:r>
      <w:r>
        <w:rPr>
          <w:spacing w:val="-8"/>
        </w:rPr>
        <w:t> </w:t>
      </w:r>
      <w:r>
        <w:rPr>
          <w:spacing w:val="-6"/>
        </w:rPr>
        <w:t>each </w:t>
      </w:r>
      <w:r>
        <w:rPr>
          <w:spacing w:val="-2"/>
        </w:rPr>
        <w:t>other.</w:t>
      </w:r>
      <w:r>
        <w:rPr>
          <w:spacing w:val="-10"/>
        </w:rPr>
        <w:t> </w:t>
      </w:r>
      <w:r>
        <w:rPr>
          <w:spacing w:val="-2"/>
        </w:rPr>
        <w:t>And</w:t>
      </w:r>
      <w:r>
        <w:rPr>
          <w:spacing w:val="-10"/>
        </w:rPr>
        <w:t> </w:t>
      </w:r>
      <w:r>
        <w:rPr>
          <w:spacing w:val="-2"/>
        </w:rPr>
        <w:t>it</w:t>
      </w:r>
      <w:r>
        <w:rPr>
          <w:spacing w:val="-10"/>
        </w:rPr>
        <w:t> </w:t>
      </w:r>
      <w:r>
        <w:rPr>
          <w:spacing w:val="-2"/>
        </w:rPr>
        <w:t>is</w:t>
      </w:r>
      <w:r>
        <w:rPr>
          <w:spacing w:val="-10"/>
        </w:rPr>
        <w:t> </w:t>
      </w:r>
      <w:r>
        <w:rPr>
          <w:spacing w:val="-2"/>
        </w:rPr>
        <w:t>universities</w:t>
      </w:r>
      <w:r>
        <w:rPr>
          <w:spacing w:val="-10"/>
        </w:rPr>
        <w:t> </w:t>
      </w:r>
      <w:r>
        <w:rPr>
          <w:spacing w:val="-2"/>
        </w:rPr>
        <w:t>which</w:t>
      </w:r>
      <w:r>
        <w:rPr>
          <w:spacing w:val="-10"/>
        </w:rPr>
        <w:t> </w:t>
      </w:r>
      <w:r>
        <w:rPr>
          <w:spacing w:val="-2"/>
        </w:rPr>
        <w:t>are</w:t>
      </w:r>
      <w:r>
        <w:rPr>
          <w:spacing w:val="-10"/>
        </w:rPr>
        <w:t> </w:t>
      </w:r>
      <w:r>
        <w:rPr>
          <w:spacing w:val="-2"/>
        </w:rPr>
        <w:t>the</w:t>
      </w:r>
      <w:r>
        <w:rPr>
          <w:spacing w:val="-10"/>
        </w:rPr>
        <w:t> </w:t>
      </w:r>
      <w:r>
        <w:rPr>
          <w:spacing w:val="-2"/>
        </w:rPr>
        <w:t>natural</w:t>
      </w:r>
      <w:r>
        <w:rPr>
          <w:spacing w:val="-10"/>
        </w:rPr>
        <w:t> </w:t>
      </w:r>
      <w:r>
        <w:rPr>
          <w:spacing w:val="-2"/>
        </w:rPr>
        <w:t>home for</w:t>
      </w:r>
      <w:r>
        <w:rPr>
          <w:spacing w:val="-9"/>
        </w:rPr>
        <w:t> </w:t>
      </w:r>
      <w:r>
        <w:rPr>
          <w:spacing w:val="-2"/>
        </w:rPr>
        <w:t>research.</w:t>
      </w:r>
      <w:r>
        <w:rPr>
          <w:spacing w:val="-10"/>
        </w:rPr>
        <w:t> </w:t>
      </w:r>
      <w:r>
        <w:rPr>
          <w:spacing w:val="-2"/>
        </w:rPr>
        <w:t>What</w:t>
      </w:r>
      <w:r>
        <w:rPr>
          <w:spacing w:val="-9"/>
        </w:rPr>
        <w:t> </w:t>
      </w:r>
      <w:r>
        <w:rPr>
          <w:spacing w:val="-2"/>
        </w:rPr>
        <w:t>is</w:t>
      </w:r>
      <w:r>
        <w:rPr>
          <w:spacing w:val="-9"/>
        </w:rPr>
        <w:t> </w:t>
      </w:r>
      <w:r>
        <w:rPr>
          <w:spacing w:val="-2"/>
        </w:rPr>
        <w:t>more,</w:t>
      </w:r>
      <w:r>
        <w:rPr>
          <w:spacing w:val="-9"/>
        </w:rPr>
        <w:t> </w:t>
      </w:r>
      <w:r>
        <w:rPr>
          <w:spacing w:val="-2"/>
        </w:rPr>
        <w:t>for</w:t>
      </w:r>
      <w:r>
        <w:rPr>
          <w:spacing w:val="-9"/>
        </w:rPr>
        <w:t> </w:t>
      </w:r>
      <w:r>
        <w:rPr>
          <w:spacing w:val="-2"/>
        </w:rPr>
        <w:t>universities,</w:t>
      </w:r>
      <w:r>
        <w:rPr>
          <w:spacing w:val="-9"/>
        </w:rPr>
        <w:t> </w:t>
      </w:r>
      <w:r>
        <w:rPr>
          <w:spacing w:val="-2"/>
        </w:rPr>
        <w:t>research</w:t>
      </w:r>
      <w:r>
        <w:rPr>
          <w:spacing w:val="-9"/>
        </w:rPr>
        <w:t> </w:t>
      </w:r>
      <w:r>
        <w:rPr>
          <w:spacing w:val="-2"/>
        </w:rPr>
        <w:t>is </w:t>
      </w:r>
      <w:r>
        <w:rPr>
          <w:w w:val="90"/>
        </w:rPr>
        <w:t>essential</w:t>
      </w:r>
      <w:r>
        <w:rPr>
          <w:spacing w:val="-3"/>
          <w:w w:val="90"/>
        </w:rPr>
        <w:t> </w:t>
      </w:r>
      <w:r>
        <w:rPr>
          <w:w w:val="90"/>
        </w:rPr>
        <w:t>in</w:t>
      </w:r>
      <w:r>
        <w:rPr>
          <w:spacing w:val="-3"/>
          <w:w w:val="90"/>
        </w:rPr>
        <w:t> </w:t>
      </w:r>
      <w:r>
        <w:rPr>
          <w:w w:val="90"/>
        </w:rPr>
        <w:t>the</w:t>
      </w:r>
      <w:r>
        <w:rPr>
          <w:spacing w:val="-3"/>
          <w:w w:val="90"/>
        </w:rPr>
        <w:t> </w:t>
      </w:r>
      <w:r>
        <w:rPr>
          <w:w w:val="90"/>
        </w:rPr>
        <w:t>pursuit</w:t>
      </w:r>
      <w:r>
        <w:rPr>
          <w:spacing w:val="-3"/>
          <w:w w:val="90"/>
        </w:rPr>
        <w:t> </w:t>
      </w:r>
      <w:r>
        <w:rPr>
          <w:w w:val="90"/>
        </w:rPr>
        <w:t>of</w:t>
      </w:r>
      <w:r>
        <w:rPr>
          <w:spacing w:val="-3"/>
          <w:w w:val="90"/>
        </w:rPr>
        <w:t> </w:t>
      </w:r>
      <w:r>
        <w:rPr>
          <w:w w:val="90"/>
        </w:rPr>
        <w:t>academic</w:t>
      </w:r>
      <w:r>
        <w:rPr>
          <w:spacing w:val="-3"/>
          <w:w w:val="90"/>
        </w:rPr>
        <w:t> </w:t>
      </w:r>
      <w:r>
        <w:rPr>
          <w:w w:val="90"/>
        </w:rPr>
        <w:t>excellence.</w:t>
      </w:r>
      <w:r>
        <w:rPr>
          <w:spacing w:val="-3"/>
          <w:w w:val="90"/>
        </w:rPr>
        <w:t> </w:t>
      </w:r>
      <w:r>
        <w:rPr>
          <w:w w:val="90"/>
        </w:rPr>
        <w:t>It</w:t>
      </w:r>
      <w:r>
        <w:rPr>
          <w:spacing w:val="-3"/>
          <w:w w:val="90"/>
        </w:rPr>
        <w:t> </w:t>
      </w:r>
      <w:r>
        <w:rPr>
          <w:w w:val="90"/>
        </w:rPr>
        <w:t>is</w:t>
      </w:r>
      <w:r>
        <w:rPr>
          <w:spacing w:val="-3"/>
          <w:w w:val="90"/>
        </w:rPr>
        <w:t> </w:t>
      </w:r>
      <w:r>
        <w:rPr>
          <w:w w:val="90"/>
        </w:rPr>
        <w:t>time</w:t>
      </w:r>
      <w:r>
        <w:rPr>
          <w:spacing w:val="-3"/>
          <w:w w:val="90"/>
        </w:rPr>
        <w:t> </w:t>
      </w:r>
      <w:r>
        <w:rPr>
          <w:w w:val="90"/>
        </w:rPr>
        <w:t>to </w:t>
      </w:r>
      <w:r>
        <w:rPr>
          <w:spacing w:val="-4"/>
        </w:rPr>
        <w:t>reverse</w:t>
      </w:r>
      <w:r>
        <w:rPr>
          <w:spacing w:val="-10"/>
        </w:rPr>
        <w:t> </w:t>
      </w:r>
      <w:r>
        <w:rPr>
          <w:spacing w:val="-4"/>
        </w:rPr>
        <w:t>what</w:t>
      </w:r>
      <w:r>
        <w:rPr>
          <w:spacing w:val="-10"/>
        </w:rPr>
        <w:t> </w:t>
      </w:r>
      <w:r>
        <w:rPr>
          <w:spacing w:val="-4"/>
        </w:rPr>
        <w:t>happened</w:t>
      </w:r>
      <w:r>
        <w:rPr>
          <w:spacing w:val="-10"/>
        </w:rPr>
        <w:t> </w:t>
      </w:r>
      <w:r>
        <w:rPr>
          <w:spacing w:val="-4"/>
        </w:rPr>
        <w:t>in</w:t>
      </w:r>
      <w:r>
        <w:rPr>
          <w:spacing w:val="-9"/>
        </w:rPr>
        <w:t> </w:t>
      </w:r>
      <w:r>
        <w:rPr>
          <w:spacing w:val="-4"/>
        </w:rPr>
        <w:t>the</w:t>
      </w:r>
      <w:r>
        <w:rPr>
          <w:spacing w:val="-10"/>
        </w:rPr>
        <w:t> </w:t>
      </w:r>
      <w:r>
        <w:rPr>
          <w:spacing w:val="-4"/>
        </w:rPr>
        <w:t>past</w:t>
      </w:r>
      <w:r>
        <w:rPr>
          <w:spacing w:val="-10"/>
        </w:rPr>
        <w:t> </w:t>
      </w:r>
      <w:r>
        <w:rPr>
          <w:spacing w:val="-4"/>
        </w:rPr>
        <w:t>and</w:t>
      </w:r>
      <w:r>
        <w:rPr>
          <w:spacing w:val="-10"/>
        </w:rPr>
        <w:t> </w:t>
      </w:r>
      <w:r>
        <w:rPr>
          <w:spacing w:val="-4"/>
        </w:rPr>
        <w:t>make</w:t>
      </w:r>
      <w:r>
        <w:rPr>
          <w:spacing w:val="-9"/>
        </w:rPr>
        <w:t> </w:t>
      </w:r>
      <w:r>
        <w:rPr>
          <w:spacing w:val="-4"/>
        </w:rPr>
        <w:t>universities </w:t>
      </w:r>
      <w:r>
        <w:rPr>
          <w:spacing w:val="-6"/>
        </w:rPr>
        <w:t>the</w:t>
      </w:r>
      <w:r>
        <w:rPr>
          <w:spacing w:val="-8"/>
        </w:rPr>
        <w:t> </w:t>
      </w:r>
      <w:r>
        <w:rPr>
          <w:spacing w:val="-6"/>
        </w:rPr>
        <w:t>hub</w:t>
      </w:r>
      <w:r>
        <w:rPr>
          <w:spacing w:val="-8"/>
        </w:rPr>
        <w:t> </w:t>
      </w:r>
      <w:r>
        <w:rPr>
          <w:spacing w:val="-6"/>
        </w:rPr>
        <w:t>of</w:t>
      </w:r>
      <w:r>
        <w:rPr>
          <w:spacing w:val="-8"/>
        </w:rPr>
        <w:t> </w:t>
      </w:r>
      <w:r>
        <w:rPr>
          <w:spacing w:val="-6"/>
        </w:rPr>
        <w:t>research</w:t>
      </w:r>
      <w:r>
        <w:rPr>
          <w:spacing w:val="-7"/>
        </w:rPr>
        <w:t> </w:t>
      </w:r>
      <w:r>
        <w:rPr>
          <w:spacing w:val="-6"/>
        </w:rPr>
        <w:t>once</w:t>
      </w:r>
      <w:r>
        <w:rPr>
          <w:spacing w:val="-8"/>
        </w:rPr>
        <w:t> </w:t>
      </w:r>
      <w:r>
        <w:rPr>
          <w:spacing w:val="-6"/>
        </w:rPr>
        <w:t>again.</w:t>
      </w:r>
      <w:r>
        <w:rPr>
          <w:spacing w:val="-8"/>
        </w:rPr>
        <w:t> </w:t>
      </w:r>
      <w:r>
        <w:rPr>
          <w:spacing w:val="-6"/>
        </w:rPr>
        <w:t>This</w:t>
      </w:r>
      <w:r>
        <w:rPr>
          <w:spacing w:val="-8"/>
        </w:rPr>
        <w:t> </w:t>
      </w:r>
      <w:r>
        <w:rPr>
          <w:spacing w:val="-6"/>
        </w:rPr>
        <w:t>would</w:t>
      </w:r>
      <w:r>
        <w:rPr>
          <w:spacing w:val="-7"/>
        </w:rPr>
        <w:t> </w:t>
      </w:r>
      <w:r>
        <w:rPr>
          <w:spacing w:val="-6"/>
        </w:rPr>
        <w:t>need</w:t>
      </w:r>
      <w:r>
        <w:rPr>
          <w:spacing w:val="-8"/>
        </w:rPr>
        <w:t> </w:t>
      </w:r>
      <w:r>
        <w:rPr>
          <w:spacing w:val="-6"/>
        </w:rPr>
        <w:t>changes </w:t>
      </w:r>
      <w:r>
        <w:rPr/>
        <w:t>in</w:t>
      </w:r>
      <w:r>
        <w:rPr>
          <w:spacing w:val="-4"/>
        </w:rPr>
        <w:t> </w:t>
      </w:r>
      <w:r>
        <w:rPr/>
        <w:t>resource-allocation,</w:t>
      </w:r>
      <w:r>
        <w:rPr>
          <w:spacing w:val="-4"/>
        </w:rPr>
        <w:t> </w:t>
      </w:r>
      <w:r>
        <w:rPr/>
        <w:t>reward-systems</w:t>
      </w:r>
      <w:r>
        <w:rPr>
          <w:spacing w:val="-4"/>
        </w:rPr>
        <w:t> </w:t>
      </w:r>
      <w:r>
        <w:rPr/>
        <w:t>and</w:t>
      </w:r>
      <w:r>
        <w:rPr>
          <w:spacing w:val="-4"/>
        </w:rPr>
        <w:t> </w:t>
      </w:r>
      <w:r>
        <w:rPr/>
        <w:t>mindsets. </w:t>
      </w:r>
      <w:r>
        <w:rPr>
          <w:spacing w:val="-4"/>
        </w:rPr>
        <w:t>Substantial grants should be allocated for research.</w:t>
      </w:r>
      <w:r>
        <w:rPr>
          <w:spacing w:val="-10"/>
        </w:rPr>
        <w:t> </w:t>
      </w:r>
      <w:r>
        <w:rPr>
          <w:spacing w:val="-4"/>
        </w:rPr>
        <w:t>The provisions</w:t>
      </w:r>
      <w:r>
        <w:rPr>
          <w:spacing w:val="-10"/>
        </w:rPr>
        <w:t> </w:t>
      </w:r>
      <w:r>
        <w:rPr>
          <w:spacing w:val="-4"/>
        </w:rPr>
        <w:t>of</w:t>
      </w:r>
      <w:r>
        <w:rPr>
          <w:spacing w:val="-10"/>
        </w:rPr>
        <w:t> </w:t>
      </w:r>
      <w:r>
        <w:rPr>
          <w:spacing w:val="-4"/>
        </w:rPr>
        <w:t>these</w:t>
      </w:r>
      <w:r>
        <w:rPr>
          <w:spacing w:val="-10"/>
        </w:rPr>
        <w:t> </w:t>
      </w:r>
      <w:r>
        <w:rPr>
          <w:spacing w:val="-4"/>
        </w:rPr>
        <w:t>grants</w:t>
      </w:r>
      <w:r>
        <w:rPr>
          <w:spacing w:val="-9"/>
        </w:rPr>
        <w:t> </w:t>
      </w:r>
      <w:r>
        <w:rPr>
          <w:spacing w:val="-4"/>
        </w:rPr>
        <w:t>should</w:t>
      </w:r>
      <w:r>
        <w:rPr>
          <w:spacing w:val="-10"/>
        </w:rPr>
        <w:t> </w:t>
      </w:r>
      <w:r>
        <w:rPr>
          <w:spacing w:val="-4"/>
        </w:rPr>
        <w:t>be</w:t>
      </w:r>
      <w:r>
        <w:rPr>
          <w:spacing w:val="-10"/>
        </w:rPr>
        <w:t> </w:t>
      </w:r>
      <w:r>
        <w:rPr>
          <w:spacing w:val="-4"/>
        </w:rPr>
        <w:t>competitive</w:t>
      </w:r>
      <w:r>
        <w:rPr>
          <w:spacing w:val="-10"/>
        </w:rPr>
        <w:t> </w:t>
      </w:r>
      <w:r>
        <w:rPr>
          <w:spacing w:val="-4"/>
        </w:rPr>
        <w:t>and</w:t>
      </w:r>
      <w:r>
        <w:rPr>
          <w:spacing w:val="-9"/>
        </w:rPr>
        <w:t> </w:t>
      </w:r>
      <w:r>
        <w:rPr>
          <w:spacing w:val="-4"/>
        </w:rPr>
        <w:t>the </w:t>
      </w:r>
      <w:r>
        <w:rPr>
          <w:spacing w:val="-8"/>
        </w:rPr>
        <w:t>criteria</w:t>
      </w:r>
      <w:r>
        <w:rPr>
          <w:spacing w:val="-2"/>
        </w:rPr>
        <w:t> </w:t>
      </w:r>
      <w:r>
        <w:rPr>
          <w:spacing w:val="-8"/>
        </w:rPr>
        <w:t>for</w:t>
      </w:r>
      <w:r>
        <w:rPr>
          <w:spacing w:val="-2"/>
        </w:rPr>
        <w:t> </w:t>
      </w:r>
      <w:r>
        <w:rPr>
          <w:spacing w:val="-8"/>
        </w:rPr>
        <w:t>these</w:t>
      </w:r>
      <w:r>
        <w:rPr>
          <w:spacing w:val="-2"/>
        </w:rPr>
        <w:t> </w:t>
      </w:r>
      <w:r>
        <w:rPr>
          <w:spacing w:val="-8"/>
        </w:rPr>
        <w:t>grants</w:t>
      </w:r>
      <w:r>
        <w:rPr>
          <w:spacing w:val="-2"/>
        </w:rPr>
        <w:t> </w:t>
      </w:r>
      <w:r>
        <w:rPr>
          <w:spacing w:val="-8"/>
        </w:rPr>
        <w:t>should</w:t>
      </w:r>
      <w:r>
        <w:rPr>
          <w:spacing w:val="-2"/>
        </w:rPr>
        <w:t> </w:t>
      </w:r>
      <w:r>
        <w:rPr>
          <w:spacing w:val="-8"/>
        </w:rPr>
        <w:t>be</w:t>
      </w:r>
      <w:r>
        <w:rPr>
          <w:spacing w:val="-2"/>
        </w:rPr>
        <w:t> </w:t>
      </w:r>
      <w:r>
        <w:rPr>
          <w:spacing w:val="-8"/>
        </w:rPr>
        <w:t>different</w:t>
      </w:r>
      <w:r>
        <w:rPr>
          <w:spacing w:val="-2"/>
        </w:rPr>
        <w:t> </w:t>
      </w:r>
      <w:r>
        <w:rPr>
          <w:spacing w:val="-8"/>
        </w:rPr>
        <w:t>from</w:t>
      </w:r>
      <w:r>
        <w:rPr>
          <w:spacing w:val="-2"/>
        </w:rPr>
        <w:t> </w:t>
      </w:r>
      <w:r>
        <w:rPr>
          <w:spacing w:val="-8"/>
        </w:rPr>
        <w:t>the</w:t>
      </w:r>
      <w:r>
        <w:rPr>
          <w:spacing w:val="-2"/>
        </w:rPr>
        <w:t> </w:t>
      </w:r>
      <w:r>
        <w:rPr>
          <w:spacing w:val="-8"/>
        </w:rPr>
        <w:t>usual </w:t>
      </w:r>
      <w:r>
        <w:rPr/>
        <w:t>criteria</w:t>
      </w:r>
      <w:r>
        <w:rPr>
          <w:spacing w:val="-6"/>
        </w:rPr>
        <w:t> </w:t>
      </w:r>
      <w:r>
        <w:rPr/>
        <w:t>for</w:t>
      </w:r>
      <w:r>
        <w:rPr>
          <w:spacing w:val="-6"/>
        </w:rPr>
        <w:t> </w:t>
      </w:r>
      <w:r>
        <w:rPr/>
        <w:t>non-plan</w:t>
      </w:r>
      <w:r>
        <w:rPr>
          <w:spacing w:val="-6"/>
        </w:rPr>
        <w:t> </w:t>
      </w:r>
      <w:r>
        <w:rPr/>
        <w:t>and</w:t>
      </w:r>
      <w:r>
        <w:rPr>
          <w:spacing w:val="-6"/>
        </w:rPr>
        <w:t> </w:t>
      </w:r>
      <w:r>
        <w:rPr/>
        <w:t>plan</w:t>
      </w:r>
      <w:r>
        <w:rPr>
          <w:spacing w:val="-6"/>
        </w:rPr>
        <w:t> </w:t>
      </w:r>
      <w:r>
        <w:rPr/>
        <w:t>grants.</w:t>
      </w:r>
    </w:p>
    <w:p>
      <w:pPr>
        <w:pStyle w:val="BodyText"/>
        <w:spacing w:before="15"/>
      </w:pPr>
    </w:p>
    <w:p>
      <w:pPr>
        <w:pStyle w:val="BodyText"/>
        <w:spacing w:line="266" w:lineRule="auto"/>
        <w:ind w:left="1079"/>
        <w:jc w:val="both"/>
      </w:pPr>
      <w:r>
        <w:rPr>
          <w:b/>
        </w:rPr>
        <w:t>Faculty: </w:t>
      </w:r>
      <w:r>
        <w:rPr/>
        <w:t>There must be a conscious effort to </w:t>
      </w:r>
      <w:r>
        <w:rPr/>
        <w:t>attract and</w:t>
      </w:r>
      <w:r>
        <w:rPr>
          <w:spacing w:val="-14"/>
        </w:rPr>
        <w:t> </w:t>
      </w:r>
      <w:r>
        <w:rPr/>
        <w:t>retain</w:t>
      </w:r>
      <w:r>
        <w:rPr>
          <w:spacing w:val="-14"/>
        </w:rPr>
        <w:t> </w:t>
      </w:r>
      <w:r>
        <w:rPr/>
        <w:t>talented</w:t>
      </w:r>
      <w:r>
        <w:rPr>
          <w:spacing w:val="-14"/>
        </w:rPr>
        <w:t> </w:t>
      </w:r>
      <w:r>
        <w:rPr/>
        <w:t>faculty</w:t>
      </w:r>
      <w:r>
        <w:rPr>
          <w:spacing w:val="-13"/>
        </w:rPr>
        <w:t> </w:t>
      </w:r>
      <w:r>
        <w:rPr/>
        <w:t>members.</w:t>
      </w:r>
      <w:r>
        <w:rPr>
          <w:spacing w:val="-14"/>
        </w:rPr>
        <w:t> </w:t>
      </w:r>
      <w:r>
        <w:rPr/>
        <w:t>This</w:t>
      </w:r>
      <w:r>
        <w:rPr>
          <w:spacing w:val="-14"/>
        </w:rPr>
        <w:t> </w:t>
      </w:r>
      <w:r>
        <w:rPr/>
        <w:t>is</w:t>
      </w:r>
      <w:r>
        <w:rPr>
          <w:spacing w:val="-14"/>
        </w:rPr>
        <w:t> </w:t>
      </w:r>
      <w:r>
        <w:rPr/>
        <w:t>necessary because talented students who are potential faculty </w:t>
      </w:r>
      <w:r>
        <w:rPr>
          <w:w w:val="90"/>
        </w:rPr>
        <w:t>members have choices that are far more attractive in other professions in India or in the academic profession outside </w:t>
      </w:r>
      <w:r>
        <w:rPr/>
        <w:t>India.</w:t>
      </w:r>
      <w:r>
        <w:rPr>
          <w:spacing w:val="-12"/>
        </w:rPr>
        <w:t> </w:t>
      </w:r>
      <w:r>
        <w:rPr/>
        <w:t>It</w:t>
      </w:r>
      <w:r>
        <w:rPr>
          <w:spacing w:val="-12"/>
        </w:rPr>
        <w:t> </w:t>
      </w:r>
      <w:r>
        <w:rPr/>
        <w:t>is</w:t>
      </w:r>
      <w:r>
        <w:rPr>
          <w:spacing w:val="-12"/>
        </w:rPr>
        <w:t> </w:t>
      </w:r>
      <w:r>
        <w:rPr/>
        <w:t>necessary</w:t>
      </w:r>
      <w:r>
        <w:rPr>
          <w:spacing w:val="-12"/>
        </w:rPr>
        <w:t> </w:t>
      </w:r>
      <w:r>
        <w:rPr/>
        <w:t>to</w:t>
      </w:r>
      <w:r>
        <w:rPr>
          <w:spacing w:val="-12"/>
        </w:rPr>
        <w:t> </w:t>
      </w:r>
      <w:r>
        <w:rPr/>
        <w:t>provide</w:t>
      </w:r>
      <w:r>
        <w:rPr>
          <w:spacing w:val="-12"/>
        </w:rPr>
        <w:t> </w:t>
      </w:r>
      <w:r>
        <w:rPr/>
        <w:t>working</w:t>
      </w:r>
      <w:r>
        <w:rPr>
          <w:spacing w:val="-12"/>
        </w:rPr>
        <w:t> </w:t>
      </w:r>
      <w:r>
        <w:rPr/>
        <w:t>conditions</w:t>
      </w:r>
      <w:r>
        <w:rPr>
          <w:spacing w:val="-12"/>
        </w:rPr>
        <w:t> </w:t>
      </w:r>
      <w:r>
        <w:rPr/>
        <w:t>in </w:t>
      </w:r>
      <w:r>
        <w:rPr>
          <w:spacing w:val="-4"/>
        </w:rPr>
        <w:t>the</w:t>
      </w:r>
      <w:r>
        <w:rPr>
          <w:spacing w:val="-8"/>
        </w:rPr>
        <w:t> </w:t>
      </w:r>
      <w:r>
        <w:rPr>
          <w:spacing w:val="-4"/>
        </w:rPr>
        <w:t>form</w:t>
      </w:r>
      <w:r>
        <w:rPr>
          <w:spacing w:val="-8"/>
        </w:rPr>
        <w:t> </w:t>
      </w:r>
      <w:r>
        <w:rPr>
          <w:spacing w:val="-4"/>
        </w:rPr>
        <w:t>of</w:t>
      </w:r>
      <w:r>
        <w:rPr>
          <w:spacing w:val="-8"/>
        </w:rPr>
        <w:t> </w:t>
      </w:r>
      <w:r>
        <w:rPr>
          <w:spacing w:val="-4"/>
        </w:rPr>
        <w:t>office</w:t>
      </w:r>
      <w:r>
        <w:rPr>
          <w:spacing w:val="-8"/>
        </w:rPr>
        <w:t> </w:t>
      </w:r>
      <w:r>
        <w:rPr>
          <w:spacing w:val="-4"/>
        </w:rPr>
        <w:t>space</w:t>
      </w:r>
      <w:r>
        <w:rPr>
          <w:spacing w:val="-8"/>
        </w:rPr>
        <w:t> </w:t>
      </w:r>
      <w:r>
        <w:rPr>
          <w:spacing w:val="-4"/>
        </w:rPr>
        <w:t>and</w:t>
      </w:r>
      <w:r>
        <w:rPr>
          <w:spacing w:val="-8"/>
        </w:rPr>
        <w:t> </w:t>
      </w:r>
      <w:r>
        <w:rPr>
          <w:spacing w:val="-4"/>
        </w:rPr>
        <w:t>research</w:t>
      </w:r>
      <w:r>
        <w:rPr>
          <w:spacing w:val="-8"/>
        </w:rPr>
        <w:t> </w:t>
      </w:r>
      <w:r>
        <w:rPr>
          <w:spacing w:val="-4"/>
        </w:rPr>
        <w:t>support</w:t>
      </w:r>
      <w:r>
        <w:rPr>
          <w:spacing w:val="-8"/>
        </w:rPr>
        <w:t> </w:t>
      </w:r>
      <w:r>
        <w:rPr>
          <w:spacing w:val="-4"/>
        </w:rPr>
        <w:t>combined </w:t>
      </w:r>
      <w:r>
        <w:rPr/>
        <w:t>with</w:t>
      </w:r>
      <w:r>
        <w:rPr>
          <w:spacing w:val="2"/>
        </w:rPr>
        <w:t> </w:t>
      </w:r>
      <w:r>
        <w:rPr/>
        <w:t>housing.</w:t>
      </w:r>
      <w:r>
        <w:rPr>
          <w:spacing w:val="3"/>
        </w:rPr>
        <w:t> </w:t>
      </w:r>
      <w:r>
        <w:rPr/>
        <w:t>But</w:t>
      </w:r>
      <w:r>
        <w:rPr>
          <w:spacing w:val="2"/>
        </w:rPr>
        <w:t> </w:t>
      </w:r>
      <w:r>
        <w:rPr/>
        <w:t>it</w:t>
      </w:r>
      <w:r>
        <w:rPr>
          <w:spacing w:val="3"/>
        </w:rPr>
        <w:t> </w:t>
      </w:r>
      <w:r>
        <w:rPr/>
        <w:t>may</w:t>
      </w:r>
      <w:r>
        <w:rPr>
          <w:spacing w:val="2"/>
        </w:rPr>
        <w:t> </w:t>
      </w:r>
      <w:r>
        <w:rPr/>
        <w:t>not</w:t>
      </w:r>
      <w:r>
        <w:rPr>
          <w:spacing w:val="3"/>
        </w:rPr>
        <w:t> </w:t>
      </w:r>
      <w:r>
        <w:rPr/>
        <w:t>be</w:t>
      </w:r>
      <w:r>
        <w:rPr>
          <w:spacing w:val="2"/>
        </w:rPr>
        <w:t> </w:t>
      </w:r>
      <w:r>
        <w:rPr/>
        <w:t>sufficient.</w:t>
      </w:r>
      <w:r>
        <w:rPr>
          <w:spacing w:val="-5"/>
        </w:rPr>
        <w:t> </w:t>
      </w:r>
      <w:r>
        <w:rPr/>
        <w:t>This</w:t>
      </w:r>
      <w:r>
        <w:rPr>
          <w:spacing w:val="2"/>
        </w:rPr>
        <w:t> </w:t>
      </w:r>
      <w:r>
        <w:rPr>
          <w:spacing w:val="-4"/>
        </w:rPr>
        <w:t>must</w:t>
      </w:r>
    </w:p>
    <w:p>
      <w:pPr>
        <w:pStyle w:val="BodyText"/>
        <w:spacing w:line="266" w:lineRule="auto" w:before="57"/>
        <w:ind w:left="319" w:right="1077"/>
        <w:jc w:val="both"/>
      </w:pPr>
      <w:r>
        <w:rPr/>
        <w:br w:type="column"/>
      </w:r>
      <w:r>
        <w:rPr/>
        <w:t>be combined with some incentives and rewards </w:t>
      </w:r>
      <w:r>
        <w:rPr/>
        <w:t>for performance. There is, however, another dimension to</w:t>
      </w:r>
      <w:r>
        <w:rPr>
          <w:spacing w:val="-8"/>
        </w:rPr>
        <w:t> </w:t>
      </w:r>
      <w:r>
        <w:rPr/>
        <w:t>the</w:t>
      </w:r>
      <w:r>
        <w:rPr>
          <w:spacing w:val="-8"/>
        </w:rPr>
        <w:t> </w:t>
      </w:r>
      <w:r>
        <w:rPr/>
        <w:t>problem.</w:t>
      </w:r>
      <w:r>
        <w:rPr>
          <w:spacing w:val="-8"/>
        </w:rPr>
        <w:t> </w:t>
      </w:r>
      <w:r>
        <w:rPr/>
        <w:t>Universities</w:t>
      </w:r>
      <w:r>
        <w:rPr>
          <w:spacing w:val="-8"/>
        </w:rPr>
        <w:t> </w:t>
      </w:r>
      <w:r>
        <w:rPr/>
        <w:t>do</w:t>
      </w:r>
      <w:r>
        <w:rPr>
          <w:spacing w:val="-8"/>
        </w:rPr>
        <w:t> </w:t>
      </w:r>
      <w:r>
        <w:rPr/>
        <w:t>not</w:t>
      </w:r>
      <w:r>
        <w:rPr>
          <w:spacing w:val="-8"/>
        </w:rPr>
        <w:t> </w:t>
      </w:r>
      <w:r>
        <w:rPr/>
        <w:t>always</w:t>
      </w:r>
      <w:r>
        <w:rPr>
          <w:spacing w:val="-8"/>
        </w:rPr>
        <w:t> </w:t>
      </w:r>
      <w:r>
        <w:rPr/>
        <w:t>choose</w:t>
      </w:r>
      <w:r>
        <w:rPr>
          <w:spacing w:val="-8"/>
        </w:rPr>
        <w:t> </w:t>
      </w:r>
      <w:r>
        <w:rPr/>
        <w:t>the best in part because of native son/daughter policies which</w:t>
      </w:r>
      <w:r>
        <w:rPr>
          <w:spacing w:val="-7"/>
        </w:rPr>
        <w:t> </w:t>
      </w:r>
      <w:r>
        <w:rPr/>
        <w:t>leave</w:t>
      </w:r>
      <w:r>
        <w:rPr>
          <w:spacing w:val="-7"/>
        </w:rPr>
        <w:t> </w:t>
      </w:r>
      <w:r>
        <w:rPr/>
        <w:t>them</w:t>
      </w:r>
      <w:r>
        <w:rPr>
          <w:spacing w:val="-7"/>
        </w:rPr>
        <w:t> </w:t>
      </w:r>
      <w:r>
        <w:rPr/>
        <w:t>to</w:t>
      </w:r>
      <w:r>
        <w:rPr>
          <w:spacing w:val="-7"/>
        </w:rPr>
        <w:t> </w:t>
      </w:r>
      <w:r>
        <w:rPr/>
        <w:t>select</w:t>
      </w:r>
      <w:r>
        <w:rPr>
          <w:spacing w:val="-7"/>
        </w:rPr>
        <w:t> </w:t>
      </w:r>
      <w:r>
        <w:rPr/>
        <w:t>their</w:t>
      </w:r>
      <w:r>
        <w:rPr>
          <w:spacing w:val="-7"/>
        </w:rPr>
        <w:t> </w:t>
      </w:r>
      <w:r>
        <w:rPr/>
        <w:t>own</w:t>
      </w:r>
      <w:r>
        <w:rPr>
          <w:spacing w:val="-7"/>
        </w:rPr>
        <w:t> </w:t>
      </w:r>
      <w:r>
        <w:rPr/>
        <w:t>former</w:t>
      </w:r>
      <w:r>
        <w:rPr>
          <w:spacing w:val="-7"/>
        </w:rPr>
        <w:t> </w:t>
      </w:r>
      <w:r>
        <w:rPr/>
        <w:t>students. This</w:t>
      </w:r>
      <w:r>
        <w:rPr>
          <w:spacing w:val="-13"/>
        </w:rPr>
        <w:t> </w:t>
      </w:r>
      <w:r>
        <w:rPr/>
        <w:t>tends</w:t>
      </w:r>
      <w:r>
        <w:rPr>
          <w:spacing w:val="-13"/>
        </w:rPr>
        <w:t> </w:t>
      </w:r>
      <w:r>
        <w:rPr/>
        <w:t>to</w:t>
      </w:r>
      <w:r>
        <w:rPr>
          <w:spacing w:val="-13"/>
        </w:rPr>
        <w:t> </w:t>
      </w:r>
      <w:r>
        <w:rPr/>
        <w:t>lower</w:t>
      </w:r>
      <w:r>
        <w:rPr>
          <w:spacing w:val="-13"/>
        </w:rPr>
        <w:t> </w:t>
      </w:r>
      <w:r>
        <w:rPr/>
        <w:t>quality</w:t>
      </w:r>
      <w:r>
        <w:rPr>
          <w:spacing w:val="-13"/>
        </w:rPr>
        <w:t> </w:t>
      </w:r>
      <w:r>
        <w:rPr/>
        <w:t>and</w:t>
      </w:r>
      <w:r>
        <w:rPr>
          <w:spacing w:val="-13"/>
        </w:rPr>
        <w:t> </w:t>
      </w:r>
      <w:r>
        <w:rPr/>
        <w:t>foster</w:t>
      </w:r>
      <w:r>
        <w:rPr>
          <w:spacing w:val="-13"/>
        </w:rPr>
        <w:t> </w:t>
      </w:r>
      <w:r>
        <w:rPr/>
        <w:t>parochialisation in universities. Therefore, cross pollination between universities should be encouraged. It may be worth </w:t>
      </w:r>
      <w:r>
        <w:rPr>
          <w:spacing w:val="-4"/>
        </w:rPr>
        <w:t>introducing</w:t>
      </w:r>
      <w:r>
        <w:rPr>
          <w:spacing w:val="-7"/>
        </w:rPr>
        <w:t> </w:t>
      </w:r>
      <w:r>
        <w:rPr>
          <w:spacing w:val="-4"/>
        </w:rPr>
        <w:t>a</w:t>
      </w:r>
      <w:r>
        <w:rPr>
          <w:spacing w:val="-7"/>
        </w:rPr>
        <w:t> </w:t>
      </w:r>
      <w:r>
        <w:rPr>
          <w:spacing w:val="-4"/>
        </w:rPr>
        <w:t>ceiling,</w:t>
      </w:r>
      <w:r>
        <w:rPr>
          <w:spacing w:val="-7"/>
        </w:rPr>
        <w:t> </w:t>
      </w:r>
      <w:r>
        <w:rPr>
          <w:spacing w:val="-4"/>
        </w:rPr>
        <w:t>say</w:t>
      </w:r>
      <w:r>
        <w:rPr>
          <w:spacing w:val="-7"/>
        </w:rPr>
        <w:t> </w:t>
      </w:r>
      <w:r>
        <w:rPr>
          <w:spacing w:val="-4"/>
        </w:rPr>
        <w:t>one-half</w:t>
      </w:r>
      <w:r>
        <w:rPr>
          <w:spacing w:val="-7"/>
        </w:rPr>
        <w:t> </w:t>
      </w:r>
      <w:r>
        <w:rPr>
          <w:spacing w:val="-4"/>
        </w:rPr>
        <w:t>or</w:t>
      </w:r>
      <w:r>
        <w:rPr>
          <w:spacing w:val="-7"/>
        </w:rPr>
        <w:t> </w:t>
      </w:r>
      <w:r>
        <w:rPr>
          <w:spacing w:val="-4"/>
        </w:rPr>
        <w:t>even</w:t>
      </w:r>
      <w:r>
        <w:rPr>
          <w:spacing w:val="-7"/>
        </w:rPr>
        <w:t> </w:t>
      </w:r>
      <w:r>
        <w:rPr>
          <w:spacing w:val="-4"/>
        </w:rPr>
        <w:t>one-third,</w:t>
      </w:r>
      <w:r>
        <w:rPr>
          <w:spacing w:val="-7"/>
        </w:rPr>
        <w:t> </w:t>
      </w:r>
      <w:r>
        <w:rPr>
          <w:spacing w:val="-4"/>
        </w:rPr>
        <w:t>on </w:t>
      </w:r>
      <w:r>
        <w:rPr/>
        <w:t>the proportion of faculty members than can be hired </w:t>
      </w:r>
      <w:r>
        <w:rPr>
          <w:spacing w:val="-4"/>
        </w:rPr>
        <w:t>from within the university.</w:t>
      </w:r>
      <w:r>
        <w:rPr>
          <w:spacing w:val="-10"/>
        </w:rPr>
        <w:t> </w:t>
      </w:r>
      <w:r>
        <w:rPr>
          <w:spacing w:val="-4"/>
        </w:rPr>
        <w:t>This would almost certainly engender greater competition and more transparency in </w:t>
      </w:r>
      <w:r>
        <w:rPr/>
        <w:t>faculty appointments.</w:t>
      </w:r>
    </w:p>
    <w:p>
      <w:pPr>
        <w:pStyle w:val="BodyText"/>
        <w:spacing w:before="17"/>
      </w:pPr>
    </w:p>
    <w:p>
      <w:pPr>
        <w:pStyle w:val="BodyText"/>
        <w:spacing w:line="266" w:lineRule="auto"/>
        <w:ind w:left="319" w:right="1077"/>
        <w:jc w:val="both"/>
      </w:pPr>
      <w:r>
        <w:rPr>
          <w:b/>
          <w:w w:val="90"/>
        </w:rPr>
        <w:t>Finances:</w:t>
      </w:r>
      <w:r>
        <w:rPr>
          <w:b/>
          <w:spacing w:val="-11"/>
          <w:w w:val="90"/>
        </w:rPr>
        <w:t> </w:t>
      </w:r>
      <w:r>
        <w:rPr>
          <w:w w:val="90"/>
        </w:rPr>
        <w:t>There</w:t>
      </w:r>
      <w:r>
        <w:rPr>
          <w:spacing w:val="-8"/>
          <w:w w:val="90"/>
        </w:rPr>
        <w:t> </w:t>
      </w:r>
      <w:r>
        <w:rPr>
          <w:w w:val="90"/>
        </w:rPr>
        <w:t>is</w:t>
      </w:r>
      <w:r>
        <w:rPr>
          <w:spacing w:val="-8"/>
          <w:w w:val="90"/>
        </w:rPr>
        <w:t> </w:t>
      </w:r>
      <w:r>
        <w:rPr>
          <w:w w:val="90"/>
        </w:rPr>
        <w:t>a</w:t>
      </w:r>
      <w:r>
        <w:rPr>
          <w:spacing w:val="-8"/>
          <w:w w:val="90"/>
        </w:rPr>
        <w:t> </w:t>
      </w:r>
      <w:r>
        <w:rPr>
          <w:w w:val="90"/>
        </w:rPr>
        <w:t>serious</w:t>
      </w:r>
      <w:r>
        <w:rPr>
          <w:spacing w:val="-9"/>
          <w:w w:val="90"/>
        </w:rPr>
        <w:t> </w:t>
      </w:r>
      <w:r>
        <w:rPr>
          <w:w w:val="90"/>
        </w:rPr>
        <w:t>resource</w:t>
      </w:r>
      <w:r>
        <w:rPr>
          <w:spacing w:val="-8"/>
          <w:w w:val="90"/>
        </w:rPr>
        <w:t> </w:t>
      </w:r>
      <w:r>
        <w:rPr>
          <w:w w:val="90"/>
        </w:rPr>
        <w:t>crunch</w:t>
      </w:r>
      <w:r>
        <w:rPr>
          <w:spacing w:val="-8"/>
          <w:w w:val="90"/>
        </w:rPr>
        <w:t> </w:t>
      </w:r>
      <w:r>
        <w:rPr>
          <w:w w:val="90"/>
        </w:rPr>
        <w:t>in</w:t>
      </w:r>
      <w:r>
        <w:rPr>
          <w:spacing w:val="-8"/>
          <w:w w:val="90"/>
        </w:rPr>
        <w:t> </w:t>
      </w:r>
      <w:r>
        <w:rPr>
          <w:w w:val="90"/>
        </w:rPr>
        <w:t>universities </w:t>
      </w:r>
      <w:r>
        <w:rPr/>
        <w:t>which leaves them with little financial flexibility. In </w:t>
      </w:r>
      <w:r>
        <w:rPr>
          <w:spacing w:val="-6"/>
        </w:rPr>
        <w:t>general, about 75 per cent of maintenance expenditure is </w:t>
      </w:r>
      <w:r>
        <w:rPr>
          <w:spacing w:val="-2"/>
        </w:rPr>
        <w:t>on</w:t>
      </w:r>
      <w:r>
        <w:rPr>
          <w:spacing w:val="-9"/>
        </w:rPr>
        <w:t> </w:t>
      </w:r>
      <w:r>
        <w:rPr>
          <w:spacing w:val="-2"/>
        </w:rPr>
        <w:t>salaries</w:t>
      </w:r>
      <w:r>
        <w:rPr>
          <w:spacing w:val="-9"/>
        </w:rPr>
        <w:t> </w:t>
      </w:r>
      <w:r>
        <w:rPr>
          <w:spacing w:val="-2"/>
        </w:rPr>
        <w:t>and</w:t>
      </w:r>
      <w:r>
        <w:rPr>
          <w:spacing w:val="-9"/>
        </w:rPr>
        <w:t> </w:t>
      </w:r>
      <w:r>
        <w:rPr>
          <w:spacing w:val="-2"/>
        </w:rPr>
        <w:t>pensions.</w:t>
      </w:r>
      <w:r>
        <w:rPr>
          <w:spacing w:val="-9"/>
        </w:rPr>
        <w:t> </w:t>
      </w:r>
      <w:r>
        <w:rPr>
          <w:spacing w:val="-2"/>
        </w:rPr>
        <w:t>Of</w:t>
      </w:r>
      <w:r>
        <w:rPr>
          <w:spacing w:val="-9"/>
        </w:rPr>
        <w:t> </w:t>
      </w:r>
      <w:r>
        <w:rPr>
          <w:spacing w:val="-2"/>
        </w:rPr>
        <w:t>the</w:t>
      </w:r>
      <w:r>
        <w:rPr>
          <w:spacing w:val="-9"/>
        </w:rPr>
        <w:t> </w:t>
      </w:r>
      <w:r>
        <w:rPr>
          <w:spacing w:val="-2"/>
        </w:rPr>
        <w:t>remaining</w:t>
      </w:r>
      <w:r>
        <w:rPr>
          <w:spacing w:val="-9"/>
        </w:rPr>
        <w:t> </w:t>
      </w:r>
      <w:r>
        <w:rPr>
          <w:spacing w:val="-2"/>
        </w:rPr>
        <w:t>25</w:t>
      </w:r>
      <w:r>
        <w:rPr>
          <w:spacing w:val="-9"/>
        </w:rPr>
        <w:t> </w:t>
      </w:r>
      <w:r>
        <w:rPr>
          <w:spacing w:val="-2"/>
        </w:rPr>
        <w:t>per</w:t>
      </w:r>
      <w:r>
        <w:rPr>
          <w:spacing w:val="-9"/>
        </w:rPr>
        <w:t> </w:t>
      </w:r>
      <w:r>
        <w:rPr>
          <w:spacing w:val="-2"/>
        </w:rPr>
        <w:t>cent, </w:t>
      </w:r>
      <w:r>
        <w:rPr/>
        <w:t>at least 15 per cent is absorbed by preemptive claims </w:t>
      </w:r>
      <w:r>
        <w:rPr>
          <w:spacing w:val="-2"/>
        </w:rPr>
        <w:t>such</w:t>
      </w:r>
      <w:r>
        <w:rPr>
          <w:spacing w:val="-11"/>
        </w:rPr>
        <w:t> </w:t>
      </w:r>
      <w:r>
        <w:rPr>
          <w:spacing w:val="-2"/>
        </w:rPr>
        <w:t>as</w:t>
      </w:r>
      <w:r>
        <w:rPr>
          <w:spacing w:val="-11"/>
        </w:rPr>
        <w:t> </w:t>
      </w:r>
      <w:r>
        <w:rPr>
          <w:spacing w:val="-2"/>
        </w:rPr>
        <w:t>rents,</w:t>
      </w:r>
      <w:r>
        <w:rPr>
          <w:spacing w:val="-11"/>
        </w:rPr>
        <w:t> </w:t>
      </w:r>
      <w:r>
        <w:rPr>
          <w:spacing w:val="-2"/>
        </w:rPr>
        <w:t>electricity,</w:t>
      </w:r>
      <w:r>
        <w:rPr>
          <w:spacing w:val="-11"/>
        </w:rPr>
        <w:t> </w:t>
      </w:r>
      <w:r>
        <w:rPr>
          <w:spacing w:val="-2"/>
        </w:rPr>
        <w:t>telephones</w:t>
      </w:r>
      <w:r>
        <w:rPr>
          <w:spacing w:val="-11"/>
        </w:rPr>
        <w:t> </w:t>
      </w:r>
      <w:r>
        <w:rPr>
          <w:spacing w:val="-2"/>
        </w:rPr>
        <w:t>and</w:t>
      </w:r>
      <w:r>
        <w:rPr>
          <w:spacing w:val="-11"/>
        </w:rPr>
        <w:t> </w:t>
      </w:r>
      <w:r>
        <w:rPr>
          <w:spacing w:val="-2"/>
        </w:rPr>
        <w:t>examinations. </w:t>
      </w:r>
      <w:r>
        <w:rPr/>
        <w:t>The</w:t>
      </w:r>
      <w:r>
        <w:rPr>
          <w:spacing w:val="-9"/>
        </w:rPr>
        <w:t> </w:t>
      </w:r>
      <w:r>
        <w:rPr/>
        <w:t>balance,</w:t>
      </w:r>
      <w:r>
        <w:rPr>
          <w:spacing w:val="-9"/>
        </w:rPr>
        <w:t> </w:t>
      </w:r>
      <w:r>
        <w:rPr/>
        <w:t>less</w:t>
      </w:r>
      <w:r>
        <w:rPr>
          <w:spacing w:val="-9"/>
        </w:rPr>
        <w:t> </w:t>
      </w:r>
      <w:r>
        <w:rPr/>
        <w:t>than</w:t>
      </w:r>
      <w:r>
        <w:rPr>
          <w:spacing w:val="-9"/>
        </w:rPr>
        <w:t> </w:t>
      </w:r>
      <w:r>
        <w:rPr/>
        <w:t>10</w:t>
      </w:r>
      <w:r>
        <w:rPr>
          <w:spacing w:val="-9"/>
        </w:rPr>
        <w:t> </w:t>
      </w:r>
      <w:r>
        <w:rPr/>
        <w:t>per</w:t>
      </w:r>
      <w:r>
        <w:rPr>
          <w:spacing w:val="-9"/>
        </w:rPr>
        <w:t> </w:t>
      </w:r>
      <w:r>
        <w:rPr/>
        <w:t>cent,</w:t>
      </w:r>
      <w:r>
        <w:rPr>
          <w:spacing w:val="-9"/>
        </w:rPr>
        <w:t> </w:t>
      </w:r>
      <w:r>
        <w:rPr/>
        <w:t>is</w:t>
      </w:r>
      <w:r>
        <w:rPr>
          <w:spacing w:val="-9"/>
        </w:rPr>
        <w:t> </w:t>
      </w:r>
      <w:r>
        <w:rPr/>
        <w:t>not</w:t>
      </w:r>
      <w:r>
        <w:rPr>
          <w:spacing w:val="-9"/>
        </w:rPr>
        <w:t> </w:t>
      </w:r>
      <w:r>
        <w:rPr/>
        <w:t>even</w:t>
      </w:r>
      <w:r>
        <w:rPr>
          <w:spacing w:val="-9"/>
        </w:rPr>
        <w:t> </w:t>
      </w:r>
      <w:r>
        <w:rPr/>
        <w:t>enough </w:t>
      </w:r>
      <w:r>
        <w:rPr>
          <w:spacing w:val="-6"/>
        </w:rPr>
        <w:t>for</w:t>
      </w:r>
      <w:r>
        <w:rPr>
          <w:spacing w:val="-8"/>
        </w:rPr>
        <w:t> </w:t>
      </w:r>
      <w:r>
        <w:rPr>
          <w:spacing w:val="-6"/>
        </w:rPr>
        <w:t>maintenance</w:t>
      </w:r>
      <w:r>
        <w:rPr>
          <w:spacing w:val="-8"/>
        </w:rPr>
        <w:t> </w:t>
      </w:r>
      <w:r>
        <w:rPr>
          <w:spacing w:val="-6"/>
        </w:rPr>
        <w:t>let</w:t>
      </w:r>
      <w:r>
        <w:rPr>
          <w:spacing w:val="-8"/>
        </w:rPr>
        <w:t> </w:t>
      </w:r>
      <w:r>
        <w:rPr>
          <w:spacing w:val="-6"/>
        </w:rPr>
        <w:t>alone</w:t>
      </w:r>
      <w:r>
        <w:rPr>
          <w:spacing w:val="-7"/>
        </w:rPr>
        <w:t> </w:t>
      </w:r>
      <w:r>
        <w:rPr>
          <w:spacing w:val="-6"/>
        </w:rPr>
        <w:t>development.</w:t>
      </w:r>
      <w:r>
        <w:rPr>
          <w:spacing w:val="-8"/>
        </w:rPr>
        <w:t> </w:t>
      </w:r>
      <w:r>
        <w:rPr>
          <w:spacing w:val="-6"/>
        </w:rPr>
        <w:t>Laboratories</w:t>
      </w:r>
      <w:r>
        <w:rPr>
          <w:spacing w:val="-8"/>
        </w:rPr>
        <w:t> </w:t>
      </w:r>
      <w:r>
        <w:rPr>
          <w:spacing w:val="-6"/>
        </w:rPr>
        <w:t>and </w:t>
      </w:r>
      <w:r>
        <w:rPr>
          <w:spacing w:val="-8"/>
        </w:rPr>
        <w:t>libraries</w:t>
      </w:r>
      <w:r>
        <w:rPr/>
        <w:t> </w:t>
      </w:r>
      <w:r>
        <w:rPr>
          <w:spacing w:val="-8"/>
        </w:rPr>
        <w:t>languish</w:t>
      </w:r>
      <w:r>
        <w:rPr/>
        <w:t> </w:t>
      </w:r>
      <w:r>
        <w:rPr>
          <w:spacing w:val="-8"/>
        </w:rPr>
        <w:t>while</w:t>
      </w:r>
      <w:r>
        <w:rPr/>
        <w:t> </w:t>
      </w:r>
      <w:r>
        <w:rPr>
          <w:spacing w:val="-8"/>
        </w:rPr>
        <w:t>buildings</w:t>
      </w:r>
      <w:r>
        <w:rPr/>
        <w:t> </w:t>
      </w:r>
      <w:r>
        <w:rPr>
          <w:spacing w:val="-8"/>
        </w:rPr>
        <w:t>crumble.</w:t>
      </w:r>
      <w:r>
        <w:rPr/>
        <w:t> </w:t>
      </w:r>
      <w:r>
        <w:rPr>
          <w:spacing w:val="-8"/>
        </w:rPr>
        <w:t>But</w:t>
      </w:r>
      <w:r>
        <w:rPr/>
        <w:t> </w:t>
      </w:r>
      <w:r>
        <w:rPr>
          <w:spacing w:val="-8"/>
        </w:rPr>
        <w:t>that</w:t>
      </w:r>
      <w:r>
        <w:rPr/>
        <w:t> </w:t>
      </w:r>
      <w:r>
        <w:rPr>
          <w:spacing w:val="-8"/>
        </w:rPr>
        <w:t>is</w:t>
      </w:r>
      <w:r>
        <w:rPr/>
        <w:t> </w:t>
      </w:r>
      <w:r>
        <w:rPr>
          <w:spacing w:val="-8"/>
        </w:rPr>
        <w:t>not </w:t>
      </w:r>
      <w:r>
        <w:rPr>
          <w:spacing w:val="-2"/>
        </w:rPr>
        <w:t>all.</w:t>
      </w:r>
      <w:r>
        <w:rPr>
          <w:spacing w:val="-10"/>
        </w:rPr>
        <w:t> </w:t>
      </w:r>
      <w:r>
        <w:rPr>
          <w:spacing w:val="-2"/>
        </w:rPr>
        <w:t>In</w:t>
      </w:r>
      <w:r>
        <w:rPr>
          <w:spacing w:val="-10"/>
        </w:rPr>
        <w:t> </w:t>
      </w:r>
      <w:r>
        <w:rPr>
          <w:spacing w:val="-2"/>
        </w:rPr>
        <w:t>most</w:t>
      </w:r>
      <w:r>
        <w:rPr>
          <w:spacing w:val="-10"/>
        </w:rPr>
        <w:t> </w:t>
      </w:r>
      <w:r>
        <w:rPr>
          <w:spacing w:val="-2"/>
        </w:rPr>
        <w:t>universities,</w:t>
      </w:r>
      <w:r>
        <w:rPr>
          <w:spacing w:val="-10"/>
        </w:rPr>
        <w:t> </w:t>
      </w:r>
      <w:r>
        <w:rPr>
          <w:spacing w:val="-2"/>
        </w:rPr>
        <w:t>plan</w:t>
      </w:r>
      <w:r>
        <w:rPr>
          <w:spacing w:val="-10"/>
        </w:rPr>
        <w:t> </w:t>
      </w:r>
      <w:r>
        <w:rPr>
          <w:spacing w:val="-2"/>
        </w:rPr>
        <w:t>(investment)</w:t>
      </w:r>
      <w:r>
        <w:rPr>
          <w:spacing w:val="-10"/>
        </w:rPr>
        <w:t> </w:t>
      </w:r>
      <w:r>
        <w:rPr>
          <w:spacing w:val="-2"/>
        </w:rPr>
        <w:t>expenditure </w:t>
      </w:r>
      <w:r>
        <w:rPr/>
        <w:t>is less than 5 per cent of non-plan (maintenance) expenditure.</w:t>
      </w:r>
      <w:r>
        <w:rPr>
          <w:spacing w:val="-12"/>
        </w:rPr>
        <w:t> </w:t>
      </w:r>
      <w:r>
        <w:rPr/>
        <w:t>Such</w:t>
      </w:r>
      <w:r>
        <w:rPr>
          <w:spacing w:val="-12"/>
        </w:rPr>
        <w:t> </w:t>
      </w:r>
      <w:r>
        <w:rPr/>
        <w:t>a</w:t>
      </w:r>
      <w:r>
        <w:rPr>
          <w:spacing w:val="-12"/>
        </w:rPr>
        <w:t> </w:t>
      </w:r>
      <w:r>
        <w:rPr/>
        <w:t>small</w:t>
      </w:r>
      <w:r>
        <w:rPr>
          <w:spacing w:val="-12"/>
        </w:rPr>
        <w:t> </w:t>
      </w:r>
      <w:r>
        <w:rPr/>
        <w:t>proportion</w:t>
      </w:r>
      <w:r>
        <w:rPr>
          <w:spacing w:val="-12"/>
        </w:rPr>
        <w:t> </w:t>
      </w:r>
      <w:r>
        <w:rPr/>
        <w:t>of</w:t>
      </w:r>
      <w:r>
        <w:rPr>
          <w:spacing w:val="-12"/>
        </w:rPr>
        <w:t> </w:t>
      </w:r>
      <w:r>
        <w:rPr/>
        <w:t>investment</w:t>
      </w:r>
      <w:r>
        <w:rPr>
          <w:spacing w:val="-12"/>
        </w:rPr>
        <w:t> </w:t>
      </w:r>
      <w:r>
        <w:rPr/>
        <w:t>in total expenditure can only mortgage the future. It is </w:t>
      </w:r>
      <w:r>
        <w:rPr>
          <w:spacing w:val="-4"/>
        </w:rPr>
        <w:t>doing</w:t>
      </w:r>
      <w:r>
        <w:rPr>
          <w:spacing w:val="-10"/>
        </w:rPr>
        <w:t> </w:t>
      </w:r>
      <w:r>
        <w:rPr>
          <w:spacing w:val="-4"/>
        </w:rPr>
        <w:t>so.</w:t>
      </w:r>
      <w:r>
        <w:rPr>
          <w:spacing w:val="-10"/>
        </w:rPr>
        <w:t> </w:t>
      </w:r>
      <w:r>
        <w:rPr>
          <w:spacing w:val="-4"/>
        </w:rPr>
        <w:t>The</w:t>
      </w:r>
      <w:r>
        <w:rPr>
          <w:spacing w:val="-10"/>
        </w:rPr>
        <w:t> </w:t>
      </w:r>
      <w:r>
        <w:rPr>
          <w:spacing w:val="-4"/>
        </w:rPr>
        <w:t>time</w:t>
      </w:r>
      <w:r>
        <w:rPr>
          <w:spacing w:val="-9"/>
        </w:rPr>
        <w:t> </w:t>
      </w:r>
      <w:r>
        <w:rPr>
          <w:spacing w:val="-4"/>
        </w:rPr>
        <w:t>has</w:t>
      </w:r>
      <w:r>
        <w:rPr>
          <w:spacing w:val="-10"/>
        </w:rPr>
        <w:t> </w:t>
      </w:r>
      <w:r>
        <w:rPr>
          <w:spacing w:val="-4"/>
        </w:rPr>
        <w:t>come</w:t>
      </w:r>
      <w:r>
        <w:rPr>
          <w:spacing w:val="-10"/>
        </w:rPr>
        <w:t> </w:t>
      </w:r>
      <w:r>
        <w:rPr>
          <w:spacing w:val="-4"/>
        </w:rPr>
        <w:t>for</w:t>
      </w:r>
      <w:r>
        <w:rPr>
          <w:spacing w:val="-10"/>
        </w:rPr>
        <w:t> </w:t>
      </w:r>
      <w:r>
        <w:rPr>
          <w:spacing w:val="-4"/>
        </w:rPr>
        <w:t>some</w:t>
      </w:r>
      <w:r>
        <w:rPr>
          <w:spacing w:val="-9"/>
        </w:rPr>
        <w:t> </w:t>
      </w:r>
      <w:r>
        <w:rPr>
          <w:spacing w:val="-4"/>
        </w:rPr>
        <w:t>strategic</w:t>
      </w:r>
      <w:r>
        <w:rPr>
          <w:spacing w:val="-10"/>
        </w:rPr>
        <w:t> </w:t>
      </w:r>
      <w:r>
        <w:rPr>
          <w:spacing w:val="-4"/>
        </w:rPr>
        <w:t>thinking </w:t>
      </w:r>
      <w:r>
        <w:rPr>
          <w:spacing w:val="-6"/>
        </w:rPr>
        <w:t>on</w:t>
      </w:r>
      <w:r>
        <w:rPr>
          <w:spacing w:val="-10"/>
        </w:rPr>
        <w:t> </w:t>
      </w:r>
      <w:r>
        <w:rPr>
          <w:spacing w:val="-6"/>
        </w:rPr>
        <w:t>the</w:t>
      </w:r>
      <w:r>
        <w:rPr>
          <w:spacing w:val="-8"/>
        </w:rPr>
        <w:t> </w:t>
      </w:r>
      <w:r>
        <w:rPr>
          <w:spacing w:val="-6"/>
        </w:rPr>
        <w:t>re-allocation</w:t>
      </w:r>
      <w:r>
        <w:rPr>
          <w:spacing w:val="-8"/>
        </w:rPr>
        <w:t> </w:t>
      </w:r>
      <w:r>
        <w:rPr>
          <w:spacing w:val="-6"/>
        </w:rPr>
        <w:t>of</w:t>
      </w:r>
      <w:r>
        <w:rPr>
          <w:spacing w:val="-7"/>
        </w:rPr>
        <w:t> </w:t>
      </w:r>
      <w:r>
        <w:rPr>
          <w:spacing w:val="-6"/>
        </w:rPr>
        <w:t>budgets</w:t>
      </w:r>
      <w:r>
        <w:rPr>
          <w:spacing w:val="-8"/>
        </w:rPr>
        <w:t> </w:t>
      </w:r>
      <w:r>
        <w:rPr>
          <w:spacing w:val="-6"/>
        </w:rPr>
        <w:t>for</w:t>
      </w:r>
      <w:r>
        <w:rPr>
          <w:spacing w:val="-8"/>
        </w:rPr>
        <w:t> </w:t>
      </w:r>
      <w:r>
        <w:rPr>
          <w:spacing w:val="-6"/>
        </w:rPr>
        <w:t>universities</w:t>
      </w:r>
      <w:r>
        <w:rPr>
          <w:spacing w:val="-8"/>
        </w:rPr>
        <w:t> </w:t>
      </w:r>
      <w:r>
        <w:rPr>
          <w:spacing w:val="-6"/>
        </w:rPr>
        <w:t>with</w:t>
      </w:r>
      <w:r>
        <w:rPr>
          <w:spacing w:val="-7"/>
        </w:rPr>
        <w:t> </w:t>
      </w:r>
      <w:r>
        <w:rPr>
          <w:spacing w:val="-6"/>
        </w:rPr>
        <w:t>some </w:t>
      </w:r>
      <w:r>
        <w:rPr/>
        <w:t>allocation</w:t>
      </w:r>
      <w:r>
        <w:rPr>
          <w:spacing w:val="-2"/>
        </w:rPr>
        <w:t> </w:t>
      </w:r>
      <w:r>
        <w:rPr/>
        <w:t>for</w:t>
      </w:r>
      <w:r>
        <w:rPr>
          <w:spacing w:val="-2"/>
        </w:rPr>
        <w:t> </w:t>
      </w:r>
      <w:r>
        <w:rPr/>
        <w:t>development</w:t>
      </w:r>
      <w:r>
        <w:rPr>
          <w:spacing w:val="-2"/>
        </w:rPr>
        <w:t> </w:t>
      </w:r>
      <w:r>
        <w:rPr/>
        <w:t>grants</w:t>
      </w:r>
      <w:r>
        <w:rPr>
          <w:spacing w:val="-2"/>
        </w:rPr>
        <w:t> </w:t>
      </w:r>
      <w:r>
        <w:rPr/>
        <w:t>and</w:t>
      </w:r>
      <w:r>
        <w:rPr>
          <w:spacing w:val="-2"/>
        </w:rPr>
        <w:t> </w:t>
      </w:r>
      <w:r>
        <w:rPr/>
        <w:t>on</w:t>
      </w:r>
      <w:r>
        <w:rPr>
          <w:spacing w:val="-2"/>
        </w:rPr>
        <w:t> </w:t>
      </w:r>
      <w:r>
        <w:rPr/>
        <w:t>needs</w:t>
      </w:r>
      <w:r>
        <w:rPr>
          <w:spacing w:val="-2"/>
        </w:rPr>
        <w:t> </w:t>
      </w:r>
      <w:r>
        <w:rPr/>
        <w:t>other </w:t>
      </w:r>
      <w:r>
        <w:rPr>
          <w:spacing w:val="-4"/>
        </w:rPr>
        <w:t>than</w:t>
      </w:r>
      <w:r>
        <w:rPr>
          <w:spacing w:val="-6"/>
        </w:rPr>
        <w:t> </w:t>
      </w:r>
      <w:r>
        <w:rPr>
          <w:spacing w:val="-4"/>
        </w:rPr>
        <w:t>salaries.</w:t>
      </w:r>
      <w:r>
        <w:rPr>
          <w:spacing w:val="-10"/>
        </w:rPr>
        <w:t> </w:t>
      </w:r>
      <w:r>
        <w:rPr>
          <w:spacing w:val="-4"/>
        </w:rPr>
        <w:t>The criteria for resource allocation should </w:t>
      </w:r>
      <w:r>
        <w:rPr>
          <w:spacing w:val="-2"/>
        </w:rPr>
        <w:t>seek</w:t>
      </w:r>
      <w:r>
        <w:rPr>
          <w:spacing w:val="-11"/>
        </w:rPr>
        <w:t> </w:t>
      </w:r>
      <w:r>
        <w:rPr>
          <w:spacing w:val="-2"/>
        </w:rPr>
        <w:t>to</w:t>
      </w:r>
      <w:r>
        <w:rPr>
          <w:spacing w:val="-11"/>
        </w:rPr>
        <w:t> </w:t>
      </w:r>
      <w:r>
        <w:rPr>
          <w:spacing w:val="-2"/>
        </w:rPr>
        <w:t>strike</w:t>
      </w:r>
      <w:r>
        <w:rPr>
          <w:spacing w:val="-11"/>
        </w:rPr>
        <w:t> </w:t>
      </w:r>
      <w:r>
        <w:rPr>
          <w:spacing w:val="-2"/>
        </w:rPr>
        <w:t>a</w:t>
      </w:r>
      <w:r>
        <w:rPr>
          <w:spacing w:val="-11"/>
        </w:rPr>
        <w:t> </w:t>
      </w:r>
      <w:r>
        <w:rPr>
          <w:spacing w:val="-2"/>
        </w:rPr>
        <w:t>much</w:t>
      </w:r>
      <w:r>
        <w:rPr>
          <w:spacing w:val="-11"/>
        </w:rPr>
        <w:t> </w:t>
      </w:r>
      <w:r>
        <w:rPr>
          <w:spacing w:val="-2"/>
        </w:rPr>
        <w:t>better</w:t>
      </w:r>
      <w:r>
        <w:rPr>
          <w:spacing w:val="-11"/>
        </w:rPr>
        <w:t> </w:t>
      </w:r>
      <w:r>
        <w:rPr>
          <w:spacing w:val="-2"/>
        </w:rPr>
        <w:t>balance</w:t>
      </w:r>
      <w:r>
        <w:rPr>
          <w:spacing w:val="-11"/>
        </w:rPr>
        <w:t> </w:t>
      </w:r>
      <w:r>
        <w:rPr>
          <w:spacing w:val="-2"/>
        </w:rPr>
        <w:t>between</w:t>
      </w:r>
      <w:r>
        <w:rPr>
          <w:spacing w:val="-11"/>
        </w:rPr>
        <w:t> </w:t>
      </w:r>
      <w:r>
        <w:rPr>
          <w:spacing w:val="-2"/>
        </w:rPr>
        <w:t>providing </w:t>
      </w:r>
      <w:r>
        <w:rPr/>
        <w:t>for salaries/pensions and providing for maintenance/ </w:t>
      </w:r>
      <w:r>
        <w:rPr>
          <w:spacing w:val="-6"/>
        </w:rPr>
        <w:t>development/investment.</w:t>
      </w:r>
      <w:r>
        <w:rPr>
          <w:spacing w:val="-10"/>
        </w:rPr>
        <w:t> </w:t>
      </w:r>
      <w:r>
        <w:rPr>
          <w:spacing w:val="-6"/>
        </w:rPr>
        <w:t>These</w:t>
      </w:r>
      <w:r>
        <w:rPr>
          <w:spacing w:val="-8"/>
        </w:rPr>
        <w:t> </w:t>
      </w:r>
      <w:r>
        <w:rPr>
          <w:spacing w:val="-6"/>
        </w:rPr>
        <w:t>criteria</w:t>
      </w:r>
      <w:r>
        <w:rPr>
          <w:spacing w:val="-8"/>
        </w:rPr>
        <w:t> </w:t>
      </w:r>
      <w:r>
        <w:rPr>
          <w:spacing w:val="-6"/>
        </w:rPr>
        <w:t>should</w:t>
      </w:r>
      <w:r>
        <w:rPr>
          <w:spacing w:val="-7"/>
        </w:rPr>
        <w:t> </w:t>
      </w:r>
      <w:r>
        <w:rPr>
          <w:spacing w:val="-6"/>
        </w:rPr>
        <w:t>recognise the</w:t>
      </w:r>
      <w:r>
        <w:rPr>
          <w:spacing w:val="-10"/>
        </w:rPr>
        <w:t> </w:t>
      </w:r>
      <w:r>
        <w:rPr>
          <w:spacing w:val="-6"/>
        </w:rPr>
        <w:t>importance</w:t>
      </w:r>
      <w:r>
        <w:rPr>
          <w:spacing w:val="-8"/>
        </w:rPr>
        <w:t> </w:t>
      </w:r>
      <w:r>
        <w:rPr>
          <w:spacing w:val="-6"/>
        </w:rPr>
        <w:t>of</w:t>
      </w:r>
      <w:r>
        <w:rPr>
          <w:spacing w:val="-8"/>
        </w:rPr>
        <w:t> </w:t>
      </w:r>
      <w:r>
        <w:rPr>
          <w:spacing w:val="-6"/>
        </w:rPr>
        <w:t>a</w:t>
      </w:r>
      <w:r>
        <w:rPr>
          <w:spacing w:val="-7"/>
        </w:rPr>
        <w:t> </w:t>
      </w:r>
      <w:r>
        <w:rPr>
          <w:spacing w:val="-6"/>
        </w:rPr>
        <w:t>critical</w:t>
      </w:r>
      <w:r>
        <w:rPr>
          <w:spacing w:val="-8"/>
        </w:rPr>
        <w:t> </w:t>
      </w:r>
      <w:r>
        <w:rPr>
          <w:spacing w:val="-6"/>
        </w:rPr>
        <w:t>minimum</w:t>
      </w:r>
      <w:r>
        <w:rPr>
          <w:spacing w:val="-8"/>
        </w:rPr>
        <w:t> </w:t>
      </w:r>
      <w:r>
        <w:rPr>
          <w:spacing w:val="-6"/>
        </w:rPr>
        <w:t>to</w:t>
      </w:r>
      <w:r>
        <w:rPr>
          <w:spacing w:val="-8"/>
        </w:rPr>
        <w:t> </w:t>
      </w:r>
      <w:r>
        <w:rPr>
          <w:spacing w:val="-6"/>
        </w:rPr>
        <w:t>ensure</w:t>
      </w:r>
      <w:r>
        <w:rPr>
          <w:spacing w:val="-7"/>
        </w:rPr>
        <w:t> </w:t>
      </w:r>
      <w:r>
        <w:rPr>
          <w:spacing w:val="-6"/>
        </w:rPr>
        <w:t>standards </w:t>
      </w:r>
      <w:r>
        <w:rPr>
          <w:spacing w:val="-4"/>
        </w:rPr>
        <w:t>and strategic preferences to promote excellence.</w:t>
      </w:r>
    </w:p>
    <w:p>
      <w:pPr>
        <w:pStyle w:val="BodyText"/>
        <w:spacing w:before="9"/>
      </w:pPr>
    </w:p>
    <w:p>
      <w:pPr>
        <w:pStyle w:val="BodyText"/>
        <w:spacing w:line="266" w:lineRule="auto"/>
        <w:ind w:left="319" w:right="1077"/>
        <w:jc w:val="both"/>
      </w:pPr>
      <w:r>
        <w:rPr>
          <w:b/>
          <w:w w:val="90"/>
        </w:rPr>
        <w:t>Infrastructure:</w:t>
      </w:r>
      <w:r>
        <w:rPr>
          <w:b/>
          <w:spacing w:val="-9"/>
          <w:w w:val="90"/>
        </w:rPr>
        <w:t> </w:t>
      </w:r>
      <w:r>
        <w:rPr>
          <w:w w:val="90"/>
        </w:rPr>
        <w:t>The</w:t>
      </w:r>
      <w:r>
        <w:rPr>
          <w:spacing w:val="-8"/>
          <w:w w:val="90"/>
        </w:rPr>
        <w:t> </w:t>
      </w:r>
      <w:r>
        <w:rPr>
          <w:w w:val="90"/>
        </w:rPr>
        <w:t>elements</w:t>
      </w:r>
      <w:r>
        <w:rPr>
          <w:spacing w:val="-8"/>
          <w:w w:val="90"/>
        </w:rPr>
        <w:t> </w:t>
      </w:r>
      <w:r>
        <w:rPr>
          <w:w w:val="90"/>
        </w:rPr>
        <w:t>of</w:t>
      </w:r>
      <w:r>
        <w:rPr>
          <w:spacing w:val="-8"/>
          <w:w w:val="90"/>
        </w:rPr>
        <w:t> </w:t>
      </w:r>
      <w:r>
        <w:rPr>
          <w:w w:val="90"/>
        </w:rPr>
        <w:t>infrastructure</w:t>
      </w:r>
      <w:r>
        <w:rPr>
          <w:spacing w:val="-9"/>
          <w:w w:val="90"/>
        </w:rPr>
        <w:t> </w:t>
      </w:r>
      <w:r>
        <w:rPr>
          <w:w w:val="90"/>
        </w:rPr>
        <w:t>that</w:t>
      </w:r>
      <w:r>
        <w:rPr>
          <w:spacing w:val="-8"/>
          <w:w w:val="90"/>
        </w:rPr>
        <w:t> </w:t>
      </w:r>
      <w:r>
        <w:rPr>
          <w:w w:val="90"/>
        </w:rPr>
        <w:t>support </w:t>
      </w:r>
      <w:r>
        <w:rPr>
          <w:spacing w:val="-2"/>
        </w:rPr>
        <w:t>the</w:t>
      </w:r>
      <w:r>
        <w:rPr>
          <w:spacing w:val="-12"/>
        </w:rPr>
        <w:t> </w:t>
      </w:r>
      <w:r>
        <w:rPr>
          <w:spacing w:val="-2"/>
        </w:rPr>
        <w:t>teaching-learning</w:t>
      </w:r>
      <w:r>
        <w:rPr>
          <w:spacing w:val="-12"/>
        </w:rPr>
        <w:t> </w:t>
      </w:r>
      <w:r>
        <w:rPr>
          <w:spacing w:val="-2"/>
        </w:rPr>
        <w:t>process,</w:t>
      </w:r>
      <w:r>
        <w:rPr>
          <w:spacing w:val="-12"/>
        </w:rPr>
        <w:t> </w:t>
      </w:r>
      <w:r>
        <w:rPr>
          <w:spacing w:val="-2"/>
        </w:rPr>
        <w:t>most</w:t>
      </w:r>
      <w:r>
        <w:rPr>
          <w:spacing w:val="-11"/>
        </w:rPr>
        <w:t> </w:t>
      </w:r>
      <w:r>
        <w:rPr>
          <w:spacing w:val="-2"/>
        </w:rPr>
        <w:t>directly,</w:t>
      </w:r>
      <w:r>
        <w:rPr>
          <w:spacing w:val="-12"/>
        </w:rPr>
        <w:t> </w:t>
      </w:r>
      <w:r>
        <w:rPr>
          <w:spacing w:val="-2"/>
        </w:rPr>
        <w:t>need</w:t>
      </w:r>
      <w:r>
        <w:rPr>
          <w:spacing w:val="-12"/>
        </w:rPr>
        <w:t> </w:t>
      </w:r>
      <w:r>
        <w:rPr>
          <w:spacing w:val="-2"/>
        </w:rPr>
        <w:t>to</w:t>
      </w:r>
      <w:r>
        <w:rPr>
          <w:spacing w:val="-12"/>
        </w:rPr>
        <w:t> </w:t>
      </w:r>
      <w:r>
        <w:rPr>
          <w:spacing w:val="-2"/>
        </w:rPr>
        <w:t>be monitored</w:t>
      </w:r>
      <w:r>
        <w:rPr>
          <w:spacing w:val="-12"/>
        </w:rPr>
        <w:t> </w:t>
      </w:r>
      <w:r>
        <w:rPr>
          <w:spacing w:val="-2"/>
        </w:rPr>
        <w:t>and</w:t>
      </w:r>
      <w:r>
        <w:rPr>
          <w:spacing w:val="-12"/>
        </w:rPr>
        <w:t> </w:t>
      </w:r>
      <w:r>
        <w:rPr>
          <w:spacing w:val="-2"/>
        </w:rPr>
        <w:t>upgraded</w:t>
      </w:r>
      <w:r>
        <w:rPr>
          <w:spacing w:val="-12"/>
        </w:rPr>
        <w:t> </w:t>
      </w:r>
      <w:r>
        <w:rPr>
          <w:spacing w:val="-2"/>
        </w:rPr>
        <w:t>on</w:t>
      </w:r>
      <w:r>
        <w:rPr>
          <w:spacing w:val="-11"/>
        </w:rPr>
        <w:t> </w:t>
      </w:r>
      <w:r>
        <w:rPr>
          <w:spacing w:val="-2"/>
        </w:rPr>
        <w:t>a</w:t>
      </w:r>
      <w:r>
        <w:rPr>
          <w:spacing w:val="-12"/>
        </w:rPr>
        <w:t> </w:t>
      </w:r>
      <w:r>
        <w:rPr>
          <w:spacing w:val="-2"/>
        </w:rPr>
        <w:t>regular</w:t>
      </w:r>
      <w:r>
        <w:rPr>
          <w:spacing w:val="-12"/>
        </w:rPr>
        <w:t> </w:t>
      </w:r>
      <w:r>
        <w:rPr>
          <w:spacing w:val="-2"/>
        </w:rPr>
        <w:t>basis.</w:t>
      </w:r>
      <w:r>
        <w:rPr>
          <w:spacing w:val="-12"/>
        </w:rPr>
        <w:t> </w:t>
      </w:r>
      <w:r>
        <w:rPr>
          <w:spacing w:val="-2"/>
        </w:rPr>
        <w:t>This</w:t>
      </w:r>
      <w:r>
        <w:rPr>
          <w:spacing w:val="-11"/>
        </w:rPr>
        <w:t> </w:t>
      </w:r>
      <w:r>
        <w:rPr>
          <w:spacing w:val="-2"/>
        </w:rPr>
        <w:t>means </w:t>
      </w:r>
      <w:r>
        <w:rPr>
          <w:spacing w:val="-6"/>
        </w:rPr>
        <w:t>attention,</w:t>
      </w:r>
      <w:r>
        <w:rPr>
          <w:spacing w:val="-8"/>
        </w:rPr>
        <w:t> </w:t>
      </w:r>
      <w:r>
        <w:rPr>
          <w:spacing w:val="-6"/>
        </w:rPr>
        <w:t>particular</w:t>
      </w:r>
      <w:r>
        <w:rPr>
          <w:spacing w:val="-8"/>
        </w:rPr>
        <w:t> </w:t>
      </w:r>
      <w:r>
        <w:rPr>
          <w:spacing w:val="-6"/>
        </w:rPr>
        <w:t>attention</w:t>
      </w:r>
      <w:r>
        <w:rPr>
          <w:spacing w:val="-8"/>
        </w:rPr>
        <w:t> </w:t>
      </w:r>
      <w:r>
        <w:rPr>
          <w:spacing w:val="-6"/>
        </w:rPr>
        <w:t>to</w:t>
      </w:r>
      <w:r>
        <w:rPr>
          <w:spacing w:val="-7"/>
        </w:rPr>
        <w:t> </w:t>
      </w:r>
      <w:r>
        <w:rPr>
          <w:spacing w:val="-6"/>
        </w:rPr>
        <w:t>libraries</w:t>
      </w:r>
      <w:r>
        <w:rPr>
          <w:spacing w:val="-8"/>
        </w:rPr>
        <w:t> </w:t>
      </w:r>
      <w:r>
        <w:rPr>
          <w:spacing w:val="-6"/>
        </w:rPr>
        <w:t>and</w:t>
      </w:r>
      <w:r>
        <w:rPr>
          <w:spacing w:val="-8"/>
        </w:rPr>
        <w:t> </w:t>
      </w:r>
      <w:r>
        <w:rPr>
          <w:spacing w:val="-6"/>
        </w:rPr>
        <w:t>laboratories, </w:t>
      </w:r>
      <w:r>
        <w:rPr>
          <w:spacing w:val="-10"/>
        </w:rPr>
        <w:t>in</w:t>
      </w:r>
      <w:r>
        <w:rPr>
          <w:spacing w:val="-4"/>
        </w:rPr>
        <w:t> </w:t>
      </w:r>
      <w:r>
        <w:rPr>
          <w:spacing w:val="-10"/>
        </w:rPr>
        <w:t>addition</w:t>
      </w:r>
      <w:r>
        <w:rPr>
          <w:spacing w:val="-4"/>
        </w:rPr>
        <w:t> </w:t>
      </w:r>
      <w:r>
        <w:rPr>
          <w:spacing w:val="-10"/>
        </w:rPr>
        <w:t>to</w:t>
      </w:r>
      <w:r>
        <w:rPr>
          <w:spacing w:val="-4"/>
        </w:rPr>
        <w:t> </w:t>
      </w:r>
      <w:r>
        <w:rPr>
          <w:spacing w:val="-10"/>
        </w:rPr>
        <w:t>class</w:t>
      </w:r>
      <w:r>
        <w:rPr>
          <w:spacing w:val="-3"/>
        </w:rPr>
        <w:t> </w:t>
      </w:r>
      <w:r>
        <w:rPr>
          <w:spacing w:val="-10"/>
        </w:rPr>
        <w:t>rooms,</w:t>
      </w:r>
      <w:r>
        <w:rPr>
          <w:spacing w:val="-4"/>
        </w:rPr>
        <w:t> </w:t>
      </w:r>
      <w:r>
        <w:rPr>
          <w:spacing w:val="-10"/>
        </w:rPr>
        <w:t>sports</w:t>
      </w:r>
      <w:r>
        <w:rPr>
          <w:spacing w:val="-4"/>
        </w:rPr>
        <w:t> </w:t>
      </w:r>
      <w:r>
        <w:rPr>
          <w:spacing w:val="-10"/>
        </w:rPr>
        <w:t>facilities</w:t>
      </w:r>
      <w:r>
        <w:rPr>
          <w:spacing w:val="-4"/>
        </w:rPr>
        <w:t> </w:t>
      </w:r>
      <w:r>
        <w:rPr>
          <w:spacing w:val="-10"/>
        </w:rPr>
        <w:t>and</w:t>
      </w:r>
      <w:r>
        <w:rPr>
          <w:spacing w:val="-3"/>
        </w:rPr>
        <w:t> </w:t>
      </w:r>
      <w:r>
        <w:rPr>
          <w:spacing w:val="-10"/>
        </w:rPr>
        <w:t>auditoriums. </w:t>
      </w:r>
      <w:r>
        <w:rPr/>
        <w:t>It is imperative that universities provide broadband </w:t>
      </w:r>
      <w:r>
        <w:rPr>
          <w:spacing w:val="-4"/>
        </w:rPr>
        <w:t>connectivity</w:t>
      </w:r>
      <w:r>
        <w:rPr>
          <w:spacing w:val="-10"/>
        </w:rPr>
        <w:t> </w:t>
      </w:r>
      <w:r>
        <w:rPr>
          <w:spacing w:val="-4"/>
        </w:rPr>
        <w:t>to</w:t>
      </w:r>
      <w:r>
        <w:rPr>
          <w:spacing w:val="-10"/>
        </w:rPr>
        <w:t> </w:t>
      </w:r>
      <w:r>
        <w:rPr>
          <w:spacing w:val="-4"/>
        </w:rPr>
        <w:t>all</w:t>
      </w:r>
      <w:r>
        <w:rPr>
          <w:spacing w:val="-10"/>
        </w:rPr>
        <w:t> </w:t>
      </w:r>
      <w:r>
        <w:rPr>
          <w:spacing w:val="-4"/>
        </w:rPr>
        <w:t>students</w:t>
      </w:r>
      <w:r>
        <w:rPr>
          <w:spacing w:val="-9"/>
        </w:rPr>
        <w:t> </w:t>
      </w:r>
      <w:r>
        <w:rPr>
          <w:spacing w:val="-4"/>
        </w:rPr>
        <w:t>and</w:t>
      </w:r>
      <w:r>
        <w:rPr>
          <w:spacing w:val="-10"/>
        </w:rPr>
        <w:t> </w:t>
      </w:r>
      <w:r>
        <w:rPr>
          <w:spacing w:val="-4"/>
        </w:rPr>
        <w:t>teachers</w:t>
      </w:r>
      <w:r>
        <w:rPr>
          <w:spacing w:val="-10"/>
        </w:rPr>
        <w:t> </w:t>
      </w:r>
      <w:r>
        <w:rPr>
          <w:spacing w:val="-4"/>
        </w:rPr>
        <w:t>in</w:t>
      </w:r>
      <w:r>
        <w:rPr>
          <w:spacing w:val="-10"/>
        </w:rPr>
        <w:t> </w:t>
      </w:r>
      <w:r>
        <w:rPr>
          <w:spacing w:val="-4"/>
        </w:rPr>
        <w:t>campuses.</w:t>
      </w:r>
      <w:r>
        <w:rPr>
          <w:spacing w:val="-9"/>
        </w:rPr>
        <w:t> </w:t>
      </w:r>
      <w:r>
        <w:rPr>
          <w:spacing w:val="-4"/>
        </w:rPr>
        <w:t>In </w:t>
      </w:r>
      <w:r>
        <w:rPr>
          <w:w w:val="90"/>
        </w:rPr>
        <w:t>parallel,</w:t>
      </w:r>
      <w:r>
        <w:rPr>
          <w:spacing w:val="-9"/>
          <w:w w:val="90"/>
        </w:rPr>
        <w:t> </w:t>
      </w:r>
      <w:r>
        <w:rPr>
          <w:w w:val="90"/>
        </w:rPr>
        <w:t>information</w:t>
      </w:r>
      <w:r>
        <w:rPr>
          <w:spacing w:val="-8"/>
          <w:w w:val="90"/>
        </w:rPr>
        <w:t> </w:t>
      </w:r>
      <w:r>
        <w:rPr>
          <w:w w:val="90"/>
        </w:rPr>
        <w:t>technology</w:t>
      </w:r>
      <w:r>
        <w:rPr>
          <w:spacing w:val="-8"/>
          <w:w w:val="90"/>
        </w:rPr>
        <w:t> </w:t>
      </w:r>
      <w:r>
        <w:rPr>
          <w:w w:val="90"/>
        </w:rPr>
        <w:t>systems</w:t>
      </w:r>
      <w:r>
        <w:rPr>
          <w:spacing w:val="-8"/>
          <w:w w:val="90"/>
        </w:rPr>
        <w:t> </w:t>
      </w:r>
      <w:r>
        <w:rPr>
          <w:w w:val="90"/>
        </w:rPr>
        <w:t>should</w:t>
      </w:r>
      <w:r>
        <w:rPr>
          <w:spacing w:val="-9"/>
          <w:w w:val="90"/>
        </w:rPr>
        <w:t> </w:t>
      </w:r>
      <w:r>
        <w:rPr>
          <w:w w:val="90"/>
        </w:rPr>
        <w:t>be</w:t>
      </w:r>
      <w:r>
        <w:rPr>
          <w:spacing w:val="-8"/>
          <w:w w:val="90"/>
        </w:rPr>
        <w:t> </w:t>
      </w:r>
      <w:r>
        <w:rPr>
          <w:w w:val="90"/>
        </w:rPr>
        <w:t>used</w:t>
      </w:r>
      <w:r>
        <w:rPr>
          <w:spacing w:val="-8"/>
          <w:w w:val="90"/>
        </w:rPr>
        <w:t> </w:t>
      </w:r>
      <w:r>
        <w:rPr>
          <w:w w:val="90"/>
        </w:rPr>
        <w:t>for </w:t>
      </w:r>
      <w:r>
        <w:rPr>
          <w:spacing w:val="-6"/>
        </w:rPr>
        <w:t>admissions, administration and examinations along with </w:t>
      </w:r>
      <w:r>
        <w:rPr>
          <w:spacing w:val="-10"/>
        </w:rPr>
        <w:t>other</w:t>
      </w:r>
      <w:r>
        <w:rPr>
          <w:spacing w:val="-4"/>
        </w:rPr>
        <w:t> </w:t>
      </w:r>
      <w:r>
        <w:rPr>
          <w:spacing w:val="-10"/>
        </w:rPr>
        <w:t>relevant</w:t>
      </w:r>
      <w:r>
        <w:rPr>
          <w:spacing w:val="-4"/>
        </w:rPr>
        <w:t> </w:t>
      </w:r>
      <w:r>
        <w:rPr>
          <w:spacing w:val="-10"/>
        </w:rPr>
        <w:t>web</w:t>
      </w:r>
      <w:r>
        <w:rPr>
          <w:spacing w:val="-4"/>
        </w:rPr>
        <w:t> </w:t>
      </w:r>
      <w:r>
        <w:rPr>
          <w:spacing w:val="-10"/>
        </w:rPr>
        <w:t>services</w:t>
      </w:r>
      <w:r>
        <w:rPr>
          <w:spacing w:val="-3"/>
        </w:rPr>
        <w:t> </w:t>
      </w:r>
      <w:r>
        <w:rPr>
          <w:spacing w:val="-10"/>
        </w:rPr>
        <w:t>for</w:t>
      </w:r>
      <w:r>
        <w:rPr>
          <w:spacing w:val="-4"/>
        </w:rPr>
        <w:t> </w:t>
      </w:r>
      <w:r>
        <w:rPr>
          <w:spacing w:val="-10"/>
        </w:rPr>
        <w:t>campus</w:t>
      </w:r>
      <w:r>
        <w:rPr>
          <w:spacing w:val="-4"/>
        </w:rPr>
        <w:t> </w:t>
      </w:r>
      <w:r>
        <w:rPr>
          <w:spacing w:val="-10"/>
        </w:rPr>
        <w:t>communities.</w:t>
      </w:r>
      <w:r>
        <w:rPr>
          <w:spacing w:val="-4"/>
        </w:rPr>
        <w:t> </w:t>
      </w:r>
      <w:r>
        <w:rPr>
          <w:spacing w:val="-10"/>
        </w:rPr>
        <w:t>And, </w:t>
      </w:r>
      <w:r>
        <w:rPr>
          <w:spacing w:val="-8"/>
        </w:rPr>
        <w:t>as</w:t>
      </w:r>
      <w:r>
        <w:rPr>
          <w:spacing w:val="-4"/>
        </w:rPr>
        <w:t> </w:t>
      </w:r>
      <w:r>
        <w:rPr>
          <w:spacing w:val="-8"/>
        </w:rPr>
        <w:t>soon</w:t>
      </w:r>
      <w:r>
        <w:rPr>
          <w:spacing w:val="-4"/>
        </w:rPr>
        <w:t> </w:t>
      </w:r>
      <w:r>
        <w:rPr>
          <w:spacing w:val="-8"/>
        </w:rPr>
        <w:t>as</w:t>
      </w:r>
      <w:r>
        <w:rPr>
          <w:spacing w:val="-4"/>
        </w:rPr>
        <w:t> </w:t>
      </w:r>
      <w:r>
        <w:rPr>
          <w:spacing w:val="-8"/>
        </w:rPr>
        <w:t>possible,</w:t>
      </w:r>
      <w:r>
        <w:rPr>
          <w:spacing w:val="-4"/>
        </w:rPr>
        <w:t> </w:t>
      </w:r>
      <w:r>
        <w:rPr>
          <w:spacing w:val="-8"/>
        </w:rPr>
        <w:t>a</w:t>
      </w:r>
      <w:r>
        <w:rPr>
          <w:spacing w:val="-4"/>
        </w:rPr>
        <w:t> </w:t>
      </w:r>
      <w:r>
        <w:rPr>
          <w:spacing w:val="-8"/>
        </w:rPr>
        <w:t>digital</w:t>
      </w:r>
      <w:r>
        <w:rPr>
          <w:spacing w:val="-4"/>
        </w:rPr>
        <w:t> </w:t>
      </w:r>
      <w:r>
        <w:rPr>
          <w:spacing w:val="-8"/>
        </w:rPr>
        <w:t>infrastructure</w:t>
      </w:r>
      <w:r>
        <w:rPr>
          <w:spacing w:val="-4"/>
        </w:rPr>
        <w:t> </w:t>
      </w:r>
      <w:r>
        <w:rPr>
          <w:spacing w:val="-8"/>
        </w:rPr>
        <w:t>for</w:t>
      </w:r>
      <w:r>
        <w:rPr>
          <w:spacing w:val="-4"/>
        </w:rPr>
        <w:t> </w:t>
      </w:r>
      <w:r>
        <w:rPr>
          <w:spacing w:val="-8"/>
        </w:rPr>
        <w:t>networking </w:t>
      </w:r>
      <w:r>
        <w:rPr>
          <w:spacing w:val="-2"/>
        </w:rPr>
        <w:t>universities</w:t>
      </w:r>
      <w:r>
        <w:rPr>
          <w:spacing w:val="-12"/>
        </w:rPr>
        <w:t> </w:t>
      </w:r>
      <w:r>
        <w:rPr>
          <w:spacing w:val="-2"/>
        </w:rPr>
        <w:t>should</w:t>
      </w:r>
      <w:r>
        <w:rPr>
          <w:spacing w:val="-12"/>
        </w:rPr>
        <w:t> </w:t>
      </w:r>
      <w:r>
        <w:rPr>
          <w:spacing w:val="-2"/>
        </w:rPr>
        <w:t>be</w:t>
      </w:r>
      <w:r>
        <w:rPr>
          <w:spacing w:val="-12"/>
        </w:rPr>
        <w:t> </w:t>
      </w:r>
      <w:r>
        <w:rPr>
          <w:spacing w:val="-2"/>
        </w:rPr>
        <w:t>put</w:t>
      </w:r>
      <w:r>
        <w:rPr>
          <w:spacing w:val="-11"/>
        </w:rPr>
        <w:t> </w:t>
      </w:r>
      <w:r>
        <w:rPr>
          <w:spacing w:val="-2"/>
        </w:rPr>
        <w:t>in</w:t>
      </w:r>
      <w:r>
        <w:rPr>
          <w:spacing w:val="-12"/>
        </w:rPr>
        <w:t> </w:t>
      </w:r>
      <w:r>
        <w:rPr>
          <w:spacing w:val="-2"/>
        </w:rPr>
        <w:t>place.</w:t>
      </w:r>
    </w:p>
    <w:p>
      <w:pPr>
        <w:pStyle w:val="BodyText"/>
        <w:spacing w:before="17"/>
      </w:pPr>
    </w:p>
    <w:p>
      <w:pPr>
        <w:pStyle w:val="BodyText"/>
        <w:spacing w:line="266" w:lineRule="auto"/>
        <w:ind w:left="319" w:right="1078"/>
        <w:jc w:val="both"/>
      </w:pPr>
      <w:r>
        <w:rPr>
          <w:b/>
        </w:rPr>
        <w:t>Governance: </w:t>
      </w:r>
      <w:r>
        <w:rPr/>
        <w:t>There is an acute need for reform in the</w:t>
      </w:r>
      <w:r>
        <w:rPr>
          <w:spacing w:val="71"/>
        </w:rPr>
        <w:t> </w:t>
      </w:r>
      <w:r>
        <w:rPr/>
        <w:t>structures</w:t>
      </w:r>
      <w:r>
        <w:rPr>
          <w:spacing w:val="72"/>
        </w:rPr>
        <w:t> </w:t>
      </w:r>
      <w:r>
        <w:rPr/>
        <w:t>of</w:t>
      </w:r>
      <w:r>
        <w:rPr>
          <w:spacing w:val="72"/>
        </w:rPr>
        <w:t> </w:t>
      </w:r>
      <w:r>
        <w:rPr/>
        <w:t>governance</w:t>
      </w:r>
      <w:r>
        <w:rPr>
          <w:spacing w:val="71"/>
        </w:rPr>
        <w:t> </w:t>
      </w:r>
      <w:r>
        <w:rPr/>
        <w:t>of</w:t>
      </w:r>
      <w:r>
        <w:rPr>
          <w:spacing w:val="72"/>
        </w:rPr>
        <w:t> </w:t>
      </w:r>
      <w:r>
        <w:rPr/>
        <w:t>universities.</w:t>
      </w:r>
      <w:r>
        <w:rPr>
          <w:spacing w:val="64"/>
        </w:rPr>
        <w:t> </w:t>
      </w:r>
      <w:r>
        <w:rPr>
          <w:spacing w:val="-5"/>
        </w:rPr>
        <w:t>The</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80"/>
        <w:jc w:val="both"/>
      </w:pPr>
      <w:r>
        <w:rPr/>
        <w:t>present</w:t>
      </w:r>
      <w:r>
        <w:rPr>
          <w:spacing w:val="-9"/>
        </w:rPr>
        <w:t> </w:t>
      </w:r>
      <w:r>
        <w:rPr/>
        <w:t>system</w:t>
      </w:r>
      <w:r>
        <w:rPr>
          <w:spacing w:val="-9"/>
        </w:rPr>
        <w:t> </w:t>
      </w:r>
      <w:r>
        <w:rPr/>
        <w:t>is</w:t>
      </w:r>
      <w:r>
        <w:rPr>
          <w:spacing w:val="-9"/>
        </w:rPr>
        <w:t> </w:t>
      </w:r>
      <w:r>
        <w:rPr/>
        <w:t>flawed.</w:t>
      </w:r>
      <w:r>
        <w:rPr>
          <w:spacing w:val="-9"/>
        </w:rPr>
        <w:t> </w:t>
      </w:r>
      <w:r>
        <w:rPr/>
        <w:t>On</w:t>
      </w:r>
      <w:r>
        <w:rPr>
          <w:spacing w:val="-9"/>
        </w:rPr>
        <w:t> </w:t>
      </w:r>
      <w:r>
        <w:rPr/>
        <w:t>the</w:t>
      </w:r>
      <w:r>
        <w:rPr>
          <w:spacing w:val="-9"/>
        </w:rPr>
        <w:t> </w:t>
      </w:r>
      <w:r>
        <w:rPr/>
        <w:t>one</w:t>
      </w:r>
      <w:r>
        <w:rPr>
          <w:spacing w:val="-9"/>
        </w:rPr>
        <w:t> </w:t>
      </w:r>
      <w:r>
        <w:rPr/>
        <w:t>hand,</w:t>
      </w:r>
      <w:r>
        <w:rPr>
          <w:spacing w:val="-9"/>
        </w:rPr>
        <w:t> </w:t>
      </w:r>
      <w:r>
        <w:rPr/>
        <w:t>it</w:t>
      </w:r>
      <w:r>
        <w:rPr>
          <w:spacing w:val="-9"/>
        </w:rPr>
        <w:t> </w:t>
      </w:r>
      <w:r>
        <w:rPr/>
        <w:t>does</w:t>
      </w:r>
      <w:r>
        <w:rPr>
          <w:spacing w:val="-9"/>
        </w:rPr>
        <w:t> </w:t>
      </w:r>
      <w:r>
        <w:rPr/>
        <w:t>not preserve</w:t>
      </w:r>
      <w:r>
        <w:rPr>
          <w:spacing w:val="-7"/>
        </w:rPr>
        <w:t> </w:t>
      </w:r>
      <w:r>
        <w:rPr/>
        <w:t>autonomy.</w:t>
      </w:r>
      <w:r>
        <w:rPr>
          <w:spacing w:val="-7"/>
        </w:rPr>
        <w:t> </w:t>
      </w:r>
      <w:r>
        <w:rPr/>
        <w:t>On</w:t>
      </w:r>
      <w:r>
        <w:rPr>
          <w:spacing w:val="-7"/>
        </w:rPr>
        <w:t> </w:t>
      </w:r>
      <w:r>
        <w:rPr/>
        <w:t>the</w:t>
      </w:r>
      <w:r>
        <w:rPr>
          <w:spacing w:val="-7"/>
        </w:rPr>
        <w:t> </w:t>
      </w:r>
      <w:r>
        <w:rPr/>
        <w:t>other,</w:t>
      </w:r>
      <w:r>
        <w:rPr>
          <w:spacing w:val="-7"/>
        </w:rPr>
        <w:t> </w:t>
      </w:r>
      <w:r>
        <w:rPr/>
        <w:t>it</w:t>
      </w:r>
      <w:r>
        <w:rPr>
          <w:spacing w:val="-7"/>
        </w:rPr>
        <w:t> </w:t>
      </w:r>
      <w:r>
        <w:rPr/>
        <w:t>does</w:t>
      </w:r>
      <w:r>
        <w:rPr>
          <w:spacing w:val="-7"/>
        </w:rPr>
        <w:t> </w:t>
      </w:r>
      <w:r>
        <w:rPr/>
        <w:t>not</w:t>
      </w:r>
      <w:r>
        <w:rPr>
          <w:spacing w:val="-7"/>
        </w:rPr>
        <w:t> </w:t>
      </w:r>
      <w:r>
        <w:rPr/>
        <w:t>promote </w:t>
      </w:r>
      <w:r>
        <w:rPr>
          <w:spacing w:val="-2"/>
        </w:rPr>
        <w:t>accountability.</w:t>
      </w:r>
      <w:r>
        <w:rPr>
          <w:spacing w:val="-12"/>
        </w:rPr>
        <w:t> </w:t>
      </w:r>
      <w:r>
        <w:rPr>
          <w:spacing w:val="-2"/>
        </w:rPr>
        <w:t>The</w:t>
      </w:r>
      <w:r>
        <w:rPr>
          <w:spacing w:val="-8"/>
        </w:rPr>
        <w:t> </w:t>
      </w:r>
      <w:r>
        <w:rPr>
          <w:spacing w:val="-2"/>
        </w:rPr>
        <w:t>autonomy</w:t>
      </w:r>
      <w:r>
        <w:rPr>
          <w:spacing w:val="-7"/>
        </w:rPr>
        <w:t> </w:t>
      </w:r>
      <w:r>
        <w:rPr>
          <w:spacing w:val="-2"/>
        </w:rPr>
        <w:t>of</w:t>
      </w:r>
      <w:r>
        <w:rPr>
          <w:spacing w:val="-7"/>
        </w:rPr>
        <w:t> </w:t>
      </w:r>
      <w:r>
        <w:rPr>
          <w:spacing w:val="-2"/>
        </w:rPr>
        <w:t>universities</w:t>
      </w:r>
      <w:r>
        <w:rPr>
          <w:spacing w:val="-7"/>
        </w:rPr>
        <w:t> </w:t>
      </w:r>
      <w:r>
        <w:rPr>
          <w:spacing w:val="-2"/>
        </w:rPr>
        <w:t>is</w:t>
      </w:r>
      <w:r>
        <w:rPr>
          <w:spacing w:val="-7"/>
        </w:rPr>
        <w:t> </w:t>
      </w:r>
      <w:r>
        <w:rPr>
          <w:spacing w:val="-2"/>
        </w:rPr>
        <w:t>eroded </w:t>
      </w:r>
      <w:r>
        <w:rPr/>
        <w:t>by interventions from governments and intrusions from political processes. This must be stopped. At the same time, there is not enough transparency and </w:t>
      </w:r>
      <w:r>
        <w:rPr>
          <w:spacing w:val="-6"/>
        </w:rPr>
        <w:t>accountability</w:t>
      </w:r>
      <w:r>
        <w:rPr>
          <w:spacing w:val="-8"/>
        </w:rPr>
        <w:t> </w:t>
      </w:r>
      <w:r>
        <w:rPr>
          <w:spacing w:val="-6"/>
        </w:rPr>
        <w:t>in universities.</w:t>
      </w:r>
      <w:r>
        <w:rPr>
          <w:spacing w:val="-8"/>
        </w:rPr>
        <w:t> </w:t>
      </w:r>
      <w:r>
        <w:rPr>
          <w:spacing w:val="-6"/>
        </w:rPr>
        <w:t>This must be fostered. It is </w:t>
      </w:r>
      <w:r>
        <w:rPr>
          <w:w w:val="90"/>
        </w:rPr>
        <w:t>exceedingly difficult to provide generalised prescriptions. </w:t>
      </w:r>
      <w:r>
        <w:rPr/>
        <w:t>Some steps, which would constitute an important beginning, are clear. First, the appointments of</w:t>
      </w:r>
      <w:r>
        <w:rPr>
          <w:spacing w:val="-2"/>
        </w:rPr>
        <w:t> </w:t>
      </w:r>
      <w:r>
        <w:rPr/>
        <w:t>Vice- Chancellors</w:t>
      </w:r>
      <w:r>
        <w:rPr>
          <w:spacing w:val="-3"/>
        </w:rPr>
        <w:t> </w:t>
      </w:r>
      <w:r>
        <w:rPr/>
        <w:t>should</w:t>
      </w:r>
      <w:r>
        <w:rPr>
          <w:spacing w:val="-3"/>
        </w:rPr>
        <w:t> </w:t>
      </w:r>
      <w:r>
        <w:rPr/>
        <w:t>be</w:t>
      </w:r>
      <w:r>
        <w:rPr>
          <w:spacing w:val="-3"/>
        </w:rPr>
        <w:t> </w:t>
      </w:r>
      <w:r>
        <w:rPr/>
        <w:t>based</w:t>
      </w:r>
      <w:r>
        <w:rPr>
          <w:spacing w:val="-3"/>
        </w:rPr>
        <w:t> </w:t>
      </w:r>
      <w:r>
        <w:rPr/>
        <w:t>on</w:t>
      </w:r>
      <w:r>
        <w:rPr>
          <w:spacing w:val="-3"/>
        </w:rPr>
        <w:t> </w:t>
      </w:r>
      <w:r>
        <w:rPr/>
        <w:t>search</w:t>
      </w:r>
      <w:r>
        <w:rPr>
          <w:spacing w:val="-3"/>
        </w:rPr>
        <w:t> </w:t>
      </w:r>
      <w:r>
        <w:rPr/>
        <w:t>processes</w:t>
      </w:r>
      <w:r>
        <w:rPr>
          <w:spacing w:val="-3"/>
        </w:rPr>
        <w:t> </w:t>
      </w:r>
      <w:r>
        <w:rPr/>
        <w:t>and peer</w:t>
      </w:r>
      <w:r>
        <w:rPr>
          <w:spacing w:val="-9"/>
        </w:rPr>
        <w:t> </w:t>
      </w:r>
      <w:r>
        <w:rPr/>
        <w:t>judgment</w:t>
      </w:r>
      <w:r>
        <w:rPr>
          <w:spacing w:val="-8"/>
        </w:rPr>
        <w:t> </w:t>
      </w:r>
      <w:r>
        <w:rPr/>
        <w:t>alone.</w:t>
      </w:r>
      <w:r>
        <w:rPr>
          <w:spacing w:val="-14"/>
        </w:rPr>
        <w:t> </w:t>
      </w:r>
      <w:r>
        <w:rPr/>
        <w:t>These</w:t>
      </w:r>
      <w:r>
        <w:rPr>
          <w:spacing w:val="-8"/>
        </w:rPr>
        <w:t> </w:t>
      </w:r>
      <w:r>
        <w:rPr/>
        <w:t>must</w:t>
      </w:r>
      <w:r>
        <w:rPr>
          <w:spacing w:val="-8"/>
        </w:rPr>
        <w:t> </w:t>
      </w:r>
      <w:r>
        <w:rPr/>
        <w:t>be</w:t>
      </w:r>
      <w:r>
        <w:rPr>
          <w:spacing w:val="-8"/>
        </w:rPr>
        <w:t> </w:t>
      </w:r>
      <w:r>
        <w:rPr/>
        <w:t>freed</w:t>
      </w:r>
      <w:r>
        <w:rPr>
          <w:spacing w:val="-8"/>
        </w:rPr>
        <w:t> </w:t>
      </w:r>
      <w:r>
        <w:rPr/>
        <w:t>from</w:t>
      </w:r>
      <w:r>
        <w:rPr>
          <w:spacing w:val="-8"/>
        </w:rPr>
        <w:t> </w:t>
      </w:r>
      <w:r>
        <w:rPr/>
        <w:t>direct or indirect intervention on the part of governments. </w:t>
      </w:r>
      <w:r>
        <w:rPr>
          <w:spacing w:val="-4"/>
        </w:rPr>
        <w:t>Once</w:t>
      </w:r>
      <w:r>
        <w:rPr>
          <w:spacing w:val="-7"/>
        </w:rPr>
        <w:t> </w:t>
      </w:r>
      <w:r>
        <w:rPr>
          <w:spacing w:val="-4"/>
        </w:rPr>
        <w:t>appointed,</w:t>
      </w:r>
      <w:r>
        <w:rPr>
          <w:spacing w:val="-10"/>
        </w:rPr>
        <w:t> </w:t>
      </w:r>
      <w:r>
        <w:rPr>
          <w:spacing w:val="-4"/>
        </w:rPr>
        <w:t>Vice</w:t>
      </w:r>
      <w:r>
        <w:rPr>
          <w:spacing w:val="-7"/>
        </w:rPr>
        <w:t> </w:t>
      </w:r>
      <w:r>
        <w:rPr>
          <w:spacing w:val="-4"/>
        </w:rPr>
        <w:t>Chancellors</w:t>
      </w:r>
      <w:r>
        <w:rPr>
          <w:spacing w:val="-7"/>
        </w:rPr>
        <w:t> </w:t>
      </w:r>
      <w:r>
        <w:rPr>
          <w:spacing w:val="-4"/>
        </w:rPr>
        <w:t>should</w:t>
      </w:r>
      <w:r>
        <w:rPr>
          <w:spacing w:val="-7"/>
        </w:rPr>
        <w:t> </w:t>
      </w:r>
      <w:r>
        <w:rPr>
          <w:spacing w:val="-4"/>
        </w:rPr>
        <w:t>have</w:t>
      </w:r>
      <w:r>
        <w:rPr>
          <w:spacing w:val="-7"/>
        </w:rPr>
        <w:t> </w:t>
      </w:r>
      <w:r>
        <w:rPr>
          <w:spacing w:val="-4"/>
        </w:rPr>
        <w:t>a</w:t>
      </w:r>
      <w:r>
        <w:rPr>
          <w:spacing w:val="-7"/>
        </w:rPr>
        <w:t> </w:t>
      </w:r>
      <w:r>
        <w:rPr>
          <w:spacing w:val="-4"/>
        </w:rPr>
        <w:t>tenure </w:t>
      </w:r>
      <w:r>
        <w:rPr>
          <w:spacing w:val="-6"/>
        </w:rPr>
        <w:t>of six years, because the existing tenure of three years in </w:t>
      </w:r>
      <w:r>
        <w:rPr>
          <w:spacing w:val="-4"/>
        </w:rPr>
        <w:t>most</w:t>
      </w:r>
      <w:r>
        <w:rPr>
          <w:spacing w:val="-12"/>
        </w:rPr>
        <w:t> </w:t>
      </w:r>
      <w:r>
        <w:rPr>
          <w:spacing w:val="-4"/>
        </w:rPr>
        <w:t>universities</w:t>
      </w:r>
      <w:r>
        <w:rPr>
          <w:spacing w:val="-10"/>
        </w:rPr>
        <w:t> </w:t>
      </w:r>
      <w:r>
        <w:rPr>
          <w:spacing w:val="-4"/>
        </w:rPr>
        <w:t>and</w:t>
      </w:r>
      <w:r>
        <w:rPr>
          <w:spacing w:val="-10"/>
        </w:rPr>
        <w:t> </w:t>
      </w:r>
      <w:r>
        <w:rPr>
          <w:spacing w:val="-4"/>
        </w:rPr>
        <w:t>five</w:t>
      </w:r>
      <w:r>
        <w:rPr>
          <w:spacing w:val="-9"/>
        </w:rPr>
        <w:t> </w:t>
      </w:r>
      <w:r>
        <w:rPr>
          <w:spacing w:val="-4"/>
        </w:rPr>
        <w:t>years</w:t>
      </w:r>
      <w:r>
        <w:rPr>
          <w:spacing w:val="-10"/>
        </w:rPr>
        <w:t> </w:t>
      </w:r>
      <w:r>
        <w:rPr>
          <w:spacing w:val="-4"/>
        </w:rPr>
        <w:t>in</w:t>
      </w:r>
      <w:r>
        <w:rPr>
          <w:spacing w:val="-10"/>
        </w:rPr>
        <w:t> </w:t>
      </w:r>
      <w:r>
        <w:rPr>
          <w:spacing w:val="-4"/>
        </w:rPr>
        <w:t>central</w:t>
      </w:r>
      <w:r>
        <w:rPr>
          <w:spacing w:val="-10"/>
        </w:rPr>
        <w:t> </w:t>
      </w:r>
      <w:r>
        <w:rPr>
          <w:spacing w:val="-4"/>
        </w:rPr>
        <w:t>universities</w:t>
      </w:r>
      <w:r>
        <w:rPr>
          <w:spacing w:val="-9"/>
        </w:rPr>
        <w:t> </w:t>
      </w:r>
      <w:r>
        <w:rPr>
          <w:spacing w:val="-4"/>
        </w:rPr>
        <w:t>is </w:t>
      </w:r>
      <w:r>
        <w:rPr/>
        <w:t>not</w:t>
      </w:r>
      <w:r>
        <w:rPr>
          <w:spacing w:val="-8"/>
        </w:rPr>
        <w:t> </w:t>
      </w:r>
      <w:r>
        <w:rPr/>
        <w:t>long</w:t>
      </w:r>
      <w:r>
        <w:rPr>
          <w:spacing w:val="-8"/>
        </w:rPr>
        <w:t> </w:t>
      </w:r>
      <w:r>
        <w:rPr/>
        <w:t>enough.</w:t>
      </w:r>
      <w:r>
        <w:rPr>
          <w:spacing w:val="-8"/>
        </w:rPr>
        <w:t> </w:t>
      </w:r>
      <w:r>
        <w:rPr/>
        <w:t>Second,</w:t>
      </w:r>
      <w:r>
        <w:rPr>
          <w:spacing w:val="-8"/>
        </w:rPr>
        <w:t> </w:t>
      </w:r>
      <w:r>
        <w:rPr/>
        <w:t>the</w:t>
      </w:r>
      <w:r>
        <w:rPr>
          <w:spacing w:val="-8"/>
        </w:rPr>
        <w:t> </w:t>
      </w:r>
      <w:r>
        <w:rPr/>
        <w:t>size</w:t>
      </w:r>
      <w:r>
        <w:rPr>
          <w:spacing w:val="-8"/>
        </w:rPr>
        <w:t> </w:t>
      </w:r>
      <w:r>
        <w:rPr/>
        <w:t>and</w:t>
      </w:r>
      <w:r>
        <w:rPr>
          <w:spacing w:val="-8"/>
        </w:rPr>
        <w:t> </w:t>
      </w:r>
      <w:r>
        <w:rPr/>
        <w:t>composition</w:t>
      </w:r>
      <w:r>
        <w:rPr>
          <w:spacing w:val="-8"/>
        </w:rPr>
        <w:t> </w:t>
      </w:r>
      <w:r>
        <w:rPr/>
        <w:t>of </w:t>
      </w:r>
      <w:r>
        <w:rPr>
          <w:spacing w:val="-2"/>
        </w:rPr>
        <w:t>University</w:t>
      </w:r>
      <w:r>
        <w:rPr>
          <w:spacing w:val="-6"/>
        </w:rPr>
        <w:t> </w:t>
      </w:r>
      <w:r>
        <w:rPr>
          <w:spacing w:val="-2"/>
        </w:rPr>
        <w:t>Courts,</w:t>
      </w:r>
      <w:r>
        <w:rPr>
          <w:spacing w:val="-6"/>
        </w:rPr>
        <w:t> </w:t>
      </w:r>
      <w:r>
        <w:rPr>
          <w:spacing w:val="-2"/>
        </w:rPr>
        <w:t>Academic</w:t>
      </w:r>
      <w:r>
        <w:rPr>
          <w:spacing w:val="-6"/>
        </w:rPr>
        <w:t> </w:t>
      </w:r>
      <w:r>
        <w:rPr>
          <w:spacing w:val="-2"/>
        </w:rPr>
        <w:t>Councils,</w:t>
      </w:r>
      <w:r>
        <w:rPr>
          <w:spacing w:val="-6"/>
        </w:rPr>
        <w:t> </w:t>
      </w:r>
      <w:r>
        <w:rPr>
          <w:spacing w:val="-2"/>
        </w:rPr>
        <w:t>and</w:t>
      </w:r>
      <w:r>
        <w:rPr>
          <w:spacing w:val="-6"/>
        </w:rPr>
        <w:t> </w:t>
      </w:r>
      <w:r>
        <w:rPr>
          <w:spacing w:val="-2"/>
        </w:rPr>
        <w:t>Executive </w:t>
      </w:r>
      <w:r>
        <w:rPr/>
        <w:t>Councils</w:t>
      </w:r>
      <w:r>
        <w:rPr>
          <w:spacing w:val="-5"/>
        </w:rPr>
        <w:t> </w:t>
      </w:r>
      <w:r>
        <w:rPr/>
        <w:t>slows</w:t>
      </w:r>
      <w:r>
        <w:rPr>
          <w:spacing w:val="-5"/>
        </w:rPr>
        <w:t> </w:t>
      </w:r>
      <w:r>
        <w:rPr/>
        <w:t>down</w:t>
      </w:r>
      <w:r>
        <w:rPr>
          <w:spacing w:val="-5"/>
        </w:rPr>
        <w:t> </w:t>
      </w:r>
      <w:r>
        <w:rPr/>
        <w:t>decision-making</w:t>
      </w:r>
      <w:r>
        <w:rPr>
          <w:spacing w:val="-5"/>
        </w:rPr>
        <w:t> </w:t>
      </w:r>
      <w:r>
        <w:rPr/>
        <w:t>processes</w:t>
      </w:r>
      <w:r>
        <w:rPr>
          <w:spacing w:val="-5"/>
        </w:rPr>
        <w:t> </w:t>
      </w:r>
      <w:r>
        <w:rPr/>
        <w:t>and sometimes constitutes an impediment to change. University Courts, with a size of 500 plus, which are more</w:t>
      </w:r>
      <w:r>
        <w:rPr>
          <w:spacing w:val="-13"/>
        </w:rPr>
        <w:t> </w:t>
      </w:r>
      <w:r>
        <w:rPr/>
        <w:t>a</w:t>
      </w:r>
      <w:r>
        <w:rPr>
          <w:spacing w:val="-13"/>
        </w:rPr>
        <w:t> </w:t>
      </w:r>
      <w:r>
        <w:rPr/>
        <w:t>ritual</w:t>
      </w:r>
      <w:r>
        <w:rPr>
          <w:spacing w:val="-13"/>
        </w:rPr>
        <w:t> </w:t>
      </w:r>
      <w:r>
        <w:rPr/>
        <w:t>than</w:t>
      </w:r>
      <w:r>
        <w:rPr>
          <w:spacing w:val="-13"/>
        </w:rPr>
        <w:t> </w:t>
      </w:r>
      <w:r>
        <w:rPr/>
        <w:t>substance,</w:t>
      </w:r>
      <w:r>
        <w:rPr>
          <w:spacing w:val="-13"/>
        </w:rPr>
        <w:t> </w:t>
      </w:r>
      <w:r>
        <w:rPr/>
        <w:t>could</w:t>
      </w:r>
      <w:r>
        <w:rPr>
          <w:spacing w:val="-13"/>
        </w:rPr>
        <w:t> </w:t>
      </w:r>
      <w:r>
        <w:rPr/>
        <w:t>be</w:t>
      </w:r>
      <w:r>
        <w:rPr>
          <w:spacing w:val="-13"/>
        </w:rPr>
        <w:t> </w:t>
      </w:r>
      <w:r>
        <w:rPr/>
        <w:t>dispensed</w:t>
      </w:r>
      <w:r>
        <w:rPr>
          <w:spacing w:val="-13"/>
        </w:rPr>
        <w:t> </w:t>
      </w:r>
      <w:r>
        <w:rPr/>
        <w:t>with. Large Academic Councils do not meet often. Even when they meet, decisions are slow to come. Thus, </w:t>
      </w:r>
      <w:r>
        <w:rPr>
          <w:spacing w:val="-4"/>
        </w:rPr>
        <w:t>Standing</w:t>
      </w:r>
      <w:r>
        <w:rPr>
          <w:spacing w:val="-10"/>
        </w:rPr>
        <w:t> </w:t>
      </w:r>
      <w:r>
        <w:rPr>
          <w:spacing w:val="-4"/>
        </w:rPr>
        <w:t>Committees</w:t>
      </w:r>
      <w:r>
        <w:rPr>
          <w:spacing w:val="-10"/>
        </w:rPr>
        <w:t> </w:t>
      </w:r>
      <w:r>
        <w:rPr>
          <w:spacing w:val="-4"/>
        </w:rPr>
        <w:t>of</w:t>
      </w:r>
      <w:r>
        <w:rPr>
          <w:spacing w:val="-10"/>
        </w:rPr>
        <w:t> </w:t>
      </w:r>
      <w:r>
        <w:rPr>
          <w:spacing w:val="-4"/>
        </w:rPr>
        <w:t>Academic</w:t>
      </w:r>
      <w:r>
        <w:rPr>
          <w:spacing w:val="-9"/>
        </w:rPr>
        <w:t> </w:t>
      </w:r>
      <w:r>
        <w:rPr>
          <w:spacing w:val="-4"/>
        </w:rPr>
        <w:t>Councils,</w:t>
      </w:r>
      <w:r>
        <w:rPr>
          <w:spacing w:val="-10"/>
        </w:rPr>
        <w:t> </w:t>
      </w:r>
      <w:r>
        <w:rPr>
          <w:spacing w:val="-4"/>
        </w:rPr>
        <w:t>which</w:t>
      </w:r>
      <w:r>
        <w:rPr>
          <w:spacing w:val="-10"/>
        </w:rPr>
        <w:t> </w:t>
      </w:r>
      <w:r>
        <w:rPr>
          <w:spacing w:val="-4"/>
        </w:rPr>
        <w:t>are </w:t>
      </w:r>
      <w:r>
        <w:rPr>
          <w:spacing w:val="-2"/>
        </w:rPr>
        <w:t>representative,</w:t>
      </w:r>
      <w:r>
        <w:rPr>
          <w:spacing w:val="-12"/>
        </w:rPr>
        <w:t> </w:t>
      </w:r>
      <w:r>
        <w:rPr>
          <w:spacing w:val="-2"/>
        </w:rPr>
        <w:t>should</w:t>
      </w:r>
      <w:r>
        <w:rPr>
          <w:spacing w:val="-12"/>
        </w:rPr>
        <w:t> </w:t>
      </w:r>
      <w:r>
        <w:rPr>
          <w:spacing w:val="-2"/>
        </w:rPr>
        <w:t>be</w:t>
      </w:r>
      <w:r>
        <w:rPr>
          <w:spacing w:val="-12"/>
        </w:rPr>
        <w:t> </w:t>
      </w:r>
      <w:r>
        <w:rPr>
          <w:spacing w:val="-2"/>
        </w:rPr>
        <w:t>created</w:t>
      </w:r>
      <w:r>
        <w:rPr>
          <w:spacing w:val="-11"/>
        </w:rPr>
        <w:t> </w:t>
      </w:r>
      <w:r>
        <w:rPr>
          <w:spacing w:val="-2"/>
        </w:rPr>
        <w:t>for</w:t>
      </w:r>
      <w:r>
        <w:rPr>
          <w:spacing w:val="-12"/>
        </w:rPr>
        <w:t> </w:t>
      </w:r>
      <w:r>
        <w:rPr>
          <w:spacing w:val="-2"/>
        </w:rPr>
        <w:t>frequent</w:t>
      </w:r>
      <w:r>
        <w:rPr>
          <w:spacing w:val="-12"/>
        </w:rPr>
        <w:t> </w:t>
      </w:r>
      <w:r>
        <w:rPr>
          <w:spacing w:val="-2"/>
        </w:rPr>
        <w:t>meetings </w:t>
      </w:r>
      <w:r>
        <w:rPr>
          <w:spacing w:val="-4"/>
        </w:rPr>
        <w:t>and</w:t>
      </w:r>
      <w:r>
        <w:rPr>
          <w:spacing w:val="-10"/>
        </w:rPr>
        <w:t> </w:t>
      </w:r>
      <w:r>
        <w:rPr>
          <w:spacing w:val="-4"/>
        </w:rPr>
        <w:t>expeditious</w:t>
      </w:r>
      <w:r>
        <w:rPr>
          <w:spacing w:val="-10"/>
        </w:rPr>
        <w:t> </w:t>
      </w:r>
      <w:r>
        <w:rPr>
          <w:spacing w:val="-4"/>
        </w:rPr>
        <w:t>decisions.</w:t>
      </w:r>
      <w:r>
        <w:rPr>
          <w:spacing w:val="-10"/>
        </w:rPr>
        <w:t> </w:t>
      </w:r>
      <w:r>
        <w:rPr>
          <w:spacing w:val="-4"/>
        </w:rPr>
        <w:t>The</w:t>
      </w:r>
      <w:r>
        <w:rPr>
          <w:spacing w:val="-9"/>
        </w:rPr>
        <w:t> </w:t>
      </w:r>
      <w:r>
        <w:rPr>
          <w:spacing w:val="-4"/>
        </w:rPr>
        <w:t>Vice-Chancellor</w:t>
      </w:r>
      <w:r>
        <w:rPr>
          <w:spacing w:val="-10"/>
        </w:rPr>
        <w:t> </w:t>
      </w:r>
      <w:r>
        <w:rPr>
          <w:spacing w:val="-4"/>
        </w:rPr>
        <w:t>should, then,</w:t>
      </w:r>
      <w:r>
        <w:rPr>
          <w:spacing w:val="-6"/>
        </w:rPr>
        <w:t> </w:t>
      </w:r>
      <w:r>
        <w:rPr>
          <w:spacing w:val="-4"/>
        </w:rPr>
        <w:t>function</w:t>
      </w:r>
      <w:r>
        <w:rPr>
          <w:spacing w:val="-6"/>
        </w:rPr>
        <w:t> </w:t>
      </w:r>
      <w:r>
        <w:rPr>
          <w:spacing w:val="-4"/>
        </w:rPr>
        <w:t>as</w:t>
      </w:r>
      <w:r>
        <w:rPr>
          <w:spacing w:val="-6"/>
        </w:rPr>
        <w:t> </w:t>
      </w:r>
      <w:r>
        <w:rPr>
          <w:spacing w:val="-4"/>
        </w:rPr>
        <w:t>a</w:t>
      </w:r>
      <w:r>
        <w:rPr>
          <w:spacing w:val="-6"/>
        </w:rPr>
        <w:t> </w:t>
      </w:r>
      <w:r>
        <w:rPr>
          <w:spacing w:val="-4"/>
        </w:rPr>
        <w:t>Chief</w:t>
      </w:r>
      <w:r>
        <w:rPr>
          <w:spacing w:val="-6"/>
        </w:rPr>
        <w:t> </w:t>
      </w:r>
      <w:r>
        <w:rPr>
          <w:spacing w:val="-4"/>
        </w:rPr>
        <w:t>Executive</w:t>
      </w:r>
      <w:r>
        <w:rPr>
          <w:spacing w:val="-6"/>
        </w:rPr>
        <w:t> </w:t>
      </w:r>
      <w:r>
        <w:rPr>
          <w:spacing w:val="-4"/>
        </w:rPr>
        <w:t>Officer</w:t>
      </w:r>
      <w:r>
        <w:rPr>
          <w:spacing w:val="-6"/>
        </w:rPr>
        <w:t> </w:t>
      </w:r>
      <w:r>
        <w:rPr>
          <w:spacing w:val="-4"/>
        </w:rPr>
        <w:t>who</w:t>
      </w:r>
      <w:r>
        <w:rPr>
          <w:spacing w:val="-6"/>
        </w:rPr>
        <w:t> </w:t>
      </w:r>
      <w:r>
        <w:rPr>
          <w:spacing w:val="-4"/>
        </w:rPr>
        <w:t>has</w:t>
      </w:r>
      <w:r>
        <w:rPr>
          <w:spacing w:val="-6"/>
        </w:rPr>
        <w:t> </w:t>
      </w:r>
      <w:r>
        <w:rPr>
          <w:spacing w:val="-4"/>
        </w:rPr>
        <w:t>the </w:t>
      </w:r>
      <w:r>
        <w:rPr/>
        <w:t>authority</w:t>
      </w:r>
      <w:r>
        <w:rPr>
          <w:spacing w:val="-7"/>
        </w:rPr>
        <w:t> </w:t>
      </w:r>
      <w:r>
        <w:rPr/>
        <w:t>and</w:t>
      </w:r>
      <w:r>
        <w:rPr>
          <w:spacing w:val="-7"/>
        </w:rPr>
        <w:t> </w:t>
      </w:r>
      <w:r>
        <w:rPr/>
        <w:t>the</w:t>
      </w:r>
      <w:r>
        <w:rPr>
          <w:spacing w:val="-7"/>
        </w:rPr>
        <w:t> </w:t>
      </w:r>
      <w:r>
        <w:rPr/>
        <w:t>flexibility</w:t>
      </w:r>
      <w:r>
        <w:rPr>
          <w:spacing w:val="-7"/>
        </w:rPr>
        <w:t> </w:t>
      </w:r>
      <w:r>
        <w:rPr/>
        <w:t>to</w:t>
      </w:r>
      <w:r>
        <w:rPr>
          <w:spacing w:val="-7"/>
        </w:rPr>
        <w:t> </w:t>
      </w:r>
      <w:r>
        <w:rPr/>
        <w:t>govern</w:t>
      </w:r>
      <w:r>
        <w:rPr>
          <w:spacing w:val="-7"/>
        </w:rPr>
        <w:t> </w:t>
      </w:r>
      <w:r>
        <w:rPr/>
        <w:t>with</w:t>
      </w:r>
      <w:r>
        <w:rPr>
          <w:spacing w:val="-7"/>
        </w:rPr>
        <w:t> </w:t>
      </w:r>
      <w:r>
        <w:rPr/>
        <w:t>the</w:t>
      </w:r>
      <w:r>
        <w:rPr>
          <w:spacing w:val="-7"/>
        </w:rPr>
        <w:t> </w:t>
      </w:r>
      <w:r>
        <w:rPr/>
        <w:t>advice and consent of the Executive Council which would provide</w:t>
      </w:r>
      <w:r>
        <w:rPr>
          <w:spacing w:val="-4"/>
        </w:rPr>
        <w:t> </w:t>
      </w:r>
      <w:r>
        <w:rPr/>
        <w:t>checks</w:t>
      </w:r>
      <w:r>
        <w:rPr>
          <w:spacing w:val="-4"/>
        </w:rPr>
        <w:t> </w:t>
      </w:r>
      <w:r>
        <w:rPr/>
        <w:t>and</w:t>
      </w:r>
      <w:r>
        <w:rPr>
          <w:spacing w:val="-4"/>
        </w:rPr>
        <w:t> </w:t>
      </w:r>
      <w:r>
        <w:rPr/>
        <w:t>balances</w:t>
      </w:r>
      <w:r>
        <w:rPr>
          <w:spacing w:val="-4"/>
        </w:rPr>
        <w:t> </w:t>
      </w:r>
      <w:r>
        <w:rPr/>
        <w:t>to</w:t>
      </w:r>
      <w:r>
        <w:rPr>
          <w:spacing w:val="-4"/>
        </w:rPr>
        <w:t> </w:t>
      </w:r>
      <w:r>
        <w:rPr/>
        <w:t>create</w:t>
      </w:r>
      <w:r>
        <w:rPr>
          <w:spacing w:val="-4"/>
        </w:rPr>
        <w:t> </w:t>
      </w:r>
      <w:r>
        <w:rPr/>
        <w:t>accountability. Third,</w:t>
      </w:r>
      <w:r>
        <w:rPr>
          <w:spacing w:val="-6"/>
        </w:rPr>
        <w:t> </w:t>
      </w:r>
      <w:r>
        <w:rPr/>
        <w:t>experience</w:t>
      </w:r>
      <w:r>
        <w:rPr>
          <w:spacing w:val="-6"/>
        </w:rPr>
        <w:t> </w:t>
      </w:r>
      <w:r>
        <w:rPr/>
        <w:t>suggests</w:t>
      </w:r>
      <w:r>
        <w:rPr>
          <w:spacing w:val="-6"/>
        </w:rPr>
        <w:t> </w:t>
      </w:r>
      <w:r>
        <w:rPr/>
        <w:t>that</w:t>
      </w:r>
      <w:r>
        <w:rPr>
          <w:spacing w:val="-6"/>
        </w:rPr>
        <w:t> </w:t>
      </w:r>
      <w:r>
        <w:rPr/>
        <w:t>implicit</w:t>
      </w:r>
      <w:r>
        <w:rPr>
          <w:spacing w:val="-6"/>
        </w:rPr>
        <w:t> </w:t>
      </w:r>
      <w:r>
        <w:rPr/>
        <w:t>politicisation </w:t>
      </w:r>
      <w:r>
        <w:rPr>
          <w:w w:val="90"/>
        </w:rPr>
        <w:t>has made governance of universities exceedingly difficult </w:t>
      </w:r>
      <w:r>
        <w:rPr/>
        <w:t>and much more susceptible to entirely non-academic interventions from outside.</w:t>
      </w:r>
      <w:r>
        <w:rPr>
          <w:spacing w:val="-7"/>
        </w:rPr>
        <w:t> </w:t>
      </w:r>
      <w:r>
        <w:rPr/>
        <w:t>This problem needs to be recognised</w:t>
      </w:r>
      <w:r>
        <w:rPr>
          <w:spacing w:val="-2"/>
        </w:rPr>
        <w:t> </w:t>
      </w:r>
      <w:r>
        <w:rPr/>
        <w:t>and</w:t>
      </w:r>
      <w:r>
        <w:rPr>
          <w:spacing w:val="-2"/>
        </w:rPr>
        <w:t> </w:t>
      </w:r>
      <w:r>
        <w:rPr/>
        <w:t>addressed</w:t>
      </w:r>
      <w:r>
        <w:rPr>
          <w:spacing w:val="-2"/>
        </w:rPr>
        <w:t> </w:t>
      </w:r>
      <w:r>
        <w:rPr/>
        <w:t>in</w:t>
      </w:r>
      <w:r>
        <w:rPr>
          <w:spacing w:val="-2"/>
        </w:rPr>
        <w:t> </w:t>
      </w:r>
      <w:r>
        <w:rPr/>
        <w:t>a</w:t>
      </w:r>
      <w:r>
        <w:rPr>
          <w:spacing w:val="-2"/>
        </w:rPr>
        <w:t> </w:t>
      </w:r>
      <w:r>
        <w:rPr/>
        <w:t>systematic</w:t>
      </w:r>
      <w:r>
        <w:rPr>
          <w:spacing w:val="-2"/>
        </w:rPr>
        <w:t> </w:t>
      </w:r>
      <w:r>
        <w:rPr/>
        <w:t>manner</w:t>
      </w:r>
      <w:r>
        <w:rPr>
          <w:spacing w:val="-2"/>
        </w:rPr>
        <w:t> </w:t>
      </w:r>
      <w:r>
        <w:rPr/>
        <w:t>not </w:t>
      </w:r>
      <w:r>
        <w:rPr>
          <w:spacing w:val="-2"/>
        </w:rPr>
        <w:t>only</w:t>
      </w:r>
      <w:r>
        <w:rPr>
          <w:spacing w:val="-12"/>
        </w:rPr>
        <w:t> </w:t>
      </w:r>
      <w:r>
        <w:rPr>
          <w:spacing w:val="-2"/>
        </w:rPr>
        <w:t>within</w:t>
      </w:r>
      <w:r>
        <w:rPr>
          <w:spacing w:val="-12"/>
        </w:rPr>
        <w:t> </w:t>
      </w:r>
      <w:r>
        <w:rPr>
          <w:spacing w:val="-2"/>
        </w:rPr>
        <w:t>universities</w:t>
      </w:r>
      <w:r>
        <w:rPr>
          <w:spacing w:val="-12"/>
        </w:rPr>
        <w:t> </w:t>
      </w:r>
      <w:r>
        <w:rPr>
          <w:spacing w:val="-2"/>
        </w:rPr>
        <w:t>but</w:t>
      </w:r>
      <w:r>
        <w:rPr>
          <w:spacing w:val="-11"/>
        </w:rPr>
        <w:t> </w:t>
      </w:r>
      <w:r>
        <w:rPr>
          <w:spacing w:val="-2"/>
        </w:rPr>
        <w:t>also</w:t>
      </w:r>
      <w:r>
        <w:rPr>
          <w:spacing w:val="-12"/>
        </w:rPr>
        <w:t> </w:t>
      </w:r>
      <w:r>
        <w:rPr>
          <w:spacing w:val="-2"/>
        </w:rPr>
        <w:t>outside,</w:t>
      </w:r>
      <w:r>
        <w:rPr>
          <w:spacing w:val="-12"/>
        </w:rPr>
        <w:t> </w:t>
      </w:r>
      <w:r>
        <w:rPr>
          <w:spacing w:val="-2"/>
        </w:rPr>
        <w:t>particularly</w:t>
      </w:r>
      <w:r>
        <w:rPr>
          <w:spacing w:val="-12"/>
        </w:rPr>
        <w:t> </w:t>
      </w:r>
      <w:r>
        <w:rPr>
          <w:spacing w:val="-2"/>
        </w:rPr>
        <w:t>in </w:t>
      </w:r>
      <w:r>
        <w:rPr/>
        <w:t>governments,</w:t>
      </w:r>
      <w:r>
        <w:rPr>
          <w:spacing w:val="-11"/>
        </w:rPr>
        <w:t> </w:t>
      </w:r>
      <w:r>
        <w:rPr/>
        <w:t>legislatures</w:t>
      </w:r>
      <w:r>
        <w:rPr>
          <w:spacing w:val="-11"/>
        </w:rPr>
        <w:t> </w:t>
      </w:r>
      <w:r>
        <w:rPr/>
        <w:t>and</w:t>
      </w:r>
      <w:r>
        <w:rPr>
          <w:spacing w:val="-11"/>
        </w:rPr>
        <w:t> </w:t>
      </w:r>
      <w:r>
        <w:rPr/>
        <w:t>political</w:t>
      </w:r>
      <w:r>
        <w:rPr>
          <w:spacing w:val="-11"/>
        </w:rPr>
        <w:t> </w:t>
      </w:r>
      <w:r>
        <w:rPr/>
        <w:t>parties.</w:t>
      </w:r>
    </w:p>
    <w:p>
      <w:pPr>
        <w:pStyle w:val="Heading6"/>
        <w:numPr>
          <w:ilvl w:val="0"/>
          <w:numId w:val="25"/>
        </w:numPr>
        <w:tabs>
          <w:tab w:pos="1405" w:val="left" w:leader="none"/>
        </w:tabs>
        <w:spacing w:line="240" w:lineRule="auto" w:before="156" w:after="0"/>
        <w:ind w:left="1405" w:right="0" w:hanging="325"/>
        <w:jc w:val="left"/>
      </w:pPr>
      <w:r>
        <w:rPr>
          <w:color w:val="2E614A"/>
          <w:w w:val="90"/>
        </w:rPr>
        <w:t>Undergraduate</w:t>
      </w:r>
      <w:r>
        <w:rPr>
          <w:color w:val="2E614A"/>
        </w:rPr>
        <w:t> </w:t>
      </w:r>
      <w:r>
        <w:rPr>
          <w:color w:val="2E614A"/>
          <w:spacing w:val="-2"/>
        </w:rPr>
        <w:t>Colleges</w:t>
      </w:r>
    </w:p>
    <w:p>
      <w:pPr>
        <w:pStyle w:val="BodyText"/>
        <w:spacing w:line="266" w:lineRule="auto" w:before="286"/>
        <w:ind w:left="1080"/>
        <w:jc w:val="both"/>
      </w:pPr>
      <w:r>
        <w:rPr>
          <w:spacing w:val="-2"/>
        </w:rPr>
        <w:t>Undergraduate</w:t>
      </w:r>
      <w:r>
        <w:rPr>
          <w:spacing w:val="-12"/>
        </w:rPr>
        <w:t> </w:t>
      </w:r>
      <w:r>
        <w:rPr>
          <w:spacing w:val="-2"/>
        </w:rPr>
        <w:t>education,</w:t>
      </w:r>
      <w:r>
        <w:rPr>
          <w:spacing w:val="-12"/>
        </w:rPr>
        <w:t> </w:t>
      </w:r>
      <w:r>
        <w:rPr>
          <w:spacing w:val="-2"/>
        </w:rPr>
        <w:t>which</w:t>
      </w:r>
      <w:r>
        <w:rPr>
          <w:spacing w:val="-12"/>
        </w:rPr>
        <w:t> </w:t>
      </w:r>
      <w:r>
        <w:rPr>
          <w:spacing w:val="-2"/>
        </w:rPr>
        <w:t>accounts</w:t>
      </w:r>
      <w:r>
        <w:rPr>
          <w:spacing w:val="-11"/>
        </w:rPr>
        <w:t> </w:t>
      </w:r>
      <w:r>
        <w:rPr>
          <w:spacing w:val="-2"/>
        </w:rPr>
        <w:t>for</w:t>
      </w:r>
      <w:r>
        <w:rPr>
          <w:spacing w:val="-12"/>
        </w:rPr>
        <w:t> </w:t>
      </w:r>
      <w:r>
        <w:rPr>
          <w:spacing w:val="-2"/>
        </w:rPr>
        <w:t>about</w:t>
      </w:r>
      <w:r>
        <w:rPr>
          <w:spacing w:val="-12"/>
        </w:rPr>
        <w:t> </w:t>
      </w:r>
      <w:r>
        <w:rPr>
          <w:spacing w:val="-2"/>
        </w:rPr>
        <w:t>85 </w:t>
      </w:r>
      <w:r>
        <w:rPr>
          <w:w w:val="90"/>
        </w:rPr>
        <w:t>per cent of the enrolled students, is the largest component </w:t>
      </w:r>
      <w:r>
        <w:rPr/>
        <w:t>of</w:t>
      </w:r>
      <w:r>
        <w:rPr>
          <w:spacing w:val="-12"/>
        </w:rPr>
        <w:t> </w:t>
      </w:r>
      <w:r>
        <w:rPr/>
        <w:t>our</w:t>
      </w:r>
      <w:r>
        <w:rPr>
          <w:spacing w:val="-12"/>
        </w:rPr>
        <w:t> </w:t>
      </w:r>
      <w:r>
        <w:rPr/>
        <w:t>higher</w:t>
      </w:r>
      <w:r>
        <w:rPr>
          <w:spacing w:val="-12"/>
        </w:rPr>
        <w:t> </w:t>
      </w:r>
      <w:r>
        <w:rPr/>
        <w:t>education</w:t>
      </w:r>
      <w:r>
        <w:rPr>
          <w:spacing w:val="-12"/>
        </w:rPr>
        <w:t> </w:t>
      </w:r>
      <w:r>
        <w:rPr/>
        <w:t>system.</w:t>
      </w:r>
      <w:r>
        <w:rPr>
          <w:spacing w:val="-12"/>
        </w:rPr>
        <w:t> </w:t>
      </w:r>
      <w:r>
        <w:rPr/>
        <w:t>It</w:t>
      </w:r>
      <w:r>
        <w:rPr>
          <w:spacing w:val="-12"/>
        </w:rPr>
        <w:t> </w:t>
      </w:r>
      <w:r>
        <w:rPr/>
        <w:t>is</w:t>
      </w:r>
      <w:r>
        <w:rPr>
          <w:spacing w:val="-12"/>
        </w:rPr>
        <w:t> </w:t>
      </w:r>
      <w:r>
        <w:rPr/>
        <w:t>imparted</w:t>
      </w:r>
      <w:r>
        <w:rPr>
          <w:spacing w:val="-12"/>
        </w:rPr>
        <w:t> </w:t>
      </w:r>
      <w:r>
        <w:rPr/>
        <w:t>through colleges</w:t>
      </w:r>
      <w:r>
        <w:rPr>
          <w:spacing w:val="-14"/>
        </w:rPr>
        <w:t> </w:t>
      </w:r>
      <w:r>
        <w:rPr/>
        <w:t>where</w:t>
      </w:r>
      <w:r>
        <w:rPr>
          <w:spacing w:val="-13"/>
        </w:rPr>
        <w:t> </w:t>
      </w:r>
      <w:r>
        <w:rPr/>
        <w:t>students</w:t>
      </w:r>
      <w:r>
        <w:rPr>
          <w:spacing w:val="-14"/>
        </w:rPr>
        <w:t> </w:t>
      </w:r>
      <w:r>
        <w:rPr/>
        <w:t>enrol</w:t>
      </w:r>
      <w:r>
        <w:rPr>
          <w:spacing w:val="-13"/>
        </w:rPr>
        <w:t> </w:t>
      </w:r>
      <w:r>
        <w:rPr/>
        <w:t>for</w:t>
      </w:r>
      <w:r>
        <w:rPr>
          <w:spacing w:val="-14"/>
        </w:rPr>
        <w:t> </w:t>
      </w:r>
      <w:r>
        <w:rPr/>
        <w:t>first</w:t>
      </w:r>
      <w:r>
        <w:rPr>
          <w:spacing w:val="-13"/>
        </w:rPr>
        <w:t> </w:t>
      </w:r>
      <w:r>
        <w:rPr/>
        <w:t>degrees</w:t>
      </w:r>
      <w:r>
        <w:rPr>
          <w:spacing w:val="-14"/>
        </w:rPr>
        <w:t> </w:t>
      </w:r>
      <w:r>
        <w:rPr/>
        <w:t>in</w:t>
      </w:r>
      <w:r>
        <w:rPr>
          <w:spacing w:val="-13"/>
        </w:rPr>
        <w:t> </w:t>
      </w:r>
      <w:r>
        <w:rPr/>
        <w:t>Arts, </w:t>
      </w:r>
      <w:r>
        <w:rPr>
          <w:spacing w:val="-4"/>
        </w:rPr>
        <w:t>Science</w:t>
      </w:r>
      <w:r>
        <w:rPr>
          <w:spacing w:val="-10"/>
        </w:rPr>
        <w:t> </w:t>
      </w:r>
      <w:r>
        <w:rPr>
          <w:spacing w:val="-4"/>
        </w:rPr>
        <w:t>or</w:t>
      </w:r>
      <w:r>
        <w:rPr>
          <w:spacing w:val="-10"/>
        </w:rPr>
        <w:t> </w:t>
      </w:r>
      <w:r>
        <w:rPr>
          <w:spacing w:val="-4"/>
        </w:rPr>
        <w:t>Commerce.</w:t>
      </w:r>
      <w:r>
        <w:rPr>
          <w:spacing w:val="-10"/>
        </w:rPr>
        <w:t> </w:t>
      </w:r>
      <w:r>
        <w:rPr>
          <w:spacing w:val="-4"/>
        </w:rPr>
        <w:t>There</w:t>
      </w:r>
      <w:r>
        <w:rPr>
          <w:spacing w:val="-9"/>
        </w:rPr>
        <w:t> </w:t>
      </w:r>
      <w:r>
        <w:rPr>
          <w:spacing w:val="-4"/>
        </w:rPr>
        <w:t>are</w:t>
      </w:r>
      <w:r>
        <w:rPr>
          <w:spacing w:val="-10"/>
        </w:rPr>
        <w:t> </w:t>
      </w:r>
      <w:r>
        <w:rPr>
          <w:spacing w:val="-4"/>
        </w:rPr>
        <w:t>a</w:t>
      </w:r>
      <w:r>
        <w:rPr>
          <w:spacing w:val="-10"/>
        </w:rPr>
        <w:t> </w:t>
      </w:r>
      <w:r>
        <w:rPr>
          <w:spacing w:val="-4"/>
        </w:rPr>
        <w:t>total</w:t>
      </w:r>
      <w:r>
        <w:rPr>
          <w:spacing w:val="-10"/>
        </w:rPr>
        <w:t> </w:t>
      </w:r>
      <w:r>
        <w:rPr>
          <w:spacing w:val="-4"/>
        </w:rPr>
        <w:t>of</w:t>
      </w:r>
      <w:r>
        <w:rPr>
          <w:spacing w:val="-9"/>
        </w:rPr>
        <w:t> </w:t>
      </w:r>
      <w:r>
        <w:rPr>
          <w:spacing w:val="-4"/>
        </w:rPr>
        <w:t>about</w:t>
      </w:r>
      <w:r>
        <w:rPr>
          <w:spacing w:val="-10"/>
        </w:rPr>
        <w:t> </w:t>
      </w:r>
      <w:r>
        <w:rPr>
          <w:spacing w:val="-4"/>
        </w:rPr>
        <w:t>17,700 </w:t>
      </w:r>
      <w:r>
        <w:rPr/>
        <w:t>undergraduate</w:t>
      </w:r>
      <w:r>
        <w:rPr>
          <w:spacing w:val="-14"/>
        </w:rPr>
        <w:t> </w:t>
      </w:r>
      <w:r>
        <w:rPr/>
        <w:t>colleges.</w:t>
      </w:r>
      <w:r>
        <w:rPr>
          <w:spacing w:val="-13"/>
        </w:rPr>
        <w:t> </w:t>
      </w:r>
      <w:r>
        <w:rPr/>
        <w:t>Of</w:t>
      </w:r>
      <w:r>
        <w:rPr>
          <w:spacing w:val="-14"/>
        </w:rPr>
        <w:t> </w:t>
      </w:r>
      <w:r>
        <w:rPr/>
        <w:t>these,</w:t>
      </w:r>
      <w:r>
        <w:rPr>
          <w:spacing w:val="-13"/>
        </w:rPr>
        <w:t> </w:t>
      </w:r>
      <w:r>
        <w:rPr/>
        <w:t>a</w:t>
      </w:r>
      <w:r>
        <w:rPr>
          <w:spacing w:val="-14"/>
        </w:rPr>
        <w:t> </w:t>
      </w:r>
      <w:r>
        <w:rPr/>
        <w:t>mere</w:t>
      </w:r>
      <w:r>
        <w:rPr>
          <w:spacing w:val="-13"/>
        </w:rPr>
        <w:t> </w:t>
      </w:r>
      <w:r>
        <w:rPr/>
        <w:t>200</w:t>
      </w:r>
      <w:r>
        <w:rPr>
          <w:spacing w:val="-14"/>
        </w:rPr>
        <w:t> </w:t>
      </w:r>
      <w:r>
        <w:rPr/>
        <w:t>colleges are</w:t>
      </w:r>
      <w:r>
        <w:rPr>
          <w:spacing w:val="-14"/>
        </w:rPr>
        <w:t> </w:t>
      </w:r>
      <w:r>
        <w:rPr/>
        <w:t>autonomous.</w:t>
      </w:r>
      <w:r>
        <w:rPr>
          <w:spacing w:val="-14"/>
        </w:rPr>
        <w:t> </w:t>
      </w:r>
      <w:r>
        <w:rPr/>
        <w:t>The</w:t>
      </w:r>
      <w:r>
        <w:rPr>
          <w:spacing w:val="-14"/>
        </w:rPr>
        <w:t> </w:t>
      </w:r>
      <w:r>
        <w:rPr/>
        <w:t>rest,</w:t>
      </w:r>
      <w:r>
        <w:rPr>
          <w:spacing w:val="-13"/>
        </w:rPr>
        <w:t> </w:t>
      </w:r>
      <w:r>
        <w:rPr/>
        <w:t>as</w:t>
      </w:r>
      <w:r>
        <w:rPr>
          <w:spacing w:val="-14"/>
        </w:rPr>
        <w:t> </w:t>
      </w:r>
      <w:r>
        <w:rPr/>
        <w:t>many</w:t>
      </w:r>
      <w:r>
        <w:rPr>
          <w:spacing w:val="-14"/>
        </w:rPr>
        <w:t> </w:t>
      </w:r>
      <w:r>
        <w:rPr/>
        <w:t>as</w:t>
      </w:r>
      <w:r>
        <w:rPr>
          <w:spacing w:val="-14"/>
        </w:rPr>
        <w:t> </w:t>
      </w:r>
      <w:r>
        <w:rPr/>
        <w:t>17,500</w:t>
      </w:r>
      <w:r>
        <w:rPr>
          <w:spacing w:val="-13"/>
        </w:rPr>
        <w:t> </w:t>
      </w:r>
      <w:r>
        <w:rPr/>
        <w:t>colleges, are</w:t>
      </w:r>
      <w:r>
        <w:rPr>
          <w:spacing w:val="-16"/>
        </w:rPr>
        <w:t> </w:t>
      </w:r>
      <w:r>
        <w:rPr/>
        <w:t>affiliated</w:t>
      </w:r>
      <w:r>
        <w:rPr>
          <w:spacing w:val="-14"/>
        </w:rPr>
        <w:t> </w:t>
      </w:r>
      <w:r>
        <w:rPr/>
        <w:t>to,</w:t>
      </w:r>
      <w:r>
        <w:rPr>
          <w:spacing w:val="-14"/>
        </w:rPr>
        <w:t> </w:t>
      </w:r>
      <w:r>
        <w:rPr/>
        <w:t>or</w:t>
      </w:r>
      <w:r>
        <w:rPr>
          <w:spacing w:val="-13"/>
        </w:rPr>
        <w:t> </w:t>
      </w:r>
      <w:r>
        <w:rPr/>
        <w:t>constituent</w:t>
      </w:r>
      <w:r>
        <w:rPr>
          <w:spacing w:val="-14"/>
        </w:rPr>
        <w:t> </w:t>
      </w:r>
      <w:r>
        <w:rPr/>
        <w:t>in,</w:t>
      </w:r>
      <w:r>
        <w:rPr>
          <w:spacing w:val="-14"/>
        </w:rPr>
        <w:t> </w:t>
      </w:r>
      <w:r>
        <w:rPr/>
        <w:t>131</w:t>
      </w:r>
      <w:r>
        <w:rPr>
          <w:spacing w:val="-14"/>
        </w:rPr>
        <w:t> </w:t>
      </w:r>
      <w:r>
        <w:rPr/>
        <w:t>universities.</w:t>
      </w:r>
      <w:r>
        <w:rPr>
          <w:spacing w:val="-13"/>
        </w:rPr>
        <w:t> </w:t>
      </w:r>
      <w:r>
        <w:rPr/>
        <w:t>On average,</w:t>
      </w:r>
      <w:r>
        <w:rPr>
          <w:spacing w:val="-1"/>
        </w:rPr>
        <w:t> </w:t>
      </w:r>
      <w:r>
        <w:rPr/>
        <w:t>each</w:t>
      </w:r>
      <w:r>
        <w:rPr>
          <w:spacing w:val="-1"/>
        </w:rPr>
        <w:t> </w:t>
      </w:r>
      <w:r>
        <w:rPr/>
        <w:t>university</w:t>
      </w:r>
      <w:r>
        <w:rPr>
          <w:spacing w:val="-1"/>
        </w:rPr>
        <w:t> </w:t>
      </w:r>
      <w:r>
        <w:rPr/>
        <w:t>has</w:t>
      </w:r>
      <w:r>
        <w:rPr>
          <w:spacing w:val="-1"/>
        </w:rPr>
        <w:t> </w:t>
      </w:r>
      <w:r>
        <w:rPr/>
        <w:t>more</w:t>
      </w:r>
      <w:r>
        <w:rPr>
          <w:spacing w:val="-1"/>
        </w:rPr>
        <w:t> </w:t>
      </w:r>
      <w:r>
        <w:rPr/>
        <w:t>than</w:t>
      </w:r>
      <w:r>
        <w:rPr>
          <w:spacing w:val="-1"/>
        </w:rPr>
        <w:t> </w:t>
      </w:r>
      <w:r>
        <w:rPr/>
        <w:t>100</w:t>
      </w:r>
      <w:r>
        <w:rPr>
          <w:spacing w:val="-1"/>
        </w:rPr>
        <w:t> </w:t>
      </w:r>
      <w:r>
        <w:rPr/>
        <w:t>affiliated </w:t>
      </w:r>
      <w:r>
        <w:rPr>
          <w:spacing w:val="-2"/>
        </w:rPr>
        <w:t>colleges,</w:t>
      </w:r>
      <w:r>
        <w:rPr>
          <w:spacing w:val="-8"/>
        </w:rPr>
        <w:t> </w:t>
      </w:r>
      <w:r>
        <w:rPr>
          <w:spacing w:val="-2"/>
        </w:rPr>
        <w:t>but</w:t>
      </w:r>
      <w:r>
        <w:rPr>
          <w:spacing w:val="-8"/>
        </w:rPr>
        <w:t> </w:t>
      </w:r>
      <w:r>
        <w:rPr>
          <w:spacing w:val="-2"/>
        </w:rPr>
        <w:t>there</w:t>
      </w:r>
      <w:r>
        <w:rPr>
          <w:spacing w:val="-8"/>
        </w:rPr>
        <w:t> </w:t>
      </w:r>
      <w:r>
        <w:rPr>
          <w:spacing w:val="-2"/>
        </w:rPr>
        <w:t>are</w:t>
      </w:r>
      <w:r>
        <w:rPr>
          <w:spacing w:val="-8"/>
        </w:rPr>
        <w:t> </w:t>
      </w:r>
      <w:r>
        <w:rPr>
          <w:spacing w:val="-2"/>
        </w:rPr>
        <w:t>some</w:t>
      </w:r>
      <w:r>
        <w:rPr>
          <w:spacing w:val="-8"/>
        </w:rPr>
        <w:t> </w:t>
      </w:r>
      <w:r>
        <w:rPr>
          <w:spacing w:val="-2"/>
        </w:rPr>
        <w:t>universities</w:t>
      </w:r>
      <w:r>
        <w:rPr>
          <w:spacing w:val="-8"/>
        </w:rPr>
        <w:t> </w:t>
      </w:r>
      <w:r>
        <w:rPr>
          <w:spacing w:val="-2"/>
        </w:rPr>
        <w:t>each</w:t>
      </w:r>
      <w:r>
        <w:rPr>
          <w:spacing w:val="-8"/>
        </w:rPr>
        <w:t> </w:t>
      </w:r>
      <w:r>
        <w:rPr>
          <w:spacing w:val="-2"/>
        </w:rPr>
        <w:t>of</w:t>
      </w:r>
      <w:r>
        <w:rPr>
          <w:spacing w:val="-8"/>
        </w:rPr>
        <w:t> </w:t>
      </w:r>
      <w:r>
        <w:rPr>
          <w:spacing w:val="-2"/>
        </w:rPr>
        <w:t>which </w:t>
      </w:r>
      <w:r>
        <w:rPr/>
        <w:t>has</w:t>
      </w:r>
      <w:r>
        <w:rPr>
          <w:spacing w:val="-1"/>
        </w:rPr>
        <w:t> </w:t>
      </w:r>
      <w:r>
        <w:rPr/>
        <w:t>more</w:t>
      </w:r>
      <w:r>
        <w:rPr>
          <w:spacing w:val="-1"/>
        </w:rPr>
        <w:t> </w:t>
      </w:r>
      <w:r>
        <w:rPr/>
        <w:t>than</w:t>
      </w:r>
      <w:r>
        <w:rPr>
          <w:spacing w:val="-1"/>
        </w:rPr>
        <w:t> </w:t>
      </w:r>
      <w:r>
        <w:rPr/>
        <w:t>400</w:t>
      </w:r>
      <w:r>
        <w:rPr>
          <w:spacing w:val="-1"/>
        </w:rPr>
        <w:t> </w:t>
      </w:r>
      <w:r>
        <w:rPr/>
        <w:t>affiliated</w:t>
      </w:r>
      <w:r>
        <w:rPr>
          <w:spacing w:val="-1"/>
        </w:rPr>
        <w:t> </w:t>
      </w:r>
      <w:r>
        <w:rPr/>
        <w:t>colleges.</w:t>
      </w:r>
    </w:p>
    <w:p>
      <w:pPr>
        <w:pStyle w:val="BodyText"/>
        <w:spacing w:line="266" w:lineRule="auto" w:before="57"/>
        <w:ind w:left="319" w:right="1077"/>
        <w:jc w:val="both"/>
      </w:pPr>
      <w:r>
        <w:rPr/>
        <w:br w:type="column"/>
      </w:r>
      <w:r>
        <w:rPr/>
        <w:t>This system of affiliated colleges for </w:t>
      </w:r>
      <w:r>
        <w:rPr/>
        <w:t>undergraduate education, which may have been appropriate fifty years ago, is neither adequate nor appropriate at this juncture, let alone for the future. It is cumbersome to </w:t>
      </w:r>
      <w:r>
        <w:rPr>
          <w:spacing w:val="-2"/>
        </w:rPr>
        <w:t>manage.</w:t>
      </w:r>
      <w:r>
        <w:rPr>
          <w:spacing w:val="-12"/>
        </w:rPr>
        <w:t> </w:t>
      </w:r>
      <w:r>
        <w:rPr>
          <w:spacing w:val="-2"/>
        </w:rPr>
        <w:t>And</w:t>
      </w:r>
      <w:r>
        <w:rPr>
          <w:spacing w:val="-12"/>
        </w:rPr>
        <w:t> </w:t>
      </w:r>
      <w:r>
        <w:rPr>
          <w:spacing w:val="-2"/>
        </w:rPr>
        <w:t>it</w:t>
      </w:r>
      <w:r>
        <w:rPr>
          <w:spacing w:val="-12"/>
        </w:rPr>
        <w:t> </w:t>
      </w:r>
      <w:r>
        <w:rPr>
          <w:spacing w:val="-2"/>
        </w:rPr>
        <w:t>is</w:t>
      </w:r>
      <w:r>
        <w:rPr>
          <w:spacing w:val="-11"/>
        </w:rPr>
        <w:t> </w:t>
      </w:r>
      <w:r>
        <w:rPr>
          <w:spacing w:val="-2"/>
        </w:rPr>
        <w:t>difficult</w:t>
      </w:r>
      <w:r>
        <w:rPr>
          <w:spacing w:val="-12"/>
        </w:rPr>
        <w:t> </w:t>
      </w:r>
      <w:r>
        <w:rPr>
          <w:spacing w:val="-2"/>
        </w:rPr>
        <w:t>to</w:t>
      </w:r>
      <w:r>
        <w:rPr>
          <w:spacing w:val="-12"/>
        </w:rPr>
        <w:t> </w:t>
      </w:r>
      <w:r>
        <w:rPr>
          <w:spacing w:val="-2"/>
        </w:rPr>
        <w:t>ensure</w:t>
      </w:r>
      <w:r>
        <w:rPr>
          <w:spacing w:val="-12"/>
        </w:rPr>
        <w:t> </w:t>
      </w:r>
      <w:r>
        <w:rPr>
          <w:spacing w:val="-2"/>
        </w:rPr>
        <w:t>minimal</w:t>
      </w:r>
      <w:r>
        <w:rPr>
          <w:spacing w:val="-11"/>
        </w:rPr>
        <w:t> </w:t>
      </w:r>
      <w:r>
        <w:rPr>
          <w:spacing w:val="-2"/>
        </w:rPr>
        <w:t>academic </w:t>
      </w:r>
      <w:r>
        <w:rPr/>
        <w:t>standards across the board. The problem has at least three</w:t>
      </w:r>
      <w:r>
        <w:rPr>
          <w:spacing w:val="-6"/>
        </w:rPr>
        <w:t> </w:t>
      </w:r>
      <w:r>
        <w:rPr/>
        <w:t>dimensions.</w:t>
      </w:r>
      <w:r>
        <w:rPr>
          <w:spacing w:val="-6"/>
        </w:rPr>
        <w:t> </w:t>
      </w:r>
      <w:r>
        <w:rPr/>
        <w:t>First,</w:t>
      </w:r>
      <w:r>
        <w:rPr>
          <w:spacing w:val="-6"/>
        </w:rPr>
        <w:t> </w:t>
      </w:r>
      <w:r>
        <w:rPr/>
        <w:t>it</w:t>
      </w:r>
      <w:r>
        <w:rPr>
          <w:spacing w:val="-6"/>
        </w:rPr>
        <w:t> </w:t>
      </w:r>
      <w:r>
        <w:rPr/>
        <w:t>imposes</w:t>
      </w:r>
      <w:r>
        <w:rPr>
          <w:spacing w:val="-6"/>
        </w:rPr>
        <w:t> </w:t>
      </w:r>
      <w:r>
        <w:rPr/>
        <w:t>an</w:t>
      </w:r>
      <w:r>
        <w:rPr>
          <w:spacing w:val="-6"/>
        </w:rPr>
        <w:t> </w:t>
      </w:r>
      <w:r>
        <w:rPr/>
        <w:t>onerous</w:t>
      </w:r>
      <w:r>
        <w:rPr>
          <w:spacing w:val="-6"/>
        </w:rPr>
        <w:t> </w:t>
      </w:r>
      <w:r>
        <w:rPr/>
        <w:t>burden on</w:t>
      </w:r>
      <w:r>
        <w:rPr>
          <w:spacing w:val="-10"/>
        </w:rPr>
        <w:t> </w:t>
      </w:r>
      <w:r>
        <w:rPr/>
        <w:t>universities</w:t>
      </w:r>
      <w:r>
        <w:rPr>
          <w:spacing w:val="-10"/>
        </w:rPr>
        <w:t> </w:t>
      </w:r>
      <w:r>
        <w:rPr/>
        <w:t>which</w:t>
      </w:r>
      <w:r>
        <w:rPr>
          <w:spacing w:val="-10"/>
        </w:rPr>
        <w:t> </w:t>
      </w:r>
      <w:r>
        <w:rPr/>
        <w:t>have</w:t>
      </w:r>
      <w:r>
        <w:rPr>
          <w:spacing w:val="-10"/>
        </w:rPr>
        <w:t> </w:t>
      </w:r>
      <w:r>
        <w:rPr/>
        <w:t>to</w:t>
      </w:r>
      <w:r>
        <w:rPr>
          <w:spacing w:val="-10"/>
        </w:rPr>
        <w:t> </w:t>
      </w:r>
      <w:r>
        <w:rPr/>
        <w:t>regulate</w:t>
      </w:r>
      <w:r>
        <w:rPr>
          <w:spacing w:val="-10"/>
        </w:rPr>
        <w:t> </w:t>
      </w:r>
      <w:r>
        <w:rPr/>
        <w:t>admissions,</w:t>
      </w:r>
      <w:r>
        <w:rPr>
          <w:spacing w:val="-10"/>
        </w:rPr>
        <w:t> </w:t>
      </w:r>
      <w:r>
        <w:rPr/>
        <w:t>set curricula and conduct examinations for such a large number of undergraduate colleges. The problem is compounded by uneven standards and geographical dispersion. Second, the undergraduate colleges are constrained by their affiliated status, in terms of </w:t>
      </w:r>
      <w:r>
        <w:rPr>
          <w:spacing w:val="-2"/>
        </w:rPr>
        <w:t>autonomy</w:t>
      </w:r>
      <w:r>
        <w:rPr>
          <w:spacing w:val="-8"/>
        </w:rPr>
        <w:t> </w:t>
      </w:r>
      <w:r>
        <w:rPr>
          <w:spacing w:val="-2"/>
        </w:rPr>
        <w:t>and</w:t>
      </w:r>
      <w:r>
        <w:rPr>
          <w:spacing w:val="-8"/>
        </w:rPr>
        <w:t> </w:t>
      </w:r>
      <w:r>
        <w:rPr>
          <w:spacing w:val="-2"/>
        </w:rPr>
        <w:t>space,</w:t>
      </w:r>
      <w:r>
        <w:rPr>
          <w:spacing w:val="-8"/>
        </w:rPr>
        <w:t> </w:t>
      </w:r>
      <w:r>
        <w:rPr>
          <w:spacing w:val="-2"/>
        </w:rPr>
        <w:t>which</w:t>
      </w:r>
      <w:r>
        <w:rPr>
          <w:spacing w:val="-8"/>
        </w:rPr>
        <w:t> </w:t>
      </w:r>
      <w:r>
        <w:rPr>
          <w:spacing w:val="-2"/>
        </w:rPr>
        <w:t>makes</w:t>
      </w:r>
      <w:r>
        <w:rPr>
          <w:spacing w:val="-8"/>
        </w:rPr>
        <w:t> </w:t>
      </w:r>
      <w:r>
        <w:rPr>
          <w:spacing w:val="-2"/>
        </w:rPr>
        <w:t>it</w:t>
      </w:r>
      <w:r>
        <w:rPr>
          <w:spacing w:val="-8"/>
        </w:rPr>
        <w:t> </w:t>
      </w:r>
      <w:r>
        <w:rPr>
          <w:spacing w:val="-2"/>
        </w:rPr>
        <w:t>difficult</w:t>
      </w:r>
      <w:r>
        <w:rPr>
          <w:spacing w:val="-8"/>
        </w:rPr>
        <w:t> </w:t>
      </w:r>
      <w:r>
        <w:rPr>
          <w:spacing w:val="-2"/>
        </w:rPr>
        <w:t>for</w:t>
      </w:r>
      <w:r>
        <w:rPr>
          <w:spacing w:val="-8"/>
        </w:rPr>
        <w:t> </w:t>
      </w:r>
      <w:r>
        <w:rPr>
          <w:spacing w:val="-2"/>
        </w:rPr>
        <w:t>them </w:t>
      </w:r>
      <w:r>
        <w:rPr/>
        <w:t>to adapt, to innovate and to evolve. The problem is particularly acute for undergraduate colleges that are good, for both teachers and students are subjected to </w:t>
      </w:r>
      <w:r>
        <w:rPr>
          <w:spacing w:val="-4"/>
        </w:rPr>
        <w:t>the</w:t>
      </w:r>
      <w:r>
        <w:rPr>
          <w:spacing w:val="-10"/>
        </w:rPr>
        <w:t> </w:t>
      </w:r>
      <w:r>
        <w:rPr>
          <w:spacing w:val="-4"/>
        </w:rPr>
        <w:t>‘convoy</w:t>
      </w:r>
      <w:r>
        <w:rPr>
          <w:spacing w:val="-10"/>
        </w:rPr>
        <w:t> </w:t>
      </w:r>
      <w:r>
        <w:rPr>
          <w:spacing w:val="-4"/>
        </w:rPr>
        <w:t>problem’</w:t>
      </w:r>
      <w:r>
        <w:rPr>
          <w:spacing w:val="-10"/>
        </w:rPr>
        <w:t> </w:t>
      </w:r>
      <w:r>
        <w:rPr>
          <w:spacing w:val="-4"/>
        </w:rPr>
        <w:t>insofar</w:t>
      </w:r>
      <w:r>
        <w:rPr>
          <w:spacing w:val="-9"/>
        </w:rPr>
        <w:t> </w:t>
      </w:r>
      <w:r>
        <w:rPr>
          <w:spacing w:val="-4"/>
        </w:rPr>
        <w:t>as</w:t>
      </w:r>
      <w:r>
        <w:rPr>
          <w:spacing w:val="-10"/>
        </w:rPr>
        <w:t> </w:t>
      </w:r>
      <w:r>
        <w:rPr>
          <w:spacing w:val="-4"/>
        </w:rPr>
        <w:t>they</w:t>
      </w:r>
      <w:r>
        <w:rPr>
          <w:spacing w:val="-10"/>
        </w:rPr>
        <w:t> </w:t>
      </w:r>
      <w:r>
        <w:rPr>
          <w:spacing w:val="-4"/>
        </w:rPr>
        <w:t>are</w:t>
      </w:r>
      <w:r>
        <w:rPr>
          <w:spacing w:val="-10"/>
        </w:rPr>
        <w:t> </w:t>
      </w:r>
      <w:r>
        <w:rPr>
          <w:spacing w:val="-4"/>
        </w:rPr>
        <w:t>forced</w:t>
      </w:r>
      <w:r>
        <w:rPr>
          <w:spacing w:val="-9"/>
        </w:rPr>
        <w:t> </w:t>
      </w:r>
      <w:r>
        <w:rPr>
          <w:spacing w:val="-4"/>
        </w:rPr>
        <w:t>to</w:t>
      </w:r>
      <w:r>
        <w:rPr>
          <w:spacing w:val="-10"/>
        </w:rPr>
        <w:t> </w:t>
      </w:r>
      <w:r>
        <w:rPr>
          <w:spacing w:val="-4"/>
        </w:rPr>
        <w:t>move </w:t>
      </w:r>
      <w:r>
        <w:rPr/>
        <w:t>at</w:t>
      </w:r>
      <w:r>
        <w:rPr>
          <w:spacing w:val="-14"/>
        </w:rPr>
        <w:t> </w:t>
      </w:r>
      <w:r>
        <w:rPr/>
        <w:t>the</w:t>
      </w:r>
      <w:r>
        <w:rPr>
          <w:spacing w:val="-14"/>
        </w:rPr>
        <w:t> </w:t>
      </w:r>
      <w:r>
        <w:rPr/>
        <w:t>speed</w:t>
      </w:r>
      <w:r>
        <w:rPr>
          <w:spacing w:val="-14"/>
        </w:rPr>
        <w:t> </w:t>
      </w:r>
      <w:r>
        <w:rPr/>
        <w:t>of</w:t>
      </w:r>
      <w:r>
        <w:rPr>
          <w:spacing w:val="-13"/>
        </w:rPr>
        <w:t> </w:t>
      </w:r>
      <w:r>
        <w:rPr/>
        <w:t>the</w:t>
      </w:r>
      <w:r>
        <w:rPr>
          <w:spacing w:val="-12"/>
        </w:rPr>
        <w:t> </w:t>
      </w:r>
      <w:r>
        <w:rPr/>
        <w:t>slowest.</w:t>
      </w:r>
      <w:r>
        <w:rPr>
          <w:spacing w:val="-14"/>
        </w:rPr>
        <w:t> </w:t>
      </w:r>
      <w:r>
        <w:rPr/>
        <w:t>There</w:t>
      </w:r>
      <w:r>
        <w:rPr>
          <w:spacing w:val="-13"/>
        </w:rPr>
        <w:t> </w:t>
      </w:r>
      <w:r>
        <w:rPr/>
        <w:t>is</w:t>
      </w:r>
      <w:r>
        <w:rPr>
          <w:spacing w:val="-13"/>
        </w:rPr>
        <w:t> </w:t>
      </w:r>
      <w:r>
        <w:rPr/>
        <w:t>also</w:t>
      </w:r>
      <w:r>
        <w:rPr>
          <w:spacing w:val="-13"/>
        </w:rPr>
        <w:t> </w:t>
      </w:r>
      <w:r>
        <w:rPr/>
        <w:t>a</w:t>
      </w:r>
      <w:r>
        <w:rPr>
          <w:spacing w:val="-13"/>
        </w:rPr>
        <w:t> </w:t>
      </w:r>
      <w:r>
        <w:rPr/>
        <w:t>problem</w:t>
      </w:r>
      <w:r>
        <w:rPr>
          <w:spacing w:val="-13"/>
        </w:rPr>
        <w:t> </w:t>
      </w:r>
      <w:r>
        <w:rPr/>
        <w:t>for </w:t>
      </w:r>
      <w:r>
        <w:rPr>
          <w:spacing w:val="-4"/>
        </w:rPr>
        <w:t>undergraduate</w:t>
      </w:r>
      <w:r>
        <w:rPr>
          <w:spacing w:val="-10"/>
        </w:rPr>
        <w:t> </w:t>
      </w:r>
      <w:r>
        <w:rPr>
          <w:spacing w:val="-4"/>
        </w:rPr>
        <w:t>colleges</w:t>
      </w:r>
      <w:r>
        <w:rPr>
          <w:spacing w:val="-10"/>
        </w:rPr>
        <w:t> </w:t>
      </w:r>
      <w:r>
        <w:rPr>
          <w:spacing w:val="-4"/>
        </w:rPr>
        <w:t>that</w:t>
      </w:r>
      <w:r>
        <w:rPr>
          <w:spacing w:val="-10"/>
        </w:rPr>
        <w:t> </w:t>
      </w:r>
      <w:r>
        <w:rPr>
          <w:spacing w:val="-4"/>
        </w:rPr>
        <w:t>are</w:t>
      </w:r>
      <w:r>
        <w:rPr>
          <w:spacing w:val="-9"/>
        </w:rPr>
        <w:t> </w:t>
      </w:r>
      <w:r>
        <w:rPr>
          <w:spacing w:val="-4"/>
        </w:rPr>
        <w:t>not</w:t>
      </w:r>
      <w:r>
        <w:rPr>
          <w:spacing w:val="-10"/>
        </w:rPr>
        <w:t> </w:t>
      </w:r>
      <w:r>
        <w:rPr>
          <w:spacing w:val="-4"/>
        </w:rPr>
        <w:t>so</w:t>
      </w:r>
      <w:r>
        <w:rPr>
          <w:spacing w:val="-10"/>
        </w:rPr>
        <w:t> </w:t>
      </w:r>
      <w:r>
        <w:rPr>
          <w:spacing w:val="-4"/>
        </w:rPr>
        <w:t>good,</w:t>
      </w:r>
      <w:r>
        <w:rPr>
          <w:spacing w:val="-10"/>
        </w:rPr>
        <w:t> </w:t>
      </w:r>
      <w:r>
        <w:rPr>
          <w:spacing w:val="-4"/>
        </w:rPr>
        <w:t>or</w:t>
      </w:r>
      <w:r>
        <w:rPr>
          <w:spacing w:val="-9"/>
        </w:rPr>
        <w:t> </w:t>
      </w:r>
      <w:r>
        <w:rPr>
          <w:spacing w:val="-4"/>
        </w:rPr>
        <w:t>are</w:t>
      </w:r>
      <w:r>
        <w:rPr>
          <w:spacing w:val="-10"/>
        </w:rPr>
        <w:t> </w:t>
      </w:r>
      <w:r>
        <w:rPr>
          <w:spacing w:val="-4"/>
        </w:rPr>
        <w:t>poor, </w:t>
      </w:r>
      <w:r>
        <w:rPr>
          <w:spacing w:val="-6"/>
        </w:rPr>
        <w:t>because</w:t>
      </w:r>
      <w:r>
        <w:rPr>
          <w:spacing w:val="-8"/>
        </w:rPr>
        <w:t> </w:t>
      </w:r>
      <w:r>
        <w:rPr>
          <w:spacing w:val="-6"/>
        </w:rPr>
        <w:t>universities</w:t>
      </w:r>
      <w:r>
        <w:rPr>
          <w:spacing w:val="-8"/>
        </w:rPr>
        <w:t> </w:t>
      </w:r>
      <w:r>
        <w:rPr>
          <w:spacing w:val="-6"/>
        </w:rPr>
        <w:t>cannot</w:t>
      </w:r>
      <w:r>
        <w:rPr>
          <w:spacing w:val="-8"/>
        </w:rPr>
        <w:t> </w:t>
      </w:r>
      <w:r>
        <w:rPr>
          <w:spacing w:val="-6"/>
        </w:rPr>
        <w:t>address</w:t>
      </w:r>
      <w:r>
        <w:rPr>
          <w:spacing w:val="-7"/>
        </w:rPr>
        <w:t> </w:t>
      </w:r>
      <w:r>
        <w:rPr>
          <w:spacing w:val="-6"/>
        </w:rPr>
        <w:t>their</w:t>
      </w:r>
      <w:r>
        <w:rPr>
          <w:spacing w:val="-8"/>
        </w:rPr>
        <w:t> </w:t>
      </w:r>
      <w:r>
        <w:rPr>
          <w:spacing w:val="-6"/>
        </w:rPr>
        <w:t>special</w:t>
      </w:r>
      <w:r>
        <w:rPr>
          <w:spacing w:val="-8"/>
        </w:rPr>
        <w:t> </w:t>
      </w:r>
      <w:r>
        <w:rPr>
          <w:spacing w:val="-6"/>
        </w:rPr>
        <w:t>needs</w:t>
      </w:r>
      <w:r>
        <w:rPr>
          <w:spacing w:val="-8"/>
        </w:rPr>
        <w:t> </w:t>
      </w:r>
      <w:r>
        <w:rPr>
          <w:spacing w:val="-6"/>
        </w:rPr>
        <w:t>or unique</w:t>
      </w:r>
      <w:r>
        <w:rPr>
          <w:spacing w:val="-8"/>
        </w:rPr>
        <w:t> </w:t>
      </w:r>
      <w:r>
        <w:rPr>
          <w:spacing w:val="-6"/>
        </w:rPr>
        <w:t>problems.</w:t>
      </w:r>
      <w:r>
        <w:rPr>
          <w:spacing w:val="-8"/>
        </w:rPr>
        <w:t> </w:t>
      </w:r>
      <w:r>
        <w:rPr>
          <w:spacing w:val="-6"/>
        </w:rPr>
        <w:t>Third,</w:t>
      </w:r>
      <w:r>
        <w:rPr>
          <w:spacing w:val="-7"/>
        </w:rPr>
        <w:t> </w:t>
      </w:r>
      <w:r>
        <w:rPr>
          <w:spacing w:val="-6"/>
        </w:rPr>
        <w:t>it</w:t>
      </w:r>
      <w:r>
        <w:rPr>
          <w:spacing w:val="-2"/>
        </w:rPr>
        <w:t> </w:t>
      </w:r>
      <w:r>
        <w:rPr>
          <w:spacing w:val="-6"/>
        </w:rPr>
        <w:t>is difficult to set curricula and </w:t>
      </w:r>
      <w:r>
        <w:rPr>
          <w:spacing w:val="-2"/>
        </w:rPr>
        <w:t>assess</w:t>
      </w:r>
      <w:r>
        <w:rPr>
          <w:spacing w:val="-14"/>
        </w:rPr>
        <w:t> </w:t>
      </w:r>
      <w:r>
        <w:rPr>
          <w:spacing w:val="-2"/>
        </w:rPr>
        <w:t>performance</w:t>
      </w:r>
      <w:r>
        <w:rPr>
          <w:spacing w:val="-12"/>
        </w:rPr>
        <w:t> </w:t>
      </w:r>
      <w:r>
        <w:rPr>
          <w:spacing w:val="-2"/>
        </w:rPr>
        <w:t>for</w:t>
      </w:r>
      <w:r>
        <w:rPr>
          <w:spacing w:val="-12"/>
        </w:rPr>
        <w:t> </w:t>
      </w:r>
      <w:r>
        <w:rPr>
          <w:spacing w:val="-2"/>
        </w:rPr>
        <w:t>such</w:t>
      </w:r>
      <w:r>
        <w:rPr>
          <w:spacing w:val="-11"/>
        </w:rPr>
        <w:t> </w:t>
      </w:r>
      <w:r>
        <w:rPr>
          <w:spacing w:val="-2"/>
        </w:rPr>
        <w:t>a</w:t>
      </w:r>
      <w:r>
        <w:rPr>
          <w:spacing w:val="-12"/>
        </w:rPr>
        <w:t> </w:t>
      </w:r>
      <w:r>
        <w:rPr>
          <w:spacing w:val="-2"/>
        </w:rPr>
        <w:t>large</w:t>
      </w:r>
      <w:r>
        <w:rPr>
          <w:spacing w:val="-12"/>
        </w:rPr>
        <w:t> </w:t>
      </w:r>
      <w:r>
        <w:rPr>
          <w:spacing w:val="-2"/>
        </w:rPr>
        <w:t>number</w:t>
      </w:r>
      <w:r>
        <w:rPr>
          <w:spacing w:val="-12"/>
        </w:rPr>
        <w:t> </w:t>
      </w:r>
      <w:r>
        <w:rPr>
          <w:spacing w:val="-2"/>
        </w:rPr>
        <w:t>of</w:t>
      </w:r>
      <w:r>
        <w:rPr>
          <w:spacing w:val="-11"/>
        </w:rPr>
        <w:t> </w:t>
      </w:r>
      <w:r>
        <w:rPr>
          <w:spacing w:val="-2"/>
        </w:rPr>
        <w:t>students </w:t>
      </w:r>
      <w:r>
        <w:rPr/>
        <w:t>where</w:t>
      </w:r>
      <w:r>
        <w:rPr>
          <w:spacing w:val="-4"/>
        </w:rPr>
        <w:t> </w:t>
      </w:r>
      <w:r>
        <w:rPr/>
        <w:t>there</w:t>
      </w:r>
      <w:r>
        <w:rPr>
          <w:spacing w:val="-4"/>
        </w:rPr>
        <w:t> </w:t>
      </w:r>
      <w:r>
        <w:rPr/>
        <w:t>is</w:t>
      </w:r>
      <w:r>
        <w:rPr>
          <w:spacing w:val="-4"/>
        </w:rPr>
        <w:t> </w:t>
      </w:r>
      <w:r>
        <w:rPr/>
        <w:t>such</w:t>
      </w:r>
      <w:r>
        <w:rPr>
          <w:spacing w:val="-4"/>
        </w:rPr>
        <w:t> </w:t>
      </w:r>
      <w:r>
        <w:rPr/>
        <w:t>a</w:t>
      </w:r>
      <w:r>
        <w:rPr>
          <w:spacing w:val="-4"/>
        </w:rPr>
        <w:t> </w:t>
      </w:r>
      <w:r>
        <w:rPr/>
        <w:t>large</w:t>
      </w:r>
      <w:r>
        <w:rPr>
          <w:spacing w:val="-4"/>
        </w:rPr>
        <w:t> </w:t>
      </w:r>
      <w:r>
        <w:rPr/>
        <w:t>dispersion</w:t>
      </w:r>
      <w:r>
        <w:rPr>
          <w:spacing w:val="-4"/>
        </w:rPr>
        <w:t> </w:t>
      </w:r>
      <w:r>
        <w:rPr/>
        <w:t>in</w:t>
      </w:r>
      <w:r>
        <w:rPr>
          <w:spacing w:val="-4"/>
        </w:rPr>
        <w:t> </w:t>
      </w:r>
      <w:r>
        <w:rPr/>
        <w:t>performance at</w:t>
      </w:r>
      <w:r>
        <w:rPr>
          <w:spacing w:val="-10"/>
        </w:rPr>
        <w:t> </w:t>
      </w:r>
      <w:r>
        <w:rPr/>
        <w:t>school</w:t>
      </w:r>
      <w:r>
        <w:rPr>
          <w:spacing w:val="-9"/>
        </w:rPr>
        <w:t> </w:t>
      </w:r>
      <w:r>
        <w:rPr/>
        <w:t>before</w:t>
      </w:r>
      <w:r>
        <w:rPr>
          <w:spacing w:val="-9"/>
        </w:rPr>
        <w:t> </w:t>
      </w:r>
      <w:r>
        <w:rPr/>
        <w:t>entering</w:t>
      </w:r>
      <w:r>
        <w:rPr>
          <w:spacing w:val="-9"/>
        </w:rPr>
        <w:t> </w:t>
      </w:r>
      <w:r>
        <w:rPr/>
        <w:t>college.</w:t>
      </w:r>
      <w:r>
        <w:rPr>
          <w:spacing w:val="-14"/>
        </w:rPr>
        <w:t> </w:t>
      </w:r>
      <w:r>
        <w:rPr/>
        <w:t>This</w:t>
      </w:r>
      <w:r>
        <w:rPr>
          <w:spacing w:val="-9"/>
        </w:rPr>
        <w:t> </w:t>
      </w:r>
      <w:r>
        <w:rPr/>
        <w:t>reality</w:t>
      </w:r>
      <w:r>
        <w:rPr>
          <w:spacing w:val="-9"/>
        </w:rPr>
        <w:t> </w:t>
      </w:r>
      <w:r>
        <w:rPr/>
        <w:t>tends</w:t>
      </w:r>
      <w:r>
        <w:rPr>
          <w:spacing w:val="-9"/>
        </w:rPr>
        <w:t> </w:t>
      </w:r>
      <w:r>
        <w:rPr/>
        <w:t>to make courses less demanding and examinations less </w:t>
      </w:r>
      <w:r>
        <w:rPr>
          <w:spacing w:val="-2"/>
        </w:rPr>
        <w:t>stringent</w:t>
      </w:r>
      <w:r>
        <w:rPr>
          <w:spacing w:val="-10"/>
        </w:rPr>
        <w:t> </w:t>
      </w:r>
      <w:r>
        <w:rPr>
          <w:spacing w:val="-2"/>
        </w:rPr>
        <w:t>across</w:t>
      </w:r>
      <w:r>
        <w:rPr>
          <w:spacing w:val="-10"/>
        </w:rPr>
        <w:t> </w:t>
      </w:r>
      <w:r>
        <w:rPr>
          <w:spacing w:val="-2"/>
        </w:rPr>
        <w:t>the</w:t>
      </w:r>
      <w:r>
        <w:rPr>
          <w:spacing w:val="-10"/>
        </w:rPr>
        <w:t> </w:t>
      </w:r>
      <w:r>
        <w:rPr>
          <w:spacing w:val="-2"/>
        </w:rPr>
        <w:t>board.</w:t>
      </w:r>
      <w:r>
        <w:rPr>
          <w:spacing w:val="-10"/>
        </w:rPr>
        <w:t> </w:t>
      </w:r>
      <w:r>
        <w:rPr>
          <w:spacing w:val="-2"/>
        </w:rPr>
        <w:t>In</w:t>
      </w:r>
      <w:r>
        <w:rPr>
          <w:spacing w:val="-10"/>
        </w:rPr>
        <w:t> </w:t>
      </w:r>
      <w:r>
        <w:rPr>
          <w:spacing w:val="-2"/>
        </w:rPr>
        <w:t>fact</w:t>
      </w:r>
      <w:r>
        <w:rPr>
          <w:spacing w:val="-10"/>
        </w:rPr>
        <w:t> </w:t>
      </w:r>
      <w:r>
        <w:rPr>
          <w:spacing w:val="-2"/>
        </w:rPr>
        <w:t>the</w:t>
      </w:r>
      <w:r>
        <w:rPr>
          <w:spacing w:val="-10"/>
        </w:rPr>
        <w:t> </w:t>
      </w:r>
      <w:r>
        <w:rPr>
          <w:spacing w:val="-2"/>
        </w:rPr>
        <w:t>design</w:t>
      </w:r>
      <w:r>
        <w:rPr>
          <w:spacing w:val="-10"/>
        </w:rPr>
        <w:t> </w:t>
      </w:r>
      <w:r>
        <w:rPr>
          <w:spacing w:val="-2"/>
        </w:rPr>
        <w:t>of</w:t>
      </w:r>
      <w:r>
        <w:rPr>
          <w:spacing w:val="-10"/>
        </w:rPr>
        <w:t> </w:t>
      </w:r>
      <w:r>
        <w:rPr>
          <w:spacing w:val="-2"/>
        </w:rPr>
        <w:t>courses </w:t>
      </w:r>
      <w:r>
        <w:rPr>
          <w:spacing w:val="-6"/>
        </w:rPr>
        <w:t>and</w:t>
      </w:r>
      <w:r>
        <w:rPr>
          <w:spacing w:val="-7"/>
        </w:rPr>
        <w:t> </w:t>
      </w:r>
      <w:r>
        <w:rPr>
          <w:spacing w:val="-6"/>
        </w:rPr>
        <w:t>examinations</w:t>
      </w:r>
      <w:r>
        <w:rPr>
          <w:spacing w:val="-7"/>
        </w:rPr>
        <w:t> </w:t>
      </w:r>
      <w:r>
        <w:rPr>
          <w:spacing w:val="-6"/>
        </w:rPr>
        <w:t>needs</w:t>
      </w:r>
      <w:r>
        <w:rPr>
          <w:spacing w:val="-7"/>
        </w:rPr>
        <w:t> </w:t>
      </w:r>
      <w:r>
        <w:rPr>
          <w:spacing w:val="-6"/>
        </w:rPr>
        <w:t>to</w:t>
      </w:r>
      <w:r>
        <w:rPr>
          <w:spacing w:val="-7"/>
        </w:rPr>
        <w:t> </w:t>
      </w:r>
      <w:r>
        <w:rPr>
          <w:spacing w:val="-6"/>
        </w:rPr>
        <w:t>be</w:t>
      </w:r>
      <w:r>
        <w:rPr>
          <w:spacing w:val="-7"/>
        </w:rPr>
        <w:t> </w:t>
      </w:r>
      <w:r>
        <w:rPr>
          <w:spacing w:val="-6"/>
        </w:rPr>
        <w:t>flexible</w:t>
      </w:r>
      <w:r>
        <w:rPr>
          <w:spacing w:val="-7"/>
        </w:rPr>
        <w:t> </w:t>
      </w:r>
      <w:r>
        <w:rPr>
          <w:spacing w:val="-6"/>
        </w:rPr>
        <w:t>rather</w:t>
      </w:r>
      <w:r>
        <w:rPr>
          <w:spacing w:val="-7"/>
        </w:rPr>
        <w:t> </w:t>
      </w:r>
      <w:r>
        <w:rPr>
          <w:spacing w:val="-6"/>
        </w:rPr>
        <w:t>than</w:t>
      </w:r>
      <w:r>
        <w:rPr>
          <w:spacing w:val="-7"/>
        </w:rPr>
        <w:t> </w:t>
      </w:r>
      <w:r>
        <w:rPr>
          <w:spacing w:val="-6"/>
        </w:rPr>
        <w:t>exactly </w:t>
      </w:r>
      <w:r>
        <w:rPr/>
        <w:t>the same for large student communities.</w:t>
      </w:r>
    </w:p>
    <w:p>
      <w:pPr>
        <w:pStyle w:val="BodyText"/>
        <w:spacing w:before="4"/>
      </w:pPr>
    </w:p>
    <w:p>
      <w:pPr>
        <w:pStyle w:val="BodyText"/>
        <w:spacing w:line="266" w:lineRule="auto"/>
        <w:ind w:left="319" w:right="1077"/>
        <w:jc w:val="both"/>
      </w:pPr>
      <w:r>
        <w:rPr/>
        <w:t>There</w:t>
      </w:r>
      <w:r>
        <w:rPr>
          <w:spacing w:val="40"/>
        </w:rPr>
        <w:t> </w:t>
      </w:r>
      <w:r>
        <w:rPr/>
        <w:t>is</w:t>
      </w:r>
      <w:r>
        <w:rPr>
          <w:spacing w:val="40"/>
        </w:rPr>
        <w:t> </w:t>
      </w:r>
      <w:r>
        <w:rPr/>
        <w:t>an</w:t>
      </w:r>
      <w:r>
        <w:rPr>
          <w:spacing w:val="40"/>
        </w:rPr>
        <w:t> </w:t>
      </w:r>
      <w:r>
        <w:rPr/>
        <w:t>urgent</w:t>
      </w:r>
      <w:r>
        <w:rPr>
          <w:spacing w:val="40"/>
        </w:rPr>
        <w:t> </w:t>
      </w:r>
      <w:r>
        <w:rPr/>
        <w:t>need</w:t>
      </w:r>
      <w:r>
        <w:rPr>
          <w:spacing w:val="40"/>
        </w:rPr>
        <w:t> </w:t>
      </w:r>
      <w:r>
        <w:rPr/>
        <w:t>to</w:t>
      </w:r>
      <w:r>
        <w:rPr>
          <w:spacing w:val="40"/>
        </w:rPr>
        <w:t> </w:t>
      </w:r>
      <w:r>
        <w:rPr/>
        <w:t>restructure</w:t>
      </w:r>
      <w:r>
        <w:rPr>
          <w:spacing w:val="40"/>
        </w:rPr>
        <w:t> </w:t>
      </w:r>
      <w:r>
        <w:rPr/>
        <w:t>the</w:t>
      </w:r>
      <w:r>
        <w:rPr>
          <w:spacing w:val="40"/>
        </w:rPr>
        <w:t> </w:t>
      </w:r>
      <w:r>
        <w:rPr/>
        <w:t>system of undergraduate colleges affiliated to </w:t>
      </w:r>
      <w:r>
        <w:rPr/>
        <w:t>universities.</w:t>
      </w:r>
      <w:r>
        <w:rPr>
          <w:spacing w:val="40"/>
        </w:rPr>
        <w:t> </w:t>
      </w:r>
      <w:r>
        <w:rPr/>
        <w:t>In doing so, it is important to make a distinction between undergraduate colleges that already exist and undergraduate colleges that will be established</w:t>
      </w:r>
      <w:r>
        <w:rPr>
          <w:spacing w:val="40"/>
        </w:rPr>
        <w:t> </w:t>
      </w:r>
      <w:r>
        <w:rPr/>
        <w:t>in the future. It is also important to remember that </w:t>
      </w:r>
      <w:r>
        <w:rPr>
          <w:spacing w:val="-4"/>
        </w:rPr>
        <w:t>undergraduate</w:t>
      </w:r>
      <w:r>
        <w:rPr>
          <w:spacing w:val="-6"/>
        </w:rPr>
        <w:t> </w:t>
      </w:r>
      <w:r>
        <w:rPr>
          <w:spacing w:val="-4"/>
        </w:rPr>
        <w:t>colleges</w:t>
      </w:r>
      <w:r>
        <w:rPr>
          <w:spacing w:val="-6"/>
        </w:rPr>
        <w:t> </w:t>
      </w:r>
      <w:r>
        <w:rPr>
          <w:spacing w:val="-4"/>
        </w:rPr>
        <w:t>are</w:t>
      </w:r>
      <w:r>
        <w:rPr>
          <w:spacing w:val="-6"/>
        </w:rPr>
        <w:t> </w:t>
      </w:r>
      <w:r>
        <w:rPr>
          <w:spacing w:val="-4"/>
        </w:rPr>
        <w:t>afflicted</w:t>
      </w:r>
      <w:r>
        <w:rPr>
          <w:spacing w:val="-6"/>
        </w:rPr>
        <w:t> </w:t>
      </w:r>
      <w:r>
        <w:rPr>
          <w:spacing w:val="-4"/>
        </w:rPr>
        <w:t>by</w:t>
      </w:r>
      <w:r>
        <w:rPr>
          <w:spacing w:val="-6"/>
        </w:rPr>
        <w:t> </w:t>
      </w:r>
      <w:r>
        <w:rPr>
          <w:spacing w:val="-4"/>
        </w:rPr>
        <w:t>problems</w:t>
      </w:r>
      <w:r>
        <w:rPr>
          <w:spacing w:val="-6"/>
        </w:rPr>
        <w:t> </w:t>
      </w:r>
      <w:r>
        <w:rPr>
          <w:spacing w:val="-4"/>
        </w:rPr>
        <w:t>which </w:t>
      </w:r>
      <w:r>
        <w:rPr/>
        <w:t>are</w:t>
      </w:r>
      <w:r>
        <w:rPr>
          <w:spacing w:val="-9"/>
        </w:rPr>
        <w:t> </w:t>
      </w:r>
      <w:r>
        <w:rPr/>
        <w:t>very</w:t>
      </w:r>
      <w:r>
        <w:rPr>
          <w:spacing w:val="-9"/>
        </w:rPr>
        <w:t> </w:t>
      </w:r>
      <w:r>
        <w:rPr/>
        <w:t>similar</w:t>
      </w:r>
      <w:r>
        <w:rPr>
          <w:spacing w:val="-9"/>
        </w:rPr>
        <w:t> </w:t>
      </w:r>
      <w:r>
        <w:rPr/>
        <w:t>to</w:t>
      </w:r>
      <w:r>
        <w:rPr>
          <w:spacing w:val="-9"/>
        </w:rPr>
        <w:t> </w:t>
      </w:r>
      <w:r>
        <w:rPr/>
        <w:t>those</w:t>
      </w:r>
      <w:r>
        <w:rPr>
          <w:spacing w:val="-9"/>
        </w:rPr>
        <w:t> </w:t>
      </w:r>
      <w:r>
        <w:rPr/>
        <w:t>that</w:t>
      </w:r>
      <w:r>
        <w:rPr>
          <w:spacing w:val="-9"/>
        </w:rPr>
        <w:t> </w:t>
      </w:r>
      <w:r>
        <w:rPr/>
        <w:t>afflict</w:t>
      </w:r>
      <w:r>
        <w:rPr>
          <w:spacing w:val="-9"/>
        </w:rPr>
        <w:t> </w:t>
      </w:r>
      <w:r>
        <w:rPr/>
        <w:t>universities.</w:t>
      </w:r>
    </w:p>
    <w:p>
      <w:pPr>
        <w:pStyle w:val="BodyText"/>
        <w:spacing w:before="20"/>
      </w:pPr>
    </w:p>
    <w:p>
      <w:pPr>
        <w:pStyle w:val="BodyText"/>
        <w:spacing w:line="266" w:lineRule="auto"/>
        <w:ind w:left="319" w:right="1077"/>
        <w:jc w:val="both"/>
      </w:pPr>
      <w:r>
        <w:rPr/>
        <w:t>The most obvious solution is to provide autonomy to colleges,</w:t>
      </w:r>
      <w:r>
        <w:rPr>
          <w:spacing w:val="-10"/>
        </w:rPr>
        <w:t> </w:t>
      </w:r>
      <w:r>
        <w:rPr/>
        <w:t>either</w:t>
      </w:r>
      <w:r>
        <w:rPr>
          <w:spacing w:val="-10"/>
        </w:rPr>
        <w:t> </w:t>
      </w:r>
      <w:r>
        <w:rPr/>
        <w:t>as</w:t>
      </w:r>
      <w:r>
        <w:rPr>
          <w:spacing w:val="-10"/>
        </w:rPr>
        <w:t> </w:t>
      </w:r>
      <w:r>
        <w:rPr/>
        <w:t>individual</w:t>
      </w:r>
      <w:r>
        <w:rPr>
          <w:spacing w:val="-10"/>
        </w:rPr>
        <w:t> </w:t>
      </w:r>
      <w:r>
        <w:rPr/>
        <w:t>colleges</w:t>
      </w:r>
      <w:r>
        <w:rPr>
          <w:spacing w:val="-10"/>
        </w:rPr>
        <w:t> </w:t>
      </w:r>
      <w:r>
        <w:rPr/>
        <w:t>or</w:t>
      </w:r>
      <w:r>
        <w:rPr>
          <w:spacing w:val="-10"/>
        </w:rPr>
        <w:t> </w:t>
      </w:r>
      <w:r>
        <w:rPr/>
        <w:t>as</w:t>
      </w:r>
      <w:r>
        <w:rPr>
          <w:spacing w:val="-10"/>
        </w:rPr>
        <w:t> </w:t>
      </w:r>
      <w:r>
        <w:rPr/>
        <w:t>clusters</w:t>
      </w:r>
      <w:r>
        <w:rPr>
          <w:spacing w:val="-10"/>
        </w:rPr>
        <w:t> </w:t>
      </w:r>
      <w:r>
        <w:rPr/>
        <w:t>of </w:t>
      </w:r>
      <w:r>
        <w:rPr>
          <w:spacing w:val="-2"/>
        </w:rPr>
        <w:t>colleges.</w:t>
      </w:r>
    </w:p>
    <w:p>
      <w:pPr>
        <w:pStyle w:val="BodyText"/>
        <w:spacing w:before="25"/>
      </w:pPr>
    </w:p>
    <w:p>
      <w:pPr>
        <w:pStyle w:val="BodyText"/>
        <w:spacing w:line="266" w:lineRule="auto"/>
        <w:ind w:left="319" w:right="1077"/>
        <w:jc w:val="both"/>
      </w:pPr>
      <w:r>
        <w:rPr>
          <w:b/>
        </w:rPr>
        <w:t>Individual colleges: </w:t>
      </w:r>
      <w:r>
        <w:rPr/>
        <w:t>Colleges with a proven </w:t>
      </w:r>
      <w:r>
        <w:rPr/>
        <w:t>record of academic excellence and efficient administrative functioning</w:t>
      </w:r>
      <w:r>
        <w:rPr>
          <w:spacing w:val="80"/>
        </w:rPr>
        <w:t> </w:t>
      </w:r>
      <w:r>
        <w:rPr/>
        <w:t>can</w:t>
      </w:r>
      <w:r>
        <w:rPr>
          <w:spacing w:val="80"/>
        </w:rPr>
        <w:t> </w:t>
      </w:r>
      <w:r>
        <w:rPr/>
        <w:t>be</w:t>
      </w:r>
      <w:r>
        <w:rPr>
          <w:spacing w:val="80"/>
        </w:rPr>
        <w:t> </w:t>
      </w:r>
      <w:r>
        <w:rPr/>
        <w:t>granted</w:t>
      </w:r>
      <w:r>
        <w:rPr>
          <w:spacing w:val="80"/>
        </w:rPr>
        <w:t> </w:t>
      </w:r>
      <w:r>
        <w:rPr/>
        <w:t>autonomy</w:t>
      </w:r>
      <w:r>
        <w:rPr>
          <w:spacing w:val="80"/>
        </w:rPr>
        <w:t> </w:t>
      </w:r>
      <w:r>
        <w:rPr/>
        <w:t>in</w:t>
      </w:r>
      <w:r>
        <w:rPr>
          <w:spacing w:val="80"/>
        </w:rPr>
        <w:t> </w:t>
      </w:r>
      <w:r>
        <w:rPr/>
        <w:t>terms of academic self-governance. Existing affiliated or constituent colleges should be granted autonomy in </w:t>
      </w:r>
      <w:r>
        <w:rPr>
          <w:w w:val="90"/>
        </w:rPr>
        <w:t>phases after due assessment by professional accreditation bodies. A review of performance of these colleges should </w:t>
      </w:r>
      <w:r>
        <w:rPr>
          <w:spacing w:val="-2"/>
        </w:rPr>
        <w:t>be</w:t>
      </w:r>
      <w:r>
        <w:rPr>
          <w:spacing w:val="-10"/>
        </w:rPr>
        <w:t> </w:t>
      </w:r>
      <w:r>
        <w:rPr>
          <w:spacing w:val="-2"/>
        </w:rPr>
        <w:t>institutionalised</w:t>
      </w:r>
      <w:r>
        <w:rPr>
          <w:spacing w:val="-10"/>
        </w:rPr>
        <w:t> </w:t>
      </w:r>
      <w:r>
        <w:rPr>
          <w:spacing w:val="-2"/>
        </w:rPr>
        <w:t>and</w:t>
      </w:r>
      <w:r>
        <w:rPr>
          <w:spacing w:val="-10"/>
        </w:rPr>
        <w:t> </w:t>
      </w:r>
      <w:r>
        <w:rPr>
          <w:spacing w:val="-2"/>
        </w:rPr>
        <w:t>they</w:t>
      </w:r>
      <w:r>
        <w:rPr>
          <w:spacing w:val="-10"/>
        </w:rPr>
        <w:t> </w:t>
      </w:r>
      <w:r>
        <w:rPr>
          <w:spacing w:val="-2"/>
        </w:rPr>
        <w:t>may</w:t>
      </w:r>
      <w:r>
        <w:rPr>
          <w:spacing w:val="-10"/>
        </w:rPr>
        <w:t> </w:t>
      </w:r>
      <w:r>
        <w:rPr>
          <w:spacing w:val="-2"/>
        </w:rPr>
        <w:t>be</w:t>
      </w:r>
      <w:r>
        <w:rPr>
          <w:spacing w:val="-10"/>
        </w:rPr>
        <w:t> </w:t>
      </w:r>
      <w:r>
        <w:rPr>
          <w:spacing w:val="-2"/>
        </w:rPr>
        <w:t>granted</w:t>
      </w:r>
      <w:r>
        <w:rPr>
          <w:spacing w:val="-10"/>
        </w:rPr>
        <w:t> </w:t>
      </w:r>
      <w:r>
        <w:rPr>
          <w:spacing w:val="-2"/>
        </w:rPr>
        <w:t>university </w:t>
      </w:r>
      <w:r>
        <w:rPr/>
        <w:t>status</w:t>
      </w:r>
      <w:r>
        <w:rPr>
          <w:spacing w:val="9"/>
        </w:rPr>
        <w:t> </w:t>
      </w:r>
      <w:r>
        <w:rPr/>
        <w:t>on</w:t>
      </w:r>
      <w:r>
        <w:rPr>
          <w:spacing w:val="10"/>
        </w:rPr>
        <w:t> </w:t>
      </w:r>
      <w:r>
        <w:rPr/>
        <w:t>the</w:t>
      </w:r>
      <w:r>
        <w:rPr>
          <w:spacing w:val="10"/>
        </w:rPr>
        <w:t> </w:t>
      </w:r>
      <w:r>
        <w:rPr/>
        <w:t>fulfilment</w:t>
      </w:r>
      <w:r>
        <w:rPr>
          <w:spacing w:val="10"/>
        </w:rPr>
        <w:t> </w:t>
      </w:r>
      <w:r>
        <w:rPr/>
        <w:t>of</w:t>
      </w:r>
      <w:r>
        <w:rPr>
          <w:spacing w:val="10"/>
        </w:rPr>
        <w:t> </w:t>
      </w:r>
      <w:r>
        <w:rPr/>
        <w:t>stated</w:t>
      </w:r>
      <w:r>
        <w:rPr>
          <w:spacing w:val="10"/>
        </w:rPr>
        <w:t> </w:t>
      </w:r>
      <w:r>
        <w:rPr/>
        <w:t>criteria</w:t>
      </w:r>
      <w:r>
        <w:rPr>
          <w:spacing w:val="10"/>
        </w:rPr>
        <w:t> </w:t>
      </w:r>
      <w:r>
        <w:rPr/>
        <w:t>of</w:t>
      </w:r>
      <w:r>
        <w:rPr>
          <w:spacing w:val="9"/>
        </w:rPr>
        <w:t> </w:t>
      </w:r>
      <w:r>
        <w:rPr>
          <w:spacing w:val="-5"/>
        </w:rPr>
        <w:t>academic</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79"/>
        <w:jc w:val="both"/>
      </w:pPr>
      <w:r>
        <w:rPr>
          <w:spacing w:val="-4"/>
        </w:rPr>
        <w:t>and</w:t>
      </w:r>
      <w:r>
        <w:rPr>
          <w:spacing w:val="-10"/>
        </w:rPr>
        <w:t> </w:t>
      </w:r>
      <w:r>
        <w:rPr>
          <w:spacing w:val="-4"/>
        </w:rPr>
        <w:t>administrative</w:t>
      </w:r>
      <w:r>
        <w:rPr>
          <w:spacing w:val="-10"/>
        </w:rPr>
        <w:t> </w:t>
      </w:r>
      <w:r>
        <w:rPr>
          <w:spacing w:val="-4"/>
        </w:rPr>
        <w:t>performance.</w:t>
      </w:r>
      <w:r>
        <w:rPr>
          <w:spacing w:val="-10"/>
        </w:rPr>
        <w:t> </w:t>
      </w:r>
      <w:r>
        <w:rPr>
          <w:spacing w:val="-4"/>
        </w:rPr>
        <w:t>The</w:t>
      </w:r>
      <w:r>
        <w:rPr>
          <w:spacing w:val="-9"/>
        </w:rPr>
        <w:t> </w:t>
      </w:r>
      <w:r>
        <w:rPr>
          <w:spacing w:val="-4"/>
        </w:rPr>
        <w:t>college</w:t>
      </w:r>
      <w:r>
        <w:rPr>
          <w:spacing w:val="-10"/>
        </w:rPr>
        <w:t> </w:t>
      </w:r>
      <w:r>
        <w:rPr>
          <w:spacing w:val="-4"/>
        </w:rPr>
        <w:t>authorities </w:t>
      </w:r>
      <w:r>
        <w:rPr/>
        <w:t>should be given financial autonomy with regard to internal allocation of resources. However existing </w:t>
      </w:r>
      <w:r>
        <w:rPr>
          <w:spacing w:val="-4"/>
        </w:rPr>
        <w:t>methods</w:t>
      </w:r>
      <w:r>
        <w:rPr>
          <w:spacing w:val="-5"/>
        </w:rPr>
        <w:t> </w:t>
      </w:r>
      <w:r>
        <w:rPr>
          <w:spacing w:val="-4"/>
        </w:rPr>
        <w:t>of</w:t>
      </w:r>
      <w:r>
        <w:rPr>
          <w:spacing w:val="-5"/>
        </w:rPr>
        <w:t> </w:t>
      </w:r>
      <w:r>
        <w:rPr>
          <w:spacing w:val="-4"/>
        </w:rPr>
        <w:t>financing</w:t>
      </w:r>
      <w:r>
        <w:rPr>
          <w:spacing w:val="-5"/>
        </w:rPr>
        <w:t> </w:t>
      </w:r>
      <w:r>
        <w:rPr>
          <w:spacing w:val="-4"/>
        </w:rPr>
        <w:t>should</w:t>
      </w:r>
      <w:r>
        <w:rPr>
          <w:spacing w:val="-5"/>
        </w:rPr>
        <w:t> </w:t>
      </w:r>
      <w:r>
        <w:rPr>
          <w:spacing w:val="-4"/>
        </w:rPr>
        <w:t>be</w:t>
      </w:r>
      <w:r>
        <w:rPr>
          <w:spacing w:val="-5"/>
        </w:rPr>
        <w:t> </w:t>
      </w:r>
      <w:r>
        <w:rPr>
          <w:spacing w:val="-4"/>
        </w:rPr>
        <w:t>retained.</w:t>
      </w:r>
      <w:r>
        <w:rPr>
          <w:spacing w:val="-5"/>
        </w:rPr>
        <w:t> </w:t>
      </w:r>
      <w:r>
        <w:rPr>
          <w:spacing w:val="-4"/>
        </w:rPr>
        <w:t>In</w:t>
      </w:r>
      <w:r>
        <w:rPr>
          <w:spacing w:val="-5"/>
        </w:rPr>
        <w:t> </w:t>
      </w:r>
      <w:r>
        <w:rPr>
          <w:spacing w:val="-4"/>
        </w:rPr>
        <w:t>operational terms,</w:t>
      </w:r>
      <w:r>
        <w:rPr>
          <w:spacing w:val="-5"/>
        </w:rPr>
        <w:t> </w:t>
      </w:r>
      <w:r>
        <w:rPr>
          <w:spacing w:val="-4"/>
        </w:rPr>
        <w:t>then,</w:t>
      </w:r>
      <w:r>
        <w:rPr>
          <w:spacing w:val="-5"/>
        </w:rPr>
        <w:t> </w:t>
      </w:r>
      <w:r>
        <w:rPr>
          <w:spacing w:val="-4"/>
        </w:rPr>
        <w:t>the</w:t>
      </w:r>
      <w:r>
        <w:rPr>
          <w:spacing w:val="-5"/>
        </w:rPr>
        <w:t> </w:t>
      </w:r>
      <w:r>
        <w:rPr>
          <w:spacing w:val="-4"/>
        </w:rPr>
        <w:t>autonomy</w:t>
      </w:r>
      <w:r>
        <w:rPr>
          <w:spacing w:val="-5"/>
        </w:rPr>
        <w:t> </w:t>
      </w:r>
      <w:r>
        <w:rPr>
          <w:spacing w:val="-4"/>
        </w:rPr>
        <w:t>would</w:t>
      </w:r>
      <w:r>
        <w:rPr>
          <w:spacing w:val="-5"/>
        </w:rPr>
        <w:t> </w:t>
      </w:r>
      <w:r>
        <w:rPr>
          <w:spacing w:val="-4"/>
        </w:rPr>
        <w:t>be</w:t>
      </w:r>
      <w:r>
        <w:rPr>
          <w:spacing w:val="-5"/>
        </w:rPr>
        <w:t> </w:t>
      </w:r>
      <w:r>
        <w:rPr>
          <w:spacing w:val="-4"/>
        </w:rPr>
        <w:t>accorded</w:t>
      </w:r>
      <w:r>
        <w:rPr>
          <w:spacing w:val="-5"/>
        </w:rPr>
        <w:t> </w:t>
      </w:r>
      <w:r>
        <w:rPr>
          <w:spacing w:val="-4"/>
        </w:rPr>
        <w:t>in</w:t>
      </w:r>
      <w:r>
        <w:rPr>
          <w:spacing w:val="-5"/>
        </w:rPr>
        <w:t> </w:t>
      </w:r>
      <w:r>
        <w:rPr>
          <w:spacing w:val="-4"/>
        </w:rPr>
        <w:t>setting </w:t>
      </w:r>
      <w:r>
        <w:rPr/>
        <w:t>of curriculum and evaluation of students.</w:t>
      </w:r>
    </w:p>
    <w:p>
      <w:pPr>
        <w:pStyle w:val="BodyText"/>
        <w:spacing w:before="22"/>
      </w:pPr>
    </w:p>
    <w:p>
      <w:pPr>
        <w:pStyle w:val="BodyText"/>
        <w:spacing w:line="266" w:lineRule="auto"/>
        <w:ind w:left="1079"/>
        <w:jc w:val="both"/>
      </w:pPr>
      <w:r>
        <w:rPr>
          <w:b/>
          <w:spacing w:val="-6"/>
        </w:rPr>
        <w:t>College clusters: </w:t>
      </w:r>
      <w:r>
        <w:rPr>
          <w:spacing w:val="-6"/>
        </w:rPr>
        <w:t>Autonomy can be provided to </w:t>
      </w:r>
      <w:r>
        <w:rPr>
          <w:spacing w:val="-6"/>
        </w:rPr>
        <w:t>clusters </w:t>
      </w:r>
      <w:r>
        <w:rPr>
          <w:w w:val="90"/>
        </w:rPr>
        <w:t>of colleges, selected on the basis of criteria such as similar </w:t>
      </w:r>
      <w:r>
        <w:rPr/>
        <w:t>standards or geographical proximity. These colleges could then form a group, complementing each other, </w:t>
      </w:r>
      <w:r>
        <w:rPr>
          <w:spacing w:val="-2"/>
        </w:rPr>
        <w:t>offering</w:t>
      </w:r>
      <w:r>
        <w:rPr>
          <w:spacing w:val="-10"/>
        </w:rPr>
        <w:t> </w:t>
      </w:r>
      <w:r>
        <w:rPr>
          <w:spacing w:val="-2"/>
        </w:rPr>
        <w:t>different</w:t>
      </w:r>
      <w:r>
        <w:rPr>
          <w:spacing w:val="-10"/>
        </w:rPr>
        <w:t> </w:t>
      </w:r>
      <w:r>
        <w:rPr>
          <w:spacing w:val="-2"/>
        </w:rPr>
        <w:t>courses</w:t>
      </w:r>
      <w:r>
        <w:rPr>
          <w:spacing w:val="-10"/>
        </w:rPr>
        <w:t> </w:t>
      </w:r>
      <w:r>
        <w:rPr>
          <w:spacing w:val="-2"/>
        </w:rPr>
        <w:t>between</w:t>
      </w:r>
      <w:r>
        <w:rPr>
          <w:spacing w:val="-10"/>
        </w:rPr>
        <w:t> </w:t>
      </w:r>
      <w:r>
        <w:rPr>
          <w:spacing w:val="-2"/>
        </w:rPr>
        <w:t>them.</w:t>
      </w:r>
      <w:r>
        <w:rPr>
          <w:spacing w:val="-10"/>
        </w:rPr>
        <w:t> </w:t>
      </w:r>
      <w:r>
        <w:rPr>
          <w:spacing w:val="-2"/>
        </w:rPr>
        <w:t>In</w:t>
      </w:r>
      <w:r>
        <w:rPr>
          <w:spacing w:val="-10"/>
        </w:rPr>
        <w:t> </w:t>
      </w:r>
      <w:r>
        <w:rPr>
          <w:spacing w:val="-2"/>
        </w:rPr>
        <w:t>time,</w:t>
      </w:r>
      <w:r>
        <w:rPr>
          <w:spacing w:val="-10"/>
        </w:rPr>
        <w:t> </w:t>
      </w:r>
      <w:r>
        <w:rPr>
          <w:spacing w:val="-2"/>
        </w:rPr>
        <w:t>these clusters</w:t>
      </w:r>
      <w:r>
        <w:rPr>
          <w:spacing w:val="-8"/>
        </w:rPr>
        <w:t> </w:t>
      </w:r>
      <w:r>
        <w:rPr>
          <w:spacing w:val="-2"/>
        </w:rPr>
        <w:t>could</w:t>
      </w:r>
      <w:r>
        <w:rPr>
          <w:spacing w:val="-7"/>
        </w:rPr>
        <w:t> </w:t>
      </w:r>
      <w:r>
        <w:rPr>
          <w:spacing w:val="-2"/>
        </w:rPr>
        <w:t>be</w:t>
      </w:r>
      <w:r>
        <w:rPr>
          <w:spacing w:val="-7"/>
        </w:rPr>
        <w:t> </w:t>
      </w:r>
      <w:r>
        <w:rPr>
          <w:spacing w:val="-2"/>
        </w:rPr>
        <w:t>upgraded</w:t>
      </w:r>
      <w:r>
        <w:rPr>
          <w:spacing w:val="-7"/>
        </w:rPr>
        <w:t> </w:t>
      </w:r>
      <w:r>
        <w:rPr>
          <w:spacing w:val="-2"/>
        </w:rPr>
        <w:t>to</w:t>
      </w:r>
      <w:r>
        <w:rPr>
          <w:spacing w:val="-7"/>
        </w:rPr>
        <w:t> </w:t>
      </w:r>
      <w:r>
        <w:rPr>
          <w:spacing w:val="-2"/>
        </w:rPr>
        <w:t>universities.</w:t>
      </w:r>
      <w:r>
        <w:rPr>
          <w:spacing w:val="-12"/>
        </w:rPr>
        <w:t> </w:t>
      </w:r>
      <w:r>
        <w:rPr>
          <w:spacing w:val="-2"/>
        </w:rPr>
        <w:t>The</w:t>
      </w:r>
      <w:r>
        <w:rPr>
          <w:spacing w:val="-7"/>
        </w:rPr>
        <w:t> </w:t>
      </w:r>
      <w:r>
        <w:rPr>
          <w:spacing w:val="-2"/>
        </w:rPr>
        <w:t>course- credit</w:t>
      </w:r>
      <w:r>
        <w:rPr>
          <w:spacing w:val="-12"/>
        </w:rPr>
        <w:t> </w:t>
      </w:r>
      <w:r>
        <w:rPr>
          <w:spacing w:val="-2"/>
        </w:rPr>
        <w:t>system</w:t>
      </w:r>
      <w:r>
        <w:rPr>
          <w:spacing w:val="-12"/>
        </w:rPr>
        <w:t> </w:t>
      </w:r>
      <w:r>
        <w:rPr>
          <w:spacing w:val="-2"/>
        </w:rPr>
        <w:t>can</w:t>
      </w:r>
      <w:r>
        <w:rPr>
          <w:spacing w:val="-12"/>
        </w:rPr>
        <w:t> </w:t>
      </w:r>
      <w:r>
        <w:rPr>
          <w:spacing w:val="-2"/>
        </w:rPr>
        <w:t>be</w:t>
      </w:r>
      <w:r>
        <w:rPr>
          <w:spacing w:val="-11"/>
        </w:rPr>
        <w:t> </w:t>
      </w:r>
      <w:r>
        <w:rPr>
          <w:spacing w:val="-2"/>
        </w:rPr>
        <w:t>implemented</w:t>
      </w:r>
      <w:r>
        <w:rPr>
          <w:spacing w:val="-12"/>
        </w:rPr>
        <w:t> </w:t>
      </w:r>
      <w:r>
        <w:rPr>
          <w:spacing w:val="-2"/>
        </w:rPr>
        <w:t>in</w:t>
      </w:r>
      <w:r>
        <w:rPr>
          <w:spacing w:val="-12"/>
        </w:rPr>
        <w:t> </w:t>
      </w:r>
      <w:r>
        <w:rPr>
          <w:spacing w:val="-2"/>
        </w:rPr>
        <w:t>these</w:t>
      </w:r>
      <w:r>
        <w:rPr>
          <w:spacing w:val="-12"/>
        </w:rPr>
        <w:t> </w:t>
      </w:r>
      <w:r>
        <w:rPr>
          <w:spacing w:val="-2"/>
        </w:rPr>
        <w:t>autonomous </w:t>
      </w:r>
      <w:r>
        <w:rPr>
          <w:spacing w:val="-6"/>
        </w:rPr>
        <w:t>clusters,</w:t>
      </w:r>
      <w:r>
        <w:rPr>
          <w:spacing w:val="-8"/>
        </w:rPr>
        <w:t> </w:t>
      </w:r>
      <w:r>
        <w:rPr>
          <w:spacing w:val="-6"/>
        </w:rPr>
        <w:t>whereby</w:t>
      </w:r>
      <w:r>
        <w:rPr>
          <w:spacing w:val="-8"/>
        </w:rPr>
        <w:t> </w:t>
      </w:r>
      <w:r>
        <w:rPr>
          <w:spacing w:val="-6"/>
        </w:rPr>
        <w:t>different</w:t>
      </w:r>
      <w:r>
        <w:rPr>
          <w:spacing w:val="-8"/>
        </w:rPr>
        <w:t> </w:t>
      </w:r>
      <w:r>
        <w:rPr>
          <w:spacing w:val="-6"/>
        </w:rPr>
        <w:t>colleges</w:t>
      </w:r>
      <w:r>
        <w:rPr>
          <w:spacing w:val="-7"/>
        </w:rPr>
        <w:t> </w:t>
      </w:r>
      <w:r>
        <w:rPr>
          <w:spacing w:val="-6"/>
        </w:rPr>
        <w:t>offer</w:t>
      </w:r>
      <w:r>
        <w:rPr>
          <w:spacing w:val="-8"/>
        </w:rPr>
        <w:t> </w:t>
      </w:r>
      <w:r>
        <w:rPr>
          <w:spacing w:val="-6"/>
        </w:rPr>
        <w:t>semester-based </w:t>
      </w:r>
      <w:r>
        <w:rPr>
          <w:spacing w:val="-4"/>
        </w:rPr>
        <w:t>courses</w:t>
      </w:r>
      <w:r>
        <w:rPr>
          <w:spacing w:val="-10"/>
        </w:rPr>
        <w:t> </w:t>
      </w:r>
      <w:r>
        <w:rPr>
          <w:spacing w:val="-4"/>
        </w:rPr>
        <w:t>on</w:t>
      </w:r>
      <w:r>
        <w:rPr>
          <w:spacing w:val="-10"/>
        </w:rPr>
        <w:t> </w:t>
      </w:r>
      <w:r>
        <w:rPr>
          <w:spacing w:val="-4"/>
        </w:rPr>
        <w:t>a</w:t>
      </w:r>
      <w:r>
        <w:rPr>
          <w:spacing w:val="-10"/>
        </w:rPr>
        <w:t> </w:t>
      </w:r>
      <w:r>
        <w:rPr>
          <w:spacing w:val="-4"/>
        </w:rPr>
        <w:t>credit</w:t>
      </w:r>
      <w:r>
        <w:rPr>
          <w:spacing w:val="-9"/>
        </w:rPr>
        <w:t> </w:t>
      </w:r>
      <w:r>
        <w:rPr>
          <w:spacing w:val="-4"/>
        </w:rPr>
        <w:t>system</w:t>
      </w:r>
      <w:r>
        <w:rPr>
          <w:spacing w:val="-10"/>
        </w:rPr>
        <w:t> </w:t>
      </w:r>
      <w:r>
        <w:rPr>
          <w:spacing w:val="-4"/>
        </w:rPr>
        <w:t>and</w:t>
      </w:r>
      <w:r>
        <w:rPr>
          <w:spacing w:val="-10"/>
        </w:rPr>
        <w:t> </w:t>
      </w:r>
      <w:r>
        <w:rPr>
          <w:spacing w:val="-4"/>
        </w:rPr>
        <w:t>credits</w:t>
      </w:r>
      <w:r>
        <w:rPr>
          <w:spacing w:val="-10"/>
        </w:rPr>
        <w:t> </w:t>
      </w:r>
      <w:r>
        <w:rPr>
          <w:spacing w:val="-4"/>
        </w:rPr>
        <w:t>can</w:t>
      </w:r>
      <w:r>
        <w:rPr>
          <w:spacing w:val="-9"/>
        </w:rPr>
        <w:t> </w:t>
      </w:r>
      <w:r>
        <w:rPr>
          <w:spacing w:val="-4"/>
        </w:rPr>
        <w:t>be</w:t>
      </w:r>
      <w:r>
        <w:rPr>
          <w:spacing w:val="-10"/>
        </w:rPr>
        <w:t> </w:t>
      </w:r>
      <w:r>
        <w:rPr>
          <w:spacing w:val="-4"/>
        </w:rPr>
        <w:t>transferred </w:t>
      </w:r>
      <w:r>
        <w:rPr/>
        <w:t>across colleges. A mechanism for the administration of courses across colleges and for the resolution of </w:t>
      </w:r>
      <w:r>
        <w:rPr>
          <w:spacing w:val="-2"/>
        </w:rPr>
        <w:t>problems</w:t>
      </w:r>
      <w:r>
        <w:rPr>
          <w:spacing w:val="-12"/>
        </w:rPr>
        <w:t> </w:t>
      </w:r>
      <w:r>
        <w:rPr>
          <w:spacing w:val="-2"/>
        </w:rPr>
        <w:t>should</w:t>
      </w:r>
      <w:r>
        <w:rPr>
          <w:spacing w:val="-12"/>
        </w:rPr>
        <w:t> </w:t>
      </w:r>
      <w:r>
        <w:rPr>
          <w:spacing w:val="-2"/>
        </w:rPr>
        <w:t>be</w:t>
      </w:r>
      <w:r>
        <w:rPr>
          <w:spacing w:val="-12"/>
        </w:rPr>
        <w:t> </w:t>
      </w:r>
      <w:r>
        <w:rPr>
          <w:spacing w:val="-2"/>
        </w:rPr>
        <w:t>institutionalised</w:t>
      </w:r>
      <w:r>
        <w:rPr>
          <w:spacing w:val="-11"/>
        </w:rPr>
        <w:t> </w:t>
      </w:r>
      <w:r>
        <w:rPr>
          <w:spacing w:val="-2"/>
        </w:rPr>
        <w:t>with</w:t>
      </w:r>
      <w:r>
        <w:rPr>
          <w:spacing w:val="-12"/>
        </w:rPr>
        <w:t> </w:t>
      </w:r>
      <w:r>
        <w:rPr>
          <w:spacing w:val="-2"/>
        </w:rPr>
        <w:t>provision</w:t>
      </w:r>
      <w:r>
        <w:rPr>
          <w:spacing w:val="-12"/>
        </w:rPr>
        <w:t> </w:t>
      </w:r>
      <w:r>
        <w:rPr>
          <w:spacing w:val="-2"/>
        </w:rPr>
        <w:t>for </w:t>
      </w:r>
      <w:r>
        <w:rPr/>
        <w:t>representation in committees.</w:t>
      </w:r>
    </w:p>
    <w:p>
      <w:pPr>
        <w:pStyle w:val="BodyText"/>
        <w:spacing w:before="17"/>
      </w:pPr>
    </w:p>
    <w:p>
      <w:pPr>
        <w:pStyle w:val="BodyText"/>
        <w:spacing w:line="266" w:lineRule="auto"/>
        <w:ind w:left="1079"/>
        <w:jc w:val="both"/>
      </w:pPr>
      <w:r>
        <w:rPr>
          <w:spacing w:val="-8"/>
        </w:rPr>
        <w:t>Such</w:t>
      </w:r>
      <w:r>
        <w:rPr/>
        <w:t> </w:t>
      </w:r>
      <w:r>
        <w:rPr>
          <w:spacing w:val="-8"/>
        </w:rPr>
        <w:t>autonomous</w:t>
      </w:r>
      <w:r>
        <w:rPr/>
        <w:t> </w:t>
      </w:r>
      <w:r>
        <w:rPr>
          <w:spacing w:val="-8"/>
        </w:rPr>
        <w:t>colleges,</w:t>
      </w:r>
      <w:r>
        <w:rPr/>
        <w:t> </w:t>
      </w:r>
      <w:r>
        <w:rPr>
          <w:spacing w:val="-8"/>
        </w:rPr>
        <w:t>or</w:t>
      </w:r>
      <w:r>
        <w:rPr/>
        <w:t> </w:t>
      </w:r>
      <w:r>
        <w:rPr>
          <w:spacing w:val="-8"/>
        </w:rPr>
        <w:t>clusters</w:t>
      </w:r>
      <w:r>
        <w:rPr/>
        <w:t> </w:t>
      </w:r>
      <w:r>
        <w:rPr>
          <w:spacing w:val="-8"/>
        </w:rPr>
        <w:t>of</w:t>
      </w:r>
      <w:r>
        <w:rPr/>
        <w:t> </w:t>
      </w:r>
      <w:r>
        <w:rPr>
          <w:spacing w:val="-8"/>
        </w:rPr>
        <w:t>colleges,</w:t>
      </w:r>
      <w:r>
        <w:rPr/>
        <w:t> </w:t>
      </w:r>
      <w:r>
        <w:rPr>
          <w:spacing w:val="-8"/>
        </w:rPr>
        <w:t>would </w:t>
      </w:r>
      <w:r>
        <w:rPr/>
        <w:t>constitute a part of the 1500 universities we propose nationwide</w:t>
      </w:r>
      <w:r>
        <w:rPr>
          <w:spacing w:val="-2"/>
        </w:rPr>
        <w:t> </w:t>
      </w:r>
      <w:r>
        <w:rPr/>
        <w:t>by</w:t>
      </w:r>
      <w:r>
        <w:rPr>
          <w:spacing w:val="-2"/>
        </w:rPr>
        <w:t> </w:t>
      </w:r>
      <w:r>
        <w:rPr/>
        <w:t>2015.</w:t>
      </w:r>
      <w:r>
        <w:rPr>
          <w:spacing w:val="-2"/>
        </w:rPr>
        <w:t> </w:t>
      </w:r>
      <w:r>
        <w:rPr/>
        <w:t>It</w:t>
      </w:r>
      <w:r>
        <w:rPr>
          <w:spacing w:val="-2"/>
        </w:rPr>
        <w:t> </w:t>
      </w:r>
      <w:r>
        <w:rPr/>
        <w:t>must</w:t>
      </w:r>
      <w:r>
        <w:rPr>
          <w:spacing w:val="-2"/>
        </w:rPr>
        <w:t> </w:t>
      </w:r>
      <w:r>
        <w:rPr/>
        <w:t>be</w:t>
      </w:r>
      <w:r>
        <w:rPr>
          <w:spacing w:val="-2"/>
        </w:rPr>
        <w:t> </w:t>
      </w:r>
      <w:r>
        <w:rPr/>
        <w:t>recognised,</w:t>
      </w:r>
      <w:r>
        <w:rPr>
          <w:spacing w:val="-2"/>
        </w:rPr>
        <w:t> </w:t>
      </w:r>
      <w:r>
        <w:rPr/>
        <w:t>however, that this is, at best, a limited solution. There are two discernible problems.</w:t>
      </w:r>
    </w:p>
    <w:p>
      <w:pPr>
        <w:pStyle w:val="BodyText"/>
        <w:spacing w:before="23"/>
      </w:pPr>
    </w:p>
    <w:p>
      <w:pPr>
        <w:pStyle w:val="BodyText"/>
        <w:spacing w:line="266" w:lineRule="auto"/>
        <w:ind w:left="1079"/>
        <w:jc w:val="both"/>
      </w:pPr>
      <w:r>
        <w:rPr>
          <w:w w:val="90"/>
        </w:rPr>
        <w:t>The first problem with the model of autonomous </w:t>
      </w:r>
      <w:r>
        <w:rPr>
          <w:w w:val="90"/>
        </w:rPr>
        <w:t>colleges </w:t>
      </w:r>
      <w:r>
        <w:rPr/>
        <w:t>is</w:t>
      </w:r>
      <w:r>
        <w:rPr>
          <w:spacing w:val="-13"/>
        </w:rPr>
        <w:t> </w:t>
      </w:r>
      <w:r>
        <w:rPr/>
        <w:t>the</w:t>
      </w:r>
      <w:r>
        <w:rPr>
          <w:spacing w:val="-13"/>
        </w:rPr>
        <w:t> </w:t>
      </w:r>
      <w:r>
        <w:rPr/>
        <w:t>principal-agent</w:t>
      </w:r>
      <w:r>
        <w:rPr>
          <w:spacing w:val="-13"/>
        </w:rPr>
        <w:t> </w:t>
      </w:r>
      <w:r>
        <w:rPr/>
        <w:t>problem</w:t>
      </w:r>
      <w:r>
        <w:rPr>
          <w:spacing w:val="-13"/>
        </w:rPr>
        <w:t> </w:t>
      </w:r>
      <w:r>
        <w:rPr/>
        <w:t>of</w:t>
      </w:r>
      <w:r>
        <w:rPr>
          <w:spacing w:val="-13"/>
        </w:rPr>
        <w:t> </w:t>
      </w:r>
      <w:r>
        <w:rPr/>
        <w:t>providing</w:t>
      </w:r>
      <w:r>
        <w:rPr>
          <w:spacing w:val="-13"/>
        </w:rPr>
        <w:t> </w:t>
      </w:r>
      <w:r>
        <w:rPr/>
        <w:t>autonomy as an option. It becomes necessary to distinguish </w:t>
      </w:r>
      <w:r>
        <w:rPr>
          <w:spacing w:val="-6"/>
        </w:rPr>
        <w:t>between the motivations and the capabilities of colleges. </w:t>
      </w:r>
      <w:r>
        <w:rPr/>
        <w:t>We need to make a distinction between colleges that </w:t>
      </w:r>
      <w:r>
        <w:rPr>
          <w:spacing w:val="-2"/>
        </w:rPr>
        <w:t>wish</w:t>
      </w:r>
      <w:r>
        <w:rPr>
          <w:spacing w:val="-11"/>
        </w:rPr>
        <w:t> </w:t>
      </w:r>
      <w:r>
        <w:rPr>
          <w:spacing w:val="-2"/>
        </w:rPr>
        <w:t>to</w:t>
      </w:r>
      <w:r>
        <w:rPr>
          <w:spacing w:val="-11"/>
        </w:rPr>
        <w:t> </w:t>
      </w:r>
      <w:r>
        <w:rPr>
          <w:spacing w:val="-2"/>
        </w:rPr>
        <w:t>become</w:t>
      </w:r>
      <w:r>
        <w:rPr>
          <w:spacing w:val="-11"/>
        </w:rPr>
        <w:t> </w:t>
      </w:r>
      <w:r>
        <w:rPr>
          <w:spacing w:val="-2"/>
        </w:rPr>
        <w:t>autonomous</w:t>
      </w:r>
      <w:r>
        <w:rPr>
          <w:spacing w:val="-11"/>
        </w:rPr>
        <w:t> </w:t>
      </w:r>
      <w:r>
        <w:rPr>
          <w:spacing w:val="-2"/>
        </w:rPr>
        <w:t>but</w:t>
      </w:r>
      <w:r>
        <w:rPr>
          <w:spacing w:val="-11"/>
        </w:rPr>
        <w:t> </w:t>
      </w:r>
      <w:r>
        <w:rPr>
          <w:spacing w:val="-2"/>
        </w:rPr>
        <w:t>do</w:t>
      </w:r>
      <w:r>
        <w:rPr>
          <w:spacing w:val="-11"/>
        </w:rPr>
        <w:t> </w:t>
      </w:r>
      <w:r>
        <w:rPr>
          <w:spacing w:val="-2"/>
        </w:rPr>
        <w:t>not</w:t>
      </w:r>
      <w:r>
        <w:rPr>
          <w:spacing w:val="-11"/>
        </w:rPr>
        <w:t> </w:t>
      </w:r>
      <w:r>
        <w:rPr>
          <w:spacing w:val="-2"/>
        </w:rPr>
        <w:t>deserve</w:t>
      </w:r>
      <w:r>
        <w:rPr>
          <w:spacing w:val="-11"/>
        </w:rPr>
        <w:t> </w:t>
      </w:r>
      <w:r>
        <w:rPr>
          <w:spacing w:val="-2"/>
        </w:rPr>
        <w:t>to,</w:t>
      </w:r>
      <w:r>
        <w:rPr>
          <w:spacing w:val="-11"/>
        </w:rPr>
        <w:t> </w:t>
      </w:r>
      <w:r>
        <w:rPr>
          <w:spacing w:val="-2"/>
        </w:rPr>
        <w:t>and </w:t>
      </w:r>
      <w:r>
        <w:rPr/>
        <w:t>colleges that have the capabilities to be autonomous but</w:t>
      </w:r>
      <w:r>
        <w:rPr>
          <w:spacing w:val="-10"/>
        </w:rPr>
        <w:t> </w:t>
      </w:r>
      <w:r>
        <w:rPr/>
        <w:t>do</w:t>
      </w:r>
      <w:r>
        <w:rPr>
          <w:spacing w:val="-10"/>
        </w:rPr>
        <w:t> </w:t>
      </w:r>
      <w:r>
        <w:rPr/>
        <w:t>not</w:t>
      </w:r>
      <w:r>
        <w:rPr>
          <w:spacing w:val="-10"/>
        </w:rPr>
        <w:t> </w:t>
      </w:r>
      <w:r>
        <w:rPr/>
        <w:t>wish</w:t>
      </w:r>
      <w:r>
        <w:rPr>
          <w:spacing w:val="-10"/>
        </w:rPr>
        <w:t> </w:t>
      </w:r>
      <w:r>
        <w:rPr/>
        <w:t>to</w:t>
      </w:r>
      <w:r>
        <w:rPr>
          <w:spacing w:val="-10"/>
        </w:rPr>
        <w:t> </w:t>
      </w:r>
      <w:r>
        <w:rPr/>
        <w:t>opt</w:t>
      </w:r>
      <w:r>
        <w:rPr>
          <w:spacing w:val="-10"/>
        </w:rPr>
        <w:t> </w:t>
      </w:r>
      <w:r>
        <w:rPr/>
        <w:t>for</w:t>
      </w:r>
      <w:r>
        <w:rPr>
          <w:spacing w:val="-10"/>
        </w:rPr>
        <w:t> </w:t>
      </w:r>
      <w:r>
        <w:rPr/>
        <w:t>autonomy.</w:t>
      </w:r>
      <w:r>
        <w:rPr>
          <w:spacing w:val="-10"/>
        </w:rPr>
        <w:t> </w:t>
      </w:r>
      <w:r>
        <w:rPr/>
        <w:t>For</w:t>
      </w:r>
      <w:r>
        <w:rPr>
          <w:spacing w:val="-10"/>
        </w:rPr>
        <w:t> </w:t>
      </w:r>
      <w:r>
        <w:rPr/>
        <w:t>colleges</w:t>
      </w:r>
      <w:r>
        <w:rPr>
          <w:spacing w:val="-10"/>
        </w:rPr>
        <w:t> </w:t>
      </w:r>
      <w:r>
        <w:rPr/>
        <w:t>that wish</w:t>
      </w:r>
      <w:r>
        <w:rPr>
          <w:spacing w:val="-3"/>
        </w:rPr>
        <w:t> </w:t>
      </w:r>
      <w:r>
        <w:rPr/>
        <w:t>to</w:t>
      </w:r>
      <w:r>
        <w:rPr>
          <w:spacing w:val="-3"/>
        </w:rPr>
        <w:t> </w:t>
      </w:r>
      <w:r>
        <w:rPr/>
        <w:t>become</w:t>
      </w:r>
      <w:r>
        <w:rPr>
          <w:spacing w:val="-3"/>
        </w:rPr>
        <w:t> </w:t>
      </w:r>
      <w:r>
        <w:rPr/>
        <w:t>autonomous</w:t>
      </w:r>
      <w:r>
        <w:rPr>
          <w:spacing w:val="-3"/>
        </w:rPr>
        <w:t> </w:t>
      </w:r>
      <w:r>
        <w:rPr/>
        <w:t>but</w:t>
      </w:r>
      <w:r>
        <w:rPr>
          <w:spacing w:val="-3"/>
        </w:rPr>
        <w:t> </w:t>
      </w:r>
      <w:r>
        <w:rPr/>
        <w:t>may</w:t>
      </w:r>
      <w:r>
        <w:rPr>
          <w:spacing w:val="-3"/>
        </w:rPr>
        <w:t> </w:t>
      </w:r>
      <w:r>
        <w:rPr/>
        <w:t>not</w:t>
      </w:r>
      <w:r>
        <w:rPr>
          <w:spacing w:val="-3"/>
        </w:rPr>
        <w:t> </w:t>
      </w:r>
      <w:r>
        <w:rPr/>
        <w:t>be</w:t>
      </w:r>
      <w:r>
        <w:rPr>
          <w:spacing w:val="-3"/>
        </w:rPr>
        <w:t> </w:t>
      </w:r>
      <w:r>
        <w:rPr/>
        <w:t>suitable, clear cut criteria should be put in place as a filtering mechanism</w:t>
      </w:r>
      <w:r>
        <w:rPr>
          <w:spacing w:val="-14"/>
        </w:rPr>
        <w:t> </w:t>
      </w:r>
      <w:r>
        <w:rPr/>
        <w:t>for</w:t>
      </w:r>
      <w:r>
        <w:rPr>
          <w:spacing w:val="-14"/>
        </w:rPr>
        <w:t> </w:t>
      </w:r>
      <w:r>
        <w:rPr/>
        <w:t>colleges</w:t>
      </w:r>
      <w:r>
        <w:rPr>
          <w:spacing w:val="-14"/>
        </w:rPr>
        <w:t> </w:t>
      </w:r>
      <w:r>
        <w:rPr/>
        <w:t>wishing</w:t>
      </w:r>
      <w:r>
        <w:rPr>
          <w:spacing w:val="-13"/>
        </w:rPr>
        <w:t> </w:t>
      </w:r>
      <w:r>
        <w:rPr/>
        <w:t>to</w:t>
      </w:r>
      <w:r>
        <w:rPr>
          <w:spacing w:val="-14"/>
        </w:rPr>
        <w:t> </w:t>
      </w:r>
      <w:r>
        <w:rPr/>
        <w:t>attain</w:t>
      </w:r>
      <w:r>
        <w:rPr>
          <w:spacing w:val="-14"/>
        </w:rPr>
        <w:t> </w:t>
      </w:r>
      <w:r>
        <w:rPr/>
        <w:t>autonomous status: critical number of faculty and disciplines, governance,</w:t>
      </w:r>
      <w:r>
        <w:rPr>
          <w:spacing w:val="-5"/>
        </w:rPr>
        <w:t> </w:t>
      </w:r>
      <w:r>
        <w:rPr/>
        <w:t>track</w:t>
      </w:r>
      <w:r>
        <w:rPr>
          <w:spacing w:val="-5"/>
        </w:rPr>
        <w:t> </w:t>
      </w:r>
      <w:r>
        <w:rPr/>
        <w:t>record</w:t>
      </w:r>
      <w:r>
        <w:rPr>
          <w:spacing w:val="-5"/>
        </w:rPr>
        <w:t> </w:t>
      </w:r>
      <w:r>
        <w:rPr/>
        <w:t>in</w:t>
      </w:r>
      <w:r>
        <w:rPr>
          <w:spacing w:val="-5"/>
        </w:rPr>
        <w:t> </w:t>
      </w:r>
      <w:r>
        <w:rPr/>
        <w:t>terms</w:t>
      </w:r>
      <w:r>
        <w:rPr>
          <w:spacing w:val="-5"/>
        </w:rPr>
        <w:t> </w:t>
      </w:r>
      <w:r>
        <w:rPr/>
        <w:t>of</w:t>
      </w:r>
      <w:r>
        <w:rPr>
          <w:spacing w:val="-5"/>
        </w:rPr>
        <w:t> </w:t>
      </w:r>
      <w:r>
        <w:rPr/>
        <w:t>students,</w:t>
      </w:r>
      <w:r>
        <w:rPr>
          <w:spacing w:val="-5"/>
        </w:rPr>
        <w:t> </w:t>
      </w:r>
      <w:r>
        <w:rPr/>
        <w:t>faculty and research, administrative competence measured by utilisation of grants, regularity of audits, office resources</w:t>
      </w:r>
      <w:r>
        <w:rPr>
          <w:spacing w:val="40"/>
        </w:rPr>
        <w:t> </w:t>
      </w:r>
      <w:r>
        <w:rPr/>
        <w:t>and</w:t>
      </w:r>
      <w:r>
        <w:rPr>
          <w:spacing w:val="40"/>
        </w:rPr>
        <w:t> </w:t>
      </w:r>
      <w:r>
        <w:rPr/>
        <w:t>account</w:t>
      </w:r>
      <w:r>
        <w:rPr>
          <w:spacing w:val="40"/>
        </w:rPr>
        <w:t> </w:t>
      </w:r>
      <w:r>
        <w:rPr/>
        <w:t>maintenance,</w:t>
      </w:r>
      <w:r>
        <w:rPr>
          <w:spacing w:val="40"/>
        </w:rPr>
        <w:t> </w:t>
      </w:r>
      <w:r>
        <w:rPr/>
        <w:t>contribution</w:t>
      </w:r>
      <w:r>
        <w:rPr>
          <w:spacing w:val="80"/>
        </w:rPr>
        <w:t> </w:t>
      </w:r>
      <w:r>
        <w:rPr/>
        <w:t>to university processes, infrastructural facilities and ratings, if available, by accreditation agencies. For colleges</w:t>
      </w:r>
      <w:r>
        <w:rPr>
          <w:spacing w:val="-14"/>
        </w:rPr>
        <w:t> </w:t>
      </w:r>
      <w:r>
        <w:rPr/>
        <w:t>that</w:t>
      </w:r>
      <w:r>
        <w:rPr>
          <w:spacing w:val="-14"/>
        </w:rPr>
        <w:t> </w:t>
      </w:r>
      <w:r>
        <w:rPr/>
        <w:t>can</w:t>
      </w:r>
      <w:r>
        <w:rPr>
          <w:spacing w:val="-14"/>
        </w:rPr>
        <w:t> </w:t>
      </w:r>
      <w:r>
        <w:rPr/>
        <w:t>be</w:t>
      </w:r>
      <w:r>
        <w:rPr>
          <w:spacing w:val="-13"/>
        </w:rPr>
        <w:t> </w:t>
      </w:r>
      <w:r>
        <w:rPr/>
        <w:t>autonomous</w:t>
      </w:r>
      <w:r>
        <w:rPr>
          <w:spacing w:val="-14"/>
        </w:rPr>
        <w:t> </w:t>
      </w:r>
      <w:r>
        <w:rPr/>
        <w:t>but</w:t>
      </w:r>
      <w:r>
        <w:rPr>
          <w:spacing w:val="-14"/>
        </w:rPr>
        <w:t> </w:t>
      </w:r>
      <w:r>
        <w:rPr/>
        <w:t>do</w:t>
      </w:r>
      <w:r>
        <w:rPr>
          <w:spacing w:val="-14"/>
        </w:rPr>
        <w:t> </w:t>
      </w:r>
      <w:r>
        <w:rPr/>
        <w:t>not</w:t>
      </w:r>
      <w:r>
        <w:rPr>
          <w:spacing w:val="-13"/>
        </w:rPr>
        <w:t> </w:t>
      </w:r>
      <w:r>
        <w:rPr/>
        <w:t>wish</w:t>
      </w:r>
      <w:r>
        <w:rPr>
          <w:spacing w:val="-14"/>
        </w:rPr>
        <w:t> </w:t>
      </w:r>
      <w:r>
        <w:rPr/>
        <w:t>to</w:t>
      </w:r>
      <w:r>
        <w:rPr>
          <w:spacing w:val="-14"/>
        </w:rPr>
        <w:t> </w:t>
      </w:r>
      <w:r>
        <w:rPr/>
        <w:t>be, appropriate</w:t>
      </w:r>
      <w:r>
        <w:rPr>
          <w:spacing w:val="-14"/>
        </w:rPr>
        <w:t> </w:t>
      </w:r>
      <w:r>
        <w:rPr/>
        <w:t>incentives</w:t>
      </w:r>
      <w:r>
        <w:rPr>
          <w:spacing w:val="-13"/>
        </w:rPr>
        <w:t> </w:t>
      </w:r>
      <w:r>
        <w:rPr/>
        <w:t>have</w:t>
      </w:r>
      <w:r>
        <w:rPr>
          <w:spacing w:val="-14"/>
        </w:rPr>
        <w:t> </w:t>
      </w:r>
      <w:r>
        <w:rPr/>
        <w:t>to</w:t>
      </w:r>
      <w:r>
        <w:rPr>
          <w:spacing w:val="-13"/>
        </w:rPr>
        <w:t> </w:t>
      </w:r>
      <w:r>
        <w:rPr/>
        <w:t>be</w:t>
      </w:r>
      <w:r>
        <w:rPr>
          <w:spacing w:val="-14"/>
        </w:rPr>
        <w:t> </w:t>
      </w:r>
      <w:r>
        <w:rPr/>
        <w:t>designed,</w:t>
      </w:r>
      <w:r>
        <w:rPr>
          <w:spacing w:val="-13"/>
        </w:rPr>
        <w:t> </w:t>
      </w:r>
      <w:r>
        <w:rPr/>
        <w:t>especially for the teaching staff to encourage a move towards autonomy.</w:t>
      </w:r>
      <w:r>
        <w:rPr>
          <w:spacing w:val="-8"/>
        </w:rPr>
        <w:t> </w:t>
      </w:r>
      <w:r>
        <w:rPr/>
        <w:t>Institutional</w:t>
      </w:r>
      <w:r>
        <w:rPr>
          <w:spacing w:val="-8"/>
        </w:rPr>
        <w:t> </w:t>
      </w:r>
      <w:r>
        <w:rPr/>
        <w:t>incentives</w:t>
      </w:r>
      <w:r>
        <w:rPr>
          <w:spacing w:val="-8"/>
        </w:rPr>
        <w:t> </w:t>
      </w:r>
      <w:r>
        <w:rPr/>
        <w:t>relating</w:t>
      </w:r>
      <w:r>
        <w:rPr>
          <w:spacing w:val="-8"/>
        </w:rPr>
        <w:t> </w:t>
      </w:r>
      <w:r>
        <w:rPr/>
        <w:t>to</w:t>
      </w:r>
      <w:r>
        <w:rPr>
          <w:spacing w:val="-8"/>
        </w:rPr>
        <w:t> </w:t>
      </w:r>
      <w:r>
        <w:rPr/>
        <w:t>funding </w:t>
      </w:r>
      <w:r>
        <w:rPr>
          <w:spacing w:val="-4"/>
        </w:rPr>
        <w:t>and resource generation and professional incentives for </w:t>
      </w:r>
      <w:r>
        <w:rPr/>
        <w:t>staff</w:t>
      </w:r>
      <w:r>
        <w:rPr>
          <w:spacing w:val="-14"/>
        </w:rPr>
        <w:t> </w:t>
      </w:r>
      <w:r>
        <w:rPr/>
        <w:t>including</w:t>
      </w:r>
      <w:r>
        <w:rPr>
          <w:spacing w:val="-14"/>
        </w:rPr>
        <w:t> </w:t>
      </w:r>
      <w:r>
        <w:rPr/>
        <w:t>positions</w:t>
      </w:r>
      <w:r>
        <w:rPr>
          <w:spacing w:val="-14"/>
        </w:rPr>
        <w:t> </w:t>
      </w:r>
      <w:r>
        <w:rPr/>
        <w:t>of</w:t>
      </w:r>
      <w:r>
        <w:rPr>
          <w:spacing w:val="-13"/>
        </w:rPr>
        <w:t> </w:t>
      </w:r>
      <w:r>
        <w:rPr/>
        <w:t>professors,</w:t>
      </w:r>
      <w:r>
        <w:rPr>
          <w:spacing w:val="-14"/>
        </w:rPr>
        <w:t> </w:t>
      </w:r>
      <w:r>
        <w:rPr/>
        <w:t>research</w:t>
      </w:r>
      <w:r>
        <w:rPr>
          <w:spacing w:val="-14"/>
        </w:rPr>
        <w:t> </w:t>
      </w:r>
      <w:r>
        <w:rPr/>
        <w:t>grants and greater mobility should be provided.</w:t>
      </w:r>
    </w:p>
    <w:p>
      <w:pPr>
        <w:pStyle w:val="BodyText"/>
        <w:spacing w:line="266" w:lineRule="auto" w:before="57"/>
        <w:ind w:left="319" w:right="1077"/>
        <w:jc w:val="both"/>
      </w:pPr>
      <w:r>
        <w:rPr/>
        <w:br w:type="column"/>
      </w:r>
      <w:r>
        <w:rPr/>
        <w:t>The second problem with the model of </w:t>
      </w:r>
      <w:r>
        <w:rPr/>
        <w:t>autonomous colleges is that it would be able to provide a solution for</w:t>
      </w:r>
      <w:r>
        <w:rPr>
          <w:spacing w:val="-6"/>
        </w:rPr>
        <w:t> </w:t>
      </w:r>
      <w:r>
        <w:rPr/>
        <w:t>a</w:t>
      </w:r>
      <w:r>
        <w:rPr>
          <w:spacing w:val="-6"/>
        </w:rPr>
        <w:t> </w:t>
      </w:r>
      <w:r>
        <w:rPr/>
        <w:t>limited</w:t>
      </w:r>
      <w:r>
        <w:rPr>
          <w:spacing w:val="-6"/>
        </w:rPr>
        <w:t> </w:t>
      </w:r>
      <w:r>
        <w:rPr/>
        <w:t>proportion,</w:t>
      </w:r>
      <w:r>
        <w:rPr>
          <w:spacing w:val="-6"/>
        </w:rPr>
        <w:t> </w:t>
      </w:r>
      <w:r>
        <w:rPr/>
        <w:t>or</w:t>
      </w:r>
      <w:r>
        <w:rPr>
          <w:spacing w:val="-6"/>
        </w:rPr>
        <w:t> </w:t>
      </w:r>
      <w:r>
        <w:rPr/>
        <w:t>number,</w:t>
      </w:r>
      <w:r>
        <w:rPr>
          <w:spacing w:val="-6"/>
        </w:rPr>
        <w:t> </w:t>
      </w:r>
      <w:r>
        <w:rPr/>
        <w:t>of</w:t>
      </w:r>
      <w:r>
        <w:rPr>
          <w:spacing w:val="-6"/>
        </w:rPr>
        <w:t> </w:t>
      </w:r>
      <w:r>
        <w:rPr/>
        <w:t>undergraduate colleges. There would be a significant number of </w:t>
      </w:r>
      <w:r>
        <w:rPr>
          <w:spacing w:val="-4"/>
        </w:rPr>
        <w:t>undergraduate</w:t>
      </w:r>
      <w:r>
        <w:rPr>
          <w:spacing w:val="-5"/>
        </w:rPr>
        <w:t> </w:t>
      </w:r>
      <w:r>
        <w:rPr>
          <w:spacing w:val="-4"/>
        </w:rPr>
        <w:t>colleges</w:t>
      </w:r>
      <w:r>
        <w:rPr>
          <w:spacing w:val="-5"/>
        </w:rPr>
        <w:t> </w:t>
      </w:r>
      <w:r>
        <w:rPr>
          <w:spacing w:val="-4"/>
        </w:rPr>
        <w:t>that</w:t>
      </w:r>
      <w:r>
        <w:rPr>
          <w:spacing w:val="-5"/>
        </w:rPr>
        <w:t> </w:t>
      </w:r>
      <w:r>
        <w:rPr>
          <w:spacing w:val="-4"/>
        </w:rPr>
        <w:t>would</w:t>
      </w:r>
      <w:r>
        <w:rPr>
          <w:spacing w:val="-5"/>
        </w:rPr>
        <w:t> </w:t>
      </w:r>
      <w:r>
        <w:rPr>
          <w:spacing w:val="-4"/>
        </w:rPr>
        <w:t>remain</w:t>
      </w:r>
      <w:r>
        <w:rPr>
          <w:spacing w:val="-5"/>
        </w:rPr>
        <w:t> </w:t>
      </w:r>
      <w:r>
        <w:rPr>
          <w:spacing w:val="-4"/>
        </w:rPr>
        <w:t>because</w:t>
      </w:r>
      <w:r>
        <w:rPr>
          <w:spacing w:val="-5"/>
        </w:rPr>
        <w:t> </w:t>
      </w:r>
      <w:r>
        <w:rPr>
          <w:spacing w:val="-4"/>
        </w:rPr>
        <w:t>they may</w:t>
      </w:r>
      <w:r>
        <w:rPr>
          <w:spacing w:val="-8"/>
        </w:rPr>
        <w:t> </w:t>
      </w:r>
      <w:r>
        <w:rPr>
          <w:spacing w:val="-4"/>
        </w:rPr>
        <w:t>not</w:t>
      </w:r>
      <w:r>
        <w:rPr>
          <w:spacing w:val="-8"/>
        </w:rPr>
        <w:t> </w:t>
      </w:r>
      <w:r>
        <w:rPr>
          <w:spacing w:val="-4"/>
        </w:rPr>
        <w:t>have</w:t>
      </w:r>
      <w:r>
        <w:rPr>
          <w:spacing w:val="-8"/>
        </w:rPr>
        <w:t> </w:t>
      </w:r>
      <w:r>
        <w:rPr>
          <w:spacing w:val="-4"/>
        </w:rPr>
        <w:t>the</w:t>
      </w:r>
      <w:r>
        <w:rPr>
          <w:spacing w:val="-8"/>
        </w:rPr>
        <w:t> </w:t>
      </w:r>
      <w:r>
        <w:rPr>
          <w:spacing w:val="-4"/>
        </w:rPr>
        <w:t>capabilities</w:t>
      </w:r>
      <w:r>
        <w:rPr>
          <w:spacing w:val="-8"/>
        </w:rPr>
        <w:t> </w:t>
      </w:r>
      <w:r>
        <w:rPr>
          <w:spacing w:val="-4"/>
        </w:rPr>
        <w:t>to</w:t>
      </w:r>
      <w:r>
        <w:rPr>
          <w:spacing w:val="-8"/>
        </w:rPr>
        <w:t> </w:t>
      </w:r>
      <w:r>
        <w:rPr>
          <w:spacing w:val="-4"/>
        </w:rPr>
        <w:t>become</w:t>
      </w:r>
      <w:r>
        <w:rPr>
          <w:spacing w:val="-8"/>
        </w:rPr>
        <w:t> </w:t>
      </w:r>
      <w:r>
        <w:rPr>
          <w:spacing w:val="-4"/>
        </w:rPr>
        <w:t>autonomous</w:t>
      </w:r>
      <w:r>
        <w:rPr>
          <w:spacing w:val="-8"/>
        </w:rPr>
        <w:t> </w:t>
      </w:r>
      <w:r>
        <w:rPr>
          <w:spacing w:val="-4"/>
        </w:rPr>
        <w:t>or </w:t>
      </w:r>
      <w:r>
        <w:rPr>
          <w:spacing w:val="-6"/>
        </w:rPr>
        <w:t>join</w:t>
      </w:r>
      <w:r>
        <w:rPr>
          <w:spacing w:val="-5"/>
        </w:rPr>
        <w:t> </w:t>
      </w:r>
      <w:r>
        <w:rPr>
          <w:spacing w:val="-6"/>
        </w:rPr>
        <w:t>an</w:t>
      </w:r>
      <w:r>
        <w:rPr/>
        <w:t> </w:t>
      </w:r>
      <w:r>
        <w:rPr>
          <w:spacing w:val="-6"/>
        </w:rPr>
        <w:t>autonomous</w:t>
      </w:r>
      <w:r>
        <w:rPr/>
        <w:t> </w:t>
      </w:r>
      <w:r>
        <w:rPr>
          <w:spacing w:val="-6"/>
        </w:rPr>
        <w:t>cluster.</w:t>
      </w:r>
      <w:r>
        <w:rPr>
          <w:spacing w:val="-8"/>
        </w:rPr>
        <w:t> </w:t>
      </w:r>
      <w:r>
        <w:rPr>
          <w:spacing w:val="-6"/>
        </w:rPr>
        <w:t>The</w:t>
      </w:r>
      <w:r>
        <w:rPr/>
        <w:t> </w:t>
      </w:r>
      <w:r>
        <w:rPr>
          <w:spacing w:val="-6"/>
        </w:rPr>
        <w:t>obvious</w:t>
      </w:r>
      <w:r>
        <w:rPr/>
        <w:t> </w:t>
      </w:r>
      <w:r>
        <w:rPr>
          <w:spacing w:val="-6"/>
        </w:rPr>
        <w:t>solution</w:t>
      </w:r>
      <w:r>
        <w:rPr/>
        <w:t> </w:t>
      </w:r>
      <w:r>
        <w:rPr>
          <w:spacing w:val="-6"/>
        </w:rPr>
        <w:t>would </w:t>
      </w:r>
      <w:r>
        <w:rPr>
          <w:spacing w:val="-2"/>
        </w:rPr>
        <w:t>be</w:t>
      </w:r>
      <w:r>
        <w:rPr>
          <w:spacing w:val="-12"/>
        </w:rPr>
        <w:t> </w:t>
      </w:r>
      <w:r>
        <w:rPr>
          <w:spacing w:val="-2"/>
        </w:rPr>
        <w:t>for</w:t>
      </w:r>
      <w:r>
        <w:rPr>
          <w:spacing w:val="-12"/>
        </w:rPr>
        <w:t> </w:t>
      </w:r>
      <w:r>
        <w:rPr>
          <w:spacing w:val="-2"/>
        </w:rPr>
        <w:t>this</w:t>
      </w:r>
      <w:r>
        <w:rPr>
          <w:spacing w:val="-12"/>
        </w:rPr>
        <w:t> </w:t>
      </w:r>
      <w:r>
        <w:rPr>
          <w:spacing w:val="-2"/>
        </w:rPr>
        <w:t>latter</w:t>
      </w:r>
      <w:r>
        <w:rPr>
          <w:spacing w:val="-11"/>
        </w:rPr>
        <w:t> </w:t>
      </w:r>
      <w:r>
        <w:rPr>
          <w:spacing w:val="-2"/>
        </w:rPr>
        <w:t>group</w:t>
      </w:r>
      <w:r>
        <w:rPr>
          <w:spacing w:val="-12"/>
        </w:rPr>
        <w:t> </w:t>
      </w:r>
      <w:r>
        <w:rPr>
          <w:spacing w:val="-2"/>
        </w:rPr>
        <w:t>to</w:t>
      </w:r>
      <w:r>
        <w:rPr>
          <w:spacing w:val="-12"/>
        </w:rPr>
        <w:t> </w:t>
      </w:r>
      <w:r>
        <w:rPr>
          <w:spacing w:val="-2"/>
        </w:rPr>
        <w:t>continue</w:t>
      </w:r>
      <w:r>
        <w:rPr>
          <w:spacing w:val="-12"/>
        </w:rPr>
        <w:t> </w:t>
      </w:r>
      <w:r>
        <w:rPr>
          <w:spacing w:val="-2"/>
        </w:rPr>
        <w:t>as</w:t>
      </w:r>
      <w:r>
        <w:rPr>
          <w:spacing w:val="-11"/>
        </w:rPr>
        <w:t> </w:t>
      </w:r>
      <w:r>
        <w:rPr>
          <w:spacing w:val="-2"/>
        </w:rPr>
        <w:t>affiliated</w:t>
      </w:r>
      <w:r>
        <w:rPr>
          <w:spacing w:val="-12"/>
        </w:rPr>
        <w:t> </w:t>
      </w:r>
      <w:r>
        <w:rPr>
          <w:spacing w:val="-2"/>
        </w:rPr>
        <w:t>colleges </w:t>
      </w:r>
      <w:r>
        <w:rPr/>
        <w:t>with</w:t>
      </w:r>
      <w:r>
        <w:rPr>
          <w:spacing w:val="-13"/>
        </w:rPr>
        <w:t> </w:t>
      </w:r>
      <w:r>
        <w:rPr/>
        <w:t>their</w:t>
      </w:r>
      <w:r>
        <w:rPr>
          <w:spacing w:val="-13"/>
        </w:rPr>
        <w:t> </w:t>
      </w:r>
      <w:r>
        <w:rPr/>
        <w:t>present</w:t>
      </w:r>
      <w:r>
        <w:rPr>
          <w:spacing w:val="-13"/>
        </w:rPr>
        <w:t> </w:t>
      </w:r>
      <w:r>
        <w:rPr/>
        <w:t>universities.</w:t>
      </w:r>
      <w:r>
        <w:rPr>
          <w:spacing w:val="-13"/>
        </w:rPr>
        <w:t> </w:t>
      </w:r>
      <w:r>
        <w:rPr/>
        <w:t>In</w:t>
      </w:r>
      <w:r>
        <w:rPr>
          <w:spacing w:val="-13"/>
        </w:rPr>
        <w:t> </w:t>
      </w:r>
      <w:r>
        <w:rPr/>
        <w:t>that</w:t>
      </w:r>
      <w:r>
        <w:rPr>
          <w:spacing w:val="-13"/>
        </w:rPr>
        <w:t> </w:t>
      </w:r>
      <w:r>
        <w:rPr/>
        <w:t>event,</w:t>
      </w:r>
      <w:r>
        <w:rPr>
          <w:spacing w:val="-13"/>
        </w:rPr>
        <w:t> </w:t>
      </w:r>
      <w:r>
        <w:rPr/>
        <w:t>problems will</w:t>
      </w:r>
      <w:r>
        <w:rPr>
          <w:spacing w:val="-1"/>
        </w:rPr>
        <w:t> </w:t>
      </w:r>
      <w:r>
        <w:rPr/>
        <w:t>persist</w:t>
      </w:r>
      <w:r>
        <w:rPr>
          <w:spacing w:val="-1"/>
        </w:rPr>
        <w:t> </w:t>
      </w:r>
      <w:r>
        <w:rPr/>
        <w:t>not</w:t>
      </w:r>
      <w:r>
        <w:rPr>
          <w:spacing w:val="-1"/>
        </w:rPr>
        <w:t> </w:t>
      </w:r>
      <w:r>
        <w:rPr/>
        <w:t>only</w:t>
      </w:r>
      <w:r>
        <w:rPr>
          <w:spacing w:val="-1"/>
        </w:rPr>
        <w:t> </w:t>
      </w:r>
      <w:r>
        <w:rPr/>
        <w:t>for</w:t>
      </w:r>
      <w:r>
        <w:rPr>
          <w:spacing w:val="-1"/>
        </w:rPr>
        <w:t> </w:t>
      </w:r>
      <w:r>
        <w:rPr/>
        <w:t>these</w:t>
      </w:r>
      <w:r>
        <w:rPr>
          <w:spacing w:val="-1"/>
        </w:rPr>
        <w:t> </w:t>
      </w:r>
      <w:r>
        <w:rPr/>
        <w:t>undergraduate</w:t>
      </w:r>
      <w:r>
        <w:rPr>
          <w:spacing w:val="-1"/>
        </w:rPr>
        <w:t> </w:t>
      </w:r>
      <w:r>
        <w:rPr/>
        <w:t>colleges </w:t>
      </w:r>
      <w:r>
        <w:rPr>
          <w:spacing w:val="-4"/>
        </w:rPr>
        <w:t>but</w:t>
      </w:r>
      <w:r>
        <w:rPr>
          <w:spacing w:val="-5"/>
        </w:rPr>
        <w:t> </w:t>
      </w:r>
      <w:r>
        <w:rPr>
          <w:spacing w:val="-4"/>
        </w:rPr>
        <w:t>also</w:t>
      </w:r>
      <w:r>
        <w:rPr>
          <w:spacing w:val="-5"/>
        </w:rPr>
        <w:t> </w:t>
      </w:r>
      <w:r>
        <w:rPr>
          <w:spacing w:val="-4"/>
        </w:rPr>
        <w:t>for</w:t>
      </w:r>
      <w:r>
        <w:rPr>
          <w:spacing w:val="-5"/>
        </w:rPr>
        <w:t> </w:t>
      </w:r>
      <w:r>
        <w:rPr>
          <w:spacing w:val="-4"/>
        </w:rPr>
        <w:t>their</w:t>
      </w:r>
      <w:r>
        <w:rPr>
          <w:spacing w:val="-5"/>
        </w:rPr>
        <w:t> </w:t>
      </w:r>
      <w:r>
        <w:rPr>
          <w:spacing w:val="-4"/>
        </w:rPr>
        <w:t>affiliating</w:t>
      </w:r>
      <w:r>
        <w:rPr>
          <w:spacing w:val="-5"/>
        </w:rPr>
        <w:t> </w:t>
      </w:r>
      <w:r>
        <w:rPr>
          <w:spacing w:val="-4"/>
        </w:rPr>
        <w:t>universities.</w:t>
      </w:r>
      <w:r>
        <w:rPr>
          <w:spacing w:val="-5"/>
        </w:rPr>
        <w:t> </w:t>
      </w:r>
      <w:r>
        <w:rPr>
          <w:spacing w:val="-4"/>
        </w:rPr>
        <w:t>Nevertheless,</w:t>
      </w:r>
      <w:r>
        <w:rPr>
          <w:spacing w:val="-5"/>
        </w:rPr>
        <w:t> </w:t>
      </w:r>
      <w:r>
        <w:rPr>
          <w:spacing w:val="-4"/>
        </w:rPr>
        <w:t>a </w:t>
      </w:r>
      <w:r>
        <w:rPr>
          <w:spacing w:val="-6"/>
        </w:rPr>
        <w:t>proportion of these undergraduate colleges will continue </w:t>
      </w:r>
      <w:r>
        <w:rPr>
          <w:spacing w:val="-2"/>
        </w:rPr>
        <w:t>to</w:t>
      </w:r>
      <w:r>
        <w:rPr>
          <w:spacing w:val="-7"/>
        </w:rPr>
        <w:t> </w:t>
      </w:r>
      <w:r>
        <w:rPr>
          <w:spacing w:val="-2"/>
        </w:rPr>
        <w:t>be</w:t>
      </w:r>
      <w:r>
        <w:rPr>
          <w:spacing w:val="-7"/>
        </w:rPr>
        <w:t> </w:t>
      </w:r>
      <w:r>
        <w:rPr>
          <w:spacing w:val="-2"/>
        </w:rPr>
        <w:t>affiliated</w:t>
      </w:r>
      <w:r>
        <w:rPr>
          <w:spacing w:val="-7"/>
        </w:rPr>
        <w:t> </w:t>
      </w:r>
      <w:r>
        <w:rPr>
          <w:spacing w:val="-2"/>
        </w:rPr>
        <w:t>to</w:t>
      </w:r>
      <w:r>
        <w:rPr>
          <w:spacing w:val="-7"/>
        </w:rPr>
        <w:t> </w:t>
      </w:r>
      <w:r>
        <w:rPr>
          <w:spacing w:val="-2"/>
        </w:rPr>
        <w:t>their</w:t>
      </w:r>
      <w:r>
        <w:rPr>
          <w:spacing w:val="-7"/>
        </w:rPr>
        <w:t> </w:t>
      </w:r>
      <w:r>
        <w:rPr>
          <w:spacing w:val="-2"/>
        </w:rPr>
        <w:t>present</w:t>
      </w:r>
      <w:r>
        <w:rPr>
          <w:spacing w:val="-7"/>
        </w:rPr>
        <w:t> </w:t>
      </w:r>
      <w:r>
        <w:rPr>
          <w:spacing w:val="-2"/>
        </w:rPr>
        <w:t>universities</w:t>
      </w:r>
      <w:r>
        <w:rPr>
          <w:spacing w:val="-7"/>
        </w:rPr>
        <w:t> </w:t>
      </w:r>
      <w:r>
        <w:rPr>
          <w:spacing w:val="-2"/>
        </w:rPr>
        <w:t>on</w:t>
      </w:r>
      <w:r>
        <w:rPr>
          <w:spacing w:val="-7"/>
        </w:rPr>
        <w:t> </w:t>
      </w:r>
      <w:r>
        <w:rPr>
          <w:spacing w:val="-2"/>
        </w:rPr>
        <w:t>the</w:t>
      </w:r>
      <w:r>
        <w:rPr>
          <w:spacing w:val="-7"/>
        </w:rPr>
        <w:t> </w:t>
      </w:r>
      <w:r>
        <w:rPr>
          <w:spacing w:val="-2"/>
        </w:rPr>
        <w:t>basis </w:t>
      </w:r>
      <w:r>
        <w:rPr/>
        <w:t>of</w:t>
      </w:r>
      <w:r>
        <w:rPr>
          <w:spacing w:val="-8"/>
        </w:rPr>
        <w:t> </w:t>
      </w:r>
      <w:r>
        <w:rPr/>
        <w:t>stipulated</w:t>
      </w:r>
      <w:r>
        <w:rPr>
          <w:spacing w:val="-8"/>
        </w:rPr>
        <w:t> </w:t>
      </w:r>
      <w:r>
        <w:rPr/>
        <w:t>criteria.</w:t>
      </w:r>
      <w:r>
        <w:rPr>
          <w:spacing w:val="-14"/>
        </w:rPr>
        <w:t> </w:t>
      </w:r>
      <w:r>
        <w:rPr/>
        <w:t>There</w:t>
      </w:r>
      <w:r>
        <w:rPr>
          <w:spacing w:val="-7"/>
        </w:rPr>
        <w:t> </w:t>
      </w:r>
      <w:r>
        <w:rPr/>
        <w:t>are</w:t>
      </w:r>
      <w:r>
        <w:rPr>
          <w:spacing w:val="-8"/>
        </w:rPr>
        <w:t> </w:t>
      </w:r>
      <w:r>
        <w:rPr/>
        <w:t>two</w:t>
      </w:r>
      <w:r>
        <w:rPr>
          <w:spacing w:val="-8"/>
        </w:rPr>
        <w:t> </w:t>
      </w:r>
      <w:r>
        <w:rPr/>
        <w:t>other</w:t>
      </w:r>
      <w:r>
        <w:rPr>
          <w:spacing w:val="-8"/>
        </w:rPr>
        <w:t> </w:t>
      </w:r>
      <w:r>
        <w:rPr/>
        <w:t>possibilities that could be explored.</w:t>
      </w:r>
    </w:p>
    <w:p>
      <w:pPr>
        <w:pStyle w:val="BodyText"/>
        <w:spacing w:before="15"/>
      </w:pPr>
    </w:p>
    <w:p>
      <w:pPr>
        <w:pStyle w:val="BodyText"/>
        <w:spacing w:line="266" w:lineRule="auto"/>
        <w:ind w:left="319" w:right="1077"/>
        <w:jc w:val="both"/>
      </w:pPr>
      <w:r>
        <w:rPr/>
        <w:t>The first possibility is that some of these affiliated colleges</w:t>
      </w:r>
      <w:r>
        <w:rPr>
          <w:spacing w:val="-7"/>
        </w:rPr>
        <w:t> </w:t>
      </w:r>
      <w:r>
        <w:rPr/>
        <w:t>could</w:t>
      </w:r>
      <w:r>
        <w:rPr>
          <w:spacing w:val="-7"/>
        </w:rPr>
        <w:t> </w:t>
      </w:r>
      <w:r>
        <w:rPr/>
        <w:t>be</w:t>
      </w:r>
      <w:r>
        <w:rPr>
          <w:spacing w:val="-7"/>
        </w:rPr>
        <w:t> </w:t>
      </w:r>
      <w:r>
        <w:rPr/>
        <w:t>remodelled</w:t>
      </w:r>
      <w:r>
        <w:rPr>
          <w:spacing w:val="-7"/>
        </w:rPr>
        <w:t> </w:t>
      </w:r>
      <w:r>
        <w:rPr/>
        <w:t>as</w:t>
      </w:r>
      <w:r>
        <w:rPr>
          <w:spacing w:val="-7"/>
        </w:rPr>
        <w:t> </w:t>
      </w:r>
      <w:r>
        <w:rPr/>
        <w:t>community</w:t>
      </w:r>
      <w:r>
        <w:rPr>
          <w:spacing w:val="-7"/>
        </w:rPr>
        <w:t> </w:t>
      </w:r>
      <w:r>
        <w:rPr/>
        <w:t>colleges. </w:t>
      </w:r>
      <w:r>
        <w:rPr>
          <w:spacing w:val="-4"/>
        </w:rPr>
        <w:t>These</w:t>
      </w:r>
      <w:r>
        <w:rPr>
          <w:spacing w:val="-8"/>
        </w:rPr>
        <w:t> </w:t>
      </w:r>
      <w:r>
        <w:rPr>
          <w:spacing w:val="-4"/>
        </w:rPr>
        <w:t>colleges</w:t>
      </w:r>
      <w:r>
        <w:rPr>
          <w:spacing w:val="-8"/>
        </w:rPr>
        <w:t> </w:t>
      </w:r>
      <w:r>
        <w:rPr>
          <w:spacing w:val="-4"/>
        </w:rPr>
        <w:t>could</w:t>
      </w:r>
      <w:r>
        <w:rPr>
          <w:spacing w:val="-8"/>
        </w:rPr>
        <w:t> </w:t>
      </w:r>
      <w:r>
        <w:rPr>
          <w:spacing w:val="-4"/>
        </w:rPr>
        <w:t>provide</w:t>
      </w:r>
      <w:r>
        <w:rPr>
          <w:spacing w:val="-8"/>
        </w:rPr>
        <w:t> </w:t>
      </w:r>
      <w:r>
        <w:rPr>
          <w:spacing w:val="-4"/>
        </w:rPr>
        <w:t>both</w:t>
      </w:r>
      <w:r>
        <w:rPr>
          <w:spacing w:val="-8"/>
        </w:rPr>
        <w:t> </w:t>
      </w:r>
      <w:r>
        <w:rPr>
          <w:spacing w:val="-4"/>
        </w:rPr>
        <w:t>vocational</w:t>
      </w:r>
      <w:r>
        <w:rPr>
          <w:spacing w:val="-8"/>
        </w:rPr>
        <w:t> </w:t>
      </w:r>
      <w:r>
        <w:rPr>
          <w:spacing w:val="-4"/>
        </w:rPr>
        <w:t>education through</w:t>
      </w:r>
      <w:r>
        <w:rPr>
          <w:spacing w:val="-9"/>
        </w:rPr>
        <w:t> </w:t>
      </w:r>
      <w:r>
        <w:rPr>
          <w:spacing w:val="-4"/>
        </w:rPr>
        <w:t>two-year</w:t>
      </w:r>
      <w:r>
        <w:rPr>
          <w:spacing w:val="-9"/>
        </w:rPr>
        <w:t> </w:t>
      </w:r>
      <w:r>
        <w:rPr>
          <w:spacing w:val="-4"/>
        </w:rPr>
        <w:t>courses</w:t>
      </w:r>
      <w:r>
        <w:rPr>
          <w:spacing w:val="-9"/>
        </w:rPr>
        <w:t> </w:t>
      </w:r>
      <w:r>
        <w:rPr>
          <w:spacing w:val="-4"/>
        </w:rPr>
        <w:t>and</w:t>
      </w:r>
      <w:r>
        <w:rPr>
          <w:spacing w:val="-9"/>
        </w:rPr>
        <w:t> </w:t>
      </w:r>
      <w:r>
        <w:rPr>
          <w:spacing w:val="-4"/>
        </w:rPr>
        <w:t>formal</w:t>
      </w:r>
      <w:r>
        <w:rPr>
          <w:spacing w:val="-9"/>
        </w:rPr>
        <w:t> </w:t>
      </w:r>
      <w:r>
        <w:rPr>
          <w:spacing w:val="-4"/>
        </w:rPr>
        <w:t>education</w:t>
      </w:r>
      <w:r>
        <w:rPr>
          <w:spacing w:val="-9"/>
        </w:rPr>
        <w:t> </w:t>
      </w:r>
      <w:r>
        <w:rPr>
          <w:spacing w:val="-4"/>
        </w:rPr>
        <w:t>through </w:t>
      </w:r>
      <w:r>
        <w:rPr/>
        <w:t>three-year courses. This would serve the needs of a </w:t>
      </w:r>
      <w:r>
        <w:rPr>
          <w:spacing w:val="-6"/>
        </w:rPr>
        <w:t>particular</w:t>
      </w:r>
      <w:r>
        <w:rPr>
          <w:spacing w:val="-8"/>
        </w:rPr>
        <w:t> </w:t>
      </w:r>
      <w:r>
        <w:rPr>
          <w:spacing w:val="-6"/>
        </w:rPr>
        <w:t>segment</w:t>
      </w:r>
      <w:r>
        <w:rPr>
          <w:spacing w:val="-8"/>
        </w:rPr>
        <w:t> </w:t>
      </w:r>
      <w:r>
        <w:rPr>
          <w:spacing w:val="-6"/>
        </w:rPr>
        <w:t>of the</w:t>
      </w:r>
      <w:r>
        <w:rPr>
          <w:spacing w:val="-3"/>
        </w:rPr>
        <w:t> </w:t>
      </w:r>
      <w:r>
        <w:rPr>
          <w:spacing w:val="-6"/>
        </w:rPr>
        <w:t>student</w:t>
      </w:r>
      <w:r>
        <w:rPr>
          <w:spacing w:val="-3"/>
        </w:rPr>
        <w:t> </w:t>
      </w:r>
      <w:r>
        <w:rPr>
          <w:spacing w:val="-6"/>
        </w:rPr>
        <w:t>population</w:t>
      </w:r>
      <w:r>
        <w:rPr>
          <w:spacing w:val="-3"/>
        </w:rPr>
        <w:t> </w:t>
      </w:r>
      <w:r>
        <w:rPr>
          <w:spacing w:val="-6"/>
        </w:rPr>
        <w:t>better.</w:t>
      </w:r>
      <w:r>
        <w:rPr>
          <w:spacing w:val="-8"/>
        </w:rPr>
        <w:t> </w:t>
      </w:r>
      <w:r>
        <w:rPr>
          <w:spacing w:val="-6"/>
        </w:rPr>
        <w:t>They </w:t>
      </w:r>
      <w:r>
        <w:rPr/>
        <w:t>could</w:t>
      </w:r>
      <w:r>
        <w:rPr>
          <w:spacing w:val="-6"/>
        </w:rPr>
        <w:t> </w:t>
      </w:r>
      <w:r>
        <w:rPr/>
        <w:t>focus</w:t>
      </w:r>
      <w:r>
        <w:rPr>
          <w:spacing w:val="-6"/>
        </w:rPr>
        <w:t> </w:t>
      </w:r>
      <w:r>
        <w:rPr/>
        <w:t>on</w:t>
      </w:r>
      <w:r>
        <w:rPr>
          <w:spacing w:val="-6"/>
        </w:rPr>
        <w:t> </w:t>
      </w:r>
      <w:r>
        <w:rPr/>
        <w:t>promoting</w:t>
      </w:r>
      <w:r>
        <w:rPr>
          <w:spacing w:val="-6"/>
        </w:rPr>
        <w:t> </w:t>
      </w:r>
      <w:r>
        <w:rPr/>
        <w:t>job-oriented,</w:t>
      </w:r>
      <w:r>
        <w:rPr>
          <w:spacing w:val="-6"/>
        </w:rPr>
        <w:t> </w:t>
      </w:r>
      <w:r>
        <w:rPr/>
        <w:t>work-related, </w:t>
      </w:r>
      <w:r>
        <w:rPr>
          <w:spacing w:val="-6"/>
        </w:rPr>
        <w:t>skill-based</w:t>
      </w:r>
      <w:r>
        <w:rPr/>
        <w:t> </w:t>
      </w:r>
      <w:r>
        <w:rPr>
          <w:spacing w:val="-6"/>
        </w:rPr>
        <w:t>and</w:t>
      </w:r>
      <w:r>
        <w:rPr/>
        <w:t> </w:t>
      </w:r>
      <w:r>
        <w:rPr>
          <w:spacing w:val="-6"/>
        </w:rPr>
        <w:t>life-coping</w:t>
      </w:r>
      <w:r>
        <w:rPr/>
        <w:t> </w:t>
      </w:r>
      <w:r>
        <w:rPr>
          <w:spacing w:val="-6"/>
        </w:rPr>
        <w:t>education.</w:t>
      </w:r>
      <w:r>
        <w:rPr>
          <w:spacing w:val="-8"/>
        </w:rPr>
        <w:t> </w:t>
      </w:r>
      <w:r>
        <w:rPr>
          <w:spacing w:val="-6"/>
        </w:rPr>
        <w:t>These</w:t>
      </w:r>
      <w:r>
        <w:rPr/>
        <w:t> </w:t>
      </w:r>
      <w:r>
        <w:rPr>
          <w:spacing w:val="-6"/>
        </w:rPr>
        <w:t>community </w:t>
      </w:r>
      <w:r>
        <w:rPr>
          <w:spacing w:val="-2"/>
        </w:rPr>
        <w:t>colleges</w:t>
      </w:r>
      <w:r>
        <w:rPr>
          <w:spacing w:val="-12"/>
        </w:rPr>
        <w:t> </w:t>
      </w:r>
      <w:r>
        <w:rPr>
          <w:spacing w:val="-2"/>
        </w:rPr>
        <w:t>could</w:t>
      </w:r>
      <w:r>
        <w:rPr>
          <w:spacing w:val="-12"/>
        </w:rPr>
        <w:t> </w:t>
      </w:r>
      <w:r>
        <w:rPr>
          <w:spacing w:val="-2"/>
        </w:rPr>
        <w:t>provide</w:t>
      </w:r>
      <w:r>
        <w:rPr>
          <w:spacing w:val="-11"/>
        </w:rPr>
        <w:t> </w:t>
      </w:r>
      <w:r>
        <w:rPr>
          <w:spacing w:val="-2"/>
        </w:rPr>
        <w:t>a</w:t>
      </w:r>
      <w:r>
        <w:rPr>
          <w:spacing w:val="-12"/>
        </w:rPr>
        <w:t> </w:t>
      </w:r>
      <w:r>
        <w:rPr>
          <w:spacing w:val="-2"/>
        </w:rPr>
        <w:t>unique</w:t>
      </w:r>
      <w:r>
        <w:rPr>
          <w:spacing w:val="-12"/>
        </w:rPr>
        <w:t> </w:t>
      </w:r>
      <w:r>
        <w:rPr>
          <w:spacing w:val="-2"/>
        </w:rPr>
        <w:t>opportunity</w:t>
      </w:r>
      <w:r>
        <w:rPr>
          <w:spacing w:val="-11"/>
        </w:rPr>
        <w:t> </w:t>
      </w:r>
      <w:r>
        <w:rPr>
          <w:spacing w:val="-2"/>
        </w:rPr>
        <w:t>to</w:t>
      </w:r>
      <w:r>
        <w:rPr>
          <w:spacing w:val="-12"/>
        </w:rPr>
        <w:t> </w:t>
      </w:r>
      <w:r>
        <w:rPr>
          <w:spacing w:val="-2"/>
        </w:rPr>
        <w:t>provide holistic</w:t>
      </w:r>
      <w:r>
        <w:rPr>
          <w:spacing w:val="-12"/>
        </w:rPr>
        <w:t> </w:t>
      </w:r>
      <w:r>
        <w:rPr>
          <w:spacing w:val="-2"/>
        </w:rPr>
        <w:t>education</w:t>
      </w:r>
      <w:r>
        <w:rPr>
          <w:spacing w:val="-12"/>
        </w:rPr>
        <w:t> </w:t>
      </w:r>
      <w:r>
        <w:rPr>
          <w:spacing w:val="-2"/>
        </w:rPr>
        <w:t>and</w:t>
      </w:r>
      <w:r>
        <w:rPr>
          <w:spacing w:val="-12"/>
        </w:rPr>
        <w:t> </w:t>
      </w:r>
      <w:r>
        <w:rPr>
          <w:spacing w:val="-2"/>
        </w:rPr>
        <w:t>eligibility</w:t>
      </w:r>
      <w:r>
        <w:rPr>
          <w:spacing w:val="-11"/>
        </w:rPr>
        <w:t> </w:t>
      </w:r>
      <w:r>
        <w:rPr>
          <w:spacing w:val="-2"/>
        </w:rPr>
        <w:t>for</w:t>
      </w:r>
      <w:r>
        <w:rPr>
          <w:spacing w:val="-12"/>
        </w:rPr>
        <w:t> </w:t>
      </w:r>
      <w:r>
        <w:rPr>
          <w:spacing w:val="-2"/>
        </w:rPr>
        <w:t>employment</w:t>
      </w:r>
      <w:r>
        <w:rPr>
          <w:spacing w:val="-12"/>
        </w:rPr>
        <w:t> </w:t>
      </w:r>
      <w:r>
        <w:rPr>
          <w:spacing w:val="-2"/>
        </w:rPr>
        <w:t>to</w:t>
      </w:r>
      <w:r>
        <w:rPr>
          <w:spacing w:val="-12"/>
        </w:rPr>
        <w:t> </w:t>
      </w:r>
      <w:r>
        <w:rPr>
          <w:spacing w:val="-2"/>
        </w:rPr>
        <w:t>the disadvantaged.</w:t>
      </w:r>
    </w:p>
    <w:p>
      <w:pPr>
        <w:pStyle w:val="BodyText"/>
        <w:spacing w:before="18"/>
      </w:pPr>
    </w:p>
    <w:p>
      <w:pPr>
        <w:pStyle w:val="BodyText"/>
        <w:spacing w:line="266" w:lineRule="auto"/>
        <w:ind w:left="319" w:right="1077"/>
        <w:jc w:val="both"/>
      </w:pPr>
      <w:r>
        <w:rPr/>
        <w:t>The second possibility is that we establish a </w:t>
      </w:r>
      <w:r>
        <w:rPr/>
        <w:t>Central Board of Undergraduate Education along with State Boards</w:t>
      </w:r>
      <w:r>
        <w:rPr>
          <w:spacing w:val="-2"/>
        </w:rPr>
        <w:t> </w:t>
      </w:r>
      <w:r>
        <w:rPr/>
        <w:t>of</w:t>
      </w:r>
      <w:r>
        <w:rPr>
          <w:spacing w:val="-2"/>
        </w:rPr>
        <w:t> </w:t>
      </w:r>
      <w:r>
        <w:rPr/>
        <w:t>Undergraduate</w:t>
      </w:r>
      <w:r>
        <w:rPr>
          <w:spacing w:val="-2"/>
        </w:rPr>
        <w:t> </w:t>
      </w:r>
      <w:r>
        <w:rPr/>
        <w:t>Education</w:t>
      </w:r>
      <w:r>
        <w:rPr>
          <w:spacing w:val="-2"/>
        </w:rPr>
        <w:t> </w:t>
      </w:r>
      <w:r>
        <w:rPr/>
        <w:t>which</w:t>
      </w:r>
      <w:r>
        <w:rPr>
          <w:spacing w:val="-2"/>
        </w:rPr>
        <w:t> </w:t>
      </w:r>
      <w:r>
        <w:rPr/>
        <w:t>would</w:t>
      </w:r>
      <w:r>
        <w:rPr>
          <w:spacing w:val="-2"/>
        </w:rPr>
        <w:t> </w:t>
      </w:r>
      <w:r>
        <w:rPr/>
        <w:t>set curricula</w:t>
      </w:r>
      <w:r>
        <w:rPr>
          <w:spacing w:val="-14"/>
        </w:rPr>
        <w:t> </w:t>
      </w:r>
      <w:r>
        <w:rPr/>
        <w:t>and</w:t>
      </w:r>
      <w:r>
        <w:rPr>
          <w:spacing w:val="-14"/>
        </w:rPr>
        <w:t> </w:t>
      </w:r>
      <w:r>
        <w:rPr/>
        <w:t>conduct</w:t>
      </w:r>
      <w:r>
        <w:rPr>
          <w:spacing w:val="-14"/>
        </w:rPr>
        <w:t> </w:t>
      </w:r>
      <w:r>
        <w:rPr/>
        <w:t>examinations</w:t>
      </w:r>
      <w:r>
        <w:rPr>
          <w:spacing w:val="-13"/>
        </w:rPr>
        <w:t> </w:t>
      </w:r>
      <w:r>
        <w:rPr/>
        <w:t>for</w:t>
      </w:r>
      <w:r>
        <w:rPr>
          <w:spacing w:val="-14"/>
        </w:rPr>
        <w:t> </w:t>
      </w:r>
      <w:r>
        <w:rPr/>
        <w:t>undergraduate colleges</w:t>
      </w:r>
      <w:r>
        <w:rPr>
          <w:spacing w:val="-3"/>
        </w:rPr>
        <w:t> </w:t>
      </w:r>
      <w:r>
        <w:rPr/>
        <w:t>that</w:t>
      </w:r>
      <w:r>
        <w:rPr>
          <w:spacing w:val="-3"/>
        </w:rPr>
        <w:t> </w:t>
      </w:r>
      <w:r>
        <w:rPr/>
        <w:t>choose</w:t>
      </w:r>
      <w:r>
        <w:rPr>
          <w:spacing w:val="-3"/>
        </w:rPr>
        <w:t> </w:t>
      </w:r>
      <w:r>
        <w:rPr/>
        <w:t>to</w:t>
      </w:r>
      <w:r>
        <w:rPr>
          <w:spacing w:val="-3"/>
        </w:rPr>
        <w:t> </w:t>
      </w:r>
      <w:r>
        <w:rPr/>
        <w:t>be</w:t>
      </w:r>
      <w:r>
        <w:rPr>
          <w:spacing w:val="-3"/>
        </w:rPr>
        <w:t> </w:t>
      </w:r>
      <w:r>
        <w:rPr/>
        <w:t>affiliated</w:t>
      </w:r>
      <w:r>
        <w:rPr>
          <w:spacing w:val="-3"/>
        </w:rPr>
        <w:t> </w:t>
      </w:r>
      <w:r>
        <w:rPr/>
        <w:t>with</w:t>
      </w:r>
      <w:r>
        <w:rPr>
          <w:spacing w:val="-3"/>
        </w:rPr>
        <w:t> </w:t>
      </w:r>
      <w:r>
        <w:rPr/>
        <w:t>them.</w:t>
      </w:r>
      <w:r>
        <w:rPr>
          <w:spacing w:val="-9"/>
        </w:rPr>
        <w:t> </w:t>
      </w:r>
      <w:r>
        <w:rPr/>
        <w:t>These </w:t>
      </w:r>
      <w:r>
        <w:rPr>
          <w:spacing w:val="-4"/>
        </w:rPr>
        <w:t>Boards</w:t>
      </w:r>
      <w:r>
        <w:rPr>
          <w:spacing w:val="-8"/>
        </w:rPr>
        <w:t> </w:t>
      </w:r>
      <w:r>
        <w:rPr>
          <w:spacing w:val="-4"/>
        </w:rPr>
        <w:t>would</w:t>
      </w:r>
      <w:r>
        <w:rPr>
          <w:spacing w:val="-8"/>
        </w:rPr>
        <w:t> </w:t>
      </w:r>
      <w:r>
        <w:rPr>
          <w:spacing w:val="-4"/>
        </w:rPr>
        <w:t>separate</w:t>
      </w:r>
      <w:r>
        <w:rPr>
          <w:spacing w:val="-8"/>
        </w:rPr>
        <w:t> </w:t>
      </w:r>
      <w:r>
        <w:rPr>
          <w:spacing w:val="-4"/>
        </w:rPr>
        <w:t>the</w:t>
      </w:r>
      <w:r>
        <w:rPr>
          <w:spacing w:val="-8"/>
        </w:rPr>
        <w:t> </w:t>
      </w:r>
      <w:r>
        <w:rPr>
          <w:spacing w:val="-4"/>
        </w:rPr>
        <w:t>academic</w:t>
      </w:r>
      <w:r>
        <w:rPr>
          <w:spacing w:val="-8"/>
        </w:rPr>
        <w:t> </w:t>
      </w:r>
      <w:r>
        <w:rPr>
          <w:spacing w:val="-4"/>
        </w:rPr>
        <w:t>functions</w:t>
      </w:r>
      <w:r>
        <w:rPr>
          <w:spacing w:val="-8"/>
        </w:rPr>
        <w:t> </w:t>
      </w:r>
      <w:r>
        <w:rPr>
          <w:spacing w:val="-4"/>
        </w:rPr>
        <w:t>from</w:t>
      </w:r>
      <w:r>
        <w:rPr>
          <w:spacing w:val="-8"/>
        </w:rPr>
        <w:t> </w:t>
      </w:r>
      <w:r>
        <w:rPr>
          <w:spacing w:val="-4"/>
        </w:rPr>
        <w:t>the </w:t>
      </w:r>
      <w:r>
        <w:rPr/>
        <w:t>administrative</w:t>
      </w:r>
      <w:r>
        <w:rPr>
          <w:spacing w:val="-9"/>
        </w:rPr>
        <w:t> </w:t>
      </w:r>
      <w:r>
        <w:rPr/>
        <w:t>functions</w:t>
      </w:r>
      <w:r>
        <w:rPr>
          <w:spacing w:val="-9"/>
        </w:rPr>
        <w:t> </w:t>
      </w:r>
      <w:r>
        <w:rPr/>
        <w:t>and</w:t>
      </w:r>
      <w:r>
        <w:rPr>
          <w:spacing w:val="-9"/>
        </w:rPr>
        <w:t> </w:t>
      </w:r>
      <w:r>
        <w:rPr/>
        <w:t>at</w:t>
      </w:r>
      <w:r>
        <w:rPr>
          <w:spacing w:val="-9"/>
        </w:rPr>
        <w:t> </w:t>
      </w:r>
      <w:r>
        <w:rPr/>
        <w:t>the</w:t>
      </w:r>
      <w:r>
        <w:rPr>
          <w:spacing w:val="-9"/>
        </w:rPr>
        <w:t> </w:t>
      </w:r>
      <w:r>
        <w:rPr/>
        <w:t>same</w:t>
      </w:r>
      <w:r>
        <w:rPr>
          <w:spacing w:val="-9"/>
        </w:rPr>
        <w:t> </w:t>
      </w:r>
      <w:r>
        <w:rPr/>
        <w:t>time</w:t>
      </w:r>
      <w:r>
        <w:rPr>
          <w:spacing w:val="-9"/>
        </w:rPr>
        <w:t> </w:t>
      </w:r>
      <w:r>
        <w:rPr/>
        <w:t>provide quality benchmarks. Governance would become much simpler. It is possible that some of the existing undergraduate colleges, particularly those that are at </w:t>
      </w:r>
      <w:r>
        <w:rPr>
          <w:spacing w:val="-6"/>
        </w:rPr>
        <w:t>some geographical distance from their parent university, </w:t>
      </w:r>
      <w:r>
        <w:rPr/>
        <w:t>may</w:t>
      </w:r>
      <w:r>
        <w:rPr>
          <w:spacing w:val="-13"/>
        </w:rPr>
        <w:t> </w:t>
      </w:r>
      <w:r>
        <w:rPr/>
        <w:t>wish</w:t>
      </w:r>
      <w:r>
        <w:rPr>
          <w:spacing w:val="-13"/>
        </w:rPr>
        <w:t> </w:t>
      </w:r>
      <w:r>
        <w:rPr/>
        <w:t>to</w:t>
      </w:r>
      <w:r>
        <w:rPr>
          <w:spacing w:val="-13"/>
        </w:rPr>
        <w:t> </w:t>
      </w:r>
      <w:r>
        <w:rPr/>
        <w:t>affiliate</w:t>
      </w:r>
      <w:r>
        <w:rPr>
          <w:spacing w:val="-13"/>
        </w:rPr>
        <w:t> </w:t>
      </w:r>
      <w:r>
        <w:rPr/>
        <w:t>themselves</w:t>
      </w:r>
      <w:r>
        <w:rPr>
          <w:spacing w:val="-13"/>
        </w:rPr>
        <w:t> </w:t>
      </w:r>
      <w:r>
        <w:rPr/>
        <w:t>to</w:t>
      </w:r>
      <w:r>
        <w:rPr>
          <w:spacing w:val="-13"/>
        </w:rPr>
        <w:t> </w:t>
      </w:r>
      <w:r>
        <w:rPr/>
        <w:t>these</w:t>
      </w:r>
      <w:r>
        <w:rPr>
          <w:spacing w:val="-13"/>
        </w:rPr>
        <w:t> </w:t>
      </w:r>
      <w:r>
        <w:rPr/>
        <w:t>Boards.</w:t>
      </w:r>
    </w:p>
    <w:p>
      <w:pPr>
        <w:pStyle w:val="BodyText"/>
        <w:spacing w:before="18"/>
      </w:pPr>
    </w:p>
    <w:p>
      <w:pPr>
        <w:pStyle w:val="BodyText"/>
        <w:spacing w:line="266" w:lineRule="auto"/>
        <w:ind w:left="319" w:right="1077"/>
        <w:jc w:val="both"/>
      </w:pPr>
      <w:r>
        <w:rPr>
          <w:spacing w:val="-4"/>
        </w:rPr>
        <w:t>New</w:t>
      </w:r>
      <w:r>
        <w:rPr>
          <w:spacing w:val="-9"/>
        </w:rPr>
        <w:t> </w:t>
      </w:r>
      <w:r>
        <w:rPr>
          <w:spacing w:val="-4"/>
        </w:rPr>
        <w:t>undergraduate</w:t>
      </w:r>
      <w:r>
        <w:rPr>
          <w:spacing w:val="-9"/>
        </w:rPr>
        <w:t> </w:t>
      </w:r>
      <w:r>
        <w:rPr>
          <w:spacing w:val="-4"/>
        </w:rPr>
        <w:t>colleges</w:t>
      </w:r>
      <w:r>
        <w:rPr>
          <w:spacing w:val="-9"/>
        </w:rPr>
        <w:t> </w:t>
      </w:r>
      <w:r>
        <w:rPr>
          <w:spacing w:val="-4"/>
        </w:rPr>
        <w:t>are</w:t>
      </w:r>
      <w:r>
        <w:rPr>
          <w:spacing w:val="-9"/>
        </w:rPr>
        <w:t> </w:t>
      </w:r>
      <w:r>
        <w:rPr>
          <w:spacing w:val="-4"/>
        </w:rPr>
        <w:t>bound</w:t>
      </w:r>
      <w:r>
        <w:rPr>
          <w:spacing w:val="-9"/>
        </w:rPr>
        <w:t> </w:t>
      </w:r>
      <w:r>
        <w:rPr>
          <w:spacing w:val="-4"/>
        </w:rPr>
        <w:t>to</w:t>
      </w:r>
      <w:r>
        <w:rPr>
          <w:spacing w:val="-9"/>
        </w:rPr>
        <w:t> </w:t>
      </w:r>
      <w:r>
        <w:rPr>
          <w:spacing w:val="-4"/>
        </w:rPr>
        <w:t>be</w:t>
      </w:r>
      <w:r>
        <w:rPr>
          <w:spacing w:val="-9"/>
        </w:rPr>
        <w:t> </w:t>
      </w:r>
      <w:r>
        <w:rPr>
          <w:spacing w:val="-4"/>
        </w:rPr>
        <w:t>an</w:t>
      </w:r>
      <w:r>
        <w:rPr>
          <w:spacing w:val="-9"/>
        </w:rPr>
        <w:t> </w:t>
      </w:r>
      <w:r>
        <w:rPr>
          <w:spacing w:val="-4"/>
        </w:rPr>
        <w:t>integral </w:t>
      </w:r>
      <w:r>
        <w:rPr/>
        <w:t>part of the expansion of opportunities in </w:t>
      </w:r>
      <w:r>
        <w:rPr/>
        <w:t>higher education. Where would these be located? It would be difficult for them to become autonomous colleges without</w:t>
      </w:r>
      <w:r>
        <w:rPr>
          <w:spacing w:val="-6"/>
        </w:rPr>
        <w:t> </w:t>
      </w:r>
      <w:r>
        <w:rPr/>
        <w:t>a</w:t>
      </w:r>
      <w:r>
        <w:rPr>
          <w:spacing w:val="-6"/>
        </w:rPr>
        <w:t> </w:t>
      </w:r>
      <w:r>
        <w:rPr/>
        <w:t>track</w:t>
      </w:r>
      <w:r>
        <w:rPr>
          <w:spacing w:val="-6"/>
        </w:rPr>
        <w:t> </w:t>
      </w:r>
      <w:r>
        <w:rPr/>
        <w:t>record.</w:t>
      </w:r>
      <w:r>
        <w:rPr>
          <w:spacing w:val="-6"/>
        </w:rPr>
        <w:t> </w:t>
      </w:r>
      <w:r>
        <w:rPr/>
        <w:t>It</w:t>
      </w:r>
      <w:r>
        <w:rPr>
          <w:spacing w:val="-6"/>
        </w:rPr>
        <w:t> </w:t>
      </w:r>
      <w:r>
        <w:rPr/>
        <w:t>may</w:t>
      </w:r>
      <w:r>
        <w:rPr>
          <w:spacing w:val="-6"/>
        </w:rPr>
        <w:t> </w:t>
      </w:r>
      <w:r>
        <w:rPr/>
        <w:t>be</w:t>
      </w:r>
      <w:r>
        <w:rPr>
          <w:spacing w:val="-6"/>
        </w:rPr>
        <w:t> </w:t>
      </w:r>
      <w:r>
        <w:rPr/>
        <w:t>possible</w:t>
      </w:r>
      <w:r>
        <w:rPr>
          <w:spacing w:val="-6"/>
        </w:rPr>
        <w:t> </w:t>
      </w:r>
      <w:r>
        <w:rPr/>
        <w:t>for</w:t>
      </w:r>
      <w:r>
        <w:rPr>
          <w:spacing w:val="-6"/>
        </w:rPr>
        <w:t> </w:t>
      </w:r>
      <w:r>
        <w:rPr/>
        <w:t>some</w:t>
      </w:r>
      <w:r>
        <w:rPr>
          <w:spacing w:val="-6"/>
        </w:rPr>
        <w:t> </w:t>
      </w:r>
      <w:r>
        <w:rPr/>
        <w:t>to join a cluster of autonomous colleges but this would be more the exception than the rule. It would not be possible</w:t>
      </w:r>
      <w:r>
        <w:rPr>
          <w:spacing w:val="-14"/>
        </w:rPr>
        <w:t> </w:t>
      </w:r>
      <w:r>
        <w:rPr/>
        <w:t>for</w:t>
      </w:r>
      <w:r>
        <w:rPr>
          <w:spacing w:val="-14"/>
        </w:rPr>
        <w:t> </w:t>
      </w:r>
      <w:r>
        <w:rPr/>
        <w:t>them</w:t>
      </w:r>
      <w:r>
        <w:rPr>
          <w:spacing w:val="-14"/>
        </w:rPr>
        <w:t> </w:t>
      </w:r>
      <w:r>
        <w:rPr/>
        <w:t>to</w:t>
      </w:r>
      <w:r>
        <w:rPr>
          <w:spacing w:val="-13"/>
        </w:rPr>
        <w:t> </w:t>
      </w:r>
      <w:r>
        <w:rPr/>
        <w:t>affiliate</w:t>
      </w:r>
      <w:r>
        <w:rPr>
          <w:spacing w:val="-14"/>
        </w:rPr>
        <w:t> </w:t>
      </w:r>
      <w:r>
        <w:rPr/>
        <w:t>with</w:t>
      </w:r>
      <w:r>
        <w:rPr>
          <w:spacing w:val="-14"/>
        </w:rPr>
        <w:t> </w:t>
      </w:r>
      <w:r>
        <w:rPr/>
        <w:t>existing</w:t>
      </w:r>
      <w:r>
        <w:rPr>
          <w:spacing w:val="-14"/>
        </w:rPr>
        <w:t> </w:t>
      </w:r>
      <w:r>
        <w:rPr/>
        <w:t>universities which are already overloaded. Hence, there are three possible options for new undergraduate colleges to come.</w:t>
      </w:r>
      <w:r>
        <w:rPr>
          <w:spacing w:val="10"/>
        </w:rPr>
        <w:t> </w:t>
      </w:r>
      <w:r>
        <w:rPr/>
        <w:t>First,</w:t>
      </w:r>
      <w:r>
        <w:rPr>
          <w:spacing w:val="12"/>
        </w:rPr>
        <w:t> </w:t>
      </w:r>
      <w:r>
        <w:rPr/>
        <w:t>they</w:t>
      </w:r>
      <w:r>
        <w:rPr>
          <w:spacing w:val="11"/>
        </w:rPr>
        <w:t> </w:t>
      </w:r>
      <w:r>
        <w:rPr/>
        <w:t>could</w:t>
      </w:r>
      <w:r>
        <w:rPr>
          <w:spacing w:val="10"/>
        </w:rPr>
        <w:t> </w:t>
      </w:r>
      <w:r>
        <w:rPr/>
        <w:t>be</w:t>
      </w:r>
      <w:r>
        <w:rPr>
          <w:spacing w:val="12"/>
        </w:rPr>
        <w:t> </w:t>
      </w:r>
      <w:r>
        <w:rPr/>
        <w:t>established</w:t>
      </w:r>
      <w:r>
        <w:rPr>
          <w:spacing w:val="11"/>
        </w:rPr>
        <w:t> </w:t>
      </w:r>
      <w:r>
        <w:rPr/>
        <w:t>as</w:t>
      </w:r>
      <w:r>
        <w:rPr>
          <w:spacing w:val="11"/>
        </w:rPr>
        <w:t> </w:t>
      </w:r>
      <w:r>
        <w:rPr>
          <w:spacing w:val="-2"/>
        </w:rPr>
        <w:t>community</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80"/>
        <w:jc w:val="both"/>
      </w:pPr>
      <w:r>
        <w:rPr/>
        <w:t>colleges. Second, they could be affiliated with </w:t>
      </w:r>
      <w:r>
        <w:rPr/>
        <w:t>the Central Board of Undergraduate Education or State </w:t>
      </w:r>
      <w:r>
        <w:rPr>
          <w:spacing w:val="-2"/>
        </w:rPr>
        <w:t>Boards</w:t>
      </w:r>
      <w:r>
        <w:rPr>
          <w:spacing w:val="-12"/>
        </w:rPr>
        <w:t> </w:t>
      </w:r>
      <w:r>
        <w:rPr>
          <w:spacing w:val="-2"/>
        </w:rPr>
        <w:t>of</w:t>
      </w:r>
      <w:r>
        <w:rPr>
          <w:spacing w:val="-9"/>
        </w:rPr>
        <w:t> </w:t>
      </w:r>
      <w:r>
        <w:rPr>
          <w:spacing w:val="-2"/>
        </w:rPr>
        <w:t>Undergraduate</w:t>
      </w:r>
      <w:r>
        <w:rPr>
          <w:spacing w:val="-9"/>
        </w:rPr>
        <w:t> </w:t>
      </w:r>
      <w:r>
        <w:rPr>
          <w:spacing w:val="-2"/>
        </w:rPr>
        <w:t>Education.</w:t>
      </w:r>
      <w:r>
        <w:rPr>
          <w:spacing w:val="-12"/>
        </w:rPr>
        <w:t> </w:t>
      </w:r>
      <w:r>
        <w:rPr>
          <w:spacing w:val="-2"/>
        </w:rPr>
        <w:t>Third,</w:t>
      </w:r>
      <w:r>
        <w:rPr>
          <w:spacing w:val="-8"/>
        </w:rPr>
        <w:t> </w:t>
      </w:r>
      <w:r>
        <w:rPr>
          <w:spacing w:val="-2"/>
        </w:rPr>
        <w:t>they</w:t>
      </w:r>
      <w:r>
        <w:rPr>
          <w:spacing w:val="-9"/>
        </w:rPr>
        <w:t> </w:t>
      </w:r>
      <w:r>
        <w:rPr>
          <w:spacing w:val="-2"/>
        </w:rPr>
        <w:t>could be</w:t>
      </w:r>
      <w:r>
        <w:rPr>
          <w:spacing w:val="-6"/>
        </w:rPr>
        <w:t> </w:t>
      </w:r>
      <w:r>
        <w:rPr>
          <w:spacing w:val="-2"/>
        </w:rPr>
        <w:t>affiliated</w:t>
      </w:r>
      <w:r>
        <w:rPr>
          <w:spacing w:val="-6"/>
        </w:rPr>
        <w:t> </w:t>
      </w:r>
      <w:r>
        <w:rPr>
          <w:spacing w:val="-2"/>
        </w:rPr>
        <w:t>with</w:t>
      </w:r>
      <w:r>
        <w:rPr>
          <w:spacing w:val="-6"/>
        </w:rPr>
        <w:t> </w:t>
      </w:r>
      <w:r>
        <w:rPr>
          <w:spacing w:val="-2"/>
        </w:rPr>
        <w:t>new</w:t>
      </w:r>
      <w:r>
        <w:rPr>
          <w:spacing w:val="-6"/>
        </w:rPr>
        <w:t> </w:t>
      </w:r>
      <w:r>
        <w:rPr>
          <w:spacing w:val="-2"/>
        </w:rPr>
        <w:t>universities</w:t>
      </w:r>
      <w:r>
        <w:rPr>
          <w:spacing w:val="-6"/>
        </w:rPr>
        <w:t> </w:t>
      </w:r>
      <w:r>
        <w:rPr>
          <w:spacing w:val="-2"/>
        </w:rPr>
        <w:t>that</w:t>
      </w:r>
      <w:r>
        <w:rPr>
          <w:spacing w:val="-6"/>
        </w:rPr>
        <w:t> </w:t>
      </w:r>
      <w:r>
        <w:rPr>
          <w:spacing w:val="-2"/>
        </w:rPr>
        <w:t>are</w:t>
      </w:r>
      <w:r>
        <w:rPr>
          <w:spacing w:val="-6"/>
        </w:rPr>
        <w:t> </w:t>
      </w:r>
      <w:r>
        <w:rPr>
          <w:spacing w:val="-2"/>
        </w:rPr>
        <w:t>established.</w:t>
      </w:r>
    </w:p>
    <w:p>
      <w:pPr>
        <w:pStyle w:val="BodyText"/>
        <w:spacing w:before="24"/>
      </w:pPr>
    </w:p>
    <w:p>
      <w:pPr>
        <w:pStyle w:val="BodyText"/>
        <w:spacing w:line="266" w:lineRule="auto"/>
        <w:ind w:left="1080"/>
        <w:jc w:val="both"/>
      </w:pPr>
      <w:r>
        <w:rPr/>
        <w:t>There are, of course, issues related to </w:t>
      </w:r>
      <w:r>
        <w:rPr/>
        <w:t>governance, </w:t>
      </w:r>
      <w:r>
        <w:rPr>
          <w:spacing w:val="-6"/>
        </w:rPr>
        <w:t>curricula, examinations, course credits and access which </w:t>
      </w:r>
      <w:r>
        <w:rPr/>
        <w:t>arise in the context of undergraduate colleges.</w:t>
      </w:r>
      <w:r>
        <w:rPr>
          <w:spacing w:val="-3"/>
        </w:rPr>
        <w:t> </w:t>
      </w:r>
      <w:r>
        <w:rPr/>
        <w:t>These </w:t>
      </w:r>
      <w:r>
        <w:rPr>
          <w:spacing w:val="-4"/>
        </w:rPr>
        <w:t>have</w:t>
      </w:r>
      <w:r>
        <w:rPr>
          <w:spacing w:val="-6"/>
        </w:rPr>
        <w:t> </w:t>
      </w:r>
      <w:r>
        <w:rPr>
          <w:spacing w:val="-4"/>
        </w:rPr>
        <w:t>been</w:t>
      </w:r>
      <w:r>
        <w:rPr>
          <w:spacing w:val="-6"/>
        </w:rPr>
        <w:t> </w:t>
      </w:r>
      <w:r>
        <w:rPr>
          <w:spacing w:val="-4"/>
        </w:rPr>
        <w:t>discussed</w:t>
      </w:r>
      <w:r>
        <w:rPr>
          <w:spacing w:val="-6"/>
        </w:rPr>
        <w:t> </w:t>
      </w:r>
      <w:r>
        <w:rPr>
          <w:spacing w:val="-4"/>
        </w:rPr>
        <w:t>in</w:t>
      </w:r>
      <w:r>
        <w:rPr>
          <w:spacing w:val="-6"/>
        </w:rPr>
        <w:t> </w:t>
      </w:r>
      <w:r>
        <w:rPr>
          <w:spacing w:val="-4"/>
        </w:rPr>
        <w:t>the</w:t>
      </w:r>
      <w:r>
        <w:rPr>
          <w:spacing w:val="-6"/>
        </w:rPr>
        <w:t> </w:t>
      </w:r>
      <w:r>
        <w:rPr>
          <w:spacing w:val="-4"/>
        </w:rPr>
        <w:t>context</w:t>
      </w:r>
      <w:r>
        <w:rPr>
          <w:spacing w:val="-6"/>
        </w:rPr>
        <w:t> </w:t>
      </w:r>
      <w:r>
        <w:rPr>
          <w:spacing w:val="-4"/>
        </w:rPr>
        <w:t>of</w:t>
      </w:r>
      <w:r>
        <w:rPr>
          <w:spacing w:val="-6"/>
        </w:rPr>
        <w:t> </w:t>
      </w:r>
      <w:r>
        <w:rPr>
          <w:spacing w:val="-4"/>
        </w:rPr>
        <w:t>universities</w:t>
      </w:r>
      <w:r>
        <w:rPr>
          <w:spacing w:val="-6"/>
        </w:rPr>
        <w:t> </w:t>
      </w:r>
      <w:r>
        <w:rPr>
          <w:spacing w:val="-4"/>
        </w:rPr>
        <w:t>in</w:t>
      </w:r>
      <w:r>
        <w:rPr>
          <w:spacing w:val="-6"/>
        </w:rPr>
        <w:t> </w:t>
      </w:r>
      <w:r>
        <w:rPr>
          <w:spacing w:val="-4"/>
        </w:rPr>
        <w:t>the </w:t>
      </w:r>
      <w:r>
        <w:rPr/>
        <w:t>preceding section of this note.</w:t>
      </w:r>
    </w:p>
    <w:p>
      <w:pPr>
        <w:pStyle w:val="Heading6"/>
        <w:numPr>
          <w:ilvl w:val="0"/>
          <w:numId w:val="25"/>
        </w:numPr>
        <w:tabs>
          <w:tab w:pos="1405" w:val="left" w:leader="none"/>
        </w:tabs>
        <w:spacing w:line="240" w:lineRule="auto" w:before="183" w:after="0"/>
        <w:ind w:left="1405" w:right="0" w:hanging="325"/>
        <w:jc w:val="left"/>
      </w:pPr>
      <w:r>
        <w:rPr>
          <w:color w:val="2E614A"/>
          <w:spacing w:val="-2"/>
        </w:rPr>
        <w:t>Regulation</w:t>
      </w:r>
    </w:p>
    <w:p>
      <w:pPr>
        <w:pStyle w:val="BodyText"/>
        <w:spacing w:line="266" w:lineRule="auto" w:before="285"/>
        <w:ind w:left="1080" w:right="1"/>
        <w:jc w:val="both"/>
      </w:pPr>
      <w:r>
        <w:rPr/>
        <w:t>There is a clear need to establish an </w:t>
      </w:r>
      <w:r>
        <w:rPr/>
        <w:t>Independent Regulatory</w:t>
      </w:r>
      <w:r>
        <w:rPr>
          <w:spacing w:val="-14"/>
        </w:rPr>
        <w:t> </w:t>
      </w:r>
      <w:r>
        <w:rPr/>
        <w:t>Authority</w:t>
      </w:r>
      <w:r>
        <w:rPr>
          <w:spacing w:val="-14"/>
        </w:rPr>
        <w:t> </w:t>
      </w:r>
      <w:r>
        <w:rPr/>
        <w:t>for</w:t>
      </w:r>
      <w:r>
        <w:rPr>
          <w:spacing w:val="-14"/>
        </w:rPr>
        <w:t> </w:t>
      </w:r>
      <w:r>
        <w:rPr/>
        <w:t>Higher</w:t>
      </w:r>
      <w:r>
        <w:rPr>
          <w:spacing w:val="-13"/>
        </w:rPr>
        <w:t> </w:t>
      </w:r>
      <w:r>
        <w:rPr/>
        <w:t>Education</w:t>
      </w:r>
      <w:r>
        <w:rPr>
          <w:spacing w:val="-14"/>
        </w:rPr>
        <w:t> </w:t>
      </w:r>
      <w:r>
        <w:rPr/>
        <w:t>(IRAHE). Such a regulatory authority is both necessary and </w:t>
      </w:r>
      <w:r>
        <w:rPr>
          <w:spacing w:val="-2"/>
        </w:rPr>
        <w:t>desirable.</w:t>
      </w:r>
    </w:p>
    <w:p>
      <w:pPr>
        <w:pStyle w:val="BodyText"/>
        <w:spacing w:before="23"/>
      </w:pPr>
    </w:p>
    <w:p>
      <w:pPr>
        <w:pStyle w:val="BodyText"/>
        <w:spacing w:line="266" w:lineRule="auto" w:before="1"/>
        <w:ind w:left="1080"/>
        <w:jc w:val="both"/>
      </w:pPr>
      <w:r>
        <w:rPr/>
        <w:t>It is necessary for two important reasons. First, </w:t>
      </w:r>
      <w:r>
        <w:rPr/>
        <w:t>in India, it requires an Act of Legislature of Parliament to</w:t>
      </w:r>
      <w:r>
        <w:rPr>
          <w:spacing w:val="-7"/>
        </w:rPr>
        <w:t> </w:t>
      </w:r>
      <w:r>
        <w:rPr/>
        <w:t>set</w:t>
      </w:r>
      <w:r>
        <w:rPr>
          <w:spacing w:val="-7"/>
        </w:rPr>
        <w:t> </w:t>
      </w:r>
      <w:r>
        <w:rPr/>
        <w:t>up</w:t>
      </w:r>
      <w:r>
        <w:rPr>
          <w:spacing w:val="-7"/>
        </w:rPr>
        <w:t> </w:t>
      </w:r>
      <w:r>
        <w:rPr/>
        <w:t>a</w:t>
      </w:r>
      <w:r>
        <w:rPr>
          <w:spacing w:val="-7"/>
        </w:rPr>
        <w:t> </w:t>
      </w:r>
      <w:r>
        <w:rPr/>
        <w:t>University.</w:t>
      </w:r>
      <w:r>
        <w:rPr>
          <w:spacing w:val="-13"/>
        </w:rPr>
        <w:t> </w:t>
      </w:r>
      <w:r>
        <w:rPr/>
        <w:t>The</w:t>
      </w:r>
      <w:r>
        <w:rPr>
          <w:spacing w:val="-7"/>
        </w:rPr>
        <w:t> </w:t>
      </w:r>
      <w:r>
        <w:rPr/>
        <w:t>deemed</w:t>
      </w:r>
      <w:r>
        <w:rPr>
          <w:spacing w:val="-7"/>
        </w:rPr>
        <w:t> </w:t>
      </w:r>
      <w:r>
        <w:rPr/>
        <w:t>university</w:t>
      </w:r>
      <w:r>
        <w:rPr>
          <w:spacing w:val="-7"/>
        </w:rPr>
        <w:t> </w:t>
      </w:r>
      <w:r>
        <w:rPr/>
        <w:t>route</w:t>
      </w:r>
      <w:r>
        <w:rPr>
          <w:spacing w:val="-7"/>
        </w:rPr>
        <w:t> </w:t>
      </w:r>
      <w:r>
        <w:rPr/>
        <w:t>is much</w:t>
      </w:r>
      <w:r>
        <w:rPr>
          <w:spacing w:val="-6"/>
        </w:rPr>
        <w:t> </w:t>
      </w:r>
      <w:r>
        <w:rPr/>
        <w:t>too</w:t>
      </w:r>
      <w:r>
        <w:rPr>
          <w:spacing w:val="-6"/>
        </w:rPr>
        <w:t> </w:t>
      </w:r>
      <w:r>
        <w:rPr/>
        <w:t>difficult</w:t>
      </w:r>
      <w:r>
        <w:rPr>
          <w:spacing w:val="-6"/>
        </w:rPr>
        <w:t> </w:t>
      </w:r>
      <w:r>
        <w:rPr/>
        <w:t>for</w:t>
      </w:r>
      <w:r>
        <w:rPr>
          <w:spacing w:val="-6"/>
        </w:rPr>
        <w:t> </w:t>
      </w:r>
      <w:r>
        <w:rPr/>
        <w:t>new</w:t>
      </w:r>
      <w:r>
        <w:rPr>
          <w:spacing w:val="-6"/>
        </w:rPr>
        <w:t> </w:t>
      </w:r>
      <w:r>
        <w:rPr/>
        <w:t>institutions.</w:t>
      </w:r>
      <w:r>
        <w:rPr>
          <w:spacing w:val="-6"/>
        </w:rPr>
        <w:t> </w:t>
      </w:r>
      <w:r>
        <w:rPr/>
        <w:t>Entry</w:t>
      </w:r>
      <w:r>
        <w:rPr>
          <w:spacing w:val="-6"/>
        </w:rPr>
        <w:t> </w:t>
      </w:r>
      <w:r>
        <w:rPr/>
        <w:t>through legislation</w:t>
      </w:r>
      <w:r>
        <w:rPr>
          <w:spacing w:val="-16"/>
        </w:rPr>
        <w:t> </w:t>
      </w:r>
      <w:r>
        <w:rPr/>
        <w:t>alone,</w:t>
      </w:r>
      <w:r>
        <w:rPr>
          <w:spacing w:val="-14"/>
        </w:rPr>
        <w:t> </w:t>
      </w:r>
      <w:r>
        <w:rPr/>
        <w:t>as</w:t>
      </w:r>
      <w:r>
        <w:rPr>
          <w:spacing w:val="-14"/>
        </w:rPr>
        <w:t> </w:t>
      </w:r>
      <w:r>
        <w:rPr/>
        <w:t>at</w:t>
      </w:r>
      <w:r>
        <w:rPr>
          <w:spacing w:val="-13"/>
        </w:rPr>
        <w:t> </w:t>
      </w:r>
      <w:r>
        <w:rPr/>
        <w:t>present,</w:t>
      </w:r>
      <w:r>
        <w:rPr>
          <w:spacing w:val="-14"/>
        </w:rPr>
        <w:t> </w:t>
      </w:r>
      <w:r>
        <w:rPr/>
        <w:t>is</w:t>
      </w:r>
      <w:r>
        <w:rPr>
          <w:spacing w:val="-14"/>
        </w:rPr>
        <w:t> </w:t>
      </w:r>
      <w:r>
        <w:rPr/>
        <w:t>a</w:t>
      </w:r>
      <w:r>
        <w:rPr>
          <w:spacing w:val="-14"/>
        </w:rPr>
        <w:t> </w:t>
      </w:r>
      <w:r>
        <w:rPr/>
        <w:t>formidable</w:t>
      </w:r>
      <w:r>
        <w:rPr>
          <w:spacing w:val="-13"/>
        </w:rPr>
        <w:t> </w:t>
      </w:r>
      <w:r>
        <w:rPr/>
        <w:t>barrier. The consequence is a steady increase in the average </w:t>
      </w:r>
      <w:r>
        <w:rPr>
          <w:spacing w:val="-2"/>
        </w:rPr>
        <w:t>size</w:t>
      </w:r>
      <w:r>
        <w:rPr>
          <w:spacing w:val="-7"/>
        </w:rPr>
        <w:t> </w:t>
      </w:r>
      <w:r>
        <w:rPr>
          <w:spacing w:val="-2"/>
        </w:rPr>
        <w:t>of</w:t>
      </w:r>
      <w:r>
        <w:rPr>
          <w:spacing w:val="-7"/>
        </w:rPr>
        <w:t> </w:t>
      </w:r>
      <w:r>
        <w:rPr>
          <w:spacing w:val="-2"/>
        </w:rPr>
        <w:t>existing</w:t>
      </w:r>
      <w:r>
        <w:rPr>
          <w:spacing w:val="-7"/>
        </w:rPr>
        <w:t> </w:t>
      </w:r>
      <w:r>
        <w:rPr>
          <w:spacing w:val="-2"/>
        </w:rPr>
        <w:t>universities</w:t>
      </w:r>
      <w:r>
        <w:rPr>
          <w:spacing w:val="-7"/>
        </w:rPr>
        <w:t> </w:t>
      </w:r>
      <w:r>
        <w:rPr>
          <w:spacing w:val="-2"/>
        </w:rPr>
        <w:t>with</w:t>
      </w:r>
      <w:r>
        <w:rPr>
          <w:spacing w:val="-7"/>
        </w:rPr>
        <w:t> </w:t>
      </w:r>
      <w:r>
        <w:rPr>
          <w:spacing w:val="-2"/>
        </w:rPr>
        <w:t>a</w:t>
      </w:r>
      <w:r>
        <w:rPr>
          <w:spacing w:val="-7"/>
        </w:rPr>
        <w:t> </w:t>
      </w:r>
      <w:r>
        <w:rPr>
          <w:spacing w:val="-2"/>
        </w:rPr>
        <w:t>steady</w:t>
      </w:r>
      <w:r>
        <w:rPr>
          <w:spacing w:val="-7"/>
        </w:rPr>
        <w:t> </w:t>
      </w:r>
      <w:r>
        <w:rPr>
          <w:spacing w:val="-2"/>
        </w:rPr>
        <w:t>deterioration </w:t>
      </w:r>
      <w:r>
        <w:rPr/>
        <w:t>in their quality. The absence of competition only </w:t>
      </w:r>
      <w:r>
        <w:rPr>
          <w:spacing w:val="-4"/>
        </w:rPr>
        <w:t>compounds</w:t>
      </w:r>
      <w:r>
        <w:rPr>
          <w:spacing w:val="-12"/>
        </w:rPr>
        <w:t> </w:t>
      </w:r>
      <w:r>
        <w:rPr>
          <w:spacing w:val="-4"/>
        </w:rPr>
        <w:t>problems.</w:t>
      </w:r>
      <w:r>
        <w:rPr>
          <w:spacing w:val="-10"/>
        </w:rPr>
        <w:t> </w:t>
      </w:r>
      <w:r>
        <w:rPr>
          <w:spacing w:val="-4"/>
        </w:rPr>
        <w:t>Second,</w:t>
      </w:r>
      <w:r>
        <w:rPr>
          <w:spacing w:val="-10"/>
        </w:rPr>
        <w:t> </w:t>
      </w:r>
      <w:r>
        <w:rPr>
          <w:spacing w:val="-4"/>
        </w:rPr>
        <w:t>as</w:t>
      </w:r>
      <w:r>
        <w:rPr>
          <w:spacing w:val="-9"/>
        </w:rPr>
        <w:t> </w:t>
      </w:r>
      <w:r>
        <w:rPr>
          <w:spacing w:val="-4"/>
        </w:rPr>
        <w:t>we</w:t>
      </w:r>
      <w:r>
        <w:rPr>
          <w:spacing w:val="-10"/>
        </w:rPr>
        <w:t> </w:t>
      </w:r>
      <w:r>
        <w:rPr>
          <w:spacing w:val="-4"/>
        </w:rPr>
        <w:t>seek</w:t>
      </w:r>
      <w:r>
        <w:rPr>
          <w:spacing w:val="-10"/>
        </w:rPr>
        <w:t> </w:t>
      </w:r>
      <w:r>
        <w:rPr>
          <w:spacing w:val="-4"/>
        </w:rPr>
        <w:t>to</w:t>
      </w:r>
      <w:r>
        <w:rPr>
          <w:spacing w:val="-10"/>
        </w:rPr>
        <w:t> </w:t>
      </w:r>
      <w:r>
        <w:rPr>
          <w:spacing w:val="-4"/>
        </w:rPr>
        <w:t>expand</w:t>
      </w:r>
      <w:r>
        <w:rPr>
          <w:spacing w:val="-9"/>
        </w:rPr>
        <w:t> </w:t>
      </w:r>
      <w:r>
        <w:rPr>
          <w:spacing w:val="-4"/>
        </w:rPr>
        <w:t>the </w:t>
      </w:r>
      <w:r>
        <w:rPr/>
        <w:t>higher education system, entry norms will be needed </w:t>
      </w:r>
      <w:r>
        <w:rPr>
          <w:spacing w:val="-2"/>
        </w:rPr>
        <w:t>for</w:t>
      </w:r>
      <w:r>
        <w:rPr>
          <w:spacing w:val="-9"/>
        </w:rPr>
        <w:t> </w:t>
      </w:r>
      <w:r>
        <w:rPr>
          <w:spacing w:val="-2"/>
        </w:rPr>
        <w:t>private</w:t>
      </w:r>
      <w:r>
        <w:rPr>
          <w:spacing w:val="-9"/>
        </w:rPr>
        <w:t> </w:t>
      </w:r>
      <w:r>
        <w:rPr>
          <w:spacing w:val="-2"/>
        </w:rPr>
        <w:t>institutions</w:t>
      </w:r>
      <w:r>
        <w:rPr>
          <w:spacing w:val="-9"/>
        </w:rPr>
        <w:t> </w:t>
      </w:r>
      <w:r>
        <w:rPr>
          <w:spacing w:val="-2"/>
        </w:rPr>
        <w:t>and</w:t>
      </w:r>
      <w:r>
        <w:rPr>
          <w:spacing w:val="-9"/>
        </w:rPr>
        <w:t> </w:t>
      </w:r>
      <w:r>
        <w:rPr>
          <w:spacing w:val="-2"/>
        </w:rPr>
        <w:t>public-private</w:t>
      </w:r>
      <w:r>
        <w:rPr>
          <w:spacing w:val="-9"/>
        </w:rPr>
        <w:t> </w:t>
      </w:r>
      <w:r>
        <w:rPr>
          <w:spacing w:val="-2"/>
        </w:rPr>
        <w:t>partnerships. </w:t>
      </w:r>
      <w:r>
        <w:rPr/>
        <w:t>The institutional framework for this purpose must be put in place here and now.</w:t>
      </w:r>
    </w:p>
    <w:p>
      <w:pPr>
        <w:pStyle w:val="BodyText"/>
        <w:spacing w:before="16"/>
      </w:pPr>
    </w:p>
    <w:p>
      <w:pPr>
        <w:pStyle w:val="BodyText"/>
        <w:spacing w:line="266" w:lineRule="auto"/>
        <w:ind w:left="1080"/>
        <w:jc w:val="both"/>
      </w:pPr>
      <w:r>
        <w:rPr>
          <w:spacing w:val="-4"/>
        </w:rPr>
        <w:t>It</w:t>
      </w:r>
      <w:r>
        <w:rPr>
          <w:spacing w:val="-5"/>
        </w:rPr>
        <w:t> </w:t>
      </w:r>
      <w:r>
        <w:rPr>
          <w:spacing w:val="-4"/>
        </w:rPr>
        <w:t>is</w:t>
      </w:r>
      <w:r>
        <w:rPr>
          <w:spacing w:val="-5"/>
        </w:rPr>
        <w:t> </w:t>
      </w:r>
      <w:r>
        <w:rPr>
          <w:spacing w:val="-4"/>
        </w:rPr>
        <w:t>desirable</w:t>
      </w:r>
      <w:r>
        <w:rPr>
          <w:spacing w:val="-5"/>
        </w:rPr>
        <w:t> </w:t>
      </w:r>
      <w:r>
        <w:rPr>
          <w:spacing w:val="-4"/>
        </w:rPr>
        <w:t>for</w:t>
      </w:r>
      <w:r>
        <w:rPr>
          <w:spacing w:val="-5"/>
        </w:rPr>
        <w:t> </w:t>
      </w:r>
      <w:r>
        <w:rPr>
          <w:spacing w:val="-4"/>
        </w:rPr>
        <w:t>four</w:t>
      </w:r>
      <w:r>
        <w:rPr>
          <w:spacing w:val="-5"/>
        </w:rPr>
        <w:t> </w:t>
      </w:r>
      <w:r>
        <w:rPr>
          <w:spacing w:val="-4"/>
        </w:rPr>
        <w:t>important</w:t>
      </w:r>
      <w:r>
        <w:rPr>
          <w:spacing w:val="-5"/>
        </w:rPr>
        <w:t> </w:t>
      </w:r>
      <w:r>
        <w:rPr>
          <w:spacing w:val="-4"/>
        </w:rPr>
        <w:t>reasons.</w:t>
      </w:r>
      <w:r>
        <w:rPr>
          <w:spacing w:val="-5"/>
        </w:rPr>
        <w:t> </w:t>
      </w:r>
      <w:r>
        <w:rPr>
          <w:spacing w:val="-4"/>
        </w:rPr>
        <w:t>First,</w:t>
      </w:r>
      <w:r>
        <w:rPr>
          <w:spacing w:val="-5"/>
        </w:rPr>
        <w:t> </w:t>
      </w:r>
      <w:r>
        <w:rPr>
          <w:spacing w:val="-4"/>
        </w:rPr>
        <w:t>it</w:t>
      </w:r>
      <w:r>
        <w:rPr>
          <w:spacing w:val="-5"/>
        </w:rPr>
        <w:t> </w:t>
      </w:r>
      <w:r>
        <w:rPr>
          <w:spacing w:val="-4"/>
        </w:rPr>
        <w:t>would </w:t>
      </w:r>
      <w:r>
        <w:rPr>
          <w:spacing w:val="-8"/>
        </w:rPr>
        <w:t>minimise</w:t>
      </w:r>
      <w:r>
        <w:rPr>
          <w:spacing w:val="-2"/>
        </w:rPr>
        <w:t> </w:t>
      </w:r>
      <w:r>
        <w:rPr>
          <w:spacing w:val="-8"/>
        </w:rPr>
        <w:t>conflicts</w:t>
      </w:r>
      <w:r>
        <w:rPr>
          <w:spacing w:val="-2"/>
        </w:rPr>
        <w:t> </w:t>
      </w:r>
      <w:r>
        <w:rPr>
          <w:spacing w:val="-8"/>
        </w:rPr>
        <w:t>of</w:t>
      </w:r>
      <w:r>
        <w:rPr>
          <w:spacing w:val="-2"/>
        </w:rPr>
        <w:t> </w:t>
      </w:r>
      <w:r>
        <w:rPr>
          <w:spacing w:val="-8"/>
        </w:rPr>
        <w:t>interest</w:t>
      </w:r>
      <w:r>
        <w:rPr>
          <w:spacing w:val="-2"/>
        </w:rPr>
        <w:t> </w:t>
      </w:r>
      <w:r>
        <w:rPr>
          <w:spacing w:val="-8"/>
        </w:rPr>
        <w:t>as</w:t>
      </w:r>
      <w:r>
        <w:rPr>
          <w:spacing w:val="-2"/>
        </w:rPr>
        <w:t> </w:t>
      </w:r>
      <w:r>
        <w:rPr>
          <w:spacing w:val="-8"/>
        </w:rPr>
        <w:t>it</w:t>
      </w:r>
      <w:r>
        <w:rPr>
          <w:spacing w:val="-2"/>
        </w:rPr>
        <w:t> </w:t>
      </w:r>
      <w:r>
        <w:rPr>
          <w:spacing w:val="-8"/>
        </w:rPr>
        <w:t>would</w:t>
      </w:r>
      <w:r>
        <w:rPr>
          <w:spacing w:val="-2"/>
        </w:rPr>
        <w:t> </w:t>
      </w:r>
      <w:r>
        <w:rPr>
          <w:spacing w:val="-8"/>
        </w:rPr>
        <w:t>create</w:t>
      </w:r>
      <w:r>
        <w:rPr>
          <w:spacing w:val="-2"/>
        </w:rPr>
        <w:t> </w:t>
      </w:r>
      <w:r>
        <w:rPr>
          <w:spacing w:val="-8"/>
        </w:rPr>
        <w:t>an</w:t>
      </w:r>
      <w:r>
        <w:rPr>
          <w:spacing w:val="-2"/>
        </w:rPr>
        <w:t> </w:t>
      </w:r>
      <w:r>
        <w:rPr>
          <w:spacing w:val="-8"/>
        </w:rPr>
        <w:t>arm’s- </w:t>
      </w:r>
      <w:r>
        <w:rPr/>
        <w:t>length distance from stakeholders. Second, it would replace the present system which is over-regulated but under-governed, through more appropriate</w:t>
      </w:r>
      <w:r>
        <w:rPr>
          <w:spacing w:val="80"/>
        </w:rPr>
        <w:t> </w:t>
      </w:r>
      <w:r>
        <w:rPr/>
        <w:t>forms of intervention. Third, it would rationalise the existing system where mandates are both confusing and overlapping. Fourth, it would dispense with the </w:t>
      </w:r>
      <w:r>
        <w:rPr>
          <w:spacing w:val="-2"/>
        </w:rPr>
        <w:t>multiplicity</w:t>
      </w:r>
      <w:r>
        <w:rPr>
          <w:spacing w:val="-7"/>
        </w:rPr>
        <w:t> </w:t>
      </w:r>
      <w:r>
        <w:rPr>
          <w:spacing w:val="-2"/>
        </w:rPr>
        <w:t>of</w:t>
      </w:r>
      <w:r>
        <w:rPr>
          <w:spacing w:val="-7"/>
        </w:rPr>
        <w:t> </w:t>
      </w:r>
      <w:r>
        <w:rPr>
          <w:spacing w:val="-2"/>
        </w:rPr>
        <w:t>regulatory</w:t>
      </w:r>
      <w:r>
        <w:rPr>
          <w:spacing w:val="-7"/>
        </w:rPr>
        <w:t> </w:t>
      </w:r>
      <w:r>
        <w:rPr>
          <w:spacing w:val="-2"/>
        </w:rPr>
        <w:t>agencies</w:t>
      </w:r>
      <w:r>
        <w:rPr>
          <w:spacing w:val="-7"/>
        </w:rPr>
        <w:t> </w:t>
      </w:r>
      <w:r>
        <w:rPr>
          <w:spacing w:val="-2"/>
        </w:rPr>
        <w:t>to</w:t>
      </w:r>
      <w:r>
        <w:rPr>
          <w:spacing w:val="-7"/>
        </w:rPr>
        <w:t> </w:t>
      </w:r>
      <w:r>
        <w:rPr>
          <w:spacing w:val="-2"/>
        </w:rPr>
        <w:t>provide</w:t>
      </w:r>
      <w:r>
        <w:rPr>
          <w:spacing w:val="-7"/>
        </w:rPr>
        <w:t> </w:t>
      </w:r>
      <w:r>
        <w:rPr>
          <w:spacing w:val="-2"/>
        </w:rPr>
        <w:t>a</w:t>
      </w:r>
      <w:r>
        <w:rPr>
          <w:spacing w:val="-7"/>
        </w:rPr>
        <w:t> </w:t>
      </w:r>
      <w:r>
        <w:rPr>
          <w:spacing w:val="-2"/>
        </w:rPr>
        <w:t>single- </w:t>
      </w:r>
      <w:r>
        <w:rPr/>
        <w:t>window clearance.</w:t>
      </w:r>
    </w:p>
    <w:p>
      <w:pPr>
        <w:pStyle w:val="BodyText"/>
        <w:spacing w:before="19"/>
      </w:pPr>
    </w:p>
    <w:p>
      <w:pPr>
        <w:pStyle w:val="BodyText"/>
        <w:spacing w:line="266" w:lineRule="auto"/>
        <w:ind w:left="1080"/>
        <w:jc w:val="both"/>
      </w:pPr>
      <w:r>
        <w:rPr/>
        <w:t>The present regulatory system in higher education is flawed</w:t>
      </w:r>
      <w:r>
        <w:rPr>
          <w:spacing w:val="-5"/>
        </w:rPr>
        <w:t> </w:t>
      </w:r>
      <w:r>
        <w:rPr/>
        <w:t>in</w:t>
      </w:r>
      <w:r>
        <w:rPr>
          <w:spacing w:val="-5"/>
        </w:rPr>
        <w:t> </w:t>
      </w:r>
      <w:r>
        <w:rPr/>
        <w:t>many</w:t>
      </w:r>
      <w:r>
        <w:rPr>
          <w:spacing w:val="-5"/>
        </w:rPr>
        <w:t> </w:t>
      </w:r>
      <w:r>
        <w:rPr/>
        <w:t>respects.</w:t>
      </w:r>
      <w:r>
        <w:rPr>
          <w:spacing w:val="-11"/>
        </w:rPr>
        <w:t> </w:t>
      </w:r>
      <w:r>
        <w:rPr/>
        <w:t>The</w:t>
      </w:r>
      <w:r>
        <w:rPr>
          <w:spacing w:val="-5"/>
        </w:rPr>
        <w:t> </w:t>
      </w:r>
      <w:r>
        <w:rPr/>
        <w:t>barriers</w:t>
      </w:r>
      <w:r>
        <w:rPr>
          <w:spacing w:val="-5"/>
        </w:rPr>
        <w:t> </w:t>
      </w:r>
      <w:r>
        <w:rPr/>
        <w:t>to</w:t>
      </w:r>
      <w:r>
        <w:rPr>
          <w:spacing w:val="-5"/>
        </w:rPr>
        <w:t> </w:t>
      </w:r>
      <w:r>
        <w:rPr/>
        <w:t>entry</w:t>
      </w:r>
      <w:r>
        <w:rPr>
          <w:spacing w:val="-5"/>
        </w:rPr>
        <w:t> </w:t>
      </w:r>
      <w:r>
        <w:rPr/>
        <w:t>are</w:t>
      </w:r>
      <w:r>
        <w:rPr>
          <w:spacing w:val="-5"/>
        </w:rPr>
        <w:t> </w:t>
      </w:r>
      <w:r>
        <w:rPr/>
        <w:t>too high.</w:t>
      </w:r>
      <w:r>
        <w:rPr>
          <w:spacing w:val="-14"/>
        </w:rPr>
        <w:t> </w:t>
      </w:r>
      <w:r>
        <w:rPr/>
        <w:t>The</w:t>
      </w:r>
      <w:r>
        <w:rPr>
          <w:spacing w:val="-13"/>
        </w:rPr>
        <w:t> </w:t>
      </w:r>
      <w:r>
        <w:rPr/>
        <w:t>system</w:t>
      </w:r>
      <w:r>
        <w:rPr>
          <w:spacing w:val="-11"/>
        </w:rPr>
        <w:t> </w:t>
      </w:r>
      <w:r>
        <w:rPr/>
        <w:t>of</w:t>
      </w:r>
      <w:r>
        <w:rPr>
          <w:spacing w:val="-11"/>
        </w:rPr>
        <w:t> </w:t>
      </w:r>
      <w:r>
        <w:rPr/>
        <w:t>authorising</w:t>
      </w:r>
      <w:r>
        <w:rPr>
          <w:spacing w:val="-11"/>
        </w:rPr>
        <w:t> </w:t>
      </w:r>
      <w:r>
        <w:rPr/>
        <w:t>entry</w:t>
      </w:r>
      <w:r>
        <w:rPr>
          <w:spacing w:val="-11"/>
        </w:rPr>
        <w:t> </w:t>
      </w:r>
      <w:r>
        <w:rPr/>
        <w:t>is</w:t>
      </w:r>
      <w:r>
        <w:rPr>
          <w:spacing w:val="-11"/>
        </w:rPr>
        <w:t> </w:t>
      </w:r>
      <w:r>
        <w:rPr/>
        <w:t>cumbersome. And</w:t>
      </w:r>
      <w:r>
        <w:rPr>
          <w:spacing w:val="-2"/>
        </w:rPr>
        <w:t> </w:t>
      </w:r>
      <w:r>
        <w:rPr/>
        <w:t>there</w:t>
      </w:r>
      <w:r>
        <w:rPr>
          <w:spacing w:val="-2"/>
        </w:rPr>
        <w:t> </w:t>
      </w:r>
      <w:r>
        <w:rPr/>
        <w:t>are</w:t>
      </w:r>
      <w:r>
        <w:rPr>
          <w:spacing w:val="-2"/>
        </w:rPr>
        <w:t> </w:t>
      </w:r>
      <w:r>
        <w:rPr/>
        <w:t>extensive</w:t>
      </w:r>
      <w:r>
        <w:rPr>
          <w:spacing w:val="-2"/>
        </w:rPr>
        <w:t> </w:t>
      </w:r>
      <w:r>
        <w:rPr/>
        <w:t>rules</w:t>
      </w:r>
      <w:r>
        <w:rPr>
          <w:spacing w:val="-2"/>
        </w:rPr>
        <w:t> </w:t>
      </w:r>
      <w:r>
        <w:rPr/>
        <w:t>after</w:t>
      </w:r>
      <w:r>
        <w:rPr>
          <w:spacing w:val="-2"/>
        </w:rPr>
        <w:t> </w:t>
      </w:r>
      <w:r>
        <w:rPr/>
        <w:t>entry,</w:t>
      </w:r>
      <w:r>
        <w:rPr>
          <w:spacing w:val="-2"/>
        </w:rPr>
        <w:t> </w:t>
      </w:r>
      <w:r>
        <w:rPr/>
        <w:t>as</w:t>
      </w:r>
      <w:r>
        <w:rPr>
          <w:spacing w:val="-2"/>
        </w:rPr>
        <w:t> </w:t>
      </w:r>
      <w:r>
        <w:rPr/>
        <w:t>the</w:t>
      </w:r>
      <w:r>
        <w:rPr>
          <w:spacing w:val="-2"/>
        </w:rPr>
        <w:t> </w:t>
      </w:r>
      <w:r>
        <w:rPr/>
        <w:t>UGC seeks</w:t>
      </w:r>
      <w:r>
        <w:rPr>
          <w:spacing w:val="-7"/>
        </w:rPr>
        <w:t> </w:t>
      </w:r>
      <w:r>
        <w:rPr/>
        <w:t>to</w:t>
      </w:r>
      <w:r>
        <w:rPr>
          <w:spacing w:val="-7"/>
        </w:rPr>
        <w:t> </w:t>
      </w:r>
      <w:r>
        <w:rPr/>
        <w:t>regulate</w:t>
      </w:r>
      <w:r>
        <w:rPr>
          <w:spacing w:val="-7"/>
        </w:rPr>
        <w:t> </w:t>
      </w:r>
      <w:r>
        <w:rPr/>
        <w:t>almost</w:t>
      </w:r>
      <w:r>
        <w:rPr>
          <w:spacing w:val="-7"/>
        </w:rPr>
        <w:t> </w:t>
      </w:r>
      <w:r>
        <w:rPr/>
        <w:t>every</w:t>
      </w:r>
      <w:r>
        <w:rPr>
          <w:spacing w:val="-7"/>
        </w:rPr>
        <w:t> </w:t>
      </w:r>
      <w:r>
        <w:rPr/>
        <w:t>aspect</w:t>
      </w:r>
      <w:r>
        <w:rPr>
          <w:spacing w:val="-7"/>
        </w:rPr>
        <w:t> </w:t>
      </w:r>
      <w:r>
        <w:rPr/>
        <w:t>of</w:t>
      </w:r>
      <w:r>
        <w:rPr>
          <w:spacing w:val="-7"/>
        </w:rPr>
        <w:t> </w:t>
      </w:r>
      <w:r>
        <w:rPr/>
        <w:t>an</w:t>
      </w:r>
      <w:r>
        <w:rPr>
          <w:spacing w:val="-7"/>
        </w:rPr>
        <w:t> </w:t>
      </w:r>
      <w:r>
        <w:rPr/>
        <w:t>institution from fees to curriculum.</w:t>
      </w:r>
      <w:r>
        <w:rPr>
          <w:spacing w:val="-5"/>
        </w:rPr>
        <w:t> </w:t>
      </w:r>
      <w:r>
        <w:rPr/>
        <w:t>The system is also based on patently irrational principles. The UGC Act section </w:t>
      </w:r>
      <w:r>
        <w:rPr>
          <w:spacing w:val="-8"/>
        </w:rPr>
        <w:t>3.1.2(a)</w:t>
      </w:r>
      <w:r>
        <w:rPr/>
        <w:t> </w:t>
      </w:r>
      <w:r>
        <w:rPr>
          <w:spacing w:val="-8"/>
        </w:rPr>
        <w:t>suggests</w:t>
      </w:r>
      <w:r>
        <w:rPr/>
        <w:t> </w:t>
      </w:r>
      <w:r>
        <w:rPr>
          <w:spacing w:val="-8"/>
        </w:rPr>
        <w:t>that</w:t>
      </w:r>
      <w:r>
        <w:rPr/>
        <w:t> </w:t>
      </w:r>
      <w:r>
        <w:rPr>
          <w:spacing w:val="-8"/>
        </w:rPr>
        <w:t>permission</w:t>
      </w:r>
      <w:r>
        <w:rPr/>
        <w:t> </w:t>
      </w:r>
      <w:r>
        <w:rPr>
          <w:spacing w:val="-8"/>
        </w:rPr>
        <w:t>for</w:t>
      </w:r>
      <w:r>
        <w:rPr/>
        <w:t> </w:t>
      </w:r>
      <w:r>
        <w:rPr>
          <w:spacing w:val="-8"/>
        </w:rPr>
        <w:t>receiving</w:t>
      </w:r>
      <w:r>
        <w:rPr/>
        <w:t> </w:t>
      </w:r>
      <w:r>
        <w:rPr>
          <w:spacing w:val="-8"/>
        </w:rPr>
        <w:t>grants</w:t>
      </w:r>
      <w:r>
        <w:rPr/>
        <w:t> </w:t>
      </w:r>
      <w:r>
        <w:rPr>
          <w:spacing w:val="-8"/>
        </w:rPr>
        <w:t>will </w:t>
      </w:r>
      <w:r>
        <w:rPr>
          <w:spacing w:val="-4"/>
        </w:rPr>
        <w:t>be</w:t>
      </w:r>
      <w:r>
        <w:rPr>
          <w:spacing w:val="-7"/>
        </w:rPr>
        <w:t> </w:t>
      </w:r>
      <w:r>
        <w:rPr>
          <w:spacing w:val="-4"/>
        </w:rPr>
        <w:t>accorded</w:t>
      </w:r>
      <w:r>
        <w:rPr>
          <w:spacing w:val="-6"/>
        </w:rPr>
        <w:t> </w:t>
      </w:r>
      <w:r>
        <w:rPr>
          <w:spacing w:val="-4"/>
        </w:rPr>
        <w:t>only</w:t>
      </w:r>
      <w:r>
        <w:rPr>
          <w:spacing w:val="-7"/>
        </w:rPr>
        <w:t> </w:t>
      </w:r>
      <w:r>
        <w:rPr>
          <w:spacing w:val="-4"/>
        </w:rPr>
        <w:t>if</w:t>
      </w:r>
      <w:r>
        <w:rPr>
          <w:spacing w:val="-6"/>
        </w:rPr>
        <w:t> </w:t>
      </w:r>
      <w:r>
        <w:rPr>
          <w:spacing w:val="-4"/>
        </w:rPr>
        <w:t>the</w:t>
      </w:r>
      <w:r>
        <w:rPr>
          <w:spacing w:val="-7"/>
        </w:rPr>
        <w:t> </w:t>
      </w:r>
      <w:r>
        <w:rPr>
          <w:spacing w:val="-4"/>
        </w:rPr>
        <w:t>Commission</w:t>
      </w:r>
      <w:r>
        <w:rPr>
          <w:spacing w:val="-6"/>
        </w:rPr>
        <w:t> </w:t>
      </w:r>
      <w:r>
        <w:rPr>
          <w:spacing w:val="-4"/>
        </w:rPr>
        <w:t>is</w:t>
      </w:r>
      <w:r>
        <w:rPr>
          <w:spacing w:val="-7"/>
        </w:rPr>
        <w:t> </w:t>
      </w:r>
      <w:r>
        <w:rPr>
          <w:spacing w:val="-4"/>
        </w:rPr>
        <w:t>satisfied</w:t>
      </w:r>
      <w:r>
        <w:rPr>
          <w:spacing w:val="-6"/>
        </w:rPr>
        <w:t> </w:t>
      </w:r>
      <w:r>
        <w:rPr>
          <w:spacing w:val="-4"/>
        </w:rPr>
        <w:t>that</w:t>
      </w:r>
      <w:r>
        <w:rPr>
          <w:spacing w:val="-6"/>
        </w:rPr>
        <w:t> </w:t>
      </w:r>
      <w:r>
        <w:rPr>
          <w:spacing w:val="-5"/>
        </w:rPr>
        <w:t>the</w:t>
      </w:r>
    </w:p>
    <w:p>
      <w:pPr>
        <w:pStyle w:val="BodyText"/>
        <w:spacing w:line="266" w:lineRule="auto" w:before="57"/>
        <w:ind w:left="319" w:right="1077"/>
        <w:jc w:val="both"/>
      </w:pPr>
      <w:r>
        <w:rPr/>
        <w:br w:type="column"/>
      </w:r>
      <w:r>
        <w:rPr>
          <w:spacing w:val="-4"/>
        </w:rPr>
        <w:t>existing</w:t>
      </w:r>
      <w:r>
        <w:rPr>
          <w:spacing w:val="-10"/>
        </w:rPr>
        <w:t> </w:t>
      </w:r>
      <w:r>
        <w:rPr>
          <w:spacing w:val="-4"/>
        </w:rPr>
        <w:t>institutions</w:t>
      </w:r>
      <w:r>
        <w:rPr>
          <w:spacing w:val="-10"/>
        </w:rPr>
        <w:t> </w:t>
      </w:r>
      <w:r>
        <w:rPr>
          <w:spacing w:val="-4"/>
        </w:rPr>
        <w:t>in</w:t>
      </w:r>
      <w:r>
        <w:rPr>
          <w:spacing w:val="-10"/>
        </w:rPr>
        <w:t> </w:t>
      </w:r>
      <w:r>
        <w:rPr>
          <w:spacing w:val="-4"/>
        </w:rPr>
        <w:t>the</w:t>
      </w:r>
      <w:r>
        <w:rPr>
          <w:spacing w:val="-9"/>
        </w:rPr>
        <w:t> </w:t>
      </w:r>
      <w:r>
        <w:rPr>
          <w:spacing w:val="-4"/>
        </w:rPr>
        <w:t>state</w:t>
      </w:r>
      <w:r>
        <w:rPr>
          <w:spacing w:val="-10"/>
        </w:rPr>
        <w:t> </w:t>
      </w:r>
      <w:r>
        <w:rPr>
          <w:spacing w:val="-4"/>
        </w:rPr>
        <w:t>are</w:t>
      </w:r>
      <w:r>
        <w:rPr>
          <w:spacing w:val="-10"/>
        </w:rPr>
        <w:t> </w:t>
      </w:r>
      <w:r>
        <w:rPr>
          <w:spacing w:val="-4"/>
        </w:rPr>
        <w:t>not</w:t>
      </w:r>
      <w:r>
        <w:rPr>
          <w:spacing w:val="-10"/>
        </w:rPr>
        <w:t> </w:t>
      </w:r>
      <w:r>
        <w:rPr>
          <w:spacing w:val="-4"/>
        </w:rPr>
        <w:t>adequate</w:t>
      </w:r>
      <w:r>
        <w:rPr>
          <w:spacing w:val="-9"/>
        </w:rPr>
        <w:t> </w:t>
      </w:r>
      <w:r>
        <w:rPr>
          <w:spacing w:val="-4"/>
        </w:rPr>
        <w:t>to</w:t>
      </w:r>
      <w:r>
        <w:rPr>
          <w:spacing w:val="-10"/>
        </w:rPr>
        <w:t> </w:t>
      </w:r>
      <w:r>
        <w:rPr>
          <w:spacing w:val="-4"/>
        </w:rPr>
        <w:t>serve </w:t>
      </w:r>
      <w:r>
        <w:rPr/>
        <w:t>the</w:t>
      </w:r>
      <w:r>
        <w:rPr>
          <w:spacing w:val="-3"/>
        </w:rPr>
        <w:t> </w:t>
      </w:r>
      <w:r>
        <w:rPr/>
        <w:t>needs</w:t>
      </w:r>
      <w:r>
        <w:rPr>
          <w:spacing w:val="-3"/>
        </w:rPr>
        <w:t> </w:t>
      </w:r>
      <w:r>
        <w:rPr/>
        <w:t>of</w:t>
      </w:r>
      <w:r>
        <w:rPr>
          <w:spacing w:val="-3"/>
        </w:rPr>
        <w:t> </w:t>
      </w:r>
      <w:r>
        <w:rPr/>
        <w:t>the</w:t>
      </w:r>
      <w:r>
        <w:rPr>
          <w:spacing w:val="-3"/>
        </w:rPr>
        <w:t> </w:t>
      </w:r>
      <w:r>
        <w:rPr/>
        <w:t>state.</w:t>
      </w:r>
      <w:r>
        <w:rPr>
          <w:spacing w:val="-10"/>
        </w:rPr>
        <w:t> </w:t>
      </w:r>
      <w:r>
        <w:rPr/>
        <w:t>The</w:t>
      </w:r>
      <w:r>
        <w:rPr>
          <w:spacing w:val="-3"/>
        </w:rPr>
        <w:t> </w:t>
      </w:r>
      <w:r>
        <w:rPr/>
        <w:t>other</w:t>
      </w:r>
      <w:r>
        <w:rPr>
          <w:spacing w:val="-3"/>
        </w:rPr>
        <w:t> </w:t>
      </w:r>
      <w:r>
        <w:rPr/>
        <w:t>regulators,</w:t>
      </w:r>
      <w:r>
        <w:rPr>
          <w:spacing w:val="-3"/>
        </w:rPr>
        <w:t> </w:t>
      </w:r>
      <w:r>
        <w:rPr/>
        <w:t>say</w:t>
      </w:r>
      <w:r>
        <w:rPr>
          <w:spacing w:val="-3"/>
        </w:rPr>
        <w:t> </w:t>
      </w:r>
      <w:r>
        <w:rPr/>
        <w:t>in</w:t>
      </w:r>
      <w:r>
        <w:rPr>
          <w:spacing w:val="-3"/>
        </w:rPr>
        <w:t> </w:t>
      </w:r>
      <w:r>
        <w:rPr/>
        <w:t>the </w:t>
      </w:r>
      <w:r>
        <w:rPr>
          <w:spacing w:val="-8"/>
        </w:rPr>
        <w:t>sphere</w:t>
      </w:r>
      <w:r>
        <w:rPr/>
        <w:t> </w:t>
      </w:r>
      <w:r>
        <w:rPr>
          <w:spacing w:val="-8"/>
        </w:rPr>
        <w:t>of</w:t>
      </w:r>
      <w:r>
        <w:rPr/>
        <w:t> </w:t>
      </w:r>
      <w:r>
        <w:rPr>
          <w:spacing w:val="-8"/>
        </w:rPr>
        <w:t>professional</w:t>
      </w:r>
      <w:r>
        <w:rPr/>
        <w:t> </w:t>
      </w:r>
      <w:r>
        <w:rPr>
          <w:spacing w:val="-8"/>
        </w:rPr>
        <w:t>education,</w:t>
      </w:r>
      <w:r>
        <w:rPr/>
        <w:t> </w:t>
      </w:r>
      <w:r>
        <w:rPr>
          <w:spacing w:val="-8"/>
        </w:rPr>
        <w:t>are</w:t>
      </w:r>
      <w:r>
        <w:rPr/>
        <w:t> </w:t>
      </w:r>
      <w:r>
        <w:rPr>
          <w:spacing w:val="-8"/>
        </w:rPr>
        <w:t>often</w:t>
      </w:r>
      <w:r>
        <w:rPr/>
        <w:t> </w:t>
      </w:r>
      <w:r>
        <w:rPr>
          <w:spacing w:val="-8"/>
        </w:rPr>
        <w:t>inconsistent</w:t>
      </w:r>
      <w:r>
        <w:rPr/>
        <w:t> </w:t>
      </w:r>
      <w:r>
        <w:rPr>
          <w:spacing w:val="-8"/>
        </w:rPr>
        <w:t>in </w:t>
      </w:r>
      <w:r>
        <w:rPr>
          <w:spacing w:val="-6"/>
        </w:rPr>
        <w:t>their adherence to principles.</w:t>
      </w:r>
      <w:r>
        <w:rPr>
          <w:spacing w:val="-8"/>
        </w:rPr>
        <w:t> </w:t>
      </w:r>
      <w:r>
        <w:rPr>
          <w:spacing w:val="-6"/>
        </w:rPr>
        <w:t>There are several instances </w:t>
      </w:r>
      <w:r>
        <w:rPr/>
        <w:t>where an engineering college or a business school is </w:t>
      </w:r>
      <w:r>
        <w:rPr>
          <w:spacing w:val="-2"/>
        </w:rPr>
        <w:t>approved,</w:t>
      </w:r>
      <w:r>
        <w:rPr>
          <w:spacing w:val="-11"/>
        </w:rPr>
        <w:t> </w:t>
      </w:r>
      <w:r>
        <w:rPr>
          <w:spacing w:val="-2"/>
        </w:rPr>
        <w:t>promptly,</w:t>
      </w:r>
      <w:r>
        <w:rPr>
          <w:spacing w:val="-11"/>
        </w:rPr>
        <w:t> </w:t>
      </w:r>
      <w:r>
        <w:rPr>
          <w:spacing w:val="-2"/>
        </w:rPr>
        <w:t>in</w:t>
      </w:r>
      <w:r>
        <w:rPr>
          <w:spacing w:val="-11"/>
        </w:rPr>
        <w:t> </w:t>
      </w:r>
      <w:r>
        <w:rPr>
          <w:spacing w:val="-2"/>
        </w:rPr>
        <w:t>a</w:t>
      </w:r>
      <w:r>
        <w:rPr>
          <w:spacing w:val="-11"/>
        </w:rPr>
        <w:t> </w:t>
      </w:r>
      <w:r>
        <w:rPr>
          <w:spacing w:val="-2"/>
        </w:rPr>
        <w:t>small</w:t>
      </w:r>
      <w:r>
        <w:rPr>
          <w:spacing w:val="-11"/>
        </w:rPr>
        <w:t> </w:t>
      </w:r>
      <w:r>
        <w:rPr>
          <w:spacing w:val="-2"/>
        </w:rPr>
        <w:t>house</w:t>
      </w:r>
      <w:r>
        <w:rPr>
          <w:spacing w:val="-11"/>
        </w:rPr>
        <w:t> </w:t>
      </w:r>
      <w:r>
        <w:rPr>
          <w:spacing w:val="-2"/>
        </w:rPr>
        <w:t>of</w:t>
      </w:r>
      <w:r>
        <w:rPr>
          <w:spacing w:val="-11"/>
        </w:rPr>
        <w:t> </w:t>
      </w:r>
      <w:r>
        <w:rPr>
          <w:spacing w:val="-2"/>
        </w:rPr>
        <w:t>a</w:t>
      </w:r>
      <w:r>
        <w:rPr>
          <w:spacing w:val="-11"/>
        </w:rPr>
        <w:t> </w:t>
      </w:r>
      <w:r>
        <w:rPr>
          <w:spacing w:val="-2"/>
        </w:rPr>
        <w:t>metropolitan </w:t>
      </w:r>
      <w:r>
        <w:rPr/>
        <w:t>suburb without the requisite teachers, infrastructure or facilities, but established universities experience </w:t>
      </w:r>
      <w:r>
        <w:rPr>
          <w:spacing w:val="-8"/>
        </w:rPr>
        <w:t>difficulties</w:t>
      </w:r>
      <w:r>
        <w:rPr>
          <w:spacing w:val="-1"/>
        </w:rPr>
        <w:t> </w:t>
      </w:r>
      <w:r>
        <w:rPr>
          <w:spacing w:val="-8"/>
        </w:rPr>
        <w:t>in</w:t>
      </w:r>
      <w:r>
        <w:rPr>
          <w:spacing w:val="-1"/>
        </w:rPr>
        <w:t> </w:t>
      </w:r>
      <w:r>
        <w:rPr>
          <w:spacing w:val="-8"/>
        </w:rPr>
        <w:t>obtaining</w:t>
      </w:r>
      <w:r>
        <w:rPr>
          <w:spacing w:val="-1"/>
        </w:rPr>
        <w:t> </w:t>
      </w:r>
      <w:r>
        <w:rPr>
          <w:spacing w:val="-8"/>
        </w:rPr>
        <w:t>similar</w:t>
      </w:r>
      <w:r>
        <w:rPr>
          <w:spacing w:val="-1"/>
        </w:rPr>
        <w:t> </w:t>
      </w:r>
      <w:r>
        <w:rPr>
          <w:spacing w:val="-8"/>
        </w:rPr>
        <w:t>approvals.</w:t>
      </w:r>
      <w:r>
        <w:rPr>
          <w:spacing w:val="-1"/>
        </w:rPr>
        <w:t> </w:t>
      </w:r>
      <w:r>
        <w:rPr>
          <w:spacing w:val="-8"/>
        </w:rPr>
        <w:t>Such</w:t>
      </w:r>
      <w:r>
        <w:rPr>
          <w:spacing w:val="-1"/>
        </w:rPr>
        <w:t> </w:t>
      </w:r>
      <w:r>
        <w:rPr>
          <w:spacing w:val="-8"/>
        </w:rPr>
        <w:t>examples </w:t>
      </w:r>
      <w:r>
        <w:rPr/>
        <w:t>can</w:t>
      </w:r>
      <w:r>
        <w:rPr>
          <w:spacing w:val="-1"/>
        </w:rPr>
        <w:t> </w:t>
      </w:r>
      <w:r>
        <w:rPr/>
        <w:t>be</w:t>
      </w:r>
      <w:r>
        <w:rPr>
          <w:spacing w:val="-1"/>
        </w:rPr>
        <w:t> </w:t>
      </w:r>
      <w:r>
        <w:rPr/>
        <w:t>multiplied.</w:t>
      </w:r>
      <w:r>
        <w:rPr>
          <w:spacing w:val="-8"/>
        </w:rPr>
        <w:t> </w:t>
      </w:r>
      <w:r>
        <w:rPr/>
        <w:t>These</w:t>
      </w:r>
      <w:r>
        <w:rPr>
          <w:spacing w:val="-1"/>
        </w:rPr>
        <w:t> </w:t>
      </w:r>
      <w:r>
        <w:rPr/>
        <w:t>would</w:t>
      </w:r>
      <w:r>
        <w:rPr>
          <w:spacing w:val="-1"/>
        </w:rPr>
        <w:t> </w:t>
      </w:r>
      <w:r>
        <w:rPr/>
        <w:t>only</w:t>
      </w:r>
      <w:r>
        <w:rPr>
          <w:spacing w:val="-1"/>
        </w:rPr>
        <w:t> </w:t>
      </w:r>
      <w:r>
        <w:rPr/>
        <w:t>confirm</w:t>
      </w:r>
      <w:r>
        <w:rPr>
          <w:spacing w:val="-1"/>
        </w:rPr>
        <w:t> </w:t>
      </w:r>
      <w:r>
        <w:rPr/>
        <w:t>that</w:t>
      </w:r>
      <w:r>
        <w:rPr>
          <w:spacing w:val="-1"/>
        </w:rPr>
        <w:t> </w:t>
      </w:r>
      <w:r>
        <w:rPr/>
        <w:t>the </w:t>
      </w:r>
      <w:r>
        <w:rPr>
          <w:spacing w:val="-10"/>
        </w:rPr>
        <w:t>complexity,</w:t>
      </w:r>
      <w:r>
        <w:rPr/>
        <w:t> </w:t>
      </w:r>
      <w:r>
        <w:rPr>
          <w:spacing w:val="-10"/>
        </w:rPr>
        <w:t>the</w:t>
      </w:r>
      <w:r>
        <w:rPr/>
        <w:t> </w:t>
      </w:r>
      <w:r>
        <w:rPr>
          <w:spacing w:val="-10"/>
        </w:rPr>
        <w:t>multiplicity</w:t>
      </w:r>
      <w:r>
        <w:rPr/>
        <w:t> </w:t>
      </w:r>
      <w:r>
        <w:rPr>
          <w:spacing w:val="-10"/>
        </w:rPr>
        <w:t>and</w:t>
      </w:r>
      <w:r>
        <w:rPr/>
        <w:t> </w:t>
      </w:r>
      <w:r>
        <w:rPr>
          <w:spacing w:val="-10"/>
        </w:rPr>
        <w:t>the</w:t>
      </w:r>
      <w:r>
        <w:rPr/>
        <w:t> </w:t>
      </w:r>
      <w:r>
        <w:rPr>
          <w:spacing w:val="-10"/>
        </w:rPr>
        <w:t>rigidity</w:t>
      </w:r>
      <w:r>
        <w:rPr/>
        <w:t> </w:t>
      </w:r>
      <w:r>
        <w:rPr>
          <w:spacing w:val="-10"/>
        </w:rPr>
        <w:t>of</w:t>
      </w:r>
      <w:r>
        <w:rPr/>
        <w:t> </w:t>
      </w:r>
      <w:r>
        <w:rPr>
          <w:spacing w:val="-10"/>
        </w:rPr>
        <w:t>the</w:t>
      </w:r>
      <w:r>
        <w:rPr/>
        <w:t> </w:t>
      </w:r>
      <w:r>
        <w:rPr>
          <w:spacing w:val="-10"/>
        </w:rPr>
        <w:t>existing </w:t>
      </w:r>
      <w:r>
        <w:rPr>
          <w:spacing w:val="-4"/>
        </w:rPr>
        <w:t>regulatory</w:t>
      </w:r>
      <w:r>
        <w:rPr>
          <w:spacing w:val="-10"/>
        </w:rPr>
        <w:t> </w:t>
      </w:r>
      <w:r>
        <w:rPr>
          <w:spacing w:val="-4"/>
        </w:rPr>
        <w:t>structure</w:t>
      </w:r>
      <w:r>
        <w:rPr>
          <w:spacing w:val="-10"/>
        </w:rPr>
        <w:t> </w:t>
      </w:r>
      <w:r>
        <w:rPr>
          <w:spacing w:val="-4"/>
        </w:rPr>
        <w:t>is</w:t>
      </w:r>
      <w:r>
        <w:rPr>
          <w:spacing w:val="-10"/>
        </w:rPr>
        <w:t> </w:t>
      </w:r>
      <w:r>
        <w:rPr>
          <w:spacing w:val="-4"/>
        </w:rPr>
        <w:t>not</w:t>
      </w:r>
      <w:r>
        <w:rPr>
          <w:spacing w:val="-9"/>
        </w:rPr>
        <w:t> </w:t>
      </w:r>
      <w:r>
        <w:rPr>
          <w:spacing w:val="-4"/>
        </w:rPr>
        <w:t>conducive</w:t>
      </w:r>
      <w:r>
        <w:rPr>
          <w:spacing w:val="-10"/>
        </w:rPr>
        <w:t> </w:t>
      </w:r>
      <w:r>
        <w:rPr>
          <w:spacing w:val="-4"/>
        </w:rPr>
        <w:t>to</w:t>
      </w:r>
      <w:r>
        <w:rPr>
          <w:spacing w:val="-10"/>
        </w:rPr>
        <w:t> </w:t>
      </w:r>
      <w:r>
        <w:rPr>
          <w:spacing w:val="-4"/>
        </w:rPr>
        <w:t>the</w:t>
      </w:r>
      <w:r>
        <w:rPr>
          <w:spacing w:val="-10"/>
        </w:rPr>
        <w:t> </w:t>
      </w:r>
      <w:r>
        <w:rPr>
          <w:spacing w:val="-4"/>
        </w:rPr>
        <w:t>expansion</w:t>
      </w:r>
      <w:r>
        <w:rPr>
          <w:spacing w:val="-9"/>
        </w:rPr>
        <w:t> </w:t>
      </w:r>
      <w:r>
        <w:rPr>
          <w:spacing w:val="-4"/>
        </w:rPr>
        <w:t>of </w:t>
      </w:r>
      <w:r>
        <w:rPr/>
        <w:t>higher</w:t>
      </w:r>
      <w:r>
        <w:rPr>
          <w:spacing w:val="-4"/>
        </w:rPr>
        <w:t> </w:t>
      </w:r>
      <w:r>
        <w:rPr/>
        <w:t>education</w:t>
      </w:r>
      <w:r>
        <w:rPr>
          <w:spacing w:val="-4"/>
        </w:rPr>
        <w:t> </w:t>
      </w:r>
      <w:r>
        <w:rPr/>
        <w:t>opportunities</w:t>
      </w:r>
      <w:r>
        <w:rPr>
          <w:spacing w:val="-4"/>
        </w:rPr>
        <w:t> </w:t>
      </w:r>
      <w:r>
        <w:rPr/>
        <w:t>in</w:t>
      </w:r>
      <w:r>
        <w:rPr>
          <w:spacing w:val="-4"/>
        </w:rPr>
        <w:t> </w:t>
      </w:r>
      <w:r>
        <w:rPr/>
        <w:t>India.</w:t>
      </w:r>
    </w:p>
    <w:p>
      <w:pPr>
        <w:pStyle w:val="BodyText"/>
        <w:spacing w:before="17"/>
      </w:pPr>
    </w:p>
    <w:p>
      <w:pPr>
        <w:pStyle w:val="BodyText"/>
        <w:spacing w:line="266" w:lineRule="auto"/>
        <w:ind w:left="319" w:right="1077"/>
        <w:jc w:val="both"/>
      </w:pPr>
      <w:r>
        <w:rPr>
          <w:spacing w:val="-6"/>
        </w:rPr>
        <w:t>In sum, the existing regulatory framework constrains the </w:t>
      </w:r>
      <w:r>
        <w:rPr>
          <w:w w:val="90"/>
        </w:rPr>
        <w:t>supply of good institutions, excessively regulates </w:t>
      </w:r>
      <w:r>
        <w:rPr>
          <w:w w:val="90"/>
        </w:rPr>
        <w:t>existing </w:t>
      </w:r>
      <w:r>
        <w:rPr/>
        <w:t>institutions</w:t>
      </w:r>
      <w:r>
        <w:rPr>
          <w:spacing w:val="-2"/>
        </w:rPr>
        <w:t> </w:t>
      </w:r>
      <w:r>
        <w:rPr/>
        <w:t>in</w:t>
      </w:r>
      <w:r>
        <w:rPr>
          <w:spacing w:val="-2"/>
        </w:rPr>
        <w:t> </w:t>
      </w:r>
      <w:r>
        <w:rPr/>
        <w:t>the</w:t>
      </w:r>
      <w:r>
        <w:rPr>
          <w:spacing w:val="-2"/>
        </w:rPr>
        <w:t> </w:t>
      </w:r>
      <w:r>
        <w:rPr/>
        <w:t>wrong</w:t>
      </w:r>
      <w:r>
        <w:rPr>
          <w:spacing w:val="-2"/>
        </w:rPr>
        <w:t> </w:t>
      </w:r>
      <w:r>
        <w:rPr/>
        <w:t>places,</w:t>
      </w:r>
      <w:r>
        <w:rPr>
          <w:spacing w:val="-2"/>
        </w:rPr>
        <w:t> </w:t>
      </w:r>
      <w:r>
        <w:rPr/>
        <w:t>and</w:t>
      </w:r>
      <w:r>
        <w:rPr>
          <w:spacing w:val="-2"/>
        </w:rPr>
        <w:t> </w:t>
      </w:r>
      <w:r>
        <w:rPr/>
        <w:t>is</w:t>
      </w:r>
      <w:r>
        <w:rPr>
          <w:spacing w:val="-2"/>
        </w:rPr>
        <w:t> </w:t>
      </w:r>
      <w:r>
        <w:rPr/>
        <w:t>not</w:t>
      </w:r>
      <w:r>
        <w:rPr>
          <w:spacing w:val="-2"/>
        </w:rPr>
        <w:t> </w:t>
      </w:r>
      <w:r>
        <w:rPr/>
        <w:t>conducive to innovation or creativity in higher education. The </w:t>
      </w:r>
      <w:r>
        <w:rPr>
          <w:spacing w:val="-4"/>
        </w:rPr>
        <w:t>challenge</w:t>
      </w:r>
      <w:r>
        <w:rPr>
          <w:spacing w:val="-7"/>
        </w:rPr>
        <w:t> </w:t>
      </w:r>
      <w:r>
        <w:rPr>
          <w:spacing w:val="-4"/>
        </w:rPr>
        <w:t>is</w:t>
      </w:r>
      <w:r>
        <w:rPr>
          <w:spacing w:val="-7"/>
        </w:rPr>
        <w:t> </w:t>
      </w:r>
      <w:r>
        <w:rPr>
          <w:spacing w:val="-4"/>
        </w:rPr>
        <w:t>therefore</w:t>
      </w:r>
      <w:r>
        <w:rPr>
          <w:spacing w:val="-7"/>
        </w:rPr>
        <w:t> </w:t>
      </w:r>
      <w:r>
        <w:rPr>
          <w:spacing w:val="-4"/>
        </w:rPr>
        <w:t>to</w:t>
      </w:r>
      <w:r>
        <w:rPr>
          <w:spacing w:val="-7"/>
        </w:rPr>
        <w:t> </w:t>
      </w:r>
      <w:r>
        <w:rPr>
          <w:spacing w:val="-4"/>
        </w:rPr>
        <w:t>design</w:t>
      </w:r>
      <w:r>
        <w:rPr>
          <w:spacing w:val="-7"/>
        </w:rPr>
        <w:t> </w:t>
      </w:r>
      <w:r>
        <w:rPr>
          <w:spacing w:val="-4"/>
        </w:rPr>
        <w:t>a</w:t>
      </w:r>
      <w:r>
        <w:rPr>
          <w:spacing w:val="-7"/>
        </w:rPr>
        <w:t> </w:t>
      </w:r>
      <w:r>
        <w:rPr>
          <w:spacing w:val="-4"/>
        </w:rPr>
        <w:t>regulatory</w:t>
      </w:r>
      <w:r>
        <w:rPr>
          <w:spacing w:val="-7"/>
        </w:rPr>
        <w:t> </w:t>
      </w:r>
      <w:r>
        <w:rPr>
          <w:spacing w:val="-4"/>
        </w:rPr>
        <w:t>system</w:t>
      </w:r>
      <w:r>
        <w:rPr>
          <w:spacing w:val="-8"/>
        </w:rPr>
        <w:t> </w:t>
      </w:r>
      <w:r>
        <w:rPr>
          <w:spacing w:val="-4"/>
        </w:rPr>
        <w:t>that </w:t>
      </w:r>
      <w:r>
        <w:rPr/>
        <w:t>increases the supply of good institutions and fosters accountability in those institutions. An independent regulator</w:t>
      </w:r>
      <w:r>
        <w:rPr>
          <w:spacing w:val="-3"/>
        </w:rPr>
        <w:t> </w:t>
      </w:r>
      <w:r>
        <w:rPr/>
        <w:t>has</w:t>
      </w:r>
      <w:r>
        <w:rPr>
          <w:spacing w:val="-3"/>
        </w:rPr>
        <w:t> </w:t>
      </w:r>
      <w:r>
        <w:rPr/>
        <w:t>to</w:t>
      </w:r>
      <w:r>
        <w:rPr>
          <w:spacing w:val="-3"/>
        </w:rPr>
        <w:t> </w:t>
      </w:r>
      <w:r>
        <w:rPr/>
        <w:t>be</w:t>
      </w:r>
      <w:r>
        <w:rPr>
          <w:spacing w:val="-3"/>
        </w:rPr>
        <w:t> </w:t>
      </w:r>
      <w:r>
        <w:rPr/>
        <w:t>the</w:t>
      </w:r>
      <w:r>
        <w:rPr>
          <w:spacing w:val="-3"/>
        </w:rPr>
        <w:t> </w:t>
      </w:r>
      <w:r>
        <w:rPr/>
        <w:t>cornerstone</w:t>
      </w:r>
      <w:r>
        <w:rPr>
          <w:spacing w:val="-3"/>
        </w:rPr>
        <w:t> </w:t>
      </w:r>
      <w:r>
        <w:rPr/>
        <w:t>of</w:t>
      </w:r>
      <w:r>
        <w:rPr>
          <w:spacing w:val="-3"/>
        </w:rPr>
        <w:t> </w:t>
      </w:r>
      <w:r>
        <w:rPr/>
        <w:t>such</w:t>
      </w:r>
      <w:r>
        <w:rPr>
          <w:spacing w:val="-3"/>
        </w:rPr>
        <w:t> </w:t>
      </w:r>
      <w:r>
        <w:rPr/>
        <w:t>a</w:t>
      </w:r>
      <w:r>
        <w:rPr>
          <w:spacing w:val="-3"/>
        </w:rPr>
        <w:t> </w:t>
      </w:r>
      <w:r>
        <w:rPr/>
        <w:t>system.</w:t>
      </w:r>
    </w:p>
    <w:p>
      <w:pPr>
        <w:pStyle w:val="BodyText"/>
        <w:spacing w:before="20"/>
      </w:pPr>
    </w:p>
    <w:p>
      <w:pPr>
        <w:pStyle w:val="BodyText"/>
        <w:spacing w:line="266" w:lineRule="auto"/>
        <w:ind w:left="319" w:right="1077"/>
        <w:jc w:val="both"/>
      </w:pPr>
      <w:r>
        <w:rPr>
          <w:spacing w:val="-2"/>
        </w:rPr>
        <w:t>The</w:t>
      </w:r>
      <w:r>
        <w:rPr>
          <w:spacing w:val="-10"/>
        </w:rPr>
        <w:t> </w:t>
      </w:r>
      <w:r>
        <w:rPr>
          <w:spacing w:val="-2"/>
        </w:rPr>
        <w:t>proposed</w:t>
      </w:r>
      <w:r>
        <w:rPr>
          <w:spacing w:val="-10"/>
        </w:rPr>
        <w:t> </w:t>
      </w:r>
      <w:r>
        <w:rPr>
          <w:spacing w:val="-2"/>
        </w:rPr>
        <w:t>IRAHE</w:t>
      </w:r>
      <w:r>
        <w:rPr>
          <w:spacing w:val="-10"/>
        </w:rPr>
        <w:t> </w:t>
      </w:r>
      <w:r>
        <w:rPr>
          <w:spacing w:val="-2"/>
        </w:rPr>
        <w:t>will</w:t>
      </w:r>
      <w:r>
        <w:rPr>
          <w:spacing w:val="-10"/>
        </w:rPr>
        <w:t> </w:t>
      </w:r>
      <w:r>
        <w:rPr>
          <w:spacing w:val="-2"/>
        </w:rPr>
        <w:t>rationalise</w:t>
      </w:r>
      <w:r>
        <w:rPr>
          <w:spacing w:val="-10"/>
        </w:rPr>
        <w:t> </w:t>
      </w:r>
      <w:r>
        <w:rPr>
          <w:spacing w:val="-2"/>
        </w:rPr>
        <w:t>the</w:t>
      </w:r>
      <w:r>
        <w:rPr>
          <w:spacing w:val="-10"/>
        </w:rPr>
        <w:t> </w:t>
      </w:r>
      <w:r>
        <w:rPr>
          <w:spacing w:val="-2"/>
        </w:rPr>
        <w:t>principles</w:t>
      </w:r>
      <w:r>
        <w:rPr>
          <w:spacing w:val="-10"/>
        </w:rPr>
        <w:t> </w:t>
      </w:r>
      <w:r>
        <w:rPr>
          <w:spacing w:val="-2"/>
        </w:rPr>
        <w:t>on </w:t>
      </w:r>
      <w:r>
        <w:rPr/>
        <w:t>which</w:t>
      </w:r>
      <w:r>
        <w:rPr>
          <w:spacing w:val="-10"/>
        </w:rPr>
        <w:t> </w:t>
      </w:r>
      <w:r>
        <w:rPr/>
        <w:t>entry</w:t>
      </w:r>
      <w:r>
        <w:rPr>
          <w:spacing w:val="-9"/>
        </w:rPr>
        <w:t> </w:t>
      </w:r>
      <w:r>
        <w:rPr/>
        <w:t>is</w:t>
      </w:r>
      <w:r>
        <w:rPr>
          <w:spacing w:val="-9"/>
        </w:rPr>
        <w:t> </w:t>
      </w:r>
      <w:r>
        <w:rPr/>
        <w:t>regulated.</w:t>
      </w:r>
      <w:r>
        <w:rPr>
          <w:spacing w:val="-14"/>
        </w:rPr>
        <w:t> </w:t>
      </w:r>
      <w:r>
        <w:rPr/>
        <w:t>There</w:t>
      </w:r>
      <w:r>
        <w:rPr>
          <w:spacing w:val="-8"/>
        </w:rPr>
        <w:t> </w:t>
      </w:r>
      <w:r>
        <w:rPr/>
        <w:t>are</w:t>
      </w:r>
      <w:r>
        <w:rPr>
          <w:spacing w:val="-9"/>
        </w:rPr>
        <w:t> </w:t>
      </w:r>
      <w:r>
        <w:rPr/>
        <w:t>two</w:t>
      </w:r>
      <w:r>
        <w:rPr>
          <w:spacing w:val="-9"/>
        </w:rPr>
        <w:t> </w:t>
      </w:r>
      <w:r>
        <w:rPr/>
        <w:t>aspects</w:t>
      </w:r>
      <w:r>
        <w:rPr>
          <w:spacing w:val="-9"/>
        </w:rPr>
        <w:t> </w:t>
      </w:r>
      <w:r>
        <w:rPr/>
        <w:t>to</w:t>
      </w:r>
      <w:r>
        <w:rPr>
          <w:spacing w:val="-9"/>
        </w:rPr>
        <w:t> </w:t>
      </w:r>
      <w:r>
        <w:rPr/>
        <w:t>this </w:t>
      </w:r>
      <w:r>
        <w:rPr>
          <w:spacing w:val="-2"/>
        </w:rPr>
        <w:t>rationalisation:</w:t>
      </w:r>
      <w:r>
        <w:rPr>
          <w:spacing w:val="-12"/>
        </w:rPr>
        <w:t> </w:t>
      </w:r>
      <w:r>
        <w:rPr>
          <w:spacing w:val="-2"/>
        </w:rPr>
        <w:t>what</w:t>
      </w:r>
      <w:r>
        <w:rPr>
          <w:spacing w:val="-12"/>
        </w:rPr>
        <w:t> </w:t>
      </w:r>
      <w:r>
        <w:rPr>
          <w:spacing w:val="-2"/>
        </w:rPr>
        <w:t>is</w:t>
      </w:r>
      <w:r>
        <w:rPr>
          <w:spacing w:val="-12"/>
        </w:rPr>
        <w:t> </w:t>
      </w:r>
      <w:r>
        <w:rPr>
          <w:spacing w:val="-2"/>
        </w:rPr>
        <w:t>to</w:t>
      </w:r>
      <w:r>
        <w:rPr>
          <w:spacing w:val="-11"/>
        </w:rPr>
        <w:t> </w:t>
      </w:r>
      <w:r>
        <w:rPr>
          <w:spacing w:val="-2"/>
        </w:rPr>
        <w:t>be</w:t>
      </w:r>
      <w:r>
        <w:rPr>
          <w:spacing w:val="-12"/>
        </w:rPr>
        <w:t> </w:t>
      </w:r>
      <w:r>
        <w:rPr>
          <w:spacing w:val="-2"/>
        </w:rPr>
        <w:t>regulated</w:t>
      </w:r>
      <w:r>
        <w:rPr>
          <w:spacing w:val="-12"/>
        </w:rPr>
        <w:t> </w:t>
      </w:r>
      <w:r>
        <w:rPr>
          <w:spacing w:val="-2"/>
        </w:rPr>
        <w:t>and</w:t>
      </w:r>
      <w:r>
        <w:rPr>
          <w:spacing w:val="-12"/>
        </w:rPr>
        <w:t> </w:t>
      </w:r>
      <w:r>
        <w:rPr>
          <w:spacing w:val="-2"/>
        </w:rPr>
        <w:t>what</w:t>
      </w:r>
      <w:r>
        <w:rPr>
          <w:spacing w:val="-11"/>
        </w:rPr>
        <w:t> </w:t>
      </w:r>
      <w:r>
        <w:rPr>
          <w:spacing w:val="-2"/>
        </w:rPr>
        <w:t>are</w:t>
      </w:r>
      <w:r>
        <w:rPr>
          <w:spacing w:val="-12"/>
        </w:rPr>
        <w:t> </w:t>
      </w:r>
      <w:r>
        <w:rPr>
          <w:spacing w:val="-2"/>
        </w:rPr>
        <w:t>the </w:t>
      </w:r>
      <w:r>
        <w:rPr/>
        <w:t>principles used for regulation.</w:t>
      </w:r>
    </w:p>
    <w:p>
      <w:pPr>
        <w:pStyle w:val="BodyText"/>
        <w:spacing w:before="24"/>
      </w:pPr>
    </w:p>
    <w:p>
      <w:pPr>
        <w:pStyle w:val="BodyText"/>
        <w:ind w:left="319"/>
        <w:jc w:val="both"/>
      </w:pPr>
      <w:r>
        <w:rPr>
          <w:spacing w:val="-2"/>
        </w:rPr>
        <w:t>In</w:t>
      </w:r>
      <w:r>
        <w:rPr>
          <w:spacing w:val="-4"/>
        </w:rPr>
        <w:t> </w:t>
      </w:r>
      <w:r>
        <w:rPr>
          <w:spacing w:val="-2"/>
        </w:rPr>
        <w:t>higher</w:t>
      </w:r>
      <w:r>
        <w:rPr>
          <w:spacing w:val="-4"/>
        </w:rPr>
        <w:t> </w:t>
      </w:r>
      <w:r>
        <w:rPr>
          <w:spacing w:val="-2"/>
        </w:rPr>
        <w:t>education,</w:t>
      </w:r>
      <w:r>
        <w:rPr>
          <w:spacing w:val="-3"/>
        </w:rPr>
        <w:t> </w:t>
      </w:r>
      <w:r>
        <w:rPr>
          <w:spacing w:val="-2"/>
        </w:rPr>
        <w:t>regulators</w:t>
      </w:r>
      <w:r>
        <w:rPr>
          <w:spacing w:val="-4"/>
        </w:rPr>
        <w:t> </w:t>
      </w:r>
      <w:r>
        <w:rPr>
          <w:spacing w:val="-2"/>
        </w:rPr>
        <w:t>perform</w:t>
      </w:r>
      <w:r>
        <w:rPr>
          <w:spacing w:val="-3"/>
        </w:rPr>
        <w:t> </w:t>
      </w:r>
      <w:r>
        <w:rPr>
          <w:spacing w:val="-2"/>
        </w:rPr>
        <w:t>five</w:t>
      </w:r>
      <w:r>
        <w:rPr>
          <w:spacing w:val="-4"/>
        </w:rPr>
        <w:t> </w:t>
      </w:r>
      <w:r>
        <w:rPr>
          <w:spacing w:val="-2"/>
        </w:rPr>
        <w:t>functions:</w:t>
      </w:r>
    </w:p>
    <w:p>
      <w:pPr>
        <w:pStyle w:val="BodyText"/>
        <w:spacing w:line="266" w:lineRule="auto" w:before="27"/>
        <w:ind w:left="319" w:right="1077"/>
        <w:jc w:val="both"/>
      </w:pPr>
      <w:r>
        <w:rPr/>
        <w:t>(1)</w:t>
      </w:r>
      <w:r>
        <w:rPr>
          <w:spacing w:val="-3"/>
        </w:rPr>
        <w:t> </w:t>
      </w:r>
      <w:r>
        <w:rPr/>
        <w:t>Entry:</w:t>
      </w:r>
      <w:r>
        <w:rPr>
          <w:spacing w:val="-3"/>
        </w:rPr>
        <w:t> </w:t>
      </w:r>
      <w:r>
        <w:rPr/>
        <w:t>licence</w:t>
      </w:r>
      <w:r>
        <w:rPr>
          <w:spacing w:val="-4"/>
        </w:rPr>
        <w:t> </w:t>
      </w:r>
      <w:r>
        <w:rPr/>
        <w:t>to</w:t>
      </w:r>
      <w:r>
        <w:rPr>
          <w:spacing w:val="-3"/>
        </w:rPr>
        <w:t> </w:t>
      </w:r>
      <w:r>
        <w:rPr/>
        <w:t>grant</w:t>
      </w:r>
      <w:r>
        <w:rPr>
          <w:spacing w:val="-4"/>
        </w:rPr>
        <w:t> </w:t>
      </w:r>
      <w:r>
        <w:rPr/>
        <w:t>degrees.</w:t>
      </w:r>
      <w:r>
        <w:rPr>
          <w:spacing w:val="-3"/>
        </w:rPr>
        <w:t> </w:t>
      </w:r>
      <w:r>
        <w:rPr/>
        <w:t>(2)</w:t>
      </w:r>
      <w:r>
        <w:rPr>
          <w:spacing w:val="-4"/>
        </w:rPr>
        <w:t> </w:t>
      </w:r>
      <w:r>
        <w:rPr/>
        <w:t>Accreditation: quality benchmarking. (3) Disbursement of </w:t>
      </w:r>
      <w:r>
        <w:rPr/>
        <w:t>public </w:t>
      </w:r>
      <w:r>
        <w:rPr>
          <w:spacing w:val="-6"/>
        </w:rPr>
        <w:t>funds.</w:t>
      </w:r>
      <w:r>
        <w:rPr>
          <w:spacing w:val="-8"/>
        </w:rPr>
        <w:t> </w:t>
      </w:r>
      <w:r>
        <w:rPr>
          <w:spacing w:val="-6"/>
        </w:rPr>
        <w:t>(4)</w:t>
      </w:r>
      <w:r>
        <w:rPr>
          <w:spacing w:val="-8"/>
        </w:rPr>
        <w:t> </w:t>
      </w:r>
      <w:r>
        <w:rPr>
          <w:spacing w:val="-6"/>
        </w:rPr>
        <w:t>Access:</w:t>
      </w:r>
      <w:r>
        <w:rPr>
          <w:spacing w:val="-8"/>
        </w:rPr>
        <w:t> </w:t>
      </w:r>
      <w:r>
        <w:rPr>
          <w:spacing w:val="-6"/>
        </w:rPr>
        <w:t>fees</w:t>
      </w:r>
      <w:r>
        <w:rPr>
          <w:spacing w:val="-7"/>
        </w:rPr>
        <w:t> </w:t>
      </w:r>
      <w:r>
        <w:rPr>
          <w:spacing w:val="-6"/>
        </w:rPr>
        <w:t>or</w:t>
      </w:r>
      <w:r>
        <w:rPr>
          <w:spacing w:val="-8"/>
        </w:rPr>
        <w:t> </w:t>
      </w:r>
      <w:r>
        <w:rPr>
          <w:spacing w:val="-6"/>
        </w:rPr>
        <w:t>affirmative</w:t>
      </w:r>
      <w:r>
        <w:rPr>
          <w:spacing w:val="-8"/>
        </w:rPr>
        <w:t> </w:t>
      </w:r>
      <w:r>
        <w:rPr>
          <w:spacing w:val="-6"/>
        </w:rPr>
        <w:t>action.</w:t>
      </w:r>
      <w:r>
        <w:rPr>
          <w:spacing w:val="-8"/>
        </w:rPr>
        <w:t> </w:t>
      </w:r>
      <w:r>
        <w:rPr>
          <w:spacing w:val="-6"/>
        </w:rPr>
        <w:t>(5)</w:t>
      </w:r>
      <w:r>
        <w:rPr>
          <w:spacing w:val="-7"/>
        </w:rPr>
        <w:t> </w:t>
      </w:r>
      <w:r>
        <w:rPr>
          <w:spacing w:val="-6"/>
        </w:rPr>
        <w:t>Licence: </w:t>
      </w:r>
      <w:r>
        <w:rPr/>
        <w:t>to practice profession.</w:t>
      </w:r>
    </w:p>
    <w:p>
      <w:pPr>
        <w:pStyle w:val="BodyText"/>
        <w:spacing w:before="24"/>
      </w:pPr>
    </w:p>
    <w:p>
      <w:pPr>
        <w:pStyle w:val="BodyText"/>
        <w:spacing w:line="266" w:lineRule="auto"/>
        <w:ind w:left="319" w:right="1077"/>
        <w:jc w:val="both"/>
      </w:pPr>
      <w:r>
        <w:rPr/>
        <w:t>India is perhaps the only country in the world </w:t>
      </w:r>
      <w:r>
        <w:rPr/>
        <w:t>where </w:t>
      </w:r>
      <w:r>
        <w:rPr>
          <w:spacing w:val="-2"/>
        </w:rPr>
        <w:t>regulation</w:t>
      </w:r>
      <w:r>
        <w:rPr>
          <w:spacing w:val="-10"/>
        </w:rPr>
        <w:t> </w:t>
      </w:r>
      <w:r>
        <w:rPr>
          <w:spacing w:val="-2"/>
        </w:rPr>
        <w:t>in</w:t>
      </w:r>
      <w:r>
        <w:rPr>
          <w:spacing w:val="-10"/>
        </w:rPr>
        <w:t> </w:t>
      </w:r>
      <w:r>
        <w:rPr>
          <w:spacing w:val="-2"/>
        </w:rPr>
        <w:t>four</w:t>
      </w:r>
      <w:r>
        <w:rPr>
          <w:spacing w:val="-10"/>
        </w:rPr>
        <w:t> </w:t>
      </w:r>
      <w:r>
        <w:rPr>
          <w:spacing w:val="-2"/>
        </w:rPr>
        <w:t>of</w:t>
      </w:r>
      <w:r>
        <w:rPr>
          <w:spacing w:val="-10"/>
        </w:rPr>
        <w:t> </w:t>
      </w:r>
      <w:r>
        <w:rPr>
          <w:spacing w:val="-2"/>
        </w:rPr>
        <w:t>the</w:t>
      </w:r>
      <w:r>
        <w:rPr>
          <w:spacing w:val="-10"/>
        </w:rPr>
        <w:t> </w:t>
      </w:r>
      <w:r>
        <w:rPr>
          <w:spacing w:val="-2"/>
        </w:rPr>
        <w:t>five</w:t>
      </w:r>
      <w:r>
        <w:rPr>
          <w:spacing w:val="-10"/>
        </w:rPr>
        <w:t> </w:t>
      </w:r>
      <w:r>
        <w:rPr>
          <w:spacing w:val="-2"/>
        </w:rPr>
        <w:t>functions</w:t>
      </w:r>
      <w:r>
        <w:rPr>
          <w:spacing w:val="-10"/>
        </w:rPr>
        <w:t> </w:t>
      </w:r>
      <w:r>
        <w:rPr>
          <w:spacing w:val="-2"/>
        </w:rPr>
        <w:t>is</w:t>
      </w:r>
      <w:r>
        <w:rPr>
          <w:spacing w:val="-10"/>
        </w:rPr>
        <w:t> </w:t>
      </w:r>
      <w:r>
        <w:rPr>
          <w:spacing w:val="-2"/>
        </w:rPr>
        <w:t>carried</w:t>
      </w:r>
      <w:r>
        <w:rPr>
          <w:spacing w:val="-10"/>
        </w:rPr>
        <w:t> </w:t>
      </w:r>
      <w:r>
        <w:rPr>
          <w:spacing w:val="-2"/>
        </w:rPr>
        <w:t>out</w:t>
      </w:r>
      <w:r>
        <w:rPr>
          <w:spacing w:val="-10"/>
        </w:rPr>
        <w:t> </w:t>
      </w:r>
      <w:r>
        <w:rPr>
          <w:spacing w:val="-2"/>
        </w:rPr>
        <w:t>by </w:t>
      </w:r>
      <w:r>
        <w:rPr/>
        <w:t>one entity, that is, the UGC.</w:t>
      </w:r>
      <w:r>
        <w:rPr>
          <w:spacing w:val="-3"/>
        </w:rPr>
        <w:t> </w:t>
      </w:r>
      <w:r>
        <w:rPr/>
        <w:t>The purpose of creating </w:t>
      </w:r>
      <w:r>
        <w:rPr>
          <w:spacing w:val="-2"/>
        </w:rPr>
        <w:t>an</w:t>
      </w:r>
      <w:r>
        <w:rPr>
          <w:spacing w:val="-12"/>
        </w:rPr>
        <w:t> </w:t>
      </w:r>
      <w:r>
        <w:rPr>
          <w:spacing w:val="-2"/>
        </w:rPr>
        <w:t>IRAHE</w:t>
      </w:r>
      <w:r>
        <w:rPr>
          <w:spacing w:val="-12"/>
        </w:rPr>
        <w:t> </w:t>
      </w:r>
      <w:r>
        <w:rPr>
          <w:spacing w:val="-2"/>
        </w:rPr>
        <w:t>is</w:t>
      </w:r>
      <w:r>
        <w:rPr>
          <w:spacing w:val="-10"/>
        </w:rPr>
        <w:t> </w:t>
      </w:r>
      <w:r>
        <w:rPr>
          <w:spacing w:val="-2"/>
        </w:rPr>
        <w:t>to</w:t>
      </w:r>
      <w:r>
        <w:rPr>
          <w:spacing w:val="-10"/>
        </w:rPr>
        <w:t> </w:t>
      </w:r>
      <w:r>
        <w:rPr>
          <w:spacing w:val="-2"/>
        </w:rPr>
        <w:t>separate</w:t>
      </w:r>
      <w:r>
        <w:rPr>
          <w:spacing w:val="-10"/>
        </w:rPr>
        <w:t> </w:t>
      </w:r>
      <w:r>
        <w:rPr>
          <w:spacing w:val="-2"/>
        </w:rPr>
        <w:t>these</w:t>
      </w:r>
      <w:r>
        <w:rPr>
          <w:spacing w:val="-10"/>
        </w:rPr>
        <w:t> </w:t>
      </w:r>
      <w:r>
        <w:rPr>
          <w:spacing w:val="-2"/>
        </w:rPr>
        <w:t>functions.</w:t>
      </w:r>
      <w:r>
        <w:rPr>
          <w:spacing w:val="-12"/>
        </w:rPr>
        <w:t> </w:t>
      </w:r>
      <w:r>
        <w:rPr>
          <w:spacing w:val="-2"/>
        </w:rPr>
        <w:t>The</w:t>
      </w:r>
      <w:r>
        <w:rPr>
          <w:spacing w:val="-10"/>
        </w:rPr>
        <w:t> </w:t>
      </w:r>
      <w:r>
        <w:rPr>
          <w:spacing w:val="-2"/>
        </w:rPr>
        <w:t>proposed </w:t>
      </w:r>
      <w:r>
        <w:rPr/>
        <w:t>IRAHE</w:t>
      </w:r>
      <w:r>
        <w:rPr>
          <w:spacing w:val="-16"/>
        </w:rPr>
        <w:t> </w:t>
      </w:r>
      <w:r>
        <w:rPr/>
        <w:t>shall</w:t>
      </w:r>
      <w:r>
        <w:rPr>
          <w:spacing w:val="-14"/>
        </w:rPr>
        <w:t> </w:t>
      </w:r>
      <w:r>
        <w:rPr/>
        <w:t>be</w:t>
      </w:r>
      <w:r>
        <w:rPr>
          <w:spacing w:val="-14"/>
        </w:rPr>
        <w:t> </w:t>
      </w:r>
      <w:r>
        <w:rPr/>
        <w:t>responsible</w:t>
      </w:r>
      <w:r>
        <w:rPr>
          <w:spacing w:val="-13"/>
        </w:rPr>
        <w:t> </w:t>
      </w:r>
      <w:r>
        <w:rPr/>
        <w:t>for</w:t>
      </w:r>
      <w:r>
        <w:rPr>
          <w:spacing w:val="-14"/>
        </w:rPr>
        <w:t> </w:t>
      </w:r>
      <w:r>
        <w:rPr/>
        <w:t>setting</w:t>
      </w:r>
      <w:r>
        <w:rPr>
          <w:spacing w:val="-14"/>
        </w:rPr>
        <w:t> </w:t>
      </w:r>
      <w:r>
        <w:rPr/>
        <w:t>the</w:t>
      </w:r>
      <w:r>
        <w:rPr>
          <w:spacing w:val="-14"/>
        </w:rPr>
        <w:t> </w:t>
      </w:r>
      <w:r>
        <w:rPr/>
        <w:t>criteria</w:t>
      </w:r>
      <w:r>
        <w:rPr>
          <w:spacing w:val="-13"/>
        </w:rPr>
        <w:t> </w:t>
      </w:r>
      <w:r>
        <w:rPr/>
        <w:t>and </w:t>
      </w:r>
      <w:r>
        <w:rPr>
          <w:spacing w:val="-6"/>
        </w:rPr>
        <w:t>deciding on entry. It would, in addition, license agencies </w:t>
      </w:r>
      <w:r>
        <w:rPr/>
        <w:t>to</w:t>
      </w:r>
      <w:r>
        <w:rPr>
          <w:spacing w:val="-14"/>
        </w:rPr>
        <w:t> </w:t>
      </w:r>
      <w:r>
        <w:rPr/>
        <w:t>take</w:t>
      </w:r>
      <w:r>
        <w:rPr>
          <w:spacing w:val="-11"/>
        </w:rPr>
        <w:t> </w:t>
      </w:r>
      <w:r>
        <w:rPr/>
        <w:t>care</w:t>
      </w:r>
      <w:r>
        <w:rPr>
          <w:spacing w:val="-11"/>
        </w:rPr>
        <w:t> </w:t>
      </w:r>
      <w:r>
        <w:rPr/>
        <w:t>of</w:t>
      </w:r>
      <w:r>
        <w:rPr>
          <w:spacing w:val="-11"/>
        </w:rPr>
        <w:t> </w:t>
      </w:r>
      <w:r>
        <w:rPr/>
        <w:t>accreditation.</w:t>
      </w:r>
      <w:r>
        <w:rPr>
          <w:spacing w:val="-14"/>
        </w:rPr>
        <w:t> </w:t>
      </w:r>
      <w:r>
        <w:rPr/>
        <w:t>The</w:t>
      </w:r>
      <w:r>
        <w:rPr>
          <w:spacing w:val="-11"/>
        </w:rPr>
        <w:t> </w:t>
      </w:r>
      <w:r>
        <w:rPr/>
        <w:t>role</w:t>
      </w:r>
      <w:r>
        <w:rPr>
          <w:spacing w:val="-11"/>
        </w:rPr>
        <w:t> </w:t>
      </w:r>
      <w:r>
        <w:rPr/>
        <w:t>of</w:t>
      </w:r>
      <w:r>
        <w:rPr>
          <w:spacing w:val="-11"/>
        </w:rPr>
        <w:t> </w:t>
      </w:r>
      <w:r>
        <w:rPr/>
        <w:t>the</w:t>
      </w:r>
      <w:r>
        <w:rPr>
          <w:spacing w:val="-11"/>
        </w:rPr>
        <w:t> </w:t>
      </w:r>
      <w:r>
        <w:rPr/>
        <w:t>UGC</w:t>
      </w:r>
      <w:r>
        <w:rPr>
          <w:spacing w:val="-11"/>
        </w:rPr>
        <w:t> </w:t>
      </w:r>
      <w:r>
        <w:rPr/>
        <w:t>will be</w:t>
      </w:r>
      <w:r>
        <w:rPr>
          <w:spacing w:val="-10"/>
        </w:rPr>
        <w:t> </w:t>
      </w:r>
      <w:r>
        <w:rPr/>
        <w:t>limited</w:t>
      </w:r>
      <w:r>
        <w:rPr>
          <w:spacing w:val="-10"/>
        </w:rPr>
        <w:t> </w:t>
      </w:r>
      <w:r>
        <w:rPr/>
        <w:t>to</w:t>
      </w:r>
      <w:r>
        <w:rPr>
          <w:spacing w:val="-10"/>
        </w:rPr>
        <w:t> </w:t>
      </w:r>
      <w:r>
        <w:rPr/>
        <w:t>disbursing</w:t>
      </w:r>
      <w:r>
        <w:rPr>
          <w:spacing w:val="-10"/>
        </w:rPr>
        <w:t> </w:t>
      </w:r>
      <w:r>
        <w:rPr/>
        <w:t>public</w:t>
      </w:r>
      <w:r>
        <w:rPr>
          <w:spacing w:val="-10"/>
        </w:rPr>
        <w:t> </w:t>
      </w:r>
      <w:r>
        <w:rPr/>
        <w:t>funds.</w:t>
      </w:r>
      <w:r>
        <w:rPr>
          <w:spacing w:val="-10"/>
        </w:rPr>
        <w:t> </w:t>
      </w:r>
      <w:r>
        <w:rPr/>
        <w:t>Issues</w:t>
      </w:r>
      <w:r>
        <w:rPr>
          <w:spacing w:val="-10"/>
        </w:rPr>
        <w:t> </w:t>
      </w:r>
      <w:r>
        <w:rPr/>
        <w:t>of</w:t>
      </w:r>
      <w:r>
        <w:rPr>
          <w:spacing w:val="-10"/>
        </w:rPr>
        <w:t> </w:t>
      </w:r>
      <w:r>
        <w:rPr/>
        <w:t>access </w:t>
      </w:r>
      <w:r>
        <w:rPr>
          <w:spacing w:val="-4"/>
        </w:rPr>
        <w:t>will</w:t>
      </w:r>
      <w:r>
        <w:rPr>
          <w:spacing w:val="-10"/>
        </w:rPr>
        <w:t> </w:t>
      </w:r>
      <w:r>
        <w:rPr>
          <w:spacing w:val="-4"/>
        </w:rPr>
        <w:t>be</w:t>
      </w:r>
      <w:r>
        <w:rPr>
          <w:spacing w:val="-10"/>
        </w:rPr>
        <w:t> </w:t>
      </w:r>
      <w:r>
        <w:rPr>
          <w:spacing w:val="-4"/>
        </w:rPr>
        <w:t>governed</w:t>
      </w:r>
      <w:r>
        <w:rPr>
          <w:spacing w:val="-10"/>
        </w:rPr>
        <w:t> </w:t>
      </w:r>
      <w:r>
        <w:rPr>
          <w:spacing w:val="-4"/>
        </w:rPr>
        <w:t>by</w:t>
      </w:r>
      <w:r>
        <w:rPr>
          <w:spacing w:val="-9"/>
        </w:rPr>
        <w:t> </w:t>
      </w:r>
      <w:r>
        <w:rPr>
          <w:spacing w:val="-4"/>
        </w:rPr>
        <w:t>state</w:t>
      </w:r>
      <w:r>
        <w:rPr>
          <w:spacing w:val="-10"/>
        </w:rPr>
        <w:t> </w:t>
      </w:r>
      <w:r>
        <w:rPr>
          <w:spacing w:val="-4"/>
        </w:rPr>
        <w:t>legislation</w:t>
      </w:r>
      <w:r>
        <w:rPr>
          <w:spacing w:val="-10"/>
        </w:rPr>
        <w:t> </w:t>
      </w:r>
      <w:r>
        <w:rPr>
          <w:spacing w:val="-4"/>
        </w:rPr>
        <w:t>on</w:t>
      </w:r>
      <w:r>
        <w:rPr>
          <w:spacing w:val="-10"/>
        </w:rPr>
        <w:t> </w:t>
      </w:r>
      <w:r>
        <w:rPr>
          <w:spacing w:val="-4"/>
        </w:rPr>
        <w:t>reservations</w:t>
      </w:r>
      <w:r>
        <w:rPr>
          <w:spacing w:val="-9"/>
        </w:rPr>
        <w:t> </w:t>
      </w:r>
      <w:r>
        <w:rPr>
          <w:spacing w:val="-4"/>
        </w:rPr>
        <w:t>and </w:t>
      </w:r>
      <w:r>
        <w:rPr/>
        <w:t>other forms of affirmative action. And, professional </w:t>
      </w:r>
      <w:r>
        <w:rPr>
          <w:spacing w:val="-4"/>
        </w:rPr>
        <w:t>associations</w:t>
      </w:r>
      <w:r>
        <w:rPr>
          <w:spacing w:val="-5"/>
        </w:rPr>
        <w:t> </w:t>
      </w:r>
      <w:r>
        <w:rPr>
          <w:spacing w:val="-4"/>
        </w:rPr>
        <w:t>may,</w:t>
      </w:r>
      <w:r>
        <w:rPr>
          <w:spacing w:val="-5"/>
        </w:rPr>
        <w:t> </w:t>
      </w:r>
      <w:r>
        <w:rPr>
          <w:spacing w:val="-4"/>
        </w:rPr>
        <w:t>in</w:t>
      </w:r>
      <w:r>
        <w:rPr>
          <w:spacing w:val="-5"/>
        </w:rPr>
        <w:t> </w:t>
      </w:r>
      <w:r>
        <w:rPr>
          <w:spacing w:val="-4"/>
        </w:rPr>
        <w:t>some</w:t>
      </w:r>
      <w:r>
        <w:rPr>
          <w:spacing w:val="-5"/>
        </w:rPr>
        <w:t> </w:t>
      </w:r>
      <w:r>
        <w:rPr>
          <w:spacing w:val="-4"/>
        </w:rPr>
        <w:t>institutions,</w:t>
      </w:r>
      <w:r>
        <w:rPr>
          <w:spacing w:val="-5"/>
        </w:rPr>
        <w:t> </w:t>
      </w:r>
      <w:r>
        <w:rPr>
          <w:spacing w:val="-4"/>
        </w:rPr>
        <w:t>set</w:t>
      </w:r>
      <w:r>
        <w:rPr>
          <w:spacing w:val="-5"/>
        </w:rPr>
        <w:t> </w:t>
      </w:r>
      <w:r>
        <w:rPr>
          <w:spacing w:val="-4"/>
        </w:rPr>
        <w:t>requirements to determine eligibility for conducting a profession. All </w:t>
      </w:r>
      <w:r>
        <w:rPr>
          <w:spacing w:val="-2"/>
        </w:rPr>
        <w:t>other</w:t>
      </w:r>
      <w:r>
        <w:rPr>
          <w:spacing w:val="-9"/>
        </w:rPr>
        <w:t> </w:t>
      </w:r>
      <w:r>
        <w:rPr>
          <w:spacing w:val="-2"/>
        </w:rPr>
        <w:t>regulatory</w:t>
      </w:r>
      <w:r>
        <w:rPr>
          <w:spacing w:val="-9"/>
        </w:rPr>
        <w:t> </w:t>
      </w:r>
      <w:r>
        <w:rPr>
          <w:spacing w:val="-2"/>
        </w:rPr>
        <w:t>agencies</w:t>
      </w:r>
      <w:r>
        <w:rPr>
          <w:spacing w:val="-9"/>
        </w:rPr>
        <w:t> </w:t>
      </w:r>
      <w:r>
        <w:rPr>
          <w:spacing w:val="-2"/>
        </w:rPr>
        <w:t>such</w:t>
      </w:r>
      <w:r>
        <w:rPr>
          <w:spacing w:val="-9"/>
        </w:rPr>
        <w:t> </w:t>
      </w:r>
      <w:r>
        <w:rPr>
          <w:spacing w:val="-2"/>
        </w:rPr>
        <w:t>as</w:t>
      </w:r>
      <w:r>
        <w:rPr>
          <w:spacing w:val="-9"/>
        </w:rPr>
        <w:t> </w:t>
      </w:r>
      <w:r>
        <w:rPr>
          <w:spacing w:val="-2"/>
        </w:rPr>
        <w:t>the</w:t>
      </w:r>
      <w:r>
        <w:rPr>
          <w:spacing w:val="-9"/>
        </w:rPr>
        <w:t> </w:t>
      </w:r>
      <w:r>
        <w:rPr>
          <w:spacing w:val="-2"/>
        </w:rPr>
        <w:t>AICTE</w:t>
      </w:r>
      <w:r>
        <w:rPr>
          <w:spacing w:val="-9"/>
        </w:rPr>
        <w:t> </w:t>
      </w:r>
      <w:r>
        <w:rPr>
          <w:spacing w:val="-2"/>
        </w:rPr>
        <w:t>will</w:t>
      </w:r>
      <w:r>
        <w:rPr>
          <w:spacing w:val="-9"/>
        </w:rPr>
        <w:t> </w:t>
      </w:r>
      <w:r>
        <w:rPr>
          <w:spacing w:val="-2"/>
        </w:rPr>
        <w:t>need </w:t>
      </w:r>
      <w:r>
        <w:rPr/>
        <w:t>to be abolished while the MCI and the BCI will be </w:t>
      </w:r>
      <w:r>
        <w:rPr>
          <w:spacing w:val="-2"/>
        </w:rPr>
        <w:t>limited</w:t>
      </w:r>
      <w:r>
        <w:rPr>
          <w:spacing w:val="-12"/>
        </w:rPr>
        <w:t> </w:t>
      </w:r>
      <w:r>
        <w:rPr>
          <w:spacing w:val="-2"/>
        </w:rPr>
        <w:t>to</w:t>
      </w:r>
      <w:r>
        <w:rPr>
          <w:spacing w:val="-9"/>
        </w:rPr>
        <w:t> </w:t>
      </w:r>
      <w:r>
        <w:rPr>
          <w:spacing w:val="-2"/>
        </w:rPr>
        <w:t>their</w:t>
      </w:r>
      <w:r>
        <w:rPr>
          <w:spacing w:val="-9"/>
        </w:rPr>
        <w:t> </w:t>
      </w:r>
      <w:r>
        <w:rPr>
          <w:spacing w:val="-2"/>
        </w:rPr>
        <w:t>role</w:t>
      </w:r>
      <w:r>
        <w:rPr>
          <w:spacing w:val="-9"/>
        </w:rPr>
        <w:t> </w:t>
      </w:r>
      <w:r>
        <w:rPr>
          <w:spacing w:val="-2"/>
        </w:rPr>
        <w:t>as</w:t>
      </w:r>
      <w:r>
        <w:rPr>
          <w:spacing w:val="-9"/>
        </w:rPr>
        <w:t> </w:t>
      </w:r>
      <w:r>
        <w:rPr>
          <w:spacing w:val="-2"/>
        </w:rPr>
        <w:t>professional</w:t>
      </w:r>
      <w:r>
        <w:rPr>
          <w:spacing w:val="-9"/>
        </w:rPr>
        <w:t> </w:t>
      </w:r>
      <w:r>
        <w:rPr>
          <w:spacing w:val="-2"/>
        </w:rPr>
        <w:t>associations.</w:t>
      </w:r>
      <w:r>
        <w:rPr>
          <w:spacing w:val="-12"/>
        </w:rPr>
        <w:t> </w:t>
      </w:r>
      <w:r>
        <w:rPr>
          <w:spacing w:val="-2"/>
        </w:rPr>
        <w:t>These </w:t>
      </w:r>
      <w:r>
        <w:rPr/>
        <w:t>professional associations could conduct nationwide examinations</w:t>
      </w:r>
      <w:r>
        <w:rPr>
          <w:spacing w:val="-6"/>
        </w:rPr>
        <w:t> </w:t>
      </w:r>
      <w:r>
        <w:rPr/>
        <w:t>to</w:t>
      </w:r>
      <w:r>
        <w:rPr>
          <w:spacing w:val="-6"/>
        </w:rPr>
        <w:t> </w:t>
      </w:r>
      <w:r>
        <w:rPr/>
        <w:t>provide</w:t>
      </w:r>
      <w:r>
        <w:rPr>
          <w:spacing w:val="-6"/>
        </w:rPr>
        <w:t> </w:t>
      </w:r>
      <w:r>
        <w:rPr/>
        <w:t>licences</w:t>
      </w:r>
      <w:r>
        <w:rPr>
          <w:spacing w:val="-6"/>
        </w:rPr>
        <w:t> </w:t>
      </w:r>
      <w:r>
        <w:rPr/>
        <w:t>for</w:t>
      </w:r>
      <w:r>
        <w:rPr>
          <w:spacing w:val="-6"/>
        </w:rPr>
        <w:t> </w:t>
      </w:r>
      <w:r>
        <w:rPr/>
        <w:t>those</w:t>
      </w:r>
      <w:r>
        <w:rPr>
          <w:spacing w:val="-6"/>
        </w:rPr>
        <w:t> </w:t>
      </w:r>
      <w:r>
        <w:rPr/>
        <w:t>wishing</w:t>
      </w:r>
      <w:r>
        <w:rPr>
          <w:spacing w:val="-6"/>
        </w:rPr>
        <w:t> </w:t>
      </w:r>
      <w:r>
        <w:rPr/>
        <w:t>to enter the profession.</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77"/>
        <w:ind w:left="1079"/>
        <w:jc w:val="both"/>
      </w:pPr>
      <w:r>
        <w:rPr/>
        <w:t>The second aspect of regulation is the principle </w:t>
      </w:r>
      <w:r>
        <w:rPr/>
        <w:t>used to</w:t>
      </w:r>
      <w:r>
        <w:rPr>
          <w:spacing w:val="-1"/>
        </w:rPr>
        <w:t> </w:t>
      </w:r>
      <w:r>
        <w:rPr/>
        <w:t>regulate.</w:t>
      </w:r>
      <w:r>
        <w:rPr>
          <w:spacing w:val="-7"/>
        </w:rPr>
        <w:t> </w:t>
      </w:r>
      <w:r>
        <w:rPr/>
        <w:t>The</w:t>
      </w:r>
      <w:r>
        <w:rPr>
          <w:spacing w:val="-1"/>
        </w:rPr>
        <w:t> </w:t>
      </w:r>
      <w:r>
        <w:rPr/>
        <w:t>IRAHE</w:t>
      </w:r>
      <w:r>
        <w:rPr>
          <w:spacing w:val="-1"/>
        </w:rPr>
        <w:t> </w:t>
      </w:r>
      <w:r>
        <w:rPr/>
        <w:t>will</w:t>
      </w:r>
      <w:r>
        <w:rPr>
          <w:spacing w:val="-1"/>
        </w:rPr>
        <w:t> </w:t>
      </w:r>
      <w:r>
        <w:rPr/>
        <w:t>determine</w:t>
      </w:r>
      <w:r>
        <w:rPr>
          <w:spacing w:val="-1"/>
        </w:rPr>
        <w:t> </w:t>
      </w:r>
      <w:r>
        <w:rPr/>
        <w:t>eligibility</w:t>
      </w:r>
      <w:r>
        <w:rPr>
          <w:spacing w:val="-1"/>
        </w:rPr>
        <w:t> </w:t>
      </w:r>
      <w:r>
        <w:rPr/>
        <w:t>for </w:t>
      </w:r>
      <w:r>
        <w:rPr>
          <w:spacing w:val="-4"/>
        </w:rPr>
        <w:t>setting</w:t>
      </w:r>
      <w:r>
        <w:rPr>
          <w:spacing w:val="-9"/>
        </w:rPr>
        <w:t> </w:t>
      </w:r>
      <w:r>
        <w:rPr>
          <w:spacing w:val="-4"/>
        </w:rPr>
        <w:t>up</w:t>
      </w:r>
      <w:r>
        <w:rPr>
          <w:spacing w:val="-9"/>
        </w:rPr>
        <w:t> </w:t>
      </w:r>
      <w:r>
        <w:rPr>
          <w:spacing w:val="-4"/>
        </w:rPr>
        <w:t>a</w:t>
      </w:r>
      <w:r>
        <w:rPr>
          <w:spacing w:val="-9"/>
        </w:rPr>
        <w:t> </w:t>
      </w:r>
      <w:r>
        <w:rPr>
          <w:spacing w:val="-4"/>
        </w:rPr>
        <w:t>new</w:t>
      </w:r>
      <w:r>
        <w:rPr>
          <w:spacing w:val="-9"/>
        </w:rPr>
        <w:t> </w:t>
      </w:r>
      <w:r>
        <w:rPr>
          <w:spacing w:val="-4"/>
        </w:rPr>
        <w:t>institution</w:t>
      </w:r>
      <w:r>
        <w:rPr>
          <w:spacing w:val="-9"/>
        </w:rPr>
        <w:t> </w:t>
      </w:r>
      <w:r>
        <w:rPr>
          <w:spacing w:val="-4"/>
        </w:rPr>
        <w:t>based</w:t>
      </w:r>
      <w:r>
        <w:rPr>
          <w:spacing w:val="-9"/>
        </w:rPr>
        <w:t> </w:t>
      </w:r>
      <w:r>
        <w:rPr>
          <w:spacing w:val="-4"/>
        </w:rPr>
        <w:t>on</w:t>
      </w:r>
      <w:r>
        <w:rPr>
          <w:spacing w:val="-9"/>
        </w:rPr>
        <w:t> </w:t>
      </w:r>
      <w:r>
        <w:rPr>
          <w:spacing w:val="-4"/>
        </w:rPr>
        <w:t>transparent</w:t>
      </w:r>
      <w:r>
        <w:rPr>
          <w:spacing w:val="-9"/>
        </w:rPr>
        <w:t> </w:t>
      </w:r>
      <w:r>
        <w:rPr>
          <w:spacing w:val="-4"/>
        </w:rPr>
        <w:t>criteria </w:t>
      </w:r>
      <w:r>
        <w:rPr/>
        <w:t>rather</w:t>
      </w:r>
      <w:r>
        <w:rPr>
          <w:spacing w:val="-13"/>
        </w:rPr>
        <w:t> </w:t>
      </w:r>
      <w:r>
        <w:rPr/>
        <w:t>than</w:t>
      </w:r>
      <w:r>
        <w:rPr>
          <w:spacing w:val="-13"/>
        </w:rPr>
        <w:t> </w:t>
      </w:r>
      <w:r>
        <w:rPr/>
        <w:t>discretionary</w:t>
      </w:r>
      <w:r>
        <w:rPr>
          <w:spacing w:val="-13"/>
        </w:rPr>
        <w:t> </w:t>
      </w:r>
      <w:r>
        <w:rPr/>
        <w:t>controls.</w:t>
      </w:r>
      <w:r>
        <w:rPr>
          <w:spacing w:val="-13"/>
        </w:rPr>
        <w:t> </w:t>
      </w:r>
      <w:r>
        <w:rPr/>
        <w:t>Its</w:t>
      </w:r>
      <w:r>
        <w:rPr>
          <w:spacing w:val="-13"/>
        </w:rPr>
        <w:t> </w:t>
      </w:r>
      <w:r>
        <w:rPr/>
        <w:t>main</w:t>
      </w:r>
      <w:r>
        <w:rPr>
          <w:spacing w:val="-13"/>
        </w:rPr>
        <w:t> </w:t>
      </w:r>
      <w:r>
        <w:rPr/>
        <w:t>role</w:t>
      </w:r>
      <w:r>
        <w:rPr>
          <w:spacing w:val="-13"/>
        </w:rPr>
        <w:t> </w:t>
      </w:r>
      <w:r>
        <w:rPr/>
        <w:t>would be</w:t>
      </w:r>
      <w:r>
        <w:rPr>
          <w:spacing w:val="-2"/>
        </w:rPr>
        <w:t> </w:t>
      </w:r>
      <w:r>
        <w:rPr/>
        <w:t>to</w:t>
      </w:r>
      <w:r>
        <w:rPr>
          <w:spacing w:val="-2"/>
        </w:rPr>
        <w:t> </w:t>
      </w:r>
      <w:r>
        <w:rPr/>
        <w:t>exercise</w:t>
      </w:r>
      <w:r>
        <w:rPr>
          <w:spacing w:val="-2"/>
        </w:rPr>
        <w:t> </w:t>
      </w:r>
      <w:r>
        <w:rPr/>
        <w:t>due</w:t>
      </w:r>
      <w:r>
        <w:rPr>
          <w:spacing w:val="-2"/>
        </w:rPr>
        <w:t> </w:t>
      </w:r>
      <w:r>
        <w:rPr/>
        <w:t>diligence</w:t>
      </w:r>
      <w:r>
        <w:rPr>
          <w:spacing w:val="-2"/>
        </w:rPr>
        <w:t> </w:t>
      </w:r>
      <w:r>
        <w:rPr/>
        <w:t>at</w:t>
      </w:r>
      <w:r>
        <w:rPr>
          <w:spacing w:val="-2"/>
        </w:rPr>
        <w:t> </w:t>
      </w:r>
      <w:r>
        <w:rPr/>
        <w:t>the</w:t>
      </w:r>
      <w:r>
        <w:rPr>
          <w:spacing w:val="-2"/>
        </w:rPr>
        <w:t> </w:t>
      </w:r>
      <w:r>
        <w:rPr/>
        <w:t>point</w:t>
      </w:r>
      <w:r>
        <w:rPr>
          <w:spacing w:val="-2"/>
        </w:rPr>
        <w:t> </w:t>
      </w:r>
      <w:r>
        <w:rPr/>
        <w:t>it</w:t>
      </w:r>
      <w:r>
        <w:rPr>
          <w:spacing w:val="-2"/>
        </w:rPr>
        <w:t> </w:t>
      </w:r>
      <w:r>
        <w:rPr/>
        <w:t>approves</w:t>
      </w:r>
      <w:r>
        <w:rPr>
          <w:spacing w:val="-2"/>
        </w:rPr>
        <w:t> </w:t>
      </w:r>
      <w:r>
        <w:rPr/>
        <w:t>a licence to grant degrees. In doing so, it would assess the</w:t>
      </w:r>
      <w:r>
        <w:rPr>
          <w:spacing w:val="-1"/>
        </w:rPr>
        <w:t> </w:t>
      </w:r>
      <w:r>
        <w:rPr/>
        <w:t>academic</w:t>
      </w:r>
      <w:r>
        <w:rPr>
          <w:spacing w:val="-1"/>
        </w:rPr>
        <w:t> </w:t>
      </w:r>
      <w:r>
        <w:rPr/>
        <w:t>credibility</w:t>
      </w:r>
      <w:r>
        <w:rPr>
          <w:spacing w:val="-1"/>
        </w:rPr>
        <w:t> </w:t>
      </w:r>
      <w:r>
        <w:rPr/>
        <w:t>and</w:t>
      </w:r>
      <w:r>
        <w:rPr>
          <w:spacing w:val="-1"/>
        </w:rPr>
        <w:t> </w:t>
      </w:r>
      <w:r>
        <w:rPr/>
        <w:t>the</w:t>
      </w:r>
      <w:r>
        <w:rPr>
          <w:spacing w:val="-1"/>
        </w:rPr>
        <w:t> </w:t>
      </w:r>
      <w:r>
        <w:rPr/>
        <w:t>financial</w:t>
      </w:r>
      <w:r>
        <w:rPr>
          <w:spacing w:val="-1"/>
        </w:rPr>
        <w:t> </w:t>
      </w:r>
      <w:r>
        <w:rPr/>
        <w:t>viability</w:t>
      </w:r>
      <w:r>
        <w:rPr>
          <w:spacing w:val="-1"/>
        </w:rPr>
        <w:t> </w:t>
      </w:r>
      <w:r>
        <w:rPr/>
        <w:t>of the proposed institution on the basis of information submitted</w:t>
      </w:r>
      <w:r>
        <w:rPr>
          <w:spacing w:val="-13"/>
        </w:rPr>
        <w:t> </w:t>
      </w:r>
      <w:r>
        <w:rPr/>
        <w:t>in</w:t>
      </w:r>
      <w:r>
        <w:rPr>
          <w:spacing w:val="-13"/>
        </w:rPr>
        <w:t> </w:t>
      </w:r>
      <w:r>
        <w:rPr/>
        <w:t>accordance</w:t>
      </w:r>
      <w:r>
        <w:rPr>
          <w:spacing w:val="-13"/>
        </w:rPr>
        <w:t> </w:t>
      </w:r>
      <w:r>
        <w:rPr/>
        <w:t>with</w:t>
      </w:r>
      <w:r>
        <w:rPr>
          <w:spacing w:val="-13"/>
        </w:rPr>
        <w:t> </w:t>
      </w:r>
      <w:r>
        <w:rPr/>
        <w:t>the</w:t>
      </w:r>
      <w:r>
        <w:rPr>
          <w:spacing w:val="-13"/>
        </w:rPr>
        <w:t> </w:t>
      </w:r>
      <w:r>
        <w:rPr/>
        <w:t>stipulated</w:t>
      </w:r>
      <w:r>
        <w:rPr>
          <w:spacing w:val="-13"/>
        </w:rPr>
        <w:t> </w:t>
      </w:r>
      <w:r>
        <w:rPr/>
        <w:t>criteria.</w:t>
      </w:r>
      <w:r>
        <w:rPr>
          <w:spacing w:val="-13"/>
        </w:rPr>
        <w:t> </w:t>
      </w:r>
      <w:r>
        <w:rPr/>
        <w:t>It </w:t>
      </w:r>
      <w:r>
        <w:rPr>
          <w:spacing w:val="-2"/>
        </w:rPr>
        <w:t>will</w:t>
      </w:r>
      <w:r>
        <w:rPr>
          <w:spacing w:val="-12"/>
        </w:rPr>
        <w:t> </w:t>
      </w:r>
      <w:r>
        <w:rPr>
          <w:spacing w:val="-2"/>
        </w:rPr>
        <w:t>apply</w:t>
      </w:r>
      <w:r>
        <w:rPr>
          <w:spacing w:val="-12"/>
        </w:rPr>
        <w:t> </w:t>
      </w:r>
      <w:r>
        <w:rPr>
          <w:spacing w:val="-2"/>
        </w:rPr>
        <w:t>exactly</w:t>
      </w:r>
      <w:r>
        <w:rPr>
          <w:spacing w:val="-12"/>
        </w:rPr>
        <w:t> </w:t>
      </w:r>
      <w:r>
        <w:rPr>
          <w:spacing w:val="-2"/>
        </w:rPr>
        <w:t>the</w:t>
      </w:r>
      <w:r>
        <w:rPr>
          <w:spacing w:val="-11"/>
        </w:rPr>
        <w:t> </w:t>
      </w:r>
      <w:r>
        <w:rPr>
          <w:spacing w:val="-2"/>
        </w:rPr>
        <w:t>same</w:t>
      </w:r>
      <w:r>
        <w:rPr>
          <w:spacing w:val="-12"/>
        </w:rPr>
        <w:t> </w:t>
      </w:r>
      <w:r>
        <w:rPr>
          <w:spacing w:val="-2"/>
        </w:rPr>
        <w:t>norms</w:t>
      </w:r>
      <w:r>
        <w:rPr>
          <w:spacing w:val="-12"/>
        </w:rPr>
        <w:t> </w:t>
      </w:r>
      <w:r>
        <w:rPr>
          <w:spacing w:val="-2"/>
        </w:rPr>
        <w:t>to</w:t>
      </w:r>
      <w:r>
        <w:rPr>
          <w:spacing w:val="-12"/>
        </w:rPr>
        <w:t> </w:t>
      </w:r>
      <w:r>
        <w:rPr>
          <w:spacing w:val="-2"/>
        </w:rPr>
        <w:t>public</w:t>
      </w:r>
      <w:r>
        <w:rPr>
          <w:spacing w:val="-11"/>
        </w:rPr>
        <w:t> </w:t>
      </w:r>
      <w:r>
        <w:rPr>
          <w:spacing w:val="-2"/>
        </w:rPr>
        <w:t>and</w:t>
      </w:r>
      <w:r>
        <w:rPr>
          <w:spacing w:val="-12"/>
        </w:rPr>
        <w:t> </w:t>
      </w:r>
      <w:r>
        <w:rPr>
          <w:spacing w:val="-2"/>
        </w:rPr>
        <w:t>private </w:t>
      </w:r>
      <w:r>
        <w:rPr/>
        <w:t>institutions, just as it will apply the same norms to domestic and international institutions.</w:t>
      </w:r>
    </w:p>
    <w:p>
      <w:pPr>
        <w:pStyle w:val="BodyText"/>
        <w:spacing w:before="17"/>
      </w:pPr>
    </w:p>
    <w:p>
      <w:pPr>
        <w:pStyle w:val="BodyText"/>
        <w:spacing w:line="266" w:lineRule="auto" w:before="1"/>
        <w:ind w:left="1079"/>
        <w:jc w:val="both"/>
      </w:pPr>
      <w:r>
        <w:rPr/>
        <w:t>The</w:t>
      </w:r>
      <w:r>
        <w:rPr>
          <w:spacing w:val="-14"/>
        </w:rPr>
        <w:t> </w:t>
      </w:r>
      <w:r>
        <w:rPr/>
        <w:t>IRAHE</w:t>
      </w:r>
      <w:r>
        <w:rPr>
          <w:spacing w:val="-13"/>
        </w:rPr>
        <w:t> </w:t>
      </w:r>
      <w:r>
        <w:rPr/>
        <w:t>would</w:t>
      </w:r>
      <w:r>
        <w:rPr>
          <w:spacing w:val="-14"/>
        </w:rPr>
        <w:t> </w:t>
      </w:r>
      <w:r>
        <w:rPr/>
        <w:t>be</w:t>
      </w:r>
      <w:r>
        <w:rPr>
          <w:spacing w:val="-13"/>
        </w:rPr>
        <w:t> </w:t>
      </w:r>
      <w:r>
        <w:rPr/>
        <w:t>constituted</w:t>
      </w:r>
      <w:r>
        <w:rPr>
          <w:spacing w:val="-14"/>
        </w:rPr>
        <w:t> </w:t>
      </w:r>
      <w:r>
        <w:rPr/>
        <w:t>as</w:t>
      </w:r>
      <w:r>
        <w:rPr>
          <w:spacing w:val="-13"/>
        </w:rPr>
        <w:t> </w:t>
      </w:r>
      <w:r>
        <w:rPr/>
        <w:t>follows.</w:t>
      </w:r>
      <w:r>
        <w:rPr>
          <w:spacing w:val="-14"/>
        </w:rPr>
        <w:t> </w:t>
      </w:r>
      <w:r>
        <w:rPr/>
        <w:t>It</w:t>
      </w:r>
      <w:r>
        <w:rPr>
          <w:spacing w:val="-13"/>
        </w:rPr>
        <w:t> </w:t>
      </w:r>
      <w:r>
        <w:rPr/>
        <w:t>would have a Chairperson and six Members. The tenure of the</w:t>
      </w:r>
      <w:r>
        <w:rPr>
          <w:spacing w:val="-7"/>
        </w:rPr>
        <w:t> </w:t>
      </w:r>
      <w:r>
        <w:rPr/>
        <w:t>Chairperson</w:t>
      </w:r>
      <w:r>
        <w:rPr>
          <w:spacing w:val="-7"/>
        </w:rPr>
        <w:t> </w:t>
      </w:r>
      <w:r>
        <w:rPr/>
        <w:t>would</w:t>
      </w:r>
      <w:r>
        <w:rPr>
          <w:spacing w:val="-7"/>
        </w:rPr>
        <w:t> </w:t>
      </w:r>
      <w:r>
        <w:rPr/>
        <w:t>be</w:t>
      </w:r>
      <w:r>
        <w:rPr>
          <w:spacing w:val="-6"/>
        </w:rPr>
        <w:t> </w:t>
      </w:r>
      <w:r>
        <w:rPr/>
        <w:t>six</w:t>
      </w:r>
      <w:r>
        <w:rPr>
          <w:spacing w:val="-7"/>
        </w:rPr>
        <w:t> </w:t>
      </w:r>
      <w:r>
        <w:rPr/>
        <w:t>years.</w:t>
      </w:r>
      <w:r>
        <w:rPr>
          <w:spacing w:val="-14"/>
        </w:rPr>
        <w:t> </w:t>
      </w:r>
      <w:r>
        <w:rPr/>
        <w:t>The</w:t>
      </w:r>
      <w:r>
        <w:rPr>
          <w:spacing w:val="-6"/>
        </w:rPr>
        <w:t> </w:t>
      </w:r>
      <w:r>
        <w:rPr/>
        <w:t>tenure</w:t>
      </w:r>
      <w:r>
        <w:rPr>
          <w:spacing w:val="-6"/>
        </w:rPr>
        <w:t> </w:t>
      </w:r>
      <w:r>
        <w:rPr/>
        <w:t>of</w:t>
      </w:r>
      <w:r>
        <w:rPr>
          <w:spacing w:val="-7"/>
        </w:rPr>
        <w:t> </w:t>
      </w:r>
      <w:r>
        <w:rPr/>
        <w:t>the Members would also be six years. One-third of the Members</w:t>
      </w:r>
      <w:r>
        <w:rPr>
          <w:spacing w:val="-9"/>
        </w:rPr>
        <w:t> </w:t>
      </w:r>
      <w:r>
        <w:rPr/>
        <w:t>of</w:t>
      </w:r>
      <w:r>
        <w:rPr>
          <w:spacing w:val="-9"/>
        </w:rPr>
        <w:t> </w:t>
      </w:r>
      <w:r>
        <w:rPr/>
        <w:t>the</w:t>
      </w:r>
      <w:r>
        <w:rPr>
          <w:spacing w:val="-9"/>
        </w:rPr>
        <w:t> </w:t>
      </w:r>
      <w:r>
        <w:rPr/>
        <w:t>Authority</w:t>
      </w:r>
      <w:r>
        <w:rPr>
          <w:spacing w:val="-9"/>
        </w:rPr>
        <w:t> </w:t>
      </w:r>
      <w:r>
        <w:rPr/>
        <w:t>will</w:t>
      </w:r>
      <w:r>
        <w:rPr>
          <w:spacing w:val="-9"/>
        </w:rPr>
        <w:t> </w:t>
      </w:r>
      <w:r>
        <w:rPr/>
        <w:t>retire</w:t>
      </w:r>
      <w:r>
        <w:rPr>
          <w:spacing w:val="-9"/>
        </w:rPr>
        <w:t> </w:t>
      </w:r>
      <w:r>
        <w:rPr/>
        <w:t>every</w:t>
      </w:r>
      <w:r>
        <w:rPr>
          <w:spacing w:val="-9"/>
        </w:rPr>
        <w:t> </w:t>
      </w:r>
      <w:r>
        <w:rPr/>
        <w:t>two</w:t>
      </w:r>
      <w:r>
        <w:rPr>
          <w:spacing w:val="-9"/>
        </w:rPr>
        <w:t> </w:t>
      </w:r>
      <w:r>
        <w:rPr/>
        <w:t>years. The Chairperson would be a distinguished academic from</w:t>
      </w:r>
      <w:r>
        <w:rPr>
          <w:spacing w:val="-7"/>
        </w:rPr>
        <w:t> </w:t>
      </w:r>
      <w:r>
        <w:rPr/>
        <w:t>any</w:t>
      </w:r>
      <w:r>
        <w:rPr>
          <w:spacing w:val="-7"/>
        </w:rPr>
        <w:t> </w:t>
      </w:r>
      <w:r>
        <w:rPr/>
        <w:t>discipline</w:t>
      </w:r>
      <w:r>
        <w:rPr>
          <w:spacing w:val="-7"/>
        </w:rPr>
        <w:t> </w:t>
      </w:r>
      <w:r>
        <w:rPr/>
        <w:t>with</w:t>
      </w:r>
      <w:r>
        <w:rPr>
          <w:spacing w:val="-7"/>
        </w:rPr>
        <w:t> </w:t>
      </w:r>
      <w:r>
        <w:rPr/>
        <w:t>experience</w:t>
      </w:r>
      <w:r>
        <w:rPr>
          <w:spacing w:val="-7"/>
        </w:rPr>
        <w:t> </w:t>
      </w:r>
      <w:r>
        <w:rPr/>
        <w:t>of</w:t>
      </w:r>
      <w:r>
        <w:rPr>
          <w:spacing w:val="-7"/>
        </w:rPr>
        <w:t> </w:t>
      </w:r>
      <w:r>
        <w:rPr/>
        <w:t>governance</w:t>
      </w:r>
      <w:r>
        <w:rPr>
          <w:spacing w:val="-7"/>
        </w:rPr>
        <w:t> </w:t>
      </w:r>
      <w:r>
        <w:rPr/>
        <w:t>in </w:t>
      </w:r>
      <w:r>
        <w:rPr>
          <w:spacing w:val="-4"/>
        </w:rPr>
        <w:t>higher</w:t>
      </w:r>
      <w:r>
        <w:rPr>
          <w:spacing w:val="-10"/>
        </w:rPr>
        <w:t> </w:t>
      </w:r>
      <w:r>
        <w:rPr>
          <w:spacing w:val="-4"/>
        </w:rPr>
        <w:t>education.</w:t>
      </w:r>
      <w:r>
        <w:rPr>
          <w:spacing w:val="-10"/>
        </w:rPr>
        <w:t> </w:t>
      </w:r>
      <w:r>
        <w:rPr>
          <w:spacing w:val="-4"/>
        </w:rPr>
        <w:t>The</w:t>
      </w:r>
      <w:r>
        <w:rPr>
          <w:spacing w:val="-10"/>
        </w:rPr>
        <w:t> </w:t>
      </w:r>
      <w:r>
        <w:rPr>
          <w:spacing w:val="-4"/>
        </w:rPr>
        <w:t>Members</w:t>
      </w:r>
      <w:r>
        <w:rPr>
          <w:spacing w:val="-9"/>
        </w:rPr>
        <w:t> </w:t>
      </w:r>
      <w:r>
        <w:rPr>
          <w:spacing w:val="-4"/>
        </w:rPr>
        <w:t>would</w:t>
      </w:r>
      <w:r>
        <w:rPr>
          <w:spacing w:val="-10"/>
        </w:rPr>
        <w:t> </w:t>
      </w:r>
      <w:r>
        <w:rPr>
          <w:spacing w:val="-4"/>
        </w:rPr>
        <w:t>be</w:t>
      </w:r>
      <w:r>
        <w:rPr>
          <w:spacing w:val="-10"/>
        </w:rPr>
        <w:t> </w:t>
      </w:r>
      <w:r>
        <w:rPr>
          <w:spacing w:val="-4"/>
        </w:rPr>
        <w:t>distinguished academics</w:t>
      </w:r>
      <w:r>
        <w:rPr>
          <w:spacing w:val="-10"/>
        </w:rPr>
        <w:t> </w:t>
      </w:r>
      <w:r>
        <w:rPr>
          <w:spacing w:val="-4"/>
        </w:rPr>
        <w:t>drawn</w:t>
      </w:r>
      <w:r>
        <w:rPr>
          <w:spacing w:val="-10"/>
        </w:rPr>
        <w:t> </w:t>
      </w:r>
      <w:r>
        <w:rPr>
          <w:spacing w:val="-4"/>
        </w:rPr>
        <w:t>from</w:t>
      </w:r>
      <w:r>
        <w:rPr>
          <w:spacing w:val="-10"/>
        </w:rPr>
        <w:t> </w:t>
      </w:r>
      <w:r>
        <w:rPr>
          <w:spacing w:val="-4"/>
        </w:rPr>
        <w:t>the</w:t>
      </w:r>
      <w:r>
        <w:rPr>
          <w:spacing w:val="-9"/>
        </w:rPr>
        <w:t> </w:t>
      </w:r>
      <w:r>
        <w:rPr>
          <w:spacing w:val="-4"/>
        </w:rPr>
        <w:t>following</w:t>
      </w:r>
      <w:r>
        <w:rPr>
          <w:spacing w:val="-10"/>
        </w:rPr>
        <w:t> </w:t>
      </w:r>
      <w:r>
        <w:rPr>
          <w:spacing w:val="-4"/>
        </w:rPr>
        <w:t>sets</w:t>
      </w:r>
      <w:r>
        <w:rPr>
          <w:spacing w:val="-10"/>
        </w:rPr>
        <w:t> </w:t>
      </w:r>
      <w:r>
        <w:rPr>
          <w:spacing w:val="-4"/>
        </w:rPr>
        <w:t>of</w:t>
      </w:r>
      <w:r>
        <w:rPr>
          <w:spacing w:val="-10"/>
        </w:rPr>
        <w:t> </w:t>
      </w:r>
      <w:r>
        <w:rPr>
          <w:spacing w:val="-4"/>
        </w:rPr>
        <w:t>disciplines: </w:t>
      </w:r>
      <w:r>
        <w:rPr>
          <w:w w:val="90"/>
        </w:rPr>
        <w:t>physical</w:t>
      </w:r>
      <w:r>
        <w:rPr>
          <w:spacing w:val="-4"/>
          <w:w w:val="90"/>
        </w:rPr>
        <w:t> </w:t>
      </w:r>
      <w:r>
        <w:rPr>
          <w:w w:val="90"/>
        </w:rPr>
        <w:t>sciences,</w:t>
      </w:r>
      <w:r>
        <w:rPr>
          <w:spacing w:val="-4"/>
          <w:w w:val="90"/>
        </w:rPr>
        <w:t> </w:t>
      </w:r>
      <w:r>
        <w:rPr>
          <w:w w:val="90"/>
        </w:rPr>
        <w:t>life</w:t>
      </w:r>
      <w:r>
        <w:rPr>
          <w:spacing w:val="-4"/>
          <w:w w:val="90"/>
        </w:rPr>
        <w:t> </w:t>
      </w:r>
      <w:r>
        <w:rPr>
          <w:w w:val="90"/>
        </w:rPr>
        <w:t>sciences,</w:t>
      </w:r>
      <w:r>
        <w:rPr>
          <w:spacing w:val="-4"/>
          <w:w w:val="90"/>
        </w:rPr>
        <w:t> </w:t>
      </w:r>
      <w:r>
        <w:rPr>
          <w:w w:val="90"/>
        </w:rPr>
        <w:t>social</w:t>
      </w:r>
      <w:r>
        <w:rPr>
          <w:spacing w:val="-5"/>
          <w:w w:val="90"/>
        </w:rPr>
        <w:t> </w:t>
      </w:r>
      <w:r>
        <w:rPr>
          <w:w w:val="90"/>
        </w:rPr>
        <w:t>sciences,</w:t>
      </w:r>
      <w:r>
        <w:rPr>
          <w:spacing w:val="-4"/>
          <w:w w:val="90"/>
        </w:rPr>
        <w:t> </w:t>
      </w:r>
      <w:r>
        <w:rPr>
          <w:w w:val="90"/>
        </w:rPr>
        <w:t>humanities </w:t>
      </w:r>
      <w:r>
        <w:rPr>
          <w:spacing w:val="-6"/>
        </w:rPr>
        <w:t>and professional subjects such as engineering, medicine, </w:t>
      </w:r>
      <w:r>
        <w:rPr/>
        <w:t>law or management. The IRAHE could have some part-time members or standing committees drawn from academia to advise the Authority in each of the aforesaid</w:t>
      </w:r>
      <w:r>
        <w:rPr>
          <w:spacing w:val="-7"/>
        </w:rPr>
        <w:t> </w:t>
      </w:r>
      <w:r>
        <w:rPr/>
        <w:t>sets</w:t>
      </w:r>
      <w:r>
        <w:rPr>
          <w:spacing w:val="-7"/>
        </w:rPr>
        <w:t> </w:t>
      </w:r>
      <w:r>
        <w:rPr/>
        <w:t>of</w:t>
      </w:r>
      <w:r>
        <w:rPr>
          <w:spacing w:val="-7"/>
        </w:rPr>
        <w:t> </w:t>
      </w:r>
      <w:r>
        <w:rPr/>
        <w:t>disciplines.</w:t>
      </w:r>
      <w:r>
        <w:rPr>
          <w:spacing w:val="-13"/>
        </w:rPr>
        <w:t> </w:t>
      </w:r>
      <w:r>
        <w:rPr/>
        <w:t>The</w:t>
      </w:r>
      <w:r>
        <w:rPr>
          <w:spacing w:val="-7"/>
        </w:rPr>
        <w:t> </w:t>
      </w:r>
      <w:r>
        <w:rPr/>
        <w:t>Chairperson</w:t>
      </w:r>
      <w:r>
        <w:rPr>
          <w:spacing w:val="-7"/>
        </w:rPr>
        <w:t> </w:t>
      </w:r>
      <w:r>
        <w:rPr/>
        <w:t>and</w:t>
      </w:r>
      <w:r>
        <w:rPr>
          <w:spacing w:val="-7"/>
        </w:rPr>
        <w:t> </w:t>
      </w:r>
      <w:r>
        <w:rPr/>
        <w:t>the Members of the IRAHE would be appointed by the Prime Minister based on the recommendations of a Search Committee.</w:t>
      </w:r>
    </w:p>
    <w:p>
      <w:pPr>
        <w:pStyle w:val="BodyText"/>
        <w:spacing w:before="12"/>
      </w:pPr>
    </w:p>
    <w:p>
      <w:pPr>
        <w:pStyle w:val="BodyText"/>
        <w:spacing w:line="266" w:lineRule="auto"/>
        <w:ind w:left="1079"/>
        <w:jc w:val="both"/>
      </w:pPr>
      <w:r>
        <w:rPr/>
        <w:t>The</w:t>
      </w:r>
      <w:r>
        <w:rPr>
          <w:spacing w:val="-14"/>
        </w:rPr>
        <w:t> </w:t>
      </w:r>
      <w:r>
        <w:rPr/>
        <w:t>IRAHE</w:t>
      </w:r>
      <w:r>
        <w:rPr>
          <w:spacing w:val="-14"/>
        </w:rPr>
        <w:t> </w:t>
      </w:r>
      <w:r>
        <w:rPr/>
        <w:t>would</w:t>
      </w:r>
      <w:r>
        <w:rPr>
          <w:spacing w:val="-14"/>
        </w:rPr>
        <w:t> </w:t>
      </w:r>
      <w:r>
        <w:rPr/>
        <w:t>have</w:t>
      </w:r>
      <w:r>
        <w:rPr>
          <w:spacing w:val="-13"/>
        </w:rPr>
        <w:t> </w:t>
      </w:r>
      <w:r>
        <w:rPr/>
        <w:t>to</w:t>
      </w:r>
      <w:r>
        <w:rPr>
          <w:spacing w:val="-14"/>
        </w:rPr>
        <w:t> </w:t>
      </w:r>
      <w:r>
        <w:rPr/>
        <w:t>be</w:t>
      </w:r>
      <w:r>
        <w:rPr>
          <w:spacing w:val="-14"/>
        </w:rPr>
        <w:t> </w:t>
      </w:r>
      <w:r>
        <w:rPr/>
        <w:t>established</w:t>
      </w:r>
      <w:r>
        <w:rPr>
          <w:spacing w:val="-14"/>
        </w:rPr>
        <w:t> </w:t>
      </w:r>
      <w:r>
        <w:rPr/>
        <w:t>by</w:t>
      </w:r>
      <w:r>
        <w:rPr>
          <w:spacing w:val="-13"/>
        </w:rPr>
        <w:t> </w:t>
      </w:r>
      <w:r>
        <w:rPr/>
        <w:t>an</w:t>
      </w:r>
      <w:r>
        <w:rPr>
          <w:spacing w:val="-14"/>
        </w:rPr>
        <w:t> </w:t>
      </w:r>
      <w:r>
        <w:rPr/>
        <w:t>Act</w:t>
      </w:r>
      <w:r>
        <w:rPr>
          <w:spacing w:val="-14"/>
        </w:rPr>
        <w:t> </w:t>
      </w:r>
      <w:r>
        <w:rPr/>
        <w:t>of Parliament.</w:t>
      </w:r>
      <w:r>
        <w:rPr>
          <w:spacing w:val="-13"/>
        </w:rPr>
        <w:t> </w:t>
      </w:r>
      <w:r>
        <w:rPr/>
        <w:t>It</w:t>
      </w:r>
      <w:r>
        <w:rPr>
          <w:spacing w:val="-13"/>
        </w:rPr>
        <w:t> </w:t>
      </w:r>
      <w:r>
        <w:rPr/>
        <w:t>would</w:t>
      </w:r>
      <w:r>
        <w:rPr>
          <w:spacing w:val="-13"/>
        </w:rPr>
        <w:t> </w:t>
      </w:r>
      <w:r>
        <w:rPr/>
        <w:t>be</w:t>
      </w:r>
      <w:r>
        <w:rPr>
          <w:spacing w:val="-13"/>
        </w:rPr>
        <w:t> </w:t>
      </w:r>
      <w:r>
        <w:rPr/>
        <w:t>the</w:t>
      </w:r>
      <w:r>
        <w:rPr>
          <w:spacing w:val="-13"/>
        </w:rPr>
        <w:t> </w:t>
      </w:r>
      <w:r>
        <w:rPr/>
        <w:t>only</w:t>
      </w:r>
      <w:r>
        <w:rPr>
          <w:spacing w:val="-13"/>
        </w:rPr>
        <w:t> </w:t>
      </w:r>
      <w:r>
        <w:rPr/>
        <w:t>agency</w:t>
      </w:r>
      <w:r>
        <w:rPr>
          <w:spacing w:val="-13"/>
        </w:rPr>
        <w:t> </w:t>
      </w:r>
      <w:r>
        <w:rPr/>
        <w:t>that</w:t>
      </w:r>
      <w:r>
        <w:rPr>
          <w:spacing w:val="-13"/>
        </w:rPr>
        <w:t> </w:t>
      </w:r>
      <w:r>
        <w:rPr/>
        <w:t>would</w:t>
      </w:r>
      <w:r>
        <w:rPr>
          <w:spacing w:val="-13"/>
        </w:rPr>
        <w:t> </w:t>
      </w:r>
      <w:r>
        <w:rPr/>
        <w:t>be authorised</w:t>
      </w:r>
      <w:r>
        <w:rPr>
          <w:spacing w:val="-1"/>
        </w:rPr>
        <w:t> </w:t>
      </w:r>
      <w:r>
        <w:rPr/>
        <w:t>to</w:t>
      </w:r>
      <w:r>
        <w:rPr>
          <w:spacing w:val="-1"/>
        </w:rPr>
        <w:t> </w:t>
      </w:r>
      <w:r>
        <w:rPr/>
        <w:t>accord</w:t>
      </w:r>
      <w:r>
        <w:rPr>
          <w:spacing w:val="-1"/>
        </w:rPr>
        <w:t> </w:t>
      </w:r>
      <w:r>
        <w:rPr/>
        <w:t>degree</w:t>
      </w:r>
      <w:r>
        <w:rPr>
          <w:spacing w:val="-1"/>
        </w:rPr>
        <w:t> </w:t>
      </w:r>
      <w:r>
        <w:rPr/>
        <w:t>granting</w:t>
      </w:r>
      <w:r>
        <w:rPr>
          <w:spacing w:val="-1"/>
        </w:rPr>
        <w:t> </w:t>
      </w:r>
      <w:r>
        <w:rPr/>
        <w:t>power</w:t>
      </w:r>
      <w:r>
        <w:rPr>
          <w:spacing w:val="-1"/>
        </w:rPr>
        <w:t> </w:t>
      </w:r>
      <w:r>
        <w:rPr/>
        <w:t>to</w:t>
      </w:r>
      <w:r>
        <w:rPr>
          <w:spacing w:val="-1"/>
        </w:rPr>
        <w:t> </w:t>
      </w:r>
      <w:r>
        <w:rPr/>
        <w:t>higher education</w:t>
      </w:r>
      <w:r>
        <w:rPr>
          <w:spacing w:val="-14"/>
        </w:rPr>
        <w:t> </w:t>
      </w:r>
      <w:r>
        <w:rPr/>
        <w:t>institutions.</w:t>
      </w:r>
      <w:r>
        <w:rPr>
          <w:spacing w:val="-14"/>
        </w:rPr>
        <w:t> </w:t>
      </w:r>
      <w:r>
        <w:rPr/>
        <w:t>It</w:t>
      </w:r>
      <w:r>
        <w:rPr>
          <w:spacing w:val="-14"/>
        </w:rPr>
        <w:t> </w:t>
      </w:r>
      <w:r>
        <w:rPr/>
        <w:t>would</w:t>
      </w:r>
      <w:r>
        <w:rPr>
          <w:spacing w:val="-13"/>
        </w:rPr>
        <w:t> </w:t>
      </w:r>
      <w:r>
        <w:rPr/>
        <w:t>also</w:t>
      </w:r>
      <w:r>
        <w:rPr>
          <w:spacing w:val="-14"/>
        </w:rPr>
        <w:t> </w:t>
      </w:r>
      <w:r>
        <w:rPr/>
        <w:t>be</w:t>
      </w:r>
      <w:r>
        <w:rPr>
          <w:spacing w:val="-14"/>
        </w:rPr>
        <w:t> </w:t>
      </w:r>
      <w:r>
        <w:rPr/>
        <w:t>responsible</w:t>
      </w:r>
      <w:r>
        <w:rPr>
          <w:spacing w:val="-14"/>
        </w:rPr>
        <w:t> </w:t>
      </w:r>
      <w:r>
        <w:rPr/>
        <w:t>for </w:t>
      </w:r>
      <w:r>
        <w:rPr>
          <w:spacing w:val="-6"/>
        </w:rPr>
        <w:t>monitoring</w:t>
      </w:r>
      <w:r>
        <w:rPr>
          <w:spacing w:val="-8"/>
        </w:rPr>
        <w:t> </w:t>
      </w:r>
      <w:r>
        <w:rPr>
          <w:spacing w:val="-6"/>
        </w:rPr>
        <w:t>standards</w:t>
      </w:r>
      <w:r>
        <w:rPr>
          <w:spacing w:val="-7"/>
        </w:rPr>
        <w:t> </w:t>
      </w:r>
      <w:r>
        <w:rPr>
          <w:spacing w:val="-6"/>
        </w:rPr>
        <w:t>and</w:t>
      </w:r>
      <w:r>
        <w:rPr>
          <w:spacing w:val="-8"/>
        </w:rPr>
        <w:t> </w:t>
      </w:r>
      <w:r>
        <w:rPr>
          <w:spacing w:val="-6"/>
        </w:rPr>
        <w:t>settling</w:t>
      </w:r>
      <w:r>
        <w:rPr>
          <w:spacing w:val="-7"/>
        </w:rPr>
        <w:t> </w:t>
      </w:r>
      <w:r>
        <w:rPr>
          <w:spacing w:val="-6"/>
        </w:rPr>
        <w:t>disputes.</w:t>
      </w:r>
      <w:r>
        <w:rPr>
          <w:spacing w:val="-8"/>
        </w:rPr>
        <w:t> </w:t>
      </w:r>
      <w:r>
        <w:rPr>
          <w:spacing w:val="-6"/>
        </w:rPr>
        <w:t>It</w:t>
      </w:r>
      <w:r>
        <w:rPr>
          <w:spacing w:val="-7"/>
        </w:rPr>
        <w:t> </w:t>
      </w:r>
      <w:r>
        <w:rPr>
          <w:spacing w:val="-6"/>
        </w:rPr>
        <w:t>should</w:t>
      </w:r>
      <w:r>
        <w:rPr>
          <w:spacing w:val="-8"/>
        </w:rPr>
        <w:t> </w:t>
      </w:r>
      <w:r>
        <w:rPr>
          <w:spacing w:val="-6"/>
        </w:rPr>
        <w:t>also </w:t>
      </w:r>
      <w:r>
        <w:rPr>
          <w:spacing w:val="-4"/>
        </w:rPr>
        <w:t>be</w:t>
      </w:r>
      <w:r>
        <w:rPr>
          <w:spacing w:val="-10"/>
        </w:rPr>
        <w:t> </w:t>
      </w:r>
      <w:r>
        <w:rPr>
          <w:spacing w:val="-4"/>
        </w:rPr>
        <w:t>thought</w:t>
      </w:r>
      <w:r>
        <w:rPr>
          <w:spacing w:val="-10"/>
        </w:rPr>
        <w:t> </w:t>
      </w:r>
      <w:r>
        <w:rPr>
          <w:spacing w:val="-4"/>
        </w:rPr>
        <w:t>of</w:t>
      </w:r>
      <w:r>
        <w:rPr>
          <w:spacing w:val="-10"/>
        </w:rPr>
        <w:t> </w:t>
      </w:r>
      <w:r>
        <w:rPr>
          <w:spacing w:val="-4"/>
        </w:rPr>
        <w:t>as</w:t>
      </w:r>
      <w:r>
        <w:rPr>
          <w:spacing w:val="-9"/>
        </w:rPr>
        <w:t> </w:t>
      </w:r>
      <w:r>
        <w:rPr>
          <w:spacing w:val="-4"/>
        </w:rPr>
        <w:t>the</w:t>
      </w:r>
      <w:r>
        <w:rPr>
          <w:spacing w:val="-10"/>
        </w:rPr>
        <w:t> </w:t>
      </w:r>
      <w:r>
        <w:rPr>
          <w:spacing w:val="-4"/>
        </w:rPr>
        <w:t>authority</w:t>
      </w:r>
      <w:r>
        <w:rPr>
          <w:spacing w:val="-10"/>
        </w:rPr>
        <w:t> </w:t>
      </w:r>
      <w:r>
        <w:rPr>
          <w:spacing w:val="-4"/>
        </w:rPr>
        <w:t>for</w:t>
      </w:r>
      <w:r>
        <w:rPr>
          <w:spacing w:val="-10"/>
        </w:rPr>
        <w:t> </w:t>
      </w:r>
      <w:r>
        <w:rPr>
          <w:spacing w:val="-4"/>
        </w:rPr>
        <w:t>licensing</w:t>
      </w:r>
      <w:r>
        <w:rPr>
          <w:spacing w:val="-9"/>
        </w:rPr>
        <w:t> </w:t>
      </w:r>
      <w:r>
        <w:rPr>
          <w:spacing w:val="-4"/>
        </w:rPr>
        <w:t>accreditation </w:t>
      </w:r>
      <w:r>
        <w:rPr>
          <w:spacing w:val="-2"/>
        </w:rPr>
        <w:t>agencies.</w:t>
      </w:r>
      <w:r>
        <w:rPr>
          <w:spacing w:val="-12"/>
        </w:rPr>
        <w:t> </w:t>
      </w:r>
      <w:r>
        <w:rPr>
          <w:spacing w:val="-2"/>
        </w:rPr>
        <w:t>The</w:t>
      </w:r>
      <w:r>
        <w:rPr>
          <w:spacing w:val="-12"/>
        </w:rPr>
        <w:t> </w:t>
      </w:r>
      <w:r>
        <w:rPr>
          <w:spacing w:val="-2"/>
        </w:rPr>
        <w:t>IRAHE</w:t>
      </w:r>
      <w:r>
        <w:rPr>
          <w:spacing w:val="-11"/>
        </w:rPr>
        <w:t> </w:t>
      </w:r>
      <w:r>
        <w:rPr>
          <w:spacing w:val="-2"/>
        </w:rPr>
        <w:t>must</w:t>
      </w:r>
      <w:r>
        <w:rPr>
          <w:spacing w:val="-9"/>
        </w:rPr>
        <w:t> </w:t>
      </w:r>
      <w:r>
        <w:rPr>
          <w:spacing w:val="-2"/>
        </w:rPr>
        <w:t>be</w:t>
      </w:r>
      <w:r>
        <w:rPr>
          <w:spacing w:val="-10"/>
        </w:rPr>
        <w:t> </w:t>
      </w:r>
      <w:r>
        <w:rPr>
          <w:spacing w:val="-2"/>
        </w:rPr>
        <w:t>at</w:t>
      </w:r>
      <w:r>
        <w:rPr>
          <w:spacing w:val="-10"/>
        </w:rPr>
        <w:t> </w:t>
      </w:r>
      <w:r>
        <w:rPr>
          <w:spacing w:val="-2"/>
        </w:rPr>
        <w:t>an</w:t>
      </w:r>
      <w:r>
        <w:rPr>
          <w:spacing w:val="-10"/>
        </w:rPr>
        <w:t> </w:t>
      </w:r>
      <w:r>
        <w:rPr>
          <w:spacing w:val="-2"/>
        </w:rPr>
        <w:t>arm’s-length</w:t>
      </w:r>
      <w:r>
        <w:rPr>
          <w:spacing w:val="-10"/>
        </w:rPr>
        <w:t> </w:t>
      </w:r>
      <w:r>
        <w:rPr>
          <w:spacing w:val="-2"/>
        </w:rPr>
        <w:t>from </w:t>
      </w:r>
      <w:r>
        <w:rPr/>
        <w:t>the government and independent of all stakeholders </w:t>
      </w:r>
      <w:r>
        <w:rPr>
          <w:spacing w:val="-2"/>
        </w:rPr>
        <w:t>including</w:t>
      </w:r>
      <w:r>
        <w:rPr>
          <w:spacing w:val="-12"/>
        </w:rPr>
        <w:t> </w:t>
      </w:r>
      <w:r>
        <w:rPr>
          <w:spacing w:val="-2"/>
        </w:rPr>
        <w:t>the</w:t>
      </w:r>
      <w:r>
        <w:rPr>
          <w:spacing w:val="-12"/>
        </w:rPr>
        <w:t> </w:t>
      </w:r>
      <w:r>
        <w:rPr>
          <w:spacing w:val="-2"/>
        </w:rPr>
        <w:t>concerned</w:t>
      </w:r>
      <w:r>
        <w:rPr>
          <w:spacing w:val="-12"/>
        </w:rPr>
        <w:t> </w:t>
      </w:r>
      <w:r>
        <w:rPr>
          <w:spacing w:val="-2"/>
        </w:rPr>
        <w:t>Ministries</w:t>
      </w:r>
      <w:r>
        <w:rPr>
          <w:spacing w:val="-11"/>
        </w:rPr>
        <w:t> </w:t>
      </w:r>
      <w:r>
        <w:rPr>
          <w:spacing w:val="-2"/>
        </w:rPr>
        <w:t>of</w:t>
      </w:r>
      <w:r>
        <w:rPr>
          <w:spacing w:val="-12"/>
        </w:rPr>
        <w:t> </w:t>
      </w:r>
      <w:r>
        <w:rPr>
          <w:spacing w:val="-2"/>
        </w:rPr>
        <w:t>the</w:t>
      </w:r>
      <w:r>
        <w:rPr>
          <w:spacing w:val="-12"/>
        </w:rPr>
        <w:t> </w:t>
      </w:r>
      <w:r>
        <w:rPr>
          <w:spacing w:val="-2"/>
        </w:rPr>
        <w:t>Government. </w:t>
      </w:r>
      <w:r>
        <w:rPr/>
        <w:t>The Acts of the UGC, AICTE, MCI and BCI would </w:t>
      </w:r>
      <w:r>
        <w:rPr>
          <w:spacing w:val="-2"/>
        </w:rPr>
        <w:t>have</w:t>
      </w:r>
      <w:r>
        <w:rPr>
          <w:spacing w:val="-12"/>
        </w:rPr>
        <w:t> </w:t>
      </w:r>
      <w:r>
        <w:rPr>
          <w:spacing w:val="-2"/>
        </w:rPr>
        <w:t>to</w:t>
      </w:r>
      <w:r>
        <w:rPr>
          <w:spacing w:val="-12"/>
        </w:rPr>
        <w:t> </w:t>
      </w:r>
      <w:r>
        <w:rPr>
          <w:spacing w:val="-2"/>
        </w:rPr>
        <w:t>be</w:t>
      </w:r>
      <w:r>
        <w:rPr>
          <w:spacing w:val="-12"/>
        </w:rPr>
        <w:t> </w:t>
      </w:r>
      <w:r>
        <w:rPr>
          <w:spacing w:val="-2"/>
        </w:rPr>
        <w:t>amended.</w:t>
      </w:r>
      <w:r>
        <w:rPr>
          <w:spacing w:val="-11"/>
        </w:rPr>
        <w:t> </w:t>
      </w:r>
      <w:r>
        <w:rPr>
          <w:spacing w:val="-2"/>
        </w:rPr>
        <w:t>The</w:t>
      </w:r>
      <w:r>
        <w:rPr>
          <w:spacing w:val="-10"/>
        </w:rPr>
        <w:t> </w:t>
      </w:r>
      <w:r>
        <w:rPr>
          <w:spacing w:val="-2"/>
        </w:rPr>
        <w:t>role</w:t>
      </w:r>
      <w:r>
        <w:rPr>
          <w:spacing w:val="-10"/>
        </w:rPr>
        <w:t> </w:t>
      </w:r>
      <w:r>
        <w:rPr>
          <w:spacing w:val="-2"/>
        </w:rPr>
        <w:t>of</w:t>
      </w:r>
      <w:r>
        <w:rPr>
          <w:spacing w:val="-10"/>
        </w:rPr>
        <w:t> </w:t>
      </w:r>
      <w:r>
        <w:rPr>
          <w:spacing w:val="-2"/>
        </w:rPr>
        <w:t>the</w:t>
      </w:r>
      <w:r>
        <w:rPr>
          <w:spacing w:val="-10"/>
        </w:rPr>
        <w:t> </w:t>
      </w:r>
      <w:r>
        <w:rPr>
          <w:spacing w:val="-2"/>
        </w:rPr>
        <w:t>UGC</w:t>
      </w:r>
      <w:r>
        <w:rPr>
          <w:spacing w:val="-10"/>
        </w:rPr>
        <w:t> </w:t>
      </w:r>
      <w:r>
        <w:rPr>
          <w:spacing w:val="-2"/>
        </w:rPr>
        <w:t>would</w:t>
      </w:r>
      <w:r>
        <w:rPr>
          <w:spacing w:val="-10"/>
        </w:rPr>
        <w:t> </w:t>
      </w:r>
      <w:r>
        <w:rPr>
          <w:spacing w:val="-2"/>
        </w:rPr>
        <w:t>be</w:t>
      </w:r>
      <w:r>
        <w:rPr>
          <w:spacing w:val="-10"/>
        </w:rPr>
        <w:t> </w:t>
      </w:r>
      <w:r>
        <w:rPr>
          <w:spacing w:val="-2"/>
        </w:rPr>
        <w:t>re- </w:t>
      </w:r>
      <w:r>
        <w:rPr/>
        <w:t>defined</w:t>
      </w:r>
      <w:r>
        <w:rPr>
          <w:spacing w:val="-9"/>
        </w:rPr>
        <w:t> </w:t>
      </w:r>
      <w:r>
        <w:rPr/>
        <w:t>to</w:t>
      </w:r>
      <w:r>
        <w:rPr>
          <w:spacing w:val="-9"/>
        </w:rPr>
        <w:t> </w:t>
      </w:r>
      <w:r>
        <w:rPr/>
        <w:t>focus</w:t>
      </w:r>
      <w:r>
        <w:rPr>
          <w:spacing w:val="-9"/>
        </w:rPr>
        <w:t> </w:t>
      </w:r>
      <w:r>
        <w:rPr/>
        <w:t>on</w:t>
      </w:r>
      <w:r>
        <w:rPr>
          <w:spacing w:val="-9"/>
        </w:rPr>
        <w:t> </w:t>
      </w:r>
      <w:r>
        <w:rPr/>
        <w:t>the</w:t>
      </w:r>
      <w:r>
        <w:rPr>
          <w:spacing w:val="-9"/>
        </w:rPr>
        <w:t> </w:t>
      </w:r>
      <w:r>
        <w:rPr/>
        <w:t>disbursement</w:t>
      </w:r>
      <w:r>
        <w:rPr>
          <w:spacing w:val="-9"/>
        </w:rPr>
        <w:t> </w:t>
      </w:r>
      <w:r>
        <w:rPr/>
        <w:t>of</w:t>
      </w:r>
      <w:r>
        <w:rPr>
          <w:spacing w:val="-9"/>
        </w:rPr>
        <w:t> </w:t>
      </w:r>
      <w:r>
        <w:rPr/>
        <w:t>grants</w:t>
      </w:r>
      <w:r>
        <w:rPr>
          <w:spacing w:val="-9"/>
        </w:rPr>
        <w:t> </w:t>
      </w:r>
      <w:r>
        <w:rPr/>
        <w:t>to,</w:t>
      </w:r>
      <w:r>
        <w:rPr>
          <w:spacing w:val="-9"/>
        </w:rPr>
        <w:t> </w:t>
      </w:r>
      <w:r>
        <w:rPr/>
        <w:t>and </w:t>
      </w:r>
      <w:r>
        <w:rPr>
          <w:spacing w:val="-2"/>
        </w:rPr>
        <w:t>maintenance</w:t>
      </w:r>
      <w:r>
        <w:rPr>
          <w:spacing w:val="-12"/>
        </w:rPr>
        <w:t> </w:t>
      </w:r>
      <w:r>
        <w:rPr>
          <w:spacing w:val="-2"/>
        </w:rPr>
        <w:t>of,</w:t>
      </w:r>
      <w:r>
        <w:rPr>
          <w:spacing w:val="-12"/>
        </w:rPr>
        <w:t> </w:t>
      </w:r>
      <w:r>
        <w:rPr>
          <w:spacing w:val="-2"/>
        </w:rPr>
        <w:t>public</w:t>
      </w:r>
      <w:r>
        <w:rPr>
          <w:spacing w:val="-12"/>
        </w:rPr>
        <w:t> </w:t>
      </w:r>
      <w:r>
        <w:rPr>
          <w:spacing w:val="-2"/>
        </w:rPr>
        <w:t>institutions</w:t>
      </w:r>
      <w:r>
        <w:rPr>
          <w:spacing w:val="-11"/>
        </w:rPr>
        <w:t> </w:t>
      </w:r>
      <w:r>
        <w:rPr>
          <w:spacing w:val="-2"/>
        </w:rPr>
        <w:t>in</w:t>
      </w:r>
      <w:r>
        <w:rPr>
          <w:spacing w:val="-12"/>
        </w:rPr>
        <w:t> </w:t>
      </w:r>
      <w:r>
        <w:rPr>
          <w:spacing w:val="-2"/>
        </w:rPr>
        <w:t>higher</w:t>
      </w:r>
      <w:r>
        <w:rPr>
          <w:spacing w:val="-12"/>
        </w:rPr>
        <w:t> </w:t>
      </w:r>
      <w:r>
        <w:rPr>
          <w:spacing w:val="-2"/>
        </w:rPr>
        <w:t>education. The</w:t>
      </w:r>
      <w:r>
        <w:rPr>
          <w:spacing w:val="-7"/>
        </w:rPr>
        <w:t> </w:t>
      </w:r>
      <w:r>
        <w:rPr>
          <w:spacing w:val="-2"/>
        </w:rPr>
        <w:t>entry</w:t>
      </w:r>
      <w:r>
        <w:rPr>
          <w:spacing w:val="-7"/>
        </w:rPr>
        <w:t> </w:t>
      </w:r>
      <w:r>
        <w:rPr>
          <w:spacing w:val="-2"/>
        </w:rPr>
        <w:t>regulatory</w:t>
      </w:r>
      <w:r>
        <w:rPr>
          <w:spacing w:val="-7"/>
        </w:rPr>
        <w:t> </w:t>
      </w:r>
      <w:r>
        <w:rPr>
          <w:spacing w:val="-2"/>
        </w:rPr>
        <w:t>functions</w:t>
      </w:r>
      <w:r>
        <w:rPr>
          <w:spacing w:val="-7"/>
        </w:rPr>
        <w:t> </w:t>
      </w:r>
      <w:r>
        <w:rPr>
          <w:spacing w:val="-2"/>
        </w:rPr>
        <w:t>of</w:t>
      </w:r>
      <w:r>
        <w:rPr>
          <w:spacing w:val="-7"/>
        </w:rPr>
        <w:t> </w:t>
      </w:r>
      <w:r>
        <w:rPr>
          <w:spacing w:val="-2"/>
        </w:rPr>
        <w:t>the</w:t>
      </w:r>
      <w:r>
        <w:rPr>
          <w:spacing w:val="-7"/>
        </w:rPr>
        <w:t> </w:t>
      </w:r>
      <w:r>
        <w:rPr>
          <w:spacing w:val="-2"/>
        </w:rPr>
        <w:t>AICTE,</w:t>
      </w:r>
      <w:r>
        <w:rPr>
          <w:spacing w:val="-7"/>
        </w:rPr>
        <w:t> </w:t>
      </w:r>
      <w:r>
        <w:rPr>
          <w:spacing w:val="-2"/>
        </w:rPr>
        <w:t>the</w:t>
      </w:r>
      <w:r>
        <w:rPr>
          <w:spacing w:val="-7"/>
        </w:rPr>
        <w:t> </w:t>
      </w:r>
      <w:r>
        <w:rPr>
          <w:spacing w:val="-2"/>
        </w:rPr>
        <w:t>MCI </w:t>
      </w:r>
      <w:r>
        <w:rPr/>
        <w:t>and the BCI would be performed by the IRAHE, so that</w:t>
      </w:r>
      <w:r>
        <w:rPr>
          <w:spacing w:val="-7"/>
        </w:rPr>
        <w:t> </w:t>
      </w:r>
      <w:r>
        <w:rPr/>
        <w:t>their</w:t>
      </w:r>
      <w:r>
        <w:rPr>
          <w:spacing w:val="-7"/>
        </w:rPr>
        <w:t> </w:t>
      </w:r>
      <w:r>
        <w:rPr/>
        <w:t>role</w:t>
      </w:r>
      <w:r>
        <w:rPr>
          <w:spacing w:val="-7"/>
        </w:rPr>
        <w:t> </w:t>
      </w:r>
      <w:r>
        <w:rPr/>
        <w:t>would</w:t>
      </w:r>
      <w:r>
        <w:rPr>
          <w:spacing w:val="-7"/>
        </w:rPr>
        <w:t> </w:t>
      </w:r>
      <w:r>
        <w:rPr/>
        <w:t>be</w:t>
      </w:r>
      <w:r>
        <w:rPr>
          <w:spacing w:val="-7"/>
        </w:rPr>
        <w:t> </w:t>
      </w:r>
      <w:r>
        <w:rPr/>
        <w:t>limited</w:t>
      </w:r>
      <w:r>
        <w:rPr>
          <w:spacing w:val="-7"/>
        </w:rPr>
        <w:t> </w:t>
      </w:r>
      <w:r>
        <w:rPr/>
        <w:t>to</w:t>
      </w:r>
      <w:r>
        <w:rPr>
          <w:spacing w:val="-7"/>
        </w:rPr>
        <w:t> </w:t>
      </w:r>
      <w:r>
        <w:rPr/>
        <w:t>that</w:t>
      </w:r>
      <w:r>
        <w:rPr>
          <w:spacing w:val="-7"/>
        </w:rPr>
        <w:t> </w:t>
      </w:r>
      <w:r>
        <w:rPr/>
        <w:t>of</w:t>
      </w:r>
      <w:r>
        <w:rPr>
          <w:spacing w:val="-7"/>
        </w:rPr>
        <w:t> </w:t>
      </w:r>
      <w:r>
        <w:rPr/>
        <w:t>professional associations. These professional associations could conduct</w:t>
      </w:r>
      <w:r>
        <w:rPr>
          <w:spacing w:val="-2"/>
        </w:rPr>
        <w:t> </w:t>
      </w:r>
      <w:r>
        <w:rPr/>
        <w:t>nationwide</w:t>
      </w:r>
      <w:r>
        <w:rPr>
          <w:spacing w:val="-2"/>
        </w:rPr>
        <w:t> </w:t>
      </w:r>
      <w:r>
        <w:rPr/>
        <w:t>examinations</w:t>
      </w:r>
      <w:r>
        <w:rPr>
          <w:spacing w:val="-2"/>
        </w:rPr>
        <w:t> </w:t>
      </w:r>
      <w:r>
        <w:rPr/>
        <w:t>to</w:t>
      </w:r>
      <w:r>
        <w:rPr>
          <w:spacing w:val="-2"/>
        </w:rPr>
        <w:t> </w:t>
      </w:r>
      <w:r>
        <w:rPr/>
        <w:t>provide</w:t>
      </w:r>
      <w:r>
        <w:rPr>
          <w:spacing w:val="-2"/>
        </w:rPr>
        <w:t> </w:t>
      </w:r>
      <w:r>
        <w:rPr/>
        <w:t>licenses for those wishing to enter the profession.</w:t>
      </w:r>
    </w:p>
    <w:p>
      <w:pPr>
        <w:pStyle w:val="Heading6"/>
        <w:numPr>
          <w:ilvl w:val="0"/>
          <w:numId w:val="25"/>
        </w:numPr>
        <w:tabs>
          <w:tab w:pos="644" w:val="left" w:leader="none"/>
        </w:tabs>
        <w:spacing w:line="240" w:lineRule="auto" w:before="57" w:after="0"/>
        <w:ind w:left="644" w:right="0" w:hanging="325"/>
        <w:jc w:val="left"/>
      </w:pPr>
      <w:r>
        <w:rPr>
          <w:b w:val="0"/>
        </w:rPr>
        <w:br w:type="column"/>
      </w:r>
      <w:r>
        <w:rPr>
          <w:color w:val="2E614A"/>
          <w:spacing w:val="-2"/>
        </w:rPr>
        <w:t>Financing</w:t>
      </w:r>
    </w:p>
    <w:p>
      <w:pPr>
        <w:pStyle w:val="BodyText"/>
        <w:spacing w:line="266" w:lineRule="auto" w:before="285"/>
        <w:ind w:left="319" w:right="1077"/>
        <w:jc w:val="both"/>
      </w:pPr>
      <w:r>
        <w:rPr>
          <w:spacing w:val="-6"/>
        </w:rPr>
        <w:t>The expansion of our system of higher education, which </w:t>
      </w:r>
      <w:r>
        <w:rPr>
          <w:spacing w:val="-2"/>
        </w:rPr>
        <w:t>is</w:t>
      </w:r>
      <w:r>
        <w:rPr>
          <w:spacing w:val="-9"/>
        </w:rPr>
        <w:t> </w:t>
      </w:r>
      <w:r>
        <w:rPr>
          <w:spacing w:val="-2"/>
        </w:rPr>
        <w:t>both</w:t>
      </w:r>
      <w:r>
        <w:rPr>
          <w:spacing w:val="-9"/>
        </w:rPr>
        <w:t> </w:t>
      </w:r>
      <w:r>
        <w:rPr>
          <w:spacing w:val="-2"/>
        </w:rPr>
        <w:t>necessary</w:t>
      </w:r>
      <w:r>
        <w:rPr>
          <w:spacing w:val="-9"/>
        </w:rPr>
        <w:t> </w:t>
      </w:r>
      <w:r>
        <w:rPr>
          <w:spacing w:val="-2"/>
        </w:rPr>
        <w:t>and</w:t>
      </w:r>
      <w:r>
        <w:rPr>
          <w:spacing w:val="-9"/>
        </w:rPr>
        <w:t> </w:t>
      </w:r>
      <w:r>
        <w:rPr>
          <w:spacing w:val="-2"/>
        </w:rPr>
        <w:t>desirable,</w:t>
      </w:r>
      <w:r>
        <w:rPr>
          <w:spacing w:val="-9"/>
        </w:rPr>
        <w:t> </w:t>
      </w:r>
      <w:r>
        <w:rPr>
          <w:spacing w:val="-2"/>
        </w:rPr>
        <w:t>is</w:t>
      </w:r>
      <w:r>
        <w:rPr>
          <w:spacing w:val="-9"/>
        </w:rPr>
        <w:t> </w:t>
      </w:r>
      <w:r>
        <w:rPr>
          <w:spacing w:val="-2"/>
        </w:rPr>
        <w:t>not</w:t>
      </w:r>
      <w:r>
        <w:rPr>
          <w:spacing w:val="-9"/>
        </w:rPr>
        <w:t> </w:t>
      </w:r>
      <w:r>
        <w:rPr>
          <w:spacing w:val="-2"/>
        </w:rPr>
        <w:t>possible</w:t>
      </w:r>
      <w:r>
        <w:rPr>
          <w:spacing w:val="-9"/>
        </w:rPr>
        <w:t> </w:t>
      </w:r>
      <w:r>
        <w:rPr>
          <w:spacing w:val="-2"/>
        </w:rPr>
        <w:t>without </w:t>
      </w:r>
      <w:r>
        <w:rPr>
          <w:spacing w:val="-6"/>
        </w:rPr>
        <w:t>financing. For an increase in supply of quality </w:t>
      </w:r>
      <w:r>
        <w:rPr>
          <w:spacing w:val="-6"/>
        </w:rPr>
        <w:t>education </w:t>
      </w:r>
      <w:r>
        <w:rPr>
          <w:spacing w:val="-2"/>
        </w:rPr>
        <w:t>depends</w:t>
      </w:r>
      <w:r>
        <w:rPr>
          <w:spacing w:val="-11"/>
        </w:rPr>
        <w:t> </w:t>
      </w:r>
      <w:r>
        <w:rPr>
          <w:spacing w:val="-2"/>
        </w:rPr>
        <w:t>upon</w:t>
      </w:r>
      <w:r>
        <w:rPr>
          <w:spacing w:val="-11"/>
        </w:rPr>
        <w:t> </w:t>
      </w:r>
      <w:r>
        <w:rPr>
          <w:spacing w:val="-2"/>
        </w:rPr>
        <w:t>an</w:t>
      </w:r>
      <w:r>
        <w:rPr>
          <w:spacing w:val="-11"/>
        </w:rPr>
        <w:t> </w:t>
      </w:r>
      <w:r>
        <w:rPr>
          <w:spacing w:val="-2"/>
        </w:rPr>
        <w:t>increase</w:t>
      </w:r>
      <w:r>
        <w:rPr>
          <w:spacing w:val="-11"/>
        </w:rPr>
        <w:t> </w:t>
      </w:r>
      <w:r>
        <w:rPr>
          <w:spacing w:val="-2"/>
        </w:rPr>
        <w:t>in</w:t>
      </w:r>
      <w:r>
        <w:rPr>
          <w:spacing w:val="-11"/>
        </w:rPr>
        <w:t> </w:t>
      </w:r>
      <w:r>
        <w:rPr>
          <w:spacing w:val="-2"/>
        </w:rPr>
        <w:t>investment</w:t>
      </w:r>
      <w:r>
        <w:rPr>
          <w:spacing w:val="-11"/>
        </w:rPr>
        <w:t> </w:t>
      </w:r>
      <w:r>
        <w:rPr>
          <w:spacing w:val="-2"/>
        </w:rPr>
        <w:t>which,</w:t>
      </w:r>
      <w:r>
        <w:rPr>
          <w:spacing w:val="-11"/>
        </w:rPr>
        <w:t> </w:t>
      </w:r>
      <w:r>
        <w:rPr>
          <w:spacing w:val="-2"/>
        </w:rPr>
        <w:t>in</w:t>
      </w:r>
      <w:r>
        <w:rPr>
          <w:spacing w:val="-11"/>
        </w:rPr>
        <w:t> </w:t>
      </w:r>
      <w:r>
        <w:rPr>
          <w:spacing w:val="-2"/>
        </w:rPr>
        <w:t>turn, </w:t>
      </w:r>
      <w:r>
        <w:rPr>
          <w:spacing w:val="-6"/>
        </w:rPr>
        <w:t>requires</w:t>
      </w:r>
      <w:r>
        <w:rPr>
          <w:spacing w:val="-8"/>
        </w:rPr>
        <w:t> </w:t>
      </w:r>
      <w:r>
        <w:rPr>
          <w:spacing w:val="-6"/>
        </w:rPr>
        <w:t>financial</w:t>
      </w:r>
      <w:r>
        <w:rPr>
          <w:spacing w:val="-3"/>
        </w:rPr>
        <w:t> </w:t>
      </w:r>
      <w:r>
        <w:rPr>
          <w:spacing w:val="-6"/>
        </w:rPr>
        <w:t>resources.</w:t>
      </w:r>
      <w:r>
        <w:rPr>
          <w:spacing w:val="-8"/>
        </w:rPr>
        <w:t> </w:t>
      </w:r>
      <w:r>
        <w:rPr>
          <w:spacing w:val="-6"/>
        </w:rPr>
        <w:t>There are several sources of </w:t>
      </w:r>
      <w:r>
        <w:rPr/>
        <w:t>such financing.</w:t>
      </w:r>
    </w:p>
    <w:p>
      <w:pPr>
        <w:pStyle w:val="BodyText"/>
        <w:spacing w:before="22"/>
      </w:pPr>
    </w:p>
    <w:p>
      <w:pPr>
        <w:pStyle w:val="BodyText"/>
        <w:spacing w:line="266" w:lineRule="auto" w:before="1"/>
        <w:ind w:left="319" w:right="1077"/>
        <w:jc w:val="both"/>
      </w:pPr>
      <w:r>
        <w:rPr>
          <w:b/>
        </w:rPr>
        <w:t>Government support: </w:t>
      </w:r>
      <w:r>
        <w:rPr/>
        <w:t>There is no system of higher </w:t>
      </w:r>
      <w:r>
        <w:rPr>
          <w:spacing w:val="-4"/>
        </w:rPr>
        <w:t>education</w:t>
      </w:r>
      <w:r>
        <w:rPr>
          <w:spacing w:val="-9"/>
        </w:rPr>
        <w:t> </w:t>
      </w:r>
      <w:r>
        <w:rPr>
          <w:spacing w:val="-4"/>
        </w:rPr>
        <w:t>in</w:t>
      </w:r>
      <w:r>
        <w:rPr>
          <w:spacing w:val="-9"/>
        </w:rPr>
        <w:t> </w:t>
      </w:r>
      <w:r>
        <w:rPr>
          <w:spacing w:val="-4"/>
        </w:rPr>
        <w:t>the</w:t>
      </w:r>
      <w:r>
        <w:rPr>
          <w:spacing w:val="-9"/>
        </w:rPr>
        <w:t> </w:t>
      </w:r>
      <w:r>
        <w:rPr>
          <w:spacing w:val="-4"/>
        </w:rPr>
        <w:t>world</w:t>
      </w:r>
      <w:r>
        <w:rPr>
          <w:spacing w:val="-9"/>
        </w:rPr>
        <w:t> </w:t>
      </w:r>
      <w:r>
        <w:rPr>
          <w:spacing w:val="-4"/>
        </w:rPr>
        <w:t>that</w:t>
      </w:r>
      <w:r>
        <w:rPr>
          <w:spacing w:val="-9"/>
        </w:rPr>
        <w:t> </w:t>
      </w:r>
      <w:r>
        <w:rPr>
          <w:spacing w:val="-4"/>
        </w:rPr>
        <w:t>is</w:t>
      </w:r>
      <w:r>
        <w:rPr>
          <w:spacing w:val="-9"/>
        </w:rPr>
        <w:t> </w:t>
      </w:r>
      <w:r>
        <w:rPr>
          <w:spacing w:val="-4"/>
        </w:rPr>
        <w:t>not</w:t>
      </w:r>
      <w:r>
        <w:rPr>
          <w:spacing w:val="-9"/>
        </w:rPr>
        <w:t> </w:t>
      </w:r>
      <w:r>
        <w:rPr>
          <w:spacing w:val="-4"/>
        </w:rPr>
        <w:t>based</w:t>
      </w:r>
      <w:r>
        <w:rPr>
          <w:spacing w:val="-9"/>
        </w:rPr>
        <w:t> </w:t>
      </w:r>
      <w:r>
        <w:rPr>
          <w:spacing w:val="-4"/>
        </w:rPr>
        <w:t>upon</w:t>
      </w:r>
      <w:r>
        <w:rPr>
          <w:spacing w:val="-9"/>
        </w:rPr>
        <w:t> </w:t>
      </w:r>
      <w:r>
        <w:rPr>
          <w:spacing w:val="-4"/>
        </w:rPr>
        <w:t>significant </w:t>
      </w:r>
      <w:r>
        <w:rPr>
          <w:spacing w:val="-2"/>
        </w:rPr>
        <w:t>public</w:t>
      </w:r>
      <w:r>
        <w:rPr>
          <w:spacing w:val="-6"/>
        </w:rPr>
        <w:t> </w:t>
      </w:r>
      <w:r>
        <w:rPr>
          <w:spacing w:val="-2"/>
        </w:rPr>
        <w:t>outlays.</w:t>
      </w:r>
      <w:r>
        <w:rPr>
          <w:spacing w:val="-6"/>
        </w:rPr>
        <w:t> </w:t>
      </w:r>
      <w:r>
        <w:rPr>
          <w:spacing w:val="-2"/>
        </w:rPr>
        <w:t>And</w:t>
      </w:r>
      <w:r>
        <w:rPr>
          <w:spacing w:val="-6"/>
        </w:rPr>
        <w:t> </w:t>
      </w:r>
      <w:r>
        <w:rPr>
          <w:spacing w:val="-2"/>
        </w:rPr>
        <w:t>government</w:t>
      </w:r>
      <w:r>
        <w:rPr>
          <w:spacing w:val="-6"/>
        </w:rPr>
        <w:t> </w:t>
      </w:r>
      <w:r>
        <w:rPr>
          <w:spacing w:val="-2"/>
        </w:rPr>
        <w:t>financing</w:t>
      </w:r>
      <w:r>
        <w:rPr>
          <w:spacing w:val="-6"/>
        </w:rPr>
        <w:t> </w:t>
      </w:r>
      <w:r>
        <w:rPr>
          <w:spacing w:val="-2"/>
        </w:rPr>
        <w:t>will</w:t>
      </w:r>
      <w:r>
        <w:rPr>
          <w:spacing w:val="-6"/>
        </w:rPr>
        <w:t> </w:t>
      </w:r>
      <w:r>
        <w:rPr>
          <w:spacing w:val="-2"/>
        </w:rPr>
        <w:t>remain </w:t>
      </w:r>
      <w:r>
        <w:rPr/>
        <w:t>the</w:t>
      </w:r>
      <w:r>
        <w:rPr>
          <w:spacing w:val="-11"/>
        </w:rPr>
        <w:t> </w:t>
      </w:r>
      <w:r>
        <w:rPr/>
        <w:t>cornerstone</w:t>
      </w:r>
      <w:r>
        <w:rPr>
          <w:spacing w:val="-11"/>
        </w:rPr>
        <w:t> </w:t>
      </w:r>
      <w:r>
        <w:rPr/>
        <w:t>of</w:t>
      </w:r>
      <w:r>
        <w:rPr>
          <w:spacing w:val="-11"/>
        </w:rPr>
        <w:t> </w:t>
      </w:r>
      <w:r>
        <w:rPr/>
        <w:t>any</w:t>
      </w:r>
      <w:r>
        <w:rPr>
          <w:spacing w:val="-11"/>
        </w:rPr>
        <w:t> </w:t>
      </w:r>
      <w:r>
        <w:rPr/>
        <w:t>strategy</w:t>
      </w:r>
      <w:r>
        <w:rPr>
          <w:spacing w:val="-11"/>
        </w:rPr>
        <w:t> </w:t>
      </w:r>
      <w:r>
        <w:rPr/>
        <w:t>to</w:t>
      </w:r>
      <w:r>
        <w:rPr>
          <w:spacing w:val="-11"/>
        </w:rPr>
        <w:t> </w:t>
      </w:r>
      <w:r>
        <w:rPr/>
        <w:t>improve</w:t>
      </w:r>
      <w:r>
        <w:rPr>
          <w:spacing w:val="-11"/>
        </w:rPr>
        <w:t> </w:t>
      </w:r>
      <w:r>
        <w:rPr/>
        <w:t>our</w:t>
      </w:r>
      <w:r>
        <w:rPr>
          <w:spacing w:val="-11"/>
        </w:rPr>
        <w:t> </w:t>
      </w:r>
      <w:r>
        <w:rPr/>
        <w:t>system of higher education. The present support for higher education, at 0.7 per cent of GDP, is simply not adequate. In fact, over the past decade, in real terms, there has been a significant decline in the resources allocated</w:t>
      </w:r>
      <w:r>
        <w:rPr>
          <w:spacing w:val="-14"/>
        </w:rPr>
        <w:t> </w:t>
      </w:r>
      <w:r>
        <w:rPr/>
        <w:t>for</w:t>
      </w:r>
      <w:r>
        <w:rPr>
          <w:spacing w:val="-14"/>
        </w:rPr>
        <w:t> </w:t>
      </w:r>
      <w:r>
        <w:rPr/>
        <w:t>higher</w:t>
      </w:r>
      <w:r>
        <w:rPr>
          <w:spacing w:val="-14"/>
        </w:rPr>
        <w:t> </w:t>
      </w:r>
      <w:r>
        <w:rPr/>
        <w:t>education,</w:t>
      </w:r>
      <w:r>
        <w:rPr>
          <w:spacing w:val="-13"/>
        </w:rPr>
        <w:t> </w:t>
      </w:r>
      <w:r>
        <w:rPr/>
        <w:t>in</w:t>
      </w:r>
      <w:r>
        <w:rPr>
          <w:spacing w:val="-14"/>
        </w:rPr>
        <w:t> </w:t>
      </w:r>
      <w:r>
        <w:rPr/>
        <w:t>the</w:t>
      </w:r>
      <w:r>
        <w:rPr>
          <w:spacing w:val="-14"/>
        </w:rPr>
        <w:t> </w:t>
      </w:r>
      <w:r>
        <w:rPr/>
        <w:t>aggregate</w:t>
      </w:r>
      <w:r>
        <w:rPr>
          <w:spacing w:val="-14"/>
        </w:rPr>
        <w:t> </w:t>
      </w:r>
      <w:r>
        <w:rPr/>
        <w:t>as</w:t>
      </w:r>
      <w:r>
        <w:rPr>
          <w:spacing w:val="-13"/>
        </w:rPr>
        <w:t> </w:t>
      </w:r>
      <w:r>
        <w:rPr/>
        <w:t>also per</w:t>
      </w:r>
      <w:r>
        <w:rPr>
          <w:spacing w:val="-14"/>
        </w:rPr>
        <w:t> </w:t>
      </w:r>
      <w:r>
        <w:rPr/>
        <w:t>student.</w:t>
      </w:r>
      <w:r>
        <w:rPr>
          <w:spacing w:val="-13"/>
        </w:rPr>
        <w:t> </w:t>
      </w:r>
      <w:r>
        <w:rPr/>
        <w:t>In</w:t>
      </w:r>
      <w:r>
        <w:rPr>
          <w:spacing w:val="-14"/>
        </w:rPr>
        <w:t> </w:t>
      </w:r>
      <w:r>
        <w:rPr/>
        <w:t>an</w:t>
      </w:r>
      <w:r>
        <w:rPr>
          <w:spacing w:val="-13"/>
        </w:rPr>
        <w:t> </w:t>
      </w:r>
      <w:r>
        <w:rPr/>
        <w:t>ideal</w:t>
      </w:r>
      <w:r>
        <w:rPr>
          <w:spacing w:val="-14"/>
        </w:rPr>
        <w:t> </w:t>
      </w:r>
      <w:r>
        <w:rPr/>
        <w:t>world,</w:t>
      </w:r>
      <w:r>
        <w:rPr>
          <w:spacing w:val="-13"/>
        </w:rPr>
        <w:t> </w:t>
      </w:r>
      <w:r>
        <w:rPr/>
        <w:t>government</w:t>
      </w:r>
      <w:r>
        <w:rPr>
          <w:spacing w:val="-14"/>
        </w:rPr>
        <w:t> </w:t>
      </w:r>
      <w:r>
        <w:rPr/>
        <w:t>support</w:t>
      </w:r>
      <w:r>
        <w:rPr>
          <w:spacing w:val="-13"/>
        </w:rPr>
        <w:t> </w:t>
      </w:r>
      <w:r>
        <w:rPr/>
        <w:t>for higher</w:t>
      </w:r>
      <w:r>
        <w:rPr>
          <w:spacing w:val="-6"/>
        </w:rPr>
        <w:t> </w:t>
      </w:r>
      <w:r>
        <w:rPr/>
        <w:t>education</w:t>
      </w:r>
      <w:r>
        <w:rPr>
          <w:spacing w:val="-6"/>
        </w:rPr>
        <w:t> </w:t>
      </w:r>
      <w:r>
        <w:rPr/>
        <w:t>should</w:t>
      </w:r>
      <w:r>
        <w:rPr>
          <w:spacing w:val="-6"/>
        </w:rPr>
        <w:t> </w:t>
      </w:r>
      <w:r>
        <w:rPr/>
        <w:t>be</w:t>
      </w:r>
      <w:r>
        <w:rPr>
          <w:spacing w:val="-6"/>
        </w:rPr>
        <w:t> </w:t>
      </w:r>
      <w:r>
        <w:rPr/>
        <w:t>at</w:t>
      </w:r>
      <w:r>
        <w:rPr>
          <w:spacing w:val="-6"/>
        </w:rPr>
        <w:t> </w:t>
      </w:r>
      <w:r>
        <w:rPr/>
        <w:t>least</w:t>
      </w:r>
      <w:r>
        <w:rPr>
          <w:spacing w:val="-6"/>
        </w:rPr>
        <w:t> </w:t>
      </w:r>
      <w:r>
        <w:rPr/>
        <w:t>1.5</w:t>
      </w:r>
      <w:r>
        <w:rPr>
          <w:spacing w:val="-6"/>
        </w:rPr>
        <w:t> </w:t>
      </w:r>
      <w:r>
        <w:rPr/>
        <w:t>per</w:t>
      </w:r>
      <w:r>
        <w:rPr>
          <w:spacing w:val="-6"/>
        </w:rPr>
        <w:t> </w:t>
      </w:r>
      <w:r>
        <w:rPr/>
        <w:t>cent,</w:t>
      </w:r>
      <w:r>
        <w:rPr>
          <w:spacing w:val="-6"/>
        </w:rPr>
        <w:t> </w:t>
      </w:r>
      <w:r>
        <w:rPr/>
        <w:t>if</w:t>
      </w:r>
      <w:r>
        <w:rPr>
          <w:spacing w:val="-6"/>
        </w:rPr>
        <w:t> </w:t>
      </w:r>
      <w:r>
        <w:rPr/>
        <w:t>not 2 per cent of GDP, from a total of 6 per cent of GDP for education. This is easier said than done. But the government</w:t>
      </w:r>
      <w:r>
        <w:rPr>
          <w:spacing w:val="-14"/>
        </w:rPr>
        <w:t> </w:t>
      </w:r>
      <w:r>
        <w:rPr/>
        <w:t>should</w:t>
      </w:r>
      <w:r>
        <w:rPr>
          <w:spacing w:val="-14"/>
        </w:rPr>
        <w:t> </w:t>
      </w:r>
      <w:r>
        <w:rPr/>
        <w:t>endeavour</w:t>
      </w:r>
      <w:r>
        <w:rPr>
          <w:spacing w:val="-14"/>
        </w:rPr>
        <w:t> </w:t>
      </w:r>
      <w:r>
        <w:rPr/>
        <w:t>to</w:t>
      </w:r>
      <w:r>
        <w:rPr>
          <w:spacing w:val="-13"/>
        </w:rPr>
        <w:t> </w:t>
      </w:r>
      <w:r>
        <w:rPr/>
        <w:t>reach</w:t>
      </w:r>
      <w:r>
        <w:rPr>
          <w:spacing w:val="-14"/>
        </w:rPr>
        <w:t> </w:t>
      </w:r>
      <w:r>
        <w:rPr/>
        <w:t>these</w:t>
      </w:r>
      <w:r>
        <w:rPr>
          <w:spacing w:val="-14"/>
        </w:rPr>
        <w:t> </w:t>
      </w:r>
      <w:r>
        <w:rPr/>
        <w:t>levels</w:t>
      </w:r>
      <w:r>
        <w:rPr>
          <w:spacing w:val="-14"/>
        </w:rPr>
        <w:t> </w:t>
      </w:r>
      <w:r>
        <w:rPr/>
        <w:t>by </w:t>
      </w:r>
      <w:r>
        <w:rPr>
          <w:spacing w:val="-2"/>
        </w:rPr>
        <w:t>2012.</w:t>
      </w:r>
      <w:r>
        <w:rPr>
          <w:spacing w:val="-12"/>
        </w:rPr>
        <w:t> </w:t>
      </w:r>
      <w:r>
        <w:rPr>
          <w:spacing w:val="-2"/>
        </w:rPr>
        <w:t>Even</w:t>
      </w:r>
      <w:r>
        <w:rPr>
          <w:spacing w:val="-12"/>
        </w:rPr>
        <w:t> </w:t>
      </w:r>
      <w:r>
        <w:rPr>
          <w:spacing w:val="-2"/>
        </w:rPr>
        <w:t>this</w:t>
      </w:r>
      <w:r>
        <w:rPr>
          <w:spacing w:val="-12"/>
        </w:rPr>
        <w:t> </w:t>
      </w:r>
      <w:r>
        <w:rPr>
          <w:spacing w:val="-2"/>
        </w:rPr>
        <w:t>magnitude</w:t>
      </w:r>
      <w:r>
        <w:rPr>
          <w:spacing w:val="-11"/>
        </w:rPr>
        <w:t> </w:t>
      </w:r>
      <w:r>
        <w:rPr>
          <w:spacing w:val="-2"/>
        </w:rPr>
        <w:t>of</w:t>
      </w:r>
      <w:r>
        <w:rPr>
          <w:spacing w:val="-12"/>
        </w:rPr>
        <w:t> </w:t>
      </w:r>
      <w:r>
        <w:rPr>
          <w:spacing w:val="-2"/>
        </w:rPr>
        <w:t>state</w:t>
      </w:r>
      <w:r>
        <w:rPr>
          <w:spacing w:val="-12"/>
        </w:rPr>
        <w:t> </w:t>
      </w:r>
      <w:r>
        <w:rPr>
          <w:spacing w:val="-2"/>
        </w:rPr>
        <w:t>financing,</w:t>
      </w:r>
      <w:r>
        <w:rPr>
          <w:spacing w:val="-12"/>
        </w:rPr>
        <w:t> </w:t>
      </w:r>
      <w:r>
        <w:rPr>
          <w:spacing w:val="-2"/>
        </w:rPr>
        <w:t>however, </w:t>
      </w:r>
      <w:r>
        <w:rPr/>
        <w:t>would</w:t>
      </w:r>
      <w:r>
        <w:rPr>
          <w:spacing w:val="-9"/>
        </w:rPr>
        <w:t> </w:t>
      </w:r>
      <w:r>
        <w:rPr/>
        <w:t>not</w:t>
      </w:r>
      <w:r>
        <w:rPr>
          <w:spacing w:val="-9"/>
        </w:rPr>
        <w:t> </w:t>
      </w:r>
      <w:r>
        <w:rPr/>
        <w:t>suffice</w:t>
      </w:r>
      <w:r>
        <w:rPr>
          <w:spacing w:val="-9"/>
        </w:rPr>
        <w:t> </w:t>
      </w:r>
      <w:r>
        <w:rPr/>
        <w:t>for</w:t>
      </w:r>
      <w:r>
        <w:rPr>
          <w:spacing w:val="-9"/>
        </w:rPr>
        <w:t> </w:t>
      </w:r>
      <w:r>
        <w:rPr/>
        <w:t>the</w:t>
      </w:r>
      <w:r>
        <w:rPr>
          <w:spacing w:val="-9"/>
        </w:rPr>
        <w:t> </w:t>
      </w:r>
      <w:r>
        <w:rPr/>
        <w:t>massive</w:t>
      </w:r>
      <w:r>
        <w:rPr>
          <w:spacing w:val="-9"/>
        </w:rPr>
        <w:t> </w:t>
      </w:r>
      <w:r>
        <w:rPr/>
        <w:t>expansion</w:t>
      </w:r>
      <w:r>
        <w:rPr>
          <w:spacing w:val="-9"/>
        </w:rPr>
        <w:t> </w:t>
      </w:r>
      <w:r>
        <w:rPr/>
        <w:t>in</w:t>
      </w:r>
      <w:r>
        <w:rPr>
          <w:spacing w:val="-9"/>
        </w:rPr>
        <w:t> </w:t>
      </w:r>
      <w:r>
        <w:rPr/>
        <w:t>higher </w:t>
      </w:r>
      <w:r>
        <w:rPr>
          <w:spacing w:val="-4"/>
        </w:rPr>
        <w:t>education</w:t>
      </w:r>
      <w:r>
        <w:rPr>
          <w:spacing w:val="-10"/>
        </w:rPr>
        <w:t> </w:t>
      </w:r>
      <w:r>
        <w:rPr>
          <w:spacing w:val="-4"/>
        </w:rPr>
        <w:t>that</w:t>
      </w:r>
      <w:r>
        <w:rPr>
          <w:spacing w:val="-9"/>
        </w:rPr>
        <w:t> </w:t>
      </w:r>
      <w:r>
        <w:rPr>
          <w:spacing w:val="-4"/>
        </w:rPr>
        <w:t>is</w:t>
      </w:r>
      <w:r>
        <w:rPr>
          <w:spacing w:val="-7"/>
        </w:rPr>
        <w:t> </w:t>
      </w:r>
      <w:r>
        <w:rPr>
          <w:spacing w:val="-4"/>
        </w:rPr>
        <w:t>an</w:t>
      </w:r>
      <w:r>
        <w:rPr>
          <w:spacing w:val="-7"/>
        </w:rPr>
        <w:t> </w:t>
      </w:r>
      <w:r>
        <w:rPr>
          <w:spacing w:val="-4"/>
        </w:rPr>
        <w:t>imperative.</w:t>
      </w:r>
      <w:r>
        <w:rPr>
          <w:spacing w:val="-10"/>
        </w:rPr>
        <w:t> </w:t>
      </w:r>
      <w:r>
        <w:rPr>
          <w:spacing w:val="-4"/>
        </w:rPr>
        <w:t>Therefore,</w:t>
      </w:r>
      <w:r>
        <w:rPr>
          <w:spacing w:val="-7"/>
        </w:rPr>
        <w:t> </w:t>
      </w:r>
      <w:r>
        <w:rPr>
          <w:spacing w:val="-4"/>
        </w:rPr>
        <w:t>it</w:t>
      </w:r>
      <w:r>
        <w:rPr>
          <w:spacing w:val="-7"/>
        </w:rPr>
        <w:t> </w:t>
      </w:r>
      <w:r>
        <w:rPr>
          <w:spacing w:val="-4"/>
        </w:rPr>
        <w:t>is</w:t>
      </w:r>
      <w:r>
        <w:rPr>
          <w:spacing w:val="-7"/>
        </w:rPr>
        <w:t> </w:t>
      </w:r>
      <w:r>
        <w:rPr>
          <w:spacing w:val="-4"/>
        </w:rPr>
        <w:t>essential </w:t>
      </w:r>
      <w:r>
        <w:rPr/>
        <w:t>to explore a wide range of possibilities which can be complements to the increase in public expenditure.</w:t>
      </w:r>
    </w:p>
    <w:p>
      <w:pPr>
        <w:pStyle w:val="BodyText"/>
        <w:spacing w:before="11"/>
      </w:pPr>
    </w:p>
    <w:p>
      <w:pPr>
        <w:pStyle w:val="BodyText"/>
        <w:spacing w:line="266" w:lineRule="auto"/>
        <w:ind w:left="319" w:right="1077"/>
        <w:jc w:val="both"/>
      </w:pPr>
      <w:r>
        <w:rPr>
          <w:b/>
          <w:spacing w:val="-4"/>
        </w:rPr>
        <w:t>Better</w:t>
      </w:r>
      <w:r>
        <w:rPr>
          <w:b/>
          <w:spacing w:val="-10"/>
        </w:rPr>
        <w:t> </w:t>
      </w:r>
      <w:r>
        <w:rPr>
          <w:b/>
          <w:spacing w:val="-4"/>
        </w:rPr>
        <w:t>asset</w:t>
      </w:r>
      <w:r>
        <w:rPr>
          <w:b/>
          <w:spacing w:val="-10"/>
        </w:rPr>
        <w:t> </w:t>
      </w:r>
      <w:r>
        <w:rPr>
          <w:b/>
          <w:spacing w:val="-4"/>
        </w:rPr>
        <w:t>management:</w:t>
      </w:r>
      <w:r>
        <w:rPr>
          <w:b/>
          <w:spacing w:val="-10"/>
        </w:rPr>
        <w:t> </w:t>
      </w:r>
      <w:r>
        <w:rPr>
          <w:spacing w:val="-4"/>
        </w:rPr>
        <w:t>Most</w:t>
      </w:r>
      <w:r>
        <w:rPr>
          <w:spacing w:val="-9"/>
        </w:rPr>
        <w:t> </w:t>
      </w:r>
      <w:r>
        <w:rPr>
          <w:spacing w:val="-4"/>
        </w:rPr>
        <w:t>public</w:t>
      </w:r>
      <w:r>
        <w:rPr>
          <w:spacing w:val="-10"/>
        </w:rPr>
        <w:t> </w:t>
      </w:r>
      <w:r>
        <w:rPr>
          <w:spacing w:val="-4"/>
        </w:rPr>
        <w:t>universities</w:t>
      </w:r>
      <w:r>
        <w:rPr>
          <w:spacing w:val="-10"/>
        </w:rPr>
        <w:t> </w:t>
      </w:r>
      <w:r>
        <w:rPr>
          <w:spacing w:val="-4"/>
        </w:rPr>
        <w:t>are </w:t>
      </w:r>
      <w:r>
        <w:rPr>
          <w:spacing w:val="-2"/>
        </w:rPr>
        <w:t>sitting</w:t>
      </w:r>
      <w:r>
        <w:rPr>
          <w:spacing w:val="-10"/>
        </w:rPr>
        <w:t> </w:t>
      </w:r>
      <w:r>
        <w:rPr>
          <w:spacing w:val="-2"/>
        </w:rPr>
        <w:t>on</w:t>
      </w:r>
      <w:r>
        <w:rPr>
          <w:spacing w:val="-10"/>
        </w:rPr>
        <w:t> </w:t>
      </w:r>
      <w:r>
        <w:rPr>
          <w:spacing w:val="-2"/>
        </w:rPr>
        <w:t>a</w:t>
      </w:r>
      <w:r>
        <w:rPr>
          <w:spacing w:val="-10"/>
        </w:rPr>
        <w:t> </w:t>
      </w:r>
      <w:r>
        <w:rPr>
          <w:spacing w:val="-2"/>
        </w:rPr>
        <w:t>large</w:t>
      </w:r>
      <w:r>
        <w:rPr>
          <w:spacing w:val="-10"/>
        </w:rPr>
        <w:t> </w:t>
      </w:r>
      <w:r>
        <w:rPr>
          <w:spacing w:val="-2"/>
        </w:rPr>
        <w:t>reservoir</w:t>
      </w:r>
      <w:r>
        <w:rPr>
          <w:spacing w:val="-10"/>
        </w:rPr>
        <w:t> </w:t>
      </w:r>
      <w:r>
        <w:rPr>
          <w:spacing w:val="-2"/>
        </w:rPr>
        <w:t>of</w:t>
      </w:r>
      <w:r>
        <w:rPr>
          <w:spacing w:val="-10"/>
        </w:rPr>
        <w:t> </w:t>
      </w:r>
      <w:r>
        <w:rPr>
          <w:spacing w:val="-2"/>
        </w:rPr>
        <w:t>untapped</w:t>
      </w:r>
      <w:r>
        <w:rPr>
          <w:spacing w:val="-10"/>
        </w:rPr>
        <w:t> </w:t>
      </w:r>
      <w:r>
        <w:rPr>
          <w:spacing w:val="-2"/>
        </w:rPr>
        <w:t>resources</w:t>
      </w:r>
      <w:r>
        <w:rPr>
          <w:spacing w:val="-10"/>
        </w:rPr>
        <w:t> </w:t>
      </w:r>
      <w:r>
        <w:rPr>
          <w:spacing w:val="-2"/>
        </w:rPr>
        <w:t>in</w:t>
      </w:r>
      <w:r>
        <w:rPr>
          <w:spacing w:val="-10"/>
        </w:rPr>
        <w:t> </w:t>
      </w:r>
      <w:r>
        <w:rPr>
          <w:spacing w:val="-2"/>
        </w:rPr>
        <w:t>the </w:t>
      </w:r>
      <w:r>
        <w:rPr>
          <w:spacing w:val="-4"/>
        </w:rPr>
        <w:t>form</w:t>
      </w:r>
      <w:r>
        <w:rPr>
          <w:spacing w:val="-8"/>
        </w:rPr>
        <w:t> </w:t>
      </w:r>
      <w:r>
        <w:rPr>
          <w:spacing w:val="-4"/>
        </w:rPr>
        <w:t>of</w:t>
      </w:r>
      <w:r>
        <w:rPr>
          <w:spacing w:val="-8"/>
        </w:rPr>
        <w:t> </w:t>
      </w:r>
      <w:r>
        <w:rPr>
          <w:spacing w:val="-4"/>
        </w:rPr>
        <w:t>land.</w:t>
      </w:r>
      <w:r>
        <w:rPr>
          <w:spacing w:val="-8"/>
        </w:rPr>
        <w:t> </w:t>
      </w:r>
      <w:r>
        <w:rPr>
          <w:spacing w:val="-4"/>
        </w:rPr>
        <w:t>In</w:t>
      </w:r>
      <w:r>
        <w:rPr>
          <w:spacing w:val="-8"/>
        </w:rPr>
        <w:t> </w:t>
      </w:r>
      <w:r>
        <w:rPr>
          <w:spacing w:val="-4"/>
        </w:rPr>
        <w:t>effect,</w:t>
      </w:r>
      <w:r>
        <w:rPr>
          <w:spacing w:val="-8"/>
        </w:rPr>
        <w:t> </w:t>
      </w:r>
      <w:r>
        <w:rPr>
          <w:spacing w:val="-4"/>
        </w:rPr>
        <w:t>with</w:t>
      </w:r>
      <w:r>
        <w:rPr>
          <w:spacing w:val="-8"/>
        </w:rPr>
        <w:t> </w:t>
      </w:r>
      <w:r>
        <w:rPr>
          <w:spacing w:val="-4"/>
        </w:rPr>
        <w:t>some</w:t>
      </w:r>
      <w:r>
        <w:rPr>
          <w:spacing w:val="-8"/>
        </w:rPr>
        <w:t> </w:t>
      </w:r>
      <w:r>
        <w:rPr>
          <w:spacing w:val="-4"/>
        </w:rPr>
        <w:t>imagination,</w:t>
      </w:r>
      <w:r>
        <w:rPr>
          <w:spacing w:val="-8"/>
        </w:rPr>
        <w:t> </w:t>
      </w:r>
      <w:r>
        <w:rPr>
          <w:spacing w:val="-4"/>
        </w:rPr>
        <w:t>many</w:t>
      </w:r>
      <w:r>
        <w:rPr>
          <w:spacing w:val="-8"/>
        </w:rPr>
        <w:t> </w:t>
      </w:r>
      <w:r>
        <w:rPr>
          <w:spacing w:val="-4"/>
        </w:rPr>
        <w:t>of </w:t>
      </w:r>
      <w:r>
        <w:rPr/>
        <w:t>our</w:t>
      </w:r>
      <w:r>
        <w:rPr>
          <w:spacing w:val="-10"/>
        </w:rPr>
        <w:t> </w:t>
      </w:r>
      <w:r>
        <w:rPr/>
        <w:t>universities</w:t>
      </w:r>
      <w:r>
        <w:rPr>
          <w:spacing w:val="-10"/>
        </w:rPr>
        <w:t> </w:t>
      </w:r>
      <w:r>
        <w:rPr/>
        <w:t>can</w:t>
      </w:r>
      <w:r>
        <w:rPr>
          <w:spacing w:val="-10"/>
        </w:rPr>
        <w:t> </w:t>
      </w:r>
      <w:r>
        <w:rPr/>
        <w:t>be</w:t>
      </w:r>
      <w:r>
        <w:rPr>
          <w:spacing w:val="-10"/>
        </w:rPr>
        <w:t> </w:t>
      </w:r>
      <w:r>
        <w:rPr/>
        <w:t>converted</w:t>
      </w:r>
      <w:r>
        <w:rPr>
          <w:spacing w:val="-10"/>
        </w:rPr>
        <w:t> </w:t>
      </w:r>
      <w:r>
        <w:rPr/>
        <w:t>into</w:t>
      </w:r>
      <w:r>
        <w:rPr>
          <w:spacing w:val="-10"/>
        </w:rPr>
        <w:t> </w:t>
      </w:r>
      <w:r>
        <w:rPr/>
        <w:t>institutions</w:t>
      </w:r>
      <w:r>
        <w:rPr>
          <w:spacing w:val="-10"/>
        </w:rPr>
        <w:t> </w:t>
      </w:r>
      <w:r>
        <w:rPr/>
        <w:t>that are similar to land grant universities. Each university </w:t>
      </w:r>
      <w:r>
        <w:rPr>
          <w:spacing w:val="-4"/>
        </w:rPr>
        <w:t>should</w:t>
      </w:r>
      <w:r>
        <w:rPr>
          <w:spacing w:val="-5"/>
        </w:rPr>
        <w:t> </w:t>
      </w:r>
      <w:r>
        <w:rPr>
          <w:spacing w:val="-4"/>
        </w:rPr>
        <w:t>thus</w:t>
      </w:r>
      <w:r>
        <w:rPr>
          <w:spacing w:val="-5"/>
        </w:rPr>
        <w:t> </w:t>
      </w:r>
      <w:r>
        <w:rPr>
          <w:spacing w:val="-4"/>
        </w:rPr>
        <w:t>have</w:t>
      </w:r>
      <w:r>
        <w:rPr>
          <w:spacing w:val="-5"/>
        </w:rPr>
        <w:t> </w:t>
      </w:r>
      <w:r>
        <w:rPr>
          <w:spacing w:val="-4"/>
        </w:rPr>
        <w:t>an</w:t>
      </w:r>
      <w:r>
        <w:rPr>
          <w:spacing w:val="-5"/>
        </w:rPr>
        <w:t> </w:t>
      </w:r>
      <w:r>
        <w:rPr>
          <w:spacing w:val="-4"/>
        </w:rPr>
        <w:t>innovative</w:t>
      </w:r>
      <w:r>
        <w:rPr>
          <w:spacing w:val="-5"/>
        </w:rPr>
        <w:t> </w:t>
      </w:r>
      <w:r>
        <w:rPr>
          <w:spacing w:val="-4"/>
        </w:rPr>
        <w:t>asset</w:t>
      </w:r>
      <w:r>
        <w:rPr>
          <w:spacing w:val="-5"/>
        </w:rPr>
        <w:t> </w:t>
      </w:r>
      <w:r>
        <w:rPr>
          <w:spacing w:val="-4"/>
        </w:rPr>
        <w:t>management</w:t>
      </w:r>
      <w:r>
        <w:rPr>
          <w:spacing w:val="-5"/>
        </w:rPr>
        <w:t> </w:t>
      </w:r>
      <w:r>
        <w:rPr>
          <w:spacing w:val="-4"/>
        </w:rPr>
        <w:t>plan. </w:t>
      </w:r>
      <w:r>
        <w:rPr>
          <w:spacing w:val="-2"/>
        </w:rPr>
        <w:t>Such</w:t>
      </w:r>
      <w:r>
        <w:rPr>
          <w:spacing w:val="-7"/>
        </w:rPr>
        <w:t> </w:t>
      </w:r>
      <w:r>
        <w:rPr>
          <w:spacing w:val="-2"/>
        </w:rPr>
        <w:t>plans</w:t>
      </w:r>
      <w:r>
        <w:rPr>
          <w:spacing w:val="-7"/>
        </w:rPr>
        <w:t> </w:t>
      </w:r>
      <w:r>
        <w:rPr>
          <w:spacing w:val="-2"/>
        </w:rPr>
        <w:t>should</w:t>
      </w:r>
      <w:r>
        <w:rPr>
          <w:spacing w:val="-7"/>
        </w:rPr>
        <w:t> </w:t>
      </w:r>
      <w:r>
        <w:rPr>
          <w:spacing w:val="-2"/>
        </w:rPr>
        <w:t>be</w:t>
      </w:r>
      <w:r>
        <w:rPr>
          <w:spacing w:val="-7"/>
        </w:rPr>
        <w:t> </w:t>
      </w:r>
      <w:r>
        <w:rPr>
          <w:spacing w:val="-2"/>
        </w:rPr>
        <w:t>in</w:t>
      </w:r>
      <w:r>
        <w:rPr>
          <w:spacing w:val="-7"/>
        </w:rPr>
        <w:t> </w:t>
      </w:r>
      <w:r>
        <w:rPr>
          <w:spacing w:val="-2"/>
        </w:rPr>
        <w:t>consonance</w:t>
      </w:r>
      <w:r>
        <w:rPr>
          <w:spacing w:val="-7"/>
        </w:rPr>
        <w:t> </w:t>
      </w:r>
      <w:r>
        <w:rPr>
          <w:spacing w:val="-2"/>
        </w:rPr>
        <w:t>with</w:t>
      </w:r>
      <w:r>
        <w:rPr>
          <w:spacing w:val="-7"/>
        </w:rPr>
        <w:t> </w:t>
      </w:r>
      <w:r>
        <w:rPr>
          <w:spacing w:val="-2"/>
        </w:rPr>
        <w:t>objectives</w:t>
      </w:r>
      <w:r>
        <w:rPr>
          <w:spacing w:val="-7"/>
        </w:rPr>
        <w:t> </w:t>
      </w:r>
      <w:r>
        <w:rPr>
          <w:spacing w:val="-2"/>
        </w:rPr>
        <w:t>of </w:t>
      </w:r>
      <w:r>
        <w:rPr>
          <w:spacing w:val="-4"/>
        </w:rPr>
        <w:t>universities.</w:t>
      </w:r>
      <w:r>
        <w:rPr>
          <w:spacing w:val="-9"/>
        </w:rPr>
        <w:t> </w:t>
      </w:r>
      <w:r>
        <w:rPr>
          <w:spacing w:val="-4"/>
        </w:rPr>
        <w:t>At</w:t>
      </w:r>
      <w:r>
        <w:rPr>
          <w:spacing w:val="-9"/>
        </w:rPr>
        <w:t> </w:t>
      </w:r>
      <w:r>
        <w:rPr>
          <w:spacing w:val="-4"/>
        </w:rPr>
        <w:t>the</w:t>
      </w:r>
      <w:r>
        <w:rPr>
          <w:spacing w:val="-9"/>
        </w:rPr>
        <w:t> </w:t>
      </w:r>
      <w:r>
        <w:rPr>
          <w:spacing w:val="-4"/>
        </w:rPr>
        <w:t>moment,</w:t>
      </w:r>
      <w:r>
        <w:rPr>
          <w:spacing w:val="-9"/>
        </w:rPr>
        <w:t> </w:t>
      </w:r>
      <w:r>
        <w:rPr>
          <w:spacing w:val="-4"/>
        </w:rPr>
        <w:t>however,</w:t>
      </w:r>
      <w:r>
        <w:rPr>
          <w:spacing w:val="-9"/>
        </w:rPr>
        <w:t> </w:t>
      </w:r>
      <w:r>
        <w:rPr>
          <w:spacing w:val="-4"/>
        </w:rPr>
        <w:t>universities</w:t>
      </w:r>
      <w:r>
        <w:rPr>
          <w:spacing w:val="-9"/>
        </w:rPr>
        <w:t> </w:t>
      </w:r>
      <w:r>
        <w:rPr>
          <w:spacing w:val="-4"/>
        </w:rPr>
        <w:t>have </w:t>
      </w:r>
      <w:r>
        <w:rPr>
          <w:spacing w:val="-8"/>
        </w:rPr>
        <w:t>no</w:t>
      </w:r>
      <w:r>
        <w:rPr>
          <w:spacing w:val="-3"/>
        </w:rPr>
        <w:t> </w:t>
      </w:r>
      <w:r>
        <w:rPr>
          <w:spacing w:val="-8"/>
        </w:rPr>
        <w:t>strategy</w:t>
      </w:r>
      <w:r>
        <w:rPr>
          <w:spacing w:val="-3"/>
        </w:rPr>
        <w:t> </w:t>
      </w:r>
      <w:r>
        <w:rPr>
          <w:spacing w:val="-8"/>
        </w:rPr>
        <w:t>in</w:t>
      </w:r>
      <w:r>
        <w:rPr>
          <w:spacing w:val="-3"/>
        </w:rPr>
        <w:t> </w:t>
      </w:r>
      <w:r>
        <w:rPr>
          <w:spacing w:val="-8"/>
        </w:rPr>
        <w:t>this</w:t>
      </w:r>
      <w:r>
        <w:rPr>
          <w:spacing w:val="-3"/>
        </w:rPr>
        <w:t> </w:t>
      </w:r>
      <w:r>
        <w:rPr>
          <w:spacing w:val="-8"/>
        </w:rPr>
        <w:t>sphere.</w:t>
      </w:r>
      <w:r>
        <w:rPr>
          <w:spacing w:val="-3"/>
        </w:rPr>
        <w:t> </w:t>
      </w:r>
      <w:r>
        <w:rPr>
          <w:spacing w:val="-8"/>
        </w:rPr>
        <w:t>And</w:t>
      </w:r>
      <w:r>
        <w:rPr>
          <w:spacing w:val="-3"/>
        </w:rPr>
        <w:t> </w:t>
      </w:r>
      <w:r>
        <w:rPr>
          <w:spacing w:val="-8"/>
        </w:rPr>
        <w:t>there</w:t>
      </w:r>
      <w:r>
        <w:rPr>
          <w:spacing w:val="-3"/>
        </w:rPr>
        <w:t> </w:t>
      </w:r>
      <w:r>
        <w:rPr>
          <w:spacing w:val="-8"/>
        </w:rPr>
        <w:t>is</w:t>
      </w:r>
      <w:r>
        <w:rPr>
          <w:spacing w:val="-3"/>
        </w:rPr>
        <w:t> </w:t>
      </w:r>
      <w:r>
        <w:rPr>
          <w:spacing w:val="-8"/>
        </w:rPr>
        <w:t>considerable</w:t>
      </w:r>
      <w:r>
        <w:rPr>
          <w:spacing w:val="-3"/>
        </w:rPr>
        <w:t> </w:t>
      </w:r>
      <w:r>
        <w:rPr>
          <w:spacing w:val="-8"/>
        </w:rPr>
        <w:t>room </w:t>
      </w:r>
      <w:r>
        <w:rPr>
          <w:spacing w:val="-6"/>
        </w:rPr>
        <w:t>to</w:t>
      </w:r>
      <w:r>
        <w:rPr>
          <w:spacing w:val="-8"/>
        </w:rPr>
        <w:t> </w:t>
      </w:r>
      <w:r>
        <w:rPr>
          <w:spacing w:val="-6"/>
        </w:rPr>
        <w:t>think</w:t>
      </w:r>
      <w:r>
        <w:rPr>
          <w:spacing w:val="-8"/>
        </w:rPr>
        <w:t> </w:t>
      </w:r>
      <w:r>
        <w:rPr>
          <w:spacing w:val="-6"/>
        </w:rPr>
        <w:t>in</w:t>
      </w:r>
      <w:r>
        <w:rPr>
          <w:spacing w:val="-8"/>
        </w:rPr>
        <w:t> </w:t>
      </w:r>
      <w:r>
        <w:rPr>
          <w:spacing w:val="-6"/>
        </w:rPr>
        <w:t>strategic</w:t>
      </w:r>
      <w:r>
        <w:rPr>
          <w:spacing w:val="-7"/>
        </w:rPr>
        <w:t> </w:t>
      </w:r>
      <w:r>
        <w:rPr>
          <w:spacing w:val="-6"/>
        </w:rPr>
        <w:t>terms</w:t>
      </w:r>
      <w:r>
        <w:rPr>
          <w:spacing w:val="-8"/>
        </w:rPr>
        <w:t> </w:t>
      </w:r>
      <w:r>
        <w:rPr>
          <w:spacing w:val="-6"/>
        </w:rPr>
        <w:t>about</w:t>
      </w:r>
      <w:r>
        <w:rPr>
          <w:spacing w:val="-8"/>
        </w:rPr>
        <w:t> </w:t>
      </w:r>
      <w:r>
        <w:rPr>
          <w:spacing w:val="-6"/>
        </w:rPr>
        <w:t>the</w:t>
      </w:r>
      <w:r>
        <w:rPr>
          <w:spacing w:val="-8"/>
        </w:rPr>
        <w:t> </w:t>
      </w:r>
      <w:r>
        <w:rPr>
          <w:spacing w:val="-6"/>
        </w:rPr>
        <w:t>use</w:t>
      </w:r>
      <w:r>
        <w:rPr>
          <w:spacing w:val="-7"/>
        </w:rPr>
        <w:t> </w:t>
      </w:r>
      <w:r>
        <w:rPr>
          <w:spacing w:val="-6"/>
        </w:rPr>
        <w:t>of</w:t>
      </w:r>
      <w:r>
        <w:rPr>
          <w:spacing w:val="-8"/>
        </w:rPr>
        <w:t> </w:t>
      </w:r>
      <w:r>
        <w:rPr>
          <w:spacing w:val="-6"/>
        </w:rPr>
        <w:t>physical</w:t>
      </w:r>
      <w:r>
        <w:rPr>
          <w:spacing w:val="-8"/>
        </w:rPr>
        <w:t> </w:t>
      </w:r>
      <w:r>
        <w:rPr>
          <w:spacing w:val="-6"/>
        </w:rPr>
        <w:t>assets </w:t>
      </w:r>
      <w:r>
        <w:rPr>
          <w:spacing w:val="-4"/>
        </w:rPr>
        <w:t>in</w:t>
      </w:r>
      <w:r>
        <w:rPr>
          <w:spacing w:val="-10"/>
        </w:rPr>
        <w:t> </w:t>
      </w:r>
      <w:r>
        <w:rPr>
          <w:spacing w:val="-4"/>
        </w:rPr>
        <w:t>the</w:t>
      </w:r>
      <w:r>
        <w:rPr>
          <w:spacing w:val="-10"/>
        </w:rPr>
        <w:t> </w:t>
      </w:r>
      <w:r>
        <w:rPr>
          <w:spacing w:val="-4"/>
        </w:rPr>
        <w:t>possession</w:t>
      </w:r>
      <w:r>
        <w:rPr>
          <w:spacing w:val="-10"/>
        </w:rPr>
        <w:t> </w:t>
      </w:r>
      <w:r>
        <w:rPr>
          <w:spacing w:val="-4"/>
        </w:rPr>
        <w:t>of</w:t>
      </w:r>
      <w:r>
        <w:rPr>
          <w:spacing w:val="-9"/>
        </w:rPr>
        <w:t> </w:t>
      </w:r>
      <w:r>
        <w:rPr>
          <w:spacing w:val="-4"/>
        </w:rPr>
        <w:t>universities.</w:t>
      </w:r>
      <w:r>
        <w:rPr>
          <w:spacing w:val="-10"/>
        </w:rPr>
        <w:t> </w:t>
      </w:r>
      <w:r>
        <w:rPr>
          <w:spacing w:val="-4"/>
        </w:rPr>
        <w:t>It</w:t>
      </w:r>
      <w:r>
        <w:rPr>
          <w:spacing w:val="-10"/>
        </w:rPr>
        <w:t> </w:t>
      </w:r>
      <w:r>
        <w:rPr>
          <w:spacing w:val="-4"/>
        </w:rPr>
        <w:t>should</w:t>
      </w:r>
      <w:r>
        <w:rPr>
          <w:spacing w:val="-10"/>
        </w:rPr>
        <w:t> </w:t>
      </w:r>
      <w:r>
        <w:rPr>
          <w:spacing w:val="-4"/>
        </w:rPr>
        <w:t>be</w:t>
      </w:r>
      <w:r>
        <w:rPr>
          <w:spacing w:val="-9"/>
        </w:rPr>
        <w:t> </w:t>
      </w:r>
      <w:r>
        <w:rPr>
          <w:spacing w:val="-4"/>
        </w:rPr>
        <w:t>possible</w:t>
      </w:r>
      <w:r>
        <w:rPr>
          <w:spacing w:val="-10"/>
        </w:rPr>
        <w:t> </w:t>
      </w:r>
      <w:r>
        <w:rPr>
          <w:spacing w:val="-4"/>
        </w:rPr>
        <w:t>to </w:t>
      </w:r>
      <w:r>
        <w:rPr/>
        <w:t>draw</w:t>
      </w:r>
      <w:r>
        <w:rPr>
          <w:spacing w:val="-1"/>
        </w:rPr>
        <w:t> </w:t>
      </w:r>
      <w:r>
        <w:rPr/>
        <w:t>up</w:t>
      </w:r>
      <w:r>
        <w:rPr>
          <w:spacing w:val="-1"/>
        </w:rPr>
        <w:t> </w:t>
      </w:r>
      <w:r>
        <w:rPr/>
        <w:t>norms</w:t>
      </w:r>
      <w:r>
        <w:rPr>
          <w:spacing w:val="-1"/>
        </w:rPr>
        <w:t> </w:t>
      </w:r>
      <w:r>
        <w:rPr/>
        <w:t>and</w:t>
      </w:r>
      <w:r>
        <w:rPr>
          <w:spacing w:val="-1"/>
        </w:rPr>
        <w:t> </w:t>
      </w:r>
      <w:r>
        <w:rPr/>
        <w:t>parameters</w:t>
      </w:r>
      <w:r>
        <w:rPr>
          <w:spacing w:val="-1"/>
        </w:rPr>
        <w:t> </w:t>
      </w:r>
      <w:r>
        <w:rPr/>
        <w:t>for</w:t>
      </w:r>
      <w:r>
        <w:rPr>
          <w:spacing w:val="-1"/>
        </w:rPr>
        <w:t> </w:t>
      </w:r>
      <w:r>
        <w:rPr/>
        <w:t>universities</w:t>
      </w:r>
      <w:r>
        <w:rPr>
          <w:spacing w:val="-1"/>
        </w:rPr>
        <w:t> </w:t>
      </w:r>
      <w:r>
        <w:rPr/>
        <w:t>to</w:t>
      </w:r>
      <w:r>
        <w:rPr>
          <w:spacing w:val="-1"/>
        </w:rPr>
        <w:t> </w:t>
      </w:r>
      <w:r>
        <w:rPr/>
        <w:t>use their land as a source of finance.</w:t>
      </w:r>
    </w:p>
    <w:p>
      <w:pPr>
        <w:pStyle w:val="BodyText"/>
        <w:spacing w:before="16"/>
      </w:pPr>
    </w:p>
    <w:p>
      <w:pPr>
        <w:pStyle w:val="BodyText"/>
        <w:spacing w:line="266" w:lineRule="auto" w:before="1"/>
        <w:ind w:left="319" w:right="1077"/>
        <w:jc w:val="both"/>
      </w:pPr>
      <w:r>
        <w:rPr>
          <w:b/>
          <w:spacing w:val="-2"/>
        </w:rPr>
        <w:t>Rationalisation</w:t>
      </w:r>
      <w:r>
        <w:rPr>
          <w:b/>
          <w:spacing w:val="-12"/>
        </w:rPr>
        <w:t> </w:t>
      </w:r>
      <w:r>
        <w:rPr>
          <w:b/>
          <w:spacing w:val="-2"/>
        </w:rPr>
        <w:t>of</w:t>
      </w:r>
      <w:r>
        <w:rPr>
          <w:b/>
          <w:spacing w:val="-12"/>
        </w:rPr>
        <w:t> </w:t>
      </w:r>
      <w:r>
        <w:rPr>
          <w:b/>
          <w:spacing w:val="-2"/>
        </w:rPr>
        <w:t>fees:</w:t>
      </w:r>
      <w:r>
        <w:rPr>
          <w:b/>
          <w:spacing w:val="-12"/>
        </w:rPr>
        <w:t> </w:t>
      </w:r>
      <w:r>
        <w:rPr>
          <w:spacing w:val="-2"/>
        </w:rPr>
        <w:t>On</w:t>
      </w:r>
      <w:r>
        <w:rPr>
          <w:spacing w:val="-11"/>
        </w:rPr>
        <w:t> </w:t>
      </w:r>
      <w:r>
        <w:rPr>
          <w:spacing w:val="-2"/>
        </w:rPr>
        <w:t>an</w:t>
      </w:r>
      <w:r>
        <w:rPr>
          <w:spacing w:val="-12"/>
        </w:rPr>
        <w:t> </w:t>
      </w:r>
      <w:r>
        <w:rPr>
          <w:spacing w:val="-2"/>
        </w:rPr>
        <w:t>average,</w:t>
      </w:r>
      <w:r>
        <w:rPr>
          <w:spacing w:val="-12"/>
        </w:rPr>
        <w:t> </w:t>
      </w:r>
      <w:r>
        <w:rPr>
          <w:spacing w:val="-2"/>
        </w:rPr>
        <w:t>fees</w:t>
      </w:r>
      <w:r>
        <w:rPr>
          <w:spacing w:val="-12"/>
        </w:rPr>
        <w:t> </w:t>
      </w:r>
      <w:r>
        <w:rPr>
          <w:spacing w:val="-2"/>
        </w:rPr>
        <w:t>constitute </w:t>
      </w:r>
      <w:r>
        <w:rPr/>
        <w:t>less than 10 per cent of total expenditure in our universities. And, in most universities, fees have </w:t>
      </w:r>
      <w:r>
        <w:rPr>
          <w:spacing w:val="-4"/>
        </w:rPr>
        <w:t>remained</w:t>
      </w:r>
      <w:r>
        <w:rPr>
          <w:spacing w:val="-10"/>
        </w:rPr>
        <w:t> </w:t>
      </w:r>
      <w:r>
        <w:rPr>
          <w:spacing w:val="-4"/>
        </w:rPr>
        <w:t>unchanged</w:t>
      </w:r>
      <w:r>
        <w:rPr>
          <w:spacing w:val="-10"/>
        </w:rPr>
        <w:t> </w:t>
      </w:r>
      <w:r>
        <w:rPr>
          <w:spacing w:val="-4"/>
        </w:rPr>
        <w:t>for</w:t>
      </w:r>
      <w:r>
        <w:rPr>
          <w:spacing w:val="-10"/>
        </w:rPr>
        <w:t> </w:t>
      </w:r>
      <w:r>
        <w:rPr>
          <w:spacing w:val="-4"/>
        </w:rPr>
        <w:t>decades.</w:t>
      </w:r>
      <w:r>
        <w:rPr>
          <w:spacing w:val="-9"/>
        </w:rPr>
        <w:t> </w:t>
      </w:r>
      <w:r>
        <w:rPr>
          <w:spacing w:val="-4"/>
        </w:rPr>
        <w:t>In</w:t>
      </w:r>
      <w:r>
        <w:rPr>
          <w:spacing w:val="-10"/>
        </w:rPr>
        <w:t> </w:t>
      </w:r>
      <w:r>
        <w:rPr>
          <w:spacing w:val="-4"/>
        </w:rPr>
        <w:t>theory,</w:t>
      </w:r>
      <w:r>
        <w:rPr>
          <w:spacing w:val="-10"/>
        </w:rPr>
        <w:t> </w:t>
      </w:r>
      <w:r>
        <w:rPr>
          <w:spacing w:val="-4"/>
        </w:rPr>
        <w:t>universities </w:t>
      </w:r>
      <w:r>
        <w:rPr>
          <w:spacing w:val="-6"/>
        </w:rPr>
        <w:t>have</w:t>
      </w:r>
      <w:r>
        <w:rPr>
          <w:spacing w:val="-8"/>
        </w:rPr>
        <w:t> </w:t>
      </w:r>
      <w:r>
        <w:rPr>
          <w:spacing w:val="-6"/>
        </w:rPr>
        <w:t>the</w:t>
      </w:r>
      <w:r>
        <w:rPr>
          <w:spacing w:val="-8"/>
        </w:rPr>
        <w:t> </w:t>
      </w:r>
      <w:r>
        <w:rPr>
          <w:spacing w:val="-6"/>
        </w:rPr>
        <w:t>freedom</w:t>
      </w:r>
      <w:r>
        <w:rPr>
          <w:spacing w:val="-8"/>
        </w:rPr>
        <w:t> </w:t>
      </w:r>
      <w:r>
        <w:rPr>
          <w:spacing w:val="-6"/>
        </w:rPr>
        <w:t>to</w:t>
      </w:r>
      <w:r>
        <w:rPr>
          <w:spacing w:val="-7"/>
        </w:rPr>
        <w:t> </w:t>
      </w:r>
      <w:r>
        <w:rPr>
          <w:spacing w:val="-6"/>
        </w:rPr>
        <w:t>decide</w:t>
      </w:r>
      <w:r>
        <w:rPr>
          <w:spacing w:val="-8"/>
        </w:rPr>
        <w:t> </w:t>
      </w:r>
      <w:r>
        <w:rPr>
          <w:spacing w:val="-6"/>
        </w:rPr>
        <w:t>on</w:t>
      </w:r>
      <w:r>
        <w:rPr>
          <w:spacing w:val="-8"/>
        </w:rPr>
        <w:t> </w:t>
      </w:r>
      <w:r>
        <w:rPr>
          <w:spacing w:val="-6"/>
        </w:rPr>
        <w:t>fees.</w:t>
      </w:r>
      <w:r>
        <w:rPr>
          <w:spacing w:val="-8"/>
        </w:rPr>
        <w:t> </w:t>
      </w:r>
      <w:r>
        <w:rPr>
          <w:spacing w:val="-6"/>
        </w:rPr>
        <w:t>In</w:t>
      </w:r>
      <w:r>
        <w:rPr>
          <w:spacing w:val="-7"/>
        </w:rPr>
        <w:t> </w:t>
      </w:r>
      <w:r>
        <w:rPr>
          <w:spacing w:val="-6"/>
        </w:rPr>
        <w:t>practice,</w:t>
      </w:r>
      <w:r>
        <w:rPr>
          <w:spacing w:val="-8"/>
        </w:rPr>
        <w:t> </w:t>
      </w:r>
      <w:r>
        <w:rPr>
          <w:spacing w:val="-6"/>
        </w:rPr>
        <w:t>however, </w:t>
      </w:r>
      <w:r>
        <w:rPr/>
        <w:t>universities have not exercised this freedom in part because</w:t>
      </w:r>
      <w:r>
        <w:rPr>
          <w:spacing w:val="-14"/>
        </w:rPr>
        <w:t> </w:t>
      </w:r>
      <w:r>
        <w:rPr/>
        <w:t>of</w:t>
      </w:r>
      <w:r>
        <w:rPr>
          <w:spacing w:val="-13"/>
        </w:rPr>
        <w:t> </w:t>
      </w:r>
      <w:r>
        <w:rPr/>
        <w:t>some</w:t>
      </w:r>
      <w:r>
        <w:rPr>
          <w:spacing w:val="-14"/>
        </w:rPr>
        <w:t> </w:t>
      </w:r>
      <w:r>
        <w:rPr/>
        <w:t>genuine</w:t>
      </w:r>
      <w:r>
        <w:rPr>
          <w:spacing w:val="-13"/>
        </w:rPr>
        <w:t> </w:t>
      </w:r>
      <w:r>
        <w:rPr/>
        <w:t>concerns</w:t>
      </w:r>
      <w:r>
        <w:rPr>
          <w:spacing w:val="-14"/>
        </w:rPr>
        <w:t> </w:t>
      </w:r>
      <w:r>
        <w:rPr/>
        <w:t>about</w:t>
      </w:r>
      <w:r>
        <w:rPr>
          <w:spacing w:val="-13"/>
        </w:rPr>
        <w:t> </w:t>
      </w:r>
      <w:r>
        <w:rPr/>
        <w:t>access</w:t>
      </w:r>
      <w:r>
        <w:rPr>
          <w:spacing w:val="-14"/>
        </w:rPr>
        <w:t> </w:t>
      </w:r>
      <w:r>
        <w:rPr/>
        <w:t>but</w:t>
      </w:r>
      <w:r>
        <w:rPr>
          <w:spacing w:val="-13"/>
        </w:rPr>
        <w:t> </w:t>
      </w:r>
      <w:r>
        <w:rPr/>
        <w:t>in larger</w:t>
      </w:r>
      <w:r>
        <w:rPr>
          <w:spacing w:val="-10"/>
        </w:rPr>
        <w:t> </w:t>
      </w:r>
      <w:r>
        <w:rPr/>
        <w:t>part</w:t>
      </w:r>
      <w:r>
        <w:rPr>
          <w:spacing w:val="-10"/>
        </w:rPr>
        <w:t> </w:t>
      </w:r>
      <w:r>
        <w:rPr/>
        <w:t>because</w:t>
      </w:r>
      <w:r>
        <w:rPr>
          <w:spacing w:val="-10"/>
        </w:rPr>
        <w:t> </w:t>
      </w:r>
      <w:r>
        <w:rPr/>
        <w:t>of</w:t>
      </w:r>
      <w:r>
        <w:rPr>
          <w:spacing w:val="-10"/>
        </w:rPr>
        <w:t> </w:t>
      </w:r>
      <w:r>
        <w:rPr/>
        <w:t>the</w:t>
      </w:r>
      <w:r>
        <w:rPr>
          <w:spacing w:val="-10"/>
        </w:rPr>
        <w:t> </w:t>
      </w:r>
      <w:r>
        <w:rPr/>
        <w:t>rhetoric</w:t>
      </w:r>
      <w:r>
        <w:rPr>
          <w:spacing w:val="-10"/>
        </w:rPr>
        <w:t> </w:t>
      </w:r>
      <w:r>
        <w:rPr/>
        <w:t>and</w:t>
      </w:r>
      <w:r>
        <w:rPr>
          <w:spacing w:val="-10"/>
        </w:rPr>
        <w:t> </w:t>
      </w:r>
      <w:r>
        <w:rPr/>
        <w:t>populism</w:t>
      </w:r>
      <w:r>
        <w:rPr>
          <w:spacing w:val="-10"/>
        </w:rPr>
        <w:t> </w:t>
      </w:r>
      <w:r>
        <w:rPr/>
        <w:t>in</w:t>
      </w:r>
      <w:r>
        <w:rPr>
          <w:spacing w:val="-10"/>
        </w:rPr>
        <w:t> </w:t>
      </w:r>
      <w:r>
        <w:rPr>
          <w:spacing w:val="-5"/>
        </w:rPr>
        <w:t>the</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57"/>
        <w:ind w:left="1080"/>
        <w:jc w:val="both"/>
      </w:pPr>
      <w:r>
        <w:rPr/>
        <w:t>political</w:t>
      </w:r>
      <w:r>
        <w:rPr>
          <w:spacing w:val="-5"/>
        </w:rPr>
        <w:t> </w:t>
      </w:r>
      <w:r>
        <w:rPr/>
        <w:t>process.</w:t>
      </w:r>
      <w:r>
        <w:rPr>
          <w:spacing w:val="-11"/>
        </w:rPr>
        <w:t> </w:t>
      </w:r>
      <w:r>
        <w:rPr/>
        <w:t>The</w:t>
      </w:r>
      <w:r>
        <w:rPr>
          <w:spacing w:val="-5"/>
        </w:rPr>
        <w:t> </w:t>
      </w:r>
      <w:r>
        <w:rPr/>
        <w:t>problem</w:t>
      </w:r>
      <w:r>
        <w:rPr>
          <w:spacing w:val="-5"/>
        </w:rPr>
        <w:t> </w:t>
      </w:r>
      <w:r>
        <w:rPr/>
        <w:t>has</w:t>
      </w:r>
      <w:r>
        <w:rPr>
          <w:spacing w:val="-5"/>
        </w:rPr>
        <w:t> </w:t>
      </w:r>
      <w:r>
        <w:rPr/>
        <w:t>been</w:t>
      </w:r>
      <w:r>
        <w:rPr>
          <w:spacing w:val="-5"/>
        </w:rPr>
        <w:t> </w:t>
      </w:r>
      <w:r>
        <w:rPr/>
        <w:t>compounded by the UGC method of providing grants-in-aid to </w:t>
      </w:r>
      <w:r>
        <w:rPr>
          <w:spacing w:val="-2"/>
        </w:rPr>
        <w:t>bridge</w:t>
      </w:r>
      <w:r>
        <w:rPr>
          <w:spacing w:val="-12"/>
        </w:rPr>
        <w:t> </w:t>
      </w:r>
      <w:r>
        <w:rPr>
          <w:spacing w:val="-2"/>
        </w:rPr>
        <w:t>the</w:t>
      </w:r>
      <w:r>
        <w:rPr>
          <w:spacing w:val="-12"/>
        </w:rPr>
        <w:t> </w:t>
      </w:r>
      <w:r>
        <w:rPr>
          <w:spacing w:val="-2"/>
        </w:rPr>
        <w:t>difference</w:t>
      </w:r>
      <w:r>
        <w:rPr>
          <w:spacing w:val="-12"/>
        </w:rPr>
        <w:t> </w:t>
      </w:r>
      <w:r>
        <w:rPr>
          <w:spacing w:val="-2"/>
        </w:rPr>
        <w:t>between</w:t>
      </w:r>
      <w:r>
        <w:rPr>
          <w:spacing w:val="-11"/>
        </w:rPr>
        <w:t> </w:t>
      </w:r>
      <w:r>
        <w:rPr>
          <w:spacing w:val="-2"/>
        </w:rPr>
        <w:t>income</w:t>
      </w:r>
      <w:r>
        <w:rPr>
          <w:spacing w:val="-12"/>
        </w:rPr>
        <w:t> </w:t>
      </w:r>
      <w:r>
        <w:rPr>
          <w:spacing w:val="-2"/>
        </w:rPr>
        <w:t>and</w:t>
      </w:r>
      <w:r>
        <w:rPr>
          <w:spacing w:val="-12"/>
        </w:rPr>
        <w:t> </w:t>
      </w:r>
      <w:r>
        <w:rPr>
          <w:spacing w:val="-2"/>
        </w:rPr>
        <w:t>expenditure. </w:t>
      </w:r>
      <w:r>
        <w:rPr/>
        <w:t>Consequently,</w:t>
      </w:r>
      <w:r>
        <w:rPr>
          <w:spacing w:val="-9"/>
        </w:rPr>
        <w:t> </w:t>
      </w:r>
      <w:r>
        <w:rPr/>
        <w:t>there</w:t>
      </w:r>
      <w:r>
        <w:rPr>
          <w:spacing w:val="-9"/>
        </w:rPr>
        <w:t> </w:t>
      </w:r>
      <w:r>
        <w:rPr/>
        <w:t>is</w:t>
      </w:r>
      <w:r>
        <w:rPr>
          <w:spacing w:val="-9"/>
        </w:rPr>
        <w:t> </w:t>
      </w:r>
      <w:r>
        <w:rPr/>
        <w:t>no</w:t>
      </w:r>
      <w:r>
        <w:rPr>
          <w:spacing w:val="-9"/>
        </w:rPr>
        <w:t> </w:t>
      </w:r>
      <w:r>
        <w:rPr/>
        <w:t>incentive</w:t>
      </w:r>
      <w:r>
        <w:rPr>
          <w:spacing w:val="-9"/>
        </w:rPr>
        <w:t> </w:t>
      </w:r>
      <w:r>
        <w:rPr/>
        <w:t>for</w:t>
      </w:r>
      <w:r>
        <w:rPr>
          <w:spacing w:val="-9"/>
        </w:rPr>
        <w:t> </w:t>
      </w:r>
      <w:r>
        <w:rPr/>
        <w:t>universities</w:t>
      </w:r>
      <w:r>
        <w:rPr>
          <w:spacing w:val="-9"/>
        </w:rPr>
        <w:t> </w:t>
      </w:r>
      <w:r>
        <w:rPr/>
        <w:t>or colleges to raise income through higher fees as that sum would be deducted from their UGC (or State </w:t>
      </w:r>
      <w:r>
        <w:rPr>
          <w:spacing w:val="-4"/>
        </w:rPr>
        <w:t>government)</w:t>
      </w:r>
      <w:r>
        <w:rPr>
          <w:spacing w:val="-10"/>
        </w:rPr>
        <w:t> </w:t>
      </w:r>
      <w:r>
        <w:rPr>
          <w:spacing w:val="-4"/>
        </w:rPr>
        <w:t>grants.</w:t>
      </w:r>
      <w:r>
        <w:rPr>
          <w:spacing w:val="-10"/>
        </w:rPr>
        <w:t> </w:t>
      </w:r>
      <w:r>
        <w:rPr>
          <w:spacing w:val="-4"/>
        </w:rPr>
        <w:t>The</w:t>
      </w:r>
      <w:r>
        <w:rPr>
          <w:spacing w:val="-10"/>
        </w:rPr>
        <w:t> </w:t>
      </w:r>
      <w:r>
        <w:rPr>
          <w:spacing w:val="-4"/>
        </w:rPr>
        <w:t>low</w:t>
      </w:r>
      <w:r>
        <w:rPr>
          <w:spacing w:val="-9"/>
        </w:rPr>
        <w:t> </w:t>
      </w:r>
      <w:r>
        <w:rPr>
          <w:spacing w:val="-4"/>
        </w:rPr>
        <w:t>fees</w:t>
      </w:r>
      <w:r>
        <w:rPr>
          <w:spacing w:val="-10"/>
        </w:rPr>
        <w:t> </w:t>
      </w:r>
      <w:r>
        <w:rPr>
          <w:spacing w:val="-4"/>
        </w:rPr>
        <w:t>in</w:t>
      </w:r>
      <w:r>
        <w:rPr>
          <w:spacing w:val="-10"/>
        </w:rPr>
        <w:t> </w:t>
      </w:r>
      <w:r>
        <w:rPr>
          <w:spacing w:val="-4"/>
        </w:rPr>
        <w:t>public</w:t>
      </w:r>
      <w:r>
        <w:rPr>
          <w:spacing w:val="-10"/>
        </w:rPr>
        <w:t> </w:t>
      </w:r>
      <w:r>
        <w:rPr>
          <w:spacing w:val="-4"/>
        </w:rPr>
        <w:t>universities, </w:t>
      </w:r>
      <w:r>
        <w:rPr/>
        <w:t>without any means test, have meant unquantifiable benefits for unintended beneficiaries. But private </w:t>
      </w:r>
      <w:r>
        <w:rPr>
          <w:spacing w:val="-4"/>
        </w:rPr>
        <w:t>players</w:t>
      </w:r>
      <w:r>
        <w:rPr>
          <w:spacing w:val="-10"/>
        </w:rPr>
        <w:t> </w:t>
      </w:r>
      <w:r>
        <w:rPr>
          <w:spacing w:val="-4"/>
        </w:rPr>
        <w:t>and</w:t>
      </w:r>
      <w:r>
        <w:rPr>
          <w:spacing w:val="-10"/>
        </w:rPr>
        <w:t> </w:t>
      </w:r>
      <w:r>
        <w:rPr>
          <w:spacing w:val="-4"/>
        </w:rPr>
        <w:t>foreign</w:t>
      </w:r>
      <w:r>
        <w:rPr>
          <w:spacing w:val="-10"/>
        </w:rPr>
        <w:t> </w:t>
      </w:r>
      <w:r>
        <w:rPr>
          <w:spacing w:val="-4"/>
        </w:rPr>
        <w:t>institutions</w:t>
      </w:r>
      <w:r>
        <w:rPr>
          <w:spacing w:val="-9"/>
        </w:rPr>
        <w:t> </w:t>
      </w:r>
      <w:r>
        <w:rPr>
          <w:spacing w:val="-4"/>
        </w:rPr>
        <w:t>have</w:t>
      </w:r>
      <w:r>
        <w:rPr>
          <w:spacing w:val="-10"/>
        </w:rPr>
        <w:t> </w:t>
      </w:r>
      <w:r>
        <w:rPr>
          <w:spacing w:val="-4"/>
        </w:rPr>
        <w:t>not</w:t>
      </w:r>
      <w:r>
        <w:rPr>
          <w:spacing w:val="-10"/>
        </w:rPr>
        <w:t> </w:t>
      </w:r>
      <w:r>
        <w:rPr>
          <w:spacing w:val="-4"/>
        </w:rPr>
        <w:t>been</w:t>
      </w:r>
      <w:r>
        <w:rPr>
          <w:spacing w:val="-10"/>
        </w:rPr>
        <w:t> </w:t>
      </w:r>
      <w:r>
        <w:rPr>
          <w:spacing w:val="-4"/>
        </w:rPr>
        <w:t>restrained </w:t>
      </w:r>
      <w:r>
        <w:rPr/>
        <w:t>in</w:t>
      </w:r>
      <w:r>
        <w:rPr>
          <w:spacing w:val="-14"/>
        </w:rPr>
        <w:t> </w:t>
      </w:r>
      <w:r>
        <w:rPr/>
        <w:t>charging</w:t>
      </w:r>
      <w:r>
        <w:rPr>
          <w:spacing w:val="-14"/>
        </w:rPr>
        <w:t> </w:t>
      </w:r>
      <w:r>
        <w:rPr/>
        <w:t>fees</w:t>
      </w:r>
      <w:r>
        <w:rPr>
          <w:spacing w:val="-14"/>
        </w:rPr>
        <w:t> </w:t>
      </w:r>
      <w:r>
        <w:rPr/>
        <w:t>that</w:t>
      </w:r>
      <w:r>
        <w:rPr>
          <w:spacing w:val="-13"/>
        </w:rPr>
        <w:t> </w:t>
      </w:r>
      <w:r>
        <w:rPr/>
        <w:t>the</w:t>
      </w:r>
      <w:r>
        <w:rPr>
          <w:spacing w:val="-14"/>
        </w:rPr>
        <w:t> </w:t>
      </w:r>
      <w:r>
        <w:rPr/>
        <w:t>market</w:t>
      </w:r>
      <w:r>
        <w:rPr>
          <w:spacing w:val="-14"/>
        </w:rPr>
        <w:t> </w:t>
      </w:r>
      <w:r>
        <w:rPr/>
        <w:t>can</w:t>
      </w:r>
      <w:r>
        <w:rPr>
          <w:spacing w:val="-14"/>
        </w:rPr>
        <w:t> </w:t>
      </w:r>
      <w:r>
        <w:rPr/>
        <w:t>bear.</w:t>
      </w:r>
      <w:r>
        <w:rPr>
          <w:spacing w:val="-13"/>
        </w:rPr>
        <w:t> </w:t>
      </w:r>
      <w:r>
        <w:rPr/>
        <w:t>The</w:t>
      </w:r>
      <w:r>
        <w:rPr>
          <w:spacing w:val="-14"/>
        </w:rPr>
        <w:t> </w:t>
      </w:r>
      <w:r>
        <w:rPr/>
        <w:t>time</w:t>
      </w:r>
      <w:r>
        <w:rPr>
          <w:spacing w:val="-14"/>
        </w:rPr>
        <w:t> </w:t>
      </w:r>
      <w:r>
        <w:rPr/>
        <w:t>has </w:t>
      </w:r>
      <w:r>
        <w:rPr>
          <w:spacing w:val="-2"/>
        </w:rPr>
        <w:t>come</w:t>
      </w:r>
      <w:r>
        <w:rPr>
          <w:spacing w:val="-12"/>
        </w:rPr>
        <w:t> </w:t>
      </w:r>
      <w:r>
        <w:rPr>
          <w:spacing w:val="-2"/>
        </w:rPr>
        <w:t>to</w:t>
      </w:r>
      <w:r>
        <w:rPr>
          <w:spacing w:val="-12"/>
        </w:rPr>
        <w:t> </w:t>
      </w:r>
      <w:r>
        <w:rPr>
          <w:spacing w:val="-2"/>
        </w:rPr>
        <w:t>rethink,</w:t>
      </w:r>
      <w:r>
        <w:rPr>
          <w:spacing w:val="-12"/>
        </w:rPr>
        <w:t> </w:t>
      </w:r>
      <w:r>
        <w:rPr>
          <w:spacing w:val="-2"/>
        </w:rPr>
        <w:t>as</w:t>
      </w:r>
      <w:r>
        <w:rPr>
          <w:spacing w:val="-11"/>
        </w:rPr>
        <w:t> </w:t>
      </w:r>
      <w:r>
        <w:rPr>
          <w:spacing w:val="-2"/>
        </w:rPr>
        <w:t>we</w:t>
      </w:r>
      <w:r>
        <w:rPr>
          <w:spacing w:val="-12"/>
        </w:rPr>
        <w:t> </w:t>
      </w:r>
      <w:r>
        <w:rPr>
          <w:spacing w:val="-2"/>
        </w:rPr>
        <w:t>have</w:t>
      </w:r>
      <w:r>
        <w:rPr>
          <w:spacing w:val="-12"/>
        </w:rPr>
        <w:t> </w:t>
      </w:r>
      <w:r>
        <w:rPr>
          <w:spacing w:val="-2"/>
        </w:rPr>
        <w:t>no</w:t>
      </w:r>
      <w:r>
        <w:rPr>
          <w:spacing w:val="-12"/>
        </w:rPr>
        <w:t> </w:t>
      </w:r>
      <w:r>
        <w:rPr>
          <w:spacing w:val="-2"/>
        </w:rPr>
        <w:t>choice</w:t>
      </w:r>
      <w:r>
        <w:rPr>
          <w:spacing w:val="-11"/>
        </w:rPr>
        <w:t> </w:t>
      </w:r>
      <w:r>
        <w:rPr>
          <w:spacing w:val="-2"/>
        </w:rPr>
        <w:t>but</w:t>
      </w:r>
      <w:r>
        <w:rPr>
          <w:spacing w:val="-12"/>
        </w:rPr>
        <w:t> </w:t>
      </w:r>
      <w:r>
        <w:rPr>
          <w:spacing w:val="-2"/>
        </w:rPr>
        <w:t>to</w:t>
      </w:r>
      <w:r>
        <w:rPr>
          <w:spacing w:val="-12"/>
        </w:rPr>
        <w:t> </w:t>
      </w:r>
      <w:r>
        <w:rPr>
          <w:spacing w:val="-2"/>
        </w:rPr>
        <w:t>rationalise </w:t>
      </w:r>
      <w:r>
        <w:rPr>
          <w:w w:val="90"/>
        </w:rPr>
        <w:t>fees. It is for universities to decide the level of fees but, as </w:t>
      </w:r>
      <w:r>
        <w:rPr>
          <w:spacing w:val="-4"/>
        </w:rPr>
        <w:t>a</w:t>
      </w:r>
      <w:r>
        <w:rPr>
          <w:spacing w:val="-7"/>
        </w:rPr>
        <w:t> </w:t>
      </w:r>
      <w:r>
        <w:rPr>
          <w:spacing w:val="-4"/>
        </w:rPr>
        <w:t>norm,</w:t>
      </w:r>
      <w:r>
        <w:rPr>
          <w:spacing w:val="-7"/>
        </w:rPr>
        <w:t> </w:t>
      </w:r>
      <w:r>
        <w:rPr>
          <w:spacing w:val="-4"/>
        </w:rPr>
        <w:t>fees</w:t>
      </w:r>
      <w:r>
        <w:rPr>
          <w:spacing w:val="-7"/>
        </w:rPr>
        <w:t> </w:t>
      </w:r>
      <w:r>
        <w:rPr>
          <w:spacing w:val="-4"/>
        </w:rPr>
        <w:t>should</w:t>
      </w:r>
      <w:r>
        <w:rPr>
          <w:spacing w:val="-7"/>
        </w:rPr>
        <w:t> </w:t>
      </w:r>
      <w:r>
        <w:rPr>
          <w:spacing w:val="-4"/>
        </w:rPr>
        <w:t>meet</w:t>
      </w:r>
      <w:r>
        <w:rPr>
          <w:spacing w:val="-7"/>
        </w:rPr>
        <w:t> </w:t>
      </w:r>
      <w:r>
        <w:rPr>
          <w:spacing w:val="-4"/>
        </w:rPr>
        <w:t>at</w:t>
      </w:r>
      <w:r>
        <w:rPr>
          <w:spacing w:val="-7"/>
        </w:rPr>
        <w:t> </w:t>
      </w:r>
      <w:r>
        <w:rPr>
          <w:spacing w:val="-4"/>
        </w:rPr>
        <w:t>least</w:t>
      </w:r>
      <w:r>
        <w:rPr>
          <w:spacing w:val="-7"/>
        </w:rPr>
        <w:t> </w:t>
      </w:r>
      <w:r>
        <w:rPr>
          <w:spacing w:val="-4"/>
        </w:rPr>
        <w:t>20</w:t>
      </w:r>
      <w:r>
        <w:rPr>
          <w:spacing w:val="-7"/>
        </w:rPr>
        <w:t> </w:t>
      </w:r>
      <w:r>
        <w:rPr>
          <w:spacing w:val="-4"/>
        </w:rPr>
        <w:t>per</w:t>
      </w:r>
      <w:r>
        <w:rPr>
          <w:spacing w:val="-7"/>
        </w:rPr>
        <w:t> </w:t>
      </w:r>
      <w:r>
        <w:rPr>
          <w:spacing w:val="-4"/>
        </w:rPr>
        <w:t>cent</w:t>
      </w:r>
      <w:r>
        <w:rPr>
          <w:spacing w:val="-7"/>
        </w:rPr>
        <w:t> </w:t>
      </w:r>
      <w:r>
        <w:rPr>
          <w:spacing w:val="-4"/>
        </w:rPr>
        <w:t>of</w:t>
      </w:r>
      <w:r>
        <w:rPr>
          <w:spacing w:val="-7"/>
        </w:rPr>
        <w:t> </w:t>
      </w:r>
      <w:r>
        <w:rPr>
          <w:spacing w:val="-4"/>
        </w:rPr>
        <w:t>the</w:t>
      </w:r>
      <w:r>
        <w:rPr>
          <w:spacing w:val="-7"/>
        </w:rPr>
        <w:t> </w:t>
      </w:r>
      <w:r>
        <w:rPr>
          <w:spacing w:val="-4"/>
        </w:rPr>
        <w:t>total </w:t>
      </w:r>
      <w:r>
        <w:rPr>
          <w:spacing w:val="-2"/>
        </w:rPr>
        <w:t>expenditure</w:t>
      </w:r>
      <w:r>
        <w:rPr>
          <w:spacing w:val="-10"/>
        </w:rPr>
        <w:t> </w:t>
      </w:r>
      <w:r>
        <w:rPr>
          <w:spacing w:val="-2"/>
        </w:rPr>
        <w:t>in</w:t>
      </w:r>
      <w:r>
        <w:rPr>
          <w:spacing w:val="-10"/>
        </w:rPr>
        <w:t> </w:t>
      </w:r>
      <w:r>
        <w:rPr>
          <w:spacing w:val="-2"/>
        </w:rPr>
        <w:t>universities.</w:t>
      </w:r>
      <w:r>
        <w:rPr>
          <w:spacing w:val="-10"/>
        </w:rPr>
        <w:t> </w:t>
      </w:r>
      <w:r>
        <w:rPr>
          <w:spacing w:val="-2"/>
        </w:rPr>
        <w:t>In</w:t>
      </w:r>
      <w:r>
        <w:rPr>
          <w:spacing w:val="-10"/>
        </w:rPr>
        <w:t> </w:t>
      </w:r>
      <w:r>
        <w:rPr>
          <w:spacing w:val="-2"/>
        </w:rPr>
        <w:t>addition,</w:t>
      </w:r>
      <w:r>
        <w:rPr>
          <w:spacing w:val="-10"/>
        </w:rPr>
        <w:t> </w:t>
      </w:r>
      <w:r>
        <w:rPr>
          <w:spacing w:val="-2"/>
        </w:rPr>
        <w:t>fees</w:t>
      </w:r>
      <w:r>
        <w:rPr>
          <w:spacing w:val="-10"/>
        </w:rPr>
        <w:t> </w:t>
      </w:r>
      <w:r>
        <w:rPr>
          <w:spacing w:val="-2"/>
        </w:rPr>
        <w:t>need</w:t>
      </w:r>
      <w:r>
        <w:rPr>
          <w:spacing w:val="-10"/>
        </w:rPr>
        <w:t> </w:t>
      </w:r>
      <w:r>
        <w:rPr>
          <w:spacing w:val="-2"/>
        </w:rPr>
        <w:t>to</w:t>
      </w:r>
      <w:r>
        <w:rPr>
          <w:spacing w:val="-10"/>
        </w:rPr>
        <w:t> </w:t>
      </w:r>
      <w:r>
        <w:rPr>
          <w:spacing w:val="-2"/>
        </w:rPr>
        <w:t>be </w:t>
      </w:r>
      <w:r>
        <w:rPr>
          <w:spacing w:val="-6"/>
        </w:rPr>
        <w:t>adjusted every two years through price indexation. Such </w:t>
      </w:r>
      <w:r>
        <w:rPr>
          <w:spacing w:val="-2"/>
        </w:rPr>
        <w:t>small,</w:t>
      </w:r>
      <w:r>
        <w:rPr>
          <w:spacing w:val="-10"/>
        </w:rPr>
        <w:t> </w:t>
      </w:r>
      <w:r>
        <w:rPr>
          <w:spacing w:val="-2"/>
        </w:rPr>
        <w:t>continuous,</w:t>
      </w:r>
      <w:r>
        <w:rPr>
          <w:spacing w:val="-10"/>
        </w:rPr>
        <w:t> </w:t>
      </w:r>
      <w:r>
        <w:rPr>
          <w:spacing w:val="-2"/>
        </w:rPr>
        <w:t>adjustments</w:t>
      </w:r>
      <w:r>
        <w:rPr>
          <w:spacing w:val="-10"/>
        </w:rPr>
        <w:t> </w:t>
      </w:r>
      <w:r>
        <w:rPr>
          <w:spacing w:val="-2"/>
        </w:rPr>
        <w:t>would</w:t>
      </w:r>
      <w:r>
        <w:rPr>
          <w:spacing w:val="-10"/>
        </w:rPr>
        <w:t> </w:t>
      </w:r>
      <w:r>
        <w:rPr>
          <w:spacing w:val="-2"/>
        </w:rPr>
        <w:t>be</w:t>
      </w:r>
      <w:r>
        <w:rPr>
          <w:spacing w:val="-10"/>
        </w:rPr>
        <w:t> </w:t>
      </w:r>
      <w:r>
        <w:rPr>
          <w:spacing w:val="-2"/>
        </w:rPr>
        <w:t>absorbed</w:t>
      </w:r>
      <w:r>
        <w:rPr>
          <w:spacing w:val="-10"/>
        </w:rPr>
        <w:t> </w:t>
      </w:r>
      <w:r>
        <w:rPr>
          <w:spacing w:val="-2"/>
        </w:rPr>
        <w:t>and </w:t>
      </w:r>
      <w:r>
        <w:rPr>
          <w:w w:val="90"/>
        </w:rPr>
        <w:t>accepted far more easily than large, discrete changes after</w:t>
      </w:r>
      <w:r>
        <w:rPr>
          <w:spacing w:val="40"/>
        </w:rPr>
        <w:t> </w:t>
      </w:r>
      <w:r>
        <w:rPr/>
        <w:t>a</w:t>
      </w:r>
      <w:r>
        <w:rPr>
          <w:spacing w:val="-14"/>
        </w:rPr>
        <w:t> </w:t>
      </w:r>
      <w:r>
        <w:rPr/>
        <w:t>period</w:t>
      </w:r>
      <w:r>
        <w:rPr>
          <w:spacing w:val="-14"/>
        </w:rPr>
        <w:t> </w:t>
      </w:r>
      <w:r>
        <w:rPr/>
        <w:t>of</w:t>
      </w:r>
      <w:r>
        <w:rPr>
          <w:spacing w:val="-12"/>
        </w:rPr>
        <w:t> </w:t>
      </w:r>
      <w:r>
        <w:rPr/>
        <w:t>time.</w:t>
      </w:r>
      <w:r>
        <w:rPr>
          <w:spacing w:val="-14"/>
        </w:rPr>
        <w:t> </w:t>
      </w:r>
      <w:r>
        <w:rPr/>
        <w:t>This</w:t>
      </w:r>
      <w:r>
        <w:rPr>
          <w:spacing w:val="-12"/>
        </w:rPr>
        <w:t> </w:t>
      </w:r>
      <w:r>
        <w:rPr/>
        <w:t>rationalisation</w:t>
      </w:r>
      <w:r>
        <w:rPr>
          <w:spacing w:val="-12"/>
        </w:rPr>
        <w:t> </w:t>
      </w:r>
      <w:r>
        <w:rPr/>
        <w:t>of</w:t>
      </w:r>
      <w:r>
        <w:rPr>
          <w:spacing w:val="-12"/>
        </w:rPr>
        <w:t> </w:t>
      </w:r>
      <w:r>
        <w:rPr/>
        <w:t>fees</w:t>
      </w:r>
      <w:r>
        <w:rPr>
          <w:spacing w:val="-12"/>
        </w:rPr>
        <w:t> </w:t>
      </w:r>
      <w:r>
        <w:rPr/>
        <w:t>should</w:t>
      </w:r>
      <w:r>
        <w:rPr>
          <w:spacing w:val="-12"/>
        </w:rPr>
        <w:t> </w:t>
      </w:r>
      <w:r>
        <w:rPr/>
        <w:t>be subject</w:t>
      </w:r>
      <w:r>
        <w:rPr>
          <w:spacing w:val="-11"/>
        </w:rPr>
        <w:t> </w:t>
      </w:r>
      <w:r>
        <w:rPr/>
        <w:t>to</w:t>
      </w:r>
      <w:r>
        <w:rPr>
          <w:spacing w:val="-11"/>
        </w:rPr>
        <w:t> </w:t>
      </w:r>
      <w:r>
        <w:rPr/>
        <w:t>two</w:t>
      </w:r>
      <w:r>
        <w:rPr>
          <w:spacing w:val="-11"/>
        </w:rPr>
        <w:t> </w:t>
      </w:r>
      <w:r>
        <w:rPr/>
        <w:t>conditions:</w:t>
      </w:r>
      <w:r>
        <w:rPr>
          <w:spacing w:val="-11"/>
        </w:rPr>
        <w:t> </w:t>
      </w:r>
      <w:r>
        <w:rPr/>
        <w:t>first,</w:t>
      </w:r>
      <w:r>
        <w:rPr>
          <w:spacing w:val="-11"/>
        </w:rPr>
        <w:t> </w:t>
      </w:r>
      <w:r>
        <w:rPr/>
        <w:t>needy</w:t>
      </w:r>
      <w:r>
        <w:rPr>
          <w:spacing w:val="-11"/>
        </w:rPr>
        <w:t> </w:t>
      </w:r>
      <w:r>
        <w:rPr/>
        <w:t>students</w:t>
      </w:r>
      <w:r>
        <w:rPr>
          <w:spacing w:val="-11"/>
        </w:rPr>
        <w:t> </w:t>
      </w:r>
      <w:r>
        <w:rPr/>
        <w:t>should </w:t>
      </w:r>
      <w:r>
        <w:rPr>
          <w:spacing w:val="-4"/>
        </w:rPr>
        <w:t>be</w:t>
      </w:r>
      <w:r>
        <w:rPr>
          <w:spacing w:val="-7"/>
        </w:rPr>
        <w:t> </w:t>
      </w:r>
      <w:r>
        <w:rPr>
          <w:spacing w:val="-4"/>
        </w:rPr>
        <w:t>provided</w:t>
      </w:r>
      <w:r>
        <w:rPr>
          <w:spacing w:val="-7"/>
        </w:rPr>
        <w:t> </w:t>
      </w:r>
      <w:r>
        <w:rPr>
          <w:spacing w:val="-4"/>
        </w:rPr>
        <w:t>with</w:t>
      </w:r>
      <w:r>
        <w:rPr>
          <w:spacing w:val="-7"/>
        </w:rPr>
        <w:t> </w:t>
      </w:r>
      <w:r>
        <w:rPr>
          <w:spacing w:val="-4"/>
        </w:rPr>
        <w:t>a</w:t>
      </w:r>
      <w:r>
        <w:rPr>
          <w:spacing w:val="-7"/>
        </w:rPr>
        <w:t> </w:t>
      </w:r>
      <w:r>
        <w:rPr>
          <w:spacing w:val="-4"/>
        </w:rPr>
        <w:t>fee</w:t>
      </w:r>
      <w:r>
        <w:rPr>
          <w:spacing w:val="-7"/>
        </w:rPr>
        <w:t> </w:t>
      </w:r>
      <w:r>
        <w:rPr>
          <w:spacing w:val="-4"/>
        </w:rPr>
        <w:t>waiver</w:t>
      </w:r>
      <w:r>
        <w:rPr>
          <w:spacing w:val="-7"/>
        </w:rPr>
        <w:t> </w:t>
      </w:r>
      <w:r>
        <w:rPr>
          <w:spacing w:val="-4"/>
        </w:rPr>
        <w:t>plus</w:t>
      </w:r>
      <w:r>
        <w:rPr>
          <w:spacing w:val="-7"/>
        </w:rPr>
        <w:t> </w:t>
      </w:r>
      <w:r>
        <w:rPr>
          <w:spacing w:val="-4"/>
        </w:rPr>
        <w:t>scholarships</w:t>
      </w:r>
      <w:r>
        <w:rPr>
          <w:spacing w:val="-7"/>
        </w:rPr>
        <w:t> </w:t>
      </w:r>
      <w:r>
        <w:rPr>
          <w:spacing w:val="-4"/>
        </w:rPr>
        <w:t>to</w:t>
      </w:r>
      <w:r>
        <w:rPr>
          <w:spacing w:val="-7"/>
        </w:rPr>
        <w:t> </w:t>
      </w:r>
      <w:r>
        <w:rPr>
          <w:spacing w:val="-4"/>
        </w:rPr>
        <w:t>meet their costs; second, universities should not be penalised </w:t>
      </w:r>
      <w:r>
        <w:rPr/>
        <w:t>by</w:t>
      </w:r>
      <w:r>
        <w:rPr>
          <w:spacing w:val="-3"/>
        </w:rPr>
        <w:t> </w:t>
      </w:r>
      <w:r>
        <w:rPr/>
        <w:t>the</w:t>
      </w:r>
      <w:r>
        <w:rPr>
          <w:spacing w:val="-3"/>
        </w:rPr>
        <w:t> </w:t>
      </w:r>
      <w:r>
        <w:rPr/>
        <w:t>UGC</w:t>
      </w:r>
      <w:r>
        <w:rPr>
          <w:spacing w:val="-3"/>
        </w:rPr>
        <w:t> </w:t>
      </w:r>
      <w:r>
        <w:rPr/>
        <w:t>for</w:t>
      </w:r>
      <w:r>
        <w:rPr>
          <w:spacing w:val="-3"/>
        </w:rPr>
        <w:t> </w:t>
      </w:r>
      <w:r>
        <w:rPr/>
        <w:t>the</w:t>
      </w:r>
      <w:r>
        <w:rPr>
          <w:spacing w:val="-3"/>
        </w:rPr>
        <w:t> </w:t>
      </w:r>
      <w:r>
        <w:rPr/>
        <w:t>resources</w:t>
      </w:r>
      <w:r>
        <w:rPr>
          <w:spacing w:val="-3"/>
        </w:rPr>
        <w:t> </w:t>
      </w:r>
      <w:r>
        <w:rPr/>
        <w:t>raised</w:t>
      </w:r>
      <w:r>
        <w:rPr>
          <w:spacing w:val="-3"/>
        </w:rPr>
        <w:t> </w:t>
      </w:r>
      <w:r>
        <w:rPr/>
        <w:t>from</w:t>
      </w:r>
      <w:r>
        <w:rPr>
          <w:spacing w:val="-3"/>
        </w:rPr>
        <w:t> </w:t>
      </w:r>
      <w:r>
        <w:rPr/>
        <w:t>higher</w:t>
      </w:r>
      <w:r>
        <w:rPr>
          <w:spacing w:val="-3"/>
        </w:rPr>
        <w:t> </w:t>
      </w:r>
      <w:r>
        <w:rPr/>
        <w:t>fees through</w:t>
      </w:r>
      <w:r>
        <w:rPr>
          <w:spacing w:val="-14"/>
        </w:rPr>
        <w:t> </w:t>
      </w:r>
      <w:r>
        <w:rPr/>
        <w:t>matching</w:t>
      </w:r>
      <w:r>
        <w:rPr>
          <w:spacing w:val="-14"/>
        </w:rPr>
        <w:t> </w:t>
      </w:r>
      <w:r>
        <w:rPr/>
        <w:t>deductions</w:t>
      </w:r>
      <w:r>
        <w:rPr>
          <w:spacing w:val="-14"/>
        </w:rPr>
        <w:t> </w:t>
      </w:r>
      <w:r>
        <w:rPr/>
        <w:t>from</w:t>
      </w:r>
      <w:r>
        <w:rPr>
          <w:spacing w:val="-13"/>
        </w:rPr>
        <w:t> </w:t>
      </w:r>
      <w:r>
        <w:rPr/>
        <w:t>their</w:t>
      </w:r>
      <w:r>
        <w:rPr>
          <w:spacing w:val="-14"/>
        </w:rPr>
        <w:t> </w:t>
      </w:r>
      <w:r>
        <w:rPr/>
        <w:t>grants-in-aid.</w:t>
      </w:r>
    </w:p>
    <w:p>
      <w:pPr>
        <w:pStyle w:val="BodyText"/>
        <w:spacing w:before="8"/>
      </w:pPr>
    </w:p>
    <w:p>
      <w:pPr>
        <w:pStyle w:val="BodyText"/>
        <w:spacing w:line="266" w:lineRule="auto"/>
        <w:ind w:left="1080"/>
        <w:jc w:val="both"/>
      </w:pPr>
      <w:r>
        <w:rPr>
          <w:b/>
          <w:w w:val="90"/>
        </w:rPr>
        <w:t>Philanthropic contributions: </w:t>
      </w:r>
      <w:r>
        <w:rPr>
          <w:w w:val="90"/>
        </w:rPr>
        <w:t>It is clear that we have not </w:t>
      </w:r>
      <w:r>
        <w:rPr/>
        <w:t>exploited</w:t>
      </w:r>
      <w:r>
        <w:rPr>
          <w:spacing w:val="-13"/>
        </w:rPr>
        <w:t> </w:t>
      </w:r>
      <w:r>
        <w:rPr/>
        <w:t>this</w:t>
      </w:r>
      <w:r>
        <w:rPr>
          <w:spacing w:val="-13"/>
        </w:rPr>
        <w:t> </w:t>
      </w:r>
      <w:r>
        <w:rPr/>
        <w:t>potential.</w:t>
      </w:r>
      <w:r>
        <w:rPr>
          <w:spacing w:val="-13"/>
        </w:rPr>
        <w:t> </w:t>
      </w:r>
      <w:r>
        <w:rPr/>
        <w:t>In</w:t>
      </w:r>
      <w:r>
        <w:rPr>
          <w:spacing w:val="-13"/>
        </w:rPr>
        <w:t> </w:t>
      </w:r>
      <w:r>
        <w:rPr/>
        <w:t>fact,</w:t>
      </w:r>
      <w:r>
        <w:rPr>
          <w:spacing w:val="-13"/>
        </w:rPr>
        <w:t> </w:t>
      </w:r>
      <w:r>
        <w:rPr/>
        <w:t>the</w:t>
      </w:r>
      <w:r>
        <w:rPr>
          <w:spacing w:val="-13"/>
        </w:rPr>
        <w:t> </w:t>
      </w:r>
      <w:r>
        <w:rPr/>
        <w:t>proportion</w:t>
      </w:r>
      <w:r>
        <w:rPr>
          <w:spacing w:val="-13"/>
        </w:rPr>
        <w:t> </w:t>
      </w:r>
      <w:r>
        <w:rPr/>
        <w:t>of</w:t>
      </w:r>
      <w:r>
        <w:rPr>
          <w:spacing w:val="-13"/>
        </w:rPr>
        <w:t> </w:t>
      </w:r>
      <w:r>
        <w:rPr/>
        <w:t>such contributions</w:t>
      </w:r>
      <w:r>
        <w:rPr>
          <w:spacing w:val="-13"/>
        </w:rPr>
        <w:t> </w:t>
      </w:r>
      <w:r>
        <w:rPr/>
        <w:t>in</w:t>
      </w:r>
      <w:r>
        <w:rPr>
          <w:spacing w:val="-13"/>
        </w:rPr>
        <w:t> </w:t>
      </w:r>
      <w:r>
        <w:rPr/>
        <w:t>total</w:t>
      </w:r>
      <w:r>
        <w:rPr>
          <w:spacing w:val="-13"/>
        </w:rPr>
        <w:t> </w:t>
      </w:r>
      <w:r>
        <w:rPr/>
        <w:t>expenditure</w:t>
      </w:r>
      <w:r>
        <w:rPr>
          <w:spacing w:val="-13"/>
        </w:rPr>
        <w:t> </w:t>
      </w:r>
      <w:r>
        <w:rPr/>
        <w:t>on</w:t>
      </w:r>
      <w:r>
        <w:rPr>
          <w:spacing w:val="-13"/>
        </w:rPr>
        <w:t> </w:t>
      </w:r>
      <w:r>
        <w:rPr/>
        <w:t>higher</w:t>
      </w:r>
      <w:r>
        <w:rPr>
          <w:spacing w:val="-13"/>
        </w:rPr>
        <w:t> </w:t>
      </w:r>
      <w:r>
        <w:rPr/>
        <w:t>education </w:t>
      </w:r>
      <w:r>
        <w:rPr>
          <w:spacing w:val="-4"/>
        </w:rPr>
        <w:t>has</w:t>
      </w:r>
      <w:r>
        <w:rPr>
          <w:spacing w:val="-7"/>
        </w:rPr>
        <w:t> </w:t>
      </w:r>
      <w:r>
        <w:rPr>
          <w:spacing w:val="-4"/>
        </w:rPr>
        <w:t>declined</w:t>
      </w:r>
      <w:r>
        <w:rPr>
          <w:spacing w:val="-7"/>
        </w:rPr>
        <w:t> </w:t>
      </w:r>
      <w:r>
        <w:rPr>
          <w:spacing w:val="-4"/>
        </w:rPr>
        <w:t>from</w:t>
      </w:r>
      <w:r>
        <w:rPr>
          <w:spacing w:val="-7"/>
        </w:rPr>
        <w:t> </w:t>
      </w:r>
      <w:r>
        <w:rPr>
          <w:spacing w:val="-4"/>
        </w:rPr>
        <w:t>more</w:t>
      </w:r>
      <w:r>
        <w:rPr>
          <w:spacing w:val="-7"/>
        </w:rPr>
        <w:t> </w:t>
      </w:r>
      <w:r>
        <w:rPr>
          <w:spacing w:val="-4"/>
        </w:rPr>
        <w:t>than</w:t>
      </w:r>
      <w:r>
        <w:rPr>
          <w:spacing w:val="-7"/>
        </w:rPr>
        <w:t> </w:t>
      </w:r>
      <w:r>
        <w:rPr>
          <w:spacing w:val="-4"/>
        </w:rPr>
        <w:t>12</w:t>
      </w:r>
      <w:r>
        <w:rPr>
          <w:spacing w:val="-7"/>
        </w:rPr>
        <w:t> </w:t>
      </w:r>
      <w:r>
        <w:rPr>
          <w:spacing w:val="-4"/>
        </w:rPr>
        <w:t>per</w:t>
      </w:r>
      <w:r>
        <w:rPr>
          <w:spacing w:val="-7"/>
        </w:rPr>
        <w:t> </w:t>
      </w:r>
      <w:r>
        <w:rPr>
          <w:spacing w:val="-4"/>
        </w:rPr>
        <w:t>cent</w:t>
      </w:r>
      <w:r>
        <w:rPr>
          <w:spacing w:val="-7"/>
        </w:rPr>
        <w:t> </w:t>
      </w:r>
      <w:r>
        <w:rPr>
          <w:spacing w:val="-4"/>
        </w:rPr>
        <w:t>in</w:t>
      </w:r>
      <w:r>
        <w:rPr>
          <w:spacing w:val="-7"/>
        </w:rPr>
        <w:t> </w:t>
      </w:r>
      <w:r>
        <w:rPr>
          <w:spacing w:val="-4"/>
        </w:rPr>
        <w:t>the</w:t>
      </w:r>
      <w:r>
        <w:rPr>
          <w:spacing w:val="-7"/>
        </w:rPr>
        <w:t> </w:t>
      </w:r>
      <w:r>
        <w:rPr>
          <w:spacing w:val="-4"/>
        </w:rPr>
        <w:t>1950s</w:t>
      </w:r>
      <w:r>
        <w:rPr>
          <w:spacing w:val="-7"/>
        </w:rPr>
        <w:t> </w:t>
      </w:r>
      <w:r>
        <w:rPr>
          <w:spacing w:val="-4"/>
        </w:rPr>
        <w:t>to </w:t>
      </w:r>
      <w:r>
        <w:rPr/>
        <w:t>less</w:t>
      </w:r>
      <w:r>
        <w:rPr>
          <w:spacing w:val="-8"/>
        </w:rPr>
        <w:t> </w:t>
      </w:r>
      <w:r>
        <w:rPr/>
        <w:t>than</w:t>
      </w:r>
      <w:r>
        <w:rPr>
          <w:spacing w:val="-8"/>
        </w:rPr>
        <w:t> </w:t>
      </w:r>
      <w:r>
        <w:rPr/>
        <w:t>3</w:t>
      </w:r>
      <w:r>
        <w:rPr>
          <w:spacing w:val="-8"/>
        </w:rPr>
        <w:t> </w:t>
      </w:r>
      <w:r>
        <w:rPr/>
        <w:t>per</w:t>
      </w:r>
      <w:r>
        <w:rPr>
          <w:spacing w:val="-8"/>
        </w:rPr>
        <w:t> </w:t>
      </w:r>
      <w:r>
        <w:rPr/>
        <w:t>cent</w:t>
      </w:r>
      <w:r>
        <w:rPr>
          <w:spacing w:val="-8"/>
        </w:rPr>
        <w:t> </w:t>
      </w:r>
      <w:r>
        <w:rPr/>
        <w:t>in</w:t>
      </w:r>
      <w:r>
        <w:rPr>
          <w:spacing w:val="-8"/>
        </w:rPr>
        <w:t> </w:t>
      </w:r>
      <w:r>
        <w:rPr/>
        <w:t>the</w:t>
      </w:r>
      <w:r>
        <w:rPr>
          <w:spacing w:val="-8"/>
        </w:rPr>
        <w:t> </w:t>
      </w:r>
      <w:r>
        <w:rPr/>
        <w:t>1990s.</w:t>
      </w:r>
      <w:r>
        <w:rPr>
          <w:spacing w:val="-8"/>
        </w:rPr>
        <w:t> </w:t>
      </w:r>
      <w:r>
        <w:rPr/>
        <w:t>It</w:t>
      </w:r>
      <w:r>
        <w:rPr>
          <w:spacing w:val="-8"/>
        </w:rPr>
        <w:t> </w:t>
      </w:r>
      <w:r>
        <w:rPr/>
        <w:t>should</w:t>
      </w:r>
      <w:r>
        <w:rPr>
          <w:spacing w:val="-8"/>
        </w:rPr>
        <w:t> </w:t>
      </w:r>
      <w:r>
        <w:rPr/>
        <w:t>be</w:t>
      </w:r>
      <w:r>
        <w:rPr>
          <w:spacing w:val="-8"/>
        </w:rPr>
        <w:t> </w:t>
      </w:r>
      <w:r>
        <w:rPr/>
        <w:t>possible to nurture this tradition of philanthropy through changes</w:t>
      </w:r>
      <w:r>
        <w:rPr>
          <w:spacing w:val="-1"/>
        </w:rPr>
        <w:t> </w:t>
      </w:r>
      <w:r>
        <w:rPr/>
        <w:t>in</w:t>
      </w:r>
      <w:r>
        <w:rPr>
          <w:spacing w:val="-1"/>
        </w:rPr>
        <w:t> </w:t>
      </w:r>
      <w:r>
        <w:rPr/>
        <w:t>incentives</w:t>
      </w:r>
      <w:r>
        <w:rPr>
          <w:spacing w:val="-1"/>
        </w:rPr>
        <w:t> </w:t>
      </w:r>
      <w:r>
        <w:rPr/>
        <w:t>for</w:t>
      </w:r>
      <w:r>
        <w:rPr>
          <w:spacing w:val="-1"/>
        </w:rPr>
        <w:t> </w:t>
      </w:r>
      <w:r>
        <w:rPr/>
        <w:t>universities</w:t>
      </w:r>
      <w:r>
        <w:rPr>
          <w:spacing w:val="-1"/>
        </w:rPr>
        <w:t> </w:t>
      </w:r>
      <w:r>
        <w:rPr/>
        <w:t>and</w:t>
      </w:r>
      <w:r>
        <w:rPr>
          <w:spacing w:val="-1"/>
        </w:rPr>
        <w:t> </w:t>
      </w:r>
      <w:r>
        <w:rPr/>
        <w:t>for</w:t>
      </w:r>
      <w:r>
        <w:rPr>
          <w:spacing w:val="-1"/>
        </w:rPr>
        <w:t> </w:t>
      </w:r>
      <w:r>
        <w:rPr/>
        <w:t>donors. In</w:t>
      </w:r>
      <w:r>
        <w:rPr>
          <w:spacing w:val="-14"/>
        </w:rPr>
        <w:t> </w:t>
      </w:r>
      <w:r>
        <w:rPr/>
        <w:t>the</w:t>
      </w:r>
      <w:r>
        <w:rPr>
          <w:spacing w:val="-14"/>
        </w:rPr>
        <w:t> </w:t>
      </w:r>
      <w:r>
        <w:rPr/>
        <w:t>present</w:t>
      </w:r>
      <w:r>
        <w:rPr>
          <w:spacing w:val="-14"/>
        </w:rPr>
        <w:t> </w:t>
      </w:r>
      <w:r>
        <w:rPr/>
        <w:t>system,</w:t>
      </w:r>
      <w:r>
        <w:rPr>
          <w:spacing w:val="-13"/>
        </w:rPr>
        <w:t> </w:t>
      </w:r>
      <w:r>
        <w:rPr/>
        <w:t>there</w:t>
      </w:r>
      <w:r>
        <w:rPr>
          <w:spacing w:val="-14"/>
        </w:rPr>
        <w:t> </w:t>
      </w:r>
      <w:r>
        <w:rPr/>
        <w:t>is</w:t>
      </w:r>
      <w:r>
        <w:rPr>
          <w:spacing w:val="-14"/>
        </w:rPr>
        <w:t> </w:t>
      </w:r>
      <w:r>
        <w:rPr/>
        <w:t>an</w:t>
      </w:r>
      <w:r>
        <w:rPr>
          <w:spacing w:val="-14"/>
        </w:rPr>
        <w:t> </w:t>
      </w:r>
      <w:r>
        <w:rPr/>
        <w:t>explicit</w:t>
      </w:r>
      <w:r>
        <w:rPr>
          <w:spacing w:val="-13"/>
        </w:rPr>
        <w:t> </w:t>
      </w:r>
      <w:r>
        <w:rPr/>
        <w:t>disincentive. </w:t>
      </w:r>
      <w:r>
        <w:rPr>
          <w:spacing w:val="-2"/>
        </w:rPr>
        <w:t>If</w:t>
      </w:r>
      <w:r>
        <w:rPr>
          <w:spacing w:val="-12"/>
        </w:rPr>
        <w:t> </w:t>
      </w:r>
      <w:r>
        <w:rPr>
          <w:spacing w:val="-2"/>
        </w:rPr>
        <w:t>universities</w:t>
      </w:r>
      <w:r>
        <w:rPr>
          <w:spacing w:val="-12"/>
        </w:rPr>
        <w:t> </w:t>
      </w:r>
      <w:r>
        <w:rPr>
          <w:spacing w:val="-2"/>
        </w:rPr>
        <w:t>mobilise</w:t>
      </w:r>
      <w:r>
        <w:rPr>
          <w:spacing w:val="-11"/>
        </w:rPr>
        <w:t> </w:t>
      </w:r>
      <w:r>
        <w:rPr>
          <w:spacing w:val="-2"/>
        </w:rPr>
        <w:t>resources</w:t>
      </w:r>
      <w:r>
        <w:rPr>
          <w:spacing w:val="-12"/>
        </w:rPr>
        <w:t> </w:t>
      </w:r>
      <w:r>
        <w:rPr>
          <w:spacing w:val="-2"/>
        </w:rPr>
        <w:t>from</w:t>
      </w:r>
      <w:r>
        <w:rPr>
          <w:spacing w:val="-12"/>
        </w:rPr>
        <w:t> </w:t>
      </w:r>
      <w:r>
        <w:rPr>
          <w:spacing w:val="-2"/>
        </w:rPr>
        <w:t>elsewhere,</w:t>
      </w:r>
      <w:r>
        <w:rPr>
          <w:spacing w:val="-11"/>
        </w:rPr>
        <w:t> </w:t>
      </w:r>
      <w:r>
        <w:rPr>
          <w:spacing w:val="-2"/>
        </w:rPr>
        <w:t>they </w:t>
      </w:r>
      <w:r>
        <w:rPr/>
        <w:t>are in effect penalised through a matching deduction in</w:t>
      </w:r>
      <w:r>
        <w:rPr>
          <w:spacing w:val="-14"/>
        </w:rPr>
        <w:t> </w:t>
      </w:r>
      <w:r>
        <w:rPr/>
        <w:t>their</w:t>
      </w:r>
      <w:r>
        <w:rPr>
          <w:spacing w:val="-14"/>
        </w:rPr>
        <w:t> </w:t>
      </w:r>
      <w:r>
        <w:rPr/>
        <w:t>grant-in-aid.</w:t>
      </w:r>
      <w:r>
        <w:rPr>
          <w:spacing w:val="-14"/>
        </w:rPr>
        <w:t> </w:t>
      </w:r>
      <w:r>
        <w:rPr/>
        <w:t>What</w:t>
      </w:r>
      <w:r>
        <w:rPr>
          <w:spacing w:val="-13"/>
        </w:rPr>
        <w:t> </w:t>
      </w:r>
      <w:r>
        <w:rPr/>
        <w:t>we</w:t>
      </w:r>
      <w:r>
        <w:rPr>
          <w:spacing w:val="-14"/>
        </w:rPr>
        <w:t> </w:t>
      </w:r>
      <w:r>
        <w:rPr/>
        <w:t>need</w:t>
      </w:r>
      <w:r>
        <w:rPr>
          <w:spacing w:val="-14"/>
        </w:rPr>
        <w:t> </w:t>
      </w:r>
      <w:r>
        <w:rPr/>
        <w:t>to</w:t>
      </w:r>
      <w:r>
        <w:rPr>
          <w:spacing w:val="-14"/>
        </w:rPr>
        <w:t> </w:t>
      </w:r>
      <w:r>
        <w:rPr/>
        <w:t>do</w:t>
      </w:r>
      <w:r>
        <w:rPr>
          <w:spacing w:val="-13"/>
        </w:rPr>
        <w:t> </w:t>
      </w:r>
      <w:r>
        <w:rPr/>
        <w:t>is</w:t>
      </w:r>
      <w:r>
        <w:rPr>
          <w:spacing w:val="-14"/>
        </w:rPr>
        <w:t> </w:t>
      </w:r>
      <w:r>
        <w:rPr/>
        <w:t>exactly</w:t>
      </w:r>
      <w:r>
        <w:rPr>
          <w:spacing w:val="-14"/>
        </w:rPr>
        <w:t> </w:t>
      </w:r>
      <w:r>
        <w:rPr/>
        <w:t>the </w:t>
      </w:r>
      <w:r>
        <w:rPr>
          <w:spacing w:val="-6"/>
        </w:rPr>
        <w:t>opposite. Universities which mobilise resources through </w:t>
      </w:r>
      <w:r>
        <w:rPr>
          <w:spacing w:val="-4"/>
        </w:rPr>
        <w:t>contributions</w:t>
      </w:r>
      <w:r>
        <w:rPr>
          <w:spacing w:val="-10"/>
        </w:rPr>
        <w:t> </w:t>
      </w:r>
      <w:r>
        <w:rPr>
          <w:spacing w:val="-4"/>
        </w:rPr>
        <w:t>should</w:t>
      </w:r>
      <w:r>
        <w:rPr>
          <w:spacing w:val="-10"/>
        </w:rPr>
        <w:t> </w:t>
      </w:r>
      <w:r>
        <w:rPr>
          <w:spacing w:val="-4"/>
        </w:rPr>
        <w:t>be</w:t>
      </w:r>
      <w:r>
        <w:rPr>
          <w:spacing w:val="-10"/>
        </w:rPr>
        <w:t> </w:t>
      </w:r>
      <w:r>
        <w:rPr>
          <w:spacing w:val="-4"/>
        </w:rPr>
        <w:t>rewarded</w:t>
      </w:r>
      <w:r>
        <w:rPr>
          <w:spacing w:val="-9"/>
        </w:rPr>
        <w:t> </w:t>
      </w:r>
      <w:r>
        <w:rPr>
          <w:spacing w:val="-4"/>
        </w:rPr>
        <w:t>with</w:t>
      </w:r>
      <w:r>
        <w:rPr>
          <w:spacing w:val="-10"/>
        </w:rPr>
        <w:t> </w:t>
      </w:r>
      <w:r>
        <w:rPr>
          <w:spacing w:val="-4"/>
        </w:rPr>
        <w:t>matching</w:t>
      </w:r>
      <w:r>
        <w:rPr>
          <w:spacing w:val="-10"/>
        </w:rPr>
        <w:t> </w:t>
      </w:r>
      <w:r>
        <w:rPr>
          <w:spacing w:val="-4"/>
        </w:rPr>
        <w:t>grants- </w:t>
      </w:r>
      <w:r>
        <w:rPr>
          <w:spacing w:val="-6"/>
        </w:rPr>
        <w:t>in-aid.</w:t>
      </w:r>
      <w:r>
        <w:rPr>
          <w:spacing w:val="-8"/>
        </w:rPr>
        <w:t> </w:t>
      </w:r>
      <w:r>
        <w:rPr>
          <w:spacing w:val="-6"/>
        </w:rPr>
        <w:t>At</w:t>
      </w:r>
      <w:r>
        <w:rPr>
          <w:spacing w:val="-8"/>
        </w:rPr>
        <w:t> </w:t>
      </w:r>
      <w:r>
        <w:rPr>
          <w:spacing w:val="-6"/>
        </w:rPr>
        <w:t>present,</w:t>
      </w:r>
      <w:r>
        <w:rPr>
          <w:spacing w:val="-8"/>
        </w:rPr>
        <w:t> </w:t>
      </w:r>
      <w:r>
        <w:rPr>
          <w:spacing w:val="-6"/>
        </w:rPr>
        <w:t>there</w:t>
      </w:r>
      <w:r>
        <w:rPr>
          <w:spacing w:val="-7"/>
        </w:rPr>
        <w:t> </w:t>
      </w:r>
      <w:r>
        <w:rPr>
          <w:spacing w:val="-6"/>
        </w:rPr>
        <w:t>is</w:t>
      </w:r>
      <w:r>
        <w:rPr>
          <w:spacing w:val="-8"/>
        </w:rPr>
        <w:t> </w:t>
      </w:r>
      <w:r>
        <w:rPr>
          <w:spacing w:val="-6"/>
        </w:rPr>
        <w:t>also</w:t>
      </w:r>
      <w:r>
        <w:rPr>
          <w:spacing w:val="-8"/>
        </w:rPr>
        <w:t> </w:t>
      </w:r>
      <w:r>
        <w:rPr>
          <w:spacing w:val="-6"/>
        </w:rPr>
        <w:t>an</w:t>
      </w:r>
      <w:r>
        <w:rPr>
          <w:spacing w:val="-8"/>
        </w:rPr>
        <w:t> </w:t>
      </w:r>
      <w:r>
        <w:rPr>
          <w:spacing w:val="-6"/>
        </w:rPr>
        <w:t>implicit</w:t>
      </w:r>
      <w:r>
        <w:rPr>
          <w:spacing w:val="-7"/>
        </w:rPr>
        <w:t> </w:t>
      </w:r>
      <w:r>
        <w:rPr>
          <w:spacing w:val="-6"/>
        </w:rPr>
        <w:t>disincentive</w:t>
      </w:r>
      <w:r>
        <w:rPr>
          <w:spacing w:val="-8"/>
        </w:rPr>
        <w:t> </w:t>
      </w:r>
      <w:r>
        <w:rPr>
          <w:spacing w:val="-6"/>
        </w:rPr>
        <w:t>in both</w:t>
      </w:r>
      <w:r>
        <w:rPr>
          <w:spacing w:val="-10"/>
        </w:rPr>
        <w:t> </w:t>
      </w:r>
      <w:r>
        <w:rPr>
          <w:spacing w:val="-6"/>
        </w:rPr>
        <w:t>lax</w:t>
      </w:r>
      <w:r>
        <w:rPr>
          <w:spacing w:val="-8"/>
        </w:rPr>
        <w:t> </w:t>
      </w:r>
      <w:r>
        <w:rPr>
          <w:spacing w:val="-6"/>
        </w:rPr>
        <w:t>laws</w:t>
      </w:r>
      <w:r>
        <w:rPr>
          <w:spacing w:val="-8"/>
        </w:rPr>
        <w:t> </w:t>
      </w:r>
      <w:r>
        <w:rPr>
          <w:spacing w:val="-6"/>
        </w:rPr>
        <w:t>and</w:t>
      </w:r>
      <w:r>
        <w:rPr>
          <w:spacing w:val="-7"/>
        </w:rPr>
        <w:t> </w:t>
      </w:r>
      <w:r>
        <w:rPr>
          <w:spacing w:val="-6"/>
        </w:rPr>
        <w:t>trust</w:t>
      </w:r>
      <w:r>
        <w:rPr>
          <w:spacing w:val="-8"/>
        </w:rPr>
        <w:t> </w:t>
      </w:r>
      <w:r>
        <w:rPr>
          <w:spacing w:val="-6"/>
        </w:rPr>
        <w:t>laws.</w:t>
      </w:r>
      <w:r>
        <w:rPr>
          <w:spacing w:val="-8"/>
        </w:rPr>
        <w:t> </w:t>
      </w:r>
      <w:r>
        <w:rPr>
          <w:spacing w:val="-6"/>
        </w:rPr>
        <w:t>Endowments</w:t>
      </w:r>
      <w:r>
        <w:rPr>
          <w:spacing w:val="-8"/>
        </w:rPr>
        <w:t> </w:t>
      </w:r>
      <w:r>
        <w:rPr>
          <w:spacing w:val="-6"/>
        </w:rPr>
        <w:t>of</w:t>
      </w:r>
      <w:r>
        <w:rPr>
          <w:spacing w:val="-7"/>
        </w:rPr>
        <w:t> </w:t>
      </w:r>
      <w:r>
        <w:rPr>
          <w:spacing w:val="-6"/>
        </w:rPr>
        <w:t>universities </w:t>
      </w:r>
      <w:r>
        <w:rPr>
          <w:spacing w:val="-4"/>
        </w:rPr>
        <w:t>can</w:t>
      </w:r>
      <w:r>
        <w:rPr>
          <w:spacing w:val="-7"/>
        </w:rPr>
        <w:t> </w:t>
      </w:r>
      <w:r>
        <w:rPr>
          <w:spacing w:val="-4"/>
        </w:rPr>
        <w:t>only</w:t>
      </w:r>
      <w:r>
        <w:rPr>
          <w:spacing w:val="-7"/>
        </w:rPr>
        <w:t> </w:t>
      </w:r>
      <w:r>
        <w:rPr>
          <w:spacing w:val="-4"/>
        </w:rPr>
        <w:t>be</w:t>
      </w:r>
      <w:r>
        <w:rPr>
          <w:spacing w:val="-7"/>
        </w:rPr>
        <w:t> </w:t>
      </w:r>
      <w:r>
        <w:rPr>
          <w:spacing w:val="-4"/>
        </w:rPr>
        <w:t>placed</w:t>
      </w:r>
      <w:r>
        <w:rPr>
          <w:spacing w:val="-7"/>
        </w:rPr>
        <w:t> </w:t>
      </w:r>
      <w:r>
        <w:rPr>
          <w:spacing w:val="-4"/>
        </w:rPr>
        <w:t>in</w:t>
      </w:r>
      <w:r>
        <w:rPr>
          <w:spacing w:val="-7"/>
        </w:rPr>
        <w:t> </w:t>
      </w:r>
      <w:r>
        <w:rPr>
          <w:spacing w:val="-4"/>
        </w:rPr>
        <w:t>specified</w:t>
      </w:r>
      <w:r>
        <w:rPr>
          <w:spacing w:val="-7"/>
        </w:rPr>
        <w:t> </w:t>
      </w:r>
      <w:r>
        <w:rPr>
          <w:spacing w:val="-4"/>
        </w:rPr>
        <w:t>securities</w:t>
      </w:r>
      <w:r>
        <w:rPr>
          <w:spacing w:val="-7"/>
        </w:rPr>
        <w:t> </w:t>
      </w:r>
      <w:r>
        <w:rPr>
          <w:spacing w:val="-4"/>
        </w:rPr>
        <w:t>where</w:t>
      </w:r>
      <w:r>
        <w:rPr>
          <w:spacing w:val="-7"/>
        </w:rPr>
        <w:t> </w:t>
      </w:r>
      <w:r>
        <w:rPr>
          <w:spacing w:val="-4"/>
        </w:rPr>
        <w:t>rates</w:t>
      </w:r>
      <w:r>
        <w:rPr>
          <w:spacing w:val="-7"/>
        </w:rPr>
        <w:t> </w:t>
      </w:r>
      <w:r>
        <w:rPr>
          <w:spacing w:val="-4"/>
        </w:rPr>
        <w:t>of return</w:t>
      </w:r>
      <w:r>
        <w:rPr>
          <w:spacing w:val="-10"/>
        </w:rPr>
        <w:t> </w:t>
      </w:r>
      <w:r>
        <w:rPr>
          <w:spacing w:val="-4"/>
        </w:rPr>
        <w:t>are</w:t>
      </w:r>
      <w:r>
        <w:rPr>
          <w:spacing w:val="-10"/>
        </w:rPr>
        <w:t> </w:t>
      </w:r>
      <w:r>
        <w:rPr>
          <w:spacing w:val="-4"/>
        </w:rPr>
        <w:t>low</w:t>
      </w:r>
      <w:r>
        <w:rPr>
          <w:spacing w:val="-10"/>
        </w:rPr>
        <w:t> </w:t>
      </w:r>
      <w:r>
        <w:rPr>
          <w:spacing w:val="-4"/>
        </w:rPr>
        <w:t>and</w:t>
      </w:r>
      <w:r>
        <w:rPr>
          <w:spacing w:val="-9"/>
        </w:rPr>
        <w:t> </w:t>
      </w:r>
      <w:r>
        <w:rPr>
          <w:spacing w:val="-4"/>
        </w:rPr>
        <w:t>barely</w:t>
      </w:r>
      <w:r>
        <w:rPr>
          <w:spacing w:val="-10"/>
        </w:rPr>
        <w:t> </w:t>
      </w:r>
      <w:r>
        <w:rPr>
          <w:spacing w:val="-4"/>
        </w:rPr>
        <w:t>keep</w:t>
      </w:r>
      <w:r>
        <w:rPr>
          <w:spacing w:val="-10"/>
        </w:rPr>
        <w:t> </w:t>
      </w:r>
      <w:r>
        <w:rPr>
          <w:spacing w:val="-4"/>
        </w:rPr>
        <w:t>up</w:t>
      </w:r>
      <w:r>
        <w:rPr>
          <w:spacing w:val="-10"/>
        </w:rPr>
        <w:t> </w:t>
      </w:r>
      <w:r>
        <w:rPr>
          <w:spacing w:val="-4"/>
        </w:rPr>
        <w:t>with</w:t>
      </w:r>
      <w:r>
        <w:rPr>
          <w:spacing w:val="-9"/>
        </w:rPr>
        <w:t> </w:t>
      </w:r>
      <w:r>
        <w:rPr>
          <w:spacing w:val="-4"/>
        </w:rPr>
        <w:t>rates</w:t>
      </w:r>
      <w:r>
        <w:rPr>
          <w:spacing w:val="-10"/>
        </w:rPr>
        <w:t> </w:t>
      </w:r>
      <w:r>
        <w:rPr>
          <w:spacing w:val="-4"/>
        </w:rPr>
        <w:t>of</w:t>
      </w:r>
      <w:r>
        <w:rPr>
          <w:spacing w:val="-10"/>
        </w:rPr>
        <w:t> </w:t>
      </w:r>
      <w:r>
        <w:rPr>
          <w:spacing w:val="-4"/>
        </w:rPr>
        <w:t>inflation. </w:t>
      </w:r>
      <w:r>
        <w:rPr/>
        <w:t>What is more, trusts must spend 85 per cent of the income</w:t>
      </w:r>
      <w:r>
        <w:rPr>
          <w:spacing w:val="-9"/>
        </w:rPr>
        <w:t> </w:t>
      </w:r>
      <w:r>
        <w:rPr/>
        <w:t>stream</w:t>
      </w:r>
      <w:r>
        <w:rPr>
          <w:spacing w:val="-9"/>
        </w:rPr>
        <w:t> </w:t>
      </w:r>
      <w:r>
        <w:rPr/>
        <w:t>from</w:t>
      </w:r>
      <w:r>
        <w:rPr>
          <w:spacing w:val="-9"/>
        </w:rPr>
        <w:t> </w:t>
      </w:r>
      <w:r>
        <w:rPr/>
        <w:t>the</w:t>
      </w:r>
      <w:r>
        <w:rPr>
          <w:spacing w:val="-9"/>
        </w:rPr>
        <w:t> </w:t>
      </w:r>
      <w:r>
        <w:rPr/>
        <w:t>endowment</w:t>
      </w:r>
      <w:r>
        <w:rPr>
          <w:spacing w:val="-9"/>
        </w:rPr>
        <w:t> </w:t>
      </w:r>
      <w:r>
        <w:rPr/>
        <w:t>in</w:t>
      </w:r>
      <w:r>
        <w:rPr>
          <w:spacing w:val="-9"/>
        </w:rPr>
        <w:t> </w:t>
      </w:r>
      <w:r>
        <w:rPr/>
        <w:t>the</w:t>
      </w:r>
      <w:r>
        <w:rPr>
          <w:spacing w:val="-9"/>
        </w:rPr>
        <w:t> </w:t>
      </w:r>
      <w:r>
        <w:rPr/>
        <w:t>same</w:t>
      </w:r>
      <w:r>
        <w:rPr>
          <w:spacing w:val="-9"/>
        </w:rPr>
        <w:t> </w:t>
      </w:r>
      <w:r>
        <w:rPr/>
        <w:t>year, so that only 15 per cent of the income stream can be used to build up the corpus in the endowment.</w:t>
      </w:r>
      <w:r>
        <w:rPr>
          <w:spacing w:val="-7"/>
        </w:rPr>
        <w:t> </w:t>
      </w:r>
      <w:r>
        <w:rPr/>
        <w:t>These </w:t>
      </w:r>
      <w:r>
        <w:rPr>
          <w:spacing w:val="-6"/>
        </w:rPr>
        <w:t>laws should be changed so that universities can invest in </w:t>
      </w:r>
      <w:r>
        <w:rPr>
          <w:spacing w:val="-4"/>
        </w:rPr>
        <w:t>financial</w:t>
      </w:r>
      <w:r>
        <w:rPr>
          <w:spacing w:val="-12"/>
        </w:rPr>
        <w:t> </w:t>
      </w:r>
      <w:r>
        <w:rPr>
          <w:spacing w:val="-4"/>
        </w:rPr>
        <w:t>instruments</w:t>
      </w:r>
      <w:r>
        <w:rPr>
          <w:spacing w:val="-10"/>
        </w:rPr>
        <w:t> </w:t>
      </w:r>
      <w:r>
        <w:rPr>
          <w:spacing w:val="-4"/>
        </w:rPr>
        <w:t>of</w:t>
      </w:r>
      <w:r>
        <w:rPr>
          <w:spacing w:val="-10"/>
        </w:rPr>
        <w:t> </w:t>
      </w:r>
      <w:r>
        <w:rPr>
          <w:spacing w:val="-4"/>
        </w:rPr>
        <w:t>their</w:t>
      </w:r>
      <w:r>
        <w:rPr>
          <w:spacing w:val="-9"/>
        </w:rPr>
        <w:t> </w:t>
      </w:r>
      <w:r>
        <w:rPr>
          <w:spacing w:val="-4"/>
        </w:rPr>
        <w:t>choice</w:t>
      </w:r>
      <w:r>
        <w:rPr>
          <w:spacing w:val="-10"/>
        </w:rPr>
        <w:t> </w:t>
      </w:r>
      <w:r>
        <w:rPr>
          <w:spacing w:val="-4"/>
        </w:rPr>
        <w:t>and</w:t>
      </w:r>
      <w:r>
        <w:rPr>
          <w:spacing w:val="-10"/>
        </w:rPr>
        <w:t> </w:t>
      </w:r>
      <w:r>
        <w:rPr>
          <w:spacing w:val="-4"/>
        </w:rPr>
        <w:t>use</w:t>
      </w:r>
      <w:r>
        <w:rPr>
          <w:spacing w:val="-10"/>
        </w:rPr>
        <w:t> </w:t>
      </w:r>
      <w:r>
        <w:rPr>
          <w:spacing w:val="-4"/>
        </w:rPr>
        <w:t>the</w:t>
      </w:r>
      <w:r>
        <w:rPr>
          <w:spacing w:val="-9"/>
        </w:rPr>
        <w:t> </w:t>
      </w:r>
      <w:r>
        <w:rPr>
          <w:spacing w:val="-4"/>
        </w:rPr>
        <w:t>income </w:t>
      </w:r>
      <w:r>
        <w:rPr/>
        <w:t>from their endowments to build up a corpus.</w:t>
      </w:r>
    </w:p>
    <w:p>
      <w:pPr>
        <w:pStyle w:val="BodyText"/>
        <w:spacing w:before="7"/>
      </w:pPr>
    </w:p>
    <w:p>
      <w:pPr>
        <w:pStyle w:val="BodyText"/>
        <w:spacing w:line="266" w:lineRule="auto" w:before="1"/>
        <w:ind w:left="1080"/>
        <w:jc w:val="both"/>
      </w:pPr>
      <w:r>
        <w:rPr>
          <w:b/>
        </w:rPr>
        <w:t>Other sources: </w:t>
      </w:r>
      <w:r>
        <w:rPr/>
        <w:t>Obviously, universities must not </w:t>
      </w:r>
      <w:r>
        <w:rPr/>
        <w:t>be </w:t>
      </w:r>
      <w:r>
        <w:rPr>
          <w:spacing w:val="-2"/>
        </w:rPr>
        <w:t>driven</w:t>
      </w:r>
      <w:r>
        <w:rPr>
          <w:spacing w:val="4"/>
        </w:rPr>
        <w:t> </w:t>
      </w:r>
      <w:r>
        <w:rPr>
          <w:spacing w:val="-2"/>
        </w:rPr>
        <w:t>by</w:t>
      </w:r>
      <w:r>
        <w:rPr>
          <w:spacing w:val="4"/>
        </w:rPr>
        <w:t> </w:t>
      </w:r>
      <w:r>
        <w:rPr>
          <w:spacing w:val="-2"/>
        </w:rPr>
        <w:t>commercial</w:t>
      </w:r>
      <w:r>
        <w:rPr>
          <w:spacing w:val="4"/>
        </w:rPr>
        <w:t> </w:t>
      </w:r>
      <w:r>
        <w:rPr>
          <w:spacing w:val="-2"/>
        </w:rPr>
        <w:t>considerations.</w:t>
      </w:r>
      <w:r>
        <w:rPr>
          <w:spacing w:val="4"/>
        </w:rPr>
        <w:t> </w:t>
      </w:r>
      <w:r>
        <w:rPr>
          <w:spacing w:val="-2"/>
        </w:rPr>
        <w:t>But</w:t>
      </w:r>
      <w:r>
        <w:rPr>
          <w:spacing w:val="4"/>
        </w:rPr>
        <w:t> </w:t>
      </w:r>
      <w:r>
        <w:rPr>
          <w:spacing w:val="-2"/>
        </w:rPr>
        <w:t>it</w:t>
      </w:r>
      <w:r>
        <w:rPr>
          <w:spacing w:val="4"/>
        </w:rPr>
        <w:t> </w:t>
      </w:r>
      <w:r>
        <w:rPr>
          <w:spacing w:val="-2"/>
        </w:rPr>
        <w:t>would</w:t>
      </w:r>
      <w:r>
        <w:rPr>
          <w:spacing w:val="4"/>
        </w:rPr>
        <w:t> </w:t>
      </w:r>
      <w:r>
        <w:rPr>
          <w:spacing w:val="-5"/>
        </w:rPr>
        <w:t>be</w:t>
      </w:r>
    </w:p>
    <w:p>
      <w:pPr>
        <w:pStyle w:val="BodyText"/>
        <w:spacing w:line="266" w:lineRule="auto" w:before="57"/>
        <w:ind w:left="319" w:right="1077"/>
        <w:jc w:val="both"/>
      </w:pPr>
      <w:r>
        <w:rPr/>
        <w:br w:type="column"/>
      </w:r>
      <w:r>
        <w:rPr/>
        <w:t>both prudent and wise to tap other sources such </w:t>
      </w:r>
      <w:r>
        <w:rPr/>
        <w:t>as </w:t>
      </w:r>
      <w:r>
        <w:rPr>
          <w:spacing w:val="-6"/>
        </w:rPr>
        <w:t>alumni contributions, licensing fees, or user charges (for </w:t>
      </w:r>
      <w:r>
        <w:rPr/>
        <w:t>facilities</w:t>
      </w:r>
      <w:r>
        <w:rPr>
          <w:spacing w:val="-10"/>
        </w:rPr>
        <w:t> </w:t>
      </w:r>
      <w:r>
        <w:rPr/>
        <w:t>in</w:t>
      </w:r>
      <w:r>
        <w:rPr>
          <w:spacing w:val="-10"/>
        </w:rPr>
        <w:t> </w:t>
      </w:r>
      <w:r>
        <w:rPr/>
        <w:t>universities</w:t>
      </w:r>
      <w:r>
        <w:rPr>
          <w:spacing w:val="-10"/>
        </w:rPr>
        <w:t> </w:t>
      </w:r>
      <w:r>
        <w:rPr/>
        <w:t>used</w:t>
      </w:r>
      <w:r>
        <w:rPr>
          <w:spacing w:val="-10"/>
        </w:rPr>
        <w:t> </w:t>
      </w:r>
      <w:r>
        <w:rPr/>
        <w:t>by</w:t>
      </w:r>
      <w:r>
        <w:rPr>
          <w:spacing w:val="-10"/>
        </w:rPr>
        <w:t> </w:t>
      </w:r>
      <w:r>
        <w:rPr/>
        <w:t>people</w:t>
      </w:r>
      <w:r>
        <w:rPr>
          <w:spacing w:val="-10"/>
        </w:rPr>
        <w:t> </w:t>
      </w:r>
      <w:r>
        <w:rPr/>
        <w:t>from</w:t>
      </w:r>
      <w:r>
        <w:rPr>
          <w:spacing w:val="-10"/>
        </w:rPr>
        <w:t> </w:t>
      </w:r>
      <w:r>
        <w:rPr/>
        <w:t>outside). </w:t>
      </w:r>
      <w:r>
        <w:rPr>
          <w:spacing w:val="-2"/>
        </w:rPr>
        <w:t>We</w:t>
      </w:r>
      <w:r>
        <w:rPr>
          <w:spacing w:val="-11"/>
        </w:rPr>
        <w:t> </w:t>
      </w:r>
      <w:r>
        <w:rPr>
          <w:spacing w:val="-2"/>
        </w:rPr>
        <w:t>need</w:t>
      </w:r>
      <w:r>
        <w:rPr>
          <w:spacing w:val="-11"/>
        </w:rPr>
        <w:t> </w:t>
      </w:r>
      <w:r>
        <w:rPr>
          <w:spacing w:val="-2"/>
        </w:rPr>
        <w:t>to</w:t>
      </w:r>
      <w:r>
        <w:rPr>
          <w:spacing w:val="-11"/>
        </w:rPr>
        <w:t> </w:t>
      </w:r>
      <w:r>
        <w:rPr>
          <w:spacing w:val="-2"/>
        </w:rPr>
        <w:t>create</w:t>
      </w:r>
      <w:r>
        <w:rPr>
          <w:spacing w:val="-11"/>
        </w:rPr>
        <w:t> </w:t>
      </w:r>
      <w:r>
        <w:rPr>
          <w:spacing w:val="-2"/>
        </w:rPr>
        <w:t>supportive</w:t>
      </w:r>
      <w:r>
        <w:rPr>
          <w:spacing w:val="-11"/>
        </w:rPr>
        <w:t> </w:t>
      </w:r>
      <w:r>
        <w:rPr>
          <w:spacing w:val="-2"/>
        </w:rPr>
        <w:t>institutional</w:t>
      </w:r>
      <w:r>
        <w:rPr>
          <w:spacing w:val="-11"/>
        </w:rPr>
        <w:t> </w:t>
      </w:r>
      <w:r>
        <w:rPr>
          <w:spacing w:val="-2"/>
        </w:rPr>
        <w:t>mechanisms that</w:t>
      </w:r>
      <w:r>
        <w:rPr>
          <w:spacing w:val="-8"/>
        </w:rPr>
        <w:t> </w:t>
      </w:r>
      <w:r>
        <w:rPr>
          <w:spacing w:val="-2"/>
        </w:rPr>
        <w:t>allow</w:t>
      </w:r>
      <w:r>
        <w:rPr>
          <w:spacing w:val="-8"/>
        </w:rPr>
        <w:t> </w:t>
      </w:r>
      <w:r>
        <w:rPr>
          <w:spacing w:val="-2"/>
        </w:rPr>
        <w:t>universities</w:t>
      </w:r>
      <w:r>
        <w:rPr>
          <w:spacing w:val="-8"/>
        </w:rPr>
        <w:t> </w:t>
      </w:r>
      <w:r>
        <w:rPr>
          <w:spacing w:val="-2"/>
        </w:rPr>
        <w:t>to</w:t>
      </w:r>
      <w:r>
        <w:rPr>
          <w:spacing w:val="-8"/>
        </w:rPr>
        <w:t> </w:t>
      </w:r>
      <w:r>
        <w:rPr>
          <w:spacing w:val="-2"/>
        </w:rPr>
        <w:t>engage</w:t>
      </w:r>
      <w:r>
        <w:rPr>
          <w:spacing w:val="-8"/>
        </w:rPr>
        <w:t> </w:t>
      </w:r>
      <w:r>
        <w:rPr>
          <w:spacing w:val="-2"/>
        </w:rPr>
        <w:t>professional</w:t>
      </w:r>
      <w:r>
        <w:rPr>
          <w:spacing w:val="-8"/>
        </w:rPr>
        <w:t> </w:t>
      </w:r>
      <w:r>
        <w:rPr>
          <w:spacing w:val="-2"/>
        </w:rPr>
        <w:t>firms</w:t>
      </w:r>
      <w:r>
        <w:rPr>
          <w:spacing w:val="-8"/>
        </w:rPr>
        <w:t> </w:t>
      </w:r>
      <w:r>
        <w:rPr>
          <w:spacing w:val="-2"/>
        </w:rPr>
        <w:t>for </w:t>
      </w:r>
      <w:r>
        <w:rPr/>
        <w:t>this</w:t>
      </w:r>
      <w:r>
        <w:rPr>
          <w:spacing w:val="-6"/>
        </w:rPr>
        <w:t> </w:t>
      </w:r>
      <w:r>
        <w:rPr/>
        <w:t>purpose.</w:t>
      </w:r>
      <w:r>
        <w:rPr>
          <w:spacing w:val="-6"/>
        </w:rPr>
        <w:t> </w:t>
      </w:r>
      <w:r>
        <w:rPr/>
        <w:t>Mobilising</w:t>
      </w:r>
      <w:r>
        <w:rPr>
          <w:spacing w:val="-6"/>
        </w:rPr>
        <w:t> </w:t>
      </w:r>
      <w:r>
        <w:rPr/>
        <w:t>resources,</w:t>
      </w:r>
      <w:r>
        <w:rPr>
          <w:spacing w:val="-6"/>
        </w:rPr>
        <w:t> </w:t>
      </w:r>
      <w:r>
        <w:rPr/>
        <w:t>even</w:t>
      </w:r>
      <w:r>
        <w:rPr>
          <w:spacing w:val="-6"/>
        </w:rPr>
        <w:t> </w:t>
      </w:r>
      <w:r>
        <w:rPr/>
        <w:t>from</w:t>
      </w:r>
      <w:r>
        <w:rPr>
          <w:spacing w:val="-6"/>
        </w:rPr>
        <w:t> </w:t>
      </w:r>
      <w:r>
        <w:rPr/>
        <w:t>former </w:t>
      </w:r>
      <w:r>
        <w:rPr>
          <w:spacing w:val="-6"/>
        </w:rPr>
        <w:t>students,</w:t>
      </w:r>
      <w:r>
        <w:rPr>
          <w:spacing w:val="-8"/>
        </w:rPr>
        <w:t> </w:t>
      </w:r>
      <w:r>
        <w:rPr>
          <w:spacing w:val="-6"/>
        </w:rPr>
        <w:t>is</w:t>
      </w:r>
      <w:r>
        <w:rPr>
          <w:spacing w:val="-8"/>
        </w:rPr>
        <w:t> </w:t>
      </w:r>
      <w:r>
        <w:rPr>
          <w:spacing w:val="-6"/>
        </w:rPr>
        <w:t>a</w:t>
      </w:r>
      <w:r>
        <w:rPr>
          <w:spacing w:val="-8"/>
        </w:rPr>
        <w:t> </w:t>
      </w:r>
      <w:r>
        <w:rPr>
          <w:spacing w:val="-6"/>
        </w:rPr>
        <w:t>task</w:t>
      </w:r>
      <w:r>
        <w:rPr>
          <w:spacing w:val="-7"/>
        </w:rPr>
        <w:t> </w:t>
      </w:r>
      <w:r>
        <w:rPr>
          <w:spacing w:val="-6"/>
        </w:rPr>
        <w:t>that</w:t>
      </w:r>
      <w:r>
        <w:rPr>
          <w:spacing w:val="-8"/>
        </w:rPr>
        <w:t> </w:t>
      </w:r>
      <w:r>
        <w:rPr>
          <w:spacing w:val="-6"/>
        </w:rPr>
        <w:t>cannot</w:t>
      </w:r>
      <w:r>
        <w:rPr>
          <w:spacing w:val="-8"/>
        </w:rPr>
        <w:t> </w:t>
      </w:r>
      <w:r>
        <w:rPr>
          <w:spacing w:val="-6"/>
        </w:rPr>
        <w:t>be</w:t>
      </w:r>
      <w:r>
        <w:rPr>
          <w:spacing w:val="-8"/>
        </w:rPr>
        <w:t> </w:t>
      </w:r>
      <w:r>
        <w:rPr>
          <w:spacing w:val="-6"/>
        </w:rPr>
        <w:t>performed</w:t>
      </w:r>
      <w:r>
        <w:rPr>
          <w:spacing w:val="-7"/>
        </w:rPr>
        <w:t> </w:t>
      </w:r>
      <w:r>
        <w:rPr>
          <w:spacing w:val="-6"/>
        </w:rPr>
        <w:t>by</w:t>
      </w:r>
      <w:r>
        <w:rPr>
          <w:spacing w:val="-8"/>
        </w:rPr>
        <w:t> </w:t>
      </w:r>
      <w:r>
        <w:rPr>
          <w:spacing w:val="-6"/>
        </w:rPr>
        <w:t>academics </w:t>
      </w:r>
      <w:r>
        <w:rPr/>
        <w:t>because it needs specialised talents and experience. </w:t>
      </w:r>
      <w:r>
        <w:rPr>
          <w:spacing w:val="-6"/>
        </w:rPr>
        <w:t>Current UGC practice also penalises universities for any resources mobilised with a matching deduction from the </w:t>
      </w:r>
      <w:r>
        <w:rPr/>
        <w:t>grants-in-aid provided to the institution. Rather than penalising</w:t>
      </w:r>
      <w:r>
        <w:rPr>
          <w:spacing w:val="-11"/>
        </w:rPr>
        <w:t> </w:t>
      </w:r>
      <w:r>
        <w:rPr/>
        <w:t>universities</w:t>
      </w:r>
      <w:r>
        <w:rPr>
          <w:spacing w:val="-11"/>
        </w:rPr>
        <w:t> </w:t>
      </w:r>
      <w:r>
        <w:rPr/>
        <w:t>for</w:t>
      </w:r>
      <w:r>
        <w:rPr>
          <w:spacing w:val="-11"/>
        </w:rPr>
        <w:t> </w:t>
      </w:r>
      <w:r>
        <w:rPr/>
        <w:t>raising</w:t>
      </w:r>
      <w:r>
        <w:rPr>
          <w:spacing w:val="-11"/>
        </w:rPr>
        <w:t> </w:t>
      </w:r>
      <w:r>
        <w:rPr/>
        <w:t>resources,</w:t>
      </w:r>
      <w:r>
        <w:rPr>
          <w:spacing w:val="-11"/>
        </w:rPr>
        <w:t> </w:t>
      </w:r>
      <w:r>
        <w:rPr/>
        <w:t>the</w:t>
      </w:r>
      <w:r>
        <w:rPr>
          <w:spacing w:val="-11"/>
        </w:rPr>
        <w:t> </w:t>
      </w:r>
      <w:r>
        <w:rPr/>
        <w:t>UGC should</w:t>
      </w:r>
      <w:r>
        <w:rPr>
          <w:spacing w:val="-14"/>
        </w:rPr>
        <w:t> </w:t>
      </w:r>
      <w:r>
        <w:rPr/>
        <w:t>incentivise</w:t>
      </w:r>
      <w:r>
        <w:rPr>
          <w:spacing w:val="-14"/>
        </w:rPr>
        <w:t> </w:t>
      </w:r>
      <w:r>
        <w:rPr/>
        <w:t>them.</w:t>
      </w:r>
      <w:r>
        <w:rPr>
          <w:spacing w:val="-14"/>
        </w:rPr>
        <w:t> </w:t>
      </w:r>
      <w:r>
        <w:rPr/>
        <w:t>In</w:t>
      </w:r>
      <w:r>
        <w:rPr>
          <w:spacing w:val="-13"/>
        </w:rPr>
        <w:t> </w:t>
      </w:r>
      <w:r>
        <w:rPr/>
        <w:t>addition,</w:t>
      </w:r>
      <w:r>
        <w:rPr>
          <w:spacing w:val="-14"/>
        </w:rPr>
        <w:t> </w:t>
      </w:r>
      <w:r>
        <w:rPr/>
        <w:t>universities</w:t>
      </w:r>
      <w:r>
        <w:rPr>
          <w:spacing w:val="-14"/>
        </w:rPr>
        <w:t> </w:t>
      </w:r>
      <w:r>
        <w:rPr/>
        <w:t>must </w:t>
      </w:r>
      <w:r>
        <w:rPr>
          <w:spacing w:val="-4"/>
        </w:rPr>
        <w:t>have</w:t>
      </w:r>
      <w:r>
        <w:rPr>
          <w:spacing w:val="-6"/>
        </w:rPr>
        <w:t> </w:t>
      </w:r>
      <w:r>
        <w:rPr>
          <w:spacing w:val="-4"/>
        </w:rPr>
        <w:t>the</w:t>
      </w:r>
      <w:r>
        <w:rPr>
          <w:spacing w:val="-6"/>
        </w:rPr>
        <w:t> </w:t>
      </w:r>
      <w:r>
        <w:rPr>
          <w:spacing w:val="-4"/>
        </w:rPr>
        <w:t>autonomy</w:t>
      </w:r>
      <w:r>
        <w:rPr>
          <w:spacing w:val="-6"/>
        </w:rPr>
        <w:t> </w:t>
      </w:r>
      <w:r>
        <w:rPr>
          <w:spacing w:val="-4"/>
        </w:rPr>
        <w:t>and</w:t>
      </w:r>
      <w:r>
        <w:rPr>
          <w:spacing w:val="-7"/>
        </w:rPr>
        <w:t> </w:t>
      </w:r>
      <w:r>
        <w:rPr>
          <w:spacing w:val="-4"/>
        </w:rPr>
        <w:t>flexibility</w:t>
      </w:r>
      <w:r>
        <w:rPr>
          <w:spacing w:val="-6"/>
        </w:rPr>
        <w:t> </w:t>
      </w:r>
      <w:r>
        <w:rPr>
          <w:spacing w:val="-4"/>
        </w:rPr>
        <w:t>to</w:t>
      </w:r>
      <w:r>
        <w:rPr>
          <w:spacing w:val="-6"/>
        </w:rPr>
        <w:t> </w:t>
      </w:r>
      <w:r>
        <w:rPr>
          <w:spacing w:val="-4"/>
        </w:rPr>
        <w:t>mobilise</w:t>
      </w:r>
      <w:r>
        <w:rPr>
          <w:spacing w:val="-6"/>
        </w:rPr>
        <w:t> </w:t>
      </w:r>
      <w:r>
        <w:rPr>
          <w:spacing w:val="-4"/>
        </w:rPr>
        <w:t>resources </w:t>
      </w:r>
      <w:r>
        <w:rPr/>
        <w:t>from elsewhere by creating or using appropriate institutional mechanisms.</w:t>
      </w:r>
    </w:p>
    <w:p>
      <w:pPr>
        <w:pStyle w:val="BodyText"/>
        <w:spacing w:before="14"/>
      </w:pPr>
    </w:p>
    <w:p>
      <w:pPr>
        <w:pStyle w:val="BodyText"/>
        <w:spacing w:line="266" w:lineRule="auto"/>
        <w:ind w:left="319" w:right="1077"/>
        <w:jc w:val="both"/>
      </w:pPr>
      <w:r>
        <w:rPr>
          <w:b/>
          <w:spacing w:val="-4"/>
        </w:rPr>
        <w:t>Private</w:t>
      </w:r>
      <w:r>
        <w:rPr>
          <w:b/>
          <w:spacing w:val="-10"/>
        </w:rPr>
        <w:t> </w:t>
      </w:r>
      <w:r>
        <w:rPr>
          <w:b/>
          <w:spacing w:val="-4"/>
        </w:rPr>
        <w:t>investment:</w:t>
      </w:r>
      <w:r>
        <w:rPr>
          <w:b/>
          <w:spacing w:val="-10"/>
        </w:rPr>
        <w:t> </w:t>
      </w:r>
      <w:r>
        <w:rPr>
          <w:spacing w:val="-4"/>
        </w:rPr>
        <w:t>In</w:t>
      </w:r>
      <w:r>
        <w:rPr>
          <w:spacing w:val="-10"/>
        </w:rPr>
        <w:t> </w:t>
      </w:r>
      <w:r>
        <w:rPr>
          <w:spacing w:val="-4"/>
        </w:rPr>
        <w:t>three</w:t>
      </w:r>
      <w:r>
        <w:rPr>
          <w:spacing w:val="-9"/>
        </w:rPr>
        <w:t> </w:t>
      </w:r>
      <w:r>
        <w:rPr>
          <w:spacing w:val="-4"/>
        </w:rPr>
        <w:t>professions</w:t>
      </w:r>
      <w:r>
        <w:rPr>
          <w:spacing w:val="-10"/>
        </w:rPr>
        <w:t> </w:t>
      </w:r>
      <w:r>
        <w:rPr>
          <w:spacing w:val="-4"/>
        </w:rPr>
        <w:t>–</w:t>
      </w:r>
      <w:r>
        <w:rPr>
          <w:spacing w:val="-10"/>
        </w:rPr>
        <w:t> </w:t>
      </w:r>
      <w:r>
        <w:rPr>
          <w:spacing w:val="-4"/>
        </w:rPr>
        <w:t>engineering, </w:t>
      </w:r>
      <w:r>
        <w:rPr/>
        <w:t>medicine and management – there has been a </w:t>
      </w:r>
      <w:r>
        <w:rPr/>
        <w:t>de facto privatisation of education so that two-thirds to three-fourths of the seats are in private institutions. But</w:t>
      </w:r>
      <w:r>
        <w:rPr>
          <w:spacing w:val="-11"/>
        </w:rPr>
        <w:t> </w:t>
      </w:r>
      <w:r>
        <w:rPr/>
        <w:t>private</w:t>
      </w:r>
      <w:r>
        <w:rPr>
          <w:spacing w:val="-11"/>
        </w:rPr>
        <w:t> </w:t>
      </w:r>
      <w:r>
        <w:rPr/>
        <w:t>investment</w:t>
      </w:r>
      <w:r>
        <w:rPr>
          <w:spacing w:val="-11"/>
        </w:rPr>
        <w:t> </w:t>
      </w:r>
      <w:r>
        <w:rPr/>
        <w:t>in</w:t>
      </w:r>
      <w:r>
        <w:rPr>
          <w:spacing w:val="-11"/>
        </w:rPr>
        <w:t> </w:t>
      </w:r>
      <w:r>
        <w:rPr/>
        <w:t>university</w:t>
      </w:r>
      <w:r>
        <w:rPr>
          <w:spacing w:val="-11"/>
        </w:rPr>
        <w:t> </w:t>
      </w:r>
      <w:r>
        <w:rPr/>
        <w:t>education,</w:t>
      </w:r>
      <w:r>
        <w:rPr>
          <w:spacing w:val="-11"/>
        </w:rPr>
        <w:t> </w:t>
      </w:r>
      <w:r>
        <w:rPr/>
        <w:t>where more</w:t>
      </w:r>
      <w:r>
        <w:rPr>
          <w:spacing w:val="-6"/>
        </w:rPr>
        <w:t> </w:t>
      </w:r>
      <w:r>
        <w:rPr/>
        <w:t>than</w:t>
      </w:r>
      <w:r>
        <w:rPr>
          <w:spacing w:val="-6"/>
        </w:rPr>
        <w:t> </w:t>
      </w:r>
      <w:r>
        <w:rPr/>
        <w:t>70</w:t>
      </w:r>
      <w:r>
        <w:rPr>
          <w:spacing w:val="-6"/>
        </w:rPr>
        <w:t> </w:t>
      </w:r>
      <w:r>
        <w:rPr/>
        <w:t>per</w:t>
      </w:r>
      <w:r>
        <w:rPr>
          <w:spacing w:val="-6"/>
        </w:rPr>
        <w:t> </w:t>
      </w:r>
      <w:r>
        <w:rPr/>
        <w:t>cent</w:t>
      </w:r>
      <w:r>
        <w:rPr>
          <w:spacing w:val="-6"/>
        </w:rPr>
        <w:t> </w:t>
      </w:r>
      <w:r>
        <w:rPr/>
        <w:t>of</w:t>
      </w:r>
      <w:r>
        <w:rPr>
          <w:spacing w:val="-6"/>
        </w:rPr>
        <w:t> </w:t>
      </w:r>
      <w:r>
        <w:rPr/>
        <w:t>our</w:t>
      </w:r>
      <w:r>
        <w:rPr>
          <w:spacing w:val="-6"/>
        </w:rPr>
        <w:t> </w:t>
      </w:r>
      <w:r>
        <w:rPr/>
        <w:t>students</w:t>
      </w:r>
      <w:r>
        <w:rPr>
          <w:spacing w:val="-6"/>
        </w:rPr>
        <w:t> </w:t>
      </w:r>
      <w:r>
        <w:rPr/>
        <w:t>study,</w:t>
      </w:r>
      <w:r>
        <w:rPr>
          <w:spacing w:val="-6"/>
        </w:rPr>
        <w:t> </w:t>
      </w:r>
      <w:r>
        <w:rPr/>
        <w:t>is</w:t>
      </w:r>
      <w:r>
        <w:rPr>
          <w:spacing w:val="-6"/>
        </w:rPr>
        <w:t> </w:t>
      </w:r>
      <w:r>
        <w:rPr/>
        <w:t>almost </w:t>
      </w:r>
      <w:r>
        <w:rPr>
          <w:spacing w:val="-4"/>
        </w:rPr>
        <w:t>negligible.</w:t>
      </w:r>
      <w:r>
        <w:rPr>
          <w:spacing w:val="-7"/>
        </w:rPr>
        <w:t> </w:t>
      </w:r>
      <w:r>
        <w:rPr>
          <w:spacing w:val="-4"/>
        </w:rPr>
        <w:t>It</w:t>
      </w:r>
      <w:r>
        <w:rPr>
          <w:spacing w:val="-7"/>
        </w:rPr>
        <w:t> </w:t>
      </w:r>
      <w:r>
        <w:rPr>
          <w:spacing w:val="-4"/>
        </w:rPr>
        <w:t>is</w:t>
      </w:r>
      <w:r>
        <w:rPr>
          <w:spacing w:val="-7"/>
        </w:rPr>
        <w:t> </w:t>
      </w:r>
      <w:r>
        <w:rPr>
          <w:spacing w:val="-4"/>
        </w:rPr>
        <w:t>essential</w:t>
      </w:r>
      <w:r>
        <w:rPr>
          <w:spacing w:val="-7"/>
        </w:rPr>
        <w:t> </w:t>
      </w:r>
      <w:r>
        <w:rPr>
          <w:spacing w:val="-4"/>
        </w:rPr>
        <w:t>to</w:t>
      </w:r>
      <w:r>
        <w:rPr>
          <w:spacing w:val="-7"/>
        </w:rPr>
        <w:t> </w:t>
      </w:r>
      <w:r>
        <w:rPr>
          <w:spacing w:val="-4"/>
        </w:rPr>
        <w:t>stimulate</w:t>
      </w:r>
      <w:r>
        <w:rPr>
          <w:spacing w:val="-7"/>
        </w:rPr>
        <w:t> </w:t>
      </w:r>
      <w:r>
        <w:rPr>
          <w:spacing w:val="-4"/>
        </w:rPr>
        <w:t>private</w:t>
      </w:r>
      <w:r>
        <w:rPr>
          <w:spacing w:val="-7"/>
        </w:rPr>
        <w:t> </w:t>
      </w:r>
      <w:r>
        <w:rPr>
          <w:spacing w:val="-4"/>
        </w:rPr>
        <w:t>investment in</w:t>
      </w:r>
      <w:r>
        <w:rPr>
          <w:spacing w:val="-10"/>
        </w:rPr>
        <w:t> </w:t>
      </w:r>
      <w:r>
        <w:rPr>
          <w:spacing w:val="-4"/>
        </w:rPr>
        <w:t>higher</w:t>
      </w:r>
      <w:r>
        <w:rPr>
          <w:spacing w:val="-10"/>
        </w:rPr>
        <w:t> </w:t>
      </w:r>
      <w:r>
        <w:rPr>
          <w:spacing w:val="-4"/>
        </w:rPr>
        <w:t>education</w:t>
      </w:r>
      <w:r>
        <w:rPr>
          <w:spacing w:val="-10"/>
        </w:rPr>
        <w:t> </w:t>
      </w:r>
      <w:r>
        <w:rPr>
          <w:spacing w:val="-4"/>
        </w:rPr>
        <w:t>as</w:t>
      </w:r>
      <w:r>
        <w:rPr>
          <w:spacing w:val="-9"/>
        </w:rPr>
        <w:t> </w:t>
      </w:r>
      <w:r>
        <w:rPr>
          <w:spacing w:val="-4"/>
        </w:rPr>
        <w:t>a</w:t>
      </w:r>
      <w:r>
        <w:rPr>
          <w:spacing w:val="-10"/>
        </w:rPr>
        <w:t> </w:t>
      </w:r>
      <w:r>
        <w:rPr>
          <w:spacing w:val="-4"/>
        </w:rPr>
        <w:t>means</w:t>
      </w:r>
      <w:r>
        <w:rPr>
          <w:spacing w:val="-10"/>
        </w:rPr>
        <w:t> </w:t>
      </w:r>
      <w:r>
        <w:rPr>
          <w:spacing w:val="-4"/>
        </w:rPr>
        <w:t>of</w:t>
      </w:r>
      <w:r>
        <w:rPr>
          <w:spacing w:val="-10"/>
        </w:rPr>
        <w:t> </w:t>
      </w:r>
      <w:r>
        <w:rPr>
          <w:spacing w:val="-4"/>
        </w:rPr>
        <w:t>extending</w:t>
      </w:r>
      <w:r>
        <w:rPr>
          <w:spacing w:val="-9"/>
        </w:rPr>
        <w:t> </w:t>
      </w:r>
      <w:r>
        <w:rPr>
          <w:spacing w:val="-4"/>
        </w:rPr>
        <w:t>educational </w:t>
      </w:r>
      <w:r>
        <w:rPr/>
        <w:t>opportunities. We must recognise that, even with the </w:t>
      </w:r>
      <w:r>
        <w:rPr>
          <w:spacing w:val="-2"/>
        </w:rPr>
        <w:t>best</w:t>
      </w:r>
      <w:r>
        <w:rPr>
          <w:spacing w:val="-9"/>
        </w:rPr>
        <w:t> </w:t>
      </w:r>
      <w:r>
        <w:rPr>
          <w:spacing w:val="-2"/>
        </w:rPr>
        <w:t>will</w:t>
      </w:r>
      <w:r>
        <w:rPr>
          <w:spacing w:val="-9"/>
        </w:rPr>
        <w:t> </w:t>
      </w:r>
      <w:r>
        <w:rPr>
          <w:spacing w:val="-2"/>
        </w:rPr>
        <w:t>in</w:t>
      </w:r>
      <w:r>
        <w:rPr>
          <w:spacing w:val="-9"/>
        </w:rPr>
        <w:t> </w:t>
      </w:r>
      <w:r>
        <w:rPr>
          <w:spacing w:val="-2"/>
        </w:rPr>
        <w:t>the</w:t>
      </w:r>
      <w:r>
        <w:rPr>
          <w:spacing w:val="-9"/>
        </w:rPr>
        <w:t> </w:t>
      </w:r>
      <w:r>
        <w:rPr>
          <w:spacing w:val="-2"/>
        </w:rPr>
        <w:t>world,</w:t>
      </w:r>
      <w:r>
        <w:rPr>
          <w:spacing w:val="-9"/>
        </w:rPr>
        <w:t> </w:t>
      </w:r>
      <w:r>
        <w:rPr>
          <w:spacing w:val="-2"/>
        </w:rPr>
        <w:t>government</w:t>
      </w:r>
      <w:r>
        <w:rPr>
          <w:spacing w:val="-9"/>
        </w:rPr>
        <w:t> </w:t>
      </w:r>
      <w:r>
        <w:rPr>
          <w:spacing w:val="-2"/>
        </w:rPr>
        <w:t>financing</w:t>
      </w:r>
      <w:r>
        <w:rPr>
          <w:spacing w:val="-9"/>
        </w:rPr>
        <w:t> </w:t>
      </w:r>
      <w:r>
        <w:rPr>
          <w:spacing w:val="-2"/>
        </w:rPr>
        <w:t>cannot</w:t>
      </w:r>
      <w:r>
        <w:rPr>
          <w:spacing w:val="-9"/>
        </w:rPr>
        <w:t> </w:t>
      </w:r>
      <w:r>
        <w:rPr>
          <w:spacing w:val="-2"/>
        </w:rPr>
        <w:t>be </w:t>
      </w:r>
      <w:r>
        <w:rPr>
          <w:spacing w:val="-8"/>
        </w:rPr>
        <w:t>enough</w:t>
      </w:r>
      <w:r>
        <w:rPr>
          <w:spacing w:val="-2"/>
        </w:rPr>
        <w:t> </w:t>
      </w:r>
      <w:r>
        <w:rPr>
          <w:spacing w:val="-8"/>
        </w:rPr>
        <w:t>to</w:t>
      </w:r>
      <w:r>
        <w:rPr>
          <w:spacing w:val="-2"/>
        </w:rPr>
        <w:t> </w:t>
      </w:r>
      <w:r>
        <w:rPr>
          <w:spacing w:val="-8"/>
        </w:rPr>
        <w:t>support</w:t>
      </w:r>
      <w:r>
        <w:rPr>
          <w:spacing w:val="-2"/>
        </w:rPr>
        <w:t> </w:t>
      </w:r>
      <w:r>
        <w:rPr>
          <w:spacing w:val="-8"/>
        </w:rPr>
        <w:t>the</w:t>
      </w:r>
      <w:r>
        <w:rPr>
          <w:spacing w:val="-2"/>
        </w:rPr>
        <w:t> </w:t>
      </w:r>
      <w:r>
        <w:rPr>
          <w:spacing w:val="-8"/>
        </w:rPr>
        <w:t>massive</w:t>
      </w:r>
      <w:r>
        <w:rPr>
          <w:spacing w:val="-2"/>
        </w:rPr>
        <w:t> </w:t>
      </w:r>
      <w:r>
        <w:rPr>
          <w:spacing w:val="-8"/>
        </w:rPr>
        <w:t>expansion</w:t>
      </w:r>
      <w:r>
        <w:rPr>
          <w:spacing w:val="-2"/>
        </w:rPr>
        <w:t> </w:t>
      </w:r>
      <w:r>
        <w:rPr>
          <w:spacing w:val="-8"/>
        </w:rPr>
        <w:t>in</w:t>
      </w:r>
      <w:r>
        <w:rPr>
          <w:spacing w:val="-2"/>
        </w:rPr>
        <w:t> </w:t>
      </w:r>
      <w:r>
        <w:rPr>
          <w:spacing w:val="-8"/>
        </w:rPr>
        <w:t>opportunities </w:t>
      </w:r>
      <w:r>
        <w:rPr>
          <w:spacing w:val="-2"/>
        </w:rPr>
        <w:t>for</w:t>
      </w:r>
      <w:r>
        <w:rPr>
          <w:spacing w:val="-11"/>
        </w:rPr>
        <w:t> </w:t>
      </w:r>
      <w:r>
        <w:rPr>
          <w:spacing w:val="-2"/>
        </w:rPr>
        <w:t>higher</w:t>
      </w:r>
      <w:r>
        <w:rPr>
          <w:spacing w:val="-11"/>
        </w:rPr>
        <w:t> </w:t>
      </w:r>
      <w:r>
        <w:rPr>
          <w:spacing w:val="-2"/>
        </w:rPr>
        <w:t>education</w:t>
      </w:r>
      <w:r>
        <w:rPr>
          <w:spacing w:val="-11"/>
        </w:rPr>
        <w:t> </w:t>
      </w:r>
      <w:r>
        <w:rPr>
          <w:spacing w:val="-2"/>
        </w:rPr>
        <w:t>on</w:t>
      </w:r>
      <w:r>
        <w:rPr>
          <w:spacing w:val="-11"/>
        </w:rPr>
        <w:t> </w:t>
      </w:r>
      <w:r>
        <w:rPr>
          <w:spacing w:val="-2"/>
        </w:rPr>
        <w:t>a</w:t>
      </w:r>
      <w:r>
        <w:rPr>
          <w:spacing w:val="-11"/>
        </w:rPr>
        <w:t> </w:t>
      </w:r>
      <w:r>
        <w:rPr>
          <w:spacing w:val="-2"/>
        </w:rPr>
        <w:t>scale</w:t>
      </w:r>
      <w:r>
        <w:rPr>
          <w:spacing w:val="-11"/>
        </w:rPr>
        <w:t> </w:t>
      </w:r>
      <w:r>
        <w:rPr>
          <w:spacing w:val="-2"/>
        </w:rPr>
        <w:t>that</w:t>
      </w:r>
      <w:r>
        <w:rPr>
          <w:spacing w:val="-11"/>
        </w:rPr>
        <w:t> </w:t>
      </w:r>
      <w:r>
        <w:rPr>
          <w:spacing w:val="-2"/>
        </w:rPr>
        <w:t>is</w:t>
      </w:r>
      <w:r>
        <w:rPr>
          <w:spacing w:val="-11"/>
        </w:rPr>
        <w:t> </w:t>
      </w:r>
      <w:r>
        <w:rPr>
          <w:spacing w:val="-2"/>
        </w:rPr>
        <w:t>now</w:t>
      </w:r>
      <w:r>
        <w:rPr>
          <w:spacing w:val="-11"/>
        </w:rPr>
        <w:t> </w:t>
      </w:r>
      <w:r>
        <w:rPr>
          <w:spacing w:val="-2"/>
        </w:rPr>
        <w:t>essential.</w:t>
      </w:r>
    </w:p>
    <w:p>
      <w:pPr>
        <w:pStyle w:val="BodyText"/>
        <w:spacing w:before="18"/>
      </w:pPr>
    </w:p>
    <w:p>
      <w:pPr>
        <w:pStyle w:val="BodyText"/>
        <w:spacing w:line="266" w:lineRule="auto"/>
        <w:ind w:left="319" w:right="1077"/>
        <w:jc w:val="both"/>
      </w:pPr>
      <w:r>
        <w:rPr>
          <w:b/>
        </w:rPr>
        <w:t>Public-private</w:t>
      </w:r>
      <w:r>
        <w:rPr>
          <w:b/>
          <w:spacing w:val="-5"/>
        </w:rPr>
        <w:t> </w:t>
      </w:r>
      <w:r>
        <w:rPr>
          <w:b/>
        </w:rPr>
        <w:t>partnerships:</w:t>
      </w:r>
      <w:r>
        <w:rPr>
          <w:b/>
          <w:spacing w:val="-5"/>
        </w:rPr>
        <w:t> </w:t>
      </w:r>
      <w:r>
        <w:rPr/>
        <w:t>It</w:t>
      </w:r>
      <w:r>
        <w:rPr>
          <w:spacing w:val="-6"/>
        </w:rPr>
        <w:t> </w:t>
      </w:r>
      <w:r>
        <w:rPr/>
        <w:t>might</w:t>
      </w:r>
      <w:r>
        <w:rPr>
          <w:spacing w:val="-6"/>
        </w:rPr>
        <w:t> </w:t>
      </w:r>
      <w:r>
        <w:rPr/>
        <w:t>be</w:t>
      </w:r>
      <w:r>
        <w:rPr>
          <w:spacing w:val="-6"/>
        </w:rPr>
        <w:t> </w:t>
      </w:r>
      <w:r>
        <w:rPr/>
        <w:t>possible</w:t>
      </w:r>
      <w:r>
        <w:rPr>
          <w:spacing w:val="-6"/>
        </w:rPr>
        <w:t> </w:t>
      </w:r>
      <w:r>
        <w:rPr/>
        <w:t>to leverage</w:t>
      </w:r>
      <w:r>
        <w:rPr>
          <w:spacing w:val="-14"/>
        </w:rPr>
        <w:t> </w:t>
      </w:r>
      <w:r>
        <w:rPr/>
        <w:t>public</w:t>
      </w:r>
      <w:r>
        <w:rPr>
          <w:spacing w:val="-14"/>
        </w:rPr>
        <w:t> </w:t>
      </w:r>
      <w:r>
        <w:rPr/>
        <w:t>funding,</w:t>
      </w:r>
      <w:r>
        <w:rPr>
          <w:spacing w:val="-14"/>
        </w:rPr>
        <w:t> </w:t>
      </w:r>
      <w:r>
        <w:rPr/>
        <w:t>especially</w:t>
      </w:r>
      <w:r>
        <w:rPr>
          <w:spacing w:val="-13"/>
        </w:rPr>
        <w:t> </w:t>
      </w:r>
      <w:r>
        <w:rPr/>
        <w:t>in</w:t>
      </w:r>
      <w:r>
        <w:rPr>
          <w:spacing w:val="-14"/>
        </w:rPr>
        <w:t> </w:t>
      </w:r>
      <w:r>
        <w:rPr/>
        <w:t>the</w:t>
      </w:r>
      <w:r>
        <w:rPr>
          <w:spacing w:val="-14"/>
        </w:rPr>
        <w:t> </w:t>
      </w:r>
      <w:r>
        <w:rPr/>
        <w:t>form</w:t>
      </w:r>
      <w:r>
        <w:rPr>
          <w:spacing w:val="-14"/>
        </w:rPr>
        <w:t> </w:t>
      </w:r>
      <w:r>
        <w:rPr/>
        <w:t>of</w:t>
      </w:r>
      <w:r>
        <w:rPr>
          <w:spacing w:val="-13"/>
        </w:rPr>
        <w:t> </w:t>
      </w:r>
      <w:r>
        <w:rPr/>
        <w:t>land </w:t>
      </w:r>
      <w:r>
        <w:rPr>
          <w:spacing w:val="-4"/>
        </w:rPr>
        <w:t>grants, to attractmore(not-for-profit) privateinvestment. The</w:t>
      </w:r>
      <w:r>
        <w:rPr>
          <w:spacing w:val="-9"/>
        </w:rPr>
        <w:t> </w:t>
      </w:r>
      <w:r>
        <w:rPr>
          <w:spacing w:val="-4"/>
        </w:rPr>
        <w:t>present</w:t>
      </w:r>
      <w:r>
        <w:rPr>
          <w:spacing w:val="-9"/>
        </w:rPr>
        <w:t> </w:t>
      </w:r>
      <w:r>
        <w:rPr>
          <w:spacing w:val="-4"/>
        </w:rPr>
        <w:t>system</w:t>
      </w:r>
      <w:r>
        <w:rPr>
          <w:spacing w:val="-9"/>
        </w:rPr>
        <w:t> </w:t>
      </w:r>
      <w:r>
        <w:rPr>
          <w:spacing w:val="-4"/>
        </w:rPr>
        <w:t>of</w:t>
      </w:r>
      <w:r>
        <w:rPr>
          <w:spacing w:val="-9"/>
        </w:rPr>
        <w:t> </w:t>
      </w:r>
      <w:r>
        <w:rPr>
          <w:spacing w:val="-4"/>
        </w:rPr>
        <w:t>allotment</w:t>
      </w:r>
      <w:r>
        <w:rPr>
          <w:spacing w:val="-9"/>
        </w:rPr>
        <w:t> </w:t>
      </w:r>
      <w:r>
        <w:rPr>
          <w:spacing w:val="-4"/>
        </w:rPr>
        <w:t>of</w:t>
      </w:r>
      <w:r>
        <w:rPr>
          <w:spacing w:val="-9"/>
        </w:rPr>
        <w:t> </w:t>
      </w:r>
      <w:r>
        <w:rPr>
          <w:spacing w:val="-4"/>
        </w:rPr>
        <w:t>land,</w:t>
      </w:r>
      <w:r>
        <w:rPr>
          <w:spacing w:val="-9"/>
        </w:rPr>
        <w:t> </w:t>
      </w:r>
      <w:r>
        <w:rPr>
          <w:spacing w:val="-4"/>
        </w:rPr>
        <w:t>where</w:t>
      </w:r>
      <w:r>
        <w:rPr>
          <w:spacing w:val="-9"/>
        </w:rPr>
        <w:t> </w:t>
      </w:r>
      <w:r>
        <w:rPr>
          <w:spacing w:val="-4"/>
        </w:rPr>
        <w:t>political </w:t>
      </w:r>
      <w:r>
        <w:rPr>
          <w:spacing w:val="-2"/>
        </w:rPr>
        <w:t>patronage</w:t>
      </w:r>
      <w:r>
        <w:rPr>
          <w:spacing w:val="-4"/>
        </w:rPr>
        <w:t> </w:t>
      </w:r>
      <w:r>
        <w:rPr>
          <w:spacing w:val="-2"/>
        </w:rPr>
        <w:t>is</w:t>
      </w:r>
      <w:r>
        <w:rPr>
          <w:spacing w:val="-4"/>
        </w:rPr>
        <w:t> </w:t>
      </w:r>
      <w:r>
        <w:rPr>
          <w:spacing w:val="-2"/>
        </w:rPr>
        <w:t>implicit,</w:t>
      </w:r>
      <w:r>
        <w:rPr>
          <w:spacing w:val="-4"/>
        </w:rPr>
        <w:t> </w:t>
      </w:r>
      <w:r>
        <w:rPr>
          <w:spacing w:val="-2"/>
        </w:rPr>
        <w:t>discourages</w:t>
      </w:r>
      <w:r>
        <w:rPr>
          <w:spacing w:val="-4"/>
        </w:rPr>
        <w:t> </w:t>
      </w:r>
      <w:r>
        <w:rPr>
          <w:spacing w:val="-2"/>
        </w:rPr>
        <w:t>genuine</w:t>
      </w:r>
      <w:r>
        <w:rPr>
          <w:spacing w:val="-4"/>
        </w:rPr>
        <w:t> </w:t>
      </w:r>
      <w:r>
        <w:rPr>
          <w:spacing w:val="-2"/>
        </w:rPr>
        <w:t>educational entrepreneurs</w:t>
      </w:r>
      <w:r>
        <w:rPr>
          <w:spacing w:val="-6"/>
        </w:rPr>
        <w:t> </w:t>
      </w:r>
      <w:r>
        <w:rPr>
          <w:spacing w:val="-2"/>
        </w:rPr>
        <w:t>and</w:t>
      </w:r>
      <w:r>
        <w:rPr>
          <w:spacing w:val="-6"/>
        </w:rPr>
        <w:t> </w:t>
      </w:r>
      <w:r>
        <w:rPr>
          <w:spacing w:val="-2"/>
        </w:rPr>
        <w:t>encourages</w:t>
      </w:r>
      <w:r>
        <w:rPr>
          <w:spacing w:val="-6"/>
        </w:rPr>
        <w:t> </w:t>
      </w:r>
      <w:r>
        <w:rPr>
          <w:spacing w:val="-2"/>
        </w:rPr>
        <w:t>real</w:t>
      </w:r>
      <w:r>
        <w:rPr>
          <w:spacing w:val="-6"/>
        </w:rPr>
        <w:t> </w:t>
      </w:r>
      <w:r>
        <w:rPr>
          <w:spacing w:val="-2"/>
        </w:rPr>
        <w:t>estate</w:t>
      </w:r>
      <w:r>
        <w:rPr>
          <w:spacing w:val="-6"/>
        </w:rPr>
        <w:t> </w:t>
      </w:r>
      <w:r>
        <w:rPr>
          <w:spacing w:val="-2"/>
        </w:rPr>
        <w:t>developers</w:t>
      </w:r>
      <w:r>
        <w:rPr>
          <w:spacing w:val="-6"/>
        </w:rPr>
        <w:t> </w:t>
      </w:r>
      <w:r>
        <w:rPr>
          <w:spacing w:val="-2"/>
        </w:rPr>
        <w:t>in </w:t>
      </w:r>
      <w:r>
        <w:rPr/>
        <w:t>disguise. In principle, it should be possible to set up </w:t>
      </w:r>
      <w:r>
        <w:rPr>
          <w:spacing w:val="-2"/>
        </w:rPr>
        <w:t>new</w:t>
      </w:r>
      <w:r>
        <w:rPr>
          <w:spacing w:val="-12"/>
        </w:rPr>
        <w:t> </w:t>
      </w:r>
      <w:r>
        <w:rPr>
          <w:spacing w:val="-2"/>
        </w:rPr>
        <w:t>institutions</w:t>
      </w:r>
      <w:r>
        <w:rPr>
          <w:spacing w:val="-11"/>
        </w:rPr>
        <w:t> </w:t>
      </w:r>
      <w:r>
        <w:rPr>
          <w:spacing w:val="-2"/>
        </w:rPr>
        <w:t>in</w:t>
      </w:r>
      <w:r>
        <w:rPr>
          <w:spacing w:val="-12"/>
        </w:rPr>
        <w:t> </w:t>
      </w:r>
      <w:r>
        <w:rPr>
          <w:spacing w:val="-2"/>
        </w:rPr>
        <w:t>higher</w:t>
      </w:r>
      <w:r>
        <w:rPr>
          <w:spacing w:val="-11"/>
        </w:rPr>
        <w:t> </w:t>
      </w:r>
      <w:r>
        <w:rPr>
          <w:spacing w:val="-2"/>
        </w:rPr>
        <w:t>education,</w:t>
      </w:r>
      <w:r>
        <w:rPr>
          <w:spacing w:val="-12"/>
        </w:rPr>
        <w:t> </w:t>
      </w:r>
      <w:r>
        <w:rPr>
          <w:spacing w:val="-2"/>
        </w:rPr>
        <w:t>not</w:t>
      </w:r>
      <w:r>
        <w:rPr>
          <w:spacing w:val="-11"/>
        </w:rPr>
        <w:t> </w:t>
      </w:r>
      <w:r>
        <w:rPr>
          <w:spacing w:val="-2"/>
        </w:rPr>
        <w:t>just</w:t>
      </w:r>
      <w:r>
        <w:rPr>
          <w:spacing w:val="-12"/>
        </w:rPr>
        <w:t> </w:t>
      </w:r>
      <w:r>
        <w:rPr>
          <w:spacing w:val="-2"/>
        </w:rPr>
        <w:t>more</w:t>
      </w:r>
      <w:r>
        <w:rPr>
          <w:spacing w:val="-11"/>
        </w:rPr>
        <w:t> </w:t>
      </w:r>
      <w:r>
        <w:rPr>
          <w:spacing w:val="-2"/>
        </w:rPr>
        <w:t>IITs </w:t>
      </w:r>
      <w:r>
        <w:rPr/>
        <w:t>and</w:t>
      </w:r>
      <w:r>
        <w:rPr>
          <w:spacing w:val="-7"/>
        </w:rPr>
        <w:t> </w:t>
      </w:r>
      <w:r>
        <w:rPr/>
        <w:t>IIMs</w:t>
      </w:r>
      <w:r>
        <w:rPr>
          <w:spacing w:val="-7"/>
        </w:rPr>
        <w:t> </w:t>
      </w:r>
      <w:r>
        <w:rPr/>
        <w:t>but</w:t>
      </w:r>
      <w:r>
        <w:rPr>
          <w:spacing w:val="-7"/>
        </w:rPr>
        <w:t> </w:t>
      </w:r>
      <w:r>
        <w:rPr/>
        <w:t>also</w:t>
      </w:r>
      <w:r>
        <w:rPr>
          <w:spacing w:val="-7"/>
        </w:rPr>
        <w:t> </w:t>
      </w:r>
      <w:r>
        <w:rPr/>
        <w:t>more</w:t>
      </w:r>
      <w:r>
        <w:rPr>
          <w:spacing w:val="-7"/>
        </w:rPr>
        <w:t> </w:t>
      </w:r>
      <w:r>
        <w:rPr/>
        <w:t>universities,</w:t>
      </w:r>
      <w:r>
        <w:rPr>
          <w:spacing w:val="-7"/>
        </w:rPr>
        <w:t> </w:t>
      </w:r>
      <w:r>
        <w:rPr/>
        <w:t>as</w:t>
      </w:r>
      <w:r>
        <w:rPr>
          <w:spacing w:val="-7"/>
        </w:rPr>
        <w:t> </w:t>
      </w:r>
      <w:r>
        <w:rPr/>
        <w:t>public-private partnerships</w:t>
      </w:r>
      <w:r>
        <w:rPr>
          <w:spacing w:val="-2"/>
        </w:rPr>
        <w:t> </w:t>
      </w:r>
      <w:r>
        <w:rPr/>
        <w:t>where</w:t>
      </w:r>
      <w:r>
        <w:rPr>
          <w:spacing w:val="-2"/>
        </w:rPr>
        <w:t> </w:t>
      </w:r>
      <w:r>
        <w:rPr/>
        <w:t>the</w:t>
      </w:r>
      <w:r>
        <w:rPr>
          <w:spacing w:val="-2"/>
        </w:rPr>
        <w:t> </w:t>
      </w:r>
      <w:r>
        <w:rPr/>
        <w:t>government</w:t>
      </w:r>
      <w:r>
        <w:rPr>
          <w:spacing w:val="-2"/>
        </w:rPr>
        <w:t> </w:t>
      </w:r>
      <w:r>
        <w:rPr/>
        <w:t>provides</w:t>
      </w:r>
      <w:r>
        <w:rPr>
          <w:spacing w:val="-2"/>
        </w:rPr>
        <w:t> </w:t>
      </w:r>
      <w:r>
        <w:rPr/>
        <w:t>the</w:t>
      </w:r>
      <w:r>
        <w:rPr>
          <w:spacing w:val="-2"/>
        </w:rPr>
        <w:t> </w:t>
      </w:r>
      <w:r>
        <w:rPr/>
        <w:t>land </w:t>
      </w:r>
      <w:r>
        <w:rPr>
          <w:spacing w:val="-6"/>
        </w:rPr>
        <w:t>and</w:t>
      </w:r>
      <w:r>
        <w:rPr>
          <w:spacing w:val="-10"/>
        </w:rPr>
        <w:t> </w:t>
      </w:r>
      <w:r>
        <w:rPr>
          <w:spacing w:val="-6"/>
        </w:rPr>
        <w:t>the</w:t>
      </w:r>
      <w:r>
        <w:rPr>
          <w:spacing w:val="-8"/>
        </w:rPr>
        <w:t> </w:t>
      </w:r>
      <w:r>
        <w:rPr>
          <w:spacing w:val="-6"/>
        </w:rPr>
        <w:t>private</w:t>
      </w:r>
      <w:r>
        <w:rPr>
          <w:spacing w:val="-8"/>
        </w:rPr>
        <w:t> </w:t>
      </w:r>
      <w:r>
        <w:rPr>
          <w:spacing w:val="-6"/>
        </w:rPr>
        <w:t>sector</w:t>
      </w:r>
      <w:r>
        <w:rPr>
          <w:spacing w:val="-7"/>
        </w:rPr>
        <w:t> </w:t>
      </w:r>
      <w:r>
        <w:rPr>
          <w:spacing w:val="-6"/>
        </w:rPr>
        <w:t>provides</w:t>
      </w:r>
      <w:r>
        <w:rPr>
          <w:spacing w:val="-8"/>
        </w:rPr>
        <w:t> </w:t>
      </w:r>
      <w:r>
        <w:rPr>
          <w:spacing w:val="-6"/>
        </w:rPr>
        <w:t>the</w:t>
      </w:r>
      <w:r>
        <w:rPr>
          <w:spacing w:val="-8"/>
        </w:rPr>
        <w:t> </w:t>
      </w:r>
      <w:r>
        <w:rPr>
          <w:spacing w:val="-6"/>
        </w:rPr>
        <w:t>finances.</w:t>
      </w:r>
      <w:r>
        <w:rPr>
          <w:spacing w:val="-8"/>
        </w:rPr>
        <w:t> </w:t>
      </w:r>
      <w:r>
        <w:rPr>
          <w:spacing w:val="-6"/>
        </w:rPr>
        <w:t>Such</w:t>
      </w:r>
      <w:r>
        <w:rPr>
          <w:spacing w:val="-7"/>
        </w:rPr>
        <w:t> </w:t>
      </w:r>
      <w:r>
        <w:rPr>
          <w:spacing w:val="-6"/>
        </w:rPr>
        <w:t>public- </w:t>
      </w:r>
      <w:r>
        <w:rPr>
          <w:spacing w:val="-4"/>
        </w:rPr>
        <w:t>private partnerships which promote university-industry </w:t>
      </w:r>
      <w:r>
        <w:rPr/>
        <w:t>interface</w:t>
      </w:r>
      <w:r>
        <w:rPr>
          <w:spacing w:val="-14"/>
        </w:rPr>
        <w:t> </w:t>
      </w:r>
      <w:r>
        <w:rPr/>
        <w:t>would</w:t>
      </w:r>
      <w:r>
        <w:rPr>
          <w:spacing w:val="-14"/>
        </w:rPr>
        <w:t> </w:t>
      </w:r>
      <w:r>
        <w:rPr/>
        <w:t>also</w:t>
      </w:r>
      <w:r>
        <w:rPr>
          <w:spacing w:val="-14"/>
        </w:rPr>
        <w:t> </w:t>
      </w:r>
      <w:r>
        <w:rPr/>
        <w:t>strengthen</w:t>
      </w:r>
      <w:r>
        <w:rPr>
          <w:spacing w:val="-13"/>
        </w:rPr>
        <w:t> </w:t>
      </w:r>
      <w:r>
        <w:rPr/>
        <w:t>teaching</w:t>
      </w:r>
      <w:r>
        <w:rPr>
          <w:spacing w:val="-14"/>
        </w:rPr>
        <w:t> </w:t>
      </w:r>
      <w:r>
        <w:rPr/>
        <w:t>and</w:t>
      </w:r>
      <w:r>
        <w:rPr>
          <w:spacing w:val="-14"/>
        </w:rPr>
        <w:t> </w:t>
      </w:r>
      <w:r>
        <w:rPr/>
        <w:t>research.</w:t>
      </w:r>
    </w:p>
    <w:p>
      <w:pPr>
        <w:pStyle w:val="BodyText"/>
        <w:spacing w:before="16"/>
      </w:pPr>
    </w:p>
    <w:p>
      <w:pPr>
        <w:pStyle w:val="BodyText"/>
        <w:spacing w:line="266" w:lineRule="auto"/>
        <w:ind w:left="319" w:right="1077"/>
        <w:jc w:val="both"/>
      </w:pPr>
      <w:r>
        <w:rPr>
          <w:b/>
        </w:rPr>
        <w:t>International students: </w:t>
      </w:r>
      <w:r>
        <w:rPr/>
        <w:t>India is not an attractive destination</w:t>
      </w:r>
      <w:r>
        <w:rPr>
          <w:spacing w:val="80"/>
        </w:rPr>
        <w:t> </w:t>
      </w:r>
      <w:r>
        <w:rPr/>
        <w:t>for</w:t>
      </w:r>
      <w:r>
        <w:rPr>
          <w:spacing w:val="80"/>
        </w:rPr>
        <w:t> </w:t>
      </w:r>
      <w:r>
        <w:rPr/>
        <w:t>international</w:t>
      </w:r>
      <w:r>
        <w:rPr>
          <w:spacing w:val="80"/>
        </w:rPr>
        <w:t> </w:t>
      </w:r>
      <w:r>
        <w:rPr/>
        <w:t>students,</w:t>
      </w:r>
      <w:r>
        <w:rPr>
          <w:spacing w:val="80"/>
        </w:rPr>
        <w:t> </w:t>
      </w:r>
      <w:r>
        <w:rPr/>
        <w:t>not</w:t>
      </w:r>
      <w:r>
        <w:rPr>
          <w:spacing w:val="80"/>
        </w:rPr>
        <w:t> </w:t>
      </w:r>
      <w:r>
        <w:rPr/>
        <w:t>even</w:t>
      </w:r>
      <w:r>
        <w:rPr>
          <w:spacing w:val="40"/>
        </w:rPr>
        <w:t> </w:t>
      </w:r>
      <w:r>
        <w:rPr/>
        <w:t>as much as it used to be 30 years ago. It is time for</w:t>
      </w:r>
      <w:r>
        <w:rPr>
          <w:spacing w:val="40"/>
        </w:rPr>
        <w:t> </w:t>
      </w:r>
      <w:r>
        <w:rPr/>
        <w:t>us to make a conscious attempt to attract foreign students to India for higher education. This would enrich our academic milieu. This would enhance quality.</w:t>
      </w:r>
      <w:r>
        <w:rPr>
          <w:spacing w:val="-14"/>
        </w:rPr>
        <w:t> </w:t>
      </w:r>
      <w:r>
        <w:rPr/>
        <w:t>This</w:t>
      </w:r>
      <w:r>
        <w:rPr>
          <w:spacing w:val="-11"/>
        </w:rPr>
        <w:t> </w:t>
      </w:r>
      <w:r>
        <w:rPr/>
        <w:t>would</w:t>
      </w:r>
      <w:r>
        <w:rPr>
          <w:spacing w:val="-10"/>
        </w:rPr>
        <w:t> </w:t>
      </w:r>
      <w:r>
        <w:rPr/>
        <w:t>be</w:t>
      </w:r>
      <w:r>
        <w:rPr>
          <w:spacing w:val="-10"/>
        </w:rPr>
        <w:t> </w:t>
      </w:r>
      <w:r>
        <w:rPr/>
        <w:t>a</w:t>
      </w:r>
      <w:r>
        <w:rPr>
          <w:spacing w:val="-10"/>
        </w:rPr>
        <w:t> </w:t>
      </w:r>
      <w:r>
        <w:rPr/>
        <w:t>significant</w:t>
      </w:r>
      <w:r>
        <w:rPr>
          <w:spacing w:val="-10"/>
        </w:rPr>
        <w:t> </w:t>
      </w:r>
      <w:r>
        <w:rPr/>
        <w:t>source</w:t>
      </w:r>
      <w:r>
        <w:rPr>
          <w:spacing w:val="-10"/>
        </w:rPr>
        <w:t> </w:t>
      </w:r>
      <w:r>
        <w:rPr/>
        <w:t>of</w:t>
      </w:r>
      <w:r>
        <w:rPr>
          <w:spacing w:val="-10"/>
        </w:rPr>
        <w:t> </w:t>
      </w:r>
      <w:r>
        <w:rPr/>
        <w:t>finance. Even</w:t>
      </w:r>
      <w:r>
        <w:rPr>
          <w:spacing w:val="66"/>
        </w:rPr>
        <w:t> </w:t>
      </w:r>
      <w:r>
        <w:rPr/>
        <w:t>50,000</w:t>
      </w:r>
      <w:r>
        <w:rPr>
          <w:spacing w:val="66"/>
        </w:rPr>
        <w:t> </w:t>
      </w:r>
      <w:r>
        <w:rPr/>
        <w:t>foreign</w:t>
      </w:r>
      <w:r>
        <w:rPr>
          <w:spacing w:val="66"/>
        </w:rPr>
        <w:t> </w:t>
      </w:r>
      <w:r>
        <w:rPr/>
        <w:t>students</w:t>
      </w:r>
      <w:r>
        <w:rPr>
          <w:spacing w:val="66"/>
        </w:rPr>
        <w:t> </w:t>
      </w:r>
      <w:r>
        <w:rPr/>
        <w:t>charged</w:t>
      </w:r>
      <w:r>
        <w:rPr>
          <w:spacing w:val="66"/>
        </w:rPr>
        <w:t> </w:t>
      </w:r>
      <w:r>
        <w:rPr/>
        <w:t>fees</w:t>
      </w:r>
      <w:r>
        <w:rPr>
          <w:spacing w:val="66"/>
        </w:rPr>
        <w:t> </w:t>
      </w:r>
      <w:r>
        <w:rPr/>
        <w:t>at</w:t>
      </w:r>
      <w:r>
        <w:rPr>
          <w:spacing w:val="66"/>
        </w:rPr>
        <w:t> </w:t>
      </w:r>
      <w:r>
        <w:rPr>
          <w:spacing w:val="-5"/>
        </w:rPr>
        <w:t>an</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79"/>
        <w:jc w:val="both"/>
      </w:pPr>
      <w:r>
        <w:rPr/>
        <w:t>average rate of US$ 10,000 per annum would </w:t>
      </w:r>
      <w:r>
        <w:rPr/>
        <w:t>yield US$ 0.5 billion: the equivalent of Rs 2,300 crore per annum</w:t>
      </w:r>
      <w:r>
        <w:rPr>
          <w:spacing w:val="-14"/>
        </w:rPr>
        <w:t> </w:t>
      </w:r>
      <w:r>
        <w:rPr/>
        <w:t>in</w:t>
      </w:r>
      <w:r>
        <w:rPr>
          <w:spacing w:val="-14"/>
        </w:rPr>
        <w:t> </w:t>
      </w:r>
      <w:r>
        <w:rPr/>
        <w:t>current</w:t>
      </w:r>
      <w:r>
        <w:rPr>
          <w:spacing w:val="-14"/>
        </w:rPr>
        <w:t> </w:t>
      </w:r>
      <w:r>
        <w:rPr/>
        <w:t>prices</w:t>
      </w:r>
      <w:r>
        <w:rPr>
          <w:spacing w:val="-13"/>
        </w:rPr>
        <w:t> </w:t>
      </w:r>
      <w:r>
        <w:rPr/>
        <w:t>at</w:t>
      </w:r>
      <w:r>
        <w:rPr>
          <w:spacing w:val="-14"/>
        </w:rPr>
        <w:t> </w:t>
      </w:r>
      <w:r>
        <w:rPr/>
        <w:t>current</w:t>
      </w:r>
      <w:r>
        <w:rPr>
          <w:spacing w:val="-14"/>
        </w:rPr>
        <w:t> </w:t>
      </w:r>
      <w:r>
        <w:rPr/>
        <w:t>exchange</w:t>
      </w:r>
      <w:r>
        <w:rPr>
          <w:spacing w:val="-14"/>
        </w:rPr>
        <w:t> </w:t>
      </w:r>
      <w:r>
        <w:rPr/>
        <w:t>rates.</w:t>
      </w:r>
      <w:r>
        <w:rPr>
          <w:spacing w:val="-13"/>
        </w:rPr>
        <w:t> </w:t>
      </w:r>
      <w:r>
        <w:rPr/>
        <w:t>The other</w:t>
      </w:r>
      <w:r>
        <w:rPr>
          <w:spacing w:val="-10"/>
        </w:rPr>
        <w:t> </w:t>
      </w:r>
      <w:r>
        <w:rPr/>
        <w:t>side</w:t>
      </w:r>
      <w:r>
        <w:rPr>
          <w:spacing w:val="-10"/>
        </w:rPr>
        <w:t> </w:t>
      </w:r>
      <w:r>
        <w:rPr/>
        <w:t>of</w:t>
      </w:r>
      <w:r>
        <w:rPr>
          <w:spacing w:val="-10"/>
        </w:rPr>
        <w:t> </w:t>
      </w:r>
      <w:r>
        <w:rPr/>
        <w:t>the</w:t>
      </w:r>
      <w:r>
        <w:rPr>
          <w:spacing w:val="-10"/>
        </w:rPr>
        <w:t> </w:t>
      </w:r>
      <w:r>
        <w:rPr/>
        <w:t>coin</w:t>
      </w:r>
      <w:r>
        <w:rPr>
          <w:spacing w:val="-10"/>
        </w:rPr>
        <w:t> </w:t>
      </w:r>
      <w:r>
        <w:rPr/>
        <w:t>is</w:t>
      </w:r>
      <w:r>
        <w:rPr>
          <w:spacing w:val="-10"/>
        </w:rPr>
        <w:t> </w:t>
      </w:r>
      <w:r>
        <w:rPr/>
        <w:t>perhaps</w:t>
      </w:r>
      <w:r>
        <w:rPr>
          <w:spacing w:val="-10"/>
        </w:rPr>
        <w:t> </w:t>
      </w:r>
      <w:r>
        <w:rPr/>
        <w:t>even</w:t>
      </w:r>
      <w:r>
        <w:rPr>
          <w:spacing w:val="-10"/>
        </w:rPr>
        <w:t> </w:t>
      </w:r>
      <w:r>
        <w:rPr/>
        <w:t>more</w:t>
      </w:r>
      <w:r>
        <w:rPr>
          <w:spacing w:val="-10"/>
        </w:rPr>
        <w:t> </w:t>
      </w:r>
      <w:r>
        <w:rPr/>
        <w:t>important. </w:t>
      </w:r>
      <w:r>
        <w:rPr>
          <w:spacing w:val="-4"/>
        </w:rPr>
        <w:t>Estimates suggest that there are about 160,000 students from</w:t>
      </w:r>
      <w:r>
        <w:rPr>
          <w:spacing w:val="-10"/>
        </w:rPr>
        <w:t> </w:t>
      </w:r>
      <w:r>
        <w:rPr>
          <w:spacing w:val="-4"/>
        </w:rPr>
        <w:t>India</w:t>
      </w:r>
      <w:r>
        <w:rPr>
          <w:spacing w:val="-10"/>
        </w:rPr>
        <w:t> </w:t>
      </w:r>
      <w:r>
        <w:rPr>
          <w:spacing w:val="-4"/>
        </w:rPr>
        <w:t>studying</w:t>
      </w:r>
      <w:r>
        <w:rPr>
          <w:spacing w:val="-10"/>
        </w:rPr>
        <w:t> </w:t>
      </w:r>
      <w:r>
        <w:rPr>
          <w:spacing w:val="-4"/>
        </w:rPr>
        <w:t>abroad.</w:t>
      </w:r>
      <w:r>
        <w:rPr>
          <w:spacing w:val="-9"/>
        </w:rPr>
        <w:t> </w:t>
      </w:r>
      <w:r>
        <w:rPr>
          <w:spacing w:val="-4"/>
        </w:rPr>
        <w:t>If</w:t>
      </w:r>
      <w:r>
        <w:rPr>
          <w:spacing w:val="-10"/>
        </w:rPr>
        <w:t> </w:t>
      </w:r>
      <w:r>
        <w:rPr>
          <w:spacing w:val="-4"/>
        </w:rPr>
        <w:t>their</w:t>
      </w:r>
      <w:r>
        <w:rPr>
          <w:spacing w:val="-10"/>
        </w:rPr>
        <w:t> </w:t>
      </w:r>
      <w:r>
        <w:rPr>
          <w:spacing w:val="-4"/>
        </w:rPr>
        <w:t>average</w:t>
      </w:r>
      <w:r>
        <w:rPr>
          <w:spacing w:val="-10"/>
        </w:rPr>
        <w:t> </w:t>
      </w:r>
      <w:r>
        <w:rPr>
          <w:spacing w:val="-4"/>
        </w:rPr>
        <w:t>expenditure </w:t>
      </w:r>
      <w:r>
        <w:rPr>
          <w:spacing w:val="-2"/>
        </w:rPr>
        <w:t>on</w:t>
      </w:r>
      <w:r>
        <w:rPr>
          <w:spacing w:val="-11"/>
        </w:rPr>
        <w:t> </w:t>
      </w:r>
      <w:r>
        <w:rPr>
          <w:spacing w:val="-2"/>
        </w:rPr>
        <w:t>fees</w:t>
      </w:r>
      <w:r>
        <w:rPr>
          <w:spacing w:val="-11"/>
        </w:rPr>
        <w:t> </w:t>
      </w:r>
      <w:r>
        <w:rPr>
          <w:spacing w:val="-2"/>
        </w:rPr>
        <w:t>and</w:t>
      </w:r>
      <w:r>
        <w:rPr>
          <w:spacing w:val="-11"/>
        </w:rPr>
        <w:t> </w:t>
      </w:r>
      <w:r>
        <w:rPr>
          <w:spacing w:val="-2"/>
        </w:rPr>
        <w:t>maintenance</w:t>
      </w:r>
      <w:r>
        <w:rPr>
          <w:spacing w:val="-11"/>
        </w:rPr>
        <w:t> </w:t>
      </w:r>
      <w:r>
        <w:rPr>
          <w:spacing w:val="-2"/>
        </w:rPr>
        <w:t>is</w:t>
      </w:r>
      <w:r>
        <w:rPr>
          <w:spacing w:val="-11"/>
        </w:rPr>
        <w:t> </w:t>
      </w:r>
      <w:r>
        <w:rPr>
          <w:spacing w:val="-2"/>
        </w:rPr>
        <w:t>US$</w:t>
      </w:r>
      <w:r>
        <w:rPr>
          <w:spacing w:val="-11"/>
        </w:rPr>
        <w:t> </w:t>
      </w:r>
      <w:r>
        <w:rPr>
          <w:spacing w:val="-2"/>
        </w:rPr>
        <w:t>25,000</w:t>
      </w:r>
      <w:r>
        <w:rPr>
          <w:spacing w:val="-11"/>
        </w:rPr>
        <w:t> </w:t>
      </w:r>
      <w:r>
        <w:rPr>
          <w:spacing w:val="-2"/>
        </w:rPr>
        <w:t>per</w:t>
      </w:r>
      <w:r>
        <w:rPr>
          <w:spacing w:val="-11"/>
        </w:rPr>
        <w:t> </w:t>
      </w:r>
      <w:r>
        <w:rPr>
          <w:spacing w:val="-2"/>
        </w:rPr>
        <w:t>student</w:t>
      </w:r>
      <w:r>
        <w:rPr>
          <w:spacing w:val="-11"/>
        </w:rPr>
        <w:t> </w:t>
      </w:r>
      <w:r>
        <w:rPr>
          <w:spacing w:val="-2"/>
        </w:rPr>
        <w:t>per </w:t>
      </w:r>
      <w:r>
        <w:rPr>
          <w:w w:val="90"/>
        </w:rPr>
        <w:t>year, Indian students overseas are spending US$ 4 billion: </w:t>
      </w:r>
      <w:r>
        <w:rPr>
          <w:spacing w:val="-2"/>
        </w:rPr>
        <w:t>the</w:t>
      </w:r>
      <w:r>
        <w:rPr>
          <w:spacing w:val="-10"/>
        </w:rPr>
        <w:t> </w:t>
      </w:r>
      <w:r>
        <w:rPr>
          <w:spacing w:val="-2"/>
        </w:rPr>
        <w:t>equivalent</w:t>
      </w:r>
      <w:r>
        <w:rPr>
          <w:spacing w:val="-10"/>
        </w:rPr>
        <w:t> </w:t>
      </w:r>
      <w:r>
        <w:rPr>
          <w:spacing w:val="-2"/>
        </w:rPr>
        <w:t>of</w:t>
      </w:r>
      <w:r>
        <w:rPr>
          <w:spacing w:val="-10"/>
        </w:rPr>
        <w:t> </w:t>
      </w:r>
      <w:r>
        <w:rPr>
          <w:spacing w:val="-2"/>
        </w:rPr>
        <w:t>Rs</w:t>
      </w:r>
      <w:r>
        <w:rPr>
          <w:spacing w:val="-10"/>
        </w:rPr>
        <w:t> </w:t>
      </w:r>
      <w:r>
        <w:rPr>
          <w:spacing w:val="-2"/>
        </w:rPr>
        <w:t>18,400</w:t>
      </w:r>
      <w:r>
        <w:rPr>
          <w:spacing w:val="-10"/>
        </w:rPr>
        <w:t> </w:t>
      </w:r>
      <w:r>
        <w:rPr>
          <w:spacing w:val="-2"/>
        </w:rPr>
        <w:t>crore</w:t>
      </w:r>
      <w:r>
        <w:rPr>
          <w:spacing w:val="-10"/>
        </w:rPr>
        <w:t> </w:t>
      </w:r>
      <w:r>
        <w:rPr>
          <w:spacing w:val="-2"/>
        </w:rPr>
        <w:t>per</w:t>
      </w:r>
      <w:r>
        <w:rPr>
          <w:spacing w:val="-10"/>
        </w:rPr>
        <w:t> </w:t>
      </w:r>
      <w:r>
        <w:rPr>
          <w:spacing w:val="-2"/>
        </w:rPr>
        <w:t>annum</w:t>
      </w:r>
      <w:r>
        <w:rPr>
          <w:spacing w:val="-10"/>
        </w:rPr>
        <w:t> </w:t>
      </w:r>
      <w:r>
        <w:rPr>
          <w:spacing w:val="-2"/>
        </w:rPr>
        <w:t>in</w:t>
      </w:r>
      <w:r>
        <w:rPr>
          <w:spacing w:val="-10"/>
        </w:rPr>
        <w:t> </w:t>
      </w:r>
      <w:r>
        <w:rPr>
          <w:spacing w:val="-2"/>
        </w:rPr>
        <w:t>current prices</w:t>
      </w:r>
      <w:r>
        <w:rPr>
          <w:spacing w:val="-10"/>
        </w:rPr>
        <w:t> </w:t>
      </w:r>
      <w:r>
        <w:rPr>
          <w:spacing w:val="-2"/>
        </w:rPr>
        <w:t>at</w:t>
      </w:r>
      <w:r>
        <w:rPr>
          <w:spacing w:val="-7"/>
        </w:rPr>
        <w:t> </w:t>
      </w:r>
      <w:r>
        <w:rPr>
          <w:spacing w:val="-2"/>
        </w:rPr>
        <w:t>current</w:t>
      </w:r>
      <w:r>
        <w:rPr>
          <w:spacing w:val="-7"/>
        </w:rPr>
        <w:t> </w:t>
      </w:r>
      <w:r>
        <w:rPr>
          <w:spacing w:val="-2"/>
        </w:rPr>
        <w:t>exchange</w:t>
      </w:r>
      <w:r>
        <w:rPr>
          <w:spacing w:val="-7"/>
        </w:rPr>
        <w:t> </w:t>
      </w:r>
      <w:r>
        <w:rPr>
          <w:spacing w:val="-2"/>
        </w:rPr>
        <w:t>rates.</w:t>
      </w:r>
      <w:r>
        <w:rPr>
          <w:spacing w:val="-12"/>
        </w:rPr>
        <w:t> </w:t>
      </w:r>
      <w:r>
        <w:rPr>
          <w:spacing w:val="-2"/>
        </w:rPr>
        <w:t>This</w:t>
      </w:r>
      <w:r>
        <w:rPr>
          <w:spacing w:val="-7"/>
        </w:rPr>
        <w:t> </w:t>
      </w:r>
      <w:r>
        <w:rPr>
          <w:spacing w:val="-2"/>
        </w:rPr>
        <w:t>has</w:t>
      </w:r>
      <w:r>
        <w:rPr>
          <w:spacing w:val="-7"/>
        </w:rPr>
        <w:t> </w:t>
      </w:r>
      <w:r>
        <w:rPr>
          <w:spacing w:val="-2"/>
        </w:rPr>
        <w:t>an</w:t>
      </w:r>
      <w:r>
        <w:rPr>
          <w:spacing w:val="-7"/>
        </w:rPr>
        <w:t> </w:t>
      </w:r>
      <w:r>
        <w:rPr>
          <w:spacing w:val="-2"/>
        </w:rPr>
        <w:t>enormous </w:t>
      </w:r>
      <w:r>
        <w:rPr/>
        <w:t>potential</w:t>
      </w:r>
      <w:r>
        <w:rPr>
          <w:spacing w:val="-14"/>
        </w:rPr>
        <w:t> </w:t>
      </w:r>
      <w:r>
        <w:rPr/>
        <w:t>as</w:t>
      </w:r>
      <w:r>
        <w:rPr>
          <w:spacing w:val="-14"/>
        </w:rPr>
        <w:t> </w:t>
      </w:r>
      <w:r>
        <w:rPr/>
        <w:t>a</w:t>
      </w:r>
      <w:r>
        <w:rPr>
          <w:spacing w:val="-14"/>
        </w:rPr>
        <w:t> </w:t>
      </w:r>
      <w:r>
        <w:rPr/>
        <w:t>source</w:t>
      </w:r>
      <w:r>
        <w:rPr>
          <w:spacing w:val="-13"/>
        </w:rPr>
        <w:t> </w:t>
      </w:r>
      <w:r>
        <w:rPr/>
        <w:t>of</w:t>
      </w:r>
      <w:r>
        <w:rPr>
          <w:spacing w:val="-14"/>
        </w:rPr>
        <w:t> </w:t>
      </w:r>
      <w:r>
        <w:rPr/>
        <w:t>finance</w:t>
      </w:r>
      <w:r>
        <w:rPr>
          <w:spacing w:val="-14"/>
        </w:rPr>
        <w:t> </w:t>
      </w:r>
      <w:r>
        <w:rPr/>
        <w:t>for</w:t>
      </w:r>
      <w:r>
        <w:rPr>
          <w:spacing w:val="-14"/>
        </w:rPr>
        <w:t> </w:t>
      </w:r>
      <w:r>
        <w:rPr/>
        <w:t>higher</w:t>
      </w:r>
      <w:r>
        <w:rPr>
          <w:spacing w:val="-13"/>
        </w:rPr>
        <w:t> </w:t>
      </w:r>
      <w:r>
        <w:rPr/>
        <w:t>education</w:t>
      </w:r>
      <w:r>
        <w:rPr>
          <w:spacing w:val="-14"/>
        </w:rPr>
        <w:t> </w:t>
      </w:r>
      <w:r>
        <w:rPr/>
        <w:t>in India, if only we could crate more opportunities for </w:t>
      </w:r>
      <w:r>
        <w:rPr>
          <w:spacing w:val="-2"/>
        </w:rPr>
        <w:t>students</w:t>
      </w:r>
      <w:r>
        <w:rPr>
          <w:spacing w:val="-9"/>
        </w:rPr>
        <w:t> </w:t>
      </w:r>
      <w:r>
        <w:rPr>
          <w:spacing w:val="-2"/>
        </w:rPr>
        <w:t>with</w:t>
      </w:r>
      <w:r>
        <w:rPr>
          <w:spacing w:val="-9"/>
        </w:rPr>
        <w:t> </w:t>
      </w:r>
      <w:r>
        <w:rPr>
          <w:spacing w:val="-2"/>
        </w:rPr>
        <w:t>increased</w:t>
      </w:r>
      <w:r>
        <w:rPr>
          <w:spacing w:val="-9"/>
        </w:rPr>
        <w:t> </w:t>
      </w:r>
      <w:r>
        <w:rPr>
          <w:spacing w:val="-2"/>
        </w:rPr>
        <w:t>places</w:t>
      </w:r>
      <w:r>
        <w:rPr>
          <w:spacing w:val="-9"/>
        </w:rPr>
        <w:t> </w:t>
      </w:r>
      <w:r>
        <w:rPr>
          <w:spacing w:val="-2"/>
        </w:rPr>
        <w:t>and</w:t>
      </w:r>
      <w:r>
        <w:rPr>
          <w:spacing w:val="-9"/>
        </w:rPr>
        <w:t> </w:t>
      </w:r>
      <w:r>
        <w:rPr>
          <w:spacing w:val="-2"/>
        </w:rPr>
        <w:t>enhanced</w:t>
      </w:r>
      <w:r>
        <w:rPr>
          <w:spacing w:val="-9"/>
        </w:rPr>
        <w:t> </w:t>
      </w:r>
      <w:r>
        <w:rPr>
          <w:spacing w:val="-2"/>
        </w:rPr>
        <w:t>quality</w:t>
      </w:r>
      <w:r>
        <w:rPr>
          <w:spacing w:val="-9"/>
        </w:rPr>
        <w:t> </w:t>
      </w:r>
      <w:r>
        <w:rPr>
          <w:spacing w:val="-2"/>
        </w:rPr>
        <w:t>in </w:t>
      </w:r>
      <w:r>
        <w:rPr/>
        <w:t>our system.</w:t>
      </w:r>
    </w:p>
    <w:p>
      <w:pPr>
        <w:pStyle w:val="Heading6"/>
        <w:numPr>
          <w:ilvl w:val="0"/>
          <w:numId w:val="25"/>
        </w:numPr>
        <w:tabs>
          <w:tab w:pos="1404" w:val="left" w:leader="none"/>
        </w:tabs>
        <w:spacing w:line="240" w:lineRule="auto" w:before="176" w:after="0"/>
        <w:ind w:left="1404" w:right="0" w:hanging="325"/>
        <w:jc w:val="left"/>
      </w:pPr>
      <w:r>
        <w:rPr>
          <w:color w:val="2E614A"/>
          <w:spacing w:val="-2"/>
        </w:rPr>
        <w:t>Quality</w:t>
      </w:r>
    </w:p>
    <w:p>
      <w:pPr>
        <w:pStyle w:val="BodyText"/>
        <w:spacing w:line="266" w:lineRule="auto" w:before="285"/>
        <w:ind w:left="1079"/>
        <w:jc w:val="both"/>
      </w:pPr>
      <w:r>
        <w:rPr>
          <w:spacing w:val="-2"/>
        </w:rPr>
        <w:t>The</w:t>
      </w:r>
      <w:r>
        <w:rPr>
          <w:spacing w:val="-7"/>
        </w:rPr>
        <w:t> </w:t>
      </w:r>
      <w:r>
        <w:rPr>
          <w:spacing w:val="-2"/>
        </w:rPr>
        <w:t>introduction</w:t>
      </w:r>
      <w:r>
        <w:rPr>
          <w:spacing w:val="-7"/>
        </w:rPr>
        <w:t> </w:t>
      </w:r>
      <w:r>
        <w:rPr>
          <w:spacing w:val="-2"/>
        </w:rPr>
        <w:t>of</w:t>
      </w:r>
      <w:r>
        <w:rPr>
          <w:spacing w:val="-7"/>
        </w:rPr>
        <w:t> </w:t>
      </w:r>
      <w:r>
        <w:rPr>
          <w:spacing w:val="-2"/>
        </w:rPr>
        <w:t>an</w:t>
      </w:r>
      <w:r>
        <w:rPr>
          <w:spacing w:val="-7"/>
        </w:rPr>
        <w:t> </w:t>
      </w:r>
      <w:r>
        <w:rPr>
          <w:spacing w:val="-2"/>
        </w:rPr>
        <w:t>independent</w:t>
      </w:r>
      <w:r>
        <w:rPr>
          <w:spacing w:val="-7"/>
        </w:rPr>
        <w:t> </w:t>
      </w:r>
      <w:r>
        <w:rPr>
          <w:spacing w:val="-2"/>
        </w:rPr>
        <w:t>regulator</w:t>
      </w:r>
      <w:r>
        <w:rPr>
          <w:spacing w:val="-7"/>
        </w:rPr>
        <w:t> </w:t>
      </w:r>
      <w:r>
        <w:rPr>
          <w:spacing w:val="-2"/>
        </w:rPr>
        <w:t>in</w:t>
      </w:r>
      <w:r>
        <w:rPr>
          <w:spacing w:val="-7"/>
        </w:rPr>
        <w:t> </w:t>
      </w:r>
      <w:r>
        <w:rPr>
          <w:spacing w:val="-2"/>
        </w:rPr>
        <w:t>higher </w:t>
      </w:r>
      <w:r>
        <w:rPr>
          <w:spacing w:val="-4"/>
        </w:rPr>
        <w:t>education,</w:t>
      </w:r>
      <w:r>
        <w:rPr>
          <w:spacing w:val="-10"/>
        </w:rPr>
        <w:t> </w:t>
      </w:r>
      <w:r>
        <w:rPr>
          <w:spacing w:val="-4"/>
        </w:rPr>
        <w:t>the</w:t>
      </w:r>
      <w:r>
        <w:rPr>
          <w:spacing w:val="-10"/>
        </w:rPr>
        <w:t> </w:t>
      </w:r>
      <w:r>
        <w:rPr>
          <w:spacing w:val="-4"/>
        </w:rPr>
        <w:t>reform</w:t>
      </w:r>
      <w:r>
        <w:rPr>
          <w:spacing w:val="-10"/>
        </w:rPr>
        <w:t> </w:t>
      </w:r>
      <w:r>
        <w:rPr>
          <w:spacing w:val="-4"/>
        </w:rPr>
        <w:t>of</w:t>
      </w:r>
      <w:r>
        <w:rPr>
          <w:spacing w:val="-9"/>
        </w:rPr>
        <w:t> </w:t>
      </w:r>
      <w:r>
        <w:rPr>
          <w:spacing w:val="-4"/>
        </w:rPr>
        <w:t>existing</w:t>
      </w:r>
      <w:r>
        <w:rPr>
          <w:spacing w:val="-10"/>
        </w:rPr>
        <w:t> </w:t>
      </w:r>
      <w:r>
        <w:rPr>
          <w:spacing w:val="-4"/>
        </w:rPr>
        <w:t>public</w:t>
      </w:r>
      <w:r>
        <w:rPr>
          <w:spacing w:val="-10"/>
        </w:rPr>
        <w:t> </w:t>
      </w:r>
      <w:r>
        <w:rPr>
          <w:spacing w:val="-4"/>
        </w:rPr>
        <w:t>universities</w:t>
      </w:r>
      <w:r>
        <w:rPr>
          <w:spacing w:val="-10"/>
        </w:rPr>
        <w:t> </w:t>
      </w:r>
      <w:r>
        <w:rPr>
          <w:spacing w:val="-4"/>
        </w:rPr>
        <w:t>and </w:t>
      </w:r>
      <w:r>
        <w:rPr/>
        <w:t>the creation of national universities, taken together, would</w:t>
      </w:r>
      <w:r>
        <w:rPr>
          <w:spacing w:val="-5"/>
        </w:rPr>
        <w:t> </w:t>
      </w:r>
      <w:r>
        <w:rPr/>
        <w:t>contribute</w:t>
      </w:r>
      <w:r>
        <w:rPr>
          <w:spacing w:val="-5"/>
        </w:rPr>
        <w:t> </w:t>
      </w:r>
      <w:r>
        <w:rPr/>
        <w:t>to</w:t>
      </w:r>
      <w:r>
        <w:rPr>
          <w:spacing w:val="-5"/>
        </w:rPr>
        <w:t> </w:t>
      </w:r>
      <w:r>
        <w:rPr/>
        <w:t>enhancement</w:t>
      </w:r>
      <w:r>
        <w:rPr>
          <w:spacing w:val="-5"/>
        </w:rPr>
        <w:t> </w:t>
      </w:r>
      <w:r>
        <w:rPr/>
        <w:t>of</w:t>
      </w:r>
      <w:r>
        <w:rPr>
          <w:spacing w:val="-5"/>
        </w:rPr>
        <w:t> </w:t>
      </w:r>
      <w:r>
        <w:rPr/>
        <w:t>quality</w:t>
      </w:r>
      <w:r>
        <w:rPr>
          <w:spacing w:val="-5"/>
        </w:rPr>
        <w:t> </w:t>
      </w:r>
      <w:r>
        <w:rPr/>
        <w:t>in</w:t>
      </w:r>
      <w:r>
        <w:rPr>
          <w:spacing w:val="-5"/>
        </w:rPr>
        <w:t> </w:t>
      </w:r>
      <w:r>
        <w:rPr/>
        <w:t>higher education. But this needs to be supported with some pro-active steps that would foster quality in higher </w:t>
      </w:r>
      <w:r>
        <w:rPr>
          <w:spacing w:val="-2"/>
        </w:rPr>
        <w:t>education.</w:t>
      </w:r>
    </w:p>
    <w:p>
      <w:pPr>
        <w:pStyle w:val="BodyText"/>
        <w:spacing w:before="21"/>
      </w:pPr>
    </w:p>
    <w:p>
      <w:pPr>
        <w:pStyle w:val="BodyText"/>
        <w:spacing w:line="266" w:lineRule="auto"/>
        <w:ind w:left="1079"/>
        <w:jc w:val="both"/>
      </w:pPr>
      <w:r>
        <w:rPr>
          <w:b/>
          <w:w w:val="90"/>
        </w:rPr>
        <w:t>Accountability:</w:t>
      </w:r>
      <w:r>
        <w:rPr>
          <w:b/>
          <w:spacing w:val="-1"/>
          <w:w w:val="90"/>
        </w:rPr>
        <w:t> </w:t>
      </w:r>
      <w:r>
        <w:rPr>
          <w:w w:val="90"/>
        </w:rPr>
        <w:t>The quality of higher education </w:t>
      </w:r>
      <w:r>
        <w:rPr>
          <w:w w:val="90"/>
        </w:rPr>
        <w:t>depends </w:t>
      </w:r>
      <w:r>
        <w:rPr>
          <w:spacing w:val="-2"/>
        </w:rPr>
        <w:t>on</w:t>
      </w:r>
      <w:r>
        <w:rPr>
          <w:spacing w:val="-10"/>
        </w:rPr>
        <w:t> </w:t>
      </w:r>
      <w:r>
        <w:rPr>
          <w:spacing w:val="-2"/>
        </w:rPr>
        <w:t>a</w:t>
      </w:r>
      <w:r>
        <w:rPr>
          <w:spacing w:val="-10"/>
        </w:rPr>
        <w:t> </w:t>
      </w:r>
      <w:r>
        <w:rPr>
          <w:spacing w:val="-2"/>
        </w:rPr>
        <w:t>wide</w:t>
      </w:r>
      <w:r>
        <w:rPr>
          <w:spacing w:val="-10"/>
        </w:rPr>
        <w:t> </w:t>
      </w:r>
      <w:r>
        <w:rPr>
          <w:spacing w:val="-2"/>
        </w:rPr>
        <w:t>range</w:t>
      </w:r>
      <w:r>
        <w:rPr>
          <w:spacing w:val="-10"/>
        </w:rPr>
        <w:t> </w:t>
      </w:r>
      <w:r>
        <w:rPr>
          <w:spacing w:val="-2"/>
        </w:rPr>
        <w:t>of</w:t>
      </w:r>
      <w:r>
        <w:rPr>
          <w:spacing w:val="-10"/>
        </w:rPr>
        <w:t> </w:t>
      </w:r>
      <w:r>
        <w:rPr>
          <w:spacing w:val="-2"/>
        </w:rPr>
        <w:t>factors.</w:t>
      </w:r>
      <w:r>
        <w:rPr>
          <w:spacing w:val="-10"/>
        </w:rPr>
        <w:t> </w:t>
      </w:r>
      <w:r>
        <w:rPr>
          <w:spacing w:val="-2"/>
        </w:rPr>
        <w:t>But</w:t>
      </w:r>
      <w:r>
        <w:rPr>
          <w:spacing w:val="-10"/>
        </w:rPr>
        <w:t> </w:t>
      </w:r>
      <w:r>
        <w:rPr>
          <w:spacing w:val="-2"/>
        </w:rPr>
        <w:t>accountability,</w:t>
      </w:r>
      <w:r>
        <w:rPr>
          <w:spacing w:val="-10"/>
        </w:rPr>
        <w:t> </w:t>
      </w:r>
      <w:r>
        <w:rPr>
          <w:spacing w:val="-2"/>
        </w:rPr>
        <w:t>at</w:t>
      </w:r>
      <w:r>
        <w:rPr>
          <w:spacing w:val="-10"/>
        </w:rPr>
        <w:t> </w:t>
      </w:r>
      <w:r>
        <w:rPr>
          <w:spacing w:val="-2"/>
        </w:rPr>
        <w:t>every </w:t>
      </w:r>
      <w:r>
        <w:rPr/>
        <w:t>level, is a critical determinant. The higher education system must, therefore, provide for accountability vis-à-vis the outside world and create accountability within</w:t>
      </w:r>
      <w:r>
        <w:rPr>
          <w:spacing w:val="-14"/>
        </w:rPr>
        <w:t> </w:t>
      </w:r>
      <w:r>
        <w:rPr/>
        <w:t>the</w:t>
      </w:r>
      <w:r>
        <w:rPr>
          <w:spacing w:val="-14"/>
        </w:rPr>
        <w:t> </w:t>
      </w:r>
      <w:r>
        <w:rPr/>
        <w:t>system.</w:t>
      </w:r>
      <w:r>
        <w:rPr>
          <w:spacing w:val="-14"/>
        </w:rPr>
        <w:t> </w:t>
      </w:r>
      <w:r>
        <w:rPr/>
        <w:t>Accountability</w:t>
      </w:r>
      <w:r>
        <w:rPr>
          <w:spacing w:val="-13"/>
        </w:rPr>
        <w:t> </w:t>
      </w:r>
      <w:r>
        <w:rPr/>
        <w:t>of</w:t>
      </w:r>
      <w:r>
        <w:rPr>
          <w:spacing w:val="-14"/>
        </w:rPr>
        <w:t> </w:t>
      </w:r>
      <w:r>
        <w:rPr/>
        <w:t>universities</w:t>
      </w:r>
      <w:r>
        <w:rPr>
          <w:spacing w:val="-14"/>
        </w:rPr>
        <w:t> </w:t>
      </w:r>
      <w:r>
        <w:rPr/>
        <w:t>must not</w:t>
      </w:r>
      <w:r>
        <w:rPr>
          <w:spacing w:val="-7"/>
        </w:rPr>
        <w:t> </w:t>
      </w:r>
      <w:r>
        <w:rPr/>
        <w:t>be</w:t>
      </w:r>
      <w:r>
        <w:rPr>
          <w:spacing w:val="-7"/>
        </w:rPr>
        <w:t> </w:t>
      </w:r>
      <w:r>
        <w:rPr/>
        <w:t>confused</w:t>
      </w:r>
      <w:r>
        <w:rPr>
          <w:spacing w:val="-7"/>
        </w:rPr>
        <w:t> </w:t>
      </w:r>
      <w:r>
        <w:rPr/>
        <w:t>with</w:t>
      </w:r>
      <w:r>
        <w:rPr>
          <w:spacing w:val="-7"/>
        </w:rPr>
        <w:t> </w:t>
      </w:r>
      <w:r>
        <w:rPr/>
        <w:t>control</w:t>
      </w:r>
      <w:r>
        <w:rPr>
          <w:spacing w:val="-7"/>
        </w:rPr>
        <w:t> </w:t>
      </w:r>
      <w:r>
        <w:rPr/>
        <w:t>of</w:t>
      </w:r>
      <w:r>
        <w:rPr>
          <w:spacing w:val="-7"/>
        </w:rPr>
        <w:t> </w:t>
      </w:r>
      <w:r>
        <w:rPr/>
        <w:t>the</w:t>
      </w:r>
      <w:r>
        <w:rPr>
          <w:spacing w:val="-7"/>
        </w:rPr>
        <w:t> </w:t>
      </w:r>
      <w:r>
        <w:rPr/>
        <w:t>state.</w:t>
      </w:r>
      <w:r>
        <w:rPr>
          <w:spacing w:val="-7"/>
        </w:rPr>
        <w:t> </w:t>
      </w:r>
      <w:r>
        <w:rPr/>
        <w:t>Institutional </w:t>
      </w:r>
      <w:r>
        <w:rPr>
          <w:spacing w:val="-2"/>
        </w:rPr>
        <w:t>mechanisms,</w:t>
      </w:r>
      <w:r>
        <w:rPr>
          <w:spacing w:val="-6"/>
        </w:rPr>
        <w:t> </w:t>
      </w:r>
      <w:r>
        <w:rPr>
          <w:spacing w:val="-2"/>
        </w:rPr>
        <w:t>based</w:t>
      </w:r>
      <w:r>
        <w:rPr>
          <w:spacing w:val="-6"/>
        </w:rPr>
        <w:t> </w:t>
      </w:r>
      <w:r>
        <w:rPr>
          <w:spacing w:val="-2"/>
        </w:rPr>
        <w:t>on</w:t>
      </w:r>
      <w:r>
        <w:rPr>
          <w:spacing w:val="-6"/>
        </w:rPr>
        <w:t> </w:t>
      </w:r>
      <w:r>
        <w:rPr>
          <w:spacing w:val="-2"/>
        </w:rPr>
        <w:t>checks</w:t>
      </w:r>
      <w:r>
        <w:rPr>
          <w:spacing w:val="-6"/>
        </w:rPr>
        <w:t> </w:t>
      </w:r>
      <w:r>
        <w:rPr>
          <w:spacing w:val="-2"/>
        </w:rPr>
        <w:t>and</w:t>
      </w:r>
      <w:r>
        <w:rPr>
          <w:spacing w:val="-6"/>
        </w:rPr>
        <w:t> </w:t>
      </w:r>
      <w:r>
        <w:rPr>
          <w:spacing w:val="-2"/>
        </w:rPr>
        <w:t>balances,</w:t>
      </w:r>
      <w:r>
        <w:rPr>
          <w:spacing w:val="-6"/>
        </w:rPr>
        <w:t> </w:t>
      </w:r>
      <w:r>
        <w:rPr>
          <w:spacing w:val="-2"/>
        </w:rPr>
        <w:t>constitute </w:t>
      </w:r>
      <w:r>
        <w:rPr>
          <w:spacing w:val="-4"/>
        </w:rPr>
        <w:t>the</w:t>
      </w:r>
      <w:r>
        <w:rPr>
          <w:spacing w:val="-12"/>
        </w:rPr>
        <w:t> </w:t>
      </w:r>
      <w:r>
        <w:rPr>
          <w:spacing w:val="-4"/>
        </w:rPr>
        <w:t>most</w:t>
      </w:r>
      <w:r>
        <w:rPr>
          <w:spacing w:val="-10"/>
        </w:rPr>
        <w:t> </w:t>
      </w:r>
      <w:r>
        <w:rPr>
          <w:spacing w:val="-4"/>
        </w:rPr>
        <w:t>effective</w:t>
      </w:r>
      <w:r>
        <w:rPr>
          <w:spacing w:val="-10"/>
        </w:rPr>
        <w:t> </w:t>
      </w:r>
      <w:r>
        <w:rPr>
          <w:spacing w:val="-4"/>
        </w:rPr>
        <w:t>system</w:t>
      </w:r>
      <w:r>
        <w:rPr>
          <w:spacing w:val="-9"/>
        </w:rPr>
        <w:t> </w:t>
      </w:r>
      <w:r>
        <w:rPr>
          <w:spacing w:val="-4"/>
        </w:rPr>
        <w:t>for</w:t>
      </w:r>
      <w:r>
        <w:rPr>
          <w:spacing w:val="-10"/>
        </w:rPr>
        <w:t> </w:t>
      </w:r>
      <w:r>
        <w:rPr>
          <w:spacing w:val="-4"/>
        </w:rPr>
        <w:t>this</w:t>
      </w:r>
      <w:r>
        <w:rPr>
          <w:spacing w:val="-10"/>
        </w:rPr>
        <w:t> </w:t>
      </w:r>
      <w:r>
        <w:rPr>
          <w:spacing w:val="-4"/>
        </w:rPr>
        <w:t>purpose.</w:t>
      </w:r>
      <w:r>
        <w:rPr>
          <w:spacing w:val="-10"/>
        </w:rPr>
        <w:t> </w:t>
      </w:r>
      <w:r>
        <w:rPr>
          <w:spacing w:val="-4"/>
        </w:rPr>
        <w:t>The</w:t>
      </w:r>
      <w:r>
        <w:rPr>
          <w:spacing w:val="-9"/>
        </w:rPr>
        <w:t> </w:t>
      </w:r>
      <w:r>
        <w:rPr>
          <w:spacing w:val="-4"/>
        </w:rPr>
        <w:t>essential </w:t>
      </w:r>
      <w:r>
        <w:rPr/>
        <w:t>objective of accountability to society must be to empower</w:t>
      </w:r>
      <w:r>
        <w:rPr>
          <w:spacing w:val="-14"/>
        </w:rPr>
        <w:t> </w:t>
      </w:r>
      <w:r>
        <w:rPr/>
        <w:t>students</w:t>
      </w:r>
      <w:r>
        <w:rPr>
          <w:spacing w:val="-14"/>
        </w:rPr>
        <w:t> </w:t>
      </w:r>
      <w:r>
        <w:rPr/>
        <w:t>to</w:t>
      </w:r>
      <w:r>
        <w:rPr>
          <w:spacing w:val="-14"/>
        </w:rPr>
        <w:t> </w:t>
      </w:r>
      <w:r>
        <w:rPr/>
        <w:t>take</w:t>
      </w:r>
      <w:r>
        <w:rPr>
          <w:spacing w:val="-13"/>
        </w:rPr>
        <w:t> </w:t>
      </w:r>
      <w:r>
        <w:rPr/>
        <w:t>decisions</w:t>
      </w:r>
      <w:r>
        <w:rPr>
          <w:spacing w:val="-14"/>
        </w:rPr>
        <w:t> </w:t>
      </w:r>
      <w:r>
        <w:rPr/>
        <w:t>rather</w:t>
      </w:r>
      <w:r>
        <w:rPr>
          <w:spacing w:val="-14"/>
        </w:rPr>
        <w:t> </w:t>
      </w:r>
      <w:r>
        <w:rPr/>
        <w:t>than</w:t>
      </w:r>
      <w:r>
        <w:rPr>
          <w:spacing w:val="-14"/>
        </w:rPr>
        <w:t> </w:t>
      </w:r>
      <w:r>
        <w:rPr/>
        <w:t>simply </w:t>
      </w:r>
      <w:r>
        <w:rPr>
          <w:spacing w:val="-2"/>
        </w:rPr>
        <w:t>increase</w:t>
      </w:r>
      <w:r>
        <w:rPr>
          <w:spacing w:val="-12"/>
        </w:rPr>
        <w:t> </w:t>
      </w:r>
      <w:r>
        <w:rPr>
          <w:spacing w:val="-2"/>
        </w:rPr>
        <w:t>the</w:t>
      </w:r>
      <w:r>
        <w:rPr>
          <w:spacing w:val="-12"/>
        </w:rPr>
        <w:t> </w:t>
      </w:r>
      <w:r>
        <w:rPr>
          <w:spacing w:val="-2"/>
        </w:rPr>
        <w:t>power</w:t>
      </w:r>
      <w:r>
        <w:rPr>
          <w:spacing w:val="-12"/>
        </w:rPr>
        <w:t> </w:t>
      </w:r>
      <w:r>
        <w:rPr>
          <w:spacing w:val="-2"/>
        </w:rPr>
        <w:t>of</w:t>
      </w:r>
      <w:r>
        <w:rPr>
          <w:spacing w:val="-11"/>
        </w:rPr>
        <w:t> </w:t>
      </w:r>
      <w:r>
        <w:rPr>
          <w:spacing w:val="-2"/>
        </w:rPr>
        <w:t>the</w:t>
      </w:r>
      <w:r>
        <w:rPr>
          <w:spacing w:val="-12"/>
        </w:rPr>
        <w:t> </w:t>
      </w:r>
      <w:r>
        <w:rPr>
          <w:spacing w:val="-2"/>
        </w:rPr>
        <w:t>state.</w:t>
      </w:r>
      <w:r>
        <w:rPr>
          <w:spacing w:val="-12"/>
        </w:rPr>
        <w:t> </w:t>
      </w:r>
      <w:r>
        <w:rPr>
          <w:spacing w:val="-2"/>
        </w:rPr>
        <w:t>Stipulated</w:t>
      </w:r>
      <w:r>
        <w:rPr>
          <w:spacing w:val="-12"/>
        </w:rPr>
        <w:t> </w:t>
      </w:r>
      <w:r>
        <w:rPr>
          <w:spacing w:val="-2"/>
        </w:rPr>
        <w:t>performance criteria</w:t>
      </w:r>
      <w:r>
        <w:rPr>
          <w:spacing w:val="-9"/>
        </w:rPr>
        <w:t> </w:t>
      </w:r>
      <w:r>
        <w:rPr>
          <w:spacing w:val="-2"/>
        </w:rPr>
        <w:t>or</w:t>
      </w:r>
      <w:r>
        <w:rPr>
          <w:spacing w:val="-9"/>
        </w:rPr>
        <w:t> </w:t>
      </w:r>
      <w:r>
        <w:rPr>
          <w:spacing w:val="-2"/>
        </w:rPr>
        <w:t>inspections</w:t>
      </w:r>
      <w:r>
        <w:rPr>
          <w:spacing w:val="-9"/>
        </w:rPr>
        <w:t> </w:t>
      </w:r>
      <w:r>
        <w:rPr>
          <w:spacing w:val="-2"/>
        </w:rPr>
        <w:t>are</w:t>
      </w:r>
      <w:r>
        <w:rPr>
          <w:spacing w:val="-9"/>
        </w:rPr>
        <w:t> </w:t>
      </w:r>
      <w:r>
        <w:rPr>
          <w:spacing w:val="-2"/>
        </w:rPr>
        <w:t>forms</w:t>
      </w:r>
      <w:r>
        <w:rPr>
          <w:spacing w:val="-9"/>
        </w:rPr>
        <w:t> </w:t>
      </w:r>
      <w:r>
        <w:rPr>
          <w:spacing w:val="-2"/>
        </w:rPr>
        <w:t>of</w:t>
      </w:r>
      <w:r>
        <w:rPr>
          <w:spacing w:val="-9"/>
        </w:rPr>
        <w:t> </w:t>
      </w:r>
      <w:r>
        <w:rPr>
          <w:spacing w:val="-2"/>
        </w:rPr>
        <w:t>control.</w:t>
      </w:r>
      <w:r>
        <w:rPr>
          <w:spacing w:val="-11"/>
        </w:rPr>
        <w:t> </w:t>
      </w:r>
      <w:r>
        <w:rPr>
          <w:spacing w:val="-2"/>
        </w:rPr>
        <w:t>We</w:t>
      </w:r>
      <w:r>
        <w:rPr>
          <w:spacing w:val="-9"/>
        </w:rPr>
        <w:t> </w:t>
      </w:r>
      <w:r>
        <w:rPr>
          <w:spacing w:val="-2"/>
        </w:rPr>
        <w:t>need</w:t>
      </w:r>
      <w:r>
        <w:rPr>
          <w:spacing w:val="-9"/>
        </w:rPr>
        <w:t> </w:t>
      </w:r>
      <w:r>
        <w:rPr>
          <w:spacing w:val="-2"/>
        </w:rPr>
        <w:t>to </w:t>
      </w:r>
      <w:r>
        <w:rPr/>
        <w:t>create</w:t>
      </w:r>
      <w:r>
        <w:rPr>
          <w:spacing w:val="-16"/>
        </w:rPr>
        <w:t> </w:t>
      </w:r>
      <w:r>
        <w:rPr/>
        <w:t>systems</w:t>
      </w:r>
      <w:r>
        <w:rPr>
          <w:spacing w:val="-14"/>
        </w:rPr>
        <w:t> </w:t>
      </w:r>
      <w:r>
        <w:rPr/>
        <w:t>that</w:t>
      </w:r>
      <w:r>
        <w:rPr>
          <w:spacing w:val="-14"/>
        </w:rPr>
        <w:t> </w:t>
      </w:r>
      <w:r>
        <w:rPr/>
        <w:t>enable</w:t>
      </w:r>
      <w:r>
        <w:rPr>
          <w:spacing w:val="-13"/>
        </w:rPr>
        <w:t> </w:t>
      </w:r>
      <w:r>
        <w:rPr/>
        <w:t>students,</w:t>
      </w:r>
      <w:r>
        <w:rPr>
          <w:spacing w:val="-14"/>
        </w:rPr>
        <w:t> </w:t>
      </w:r>
      <w:r>
        <w:rPr/>
        <w:t>or</w:t>
      </w:r>
      <w:r>
        <w:rPr>
          <w:spacing w:val="-14"/>
        </w:rPr>
        <w:t> </w:t>
      </w:r>
      <w:r>
        <w:rPr/>
        <w:t>their</w:t>
      </w:r>
      <w:r>
        <w:rPr>
          <w:spacing w:val="-14"/>
        </w:rPr>
        <w:t> </w:t>
      </w:r>
      <w:r>
        <w:rPr/>
        <w:t>parents,</w:t>
      </w:r>
      <w:r>
        <w:rPr>
          <w:spacing w:val="-13"/>
        </w:rPr>
        <w:t> </w:t>
      </w:r>
      <w:r>
        <w:rPr/>
        <w:t>to choose</w:t>
      </w:r>
      <w:r>
        <w:rPr>
          <w:spacing w:val="-14"/>
        </w:rPr>
        <w:t> </w:t>
      </w:r>
      <w:r>
        <w:rPr/>
        <w:t>between</w:t>
      </w:r>
      <w:r>
        <w:rPr>
          <w:spacing w:val="-14"/>
        </w:rPr>
        <w:t> </w:t>
      </w:r>
      <w:r>
        <w:rPr/>
        <w:t>and</w:t>
      </w:r>
      <w:r>
        <w:rPr>
          <w:spacing w:val="-14"/>
        </w:rPr>
        <w:t> </w:t>
      </w:r>
      <w:r>
        <w:rPr/>
        <w:t>assess</w:t>
      </w:r>
      <w:r>
        <w:rPr>
          <w:spacing w:val="-13"/>
        </w:rPr>
        <w:t> </w:t>
      </w:r>
      <w:r>
        <w:rPr/>
        <w:t>universities.</w:t>
      </w:r>
    </w:p>
    <w:p>
      <w:pPr>
        <w:pStyle w:val="BodyText"/>
        <w:spacing w:before="15"/>
      </w:pPr>
    </w:p>
    <w:p>
      <w:pPr>
        <w:pStyle w:val="BodyText"/>
        <w:spacing w:line="266" w:lineRule="auto"/>
        <w:ind w:left="1079"/>
        <w:jc w:val="both"/>
      </w:pPr>
      <w:r>
        <w:rPr>
          <w:b/>
          <w:spacing w:val="-6"/>
        </w:rPr>
        <w:t>Competition:</w:t>
      </w:r>
      <w:r>
        <w:rPr>
          <w:b/>
          <w:spacing w:val="-8"/>
        </w:rPr>
        <w:t> </w:t>
      </w:r>
      <w:r>
        <w:rPr>
          <w:spacing w:val="-6"/>
        </w:rPr>
        <w:t>The</w:t>
      </w:r>
      <w:r>
        <w:rPr>
          <w:spacing w:val="-8"/>
        </w:rPr>
        <w:t> </w:t>
      </w:r>
      <w:r>
        <w:rPr>
          <w:spacing w:val="-6"/>
        </w:rPr>
        <w:t>supply</w:t>
      </w:r>
      <w:r>
        <w:rPr>
          <w:spacing w:val="-8"/>
        </w:rPr>
        <w:t> </w:t>
      </w:r>
      <w:r>
        <w:rPr>
          <w:spacing w:val="-6"/>
        </w:rPr>
        <w:t>constraint</w:t>
      </w:r>
      <w:r>
        <w:rPr>
          <w:spacing w:val="-7"/>
        </w:rPr>
        <w:t> </w:t>
      </w:r>
      <w:r>
        <w:rPr>
          <w:spacing w:val="-6"/>
        </w:rPr>
        <w:t>on</w:t>
      </w:r>
      <w:r>
        <w:rPr>
          <w:spacing w:val="-8"/>
        </w:rPr>
        <w:t> </w:t>
      </w:r>
      <w:r>
        <w:rPr>
          <w:spacing w:val="-6"/>
        </w:rPr>
        <w:t>higher</w:t>
      </w:r>
      <w:r>
        <w:rPr>
          <w:spacing w:val="-8"/>
        </w:rPr>
        <w:t> </w:t>
      </w:r>
      <w:r>
        <w:rPr>
          <w:spacing w:val="-6"/>
        </w:rPr>
        <w:t>education </w:t>
      </w:r>
      <w:r>
        <w:rPr>
          <w:spacing w:val="-4"/>
        </w:rPr>
        <w:t>is</w:t>
      </w:r>
      <w:r>
        <w:rPr>
          <w:spacing w:val="-10"/>
        </w:rPr>
        <w:t> </w:t>
      </w:r>
      <w:r>
        <w:rPr>
          <w:spacing w:val="-4"/>
        </w:rPr>
        <w:t>an</w:t>
      </w:r>
      <w:r>
        <w:rPr>
          <w:spacing w:val="-10"/>
        </w:rPr>
        <w:t> </w:t>
      </w:r>
      <w:r>
        <w:rPr>
          <w:spacing w:val="-4"/>
        </w:rPr>
        <w:t>impediment</w:t>
      </w:r>
      <w:r>
        <w:rPr>
          <w:spacing w:val="-10"/>
        </w:rPr>
        <w:t> </w:t>
      </w:r>
      <w:r>
        <w:rPr>
          <w:spacing w:val="-4"/>
        </w:rPr>
        <w:t>to</w:t>
      </w:r>
      <w:r>
        <w:rPr>
          <w:spacing w:val="-9"/>
        </w:rPr>
        <w:t> </w:t>
      </w:r>
      <w:r>
        <w:rPr>
          <w:spacing w:val="-4"/>
        </w:rPr>
        <w:t>accountability.</w:t>
      </w:r>
      <w:r>
        <w:rPr>
          <w:spacing w:val="-10"/>
        </w:rPr>
        <w:t> </w:t>
      </w:r>
      <w:r>
        <w:rPr>
          <w:spacing w:val="-4"/>
        </w:rPr>
        <w:t>When</w:t>
      </w:r>
      <w:r>
        <w:rPr>
          <w:spacing w:val="-10"/>
        </w:rPr>
        <w:t> </w:t>
      </w:r>
      <w:r>
        <w:rPr>
          <w:spacing w:val="-4"/>
        </w:rPr>
        <w:t>students</w:t>
      </w:r>
      <w:r>
        <w:rPr>
          <w:spacing w:val="-10"/>
        </w:rPr>
        <w:t> </w:t>
      </w:r>
      <w:r>
        <w:rPr>
          <w:spacing w:val="-4"/>
        </w:rPr>
        <w:t>have </w:t>
      </w:r>
      <w:r>
        <w:rPr/>
        <w:t>relatively</w:t>
      </w:r>
      <w:r>
        <w:rPr>
          <w:spacing w:val="-14"/>
        </w:rPr>
        <w:t> </w:t>
      </w:r>
      <w:r>
        <w:rPr/>
        <w:t>few</w:t>
      </w:r>
      <w:r>
        <w:rPr>
          <w:spacing w:val="-14"/>
        </w:rPr>
        <w:t> </w:t>
      </w:r>
      <w:r>
        <w:rPr/>
        <w:t>choices,</w:t>
      </w:r>
      <w:r>
        <w:rPr>
          <w:spacing w:val="-14"/>
        </w:rPr>
        <w:t> </w:t>
      </w:r>
      <w:r>
        <w:rPr/>
        <w:t>institutions</w:t>
      </w:r>
      <w:r>
        <w:rPr>
          <w:spacing w:val="-13"/>
        </w:rPr>
        <w:t> </w:t>
      </w:r>
      <w:r>
        <w:rPr/>
        <w:t>have</w:t>
      </w:r>
      <w:r>
        <w:rPr>
          <w:spacing w:val="-14"/>
        </w:rPr>
        <w:t> </w:t>
      </w:r>
      <w:r>
        <w:rPr/>
        <w:t>greater</w:t>
      </w:r>
      <w:r>
        <w:rPr>
          <w:spacing w:val="-14"/>
        </w:rPr>
        <w:t> </w:t>
      </w:r>
      <w:r>
        <w:rPr/>
        <w:t>power over them. An expansion of higher education which </w:t>
      </w:r>
      <w:r>
        <w:rPr>
          <w:spacing w:val="-2"/>
        </w:rPr>
        <w:t>provides</w:t>
      </w:r>
      <w:r>
        <w:rPr>
          <w:spacing w:val="-12"/>
        </w:rPr>
        <w:t> </w:t>
      </w:r>
      <w:r>
        <w:rPr>
          <w:spacing w:val="-2"/>
        </w:rPr>
        <w:t>students</w:t>
      </w:r>
      <w:r>
        <w:rPr>
          <w:spacing w:val="-12"/>
        </w:rPr>
        <w:t> </w:t>
      </w:r>
      <w:r>
        <w:rPr>
          <w:spacing w:val="-2"/>
        </w:rPr>
        <w:t>with</w:t>
      </w:r>
      <w:r>
        <w:rPr>
          <w:spacing w:val="-12"/>
        </w:rPr>
        <w:t> </w:t>
      </w:r>
      <w:r>
        <w:rPr>
          <w:spacing w:val="-2"/>
        </w:rPr>
        <w:t>choices</w:t>
      </w:r>
      <w:r>
        <w:rPr>
          <w:spacing w:val="-11"/>
        </w:rPr>
        <w:t> </w:t>
      </w:r>
      <w:r>
        <w:rPr>
          <w:spacing w:val="-2"/>
        </w:rPr>
        <w:t>and</w:t>
      </w:r>
      <w:r>
        <w:rPr>
          <w:spacing w:val="-12"/>
        </w:rPr>
        <w:t> </w:t>
      </w:r>
      <w:r>
        <w:rPr>
          <w:spacing w:val="-2"/>
        </w:rPr>
        <w:t>creates</w:t>
      </w:r>
      <w:r>
        <w:rPr>
          <w:spacing w:val="-12"/>
        </w:rPr>
        <w:t> </w:t>
      </w:r>
      <w:r>
        <w:rPr>
          <w:spacing w:val="-2"/>
        </w:rPr>
        <w:t>competition </w:t>
      </w:r>
      <w:r>
        <w:rPr/>
        <w:t>between institutions is going to be vital in enhancing accountability.</w:t>
      </w:r>
      <w:r>
        <w:rPr>
          <w:spacing w:val="-14"/>
        </w:rPr>
        <w:t> </w:t>
      </w:r>
      <w:r>
        <w:rPr/>
        <w:t>Such</w:t>
      </w:r>
      <w:r>
        <w:rPr>
          <w:spacing w:val="-14"/>
        </w:rPr>
        <w:t> </w:t>
      </w:r>
      <w:r>
        <w:rPr/>
        <w:t>competition</w:t>
      </w:r>
      <w:r>
        <w:rPr>
          <w:spacing w:val="-14"/>
        </w:rPr>
        <w:t> </w:t>
      </w:r>
      <w:r>
        <w:rPr/>
        <w:t>between</w:t>
      </w:r>
      <w:r>
        <w:rPr>
          <w:spacing w:val="-13"/>
        </w:rPr>
        <w:t> </w:t>
      </w:r>
      <w:r>
        <w:rPr/>
        <w:t>institutions </w:t>
      </w:r>
      <w:r>
        <w:rPr>
          <w:spacing w:val="-4"/>
        </w:rPr>
        <w:t>within</w:t>
      </w:r>
      <w:r>
        <w:rPr>
          <w:spacing w:val="-9"/>
        </w:rPr>
        <w:t> </w:t>
      </w:r>
      <w:r>
        <w:rPr>
          <w:spacing w:val="-4"/>
        </w:rPr>
        <w:t>India</w:t>
      </w:r>
      <w:r>
        <w:rPr>
          <w:spacing w:val="-9"/>
        </w:rPr>
        <w:t> </w:t>
      </w:r>
      <w:r>
        <w:rPr>
          <w:spacing w:val="-4"/>
        </w:rPr>
        <w:t>is,</w:t>
      </w:r>
      <w:r>
        <w:rPr>
          <w:spacing w:val="-9"/>
        </w:rPr>
        <w:t> </w:t>
      </w:r>
      <w:r>
        <w:rPr>
          <w:spacing w:val="-4"/>
        </w:rPr>
        <w:t>of</w:t>
      </w:r>
      <w:r>
        <w:rPr>
          <w:spacing w:val="-9"/>
        </w:rPr>
        <w:t> </w:t>
      </w:r>
      <w:r>
        <w:rPr>
          <w:spacing w:val="-4"/>
        </w:rPr>
        <w:t>course,</w:t>
      </w:r>
      <w:r>
        <w:rPr>
          <w:spacing w:val="-9"/>
        </w:rPr>
        <w:t> </w:t>
      </w:r>
      <w:r>
        <w:rPr>
          <w:spacing w:val="-4"/>
        </w:rPr>
        <w:t>essential.</w:t>
      </w:r>
      <w:r>
        <w:rPr>
          <w:spacing w:val="-9"/>
        </w:rPr>
        <w:t> </w:t>
      </w:r>
      <w:r>
        <w:rPr>
          <w:spacing w:val="-4"/>
        </w:rPr>
        <w:t>But</w:t>
      </w:r>
      <w:r>
        <w:rPr>
          <w:spacing w:val="-9"/>
        </w:rPr>
        <w:t> </w:t>
      </w:r>
      <w:r>
        <w:rPr>
          <w:spacing w:val="-4"/>
        </w:rPr>
        <w:t>the</w:t>
      </w:r>
      <w:r>
        <w:rPr>
          <w:spacing w:val="-9"/>
        </w:rPr>
        <w:t> </w:t>
      </w:r>
      <w:r>
        <w:rPr>
          <w:spacing w:val="-4"/>
        </w:rPr>
        <w:t>significance </w:t>
      </w:r>
      <w:r>
        <w:rPr/>
        <w:t>of competition from outside India, more qualitative than quantitative, must not be underestimated. For this</w:t>
      </w:r>
      <w:r>
        <w:rPr>
          <w:spacing w:val="15"/>
        </w:rPr>
        <w:t> </w:t>
      </w:r>
      <w:r>
        <w:rPr/>
        <w:t>purpose,</w:t>
      </w:r>
      <w:r>
        <w:rPr>
          <w:spacing w:val="16"/>
        </w:rPr>
        <w:t> </w:t>
      </w:r>
      <w:r>
        <w:rPr/>
        <w:t>we</w:t>
      </w:r>
      <w:r>
        <w:rPr>
          <w:spacing w:val="16"/>
        </w:rPr>
        <w:t> </w:t>
      </w:r>
      <w:r>
        <w:rPr/>
        <w:t>must</w:t>
      </w:r>
      <w:r>
        <w:rPr>
          <w:spacing w:val="16"/>
        </w:rPr>
        <w:t> </w:t>
      </w:r>
      <w:r>
        <w:rPr/>
        <w:t>formulate</w:t>
      </w:r>
      <w:r>
        <w:rPr>
          <w:spacing w:val="15"/>
        </w:rPr>
        <w:t> </w:t>
      </w:r>
      <w:r>
        <w:rPr/>
        <w:t>appropriate</w:t>
      </w:r>
      <w:r>
        <w:rPr>
          <w:spacing w:val="16"/>
        </w:rPr>
        <w:t> </w:t>
      </w:r>
      <w:r>
        <w:rPr>
          <w:spacing w:val="-6"/>
        </w:rPr>
        <w:t>policies</w:t>
      </w:r>
    </w:p>
    <w:p>
      <w:pPr>
        <w:pStyle w:val="BodyText"/>
        <w:spacing w:line="266" w:lineRule="auto" w:before="57"/>
        <w:ind w:left="319" w:right="1077"/>
        <w:jc w:val="both"/>
      </w:pPr>
      <w:r>
        <w:rPr/>
        <w:br w:type="column"/>
      </w:r>
      <w:r>
        <w:rPr/>
        <w:t>for the entry of foreign institutions into India and</w:t>
      </w:r>
      <w:r>
        <w:rPr>
          <w:spacing w:val="80"/>
          <w:w w:val="150"/>
        </w:rPr>
        <w:t> </w:t>
      </w:r>
      <w:r>
        <w:rPr/>
        <w:t>the promotion of Indian institutions abroad. </w:t>
      </w:r>
      <w:r>
        <w:rPr/>
        <w:t>Such policies must ensure that there is an incentive for good institutions and a disincentive for sub-standard institutions</w:t>
      </w:r>
      <w:r>
        <w:rPr>
          <w:spacing w:val="-11"/>
        </w:rPr>
        <w:t> </w:t>
      </w:r>
      <w:r>
        <w:rPr/>
        <w:t>to</w:t>
      </w:r>
      <w:r>
        <w:rPr>
          <w:spacing w:val="-9"/>
        </w:rPr>
        <w:t> </w:t>
      </w:r>
      <w:r>
        <w:rPr/>
        <w:t>come</w:t>
      </w:r>
      <w:r>
        <w:rPr>
          <w:spacing w:val="-9"/>
        </w:rPr>
        <w:t> </w:t>
      </w:r>
      <w:r>
        <w:rPr/>
        <w:t>to</w:t>
      </w:r>
      <w:r>
        <w:rPr>
          <w:spacing w:val="-9"/>
        </w:rPr>
        <w:t> </w:t>
      </w:r>
      <w:r>
        <w:rPr/>
        <w:t>India.</w:t>
      </w:r>
      <w:r>
        <w:rPr>
          <w:spacing w:val="-14"/>
        </w:rPr>
        <w:t> </w:t>
      </w:r>
      <w:r>
        <w:rPr/>
        <w:t>The</w:t>
      </w:r>
      <w:r>
        <w:rPr>
          <w:spacing w:val="-9"/>
        </w:rPr>
        <w:t> </w:t>
      </w:r>
      <w:r>
        <w:rPr/>
        <w:t>present</w:t>
      </w:r>
      <w:r>
        <w:rPr>
          <w:spacing w:val="-9"/>
        </w:rPr>
        <w:t> </w:t>
      </w:r>
      <w:r>
        <w:rPr/>
        <w:t>regime</w:t>
      </w:r>
      <w:r>
        <w:rPr>
          <w:spacing w:val="-9"/>
        </w:rPr>
        <w:t> </w:t>
      </w:r>
      <w:r>
        <w:rPr/>
        <w:t>does </w:t>
      </w:r>
      <w:r>
        <w:rPr>
          <w:spacing w:val="-4"/>
        </w:rPr>
        <w:t>the</w:t>
      </w:r>
      <w:r>
        <w:rPr>
          <w:spacing w:val="-10"/>
        </w:rPr>
        <w:t> </w:t>
      </w:r>
      <w:r>
        <w:rPr>
          <w:spacing w:val="-4"/>
        </w:rPr>
        <w:t>opposite:</w:t>
      </w:r>
      <w:r>
        <w:rPr>
          <w:spacing w:val="-10"/>
        </w:rPr>
        <w:t> </w:t>
      </w:r>
      <w:r>
        <w:rPr>
          <w:spacing w:val="-4"/>
        </w:rPr>
        <w:t>sub-standard</w:t>
      </w:r>
      <w:r>
        <w:rPr>
          <w:spacing w:val="-10"/>
        </w:rPr>
        <w:t> </w:t>
      </w:r>
      <w:r>
        <w:rPr>
          <w:spacing w:val="-4"/>
        </w:rPr>
        <w:t>players</w:t>
      </w:r>
      <w:r>
        <w:rPr>
          <w:spacing w:val="-9"/>
        </w:rPr>
        <w:t> </w:t>
      </w:r>
      <w:r>
        <w:rPr>
          <w:spacing w:val="-4"/>
        </w:rPr>
        <w:t>rush</w:t>
      </w:r>
      <w:r>
        <w:rPr>
          <w:spacing w:val="-10"/>
        </w:rPr>
        <w:t> </w:t>
      </w:r>
      <w:r>
        <w:rPr>
          <w:spacing w:val="-4"/>
        </w:rPr>
        <w:t>in</w:t>
      </w:r>
      <w:r>
        <w:rPr>
          <w:spacing w:val="-10"/>
        </w:rPr>
        <w:t> </w:t>
      </w:r>
      <w:r>
        <w:rPr>
          <w:spacing w:val="-4"/>
        </w:rPr>
        <w:t>while</w:t>
      </w:r>
      <w:r>
        <w:rPr>
          <w:spacing w:val="-10"/>
        </w:rPr>
        <w:t> </w:t>
      </w:r>
      <w:r>
        <w:rPr>
          <w:spacing w:val="-4"/>
        </w:rPr>
        <w:t>premier </w:t>
      </w:r>
      <w:r>
        <w:rPr/>
        <w:t>universities stay away as they care more about their autonomy</w:t>
      </w:r>
      <w:r>
        <w:rPr>
          <w:spacing w:val="-14"/>
        </w:rPr>
        <w:t> </w:t>
      </w:r>
      <w:r>
        <w:rPr/>
        <w:t>and</w:t>
      </w:r>
      <w:r>
        <w:rPr>
          <w:spacing w:val="-14"/>
        </w:rPr>
        <w:t> </w:t>
      </w:r>
      <w:r>
        <w:rPr/>
        <w:t>wish</w:t>
      </w:r>
      <w:r>
        <w:rPr>
          <w:spacing w:val="-14"/>
        </w:rPr>
        <w:t> </w:t>
      </w:r>
      <w:r>
        <w:rPr/>
        <w:t>to</w:t>
      </w:r>
      <w:r>
        <w:rPr>
          <w:spacing w:val="-13"/>
        </w:rPr>
        <w:t> </w:t>
      </w:r>
      <w:r>
        <w:rPr/>
        <w:t>set</w:t>
      </w:r>
      <w:r>
        <w:rPr>
          <w:spacing w:val="-14"/>
        </w:rPr>
        <w:t> </w:t>
      </w:r>
      <w:r>
        <w:rPr/>
        <w:t>benchmarks</w:t>
      </w:r>
      <w:r>
        <w:rPr>
          <w:spacing w:val="-14"/>
        </w:rPr>
        <w:t> </w:t>
      </w:r>
      <w:r>
        <w:rPr/>
        <w:t>for</w:t>
      </w:r>
      <w:r>
        <w:rPr>
          <w:spacing w:val="-14"/>
        </w:rPr>
        <w:t> </w:t>
      </w:r>
      <w:r>
        <w:rPr/>
        <w:t>themselves. However,</w:t>
      </w:r>
      <w:r>
        <w:rPr>
          <w:spacing w:val="-4"/>
        </w:rPr>
        <w:t> </w:t>
      </w:r>
      <w:r>
        <w:rPr/>
        <w:t>a</w:t>
      </w:r>
      <w:r>
        <w:rPr>
          <w:spacing w:val="-4"/>
        </w:rPr>
        <w:t> </w:t>
      </w:r>
      <w:r>
        <w:rPr/>
        <w:t>level</w:t>
      </w:r>
      <w:r>
        <w:rPr>
          <w:spacing w:val="-4"/>
        </w:rPr>
        <w:t> </w:t>
      </w:r>
      <w:r>
        <w:rPr/>
        <w:t>playing</w:t>
      </w:r>
      <w:r>
        <w:rPr>
          <w:spacing w:val="-4"/>
        </w:rPr>
        <w:t> </w:t>
      </w:r>
      <w:r>
        <w:rPr/>
        <w:t>field</w:t>
      </w:r>
      <w:r>
        <w:rPr>
          <w:spacing w:val="-4"/>
        </w:rPr>
        <w:t> </w:t>
      </w:r>
      <w:r>
        <w:rPr/>
        <w:t>should</w:t>
      </w:r>
      <w:r>
        <w:rPr>
          <w:spacing w:val="-4"/>
        </w:rPr>
        <w:t> </w:t>
      </w:r>
      <w:r>
        <w:rPr/>
        <w:t>be</w:t>
      </w:r>
      <w:r>
        <w:rPr>
          <w:spacing w:val="-4"/>
        </w:rPr>
        <w:t> </w:t>
      </w:r>
      <w:r>
        <w:rPr/>
        <w:t>ensured</w:t>
      </w:r>
      <w:r>
        <w:rPr>
          <w:spacing w:val="-4"/>
        </w:rPr>
        <w:t> </w:t>
      </w:r>
      <w:r>
        <w:rPr/>
        <w:t>and all</w:t>
      </w:r>
      <w:r>
        <w:rPr>
          <w:spacing w:val="-14"/>
        </w:rPr>
        <w:t> </w:t>
      </w:r>
      <w:r>
        <w:rPr/>
        <w:t>rules</w:t>
      </w:r>
      <w:r>
        <w:rPr>
          <w:spacing w:val="-14"/>
        </w:rPr>
        <w:t> </w:t>
      </w:r>
      <w:r>
        <w:rPr/>
        <w:t>that</w:t>
      </w:r>
      <w:r>
        <w:rPr>
          <w:spacing w:val="-14"/>
        </w:rPr>
        <w:t> </w:t>
      </w:r>
      <w:r>
        <w:rPr/>
        <w:t>apply</w:t>
      </w:r>
      <w:r>
        <w:rPr>
          <w:spacing w:val="-13"/>
        </w:rPr>
        <w:t> </w:t>
      </w:r>
      <w:r>
        <w:rPr/>
        <w:t>to</w:t>
      </w:r>
      <w:r>
        <w:rPr>
          <w:spacing w:val="-14"/>
        </w:rPr>
        <w:t> </w:t>
      </w:r>
      <w:r>
        <w:rPr/>
        <w:t>domestic</w:t>
      </w:r>
      <w:r>
        <w:rPr>
          <w:spacing w:val="-14"/>
        </w:rPr>
        <w:t> </w:t>
      </w:r>
      <w:r>
        <w:rPr/>
        <w:t>institutions</w:t>
      </w:r>
      <w:r>
        <w:rPr>
          <w:spacing w:val="-14"/>
        </w:rPr>
        <w:t> </w:t>
      </w:r>
      <w:r>
        <w:rPr/>
        <w:t>should</w:t>
      </w:r>
      <w:r>
        <w:rPr>
          <w:spacing w:val="-13"/>
        </w:rPr>
        <w:t> </w:t>
      </w:r>
      <w:r>
        <w:rPr/>
        <w:t>also be</w:t>
      </w:r>
      <w:r>
        <w:rPr>
          <w:spacing w:val="-16"/>
        </w:rPr>
        <w:t> </w:t>
      </w:r>
      <w:r>
        <w:rPr/>
        <w:t>applicable</w:t>
      </w:r>
      <w:r>
        <w:rPr>
          <w:spacing w:val="-14"/>
        </w:rPr>
        <w:t> </w:t>
      </w:r>
      <w:r>
        <w:rPr/>
        <w:t>to</w:t>
      </w:r>
      <w:r>
        <w:rPr>
          <w:spacing w:val="-14"/>
        </w:rPr>
        <w:t> </w:t>
      </w:r>
      <w:r>
        <w:rPr/>
        <w:t>foreign</w:t>
      </w:r>
      <w:r>
        <w:rPr>
          <w:spacing w:val="-13"/>
        </w:rPr>
        <w:t> </w:t>
      </w:r>
      <w:r>
        <w:rPr/>
        <w:t>institutions.</w:t>
      </w:r>
      <w:r>
        <w:rPr>
          <w:spacing w:val="-14"/>
        </w:rPr>
        <w:t> </w:t>
      </w:r>
      <w:r>
        <w:rPr/>
        <w:t>At</w:t>
      </w:r>
      <w:r>
        <w:rPr>
          <w:spacing w:val="-14"/>
        </w:rPr>
        <w:t> </w:t>
      </w:r>
      <w:r>
        <w:rPr/>
        <w:t>the</w:t>
      </w:r>
      <w:r>
        <w:rPr>
          <w:spacing w:val="-14"/>
        </w:rPr>
        <w:t> </w:t>
      </w:r>
      <w:r>
        <w:rPr/>
        <w:t>same</w:t>
      </w:r>
      <w:r>
        <w:rPr>
          <w:spacing w:val="-13"/>
        </w:rPr>
        <w:t> </w:t>
      </w:r>
      <w:r>
        <w:rPr/>
        <w:t>time, policies</w:t>
      </w:r>
      <w:r>
        <w:rPr>
          <w:spacing w:val="-14"/>
        </w:rPr>
        <w:t> </w:t>
      </w:r>
      <w:r>
        <w:rPr/>
        <w:t>must</w:t>
      </w:r>
      <w:r>
        <w:rPr>
          <w:spacing w:val="-14"/>
        </w:rPr>
        <w:t> </w:t>
      </w:r>
      <w:r>
        <w:rPr/>
        <w:t>encourage</w:t>
      </w:r>
      <w:r>
        <w:rPr>
          <w:spacing w:val="-14"/>
        </w:rPr>
        <w:t> </w:t>
      </w:r>
      <w:r>
        <w:rPr/>
        <w:t>rather</w:t>
      </w:r>
      <w:r>
        <w:rPr>
          <w:spacing w:val="-13"/>
        </w:rPr>
        <w:t> </w:t>
      </w:r>
      <w:r>
        <w:rPr/>
        <w:t>than</w:t>
      </w:r>
      <w:r>
        <w:rPr>
          <w:spacing w:val="-14"/>
        </w:rPr>
        <w:t> </w:t>
      </w:r>
      <w:r>
        <w:rPr/>
        <w:t>discourage</w:t>
      </w:r>
      <w:r>
        <w:rPr>
          <w:spacing w:val="-14"/>
        </w:rPr>
        <w:t> </w:t>
      </w:r>
      <w:r>
        <w:rPr/>
        <w:t>Indian institutions</w:t>
      </w:r>
      <w:r>
        <w:rPr>
          <w:spacing w:val="-10"/>
        </w:rPr>
        <w:t> </w:t>
      </w:r>
      <w:r>
        <w:rPr/>
        <w:t>to</w:t>
      </w:r>
      <w:r>
        <w:rPr>
          <w:spacing w:val="-10"/>
        </w:rPr>
        <w:t> </w:t>
      </w:r>
      <w:r>
        <w:rPr/>
        <w:t>create</w:t>
      </w:r>
      <w:r>
        <w:rPr>
          <w:spacing w:val="-10"/>
        </w:rPr>
        <w:t> </w:t>
      </w:r>
      <w:r>
        <w:rPr/>
        <w:t>campuses</w:t>
      </w:r>
      <w:r>
        <w:rPr>
          <w:spacing w:val="-10"/>
        </w:rPr>
        <w:t> </w:t>
      </w:r>
      <w:r>
        <w:rPr/>
        <w:t>abroad</w:t>
      </w:r>
      <w:r>
        <w:rPr>
          <w:spacing w:val="-10"/>
        </w:rPr>
        <w:t> </w:t>
      </w:r>
      <w:r>
        <w:rPr/>
        <w:t>not</w:t>
      </w:r>
      <w:r>
        <w:rPr>
          <w:spacing w:val="-10"/>
        </w:rPr>
        <w:t> </w:t>
      </w:r>
      <w:r>
        <w:rPr/>
        <w:t>as</w:t>
      </w:r>
      <w:r>
        <w:rPr>
          <w:spacing w:val="-10"/>
        </w:rPr>
        <w:t> </w:t>
      </w:r>
      <w:r>
        <w:rPr/>
        <w:t>business opportunities</w:t>
      </w:r>
      <w:r>
        <w:rPr>
          <w:spacing w:val="-14"/>
        </w:rPr>
        <w:t> </w:t>
      </w:r>
      <w:r>
        <w:rPr/>
        <w:t>but</w:t>
      </w:r>
      <w:r>
        <w:rPr>
          <w:spacing w:val="-14"/>
        </w:rPr>
        <w:t> </w:t>
      </w:r>
      <w:r>
        <w:rPr/>
        <w:t>as</w:t>
      </w:r>
      <w:r>
        <w:rPr>
          <w:spacing w:val="-14"/>
        </w:rPr>
        <w:t> </w:t>
      </w:r>
      <w:r>
        <w:rPr/>
        <w:t>competition</w:t>
      </w:r>
      <w:r>
        <w:rPr>
          <w:spacing w:val="-13"/>
        </w:rPr>
        <w:t> </w:t>
      </w:r>
      <w:r>
        <w:rPr/>
        <w:t>opportunities</w:t>
      </w:r>
      <w:r>
        <w:rPr>
          <w:spacing w:val="-14"/>
        </w:rPr>
        <w:t> </w:t>
      </w:r>
      <w:r>
        <w:rPr/>
        <w:t>in</w:t>
      </w:r>
      <w:r>
        <w:rPr>
          <w:spacing w:val="-14"/>
        </w:rPr>
        <w:t> </w:t>
      </w:r>
      <w:r>
        <w:rPr/>
        <w:t>their quest for academic excellence. Of course, expansion </w:t>
      </w:r>
      <w:r>
        <w:rPr>
          <w:spacing w:val="-2"/>
        </w:rPr>
        <w:t>abroad</w:t>
      </w:r>
      <w:r>
        <w:rPr>
          <w:spacing w:val="-7"/>
        </w:rPr>
        <w:t> </w:t>
      </w:r>
      <w:r>
        <w:rPr>
          <w:spacing w:val="-2"/>
        </w:rPr>
        <w:t>should</w:t>
      </w:r>
      <w:r>
        <w:rPr>
          <w:spacing w:val="-7"/>
        </w:rPr>
        <w:t> </w:t>
      </w:r>
      <w:r>
        <w:rPr>
          <w:spacing w:val="-2"/>
        </w:rPr>
        <w:t>not</w:t>
      </w:r>
      <w:r>
        <w:rPr>
          <w:spacing w:val="-7"/>
        </w:rPr>
        <w:t> </w:t>
      </w:r>
      <w:r>
        <w:rPr>
          <w:spacing w:val="-2"/>
        </w:rPr>
        <w:t>be</w:t>
      </w:r>
      <w:r>
        <w:rPr>
          <w:spacing w:val="-7"/>
        </w:rPr>
        <w:t> </w:t>
      </w:r>
      <w:r>
        <w:rPr>
          <w:spacing w:val="-2"/>
        </w:rPr>
        <w:t>at</w:t>
      </w:r>
      <w:r>
        <w:rPr>
          <w:spacing w:val="-7"/>
        </w:rPr>
        <w:t> </w:t>
      </w:r>
      <w:r>
        <w:rPr>
          <w:spacing w:val="-2"/>
        </w:rPr>
        <w:t>the</w:t>
      </w:r>
      <w:r>
        <w:rPr>
          <w:spacing w:val="-7"/>
        </w:rPr>
        <w:t> </w:t>
      </w:r>
      <w:r>
        <w:rPr>
          <w:spacing w:val="-2"/>
        </w:rPr>
        <w:t>cost</w:t>
      </w:r>
      <w:r>
        <w:rPr>
          <w:spacing w:val="-7"/>
        </w:rPr>
        <w:t> </w:t>
      </w:r>
      <w:r>
        <w:rPr>
          <w:spacing w:val="-2"/>
        </w:rPr>
        <w:t>of</w:t>
      </w:r>
      <w:r>
        <w:rPr>
          <w:spacing w:val="-7"/>
        </w:rPr>
        <w:t> </w:t>
      </w:r>
      <w:r>
        <w:rPr>
          <w:spacing w:val="-2"/>
        </w:rPr>
        <w:t>domestic</w:t>
      </w:r>
      <w:r>
        <w:rPr>
          <w:spacing w:val="-7"/>
        </w:rPr>
        <w:t> </w:t>
      </w:r>
      <w:r>
        <w:rPr>
          <w:spacing w:val="-2"/>
        </w:rPr>
        <w:t>provision, </w:t>
      </w:r>
      <w:r>
        <w:rPr/>
        <w:t>either at present or in the future.</w:t>
      </w:r>
    </w:p>
    <w:p>
      <w:pPr>
        <w:pStyle w:val="BodyText"/>
        <w:spacing w:before="13"/>
      </w:pPr>
    </w:p>
    <w:p>
      <w:pPr>
        <w:pStyle w:val="BodyText"/>
        <w:spacing w:line="266" w:lineRule="auto" w:before="1"/>
        <w:ind w:left="319" w:right="1077"/>
        <w:jc w:val="both"/>
      </w:pPr>
      <w:r>
        <w:rPr>
          <w:b/>
        </w:rPr>
        <w:t>Accreditation: </w:t>
      </w:r>
      <w:r>
        <w:rPr/>
        <w:t>So far, we have sought to create </w:t>
      </w:r>
      <w:r>
        <w:rPr>
          <w:spacing w:val="-2"/>
        </w:rPr>
        <w:t>accountability</w:t>
      </w:r>
      <w:r>
        <w:rPr>
          <w:spacing w:val="-12"/>
        </w:rPr>
        <w:t> </w:t>
      </w:r>
      <w:r>
        <w:rPr>
          <w:spacing w:val="-2"/>
        </w:rPr>
        <w:t>by</w:t>
      </w:r>
      <w:r>
        <w:rPr>
          <w:spacing w:val="-12"/>
        </w:rPr>
        <w:t> </w:t>
      </w:r>
      <w:r>
        <w:rPr>
          <w:spacing w:val="-2"/>
        </w:rPr>
        <w:t>increasing</w:t>
      </w:r>
      <w:r>
        <w:rPr>
          <w:spacing w:val="-12"/>
        </w:rPr>
        <w:t> </w:t>
      </w:r>
      <w:r>
        <w:rPr>
          <w:spacing w:val="-2"/>
        </w:rPr>
        <w:t>the</w:t>
      </w:r>
      <w:r>
        <w:rPr>
          <w:spacing w:val="-11"/>
        </w:rPr>
        <w:t> </w:t>
      </w:r>
      <w:r>
        <w:rPr>
          <w:spacing w:val="-2"/>
        </w:rPr>
        <w:t>powers</w:t>
      </w:r>
      <w:r>
        <w:rPr>
          <w:spacing w:val="-12"/>
        </w:rPr>
        <w:t> </w:t>
      </w:r>
      <w:r>
        <w:rPr>
          <w:spacing w:val="-2"/>
        </w:rPr>
        <w:t>of</w:t>
      </w:r>
      <w:r>
        <w:rPr>
          <w:spacing w:val="-12"/>
        </w:rPr>
        <w:t> </w:t>
      </w:r>
      <w:r>
        <w:rPr>
          <w:spacing w:val="-2"/>
        </w:rPr>
        <w:t>government regulators.</w:t>
      </w:r>
      <w:r>
        <w:rPr>
          <w:spacing w:val="-11"/>
        </w:rPr>
        <w:t> </w:t>
      </w:r>
      <w:r>
        <w:rPr>
          <w:spacing w:val="-2"/>
        </w:rPr>
        <w:t>Yet,</w:t>
      </w:r>
      <w:r>
        <w:rPr>
          <w:spacing w:val="-9"/>
        </w:rPr>
        <w:t> </w:t>
      </w:r>
      <w:r>
        <w:rPr>
          <w:spacing w:val="-2"/>
        </w:rPr>
        <w:t>it</w:t>
      </w:r>
      <w:r>
        <w:rPr>
          <w:spacing w:val="-9"/>
        </w:rPr>
        <w:t> </w:t>
      </w:r>
      <w:r>
        <w:rPr>
          <w:spacing w:val="-2"/>
        </w:rPr>
        <w:t>has</w:t>
      </w:r>
      <w:r>
        <w:rPr>
          <w:spacing w:val="-9"/>
        </w:rPr>
        <w:t> </w:t>
      </w:r>
      <w:r>
        <w:rPr>
          <w:spacing w:val="-2"/>
        </w:rPr>
        <w:t>done</w:t>
      </w:r>
      <w:r>
        <w:rPr>
          <w:spacing w:val="-9"/>
        </w:rPr>
        <w:t> </w:t>
      </w:r>
      <w:r>
        <w:rPr>
          <w:spacing w:val="-2"/>
        </w:rPr>
        <w:t>little</w:t>
      </w:r>
      <w:r>
        <w:rPr>
          <w:spacing w:val="-9"/>
        </w:rPr>
        <w:t> </w:t>
      </w:r>
      <w:r>
        <w:rPr>
          <w:spacing w:val="-2"/>
        </w:rPr>
        <w:t>to</w:t>
      </w:r>
      <w:r>
        <w:rPr>
          <w:spacing w:val="-9"/>
        </w:rPr>
        <w:t> </w:t>
      </w:r>
      <w:r>
        <w:rPr>
          <w:spacing w:val="-2"/>
        </w:rPr>
        <w:t>improve</w:t>
      </w:r>
      <w:r>
        <w:rPr>
          <w:spacing w:val="-9"/>
        </w:rPr>
        <w:t> </w:t>
      </w:r>
      <w:r>
        <w:rPr>
          <w:spacing w:val="-2"/>
        </w:rPr>
        <w:t>the</w:t>
      </w:r>
      <w:r>
        <w:rPr>
          <w:spacing w:val="-9"/>
        </w:rPr>
        <w:t> </w:t>
      </w:r>
      <w:r>
        <w:rPr>
          <w:spacing w:val="-2"/>
        </w:rPr>
        <w:t>quality </w:t>
      </w:r>
      <w:r>
        <w:rPr>
          <w:spacing w:val="-6"/>
        </w:rPr>
        <w:t>of higher education. Consider, for example, the National </w:t>
      </w:r>
      <w:r>
        <w:rPr/>
        <w:t>Accreditation</w:t>
      </w:r>
      <w:r>
        <w:rPr>
          <w:spacing w:val="-14"/>
        </w:rPr>
        <w:t> </w:t>
      </w:r>
      <w:r>
        <w:rPr/>
        <w:t>and</w:t>
      </w:r>
      <w:r>
        <w:rPr>
          <w:spacing w:val="-14"/>
        </w:rPr>
        <w:t> </w:t>
      </w:r>
      <w:r>
        <w:rPr/>
        <w:t>Assessment</w:t>
      </w:r>
      <w:r>
        <w:rPr>
          <w:spacing w:val="-14"/>
        </w:rPr>
        <w:t> </w:t>
      </w:r>
      <w:r>
        <w:rPr/>
        <w:t>Council</w:t>
      </w:r>
      <w:r>
        <w:rPr>
          <w:spacing w:val="-13"/>
        </w:rPr>
        <w:t> </w:t>
      </w:r>
      <w:r>
        <w:rPr/>
        <w:t>(NAAC).</w:t>
      </w:r>
      <w:r>
        <w:rPr>
          <w:spacing w:val="-14"/>
        </w:rPr>
        <w:t> </w:t>
      </w:r>
      <w:r>
        <w:rPr/>
        <w:t>This </w:t>
      </w:r>
      <w:r>
        <w:rPr>
          <w:w w:val="90"/>
        </w:rPr>
        <w:t>system has three characteristics which significantly erode </w:t>
      </w:r>
      <w:r>
        <w:rPr>
          <w:spacing w:val="-4"/>
        </w:rPr>
        <w:t>its</w:t>
      </w:r>
      <w:r>
        <w:rPr>
          <w:spacing w:val="-9"/>
        </w:rPr>
        <w:t> </w:t>
      </w:r>
      <w:r>
        <w:rPr>
          <w:spacing w:val="-4"/>
        </w:rPr>
        <w:t>credibility.</w:t>
      </w:r>
      <w:r>
        <w:rPr>
          <w:spacing w:val="-9"/>
        </w:rPr>
        <w:t> </w:t>
      </w:r>
      <w:r>
        <w:rPr>
          <w:spacing w:val="-4"/>
        </w:rPr>
        <w:t>First,</w:t>
      </w:r>
      <w:r>
        <w:rPr>
          <w:spacing w:val="-9"/>
        </w:rPr>
        <w:t> </w:t>
      </w:r>
      <w:r>
        <w:rPr>
          <w:spacing w:val="-4"/>
        </w:rPr>
        <w:t>it</w:t>
      </w:r>
      <w:r>
        <w:rPr>
          <w:spacing w:val="-9"/>
        </w:rPr>
        <w:t> </w:t>
      </w:r>
      <w:r>
        <w:rPr>
          <w:spacing w:val="-4"/>
        </w:rPr>
        <w:t>grants</w:t>
      </w:r>
      <w:r>
        <w:rPr>
          <w:spacing w:val="-9"/>
        </w:rPr>
        <w:t> </w:t>
      </w:r>
      <w:r>
        <w:rPr>
          <w:spacing w:val="-4"/>
        </w:rPr>
        <w:t>one</w:t>
      </w:r>
      <w:r>
        <w:rPr>
          <w:spacing w:val="-9"/>
        </w:rPr>
        <w:t> </w:t>
      </w:r>
      <w:r>
        <w:rPr>
          <w:spacing w:val="-4"/>
        </w:rPr>
        <w:t>institution,</w:t>
      </w:r>
      <w:r>
        <w:rPr>
          <w:spacing w:val="-9"/>
        </w:rPr>
        <w:t> </w:t>
      </w:r>
      <w:r>
        <w:rPr>
          <w:spacing w:val="-4"/>
        </w:rPr>
        <w:t>the</w:t>
      </w:r>
      <w:r>
        <w:rPr>
          <w:spacing w:val="-9"/>
        </w:rPr>
        <w:t> </w:t>
      </w:r>
      <w:r>
        <w:rPr>
          <w:spacing w:val="-4"/>
        </w:rPr>
        <w:t>NAAC, </w:t>
      </w:r>
      <w:r>
        <w:rPr/>
        <w:t>monopoly power over accreditation. Second, NAAC </w:t>
      </w:r>
      <w:r>
        <w:rPr>
          <w:w w:val="90"/>
        </w:rPr>
        <w:t>itself does not have the capacity to rate all the institutions. </w:t>
      </w:r>
      <w:r>
        <w:rPr/>
        <w:t>It</w:t>
      </w:r>
      <w:r>
        <w:rPr>
          <w:spacing w:val="-1"/>
        </w:rPr>
        <w:t> </w:t>
      </w:r>
      <w:r>
        <w:rPr/>
        <w:t>has</w:t>
      </w:r>
      <w:r>
        <w:rPr>
          <w:spacing w:val="-1"/>
        </w:rPr>
        <w:t> </w:t>
      </w:r>
      <w:r>
        <w:rPr/>
        <w:t>rated</w:t>
      </w:r>
      <w:r>
        <w:rPr>
          <w:spacing w:val="-1"/>
        </w:rPr>
        <w:t> </w:t>
      </w:r>
      <w:r>
        <w:rPr/>
        <w:t>just</w:t>
      </w:r>
      <w:r>
        <w:rPr>
          <w:spacing w:val="-1"/>
        </w:rPr>
        <w:t> </w:t>
      </w:r>
      <w:r>
        <w:rPr/>
        <w:t>about</w:t>
      </w:r>
      <w:r>
        <w:rPr>
          <w:spacing w:val="-1"/>
        </w:rPr>
        <w:t> </w:t>
      </w:r>
      <w:r>
        <w:rPr/>
        <w:t>10</w:t>
      </w:r>
      <w:r>
        <w:rPr>
          <w:spacing w:val="-1"/>
        </w:rPr>
        <w:t> </w:t>
      </w:r>
      <w:r>
        <w:rPr/>
        <w:t>per</w:t>
      </w:r>
      <w:r>
        <w:rPr>
          <w:spacing w:val="-1"/>
        </w:rPr>
        <w:t> </w:t>
      </w:r>
      <w:r>
        <w:rPr/>
        <w:t>cent</w:t>
      </w:r>
      <w:r>
        <w:rPr>
          <w:spacing w:val="-1"/>
        </w:rPr>
        <w:t> </w:t>
      </w:r>
      <w:r>
        <w:rPr/>
        <w:t>of</w:t>
      </w:r>
      <w:r>
        <w:rPr>
          <w:spacing w:val="-1"/>
        </w:rPr>
        <w:t> </w:t>
      </w:r>
      <w:r>
        <w:rPr/>
        <w:t>the</w:t>
      </w:r>
      <w:r>
        <w:rPr>
          <w:spacing w:val="-1"/>
        </w:rPr>
        <w:t> </w:t>
      </w:r>
      <w:r>
        <w:rPr/>
        <w:t>total</w:t>
      </w:r>
      <w:r>
        <w:rPr>
          <w:spacing w:val="-1"/>
        </w:rPr>
        <w:t> </w:t>
      </w:r>
      <w:r>
        <w:rPr/>
        <w:t>number so</w:t>
      </w:r>
      <w:r>
        <w:rPr>
          <w:spacing w:val="-3"/>
        </w:rPr>
        <w:t> </w:t>
      </w:r>
      <w:r>
        <w:rPr/>
        <w:t>far.</w:t>
      </w:r>
      <w:r>
        <w:rPr>
          <w:spacing w:val="-10"/>
        </w:rPr>
        <w:t> </w:t>
      </w:r>
      <w:r>
        <w:rPr/>
        <w:t>Third,</w:t>
      </w:r>
      <w:r>
        <w:rPr>
          <w:spacing w:val="-3"/>
        </w:rPr>
        <w:t> </w:t>
      </w:r>
      <w:r>
        <w:rPr/>
        <w:t>the</w:t>
      </w:r>
      <w:r>
        <w:rPr>
          <w:spacing w:val="-3"/>
        </w:rPr>
        <w:t> </w:t>
      </w:r>
      <w:r>
        <w:rPr/>
        <w:t>methodology</w:t>
      </w:r>
      <w:r>
        <w:rPr>
          <w:spacing w:val="-3"/>
        </w:rPr>
        <w:t> </w:t>
      </w:r>
      <w:r>
        <w:rPr/>
        <w:t>of</w:t>
      </w:r>
      <w:r>
        <w:rPr>
          <w:spacing w:val="-3"/>
        </w:rPr>
        <w:t> </w:t>
      </w:r>
      <w:r>
        <w:rPr/>
        <w:t>NAAC</w:t>
      </w:r>
      <w:r>
        <w:rPr>
          <w:spacing w:val="-3"/>
        </w:rPr>
        <w:t> </w:t>
      </w:r>
      <w:r>
        <w:rPr/>
        <w:t>is</w:t>
      </w:r>
      <w:r>
        <w:rPr>
          <w:spacing w:val="-3"/>
        </w:rPr>
        <w:t> </w:t>
      </w:r>
      <w:r>
        <w:rPr/>
        <w:t>much</w:t>
      </w:r>
      <w:r>
        <w:rPr>
          <w:spacing w:val="-3"/>
        </w:rPr>
        <w:t> </w:t>
      </w:r>
      <w:r>
        <w:rPr/>
        <w:t>too </w:t>
      </w:r>
      <w:r>
        <w:rPr>
          <w:spacing w:val="-2"/>
        </w:rPr>
        <w:t>discretionary.</w:t>
      </w:r>
      <w:r>
        <w:rPr>
          <w:spacing w:val="-12"/>
        </w:rPr>
        <w:t> </w:t>
      </w:r>
      <w:r>
        <w:rPr>
          <w:spacing w:val="-2"/>
        </w:rPr>
        <w:t>Instead</w:t>
      </w:r>
      <w:r>
        <w:rPr>
          <w:spacing w:val="-12"/>
        </w:rPr>
        <w:t> </w:t>
      </w:r>
      <w:r>
        <w:rPr>
          <w:spacing w:val="-2"/>
        </w:rPr>
        <w:t>of</w:t>
      </w:r>
      <w:r>
        <w:rPr>
          <w:spacing w:val="-12"/>
        </w:rPr>
        <w:t> </w:t>
      </w:r>
      <w:r>
        <w:rPr>
          <w:spacing w:val="-2"/>
        </w:rPr>
        <w:t>vesting</w:t>
      </w:r>
      <w:r>
        <w:rPr>
          <w:spacing w:val="-11"/>
        </w:rPr>
        <w:t> </w:t>
      </w:r>
      <w:r>
        <w:rPr>
          <w:spacing w:val="-2"/>
        </w:rPr>
        <w:t>one</w:t>
      </w:r>
      <w:r>
        <w:rPr>
          <w:spacing w:val="-12"/>
        </w:rPr>
        <w:t> </w:t>
      </w:r>
      <w:r>
        <w:rPr>
          <w:spacing w:val="-2"/>
        </w:rPr>
        <w:t>institution</w:t>
      </w:r>
      <w:r>
        <w:rPr>
          <w:spacing w:val="-12"/>
        </w:rPr>
        <w:t> </w:t>
      </w:r>
      <w:r>
        <w:rPr>
          <w:spacing w:val="-2"/>
        </w:rPr>
        <w:t>created </w:t>
      </w:r>
      <w:r>
        <w:rPr/>
        <w:t>by</w:t>
      </w:r>
      <w:r>
        <w:rPr>
          <w:spacing w:val="-14"/>
        </w:rPr>
        <w:t> </w:t>
      </w:r>
      <w:r>
        <w:rPr/>
        <w:t>the</w:t>
      </w:r>
      <w:r>
        <w:rPr>
          <w:spacing w:val="-14"/>
        </w:rPr>
        <w:t> </w:t>
      </w:r>
      <w:r>
        <w:rPr/>
        <w:t>state</w:t>
      </w:r>
      <w:r>
        <w:rPr>
          <w:spacing w:val="-14"/>
        </w:rPr>
        <w:t> </w:t>
      </w:r>
      <w:r>
        <w:rPr/>
        <w:t>with</w:t>
      </w:r>
      <w:r>
        <w:rPr>
          <w:spacing w:val="-13"/>
        </w:rPr>
        <w:t> </w:t>
      </w:r>
      <w:r>
        <w:rPr/>
        <w:t>monopoly</w:t>
      </w:r>
      <w:r>
        <w:rPr>
          <w:spacing w:val="-14"/>
        </w:rPr>
        <w:t> </w:t>
      </w:r>
      <w:r>
        <w:rPr/>
        <w:t>power,</w:t>
      </w:r>
      <w:r>
        <w:rPr>
          <w:spacing w:val="-14"/>
        </w:rPr>
        <w:t> </w:t>
      </w:r>
      <w:r>
        <w:rPr/>
        <w:t>the</w:t>
      </w:r>
      <w:r>
        <w:rPr>
          <w:spacing w:val="-14"/>
        </w:rPr>
        <w:t> </w:t>
      </w:r>
      <w:r>
        <w:rPr/>
        <w:t>IRAHE</w:t>
      </w:r>
      <w:r>
        <w:rPr>
          <w:spacing w:val="-13"/>
        </w:rPr>
        <w:t> </w:t>
      </w:r>
      <w:r>
        <w:rPr/>
        <w:t>may</w:t>
      </w:r>
      <w:r>
        <w:rPr>
          <w:spacing w:val="-14"/>
        </w:rPr>
        <w:t> </w:t>
      </w:r>
      <w:r>
        <w:rPr/>
        <w:t>be </w:t>
      </w:r>
      <w:r>
        <w:rPr>
          <w:w w:val="90"/>
        </w:rPr>
        <w:t>empowered to license a number of accreditation agencies, </w:t>
      </w:r>
      <w:r>
        <w:rPr/>
        <w:t>public and private, to do the ratings. In doing so, the regulator</w:t>
      </w:r>
      <w:r>
        <w:rPr>
          <w:spacing w:val="-14"/>
        </w:rPr>
        <w:t> </w:t>
      </w:r>
      <w:r>
        <w:rPr/>
        <w:t>would</w:t>
      </w:r>
      <w:r>
        <w:rPr>
          <w:spacing w:val="-14"/>
        </w:rPr>
        <w:t> </w:t>
      </w:r>
      <w:r>
        <w:rPr/>
        <w:t>set</w:t>
      </w:r>
      <w:r>
        <w:rPr>
          <w:spacing w:val="-12"/>
        </w:rPr>
        <w:t> </w:t>
      </w:r>
      <w:r>
        <w:rPr/>
        <w:t>standards</w:t>
      </w:r>
      <w:r>
        <w:rPr>
          <w:spacing w:val="-12"/>
        </w:rPr>
        <w:t> </w:t>
      </w:r>
      <w:r>
        <w:rPr/>
        <w:t>for</w:t>
      </w:r>
      <w:r>
        <w:rPr>
          <w:spacing w:val="-12"/>
        </w:rPr>
        <w:t> </w:t>
      </w:r>
      <w:r>
        <w:rPr/>
        <w:t>them.</w:t>
      </w:r>
      <w:r>
        <w:rPr>
          <w:spacing w:val="-14"/>
        </w:rPr>
        <w:t> </w:t>
      </w:r>
      <w:r>
        <w:rPr/>
        <w:t>This</w:t>
      </w:r>
      <w:r>
        <w:rPr>
          <w:spacing w:val="-12"/>
        </w:rPr>
        <w:t> </w:t>
      </w:r>
      <w:r>
        <w:rPr/>
        <w:t>will</w:t>
      </w:r>
      <w:r>
        <w:rPr>
          <w:spacing w:val="-12"/>
        </w:rPr>
        <w:t> </w:t>
      </w:r>
      <w:r>
        <w:rPr/>
        <w:t>need </w:t>
      </w:r>
      <w:r>
        <w:rPr>
          <w:spacing w:val="-2"/>
        </w:rPr>
        <w:t>to</w:t>
      </w:r>
      <w:r>
        <w:rPr>
          <w:spacing w:val="-6"/>
        </w:rPr>
        <w:t> </w:t>
      </w:r>
      <w:r>
        <w:rPr>
          <w:spacing w:val="-2"/>
        </w:rPr>
        <w:t>be</w:t>
      </w:r>
      <w:r>
        <w:rPr>
          <w:spacing w:val="-7"/>
        </w:rPr>
        <w:t> </w:t>
      </w:r>
      <w:r>
        <w:rPr>
          <w:spacing w:val="-2"/>
        </w:rPr>
        <w:t>accompanied</w:t>
      </w:r>
      <w:r>
        <w:rPr>
          <w:spacing w:val="-6"/>
        </w:rPr>
        <w:t> </w:t>
      </w:r>
      <w:r>
        <w:rPr>
          <w:spacing w:val="-2"/>
        </w:rPr>
        <w:t>by</w:t>
      </w:r>
      <w:r>
        <w:rPr>
          <w:spacing w:val="-7"/>
        </w:rPr>
        <w:t> </w:t>
      </w:r>
      <w:r>
        <w:rPr>
          <w:spacing w:val="-2"/>
        </w:rPr>
        <w:t>stringent</w:t>
      </w:r>
      <w:r>
        <w:rPr>
          <w:spacing w:val="-6"/>
        </w:rPr>
        <w:t> </w:t>
      </w:r>
      <w:r>
        <w:rPr>
          <w:spacing w:val="-2"/>
        </w:rPr>
        <w:t>information</w:t>
      </w:r>
      <w:r>
        <w:rPr>
          <w:spacing w:val="-7"/>
        </w:rPr>
        <w:t> </w:t>
      </w:r>
      <w:r>
        <w:rPr>
          <w:spacing w:val="-2"/>
        </w:rPr>
        <w:t>disclosure </w:t>
      </w:r>
      <w:r>
        <w:rPr/>
        <w:t>norms for all educational institutions, including the </w:t>
      </w:r>
      <w:r>
        <w:rPr>
          <w:spacing w:val="-4"/>
        </w:rPr>
        <w:t>source</w:t>
      </w:r>
      <w:r>
        <w:rPr>
          <w:spacing w:val="-10"/>
        </w:rPr>
        <w:t> </w:t>
      </w:r>
      <w:r>
        <w:rPr>
          <w:spacing w:val="-4"/>
        </w:rPr>
        <w:t>and</w:t>
      </w:r>
      <w:r>
        <w:rPr>
          <w:spacing w:val="-10"/>
        </w:rPr>
        <w:t> </w:t>
      </w:r>
      <w:r>
        <w:rPr>
          <w:spacing w:val="-4"/>
        </w:rPr>
        <w:t>level</w:t>
      </w:r>
      <w:r>
        <w:rPr>
          <w:spacing w:val="-10"/>
        </w:rPr>
        <w:t> </w:t>
      </w:r>
      <w:r>
        <w:rPr>
          <w:spacing w:val="-4"/>
        </w:rPr>
        <w:t>of</w:t>
      </w:r>
      <w:r>
        <w:rPr>
          <w:spacing w:val="-9"/>
        </w:rPr>
        <w:t> </w:t>
      </w:r>
      <w:r>
        <w:rPr>
          <w:spacing w:val="-4"/>
        </w:rPr>
        <w:t>their</w:t>
      </w:r>
      <w:r>
        <w:rPr>
          <w:spacing w:val="-10"/>
        </w:rPr>
        <w:t> </w:t>
      </w:r>
      <w:r>
        <w:rPr>
          <w:spacing w:val="-4"/>
        </w:rPr>
        <w:t>accreditation.</w:t>
      </w:r>
      <w:r>
        <w:rPr>
          <w:spacing w:val="-10"/>
        </w:rPr>
        <w:t> </w:t>
      </w:r>
      <w:r>
        <w:rPr>
          <w:spacing w:val="-4"/>
        </w:rPr>
        <w:t>The</w:t>
      </w:r>
      <w:r>
        <w:rPr>
          <w:spacing w:val="-10"/>
        </w:rPr>
        <w:t> </w:t>
      </w:r>
      <w:r>
        <w:rPr>
          <w:spacing w:val="-4"/>
        </w:rPr>
        <w:t>rapid</w:t>
      </w:r>
      <w:r>
        <w:rPr>
          <w:spacing w:val="-9"/>
        </w:rPr>
        <w:t> </w:t>
      </w:r>
      <w:r>
        <w:rPr>
          <w:spacing w:val="-4"/>
        </w:rPr>
        <w:t>growth </w:t>
      </w:r>
      <w:r>
        <w:rPr/>
        <w:t>in</w:t>
      </w:r>
      <w:r>
        <w:rPr>
          <w:spacing w:val="-2"/>
        </w:rPr>
        <w:t> </w:t>
      </w:r>
      <w:r>
        <w:rPr/>
        <w:t>higher</w:t>
      </w:r>
      <w:r>
        <w:rPr>
          <w:spacing w:val="-2"/>
        </w:rPr>
        <w:t> </w:t>
      </w:r>
      <w:r>
        <w:rPr/>
        <w:t>education,</w:t>
      </w:r>
      <w:r>
        <w:rPr>
          <w:spacing w:val="-2"/>
        </w:rPr>
        <w:t> </w:t>
      </w:r>
      <w:r>
        <w:rPr/>
        <w:t>particularly</w:t>
      </w:r>
      <w:r>
        <w:rPr>
          <w:spacing w:val="-2"/>
        </w:rPr>
        <w:t> </w:t>
      </w:r>
      <w:r>
        <w:rPr/>
        <w:t>in</w:t>
      </w:r>
      <w:r>
        <w:rPr>
          <w:spacing w:val="-2"/>
        </w:rPr>
        <w:t> </w:t>
      </w:r>
      <w:r>
        <w:rPr/>
        <w:t>the</w:t>
      </w:r>
      <w:r>
        <w:rPr>
          <w:spacing w:val="-2"/>
        </w:rPr>
        <w:t> </w:t>
      </w:r>
      <w:r>
        <w:rPr/>
        <w:t>private</w:t>
      </w:r>
      <w:r>
        <w:rPr>
          <w:spacing w:val="-2"/>
        </w:rPr>
        <w:t> </w:t>
      </w:r>
      <w:r>
        <w:rPr/>
        <w:t>sector, has created a strong need for empowering students and</w:t>
      </w:r>
      <w:r>
        <w:rPr>
          <w:spacing w:val="-1"/>
        </w:rPr>
        <w:t> </w:t>
      </w:r>
      <w:r>
        <w:rPr/>
        <w:t>parents</w:t>
      </w:r>
      <w:r>
        <w:rPr>
          <w:spacing w:val="-1"/>
        </w:rPr>
        <w:t> </w:t>
      </w:r>
      <w:r>
        <w:rPr/>
        <w:t>with</w:t>
      </w:r>
      <w:r>
        <w:rPr>
          <w:spacing w:val="-1"/>
        </w:rPr>
        <w:t> </w:t>
      </w:r>
      <w:r>
        <w:rPr/>
        <w:t>reliable</w:t>
      </w:r>
      <w:r>
        <w:rPr>
          <w:spacing w:val="-1"/>
        </w:rPr>
        <w:t> </w:t>
      </w:r>
      <w:r>
        <w:rPr/>
        <w:t>information</w:t>
      </w:r>
      <w:r>
        <w:rPr>
          <w:spacing w:val="-1"/>
        </w:rPr>
        <w:t> </w:t>
      </w:r>
      <w:r>
        <w:rPr/>
        <w:t>from</w:t>
      </w:r>
      <w:r>
        <w:rPr>
          <w:spacing w:val="-1"/>
        </w:rPr>
        <w:t> </w:t>
      </w:r>
      <w:r>
        <w:rPr/>
        <w:t>a</w:t>
      </w:r>
      <w:r>
        <w:rPr>
          <w:spacing w:val="-1"/>
        </w:rPr>
        <w:t> </w:t>
      </w:r>
      <w:r>
        <w:rPr/>
        <w:t>credible </w:t>
      </w:r>
      <w:r>
        <w:rPr>
          <w:spacing w:val="-4"/>
        </w:rPr>
        <w:t>accreditation</w:t>
      </w:r>
      <w:r>
        <w:rPr>
          <w:spacing w:val="-10"/>
        </w:rPr>
        <w:t> </w:t>
      </w:r>
      <w:r>
        <w:rPr>
          <w:spacing w:val="-4"/>
        </w:rPr>
        <w:t>process.</w:t>
      </w:r>
      <w:r>
        <w:rPr>
          <w:spacing w:val="-10"/>
        </w:rPr>
        <w:t> </w:t>
      </w:r>
      <w:r>
        <w:rPr>
          <w:spacing w:val="-4"/>
        </w:rPr>
        <w:t>This</w:t>
      </w:r>
      <w:r>
        <w:rPr>
          <w:spacing w:val="-10"/>
        </w:rPr>
        <w:t> </w:t>
      </w:r>
      <w:r>
        <w:rPr>
          <w:spacing w:val="-4"/>
        </w:rPr>
        <w:t>system</w:t>
      </w:r>
      <w:r>
        <w:rPr>
          <w:spacing w:val="-9"/>
        </w:rPr>
        <w:t> </w:t>
      </w:r>
      <w:r>
        <w:rPr>
          <w:spacing w:val="-4"/>
        </w:rPr>
        <w:t>can</w:t>
      </w:r>
      <w:r>
        <w:rPr>
          <w:spacing w:val="-10"/>
        </w:rPr>
        <w:t> </w:t>
      </w:r>
      <w:r>
        <w:rPr>
          <w:spacing w:val="-4"/>
        </w:rPr>
        <w:t>be</w:t>
      </w:r>
      <w:r>
        <w:rPr>
          <w:spacing w:val="-10"/>
        </w:rPr>
        <w:t> </w:t>
      </w:r>
      <w:r>
        <w:rPr>
          <w:spacing w:val="-4"/>
        </w:rPr>
        <w:t>supplemented </w:t>
      </w:r>
      <w:r>
        <w:rPr>
          <w:spacing w:val="-2"/>
        </w:rPr>
        <w:t>with</w:t>
      </w:r>
      <w:r>
        <w:rPr>
          <w:spacing w:val="-14"/>
        </w:rPr>
        <w:t> </w:t>
      </w:r>
      <w:r>
        <w:rPr>
          <w:spacing w:val="-2"/>
        </w:rPr>
        <w:t>the</w:t>
      </w:r>
      <w:r>
        <w:rPr>
          <w:spacing w:val="-12"/>
        </w:rPr>
        <w:t> </w:t>
      </w:r>
      <w:r>
        <w:rPr>
          <w:spacing w:val="-2"/>
        </w:rPr>
        <w:t>creation</w:t>
      </w:r>
      <w:r>
        <w:rPr>
          <w:spacing w:val="-12"/>
        </w:rPr>
        <w:t> </w:t>
      </w:r>
      <w:r>
        <w:rPr>
          <w:spacing w:val="-2"/>
        </w:rPr>
        <w:t>of</w:t>
      </w:r>
      <w:r>
        <w:rPr>
          <w:spacing w:val="-11"/>
        </w:rPr>
        <w:t> </w:t>
      </w:r>
      <w:r>
        <w:rPr>
          <w:spacing w:val="-2"/>
        </w:rPr>
        <w:t>self-regulatory</w:t>
      </w:r>
      <w:r>
        <w:rPr>
          <w:spacing w:val="-12"/>
        </w:rPr>
        <w:t> </w:t>
      </w:r>
      <w:r>
        <w:rPr>
          <w:spacing w:val="-2"/>
        </w:rPr>
        <w:t>bodies</w:t>
      </w:r>
      <w:r>
        <w:rPr>
          <w:spacing w:val="-12"/>
        </w:rPr>
        <w:t> </w:t>
      </w:r>
      <w:r>
        <w:rPr>
          <w:spacing w:val="-2"/>
        </w:rPr>
        <w:t>in</w:t>
      </w:r>
      <w:r>
        <w:rPr>
          <w:spacing w:val="-12"/>
        </w:rPr>
        <w:t> </w:t>
      </w:r>
      <w:r>
        <w:rPr>
          <w:spacing w:val="-2"/>
        </w:rPr>
        <w:t>the</w:t>
      </w:r>
      <w:r>
        <w:rPr>
          <w:spacing w:val="-11"/>
        </w:rPr>
        <w:t> </w:t>
      </w:r>
      <w:r>
        <w:rPr>
          <w:spacing w:val="-2"/>
        </w:rPr>
        <w:t>higher </w:t>
      </w:r>
      <w:r>
        <w:rPr/>
        <w:t>education</w:t>
      </w:r>
      <w:r>
        <w:rPr>
          <w:spacing w:val="-11"/>
        </w:rPr>
        <w:t> </w:t>
      </w:r>
      <w:r>
        <w:rPr/>
        <w:t>system</w:t>
      </w:r>
      <w:r>
        <w:rPr>
          <w:spacing w:val="-11"/>
        </w:rPr>
        <w:t> </w:t>
      </w:r>
      <w:r>
        <w:rPr/>
        <w:t>and</w:t>
      </w:r>
      <w:r>
        <w:rPr>
          <w:spacing w:val="-11"/>
        </w:rPr>
        <w:t> </w:t>
      </w:r>
      <w:r>
        <w:rPr/>
        <w:t>the</w:t>
      </w:r>
      <w:r>
        <w:rPr>
          <w:spacing w:val="-11"/>
        </w:rPr>
        <w:t> </w:t>
      </w:r>
      <w:r>
        <w:rPr/>
        <w:t>freedom</w:t>
      </w:r>
      <w:r>
        <w:rPr>
          <w:spacing w:val="-11"/>
        </w:rPr>
        <w:t> </w:t>
      </w:r>
      <w:r>
        <w:rPr/>
        <w:t>to</w:t>
      </w:r>
      <w:r>
        <w:rPr>
          <w:spacing w:val="-11"/>
        </w:rPr>
        <w:t> </w:t>
      </w:r>
      <w:r>
        <w:rPr/>
        <w:t>seek</w:t>
      </w:r>
      <w:r>
        <w:rPr>
          <w:spacing w:val="-11"/>
        </w:rPr>
        <w:t> </w:t>
      </w:r>
      <w:r>
        <w:rPr/>
        <w:t>recognition from global accreditation systems.</w:t>
      </w:r>
    </w:p>
    <w:p>
      <w:pPr>
        <w:pStyle w:val="BodyText"/>
        <w:spacing w:before="5"/>
      </w:pPr>
    </w:p>
    <w:p>
      <w:pPr>
        <w:pStyle w:val="BodyText"/>
        <w:spacing w:line="266" w:lineRule="auto" w:before="1"/>
        <w:ind w:left="319" w:right="1077"/>
        <w:jc w:val="both"/>
      </w:pPr>
      <w:r>
        <w:rPr>
          <w:b/>
        </w:rPr>
        <w:t>Internal systems: </w:t>
      </w:r>
      <w:r>
        <w:rPr/>
        <w:t>In most universities, the </w:t>
      </w:r>
      <w:r>
        <w:rPr/>
        <w:t>main stakeholders, students, are minimally part of any mechanism for accountability. Obviously, student evaluations need to be used with care. Even so, they </w:t>
      </w:r>
      <w:r>
        <w:rPr>
          <w:spacing w:val="-2"/>
        </w:rPr>
        <w:t>can</w:t>
      </w:r>
      <w:r>
        <w:rPr>
          <w:spacing w:val="-11"/>
        </w:rPr>
        <w:t> </w:t>
      </w:r>
      <w:r>
        <w:rPr>
          <w:spacing w:val="-2"/>
        </w:rPr>
        <w:t>be</w:t>
      </w:r>
      <w:r>
        <w:rPr>
          <w:spacing w:val="-11"/>
        </w:rPr>
        <w:t> </w:t>
      </w:r>
      <w:r>
        <w:rPr>
          <w:spacing w:val="-2"/>
        </w:rPr>
        <w:t>part</w:t>
      </w:r>
      <w:r>
        <w:rPr>
          <w:spacing w:val="-11"/>
        </w:rPr>
        <w:t> </w:t>
      </w:r>
      <w:r>
        <w:rPr>
          <w:spacing w:val="-2"/>
        </w:rPr>
        <w:t>of</w:t>
      </w:r>
      <w:r>
        <w:rPr>
          <w:spacing w:val="-11"/>
        </w:rPr>
        <w:t> </w:t>
      </w:r>
      <w:r>
        <w:rPr>
          <w:spacing w:val="-2"/>
        </w:rPr>
        <w:t>a</w:t>
      </w:r>
      <w:r>
        <w:rPr>
          <w:spacing w:val="-11"/>
        </w:rPr>
        <w:t> </w:t>
      </w:r>
      <w:r>
        <w:rPr>
          <w:spacing w:val="-2"/>
        </w:rPr>
        <w:t>baseline</w:t>
      </w:r>
      <w:r>
        <w:rPr>
          <w:spacing w:val="-11"/>
        </w:rPr>
        <w:t> </w:t>
      </w:r>
      <w:r>
        <w:rPr>
          <w:spacing w:val="-2"/>
        </w:rPr>
        <w:t>set</w:t>
      </w:r>
      <w:r>
        <w:rPr>
          <w:spacing w:val="-11"/>
        </w:rPr>
        <w:t> </w:t>
      </w:r>
      <w:r>
        <w:rPr>
          <w:spacing w:val="-2"/>
        </w:rPr>
        <w:t>of</w:t>
      </w:r>
      <w:r>
        <w:rPr>
          <w:spacing w:val="-11"/>
        </w:rPr>
        <w:t> </w:t>
      </w:r>
      <w:r>
        <w:rPr>
          <w:spacing w:val="-2"/>
        </w:rPr>
        <w:t>accountability</w:t>
      </w:r>
      <w:r>
        <w:rPr>
          <w:spacing w:val="-11"/>
        </w:rPr>
        <w:t> </w:t>
      </w:r>
      <w:r>
        <w:rPr>
          <w:spacing w:val="-2"/>
        </w:rPr>
        <w:t>measures </w:t>
      </w:r>
      <w:r>
        <w:rPr>
          <w:spacing w:val="-4"/>
        </w:rPr>
        <w:t>which</w:t>
      </w:r>
      <w:r>
        <w:rPr>
          <w:spacing w:val="-10"/>
        </w:rPr>
        <w:t> </w:t>
      </w:r>
      <w:r>
        <w:rPr>
          <w:spacing w:val="-4"/>
        </w:rPr>
        <w:t>could</w:t>
      </w:r>
      <w:r>
        <w:rPr>
          <w:spacing w:val="-10"/>
        </w:rPr>
        <w:t> </w:t>
      </w:r>
      <w:r>
        <w:rPr>
          <w:spacing w:val="-4"/>
        </w:rPr>
        <w:t>at</w:t>
      </w:r>
      <w:r>
        <w:rPr>
          <w:spacing w:val="-10"/>
        </w:rPr>
        <w:t> </w:t>
      </w:r>
      <w:r>
        <w:rPr>
          <w:spacing w:val="-4"/>
        </w:rPr>
        <w:t>least</w:t>
      </w:r>
      <w:r>
        <w:rPr>
          <w:spacing w:val="-9"/>
        </w:rPr>
        <w:t> </w:t>
      </w:r>
      <w:r>
        <w:rPr>
          <w:spacing w:val="-4"/>
        </w:rPr>
        <w:t>establish</w:t>
      </w:r>
      <w:r>
        <w:rPr>
          <w:spacing w:val="-10"/>
        </w:rPr>
        <w:t> </w:t>
      </w:r>
      <w:r>
        <w:rPr>
          <w:spacing w:val="-4"/>
        </w:rPr>
        <w:t>whether</w:t>
      </w:r>
      <w:r>
        <w:rPr>
          <w:spacing w:val="-10"/>
        </w:rPr>
        <w:t> </w:t>
      </w:r>
      <w:r>
        <w:rPr>
          <w:spacing w:val="-4"/>
        </w:rPr>
        <w:t>classes</w:t>
      </w:r>
      <w:r>
        <w:rPr>
          <w:spacing w:val="-10"/>
        </w:rPr>
        <w:t> </w:t>
      </w:r>
      <w:r>
        <w:rPr>
          <w:spacing w:val="-4"/>
        </w:rPr>
        <w:t>scheduled </w:t>
      </w:r>
      <w:r>
        <w:rPr/>
        <w:t>in</w:t>
      </w:r>
      <w:r>
        <w:rPr>
          <w:spacing w:val="-11"/>
        </w:rPr>
        <w:t> </w:t>
      </w:r>
      <w:r>
        <w:rPr/>
        <w:t>the</w:t>
      </w:r>
      <w:r>
        <w:rPr>
          <w:spacing w:val="-10"/>
        </w:rPr>
        <w:t> </w:t>
      </w:r>
      <w:r>
        <w:rPr/>
        <w:t>timetable</w:t>
      </w:r>
      <w:r>
        <w:rPr>
          <w:spacing w:val="-10"/>
        </w:rPr>
        <w:t> </w:t>
      </w:r>
      <w:r>
        <w:rPr/>
        <w:t>are</w:t>
      </w:r>
      <w:r>
        <w:rPr>
          <w:spacing w:val="-10"/>
        </w:rPr>
        <w:t> </w:t>
      </w:r>
      <w:r>
        <w:rPr/>
        <w:t>held.</w:t>
      </w:r>
      <w:r>
        <w:rPr>
          <w:spacing w:val="-10"/>
        </w:rPr>
        <w:t> </w:t>
      </w:r>
      <w:r>
        <w:rPr/>
        <w:t>But</w:t>
      </w:r>
      <w:r>
        <w:rPr>
          <w:spacing w:val="-11"/>
        </w:rPr>
        <w:t> </w:t>
      </w:r>
      <w:r>
        <w:rPr/>
        <w:t>that</w:t>
      </w:r>
      <w:r>
        <w:rPr>
          <w:spacing w:val="-10"/>
        </w:rPr>
        <w:t> </w:t>
      </w:r>
      <w:r>
        <w:rPr/>
        <w:t>is</w:t>
      </w:r>
      <w:r>
        <w:rPr>
          <w:spacing w:val="-10"/>
        </w:rPr>
        <w:t> </w:t>
      </w:r>
      <w:r>
        <w:rPr/>
        <w:t>not</w:t>
      </w:r>
      <w:r>
        <w:rPr>
          <w:spacing w:val="-10"/>
        </w:rPr>
        <w:t> </w:t>
      </w:r>
      <w:r>
        <w:rPr/>
        <w:t>all.</w:t>
      </w:r>
      <w:r>
        <w:rPr>
          <w:spacing w:val="-10"/>
        </w:rPr>
        <w:t> </w:t>
      </w:r>
      <w:r>
        <w:rPr>
          <w:spacing w:val="-4"/>
        </w:rPr>
        <w:t>Evaluation</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80"/>
        <w:jc w:val="both"/>
      </w:pPr>
      <w:r>
        <w:rPr>
          <w:spacing w:val="-6"/>
        </w:rPr>
        <w:t>of</w:t>
      </w:r>
      <w:r>
        <w:rPr>
          <w:spacing w:val="-8"/>
        </w:rPr>
        <w:t> </w:t>
      </w:r>
      <w:r>
        <w:rPr>
          <w:spacing w:val="-6"/>
        </w:rPr>
        <w:t>courses</w:t>
      </w:r>
      <w:r>
        <w:rPr>
          <w:spacing w:val="-8"/>
        </w:rPr>
        <w:t> </w:t>
      </w:r>
      <w:r>
        <w:rPr>
          <w:spacing w:val="-6"/>
        </w:rPr>
        <w:t>and</w:t>
      </w:r>
      <w:r>
        <w:rPr>
          <w:spacing w:val="-8"/>
        </w:rPr>
        <w:t> </w:t>
      </w:r>
      <w:r>
        <w:rPr>
          <w:spacing w:val="-6"/>
        </w:rPr>
        <w:t>teachers</w:t>
      </w:r>
      <w:r>
        <w:rPr>
          <w:spacing w:val="-7"/>
        </w:rPr>
        <w:t> </w:t>
      </w:r>
      <w:r>
        <w:rPr>
          <w:spacing w:val="-6"/>
        </w:rPr>
        <w:t>by</w:t>
      </w:r>
      <w:r>
        <w:rPr>
          <w:spacing w:val="-8"/>
        </w:rPr>
        <w:t> </w:t>
      </w:r>
      <w:r>
        <w:rPr>
          <w:spacing w:val="-6"/>
        </w:rPr>
        <w:t>students</w:t>
      </w:r>
      <w:r>
        <w:rPr>
          <w:spacing w:val="-8"/>
        </w:rPr>
        <w:t> </w:t>
      </w:r>
      <w:r>
        <w:rPr>
          <w:spacing w:val="-6"/>
        </w:rPr>
        <w:t>is</w:t>
      </w:r>
      <w:r>
        <w:rPr>
          <w:spacing w:val="-8"/>
        </w:rPr>
        <w:t> </w:t>
      </w:r>
      <w:r>
        <w:rPr>
          <w:spacing w:val="-6"/>
        </w:rPr>
        <w:t>also</w:t>
      </w:r>
      <w:r>
        <w:rPr>
          <w:spacing w:val="-7"/>
        </w:rPr>
        <w:t> </w:t>
      </w:r>
      <w:r>
        <w:rPr>
          <w:spacing w:val="-6"/>
        </w:rPr>
        <w:t>needed,</w:t>
      </w:r>
      <w:r>
        <w:rPr>
          <w:spacing w:val="-8"/>
        </w:rPr>
        <w:t> </w:t>
      </w:r>
      <w:r>
        <w:rPr>
          <w:spacing w:val="-6"/>
        </w:rPr>
        <w:t>just</w:t>
      </w:r>
      <w:r>
        <w:rPr>
          <w:spacing w:val="-8"/>
        </w:rPr>
        <w:t> </w:t>
      </w:r>
      <w:r>
        <w:rPr>
          <w:spacing w:val="-6"/>
        </w:rPr>
        <w:t>as much</w:t>
      </w:r>
      <w:r>
        <w:rPr>
          <w:spacing w:val="-8"/>
        </w:rPr>
        <w:t> </w:t>
      </w:r>
      <w:r>
        <w:rPr>
          <w:spacing w:val="-6"/>
        </w:rPr>
        <w:t>as</w:t>
      </w:r>
      <w:r>
        <w:rPr>
          <w:spacing w:val="-8"/>
        </w:rPr>
        <w:t> </w:t>
      </w:r>
      <w:r>
        <w:rPr>
          <w:spacing w:val="-6"/>
        </w:rPr>
        <w:t>we</w:t>
      </w:r>
      <w:r>
        <w:rPr>
          <w:spacing w:val="-8"/>
        </w:rPr>
        <w:t> </w:t>
      </w:r>
      <w:r>
        <w:rPr>
          <w:spacing w:val="-6"/>
        </w:rPr>
        <w:t>need</w:t>
      </w:r>
      <w:r>
        <w:rPr>
          <w:spacing w:val="-7"/>
        </w:rPr>
        <w:t> </w:t>
      </w:r>
      <w:r>
        <w:rPr>
          <w:spacing w:val="-6"/>
        </w:rPr>
        <w:t>peer</w:t>
      </w:r>
      <w:r>
        <w:rPr>
          <w:spacing w:val="-8"/>
        </w:rPr>
        <w:t> </w:t>
      </w:r>
      <w:r>
        <w:rPr>
          <w:spacing w:val="-6"/>
        </w:rPr>
        <w:t>evaluation</w:t>
      </w:r>
      <w:r>
        <w:rPr>
          <w:spacing w:val="-8"/>
        </w:rPr>
        <w:t> </w:t>
      </w:r>
      <w:r>
        <w:rPr>
          <w:spacing w:val="-6"/>
        </w:rPr>
        <w:t>of</w:t>
      </w:r>
      <w:r>
        <w:rPr>
          <w:spacing w:val="-8"/>
        </w:rPr>
        <w:t> </w:t>
      </w:r>
      <w:r>
        <w:rPr>
          <w:spacing w:val="-6"/>
        </w:rPr>
        <w:t>teachers</w:t>
      </w:r>
      <w:r>
        <w:rPr>
          <w:spacing w:val="-7"/>
        </w:rPr>
        <w:t> </w:t>
      </w:r>
      <w:r>
        <w:rPr>
          <w:spacing w:val="-6"/>
        </w:rPr>
        <w:t>by</w:t>
      </w:r>
      <w:r>
        <w:rPr>
          <w:spacing w:val="-8"/>
        </w:rPr>
        <w:t> </w:t>
      </w:r>
      <w:r>
        <w:rPr>
          <w:spacing w:val="-6"/>
        </w:rPr>
        <w:t>teachers. </w:t>
      </w:r>
      <w:r>
        <w:rPr/>
        <w:t>Such</w:t>
      </w:r>
      <w:r>
        <w:rPr>
          <w:spacing w:val="-7"/>
        </w:rPr>
        <w:t> </w:t>
      </w:r>
      <w:r>
        <w:rPr/>
        <w:t>internal</w:t>
      </w:r>
      <w:r>
        <w:rPr>
          <w:spacing w:val="-9"/>
        </w:rPr>
        <w:t> </w:t>
      </w:r>
      <w:r>
        <w:rPr/>
        <w:t>systems</w:t>
      </w:r>
      <w:r>
        <w:rPr>
          <w:spacing w:val="-9"/>
        </w:rPr>
        <w:t> </w:t>
      </w:r>
      <w:r>
        <w:rPr/>
        <w:t>of</w:t>
      </w:r>
      <w:r>
        <w:rPr>
          <w:spacing w:val="-9"/>
        </w:rPr>
        <w:t> </w:t>
      </w:r>
      <w:r>
        <w:rPr/>
        <w:t>evaluation</w:t>
      </w:r>
      <w:r>
        <w:rPr>
          <w:spacing w:val="-9"/>
        </w:rPr>
        <w:t> </w:t>
      </w:r>
      <w:r>
        <w:rPr/>
        <w:t>would</w:t>
      </w:r>
      <w:r>
        <w:rPr>
          <w:spacing w:val="-9"/>
        </w:rPr>
        <w:t> </w:t>
      </w:r>
      <w:r>
        <w:rPr/>
        <w:t>strengthen accountability</w:t>
      </w:r>
      <w:r>
        <w:rPr>
          <w:spacing w:val="-14"/>
        </w:rPr>
        <w:t> </w:t>
      </w:r>
      <w:r>
        <w:rPr/>
        <w:t>in</w:t>
      </w:r>
      <w:r>
        <w:rPr>
          <w:spacing w:val="-14"/>
        </w:rPr>
        <w:t> </w:t>
      </w:r>
      <w:r>
        <w:rPr/>
        <w:t>the</w:t>
      </w:r>
      <w:r>
        <w:rPr>
          <w:spacing w:val="-14"/>
        </w:rPr>
        <w:t> </w:t>
      </w:r>
      <w:r>
        <w:rPr/>
        <w:t>teaching-learning</w:t>
      </w:r>
      <w:r>
        <w:rPr>
          <w:spacing w:val="-13"/>
        </w:rPr>
        <w:t> </w:t>
      </w:r>
      <w:r>
        <w:rPr/>
        <w:t>process.</w:t>
      </w:r>
      <w:r>
        <w:rPr>
          <w:spacing w:val="-14"/>
        </w:rPr>
        <w:t> </w:t>
      </w:r>
      <w:r>
        <w:rPr/>
        <w:t>These must be combined with institutional mechanisms for </w:t>
      </w:r>
      <w:r>
        <w:rPr>
          <w:spacing w:val="-6"/>
        </w:rPr>
        <w:t>accountability</w:t>
      </w:r>
      <w:r>
        <w:rPr>
          <w:spacing w:val="-8"/>
        </w:rPr>
        <w:t> </w:t>
      </w:r>
      <w:r>
        <w:rPr>
          <w:spacing w:val="-6"/>
        </w:rPr>
        <w:t>in</w:t>
      </w:r>
      <w:r>
        <w:rPr>
          <w:spacing w:val="-8"/>
        </w:rPr>
        <w:t> </w:t>
      </w:r>
      <w:r>
        <w:rPr>
          <w:spacing w:val="-6"/>
        </w:rPr>
        <w:t>other</w:t>
      </w:r>
      <w:r>
        <w:rPr>
          <w:spacing w:val="-8"/>
        </w:rPr>
        <w:t> </w:t>
      </w:r>
      <w:r>
        <w:rPr>
          <w:spacing w:val="-6"/>
        </w:rPr>
        <w:t>dimensions</w:t>
      </w:r>
      <w:r>
        <w:rPr>
          <w:spacing w:val="-7"/>
        </w:rPr>
        <w:t> </w:t>
      </w:r>
      <w:r>
        <w:rPr>
          <w:spacing w:val="-6"/>
        </w:rPr>
        <w:t>of</w:t>
      </w:r>
      <w:r>
        <w:rPr>
          <w:spacing w:val="-8"/>
        </w:rPr>
        <w:t> </w:t>
      </w:r>
      <w:r>
        <w:rPr>
          <w:spacing w:val="-6"/>
        </w:rPr>
        <w:t>university</w:t>
      </w:r>
      <w:r>
        <w:rPr>
          <w:spacing w:val="-8"/>
        </w:rPr>
        <w:t> </w:t>
      </w:r>
      <w:r>
        <w:rPr>
          <w:spacing w:val="-6"/>
        </w:rPr>
        <w:t>systems.</w:t>
      </w:r>
    </w:p>
    <w:p>
      <w:pPr>
        <w:pStyle w:val="BodyText"/>
        <w:spacing w:before="22"/>
      </w:pPr>
    </w:p>
    <w:p>
      <w:pPr>
        <w:pStyle w:val="BodyText"/>
        <w:spacing w:line="266" w:lineRule="auto"/>
        <w:ind w:left="1080"/>
        <w:jc w:val="both"/>
      </w:pPr>
      <w:r>
        <w:rPr>
          <w:b/>
        </w:rPr>
        <w:t>Information:</w:t>
      </w:r>
      <w:r>
        <w:rPr>
          <w:b/>
          <w:spacing w:val="-10"/>
        </w:rPr>
        <w:t> </w:t>
      </w:r>
      <w:r>
        <w:rPr/>
        <w:t>Almost</w:t>
      </w:r>
      <w:r>
        <w:rPr>
          <w:spacing w:val="-11"/>
        </w:rPr>
        <w:t> </w:t>
      </w:r>
      <w:r>
        <w:rPr/>
        <w:t>everywhere,</w:t>
      </w:r>
      <w:r>
        <w:rPr>
          <w:spacing w:val="-11"/>
        </w:rPr>
        <w:t> </w:t>
      </w:r>
      <w:r>
        <w:rPr/>
        <w:t>information</w:t>
      </w:r>
      <w:r>
        <w:rPr>
          <w:spacing w:val="-11"/>
        </w:rPr>
        <w:t> </w:t>
      </w:r>
      <w:r>
        <w:rPr/>
        <w:t>in</w:t>
      </w:r>
      <w:r>
        <w:rPr>
          <w:spacing w:val="-11"/>
        </w:rPr>
        <w:t> </w:t>
      </w:r>
      <w:r>
        <w:rPr/>
        <w:t>the </w:t>
      </w:r>
      <w:r>
        <w:rPr>
          <w:spacing w:val="-4"/>
        </w:rPr>
        <w:t>public domain is an important source of accountability. Higher</w:t>
      </w:r>
      <w:r>
        <w:rPr>
          <w:spacing w:val="-9"/>
        </w:rPr>
        <w:t> </w:t>
      </w:r>
      <w:r>
        <w:rPr>
          <w:spacing w:val="-4"/>
        </w:rPr>
        <w:t>education should be no exception.</w:t>
      </w:r>
      <w:r>
        <w:rPr>
          <w:spacing w:val="-10"/>
        </w:rPr>
        <w:t> </w:t>
      </w:r>
      <w:r>
        <w:rPr>
          <w:spacing w:val="-4"/>
        </w:rPr>
        <w:t>There should </w:t>
      </w:r>
      <w:r>
        <w:rPr/>
        <w:t>be disclosure norms for universities and institutions imparting higher education.</w:t>
      </w:r>
      <w:r>
        <w:rPr>
          <w:spacing w:val="-3"/>
        </w:rPr>
        <w:t> </w:t>
      </w:r>
      <w:r>
        <w:rPr/>
        <w:t>They should be required to place basic information relating to their financial situation, physical assets, accreditation ratings, </w:t>
      </w:r>
      <w:r>
        <w:rPr>
          <w:w w:val="90"/>
        </w:rPr>
        <w:t>admissions criteria, faculty positions, academic curricula, </w:t>
      </w:r>
      <w:r>
        <w:rPr/>
        <w:t>and</w:t>
      </w:r>
      <w:r>
        <w:rPr>
          <w:spacing w:val="-13"/>
        </w:rPr>
        <w:t> </w:t>
      </w:r>
      <w:r>
        <w:rPr/>
        <w:t>so</w:t>
      </w:r>
      <w:r>
        <w:rPr>
          <w:spacing w:val="-10"/>
        </w:rPr>
        <w:t> </w:t>
      </w:r>
      <w:r>
        <w:rPr/>
        <w:t>on,</w:t>
      </w:r>
      <w:r>
        <w:rPr>
          <w:spacing w:val="-10"/>
        </w:rPr>
        <w:t> </w:t>
      </w:r>
      <w:r>
        <w:rPr/>
        <w:t>in</w:t>
      </w:r>
      <w:r>
        <w:rPr>
          <w:spacing w:val="-10"/>
        </w:rPr>
        <w:t> </w:t>
      </w:r>
      <w:r>
        <w:rPr/>
        <w:t>the</w:t>
      </w:r>
      <w:r>
        <w:rPr>
          <w:spacing w:val="-10"/>
        </w:rPr>
        <w:t> </w:t>
      </w:r>
      <w:r>
        <w:rPr/>
        <w:t>public</w:t>
      </w:r>
      <w:r>
        <w:rPr>
          <w:spacing w:val="-10"/>
        </w:rPr>
        <w:t> </w:t>
      </w:r>
      <w:r>
        <w:rPr/>
        <w:t>domain.</w:t>
      </w:r>
      <w:r>
        <w:rPr>
          <w:spacing w:val="-14"/>
        </w:rPr>
        <w:t> </w:t>
      </w:r>
      <w:r>
        <w:rPr/>
        <w:t>This</w:t>
      </w:r>
      <w:r>
        <w:rPr>
          <w:spacing w:val="-10"/>
        </w:rPr>
        <w:t> </w:t>
      </w:r>
      <w:r>
        <w:rPr/>
        <w:t>would</w:t>
      </w:r>
      <w:r>
        <w:rPr>
          <w:spacing w:val="-10"/>
        </w:rPr>
        <w:t> </w:t>
      </w:r>
      <w:r>
        <w:rPr/>
        <w:t>empower </w:t>
      </w:r>
      <w:r>
        <w:rPr>
          <w:spacing w:val="-4"/>
        </w:rPr>
        <w:t>students</w:t>
      </w:r>
      <w:r>
        <w:rPr>
          <w:spacing w:val="-9"/>
        </w:rPr>
        <w:t> </w:t>
      </w:r>
      <w:r>
        <w:rPr>
          <w:spacing w:val="-4"/>
        </w:rPr>
        <w:t>and</w:t>
      </w:r>
      <w:r>
        <w:rPr>
          <w:spacing w:val="-9"/>
        </w:rPr>
        <w:t> </w:t>
      </w:r>
      <w:r>
        <w:rPr>
          <w:spacing w:val="-4"/>
        </w:rPr>
        <w:t>parents</w:t>
      </w:r>
      <w:r>
        <w:rPr>
          <w:spacing w:val="-9"/>
        </w:rPr>
        <w:t> </w:t>
      </w:r>
      <w:r>
        <w:rPr>
          <w:spacing w:val="-4"/>
        </w:rPr>
        <w:t>and</w:t>
      </w:r>
      <w:r>
        <w:rPr>
          <w:spacing w:val="-9"/>
        </w:rPr>
        <w:t> </w:t>
      </w:r>
      <w:r>
        <w:rPr>
          <w:spacing w:val="-4"/>
        </w:rPr>
        <w:t>enable</w:t>
      </w:r>
      <w:r>
        <w:rPr>
          <w:spacing w:val="-9"/>
        </w:rPr>
        <w:t> </w:t>
      </w:r>
      <w:r>
        <w:rPr>
          <w:spacing w:val="-4"/>
        </w:rPr>
        <w:t>them</w:t>
      </w:r>
      <w:r>
        <w:rPr>
          <w:spacing w:val="-9"/>
        </w:rPr>
        <w:t> </w:t>
      </w:r>
      <w:r>
        <w:rPr>
          <w:spacing w:val="-4"/>
        </w:rPr>
        <w:t>to</w:t>
      </w:r>
      <w:r>
        <w:rPr>
          <w:spacing w:val="-9"/>
        </w:rPr>
        <w:t> </w:t>
      </w:r>
      <w:r>
        <w:rPr>
          <w:spacing w:val="-4"/>
        </w:rPr>
        <w:t>make</w:t>
      </w:r>
      <w:r>
        <w:rPr>
          <w:spacing w:val="-9"/>
        </w:rPr>
        <w:t> </w:t>
      </w:r>
      <w:r>
        <w:rPr>
          <w:spacing w:val="-4"/>
        </w:rPr>
        <w:t>informed </w:t>
      </w:r>
      <w:r>
        <w:rPr>
          <w:spacing w:val="-2"/>
        </w:rPr>
        <w:t>choices.</w:t>
      </w:r>
      <w:r>
        <w:rPr>
          <w:spacing w:val="-8"/>
        </w:rPr>
        <w:t> </w:t>
      </w:r>
      <w:r>
        <w:rPr>
          <w:spacing w:val="-2"/>
        </w:rPr>
        <w:t>Information,</w:t>
      </w:r>
      <w:r>
        <w:rPr>
          <w:spacing w:val="-8"/>
        </w:rPr>
        <w:t> </w:t>
      </w:r>
      <w:r>
        <w:rPr>
          <w:spacing w:val="-2"/>
        </w:rPr>
        <w:t>along</w:t>
      </w:r>
      <w:r>
        <w:rPr>
          <w:spacing w:val="-8"/>
        </w:rPr>
        <w:t> </w:t>
      </w:r>
      <w:r>
        <w:rPr>
          <w:spacing w:val="-2"/>
        </w:rPr>
        <w:t>with</w:t>
      </w:r>
      <w:r>
        <w:rPr>
          <w:spacing w:val="-8"/>
        </w:rPr>
        <w:t> </w:t>
      </w:r>
      <w:r>
        <w:rPr>
          <w:spacing w:val="-2"/>
        </w:rPr>
        <w:t>competition,</w:t>
      </w:r>
      <w:r>
        <w:rPr>
          <w:spacing w:val="-8"/>
        </w:rPr>
        <w:t> </w:t>
      </w:r>
      <w:r>
        <w:rPr>
          <w:spacing w:val="-2"/>
        </w:rPr>
        <w:t>fostered by</w:t>
      </w:r>
      <w:r>
        <w:rPr>
          <w:spacing w:val="-12"/>
        </w:rPr>
        <w:t> </w:t>
      </w:r>
      <w:r>
        <w:rPr>
          <w:spacing w:val="-2"/>
        </w:rPr>
        <w:t>increased</w:t>
      </w:r>
      <w:r>
        <w:rPr>
          <w:spacing w:val="-12"/>
        </w:rPr>
        <w:t> </w:t>
      </w:r>
      <w:r>
        <w:rPr>
          <w:spacing w:val="-2"/>
        </w:rPr>
        <w:t>supply,</w:t>
      </w:r>
      <w:r>
        <w:rPr>
          <w:spacing w:val="-12"/>
        </w:rPr>
        <w:t> </w:t>
      </w:r>
      <w:r>
        <w:rPr>
          <w:spacing w:val="-2"/>
        </w:rPr>
        <w:t>will</w:t>
      </w:r>
      <w:r>
        <w:rPr>
          <w:spacing w:val="-11"/>
        </w:rPr>
        <w:t> </w:t>
      </w:r>
      <w:r>
        <w:rPr>
          <w:spacing w:val="-2"/>
        </w:rPr>
        <w:t>close</w:t>
      </w:r>
      <w:r>
        <w:rPr>
          <w:spacing w:val="-12"/>
        </w:rPr>
        <w:t> </w:t>
      </w:r>
      <w:r>
        <w:rPr>
          <w:spacing w:val="-2"/>
        </w:rPr>
        <w:t>the</w:t>
      </w:r>
      <w:r>
        <w:rPr>
          <w:spacing w:val="-12"/>
        </w:rPr>
        <w:t> </w:t>
      </w:r>
      <w:r>
        <w:rPr>
          <w:spacing w:val="-2"/>
        </w:rPr>
        <w:t>accountability</w:t>
      </w:r>
      <w:r>
        <w:rPr>
          <w:spacing w:val="-12"/>
        </w:rPr>
        <w:t> </w:t>
      </w:r>
      <w:r>
        <w:rPr>
          <w:spacing w:val="-2"/>
        </w:rPr>
        <w:t>loop.</w:t>
      </w:r>
    </w:p>
    <w:p>
      <w:pPr>
        <w:pStyle w:val="BodyText"/>
        <w:spacing w:before="18"/>
      </w:pPr>
    </w:p>
    <w:p>
      <w:pPr>
        <w:pStyle w:val="BodyText"/>
        <w:spacing w:line="266" w:lineRule="auto"/>
        <w:ind w:left="1080"/>
        <w:jc w:val="both"/>
      </w:pPr>
      <w:r>
        <w:rPr>
          <w:b/>
        </w:rPr>
        <w:t>Incentives:</w:t>
      </w:r>
      <w:r>
        <w:rPr>
          <w:b/>
          <w:spacing w:val="-9"/>
        </w:rPr>
        <w:t> </w:t>
      </w:r>
      <w:r>
        <w:rPr/>
        <w:t>Even</w:t>
      </w:r>
      <w:r>
        <w:rPr>
          <w:spacing w:val="-9"/>
        </w:rPr>
        <w:t> </w:t>
      </w:r>
      <w:r>
        <w:rPr/>
        <w:t>if</w:t>
      </w:r>
      <w:r>
        <w:rPr>
          <w:spacing w:val="-9"/>
        </w:rPr>
        <w:t> </w:t>
      </w:r>
      <w:r>
        <w:rPr/>
        <w:t>we</w:t>
      </w:r>
      <w:r>
        <w:rPr>
          <w:spacing w:val="-9"/>
        </w:rPr>
        <w:t> </w:t>
      </w:r>
      <w:r>
        <w:rPr/>
        <w:t>cannot</w:t>
      </w:r>
      <w:r>
        <w:rPr>
          <w:spacing w:val="-9"/>
        </w:rPr>
        <w:t> </w:t>
      </w:r>
      <w:r>
        <w:rPr/>
        <w:t>introduce</w:t>
      </w:r>
      <w:r>
        <w:rPr>
          <w:spacing w:val="-9"/>
        </w:rPr>
        <w:t> </w:t>
      </w:r>
      <w:r>
        <w:rPr/>
        <w:t>penalties</w:t>
      </w:r>
      <w:r>
        <w:rPr>
          <w:spacing w:val="-9"/>
        </w:rPr>
        <w:t> </w:t>
      </w:r>
      <w:r>
        <w:rPr/>
        <w:t>for non-performance,</w:t>
      </w:r>
      <w:r>
        <w:rPr>
          <w:spacing w:val="-12"/>
        </w:rPr>
        <w:t> </w:t>
      </w:r>
      <w:r>
        <w:rPr/>
        <w:t>it</w:t>
      </w:r>
      <w:r>
        <w:rPr>
          <w:spacing w:val="-12"/>
        </w:rPr>
        <w:t> </w:t>
      </w:r>
      <w:r>
        <w:rPr/>
        <w:t>is</w:t>
      </w:r>
      <w:r>
        <w:rPr>
          <w:spacing w:val="-12"/>
        </w:rPr>
        <w:t> </w:t>
      </w:r>
      <w:r>
        <w:rPr/>
        <w:t>necessary</w:t>
      </w:r>
      <w:r>
        <w:rPr>
          <w:spacing w:val="-12"/>
        </w:rPr>
        <w:t> </w:t>
      </w:r>
      <w:r>
        <w:rPr/>
        <w:t>to</w:t>
      </w:r>
      <w:r>
        <w:rPr>
          <w:spacing w:val="-12"/>
        </w:rPr>
        <w:t> </w:t>
      </w:r>
      <w:r>
        <w:rPr/>
        <w:t>introduce</w:t>
      </w:r>
      <w:r>
        <w:rPr>
          <w:spacing w:val="-12"/>
        </w:rPr>
        <w:t> </w:t>
      </w:r>
      <w:r>
        <w:rPr/>
        <w:t>rewards for performance. We must, of course, recognise that universities</w:t>
      </w:r>
      <w:r>
        <w:rPr>
          <w:spacing w:val="-9"/>
        </w:rPr>
        <w:t> </w:t>
      </w:r>
      <w:r>
        <w:rPr/>
        <w:t>are</w:t>
      </w:r>
      <w:r>
        <w:rPr>
          <w:spacing w:val="-9"/>
        </w:rPr>
        <w:t> </w:t>
      </w:r>
      <w:r>
        <w:rPr/>
        <w:t>different</w:t>
      </w:r>
      <w:r>
        <w:rPr>
          <w:spacing w:val="-9"/>
        </w:rPr>
        <w:t> </w:t>
      </w:r>
      <w:r>
        <w:rPr/>
        <w:t>from</w:t>
      </w:r>
      <w:r>
        <w:rPr>
          <w:spacing w:val="-9"/>
        </w:rPr>
        <w:t> </w:t>
      </w:r>
      <w:r>
        <w:rPr/>
        <w:t>the</w:t>
      </w:r>
      <w:r>
        <w:rPr>
          <w:spacing w:val="-9"/>
        </w:rPr>
        <w:t> </w:t>
      </w:r>
      <w:r>
        <w:rPr/>
        <w:t>hierarchical</w:t>
      </w:r>
      <w:r>
        <w:rPr>
          <w:spacing w:val="-9"/>
        </w:rPr>
        <w:t> </w:t>
      </w:r>
      <w:r>
        <w:rPr/>
        <w:t>worlds in</w:t>
      </w:r>
      <w:r>
        <w:rPr>
          <w:spacing w:val="40"/>
        </w:rPr>
        <w:t> </w:t>
      </w:r>
      <w:r>
        <w:rPr/>
        <w:t>governments</w:t>
      </w:r>
      <w:r>
        <w:rPr>
          <w:spacing w:val="40"/>
        </w:rPr>
        <w:t> </w:t>
      </w:r>
      <w:r>
        <w:rPr/>
        <w:t>and</w:t>
      </w:r>
      <w:r>
        <w:rPr>
          <w:spacing w:val="40"/>
        </w:rPr>
        <w:t> </w:t>
      </w:r>
      <w:r>
        <w:rPr/>
        <w:t>corporate</w:t>
      </w:r>
      <w:r>
        <w:rPr>
          <w:spacing w:val="40"/>
        </w:rPr>
        <w:t> </w:t>
      </w:r>
      <w:r>
        <w:rPr/>
        <w:t>structures. The</w:t>
      </w:r>
      <w:r>
        <w:rPr>
          <w:spacing w:val="40"/>
        </w:rPr>
        <w:t> </w:t>
      </w:r>
      <w:r>
        <w:rPr/>
        <w:t>web of</w:t>
      </w:r>
      <w:r>
        <w:rPr>
          <w:spacing w:val="-6"/>
        </w:rPr>
        <w:t> </w:t>
      </w:r>
      <w:r>
        <w:rPr/>
        <w:t>incentives</w:t>
      </w:r>
      <w:r>
        <w:rPr>
          <w:spacing w:val="-6"/>
        </w:rPr>
        <w:t> </w:t>
      </w:r>
      <w:r>
        <w:rPr/>
        <w:t>is</w:t>
      </w:r>
      <w:r>
        <w:rPr>
          <w:spacing w:val="-6"/>
        </w:rPr>
        <w:t> </w:t>
      </w:r>
      <w:r>
        <w:rPr/>
        <w:t>far</w:t>
      </w:r>
      <w:r>
        <w:rPr>
          <w:spacing w:val="-6"/>
        </w:rPr>
        <w:t> </w:t>
      </w:r>
      <w:r>
        <w:rPr/>
        <w:t>more</w:t>
      </w:r>
      <w:r>
        <w:rPr>
          <w:spacing w:val="-6"/>
        </w:rPr>
        <w:t> </w:t>
      </w:r>
      <w:r>
        <w:rPr/>
        <w:t>subtle.</w:t>
      </w:r>
      <w:r>
        <w:rPr>
          <w:spacing w:val="-6"/>
        </w:rPr>
        <w:t> </w:t>
      </w:r>
      <w:r>
        <w:rPr/>
        <w:t>Even</w:t>
      </w:r>
      <w:r>
        <w:rPr>
          <w:spacing w:val="-6"/>
        </w:rPr>
        <w:t> </w:t>
      </w:r>
      <w:r>
        <w:rPr/>
        <w:t>so,</w:t>
      </w:r>
      <w:r>
        <w:rPr>
          <w:spacing w:val="-6"/>
        </w:rPr>
        <w:t> </w:t>
      </w:r>
      <w:r>
        <w:rPr/>
        <w:t>the</w:t>
      </w:r>
      <w:r>
        <w:rPr>
          <w:spacing w:val="-6"/>
        </w:rPr>
        <w:t> </w:t>
      </w:r>
      <w:r>
        <w:rPr/>
        <w:t>time</w:t>
      </w:r>
      <w:r>
        <w:rPr>
          <w:spacing w:val="-6"/>
        </w:rPr>
        <w:t> </w:t>
      </w:r>
      <w:r>
        <w:rPr/>
        <w:t>has </w:t>
      </w:r>
      <w:r>
        <w:rPr>
          <w:spacing w:val="-4"/>
        </w:rPr>
        <w:t>come</w:t>
      </w:r>
      <w:r>
        <w:rPr>
          <w:spacing w:val="-10"/>
        </w:rPr>
        <w:t> </w:t>
      </w:r>
      <w:r>
        <w:rPr>
          <w:spacing w:val="-4"/>
        </w:rPr>
        <w:t>to</w:t>
      </w:r>
      <w:r>
        <w:rPr>
          <w:spacing w:val="-10"/>
        </w:rPr>
        <w:t> </w:t>
      </w:r>
      <w:r>
        <w:rPr>
          <w:spacing w:val="-4"/>
        </w:rPr>
        <w:t>think</w:t>
      </w:r>
      <w:r>
        <w:rPr>
          <w:spacing w:val="-10"/>
        </w:rPr>
        <w:t> </w:t>
      </w:r>
      <w:r>
        <w:rPr>
          <w:spacing w:val="-4"/>
        </w:rPr>
        <w:t>of</w:t>
      </w:r>
      <w:r>
        <w:rPr>
          <w:spacing w:val="-9"/>
        </w:rPr>
        <w:t> </w:t>
      </w:r>
      <w:r>
        <w:rPr>
          <w:spacing w:val="-4"/>
        </w:rPr>
        <w:t>salary</w:t>
      </w:r>
      <w:r>
        <w:rPr>
          <w:spacing w:val="-10"/>
        </w:rPr>
        <w:t> </w:t>
      </w:r>
      <w:r>
        <w:rPr>
          <w:spacing w:val="-4"/>
        </w:rPr>
        <w:t>differentials</w:t>
      </w:r>
      <w:r>
        <w:rPr>
          <w:spacing w:val="-10"/>
        </w:rPr>
        <w:t> </w:t>
      </w:r>
      <w:r>
        <w:rPr>
          <w:spacing w:val="-4"/>
        </w:rPr>
        <w:t>within</w:t>
      </w:r>
      <w:r>
        <w:rPr>
          <w:spacing w:val="-10"/>
        </w:rPr>
        <w:t> </w:t>
      </w:r>
      <w:r>
        <w:rPr>
          <w:spacing w:val="-4"/>
        </w:rPr>
        <w:t>and</w:t>
      </w:r>
      <w:r>
        <w:rPr>
          <w:spacing w:val="-9"/>
        </w:rPr>
        <w:t> </w:t>
      </w:r>
      <w:r>
        <w:rPr>
          <w:spacing w:val="-4"/>
        </w:rPr>
        <w:t>between </w:t>
      </w:r>
      <w:r>
        <w:rPr>
          <w:w w:val="90"/>
        </w:rPr>
        <w:t>universities as a means of attracting and retaining talented </w:t>
      </w:r>
      <w:r>
        <w:rPr/>
        <w:t>faculty members. The salary differentiation among </w:t>
      </w:r>
      <w:r>
        <w:rPr>
          <w:spacing w:val="-2"/>
        </w:rPr>
        <w:t>teachers</w:t>
      </w:r>
      <w:r>
        <w:rPr>
          <w:spacing w:val="-10"/>
        </w:rPr>
        <w:t> </w:t>
      </w:r>
      <w:r>
        <w:rPr>
          <w:spacing w:val="-2"/>
        </w:rPr>
        <w:t>within</w:t>
      </w:r>
      <w:r>
        <w:rPr>
          <w:spacing w:val="-10"/>
        </w:rPr>
        <w:t> </w:t>
      </w:r>
      <w:r>
        <w:rPr>
          <w:spacing w:val="-2"/>
        </w:rPr>
        <w:t>the</w:t>
      </w:r>
      <w:r>
        <w:rPr>
          <w:spacing w:val="-10"/>
        </w:rPr>
        <w:t> </w:t>
      </w:r>
      <w:r>
        <w:rPr>
          <w:spacing w:val="-2"/>
        </w:rPr>
        <w:t>same</w:t>
      </w:r>
      <w:r>
        <w:rPr>
          <w:spacing w:val="-10"/>
        </w:rPr>
        <w:t> </w:t>
      </w:r>
      <w:r>
        <w:rPr>
          <w:spacing w:val="-2"/>
        </w:rPr>
        <w:t>university</w:t>
      </w:r>
      <w:r>
        <w:rPr>
          <w:spacing w:val="-10"/>
        </w:rPr>
        <w:t> </w:t>
      </w:r>
      <w:r>
        <w:rPr>
          <w:spacing w:val="-2"/>
        </w:rPr>
        <w:t>needs</w:t>
      </w:r>
      <w:r>
        <w:rPr>
          <w:spacing w:val="-10"/>
        </w:rPr>
        <w:t> </w:t>
      </w:r>
      <w:r>
        <w:rPr>
          <w:spacing w:val="-2"/>
        </w:rPr>
        <w:t>to</w:t>
      </w:r>
      <w:r>
        <w:rPr>
          <w:spacing w:val="-10"/>
        </w:rPr>
        <w:t> </w:t>
      </w:r>
      <w:r>
        <w:rPr>
          <w:spacing w:val="-2"/>
        </w:rPr>
        <w:t>reflect</w:t>
      </w:r>
      <w:r>
        <w:rPr>
          <w:spacing w:val="-10"/>
        </w:rPr>
        <w:t> </w:t>
      </w:r>
      <w:r>
        <w:rPr>
          <w:spacing w:val="-2"/>
        </w:rPr>
        <w:t>the </w:t>
      </w:r>
      <w:r>
        <w:rPr/>
        <w:t>opportunity costs for teachers in some departments. This</w:t>
      </w:r>
      <w:r>
        <w:rPr>
          <w:spacing w:val="-1"/>
        </w:rPr>
        <w:t> </w:t>
      </w:r>
      <w:r>
        <w:rPr/>
        <w:t>will</w:t>
      </w:r>
      <w:r>
        <w:rPr>
          <w:spacing w:val="-1"/>
        </w:rPr>
        <w:t> </w:t>
      </w:r>
      <w:r>
        <w:rPr/>
        <w:t>help</w:t>
      </w:r>
      <w:r>
        <w:rPr>
          <w:spacing w:val="-1"/>
        </w:rPr>
        <w:t> </w:t>
      </w:r>
      <w:r>
        <w:rPr/>
        <w:t>retain</w:t>
      </w:r>
      <w:r>
        <w:rPr>
          <w:spacing w:val="-1"/>
        </w:rPr>
        <w:t> </w:t>
      </w:r>
      <w:r>
        <w:rPr/>
        <w:t>talent</w:t>
      </w:r>
      <w:r>
        <w:rPr>
          <w:spacing w:val="-1"/>
        </w:rPr>
        <w:t> </w:t>
      </w:r>
      <w:r>
        <w:rPr/>
        <w:t>in</w:t>
      </w:r>
      <w:r>
        <w:rPr>
          <w:spacing w:val="-1"/>
        </w:rPr>
        <w:t> </w:t>
      </w:r>
      <w:r>
        <w:rPr/>
        <w:t>some</w:t>
      </w:r>
      <w:r>
        <w:rPr>
          <w:spacing w:val="-1"/>
        </w:rPr>
        <w:t> </w:t>
      </w:r>
      <w:r>
        <w:rPr/>
        <w:t>disciplines</w:t>
      </w:r>
      <w:r>
        <w:rPr>
          <w:spacing w:val="-1"/>
        </w:rPr>
        <w:t> </w:t>
      </w:r>
      <w:r>
        <w:rPr/>
        <w:t>where remuneration in the market is much higher than in </w:t>
      </w:r>
      <w:r>
        <w:rPr>
          <w:spacing w:val="-2"/>
        </w:rPr>
        <w:t>other</w:t>
      </w:r>
      <w:r>
        <w:rPr>
          <w:spacing w:val="-6"/>
        </w:rPr>
        <w:t> </w:t>
      </w:r>
      <w:r>
        <w:rPr>
          <w:spacing w:val="-2"/>
        </w:rPr>
        <w:t>subjects.</w:t>
      </w:r>
      <w:r>
        <w:rPr>
          <w:spacing w:val="-6"/>
        </w:rPr>
        <w:t> </w:t>
      </w:r>
      <w:r>
        <w:rPr>
          <w:spacing w:val="-2"/>
        </w:rPr>
        <w:t>Salary</w:t>
      </w:r>
      <w:r>
        <w:rPr>
          <w:spacing w:val="-6"/>
        </w:rPr>
        <w:t> </w:t>
      </w:r>
      <w:r>
        <w:rPr>
          <w:spacing w:val="-2"/>
        </w:rPr>
        <w:t>differentiation</w:t>
      </w:r>
      <w:r>
        <w:rPr>
          <w:spacing w:val="-6"/>
        </w:rPr>
        <w:t> </w:t>
      </w:r>
      <w:r>
        <w:rPr>
          <w:spacing w:val="-2"/>
        </w:rPr>
        <w:t>may</w:t>
      </w:r>
      <w:r>
        <w:rPr>
          <w:spacing w:val="-6"/>
        </w:rPr>
        <w:t> </w:t>
      </w:r>
      <w:r>
        <w:rPr>
          <w:spacing w:val="-2"/>
        </w:rPr>
        <w:t>enable</w:t>
      </w:r>
      <w:r>
        <w:rPr>
          <w:spacing w:val="-6"/>
        </w:rPr>
        <w:t> </w:t>
      </w:r>
      <w:r>
        <w:rPr>
          <w:spacing w:val="-2"/>
        </w:rPr>
        <w:t>some </w:t>
      </w:r>
      <w:r>
        <w:rPr/>
        <w:t>universities to develop centres of excellence in some disciplines.</w:t>
      </w:r>
      <w:r>
        <w:rPr>
          <w:spacing w:val="-11"/>
        </w:rPr>
        <w:t> </w:t>
      </w:r>
      <w:r>
        <w:rPr/>
        <w:t>At</w:t>
      </w:r>
      <w:r>
        <w:rPr>
          <w:spacing w:val="-11"/>
        </w:rPr>
        <w:t> </w:t>
      </w:r>
      <w:r>
        <w:rPr/>
        <w:t>the</w:t>
      </w:r>
      <w:r>
        <w:rPr>
          <w:spacing w:val="-11"/>
        </w:rPr>
        <w:t> </w:t>
      </w:r>
      <w:r>
        <w:rPr/>
        <w:t>same</w:t>
      </w:r>
      <w:r>
        <w:rPr>
          <w:spacing w:val="-11"/>
        </w:rPr>
        <w:t> </w:t>
      </w:r>
      <w:r>
        <w:rPr/>
        <w:t>time,</w:t>
      </w:r>
      <w:r>
        <w:rPr>
          <w:spacing w:val="-11"/>
        </w:rPr>
        <w:t> </w:t>
      </w:r>
      <w:r>
        <w:rPr/>
        <w:t>it</w:t>
      </w:r>
      <w:r>
        <w:rPr>
          <w:spacing w:val="-11"/>
        </w:rPr>
        <w:t> </w:t>
      </w:r>
      <w:r>
        <w:rPr/>
        <w:t>is</w:t>
      </w:r>
      <w:r>
        <w:rPr>
          <w:spacing w:val="-11"/>
        </w:rPr>
        <w:t> </w:t>
      </w:r>
      <w:r>
        <w:rPr/>
        <w:t>important</w:t>
      </w:r>
      <w:r>
        <w:rPr>
          <w:spacing w:val="-11"/>
        </w:rPr>
        <w:t> </w:t>
      </w:r>
      <w:r>
        <w:rPr/>
        <w:t>to</w:t>
      </w:r>
      <w:r>
        <w:rPr>
          <w:spacing w:val="-11"/>
        </w:rPr>
        <w:t> </w:t>
      </w:r>
      <w:r>
        <w:rPr/>
        <w:t>ensure that disciplines which are essential for a good liberal </w:t>
      </w:r>
      <w:r>
        <w:rPr>
          <w:spacing w:val="-6"/>
        </w:rPr>
        <w:t>education</w:t>
      </w:r>
      <w:r>
        <w:rPr>
          <w:spacing w:val="-8"/>
        </w:rPr>
        <w:t> </w:t>
      </w:r>
      <w:r>
        <w:rPr>
          <w:spacing w:val="-6"/>
        </w:rPr>
        <w:t>such</w:t>
      </w:r>
      <w:r>
        <w:rPr>
          <w:spacing w:val="-8"/>
        </w:rPr>
        <w:t> </w:t>
      </w:r>
      <w:r>
        <w:rPr>
          <w:spacing w:val="-6"/>
        </w:rPr>
        <w:t>as</w:t>
      </w:r>
      <w:r>
        <w:rPr>
          <w:spacing w:val="-8"/>
        </w:rPr>
        <w:t> </w:t>
      </w:r>
      <w:r>
        <w:rPr>
          <w:spacing w:val="-6"/>
        </w:rPr>
        <w:t>social</w:t>
      </w:r>
      <w:r>
        <w:rPr>
          <w:spacing w:val="-7"/>
        </w:rPr>
        <w:t> </w:t>
      </w:r>
      <w:r>
        <w:rPr>
          <w:spacing w:val="-6"/>
        </w:rPr>
        <w:t>sciences</w:t>
      </w:r>
      <w:r>
        <w:rPr>
          <w:spacing w:val="-8"/>
        </w:rPr>
        <w:t> </w:t>
      </w:r>
      <w:r>
        <w:rPr>
          <w:spacing w:val="-6"/>
        </w:rPr>
        <w:t>and</w:t>
      </w:r>
      <w:r>
        <w:rPr>
          <w:spacing w:val="-8"/>
        </w:rPr>
        <w:t> </w:t>
      </w:r>
      <w:r>
        <w:rPr>
          <w:spacing w:val="-6"/>
        </w:rPr>
        <w:t>humanities,</w:t>
      </w:r>
      <w:r>
        <w:rPr>
          <w:spacing w:val="-8"/>
        </w:rPr>
        <w:t> </w:t>
      </w:r>
      <w:r>
        <w:rPr>
          <w:spacing w:val="-6"/>
        </w:rPr>
        <w:t>as</w:t>
      </w:r>
      <w:r>
        <w:rPr>
          <w:spacing w:val="-7"/>
        </w:rPr>
        <w:t> </w:t>
      </w:r>
      <w:r>
        <w:rPr>
          <w:spacing w:val="-6"/>
        </w:rPr>
        <w:t>well </w:t>
      </w:r>
      <w:r>
        <w:rPr>
          <w:spacing w:val="-4"/>
        </w:rPr>
        <w:t>as</w:t>
      </w:r>
      <w:r>
        <w:rPr>
          <w:spacing w:val="-9"/>
        </w:rPr>
        <w:t> </w:t>
      </w:r>
      <w:r>
        <w:rPr>
          <w:spacing w:val="-4"/>
        </w:rPr>
        <w:t>basic</w:t>
      </w:r>
      <w:r>
        <w:rPr>
          <w:spacing w:val="-9"/>
        </w:rPr>
        <w:t> </w:t>
      </w:r>
      <w:r>
        <w:rPr>
          <w:spacing w:val="-4"/>
        </w:rPr>
        <w:t>sciences</w:t>
      </w:r>
      <w:r>
        <w:rPr>
          <w:spacing w:val="-9"/>
        </w:rPr>
        <w:t> </w:t>
      </w:r>
      <w:r>
        <w:rPr>
          <w:spacing w:val="-4"/>
        </w:rPr>
        <w:t>which</w:t>
      </w:r>
      <w:r>
        <w:rPr>
          <w:spacing w:val="-9"/>
        </w:rPr>
        <w:t> </w:t>
      </w:r>
      <w:r>
        <w:rPr>
          <w:spacing w:val="-4"/>
        </w:rPr>
        <w:t>are</w:t>
      </w:r>
      <w:r>
        <w:rPr>
          <w:spacing w:val="-9"/>
        </w:rPr>
        <w:t> </w:t>
      </w:r>
      <w:r>
        <w:rPr>
          <w:spacing w:val="-4"/>
        </w:rPr>
        <w:t>not</w:t>
      </w:r>
      <w:r>
        <w:rPr>
          <w:spacing w:val="-9"/>
        </w:rPr>
        <w:t> </w:t>
      </w:r>
      <w:r>
        <w:rPr>
          <w:spacing w:val="-4"/>
        </w:rPr>
        <w:t>necessarily</w:t>
      </w:r>
      <w:r>
        <w:rPr>
          <w:spacing w:val="-9"/>
        </w:rPr>
        <w:t> </w:t>
      </w:r>
      <w:r>
        <w:rPr>
          <w:spacing w:val="-4"/>
        </w:rPr>
        <w:t>rewarded</w:t>
      </w:r>
      <w:r>
        <w:rPr>
          <w:spacing w:val="-9"/>
        </w:rPr>
        <w:t> </w:t>
      </w:r>
      <w:r>
        <w:rPr>
          <w:spacing w:val="-4"/>
        </w:rPr>
        <w:t>by </w:t>
      </w:r>
      <w:r>
        <w:rPr/>
        <w:t>the</w:t>
      </w:r>
      <w:r>
        <w:rPr>
          <w:spacing w:val="-6"/>
        </w:rPr>
        <w:t> </w:t>
      </w:r>
      <w:r>
        <w:rPr/>
        <w:t>market,</w:t>
      </w:r>
      <w:r>
        <w:rPr>
          <w:spacing w:val="-6"/>
        </w:rPr>
        <w:t> </w:t>
      </w:r>
      <w:r>
        <w:rPr/>
        <w:t>are</w:t>
      </w:r>
      <w:r>
        <w:rPr>
          <w:spacing w:val="-6"/>
        </w:rPr>
        <w:t> </w:t>
      </w:r>
      <w:r>
        <w:rPr/>
        <w:t>given</w:t>
      </w:r>
      <w:r>
        <w:rPr>
          <w:spacing w:val="-6"/>
        </w:rPr>
        <w:t> </w:t>
      </w:r>
      <w:r>
        <w:rPr/>
        <w:t>appropriate</w:t>
      </w:r>
      <w:r>
        <w:rPr>
          <w:spacing w:val="-6"/>
        </w:rPr>
        <w:t> </w:t>
      </w:r>
      <w:r>
        <w:rPr/>
        <w:t>incentives</w:t>
      </w:r>
      <w:r>
        <w:rPr>
          <w:spacing w:val="-6"/>
        </w:rPr>
        <w:t> </w:t>
      </w:r>
      <w:r>
        <w:rPr/>
        <w:t>to</w:t>
      </w:r>
      <w:r>
        <w:rPr>
          <w:spacing w:val="-6"/>
        </w:rPr>
        <w:t> </w:t>
      </w:r>
      <w:r>
        <w:rPr/>
        <w:t>attract both teachers and students. Such salary differentials between and within universities could be effective without</w:t>
      </w:r>
      <w:r>
        <w:rPr>
          <w:spacing w:val="-3"/>
        </w:rPr>
        <w:t> </w:t>
      </w:r>
      <w:r>
        <w:rPr/>
        <w:t>being</w:t>
      </w:r>
      <w:r>
        <w:rPr>
          <w:spacing w:val="-3"/>
        </w:rPr>
        <w:t> </w:t>
      </w:r>
      <w:r>
        <w:rPr/>
        <w:t>large.</w:t>
      </w:r>
      <w:r>
        <w:rPr>
          <w:spacing w:val="-3"/>
        </w:rPr>
        <w:t> </w:t>
      </w:r>
      <w:r>
        <w:rPr/>
        <w:t>Indeed,</w:t>
      </w:r>
      <w:r>
        <w:rPr>
          <w:spacing w:val="-3"/>
        </w:rPr>
        <w:t> </w:t>
      </w:r>
      <w:r>
        <w:rPr/>
        <w:t>there</w:t>
      </w:r>
      <w:r>
        <w:rPr>
          <w:spacing w:val="-3"/>
        </w:rPr>
        <w:t> </w:t>
      </w:r>
      <w:r>
        <w:rPr/>
        <w:t>is</w:t>
      </w:r>
      <w:r>
        <w:rPr>
          <w:spacing w:val="-3"/>
        </w:rPr>
        <w:t> </w:t>
      </w:r>
      <w:r>
        <w:rPr/>
        <w:t>a</w:t>
      </w:r>
      <w:r>
        <w:rPr>
          <w:spacing w:val="-3"/>
        </w:rPr>
        <w:t> </w:t>
      </w:r>
      <w:r>
        <w:rPr/>
        <w:t>good</w:t>
      </w:r>
      <w:r>
        <w:rPr>
          <w:spacing w:val="-3"/>
        </w:rPr>
        <w:t> </w:t>
      </w:r>
      <w:r>
        <w:rPr/>
        <w:t>reason</w:t>
      </w:r>
      <w:r>
        <w:rPr>
          <w:spacing w:val="-3"/>
        </w:rPr>
        <w:t> </w:t>
      </w:r>
      <w:r>
        <w:rPr/>
        <w:t>to stipulate a maximum ratio for differences in salaries between faculty members so as not to threaten the identity of the professoriate. Obviously, universities </w:t>
      </w:r>
      <w:r>
        <w:rPr>
          <w:spacing w:val="-6"/>
        </w:rPr>
        <w:t>cannot compete with salaries elsewhere, but they should </w:t>
      </w:r>
      <w:r>
        <w:rPr/>
        <w:t>endeavour</w:t>
      </w:r>
      <w:r>
        <w:rPr>
          <w:spacing w:val="-6"/>
        </w:rPr>
        <w:t> </w:t>
      </w:r>
      <w:r>
        <w:rPr/>
        <w:t>to</w:t>
      </w:r>
      <w:r>
        <w:rPr>
          <w:spacing w:val="-6"/>
        </w:rPr>
        <w:t> </w:t>
      </w:r>
      <w:r>
        <w:rPr/>
        <w:t>provide</w:t>
      </w:r>
      <w:r>
        <w:rPr>
          <w:spacing w:val="-6"/>
        </w:rPr>
        <w:t> </w:t>
      </w:r>
      <w:r>
        <w:rPr/>
        <w:t>a</w:t>
      </w:r>
      <w:r>
        <w:rPr>
          <w:spacing w:val="-6"/>
        </w:rPr>
        <w:t> </w:t>
      </w:r>
      <w:r>
        <w:rPr/>
        <w:t>comfortable</w:t>
      </w:r>
      <w:r>
        <w:rPr>
          <w:spacing w:val="-6"/>
        </w:rPr>
        <w:t> </w:t>
      </w:r>
      <w:r>
        <w:rPr/>
        <w:t>minimum</w:t>
      </w:r>
      <w:r>
        <w:rPr>
          <w:spacing w:val="-6"/>
        </w:rPr>
        <w:t> </w:t>
      </w:r>
      <w:r>
        <w:rPr/>
        <w:t>for</w:t>
      </w:r>
      <w:r>
        <w:rPr>
          <w:spacing w:val="-6"/>
        </w:rPr>
        <w:t> </w:t>
      </w:r>
      <w:r>
        <w:rPr/>
        <w:t>all, with some premium for those who perform. It is also </w:t>
      </w:r>
      <w:r>
        <w:rPr>
          <w:spacing w:val="-2"/>
        </w:rPr>
        <w:t>important</w:t>
      </w:r>
      <w:r>
        <w:rPr>
          <w:spacing w:val="-12"/>
        </w:rPr>
        <w:t> </w:t>
      </w:r>
      <w:r>
        <w:rPr>
          <w:spacing w:val="-2"/>
        </w:rPr>
        <w:t>to</w:t>
      </w:r>
      <w:r>
        <w:rPr>
          <w:spacing w:val="-11"/>
        </w:rPr>
        <w:t> </w:t>
      </w:r>
      <w:r>
        <w:rPr>
          <w:spacing w:val="-2"/>
        </w:rPr>
        <w:t>think</w:t>
      </w:r>
      <w:r>
        <w:rPr>
          <w:spacing w:val="-12"/>
        </w:rPr>
        <w:t> </w:t>
      </w:r>
      <w:r>
        <w:rPr>
          <w:spacing w:val="-2"/>
        </w:rPr>
        <w:t>of</w:t>
      </w:r>
      <w:r>
        <w:rPr>
          <w:spacing w:val="-11"/>
        </w:rPr>
        <w:t> </w:t>
      </w:r>
      <w:r>
        <w:rPr>
          <w:spacing w:val="-2"/>
        </w:rPr>
        <w:t>other</w:t>
      </w:r>
      <w:r>
        <w:rPr>
          <w:spacing w:val="-12"/>
        </w:rPr>
        <w:t> </w:t>
      </w:r>
      <w:r>
        <w:rPr>
          <w:spacing w:val="-2"/>
        </w:rPr>
        <w:t>incentives,</w:t>
      </w:r>
      <w:r>
        <w:rPr>
          <w:spacing w:val="-11"/>
        </w:rPr>
        <w:t> </w:t>
      </w:r>
      <w:r>
        <w:rPr>
          <w:spacing w:val="-2"/>
        </w:rPr>
        <w:t>such</w:t>
      </w:r>
      <w:r>
        <w:rPr>
          <w:spacing w:val="-12"/>
        </w:rPr>
        <w:t> </w:t>
      </w:r>
      <w:r>
        <w:rPr>
          <w:spacing w:val="-2"/>
        </w:rPr>
        <w:t>as</w:t>
      </w:r>
      <w:r>
        <w:rPr>
          <w:spacing w:val="-11"/>
        </w:rPr>
        <w:t> </w:t>
      </w:r>
      <w:r>
        <w:rPr>
          <w:spacing w:val="-2"/>
        </w:rPr>
        <w:t>housing, </w:t>
      </w:r>
      <w:r>
        <w:rPr/>
        <w:t>good facilities for teaching and research and some </w:t>
      </w:r>
      <w:r>
        <w:rPr>
          <w:w w:val="90"/>
        </w:rPr>
        <w:t>flexibility</w:t>
      </w:r>
      <w:r>
        <w:rPr>
          <w:spacing w:val="9"/>
        </w:rPr>
        <w:t> </w:t>
      </w:r>
      <w:r>
        <w:rPr>
          <w:w w:val="90"/>
        </w:rPr>
        <w:t>for</w:t>
      </w:r>
      <w:r>
        <w:rPr>
          <w:spacing w:val="9"/>
        </w:rPr>
        <w:t> </w:t>
      </w:r>
      <w:r>
        <w:rPr>
          <w:w w:val="90"/>
        </w:rPr>
        <w:t>non-teaching</w:t>
      </w:r>
      <w:r>
        <w:rPr>
          <w:spacing w:val="9"/>
        </w:rPr>
        <w:t> </w:t>
      </w:r>
      <w:r>
        <w:rPr>
          <w:w w:val="90"/>
        </w:rPr>
        <w:t>professional</w:t>
      </w:r>
      <w:r>
        <w:rPr>
          <w:spacing w:val="10"/>
        </w:rPr>
        <w:t> </w:t>
      </w:r>
      <w:r>
        <w:rPr>
          <w:w w:val="90"/>
        </w:rPr>
        <w:t>activities</w:t>
      </w:r>
      <w:r>
        <w:rPr>
          <w:spacing w:val="9"/>
        </w:rPr>
        <w:t> </w:t>
      </w:r>
      <w:r>
        <w:rPr>
          <w:w w:val="90"/>
        </w:rPr>
        <w:t>so</w:t>
      </w:r>
      <w:r>
        <w:rPr>
          <w:spacing w:val="9"/>
        </w:rPr>
        <w:t> </w:t>
      </w:r>
      <w:r>
        <w:rPr>
          <w:spacing w:val="-4"/>
          <w:w w:val="90"/>
        </w:rPr>
        <w:t>long</w:t>
      </w:r>
    </w:p>
    <w:p>
      <w:pPr>
        <w:pStyle w:val="BodyText"/>
        <w:spacing w:line="266" w:lineRule="auto" w:before="57"/>
        <w:ind w:left="319" w:right="1077"/>
        <w:jc w:val="both"/>
      </w:pPr>
      <w:r>
        <w:rPr/>
        <w:br w:type="column"/>
      </w:r>
      <w:r>
        <w:rPr>
          <w:spacing w:val="-2"/>
        </w:rPr>
        <w:t>as</w:t>
      </w:r>
      <w:r>
        <w:rPr>
          <w:spacing w:val="-8"/>
        </w:rPr>
        <w:t> </w:t>
      </w:r>
      <w:r>
        <w:rPr>
          <w:spacing w:val="-2"/>
        </w:rPr>
        <w:t>these</w:t>
      </w:r>
      <w:r>
        <w:rPr>
          <w:spacing w:val="-8"/>
        </w:rPr>
        <w:t> </w:t>
      </w:r>
      <w:r>
        <w:rPr>
          <w:spacing w:val="-2"/>
        </w:rPr>
        <w:t>do</w:t>
      </w:r>
      <w:r>
        <w:rPr>
          <w:spacing w:val="-8"/>
        </w:rPr>
        <w:t> </w:t>
      </w:r>
      <w:r>
        <w:rPr>
          <w:spacing w:val="-2"/>
        </w:rPr>
        <w:t>not</w:t>
      </w:r>
      <w:r>
        <w:rPr>
          <w:spacing w:val="-8"/>
        </w:rPr>
        <w:t> </w:t>
      </w:r>
      <w:r>
        <w:rPr>
          <w:spacing w:val="-2"/>
        </w:rPr>
        <w:t>impinge</w:t>
      </w:r>
      <w:r>
        <w:rPr>
          <w:spacing w:val="-8"/>
        </w:rPr>
        <w:t> </w:t>
      </w:r>
      <w:r>
        <w:rPr>
          <w:spacing w:val="-2"/>
        </w:rPr>
        <w:t>on</w:t>
      </w:r>
      <w:r>
        <w:rPr>
          <w:spacing w:val="-8"/>
        </w:rPr>
        <w:t> </w:t>
      </w:r>
      <w:r>
        <w:rPr>
          <w:spacing w:val="-2"/>
        </w:rPr>
        <w:t>the</w:t>
      </w:r>
      <w:r>
        <w:rPr>
          <w:spacing w:val="-8"/>
        </w:rPr>
        <w:t> </w:t>
      </w:r>
      <w:r>
        <w:rPr>
          <w:spacing w:val="-2"/>
        </w:rPr>
        <w:t>primary</w:t>
      </w:r>
      <w:r>
        <w:rPr>
          <w:spacing w:val="-8"/>
        </w:rPr>
        <w:t> </w:t>
      </w:r>
      <w:r>
        <w:rPr>
          <w:spacing w:val="-2"/>
        </w:rPr>
        <w:t>responsibilities </w:t>
      </w:r>
      <w:r>
        <w:rPr/>
        <w:t>to the institution.</w:t>
      </w:r>
    </w:p>
    <w:p>
      <w:pPr>
        <w:pStyle w:val="BodyText"/>
        <w:spacing w:before="25"/>
      </w:pPr>
    </w:p>
    <w:p>
      <w:pPr>
        <w:pStyle w:val="BodyText"/>
        <w:spacing w:line="266" w:lineRule="auto" w:before="1"/>
        <w:ind w:left="319" w:right="1077"/>
        <w:jc w:val="both"/>
      </w:pPr>
      <w:r>
        <w:rPr>
          <w:b/>
        </w:rPr>
        <w:t>Differentiation: </w:t>
      </w:r>
      <w:r>
        <w:rPr/>
        <w:t>We have to recognise that there is bound to be diversity and pluralism in any system of higher education. Therefore, in a country as large </w:t>
      </w:r>
      <w:r>
        <w:rPr/>
        <w:t>as </w:t>
      </w:r>
      <w:r>
        <w:rPr>
          <w:spacing w:val="-2"/>
        </w:rPr>
        <w:t>India,</w:t>
      </w:r>
      <w:r>
        <w:rPr>
          <w:spacing w:val="-7"/>
        </w:rPr>
        <w:t> </w:t>
      </w:r>
      <w:r>
        <w:rPr>
          <w:spacing w:val="-2"/>
        </w:rPr>
        <w:t>we</w:t>
      </w:r>
      <w:r>
        <w:rPr>
          <w:spacing w:val="-7"/>
        </w:rPr>
        <w:t> </w:t>
      </w:r>
      <w:r>
        <w:rPr>
          <w:spacing w:val="-2"/>
        </w:rPr>
        <w:t>cannot</w:t>
      </w:r>
      <w:r>
        <w:rPr>
          <w:spacing w:val="-7"/>
        </w:rPr>
        <w:t> </w:t>
      </w:r>
      <w:r>
        <w:rPr>
          <w:spacing w:val="-2"/>
        </w:rPr>
        <w:t>afford</w:t>
      </w:r>
      <w:r>
        <w:rPr>
          <w:spacing w:val="-7"/>
        </w:rPr>
        <w:t> </w:t>
      </w:r>
      <w:r>
        <w:rPr>
          <w:spacing w:val="-2"/>
        </w:rPr>
        <w:t>to</w:t>
      </w:r>
      <w:r>
        <w:rPr>
          <w:spacing w:val="-7"/>
        </w:rPr>
        <w:t> </w:t>
      </w:r>
      <w:r>
        <w:rPr>
          <w:spacing w:val="-2"/>
        </w:rPr>
        <w:t>adopt</w:t>
      </w:r>
      <w:r>
        <w:rPr>
          <w:spacing w:val="-7"/>
        </w:rPr>
        <w:t> </w:t>
      </w:r>
      <w:r>
        <w:rPr>
          <w:spacing w:val="-2"/>
        </w:rPr>
        <w:t>the</w:t>
      </w:r>
      <w:r>
        <w:rPr>
          <w:spacing w:val="-7"/>
        </w:rPr>
        <w:t> </w:t>
      </w:r>
      <w:r>
        <w:rPr>
          <w:spacing w:val="-2"/>
        </w:rPr>
        <w:t>principle</w:t>
      </w:r>
      <w:r>
        <w:rPr>
          <w:spacing w:val="-7"/>
        </w:rPr>
        <w:t> </w:t>
      </w:r>
      <w:r>
        <w:rPr>
          <w:spacing w:val="-2"/>
        </w:rPr>
        <w:t>that</w:t>
      </w:r>
      <w:r>
        <w:rPr>
          <w:spacing w:val="-7"/>
        </w:rPr>
        <w:t> </w:t>
      </w:r>
      <w:r>
        <w:rPr>
          <w:spacing w:val="-2"/>
        </w:rPr>
        <w:t>one- </w:t>
      </w:r>
      <w:r>
        <w:rPr/>
        <w:t>size-fits-all.</w:t>
      </w:r>
      <w:r>
        <w:rPr>
          <w:spacing w:val="-14"/>
        </w:rPr>
        <w:t> </w:t>
      </w:r>
      <w:r>
        <w:rPr/>
        <w:t>We</w:t>
      </w:r>
      <w:r>
        <w:rPr>
          <w:spacing w:val="-14"/>
        </w:rPr>
        <w:t> </w:t>
      </w:r>
      <w:r>
        <w:rPr/>
        <w:t>must</w:t>
      </w:r>
      <w:r>
        <w:rPr>
          <w:spacing w:val="-14"/>
        </w:rPr>
        <w:t> </w:t>
      </w:r>
      <w:r>
        <w:rPr/>
        <w:t>allow</w:t>
      </w:r>
      <w:r>
        <w:rPr>
          <w:spacing w:val="-13"/>
        </w:rPr>
        <w:t> </w:t>
      </w:r>
      <w:r>
        <w:rPr/>
        <w:t>diversity</w:t>
      </w:r>
      <w:r>
        <w:rPr>
          <w:spacing w:val="-14"/>
        </w:rPr>
        <w:t> </w:t>
      </w:r>
      <w:r>
        <w:rPr/>
        <w:t>to</w:t>
      </w:r>
      <w:r>
        <w:rPr>
          <w:spacing w:val="-14"/>
        </w:rPr>
        <w:t> </w:t>
      </w:r>
      <w:r>
        <w:rPr/>
        <w:t>blossom.</w:t>
      </w:r>
      <w:r>
        <w:rPr>
          <w:spacing w:val="-14"/>
        </w:rPr>
        <w:t> </w:t>
      </w:r>
      <w:r>
        <w:rPr/>
        <w:t>This </w:t>
      </w:r>
      <w:r>
        <w:rPr>
          <w:spacing w:val="-6"/>
        </w:rPr>
        <w:t>could</w:t>
      </w:r>
      <w:r>
        <w:rPr>
          <w:spacing w:val="-8"/>
        </w:rPr>
        <w:t> </w:t>
      </w:r>
      <w:r>
        <w:rPr>
          <w:spacing w:val="-6"/>
        </w:rPr>
        <w:t>have</w:t>
      </w:r>
      <w:r>
        <w:rPr>
          <w:spacing w:val="-8"/>
        </w:rPr>
        <w:t> </w:t>
      </w:r>
      <w:r>
        <w:rPr>
          <w:spacing w:val="-6"/>
        </w:rPr>
        <w:t>many</w:t>
      </w:r>
      <w:r>
        <w:rPr>
          <w:spacing w:val="-8"/>
        </w:rPr>
        <w:t> </w:t>
      </w:r>
      <w:r>
        <w:rPr>
          <w:spacing w:val="-6"/>
        </w:rPr>
        <w:t>dimensions:</w:t>
      </w:r>
      <w:r>
        <w:rPr>
          <w:spacing w:val="-7"/>
        </w:rPr>
        <w:t> </w:t>
      </w:r>
      <w:r>
        <w:rPr>
          <w:spacing w:val="-6"/>
        </w:rPr>
        <w:t>curriculum,</w:t>
      </w:r>
      <w:r>
        <w:rPr>
          <w:spacing w:val="-8"/>
        </w:rPr>
        <w:t> </w:t>
      </w:r>
      <w:r>
        <w:rPr>
          <w:spacing w:val="-6"/>
        </w:rPr>
        <w:t>specialisation, </w:t>
      </w:r>
      <w:r>
        <w:rPr/>
        <w:t>institutional architecture, students’ composition, and so on. Similarly, differentiation is inevitable if not natural. Even if we do not wish to recognise it, such </w:t>
      </w:r>
      <w:r>
        <w:rPr>
          <w:w w:val="90"/>
        </w:rPr>
        <w:t>differentiation is a reality. Students and parents have clear </w:t>
      </w:r>
      <w:r>
        <w:rPr/>
        <w:t>preferences,</w:t>
      </w:r>
      <w:r>
        <w:rPr>
          <w:spacing w:val="-14"/>
        </w:rPr>
        <w:t> </w:t>
      </w:r>
      <w:r>
        <w:rPr/>
        <w:t>possibly</w:t>
      </w:r>
      <w:r>
        <w:rPr>
          <w:spacing w:val="-14"/>
        </w:rPr>
        <w:t> </w:t>
      </w:r>
      <w:r>
        <w:rPr/>
        <w:t>implicit</w:t>
      </w:r>
      <w:r>
        <w:rPr>
          <w:spacing w:val="-14"/>
        </w:rPr>
        <w:t> </w:t>
      </w:r>
      <w:r>
        <w:rPr/>
        <w:t>rankings,</w:t>
      </w:r>
      <w:r>
        <w:rPr>
          <w:spacing w:val="-13"/>
        </w:rPr>
        <w:t> </w:t>
      </w:r>
      <w:r>
        <w:rPr/>
        <w:t>based</w:t>
      </w:r>
      <w:r>
        <w:rPr>
          <w:spacing w:val="-14"/>
        </w:rPr>
        <w:t> </w:t>
      </w:r>
      <w:r>
        <w:rPr/>
        <w:t>on</w:t>
      </w:r>
      <w:r>
        <w:rPr>
          <w:spacing w:val="-14"/>
        </w:rPr>
        <w:t> </w:t>
      </w:r>
      <w:r>
        <w:rPr/>
        <w:t>their perceptions derived from available information. Our sense of pluralism must recognise, rather than ignore or shy away from, such diversity and differentiation. It</w:t>
      </w:r>
      <w:r>
        <w:rPr>
          <w:spacing w:val="-14"/>
        </w:rPr>
        <w:t> </w:t>
      </w:r>
      <w:r>
        <w:rPr/>
        <w:t>is</w:t>
      </w:r>
      <w:r>
        <w:rPr>
          <w:spacing w:val="-13"/>
        </w:rPr>
        <w:t> </w:t>
      </w:r>
      <w:r>
        <w:rPr/>
        <w:t>characteristic</w:t>
      </w:r>
      <w:r>
        <w:rPr>
          <w:spacing w:val="-14"/>
        </w:rPr>
        <w:t> </w:t>
      </w:r>
      <w:r>
        <w:rPr/>
        <w:t>of</w:t>
      </w:r>
      <w:r>
        <w:rPr>
          <w:spacing w:val="-13"/>
        </w:rPr>
        <w:t> </w:t>
      </w:r>
      <w:r>
        <w:rPr/>
        <w:t>every</w:t>
      </w:r>
      <w:r>
        <w:rPr>
          <w:spacing w:val="-14"/>
        </w:rPr>
        <w:t> </w:t>
      </w:r>
      <w:r>
        <w:rPr/>
        <w:t>higher</w:t>
      </w:r>
      <w:r>
        <w:rPr>
          <w:spacing w:val="-13"/>
        </w:rPr>
        <w:t> </w:t>
      </w:r>
      <w:r>
        <w:rPr/>
        <w:t>education</w:t>
      </w:r>
      <w:r>
        <w:rPr>
          <w:spacing w:val="-14"/>
        </w:rPr>
        <w:t> </w:t>
      </w:r>
      <w:r>
        <w:rPr/>
        <w:t>system</w:t>
      </w:r>
      <w:r>
        <w:rPr>
          <w:spacing w:val="-13"/>
        </w:rPr>
        <w:t> </w:t>
      </w:r>
      <w:r>
        <w:rPr/>
        <w:t>in the world. For higher education is about a quest for excellence.</w:t>
      </w:r>
      <w:r>
        <w:rPr>
          <w:spacing w:val="-3"/>
        </w:rPr>
        <w:t> </w:t>
      </w:r>
      <w:r>
        <w:rPr/>
        <w:t>It</w:t>
      </w:r>
      <w:r>
        <w:rPr>
          <w:spacing w:val="-2"/>
        </w:rPr>
        <w:t> </w:t>
      </w:r>
      <w:r>
        <w:rPr/>
        <w:t>is,</w:t>
      </w:r>
      <w:r>
        <w:rPr>
          <w:spacing w:val="-3"/>
        </w:rPr>
        <w:t> </w:t>
      </w:r>
      <w:r>
        <w:rPr/>
        <w:t>at</w:t>
      </w:r>
      <w:r>
        <w:rPr>
          <w:spacing w:val="-2"/>
        </w:rPr>
        <w:t> </w:t>
      </w:r>
      <w:r>
        <w:rPr/>
        <w:t>least</w:t>
      </w:r>
      <w:r>
        <w:rPr>
          <w:spacing w:val="-3"/>
        </w:rPr>
        <w:t> </w:t>
      </w:r>
      <w:r>
        <w:rPr/>
        <w:t>in</w:t>
      </w:r>
      <w:r>
        <w:rPr>
          <w:spacing w:val="-3"/>
        </w:rPr>
        <w:t> </w:t>
      </w:r>
      <w:r>
        <w:rPr/>
        <w:t>part,</w:t>
      </w:r>
      <w:r>
        <w:rPr>
          <w:spacing w:val="-3"/>
        </w:rPr>
        <w:t> </w:t>
      </w:r>
      <w:r>
        <w:rPr/>
        <w:t>about</w:t>
      </w:r>
      <w:r>
        <w:rPr>
          <w:spacing w:val="-2"/>
        </w:rPr>
        <w:t> </w:t>
      </w:r>
      <w:r>
        <w:rPr/>
        <w:t>distinction</w:t>
      </w:r>
      <w:r>
        <w:rPr>
          <w:spacing w:val="-3"/>
        </w:rPr>
        <w:t> </w:t>
      </w:r>
      <w:r>
        <w:rPr/>
        <w:t>and </w:t>
      </w:r>
      <w:r>
        <w:rPr>
          <w:spacing w:val="-4"/>
        </w:rPr>
        <w:t>not</w:t>
      </w:r>
      <w:r>
        <w:rPr>
          <w:spacing w:val="-10"/>
        </w:rPr>
        <w:t> </w:t>
      </w:r>
      <w:r>
        <w:rPr>
          <w:spacing w:val="-4"/>
        </w:rPr>
        <w:t>always</w:t>
      </w:r>
      <w:r>
        <w:rPr>
          <w:spacing w:val="-10"/>
        </w:rPr>
        <w:t> </w:t>
      </w:r>
      <w:r>
        <w:rPr>
          <w:spacing w:val="-4"/>
        </w:rPr>
        <w:t>about</w:t>
      </w:r>
      <w:r>
        <w:rPr>
          <w:spacing w:val="-7"/>
        </w:rPr>
        <w:t> </w:t>
      </w:r>
      <w:r>
        <w:rPr>
          <w:spacing w:val="-4"/>
        </w:rPr>
        <w:t>levelling.</w:t>
      </w:r>
      <w:r>
        <w:rPr>
          <w:spacing w:val="-10"/>
        </w:rPr>
        <w:t> </w:t>
      </w:r>
      <w:r>
        <w:rPr>
          <w:spacing w:val="-4"/>
        </w:rPr>
        <w:t>The</w:t>
      </w:r>
      <w:r>
        <w:rPr>
          <w:spacing w:val="-7"/>
        </w:rPr>
        <w:t> </w:t>
      </w:r>
      <w:r>
        <w:rPr>
          <w:spacing w:val="-4"/>
        </w:rPr>
        <w:t>institutions</w:t>
      </w:r>
      <w:r>
        <w:rPr>
          <w:spacing w:val="-7"/>
        </w:rPr>
        <w:t> </w:t>
      </w:r>
      <w:r>
        <w:rPr>
          <w:spacing w:val="-4"/>
        </w:rPr>
        <w:t>which</w:t>
      </w:r>
      <w:r>
        <w:rPr>
          <w:spacing w:val="-7"/>
        </w:rPr>
        <w:t> </w:t>
      </w:r>
      <w:r>
        <w:rPr>
          <w:spacing w:val="-4"/>
        </w:rPr>
        <w:t>excel </w:t>
      </w:r>
      <w:r>
        <w:rPr>
          <w:spacing w:val="-2"/>
        </w:rPr>
        <w:t>are</w:t>
      </w:r>
      <w:r>
        <w:rPr>
          <w:spacing w:val="-12"/>
        </w:rPr>
        <w:t> </w:t>
      </w:r>
      <w:r>
        <w:rPr>
          <w:spacing w:val="-2"/>
        </w:rPr>
        <w:t>the</w:t>
      </w:r>
      <w:r>
        <w:rPr>
          <w:spacing w:val="-12"/>
        </w:rPr>
        <w:t> </w:t>
      </w:r>
      <w:r>
        <w:rPr>
          <w:spacing w:val="-2"/>
        </w:rPr>
        <w:t>important</w:t>
      </w:r>
      <w:r>
        <w:rPr>
          <w:spacing w:val="-12"/>
        </w:rPr>
        <w:t> </w:t>
      </w:r>
      <w:r>
        <w:rPr>
          <w:spacing w:val="-2"/>
        </w:rPr>
        <w:t>peaks</w:t>
      </w:r>
      <w:r>
        <w:rPr>
          <w:spacing w:val="-11"/>
        </w:rPr>
        <w:t> </w:t>
      </w:r>
      <w:r>
        <w:rPr>
          <w:spacing w:val="-2"/>
        </w:rPr>
        <w:t>that</w:t>
      </w:r>
      <w:r>
        <w:rPr>
          <w:spacing w:val="-12"/>
        </w:rPr>
        <w:t> </w:t>
      </w:r>
      <w:r>
        <w:rPr>
          <w:spacing w:val="-2"/>
        </w:rPr>
        <w:t>raise</w:t>
      </w:r>
      <w:r>
        <w:rPr>
          <w:spacing w:val="-12"/>
        </w:rPr>
        <w:t> </w:t>
      </w:r>
      <w:r>
        <w:rPr>
          <w:spacing w:val="-2"/>
        </w:rPr>
        <w:t>the</w:t>
      </w:r>
      <w:r>
        <w:rPr>
          <w:spacing w:val="-12"/>
        </w:rPr>
        <w:t> </w:t>
      </w:r>
      <w:r>
        <w:rPr>
          <w:spacing w:val="-2"/>
        </w:rPr>
        <w:t>average.</w:t>
      </w:r>
      <w:r>
        <w:rPr>
          <w:spacing w:val="-11"/>
        </w:rPr>
        <w:t> </w:t>
      </w:r>
      <w:r>
        <w:rPr>
          <w:spacing w:val="-2"/>
        </w:rPr>
        <w:t>They</w:t>
      </w:r>
      <w:r>
        <w:rPr>
          <w:spacing w:val="-12"/>
        </w:rPr>
        <w:t> </w:t>
      </w:r>
      <w:r>
        <w:rPr>
          <w:spacing w:val="-2"/>
        </w:rPr>
        <w:t>are </w:t>
      </w:r>
      <w:r>
        <w:rPr>
          <w:spacing w:val="-6"/>
        </w:rPr>
        <w:t>also role models others seek to emulate. And institutions </w:t>
      </w:r>
      <w:r>
        <w:rPr/>
        <w:t>that</w:t>
      </w:r>
      <w:r>
        <w:rPr>
          <w:spacing w:val="-12"/>
        </w:rPr>
        <w:t> </w:t>
      </w:r>
      <w:r>
        <w:rPr/>
        <w:t>become</w:t>
      </w:r>
      <w:r>
        <w:rPr>
          <w:spacing w:val="-12"/>
        </w:rPr>
        <w:t> </w:t>
      </w:r>
      <w:r>
        <w:rPr/>
        <w:t>such</w:t>
      </w:r>
      <w:r>
        <w:rPr>
          <w:spacing w:val="-12"/>
        </w:rPr>
        <w:t> </w:t>
      </w:r>
      <w:r>
        <w:rPr/>
        <w:t>role</w:t>
      </w:r>
      <w:r>
        <w:rPr>
          <w:spacing w:val="-12"/>
        </w:rPr>
        <w:t> </w:t>
      </w:r>
      <w:r>
        <w:rPr/>
        <w:t>models</w:t>
      </w:r>
      <w:r>
        <w:rPr>
          <w:spacing w:val="-12"/>
        </w:rPr>
        <w:t> </w:t>
      </w:r>
      <w:r>
        <w:rPr/>
        <w:t>could</w:t>
      </w:r>
      <w:r>
        <w:rPr>
          <w:spacing w:val="-12"/>
        </w:rPr>
        <w:t> </w:t>
      </w:r>
      <w:r>
        <w:rPr/>
        <w:t>mentor</w:t>
      </w:r>
      <w:r>
        <w:rPr>
          <w:spacing w:val="-12"/>
        </w:rPr>
        <w:t> </w:t>
      </w:r>
      <w:r>
        <w:rPr/>
        <w:t>and</w:t>
      </w:r>
      <w:r>
        <w:rPr>
          <w:spacing w:val="-12"/>
        </w:rPr>
        <w:t> </w:t>
      </w:r>
      <w:r>
        <w:rPr/>
        <w:t>guide other selected institutions.</w:t>
      </w:r>
    </w:p>
    <w:p>
      <w:pPr>
        <w:pStyle w:val="Heading6"/>
        <w:numPr>
          <w:ilvl w:val="0"/>
          <w:numId w:val="25"/>
        </w:numPr>
        <w:tabs>
          <w:tab w:pos="644" w:val="left" w:leader="none"/>
        </w:tabs>
        <w:spacing w:line="240" w:lineRule="auto" w:before="168" w:after="0"/>
        <w:ind w:left="644" w:right="0" w:hanging="325"/>
        <w:jc w:val="left"/>
      </w:pPr>
      <w:r>
        <w:rPr>
          <w:color w:val="2E614A"/>
          <w:spacing w:val="-7"/>
        </w:rPr>
        <w:t>National</w:t>
      </w:r>
      <w:r>
        <w:rPr>
          <w:color w:val="2E614A"/>
          <w:spacing w:val="-10"/>
        </w:rPr>
        <w:t> </w:t>
      </w:r>
      <w:r>
        <w:rPr>
          <w:color w:val="2E614A"/>
          <w:spacing w:val="-2"/>
        </w:rPr>
        <w:t>Universities</w:t>
      </w:r>
    </w:p>
    <w:p>
      <w:pPr>
        <w:pStyle w:val="BodyText"/>
        <w:spacing w:line="266" w:lineRule="auto" w:before="286"/>
        <w:ind w:left="319" w:right="1077"/>
        <w:jc w:val="both"/>
      </w:pPr>
      <w:r>
        <w:rPr/>
        <w:t>We need to create substantial additional capacity </w:t>
      </w:r>
      <w:r>
        <w:rPr/>
        <w:t>in higher education for achieving a quantum jump in</w:t>
      </w:r>
      <w:r>
        <w:rPr>
          <w:spacing w:val="40"/>
        </w:rPr>
        <w:t> </w:t>
      </w:r>
      <w:r>
        <w:rPr/>
        <w:t>the gross enrolment ratio for a rapidly expanding </w:t>
      </w:r>
      <w:r>
        <w:rPr>
          <w:spacing w:val="-2"/>
        </w:rPr>
        <w:t>population</w:t>
      </w:r>
      <w:r>
        <w:rPr>
          <w:spacing w:val="-11"/>
        </w:rPr>
        <w:t> </w:t>
      </w:r>
      <w:r>
        <w:rPr>
          <w:spacing w:val="-2"/>
        </w:rPr>
        <w:t>of</w:t>
      </w:r>
      <w:r>
        <w:rPr>
          <w:spacing w:val="-11"/>
        </w:rPr>
        <w:t> </w:t>
      </w:r>
      <w:r>
        <w:rPr>
          <w:spacing w:val="-2"/>
        </w:rPr>
        <w:t>young</w:t>
      </w:r>
      <w:r>
        <w:rPr>
          <w:spacing w:val="-11"/>
        </w:rPr>
        <w:t> </w:t>
      </w:r>
      <w:r>
        <w:rPr>
          <w:spacing w:val="-2"/>
        </w:rPr>
        <w:t>people.</w:t>
      </w:r>
      <w:r>
        <w:rPr>
          <w:spacing w:val="-11"/>
        </w:rPr>
        <w:t> </w:t>
      </w:r>
      <w:r>
        <w:rPr>
          <w:spacing w:val="-2"/>
        </w:rPr>
        <w:t>It</w:t>
      </w:r>
      <w:r>
        <w:rPr>
          <w:spacing w:val="-11"/>
        </w:rPr>
        <w:t> </w:t>
      </w:r>
      <w:r>
        <w:rPr>
          <w:spacing w:val="-2"/>
        </w:rPr>
        <w:t>would</w:t>
      </w:r>
      <w:r>
        <w:rPr>
          <w:spacing w:val="-11"/>
        </w:rPr>
        <w:t> </w:t>
      </w:r>
      <w:r>
        <w:rPr>
          <w:spacing w:val="-2"/>
        </w:rPr>
        <w:t>be</w:t>
      </w:r>
      <w:r>
        <w:rPr>
          <w:spacing w:val="-11"/>
        </w:rPr>
        <w:t> </w:t>
      </w:r>
      <w:r>
        <w:rPr>
          <w:spacing w:val="-2"/>
        </w:rPr>
        <w:t>expeditious</w:t>
      </w:r>
      <w:r>
        <w:rPr>
          <w:spacing w:val="-11"/>
        </w:rPr>
        <w:t> </w:t>
      </w:r>
      <w:r>
        <w:rPr>
          <w:spacing w:val="-2"/>
        </w:rPr>
        <w:t>to do</w:t>
      </w:r>
      <w:r>
        <w:rPr>
          <w:spacing w:val="-9"/>
        </w:rPr>
        <w:t> </w:t>
      </w:r>
      <w:r>
        <w:rPr>
          <w:spacing w:val="-2"/>
        </w:rPr>
        <w:t>so</w:t>
      </w:r>
      <w:r>
        <w:rPr>
          <w:spacing w:val="-9"/>
        </w:rPr>
        <w:t> </w:t>
      </w:r>
      <w:r>
        <w:rPr>
          <w:spacing w:val="-2"/>
        </w:rPr>
        <w:t>by</w:t>
      </w:r>
      <w:r>
        <w:rPr>
          <w:spacing w:val="-9"/>
        </w:rPr>
        <w:t> </w:t>
      </w:r>
      <w:r>
        <w:rPr>
          <w:spacing w:val="-2"/>
        </w:rPr>
        <w:t>simply</w:t>
      </w:r>
      <w:r>
        <w:rPr>
          <w:spacing w:val="-9"/>
        </w:rPr>
        <w:t> </w:t>
      </w:r>
      <w:r>
        <w:rPr>
          <w:spacing w:val="-2"/>
        </w:rPr>
        <w:t>expanding</w:t>
      </w:r>
      <w:r>
        <w:rPr>
          <w:spacing w:val="-9"/>
        </w:rPr>
        <w:t> </w:t>
      </w:r>
      <w:r>
        <w:rPr>
          <w:spacing w:val="-2"/>
        </w:rPr>
        <w:t>on</w:t>
      </w:r>
      <w:r>
        <w:rPr>
          <w:spacing w:val="-9"/>
        </w:rPr>
        <w:t> </w:t>
      </w:r>
      <w:r>
        <w:rPr>
          <w:spacing w:val="-2"/>
        </w:rPr>
        <w:t>our</w:t>
      </w:r>
      <w:r>
        <w:rPr>
          <w:spacing w:val="-9"/>
        </w:rPr>
        <w:t> </w:t>
      </w:r>
      <w:r>
        <w:rPr>
          <w:spacing w:val="-2"/>
        </w:rPr>
        <w:t>existing</w:t>
      </w:r>
      <w:r>
        <w:rPr>
          <w:spacing w:val="-9"/>
        </w:rPr>
        <w:t> </w:t>
      </w:r>
      <w:r>
        <w:rPr>
          <w:spacing w:val="-2"/>
        </w:rPr>
        <w:t>educational </w:t>
      </w:r>
      <w:r>
        <w:rPr/>
        <w:t>infrastructure. A fundamental paradigm shift in our understanding of quality and standards in higher education,</w:t>
      </w:r>
      <w:r>
        <w:rPr>
          <w:spacing w:val="-14"/>
        </w:rPr>
        <w:t> </w:t>
      </w:r>
      <w:r>
        <w:rPr/>
        <w:t>however,</w:t>
      </w:r>
      <w:r>
        <w:rPr>
          <w:spacing w:val="-14"/>
        </w:rPr>
        <w:t> </w:t>
      </w:r>
      <w:r>
        <w:rPr/>
        <w:t>requires</w:t>
      </w:r>
      <w:r>
        <w:rPr>
          <w:spacing w:val="-14"/>
        </w:rPr>
        <w:t> </w:t>
      </w:r>
      <w:r>
        <w:rPr/>
        <w:t>creating</w:t>
      </w:r>
      <w:r>
        <w:rPr>
          <w:spacing w:val="-13"/>
        </w:rPr>
        <w:t> </w:t>
      </w:r>
      <w:r>
        <w:rPr/>
        <w:t>completely</w:t>
      </w:r>
      <w:r>
        <w:rPr>
          <w:spacing w:val="-14"/>
        </w:rPr>
        <w:t> </w:t>
      </w:r>
      <w:r>
        <w:rPr/>
        <w:t>new institutions that operate unconstrained by the current </w:t>
      </w:r>
      <w:r>
        <w:rPr>
          <w:spacing w:val="-4"/>
        </w:rPr>
        <w:t>institutional</w:t>
      </w:r>
      <w:r>
        <w:rPr>
          <w:spacing w:val="-10"/>
        </w:rPr>
        <w:t> </w:t>
      </w:r>
      <w:r>
        <w:rPr>
          <w:spacing w:val="-4"/>
        </w:rPr>
        <w:t>and</w:t>
      </w:r>
      <w:r>
        <w:rPr>
          <w:spacing w:val="-10"/>
        </w:rPr>
        <w:t> </w:t>
      </w:r>
      <w:r>
        <w:rPr>
          <w:spacing w:val="-4"/>
        </w:rPr>
        <w:t>regulatory</w:t>
      </w:r>
      <w:r>
        <w:rPr>
          <w:spacing w:val="-10"/>
        </w:rPr>
        <w:t> </w:t>
      </w:r>
      <w:r>
        <w:rPr>
          <w:spacing w:val="-4"/>
        </w:rPr>
        <w:t>framework.</w:t>
      </w:r>
      <w:r>
        <w:rPr>
          <w:spacing w:val="-9"/>
        </w:rPr>
        <w:t> </w:t>
      </w:r>
      <w:r>
        <w:rPr>
          <w:spacing w:val="-4"/>
        </w:rPr>
        <w:t>We</w:t>
      </w:r>
      <w:r>
        <w:rPr>
          <w:spacing w:val="-10"/>
        </w:rPr>
        <w:t> </w:t>
      </w:r>
      <w:r>
        <w:rPr>
          <w:spacing w:val="-4"/>
        </w:rPr>
        <w:t>recommend </w:t>
      </w:r>
      <w:r>
        <w:rPr/>
        <w:t>the creation of up to 50 National Universities that</w:t>
      </w:r>
      <w:r>
        <w:rPr>
          <w:spacing w:val="40"/>
        </w:rPr>
        <w:t> </w:t>
      </w:r>
      <w:r>
        <w:rPr/>
        <w:t>can provide education of the highest standard. As exemplars</w:t>
      </w:r>
      <w:r>
        <w:rPr>
          <w:spacing w:val="-7"/>
        </w:rPr>
        <w:t> </w:t>
      </w:r>
      <w:r>
        <w:rPr/>
        <w:t>for</w:t>
      </w:r>
      <w:r>
        <w:rPr>
          <w:spacing w:val="-7"/>
        </w:rPr>
        <w:t> </w:t>
      </w:r>
      <w:r>
        <w:rPr/>
        <w:t>the</w:t>
      </w:r>
      <w:r>
        <w:rPr>
          <w:spacing w:val="-7"/>
        </w:rPr>
        <w:t> </w:t>
      </w:r>
      <w:r>
        <w:rPr/>
        <w:t>rest</w:t>
      </w:r>
      <w:r>
        <w:rPr>
          <w:spacing w:val="-7"/>
        </w:rPr>
        <w:t> </w:t>
      </w:r>
      <w:r>
        <w:rPr/>
        <w:t>of</w:t>
      </w:r>
      <w:r>
        <w:rPr>
          <w:spacing w:val="-7"/>
        </w:rPr>
        <w:t> </w:t>
      </w:r>
      <w:r>
        <w:rPr/>
        <w:t>the</w:t>
      </w:r>
      <w:r>
        <w:rPr>
          <w:spacing w:val="-7"/>
        </w:rPr>
        <w:t> </w:t>
      </w:r>
      <w:r>
        <w:rPr/>
        <w:t>nation,</w:t>
      </w:r>
      <w:r>
        <w:rPr>
          <w:spacing w:val="-7"/>
        </w:rPr>
        <w:t> </w:t>
      </w:r>
      <w:r>
        <w:rPr/>
        <w:t>these</w:t>
      </w:r>
      <w:r>
        <w:rPr>
          <w:spacing w:val="-7"/>
        </w:rPr>
        <w:t> </w:t>
      </w:r>
      <w:r>
        <w:rPr/>
        <w:t>universities </w:t>
      </w:r>
      <w:r>
        <w:rPr>
          <w:spacing w:val="-2"/>
        </w:rPr>
        <w:t>shall</w:t>
      </w:r>
      <w:r>
        <w:rPr>
          <w:spacing w:val="-14"/>
        </w:rPr>
        <w:t> </w:t>
      </w:r>
      <w:r>
        <w:rPr>
          <w:spacing w:val="-2"/>
        </w:rPr>
        <w:t>train</w:t>
      </w:r>
      <w:r>
        <w:rPr>
          <w:spacing w:val="-12"/>
        </w:rPr>
        <w:t> </w:t>
      </w:r>
      <w:r>
        <w:rPr>
          <w:spacing w:val="-2"/>
        </w:rPr>
        <w:t>students</w:t>
      </w:r>
      <w:r>
        <w:rPr>
          <w:spacing w:val="-12"/>
        </w:rPr>
        <w:t> </w:t>
      </w:r>
      <w:r>
        <w:rPr>
          <w:spacing w:val="-2"/>
        </w:rPr>
        <w:t>in</w:t>
      </w:r>
      <w:r>
        <w:rPr>
          <w:spacing w:val="-11"/>
        </w:rPr>
        <w:t> </w:t>
      </w:r>
      <w:r>
        <w:rPr>
          <w:spacing w:val="-2"/>
        </w:rPr>
        <w:t>a</w:t>
      </w:r>
      <w:r>
        <w:rPr>
          <w:spacing w:val="-12"/>
        </w:rPr>
        <w:t> </w:t>
      </w:r>
      <w:r>
        <w:rPr>
          <w:spacing w:val="-2"/>
        </w:rPr>
        <w:t>variety</w:t>
      </w:r>
      <w:r>
        <w:rPr>
          <w:spacing w:val="-12"/>
        </w:rPr>
        <w:t> </w:t>
      </w:r>
      <w:r>
        <w:rPr>
          <w:spacing w:val="-2"/>
        </w:rPr>
        <w:t>of</w:t>
      </w:r>
      <w:r>
        <w:rPr>
          <w:spacing w:val="-12"/>
        </w:rPr>
        <w:t> </w:t>
      </w:r>
      <w:r>
        <w:rPr>
          <w:spacing w:val="-2"/>
        </w:rPr>
        <w:t>disciplines,</w:t>
      </w:r>
      <w:r>
        <w:rPr>
          <w:spacing w:val="-11"/>
        </w:rPr>
        <w:t> </w:t>
      </w:r>
      <w:r>
        <w:rPr>
          <w:spacing w:val="-2"/>
        </w:rPr>
        <w:t>including </w:t>
      </w:r>
      <w:r>
        <w:rPr/>
        <w:t>humanities,</w:t>
      </w:r>
      <w:r>
        <w:rPr>
          <w:spacing w:val="-14"/>
        </w:rPr>
        <w:t> </w:t>
      </w:r>
      <w:r>
        <w:rPr/>
        <w:t>social</w:t>
      </w:r>
      <w:r>
        <w:rPr>
          <w:spacing w:val="-14"/>
        </w:rPr>
        <w:t> </w:t>
      </w:r>
      <w:r>
        <w:rPr/>
        <w:t>sciences,</w:t>
      </w:r>
      <w:r>
        <w:rPr>
          <w:spacing w:val="-14"/>
        </w:rPr>
        <w:t> </w:t>
      </w:r>
      <w:r>
        <w:rPr/>
        <w:t>basic</w:t>
      </w:r>
      <w:r>
        <w:rPr>
          <w:spacing w:val="-13"/>
        </w:rPr>
        <w:t> </w:t>
      </w:r>
      <w:r>
        <w:rPr/>
        <w:t>sciences,</w:t>
      </w:r>
      <w:r>
        <w:rPr>
          <w:spacing w:val="-14"/>
        </w:rPr>
        <w:t> </w:t>
      </w:r>
      <w:r>
        <w:rPr/>
        <w:t>commerce and professional subjects, at both the undergraduate </w:t>
      </w:r>
      <w:r>
        <w:rPr>
          <w:spacing w:val="-2"/>
        </w:rPr>
        <w:t>and</w:t>
      </w:r>
      <w:r>
        <w:rPr>
          <w:spacing w:val="-12"/>
        </w:rPr>
        <w:t> </w:t>
      </w:r>
      <w:r>
        <w:rPr>
          <w:spacing w:val="-2"/>
        </w:rPr>
        <w:t>post-graduate</w:t>
      </w:r>
      <w:r>
        <w:rPr>
          <w:spacing w:val="-12"/>
        </w:rPr>
        <w:t> </w:t>
      </w:r>
      <w:r>
        <w:rPr>
          <w:spacing w:val="-2"/>
        </w:rPr>
        <w:t>levels.</w:t>
      </w:r>
      <w:r>
        <w:rPr>
          <w:spacing w:val="-12"/>
        </w:rPr>
        <w:t> </w:t>
      </w:r>
      <w:r>
        <w:rPr>
          <w:spacing w:val="-2"/>
        </w:rPr>
        <w:t>The</w:t>
      </w:r>
      <w:r>
        <w:rPr>
          <w:spacing w:val="-11"/>
        </w:rPr>
        <w:t> </w:t>
      </w:r>
      <w:r>
        <w:rPr>
          <w:spacing w:val="-2"/>
        </w:rPr>
        <w:t>number</w:t>
      </w:r>
      <w:r>
        <w:rPr>
          <w:spacing w:val="-12"/>
        </w:rPr>
        <w:t> </w:t>
      </w:r>
      <w:r>
        <w:rPr>
          <w:spacing w:val="-2"/>
        </w:rPr>
        <w:t>50</w:t>
      </w:r>
      <w:r>
        <w:rPr>
          <w:spacing w:val="-12"/>
        </w:rPr>
        <w:t> </w:t>
      </w:r>
      <w:r>
        <w:rPr>
          <w:spacing w:val="-2"/>
        </w:rPr>
        <w:t>is</w:t>
      </w:r>
      <w:r>
        <w:rPr>
          <w:spacing w:val="-10"/>
        </w:rPr>
        <w:t> </w:t>
      </w:r>
      <w:r>
        <w:rPr>
          <w:spacing w:val="-2"/>
        </w:rPr>
        <w:t>a</w:t>
      </w:r>
      <w:r>
        <w:rPr>
          <w:spacing w:val="-11"/>
        </w:rPr>
        <w:t> </w:t>
      </w:r>
      <w:r>
        <w:rPr>
          <w:spacing w:val="-2"/>
        </w:rPr>
        <w:t>long</w:t>
      </w:r>
      <w:r>
        <w:rPr>
          <w:spacing w:val="-11"/>
        </w:rPr>
        <w:t> </w:t>
      </w:r>
      <w:r>
        <w:rPr>
          <w:spacing w:val="-2"/>
        </w:rPr>
        <w:t>term </w:t>
      </w:r>
      <w:r>
        <w:rPr/>
        <w:t>objective.</w:t>
      </w:r>
      <w:r>
        <w:rPr>
          <w:spacing w:val="-14"/>
        </w:rPr>
        <w:t> </w:t>
      </w:r>
      <w:r>
        <w:rPr/>
        <w:t>In</w:t>
      </w:r>
      <w:r>
        <w:rPr>
          <w:spacing w:val="-14"/>
        </w:rPr>
        <w:t> </w:t>
      </w:r>
      <w:r>
        <w:rPr/>
        <w:t>the</w:t>
      </w:r>
      <w:r>
        <w:rPr>
          <w:spacing w:val="-14"/>
        </w:rPr>
        <w:t> </w:t>
      </w:r>
      <w:r>
        <w:rPr/>
        <w:t>short</w:t>
      </w:r>
      <w:r>
        <w:rPr>
          <w:spacing w:val="-13"/>
        </w:rPr>
        <w:t> </w:t>
      </w:r>
      <w:r>
        <w:rPr/>
        <w:t>run,</w:t>
      </w:r>
      <w:r>
        <w:rPr>
          <w:spacing w:val="-14"/>
        </w:rPr>
        <w:t> </w:t>
      </w:r>
      <w:r>
        <w:rPr/>
        <w:t>it</w:t>
      </w:r>
      <w:r>
        <w:rPr>
          <w:spacing w:val="-14"/>
        </w:rPr>
        <w:t> </w:t>
      </w:r>
      <w:r>
        <w:rPr/>
        <w:t>is</w:t>
      </w:r>
      <w:r>
        <w:rPr>
          <w:spacing w:val="-14"/>
        </w:rPr>
        <w:t> </w:t>
      </w:r>
      <w:r>
        <w:rPr/>
        <w:t>important</w:t>
      </w:r>
      <w:r>
        <w:rPr>
          <w:spacing w:val="-13"/>
        </w:rPr>
        <w:t> </w:t>
      </w:r>
      <w:r>
        <w:rPr/>
        <w:t>to</w:t>
      </w:r>
      <w:r>
        <w:rPr>
          <w:spacing w:val="-14"/>
        </w:rPr>
        <w:t> </w:t>
      </w:r>
      <w:r>
        <w:rPr/>
        <w:t>begin</w:t>
      </w:r>
      <w:r>
        <w:rPr>
          <w:spacing w:val="-14"/>
        </w:rPr>
        <w:t> </w:t>
      </w:r>
      <w:r>
        <w:rPr/>
        <w:t>with </w:t>
      </w:r>
      <w:r>
        <w:rPr>
          <w:spacing w:val="-2"/>
        </w:rPr>
        <w:t>at</w:t>
      </w:r>
      <w:r>
        <w:rPr>
          <w:spacing w:val="-10"/>
        </w:rPr>
        <w:t> </w:t>
      </w:r>
      <w:r>
        <w:rPr>
          <w:spacing w:val="-2"/>
        </w:rPr>
        <w:t>least</w:t>
      </w:r>
      <w:r>
        <w:rPr>
          <w:spacing w:val="-10"/>
        </w:rPr>
        <w:t> </w:t>
      </w:r>
      <w:r>
        <w:rPr>
          <w:spacing w:val="-2"/>
        </w:rPr>
        <w:t>10</w:t>
      </w:r>
      <w:r>
        <w:rPr>
          <w:spacing w:val="-10"/>
        </w:rPr>
        <w:t> </w:t>
      </w:r>
      <w:r>
        <w:rPr>
          <w:spacing w:val="-2"/>
        </w:rPr>
        <w:t>such</w:t>
      </w:r>
      <w:r>
        <w:rPr>
          <w:spacing w:val="-10"/>
        </w:rPr>
        <w:t> </w:t>
      </w:r>
      <w:r>
        <w:rPr>
          <w:spacing w:val="-2"/>
        </w:rPr>
        <w:t>universities</w:t>
      </w:r>
      <w:r>
        <w:rPr>
          <w:spacing w:val="-10"/>
        </w:rPr>
        <w:t> </w:t>
      </w:r>
      <w:r>
        <w:rPr>
          <w:spacing w:val="-2"/>
        </w:rPr>
        <w:t>in</w:t>
      </w:r>
      <w:r>
        <w:rPr>
          <w:spacing w:val="-10"/>
        </w:rPr>
        <w:t> </w:t>
      </w:r>
      <w:r>
        <w:rPr>
          <w:spacing w:val="-2"/>
        </w:rPr>
        <w:t>the</w:t>
      </w:r>
      <w:r>
        <w:rPr>
          <w:spacing w:val="-10"/>
        </w:rPr>
        <w:t> </w:t>
      </w:r>
      <w:r>
        <w:rPr>
          <w:spacing w:val="-2"/>
        </w:rPr>
        <w:t>next</w:t>
      </w:r>
      <w:r>
        <w:rPr>
          <w:spacing w:val="-10"/>
        </w:rPr>
        <w:t> </w:t>
      </w:r>
      <w:r>
        <w:rPr>
          <w:spacing w:val="-2"/>
        </w:rPr>
        <w:t>three</w:t>
      </w:r>
      <w:r>
        <w:rPr>
          <w:spacing w:val="-10"/>
        </w:rPr>
        <w:t> </w:t>
      </w:r>
      <w:r>
        <w:rPr>
          <w:spacing w:val="-2"/>
        </w:rPr>
        <w:t>years.</w:t>
      </w:r>
      <w:r>
        <w:rPr>
          <w:spacing w:val="-10"/>
        </w:rPr>
        <w:t> </w:t>
      </w:r>
      <w:r>
        <w:rPr>
          <w:spacing w:val="-2"/>
        </w:rPr>
        <w:t>It</w:t>
      </w:r>
      <w:r>
        <w:rPr>
          <w:spacing w:val="-10"/>
        </w:rPr>
        <w:t> </w:t>
      </w:r>
      <w:r>
        <w:rPr>
          <w:spacing w:val="-2"/>
        </w:rPr>
        <w:t>is </w:t>
      </w:r>
      <w:r>
        <w:rPr/>
        <w:t>worth noting that the National Universities need not </w:t>
      </w:r>
      <w:r>
        <w:rPr>
          <w:spacing w:val="-4"/>
        </w:rPr>
        <w:t>all</w:t>
      </w:r>
      <w:r>
        <w:rPr>
          <w:spacing w:val="-12"/>
        </w:rPr>
        <w:t> </w:t>
      </w:r>
      <w:r>
        <w:rPr>
          <w:spacing w:val="-4"/>
        </w:rPr>
        <w:t>be</w:t>
      </w:r>
      <w:r>
        <w:rPr>
          <w:spacing w:val="-10"/>
        </w:rPr>
        <w:t> </w:t>
      </w:r>
      <w:r>
        <w:rPr>
          <w:spacing w:val="-4"/>
        </w:rPr>
        <w:t>new</w:t>
      </w:r>
      <w:r>
        <w:rPr>
          <w:spacing w:val="-10"/>
        </w:rPr>
        <w:t> </w:t>
      </w:r>
      <w:r>
        <w:rPr>
          <w:spacing w:val="-4"/>
        </w:rPr>
        <w:t>universities.</w:t>
      </w:r>
      <w:r>
        <w:rPr>
          <w:spacing w:val="-9"/>
        </w:rPr>
        <w:t> </w:t>
      </w:r>
      <w:r>
        <w:rPr>
          <w:spacing w:val="-4"/>
        </w:rPr>
        <w:t>Some</w:t>
      </w:r>
      <w:r>
        <w:rPr>
          <w:spacing w:val="-10"/>
        </w:rPr>
        <w:t> </w:t>
      </w:r>
      <w:r>
        <w:rPr>
          <w:spacing w:val="-4"/>
        </w:rPr>
        <w:t>of</w:t>
      </w:r>
      <w:r>
        <w:rPr>
          <w:spacing w:val="-10"/>
        </w:rPr>
        <w:t> </w:t>
      </w:r>
      <w:r>
        <w:rPr>
          <w:spacing w:val="-4"/>
        </w:rPr>
        <w:t>the</w:t>
      </w:r>
      <w:r>
        <w:rPr>
          <w:spacing w:val="-10"/>
        </w:rPr>
        <w:t> </w:t>
      </w:r>
      <w:r>
        <w:rPr>
          <w:spacing w:val="-4"/>
        </w:rPr>
        <w:t>existing</w:t>
      </w:r>
      <w:r>
        <w:rPr>
          <w:spacing w:val="-9"/>
        </w:rPr>
        <w:t> </w:t>
      </w:r>
      <w:r>
        <w:rPr>
          <w:spacing w:val="-4"/>
        </w:rPr>
        <w:t>universities </w:t>
      </w:r>
      <w:r>
        <w:rPr/>
        <w:t>could also be converted into National Universities, on the basis of rigorous selection criteria, to act as exemplars.</w:t>
      </w:r>
      <w:r>
        <w:rPr>
          <w:spacing w:val="-8"/>
        </w:rPr>
        <w:t> </w:t>
      </w:r>
      <w:r>
        <w:rPr/>
        <w:t>We</w:t>
      </w:r>
      <w:r>
        <w:rPr>
          <w:spacing w:val="-5"/>
        </w:rPr>
        <w:t> </w:t>
      </w:r>
      <w:r>
        <w:rPr/>
        <w:t>recognise</w:t>
      </w:r>
      <w:r>
        <w:rPr>
          <w:spacing w:val="-6"/>
        </w:rPr>
        <w:t> </w:t>
      </w:r>
      <w:r>
        <w:rPr/>
        <w:t>that</w:t>
      </w:r>
      <w:r>
        <w:rPr>
          <w:spacing w:val="-5"/>
        </w:rPr>
        <w:t> </w:t>
      </w:r>
      <w:r>
        <w:rPr/>
        <w:t>there</w:t>
      </w:r>
      <w:r>
        <w:rPr>
          <w:spacing w:val="-6"/>
        </w:rPr>
        <w:t> </w:t>
      </w:r>
      <w:r>
        <w:rPr/>
        <w:t>could</w:t>
      </w:r>
      <w:r>
        <w:rPr>
          <w:spacing w:val="-5"/>
        </w:rPr>
        <w:t> </w:t>
      </w:r>
      <w:r>
        <w:rPr/>
        <w:t>be</w:t>
      </w:r>
      <w:r>
        <w:rPr>
          <w:spacing w:val="-6"/>
        </w:rPr>
        <w:t> </w:t>
      </w:r>
      <w:r>
        <w:rPr/>
        <w:t>a</w:t>
      </w:r>
      <w:r>
        <w:rPr>
          <w:spacing w:val="-5"/>
        </w:rPr>
        <w:t> </w:t>
      </w:r>
      <w:r>
        <w:rPr>
          <w:spacing w:val="-2"/>
        </w:rPr>
        <w:t>human</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79"/>
        <w:jc w:val="both"/>
      </w:pPr>
      <w:r>
        <w:rPr>
          <w:spacing w:val="-4"/>
        </w:rPr>
        <w:t>resource</w:t>
      </w:r>
      <w:r>
        <w:rPr>
          <w:spacing w:val="-6"/>
        </w:rPr>
        <w:t> </w:t>
      </w:r>
      <w:r>
        <w:rPr>
          <w:spacing w:val="-4"/>
        </w:rPr>
        <w:t>constraint</w:t>
      </w:r>
      <w:r>
        <w:rPr>
          <w:spacing w:val="-7"/>
        </w:rPr>
        <w:t> </w:t>
      </w:r>
      <w:r>
        <w:rPr>
          <w:spacing w:val="-4"/>
        </w:rPr>
        <w:t>if</w:t>
      </w:r>
      <w:r>
        <w:rPr>
          <w:spacing w:val="-6"/>
        </w:rPr>
        <w:t> </w:t>
      </w:r>
      <w:r>
        <w:rPr>
          <w:spacing w:val="-4"/>
        </w:rPr>
        <w:t>faculty</w:t>
      </w:r>
      <w:r>
        <w:rPr>
          <w:spacing w:val="-7"/>
        </w:rPr>
        <w:t> </w:t>
      </w:r>
      <w:r>
        <w:rPr>
          <w:spacing w:val="-4"/>
        </w:rPr>
        <w:t>members</w:t>
      </w:r>
      <w:r>
        <w:rPr>
          <w:spacing w:val="-6"/>
        </w:rPr>
        <w:t> </w:t>
      </w:r>
      <w:r>
        <w:rPr>
          <w:spacing w:val="-4"/>
        </w:rPr>
        <w:t>are</w:t>
      </w:r>
      <w:r>
        <w:rPr>
          <w:spacing w:val="-7"/>
        </w:rPr>
        <w:t> </w:t>
      </w:r>
      <w:r>
        <w:rPr>
          <w:spacing w:val="-4"/>
        </w:rPr>
        <w:t>not</w:t>
      </w:r>
      <w:r>
        <w:rPr>
          <w:spacing w:val="-6"/>
        </w:rPr>
        <w:t> </w:t>
      </w:r>
      <w:r>
        <w:rPr>
          <w:spacing w:val="-4"/>
        </w:rPr>
        <w:t>available in</w:t>
      </w:r>
      <w:r>
        <w:rPr>
          <w:spacing w:val="-10"/>
        </w:rPr>
        <w:t> </w:t>
      </w:r>
      <w:r>
        <w:rPr>
          <w:spacing w:val="-4"/>
        </w:rPr>
        <w:t>adequate</w:t>
      </w:r>
      <w:r>
        <w:rPr>
          <w:spacing w:val="-10"/>
        </w:rPr>
        <w:t> </w:t>
      </w:r>
      <w:r>
        <w:rPr>
          <w:spacing w:val="-4"/>
        </w:rPr>
        <w:t>numbers</w:t>
      </w:r>
      <w:r>
        <w:rPr>
          <w:spacing w:val="-10"/>
        </w:rPr>
        <w:t> </w:t>
      </w:r>
      <w:r>
        <w:rPr>
          <w:spacing w:val="-4"/>
        </w:rPr>
        <w:t>to</w:t>
      </w:r>
      <w:r>
        <w:rPr>
          <w:spacing w:val="-9"/>
        </w:rPr>
        <w:t> </w:t>
      </w:r>
      <w:r>
        <w:rPr>
          <w:spacing w:val="-4"/>
        </w:rPr>
        <w:t>establish</w:t>
      </w:r>
      <w:r>
        <w:rPr>
          <w:spacing w:val="-10"/>
        </w:rPr>
        <w:t> </w:t>
      </w:r>
      <w:r>
        <w:rPr>
          <w:spacing w:val="-4"/>
        </w:rPr>
        <w:t>these</w:t>
      </w:r>
      <w:r>
        <w:rPr>
          <w:spacing w:val="-10"/>
        </w:rPr>
        <w:t> </w:t>
      </w:r>
      <w:r>
        <w:rPr>
          <w:spacing w:val="-4"/>
        </w:rPr>
        <w:t>universities.</w:t>
      </w:r>
      <w:r>
        <w:rPr>
          <w:spacing w:val="-10"/>
        </w:rPr>
        <w:t> </w:t>
      </w:r>
      <w:r>
        <w:rPr>
          <w:spacing w:val="-4"/>
        </w:rPr>
        <w:t>But, </w:t>
      </w:r>
      <w:r>
        <w:rPr/>
        <w:t>for such centres of academic excellence, it should be </w:t>
      </w:r>
      <w:r>
        <w:rPr>
          <w:spacing w:val="-2"/>
        </w:rPr>
        <w:t>possible</w:t>
      </w:r>
      <w:r>
        <w:rPr>
          <w:spacing w:val="-14"/>
        </w:rPr>
        <w:t> </w:t>
      </w:r>
      <w:r>
        <w:rPr>
          <w:spacing w:val="-2"/>
        </w:rPr>
        <w:t>to</w:t>
      </w:r>
      <w:r>
        <w:rPr>
          <w:spacing w:val="-12"/>
        </w:rPr>
        <w:t> </w:t>
      </w:r>
      <w:r>
        <w:rPr>
          <w:spacing w:val="-2"/>
        </w:rPr>
        <w:t>attract</w:t>
      </w:r>
      <w:r>
        <w:rPr>
          <w:spacing w:val="-12"/>
        </w:rPr>
        <w:t> </w:t>
      </w:r>
      <w:r>
        <w:rPr>
          <w:spacing w:val="-2"/>
        </w:rPr>
        <w:t>talent</w:t>
      </w:r>
      <w:r>
        <w:rPr>
          <w:spacing w:val="-11"/>
        </w:rPr>
        <w:t> </w:t>
      </w:r>
      <w:r>
        <w:rPr>
          <w:spacing w:val="-2"/>
        </w:rPr>
        <w:t>from</w:t>
      </w:r>
      <w:r>
        <w:rPr>
          <w:spacing w:val="-12"/>
        </w:rPr>
        <w:t> </w:t>
      </w:r>
      <w:r>
        <w:rPr>
          <w:spacing w:val="-2"/>
        </w:rPr>
        <w:t>among</w:t>
      </w:r>
      <w:r>
        <w:rPr>
          <w:spacing w:val="-12"/>
        </w:rPr>
        <w:t> </w:t>
      </w:r>
      <w:r>
        <w:rPr>
          <w:spacing w:val="-2"/>
        </w:rPr>
        <w:t>those</w:t>
      </w:r>
      <w:r>
        <w:rPr>
          <w:spacing w:val="-12"/>
        </w:rPr>
        <w:t> </w:t>
      </w:r>
      <w:r>
        <w:rPr>
          <w:spacing w:val="-2"/>
        </w:rPr>
        <w:t>who</w:t>
      </w:r>
      <w:r>
        <w:rPr>
          <w:spacing w:val="-11"/>
        </w:rPr>
        <w:t> </w:t>
      </w:r>
      <w:r>
        <w:rPr>
          <w:spacing w:val="-2"/>
        </w:rPr>
        <w:t>choose </w:t>
      </w:r>
      <w:r>
        <w:rPr/>
        <w:t>other</w:t>
      </w:r>
      <w:r>
        <w:rPr>
          <w:spacing w:val="-1"/>
        </w:rPr>
        <w:t> </w:t>
      </w:r>
      <w:r>
        <w:rPr/>
        <w:t>professions</w:t>
      </w:r>
      <w:r>
        <w:rPr>
          <w:spacing w:val="-1"/>
        </w:rPr>
        <w:t> </w:t>
      </w:r>
      <w:r>
        <w:rPr/>
        <w:t>in</w:t>
      </w:r>
      <w:r>
        <w:rPr>
          <w:spacing w:val="-1"/>
        </w:rPr>
        <w:t> </w:t>
      </w:r>
      <w:r>
        <w:rPr/>
        <w:t>India</w:t>
      </w:r>
      <w:r>
        <w:rPr>
          <w:spacing w:val="-1"/>
        </w:rPr>
        <w:t> </w:t>
      </w:r>
      <w:r>
        <w:rPr/>
        <w:t>or</w:t>
      </w:r>
      <w:r>
        <w:rPr>
          <w:spacing w:val="-1"/>
        </w:rPr>
        <w:t> </w:t>
      </w:r>
      <w:r>
        <w:rPr/>
        <w:t>the</w:t>
      </w:r>
      <w:r>
        <w:rPr>
          <w:spacing w:val="-1"/>
        </w:rPr>
        <w:t> </w:t>
      </w:r>
      <w:r>
        <w:rPr/>
        <w:t>academic</w:t>
      </w:r>
      <w:r>
        <w:rPr>
          <w:spacing w:val="-1"/>
        </w:rPr>
        <w:t> </w:t>
      </w:r>
      <w:r>
        <w:rPr/>
        <w:t>profession outside India.</w:t>
      </w:r>
    </w:p>
    <w:p>
      <w:pPr>
        <w:pStyle w:val="BodyText"/>
        <w:spacing w:before="22"/>
      </w:pPr>
    </w:p>
    <w:p>
      <w:pPr>
        <w:pStyle w:val="BodyText"/>
        <w:spacing w:line="266" w:lineRule="auto"/>
        <w:ind w:left="1079"/>
        <w:jc w:val="both"/>
      </w:pPr>
      <w:r>
        <w:rPr/>
        <w:t>National</w:t>
      </w:r>
      <w:r>
        <w:rPr>
          <w:spacing w:val="-8"/>
        </w:rPr>
        <w:t> </w:t>
      </w:r>
      <w:r>
        <w:rPr/>
        <w:t>Universities</w:t>
      </w:r>
      <w:r>
        <w:rPr>
          <w:spacing w:val="-8"/>
        </w:rPr>
        <w:t> </w:t>
      </w:r>
      <w:r>
        <w:rPr/>
        <w:t>can</w:t>
      </w:r>
      <w:r>
        <w:rPr>
          <w:spacing w:val="-8"/>
        </w:rPr>
        <w:t> </w:t>
      </w:r>
      <w:r>
        <w:rPr/>
        <w:t>be</w:t>
      </w:r>
      <w:r>
        <w:rPr>
          <w:spacing w:val="-8"/>
        </w:rPr>
        <w:t> </w:t>
      </w:r>
      <w:r>
        <w:rPr/>
        <w:t>established</w:t>
      </w:r>
      <w:r>
        <w:rPr>
          <w:spacing w:val="-8"/>
        </w:rPr>
        <w:t> </w:t>
      </w:r>
      <w:r>
        <w:rPr/>
        <w:t>in</w:t>
      </w:r>
      <w:r>
        <w:rPr>
          <w:spacing w:val="-8"/>
        </w:rPr>
        <w:t> </w:t>
      </w:r>
      <w:r>
        <w:rPr/>
        <w:t>two</w:t>
      </w:r>
      <w:r>
        <w:rPr>
          <w:spacing w:val="-8"/>
        </w:rPr>
        <w:t> </w:t>
      </w:r>
      <w:r>
        <w:rPr/>
        <w:t>ways, by the government, or by a private sponsoring body that sets up a Society, Charitable</w:t>
      </w:r>
      <w:r>
        <w:rPr>
          <w:spacing w:val="-4"/>
        </w:rPr>
        <w:t> </w:t>
      </w:r>
      <w:r>
        <w:rPr/>
        <w:t>Trust or Section 25 </w:t>
      </w:r>
      <w:r>
        <w:rPr>
          <w:spacing w:val="-6"/>
        </w:rPr>
        <w:t>Company. Since public finance is an integral constituent </w:t>
      </w:r>
      <w:r>
        <w:rPr>
          <w:spacing w:val="-2"/>
        </w:rPr>
        <w:t>of</w:t>
      </w:r>
      <w:r>
        <w:rPr>
          <w:spacing w:val="-12"/>
        </w:rPr>
        <w:t> </w:t>
      </w:r>
      <w:r>
        <w:rPr>
          <w:spacing w:val="-2"/>
        </w:rPr>
        <w:t>universities</w:t>
      </w:r>
      <w:r>
        <w:rPr>
          <w:spacing w:val="-12"/>
        </w:rPr>
        <w:t> </w:t>
      </w:r>
      <w:r>
        <w:rPr>
          <w:spacing w:val="-2"/>
        </w:rPr>
        <w:t>worldwide,</w:t>
      </w:r>
      <w:r>
        <w:rPr>
          <w:spacing w:val="-12"/>
        </w:rPr>
        <w:t> </w:t>
      </w:r>
      <w:r>
        <w:rPr>
          <w:spacing w:val="-2"/>
        </w:rPr>
        <w:t>most</w:t>
      </w:r>
      <w:r>
        <w:rPr>
          <w:spacing w:val="-11"/>
        </w:rPr>
        <w:t> </w:t>
      </w:r>
      <w:r>
        <w:rPr>
          <w:spacing w:val="-2"/>
        </w:rPr>
        <w:t>of</w:t>
      </w:r>
      <w:r>
        <w:rPr>
          <w:spacing w:val="-12"/>
        </w:rPr>
        <w:t> </w:t>
      </w:r>
      <w:r>
        <w:rPr>
          <w:spacing w:val="-2"/>
        </w:rPr>
        <w:t>the</w:t>
      </w:r>
      <w:r>
        <w:rPr>
          <w:spacing w:val="-12"/>
        </w:rPr>
        <w:t> </w:t>
      </w:r>
      <w:r>
        <w:rPr>
          <w:spacing w:val="-2"/>
        </w:rPr>
        <w:t>new</w:t>
      </w:r>
      <w:r>
        <w:rPr>
          <w:spacing w:val="-12"/>
        </w:rPr>
        <w:t> </w:t>
      </w:r>
      <w:r>
        <w:rPr>
          <w:spacing w:val="-2"/>
        </w:rPr>
        <w:t>universities </w:t>
      </w:r>
      <w:r>
        <w:rPr/>
        <w:t>shall need significant initial financial support from the</w:t>
      </w:r>
      <w:r>
        <w:rPr>
          <w:spacing w:val="-6"/>
        </w:rPr>
        <w:t> </w:t>
      </w:r>
      <w:r>
        <w:rPr/>
        <w:t>government.</w:t>
      </w:r>
      <w:r>
        <w:rPr>
          <w:spacing w:val="-12"/>
        </w:rPr>
        <w:t> </w:t>
      </w:r>
      <w:r>
        <w:rPr/>
        <w:t>This</w:t>
      </w:r>
      <w:r>
        <w:rPr>
          <w:spacing w:val="-6"/>
        </w:rPr>
        <w:t> </w:t>
      </w:r>
      <w:r>
        <w:rPr/>
        <w:t>could</w:t>
      </w:r>
      <w:r>
        <w:rPr>
          <w:spacing w:val="-6"/>
        </w:rPr>
        <w:t> </w:t>
      </w:r>
      <w:r>
        <w:rPr/>
        <w:t>be</w:t>
      </w:r>
      <w:r>
        <w:rPr>
          <w:spacing w:val="-6"/>
        </w:rPr>
        <w:t> </w:t>
      </w:r>
      <w:r>
        <w:rPr/>
        <w:t>in</w:t>
      </w:r>
      <w:r>
        <w:rPr>
          <w:spacing w:val="-6"/>
        </w:rPr>
        <w:t> </w:t>
      </w:r>
      <w:r>
        <w:rPr/>
        <w:t>several</w:t>
      </w:r>
      <w:r>
        <w:rPr>
          <w:spacing w:val="-6"/>
        </w:rPr>
        <w:t> </w:t>
      </w:r>
      <w:r>
        <w:rPr/>
        <w:t>forms.</w:t>
      </w:r>
      <w:r>
        <w:rPr>
          <w:spacing w:val="-6"/>
        </w:rPr>
        <w:t> </w:t>
      </w:r>
      <w:r>
        <w:rPr/>
        <w:t>Each </w:t>
      </w:r>
      <w:r>
        <w:rPr>
          <w:spacing w:val="-6"/>
        </w:rPr>
        <w:t>university may be endowed with a substantial </w:t>
      </w:r>
      <w:r>
        <w:rPr>
          <w:i/>
          <w:spacing w:val="-6"/>
        </w:rPr>
        <w:t>allocation </w:t>
      </w:r>
      <w:r>
        <w:rPr>
          <w:i/>
        </w:rPr>
        <w:t>of public land, </w:t>
      </w:r>
      <w:r>
        <w:rPr/>
        <w:t>in excess of its spatial requirements. The</w:t>
      </w:r>
      <w:r>
        <w:rPr>
          <w:spacing w:val="-14"/>
        </w:rPr>
        <w:t> </w:t>
      </w:r>
      <w:r>
        <w:rPr/>
        <w:t>excess</w:t>
      </w:r>
      <w:r>
        <w:rPr>
          <w:spacing w:val="-14"/>
        </w:rPr>
        <w:t> </w:t>
      </w:r>
      <w:r>
        <w:rPr/>
        <w:t>land</w:t>
      </w:r>
      <w:r>
        <w:rPr>
          <w:spacing w:val="-14"/>
        </w:rPr>
        <w:t> </w:t>
      </w:r>
      <w:r>
        <w:rPr/>
        <w:t>can</w:t>
      </w:r>
      <w:r>
        <w:rPr>
          <w:spacing w:val="-13"/>
        </w:rPr>
        <w:t> </w:t>
      </w:r>
      <w:r>
        <w:rPr/>
        <w:t>be</w:t>
      </w:r>
      <w:r>
        <w:rPr>
          <w:spacing w:val="-14"/>
        </w:rPr>
        <w:t> </w:t>
      </w:r>
      <w:r>
        <w:rPr/>
        <w:t>a</w:t>
      </w:r>
      <w:r>
        <w:rPr>
          <w:spacing w:val="-14"/>
        </w:rPr>
        <w:t> </w:t>
      </w:r>
      <w:r>
        <w:rPr/>
        <w:t>subsequent</w:t>
      </w:r>
      <w:r>
        <w:rPr>
          <w:spacing w:val="-14"/>
        </w:rPr>
        <w:t> </w:t>
      </w:r>
      <w:r>
        <w:rPr/>
        <w:t>source</w:t>
      </w:r>
      <w:r>
        <w:rPr>
          <w:spacing w:val="-13"/>
        </w:rPr>
        <w:t> </w:t>
      </w:r>
      <w:r>
        <w:rPr/>
        <w:t>of</w:t>
      </w:r>
      <w:r>
        <w:rPr>
          <w:spacing w:val="-14"/>
        </w:rPr>
        <w:t> </w:t>
      </w:r>
      <w:r>
        <w:rPr/>
        <w:t>income </w:t>
      </w:r>
      <w:r>
        <w:rPr>
          <w:spacing w:val="-4"/>
        </w:rPr>
        <w:t>generation,</w:t>
      </w:r>
      <w:r>
        <w:rPr>
          <w:spacing w:val="-10"/>
        </w:rPr>
        <w:t> </w:t>
      </w:r>
      <w:r>
        <w:rPr>
          <w:spacing w:val="-4"/>
        </w:rPr>
        <w:t>its</w:t>
      </w:r>
      <w:r>
        <w:rPr>
          <w:spacing w:val="-10"/>
        </w:rPr>
        <w:t> </w:t>
      </w:r>
      <w:r>
        <w:rPr>
          <w:spacing w:val="-4"/>
        </w:rPr>
        <w:t>value</w:t>
      </w:r>
      <w:r>
        <w:rPr>
          <w:spacing w:val="-10"/>
        </w:rPr>
        <w:t> </w:t>
      </w:r>
      <w:r>
        <w:rPr>
          <w:spacing w:val="-4"/>
        </w:rPr>
        <w:t>rising</w:t>
      </w:r>
      <w:r>
        <w:rPr>
          <w:spacing w:val="-9"/>
        </w:rPr>
        <w:t> </w:t>
      </w:r>
      <w:r>
        <w:rPr>
          <w:spacing w:val="-4"/>
        </w:rPr>
        <w:t>over</w:t>
      </w:r>
      <w:r>
        <w:rPr>
          <w:spacing w:val="-10"/>
        </w:rPr>
        <w:t> </w:t>
      </w:r>
      <w:r>
        <w:rPr>
          <w:spacing w:val="-4"/>
        </w:rPr>
        <w:t>time</w:t>
      </w:r>
      <w:r>
        <w:rPr>
          <w:spacing w:val="-10"/>
        </w:rPr>
        <w:t> </w:t>
      </w:r>
      <w:r>
        <w:rPr>
          <w:spacing w:val="-4"/>
        </w:rPr>
        <w:t>due</w:t>
      </w:r>
      <w:r>
        <w:rPr>
          <w:spacing w:val="-10"/>
        </w:rPr>
        <w:t> </w:t>
      </w:r>
      <w:r>
        <w:rPr>
          <w:spacing w:val="-4"/>
        </w:rPr>
        <w:t>to</w:t>
      </w:r>
      <w:r>
        <w:rPr>
          <w:spacing w:val="-9"/>
        </w:rPr>
        <w:t> </w:t>
      </w:r>
      <w:r>
        <w:rPr>
          <w:spacing w:val="-4"/>
        </w:rPr>
        <w:t>the</w:t>
      </w:r>
      <w:r>
        <w:rPr>
          <w:spacing w:val="-10"/>
        </w:rPr>
        <w:t> </w:t>
      </w:r>
      <w:r>
        <w:rPr>
          <w:spacing w:val="-4"/>
        </w:rPr>
        <w:t>growing </w:t>
      </w:r>
      <w:r>
        <w:rPr>
          <w:spacing w:val="-6"/>
        </w:rPr>
        <w:t>stature</w:t>
      </w:r>
      <w:r>
        <w:rPr>
          <w:spacing w:val="-8"/>
        </w:rPr>
        <w:t> </w:t>
      </w:r>
      <w:r>
        <w:rPr>
          <w:spacing w:val="-6"/>
        </w:rPr>
        <w:t>of</w:t>
      </w:r>
      <w:r>
        <w:rPr>
          <w:spacing w:val="-8"/>
        </w:rPr>
        <w:t> </w:t>
      </w:r>
      <w:r>
        <w:rPr>
          <w:spacing w:val="-6"/>
        </w:rPr>
        <w:t>the</w:t>
      </w:r>
      <w:r>
        <w:rPr>
          <w:spacing w:val="-8"/>
        </w:rPr>
        <w:t> </w:t>
      </w:r>
      <w:r>
        <w:rPr>
          <w:spacing w:val="-6"/>
        </w:rPr>
        <w:t>university.</w:t>
      </w:r>
      <w:r>
        <w:rPr>
          <w:spacing w:val="-7"/>
        </w:rPr>
        <w:t> </w:t>
      </w:r>
      <w:r>
        <w:rPr>
          <w:spacing w:val="-6"/>
        </w:rPr>
        <w:t>In</w:t>
      </w:r>
      <w:r>
        <w:rPr>
          <w:spacing w:val="-8"/>
        </w:rPr>
        <w:t> </w:t>
      </w:r>
      <w:r>
        <w:rPr>
          <w:spacing w:val="-6"/>
        </w:rPr>
        <w:t>the</w:t>
      </w:r>
      <w:r>
        <w:rPr>
          <w:spacing w:val="-8"/>
        </w:rPr>
        <w:t> </w:t>
      </w:r>
      <w:r>
        <w:rPr>
          <w:spacing w:val="-6"/>
        </w:rPr>
        <w:t>case</w:t>
      </w:r>
      <w:r>
        <w:rPr>
          <w:spacing w:val="-8"/>
        </w:rPr>
        <w:t> </w:t>
      </w:r>
      <w:r>
        <w:rPr>
          <w:spacing w:val="-6"/>
        </w:rPr>
        <w:t>of</w:t>
      </w:r>
      <w:r>
        <w:rPr>
          <w:spacing w:val="-7"/>
        </w:rPr>
        <w:t> </w:t>
      </w:r>
      <w:r>
        <w:rPr>
          <w:spacing w:val="-6"/>
        </w:rPr>
        <w:t>privately</w:t>
      </w:r>
      <w:r>
        <w:rPr>
          <w:spacing w:val="-8"/>
        </w:rPr>
        <w:t> </w:t>
      </w:r>
      <w:r>
        <w:rPr>
          <w:spacing w:val="-6"/>
        </w:rPr>
        <w:t>executed Charitable</w:t>
      </w:r>
      <w:r>
        <w:rPr>
          <w:spacing w:val="-8"/>
        </w:rPr>
        <w:t> </w:t>
      </w:r>
      <w:r>
        <w:rPr>
          <w:spacing w:val="-6"/>
        </w:rPr>
        <w:t>Trusts,</w:t>
      </w:r>
      <w:r>
        <w:rPr>
          <w:spacing w:val="-8"/>
        </w:rPr>
        <w:t> </w:t>
      </w:r>
      <w:r>
        <w:rPr>
          <w:spacing w:val="-6"/>
        </w:rPr>
        <w:t>exceptions</w:t>
      </w:r>
      <w:r>
        <w:rPr>
          <w:spacing w:val="-8"/>
        </w:rPr>
        <w:t> </w:t>
      </w:r>
      <w:r>
        <w:rPr>
          <w:spacing w:val="-6"/>
        </w:rPr>
        <w:t>need</w:t>
      </w:r>
      <w:r>
        <w:rPr>
          <w:spacing w:val="-7"/>
        </w:rPr>
        <w:t> </w:t>
      </w:r>
      <w:r>
        <w:rPr>
          <w:spacing w:val="-6"/>
        </w:rPr>
        <w:t>to</w:t>
      </w:r>
      <w:r>
        <w:rPr>
          <w:spacing w:val="-8"/>
        </w:rPr>
        <w:t> </w:t>
      </w:r>
      <w:r>
        <w:rPr>
          <w:spacing w:val="-6"/>
        </w:rPr>
        <w:t>be</w:t>
      </w:r>
      <w:r>
        <w:rPr>
          <w:spacing w:val="-8"/>
        </w:rPr>
        <w:t> </w:t>
      </w:r>
      <w:r>
        <w:rPr>
          <w:spacing w:val="-6"/>
        </w:rPr>
        <w:t>made</w:t>
      </w:r>
      <w:r>
        <w:rPr>
          <w:spacing w:val="-8"/>
        </w:rPr>
        <w:t> </w:t>
      </w:r>
      <w:r>
        <w:rPr>
          <w:spacing w:val="-6"/>
        </w:rPr>
        <w:t>in</w:t>
      </w:r>
      <w:r>
        <w:rPr>
          <w:spacing w:val="-7"/>
        </w:rPr>
        <w:t> </w:t>
      </w:r>
      <w:r>
        <w:rPr>
          <w:spacing w:val="-6"/>
        </w:rPr>
        <w:t>existing </w:t>
      </w:r>
      <w:r>
        <w:rPr/>
        <w:t>Income</w:t>
      </w:r>
      <w:r>
        <w:rPr>
          <w:spacing w:val="-2"/>
        </w:rPr>
        <w:t> </w:t>
      </w:r>
      <w:r>
        <w:rPr/>
        <w:t>Tax laws to encourage large </w:t>
      </w:r>
      <w:r>
        <w:rPr>
          <w:i/>
        </w:rPr>
        <w:t>endowments</w:t>
      </w:r>
      <w:r>
        <w:rPr/>
        <w:t>. In </w:t>
      </w:r>
      <w:r>
        <w:rPr>
          <w:w w:val="90"/>
        </w:rPr>
        <w:t>particular, there should be no restriction on the utilisation </w:t>
      </w:r>
      <w:r>
        <w:rPr/>
        <w:t>of</w:t>
      </w:r>
      <w:r>
        <w:rPr>
          <w:spacing w:val="-7"/>
        </w:rPr>
        <w:t> </w:t>
      </w:r>
      <w:r>
        <w:rPr/>
        <w:t>income</w:t>
      </w:r>
      <w:r>
        <w:rPr>
          <w:spacing w:val="-7"/>
        </w:rPr>
        <w:t> </w:t>
      </w:r>
      <w:r>
        <w:rPr/>
        <w:t>in</w:t>
      </w:r>
      <w:r>
        <w:rPr>
          <w:spacing w:val="-7"/>
        </w:rPr>
        <w:t> </w:t>
      </w:r>
      <w:r>
        <w:rPr/>
        <w:t>any</w:t>
      </w:r>
      <w:r>
        <w:rPr>
          <w:spacing w:val="-7"/>
        </w:rPr>
        <w:t> </w:t>
      </w:r>
      <w:r>
        <w:rPr/>
        <w:t>given</w:t>
      </w:r>
      <w:r>
        <w:rPr>
          <w:spacing w:val="-7"/>
        </w:rPr>
        <w:t> </w:t>
      </w:r>
      <w:r>
        <w:rPr/>
        <w:t>time</w:t>
      </w:r>
      <w:r>
        <w:rPr>
          <w:spacing w:val="-7"/>
        </w:rPr>
        <w:t> </w:t>
      </w:r>
      <w:r>
        <w:rPr/>
        <w:t>period,</w:t>
      </w:r>
      <w:r>
        <w:rPr>
          <w:spacing w:val="-7"/>
        </w:rPr>
        <w:t> </w:t>
      </w:r>
      <w:r>
        <w:rPr/>
        <w:t>the</w:t>
      </w:r>
      <w:r>
        <w:rPr>
          <w:spacing w:val="-14"/>
        </w:rPr>
        <w:t> </w:t>
      </w:r>
      <w:r>
        <w:rPr/>
        <w:t>Trusts</w:t>
      </w:r>
      <w:r>
        <w:rPr>
          <w:spacing w:val="-6"/>
        </w:rPr>
        <w:t> </w:t>
      </w:r>
      <w:r>
        <w:rPr/>
        <w:t>should </w:t>
      </w:r>
      <w:r>
        <w:rPr>
          <w:spacing w:val="-4"/>
        </w:rPr>
        <w:t>be</w:t>
      </w:r>
      <w:r>
        <w:rPr>
          <w:spacing w:val="-7"/>
        </w:rPr>
        <w:t> </w:t>
      </w:r>
      <w:r>
        <w:rPr>
          <w:spacing w:val="-4"/>
        </w:rPr>
        <w:t>allowed</w:t>
      </w:r>
      <w:r>
        <w:rPr>
          <w:spacing w:val="-7"/>
        </w:rPr>
        <w:t> </w:t>
      </w:r>
      <w:r>
        <w:rPr>
          <w:spacing w:val="-4"/>
        </w:rPr>
        <w:t>to</w:t>
      </w:r>
      <w:r>
        <w:rPr>
          <w:spacing w:val="-7"/>
        </w:rPr>
        <w:t> </w:t>
      </w:r>
      <w:r>
        <w:rPr>
          <w:spacing w:val="-4"/>
        </w:rPr>
        <w:t>invest</w:t>
      </w:r>
      <w:r>
        <w:rPr>
          <w:spacing w:val="-7"/>
        </w:rPr>
        <w:t> </w:t>
      </w:r>
      <w:r>
        <w:rPr>
          <w:spacing w:val="-4"/>
        </w:rPr>
        <w:t>their</w:t>
      </w:r>
      <w:r>
        <w:rPr>
          <w:spacing w:val="-7"/>
        </w:rPr>
        <w:t> </w:t>
      </w:r>
      <w:r>
        <w:rPr>
          <w:spacing w:val="-4"/>
        </w:rPr>
        <w:t>funds</w:t>
      </w:r>
      <w:r>
        <w:rPr>
          <w:spacing w:val="-7"/>
        </w:rPr>
        <w:t> </w:t>
      </w:r>
      <w:r>
        <w:rPr>
          <w:spacing w:val="-4"/>
        </w:rPr>
        <w:t>in</w:t>
      </w:r>
      <w:r>
        <w:rPr>
          <w:spacing w:val="-7"/>
        </w:rPr>
        <w:t> </w:t>
      </w:r>
      <w:r>
        <w:rPr>
          <w:spacing w:val="-4"/>
        </w:rPr>
        <w:t>financial</w:t>
      </w:r>
      <w:r>
        <w:rPr>
          <w:spacing w:val="-7"/>
        </w:rPr>
        <w:t> </w:t>
      </w:r>
      <w:r>
        <w:rPr>
          <w:spacing w:val="-4"/>
        </w:rPr>
        <w:t>instruments </w:t>
      </w:r>
      <w:r>
        <w:rPr>
          <w:spacing w:val="-2"/>
        </w:rPr>
        <w:t>of</w:t>
      </w:r>
      <w:r>
        <w:rPr>
          <w:spacing w:val="-12"/>
        </w:rPr>
        <w:t> </w:t>
      </w:r>
      <w:r>
        <w:rPr>
          <w:spacing w:val="-2"/>
        </w:rPr>
        <w:t>their</w:t>
      </w:r>
      <w:r>
        <w:rPr>
          <w:spacing w:val="-12"/>
        </w:rPr>
        <w:t> </w:t>
      </w:r>
      <w:r>
        <w:rPr>
          <w:spacing w:val="-2"/>
        </w:rPr>
        <w:t>choice,</w:t>
      </w:r>
      <w:r>
        <w:rPr>
          <w:spacing w:val="-12"/>
        </w:rPr>
        <w:t> </w:t>
      </w:r>
      <w:r>
        <w:rPr>
          <w:spacing w:val="-2"/>
        </w:rPr>
        <w:t>and</w:t>
      </w:r>
      <w:r>
        <w:rPr>
          <w:spacing w:val="-11"/>
        </w:rPr>
        <w:t> </w:t>
      </w:r>
      <w:r>
        <w:rPr>
          <w:spacing w:val="-2"/>
        </w:rPr>
        <w:t>all</w:t>
      </w:r>
      <w:r>
        <w:rPr>
          <w:spacing w:val="-12"/>
        </w:rPr>
        <w:t> </w:t>
      </w:r>
      <w:r>
        <w:rPr>
          <w:spacing w:val="-2"/>
        </w:rPr>
        <w:t>proceeds</w:t>
      </w:r>
      <w:r>
        <w:rPr>
          <w:spacing w:val="-12"/>
        </w:rPr>
        <w:t> </w:t>
      </w:r>
      <w:r>
        <w:rPr>
          <w:spacing w:val="-2"/>
        </w:rPr>
        <w:t>from</w:t>
      </w:r>
      <w:r>
        <w:rPr>
          <w:spacing w:val="-12"/>
        </w:rPr>
        <w:t> </w:t>
      </w:r>
      <w:r>
        <w:rPr>
          <w:spacing w:val="-2"/>
        </w:rPr>
        <w:t>the</w:t>
      </w:r>
      <w:r>
        <w:rPr>
          <w:spacing w:val="-11"/>
        </w:rPr>
        <w:t> </w:t>
      </w:r>
      <w:r>
        <w:rPr>
          <w:spacing w:val="-2"/>
        </w:rPr>
        <w:t>sale</w:t>
      </w:r>
      <w:r>
        <w:rPr>
          <w:spacing w:val="-12"/>
        </w:rPr>
        <w:t> </w:t>
      </w:r>
      <w:r>
        <w:rPr>
          <w:spacing w:val="-2"/>
        </w:rPr>
        <w:t>of</w:t>
      </w:r>
      <w:r>
        <w:rPr>
          <w:spacing w:val="-12"/>
        </w:rPr>
        <w:t> </w:t>
      </w:r>
      <w:r>
        <w:rPr>
          <w:spacing w:val="-2"/>
        </w:rPr>
        <w:t>capital </w:t>
      </w:r>
      <w:r>
        <w:rPr/>
        <w:t>assets</w:t>
      </w:r>
      <w:r>
        <w:rPr>
          <w:spacing w:val="-8"/>
        </w:rPr>
        <w:t> </w:t>
      </w:r>
      <w:r>
        <w:rPr/>
        <w:t>should</w:t>
      </w:r>
      <w:r>
        <w:rPr>
          <w:spacing w:val="-8"/>
        </w:rPr>
        <w:t> </w:t>
      </w:r>
      <w:r>
        <w:rPr/>
        <w:t>be</w:t>
      </w:r>
      <w:r>
        <w:rPr>
          <w:spacing w:val="-8"/>
        </w:rPr>
        <w:t> </w:t>
      </w:r>
      <w:r>
        <w:rPr/>
        <w:t>exempt</w:t>
      </w:r>
      <w:r>
        <w:rPr>
          <w:spacing w:val="-8"/>
        </w:rPr>
        <w:t> </w:t>
      </w:r>
      <w:r>
        <w:rPr/>
        <w:t>from</w:t>
      </w:r>
      <w:r>
        <w:rPr>
          <w:spacing w:val="-8"/>
        </w:rPr>
        <w:t> </w:t>
      </w:r>
      <w:r>
        <w:rPr/>
        <w:t>capital</w:t>
      </w:r>
      <w:r>
        <w:rPr>
          <w:spacing w:val="-8"/>
        </w:rPr>
        <w:t> </w:t>
      </w:r>
      <w:r>
        <w:rPr/>
        <w:t>gains</w:t>
      </w:r>
      <w:r>
        <w:rPr>
          <w:spacing w:val="-8"/>
        </w:rPr>
        <w:t> </w:t>
      </w:r>
      <w:r>
        <w:rPr/>
        <w:t>tax.</w:t>
      </w:r>
      <w:r>
        <w:rPr>
          <w:spacing w:val="-14"/>
        </w:rPr>
        <w:t> </w:t>
      </w:r>
      <w:r>
        <w:rPr/>
        <w:t>These </w:t>
      </w:r>
      <w:r>
        <w:rPr>
          <w:w w:val="90"/>
        </w:rPr>
        <w:t>universities shall have the autonomy to invest in financial </w:t>
      </w:r>
      <w:r>
        <w:rPr>
          <w:spacing w:val="-2"/>
        </w:rPr>
        <w:t>instruments</w:t>
      </w:r>
      <w:r>
        <w:rPr>
          <w:spacing w:val="-8"/>
        </w:rPr>
        <w:t> </w:t>
      </w:r>
      <w:r>
        <w:rPr>
          <w:spacing w:val="-2"/>
        </w:rPr>
        <w:t>of</w:t>
      </w:r>
      <w:r>
        <w:rPr>
          <w:spacing w:val="-8"/>
        </w:rPr>
        <w:t> </w:t>
      </w:r>
      <w:r>
        <w:rPr>
          <w:spacing w:val="-2"/>
        </w:rPr>
        <w:t>their</w:t>
      </w:r>
      <w:r>
        <w:rPr>
          <w:spacing w:val="-8"/>
        </w:rPr>
        <w:t> </w:t>
      </w:r>
      <w:r>
        <w:rPr>
          <w:spacing w:val="-2"/>
        </w:rPr>
        <w:t>choice,</w:t>
      </w:r>
      <w:r>
        <w:rPr>
          <w:spacing w:val="-8"/>
        </w:rPr>
        <w:t> </w:t>
      </w:r>
      <w:r>
        <w:rPr>
          <w:spacing w:val="-2"/>
        </w:rPr>
        <w:t>by</w:t>
      </w:r>
      <w:r>
        <w:rPr>
          <w:spacing w:val="-8"/>
        </w:rPr>
        <w:t> </w:t>
      </w:r>
      <w:r>
        <w:rPr>
          <w:spacing w:val="-2"/>
        </w:rPr>
        <w:t>employing</w:t>
      </w:r>
      <w:r>
        <w:rPr>
          <w:spacing w:val="-8"/>
        </w:rPr>
        <w:t> </w:t>
      </w:r>
      <w:r>
        <w:rPr>
          <w:spacing w:val="-2"/>
        </w:rPr>
        <w:t>private</w:t>
      </w:r>
      <w:r>
        <w:rPr>
          <w:spacing w:val="-8"/>
        </w:rPr>
        <w:t> </w:t>
      </w:r>
      <w:r>
        <w:rPr>
          <w:spacing w:val="-2"/>
        </w:rPr>
        <w:t>fund </w:t>
      </w:r>
      <w:r>
        <w:rPr/>
        <w:t>managers if required. Appropriate mechanisms also need</w:t>
      </w:r>
      <w:r>
        <w:rPr>
          <w:spacing w:val="-10"/>
        </w:rPr>
        <w:t> </w:t>
      </w:r>
      <w:r>
        <w:rPr/>
        <w:t>to</w:t>
      </w:r>
      <w:r>
        <w:rPr>
          <w:spacing w:val="-10"/>
        </w:rPr>
        <w:t> </w:t>
      </w:r>
      <w:r>
        <w:rPr/>
        <w:t>be</w:t>
      </w:r>
      <w:r>
        <w:rPr>
          <w:spacing w:val="-10"/>
        </w:rPr>
        <w:t> </w:t>
      </w:r>
      <w:r>
        <w:rPr/>
        <w:t>put</w:t>
      </w:r>
      <w:r>
        <w:rPr>
          <w:spacing w:val="-10"/>
        </w:rPr>
        <w:t> </w:t>
      </w:r>
      <w:r>
        <w:rPr/>
        <w:t>in</w:t>
      </w:r>
      <w:r>
        <w:rPr>
          <w:spacing w:val="-10"/>
        </w:rPr>
        <w:t> </w:t>
      </w:r>
      <w:r>
        <w:rPr/>
        <w:t>place</w:t>
      </w:r>
      <w:r>
        <w:rPr>
          <w:spacing w:val="-10"/>
        </w:rPr>
        <w:t> </w:t>
      </w:r>
      <w:r>
        <w:rPr/>
        <w:t>for</w:t>
      </w:r>
      <w:r>
        <w:rPr>
          <w:spacing w:val="-10"/>
        </w:rPr>
        <w:t> </w:t>
      </w:r>
      <w:r>
        <w:rPr/>
        <w:t>the</w:t>
      </w:r>
      <w:r>
        <w:rPr>
          <w:spacing w:val="-10"/>
        </w:rPr>
        <w:t> </w:t>
      </w:r>
      <w:r>
        <w:rPr>
          <w:i/>
        </w:rPr>
        <w:t>optimal</w:t>
      </w:r>
      <w:r>
        <w:rPr>
          <w:i/>
          <w:spacing w:val="-10"/>
        </w:rPr>
        <w:t> </w:t>
      </w:r>
      <w:r>
        <w:rPr>
          <w:i/>
        </w:rPr>
        <w:t>management</w:t>
      </w:r>
      <w:r>
        <w:rPr>
          <w:i/>
          <w:spacing w:val="-10"/>
        </w:rPr>
        <w:t> </w:t>
      </w:r>
      <w:r>
        <w:rPr>
          <w:i/>
        </w:rPr>
        <w:t>of </w:t>
      </w:r>
      <w:r>
        <w:rPr>
          <w:i/>
          <w:w w:val="90"/>
        </w:rPr>
        <w:t>physical assets</w:t>
      </w:r>
      <w:r>
        <w:rPr>
          <w:w w:val="90"/>
        </w:rPr>
        <w:t>, like laboratories, libraries, classrooms and </w:t>
      </w:r>
      <w:r>
        <w:rPr>
          <w:spacing w:val="-4"/>
        </w:rPr>
        <w:t>other facilities. Finally, these universities shall have the autonomy</w:t>
      </w:r>
      <w:r>
        <w:rPr>
          <w:spacing w:val="-7"/>
        </w:rPr>
        <w:t> </w:t>
      </w:r>
      <w:r>
        <w:rPr>
          <w:spacing w:val="-4"/>
        </w:rPr>
        <w:t>to</w:t>
      </w:r>
      <w:r>
        <w:rPr>
          <w:spacing w:val="-8"/>
        </w:rPr>
        <w:t> </w:t>
      </w:r>
      <w:r>
        <w:rPr>
          <w:spacing w:val="-4"/>
        </w:rPr>
        <w:t>set</w:t>
      </w:r>
      <w:r>
        <w:rPr>
          <w:spacing w:val="-7"/>
        </w:rPr>
        <w:t> </w:t>
      </w:r>
      <w:r>
        <w:rPr>
          <w:spacing w:val="-4"/>
        </w:rPr>
        <w:t>student</w:t>
      </w:r>
      <w:r>
        <w:rPr>
          <w:spacing w:val="-8"/>
        </w:rPr>
        <w:t> </w:t>
      </w:r>
      <w:r>
        <w:rPr>
          <w:spacing w:val="-4"/>
        </w:rPr>
        <w:t>fee</w:t>
      </w:r>
      <w:r>
        <w:rPr>
          <w:spacing w:val="-7"/>
        </w:rPr>
        <w:t> </w:t>
      </w:r>
      <w:r>
        <w:rPr>
          <w:spacing w:val="-4"/>
        </w:rPr>
        <w:t>levels</w:t>
      </w:r>
      <w:r>
        <w:rPr>
          <w:spacing w:val="-8"/>
        </w:rPr>
        <w:t> </w:t>
      </w:r>
      <w:r>
        <w:rPr>
          <w:spacing w:val="-4"/>
        </w:rPr>
        <w:t>and</w:t>
      </w:r>
      <w:r>
        <w:rPr>
          <w:spacing w:val="-7"/>
        </w:rPr>
        <w:t> </w:t>
      </w:r>
      <w:r>
        <w:rPr>
          <w:spacing w:val="-4"/>
        </w:rPr>
        <w:t>tap</w:t>
      </w:r>
      <w:r>
        <w:rPr>
          <w:spacing w:val="-8"/>
        </w:rPr>
        <w:t> </w:t>
      </w:r>
      <w:r>
        <w:rPr>
          <w:spacing w:val="-4"/>
        </w:rPr>
        <w:t>other</w:t>
      </w:r>
      <w:r>
        <w:rPr>
          <w:spacing w:val="-7"/>
        </w:rPr>
        <w:t> </w:t>
      </w:r>
      <w:r>
        <w:rPr>
          <w:spacing w:val="-4"/>
        </w:rPr>
        <w:t>sources </w:t>
      </w:r>
      <w:r>
        <w:rPr/>
        <w:t>for generating funds such as industry collaborations, </w:t>
      </w:r>
      <w:r>
        <w:rPr>
          <w:spacing w:val="-8"/>
        </w:rPr>
        <w:t>overseas</w:t>
      </w:r>
      <w:r>
        <w:rPr/>
        <w:t> </w:t>
      </w:r>
      <w:r>
        <w:rPr>
          <w:spacing w:val="-8"/>
        </w:rPr>
        <w:t>operations,</w:t>
      </w:r>
      <w:r>
        <w:rPr/>
        <w:t> </w:t>
      </w:r>
      <w:r>
        <w:rPr>
          <w:spacing w:val="-8"/>
        </w:rPr>
        <w:t>as</w:t>
      </w:r>
      <w:r>
        <w:rPr/>
        <w:t> </w:t>
      </w:r>
      <w:r>
        <w:rPr>
          <w:spacing w:val="-8"/>
        </w:rPr>
        <w:t>also</w:t>
      </w:r>
      <w:r>
        <w:rPr/>
        <w:t> </w:t>
      </w:r>
      <w:r>
        <w:rPr>
          <w:spacing w:val="-8"/>
        </w:rPr>
        <w:t>commercial</w:t>
      </w:r>
      <w:r>
        <w:rPr/>
        <w:t> </w:t>
      </w:r>
      <w:r>
        <w:rPr>
          <w:spacing w:val="-8"/>
        </w:rPr>
        <w:t>use</w:t>
      </w:r>
      <w:r>
        <w:rPr/>
        <w:t> </w:t>
      </w:r>
      <w:r>
        <w:rPr>
          <w:spacing w:val="-8"/>
        </w:rPr>
        <w:t>of</w:t>
      </w:r>
      <w:r>
        <w:rPr/>
        <w:t> </w:t>
      </w:r>
      <w:r>
        <w:rPr>
          <w:spacing w:val="-8"/>
        </w:rPr>
        <w:t>university </w:t>
      </w:r>
      <w:r>
        <w:rPr/>
        <w:t>facilities and alumni networks.</w:t>
      </w:r>
    </w:p>
    <w:p>
      <w:pPr>
        <w:pStyle w:val="BodyText"/>
        <w:spacing w:before="4"/>
      </w:pPr>
    </w:p>
    <w:p>
      <w:pPr>
        <w:pStyle w:val="BodyText"/>
        <w:spacing w:line="266" w:lineRule="auto"/>
        <w:ind w:left="1080"/>
        <w:jc w:val="both"/>
      </w:pPr>
      <w:r>
        <w:rPr/>
        <w:t>The National Universities we propose shall </w:t>
      </w:r>
      <w:r>
        <w:rPr/>
        <w:t>admit students on an all-India basis. They shall adopt the principle</w:t>
      </w:r>
      <w:r>
        <w:rPr>
          <w:spacing w:val="-13"/>
        </w:rPr>
        <w:t> </w:t>
      </w:r>
      <w:r>
        <w:rPr/>
        <w:t>of</w:t>
      </w:r>
      <w:r>
        <w:rPr>
          <w:spacing w:val="-13"/>
        </w:rPr>
        <w:t> </w:t>
      </w:r>
      <w:r>
        <w:rPr>
          <w:i/>
        </w:rPr>
        <w:t>needs-blind</w:t>
      </w:r>
      <w:r>
        <w:rPr>
          <w:i/>
          <w:spacing w:val="-13"/>
        </w:rPr>
        <w:t> </w:t>
      </w:r>
      <w:r>
        <w:rPr>
          <w:i/>
        </w:rPr>
        <w:t>admissions</w:t>
      </w:r>
      <w:r>
        <w:rPr/>
        <w:t>,</w:t>
      </w:r>
      <w:r>
        <w:rPr>
          <w:spacing w:val="-13"/>
        </w:rPr>
        <w:t> </w:t>
      </w:r>
      <w:r>
        <w:rPr/>
        <w:t>thereby</w:t>
      </w:r>
      <w:r>
        <w:rPr>
          <w:spacing w:val="-13"/>
        </w:rPr>
        <w:t> </w:t>
      </w:r>
      <w:r>
        <w:rPr/>
        <w:t>ensuring that</w:t>
      </w:r>
      <w:r>
        <w:rPr>
          <w:spacing w:val="-1"/>
        </w:rPr>
        <w:t> </w:t>
      </w:r>
      <w:r>
        <w:rPr/>
        <w:t>an</w:t>
      </w:r>
      <w:r>
        <w:rPr>
          <w:spacing w:val="-1"/>
        </w:rPr>
        <w:t> </w:t>
      </w:r>
      <w:r>
        <w:rPr/>
        <w:t>applicant’s</w:t>
      </w:r>
      <w:r>
        <w:rPr>
          <w:spacing w:val="-1"/>
        </w:rPr>
        <w:t> </w:t>
      </w:r>
      <w:r>
        <w:rPr/>
        <w:t>ability</w:t>
      </w:r>
      <w:r>
        <w:rPr>
          <w:spacing w:val="-1"/>
        </w:rPr>
        <w:t> </w:t>
      </w:r>
      <w:r>
        <w:rPr/>
        <w:t>or</w:t>
      </w:r>
      <w:r>
        <w:rPr>
          <w:spacing w:val="-1"/>
        </w:rPr>
        <w:t> </w:t>
      </w:r>
      <w:r>
        <w:rPr/>
        <w:t>inability</w:t>
      </w:r>
      <w:r>
        <w:rPr>
          <w:spacing w:val="-1"/>
        </w:rPr>
        <w:t> </w:t>
      </w:r>
      <w:r>
        <w:rPr/>
        <w:t>to</w:t>
      </w:r>
      <w:r>
        <w:rPr>
          <w:spacing w:val="-1"/>
        </w:rPr>
        <w:t> </w:t>
      </w:r>
      <w:r>
        <w:rPr/>
        <w:t>pay</w:t>
      </w:r>
      <w:r>
        <w:rPr>
          <w:spacing w:val="-1"/>
        </w:rPr>
        <w:t> </w:t>
      </w:r>
      <w:r>
        <w:rPr/>
        <w:t>shall</w:t>
      </w:r>
      <w:r>
        <w:rPr>
          <w:spacing w:val="-1"/>
        </w:rPr>
        <w:t> </w:t>
      </w:r>
      <w:r>
        <w:rPr/>
        <w:t>not </w:t>
      </w:r>
      <w:r>
        <w:rPr>
          <w:spacing w:val="-2"/>
        </w:rPr>
        <w:t>influence</w:t>
      </w:r>
      <w:r>
        <w:rPr>
          <w:spacing w:val="-12"/>
        </w:rPr>
        <w:t> </w:t>
      </w:r>
      <w:r>
        <w:rPr>
          <w:spacing w:val="-2"/>
        </w:rPr>
        <w:t>the</w:t>
      </w:r>
      <w:r>
        <w:rPr>
          <w:spacing w:val="-11"/>
        </w:rPr>
        <w:t> </w:t>
      </w:r>
      <w:r>
        <w:rPr>
          <w:spacing w:val="-2"/>
        </w:rPr>
        <w:t>admission</w:t>
      </w:r>
      <w:r>
        <w:rPr>
          <w:spacing w:val="-12"/>
        </w:rPr>
        <w:t> </w:t>
      </w:r>
      <w:r>
        <w:rPr>
          <w:spacing w:val="-2"/>
        </w:rPr>
        <w:t>decision</w:t>
      </w:r>
      <w:r>
        <w:rPr>
          <w:spacing w:val="-11"/>
        </w:rPr>
        <w:t> </w:t>
      </w:r>
      <w:r>
        <w:rPr>
          <w:spacing w:val="-2"/>
        </w:rPr>
        <w:t>made</w:t>
      </w:r>
      <w:r>
        <w:rPr>
          <w:spacing w:val="-12"/>
        </w:rPr>
        <w:t> </w:t>
      </w:r>
      <w:r>
        <w:rPr>
          <w:spacing w:val="-2"/>
        </w:rPr>
        <w:t>by</w:t>
      </w:r>
      <w:r>
        <w:rPr>
          <w:spacing w:val="-11"/>
        </w:rPr>
        <w:t> </w:t>
      </w:r>
      <w:r>
        <w:rPr>
          <w:spacing w:val="-2"/>
        </w:rPr>
        <w:t>a</w:t>
      </w:r>
      <w:r>
        <w:rPr>
          <w:spacing w:val="-12"/>
        </w:rPr>
        <w:t> </w:t>
      </w:r>
      <w:r>
        <w:rPr>
          <w:spacing w:val="-2"/>
        </w:rPr>
        <w:t>university. </w:t>
      </w:r>
      <w:r>
        <w:rPr>
          <w:spacing w:val="-6"/>
        </w:rPr>
        <w:t>Further, once admitted, the university should ensure that </w:t>
      </w:r>
      <w:r>
        <w:rPr/>
        <w:t>no</w:t>
      </w:r>
      <w:r>
        <w:rPr>
          <w:spacing w:val="-7"/>
        </w:rPr>
        <w:t> </w:t>
      </w:r>
      <w:r>
        <w:rPr/>
        <w:t>student</w:t>
      </w:r>
      <w:r>
        <w:rPr>
          <w:spacing w:val="-6"/>
        </w:rPr>
        <w:t> </w:t>
      </w:r>
      <w:r>
        <w:rPr/>
        <w:t>has</w:t>
      </w:r>
      <w:r>
        <w:rPr>
          <w:spacing w:val="-7"/>
        </w:rPr>
        <w:t> </w:t>
      </w:r>
      <w:r>
        <w:rPr/>
        <w:t>to</w:t>
      </w:r>
      <w:r>
        <w:rPr>
          <w:spacing w:val="-7"/>
        </w:rPr>
        <w:t> </w:t>
      </w:r>
      <w:r>
        <w:rPr/>
        <w:t>forego</w:t>
      </w:r>
      <w:r>
        <w:rPr>
          <w:spacing w:val="-6"/>
        </w:rPr>
        <w:t> </w:t>
      </w:r>
      <w:r>
        <w:rPr/>
        <w:t>his/her</w:t>
      </w:r>
      <w:r>
        <w:rPr>
          <w:spacing w:val="-7"/>
        </w:rPr>
        <w:t> </w:t>
      </w:r>
      <w:r>
        <w:rPr/>
        <w:t>place</w:t>
      </w:r>
      <w:r>
        <w:rPr>
          <w:spacing w:val="-7"/>
        </w:rPr>
        <w:t> </w:t>
      </w:r>
      <w:r>
        <w:rPr/>
        <w:t>due</w:t>
      </w:r>
      <w:r>
        <w:rPr>
          <w:spacing w:val="-7"/>
        </w:rPr>
        <w:t> </w:t>
      </w:r>
      <w:r>
        <w:rPr/>
        <w:t>to</w:t>
      </w:r>
      <w:r>
        <w:rPr>
          <w:spacing w:val="-6"/>
        </w:rPr>
        <w:t> </w:t>
      </w:r>
      <w:r>
        <w:rPr/>
        <w:t>financial constraints. This will require a host of scholarships, freeships, bursaries and awards for economically disadvantaged</w:t>
      </w:r>
      <w:r>
        <w:rPr>
          <w:spacing w:val="-7"/>
        </w:rPr>
        <w:t> </w:t>
      </w:r>
      <w:r>
        <w:rPr/>
        <w:t>students.</w:t>
      </w:r>
      <w:r>
        <w:rPr>
          <w:spacing w:val="-7"/>
        </w:rPr>
        <w:t> </w:t>
      </w:r>
      <w:r>
        <w:rPr/>
        <w:t>At</w:t>
      </w:r>
      <w:r>
        <w:rPr>
          <w:spacing w:val="-7"/>
        </w:rPr>
        <w:t> </w:t>
      </w:r>
      <w:r>
        <w:rPr/>
        <w:t>the</w:t>
      </w:r>
      <w:r>
        <w:rPr>
          <w:spacing w:val="-7"/>
        </w:rPr>
        <w:t> </w:t>
      </w:r>
      <w:r>
        <w:rPr/>
        <w:t>undergraduate</w:t>
      </w:r>
      <w:r>
        <w:rPr>
          <w:spacing w:val="-7"/>
        </w:rPr>
        <w:t> </w:t>
      </w:r>
      <w:r>
        <w:rPr/>
        <w:t>level,</w:t>
      </w:r>
      <w:r>
        <w:rPr>
          <w:spacing w:val="-7"/>
        </w:rPr>
        <w:t> </w:t>
      </w:r>
      <w:r>
        <w:rPr/>
        <w:t>a nationwide test that objectively measures the verbal, </w:t>
      </w:r>
      <w:r>
        <w:rPr>
          <w:spacing w:val="-6"/>
        </w:rPr>
        <w:t>quantitative and analytical abilities of applicants shall be </w:t>
      </w:r>
      <w:r>
        <w:rPr>
          <w:w w:val="90"/>
        </w:rPr>
        <w:t>administered by an independent testing body. Admissions </w:t>
      </w:r>
      <w:r>
        <w:rPr/>
        <w:t>shall be based on a combination of Class XII results, scores</w:t>
      </w:r>
      <w:r>
        <w:rPr>
          <w:spacing w:val="2"/>
        </w:rPr>
        <w:t> </w:t>
      </w:r>
      <w:r>
        <w:rPr/>
        <w:t>from</w:t>
      </w:r>
      <w:r>
        <w:rPr>
          <w:spacing w:val="3"/>
        </w:rPr>
        <w:t> </w:t>
      </w:r>
      <w:r>
        <w:rPr/>
        <w:t>the</w:t>
      </w:r>
      <w:r>
        <w:rPr>
          <w:spacing w:val="2"/>
        </w:rPr>
        <w:t> </w:t>
      </w:r>
      <w:r>
        <w:rPr/>
        <w:t>nationwide</w:t>
      </w:r>
      <w:r>
        <w:rPr>
          <w:spacing w:val="3"/>
        </w:rPr>
        <w:t> </w:t>
      </w:r>
      <w:r>
        <w:rPr/>
        <w:t>test,</w:t>
      </w:r>
      <w:r>
        <w:rPr>
          <w:spacing w:val="2"/>
        </w:rPr>
        <w:t> </w:t>
      </w:r>
      <w:r>
        <w:rPr/>
        <w:t>application</w:t>
      </w:r>
      <w:r>
        <w:rPr>
          <w:spacing w:val="3"/>
        </w:rPr>
        <w:t> </w:t>
      </w:r>
      <w:r>
        <w:rPr>
          <w:spacing w:val="-5"/>
        </w:rPr>
        <w:t>materials</w:t>
      </w:r>
    </w:p>
    <w:p>
      <w:pPr>
        <w:pStyle w:val="BodyText"/>
        <w:spacing w:line="266" w:lineRule="auto" w:before="57"/>
        <w:ind w:left="319" w:right="1077"/>
        <w:jc w:val="both"/>
      </w:pPr>
      <w:r>
        <w:rPr/>
        <w:br w:type="column"/>
      </w:r>
      <w:r>
        <w:rPr>
          <w:spacing w:val="-4"/>
        </w:rPr>
        <w:t>including written work and personal statements, as also </w:t>
      </w:r>
      <w:r>
        <w:rPr>
          <w:spacing w:val="-2"/>
        </w:rPr>
        <w:t>interviews.</w:t>
      </w:r>
      <w:r>
        <w:rPr>
          <w:spacing w:val="-6"/>
        </w:rPr>
        <w:t> </w:t>
      </w:r>
      <w:r>
        <w:rPr>
          <w:spacing w:val="-2"/>
        </w:rPr>
        <w:t>At</w:t>
      </w:r>
      <w:r>
        <w:rPr>
          <w:spacing w:val="-6"/>
        </w:rPr>
        <w:t> </w:t>
      </w:r>
      <w:r>
        <w:rPr>
          <w:spacing w:val="-2"/>
        </w:rPr>
        <w:t>the</w:t>
      </w:r>
      <w:r>
        <w:rPr>
          <w:spacing w:val="-6"/>
        </w:rPr>
        <w:t> </w:t>
      </w:r>
      <w:r>
        <w:rPr>
          <w:spacing w:val="-2"/>
        </w:rPr>
        <w:t>postgraduate</w:t>
      </w:r>
      <w:r>
        <w:rPr>
          <w:spacing w:val="-6"/>
        </w:rPr>
        <w:t> </w:t>
      </w:r>
      <w:r>
        <w:rPr>
          <w:spacing w:val="-2"/>
        </w:rPr>
        <w:t>level,</w:t>
      </w:r>
      <w:r>
        <w:rPr>
          <w:spacing w:val="-6"/>
        </w:rPr>
        <w:t> </w:t>
      </w:r>
      <w:r>
        <w:rPr>
          <w:spacing w:val="-2"/>
        </w:rPr>
        <w:t>admissions</w:t>
      </w:r>
      <w:r>
        <w:rPr>
          <w:spacing w:val="-6"/>
        </w:rPr>
        <w:t> </w:t>
      </w:r>
      <w:r>
        <w:rPr>
          <w:spacing w:val="-2"/>
        </w:rPr>
        <w:t>shall be</w:t>
      </w:r>
      <w:r>
        <w:rPr>
          <w:spacing w:val="-8"/>
        </w:rPr>
        <w:t> </w:t>
      </w:r>
      <w:r>
        <w:rPr>
          <w:spacing w:val="-2"/>
        </w:rPr>
        <w:t>based</w:t>
      </w:r>
      <w:r>
        <w:rPr>
          <w:spacing w:val="-8"/>
        </w:rPr>
        <w:t> </w:t>
      </w:r>
      <w:r>
        <w:rPr>
          <w:spacing w:val="-2"/>
        </w:rPr>
        <w:t>on</w:t>
      </w:r>
      <w:r>
        <w:rPr>
          <w:spacing w:val="-8"/>
        </w:rPr>
        <w:t> </w:t>
      </w:r>
      <w:r>
        <w:rPr>
          <w:spacing w:val="-2"/>
        </w:rPr>
        <w:t>a</w:t>
      </w:r>
      <w:r>
        <w:rPr>
          <w:spacing w:val="-8"/>
        </w:rPr>
        <w:t> </w:t>
      </w:r>
      <w:r>
        <w:rPr>
          <w:spacing w:val="-2"/>
        </w:rPr>
        <w:t>combination</w:t>
      </w:r>
      <w:r>
        <w:rPr>
          <w:spacing w:val="-8"/>
        </w:rPr>
        <w:t> </w:t>
      </w:r>
      <w:r>
        <w:rPr>
          <w:spacing w:val="-2"/>
        </w:rPr>
        <w:t>of</w:t>
      </w:r>
      <w:r>
        <w:rPr>
          <w:spacing w:val="-8"/>
        </w:rPr>
        <w:t> </w:t>
      </w:r>
      <w:r>
        <w:rPr>
          <w:spacing w:val="-2"/>
        </w:rPr>
        <w:t>the</w:t>
      </w:r>
      <w:r>
        <w:rPr>
          <w:spacing w:val="-8"/>
        </w:rPr>
        <w:t> </w:t>
      </w:r>
      <w:r>
        <w:rPr>
          <w:spacing w:val="-2"/>
        </w:rPr>
        <w:t>applicant’s</w:t>
      </w:r>
      <w:r>
        <w:rPr>
          <w:spacing w:val="-8"/>
        </w:rPr>
        <w:t> </w:t>
      </w:r>
      <w:r>
        <w:rPr>
          <w:spacing w:val="-2"/>
        </w:rPr>
        <w:t>academic record,</w:t>
      </w:r>
      <w:r>
        <w:rPr>
          <w:spacing w:val="-8"/>
        </w:rPr>
        <w:t> </w:t>
      </w:r>
      <w:r>
        <w:rPr>
          <w:spacing w:val="-2"/>
        </w:rPr>
        <w:t>application</w:t>
      </w:r>
      <w:r>
        <w:rPr>
          <w:spacing w:val="-8"/>
        </w:rPr>
        <w:t> </w:t>
      </w:r>
      <w:r>
        <w:rPr>
          <w:spacing w:val="-2"/>
        </w:rPr>
        <w:t>materials,</w:t>
      </w:r>
      <w:r>
        <w:rPr>
          <w:spacing w:val="-8"/>
        </w:rPr>
        <w:t> </w:t>
      </w:r>
      <w:r>
        <w:rPr>
          <w:spacing w:val="-2"/>
        </w:rPr>
        <w:t>interviews</w:t>
      </w:r>
      <w:r>
        <w:rPr>
          <w:spacing w:val="-8"/>
        </w:rPr>
        <w:t> </w:t>
      </w:r>
      <w:r>
        <w:rPr>
          <w:spacing w:val="-2"/>
        </w:rPr>
        <w:t>and</w:t>
      </w:r>
      <w:r>
        <w:rPr>
          <w:spacing w:val="-8"/>
        </w:rPr>
        <w:t> </w:t>
      </w:r>
      <w:r>
        <w:rPr>
          <w:spacing w:val="-2"/>
        </w:rPr>
        <w:t>academic </w:t>
      </w:r>
      <w:r>
        <w:rPr>
          <w:spacing w:val="-4"/>
        </w:rPr>
        <w:t>or professional references that indicate his/ her aptitude </w:t>
      </w:r>
      <w:r>
        <w:rPr/>
        <w:t>for further studies in the relevant discipline.</w:t>
      </w:r>
    </w:p>
    <w:p>
      <w:pPr>
        <w:pStyle w:val="BodyText"/>
        <w:spacing w:before="22"/>
      </w:pPr>
    </w:p>
    <w:p>
      <w:pPr>
        <w:pStyle w:val="BodyText"/>
        <w:spacing w:line="266" w:lineRule="auto"/>
        <w:ind w:left="319" w:right="1077"/>
        <w:jc w:val="both"/>
      </w:pPr>
      <w:r>
        <w:rPr/>
        <w:t>Undergraduate degrees in the National </w:t>
      </w:r>
      <w:r>
        <w:rPr/>
        <w:t>Universities shall</w:t>
      </w:r>
      <w:r>
        <w:rPr>
          <w:spacing w:val="-11"/>
        </w:rPr>
        <w:t> </w:t>
      </w:r>
      <w:r>
        <w:rPr/>
        <w:t>have</w:t>
      </w:r>
      <w:r>
        <w:rPr>
          <w:spacing w:val="-11"/>
        </w:rPr>
        <w:t> </w:t>
      </w:r>
      <w:r>
        <w:rPr/>
        <w:t>a</w:t>
      </w:r>
      <w:r>
        <w:rPr>
          <w:spacing w:val="-11"/>
        </w:rPr>
        <w:t> </w:t>
      </w:r>
      <w:r>
        <w:rPr/>
        <w:t>duration</w:t>
      </w:r>
      <w:r>
        <w:rPr>
          <w:spacing w:val="-11"/>
        </w:rPr>
        <w:t> </w:t>
      </w:r>
      <w:r>
        <w:rPr/>
        <w:t>of</w:t>
      </w:r>
      <w:r>
        <w:rPr>
          <w:spacing w:val="-11"/>
        </w:rPr>
        <w:t> </w:t>
      </w:r>
      <w:r>
        <w:rPr/>
        <w:t>three</w:t>
      </w:r>
      <w:r>
        <w:rPr>
          <w:spacing w:val="-11"/>
        </w:rPr>
        <w:t> </w:t>
      </w:r>
      <w:r>
        <w:rPr/>
        <w:t>years</w:t>
      </w:r>
      <w:r>
        <w:rPr>
          <w:spacing w:val="-11"/>
        </w:rPr>
        <w:t> </w:t>
      </w:r>
      <w:r>
        <w:rPr/>
        <w:t>so</w:t>
      </w:r>
      <w:r>
        <w:rPr>
          <w:spacing w:val="-11"/>
        </w:rPr>
        <w:t> </w:t>
      </w:r>
      <w:r>
        <w:rPr/>
        <w:t>that</w:t>
      </w:r>
      <w:r>
        <w:rPr>
          <w:spacing w:val="-11"/>
        </w:rPr>
        <w:t> </w:t>
      </w:r>
      <w:r>
        <w:rPr/>
        <w:t>these</w:t>
      </w:r>
      <w:r>
        <w:rPr>
          <w:spacing w:val="-11"/>
        </w:rPr>
        <w:t> </w:t>
      </w:r>
      <w:r>
        <w:rPr/>
        <w:t>are</w:t>
      </w:r>
      <w:r>
        <w:rPr>
          <w:spacing w:val="-11"/>
        </w:rPr>
        <w:t> </w:t>
      </w:r>
      <w:r>
        <w:rPr/>
        <w:t>in </w:t>
      </w:r>
      <w:r>
        <w:rPr>
          <w:spacing w:val="-2"/>
        </w:rPr>
        <w:t>conformity</w:t>
      </w:r>
      <w:r>
        <w:rPr>
          <w:spacing w:val="-9"/>
        </w:rPr>
        <w:t> </w:t>
      </w:r>
      <w:r>
        <w:rPr>
          <w:spacing w:val="-2"/>
        </w:rPr>
        <w:t>with</w:t>
      </w:r>
      <w:r>
        <w:rPr>
          <w:spacing w:val="-9"/>
        </w:rPr>
        <w:t> </w:t>
      </w:r>
      <w:r>
        <w:rPr>
          <w:spacing w:val="-2"/>
        </w:rPr>
        <w:t>the</w:t>
      </w:r>
      <w:r>
        <w:rPr>
          <w:spacing w:val="-9"/>
        </w:rPr>
        <w:t> </w:t>
      </w:r>
      <w:r>
        <w:rPr>
          <w:spacing w:val="-2"/>
        </w:rPr>
        <w:t>duration</w:t>
      </w:r>
      <w:r>
        <w:rPr>
          <w:spacing w:val="-9"/>
        </w:rPr>
        <w:t> </w:t>
      </w:r>
      <w:r>
        <w:rPr>
          <w:spacing w:val="-2"/>
        </w:rPr>
        <w:t>of</w:t>
      </w:r>
      <w:r>
        <w:rPr>
          <w:spacing w:val="-9"/>
        </w:rPr>
        <w:t> </w:t>
      </w:r>
      <w:r>
        <w:rPr>
          <w:spacing w:val="-2"/>
        </w:rPr>
        <w:t>undergraduate</w:t>
      </w:r>
      <w:r>
        <w:rPr>
          <w:spacing w:val="-9"/>
        </w:rPr>
        <w:t> </w:t>
      </w:r>
      <w:r>
        <w:rPr>
          <w:spacing w:val="-2"/>
        </w:rPr>
        <w:t>courses elsewhere</w:t>
      </w:r>
      <w:r>
        <w:rPr>
          <w:spacing w:val="-10"/>
        </w:rPr>
        <w:t> </w:t>
      </w:r>
      <w:r>
        <w:rPr>
          <w:spacing w:val="-2"/>
        </w:rPr>
        <w:t>in</w:t>
      </w:r>
      <w:r>
        <w:rPr>
          <w:spacing w:val="-10"/>
        </w:rPr>
        <w:t> </w:t>
      </w:r>
      <w:r>
        <w:rPr>
          <w:spacing w:val="-2"/>
        </w:rPr>
        <w:t>India.</w:t>
      </w:r>
      <w:r>
        <w:rPr>
          <w:spacing w:val="-10"/>
        </w:rPr>
        <w:t> </w:t>
      </w:r>
      <w:r>
        <w:rPr>
          <w:spacing w:val="-2"/>
        </w:rPr>
        <w:t>In</w:t>
      </w:r>
      <w:r>
        <w:rPr>
          <w:spacing w:val="-10"/>
        </w:rPr>
        <w:t> </w:t>
      </w:r>
      <w:r>
        <w:rPr>
          <w:spacing w:val="-2"/>
        </w:rPr>
        <w:t>the</w:t>
      </w:r>
      <w:r>
        <w:rPr>
          <w:spacing w:val="-10"/>
        </w:rPr>
        <w:t> </w:t>
      </w:r>
      <w:r>
        <w:rPr>
          <w:spacing w:val="-2"/>
        </w:rPr>
        <w:t>first</w:t>
      </w:r>
      <w:r>
        <w:rPr>
          <w:spacing w:val="-10"/>
        </w:rPr>
        <w:t> </w:t>
      </w:r>
      <w:r>
        <w:rPr>
          <w:spacing w:val="-2"/>
        </w:rPr>
        <w:t>year,</w:t>
      </w:r>
      <w:r>
        <w:rPr>
          <w:spacing w:val="-10"/>
        </w:rPr>
        <w:t> </w:t>
      </w:r>
      <w:r>
        <w:rPr>
          <w:spacing w:val="-2"/>
        </w:rPr>
        <w:t>students</w:t>
      </w:r>
      <w:r>
        <w:rPr>
          <w:spacing w:val="-10"/>
        </w:rPr>
        <w:t> </w:t>
      </w:r>
      <w:r>
        <w:rPr>
          <w:spacing w:val="-2"/>
        </w:rPr>
        <w:t>shall</w:t>
      </w:r>
      <w:r>
        <w:rPr>
          <w:spacing w:val="-10"/>
        </w:rPr>
        <w:t> </w:t>
      </w:r>
      <w:r>
        <w:rPr>
          <w:spacing w:val="-2"/>
        </w:rPr>
        <w:t>have </w:t>
      </w:r>
      <w:r>
        <w:rPr/>
        <w:t>the opportunity to study foundation, analytical and </w:t>
      </w:r>
      <w:r>
        <w:rPr>
          <w:spacing w:val="-4"/>
        </w:rPr>
        <w:t>tools</w:t>
      </w:r>
      <w:r>
        <w:rPr>
          <w:spacing w:val="-12"/>
        </w:rPr>
        <w:t> </w:t>
      </w:r>
      <w:r>
        <w:rPr>
          <w:spacing w:val="-4"/>
        </w:rPr>
        <w:t>courses</w:t>
      </w:r>
      <w:r>
        <w:rPr>
          <w:spacing w:val="-10"/>
        </w:rPr>
        <w:t> </w:t>
      </w:r>
      <w:r>
        <w:rPr>
          <w:spacing w:val="-4"/>
        </w:rPr>
        <w:t>before</w:t>
      </w:r>
      <w:r>
        <w:rPr>
          <w:spacing w:val="-10"/>
        </w:rPr>
        <w:t> </w:t>
      </w:r>
      <w:r>
        <w:rPr>
          <w:spacing w:val="-4"/>
        </w:rPr>
        <w:t>choosing</w:t>
      </w:r>
      <w:r>
        <w:rPr>
          <w:spacing w:val="-9"/>
        </w:rPr>
        <w:t> </w:t>
      </w:r>
      <w:r>
        <w:rPr>
          <w:spacing w:val="-4"/>
        </w:rPr>
        <w:t>a</w:t>
      </w:r>
      <w:r>
        <w:rPr>
          <w:spacing w:val="-10"/>
        </w:rPr>
        <w:t> </w:t>
      </w:r>
      <w:r>
        <w:rPr>
          <w:spacing w:val="-4"/>
        </w:rPr>
        <w:t>specific</w:t>
      </w:r>
      <w:r>
        <w:rPr>
          <w:spacing w:val="-10"/>
        </w:rPr>
        <w:t> </w:t>
      </w:r>
      <w:r>
        <w:rPr>
          <w:spacing w:val="-4"/>
        </w:rPr>
        <w:t>discipline</w:t>
      </w:r>
      <w:r>
        <w:rPr>
          <w:spacing w:val="-10"/>
        </w:rPr>
        <w:t> </w:t>
      </w:r>
      <w:r>
        <w:rPr>
          <w:spacing w:val="-4"/>
        </w:rPr>
        <w:t>in</w:t>
      </w:r>
      <w:r>
        <w:rPr>
          <w:spacing w:val="-9"/>
        </w:rPr>
        <w:t> </w:t>
      </w:r>
      <w:r>
        <w:rPr>
          <w:spacing w:val="-4"/>
        </w:rPr>
        <w:t>the </w:t>
      </w:r>
      <w:r>
        <w:rPr>
          <w:spacing w:val="-2"/>
        </w:rPr>
        <w:t>second</w:t>
      </w:r>
      <w:r>
        <w:rPr>
          <w:spacing w:val="-12"/>
        </w:rPr>
        <w:t> </w:t>
      </w:r>
      <w:r>
        <w:rPr>
          <w:spacing w:val="-2"/>
        </w:rPr>
        <w:t>year.</w:t>
      </w:r>
      <w:r>
        <w:rPr>
          <w:spacing w:val="-12"/>
        </w:rPr>
        <w:t> </w:t>
      </w:r>
      <w:r>
        <w:rPr>
          <w:spacing w:val="-2"/>
        </w:rPr>
        <w:t>They</w:t>
      </w:r>
      <w:r>
        <w:rPr>
          <w:spacing w:val="-12"/>
        </w:rPr>
        <w:t> </w:t>
      </w:r>
      <w:r>
        <w:rPr>
          <w:spacing w:val="-2"/>
        </w:rPr>
        <w:t>shall</w:t>
      </w:r>
      <w:r>
        <w:rPr>
          <w:spacing w:val="-11"/>
        </w:rPr>
        <w:t> </w:t>
      </w:r>
      <w:r>
        <w:rPr>
          <w:spacing w:val="-2"/>
        </w:rPr>
        <w:t>also</w:t>
      </w:r>
      <w:r>
        <w:rPr>
          <w:spacing w:val="-12"/>
        </w:rPr>
        <w:t> </w:t>
      </w:r>
      <w:r>
        <w:rPr>
          <w:spacing w:val="-2"/>
        </w:rPr>
        <w:t>have</w:t>
      </w:r>
      <w:r>
        <w:rPr>
          <w:spacing w:val="-11"/>
        </w:rPr>
        <w:t> </w:t>
      </w:r>
      <w:r>
        <w:rPr>
          <w:spacing w:val="-2"/>
        </w:rPr>
        <w:t>the</w:t>
      </w:r>
      <w:r>
        <w:rPr>
          <w:spacing w:val="-11"/>
        </w:rPr>
        <w:t> </w:t>
      </w:r>
      <w:r>
        <w:rPr>
          <w:spacing w:val="-2"/>
        </w:rPr>
        <w:t>option,</w:t>
      </w:r>
      <w:r>
        <w:rPr>
          <w:spacing w:val="-11"/>
        </w:rPr>
        <w:t> </w:t>
      </w:r>
      <w:r>
        <w:rPr>
          <w:spacing w:val="-2"/>
        </w:rPr>
        <w:t>at</w:t>
      </w:r>
      <w:r>
        <w:rPr>
          <w:spacing w:val="-11"/>
        </w:rPr>
        <w:t> </w:t>
      </w:r>
      <w:r>
        <w:rPr>
          <w:spacing w:val="-2"/>
        </w:rPr>
        <w:t>the</w:t>
      </w:r>
      <w:r>
        <w:rPr>
          <w:spacing w:val="-11"/>
        </w:rPr>
        <w:t> </w:t>
      </w:r>
      <w:r>
        <w:rPr>
          <w:spacing w:val="-2"/>
        </w:rPr>
        <w:t>end </w:t>
      </w:r>
      <w:r>
        <w:rPr>
          <w:spacing w:val="-6"/>
        </w:rPr>
        <w:t>of the second year, of completing an integrated five-year </w:t>
      </w:r>
      <w:r>
        <w:rPr>
          <w:spacing w:val="-4"/>
        </w:rPr>
        <w:t>master’s</w:t>
      </w:r>
      <w:r>
        <w:rPr>
          <w:spacing w:val="-12"/>
        </w:rPr>
        <w:t> </w:t>
      </w:r>
      <w:r>
        <w:rPr>
          <w:spacing w:val="-4"/>
        </w:rPr>
        <w:t>degree.</w:t>
      </w:r>
      <w:r>
        <w:rPr>
          <w:spacing w:val="-10"/>
        </w:rPr>
        <w:t> </w:t>
      </w:r>
      <w:r>
        <w:rPr>
          <w:spacing w:val="-4"/>
        </w:rPr>
        <w:t>Degrees</w:t>
      </w:r>
      <w:r>
        <w:rPr>
          <w:spacing w:val="-10"/>
        </w:rPr>
        <w:t> </w:t>
      </w:r>
      <w:r>
        <w:rPr>
          <w:spacing w:val="-4"/>
        </w:rPr>
        <w:t>should</w:t>
      </w:r>
      <w:r>
        <w:rPr>
          <w:spacing w:val="-9"/>
        </w:rPr>
        <w:t> </w:t>
      </w:r>
      <w:r>
        <w:rPr>
          <w:spacing w:val="-4"/>
        </w:rPr>
        <w:t>be</w:t>
      </w:r>
      <w:r>
        <w:rPr>
          <w:spacing w:val="-10"/>
        </w:rPr>
        <w:t> </w:t>
      </w:r>
      <w:r>
        <w:rPr>
          <w:spacing w:val="-4"/>
        </w:rPr>
        <w:t>granted</w:t>
      </w:r>
      <w:r>
        <w:rPr>
          <w:spacing w:val="-10"/>
        </w:rPr>
        <w:t> </w:t>
      </w:r>
      <w:r>
        <w:rPr>
          <w:spacing w:val="-4"/>
        </w:rPr>
        <w:t>on</w:t>
      </w:r>
      <w:r>
        <w:rPr>
          <w:spacing w:val="-10"/>
        </w:rPr>
        <w:t> </w:t>
      </w:r>
      <w:r>
        <w:rPr>
          <w:spacing w:val="-4"/>
        </w:rPr>
        <w:t>the</w:t>
      </w:r>
      <w:r>
        <w:rPr>
          <w:spacing w:val="-9"/>
        </w:rPr>
        <w:t> </w:t>
      </w:r>
      <w:r>
        <w:rPr>
          <w:spacing w:val="-4"/>
        </w:rPr>
        <w:t>basis </w:t>
      </w:r>
      <w:r>
        <w:rPr/>
        <w:t>of</w:t>
      </w:r>
      <w:r>
        <w:rPr>
          <w:spacing w:val="-2"/>
        </w:rPr>
        <w:t> </w:t>
      </w:r>
      <w:r>
        <w:rPr/>
        <w:t>completing</w:t>
      </w:r>
      <w:r>
        <w:rPr>
          <w:spacing w:val="-2"/>
        </w:rPr>
        <w:t> </w:t>
      </w:r>
      <w:r>
        <w:rPr/>
        <w:t>a</w:t>
      </w:r>
      <w:r>
        <w:rPr>
          <w:spacing w:val="-2"/>
        </w:rPr>
        <w:t> </w:t>
      </w:r>
      <w:r>
        <w:rPr/>
        <w:t>requisite</w:t>
      </w:r>
      <w:r>
        <w:rPr>
          <w:spacing w:val="-2"/>
        </w:rPr>
        <w:t> </w:t>
      </w:r>
      <w:r>
        <w:rPr/>
        <w:t>number</w:t>
      </w:r>
      <w:r>
        <w:rPr>
          <w:spacing w:val="-2"/>
        </w:rPr>
        <w:t> </w:t>
      </w:r>
      <w:r>
        <w:rPr/>
        <w:t>of</w:t>
      </w:r>
      <w:r>
        <w:rPr>
          <w:spacing w:val="-2"/>
        </w:rPr>
        <w:t> </w:t>
      </w:r>
      <w:r>
        <w:rPr/>
        <w:t>credits,</w:t>
      </w:r>
      <w:r>
        <w:rPr>
          <w:spacing w:val="-2"/>
        </w:rPr>
        <w:t> </w:t>
      </w:r>
      <w:r>
        <w:rPr/>
        <w:t>obtained from</w:t>
      </w:r>
      <w:r>
        <w:rPr>
          <w:spacing w:val="-9"/>
        </w:rPr>
        <w:t> </w:t>
      </w:r>
      <w:r>
        <w:rPr/>
        <w:t>different</w:t>
      </w:r>
      <w:r>
        <w:rPr>
          <w:spacing w:val="-9"/>
        </w:rPr>
        <w:t> </w:t>
      </w:r>
      <w:r>
        <w:rPr/>
        <w:t>courses.</w:t>
      </w:r>
      <w:r>
        <w:rPr>
          <w:spacing w:val="-9"/>
        </w:rPr>
        <w:t> </w:t>
      </w:r>
      <w:r>
        <w:rPr/>
        <w:t>Each</w:t>
      </w:r>
      <w:r>
        <w:rPr>
          <w:spacing w:val="-9"/>
        </w:rPr>
        <w:t> </w:t>
      </w:r>
      <w:r>
        <w:rPr/>
        <w:t>student</w:t>
      </w:r>
      <w:r>
        <w:rPr>
          <w:spacing w:val="-9"/>
        </w:rPr>
        <w:t> </w:t>
      </w:r>
      <w:r>
        <w:rPr/>
        <w:t>shall</w:t>
      </w:r>
      <w:r>
        <w:rPr>
          <w:spacing w:val="-9"/>
        </w:rPr>
        <w:t> </w:t>
      </w:r>
      <w:r>
        <w:rPr/>
        <w:t>be</w:t>
      </w:r>
      <w:r>
        <w:rPr>
          <w:spacing w:val="-9"/>
        </w:rPr>
        <w:t> </w:t>
      </w:r>
      <w:r>
        <w:rPr/>
        <w:t>required </w:t>
      </w:r>
      <w:r>
        <w:rPr>
          <w:spacing w:val="-2"/>
        </w:rPr>
        <w:t>to</w:t>
      </w:r>
      <w:r>
        <w:rPr>
          <w:spacing w:val="-9"/>
        </w:rPr>
        <w:t> </w:t>
      </w:r>
      <w:r>
        <w:rPr>
          <w:spacing w:val="-2"/>
        </w:rPr>
        <w:t>earn</w:t>
      </w:r>
      <w:r>
        <w:rPr>
          <w:spacing w:val="-9"/>
        </w:rPr>
        <w:t> </w:t>
      </w:r>
      <w:r>
        <w:rPr>
          <w:spacing w:val="-2"/>
        </w:rPr>
        <w:t>a</w:t>
      </w:r>
      <w:r>
        <w:rPr>
          <w:spacing w:val="-9"/>
        </w:rPr>
        <w:t> </w:t>
      </w:r>
      <w:r>
        <w:rPr>
          <w:spacing w:val="-2"/>
        </w:rPr>
        <w:t>minimum</w:t>
      </w:r>
      <w:r>
        <w:rPr>
          <w:spacing w:val="-9"/>
        </w:rPr>
        <w:t> </w:t>
      </w:r>
      <w:r>
        <w:rPr>
          <w:spacing w:val="-2"/>
        </w:rPr>
        <w:t>number</w:t>
      </w:r>
      <w:r>
        <w:rPr>
          <w:spacing w:val="-9"/>
        </w:rPr>
        <w:t> </w:t>
      </w:r>
      <w:r>
        <w:rPr>
          <w:spacing w:val="-2"/>
        </w:rPr>
        <w:t>of</w:t>
      </w:r>
      <w:r>
        <w:rPr>
          <w:spacing w:val="-9"/>
        </w:rPr>
        <w:t> </w:t>
      </w:r>
      <w:r>
        <w:rPr>
          <w:spacing w:val="-2"/>
        </w:rPr>
        <w:t>credits</w:t>
      </w:r>
      <w:r>
        <w:rPr>
          <w:spacing w:val="-9"/>
        </w:rPr>
        <w:t> </w:t>
      </w:r>
      <w:r>
        <w:rPr>
          <w:spacing w:val="-2"/>
        </w:rPr>
        <w:t>in</w:t>
      </w:r>
      <w:r>
        <w:rPr>
          <w:spacing w:val="-9"/>
        </w:rPr>
        <w:t> </w:t>
      </w:r>
      <w:r>
        <w:rPr>
          <w:spacing w:val="-2"/>
        </w:rPr>
        <w:t>his/her</w:t>
      </w:r>
      <w:r>
        <w:rPr>
          <w:spacing w:val="-9"/>
        </w:rPr>
        <w:t> </w:t>
      </w:r>
      <w:r>
        <w:rPr>
          <w:spacing w:val="-2"/>
        </w:rPr>
        <w:t>chosen </w:t>
      </w:r>
      <w:r>
        <w:rPr/>
        <w:t>discipline,</w:t>
      </w:r>
      <w:r>
        <w:rPr>
          <w:spacing w:val="-4"/>
        </w:rPr>
        <w:t> </w:t>
      </w:r>
      <w:r>
        <w:rPr/>
        <w:t>and</w:t>
      </w:r>
      <w:r>
        <w:rPr>
          <w:spacing w:val="-4"/>
        </w:rPr>
        <w:t> </w:t>
      </w:r>
      <w:r>
        <w:rPr/>
        <w:t>shall</w:t>
      </w:r>
      <w:r>
        <w:rPr>
          <w:spacing w:val="-4"/>
        </w:rPr>
        <w:t> </w:t>
      </w:r>
      <w:r>
        <w:rPr/>
        <w:t>have</w:t>
      </w:r>
      <w:r>
        <w:rPr>
          <w:spacing w:val="-4"/>
        </w:rPr>
        <w:t> </w:t>
      </w:r>
      <w:r>
        <w:rPr/>
        <w:t>the</w:t>
      </w:r>
      <w:r>
        <w:rPr>
          <w:spacing w:val="-4"/>
        </w:rPr>
        <w:t> </w:t>
      </w:r>
      <w:r>
        <w:rPr/>
        <w:t>freedom</w:t>
      </w:r>
      <w:r>
        <w:rPr>
          <w:spacing w:val="-4"/>
        </w:rPr>
        <w:t> </w:t>
      </w:r>
      <w:r>
        <w:rPr/>
        <w:t>to</w:t>
      </w:r>
      <w:r>
        <w:rPr>
          <w:spacing w:val="-4"/>
        </w:rPr>
        <w:t> </w:t>
      </w:r>
      <w:r>
        <w:rPr/>
        <w:t>earn</w:t>
      </w:r>
      <w:r>
        <w:rPr>
          <w:spacing w:val="-4"/>
        </w:rPr>
        <w:t> </w:t>
      </w:r>
      <w:r>
        <w:rPr/>
        <w:t>the</w:t>
      </w:r>
      <w:r>
        <w:rPr>
          <w:spacing w:val="-4"/>
        </w:rPr>
        <w:t> </w:t>
      </w:r>
      <w:r>
        <w:rPr/>
        <w:t>rest from courses in other disciplines.</w:t>
      </w:r>
      <w:r>
        <w:rPr>
          <w:spacing w:val="-3"/>
        </w:rPr>
        <w:t> </w:t>
      </w:r>
      <w:r>
        <w:rPr/>
        <w:t>The academic year </w:t>
      </w:r>
      <w:r>
        <w:rPr>
          <w:spacing w:val="-2"/>
        </w:rPr>
        <w:t>shall</w:t>
      </w:r>
      <w:r>
        <w:rPr>
          <w:spacing w:val="-8"/>
        </w:rPr>
        <w:t> </w:t>
      </w:r>
      <w:r>
        <w:rPr>
          <w:spacing w:val="-2"/>
        </w:rPr>
        <w:t>therefore</w:t>
      </w:r>
      <w:r>
        <w:rPr>
          <w:spacing w:val="-8"/>
        </w:rPr>
        <w:t> </w:t>
      </w:r>
      <w:r>
        <w:rPr>
          <w:spacing w:val="-2"/>
        </w:rPr>
        <w:t>be</w:t>
      </w:r>
      <w:r>
        <w:rPr>
          <w:spacing w:val="-8"/>
        </w:rPr>
        <w:t> </w:t>
      </w:r>
      <w:r>
        <w:rPr>
          <w:spacing w:val="-2"/>
        </w:rPr>
        <w:t>semester-based</w:t>
      </w:r>
      <w:r>
        <w:rPr>
          <w:spacing w:val="-8"/>
        </w:rPr>
        <w:t> </w:t>
      </w:r>
      <w:r>
        <w:rPr>
          <w:spacing w:val="-2"/>
        </w:rPr>
        <w:t>and</w:t>
      </w:r>
      <w:r>
        <w:rPr>
          <w:spacing w:val="-8"/>
        </w:rPr>
        <w:t> </w:t>
      </w:r>
      <w:r>
        <w:rPr>
          <w:spacing w:val="-2"/>
        </w:rPr>
        <w:t>students</w:t>
      </w:r>
      <w:r>
        <w:rPr>
          <w:spacing w:val="-8"/>
        </w:rPr>
        <w:t> </w:t>
      </w:r>
      <w:r>
        <w:rPr>
          <w:spacing w:val="-2"/>
        </w:rPr>
        <w:t>shall</w:t>
      </w:r>
      <w:r>
        <w:rPr>
          <w:spacing w:val="-8"/>
        </w:rPr>
        <w:t> </w:t>
      </w:r>
      <w:r>
        <w:rPr>
          <w:spacing w:val="-2"/>
        </w:rPr>
        <w:t>be </w:t>
      </w:r>
      <w:r>
        <w:rPr>
          <w:spacing w:val="-8"/>
        </w:rPr>
        <w:t>internally</w:t>
      </w:r>
      <w:r>
        <w:rPr>
          <w:spacing w:val="-6"/>
        </w:rPr>
        <w:t> </w:t>
      </w:r>
      <w:r>
        <w:rPr>
          <w:spacing w:val="-8"/>
        </w:rPr>
        <w:t>evaluated</w:t>
      </w:r>
      <w:r>
        <w:rPr>
          <w:spacing w:val="-1"/>
        </w:rPr>
        <w:t> </w:t>
      </w:r>
      <w:r>
        <w:rPr>
          <w:spacing w:val="-8"/>
        </w:rPr>
        <w:t>at</w:t>
      </w:r>
      <w:r>
        <w:rPr/>
        <w:t> </w:t>
      </w:r>
      <w:r>
        <w:rPr>
          <w:spacing w:val="-8"/>
        </w:rPr>
        <w:t>the</w:t>
      </w:r>
      <w:r>
        <w:rPr/>
        <w:t> </w:t>
      </w:r>
      <w:r>
        <w:rPr>
          <w:spacing w:val="-8"/>
        </w:rPr>
        <w:t>end</w:t>
      </w:r>
      <w:r>
        <w:rPr/>
        <w:t> </w:t>
      </w:r>
      <w:r>
        <w:rPr>
          <w:spacing w:val="-8"/>
        </w:rPr>
        <w:t>of</w:t>
      </w:r>
      <w:r>
        <w:rPr/>
        <w:t> </w:t>
      </w:r>
      <w:r>
        <w:rPr>
          <w:spacing w:val="-8"/>
        </w:rPr>
        <w:t>each</w:t>
      </w:r>
      <w:r>
        <w:rPr/>
        <w:t> </w:t>
      </w:r>
      <w:r>
        <w:rPr>
          <w:spacing w:val="-8"/>
        </w:rPr>
        <w:t>course.</w:t>
      </w:r>
      <w:r>
        <w:rPr>
          <w:spacing w:val="-6"/>
        </w:rPr>
        <w:t> </w:t>
      </w:r>
      <w:r>
        <w:rPr>
          <w:spacing w:val="-8"/>
        </w:rPr>
        <w:t>Transfer</w:t>
      </w:r>
      <w:r>
        <w:rPr/>
        <w:t> </w:t>
      </w:r>
      <w:r>
        <w:rPr>
          <w:spacing w:val="-8"/>
        </w:rPr>
        <w:t>of credits</w:t>
      </w:r>
      <w:r>
        <w:rPr/>
        <w:t> </w:t>
      </w:r>
      <w:r>
        <w:rPr>
          <w:spacing w:val="-8"/>
        </w:rPr>
        <w:t>from</w:t>
      </w:r>
      <w:r>
        <w:rPr/>
        <w:t> </w:t>
      </w:r>
      <w:r>
        <w:rPr>
          <w:spacing w:val="-8"/>
        </w:rPr>
        <w:t>one</w:t>
      </w:r>
      <w:r>
        <w:rPr/>
        <w:t> </w:t>
      </w:r>
      <w:r>
        <w:rPr>
          <w:spacing w:val="-8"/>
        </w:rPr>
        <w:t>National</w:t>
      </w:r>
      <w:r>
        <w:rPr/>
        <w:t> </w:t>
      </w:r>
      <w:r>
        <w:rPr>
          <w:spacing w:val="-8"/>
        </w:rPr>
        <w:t>University</w:t>
      </w:r>
      <w:r>
        <w:rPr/>
        <w:t> </w:t>
      </w:r>
      <w:r>
        <w:rPr>
          <w:spacing w:val="-8"/>
        </w:rPr>
        <w:t>to</w:t>
      </w:r>
      <w:r>
        <w:rPr/>
        <w:t> </w:t>
      </w:r>
      <w:r>
        <w:rPr>
          <w:spacing w:val="-8"/>
        </w:rPr>
        <w:t>another</w:t>
      </w:r>
      <w:r>
        <w:rPr/>
        <w:t> </w:t>
      </w:r>
      <w:r>
        <w:rPr>
          <w:spacing w:val="-8"/>
        </w:rPr>
        <w:t>shall</w:t>
      </w:r>
      <w:r>
        <w:rPr/>
        <w:t> </w:t>
      </w:r>
      <w:r>
        <w:rPr>
          <w:spacing w:val="-8"/>
        </w:rPr>
        <w:t>also </w:t>
      </w:r>
      <w:r>
        <w:rPr>
          <w:spacing w:val="-6"/>
        </w:rPr>
        <w:t>be</w:t>
      </w:r>
      <w:r>
        <w:rPr>
          <w:spacing w:val="-8"/>
        </w:rPr>
        <w:t> </w:t>
      </w:r>
      <w:r>
        <w:rPr>
          <w:spacing w:val="-6"/>
        </w:rPr>
        <w:t>possible.</w:t>
      </w:r>
      <w:r>
        <w:rPr>
          <w:spacing w:val="-8"/>
        </w:rPr>
        <w:t> </w:t>
      </w:r>
      <w:r>
        <w:rPr>
          <w:spacing w:val="-6"/>
        </w:rPr>
        <w:t>A</w:t>
      </w:r>
      <w:r>
        <w:rPr>
          <w:spacing w:val="-8"/>
        </w:rPr>
        <w:t> </w:t>
      </w:r>
      <w:r>
        <w:rPr>
          <w:spacing w:val="-6"/>
        </w:rPr>
        <w:t>wide</w:t>
      </w:r>
      <w:r>
        <w:rPr>
          <w:spacing w:val="-7"/>
        </w:rPr>
        <w:t> </w:t>
      </w:r>
      <w:r>
        <w:rPr>
          <w:spacing w:val="-6"/>
        </w:rPr>
        <w:t>variety</w:t>
      </w:r>
      <w:r>
        <w:rPr>
          <w:spacing w:val="-8"/>
        </w:rPr>
        <w:t> </w:t>
      </w:r>
      <w:r>
        <w:rPr>
          <w:spacing w:val="-6"/>
        </w:rPr>
        <w:t>of</w:t>
      </w:r>
      <w:r>
        <w:rPr>
          <w:spacing w:val="-8"/>
        </w:rPr>
        <w:t> </w:t>
      </w:r>
      <w:r>
        <w:rPr>
          <w:spacing w:val="-6"/>
        </w:rPr>
        <w:t>courses</w:t>
      </w:r>
      <w:r>
        <w:rPr>
          <w:spacing w:val="-8"/>
        </w:rPr>
        <w:t> </w:t>
      </w:r>
      <w:r>
        <w:rPr>
          <w:spacing w:val="-6"/>
        </w:rPr>
        <w:t>shall</w:t>
      </w:r>
      <w:r>
        <w:rPr>
          <w:spacing w:val="-7"/>
        </w:rPr>
        <w:t> </w:t>
      </w:r>
      <w:r>
        <w:rPr>
          <w:spacing w:val="-6"/>
        </w:rPr>
        <w:t>be</w:t>
      </w:r>
      <w:r>
        <w:rPr>
          <w:spacing w:val="-8"/>
        </w:rPr>
        <w:t> </w:t>
      </w:r>
      <w:r>
        <w:rPr>
          <w:spacing w:val="-6"/>
        </w:rPr>
        <w:t>offered,</w:t>
      </w:r>
      <w:r>
        <w:rPr>
          <w:spacing w:val="-8"/>
        </w:rPr>
        <w:t> </w:t>
      </w:r>
      <w:r>
        <w:rPr>
          <w:spacing w:val="-6"/>
        </w:rPr>
        <w:t>in </w:t>
      </w:r>
      <w:r>
        <w:rPr>
          <w:spacing w:val="-2"/>
        </w:rPr>
        <w:t>traditional</w:t>
      </w:r>
      <w:r>
        <w:rPr>
          <w:spacing w:val="-10"/>
        </w:rPr>
        <w:t> </w:t>
      </w:r>
      <w:r>
        <w:rPr>
          <w:spacing w:val="-2"/>
        </w:rPr>
        <w:t>academic</w:t>
      </w:r>
      <w:r>
        <w:rPr>
          <w:spacing w:val="-10"/>
        </w:rPr>
        <w:t> </w:t>
      </w:r>
      <w:r>
        <w:rPr>
          <w:spacing w:val="-2"/>
        </w:rPr>
        <w:t>disciplines,</w:t>
      </w:r>
      <w:r>
        <w:rPr>
          <w:spacing w:val="-10"/>
        </w:rPr>
        <w:t> </w:t>
      </w:r>
      <w:r>
        <w:rPr>
          <w:spacing w:val="-2"/>
        </w:rPr>
        <w:t>employment-oriented </w:t>
      </w:r>
      <w:r>
        <w:rPr/>
        <w:t>specific</w:t>
      </w:r>
      <w:r>
        <w:rPr>
          <w:spacing w:val="-14"/>
        </w:rPr>
        <w:t> </w:t>
      </w:r>
      <w:r>
        <w:rPr/>
        <w:t>areas</w:t>
      </w:r>
      <w:r>
        <w:rPr>
          <w:spacing w:val="-14"/>
        </w:rPr>
        <w:t> </w:t>
      </w:r>
      <w:r>
        <w:rPr/>
        <w:t>and</w:t>
      </w:r>
      <w:r>
        <w:rPr>
          <w:spacing w:val="-14"/>
        </w:rPr>
        <w:t> </w:t>
      </w:r>
      <w:r>
        <w:rPr/>
        <w:t>cross-cutting</w:t>
      </w:r>
      <w:r>
        <w:rPr>
          <w:spacing w:val="-13"/>
        </w:rPr>
        <w:t> </w:t>
      </w:r>
      <w:r>
        <w:rPr/>
        <w:t>competencies.</w:t>
      </w:r>
      <w:r>
        <w:rPr>
          <w:spacing w:val="-14"/>
        </w:rPr>
        <w:t> </w:t>
      </w:r>
      <w:r>
        <w:rPr/>
        <w:t>Syllabi shall be revised every year to keep up with changes and current developments in various disciplines. Departments</w:t>
      </w:r>
      <w:r>
        <w:rPr>
          <w:spacing w:val="-5"/>
        </w:rPr>
        <w:t> </w:t>
      </w:r>
      <w:r>
        <w:rPr/>
        <w:t>that</w:t>
      </w:r>
      <w:r>
        <w:rPr>
          <w:spacing w:val="-5"/>
        </w:rPr>
        <w:t> </w:t>
      </w:r>
      <w:r>
        <w:rPr/>
        <w:t>do</w:t>
      </w:r>
      <w:r>
        <w:rPr>
          <w:spacing w:val="-5"/>
        </w:rPr>
        <w:t> </w:t>
      </w:r>
      <w:r>
        <w:rPr/>
        <w:t>not</w:t>
      </w:r>
      <w:r>
        <w:rPr>
          <w:spacing w:val="-5"/>
        </w:rPr>
        <w:t> </w:t>
      </w:r>
      <w:r>
        <w:rPr/>
        <w:t>update</w:t>
      </w:r>
      <w:r>
        <w:rPr>
          <w:spacing w:val="-5"/>
        </w:rPr>
        <w:t> </w:t>
      </w:r>
      <w:r>
        <w:rPr/>
        <w:t>their</w:t>
      </w:r>
      <w:r>
        <w:rPr>
          <w:spacing w:val="-5"/>
        </w:rPr>
        <w:t> </w:t>
      </w:r>
      <w:r>
        <w:rPr/>
        <w:t>syllabus</w:t>
      </w:r>
      <w:r>
        <w:rPr>
          <w:spacing w:val="-5"/>
        </w:rPr>
        <w:t> </w:t>
      </w:r>
      <w:r>
        <w:rPr/>
        <w:t>for</w:t>
      </w:r>
      <w:r>
        <w:rPr>
          <w:spacing w:val="-5"/>
        </w:rPr>
        <w:t> </w:t>
      </w:r>
      <w:r>
        <w:rPr/>
        <w:t>two </w:t>
      </w:r>
      <w:r>
        <w:rPr>
          <w:spacing w:val="-4"/>
        </w:rPr>
        <w:t>consecutive</w:t>
      </w:r>
      <w:r>
        <w:rPr>
          <w:spacing w:val="-10"/>
        </w:rPr>
        <w:t> </w:t>
      </w:r>
      <w:r>
        <w:rPr>
          <w:spacing w:val="-4"/>
        </w:rPr>
        <w:t>years</w:t>
      </w:r>
      <w:r>
        <w:rPr>
          <w:spacing w:val="-10"/>
        </w:rPr>
        <w:t> </w:t>
      </w:r>
      <w:r>
        <w:rPr>
          <w:spacing w:val="-4"/>
        </w:rPr>
        <w:t>shall</w:t>
      </w:r>
      <w:r>
        <w:rPr>
          <w:spacing w:val="-10"/>
        </w:rPr>
        <w:t> </w:t>
      </w:r>
      <w:r>
        <w:rPr>
          <w:spacing w:val="-4"/>
        </w:rPr>
        <w:t>be</w:t>
      </w:r>
      <w:r>
        <w:rPr>
          <w:spacing w:val="-9"/>
        </w:rPr>
        <w:t> </w:t>
      </w:r>
      <w:r>
        <w:rPr>
          <w:spacing w:val="-4"/>
        </w:rPr>
        <w:t>asked</w:t>
      </w:r>
      <w:r>
        <w:rPr>
          <w:spacing w:val="-10"/>
        </w:rPr>
        <w:t> </w:t>
      </w:r>
      <w:r>
        <w:rPr>
          <w:spacing w:val="-4"/>
        </w:rPr>
        <w:t>to</w:t>
      </w:r>
      <w:r>
        <w:rPr>
          <w:spacing w:val="-10"/>
        </w:rPr>
        <w:t> </w:t>
      </w:r>
      <w:r>
        <w:rPr>
          <w:spacing w:val="-4"/>
        </w:rPr>
        <w:t>provide</w:t>
      </w:r>
      <w:r>
        <w:rPr>
          <w:spacing w:val="-10"/>
        </w:rPr>
        <w:t> </w:t>
      </w:r>
      <w:r>
        <w:rPr>
          <w:spacing w:val="-4"/>
        </w:rPr>
        <w:t>justification. </w:t>
      </w:r>
      <w:r>
        <w:rPr/>
        <w:t>Students</w:t>
      </w:r>
      <w:r>
        <w:rPr>
          <w:spacing w:val="-16"/>
        </w:rPr>
        <w:t> </w:t>
      </w:r>
      <w:r>
        <w:rPr/>
        <w:t>shall</w:t>
      </w:r>
      <w:r>
        <w:rPr>
          <w:spacing w:val="-14"/>
        </w:rPr>
        <w:t> </w:t>
      </w:r>
      <w:r>
        <w:rPr/>
        <w:t>have</w:t>
      </w:r>
      <w:r>
        <w:rPr>
          <w:spacing w:val="-14"/>
        </w:rPr>
        <w:t> </w:t>
      </w:r>
      <w:r>
        <w:rPr/>
        <w:t>the</w:t>
      </w:r>
      <w:r>
        <w:rPr>
          <w:spacing w:val="-13"/>
        </w:rPr>
        <w:t> </w:t>
      </w:r>
      <w:r>
        <w:rPr/>
        <w:t>option</w:t>
      </w:r>
      <w:r>
        <w:rPr>
          <w:spacing w:val="-14"/>
        </w:rPr>
        <w:t> </w:t>
      </w:r>
      <w:r>
        <w:rPr/>
        <w:t>of</w:t>
      </w:r>
      <w:r>
        <w:rPr>
          <w:spacing w:val="-14"/>
        </w:rPr>
        <w:t> </w:t>
      </w:r>
      <w:r>
        <w:rPr/>
        <w:t>taking</w:t>
      </w:r>
      <w:r>
        <w:rPr>
          <w:spacing w:val="-14"/>
        </w:rPr>
        <w:t> </w:t>
      </w:r>
      <w:r>
        <w:rPr/>
        <w:t>up</w:t>
      </w:r>
      <w:r>
        <w:rPr>
          <w:spacing w:val="-13"/>
        </w:rPr>
        <w:t> </w:t>
      </w:r>
      <w:r>
        <w:rPr/>
        <w:t>internships </w:t>
      </w:r>
      <w:r>
        <w:rPr>
          <w:spacing w:val="-2"/>
        </w:rPr>
        <w:t>in</w:t>
      </w:r>
      <w:r>
        <w:rPr>
          <w:spacing w:val="-12"/>
        </w:rPr>
        <w:t> </w:t>
      </w:r>
      <w:r>
        <w:rPr>
          <w:spacing w:val="-2"/>
        </w:rPr>
        <w:t>private</w:t>
      </w:r>
      <w:r>
        <w:rPr>
          <w:spacing w:val="-12"/>
        </w:rPr>
        <w:t> </w:t>
      </w:r>
      <w:r>
        <w:rPr>
          <w:spacing w:val="-2"/>
        </w:rPr>
        <w:t>companies</w:t>
      </w:r>
      <w:r>
        <w:rPr>
          <w:spacing w:val="-12"/>
        </w:rPr>
        <w:t> </w:t>
      </w:r>
      <w:r>
        <w:rPr>
          <w:spacing w:val="-2"/>
        </w:rPr>
        <w:t>or</w:t>
      </w:r>
      <w:r>
        <w:rPr>
          <w:spacing w:val="-11"/>
        </w:rPr>
        <w:t> </w:t>
      </w:r>
      <w:r>
        <w:rPr>
          <w:spacing w:val="-2"/>
        </w:rPr>
        <w:t>research</w:t>
      </w:r>
      <w:r>
        <w:rPr>
          <w:spacing w:val="-12"/>
        </w:rPr>
        <w:t> </w:t>
      </w:r>
      <w:r>
        <w:rPr>
          <w:spacing w:val="-2"/>
        </w:rPr>
        <w:t>institutions</w:t>
      </w:r>
      <w:r>
        <w:rPr>
          <w:spacing w:val="-12"/>
        </w:rPr>
        <w:t> </w:t>
      </w:r>
      <w:r>
        <w:rPr>
          <w:spacing w:val="-2"/>
        </w:rPr>
        <w:t>in</w:t>
      </w:r>
      <w:r>
        <w:rPr>
          <w:spacing w:val="-12"/>
        </w:rPr>
        <w:t> </w:t>
      </w:r>
      <w:r>
        <w:rPr>
          <w:spacing w:val="-2"/>
        </w:rPr>
        <w:t>lieu</w:t>
      </w:r>
      <w:r>
        <w:rPr>
          <w:spacing w:val="-11"/>
        </w:rPr>
        <w:t> </w:t>
      </w:r>
      <w:r>
        <w:rPr>
          <w:spacing w:val="-2"/>
        </w:rPr>
        <w:t>of</w:t>
      </w:r>
      <w:r>
        <w:rPr>
          <w:spacing w:val="-12"/>
        </w:rPr>
        <w:t> </w:t>
      </w:r>
      <w:r>
        <w:rPr>
          <w:spacing w:val="-2"/>
        </w:rPr>
        <w:t>a </w:t>
      </w:r>
      <w:r>
        <w:rPr/>
        <w:t>certain number of credits.</w:t>
      </w:r>
    </w:p>
    <w:p>
      <w:pPr>
        <w:pStyle w:val="BodyText"/>
        <w:spacing w:before="6"/>
      </w:pPr>
    </w:p>
    <w:p>
      <w:pPr>
        <w:pStyle w:val="BodyText"/>
        <w:spacing w:line="266" w:lineRule="auto"/>
        <w:ind w:left="319" w:right="1077"/>
        <w:jc w:val="both"/>
      </w:pPr>
      <w:r>
        <w:rPr>
          <w:spacing w:val="-2"/>
        </w:rPr>
        <w:t>An</w:t>
      </w:r>
      <w:r>
        <w:rPr>
          <w:spacing w:val="-7"/>
        </w:rPr>
        <w:t> </w:t>
      </w:r>
      <w:r>
        <w:rPr>
          <w:spacing w:val="-2"/>
        </w:rPr>
        <w:t>appropriate</w:t>
      </w:r>
      <w:r>
        <w:rPr>
          <w:spacing w:val="-7"/>
        </w:rPr>
        <w:t> </w:t>
      </w:r>
      <w:r>
        <w:rPr>
          <w:spacing w:val="-2"/>
        </w:rPr>
        <w:t>system</w:t>
      </w:r>
      <w:r>
        <w:rPr>
          <w:spacing w:val="-7"/>
        </w:rPr>
        <w:t> </w:t>
      </w:r>
      <w:r>
        <w:rPr>
          <w:spacing w:val="-2"/>
        </w:rPr>
        <w:t>of</w:t>
      </w:r>
      <w:r>
        <w:rPr>
          <w:spacing w:val="-7"/>
        </w:rPr>
        <w:t> </w:t>
      </w:r>
      <w:r>
        <w:rPr>
          <w:spacing w:val="-2"/>
        </w:rPr>
        <w:t>appointments</w:t>
      </w:r>
      <w:r>
        <w:rPr>
          <w:spacing w:val="-7"/>
        </w:rPr>
        <w:t> </w:t>
      </w:r>
      <w:r>
        <w:rPr>
          <w:spacing w:val="-2"/>
        </w:rPr>
        <w:t>and</w:t>
      </w:r>
      <w:r>
        <w:rPr>
          <w:spacing w:val="-7"/>
        </w:rPr>
        <w:t> </w:t>
      </w:r>
      <w:r>
        <w:rPr>
          <w:spacing w:val="-2"/>
        </w:rPr>
        <w:t>incentives </w:t>
      </w:r>
      <w:r>
        <w:rPr/>
        <w:t>is required to maximise the productivity of faculty in </w:t>
      </w:r>
      <w:r>
        <w:rPr>
          <w:spacing w:val="-6"/>
        </w:rPr>
        <w:t>the</w:t>
      </w:r>
      <w:r>
        <w:rPr>
          <w:spacing w:val="-8"/>
        </w:rPr>
        <w:t> </w:t>
      </w:r>
      <w:r>
        <w:rPr>
          <w:spacing w:val="-6"/>
        </w:rPr>
        <w:t>National</w:t>
      </w:r>
      <w:r>
        <w:rPr>
          <w:spacing w:val="-8"/>
        </w:rPr>
        <w:t> </w:t>
      </w:r>
      <w:r>
        <w:rPr>
          <w:spacing w:val="-6"/>
        </w:rPr>
        <w:t>Universities.</w:t>
      </w:r>
      <w:r>
        <w:rPr>
          <w:spacing w:val="-8"/>
        </w:rPr>
        <w:t> </w:t>
      </w:r>
      <w:r>
        <w:rPr>
          <w:spacing w:val="-6"/>
        </w:rPr>
        <w:t>There</w:t>
      </w:r>
      <w:r>
        <w:rPr>
          <w:spacing w:val="-4"/>
        </w:rPr>
        <w:t> </w:t>
      </w:r>
      <w:r>
        <w:rPr>
          <w:spacing w:val="-6"/>
        </w:rPr>
        <w:t>shall be scope for salary </w:t>
      </w:r>
      <w:r>
        <w:rPr/>
        <w:t>differentials between National Universities and also </w:t>
      </w:r>
      <w:r>
        <w:rPr>
          <w:spacing w:val="-4"/>
        </w:rPr>
        <w:t>between disciplines. Faculty training will be contingent </w:t>
      </w:r>
      <w:r>
        <w:rPr/>
        <w:t>on periodical reviews of research output and student evaluation.</w:t>
      </w:r>
      <w:r>
        <w:rPr>
          <w:spacing w:val="-2"/>
        </w:rPr>
        <w:t> </w:t>
      </w:r>
      <w:r>
        <w:rPr/>
        <w:t>The most accomplished faculty members shall be encouraged to teach undergraduate courses. There shall be no career advancement schemes and appointments at every level shall be through open </w:t>
      </w:r>
      <w:r>
        <w:rPr>
          <w:spacing w:val="-2"/>
        </w:rPr>
        <w:t>competition.</w:t>
      </w:r>
      <w:r>
        <w:rPr>
          <w:spacing w:val="-12"/>
        </w:rPr>
        <w:t> </w:t>
      </w:r>
      <w:r>
        <w:rPr>
          <w:spacing w:val="-2"/>
        </w:rPr>
        <w:t>The</w:t>
      </w:r>
      <w:r>
        <w:rPr>
          <w:spacing w:val="-12"/>
        </w:rPr>
        <w:t> </w:t>
      </w:r>
      <w:r>
        <w:rPr>
          <w:spacing w:val="-2"/>
        </w:rPr>
        <w:t>total</w:t>
      </w:r>
      <w:r>
        <w:rPr>
          <w:spacing w:val="-12"/>
        </w:rPr>
        <w:t> </w:t>
      </w:r>
      <w:r>
        <w:rPr>
          <w:spacing w:val="-2"/>
        </w:rPr>
        <w:t>number</w:t>
      </w:r>
      <w:r>
        <w:rPr>
          <w:spacing w:val="-11"/>
        </w:rPr>
        <w:t> </w:t>
      </w:r>
      <w:r>
        <w:rPr>
          <w:spacing w:val="-2"/>
        </w:rPr>
        <w:t>of</w:t>
      </w:r>
      <w:r>
        <w:rPr>
          <w:spacing w:val="-12"/>
        </w:rPr>
        <w:t> </w:t>
      </w:r>
      <w:r>
        <w:rPr>
          <w:spacing w:val="-2"/>
        </w:rPr>
        <w:t>faculty</w:t>
      </w:r>
      <w:r>
        <w:rPr>
          <w:spacing w:val="-12"/>
        </w:rPr>
        <w:t> </w:t>
      </w:r>
      <w:r>
        <w:rPr>
          <w:spacing w:val="-2"/>
        </w:rPr>
        <w:t>positions</w:t>
      </w:r>
      <w:r>
        <w:rPr>
          <w:spacing w:val="-12"/>
        </w:rPr>
        <w:t> </w:t>
      </w:r>
      <w:r>
        <w:rPr>
          <w:spacing w:val="-2"/>
        </w:rPr>
        <w:t>may be</w:t>
      </w:r>
      <w:r>
        <w:rPr>
          <w:spacing w:val="-14"/>
        </w:rPr>
        <w:t> </w:t>
      </w:r>
      <w:r>
        <w:rPr>
          <w:spacing w:val="-2"/>
        </w:rPr>
        <w:t>specified,</w:t>
      </w:r>
      <w:r>
        <w:rPr>
          <w:spacing w:val="-12"/>
        </w:rPr>
        <w:t> </w:t>
      </w:r>
      <w:r>
        <w:rPr>
          <w:spacing w:val="-2"/>
        </w:rPr>
        <w:t>but</w:t>
      </w:r>
      <w:r>
        <w:rPr>
          <w:spacing w:val="-12"/>
        </w:rPr>
        <w:t> </w:t>
      </w:r>
      <w:r>
        <w:rPr>
          <w:spacing w:val="-2"/>
        </w:rPr>
        <w:t>there</w:t>
      </w:r>
      <w:r>
        <w:rPr>
          <w:spacing w:val="-11"/>
        </w:rPr>
        <w:t> </w:t>
      </w:r>
      <w:r>
        <w:rPr>
          <w:spacing w:val="-2"/>
        </w:rPr>
        <w:t>should</w:t>
      </w:r>
      <w:r>
        <w:rPr>
          <w:spacing w:val="-12"/>
        </w:rPr>
        <w:t> </w:t>
      </w:r>
      <w:r>
        <w:rPr>
          <w:spacing w:val="-2"/>
        </w:rPr>
        <w:t>be</w:t>
      </w:r>
      <w:r>
        <w:rPr>
          <w:spacing w:val="-12"/>
        </w:rPr>
        <w:t> </w:t>
      </w:r>
      <w:r>
        <w:rPr>
          <w:spacing w:val="-2"/>
        </w:rPr>
        <w:t>complete</w:t>
      </w:r>
      <w:r>
        <w:rPr>
          <w:spacing w:val="-12"/>
        </w:rPr>
        <w:t> </w:t>
      </w:r>
      <w:r>
        <w:rPr>
          <w:spacing w:val="-2"/>
        </w:rPr>
        <w:t>flexibility</w:t>
      </w:r>
      <w:r>
        <w:rPr>
          <w:spacing w:val="-11"/>
        </w:rPr>
        <w:t> </w:t>
      </w:r>
      <w:r>
        <w:rPr>
          <w:spacing w:val="-2"/>
        </w:rPr>
        <w:t>in </w:t>
      </w:r>
      <w:r>
        <w:rPr/>
        <w:t>choosing the level at which faculty appointments are </w:t>
      </w:r>
      <w:r>
        <w:rPr>
          <w:spacing w:val="-6"/>
        </w:rPr>
        <w:t>made, so that, for talented faculty members, career paths </w:t>
      </w:r>
      <w:r>
        <w:rPr>
          <w:spacing w:val="-4"/>
        </w:rPr>
        <w:t>are</w:t>
      </w:r>
      <w:r>
        <w:rPr>
          <w:spacing w:val="-10"/>
        </w:rPr>
        <w:t> </w:t>
      </w:r>
      <w:r>
        <w:rPr>
          <w:spacing w:val="-4"/>
        </w:rPr>
        <w:t>not</w:t>
      </w:r>
      <w:r>
        <w:rPr>
          <w:spacing w:val="-10"/>
        </w:rPr>
        <w:t> </w:t>
      </w:r>
      <w:r>
        <w:rPr>
          <w:spacing w:val="-4"/>
        </w:rPr>
        <w:t>constrained</w:t>
      </w:r>
      <w:r>
        <w:rPr>
          <w:spacing w:val="-10"/>
        </w:rPr>
        <w:t> </w:t>
      </w:r>
      <w:r>
        <w:rPr>
          <w:spacing w:val="-4"/>
        </w:rPr>
        <w:t>by</w:t>
      </w:r>
      <w:r>
        <w:rPr>
          <w:spacing w:val="-9"/>
        </w:rPr>
        <w:t> </w:t>
      </w:r>
      <w:r>
        <w:rPr>
          <w:spacing w:val="-4"/>
        </w:rPr>
        <w:t>the</w:t>
      </w:r>
      <w:r>
        <w:rPr>
          <w:spacing w:val="-10"/>
        </w:rPr>
        <w:t> </w:t>
      </w:r>
      <w:r>
        <w:rPr>
          <w:spacing w:val="-4"/>
        </w:rPr>
        <w:t>number</w:t>
      </w:r>
      <w:r>
        <w:rPr>
          <w:spacing w:val="-10"/>
        </w:rPr>
        <w:t> </w:t>
      </w:r>
      <w:r>
        <w:rPr>
          <w:spacing w:val="-4"/>
        </w:rPr>
        <w:t>of</w:t>
      </w:r>
      <w:r>
        <w:rPr>
          <w:spacing w:val="-10"/>
        </w:rPr>
        <w:t> </w:t>
      </w:r>
      <w:r>
        <w:rPr>
          <w:spacing w:val="-4"/>
        </w:rPr>
        <w:t>vacancies.</w:t>
      </w:r>
      <w:r>
        <w:rPr>
          <w:spacing w:val="-9"/>
        </w:rPr>
        <w:t> </w:t>
      </w:r>
      <w:r>
        <w:rPr>
          <w:spacing w:val="-4"/>
        </w:rPr>
        <w:t>In</w:t>
      </w:r>
      <w:r>
        <w:rPr>
          <w:spacing w:val="-10"/>
        </w:rPr>
        <w:t> </w:t>
      </w:r>
      <w:r>
        <w:rPr>
          <w:spacing w:val="-4"/>
        </w:rPr>
        <w:t>order </w:t>
      </w:r>
      <w:r>
        <w:rPr/>
        <w:t>to maintain the quality of the National Universities, </w:t>
      </w:r>
      <w:r>
        <w:rPr>
          <w:spacing w:val="-2"/>
        </w:rPr>
        <w:t>mechanisms</w:t>
      </w:r>
      <w:r>
        <w:rPr>
          <w:spacing w:val="-11"/>
        </w:rPr>
        <w:t> </w:t>
      </w:r>
      <w:r>
        <w:rPr>
          <w:spacing w:val="-2"/>
        </w:rPr>
        <w:t>should</w:t>
      </w:r>
      <w:r>
        <w:rPr>
          <w:spacing w:val="-10"/>
        </w:rPr>
        <w:t> </w:t>
      </w:r>
      <w:r>
        <w:rPr>
          <w:spacing w:val="-2"/>
        </w:rPr>
        <w:t>be</w:t>
      </w:r>
      <w:r>
        <w:rPr>
          <w:spacing w:val="-10"/>
        </w:rPr>
        <w:t> </w:t>
      </w:r>
      <w:r>
        <w:rPr>
          <w:spacing w:val="-2"/>
        </w:rPr>
        <w:t>in</w:t>
      </w:r>
      <w:r>
        <w:rPr>
          <w:spacing w:val="-10"/>
        </w:rPr>
        <w:t> </w:t>
      </w:r>
      <w:r>
        <w:rPr>
          <w:spacing w:val="-2"/>
        </w:rPr>
        <w:t>place</w:t>
      </w:r>
      <w:r>
        <w:rPr>
          <w:spacing w:val="-10"/>
        </w:rPr>
        <w:t> </w:t>
      </w:r>
      <w:r>
        <w:rPr>
          <w:spacing w:val="-2"/>
        </w:rPr>
        <w:t>to</w:t>
      </w:r>
      <w:r>
        <w:rPr>
          <w:spacing w:val="-10"/>
        </w:rPr>
        <w:t> </w:t>
      </w:r>
      <w:r>
        <w:rPr>
          <w:spacing w:val="-2"/>
        </w:rPr>
        <w:t>monitor</w:t>
      </w:r>
      <w:r>
        <w:rPr>
          <w:spacing w:val="-10"/>
        </w:rPr>
        <w:t> </w:t>
      </w:r>
      <w:r>
        <w:rPr>
          <w:spacing w:val="-2"/>
        </w:rPr>
        <w:t>and</w:t>
      </w:r>
      <w:r>
        <w:rPr>
          <w:spacing w:val="-11"/>
        </w:rPr>
        <w:t> </w:t>
      </w:r>
      <w:r>
        <w:rPr>
          <w:spacing w:val="-5"/>
        </w:rPr>
        <w:t>evaluate</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80"/>
        <w:jc w:val="both"/>
      </w:pPr>
      <w:r>
        <w:rPr>
          <w:spacing w:val="-4"/>
        </w:rPr>
        <w:t>the</w:t>
      </w:r>
      <w:r>
        <w:rPr>
          <w:spacing w:val="-10"/>
        </w:rPr>
        <w:t> </w:t>
      </w:r>
      <w:r>
        <w:rPr>
          <w:spacing w:val="-4"/>
        </w:rPr>
        <w:t>performance</w:t>
      </w:r>
      <w:r>
        <w:rPr>
          <w:spacing w:val="-10"/>
        </w:rPr>
        <w:t> </w:t>
      </w:r>
      <w:r>
        <w:rPr>
          <w:spacing w:val="-4"/>
        </w:rPr>
        <w:t>and</w:t>
      </w:r>
      <w:r>
        <w:rPr>
          <w:spacing w:val="-10"/>
        </w:rPr>
        <w:t> </w:t>
      </w:r>
      <w:r>
        <w:rPr>
          <w:spacing w:val="-4"/>
        </w:rPr>
        <w:t>progress</w:t>
      </w:r>
      <w:r>
        <w:rPr>
          <w:spacing w:val="-9"/>
        </w:rPr>
        <w:t> </w:t>
      </w:r>
      <w:r>
        <w:rPr>
          <w:spacing w:val="-4"/>
        </w:rPr>
        <w:t>of</w:t>
      </w:r>
      <w:r>
        <w:rPr>
          <w:spacing w:val="-10"/>
        </w:rPr>
        <w:t> </w:t>
      </w:r>
      <w:r>
        <w:rPr>
          <w:spacing w:val="-4"/>
        </w:rPr>
        <w:t>teachers</w:t>
      </w:r>
      <w:r>
        <w:rPr>
          <w:spacing w:val="-10"/>
        </w:rPr>
        <w:t> </w:t>
      </w:r>
      <w:r>
        <w:rPr>
          <w:spacing w:val="-4"/>
        </w:rPr>
        <w:t>including</w:t>
      </w:r>
      <w:r>
        <w:rPr>
          <w:spacing w:val="-10"/>
        </w:rPr>
        <w:t> </w:t>
      </w:r>
      <w:r>
        <w:rPr>
          <w:spacing w:val="-4"/>
        </w:rPr>
        <w:t>peer </w:t>
      </w:r>
      <w:r>
        <w:rPr>
          <w:spacing w:val="-6"/>
        </w:rPr>
        <w:t>reviews.</w:t>
      </w:r>
      <w:r>
        <w:rPr>
          <w:spacing w:val="-8"/>
        </w:rPr>
        <w:t> </w:t>
      </w:r>
      <w:r>
        <w:rPr>
          <w:spacing w:val="-6"/>
        </w:rPr>
        <w:t>The procedures and results of these evaluations </w:t>
      </w:r>
      <w:r>
        <w:rPr/>
        <w:t>will be open and transparent.</w:t>
      </w:r>
    </w:p>
    <w:p>
      <w:pPr>
        <w:pStyle w:val="BodyText"/>
        <w:spacing w:before="25"/>
      </w:pPr>
    </w:p>
    <w:p>
      <w:pPr>
        <w:pStyle w:val="BodyText"/>
        <w:spacing w:line="266" w:lineRule="auto"/>
        <w:ind w:left="1080"/>
        <w:jc w:val="both"/>
      </w:pPr>
      <w:r>
        <w:rPr>
          <w:spacing w:val="-2"/>
        </w:rPr>
        <w:t>The</w:t>
      </w:r>
      <w:r>
        <w:rPr>
          <w:spacing w:val="-10"/>
        </w:rPr>
        <w:t> </w:t>
      </w:r>
      <w:r>
        <w:rPr>
          <w:spacing w:val="-2"/>
        </w:rPr>
        <w:t>research</w:t>
      </w:r>
      <w:r>
        <w:rPr>
          <w:spacing w:val="-10"/>
        </w:rPr>
        <w:t> </w:t>
      </w:r>
      <w:r>
        <w:rPr>
          <w:spacing w:val="-2"/>
        </w:rPr>
        <w:t>outputs</w:t>
      </w:r>
      <w:r>
        <w:rPr>
          <w:spacing w:val="-10"/>
        </w:rPr>
        <w:t> </w:t>
      </w:r>
      <w:r>
        <w:rPr>
          <w:spacing w:val="-2"/>
        </w:rPr>
        <w:t>of</w:t>
      </w:r>
      <w:r>
        <w:rPr>
          <w:spacing w:val="-10"/>
        </w:rPr>
        <w:t> </w:t>
      </w:r>
      <w:r>
        <w:rPr>
          <w:spacing w:val="-2"/>
        </w:rPr>
        <w:t>these</w:t>
      </w:r>
      <w:r>
        <w:rPr>
          <w:spacing w:val="-10"/>
        </w:rPr>
        <w:t> </w:t>
      </w:r>
      <w:r>
        <w:rPr>
          <w:spacing w:val="-2"/>
        </w:rPr>
        <w:t>universities</w:t>
      </w:r>
      <w:r>
        <w:rPr>
          <w:spacing w:val="-10"/>
        </w:rPr>
        <w:t> </w:t>
      </w:r>
      <w:r>
        <w:rPr>
          <w:spacing w:val="-2"/>
        </w:rPr>
        <w:t>shall</w:t>
      </w:r>
      <w:r>
        <w:rPr>
          <w:spacing w:val="-10"/>
        </w:rPr>
        <w:t> </w:t>
      </w:r>
      <w:r>
        <w:rPr>
          <w:spacing w:val="-2"/>
        </w:rPr>
        <w:t>be</w:t>
      </w:r>
      <w:r>
        <w:rPr>
          <w:spacing w:val="-10"/>
        </w:rPr>
        <w:t> </w:t>
      </w:r>
      <w:r>
        <w:rPr>
          <w:spacing w:val="-2"/>
        </w:rPr>
        <w:t>vital </w:t>
      </w:r>
      <w:r>
        <w:rPr>
          <w:spacing w:val="-4"/>
        </w:rPr>
        <w:t>contributors</w:t>
      </w:r>
      <w:r>
        <w:rPr>
          <w:spacing w:val="-10"/>
        </w:rPr>
        <w:t> </w:t>
      </w:r>
      <w:r>
        <w:rPr>
          <w:spacing w:val="-4"/>
        </w:rPr>
        <w:t>to</w:t>
      </w:r>
      <w:r>
        <w:rPr>
          <w:spacing w:val="-10"/>
        </w:rPr>
        <w:t> </w:t>
      </w:r>
      <w:r>
        <w:rPr>
          <w:spacing w:val="-4"/>
        </w:rPr>
        <w:t>India’s</w:t>
      </w:r>
      <w:r>
        <w:rPr>
          <w:spacing w:val="-10"/>
        </w:rPr>
        <w:t> </w:t>
      </w:r>
      <w:r>
        <w:rPr>
          <w:spacing w:val="-4"/>
        </w:rPr>
        <w:t>socioeconomic</w:t>
      </w:r>
      <w:r>
        <w:rPr>
          <w:spacing w:val="-9"/>
        </w:rPr>
        <w:t> </w:t>
      </w:r>
      <w:r>
        <w:rPr>
          <w:spacing w:val="-4"/>
        </w:rPr>
        <w:t>development</w:t>
      </w:r>
      <w:r>
        <w:rPr>
          <w:spacing w:val="-10"/>
        </w:rPr>
        <w:t> </w:t>
      </w:r>
      <w:r>
        <w:rPr>
          <w:spacing w:val="-4"/>
        </w:rPr>
        <w:t>and </w:t>
      </w:r>
      <w:r>
        <w:rPr>
          <w:spacing w:val="-6"/>
        </w:rPr>
        <w:t>progress</w:t>
      </w:r>
      <w:r>
        <w:rPr>
          <w:spacing w:val="-8"/>
        </w:rPr>
        <w:t> </w:t>
      </w:r>
      <w:r>
        <w:rPr>
          <w:spacing w:val="-6"/>
        </w:rPr>
        <w:t>in</w:t>
      </w:r>
      <w:r>
        <w:rPr>
          <w:spacing w:val="-8"/>
        </w:rPr>
        <w:t> </w:t>
      </w:r>
      <w:r>
        <w:rPr>
          <w:spacing w:val="-6"/>
        </w:rPr>
        <w:t>science</w:t>
      </w:r>
      <w:r>
        <w:rPr>
          <w:spacing w:val="-8"/>
        </w:rPr>
        <w:t> </w:t>
      </w:r>
      <w:r>
        <w:rPr>
          <w:spacing w:val="-6"/>
        </w:rPr>
        <w:t>and</w:t>
      </w:r>
      <w:r>
        <w:rPr>
          <w:spacing w:val="-7"/>
        </w:rPr>
        <w:t> </w:t>
      </w:r>
      <w:r>
        <w:rPr>
          <w:spacing w:val="-6"/>
        </w:rPr>
        <w:t>technology.</w:t>
      </w:r>
      <w:r>
        <w:rPr>
          <w:spacing w:val="-8"/>
        </w:rPr>
        <w:t> </w:t>
      </w:r>
      <w:r>
        <w:rPr>
          <w:spacing w:val="-6"/>
        </w:rPr>
        <w:t>Strong</w:t>
      </w:r>
      <w:r>
        <w:rPr>
          <w:spacing w:val="-8"/>
        </w:rPr>
        <w:t> </w:t>
      </w:r>
      <w:r>
        <w:rPr>
          <w:spacing w:val="-6"/>
        </w:rPr>
        <w:t>linkages</w:t>
      </w:r>
      <w:r>
        <w:rPr>
          <w:spacing w:val="-8"/>
        </w:rPr>
        <w:t> </w:t>
      </w:r>
      <w:r>
        <w:rPr>
          <w:spacing w:val="-6"/>
        </w:rPr>
        <w:t>shall </w:t>
      </w:r>
      <w:r>
        <w:rPr/>
        <w:t>be</w:t>
      </w:r>
      <w:r>
        <w:rPr>
          <w:spacing w:val="-10"/>
        </w:rPr>
        <w:t> </w:t>
      </w:r>
      <w:r>
        <w:rPr/>
        <w:t>forged</w:t>
      </w:r>
      <w:r>
        <w:rPr>
          <w:spacing w:val="-10"/>
        </w:rPr>
        <w:t> </w:t>
      </w:r>
      <w:r>
        <w:rPr/>
        <w:t>between</w:t>
      </w:r>
      <w:r>
        <w:rPr>
          <w:spacing w:val="-10"/>
        </w:rPr>
        <w:t> </w:t>
      </w:r>
      <w:r>
        <w:rPr/>
        <w:t>teaching</w:t>
      </w:r>
      <w:r>
        <w:rPr>
          <w:spacing w:val="-10"/>
        </w:rPr>
        <w:t> </w:t>
      </w:r>
      <w:r>
        <w:rPr/>
        <w:t>and</w:t>
      </w:r>
      <w:r>
        <w:rPr>
          <w:spacing w:val="-10"/>
        </w:rPr>
        <w:t> </w:t>
      </w:r>
      <w:r>
        <w:rPr/>
        <w:t>research,</w:t>
      </w:r>
      <w:r>
        <w:rPr>
          <w:spacing w:val="-10"/>
        </w:rPr>
        <w:t> </w:t>
      </w:r>
      <w:r>
        <w:rPr/>
        <w:t>universities </w:t>
      </w:r>
      <w:r>
        <w:rPr>
          <w:spacing w:val="-4"/>
        </w:rPr>
        <w:t>and industry, and universities and research</w:t>
      </w:r>
      <w:r>
        <w:rPr>
          <w:spacing w:val="-3"/>
        </w:rPr>
        <w:t> </w:t>
      </w:r>
      <w:r>
        <w:rPr>
          <w:spacing w:val="-5"/>
        </w:rPr>
        <w:t>laboratories.</w:t>
      </w:r>
    </w:p>
    <w:p>
      <w:pPr>
        <w:pStyle w:val="BodyText"/>
        <w:spacing w:before="23"/>
      </w:pPr>
    </w:p>
    <w:p>
      <w:pPr>
        <w:pStyle w:val="BodyText"/>
        <w:spacing w:line="266" w:lineRule="auto"/>
        <w:ind w:left="1080"/>
        <w:jc w:val="both"/>
      </w:pPr>
      <w:r>
        <w:rPr/>
        <w:t>The National Universities shall be </w:t>
      </w:r>
      <w:r>
        <w:rPr/>
        <w:t>department-</w:t>
      </w:r>
      <w:r>
        <w:rPr>
          <w:spacing w:val="80"/>
        </w:rPr>
        <w:t> </w:t>
      </w:r>
      <w:r>
        <w:rPr/>
        <w:t>based</w:t>
      </w:r>
      <w:r>
        <w:rPr>
          <w:spacing w:val="-6"/>
        </w:rPr>
        <w:t> </w:t>
      </w:r>
      <w:r>
        <w:rPr/>
        <w:t>and</w:t>
      </w:r>
      <w:r>
        <w:rPr>
          <w:spacing w:val="-6"/>
        </w:rPr>
        <w:t> </w:t>
      </w:r>
      <w:r>
        <w:rPr/>
        <w:t>shall</w:t>
      </w:r>
      <w:r>
        <w:rPr>
          <w:spacing w:val="-6"/>
        </w:rPr>
        <w:t> </w:t>
      </w:r>
      <w:r>
        <w:rPr/>
        <w:t>not</w:t>
      </w:r>
      <w:r>
        <w:rPr>
          <w:spacing w:val="-6"/>
        </w:rPr>
        <w:t> </w:t>
      </w:r>
      <w:r>
        <w:rPr/>
        <w:t>have</w:t>
      </w:r>
      <w:r>
        <w:rPr>
          <w:spacing w:val="-6"/>
        </w:rPr>
        <w:t> </w:t>
      </w:r>
      <w:r>
        <w:rPr/>
        <w:t>any</w:t>
      </w:r>
      <w:r>
        <w:rPr>
          <w:spacing w:val="-6"/>
        </w:rPr>
        <w:t> </w:t>
      </w:r>
      <w:r>
        <w:rPr/>
        <w:t>affiliated</w:t>
      </w:r>
      <w:r>
        <w:rPr>
          <w:spacing w:val="-6"/>
        </w:rPr>
        <w:t> </w:t>
      </w:r>
      <w:r>
        <w:rPr/>
        <w:t>colleges.</w:t>
      </w:r>
      <w:r>
        <w:rPr>
          <w:spacing w:val="-6"/>
        </w:rPr>
        <w:t> </w:t>
      </w:r>
      <w:r>
        <w:rPr/>
        <w:t>Each department will administer undergraduate and post- graduate courses. Nonteaching functions should be outsourced wherever possible, and a maximum ratio of 2:1 should be maintained between non-teaching and</w:t>
      </w:r>
      <w:r>
        <w:rPr>
          <w:spacing w:val="-2"/>
        </w:rPr>
        <w:t> </w:t>
      </w:r>
      <w:r>
        <w:rPr/>
        <w:t>teaching</w:t>
      </w:r>
      <w:r>
        <w:rPr>
          <w:spacing w:val="-2"/>
        </w:rPr>
        <w:t> </w:t>
      </w:r>
      <w:r>
        <w:rPr/>
        <w:t>staff.</w:t>
      </w:r>
      <w:r>
        <w:rPr>
          <w:spacing w:val="-2"/>
        </w:rPr>
        <w:t> </w:t>
      </w:r>
      <w:r>
        <w:rPr/>
        <w:t>Each</w:t>
      </w:r>
      <w:r>
        <w:rPr>
          <w:spacing w:val="-2"/>
        </w:rPr>
        <w:t> </w:t>
      </w:r>
      <w:r>
        <w:rPr/>
        <w:t>university</w:t>
      </w:r>
      <w:r>
        <w:rPr>
          <w:spacing w:val="-2"/>
        </w:rPr>
        <w:t> </w:t>
      </w:r>
      <w:r>
        <w:rPr/>
        <w:t>should</w:t>
      </w:r>
      <w:r>
        <w:rPr>
          <w:spacing w:val="-2"/>
        </w:rPr>
        <w:t> </w:t>
      </w:r>
      <w:r>
        <w:rPr/>
        <w:t>appoint</w:t>
      </w:r>
      <w:r>
        <w:rPr>
          <w:spacing w:val="-2"/>
        </w:rPr>
        <w:t> </w:t>
      </w:r>
      <w:r>
        <w:rPr/>
        <w:t>an internal</w:t>
      </w:r>
      <w:r>
        <w:rPr>
          <w:spacing w:val="-12"/>
        </w:rPr>
        <w:t> </w:t>
      </w:r>
      <w:r>
        <w:rPr/>
        <w:t>ombudsman</w:t>
      </w:r>
      <w:r>
        <w:rPr>
          <w:spacing w:val="-12"/>
        </w:rPr>
        <w:t> </w:t>
      </w:r>
      <w:r>
        <w:rPr/>
        <w:t>for</w:t>
      </w:r>
      <w:r>
        <w:rPr>
          <w:spacing w:val="-12"/>
        </w:rPr>
        <w:t> </w:t>
      </w:r>
      <w:r>
        <w:rPr/>
        <w:t>the</w:t>
      </w:r>
      <w:r>
        <w:rPr>
          <w:spacing w:val="-12"/>
        </w:rPr>
        <w:t> </w:t>
      </w:r>
      <w:r>
        <w:rPr/>
        <w:t>redressal</w:t>
      </w:r>
      <w:r>
        <w:rPr>
          <w:spacing w:val="-12"/>
        </w:rPr>
        <w:t> </w:t>
      </w:r>
      <w:r>
        <w:rPr/>
        <w:t>of</w:t>
      </w:r>
      <w:r>
        <w:rPr>
          <w:spacing w:val="-12"/>
        </w:rPr>
        <w:t> </w:t>
      </w:r>
      <w:r>
        <w:rPr/>
        <w:t>faculty,</w:t>
      </w:r>
      <w:r>
        <w:rPr>
          <w:spacing w:val="-12"/>
        </w:rPr>
        <w:t> </w:t>
      </w:r>
      <w:r>
        <w:rPr/>
        <w:t>staff, </w:t>
      </w:r>
      <w:r>
        <w:rPr>
          <w:spacing w:val="-6"/>
        </w:rPr>
        <w:t>student</w:t>
      </w:r>
      <w:r>
        <w:rPr>
          <w:spacing w:val="-7"/>
        </w:rPr>
        <w:t> </w:t>
      </w:r>
      <w:r>
        <w:rPr>
          <w:spacing w:val="-6"/>
        </w:rPr>
        <w:t>and</w:t>
      </w:r>
      <w:r>
        <w:rPr>
          <w:spacing w:val="-7"/>
        </w:rPr>
        <w:t> </w:t>
      </w:r>
      <w:r>
        <w:rPr>
          <w:spacing w:val="-6"/>
        </w:rPr>
        <w:t>public</w:t>
      </w:r>
      <w:r>
        <w:rPr>
          <w:spacing w:val="-7"/>
        </w:rPr>
        <w:t> </w:t>
      </w:r>
      <w:r>
        <w:rPr>
          <w:spacing w:val="-6"/>
        </w:rPr>
        <w:t>grievances.</w:t>
      </w:r>
      <w:r>
        <w:rPr>
          <w:spacing w:val="-7"/>
        </w:rPr>
        <w:t> </w:t>
      </w:r>
      <w:r>
        <w:rPr>
          <w:spacing w:val="-6"/>
        </w:rPr>
        <w:t>Administrative</w:t>
      </w:r>
      <w:r>
        <w:rPr>
          <w:spacing w:val="-7"/>
        </w:rPr>
        <w:t> </w:t>
      </w:r>
      <w:r>
        <w:rPr>
          <w:spacing w:val="-6"/>
        </w:rPr>
        <w:t>processes, </w:t>
      </w:r>
      <w:r>
        <w:rPr/>
        <w:t>wherever possible, should be streamlined and made transparent</w:t>
      </w:r>
      <w:r>
        <w:rPr>
          <w:spacing w:val="-12"/>
        </w:rPr>
        <w:t> </w:t>
      </w:r>
      <w:r>
        <w:rPr/>
        <w:t>and</w:t>
      </w:r>
      <w:r>
        <w:rPr>
          <w:spacing w:val="-12"/>
        </w:rPr>
        <w:t> </w:t>
      </w:r>
      <w:r>
        <w:rPr/>
        <w:t>accountable</w:t>
      </w:r>
      <w:r>
        <w:rPr>
          <w:spacing w:val="-12"/>
        </w:rPr>
        <w:t> </w:t>
      </w:r>
      <w:r>
        <w:rPr/>
        <w:t>by</w:t>
      </w:r>
      <w:r>
        <w:rPr>
          <w:spacing w:val="-12"/>
        </w:rPr>
        <w:t> </w:t>
      </w:r>
      <w:r>
        <w:rPr/>
        <w:t>the</w:t>
      </w:r>
      <w:r>
        <w:rPr>
          <w:spacing w:val="-12"/>
        </w:rPr>
        <w:t> </w:t>
      </w:r>
      <w:r>
        <w:rPr/>
        <w:t>use</w:t>
      </w:r>
      <w:r>
        <w:rPr>
          <w:spacing w:val="-12"/>
        </w:rPr>
        <w:t> </w:t>
      </w:r>
      <w:r>
        <w:rPr/>
        <w:t>of</w:t>
      </w:r>
      <w:r>
        <w:rPr>
          <w:spacing w:val="-12"/>
        </w:rPr>
        <w:t> </w:t>
      </w:r>
      <w:r>
        <w:rPr/>
        <w:t>information and communications technology.</w:t>
      </w:r>
    </w:p>
    <w:p>
      <w:pPr>
        <w:pStyle w:val="Heading6"/>
        <w:numPr>
          <w:ilvl w:val="0"/>
          <w:numId w:val="25"/>
        </w:numPr>
        <w:tabs>
          <w:tab w:pos="1405" w:val="left" w:leader="none"/>
        </w:tabs>
        <w:spacing w:line="240" w:lineRule="auto" w:before="177" w:after="0"/>
        <w:ind w:left="1405" w:right="0" w:hanging="325"/>
        <w:jc w:val="left"/>
      </w:pPr>
      <w:r>
        <w:rPr>
          <w:color w:val="2E614A"/>
          <w:spacing w:val="-2"/>
        </w:rPr>
        <w:t>Access</w:t>
      </w:r>
    </w:p>
    <w:p>
      <w:pPr>
        <w:pStyle w:val="BodyText"/>
        <w:spacing w:line="266" w:lineRule="auto" w:before="285"/>
        <w:ind w:left="1080"/>
        <w:jc w:val="both"/>
      </w:pPr>
      <w:r>
        <w:rPr>
          <w:spacing w:val="-10"/>
        </w:rPr>
        <w:t>Education</w:t>
      </w:r>
      <w:r>
        <w:rPr/>
        <w:t> </w:t>
      </w:r>
      <w:r>
        <w:rPr>
          <w:spacing w:val="-10"/>
        </w:rPr>
        <w:t>is</w:t>
      </w:r>
      <w:r>
        <w:rPr/>
        <w:t> </w:t>
      </w:r>
      <w:r>
        <w:rPr>
          <w:spacing w:val="-10"/>
        </w:rPr>
        <w:t>an</w:t>
      </w:r>
      <w:r>
        <w:rPr/>
        <w:t> </w:t>
      </w:r>
      <w:r>
        <w:rPr>
          <w:spacing w:val="-10"/>
        </w:rPr>
        <w:t>essential</w:t>
      </w:r>
      <w:r>
        <w:rPr/>
        <w:t> </w:t>
      </w:r>
      <w:r>
        <w:rPr>
          <w:spacing w:val="-10"/>
        </w:rPr>
        <w:t>mechanism</w:t>
      </w:r>
      <w:r>
        <w:rPr/>
        <w:t> </w:t>
      </w:r>
      <w:r>
        <w:rPr>
          <w:spacing w:val="-10"/>
        </w:rPr>
        <w:t>for</w:t>
      </w:r>
      <w:r>
        <w:rPr/>
        <w:t> </w:t>
      </w:r>
      <w:r>
        <w:rPr>
          <w:spacing w:val="-10"/>
        </w:rPr>
        <w:t>inclusion</w:t>
      </w:r>
      <w:r>
        <w:rPr/>
        <w:t> </w:t>
      </w:r>
      <w:r>
        <w:rPr>
          <w:spacing w:val="-10"/>
        </w:rPr>
        <w:t>through </w:t>
      </w:r>
      <w:r>
        <w:rPr>
          <w:w w:val="90"/>
        </w:rPr>
        <w:t>the</w:t>
      </w:r>
      <w:r>
        <w:rPr>
          <w:spacing w:val="-11"/>
          <w:w w:val="90"/>
        </w:rPr>
        <w:t> </w:t>
      </w:r>
      <w:r>
        <w:rPr>
          <w:w w:val="90"/>
        </w:rPr>
        <w:t>creation</w:t>
      </w:r>
      <w:r>
        <w:rPr>
          <w:spacing w:val="-8"/>
          <w:w w:val="90"/>
        </w:rPr>
        <w:t> </w:t>
      </w:r>
      <w:r>
        <w:rPr>
          <w:w w:val="90"/>
        </w:rPr>
        <w:t>of</w:t>
      </w:r>
      <w:r>
        <w:rPr>
          <w:spacing w:val="-8"/>
          <w:w w:val="90"/>
        </w:rPr>
        <w:t> </w:t>
      </w:r>
      <w:r>
        <w:rPr>
          <w:w w:val="90"/>
        </w:rPr>
        <w:t>social</w:t>
      </w:r>
      <w:r>
        <w:rPr>
          <w:spacing w:val="-8"/>
          <w:w w:val="90"/>
        </w:rPr>
        <w:t> </w:t>
      </w:r>
      <w:r>
        <w:rPr>
          <w:w w:val="90"/>
        </w:rPr>
        <w:t>opportunities.</w:t>
      </w:r>
      <w:r>
        <w:rPr>
          <w:spacing w:val="-9"/>
          <w:w w:val="90"/>
        </w:rPr>
        <w:t> </w:t>
      </w:r>
      <w:r>
        <w:rPr>
          <w:w w:val="90"/>
        </w:rPr>
        <w:t>It</w:t>
      </w:r>
      <w:r>
        <w:rPr>
          <w:spacing w:val="-8"/>
          <w:w w:val="90"/>
        </w:rPr>
        <w:t> </w:t>
      </w:r>
      <w:r>
        <w:rPr>
          <w:w w:val="90"/>
        </w:rPr>
        <w:t>is,</w:t>
      </w:r>
      <w:r>
        <w:rPr>
          <w:spacing w:val="-8"/>
          <w:w w:val="90"/>
        </w:rPr>
        <w:t> </w:t>
      </w:r>
      <w:r>
        <w:rPr>
          <w:w w:val="90"/>
        </w:rPr>
        <w:t>therefore,</w:t>
      </w:r>
      <w:r>
        <w:rPr>
          <w:spacing w:val="-8"/>
          <w:w w:val="90"/>
        </w:rPr>
        <w:t> </w:t>
      </w:r>
      <w:r>
        <w:rPr>
          <w:w w:val="90"/>
        </w:rPr>
        <w:t>essential </w:t>
      </w:r>
      <w:r>
        <w:rPr>
          <w:spacing w:val="-2"/>
        </w:rPr>
        <w:t>that</w:t>
      </w:r>
      <w:r>
        <w:rPr>
          <w:spacing w:val="-12"/>
        </w:rPr>
        <w:t> </w:t>
      </w:r>
      <w:r>
        <w:rPr>
          <w:spacing w:val="-2"/>
        </w:rPr>
        <w:t>in</w:t>
      </w:r>
      <w:r>
        <w:rPr>
          <w:spacing w:val="-12"/>
        </w:rPr>
        <w:t> </w:t>
      </w:r>
      <w:r>
        <w:rPr>
          <w:spacing w:val="-2"/>
        </w:rPr>
        <w:t>addition</w:t>
      </w:r>
      <w:r>
        <w:rPr>
          <w:spacing w:val="-12"/>
        </w:rPr>
        <w:t> </w:t>
      </w:r>
      <w:r>
        <w:rPr>
          <w:spacing w:val="-2"/>
        </w:rPr>
        <w:t>to</w:t>
      </w:r>
      <w:r>
        <w:rPr>
          <w:spacing w:val="-11"/>
        </w:rPr>
        <w:t> </w:t>
      </w:r>
      <w:r>
        <w:rPr>
          <w:spacing w:val="-2"/>
        </w:rPr>
        <w:t>ensuring</w:t>
      </w:r>
      <w:r>
        <w:rPr>
          <w:spacing w:val="-12"/>
        </w:rPr>
        <w:t> </w:t>
      </w:r>
      <w:r>
        <w:rPr>
          <w:spacing w:val="-2"/>
        </w:rPr>
        <w:t>that</w:t>
      </w:r>
      <w:r>
        <w:rPr>
          <w:spacing w:val="-12"/>
        </w:rPr>
        <w:t> </w:t>
      </w:r>
      <w:r>
        <w:rPr>
          <w:spacing w:val="-2"/>
        </w:rPr>
        <w:t>no</w:t>
      </w:r>
      <w:r>
        <w:rPr>
          <w:spacing w:val="-12"/>
        </w:rPr>
        <w:t> </w:t>
      </w:r>
      <w:r>
        <w:rPr>
          <w:spacing w:val="-2"/>
        </w:rPr>
        <w:t>student</w:t>
      </w:r>
      <w:r>
        <w:rPr>
          <w:spacing w:val="-11"/>
        </w:rPr>
        <w:t> </w:t>
      </w:r>
      <w:r>
        <w:rPr>
          <w:spacing w:val="-2"/>
        </w:rPr>
        <w:t>is</w:t>
      </w:r>
      <w:r>
        <w:rPr>
          <w:spacing w:val="-12"/>
        </w:rPr>
        <w:t> </w:t>
      </w:r>
      <w:r>
        <w:rPr>
          <w:spacing w:val="-2"/>
        </w:rPr>
        <w:t>denied</w:t>
      </w:r>
      <w:r>
        <w:rPr>
          <w:spacing w:val="-12"/>
        </w:rPr>
        <w:t> </w:t>
      </w:r>
      <w:r>
        <w:rPr>
          <w:spacing w:val="-2"/>
        </w:rPr>
        <w:t>the </w:t>
      </w:r>
      <w:r>
        <w:rPr/>
        <w:t>opportunity to participate in higher education due to </w:t>
      </w:r>
      <w:r>
        <w:rPr>
          <w:spacing w:val="-8"/>
        </w:rPr>
        <w:t>financial</w:t>
      </w:r>
      <w:r>
        <w:rPr>
          <w:spacing w:val="-6"/>
        </w:rPr>
        <w:t> </w:t>
      </w:r>
      <w:r>
        <w:rPr>
          <w:spacing w:val="-8"/>
        </w:rPr>
        <w:t>constraints,</w:t>
      </w:r>
      <w:r>
        <w:rPr>
          <w:spacing w:val="-6"/>
        </w:rPr>
        <w:t> </w:t>
      </w:r>
      <w:r>
        <w:rPr>
          <w:spacing w:val="-8"/>
        </w:rPr>
        <w:t>access</w:t>
      </w:r>
      <w:r>
        <w:rPr>
          <w:spacing w:val="-6"/>
        </w:rPr>
        <w:t> </w:t>
      </w:r>
      <w:r>
        <w:rPr>
          <w:spacing w:val="-8"/>
        </w:rPr>
        <w:t>to</w:t>
      </w:r>
      <w:r>
        <w:rPr>
          <w:spacing w:val="-5"/>
        </w:rPr>
        <w:t> </w:t>
      </w:r>
      <w:r>
        <w:rPr>
          <w:spacing w:val="-8"/>
        </w:rPr>
        <w:t>education</w:t>
      </w:r>
      <w:r>
        <w:rPr>
          <w:spacing w:val="-6"/>
        </w:rPr>
        <w:t> </w:t>
      </w:r>
      <w:r>
        <w:rPr>
          <w:spacing w:val="-8"/>
        </w:rPr>
        <w:t>for</w:t>
      </w:r>
      <w:r>
        <w:rPr>
          <w:spacing w:val="-6"/>
        </w:rPr>
        <w:t> </w:t>
      </w:r>
      <w:r>
        <w:rPr>
          <w:spacing w:val="-8"/>
        </w:rPr>
        <w:t>economically </w:t>
      </w:r>
      <w:r>
        <w:rPr/>
        <w:t>and historically socially underprivileged students is </w:t>
      </w:r>
      <w:r>
        <w:rPr>
          <w:spacing w:val="-6"/>
        </w:rPr>
        <w:t>enhanced in a substantially more effective manner.</w:t>
      </w:r>
    </w:p>
    <w:p>
      <w:pPr>
        <w:pStyle w:val="BodyText"/>
        <w:spacing w:before="21"/>
      </w:pPr>
    </w:p>
    <w:p>
      <w:pPr>
        <w:pStyle w:val="BodyText"/>
        <w:spacing w:line="266" w:lineRule="auto"/>
        <w:ind w:left="1080"/>
        <w:jc w:val="both"/>
      </w:pPr>
      <w:r>
        <w:rPr>
          <w:spacing w:val="-4"/>
        </w:rPr>
        <w:t>Economic</w:t>
      </w:r>
      <w:r>
        <w:rPr>
          <w:spacing w:val="-10"/>
        </w:rPr>
        <w:t> </w:t>
      </w:r>
      <w:r>
        <w:rPr>
          <w:spacing w:val="-4"/>
        </w:rPr>
        <w:t>barriers</w:t>
      </w:r>
      <w:r>
        <w:rPr>
          <w:spacing w:val="-10"/>
        </w:rPr>
        <w:t> </w:t>
      </w:r>
      <w:r>
        <w:rPr>
          <w:spacing w:val="-4"/>
        </w:rPr>
        <w:t>to</w:t>
      </w:r>
      <w:r>
        <w:rPr>
          <w:spacing w:val="-10"/>
        </w:rPr>
        <w:t> </w:t>
      </w:r>
      <w:r>
        <w:rPr>
          <w:spacing w:val="-4"/>
        </w:rPr>
        <w:t>higher</w:t>
      </w:r>
      <w:r>
        <w:rPr>
          <w:spacing w:val="-9"/>
        </w:rPr>
        <w:t> </w:t>
      </w:r>
      <w:r>
        <w:rPr>
          <w:spacing w:val="-4"/>
        </w:rPr>
        <w:t>education</w:t>
      </w:r>
      <w:r>
        <w:rPr>
          <w:spacing w:val="-10"/>
        </w:rPr>
        <w:t> </w:t>
      </w:r>
      <w:r>
        <w:rPr>
          <w:spacing w:val="-4"/>
        </w:rPr>
        <w:t>can</w:t>
      </w:r>
      <w:r>
        <w:rPr>
          <w:spacing w:val="-10"/>
        </w:rPr>
        <w:t> </w:t>
      </w:r>
      <w:r>
        <w:rPr>
          <w:spacing w:val="-4"/>
        </w:rPr>
        <w:t>be</w:t>
      </w:r>
      <w:r>
        <w:rPr>
          <w:spacing w:val="-10"/>
        </w:rPr>
        <w:t> </w:t>
      </w:r>
      <w:r>
        <w:rPr>
          <w:spacing w:val="-4"/>
        </w:rPr>
        <w:t>addressed </w:t>
      </w:r>
      <w:r>
        <w:rPr/>
        <w:t>by</w:t>
      </w:r>
      <w:r>
        <w:rPr>
          <w:spacing w:val="-14"/>
        </w:rPr>
        <w:t> </w:t>
      </w:r>
      <w:r>
        <w:rPr/>
        <w:t>ensuring</w:t>
      </w:r>
      <w:r>
        <w:rPr>
          <w:spacing w:val="-14"/>
        </w:rPr>
        <w:t> </w:t>
      </w:r>
      <w:r>
        <w:rPr/>
        <w:t>financial</w:t>
      </w:r>
      <w:r>
        <w:rPr>
          <w:spacing w:val="-14"/>
        </w:rPr>
        <w:t> </w:t>
      </w:r>
      <w:r>
        <w:rPr/>
        <w:t>viability</w:t>
      </w:r>
      <w:r>
        <w:rPr>
          <w:spacing w:val="-13"/>
        </w:rPr>
        <w:t> </w:t>
      </w:r>
      <w:r>
        <w:rPr/>
        <w:t>for</w:t>
      </w:r>
      <w:r>
        <w:rPr>
          <w:spacing w:val="-14"/>
        </w:rPr>
        <w:t> </w:t>
      </w:r>
      <w:r>
        <w:rPr/>
        <w:t>all</w:t>
      </w:r>
      <w:r>
        <w:rPr>
          <w:spacing w:val="-14"/>
        </w:rPr>
        <w:t> </w:t>
      </w:r>
      <w:r>
        <w:rPr/>
        <w:t>students</w:t>
      </w:r>
      <w:r>
        <w:rPr>
          <w:spacing w:val="-14"/>
        </w:rPr>
        <w:t> </w:t>
      </w:r>
      <w:r>
        <w:rPr/>
        <w:t>wanting to enter the world of higher education. This can be done through two strategies. One is to adopt a </w:t>
      </w:r>
      <w:r>
        <w:rPr>
          <w:i/>
        </w:rPr>
        <w:t>needs blind</w:t>
      </w:r>
      <w:r>
        <w:rPr>
          <w:i/>
          <w:spacing w:val="-14"/>
        </w:rPr>
        <w:t> </w:t>
      </w:r>
      <w:r>
        <w:rPr>
          <w:i/>
        </w:rPr>
        <w:t>admissions</w:t>
      </w:r>
      <w:r>
        <w:rPr>
          <w:i/>
          <w:spacing w:val="-13"/>
        </w:rPr>
        <w:t> </w:t>
      </w:r>
      <w:r>
        <w:rPr/>
        <w:t>policy.</w:t>
      </w:r>
      <w:r>
        <w:rPr>
          <w:spacing w:val="-14"/>
        </w:rPr>
        <w:t> </w:t>
      </w:r>
      <w:r>
        <w:rPr/>
        <w:t>This</w:t>
      </w:r>
      <w:r>
        <w:rPr>
          <w:spacing w:val="-12"/>
        </w:rPr>
        <w:t> </w:t>
      </w:r>
      <w:r>
        <w:rPr/>
        <w:t>would</w:t>
      </w:r>
      <w:r>
        <w:rPr>
          <w:spacing w:val="-12"/>
        </w:rPr>
        <w:t> </w:t>
      </w:r>
      <w:r>
        <w:rPr/>
        <w:t>make</w:t>
      </w:r>
      <w:r>
        <w:rPr>
          <w:spacing w:val="-12"/>
        </w:rPr>
        <w:t> </w:t>
      </w:r>
      <w:r>
        <w:rPr/>
        <w:t>it</w:t>
      </w:r>
      <w:r>
        <w:rPr>
          <w:spacing w:val="-12"/>
        </w:rPr>
        <w:t> </w:t>
      </w:r>
      <w:r>
        <w:rPr/>
        <w:t>unlawful for educational institutions to take into account any </w:t>
      </w:r>
      <w:r>
        <w:rPr>
          <w:spacing w:val="-2"/>
        </w:rPr>
        <w:t>financial</w:t>
      </w:r>
      <w:r>
        <w:rPr>
          <w:spacing w:val="-9"/>
        </w:rPr>
        <w:t> </w:t>
      </w:r>
      <w:r>
        <w:rPr>
          <w:spacing w:val="-2"/>
        </w:rPr>
        <w:t>factor</w:t>
      </w:r>
      <w:r>
        <w:rPr>
          <w:spacing w:val="-9"/>
        </w:rPr>
        <w:t> </w:t>
      </w:r>
      <w:r>
        <w:rPr>
          <w:spacing w:val="-2"/>
        </w:rPr>
        <w:t>while</w:t>
      </w:r>
      <w:r>
        <w:rPr>
          <w:spacing w:val="-9"/>
        </w:rPr>
        <w:t> </w:t>
      </w:r>
      <w:r>
        <w:rPr>
          <w:spacing w:val="-2"/>
        </w:rPr>
        <w:t>deciding</w:t>
      </w:r>
      <w:r>
        <w:rPr>
          <w:spacing w:val="-9"/>
        </w:rPr>
        <w:t> </w:t>
      </w:r>
      <w:r>
        <w:rPr>
          <w:spacing w:val="-2"/>
        </w:rPr>
        <w:t>whether</w:t>
      </w:r>
      <w:r>
        <w:rPr>
          <w:spacing w:val="-9"/>
        </w:rPr>
        <w:t> </w:t>
      </w:r>
      <w:r>
        <w:rPr>
          <w:spacing w:val="-2"/>
        </w:rPr>
        <w:t>or</w:t>
      </w:r>
      <w:r>
        <w:rPr>
          <w:spacing w:val="-9"/>
        </w:rPr>
        <w:t> </w:t>
      </w:r>
      <w:r>
        <w:rPr>
          <w:spacing w:val="-2"/>
        </w:rPr>
        <w:t>not</w:t>
      </w:r>
      <w:r>
        <w:rPr>
          <w:spacing w:val="-9"/>
        </w:rPr>
        <w:t> </w:t>
      </w:r>
      <w:r>
        <w:rPr>
          <w:spacing w:val="-2"/>
        </w:rPr>
        <w:t>to</w:t>
      </w:r>
      <w:r>
        <w:rPr>
          <w:spacing w:val="-9"/>
        </w:rPr>
        <w:t> </w:t>
      </w:r>
      <w:r>
        <w:rPr>
          <w:spacing w:val="-2"/>
        </w:rPr>
        <w:t>admit </w:t>
      </w:r>
      <w:r>
        <w:rPr/>
        <w:t>a</w:t>
      </w:r>
      <w:r>
        <w:rPr>
          <w:spacing w:val="-14"/>
        </w:rPr>
        <w:t> </w:t>
      </w:r>
      <w:r>
        <w:rPr/>
        <w:t>student.</w:t>
      </w:r>
      <w:r>
        <w:rPr>
          <w:spacing w:val="-14"/>
        </w:rPr>
        <w:t> </w:t>
      </w:r>
      <w:r>
        <w:rPr/>
        <w:t>Every</w:t>
      </w:r>
      <w:r>
        <w:rPr>
          <w:spacing w:val="-14"/>
        </w:rPr>
        <w:t> </w:t>
      </w:r>
      <w:r>
        <w:rPr/>
        <w:t>institution</w:t>
      </w:r>
      <w:r>
        <w:rPr>
          <w:spacing w:val="-13"/>
        </w:rPr>
        <w:t> </w:t>
      </w:r>
      <w:r>
        <w:rPr/>
        <w:t>will</w:t>
      </w:r>
      <w:r>
        <w:rPr>
          <w:spacing w:val="-14"/>
        </w:rPr>
        <w:t> </w:t>
      </w:r>
      <w:r>
        <w:rPr/>
        <w:t>be</w:t>
      </w:r>
      <w:r>
        <w:rPr>
          <w:spacing w:val="-14"/>
        </w:rPr>
        <w:t> </w:t>
      </w:r>
      <w:r>
        <w:rPr/>
        <w:t>free</w:t>
      </w:r>
      <w:r>
        <w:rPr>
          <w:spacing w:val="-14"/>
        </w:rPr>
        <w:t> </w:t>
      </w:r>
      <w:r>
        <w:rPr/>
        <w:t>to</w:t>
      </w:r>
      <w:r>
        <w:rPr>
          <w:spacing w:val="-13"/>
        </w:rPr>
        <w:t> </w:t>
      </w:r>
      <w:r>
        <w:rPr/>
        <w:t>use</w:t>
      </w:r>
      <w:r>
        <w:rPr>
          <w:spacing w:val="-14"/>
        </w:rPr>
        <w:t> </w:t>
      </w:r>
      <w:r>
        <w:rPr/>
        <w:t>a</w:t>
      </w:r>
      <w:r>
        <w:rPr>
          <w:spacing w:val="-14"/>
        </w:rPr>
        <w:t> </w:t>
      </w:r>
      <w:r>
        <w:rPr/>
        <w:t>variety </w:t>
      </w:r>
      <w:r>
        <w:rPr>
          <w:spacing w:val="-6"/>
        </w:rPr>
        <w:t>of instruments to achieve this aim: scholarships or cross- </w:t>
      </w:r>
      <w:r>
        <w:rPr/>
        <w:t>subsidies. In addition, academic institutions would</w:t>
      </w:r>
      <w:r>
        <w:rPr>
          <w:spacing w:val="40"/>
        </w:rPr>
        <w:t> </w:t>
      </w:r>
      <w:r>
        <w:rPr/>
        <w:t>be able to set a fee of their own choice subject to the </w:t>
      </w:r>
      <w:r>
        <w:rPr>
          <w:spacing w:val="-6"/>
        </w:rPr>
        <w:t>provision</w:t>
      </w:r>
      <w:r>
        <w:rPr>
          <w:spacing w:val="-8"/>
        </w:rPr>
        <w:t> </w:t>
      </w:r>
      <w:r>
        <w:rPr>
          <w:spacing w:val="-6"/>
        </w:rPr>
        <w:t>that</w:t>
      </w:r>
      <w:r>
        <w:rPr>
          <w:spacing w:val="-8"/>
        </w:rPr>
        <w:t> </w:t>
      </w:r>
      <w:r>
        <w:rPr>
          <w:spacing w:val="-6"/>
        </w:rPr>
        <w:t>there</w:t>
      </w:r>
      <w:r>
        <w:rPr>
          <w:spacing w:val="-8"/>
        </w:rPr>
        <w:t> </w:t>
      </w:r>
      <w:r>
        <w:rPr>
          <w:spacing w:val="-6"/>
        </w:rPr>
        <w:t>are</w:t>
      </w:r>
      <w:r>
        <w:rPr>
          <w:spacing w:val="-7"/>
        </w:rPr>
        <w:t> </w:t>
      </w:r>
      <w:r>
        <w:rPr>
          <w:spacing w:val="-6"/>
        </w:rPr>
        <w:t>at</w:t>
      </w:r>
      <w:r>
        <w:rPr>
          <w:spacing w:val="-8"/>
        </w:rPr>
        <w:t> </w:t>
      </w:r>
      <w:r>
        <w:rPr>
          <w:spacing w:val="-6"/>
        </w:rPr>
        <w:t>least</w:t>
      </w:r>
      <w:r>
        <w:rPr>
          <w:spacing w:val="-8"/>
        </w:rPr>
        <w:t> </w:t>
      </w:r>
      <w:r>
        <w:rPr>
          <w:spacing w:val="-6"/>
        </w:rPr>
        <w:t>two</w:t>
      </w:r>
      <w:r>
        <w:rPr>
          <w:spacing w:val="-8"/>
        </w:rPr>
        <w:t> </w:t>
      </w:r>
      <w:r>
        <w:rPr>
          <w:spacing w:val="-6"/>
        </w:rPr>
        <w:t>banks</w:t>
      </w:r>
      <w:r>
        <w:rPr>
          <w:spacing w:val="-7"/>
        </w:rPr>
        <w:t> </w:t>
      </w:r>
      <w:r>
        <w:rPr>
          <w:spacing w:val="-6"/>
        </w:rPr>
        <w:t>that</w:t>
      </w:r>
      <w:r>
        <w:rPr>
          <w:spacing w:val="-8"/>
        </w:rPr>
        <w:t> </w:t>
      </w:r>
      <w:r>
        <w:rPr>
          <w:spacing w:val="-6"/>
        </w:rPr>
        <w:t>are</w:t>
      </w:r>
      <w:r>
        <w:rPr>
          <w:spacing w:val="-8"/>
        </w:rPr>
        <w:t> </w:t>
      </w:r>
      <w:r>
        <w:rPr>
          <w:spacing w:val="-6"/>
        </w:rPr>
        <w:t>willing </w:t>
      </w:r>
      <w:r>
        <w:rPr>
          <w:spacing w:val="-4"/>
        </w:rPr>
        <w:t>to</w:t>
      </w:r>
      <w:r>
        <w:rPr>
          <w:spacing w:val="-6"/>
        </w:rPr>
        <w:t> </w:t>
      </w:r>
      <w:r>
        <w:rPr>
          <w:spacing w:val="-4"/>
        </w:rPr>
        <w:t>finance</w:t>
      </w:r>
      <w:r>
        <w:rPr>
          <w:spacing w:val="-7"/>
        </w:rPr>
        <w:t> </w:t>
      </w:r>
      <w:r>
        <w:rPr>
          <w:spacing w:val="-4"/>
        </w:rPr>
        <w:t>the</w:t>
      </w:r>
      <w:r>
        <w:rPr>
          <w:spacing w:val="-6"/>
        </w:rPr>
        <w:t> </w:t>
      </w:r>
      <w:r>
        <w:rPr>
          <w:spacing w:val="-4"/>
        </w:rPr>
        <w:t>entire</w:t>
      </w:r>
      <w:r>
        <w:rPr>
          <w:spacing w:val="-7"/>
        </w:rPr>
        <w:t> </w:t>
      </w:r>
      <w:r>
        <w:rPr>
          <w:spacing w:val="-4"/>
        </w:rPr>
        <w:t>cost</w:t>
      </w:r>
      <w:r>
        <w:rPr>
          <w:spacing w:val="-6"/>
        </w:rPr>
        <w:t> </w:t>
      </w:r>
      <w:r>
        <w:rPr>
          <w:spacing w:val="-4"/>
        </w:rPr>
        <w:t>of</w:t>
      </w:r>
      <w:r>
        <w:rPr>
          <w:spacing w:val="-7"/>
        </w:rPr>
        <w:t> </w:t>
      </w:r>
      <w:r>
        <w:rPr>
          <w:spacing w:val="-4"/>
        </w:rPr>
        <w:t>education</w:t>
      </w:r>
      <w:r>
        <w:rPr>
          <w:spacing w:val="-6"/>
        </w:rPr>
        <w:t> </w:t>
      </w:r>
      <w:r>
        <w:rPr>
          <w:spacing w:val="-4"/>
        </w:rPr>
        <w:t>at</w:t>
      </w:r>
      <w:r>
        <w:rPr>
          <w:spacing w:val="-7"/>
        </w:rPr>
        <w:t> </w:t>
      </w:r>
      <w:r>
        <w:rPr>
          <w:spacing w:val="-4"/>
        </w:rPr>
        <w:t>that</w:t>
      </w:r>
      <w:r>
        <w:rPr>
          <w:spacing w:val="-6"/>
        </w:rPr>
        <w:t> </w:t>
      </w:r>
      <w:r>
        <w:rPr>
          <w:spacing w:val="-4"/>
        </w:rPr>
        <w:t>institution, </w:t>
      </w:r>
      <w:r>
        <w:rPr>
          <w:spacing w:val="-2"/>
        </w:rPr>
        <w:t>without</w:t>
      </w:r>
      <w:r>
        <w:rPr>
          <w:spacing w:val="-8"/>
        </w:rPr>
        <w:t> </w:t>
      </w:r>
      <w:r>
        <w:rPr>
          <w:spacing w:val="-2"/>
        </w:rPr>
        <w:t>any</w:t>
      </w:r>
      <w:r>
        <w:rPr>
          <w:spacing w:val="-8"/>
        </w:rPr>
        <w:t> </w:t>
      </w:r>
      <w:r>
        <w:rPr>
          <w:spacing w:val="-2"/>
        </w:rPr>
        <w:t>collateral</w:t>
      </w:r>
      <w:r>
        <w:rPr>
          <w:spacing w:val="-8"/>
        </w:rPr>
        <w:t> </w:t>
      </w:r>
      <w:r>
        <w:rPr>
          <w:spacing w:val="-2"/>
        </w:rPr>
        <w:t>other</w:t>
      </w:r>
      <w:r>
        <w:rPr>
          <w:spacing w:val="-8"/>
        </w:rPr>
        <w:t> </w:t>
      </w:r>
      <w:r>
        <w:rPr>
          <w:spacing w:val="-2"/>
        </w:rPr>
        <w:t>than</w:t>
      </w:r>
      <w:r>
        <w:rPr>
          <w:spacing w:val="-8"/>
        </w:rPr>
        <w:t> </w:t>
      </w:r>
      <w:r>
        <w:rPr>
          <w:spacing w:val="-2"/>
        </w:rPr>
        <w:t>the</w:t>
      </w:r>
      <w:r>
        <w:rPr>
          <w:spacing w:val="-8"/>
        </w:rPr>
        <w:t> </w:t>
      </w:r>
      <w:r>
        <w:rPr>
          <w:spacing w:val="-2"/>
        </w:rPr>
        <w:t>fact</w:t>
      </w:r>
      <w:r>
        <w:rPr>
          <w:spacing w:val="-8"/>
        </w:rPr>
        <w:t> </w:t>
      </w:r>
      <w:r>
        <w:rPr>
          <w:spacing w:val="-2"/>
        </w:rPr>
        <w:t>of</w:t>
      </w:r>
      <w:r>
        <w:rPr>
          <w:spacing w:val="-8"/>
        </w:rPr>
        <w:t> </w:t>
      </w:r>
      <w:r>
        <w:rPr>
          <w:spacing w:val="-2"/>
        </w:rPr>
        <w:t>admission. </w:t>
      </w:r>
      <w:r>
        <w:rPr/>
        <w:t>The cost of education includes not just fees but also </w:t>
      </w:r>
      <w:r>
        <w:rPr>
          <w:spacing w:val="-6"/>
        </w:rPr>
        <w:t>reasonable</w:t>
      </w:r>
      <w:r>
        <w:rPr>
          <w:spacing w:val="-8"/>
        </w:rPr>
        <w:t> </w:t>
      </w:r>
      <w:r>
        <w:rPr>
          <w:spacing w:val="-6"/>
        </w:rPr>
        <w:t>living</w:t>
      </w:r>
      <w:r>
        <w:rPr>
          <w:spacing w:val="-8"/>
        </w:rPr>
        <w:t> </w:t>
      </w:r>
      <w:r>
        <w:rPr>
          <w:spacing w:val="-6"/>
        </w:rPr>
        <w:t>expenses</w:t>
      </w:r>
      <w:r>
        <w:rPr>
          <w:spacing w:val="-8"/>
        </w:rPr>
        <w:t> </w:t>
      </w:r>
      <w:r>
        <w:rPr>
          <w:spacing w:val="-6"/>
        </w:rPr>
        <w:t>including</w:t>
      </w:r>
      <w:r>
        <w:rPr>
          <w:spacing w:val="-7"/>
        </w:rPr>
        <w:t> </w:t>
      </w:r>
      <w:r>
        <w:rPr>
          <w:spacing w:val="-6"/>
        </w:rPr>
        <w:t>costs</w:t>
      </w:r>
      <w:r>
        <w:rPr>
          <w:spacing w:val="-8"/>
        </w:rPr>
        <w:t> </w:t>
      </w:r>
      <w:r>
        <w:rPr>
          <w:spacing w:val="-6"/>
        </w:rPr>
        <w:t>such</w:t>
      </w:r>
      <w:r>
        <w:rPr>
          <w:spacing w:val="-8"/>
        </w:rPr>
        <w:t> </w:t>
      </w:r>
      <w:r>
        <w:rPr>
          <w:spacing w:val="-6"/>
        </w:rPr>
        <w:t>as</w:t>
      </w:r>
      <w:r>
        <w:rPr>
          <w:spacing w:val="-8"/>
        </w:rPr>
        <w:t> </w:t>
      </w:r>
      <w:r>
        <w:rPr>
          <w:spacing w:val="-6"/>
        </w:rPr>
        <w:t>hostel </w:t>
      </w:r>
      <w:r>
        <w:rPr>
          <w:spacing w:val="-8"/>
        </w:rPr>
        <w:t>and</w:t>
      </w:r>
      <w:r>
        <w:rPr>
          <w:spacing w:val="-3"/>
        </w:rPr>
        <w:t> </w:t>
      </w:r>
      <w:r>
        <w:rPr>
          <w:spacing w:val="-8"/>
        </w:rPr>
        <w:t>mess</w:t>
      </w:r>
      <w:r>
        <w:rPr>
          <w:spacing w:val="-3"/>
        </w:rPr>
        <w:t> </w:t>
      </w:r>
      <w:r>
        <w:rPr>
          <w:spacing w:val="-8"/>
        </w:rPr>
        <w:t>fees</w:t>
      </w:r>
      <w:r>
        <w:rPr>
          <w:spacing w:val="-3"/>
        </w:rPr>
        <w:t> </w:t>
      </w:r>
      <w:r>
        <w:rPr>
          <w:spacing w:val="-8"/>
        </w:rPr>
        <w:t>and</w:t>
      </w:r>
      <w:r>
        <w:rPr>
          <w:spacing w:val="-3"/>
        </w:rPr>
        <w:t> </w:t>
      </w:r>
      <w:r>
        <w:rPr>
          <w:spacing w:val="-8"/>
        </w:rPr>
        <w:t>any</w:t>
      </w:r>
      <w:r>
        <w:rPr>
          <w:spacing w:val="-3"/>
        </w:rPr>
        <w:t> </w:t>
      </w:r>
      <w:r>
        <w:rPr>
          <w:spacing w:val="-8"/>
        </w:rPr>
        <w:t>other</w:t>
      </w:r>
      <w:r>
        <w:rPr>
          <w:spacing w:val="-3"/>
        </w:rPr>
        <w:t> </w:t>
      </w:r>
      <w:r>
        <w:rPr>
          <w:spacing w:val="-8"/>
        </w:rPr>
        <w:t>expenses</w:t>
      </w:r>
      <w:r>
        <w:rPr>
          <w:spacing w:val="-3"/>
        </w:rPr>
        <w:t> </w:t>
      </w:r>
      <w:r>
        <w:rPr>
          <w:spacing w:val="-8"/>
        </w:rPr>
        <w:t>associated</w:t>
      </w:r>
      <w:r>
        <w:rPr>
          <w:spacing w:val="-3"/>
        </w:rPr>
        <w:t> </w:t>
      </w:r>
      <w:r>
        <w:rPr>
          <w:spacing w:val="-8"/>
        </w:rPr>
        <w:t>with</w:t>
      </w:r>
      <w:r>
        <w:rPr>
          <w:spacing w:val="-3"/>
        </w:rPr>
        <w:t> </w:t>
      </w:r>
      <w:r>
        <w:rPr>
          <w:spacing w:val="-8"/>
        </w:rPr>
        <w:t>the </w:t>
      </w:r>
      <w:r>
        <w:rPr>
          <w:spacing w:val="-2"/>
        </w:rPr>
        <w:t>course</w:t>
      </w:r>
      <w:r>
        <w:rPr>
          <w:spacing w:val="-7"/>
        </w:rPr>
        <w:t> </w:t>
      </w:r>
      <w:r>
        <w:rPr>
          <w:spacing w:val="-2"/>
        </w:rPr>
        <w:t>of</w:t>
      </w:r>
      <w:r>
        <w:rPr>
          <w:spacing w:val="-7"/>
        </w:rPr>
        <w:t> </w:t>
      </w:r>
      <w:r>
        <w:rPr>
          <w:spacing w:val="-2"/>
        </w:rPr>
        <w:t>study.</w:t>
      </w:r>
      <w:r>
        <w:rPr>
          <w:spacing w:val="-7"/>
        </w:rPr>
        <w:t> </w:t>
      </w:r>
      <w:r>
        <w:rPr>
          <w:spacing w:val="-2"/>
        </w:rPr>
        <w:t>Since</w:t>
      </w:r>
      <w:r>
        <w:rPr>
          <w:spacing w:val="-7"/>
        </w:rPr>
        <w:t> </w:t>
      </w:r>
      <w:r>
        <w:rPr>
          <w:spacing w:val="-2"/>
        </w:rPr>
        <w:t>commercial</w:t>
      </w:r>
      <w:r>
        <w:rPr>
          <w:spacing w:val="-7"/>
        </w:rPr>
        <w:t> </w:t>
      </w:r>
      <w:r>
        <w:rPr>
          <w:spacing w:val="-2"/>
        </w:rPr>
        <w:t>banks</w:t>
      </w:r>
      <w:r>
        <w:rPr>
          <w:spacing w:val="-7"/>
        </w:rPr>
        <w:t> </w:t>
      </w:r>
      <w:r>
        <w:rPr>
          <w:spacing w:val="-2"/>
        </w:rPr>
        <w:t>may</w:t>
      </w:r>
      <w:r>
        <w:rPr>
          <w:spacing w:val="-7"/>
        </w:rPr>
        <w:t> </w:t>
      </w:r>
      <w:r>
        <w:rPr>
          <w:spacing w:val="-2"/>
        </w:rPr>
        <w:t>be</w:t>
      </w:r>
      <w:r>
        <w:rPr>
          <w:spacing w:val="-7"/>
        </w:rPr>
        <w:t> </w:t>
      </w:r>
      <w:r>
        <w:rPr>
          <w:spacing w:val="-2"/>
        </w:rPr>
        <w:t>wary of</w:t>
      </w:r>
      <w:r>
        <w:rPr>
          <w:spacing w:val="15"/>
        </w:rPr>
        <w:t> </w:t>
      </w:r>
      <w:r>
        <w:rPr>
          <w:spacing w:val="-2"/>
        </w:rPr>
        <w:t>funding</w:t>
      </w:r>
      <w:r>
        <w:rPr>
          <w:spacing w:val="16"/>
        </w:rPr>
        <w:t> </w:t>
      </w:r>
      <w:r>
        <w:rPr>
          <w:spacing w:val="-2"/>
        </w:rPr>
        <w:t>economically</w:t>
      </w:r>
      <w:r>
        <w:rPr>
          <w:spacing w:val="16"/>
        </w:rPr>
        <w:t> </w:t>
      </w:r>
      <w:r>
        <w:rPr>
          <w:spacing w:val="-2"/>
        </w:rPr>
        <w:t>deprived</w:t>
      </w:r>
      <w:r>
        <w:rPr>
          <w:spacing w:val="16"/>
        </w:rPr>
        <w:t> </w:t>
      </w:r>
      <w:r>
        <w:rPr>
          <w:spacing w:val="-2"/>
        </w:rPr>
        <w:t>students,</w:t>
      </w:r>
      <w:r>
        <w:rPr>
          <w:spacing w:val="15"/>
        </w:rPr>
        <w:t> </w:t>
      </w:r>
      <w:r>
        <w:rPr>
          <w:spacing w:val="-9"/>
        </w:rPr>
        <w:t>especially</w:t>
      </w:r>
    </w:p>
    <w:p>
      <w:pPr>
        <w:pStyle w:val="BodyText"/>
        <w:spacing w:line="266" w:lineRule="auto" w:before="57"/>
        <w:ind w:left="319" w:right="1077"/>
        <w:jc w:val="both"/>
      </w:pPr>
      <w:r>
        <w:rPr/>
        <w:br w:type="column"/>
      </w:r>
      <w:r>
        <w:rPr/>
        <w:t>in non-professional courses, we need a well-funded and</w:t>
      </w:r>
      <w:r>
        <w:rPr>
          <w:spacing w:val="-8"/>
        </w:rPr>
        <w:t> </w:t>
      </w:r>
      <w:r>
        <w:rPr/>
        <w:t>extensive</w:t>
      </w:r>
      <w:r>
        <w:rPr>
          <w:spacing w:val="-8"/>
        </w:rPr>
        <w:t> </w:t>
      </w:r>
      <w:r>
        <w:rPr/>
        <w:t>National</w:t>
      </w:r>
      <w:r>
        <w:rPr>
          <w:spacing w:val="-8"/>
        </w:rPr>
        <w:t> </w:t>
      </w:r>
      <w:r>
        <w:rPr/>
        <w:t>Scholarship</w:t>
      </w:r>
      <w:r>
        <w:rPr>
          <w:spacing w:val="-8"/>
        </w:rPr>
        <w:t> </w:t>
      </w:r>
      <w:r>
        <w:rPr/>
        <w:t>Scheme</w:t>
      </w:r>
      <w:r>
        <w:rPr>
          <w:spacing w:val="-8"/>
        </w:rPr>
        <w:t> </w:t>
      </w:r>
      <w:r>
        <w:rPr/>
        <w:t>targeting </w:t>
      </w:r>
      <w:r>
        <w:rPr>
          <w:spacing w:val="-8"/>
        </w:rPr>
        <w:t>economically</w:t>
      </w:r>
      <w:r>
        <w:rPr/>
        <w:t> </w:t>
      </w:r>
      <w:r>
        <w:rPr>
          <w:spacing w:val="-8"/>
        </w:rPr>
        <w:t>underprivileged</w:t>
      </w:r>
      <w:r>
        <w:rPr/>
        <w:t> </w:t>
      </w:r>
      <w:r>
        <w:rPr>
          <w:spacing w:val="-8"/>
        </w:rPr>
        <w:t>students</w:t>
      </w:r>
      <w:r>
        <w:rPr/>
        <w:t> </w:t>
      </w:r>
      <w:r>
        <w:rPr>
          <w:spacing w:val="-8"/>
        </w:rPr>
        <w:t>and</w:t>
      </w:r>
      <w:r>
        <w:rPr/>
        <w:t> </w:t>
      </w:r>
      <w:r>
        <w:rPr>
          <w:spacing w:val="-8"/>
        </w:rPr>
        <w:t>students</w:t>
      </w:r>
      <w:r>
        <w:rPr/>
        <w:t> </w:t>
      </w:r>
      <w:r>
        <w:rPr>
          <w:spacing w:val="-8"/>
        </w:rPr>
        <w:t>from </w:t>
      </w:r>
      <w:r>
        <w:rPr>
          <w:spacing w:val="-2"/>
        </w:rPr>
        <w:t>historically</w:t>
      </w:r>
      <w:r>
        <w:rPr>
          <w:spacing w:val="-12"/>
        </w:rPr>
        <w:t> </w:t>
      </w:r>
      <w:r>
        <w:rPr>
          <w:spacing w:val="-2"/>
        </w:rPr>
        <w:t>socially</w:t>
      </w:r>
      <w:r>
        <w:rPr>
          <w:spacing w:val="-12"/>
        </w:rPr>
        <w:t> </w:t>
      </w:r>
      <w:r>
        <w:rPr>
          <w:spacing w:val="-2"/>
        </w:rPr>
        <w:t>disadvantaged</w:t>
      </w:r>
      <w:r>
        <w:rPr>
          <w:spacing w:val="-12"/>
        </w:rPr>
        <w:t> </w:t>
      </w:r>
      <w:r>
        <w:rPr>
          <w:spacing w:val="-2"/>
        </w:rPr>
        <w:t>groups,</w:t>
      </w:r>
      <w:r>
        <w:rPr>
          <w:spacing w:val="-11"/>
        </w:rPr>
        <w:t> </w:t>
      </w:r>
      <w:r>
        <w:rPr>
          <w:spacing w:val="-2"/>
        </w:rPr>
        <w:t>particularly students</w:t>
      </w:r>
      <w:r>
        <w:rPr>
          <w:spacing w:val="-12"/>
        </w:rPr>
        <w:t> </w:t>
      </w:r>
      <w:r>
        <w:rPr>
          <w:spacing w:val="-2"/>
        </w:rPr>
        <w:t>from</w:t>
      </w:r>
      <w:r>
        <w:rPr>
          <w:spacing w:val="-12"/>
        </w:rPr>
        <w:t> </w:t>
      </w:r>
      <w:r>
        <w:rPr>
          <w:spacing w:val="-2"/>
        </w:rPr>
        <w:t>rural</w:t>
      </w:r>
      <w:r>
        <w:rPr>
          <w:spacing w:val="-12"/>
        </w:rPr>
        <w:t> </w:t>
      </w:r>
      <w:r>
        <w:rPr>
          <w:spacing w:val="-2"/>
        </w:rPr>
        <w:t>and</w:t>
      </w:r>
      <w:r>
        <w:rPr>
          <w:spacing w:val="-11"/>
        </w:rPr>
        <w:t> </w:t>
      </w:r>
      <w:r>
        <w:rPr>
          <w:spacing w:val="-2"/>
        </w:rPr>
        <w:t>backward</w:t>
      </w:r>
      <w:r>
        <w:rPr>
          <w:spacing w:val="-12"/>
        </w:rPr>
        <w:t> </w:t>
      </w:r>
      <w:r>
        <w:rPr>
          <w:spacing w:val="-2"/>
        </w:rPr>
        <w:t>areas.</w:t>
      </w:r>
      <w:r>
        <w:rPr>
          <w:spacing w:val="-12"/>
        </w:rPr>
        <w:t> </w:t>
      </w:r>
      <w:r>
        <w:rPr>
          <w:spacing w:val="-2"/>
        </w:rPr>
        <w:t>The</w:t>
      </w:r>
      <w:r>
        <w:rPr>
          <w:spacing w:val="-12"/>
        </w:rPr>
        <w:t> </w:t>
      </w:r>
      <w:r>
        <w:rPr>
          <w:spacing w:val="-2"/>
        </w:rPr>
        <w:t>success</w:t>
      </w:r>
      <w:r>
        <w:rPr>
          <w:spacing w:val="-11"/>
        </w:rPr>
        <w:t> </w:t>
      </w:r>
      <w:r>
        <w:rPr>
          <w:spacing w:val="-2"/>
        </w:rPr>
        <w:t>of </w:t>
      </w:r>
      <w:r>
        <w:rPr>
          <w:spacing w:val="-4"/>
        </w:rPr>
        <w:t>this</w:t>
      </w:r>
      <w:r>
        <w:rPr>
          <w:spacing w:val="-10"/>
        </w:rPr>
        <w:t> </w:t>
      </w:r>
      <w:r>
        <w:rPr>
          <w:spacing w:val="-4"/>
        </w:rPr>
        <w:t>proposal</w:t>
      </w:r>
      <w:r>
        <w:rPr>
          <w:spacing w:val="-10"/>
        </w:rPr>
        <w:t> </w:t>
      </w:r>
      <w:r>
        <w:rPr>
          <w:spacing w:val="-4"/>
        </w:rPr>
        <w:t>depends</w:t>
      </w:r>
      <w:r>
        <w:rPr>
          <w:spacing w:val="-10"/>
        </w:rPr>
        <w:t> </w:t>
      </w:r>
      <w:r>
        <w:rPr>
          <w:spacing w:val="-4"/>
        </w:rPr>
        <w:t>on</w:t>
      </w:r>
      <w:r>
        <w:rPr>
          <w:spacing w:val="-9"/>
        </w:rPr>
        <w:t> </w:t>
      </w:r>
      <w:r>
        <w:rPr>
          <w:spacing w:val="-4"/>
        </w:rPr>
        <w:t>generous</w:t>
      </w:r>
      <w:r>
        <w:rPr>
          <w:spacing w:val="-10"/>
        </w:rPr>
        <w:t> </w:t>
      </w:r>
      <w:r>
        <w:rPr>
          <w:spacing w:val="-4"/>
        </w:rPr>
        <w:t>government</w:t>
      </w:r>
      <w:r>
        <w:rPr>
          <w:spacing w:val="-10"/>
        </w:rPr>
        <w:t> </w:t>
      </w:r>
      <w:r>
        <w:rPr>
          <w:spacing w:val="-4"/>
        </w:rPr>
        <w:t>support. For</w:t>
      </w:r>
      <w:r>
        <w:rPr>
          <w:spacing w:val="-10"/>
        </w:rPr>
        <w:t> </w:t>
      </w:r>
      <w:r>
        <w:rPr>
          <w:spacing w:val="-4"/>
        </w:rPr>
        <w:t>instance,</w:t>
      </w:r>
      <w:r>
        <w:rPr>
          <w:spacing w:val="-10"/>
        </w:rPr>
        <w:t> </w:t>
      </w:r>
      <w:r>
        <w:rPr>
          <w:spacing w:val="-4"/>
        </w:rPr>
        <w:t>the</w:t>
      </w:r>
      <w:r>
        <w:rPr>
          <w:spacing w:val="-10"/>
        </w:rPr>
        <w:t> </w:t>
      </w:r>
      <w:r>
        <w:rPr>
          <w:spacing w:val="-4"/>
        </w:rPr>
        <w:t>government</w:t>
      </w:r>
      <w:r>
        <w:rPr>
          <w:spacing w:val="-9"/>
        </w:rPr>
        <w:t> </w:t>
      </w:r>
      <w:r>
        <w:rPr>
          <w:spacing w:val="-4"/>
        </w:rPr>
        <w:t>should</w:t>
      </w:r>
      <w:r>
        <w:rPr>
          <w:spacing w:val="-10"/>
        </w:rPr>
        <w:t> </w:t>
      </w:r>
      <w:r>
        <w:rPr>
          <w:spacing w:val="-4"/>
        </w:rPr>
        <w:t>endeavour</w:t>
      </w:r>
      <w:r>
        <w:rPr>
          <w:spacing w:val="-10"/>
        </w:rPr>
        <w:t> </w:t>
      </w:r>
      <w:r>
        <w:rPr>
          <w:spacing w:val="-4"/>
        </w:rPr>
        <w:t>to</w:t>
      </w:r>
      <w:r>
        <w:rPr>
          <w:spacing w:val="-10"/>
        </w:rPr>
        <w:t> </w:t>
      </w:r>
      <w:r>
        <w:rPr>
          <w:spacing w:val="-4"/>
        </w:rPr>
        <w:t>make </w:t>
      </w:r>
      <w:r>
        <w:rPr>
          <w:spacing w:val="-2"/>
        </w:rPr>
        <w:t>available</w:t>
      </w:r>
      <w:r>
        <w:rPr>
          <w:spacing w:val="-12"/>
        </w:rPr>
        <w:t> </w:t>
      </w:r>
      <w:r>
        <w:rPr>
          <w:spacing w:val="-2"/>
        </w:rPr>
        <w:t>about</w:t>
      </w:r>
      <w:r>
        <w:rPr>
          <w:spacing w:val="-12"/>
        </w:rPr>
        <w:t> </w:t>
      </w:r>
      <w:r>
        <w:rPr>
          <w:spacing w:val="-2"/>
        </w:rPr>
        <w:t>100,000</w:t>
      </w:r>
      <w:r>
        <w:rPr>
          <w:spacing w:val="-12"/>
        </w:rPr>
        <w:t> </w:t>
      </w:r>
      <w:r>
        <w:rPr>
          <w:spacing w:val="-2"/>
        </w:rPr>
        <w:t>scholarships</w:t>
      </w:r>
      <w:r>
        <w:rPr>
          <w:spacing w:val="-11"/>
        </w:rPr>
        <w:t> </w:t>
      </w:r>
      <w:r>
        <w:rPr>
          <w:spacing w:val="-2"/>
        </w:rPr>
        <w:t>for</w:t>
      </w:r>
      <w:r>
        <w:rPr>
          <w:spacing w:val="-12"/>
        </w:rPr>
        <w:t> </w:t>
      </w:r>
      <w:r>
        <w:rPr>
          <w:spacing w:val="-2"/>
        </w:rPr>
        <w:t>such</w:t>
      </w:r>
      <w:r>
        <w:rPr>
          <w:spacing w:val="-12"/>
        </w:rPr>
        <w:t> </w:t>
      </w:r>
      <w:r>
        <w:rPr>
          <w:spacing w:val="-2"/>
        </w:rPr>
        <w:t>students. </w:t>
      </w:r>
      <w:r>
        <w:rPr>
          <w:spacing w:val="-8"/>
        </w:rPr>
        <w:t>These</w:t>
      </w:r>
      <w:r>
        <w:rPr>
          <w:spacing w:val="-5"/>
        </w:rPr>
        <w:t> </w:t>
      </w:r>
      <w:r>
        <w:rPr>
          <w:spacing w:val="-8"/>
        </w:rPr>
        <w:t>scholarships</w:t>
      </w:r>
      <w:r>
        <w:rPr>
          <w:spacing w:val="-5"/>
        </w:rPr>
        <w:t> </w:t>
      </w:r>
      <w:r>
        <w:rPr>
          <w:spacing w:val="-8"/>
        </w:rPr>
        <w:t>should</w:t>
      </w:r>
      <w:r>
        <w:rPr>
          <w:spacing w:val="-5"/>
        </w:rPr>
        <w:t> </w:t>
      </w:r>
      <w:r>
        <w:rPr>
          <w:spacing w:val="-8"/>
        </w:rPr>
        <w:t>be</w:t>
      </w:r>
      <w:r>
        <w:rPr>
          <w:spacing w:val="-4"/>
        </w:rPr>
        <w:t> </w:t>
      </w:r>
      <w:r>
        <w:rPr>
          <w:spacing w:val="-8"/>
        </w:rPr>
        <w:t>set</w:t>
      </w:r>
      <w:r>
        <w:rPr>
          <w:spacing w:val="-5"/>
        </w:rPr>
        <w:t> </w:t>
      </w:r>
      <w:r>
        <w:rPr>
          <w:spacing w:val="-8"/>
        </w:rPr>
        <w:t>at</w:t>
      </w:r>
      <w:r>
        <w:rPr>
          <w:spacing w:val="-4"/>
        </w:rPr>
        <w:t> </w:t>
      </w:r>
      <w:r>
        <w:rPr>
          <w:spacing w:val="-8"/>
        </w:rPr>
        <w:t>a</w:t>
      </w:r>
      <w:r>
        <w:rPr>
          <w:spacing w:val="-5"/>
        </w:rPr>
        <w:t> </w:t>
      </w:r>
      <w:r>
        <w:rPr>
          <w:spacing w:val="-8"/>
        </w:rPr>
        <w:t>level</w:t>
      </w:r>
      <w:r>
        <w:rPr>
          <w:spacing w:val="-5"/>
        </w:rPr>
        <w:t> </w:t>
      </w:r>
      <w:r>
        <w:rPr>
          <w:spacing w:val="-8"/>
        </w:rPr>
        <w:t>where</w:t>
      </w:r>
      <w:r>
        <w:rPr>
          <w:spacing w:val="-4"/>
        </w:rPr>
        <w:t> </w:t>
      </w:r>
      <w:r>
        <w:rPr>
          <w:spacing w:val="-8"/>
        </w:rPr>
        <w:t>students </w:t>
      </w:r>
      <w:r>
        <w:rPr/>
        <w:t>are</w:t>
      </w:r>
      <w:r>
        <w:rPr>
          <w:spacing w:val="-14"/>
        </w:rPr>
        <w:t> </w:t>
      </w:r>
      <w:r>
        <w:rPr/>
        <w:t>empowered</w:t>
      </w:r>
      <w:r>
        <w:rPr>
          <w:spacing w:val="-14"/>
        </w:rPr>
        <w:t> </w:t>
      </w:r>
      <w:r>
        <w:rPr/>
        <w:t>to</w:t>
      </w:r>
      <w:r>
        <w:rPr>
          <w:spacing w:val="-14"/>
        </w:rPr>
        <w:t> </w:t>
      </w:r>
      <w:r>
        <w:rPr/>
        <w:t>go</w:t>
      </w:r>
      <w:r>
        <w:rPr>
          <w:spacing w:val="-13"/>
        </w:rPr>
        <w:t> </w:t>
      </w:r>
      <w:r>
        <w:rPr/>
        <w:t>to</w:t>
      </w:r>
      <w:r>
        <w:rPr>
          <w:spacing w:val="-14"/>
        </w:rPr>
        <w:t> </w:t>
      </w:r>
      <w:r>
        <w:rPr/>
        <w:t>any</w:t>
      </w:r>
      <w:r>
        <w:rPr>
          <w:spacing w:val="-14"/>
        </w:rPr>
        <w:t> </w:t>
      </w:r>
      <w:r>
        <w:rPr/>
        <w:t>institution</w:t>
      </w:r>
      <w:r>
        <w:rPr>
          <w:spacing w:val="-14"/>
        </w:rPr>
        <w:t> </w:t>
      </w:r>
      <w:r>
        <w:rPr/>
        <w:t>of</w:t>
      </w:r>
      <w:r>
        <w:rPr>
          <w:spacing w:val="-13"/>
        </w:rPr>
        <w:t> </w:t>
      </w:r>
      <w:r>
        <w:rPr/>
        <w:t>their</w:t>
      </w:r>
      <w:r>
        <w:rPr>
          <w:spacing w:val="-14"/>
        </w:rPr>
        <w:t> </w:t>
      </w:r>
      <w:r>
        <w:rPr/>
        <w:t>choice.</w:t>
      </w:r>
    </w:p>
    <w:p>
      <w:pPr>
        <w:pStyle w:val="BodyText"/>
        <w:spacing w:before="19"/>
      </w:pPr>
    </w:p>
    <w:p>
      <w:pPr>
        <w:pStyle w:val="BodyText"/>
        <w:spacing w:line="266" w:lineRule="auto"/>
        <w:ind w:left="319" w:right="1077"/>
        <w:jc w:val="both"/>
      </w:pPr>
      <w:r>
        <w:rPr/>
        <w:t>We also need to undertake more proactive forms </w:t>
      </w:r>
      <w:r>
        <w:rPr/>
        <w:t>of affirmative</w:t>
      </w:r>
      <w:r>
        <w:rPr>
          <w:spacing w:val="-11"/>
        </w:rPr>
        <w:t> </w:t>
      </w:r>
      <w:r>
        <w:rPr/>
        <w:t>action</w:t>
      </w:r>
      <w:r>
        <w:rPr>
          <w:spacing w:val="-11"/>
        </w:rPr>
        <w:t> </w:t>
      </w:r>
      <w:r>
        <w:rPr/>
        <w:t>to</w:t>
      </w:r>
      <w:r>
        <w:rPr>
          <w:spacing w:val="-11"/>
        </w:rPr>
        <w:t> </w:t>
      </w:r>
      <w:r>
        <w:rPr/>
        <w:t>ensure</w:t>
      </w:r>
      <w:r>
        <w:rPr>
          <w:spacing w:val="-11"/>
        </w:rPr>
        <w:t> </w:t>
      </w:r>
      <w:r>
        <w:rPr/>
        <w:t>inclusion</w:t>
      </w:r>
      <w:r>
        <w:rPr>
          <w:spacing w:val="-11"/>
        </w:rPr>
        <w:t> </w:t>
      </w:r>
      <w:r>
        <w:rPr/>
        <w:t>of</w:t>
      </w:r>
      <w:r>
        <w:rPr>
          <w:spacing w:val="-11"/>
        </w:rPr>
        <w:t> </w:t>
      </w:r>
      <w:r>
        <w:rPr/>
        <w:t>marginal</w:t>
      </w:r>
      <w:r>
        <w:rPr>
          <w:spacing w:val="-11"/>
        </w:rPr>
        <w:t> </w:t>
      </w:r>
      <w:r>
        <w:rPr/>
        <w:t>and </w:t>
      </w:r>
      <w:r>
        <w:rPr>
          <w:spacing w:val="-4"/>
        </w:rPr>
        <w:t>excluded</w:t>
      </w:r>
      <w:r>
        <w:rPr>
          <w:spacing w:val="-10"/>
        </w:rPr>
        <w:t> </w:t>
      </w:r>
      <w:r>
        <w:rPr>
          <w:spacing w:val="-4"/>
        </w:rPr>
        <w:t>groups.</w:t>
      </w:r>
      <w:r>
        <w:rPr>
          <w:spacing w:val="-10"/>
        </w:rPr>
        <w:t> </w:t>
      </w:r>
      <w:r>
        <w:rPr>
          <w:spacing w:val="-4"/>
        </w:rPr>
        <w:t>Reservations</w:t>
      </w:r>
      <w:r>
        <w:rPr>
          <w:spacing w:val="-10"/>
        </w:rPr>
        <w:t> </w:t>
      </w:r>
      <w:r>
        <w:rPr>
          <w:spacing w:val="-4"/>
        </w:rPr>
        <w:t>are</w:t>
      </w:r>
      <w:r>
        <w:rPr>
          <w:spacing w:val="-9"/>
        </w:rPr>
        <w:t> </w:t>
      </w:r>
      <w:r>
        <w:rPr>
          <w:spacing w:val="-4"/>
        </w:rPr>
        <w:t>essential</w:t>
      </w:r>
      <w:r>
        <w:rPr>
          <w:spacing w:val="-10"/>
        </w:rPr>
        <w:t> </w:t>
      </w:r>
      <w:r>
        <w:rPr>
          <w:spacing w:val="-4"/>
        </w:rPr>
        <w:t>but</w:t>
      </w:r>
      <w:r>
        <w:rPr>
          <w:spacing w:val="-10"/>
        </w:rPr>
        <w:t> </w:t>
      </w:r>
      <w:r>
        <w:rPr>
          <w:spacing w:val="-4"/>
        </w:rPr>
        <w:t>they</w:t>
      </w:r>
      <w:r>
        <w:rPr>
          <w:spacing w:val="-10"/>
        </w:rPr>
        <w:t> </w:t>
      </w:r>
      <w:r>
        <w:rPr>
          <w:spacing w:val="-4"/>
        </w:rPr>
        <w:t>are </w:t>
      </w:r>
      <w:r>
        <w:rPr/>
        <w:t>a</w:t>
      </w:r>
      <w:r>
        <w:rPr>
          <w:spacing w:val="-13"/>
        </w:rPr>
        <w:t> </w:t>
      </w:r>
      <w:r>
        <w:rPr/>
        <w:t>part,</w:t>
      </w:r>
      <w:r>
        <w:rPr>
          <w:spacing w:val="-13"/>
        </w:rPr>
        <w:t> </w:t>
      </w:r>
      <w:r>
        <w:rPr/>
        <w:t>and</w:t>
      </w:r>
      <w:r>
        <w:rPr>
          <w:spacing w:val="-13"/>
        </w:rPr>
        <w:t> </w:t>
      </w:r>
      <w:r>
        <w:rPr/>
        <w:t>one</w:t>
      </w:r>
      <w:r>
        <w:rPr>
          <w:spacing w:val="-13"/>
        </w:rPr>
        <w:t> </w:t>
      </w:r>
      <w:r>
        <w:rPr/>
        <w:t>form</w:t>
      </w:r>
      <w:r>
        <w:rPr>
          <w:spacing w:val="-13"/>
        </w:rPr>
        <w:t> </w:t>
      </w:r>
      <w:r>
        <w:rPr/>
        <w:t>of,</w:t>
      </w:r>
      <w:r>
        <w:rPr>
          <w:spacing w:val="-13"/>
        </w:rPr>
        <w:t> </w:t>
      </w:r>
      <w:r>
        <w:rPr/>
        <w:t>affirmative</w:t>
      </w:r>
      <w:r>
        <w:rPr>
          <w:spacing w:val="-13"/>
        </w:rPr>
        <w:t> </w:t>
      </w:r>
      <w:r>
        <w:rPr/>
        <w:t>action.</w:t>
      </w:r>
      <w:r>
        <w:rPr>
          <w:spacing w:val="-13"/>
        </w:rPr>
        <w:t> </w:t>
      </w:r>
      <w:r>
        <w:rPr/>
        <w:t>Disparities </w:t>
      </w:r>
      <w:r>
        <w:rPr>
          <w:spacing w:val="-4"/>
        </w:rPr>
        <w:t>in</w:t>
      </w:r>
      <w:r>
        <w:rPr>
          <w:spacing w:val="-12"/>
        </w:rPr>
        <w:t> </w:t>
      </w:r>
      <w:r>
        <w:rPr>
          <w:spacing w:val="-4"/>
        </w:rPr>
        <w:t>educational</w:t>
      </w:r>
      <w:r>
        <w:rPr>
          <w:spacing w:val="-10"/>
        </w:rPr>
        <w:t> </w:t>
      </w:r>
      <w:r>
        <w:rPr>
          <w:spacing w:val="-4"/>
        </w:rPr>
        <w:t>attainments</w:t>
      </w:r>
      <w:r>
        <w:rPr>
          <w:spacing w:val="-10"/>
        </w:rPr>
        <w:t> </w:t>
      </w:r>
      <w:r>
        <w:rPr>
          <w:spacing w:val="-4"/>
        </w:rPr>
        <w:t>are</w:t>
      </w:r>
      <w:r>
        <w:rPr>
          <w:spacing w:val="-9"/>
        </w:rPr>
        <w:t> </w:t>
      </w:r>
      <w:r>
        <w:rPr>
          <w:spacing w:val="-4"/>
        </w:rPr>
        <w:t>related</w:t>
      </w:r>
      <w:r>
        <w:rPr>
          <w:spacing w:val="-10"/>
        </w:rPr>
        <w:t> </w:t>
      </w:r>
      <w:r>
        <w:rPr>
          <w:spacing w:val="-4"/>
        </w:rPr>
        <w:t>to</w:t>
      </w:r>
      <w:r>
        <w:rPr>
          <w:spacing w:val="-10"/>
        </w:rPr>
        <w:t> </w:t>
      </w:r>
      <w:r>
        <w:rPr>
          <w:spacing w:val="-4"/>
        </w:rPr>
        <w:t>caste</w:t>
      </w:r>
      <w:r>
        <w:rPr>
          <w:spacing w:val="-10"/>
        </w:rPr>
        <w:t> </w:t>
      </w:r>
      <w:r>
        <w:rPr>
          <w:spacing w:val="-4"/>
        </w:rPr>
        <w:t>and</w:t>
      </w:r>
      <w:r>
        <w:rPr>
          <w:spacing w:val="-9"/>
        </w:rPr>
        <w:t> </w:t>
      </w:r>
      <w:r>
        <w:rPr>
          <w:spacing w:val="-4"/>
        </w:rPr>
        <w:t>social </w:t>
      </w:r>
      <w:r>
        <w:rPr>
          <w:spacing w:val="-2"/>
        </w:rPr>
        <w:t>groups,</w:t>
      </w:r>
      <w:r>
        <w:rPr>
          <w:spacing w:val="-7"/>
        </w:rPr>
        <w:t> </w:t>
      </w:r>
      <w:r>
        <w:rPr>
          <w:spacing w:val="-2"/>
        </w:rPr>
        <w:t>but</w:t>
      </w:r>
      <w:r>
        <w:rPr>
          <w:spacing w:val="-7"/>
        </w:rPr>
        <w:t> </w:t>
      </w:r>
      <w:r>
        <w:rPr>
          <w:spacing w:val="-2"/>
        </w:rPr>
        <w:t>are</w:t>
      </w:r>
      <w:r>
        <w:rPr>
          <w:spacing w:val="-7"/>
        </w:rPr>
        <w:t> </w:t>
      </w:r>
      <w:r>
        <w:rPr>
          <w:spacing w:val="-2"/>
        </w:rPr>
        <w:t>also</w:t>
      </w:r>
      <w:r>
        <w:rPr>
          <w:spacing w:val="-7"/>
        </w:rPr>
        <w:t> </w:t>
      </w:r>
      <w:r>
        <w:rPr>
          <w:spacing w:val="-2"/>
        </w:rPr>
        <w:t>strongly</w:t>
      </w:r>
      <w:r>
        <w:rPr>
          <w:spacing w:val="-7"/>
        </w:rPr>
        <w:t> </w:t>
      </w:r>
      <w:r>
        <w:rPr>
          <w:spacing w:val="-2"/>
        </w:rPr>
        <w:t>related</w:t>
      </w:r>
      <w:r>
        <w:rPr>
          <w:spacing w:val="-7"/>
        </w:rPr>
        <w:t> </w:t>
      </w:r>
      <w:r>
        <w:rPr>
          <w:spacing w:val="-2"/>
        </w:rPr>
        <w:t>to</w:t>
      </w:r>
      <w:r>
        <w:rPr>
          <w:spacing w:val="-7"/>
        </w:rPr>
        <w:t> </w:t>
      </w:r>
      <w:r>
        <w:rPr>
          <w:spacing w:val="-2"/>
        </w:rPr>
        <w:t>other</w:t>
      </w:r>
      <w:r>
        <w:rPr>
          <w:spacing w:val="-7"/>
        </w:rPr>
        <w:t> </w:t>
      </w:r>
      <w:r>
        <w:rPr>
          <w:spacing w:val="-2"/>
        </w:rPr>
        <w:t>indicators </w:t>
      </w:r>
      <w:r>
        <w:rPr/>
        <w:t>such</w:t>
      </w:r>
      <w:r>
        <w:rPr>
          <w:spacing w:val="-16"/>
        </w:rPr>
        <w:t> </w:t>
      </w:r>
      <w:r>
        <w:rPr/>
        <w:t>as</w:t>
      </w:r>
      <w:r>
        <w:rPr>
          <w:spacing w:val="-14"/>
        </w:rPr>
        <w:t> </w:t>
      </w:r>
      <w:r>
        <w:rPr/>
        <w:t>income,</w:t>
      </w:r>
      <w:r>
        <w:rPr>
          <w:spacing w:val="-14"/>
        </w:rPr>
        <w:t> </w:t>
      </w:r>
      <w:r>
        <w:rPr/>
        <w:t>gender,</w:t>
      </w:r>
      <w:r>
        <w:rPr>
          <w:spacing w:val="-13"/>
        </w:rPr>
        <w:t> </w:t>
      </w:r>
      <w:r>
        <w:rPr/>
        <w:t>region</w:t>
      </w:r>
      <w:r>
        <w:rPr>
          <w:spacing w:val="-14"/>
        </w:rPr>
        <w:t> </w:t>
      </w:r>
      <w:r>
        <w:rPr/>
        <w:t>and</w:t>
      </w:r>
      <w:r>
        <w:rPr>
          <w:spacing w:val="-14"/>
        </w:rPr>
        <w:t> </w:t>
      </w:r>
      <w:r>
        <w:rPr/>
        <w:t>place</w:t>
      </w:r>
      <w:r>
        <w:rPr>
          <w:spacing w:val="-14"/>
        </w:rPr>
        <w:t> </w:t>
      </w:r>
      <w:r>
        <w:rPr/>
        <w:t>of</w:t>
      </w:r>
      <w:r>
        <w:rPr>
          <w:spacing w:val="-13"/>
        </w:rPr>
        <w:t> </w:t>
      </w:r>
      <w:r>
        <w:rPr/>
        <w:t>residence. Access to quality higher education is further limited for students from certain types of schools. Therefore deprivation of educational opportunities is a multi- dimensional</w:t>
      </w:r>
      <w:r>
        <w:rPr>
          <w:spacing w:val="-14"/>
        </w:rPr>
        <w:t> </w:t>
      </w:r>
      <w:r>
        <w:rPr/>
        <w:t>problem</w:t>
      </w:r>
      <w:r>
        <w:rPr>
          <w:spacing w:val="-13"/>
        </w:rPr>
        <w:t> </w:t>
      </w:r>
      <w:r>
        <w:rPr/>
        <w:t>and</w:t>
      </w:r>
      <w:r>
        <w:rPr>
          <w:spacing w:val="-14"/>
        </w:rPr>
        <w:t> </w:t>
      </w:r>
      <w:r>
        <w:rPr/>
        <w:t>attention</w:t>
      </w:r>
      <w:r>
        <w:rPr>
          <w:spacing w:val="-13"/>
        </w:rPr>
        <w:t> </w:t>
      </w:r>
      <w:r>
        <w:rPr/>
        <w:t>needs</w:t>
      </w:r>
      <w:r>
        <w:rPr>
          <w:spacing w:val="-14"/>
        </w:rPr>
        <w:t> </w:t>
      </w:r>
      <w:r>
        <w:rPr/>
        <w:t>to</w:t>
      </w:r>
      <w:r>
        <w:rPr>
          <w:spacing w:val="-13"/>
        </w:rPr>
        <w:t> </w:t>
      </w:r>
      <w:r>
        <w:rPr/>
        <w:t>be</w:t>
      </w:r>
      <w:r>
        <w:rPr>
          <w:spacing w:val="-14"/>
        </w:rPr>
        <w:t> </w:t>
      </w:r>
      <w:r>
        <w:rPr/>
        <w:t>paid</w:t>
      </w:r>
      <w:r>
        <w:rPr>
          <w:spacing w:val="-13"/>
        </w:rPr>
        <w:t> </w:t>
      </w:r>
      <w:r>
        <w:rPr/>
        <w:t>to </w:t>
      </w:r>
      <w:r>
        <w:rPr>
          <w:spacing w:val="-4"/>
        </w:rPr>
        <w:t>different salient levels of deprivation faced by students. </w:t>
      </w:r>
      <w:r>
        <w:rPr/>
        <w:t>A meaningful and comprehensive framework would </w:t>
      </w:r>
      <w:r>
        <w:rPr>
          <w:w w:val="90"/>
        </w:rPr>
        <w:t>account</w:t>
      </w:r>
      <w:r>
        <w:rPr>
          <w:spacing w:val="-2"/>
          <w:w w:val="90"/>
        </w:rPr>
        <w:t> </w:t>
      </w:r>
      <w:r>
        <w:rPr>
          <w:w w:val="90"/>
        </w:rPr>
        <w:t>for</w:t>
      </w:r>
      <w:r>
        <w:rPr>
          <w:spacing w:val="-2"/>
          <w:w w:val="90"/>
        </w:rPr>
        <w:t> </w:t>
      </w:r>
      <w:r>
        <w:rPr>
          <w:w w:val="90"/>
        </w:rPr>
        <w:t>the</w:t>
      </w:r>
      <w:r>
        <w:rPr>
          <w:spacing w:val="-2"/>
          <w:w w:val="90"/>
        </w:rPr>
        <w:t> </w:t>
      </w:r>
      <w:r>
        <w:rPr>
          <w:w w:val="90"/>
        </w:rPr>
        <w:t>multidimensionality</w:t>
      </w:r>
      <w:r>
        <w:rPr>
          <w:spacing w:val="-2"/>
          <w:w w:val="90"/>
        </w:rPr>
        <w:t> </w:t>
      </w:r>
      <w:r>
        <w:rPr>
          <w:w w:val="90"/>
        </w:rPr>
        <w:t>of</w:t>
      </w:r>
      <w:r>
        <w:rPr>
          <w:spacing w:val="-2"/>
          <w:w w:val="90"/>
        </w:rPr>
        <w:t> </w:t>
      </w:r>
      <w:r>
        <w:rPr>
          <w:w w:val="90"/>
        </w:rPr>
        <w:t>differences</w:t>
      </w:r>
      <w:r>
        <w:rPr>
          <w:spacing w:val="-2"/>
          <w:w w:val="90"/>
        </w:rPr>
        <w:t> </w:t>
      </w:r>
      <w:r>
        <w:rPr>
          <w:w w:val="90"/>
        </w:rPr>
        <w:t>that</w:t>
      </w:r>
      <w:r>
        <w:rPr>
          <w:spacing w:val="-2"/>
          <w:w w:val="90"/>
        </w:rPr>
        <w:t> </w:t>
      </w:r>
      <w:r>
        <w:rPr>
          <w:w w:val="90"/>
        </w:rPr>
        <w:t>still </w:t>
      </w:r>
      <w:r>
        <w:rPr>
          <w:spacing w:val="-6"/>
        </w:rPr>
        <w:t>persist.</w:t>
      </w:r>
      <w:r>
        <w:rPr>
          <w:spacing w:val="-8"/>
        </w:rPr>
        <w:t> </w:t>
      </w:r>
      <w:r>
        <w:rPr>
          <w:spacing w:val="-6"/>
        </w:rPr>
        <w:t>Such</w:t>
      </w:r>
      <w:r>
        <w:rPr>
          <w:spacing w:val="-8"/>
        </w:rPr>
        <w:t> </w:t>
      </w:r>
      <w:r>
        <w:rPr>
          <w:spacing w:val="-6"/>
        </w:rPr>
        <w:t>a</w:t>
      </w:r>
      <w:r>
        <w:rPr>
          <w:spacing w:val="-8"/>
        </w:rPr>
        <w:t> </w:t>
      </w:r>
      <w:r>
        <w:rPr>
          <w:spacing w:val="-6"/>
        </w:rPr>
        <w:t>deprivation</w:t>
      </w:r>
      <w:r>
        <w:rPr>
          <w:spacing w:val="-7"/>
        </w:rPr>
        <w:t> </w:t>
      </w:r>
      <w:r>
        <w:rPr>
          <w:spacing w:val="-6"/>
        </w:rPr>
        <w:t>index</w:t>
      </w:r>
      <w:r>
        <w:rPr>
          <w:spacing w:val="-8"/>
        </w:rPr>
        <w:t> </w:t>
      </w:r>
      <w:r>
        <w:rPr>
          <w:spacing w:val="-6"/>
        </w:rPr>
        <w:t>could</w:t>
      </w:r>
      <w:r>
        <w:rPr>
          <w:spacing w:val="-8"/>
        </w:rPr>
        <w:t> </w:t>
      </w:r>
      <w:r>
        <w:rPr>
          <w:spacing w:val="-6"/>
        </w:rPr>
        <w:t>provide</w:t>
      </w:r>
      <w:r>
        <w:rPr>
          <w:spacing w:val="-8"/>
        </w:rPr>
        <w:t> </w:t>
      </w:r>
      <w:r>
        <w:rPr>
          <w:spacing w:val="-6"/>
        </w:rPr>
        <w:t>weighted </w:t>
      </w:r>
      <w:r>
        <w:rPr>
          <w:spacing w:val="-8"/>
        </w:rPr>
        <w:t>scores</w:t>
      </w:r>
      <w:r>
        <w:rPr>
          <w:spacing w:val="-3"/>
        </w:rPr>
        <w:t> </w:t>
      </w:r>
      <w:r>
        <w:rPr>
          <w:spacing w:val="-8"/>
        </w:rPr>
        <w:t>to</w:t>
      </w:r>
      <w:r>
        <w:rPr>
          <w:spacing w:val="-3"/>
        </w:rPr>
        <w:t> </w:t>
      </w:r>
      <w:r>
        <w:rPr>
          <w:spacing w:val="-8"/>
        </w:rPr>
        <w:t>students</w:t>
      </w:r>
      <w:r>
        <w:rPr>
          <w:spacing w:val="-3"/>
        </w:rPr>
        <w:t> </w:t>
      </w:r>
      <w:r>
        <w:rPr>
          <w:spacing w:val="-8"/>
        </w:rPr>
        <w:t>and</w:t>
      </w:r>
      <w:r>
        <w:rPr>
          <w:spacing w:val="-3"/>
        </w:rPr>
        <w:t> </w:t>
      </w:r>
      <w:r>
        <w:rPr>
          <w:spacing w:val="-8"/>
        </w:rPr>
        <w:t>the</w:t>
      </w:r>
      <w:r>
        <w:rPr>
          <w:spacing w:val="-3"/>
        </w:rPr>
        <w:t> </w:t>
      </w:r>
      <w:r>
        <w:rPr>
          <w:spacing w:val="-8"/>
        </w:rPr>
        <w:t>cumulative</w:t>
      </w:r>
      <w:r>
        <w:rPr>
          <w:spacing w:val="-3"/>
        </w:rPr>
        <w:t> </w:t>
      </w:r>
      <w:r>
        <w:rPr>
          <w:spacing w:val="-8"/>
        </w:rPr>
        <w:t>score</w:t>
      </w:r>
      <w:r>
        <w:rPr>
          <w:spacing w:val="-3"/>
        </w:rPr>
        <w:t> </w:t>
      </w:r>
      <w:r>
        <w:rPr>
          <w:spacing w:val="-8"/>
        </w:rPr>
        <w:t>could</w:t>
      </w:r>
      <w:r>
        <w:rPr>
          <w:spacing w:val="-3"/>
        </w:rPr>
        <w:t> </w:t>
      </w:r>
      <w:r>
        <w:rPr>
          <w:spacing w:val="-8"/>
        </w:rPr>
        <w:t>be</w:t>
      </w:r>
      <w:r>
        <w:rPr>
          <w:spacing w:val="-3"/>
        </w:rPr>
        <w:t> </w:t>
      </w:r>
      <w:r>
        <w:rPr>
          <w:spacing w:val="-8"/>
        </w:rPr>
        <w:t>used to</w:t>
      </w:r>
      <w:r>
        <w:rPr>
          <w:spacing w:val="-6"/>
        </w:rPr>
        <w:t> </w:t>
      </w:r>
      <w:r>
        <w:rPr>
          <w:spacing w:val="-8"/>
        </w:rPr>
        <w:t>supplement</w:t>
      </w:r>
      <w:r>
        <w:rPr>
          <w:spacing w:val="-6"/>
        </w:rPr>
        <w:t> </w:t>
      </w:r>
      <w:r>
        <w:rPr>
          <w:spacing w:val="-8"/>
        </w:rPr>
        <w:t>a</w:t>
      </w:r>
      <w:r>
        <w:rPr>
          <w:spacing w:val="-6"/>
        </w:rPr>
        <w:t> </w:t>
      </w:r>
      <w:r>
        <w:rPr>
          <w:spacing w:val="-8"/>
        </w:rPr>
        <w:t>student’s</w:t>
      </w:r>
      <w:r>
        <w:rPr>
          <w:spacing w:val="-5"/>
        </w:rPr>
        <w:t> </w:t>
      </w:r>
      <w:r>
        <w:rPr>
          <w:spacing w:val="-8"/>
        </w:rPr>
        <w:t>school</w:t>
      </w:r>
      <w:r>
        <w:rPr>
          <w:spacing w:val="-6"/>
        </w:rPr>
        <w:t> </w:t>
      </w:r>
      <w:r>
        <w:rPr>
          <w:spacing w:val="-8"/>
        </w:rPr>
        <w:t>examination</w:t>
      </w:r>
      <w:r>
        <w:rPr>
          <w:spacing w:val="-6"/>
        </w:rPr>
        <w:t> </w:t>
      </w:r>
      <w:r>
        <w:rPr>
          <w:spacing w:val="-8"/>
        </w:rPr>
        <w:t>score.</w:t>
      </w:r>
      <w:r>
        <w:rPr>
          <w:spacing w:val="-6"/>
        </w:rPr>
        <w:t> </w:t>
      </w:r>
      <w:r>
        <w:rPr>
          <w:spacing w:val="-8"/>
        </w:rPr>
        <w:t>After </w:t>
      </w:r>
      <w:r>
        <w:rPr>
          <w:spacing w:val="-4"/>
        </w:rPr>
        <w:t>adding</w:t>
      </w:r>
      <w:r>
        <w:rPr>
          <w:spacing w:val="-10"/>
        </w:rPr>
        <w:t> </w:t>
      </w:r>
      <w:r>
        <w:rPr>
          <w:spacing w:val="-4"/>
        </w:rPr>
        <w:t>the</w:t>
      </w:r>
      <w:r>
        <w:rPr>
          <w:spacing w:val="-10"/>
        </w:rPr>
        <w:t> </w:t>
      </w:r>
      <w:r>
        <w:rPr>
          <w:spacing w:val="-4"/>
        </w:rPr>
        <w:t>score</w:t>
      </w:r>
      <w:r>
        <w:rPr>
          <w:spacing w:val="-10"/>
        </w:rPr>
        <w:t> </w:t>
      </w:r>
      <w:r>
        <w:rPr>
          <w:spacing w:val="-4"/>
        </w:rPr>
        <w:t>from</w:t>
      </w:r>
      <w:r>
        <w:rPr>
          <w:spacing w:val="-9"/>
        </w:rPr>
        <w:t> </w:t>
      </w:r>
      <w:r>
        <w:rPr>
          <w:spacing w:val="-4"/>
        </w:rPr>
        <w:t>the</w:t>
      </w:r>
      <w:r>
        <w:rPr>
          <w:spacing w:val="-10"/>
        </w:rPr>
        <w:t> </w:t>
      </w:r>
      <w:r>
        <w:rPr>
          <w:spacing w:val="-4"/>
        </w:rPr>
        <w:t>deprivation</w:t>
      </w:r>
      <w:r>
        <w:rPr>
          <w:spacing w:val="-10"/>
        </w:rPr>
        <w:t> </w:t>
      </w:r>
      <w:r>
        <w:rPr>
          <w:spacing w:val="-4"/>
        </w:rPr>
        <w:t>index,</w:t>
      </w:r>
      <w:r>
        <w:rPr>
          <w:spacing w:val="-10"/>
        </w:rPr>
        <w:t> </w:t>
      </w:r>
      <w:r>
        <w:rPr>
          <w:spacing w:val="-4"/>
        </w:rPr>
        <w:t>all</w:t>
      </w:r>
      <w:r>
        <w:rPr>
          <w:spacing w:val="-9"/>
        </w:rPr>
        <w:t> </w:t>
      </w:r>
      <w:r>
        <w:rPr>
          <w:spacing w:val="-4"/>
        </w:rPr>
        <w:t>students </w:t>
      </w:r>
      <w:r>
        <w:rPr/>
        <w:t>could</w:t>
      </w:r>
      <w:r>
        <w:rPr>
          <w:spacing w:val="-10"/>
        </w:rPr>
        <w:t> </w:t>
      </w:r>
      <w:r>
        <w:rPr/>
        <w:t>compete</w:t>
      </w:r>
      <w:r>
        <w:rPr>
          <w:spacing w:val="-10"/>
        </w:rPr>
        <w:t> </w:t>
      </w:r>
      <w:r>
        <w:rPr/>
        <w:t>for</w:t>
      </w:r>
      <w:r>
        <w:rPr>
          <w:spacing w:val="-10"/>
        </w:rPr>
        <w:t> </w:t>
      </w:r>
      <w:r>
        <w:rPr/>
        <w:t>admissions.</w:t>
      </w:r>
    </w:p>
    <w:p>
      <w:pPr>
        <w:pStyle w:val="BodyText"/>
        <w:spacing w:before="12"/>
      </w:pPr>
    </w:p>
    <w:p>
      <w:pPr>
        <w:pStyle w:val="BodyText"/>
        <w:spacing w:line="266" w:lineRule="auto"/>
        <w:ind w:left="319" w:right="1077"/>
        <w:jc w:val="both"/>
      </w:pPr>
      <w:r>
        <w:rPr>
          <w:w w:val="90"/>
        </w:rPr>
        <w:t>The indicators need to be easily identifiable and </w:t>
      </w:r>
      <w:r>
        <w:rPr>
          <w:w w:val="90"/>
        </w:rPr>
        <w:t>verifiable </w:t>
      </w:r>
      <w:r>
        <w:rPr>
          <w:spacing w:val="-6"/>
        </w:rPr>
        <w:t>for</w:t>
      </w:r>
      <w:r>
        <w:rPr>
          <w:spacing w:val="-8"/>
        </w:rPr>
        <w:t> </w:t>
      </w:r>
      <w:r>
        <w:rPr>
          <w:spacing w:val="-6"/>
        </w:rPr>
        <w:t>the</w:t>
      </w:r>
      <w:r>
        <w:rPr>
          <w:spacing w:val="-8"/>
        </w:rPr>
        <w:t> </w:t>
      </w:r>
      <w:r>
        <w:rPr>
          <w:spacing w:val="-6"/>
        </w:rPr>
        <w:t>system</w:t>
      </w:r>
      <w:r>
        <w:rPr>
          <w:spacing w:val="-8"/>
        </w:rPr>
        <w:t> </w:t>
      </w:r>
      <w:r>
        <w:rPr>
          <w:spacing w:val="-6"/>
        </w:rPr>
        <w:t>to</w:t>
      </w:r>
      <w:r>
        <w:rPr>
          <w:spacing w:val="-7"/>
        </w:rPr>
        <w:t> </w:t>
      </w:r>
      <w:r>
        <w:rPr>
          <w:spacing w:val="-6"/>
        </w:rPr>
        <w:t>work</w:t>
      </w:r>
      <w:r>
        <w:rPr>
          <w:spacing w:val="-8"/>
        </w:rPr>
        <w:t> </w:t>
      </w:r>
      <w:r>
        <w:rPr>
          <w:spacing w:val="-6"/>
        </w:rPr>
        <w:t>effectively.</w:t>
      </w:r>
      <w:r>
        <w:rPr>
          <w:spacing w:val="-8"/>
        </w:rPr>
        <w:t> </w:t>
      </w:r>
      <w:r>
        <w:rPr>
          <w:spacing w:val="-6"/>
        </w:rPr>
        <w:t>They</w:t>
      </w:r>
      <w:r>
        <w:rPr>
          <w:spacing w:val="-8"/>
        </w:rPr>
        <w:t> </w:t>
      </w:r>
      <w:r>
        <w:rPr>
          <w:spacing w:val="-6"/>
        </w:rPr>
        <w:t>should</w:t>
      </w:r>
      <w:r>
        <w:rPr>
          <w:spacing w:val="-7"/>
        </w:rPr>
        <w:t> </w:t>
      </w:r>
      <w:r>
        <w:rPr>
          <w:spacing w:val="-6"/>
        </w:rPr>
        <w:t>cover</w:t>
      </w:r>
      <w:r>
        <w:rPr>
          <w:spacing w:val="-8"/>
        </w:rPr>
        <w:t> </w:t>
      </w:r>
      <w:r>
        <w:rPr>
          <w:spacing w:val="-6"/>
        </w:rPr>
        <w:t>the different types of disadvantages that a student could face </w:t>
      </w:r>
      <w:r>
        <w:rPr>
          <w:spacing w:val="-4"/>
        </w:rPr>
        <w:t>at</w:t>
      </w:r>
      <w:r>
        <w:rPr>
          <w:spacing w:val="-10"/>
        </w:rPr>
        <w:t> </w:t>
      </w:r>
      <w:r>
        <w:rPr>
          <w:spacing w:val="-4"/>
        </w:rPr>
        <w:t>the</w:t>
      </w:r>
      <w:r>
        <w:rPr>
          <w:spacing w:val="-10"/>
        </w:rPr>
        <w:t> </w:t>
      </w:r>
      <w:r>
        <w:rPr>
          <w:spacing w:val="-4"/>
        </w:rPr>
        <w:t>school</w:t>
      </w:r>
      <w:r>
        <w:rPr>
          <w:spacing w:val="-10"/>
        </w:rPr>
        <w:t> </w:t>
      </w:r>
      <w:r>
        <w:rPr>
          <w:spacing w:val="-4"/>
        </w:rPr>
        <w:t>level,</w:t>
      </w:r>
      <w:r>
        <w:rPr>
          <w:spacing w:val="-9"/>
        </w:rPr>
        <w:t> </w:t>
      </w:r>
      <w:r>
        <w:rPr>
          <w:spacing w:val="-4"/>
        </w:rPr>
        <w:t>and</w:t>
      </w:r>
      <w:r>
        <w:rPr>
          <w:spacing w:val="-10"/>
        </w:rPr>
        <w:t> </w:t>
      </w:r>
      <w:r>
        <w:rPr>
          <w:spacing w:val="-4"/>
        </w:rPr>
        <w:t>while</w:t>
      </w:r>
      <w:r>
        <w:rPr>
          <w:spacing w:val="-10"/>
        </w:rPr>
        <w:t> </w:t>
      </w:r>
      <w:r>
        <w:rPr>
          <w:spacing w:val="-4"/>
        </w:rPr>
        <w:t>applying</w:t>
      </w:r>
      <w:r>
        <w:rPr>
          <w:spacing w:val="-10"/>
        </w:rPr>
        <w:t> </w:t>
      </w:r>
      <w:r>
        <w:rPr>
          <w:spacing w:val="-4"/>
        </w:rPr>
        <w:t>for</w:t>
      </w:r>
      <w:r>
        <w:rPr>
          <w:spacing w:val="-9"/>
        </w:rPr>
        <w:t> </w:t>
      </w:r>
      <w:r>
        <w:rPr>
          <w:spacing w:val="-4"/>
        </w:rPr>
        <w:t>admissions</w:t>
      </w:r>
      <w:r>
        <w:rPr>
          <w:spacing w:val="-10"/>
        </w:rPr>
        <w:t> </w:t>
      </w:r>
      <w:r>
        <w:rPr>
          <w:spacing w:val="-4"/>
        </w:rPr>
        <w:t>to </w:t>
      </w:r>
      <w:r>
        <w:rPr/>
        <w:t>higher</w:t>
      </w:r>
      <w:r>
        <w:rPr>
          <w:spacing w:val="-14"/>
        </w:rPr>
        <w:t> </w:t>
      </w:r>
      <w:r>
        <w:rPr/>
        <w:t>education.</w:t>
      </w:r>
      <w:r>
        <w:rPr>
          <w:spacing w:val="-14"/>
        </w:rPr>
        <w:t> </w:t>
      </w:r>
      <w:r>
        <w:rPr/>
        <w:t>This</w:t>
      </w:r>
      <w:r>
        <w:rPr>
          <w:spacing w:val="-14"/>
        </w:rPr>
        <w:t> </w:t>
      </w:r>
      <w:r>
        <w:rPr/>
        <w:t>system</w:t>
      </w:r>
      <w:r>
        <w:rPr>
          <w:spacing w:val="-13"/>
        </w:rPr>
        <w:t> </w:t>
      </w:r>
      <w:r>
        <w:rPr/>
        <w:t>serves</w:t>
      </w:r>
      <w:r>
        <w:rPr>
          <w:spacing w:val="-14"/>
        </w:rPr>
        <w:t> </w:t>
      </w:r>
      <w:r>
        <w:rPr/>
        <w:t>the</w:t>
      </w:r>
      <w:r>
        <w:rPr>
          <w:spacing w:val="-12"/>
        </w:rPr>
        <w:t> </w:t>
      </w:r>
      <w:r>
        <w:rPr/>
        <w:t>dual</w:t>
      </w:r>
      <w:r>
        <w:rPr>
          <w:spacing w:val="-13"/>
        </w:rPr>
        <w:t> </w:t>
      </w:r>
      <w:r>
        <w:rPr/>
        <w:t>purpose </w:t>
      </w:r>
      <w:r>
        <w:rPr>
          <w:spacing w:val="-2"/>
        </w:rPr>
        <w:t>of</w:t>
      </w:r>
      <w:r>
        <w:rPr>
          <w:spacing w:val="-12"/>
        </w:rPr>
        <w:t> </w:t>
      </w:r>
      <w:r>
        <w:rPr>
          <w:spacing w:val="-2"/>
        </w:rPr>
        <w:t>considering</w:t>
      </w:r>
      <w:r>
        <w:rPr>
          <w:spacing w:val="-12"/>
        </w:rPr>
        <w:t> </w:t>
      </w:r>
      <w:r>
        <w:rPr>
          <w:spacing w:val="-2"/>
        </w:rPr>
        <w:t>various</w:t>
      </w:r>
      <w:r>
        <w:rPr>
          <w:spacing w:val="-12"/>
        </w:rPr>
        <w:t> </w:t>
      </w:r>
      <w:r>
        <w:rPr>
          <w:spacing w:val="-2"/>
        </w:rPr>
        <w:t>disadvantages</w:t>
      </w:r>
      <w:r>
        <w:rPr>
          <w:spacing w:val="-11"/>
        </w:rPr>
        <w:t> </w:t>
      </w:r>
      <w:r>
        <w:rPr>
          <w:spacing w:val="-2"/>
        </w:rPr>
        <w:t>and</w:t>
      </w:r>
      <w:r>
        <w:rPr>
          <w:spacing w:val="-12"/>
        </w:rPr>
        <w:t> </w:t>
      </w:r>
      <w:r>
        <w:rPr>
          <w:spacing w:val="-2"/>
        </w:rPr>
        <w:t>ensuring</w:t>
      </w:r>
      <w:r>
        <w:rPr>
          <w:spacing w:val="-12"/>
        </w:rPr>
        <w:t> </w:t>
      </w:r>
      <w:r>
        <w:rPr>
          <w:spacing w:val="-2"/>
        </w:rPr>
        <w:t>that a</w:t>
      </w:r>
      <w:r>
        <w:rPr>
          <w:spacing w:val="-12"/>
        </w:rPr>
        <w:t> </w:t>
      </w:r>
      <w:r>
        <w:rPr>
          <w:spacing w:val="-2"/>
        </w:rPr>
        <w:t>reserved</w:t>
      </w:r>
      <w:r>
        <w:rPr>
          <w:spacing w:val="-12"/>
        </w:rPr>
        <w:t> </w:t>
      </w:r>
      <w:r>
        <w:rPr>
          <w:spacing w:val="-2"/>
        </w:rPr>
        <w:t>category</w:t>
      </w:r>
      <w:r>
        <w:rPr>
          <w:spacing w:val="-12"/>
        </w:rPr>
        <w:t> </w:t>
      </w:r>
      <w:r>
        <w:rPr>
          <w:spacing w:val="-2"/>
        </w:rPr>
        <w:t>student</w:t>
      </w:r>
      <w:r>
        <w:rPr>
          <w:spacing w:val="-11"/>
        </w:rPr>
        <w:t> </w:t>
      </w:r>
      <w:r>
        <w:rPr>
          <w:spacing w:val="-2"/>
        </w:rPr>
        <w:t>who</w:t>
      </w:r>
      <w:r>
        <w:rPr>
          <w:spacing w:val="-12"/>
        </w:rPr>
        <w:t> </w:t>
      </w:r>
      <w:r>
        <w:rPr>
          <w:spacing w:val="-2"/>
        </w:rPr>
        <w:t>has</w:t>
      </w:r>
      <w:r>
        <w:rPr>
          <w:spacing w:val="-12"/>
        </w:rPr>
        <w:t> </w:t>
      </w:r>
      <w:r>
        <w:rPr>
          <w:spacing w:val="-2"/>
        </w:rPr>
        <w:t>otherwise</w:t>
      </w:r>
      <w:r>
        <w:rPr>
          <w:spacing w:val="-12"/>
        </w:rPr>
        <w:t> </w:t>
      </w:r>
      <w:r>
        <w:rPr>
          <w:spacing w:val="-2"/>
        </w:rPr>
        <w:t>enjoyed </w:t>
      </w:r>
      <w:r>
        <w:rPr/>
        <w:t>other</w:t>
      </w:r>
      <w:r>
        <w:rPr>
          <w:spacing w:val="-14"/>
        </w:rPr>
        <w:t> </w:t>
      </w:r>
      <w:r>
        <w:rPr/>
        <w:t>benefits</w:t>
      </w:r>
      <w:r>
        <w:rPr>
          <w:spacing w:val="-14"/>
        </w:rPr>
        <w:t> </w:t>
      </w:r>
      <w:r>
        <w:rPr/>
        <w:t>does</w:t>
      </w:r>
      <w:r>
        <w:rPr>
          <w:spacing w:val="-14"/>
        </w:rPr>
        <w:t> </w:t>
      </w:r>
      <w:r>
        <w:rPr/>
        <w:t>not</w:t>
      </w:r>
      <w:r>
        <w:rPr>
          <w:spacing w:val="-13"/>
        </w:rPr>
        <w:t> </w:t>
      </w:r>
      <w:r>
        <w:rPr/>
        <w:t>get</w:t>
      </w:r>
      <w:r>
        <w:rPr>
          <w:spacing w:val="-14"/>
        </w:rPr>
        <w:t> </w:t>
      </w:r>
      <w:r>
        <w:rPr/>
        <w:t>great</w:t>
      </w:r>
      <w:r>
        <w:rPr>
          <w:spacing w:val="-14"/>
        </w:rPr>
        <w:t> </w:t>
      </w:r>
      <w:r>
        <w:rPr/>
        <w:t>preference</w:t>
      </w:r>
      <w:r>
        <w:rPr>
          <w:spacing w:val="-14"/>
        </w:rPr>
        <w:t> </w:t>
      </w:r>
      <w:r>
        <w:rPr/>
        <w:t>at</w:t>
      </w:r>
      <w:r>
        <w:rPr>
          <w:spacing w:val="-13"/>
        </w:rPr>
        <w:t> </w:t>
      </w:r>
      <w:r>
        <w:rPr/>
        <w:t>the</w:t>
      </w:r>
      <w:r>
        <w:rPr>
          <w:spacing w:val="-14"/>
        </w:rPr>
        <w:t> </w:t>
      </w:r>
      <w:r>
        <w:rPr/>
        <w:t>time of admissions.</w:t>
      </w:r>
    </w:p>
    <w:p>
      <w:pPr>
        <w:pStyle w:val="BodyText"/>
        <w:spacing w:before="19"/>
      </w:pPr>
    </w:p>
    <w:p>
      <w:pPr>
        <w:pStyle w:val="BodyText"/>
        <w:spacing w:line="266" w:lineRule="auto" w:before="1"/>
        <w:ind w:left="319" w:right="1077"/>
        <w:jc w:val="both"/>
      </w:pPr>
      <w:r>
        <w:rPr/>
        <w:t>Illustrative indicators of backwardness that need to be measured by such an index could include </w:t>
      </w:r>
      <w:r>
        <w:rPr>
          <w:i/>
        </w:rPr>
        <w:t>social background</w:t>
      </w:r>
      <w:r>
        <w:rPr>
          <w:i/>
          <w:spacing w:val="-4"/>
        </w:rPr>
        <w:t> </w:t>
      </w:r>
      <w:r>
        <w:rPr/>
        <w:t>covering</w:t>
      </w:r>
      <w:r>
        <w:rPr>
          <w:spacing w:val="-4"/>
        </w:rPr>
        <w:t> </w:t>
      </w:r>
      <w:r>
        <w:rPr/>
        <w:t>caste</w:t>
      </w:r>
      <w:r>
        <w:rPr>
          <w:spacing w:val="-4"/>
        </w:rPr>
        <w:t> </w:t>
      </w:r>
      <w:r>
        <w:rPr/>
        <w:t>(keeping</w:t>
      </w:r>
      <w:r>
        <w:rPr>
          <w:spacing w:val="-4"/>
        </w:rPr>
        <w:t> </w:t>
      </w:r>
      <w:r>
        <w:rPr/>
        <w:t>in</w:t>
      </w:r>
      <w:r>
        <w:rPr>
          <w:spacing w:val="-4"/>
        </w:rPr>
        <w:t> </w:t>
      </w:r>
      <w:r>
        <w:rPr/>
        <w:t>view</w:t>
      </w:r>
      <w:r>
        <w:rPr>
          <w:spacing w:val="-4"/>
        </w:rPr>
        <w:t> </w:t>
      </w:r>
      <w:r>
        <w:rPr/>
        <w:t>regional </w:t>
      </w:r>
      <w:r>
        <w:rPr>
          <w:w w:val="90"/>
        </w:rPr>
        <w:t>variations), religion and gender, </w:t>
      </w:r>
      <w:r>
        <w:rPr>
          <w:i/>
          <w:w w:val="90"/>
        </w:rPr>
        <w:t>family education history, </w:t>
      </w:r>
      <w:r>
        <w:rPr>
          <w:i/>
        </w:rPr>
        <w:t>family</w:t>
      </w:r>
      <w:r>
        <w:rPr>
          <w:i/>
          <w:spacing w:val="-1"/>
        </w:rPr>
        <w:t> </w:t>
      </w:r>
      <w:r>
        <w:rPr>
          <w:i/>
        </w:rPr>
        <w:t>income,</w:t>
      </w:r>
      <w:r>
        <w:rPr>
          <w:i/>
          <w:spacing w:val="-1"/>
        </w:rPr>
        <w:t> </w:t>
      </w:r>
      <w:r>
        <w:rPr>
          <w:i/>
        </w:rPr>
        <w:t>type</w:t>
      </w:r>
      <w:r>
        <w:rPr>
          <w:i/>
          <w:spacing w:val="-1"/>
        </w:rPr>
        <w:t> </w:t>
      </w:r>
      <w:r>
        <w:rPr>
          <w:i/>
        </w:rPr>
        <w:t>of</w:t>
      </w:r>
      <w:r>
        <w:rPr>
          <w:i/>
          <w:spacing w:val="-1"/>
        </w:rPr>
        <w:t> </w:t>
      </w:r>
      <w:r>
        <w:rPr>
          <w:i/>
        </w:rPr>
        <w:t>school</w:t>
      </w:r>
      <w:r>
        <w:rPr>
          <w:i/>
          <w:spacing w:val="-1"/>
        </w:rPr>
        <w:t> </w:t>
      </w:r>
      <w:r>
        <w:rPr/>
        <w:t>distinguishing</w:t>
      </w:r>
      <w:r>
        <w:rPr>
          <w:spacing w:val="-1"/>
        </w:rPr>
        <w:t> </w:t>
      </w:r>
      <w:r>
        <w:rPr/>
        <w:t>between government</w:t>
      </w:r>
      <w:r>
        <w:rPr>
          <w:spacing w:val="-4"/>
        </w:rPr>
        <w:t> </w:t>
      </w:r>
      <w:r>
        <w:rPr/>
        <w:t>and</w:t>
      </w:r>
      <w:r>
        <w:rPr>
          <w:spacing w:val="-4"/>
        </w:rPr>
        <w:t> </w:t>
      </w:r>
      <w:r>
        <w:rPr/>
        <w:t>private</w:t>
      </w:r>
      <w:r>
        <w:rPr>
          <w:spacing w:val="-4"/>
        </w:rPr>
        <w:t> </w:t>
      </w:r>
      <w:r>
        <w:rPr/>
        <w:t>schools</w:t>
      </w:r>
      <w:r>
        <w:rPr>
          <w:spacing w:val="-4"/>
        </w:rPr>
        <w:t> </w:t>
      </w:r>
      <w:r>
        <w:rPr/>
        <w:t>and</w:t>
      </w:r>
      <w:r>
        <w:rPr>
          <w:spacing w:val="-4"/>
        </w:rPr>
        <w:t> </w:t>
      </w:r>
      <w:r>
        <w:rPr/>
        <w:t>between</w:t>
      </w:r>
      <w:r>
        <w:rPr>
          <w:spacing w:val="-4"/>
        </w:rPr>
        <w:t> </w:t>
      </w:r>
      <w:r>
        <w:rPr/>
        <w:t>schools from different locations, the medium of instruction, </w:t>
      </w:r>
      <w:r>
        <w:rPr>
          <w:i/>
          <w:w w:val="90"/>
        </w:rPr>
        <w:t>place of residence </w:t>
      </w:r>
      <w:r>
        <w:rPr>
          <w:w w:val="90"/>
        </w:rPr>
        <w:t>distinguishing between urban and rural </w:t>
      </w:r>
      <w:r>
        <w:rPr>
          <w:spacing w:val="-4"/>
        </w:rPr>
        <w:t>areas</w:t>
      </w:r>
      <w:r>
        <w:rPr>
          <w:spacing w:val="-10"/>
        </w:rPr>
        <w:t> </w:t>
      </w:r>
      <w:r>
        <w:rPr>
          <w:spacing w:val="-4"/>
        </w:rPr>
        <w:t>and</w:t>
      </w:r>
      <w:r>
        <w:rPr>
          <w:spacing w:val="-10"/>
        </w:rPr>
        <w:t> </w:t>
      </w:r>
      <w:r>
        <w:rPr>
          <w:spacing w:val="-4"/>
        </w:rPr>
        <w:t>accounting</w:t>
      </w:r>
      <w:r>
        <w:rPr>
          <w:spacing w:val="-10"/>
        </w:rPr>
        <w:t> </w:t>
      </w:r>
      <w:r>
        <w:rPr>
          <w:spacing w:val="-4"/>
        </w:rPr>
        <w:t>for</w:t>
      </w:r>
      <w:r>
        <w:rPr>
          <w:spacing w:val="-9"/>
        </w:rPr>
        <w:t> </w:t>
      </w:r>
      <w:r>
        <w:rPr>
          <w:spacing w:val="-4"/>
        </w:rPr>
        <w:t>regional</w:t>
      </w:r>
      <w:r>
        <w:rPr>
          <w:spacing w:val="-10"/>
        </w:rPr>
        <w:t> </w:t>
      </w:r>
      <w:r>
        <w:rPr>
          <w:spacing w:val="-4"/>
        </w:rPr>
        <w:t>deprivation</w:t>
      </w:r>
      <w:r>
        <w:rPr>
          <w:spacing w:val="-10"/>
        </w:rPr>
        <w:t> </w:t>
      </w:r>
      <w:r>
        <w:rPr>
          <w:spacing w:val="-4"/>
        </w:rPr>
        <w:t>by</w:t>
      </w:r>
      <w:r>
        <w:rPr>
          <w:spacing w:val="-10"/>
        </w:rPr>
        <w:t> </w:t>
      </w:r>
      <w:r>
        <w:rPr>
          <w:spacing w:val="-4"/>
        </w:rPr>
        <w:t>sorting </w:t>
      </w:r>
      <w:r>
        <w:rPr/>
        <w:t>districts along an index of infrastructure or access to </w:t>
      </w:r>
      <w:r>
        <w:rPr>
          <w:spacing w:val="-2"/>
        </w:rPr>
        <w:t>social</w:t>
      </w:r>
      <w:r>
        <w:rPr>
          <w:spacing w:val="-11"/>
        </w:rPr>
        <w:t> </w:t>
      </w:r>
      <w:r>
        <w:rPr>
          <w:spacing w:val="-2"/>
        </w:rPr>
        <w:t>benefits</w:t>
      </w:r>
      <w:r>
        <w:rPr>
          <w:spacing w:val="-11"/>
        </w:rPr>
        <w:t> </w:t>
      </w:r>
      <w:r>
        <w:rPr>
          <w:spacing w:val="-2"/>
        </w:rPr>
        <w:t>and</w:t>
      </w:r>
      <w:r>
        <w:rPr>
          <w:spacing w:val="-12"/>
        </w:rPr>
        <w:t> </w:t>
      </w:r>
      <w:r>
        <w:rPr>
          <w:i/>
          <w:spacing w:val="-2"/>
        </w:rPr>
        <w:t>physical</w:t>
      </w:r>
      <w:r>
        <w:rPr>
          <w:i/>
          <w:spacing w:val="-11"/>
        </w:rPr>
        <w:t> </w:t>
      </w:r>
      <w:r>
        <w:rPr>
          <w:i/>
          <w:spacing w:val="-2"/>
        </w:rPr>
        <w:t>disability</w:t>
      </w:r>
      <w:r>
        <w:rPr>
          <w:spacing w:val="-2"/>
        </w:rPr>
        <w:t>.</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793"/>
        <w:jc w:val="both"/>
      </w:pPr>
      <w:r>
        <w:rPr/>
        <mc:AlternateContent>
          <mc:Choice Requires="wps">
            <w:drawing>
              <wp:anchor distT="0" distB="0" distL="0" distR="0" allowOverlap="1" layoutInCell="1" locked="0" behindDoc="0" simplePos="0" relativeHeight="15762944">
                <wp:simplePos x="0" y="0"/>
                <wp:positionH relativeFrom="page">
                  <wp:posOffset>0</wp:posOffset>
                </wp:positionH>
                <wp:positionV relativeFrom="paragraph">
                  <wp:posOffset>-2277393</wp:posOffset>
                </wp:positionV>
                <wp:extent cx="7560309" cy="1752600"/>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7560309" cy="1752600"/>
                          <a:chExt cx="7560309" cy="1752600"/>
                        </a:xfrm>
                      </wpg:grpSpPr>
                      <pic:pic>
                        <pic:nvPicPr>
                          <pic:cNvPr id="878" name="Image 878"/>
                          <pic:cNvPicPr/>
                        </pic:nvPicPr>
                        <pic:blipFill>
                          <a:blip r:embed="rId612" cstate="print"/>
                          <a:stretch>
                            <a:fillRect/>
                          </a:stretch>
                        </pic:blipFill>
                        <pic:spPr>
                          <a:xfrm>
                            <a:off x="0" y="0"/>
                            <a:ext cx="7559999" cy="1752562"/>
                          </a:xfrm>
                          <a:prstGeom prst="rect">
                            <a:avLst/>
                          </a:prstGeom>
                        </pic:spPr>
                      </pic:pic>
                      <wps:wsp>
                        <wps:cNvPr id="879" name="Textbox 879"/>
                        <wps:cNvSpPr txBox="1"/>
                        <wps:spPr>
                          <a:xfrm>
                            <a:off x="685800" y="598682"/>
                            <a:ext cx="5041265" cy="1019810"/>
                          </a:xfrm>
                          <a:prstGeom prst="rect">
                            <a:avLst/>
                          </a:prstGeom>
                        </wps:spPr>
                        <wps:txbx>
                          <w:txbxContent>
                            <w:p>
                              <w:pPr>
                                <w:spacing w:line="247" w:lineRule="auto" w:before="0"/>
                                <w:ind w:left="0" w:right="18" w:firstLine="0"/>
                                <w:jc w:val="left"/>
                                <w:rPr>
                                  <w:rFonts w:ascii="Trebuchet MS"/>
                                  <w:b/>
                                  <w:sz w:val="68"/>
                                </w:rPr>
                              </w:pPr>
                              <w:r>
                                <w:rPr>
                                  <w:rFonts w:ascii="Trebuchet MS"/>
                                  <w:b/>
                                  <w:color w:val="FFFFFF"/>
                                  <w:sz w:val="68"/>
                                </w:rPr>
                                <w:t>Appointment</w:t>
                              </w:r>
                              <w:r>
                                <w:rPr>
                                  <w:rFonts w:ascii="Trebuchet MS"/>
                                  <w:b/>
                                  <w:color w:val="FFFFFF"/>
                                  <w:spacing w:val="-14"/>
                                  <w:sz w:val="68"/>
                                </w:rPr>
                                <w:t> </w:t>
                              </w:r>
                              <w:r>
                                <w:rPr>
                                  <w:rFonts w:ascii="Trebuchet MS"/>
                                  <w:b/>
                                  <w:color w:val="FFFFFF"/>
                                  <w:sz w:val="68"/>
                                </w:rPr>
                                <w:t>of</w:t>
                              </w:r>
                              <w:r>
                                <w:rPr>
                                  <w:rFonts w:ascii="Trebuchet MS"/>
                                  <w:b/>
                                  <w:color w:val="FFFFFF"/>
                                  <w:spacing w:val="-13"/>
                                  <w:sz w:val="68"/>
                                </w:rPr>
                                <w:t> </w:t>
                              </w:r>
                              <w:r>
                                <w:rPr>
                                  <w:rFonts w:ascii="Trebuchet MS"/>
                                  <w:b/>
                                  <w:color w:val="FFFFFF"/>
                                  <w:sz w:val="68"/>
                                </w:rPr>
                                <w:t>Heads</w:t>
                              </w:r>
                              <w:r>
                                <w:rPr>
                                  <w:rFonts w:ascii="Trebuchet MS"/>
                                  <w:b/>
                                  <w:color w:val="FFFFFF"/>
                                  <w:spacing w:val="-13"/>
                                  <w:sz w:val="68"/>
                                </w:rPr>
                                <w:t> </w:t>
                              </w:r>
                              <w:r>
                                <w:rPr>
                                  <w:rFonts w:ascii="Trebuchet MS"/>
                                  <w:b/>
                                  <w:color w:val="FFFFFF"/>
                                  <w:sz w:val="68"/>
                                </w:rPr>
                                <w:t>of </w:t>
                              </w:r>
                              <w:r>
                                <w:rPr>
                                  <w:rFonts w:ascii="Trebuchet MS"/>
                                  <w:b/>
                                  <w:color w:val="FFFFFF"/>
                                  <w:spacing w:val="-2"/>
                                  <w:sz w:val="68"/>
                                </w:rPr>
                                <w:t>Institutions</w:t>
                              </w:r>
                            </w:p>
                          </w:txbxContent>
                        </wps:txbx>
                        <wps:bodyPr wrap="square" lIns="0" tIns="0" rIns="0" bIns="0" rtlCol="0">
                          <a:noAutofit/>
                        </wps:bodyPr>
                      </wps:wsp>
                      <wps:wsp>
                        <wps:cNvPr id="880" name="Textbox 880"/>
                        <wps:cNvSpPr txBox="1"/>
                        <wps:spPr>
                          <a:xfrm>
                            <a:off x="6071555" y="1439099"/>
                            <a:ext cx="826135" cy="158750"/>
                          </a:xfrm>
                          <a:prstGeom prst="rect">
                            <a:avLst/>
                          </a:prstGeom>
                        </wps:spPr>
                        <wps:txbx>
                          <w:txbxContent>
                            <w:p>
                              <w:pPr>
                                <w:spacing w:line="238" w:lineRule="exact" w:before="0"/>
                                <w:ind w:left="0" w:right="0" w:firstLine="0"/>
                                <w:jc w:val="left"/>
                                <w:rPr>
                                  <w:b/>
                                  <w:sz w:val="22"/>
                                </w:rPr>
                              </w:pPr>
                              <w:r>
                                <w:rPr>
                                  <w:b/>
                                  <w:color w:val="FFFFFF"/>
                                  <w:spacing w:val="-6"/>
                                  <w:sz w:val="22"/>
                                </w:rPr>
                                <w:t>April 17,</w:t>
                              </w:r>
                              <w:r>
                                <w:rPr>
                                  <w:b/>
                                  <w:color w:val="FFFFFF"/>
                                  <w:spacing w:val="-5"/>
                                  <w:sz w:val="22"/>
                                </w:rPr>
                                <w:t> </w:t>
                              </w:r>
                              <w:r>
                                <w:rPr>
                                  <w:b/>
                                  <w:color w:val="FFFFFF"/>
                                  <w:spacing w:val="-6"/>
                                  <w:sz w:val="22"/>
                                </w:rPr>
                                <w:t>2008</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62944" id="docshapegroup870" coordorigin="0,-3586" coordsize="11906,2760">
                <v:shape style="position:absolute;left:0;top:-3587;width:11906;height:2760" type="#_x0000_t75" id="docshape871" stroked="false">
                  <v:imagedata r:id="rId612" o:title=""/>
                </v:shape>
                <v:shape style="position:absolute;left:1080;top:-2644;width:7939;height:1606" type="#_x0000_t202" id="docshape872" filled="false" stroked="false">
                  <v:textbox inset="0,0,0,0">
                    <w:txbxContent>
                      <w:p>
                        <w:pPr>
                          <w:spacing w:line="247" w:lineRule="auto" w:before="0"/>
                          <w:ind w:left="0" w:right="18" w:firstLine="0"/>
                          <w:jc w:val="left"/>
                          <w:rPr>
                            <w:rFonts w:ascii="Trebuchet MS"/>
                            <w:b/>
                            <w:sz w:val="68"/>
                          </w:rPr>
                        </w:pPr>
                        <w:r>
                          <w:rPr>
                            <w:rFonts w:ascii="Trebuchet MS"/>
                            <w:b/>
                            <w:color w:val="FFFFFF"/>
                            <w:sz w:val="68"/>
                          </w:rPr>
                          <w:t>Appointment</w:t>
                        </w:r>
                        <w:r>
                          <w:rPr>
                            <w:rFonts w:ascii="Trebuchet MS"/>
                            <w:b/>
                            <w:color w:val="FFFFFF"/>
                            <w:spacing w:val="-14"/>
                            <w:sz w:val="68"/>
                          </w:rPr>
                          <w:t> </w:t>
                        </w:r>
                        <w:r>
                          <w:rPr>
                            <w:rFonts w:ascii="Trebuchet MS"/>
                            <w:b/>
                            <w:color w:val="FFFFFF"/>
                            <w:sz w:val="68"/>
                          </w:rPr>
                          <w:t>of</w:t>
                        </w:r>
                        <w:r>
                          <w:rPr>
                            <w:rFonts w:ascii="Trebuchet MS"/>
                            <w:b/>
                            <w:color w:val="FFFFFF"/>
                            <w:spacing w:val="-13"/>
                            <w:sz w:val="68"/>
                          </w:rPr>
                          <w:t> </w:t>
                        </w:r>
                        <w:r>
                          <w:rPr>
                            <w:rFonts w:ascii="Trebuchet MS"/>
                            <w:b/>
                            <w:color w:val="FFFFFF"/>
                            <w:sz w:val="68"/>
                          </w:rPr>
                          <w:t>Heads</w:t>
                        </w:r>
                        <w:r>
                          <w:rPr>
                            <w:rFonts w:ascii="Trebuchet MS"/>
                            <w:b/>
                            <w:color w:val="FFFFFF"/>
                            <w:spacing w:val="-13"/>
                            <w:sz w:val="68"/>
                          </w:rPr>
                          <w:t> </w:t>
                        </w:r>
                        <w:r>
                          <w:rPr>
                            <w:rFonts w:ascii="Trebuchet MS"/>
                            <w:b/>
                            <w:color w:val="FFFFFF"/>
                            <w:sz w:val="68"/>
                          </w:rPr>
                          <w:t>of </w:t>
                        </w:r>
                        <w:r>
                          <w:rPr>
                            <w:rFonts w:ascii="Trebuchet MS"/>
                            <w:b/>
                            <w:color w:val="FFFFFF"/>
                            <w:spacing w:val="-2"/>
                            <w:sz w:val="68"/>
                          </w:rPr>
                          <w:t>Institutions</w:t>
                        </w:r>
                      </w:p>
                    </w:txbxContent>
                  </v:textbox>
                  <w10:wrap type="none"/>
                </v:shape>
                <v:shape style="position:absolute;left:9561;top:-1321;width:1301;height:250" type="#_x0000_t202" id="docshape873" filled="false" stroked="false">
                  <v:textbox inset="0,0,0,0">
                    <w:txbxContent>
                      <w:p>
                        <w:pPr>
                          <w:spacing w:line="238" w:lineRule="exact" w:before="0"/>
                          <w:ind w:left="0" w:right="0" w:firstLine="0"/>
                          <w:jc w:val="left"/>
                          <w:rPr>
                            <w:b/>
                            <w:sz w:val="22"/>
                          </w:rPr>
                        </w:pPr>
                        <w:r>
                          <w:rPr>
                            <w:b/>
                            <w:color w:val="FFFFFF"/>
                            <w:spacing w:val="-6"/>
                            <w:sz w:val="22"/>
                          </w:rPr>
                          <w:t>April 17,</w:t>
                        </w:r>
                        <w:r>
                          <w:rPr>
                            <w:b/>
                            <w:color w:val="FFFFFF"/>
                            <w:spacing w:val="-5"/>
                            <w:sz w:val="22"/>
                          </w:rPr>
                          <w:t> </w:t>
                        </w:r>
                        <w:r>
                          <w:rPr>
                            <w:b/>
                            <w:color w:val="FFFFFF"/>
                            <w:spacing w:val="-6"/>
                            <w:sz w:val="22"/>
                          </w:rPr>
                          <w:t>2008</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0032">
                <wp:simplePos x="0" y="0"/>
                <wp:positionH relativeFrom="page">
                  <wp:posOffset>685799</wp:posOffset>
                </wp:positionH>
                <wp:positionV relativeFrom="paragraph">
                  <wp:posOffset>-36780</wp:posOffset>
                </wp:positionV>
                <wp:extent cx="446405" cy="75755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89609pt;width:35.15pt;height:59.65pt;mso-position-horizontal-relative:page;mso-position-vertical-relative:paragraph;z-index:-23976448" type="#_x0000_t202" id="docshape874"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recent measures introduced by </w:t>
      </w:r>
      <w:r>
        <w:rPr/>
        <w:t>the government</w:t>
      </w:r>
      <w:r>
        <w:rPr>
          <w:spacing w:val="40"/>
        </w:rPr>
        <w:t> </w:t>
      </w:r>
      <w:r>
        <w:rPr/>
        <w:t>leading</w:t>
      </w:r>
      <w:r>
        <w:rPr>
          <w:spacing w:val="40"/>
        </w:rPr>
        <w:t> </w:t>
      </w:r>
      <w:r>
        <w:rPr/>
        <w:t>to</w:t>
      </w:r>
      <w:r>
        <w:rPr>
          <w:spacing w:val="40"/>
        </w:rPr>
        <w:t> </w:t>
      </w:r>
      <w:r>
        <w:rPr/>
        <w:t>a</w:t>
      </w:r>
      <w:r>
        <w:rPr>
          <w:spacing w:val="40"/>
        </w:rPr>
        <w:t> </w:t>
      </w:r>
      <w:r>
        <w:rPr/>
        <w:t>major</w:t>
      </w:r>
      <w:r>
        <w:rPr>
          <w:spacing w:val="40"/>
        </w:rPr>
        <w:t> </w:t>
      </w:r>
      <w:r>
        <w:rPr/>
        <w:t>expansion of</w:t>
      </w:r>
      <w:r>
        <w:rPr>
          <w:spacing w:val="36"/>
        </w:rPr>
        <w:t> </w:t>
      </w:r>
      <w:r>
        <w:rPr/>
        <w:t>the</w:t>
      </w:r>
      <w:r>
        <w:rPr>
          <w:spacing w:val="36"/>
        </w:rPr>
        <w:t> </w:t>
      </w:r>
      <w:r>
        <w:rPr/>
        <w:t>higher</w:t>
      </w:r>
      <w:r>
        <w:rPr>
          <w:spacing w:val="36"/>
        </w:rPr>
        <w:t> </w:t>
      </w:r>
      <w:r>
        <w:rPr/>
        <w:t>education</w:t>
      </w:r>
      <w:r>
        <w:rPr>
          <w:spacing w:val="37"/>
        </w:rPr>
        <w:t> </w:t>
      </w:r>
      <w:r>
        <w:rPr/>
        <w:t>sector</w:t>
      </w:r>
      <w:r>
        <w:rPr>
          <w:spacing w:val="36"/>
        </w:rPr>
        <w:t> </w:t>
      </w:r>
      <w:r>
        <w:rPr/>
        <w:t>are</w:t>
      </w:r>
      <w:r>
        <w:rPr>
          <w:spacing w:val="36"/>
        </w:rPr>
        <w:t> </w:t>
      </w:r>
      <w:r>
        <w:rPr>
          <w:spacing w:val="-4"/>
        </w:rPr>
        <w:t>probably</w:t>
      </w:r>
    </w:p>
    <w:p>
      <w:pPr>
        <w:pStyle w:val="BodyText"/>
        <w:spacing w:line="266" w:lineRule="auto"/>
        <w:ind w:left="1080"/>
        <w:jc w:val="both"/>
      </w:pPr>
      <w:r>
        <w:rPr/>
        <w:t>among the most important steps in making </w:t>
      </w:r>
      <w:r>
        <w:rPr/>
        <w:t>India globally competitive in the long run. Expansion and </w:t>
      </w:r>
      <w:r>
        <w:rPr>
          <w:spacing w:val="-6"/>
        </w:rPr>
        <w:t>inclusiveness, drawing larger sections of Indians into the </w:t>
      </w:r>
      <w:r>
        <w:rPr/>
        <w:t>arena</w:t>
      </w:r>
      <w:r>
        <w:rPr>
          <w:spacing w:val="-16"/>
        </w:rPr>
        <w:t> </w:t>
      </w:r>
      <w:r>
        <w:rPr/>
        <w:t>of</w:t>
      </w:r>
      <w:r>
        <w:rPr>
          <w:spacing w:val="-14"/>
        </w:rPr>
        <w:t> </w:t>
      </w:r>
      <w:r>
        <w:rPr/>
        <w:t>knowledge</w:t>
      </w:r>
      <w:r>
        <w:rPr>
          <w:spacing w:val="-14"/>
        </w:rPr>
        <w:t> </w:t>
      </w:r>
      <w:r>
        <w:rPr/>
        <w:t>creation</w:t>
      </w:r>
      <w:r>
        <w:rPr>
          <w:spacing w:val="-13"/>
        </w:rPr>
        <w:t> </w:t>
      </w:r>
      <w:r>
        <w:rPr/>
        <w:t>and</w:t>
      </w:r>
      <w:r>
        <w:rPr>
          <w:spacing w:val="-14"/>
        </w:rPr>
        <w:t> </w:t>
      </w:r>
      <w:r>
        <w:rPr/>
        <w:t>utilisation</w:t>
      </w:r>
      <w:r>
        <w:rPr>
          <w:spacing w:val="-14"/>
        </w:rPr>
        <w:t> </w:t>
      </w:r>
      <w:r>
        <w:rPr/>
        <w:t>will</w:t>
      </w:r>
      <w:r>
        <w:rPr>
          <w:spacing w:val="-14"/>
        </w:rPr>
        <w:t> </w:t>
      </w:r>
      <w:r>
        <w:rPr/>
        <w:t>be</w:t>
      </w:r>
      <w:r>
        <w:rPr>
          <w:spacing w:val="-13"/>
        </w:rPr>
        <w:t> </w:t>
      </w:r>
      <w:r>
        <w:rPr/>
        <w:t>the key drivers to a better future.</w:t>
      </w:r>
    </w:p>
    <w:p>
      <w:pPr>
        <w:pStyle w:val="BodyText"/>
        <w:spacing w:before="21"/>
      </w:pPr>
    </w:p>
    <w:p>
      <w:pPr>
        <w:pStyle w:val="BodyText"/>
        <w:spacing w:line="266" w:lineRule="auto"/>
        <w:ind w:left="1080"/>
        <w:jc w:val="both"/>
      </w:pPr>
      <w:r>
        <w:rPr/>
        <w:t>The</w:t>
      </w:r>
      <w:r>
        <w:rPr>
          <w:spacing w:val="40"/>
        </w:rPr>
        <w:t> </w:t>
      </w:r>
      <w:r>
        <w:rPr/>
        <w:t>National</w:t>
      </w:r>
      <w:r>
        <w:rPr>
          <w:spacing w:val="40"/>
        </w:rPr>
        <w:t> </w:t>
      </w:r>
      <w:r>
        <w:rPr/>
        <w:t>Knowledge</w:t>
      </w:r>
      <w:r>
        <w:rPr>
          <w:spacing w:val="40"/>
        </w:rPr>
        <w:t> </w:t>
      </w:r>
      <w:r>
        <w:rPr/>
        <w:t>Commission</w:t>
      </w:r>
      <w:r>
        <w:rPr>
          <w:spacing w:val="40"/>
        </w:rPr>
        <w:t> </w:t>
      </w:r>
      <w:r>
        <w:rPr/>
        <w:t>would</w:t>
      </w:r>
      <w:r>
        <w:rPr>
          <w:spacing w:val="40"/>
        </w:rPr>
        <w:t> </w:t>
      </w:r>
      <w:r>
        <w:rPr/>
        <w:t>like to draw attention to the central role of governance structures in allowing these new institutions to grow </w:t>
      </w:r>
      <w:r>
        <w:rPr>
          <w:spacing w:val="-4"/>
        </w:rPr>
        <w:t>rapidly,</w:t>
      </w:r>
      <w:r>
        <w:rPr>
          <w:spacing w:val="-6"/>
        </w:rPr>
        <w:t> </w:t>
      </w:r>
      <w:r>
        <w:rPr>
          <w:spacing w:val="-4"/>
        </w:rPr>
        <w:t>efficiently</w:t>
      </w:r>
      <w:r>
        <w:rPr>
          <w:spacing w:val="-6"/>
        </w:rPr>
        <w:t> </w:t>
      </w:r>
      <w:r>
        <w:rPr>
          <w:spacing w:val="-4"/>
        </w:rPr>
        <w:t>and</w:t>
      </w:r>
      <w:r>
        <w:rPr>
          <w:spacing w:val="-6"/>
        </w:rPr>
        <w:t> </w:t>
      </w:r>
      <w:r>
        <w:rPr>
          <w:spacing w:val="-4"/>
        </w:rPr>
        <w:t>productively</w:t>
      </w:r>
      <w:r>
        <w:rPr>
          <w:spacing w:val="-6"/>
        </w:rPr>
        <w:t> </w:t>
      </w:r>
      <w:r>
        <w:rPr>
          <w:spacing w:val="-4"/>
        </w:rPr>
        <w:t>and</w:t>
      </w:r>
      <w:r>
        <w:rPr>
          <w:spacing w:val="-6"/>
        </w:rPr>
        <w:t> </w:t>
      </w:r>
      <w:r>
        <w:rPr>
          <w:spacing w:val="-4"/>
        </w:rPr>
        <w:t>also,</w:t>
      </w:r>
      <w:r>
        <w:rPr>
          <w:spacing w:val="-6"/>
        </w:rPr>
        <w:t> </w:t>
      </w:r>
      <w:r>
        <w:rPr>
          <w:spacing w:val="-4"/>
        </w:rPr>
        <w:t>to</w:t>
      </w:r>
      <w:r>
        <w:rPr>
          <w:spacing w:val="-6"/>
        </w:rPr>
        <w:t> </w:t>
      </w:r>
      <w:r>
        <w:rPr>
          <w:spacing w:val="-4"/>
        </w:rPr>
        <w:t>review </w:t>
      </w:r>
      <w:r>
        <w:rPr>
          <w:spacing w:val="-2"/>
        </w:rPr>
        <w:t>procedures</w:t>
      </w:r>
      <w:r>
        <w:rPr>
          <w:spacing w:val="-14"/>
        </w:rPr>
        <w:t> </w:t>
      </w:r>
      <w:r>
        <w:rPr>
          <w:spacing w:val="-2"/>
        </w:rPr>
        <w:t>in</w:t>
      </w:r>
      <w:r>
        <w:rPr>
          <w:spacing w:val="-12"/>
        </w:rPr>
        <w:t> </w:t>
      </w:r>
      <w:r>
        <w:rPr>
          <w:spacing w:val="-2"/>
        </w:rPr>
        <w:t>some</w:t>
      </w:r>
      <w:r>
        <w:rPr>
          <w:spacing w:val="-12"/>
        </w:rPr>
        <w:t> </w:t>
      </w:r>
      <w:r>
        <w:rPr>
          <w:spacing w:val="-2"/>
        </w:rPr>
        <w:t>of</w:t>
      </w:r>
      <w:r>
        <w:rPr>
          <w:spacing w:val="-11"/>
        </w:rPr>
        <w:t> </w:t>
      </w:r>
      <w:r>
        <w:rPr>
          <w:spacing w:val="-2"/>
        </w:rPr>
        <w:t>our</w:t>
      </w:r>
      <w:r>
        <w:rPr>
          <w:spacing w:val="-12"/>
        </w:rPr>
        <w:t> </w:t>
      </w:r>
      <w:r>
        <w:rPr>
          <w:spacing w:val="-2"/>
        </w:rPr>
        <w:t>best</w:t>
      </w:r>
      <w:r>
        <w:rPr>
          <w:spacing w:val="-12"/>
        </w:rPr>
        <w:t> </w:t>
      </w:r>
      <w:r>
        <w:rPr>
          <w:spacing w:val="-2"/>
        </w:rPr>
        <w:t>existing</w:t>
      </w:r>
      <w:r>
        <w:rPr>
          <w:spacing w:val="-12"/>
        </w:rPr>
        <w:t> </w:t>
      </w:r>
      <w:r>
        <w:rPr>
          <w:spacing w:val="-2"/>
        </w:rPr>
        <w:t>institutions</w:t>
      </w:r>
      <w:r>
        <w:rPr>
          <w:spacing w:val="-11"/>
        </w:rPr>
        <w:t> </w:t>
      </w:r>
      <w:r>
        <w:rPr>
          <w:spacing w:val="-2"/>
        </w:rPr>
        <w:t>like </w:t>
      </w:r>
      <w:r>
        <w:rPr/>
        <w:t>IITs, IIMs, Central Universities and AIIMS.</w:t>
      </w:r>
    </w:p>
    <w:p>
      <w:pPr>
        <w:pStyle w:val="BodyText"/>
        <w:spacing w:before="22"/>
      </w:pPr>
    </w:p>
    <w:p>
      <w:pPr>
        <w:pStyle w:val="BodyText"/>
        <w:spacing w:line="266" w:lineRule="auto"/>
        <w:ind w:left="1080"/>
        <w:jc w:val="both"/>
      </w:pPr>
      <w:r>
        <w:rPr/>
        <w:t>It is imperative to separate governance </w:t>
      </w:r>
      <w:r>
        <w:rPr/>
        <w:t>mechanisms </w:t>
      </w:r>
      <w:r>
        <w:rPr>
          <w:spacing w:val="-4"/>
        </w:rPr>
        <w:t>from</w:t>
      </w:r>
      <w:r>
        <w:rPr>
          <w:spacing w:val="-12"/>
        </w:rPr>
        <w:t> </w:t>
      </w:r>
      <w:r>
        <w:rPr>
          <w:spacing w:val="-4"/>
        </w:rPr>
        <w:t>the</w:t>
      </w:r>
      <w:r>
        <w:rPr>
          <w:spacing w:val="-10"/>
        </w:rPr>
        <w:t> </w:t>
      </w:r>
      <w:r>
        <w:rPr>
          <w:spacing w:val="-4"/>
        </w:rPr>
        <w:t>day-to-day</w:t>
      </w:r>
      <w:r>
        <w:rPr>
          <w:spacing w:val="-10"/>
        </w:rPr>
        <w:t> </w:t>
      </w:r>
      <w:r>
        <w:rPr>
          <w:spacing w:val="-4"/>
        </w:rPr>
        <w:t>operations</w:t>
      </w:r>
      <w:r>
        <w:rPr>
          <w:spacing w:val="-9"/>
        </w:rPr>
        <w:t> </w:t>
      </w:r>
      <w:r>
        <w:rPr>
          <w:spacing w:val="-4"/>
        </w:rPr>
        <w:t>of</w:t>
      </w:r>
      <w:r>
        <w:rPr>
          <w:spacing w:val="-10"/>
        </w:rPr>
        <w:t> </w:t>
      </w:r>
      <w:r>
        <w:rPr>
          <w:spacing w:val="-4"/>
        </w:rPr>
        <w:t>Ministries,</w:t>
      </w:r>
      <w:r>
        <w:rPr>
          <w:spacing w:val="-10"/>
        </w:rPr>
        <w:t> </w:t>
      </w:r>
      <w:r>
        <w:rPr>
          <w:spacing w:val="-4"/>
        </w:rPr>
        <w:t>in</w:t>
      </w:r>
      <w:r>
        <w:rPr>
          <w:spacing w:val="-10"/>
        </w:rPr>
        <w:t> </w:t>
      </w:r>
      <w:r>
        <w:rPr>
          <w:spacing w:val="-4"/>
        </w:rPr>
        <w:t>order</w:t>
      </w:r>
      <w:r>
        <w:rPr>
          <w:spacing w:val="-9"/>
        </w:rPr>
        <w:t> </w:t>
      </w:r>
      <w:r>
        <w:rPr>
          <w:spacing w:val="-4"/>
        </w:rPr>
        <w:t>to </w:t>
      </w:r>
      <w:r>
        <w:rPr/>
        <w:t>protect</w:t>
      </w:r>
      <w:r>
        <w:rPr>
          <w:spacing w:val="-14"/>
        </w:rPr>
        <w:t> </w:t>
      </w:r>
      <w:r>
        <w:rPr/>
        <w:t>functional</w:t>
      </w:r>
      <w:r>
        <w:rPr>
          <w:spacing w:val="-14"/>
        </w:rPr>
        <w:t> </w:t>
      </w:r>
      <w:r>
        <w:rPr/>
        <w:t>autonomy,</w:t>
      </w:r>
      <w:r>
        <w:rPr>
          <w:spacing w:val="-13"/>
        </w:rPr>
        <w:t> </w:t>
      </w:r>
      <w:r>
        <w:rPr/>
        <w:t>in</w:t>
      </w:r>
      <w:r>
        <w:rPr>
          <w:spacing w:val="-14"/>
        </w:rPr>
        <w:t> </w:t>
      </w:r>
      <w:r>
        <w:rPr/>
        <w:t>its</w:t>
      </w:r>
      <w:r>
        <w:rPr>
          <w:spacing w:val="-14"/>
        </w:rPr>
        <w:t> </w:t>
      </w:r>
      <w:r>
        <w:rPr/>
        <w:t>fullest</w:t>
      </w:r>
      <w:r>
        <w:rPr>
          <w:spacing w:val="-13"/>
        </w:rPr>
        <w:t> </w:t>
      </w:r>
      <w:r>
        <w:rPr/>
        <w:t>sense.</w:t>
      </w:r>
      <w:r>
        <w:rPr>
          <w:spacing w:val="-14"/>
        </w:rPr>
        <w:t> </w:t>
      </w:r>
      <w:r>
        <w:rPr/>
        <w:t>NKC would like to draw attention to the following ideas.</w:t>
      </w:r>
    </w:p>
    <w:p>
      <w:pPr>
        <w:pStyle w:val="ListParagraph"/>
        <w:numPr>
          <w:ilvl w:val="0"/>
          <w:numId w:val="26"/>
        </w:numPr>
        <w:tabs>
          <w:tab w:pos="1439" w:val="left" w:leader="none"/>
        </w:tabs>
        <w:spacing w:line="266" w:lineRule="auto" w:before="0" w:after="0"/>
        <w:ind w:left="1439" w:right="0" w:hanging="360"/>
        <w:jc w:val="both"/>
        <w:rPr>
          <w:sz w:val="22"/>
        </w:rPr>
      </w:pPr>
      <w:r>
        <w:rPr>
          <w:spacing w:val="-2"/>
          <w:sz w:val="22"/>
        </w:rPr>
        <w:t>The</w:t>
      </w:r>
      <w:r>
        <w:rPr>
          <w:spacing w:val="-10"/>
          <w:sz w:val="22"/>
        </w:rPr>
        <w:t> </w:t>
      </w:r>
      <w:r>
        <w:rPr>
          <w:spacing w:val="-2"/>
          <w:sz w:val="22"/>
        </w:rPr>
        <w:t>appointment</w:t>
      </w:r>
      <w:r>
        <w:rPr>
          <w:spacing w:val="-10"/>
          <w:sz w:val="22"/>
        </w:rPr>
        <w:t> </w:t>
      </w:r>
      <w:r>
        <w:rPr>
          <w:spacing w:val="-2"/>
          <w:sz w:val="22"/>
        </w:rPr>
        <w:t>of</w:t>
      </w:r>
      <w:r>
        <w:rPr>
          <w:spacing w:val="-10"/>
          <w:sz w:val="22"/>
        </w:rPr>
        <w:t> </w:t>
      </w:r>
      <w:r>
        <w:rPr>
          <w:spacing w:val="-2"/>
          <w:sz w:val="22"/>
        </w:rPr>
        <w:t>Directors/Vice</w:t>
      </w:r>
      <w:r>
        <w:rPr>
          <w:spacing w:val="-10"/>
          <w:sz w:val="22"/>
        </w:rPr>
        <w:t> </w:t>
      </w:r>
      <w:r>
        <w:rPr>
          <w:spacing w:val="-2"/>
          <w:sz w:val="22"/>
        </w:rPr>
        <w:t>Chancellors</w:t>
      </w:r>
      <w:r>
        <w:rPr>
          <w:spacing w:val="-10"/>
          <w:sz w:val="22"/>
        </w:rPr>
        <w:t> </w:t>
      </w:r>
      <w:r>
        <w:rPr>
          <w:spacing w:val="-2"/>
          <w:sz w:val="22"/>
        </w:rPr>
        <w:t>of </w:t>
      </w:r>
      <w:r>
        <w:rPr>
          <w:sz w:val="22"/>
        </w:rPr>
        <w:t>the</w:t>
      </w:r>
      <w:r>
        <w:rPr>
          <w:spacing w:val="-6"/>
          <w:sz w:val="22"/>
        </w:rPr>
        <w:t> </w:t>
      </w:r>
      <w:r>
        <w:rPr>
          <w:sz w:val="22"/>
        </w:rPr>
        <w:t>new</w:t>
      </w:r>
      <w:r>
        <w:rPr>
          <w:spacing w:val="-6"/>
          <w:sz w:val="22"/>
        </w:rPr>
        <w:t> </w:t>
      </w:r>
      <w:r>
        <w:rPr>
          <w:sz w:val="22"/>
        </w:rPr>
        <w:t>IITs,</w:t>
      </w:r>
      <w:r>
        <w:rPr>
          <w:spacing w:val="-6"/>
          <w:sz w:val="22"/>
        </w:rPr>
        <w:t> </w:t>
      </w:r>
      <w:r>
        <w:rPr>
          <w:sz w:val="22"/>
        </w:rPr>
        <w:t>IIMs,</w:t>
      </w:r>
      <w:r>
        <w:rPr>
          <w:spacing w:val="-6"/>
          <w:sz w:val="22"/>
        </w:rPr>
        <w:t> </w:t>
      </w:r>
      <w:r>
        <w:rPr>
          <w:sz w:val="22"/>
        </w:rPr>
        <w:t>IISERs,</w:t>
      </w:r>
      <w:r>
        <w:rPr>
          <w:spacing w:val="-6"/>
          <w:sz w:val="22"/>
        </w:rPr>
        <w:t> </w:t>
      </w:r>
      <w:r>
        <w:rPr>
          <w:sz w:val="22"/>
        </w:rPr>
        <w:t>Central</w:t>
      </w:r>
      <w:r>
        <w:rPr>
          <w:spacing w:val="-6"/>
          <w:sz w:val="22"/>
        </w:rPr>
        <w:t> </w:t>
      </w:r>
      <w:r>
        <w:rPr>
          <w:sz w:val="22"/>
        </w:rPr>
        <w:t>Universities, AIIMS</w:t>
      </w:r>
      <w:r>
        <w:rPr>
          <w:spacing w:val="-14"/>
          <w:sz w:val="22"/>
        </w:rPr>
        <w:t> </w:t>
      </w:r>
      <w:r>
        <w:rPr>
          <w:sz w:val="22"/>
        </w:rPr>
        <w:t>must</w:t>
      </w:r>
      <w:r>
        <w:rPr>
          <w:spacing w:val="-13"/>
          <w:sz w:val="22"/>
        </w:rPr>
        <w:t> </w:t>
      </w:r>
      <w:r>
        <w:rPr>
          <w:sz w:val="22"/>
        </w:rPr>
        <w:t>be</w:t>
      </w:r>
      <w:r>
        <w:rPr>
          <w:spacing w:val="-14"/>
          <w:sz w:val="22"/>
        </w:rPr>
        <w:t> </w:t>
      </w:r>
      <w:r>
        <w:rPr>
          <w:sz w:val="22"/>
        </w:rPr>
        <w:t>made</w:t>
      </w:r>
      <w:r>
        <w:rPr>
          <w:spacing w:val="-13"/>
          <w:sz w:val="22"/>
        </w:rPr>
        <w:t> </w:t>
      </w:r>
      <w:r>
        <w:rPr>
          <w:sz w:val="22"/>
        </w:rPr>
        <w:t>by</w:t>
      </w:r>
      <w:r>
        <w:rPr>
          <w:spacing w:val="-14"/>
          <w:sz w:val="22"/>
        </w:rPr>
        <w:t> </w:t>
      </w:r>
      <w:r>
        <w:rPr>
          <w:sz w:val="22"/>
        </w:rPr>
        <w:t>a</w:t>
      </w:r>
      <w:r>
        <w:rPr>
          <w:spacing w:val="-13"/>
          <w:sz w:val="22"/>
        </w:rPr>
        <w:t> </w:t>
      </w:r>
      <w:r>
        <w:rPr>
          <w:sz w:val="22"/>
        </w:rPr>
        <w:t>Search</w:t>
      </w:r>
      <w:r>
        <w:rPr>
          <w:spacing w:val="-14"/>
          <w:sz w:val="22"/>
        </w:rPr>
        <w:t> </w:t>
      </w:r>
      <w:r>
        <w:rPr>
          <w:sz w:val="22"/>
        </w:rPr>
        <w:t>Committee</w:t>
      </w:r>
      <w:r>
        <w:rPr>
          <w:spacing w:val="-13"/>
          <w:sz w:val="22"/>
        </w:rPr>
        <w:t> </w:t>
      </w:r>
      <w:r>
        <w:rPr>
          <w:sz w:val="22"/>
        </w:rPr>
        <w:t>that has an independent Chair, capable of exercising the</w:t>
      </w:r>
      <w:r>
        <w:rPr>
          <w:spacing w:val="80"/>
          <w:sz w:val="22"/>
        </w:rPr>
        <w:t> </w:t>
      </w:r>
      <w:r>
        <w:rPr>
          <w:sz w:val="22"/>
        </w:rPr>
        <w:t>highest</w:t>
      </w:r>
      <w:r>
        <w:rPr>
          <w:spacing w:val="80"/>
          <w:sz w:val="22"/>
        </w:rPr>
        <w:t> </w:t>
      </w:r>
      <w:r>
        <w:rPr>
          <w:sz w:val="22"/>
        </w:rPr>
        <w:t>quality</w:t>
      </w:r>
      <w:r>
        <w:rPr>
          <w:spacing w:val="80"/>
          <w:sz w:val="22"/>
        </w:rPr>
        <w:t> </w:t>
      </w:r>
      <w:r>
        <w:rPr>
          <w:sz w:val="22"/>
        </w:rPr>
        <w:t>of</w:t>
      </w:r>
      <w:r>
        <w:rPr>
          <w:spacing w:val="80"/>
          <w:sz w:val="22"/>
        </w:rPr>
        <w:t> </w:t>
      </w:r>
      <w:r>
        <w:rPr>
          <w:sz w:val="22"/>
        </w:rPr>
        <w:t>judgment.</w:t>
      </w:r>
      <w:r>
        <w:rPr>
          <w:spacing w:val="80"/>
          <w:sz w:val="22"/>
        </w:rPr>
        <w:t> </w:t>
      </w:r>
      <w:r>
        <w:rPr>
          <w:sz w:val="22"/>
        </w:rPr>
        <w:t>The</w:t>
      </w:r>
      <w:r>
        <w:rPr>
          <w:spacing w:val="80"/>
          <w:sz w:val="22"/>
        </w:rPr>
        <w:t> </w:t>
      </w:r>
      <w:r>
        <w:rPr>
          <w:sz w:val="22"/>
        </w:rPr>
        <w:t>direct</w:t>
      </w:r>
    </w:p>
    <w:p>
      <w:pPr>
        <w:pStyle w:val="BodyText"/>
        <w:spacing w:line="266" w:lineRule="auto" w:before="82"/>
        <w:ind w:left="679" w:right="1061"/>
        <w:jc w:val="both"/>
      </w:pPr>
      <w:r>
        <w:rPr/>
        <w:br w:type="column"/>
      </w:r>
      <w:r>
        <w:rPr>
          <w:spacing w:val="-2"/>
        </w:rPr>
        <w:t>involvement</w:t>
      </w:r>
      <w:r>
        <w:rPr>
          <w:spacing w:val="-12"/>
        </w:rPr>
        <w:t> </w:t>
      </w:r>
      <w:r>
        <w:rPr>
          <w:spacing w:val="-2"/>
        </w:rPr>
        <w:t>of</w:t>
      </w:r>
      <w:r>
        <w:rPr>
          <w:spacing w:val="-12"/>
        </w:rPr>
        <w:t> </w:t>
      </w:r>
      <w:r>
        <w:rPr>
          <w:spacing w:val="-2"/>
        </w:rPr>
        <w:t>administrative</w:t>
      </w:r>
      <w:r>
        <w:rPr>
          <w:spacing w:val="-12"/>
        </w:rPr>
        <w:t> </w:t>
      </w:r>
      <w:r>
        <w:rPr>
          <w:spacing w:val="-2"/>
        </w:rPr>
        <w:t>ministries</w:t>
      </w:r>
      <w:r>
        <w:rPr>
          <w:spacing w:val="-11"/>
        </w:rPr>
        <w:t> </w:t>
      </w:r>
      <w:r>
        <w:rPr>
          <w:spacing w:val="-2"/>
        </w:rPr>
        <w:t>can</w:t>
      </w:r>
      <w:r>
        <w:rPr>
          <w:spacing w:val="-12"/>
        </w:rPr>
        <w:t> </w:t>
      </w:r>
      <w:r>
        <w:rPr>
          <w:spacing w:val="-2"/>
        </w:rPr>
        <w:t>result </w:t>
      </w:r>
      <w:r>
        <w:rPr/>
        <w:t>in unfortunate situations.</w:t>
      </w:r>
    </w:p>
    <w:p>
      <w:pPr>
        <w:pStyle w:val="ListParagraph"/>
        <w:numPr>
          <w:ilvl w:val="0"/>
          <w:numId w:val="26"/>
        </w:numPr>
        <w:tabs>
          <w:tab w:pos="679" w:val="left" w:leader="none"/>
        </w:tabs>
        <w:spacing w:line="266" w:lineRule="auto" w:before="0" w:after="0"/>
        <w:ind w:left="679" w:right="1061" w:hanging="360"/>
        <w:jc w:val="both"/>
        <w:rPr>
          <w:sz w:val="22"/>
        </w:rPr>
      </w:pPr>
      <w:r>
        <w:rPr>
          <w:spacing w:val="-2"/>
          <w:sz w:val="22"/>
        </w:rPr>
        <w:t>The</w:t>
      </w:r>
      <w:r>
        <w:rPr>
          <w:spacing w:val="-6"/>
          <w:sz w:val="22"/>
        </w:rPr>
        <w:t> </w:t>
      </w:r>
      <w:r>
        <w:rPr>
          <w:spacing w:val="-2"/>
          <w:sz w:val="22"/>
        </w:rPr>
        <w:t>procedure</w:t>
      </w:r>
      <w:r>
        <w:rPr>
          <w:spacing w:val="-6"/>
          <w:sz w:val="22"/>
        </w:rPr>
        <w:t> </w:t>
      </w:r>
      <w:r>
        <w:rPr>
          <w:spacing w:val="-2"/>
          <w:sz w:val="22"/>
        </w:rPr>
        <w:t>for</w:t>
      </w:r>
      <w:r>
        <w:rPr>
          <w:spacing w:val="-6"/>
          <w:sz w:val="22"/>
        </w:rPr>
        <w:t> </w:t>
      </w:r>
      <w:r>
        <w:rPr>
          <w:spacing w:val="-2"/>
          <w:sz w:val="22"/>
        </w:rPr>
        <w:t>appointment</w:t>
      </w:r>
      <w:r>
        <w:rPr>
          <w:spacing w:val="-6"/>
          <w:sz w:val="22"/>
        </w:rPr>
        <w:t> </w:t>
      </w:r>
      <w:r>
        <w:rPr>
          <w:spacing w:val="-2"/>
          <w:sz w:val="22"/>
        </w:rPr>
        <w:t>of</w:t>
      </w:r>
      <w:r>
        <w:rPr>
          <w:spacing w:val="-6"/>
          <w:sz w:val="22"/>
        </w:rPr>
        <w:t> </w:t>
      </w:r>
      <w:r>
        <w:rPr>
          <w:spacing w:val="-2"/>
          <w:sz w:val="22"/>
        </w:rPr>
        <w:t>the</w:t>
      </w:r>
      <w:r>
        <w:rPr>
          <w:spacing w:val="-6"/>
          <w:sz w:val="22"/>
        </w:rPr>
        <w:t> </w:t>
      </w:r>
      <w:r>
        <w:rPr>
          <w:spacing w:val="-2"/>
          <w:sz w:val="22"/>
        </w:rPr>
        <w:t>Chairperson and</w:t>
      </w:r>
      <w:r>
        <w:rPr>
          <w:spacing w:val="-9"/>
          <w:sz w:val="22"/>
        </w:rPr>
        <w:t> </w:t>
      </w:r>
      <w:r>
        <w:rPr>
          <w:spacing w:val="-2"/>
          <w:sz w:val="22"/>
        </w:rPr>
        <w:t>members</w:t>
      </w:r>
      <w:r>
        <w:rPr>
          <w:spacing w:val="-9"/>
          <w:sz w:val="22"/>
        </w:rPr>
        <w:t> </w:t>
      </w:r>
      <w:r>
        <w:rPr>
          <w:spacing w:val="-2"/>
          <w:sz w:val="22"/>
        </w:rPr>
        <w:t>of</w:t>
      </w:r>
      <w:r>
        <w:rPr>
          <w:spacing w:val="-9"/>
          <w:sz w:val="22"/>
        </w:rPr>
        <w:t> </w:t>
      </w:r>
      <w:r>
        <w:rPr>
          <w:spacing w:val="-2"/>
          <w:sz w:val="22"/>
        </w:rPr>
        <w:t>governing</w:t>
      </w:r>
      <w:r>
        <w:rPr>
          <w:spacing w:val="-9"/>
          <w:sz w:val="22"/>
        </w:rPr>
        <w:t> </w:t>
      </w:r>
      <w:r>
        <w:rPr>
          <w:spacing w:val="-2"/>
          <w:sz w:val="22"/>
        </w:rPr>
        <w:t>Councils/Boards</w:t>
      </w:r>
      <w:r>
        <w:rPr>
          <w:spacing w:val="-9"/>
          <w:sz w:val="22"/>
        </w:rPr>
        <w:t> </w:t>
      </w:r>
      <w:r>
        <w:rPr>
          <w:spacing w:val="-2"/>
          <w:sz w:val="22"/>
        </w:rPr>
        <w:t>needs </w:t>
      </w:r>
      <w:r>
        <w:rPr>
          <w:sz w:val="22"/>
        </w:rPr>
        <w:t>to be carefully crafted in order to ensure that institutions have the benefit of the widest inputs from academia and society.</w:t>
      </w:r>
    </w:p>
    <w:p>
      <w:pPr>
        <w:pStyle w:val="ListParagraph"/>
        <w:numPr>
          <w:ilvl w:val="0"/>
          <w:numId w:val="26"/>
        </w:numPr>
        <w:tabs>
          <w:tab w:pos="679" w:val="left" w:leader="none"/>
        </w:tabs>
        <w:spacing w:line="266" w:lineRule="auto" w:before="0" w:after="0"/>
        <w:ind w:left="679" w:right="1061" w:hanging="360"/>
        <w:jc w:val="both"/>
        <w:rPr>
          <w:sz w:val="22"/>
        </w:rPr>
      </w:pPr>
      <w:r>
        <w:rPr>
          <w:sz w:val="22"/>
        </w:rPr>
        <w:t>The involvement of the Chair of the Governing </w:t>
      </w:r>
      <w:r>
        <w:rPr>
          <w:spacing w:val="-2"/>
          <w:sz w:val="22"/>
        </w:rPr>
        <w:t>Board</w:t>
      </w:r>
      <w:r>
        <w:rPr>
          <w:spacing w:val="-12"/>
          <w:sz w:val="22"/>
        </w:rPr>
        <w:t> </w:t>
      </w:r>
      <w:r>
        <w:rPr>
          <w:spacing w:val="-2"/>
          <w:sz w:val="22"/>
        </w:rPr>
        <w:t>and</w:t>
      </w:r>
      <w:r>
        <w:rPr>
          <w:spacing w:val="-12"/>
          <w:sz w:val="22"/>
        </w:rPr>
        <w:t> </w:t>
      </w:r>
      <w:r>
        <w:rPr>
          <w:spacing w:val="-2"/>
          <w:sz w:val="22"/>
        </w:rPr>
        <w:t>at</w:t>
      </w:r>
      <w:r>
        <w:rPr>
          <w:spacing w:val="-12"/>
          <w:sz w:val="22"/>
        </w:rPr>
        <w:t> </w:t>
      </w:r>
      <w:r>
        <w:rPr>
          <w:spacing w:val="-2"/>
          <w:sz w:val="22"/>
        </w:rPr>
        <w:t>least</w:t>
      </w:r>
      <w:r>
        <w:rPr>
          <w:spacing w:val="-11"/>
          <w:sz w:val="22"/>
        </w:rPr>
        <w:t> </w:t>
      </w:r>
      <w:r>
        <w:rPr>
          <w:spacing w:val="-2"/>
          <w:sz w:val="22"/>
        </w:rPr>
        <w:t>two</w:t>
      </w:r>
      <w:r>
        <w:rPr>
          <w:spacing w:val="-12"/>
          <w:sz w:val="22"/>
        </w:rPr>
        <w:t> </w:t>
      </w:r>
      <w:r>
        <w:rPr>
          <w:spacing w:val="-2"/>
          <w:sz w:val="22"/>
        </w:rPr>
        <w:t>independent</w:t>
      </w:r>
      <w:r>
        <w:rPr>
          <w:spacing w:val="-12"/>
          <w:sz w:val="22"/>
        </w:rPr>
        <w:t> </w:t>
      </w:r>
      <w:r>
        <w:rPr>
          <w:spacing w:val="-2"/>
          <w:sz w:val="22"/>
        </w:rPr>
        <w:t>members</w:t>
      </w:r>
      <w:r>
        <w:rPr>
          <w:spacing w:val="-12"/>
          <w:sz w:val="22"/>
        </w:rPr>
        <w:t> </w:t>
      </w:r>
      <w:r>
        <w:rPr>
          <w:spacing w:val="-2"/>
          <w:sz w:val="22"/>
        </w:rPr>
        <w:t>in</w:t>
      </w:r>
      <w:r>
        <w:rPr>
          <w:spacing w:val="-11"/>
          <w:sz w:val="22"/>
        </w:rPr>
        <w:t> </w:t>
      </w:r>
      <w:r>
        <w:rPr>
          <w:spacing w:val="-2"/>
          <w:sz w:val="22"/>
        </w:rPr>
        <w:t>the </w:t>
      </w:r>
      <w:r>
        <w:rPr>
          <w:spacing w:val="-6"/>
          <w:sz w:val="22"/>
        </w:rPr>
        <w:t>selection</w:t>
      </w:r>
      <w:r>
        <w:rPr>
          <w:spacing w:val="-8"/>
          <w:sz w:val="22"/>
        </w:rPr>
        <w:t> </w:t>
      </w:r>
      <w:r>
        <w:rPr>
          <w:spacing w:val="-6"/>
          <w:sz w:val="22"/>
        </w:rPr>
        <w:t>of</w:t>
      </w:r>
      <w:r>
        <w:rPr>
          <w:spacing w:val="-8"/>
          <w:sz w:val="22"/>
        </w:rPr>
        <w:t> </w:t>
      </w:r>
      <w:r>
        <w:rPr>
          <w:spacing w:val="-6"/>
          <w:sz w:val="22"/>
        </w:rPr>
        <w:t>the</w:t>
      </w:r>
      <w:r>
        <w:rPr>
          <w:spacing w:val="-8"/>
          <w:sz w:val="22"/>
        </w:rPr>
        <w:t> </w:t>
      </w:r>
      <w:r>
        <w:rPr>
          <w:spacing w:val="-6"/>
          <w:sz w:val="22"/>
        </w:rPr>
        <w:t>Director/Vice</w:t>
      </w:r>
      <w:r>
        <w:rPr>
          <w:spacing w:val="-7"/>
          <w:sz w:val="22"/>
        </w:rPr>
        <w:t> </w:t>
      </w:r>
      <w:r>
        <w:rPr>
          <w:spacing w:val="-6"/>
          <w:sz w:val="22"/>
        </w:rPr>
        <w:t>Chancellor</w:t>
      </w:r>
      <w:r>
        <w:rPr>
          <w:spacing w:val="-8"/>
          <w:sz w:val="22"/>
        </w:rPr>
        <w:t> </w:t>
      </w:r>
      <w:r>
        <w:rPr>
          <w:spacing w:val="-6"/>
          <w:sz w:val="22"/>
        </w:rPr>
        <w:t>will</w:t>
      </w:r>
      <w:r>
        <w:rPr>
          <w:spacing w:val="-8"/>
          <w:sz w:val="22"/>
        </w:rPr>
        <w:t> </w:t>
      </w:r>
      <w:r>
        <w:rPr>
          <w:spacing w:val="-6"/>
          <w:sz w:val="22"/>
        </w:rPr>
        <w:t>ensure </w:t>
      </w:r>
      <w:r>
        <w:rPr>
          <w:spacing w:val="-4"/>
          <w:sz w:val="22"/>
        </w:rPr>
        <w:t>smooth</w:t>
      </w:r>
      <w:r>
        <w:rPr>
          <w:spacing w:val="-10"/>
          <w:sz w:val="22"/>
        </w:rPr>
        <w:t> </w:t>
      </w:r>
      <w:r>
        <w:rPr>
          <w:spacing w:val="-4"/>
          <w:sz w:val="22"/>
        </w:rPr>
        <w:t>functioning</w:t>
      </w:r>
      <w:r>
        <w:rPr>
          <w:spacing w:val="-10"/>
          <w:sz w:val="22"/>
        </w:rPr>
        <w:t> </w:t>
      </w:r>
      <w:r>
        <w:rPr>
          <w:spacing w:val="-4"/>
          <w:sz w:val="22"/>
        </w:rPr>
        <w:t>at</w:t>
      </w:r>
      <w:r>
        <w:rPr>
          <w:spacing w:val="-10"/>
          <w:sz w:val="22"/>
        </w:rPr>
        <w:t> </w:t>
      </w:r>
      <w:r>
        <w:rPr>
          <w:spacing w:val="-4"/>
          <w:sz w:val="22"/>
        </w:rPr>
        <w:t>later</w:t>
      </w:r>
      <w:r>
        <w:rPr>
          <w:spacing w:val="-9"/>
          <w:sz w:val="22"/>
        </w:rPr>
        <w:t> </w:t>
      </w:r>
      <w:r>
        <w:rPr>
          <w:spacing w:val="-4"/>
          <w:sz w:val="22"/>
        </w:rPr>
        <w:t>stages</w:t>
      </w:r>
      <w:r>
        <w:rPr>
          <w:spacing w:val="-10"/>
          <w:sz w:val="22"/>
        </w:rPr>
        <w:t> </w:t>
      </w:r>
      <w:r>
        <w:rPr>
          <w:spacing w:val="-4"/>
          <w:sz w:val="22"/>
        </w:rPr>
        <w:t>of</w:t>
      </w:r>
      <w:r>
        <w:rPr>
          <w:spacing w:val="-10"/>
          <w:sz w:val="22"/>
        </w:rPr>
        <w:t> </w:t>
      </w:r>
      <w:r>
        <w:rPr>
          <w:spacing w:val="-4"/>
          <w:sz w:val="22"/>
        </w:rPr>
        <w:t>an</w:t>
      </w:r>
      <w:r>
        <w:rPr>
          <w:spacing w:val="-10"/>
          <w:sz w:val="22"/>
        </w:rPr>
        <w:t> </w:t>
      </w:r>
      <w:r>
        <w:rPr>
          <w:spacing w:val="-4"/>
          <w:sz w:val="22"/>
        </w:rPr>
        <w:t>institution’s </w:t>
      </w:r>
      <w:r>
        <w:rPr>
          <w:spacing w:val="-2"/>
          <w:sz w:val="22"/>
        </w:rPr>
        <w:t>development.</w:t>
      </w:r>
    </w:p>
    <w:p>
      <w:pPr>
        <w:pStyle w:val="ListParagraph"/>
        <w:numPr>
          <w:ilvl w:val="0"/>
          <w:numId w:val="26"/>
        </w:numPr>
        <w:tabs>
          <w:tab w:pos="679" w:val="left" w:leader="none"/>
        </w:tabs>
        <w:spacing w:line="266" w:lineRule="auto" w:before="0" w:after="0"/>
        <w:ind w:left="679" w:right="1061" w:hanging="360"/>
        <w:jc w:val="both"/>
        <w:rPr>
          <w:sz w:val="22"/>
        </w:rPr>
      </w:pPr>
      <w:r>
        <w:rPr>
          <w:spacing w:val="-6"/>
          <w:sz w:val="22"/>
        </w:rPr>
        <w:t>Appointments of heads of institutions must be made </w:t>
      </w:r>
      <w:r>
        <w:rPr>
          <w:spacing w:val="-8"/>
          <w:sz w:val="22"/>
        </w:rPr>
        <w:t>well</w:t>
      </w:r>
      <w:r>
        <w:rPr>
          <w:spacing w:val="-6"/>
          <w:sz w:val="22"/>
        </w:rPr>
        <w:t> </w:t>
      </w:r>
      <w:r>
        <w:rPr>
          <w:spacing w:val="-8"/>
          <w:sz w:val="22"/>
        </w:rPr>
        <w:t>in</w:t>
      </w:r>
      <w:r>
        <w:rPr>
          <w:spacing w:val="-6"/>
          <w:sz w:val="22"/>
        </w:rPr>
        <w:t> </w:t>
      </w:r>
      <w:r>
        <w:rPr>
          <w:spacing w:val="-8"/>
          <w:sz w:val="22"/>
        </w:rPr>
        <w:t>advance</w:t>
      </w:r>
      <w:r>
        <w:rPr>
          <w:spacing w:val="-6"/>
          <w:sz w:val="22"/>
        </w:rPr>
        <w:t> </w:t>
      </w:r>
      <w:r>
        <w:rPr>
          <w:spacing w:val="-8"/>
          <w:sz w:val="22"/>
        </w:rPr>
        <w:t>of</w:t>
      </w:r>
      <w:r>
        <w:rPr>
          <w:spacing w:val="-5"/>
          <w:sz w:val="22"/>
        </w:rPr>
        <w:t> </w:t>
      </w:r>
      <w:r>
        <w:rPr>
          <w:spacing w:val="-8"/>
          <w:sz w:val="22"/>
        </w:rPr>
        <w:t>a</w:t>
      </w:r>
      <w:r>
        <w:rPr>
          <w:spacing w:val="-6"/>
          <w:sz w:val="22"/>
        </w:rPr>
        <w:t> </w:t>
      </w:r>
      <w:r>
        <w:rPr>
          <w:spacing w:val="-8"/>
          <w:sz w:val="22"/>
        </w:rPr>
        <w:t>vacancy</w:t>
      </w:r>
      <w:r>
        <w:rPr>
          <w:spacing w:val="-6"/>
          <w:sz w:val="22"/>
        </w:rPr>
        <w:t> </w:t>
      </w:r>
      <w:r>
        <w:rPr>
          <w:spacing w:val="-8"/>
          <w:sz w:val="22"/>
        </w:rPr>
        <w:t>arising,</w:t>
      </w:r>
      <w:r>
        <w:rPr>
          <w:spacing w:val="-6"/>
          <w:sz w:val="22"/>
        </w:rPr>
        <w:t> </w:t>
      </w:r>
      <w:r>
        <w:rPr>
          <w:spacing w:val="-8"/>
          <w:sz w:val="22"/>
        </w:rPr>
        <w:t>so</w:t>
      </w:r>
      <w:r>
        <w:rPr>
          <w:spacing w:val="-5"/>
          <w:sz w:val="22"/>
        </w:rPr>
        <w:t> </w:t>
      </w:r>
      <w:r>
        <w:rPr>
          <w:spacing w:val="-8"/>
          <w:sz w:val="22"/>
        </w:rPr>
        <w:t>that</w:t>
      </w:r>
      <w:r>
        <w:rPr>
          <w:spacing w:val="-6"/>
          <w:sz w:val="22"/>
        </w:rPr>
        <w:t> </w:t>
      </w:r>
      <w:r>
        <w:rPr>
          <w:spacing w:val="-8"/>
          <w:sz w:val="22"/>
        </w:rPr>
        <w:t>a</w:t>
      </w:r>
      <w:r>
        <w:rPr>
          <w:spacing w:val="-6"/>
          <w:sz w:val="22"/>
        </w:rPr>
        <w:t> </w:t>
      </w:r>
      <w:r>
        <w:rPr>
          <w:spacing w:val="-8"/>
          <w:sz w:val="22"/>
        </w:rPr>
        <w:t>smooth transition</w:t>
      </w:r>
      <w:r>
        <w:rPr>
          <w:spacing w:val="-6"/>
          <w:sz w:val="22"/>
        </w:rPr>
        <w:t> </w:t>
      </w:r>
      <w:r>
        <w:rPr>
          <w:spacing w:val="-8"/>
          <w:sz w:val="22"/>
        </w:rPr>
        <w:t>is</w:t>
      </w:r>
      <w:r>
        <w:rPr>
          <w:spacing w:val="-6"/>
          <w:sz w:val="22"/>
        </w:rPr>
        <w:t> </w:t>
      </w:r>
      <w:r>
        <w:rPr>
          <w:spacing w:val="-8"/>
          <w:sz w:val="22"/>
        </w:rPr>
        <w:t>effected.</w:t>
      </w:r>
      <w:r>
        <w:rPr>
          <w:spacing w:val="-6"/>
          <w:sz w:val="22"/>
        </w:rPr>
        <w:t> </w:t>
      </w:r>
      <w:r>
        <w:rPr>
          <w:spacing w:val="-8"/>
          <w:sz w:val="22"/>
        </w:rPr>
        <w:t>In</w:t>
      </w:r>
      <w:r>
        <w:rPr>
          <w:spacing w:val="-5"/>
          <w:sz w:val="22"/>
        </w:rPr>
        <w:t> </w:t>
      </w:r>
      <w:r>
        <w:rPr>
          <w:spacing w:val="-8"/>
          <w:sz w:val="22"/>
        </w:rPr>
        <w:t>view</w:t>
      </w:r>
      <w:r>
        <w:rPr>
          <w:spacing w:val="-6"/>
          <w:sz w:val="22"/>
        </w:rPr>
        <w:t> </w:t>
      </w:r>
      <w:r>
        <w:rPr>
          <w:spacing w:val="-8"/>
          <w:sz w:val="22"/>
        </w:rPr>
        <w:t>of</w:t>
      </w:r>
      <w:r>
        <w:rPr>
          <w:spacing w:val="-6"/>
          <w:sz w:val="22"/>
        </w:rPr>
        <w:t> </w:t>
      </w:r>
      <w:r>
        <w:rPr>
          <w:spacing w:val="-8"/>
          <w:sz w:val="22"/>
        </w:rPr>
        <w:t>fixed</w:t>
      </w:r>
      <w:r>
        <w:rPr>
          <w:spacing w:val="-6"/>
          <w:sz w:val="22"/>
        </w:rPr>
        <w:t> </w:t>
      </w:r>
      <w:r>
        <w:rPr>
          <w:spacing w:val="-8"/>
          <w:sz w:val="22"/>
        </w:rPr>
        <w:t>tenures,</w:t>
      </w:r>
      <w:r>
        <w:rPr>
          <w:spacing w:val="-5"/>
          <w:sz w:val="22"/>
        </w:rPr>
        <w:t> </w:t>
      </w:r>
      <w:r>
        <w:rPr>
          <w:spacing w:val="-8"/>
          <w:sz w:val="22"/>
        </w:rPr>
        <w:t>there</w:t>
      </w:r>
      <w:r>
        <w:rPr>
          <w:spacing w:val="-6"/>
          <w:sz w:val="22"/>
        </w:rPr>
        <w:t> </w:t>
      </w:r>
      <w:r>
        <w:rPr>
          <w:spacing w:val="-8"/>
          <w:sz w:val="22"/>
        </w:rPr>
        <w:t>is </w:t>
      </w:r>
      <w:r>
        <w:rPr>
          <w:spacing w:val="-4"/>
          <w:sz w:val="22"/>
        </w:rPr>
        <w:t>no</w:t>
      </w:r>
      <w:r>
        <w:rPr>
          <w:spacing w:val="-10"/>
          <w:sz w:val="22"/>
        </w:rPr>
        <w:t> </w:t>
      </w:r>
      <w:r>
        <w:rPr>
          <w:spacing w:val="-4"/>
          <w:sz w:val="22"/>
        </w:rPr>
        <w:t>reason</w:t>
      </w:r>
      <w:r>
        <w:rPr>
          <w:spacing w:val="-9"/>
          <w:sz w:val="22"/>
        </w:rPr>
        <w:t> </w:t>
      </w:r>
      <w:r>
        <w:rPr>
          <w:spacing w:val="-4"/>
          <w:sz w:val="22"/>
        </w:rPr>
        <w:t>that</w:t>
      </w:r>
      <w:r>
        <w:rPr>
          <w:spacing w:val="-10"/>
          <w:sz w:val="22"/>
        </w:rPr>
        <w:t> </w:t>
      </w:r>
      <w:r>
        <w:rPr>
          <w:spacing w:val="-4"/>
          <w:sz w:val="22"/>
        </w:rPr>
        <w:t>this</w:t>
      </w:r>
      <w:r>
        <w:rPr>
          <w:spacing w:val="-9"/>
          <w:sz w:val="22"/>
        </w:rPr>
        <w:t> </w:t>
      </w:r>
      <w:r>
        <w:rPr>
          <w:spacing w:val="-4"/>
          <w:sz w:val="22"/>
        </w:rPr>
        <w:t>cannot</w:t>
      </w:r>
      <w:r>
        <w:rPr>
          <w:spacing w:val="-10"/>
          <w:sz w:val="22"/>
        </w:rPr>
        <w:t> </w:t>
      </w:r>
      <w:r>
        <w:rPr>
          <w:spacing w:val="-4"/>
          <w:sz w:val="22"/>
        </w:rPr>
        <w:t>be</w:t>
      </w:r>
      <w:r>
        <w:rPr>
          <w:spacing w:val="-9"/>
          <w:sz w:val="22"/>
        </w:rPr>
        <w:t> </w:t>
      </w:r>
      <w:r>
        <w:rPr>
          <w:spacing w:val="-4"/>
          <w:sz w:val="22"/>
        </w:rPr>
        <w:t>done</w:t>
      </w:r>
      <w:r>
        <w:rPr>
          <w:spacing w:val="-10"/>
          <w:sz w:val="22"/>
        </w:rPr>
        <w:t> </w:t>
      </w:r>
      <w:r>
        <w:rPr>
          <w:spacing w:val="-4"/>
          <w:sz w:val="22"/>
        </w:rPr>
        <w:t>in</w:t>
      </w:r>
      <w:r>
        <w:rPr>
          <w:spacing w:val="-9"/>
          <w:sz w:val="22"/>
        </w:rPr>
        <w:t> </w:t>
      </w:r>
      <w:r>
        <w:rPr>
          <w:spacing w:val="-4"/>
          <w:sz w:val="22"/>
        </w:rPr>
        <w:t>all</w:t>
      </w:r>
      <w:r>
        <w:rPr>
          <w:spacing w:val="-10"/>
          <w:sz w:val="22"/>
        </w:rPr>
        <w:t> </w:t>
      </w:r>
      <w:r>
        <w:rPr>
          <w:spacing w:val="-4"/>
          <w:sz w:val="22"/>
        </w:rPr>
        <w:t>institutions.</w:t>
      </w:r>
    </w:p>
    <w:p>
      <w:pPr>
        <w:pStyle w:val="ListParagraph"/>
        <w:numPr>
          <w:ilvl w:val="0"/>
          <w:numId w:val="26"/>
        </w:numPr>
        <w:tabs>
          <w:tab w:pos="679" w:val="left" w:leader="none"/>
        </w:tabs>
        <w:spacing w:line="266" w:lineRule="auto" w:before="0" w:after="0"/>
        <w:ind w:left="679" w:right="1062" w:hanging="360"/>
        <w:jc w:val="both"/>
        <w:rPr>
          <w:sz w:val="22"/>
        </w:rPr>
      </w:pPr>
      <w:r>
        <w:rPr>
          <w:sz w:val="22"/>
        </w:rPr>
        <w:t>The proposal for an independent regulatory body for higher education was also advanced by </w:t>
      </w:r>
      <w:r>
        <w:rPr>
          <w:sz w:val="22"/>
        </w:rPr>
        <w:t>the Commission</w:t>
      </w:r>
      <w:r>
        <w:rPr>
          <w:spacing w:val="-11"/>
          <w:sz w:val="22"/>
        </w:rPr>
        <w:t> </w:t>
      </w:r>
      <w:r>
        <w:rPr>
          <w:sz w:val="22"/>
        </w:rPr>
        <w:t>as</w:t>
      </w:r>
      <w:r>
        <w:rPr>
          <w:spacing w:val="-11"/>
          <w:sz w:val="22"/>
        </w:rPr>
        <w:t> </w:t>
      </w:r>
      <w:r>
        <w:rPr>
          <w:sz w:val="22"/>
        </w:rPr>
        <w:t>an</w:t>
      </w:r>
      <w:r>
        <w:rPr>
          <w:spacing w:val="-11"/>
          <w:sz w:val="22"/>
        </w:rPr>
        <w:t> </w:t>
      </w:r>
      <w:r>
        <w:rPr>
          <w:sz w:val="22"/>
        </w:rPr>
        <w:t>expression</w:t>
      </w:r>
      <w:r>
        <w:rPr>
          <w:spacing w:val="-11"/>
          <w:sz w:val="22"/>
        </w:rPr>
        <w:t> </w:t>
      </w:r>
      <w:r>
        <w:rPr>
          <w:sz w:val="22"/>
        </w:rPr>
        <w:t>of</w:t>
      </w:r>
      <w:r>
        <w:rPr>
          <w:spacing w:val="-11"/>
          <w:sz w:val="22"/>
        </w:rPr>
        <w:t> </w:t>
      </w:r>
      <w:r>
        <w:rPr>
          <w:sz w:val="22"/>
        </w:rPr>
        <w:t>its</w:t>
      </w:r>
      <w:r>
        <w:rPr>
          <w:spacing w:val="-11"/>
          <w:sz w:val="22"/>
        </w:rPr>
        <w:t> </w:t>
      </w:r>
      <w:r>
        <w:rPr>
          <w:sz w:val="22"/>
        </w:rPr>
        <w:t>concern</w:t>
      </w:r>
      <w:r>
        <w:rPr>
          <w:spacing w:val="-11"/>
          <w:sz w:val="22"/>
        </w:rPr>
        <w:t> </w:t>
      </w:r>
      <w:r>
        <w:rPr>
          <w:sz w:val="22"/>
        </w:rPr>
        <w:t>at</w:t>
      </w:r>
      <w:r>
        <w:rPr>
          <w:spacing w:val="-11"/>
          <w:sz w:val="22"/>
        </w:rPr>
        <w:t> </w:t>
      </w:r>
      <w:r>
        <w:rPr>
          <w:sz w:val="22"/>
        </w:rPr>
        <w:t>the </w:t>
      </w:r>
      <w:r>
        <w:rPr>
          <w:spacing w:val="-4"/>
          <w:sz w:val="22"/>
        </w:rPr>
        <w:t>deteriorating</w:t>
      </w:r>
      <w:r>
        <w:rPr>
          <w:spacing w:val="-6"/>
          <w:sz w:val="22"/>
        </w:rPr>
        <w:t> </w:t>
      </w:r>
      <w:r>
        <w:rPr>
          <w:spacing w:val="-4"/>
          <w:sz w:val="22"/>
        </w:rPr>
        <w:t>ambience</w:t>
      </w:r>
      <w:r>
        <w:rPr>
          <w:spacing w:val="-6"/>
          <w:sz w:val="22"/>
        </w:rPr>
        <w:t> </w:t>
      </w:r>
      <w:r>
        <w:rPr>
          <w:spacing w:val="-4"/>
          <w:sz w:val="22"/>
        </w:rPr>
        <w:t>of</w:t>
      </w:r>
      <w:r>
        <w:rPr>
          <w:spacing w:val="-6"/>
          <w:sz w:val="22"/>
        </w:rPr>
        <w:t> </w:t>
      </w:r>
      <w:r>
        <w:rPr>
          <w:spacing w:val="-4"/>
          <w:sz w:val="22"/>
        </w:rPr>
        <w:t>institutions</w:t>
      </w:r>
      <w:r>
        <w:rPr>
          <w:spacing w:val="-6"/>
          <w:sz w:val="22"/>
        </w:rPr>
        <w:t> </w:t>
      </w:r>
      <w:r>
        <w:rPr>
          <w:spacing w:val="-4"/>
          <w:sz w:val="22"/>
        </w:rPr>
        <w:t>of</w:t>
      </w:r>
      <w:r>
        <w:rPr>
          <w:spacing w:val="-6"/>
          <w:sz w:val="22"/>
        </w:rPr>
        <w:t> </w:t>
      </w:r>
      <w:r>
        <w:rPr>
          <w:spacing w:val="-4"/>
          <w:sz w:val="22"/>
        </w:rPr>
        <w:t>learning</w:t>
      </w:r>
      <w:r>
        <w:rPr>
          <w:spacing w:val="-6"/>
          <w:sz w:val="22"/>
        </w:rPr>
        <w:t> </w:t>
      </w:r>
      <w:r>
        <w:rPr>
          <w:spacing w:val="-4"/>
          <w:sz w:val="22"/>
        </w:rPr>
        <w:t>in </w:t>
      </w:r>
      <w:r>
        <w:rPr>
          <w:sz w:val="22"/>
        </w:rPr>
        <w:t>many parts of the country.</w:t>
      </w:r>
    </w:p>
    <w:p>
      <w:pPr>
        <w:pStyle w:val="BodyText"/>
        <w:spacing w:before="10"/>
      </w:pPr>
    </w:p>
    <w:p>
      <w:pPr>
        <w:pStyle w:val="BodyText"/>
        <w:spacing w:line="266" w:lineRule="auto" w:before="1"/>
        <w:ind w:left="319" w:right="1061"/>
        <w:jc w:val="both"/>
      </w:pPr>
      <w:r>
        <w:rPr>
          <w:spacing w:val="-4"/>
        </w:rPr>
        <w:t>In</w:t>
      </w:r>
      <w:r>
        <w:rPr>
          <w:spacing w:val="-10"/>
        </w:rPr>
        <w:t> </w:t>
      </w:r>
      <w:r>
        <w:rPr>
          <w:spacing w:val="-4"/>
        </w:rPr>
        <w:t>summary,</w:t>
      </w:r>
      <w:r>
        <w:rPr>
          <w:spacing w:val="-10"/>
        </w:rPr>
        <w:t> </w:t>
      </w:r>
      <w:r>
        <w:rPr>
          <w:spacing w:val="-4"/>
        </w:rPr>
        <w:t>NKC</w:t>
      </w:r>
      <w:r>
        <w:rPr>
          <w:spacing w:val="-10"/>
        </w:rPr>
        <w:t> </w:t>
      </w:r>
      <w:r>
        <w:rPr>
          <w:spacing w:val="-4"/>
        </w:rPr>
        <w:t>believes,</w:t>
      </w:r>
      <w:r>
        <w:rPr>
          <w:spacing w:val="-9"/>
        </w:rPr>
        <w:t> </w:t>
      </w:r>
      <w:r>
        <w:rPr>
          <w:spacing w:val="-4"/>
        </w:rPr>
        <w:t>that</w:t>
      </w:r>
      <w:r>
        <w:rPr>
          <w:spacing w:val="-10"/>
        </w:rPr>
        <w:t> </w:t>
      </w:r>
      <w:r>
        <w:rPr>
          <w:spacing w:val="-4"/>
        </w:rPr>
        <w:t>governance</w:t>
      </w:r>
      <w:r>
        <w:rPr>
          <w:spacing w:val="-10"/>
        </w:rPr>
        <w:t> </w:t>
      </w:r>
      <w:r>
        <w:rPr>
          <w:spacing w:val="-4"/>
        </w:rPr>
        <w:t>issues</w:t>
      </w:r>
      <w:r>
        <w:rPr>
          <w:spacing w:val="-10"/>
        </w:rPr>
        <w:t> </w:t>
      </w:r>
      <w:r>
        <w:rPr>
          <w:spacing w:val="-4"/>
        </w:rPr>
        <w:t>may </w:t>
      </w:r>
      <w:r>
        <w:rPr/>
        <w:t>be central to any debate on improving the status of higher education in India.</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080" w:firstLine="702"/>
        <w:jc w:val="right"/>
      </w:pPr>
      <w:r>
        <w:rPr/>
        <mc:AlternateContent>
          <mc:Choice Requires="wps">
            <w:drawing>
              <wp:anchor distT="0" distB="0" distL="0" distR="0" allowOverlap="1" layoutInCell="1" locked="0" behindDoc="0" simplePos="0" relativeHeight="15763968">
                <wp:simplePos x="0" y="0"/>
                <wp:positionH relativeFrom="page">
                  <wp:posOffset>9144</wp:posOffset>
                </wp:positionH>
                <wp:positionV relativeFrom="paragraph">
                  <wp:posOffset>-2277393</wp:posOffset>
                </wp:positionV>
                <wp:extent cx="7551420" cy="1752600"/>
                <wp:effectExtent l="0" t="0" r="0" b="0"/>
                <wp:wrapNone/>
                <wp:docPr id="882" name="Group 882"/>
                <wp:cNvGraphicFramePr>
                  <a:graphicFrameLocks/>
                </wp:cNvGraphicFramePr>
                <a:graphic>
                  <a:graphicData uri="http://schemas.microsoft.com/office/word/2010/wordprocessingGroup">
                    <wpg:wgp>
                      <wpg:cNvPr id="882" name="Group 882"/>
                      <wpg:cNvGrpSpPr/>
                      <wpg:grpSpPr>
                        <a:xfrm>
                          <a:off x="0" y="0"/>
                          <a:ext cx="7551420" cy="1752600"/>
                          <a:chExt cx="7551420" cy="1752600"/>
                        </a:xfrm>
                      </wpg:grpSpPr>
                      <pic:pic>
                        <pic:nvPicPr>
                          <pic:cNvPr id="883" name="Image 883"/>
                          <pic:cNvPicPr/>
                        </pic:nvPicPr>
                        <pic:blipFill>
                          <a:blip r:embed="rId619" cstate="print"/>
                          <a:stretch>
                            <a:fillRect/>
                          </a:stretch>
                        </pic:blipFill>
                        <pic:spPr>
                          <a:xfrm>
                            <a:off x="0" y="0"/>
                            <a:ext cx="7550855" cy="1752562"/>
                          </a:xfrm>
                          <a:prstGeom prst="rect">
                            <a:avLst/>
                          </a:prstGeom>
                        </pic:spPr>
                      </pic:pic>
                      <wps:wsp>
                        <wps:cNvPr id="884" name="Textbox 884"/>
                        <wps:cNvSpPr txBox="1"/>
                        <wps:spPr>
                          <a:xfrm>
                            <a:off x="676655" y="598687"/>
                            <a:ext cx="3204210"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Legal</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s:wsp>
                        <wps:cNvPr id="885" name="Textbox 885"/>
                        <wps:cNvSpPr txBox="1"/>
                        <wps:spPr>
                          <a:xfrm>
                            <a:off x="5874317" y="1439105"/>
                            <a:ext cx="1003935" cy="158750"/>
                          </a:xfrm>
                          <a:prstGeom prst="rect">
                            <a:avLst/>
                          </a:prstGeom>
                        </wps:spPr>
                        <wps:txbx>
                          <w:txbxContent>
                            <w:p>
                              <w:pPr>
                                <w:spacing w:line="238" w:lineRule="exact" w:before="0"/>
                                <w:ind w:left="0" w:right="0" w:firstLine="0"/>
                                <w:jc w:val="left"/>
                                <w:rPr>
                                  <w:b/>
                                  <w:sz w:val="22"/>
                                </w:rPr>
                              </w:pPr>
                              <w:r>
                                <w:rPr>
                                  <w:b/>
                                  <w:color w:val="FFFFFF"/>
                                  <w:spacing w:val="-4"/>
                                  <w:sz w:val="22"/>
                                </w:rPr>
                                <w:t>October 15,</w:t>
                              </w:r>
                              <w:r>
                                <w:rPr>
                                  <w:b/>
                                  <w:color w:val="FFFFFF"/>
                                  <w:spacing w:val="-3"/>
                                  <w:sz w:val="22"/>
                                </w:rPr>
                                <w:t> </w:t>
                              </w:r>
                              <w:r>
                                <w:rPr>
                                  <w:b/>
                                  <w:color w:val="FFFFFF"/>
                                  <w:spacing w:val="-4"/>
                                  <w:sz w:val="22"/>
                                </w:rPr>
                                <w:t>2007</w:t>
                              </w:r>
                            </w:p>
                          </w:txbxContent>
                        </wps:txbx>
                        <wps:bodyPr wrap="square" lIns="0" tIns="0" rIns="0" bIns="0" rtlCol="0">
                          <a:noAutofit/>
                        </wps:bodyPr>
                      </wps:wsp>
                    </wpg:wgp>
                  </a:graphicData>
                </a:graphic>
              </wp:anchor>
            </w:drawing>
          </mc:Choice>
          <mc:Fallback>
            <w:pict>
              <v:group style="position:absolute;margin-left:.72pt;margin-top:-179.322311pt;width:594.6pt;height:138pt;mso-position-horizontal-relative:page;mso-position-vertical-relative:paragraph;z-index:15763968" id="docshapegroup875" coordorigin="14,-3586" coordsize="11892,2760">
                <v:shape style="position:absolute;left:14;top:-3587;width:11892;height:2760" type="#_x0000_t75" id="docshape876" stroked="false">
                  <v:imagedata r:id="rId619" o:title=""/>
                </v:shape>
                <v:shape style="position:absolute;left:1080;top:-2644;width:5046;height:790" type="#_x0000_t202" id="docshape877" filled="false" stroked="false">
                  <v:textbox inset="0,0,0,0">
                    <w:txbxContent>
                      <w:p>
                        <w:pPr>
                          <w:spacing w:before="0"/>
                          <w:ind w:left="0" w:right="0" w:firstLine="0"/>
                          <w:jc w:val="left"/>
                          <w:rPr>
                            <w:rFonts w:ascii="Trebuchet MS"/>
                            <w:b/>
                            <w:sz w:val="68"/>
                          </w:rPr>
                        </w:pPr>
                        <w:r>
                          <w:rPr>
                            <w:rFonts w:ascii="Trebuchet MS"/>
                            <w:b/>
                            <w:color w:val="FFFFFF"/>
                            <w:sz w:val="68"/>
                          </w:rPr>
                          <w:t>Legal</w:t>
                        </w:r>
                        <w:r>
                          <w:rPr>
                            <w:rFonts w:ascii="Trebuchet MS"/>
                            <w:b/>
                            <w:color w:val="FFFFFF"/>
                            <w:spacing w:val="-1"/>
                            <w:sz w:val="68"/>
                          </w:rPr>
                          <w:t> </w:t>
                        </w:r>
                        <w:r>
                          <w:rPr>
                            <w:rFonts w:ascii="Trebuchet MS"/>
                            <w:b/>
                            <w:color w:val="FFFFFF"/>
                            <w:spacing w:val="-2"/>
                            <w:sz w:val="68"/>
                          </w:rPr>
                          <w:t>Education</w:t>
                        </w:r>
                      </w:p>
                    </w:txbxContent>
                  </v:textbox>
                  <w10:wrap type="none"/>
                </v:shape>
                <v:shape style="position:absolute;left:9265;top:-1321;width:1581;height:250" type="#_x0000_t202" id="docshape878" filled="false" stroked="false">
                  <v:textbox inset="0,0,0,0">
                    <w:txbxContent>
                      <w:p>
                        <w:pPr>
                          <w:spacing w:line="238" w:lineRule="exact" w:before="0"/>
                          <w:ind w:left="0" w:right="0" w:firstLine="0"/>
                          <w:jc w:val="left"/>
                          <w:rPr>
                            <w:b/>
                            <w:sz w:val="22"/>
                          </w:rPr>
                        </w:pPr>
                        <w:r>
                          <w:rPr>
                            <w:b/>
                            <w:color w:val="FFFFFF"/>
                            <w:spacing w:val="-4"/>
                            <w:sz w:val="22"/>
                          </w:rPr>
                          <w:t>October 15,</w:t>
                        </w:r>
                        <w:r>
                          <w:rPr>
                            <w:b/>
                            <w:color w:val="FFFFFF"/>
                            <w:spacing w:val="-3"/>
                            <w:sz w:val="22"/>
                          </w:rPr>
                          <w:t> </w:t>
                        </w:r>
                        <w:r>
                          <w:rPr>
                            <w:b/>
                            <w:color w:val="FFFFFF"/>
                            <w:spacing w:val="-4"/>
                            <w:sz w:val="22"/>
                          </w:rPr>
                          <w:t>2007</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1056">
                <wp:simplePos x="0" y="0"/>
                <wp:positionH relativeFrom="page">
                  <wp:posOffset>685799</wp:posOffset>
                </wp:positionH>
                <wp:positionV relativeFrom="paragraph">
                  <wp:posOffset>-36774</wp:posOffset>
                </wp:positionV>
                <wp:extent cx="446405" cy="757555"/>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89566pt;width:35.15pt;height:59.65pt;mso-position-horizontal-relative:page;mso-position-vertical-relative:paragraph;z-index:-23975424" type="#_x0000_t202" id="docshape879"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w:t>
      </w:r>
      <w:r>
        <w:rPr>
          <w:spacing w:val="25"/>
        </w:rPr>
        <w:t> </w:t>
      </w:r>
      <w:r>
        <w:rPr/>
        <w:t>National</w:t>
      </w:r>
      <w:r>
        <w:rPr>
          <w:spacing w:val="26"/>
        </w:rPr>
        <w:t> </w:t>
      </w:r>
      <w:r>
        <w:rPr/>
        <w:t>Knowledge</w:t>
      </w:r>
      <w:r>
        <w:rPr>
          <w:spacing w:val="25"/>
        </w:rPr>
        <w:t> </w:t>
      </w:r>
      <w:r>
        <w:rPr/>
        <w:t>Commission,</w:t>
      </w:r>
      <w:r>
        <w:rPr>
          <w:spacing w:val="26"/>
        </w:rPr>
        <w:t> </w:t>
      </w:r>
      <w:r>
        <w:rPr/>
        <w:t>while deliberating</w:t>
      </w:r>
      <w:r>
        <w:rPr>
          <w:spacing w:val="40"/>
        </w:rPr>
        <w:t> </w:t>
      </w:r>
      <w:r>
        <w:rPr/>
        <w:t>on</w:t>
      </w:r>
      <w:r>
        <w:rPr>
          <w:spacing w:val="40"/>
        </w:rPr>
        <w:t> </w:t>
      </w:r>
      <w:r>
        <w:rPr/>
        <w:t>issues</w:t>
      </w:r>
      <w:r>
        <w:rPr>
          <w:spacing w:val="40"/>
        </w:rPr>
        <w:t> </w:t>
      </w:r>
      <w:r>
        <w:rPr/>
        <w:t>related</w:t>
      </w:r>
      <w:r>
        <w:rPr>
          <w:spacing w:val="40"/>
        </w:rPr>
        <w:t> </w:t>
      </w:r>
      <w:r>
        <w:rPr/>
        <w:t>to</w:t>
      </w:r>
      <w:r>
        <w:rPr>
          <w:spacing w:val="40"/>
        </w:rPr>
        <w:t> </w:t>
      </w:r>
      <w:r>
        <w:rPr/>
        <w:t>knowledge concepts,</w:t>
      </w:r>
      <w:r>
        <w:rPr>
          <w:spacing w:val="80"/>
        </w:rPr>
        <w:t> </w:t>
      </w:r>
      <w:r>
        <w:rPr/>
        <w:t>recognises</w:t>
      </w:r>
      <w:r>
        <w:rPr>
          <w:spacing w:val="80"/>
        </w:rPr>
        <w:t> </w:t>
      </w:r>
      <w:r>
        <w:rPr/>
        <w:t>legal</w:t>
      </w:r>
      <w:r>
        <w:rPr>
          <w:spacing w:val="80"/>
        </w:rPr>
        <w:t> </w:t>
      </w:r>
      <w:r>
        <w:rPr/>
        <w:t>education</w:t>
      </w:r>
      <w:r>
        <w:rPr>
          <w:spacing w:val="80"/>
        </w:rPr>
        <w:t> </w:t>
      </w:r>
      <w:r>
        <w:rPr/>
        <w:t>as</w:t>
      </w:r>
      <w:r>
        <w:rPr>
          <w:spacing w:val="80"/>
        </w:rPr>
        <w:t> </w:t>
      </w:r>
      <w:r>
        <w:rPr/>
        <w:t>an important</w:t>
      </w:r>
      <w:r>
        <w:rPr>
          <w:spacing w:val="10"/>
        </w:rPr>
        <w:t> </w:t>
      </w:r>
      <w:r>
        <w:rPr/>
        <w:t>constituent</w:t>
      </w:r>
      <w:r>
        <w:rPr>
          <w:spacing w:val="10"/>
        </w:rPr>
        <w:t> </w:t>
      </w:r>
      <w:r>
        <w:rPr/>
        <w:t>of</w:t>
      </w:r>
      <w:r>
        <w:rPr>
          <w:spacing w:val="10"/>
        </w:rPr>
        <w:t> </w:t>
      </w:r>
      <w:r>
        <w:rPr/>
        <w:t>professional</w:t>
      </w:r>
      <w:r>
        <w:rPr>
          <w:spacing w:val="10"/>
        </w:rPr>
        <w:t> </w:t>
      </w:r>
      <w:r>
        <w:rPr/>
        <w:t>education. The </w:t>
      </w:r>
      <w:r>
        <w:rPr>
          <w:spacing w:val="-2"/>
        </w:rPr>
        <w:t>vision of legal education is to provide justice-oriented </w:t>
      </w:r>
      <w:r>
        <w:rPr>
          <w:spacing w:val="-4"/>
        </w:rPr>
        <w:t>education</w:t>
      </w:r>
      <w:r>
        <w:rPr>
          <w:spacing w:val="-10"/>
        </w:rPr>
        <w:t> </w:t>
      </w:r>
      <w:r>
        <w:rPr>
          <w:spacing w:val="-4"/>
        </w:rPr>
        <w:t>essential</w:t>
      </w:r>
      <w:r>
        <w:rPr>
          <w:spacing w:val="-10"/>
        </w:rPr>
        <w:t> </w:t>
      </w:r>
      <w:r>
        <w:rPr>
          <w:spacing w:val="-4"/>
        </w:rPr>
        <w:t>to</w:t>
      </w:r>
      <w:r>
        <w:rPr>
          <w:spacing w:val="-10"/>
        </w:rPr>
        <w:t> </w:t>
      </w:r>
      <w:r>
        <w:rPr>
          <w:spacing w:val="-4"/>
        </w:rPr>
        <w:t>the</w:t>
      </w:r>
      <w:r>
        <w:rPr>
          <w:spacing w:val="-9"/>
        </w:rPr>
        <w:t> </w:t>
      </w:r>
      <w:r>
        <w:rPr>
          <w:spacing w:val="-4"/>
        </w:rPr>
        <w:t>realisation</w:t>
      </w:r>
      <w:r>
        <w:rPr>
          <w:spacing w:val="-10"/>
        </w:rPr>
        <w:t> </w:t>
      </w:r>
      <w:r>
        <w:rPr>
          <w:spacing w:val="-4"/>
        </w:rPr>
        <w:t>of</w:t>
      </w:r>
      <w:r>
        <w:rPr>
          <w:spacing w:val="-10"/>
        </w:rPr>
        <w:t> </w:t>
      </w:r>
      <w:r>
        <w:rPr>
          <w:spacing w:val="-4"/>
        </w:rPr>
        <w:t>values</w:t>
      </w:r>
      <w:r>
        <w:rPr>
          <w:spacing w:val="-10"/>
        </w:rPr>
        <w:t> </w:t>
      </w:r>
      <w:r>
        <w:rPr>
          <w:spacing w:val="-4"/>
        </w:rPr>
        <w:t>enshrined in</w:t>
      </w:r>
      <w:r>
        <w:rPr>
          <w:spacing w:val="-5"/>
        </w:rPr>
        <w:t> </w:t>
      </w:r>
      <w:r>
        <w:rPr>
          <w:spacing w:val="-4"/>
        </w:rPr>
        <w:t>the</w:t>
      </w:r>
      <w:r>
        <w:rPr>
          <w:spacing w:val="-5"/>
        </w:rPr>
        <w:t> </w:t>
      </w:r>
      <w:r>
        <w:rPr>
          <w:spacing w:val="-4"/>
        </w:rPr>
        <w:t>Constitution</w:t>
      </w:r>
      <w:r>
        <w:rPr>
          <w:spacing w:val="-5"/>
        </w:rPr>
        <w:t> </w:t>
      </w:r>
      <w:r>
        <w:rPr>
          <w:spacing w:val="-4"/>
        </w:rPr>
        <w:t>of</w:t>
      </w:r>
      <w:r>
        <w:rPr>
          <w:spacing w:val="-5"/>
        </w:rPr>
        <w:t> </w:t>
      </w:r>
      <w:r>
        <w:rPr>
          <w:spacing w:val="-4"/>
        </w:rPr>
        <w:t>India.</w:t>
      </w:r>
      <w:r>
        <w:rPr>
          <w:spacing w:val="-5"/>
        </w:rPr>
        <w:t> </w:t>
      </w:r>
      <w:r>
        <w:rPr>
          <w:spacing w:val="-4"/>
        </w:rPr>
        <w:t>In</w:t>
      </w:r>
      <w:r>
        <w:rPr>
          <w:spacing w:val="-5"/>
        </w:rPr>
        <w:t> </w:t>
      </w:r>
      <w:r>
        <w:rPr>
          <w:spacing w:val="-4"/>
        </w:rPr>
        <w:t>keeping</w:t>
      </w:r>
      <w:r>
        <w:rPr>
          <w:spacing w:val="-5"/>
        </w:rPr>
        <w:t> </w:t>
      </w:r>
      <w:r>
        <w:rPr>
          <w:spacing w:val="-4"/>
        </w:rPr>
        <w:t>with</w:t>
      </w:r>
      <w:r>
        <w:rPr>
          <w:spacing w:val="-5"/>
        </w:rPr>
        <w:t> </w:t>
      </w:r>
      <w:r>
        <w:rPr>
          <w:spacing w:val="-4"/>
        </w:rPr>
        <w:t>this</w:t>
      </w:r>
      <w:r>
        <w:rPr>
          <w:spacing w:val="-5"/>
        </w:rPr>
        <w:t> </w:t>
      </w:r>
      <w:r>
        <w:rPr>
          <w:spacing w:val="-4"/>
        </w:rPr>
        <w:t>vision, </w:t>
      </w:r>
      <w:r>
        <w:rPr>
          <w:spacing w:val="-6"/>
        </w:rPr>
        <w:t>legal</w:t>
      </w:r>
      <w:r>
        <w:rPr>
          <w:spacing w:val="-9"/>
        </w:rPr>
        <w:t> </w:t>
      </w:r>
      <w:r>
        <w:rPr>
          <w:spacing w:val="-6"/>
        </w:rPr>
        <w:t>education</w:t>
      </w:r>
      <w:r>
        <w:rPr>
          <w:spacing w:val="-9"/>
        </w:rPr>
        <w:t> </w:t>
      </w:r>
      <w:r>
        <w:rPr>
          <w:spacing w:val="-6"/>
        </w:rPr>
        <w:t>must</w:t>
      </w:r>
      <w:r>
        <w:rPr>
          <w:spacing w:val="-9"/>
        </w:rPr>
        <w:t> </w:t>
      </w:r>
      <w:r>
        <w:rPr>
          <w:spacing w:val="-6"/>
        </w:rPr>
        <w:t>aim</w:t>
      </w:r>
      <w:r>
        <w:rPr>
          <w:spacing w:val="-9"/>
        </w:rPr>
        <w:t> </w:t>
      </w:r>
      <w:r>
        <w:rPr>
          <w:spacing w:val="-6"/>
        </w:rPr>
        <w:t>at</w:t>
      </w:r>
      <w:r>
        <w:rPr>
          <w:spacing w:val="-9"/>
        </w:rPr>
        <w:t> </w:t>
      </w:r>
      <w:r>
        <w:rPr>
          <w:spacing w:val="-6"/>
        </w:rPr>
        <w:t>preparing</w:t>
      </w:r>
      <w:r>
        <w:rPr>
          <w:spacing w:val="-9"/>
        </w:rPr>
        <w:t> </w:t>
      </w:r>
      <w:r>
        <w:rPr>
          <w:spacing w:val="-6"/>
        </w:rPr>
        <w:t>legal</w:t>
      </w:r>
      <w:r>
        <w:rPr>
          <w:spacing w:val="-9"/>
        </w:rPr>
        <w:t> </w:t>
      </w:r>
      <w:r>
        <w:rPr>
          <w:spacing w:val="-6"/>
        </w:rPr>
        <w:t>professionals </w:t>
      </w:r>
      <w:r>
        <w:rPr/>
        <w:t>who</w:t>
      </w:r>
      <w:r>
        <w:rPr>
          <w:spacing w:val="18"/>
        </w:rPr>
        <w:t> </w:t>
      </w:r>
      <w:r>
        <w:rPr/>
        <w:t>will</w:t>
      </w:r>
      <w:r>
        <w:rPr>
          <w:spacing w:val="18"/>
        </w:rPr>
        <w:t> </w:t>
      </w:r>
      <w:r>
        <w:rPr/>
        <w:t>play</w:t>
      </w:r>
      <w:r>
        <w:rPr>
          <w:spacing w:val="18"/>
        </w:rPr>
        <w:t> </w:t>
      </w:r>
      <w:r>
        <w:rPr/>
        <w:t>decisive</w:t>
      </w:r>
      <w:r>
        <w:rPr>
          <w:spacing w:val="18"/>
        </w:rPr>
        <w:t> </w:t>
      </w:r>
      <w:r>
        <w:rPr/>
        <w:t>leadership</w:t>
      </w:r>
      <w:r>
        <w:rPr>
          <w:spacing w:val="18"/>
        </w:rPr>
        <w:t> </w:t>
      </w:r>
      <w:r>
        <w:rPr/>
        <w:t>roles,</w:t>
      </w:r>
      <w:r>
        <w:rPr>
          <w:spacing w:val="18"/>
        </w:rPr>
        <w:t> </w:t>
      </w:r>
      <w:r>
        <w:rPr/>
        <w:t>not</w:t>
      </w:r>
      <w:r>
        <w:rPr>
          <w:spacing w:val="18"/>
        </w:rPr>
        <w:t> </w:t>
      </w:r>
      <w:r>
        <w:rPr/>
        <w:t>only</w:t>
      </w:r>
      <w:r>
        <w:rPr>
          <w:spacing w:val="18"/>
        </w:rPr>
        <w:t> </w:t>
      </w:r>
      <w:r>
        <w:rPr/>
        <w:t>as </w:t>
      </w:r>
      <w:r>
        <w:rPr>
          <w:spacing w:val="-2"/>
        </w:rPr>
        <w:t>advocates</w:t>
      </w:r>
      <w:r>
        <w:rPr>
          <w:spacing w:val="10"/>
        </w:rPr>
        <w:t> </w:t>
      </w:r>
      <w:r>
        <w:rPr>
          <w:spacing w:val="-2"/>
        </w:rPr>
        <w:t>practising</w:t>
      </w:r>
      <w:r>
        <w:rPr>
          <w:spacing w:val="10"/>
        </w:rPr>
        <w:t> </w:t>
      </w:r>
      <w:r>
        <w:rPr>
          <w:spacing w:val="-2"/>
        </w:rPr>
        <w:t>in</w:t>
      </w:r>
      <w:r>
        <w:rPr>
          <w:spacing w:val="10"/>
        </w:rPr>
        <w:t> </w:t>
      </w:r>
      <w:r>
        <w:rPr>
          <w:spacing w:val="-2"/>
        </w:rPr>
        <w:t>courts,</w:t>
      </w:r>
      <w:r>
        <w:rPr>
          <w:spacing w:val="10"/>
        </w:rPr>
        <w:t> </w:t>
      </w:r>
      <w:r>
        <w:rPr>
          <w:spacing w:val="-2"/>
        </w:rPr>
        <w:t>but</w:t>
      </w:r>
      <w:r>
        <w:rPr>
          <w:spacing w:val="10"/>
        </w:rPr>
        <w:t> </w:t>
      </w:r>
      <w:r>
        <w:rPr>
          <w:spacing w:val="-2"/>
        </w:rPr>
        <w:t>also</w:t>
      </w:r>
      <w:r>
        <w:rPr>
          <w:spacing w:val="10"/>
        </w:rPr>
        <w:t> </w:t>
      </w:r>
      <w:r>
        <w:rPr>
          <w:spacing w:val="-2"/>
        </w:rPr>
        <w:t>as</w:t>
      </w:r>
      <w:r>
        <w:rPr>
          <w:spacing w:val="10"/>
        </w:rPr>
        <w:t> </w:t>
      </w:r>
      <w:r>
        <w:rPr>
          <w:spacing w:val="-2"/>
        </w:rPr>
        <w:t>academics, </w:t>
      </w:r>
      <w:r>
        <w:rPr>
          <w:spacing w:val="-4"/>
        </w:rPr>
        <w:t>legislators, judges, policy makers, public officials, civil </w:t>
      </w:r>
      <w:r>
        <w:rPr>
          <w:spacing w:val="-2"/>
        </w:rPr>
        <w:t>society</w:t>
      </w:r>
      <w:r>
        <w:rPr>
          <w:spacing w:val="-6"/>
        </w:rPr>
        <w:t> </w:t>
      </w:r>
      <w:r>
        <w:rPr>
          <w:spacing w:val="-2"/>
        </w:rPr>
        <w:t>activists</w:t>
      </w:r>
      <w:r>
        <w:rPr>
          <w:spacing w:val="-6"/>
        </w:rPr>
        <w:t> </w:t>
      </w:r>
      <w:r>
        <w:rPr>
          <w:spacing w:val="-2"/>
        </w:rPr>
        <w:t>as</w:t>
      </w:r>
      <w:r>
        <w:rPr>
          <w:spacing w:val="-5"/>
        </w:rPr>
        <w:t> </w:t>
      </w:r>
      <w:r>
        <w:rPr>
          <w:spacing w:val="-2"/>
        </w:rPr>
        <w:t>well</w:t>
      </w:r>
      <w:r>
        <w:rPr>
          <w:spacing w:val="-6"/>
        </w:rPr>
        <w:t> </w:t>
      </w:r>
      <w:r>
        <w:rPr>
          <w:spacing w:val="-2"/>
        </w:rPr>
        <w:t>as</w:t>
      </w:r>
      <w:r>
        <w:rPr>
          <w:spacing w:val="-5"/>
        </w:rPr>
        <w:t> </w:t>
      </w:r>
      <w:r>
        <w:rPr>
          <w:spacing w:val="-2"/>
        </w:rPr>
        <w:t>legal</w:t>
      </w:r>
      <w:r>
        <w:rPr>
          <w:spacing w:val="-6"/>
        </w:rPr>
        <w:t> </w:t>
      </w:r>
      <w:r>
        <w:rPr>
          <w:spacing w:val="-2"/>
        </w:rPr>
        <w:t>counsels</w:t>
      </w:r>
      <w:r>
        <w:rPr>
          <w:spacing w:val="-6"/>
        </w:rPr>
        <w:t> </w:t>
      </w:r>
      <w:r>
        <w:rPr>
          <w:spacing w:val="-2"/>
        </w:rPr>
        <w:t>in</w:t>
      </w:r>
      <w:r>
        <w:rPr>
          <w:spacing w:val="-5"/>
        </w:rPr>
        <w:t> </w:t>
      </w:r>
      <w:r>
        <w:rPr>
          <w:spacing w:val="-2"/>
        </w:rPr>
        <w:t>the</w:t>
      </w:r>
      <w:r>
        <w:rPr>
          <w:spacing w:val="-6"/>
        </w:rPr>
        <w:t> </w:t>
      </w:r>
      <w:r>
        <w:rPr>
          <w:spacing w:val="-2"/>
        </w:rPr>
        <w:t>private </w:t>
      </w:r>
      <w:r>
        <w:rPr>
          <w:spacing w:val="-6"/>
        </w:rPr>
        <w:t>sector, maintaining the highest standards of professional </w:t>
      </w:r>
      <w:r>
        <w:rPr/>
        <w:t>ethics</w:t>
      </w:r>
      <w:r>
        <w:rPr>
          <w:spacing w:val="8"/>
        </w:rPr>
        <w:t> </w:t>
      </w:r>
      <w:r>
        <w:rPr/>
        <w:t>and</w:t>
      </w:r>
      <w:r>
        <w:rPr>
          <w:spacing w:val="8"/>
        </w:rPr>
        <w:t> </w:t>
      </w:r>
      <w:r>
        <w:rPr/>
        <w:t>a</w:t>
      </w:r>
      <w:r>
        <w:rPr>
          <w:spacing w:val="8"/>
        </w:rPr>
        <w:t> </w:t>
      </w:r>
      <w:r>
        <w:rPr/>
        <w:t>spirit</w:t>
      </w:r>
      <w:r>
        <w:rPr>
          <w:spacing w:val="8"/>
        </w:rPr>
        <w:t> </w:t>
      </w:r>
      <w:r>
        <w:rPr/>
        <w:t>of</w:t>
      </w:r>
      <w:r>
        <w:rPr>
          <w:spacing w:val="8"/>
        </w:rPr>
        <w:t> </w:t>
      </w:r>
      <w:r>
        <w:rPr/>
        <w:t>public</w:t>
      </w:r>
      <w:r>
        <w:rPr>
          <w:spacing w:val="8"/>
        </w:rPr>
        <w:t> </w:t>
      </w:r>
      <w:r>
        <w:rPr/>
        <w:t>service.</w:t>
      </w:r>
      <w:r>
        <w:rPr>
          <w:spacing w:val="8"/>
        </w:rPr>
        <w:t> </w:t>
      </w:r>
      <w:r>
        <w:rPr/>
        <w:t>Legal</w:t>
      </w:r>
      <w:r>
        <w:rPr>
          <w:spacing w:val="8"/>
        </w:rPr>
        <w:t> </w:t>
      </w:r>
      <w:r>
        <w:rPr/>
        <w:t>education </w:t>
      </w:r>
      <w:r>
        <w:rPr>
          <w:spacing w:val="-2"/>
        </w:rPr>
        <w:t>should</w:t>
      </w:r>
      <w:r>
        <w:rPr>
          <w:spacing w:val="-11"/>
        </w:rPr>
        <w:t> </w:t>
      </w:r>
      <w:r>
        <w:rPr>
          <w:spacing w:val="-2"/>
        </w:rPr>
        <w:t>also</w:t>
      </w:r>
      <w:r>
        <w:rPr>
          <w:spacing w:val="-11"/>
        </w:rPr>
        <w:t> </w:t>
      </w:r>
      <w:r>
        <w:rPr>
          <w:spacing w:val="-2"/>
        </w:rPr>
        <w:t>prepare</w:t>
      </w:r>
      <w:r>
        <w:rPr>
          <w:spacing w:val="-11"/>
        </w:rPr>
        <w:t> </w:t>
      </w:r>
      <w:r>
        <w:rPr>
          <w:spacing w:val="-2"/>
        </w:rPr>
        <w:t>professionals</w:t>
      </w:r>
      <w:r>
        <w:rPr>
          <w:spacing w:val="-11"/>
        </w:rPr>
        <w:t> </w:t>
      </w:r>
      <w:r>
        <w:rPr>
          <w:spacing w:val="-2"/>
        </w:rPr>
        <w:t>equipped</w:t>
      </w:r>
      <w:r>
        <w:rPr>
          <w:spacing w:val="-11"/>
        </w:rPr>
        <w:t> </w:t>
      </w:r>
      <w:r>
        <w:rPr>
          <w:spacing w:val="-2"/>
        </w:rPr>
        <w:t>to</w:t>
      </w:r>
      <w:r>
        <w:rPr>
          <w:spacing w:val="-11"/>
        </w:rPr>
        <w:t> </w:t>
      </w:r>
      <w:r>
        <w:rPr>
          <w:spacing w:val="-2"/>
        </w:rPr>
        <w:t>meet</w:t>
      </w:r>
      <w:r>
        <w:rPr>
          <w:spacing w:val="-11"/>
        </w:rPr>
        <w:t> </w:t>
      </w:r>
      <w:r>
        <w:rPr>
          <w:spacing w:val="-2"/>
        </w:rPr>
        <w:t>the new</w:t>
      </w:r>
      <w:r>
        <w:rPr>
          <w:spacing w:val="-12"/>
        </w:rPr>
        <w:t> </w:t>
      </w:r>
      <w:r>
        <w:rPr>
          <w:spacing w:val="-2"/>
        </w:rPr>
        <w:t>challenges</w:t>
      </w:r>
      <w:r>
        <w:rPr>
          <w:spacing w:val="-12"/>
        </w:rPr>
        <w:t> </w:t>
      </w:r>
      <w:r>
        <w:rPr>
          <w:spacing w:val="-2"/>
        </w:rPr>
        <w:t>and</w:t>
      </w:r>
      <w:r>
        <w:rPr>
          <w:spacing w:val="-12"/>
        </w:rPr>
        <w:t> </w:t>
      </w:r>
      <w:r>
        <w:rPr>
          <w:spacing w:val="-2"/>
        </w:rPr>
        <w:t>dimensions</w:t>
      </w:r>
      <w:r>
        <w:rPr>
          <w:spacing w:val="-11"/>
        </w:rPr>
        <w:t> </w:t>
      </w:r>
      <w:r>
        <w:rPr>
          <w:spacing w:val="-2"/>
        </w:rPr>
        <w:t>of</w:t>
      </w:r>
      <w:r>
        <w:rPr>
          <w:spacing w:val="-12"/>
        </w:rPr>
        <w:t> </w:t>
      </w:r>
      <w:r>
        <w:rPr>
          <w:spacing w:val="-2"/>
        </w:rPr>
        <w:t>internationalisation, </w:t>
      </w:r>
      <w:r>
        <w:rPr/>
        <w:t>where</w:t>
      </w:r>
      <w:r>
        <w:rPr>
          <w:spacing w:val="25"/>
        </w:rPr>
        <w:t> </w:t>
      </w:r>
      <w:r>
        <w:rPr/>
        <w:t>the</w:t>
      </w:r>
      <w:r>
        <w:rPr>
          <w:spacing w:val="25"/>
        </w:rPr>
        <w:t> </w:t>
      </w:r>
      <w:r>
        <w:rPr/>
        <w:t>nature</w:t>
      </w:r>
      <w:r>
        <w:rPr>
          <w:spacing w:val="25"/>
        </w:rPr>
        <w:t> </w:t>
      </w:r>
      <w:r>
        <w:rPr/>
        <w:t>and</w:t>
      </w:r>
      <w:r>
        <w:rPr>
          <w:spacing w:val="25"/>
        </w:rPr>
        <w:t> </w:t>
      </w:r>
      <w:r>
        <w:rPr/>
        <w:t>organisation</w:t>
      </w:r>
      <w:r>
        <w:rPr>
          <w:spacing w:val="25"/>
        </w:rPr>
        <w:t> </w:t>
      </w:r>
      <w:r>
        <w:rPr/>
        <w:t>of</w:t>
      </w:r>
      <w:r>
        <w:rPr>
          <w:spacing w:val="25"/>
        </w:rPr>
        <w:t> </w:t>
      </w:r>
      <w:r>
        <w:rPr/>
        <w:t>law</w:t>
      </w:r>
      <w:r>
        <w:rPr>
          <w:spacing w:val="25"/>
        </w:rPr>
        <w:t> </w:t>
      </w:r>
      <w:r>
        <w:rPr/>
        <w:t>and</w:t>
      </w:r>
      <w:r>
        <w:rPr>
          <w:spacing w:val="25"/>
        </w:rPr>
        <w:t> </w:t>
      </w:r>
      <w:r>
        <w:rPr/>
        <w:t>legal </w:t>
      </w:r>
      <w:r>
        <w:rPr>
          <w:spacing w:val="-4"/>
        </w:rPr>
        <w:t>practice are undergoing a paradigm shift. Further, there </w:t>
      </w:r>
      <w:r>
        <w:rPr>
          <w:spacing w:val="-2"/>
        </w:rPr>
        <w:t>is</w:t>
      </w:r>
      <w:r>
        <w:rPr>
          <w:spacing w:val="-6"/>
        </w:rPr>
        <w:t> </w:t>
      </w:r>
      <w:r>
        <w:rPr>
          <w:spacing w:val="-2"/>
        </w:rPr>
        <w:t>need</w:t>
      </w:r>
      <w:r>
        <w:rPr>
          <w:spacing w:val="-6"/>
        </w:rPr>
        <w:t> </w:t>
      </w:r>
      <w:r>
        <w:rPr>
          <w:spacing w:val="-2"/>
        </w:rPr>
        <w:t>for</w:t>
      </w:r>
      <w:r>
        <w:rPr>
          <w:spacing w:val="-6"/>
        </w:rPr>
        <w:t> </w:t>
      </w:r>
      <w:r>
        <w:rPr>
          <w:spacing w:val="-2"/>
        </w:rPr>
        <w:t>original</w:t>
      </w:r>
      <w:r>
        <w:rPr>
          <w:spacing w:val="-6"/>
        </w:rPr>
        <w:t> </w:t>
      </w:r>
      <w:r>
        <w:rPr>
          <w:spacing w:val="-2"/>
        </w:rPr>
        <w:t>and</w:t>
      </w:r>
      <w:r>
        <w:rPr>
          <w:spacing w:val="-6"/>
        </w:rPr>
        <w:t> </w:t>
      </w:r>
      <w:r>
        <w:rPr>
          <w:spacing w:val="-2"/>
        </w:rPr>
        <w:t>path</w:t>
      </w:r>
      <w:r>
        <w:rPr>
          <w:spacing w:val="-6"/>
        </w:rPr>
        <w:t> </w:t>
      </w:r>
      <w:r>
        <w:rPr>
          <w:spacing w:val="-2"/>
        </w:rPr>
        <w:t>breaking</w:t>
      </w:r>
      <w:r>
        <w:rPr>
          <w:spacing w:val="-6"/>
        </w:rPr>
        <w:t> </w:t>
      </w:r>
      <w:r>
        <w:rPr>
          <w:spacing w:val="-2"/>
        </w:rPr>
        <w:t>legal</w:t>
      </w:r>
      <w:r>
        <w:rPr>
          <w:spacing w:val="-6"/>
        </w:rPr>
        <w:t> </w:t>
      </w:r>
      <w:r>
        <w:rPr>
          <w:spacing w:val="-2"/>
        </w:rPr>
        <w:t>research</w:t>
      </w:r>
      <w:r>
        <w:rPr>
          <w:spacing w:val="-6"/>
        </w:rPr>
        <w:t> </w:t>
      </w:r>
      <w:r>
        <w:rPr>
          <w:spacing w:val="-2"/>
        </w:rPr>
        <w:t>to </w:t>
      </w:r>
      <w:r>
        <w:rPr>
          <w:spacing w:val="-6"/>
        </w:rPr>
        <w:t>create</w:t>
      </w:r>
      <w:r>
        <w:rPr>
          <w:spacing w:val="-11"/>
        </w:rPr>
        <w:t> </w:t>
      </w:r>
      <w:r>
        <w:rPr>
          <w:spacing w:val="-6"/>
        </w:rPr>
        <w:t>new</w:t>
      </w:r>
      <w:r>
        <w:rPr>
          <w:spacing w:val="-11"/>
        </w:rPr>
        <w:t> </w:t>
      </w:r>
      <w:r>
        <w:rPr>
          <w:spacing w:val="-6"/>
        </w:rPr>
        <w:t>legal</w:t>
      </w:r>
      <w:r>
        <w:rPr>
          <w:spacing w:val="-11"/>
        </w:rPr>
        <w:t> </w:t>
      </w:r>
      <w:r>
        <w:rPr>
          <w:spacing w:val="-6"/>
        </w:rPr>
        <w:t>knowledge</w:t>
      </w:r>
      <w:r>
        <w:rPr>
          <w:spacing w:val="-11"/>
        </w:rPr>
        <w:t> </w:t>
      </w:r>
      <w:r>
        <w:rPr>
          <w:spacing w:val="-6"/>
        </w:rPr>
        <w:t>and</w:t>
      </w:r>
      <w:r>
        <w:rPr>
          <w:spacing w:val="-11"/>
        </w:rPr>
        <w:t> </w:t>
      </w:r>
      <w:r>
        <w:rPr>
          <w:spacing w:val="-6"/>
        </w:rPr>
        <w:t>ideas</w:t>
      </w:r>
      <w:r>
        <w:rPr>
          <w:spacing w:val="-11"/>
        </w:rPr>
        <w:t> </w:t>
      </w:r>
      <w:r>
        <w:rPr>
          <w:spacing w:val="-6"/>
        </w:rPr>
        <w:t>that</w:t>
      </w:r>
      <w:r>
        <w:rPr>
          <w:spacing w:val="-11"/>
        </w:rPr>
        <w:t> </w:t>
      </w:r>
      <w:r>
        <w:rPr>
          <w:spacing w:val="-6"/>
        </w:rPr>
        <w:t>will</w:t>
      </w:r>
      <w:r>
        <w:rPr>
          <w:spacing w:val="-11"/>
        </w:rPr>
        <w:t> </w:t>
      </w:r>
      <w:r>
        <w:rPr>
          <w:spacing w:val="-6"/>
        </w:rPr>
        <w:t>help</w:t>
      </w:r>
      <w:r>
        <w:rPr>
          <w:spacing w:val="-11"/>
        </w:rPr>
        <w:t> </w:t>
      </w:r>
      <w:r>
        <w:rPr>
          <w:spacing w:val="-6"/>
        </w:rPr>
        <w:t>meet </w:t>
      </w:r>
      <w:r>
        <w:rPr>
          <w:spacing w:val="-2"/>
        </w:rPr>
        <w:t>these</w:t>
      </w:r>
      <w:r>
        <w:rPr>
          <w:spacing w:val="-12"/>
        </w:rPr>
        <w:t> </w:t>
      </w:r>
      <w:r>
        <w:rPr>
          <w:spacing w:val="-2"/>
        </w:rPr>
        <w:t>challenges</w:t>
      </w:r>
      <w:r>
        <w:rPr>
          <w:spacing w:val="-12"/>
        </w:rPr>
        <w:t> </w:t>
      </w:r>
      <w:r>
        <w:rPr>
          <w:spacing w:val="-2"/>
        </w:rPr>
        <w:t>in</w:t>
      </w:r>
      <w:r>
        <w:rPr>
          <w:spacing w:val="-12"/>
        </w:rPr>
        <w:t> </w:t>
      </w:r>
      <w:r>
        <w:rPr>
          <w:spacing w:val="-2"/>
        </w:rPr>
        <w:t>a</w:t>
      </w:r>
      <w:r>
        <w:rPr>
          <w:spacing w:val="-11"/>
        </w:rPr>
        <w:t> </w:t>
      </w:r>
      <w:r>
        <w:rPr>
          <w:spacing w:val="-2"/>
        </w:rPr>
        <w:t>manner</w:t>
      </w:r>
      <w:r>
        <w:rPr>
          <w:spacing w:val="-12"/>
        </w:rPr>
        <w:t> </w:t>
      </w:r>
      <w:r>
        <w:rPr>
          <w:spacing w:val="-2"/>
        </w:rPr>
        <w:t>responsive</w:t>
      </w:r>
      <w:r>
        <w:rPr>
          <w:spacing w:val="-12"/>
        </w:rPr>
        <w:t> </w:t>
      </w:r>
      <w:r>
        <w:rPr>
          <w:spacing w:val="-2"/>
        </w:rPr>
        <w:t>to</w:t>
      </w:r>
      <w:r>
        <w:rPr>
          <w:spacing w:val="-12"/>
        </w:rPr>
        <w:t> </w:t>
      </w:r>
      <w:r>
        <w:rPr>
          <w:spacing w:val="-2"/>
        </w:rPr>
        <w:t>the</w:t>
      </w:r>
      <w:r>
        <w:rPr>
          <w:spacing w:val="-11"/>
        </w:rPr>
        <w:t> </w:t>
      </w:r>
      <w:r>
        <w:rPr>
          <w:spacing w:val="-2"/>
        </w:rPr>
        <w:t>needs</w:t>
      </w:r>
      <w:r>
        <w:rPr>
          <w:spacing w:val="-12"/>
        </w:rPr>
        <w:t> </w:t>
      </w:r>
      <w:r>
        <w:rPr>
          <w:spacing w:val="-2"/>
        </w:rPr>
        <w:t>of </w:t>
      </w:r>
      <w:r>
        <w:rPr>
          <w:spacing w:val="-4"/>
        </w:rPr>
        <w:t>the</w:t>
      </w:r>
      <w:r>
        <w:rPr>
          <w:spacing w:val="-11"/>
        </w:rPr>
        <w:t> </w:t>
      </w:r>
      <w:r>
        <w:rPr>
          <w:spacing w:val="-4"/>
        </w:rPr>
        <w:t>country</w:t>
      </w:r>
      <w:r>
        <w:rPr>
          <w:spacing w:val="-11"/>
        </w:rPr>
        <w:t> </w:t>
      </w:r>
      <w:r>
        <w:rPr>
          <w:spacing w:val="-4"/>
        </w:rPr>
        <w:t>and</w:t>
      </w:r>
      <w:r>
        <w:rPr>
          <w:spacing w:val="-11"/>
        </w:rPr>
        <w:t> </w:t>
      </w:r>
      <w:r>
        <w:rPr>
          <w:spacing w:val="-4"/>
        </w:rPr>
        <w:t>the</w:t>
      </w:r>
      <w:r>
        <w:rPr>
          <w:spacing w:val="-11"/>
        </w:rPr>
        <w:t> </w:t>
      </w:r>
      <w:r>
        <w:rPr>
          <w:spacing w:val="-4"/>
        </w:rPr>
        <w:t>ideals</w:t>
      </w:r>
      <w:r>
        <w:rPr>
          <w:spacing w:val="-11"/>
        </w:rPr>
        <w:t> </w:t>
      </w:r>
      <w:r>
        <w:rPr>
          <w:spacing w:val="-4"/>
        </w:rPr>
        <w:t>and</w:t>
      </w:r>
      <w:r>
        <w:rPr>
          <w:spacing w:val="-11"/>
        </w:rPr>
        <w:t> </w:t>
      </w:r>
      <w:r>
        <w:rPr>
          <w:spacing w:val="-4"/>
        </w:rPr>
        <w:t>goals</w:t>
      </w:r>
      <w:r>
        <w:rPr>
          <w:spacing w:val="-11"/>
        </w:rPr>
        <w:t> </w:t>
      </w:r>
      <w:r>
        <w:rPr>
          <w:spacing w:val="-4"/>
        </w:rPr>
        <w:t>of</w:t>
      </w:r>
      <w:r>
        <w:rPr>
          <w:spacing w:val="-11"/>
        </w:rPr>
        <w:t> </w:t>
      </w:r>
      <w:r>
        <w:rPr>
          <w:spacing w:val="-4"/>
        </w:rPr>
        <w:t>our</w:t>
      </w:r>
      <w:r>
        <w:rPr>
          <w:spacing w:val="-11"/>
        </w:rPr>
        <w:t> </w:t>
      </w:r>
      <w:r>
        <w:rPr>
          <w:spacing w:val="-4"/>
        </w:rPr>
        <w:t>Constitution. </w:t>
      </w:r>
      <w:r>
        <w:rPr/>
        <w:t>As</w:t>
      </w:r>
      <w:r>
        <w:rPr>
          <w:spacing w:val="5"/>
        </w:rPr>
        <w:t> </w:t>
      </w:r>
      <w:r>
        <w:rPr/>
        <w:t>part</w:t>
      </w:r>
      <w:r>
        <w:rPr>
          <w:spacing w:val="5"/>
        </w:rPr>
        <w:t> </w:t>
      </w:r>
      <w:r>
        <w:rPr/>
        <w:t>of</w:t>
      </w:r>
      <w:r>
        <w:rPr>
          <w:spacing w:val="5"/>
        </w:rPr>
        <w:t> </w:t>
      </w:r>
      <w:r>
        <w:rPr/>
        <w:t>a</w:t>
      </w:r>
      <w:r>
        <w:rPr>
          <w:spacing w:val="5"/>
        </w:rPr>
        <w:t> </w:t>
      </w:r>
      <w:r>
        <w:rPr/>
        <w:t>consultative</w:t>
      </w:r>
      <w:r>
        <w:rPr>
          <w:spacing w:val="5"/>
        </w:rPr>
        <w:t> </w:t>
      </w:r>
      <w:r>
        <w:rPr/>
        <w:t>process,</w:t>
      </w:r>
      <w:r>
        <w:rPr>
          <w:spacing w:val="5"/>
        </w:rPr>
        <w:t> </w:t>
      </w:r>
      <w:r>
        <w:rPr/>
        <w:t>NKC</w:t>
      </w:r>
      <w:r>
        <w:rPr>
          <w:spacing w:val="5"/>
        </w:rPr>
        <w:t> </w:t>
      </w:r>
      <w:r>
        <w:rPr/>
        <w:t>constituted</w:t>
      </w:r>
      <w:r>
        <w:rPr>
          <w:spacing w:val="5"/>
        </w:rPr>
        <w:t> </w:t>
      </w:r>
      <w:r>
        <w:rPr/>
        <w:t>a Working</w:t>
      </w:r>
      <w:r>
        <w:rPr>
          <w:spacing w:val="31"/>
        </w:rPr>
        <w:t> </w:t>
      </w:r>
      <w:r>
        <w:rPr/>
        <w:t>Group</w:t>
      </w:r>
      <w:r>
        <w:rPr>
          <w:spacing w:val="31"/>
        </w:rPr>
        <w:t> </w:t>
      </w:r>
      <w:r>
        <w:rPr/>
        <w:t>of</w:t>
      </w:r>
      <w:r>
        <w:rPr>
          <w:spacing w:val="31"/>
        </w:rPr>
        <w:t> </w:t>
      </w:r>
      <w:r>
        <w:rPr/>
        <w:t>experts,</w:t>
      </w:r>
      <w:r>
        <w:rPr>
          <w:spacing w:val="31"/>
        </w:rPr>
        <w:t> </w:t>
      </w:r>
      <w:r>
        <w:rPr/>
        <w:t>including</w:t>
      </w:r>
      <w:r>
        <w:rPr>
          <w:spacing w:val="31"/>
        </w:rPr>
        <w:t> </w:t>
      </w:r>
      <w:r>
        <w:rPr/>
        <w:t>distinguished </w:t>
      </w:r>
      <w:r>
        <w:rPr>
          <w:spacing w:val="-2"/>
        </w:rPr>
        <w:t>members</w:t>
      </w:r>
      <w:r>
        <w:rPr>
          <w:spacing w:val="-11"/>
        </w:rPr>
        <w:t> </w:t>
      </w:r>
      <w:r>
        <w:rPr>
          <w:spacing w:val="-2"/>
        </w:rPr>
        <w:t>of</w:t>
      </w:r>
      <w:r>
        <w:rPr>
          <w:spacing w:val="-11"/>
        </w:rPr>
        <w:t> </w:t>
      </w:r>
      <w:r>
        <w:rPr>
          <w:spacing w:val="-2"/>
        </w:rPr>
        <w:t>the</w:t>
      </w:r>
      <w:r>
        <w:rPr>
          <w:spacing w:val="-11"/>
        </w:rPr>
        <w:t> </w:t>
      </w:r>
      <w:r>
        <w:rPr>
          <w:spacing w:val="-2"/>
        </w:rPr>
        <w:t>Bar,</w:t>
      </w:r>
      <w:r>
        <w:rPr>
          <w:spacing w:val="-11"/>
        </w:rPr>
        <w:t> </w:t>
      </w:r>
      <w:r>
        <w:rPr>
          <w:spacing w:val="-2"/>
        </w:rPr>
        <w:t>the</w:t>
      </w:r>
      <w:r>
        <w:rPr>
          <w:spacing w:val="-11"/>
        </w:rPr>
        <w:t> </w:t>
      </w:r>
      <w:r>
        <w:rPr>
          <w:spacing w:val="-2"/>
        </w:rPr>
        <w:t>bench</w:t>
      </w:r>
      <w:r>
        <w:rPr>
          <w:spacing w:val="-11"/>
        </w:rPr>
        <w:t> </w:t>
      </w:r>
      <w:r>
        <w:rPr>
          <w:spacing w:val="-2"/>
        </w:rPr>
        <w:t>and</w:t>
      </w:r>
      <w:r>
        <w:rPr>
          <w:spacing w:val="-11"/>
        </w:rPr>
        <w:t> </w:t>
      </w:r>
      <w:r>
        <w:rPr>
          <w:spacing w:val="-2"/>
        </w:rPr>
        <w:t>academia</w:t>
      </w:r>
      <w:r>
        <w:rPr>
          <w:spacing w:val="-11"/>
        </w:rPr>
        <w:t> </w:t>
      </w:r>
      <w:r>
        <w:rPr>
          <w:spacing w:val="-2"/>
        </w:rPr>
        <w:t>under</w:t>
      </w:r>
      <w:r>
        <w:rPr>
          <w:spacing w:val="-11"/>
        </w:rPr>
        <w:t> </w:t>
      </w:r>
      <w:r>
        <w:rPr>
          <w:spacing w:val="-2"/>
        </w:rPr>
        <w:t>the chairmanship</w:t>
      </w:r>
      <w:r>
        <w:rPr>
          <w:spacing w:val="-11"/>
        </w:rPr>
        <w:t> </w:t>
      </w:r>
      <w:r>
        <w:rPr>
          <w:spacing w:val="-2"/>
        </w:rPr>
        <w:t>of</w:t>
      </w:r>
      <w:r>
        <w:rPr>
          <w:spacing w:val="-11"/>
        </w:rPr>
        <w:t> </w:t>
      </w:r>
      <w:r>
        <w:rPr>
          <w:spacing w:val="-2"/>
        </w:rPr>
        <w:t>Justice</w:t>
      </w:r>
      <w:r>
        <w:rPr>
          <w:spacing w:val="-11"/>
        </w:rPr>
        <w:t> </w:t>
      </w:r>
      <w:r>
        <w:rPr>
          <w:spacing w:val="-2"/>
        </w:rPr>
        <w:t>M.</w:t>
      </w:r>
      <w:r>
        <w:rPr>
          <w:spacing w:val="-11"/>
        </w:rPr>
        <w:t> </w:t>
      </w:r>
      <w:r>
        <w:rPr>
          <w:spacing w:val="-2"/>
        </w:rPr>
        <w:t>Jagannadha</w:t>
      </w:r>
      <w:r>
        <w:rPr>
          <w:spacing w:val="-11"/>
        </w:rPr>
        <w:t> </w:t>
      </w:r>
      <w:r>
        <w:rPr>
          <w:spacing w:val="-2"/>
        </w:rPr>
        <w:t>Rao</w:t>
      </w:r>
      <w:r>
        <w:rPr>
          <w:spacing w:val="-11"/>
        </w:rPr>
        <w:t> </w:t>
      </w:r>
      <w:r>
        <w:rPr>
          <w:spacing w:val="-2"/>
        </w:rPr>
        <w:t>to</w:t>
      </w:r>
      <w:r>
        <w:rPr>
          <w:spacing w:val="-11"/>
        </w:rPr>
        <w:t> </w:t>
      </w:r>
      <w:r>
        <w:rPr>
          <w:spacing w:val="-2"/>
        </w:rPr>
        <w:t>suggest </w:t>
      </w:r>
      <w:r>
        <w:rPr/>
        <w:t>necessary</w:t>
      </w:r>
      <w:r>
        <w:rPr>
          <w:spacing w:val="28"/>
        </w:rPr>
        <w:t> </w:t>
      </w:r>
      <w:r>
        <w:rPr/>
        <w:t>measures</w:t>
      </w:r>
      <w:r>
        <w:rPr>
          <w:spacing w:val="28"/>
        </w:rPr>
        <w:t> </w:t>
      </w:r>
      <w:r>
        <w:rPr/>
        <w:t>to</w:t>
      </w:r>
      <w:r>
        <w:rPr>
          <w:spacing w:val="28"/>
        </w:rPr>
        <w:t> </w:t>
      </w:r>
      <w:r>
        <w:rPr/>
        <w:t>improve</w:t>
      </w:r>
      <w:r>
        <w:rPr>
          <w:spacing w:val="28"/>
        </w:rPr>
        <w:t> </w:t>
      </w:r>
      <w:r>
        <w:rPr/>
        <w:t>the</w:t>
      </w:r>
      <w:r>
        <w:rPr>
          <w:spacing w:val="28"/>
        </w:rPr>
        <w:t> </w:t>
      </w:r>
      <w:r>
        <w:rPr/>
        <w:t>quality</w:t>
      </w:r>
      <w:r>
        <w:rPr>
          <w:spacing w:val="28"/>
        </w:rPr>
        <w:t> </w:t>
      </w:r>
      <w:r>
        <w:rPr/>
        <w:t>of</w:t>
      </w:r>
      <w:r>
        <w:rPr>
          <w:spacing w:val="28"/>
        </w:rPr>
        <w:t> </w:t>
      </w:r>
      <w:r>
        <w:rPr/>
        <w:t>legal </w:t>
      </w:r>
      <w:r>
        <w:rPr>
          <w:spacing w:val="-2"/>
        </w:rPr>
        <w:t>education</w:t>
      </w:r>
      <w:r>
        <w:rPr>
          <w:spacing w:val="-10"/>
        </w:rPr>
        <w:t> </w:t>
      </w:r>
      <w:r>
        <w:rPr>
          <w:spacing w:val="-2"/>
        </w:rPr>
        <w:t>in</w:t>
      </w:r>
      <w:r>
        <w:rPr>
          <w:spacing w:val="-10"/>
        </w:rPr>
        <w:t> </w:t>
      </w:r>
      <w:r>
        <w:rPr>
          <w:spacing w:val="-2"/>
        </w:rPr>
        <w:t>India.</w:t>
      </w:r>
      <w:r>
        <w:rPr>
          <w:spacing w:val="-10"/>
        </w:rPr>
        <w:t> </w:t>
      </w:r>
      <w:r>
        <w:rPr>
          <w:spacing w:val="-2"/>
        </w:rPr>
        <w:t>Based</w:t>
      </w:r>
      <w:r>
        <w:rPr>
          <w:spacing w:val="-10"/>
        </w:rPr>
        <w:t> </w:t>
      </w:r>
      <w:r>
        <w:rPr>
          <w:spacing w:val="-2"/>
        </w:rPr>
        <w:t>on</w:t>
      </w:r>
      <w:r>
        <w:rPr>
          <w:spacing w:val="-10"/>
        </w:rPr>
        <w:t> </w:t>
      </w:r>
      <w:r>
        <w:rPr>
          <w:spacing w:val="-2"/>
        </w:rPr>
        <w:t>further</w:t>
      </w:r>
      <w:r>
        <w:rPr>
          <w:spacing w:val="-10"/>
        </w:rPr>
        <w:t> </w:t>
      </w:r>
      <w:r>
        <w:rPr>
          <w:spacing w:val="-2"/>
        </w:rPr>
        <w:t>consultations</w:t>
      </w:r>
      <w:r>
        <w:rPr>
          <w:spacing w:val="-10"/>
        </w:rPr>
        <w:t> </w:t>
      </w:r>
      <w:r>
        <w:rPr>
          <w:spacing w:val="-4"/>
        </w:rPr>
        <w:t>with</w:t>
      </w:r>
    </w:p>
    <w:p>
      <w:pPr>
        <w:pStyle w:val="BodyText"/>
        <w:spacing w:line="230" w:lineRule="exact"/>
        <w:ind w:left="1080"/>
        <w:jc w:val="both"/>
      </w:pPr>
      <w:r>
        <w:rPr>
          <w:spacing w:val="-4"/>
        </w:rPr>
        <w:t>stakeholders,</w:t>
      </w:r>
      <w:r>
        <w:rPr>
          <w:spacing w:val="-2"/>
        </w:rPr>
        <w:t> </w:t>
      </w:r>
      <w:r>
        <w:rPr>
          <w:spacing w:val="-4"/>
        </w:rPr>
        <w:t>NKC</w:t>
      </w:r>
      <w:r>
        <w:rPr>
          <w:spacing w:val="-2"/>
        </w:rPr>
        <w:t> </w:t>
      </w:r>
      <w:r>
        <w:rPr>
          <w:spacing w:val="-4"/>
        </w:rPr>
        <w:t>has</w:t>
      </w:r>
      <w:r>
        <w:rPr>
          <w:spacing w:val="-1"/>
        </w:rPr>
        <w:t> </w:t>
      </w:r>
      <w:r>
        <w:rPr>
          <w:spacing w:val="-4"/>
        </w:rPr>
        <w:t>proposed</w:t>
      </w:r>
      <w:r>
        <w:rPr>
          <w:spacing w:val="-2"/>
        </w:rPr>
        <w:t> </w:t>
      </w:r>
      <w:r>
        <w:rPr>
          <w:spacing w:val="-4"/>
        </w:rPr>
        <w:t>the</w:t>
      </w:r>
      <w:r>
        <w:rPr>
          <w:spacing w:val="-1"/>
        </w:rPr>
        <w:t> </w:t>
      </w:r>
      <w:r>
        <w:rPr>
          <w:spacing w:val="-4"/>
        </w:rPr>
        <w:t>following:</w:t>
      </w:r>
    </w:p>
    <w:p>
      <w:pPr>
        <w:pStyle w:val="BodyText"/>
        <w:spacing w:before="32"/>
      </w:pPr>
    </w:p>
    <w:p>
      <w:pPr>
        <w:pStyle w:val="Heading6"/>
        <w:numPr>
          <w:ilvl w:val="1"/>
          <w:numId w:val="26"/>
        </w:numPr>
        <w:tabs>
          <w:tab w:pos="1404" w:val="left" w:leader="none"/>
          <w:tab w:pos="1406" w:val="left" w:leader="none"/>
        </w:tabs>
        <w:spacing w:line="182" w:lineRule="auto" w:before="1" w:after="0"/>
        <w:ind w:left="1406" w:right="505" w:hanging="327"/>
        <w:jc w:val="left"/>
      </w:pPr>
      <w:r>
        <w:rPr>
          <w:color w:val="2E614A"/>
          <w:spacing w:val="-4"/>
        </w:rPr>
        <w:t>Regulatory</w:t>
      </w:r>
      <w:r>
        <w:rPr>
          <w:color w:val="2E614A"/>
          <w:spacing w:val="-16"/>
        </w:rPr>
        <w:t> </w:t>
      </w:r>
      <w:r>
        <w:rPr>
          <w:color w:val="2E614A"/>
          <w:spacing w:val="-4"/>
        </w:rPr>
        <w:t>Reform:</w:t>
      </w:r>
      <w:r>
        <w:rPr>
          <w:color w:val="2E614A"/>
          <w:spacing w:val="-16"/>
        </w:rPr>
        <w:t> </w:t>
      </w:r>
      <w:r>
        <w:rPr>
          <w:color w:val="2E614A"/>
          <w:spacing w:val="-4"/>
        </w:rPr>
        <w:t>A</w:t>
      </w:r>
      <w:r>
        <w:rPr>
          <w:color w:val="2E614A"/>
          <w:spacing w:val="-16"/>
        </w:rPr>
        <w:t> </w:t>
      </w:r>
      <w:r>
        <w:rPr>
          <w:color w:val="2E614A"/>
          <w:spacing w:val="-4"/>
        </w:rPr>
        <w:t>New </w:t>
      </w:r>
      <w:r>
        <w:rPr>
          <w:color w:val="2E614A"/>
          <w:w w:val="90"/>
        </w:rPr>
        <w:t>Standing Committee for </w:t>
      </w:r>
      <w:r>
        <w:rPr>
          <w:color w:val="2E614A"/>
          <w:w w:val="90"/>
        </w:rPr>
        <w:t>Legal </w:t>
      </w:r>
      <w:r>
        <w:rPr>
          <w:color w:val="2E614A"/>
          <w:spacing w:val="-2"/>
        </w:rPr>
        <w:t>Education</w:t>
      </w:r>
    </w:p>
    <w:p>
      <w:pPr>
        <w:pStyle w:val="BodyText"/>
        <w:spacing w:line="266" w:lineRule="auto" w:before="302"/>
        <w:ind w:left="1079"/>
        <w:jc w:val="both"/>
      </w:pPr>
      <w:r>
        <w:rPr/>
        <w:t>A new regulatory mechanism under the </w:t>
      </w:r>
      <w:r>
        <w:rPr/>
        <w:t>Independent Regulatory</w:t>
      </w:r>
      <w:r>
        <w:rPr>
          <w:spacing w:val="-14"/>
        </w:rPr>
        <w:t> </w:t>
      </w:r>
      <w:r>
        <w:rPr/>
        <w:t>Authority</w:t>
      </w:r>
      <w:r>
        <w:rPr>
          <w:spacing w:val="-14"/>
        </w:rPr>
        <w:t> </w:t>
      </w:r>
      <w:r>
        <w:rPr/>
        <w:t>for</w:t>
      </w:r>
      <w:r>
        <w:rPr>
          <w:spacing w:val="-14"/>
        </w:rPr>
        <w:t> </w:t>
      </w:r>
      <w:r>
        <w:rPr/>
        <w:t>Higher</w:t>
      </w:r>
      <w:r>
        <w:rPr>
          <w:spacing w:val="-13"/>
        </w:rPr>
        <w:t> </w:t>
      </w:r>
      <w:r>
        <w:rPr/>
        <w:t>Education</w:t>
      </w:r>
      <w:r>
        <w:rPr>
          <w:spacing w:val="-14"/>
        </w:rPr>
        <w:t> </w:t>
      </w:r>
      <w:r>
        <w:rPr/>
        <w:t>(IRAHE), vested with powers to deal with all aspects of legal education and whose decisions are binding on the institutions teaching law and on the union and state governments, should be established. The Standing Committee for Legal Education may consist of 25 persons</w:t>
      </w:r>
      <w:r>
        <w:rPr>
          <w:spacing w:val="40"/>
        </w:rPr>
        <w:t> </w:t>
      </w:r>
      <w:r>
        <w:rPr/>
        <w:t>(including</w:t>
      </w:r>
      <w:r>
        <w:rPr>
          <w:spacing w:val="40"/>
        </w:rPr>
        <w:t> </w:t>
      </w:r>
      <w:r>
        <w:rPr/>
        <w:t>eminent</w:t>
      </w:r>
      <w:r>
        <w:rPr>
          <w:spacing w:val="40"/>
        </w:rPr>
        <w:t> </w:t>
      </w:r>
      <w:r>
        <w:rPr/>
        <w:t>lawyers,</w:t>
      </w:r>
      <w:r>
        <w:rPr>
          <w:spacing w:val="40"/>
        </w:rPr>
        <w:t> </w:t>
      </w:r>
      <w:r>
        <w:rPr/>
        <w:t>members</w:t>
      </w:r>
      <w:r>
        <w:rPr>
          <w:spacing w:val="40"/>
        </w:rPr>
        <w:t> </w:t>
      </w:r>
      <w:r>
        <w:rPr/>
        <w:t>of the</w:t>
      </w:r>
      <w:r>
        <w:rPr>
          <w:spacing w:val="49"/>
        </w:rPr>
        <w:t> </w:t>
      </w:r>
      <w:r>
        <w:rPr/>
        <w:t>Bar</w:t>
      </w:r>
      <w:r>
        <w:rPr>
          <w:spacing w:val="50"/>
        </w:rPr>
        <w:t> </w:t>
      </w:r>
      <w:r>
        <w:rPr/>
        <w:t>Council</w:t>
      </w:r>
      <w:r>
        <w:rPr>
          <w:spacing w:val="49"/>
        </w:rPr>
        <w:t> </w:t>
      </w:r>
      <w:r>
        <w:rPr/>
        <w:t>of</w:t>
      </w:r>
      <w:r>
        <w:rPr>
          <w:spacing w:val="50"/>
        </w:rPr>
        <w:t> </w:t>
      </w:r>
      <w:r>
        <w:rPr/>
        <w:t>India/</w:t>
      </w:r>
      <w:r>
        <w:rPr>
          <w:spacing w:val="50"/>
        </w:rPr>
        <w:t> </w:t>
      </w:r>
      <w:r>
        <w:rPr/>
        <w:t>BCI,</w:t>
      </w:r>
      <w:r>
        <w:rPr>
          <w:spacing w:val="49"/>
        </w:rPr>
        <w:t> </w:t>
      </w:r>
      <w:r>
        <w:rPr/>
        <w:t>judges,</w:t>
      </w:r>
      <w:r>
        <w:rPr>
          <w:spacing w:val="50"/>
        </w:rPr>
        <w:t> </w:t>
      </w:r>
      <w:r>
        <w:rPr>
          <w:spacing w:val="-6"/>
        </w:rPr>
        <w:t>academics,</w:t>
      </w:r>
    </w:p>
    <w:p>
      <w:pPr>
        <w:pStyle w:val="BodyText"/>
        <w:spacing w:line="266" w:lineRule="auto" w:before="82"/>
        <w:ind w:left="319" w:right="1077"/>
        <w:jc w:val="both"/>
      </w:pPr>
      <w:r>
        <w:rPr/>
        <w:br w:type="column"/>
      </w:r>
      <w:r>
        <w:rPr/>
        <w:t>representatives from trade, commerce and industry, economists, social workers, students and others) </w:t>
      </w:r>
      <w:r>
        <w:rPr/>
        <w:t>and it must aim at revamping legal education to meet the needs</w:t>
      </w:r>
      <w:r>
        <w:rPr>
          <w:spacing w:val="-14"/>
        </w:rPr>
        <w:t> </w:t>
      </w:r>
      <w:r>
        <w:rPr/>
        <w:t>and</w:t>
      </w:r>
      <w:r>
        <w:rPr>
          <w:spacing w:val="-14"/>
        </w:rPr>
        <w:t> </w:t>
      </w:r>
      <w:r>
        <w:rPr/>
        <w:t>challenges</w:t>
      </w:r>
      <w:r>
        <w:rPr>
          <w:spacing w:val="-14"/>
        </w:rPr>
        <w:t> </w:t>
      </w:r>
      <w:r>
        <w:rPr/>
        <w:t>of</w:t>
      </w:r>
      <w:r>
        <w:rPr>
          <w:spacing w:val="-13"/>
        </w:rPr>
        <w:t> </w:t>
      </w:r>
      <w:r>
        <w:rPr/>
        <w:t>all</w:t>
      </w:r>
      <w:r>
        <w:rPr>
          <w:spacing w:val="-14"/>
        </w:rPr>
        <w:t> </w:t>
      </w:r>
      <w:r>
        <w:rPr/>
        <w:t>sections</w:t>
      </w:r>
      <w:r>
        <w:rPr>
          <w:spacing w:val="-14"/>
        </w:rPr>
        <w:t> </w:t>
      </w:r>
      <w:r>
        <w:rPr/>
        <w:t>of</w:t>
      </w:r>
      <w:r>
        <w:rPr>
          <w:spacing w:val="-14"/>
        </w:rPr>
        <w:t> </w:t>
      </w:r>
      <w:r>
        <w:rPr/>
        <w:t>society.</w:t>
      </w:r>
    </w:p>
    <w:p>
      <w:pPr>
        <w:pStyle w:val="BodyText"/>
        <w:spacing w:before="24"/>
      </w:pPr>
    </w:p>
    <w:p>
      <w:pPr>
        <w:pStyle w:val="BodyText"/>
        <w:spacing w:line="266" w:lineRule="auto"/>
        <w:ind w:left="319" w:right="1077"/>
        <w:jc w:val="both"/>
      </w:pPr>
      <w:r>
        <w:rPr>
          <w:spacing w:val="-2"/>
        </w:rPr>
        <w:t>At</w:t>
      </w:r>
      <w:r>
        <w:rPr>
          <w:spacing w:val="-12"/>
        </w:rPr>
        <w:t> </w:t>
      </w:r>
      <w:r>
        <w:rPr>
          <w:spacing w:val="-2"/>
        </w:rPr>
        <w:t>the</w:t>
      </w:r>
      <w:r>
        <w:rPr>
          <w:spacing w:val="-12"/>
        </w:rPr>
        <w:t> </w:t>
      </w:r>
      <w:r>
        <w:rPr>
          <w:spacing w:val="-2"/>
        </w:rPr>
        <w:t>time</w:t>
      </w:r>
      <w:r>
        <w:rPr>
          <w:spacing w:val="-12"/>
        </w:rPr>
        <w:t> </w:t>
      </w:r>
      <w:r>
        <w:rPr>
          <w:spacing w:val="-2"/>
        </w:rPr>
        <w:t>of</w:t>
      </w:r>
      <w:r>
        <w:rPr>
          <w:spacing w:val="-11"/>
        </w:rPr>
        <w:t> </w:t>
      </w:r>
      <w:r>
        <w:rPr>
          <w:spacing w:val="-2"/>
        </w:rPr>
        <w:t>enactment</w:t>
      </w:r>
      <w:r>
        <w:rPr>
          <w:spacing w:val="-12"/>
        </w:rPr>
        <w:t> </w:t>
      </w:r>
      <w:r>
        <w:rPr>
          <w:spacing w:val="-2"/>
        </w:rPr>
        <w:t>of</w:t>
      </w:r>
      <w:r>
        <w:rPr>
          <w:spacing w:val="-12"/>
        </w:rPr>
        <w:t> </w:t>
      </w:r>
      <w:r>
        <w:rPr>
          <w:spacing w:val="-2"/>
        </w:rPr>
        <w:t>the</w:t>
      </w:r>
      <w:r>
        <w:rPr>
          <w:spacing w:val="-12"/>
        </w:rPr>
        <w:t> </w:t>
      </w:r>
      <w:r>
        <w:rPr>
          <w:spacing w:val="-2"/>
        </w:rPr>
        <w:t>Advocates</w:t>
      </w:r>
      <w:r>
        <w:rPr>
          <w:spacing w:val="-11"/>
        </w:rPr>
        <w:t> </w:t>
      </w:r>
      <w:r>
        <w:rPr>
          <w:spacing w:val="-2"/>
        </w:rPr>
        <w:t>Act,</w:t>
      </w:r>
      <w:r>
        <w:rPr>
          <w:spacing w:val="-12"/>
        </w:rPr>
        <w:t> </w:t>
      </w:r>
      <w:r>
        <w:rPr>
          <w:spacing w:val="-2"/>
        </w:rPr>
        <w:t>1961,</w:t>
      </w:r>
      <w:r>
        <w:rPr>
          <w:spacing w:val="-12"/>
        </w:rPr>
        <w:t> </w:t>
      </w:r>
      <w:r>
        <w:rPr>
          <w:spacing w:val="-2"/>
        </w:rPr>
        <w:t>it </w:t>
      </w:r>
      <w:r>
        <w:rPr>
          <w:spacing w:val="-4"/>
        </w:rPr>
        <w:t>was envisaged that legal education would only produce </w:t>
      </w:r>
      <w:r>
        <w:rPr/>
        <w:t>lawyers for the courts and accordingly the BCI had </w:t>
      </w:r>
      <w:r>
        <w:rPr>
          <w:spacing w:val="-4"/>
        </w:rPr>
        <w:t>been</w:t>
      </w:r>
      <w:r>
        <w:rPr>
          <w:spacing w:val="-5"/>
        </w:rPr>
        <w:t> </w:t>
      </w:r>
      <w:r>
        <w:rPr>
          <w:spacing w:val="-4"/>
        </w:rPr>
        <w:t>entrusted</w:t>
      </w:r>
      <w:r>
        <w:rPr>
          <w:spacing w:val="-5"/>
        </w:rPr>
        <w:t> </w:t>
      </w:r>
      <w:r>
        <w:rPr>
          <w:spacing w:val="-4"/>
        </w:rPr>
        <w:t>with</w:t>
      </w:r>
      <w:r>
        <w:rPr>
          <w:spacing w:val="-5"/>
        </w:rPr>
        <w:t> </w:t>
      </w:r>
      <w:r>
        <w:rPr>
          <w:spacing w:val="-4"/>
        </w:rPr>
        <w:t>the</w:t>
      </w:r>
      <w:r>
        <w:rPr>
          <w:spacing w:val="-5"/>
        </w:rPr>
        <w:t> </w:t>
      </w:r>
      <w:r>
        <w:rPr>
          <w:spacing w:val="-4"/>
        </w:rPr>
        <w:t>limited</w:t>
      </w:r>
      <w:r>
        <w:rPr>
          <w:spacing w:val="-5"/>
        </w:rPr>
        <w:t> </w:t>
      </w:r>
      <w:r>
        <w:rPr>
          <w:spacing w:val="-4"/>
        </w:rPr>
        <w:t>role</w:t>
      </w:r>
      <w:r>
        <w:rPr>
          <w:spacing w:val="-5"/>
        </w:rPr>
        <w:t> </w:t>
      </w:r>
      <w:r>
        <w:rPr>
          <w:spacing w:val="-4"/>
        </w:rPr>
        <w:t>of</w:t>
      </w:r>
      <w:r>
        <w:rPr>
          <w:spacing w:val="-5"/>
        </w:rPr>
        <w:t> </w:t>
      </w:r>
      <w:r>
        <w:rPr>
          <w:spacing w:val="-4"/>
        </w:rPr>
        <w:t>‘promoting</w:t>
      </w:r>
      <w:r>
        <w:rPr>
          <w:spacing w:val="-5"/>
        </w:rPr>
        <w:t> </w:t>
      </w:r>
      <w:r>
        <w:rPr>
          <w:spacing w:val="-4"/>
        </w:rPr>
        <w:t>legal </w:t>
      </w:r>
      <w:r>
        <w:rPr/>
        <w:t>education and laying down minimum standards of </w:t>
      </w:r>
      <w:r>
        <w:rPr>
          <w:spacing w:val="-2"/>
        </w:rPr>
        <w:t>legal</w:t>
      </w:r>
      <w:r>
        <w:rPr>
          <w:spacing w:val="-11"/>
        </w:rPr>
        <w:t> </w:t>
      </w:r>
      <w:r>
        <w:rPr>
          <w:spacing w:val="-2"/>
        </w:rPr>
        <w:t>education’</w:t>
      </w:r>
      <w:r>
        <w:rPr>
          <w:spacing w:val="-11"/>
        </w:rPr>
        <w:t> </w:t>
      </w:r>
      <w:r>
        <w:rPr>
          <w:spacing w:val="-2"/>
        </w:rPr>
        <w:t>required</w:t>
      </w:r>
      <w:r>
        <w:rPr>
          <w:spacing w:val="-11"/>
        </w:rPr>
        <w:t> </w:t>
      </w:r>
      <w:r>
        <w:rPr>
          <w:spacing w:val="-2"/>
        </w:rPr>
        <w:t>for</w:t>
      </w:r>
      <w:r>
        <w:rPr>
          <w:spacing w:val="-11"/>
        </w:rPr>
        <w:t> </w:t>
      </w:r>
      <w:r>
        <w:rPr>
          <w:spacing w:val="-2"/>
        </w:rPr>
        <w:t>students</w:t>
      </w:r>
      <w:r>
        <w:rPr>
          <w:spacing w:val="-11"/>
        </w:rPr>
        <w:t> </w:t>
      </w:r>
      <w:r>
        <w:rPr>
          <w:spacing w:val="-2"/>
        </w:rPr>
        <w:t>who</w:t>
      </w:r>
      <w:r>
        <w:rPr>
          <w:spacing w:val="-11"/>
        </w:rPr>
        <w:t> </w:t>
      </w:r>
      <w:r>
        <w:rPr>
          <w:spacing w:val="-2"/>
        </w:rPr>
        <w:t>‘are</w:t>
      </w:r>
      <w:r>
        <w:rPr>
          <w:spacing w:val="-11"/>
        </w:rPr>
        <w:t> </w:t>
      </w:r>
      <w:r>
        <w:rPr>
          <w:spacing w:val="-2"/>
        </w:rPr>
        <w:t>entitled </w:t>
      </w:r>
      <w:r>
        <w:rPr/>
        <w:t>to</w:t>
      </w:r>
      <w:r>
        <w:rPr>
          <w:spacing w:val="-7"/>
        </w:rPr>
        <w:t> </w:t>
      </w:r>
      <w:r>
        <w:rPr/>
        <w:t>practice’.</w:t>
      </w:r>
      <w:r>
        <w:rPr>
          <w:spacing w:val="-7"/>
        </w:rPr>
        <w:t> </w:t>
      </w:r>
      <w:r>
        <w:rPr/>
        <w:t>In</w:t>
      </w:r>
      <w:r>
        <w:rPr>
          <w:spacing w:val="-7"/>
        </w:rPr>
        <w:t> </w:t>
      </w:r>
      <w:r>
        <w:rPr/>
        <w:t>the</w:t>
      </w:r>
      <w:r>
        <w:rPr>
          <w:spacing w:val="-7"/>
        </w:rPr>
        <w:t> </w:t>
      </w:r>
      <w:r>
        <w:rPr/>
        <w:t>last</w:t>
      </w:r>
      <w:r>
        <w:rPr>
          <w:spacing w:val="-7"/>
        </w:rPr>
        <w:t> </w:t>
      </w:r>
      <w:r>
        <w:rPr/>
        <w:t>50</w:t>
      </w:r>
      <w:r>
        <w:rPr>
          <w:spacing w:val="-7"/>
        </w:rPr>
        <w:t> </w:t>
      </w:r>
      <w:r>
        <w:rPr/>
        <w:t>years,</w:t>
      </w:r>
      <w:r>
        <w:rPr>
          <w:spacing w:val="-7"/>
        </w:rPr>
        <w:t> </w:t>
      </w:r>
      <w:r>
        <w:rPr/>
        <w:t>and</w:t>
      </w:r>
      <w:r>
        <w:rPr>
          <w:spacing w:val="-7"/>
        </w:rPr>
        <w:t> </w:t>
      </w:r>
      <w:r>
        <w:rPr/>
        <w:t>particularly</w:t>
      </w:r>
      <w:r>
        <w:rPr>
          <w:spacing w:val="-7"/>
        </w:rPr>
        <w:t> </w:t>
      </w:r>
      <w:r>
        <w:rPr/>
        <w:t>after liberalisation in 1991, the entire concept of legal education has changed considerably. Today, legal education has to meet not only the requirements of the</w:t>
      </w:r>
      <w:r>
        <w:rPr>
          <w:spacing w:val="-14"/>
        </w:rPr>
        <w:t> </w:t>
      </w:r>
      <w:r>
        <w:rPr/>
        <w:t>Bar</w:t>
      </w:r>
      <w:r>
        <w:rPr>
          <w:spacing w:val="-14"/>
        </w:rPr>
        <w:t> </w:t>
      </w:r>
      <w:r>
        <w:rPr/>
        <w:t>but</w:t>
      </w:r>
      <w:r>
        <w:rPr>
          <w:spacing w:val="-14"/>
        </w:rPr>
        <w:t> </w:t>
      </w:r>
      <w:r>
        <w:rPr/>
        <w:t>also</w:t>
      </w:r>
      <w:r>
        <w:rPr>
          <w:spacing w:val="-13"/>
        </w:rPr>
        <w:t> </w:t>
      </w:r>
      <w:r>
        <w:rPr/>
        <w:t>the</w:t>
      </w:r>
      <w:r>
        <w:rPr>
          <w:spacing w:val="-14"/>
        </w:rPr>
        <w:t> </w:t>
      </w:r>
      <w:r>
        <w:rPr/>
        <w:t>new</w:t>
      </w:r>
      <w:r>
        <w:rPr>
          <w:spacing w:val="-14"/>
        </w:rPr>
        <w:t> </w:t>
      </w:r>
      <w:r>
        <w:rPr/>
        <w:t>needs</w:t>
      </w:r>
      <w:r>
        <w:rPr>
          <w:spacing w:val="-14"/>
        </w:rPr>
        <w:t> </w:t>
      </w:r>
      <w:r>
        <w:rPr/>
        <w:t>of</w:t>
      </w:r>
      <w:r>
        <w:rPr>
          <w:spacing w:val="-13"/>
        </w:rPr>
        <w:t> </w:t>
      </w:r>
      <w:r>
        <w:rPr/>
        <w:t>trade,</w:t>
      </w:r>
      <w:r>
        <w:rPr>
          <w:spacing w:val="-14"/>
        </w:rPr>
        <w:t> </w:t>
      </w:r>
      <w:r>
        <w:rPr/>
        <w:t>commerce</w:t>
      </w:r>
      <w:r>
        <w:rPr>
          <w:spacing w:val="-14"/>
        </w:rPr>
        <w:t> </w:t>
      </w:r>
      <w:r>
        <w:rPr/>
        <w:t>and </w:t>
      </w:r>
      <w:r>
        <w:rPr>
          <w:spacing w:val="-2"/>
        </w:rPr>
        <w:t>industry,</w:t>
      </w:r>
      <w:r>
        <w:rPr>
          <w:spacing w:val="-9"/>
        </w:rPr>
        <w:t> </w:t>
      </w:r>
      <w:r>
        <w:rPr>
          <w:spacing w:val="-2"/>
        </w:rPr>
        <w:t>in</w:t>
      </w:r>
      <w:r>
        <w:rPr>
          <w:spacing w:val="-9"/>
        </w:rPr>
        <w:t> </w:t>
      </w:r>
      <w:r>
        <w:rPr>
          <w:spacing w:val="-2"/>
        </w:rPr>
        <w:t>the</w:t>
      </w:r>
      <w:r>
        <w:rPr>
          <w:spacing w:val="-9"/>
        </w:rPr>
        <w:t> </w:t>
      </w:r>
      <w:r>
        <w:rPr>
          <w:spacing w:val="-2"/>
        </w:rPr>
        <w:t>context</w:t>
      </w:r>
      <w:r>
        <w:rPr>
          <w:spacing w:val="-9"/>
        </w:rPr>
        <w:t> </w:t>
      </w:r>
      <w:r>
        <w:rPr>
          <w:spacing w:val="-2"/>
        </w:rPr>
        <w:t>of</w:t>
      </w:r>
      <w:r>
        <w:rPr>
          <w:spacing w:val="-9"/>
        </w:rPr>
        <w:t> </w:t>
      </w:r>
      <w:r>
        <w:rPr>
          <w:spacing w:val="-2"/>
        </w:rPr>
        <w:t>growing</w:t>
      </w:r>
      <w:r>
        <w:rPr>
          <w:spacing w:val="-9"/>
        </w:rPr>
        <w:t> </w:t>
      </w:r>
      <w:r>
        <w:rPr>
          <w:spacing w:val="-2"/>
        </w:rPr>
        <w:t>internationalisation of</w:t>
      </w:r>
      <w:r>
        <w:rPr>
          <w:spacing w:val="-12"/>
        </w:rPr>
        <w:t> </w:t>
      </w:r>
      <w:r>
        <w:rPr>
          <w:spacing w:val="-2"/>
        </w:rPr>
        <w:t>the</w:t>
      </w:r>
      <w:r>
        <w:rPr>
          <w:spacing w:val="-11"/>
        </w:rPr>
        <w:t> </w:t>
      </w:r>
      <w:r>
        <w:rPr>
          <w:spacing w:val="-2"/>
        </w:rPr>
        <w:t>profession.</w:t>
      </w:r>
      <w:r>
        <w:rPr>
          <w:spacing w:val="-12"/>
        </w:rPr>
        <w:t> </w:t>
      </w:r>
      <w:r>
        <w:rPr>
          <w:spacing w:val="-2"/>
        </w:rPr>
        <w:t>The</w:t>
      </w:r>
      <w:r>
        <w:rPr>
          <w:spacing w:val="-9"/>
        </w:rPr>
        <w:t> </w:t>
      </w:r>
      <w:r>
        <w:rPr>
          <w:spacing w:val="-2"/>
        </w:rPr>
        <w:t>need</w:t>
      </w:r>
      <w:r>
        <w:rPr>
          <w:spacing w:val="-10"/>
        </w:rPr>
        <w:t> </w:t>
      </w:r>
      <w:r>
        <w:rPr>
          <w:spacing w:val="-2"/>
        </w:rPr>
        <w:t>for</w:t>
      </w:r>
      <w:r>
        <w:rPr>
          <w:spacing w:val="-10"/>
        </w:rPr>
        <w:t> </w:t>
      </w:r>
      <w:r>
        <w:rPr>
          <w:spacing w:val="-2"/>
        </w:rPr>
        <w:t>improvement</w:t>
      </w:r>
      <w:r>
        <w:rPr>
          <w:spacing w:val="-10"/>
        </w:rPr>
        <w:t> </w:t>
      </w:r>
      <w:r>
        <w:rPr>
          <w:spacing w:val="-2"/>
        </w:rPr>
        <w:t>in</w:t>
      </w:r>
      <w:r>
        <w:rPr>
          <w:spacing w:val="-10"/>
        </w:rPr>
        <w:t> </w:t>
      </w:r>
      <w:r>
        <w:rPr>
          <w:spacing w:val="-2"/>
        </w:rPr>
        <w:t>overall </w:t>
      </w:r>
      <w:r>
        <w:rPr/>
        <w:t>quality to match global standards has become even more</w:t>
      </w:r>
      <w:r>
        <w:rPr>
          <w:spacing w:val="-11"/>
        </w:rPr>
        <w:t> </w:t>
      </w:r>
      <w:r>
        <w:rPr/>
        <w:t>salient</w:t>
      </w:r>
      <w:r>
        <w:rPr>
          <w:spacing w:val="-11"/>
        </w:rPr>
        <w:t> </w:t>
      </w:r>
      <w:r>
        <w:rPr/>
        <w:t>when</w:t>
      </w:r>
      <w:r>
        <w:rPr>
          <w:spacing w:val="-11"/>
        </w:rPr>
        <w:t> </w:t>
      </w:r>
      <w:r>
        <w:rPr/>
        <w:t>viewed</w:t>
      </w:r>
      <w:r>
        <w:rPr>
          <w:spacing w:val="-11"/>
        </w:rPr>
        <w:t> </w:t>
      </w:r>
      <w:r>
        <w:rPr/>
        <w:t>from</w:t>
      </w:r>
      <w:r>
        <w:rPr>
          <w:spacing w:val="-11"/>
        </w:rPr>
        <w:t> </w:t>
      </w:r>
      <w:r>
        <w:rPr/>
        <w:t>such</w:t>
      </w:r>
      <w:r>
        <w:rPr>
          <w:spacing w:val="-11"/>
        </w:rPr>
        <w:t> </w:t>
      </w:r>
      <w:r>
        <w:rPr/>
        <w:t>a</w:t>
      </w:r>
      <w:r>
        <w:rPr>
          <w:spacing w:val="-11"/>
        </w:rPr>
        <w:t> </w:t>
      </w:r>
      <w:r>
        <w:rPr/>
        <w:t>perspective.</w:t>
      </w:r>
      <w:r>
        <w:rPr>
          <w:spacing w:val="-11"/>
        </w:rPr>
        <w:t> </w:t>
      </w:r>
      <w:r>
        <w:rPr/>
        <w:t>In light of the changed scenario in the last 50 years and the existing gaps and deficiencies in overall quality, it is clear that the BCI has neither the power under the</w:t>
      </w:r>
      <w:r>
        <w:rPr>
          <w:spacing w:val="-8"/>
        </w:rPr>
        <w:t> </w:t>
      </w:r>
      <w:r>
        <w:rPr/>
        <w:t>Advocates</w:t>
      </w:r>
      <w:r>
        <w:rPr>
          <w:spacing w:val="-8"/>
        </w:rPr>
        <w:t> </w:t>
      </w:r>
      <w:r>
        <w:rPr/>
        <w:t>Act,</w:t>
      </w:r>
      <w:r>
        <w:rPr>
          <w:spacing w:val="-8"/>
        </w:rPr>
        <w:t> </w:t>
      </w:r>
      <w:r>
        <w:rPr/>
        <w:t>1961</w:t>
      </w:r>
      <w:r>
        <w:rPr>
          <w:spacing w:val="-8"/>
        </w:rPr>
        <w:t> </w:t>
      </w:r>
      <w:r>
        <w:rPr/>
        <w:t>nor</w:t>
      </w:r>
      <w:r>
        <w:rPr>
          <w:spacing w:val="-8"/>
        </w:rPr>
        <w:t> </w:t>
      </w:r>
      <w:r>
        <w:rPr/>
        <w:t>the</w:t>
      </w:r>
      <w:r>
        <w:rPr>
          <w:spacing w:val="-8"/>
        </w:rPr>
        <w:t> </w:t>
      </w:r>
      <w:r>
        <w:rPr/>
        <w:t>expertise</w:t>
      </w:r>
      <w:r>
        <w:rPr>
          <w:spacing w:val="-8"/>
        </w:rPr>
        <w:t> </w:t>
      </w:r>
      <w:r>
        <w:rPr/>
        <w:t>to</w:t>
      </w:r>
      <w:r>
        <w:rPr>
          <w:spacing w:val="-8"/>
        </w:rPr>
        <w:t> </w:t>
      </w:r>
      <w:r>
        <w:rPr/>
        <w:t>meet</w:t>
      </w:r>
      <w:r>
        <w:rPr>
          <w:spacing w:val="-8"/>
        </w:rPr>
        <w:t> </w:t>
      </w:r>
      <w:r>
        <w:rPr/>
        <w:t>the new</w:t>
      </w:r>
      <w:r>
        <w:rPr>
          <w:spacing w:val="-14"/>
        </w:rPr>
        <w:t> </w:t>
      </w:r>
      <w:r>
        <w:rPr/>
        <w:t>challenges</w:t>
      </w:r>
      <w:r>
        <w:rPr>
          <w:spacing w:val="-14"/>
        </w:rPr>
        <w:t> </w:t>
      </w:r>
      <w:r>
        <w:rPr/>
        <w:t>both</w:t>
      </w:r>
      <w:r>
        <w:rPr>
          <w:spacing w:val="-14"/>
        </w:rPr>
        <w:t> </w:t>
      </w:r>
      <w:r>
        <w:rPr/>
        <w:t>domestically</w:t>
      </w:r>
      <w:r>
        <w:rPr>
          <w:spacing w:val="-13"/>
        </w:rPr>
        <w:t> </w:t>
      </w:r>
      <w:r>
        <w:rPr/>
        <w:t>and</w:t>
      </w:r>
      <w:r>
        <w:rPr>
          <w:spacing w:val="-14"/>
        </w:rPr>
        <w:t> </w:t>
      </w:r>
      <w:r>
        <w:rPr/>
        <w:t>internationally. </w:t>
      </w:r>
      <w:r>
        <w:rPr>
          <w:spacing w:val="-2"/>
        </w:rPr>
        <w:t>It</w:t>
      </w:r>
      <w:r>
        <w:rPr>
          <w:spacing w:val="-12"/>
        </w:rPr>
        <w:t> </w:t>
      </w:r>
      <w:r>
        <w:rPr>
          <w:spacing w:val="-2"/>
        </w:rPr>
        <w:t>is,</w:t>
      </w:r>
      <w:r>
        <w:rPr>
          <w:spacing w:val="-12"/>
        </w:rPr>
        <w:t> </w:t>
      </w:r>
      <w:r>
        <w:rPr>
          <w:spacing w:val="-2"/>
        </w:rPr>
        <w:t>therefore,</w:t>
      </w:r>
      <w:r>
        <w:rPr>
          <w:spacing w:val="-12"/>
        </w:rPr>
        <w:t> </w:t>
      </w:r>
      <w:r>
        <w:rPr>
          <w:spacing w:val="-2"/>
        </w:rPr>
        <w:t>necessary</w:t>
      </w:r>
      <w:r>
        <w:rPr>
          <w:spacing w:val="-11"/>
        </w:rPr>
        <w:t> </w:t>
      </w:r>
      <w:r>
        <w:rPr>
          <w:spacing w:val="-2"/>
        </w:rPr>
        <w:t>to</w:t>
      </w:r>
      <w:r>
        <w:rPr>
          <w:spacing w:val="-12"/>
        </w:rPr>
        <w:t> </w:t>
      </w:r>
      <w:r>
        <w:rPr>
          <w:spacing w:val="-2"/>
        </w:rPr>
        <w:t>constitute</w:t>
      </w:r>
      <w:r>
        <w:rPr>
          <w:spacing w:val="-12"/>
        </w:rPr>
        <w:t> </w:t>
      </w:r>
      <w:r>
        <w:rPr>
          <w:spacing w:val="-2"/>
        </w:rPr>
        <w:t>a</w:t>
      </w:r>
      <w:r>
        <w:rPr>
          <w:spacing w:val="-12"/>
        </w:rPr>
        <w:t> </w:t>
      </w:r>
      <w:r>
        <w:rPr>
          <w:spacing w:val="-2"/>
        </w:rPr>
        <w:t>new</w:t>
      </w:r>
      <w:r>
        <w:rPr>
          <w:spacing w:val="-11"/>
        </w:rPr>
        <w:t> </w:t>
      </w:r>
      <w:r>
        <w:rPr>
          <w:spacing w:val="-2"/>
        </w:rPr>
        <w:t>regulatory </w:t>
      </w:r>
      <w:r>
        <w:rPr>
          <w:spacing w:val="-6"/>
        </w:rPr>
        <w:t>mechanism with a vision both of social and international </w:t>
      </w:r>
      <w:r>
        <w:rPr/>
        <w:t>goals,</w:t>
      </w:r>
      <w:r>
        <w:rPr>
          <w:spacing w:val="-14"/>
        </w:rPr>
        <w:t> </w:t>
      </w:r>
      <w:r>
        <w:rPr/>
        <w:t>to</w:t>
      </w:r>
      <w:r>
        <w:rPr>
          <w:spacing w:val="-14"/>
        </w:rPr>
        <w:t> </w:t>
      </w:r>
      <w:r>
        <w:rPr/>
        <w:t>deal</w:t>
      </w:r>
      <w:r>
        <w:rPr>
          <w:spacing w:val="-14"/>
        </w:rPr>
        <w:t> </w:t>
      </w:r>
      <w:r>
        <w:rPr/>
        <w:t>with</w:t>
      </w:r>
      <w:r>
        <w:rPr>
          <w:spacing w:val="-13"/>
        </w:rPr>
        <w:t> </w:t>
      </w:r>
      <w:r>
        <w:rPr/>
        <w:t>all</w:t>
      </w:r>
      <w:r>
        <w:rPr>
          <w:spacing w:val="-14"/>
        </w:rPr>
        <w:t> </w:t>
      </w:r>
      <w:r>
        <w:rPr/>
        <w:t>aspects</w:t>
      </w:r>
      <w:r>
        <w:rPr>
          <w:spacing w:val="-14"/>
        </w:rPr>
        <w:t> </w:t>
      </w:r>
      <w:r>
        <w:rPr/>
        <w:t>of</w:t>
      </w:r>
      <w:r>
        <w:rPr>
          <w:spacing w:val="-14"/>
        </w:rPr>
        <w:t> </w:t>
      </w:r>
      <w:r>
        <w:rPr/>
        <w:t>legal</w:t>
      </w:r>
      <w:r>
        <w:rPr>
          <w:spacing w:val="-13"/>
        </w:rPr>
        <w:t> </w:t>
      </w:r>
      <w:r>
        <w:rPr/>
        <w:t>education</w:t>
      </w:r>
      <w:r>
        <w:rPr>
          <w:spacing w:val="-14"/>
        </w:rPr>
        <w:t> </w:t>
      </w:r>
      <w:r>
        <w:rPr/>
        <w:t>and</w:t>
      </w:r>
      <w:r>
        <w:rPr>
          <w:spacing w:val="-14"/>
        </w:rPr>
        <w:t> </w:t>
      </w:r>
      <w:r>
        <w:rPr/>
        <w:t>to cater to the needs of the present and the future. The BCI</w:t>
      </w:r>
      <w:r>
        <w:rPr>
          <w:spacing w:val="-16"/>
        </w:rPr>
        <w:t> </w:t>
      </w:r>
      <w:r>
        <w:rPr/>
        <w:t>would</w:t>
      </w:r>
      <w:r>
        <w:rPr>
          <w:spacing w:val="-14"/>
        </w:rPr>
        <w:t> </w:t>
      </w:r>
      <w:r>
        <w:rPr/>
        <w:t>however</w:t>
      </w:r>
      <w:r>
        <w:rPr>
          <w:spacing w:val="-14"/>
        </w:rPr>
        <w:t> </w:t>
      </w:r>
      <w:r>
        <w:rPr/>
        <w:t>continue</w:t>
      </w:r>
      <w:r>
        <w:rPr>
          <w:spacing w:val="-13"/>
        </w:rPr>
        <w:t> </w:t>
      </w:r>
      <w:r>
        <w:rPr/>
        <w:t>to</w:t>
      </w:r>
      <w:r>
        <w:rPr>
          <w:spacing w:val="-14"/>
        </w:rPr>
        <w:t> </w:t>
      </w:r>
      <w:r>
        <w:rPr/>
        <w:t>exercise</w:t>
      </w:r>
      <w:r>
        <w:rPr>
          <w:spacing w:val="-14"/>
        </w:rPr>
        <w:t> </w:t>
      </w:r>
      <w:r>
        <w:rPr/>
        <w:t>its</w:t>
      </w:r>
      <w:r>
        <w:rPr>
          <w:spacing w:val="-14"/>
        </w:rPr>
        <w:t> </w:t>
      </w:r>
      <w:r>
        <w:rPr/>
        <w:t>powers</w:t>
      </w:r>
      <w:r>
        <w:rPr>
          <w:spacing w:val="-13"/>
        </w:rPr>
        <w:t> </w:t>
      </w:r>
      <w:r>
        <w:rPr/>
        <w:t>to recommend</w:t>
      </w:r>
      <w:r>
        <w:rPr>
          <w:spacing w:val="-6"/>
        </w:rPr>
        <w:t> </w:t>
      </w:r>
      <w:r>
        <w:rPr/>
        <w:t>minimum</w:t>
      </w:r>
      <w:r>
        <w:rPr>
          <w:spacing w:val="-6"/>
        </w:rPr>
        <w:t> </w:t>
      </w:r>
      <w:r>
        <w:rPr/>
        <w:t>standards</w:t>
      </w:r>
      <w:r>
        <w:rPr>
          <w:spacing w:val="-6"/>
        </w:rPr>
        <w:t> </w:t>
      </w:r>
      <w:r>
        <w:rPr/>
        <w:t>required</w:t>
      </w:r>
      <w:r>
        <w:rPr>
          <w:spacing w:val="-6"/>
        </w:rPr>
        <w:t> </w:t>
      </w:r>
      <w:r>
        <w:rPr/>
        <w:t>for</w:t>
      </w:r>
      <w:r>
        <w:rPr>
          <w:spacing w:val="-6"/>
        </w:rPr>
        <w:t> </w:t>
      </w:r>
      <w:r>
        <w:rPr/>
        <w:t>practice </w:t>
      </w:r>
      <w:r>
        <w:rPr>
          <w:spacing w:val="-2"/>
        </w:rPr>
        <w:t>in</w:t>
      </w:r>
      <w:r>
        <w:rPr>
          <w:spacing w:val="-10"/>
        </w:rPr>
        <w:t> </w:t>
      </w:r>
      <w:r>
        <w:rPr>
          <w:spacing w:val="-2"/>
        </w:rPr>
        <w:t>the</w:t>
      </w:r>
      <w:r>
        <w:rPr>
          <w:spacing w:val="-10"/>
        </w:rPr>
        <w:t> </w:t>
      </w:r>
      <w:r>
        <w:rPr>
          <w:spacing w:val="-2"/>
        </w:rPr>
        <w:t>courts.</w:t>
      </w:r>
      <w:r>
        <w:rPr>
          <w:spacing w:val="-10"/>
        </w:rPr>
        <w:t> </w:t>
      </w:r>
      <w:r>
        <w:rPr>
          <w:spacing w:val="-2"/>
        </w:rPr>
        <w:t>Further,</w:t>
      </w:r>
      <w:r>
        <w:rPr>
          <w:spacing w:val="-10"/>
        </w:rPr>
        <w:t> </w:t>
      </w:r>
      <w:r>
        <w:rPr>
          <w:spacing w:val="-2"/>
        </w:rPr>
        <w:t>the</w:t>
      </w:r>
      <w:r>
        <w:rPr>
          <w:spacing w:val="-10"/>
        </w:rPr>
        <w:t> </w:t>
      </w:r>
      <w:r>
        <w:rPr>
          <w:spacing w:val="-2"/>
        </w:rPr>
        <w:t>BCI</w:t>
      </w:r>
      <w:r>
        <w:rPr>
          <w:spacing w:val="-10"/>
        </w:rPr>
        <w:t> </w:t>
      </w:r>
      <w:r>
        <w:rPr>
          <w:spacing w:val="-2"/>
        </w:rPr>
        <w:t>would</w:t>
      </w:r>
      <w:r>
        <w:rPr>
          <w:spacing w:val="-10"/>
        </w:rPr>
        <w:t> </w:t>
      </w:r>
      <w:r>
        <w:rPr>
          <w:spacing w:val="-2"/>
        </w:rPr>
        <w:t>continue</w:t>
      </w:r>
      <w:r>
        <w:rPr>
          <w:spacing w:val="-10"/>
        </w:rPr>
        <w:t> </w:t>
      </w:r>
      <w:r>
        <w:rPr>
          <w:spacing w:val="-2"/>
        </w:rPr>
        <w:t>to</w:t>
      </w:r>
      <w:r>
        <w:rPr>
          <w:spacing w:val="-10"/>
        </w:rPr>
        <w:t> </w:t>
      </w:r>
      <w:r>
        <w:rPr>
          <w:spacing w:val="-2"/>
        </w:rPr>
        <w:t>enjoy </w:t>
      </w:r>
      <w:r>
        <w:rPr>
          <w:spacing w:val="-4"/>
        </w:rPr>
        <w:t>its</w:t>
      </w:r>
      <w:r>
        <w:rPr>
          <w:spacing w:val="-10"/>
        </w:rPr>
        <w:t> </w:t>
      </w:r>
      <w:r>
        <w:rPr>
          <w:spacing w:val="-4"/>
        </w:rPr>
        <w:t>powers</w:t>
      </w:r>
      <w:r>
        <w:rPr>
          <w:spacing w:val="-10"/>
        </w:rPr>
        <w:t> </w:t>
      </w:r>
      <w:r>
        <w:rPr>
          <w:spacing w:val="-4"/>
        </w:rPr>
        <w:t>of</w:t>
      </w:r>
      <w:r>
        <w:rPr>
          <w:spacing w:val="-10"/>
        </w:rPr>
        <w:t> </w:t>
      </w:r>
      <w:r>
        <w:rPr>
          <w:spacing w:val="-4"/>
        </w:rPr>
        <w:t>discipline</w:t>
      </w:r>
      <w:r>
        <w:rPr>
          <w:spacing w:val="-9"/>
        </w:rPr>
        <w:t> </w:t>
      </w:r>
      <w:r>
        <w:rPr>
          <w:spacing w:val="-4"/>
        </w:rPr>
        <w:t>so</w:t>
      </w:r>
      <w:r>
        <w:rPr>
          <w:spacing w:val="-10"/>
        </w:rPr>
        <w:t> </w:t>
      </w:r>
      <w:r>
        <w:rPr>
          <w:spacing w:val="-4"/>
        </w:rPr>
        <w:t>far</w:t>
      </w:r>
      <w:r>
        <w:rPr>
          <w:spacing w:val="-10"/>
        </w:rPr>
        <w:t> </w:t>
      </w:r>
      <w:r>
        <w:rPr>
          <w:spacing w:val="-4"/>
        </w:rPr>
        <w:t>as</w:t>
      </w:r>
      <w:r>
        <w:rPr>
          <w:spacing w:val="-10"/>
        </w:rPr>
        <w:t> </w:t>
      </w:r>
      <w:r>
        <w:rPr>
          <w:spacing w:val="-4"/>
        </w:rPr>
        <w:t>the</w:t>
      </w:r>
      <w:r>
        <w:rPr>
          <w:spacing w:val="-9"/>
        </w:rPr>
        <w:t> </w:t>
      </w:r>
      <w:r>
        <w:rPr>
          <w:spacing w:val="-4"/>
        </w:rPr>
        <w:t>members</w:t>
      </w:r>
      <w:r>
        <w:rPr>
          <w:spacing w:val="-10"/>
        </w:rPr>
        <w:t> </w:t>
      </w:r>
      <w:r>
        <w:rPr>
          <w:spacing w:val="-4"/>
        </w:rPr>
        <w:t>of</w:t>
      </w:r>
      <w:r>
        <w:rPr>
          <w:spacing w:val="-10"/>
        </w:rPr>
        <w:t> </w:t>
      </w:r>
      <w:r>
        <w:rPr>
          <w:spacing w:val="-4"/>
        </w:rPr>
        <w:t>the</w:t>
      </w:r>
      <w:r>
        <w:rPr>
          <w:spacing w:val="-10"/>
        </w:rPr>
        <w:t> </w:t>
      </w:r>
      <w:r>
        <w:rPr>
          <w:spacing w:val="-4"/>
        </w:rPr>
        <w:t>Bar </w:t>
      </w:r>
      <w:r>
        <w:rPr/>
        <w:t>are concerned.</w:t>
      </w:r>
    </w:p>
    <w:p>
      <w:pPr>
        <w:pStyle w:val="Heading6"/>
        <w:numPr>
          <w:ilvl w:val="1"/>
          <w:numId w:val="26"/>
        </w:numPr>
        <w:tabs>
          <w:tab w:pos="643" w:val="left" w:leader="none"/>
          <w:tab w:pos="645" w:val="left" w:leader="none"/>
        </w:tabs>
        <w:spacing w:line="182" w:lineRule="auto" w:before="235" w:after="0"/>
        <w:ind w:left="645" w:right="1271" w:hanging="327"/>
        <w:jc w:val="left"/>
      </w:pPr>
      <w:r>
        <w:rPr>
          <w:color w:val="2E614A"/>
          <w:spacing w:val="-10"/>
        </w:rPr>
        <w:t>Prioritise Quality and Develop </w:t>
      </w:r>
      <w:r>
        <w:rPr>
          <w:color w:val="2E614A"/>
          <w:spacing w:val="-10"/>
        </w:rPr>
        <w:t>A </w:t>
      </w:r>
      <w:r>
        <w:rPr>
          <w:color w:val="2E614A"/>
        </w:rPr>
        <w:t>Rating System</w:t>
      </w:r>
    </w:p>
    <w:p>
      <w:pPr>
        <w:pStyle w:val="BodyText"/>
        <w:spacing w:line="266" w:lineRule="auto" w:before="302"/>
        <w:ind w:left="319" w:right="1077"/>
        <w:jc w:val="both"/>
      </w:pPr>
      <w:r>
        <w:rPr>
          <w:spacing w:val="-8"/>
        </w:rPr>
        <w:t>There</w:t>
      </w:r>
      <w:r>
        <w:rPr>
          <w:spacing w:val="-3"/>
        </w:rPr>
        <w:t> </w:t>
      </w:r>
      <w:r>
        <w:rPr>
          <w:spacing w:val="-8"/>
        </w:rPr>
        <w:t>is</w:t>
      </w:r>
      <w:r>
        <w:rPr>
          <w:spacing w:val="-3"/>
        </w:rPr>
        <w:t> </w:t>
      </w:r>
      <w:r>
        <w:rPr>
          <w:spacing w:val="-8"/>
        </w:rPr>
        <w:t>a</w:t>
      </w:r>
      <w:r>
        <w:rPr>
          <w:spacing w:val="-3"/>
        </w:rPr>
        <w:t> </w:t>
      </w:r>
      <w:r>
        <w:rPr>
          <w:spacing w:val="-8"/>
        </w:rPr>
        <w:t>need</w:t>
      </w:r>
      <w:r>
        <w:rPr>
          <w:spacing w:val="-3"/>
        </w:rPr>
        <w:t> </w:t>
      </w:r>
      <w:r>
        <w:rPr>
          <w:spacing w:val="-8"/>
        </w:rPr>
        <w:t>to</w:t>
      </w:r>
      <w:r>
        <w:rPr>
          <w:spacing w:val="-3"/>
        </w:rPr>
        <w:t> </w:t>
      </w:r>
      <w:r>
        <w:rPr>
          <w:spacing w:val="-8"/>
        </w:rPr>
        <w:t>develop</w:t>
      </w:r>
      <w:r>
        <w:rPr>
          <w:spacing w:val="-3"/>
        </w:rPr>
        <w:t> </w:t>
      </w:r>
      <w:r>
        <w:rPr>
          <w:spacing w:val="-8"/>
        </w:rPr>
        <w:t>an</w:t>
      </w:r>
      <w:r>
        <w:rPr>
          <w:spacing w:val="-3"/>
        </w:rPr>
        <w:t> </w:t>
      </w:r>
      <w:r>
        <w:rPr>
          <w:spacing w:val="-8"/>
        </w:rPr>
        <w:t>independent</w:t>
      </w:r>
      <w:r>
        <w:rPr>
          <w:spacing w:val="-3"/>
        </w:rPr>
        <w:t> </w:t>
      </w:r>
      <w:r>
        <w:rPr>
          <w:spacing w:val="-8"/>
        </w:rPr>
        <w:t>Rating</w:t>
      </w:r>
      <w:r>
        <w:rPr>
          <w:spacing w:val="-3"/>
        </w:rPr>
        <w:t> </w:t>
      </w:r>
      <w:r>
        <w:rPr>
          <w:spacing w:val="-8"/>
        </w:rPr>
        <w:t>System </w:t>
      </w:r>
      <w:r>
        <w:rPr>
          <w:spacing w:val="-4"/>
        </w:rPr>
        <w:t>based</w:t>
      </w:r>
      <w:r>
        <w:rPr>
          <w:spacing w:val="-10"/>
        </w:rPr>
        <w:t> </w:t>
      </w:r>
      <w:r>
        <w:rPr>
          <w:spacing w:val="-4"/>
        </w:rPr>
        <w:t>on</w:t>
      </w:r>
      <w:r>
        <w:rPr>
          <w:spacing w:val="-10"/>
        </w:rPr>
        <w:t> </w:t>
      </w:r>
      <w:r>
        <w:rPr>
          <w:spacing w:val="-4"/>
        </w:rPr>
        <w:t>a</w:t>
      </w:r>
      <w:r>
        <w:rPr>
          <w:spacing w:val="-10"/>
        </w:rPr>
        <w:t> </w:t>
      </w:r>
      <w:r>
        <w:rPr>
          <w:spacing w:val="-4"/>
        </w:rPr>
        <w:t>set</w:t>
      </w:r>
      <w:r>
        <w:rPr>
          <w:spacing w:val="-9"/>
        </w:rPr>
        <w:t> </w:t>
      </w:r>
      <w:r>
        <w:rPr>
          <w:spacing w:val="-4"/>
        </w:rPr>
        <w:t>of</w:t>
      </w:r>
      <w:r>
        <w:rPr>
          <w:spacing w:val="-10"/>
        </w:rPr>
        <w:t> </w:t>
      </w:r>
      <w:r>
        <w:rPr>
          <w:spacing w:val="-4"/>
        </w:rPr>
        <w:t>agreed</w:t>
      </w:r>
      <w:r>
        <w:rPr>
          <w:spacing w:val="-10"/>
        </w:rPr>
        <w:t> </w:t>
      </w:r>
      <w:r>
        <w:rPr>
          <w:spacing w:val="-4"/>
        </w:rPr>
        <w:t>criteria</w:t>
      </w:r>
      <w:r>
        <w:rPr>
          <w:spacing w:val="-10"/>
        </w:rPr>
        <w:t> </w:t>
      </w:r>
      <w:r>
        <w:rPr>
          <w:spacing w:val="-4"/>
        </w:rPr>
        <w:t>to</w:t>
      </w:r>
      <w:r>
        <w:rPr>
          <w:spacing w:val="-9"/>
        </w:rPr>
        <w:t> </w:t>
      </w:r>
      <w:r>
        <w:rPr>
          <w:spacing w:val="-4"/>
        </w:rPr>
        <w:t>assess</w:t>
      </w:r>
      <w:r>
        <w:rPr>
          <w:spacing w:val="-10"/>
        </w:rPr>
        <w:t> </w:t>
      </w:r>
      <w:r>
        <w:rPr>
          <w:spacing w:val="-4"/>
        </w:rPr>
        <w:t>the</w:t>
      </w:r>
      <w:r>
        <w:rPr>
          <w:spacing w:val="-10"/>
        </w:rPr>
        <w:t> </w:t>
      </w:r>
      <w:r>
        <w:rPr>
          <w:spacing w:val="-4"/>
        </w:rPr>
        <w:t>standard</w:t>
      </w:r>
      <w:r>
        <w:rPr>
          <w:spacing w:val="-10"/>
        </w:rPr>
        <w:t> </w:t>
      </w:r>
      <w:r>
        <w:rPr>
          <w:spacing w:val="-4"/>
        </w:rPr>
        <w:t>of </w:t>
      </w:r>
      <w:r>
        <w:rPr/>
        <w:t>all</w:t>
      </w:r>
      <w:r>
        <w:rPr>
          <w:spacing w:val="-9"/>
        </w:rPr>
        <w:t> </w:t>
      </w:r>
      <w:r>
        <w:rPr/>
        <w:t>institutions</w:t>
      </w:r>
      <w:r>
        <w:rPr>
          <w:spacing w:val="-9"/>
        </w:rPr>
        <w:t> </w:t>
      </w:r>
      <w:r>
        <w:rPr/>
        <w:t>teaching</w:t>
      </w:r>
      <w:r>
        <w:rPr>
          <w:spacing w:val="-9"/>
        </w:rPr>
        <w:t> </w:t>
      </w:r>
      <w:r>
        <w:rPr/>
        <w:t>law</w:t>
      </w:r>
      <w:r>
        <w:rPr>
          <w:spacing w:val="-9"/>
        </w:rPr>
        <w:t> </w:t>
      </w:r>
      <w:r>
        <w:rPr/>
        <w:t>as</w:t>
      </w:r>
      <w:r>
        <w:rPr>
          <w:spacing w:val="-9"/>
        </w:rPr>
        <w:t> </w:t>
      </w:r>
      <w:r>
        <w:rPr/>
        <w:t>a</w:t>
      </w:r>
      <w:r>
        <w:rPr>
          <w:spacing w:val="-9"/>
        </w:rPr>
        <w:t> </w:t>
      </w:r>
      <w:r>
        <w:rPr/>
        <w:t>mechanism</w:t>
      </w:r>
      <w:r>
        <w:rPr>
          <w:spacing w:val="-9"/>
        </w:rPr>
        <w:t> </w:t>
      </w:r>
      <w:r>
        <w:rPr/>
        <w:t>to</w:t>
      </w:r>
      <w:r>
        <w:rPr>
          <w:spacing w:val="-9"/>
        </w:rPr>
        <w:t> </w:t>
      </w:r>
      <w:r>
        <w:rPr/>
        <w:t>ensure consistent academic quality throughout the country. </w:t>
      </w:r>
      <w:r>
        <w:rPr>
          <w:spacing w:val="-6"/>
        </w:rPr>
        <w:t>The</w:t>
      </w:r>
      <w:r>
        <w:rPr>
          <w:spacing w:val="-4"/>
        </w:rPr>
        <w:t> </w:t>
      </w:r>
      <w:r>
        <w:rPr>
          <w:spacing w:val="-6"/>
        </w:rPr>
        <w:t>criteria</w:t>
      </w:r>
      <w:r>
        <w:rPr>
          <w:spacing w:val="-3"/>
        </w:rPr>
        <w:t> </w:t>
      </w:r>
      <w:r>
        <w:rPr>
          <w:spacing w:val="-6"/>
        </w:rPr>
        <w:t>for</w:t>
      </w:r>
      <w:r>
        <w:rPr>
          <w:spacing w:val="-3"/>
        </w:rPr>
        <w:t> </w:t>
      </w:r>
      <w:r>
        <w:rPr>
          <w:spacing w:val="-6"/>
        </w:rPr>
        <w:t>rating</w:t>
      </w:r>
      <w:r>
        <w:rPr>
          <w:spacing w:val="-4"/>
        </w:rPr>
        <w:t> </w:t>
      </w:r>
      <w:r>
        <w:rPr>
          <w:spacing w:val="-6"/>
        </w:rPr>
        <w:t>would</w:t>
      </w:r>
      <w:r>
        <w:rPr>
          <w:spacing w:val="-3"/>
        </w:rPr>
        <w:t> </w:t>
      </w:r>
      <w:r>
        <w:rPr>
          <w:spacing w:val="-6"/>
        </w:rPr>
        <w:t>be</w:t>
      </w:r>
      <w:r>
        <w:rPr>
          <w:spacing w:val="-3"/>
        </w:rPr>
        <w:t> </w:t>
      </w:r>
      <w:r>
        <w:rPr>
          <w:spacing w:val="-6"/>
        </w:rPr>
        <w:t>evolved</w:t>
      </w:r>
      <w:r>
        <w:rPr>
          <w:spacing w:val="-3"/>
        </w:rPr>
        <w:t> </w:t>
      </w:r>
      <w:r>
        <w:rPr>
          <w:spacing w:val="-6"/>
        </w:rPr>
        <w:t>by</w:t>
      </w:r>
      <w:r>
        <w:rPr>
          <w:spacing w:val="-4"/>
        </w:rPr>
        <w:t> </w:t>
      </w:r>
      <w:r>
        <w:rPr>
          <w:spacing w:val="-6"/>
        </w:rPr>
        <w:t>the</w:t>
      </w:r>
      <w:r>
        <w:rPr>
          <w:spacing w:val="-3"/>
        </w:rPr>
        <w:t> </w:t>
      </w:r>
      <w:r>
        <w:rPr>
          <w:spacing w:val="-6"/>
        </w:rPr>
        <w:t>Standing</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spacing w:val="-2"/>
        </w:rPr>
        <w:t>Committee</w:t>
      </w:r>
      <w:r>
        <w:rPr>
          <w:spacing w:val="-12"/>
        </w:rPr>
        <w:t> </w:t>
      </w:r>
      <w:r>
        <w:rPr>
          <w:spacing w:val="-2"/>
        </w:rPr>
        <w:t>for</w:t>
      </w:r>
      <w:r>
        <w:rPr>
          <w:spacing w:val="-12"/>
        </w:rPr>
        <w:t> </w:t>
      </w:r>
      <w:r>
        <w:rPr>
          <w:spacing w:val="-2"/>
        </w:rPr>
        <w:t>Legal</w:t>
      </w:r>
      <w:r>
        <w:rPr>
          <w:spacing w:val="-12"/>
        </w:rPr>
        <w:t> </w:t>
      </w:r>
      <w:r>
        <w:rPr>
          <w:spacing w:val="-2"/>
        </w:rPr>
        <w:t>Education</w:t>
      </w:r>
      <w:r>
        <w:rPr>
          <w:spacing w:val="-11"/>
        </w:rPr>
        <w:t> </w:t>
      </w:r>
      <w:r>
        <w:rPr>
          <w:spacing w:val="-2"/>
        </w:rPr>
        <w:t>while</w:t>
      </w:r>
      <w:r>
        <w:rPr>
          <w:spacing w:val="-12"/>
        </w:rPr>
        <w:t> </w:t>
      </w:r>
      <w:r>
        <w:rPr>
          <w:spacing w:val="-2"/>
        </w:rPr>
        <w:t>the</w:t>
      </w:r>
      <w:r>
        <w:rPr>
          <w:spacing w:val="-12"/>
        </w:rPr>
        <w:t> </w:t>
      </w:r>
      <w:r>
        <w:rPr>
          <w:spacing w:val="-2"/>
        </w:rPr>
        <w:t>rating</w:t>
      </w:r>
      <w:r>
        <w:rPr>
          <w:spacing w:val="-12"/>
        </w:rPr>
        <w:t> </w:t>
      </w:r>
      <w:r>
        <w:rPr>
          <w:spacing w:val="-2"/>
        </w:rPr>
        <w:t>would </w:t>
      </w:r>
      <w:r>
        <w:rPr/>
        <w:t>be</w:t>
      </w:r>
      <w:r>
        <w:rPr>
          <w:spacing w:val="-6"/>
        </w:rPr>
        <w:t> </w:t>
      </w:r>
      <w:r>
        <w:rPr/>
        <w:t>done</w:t>
      </w:r>
      <w:r>
        <w:rPr>
          <w:spacing w:val="-6"/>
        </w:rPr>
        <w:t> </w:t>
      </w:r>
      <w:r>
        <w:rPr/>
        <w:t>by</w:t>
      </w:r>
      <w:r>
        <w:rPr>
          <w:spacing w:val="-6"/>
        </w:rPr>
        <w:t> </w:t>
      </w:r>
      <w:r>
        <w:rPr/>
        <w:t>independent</w:t>
      </w:r>
      <w:r>
        <w:rPr>
          <w:spacing w:val="-6"/>
        </w:rPr>
        <w:t> </w:t>
      </w:r>
      <w:r>
        <w:rPr/>
        <w:t>agencies</w:t>
      </w:r>
      <w:r>
        <w:rPr>
          <w:spacing w:val="-6"/>
        </w:rPr>
        <w:t> </w:t>
      </w:r>
      <w:r>
        <w:rPr/>
        <w:t>licensed</w:t>
      </w:r>
      <w:r>
        <w:rPr>
          <w:spacing w:val="-6"/>
        </w:rPr>
        <w:t> </w:t>
      </w:r>
      <w:r>
        <w:rPr/>
        <w:t>by</w:t>
      </w:r>
      <w:r>
        <w:rPr>
          <w:spacing w:val="-2"/>
        </w:rPr>
        <w:t> </w:t>
      </w:r>
      <w:r>
        <w:rPr/>
        <w:t>IRAHE for the purpose. Recognition could be either granted or withdrawn on the basis of such ratings.</w:t>
      </w:r>
      <w:r>
        <w:rPr>
          <w:spacing w:val="-7"/>
        </w:rPr>
        <w:t> </w:t>
      </w:r>
      <w:r>
        <w:rPr/>
        <w:t>The rating </w:t>
      </w:r>
      <w:r>
        <w:rPr>
          <w:spacing w:val="-4"/>
        </w:rPr>
        <w:t>results should be reviewed annually, regularly updated, </w:t>
      </w:r>
      <w:r>
        <w:rPr/>
        <w:t>monitored and made available in the public domain.</w:t>
      </w:r>
    </w:p>
    <w:p>
      <w:pPr>
        <w:pStyle w:val="Heading6"/>
        <w:numPr>
          <w:ilvl w:val="1"/>
          <w:numId w:val="26"/>
        </w:numPr>
        <w:tabs>
          <w:tab w:pos="1405" w:val="left" w:leader="none"/>
        </w:tabs>
        <w:spacing w:line="240" w:lineRule="auto" w:before="182" w:after="0"/>
        <w:ind w:left="1405" w:right="0" w:hanging="325"/>
        <w:jc w:val="left"/>
      </w:pPr>
      <w:r>
        <w:rPr>
          <w:color w:val="2E614A"/>
          <w:w w:val="90"/>
        </w:rPr>
        <w:t>Curriculum</w:t>
      </w:r>
      <w:r>
        <w:rPr>
          <w:color w:val="2E614A"/>
          <w:spacing w:val="7"/>
        </w:rPr>
        <w:t> </w:t>
      </w:r>
      <w:r>
        <w:rPr>
          <w:color w:val="2E614A"/>
          <w:spacing w:val="-2"/>
        </w:rPr>
        <w:t>Development</w:t>
      </w:r>
    </w:p>
    <w:p>
      <w:pPr>
        <w:pStyle w:val="BodyText"/>
        <w:spacing w:line="266" w:lineRule="auto" w:before="285"/>
        <w:ind w:left="1080"/>
        <w:jc w:val="both"/>
      </w:pPr>
      <w:r>
        <w:rPr/>
        <w:t>Curriculum</w:t>
      </w:r>
      <w:r>
        <w:rPr>
          <w:spacing w:val="-13"/>
        </w:rPr>
        <w:t> </w:t>
      </w:r>
      <w:r>
        <w:rPr/>
        <w:t>should</w:t>
      </w:r>
      <w:r>
        <w:rPr>
          <w:spacing w:val="-13"/>
        </w:rPr>
        <w:t> </w:t>
      </w:r>
      <w:r>
        <w:rPr/>
        <w:t>be</w:t>
      </w:r>
      <w:r>
        <w:rPr>
          <w:spacing w:val="-13"/>
        </w:rPr>
        <w:t> </w:t>
      </w:r>
      <w:r>
        <w:rPr/>
        <w:t>made</w:t>
      </w:r>
      <w:r>
        <w:rPr>
          <w:spacing w:val="-13"/>
        </w:rPr>
        <w:t> </w:t>
      </w:r>
      <w:r>
        <w:rPr/>
        <w:t>contemporary,</w:t>
      </w:r>
      <w:r>
        <w:rPr>
          <w:spacing w:val="-13"/>
        </w:rPr>
        <w:t> </w:t>
      </w:r>
      <w:r>
        <w:rPr/>
        <w:t>integrated with</w:t>
      </w:r>
      <w:r>
        <w:rPr>
          <w:spacing w:val="-11"/>
        </w:rPr>
        <w:t> </w:t>
      </w:r>
      <w:r>
        <w:rPr/>
        <w:t>other</w:t>
      </w:r>
      <w:r>
        <w:rPr>
          <w:spacing w:val="-11"/>
        </w:rPr>
        <w:t> </w:t>
      </w:r>
      <w:r>
        <w:rPr/>
        <w:t>disciplines</w:t>
      </w:r>
      <w:r>
        <w:rPr>
          <w:spacing w:val="-11"/>
        </w:rPr>
        <w:t> </w:t>
      </w:r>
      <w:r>
        <w:rPr/>
        <w:t>ensuring</w:t>
      </w:r>
      <w:r>
        <w:rPr>
          <w:spacing w:val="-11"/>
        </w:rPr>
        <w:t> </w:t>
      </w:r>
      <w:r>
        <w:rPr/>
        <w:t>regular</w:t>
      </w:r>
      <w:r>
        <w:rPr>
          <w:spacing w:val="-11"/>
        </w:rPr>
        <w:t> </w:t>
      </w:r>
      <w:r>
        <w:rPr/>
        <w:t>feedback</w:t>
      </w:r>
      <w:r>
        <w:rPr>
          <w:spacing w:val="-11"/>
        </w:rPr>
        <w:t> </w:t>
      </w:r>
      <w:r>
        <w:rPr/>
        <w:t>from </w:t>
      </w:r>
      <w:r>
        <w:rPr>
          <w:spacing w:val="-4"/>
        </w:rPr>
        <w:t>stakeholders.</w:t>
      </w:r>
      <w:r>
        <w:rPr>
          <w:spacing w:val="-10"/>
        </w:rPr>
        <w:t> </w:t>
      </w:r>
      <w:r>
        <w:rPr>
          <w:spacing w:val="-4"/>
        </w:rPr>
        <w:t>Autonomy</w:t>
      </w:r>
      <w:r>
        <w:rPr>
          <w:spacing w:val="-10"/>
        </w:rPr>
        <w:t> </w:t>
      </w:r>
      <w:r>
        <w:rPr>
          <w:spacing w:val="-4"/>
        </w:rPr>
        <w:t>may</w:t>
      </w:r>
      <w:r>
        <w:rPr>
          <w:spacing w:val="-10"/>
        </w:rPr>
        <w:t> </w:t>
      </w:r>
      <w:r>
        <w:rPr>
          <w:spacing w:val="-4"/>
        </w:rPr>
        <w:t>be</w:t>
      </w:r>
      <w:r>
        <w:rPr>
          <w:spacing w:val="-9"/>
        </w:rPr>
        <w:t> </w:t>
      </w:r>
      <w:r>
        <w:rPr>
          <w:spacing w:val="-4"/>
        </w:rPr>
        <w:t>granted</w:t>
      </w:r>
      <w:r>
        <w:rPr>
          <w:spacing w:val="-10"/>
        </w:rPr>
        <w:t> </w:t>
      </w:r>
      <w:r>
        <w:rPr>
          <w:spacing w:val="-4"/>
        </w:rPr>
        <w:t>to</w:t>
      </w:r>
      <w:r>
        <w:rPr>
          <w:spacing w:val="-10"/>
        </w:rPr>
        <w:t> </w:t>
      </w:r>
      <w:r>
        <w:rPr>
          <w:spacing w:val="-4"/>
        </w:rPr>
        <w:t>universities, </w:t>
      </w:r>
      <w:r>
        <w:rPr>
          <w:spacing w:val="-2"/>
        </w:rPr>
        <w:t>National</w:t>
      </w:r>
      <w:r>
        <w:rPr>
          <w:spacing w:val="-7"/>
        </w:rPr>
        <w:t> </w:t>
      </w:r>
      <w:r>
        <w:rPr>
          <w:spacing w:val="-2"/>
        </w:rPr>
        <w:t>Law</w:t>
      </w:r>
      <w:r>
        <w:rPr>
          <w:spacing w:val="-7"/>
        </w:rPr>
        <w:t> </w:t>
      </w:r>
      <w:r>
        <w:rPr>
          <w:spacing w:val="-2"/>
        </w:rPr>
        <w:t>Schools</w:t>
      </w:r>
      <w:r>
        <w:rPr>
          <w:spacing w:val="-7"/>
        </w:rPr>
        <w:t> </w:t>
      </w:r>
      <w:r>
        <w:rPr>
          <w:spacing w:val="-2"/>
        </w:rPr>
        <w:t>(NLSUs)</w:t>
      </w:r>
      <w:r>
        <w:rPr>
          <w:spacing w:val="-7"/>
        </w:rPr>
        <w:t> </w:t>
      </w:r>
      <w:r>
        <w:rPr>
          <w:spacing w:val="-2"/>
        </w:rPr>
        <w:t>and</w:t>
      </w:r>
      <w:r>
        <w:rPr>
          <w:spacing w:val="-7"/>
        </w:rPr>
        <w:t> </w:t>
      </w:r>
      <w:r>
        <w:rPr>
          <w:spacing w:val="-2"/>
        </w:rPr>
        <w:t>other</w:t>
      </w:r>
      <w:r>
        <w:rPr>
          <w:spacing w:val="-7"/>
        </w:rPr>
        <w:t> </w:t>
      </w:r>
      <w:r>
        <w:rPr>
          <w:spacing w:val="-2"/>
        </w:rPr>
        <w:t>law</w:t>
      </w:r>
      <w:r>
        <w:rPr>
          <w:spacing w:val="-7"/>
        </w:rPr>
        <w:t> </w:t>
      </w:r>
      <w:r>
        <w:rPr>
          <w:spacing w:val="-2"/>
        </w:rPr>
        <w:t>schools </w:t>
      </w:r>
      <w:r>
        <w:rPr/>
        <w:t>to</w:t>
      </w:r>
      <w:r>
        <w:rPr>
          <w:spacing w:val="-1"/>
        </w:rPr>
        <w:t> </w:t>
      </w:r>
      <w:r>
        <w:rPr/>
        <w:t>decide</w:t>
      </w:r>
      <w:r>
        <w:rPr>
          <w:spacing w:val="-1"/>
        </w:rPr>
        <w:t> </w:t>
      </w:r>
      <w:r>
        <w:rPr/>
        <w:t>the</w:t>
      </w:r>
      <w:r>
        <w:rPr>
          <w:spacing w:val="-1"/>
        </w:rPr>
        <w:t> </w:t>
      </w:r>
      <w:r>
        <w:rPr/>
        <w:t>core</w:t>
      </w:r>
      <w:r>
        <w:rPr>
          <w:spacing w:val="-1"/>
        </w:rPr>
        <w:t> </w:t>
      </w:r>
      <w:r>
        <w:rPr/>
        <w:t>and</w:t>
      </w:r>
      <w:r>
        <w:rPr>
          <w:spacing w:val="-1"/>
        </w:rPr>
        <w:t> </w:t>
      </w:r>
      <w:r>
        <w:rPr/>
        <w:t>optional</w:t>
      </w:r>
      <w:r>
        <w:rPr>
          <w:spacing w:val="-1"/>
        </w:rPr>
        <w:t> </w:t>
      </w:r>
      <w:r>
        <w:rPr/>
        <w:t>courses</w:t>
      </w:r>
      <w:r>
        <w:rPr>
          <w:spacing w:val="-1"/>
        </w:rPr>
        <w:t> </w:t>
      </w:r>
      <w:r>
        <w:rPr/>
        <w:t>to</w:t>
      </w:r>
      <w:r>
        <w:rPr>
          <w:spacing w:val="-1"/>
        </w:rPr>
        <w:t> </w:t>
      </w:r>
      <w:r>
        <w:rPr/>
        <w:t>be</w:t>
      </w:r>
      <w:r>
        <w:rPr>
          <w:spacing w:val="-1"/>
        </w:rPr>
        <w:t> </w:t>
      </w:r>
      <w:r>
        <w:rPr/>
        <w:t>offered. </w:t>
      </w:r>
      <w:r>
        <w:rPr>
          <w:spacing w:val="-2"/>
        </w:rPr>
        <w:t>This</w:t>
      </w:r>
      <w:r>
        <w:rPr>
          <w:spacing w:val="-12"/>
        </w:rPr>
        <w:t> </w:t>
      </w:r>
      <w:r>
        <w:rPr>
          <w:spacing w:val="-2"/>
        </w:rPr>
        <w:t>is</w:t>
      </w:r>
      <w:r>
        <w:rPr>
          <w:spacing w:val="-12"/>
        </w:rPr>
        <w:t> </w:t>
      </w:r>
      <w:r>
        <w:rPr>
          <w:spacing w:val="-2"/>
        </w:rPr>
        <w:t>a</w:t>
      </w:r>
      <w:r>
        <w:rPr>
          <w:spacing w:val="-12"/>
        </w:rPr>
        <w:t> </w:t>
      </w:r>
      <w:r>
        <w:rPr>
          <w:spacing w:val="-2"/>
        </w:rPr>
        <w:t>departure</w:t>
      </w:r>
      <w:r>
        <w:rPr>
          <w:spacing w:val="-11"/>
        </w:rPr>
        <w:t> </w:t>
      </w:r>
      <w:r>
        <w:rPr>
          <w:spacing w:val="-2"/>
        </w:rPr>
        <w:t>from</w:t>
      </w:r>
      <w:r>
        <w:rPr>
          <w:spacing w:val="-12"/>
        </w:rPr>
        <w:t> </w:t>
      </w:r>
      <w:r>
        <w:rPr>
          <w:spacing w:val="-2"/>
        </w:rPr>
        <w:t>current</w:t>
      </w:r>
      <w:r>
        <w:rPr>
          <w:spacing w:val="-12"/>
        </w:rPr>
        <w:t> </w:t>
      </w:r>
      <w:r>
        <w:rPr>
          <w:spacing w:val="-2"/>
        </w:rPr>
        <w:t>practice</w:t>
      </w:r>
      <w:r>
        <w:rPr>
          <w:spacing w:val="-12"/>
        </w:rPr>
        <w:t> </w:t>
      </w:r>
      <w:r>
        <w:rPr>
          <w:spacing w:val="-2"/>
        </w:rPr>
        <w:t>where</w:t>
      </w:r>
      <w:r>
        <w:rPr>
          <w:spacing w:val="-11"/>
        </w:rPr>
        <w:t> </w:t>
      </w:r>
      <w:r>
        <w:rPr>
          <w:spacing w:val="-2"/>
        </w:rPr>
        <w:t>the</w:t>
      </w:r>
      <w:r>
        <w:rPr>
          <w:spacing w:val="-12"/>
        </w:rPr>
        <w:t> </w:t>
      </w:r>
      <w:r>
        <w:rPr>
          <w:spacing w:val="-2"/>
        </w:rPr>
        <w:t>BCI </w:t>
      </w:r>
      <w:r>
        <w:rPr/>
        <w:t>largely</w:t>
      </w:r>
      <w:r>
        <w:rPr>
          <w:spacing w:val="-14"/>
        </w:rPr>
        <w:t> </w:t>
      </w:r>
      <w:r>
        <w:rPr/>
        <w:t>determines</w:t>
      </w:r>
      <w:r>
        <w:rPr>
          <w:spacing w:val="-14"/>
        </w:rPr>
        <w:t> </w:t>
      </w:r>
      <w:r>
        <w:rPr/>
        <w:t>curricula</w:t>
      </w:r>
      <w:r>
        <w:rPr>
          <w:spacing w:val="-13"/>
        </w:rPr>
        <w:t> </w:t>
      </w:r>
      <w:r>
        <w:rPr/>
        <w:t>and</w:t>
      </w:r>
      <w:r>
        <w:rPr>
          <w:spacing w:val="-14"/>
        </w:rPr>
        <w:t> </w:t>
      </w:r>
      <w:r>
        <w:rPr/>
        <w:t>syllabi.</w:t>
      </w:r>
      <w:r>
        <w:rPr>
          <w:spacing w:val="-14"/>
        </w:rPr>
        <w:t> </w:t>
      </w:r>
      <w:r>
        <w:rPr/>
        <w:t>A</w:t>
      </w:r>
      <w:r>
        <w:rPr>
          <w:spacing w:val="-13"/>
        </w:rPr>
        <w:t> </w:t>
      </w:r>
      <w:r>
        <w:rPr/>
        <w:t>committee </w:t>
      </w:r>
      <w:r>
        <w:rPr>
          <w:spacing w:val="-4"/>
        </w:rPr>
        <w:t>should</w:t>
      </w:r>
      <w:r>
        <w:rPr>
          <w:spacing w:val="-8"/>
        </w:rPr>
        <w:t> </w:t>
      </w:r>
      <w:r>
        <w:rPr>
          <w:spacing w:val="-4"/>
        </w:rPr>
        <w:t>be</w:t>
      </w:r>
      <w:r>
        <w:rPr>
          <w:spacing w:val="-8"/>
        </w:rPr>
        <w:t> </w:t>
      </w:r>
      <w:r>
        <w:rPr>
          <w:spacing w:val="-4"/>
        </w:rPr>
        <w:t>formed</w:t>
      </w:r>
      <w:r>
        <w:rPr>
          <w:spacing w:val="-8"/>
        </w:rPr>
        <w:t> </w:t>
      </w:r>
      <w:r>
        <w:rPr>
          <w:spacing w:val="-4"/>
        </w:rPr>
        <w:t>that</w:t>
      </w:r>
      <w:r>
        <w:rPr>
          <w:spacing w:val="-8"/>
        </w:rPr>
        <w:t> </w:t>
      </w:r>
      <w:r>
        <w:rPr>
          <w:spacing w:val="-4"/>
        </w:rPr>
        <w:t>includes</w:t>
      </w:r>
      <w:r>
        <w:rPr>
          <w:spacing w:val="-8"/>
        </w:rPr>
        <w:t> </w:t>
      </w:r>
      <w:r>
        <w:rPr>
          <w:spacing w:val="-4"/>
        </w:rPr>
        <w:t>faculty</w:t>
      </w:r>
      <w:r>
        <w:rPr>
          <w:spacing w:val="-8"/>
        </w:rPr>
        <w:t> </w:t>
      </w:r>
      <w:r>
        <w:rPr>
          <w:spacing w:val="-4"/>
        </w:rPr>
        <w:t>and</w:t>
      </w:r>
      <w:r>
        <w:rPr>
          <w:spacing w:val="-8"/>
        </w:rPr>
        <w:t> </w:t>
      </w:r>
      <w:r>
        <w:rPr>
          <w:spacing w:val="-4"/>
        </w:rPr>
        <w:t>practitioners </w:t>
      </w:r>
      <w:r>
        <w:rPr>
          <w:spacing w:val="-2"/>
        </w:rPr>
        <w:t>and</w:t>
      </w:r>
      <w:r>
        <w:rPr>
          <w:spacing w:val="-12"/>
        </w:rPr>
        <w:t> </w:t>
      </w:r>
      <w:r>
        <w:rPr>
          <w:spacing w:val="-2"/>
        </w:rPr>
        <w:t>seeks</w:t>
      </w:r>
      <w:r>
        <w:rPr>
          <w:spacing w:val="-12"/>
        </w:rPr>
        <w:t> </w:t>
      </w:r>
      <w:r>
        <w:rPr>
          <w:spacing w:val="-2"/>
        </w:rPr>
        <w:t>student</w:t>
      </w:r>
      <w:r>
        <w:rPr>
          <w:spacing w:val="-12"/>
        </w:rPr>
        <w:t> </w:t>
      </w:r>
      <w:r>
        <w:rPr>
          <w:spacing w:val="-2"/>
        </w:rPr>
        <w:t>feedback</w:t>
      </w:r>
      <w:r>
        <w:rPr>
          <w:spacing w:val="-11"/>
        </w:rPr>
        <w:t> </w:t>
      </w:r>
      <w:r>
        <w:rPr>
          <w:spacing w:val="-2"/>
        </w:rPr>
        <w:t>to</w:t>
      </w:r>
      <w:r>
        <w:rPr>
          <w:spacing w:val="-12"/>
        </w:rPr>
        <w:t> </w:t>
      </w:r>
      <w:r>
        <w:rPr>
          <w:spacing w:val="-2"/>
        </w:rPr>
        <w:t>discuss</w:t>
      </w:r>
      <w:r>
        <w:rPr>
          <w:spacing w:val="-12"/>
        </w:rPr>
        <w:t> </w:t>
      </w:r>
      <w:r>
        <w:rPr>
          <w:spacing w:val="-2"/>
        </w:rPr>
        <w:t>curricula,</w:t>
      </w:r>
      <w:r>
        <w:rPr>
          <w:spacing w:val="-12"/>
        </w:rPr>
        <w:t> </w:t>
      </w:r>
      <w:r>
        <w:rPr>
          <w:spacing w:val="-2"/>
        </w:rPr>
        <w:t>syllabi </w:t>
      </w:r>
      <w:r>
        <w:rPr/>
        <w:t>and</w:t>
      </w:r>
      <w:r>
        <w:rPr>
          <w:spacing w:val="-3"/>
        </w:rPr>
        <w:t> </w:t>
      </w:r>
      <w:r>
        <w:rPr/>
        <w:t>reading</w:t>
      </w:r>
      <w:r>
        <w:rPr>
          <w:spacing w:val="-3"/>
        </w:rPr>
        <w:t> </w:t>
      </w:r>
      <w:r>
        <w:rPr/>
        <w:t>material</w:t>
      </w:r>
      <w:r>
        <w:rPr>
          <w:spacing w:val="-3"/>
        </w:rPr>
        <w:t> </w:t>
      </w:r>
      <w:r>
        <w:rPr/>
        <w:t>of</w:t>
      </w:r>
      <w:r>
        <w:rPr>
          <w:spacing w:val="-3"/>
        </w:rPr>
        <w:t> </w:t>
      </w:r>
      <w:r>
        <w:rPr/>
        <w:t>all</w:t>
      </w:r>
      <w:r>
        <w:rPr>
          <w:spacing w:val="-3"/>
        </w:rPr>
        <w:t> </w:t>
      </w:r>
      <w:r>
        <w:rPr/>
        <w:t>core</w:t>
      </w:r>
      <w:r>
        <w:rPr>
          <w:spacing w:val="-3"/>
        </w:rPr>
        <w:t> </w:t>
      </w:r>
      <w:r>
        <w:rPr/>
        <w:t>and</w:t>
      </w:r>
      <w:r>
        <w:rPr>
          <w:spacing w:val="-3"/>
        </w:rPr>
        <w:t> </w:t>
      </w:r>
      <w:r>
        <w:rPr/>
        <w:t>optional</w:t>
      </w:r>
      <w:r>
        <w:rPr>
          <w:spacing w:val="-3"/>
        </w:rPr>
        <w:t> </w:t>
      </w:r>
      <w:r>
        <w:rPr/>
        <w:t>courses, and</w:t>
      </w:r>
      <w:r>
        <w:rPr>
          <w:spacing w:val="-14"/>
        </w:rPr>
        <w:t> </w:t>
      </w:r>
      <w:r>
        <w:rPr/>
        <w:t>devise</w:t>
      </w:r>
      <w:r>
        <w:rPr>
          <w:spacing w:val="-14"/>
        </w:rPr>
        <w:t> </w:t>
      </w:r>
      <w:r>
        <w:rPr/>
        <w:t>a</w:t>
      </w:r>
      <w:r>
        <w:rPr>
          <w:spacing w:val="-14"/>
        </w:rPr>
        <w:t> </w:t>
      </w:r>
      <w:r>
        <w:rPr/>
        <w:t>‘model’</w:t>
      </w:r>
      <w:r>
        <w:rPr>
          <w:spacing w:val="-13"/>
        </w:rPr>
        <w:t> </w:t>
      </w:r>
      <w:r>
        <w:rPr/>
        <w:t>syllabus</w:t>
      </w:r>
      <w:r>
        <w:rPr>
          <w:spacing w:val="-14"/>
        </w:rPr>
        <w:t> </w:t>
      </w:r>
      <w:r>
        <w:rPr/>
        <w:t>for</w:t>
      </w:r>
      <w:r>
        <w:rPr>
          <w:spacing w:val="-14"/>
        </w:rPr>
        <w:t> </w:t>
      </w:r>
      <w:r>
        <w:rPr/>
        <w:t>all</w:t>
      </w:r>
      <w:r>
        <w:rPr>
          <w:spacing w:val="-14"/>
        </w:rPr>
        <w:t> </w:t>
      </w:r>
      <w:r>
        <w:rPr/>
        <w:t>core</w:t>
      </w:r>
      <w:r>
        <w:rPr>
          <w:spacing w:val="-13"/>
        </w:rPr>
        <w:t> </w:t>
      </w:r>
      <w:r>
        <w:rPr/>
        <w:t>and</w:t>
      </w:r>
      <w:r>
        <w:rPr>
          <w:spacing w:val="-14"/>
        </w:rPr>
        <w:t> </w:t>
      </w:r>
      <w:r>
        <w:rPr/>
        <w:t>optional </w:t>
      </w:r>
      <w:r>
        <w:rPr>
          <w:spacing w:val="-2"/>
        </w:rPr>
        <w:t>courses.</w:t>
      </w:r>
      <w:r>
        <w:rPr>
          <w:spacing w:val="-8"/>
        </w:rPr>
        <w:t> </w:t>
      </w:r>
      <w:r>
        <w:rPr>
          <w:spacing w:val="-2"/>
        </w:rPr>
        <w:t>Law</w:t>
      </w:r>
      <w:r>
        <w:rPr>
          <w:spacing w:val="-8"/>
        </w:rPr>
        <w:t> </w:t>
      </w:r>
      <w:r>
        <w:rPr>
          <w:spacing w:val="-2"/>
        </w:rPr>
        <w:t>schools</w:t>
      </w:r>
      <w:r>
        <w:rPr>
          <w:spacing w:val="-8"/>
        </w:rPr>
        <w:t> </w:t>
      </w:r>
      <w:r>
        <w:rPr>
          <w:spacing w:val="-2"/>
        </w:rPr>
        <w:t>and</w:t>
      </w:r>
      <w:r>
        <w:rPr>
          <w:spacing w:val="-8"/>
        </w:rPr>
        <w:t> </w:t>
      </w:r>
      <w:r>
        <w:rPr>
          <w:spacing w:val="-2"/>
        </w:rPr>
        <w:t>universities</w:t>
      </w:r>
      <w:r>
        <w:rPr>
          <w:spacing w:val="-8"/>
        </w:rPr>
        <w:t> </w:t>
      </w:r>
      <w:r>
        <w:rPr>
          <w:spacing w:val="-2"/>
        </w:rPr>
        <w:t>would</w:t>
      </w:r>
      <w:r>
        <w:rPr>
          <w:spacing w:val="-8"/>
        </w:rPr>
        <w:t> </w:t>
      </w:r>
      <w:r>
        <w:rPr>
          <w:spacing w:val="-2"/>
        </w:rPr>
        <w:t>be</w:t>
      </w:r>
      <w:r>
        <w:rPr>
          <w:spacing w:val="-8"/>
        </w:rPr>
        <w:t> </w:t>
      </w:r>
      <w:r>
        <w:rPr>
          <w:spacing w:val="-2"/>
        </w:rPr>
        <w:t>free</w:t>
      </w:r>
      <w:r>
        <w:rPr>
          <w:spacing w:val="-8"/>
        </w:rPr>
        <w:t> </w:t>
      </w:r>
      <w:r>
        <w:rPr>
          <w:spacing w:val="-2"/>
        </w:rPr>
        <w:t>to </w:t>
      </w:r>
      <w:r>
        <w:rPr/>
        <w:t>use</w:t>
      </w:r>
      <w:r>
        <w:rPr>
          <w:spacing w:val="-5"/>
        </w:rPr>
        <w:t> </w:t>
      </w:r>
      <w:r>
        <w:rPr/>
        <w:t>and</w:t>
      </w:r>
      <w:r>
        <w:rPr>
          <w:spacing w:val="-5"/>
        </w:rPr>
        <w:t> </w:t>
      </w:r>
      <w:r>
        <w:rPr/>
        <w:t>depart</w:t>
      </w:r>
      <w:r>
        <w:rPr>
          <w:spacing w:val="-5"/>
        </w:rPr>
        <w:t> </w:t>
      </w:r>
      <w:r>
        <w:rPr/>
        <w:t>from</w:t>
      </w:r>
      <w:r>
        <w:rPr>
          <w:spacing w:val="-5"/>
        </w:rPr>
        <w:t> </w:t>
      </w:r>
      <w:r>
        <w:rPr/>
        <w:t>the</w:t>
      </w:r>
      <w:r>
        <w:rPr>
          <w:spacing w:val="-5"/>
        </w:rPr>
        <w:t> </w:t>
      </w:r>
      <w:r>
        <w:rPr/>
        <w:t>‘model’</w:t>
      </w:r>
      <w:r>
        <w:rPr>
          <w:spacing w:val="-5"/>
        </w:rPr>
        <w:t> </w:t>
      </w:r>
      <w:r>
        <w:rPr/>
        <w:t>syllabus.</w:t>
      </w:r>
    </w:p>
    <w:p>
      <w:pPr>
        <w:pStyle w:val="BodyText"/>
        <w:spacing w:before="17"/>
      </w:pPr>
    </w:p>
    <w:p>
      <w:pPr>
        <w:pStyle w:val="BodyText"/>
        <w:spacing w:line="266" w:lineRule="auto"/>
        <w:ind w:left="1080"/>
        <w:jc w:val="both"/>
      </w:pPr>
      <w:r>
        <w:rPr/>
        <w:t>Law teaching must be interwoven with </w:t>
      </w:r>
      <w:r>
        <w:rPr/>
        <w:t>related contemporary issues, including international and </w:t>
      </w:r>
      <w:r>
        <w:rPr>
          <w:spacing w:val="-4"/>
        </w:rPr>
        <w:t>comparative</w:t>
      </w:r>
      <w:r>
        <w:rPr>
          <w:spacing w:val="-10"/>
        </w:rPr>
        <w:t> </w:t>
      </w:r>
      <w:r>
        <w:rPr>
          <w:spacing w:val="-4"/>
        </w:rPr>
        <w:t>law</w:t>
      </w:r>
      <w:r>
        <w:rPr>
          <w:spacing w:val="-10"/>
        </w:rPr>
        <w:t> </w:t>
      </w:r>
      <w:r>
        <w:rPr>
          <w:spacing w:val="-4"/>
        </w:rPr>
        <w:t>perspectives.</w:t>
      </w:r>
      <w:r>
        <w:rPr>
          <w:spacing w:val="-10"/>
        </w:rPr>
        <w:t> </w:t>
      </w:r>
      <w:r>
        <w:rPr>
          <w:spacing w:val="-4"/>
        </w:rPr>
        <w:t>The</w:t>
      </w:r>
      <w:r>
        <w:rPr>
          <w:spacing w:val="-9"/>
        </w:rPr>
        <w:t> </w:t>
      </w:r>
      <w:r>
        <w:rPr>
          <w:spacing w:val="-4"/>
        </w:rPr>
        <w:t>curricula</w:t>
      </w:r>
      <w:r>
        <w:rPr>
          <w:spacing w:val="-9"/>
        </w:rPr>
        <w:t> </w:t>
      </w:r>
      <w:r>
        <w:rPr>
          <w:spacing w:val="-4"/>
        </w:rPr>
        <w:t>and</w:t>
      </w:r>
      <w:r>
        <w:rPr>
          <w:spacing w:val="-8"/>
        </w:rPr>
        <w:t> </w:t>
      </w:r>
      <w:r>
        <w:rPr>
          <w:spacing w:val="-4"/>
        </w:rPr>
        <w:t>syllabi </w:t>
      </w:r>
      <w:r>
        <w:rPr>
          <w:w w:val="90"/>
        </w:rPr>
        <w:t>must</w:t>
      </w:r>
      <w:r>
        <w:rPr>
          <w:spacing w:val="-2"/>
          <w:w w:val="90"/>
        </w:rPr>
        <w:t> </w:t>
      </w:r>
      <w:r>
        <w:rPr>
          <w:w w:val="90"/>
        </w:rPr>
        <w:t>be</w:t>
      </w:r>
      <w:r>
        <w:rPr>
          <w:spacing w:val="-2"/>
          <w:w w:val="90"/>
        </w:rPr>
        <w:t> </w:t>
      </w:r>
      <w:r>
        <w:rPr>
          <w:w w:val="90"/>
        </w:rPr>
        <w:t>based</w:t>
      </w:r>
      <w:r>
        <w:rPr>
          <w:spacing w:val="-2"/>
          <w:w w:val="90"/>
        </w:rPr>
        <w:t> </w:t>
      </w:r>
      <w:r>
        <w:rPr>
          <w:w w:val="90"/>
        </w:rPr>
        <w:t>in</w:t>
      </w:r>
      <w:r>
        <w:rPr>
          <w:spacing w:val="-2"/>
          <w:w w:val="90"/>
        </w:rPr>
        <w:t> </w:t>
      </w:r>
      <w:r>
        <w:rPr>
          <w:w w:val="90"/>
        </w:rPr>
        <w:t>a</w:t>
      </w:r>
      <w:r>
        <w:rPr>
          <w:spacing w:val="-2"/>
          <w:w w:val="90"/>
        </w:rPr>
        <w:t> </w:t>
      </w:r>
      <w:r>
        <w:rPr>
          <w:w w:val="90"/>
        </w:rPr>
        <w:t>multidisciplinary</w:t>
      </w:r>
      <w:r>
        <w:rPr>
          <w:spacing w:val="-2"/>
          <w:w w:val="90"/>
        </w:rPr>
        <w:t> </w:t>
      </w:r>
      <w:r>
        <w:rPr>
          <w:w w:val="90"/>
        </w:rPr>
        <w:t>body</w:t>
      </w:r>
      <w:r>
        <w:rPr>
          <w:spacing w:val="-2"/>
          <w:w w:val="90"/>
        </w:rPr>
        <w:t> </w:t>
      </w:r>
      <w:r>
        <w:rPr>
          <w:w w:val="90"/>
        </w:rPr>
        <w:t>of</w:t>
      </w:r>
      <w:r>
        <w:rPr>
          <w:spacing w:val="-2"/>
          <w:w w:val="90"/>
        </w:rPr>
        <w:t> </w:t>
      </w:r>
      <w:r>
        <w:rPr>
          <w:w w:val="90"/>
        </w:rPr>
        <w:t>social</w:t>
      </w:r>
      <w:r>
        <w:rPr>
          <w:spacing w:val="-2"/>
          <w:w w:val="90"/>
        </w:rPr>
        <w:t> </w:t>
      </w:r>
      <w:r>
        <w:rPr>
          <w:w w:val="90"/>
        </w:rPr>
        <w:t>science </w:t>
      </w:r>
      <w:r>
        <w:rPr/>
        <w:t>and scientific knowledge. Curriculum development should include expanding the domain of optional </w:t>
      </w:r>
      <w:r>
        <w:rPr>
          <w:spacing w:val="-6"/>
        </w:rPr>
        <w:t>courses, providing deeper understanding of professional </w:t>
      </w:r>
      <w:r>
        <w:rPr>
          <w:spacing w:val="-4"/>
        </w:rPr>
        <w:t>ethics,</w:t>
      </w:r>
      <w:r>
        <w:rPr>
          <w:spacing w:val="-6"/>
        </w:rPr>
        <w:t> </w:t>
      </w:r>
      <w:r>
        <w:rPr>
          <w:spacing w:val="-4"/>
        </w:rPr>
        <w:t>modernising</w:t>
      </w:r>
      <w:r>
        <w:rPr>
          <w:spacing w:val="-6"/>
        </w:rPr>
        <w:t> </w:t>
      </w:r>
      <w:r>
        <w:rPr>
          <w:spacing w:val="-4"/>
        </w:rPr>
        <w:t>clinic</w:t>
      </w:r>
      <w:r>
        <w:rPr>
          <w:spacing w:val="-6"/>
        </w:rPr>
        <w:t> </w:t>
      </w:r>
      <w:r>
        <w:rPr>
          <w:spacing w:val="-4"/>
        </w:rPr>
        <w:t>courses,</w:t>
      </w:r>
      <w:r>
        <w:rPr>
          <w:spacing w:val="-6"/>
        </w:rPr>
        <w:t> </w:t>
      </w:r>
      <w:r>
        <w:rPr>
          <w:spacing w:val="-4"/>
        </w:rPr>
        <w:t>mainstreaming</w:t>
      </w:r>
      <w:r>
        <w:rPr>
          <w:spacing w:val="-6"/>
        </w:rPr>
        <w:t> </w:t>
      </w:r>
      <w:r>
        <w:rPr>
          <w:spacing w:val="-4"/>
        </w:rPr>
        <w:t>legal </w:t>
      </w:r>
      <w:r>
        <w:rPr/>
        <w:t>aid programs and developing innovative pedagogic </w:t>
      </w:r>
      <w:r>
        <w:rPr>
          <w:spacing w:val="-6"/>
        </w:rPr>
        <w:t>methods. Legal education must also be socially engaged </w:t>
      </w:r>
      <w:r>
        <w:rPr/>
        <w:t>and</w:t>
      </w:r>
      <w:r>
        <w:rPr>
          <w:spacing w:val="-10"/>
        </w:rPr>
        <w:t> </w:t>
      </w:r>
      <w:r>
        <w:rPr/>
        <w:t>sensitise</w:t>
      </w:r>
      <w:r>
        <w:rPr>
          <w:spacing w:val="-10"/>
        </w:rPr>
        <w:t> </w:t>
      </w:r>
      <w:r>
        <w:rPr/>
        <w:t>students</w:t>
      </w:r>
      <w:r>
        <w:rPr>
          <w:spacing w:val="-10"/>
        </w:rPr>
        <w:t> </w:t>
      </w:r>
      <w:r>
        <w:rPr/>
        <w:t>on</w:t>
      </w:r>
      <w:r>
        <w:rPr>
          <w:spacing w:val="-10"/>
        </w:rPr>
        <w:t> </w:t>
      </w:r>
      <w:r>
        <w:rPr/>
        <w:t>issues</w:t>
      </w:r>
      <w:r>
        <w:rPr>
          <w:spacing w:val="-10"/>
        </w:rPr>
        <w:t> </w:t>
      </w:r>
      <w:r>
        <w:rPr/>
        <w:t>of</w:t>
      </w:r>
      <w:r>
        <w:rPr>
          <w:spacing w:val="-10"/>
        </w:rPr>
        <w:t> </w:t>
      </w:r>
      <w:r>
        <w:rPr/>
        <w:t>social</w:t>
      </w:r>
      <w:r>
        <w:rPr>
          <w:spacing w:val="-10"/>
        </w:rPr>
        <w:t> </w:t>
      </w:r>
      <w:r>
        <w:rPr/>
        <w:t>justice.</w:t>
      </w:r>
    </w:p>
    <w:p>
      <w:pPr>
        <w:pStyle w:val="Heading6"/>
        <w:numPr>
          <w:ilvl w:val="1"/>
          <w:numId w:val="26"/>
        </w:numPr>
        <w:tabs>
          <w:tab w:pos="1405" w:val="left" w:leader="none"/>
        </w:tabs>
        <w:spacing w:line="240" w:lineRule="auto" w:before="178" w:after="0"/>
        <w:ind w:left="1405" w:right="0" w:hanging="325"/>
        <w:jc w:val="left"/>
      </w:pPr>
      <w:r>
        <w:rPr>
          <w:color w:val="2E614A"/>
          <w:w w:val="90"/>
        </w:rPr>
        <w:t>Examination</w:t>
      </w:r>
      <w:r>
        <w:rPr>
          <w:color w:val="2E614A"/>
          <w:spacing w:val="21"/>
        </w:rPr>
        <w:t> </w:t>
      </w:r>
      <w:r>
        <w:rPr>
          <w:color w:val="2E614A"/>
          <w:spacing w:val="-2"/>
        </w:rPr>
        <w:t>System</w:t>
      </w:r>
    </w:p>
    <w:p>
      <w:pPr>
        <w:pStyle w:val="BodyText"/>
        <w:spacing w:line="266" w:lineRule="auto" w:before="285"/>
        <w:ind w:left="1080"/>
        <w:jc w:val="both"/>
      </w:pPr>
      <w:r>
        <w:rPr/>
        <w:t>The prevailing examination systems may be </w:t>
      </w:r>
      <w:r>
        <w:rPr/>
        <w:t>revised and</w:t>
      </w:r>
      <w:r>
        <w:rPr>
          <w:spacing w:val="-10"/>
        </w:rPr>
        <w:t> </w:t>
      </w:r>
      <w:r>
        <w:rPr/>
        <w:t>evaluation</w:t>
      </w:r>
      <w:r>
        <w:rPr>
          <w:spacing w:val="-10"/>
        </w:rPr>
        <w:t> </w:t>
      </w:r>
      <w:r>
        <w:rPr/>
        <w:t>methods</w:t>
      </w:r>
      <w:r>
        <w:rPr>
          <w:spacing w:val="-10"/>
        </w:rPr>
        <w:t> </w:t>
      </w:r>
      <w:r>
        <w:rPr/>
        <w:t>be</w:t>
      </w:r>
      <w:r>
        <w:rPr>
          <w:spacing w:val="-10"/>
        </w:rPr>
        <w:t> </w:t>
      </w:r>
      <w:r>
        <w:rPr/>
        <w:t>developed</w:t>
      </w:r>
      <w:r>
        <w:rPr>
          <w:spacing w:val="-10"/>
        </w:rPr>
        <w:t> </w:t>
      </w:r>
      <w:r>
        <w:rPr/>
        <w:t>that</w:t>
      </w:r>
      <w:r>
        <w:rPr>
          <w:spacing w:val="-10"/>
        </w:rPr>
        <w:t> </w:t>
      </w:r>
      <w:r>
        <w:rPr/>
        <w:t>test</w:t>
      </w:r>
      <w:r>
        <w:rPr>
          <w:spacing w:val="-10"/>
        </w:rPr>
        <w:t> </w:t>
      </w:r>
      <w:r>
        <w:rPr/>
        <w:t>critical </w:t>
      </w:r>
      <w:r>
        <w:rPr>
          <w:spacing w:val="-8"/>
        </w:rPr>
        <w:t>reasoning</w:t>
      </w:r>
      <w:r>
        <w:rPr>
          <w:spacing w:val="-6"/>
        </w:rPr>
        <w:t> </w:t>
      </w:r>
      <w:r>
        <w:rPr>
          <w:spacing w:val="-8"/>
        </w:rPr>
        <w:t>by</w:t>
      </w:r>
      <w:r>
        <w:rPr>
          <w:spacing w:val="-6"/>
        </w:rPr>
        <w:t> </w:t>
      </w:r>
      <w:r>
        <w:rPr>
          <w:spacing w:val="-8"/>
        </w:rPr>
        <w:t>encouraging</w:t>
      </w:r>
      <w:r>
        <w:rPr>
          <w:spacing w:val="-6"/>
        </w:rPr>
        <w:t> </w:t>
      </w:r>
      <w:r>
        <w:rPr>
          <w:spacing w:val="-8"/>
        </w:rPr>
        <w:t>essential</w:t>
      </w:r>
      <w:r>
        <w:rPr>
          <w:spacing w:val="-5"/>
        </w:rPr>
        <w:t> </w:t>
      </w:r>
      <w:r>
        <w:rPr>
          <w:spacing w:val="-8"/>
        </w:rPr>
        <w:t>analytical,</w:t>
      </w:r>
      <w:r>
        <w:rPr>
          <w:spacing w:val="-6"/>
        </w:rPr>
        <w:t> </w:t>
      </w:r>
      <w:r>
        <w:rPr>
          <w:spacing w:val="-8"/>
        </w:rPr>
        <w:t>writing</w:t>
      </w:r>
      <w:r>
        <w:rPr>
          <w:spacing w:val="-6"/>
        </w:rPr>
        <w:t> </w:t>
      </w:r>
      <w:r>
        <w:rPr>
          <w:spacing w:val="-8"/>
        </w:rPr>
        <w:t>and </w:t>
      </w:r>
      <w:r>
        <w:rPr/>
        <w:t>communication</w:t>
      </w:r>
      <w:r>
        <w:rPr>
          <w:spacing w:val="-11"/>
        </w:rPr>
        <w:t> </w:t>
      </w:r>
      <w:r>
        <w:rPr/>
        <w:t>skills.</w:t>
      </w:r>
      <w:r>
        <w:rPr>
          <w:spacing w:val="-14"/>
        </w:rPr>
        <w:t> </w:t>
      </w:r>
      <w:r>
        <w:rPr/>
        <w:t>The</w:t>
      </w:r>
      <w:r>
        <w:rPr>
          <w:spacing w:val="-10"/>
        </w:rPr>
        <w:t> </w:t>
      </w:r>
      <w:r>
        <w:rPr/>
        <w:t>end-semester</w:t>
      </w:r>
      <w:r>
        <w:rPr>
          <w:spacing w:val="-10"/>
        </w:rPr>
        <w:t> </w:t>
      </w:r>
      <w:r>
        <w:rPr/>
        <w:t>examination </w:t>
      </w:r>
      <w:r>
        <w:rPr>
          <w:spacing w:val="-2"/>
        </w:rPr>
        <w:t>should</w:t>
      </w:r>
      <w:r>
        <w:rPr>
          <w:spacing w:val="-12"/>
        </w:rPr>
        <w:t> </w:t>
      </w:r>
      <w:r>
        <w:rPr>
          <w:spacing w:val="-2"/>
        </w:rPr>
        <w:t>be</w:t>
      </w:r>
      <w:r>
        <w:rPr>
          <w:spacing w:val="-12"/>
        </w:rPr>
        <w:t> </w:t>
      </w:r>
      <w:r>
        <w:rPr>
          <w:spacing w:val="-2"/>
        </w:rPr>
        <w:t>problem-oriented,</w:t>
      </w:r>
      <w:r>
        <w:rPr>
          <w:spacing w:val="-12"/>
        </w:rPr>
        <w:t> </w:t>
      </w:r>
      <w:r>
        <w:rPr>
          <w:spacing w:val="-2"/>
        </w:rPr>
        <w:t>combining</w:t>
      </w:r>
      <w:r>
        <w:rPr>
          <w:spacing w:val="-11"/>
        </w:rPr>
        <w:t> </w:t>
      </w:r>
      <w:r>
        <w:rPr>
          <w:spacing w:val="-2"/>
        </w:rPr>
        <w:t>theoretical</w:t>
      </w:r>
      <w:r>
        <w:rPr>
          <w:spacing w:val="-12"/>
        </w:rPr>
        <w:t> </w:t>
      </w:r>
      <w:r>
        <w:rPr>
          <w:spacing w:val="-2"/>
        </w:rPr>
        <w:t>and </w:t>
      </w:r>
      <w:r>
        <w:rPr/>
        <w:t>problem oriented approaches rather than merely test </w:t>
      </w:r>
      <w:r>
        <w:rPr>
          <w:spacing w:val="-4"/>
        </w:rPr>
        <w:t>memory.</w:t>
      </w:r>
      <w:r>
        <w:rPr>
          <w:spacing w:val="-8"/>
        </w:rPr>
        <w:t> </w:t>
      </w:r>
      <w:r>
        <w:rPr>
          <w:spacing w:val="-4"/>
        </w:rPr>
        <w:t>Project</w:t>
      </w:r>
      <w:r>
        <w:rPr>
          <w:spacing w:val="-8"/>
        </w:rPr>
        <w:t> </w:t>
      </w:r>
      <w:r>
        <w:rPr>
          <w:spacing w:val="-4"/>
        </w:rPr>
        <w:t>papers,</w:t>
      </w:r>
      <w:r>
        <w:rPr>
          <w:spacing w:val="-8"/>
        </w:rPr>
        <w:t> </w:t>
      </w:r>
      <w:r>
        <w:rPr>
          <w:spacing w:val="-4"/>
        </w:rPr>
        <w:t>project</w:t>
      </w:r>
      <w:r>
        <w:rPr>
          <w:spacing w:val="-8"/>
        </w:rPr>
        <w:t> </w:t>
      </w:r>
      <w:r>
        <w:rPr>
          <w:spacing w:val="-4"/>
        </w:rPr>
        <w:t>and</w:t>
      </w:r>
      <w:r>
        <w:rPr>
          <w:spacing w:val="-8"/>
        </w:rPr>
        <w:t> </w:t>
      </w:r>
      <w:r>
        <w:rPr>
          <w:spacing w:val="-4"/>
        </w:rPr>
        <w:t>subject</w:t>
      </w:r>
      <w:r>
        <w:rPr>
          <w:spacing w:val="-8"/>
        </w:rPr>
        <w:t> </w:t>
      </w:r>
      <w:r>
        <w:rPr>
          <w:spacing w:val="-4"/>
        </w:rPr>
        <w:t>viva,</w:t>
      </w:r>
      <w:r>
        <w:rPr>
          <w:spacing w:val="-8"/>
        </w:rPr>
        <w:t> </w:t>
      </w:r>
      <w:r>
        <w:rPr>
          <w:spacing w:val="-4"/>
        </w:rPr>
        <w:t>along </w:t>
      </w:r>
      <w:r>
        <w:rPr/>
        <w:t>with</w:t>
      </w:r>
      <w:r>
        <w:rPr>
          <w:spacing w:val="-14"/>
        </w:rPr>
        <w:t> </w:t>
      </w:r>
      <w:r>
        <w:rPr/>
        <w:t>an</w:t>
      </w:r>
      <w:r>
        <w:rPr>
          <w:spacing w:val="-14"/>
        </w:rPr>
        <w:t> </w:t>
      </w:r>
      <w:r>
        <w:rPr/>
        <w:t>end-semester</w:t>
      </w:r>
      <w:r>
        <w:rPr>
          <w:spacing w:val="-13"/>
        </w:rPr>
        <w:t> </w:t>
      </w:r>
      <w:r>
        <w:rPr/>
        <w:t>examination</w:t>
      </w:r>
      <w:r>
        <w:rPr>
          <w:spacing w:val="-14"/>
        </w:rPr>
        <w:t> </w:t>
      </w:r>
      <w:r>
        <w:rPr/>
        <w:t>to</w:t>
      </w:r>
      <w:r>
        <w:rPr>
          <w:spacing w:val="-14"/>
        </w:rPr>
        <w:t> </w:t>
      </w:r>
      <w:r>
        <w:rPr/>
        <w:t>be</w:t>
      </w:r>
      <w:r>
        <w:rPr>
          <w:spacing w:val="-13"/>
        </w:rPr>
        <w:t> </w:t>
      </w:r>
      <w:r>
        <w:rPr/>
        <w:t>considered</w:t>
      </w:r>
      <w:r>
        <w:rPr>
          <w:spacing w:val="-14"/>
        </w:rPr>
        <w:t> </w:t>
      </w:r>
      <w:r>
        <w:rPr/>
        <w:t>as pedagogic</w:t>
      </w:r>
      <w:r>
        <w:rPr>
          <w:spacing w:val="-11"/>
        </w:rPr>
        <w:t> </w:t>
      </w:r>
      <w:r>
        <w:rPr/>
        <w:t>methods</w:t>
      </w:r>
      <w:r>
        <w:rPr>
          <w:spacing w:val="-11"/>
        </w:rPr>
        <w:t> </w:t>
      </w:r>
      <w:r>
        <w:rPr/>
        <w:t>imperative</w:t>
      </w:r>
      <w:r>
        <w:rPr>
          <w:spacing w:val="-11"/>
        </w:rPr>
        <w:t> </w:t>
      </w:r>
      <w:r>
        <w:rPr/>
        <w:t>for</w:t>
      </w:r>
      <w:r>
        <w:rPr>
          <w:spacing w:val="-11"/>
        </w:rPr>
        <w:t> </w:t>
      </w:r>
      <w:r>
        <w:rPr/>
        <w:t>improving</w:t>
      </w:r>
      <w:r>
        <w:rPr>
          <w:spacing w:val="-11"/>
        </w:rPr>
        <w:t> </w:t>
      </w:r>
      <w:r>
        <w:rPr/>
        <w:t>quality.</w:t>
      </w:r>
    </w:p>
    <w:p>
      <w:pPr>
        <w:pStyle w:val="Heading6"/>
        <w:numPr>
          <w:ilvl w:val="1"/>
          <w:numId w:val="26"/>
        </w:numPr>
        <w:tabs>
          <w:tab w:pos="1404" w:val="left" w:leader="none"/>
          <w:tab w:pos="1406" w:val="left" w:leader="none"/>
        </w:tabs>
        <w:spacing w:line="182" w:lineRule="auto" w:before="251" w:after="0"/>
        <w:ind w:left="1406" w:right="423" w:hanging="327"/>
        <w:jc w:val="left"/>
      </w:pPr>
      <w:r>
        <w:rPr>
          <w:color w:val="2E614A"/>
          <w:w w:val="90"/>
        </w:rPr>
        <w:t>Measures to Attract and </w:t>
      </w:r>
      <w:r>
        <w:rPr>
          <w:color w:val="2E614A"/>
          <w:w w:val="90"/>
        </w:rPr>
        <w:t>Retain </w:t>
      </w:r>
      <w:r>
        <w:rPr>
          <w:color w:val="2E614A"/>
          <w:spacing w:val="-2"/>
        </w:rPr>
        <w:t>Talented</w:t>
      </w:r>
      <w:r>
        <w:rPr>
          <w:color w:val="2E614A"/>
          <w:spacing w:val="-18"/>
        </w:rPr>
        <w:t> </w:t>
      </w:r>
      <w:r>
        <w:rPr>
          <w:color w:val="2E614A"/>
          <w:spacing w:val="-2"/>
        </w:rPr>
        <w:t>Faculty</w:t>
      </w:r>
    </w:p>
    <w:p>
      <w:pPr>
        <w:pStyle w:val="BodyText"/>
        <w:spacing w:line="266" w:lineRule="auto" w:before="302"/>
        <w:ind w:left="1080"/>
        <w:jc w:val="both"/>
      </w:pPr>
      <w:r>
        <w:rPr>
          <w:spacing w:val="-2"/>
        </w:rPr>
        <w:t>To</w:t>
      </w:r>
      <w:r>
        <w:rPr>
          <w:spacing w:val="-8"/>
        </w:rPr>
        <w:t> </w:t>
      </w:r>
      <w:r>
        <w:rPr>
          <w:spacing w:val="-2"/>
        </w:rPr>
        <w:t>attract</w:t>
      </w:r>
      <w:r>
        <w:rPr>
          <w:spacing w:val="-8"/>
        </w:rPr>
        <w:t> </w:t>
      </w:r>
      <w:r>
        <w:rPr>
          <w:spacing w:val="-2"/>
        </w:rPr>
        <w:t>and</w:t>
      </w:r>
      <w:r>
        <w:rPr>
          <w:spacing w:val="-8"/>
        </w:rPr>
        <w:t> </w:t>
      </w:r>
      <w:r>
        <w:rPr>
          <w:spacing w:val="-2"/>
        </w:rPr>
        <w:t>retain</w:t>
      </w:r>
      <w:r>
        <w:rPr>
          <w:spacing w:val="-8"/>
        </w:rPr>
        <w:t> </w:t>
      </w:r>
      <w:r>
        <w:rPr>
          <w:spacing w:val="-2"/>
        </w:rPr>
        <w:t>talented</w:t>
      </w:r>
      <w:r>
        <w:rPr>
          <w:spacing w:val="-8"/>
        </w:rPr>
        <w:t> </w:t>
      </w:r>
      <w:r>
        <w:rPr>
          <w:spacing w:val="-2"/>
        </w:rPr>
        <w:t>faculty,</w:t>
      </w:r>
      <w:r>
        <w:rPr>
          <w:spacing w:val="-8"/>
        </w:rPr>
        <w:t> </w:t>
      </w:r>
      <w:r>
        <w:rPr>
          <w:spacing w:val="-2"/>
        </w:rPr>
        <w:t>better</w:t>
      </w:r>
      <w:r>
        <w:rPr>
          <w:spacing w:val="-8"/>
        </w:rPr>
        <w:t> </w:t>
      </w:r>
      <w:r>
        <w:rPr>
          <w:spacing w:val="-2"/>
        </w:rPr>
        <w:t>incentives, </w:t>
      </w:r>
      <w:r>
        <w:rPr>
          <w:spacing w:val="-8"/>
        </w:rPr>
        <w:t>including</w:t>
      </w:r>
      <w:r>
        <w:rPr>
          <w:spacing w:val="-3"/>
        </w:rPr>
        <w:t> </w:t>
      </w:r>
      <w:r>
        <w:rPr>
          <w:spacing w:val="-8"/>
        </w:rPr>
        <w:t>improving</w:t>
      </w:r>
      <w:r>
        <w:rPr>
          <w:spacing w:val="-3"/>
        </w:rPr>
        <w:t> </w:t>
      </w:r>
      <w:r>
        <w:rPr>
          <w:spacing w:val="-8"/>
        </w:rPr>
        <w:t>remuneration</w:t>
      </w:r>
      <w:r>
        <w:rPr>
          <w:spacing w:val="-3"/>
        </w:rPr>
        <w:t> </w:t>
      </w:r>
      <w:r>
        <w:rPr>
          <w:spacing w:val="-8"/>
        </w:rPr>
        <w:t>and</w:t>
      </w:r>
      <w:r>
        <w:rPr>
          <w:spacing w:val="-2"/>
        </w:rPr>
        <w:t> </w:t>
      </w:r>
      <w:r>
        <w:rPr>
          <w:spacing w:val="-8"/>
        </w:rPr>
        <w:t>service</w:t>
      </w:r>
      <w:r>
        <w:rPr>
          <w:spacing w:val="-3"/>
        </w:rPr>
        <w:t> </w:t>
      </w:r>
      <w:r>
        <w:rPr>
          <w:spacing w:val="-8"/>
        </w:rPr>
        <w:t>conditions</w:t>
      </w:r>
    </w:p>
    <w:p>
      <w:pPr>
        <w:pStyle w:val="BodyText"/>
        <w:spacing w:line="266" w:lineRule="auto" w:before="57"/>
        <w:ind w:left="319" w:right="1077"/>
        <w:jc w:val="both"/>
      </w:pPr>
      <w:r>
        <w:rPr/>
        <w:br w:type="column"/>
      </w:r>
      <w:r>
        <w:rPr/>
        <w:t>may be introduced. It may be necessary to think of salary differentials within and between universities and law schools along with other means of attracting and retaining talented faculty members. Such salary differentials between and within universities and law </w:t>
      </w:r>
      <w:r>
        <w:rPr>
          <w:spacing w:val="-4"/>
        </w:rPr>
        <w:t>schools</w:t>
      </w:r>
      <w:r>
        <w:rPr>
          <w:spacing w:val="-10"/>
        </w:rPr>
        <w:t> </w:t>
      </w:r>
      <w:r>
        <w:rPr>
          <w:spacing w:val="-4"/>
        </w:rPr>
        <w:t>could</w:t>
      </w:r>
      <w:r>
        <w:rPr>
          <w:spacing w:val="-10"/>
        </w:rPr>
        <w:t> </w:t>
      </w:r>
      <w:r>
        <w:rPr>
          <w:spacing w:val="-4"/>
        </w:rPr>
        <w:t>be</w:t>
      </w:r>
      <w:r>
        <w:rPr>
          <w:spacing w:val="-10"/>
        </w:rPr>
        <w:t> </w:t>
      </w:r>
      <w:r>
        <w:rPr>
          <w:spacing w:val="-4"/>
        </w:rPr>
        <w:t>effective</w:t>
      </w:r>
      <w:r>
        <w:rPr>
          <w:spacing w:val="-9"/>
        </w:rPr>
        <w:t> </w:t>
      </w:r>
      <w:r>
        <w:rPr>
          <w:spacing w:val="-4"/>
        </w:rPr>
        <w:t>without</w:t>
      </w:r>
      <w:r>
        <w:rPr>
          <w:spacing w:val="-10"/>
        </w:rPr>
        <w:t> </w:t>
      </w:r>
      <w:r>
        <w:rPr>
          <w:spacing w:val="-4"/>
        </w:rPr>
        <w:t>being</w:t>
      </w:r>
      <w:r>
        <w:rPr>
          <w:spacing w:val="-10"/>
        </w:rPr>
        <w:t> </w:t>
      </w:r>
      <w:r>
        <w:rPr>
          <w:spacing w:val="-4"/>
        </w:rPr>
        <w:t>large.</w:t>
      </w:r>
      <w:r>
        <w:rPr>
          <w:spacing w:val="-10"/>
        </w:rPr>
        <w:t> </w:t>
      </w:r>
      <w:r>
        <w:rPr>
          <w:spacing w:val="-4"/>
        </w:rPr>
        <w:t>This</w:t>
      </w:r>
      <w:r>
        <w:rPr>
          <w:spacing w:val="-9"/>
        </w:rPr>
        <w:t> </w:t>
      </w:r>
      <w:r>
        <w:rPr>
          <w:spacing w:val="-4"/>
        </w:rPr>
        <w:t>will </w:t>
      </w:r>
      <w:r>
        <w:rPr>
          <w:spacing w:val="-6"/>
        </w:rPr>
        <w:t>help</w:t>
      </w:r>
      <w:r>
        <w:rPr>
          <w:spacing w:val="-8"/>
        </w:rPr>
        <w:t> </w:t>
      </w:r>
      <w:r>
        <w:rPr>
          <w:spacing w:val="-6"/>
        </w:rPr>
        <w:t>retain</w:t>
      </w:r>
      <w:r>
        <w:rPr>
          <w:spacing w:val="-8"/>
        </w:rPr>
        <w:t> </w:t>
      </w:r>
      <w:r>
        <w:rPr>
          <w:spacing w:val="-6"/>
        </w:rPr>
        <w:t>talent</w:t>
      </w:r>
      <w:r>
        <w:rPr>
          <w:spacing w:val="-7"/>
        </w:rPr>
        <w:t> </w:t>
      </w:r>
      <w:r>
        <w:rPr>
          <w:spacing w:val="-6"/>
        </w:rPr>
        <w:t>in</w:t>
      </w:r>
      <w:r>
        <w:rPr>
          <w:spacing w:val="-8"/>
        </w:rPr>
        <w:t> </w:t>
      </w:r>
      <w:r>
        <w:rPr>
          <w:spacing w:val="-6"/>
        </w:rPr>
        <w:t>legal</w:t>
      </w:r>
      <w:r>
        <w:rPr>
          <w:spacing w:val="-8"/>
        </w:rPr>
        <w:t> </w:t>
      </w:r>
      <w:r>
        <w:rPr>
          <w:spacing w:val="-6"/>
        </w:rPr>
        <w:t>academia</w:t>
      </w:r>
      <w:r>
        <w:rPr>
          <w:spacing w:val="-7"/>
        </w:rPr>
        <w:t> </w:t>
      </w:r>
      <w:r>
        <w:rPr>
          <w:spacing w:val="-6"/>
        </w:rPr>
        <w:t>where</w:t>
      </w:r>
      <w:r>
        <w:rPr>
          <w:spacing w:val="-8"/>
        </w:rPr>
        <w:t> </w:t>
      </w:r>
      <w:r>
        <w:rPr>
          <w:spacing w:val="-6"/>
        </w:rPr>
        <w:t>the</w:t>
      </w:r>
      <w:r>
        <w:rPr>
          <w:spacing w:val="-8"/>
        </w:rPr>
        <w:t> </w:t>
      </w:r>
      <w:r>
        <w:rPr>
          <w:spacing w:val="-6"/>
        </w:rPr>
        <w:t>problem</w:t>
      </w:r>
      <w:r>
        <w:rPr>
          <w:spacing w:val="-7"/>
        </w:rPr>
        <w:t> </w:t>
      </w:r>
      <w:r>
        <w:rPr>
          <w:spacing w:val="-6"/>
        </w:rPr>
        <w:t>of </w:t>
      </w:r>
      <w:r>
        <w:rPr>
          <w:spacing w:val="-2"/>
        </w:rPr>
        <w:t>inadequate</w:t>
      </w:r>
      <w:r>
        <w:rPr>
          <w:spacing w:val="-12"/>
        </w:rPr>
        <w:t> </w:t>
      </w:r>
      <w:r>
        <w:rPr>
          <w:spacing w:val="-2"/>
        </w:rPr>
        <w:t>remuneration</w:t>
      </w:r>
      <w:r>
        <w:rPr>
          <w:spacing w:val="-12"/>
        </w:rPr>
        <w:t> </w:t>
      </w:r>
      <w:r>
        <w:rPr>
          <w:spacing w:val="-2"/>
        </w:rPr>
        <w:t>is</w:t>
      </w:r>
      <w:r>
        <w:rPr>
          <w:spacing w:val="-12"/>
        </w:rPr>
        <w:t> </w:t>
      </w:r>
      <w:r>
        <w:rPr>
          <w:spacing w:val="-2"/>
        </w:rPr>
        <w:t>far</w:t>
      </w:r>
      <w:r>
        <w:rPr>
          <w:spacing w:val="-11"/>
        </w:rPr>
        <w:t> </w:t>
      </w:r>
      <w:r>
        <w:rPr>
          <w:spacing w:val="-2"/>
        </w:rPr>
        <w:t>more</w:t>
      </w:r>
      <w:r>
        <w:rPr>
          <w:spacing w:val="-12"/>
        </w:rPr>
        <w:t> </w:t>
      </w:r>
      <w:r>
        <w:rPr>
          <w:spacing w:val="-2"/>
        </w:rPr>
        <w:t>acute</w:t>
      </w:r>
      <w:r>
        <w:rPr>
          <w:spacing w:val="-12"/>
        </w:rPr>
        <w:t> </w:t>
      </w:r>
      <w:r>
        <w:rPr>
          <w:spacing w:val="-2"/>
        </w:rPr>
        <w:t>than</w:t>
      </w:r>
      <w:r>
        <w:rPr>
          <w:spacing w:val="-12"/>
        </w:rPr>
        <w:t> </w:t>
      </w:r>
      <w:r>
        <w:rPr>
          <w:spacing w:val="-2"/>
        </w:rPr>
        <w:t>in</w:t>
      </w:r>
      <w:r>
        <w:rPr>
          <w:spacing w:val="-11"/>
        </w:rPr>
        <w:t> </w:t>
      </w:r>
      <w:r>
        <w:rPr>
          <w:spacing w:val="-2"/>
        </w:rPr>
        <w:t>other </w:t>
      </w:r>
      <w:r>
        <w:rPr>
          <w:spacing w:val="-4"/>
        </w:rPr>
        <w:t>disciplines.</w:t>
      </w:r>
      <w:r>
        <w:rPr>
          <w:spacing w:val="-10"/>
        </w:rPr>
        <w:t> </w:t>
      </w:r>
      <w:r>
        <w:rPr>
          <w:spacing w:val="-4"/>
        </w:rPr>
        <w:t>Salary</w:t>
      </w:r>
      <w:r>
        <w:rPr>
          <w:spacing w:val="-10"/>
        </w:rPr>
        <w:t> </w:t>
      </w:r>
      <w:r>
        <w:rPr>
          <w:spacing w:val="-4"/>
        </w:rPr>
        <w:t>differentials</w:t>
      </w:r>
      <w:r>
        <w:rPr>
          <w:spacing w:val="-10"/>
        </w:rPr>
        <w:t> </w:t>
      </w:r>
      <w:r>
        <w:rPr>
          <w:spacing w:val="-4"/>
        </w:rPr>
        <w:t>could</w:t>
      </w:r>
      <w:r>
        <w:rPr>
          <w:spacing w:val="-9"/>
        </w:rPr>
        <w:t> </w:t>
      </w:r>
      <w:r>
        <w:rPr>
          <w:spacing w:val="-4"/>
        </w:rPr>
        <w:t>be</w:t>
      </w:r>
      <w:r>
        <w:rPr>
          <w:spacing w:val="-10"/>
        </w:rPr>
        <w:t> </w:t>
      </w:r>
      <w:r>
        <w:rPr>
          <w:spacing w:val="-4"/>
        </w:rPr>
        <w:t>considered</w:t>
      </w:r>
      <w:r>
        <w:rPr>
          <w:spacing w:val="-10"/>
        </w:rPr>
        <w:t> </w:t>
      </w:r>
      <w:r>
        <w:rPr>
          <w:spacing w:val="-4"/>
        </w:rPr>
        <w:t>as</w:t>
      </w:r>
      <w:r>
        <w:rPr>
          <w:spacing w:val="-10"/>
        </w:rPr>
        <w:t> </w:t>
      </w:r>
      <w:r>
        <w:rPr>
          <w:spacing w:val="-4"/>
        </w:rPr>
        <w:t>a means</w:t>
      </w:r>
      <w:r>
        <w:rPr>
          <w:spacing w:val="-10"/>
        </w:rPr>
        <w:t> </w:t>
      </w:r>
      <w:r>
        <w:rPr>
          <w:spacing w:val="-4"/>
        </w:rPr>
        <w:t>to</w:t>
      </w:r>
      <w:r>
        <w:rPr>
          <w:spacing w:val="-10"/>
        </w:rPr>
        <w:t> </w:t>
      </w:r>
      <w:r>
        <w:rPr>
          <w:spacing w:val="-4"/>
        </w:rPr>
        <w:t>retain</w:t>
      </w:r>
      <w:r>
        <w:rPr>
          <w:spacing w:val="-10"/>
        </w:rPr>
        <w:t> </w:t>
      </w:r>
      <w:r>
        <w:rPr>
          <w:spacing w:val="-4"/>
        </w:rPr>
        <w:t>quality</w:t>
      </w:r>
      <w:r>
        <w:rPr>
          <w:spacing w:val="-9"/>
        </w:rPr>
        <w:t> </w:t>
      </w:r>
      <w:r>
        <w:rPr>
          <w:spacing w:val="-4"/>
        </w:rPr>
        <w:t>talent</w:t>
      </w:r>
      <w:r>
        <w:rPr>
          <w:spacing w:val="-10"/>
        </w:rPr>
        <w:t> </w:t>
      </w:r>
      <w:r>
        <w:rPr>
          <w:spacing w:val="-4"/>
        </w:rPr>
        <w:t>and</w:t>
      </w:r>
      <w:r>
        <w:rPr>
          <w:spacing w:val="-10"/>
        </w:rPr>
        <w:t> </w:t>
      </w:r>
      <w:r>
        <w:rPr>
          <w:spacing w:val="-4"/>
        </w:rPr>
        <w:t>also</w:t>
      </w:r>
      <w:r>
        <w:rPr>
          <w:spacing w:val="-10"/>
        </w:rPr>
        <w:t> </w:t>
      </w:r>
      <w:r>
        <w:rPr>
          <w:spacing w:val="-4"/>
        </w:rPr>
        <w:t>promote</w:t>
      </w:r>
      <w:r>
        <w:rPr>
          <w:spacing w:val="-9"/>
        </w:rPr>
        <w:t> </w:t>
      </w:r>
      <w:r>
        <w:rPr>
          <w:spacing w:val="-4"/>
        </w:rPr>
        <w:t>a</w:t>
      </w:r>
      <w:r>
        <w:rPr>
          <w:spacing w:val="-10"/>
        </w:rPr>
        <w:t> </w:t>
      </w:r>
      <w:r>
        <w:rPr>
          <w:spacing w:val="-4"/>
        </w:rPr>
        <w:t>culture </w:t>
      </w:r>
      <w:r>
        <w:rPr/>
        <w:t>of excellence.</w:t>
      </w:r>
    </w:p>
    <w:p>
      <w:pPr>
        <w:pStyle w:val="BodyText"/>
        <w:spacing w:before="18"/>
      </w:pPr>
    </w:p>
    <w:p>
      <w:pPr>
        <w:pStyle w:val="BodyText"/>
        <w:spacing w:line="266" w:lineRule="auto"/>
        <w:ind w:left="319" w:right="1077"/>
        <w:jc w:val="both"/>
      </w:pPr>
      <w:r>
        <w:rPr/>
        <w:t>To</w:t>
      </w:r>
      <w:r>
        <w:rPr>
          <w:spacing w:val="-2"/>
        </w:rPr>
        <w:t> </w:t>
      </w:r>
      <w:r>
        <w:rPr/>
        <w:t>foster</w:t>
      </w:r>
      <w:r>
        <w:rPr>
          <w:spacing w:val="-2"/>
        </w:rPr>
        <w:t> </w:t>
      </w:r>
      <w:r>
        <w:rPr/>
        <w:t>quality</w:t>
      </w:r>
      <w:r>
        <w:rPr>
          <w:spacing w:val="-2"/>
        </w:rPr>
        <w:t> </w:t>
      </w:r>
      <w:r>
        <w:rPr/>
        <w:t>and</w:t>
      </w:r>
      <w:r>
        <w:rPr>
          <w:spacing w:val="-2"/>
        </w:rPr>
        <w:t> </w:t>
      </w:r>
      <w:r>
        <w:rPr/>
        <w:t>create</w:t>
      </w:r>
      <w:r>
        <w:rPr>
          <w:spacing w:val="-2"/>
        </w:rPr>
        <w:t> </w:t>
      </w:r>
      <w:r>
        <w:rPr/>
        <w:t>better</w:t>
      </w:r>
      <w:r>
        <w:rPr>
          <w:spacing w:val="-2"/>
        </w:rPr>
        <w:t> </w:t>
      </w:r>
      <w:r>
        <w:rPr/>
        <w:t>incentives,</w:t>
      </w:r>
      <w:r>
        <w:rPr>
          <w:spacing w:val="-2"/>
        </w:rPr>
        <w:t> </w:t>
      </w:r>
      <w:r>
        <w:rPr/>
        <w:t>there</w:t>
      </w:r>
      <w:r>
        <w:rPr>
          <w:spacing w:val="-2"/>
        </w:rPr>
        <w:t> </w:t>
      </w:r>
      <w:r>
        <w:rPr/>
        <w:t>is also need to remove fetters on faculty that pertain to opportunities in legal practice (such as consultancy </w:t>
      </w:r>
      <w:r>
        <w:rPr>
          <w:spacing w:val="-4"/>
        </w:rPr>
        <w:t>assignments</w:t>
      </w:r>
      <w:r>
        <w:rPr>
          <w:spacing w:val="-10"/>
        </w:rPr>
        <w:t> </w:t>
      </w:r>
      <w:r>
        <w:rPr>
          <w:spacing w:val="-4"/>
        </w:rPr>
        <w:t>and</w:t>
      </w:r>
      <w:r>
        <w:rPr>
          <w:spacing w:val="-10"/>
        </w:rPr>
        <w:t> </w:t>
      </w:r>
      <w:r>
        <w:rPr>
          <w:spacing w:val="-4"/>
        </w:rPr>
        <w:t>legal</w:t>
      </w:r>
      <w:r>
        <w:rPr>
          <w:spacing w:val="-10"/>
        </w:rPr>
        <w:t> </w:t>
      </w:r>
      <w:r>
        <w:rPr>
          <w:spacing w:val="-4"/>
        </w:rPr>
        <w:t>practice</w:t>
      </w:r>
      <w:r>
        <w:rPr>
          <w:spacing w:val="-9"/>
        </w:rPr>
        <w:t> </w:t>
      </w:r>
      <w:r>
        <w:rPr>
          <w:spacing w:val="-4"/>
        </w:rPr>
        <w:t>in</w:t>
      </w:r>
      <w:r>
        <w:rPr>
          <w:spacing w:val="-10"/>
        </w:rPr>
        <w:t> </w:t>
      </w:r>
      <w:r>
        <w:rPr>
          <w:spacing w:val="-4"/>
        </w:rPr>
        <w:t>courts).</w:t>
      </w:r>
      <w:r>
        <w:rPr>
          <w:spacing w:val="-10"/>
        </w:rPr>
        <w:t> </w:t>
      </w:r>
      <w:r>
        <w:rPr>
          <w:spacing w:val="-4"/>
        </w:rPr>
        <w:t>These</w:t>
      </w:r>
      <w:r>
        <w:rPr>
          <w:spacing w:val="-10"/>
        </w:rPr>
        <w:t> </w:t>
      </w:r>
      <w:r>
        <w:rPr>
          <w:spacing w:val="-4"/>
        </w:rPr>
        <w:t>reforms </w:t>
      </w:r>
      <w:r>
        <w:rPr/>
        <w:t>need to be introduced in a balanced, reasonable and regulated manner to ensure adequate incentivisation for</w:t>
      </w:r>
      <w:r>
        <w:rPr>
          <w:spacing w:val="-14"/>
        </w:rPr>
        <w:t> </w:t>
      </w:r>
      <w:r>
        <w:rPr/>
        <w:t>faculty</w:t>
      </w:r>
      <w:r>
        <w:rPr>
          <w:spacing w:val="-14"/>
        </w:rPr>
        <w:t> </w:t>
      </w:r>
      <w:r>
        <w:rPr/>
        <w:t>without</w:t>
      </w:r>
      <w:r>
        <w:rPr>
          <w:spacing w:val="-14"/>
        </w:rPr>
        <w:t> </w:t>
      </w:r>
      <w:r>
        <w:rPr/>
        <w:t>compromising</w:t>
      </w:r>
      <w:r>
        <w:rPr>
          <w:spacing w:val="-13"/>
        </w:rPr>
        <w:t> </w:t>
      </w:r>
      <w:r>
        <w:rPr/>
        <w:t>on</w:t>
      </w:r>
      <w:r>
        <w:rPr>
          <w:spacing w:val="-14"/>
        </w:rPr>
        <w:t> </w:t>
      </w:r>
      <w:r>
        <w:rPr/>
        <w:t>the</w:t>
      </w:r>
      <w:r>
        <w:rPr>
          <w:spacing w:val="-14"/>
        </w:rPr>
        <w:t> </w:t>
      </w:r>
      <w:r>
        <w:rPr/>
        <w:t>maintenance of</w:t>
      </w:r>
      <w:r>
        <w:rPr>
          <w:spacing w:val="-13"/>
        </w:rPr>
        <w:t> </w:t>
      </w:r>
      <w:r>
        <w:rPr/>
        <w:t>consistent</w:t>
      </w:r>
      <w:r>
        <w:rPr>
          <w:spacing w:val="-13"/>
        </w:rPr>
        <w:t> </w:t>
      </w:r>
      <w:r>
        <w:rPr/>
        <w:t>academic</w:t>
      </w:r>
      <w:r>
        <w:rPr>
          <w:spacing w:val="-13"/>
        </w:rPr>
        <w:t> </w:t>
      </w:r>
      <w:r>
        <w:rPr/>
        <w:t>quality.</w:t>
      </w:r>
      <w:r>
        <w:rPr>
          <w:spacing w:val="-13"/>
        </w:rPr>
        <w:t> </w:t>
      </w:r>
      <w:r>
        <w:rPr/>
        <w:t>As</w:t>
      </w:r>
      <w:r>
        <w:rPr>
          <w:spacing w:val="-13"/>
        </w:rPr>
        <w:t> </w:t>
      </w:r>
      <w:r>
        <w:rPr/>
        <w:t>a</w:t>
      </w:r>
      <w:r>
        <w:rPr>
          <w:spacing w:val="-13"/>
        </w:rPr>
        <w:t> </w:t>
      </w:r>
      <w:r>
        <w:rPr/>
        <w:t>further</w:t>
      </w:r>
      <w:r>
        <w:rPr>
          <w:spacing w:val="-13"/>
        </w:rPr>
        <w:t> </w:t>
      </w:r>
      <w:r>
        <w:rPr/>
        <w:t>incentive, it</w:t>
      </w:r>
      <w:r>
        <w:rPr>
          <w:spacing w:val="-6"/>
        </w:rPr>
        <w:t> </w:t>
      </w:r>
      <w:r>
        <w:rPr/>
        <w:t>is</w:t>
      </w:r>
      <w:r>
        <w:rPr>
          <w:spacing w:val="-6"/>
        </w:rPr>
        <w:t> </w:t>
      </w:r>
      <w:r>
        <w:rPr/>
        <w:t>necessary</w:t>
      </w:r>
      <w:r>
        <w:rPr>
          <w:spacing w:val="-6"/>
        </w:rPr>
        <w:t> </w:t>
      </w:r>
      <w:r>
        <w:rPr/>
        <w:t>to</w:t>
      </w:r>
      <w:r>
        <w:rPr>
          <w:spacing w:val="-6"/>
        </w:rPr>
        <w:t> </w:t>
      </w:r>
      <w:r>
        <w:rPr/>
        <w:t>create</w:t>
      </w:r>
      <w:r>
        <w:rPr>
          <w:spacing w:val="-6"/>
        </w:rPr>
        <w:t> </w:t>
      </w:r>
      <w:r>
        <w:rPr/>
        <w:t>better</w:t>
      </w:r>
      <w:r>
        <w:rPr>
          <w:spacing w:val="-6"/>
        </w:rPr>
        <w:t> </w:t>
      </w:r>
      <w:r>
        <w:rPr/>
        <w:t>opportunities</w:t>
      </w:r>
      <w:r>
        <w:rPr>
          <w:spacing w:val="-6"/>
        </w:rPr>
        <w:t> </w:t>
      </w:r>
      <w:r>
        <w:rPr/>
        <w:t>for</w:t>
      </w:r>
      <w:r>
        <w:rPr>
          <w:spacing w:val="-6"/>
        </w:rPr>
        <w:t> </w:t>
      </w:r>
      <w:r>
        <w:rPr/>
        <w:t>active involvement of academia in the shaping of national legal education policy.</w:t>
      </w:r>
    </w:p>
    <w:p>
      <w:pPr>
        <w:pStyle w:val="BodyText"/>
        <w:spacing w:before="18"/>
      </w:pPr>
    </w:p>
    <w:p>
      <w:pPr>
        <w:pStyle w:val="BodyText"/>
        <w:spacing w:line="266" w:lineRule="auto" w:before="1"/>
        <w:ind w:left="319" w:right="1077"/>
        <w:jc w:val="both"/>
      </w:pPr>
      <w:r>
        <w:rPr/>
        <w:t>There</w:t>
      </w:r>
      <w:r>
        <w:rPr>
          <w:spacing w:val="-2"/>
        </w:rPr>
        <w:t> </w:t>
      </w:r>
      <w:r>
        <w:rPr/>
        <w:t>is</w:t>
      </w:r>
      <w:r>
        <w:rPr>
          <w:spacing w:val="-2"/>
        </w:rPr>
        <w:t> </w:t>
      </w:r>
      <w:r>
        <w:rPr/>
        <w:t>also</w:t>
      </w:r>
      <w:r>
        <w:rPr>
          <w:spacing w:val="-2"/>
        </w:rPr>
        <w:t> </w:t>
      </w:r>
      <w:r>
        <w:rPr/>
        <w:t>need</w:t>
      </w:r>
      <w:r>
        <w:rPr>
          <w:spacing w:val="-2"/>
        </w:rPr>
        <w:t> </w:t>
      </w:r>
      <w:r>
        <w:rPr/>
        <w:t>to</w:t>
      </w:r>
      <w:r>
        <w:rPr>
          <w:spacing w:val="-2"/>
        </w:rPr>
        <w:t> </w:t>
      </w:r>
      <w:r>
        <w:rPr/>
        <w:t>reconsider</w:t>
      </w:r>
      <w:r>
        <w:rPr>
          <w:spacing w:val="-2"/>
        </w:rPr>
        <w:t> </w:t>
      </w:r>
      <w:r>
        <w:rPr/>
        <w:t>existing</w:t>
      </w:r>
      <w:r>
        <w:rPr>
          <w:spacing w:val="-2"/>
        </w:rPr>
        <w:t> </w:t>
      </w:r>
      <w:r>
        <w:rPr/>
        <w:t>promotional schemes and avenues to promote meritorious faculty members. Other incentives for faculty include fully paid sabbaticals; adequate House Rent Allowance (HRA);</w:t>
      </w:r>
      <w:r>
        <w:rPr>
          <w:spacing w:val="-6"/>
        </w:rPr>
        <w:t> </w:t>
      </w:r>
      <w:r>
        <w:rPr/>
        <w:t>instituting</w:t>
      </w:r>
      <w:r>
        <w:rPr>
          <w:spacing w:val="-6"/>
        </w:rPr>
        <w:t> </w:t>
      </w:r>
      <w:r>
        <w:rPr/>
        <w:t>awards</w:t>
      </w:r>
      <w:r>
        <w:rPr>
          <w:spacing w:val="-6"/>
        </w:rPr>
        <w:t> </w:t>
      </w:r>
      <w:r>
        <w:rPr/>
        <w:t>to</w:t>
      </w:r>
      <w:r>
        <w:rPr>
          <w:spacing w:val="-6"/>
        </w:rPr>
        <w:t> </w:t>
      </w:r>
      <w:r>
        <w:rPr/>
        <w:t>honour</w:t>
      </w:r>
      <w:r>
        <w:rPr>
          <w:spacing w:val="-6"/>
        </w:rPr>
        <w:t> </w:t>
      </w:r>
      <w:r>
        <w:rPr/>
        <w:t>reputed</w:t>
      </w:r>
      <w:r>
        <w:rPr>
          <w:spacing w:val="-6"/>
        </w:rPr>
        <w:t> </w:t>
      </w:r>
      <w:r>
        <w:rPr/>
        <w:t>teachers and researchers at national and institutional levels; flexibility to appoint law teachers without having an LL.M degree if the individual has proven academic </w:t>
      </w:r>
      <w:r>
        <w:rPr>
          <w:spacing w:val="-2"/>
        </w:rPr>
        <w:t>or</w:t>
      </w:r>
      <w:r>
        <w:rPr>
          <w:spacing w:val="-12"/>
        </w:rPr>
        <w:t> </w:t>
      </w:r>
      <w:r>
        <w:rPr>
          <w:spacing w:val="-2"/>
        </w:rPr>
        <w:t>professional</w:t>
      </w:r>
      <w:r>
        <w:rPr>
          <w:spacing w:val="-12"/>
        </w:rPr>
        <w:t> </w:t>
      </w:r>
      <w:r>
        <w:rPr>
          <w:spacing w:val="-2"/>
        </w:rPr>
        <w:t>credentials;</w:t>
      </w:r>
      <w:r>
        <w:rPr>
          <w:spacing w:val="-12"/>
        </w:rPr>
        <w:t> </w:t>
      </w:r>
      <w:r>
        <w:rPr>
          <w:spacing w:val="-2"/>
        </w:rPr>
        <w:t>faculty</w:t>
      </w:r>
      <w:r>
        <w:rPr>
          <w:spacing w:val="-11"/>
        </w:rPr>
        <w:t> </w:t>
      </w:r>
      <w:r>
        <w:rPr>
          <w:spacing w:val="-2"/>
        </w:rPr>
        <w:t>exchange</w:t>
      </w:r>
      <w:r>
        <w:rPr>
          <w:spacing w:val="-12"/>
        </w:rPr>
        <w:t> </w:t>
      </w:r>
      <w:r>
        <w:rPr>
          <w:spacing w:val="-2"/>
        </w:rPr>
        <w:t>programs </w:t>
      </w:r>
      <w:r>
        <w:rPr>
          <w:spacing w:val="-4"/>
        </w:rPr>
        <w:t>with</w:t>
      </w:r>
      <w:r>
        <w:rPr>
          <w:spacing w:val="-6"/>
        </w:rPr>
        <w:t> </w:t>
      </w:r>
      <w:r>
        <w:rPr>
          <w:spacing w:val="-4"/>
        </w:rPr>
        <w:t>leading</w:t>
      </w:r>
      <w:r>
        <w:rPr>
          <w:spacing w:val="-6"/>
        </w:rPr>
        <w:t> </w:t>
      </w:r>
      <w:r>
        <w:rPr>
          <w:spacing w:val="-4"/>
        </w:rPr>
        <w:t>universities</w:t>
      </w:r>
      <w:r>
        <w:rPr>
          <w:spacing w:val="-6"/>
        </w:rPr>
        <w:t> </w:t>
      </w:r>
      <w:r>
        <w:rPr>
          <w:spacing w:val="-4"/>
        </w:rPr>
        <w:t>abroad</w:t>
      </w:r>
      <w:r>
        <w:rPr>
          <w:spacing w:val="-6"/>
        </w:rPr>
        <w:t> </w:t>
      </w:r>
      <w:r>
        <w:rPr>
          <w:spacing w:val="-4"/>
        </w:rPr>
        <w:t>and</w:t>
      </w:r>
      <w:r>
        <w:rPr>
          <w:spacing w:val="-6"/>
        </w:rPr>
        <w:t> </w:t>
      </w:r>
      <w:r>
        <w:rPr>
          <w:spacing w:val="-4"/>
        </w:rPr>
        <w:t>upgrading</w:t>
      </w:r>
      <w:r>
        <w:rPr>
          <w:spacing w:val="-6"/>
        </w:rPr>
        <w:t> </w:t>
      </w:r>
      <w:r>
        <w:rPr>
          <w:spacing w:val="-4"/>
        </w:rPr>
        <w:t>existing </w:t>
      </w:r>
      <w:r>
        <w:rPr>
          <w:spacing w:val="-2"/>
        </w:rPr>
        <w:t>infrastructure.</w:t>
      </w:r>
    </w:p>
    <w:p>
      <w:pPr>
        <w:pStyle w:val="Heading6"/>
        <w:numPr>
          <w:ilvl w:val="1"/>
          <w:numId w:val="26"/>
        </w:numPr>
        <w:tabs>
          <w:tab w:pos="643" w:val="left" w:leader="none"/>
          <w:tab w:pos="645" w:val="left" w:leader="none"/>
        </w:tabs>
        <w:spacing w:line="182" w:lineRule="auto" w:before="249" w:after="0"/>
        <w:ind w:left="645" w:right="1224" w:hanging="327"/>
        <w:jc w:val="left"/>
      </w:pPr>
      <w:r>
        <w:rPr>
          <w:color w:val="2E614A"/>
          <w:w w:val="90"/>
        </w:rPr>
        <w:t>Developing A Research </w:t>
      </w:r>
      <w:r>
        <w:rPr>
          <w:color w:val="2E614A"/>
          <w:w w:val="90"/>
        </w:rPr>
        <w:t>Tradition </w:t>
      </w:r>
      <w:r>
        <w:rPr>
          <w:color w:val="2E614A"/>
          <w:spacing w:val="-4"/>
        </w:rPr>
        <w:t>in</w:t>
      </w:r>
      <w:r>
        <w:rPr>
          <w:color w:val="2E614A"/>
          <w:spacing w:val="-16"/>
        </w:rPr>
        <w:t> </w:t>
      </w:r>
      <w:r>
        <w:rPr>
          <w:color w:val="2E614A"/>
          <w:spacing w:val="-4"/>
        </w:rPr>
        <w:t>Law</w:t>
      </w:r>
      <w:r>
        <w:rPr>
          <w:color w:val="2E614A"/>
          <w:spacing w:val="-16"/>
        </w:rPr>
        <w:t> </w:t>
      </w:r>
      <w:r>
        <w:rPr>
          <w:color w:val="2E614A"/>
          <w:spacing w:val="-4"/>
        </w:rPr>
        <w:t>Schools</w:t>
      </w:r>
      <w:r>
        <w:rPr>
          <w:color w:val="2E614A"/>
          <w:spacing w:val="-16"/>
        </w:rPr>
        <w:t> </w:t>
      </w:r>
      <w:r>
        <w:rPr>
          <w:color w:val="2E614A"/>
          <w:spacing w:val="-4"/>
        </w:rPr>
        <w:t>and</w:t>
      </w:r>
      <w:r>
        <w:rPr>
          <w:color w:val="2E614A"/>
          <w:spacing w:val="-16"/>
        </w:rPr>
        <w:t> </w:t>
      </w:r>
      <w:r>
        <w:rPr>
          <w:color w:val="2E614A"/>
          <w:spacing w:val="-4"/>
        </w:rPr>
        <w:t>Universities</w:t>
      </w:r>
    </w:p>
    <w:p>
      <w:pPr>
        <w:pStyle w:val="BodyText"/>
        <w:spacing w:line="266" w:lineRule="auto" w:before="302"/>
        <w:ind w:left="319" w:right="1077"/>
        <w:jc w:val="both"/>
      </w:pPr>
      <w:r>
        <w:rPr/>
        <w:t>Creating a tradition of research in law schools and universities is imperative if India has to transform itself from being only a consumer of available legal knowledge to being a leading producer in the world of new legal knowledge and ideas. The following </w:t>
      </w:r>
      <w:r>
        <w:rPr>
          <w:spacing w:val="-2"/>
        </w:rPr>
        <w:t>measures</w:t>
      </w:r>
      <w:r>
        <w:rPr>
          <w:spacing w:val="-12"/>
        </w:rPr>
        <w:t> </w:t>
      </w:r>
      <w:r>
        <w:rPr>
          <w:spacing w:val="-2"/>
        </w:rPr>
        <w:t>are</w:t>
      </w:r>
      <w:r>
        <w:rPr>
          <w:spacing w:val="-12"/>
        </w:rPr>
        <w:t> </w:t>
      </w:r>
      <w:r>
        <w:rPr>
          <w:spacing w:val="-2"/>
        </w:rPr>
        <w:t>required</w:t>
      </w:r>
      <w:r>
        <w:rPr>
          <w:spacing w:val="-12"/>
        </w:rPr>
        <w:t> </w:t>
      </w:r>
      <w:r>
        <w:rPr>
          <w:spacing w:val="-2"/>
        </w:rPr>
        <w:t>to</w:t>
      </w:r>
      <w:r>
        <w:rPr>
          <w:spacing w:val="-11"/>
        </w:rPr>
        <w:t> </w:t>
      </w:r>
      <w:r>
        <w:rPr>
          <w:spacing w:val="-2"/>
        </w:rPr>
        <w:t>develop</w:t>
      </w:r>
      <w:r>
        <w:rPr>
          <w:spacing w:val="-12"/>
        </w:rPr>
        <w:t> </w:t>
      </w:r>
      <w:r>
        <w:rPr>
          <w:spacing w:val="-2"/>
        </w:rPr>
        <w:t>such</w:t>
      </w:r>
      <w:r>
        <w:rPr>
          <w:spacing w:val="-12"/>
        </w:rPr>
        <w:t> </w:t>
      </w:r>
      <w:r>
        <w:rPr>
          <w:spacing w:val="-2"/>
        </w:rPr>
        <w:t>a</w:t>
      </w:r>
      <w:r>
        <w:rPr>
          <w:spacing w:val="-12"/>
        </w:rPr>
        <w:t> </w:t>
      </w:r>
      <w:r>
        <w:rPr>
          <w:spacing w:val="-2"/>
        </w:rPr>
        <w:t>serious</w:t>
      </w:r>
      <w:r>
        <w:rPr>
          <w:spacing w:val="-11"/>
        </w:rPr>
        <w:t> </w:t>
      </w:r>
      <w:r>
        <w:rPr>
          <w:spacing w:val="-2"/>
        </w:rPr>
        <w:t>culture </w:t>
      </w:r>
      <w:r>
        <w:rPr/>
        <w:t>of</w:t>
      </w:r>
      <w:r>
        <w:rPr>
          <w:spacing w:val="-4"/>
        </w:rPr>
        <w:t> </w:t>
      </w:r>
      <w:r>
        <w:rPr/>
        <w:t>research:</w:t>
      </w:r>
      <w:r>
        <w:rPr>
          <w:spacing w:val="-4"/>
        </w:rPr>
        <w:t> </w:t>
      </w:r>
      <w:r>
        <w:rPr/>
        <w:t>emphasising</w:t>
      </w:r>
      <w:r>
        <w:rPr>
          <w:spacing w:val="-4"/>
        </w:rPr>
        <w:t> </w:t>
      </w:r>
      <w:r>
        <w:rPr/>
        <w:t>analytical</w:t>
      </w:r>
      <w:r>
        <w:rPr>
          <w:spacing w:val="-4"/>
        </w:rPr>
        <w:t> </w:t>
      </w:r>
      <w:r>
        <w:rPr/>
        <w:t>writing</w:t>
      </w:r>
      <w:r>
        <w:rPr>
          <w:spacing w:val="-4"/>
        </w:rPr>
        <w:t> </w:t>
      </w:r>
      <w:r>
        <w:rPr/>
        <w:t>skills</w:t>
      </w:r>
      <w:r>
        <w:rPr>
          <w:spacing w:val="-4"/>
        </w:rPr>
        <w:t> </w:t>
      </w:r>
      <w:r>
        <w:rPr/>
        <w:t>and research</w:t>
      </w:r>
      <w:r>
        <w:rPr>
          <w:spacing w:val="-5"/>
        </w:rPr>
        <w:t> </w:t>
      </w:r>
      <w:r>
        <w:rPr/>
        <w:t>methodology</w:t>
      </w:r>
      <w:r>
        <w:rPr>
          <w:spacing w:val="-5"/>
        </w:rPr>
        <w:t> </w:t>
      </w:r>
      <w:r>
        <w:rPr/>
        <w:t>as</w:t>
      </w:r>
      <w:r>
        <w:rPr>
          <w:spacing w:val="-5"/>
        </w:rPr>
        <w:t> </w:t>
      </w:r>
      <w:r>
        <w:rPr/>
        <w:t>integral</w:t>
      </w:r>
      <w:r>
        <w:rPr>
          <w:spacing w:val="-5"/>
        </w:rPr>
        <w:t> </w:t>
      </w:r>
      <w:r>
        <w:rPr/>
        <w:t>aspects</w:t>
      </w:r>
      <w:r>
        <w:rPr>
          <w:spacing w:val="-5"/>
        </w:rPr>
        <w:t> </w:t>
      </w:r>
      <w:r>
        <w:rPr/>
        <w:t>of</w:t>
      </w:r>
      <w:r>
        <w:rPr>
          <w:spacing w:val="-5"/>
        </w:rPr>
        <w:t> </w:t>
      </w:r>
      <w:r>
        <w:rPr/>
        <w:t>the</w:t>
      </w:r>
      <w:r>
        <w:rPr>
          <w:spacing w:val="-5"/>
        </w:rPr>
        <w:t> </w:t>
      </w:r>
      <w:r>
        <w:rPr/>
        <w:t>LL.B program; creating excellent infrastructure (including research friendly library facilities, availability of computers and Internet; digitisation of case law; access</w:t>
      </w:r>
      <w:r>
        <w:rPr>
          <w:spacing w:val="-2"/>
        </w:rPr>
        <w:t> </w:t>
      </w:r>
      <w:r>
        <w:rPr/>
        <w:t>to</w:t>
      </w:r>
      <w:r>
        <w:rPr>
          <w:spacing w:val="-2"/>
        </w:rPr>
        <w:t> </w:t>
      </w:r>
      <w:r>
        <w:rPr/>
        <w:t>latest</w:t>
      </w:r>
      <w:r>
        <w:rPr>
          <w:spacing w:val="-2"/>
        </w:rPr>
        <w:t> </w:t>
      </w:r>
      <w:r>
        <w:rPr/>
        <w:t>journals</w:t>
      </w:r>
      <w:r>
        <w:rPr>
          <w:spacing w:val="-2"/>
        </w:rPr>
        <w:t> </w:t>
      </w:r>
      <w:r>
        <w:rPr/>
        <w:t>and</w:t>
      </w:r>
      <w:r>
        <w:rPr>
          <w:spacing w:val="-2"/>
        </w:rPr>
        <w:t> </w:t>
      </w:r>
      <w:r>
        <w:rPr/>
        <w:t>legal</w:t>
      </w:r>
      <w:r>
        <w:rPr>
          <w:spacing w:val="-2"/>
        </w:rPr>
        <w:t> </w:t>
      </w:r>
      <w:r>
        <w:rPr/>
        <w:t>databases</w:t>
      </w:r>
      <w:r>
        <w:rPr>
          <w:spacing w:val="-2"/>
        </w:rPr>
        <w:t> </w:t>
      </w:r>
      <w:r>
        <w:rPr/>
        <w:t>available worldwide);</w:t>
      </w:r>
      <w:r>
        <w:rPr>
          <w:spacing w:val="30"/>
        </w:rPr>
        <w:t> </w:t>
      </w:r>
      <w:r>
        <w:rPr/>
        <w:t>rationalising</w:t>
      </w:r>
      <w:r>
        <w:rPr>
          <w:spacing w:val="30"/>
        </w:rPr>
        <w:t> </w:t>
      </w:r>
      <w:r>
        <w:rPr/>
        <w:t>the</w:t>
      </w:r>
      <w:r>
        <w:rPr>
          <w:spacing w:val="30"/>
        </w:rPr>
        <w:t> </w:t>
      </w:r>
      <w:r>
        <w:rPr/>
        <w:t>teaching</w:t>
      </w:r>
      <w:r>
        <w:rPr>
          <w:spacing w:val="30"/>
        </w:rPr>
        <w:t> </w:t>
      </w:r>
      <w:r>
        <w:rPr/>
        <w:t>load</w:t>
      </w:r>
      <w:r>
        <w:rPr>
          <w:spacing w:val="30"/>
        </w:rPr>
        <w:t> </w:t>
      </w:r>
      <w:r>
        <w:rPr/>
        <w:t>to</w:t>
      </w:r>
      <w:r>
        <w:rPr>
          <w:spacing w:val="30"/>
        </w:rPr>
        <w:t> </w:t>
      </w:r>
      <w:r>
        <w:rPr>
          <w:spacing w:val="-6"/>
        </w:rPr>
        <w:t>leave</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77"/>
        <w:ind w:left="1080"/>
        <w:jc w:val="both"/>
      </w:pPr>
      <w:r>
        <w:rPr/>
        <w:t>faculty</w:t>
      </w:r>
      <w:r>
        <w:rPr>
          <w:spacing w:val="-14"/>
        </w:rPr>
        <w:t> </w:t>
      </w:r>
      <w:r>
        <w:rPr/>
        <w:t>members</w:t>
      </w:r>
      <w:r>
        <w:rPr>
          <w:spacing w:val="-14"/>
        </w:rPr>
        <w:t> </w:t>
      </w:r>
      <w:r>
        <w:rPr/>
        <w:t>sufficient</w:t>
      </w:r>
      <w:r>
        <w:rPr>
          <w:spacing w:val="-14"/>
        </w:rPr>
        <w:t> </w:t>
      </w:r>
      <w:r>
        <w:rPr/>
        <w:t>time</w:t>
      </w:r>
      <w:r>
        <w:rPr>
          <w:spacing w:val="-13"/>
        </w:rPr>
        <w:t> </w:t>
      </w:r>
      <w:r>
        <w:rPr/>
        <w:t>for</w:t>
      </w:r>
      <w:r>
        <w:rPr>
          <w:spacing w:val="-14"/>
        </w:rPr>
        <w:t> </w:t>
      </w:r>
      <w:r>
        <w:rPr/>
        <w:t>research;</w:t>
      </w:r>
      <w:r>
        <w:rPr>
          <w:spacing w:val="-14"/>
        </w:rPr>
        <w:t> </w:t>
      </w:r>
      <w:r>
        <w:rPr/>
        <w:t>granting sabbatical leave to faculty to undertake research; </w:t>
      </w:r>
      <w:r>
        <w:rPr>
          <w:spacing w:val="-2"/>
        </w:rPr>
        <w:t>creating</w:t>
      </w:r>
      <w:r>
        <w:rPr>
          <w:spacing w:val="-5"/>
        </w:rPr>
        <w:t> </w:t>
      </w:r>
      <w:r>
        <w:rPr>
          <w:spacing w:val="-2"/>
        </w:rPr>
        <w:t>incentives</w:t>
      </w:r>
      <w:r>
        <w:rPr>
          <w:spacing w:val="-5"/>
        </w:rPr>
        <w:t> </w:t>
      </w:r>
      <w:r>
        <w:rPr>
          <w:spacing w:val="-2"/>
        </w:rPr>
        <w:t>if</w:t>
      </w:r>
      <w:r>
        <w:rPr>
          <w:spacing w:val="-5"/>
        </w:rPr>
        <w:t> </w:t>
      </w:r>
      <w:r>
        <w:rPr>
          <w:spacing w:val="-2"/>
        </w:rPr>
        <w:t>research</w:t>
      </w:r>
      <w:r>
        <w:rPr>
          <w:spacing w:val="-5"/>
        </w:rPr>
        <w:t> </w:t>
      </w:r>
      <w:r>
        <w:rPr>
          <w:spacing w:val="-2"/>
        </w:rPr>
        <w:t>results</w:t>
      </w:r>
      <w:r>
        <w:rPr>
          <w:spacing w:val="-5"/>
        </w:rPr>
        <w:t> </w:t>
      </w:r>
      <w:r>
        <w:rPr>
          <w:spacing w:val="-2"/>
        </w:rPr>
        <w:t>in</w:t>
      </w:r>
      <w:r>
        <w:rPr>
          <w:spacing w:val="-5"/>
        </w:rPr>
        <w:t> </w:t>
      </w:r>
      <w:r>
        <w:rPr>
          <w:spacing w:val="-2"/>
        </w:rPr>
        <w:t>peer</w:t>
      </w:r>
      <w:r>
        <w:rPr>
          <w:spacing w:val="-5"/>
        </w:rPr>
        <w:t> </w:t>
      </w:r>
      <w:r>
        <w:rPr>
          <w:spacing w:val="-2"/>
        </w:rPr>
        <w:t>reviewed </w:t>
      </w:r>
      <w:r>
        <w:rPr/>
        <w:t>publications, either through additional </w:t>
      </w:r>
      <w:r>
        <w:rPr/>
        <w:t>increments (beyond</w:t>
      </w:r>
      <w:r>
        <w:rPr>
          <w:spacing w:val="-13"/>
        </w:rPr>
        <w:t> </w:t>
      </w:r>
      <w:r>
        <w:rPr/>
        <w:t>the</w:t>
      </w:r>
      <w:r>
        <w:rPr>
          <w:spacing w:val="-13"/>
        </w:rPr>
        <w:t> </w:t>
      </w:r>
      <w:r>
        <w:rPr/>
        <w:t>UGC</w:t>
      </w:r>
      <w:r>
        <w:rPr>
          <w:spacing w:val="-13"/>
        </w:rPr>
        <w:t> </w:t>
      </w:r>
      <w:r>
        <w:rPr/>
        <w:t>scheme)</w:t>
      </w:r>
      <w:r>
        <w:rPr>
          <w:spacing w:val="-13"/>
        </w:rPr>
        <w:t> </w:t>
      </w:r>
      <w:r>
        <w:rPr/>
        <w:t>or</w:t>
      </w:r>
      <w:r>
        <w:rPr>
          <w:spacing w:val="-13"/>
        </w:rPr>
        <w:t> </w:t>
      </w:r>
      <w:r>
        <w:rPr/>
        <w:t>in</w:t>
      </w:r>
      <w:r>
        <w:rPr>
          <w:spacing w:val="-13"/>
        </w:rPr>
        <w:t> </w:t>
      </w:r>
      <w:r>
        <w:rPr/>
        <w:t>any</w:t>
      </w:r>
      <w:r>
        <w:rPr>
          <w:spacing w:val="-13"/>
        </w:rPr>
        <w:t> </w:t>
      </w:r>
      <w:r>
        <w:rPr/>
        <w:t>other</w:t>
      </w:r>
      <w:r>
        <w:rPr>
          <w:spacing w:val="-13"/>
        </w:rPr>
        <w:t> </w:t>
      </w:r>
      <w:r>
        <w:rPr/>
        <w:t>appropriate manner; institutionalising periodic faculty seminars; </w:t>
      </w:r>
      <w:r>
        <w:rPr>
          <w:w w:val="90"/>
        </w:rPr>
        <w:t>establishing quality peer-reviewed journals; prescribing </w:t>
      </w:r>
      <w:r>
        <w:rPr/>
        <w:t>research output as one of the criteria for promotion; creating a database of citations to identify the most cited and influential writings as well as considering such data for promotion purposes; establishing prerequisites such as a mandatory dissertation in the LL.M program, a pre-registration presentation and a course</w:t>
      </w:r>
      <w:r>
        <w:rPr>
          <w:spacing w:val="-14"/>
        </w:rPr>
        <w:t> </w:t>
      </w:r>
      <w:r>
        <w:rPr/>
        <w:t>in</w:t>
      </w:r>
      <w:r>
        <w:rPr>
          <w:spacing w:val="-14"/>
        </w:rPr>
        <w:t> </w:t>
      </w:r>
      <w:r>
        <w:rPr/>
        <w:t>methodology</w:t>
      </w:r>
      <w:r>
        <w:rPr>
          <w:spacing w:val="-13"/>
        </w:rPr>
        <w:t> </w:t>
      </w:r>
      <w:r>
        <w:rPr/>
        <w:t>for</w:t>
      </w:r>
      <w:r>
        <w:rPr>
          <w:spacing w:val="-14"/>
        </w:rPr>
        <w:t> </w:t>
      </w:r>
      <w:r>
        <w:rPr/>
        <w:t>M.Phil</w:t>
      </w:r>
      <w:r>
        <w:rPr>
          <w:spacing w:val="-14"/>
        </w:rPr>
        <w:t> </w:t>
      </w:r>
      <w:r>
        <w:rPr/>
        <w:t>and</w:t>
      </w:r>
      <w:r>
        <w:rPr>
          <w:spacing w:val="-13"/>
        </w:rPr>
        <w:t> </w:t>
      </w:r>
      <w:r>
        <w:rPr/>
        <w:t>Ph.D</w:t>
      </w:r>
      <w:r>
        <w:rPr>
          <w:spacing w:val="-14"/>
        </w:rPr>
        <w:t> </w:t>
      </w:r>
      <w:r>
        <w:rPr/>
        <w:t>programs respectively; and establishing four new centres for advanced legal research.</w:t>
      </w:r>
    </w:p>
    <w:p>
      <w:pPr>
        <w:pStyle w:val="Heading6"/>
        <w:numPr>
          <w:ilvl w:val="1"/>
          <w:numId w:val="26"/>
        </w:numPr>
        <w:tabs>
          <w:tab w:pos="1404" w:val="left" w:leader="none"/>
          <w:tab w:pos="1406" w:val="left" w:leader="none"/>
        </w:tabs>
        <w:spacing w:line="182" w:lineRule="auto" w:before="246" w:after="0"/>
        <w:ind w:left="1406" w:right="242" w:hanging="327"/>
        <w:jc w:val="left"/>
      </w:pPr>
      <w:r>
        <w:rPr>
          <w:color w:val="2E614A"/>
          <w:spacing w:val="-6"/>
        </w:rPr>
        <w:t>Centres</w:t>
      </w:r>
      <w:r>
        <w:rPr>
          <w:color w:val="2E614A"/>
          <w:spacing w:val="-14"/>
        </w:rPr>
        <w:t> </w:t>
      </w:r>
      <w:r>
        <w:rPr>
          <w:color w:val="2E614A"/>
          <w:spacing w:val="-6"/>
        </w:rPr>
        <w:t>for</w:t>
      </w:r>
      <w:r>
        <w:rPr>
          <w:color w:val="2E614A"/>
          <w:spacing w:val="-14"/>
        </w:rPr>
        <w:t> </w:t>
      </w:r>
      <w:r>
        <w:rPr>
          <w:color w:val="2E614A"/>
          <w:spacing w:val="-6"/>
        </w:rPr>
        <w:t>Advanced</w:t>
      </w:r>
      <w:r>
        <w:rPr>
          <w:color w:val="2E614A"/>
          <w:spacing w:val="-14"/>
        </w:rPr>
        <w:t> </w:t>
      </w:r>
      <w:r>
        <w:rPr>
          <w:color w:val="2E614A"/>
          <w:spacing w:val="-6"/>
        </w:rPr>
        <w:t>Legal </w:t>
      </w:r>
      <w:r>
        <w:rPr>
          <w:color w:val="2E614A"/>
          <w:w w:val="90"/>
        </w:rPr>
        <w:t>Studies</w:t>
      </w:r>
      <w:r>
        <w:rPr>
          <w:color w:val="2E614A"/>
          <w:spacing w:val="-1"/>
          <w:w w:val="90"/>
        </w:rPr>
        <w:t> </w:t>
      </w:r>
      <w:r>
        <w:rPr>
          <w:color w:val="2E614A"/>
          <w:w w:val="90"/>
        </w:rPr>
        <w:t>and</w:t>
      </w:r>
      <w:r>
        <w:rPr>
          <w:color w:val="2E614A"/>
          <w:spacing w:val="-1"/>
          <w:w w:val="90"/>
        </w:rPr>
        <w:t> </w:t>
      </w:r>
      <w:r>
        <w:rPr>
          <w:color w:val="2E614A"/>
          <w:w w:val="90"/>
        </w:rPr>
        <w:t>Research</w:t>
      </w:r>
      <w:r>
        <w:rPr>
          <w:color w:val="2E614A"/>
          <w:spacing w:val="-1"/>
          <w:w w:val="90"/>
        </w:rPr>
        <w:t> </w:t>
      </w:r>
      <w:r>
        <w:rPr>
          <w:color w:val="2E614A"/>
          <w:w w:val="90"/>
        </w:rPr>
        <w:t>(CALSAR)</w:t>
      </w:r>
    </w:p>
    <w:p>
      <w:pPr>
        <w:pStyle w:val="BodyText"/>
        <w:spacing w:line="266" w:lineRule="auto" w:before="302"/>
        <w:ind w:left="1080"/>
        <w:jc w:val="both"/>
      </w:pPr>
      <w:r>
        <w:rPr>
          <w:spacing w:val="-6"/>
        </w:rPr>
        <w:t>There</w:t>
      </w:r>
      <w:r>
        <w:rPr>
          <w:spacing w:val="-8"/>
        </w:rPr>
        <w:t> </w:t>
      </w:r>
      <w:r>
        <w:rPr>
          <w:spacing w:val="-6"/>
        </w:rPr>
        <w:t>is</w:t>
      </w:r>
      <w:r>
        <w:rPr>
          <w:spacing w:val="-8"/>
        </w:rPr>
        <w:t> </w:t>
      </w:r>
      <w:r>
        <w:rPr>
          <w:spacing w:val="-6"/>
        </w:rPr>
        <w:t>need</w:t>
      </w:r>
      <w:r>
        <w:rPr>
          <w:spacing w:val="-8"/>
        </w:rPr>
        <w:t> </w:t>
      </w:r>
      <w:r>
        <w:rPr>
          <w:spacing w:val="-6"/>
        </w:rPr>
        <w:t>to</w:t>
      </w:r>
      <w:r>
        <w:rPr>
          <w:spacing w:val="-7"/>
        </w:rPr>
        <w:t> </w:t>
      </w:r>
      <w:r>
        <w:rPr>
          <w:spacing w:val="-6"/>
        </w:rPr>
        <w:t>set</w:t>
      </w:r>
      <w:r>
        <w:rPr>
          <w:spacing w:val="-8"/>
        </w:rPr>
        <w:t> </w:t>
      </w:r>
      <w:r>
        <w:rPr>
          <w:spacing w:val="-6"/>
        </w:rPr>
        <w:t>up</w:t>
      </w:r>
      <w:r>
        <w:rPr>
          <w:spacing w:val="-8"/>
        </w:rPr>
        <w:t> </w:t>
      </w:r>
      <w:r>
        <w:rPr>
          <w:spacing w:val="-6"/>
        </w:rPr>
        <w:t>four</w:t>
      </w:r>
      <w:r>
        <w:rPr>
          <w:spacing w:val="-8"/>
        </w:rPr>
        <w:t> </w:t>
      </w:r>
      <w:r>
        <w:rPr>
          <w:spacing w:val="-6"/>
        </w:rPr>
        <w:t>autonomous,</w:t>
      </w:r>
      <w:r>
        <w:rPr>
          <w:spacing w:val="-7"/>
        </w:rPr>
        <w:t> </w:t>
      </w:r>
      <w:r>
        <w:rPr>
          <w:spacing w:val="-6"/>
        </w:rPr>
        <w:t>well</w:t>
      </w:r>
      <w:r>
        <w:rPr>
          <w:spacing w:val="-8"/>
        </w:rPr>
        <w:t> </w:t>
      </w:r>
      <w:r>
        <w:rPr>
          <w:spacing w:val="-6"/>
        </w:rPr>
        <w:t>networked </w:t>
      </w:r>
      <w:r>
        <w:rPr/>
        <w:t>Centres for Advanced Legal Studies and </w:t>
      </w:r>
      <w:r>
        <w:rPr/>
        <w:t>Research (CALSAR), one in each region, to carry out cutting edge</w:t>
      </w:r>
      <w:r>
        <w:rPr>
          <w:spacing w:val="-14"/>
        </w:rPr>
        <w:t> </w:t>
      </w:r>
      <w:r>
        <w:rPr/>
        <w:t>research</w:t>
      </w:r>
      <w:r>
        <w:rPr>
          <w:spacing w:val="-14"/>
        </w:rPr>
        <w:t> </w:t>
      </w:r>
      <w:r>
        <w:rPr/>
        <w:t>on</w:t>
      </w:r>
      <w:r>
        <w:rPr>
          <w:spacing w:val="-14"/>
        </w:rPr>
        <w:t> </w:t>
      </w:r>
      <w:r>
        <w:rPr/>
        <w:t>various</w:t>
      </w:r>
      <w:r>
        <w:rPr>
          <w:spacing w:val="-13"/>
        </w:rPr>
        <w:t> </w:t>
      </w:r>
      <w:r>
        <w:rPr/>
        <w:t>aspects</w:t>
      </w:r>
      <w:r>
        <w:rPr>
          <w:spacing w:val="-14"/>
        </w:rPr>
        <w:t> </w:t>
      </w:r>
      <w:r>
        <w:rPr/>
        <w:t>of</w:t>
      </w:r>
      <w:r>
        <w:rPr>
          <w:spacing w:val="-14"/>
        </w:rPr>
        <w:t> </w:t>
      </w:r>
      <w:r>
        <w:rPr/>
        <w:t>law</w:t>
      </w:r>
      <w:r>
        <w:rPr>
          <w:spacing w:val="-14"/>
        </w:rPr>
        <w:t> </w:t>
      </w:r>
      <w:r>
        <w:rPr/>
        <w:t>and</w:t>
      </w:r>
      <w:r>
        <w:rPr>
          <w:spacing w:val="-13"/>
        </w:rPr>
        <w:t> </w:t>
      </w:r>
      <w:r>
        <w:rPr/>
        <w:t>also</w:t>
      </w:r>
      <w:r>
        <w:rPr>
          <w:spacing w:val="-14"/>
        </w:rPr>
        <w:t> </w:t>
      </w:r>
      <w:r>
        <w:rPr/>
        <w:t>serve </w:t>
      </w:r>
      <w:r>
        <w:rPr>
          <w:spacing w:val="-2"/>
        </w:rPr>
        <w:t>as</w:t>
      </w:r>
      <w:r>
        <w:rPr>
          <w:spacing w:val="-10"/>
        </w:rPr>
        <w:t> </w:t>
      </w:r>
      <w:r>
        <w:rPr>
          <w:spacing w:val="-2"/>
        </w:rPr>
        <w:t>a</w:t>
      </w:r>
      <w:r>
        <w:rPr>
          <w:spacing w:val="-10"/>
        </w:rPr>
        <w:t> </w:t>
      </w:r>
      <w:r>
        <w:rPr>
          <w:spacing w:val="-2"/>
        </w:rPr>
        <w:t>think-tank</w:t>
      </w:r>
      <w:r>
        <w:rPr>
          <w:spacing w:val="-10"/>
        </w:rPr>
        <w:t> </w:t>
      </w:r>
      <w:r>
        <w:rPr>
          <w:spacing w:val="-2"/>
        </w:rPr>
        <w:t>for</w:t>
      </w:r>
      <w:r>
        <w:rPr>
          <w:spacing w:val="-10"/>
        </w:rPr>
        <w:t> </w:t>
      </w:r>
      <w:r>
        <w:rPr>
          <w:spacing w:val="-2"/>
        </w:rPr>
        <w:t>advising</w:t>
      </w:r>
      <w:r>
        <w:rPr>
          <w:spacing w:val="-10"/>
        </w:rPr>
        <w:t> </w:t>
      </w:r>
      <w:r>
        <w:rPr>
          <w:spacing w:val="-2"/>
        </w:rPr>
        <w:t>the</w:t>
      </w:r>
      <w:r>
        <w:rPr>
          <w:spacing w:val="-10"/>
        </w:rPr>
        <w:t> </w:t>
      </w:r>
      <w:r>
        <w:rPr>
          <w:spacing w:val="-2"/>
        </w:rPr>
        <w:t>government</w:t>
      </w:r>
      <w:r>
        <w:rPr>
          <w:spacing w:val="-10"/>
        </w:rPr>
        <w:t> </w:t>
      </w:r>
      <w:r>
        <w:rPr>
          <w:spacing w:val="-2"/>
        </w:rPr>
        <w:t>in</w:t>
      </w:r>
      <w:r>
        <w:rPr>
          <w:spacing w:val="-10"/>
        </w:rPr>
        <w:t> </w:t>
      </w:r>
      <w:r>
        <w:rPr>
          <w:spacing w:val="-2"/>
        </w:rPr>
        <w:t>national and</w:t>
      </w:r>
      <w:r>
        <w:rPr>
          <w:spacing w:val="-8"/>
        </w:rPr>
        <w:t> </w:t>
      </w:r>
      <w:r>
        <w:rPr>
          <w:spacing w:val="-2"/>
        </w:rPr>
        <w:t>international</w:t>
      </w:r>
      <w:r>
        <w:rPr>
          <w:spacing w:val="-6"/>
        </w:rPr>
        <w:t> </w:t>
      </w:r>
      <w:r>
        <w:rPr>
          <w:spacing w:val="-2"/>
        </w:rPr>
        <w:t>fora.</w:t>
      </w:r>
      <w:r>
        <w:rPr>
          <w:spacing w:val="-12"/>
        </w:rPr>
        <w:t> </w:t>
      </w:r>
      <w:r>
        <w:rPr>
          <w:spacing w:val="-2"/>
        </w:rPr>
        <w:t>The</w:t>
      </w:r>
      <w:r>
        <w:rPr>
          <w:spacing w:val="-6"/>
        </w:rPr>
        <w:t> </w:t>
      </w:r>
      <w:r>
        <w:rPr>
          <w:spacing w:val="-2"/>
        </w:rPr>
        <w:t>CALSARs</w:t>
      </w:r>
      <w:r>
        <w:rPr>
          <w:spacing w:val="-6"/>
        </w:rPr>
        <w:t> </w:t>
      </w:r>
      <w:r>
        <w:rPr>
          <w:spacing w:val="-2"/>
        </w:rPr>
        <w:t>would</w:t>
      </w:r>
      <w:r>
        <w:rPr>
          <w:spacing w:val="-6"/>
        </w:rPr>
        <w:t> </w:t>
      </w:r>
      <w:r>
        <w:rPr>
          <w:spacing w:val="-2"/>
        </w:rPr>
        <w:t>maintain </w:t>
      </w:r>
      <w:r>
        <w:rPr/>
        <w:t>adequate linkages and institutionalised interaction opportunities with law schools and universities, </w:t>
      </w:r>
      <w:r>
        <w:rPr>
          <w:spacing w:val="-2"/>
        </w:rPr>
        <w:t>including</w:t>
      </w:r>
      <w:r>
        <w:rPr>
          <w:spacing w:val="-10"/>
        </w:rPr>
        <w:t> </w:t>
      </w:r>
      <w:r>
        <w:rPr>
          <w:spacing w:val="-2"/>
        </w:rPr>
        <w:t>continuing</w:t>
      </w:r>
      <w:r>
        <w:rPr>
          <w:spacing w:val="-10"/>
        </w:rPr>
        <w:t> </w:t>
      </w:r>
      <w:r>
        <w:rPr>
          <w:spacing w:val="-2"/>
        </w:rPr>
        <w:t>legal</w:t>
      </w:r>
      <w:r>
        <w:rPr>
          <w:spacing w:val="-10"/>
        </w:rPr>
        <w:t> </w:t>
      </w:r>
      <w:r>
        <w:rPr>
          <w:spacing w:val="-2"/>
        </w:rPr>
        <w:t>education</w:t>
      </w:r>
      <w:r>
        <w:rPr>
          <w:spacing w:val="-10"/>
        </w:rPr>
        <w:t> </w:t>
      </w:r>
      <w:r>
        <w:rPr>
          <w:spacing w:val="-2"/>
        </w:rPr>
        <w:t>for</w:t>
      </w:r>
      <w:r>
        <w:rPr>
          <w:spacing w:val="-10"/>
        </w:rPr>
        <w:t> </w:t>
      </w:r>
      <w:r>
        <w:rPr>
          <w:spacing w:val="-2"/>
        </w:rPr>
        <w:t>faculty.</w:t>
      </w:r>
      <w:r>
        <w:rPr>
          <w:spacing w:val="-10"/>
        </w:rPr>
        <w:t> </w:t>
      </w:r>
      <w:r>
        <w:rPr>
          <w:spacing w:val="-2"/>
        </w:rPr>
        <w:t>Some other</w:t>
      </w:r>
      <w:r>
        <w:rPr>
          <w:spacing w:val="-8"/>
        </w:rPr>
        <w:t> </w:t>
      </w:r>
      <w:r>
        <w:rPr>
          <w:spacing w:val="-2"/>
        </w:rPr>
        <w:t>specific</w:t>
      </w:r>
      <w:r>
        <w:rPr>
          <w:spacing w:val="-8"/>
        </w:rPr>
        <w:t> </w:t>
      </w:r>
      <w:r>
        <w:rPr>
          <w:spacing w:val="-2"/>
        </w:rPr>
        <w:t>functions</w:t>
      </w:r>
      <w:r>
        <w:rPr>
          <w:spacing w:val="-8"/>
        </w:rPr>
        <w:t> </w:t>
      </w:r>
      <w:r>
        <w:rPr>
          <w:spacing w:val="-2"/>
        </w:rPr>
        <w:t>and</w:t>
      </w:r>
      <w:r>
        <w:rPr>
          <w:spacing w:val="-8"/>
        </w:rPr>
        <w:t> </w:t>
      </w:r>
      <w:r>
        <w:rPr>
          <w:spacing w:val="-2"/>
        </w:rPr>
        <w:t>objectives</w:t>
      </w:r>
      <w:r>
        <w:rPr>
          <w:spacing w:val="-8"/>
        </w:rPr>
        <w:t> </w:t>
      </w:r>
      <w:r>
        <w:rPr>
          <w:spacing w:val="-2"/>
        </w:rPr>
        <w:t>of</w:t>
      </w:r>
      <w:r>
        <w:rPr>
          <w:spacing w:val="-8"/>
        </w:rPr>
        <w:t> </w:t>
      </w:r>
      <w:r>
        <w:rPr>
          <w:spacing w:val="-2"/>
        </w:rPr>
        <w:t>these</w:t>
      </w:r>
      <w:r>
        <w:rPr>
          <w:spacing w:val="-8"/>
        </w:rPr>
        <w:t> </w:t>
      </w:r>
      <w:r>
        <w:rPr>
          <w:spacing w:val="-2"/>
        </w:rPr>
        <w:t>centres </w:t>
      </w:r>
      <w:r>
        <w:rPr/>
        <w:t>would</w:t>
      </w:r>
      <w:r>
        <w:rPr>
          <w:spacing w:val="-2"/>
        </w:rPr>
        <w:t> </w:t>
      </w:r>
      <w:r>
        <w:rPr/>
        <w:t>include:</w:t>
      </w:r>
      <w:r>
        <w:rPr>
          <w:spacing w:val="-2"/>
        </w:rPr>
        <w:t> </w:t>
      </w:r>
      <w:r>
        <w:rPr/>
        <w:t>publishing</w:t>
      </w:r>
      <w:r>
        <w:rPr>
          <w:spacing w:val="-2"/>
        </w:rPr>
        <w:t> </w:t>
      </w:r>
      <w:r>
        <w:rPr/>
        <w:t>a</w:t>
      </w:r>
      <w:r>
        <w:rPr>
          <w:spacing w:val="-2"/>
        </w:rPr>
        <w:t> </w:t>
      </w:r>
      <w:r>
        <w:rPr/>
        <w:t>peer</w:t>
      </w:r>
      <w:r>
        <w:rPr>
          <w:spacing w:val="-2"/>
        </w:rPr>
        <w:t> </w:t>
      </w:r>
      <w:r>
        <w:rPr/>
        <w:t>reviewed</w:t>
      </w:r>
      <w:r>
        <w:rPr>
          <w:spacing w:val="-2"/>
        </w:rPr>
        <w:t> </w:t>
      </w:r>
      <w:r>
        <w:rPr/>
        <w:t>journal</w:t>
      </w:r>
      <w:r>
        <w:rPr>
          <w:spacing w:val="-2"/>
        </w:rPr>
        <w:t> </w:t>
      </w:r>
      <w:r>
        <w:rPr/>
        <w:t>of international quality; facilitating multi disciplinary approaches to law; institutionalising arrangements for scholars in residence; organising workshops and undertaking</w:t>
      </w:r>
      <w:r>
        <w:rPr>
          <w:spacing w:val="-13"/>
        </w:rPr>
        <w:t> </w:t>
      </w:r>
      <w:r>
        <w:rPr/>
        <w:t>in-depth</w:t>
      </w:r>
      <w:r>
        <w:rPr>
          <w:spacing w:val="-13"/>
        </w:rPr>
        <w:t> </w:t>
      </w:r>
      <w:r>
        <w:rPr/>
        <w:t>research</w:t>
      </w:r>
      <w:r>
        <w:rPr>
          <w:spacing w:val="-13"/>
        </w:rPr>
        <w:t> </w:t>
      </w:r>
      <w:r>
        <w:rPr/>
        <w:t>on</w:t>
      </w:r>
      <w:r>
        <w:rPr>
          <w:spacing w:val="-13"/>
        </w:rPr>
        <w:t> </w:t>
      </w:r>
      <w:r>
        <w:rPr/>
        <w:t>new</w:t>
      </w:r>
      <w:r>
        <w:rPr>
          <w:spacing w:val="-13"/>
        </w:rPr>
        <w:t> </w:t>
      </w:r>
      <w:r>
        <w:rPr/>
        <w:t>and</w:t>
      </w:r>
      <w:r>
        <w:rPr>
          <w:spacing w:val="-13"/>
        </w:rPr>
        <w:t> </w:t>
      </w:r>
      <w:r>
        <w:rPr/>
        <w:t>developing areas of law.</w:t>
      </w:r>
    </w:p>
    <w:p>
      <w:pPr>
        <w:pStyle w:val="BodyText"/>
        <w:spacing w:before="14"/>
      </w:pPr>
    </w:p>
    <w:p>
      <w:pPr>
        <w:pStyle w:val="BodyText"/>
        <w:spacing w:line="266" w:lineRule="auto"/>
        <w:ind w:left="1080"/>
        <w:jc w:val="both"/>
      </w:pPr>
      <w:r>
        <w:rPr/>
        <w:t>Each</w:t>
      </w:r>
      <w:r>
        <w:rPr>
          <w:spacing w:val="-12"/>
        </w:rPr>
        <w:t> </w:t>
      </w:r>
      <w:r>
        <w:rPr/>
        <w:t>CALSAR</w:t>
      </w:r>
      <w:r>
        <w:rPr>
          <w:spacing w:val="-12"/>
        </w:rPr>
        <w:t> </w:t>
      </w:r>
      <w:r>
        <w:rPr/>
        <w:t>would</w:t>
      </w:r>
      <w:r>
        <w:rPr>
          <w:spacing w:val="-12"/>
        </w:rPr>
        <w:t> </w:t>
      </w:r>
      <w:r>
        <w:rPr/>
        <w:t>require</w:t>
      </w:r>
      <w:r>
        <w:rPr>
          <w:spacing w:val="-12"/>
        </w:rPr>
        <w:t> </w:t>
      </w:r>
      <w:r>
        <w:rPr/>
        <w:t>an</w:t>
      </w:r>
      <w:r>
        <w:rPr>
          <w:spacing w:val="-12"/>
        </w:rPr>
        <w:t> </w:t>
      </w:r>
      <w:r>
        <w:rPr/>
        <w:t>initial</w:t>
      </w:r>
      <w:r>
        <w:rPr>
          <w:spacing w:val="-12"/>
        </w:rPr>
        <w:t> </w:t>
      </w:r>
      <w:r>
        <w:rPr/>
        <w:t>investment</w:t>
      </w:r>
      <w:r>
        <w:rPr>
          <w:spacing w:val="-12"/>
        </w:rPr>
        <w:t> </w:t>
      </w:r>
      <w:r>
        <w:rPr/>
        <w:t>of around Rs. 50 crore to build an academic complex, conference facilities, a world-class library and other infrastructure.</w:t>
      </w:r>
      <w:r>
        <w:rPr>
          <w:spacing w:val="-6"/>
        </w:rPr>
        <w:t> </w:t>
      </w:r>
      <w:r>
        <w:rPr/>
        <w:t>These institutes would also need to be provided with an annual budget to the tune of Rs. 5 </w:t>
      </w:r>
      <w:r>
        <w:rPr>
          <w:spacing w:val="-2"/>
        </w:rPr>
        <w:t>crore</w:t>
      </w:r>
      <w:r>
        <w:rPr>
          <w:spacing w:val="-12"/>
        </w:rPr>
        <w:t> </w:t>
      </w:r>
      <w:r>
        <w:rPr>
          <w:spacing w:val="-2"/>
        </w:rPr>
        <w:t>for</w:t>
      </w:r>
      <w:r>
        <w:rPr>
          <w:spacing w:val="-12"/>
        </w:rPr>
        <w:t> </w:t>
      </w:r>
      <w:r>
        <w:rPr>
          <w:spacing w:val="-2"/>
        </w:rPr>
        <w:t>salaries,</w:t>
      </w:r>
      <w:r>
        <w:rPr>
          <w:spacing w:val="-12"/>
        </w:rPr>
        <w:t> </w:t>
      </w:r>
      <w:r>
        <w:rPr>
          <w:spacing w:val="-2"/>
        </w:rPr>
        <w:t>fellowships,</w:t>
      </w:r>
      <w:r>
        <w:rPr>
          <w:spacing w:val="-11"/>
        </w:rPr>
        <w:t> </w:t>
      </w:r>
      <w:r>
        <w:rPr>
          <w:spacing w:val="-2"/>
        </w:rPr>
        <w:t>administrative</w:t>
      </w:r>
      <w:r>
        <w:rPr>
          <w:spacing w:val="-12"/>
        </w:rPr>
        <w:t> </w:t>
      </w:r>
      <w:r>
        <w:rPr>
          <w:spacing w:val="-2"/>
        </w:rPr>
        <w:t>expenses </w:t>
      </w:r>
      <w:r>
        <w:rPr/>
        <w:t>and related expenses. The initial investment and </w:t>
      </w:r>
      <w:r>
        <w:rPr/>
        <w:t>the annual budgets should be borne by the central and respective state governments (that would host the CALSAR) respectively, but the CALSARs should gradually aim at financial self-sustenance, through innovative financial methods.</w:t>
      </w:r>
    </w:p>
    <w:p>
      <w:pPr>
        <w:pStyle w:val="Heading6"/>
        <w:numPr>
          <w:ilvl w:val="1"/>
          <w:numId w:val="26"/>
        </w:numPr>
        <w:tabs>
          <w:tab w:pos="644" w:val="left" w:leader="none"/>
        </w:tabs>
        <w:spacing w:line="240" w:lineRule="auto" w:before="57" w:after="0"/>
        <w:ind w:left="644" w:right="0" w:hanging="325"/>
        <w:jc w:val="left"/>
      </w:pPr>
      <w:r>
        <w:rPr>
          <w:b w:val="0"/>
        </w:rPr>
        <w:br w:type="column"/>
      </w:r>
      <w:r>
        <w:rPr>
          <w:color w:val="2E614A"/>
          <w:w w:val="90"/>
        </w:rPr>
        <w:t>Financing</w:t>
      </w:r>
      <w:r>
        <w:rPr>
          <w:color w:val="2E614A"/>
          <w:spacing w:val="7"/>
        </w:rPr>
        <w:t> </w:t>
      </w:r>
      <w:r>
        <w:rPr>
          <w:color w:val="2E614A"/>
          <w:w w:val="90"/>
        </w:rPr>
        <w:t>of</w:t>
      </w:r>
      <w:r>
        <w:rPr>
          <w:color w:val="2E614A"/>
          <w:spacing w:val="7"/>
        </w:rPr>
        <w:t> </w:t>
      </w:r>
      <w:r>
        <w:rPr>
          <w:color w:val="2E614A"/>
          <w:w w:val="90"/>
        </w:rPr>
        <w:t>Legal</w:t>
      </w:r>
      <w:r>
        <w:rPr>
          <w:color w:val="2E614A"/>
          <w:spacing w:val="8"/>
        </w:rPr>
        <w:t> </w:t>
      </w:r>
      <w:r>
        <w:rPr>
          <w:color w:val="2E614A"/>
          <w:spacing w:val="-2"/>
          <w:w w:val="90"/>
        </w:rPr>
        <w:t>Education</w:t>
      </w:r>
    </w:p>
    <w:p>
      <w:pPr>
        <w:pStyle w:val="BodyText"/>
        <w:spacing w:line="266" w:lineRule="auto" w:before="257"/>
        <w:ind w:left="319" w:right="1077"/>
        <w:jc w:val="both"/>
      </w:pPr>
      <w:r>
        <w:rPr>
          <w:spacing w:val="-8"/>
        </w:rPr>
        <w:t>It</w:t>
      </w:r>
      <w:r>
        <w:rPr>
          <w:spacing w:val="-2"/>
        </w:rPr>
        <w:t> </w:t>
      </w:r>
      <w:r>
        <w:rPr>
          <w:spacing w:val="-8"/>
        </w:rPr>
        <w:t>is</w:t>
      </w:r>
      <w:r>
        <w:rPr>
          <w:spacing w:val="-2"/>
        </w:rPr>
        <w:t> </w:t>
      </w:r>
      <w:r>
        <w:rPr>
          <w:spacing w:val="-8"/>
        </w:rPr>
        <w:t>for</w:t>
      </w:r>
      <w:r>
        <w:rPr>
          <w:spacing w:val="-2"/>
        </w:rPr>
        <w:t> </w:t>
      </w:r>
      <w:r>
        <w:rPr>
          <w:spacing w:val="-8"/>
        </w:rPr>
        <w:t>law</w:t>
      </w:r>
      <w:r>
        <w:rPr>
          <w:spacing w:val="-2"/>
        </w:rPr>
        <w:t> </w:t>
      </w:r>
      <w:r>
        <w:rPr>
          <w:spacing w:val="-8"/>
        </w:rPr>
        <w:t>schools</w:t>
      </w:r>
      <w:r>
        <w:rPr>
          <w:spacing w:val="-2"/>
        </w:rPr>
        <w:t> </w:t>
      </w:r>
      <w:r>
        <w:rPr>
          <w:spacing w:val="-8"/>
        </w:rPr>
        <w:t>and</w:t>
      </w:r>
      <w:r>
        <w:rPr>
          <w:spacing w:val="-2"/>
        </w:rPr>
        <w:t> </w:t>
      </w:r>
      <w:r>
        <w:rPr>
          <w:spacing w:val="-8"/>
        </w:rPr>
        <w:t>universities</w:t>
      </w:r>
      <w:r>
        <w:rPr>
          <w:spacing w:val="-2"/>
        </w:rPr>
        <w:t> </w:t>
      </w:r>
      <w:r>
        <w:rPr>
          <w:spacing w:val="-8"/>
        </w:rPr>
        <w:t>to</w:t>
      </w:r>
      <w:r>
        <w:rPr>
          <w:spacing w:val="-2"/>
        </w:rPr>
        <w:t> </w:t>
      </w:r>
      <w:r>
        <w:rPr>
          <w:spacing w:val="-8"/>
        </w:rPr>
        <w:t>decide</w:t>
      </w:r>
      <w:r>
        <w:rPr>
          <w:spacing w:val="-2"/>
        </w:rPr>
        <w:t> </w:t>
      </w:r>
      <w:r>
        <w:rPr>
          <w:spacing w:val="-8"/>
        </w:rPr>
        <w:t>the</w:t>
      </w:r>
      <w:r>
        <w:rPr>
          <w:spacing w:val="-2"/>
        </w:rPr>
        <w:t> </w:t>
      </w:r>
      <w:r>
        <w:rPr>
          <w:spacing w:val="-8"/>
        </w:rPr>
        <w:t>level</w:t>
      </w:r>
      <w:r>
        <w:rPr>
          <w:spacing w:val="-2"/>
        </w:rPr>
        <w:t> </w:t>
      </w:r>
      <w:r>
        <w:rPr>
          <w:spacing w:val="-8"/>
        </w:rPr>
        <w:t>of </w:t>
      </w:r>
      <w:r>
        <w:rPr>
          <w:spacing w:val="-2"/>
        </w:rPr>
        <w:t>fees</w:t>
      </w:r>
      <w:r>
        <w:rPr>
          <w:spacing w:val="-14"/>
        </w:rPr>
        <w:t> </w:t>
      </w:r>
      <w:r>
        <w:rPr>
          <w:spacing w:val="-2"/>
        </w:rPr>
        <w:t>but</w:t>
      </w:r>
      <w:r>
        <w:rPr>
          <w:spacing w:val="-12"/>
        </w:rPr>
        <w:t> </w:t>
      </w:r>
      <w:r>
        <w:rPr>
          <w:spacing w:val="-2"/>
        </w:rPr>
        <w:t>as</w:t>
      </w:r>
      <w:r>
        <w:rPr>
          <w:spacing w:val="-12"/>
        </w:rPr>
        <w:t> </w:t>
      </w:r>
      <w:r>
        <w:rPr>
          <w:spacing w:val="-2"/>
        </w:rPr>
        <w:t>a</w:t>
      </w:r>
      <w:r>
        <w:rPr>
          <w:spacing w:val="-11"/>
        </w:rPr>
        <w:t> </w:t>
      </w:r>
      <w:r>
        <w:rPr>
          <w:spacing w:val="-2"/>
        </w:rPr>
        <w:t>norm,</w:t>
      </w:r>
      <w:r>
        <w:rPr>
          <w:spacing w:val="-12"/>
        </w:rPr>
        <w:t> </w:t>
      </w:r>
      <w:r>
        <w:rPr>
          <w:spacing w:val="-2"/>
        </w:rPr>
        <w:t>fees</w:t>
      </w:r>
      <w:r>
        <w:rPr>
          <w:spacing w:val="-12"/>
        </w:rPr>
        <w:t> </w:t>
      </w:r>
      <w:r>
        <w:rPr>
          <w:spacing w:val="-2"/>
        </w:rPr>
        <w:t>should</w:t>
      </w:r>
      <w:r>
        <w:rPr>
          <w:spacing w:val="-12"/>
        </w:rPr>
        <w:t> </w:t>
      </w:r>
      <w:r>
        <w:rPr>
          <w:spacing w:val="-2"/>
        </w:rPr>
        <w:t>meet</w:t>
      </w:r>
      <w:r>
        <w:rPr>
          <w:spacing w:val="-11"/>
        </w:rPr>
        <w:t> </w:t>
      </w:r>
      <w:r>
        <w:rPr>
          <w:spacing w:val="-2"/>
        </w:rPr>
        <w:t>at</w:t>
      </w:r>
      <w:r>
        <w:rPr>
          <w:spacing w:val="-12"/>
        </w:rPr>
        <w:t> </w:t>
      </w:r>
      <w:r>
        <w:rPr>
          <w:spacing w:val="-2"/>
        </w:rPr>
        <w:t>least</w:t>
      </w:r>
      <w:r>
        <w:rPr>
          <w:spacing w:val="-12"/>
        </w:rPr>
        <w:t> </w:t>
      </w:r>
      <w:r>
        <w:rPr>
          <w:spacing w:val="-2"/>
        </w:rPr>
        <w:t>20</w:t>
      </w:r>
      <w:r>
        <w:rPr>
          <w:spacing w:val="-12"/>
        </w:rPr>
        <w:t> </w:t>
      </w:r>
      <w:r>
        <w:rPr>
          <w:spacing w:val="-2"/>
        </w:rPr>
        <w:t>per</w:t>
      </w:r>
      <w:r>
        <w:rPr>
          <w:spacing w:val="-11"/>
        </w:rPr>
        <w:t> </w:t>
      </w:r>
      <w:r>
        <w:rPr>
          <w:spacing w:val="-2"/>
        </w:rPr>
        <w:t>cent </w:t>
      </w:r>
      <w:r>
        <w:rPr/>
        <w:t>of</w:t>
      </w:r>
      <w:r>
        <w:rPr>
          <w:spacing w:val="-14"/>
        </w:rPr>
        <w:t> </w:t>
      </w:r>
      <w:r>
        <w:rPr/>
        <w:t>the</w:t>
      </w:r>
      <w:r>
        <w:rPr>
          <w:spacing w:val="-10"/>
        </w:rPr>
        <w:t> </w:t>
      </w:r>
      <w:r>
        <w:rPr/>
        <w:t>total</w:t>
      </w:r>
      <w:r>
        <w:rPr>
          <w:spacing w:val="-11"/>
        </w:rPr>
        <w:t> </w:t>
      </w:r>
      <w:r>
        <w:rPr/>
        <w:t>expenditure</w:t>
      </w:r>
      <w:r>
        <w:rPr>
          <w:spacing w:val="-11"/>
        </w:rPr>
        <w:t> </w:t>
      </w:r>
      <w:r>
        <w:rPr/>
        <w:t>in</w:t>
      </w:r>
      <w:r>
        <w:rPr>
          <w:spacing w:val="-11"/>
        </w:rPr>
        <w:t> </w:t>
      </w:r>
      <w:r>
        <w:rPr/>
        <w:t>universities.</w:t>
      </w:r>
      <w:r>
        <w:rPr>
          <w:spacing w:val="-14"/>
        </w:rPr>
        <w:t> </w:t>
      </w:r>
      <w:r>
        <w:rPr/>
        <w:t>This</w:t>
      </w:r>
      <w:r>
        <w:rPr>
          <w:spacing w:val="-10"/>
        </w:rPr>
        <w:t> </w:t>
      </w:r>
      <w:r>
        <w:rPr/>
        <w:t>should</w:t>
      </w:r>
      <w:r>
        <w:rPr>
          <w:spacing w:val="-11"/>
        </w:rPr>
        <w:t> </w:t>
      </w:r>
      <w:r>
        <w:rPr/>
        <w:t>be subject</w:t>
      </w:r>
      <w:r>
        <w:rPr>
          <w:spacing w:val="-10"/>
        </w:rPr>
        <w:t> </w:t>
      </w:r>
      <w:r>
        <w:rPr/>
        <w:t>to</w:t>
      </w:r>
      <w:r>
        <w:rPr>
          <w:spacing w:val="-10"/>
        </w:rPr>
        <w:t> </w:t>
      </w:r>
      <w:r>
        <w:rPr/>
        <w:t>two</w:t>
      </w:r>
      <w:r>
        <w:rPr>
          <w:spacing w:val="-10"/>
        </w:rPr>
        <w:t> </w:t>
      </w:r>
      <w:r>
        <w:rPr/>
        <w:t>conditions:</w:t>
      </w:r>
      <w:r>
        <w:rPr>
          <w:spacing w:val="-10"/>
        </w:rPr>
        <w:t> </w:t>
      </w:r>
      <w:r>
        <w:rPr/>
        <w:t>first,</w:t>
      </w:r>
      <w:r>
        <w:rPr>
          <w:spacing w:val="-10"/>
        </w:rPr>
        <w:t> </w:t>
      </w:r>
      <w:r>
        <w:rPr/>
        <w:t>needy</w:t>
      </w:r>
      <w:r>
        <w:rPr>
          <w:spacing w:val="-10"/>
        </w:rPr>
        <w:t> </w:t>
      </w:r>
      <w:r>
        <w:rPr/>
        <w:t>students</w:t>
      </w:r>
      <w:r>
        <w:rPr>
          <w:spacing w:val="-10"/>
        </w:rPr>
        <w:t> </w:t>
      </w:r>
      <w:r>
        <w:rPr/>
        <w:t>should </w:t>
      </w:r>
      <w:r>
        <w:rPr>
          <w:spacing w:val="-4"/>
        </w:rPr>
        <w:t>be</w:t>
      </w:r>
      <w:r>
        <w:rPr>
          <w:spacing w:val="-6"/>
        </w:rPr>
        <w:t> </w:t>
      </w:r>
      <w:r>
        <w:rPr>
          <w:spacing w:val="-4"/>
        </w:rPr>
        <w:t>provided</w:t>
      </w:r>
      <w:r>
        <w:rPr>
          <w:spacing w:val="-6"/>
        </w:rPr>
        <w:t> </w:t>
      </w:r>
      <w:r>
        <w:rPr>
          <w:spacing w:val="-4"/>
        </w:rPr>
        <w:t>with</w:t>
      </w:r>
      <w:r>
        <w:rPr>
          <w:spacing w:val="-6"/>
        </w:rPr>
        <w:t> </w:t>
      </w:r>
      <w:r>
        <w:rPr>
          <w:spacing w:val="-4"/>
        </w:rPr>
        <w:t>a</w:t>
      </w:r>
      <w:r>
        <w:rPr>
          <w:spacing w:val="-6"/>
        </w:rPr>
        <w:t> </w:t>
      </w:r>
      <w:r>
        <w:rPr>
          <w:spacing w:val="-4"/>
        </w:rPr>
        <w:t>fee</w:t>
      </w:r>
      <w:r>
        <w:rPr>
          <w:spacing w:val="-6"/>
        </w:rPr>
        <w:t> </w:t>
      </w:r>
      <w:r>
        <w:rPr>
          <w:spacing w:val="-4"/>
        </w:rPr>
        <w:t>waiver</w:t>
      </w:r>
      <w:r>
        <w:rPr>
          <w:spacing w:val="-6"/>
        </w:rPr>
        <w:t> </w:t>
      </w:r>
      <w:r>
        <w:rPr>
          <w:spacing w:val="-4"/>
        </w:rPr>
        <w:t>plus</w:t>
      </w:r>
      <w:r>
        <w:rPr>
          <w:spacing w:val="-6"/>
        </w:rPr>
        <w:t> </w:t>
      </w:r>
      <w:r>
        <w:rPr>
          <w:spacing w:val="-4"/>
        </w:rPr>
        <w:t>scholarships</w:t>
      </w:r>
      <w:r>
        <w:rPr>
          <w:spacing w:val="-6"/>
        </w:rPr>
        <w:t> </w:t>
      </w:r>
      <w:r>
        <w:rPr>
          <w:spacing w:val="-4"/>
        </w:rPr>
        <w:t>to</w:t>
      </w:r>
      <w:r>
        <w:rPr>
          <w:spacing w:val="-6"/>
        </w:rPr>
        <w:t> </w:t>
      </w:r>
      <w:r>
        <w:rPr>
          <w:spacing w:val="-4"/>
        </w:rPr>
        <w:t>meet their costs; second, universities should not be penalised </w:t>
      </w:r>
      <w:r>
        <w:rPr/>
        <w:t>by</w:t>
      </w:r>
      <w:r>
        <w:rPr>
          <w:spacing w:val="-2"/>
        </w:rPr>
        <w:t> </w:t>
      </w:r>
      <w:r>
        <w:rPr/>
        <w:t>the</w:t>
      </w:r>
      <w:r>
        <w:rPr>
          <w:spacing w:val="-2"/>
        </w:rPr>
        <w:t> </w:t>
      </w:r>
      <w:r>
        <w:rPr/>
        <w:t>UGC</w:t>
      </w:r>
      <w:r>
        <w:rPr>
          <w:spacing w:val="-2"/>
        </w:rPr>
        <w:t> </w:t>
      </w:r>
      <w:r>
        <w:rPr/>
        <w:t>for</w:t>
      </w:r>
      <w:r>
        <w:rPr>
          <w:spacing w:val="-2"/>
        </w:rPr>
        <w:t> </w:t>
      </w:r>
      <w:r>
        <w:rPr/>
        <w:t>the</w:t>
      </w:r>
      <w:r>
        <w:rPr>
          <w:spacing w:val="-2"/>
        </w:rPr>
        <w:t> </w:t>
      </w:r>
      <w:r>
        <w:rPr/>
        <w:t>resources</w:t>
      </w:r>
      <w:r>
        <w:rPr>
          <w:spacing w:val="-2"/>
        </w:rPr>
        <w:t> </w:t>
      </w:r>
      <w:r>
        <w:rPr/>
        <w:t>raised</w:t>
      </w:r>
      <w:r>
        <w:rPr>
          <w:spacing w:val="-2"/>
        </w:rPr>
        <w:t> </w:t>
      </w:r>
      <w:r>
        <w:rPr/>
        <w:t>from</w:t>
      </w:r>
      <w:r>
        <w:rPr>
          <w:spacing w:val="-2"/>
        </w:rPr>
        <w:t> </w:t>
      </w:r>
      <w:r>
        <w:rPr/>
        <w:t>higher</w:t>
      </w:r>
      <w:r>
        <w:rPr>
          <w:spacing w:val="-2"/>
        </w:rPr>
        <w:t> </w:t>
      </w:r>
      <w:r>
        <w:rPr/>
        <w:t>fees through matching deductions from their grants-in</w:t>
      </w:r>
      <w:r>
        <w:rPr>
          <w:spacing w:val="40"/>
        </w:rPr>
        <w:t> </w:t>
      </w:r>
      <w:r>
        <w:rPr/>
        <w:t>aid.</w:t>
      </w:r>
      <w:r>
        <w:rPr>
          <w:spacing w:val="-14"/>
        </w:rPr>
        <w:t> </w:t>
      </w:r>
      <w:r>
        <w:rPr/>
        <w:t>The</w:t>
      </w:r>
      <w:r>
        <w:rPr>
          <w:spacing w:val="-14"/>
        </w:rPr>
        <w:t> </w:t>
      </w:r>
      <w:r>
        <w:rPr/>
        <w:t>central</w:t>
      </w:r>
      <w:r>
        <w:rPr>
          <w:spacing w:val="-14"/>
        </w:rPr>
        <w:t> </w:t>
      </w:r>
      <w:r>
        <w:rPr/>
        <w:t>and</w:t>
      </w:r>
      <w:r>
        <w:rPr>
          <w:spacing w:val="-13"/>
        </w:rPr>
        <w:t> </w:t>
      </w:r>
      <w:r>
        <w:rPr/>
        <w:t>state</w:t>
      </w:r>
      <w:r>
        <w:rPr>
          <w:spacing w:val="-14"/>
        </w:rPr>
        <w:t> </w:t>
      </w:r>
      <w:r>
        <w:rPr/>
        <w:t>ministries</w:t>
      </w:r>
      <w:r>
        <w:rPr>
          <w:spacing w:val="-14"/>
        </w:rPr>
        <w:t> </w:t>
      </w:r>
      <w:r>
        <w:rPr/>
        <w:t>may</w:t>
      </w:r>
      <w:r>
        <w:rPr>
          <w:spacing w:val="-14"/>
        </w:rPr>
        <w:t> </w:t>
      </w:r>
      <w:r>
        <w:rPr/>
        <w:t>also</w:t>
      </w:r>
      <w:r>
        <w:rPr>
          <w:spacing w:val="-13"/>
        </w:rPr>
        <w:t> </w:t>
      </w:r>
      <w:r>
        <w:rPr/>
        <w:t>be</w:t>
      </w:r>
      <w:r>
        <w:rPr>
          <w:spacing w:val="-14"/>
        </w:rPr>
        <w:t> </w:t>
      </w:r>
      <w:r>
        <w:rPr/>
        <w:t>urged to</w:t>
      </w:r>
      <w:r>
        <w:rPr>
          <w:spacing w:val="-4"/>
        </w:rPr>
        <w:t> </w:t>
      </w:r>
      <w:r>
        <w:rPr/>
        <w:t>endow</w:t>
      </w:r>
      <w:r>
        <w:rPr>
          <w:spacing w:val="-4"/>
        </w:rPr>
        <w:t> </w:t>
      </w:r>
      <w:r>
        <w:rPr/>
        <w:t>chairs</w:t>
      </w:r>
      <w:r>
        <w:rPr>
          <w:spacing w:val="-4"/>
        </w:rPr>
        <w:t> </w:t>
      </w:r>
      <w:r>
        <w:rPr/>
        <w:t>on</w:t>
      </w:r>
      <w:r>
        <w:rPr>
          <w:spacing w:val="-4"/>
        </w:rPr>
        <w:t> </w:t>
      </w:r>
      <w:r>
        <w:rPr/>
        <w:t>specialised</w:t>
      </w:r>
      <w:r>
        <w:rPr>
          <w:spacing w:val="-4"/>
        </w:rPr>
        <w:t> </w:t>
      </w:r>
      <w:r>
        <w:rPr/>
        <w:t>branches</w:t>
      </w:r>
      <w:r>
        <w:rPr>
          <w:spacing w:val="-4"/>
        </w:rPr>
        <w:t> </w:t>
      </w:r>
      <w:r>
        <w:rPr/>
        <w:t>of</w:t>
      </w:r>
      <w:r>
        <w:rPr>
          <w:spacing w:val="-4"/>
        </w:rPr>
        <w:t> </w:t>
      </w:r>
      <w:r>
        <w:rPr/>
        <w:t>law.</w:t>
      </w:r>
      <w:r>
        <w:rPr>
          <w:spacing w:val="-4"/>
        </w:rPr>
        <w:t> </w:t>
      </w:r>
      <w:r>
        <w:rPr/>
        <w:t>State </w:t>
      </w:r>
      <w:r>
        <w:rPr>
          <w:spacing w:val="-4"/>
        </w:rPr>
        <w:t>financing</w:t>
      </w:r>
      <w:r>
        <w:rPr>
          <w:spacing w:val="-10"/>
        </w:rPr>
        <w:t> </w:t>
      </w:r>
      <w:r>
        <w:rPr>
          <w:spacing w:val="-4"/>
        </w:rPr>
        <w:t>can</w:t>
      </w:r>
      <w:r>
        <w:rPr>
          <w:spacing w:val="-10"/>
        </w:rPr>
        <w:t> </w:t>
      </w:r>
      <w:r>
        <w:rPr>
          <w:spacing w:val="-4"/>
        </w:rPr>
        <w:t>be</w:t>
      </w:r>
      <w:r>
        <w:rPr>
          <w:spacing w:val="-10"/>
        </w:rPr>
        <w:t> </w:t>
      </w:r>
      <w:r>
        <w:rPr>
          <w:spacing w:val="-4"/>
        </w:rPr>
        <w:t>complemented</w:t>
      </w:r>
      <w:r>
        <w:rPr>
          <w:spacing w:val="-9"/>
        </w:rPr>
        <w:t> </w:t>
      </w:r>
      <w:r>
        <w:rPr>
          <w:spacing w:val="-4"/>
        </w:rPr>
        <w:t>with</w:t>
      </w:r>
      <w:r>
        <w:rPr>
          <w:spacing w:val="-10"/>
        </w:rPr>
        <w:t> </w:t>
      </w:r>
      <w:r>
        <w:rPr>
          <w:spacing w:val="-4"/>
        </w:rPr>
        <w:t>endowments</w:t>
      </w:r>
      <w:r>
        <w:rPr>
          <w:spacing w:val="-10"/>
        </w:rPr>
        <w:t> </w:t>
      </w:r>
      <w:r>
        <w:rPr>
          <w:spacing w:val="-4"/>
        </w:rPr>
        <w:t>from </w:t>
      </w:r>
      <w:r>
        <w:rPr/>
        <w:t>the</w:t>
      </w:r>
      <w:r>
        <w:rPr>
          <w:spacing w:val="-9"/>
        </w:rPr>
        <w:t> </w:t>
      </w:r>
      <w:r>
        <w:rPr/>
        <w:t>private</w:t>
      </w:r>
      <w:r>
        <w:rPr>
          <w:spacing w:val="-9"/>
        </w:rPr>
        <w:t> </w:t>
      </w:r>
      <w:r>
        <w:rPr/>
        <w:t>sector,</w:t>
      </w:r>
      <w:r>
        <w:rPr>
          <w:spacing w:val="-9"/>
        </w:rPr>
        <w:t> </w:t>
      </w:r>
      <w:r>
        <w:rPr/>
        <w:t>including</w:t>
      </w:r>
      <w:r>
        <w:rPr>
          <w:spacing w:val="-9"/>
        </w:rPr>
        <w:t> </w:t>
      </w:r>
      <w:r>
        <w:rPr/>
        <w:t>synergistic</w:t>
      </w:r>
      <w:r>
        <w:rPr>
          <w:spacing w:val="-9"/>
        </w:rPr>
        <w:t> </w:t>
      </w:r>
      <w:r>
        <w:rPr/>
        <w:t>arrangements such as appropriate public private partnerships. Incentives</w:t>
      </w:r>
      <w:r>
        <w:rPr>
          <w:spacing w:val="-3"/>
        </w:rPr>
        <w:t> </w:t>
      </w:r>
      <w:r>
        <w:rPr/>
        <w:t>such</w:t>
      </w:r>
      <w:r>
        <w:rPr>
          <w:spacing w:val="-3"/>
        </w:rPr>
        <w:t> </w:t>
      </w:r>
      <w:r>
        <w:rPr/>
        <w:t>as</w:t>
      </w:r>
      <w:r>
        <w:rPr>
          <w:spacing w:val="-3"/>
        </w:rPr>
        <w:t> </w:t>
      </w:r>
      <w:r>
        <w:rPr/>
        <w:t>tax</w:t>
      </w:r>
      <w:r>
        <w:rPr>
          <w:spacing w:val="-3"/>
        </w:rPr>
        <w:t> </w:t>
      </w:r>
      <w:r>
        <w:rPr/>
        <w:t>holidays</w:t>
      </w:r>
      <w:r>
        <w:rPr>
          <w:spacing w:val="-3"/>
        </w:rPr>
        <w:t> </w:t>
      </w:r>
      <w:r>
        <w:rPr/>
        <w:t>for</w:t>
      </w:r>
      <w:r>
        <w:rPr>
          <w:spacing w:val="-3"/>
        </w:rPr>
        <w:t> </w:t>
      </w:r>
      <w:r>
        <w:rPr/>
        <w:t>donations</w:t>
      </w:r>
      <w:r>
        <w:rPr>
          <w:spacing w:val="-3"/>
        </w:rPr>
        <w:t> </w:t>
      </w:r>
      <w:r>
        <w:rPr/>
        <w:t>above</w:t>
      </w:r>
      <w:r>
        <w:rPr>
          <w:spacing w:val="-3"/>
        </w:rPr>
        <w:t> </w:t>
      </w:r>
      <w:r>
        <w:rPr/>
        <w:t>a </w:t>
      </w:r>
      <w:r>
        <w:rPr>
          <w:spacing w:val="-4"/>
        </w:rPr>
        <w:t>high</w:t>
      </w:r>
      <w:r>
        <w:rPr>
          <w:spacing w:val="-12"/>
        </w:rPr>
        <w:t> </w:t>
      </w:r>
      <w:r>
        <w:rPr>
          <w:spacing w:val="-4"/>
        </w:rPr>
        <w:t>minimum</w:t>
      </w:r>
      <w:r>
        <w:rPr>
          <w:spacing w:val="-10"/>
        </w:rPr>
        <w:t> </w:t>
      </w:r>
      <w:r>
        <w:rPr>
          <w:spacing w:val="-4"/>
        </w:rPr>
        <w:t>threshold</w:t>
      </w:r>
      <w:r>
        <w:rPr>
          <w:spacing w:val="-10"/>
        </w:rPr>
        <w:t> </w:t>
      </w:r>
      <w:r>
        <w:rPr>
          <w:spacing w:val="-4"/>
        </w:rPr>
        <w:t>by</w:t>
      </w:r>
      <w:r>
        <w:rPr>
          <w:spacing w:val="-9"/>
        </w:rPr>
        <w:t> </w:t>
      </w:r>
      <w:r>
        <w:rPr>
          <w:spacing w:val="-4"/>
        </w:rPr>
        <w:t>the</w:t>
      </w:r>
      <w:r>
        <w:rPr>
          <w:spacing w:val="-10"/>
        </w:rPr>
        <w:t> </w:t>
      </w:r>
      <w:r>
        <w:rPr>
          <w:spacing w:val="-4"/>
        </w:rPr>
        <w:t>corporate</w:t>
      </w:r>
      <w:r>
        <w:rPr>
          <w:spacing w:val="-10"/>
        </w:rPr>
        <w:t> </w:t>
      </w:r>
      <w:r>
        <w:rPr>
          <w:spacing w:val="-4"/>
        </w:rPr>
        <w:t>sector</w:t>
      </w:r>
      <w:r>
        <w:rPr>
          <w:spacing w:val="-10"/>
        </w:rPr>
        <w:t> </w:t>
      </w:r>
      <w:r>
        <w:rPr>
          <w:spacing w:val="-4"/>
        </w:rPr>
        <w:t>may</w:t>
      </w:r>
      <w:r>
        <w:rPr>
          <w:spacing w:val="-9"/>
        </w:rPr>
        <w:t> </w:t>
      </w:r>
      <w:r>
        <w:rPr>
          <w:spacing w:val="-4"/>
        </w:rPr>
        <w:t>be </w:t>
      </w:r>
      <w:r>
        <w:rPr/>
        <w:t>considered.</w:t>
      </w:r>
      <w:r>
        <w:rPr>
          <w:spacing w:val="-14"/>
        </w:rPr>
        <w:t> </w:t>
      </w:r>
      <w:r>
        <w:rPr/>
        <w:t>Institutions</w:t>
      </w:r>
      <w:r>
        <w:rPr>
          <w:spacing w:val="-14"/>
        </w:rPr>
        <w:t> </w:t>
      </w:r>
      <w:r>
        <w:rPr/>
        <w:t>should</w:t>
      </w:r>
      <w:r>
        <w:rPr>
          <w:spacing w:val="-14"/>
        </w:rPr>
        <w:t> </w:t>
      </w:r>
      <w:r>
        <w:rPr/>
        <w:t>be</w:t>
      </w:r>
      <w:r>
        <w:rPr>
          <w:spacing w:val="-13"/>
        </w:rPr>
        <w:t> </w:t>
      </w:r>
      <w:r>
        <w:rPr/>
        <w:t>given</w:t>
      </w:r>
      <w:r>
        <w:rPr>
          <w:spacing w:val="-14"/>
        </w:rPr>
        <w:t> </w:t>
      </w:r>
      <w:r>
        <w:rPr/>
        <w:t>the</w:t>
      </w:r>
      <w:r>
        <w:rPr>
          <w:spacing w:val="-14"/>
        </w:rPr>
        <w:t> </w:t>
      </w:r>
      <w:r>
        <w:rPr/>
        <w:t>autonomy </w:t>
      </w:r>
      <w:r>
        <w:rPr>
          <w:spacing w:val="-2"/>
        </w:rPr>
        <w:t>to</w:t>
      </w:r>
      <w:r>
        <w:rPr>
          <w:spacing w:val="-11"/>
        </w:rPr>
        <w:t> </w:t>
      </w:r>
      <w:r>
        <w:rPr>
          <w:spacing w:val="-2"/>
        </w:rPr>
        <w:t>evolve</w:t>
      </w:r>
      <w:r>
        <w:rPr>
          <w:spacing w:val="-11"/>
        </w:rPr>
        <w:t> </w:t>
      </w:r>
      <w:r>
        <w:rPr>
          <w:spacing w:val="-2"/>
        </w:rPr>
        <w:t>their</w:t>
      </w:r>
      <w:r>
        <w:rPr>
          <w:spacing w:val="-11"/>
        </w:rPr>
        <w:t> </w:t>
      </w:r>
      <w:r>
        <w:rPr>
          <w:spacing w:val="-2"/>
        </w:rPr>
        <w:t>own</w:t>
      </w:r>
      <w:r>
        <w:rPr>
          <w:spacing w:val="-11"/>
        </w:rPr>
        <w:t> </w:t>
      </w:r>
      <w:r>
        <w:rPr>
          <w:spacing w:val="-2"/>
        </w:rPr>
        <w:t>innovative</w:t>
      </w:r>
      <w:r>
        <w:rPr>
          <w:spacing w:val="-11"/>
        </w:rPr>
        <w:t> </w:t>
      </w:r>
      <w:r>
        <w:rPr>
          <w:spacing w:val="-2"/>
        </w:rPr>
        <w:t>methods</w:t>
      </w:r>
      <w:r>
        <w:rPr>
          <w:spacing w:val="-11"/>
        </w:rPr>
        <w:t> </w:t>
      </w:r>
      <w:r>
        <w:rPr>
          <w:spacing w:val="-2"/>
        </w:rPr>
        <w:t>of</w:t>
      </w:r>
      <w:r>
        <w:rPr>
          <w:spacing w:val="-11"/>
        </w:rPr>
        <w:t> </w:t>
      </w:r>
      <w:r>
        <w:rPr>
          <w:spacing w:val="-2"/>
        </w:rPr>
        <w:t>financing</w:t>
      </w:r>
      <w:r>
        <w:rPr>
          <w:spacing w:val="-11"/>
        </w:rPr>
        <w:t> </w:t>
      </w:r>
      <w:r>
        <w:rPr>
          <w:spacing w:val="-2"/>
        </w:rPr>
        <w:t>to </w:t>
      </w:r>
      <w:r>
        <w:rPr/>
        <w:t>maximise</w:t>
      </w:r>
      <w:r>
        <w:rPr>
          <w:spacing w:val="-3"/>
        </w:rPr>
        <w:t> </w:t>
      </w:r>
      <w:r>
        <w:rPr/>
        <w:t>infrastructure</w:t>
      </w:r>
      <w:r>
        <w:rPr>
          <w:spacing w:val="-3"/>
        </w:rPr>
        <w:t> </w:t>
      </w:r>
      <w:r>
        <w:rPr/>
        <w:t>and</w:t>
      </w:r>
      <w:r>
        <w:rPr>
          <w:spacing w:val="-3"/>
        </w:rPr>
        <w:t> </w:t>
      </w:r>
      <w:r>
        <w:rPr/>
        <w:t>resource</w:t>
      </w:r>
      <w:r>
        <w:rPr>
          <w:spacing w:val="-3"/>
        </w:rPr>
        <w:t> </w:t>
      </w:r>
      <w:r>
        <w:rPr/>
        <w:t>utilisation.</w:t>
      </w:r>
    </w:p>
    <w:p>
      <w:pPr>
        <w:pStyle w:val="Heading6"/>
        <w:numPr>
          <w:ilvl w:val="1"/>
          <w:numId w:val="26"/>
        </w:numPr>
        <w:tabs>
          <w:tab w:pos="634" w:val="left" w:leader="none"/>
        </w:tabs>
        <w:spacing w:line="240" w:lineRule="auto" w:before="173" w:after="0"/>
        <w:ind w:left="634" w:right="0" w:hanging="315"/>
        <w:jc w:val="left"/>
      </w:pPr>
      <w:r>
        <w:rPr>
          <w:color w:val="2E614A"/>
          <w:spacing w:val="-10"/>
        </w:rPr>
        <w:t>Dimensions</w:t>
      </w:r>
      <w:r>
        <w:rPr>
          <w:color w:val="2E614A"/>
          <w:spacing w:val="-7"/>
        </w:rPr>
        <w:t> </w:t>
      </w:r>
      <w:r>
        <w:rPr>
          <w:color w:val="2E614A"/>
          <w:spacing w:val="-10"/>
        </w:rPr>
        <w:t>of</w:t>
      </w:r>
      <w:r>
        <w:rPr>
          <w:color w:val="2E614A"/>
          <w:spacing w:val="-6"/>
        </w:rPr>
        <w:t> </w:t>
      </w:r>
      <w:r>
        <w:rPr>
          <w:color w:val="2E614A"/>
          <w:spacing w:val="-10"/>
        </w:rPr>
        <w:t>Internationalisation</w:t>
      </w:r>
    </w:p>
    <w:p>
      <w:pPr>
        <w:pStyle w:val="BodyText"/>
        <w:spacing w:line="266" w:lineRule="auto" w:before="257"/>
        <w:ind w:left="319" w:right="1077"/>
        <w:jc w:val="both"/>
      </w:pPr>
      <w:r>
        <w:rPr/>
        <w:t>Building world class law schools today will </w:t>
      </w:r>
      <w:r>
        <w:rPr/>
        <w:t>require creatively responding to the growing international </w:t>
      </w:r>
      <w:r>
        <w:rPr>
          <w:w w:val="90"/>
        </w:rPr>
        <w:t>dimensions of legal education and of the legal profession, where it is becoming increasingly necessary to incorporate </w:t>
      </w:r>
      <w:r>
        <w:rPr>
          <w:spacing w:val="-2"/>
        </w:rPr>
        <w:t>international</w:t>
      </w:r>
      <w:r>
        <w:rPr>
          <w:spacing w:val="-12"/>
        </w:rPr>
        <w:t> </w:t>
      </w:r>
      <w:r>
        <w:rPr>
          <w:spacing w:val="-2"/>
        </w:rPr>
        <w:t>and</w:t>
      </w:r>
      <w:r>
        <w:rPr>
          <w:spacing w:val="-11"/>
        </w:rPr>
        <w:t> </w:t>
      </w:r>
      <w:r>
        <w:rPr>
          <w:spacing w:val="-2"/>
        </w:rPr>
        <w:t>comparative</w:t>
      </w:r>
      <w:r>
        <w:rPr>
          <w:spacing w:val="-11"/>
        </w:rPr>
        <w:t> </w:t>
      </w:r>
      <w:r>
        <w:rPr>
          <w:spacing w:val="-2"/>
        </w:rPr>
        <w:t>perspectives,</w:t>
      </w:r>
      <w:r>
        <w:rPr>
          <w:spacing w:val="-11"/>
        </w:rPr>
        <w:t> </w:t>
      </w:r>
      <w:r>
        <w:rPr>
          <w:spacing w:val="-2"/>
        </w:rPr>
        <w:t>along</w:t>
      </w:r>
      <w:r>
        <w:rPr>
          <w:spacing w:val="-12"/>
        </w:rPr>
        <w:t> </w:t>
      </w:r>
      <w:r>
        <w:rPr>
          <w:spacing w:val="-2"/>
        </w:rPr>
        <w:t>with </w:t>
      </w:r>
      <w:r>
        <w:rPr/>
        <w:t>necessary understanding of domestic law. Suggested initiatives to promote such international perspectives include</w:t>
      </w:r>
      <w:r>
        <w:rPr>
          <w:spacing w:val="-6"/>
        </w:rPr>
        <w:t> </w:t>
      </w:r>
      <w:r>
        <w:rPr/>
        <w:t>building</w:t>
      </w:r>
      <w:r>
        <w:rPr>
          <w:spacing w:val="-6"/>
        </w:rPr>
        <w:t> </w:t>
      </w:r>
      <w:r>
        <w:rPr/>
        <w:t>collaborations</w:t>
      </w:r>
      <w:r>
        <w:rPr>
          <w:spacing w:val="-6"/>
        </w:rPr>
        <w:t> </w:t>
      </w:r>
      <w:r>
        <w:rPr/>
        <w:t>and</w:t>
      </w:r>
      <w:r>
        <w:rPr>
          <w:spacing w:val="-6"/>
        </w:rPr>
        <w:t> </w:t>
      </w:r>
      <w:r>
        <w:rPr/>
        <w:t>partnerships</w:t>
      </w:r>
      <w:r>
        <w:rPr>
          <w:spacing w:val="-6"/>
        </w:rPr>
        <w:t> </w:t>
      </w:r>
      <w:r>
        <w:rPr/>
        <w:t>with noted foreign universities for award of joint/dual </w:t>
      </w:r>
      <w:r>
        <w:rPr>
          <w:w w:val="90"/>
        </w:rPr>
        <w:t>degrees; finding ways of evolving transnational curricula </w:t>
      </w:r>
      <w:r>
        <w:rPr/>
        <w:t>to be taught jointly by a global faculty through video conferencing and Internet modes; as well as creating international faculty, international courses and international</w:t>
      </w:r>
      <w:r>
        <w:rPr>
          <w:spacing w:val="-10"/>
        </w:rPr>
        <w:t> </w:t>
      </w:r>
      <w:r>
        <w:rPr/>
        <w:t>exchange</w:t>
      </w:r>
      <w:r>
        <w:rPr>
          <w:spacing w:val="-10"/>
        </w:rPr>
        <w:t> </w:t>
      </w:r>
      <w:r>
        <w:rPr/>
        <w:t>opportunities</w:t>
      </w:r>
      <w:r>
        <w:rPr>
          <w:spacing w:val="-10"/>
        </w:rPr>
        <w:t> </w:t>
      </w:r>
      <w:r>
        <w:rPr/>
        <w:t>among</w:t>
      </w:r>
      <w:r>
        <w:rPr>
          <w:spacing w:val="-10"/>
        </w:rPr>
        <w:t> </w:t>
      </w:r>
      <w:r>
        <w:rPr/>
        <w:t>students.</w:t>
      </w:r>
    </w:p>
    <w:p>
      <w:pPr>
        <w:pStyle w:val="Heading6"/>
        <w:numPr>
          <w:ilvl w:val="1"/>
          <w:numId w:val="26"/>
        </w:numPr>
        <w:tabs>
          <w:tab w:pos="820" w:val="left" w:leader="none"/>
        </w:tabs>
        <w:spacing w:line="182" w:lineRule="auto" w:before="237" w:after="0"/>
        <w:ind w:left="820" w:right="1084" w:hanging="502"/>
        <w:jc w:val="left"/>
      </w:pPr>
      <w:r>
        <w:rPr>
          <w:color w:val="2E614A"/>
          <w:spacing w:val="-8"/>
        </w:rPr>
        <w:t>Technology</w:t>
      </w:r>
      <w:r>
        <w:rPr>
          <w:color w:val="2E614A"/>
          <w:spacing w:val="-12"/>
        </w:rPr>
        <w:t> </w:t>
      </w:r>
      <w:r>
        <w:rPr>
          <w:color w:val="2E614A"/>
          <w:spacing w:val="-8"/>
        </w:rPr>
        <w:t>for</w:t>
      </w:r>
      <w:r>
        <w:rPr>
          <w:color w:val="2E614A"/>
          <w:spacing w:val="-12"/>
        </w:rPr>
        <w:t> </w:t>
      </w:r>
      <w:r>
        <w:rPr>
          <w:color w:val="2E614A"/>
          <w:spacing w:val="-8"/>
        </w:rPr>
        <w:t>Dissemination</w:t>
      </w:r>
      <w:r>
        <w:rPr>
          <w:color w:val="2E614A"/>
          <w:spacing w:val="-12"/>
        </w:rPr>
        <w:t> </w:t>
      </w:r>
      <w:r>
        <w:rPr>
          <w:color w:val="2E614A"/>
          <w:spacing w:val="-8"/>
        </w:rPr>
        <w:t>of </w:t>
      </w:r>
      <w:r>
        <w:rPr>
          <w:color w:val="2E614A"/>
        </w:rPr>
        <w:t>Legal</w:t>
      </w:r>
      <w:r>
        <w:rPr>
          <w:color w:val="2E614A"/>
          <w:spacing w:val="-20"/>
        </w:rPr>
        <w:t> </w:t>
      </w:r>
      <w:r>
        <w:rPr>
          <w:color w:val="2E614A"/>
        </w:rPr>
        <w:t>Knowledge</w:t>
      </w:r>
    </w:p>
    <w:p>
      <w:pPr>
        <w:pStyle w:val="BodyText"/>
        <w:spacing w:line="266" w:lineRule="auto" w:before="302"/>
        <w:ind w:left="319" w:right="1077"/>
        <w:jc w:val="both"/>
      </w:pPr>
      <w:r>
        <w:rPr/>
        <w:t>For maximum dissemination of legal knowledge, </w:t>
      </w:r>
      <w:r>
        <w:rPr/>
        <w:t>all </w:t>
      </w:r>
      <w:r>
        <w:rPr>
          <w:spacing w:val="-2"/>
        </w:rPr>
        <w:t>information</w:t>
      </w:r>
      <w:r>
        <w:rPr>
          <w:spacing w:val="-9"/>
        </w:rPr>
        <w:t> </w:t>
      </w:r>
      <w:r>
        <w:rPr>
          <w:spacing w:val="-2"/>
        </w:rPr>
        <w:t>available</w:t>
      </w:r>
      <w:r>
        <w:rPr>
          <w:spacing w:val="-9"/>
        </w:rPr>
        <w:t> </w:t>
      </w:r>
      <w:r>
        <w:rPr>
          <w:spacing w:val="-2"/>
        </w:rPr>
        <w:t>in</w:t>
      </w:r>
      <w:r>
        <w:rPr>
          <w:spacing w:val="-9"/>
        </w:rPr>
        <w:t> </w:t>
      </w:r>
      <w:r>
        <w:rPr>
          <w:spacing w:val="-2"/>
        </w:rPr>
        <w:t>the</w:t>
      </w:r>
      <w:r>
        <w:rPr>
          <w:spacing w:val="-9"/>
        </w:rPr>
        <w:t> </w:t>
      </w:r>
      <w:r>
        <w:rPr>
          <w:spacing w:val="-2"/>
        </w:rPr>
        <w:t>Indian</w:t>
      </w:r>
      <w:r>
        <w:rPr>
          <w:spacing w:val="-9"/>
        </w:rPr>
        <w:t> </w:t>
      </w:r>
      <w:r>
        <w:rPr>
          <w:spacing w:val="-2"/>
        </w:rPr>
        <w:t>Law</w:t>
      </w:r>
      <w:r>
        <w:rPr>
          <w:spacing w:val="-9"/>
        </w:rPr>
        <w:t> </w:t>
      </w:r>
      <w:r>
        <w:rPr>
          <w:spacing w:val="-2"/>
        </w:rPr>
        <w:t>Institute</w:t>
      </w:r>
      <w:r>
        <w:rPr>
          <w:spacing w:val="-9"/>
        </w:rPr>
        <w:t> </w:t>
      </w:r>
      <w:r>
        <w:rPr>
          <w:spacing w:val="-2"/>
        </w:rPr>
        <w:t>(ILI), </w:t>
      </w:r>
      <w:r>
        <w:rPr>
          <w:spacing w:val="-4"/>
        </w:rPr>
        <w:t>Supreme</w:t>
      </w:r>
      <w:r>
        <w:rPr>
          <w:spacing w:val="-10"/>
        </w:rPr>
        <w:t> </w:t>
      </w:r>
      <w:r>
        <w:rPr>
          <w:spacing w:val="-4"/>
        </w:rPr>
        <w:t>Court</w:t>
      </w:r>
      <w:r>
        <w:rPr>
          <w:spacing w:val="-10"/>
        </w:rPr>
        <w:t> </w:t>
      </w:r>
      <w:r>
        <w:rPr>
          <w:spacing w:val="-4"/>
        </w:rPr>
        <w:t>Library,</w:t>
      </w:r>
      <w:r>
        <w:rPr>
          <w:spacing w:val="-10"/>
        </w:rPr>
        <w:t> </w:t>
      </w:r>
      <w:r>
        <w:rPr>
          <w:spacing w:val="-4"/>
        </w:rPr>
        <w:t>Indian</w:t>
      </w:r>
      <w:r>
        <w:rPr>
          <w:spacing w:val="-9"/>
        </w:rPr>
        <w:t> </w:t>
      </w:r>
      <w:r>
        <w:rPr>
          <w:spacing w:val="-4"/>
        </w:rPr>
        <w:t>Society</w:t>
      </w:r>
      <w:r>
        <w:rPr>
          <w:spacing w:val="-10"/>
        </w:rPr>
        <w:t> </w:t>
      </w:r>
      <w:r>
        <w:rPr>
          <w:spacing w:val="-4"/>
        </w:rPr>
        <w:t>for</w:t>
      </w:r>
      <w:r>
        <w:rPr>
          <w:spacing w:val="-10"/>
        </w:rPr>
        <w:t> </w:t>
      </w:r>
      <w:r>
        <w:rPr>
          <w:spacing w:val="-4"/>
        </w:rPr>
        <w:t>International </w:t>
      </w:r>
      <w:r>
        <w:rPr>
          <w:w w:val="90"/>
        </w:rPr>
        <w:t>Law (ISIL) as well as those of all law schools, universities </w:t>
      </w:r>
      <w:r>
        <w:rPr>
          <w:spacing w:val="-4"/>
        </w:rPr>
        <w:t>and</w:t>
      </w:r>
      <w:r>
        <w:rPr>
          <w:spacing w:val="-7"/>
        </w:rPr>
        <w:t> </w:t>
      </w:r>
      <w:r>
        <w:rPr>
          <w:spacing w:val="-4"/>
        </w:rPr>
        <w:t>public</w:t>
      </w:r>
      <w:r>
        <w:rPr>
          <w:spacing w:val="-7"/>
        </w:rPr>
        <w:t> </w:t>
      </w:r>
      <w:r>
        <w:rPr>
          <w:spacing w:val="-4"/>
        </w:rPr>
        <w:t>institutions</w:t>
      </w:r>
      <w:r>
        <w:rPr>
          <w:spacing w:val="-7"/>
        </w:rPr>
        <w:t> </w:t>
      </w:r>
      <w:r>
        <w:rPr>
          <w:spacing w:val="-4"/>
        </w:rPr>
        <w:t>in</w:t>
      </w:r>
      <w:r>
        <w:rPr>
          <w:spacing w:val="-7"/>
        </w:rPr>
        <w:t> </w:t>
      </w:r>
      <w:r>
        <w:rPr>
          <w:spacing w:val="-4"/>
        </w:rPr>
        <w:t>the</w:t>
      </w:r>
      <w:r>
        <w:rPr>
          <w:spacing w:val="-7"/>
        </w:rPr>
        <w:t> </w:t>
      </w:r>
      <w:r>
        <w:rPr>
          <w:spacing w:val="-4"/>
        </w:rPr>
        <w:t>country,</w:t>
      </w:r>
      <w:r>
        <w:rPr>
          <w:spacing w:val="-7"/>
        </w:rPr>
        <w:t> </w:t>
      </w:r>
      <w:r>
        <w:rPr>
          <w:spacing w:val="-4"/>
        </w:rPr>
        <w:t>be</w:t>
      </w:r>
      <w:r>
        <w:rPr>
          <w:spacing w:val="-7"/>
        </w:rPr>
        <w:t> </w:t>
      </w:r>
      <w:r>
        <w:rPr>
          <w:spacing w:val="-4"/>
        </w:rPr>
        <w:t>networked</w:t>
      </w:r>
      <w:r>
        <w:rPr>
          <w:spacing w:val="-7"/>
        </w:rPr>
        <w:t> </w:t>
      </w:r>
      <w:r>
        <w:rPr>
          <w:spacing w:val="-4"/>
        </w:rPr>
        <w:t>and digitised.</w:t>
      </w:r>
      <w:r>
        <w:rPr>
          <w:spacing w:val="-6"/>
        </w:rPr>
        <w:t> </w:t>
      </w:r>
      <w:r>
        <w:rPr>
          <w:spacing w:val="-4"/>
        </w:rPr>
        <w:t>Such</w:t>
      </w:r>
      <w:r>
        <w:rPr>
          <w:spacing w:val="-6"/>
        </w:rPr>
        <w:t> </w:t>
      </w:r>
      <w:r>
        <w:rPr>
          <w:spacing w:val="-4"/>
        </w:rPr>
        <w:t>networking</w:t>
      </w:r>
      <w:r>
        <w:rPr>
          <w:spacing w:val="-6"/>
        </w:rPr>
        <w:t> </w:t>
      </w:r>
      <w:r>
        <w:rPr>
          <w:spacing w:val="-4"/>
        </w:rPr>
        <w:t>is</w:t>
      </w:r>
      <w:r>
        <w:rPr>
          <w:spacing w:val="-6"/>
        </w:rPr>
        <w:t> </w:t>
      </w:r>
      <w:r>
        <w:rPr>
          <w:spacing w:val="-4"/>
        </w:rPr>
        <w:t>in</w:t>
      </w:r>
      <w:r>
        <w:rPr>
          <w:spacing w:val="-6"/>
        </w:rPr>
        <w:t> </w:t>
      </w:r>
      <w:r>
        <w:rPr>
          <w:spacing w:val="-4"/>
        </w:rPr>
        <w:t>addition</w:t>
      </w:r>
      <w:r>
        <w:rPr>
          <w:spacing w:val="-6"/>
        </w:rPr>
        <w:t> </w:t>
      </w:r>
      <w:r>
        <w:rPr>
          <w:spacing w:val="-4"/>
        </w:rPr>
        <w:t>to</w:t>
      </w:r>
      <w:r>
        <w:rPr>
          <w:spacing w:val="-6"/>
        </w:rPr>
        <w:t> </w:t>
      </w:r>
      <w:r>
        <w:rPr>
          <w:spacing w:val="-4"/>
        </w:rPr>
        <w:t>the</w:t>
      </w:r>
      <w:r>
        <w:rPr>
          <w:spacing w:val="-6"/>
        </w:rPr>
        <w:t> </w:t>
      </w:r>
      <w:r>
        <w:rPr>
          <w:spacing w:val="-4"/>
        </w:rPr>
        <w:t>need</w:t>
      </w:r>
      <w:r>
        <w:rPr>
          <w:spacing w:val="-6"/>
        </w:rPr>
        <w:t> </w:t>
      </w:r>
      <w:r>
        <w:rPr>
          <w:spacing w:val="-4"/>
        </w:rPr>
        <w:t>for adequate</w:t>
      </w:r>
      <w:r>
        <w:rPr>
          <w:spacing w:val="-10"/>
        </w:rPr>
        <w:t> </w:t>
      </w:r>
      <w:r>
        <w:rPr>
          <w:spacing w:val="-4"/>
        </w:rPr>
        <w:t>infrastructure</w:t>
      </w:r>
      <w:r>
        <w:rPr>
          <w:spacing w:val="-10"/>
        </w:rPr>
        <w:t> </w:t>
      </w:r>
      <w:r>
        <w:rPr>
          <w:spacing w:val="-4"/>
        </w:rPr>
        <w:t>such</w:t>
      </w:r>
      <w:r>
        <w:rPr>
          <w:spacing w:val="-10"/>
        </w:rPr>
        <w:t> </w:t>
      </w:r>
      <w:r>
        <w:rPr>
          <w:spacing w:val="-4"/>
        </w:rPr>
        <w:t>as</w:t>
      </w:r>
      <w:r>
        <w:rPr>
          <w:spacing w:val="-9"/>
        </w:rPr>
        <w:t> </w:t>
      </w:r>
      <w:r>
        <w:rPr>
          <w:spacing w:val="-4"/>
        </w:rPr>
        <w:t>computers,</w:t>
      </w:r>
      <w:r>
        <w:rPr>
          <w:spacing w:val="-10"/>
        </w:rPr>
        <w:t> </w:t>
      </w:r>
      <w:r>
        <w:rPr>
          <w:spacing w:val="-4"/>
        </w:rPr>
        <w:t>law</w:t>
      </w:r>
      <w:r>
        <w:rPr>
          <w:spacing w:val="-10"/>
        </w:rPr>
        <w:t> </w:t>
      </w:r>
      <w:r>
        <w:rPr>
          <w:spacing w:val="-4"/>
        </w:rPr>
        <w:t>journals, legal</w:t>
      </w:r>
      <w:r>
        <w:rPr>
          <w:spacing w:val="-6"/>
        </w:rPr>
        <w:t> </w:t>
      </w:r>
      <w:r>
        <w:rPr>
          <w:spacing w:val="-4"/>
        </w:rPr>
        <w:t>databases</w:t>
      </w:r>
      <w:r>
        <w:rPr>
          <w:spacing w:val="-6"/>
        </w:rPr>
        <w:t> </w:t>
      </w:r>
      <w:r>
        <w:rPr>
          <w:spacing w:val="-4"/>
        </w:rPr>
        <w:t>and</w:t>
      </w:r>
      <w:r>
        <w:rPr>
          <w:spacing w:val="-6"/>
        </w:rPr>
        <w:t> </w:t>
      </w:r>
      <w:r>
        <w:rPr>
          <w:spacing w:val="-4"/>
        </w:rPr>
        <w:t>excellent</w:t>
      </w:r>
      <w:r>
        <w:rPr>
          <w:spacing w:val="-6"/>
        </w:rPr>
        <w:t> </w:t>
      </w:r>
      <w:r>
        <w:rPr>
          <w:spacing w:val="-4"/>
        </w:rPr>
        <w:t>libraries</w:t>
      </w:r>
      <w:r>
        <w:rPr>
          <w:spacing w:val="-6"/>
        </w:rPr>
        <w:t> </w:t>
      </w:r>
      <w:r>
        <w:rPr>
          <w:spacing w:val="-4"/>
        </w:rPr>
        <w:t>in</w:t>
      </w:r>
      <w:r>
        <w:rPr>
          <w:spacing w:val="-6"/>
        </w:rPr>
        <w:t> </w:t>
      </w:r>
      <w:r>
        <w:rPr>
          <w:spacing w:val="-4"/>
        </w:rPr>
        <w:t>the</w:t>
      </w:r>
      <w:r>
        <w:rPr>
          <w:spacing w:val="-6"/>
        </w:rPr>
        <w:t> </w:t>
      </w:r>
      <w:r>
        <w:rPr>
          <w:spacing w:val="-4"/>
        </w:rPr>
        <w:t>institutions </w:t>
      </w:r>
      <w:r>
        <w:rPr/>
        <w:t>teaching law.</w:t>
      </w:r>
    </w:p>
    <w:p>
      <w:pPr>
        <w:spacing w:after="0" w:line="266" w:lineRule="auto"/>
        <w:jc w:val="both"/>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761"/>
        <w:jc w:val="both"/>
      </w:pPr>
      <w:r>
        <w:rPr/>
        <mc:AlternateContent>
          <mc:Choice Requires="wps">
            <w:drawing>
              <wp:anchor distT="0" distB="0" distL="0" distR="0" allowOverlap="1" layoutInCell="1" locked="0" behindDoc="0" simplePos="0" relativeHeight="15764992">
                <wp:simplePos x="0" y="0"/>
                <wp:positionH relativeFrom="page">
                  <wp:posOffset>0</wp:posOffset>
                </wp:positionH>
                <wp:positionV relativeFrom="paragraph">
                  <wp:posOffset>-2277393</wp:posOffset>
                </wp:positionV>
                <wp:extent cx="7560309" cy="1752600"/>
                <wp:effectExtent l="0" t="0" r="0" b="0"/>
                <wp:wrapNone/>
                <wp:docPr id="887" name="Group 887"/>
                <wp:cNvGraphicFramePr>
                  <a:graphicFrameLocks/>
                </wp:cNvGraphicFramePr>
                <a:graphic>
                  <a:graphicData uri="http://schemas.microsoft.com/office/word/2010/wordprocessingGroup">
                    <wpg:wgp>
                      <wpg:cNvPr id="887" name="Group 887"/>
                      <wpg:cNvGrpSpPr/>
                      <wpg:grpSpPr>
                        <a:xfrm>
                          <a:off x="0" y="0"/>
                          <a:ext cx="7560309" cy="1752600"/>
                          <a:chExt cx="7560309" cy="1752600"/>
                        </a:xfrm>
                      </wpg:grpSpPr>
                      <pic:pic>
                        <pic:nvPicPr>
                          <pic:cNvPr id="888" name="Image 888"/>
                          <pic:cNvPicPr/>
                        </pic:nvPicPr>
                        <pic:blipFill>
                          <a:blip r:embed="rId612" cstate="print"/>
                          <a:stretch>
                            <a:fillRect/>
                          </a:stretch>
                        </pic:blipFill>
                        <pic:spPr>
                          <a:xfrm>
                            <a:off x="0" y="0"/>
                            <a:ext cx="7559999" cy="1752562"/>
                          </a:xfrm>
                          <a:prstGeom prst="rect">
                            <a:avLst/>
                          </a:prstGeom>
                        </pic:spPr>
                      </pic:pic>
                      <wps:wsp>
                        <wps:cNvPr id="889" name="Textbox 889"/>
                        <wps:cNvSpPr txBox="1"/>
                        <wps:spPr>
                          <a:xfrm>
                            <a:off x="685800" y="598688"/>
                            <a:ext cx="3672840"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Medical</w:t>
                              </w:r>
                              <w:r>
                                <w:rPr>
                                  <w:rFonts w:ascii="Trebuchet MS"/>
                                  <w:b/>
                                  <w:color w:val="FFFFFF"/>
                                  <w:spacing w:val="-3"/>
                                  <w:sz w:val="68"/>
                                </w:rPr>
                                <w:t> </w:t>
                              </w:r>
                              <w:r>
                                <w:rPr>
                                  <w:rFonts w:ascii="Trebuchet MS"/>
                                  <w:b/>
                                  <w:color w:val="FFFFFF"/>
                                  <w:spacing w:val="-2"/>
                                  <w:sz w:val="68"/>
                                </w:rPr>
                                <w:t>Education</w:t>
                              </w:r>
                            </w:p>
                          </w:txbxContent>
                        </wps:txbx>
                        <wps:bodyPr wrap="square" lIns="0" tIns="0" rIns="0" bIns="0" rtlCol="0">
                          <a:noAutofit/>
                        </wps:bodyPr>
                      </wps:wsp>
                      <wps:wsp>
                        <wps:cNvPr id="890" name="Textbox 890"/>
                        <wps:cNvSpPr txBox="1"/>
                        <wps:spPr>
                          <a:xfrm>
                            <a:off x="5883460" y="1439105"/>
                            <a:ext cx="1003935" cy="158750"/>
                          </a:xfrm>
                          <a:prstGeom prst="rect">
                            <a:avLst/>
                          </a:prstGeom>
                        </wps:spPr>
                        <wps:txbx>
                          <w:txbxContent>
                            <w:p>
                              <w:pPr>
                                <w:spacing w:line="238" w:lineRule="exact" w:before="0"/>
                                <w:ind w:left="0" w:right="0" w:firstLine="0"/>
                                <w:jc w:val="left"/>
                                <w:rPr>
                                  <w:b/>
                                  <w:sz w:val="22"/>
                                </w:rPr>
                              </w:pPr>
                              <w:r>
                                <w:rPr>
                                  <w:b/>
                                  <w:color w:val="FFFFFF"/>
                                  <w:spacing w:val="-4"/>
                                  <w:sz w:val="22"/>
                                </w:rPr>
                                <w:t>October 16,</w:t>
                              </w:r>
                              <w:r>
                                <w:rPr>
                                  <w:b/>
                                  <w:color w:val="FFFFFF"/>
                                  <w:spacing w:val="-3"/>
                                  <w:sz w:val="22"/>
                                </w:rPr>
                                <w:t> </w:t>
                              </w:r>
                              <w:r>
                                <w:rPr>
                                  <w:b/>
                                  <w:color w:val="FFFFFF"/>
                                  <w:spacing w:val="-4"/>
                                  <w:sz w:val="22"/>
                                </w:rPr>
                                <w:t>2007</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64992" id="docshapegroup880" coordorigin="0,-3586" coordsize="11906,2760">
                <v:shape style="position:absolute;left:0;top:-3587;width:11906;height:2760" type="#_x0000_t75" id="docshape881" stroked="false">
                  <v:imagedata r:id="rId612" o:title=""/>
                </v:shape>
                <v:shape style="position:absolute;left:1080;top:-2644;width:5784;height:790" type="#_x0000_t202" id="docshape882" filled="false" stroked="false">
                  <v:textbox inset="0,0,0,0">
                    <w:txbxContent>
                      <w:p>
                        <w:pPr>
                          <w:spacing w:before="0"/>
                          <w:ind w:left="0" w:right="0" w:firstLine="0"/>
                          <w:jc w:val="left"/>
                          <w:rPr>
                            <w:rFonts w:ascii="Trebuchet MS"/>
                            <w:b/>
                            <w:sz w:val="68"/>
                          </w:rPr>
                        </w:pPr>
                        <w:r>
                          <w:rPr>
                            <w:rFonts w:ascii="Trebuchet MS"/>
                            <w:b/>
                            <w:color w:val="FFFFFF"/>
                            <w:sz w:val="68"/>
                          </w:rPr>
                          <w:t>Medical</w:t>
                        </w:r>
                        <w:r>
                          <w:rPr>
                            <w:rFonts w:ascii="Trebuchet MS"/>
                            <w:b/>
                            <w:color w:val="FFFFFF"/>
                            <w:spacing w:val="-3"/>
                            <w:sz w:val="68"/>
                          </w:rPr>
                          <w:t> </w:t>
                        </w:r>
                        <w:r>
                          <w:rPr>
                            <w:rFonts w:ascii="Trebuchet MS"/>
                            <w:b/>
                            <w:color w:val="FFFFFF"/>
                            <w:spacing w:val="-2"/>
                            <w:sz w:val="68"/>
                          </w:rPr>
                          <w:t>Education</w:t>
                        </w:r>
                      </w:p>
                    </w:txbxContent>
                  </v:textbox>
                  <w10:wrap type="none"/>
                </v:shape>
                <v:shape style="position:absolute;left:9265;top:-1321;width:1581;height:250" type="#_x0000_t202" id="docshape883" filled="false" stroked="false">
                  <v:textbox inset="0,0,0,0">
                    <w:txbxContent>
                      <w:p>
                        <w:pPr>
                          <w:spacing w:line="238" w:lineRule="exact" w:before="0"/>
                          <w:ind w:left="0" w:right="0" w:firstLine="0"/>
                          <w:jc w:val="left"/>
                          <w:rPr>
                            <w:b/>
                            <w:sz w:val="22"/>
                          </w:rPr>
                        </w:pPr>
                        <w:r>
                          <w:rPr>
                            <w:b/>
                            <w:color w:val="FFFFFF"/>
                            <w:spacing w:val="-4"/>
                            <w:sz w:val="22"/>
                          </w:rPr>
                          <w:t>October 16,</w:t>
                        </w:r>
                        <w:r>
                          <w:rPr>
                            <w:b/>
                            <w:color w:val="FFFFFF"/>
                            <w:spacing w:val="-3"/>
                            <w:sz w:val="22"/>
                          </w:rPr>
                          <w:t> </w:t>
                        </w:r>
                        <w:r>
                          <w:rPr>
                            <w:b/>
                            <w:color w:val="FFFFFF"/>
                            <w:spacing w:val="-4"/>
                            <w:sz w:val="22"/>
                          </w:rPr>
                          <w:t>2007</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2080">
                <wp:simplePos x="0" y="0"/>
                <wp:positionH relativeFrom="page">
                  <wp:posOffset>685799</wp:posOffset>
                </wp:positionH>
                <wp:positionV relativeFrom="paragraph">
                  <wp:posOffset>-36774</wp:posOffset>
                </wp:positionV>
                <wp:extent cx="446405" cy="757555"/>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8956pt;width:35.15pt;height:59.65pt;mso-position-horizontal-relative:page;mso-position-vertical-relative:paragraph;z-index:-23974400" type="#_x0000_t202" id="docshape884"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quality, the quantity, distribution </w:t>
      </w:r>
      <w:r>
        <w:rPr/>
        <w:t>and availability</w:t>
      </w:r>
      <w:r>
        <w:rPr>
          <w:spacing w:val="-4"/>
        </w:rPr>
        <w:t> </w:t>
      </w:r>
      <w:r>
        <w:rPr/>
        <w:t>of</w:t>
      </w:r>
      <w:r>
        <w:rPr>
          <w:spacing w:val="-4"/>
        </w:rPr>
        <w:t> </w:t>
      </w:r>
      <w:r>
        <w:rPr/>
        <w:t>human</w:t>
      </w:r>
      <w:r>
        <w:rPr>
          <w:spacing w:val="-4"/>
        </w:rPr>
        <w:t> </w:t>
      </w:r>
      <w:r>
        <w:rPr/>
        <w:t>resources</w:t>
      </w:r>
      <w:r>
        <w:rPr>
          <w:spacing w:val="-4"/>
        </w:rPr>
        <w:t> </w:t>
      </w:r>
      <w:r>
        <w:rPr/>
        <w:t>for</w:t>
      </w:r>
      <w:r>
        <w:rPr>
          <w:spacing w:val="-4"/>
        </w:rPr>
        <w:t> </w:t>
      </w:r>
      <w:r>
        <w:rPr/>
        <w:t>the</w:t>
      </w:r>
      <w:r>
        <w:rPr>
          <w:spacing w:val="-4"/>
        </w:rPr>
        <w:t> </w:t>
      </w:r>
      <w:r>
        <w:rPr/>
        <w:t>health sector</w:t>
      </w:r>
      <w:r>
        <w:rPr>
          <w:spacing w:val="-7"/>
        </w:rPr>
        <w:t> </w:t>
      </w:r>
      <w:r>
        <w:rPr/>
        <w:t>in</w:t>
      </w:r>
      <w:r>
        <w:rPr>
          <w:spacing w:val="-6"/>
        </w:rPr>
        <w:t> </w:t>
      </w:r>
      <w:r>
        <w:rPr/>
        <w:t>India</w:t>
      </w:r>
      <w:r>
        <w:rPr>
          <w:spacing w:val="-6"/>
        </w:rPr>
        <w:t> </w:t>
      </w:r>
      <w:r>
        <w:rPr/>
        <w:t>at</w:t>
      </w:r>
      <w:r>
        <w:rPr>
          <w:spacing w:val="-6"/>
        </w:rPr>
        <w:t> </w:t>
      </w:r>
      <w:r>
        <w:rPr/>
        <w:t>present,</w:t>
      </w:r>
      <w:r>
        <w:rPr>
          <w:spacing w:val="-6"/>
        </w:rPr>
        <w:t> </w:t>
      </w:r>
      <w:r>
        <w:rPr/>
        <w:t>need</w:t>
      </w:r>
      <w:r>
        <w:rPr>
          <w:spacing w:val="-7"/>
        </w:rPr>
        <w:t> </w:t>
      </w:r>
      <w:r>
        <w:rPr/>
        <w:t>to</w:t>
      </w:r>
      <w:r>
        <w:rPr>
          <w:spacing w:val="-6"/>
        </w:rPr>
        <w:t> </w:t>
      </w:r>
      <w:r>
        <w:rPr/>
        <w:t>be</w:t>
      </w:r>
      <w:r>
        <w:rPr>
          <w:spacing w:val="-6"/>
        </w:rPr>
        <w:t> </w:t>
      </w:r>
      <w:r>
        <w:rPr>
          <w:spacing w:val="-4"/>
        </w:rPr>
        <w:t>improved</w:t>
      </w:r>
    </w:p>
    <w:p>
      <w:pPr>
        <w:pStyle w:val="BodyText"/>
        <w:spacing w:line="266" w:lineRule="auto"/>
        <w:ind w:left="1080"/>
        <w:jc w:val="both"/>
      </w:pPr>
      <w:r>
        <w:rPr/>
        <w:t>substantially to deliver care-driven, rural </w:t>
      </w:r>
      <w:r>
        <w:rPr/>
        <w:t>oriented and equitable health services. Over the years, health related</w:t>
      </w:r>
      <w:r>
        <w:rPr>
          <w:spacing w:val="-14"/>
        </w:rPr>
        <w:t> </w:t>
      </w:r>
      <w:r>
        <w:rPr/>
        <w:t>education</w:t>
      </w:r>
      <w:r>
        <w:rPr>
          <w:spacing w:val="-14"/>
        </w:rPr>
        <w:t> </w:t>
      </w:r>
      <w:r>
        <w:rPr/>
        <w:t>and</w:t>
      </w:r>
      <w:r>
        <w:rPr>
          <w:spacing w:val="-14"/>
        </w:rPr>
        <w:t> </w:t>
      </w:r>
      <w:r>
        <w:rPr/>
        <w:t>training</w:t>
      </w:r>
      <w:r>
        <w:rPr>
          <w:spacing w:val="-13"/>
        </w:rPr>
        <w:t> </w:t>
      </w:r>
      <w:r>
        <w:rPr/>
        <w:t>has</w:t>
      </w:r>
      <w:r>
        <w:rPr>
          <w:spacing w:val="-14"/>
        </w:rPr>
        <w:t> </w:t>
      </w:r>
      <w:r>
        <w:rPr/>
        <w:t>become</w:t>
      </w:r>
      <w:r>
        <w:rPr>
          <w:spacing w:val="-14"/>
        </w:rPr>
        <w:t> </w:t>
      </w:r>
      <w:r>
        <w:rPr/>
        <w:t>more</w:t>
      </w:r>
      <w:r>
        <w:rPr>
          <w:spacing w:val="-14"/>
        </w:rPr>
        <w:t> </w:t>
      </w:r>
      <w:r>
        <w:rPr/>
        <w:t>urban oriented, doctor-centric and technology-driven. The environment of medical education needs to be both </w:t>
      </w:r>
      <w:r>
        <w:rPr>
          <w:spacing w:val="-4"/>
        </w:rPr>
        <w:t>nationally</w:t>
      </w:r>
      <w:r>
        <w:rPr>
          <w:spacing w:val="-10"/>
        </w:rPr>
        <w:t> </w:t>
      </w:r>
      <w:r>
        <w:rPr>
          <w:spacing w:val="-4"/>
        </w:rPr>
        <w:t>sensitive</w:t>
      </w:r>
      <w:r>
        <w:rPr>
          <w:spacing w:val="-10"/>
        </w:rPr>
        <w:t> </w:t>
      </w:r>
      <w:r>
        <w:rPr>
          <w:spacing w:val="-4"/>
        </w:rPr>
        <w:t>and</w:t>
      </w:r>
      <w:r>
        <w:rPr>
          <w:spacing w:val="-10"/>
        </w:rPr>
        <w:t> </w:t>
      </w:r>
      <w:r>
        <w:rPr>
          <w:spacing w:val="-4"/>
        </w:rPr>
        <w:t>globally</w:t>
      </w:r>
      <w:r>
        <w:rPr>
          <w:spacing w:val="-9"/>
        </w:rPr>
        <w:t> </w:t>
      </w:r>
      <w:r>
        <w:rPr>
          <w:spacing w:val="-4"/>
        </w:rPr>
        <w:t>competitive.</w:t>
      </w:r>
      <w:r>
        <w:rPr>
          <w:spacing w:val="-10"/>
        </w:rPr>
        <w:t> </w:t>
      </w:r>
      <w:r>
        <w:rPr>
          <w:spacing w:val="-4"/>
        </w:rPr>
        <w:t>To</w:t>
      </w:r>
      <w:r>
        <w:rPr>
          <w:spacing w:val="-10"/>
        </w:rPr>
        <w:t> </w:t>
      </w:r>
      <w:r>
        <w:rPr>
          <w:spacing w:val="-4"/>
        </w:rPr>
        <w:t>realise </w:t>
      </w:r>
      <w:r>
        <w:rPr/>
        <w:t>these</w:t>
      </w:r>
      <w:r>
        <w:rPr>
          <w:spacing w:val="-6"/>
        </w:rPr>
        <w:t> </w:t>
      </w:r>
      <w:r>
        <w:rPr/>
        <w:t>objectives,</w:t>
      </w:r>
      <w:r>
        <w:rPr>
          <w:spacing w:val="-6"/>
        </w:rPr>
        <w:t> </w:t>
      </w:r>
      <w:r>
        <w:rPr/>
        <w:t>our</w:t>
      </w:r>
      <w:r>
        <w:rPr>
          <w:spacing w:val="-6"/>
        </w:rPr>
        <w:t> </w:t>
      </w:r>
      <w:r>
        <w:rPr/>
        <w:t>medical</w:t>
      </w:r>
      <w:r>
        <w:rPr>
          <w:spacing w:val="-6"/>
        </w:rPr>
        <w:t> </w:t>
      </w:r>
      <w:r>
        <w:rPr/>
        <w:t>education</w:t>
      </w:r>
      <w:r>
        <w:rPr>
          <w:spacing w:val="-6"/>
        </w:rPr>
        <w:t> </w:t>
      </w:r>
      <w:r>
        <w:rPr/>
        <w:t>system</w:t>
      </w:r>
      <w:r>
        <w:rPr>
          <w:spacing w:val="-6"/>
        </w:rPr>
        <w:t> </w:t>
      </w:r>
      <w:r>
        <w:rPr/>
        <w:t>needs radical reforms.</w:t>
      </w:r>
    </w:p>
    <w:p>
      <w:pPr>
        <w:pStyle w:val="BodyText"/>
        <w:spacing w:before="18"/>
      </w:pPr>
    </w:p>
    <w:p>
      <w:pPr>
        <w:pStyle w:val="BodyText"/>
        <w:spacing w:line="266" w:lineRule="auto" w:before="1"/>
        <w:ind w:left="1080"/>
        <w:jc w:val="both"/>
      </w:pPr>
      <w:r>
        <w:rPr/>
        <w:t>The National Knowledge Commission </w:t>
      </w:r>
      <w:r>
        <w:rPr/>
        <w:t>therefore considered</w:t>
      </w:r>
      <w:r>
        <w:rPr>
          <w:spacing w:val="-12"/>
        </w:rPr>
        <w:t> </w:t>
      </w:r>
      <w:r>
        <w:rPr/>
        <w:t>it</w:t>
      </w:r>
      <w:r>
        <w:rPr>
          <w:spacing w:val="-12"/>
        </w:rPr>
        <w:t> </w:t>
      </w:r>
      <w:r>
        <w:rPr/>
        <w:t>imperative</w:t>
      </w:r>
      <w:r>
        <w:rPr>
          <w:spacing w:val="-12"/>
        </w:rPr>
        <w:t> </w:t>
      </w:r>
      <w:r>
        <w:rPr/>
        <w:t>to</w:t>
      </w:r>
      <w:r>
        <w:rPr>
          <w:spacing w:val="-12"/>
        </w:rPr>
        <w:t> </w:t>
      </w:r>
      <w:r>
        <w:rPr/>
        <w:t>carry</w:t>
      </w:r>
      <w:r>
        <w:rPr>
          <w:spacing w:val="-12"/>
        </w:rPr>
        <w:t> </w:t>
      </w:r>
      <w:r>
        <w:rPr/>
        <w:t>out</w:t>
      </w:r>
      <w:r>
        <w:rPr>
          <w:spacing w:val="-12"/>
        </w:rPr>
        <w:t> </w:t>
      </w:r>
      <w:r>
        <w:rPr/>
        <w:t>a</w:t>
      </w:r>
      <w:r>
        <w:rPr>
          <w:spacing w:val="-12"/>
        </w:rPr>
        <w:t> </w:t>
      </w:r>
      <w:r>
        <w:rPr/>
        <w:t>comprehensive appraisal of the system. For this purpose, a Working </w:t>
      </w:r>
      <w:r>
        <w:rPr>
          <w:spacing w:val="-6"/>
        </w:rPr>
        <w:t>Group was constituted which included some of the most </w:t>
      </w:r>
      <w:r>
        <w:rPr/>
        <w:t>distinguished members of the medical profession in </w:t>
      </w:r>
      <w:r>
        <w:rPr>
          <w:spacing w:val="-4"/>
        </w:rPr>
        <w:t>India, chaired by Dr. Sneha Bhargava, former Director, </w:t>
      </w:r>
      <w:r>
        <w:rPr/>
        <w:t>AIIMS.</w:t>
      </w:r>
      <w:r>
        <w:rPr>
          <w:spacing w:val="-10"/>
        </w:rPr>
        <w:t> </w:t>
      </w:r>
      <w:r>
        <w:rPr/>
        <w:t>Based</w:t>
      </w:r>
      <w:r>
        <w:rPr>
          <w:spacing w:val="-10"/>
        </w:rPr>
        <w:t> </w:t>
      </w:r>
      <w:r>
        <w:rPr/>
        <w:t>on</w:t>
      </w:r>
      <w:r>
        <w:rPr>
          <w:spacing w:val="-10"/>
        </w:rPr>
        <w:t> </w:t>
      </w:r>
      <w:r>
        <w:rPr/>
        <w:t>the</w:t>
      </w:r>
      <w:r>
        <w:rPr>
          <w:spacing w:val="-10"/>
        </w:rPr>
        <w:t> </w:t>
      </w:r>
      <w:r>
        <w:rPr/>
        <w:t>inputs</w:t>
      </w:r>
      <w:r>
        <w:rPr>
          <w:spacing w:val="-10"/>
        </w:rPr>
        <w:t> </w:t>
      </w:r>
      <w:r>
        <w:rPr/>
        <w:t>provided</w:t>
      </w:r>
      <w:r>
        <w:rPr>
          <w:spacing w:val="-10"/>
        </w:rPr>
        <w:t> </w:t>
      </w:r>
      <w:r>
        <w:rPr/>
        <w:t>by</w:t>
      </w:r>
      <w:r>
        <w:rPr>
          <w:spacing w:val="-10"/>
        </w:rPr>
        <w:t> </w:t>
      </w:r>
      <w:r>
        <w:rPr/>
        <w:t>the</w:t>
      </w:r>
      <w:r>
        <w:rPr>
          <w:spacing w:val="-13"/>
        </w:rPr>
        <w:t> </w:t>
      </w:r>
      <w:r>
        <w:rPr/>
        <w:t>Working Group and further consultations with concerned stakeholders, NKC recommended the following:</w:t>
      </w:r>
    </w:p>
    <w:p>
      <w:pPr>
        <w:pStyle w:val="Heading6"/>
        <w:numPr>
          <w:ilvl w:val="2"/>
          <w:numId w:val="26"/>
        </w:numPr>
        <w:tabs>
          <w:tab w:pos="1375" w:val="left" w:leader="none"/>
        </w:tabs>
        <w:spacing w:line="240" w:lineRule="auto" w:before="179" w:after="0"/>
        <w:ind w:left="1375" w:right="0" w:hanging="296"/>
        <w:jc w:val="left"/>
      </w:pPr>
      <w:r>
        <w:rPr>
          <w:color w:val="2E614A"/>
          <w:spacing w:val="-6"/>
          <w:w w:val="90"/>
        </w:rPr>
        <w:t>Regulation</w:t>
      </w:r>
      <w:r>
        <w:rPr>
          <w:color w:val="2E614A"/>
          <w:spacing w:val="-9"/>
          <w:w w:val="90"/>
        </w:rPr>
        <w:t> </w:t>
      </w:r>
      <w:r>
        <w:rPr>
          <w:color w:val="2E614A"/>
          <w:spacing w:val="-6"/>
          <w:w w:val="90"/>
        </w:rPr>
        <w:t>and</w:t>
      </w:r>
      <w:r>
        <w:rPr>
          <w:color w:val="2E614A"/>
          <w:spacing w:val="-8"/>
          <w:w w:val="90"/>
        </w:rPr>
        <w:t> </w:t>
      </w:r>
      <w:r>
        <w:rPr>
          <w:color w:val="2E614A"/>
          <w:spacing w:val="-6"/>
          <w:w w:val="90"/>
        </w:rPr>
        <w:t>Accreditation</w:t>
      </w:r>
    </w:p>
    <w:p>
      <w:pPr>
        <w:pStyle w:val="Heading7"/>
        <w:spacing w:before="248"/>
        <w:ind w:left="1079"/>
      </w:pPr>
      <w:r>
        <w:rPr>
          <w:color w:val="2E614A"/>
          <w:spacing w:val="-2"/>
        </w:rPr>
        <w:t>Regulation</w:t>
      </w:r>
    </w:p>
    <w:p>
      <w:pPr>
        <w:pStyle w:val="BodyText"/>
        <w:spacing w:line="266" w:lineRule="auto" w:before="298"/>
        <w:ind w:left="1079"/>
        <w:jc w:val="both"/>
      </w:pPr>
      <w:r>
        <w:rPr/>
        <w:t>At</w:t>
      </w:r>
      <w:r>
        <w:rPr>
          <w:spacing w:val="-7"/>
        </w:rPr>
        <w:t> </w:t>
      </w:r>
      <w:r>
        <w:rPr/>
        <w:t>present,</w:t>
      </w:r>
      <w:r>
        <w:rPr>
          <w:spacing w:val="-7"/>
        </w:rPr>
        <w:t> </w:t>
      </w:r>
      <w:r>
        <w:rPr/>
        <w:t>medical</w:t>
      </w:r>
      <w:r>
        <w:rPr>
          <w:spacing w:val="-7"/>
        </w:rPr>
        <w:t> </w:t>
      </w:r>
      <w:r>
        <w:rPr/>
        <w:t>education</w:t>
      </w:r>
      <w:r>
        <w:rPr>
          <w:spacing w:val="-7"/>
        </w:rPr>
        <w:t> </w:t>
      </w:r>
      <w:r>
        <w:rPr/>
        <w:t>in</w:t>
      </w:r>
      <w:r>
        <w:rPr>
          <w:spacing w:val="-7"/>
        </w:rPr>
        <w:t> </w:t>
      </w:r>
      <w:r>
        <w:rPr/>
        <w:t>India</w:t>
      </w:r>
      <w:r>
        <w:rPr>
          <w:spacing w:val="-7"/>
        </w:rPr>
        <w:t> </w:t>
      </w:r>
      <w:r>
        <w:rPr/>
        <w:t>is</w:t>
      </w:r>
      <w:r>
        <w:rPr>
          <w:spacing w:val="-7"/>
        </w:rPr>
        <w:t> </w:t>
      </w:r>
      <w:r>
        <w:rPr/>
        <w:t>regulated</w:t>
      </w:r>
      <w:r>
        <w:rPr>
          <w:spacing w:val="-7"/>
        </w:rPr>
        <w:t> </w:t>
      </w:r>
      <w:r>
        <w:rPr/>
        <w:t>by the Medical Council of India (MCI). This system of regulation</w:t>
      </w:r>
      <w:r>
        <w:rPr>
          <w:spacing w:val="-8"/>
        </w:rPr>
        <w:t> </w:t>
      </w:r>
      <w:r>
        <w:rPr/>
        <w:t>is</w:t>
      </w:r>
      <w:r>
        <w:rPr>
          <w:spacing w:val="-8"/>
        </w:rPr>
        <w:t> </w:t>
      </w:r>
      <w:r>
        <w:rPr/>
        <w:t>neither</w:t>
      </w:r>
      <w:r>
        <w:rPr>
          <w:spacing w:val="-8"/>
        </w:rPr>
        <w:t> </w:t>
      </w:r>
      <w:r>
        <w:rPr/>
        <w:t>adequate</w:t>
      </w:r>
      <w:r>
        <w:rPr>
          <w:spacing w:val="-8"/>
        </w:rPr>
        <w:t> </w:t>
      </w:r>
      <w:r>
        <w:rPr/>
        <w:t>nor</w:t>
      </w:r>
      <w:r>
        <w:rPr>
          <w:spacing w:val="-8"/>
        </w:rPr>
        <w:t> </w:t>
      </w:r>
      <w:r>
        <w:rPr/>
        <w:t>appropriate</w:t>
      </w:r>
      <w:r>
        <w:rPr>
          <w:spacing w:val="-8"/>
        </w:rPr>
        <w:t> </w:t>
      </w:r>
      <w:r>
        <w:rPr/>
        <w:t>to</w:t>
      </w:r>
      <w:r>
        <w:rPr>
          <w:spacing w:val="-8"/>
        </w:rPr>
        <w:t> </w:t>
      </w:r>
      <w:r>
        <w:rPr/>
        <w:t>meet the needs of the profession.</w:t>
      </w:r>
      <w:r>
        <w:rPr>
          <w:spacing w:val="-5"/>
        </w:rPr>
        <w:t> </w:t>
      </w:r>
      <w:r>
        <w:rPr/>
        <w:t>Therefore, in conformity with</w:t>
      </w:r>
      <w:r>
        <w:rPr>
          <w:spacing w:val="36"/>
        </w:rPr>
        <w:t> </w:t>
      </w:r>
      <w:r>
        <w:rPr/>
        <w:t>NKC</w:t>
      </w:r>
      <w:r>
        <w:rPr>
          <w:spacing w:val="36"/>
        </w:rPr>
        <w:t> </w:t>
      </w:r>
      <w:r>
        <w:rPr/>
        <w:t>recommendations</w:t>
      </w:r>
      <w:r>
        <w:rPr>
          <w:spacing w:val="36"/>
        </w:rPr>
        <w:t> </w:t>
      </w:r>
      <w:r>
        <w:rPr/>
        <w:t>on</w:t>
      </w:r>
      <w:r>
        <w:rPr>
          <w:spacing w:val="36"/>
        </w:rPr>
        <w:t> </w:t>
      </w:r>
      <w:r>
        <w:rPr/>
        <w:t>Higher</w:t>
      </w:r>
      <w:r>
        <w:rPr>
          <w:spacing w:val="36"/>
        </w:rPr>
        <w:t> </w:t>
      </w:r>
      <w:r>
        <w:rPr/>
        <w:t>Education, a Standing Committee within the structure of the </w:t>
      </w:r>
      <w:r>
        <w:rPr>
          <w:spacing w:val="-6"/>
        </w:rPr>
        <w:t>Independent Regulatory Authority for Higher Education </w:t>
      </w:r>
      <w:r>
        <w:rPr/>
        <w:t>(IRAHE)</w:t>
      </w:r>
      <w:r>
        <w:rPr>
          <w:spacing w:val="-14"/>
        </w:rPr>
        <w:t> </w:t>
      </w:r>
      <w:r>
        <w:rPr/>
        <w:t>may</w:t>
      </w:r>
      <w:r>
        <w:rPr>
          <w:spacing w:val="-14"/>
        </w:rPr>
        <w:t> </w:t>
      </w:r>
      <w:r>
        <w:rPr/>
        <w:t>be</w:t>
      </w:r>
      <w:r>
        <w:rPr>
          <w:spacing w:val="-14"/>
        </w:rPr>
        <w:t> </w:t>
      </w:r>
      <w:r>
        <w:rPr/>
        <w:t>constituted.</w:t>
      </w:r>
      <w:r>
        <w:rPr>
          <w:spacing w:val="-13"/>
        </w:rPr>
        <w:t> </w:t>
      </w:r>
      <w:r>
        <w:rPr/>
        <w:t>The</w:t>
      </w:r>
      <w:r>
        <w:rPr>
          <w:spacing w:val="-14"/>
        </w:rPr>
        <w:t> </w:t>
      </w:r>
      <w:r>
        <w:rPr/>
        <w:t>primary</w:t>
      </w:r>
      <w:r>
        <w:rPr>
          <w:spacing w:val="-14"/>
        </w:rPr>
        <w:t> </w:t>
      </w:r>
      <w:r>
        <w:rPr/>
        <w:t>function</w:t>
      </w:r>
      <w:r>
        <w:rPr>
          <w:spacing w:val="-14"/>
        </w:rPr>
        <w:t> </w:t>
      </w:r>
      <w:r>
        <w:rPr/>
        <w:t>of the</w:t>
      </w:r>
      <w:r>
        <w:rPr>
          <w:spacing w:val="-16"/>
        </w:rPr>
        <w:t> </w:t>
      </w:r>
      <w:r>
        <w:rPr/>
        <w:t>Standing</w:t>
      </w:r>
      <w:r>
        <w:rPr>
          <w:spacing w:val="-14"/>
        </w:rPr>
        <w:t> </w:t>
      </w:r>
      <w:r>
        <w:rPr/>
        <w:t>Committee</w:t>
      </w:r>
      <w:r>
        <w:rPr>
          <w:spacing w:val="-14"/>
        </w:rPr>
        <w:t> </w:t>
      </w:r>
      <w:r>
        <w:rPr/>
        <w:t>will</w:t>
      </w:r>
      <w:r>
        <w:rPr>
          <w:spacing w:val="-13"/>
        </w:rPr>
        <w:t> </w:t>
      </w:r>
      <w:r>
        <w:rPr/>
        <w:t>be</w:t>
      </w:r>
      <w:r>
        <w:rPr>
          <w:spacing w:val="-14"/>
        </w:rPr>
        <w:t> </w:t>
      </w:r>
      <w:r>
        <w:rPr/>
        <w:t>to</w:t>
      </w:r>
      <w:r>
        <w:rPr>
          <w:spacing w:val="-14"/>
        </w:rPr>
        <w:t> </w:t>
      </w:r>
      <w:r>
        <w:rPr/>
        <w:t>ensure</w:t>
      </w:r>
      <w:r>
        <w:rPr>
          <w:spacing w:val="-14"/>
        </w:rPr>
        <w:t> </w:t>
      </w:r>
      <w:r>
        <w:rPr/>
        <w:t>that</w:t>
      </w:r>
      <w:r>
        <w:rPr>
          <w:spacing w:val="-13"/>
        </w:rPr>
        <w:t> </w:t>
      </w:r>
      <w:r>
        <w:rPr/>
        <w:t>medical </w:t>
      </w:r>
      <w:r>
        <w:rPr>
          <w:spacing w:val="-2"/>
        </w:rPr>
        <w:t>practice</w:t>
      </w:r>
      <w:r>
        <w:rPr>
          <w:spacing w:val="-12"/>
        </w:rPr>
        <w:t> </w:t>
      </w:r>
      <w:r>
        <w:rPr>
          <w:spacing w:val="-2"/>
        </w:rPr>
        <w:t>and</w:t>
      </w:r>
      <w:r>
        <w:rPr>
          <w:spacing w:val="-12"/>
        </w:rPr>
        <w:t> </w:t>
      </w:r>
      <w:r>
        <w:rPr>
          <w:spacing w:val="-2"/>
        </w:rPr>
        <w:t>teaching</w:t>
      </w:r>
      <w:r>
        <w:rPr>
          <w:spacing w:val="-12"/>
        </w:rPr>
        <w:t> </w:t>
      </w:r>
      <w:r>
        <w:rPr>
          <w:spacing w:val="-2"/>
        </w:rPr>
        <w:t>are</w:t>
      </w:r>
      <w:r>
        <w:rPr>
          <w:spacing w:val="-11"/>
        </w:rPr>
        <w:t> </w:t>
      </w:r>
      <w:r>
        <w:rPr>
          <w:spacing w:val="-2"/>
        </w:rPr>
        <w:t>updated</w:t>
      </w:r>
      <w:r>
        <w:rPr>
          <w:spacing w:val="-12"/>
        </w:rPr>
        <w:t> </w:t>
      </w:r>
      <w:r>
        <w:rPr>
          <w:spacing w:val="-2"/>
        </w:rPr>
        <w:t>and</w:t>
      </w:r>
      <w:r>
        <w:rPr>
          <w:spacing w:val="-12"/>
        </w:rPr>
        <w:t> </w:t>
      </w:r>
      <w:r>
        <w:rPr>
          <w:spacing w:val="-2"/>
        </w:rPr>
        <w:t>revised</w:t>
      </w:r>
      <w:r>
        <w:rPr>
          <w:spacing w:val="-12"/>
        </w:rPr>
        <w:t> </w:t>
      </w:r>
      <w:r>
        <w:rPr>
          <w:spacing w:val="-2"/>
        </w:rPr>
        <w:t>regularly </w:t>
      </w:r>
      <w:r>
        <w:rPr/>
        <w:t>and</w:t>
      </w:r>
      <w:r>
        <w:rPr>
          <w:spacing w:val="40"/>
        </w:rPr>
        <w:t> </w:t>
      </w:r>
      <w:r>
        <w:rPr/>
        <w:t>minimum</w:t>
      </w:r>
      <w:r>
        <w:rPr>
          <w:spacing w:val="40"/>
        </w:rPr>
        <w:t> </w:t>
      </w:r>
      <w:r>
        <w:rPr/>
        <w:t>quality</w:t>
      </w:r>
      <w:r>
        <w:rPr>
          <w:spacing w:val="40"/>
        </w:rPr>
        <w:t> </w:t>
      </w:r>
      <w:r>
        <w:rPr/>
        <w:t>standards</w:t>
      </w:r>
      <w:r>
        <w:rPr>
          <w:spacing w:val="40"/>
        </w:rPr>
        <w:t> </w:t>
      </w:r>
      <w:r>
        <w:rPr/>
        <w:t>are</w:t>
      </w:r>
      <w:r>
        <w:rPr>
          <w:spacing w:val="40"/>
        </w:rPr>
        <w:t> </w:t>
      </w:r>
      <w:r>
        <w:rPr/>
        <w:t>maintained. The members of the Standing Committee would </w:t>
      </w:r>
      <w:r>
        <w:rPr>
          <w:spacing w:val="-4"/>
        </w:rPr>
        <w:t>include faculty from recognised universities, practising </w:t>
      </w:r>
      <w:r>
        <w:rPr/>
        <w:t>physicians, members of civil society, students and a director from autonomous institutions representing educators. The Chairman and the members of the </w:t>
      </w:r>
      <w:r>
        <w:rPr>
          <w:spacing w:val="-2"/>
        </w:rPr>
        <w:t>Standing</w:t>
      </w:r>
      <w:r>
        <w:rPr>
          <w:spacing w:val="-8"/>
        </w:rPr>
        <w:t> </w:t>
      </w:r>
      <w:r>
        <w:rPr>
          <w:spacing w:val="-2"/>
        </w:rPr>
        <w:t>Committee</w:t>
      </w:r>
      <w:r>
        <w:rPr>
          <w:spacing w:val="-7"/>
        </w:rPr>
        <w:t> </w:t>
      </w:r>
      <w:r>
        <w:rPr>
          <w:spacing w:val="-2"/>
        </w:rPr>
        <w:t>would</w:t>
      </w:r>
      <w:r>
        <w:rPr>
          <w:spacing w:val="-7"/>
        </w:rPr>
        <w:t> </w:t>
      </w:r>
      <w:r>
        <w:rPr>
          <w:spacing w:val="-2"/>
        </w:rPr>
        <w:t>be</w:t>
      </w:r>
      <w:r>
        <w:rPr>
          <w:spacing w:val="-8"/>
        </w:rPr>
        <w:t> </w:t>
      </w:r>
      <w:r>
        <w:rPr>
          <w:spacing w:val="-2"/>
        </w:rPr>
        <w:t>accountable</w:t>
      </w:r>
      <w:r>
        <w:rPr>
          <w:spacing w:val="-7"/>
        </w:rPr>
        <w:t> </w:t>
      </w:r>
      <w:r>
        <w:rPr>
          <w:spacing w:val="-2"/>
        </w:rPr>
        <w:t>to</w:t>
      </w:r>
      <w:r>
        <w:rPr>
          <w:spacing w:val="-7"/>
        </w:rPr>
        <w:t> </w:t>
      </w:r>
      <w:r>
        <w:rPr>
          <w:spacing w:val="-2"/>
        </w:rPr>
        <w:t>IRAHE.</w:t>
      </w:r>
    </w:p>
    <w:p>
      <w:pPr>
        <w:pStyle w:val="BodyText"/>
        <w:spacing w:line="266" w:lineRule="auto" w:before="82"/>
        <w:ind w:left="319" w:right="1077"/>
        <w:jc w:val="both"/>
      </w:pPr>
      <w:r>
        <w:rPr/>
        <w:br w:type="column"/>
      </w:r>
      <w:r>
        <w:rPr/>
        <w:t>The Standing Committee would look into </w:t>
      </w:r>
      <w:r>
        <w:rPr/>
        <w:t>manpower planning and development based on disease-profile, doctor-population ratio and skill-mix ratio.</w:t>
      </w:r>
    </w:p>
    <w:p>
      <w:pPr>
        <w:pStyle w:val="Heading7"/>
        <w:spacing w:before="241"/>
      </w:pPr>
      <w:r>
        <w:rPr>
          <w:color w:val="2E614A"/>
          <w:w w:val="90"/>
        </w:rPr>
        <w:t>Professional</w:t>
      </w:r>
      <w:r>
        <w:rPr>
          <w:color w:val="2E614A"/>
          <w:spacing w:val="8"/>
        </w:rPr>
        <w:t> </w:t>
      </w:r>
      <w:r>
        <w:rPr>
          <w:color w:val="2E614A"/>
          <w:spacing w:val="-2"/>
        </w:rPr>
        <w:t>Councils</w:t>
      </w:r>
    </w:p>
    <w:p>
      <w:pPr>
        <w:pStyle w:val="BodyText"/>
        <w:spacing w:line="266" w:lineRule="auto" w:before="298"/>
        <w:ind w:left="319" w:right="1077"/>
        <w:jc w:val="both"/>
      </w:pPr>
      <w:r>
        <w:rPr>
          <w:w w:val="90"/>
        </w:rPr>
        <w:t>The Indian Medical Council Act should be amended such </w:t>
      </w:r>
      <w:r>
        <w:rPr/>
        <w:t>that</w:t>
      </w:r>
      <w:r>
        <w:rPr>
          <w:spacing w:val="-10"/>
        </w:rPr>
        <w:t> </w:t>
      </w:r>
      <w:r>
        <w:rPr/>
        <w:t>MCI</w:t>
      </w:r>
      <w:r>
        <w:rPr>
          <w:spacing w:val="-10"/>
        </w:rPr>
        <w:t> </w:t>
      </w:r>
      <w:r>
        <w:rPr/>
        <w:t>functions</w:t>
      </w:r>
      <w:r>
        <w:rPr>
          <w:spacing w:val="-10"/>
        </w:rPr>
        <w:t> </w:t>
      </w:r>
      <w:r>
        <w:rPr/>
        <w:t>only</w:t>
      </w:r>
      <w:r>
        <w:rPr>
          <w:spacing w:val="-10"/>
        </w:rPr>
        <w:t> </w:t>
      </w:r>
      <w:r>
        <w:rPr/>
        <w:t>as</w:t>
      </w:r>
      <w:r>
        <w:rPr>
          <w:spacing w:val="-10"/>
        </w:rPr>
        <w:t> </w:t>
      </w:r>
      <w:r>
        <w:rPr/>
        <w:t>a</w:t>
      </w:r>
      <w:r>
        <w:rPr>
          <w:spacing w:val="-10"/>
        </w:rPr>
        <w:t> </w:t>
      </w:r>
      <w:r>
        <w:rPr/>
        <w:t>professional</w:t>
      </w:r>
      <w:r>
        <w:rPr>
          <w:spacing w:val="-10"/>
        </w:rPr>
        <w:t> </w:t>
      </w:r>
      <w:r>
        <w:rPr/>
        <w:t>association, with powers to conduct nationwide examinations, and</w:t>
      </w:r>
      <w:r>
        <w:rPr>
          <w:spacing w:val="-5"/>
        </w:rPr>
        <w:t> </w:t>
      </w:r>
      <w:r>
        <w:rPr/>
        <w:t>to</w:t>
      </w:r>
      <w:r>
        <w:rPr>
          <w:spacing w:val="-5"/>
        </w:rPr>
        <w:t> </w:t>
      </w:r>
      <w:r>
        <w:rPr/>
        <w:t>provide</w:t>
      </w:r>
      <w:r>
        <w:rPr>
          <w:spacing w:val="-5"/>
        </w:rPr>
        <w:t> </w:t>
      </w:r>
      <w:r>
        <w:rPr/>
        <w:t>licenses</w:t>
      </w:r>
      <w:r>
        <w:rPr>
          <w:spacing w:val="-5"/>
        </w:rPr>
        <w:t> </w:t>
      </w:r>
      <w:r>
        <w:rPr/>
        <w:t>for</w:t>
      </w:r>
      <w:r>
        <w:rPr>
          <w:spacing w:val="-5"/>
        </w:rPr>
        <w:t> </w:t>
      </w:r>
      <w:r>
        <w:rPr/>
        <w:t>those</w:t>
      </w:r>
      <w:r>
        <w:rPr>
          <w:spacing w:val="-5"/>
        </w:rPr>
        <w:t> </w:t>
      </w:r>
      <w:r>
        <w:rPr/>
        <w:t>who</w:t>
      </w:r>
      <w:r>
        <w:rPr>
          <w:spacing w:val="-5"/>
        </w:rPr>
        <w:t> </w:t>
      </w:r>
      <w:r>
        <w:rPr/>
        <w:t>wish</w:t>
      </w:r>
      <w:r>
        <w:rPr>
          <w:spacing w:val="-5"/>
        </w:rPr>
        <w:t> </w:t>
      </w:r>
      <w:r>
        <w:rPr/>
        <w:t>to</w:t>
      </w:r>
      <w:r>
        <w:rPr>
          <w:spacing w:val="-5"/>
        </w:rPr>
        <w:t> </w:t>
      </w:r>
      <w:r>
        <w:rPr/>
        <w:t>join</w:t>
      </w:r>
      <w:r>
        <w:rPr>
          <w:spacing w:val="-5"/>
        </w:rPr>
        <w:t> </w:t>
      </w:r>
      <w:r>
        <w:rPr/>
        <w:t>the </w:t>
      </w:r>
      <w:r>
        <w:rPr>
          <w:spacing w:val="-2"/>
        </w:rPr>
        <w:t>profession.</w:t>
      </w:r>
      <w:r>
        <w:rPr>
          <w:spacing w:val="-14"/>
        </w:rPr>
        <w:t> </w:t>
      </w:r>
      <w:r>
        <w:rPr>
          <w:spacing w:val="-2"/>
        </w:rPr>
        <w:t>Similar</w:t>
      </w:r>
      <w:r>
        <w:rPr>
          <w:spacing w:val="-12"/>
        </w:rPr>
        <w:t> </w:t>
      </w:r>
      <w:r>
        <w:rPr>
          <w:spacing w:val="-2"/>
        </w:rPr>
        <w:t>changes</w:t>
      </w:r>
      <w:r>
        <w:rPr>
          <w:spacing w:val="-12"/>
        </w:rPr>
        <w:t> </w:t>
      </w:r>
      <w:r>
        <w:rPr>
          <w:spacing w:val="-2"/>
        </w:rPr>
        <w:t>are</w:t>
      </w:r>
      <w:r>
        <w:rPr>
          <w:spacing w:val="-11"/>
        </w:rPr>
        <w:t> </w:t>
      </w:r>
      <w:r>
        <w:rPr>
          <w:spacing w:val="-2"/>
        </w:rPr>
        <w:t>needed</w:t>
      </w:r>
      <w:r>
        <w:rPr>
          <w:spacing w:val="-12"/>
        </w:rPr>
        <w:t> </w:t>
      </w:r>
      <w:r>
        <w:rPr>
          <w:spacing w:val="-2"/>
        </w:rPr>
        <w:t>for</w:t>
      </w:r>
      <w:r>
        <w:rPr>
          <w:spacing w:val="-12"/>
        </w:rPr>
        <w:t> </w:t>
      </w:r>
      <w:r>
        <w:rPr>
          <w:spacing w:val="-2"/>
        </w:rPr>
        <w:t>all</w:t>
      </w:r>
      <w:r>
        <w:rPr>
          <w:spacing w:val="-12"/>
        </w:rPr>
        <w:t> </w:t>
      </w:r>
      <w:r>
        <w:rPr>
          <w:spacing w:val="-2"/>
        </w:rPr>
        <w:t>the</w:t>
      </w:r>
      <w:r>
        <w:rPr>
          <w:spacing w:val="-11"/>
        </w:rPr>
        <w:t> </w:t>
      </w:r>
      <w:r>
        <w:rPr>
          <w:spacing w:val="-2"/>
        </w:rPr>
        <w:t>other </w:t>
      </w:r>
      <w:r>
        <w:rPr/>
        <w:t>Councils viz. Nursing Council, Pharmacy Council, Dental Council and Rehabilitation Council.</w:t>
      </w:r>
    </w:p>
    <w:p>
      <w:pPr>
        <w:pStyle w:val="Heading7"/>
        <w:spacing w:before="237"/>
      </w:pPr>
      <w:r>
        <w:rPr>
          <w:color w:val="2E614A"/>
          <w:spacing w:val="-2"/>
        </w:rPr>
        <w:t>Accreditation</w:t>
      </w:r>
    </w:p>
    <w:p>
      <w:pPr>
        <w:pStyle w:val="BodyText"/>
        <w:spacing w:line="266" w:lineRule="auto" w:before="298"/>
        <w:ind w:left="319" w:right="1077"/>
        <w:jc w:val="both"/>
      </w:pPr>
      <w:r>
        <w:rPr/>
        <w:t>IRAHE should be empowered to license </w:t>
      </w:r>
      <w:r>
        <w:rPr/>
        <w:t>suitable agencies for accreditation. Accreditation agencies could award different degrees of accreditation, such as “Full”, “Provisional” or “On Probation” and have the</w:t>
      </w:r>
      <w:r>
        <w:rPr>
          <w:spacing w:val="-3"/>
        </w:rPr>
        <w:t> </w:t>
      </w:r>
      <w:r>
        <w:rPr/>
        <w:t>power</w:t>
      </w:r>
      <w:r>
        <w:rPr>
          <w:spacing w:val="-3"/>
        </w:rPr>
        <w:t> </w:t>
      </w:r>
      <w:r>
        <w:rPr/>
        <w:t>to</w:t>
      </w:r>
      <w:r>
        <w:rPr>
          <w:spacing w:val="-3"/>
        </w:rPr>
        <w:t> </w:t>
      </w:r>
      <w:r>
        <w:rPr/>
        <w:t>de-recognise.</w:t>
      </w:r>
      <w:r>
        <w:rPr>
          <w:spacing w:val="-3"/>
        </w:rPr>
        <w:t> </w:t>
      </w:r>
      <w:r>
        <w:rPr/>
        <w:t>Institutions</w:t>
      </w:r>
      <w:r>
        <w:rPr>
          <w:spacing w:val="-3"/>
        </w:rPr>
        <w:t> </w:t>
      </w:r>
      <w:r>
        <w:rPr/>
        <w:t>would</w:t>
      </w:r>
      <w:r>
        <w:rPr>
          <w:spacing w:val="-3"/>
        </w:rPr>
        <w:t> </w:t>
      </w:r>
      <w:r>
        <w:rPr/>
        <w:t>have</w:t>
      </w:r>
      <w:r>
        <w:rPr>
          <w:spacing w:val="-3"/>
        </w:rPr>
        <w:t> </w:t>
      </w:r>
      <w:r>
        <w:rPr/>
        <w:t>to ensure</w:t>
      </w:r>
      <w:r>
        <w:rPr>
          <w:spacing w:val="-14"/>
        </w:rPr>
        <w:t> </w:t>
      </w:r>
      <w:r>
        <w:rPr/>
        <w:t>transparency</w:t>
      </w:r>
      <w:r>
        <w:rPr>
          <w:spacing w:val="-14"/>
        </w:rPr>
        <w:t> </w:t>
      </w:r>
      <w:r>
        <w:rPr/>
        <w:t>in</w:t>
      </w:r>
      <w:r>
        <w:rPr>
          <w:spacing w:val="-14"/>
        </w:rPr>
        <w:t> </w:t>
      </w:r>
      <w:r>
        <w:rPr/>
        <w:t>their</w:t>
      </w:r>
      <w:r>
        <w:rPr>
          <w:spacing w:val="-13"/>
        </w:rPr>
        <w:t> </w:t>
      </w:r>
      <w:r>
        <w:rPr/>
        <w:t>admission</w:t>
      </w:r>
      <w:r>
        <w:rPr>
          <w:spacing w:val="-14"/>
        </w:rPr>
        <w:t> </w:t>
      </w:r>
      <w:r>
        <w:rPr/>
        <w:t>processes,</w:t>
      </w:r>
      <w:r>
        <w:rPr>
          <w:spacing w:val="-14"/>
        </w:rPr>
        <w:t> </w:t>
      </w:r>
      <w:r>
        <w:rPr/>
        <w:t>able </w:t>
      </w:r>
      <w:r>
        <w:rPr>
          <w:spacing w:val="-2"/>
        </w:rPr>
        <w:t>and</w:t>
      </w:r>
      <w:r>
        <w:rPr>
          <w:spacing w:val="-12"/>
        </w:rPr>
        <w:t> </w:t>
      </w:r>
      <w:r>
        <w:rPr>
          <w:spacing w:val="-2"/>
        </w:rPr>
        <w:t>responsible</w:t>
      </w:r>
      <w:r>
        <w:rPr>
          <w:spacing w:val="-12"/>
        </w:rPr>
        <w:t> </w:t>
      </w:r>
      <w:r>
        <w:rPr>
          <w:spacing w:val="-2"/>
        </w:rPr>
        <w:t>faculties,</w:t>
      </w:r>
      <w:r>
        <w:rPr>
          <w:spacing w:val="-12"/>
        </w:rPr>
        <w:t> </w:t>
      </w:r>
      <w:r>
        <w:rPr>
          <w:spacing w:val="-2"/>
        </w:rPr>
        <w:t>a</w:t>
      </w:r>
      <w:r>
        <w:rPr>
          <w:spacing w:val="-11"/>
        </w:rPr>
        <w:t> </w:t>
      </w:r>
      <w:r>
        <w:rPr>
          <w:spacing w:val="-2"/>
        </w:rPr>
        <w:t>multidisciplinary</w:t>
      </w:r>
      <w:r>
        <w:rPr>
          <w:spacing w:val="-12"/>
        </w:rPr>
        <w:t> </w:t>
      </w:r>
      <w:r>
        <w:rPr>
          <w:spacing w:val="-2"/>
        </w:rPr>
        <w:t>academic </w:t>
      </w:r>
      <w:r>
        <w:rPr/>
        <w:t>learning environment, transparency in assessment of students and close linkages with regional health care and</w:t>
      </w:r>
      <w:r>
        <w:rPr>
          <w:spacing w:val="-4"/>
        </w:rPr>
        <w:t> </w:t>
      </w:r>
      <w:r>
        <w:rPr/>
        <w:t>delivery</w:t>
      </w:r>
      <w:r>
        <w:rPr>
          <w:spacing w:val="-4"/>
        </w:rPr>
        <w:t> </w:t>
      </w:r>
      <w:r>
        <w:rPr/>
        <w:t>systems,</w:t>
      </w:r>
      <w:r>
        <w:rPr>
          <w:spacing w:val="-5"/>
        </w:rPr>
        <w:t> </w:t>
      </w:r>
      <w:r>
        <w:rPr/>
        <w:t>in</w:t>
      </w:r>
      <w:r>
        <w:rPr>
          <w:spacing w:val="-4"/>
        </w:rPr>
        <w:t> </w:t>
      </w:r>
      <w:r>
        <w:rPr/>
        <w:t>order</w:t>
      </w:r>
      <w:r>
        <w:rPr>
          <w:spacing w:val="-4"/>
        </w:rPr>
        <w:t> </w:t>
      </w:r>
      <w:r>
        <w:rPr/>
        <w:t>to</w:t>
      </w:r>
      <w:r>
        <w:rPr>
          <w:spacing w:val="-5"/>
        </w:rPr>
        <w:t> </w:t>
      </w:r>
      <w:r>
        <w:rPr/>
        <w:t>be</w:t>
      </w:r>
      <w:r>
        <w:rPr>
          <w:spacing w:val="-4"/>
        </w:rPr>
        <w:t> </w:t>
      </w:r>
      <w:r>
        <w:rPr/>
        <w:t>accredited.</w:t>
      </w:r>
    </w:p>
    <w:p>
      <w:pPr>
        <w:pStyle w:val="Heading7"/>
        <w:spacing w:before="235"/>
      </w:pPr>
      <w:r>
        <w:rPr>
          <w:color w:val="2E614A"/>
          <w:spacing w:val="-2"/>
        </w:rPr>
        <w:t>Admission</w:t>
      </w:r>
    </w:p>
    <w:p>
      <w:pPr>
        <w:pStyle w:val="BodyText"/>
        <w:spacing w:line="266" w:lineRule="auto" w:before="298"/>
        <w:ind w:left="319" w:right="1077"/>
        <w:jc w:val="both"/>
      </w:pPr>
      <w:r>
        <w:rPr>
          <w:w w:val="90"/>
        </w:rPr>
        <w:t>Policies of admission and fee structure of private </w:t>
      </w:r>
      <w:r>
        <w:rPr>
          <w:w w:val="90"/>
        </w:rPr>
        <w:t>colleges </w:t>
      </w:r>
      <w:r>
        <w:rPr/>
        <w:t>have to be regulated, not only to stop them from becoming</w:t>
      </w:r>
      <w:r>
        <w:rPr>
          <w:spacing w:val="-11"/>
        </w:rPr>
        <w:t> </w:t>
      </w:r>
      <w:r>
        <w:rPr/>
        <w:t>sources</w:t>
      </w:r>
      <w:r>
        <w:rPr>
          <w:spacing w:val="-11"/>
        </w:rPr>
        <w:t> </w:t>
      </w:r>
      <w:r>
        <w:rPr/>
        <w:t>of</w:t>
      </w:r>
      <w:r>
        <w:rPr>
          <w:spacing w:val="-11"/>
        </w:rPr>
        <w:t> </w:t>
      </w:r>
      <w:r>
        <w:rPr/>
        <w:t>political</w:t>
      </w:r>
      <w:r>
        <w:rPr>
          <w:spacing w:val="-11"/>
        </w:rPr>
        <w:t> </w:t>
      </w:r>
      <w:r>
        <w:rPr/>
        <w:t>and</w:t>
      </w:r>
      <w:r>
        <w:rPr>
          <w:spacing w:val="-11"/>
        </w:rPr>
        <w:t> </w:t>
      </w:r>
      <w:r>
        <w:rPr/>
        <w:t>financial</w:t>
      </w:r>
      <w:r>
        <w:rPr>
          <w:spacing w:val="-11"/>
        </w:rPr>
        <w:t> </w:t>
      </w:r>
      <w:r>
        <w:rPr/>
        <w:t>power</w:t>
      </w:r>
      <w:r>
        <w:rPr>
          <w:spacing w:val="-11"/>
        </w:rPr>
        <w:t> </w:t>
      </w:r>
      <w:r>
        <w:rPr/>
        <w:t>but </w:t>
      </w:r>
      <w:r>
        <w:rPr>
          <w:spacing w:val="-6"/>
        </w:rPr>
        <w:t>also</w:t>
      </w:r>
      <w:r>
        <w:rPr>
          <w:spacing w:val="-8"/>
        </w:rPr>
        <w:t> </w:t>
      </w:r>
      <w:r>
        <w:rPr>
          <w:spacing w:val="-6"/>
        </w:rPr>
        <w:t>to arrest falling standards.</w:t>
      </w:r>
      <w:r>
        <w:rPr>
          <w:spacing w:val="-8"/>
        </w:rPr>
        <w:t> </w:t>
      </w:r>
      <w:r>
        <w:rPr>
          <w:spacing w:val="-6"/>
        </w:rPr>
        <w:t>There should be only one </w:t>
      </w:r>
      <w:r>
        <w:rPr/>
        <w:t>All</w:t>
      </w:r>
      <w:r>
        <w:rPr>
          <w:spacing w:val="-9"/>
        </w:rPr>
        <w:t> </w:t>
      </w:r>
      <w:r>
        <w:rPr/>
        <w:t>India</w:t>
      </w:r>
      <w:r>
        <w:rPr>
          <w:spacing w:val="-8"/>
        </w:rPr>
        <w:t> </w:t>
      </w:r>
      <w:r>
        <w:rPr/>
        <w:t>Common</w:t>
      </w:r>
      <w:r>
        <w:rPr>
          <w:spacing w:val="-8"/>
        </w:rPr>
        <w:t> </w:t>
      </w:r>
      <w:r>
        <w:rPr/>
        <w:t>Entrance</w:t>
      </w:r>
      <w:r>
        <w:rPr>
          <w:spacing w:val="-14"/>
        </w:rPr>
        <w:t> </w:t>
      </w:r>
      <w:r>
        <w:rPr/>
        <w:t>Test</w:t>
      </w:r>
      <w:r>
        <w:rPr>
          <w:spacing w:val="-8"/>
        </w:rPr>
        <w:t> </w:t>
      </w:r>
      <w:r>
        <w:rPr/>
        <w:t>for</w:t>
      </w:r>
      <w:r>
        <w:rPr>
          <w:spacing w:val="-8"/>
        </w:rPr>
        <w:t> </w:t>
      </w:r>
      <w:r>
        <w:rPr/>
        <w:t>all</w:t>
      </w:r>
      <w:r>
        <w:rPr>
          <w:spacing w:val="-8"/>
        </w:rPr>
        <w:t> </w:t>
      </w:r>
      <w:r>
        <w:rPr/>
        <w:t>students</w:t>
      </w:r>
      <w:r>
        <w:rPr>
          <w:spacing w:val="-8"/>
        </w:rPr>
        <w:t> </w:t>
      </w:r>
      <w:r>
        <w:rPr/>
        <w:t>who would</w:t>
      </w:r>
      <w:r>
        <w:rPr>
          <w:spacing w:val="-14"/>
        </w:rPr>
        <w:t> </w:t>
      </w:r>
      <w:r>
        <w:rPr/>
        <w:t>like</w:t>
      </w:r>
      <w:r>
        <w:rPr>
          <w:spacing w:val="-14"/>
        </w:rPr>
        <w:t> </w:t>
      </w:r>
      <w:r>
        <w:rPr/>
        <w:t>to</w:t>
      </w:r>
      <w:r>
        <w:rPr>
          <w:spacing w:val="-14"/>
        </w:rPr>
        <w:t> </w:t>
      </w:r>
      <w:r>
        <w:rPr/>
        <w:t>get</w:t>
      </w:r>
      <w:r>
        <w:rPr>
          <w:spacing w:val="-13"/>
        </w:rPr>
        <w:t> </w:t>
      </w:r>
      <w:r>
        <w:rPr/>
        <w:t>admission</w:t>
      </w:r>
      <w:r>
        <w:rPr>
          <w:spacing w:val="-14"/>
        </w:rPr>
        <w:t> </w:t>
      </w:r>
      <w:r>
        <w:rPr/>
        <w:t>to</w:t>
      </w:r>
      <w:r>
        <w:rPr>
          <w:spacing w:val="-14"/>
        </w:rPr>
        <w:t> </w:t>
      </w:r>
      <w:r>
        <w:rPr/>
        <w:t>Self</w:t>
      </w:r>
      <w:r>
        <w:rPr>
          <w:spacing w:val="-14"/>
        </w:rPr>
        <w:t> </w:t>
      </w:r>
      <w:r>
        <w:rPr/>
        <w:t>Financing</w:t>
      </w:r>
      <w:r>
        <w:rPr>
          <w:spacing w:val="-13"/>
        </w:rPr>
        <w:t> </w:t>
      </w:r>
      <w:r>
        <w:rPr/>
        <w:t>Medical Colleges. Since the CBSE conducted examination</w:t>
      </w:r>
      <w:r>
        <w:rPr>
          <w:spacing w:val="40"/>
        </w:rPr>
        <w:t> </w:t>
      </w:r>
      <w:r>
        <w:rPr/>
        <w:t>for the 15 per cent All India quota in Government Medical Colleges is taken by a very large number of </w:t>
      </w:r>
      <w:r>
        <w:rPr>
          <w:spacing w:val="-2"/>
        </w:rPr>
        <w:t>students,</w:t>
      </w:r>
      <w:r>
        <w:rPr>
          <w:spacing w:val="-10"/>
        </w:rPr>
        <w:t> </w:t>
      </w:r>
      <w:r>
        <w:rPr>
          <w:spacing w:val="-2"/>
        </w:rPr>
        <w:t>this</w:t>
      </w:r>
      <w:r>
        <w:rPr>
          <w:spacing w:val="-10"/>
        </w:rPr>
        <w:t> </w:t>
      </w:r>
      <w:r>
        <w:rPr>
          <w:spacing w:val="-2"/>
        </w:rPr>
        <w:t>would</w:t>
      </w:r>
      <w:r>
        <w:rPr>
          <w:spacing w:val="-10"/>
        </w:rPr>
        <w:t> </w:t>
      </w:r>
      <w:r>
        <w:rPr>
          <w:spacing w:val="-2"/>
        </w:rPr>
        <w:t>appear</w:t>
      </w:r>
      <w:r>
        <w:rPr>
          <w:spacing w:val="-10"/>
        </w:rPr>
        <w:t> </w:t>
      </w:r>
      <w:r>
        <w:rPr>
          <w:spacing w:val="-2"/>
        </w:rPr>
        <w:t>to</w:t>
      </w:r>
      <w:r>
        <w:rPr>
          <w:spacing w:val="-10"/>
        </w:rPr>
        <w:t> </w:t>
      </w:r>
      <w:r>
        <w:rPr>
          <w:spacing w:val="-2"/>
        </w:rPr>
        <w:t>be</w:t>
      </w:r>
      <w:r>
        <w:rPr>
          <w:spacing w:val="-10"/>
        </w:rPr>
        <w:t> </w:t>
      </w:r>
      <w:r>
        <w:rPr>
          <w:spacing w:val="-2"/>
        </w:rPr>
        <w:t>the</w:t>
      </w:r>
      <w:r>
        <w:rPr>
          <w:spacing w:val="-10"/>
        </w:rPr>
        <w:t> </w:t>
      </w:r>
      <w:r>
        <w:rPr>
          <w:spacing w:val="-2"/>
        </w:rPr>
        <w:t>ideal</w:t>
      </w:r>
      <w:r>
        <w:rPr>
          <w:spacing w:val="-10"/>
        </w:rPr>
        <w:t> </w:t>
      </w:r>
      <w:r>
        <w:rPr>
          <w:spacing w:val="-2"/>
        </w:rPr>
        <w:t>examination </w:t>
      </w:r>
      <w:r>
        <w:rPr/>
        <w:t>whose ambit can be expanded. All self-financing Medical Colleges should announce their fees in their prospectus so that students can make their choice for </w:t>
      </w:r>
      <w:r>
        <w:rPr>
          <w:spacing w:val="-2"/>
        </w:rPr>
        <w:t>admission.</w:t>
      </w:r>
      <w:r>
        <w:rPr>
          <w:spacing w:val="2"/>
        </w:rPr>
        <w:t> </w:t>
      </w:r>
      <w:r>
        <w:rPr>
          <w:spacing w:val="-2"/>
        </w:rPr>
        <w:t>Information</w:t>
      </w:r>
      <w:r>
        <w:rPr>
          <w:spacing w:val="-6"/>
        </w:rPr>
        <w:t> </w:t>
      </w:r>
      <w:r>
        <w:rPr>
          <w:spacing w:val="-2"/>
        </w:rPr>
        <w:t>Technology</w:t>
      </w:r>
      <w:r>
        <w:rPr>
          <w:spacing w:val="2"/>
        </w:rPr>
        <w:t> </w:t>
      </w:r>
      <w:r>
        <w:rPr>
          <w:spacing w:val="-2"/>
        </w:rPr>
        <w:t>should</w:t>
      </w:r>
      <w:r>
        <w:rPr>
          <w:spacing w:val="2"/>
        </w:rPr>
        <w:t> </w:t>
      </w:r>
      <w:r>
        <w:rPr>
          <w:spacing w:val="-2"/>
        </w:rPr>
        <w:t>be</w:t>
      </w:r>
      <w:r>
        <w:rPr>
          <w:spacing w:val="2"/>
        </w:rPr>
        <w:t> </w:t>
      </w:r>
      <w:r>
        <w:rPr>
          <w:spacing w:val="-2"/>
        </w:rPr>
        <w:t>used</w:t>
      </w:r>
      <w:r>
        <w:rPr>
          <w:spacing w:val="3"/>
        </w:rPr>
        <w:t> </w:t>
      </w:r>
      <w:r>
        <w:rPr>
          <w:spacing w:val="-5"/>
        </w:rPr>
        <w:t>to</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t>increase</w:t>
      </w:r>
      <w:r>
        <w:rPr>
          <w:spacing w:val="-14"/>
        </w:rPr>
        <w:t> </w:t>
      </w:r>
      <w:r>
        <w:rPr/>
        <w:t>transparency</w:t>
      </w:r>
      <w:r>
        <w:rPr>
          <w:spacing w:val="-14"/>
        </w:rPr>
        <w:t> </w:t>
      </w:r>
      <w:r>
        <w:rPr/>
        <w:t>and</w:t>
      </w:r>
      <w:r>
        <w:rPr>
          <w:spacing w:val="-14"/>
        </w:rPr>
        <w:t> </w:t>
      </w:r>
      <w:r>
        <w:rPr/>
        <w:t>efficiency</w:t>
      </w:r>
      <w:r>
        <w:rPr>
          <w:spacing w:val="-13"/>
        </w:rPr>
        <w:t> </w:t>
      </w:r>
      <w:r>
        <w:rPr/>
        <w:t>in</w:t>
      </w:r>
      <w:r>
        <w:rPr>
          <w:spacing w:val="-14"/>
        </w:rPr>
        <w:t> </w:t>
      </w:r>
      <w:r>
        <w:rPr/>
        <w:t>the</w:t>
      </w:r>
      <w:r>
        <w:rPr>
          <w:spacing w:val="-14"/>
        </w:rPr>
        <w:t> </w:t>
      </w:r>
      <w:r>
        <w:rPr/>
        <w:t>admission, </w:t>
      </w:r>
      <w:r>
        <w:rPr>
          <w:spacing w:val="-4"/>
        </w:rPr>
        <w:t>examination, administration, teaching, content delivery </w:t>
      </w:r>
      <w:r>
        <w:rPr/>
        <w:t>and other related processes.</w:t>
      </w:r>
    </w:p>
    <w:p>
      <w:pPr>
        <w:pStyle w:val="Heading6"/>
        <w:numPr>
          <w:ilvl w:val="2"/>
          <w:numId w:val="26"/>
        </w:numPr>
        <w:tabs>
          <w:tab w:pos="1405" w:val="left" w:leader="none"/>
        </w:tabs>
        <w:spacing w:line="240" w:lineRule="auto" w:before="184" w:after="0"/>
        <w:ind w:left="1405" w:right="0" w:hanging="325"/>
        <w:jc w:val="left"/>
      </w:pPr>
      <w:r>
        <w:rPr>
          <w:color w:val="2E614A"/>
          <w:spacing w:val="-2"/>
        </w:rPr>
        <w:t>Quality</w:t>
      </w:r>
    </w:p>
    <w:p>
      <w:pPr>
        <w:pStyle w:val="Heading7"/>
        <w:spacing w:before="248"/>
        <w:ind w:left="1080"/>
      </w:pPr>
      <w:r>
        <w:rPr>
          <w:color w:val="2E614A"/>
          <w:spacing w:val="-2"/>
        </w:rPr>
        <w:t>Curriculum</w:t>
      </w:r>
    </w:p>
    <w:p>
      <w:pPr>
        <w:pStyle w:val="BodyText"/>
        <w:rPr>
          <w:b/>
          <w:sz w:val="26"/>
        </w:rPr>
      </w:pPr>
    </w:p>
    <w:p>
      <w:pPr>
        <w:pStyle w:val="BodyText"/>
        <w:spacing w:line="266" w:lineRule="auto"/>
        <w:ind w:left="1080"/>
        <w:jc w:val="both"/>
      </w:pPr>
      <w:r>
        <w:rPr>
          <w:spacing w:val="-4"/>
        </w:rPr>
        <w:t>All</w:t>
      </w:r>
      <w:r>
        <w:rPr>
          <w:spacing w:val="-10"/>
        </w:rPr>
        <w:t> </w:t>
      </w:r>
      <w:r>
        <w:rPr>
          <w:spacing w:val="-4"/>
        </w:rPr>
        <w:t>institutions</w:t>
      </w:r>
      <w:r>
        <w:rPr>
          <w:spacing w:val="-9"/>
        </w:rPr>
        <w:t> </w:t>
      </w:r>
      <w:r>
        <w:rPr>
          <w:spacing w:val="-4"/>
        </w:rPr>
        <w:t>must</w:t>
      </w:r>
      <w:r>
        <w:rPr>
          <w:spacing w:val="-10"/>
        </w:rPr>
        <w:t> </w:t>
      </w:r>
      <w:r>
        <w:rPr>
          <w:spacing w:val="-4"/>
        </w:rPr>
        <w:t>constitute</w:t>
      </w:r>
      <w:r>
        <w:rPr>
          <w:spacing w:val="-9"/>
        </w:rPr>
        <w:t> </w:t>
      </w:r>
      <w:r>
        <w:rPr>
          <w:spacing w:val="-4"/>
        </w:rPr>
        <w:t>Curriculum</w:t>
      </w:r>
      <w:r>
        <w:rPr>
          <w:spacing w:val="-10"/>
        </w:rPr>
        <w:t> </w:t>
      </w:r>
      <w:r>
        <w:rPr>
          <w:spacing w:val="-4"/>
        </w:rPr>
        <w:t>Committees </w:t>
      </w:r>
      <w:r>
        <w:rPr/>
        <w:t>that plan curricula and instructional methods, </w:t>
      </w:r>
      <w:r>
        <w:rPr/>
        <w:t>which are</w:t>
      </w:r>
      <w:r>
        <w:rPr>
          <w:spacing w:val="-1"/>
        </w:rPr>
        <w:t> </w:t>
      </w:r>
      <w:r>
        <w:rPr/>
        <w:t>regularly</w:t>
      </w:r>
      <w:r>
        <w:rPr>
          <w:spacing w:val="-1"/>
        </w:rPr>
        <w:t> </w:t>
      </w:r>
      <w:r>
        <w:rPr/>
        <w:t>updated.</w:t>
      </w:r>
      <w:r>
        <w:rPr>
          <w:spacing w:val="-7"/>
        </w:rPr>
        <w:t> </w:t>
      </w:r>
      <w:r>
        <w:rPr/>
        <w:t>The</w:t>
      </w:r>
      <w:r>
        <w:rPr>
          <w:spacing w:val="-1"/>
        </w:rPr>
        <w:t> </w:t>
      </w:r>
      <w:r>
        <w:rPr/>
        <w:t>structure</w:t>
      </w:r>
      <w:r>
        <w:rPr>
          <w:spacing w:val="-1"/>
        </w:rPr>
        <w:t> </w:t>
      </w:r>
      <w:r>
        <w:rPr/>
        <w:t>and</w:t>
      </w:r>
      <w:r>
        <w:rPr>
          <w:spacing w:val="-1"/>
        </w:rPr>
        <w:t> </w:t>
      </w:r>
      <w:r>
        <w:rPr/>
        <w:t>composition </w:t>
      </w:r>
      <w:r>
        <w:rPr>
          <w:spacing w:val="-2"/>
        </w:rPr>
        <w:t>of</w:t>
      </w:r>
      <w:r>
        <w:rPr>
          <w:spacing w:val="-8"/>
        </w:rPr>
        <w:t> </w:t>
      </w:r>
      <w:r>
        <w:rPr>
          <w:spacing w:val="-2"/>
        </w:rPr>
        <w:t>the</w:t>
      </w:r>
      <w:r>
        <w:rPr>
          <w:spacing w:val="-8"/>
        </w:rPr>
        <w:t> </w:t>
      </w:r>
      <w:r>
        <w:rPr>
          <w:spacing w:val="-2"/>
        </w:rPr>
        <w:t>curriculum</w:t>
      </w:r>
      <w:r>
        <w:rPr>
          <w:spacing w:val="-8"/>
        </w:rPr>
        <w:t> </w:t>
      </w:r>
      <w:r>
        <w:rPr>
          <w:spacing w:val="-2"/>
        </w:rPr>
        <w:t>must</w:t>
      </w:r>
      <w:r>
        <w:rPr>
          <w:spacing w:val="-8"/>
        </w:rPr>
        <w:t> </w:t>
      </w:r>
      <w:r>
        <w:rPr>
          <w:spacing w:val="-2"/>
        </w:rPr>
        <w:t>describe</w:t>
      </w:r>
      <w:r>
        <w:rPr>
          <w:spacing w:val="-8"/>
        </w:rPr>
        <w:t> </w:t>
      </w:r>
      <w:r>
        <w:rPr>
          <w:spacing w:val="-2"/>
        </w:rPr>
        <w:t>the</w:t>
      </w:r>
      <w:r>
        <w:rPr>
          <w:spacing w:val="-8"/>
        </w:rPr>
        <w:t> </w:t>
      </w:r>
      <w:r>
        <w:rPr>
          <w:spacing w:val="-2"/>
        </w:rPr>
        <w:t>content,</w:t>
      </w:r>
      <w:r>
        <w:rPr>
          <w:spacing w:val="-8"/>
        </w:rPr>
        <w:t> </w:t>
      </w:r>
      <w:r>
        <w:rPr>
          <w:spacing w:val="-2"/>
        </w:rPr>
        <w:t>scope</w:t>
      </w:r>
      <w:r>
        <w:rPr>
          <w:spacing w:val="-8"/>
        </w:rPr>
        <w:t> </w:t>
      </w:r>
      <w:r>
        <w:rPr>
          <w:spacing w:val="-2"/>
        </w:rPr>
        <w:t>and </w:t>
      </w:r>
      <w:r>
        <w:rPr>
          <w:spacing w:val="-8"/>
        </w:rPr>
        <w:t>sequencing</w:t>
      </w:r>
      <w:r>
        <w:rPr>
          <w:spacing w:val="-1"/>
        </w:rPr>
        <w:t> </w:t>
      </w:r>
      <w:r>
        <w:rPr>
          <w:spacing w:val="-8"/>
        </w:rPr>
        <w:t>of</w:t>
      </w:r>
      <w:r>
        <w:rPr>
          <w:spacing w:val="-1"/>
        </w:rPr>
        <w:t> </w:t>
      </w:r>
      <w:r>
        <w:rPr>
          <w:spacing w:val="-8"/>
        </w:rPr>
        <w:t>the</w:t>
      </w:r>
      <w:r>
        <w:rPr>
          <w:spacing w:val="-1"/>
        </w:rPr>
        <w:t> </w:t>
      </w:r>
      <w:r>
        <w:rPr>
          <w:spacing w:val="-8"/>
        </w:rPr>
        <w:t>courses,</w:t>
      </w:r>
      <w:r>
        <w:rPr>
          <w:spacing w:val="-1"/>
        </w:rPr>
        <w:t> </w:t>
      </w:r>
      <w:r>
        <w:rPr>
          <w:spacing w:val="-8"/>
        </w:rPr>
        <w:t>including</w:t>
      </w:r>
      <w:r>
        <w:rPr>
          <w:spacing w:val="-1"/>
        </w:rPr>
        <w:t> </w:t>
      </w:r>
      <w:r>
        <w:rPr>
          <w:spacing w:val="-8"/>
        </w:rPr>
        <w:t>the</w:t>
      </w:r>
      <w:r>
        <w:rPr>
          <w:spacing w:val="-1"/>
        </w:rPr>
        <w:t> </w:t>
      </w:r>
      <w:r>
        <w:rPr>
          <w:spacing w:val="-8"/>
        </w:rPr>
        <w:t>balance</w:t>
      </w:r>
      <w:r>
        <w:rPr>
          <w:spacing w:val="-1"/>
        </w:rPr>
        <w:t> </w:t>
      </w:r>
      <w:r>
        <w:rPr>
          <w:spacing w:val="-8"/>
        </w:rPr>
        <w:t>between </w:t>
      </w:r>
      <w:r>
        <w:rPr/>
        <w:t>core and optional courses. Integration of ICT in the learning</w:t>
      </w:r>
      <w:r>
        <w:rPr>
          <w:spacing w:val="-8"/>
        </w:rPr>
        <w:t> </w:t>
      </w:r>
      <w:r>
        <w:rPr/>
        <w:t>process</w:t>
      </w:r>
      <w:r>
        <w:rPr>
          <w:spacing w:val="-8"/>
        </w:rPr>
        <w:t> </w:t>
      </w:r>
      <w:r>
        <w:rPr/>
        <w:t>is</w:t>
      </w:r>
      <w:r>
        <w:rPr>
          <w:spacing w:val="-8"/>
        </w:rPr>
        <w:t> </w:t>
      </w:r>
      <w:r>
        <w:rPr/>
        <w:t>essential.</w:t>
      </w:r>
      <w:r>
        <w:rPr>
          <w:spacing w:val="-8"/>
        </w:rPr>
        <w:t> </w:t>
      </w:r>
      <w:r>
        <w:rPr/>
        <w:t>Incorporating</w:t>
      </w:r>
      <w:r>
        <w:rPr>
          <w:spacing w:val="-8"/>
        </w:rPr>
        <w:t> </w:t>
      </w:r>
      <w:r>
        <w:rPr/>
        <w:t>new</w:t>
      </w:r>
      <w:r>
        <w:rPr>
          <w:spacing w:val="-8"/>
        </w:rPr>
        <w:t> </w:t>
      </w:r>
      <w:r>
        <w:rPr/>
        <w:t>skills </w:t>
      </w:r>
      <w:r>
        <w:rPr>
          <w:spacing w:val="-4"/>
        </w:rPr>
        <w:t>like</w:t>
      </w:r>
      <w:r>
        <w:rPr>
          <w:spacing w:val="-10"/>
        </w:rPr>
        <w:t> </w:t>
      </w:r>
      <w:r>
        <w:rPr>
          <w:spacing w:val="-4"/>
        </w:rPr>
        <w:t>management,</w:t>
      </w:r>
      <w:r>
        <w:rPr>
          <w:spacing w:val="-10"/>
        </w:rPr>
        <w:t> </w:t>
      </w:r>
      <w:r>
        <w:rPr>
          <w:spacing w:val="-4"/>
        </w:rPr>
        <w:t>disciplines</w:t>
      </w:r>
      <w:r>
        <w:rPr>
          <w:spacing w:val="-10"/>
        </w:rPr>
        <w:t> </w:t>
      </w:r>
      <w:r>
        <w:rPr>
          <w:spacing w:val="-4"/>
        </w:rPr>
        <w:t>like</w:t>
      </w:r>
      <w:r>
        <w:rPr>
          <w:spacing w:val="-9"/>
        </w:rPr>
        <w:t> </w:t>
      </w:r>
      <w:r>
        <w:rPr>
          <w:spacing w:val="-4"/>
        </w:rPr>
        <w:t>health</w:t>
      </w:r>
      <w:r>
        <w:rPr>
          <w:spacing w:val="-10"/>
        </w:rPr>
        <w:t> </w:t>
      </w:r>
      <w:r>
        <w:rPr>
          <w:spacing w:val="-4"/>
        </w:rPr>
        <w:t>economics</w:t>
      </w:r>
      <w:r>
        <w:rPr>
          <w:spacing w:val="-10"/>
        </w:rPr>
        <w:t> </w:t>
      </w:r>
      <w:r>
        <w:rPr>
          <w:spacing w:val="-4"/>
        </w:rPr>
        <w:t>and frontier areas like bioinformatics should be considered.</w:t>
      </w:r>
    </w:p>
    <w:p>
      <w:pPr>
        <w:pStyle w:val="Heading7"/>
        <w:spacing w:before="235"/>
        <w:ind w:left="1080"/>
      </w:pPr>
      <w:r>
        <w:rPr>
          <w:color w:val="2E614A"/>
          <w:spacing w:val="-2"/>
        </w:rPr>
        <w:t>StandardsTest</w:t>
      </w:r>
    </w:p>
    <w:p>
      <w:pPr>
        <w:pStyle w:val="BodyText"/>
        <w:spacing w:line="266" w:lineRule="auto" w:before="298"/>
        <w:ind w:left="1080"/>
        <w:jc w:val="both"/>
      </w:pPr>
      <w:r>
        <w:rPr/>
        <w:t>An independent and standardised National Exit Examination at the end of 4½ years of study, is essential to conduct a national level assessment of skills</w:t>
      </w:r>
      <w:r>
        <w:rPr>
          <w:spacing w:val="-14"/>
        </w:rPr>
        <w:t> </w:t>
      </w:r>
      <w:r>
        <w:rPr/>
        <w:t>and</w:t>
      </w:r>
      <w:r>
        <w:rPr>
          <w:spacing w:val="-11"/>
        </w:rPr>
        <w:t> </w:t>
      </w:r>
      <w:r>
        <w:rPr/>
        <w:t>knowledge.</w:t>
      </w:r>
      <w:r>
        <w:rPr>
          <w:spacing w:val="-14"/>
        </w:rPr>
        <w:t> </w:t>
      </w:r>
      <w:r>
        <w:rPr/>
        <w:t>The</w:t>
      </w:r>
      <w:r>
        <w:rPr>
          <w:spacing w:val="-11"/>
        </w:rPr>
        <w:t> </w:t>
      </w:r>
      <w:r>
        <w:rPr/>
        <w:t>National</w:t>
      </w:r>
      <w:r>
        <w:rPr>
          <w:spacing w:val="-11"/>
        </w:rPr>
        <w:t> </w:t>
      </w:r>
      <w:r>
        <w:rPr/>
        <w:t>Exit</w:t>
      </w:r>
      <w:r>
        <w:rPr>
          <w:spacing w:val="-11"/>
        </w:rPr>
        <w:t> </w:t>
      </w:r>
      <w:r>
        <w:rPr/>
        <w:t>Examination could be conducted immediately after the University examination, and would also serve as a </w:t>
      </w:r>
      <w:r>
        <w:rPr/>
        <w:t>postgraduate entrance exam.</w:t>
      </w:r>
    </w:p>
    <w:p>
      <w:pPr>
        <w:pStyle w:val="Heading7"/>
        <w:spacing w:before="237"/>
        <w:ind w:left="1080"/>
      </w:pPr>
      <w:r>
        <w:rPr>
          <w:color w:val="2E614A"/>
          <w:w w:val="90"/>
        </w:rPr>
        <w:t>Internship</w:t>
      </w:r>
      <w:r>
        <w:rPr>
          <w:color w:val="2E614A"/>
          <w:spacing w:val="13"/>
        </w:rPr>
        <w:t> </w:t>
      </w:r>
      <w:r>
        <w:rPr>
          <w:color w:val="2E614A"/>
          <w:spacing w:val="-2"/>
        </w:rPr>
        <w:t>Assessment</w:t>
      </w:r>
    </w:p>
    <w:p>
      <w:pPr>
        <w:pStyle w:val="BodyText"/>
        <w:rPr>
          <w:b/>
          <w:sz w:val="26"/>
        </w:rPr>
      </w:pPr>
    </w:p>
    <w:p>
      <w:pPr>
        <w:pStyle w:val="BodyText"/>
        <w:spacing w:line="266" w:lineRule="auto"/>
        <w:ind w:left="1080"/>
        <w:jc w:val="both"/>
      </w:pPr>
      <w:r>
        <w:rPr/>
        <w:t>The internship year must be assessed to ensure skill development. The current practice of </w:t>
      </w:r>
      <w:r>
        <w:rPr/>
        <w:t>students continuing to study in the internship year without going to clinics needs to be addressed. There must</w:t>
      </w:r>
      <w:r>
        <w:rPr>
          <w:spacing w:val="80"/>
        </w:rPr>
        <w:t> </w:t>
      </w:r>
      <w:r>
        <w:rPr/>
        <w:t>be</w:t>
      </w:r>
      <w:r>
        <w:rPr>
          <w:spacing w:val="40"/>
        </w:rPr>
        <w:t> </w:t>
      </w:r>
      <w:r>
        <w:rPr/>
        <w:t>compulsory</w:t>
      </w:r>
      <w:r>
        <w:rPr>
          <w:spacing w:val="40"/>
        </w:rPr>
        <w:t> </w:t>
      </w:r>
      <w:r>
        <w:rPr/>
        <w:t>rotation</w:t>
      </w:r>
      <w:r>
        <w:rPr>
          <w:spacing w:val="40"/>
        </w:rPr>
        <w:t> </w:t>
      </w:r>
      <w:r>
        <w:rPr/>
        <w:t>from</w:t>
      </w:r>
      <w:r>
        <w:rPr>
          <w:spacing w:val="40"/>
        </w:rPr>
        <w:t> </w:t>
      </w:r>
      <w:r>
        <w:rPr/>
        <w:t>the</w:t>
      </w:r>
      <w:r>
        <w:rPr>
          <w:spacing w:val="40"/>
        </w:rPr>
        <w:t> </w:t>
      </w:r>
      <w:r>
        <w:rPr/>
        <w:t>teaching</w:t>
      </w:r>
      <w:r>
        <w:rPr>
          <w:spacing w:val="40"/>
        </w:rPr>
        <w:t> </w:t>
      </w:r>
      <w:r>
        <w:rPr/>
        <w:t>hospital to the community and district hospital during the internship period. Duration of the term in the district hospital should be six months, in the Community Health Centre three months and in the tertiary care hospital the remaining three months. Each intern should be assigned a “mentor” at the district hospital and the credits should be based on the assessment by the mentor. The entrance to postgraduate programs should be based on a summation of the pre- &amp; post- internship examinations.</w:t>
      </w:r>
    </w:p>
    <w:p>
      <w:pPr>
        <w:pStyle w:val="Heading7"/>
        <w:spacing w:before="230"/>
        <w:ind w:left="1080"/>
      </w:pPr>
      <w:r>
        <w:rPr>
          <w:color w:val="2E614A"/>
          <w:spacing w:val="-6"/>
        </w:rPr>
        <w:t>Continuing</w:t>
      </w:r>
      <w:r>
        <w:rPr>
          <w:color w:val="2E614A"/>
          <w:spacing w:val="-2"/>
        </w:rPr>
        <w:t> Education</w:t>
      </w:r>
    </w:p>
    <w:p>
      <w:pPr>
        <w:pStyle w:val="BodyText"/>
        <w:spacing w:line="266" w:lineRule="auto" w:before="299"/>
        <w:ind w:left="1080"/>
        <w:jc w:val="both"/>
      </w:pPr>
      <w:r>
        <w:rPr>
          <w:spacing w:val="-8"/>
        </w:rPr>
        <w:t>There</w:t>
      </w:r>
      <w:r>
        <w:rPr>
          <w:spacing w:val="-4"/>
        </w:rPr>
        <w:t> </w:t>
      </w:r>
      <w:r>
        <w:rPr>
          <w:spacing w:val="-8"/>
        </w:rPr>
        <w:t>is</w:t>
      </w:r>
      <w:r>
        <w:rPr>
          <w:spacing w:val="-4"/>
        </w:rPr>
        <w:t> </w:t>
      </w:r>
      <w:r>
        <w:rPr>
          <w:spacing w:val="-8"/>
        </w:rPr>
        <w:t>a</w:t>
      </w:r>
      <w:r>
        <w:rPr>
          <w:spacing w:val="-4"/>
        </w:rPr>
        <w:t> </w:t>
      </w:r>
      <w:r>
        <w:rPr>
          <w:spacing w:val="-8"/>
        </w:rPr>
        <w:t>need</w:t>
      </w:r>
      <w:r>
        <w:rPr>
          <w:spacing w:val="-4"/>
        </w:rPr>
        <w:t> </w:t>
      </w:r>
      <w:r>
        <w:rPr>
          <w:spacing w:val="-8"/>
        </w:rPr>
        <w:t>to</w:t>
      </w:r>
      <w:r>
        <w:rPr>
          <w:spacing w:val="-4"/>
        </w:rPr>
        <w:t> </w:t>
      </w:r>
      <w:r>
        <w:rPr>
          <w:spacing w:val="-8"/>
        </w:rPr>
        <w:t>revamp</w:t>
      </w:r>
      <w:r>
        <w:rPr>
          <w:spacing w:val="-4"/>
        </w:rPr>
        <w:t> </w:t>
      </w:r>
      <w:r>
        <w:rPr>
          <w:spacing w:val="-8"/>
        </w:rPr>
        <w:t>Continuing</w:t>
      </w:r>
      <w:r>
        <w:rPr>
          <w:spacing w:val="-4"/>
        </w:rPr>
        <w:t> </w:t>
      </w:r>
      <w:r>
        <w:rPr>
          <w:spacing w:val="-8"/>
        </w:rPr>
        <w:t>Medical</w:t>
      </w:r>
      <w:r>
        <w:rPr>
          <w:spacing w:val="-4"/>
        </w:rPr>
        <w:t> </w:t>
      </w:r>
      <w:r>
        <w:rPr>
          <w:spacing w:val="-8"/>
        </w:rPr>
        <w:t>Education </w:t>
      </w:r>
      <w:r>
        <w:rPr/>
        <w:t>(CME) based on distance learning. All </w:t>
      </w:r>
      <w:r>
        <w:rPr/>
        <w:t>professionals </w:t>
      </w:r>
      <w:r>
        <w:rPr>
          <w:spacing w:val="-4"/>
        </w:rPr>
        <w:t>should be required to undergo a re-certification process </w:t>
      </w:r>
      <w:r>
        <w:rPr>
          <w:w w:val="90"/>
        </w:rPr>
        <w:t>every</w:t>
      </w:r>
      <w:r>
        <w:rPr>
          <w:spacing w:val="-5"/>
        </w:rPr>
        <w:t> </w:t>
      </w:r>
      <w:r>
        <w:rPr>
          <w:w w:val="90"/>
        </w:rPr>
        <w:t>five</w:t>
      </w:r>
      <w:r>
        <w:rPr>
          <w:spacing w:val="-5"/>
        </w:rPr>
        <w:t> </w:t>
      </w:r>
      <w:r>
        <w:rPr>
          <w:w w:val="90"/>
        </w:rPr>
        <w:t>years,</w:t>
      </w:r>
      <w:r>
        <w:rPr>
          <w:spacing w:val="-5"/>
        </w:rPr>
        <w:t> </w:t>
      </w:r>
      <w:r>
        <w:rPr>
          <w:w w:val="90"/>
        </w:rPr>
        <w:t>which</w:t>
      </w:r>
      <w:r>
        <w:rPr>
          <w:spacing w:val="-5"/>
        </w:rPr>
        <w:t> </w:t>
      </w:r>
      <w:r>
        <w:rPr>
          <w:w w:val="90"/>
        </w:rPr>
        <w:t>can</w:t>
      </w:r>
      <w:r>
        <w:rPr>
          <w:spacing w:val="-4"/>
        </w:rPr>
        <w:t> </w:t>
      </w:r>
      <w:r>
        <w:rPr>
          <w:w w:val="90"/>
        </w:rPr>
        <w:t>be</w:t>
      </w:r>
      <w:r>
        <w:rPr>
          <w:spacing w:val="-5"/>
        </w:rPr>
        <w:t> </w:t>
      </w:r>
      <w:r>
        <w:rPr>
          <w:w w:val="90"/>
        </w:rPr>
        <w:t>evaluated</w:t>
      </w:r>
      <w:r>
        <w:rPr>
          <w:spacing w:val="-5"/>
        </w:rPr>
        <w:t> </w:t>
      </w:r>
      <w:r>
        <w:rPr>
          <w:w w:val="90"/>
        </w:rPr>
        <w:t>by</w:t>
      </w:r>
      <w:r>
        <w:rPr>
          <w:spacing w:val="-5"/>
        </w:rPr>
        <w:t> </w:t>
      </w:r>
      <w:r>
        <w:rPr>
          <w:w w:val="90"/>
        </w:rPr>
        <w:t>credits</w:t>
      </w:r>
      <w:r>
        <w:rPr>
          <w:spacing w:val="-4"/>
        </w:rPr>
        <w:t> </w:t>
      </w:r>
      <w:r>
        <w:rPr>
          <w:spacing w:val="-2"/>
          <w:w w:val="90"/>
        </w:rPr>
        <w:t>earned</w:t>
      </w:r>
    </w:p>
    <w:p>
      <w:pPr>
        <w:pStyle w:val="BodyText"/>
        <w:spacing w:line="266" w:lineRule="auto" w:before="57"/>
        <w:ind w:left="319" w:right="1078"/>
        <w:jc w:val="both"/>
      </w:pPr>
      <w:r>
        <w:rPr/>
        <w:br w:type="column"/>
      </w:r>
      <w:r>
        <w:rPr/>
        <w:t>through</w:t>
      </w:r>
      <w:r>
        <w:rPr>
          <w:spacing w:val="-14"/>
        </w:rPr>
        <w:t> </w:t>
      </w:r>
      <w:r>
        <w:rPr/>
        <w:t>CME.</w:t>
      </w:r>
      <w:r>
        <w:rPr>
          <w:spacing w:val="-14"/>
        </w:rPr>
        <w:t> </w:t>
      </w:r>
      <w:r>
        <w:rPr/>
        <w:t>ICT</w:t>
      </w:r>
      <w:r>
        <w:rPr>
          <w:spacing w:val="-14"/>
        </w:rPr>
        <w:t> </w:t>
      </w:r>
      <w:r>
        <w:rPr/>
        <w:t>can</w:t>
      </w:r>
      <w:r>
        <w:rPr>
          <w:spacing w:val="-13"/>
        </w:rPr>
        <w:t> </w:t>
      </w:r>
      <w:r>
        <w:rPr/>
        <w:t>be</w:t>
      </w:r>
      <w:r>
        <w:rPr>
          <w:spacing w:val="-14"/>
        </w:rPr>
        <w:t> </w:t>
      </w:r>
      <w:r>
        <w:rPr/>
        <w:t>used</w:t>
      </w:r>
      <w:r>
        <w:rPr>
          <w:spacing w:val="-14"/>
        </w:rPr>
        <w:t> </w:t>
      </w:r>
      <w:r>
        <w:rPr/>
        <w:t>extensively</w:t>
      </w:r>
      <w:r>
        <w:rPr>
          <w:spacing w:val="-14"/>
        </w:rPr>
        <w:t> </w:t>
      </w:r>
      <w:r>
        <w:rPr/>
        <w:t>to</w:t>
      </w:r>
      <w:r>
        <w:rPr>
          <w:spacing w:val="-13"/>
        </w:rPr>
        <w:t> </w:t>
      </w:r>
      <w:r>
        <w:rPr/>
        <w:t>provide CME at the convenience of the learner.</w:t>
      </w:r>
    </w:p>
    <w:p>
      <w:pPr>
        <w:pStyle w:val="Heading6"/>
        <w:numPr>
          <w:ilvl w:val="2"/>
          <w:numId w:val="26"/>
        </w:numPr>
        <w:tabs>
          <w:tab w:pos="644" w:val="left" w:leader="none"/>
        </w:tabs>
        <w:spacing w:line="240" w:lineRule="auto" w:before="185" w:after="0"/>
        <w:ind w:left="644" w:right="0" w:hanging="325"/>
        <w:jc w:val="left"/>
      </w:pPr>
      <w:r>
        <w:rPr>
          <w:color w:val="2E614A"/>
          <w:w w:val="90"/>
        </w:rPr>
        <w:t>Faculty</w:t>
      </w:r>
      <w:r>
        <w:rPr>
          <w:color w:val="2E614A"/>
          <w:spacing w:val="-8"/>
          <w:w w:val="90"/>
        </w:rPr>
        <w:t> </w:t>
      </w:r>
      <w:r>
        <w:rPr>
          <w:color w:val="2E614A"/>
          <w:spacing w:val="-2"/>
        </w:rPr>
        <w:t>Development</w:t>
      </w:r>
    </w:p>
    <w:p>
      <w:pPr>
        <w:pStyle w:val="Heading7"/>
        <w:spacing w:before="248"/>
      </w:pPr>
      <w:r>
        <w:rPr>
          <w:color w:val="2E614A"/>
          <w:spacing w:val="-2"/>
        </w:rPr>
        <w:t>Teaching</w:t>
      </w:r>
    </w:p>
    <w:p>
      <w:pPr>
        <w:pStyle w:val="BodyText"/>
        <w:spacing w:line="266" w:lineRule="auto" w:before="299"/>
        <w:ind w:left="319" w:right="1077"/>
        <w:jc w:val="both"/>
      </w:pPr>
      <w:r>
        <w:rPr/>
        <w:t>Attracting and retaining quality faculty should </w:t>
      </w:r>
      <w:r>
        <w:rPr/>
        <w:t>be accorded</w:t>
      </w:r>
      <w:r>
        <w:rPr>
          <w:spacing w:val="-9"/>
        </w:rPr>
        <w:t> </w:t>
      </w:r>
      <w:r>
        <w:rPr/>
        <w:t>top</w:t>
      </w:r>
      <w:r>
        <w:rPr>
          <w:spacing w:val="-9"/>
        </w:rPr>
        <w:t> </w:t>
      </w:r>
      <w:r>
        <w:rPr/>
        <w:t>priority.</w:t>
      </w:r>
      <w:r>
        <w:rPr>
          <w:spacing w:val="-9"/>
        </w:rPr>
        <w:t> </w:t>
      </w:r>
      <w:r>
        <w:rPr/>
        <w:t>Measures</w:t>
      </w:r>
      <w:r>
        <w:rPr>
          <w:spacing w:val="-9"/>
        </w:rPr>
        <w:t> </w:t>
      </w:r>
      <w:r>
        <w:rPr/>
        <w:t>such</w:t>
      </w:r>
      <w:r>
        <w:rPr>
          <w:spacing w:val="-9"/>
        </w:rPr>
        <w:t> </w:t>
      </w:r>
      <w:r>
        <w:rPr/>
        <w:t>as</w:t>
      </w:r>
      <w:r>
        <w:rPr>
          <w:spacing w:val="-9"/>
        </w:rPr>
        <w:t> </w:t>
      </w:r>
      <w:r>
        <w:rPr/>
        <w:t>opportunities to attend international conferences regularly, sabbaticals, dual appointments, rewarding research, fast-track promotions, and dissociating remuneration from government pay scales should be explored. All institutions</w:t>
      </w:r>
      <w:r>
        <w:rPr>
          <w:spacing w:val="-11"/>
        </w:rPr>
        <w:t> </w:t>
      </w:r>
      <w:r>
        <w:rPr/>
        <w:t>must</w:t>
      </w:r>
      <w:r>
        <w:rPr>
          <w:spacing w:val="-11"/>
        </w:rPr>
        <w:t> </w:t>
      </w:r>
      <w:r>
        <w:rPr/>
        <w:t>clearly</w:t>
      </w:r>
      <w:r>
        <w:rPr>
          <w:spacing w:val="-11"/>
        </w:rPr>
        <w:t> </w:t>
      </w:r>
      <w:r>
        <w:rPr/>
        <w:t>lay</w:t>
      </w:r>
      <w:r>
        <w:rPr>
          <w:spacing w:val="-11"/>
        </w:rPr>
        <w:t> </w:t>
      </w:r>
      <w:r>
        <w:rPr/>
        <w:t>down</w:t>
      </w:r>
      <w:r>
        <w:rPr>
          <w:spacing w:val="-11"/>
        </w:rPr>
        <w:t> </w:t>
      </w:r>
      <w:r>
        <w:rPr/>
        <w:t>exact</w:t>
      </w:r>
      <w:r>
        <w:rPr>
          <w:spacing w:val="-11"/>
        </w:rPr>
        <w:t> </w:t>
      </w:r>
      <w:r>
        <w:rPr/>
        <w:t>definitions</w:t>
      </w:r>
      <w:r>
        <w:rPr>
          <w:spacing w:val="-11"/>
        </w:rPr>
        <w:t> </w:t>
      </w:r>
      <w:r>
        <w:rPr/>
        <w:t>of </w:t>
      </w:r>
      <w:r>
        <w:rPr>
          <w:spacing w:val="-4"/>
        </w:rPr>
        <w:t>what</w:t>
      </w:r>
      <w:r>
        <w:rPr>
          <w:spacing w:val="-10"/>
        </w:rPr>
        <w:t> </w:t>
      </w:r>
      <w:r>
        <w:rPr>
          <w:spacing w:val="-4"/>
        </w:rPr>
        <w:t>constitutes</w:t>
      </w:r>
      <w:r>
        <w:rPr>
          <w:spacing w:val="-10"/>
        </w:rPr>
        <w:t> </w:t>
      </w:r>
      <w:r>
        <w:rPr>
          <w:spacing w:val="-4"/>
        </w:rPr>
        <w:t>conflict</w:t>
      </w:r>
      <w:r>
        <w:rPr>
          <w:spacing w:val="-10"/>
        </w:rPr>
        <w:t> </w:t>
      </w:r>
      <w:r>
        <w:rPr>
          <w:spacing w:val="-4"/>
        </w:rPr>
        <w:t>of</w:t>
      </w:r>
      <w:r>
        <w:rPr>
          <w:spacing w:val="-9"/>
        </w:rPr>
        <w:t> </w:t>
      </w:r>
      <w:r>
        <w:rPr>
          <w:spacing w:val="-4"/>
        </w:rPr>
        <w:t>interest</w:t>
      </w:r>
      <w:r>
        <w:rPr>
          <w:spacing w:val="-10"/>
        </w:rPr>
        <w:t> </w:t>
      </w:r>
      <w:r>
        <w:rPr>
          <w:spacing w:val="-4"/>
        </w:rPr>
        <w:t>for</w:t>
      </w:r>
      <w:r>
        <w:rPr>
          <w:spacing w:val="-10"/>
        </w:rPr>
        <w:t> </w:t>
      </w:r>
      <w:r>
        <w:rPr>
          <w:spacing w:val="-4"/>
        </w:rPr>
        <w:t>faculty</w:t>
      </w:r>
      <w:r>
        <w:rPr>
          <w:spacing w:val="-10"/>
        </w:rPr>
        <w:t> </w:t>
      </w:r>
      <w:r>
        <w:rPr>
          <w:spacing w:val="-4"/>
        </w:rPr>
        <w:t>members </w:t>
      </w:r>
      <w:r>
        <w:rPr>
          <w:spacing w:val="-2"/>
        </w:rPr>
        <w:t>in</w:t>
      </w:r>
      <w:r>
        <w:rPr>
          <w:spacing w:val="-10"/>
        </w:rPr>
        <w:t> </w:t>
      </w:r>
      <w:r>
        <w:rPr>
          <w:spacing w:val="-2"/>
        </w:rPr>
        <w:t>public</w:t>
      </w:r>
      <w:r>
        <w:rPr>
          <w:spacing w:val="-10"/>
        </w:rPr>
        <w:t> </w:t>
      </w:r>
      <w:r>
        <w:rPr>
          <w:spacing w:val="-2"/>
        </w:rPr>
        <w:t>medical</w:t>
      </w:r>
      <w:r>
        <w:rPr>
          <w:spacing w:val="-10"/>
        </w:rPr>
        <w:t> </w:t>
      </w:r>
      <w:r>
        <w:rPr>
          <w:spacing w:val="-2"/>
        </w:rPr>
        <w:t>colleges,</w:t>
      </w:r>
      <w:r>
        <w:rPr>
          <w:spacing w:val="-10"/>
        </w:rPr>
        <w:t> </w:t>
      </w:r>
      <w:r>
        <w:rPr>
          <w:spacing w:val="-2"/>
        </w:rPr>
        <w:t>who</w:t>
      </w:r>
      <w:r>
        <w:rPr>
          <w:spacing w:val="-10"/>
        </w:rPr>
        <w:t> </w:t>
      </w:r>
      <w:r>
        <w:rPr>
          <w:spacing w:val="-2"/>
        </w:rPr>
        <w:t>have</w:t>
      </w:r>
      <w:r>
        <w:rPr>
          <w:spacing w:val="-10"/>
        </w:rPr>
        <w:t> </w:t>
      </w:r>
      <w:r>
        <w:rPr>
          <w:spacing w:val="-2"/>
        </w:rPr>
        <w:t>a</w:t>
      </w:r>
      <w:r>
        <w:rPr>
          <w:spacing w:val="-10"/>
        </w:rPr>
        <w:t> </w:t>
      </w:r>
      <w:r>
        <w:rPr>
          <w:spacing w:val="-2"/>
        </w:rPr>
        <w:t>private</w:t>
      </w:r>
      <w:r>
        <w:rPr>
          <w:spacing w:val="-10"/>
        </w:rPr>
        <w:t> </w:t>
      </w:r>
      <w:r>
        <w:rPr>
          <w:spacing w:val="-2"/>
        </w:rPr>
        <w:t>practice </w:t>
      </w:r>
      <w:r>
        <w:rPr/>
        <w:t>in addition to their official duties, and receive a full </w:t>
      </w:r>
      <w:r>
        <w:rPr>
          <w:spacing w:val="-4"/>
        </w:rPr>
        <w:t>time</w:t>
      </w:r>
      <w:r>
        <w:rPr>
          <w:spacing w:val="-10"/>
        </w:rPr>
        <w:t> </w:t>
      </w:r>
      <w:r>
        <w:rPr>
          <w:spacing w:val="-4"/>
        </w:rPr>
        <w:t>teacher’s</w:t>
      </w:r>
      <w:r>
        <w:rPr>
          <w:spacing w:val="-9"/>
        </w:rPr>
        <w:t> </w:t>
      </w:r>
      <w:r>
        <w:rPr>
          <w:spacing w:val="-4"/>
        </w:rPr>
        <w:t>salary.</w:t>
      </w:r>
      <w:r>
        <w:rPr>
          <w:spacing w:val="-10"/>
        </w:rPr>
        <w:t> </w:t>
      </w:r>
      <w:r>
        <w:rPr>
          <w:spacing w:val="-4"/>
        </w:rPr>
        <w:t>Those</w:t>
      </w:r>
      <w:r>
        <w:rPr>
          <w:spacing w:val="-7"/>
        </w:rPr>
        <w:t> </w:t>
      </w:r>
      <w:r>
        <w:rPr>
          <w:spacing w:val="-4"/>
        </w:rPr>
        <w:t>who</w:t>
      </w:r>
      <w:r>
        <w:rPr>
          <w:spacing w:val="-7"/>
        </w:rPr>
        <w:t> </w:t>
      </w:r>
      <w:r>
        <w:rPr>
          <w:spacing w:val="-4"/>
        </w:rPr>
        <w:t>flout</w:t>
      </w:r>
      <w:r>
        <w:rPr>
          <w:spacing w:val="-7"/>
        </w:rPr>
        <w:t> </w:t>
      </w:r>
      <w:r>
        <w:rPr>
          <w:spacing w:val="-4"/>
        </w:rPr>
        <w:t>these</w:t>
      </w:r>
      <w:r>
        <w:rPr>
          <w:spacing w:val="-7"/>
        </w:rPr>
        <w:t> </w:t>
      </w:r>
      <w:r>
        <w:rPr>
          <w:spacing w:val="-4"/>
        </w:rPr>
        <w:t>regulations </w:t>
      </w:r>
      <w:r>
        <w:rPr/>
        <w:t>should be penalised.</w:t>
      </w:r>
    </w:p>
    <w:p>
      <w:pPr>
        <w:pStyle w:val="Heading7"/>
        <w:spacing w:before="233"/>
      </w:pPr>
      <w:r>
        <w:rPr>
          <w:color w:val="2E614A"/>
          <w:spacing w:val="-2"/>
        </w:rPr>
        <w:t>Research</w:t>
      </w:r>
    </w:p>
    <w:p>
      <w:pPr>
        <w:pStyle w:val="BodyText"/>
        <w:spacing w:line="266" w:lineRule="auto" w:before="298"/>
        <w:ind w:left="319" w:right="1077"/>
        <w:jc w:val="both"/>
      </w:pPr>
      <w:r>
        <w:rPr/>
        <w:t>With a view to encouraging research in medicine, a Mentored</w:t>
      </w:r>
      <w:r>
        <w:rPr>
          <w:spacing w:val="-3"/>
        </w:rPr>
        <w:t> </w:t>
      </w:r>
      <w:r>
        <w:rPr/>
        <w:t>Medical</w:t>
      </w:r>
      <w:r>
        <w:rPr>
          <w:spacing w:val="-3"/>
        </w:rPr>
        <w:t> </w:t>
      </w:r>
      <w:r>
        <w:rPr/>
        <w:t>Student</w:t>
      </w:r>
      <w:r>
        <w:rPr>
          <w:spacing w:val="-3"/>
        </w:rPr>
        <w:t> </w:t>
      </w:r>
      <w:r>
        <w:rPr/>
        <w:t>Research</w:t>
      </w:r>
      <w:r>
        <w:rPr>
          <w:spacing w:val="-3"/>
        </w:rPr>
        <w:t> </w:t>
      </w:r>
      <w:r>
        <w:rPr/>
        <w:t>Program</w:t>
      </w:r>
      <w:r>
        <w:rPr>
          <w:spacing w:val="-3"/>
        </w:rPr>
        <w:t> </w:t>
      </w:r>
      <w:r>
        <w:rPr/>
        <w:t>should </w:t>
      </w:r>
      <w:r>
        <w:rPr>
          <w:spacing w:val="-4"/>
        </w:rPr>
        <w:t>be</w:t>
      </w:r>
      <w:r>
        <w:rPr>
          <w:spacing w:val="-7"/>
        </w:rPr>
        <w:t> </w:t>
      </w:r>
      <w:r>
        <w:rPr>
          <w:spacing w:val="-4"/>
        </w:rPr>
        <w:t>set</w:t>
      </w:r>
      <w:r>
        <w:rPr>
          <w:spacing w:val="-7"/>
        </w:rPr>
        <w:t> </w:t>
      </w:r>
      <w:r>
        <w:rPr>
          <w:spacing w:val="-4"/>
        </w:rPr>
        <w:t>up</w:t>
      </w:r>
      <w:r>
        <w:rPr>
          <w:spacing w:val="-7"/>
        </w:rPr>
        <w:t> </w:t>
      </w:r>
      <w:r>
        <w:rPr>
          <w:spacing w:val="-4"/>
        </w:rPr>
        <w:t>as</w:t>
      </w:r>
      <w:r>
        <w:rPr>
          <w:spacing w:val="-7"/>
        </w:rPr>
        <w:t> </w:t>
      </w:r>
      <w:r>
        <w:rPr>
          <w:spacing w:val="-4"/>
        </w:rPr>
        <w:t>a</w:t>
      </w:r>
      <w:r>
        <w:rPr>
          <w:spacing w:val="-7"/>
        </w:rPr>
        <w:t> </w:t>
      </w:r>
      <w:r>
        <w:rPr>
          <w:spacing w:val="-4"/>
        </w:rPr>
        <w:t>catalyst</w:t>
      </w:r>
      <w:r>
        <w:rPr>
          <w:spacing w:val="-7"/>
        </w:rPr>
        <w:t> </w:t>
      </w:r>
      <w:r>
        <w:rPr>
          <w:spacing w:val="-4"/>
        </w:rPr>
        <w:t>to</w:t>
      </w:r>
      <w:r>
        <w:rPr>
          <w:spacing w:val="-7"/>
        </w:rPr>
        <w:t> </w:t>
      </w:r>
      <w:r>
        <w:rPr>
          <w:spacing w:val="-4"/>
        </w:rPr>
        <w:t>introduce</w:t>
      </w:r>
      <w:r>
        <w:rPr>
          <w:spacing w:val="-7"/>
        </w:rPr>
        <w:t> </w:t>
      </w:r>
      <w:r>
        <w:rPr>
          <w:spacing w:val="-4"/>
        </w:rPr>
        <w:t>medical</w:t>
      </w:r>
      <w:r>
        <w:rPr>
          <w:spacing w:val="-7"/>
        </w:rPr>
        <w:t> </w:t>
      </w:r>
      <w:r>
        <w:rPr>
          <w:spacing w:val="-4"/>
        </w:rPr>
        <w:t>students</w:t>
      </w:r>
      <w:r>
        <w:rPr>
          <w:spacing w:val="-7"/>
        </w:rPr>
        <w:t> </w:t>
      </w:r>
      <w:r>
        <w:rPr>
          <w:spacing w:val="-4"/>
        </w:rPr>
        <w:t>to</w:t>
      </w:r>
      <w:r>
        <w:rPr>
          <w:spacing w:val="-7"/>
        </w:rPr>
        <w:t> </w:t>
      </w:r>
      <w:r>
        <w:rPr>
          <w:spacing w:val="-4"/>
        </w:rPr>
        <w:t>a potential</w:t>
      </w:r>
      <w:r>
        <w:rPr>
          <w:spacing w:val="-9"/>
        </w:rPr>
        <w:t> </w:t>
      </w:r>
      <w:r>
        <w:rPr>
          <w:spacing w:val="-4"/>
        </w:rPr>
        <w:t>career</w:t>
      </w:r>
      <w:r>
        <w:rPr>
          <w:spacing w:val="-9"/>
        </w:rPr>
        <w:t> </w:t>
      </w:r>
      <w:r>
        <w:rPr>
          <w:spacing w:val="-4"/>
        </w:rPr>
        <w:t>in</w:t>
      </w:r>
      <w:r>
        <w:rPr>
          <w:spacing w:val="-9"/>
        </w:rPr>
        <w:t> </w:t>
      </w:r>
      <w:r>
        <w:rPr>
          <w:spacing w:val="-4"/>
        </w:rPr>
        <w:t>patient-oriented/community-oriented </w:t>
      </w:r>
      <w:r>
        <w:rPr>
          <w:w w:val="90"/>
        </w:rPr>
        <w:t>research</w:t>
      </w:r>
      <w:r>
        <w:rPr>
          <w:spacing w:val="-3"/>
          <w:w w:val="90"/>
        </w:rPr>
        <w:t> </w:t>
      </w:r>
      <w:r>
        <w:rPr>
          <w:w w:val="90"/>
        </w:rPr>
        <w:t>including</w:t>
      </w:r>
      <w:r>
        <w:rPr>
          <w:spacing w:val="-3"/>
          <w:w w:val="90"/>
        </w:rPr>
        <w:t> </w:t>
      </w:r>
      <w:r>
        <w:rPr>
          <w:w w:val="90"/>
        </w:rPr>
        <w:t>interdisciplinary</w:t>
      </w:r>
      <w:r>
        <w:rPr>
          <w:spacing w:val="-3"/>
          <w:w w:val="90"/>
        </w:rPr>
        <w:t> </w:t>
      </w:r>
      <w:r>
        <w:rPr>
          <w:w w:val="90"/>
        </w:rPr>
        <w:t>research.Two</w:t>
      </w:r>
      <w:r>
        <w:rPr>
          <w:spacing w:val="-3"/>
          <w:w w:val="90"/>
        </w:rPr>
        <w:t> </w:t>
      </w:r>
      <w:r>
        <w:rPr>
          <w:w w:val="90"/>
        </w:rPr>
        <w:t>points</w:t>
      </w:r>
      <w:r>
        <w:rPr>
          <w:spacing w:val="-3"/>
          <w:w w:val="90"/>
        </w:rPr>
        <w:t> </w:t>
      </w:r>
      <w:r>
        <w:rPr>
          <w:w w:val="90"/>
        </w:rPr>
        <w:t>of </w:t>
      </w:r>
      <w:r>
        <w:rPr>
          <w:spacing w:val="-8"/>
        </w:rPr>
        <w:t>entry</w:t>
      </w:r>
      <w:r>
        <w:rPr/>
        <w:t> </w:t>
      </w:r>
      <w:r>
        <w:rPr>
          <w:spacing w:val="-8"/>
        </w:rPr>
        <w:t>into</w:t>
      </w:r>
      <w:r>
        <w:rPr/>
        <w:t> </w:t>
      </w:r>
      <w:r>
        <w:rPr>
          <w:spacing w:val="-8"/>
        </w:rPr>
        <w:t>Ph.D</w:t>
      </w:r>
      <w:r>
        <w:rPr/>
        <w:t> </w:t>
      </w:r>
      <w:r>
        <w:rPr>
          <w:spacing w:val="-8"/>
        </w:rPr>
        <w:t>programs</w:t>
      </w:r>
      <w:r>
        <w:rPr/>
        <w:t> </w:t>
      </w:r>
      <w:r>
        <w:rPr>
          <w:spacing w:val="-8"/>
        </w:rPr>
        <w:t>should</w:t>
      </w:r>
      <w:r>
        <w:rPr/>
        <w:t> </w:t>
      </w:r>
      <w:r>
        <w:rPr>
          <w:spacing w:val="-8"/>
        </w:rPr>
        <w:t>be</w:t>
      </w:r>
      <w:r>
        <w:rPr/>
        <w:t> </w:t>
      </w:r>
      <w:r>
        <w:rPr>
          <w:spacing w:val="-8"/>
        </w:rPr>
        <w:t>considered:</w:t>
      </w:r>
      <w:r>
        <w:rPr/>
        <w:t> </w:t>
      </w:r>
      <w:r>
        <w:rPr>
          <w:spacing w:val="-8"/>
        </w:rPr>
        <w:t>one</w:t>
      </w:r>
      <w:r>
        <w:rPr/>
        <w:t> </w:t>
      </w:r>
      <w:r>
        <w:rPr>
          <w:spacing w:val="-8"/>
        </w:rPr>
        <w:t>after </w:t>
      </w:r>
      <w:r>
        <w:rPr>
          <w:spacing w:val="-6"/>
        </w:rPr>
        <w:t>MBBS</w:t>
      </w:r>
      <w:r>
        <w:rPr>
          <w:spacing w:val="-8"/>
        </w:rPr>
        <w:t> </w:t>
      </w:r>
      <w:r>
        <w:rPr>
          <w:spacing w:val="-6"/>
        </w:rPr>
        <w:t>and</w:t>
      </w:r>
      <w:r>
        <w:rPr>
          <w:spacing w:val="-8"/>
        </w:rPr>
        <w:t> </w:t>
      </w:r>
      <w:r>
        <w:rPr>
          <w:spacing w:val="-6"/>
        </w:rPr>
        <w:t>another</w:t>
      </w:r>
      <w:r>
        <w:rPr>
          <w:spacing w:val="-8"/>
        </w:rPr>
        <w:t> </w:t>
      </w:r>
      <w:r>
        <w:rPr>
          <w:spacing w:val="-6"/>
        </w:rPr>
        <w:t>after</w:t>
      </w:r>
      <w:r>
        <w:rPr>
          <w:spacing w:val="-7"/>
        </w:rPr>
        <w:t> </w:t>
      </w:r>
      <w:r>
        <w:rPr>
          <w:spacing w:val="-6"/>
        </w:rPr>
        <w:t>MD</w:t>
      </w:r>
      <w:r>
        <w:rPr>
          <w:spacing w:val="-8"/>
        </w:rPr>
        <w:t> </w:t>
      </w:r>
      <w:r>
        <w:rPr>
          <w:spacing w:val="-6"/>
        </w:rPr>
        <w:t>depending</w:t>
      </w:r>
      <w:r>
        <w:rPr>
          <w:spacing w:val="-8"/>
        </w:rPr>
        <w:t> </w:t>
      </w:r>
      <w:r>
        <w:rPr>
          <w:spacing w:val="-6"/>
        </w:rPr>
        <w:t>on</w:t>
      </w:r>
      <w:r>
        <w:rPr>
          <w:spacing w:val="-8"/>
        </w:rPr>
        <w:t> </w:t>
      </w:r>
      <w:r>
        <w:rPr>
          <w:spacing w:val="-6"/>
        </w:rPr>
        <w:t>the</w:t>
      </w:r>
      <w:r>
        <w:rPr>
          <w:spacing w:val="-7"/>
        </w:rPr>
        <w:t> </w:t>
      </w:r>
      <w:r>
        <w:rPr>
          <w:spacing w:val="-6"/>
        </w:rPr>
        <w:t>student’s </w:t>
      </w:r>
      <w:r>
        <w:rPr>
          <w:spacing w:val="-2"/>
        </w:rPr>
        <w:t>interest.</w:t>
      </w:r>
      <w:r>
        <w:rPr>
          <w:spacing w:val="-12"/>
        </w:rPr>
        <w:t> </w:t>
      </w:r>
      <w:r>
        <w:rPr>
          <w:spacing w:val="-2"/>
        </w:rPr>
        <w:t>The</w:t>
      </w:r>
      <w:r>
        <w:rPr>
          <w:spacing w:val="-12"/>
        </w:rPr>
        <w:t> </w:t>
      </w:r>
      <w:r>
        <w:rPr>
          <w:spacing w:val="-2"/>
        </w:rPr>
        <w:t>government</w:t>
      </w:r>
      <w:r>
        <w:rPr>
          <w:spacing w:val="-10"/>
        </w:rPr>
        <w:t> </w:t>
      </w:r>
      <w:r>
        <w:rPr>
          <w:spacing w:val="-2"/>
        </w:rPr>
        <w:t>should</w:t>
      </w:r>
      <w:r>
        <w:rPr>
          <w:spacing w:val="-9"/>
        </w:rPr>
        <w:t> </w:t>
      </w:r>
      <w:r>
        <w:rPr>
          <w:spacing w:val="-2"/>
        </w:rPr>
        <w:t>facilitate</w:t>
      </w:r>
      <w:r>
        <w:rPr>
          <w:spacing w:val="-9"/>
        </w:rPr>
        <w:t> </w:t>
      </w:r>
      <w:r>
        <w:rPr>
          <w:spacing w:val="-2"/>
        </w:rPr>
        <w:t>setting</w:t>
      </w:r>
      <w:r>
        <w:rPr>
          <w:spacing w:val="-9"/>
        </w:rPr>
        <w:t> </w:t>
      </w:r>
      <w:r>
        <w:rPr>
          <w:spacing w:val="-2"/>
        </w:rPr>
        <w:t>up</w:t>
      </w:r>
      <w:r>
        <w:rPr>
          <w:spacing w:val="-9"/>
        </w:rPr>
        <w:t> </w:t>
      </w:r>
      <w:r>
        <w:rPr>
          <w:spacing w:val="-2"/>
        </w:rPr>
        <w:t>of research</w:t>
      </w:r>
      <w:r>
        <w:rPr>
          <w:spacing w:val="-11"/>
        </w:rPr>
        <w:t> </w:t>
      </w:r>
      <w:r>
        <w:rPr>
          <w:spacing w:val="-2"/>
        </w:rPr>
        <w:t>centres</w:t>
      </w:r>
      <w:r>
        <w:rPr>
          <w:spacing w:val="-11"/>
        </w:rPr>
        <w:t> </w:t>
      </w:r>
      <w:r>
        <w:rPr>
          <w:spacing w:val="-2"/>
        </w:rPr>
        <w:t>in</w:t>
      </w:r>
      <w:r>
        <w:rPr>
          <w:spacing w:val="-11"/>
        </w:rPr>
        <w:t> </w:t>
      </w:r>
      <w:r>
        <w:rPr>
          <w:spacing w:val="-2"/>
        </w:rPr>
        <w:t>medical</w:t>
      </w:r>
      <w:r>
        <w:rPr>
          <w:spacing w:val="-11"/>
        </w:rPr>
        <w:t> </w:t>
      </w:r>
      <w:r>
        <w:rPr>
          <w:spacing w:val="-2"/>
        </w:rPr>
        <w:t>colleges.</w:t>
      </w:r>
      <w:r>
        <w:rPr>
          <w:spacing w:val="-12"/>
        </w:rPr>
        <w:t> </w:t>
      </w:r>
      <w:r>
        <w:rPr>
          <w:spacing w:val="-2"/>
        </w:rPr>
        <w:t>Validating</w:t>
      </w:r>
      <w:r>
        <w:rPr>
          <w:spacing w:val="-10"/>
        </w:rPr>
        <w:t> </w:t>
      </w:r>
      <w:r>
        <w:rPr>
          <w:spacing w:val="-2"/>
        </w:rPr>
        <w:t>Indian </w:t>
      </w:r>
      <w:r>
        <w:rPr>
          <w:spacing w:val="-10"/>
        </w:rPr>
        <w:t>Systems</w:t>
      </w:r>
      <w:r>
        <w:rPr/>
        <w:t> </w:t>
      </w:r>
      <w:r>
        <w:rPr>
          <w:spacing w:val="-10"/>
        </w:rPr>
        <w:t>of</w:t>
      </w:r>
      <w:r>
        <w:rPr/>
        <w:t> </w:t>
      </w:r>
      <w:r>
        <w:rPr>
          <w:spacing w:val="-10"/>
        </w:rPr>
        <w:t>Medicine</w:t>
      </w:r>
      <w:r>
        <w:rPr/>
        <w:t> </w:t>
      </w:r>
      <w:r>
        <w:rPr>
          <w:spacing w:val="-10"/>
        </w:rPr>
        <w:t>using</w:t>
      </w:r>
      <w:r>
        <w:rPr/>
        <w:t> </w:t>
      </w:r>
      <w:r>
        <w:rPr>
          <w:spacing w:val="-10"/>
        </w:rPr>
        <w:t>bio-sciences</w:t>
      </w:r>
      <w:r>
        <w:rPr/>
        <w:t> </w:t>
      </w:r>
      <w:r>
        <w:rPr>
          <w:spacing w:val="-10"/>
        </w:rPr>
        <w:t>tools</w:t>
      </w:r>
      <w:r>
        <w:rPr/>
        <w:t> </w:t>
      </w:r>
      <w:r>
        <w:rPr>
          <w:spacing w:val="-10"/>
        </w:rPr>
        <w:t>should</w:t>
      </w:r>
      <w:r>
        <w:rPr/>
        <w:t> </w:t>
      </w:r>
      <w:r>
        <w:rPr>
          <w:spacing w:val="-10"/>
        </w:rPr>
        <w:t>form </w:t>
      </w:r>
      <w:r>
        <w:rPr/>
        <w:t>an</w:t>
      </w:r>
      <w:r>
        <w:rPr>
          <w:spacing w:val="-14"/>
        </w:rPr>
        <w:t> </w:t>
      </w:r>
      <w:r>
        <w:rPr/>
        <w:t>integral</w:t>
      </w:r>
      <w:r>
        <w:rPr>
          <w:spacing w:val="-14"/>
        </w:rPr>
        <w:t> </w:t>
      </w:r>
      <w:r>
        <w:rPr/>
        <w:t>component</w:t>
      </w:r>
      <w:r>
        <w:rPr>
          <w:spacing w:val="-14"/>
        </w:rPr>
        <w:t> </w:t>
      </w:r>
      <w:r>
        <w:rPr/>
        <w:t>of</w:t>
      </w:r>
      <w:r>
        <w:rPr>
          <w:spacing w:val="-13"/>
        </w:rPr>
        <w:t> </w:t>
      </w:r>
      <w:r>
        <w:rPr/>
        <w:t>the</w:t>
      </w:r>
      <w:r>
        <w:rPr>
          <w:spacing w:val="-14"/>
        </w:rPr>
        <w:t> </w:t>
      </w:r>
      <w:r>
        <w:rPr/>
        <w:t>research</w:t>
      </w:r>
      <w:r>
        <w:rPr>
          <w:spacing w:val="-14"/>
        </w:rPr>
        <w:t> </w:t>
      </w:r>
      <w:r>
        <w:rPr/>
        <w:t>effort.</w:t>
      </w:r>
    </w:p>
    <w:p>
      <w:pPr>
        <w:pStyle w:val="Heading7"/>
        <w:spacing w:before="234"/>
      </w:pPr>
      <w:r>
        <w:rPr>
          <w:color w:val="2E614A"/>
          <w:spacing w:val="-2"/>
        </w:rPr>
        <w:t>Training</w:t>
      </w:r>
    </w:p>
    <w:p>
      <w:pPr>
        <w:pStyle w:val="BodyText"/>
        <w:spacing w:line="266" w:lineRule="auto" w:before="298"/>
        <w:ind w:left="319" w:right="1077"/>
        <w:jc w:val="both"/>
      </w:pPr>
      <w:r>
        <w:rPr/>
        <w:t>Five Regional Centres for teacher </w:t>
      </w:r>
      <w:r>
        <w:rPr/>
        <w:t>training/faculty </w:t>
      </w:r>
      <w:r>
        <w:rPr>
          <w:spacing w:val="-2"/>
        </w:rPr>
        <w:t>development</w:t>
      </w:r>
      <w:r>
        <w:rPr>
          <w:spacing w:val="-10"/>
        </w:rPr>
        <w:t> </w:t>
      </w:r>
      <w:r>
        <w:rPr>
          <w:spacing w:val="-2"/>
        </w:rPr>
        <w:t>should</w:t>
      </w:r>
      <w:r>
        <w:rPr>
          <w:spacing w:val="-10"/>
        </w:rPr>
        <w:t> </w:t>
      </w:r>
      <w:r>
        <w:rPr>
          <w:spacing w:val="-2"/>
        </w:rPr>
        <w:t>be</w:t>
      </w:r>
      <w:r>
        <w:rPr>
          <w:spacing w:val="-10"/>
        </w:rPr>
        <w:t> </w:t>
      </w:r>
      <w:r>
        <w:rPr>
          <w:spacing w:val="-2"/>
        </w:rPr>
        <w:t>set</w:t>
      </w:r>
      <w:r>
        <w:rPr>
          <w:spacing w:val="-10"/>
        </w:rPr>
        <w:t> </w:t>
      </w:r>
      <w:r>
        <w:rPr>
          <w:spacing w:val="-2"/>
        </w:rPr>
        <w:t>up</w:t>
      </w:r>
      <w:r>
        <w:rPr>
          <w:spacing w:val="-10"/>
        </w:rPr>
        <w:t> </w:t>
      </w:r>
      <w:r>
        <w:rPr>
          <w:spacing w:val="-2"/>
        </w:rPr>
        <w:t>so</w:t>
      </w:r>
      <w:r>
        <w:rPr>
          <w:spacing w:val="-10"/>
        </w:rPr>
        <w:t> </w:t>
      </w:r>
      <w:r>
        <w:rPr>
          <w:spacing w:val="-2"/>
        </w:rPr>
        <w:t>that</w:t>
      </w:r>
      <w:r>
        <w:rPr>
          <w:spacing w:val="-10"/>
        </w:rPr>
        <w:t> </w:t>
      </w:r>
      <w:r>
        <w:rPr>
          <w:spacing w:val="-2"/>
        </w:rPr>
        <w:t>teachers</w:t>
      </w:r>
      <w:r>
        <w:rPr>
          <w:spacing w:val="-10"/>
        </w:rPr>
        <w:t> </w:t>
      </w:r>
      <w:r>
        <w:rPr>
          <w:spacing w:val="-2"/>
        </w:rPr>
        <w:t>from</w:t>
      </w:r>
      <w:r>
        <w:rPr>
          <w:spacing w:val="-10"/>
        </w:rPr>
        <w:t> </w:t>
      </w:r>
      <w:r>
        <w:rPr>
          <w:spacing w:val="-2"/>
        </w:rPr>
        <w:t>the </w:t>
      </w:r>
      <w:r>
        <w:rPr>
          <w:spacing w:val="-6"/>
        </w:rPr>
        <w:t>outlying regions can be sent to these centres periodically </w:t>
      </w:r>
      <w:r>
        <w:rPr/>
        <w:t>for up-gradation of their teaching skills.</w:t>
      </w:r>
    </w:p>
    <w:p>
      <w:pPr>
        <w:pStyle w:val="Heading6"/>
        <w:numPr>
          <w:ilvl w:val="2"/>
          <w:numId w:val="26"/>
        </w:numPr>
        <w:tabs>
          <w:tab w:pos="644" w:val="left" w:leader="none"/>
        </w:tabs>
        <w:spacing w:line="240" w:lineRule="auto" w:before="206" w:after="0"/>
        <w:ind w:left="644" w:right="0" w:hanging="325"/>
        <w:jc w:val="left"/>
      </w:pPr>
      <w:r>
        <w:rPr>
          <w:color w:val="2E614A"/>
          <w:w w:val="90"/>
        </w:rPr>
        <w:t>Post-graduate</w:t>
      </w:r>
      <w:r>
        <w:rPr>
          <w:color w:val="2E614A"/>
          <w:spacing w:val="-6"/>
        </w:rPr>
        <w:t> </w:t>
      </w:r>
      <w:r>
        <w:rPr>
          <w:color w:val="2E614A"/>
          <w:spacing w:val="-2"/>
          <w:w w:val="90"/>
        </w:rPr>
        <w:t>Education</w:t>
      </w:r>
    </w:p>
    <w:p>
      <w:pPr>
        <w:pStyle w:val="Heading7"/>
        <w:spacing w:before="184"/>
      </w:pPr>
      <w:r>
        <w:rPr>
          <w:color w:val="2E614A"/>
          <w:w w:val="90"/>
        </w:rPr>
        <w:t>General</w:t>
      </w:r>
      <w:r>
        <w:rPr>
          <w:color w:val="2E614A"/>
          <w:spacing w:val="2"/>
        </w:rPr>
        <w:t> </w:t>
      </w:r>
      <w:r>
        <w:rPr>
          <w:color w:val="2E614A"/>
          <w:spacing w:val="-2"/>
        </w:rPr>
        <w:t>Physicians</w:t>
      </w:r>
    </w:p>
    <w:p>
      <w:pPr>
        <w:pStyle w:val="BodyText"/>
        <w:spacing w:line="266" w:lineRule="auto" w:before="298"/>
        <w:ind w:left="319" w:right="1077"/>
        <w:jc w:val="both"/>
      </w:pPr>
      <w:r>
        <w:rPr/>
        <w:t>The medical profession needs to be structured like </w:t>
      </w:r>
      <w:r>
        <w:rPr/>
        <w:t>a pyramid</w:t>
      </w:r>
      <w:r>
        <w:rPr>
          <w:spacing w:val="-10"/>
        </w:rPr>
        <w:t> </w:t>
      </w:r>
      <w:r>
        <w:rPr/>
        <w:t>with</w:t>
      </w:r>
      <w:r>
        <w:rPr>
          <w:spacing w:val="-10"/>
        </w:rPr>
        <w:t> </w:t>
      </w:r>
      <w:r>
        <w:rPr/>
        <w:t>the</w:t>
      </w:r>
      <w:r>
        <w:rPr>
          <w:spacing w:val="-10"/>
        </w:rPr>
        <w:t> </w:t>
      </w:r>
      <w:r>
        <w:rPr/>
        <w:t>base</w:t>
      </w:r>
      <w:r>
        <w:rPr>
          <w:spacing w:val="-10"/>
        </w:rPr>
        <w:t> </w:t>
      </w:r>
      <w:r>
        <w:rPr/>
        <w:t>made</w:t>
      </w:r>
      <w:r>
        <w:rPr>
          <w:spacing w:val="-10"/>
        </w:rPr>
        <w:t> </w:t>
      </w:r>
      <w:r>
        <w:rPr/>
        <w:t>up</w:t>
      </w:r>
      <w:r>
        <w:rPr>
          <w:spacing w:val="-10"/>
        </w:rPr>
        <w:t> </w:t>
      </w:r>
      <w:r>
        <w:rPr/>
        <w:t>of</w:t>
      </w:r>
      <w:r>
        <w:rPr>
          <w:spacing w:val="-10"/>
        </w:rPr>
        <w:t> </w:t>
      </w:r>
      <w:r>
        <w:rPr/>
        <w:t>general</w:t>
      </w:r>
      <w:r>
        <w:rPr>
          <w:spacing w:val="-10"/>
        </w:rPr>
        <w:t> </w:t>
      </w:r>
      <w:r>
        <w:rPr/>
        <w:t>physicians. At present there is little if any space for such doctors in post-graduate courses. Therefore, we suggest that adequate representation should be given to general </w:t>
      </w:r>
      <w:r>
        <w:rPr>
          <w:w w:val="90"/>
        </w:rPr>
        <w:t>physicians while carrying out expansion of post-graduate </w:t>
      </w:r>
      <w:r>
        <w:rPr>
          <w:spacing w:val="-4"/>
        </w:rPr>
        <w:t>seats</w:t>
      </w:r>
      <w:r>
        <w:rPr>
          <w:spacing w:val="-6"/>
        </w:rPr>
        <w:t> </w:t>
      </w:r>
      <w:r>
        <w:rPr>
          <w:spacing w:val="-4"/>
        </w:rPr>
        <w:t>such</w:t>
      </w:r>
      <w:r>
        <w:rPr>
          <w:spacing w:val="-5"/>
        </w:rPr>
        <w:t> </w:t>
      </w:r>
      <w:r>
        <w:rPr>
          <w:spacing w:val="-4"/>
        </w:rPr>
        <w:t>that</w:t>
      </w:r>
      <w:r>
        <w:rPr>
          <w:spacing w:val="-5"/>
        </w:rPr>
        <w:t> </w:t>
      </w:r>
      <w:r>
        <w:rPr>
          <w:spacing w:val="-4"/>
        </w:rPr>
        <w:t>50</w:t>
      </w:r>
      <w:r>
        <w:rPr>
          <w:spacing w:val="-5"/>
        </w:rPr>
        <w:t> </w:t>
      </w:r>
      <w:r>
        <w:rPr>
          <w:spacing w:val="-4"/>
        </w:rPr>
        <w:t>per</w:t>
      </w:r>
      <w:r>
        <w:rPr>
          <w:spacing w:val="-5"/>
        </w:rPr>
        <w:t> </w:t>
      </w:r>
      <w:r>
        <w:rPr>
          <w:spacing w:val="-4"/>
        </w:rPr>
        <w:t>cent</w:t>
      </w:r>
      <w:r>
        <w:rPr>
          <w:spacing w:val="-5"/>
        </w:rPr>
        <w:t> </w:t>
      </w:r>
      <w:r>
        <w:rPr>
          <w:spacing w:val="-4"/>
        </w:rPr>
        <w:t>seats</w:t>
      </w:r>
      <w:r>
        <w:rPr>
          <w:spacing w:val="-6"/>
        </w:rPr>
        <w:t> </w:t>
      </w:r>
      <w:r>
        <w:rPr>
          <w:spacing w:val="-4"/>
        </w:rPr>
        <w:t>are</w:t>
      </w:r>
      <w:r>
        <w:rPr>
          <w:spacing w:val="-5"/>
        </w:rPr>
        <w:t> </w:t>
      </w:r>
      <w:r>
        <w:rPr>
          <w:spacing w:val="-4"/>
        </w:rPr>
        <w:t>reserved</w:t>
      </w:r>
      <w:r>
        <w:rPr>
          <w:spacing w:val="-5"/>
        </w:rPr>
        <w:t> </w:t>
      </w:r>
      <w:r>
        <w:rPr>
          <w:spacing w:val="-4"/>
        </w:rPr>
        <w:t>for</w:t>
      </w:r>
      <w:r>
        <w:rPr>
          <w:spacing w:val="-5"/>
        </w:rPr>
        <w:t> </w:t>
      </w:r>
      <w:r>
        <w:rPr>
          <w:spacing w:val="-4"/>
        </w:rPr>
        <w:t>general</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104"/>
        <w:jc w:val="both"/>
      </w:pPr>
      <w:r>
        <w:rPr>
          <w:spacing w:val="-2"/>
        </w:rPr>
        <w:t>physicians.</w:t>
      </w:r>
      <w:r>
        <w:rPr>
          <w:spacing w:val="-12"/>
        </w:rPr>
        <w:t> </w:t>
      </w:r>
      <w:r>
        <w:rPr>
          <w:spacing w:val="-2"/>
        </w:rPr>
        <w:t>New</w:t>
      </w:r>
      <w:r>
        <w:rPr>
          <w:spacing w:val="-12"/>
        </w:rPr>
        <w:t> </w:t>
      </w:r>
      <w:r>
        <w:rPr>
          <w:spacing w:val="-2"/>
        </w:rPr>
        <w:t>streams</w:t>
      </w:r>
      <w:r>
        <w:rPr>
          <w:spacing w:val="-12"/>
        </w:rPr>
        <w:t> </w:t>
      </w:r>
      <w:r>
        <w:rPr>
          <w:spacing w:val="-2"/>
        </w:rPr>
        <w:t>for</w:t>
      </w:r>
      <w:r>
        <w:rPr>
          <w:spacing w:val="-11"/>
        </w:rPr>
        <w:t> </w:t>
      </w:r>
      <w:r>
        <w:rPr>
          <w:spacing w:val="-2"/>
        </w:rPr>
        <w:t>post</w:t>
      </w:r>
      <w:r>
        <w:rPr>
          <w:spacing w:val="-12"/>
        </w:rPr>
        <w:t> </w:t>
      </w:r>
      <w:r>
        <w:rPr>
          <w:spacing w:val="-2"/>
        </w:rPr>
        <w:t>graduation</w:t>
      </w:r>
      <w:r>
        <w:rPr>
          <w:spacing w:val="-12"/>
        </w:rPr>
        <w:t> </w:t>
      </w:r>
      <w:r>
        <w:rPr>
          <w:spacing w:val="-2"/>
        </w:rPr>
        <w:t>should</w:t>
      </w:r>
      <w:r>
        <w:rPr>
          <w:spacing w:val="-12"/>
        </w:rPr>
        <w:t> </w:t>
      </w:r>
      <w:r>
        <w:rPr>
          <w:spacing w:val="-2"/>
        </w:rPr>
        <w:t>be </w:t>
      </w:r>
      <w:r>
        <w:rPr/>
        <w:t>looked at based on needs.</w:t>
      </w:r>
    </w:p>
    <w:p>
      <w:pPr>
        <w:pStyle w:val="Heading7"/>
        <w:spacing w:before="241"/>
        <w:ind w:left="1104"/>
      </w:pPr>
      <w:r>
        <w:rPr>
          <w:color w:val="2E614A"/>
          <w:spacing w:val="-2"/>
        </w:rPr>
        <w:t>Admissions</w:t>
      </w:r>
    </w:p>
    <w:p>
      <w:pPr>
        <w:pStyle w:val="BodyText"/>
        <w:spacing w:line="266" w:lineRule="auto" w:before="299"/>
        <w:ind w:left="1104"/>
        <w:jc w:val="both"/>
      </w:pPr>
      <w:r>
        <w:rPr/>
        <w:t>Admission to post-graduate courses should be </w:t>
      </w:r>
      <w:r>
        <w:rPr/>
        <w:t>done on the basis of credits received in the National Exit Examination and pre- and post-internship clinically oriented exams after internship. There is a need to reserve</w:t>
      </w:r>
      <w:r>
        <w:rPr>
          <w:spacing w:val="-4"/>
        </w:rPr>
        <w:t> </w:t>
      </w:r>
      <w:r>
        <w:rPr/>
        <w:t>post-graduate</w:t>
      </w:r>
      <w:r>
        <w:rPr>
          <w:spacing w:val="-4"/>
        </w:rPr>
        <w:t> </w:t>
      </w:r>
      <w:r>
        <w:rPr/>
        <w:t>seats</w:t>
      </w:r>
      <w:r>
        <w:rPr>
          <w:spacing w:val="-4"/>
        </w:rPr>
        <w:t> </w:t>
      </w:r>
      <w:r>
        <w:rPr/>
        <w:t>(up</w:t>
      </w:r>
      <w:r>
        <w:rPr>
          <w:spacing w:val="-4"/>
        </w:rPr>
        <w:t> </w:t>
      </w:r>
      <w:r>
        <w:rPr/>
        <w:t>to</w:t>
      </w:r>
      <w:r>
        <w:rPr>
          <w:spacing w:val="-4"/>
        </w:rPr>
        <w:t> </w:t>
      </w:r>
      <w:r>
        <w:rPr/>
        <w:t>20</w:t>
      </w:r>
      <w:r>
        <w:rPr>
          <w:spacing w:val="-4"/>
        </w:rPr>
        <w:t> </w:t>
      </w:r>
      <w:r>
        <w:rPr/>
        <w:t>per</w:t>
      </w:r>
      <w:r>
        <w:rPr>
          <w:spacing w:val="-4"/>
        </w:rPr>
        <w:t> </w:t>
      </w:r>
      <w:r>
        <w:rPr/>
        <w:t>cent</w:t>
      </w:r>
      <w:r>
        <w:rPr>
          <w:spacing w:val="-4"/>
        </w:rPr>
        <w:t> </w:t>
      </w:r>
      <w:r>
        <w:rPr/>
        <w:t>of</w:t>
      </w:r>
      <w:r>
        <w:rPr>
          <w:spacing w:val="-4"/>
        </w:rPr>
        <w:t> </w:t>
      </w:r>
      <w:r>
        <w:rPr/>
        <w:t>total </w:t>
      </w:r>
      <w:r>
        <w:rPr>
          <w:spacing w:val="-4"/>
        </w:rPr>
        <w:t>available</w:t>
      </w:r>
      <w:r>
        <w:rPr>
          <w:spacing w:val="-8"/>
        </w:rPr>
        <w:t> </w:t>
      </w:r>
      <w:r>
        <w:rPr>
          <w:spacing w:val="-4"/>
        </w:rPr>
        <w:t>seats)</w:t>
      </w:r>
      <w:r>
        <w:rPr>
          <w:spacing w:val="-8"/>
        </w:rPr>
        <w:t> </w:t>
      </w:r>
      <w:r>
        <w:rPr>
          <w:spacing w:val="-4"/>
        </w:rPr>
        <w:t>for</w:t>
      </w:r>
      <w:r>
        <w:rPr>
          <w:spacing w:val="-8"/>
        </w:rPr>
        <w:t> </w:t>
      </w:r>
      <w:r>
        <w:rPr>
          <w:spacing w:val="-4"/>
        </w:rPr>
        <w:t>graduates</w:t>
      </w:r>
      <w:r>
        <w:rPr>
          <w:spacing w:val="-8"/>
        </w:rPr>
        <w:t> </w:t>
      </w:r>
      <w:r>
        <w:rPr>
          <w:spacing w:val="-4"/>
        </w:rPr>
        <w:t>who</w:t>
      </w:r>
      <w:r>
        <w:rPr>
          <w:spacing w:val="-8"/>
        </w:rPr>
        <w:t> </w:t>
      </w:r>
      <w:r>
        <w:rPr>
          <w:spacing w:val="-4"/>
        </w:rPr>
        <w:t>have</w:t>
      </w:r>
      <w:r>
        <w:rPr>
          <w:spacing w:val="-8"/>
        </w:rPr>
        <w:t> </w:t>
      </w:r>
      <w:r>
        <w:rPr>
          <w:spacing w:val="-4"/>
        </w:rPr>
        <w:t>worked</w:t>
      </w:r>
      <w:r>
        <w:rPr>
          <w:spacing w:val="-8"/>
        </w:rPr>
        <w:t> </w:t>
      </w:r>
      <w:r>
        <w:rPr>
          <w:spacing w:val="-4"/>
        </w:rPr>
        <w:t>in</w:t>
      </w:r>
      <w:r>
        <w:rPr>
          <w:spacing w:val="-8"/>
        </w:rPr>
        <w:t> </w:t>
      </w:r>
      <w:r>
        <w:rPr>
          <w:spacing w:val="-4"/>
        </w:rPr>
        <w:t>rural </w:t>
      </w:r>
      <w:r>
        <w:rPr/>
        <w:t>areas for at least three years.</w:t>
      </w:r>
    </w:p>
    <w:p>
      <w:pPr>
        <w:pStyle w:val="Heading6"/>
        <w:numPr>
          <w:ilvl w:val="2"/>
          <w:numId w:val="26"/>
        </w:numPr>
        <w:tabs>
          <w:tab w:pos="1429" w:val="left" w:leader="none"/>
        </w:tabs>
        <w:spacing w:line="240" w:lineRule="auto" w:before="181" w:after="0"/>
        <w:ind w:left="1429" w:right="0" w:hanging="325"/>
        <w:jc w:val="left"/>
      </w:pPr>
      <w:r>
        <w:rPr>
          <w:color w:val="2E614A"/>
          <w:w w:val="90"/>
        </w:rPr>
        <w:t>Regional</w:t>
      </w:r>
      <w:r>
        <w:rPr>
          <w:color w:val="2E614A"/>
          <w:spacing w:val="26"/>
        </w:rPr>
        <w:t> </w:t>
      </w:r>
      <w:r>
        <w:rPr>
          <w:color w:val="2E614A"/>
          <w:spacing w:val="-2"/>
          <w:w w:val="95"/>
        </w:rPr>
        <w:t>Balance</w:t>
      </w:r>
    </w:p>
    <w:p>
      <w:pPr>
        <w:pStyle w:val="Heading7"/>
        <w:spacing w:before="248"/>
        <w:ind w:left="1104"/>
      </w:pPr>
      <w:r>
        <w:rPr>
          <w:color w:val="2E614A"/>
          <w:w w:val="90"/>
        </w:rPr>
        <w:t>Location</w:t>
      </w:r>
      <w:r>
        <w:rPr>
          <w:color w:val="2E614A"/>
          <w:spacing w:val="20"/>
        </w:rPr>
        <w:t> </w:t>
      </w:r>
      <w:r>
        <w:rPr>
          <w:color w:val="2E614A"/>
          <w:spacing w:val="-2"/>
        </w:rPr>
        <w:t>Priorities</w:t>
      </w:r>
    </w:p>
    <w:p>
      <w:pPr>
        <w:pStyle w:val="BodyText"/>
        <w:spacing w:line="266" w:lineRule="auto" w:before="298"/>
        <w:ind w:left="1104"/>
        <w:jc w:val="both"/>
      </w:pPr>
      <w:r>
        <w:rPr>
          <w:spacing w:val="-6"/>
        </w:rPr>
        <w:t>The</w:t>
      </w:r>
      <w:r>
        <w:rPr>
          <w:spacing w:val="-10"/>
        </w:rPr>
        <w:t> </w:t>
      </w:r>
      <w:r>
        <w:rPr>
          <w:spacing w:val="-6"/>
        </w:rPr>
        <w:t>number</w:t>
      </w:r>
      <w:r>
        <w:rPr>
          <w:spacing w:val="-8"/>
        </w:rPr>
        <w:t> </w:t>
      </w:r>
      <w:r>
        <w:rPr>
          <w:spacing w:val="-6"/>
        </w:rPr>
        <w:t>of</w:t>
      </w:r>
      <w:r>
        <w:rPr>
          <w:spacing w:val="-8"/>
        </w:rPr>
        <w:t> </w:t>
      </w:r>
      <w:r>
        <w:rPr>
          <w:spacing w:val="-6"/>
        </w:rPr>
        <w:t>medical</w:t>
      </w:r>
      <w:r>
        <w:rPr>
          <w:spacing w:val="-7"/>
        </w:rPr>
        <w:t> </w:t>
      </w:r>
      <w:r>
        <w:rPr>
          <w:spacing w:val="-6"/>
        </w:rPr>
        <w:t>colleges</w:t>
      </w:r>
      <w:r>
        <w:rPr>
          <w:spacing w:val="-8"/>
        </w:rPr>
        <w:t> </w:t>
      </w:r>
      <w:r>
        <w:rPr>
          <w:spacing w:val="-6"/>
        </w:rPr>
        <w:t>in</w:t>
      </w:r>
      <w:r>
        <w:rPr>
          <w:spacing w:val="-8"/>
        </w:rPr>
        <w:t> </w:t>
      </w:r>
      <w:r>
        <w:rPr>
          <w:spacing w:val="-6"/>
        </w:rPr>
        <w:t>relation</w:t>
      </w:r>
      <w:r>
        <w:rPr>
          <w:spacing w:val="-8"/>
        </w:rPr>
        <w:t> </w:t>
      </w:r>
      <w:r>
        <w:rPr>
          <w:spacing w:val="-6"/>
        </w:rPr>
        <w:t>to</w:t>
      </w:r>
      <w:r>
        <w:rPr>
          <w:spacing w:val="-7"/>
        </w:rPr>
        <w:t> </w:t>
      </w:r>
      <w:r>
        <w:rPr>
          <w:spacing w:val="-6"/>
        </w:rPr>
        <w:t>population </w:t>
      </w:r>
      <w:r>
        <w:rPr/>
        <w:t>in</w:t>
      </w:r>
      <w:r>
        <w:rPr>
          <w:spacing w:val="-14"/>
        </w:rPr>
        <w:t> </w:t>
      </w:r>
      <w:r>
        <w:rPr/>
        <w:t>some</w:t>
      </w:r>
      <w:r>
        <w:rPr>
          <w:spacing w:val="-14"/>
        </w:rPr>
        <w:t> </w:t>
      </w:r>
      <w:r>
        <w:rPr/>
        <w:t>states</w:t>
      </w:r>
      <w:r>
        <w:rPr>
          <w:spacing w:val="-14"/>
        </w:rPr>
        <w:t> </w:t>
      </w:r>
      <w:r>
        <w:rPr/>
        <w:t>is</w:t>
      </w:r>
      <w:r>
        <w:rPr>
          <w:spacing w:val="-13"/>
        </w:rPr>
        <w:t> </w:t>
      </w:r>
      <w:r>
        <w:rPr/>
        <w:t>much</w:t>
      </w:r>
      <w:r>
        <w:rPr>
          <w:spacing w:val="-12"/>
        </w:rPr>
        <w:t> </w:t>
      </w:r>
      <w:r>
        <w:rPr/>
        <w:t>higher</w:t>
      </w:r>
      <w:r>
        <w:rPr>
          <w:spacing w:val="-13"/>
        </w:rPr>
        <w:t> </w:t>
      </w:r>
      <w:r>
        <w:rPr/>
        <w:t>than</w:t>
      </w:r>
      <w:r>
        <w:rPr>
          <w:spacing w:val="-13"/>
        </w:rPr>
        <w:t> </w:t>
      </w:r>
      <w:r>
        <w:rPr/>
        <w:t>in</w:t>
      </w:r>
      <w:r>
        <w:rPr>
          <w:spacing w:val="-13"/>
        </w:rPr>
        <w:t> </w:t>
      </w:r>
      <w:r>
        <w:rPr/>
        <w:t>other</w:t>
      </w:r>
      <w:r>
        <w:rPr>
          <w:spacing w:val="-13"/>
        </w:rPr>
        <w:t> </w:t>
      </w:r>
      <w:r>
        <w:rPr/>
        <w:t>states.</w:t>
      </w:r>
      <w:r>
        <w:rPr>
          <w:spacing w:val="-14"/>
        </w:rPr>
        <w:t> </w:t>
      </w:r>
      <w:r>
        <w:rPr/>
        <w:t>The Central</w:t>
      </w:r>
      <w:r>
        <w:rPr>
          <w:spacing w:val="-10"/>
        </w:rPr>
        <w:t> </w:t>
      </w:r>
      <w:r>
        <w:rPr/>
        <w:t>Government</w:t>
      </w:r>
      <w:r>
        <w:rPr>
          <w:spacing w:val="-10"/>
        </w:rPr>
        <w:t> </w:t>
      </w:r>
      <w:r>
        <w:rPr/>
        <w:t>should</w:t>
      </w:r>
      <w:r>
        <w:rPr>
          <w:spacing w:val="-10"/>
        </w:rPr>
        <w:t> </w:t>
      </w:r>
      <w:r>
        <w:rPr/>
        <w:t>aid</w:t>
      </w:r>
      <w:r>
        <w:rPr>
          <w:spacing w:val="-10"/>
        </w:rPr>
        <w:t> </w:t>
      </w:r>
      <w:r>
        <w:rPr/>
        <w:t>new</w:t>
      </w:r>
      <w:r>
        <w:rPr>
          <w:spacing w:val="-10"/>
        </w:rPr>
        <w:t> </w:t>
      </w:r>
      <w:r>
        <w:rPr/>
        <w:t>colleges</w:t>
      </w:r>
      <w:r>
        <w:rPr>
          <w:spacing w:val="-10"/>
        </w:rPr>
        <w:t> </w:t>
      </w:r>
      <w:r>
        <w:rPr/>
        <w:t>in</w:t>
      </w:r>
      <w:r>
        <w:rPr>
          <w:spacing w:val="-10"/>
        </w:rPr>
        <w:t> </w:t>
      </w:r>
      <w:r>
        <w:rPr/>
        <w:t>these states</w:t>
      </w:r>
      <w:r>
        <w:rPr>
          <w:spacing w:val="-3"/>
        </w:rPr>
        <w:t> </w:t>
      </w:r>
      <w:r>
        <w:rPr/>
        <w:t>to</w:t>
      </w:r>
      <w:r>
        <w:rPr>
          <w:spacing w:val="-3"/>
        </w:rPr>
        <w:t> </w:t>
      </w:r>
      <w:r>
        <w:rPr/>
        <w:t>address</w:t>
      </w:r>
      <w:r>
        <w:rPr>
          <w:spacing w:val="-3"/>
        </w:rPr>
        <w:t> </w:t>
      </w:r>
      <w:r>
        <w:rPr/>
        <w:t>this</w:t>
      </w:r>
      <w:r>
        <w:rPr>
          <w:spacing w:val="-3"/>
        </w:rPr>
        <w:t> </w:t>
      </w:r>
      <w:r>
        <w:rPr/>
        <w:t>regional</w:t>
      </w:r>
      <w:r>
        <w:rPr>
          <w:spacing w:val="-3"/>
        </w:rPr>
        <w:t> </w:t>
      </w:r>
      <w:r>
        <w:rPr/>
        <w:t>disparity.</w:t>
      </w:r>
      <w:r>
        <w:rPr>
          <w:spacing w:val="-3"/>
        </w:rPr>
        <w:t> </w:t>
      </w:r>
      <w:r>
        <w:rPr/>
        <w:t>For</w:t>
      </w:r>
      <w:r>
        <w:rPr>
          <w:spacing w:val="-3"/>
        </w:rPr>
        <w:t> </w:t>
      </w:r>
      <w:r>
        <w:rPr/>
        <w:t>instance, north eastern states require urgent attention in this context. The Central Government can develop a list of priority sites for establishing new colleges where the</w:t>
      </w:r>
      <w:r>
        <w:rPr>
          <w:spacing w:val="-8"/>
        </w:rPr>
        <w:t> </w:t>
      </w:r>
      <w:r>
        <w:rPr/>
        <w:t>impact</w:t>
      </w:r>
      <w:r>
        <w:rPr>
          <w:spacing w:val="-8"/>
        </w:rPr>
        <w:t> </w:t>
      </w:r>
      <w:r>
        <w:rPr/>
        <w:t>of</w:t>
      </w:r>
      <w:r>
        <w:rPr>
          <w:spacing w:val="-8"/>
        </w:rPr>
        <w:t> </w:t>
      </w:r>
      <w:r>
        <w:rPr/>
        <w:t>new</w:t>
      </w:r>
      <w:r>
        <w:rPr>
          <w:spacing w:val="-8"/>
        </w:rPr>
        <w:t> </w:t>
      </w:r>
      <w:r>
        <w:rPr/>
        <w:t>clinical</w:t>
      </w:r>
      <w:r>
        <w:rPr>
          <w:spacing w:val="-8"/>
        </w:rPr>
        <w:t> </w:t>
      </w:r>
      <w:r>
        <w:rPr/>
        <w:t>facilities</w:t>
      </w:r>
      <w:r>
        <w:rPr>
          <w:spacing w:val="-8"/>
        </w:rPr>
        <w:t> </w:t>
      </w:r>
      <w:r>
        <w:rPr/>
        <w:t>would</w:t>
      </w:r>
      <w:r>
        <w:rPr>
          <w:spacing w:val="-8"/>
        </w:rPr>
        <w:t> </w:t>
      </w:r>
      <w:r>
        <w:rPr/>
        <w:t>benefit</w:t>
      </w:r>
      <w:r>
        <w:rPr>
          <w:spacing w:val="-8"/>
        </w:rPr>
        <w:t> </w:t>
      </w:r>
      <w:r>
        <w:rPr/>
        <w:t>the surrounding rural population.</w:t>
      </w:r>
    </w:p>
    <w:p>
      <w:pPr>
        <w:pStyle w:val="Heading7"/>
        <w:spacing w:before="235"/>
        <w:ind w:left="1104"/>
      </w:pPr>
      <w:r>
        <w:rPr>
          <w:color w:val="2E614A"/>
          <w:spacing w:val="-10"/>
        </w:rPr>
        <w:t>Role</w:t>
      </w:r>
      <w:r>
        <w:rPr>
          <w:color w:val="2E614A"/>
          <w:spacing w:val="-1"/>
        </w:rPr>
        <w:t> </w:t>
      </w:r>
      <w:r>
        <w:rPr>
          <w:color w:val="2E614A"/>
          <w:spacing w:val="-2"/>
        </w:rPr>
        <w:t>Models</w:t>
      </w:r>
    </w:p>
    <w:p>
      <w:pPr>
        <w:pStyle w:val="BodyText"/>
        <w:spacing w:line="266" w:lineRule="auto" w:before="298"/>
        <w:ind w:left="1104"/>
        <w:jc w:val="both"/>
      </w:pPr>
      <w:r>
        <w:rPr/>
        <w:t>Further</w:t>
      </w:r>
      <w:r>
        <w:rPr>
          <w:spacing w:val="-5"/>
        </w:rPr>
        <w:t> </w:t>
      </w:r>
      <w:r>
        <w:rPr/>
        <w:t>at</w:t>
      </w:r>
      <w:r>
        <w:rPr>
          <w:spacing w:val="-5"/>
        </w:rPr>
        <w:t> </w:t>
      </w:r>
      <w:r>
        <w:rPr/>
        <w:t>least</w:t>
      </w:r>
      <w:r>
        <w:rPr>
          <w:spacing w:val="-5"/>
        </w:rPr>
        <w:t> </w:t>
      </w:r>
      <w:r>
        <w:rPr/>
        <w:t>one</w:t>
      </w:r>
      <w:r>
        <w:rPr>
          <w:spacing w:val="-5"/>
        </w:rPr>
        <w:t> </w:t>
      </w:r>
      <w:r>
        <w:rPr/>
        <w:t>institution</w:t>
      </w:r>
      <w:r>
        <w:rPr>
          <w:spacing w:val="-5"/>
        </w:rPr>
        <w:t> </w:t>
      </w:r>
      <w:r>
        <w:rPr/>
        <w:t>should</w:t>
      </w:r>
      <w:r>
        <w:rPr>
          <w:spacing w:val="-5"/>
        </w:rPr>
        <w:t> </w:t>
      </w:r>
      <w:r>
        <w:rPr/>
        <w:t>be</w:t>
      </w:r>
      <w:r>
        <w:rPr>
          <w:spacing w:val="-5"/>
        </w:rPr>
        <w:t> </w:t>
      </w:r>
      <w:r>
        <w:rPr/>
        <w:t>identified</w:t>
      </w:r>
      <w:r>
        <w:rPr>
          <w:spacing w:val="-5"/>
        </w:rPr>
        <w:t> </w:t>
      </w:r>
      <w:r>
        <w:rPr/>
        <w:t>in each</w:t>
      </w:r>
      <w:r>
        <w:rPr>
          <w:spacing w:val="-8"/>
        </w:rPr>
        <w:t> </w:t>
      </w:r>
      <w:r>
        <w:rPr/>
        <w:t>state</w:t>
      </w:r>
      <w:r>
        <w:rPr>
          <w:spacing w:val="-8"/>
        </w:rPr>
        <w:t> </w:t>
      </w:r>
      <w:r>
        <w:rPr/>
        <w:t>that</w:t>
      </w:r>
      <w:r>
        <w:rPr>
          <w:spacing w:val="-8"/>
        </w:rPr>
        <w:t> </w:t>
      </w:r>
      <w:r>
        <w:rPr/>
        <w:t>can</w:t>
      </w:r>
      <w:r>
        <w:rPr>
          <w:spacing w:val="-8"/>
        </w:rPr>
        <w:t> </w:t>
      </w:r>
      <w:r>
        <w:rPr/>
        <w:t>serve</w:t>
      </w:r>
      <w:r>
        <w:rPr>
          <w:spacing w:val="-8"/>
        </w:rPr>
        <w:t> </w:t>
      </w:r>
      <w:r>
        <w:rPr/>
        <w:t>as</w:t>
      </w:r>
      <w:r>
        <w:rPr>
          <w:spacing w:val="-8"/>
        </w:rPr>
        <w:t> </w:t>
      </w:r>
      <w:r>
        <w:rPr/>
        <w:t>a</w:t>
      </w:r>
      <w:r>
        <w:rPr>
          <w:spacing w:val="-8"/>
        </w:rPr>
        <w:t> </w:t>
      </w:r>
      <w:r>
        <w:rPr/>
        <w:t>centre</w:t>
      </w:r>
      <w:r>
        <w:rPr>
          <w:spacing w:val="-8"/>
        </w:rPr>
        <w:t> </w:t>
      </w:r>
      <w:r>
        <w:rPr/>
        <w:t>of</w:t>
      </w:r>
      <w:r>
        <w:rPr>
          <w:spacing w:val="-8"/>
        </w:rPr>
        <w:t> </w:t>
      </w:r>
      <w:r>
        <w:rPr/>
        <w:t>excellence</w:t>
      </w:r>
      <w:r>
        <w:rPr>
          <w:spacing w:val="-8"/>
        </w:rPr>
        <w:t> </w:t>
      </w:r>
      <w:r>
        <w:rPr/>
        <w:t>and role</w:t>
      </w:r>
      <w:r>
        <w:rPr>
          <w:spacing w:val="-14"/>
        </w:rPr>
        <w:t> </w:t>
      </w:r>
      <w:r>
        <w:rPr/>
        <w:t>model</w:t>
      </w:r>
      <w:r>
        <w:rPr>
          <w:spacing w:val="-14"/>
        </w:rPr>
        <w:t> </w:t>
      </w:r>
      <w:r>
        <w:rPr/>
        <w:t>for</w:t>
      </w:r>
      <w:r>
        <w:rPr>
          <w:spacing w:val="-14"/>
        </w:rPr>
        <w:t> </w:t>
      </w:r>
      <w:r>
        <w:rPr/>
        <w:t>the</w:t>
      </w:r>
      <w:r>
        <w:rPr>
          <w:spacing w:val="-13"/>
        </w:rPr>
        <w:t> </w:t>
      </w:r>
      <w:r>
        <w:rPr/>
        <w:t>other</w:t>
      </w:r>
      <w:r>
        <w:rPr>
          <w:spacing w:val="-14"/>
        </w:rPr>
        <w:t> </w:t>
      </w:r>
      <w:r>
        <w:rPr/>
        <w:t>institutions</w:t>
      </w:r>
      <w:r>
        <w:rPr>
          <w:spacing w:val="-14"/>
        </w:rPr>
        <w:t> </w:t>
      </w:r>
      <w:r>
        <w:rPr/>
        <w:t>of</w:t>
      </w:r>
      <w:r>
        <w:rPr>
          <w:spacing w:val="-14"/>
        </w:rPr>
        <w:t> </w:t>
      </w:r>
      <w:r>
        <w:rPr/>
        <w:t>the</w:t>
      </w:r>
      <w:r>
        <w:rPr>
          <w:spacing w:val="-13"/>
        </w:rPr>
        <w:t> </w:t>
      </w:r>
      <w:r>
        <w:rPr/>
        <w:t>state.</w:t>
      </w:r>
      <w:r>
        <w:rPr>
          <w:spacing w:val="-14"/>
        </w:rPr>
        <w:t> </w:t>
      </w:r>
      <w:r>
        <w:rPr/>
        <w:t>These </w:t>
      </w:r>
      <w:r>
        <w:rPr>
          <w:spacing w:val="-2"/>
        </w:rPr>
        <w:t>institutions</w:t>
      </w:r>
      <w:r>
        <w:rPr>
          <w:spacing w:val="-5"/>
        </w:rPr>
        <w:t> </w:t>
      </w:r>
      <w:r>
        <w:rPr>
          <w:spacing w:val="-2"/>
        </w:rPr>
        <w:t>should</w:t>
      </w:r>
      <w:r>
        <w:rPr>
          <w:spacing w:val="-5"/>
        </w:rPr>
        <w:t> </w:t>
      </w:r>
      <w:r>
        <w:rPr>
          <w:spacing w:val="-2"/>
        </w:rPr>
        <w:t>have</w:t>
      </w:r>
      <w:r>
        <w:rPr>
          <w:spacing w:val="-5"/>
        </w:rPr>
        <w:t> </w:t>
      </w:r>
      <w:r>
        <w:rPr>
          <w:spacing w:val="-2"/>
        </w:rPr>
        <w:t>state-of-the-art</w:t>
      </w:r>
      <w:r>
        <w:rPr>
          <w:spacing w:val="-5"/>
        </w:rPr>
        <w:t> </w:t>
      </w:r>
      <w:r>
        <w:rPr>
          <w:spacing w:val="-2"/>
        </w:rPr>
        <w:t>infrastructural </w:t>
      </w:r>
      <w:r>
        <w:rPr>
          <w:spacing w:val="-6"/>
        </w:rPr>
        <w:t>equipment</w:t>
      </w:r>
      <w:r>
        <w:rPr>
          <w:spacing w:val="-8"/>
        </w:rPr>
        <w:t> </w:t>
      </w:r>
      <w:r>
        <w:rPr>
          <w:spacing w:val="-6"/>
        </w:rPr>
        <w:t>such</w:t>
      </w:r>
      <w:r>
        <w:rPr>
          <w:spacing w:val="-8"/>
        </w:rPr>
        <w:t> </w:t>
      </w:r>
      <w:r>
        <w:rPr>
          <w:spacing w:val="-6"/>
        </w:rPr>
        <w:t>as</w:t>
      </w:r>
      <w:r>
        <w:rPr>
          <w:spacing w:val="-8"/>
        </w:rPr>
        <w:t> </w:t>
      </w:r>
      <w:r>
        <w:rPr>
          <w:spacing w:val="-6"/>
        </w:rPr>
        <w:t>research</w:t>
      </w:r>
      <w:r>
        <w:rPr>
          <w:spacing w:val="-7"/>
        </w:rPr>
        <w:t> </w:t>
      </w:r>
      <w:r>
        <w:rPr>
          <w:spacing w:val="-6"/>
        </w:rPr>
        <w:t>laboratories,</w:t>
      </w:r>
      <w:r>
        <w:rPr>
          <w:spacing w:val="-8"/>
        </w:rPr>
        <w:t> </w:t>
      </w:r>
      <w:r>
        <w:rPr>
          <w:spacing w:val="-6"/>
        </w:rPr>
        <w:t>teacher</w:t>
      </w:r>
      <w:r>
        <w:rPr>
          <w:spacing w:val="-8"/>
        </w:rPr>
        <w:t> </w:t>
      </w:r>
      <w:r>
        <w:rPr>
          <w:spacing w:val="-6"/>
        </w:rPr>
        <w:t>training </w:t>
      </w:r>
      <w:r>
        <w:rPr/>
        <w:t>facilities, and libraries, as well as talented faculty of </w:t>
      </w:r>
      <w:r>
        <w:rPr>
          <w:spacing w:val="-4"/>
        </w:rPr>
        <w:t>adequate</w:t>
      </w:r>
      <w:r>
        <w:rPr>
          <w:spacing w:val="-8"/>
        </w:rPr>
        <w:t> </w:t>
      </w:r>
      <w:r>
        <w:rPr>
          <w:spacing w:val="-4"/>
        </w:rPr>
        <w:t>strength</w:t>
      </w:r>
      <w:r>
        <w:rPr>
          <w:spacing w:val="-8"/>
        </w:rPr>
        <w:t> </w:t>
      </w:r>
      <w:r>
        <w:rPr>
          <w:spacing w:val="-4"/>
        </w:rPr>
        <w:t>to</w:t>
      </w:r>
      <w:r>
        <w:rPr>
          <w:spacing w:val="-8"/>
        </w:rPr>
        <w:t> </w:t>
      </w:r>
      <w:r>
        <w:rPr>
          <w:spacing w:val="-4"/>
        </w:rPr>
        <w:t>act</w:t>
      </w:r>
      <w:r>
        <w:rPr>
          <w:spacing w:val="-8"/>
        </w:rPr>
        <w:t> </w:t>
      </w:r>
      <w:r>
        <w:rPr>
          <w:spacing w:val="-4"/>
        </w:rPr>
        <w:t>as</w:t>
      </w:r>
      <w:r>
        <w:rPr>
          <w:spacing w:val="-8"/>
        </w:rPr>
        <w:t> </w:t>
      </w:r>
      <w:r>
        <w:rPr>
          <w:spacing w:val="-4"/>
        </w:rPr>
        <w:t>a</w:t>
      </w:r>
      <w:r>
        <w:rPr>
          <w:spacing w:val="-8"/>
        </w:rPr>
        <w:t> </w:t>
      </w:r>
      <w:r>
        <w:rPr>
          <w:spacing w:val="-4"/>
        </w:rPr>
        <w:t>common</w:t>
      </w:r>
      <w:r>
        <w:rPr>
          <w:spacing w:val="-8"/>
        </w:rPr>
        <w:t> </w:t>
      </w:r>
      <w:r>
        <w:rPr>
          <w:spacing w:val="-4"/>
        </w:rPr>
        <w:t>resource</w:t>
      </w:r>
      <w:r>
        <w:rPr>
          <w:spacing w:val="-8"/>
        </w:rPr>
        <w:t> </w:t>
      </w:r>
      <w:r>
        <w:rPr>
          <w:spacing w:val="-4"/>
        </w:rPr>
        <w:t>and</w:t>
      </w:r>
      <w:r>
        <w:rPr>
          <w:spacing w:val="-8"/>
        </w:rPr>
        <w:t> </w:t>
      </w:r>
      <w:r>
        <w:rPr>
          <w:spacing w:val="-4"/>
        </w:rPr>
        <w:t>also </w:t>
      </w:r>
      <w:r>
        <w:rPr/>
        <w:t>to</w:t>
      </w:r>
      <w:r>
        <w:rPr>
          <w:spacing w:val="-8"/>
        </w:rPr>
        <w:t> </w:t>
      </w:r>
      <w:r>
        <w:rPr/>
        <w:t>serve</w:t>
      </w:r>
      <w:r>
        <w:rPr>
          <w:spacing w:val="-8"/>
        </w:rPr>
        <w:t> </w:t>
      </w:r>
      <w:r>
        <w:rPr/>
        <w:t>as</w:t>
      </w:r>
      <w:r>
        <w:rPr>
          <w:spacing w:val="-8"/>
        </w:rPr>
        <w:t> </w:t>
      </w:r>
      <w:r>
        <w:rPr/>
        <w:t>a</w:t>
      </w:r>
      <w:r>
        <w:rPr>
          <w:spacing w:val="-8"/>
        </w:rPr>
        <w:t> </w:t>
      </w:r>
      <w:r>
        <w:rPr/>
        <w:t>benchmark</w:t>
      </w:r>
      <w:r>
        <w:rPr>
          <w:spacing w:val="-8"/>
        </w:rPr>
        <w:t> </w:t>
      </w:r>
      <w:r>
        <w:rPr/>
        <w:t>of</w:t>
      </w:r>
      <w:r>
        <w:rPr>
          <w:spacing w:val="-8"/>
        </w:rPr>
        <w:t> </w:t>
      </w:r>
      <w:r>
        <w:rPr/>
        <w:t>excellence.</w:t>
      </w:r>
    </w:p>
    <w:p>
      <w:pPr>
        <w:pStyle w:val="BodyText"/>
        <w:spacing w:before="21"/>
      </w:pPr>
    </w:p>
    <w:p>
      <w:pPr>
        <w:pStyle w:val="BodyText"/>
        <w:spacing w:line="266" w:lineRule="auto"/>
        <w:ind w:left="1104"/>
        <w:jc w:val="both"/>
      </w:pPr>
      <w:r>
        <w:rPr/>
        <w:t>Medical education cannot be stand-alone. It </w:t>
      </w:r>
      <w:r>
        <w:rPr/>
        <w:t>requires support in the form of trained nurses, pharmacists, paramedic</w:t>
      </w:r>
      <w:r>
        <w:rPr>
          <w:spacing w:val="-16"/>
        </w:rPr>
        <w:t> </w:t>
      </w:r>
      <w:r>
        <w:rPr/>
        <w:t>workers.</w:t>
      </w:r>
      <w:r>
        <w:rPr>
          <w:spacing w:val="-14"/>
        </w:rPr>
        <w:t> </w:t>
      </w:r>
      <w:r>
        <w:rPr/>
        <w:t>It</w:t>
      </w:r>
      <w:r>
        <w:rPr>
          <w:spacing w:val="-14"/>
        </w:rPr>
        <w:t> </w:t>
      </w:r>
      <w:r>
        <w:rPr/>
        <w:t>must</w:t>
      </w:r>
      <w:r>
        <w:rPr>
          <w:spacing w:val="-13"/>
        </w:rPr>
        <w:t> </w:t>
      </w:r>
      <w:r>
        <w:rPr/>
        <w:t>all</w:t>
      </w:r>
      <w:r>
        <w:rPr>
          <w:spacing w:val="-14"/>
        </w:rPr>
        <w:t> </w:t>
      </w:r>
      <w:r>
        <w:rPr/>
        <w:t>also</w:t>
      </w:r>
      <w:r>
        <w:rPr>
          <w:spacing w:val="-14"/>
        </w:rPr>
        <w:t> </w:t>
      </w:r>
      <w:r>
        <w:rPr/>
        <w:t>serve</w:t>
      </w:r>
      <w:r>
        <w:rPr>
          <w:spacing w:val="-14"/>
        </w:rPr>
        <w:t> </w:t>
      </w:r>
      <w:r>
        <w:rPr/>
        <w:t>the</w:t>
      </w:r>
      <w:r>
        <w:rPr>
          <w:spacing w:val="-13"/>
        </w:rPr>
        <w:t> </w:t>
      </w:r>
      <w:r>
        <w:rPr/>
        <w:t>essential purpose of delivering health care to the people. Therefore, NKC also set out some recommendations </w:t>
      </w:r>
      <w:r>
        <w:rPr>
          <w:spacing w:val="-4"/>
        </w:rPr>
        <w:t>on</w:t>
      </w:r>
      <w:r>
        <w:rPr>
          <w:spacing w:val="-2"/>
        </w:rPr>
        <w:t> </w:t>
      </w:r>
      <w:r>
        <w:rPr>
          <w:spacing w:val="-4"/>
        </w:rPr>
        <w:t>education</w:t>
      </w:r>
      <w:r>
        <w:rPr>
          <w:spacing w:val="-1"/>
        </w:rPr>
        <w:t> </w:t>
      </w:r>
      <w:r>
        <w:rPr>
          <w:spacing w:val="-4"/>
        </w:rPr>
        <w:t>for</w:t>
      </w:r>
      <w:r>
        <w:rPr>
          <w:spacing w:val="-2"/>
        </w:rPr>
        <w:t> </w:t>
      </w:r>
      <w:r>
        <w:rPr>
          <w:spacing w:val="-4"/>
        </w:rPr>
        <w:t>supporting</w:t>
      </w:r>
      <w:r>
        <w:rPr>
          <w:spacing w:val="-1"/>
        </w:rPr>
        <w:t> </w:t>
      </w:r>
      <w:r>
        <w:rPr>
          <w:spacing w:val="-4"/>
        </w:rPr>
        <w:t>services</w:t>
      </w:r>
      <w:r>
        <w:rPr>
          <w:spacing w:val="-1"/>
        </w:rPr>
        <w:t> </w:t>
      </w:r>
      <w:r>
        <w:rPr>
          <w:spacing w:val="-4"/>
        </w:rPr>
        <w:t>and</w:t>
      </w:r>
      <w:r>
        <w:rPr>
          <w:spacing w:val="-2"/>
        </w:rPr>
        <w:t> </w:t>
      </w:r>
      <w:r>
        <w:rPr>
          <w:spacing w:val="-4"/>
        </w:rPr>
        <w:t>public</w:t>
      </w:r>
      <w:r>
        <w:rPr>
          <w:spacing w:val="-1"/>
        </w:rPr>
        <w:t> </w:t>
      </w:r>
      <w:r>
        <w:rPr>
          <w:spacing w:val="-4"/>
        </w:rPr>
        <w:t>health.</w:t>
      </w:r>
    </w:p>
    <w:p>
      <w:pPr>
        <w:pStyle w:val="Heading6"/>
        <w:numPr>
          <w:ilvl w:val="2"/>
          <w:numId w:val="26"/>
        </w:numPr>
        <w:tabs>
          <w:tab w:pos="1429" w:val="left" w:leader="none"/>
        </w:tabs>
        <w:spacing w:line="240" w:lineRule="auto" w:before="182" w:after="0"/>
        <w:ind w:left="1429" w:right="0" w:hanging="325"/>
        <w:jc w:val="left"/>
      </w:pPr>
      <w:r>
        <w:rPr>
          <w:color w:val="2E614A"/>
          <w:w w:val="90"/>
        </w:rPr>
        <w:t>Education</w:t>
      </w:r>
      <w:r>
        <w:rPr>
          <w:color w:val="2E614A"/>
          <w:spacing w:val="10"/>
        </w:rPr>
        <w:t> </w:t>
      </w:r>
      <w:r>
        <w:rPr>
          <w:color w:val="2E614A"/>
          <w:w w:val="90"/>
        </w:rPr>
        <w:t>for</w:t>
      </w:r>
      <w:r>
        <w:rPr>
          <w:color w:val="2E614A"/>
          <w:spacing w:val="11"/>
        </w:rPr>
        <w:t> </w:t>
      </w:r>
      <w:r>
        <w:rPr>
          <w:color w:val="2E614A"/>
          <w:w w:val="90"/>
        </w:rPr>
        <w:t>Support</w:t>
      </w:r>
      <w:r>
        <w:rPr>
          <w:color w:val="2E614A"/>
          <w:spacing w:val="11"/>
        </w:rPr>
        <w:t> </w:t>
      </w:r>
      <w:r>
        <w:rPr>
          <w:color w:val="2E614A"/>
          <w:spacing w:val="-2"/>
          <w:w w:val="90"/>
        </w:rPr>
        <w:t>Services</w:t>
      </w:r>
    </w:p>
    <w:p>
      <w:pPr>
        <w:pStyle w:val="Heading7"/>
        <w:spacing w:before="248"/>
        <w:ind w:left="1104"/>
      </w:pPr>
      <w:r>
        <w:rPr>
          <w:color w:val="2E614A"/>
          <w:spacing w:val="-2"/>
        </w:rPr>
        <w:t>Nursing</w:t>
      </w:r>
    </w:p>
    <w:p>
      <w:pPr>
        <w:pStyle w:val="BodyText"/>
        <w:spacing w:line="266" w:lineRule="auto" w:before="298"/>
        <w:ind w:left="1104"/>
        <w:jc w:val="both"/>
      </w:pPr>
      <w:r>
        <w:rPr>
          <w:spacing w:val="-4"/>
        </w:rPr>
        <w:t>There</w:t>
      </w:r>
      <w:r>
        <w:rPr>
          <w:spacing w:val="-10"/>
        </w:rPr>
        <w:t> </w:t>
      </w:r>
      <w:r>
        <w:rPr>
          <w:spacing w:val="-4"/>
        </w:rPr>
        <w:t>is</w:t>
      </w:r>
      <w:r>
        <w:rPr>
          <w:spacing w:val="-10"/>
        </w:rPr>
        <w:t> </w:t>
      </w:r>
      <w:r>
        <w:rPr>
          <w:spacing w:val="-4"/>
        </w:rPr>
        <w:t>a</w:t>
      </w:r>
      <w:r>
        <w:rPr>
          <w:spacing w:val="-10"/>
        </w:rPr>
        <w:t> </w:t>
      </w:r>
      <w:r>
        <w:rPr>
          <w:spacing w:val="-4"/>
        </w:rPr>
        <w:t>need</w:t>
      </w:r>
      <w:r>
        <w:rPr>
          <w:spacing w:val="-9"/>
        </w:rPr>
        <w:t> </w:t>
      </w:r>
      <w:r>
        <w:rPr>
          <w:spacing w:val="-4"/>
        </w:rPr>
        <w:t>to</w:t>
      </w:r>
      <w:r>
        <w:rPr>
          <w:spacing w:val="-10"/>
        </w:rPr>
        <w:t> </w:t>
      </w:r>
      <w:r>
        <w:rPr>
          <w:spacing w:val="-4"/>
        </w:rPr>
        <w:t>create</w:t>
      </w:r>
      <w:r>
        <w:rPr>
          <w:spacing w:val="-10"/>
        </w:rPr>
        <w:t> </w:t>
      </w:r>
      <w:r>
        <w:rPr>
          <w:spacing w:val="-4"/>
        </w:rPr>
        <w:t>additional</w:t>
      </w:r>
      <w:r>
        <w:rPr>
          <w:spacing w:val="-10"/>
        </w:rPr>
        <w:t> </w:t>
      </w:r>
      <w:r>
        <w:rPr>
          <w:spacing w:val="-4"/>
        </w:rPr>
        <w:t>capacity</w:t>
      </w:r>
      <w:r>
        <w:rPr>
          <w:spacing w:val="-9"/>
        </w:rPr>
        <w:t> </w:t>
      </w:r>
      <w:r>
        <w:rPr>
          <w:spacing w:val="-4"/>
        </w:rPr>
        <w:t>for</w:t>
      </w:r>
      <w:r>
        <w:rPr>
          <w:spacing w:val="-10"/>
        </w:rPr>
        <w:t> </w:t>
      </w:r>
      <w:r>
        <w:rPr>
          <w:spacing w:val="-4"/>
        </w:rPr>
        <w:t>training </w:t>
      </w:r>
      <w:r>
        <w:rPr>
          <w:spacing w:val="-2"/>
        </w:rPr>
        <w:t>nursing</w:t>
      </w:r>
      <w:r>
        <w:rPr>
          <w:spacing w:val="-12"/>
        </w:rPr>
        <w:t> </w:t>
      </w:r>
      <w:r>
        <w:rPr>
          <w:spacing w:val="-2"/>
        </w:rPr>
        <w:t>staff.</w:t>
      </w:r>
      <w:r>
        <w:rPr>
          <w:spacing w:val="-12"/>
        </w:rPr>
        <w:t> </w:t>
      </w:r>
      <w:r>
        <w:rPr>
          <w:spacing w:val="-2"/>
        </w:rPr>
        <w:t>In</w:t>
      </w:r>
      <w:r>
        <w:rPr>
          <w:spacing w:val="-12"/>
        </w:rPr>
        <w:t> </w:t>
      </w:r>
      <w:r>
        <w:rPr>
          <w:spacing w:val="-2"/>
        </w:rPr>
        <w:t>addition,</w:t>
      </w:r>
      <w:r>
        <w:rPr>
          <w:spacing w:val="-11"/>
        </w:rPr>
        <w:t> </w:t>
      </w:r>
      <w:r>
        <w:rPr>
          <w:spacing w:val="-2"/>
        </w:rPr>
        <w:t>every</w:t>
      </w:r>
      <w:r>
        <w:rPr>
          <w:spacing w:val="-12"/>
        </w:rPr>
        <w:t> </w:t>
      </w:r>
      <w:r>
        <w:rPr>
          <w:spacing w:val="-2"/>
        </w:rPr>
        <w:t>district</w:t>
      </w:r>
      <w:r>
        <w:rPr>
          <w:spacing w:val="-12"/>
        </w:rPr>
        <w:t> </w:t>
      </w:r>
      <w:r>
        <w:rPr>
          <w:spacing w:val="-2"/>
        </w:rPr>
        <w:t>hospital</w:t>
      </w:r>
      <w:r>
        <w:rPr>
          <w:spacing w:val="-12"/>
        </w:rPr>
        <w:t> </w:t>
      </w:r>
      <w:r>
        <w:rPr>
          <w:spacing w:val="-2"/>
        </w:rPr>
        <w:t>should </w:t>
      </w:r>
      <w:r>
        <w:rPr/>
        <w:t>have</w:t>
      </w:r>
      <w:r>
        <w:rPr>
          <w:spacing w:val="47"/>
        </w:rPr>
        <w:t> </w:t>
      </w:r>
      <w:r>
        <w:rPr/>
        <w:t>attached</w:t>
      </w:r>
      <w:r>
        <w:rPr>
          <w:spacing w:val="47"/>
        </w:rPr>
        <w:t> </w:t>
      </w:r>
      <w:r>
        <w:rPr/>
        <w:t>to</w:t>
      </w:r>
      <w:r>
        <w:rPr>
          <w:spacing w:val="47"/>
        </w:rPr>
        <w:t> </w:t>
      </w:r>
      <w:r>
        <w:rPr/>
        <w:t>it</w:t>
      </w:r>
      <w:r>
        <w:rPr>
          <w:spacing w:val="48"/>
        </w:rPr>
        <w:t> </w:t>
      </w:r>
      <w:r>
        <w:rPr/>
        <w:t>a</w:t>
      </w:r>
      <w:r>
        <w:rPr>
          <w:spacing w:val="47"/>
        </w:rPr>
        <w:t> </w:t>
      </w:r>
      <w:r>
        <w:rPr/>
        <w:t>nursing</w:t>
      </w:r>
      <w:r>
        <w:rPr>
          <w:spacing w:val="47"/>
        </w:rPr>
        <w:t> </w:t>
      </w:r>
      <w:r>
        <w:rPr/>
        <w:t>school,</w:t>
      </w:r>
      <w:r>
        <w:rPr>
          <w:spacing w:val="47"/>
        </w:rPr>
        <w:t> </w:t>
      </w:r>
      <w:r>
        <w:rPr/>
        <w:t>which</w:t>
      </w:r>
      <w:r>
        <w:rPr>
          <w:spacing w:val="48"/>
        </w:rPr>
        <w:t> </w:t>
      </w:r>
      <w:r>
        <w:rPr>
          <w:spacing w:val="-8"/>
        </w:rPr>
        <w:t>offers</w:t>
      </w:r>
    </w:p>
    <w:p>
      <w:pPr>
        <w:pStyle w:val="BodyText"/>
        <w:spacing w:line="266" w:lineRule="auto" w:before="57"/>
        <w:ind w:left="319" w:right="1077"/>
        <w:jc w:val="both"/>
      </w:pPr>
      <w:r>
        <w:rPr/>
        <w:br w:type="column"/>
      </w:r>
      <w:r>
        <w:rPr/>
        <w:t>diploma in nursing specifically to operate </w:t>
      </w:r>
      <w:r>
        <w:rPr/>
        <w:t>primary health</w:t>
      </w:r>
      <w:r>
        <w:rPr>
          <w:spacing w:val="-3"/>
        </w:rPr>
        <w:t> </w:t>
      </w:r>
      <w:r>
        <w:rPr/>
        <w:t>centres</w:t>
      </w:r>
      <w:r>
        <w:rPr>
          <w:spacing w:val="-3"/>
        </w:rPr>
        <w:t> </w:t>
      </w:r>
      <w:r>
        <w:rPr/>
        <w:t>as</w:t>
      </w:r>
      <w:r>
        <w:rPr>
          <w:spacing w:val="-3"/>
        </w:rPr>
        <w:t> </w:t>
      </w:r>
      <w:r>
        <w:rPr/>
        <w:t>nurse</w:t>
      </w:r>
      <w:r>
        <w:rPr>
          <w:spacing w:val="-3"/>
        </w:rPr>
        <w:t> </w:t>
      </w:r>
      <w:r>
        <w:rPr/>
        <w:t>practitioners.</w:t>
      </w:r>
      <w:r>
        <w:rPr>
          <w:spacing w:val="-3"/>
        </w:rPr>
        <w:t> </w:t>
      </w:r>
      <w:r>
        <w:rPr/>
        <w:t>A</w:t>
      </w:r>
      <w:r>
        <w:rPr>
          <w:spacing w:val="-3"/>
        </w:rPr>
        <w:t> </w:t>
      </w:r>
      <w:r>
        <w:rPr/>
        <w:t>career</w:t>
      </w:r>
      <w:r>
        <w:rPr>
          <w:spacing w:val="-3"/>
        </w:rPr>
        <w:t> </w:t>
      </w:r>
      <w:r>
        <w:rPr/>
        <w:t>growth pathway</w:t>
      </w:r>
      <w:r>
        <w:rPr>
          <w:spacing w:val="-1"/>
        </w:rPr>
        <w:t> </w:t>
      </w:r>
      <w:r>
        <w:rPr/>
        <w:t>should</w:t>
      </w:r>
      <w:r>
        <w:rPr>
          <w:spacing w:val="-1"/>
        </w:rPr>
        <w:t> </w:t>
      </w:r>
      <w:r>
        <w:rPr/>
        <w:t>be</w:t>
      </w:r>
      <w:r>
        <w:rPr>
          <w:spacing w:val="-1"/>
        </w:rPr>
        <w:t> </w:t>
      </w:r>
      <w:r>
        <w:rPr/>
        <w:t>ensured</w:t>
      </w:r>
      <w:r>
        <w:rPr>
          <w:spacing w:val="-1"/>
        </w:rPr>
        <w:t> </w:t>
      </w:r>
      <w:r>
        <w:rPr/>
        <w:t>for</w:t>
      </w:r>
      <w:r>
        <w:rPr>
          <w:spacing w:val="-1"/>
        </w:rPr>
        <w:t> </w:t>
      </w:r>
      <w:r>
        <w:rPr/>
        <w:t>nurses</w:t>
      </w:r>
      <w:r>
        <w:rPr>
          <w:spacing w:val="-1"/>
        </w:rPr>
        <w:t> </w:t>
      </w:r>
      <w:r>
        <w:rPr/>
        <w:t>after</w:t>
      </w:r>
      <w:r>
        <w:rPr>
          <w:spacing w:val="-1"/>
        </w:rPr>
        <w:t> </w:t>
      </w:r>
      <w:r>
        <w:rPr/>
        <w:t>a</w:t>
      </w:r>
      <w:r>
        <w:rPr>
          <w:spacing w:val="-1"/>
        </w:rPr>
        <w:t> </w:t>
      </w:r>
      <w:r>
        <w:rPr/>
        <w:t>specific period of primary health care service. For graduate nurses</w:t>
      </w:r>
      <w:r>
        <w:rPr>
          <w:spacing w:val="-12"/>
        </w:rPr>
        <w:t> </w:t>
      </w:r>
      <w:r>
        <w:rPr/>
        <w:t>in</w:t>
      </w:r>
      <w:r>
        <w:rPr>
          <w:spacing w:val="-12"/>
        </w:rPr>
        <w:t> </w:t>
      </w:r>
      <w:r>
        <w:rPr/>
        <w:t>city</w:t>
      </w:r>
      <w:r>
        <w:rPr>
          <w:spacing w:val="-12"/>
        </w:rPr>
        <w:t> </w:t>
      </w:r>
      <w:r>
        <w:rPr/>
        <w:t>hospitals,</w:t>
      </w:r>
      <w:r>
        <w:rPr>
          <w:spacing w:val="-12"/>
        </w:rPr>
        <w:t> </w:t>
      </w:r>
      <w:r>
        <w:rPr/>
        <w:t>specialised</w:t>
      </w:r>
      <w:r>
        <w:rPr>
          <w:spacing w:val="-12"/>
        </w:rPr>
        <w:t> </w:t>
      </w:r>
      <w:r>
        <w:rPr/>
        <w:t>courses</w:t>
      </w:r>
      <w:r>
        <w:rPr>
          <w:spacing w:val="-12"/>
        </w:rPr>
        <w:t> </w:t>
      </w:r>
      <w:r>
        <w:rPr/>
        <w:t>for</w:t>
      </w:r>
      <w:r>
        <w:rPr>
          <w:spacing w:val="-12"/>
        </w:rPr>
        <w:t> </w:t>
      </w:r>
      <w:r>
        <w:rPr/>
        <w:t>family nurse practitioners, nurse anesthetists and in areas of tertiary care are recommended.</w:t>
      </w:r>
    </w:p>
    <w:p>
      <w:pPr>
        <w:pStyle w:val="Heading7"/>
        <w:spacing w:before="237"/>
      </w:pPr>
      <w:r>
        <w:rPr>
          <w:color w:val="2E614A"/>
          <w:spacing w:val="-2"/>
        </w:rPr>
        <w:t>Pharmacy</w:t>
      </w:r>
    </w:p>
    <w:p>
      <w:pPr>
        <w:pStyle w:val="BodyText"/>
        <w:spacing w:line="266" w:lineRule="auto" w:before="299"/>
        <w:ind w:left="319" w:right="1077"/>
        <w:jc w:val="both"/>
      </w:pPr>
      <w:r>
        <w:rPr/>
        <w:t>Pharmacy education should be popularised and </w:t>
      </w:r>
      <w:r>
        <w:rPr/>
        <w:t>the number of seats for pharmacy education should be </w:t>
      </w:r>
      <w:r>
        <w:rPr>
          <w:spacing w:val="-6"/>
        </w:rPr>
        <w:t>increased</w:t>
      </w:r>
      <w:r>
        <w:rPr>
          <w:spacing w:val="-8"/>
        </w:rPr>
        <w:t> </w:t>
      </w:r>
      <w:r>
        <w:rPr>
          <w:spacing w:val="-6"/>
        </w:rPr>
        <w:t>substantially.</w:t>
      </w:r>
      <w:r>
        <w:rPr>
          <w:spacing w:val="-8"/>
        </w:rPr>
        <w:t> </w:t>
      </w:r>
      <w:r>
        <w:rPr>
          <w:spacing w:val="-6"/>
        </w:rPr>
        <w:t>Gradual</w:t>
      </w:r>
      <w:r>
        <w:rPr>
          <w:spacing w:val="-8"/>
        </w:rPr>
        <w:t> </w:t>
      </w:r>
      <w:r>
        <w:rPr>
          <w:spacing w:val="-6"/>
        </w:rPr>
        <w:t>phasing</w:t>
      </w:r>
      <w:r>
        <w:rPr>
          <w:spacing w:val="-7"/>
        </w:rPr>
        <w:t> </w:t>
      </w:r>
      <w:r>
        <w:rPr>
          <w:spacing w:val="-6"/>
        </w:rPr>
        <w:t>out</w:t>
      </w:r>
      <w:r>
        <w:rPr>
          <w:spacing w:val="-8"/>
        </w:rPr>
        <w:t> </w:t>
      </w:r>
      <w:r>
        <w:rPr>
          <w:spacing w:val="-6"/>
        </w:rPr>
        <w:t>of</w:t>
      </w:r>
      <w:r>
        <w:rPr>
          <w:spacing w:val="-8"/>
        </w:rPr>
        <w:t> </w:t>
      </w:r>
      <w:r>
        <w:rPr>
          <w:spacing w:val="-6"/>
        </w:rPr>
        <w:t>untrained </w:t>
      </w:r>
      <w:r>
        <w:rPr/>
        <w:t>pharmacists should be considered.</w:t>
      </w:r>
    </w:p>
    <w:p>
      <w:pPr>
        <w:pStyle w:val="Heading7"/>
        <w:spacing w:before="239"/>
      </w:pPr>
      <w:r>
        <w:rPr>
          <w:color w:val="2E614A"/>
          <w:spacing w:val="-2"/>
        </w:rPr>
        <w:t>Paramedics</w:t>
      </w:r>
    </w:p>
    <w:p>
      <w:pPr>
        <w:pStyle w:val="BodyText"/>
        <w:spacing w:line="266" w:lineRule="auto" w:before="298"/>
        <w:ind w:left="319" w:right="1077"/>
        <w:jc w:val="both"/>
      </w:pPr>
      <w:r>
        <w:rPr/>
        <w:t>The role of Paramedic workers should be expanded. A Paramedical Council needs to be </w:t>
      </w:r>
      <w:r>
        <w:rPr/>
        <w:t>immediately </w:t>
      </w:r>
      <w:r>
        <w:rPr>
          <w:spacing w:val="-4"/>
        </w:rPr>
        <w:t>established,</w:t>
      </w:r>
      <w:r>
        <w:rPr>
          <w:spacing w:val="-5"/>
        </w:rPr>
        <w:t> </w:t>
      </w:r>
      <w:r>
        <w:rPr>
          <w:spacing w:val="-4"/>
        </w:rPr>
        <w:t>which</w:t>
      </w:r>
      <w:r>
        <w:rPr>
          <w:spacing w:val="-5"/>
        </w:rPr>
        <w:t> </w:t>
      </w:r>
      <w:r>
        <w:rPr>
          <w:spacing w:val="-4"/>
        </w:rPr>
        <w:t>would</w:t>
      </w:r>
      <w:r>
        <w:rPr>
          <w:spacing w:val="-5"/>
        </w:rPr>
        <w:t> </w:t>
      </w:r>
      <w:r>
        <w:rPr>
          <w:spacing w:val="-4"/>
        </w:rPr>
        <w:t>prepare</w:t>
      </w:r>
      <w:r>
        <w:rPr>
          <w:spacing w:val="-5"/>
        </w:rPr>
        <w:t> </w:t>
      </w:r>
      <w:r>
        <w:rPr>
          <w:spacing w:val="-4"/>
        </w:rPr>
        <w:t>training</w:t>
      </w:r>
      <w:r>
        <w:rPr>
          <w:spacing w:val="-5"/>
        </w:rPr>
        <w:t> </w:t>
      </w:r>
      <w:r>
        <w:rPr>
          <w:spacing w:val="-4"/>
        </w:rPr>
        <w:t>programs</w:t>
      </w:r>
      <w:r>
        <w:rPr>
          <w:spacing w:val="-5"/>
        </w:rPr>
        <w:t> </w:t>
      </w:r>
      <w:r>
        <w:rPr>
          <w:spacing w:val="-4"/>
        </w:rPr>
        <w:t>for </w:t>
      </w:r>
      <w:r>
        <w:rPr/>
        <w:t>multi</w:t>
      </w:r>
      <w:r>
        <w:rPr>
          <w:spacing w:val="-14"/>
        </w:rPr>
        <w:t> </w:t>
      </w:r>
      <w:r>
        <w:rPr/>
        <w:t>skill</w:t>
      </w:r>
      <w:r>
        <w:rPr>
          <w:spacing w:val="-14"/>
        </w:rPr>
        <w:t> </w:t>
      </w:r>
      <w:r>
        <w:rPr/>
        <w:t>and</w:t>
      </w:r>
      <w:r>
        <w:rPr>
          <w:spacing w:val="-14"/>
        </w:rPr>
        <w:t> </w:t>
      </w:r>
      <w:r>
        <w:rPr/>
        <w:t>speciality</w:t>
      </w:r>
      <w:r>
        <w:rPr>
          <w:spacing w:val="-13"/>
        </w:rPr>
        <w:t> </w:t>
      </w:r>
      <w:r>
        <w:rPr/>
        <w:t>technicians</w:t>
      </w:r>
      <w:r>
        <w:rPr>
          <w:spacing w:val="-14"/>
        </w:rPr>
        <w:t> </w:t>
      </w:r>
      <w:r>
        <w:rPr/>
        <w:t>and</w:t>
      </w:r>
      <w:r>
        <w:rPr>
          <w:spacing w:val="-14"/>
        </w:rPr>
        <w:t> </w:t>
      </w:r>
      <w:r>
        <w:rPr/>
        <w:t>oversee</w:t>
      </w:r>
      <w:r>
        <w:rPr>
          <w:spacing w:val="-14"/>
        </w:rPr>
        <w:t> </w:t>
      </w:r>
      <w:r>
        <w:rPr/>
        <w:t>their </w:t>
      </w:r>
      <w:r>
        <w:rPr>
          <w:spacing w:val="-4"/>
        </w:rPr>
        <w:t>delivery</w:t>
      </w:r>
      <w:r>
        <w:rPr>
          <w:spacing w:val="-10"/>
        </w:rPr>
        <w:t> </w:t>
      </w:r>
      <w:r>
        <w:rPr>
          <w:spacing w:val="-4"/>
        </w:rPr>
        <w:t>and</w:t>
      </w:r>
      <w:r>
        <w:rPr>
          <w:spacing w:val="-10"/>
        </w:rPr>
        <w:t> </w:t>
      </w:r>
      <w:r>
        <w:rPr>
          <w:spacing w:val="-4"/>
        </w:rPr>
        <w:t>quality.</w:t>
      </w:r>
      <w:r>
        <w:rPr>
          <w:spacing w:val="-10"/>
        </w:rPr>
        <w:t> </w:t>
      </w:r>
      <w:r>
        <w:rPr>
          <w:spacing w:val="-4"/>
        </w:rPr>
        <w:t>Paramedics,</w:t>
      </w:r>
      <w:r>
        <w:rPr>
          <w:spacing w:val="-9"/>
        </w:rPr>
        <w:t> </w:t>
      </w:r>
      <w:r>
        <w:rPr>
          <w:spacing w:val="-4"/>
        </w:rPr>
        <w:t>such</w:t>
      </w:r>
      <w:r>
        <w:rPr>
          <w:spacing w:val="-10"/>
        </w:rPr>
        <w:t> </w:t>
      </w:r>
      <w:r>
        <w:rPr>
          <w:spacing w:val="-4"/>
        </w:rPr>
        <w:t>as</w:t>
      </w:r>
      <w:r>
        <w:rPr>
          <w:spacing w:val="-10"/>
        </w:rPr>
        <w:t> </w:t>
      </w:r>
      <w:r>
        <w:rPr>
          <w:spacing w:val="-4"/>
        </w:rPr>
        <w:t>compounders, </w:t>
      </w:r>
      <w:r>
        <w:rPr/>
        <w:t>dressers,</w:t>
      </w:r>
      <w:r>
        <w:rPr>
          <w:spacing w:val="-3"/>
        </w:rPr>
        <w:t> </w:t>
      </w:r>
      <w:r>
        <w:rPr/>
        <w:t>and</w:t>
      </w:r>
      <w:r>
        <w:rPr>
          <w:spacing w:val="-3"/>
        </w:rPr>
        <w:t> </w:t>
      </w:r>
      <w:r>
        <w:rPr/>
        <w:t>laboratory</w:t>
      </w:r>
      <w:r>
        <w:rPr>
          <w:spacing w:val="-3"/>
        </w:rPr>
        <w:t> </w:t>
      </w:r>
      <w:r>
        <w:rPr/>
        <w:t>technicians</w:t>
      </w:r>
      <w:r>
        <w:rPr>
          <w:spacing w:val="-3"/>
        </w:rPr>
        <w:t> </w:t>
      </w:r>
      <w:r>
        <w:rPr/>
        <w:t>can</w:t>
      </w:r>
      <w:r>
        <w:rPr>
          <w:spacing w:val="-3"/>
        </w:rPr>
        <w:t> </w:t>
      </w:r>
      <w:r>
        <w:rPr/>
        <w:t>also</w:t>
      </w:r>
      <w:r>
        <w:rPr>
          <w:spacing w:val="-3"/>
        </w:rPr>
        <w:t> </w:t>
      </w:r>
      <w:r>
        <w:rPr/>
        <w:t>perform public health functions, such as health education, providing immunisation, and first aid. Such a health worker could be trained through vocational training at the higher secondary level followed by a one year </w:t>
      </w:r>
      <w:r>
        <w:rPr>
          <w:spacing w:val="-2"/>
        </w:rPr>
        <w:t>diploma.</w:t>
      </w:r>
      <w:r>
        <w:rPr>
          <w:spacing w:val="-10"/>
        </w:rPr>
        <w:t> </w:t>
      </w:r>
      <w:r>
        <w:rPr>
          <w:spacing w:val="-2"/>
        </w:rPr>
        <w:t>Career</w:t>
      </w:r>
      <w:r>
        <w:rPr>
          <w:spacing w:val="-10"/>
        </w:rPr>
        <w:t> </w:t>
      </w:r>
      <w:r>
        <w:rPr>
          <w:spacing w:val="-2"/>
        </w:rPr>
        <w:t>paths</w:t>
      </w:r>
      <w:r>
        <w:rPr>
          <w:spacing w:val="-10"/>
        </w:rPr>
        <w:t> </w:t>
      </w:r>
      <w:r>
        <w:rPr>
          <w:spacing w:val="-2"/>
        </w:rPr>
        <w:t>should</w:t>
      </w:r>
      <w:r>
        <w:rPr>
          <w:spacing w:val="-10"/>
        </w:rPr>
        <w:t> </w:t>
      </w:r>
      <w:r>
        <w:rPr>
          <w:spacing w:val="-2"/>
        </w:rPr>
        <w:t>be</w:t>
      </w:r>
      <w:r>
        <w:rPr>
          <w:spacing w:val="-10"/>
        </w:rPr>
        <w:t> </w:t>
      </w:r>
      <w:r>
        <w:rPr>
          <w:spacing w:val="-2"/>
        </w:rPr>
        <w:t>built</w:t>
      </w:r>
      <w:r>
        <w:rPr>
          <w:spacing w:val="-10"/>
        </w:rPr>
        <w:t> </w:t>
      </w:r>
      <w:r>
        <w:rPr>
          <w:spacing w:val="-2"/>
        </w:rPr>
        <w:t>into</w:t>
      </w:r>
      <w:r>
        <w:rPr>
          <w:spacing w:val="-10"/>
        </w:rPr>
        <w:t> </w:t>
      </w:r>
      <w:r>
        <w:rPr>
          <w:spacing w:val="-2"/>
        </w:rPr>
        <w:t>their</w:t>
      </w:r>
      <w:r>
        <w:rPr>
          <w:spacing w:val="-10"/>
        </w:rPr>
        <w:t> </w:t>
      </w:r>
      <w:r>
        <w:rPr>
          <w:spacing w:val="-2"/>
        </w:rPr>
        <w:t>service </w:t>
      </w:r>
      <w:r>
        <w:rPr/>
        <w:t>in order to retain them because international demand is high.</w:t>
      </w:r>
    </w:p>
    <w:p>
      <w:pPr>
        <w:pStyle w:val="Heading6"/>
        <w:numPr>
          <w:ilvl w:val="2"/>
          <w:numId w:val="26"/>
        </w:numPr>
        <w:tabs>
          <w:tab w:pos="644" w:val="left" w:leader="none"/>
        </w:tabs>
        <w:spacing w:line="240" w:lineRule="auto" w:before="176" w:after="0"/>
        <w:ind w:left="644" w:right="0" w:hanging="325"/>
        <w:jc w:val="left"/>
      </w:pPr>
      <w:r>
        <w:rPr>
          <w:color w:val="2E614A"/>
          <w:spacing w:val="-12"/>
        </w:rPr>
        <w:t>Public</w:t>
      </w:r>
      <w:r>
        <w:rPr>
          <w:color w:val="2E614A"/>
          <w:spacing w:val="1"/>
        </w:rPr>
        <w:t> </w:t>
      </w:r>
      <w:r>
        <w:rPr>
          <w:color w:val="2E614A"/>
          <w:spacing w:val="-2"/>
        </w:rPr>
        <w:t>Health</w:t>
      </w:r>
    </w:p>
    <w:p>
      <w:pPr>
        <w:pStyle w:val="Heading7"/>
        <w:spacing w:before="248"/>
      </w:pPr>
      <w:r>
        <w:rPr>
          <w:color w:val="2E614A"/>
          <w:spacing w:val="-2"/>
        </w:rPr>
        <w:t>Education</w:t>
      </w:r>
    </w:p>
    <w:p>
      <w:pPr>
        <w:pStyle w:val="BodyText"/>
        <w:spacing w:line="266" w:lineRule="auto" w:before="299"/>
        <w:ind w:left="319" w:right="1077"/>
        <w:jc w:val="both"/>
      </w:pPr>
      <w:r>
        <w:rPr>
          <w:spacing w:val="-4"/>
        </w:rPr>
        <w:t>A</w:t>
      </w:r>
      <w:r>
        <w:rPr>
          <w:spacing w:val="-10"/>
        </w:rPr>
        <w:t> </w:t>
      </w:r>
      <w:r>
        <w:rPr>
          <w:spacing w:val="-4"/>
        </w:rPr>
        <w:t>three</w:t>
      </w:r>
      <w:r>
        <w:rPr>
          <w:spacing w:val="-10"/>
        </w:rPr>
        <w:t> </w:t>
      </w:r>
      <w:r>
        <w:rPr>
          <w:spacing w:val="-4"/>
        </w:rPr>
        <w:t>tiered</w:t>
      </w:r>
      <w:r>
        <w:rPr>
          <w:spacing w:val="-10"/>
        </w:rPr>
        <w:t> </w:t>
      </w:r>
      <w:r>
        <w:rPr>
          <w:spacing w:val="-4"/>
        </w:rPr>
        <w:t>structure</w:t>
      </w:r>
      <w:r>
        <w:rPr>
          <w:spacing w:val="-9"/>
        </w:rPr>
        <w:t> </w:t>
      </w:r>
      <w:r>
        <w:rPr>
          <w:spacing w:val="-4"/>
        </w:rPr>
        <w:t>consisting</w:t>
      </w:r>
      <w:r>
        <w:rPr>
          <w:spacing w:val="-10"/>
        </w:rPr>
        <w:t> </w:t>
      </w:r>
      <w:r>
        <w:rPr>
          <w:spacing w:val="-4"/>
        </w:rPr>
        <w:t>of</w:t>
      </w:r>
      <w:r>
        <w:rPr>
          <w:spacing w:val="-10"/>
        </w:rPr>
        <w:t> </w:t>
      </w:r>
      <w:r>
        <w:rPr>
          <w:spacing w:val="-4"/>
        </w:rPr>
        <w:t>a</w:t>
      </w:r>
      <w:r>
        <w:rPr>
          <w:spacing w:val="-10"/>
        </w:rPr>
        <w:t> </w:t>
      </w:r>
      <w:r>
        <w:rPr>
          <w:spacing w:val="-4"/>
        </w:rPr>
        <w:t>one</w:t>
      </w:r>
      <w:r>
        <w:rPr>
          <w:spacing w:val="-9"/>
        </w:rPr>
        <w:t> </w:t>
      </w:r>
      <w:r>
        <w:rPr>
          <w:spacing w:val="-4"/>
        </w:rPr>
        <w:t>year</w:t>
      </w:r>
      <w:r>
        <w:rPr>
          <w:spacing w:val="-10"/>
        </w:rPr>
        <w:t> </w:t>
      </w:r>
      <w:r>
        <w:rPr>
          <w:spacing w:val="-4"/>
        </w:rPr>
        <w:t>diploma </w:t>
      </w:r>
      <w:r>
        <w:rPr>
          <w:spacing w:val="-8"/>
        </w:rPr>
        <w:t>course,</w:t>
      </w:r>
      <w:r>
        <w:rPr>
          <w:spacing w:val="-6"/>
        </w:rPr>
        <w:t> </w:t>
      </w:r>
      <w:r>
        <w:rPr>
          <w:spacing w:val="-8"/>
        </w:rPr>
        <w:t>a</w:t>
      </w:r>
      <w:r>
        <w:rPr>
          <w:spacing w:val="-5"/>
        </w:rPr>
        <w:t> </w:t>
      </w:r>
      <w:r>
        <w:rPr>
          <w:spacing w:val="-8"/>
        </w:rPr>
        <w:t>three</w:t>
      </w:r>
      <w:r>
        <w:rPr>
          <w:spacing w:val="-6"/>
        </w:rPr>
        <w:t> </w:t>
      </w:r>
      <w:r>
        <w:rPr>
          <w:spacing w:val="-8"/>
        </w:rPr>
        <w:t>year</w:t>
      </w:r>
      <w:r>
        <w:rPr>
          <w:spacing w:val="-5"/>
        </w:rPr>
        <w:t> </w:t>
      </w:r>
      <w:r>
        <w:rPr>
          <w:spacing w:val="-8"/>
        </w:rPr>
        <w:t>B.Sc</w:t>
      </w:r>
      <w:r>
        <w:rPr>
          <w:spacing w:val="-6"/>
        </w:rPr>
        <w:t> </w:t>
      </w:r>
      <w:r>
        <w:rPr>
          <w:spacing w:val="-8"/>
        </w:rPr>
        <w:t>course</w:t>
      </w:r>
      <w:r>
        <w:rPr>
          <w:spacing w:val="-5"/>
        </w:rPr>
        <w:t> </w:t>
      </w:r>
      <w:r>
        <w:rPr>
          <w:spacing w:val="-8"/>
        </w:rPr>
        <w:t>and</w:t>
      </w:r>
      <w:r>
        <w:rPr>
          <w:spacing w:val="-6"/>
        </w:rPr>
        <w:t> </w:t>
      </w:r>
      <w:r>
        <w:rPr>
          <w:spacing w:val="-8"/>
        </w:rPr>
        <w:t>a</w:t>
      </w:r>
      <w:r>
        <w:rPr>
          <w:spacing w:val="-5"/>
        </w:rPr>
        <w:t> </w:t>
      </w:r>
      <w:r>
        <w:rPr>
          <w:spacing w:val="-8"/>
        </w:rPr>
        <w:t>three</w:t>
      </w:r>
      <w:r>
        <w:rPr>
          <w:spacing w:val="-6"/>
        </w:rPr>
        <w:t> </w:t>
      </w:r>
      <w:r>
        <w:rPr>
          <w:spacing w:val="-8"/>
        </w:rPr>
        <w:t>year</w:t>
      </w:r>
      <w:r>
        <w:rPr>
          <w:spacing w:val="-5"/>
        </w:rPr>
        <w:t> </w:t>
      </w:r>
      <w:r>
        <w:rPr>
          <w:spacing w:val="-8"/>
        </w:rPr>
        <w:t>Master’s </w:t>
      </w:r>
      <w:r>
        <w:rPr/>
        <w:t>course may be introduced. These programs can be attached to departments of Community Medicine in </w:t>
      </w:r>
      <w:r>
        <w:rPr>
          <w:spacing w:val="-4"/>
        </w:rPr>
        <w:t>all</w:t>
      </w:r>
      <w:r>
        <w:rPr>
          <w:spacing w:val="-12"/>
        </w:rPr>
        <w:t> </w:t>
      </w:r>
      <w:r>
        <w:rPr>
          <w:spacing w:val="-4"/>
        </w:rPr>
        <w:t>medical</w:t>
      </w:r>
      <w:r>
        <w:rPr>
          <w:spacing w:val="-10"/>
        </w:rPr>
        <w:t> </w:t>
      </w:r>
      <w:r>
        <w:rPr>
          <w:spacing w:val="-4"/>
        </w:rPr>
        <w:t>colleges</w:t>
      </w:r>
      <w:r>
        <w:rPr>
          <w:spacing w:val="-10"/>
        </w:rPr>
        <w:t> </w:t>
      </w:r>
      <w:r>
        <w:rPr>
          <w:spacing w:val="-4"/>
        </w:rPr>
        <w:t>for</w:t>
      </w:r>
      <w:r>
        <w:rPr>
          <w:spacing w:val="-9"/>
        </w:rPr>
        <w:t> </w:t>
      </w:r>
      <w:r>
        <w:rPr>
          <w:spacing w:val="-4"/>
        </w:rPr>
        <w:t>providing</w:t>
      </w:r>
      <w:r>
        <w:rPr>
          <w:spacing w:val="-10"/>
        </w:rPr>
        <w:t> </w:t>
      </w:r>
      <w:r>
        <w:rPr>
          <w:spacing w:val="-4"/>
        </w:rPr>
        <w:t>hands</w:t>
      </w:r>
      <w:r>
        <w:rPr>
          <w:spacing w:val="-10"/>
        </w:rPr>
        <w:t> </w:t>
      </w:r>
      <w:r>
        <w:rPr>
          <w:spacing w:val="-4"/>
        </w:rPr>
        <w:t>on</w:t>
      </w:r>
      <w:r>
        <w:rPr>
          <w:spacing w:val="-10"/>
        </w:rPr>
        <w:t> </w:t>
      </w:r>
      <w:r>
        <w:rPr>
          <w:spacing w:val="-4"/>
        </w:rPr>
        <w:t>training.</w:t>
      </w:r>
      <w:r>
        <w:rPr>
          <w:spacing w:val="-9"/>
        </w:rPr>
        <w:t> </w:t>
      </w:r>
      <w:r>
        <w:rPr>
          <w:spacing w:val="-4"/>
        </w:rPr>
        <w:t>All </w:t>
      </w:r>
      <w:r>
        <w:rPr>
          <w:spacing w:val="-2"/>
        </w:rPr>
        <w:t>universities,</w:t>
      </w:r>
      <w:r>
        <w:rPr>
          <w:spacing w:val="-6"/>
        </w:rPr>
        <w:t> </w:t>
      </w:r>
      <w:r>
        <w:rPr>
          <w:spacing w:val="-2"/>
        </w:rPr>
        <w:t>all</w:t>
      </w:r>
      <w:r>
        <w:rPr>
          <w:spacing w:val="-6"/>
        </w:rPr>
        <w:t> </w:t>
      </w:r>
      <w:r>
        <w:rPr>
          <w:spacing w:val="-2"/>
        </w:rPr>
        <w:t>district</w:t>
      </w:r>
      <w:r>
        <w:rPr>
          <w:spacing w:val="-6"/>
        </w:rPr>
        <w:t> </w:t>
      </w:r>
      <w:r>
        <w:rPr>
          <w:spacing w:val="-2"/>
        </w:rPr>
        <w:t>hospitals</w:t>
      </w:r>
      <w:r>
        <w:rPr>
          <w:spacing w:val="-6"/>
        </w:rPr>
        <w:t> </w:t>
      </w:r>
      <w:r>
        <w:rPr>
          <w:spacing w:val="-2"/>
        </w:rPr>
        <w:t>and</w:t>
      </w:r>
      <w:r>
        <w:rPr>
          <w:spacing w:val="-6"/>
        </w:rPr>
        <w:t> </w:t>
      </w:r>
      <w:r>
        <w:rPr>
          <w:spacing w:val="-2"/>
        </w:rPr>
        <w:t>the</w:t>
      </w:r>
      <w:r>
        <w:rPr>
          <w:spacing w:val="-6"/>
        </w:rPr>
        <w:t> </w:t>
      </w:r>
      <w:r>
        <w:rPr>
          <w:spacing w:val="-2"/>
        </w:rPr>
        <w:t>Public</w:t>
      </w:r>
      <w:r>
        <w:rPr>
          <w:spacing w:val="-6"/>
        </w:rPr>
        <w:t> </w:t>
      </w:r>
      <w:r>
        <w:rPr>
          <w:spacing w:val="-2"/>
        </w:rPr>
        <w:t>Health </w:t>
      </w:r>
      <w:r>
        <w:rPr/>
        <w:t>Foundation of India can run them.</w:t>
      </w:r>
    </w:p>
    <w:p>
      <w:pPr>
        <w:pStyle w:val="Heading7"/>
        <w:spacing w:before="237"/>
      </w:pPr>
      <w:r>
        <w:rPr>
          <w:color w:val="2E614A"/>
          <w:spacing w:val="-4"/>
        </w:rPr>
        <w:t>ASHA</w:t>
      </w:r>
    </w:p>
    <w:p>
      <w:pPr>
        <w:pStyle w:val="BodyText"/>
        <w:spacing w:line="266" w:lineRule="auto" w:before="298"/>
        <w:ind w:left="319" w:right="1077"/>
        <w:jc w:val="both"/>
      </w:pPr>
      <w:r>
        <w:rPr>
          <w:spacing w:val="-4"/>
        </w:rPr>
        <w:t>The</w:t>
      </w:r>
      <w:r>
        <w:rPr>
          <w:spacing w:val="-6"/>
        </w:rPr>
        <w:t> </w:t>
      </w:r>
      <w:r>
        <w:rPr>
          <w:spacing w:val="-4"/>
        </w:rPr>
        <w:t>role</w:t>
      </w:r>
      <w:r>
        <w:rPr>
          <w:spacing w:val="-6"/>
        </w:rPr>
        <w:t> </w:t>
      </w:r>
      <w:r>
        <w:rPr>
          <w:spacing w:val="-4"/>
        </w:rPr>
        <w:t>of</w:t>
      </w:r>
      <w:r>
        <w:rPr>
          <w:spacing w:val="-6"/>
        </w:rPr>
        <w:t> </w:t>
      </w:r>
      <w:r>
        <w:rPr>
          <w:spacing w:val="-4"/>
        </w:rPr>
        <w:t>Accredited</w:t>
      </w:r>
      <w:r>
        <w:rPr>
          <w:spacing w:val="-6"/>
        </w:rPr>
        <w:t> </w:t>
      </w:r>
      <w:r>
        <w:rPr>
          <w:spacing w:val="-4"/>
        </w:rPr>
        <w:t>Social</w:t>
      </w:r>
      <w:r>
        <w:rPr>
          <w:spacing w:val="-6"/>
        </w:rPr>
        <w:t> </w:t>
      </w:r>
      <w:r>
        <w:rPr>
          <w:spacing w:val="-4"/>
        </w:rPr>
        <w:t>Health</w:t>
      </w:r>
      <w:r>
        <w:rPr>
          <w:spacing w:val="-6"/>
        </w:rPr>
        <w:t> </w:t>
      </w:r>
      <w:r>
        <w:rPr>
          <w:spacing w:val="-4"/>
        </w:rPr>
        <w:t>Activists</w:t>
      </w:r>
      <w:r>
        <w:rPr>
          <w:spacing w:val="-6"/>
        </w:rPr>
        <w:t> </w:t>
      </w:r>
      <w:r>
        <w:rPr>
          <w:spacing w:val="-4"/>
        </w:rPr>
        <w:t>(ASHA) </w:t>
      </w:r>
      <w:r>
        <w:rPr/>
        <w:t>needs</w:t>
      </w:r>
      <w:r>
        <w:rPr>
          <w:spacing w:val="-1"/>
        </w:rPr>
        <w:t> </w:t>
      </w:r>
      <w:r>
        <w:rPr/>
        <w:t>to</w:t>
      </w:r>
      <w:r>
        <w:rPr>
          <w:spacing w:val="-1"/>
        </w:rPr>
        <w:t> </w:t>
      </w:r>
      <w:r>
        <w:rPr/>
        <w:t>be</w:t>
      </w:r>
      <w:r>
        <w:rPr>
          <w:spacing w:val="-1"/>
        </w:rPr>
        <w:t> </w:t>
      </w:r>
      <w:r>
        <w:rPr/>
        <w:t>re-conceptualised</w:t>
      </w:r>
      <w:r>
        <w:rPr>
          <w:spacing w:val="-1"/>
        </w:rPr>
        <w:t> </w:t>
      </w:r>
      <w:r>
        <w:rPr/>
        <w:t>within</w:t>
      </w:r>
      <w:r>
        <w:rPr>
          <w:spacing w:val="-1"/>
        </w:rPr>
        <w:t> </w:t>
      </w:r>
      <w:r>
        <w:rPr/>
        <w:t>this</w:t>
      </w:r>
      <w:r>
        <w:rPr>
          <w:spacing w:val="-1"/>
        </w:rPr>
        <w:t> </w:t>
      </w:r>
      <w:r>
        <w:rPr/>
        <w:t>framework, </w:t>
      </w:r>
      <w:r>
        <w:rPr>
          <w:spacing w:val="-8"/>
        </w:rPr>
        <w:t>and</w:t>
      </w:r>
      <w:r>
        <w:rPr>
          <w:spacing w:val="-4"/>
        </w:rPr>
        <w:t> </w:t>
      </w:r>
      <w:r>
        <w:rPr>
          <w:spacing w:val="-8"/>
        </w:rPr>
        <w:t>ASHA</w:t>
      </w:r>
      <w:r>
        <w:rPr>
          <w:spacing w:val="-4"/>
        </w:rPr>
        <w:t> </w:t>
      </w:r>
      <w:r>
        <w:rPr>
          <w:spacing w:val="-8"/>
        </w:rPr>
        <w:t>must</w:t>
      </w:r>
      <w:r>
        <w:rPr>
          <w:spacing w:val="-4"/>
        </w:rPr>
        <w:t> </w:t>
      </w:r>
      <w:r>
        <w:rPr>
          <w:spacing w:val="-8"/>
        </w:rPr>
        <w:t>be</w:t>
      </w:r>
      <w:r>
        <w:rPr>
          <w:spacing w:val="-4"/>
        </w:rPr>
        <w:t> </w:t>
      </w:r>
      <w:r>
        <w:rPr>
          <w:spacing w:val="-8"/>
        </w:rPr>
        <w:t>viewed</w:t>
      </w:r>
      <w:r>
        <w:rPr>
          <w:spacing w:val="-4"/>
        </w:rPr>
        <w:t> </w:t>
      </w:r>
      <w:r>
        <w:rPr>
          <w:spacing w:val="-8"/>
        </w:rPr>
        <w:t>as</w:t>
      </w:r>
      <w:r>
        <w:rPr>
          <w:spacing w:val="-4"/>
        </w:rPr>
        <w:t> </w:t>
      </w:r>
      <w:r>
        <w:rPr>
          <w:spacing w:val="-8"/>
        </w:rPr>
        <w:t>an</w:t>
      </w:r>
      <w:r>
        <w:rPr>
          <w:spacing w:val="-4"/>
        </w:rPr>
        <w:t> </w:t>
      </w:r>
      <w:r>
        <w:rPr>
          <w:spacing w:val="-8"/>
        </w:rPr>
        <w:t>accessible</w:t>
      </w:r>
      <w:r>
        <w:rPr>
          <w:spacing w:val="-4"/>
        </w:rPr>
        <w:t> </w:t>
      </w:r>
      <w:r>
        <w:rPr>
          <w:spacing w:val="-8"/>
        </w:rPr>
        <w:t>and</w:t>
      </w:r>
      <w:r>
        <w:rPr>
          <w:spacing w:val="-4"/>
        </w:rPr>
        <w:t> </w:t>
      </w:r>
      <w:r>
        <w:rPr>
          <w:spacing w:val="-8"/>
        </w:rPr>
        <w:t>effective </w:t>
      </w:r>
      <w:r>
        <w:rPr/>
        <w:t>health</w:t>
      </w:r>
      <w:r>
        <w:rPr>
          <w:spacing w:val="-16"/>
        </w:rPr>
        <w:t> </w:t>
      </w:r>
      <w:r>
        <w:rPr/>
        <w:t>worker.</w:t>
      </w:r>
      <w:r>
        <w:rPr>
          <w:spacing w:val="-14"/>
        </w:rPr>
        <w:t> </w:t>
      </w:r>
      <w:r>
        <w:rPr/>
        <w:t>The</w:t>
      </w:r>
      <w:r>
        <w:rPr>
          <w:spacing w:val="-14"/>
        </w:rPr>
        <w:t> </w:t>
      </w:r>
      <w:r>
        <w:rPr/>
        <w:t>training</w:t>
      </w:r>
      <w:r>
        <w:rPr>
          <w:spacing w:val="-13"/>
        </w:rPr>
        <w:t> </w:t>
      </w:r>
      <w:r>
        <w:rPr/>
        <w:t>period</w:t>
      </w:r>
      <w:r>
        <w:rPr>
          <w:spacing w:val="-14"/>
        </w:rPr>
        <w:t> </w:t>
      </w:r>
      <w:r>
        <w:rPr/>
        <w:t>of</w:t>
      </w:r>
      <w:r>
        <w:rPr>
          <w:spacing w:val="-14"/>
        </w:rPr>
        <w:t> </w:t>
      </w:r>
      <w:r>
        <w:rPr/>
        <w:t>the</w:t>
      </w:r>
      <w:r>
        <w:rPr>
          <w:spacing w:val="-14"/>
        </w:rPr>
        <w:t> </w:t>
      </w:r>
      <w:r>
        <w:rPr/>
        <w:t>ASHA</w:t>
      </w:r>
      <w:r>
        <w:rPr>
          <w:spacing w:val="-13"/>
        </w:rPr>
        <w:t> </w:t>
      </w:r>
      <w:r>
        <w:rPr/>
        <w:t>needs </w:t>
      </w:r>
      <w:r>
        <w:rPr>
          <w:spacing w:val="-4"/>
        </w:rPr>
        <w:t>to</w:t>
      </w:r>
      <w:r>
        <w:rPr>
          <w:spacing w:val="-6"/>
        </w:rPr>
        <w:t> </w:t>
      </w:r>
      <w:r>
        <w:rPr>
          <w:spacing w:val="-4"/>
        </w:rPr>
        <w:t>be</w:t>
      </w:r>
      <w:r>
        <w:rPr>
          <w:spacing w:val="-6"/>
        </w:rPr>
        <w:t> </w:t>
      </w:r>
      <w:r>
        <w:rPr>
          <w:spacing w:val="-4"/>
        </w:rPr>
        <w:t>lengthened</w:t>
      </w:r>
      <w:r>
        <w:rPr>
          <w:spacing w:val="-6"/>
        </w:rPr>
        <w:t> </w:t>
      </w:r>
      <w:r>
        <w:rPr>
          <w:spacing w:val="-4"/>
        </w:rPr>
        <w:t>from</w:t>
      </w:r>
      <w:r>
        <w:rPr>
          <w:spacing w:val="-6"/>
        </w:rPr>
        <w:t> </w:t>
      </w:r>
      <w:r>
        <w:rPr>
          <w:spacing w:val="-4"/>
        </w:rPr>
        <w:t>its</w:t>
      </w:r>
      <w:r>
        <w:rPr>
          <w:spacing w:val="-6"/>
        </w:rPr>
        <w:t> </w:t>
      </w:r>
      <w:r>
        <w:rPr>
          <w:spacing w:val="-4"/>
        </w:rPr>
        <w:t>current</w:t>
      </w:r>
      <w:r>
        <w:rPr>
          <w:spacing w:val="-6"/>
        </w:rPr>
        <w:t> </w:t>
      </w:r>
      <w:r>
        <w:rPr>
          <w:spacing w:val="-4"/>
        </w:rPr>
        <w:t>duration.</w:t>
      </w:r>
      <w:r>
        <w:rPr>
          <w:spacing w:val="-6"/>
        </w:rPr>
        <w:t> </w:t>
      </w:r>
      <w:r>
        <w:rPr>
          <w:spacing w:val="-4"/>
        </w:rPr>
        <w:t>Steps</w:t>
      </w:r>
      <w:r>
        <w:rPr>
          <w:spacing w:val="-6"/>
        </w:rPr>
        <w:t> </w:t>
      </w:r>
      <w:r>
        <w:rPr>
          <w:spacing w:val="-4"/>
        </w:rPr>
        <w:t>should </w:t>
      </w:r>
      <w:r>
        <w:rPr/>
        <w:t>be taken to review the system of remuneration and </w:t>
      </w:r>
      <w:r>
        <w:rPr>
          <w:spacing w:val="-2"/>
        </w:rPr>
        <w:t>improve</w:t>
      </w:r>
      <w:r>
        <w:rPr>
          <w:spacing w:val="-12"/>
        </w:rPr>
        <w:t> </w:t>
      </w:r>
      <w:r>
        <w:rPr>
          <w:spacing w:val="-2"/>
        </w:rPr>
        <w:t>the</w:t>
      </w:r>
      <w:r>
        <w:rPr>
          <w:spacing w:val="-12"/>
        </w:rPr>
        <w:t> </w:t>
      </w:r>
      <w:r>
        <w:rPr>
          <w:spacing w:val="-2"/>
        </w:rPr>
        <w:t>working</w:t>
      </w:r>
      <w:r>
        <w:rPr>
          <w:spacing w:val="-12"/>
        </w:rPr>
        <w:t> </w:t>
      </w:r>
      <w:r>
        <w:rPr>
          <w:spacing w:val="-2"/>
        </w:rPr>
        <w:t>conditions</w:t>
      </w:r>
      <w:r>
        <w:rPr>
          <w:spacing w:val="-11"/>
        </w:rPr>
        <w:t> </w:t>
      </w:r>
      <w:r>
        <w:rPr>
          <w:spacing w:val="-2"/>
        </w:rPr>
        <w:t>of</w:t>
      </w:r>
      <w:r>
        <w:rPr>
          <w:spacing w:val="-12"/>
        </w:rPr>
        <w:t> </w:t>
      </w:r>
      <w:r>
        <w:rPr>
          <w:spacing w:val="-2"/>
        </w:rPr>
        <w:t>the</w:t>
      </w:r>
      <w:r>
        <w:rPr>
          <w:spacing w:val="-12"/>
        </w:rPr>
        <w:t> </w:t>
      </w:r>
      <w:r>
        <w:rPr>
          <w:spacing w:val="-2"/>
        </w:rPr>
        <w:t>ASHA</w:t>
      </w:r>
      <w:r>
        <w:rPr>
          <w:spacing w:val="-12"/>
        </w:rPr>
        <w:t> </w:t>
      </w:r>
      <w:r>
        <w:rPr>
          <w:spacing w:val="-2"/>
        </w:rPr>
        <w:t>workers.</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2029"/>
        <w:jc w:val="both"/>
      </w:pPr>
      <w:r>
        <w:rPr/>
        <mc:AlternateContent>
          <mc:Choice Requires="wps">
            <w:drawing>
              <wp:anchor distT="0" distB="0" distL="0" distR="0" allowOverlap="1" layoutInCell="1" locked="0" behindDoc="0" simplePos="0" relativeHeight="15766528">
                <wp:simplePos x="0" y="0"/>
                <wp:positionH relativeFrom="page">
                  <wp:posOffset>0</wp:posOffset>
                </wp:positionH>
                <wp:positionV relativeFrom="paragraph">
                  <wp:posOffset>-2277393</wp:posOffset>
                </wp:positionV>
                <wp:extent cx="7560309" cy="1752600"/>
                <wp:effectExtent l="0" t="0" r="0" b="0"/>
                <wp:wrapNone/>
                <wp:docPr id="892" name="Group 892"/>
                <wp:cNvGraphicFramePr>
                  <a:graphicFrameLocks/>
                </wp:cNvGraphicFramePr>
                <a:graphic>
                  <a:graphicData uri="http://schemas.microsoft.com/office/word/2010/wordprocessingGroup">
                    <wpg:wgp>
                      <wpg:cNvPr id="892" name="Group 892"/>
                      <wpg:cNvGrpSpPr/>
                      <wpg:grpSpPr>
                        <a:xfrm>
                          <a:off x="0" y="0"/>
                          <a:ext cx="7560309" cy="1752600"/>
                          <a:chExt cx="7560309" cy="1752600"/>
                        </a:xfrm>
                      </wpg:grpSpPr>
                      <pic:pic>
                        <pic:nvPicPr>
                          <pic:cNvPr id="893" name="Image 893"/>
                          <pic:cNvPicPr/>
                        </pic:nvPicPr>
                        <pic:blipFill>
                          <a:blip r:embed="rId11" cstate="print"/>
                          <a:stretch>
                            <a:fillRect/>
                          </a:stretch>
                        </pic:blipFill>
                        <pic:spPr>
                          <a:xfrm>
                            <a:off x="0" y="0"/>
                            <a:ext cx="7559999" cy="1752562"/>
                          </a:xfrm>
                          <a:prstGeom prst="rect">
                            <a:avLst/>
                          </a:prstGeom>
                        </pic:spPr>
                      </pic:pic>
                      <wps:wsp>
                        <wps:cNvPr id="894" name="Textbox 894"/>
                        <wps:cNvSpPr txBox="1"/>
                        <wps:spPr>
                          <a:xfrm>
                            <a:off x="685800" y="598688"/>
                            <a:ext cx="4674870"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Management</w:t>
                              </w:r>
                              <w:r>
                                <w:rPr>
                                  <w:rFonts w:ascii="Trebuchet MS"/>
                                  <w:b/>
                                  <w:color w:val="FFFFFF"/>
                                  <w:spacing w:val="-31"/>
                                  <w:sz w:val="68"/>
                                </w:rPr>
                                <w:t> </w:t>
                              </w:r>
                              <w:r>
                                <w:rPr>
                                  <w:rFonts w:ascii="Trebuchet MS"/>
                                  <w:b/>
                                  <w:color w:val="FFFFFF"/>
                                  <w:spacing w:val="-2"/>
                                  <w:sz w:val="68"/>
                                </w:rPr>
                                <w:t>Education</w:t>
                              </w:r>
                            </w:p>
                          </w:txbxContent>
                        </wps:txbx>
                        <wps:bodyPr wrap="square" lIns="0" tIns="0" rIns="0" bIns="0" rtlCol="0">
                          <a:noAutofit/>
                        </wps:bodyPr>
                      </wps:wsp>
                      <wps:wsp>
                        <wps:cNvPr id="895" name="Textbox 895"/>
                        <wps:cNvSpPr txBox="1"/>
                        <wps:spPr>
                          <a:xfrm>
                            <a:off x="5883461" y="1439105"/>
                            <a:ext cx="1003935" cy="158750"/>
                          </a:xfrm>
                          <a:prstGeom prst="rect">
                            <a:avLst/>
                          </a:prstGeom>
                        </wps:spPr>
                        <wps:txbx>
                          <w:txbxContent>
                            <w:p>
                              <w:pPr>
                                <w:spacing w:line="238" w:lineRule="exact" w:before="0"/>
                                <w:ind w:left="0" w:right="0" w:firstLine="0"/>
                                <w:jc w:val="left"/>
                                <w:rPr>
                                  <w:b/>
                                  <w:sz w:val="22"/>
                                </w:rPr>
                              </w:pPr>
                              <w:r>
                                <w:rPr>
                                  <w:b/>
                                  <w:color w:val="FFFFFF"/>
                                  <w:spacing w:val="-4"/>
                                  <w:sz w:val="22"/>
                                </w:rPr>
                                <w:t>October 15,</w:t>
                              </w:r>
                              <w:r>
                                <w:rPr>
                                  <w:b/>
                                  <w:color w:val="FFFFFF"/>
                                  <w:spacing w:val="-3"/>
                                  <w:sz w:val="22"/>
                                </w:rPr>
                                <w:t> </w:t>
                              </w:r>
                              <w:r>
                                <w:rPr>
                                  <w:b/>
                                  <w:color w:val="FFFFFF"/>
                                  <w:spacing w:val="-4"/>
                                  <w:sz w:val="22"/>
                                </w:rPr>
                                <w:t>2007</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66528" id="docshapegroup885" coordorigin="0,-3586" coordsize="11906,2760">
                <v:shape style="position:absolute;left:0;top:-3587;width:11906;height:2760" type="#_x0000_t75" id="docshape886" stroked="false">
                  <v:imagedata r:id="rId11" o:title=""/>
                </v:shape>
                <v:shape style="position:absolute;left:1080;top:-2644;width:7362;height:790" type="#_x0000_t202" id="docshape887" filled="false" stroked="false">
                  <v:textbox inset="0,0,0,0">
                    <w:txbxContent>
                      <w:p>
                        <w:pPr>
                          <w:spacing w:before="0"/>
                          <w:ind w:left="0" w:right="0" w:firstLine="0"/>
                          <w:jc w:val="left"/>
                          <w:rPr>
                            <w:rFonts w:ascii="Trebuchet MS"/>
                            <w:b/>
                            <w:sz w:val="68"/>
                          </w:rPr>
                        </w:pPr>
                        <w:r>
                          <w:rPr>
                            <w:rFonts w:ascii="Trebuchet MS"/>
                            <w:b/>
                            <w:color w:val="FFFFFF"/>
                            <w:sz w:val="68"/>
                          </w:rPr>
                          <w:t>Management</w:t>
                        </w:r>
                        <w:r>
                          <w:rPr>
                            <w:rFonts w:ascii="Trebuchet MS"/>
                            <w:b/>
                            <w:color w:val="FFFFFF"/>
                            <w:spacing w:val="-31"/>
                            <w:sz w:val="68"/>
                          </w:rPr>
                          <w:t> </w:t>
                        </w:r>
                        <w:r>
                          <w:rPr>
                            <w:rFonts w:ascii="Trebuchet MS"/>
                            <w:b/>
                            <w:color w:val="FFFFFF"/>
                            <w:spacing w:val="-2"/>
                            <w:sz w:val="68"/>
                          </w:rPr>
                          <w:t>Education</w:t>
                        </w:r>
                      </w:p>
                    </w:txbxContent>
                  </v:textbox>
                  <w10:wrap type="none"/>
                </v:shape>
                <v:shape style="position:absolute;left:9265;top:-1321;width:1581;height:250" type="#_x0000_t202" id="docshape888" filled="false" stroked="false">
                  <v:textbox inset="0,0,0,0">
                    <w:txbxContent>
                      <w:p>
                        <w:pPr>
                          <w:spacing w:line="238" w:lineRule="exact" w:before="0"/>
                          <w:ind w:left="0" w:right="0" w:firstLine="0"/>
                          <w:jc w:val="left"/>
                          <w:rPr>
                            <w:b/>
                            <w:sz w:val="22"/>
                          </w:rPr>
                        </w:pPr>
                        <w:r>
                          <w:rPr>
                            <w:b/>
                            <w:color w:val="FFFFFF"/>
                            <w:spacing w:val="-4"/>
                            <w:sz w:val="22"/>
                          </w:rPr>
                          <w:t>October 15,</w:t>
                        </w:r>
                        <w:r>
                          <w:rPr>
                            <w:b/>
                            <w:color w:val="FFFFFF"/>
                            <w:spacing w:val="-3"/>
                            <w:sz w:val="22"/>
                          </w:rPr>
                          <w:t> </w:t>
                        </w:r>
                        <w:r>
                          <w:rPr>
                            <w:b/>
                            <w:color w:val="FFFFFF"/>
                            <w:spacing w:val="-4"/>
                            <w:sz w:val="22"/>
                          </w:rPr>
                          <w:t>2007</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3616">
                <wp:simplePos x="0" y="0"/>
                <wp:positionH relativeFrom="page">
                  <wp:posOffset>685799</wp:posOffset>
                </wp:positionH>
                <wp:positionV relativeFrom="paragraph">
                  <wp:posOffset>-36774</wp:posOffset>
                </wp:positionV>
                <wp:extent cx="616585" cy="75755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616585" cy="757555"/>
                        </a:xfrm>
                        <a:prstGeom prst="rect">
                          <a:avLst/>
                        </a:prstGeom>
                      </wps:spPr>
                      <wps:txbx>
                        <w:txbxContent>
                          <w:p>
                            <w:pPr>
                              <w:spacing w:line="1135" w:lineRule="exact" w:before="0"/>
                              <w:ind w:left="0" w:right="0" w:firstLine="0"/>
                              <w:jc w:val="left"/>
                              <w:rPr>
                                <w:sz w:val="106"/>
                              </w:rPr>
                            </w:pPr>
                            <w:r>
                              <w:rPr>
                                <w:color w:val="9CBF3B"/>
                                <w:spacing w:val="-10"/>
                                <w:sz w:val="106"/>
                              </w:rPr>
                              <w:t>M</w:t>
                            </w:r>
                          </w:p>
                        </w:txbxContent>
                      </wps:txbx>
                      <wps:bodyPr wrap="square" lIns="0" tIns="0" rIns="0" bIns="0" rtlCol="0">
                        <a:noAutofit/>
                      </wps:bodyPr>
                    </wps:wsp>
                  </a:graphicData>
                </a:graphic>
              </wp:anchor>
            </w:drawing>
          </mc:Choice>
          <mc:Fallback>
            <w:pict>
              <v:shape style="position:absolute;margin-left:53.999981pt;margin-top:-2.8956pt;width:48.55pt;height:59.65pt;mso-position-horizontal-relative:page;mso-position-vertical-relative:paragraph;z-index:-23972864" type="#_x0000_t202" id="docshape889" filled="false" stroked="false">
                <v:textbox inset="0,0,0,0">
                  <w:txbxContent>
                    <w:p>
                      <w:pPr>
                        <w:spacing w:line="1135" w:lineRule="exact" w:before="0"/>
                        <w:ind w:left="0" w:right="0" w:firstLine="0"/>
                        <w:jc w:val="left"/>
                        <w:rPr>
                          <w:sz w:val="106"/>
                        </w:rPr>
                      </w:pPr>
                      <w:r>
                        <w:rPr>
                          <w:color w:val="9CBF3B"/>
                          <w:spacing w:val="-10"/>
                          <w:sz w:val="106"/>
                        </w:rPr>
                        <w:t>M</w:t>
                      </w:r>
                    </w:p>
                  </w:txbxContent>
                </v:textbox>
                <w10:wrap type="none"/>
              </v:shape>
            </w:pict>
          </mc:Fallback>
        </mc:AlternateContent>
      </w:r>
      <w:r>
        <w:rPr/>
        <w:t>anagement</w:t>
      </w:r>
      <w:r>
        <w:rPr>
          <w:spacing w:val="-14"/>
        </w:rPr>
        <w:t> </w:t>
      </w:r>
      <w:r>
        <w:rPr/>
        <w:t>education</w:t>
      </w:r>
      <w:r>
        <w:rPr>
          <w:spacing w:val="-14"/>
        </w:rPr>
        <w:t> </w:t>
      </w:r>
      <w:r>
        <w:rPr/>
        <w:t>has</w:t>
      </w:r>
      <w:r>
        <w:rPr>
          <w:spacing w:val="-14"/>
        </w:rPr>
        <w:t> </w:t>
      </w:r>
      <w:r>
        <w:rPr/>
        <w:t>seen</w:t>
      </w:r>
      <w:r>
        <w:rPr>
          <w:spacing w:val="-13"/>
        </w:rPr>
        <w:t> </w:t>
      </w:r>
      <w:r>
        <w:rPr/>
        <w:t>phenomenal </w:t>
      </w:r>
      <w:r>
        <w:rPr>
          <w:spacing w:val="-4"/>
        </w:rPr>
        <w:t>growth</w:t>
      </w:r>
      <w:r>
        <w:rPr>
          <w:spacing w:val="-8"/>
        </w:rPr>
        <w:t> </w:t>
      </w:r>
      <w:r>
        <w:rPr>
          <w:spacing w:val="-4"/>
        </w:rPr>
        <w:t>in</w:t>
      </w:r>
      <w:r>
        <w:rPr>
          <w:spacing w:val="-8"/>
        </w:rPr>
        <w:t> </w:t>
      </w:r>
      <w:r>
        <w:rPr>
          <w:spacing w:val="-4"/>
        </w:rPr>
        <w:t>the</w:t>
      </w:r>
      <w:r>
        <w:rPr>
          <w:spacing w:val="-8"/>
        </w:rPr>
        <w:t> </w:t>
      </w:r>
      <w:r>
        <w:rPr>
          <w:spacing w:val="-4"/>
        </w:rPr>
        <w:t>past</w:t>
      </w:r>
      <w:r>
        <w:rPr>
          <w:spacing w:val="-8"/>
        </w:rPr>
        <w:t> </w:t>
      </w:r>
      <w:r>
        <w:rPr>
          <w:spacing w:val="-4"/>
        </w:rPr>
        <w:t>six</w:t>
      </w:r>
      <w:r>
        <w:rPr>
          <w:spacing w:val="-8"/>
        </w:rPr>
        <w:t> </w:t>
      </w:r>
      <w:r>
        <w:rPr>
          <w:spacing w:val="-4"/>
        </w:rPr>
        <w:t>years</w:t>
      </w:r>
      <w:r>
        <w:rPr>
          <w:spacing w:val="-8"/>
        </w:rPr>
        <w:t> </w:t>
      </w:r>
      <w:r>
        <w:rPr>
          <w:spacing w:val="-4"/>
        </w:rPr>
        <w:t>with</w:t>
      </w:r>
      <w:r>
        <w:rPr>
          <w:spacing w:val="-8"/>
        </w:rPr>
        <w:t> </w:t>
      </w:r>
      <w:r>
        <w:rPr>
          <w:spacing w:val="-4"/>
        </w:rPr>
        <w:t>the</w:t>
      </w:r>
      <w:r>
        <w:rPr>
          <w:spacing w:val="-8"/>
        </w:rPr>
        <w:t> </w:t>
      </w:r>
      <w:r>
        <w:rPr>
          <w:spacing w:val="-4"/>
        </w:rPr>
        <w:t>number </w:t>
      </w:r>
      <w:r>
        <w:rPr/>
        <w:t>of</w:t>
      </w:r>
      <w:r>
        <w:rPr>
          <w:spacing w:val="78"/>
          <w:w w:val="150"/>
        </w:rPr>
        <w:t> </w:t>
      </w:r>
      <w:r>
        <w:rPr/>
        <w:t>institutions</w:t>
      </w:r>
      <w:r>
        <w:rPr>
          <w:spacing w:val="78"/>
          <w:w w:val="150"/>
        </w:rPr>
        <w:t> </w:t>
      </w:r>
      <w:r>
        <w:rPr/>
        <w:t>providing</w:t>
      </w:r>
      <w:r>
        <w:rPr>
          <w:spacing w:val="79"/>
          <w:w w:val="150"/>
        </w:rPr>
        <w:t> </w:t>
      </w:r>
      <w:r>
        <w:rPr>
          <w:spacing w:val="-2"/>
        </w:rPr>
        <w:t>undergraduate</w:t>
      </w:r>
    </w:p>
    <w:p>
      <w:pPr>
        <w:pStyle w:val="BodyText"/>
        <w:spacing w:line="266" w:lineRule="auto"/>
        <w:ind w:left="1080"/>
        <w:jc w:val="both"/>
      </w:pPr>
      <w:r>
        <w:rPr>
          <w:spacing w:val="-2"/>
        </w:rPr>
        <w:t>and</w:t>
      </w:r>
      <w:r>
        <w:rPr>
          <w:spacing w:val="-11"/>
        </w:rPr>
        <w:t> </w:t>
      </w:r>
      <w:r>
        <w:rPr>
          <w:spacing w:val="-2"/>
        </w:rPr>
        <w:t>post-graduate</w:t>
      </w:r>
      <w:r>
        <w:rPr>
          <w:spacing w:val="-11"/>
        </w:rPr>
        <w:t> </w:t>
      </w:r>
      <w:r>
        <w:rPr>
          <w:spacing w:val="-2"/>
        </w:rPr>
        <w:t>level</w:t>
      </w:r>
      <w:r>
        <w:rPr>
          <w:spacing w:val="-11"/>
        </w:rPr>
        <w:t> </w:t>
      </w:r>
      <w:r>
        <w:rPr>
          <w:spacing w:val="-2"/>
        </w:rPr>
        <w:t>courses</w:t>
      </w:r>
      <w:r>
        <w:rPr>
          <w:spacing w:val="-11"/>
        </w:rPr>
        <w:t> </w:t>
      </w:r>
      <w:r>
        <w:rPr>
          <w:spacing w:val="-2"/>
        </w:rPr>
        <w:t>rising</w:t>
      </w:r>
      <w:r>
        <w:rPr>
          <w:spacing w:val="-11"/>
        </w:rPr>
        <w:t> </w:t>
      </w:r>
      <w:r>
        <w:rPr>
          <w:spacing w:val="-2"/>
        </w:rPr>
        <w:t>to</w:t>
      </w:r>
      <w:r>
        <w:rPr>
          <w:spacing w:val="-11"/>
        </w:rPr>
        <w:t> </w:t>
      </w:r>
      <w:r>
        <w:rPr>
          <w:spacing w:val="-2"/>
        </w:rPr>
        <w:t>over</w:t>
      </w:r>
      <w:r>
        <w:rPr>
          <w:spacing w:val="-11"/>
        </w:rPr>
        <w:t> </w:t>
      </w:r>
      <w:r>
        <w:rPr>
          <w:spacing w:val="-2"/>
        </w:rPr>
        <w:t>1700.</w:t>
      </w:r>
      <w:r>
        <w:rPr>
          <w:spacing w:val="-11"/>
        </w:rPr>
        <w:t> </w:t>
      </w:r>
      <w:r>
        <w:rPr>
          <w:spacing w:val="-2"/>
        </w:rPr>
        <w:t>Of </w:t>
      </w:r>
      <w:r>
        <w:rPr/>
        <w:t>these,</w:t>
      </w:r>
      <w:r>
        <w:rPr>
          <w:spacing w:val="-13"/>
        </w:rPr>
        <w:t> </w:t>
      </w:r>
      <w:r>
        <w:rPr/>
        <w:t>more</w:t>
      </w:r>
      <w:r>
        <w:rPr>
          <w:spacing w:val="-13"/>
        </w:rPr>
        <w:t> </w:t>
      </w:r>
      <w:r>
        <w:rPr/>
        <w:t>than</w:t>
      </w:r>
      <w:r>
        <w:rPr>
          <w:spacing w:val="-13"/>
        </w:rPr>
        <w:t> </w:t>
      </w:r>
      <w:r>
        <w:rPr/>
        <w:t>1000</w:t>
      </w:r>
      <w:r>
        <w:rPr>
          <w:spacing w:val="-13"/>
        </w:rPr>
        <w:t> </w:t>
      </w:r>
      <w:r>
        <w:rPr/>
        <w:t>were</w:t>
      </w:r>
      <w:r>
        <w:rPr>
          <w:spacing w:val="-14"/>
        </w:rPr>
        <w:t> </w:t>
      </w:r>
      <w:r>
        <w:rPr/>
        <w:t>added</w:t>
      </w:r>
      <w:r>
        <w:rPr>
          <w:spacing w:val="-13"/>
        </w:rPr>
        <w:t> </w:t>
      </w:r>
      <w:r>
        <w:rPr/>
        <w:t>after</w:t>
      </w:r>
      <w:r>
        <w:rPr>
          <w:spacing w:val="-13"/>
        </w:rPr>
        <w:t> </w:t>
      </w:r>
      <w:r>
        <w:rPr/>
        <w:t>the</w:t>
      </w:r>
      <w:r>
        <w:rPr>
          <w:spacing w:val="-13"/>
        </w:rPr>
        <w:t> </w:t>
      </w:r>
      <w:r>
        <w:rPr/>
        <w:t>year</w:t>
      </w:r>
      <w:r>
        <w:rPr>
          <w:spacing w:val="-13"/>
        </w:rPr>
        <w:t> </w:t>
      </w:r>
      <w:r>
        <w:rPr/>
        <w:t>2000. </w:t>
      </w:r>
      <w:r>
        <w:rPr>
          <w:spacing w:val="-6"/>
        </w:rPr>
        <w:t>This has been possible largely due to the entrepreneurial </w:t>
      </w:r>
      <w:r>
        <w:rPr/>
        <w:t>initiative of promoters, taking advantage of the ever increasing</w:t>
      </w:r>
      <w:r>
        <w:rPr>
          <w:spacing w:val="-3"/>
        </w:rPr>
        <w:t> </w:t>
      </w:r>
      <w:r>
        <w:rPr/>
        <w:t>demand</w:t>
      </w:r>
      <w:r>
        <w:rPr>
          <w:spacing w:val="-3"/>
        </w:rPr>
        <w:t> </w:t>
      </w:r>
      <w:r>
        <w:rPr/>
        <w:t>for</w:t>
      </w:r>
      <w:r>
        <w:rPr>
          <w:spacing w:val="-3"/>
        </w:rPr>
        <w:t> </w:t>
      </w:r>
      <w:r>
        <w:rPr/>
        <w:t>management</w:t>
      </w:r>
      <w:r>
        <w:rPr>
          <w:spacing w:val="-3"/>
        </w:rPr>
        <w:t> </w:t>
      </w:r>
      <w:r>
        <w:rPr/>
        <w:t>graduates,</w:t>
      </w:r>
      <w:r>
        <w:rPr>
          <w:spacing w:val="-3"/>
        </w:rPr>
        <w:t> </w:t>
      </w:r>
      <w:r>
        <w:rPr/>
        <w:t>hence </w:t>
      </w:r>
      <w:r>
        <w:rPr>
          <w:spacing w:val="-4"/>
        </w:rPr>
        <w:t>management</w:t>
      </w:r>
      <w:r>
        <w:rPr>
          <w:spacing w:val="-7"/>
        </w:rPr>
        <w:t> </w:t>
      </w:r>
      <w:r>
        <w:rPr>
          <w:spacing w:val="-4"/>
        </w:rPr>
        <w:t>education.</w:t>
      </w:r>
      <w:r>
        <w:rPr>
          <w:spacing w:val="-7"/>
        </w:rPr>
        <w:t> </w:t>
      </w:r>
      <w:r>
        <w:rPr>
          <w:spacing w:val="-4"/>
        </w:rPr>
        <w:t>Unfortunately,</w:t>
      </w:r>
      <w:r>
        <w:rPr>
          <w:spacing w:val="-7"/>
        </w:rPr>
        <w:t> </w:t>
      </w:r>
      <w:r>
        <w:rPr>
          <w:spacing w:val="-4"/>
        </w:rPr>
        <w:t>this</w:t>
      </w:r>
      <w:r>
        <w:rPr>
          <w:spacing w:val="-7"/>
        </w:rPr>
        <w:t> </w:t>
      </w:r>
      <w:r>
        <w:rPr>
          <w:spacing w:val="-4"/>
        </w:rPr>
        <w:t>has</w:t>
      </w:r>
      <w:r>
        <w:rPr>
          <w:spacing w:val="-7"/>
        </w:rPr>
        <w:t> </w:t>
      </w:r>
      <w:r>
        <w:rPr>
          <w:spacing w:val="-4"/>
        </w:rPr>
        <w:t>also</w:t>
      </w:r>
      <w:r>
        <w:rPr>
          <w:spacing w:val="-7"/>
        </w:rPr>
        <w:t> </w:t>
      </w:r>
      <w:r>
        <w:rPr>
          <w:spacing w:val="-4"/>
        </w:rPr>
        <w:t>led </w:t>
      </w:r>
      <w:r>
        <w:rPr/>
        <w:t>to an exploitative and commercial environment with quality</w:t>
      </w:r>
      <w:r>
        <w:rPr>
          <w:spacing w:val="-14"/>
        </w:rPr>
        <w:t> </w:t>
      </w:r>
      <w:r>
        <w:rPr/>
        <w:t>being</w:t>
      </w:r>
      <w:r>
        <w:rPr>
          <w:spacing w:val="-14"/>
        </w:rPr>
        <w:t> </w:t>
      </w:r>
      <w:r>
        <w:rPr/>
        <w:t>compromised.</w:t>
      </w:r>
      <w:r>
        <w:rPr>
          <w:spacing w:val="-14"/>
        </w:rPr>
        <w:t> </w:t>
      </w:r>
      <w:r>
        <w:rPr/>
        <w:t>Regulatory</w:t>
      </w:r>
      <w:r>
        <w:rPr>
          <w:spacing w:val="-13"/>
        </w:rPr>
        <w:t> </w:t>
      </w:r>
      <w:r>
        <w:rPr/>
        <w:t>focus</w:t>
      </w:r>
      <w:r>
        <w:rPr>
          <w:spacing w:val="-14"/>
        </w:rPr>
        <w:t> </w:t>
      </w:r>
      <w:r>
        <w:rPr/>
        <w:t>only</w:t>
      </w:r>
      <w:r>
        <w:rPr>
          <w:spacing w:val="-14"/>
        </w:rPr>
        <w:t> </w:t>
      </w:r>
      <w:r>
        <w:rPr/>
        <w:t>on physical</w:t>
      </w:r>
      <w:r>
        <w:rPr>
          <w:spacing w:val="-1"/>
        </w:rPr>
        <w:t> </w:t>
      </w:r>
      <w:r>
        <w:rPr/>
        <w:t>infrastructure</w:t>
      </w:r>
      <w:r>
        <w:rPr>
          <w:spacing w:val="-1"/>
        </w:rPr>
        <w:t> </w:t>
      </w:r>
      <w:r>
        <w:rPr/>
        <w:t>rather</w:t>
      </w:r>
      <w:r>
        <w:rPr>
          <w:spacing w:val="-1"/>
        </w:rPr>
        <w:t> </w:t>
      </w:r>
      <w:r>
        <w:rPr/>
        <w:t>than</w:t>
      </w:r>
      <w:r>
        <w:rPr>
          <w:spacing w:val="-1"/>
        </w:rPr>
        <w:t> </w:t>
      </w:r>
      <w:r>
        <w:rPr/>
        <w:t>research,</w:t>
      </w:r>
      <w:r>
        <w:rPr>
          <w:spacing w:val="-1"/>
        </w:rPr>
        <w:t> </w:t>
      </w:r>
      <w:r>
        <w:rPr/>
        <w:t>qualified </w:t>
      </w:r>
      <w:r>
        <w:rPr>
          <w:spacing w:val="-4"/>
        </w:rPr>
        <w:t>faculty</w:t>
      </w:r>
      <w:r>
        <w:rPr>
          <w:spacing w:val="-12"/>
        </w:rPr>
        <w:t> </w:t>
      </w:r>
      <w:r>
        <w:rPr>
          <w:spacing w:val="-4"/>
        </w:rPr>
        <w:t>and</w:t>
      </w:r>
      <w:r>
        <w:rPr>
          <w:spacing w:val="-10"/>
        </w:rPr>
        <w:t> </w:t>
      </w:r>
      <w:r>
        <w:rPr>
          <w:spacing w:val="-4"/>
        </w:rPr>
        <w:t>relevance</w:t>
      </w:r>
      <w:r>
        <w:rPr>
          <w:spacing w:val="-10"/>
        </w:rPr>
        <w:t> </w:t>
      </w:r>
      <w:r>
        <w:rPr>
          <w:spacing w:val="-4"/>
        </w:rPr>
        <w:t>of</w:t>
      </w:r>
      <w:r>
        <w:rPr>
          <w:spacing w:val="-9"/>
        </w:rPr>
        <w:t> </w:t>
      </w:r>
      <w:r>
        <w:rPr>
          <w:spacing w:val="-4"/>
        </w:rPr>
        <w:t>courses</w:t>
      </w:r>
      <w:r>
        <w:rPr>
          <w:spacing w:val="-10"/>
        </w:rPr>
        <w:t> </w:t>
      </w:r>
      <w:r>
        <w:rPr>
          <w:spacing w:val="-4"/>
        </w:rPr>
        <w:t>has</w:t>
      </w:r>
      <w:r>
        <w:rPr>
          <w:spacing w:val="-10"/>
        </w:rPr>
        <w:t> </w:t>
      </w:r>
      <w:r>
        <w:rPr>
          <w:spacing w:val="-4"/>
        </w:rPr>
        <w:t>created</w:t>
      </w:r>
      <w:r>
        <w:rPr>
          <w:spacing w:val="-10"/>
        </w:rPr>
        <w:t> </w:t>
      </w:r>
      <w:r>
        <w:rPr>
          <w:spacing w:val="-4"/>
        </w:rPr>
        <w:t>a</w:t>
      </w:r>
      <w:r>
        <w:rPr>
          <w:spacing w:val="-9"/>
        </w:rPr>
        <w:t> </w:t>
      </w:r>
      <w:r>
        <w:rPr>
          <w:spacing w:val="-4"/>
        </w:rPr>
        <w:t>mismatch </w:t>
      </w:r>
      <w:r>
        <w:rPr/>
        <w:t>between supply and demand.</w:t>
      </w:r>
    </w:p>
    <w:p>
      <w:pPr>
        <w:pStyle w:val="BodyText"/>
        <w:spacing w:before="16"/>
      </w:pPr>
    </w:p>
    <w:p>
      <w:pPr>
        <w:pStyle w:val="BodyText"/>
        <w:spacing w:line="266" w:lineRule="auto"/>
        <w:ind w:left="1080"/>
        <w:jc w:val="both"/>
      </w:pPr>
      <w:r>
        <w:rPr>
          <w:spacing w:val="-2"/>
        </w:rPr>
        <w:t>As</w:t>
      </w:r>
      <w:r>
        <w:rPr>
          <w:spacing w:val="-12"/>
        </w:rPr>
        <w:t> </w:t>
      </w:r>
      <w:r>
        <w:rPr>
          <w:spacing w:val="-2"/>
        </w:rPr>
        <w:t>a</w:t>
      </w:r>
      <w:r>
        <w:rPr>
          <w:spacing w:val="-12"/>
        </w:rPr>
        <w:t> </w:t>
      </w:r>
      <w:r>
        <w:rPr>
          <w:spacing w:val="-2"/>
        </w:rPr>
        <w:t>part</w:t>
      </w:r>
      <w:r>
        <w:rPr>
          <w:spacing w:val="-12"/>
        </w:rPr>
        <w:t> </w:t>
      </w:r>
      <w:r>
        <w:rPr>
          <w:spacing w:val="-2"/>
        </w:rPr>
        <w:t>of</w:t>
      </w:r>
      <w:r>
        <w:rPr>
          <w:spacing w:val="-11"/>
        </w:rPr>
        <w:t> </w:t>
      </w:r>
      <w:r>
        <w:rPr>
          <w:spacing w:val="-2"/>
        </w:rPr>
        <w:t>its</w:t>
      </w:r>
      <w:r>
        <w:rPr>
          <w:spacing w:val="-12"/>
        </w:rPr>
        <w:t> </w:t>
      </w:r>
      <w:r>
        <w:rPr>
          <w:spacing w:val="-2"/>
        </w:rPr>
        <w:t>consultative</w:t>
      </w:r>
      <w:r>
        <w:rPr>
          <w:spacing w:val="-12"/>
        </w:rPr>
        <w:t> </w:t>
      </w:r>
      <w:r>
        <w:rPr>
          <w:spacing w:val="-2"/>
        </w:rPr>
        <w:t>process,</w:t>
      </w:r>
      <w:r>
        <w:rPr>
          <w:spacing w:val="-12"/>
        </w:rPr>
        <w:t> </w:t>
      </w:r>
      <w:r>
        <w:rPr>
          <w:spacing w:val="-2"/>
        </w:rPr>
        <w:t>NKC</w:t>
      </w:r>
      <w:r>
        <w:rPr>
          <w:spacing w:val="-11"/>
        </w:rPr>
        <w:t> </w:t>
      </w:r>
      <w:r>
        <w:rPr>
          <w:spacing w:val="-2"/>
        </w:rPr>
        <w:t>constituted</w:t>
      </w:r>
      <w:r>
        <w:rPr>
          <w:spacing w:val="-12"/>
        </w:rPr>
        <w:t> </w:t>
      </w:r>
      <w:r>
        <w:rPr>
          <w:spacing w:val="-2"/>
        </w:rPr>
        <w:t>a Working</w:t>
      </w:r>
      <w:r>
        <w:rPr>
          <w:spacing w:val="-12"/>
        </w:rPr>
        <w:t> </w:t>
      </w:r>
      <w:r>
        <w:rPr>
          <w:spacing w:val="-2"/>
        </w:rPr>
        <w:t>Group</w:t>
      </w:r>
      <w:r>
        <w:rPr>
          <w:spacing w:val="-12"/>
        </w:rPr>
        <w:t> </w:t>
      </w:r>
      <w:r>
        <w:rPr>
          <w:spacing w:val="-2"/>
        </w:rPr>
        <w:t>of</w:t>
      </w:r>
      <w:r>
        <w:rPr>
          <w:spacing w:val="-12"/>
        </w:rPr>
        <w:t> </w:t>
      </w:r>
      <w:r>
        <w:rPr>
          <w:spacing w:val="-2"/>
        </w:rPr>
        <w:t>experts</w:t>
      </w:r>
      <w:r>
        <w:rPr>
          <w:spacing w:val="-11"/>
        </w:rPr>
        <w:t> </w:t>
      </w:r>
      <w:r>
        <w:rPr>
          <w:spacing w:val="-2"/>
        </w:rPr>
        <w:t>from</w:t>
      </w:r>
      <w:r>
        <w:rPr>
          <w:spacing w:val="-12"/>
        </w:rPr>
        <w:t> </w:t>
      </w:r>
      <w:r>
        <w:rPr>
          <w:spacing w:val="-2"/>
        </w:rPr>
        <w:t>academia</w:t>
      </w:r>
      <w:r>
        <w:rPr>
          <w:spacing w:val="-12"/>
        </w:rPr>
        <w:t> </w:t>
      </w:r>
      <w:r>
        <w:rPr>
          <w:spacing w:val="-2"/>
        </w:rPr>
        <w:t>and</w:t>
      </w:r>
      <w:r>
        <w:rPr>
          <w:spacing w:val="-12"/>
        </w:rPr>
        <w:t> </w:t>
      </w:r>
      <w:r>
        <w:rPr>
          <w:spacing w:val="-2"/>
        </w:rPr>
        <w:t>industry </w:t>
      </w:r>
      <w:r>
        <w:rPr/>
        <w:t>under the chairmanship of Mr. P.M. Sinha. Based on the Working Group’s inputs and consultations with </w:t>
      </w:r>
      <w:r>
        <w:rPr>
          <w:spacing w:val="-8"/>
        </w:rPr>
        <w:t>concerned</w:t>
      </w:r>
      <w:r>
        <w:rPr/>
        <w:t> </w:t>
      </w:r>
      <w:r>
        <w:rPr>
          <w:spacing w:val="-8"/>
        </w:rPr>
        <w:t>stakeholders,</w:t>
      </w:r>
      <w:r>
        <w:rPr/>
        <w:t> </w:t>
      </w:r>
      <w:r>
        <w:rPr>
          <w:spacing w:val="-8"/>
        </w:rPr>
        <w:t>NKC</w:t>
      </w:r>
      <w:r>
        <w:rPr/>
        <w:t> </w:t>
      </w:r>
      <w:r>
        <w:rPr>
          <w:spacing w:val="-8"/>
        </w:rPr>
        <w:t>proposed</w:t>
      </w:r>
      <w:r>
        <w:rPr/>
        <w:t> </w:t>
      </w:r>
      <w:r>
        <w:rPr>
          <w:spacing w:val="-8"/>
        </w:rPr>
        <w:t>the</w:t>
      </w:r>
      <w:r>
        <w:rPr/>
        <w:t> </w:t>
      </w:r>
      <w:r>
        <w:rPr>
          <w:spacing w:val="-8"/>
        </w:rPr>
        <w:t>following</w:t>
      </w:r>
      <w:r>
        <w:rPr/>
        <w:t> </w:t>
      </w:r>
      <w:r>
        <w:rPr>
          <w:spacing w:val="-8"/>
        </w:rPr>
        <w:t>set </w:t>
      </w:r>
      <w:r>
        <w:rPr/>
        <w:t>of</w:t>
      </w:r>
      <w:r>
        <w:rPr>
          <w:spacing w:val="-4"/>
        </w:rPr>
        <w:t> </w:t>
      </w:r>
      <w:r>
        <w:rPr/>
        <w:t>initiatives:</w:t>
      </w:r>
    </w:p>
    <w:p>
      <w:pPr>
        <w:pStyle w:val="Heading6"/>
        <w:numPr>
          <w:ilvl w:val="3"/>
          <w:numId w:val="26"/>
        </w:numPr>
        <w:tabs>
          <w:tab w:pos="1384" w:val="left" w:leader="none"/>
        </w:tabs>
        <w:spacing w:line="240" w:lineRule="auto" w:before="182" w:after="0"/>
        <w:ind w:left="1384" w:right="0" w:hanging="305"/>
        <w:jc w:val="left"/>
      </w:pPr>
      <w:r>
        <w:rPr>
          <w:color w:val="2E614A"/>
          <w:spacing w:val="-2"/>
          <w:w w:val="90"/>
        </w:rPr>
        <w:t>New</w:t>
      </w:r>
      <w:r>
        <w:rPr>
          <w:color w:val="2E614A"/>
          <w:spacing w:val="-5"/>
          <w:w w:val="90"/>
        </w:rPr>
        <w:t> </w:t>
      </w:r>
      <w:r>
        <w:rPr>
          <w:color w:val="2E614A"/>
          <w:spacing w:val="-2"/>
          <w:w w:val="90"/>
        </w:rPr>
        <w:t>Regulatory</w:t>
      </w:r>
      <w:r>
        <w:rPr>
          <w:color w:val="2E614A"/>
          <w:spacing w:val="-4"/>
          <w:w w:val="90"/>
        </w:rPr>
        <w:t> </w:t>
      </w:r>
      <w:r>
        <w:rPr>
          <w:color w:val="2E614A"/>
          <w:spacing w:val="-2"/>
          <w:w w:val="90"/>
        </w:rPr>
        <w:t>Framework</w:t>
      </w:r>
    </w:p>
    <w:p>
      <w:pPr>
        <w:pStyle w:val="BodyText"/>
        <w:spacing w:line="266" w:lineRule="auto" w:before="285"/>
        <w:ind w:left="1079"/>
        <w:jc w:val="both"/>
      </w:pPr>
      <w:r>
        <w:rPr/>
        <w:t>NKC advocates good governance rather than </w:t>
      </w:r>
      <w:r>
        <w:rPr/>
        <w:t>the prevalent</w:t>
      </w:r>
      <w:r>
        <w:rPr>
          <w:spacing w:val="-11"/>
        </w:rPr>
        <w:t> </w:t>
      </w:r>
      <w:r>
        <w:rPr/>
        <w:t>system</w:t>
      </w:r>
      <w:r>
        <w:rPr>
          <w:spacing w:val="-11"/>
        </w:rPr>
        <w:t> </w:t>
      </w:r>
      <w:r>
        <w:rPr/>
        <w:t>of</w:t>
      </w:r>
      <w:r>
        <w:rPr>
          <w:spacing w:val="-11"/>
        </w:rPr>
        <w:t> </w:t>
      </w:r>
      <w:r>
        <w:rPr/>
        <w:t>a</w:t>
      </w:r>
      <w:r>
        <w:rPr>
          <w:spacing w:val="-11"/>
        </w:rPr>
        <w:t> </w:t>
      </w:r>
      <w:r>
        <w:rPr/>
        <w:t>prior</w:t>
      </w:r>
      <w:r>
        <w:rPr>
          <w:spacing w:val="-11"/>
        </w:rPr>
        <w:t> </w:t>
      </w:r>
      <w:r>
        <w:rPr/>
        <w:t>control</w:t>
      </w:r>
      <w:r>
        <w:rPr>
          <w:spacing w:val="-11"/>
        </w:rPr>
        <w:t> </w:t>
      </w:r>
      <w:r>
        <w:rPr/>
        <w:t>being</w:t>
      </w:r>
      <w:r>
        <w:rPr>
          <w:spacing w:val="-11"/>
        </w:rPr>
        <w:t> </w:t>
      </w:r>
      <w:r>
        <w:rPr/>
        <w:t>exercised</w:t>
      </w:r>
      <w:r>
        <w:rPr>
          <w:spacing w:val="-11"/>
        </w:rPr>
        <w:t> </w:t>
      </w:r>
      <w:r>
        <w:rPr/>
        <w:t>by AICTE in this sphere.</w:t>
      </w:r>
      <w:r>
        <w:rPr>
          <w:spacing w:val="-2"/>
        </w:rPr>
        <w:t> </w:t>
      </w:r>
      <w:r>
        <w:rPr/>
        <w:t>The current regulatory regime focuses on punitive actions rather than on nurturing institutions. NKC proposes that an autonomous Standing Committee for Management Education be </w:t>
      </w:r>
      <w:r>
        <w:rPr>
          <w:spacing w:val="-2"/>
        </w:rPr>
        <w:t>set</w:t>
      </w:r>
      <w:r>
        <w:rPr>
          <w:spacing w:val="-8"/>
        </w:rPr>
        <w:t> </w:t>
      </w:r>
      <w:r>
        <w:rPr>
          <w:spacing w:val="-2"/>
        </w:rPr>
        <w:t>up</w:t>
      </w:r>
      <w:r>
        <w:rPr>
          <w:spacing w:val="-8"/>
        </w:rPr>
        <w:t> </w:t>
      </w:r>
      <w:r>
        <w:rPr>
          <w:spacing w:val="-2"/>
        </w:rPr>
        <w:t>under</w:t>
      </w:r>
      <w:r>
        <w:rPr>
          <w:spacing w:val="-8"/>
        </w:rPr>
        <w:t> </w:t>
      </w:r>
      <w:r>
        <w:rPr>
          <w:spacing w:val="-2"/>
        </w:rPr>
        <w:t>the</w:t>
      </w:r>
      <w:r>
        <w:rPr>
          <w:spacing w:val="-8"/>
        </w:rPr>
        <w:t> </w:t>
      </w:r>
      <w:r>
        <w:rPr>
          <w:spacing w:val="-2"/>
        </w:rPr>
        <w:t>Independent</w:t>
      </w:r>
      <w:r>
        <w:rPr>
          <w:spacing w:val="-8"/>
        </w:rPr>
        <w:t> </w:t>
      </w:r>
      <w:r>
        <w:rPr>
          <w:spacing w:val="-2"/>
        </w:rPr>
        <w:t>Regulatory</w:t>
      </w:r>
      <w:r>
        <w:rPr>
          <w:spacing w:val="-8"/>
        </w:rPr>
        <w:t> </w:t>
      </w:r>
      <w:r>
        <w:rPr>
          <w:spacing w:val="-2"/>
        </w:rPr>
        <w:t>Authority</w:t>
      </w:r>
      <w:r>
        <w:rPr>
          <w:spacing w:val="-8"/>
        </w:rPr>
        <w:t> </w:t>
      </w:r>
      <w:r>
        <w:rPr>
          <w:spacing w:val="-2"/>
        </w:rPr>
        <w:t>for </w:t>
      </w:r>
      <w:r>
        <w:rPr/>
        <w:t>Higher Education. Its main role would be to exercise due diligence at the point it approves a license to grant degrees/diplomas. In doing so, it would assess the</w:t>
      </w:r>
      <w:r>
        <w:rPr>
          <w:spacing w:val="-1"/>
        </w:rPr>
        <w:t> </w:t>
      </w:r>
      <w:r>
        <w:rPr/>
        <w:t>academic</w:t>
      </w:r>
      <w:r>
        <w:rPr>
          <w:spacing w:val="-1"/>
        </w:rPr>
        <w:t> </w:t>
      </w:r>
      <w:r>
        <w:rPr/>
        <w:t>credibility</w:t>
      </w:r>
      <w:r>
        <w:rPr>
          <w:spacing w:val="-1"/>
        </w:rPr>
        <w:t> </w:t>
      </w:r>
      <w:r>
        <w:rPr/>
        <w:t>and</w:t>
      </w:r>
      <w:r>
        <w:rPr>
          <w:spacing w:val="-1"/>
        </w:rPr>
        <w:t> </w:t>
      </w:r>
      <w:r>
        <w:rPr/>
        <w:t>the</w:t>
      </w:r>
      <w:r>
        <w:rPr>
          <w:spacing w:val="-1"/>
        </w:rPr>
        <w:t> </w:t>
      </w:r>
      <w:r>
        <w:rPr/>
        <w:t>financial</w:t>
      </w:r>
      <w:r>
        <w:rPr>
          <w:spacing w:val="-1"/>
        </w:rPr>
        <w:t> </w:t>
      </w:r>
      <w:r>
        <w:rPr/>
        <w:t>viability</w:t>
      </w:r>
      <w:r>
        <w:rPr>
          <w:spacing w:val="-1"/>
        </w:rPr>
        <w:t> </w:t>
      </w:r>
      <w:r>
        <w:rPr/>
        <w:t>of the proposed institution on the basis of information submitted</w:t>
      </w:r>
      <w:r>
        <w:rPr>
          <w:spacing w:val="-13"/>
        </w:rPr>
        <w:t> </w:t>
      </w:r>
      <w:r>
        <w:rPr/>
        <w:t>in</w:t>
      </w:r>
      <w:r>
        <w:rPr>
          <w:spacing w:val="-13"/>
        </w:rPr>
        <w:t> </w:t>
      </w:r>
      <w:r>
        <w:rPr/>
        <w:t>accordance</w:t>
      </w:r>
      <w:r>
        <w:rPr>
          <w:spacing w:val="-13"/>
        </w:rPr>
        <w:t> </w:t>
      </w:r>
      <w:r>
        <w:rPr/>
        <w:t>with</w:t>
      </w:r>
      <w:r>
        <w:rPr>
          <w:spacing w:val="-13"/>
        </w:rPr>
        <w:t> </w:t>
      </w:r>
      <w:r>
        <w:rPr/>
        <w:t>the</w:t>
      </w:r>
      <w:r>
        <w:rPr>
          <w:spacing w:val="-13"/>
        </w:rPr>
        <w:t> </w:t>
      </w:r>
      <w:r>
        <w:rPr/>
        <w:t>stipulated</w:t>
      </w:r>
      <w:r>
        <w:rPr>
          <w:spacing w:val="-13"/>
        </w:rPr>
        <w:t> </w:t>
      </w:r>
      <w:r>
        <w:rPr/>
        <w:t>criteria.</w:t>
      </w:r>
      <w:r>
        <w:rPr>
          <w:spacing w:val="-13"/>
        </w:rPr>
        <w:t> </w:t>
      </w:r>
      <w:r>
        <w:rPr/>
        <w:t>It </w:t>
      </w:r>
      <w:r>
        <w:rPr>
          <w:spacing w:val="-2"/>
        </w:rPr>
        <w:t>will</w:t>
      </w:r>
      <w:r>
        <w:rPr>
          <w:spacing w:val="-12"/>
        </w:rPr>
        <w:t> </w:t>
      </w:r>
      <w:r>
        <w:rPr>
          <w:spacing w:val="-2"/>
        </w:rPr>
        <w:t>apply</w:t>
      </w:r>
      <w:r>
        <w:rPr>
          <w:spacing w:val="-12"/>
        </w:rPr>
        <w:t> </w:t>
      </w:r>
      <w:r>
        <w:rPr>
          <w:spacing w:val="-2"/>
        </w:rPr>
        <w:t>exactly</w:t>
      </w:r>
      <w:r>
        <w:rPr>
          <w:spacing w:val="-12"/>
        </w:rPr>
        <w:t> </w:t>
      </w:r>
      <w:r>
        <w:rPr>
          <w:spacing w:val="-2"/>
        </w:rPr>
        <w:t>the</w:t>
      </w:r>
      <w:r>
        <w:rPr>
          <w:spacing w:val="-11"/>
        </w:rPr>
        <w:t> </w:t>
      </w:r>
      <w:r>
        <w:rPr>
          <w:spacing w:val="-2"/>
        </w:rPr>
        <w:t>same</w:t>
      </w:r>
      <w:r>
        <w:rPr>
          <w:spacing w:val="-12"/>
        </w:rPr>
        <w:t> </w:t>
      </w:r>
      <w:r>
        <w:rPr>
          <w:spacing w:val="-2"/>
        </w:rPr>
        <w:t>norms</w:t>
      </w:r>
      <w:r>
        <w:rPr>
          <w:spacing w:val="-12"/>
        </w:rPr>
        <w:t> </w:t>
      </w:r>
      <w:r>
        <w:rPr>
          <w:spacing w:val="-2"/>
        </w:rPr>
        <w:t>to</w:t>
      </w:r>
      <w:r>
        <w:rPr>
          <w:spacing w:val="-12"/>
        </w:rPr>
        <w:t> </w:t>
      </w:r>
      <w:r>
        <w:rPr>
          <w:spacing w:val="-2"/>
        </w:rPr>
        <w:t>public</w:t>
      </w:r>
      <w:r>
        <w:rPr>
          <w:spacing w:val="-11"/>
        </w:rPr>
        <w:t> </w:t>
      </w:r>
      <w:r>
        <w:rPr>
          <w:spacing w:val="-2"/>
        </w:rPr>
        <w:t>and</w:t>
      </w:r>
      <w:r>
        <w:rPr>
          <w:spacing w:val="-12"/>
        </w:rPr>
        <w:t> </w:t>
      </w:r>
      <w:r>
        <w:rPr>
          <w:spacing w:val="-2"/>
        </w:rPr>
        <w:t>private </w:t>
      </w:r>
      <w:r>
        <w:rPr/>
        <w:t>institutions, just as it will apply the same norms to domestic</w:t>
      </w:r>
      <w:r>
        <w:rPr>
          <w:spacing w:val="26"/>
        </w:rPr>
        <w:t> </w:t>
      </w:r>
      <w:r>
        <w:rPr/>
        <w:t>and</w:t>
      </w:r>
      <w:r>
        <w:rPr>
          <w:spacing w:val="27"/>
        </w:rPr>
        <w:t> </w:t>
      </w:r>
      <w:r>
        <w:rPr/>
        <w:t>international</w:t>
      </w:r>
      <w:r>
        <w:rPr>
          <w:spacing w:val="27"/>
        </w:rPr>
        <w:t> </w:t>
      </w:r>
      <w:r>
        <w:rPr/>
        <w:t>institutions.</w:t>
      </w:r>
      <w:r>
        <w:rPr>
          <w:spacing w:val="27"/>
        </w:rPr>
        <w:t> </w:t>
      </w:r>
      <w:r>
        <w:rPr/>
        <w:t>It</w:t>
      </w:r>
      <w:r>
        <w:rPr>
          <w:spacing w:val="27"/>
        </w:rPr>
        <w:t> </w:t>
      </w:r>
      <w:r>
        <w:rPr/>
        <w:t>would,</w:t>
      </w:r>
      <w:r>
        <w:rPr>
          <w:spacing w:val="26"/>
        </w:rPr>
        <w:t> </w:t>
      </w:r>
      <w:r>
        <w:rPr>
          <w:spacing w:val="-5"/>
        </w:rPr>
        <w:t>in</w:t>
      </w:r>
    </w:p>
    <w:p>
      <w:pPr>
        <w:pStyle w:val="BodyText"/>
        <w:spacing w:line="266" w:lineRule="auto" w:before="82"/>
        <w:ind w:left="319" w:right="1077"/>
        <w:jc w:val="both"/>
      </w:pPr>
      <w:r>
        <w:rPr/>
        <w:br w:type="column"/>
      </w:r>
      <w:r>
        <w:rPr>
          <w:spacing w:val="-2"/>
        </w:rPr>
        <w:t>addition,</w:t>
      </w:r>
      <w:r>
        <w:rPr>
          <w:spacing w:val="-7"/>
        </w:rPr>
        <w:t> </w:t>
      </w:r>
      <w:r>
        <w:rPr>
          <w:spacing w:val="-2"/>
        </w:rPr>
        <w:t>license</w:t>
      </w:r>
      <w:r>
        <w:rPr>
          <w:spacing w:val="-7"/>
        </w:rPr>
        <w:t> </w:t>
      </w:r>
      <w:r>
        <w:rPr>
          <w:spacing w:val="-2"/>
        </w:rPr>
        <w:t>agencies</w:t>
      </w:r>
      <w:r>
        <w:rPr>
          <w:spacing w:val="-7"/>
        </w:rPr>
        <w:t> </w:t>
      </w:r>
      <w:r>
        <w:rPr>
          <w:spacing w:val="-2"/>
        </w:rPr>
        <w:t>to</w:t>
      </w:r>
      <w:r>
        <w:rPr>
          <w:spacing w:val="-7"/>
        </w:rPr>
        <w:t> </w:t>
      </w:r>
      <w:r>
        <w:rPr>
          <w:spacing w:val="-2"/>
        </w:rPr>
        <w:t>take</w:t>
      </w:r>
      <w:r>
        <w:rPr>
          <w:spacing w:val="-7"/>
        </w:rPr>
        <w:t> </w:t>
      </w:r>
      <w:r>
        <w:rPr>
          <w:spacing w:val="-2"/>
        </w:rPr>
        <w:t>care</w:t>
      </w:r>
      <w:r>
        <w:rPr>
          <w:spacing w:val="-7"/>
        </w:rPr>
        <w:t> </w:t>
      </w:r>
      <w:r>
        <w:rPr>
          <w:spacing w:val="-2"/>
        </w:rPr>
        <w:t>of</w:t>
      </w:r>
      <w:r>
        <w:rPr>
          <w:spacing w:val="-7"/>
        </w:rPr>
        <w:t> </w:t>
      </w:r>
      <w:r>
        <w:rPr>
          <w:spacing w:val="-2"/>
        </w:rPr>
        <w:t>accreditation. </w:t>
      </w:r>
      <w:r>
        <w:rPr/>
        <w:t>Other</w:t>
      </w:r>
      <w:r>
        <w:rPr>
          <w:spacing w:val="-10"/>
        </w:rPr>
        <w:t> </w:t>
      </w:r>
      <w:r>
        <w:rPr/>
        <w:t>responsibilities</w:t>
      </w:r>
      <w:r>
        <w:rPr>
          <w:spacing w:val="-10"/>
        </w:rPr>
        <w:t> </w:t>
      </w:r>
      <w:r>
        <w:rPr/>
        <w:t>of</w:t>
      </w:r>
      <w:r>
        <w:rPr>
          <w:spacing w:val="-10"/>
        </w:rPr>
        <w:t> </w:t>
      </w:r>
      <w:r>
        <w:rPr/>
        <w:t>the</w:t>
      </w:r>
      <w:r>
        <w:rPr>
          <w:spacing w:val="-10"/>
        </w:rPr>
        <w:t> </w:t>
      </w:r>
      <w:r>
        <w:rPr/>
        <w:t>Standing</w:t>
      </w:r>
      <w:r>
        <w:rPr>
          <w:spacing w:val="-10"/>
        </w:rPr>
        <w:t> </w:t>
      </w:r>
      <w:r>
        <w:rPr/>
        <w:t>Committee</w:t>
      </w:r>
      <w:r>
        <w:rPr>
          <w:spacing w:val="-10"/>
        </w:rPr>
        <w:t> </w:t>
      </w:r>
      <w:r>
        <w:rPr/>
        <w:t>will be to collate as well as communicate information on Management</w:t>
      </w:r>
      <w:r>
        <w:rPr>
          <w:spacing w:val="-7"/>
        </w:rPr>
        <w:t> </w:t>
      </w:r>
      <w:r>
        <w:rPr/>
        <w:t>Educational</w:t>
      </w:r>
      <w:r>
        <w:rPr>
          <w:spacing w:val="-7"/>
        </w:rPr>
        <w:t> </w:t>
      </w:r>
      <w:r>
        <w:rPr/>
        <w:t>Entities</w:t>
      </w:r>
      <w:r>
        <w:rPr>
          <w:spacing w:val="-7"/>
        </w:rPr>
        <w:t> </w:t>
      </w:r>
      <w:r>
        <w:rPr/>
        <w:t>(MEEs)</w:t>
      </w:r>
      <w:r>
        <w:rPr>
          <w:position w:val="7"/>
          <w:sz w:val="13"/>
        </w:rPr>
        <w:t>1</w:t>
      </w:r>
      <w:r>
        <w:rPr/>
        <w:t>;</w:t>
      </w:r>
      <w:r>
        <w:rPr>
          <w:spacing w:val="-7"/>
        </w:rPr>
        <w:t> </w:t>
      </w:r>
      <w:r>
        <w:rPr/>
        <w:t>set</w:t>
      </w:r>
      <w:r>
        <w:rPr>
          <w:spacing w:val="-7"/>
        </w:rPr>
        <w:t> </w:t>
      </w:r>
      <w:r>
        <w:rPr/>
        <w:t>up</w:t>
      </w:r>
      <w:r>
        <w:rPr>
          <w:spacing w:val="-7"/>
        </w:rPr>
        <w:t> </w:t>
      </w:r>
      <w:r>
        <w:rPr/>
        <w:t>an </w:t>
      </w:r>
      <w:r>
        <w:rPr>
          <w:spacing w:val="-2"/>
        </w:rPr>
        <w:t>information exchange; conduct demand forecasting of managerial</w:t>
      </w:r>
      <w:r>
        <w:rPr>
          <w:spacing w:val="-11"/>
        </w:rPr>
        <w:t> </w:t>
      </w:r>
      <w:r>
        <w:rPr>
          <w:spacing w:val="-2"/>
        </w:rPr>
        <w:t>manpower</w:t>
      </w:r>
      <w:r>
        <w:rPr>
          <w:spacing w:val="-11"/>
        </w:rPr>
        <w:t> </w:t>
      </w:r>
      <w:r>
        <w:rPr>
          <w:spacing w:val="-2"/>
        </w:rPr>
        <w:t>and</w:t>
      </w:r>
      <w:r>
        <w:rPr>
          <w:spacing w:val="-11"/>
        </w:rPr>
        <w:t> </w:t>
      </w:r>
      <w:r>
        <w:rPr>
          <w:spacing w:val="-2"/>
        </w:rPr>
        <w:t>develop</w:t>
      </w:r>
      <w:r>
        <w:rPr>
          <w:spacing w:val="-11"/>
        </w:rPr>
        <w:t> </w:t>
      </w:r>
      <w:r>
        <w:rPr>
          <w:spacing w:val="-2"/>
        </w:rPr>
        <w:t>and</w:t>
      </w:r>
      <w:r>
        <w:rPr>
          <w:spacing w:val="-11"/>
        </w:rPr>
        <w:t> </w:t>
      </w:r>
      <w:r>
        <w:rPr>
          <w:spacing w:val="-2"/>
        </w:rPr>
        <w:t>maintain</w:t>
      </w:r>
      <w:r>
        <w:rPr>
          <w:spacing w:val="-11"/>
        </w:rPr>
        <w:t> </w:t>
      </w:r>
      <w:r>
        <w:rPr>
          <w:spacing w:val="-2"/>
        </w:rPr>
        <w:t>a</w:t>
      </w:r>
      <w:r>
        <w:rPr>
          <w:spacing w:val="-11"/>
        </w:rPr>
        <w:t> </w:t>
      </w:r>
      <w:r>
        <w:rPr>
          <w:spacing w:val="-2"/>
        </w:rPr>
        <w:t>low </w:t>
      </w:r>
      <w:r>
        <w:rPr/>
        <w:t>cost e-monitoring system.</w:t>
      </w:r>
    </w:p>
    <w:p>
      <w:pPr>
        <w:pStyle w:val="Heading6"/>
        <w:numPr>
          <w:ilvl w:val="3"/>
          <w:numId w:val="26"/>
        </w:numPr>
        <w:tabs>
          <w:tab w:pos="644" w:val="left" w:leader="none"/>
        </w:tabs>
        <w:spacing w:line="240" w:lineRule="auto" w:before="181" w:after="0"/>
        <w:ind w:left="644" w:right="0" w:hanging="325"/>
        <w:jc w:val="left"/>
      </w:pPr>
      <w:r>
        <w:rPr>
          <w:color w:val="2E614A"/>
          <w:w w:val="90"/>
        </w:rPr>
        <w:t>Grading</w:t>
      </w:r>
      <w:r>
        <w:rPr>
          <w:color w:val="2E614A"/>
          <w:spacing w:val="-4"/>
        </w:rPr>
        <w:t> </w:t>
      </w:r>
      <w:r>
        <w:rPr>
          <w:color w:val="2E614A"/>
          <w:spacing w:val="-2"/>
        </w:rPr>
        <w:t>Institutions</w:t>
      </w:r>
    </w:p>
    <w:p>
      <w:pPr>
        <w:pStyle w:val="BodyText"/>
        <w:spacing w:line="266" w:lineRule="auto" w:before="286"/>
        <w:ind w:left="319" w:right="1077"/>
        <w:jc w:val="both"/>
      </w:pPr>
      <w:r>
        <w:rPr/>
        <w:t>The</w:t>
      </w:r>
      <w:r>
        <w:rPr>
          <w:spacing w:val="-14"/>
        </w:rPr>
        <w:t> </w:t>
      </w:r>
      <w:r>
        <w:rPr/>
        <w:t>Standing</w:t>
      </w:r>
      <w:r>
        <w:rPr>
          <w:spacing w:val="-14"/>
        </w:rPr>
        <w:t> </w:t>
      </w:r>
      <w:r>
        <w:rPr/>
        <w:t>Committee</w:t>
      </w:r>
      <w:r>
        <w:rPr>
          <w:spacing w:val="-14"/>
        </w:rPr>
        <w:t> </w:t>
      </w:r>
      <w:r>
        <w:rPr/>
        <w:t>will</w:t>
      </w:r>
      <w:r>
        <w:rPr>
          <w:spacing w:val="-13"/>
        </w:rPr>
        <w:t> </w:t>
      </w:r>
      <w:r>
        <w:rPr/>
        <w:t>stipulate</w:t>
      </w:r>
      <w:r>
        <w:rPr>
          <w:spacing w:val="-14"/>
        </w:rPr>
        <w:t> </w:t>
      </w:r>
      <w:r>
        <w:rPr/>
        <w:t>grading</w:t>
      </w:r>
      <w:r>
        <w:rPr>
          <w:spacing w:val="-14"/>
        </w:rPr>
        <w:t> </w:t>
      </w:r>
      <w:r>
        <w:rPr/>
        <w:t>norms and nominate independent rating agencies to assess and categorise MEEs. Mushrooming private MEEs necessitate</w:t>
      </w:r>
      <w:r>
        <w:rPr>
          <w:spacing w:val="-6"/>
        </w:rPr>
        <w:t> </w:t>
      </w:r>
      <w:r>
        <w:rPr/>
        <w:t>a</w:t>
      </w:r>
      <w:r>
        <w:rPr>
          <w:spacing w:val="-6"/>
        </w:rPr>
        <w:t> </w:t>
      </w:r>
      <w:r>
        <w:rPr/>
        <w:t>reliable</w:t>
      </w:r>
      <w:r>
        <w:rPr>
          <w:spacing w:val="-6"/>
        </w:rPr>
        <w:t> </w:t>
      </w:r>
      <w:r>
        <w:rPr/>
        <w:t>rating</w:t>
      </w:r>
      <w:r>
        <w:rPr>
          <w:spacing w:val="-6"/>
        </w:rPr>
        <w:t> </w:t>
      </w:r>
      <w:r>
        <w:rPr/>
        <w:t>system</w:t>
      </w:r>
      <w:r>
        <w:rPr>
          <w:spacing w:val="-6"/>
        </w:rPr>
        <w:t> </w:t>
      </w:r>
      <w:r>
        <w:rPr/>
        <w:t>to</w:t>
      </w:r>
      <w:r>
        <w:rPr>
          <w:spacing w:val="-6"/>
        </w:rPr>
        <w:t> </w:t>
      </w:r>
      <w:r>
        <w:rPr/>
        <w:t>help</w:t>
      </w:r>
      <w:r>
        <w:rPr>
          <w:spacing w:val="-6"/>
        </w:rPr>
        <w:t> </w:t>
      </w:r>
      <w:r>
        <w:rPr/>
        <w:t>the</w:t>
      </w:r>
      <w:r>
        <w:rPr>
          <w:spacing w:val="-6"/>
        </w:rPr>
        <w:t> </w:t>
      </w:r>
      <w:r>
        <w:rPr/>
        <w:t>market function better, enabling students and employers to compare different MEEs. Hence, a two stage rating process is recommended. In the first stage, rating </w:t>
      </w:r>
      <w:r>
        <w:rPr>
          <w:spacing w:val="-6"/>
        </w:rPr>
        <w:t>covering</w:t>
      </w:r>
      <w:r>
        <w:rPr>
          <w:spacing w:val="-8"/>
        </w:rPr>
        <w:t> </w:t>
      </w:r>
      <w:r>
        <w:rPr>
          <w:spacing w:val="-6"/>
        </w:rPr>
        <w:t>infrastructure</w:t>
      </w:r>
      <w:r>
        <w:rPr>
          <w:spacing w:val="-8"/>
        </w:rPr>
        <w:t> </w:t>
      </w:r>
      <w:r>
        <w:rPr>
          <w:spacing w:val="-6"/>
        </w:rPr>
        <w:t>may</w:t>
      </w:r>
      <w:r>
        <w:rPr>
          <w:spacing w:val="-8"/>
        </w:rPr>
        <w:t> </w:t>
      </w:r>
      <w:r>
        <w:rPr>
          <w:spacing w:val="-6"/>
        </w:rPr>
        <w:t>be</w:t>
      </w:r>
      <w:r>
        <w:rPr>
          <w:spacing w:val="-7"/>
        </w:rPr>
        <w:t> </w:t>
      </w:r>
      <w:r>
        <w:rPr>
          <w:spacing w:val="-6"/>
        </w:rPr>
        <w:t>mandated</w:t>
      </w:r>
      <w:r>
        <w:rPr>
          <w:spacing w:val="-8"/>
        </w:rPr>
        <w:t> </w:t>
      </w:r>
      <w:r>
        <w:rPr>
          <w:spacing w:val="-6"/>
        </w:rPr>
        <w:t>before</w:t>
      </w:r>
      <w:r>
        <w:rPr>
          <w:spacing w:val="-8"/>
        </w:rPr>
        <w:t> </w:t>
      </w:r>
      <w:r>
        <w:rPr>
          <w:spacing w:val="-6"/>
        </w:rPr>
        <w:t>an</w:t>
      </w:r>
      <w:r>
        <w:rPr>
          <w:spacing w:val="-8"/>
        </w:rPr>
        <w:t> </w:t>
      </w:r>
      <w:r>
        <w:rPr>
          <w:spacing w:val="-6"/>
        </w:rPr>
        <w:t>MEE </w:t>
      </w:r>
      <w:r>
        <w:rPr/>
        <w:t>can</w:t>
      </w:r>
      <w:r>
        <w:rPr>
          <w:spacing w:val="-16"/>
        </w:rPr>
        <w:t> </w:t>
      </w:r>
      <w:r>
        <w:rPr/>
        <w:t>admit</w:t>
      </w:r>
      <w:r>
        <w:rPr>
          <w:spacing w:val="-14"/>
        </w:rPr>
        <w:t> </w:t>
      </w:r>
      <w:r>
        <w:rPr/>
        <w:t>students.</w:t>
      </w:r>
      <w:r>
        <w:rPr>
          <w:spacing w:val="-14"/>
        </w:rPr>
        <w:t> </w:t>
      </w:r>
      <w:r>
        <w:rPr/>
        <w:t>The</w:t>
      </w:r>
      <w:r>
        <w:rPr>
          <w:spacing w:val="-13"/>
        </w:rPr>
        <w:t> </w:t>
      </w:r>
      <w:r>
        <w:rPr/>
        <w:t>second</w:t>
      </w:r>
      <w:r>
        <w:rPr>
          <w:spacing w:val="-14"/>
        </w:rPr>
        <w:t> </w:t>
      </w:r>
      <w:r>
        <w:rPr/>
        <w:t>stage</w:t>
      </w:r>
      <w:r>
        <w:rPr>
          <w:spacing w:val="-14"/>
        </w:rPr>
        <w:t> </w:t>
      </w:r>
      <w:r>
        <w:rPr/>
        <w:t>would</w:t>
      </w:r>
      <w:r>
        <w:rPr>
          <w:spacing w:val="-14"/>
        </w:rPr>
        <w:t> </w:t>
      </w:r>
      <w:r>
        <w:rPr/>
        <w:t>consist</w:t>
      </w:r>
      <w:r>
        <w:rPr>
          <w:spacing w:val="-13"/>
        </w:rPr>
        <w:t> </w:t>
      </w:r>
      <w:r>
        <w:rPr/>
        <w:t>of </w:t>
      </w:r>
      <w:r>
        <w:rPr>
          <w:spacing w:val="-2"/>
        </w:rPr>
        <w:t>rating</w:t>
      </w:r>
      <w:r>
        <w:rPr>
          <w:spacing w:val="-12"/>
        </w:rPr>
        <w:t> </w:t>
      </w:r>
      <w:r>
        <w:rPr>
          <w:spacing w:val="-2"/>
        </w:rPr>
        <w:t>of</w:t>
      </w:r>
      <w:r>
        <w:rPr>
          <w:spacing w:val="-12"/>
        </w:rPr>
        <w:t> </w:t>
      </w:r>
      <w:r>
        <w:rPr>
          <w:spacing w:val="-2"/>
        </w:rPr>
        <w:t>quality</w:t>
      </w:r>
      <w:r>
        <w:rPr>
          <w:spacing w:val="-12"/>
        </w:rPr>
        <w:t> </w:t>
      </w:r>
      <w:r>
        <w:rPr>
          <w:spacing w:val="-2"/>
        </w:rPr>
        <w:t>(admission</w:t>
      </w:r>
      <w:r>
        <w:rPr>
          <w:spacing w:val="-11"/>
        </w:rPr>
        <w:t> </w:t>
      </w:r>
      <w:r>
        <w:rPr>
          <w:spacing w:val="-2"/>
        </w:rPr>
        <w:t>process,</w:t>
      </w:r>
      <w:r>
        <w:rPr>
          <w:spacing w:val="-12"/>
        </w:rPr>
        <w:t> </w:t>
      </w:r>
      <w:r>
        <w:rPr>
          <w:spacing w:val="-2"/>
        </w:rPr>
        <w:t>teaching,</w:t>
      </w:r>
      <w:r>
        <w:rPr>
          <w:spacing w:val="-12"/>
        </w:rPr>
        <w:t> </w:t>
      </w:r>
      <w:r>
        <w:rPr>
          <w:spacing w:val="-2"/>
        </w:rPr>
        <w:t>research and</w:t>
      </w:r>
      <w:r>
        <w:rPr>
          <w:spacing w:val="-12"/>
        </w:rPr>
        <w:t> </w:t>
      </w:r>
      <w:r>
        <w:rPr>
          <w:spacing w:val="-2"/>
        </w:rPr>
        <w:t>publications)</w:t>
      </w:r>
      <w:r>
        <w:rPr>
          <w:spacing w:val="-12"/>
        </w:rPr>
        <w:t> </w:t>
      </w:r>
      <w:r>
        <w:rPr>
          <w:spacing w:val="-2"/>
        </w:rPr>
        <w:t>which</w:t>
      </w:r>
      <w:r>
        <w:rPr>
          <w:spacing w:val="-12"/>
        </w:rPr>
        <w:t> </w:t>
      </w:r>
      <w:r>
        <w:rPr>
          <w:spacing w:val="-2"/>
        </w:rPr>
        <w:t>shall</w:t>
      </w:r>
      <w:r>
        <w:rPr>
          <w:spacing w:val="-11"/>
        </w:rPr>
        <w:t> </w:t>
      </w:r>
      <w:r>
        <w:rPr>
          <w:spacing w:val="-2"/>
        </w:rPr>
        <w:t>be</w:t>
      </w:r>
      <w:r>
        <w:rPr>
          <w:spacing w:val="-12"/>
        </w:rPr>
        <w:t> </w:t>
      </w:r>
      <w:r>
        <w:rPr>
          <w:spacing w:val="-2"/>
        </w:rPr>
        <w:t>conducted</w:t>
      </w:r>
      <w:r>
        <w:rPr>
          <w:spacing w:val="-12"/>
        </w:rPr>
        <w:t> </w:t>
      </w:r>
      <w:r>
        <w:rPr>
          <w:spacing w:val="-2"/>
        </w:rPr>
        <w:t>every</w:t>
      </w:r>
      <w:r>
        <w:rPr>
          <w:spacing w:val="-12"/>
        </w:rPr>
        <w:t> </w:t>
      </w:r>
      <w:r>
        <w:rPr>
          <w:spacing w:val="-2"/>
        </w:rPr>
        <w:t>three years</w:t>
      </w:r>
      <w:r>
        <w:rPr>
          <w:spacing w:val="-11"/>
        </w:rPr>
        <w:t> </w:t>
      </w:r>
      <w:r>
        <w:rPr>
          <w:spacing w:val="-2"/>
        </w:rPr>
        <w:t>to</w:t>
      </w:r>
      <w:r>
        <w:rPr>
          <w:spacing w:val="-11"/>
        </w:rPr>
        <w:t> </w:t>
      </w:r>
      <w:r>
        <w:rPr>
          <w:spacing w:val="-2"/>
        </w:rPr>
        <w:t>ensure</w:t>
      </w:r>
      <w:r>
        <w:rPr>
          <w:spacing w:val="-11"/>
        </w:rPr>
        <w:t> </w:t>
      </w:r>
      <w:r>
        <w:rPr>
          <w:spacing w:val="-2"/>
        </w:rPr>
        <w:t>accountability.</w:t>
      </w:r>
      <w:r>
        <w:rPr>
          <w:spacing w:val="-11"/>
        </w:rPr>
        <w:t> </w:t>
      </w:r>
      <w:r>
        <w:rPr>
          <w:spacing w:val="-2"/>
        </w:rPr>
        <w:t>Grading</w:t>
      </w:r>
      <w:r>
        <w:rPr>
          <w:spacing w:val="-11"/>
        </w:rPr>
        <w:t> </w:t>
      </w:r>
      <w:r>
        <w:rPr>
          <w:spacing w:val="-2"/>
        </w:rPr>
        <w:t>norms</w:t>
      </w:r>
      <w:r>
        <w:rPr>
          <w:spacing w:val="-11"/>
        </w:rPr>
        <w:t> </w:t>
      </w:r>
      <w:r>
        <w:rPr>
          <w:spacing w:val="-2"/>
        </w:rPr>
        <w:t>for</w:t>
      </w:r>
      <w:r>
        <w:rPr>
          <w:spacing w:val="-11"/>
        </w:rPr>
        <w:t> </w:t>
      </w:r>
      <w:r>
        <w:rPr>
          <w:spacing w:val="-2"/>
        </w:rPr>
        <w:t>each </w:t>
      </w:r>
      <w:r>
        <w:rPr/>
        <w:t>of these steps should be established in consultation with experts. CRISIL and ICRA were consulted in the process and they have agreed to undertake rating of MEEs.</w:t>
      </w:r>
      <w:r>
        <w:rPr>
          <w:spacing w:val="-4"/>
        </w:rPr>
        <w:t> </w:t>
      </w:r>
      <w:r>
        <w:rPr/>
        <w:t>The Standing Committee shall decide on a </w:t>
      </w:r>
      <w:r>
        <w:rPr>
          <w:spacing w:val="-4"/>
        </w:rPr>
        <w:t>fair and transparent mechanism to deal with conflicting </w:t>
      </w:r>
      <w:r>
        <w:rPr/>
        <w:t>points</w:t>
      </w:r>
      <w:r>
        <w:rPr>
          <w:spacing w:val="-3"/>
        </w:rPr>
        <w:t> </w:t>
      </w:r>
      <w:r>
        <w:rPr/>
        <w:t>of</w:t>
      </w:r>
      <w:r>
        <w:rPr>
          <w:spacing w:val="-3"/>
        </w:rPr>
        <w:t> </w:t>
      </w:r>
      <w:r>
        <w:rPr/>
        <w:t>view</w:t>
      </w:r>
      <w:r>
        <w:rPr>
          <w:spacing w:val="-3"/>
        </w:rPr>
        <w:t> </w:t>
      </w:r>
      <w:r>
        <w:rPr/>
        <w:t>between</w:t>
      </w:r>
      <w:r>
        <w:rPr>
          <w:spacing w:val="-3"/>
        </w:rPr>
        <w:t> </w:t>
      </w:r>
      <w:r>
        <w:rPr/>
        <w:t>a</w:t>
      </w:r>
      <w:r>
        <w:rPr>
          <w:spacing w:val="-3"/>
        </w:rPr>
        <w:t> </w:t>
      </w:r>
      <w:r>
        <w:rPr/>
        <w:t>rating</w:t>
      </w:r>
      <w:r>
        <w:rPr>
          <w:spacing w:val="-3"/>
        </w:rPr>
        <w:t> </w:t>
      </w:r>
      <w:r>
        <w:rPr/>
        <w:t>agency</w:t>
      </w:r>
      <w:r>
        <w:rPr>
          <w:spacing w:val="-3"/>
        </w:rPr>
        <w:t> </w:t>
      </w:r>
      <w:r>
        <w:rPr/>
        <w:t>and</w:t>
      </w:r>
      <w:r>
        <w:rPr>
          <w:spacing w:val="-3"/>
        </w:rPr>
        <w:t> </w:t>
      </w:r>
      <w:r>
        <w:rPr/>
        <w:t>an</w:t>
      </w:r>
      <w:r>
        <w:rPr>
          <w:spacing w:val="-3"/>
        </w:rPr>
        <w:t> </w:t>
      </w:r>
      <w:r>
        <w:rPr/>
        <w:t>MEE.</w:t>
      </w:r>
    </w:p>
    <w:p>
      <w:pPr>
        <w:pStyle w:val="Heading6"/>
        <w:numPr>
          <w:ilvl w:val="3"/>
          <w:numId w:val="26"/>
        </w:numPr>
        <w:tabs>
          <w:tab w:pos="644" w:val="left" w:leader="none"/>
        </w:tabs>
        <w:spacing w:line="240" w:lineRule="auto" w:before="172" w:after="0"/>
        <w:ind w:left="644" w:right="0" w:hanging="325"/>
        <w:jc w:val="left"/>
      </w:pPr>
      <w:r>
        <w:rPr>
          <w:color w:val="2E614A"/>
          <w:spacing w:val="-2"/>
        </w:rPr>
        <w:t>Accreditation</w:t>
      </w:r>
    </w:p>
    <w:p>
      <w:pPr>
        <w:pStyle w:val="BodyText"/>
        <w:spacing w:line="266" w:lineRule="auto" w:before="285"/>
        <w:ind w:left="319" w:right="1077"/>
        <w:jc w:val="both"/>
      </w:pPr>
      <w:r>
        <w:rPr>
          <w:spacing w:val="-6"/>
        </w:rPr>
        <w:t>For MEEs which wish to go beyond rating, the Standing </w:t>
      </w:r>
      <w:r>
        <w:rPr/>
        <w:t>Committee shall determine the criteria and </w:t>
      </w:r>
      <w:r>
        <w:rPr/>
        <w:t>the processes</w:t>
      </w:r>
      <w:r>
        <w:rPr>
          <w:spacing w:val="-14"/>
        </w:rPr>
        <w:t> </w:t>
      </w:r>
      <w:r>
        <w:rPr/>
        <w:t>of</w:t>
      </w:r>
      <w:r>
        <w:rPr>
          <w:spacing w:val="-14"/>
        </w:rPr>
        <w:t> </w:t>
      </w:r>
      <w:r>
        <w:rPr/>
        <w:t>accreditation</w:t>
      </w:r>
      <w:r>
        <w:rPr>
          <w:spacing w:val="-14"/>
        </w:rPr>
        <w:t> </w:t>
      </w:r>
      <w:r>
        <w:rPr/>
        <w:t>in</w:t>
      </w:r>
      <w:r>
        <w:rPr>
          <w:spacing w:val="-13"/>
        </w:rPr>
        <w:t> </w:t>
      </w:r>
      <w:r>
        <w:rPr/>
        <w:t>consultation</w:t>
      </w:r>
      <w:r>
        <w:rPr>
          <w:spacing w:val="-14"/>
        </w:rPr>
        <w:t> </w:t>
      </w:r>
      <w:r>
        <w:rPr/>
        <w:t>with</w:t>
      </w:r>
      <w:r>
        <w:rPr>
          <w:spacing w:val="-14"/>
        </w:rPr>
        <w:t> </w:t>
      </w:r>
      <w:r>
        <w:rPr/>
        <w:t>experts from</w:t>
      </w:r>
      <w:r>
        <w:rPr>
          <w:spacing w:val="-14"/>
        </w:rPr>
        <w:t> </w:t>
      </w:r>
      <w:r>
        <w:rPr/>
        <w:t>academia</w:t>
      </w:r>
      <w:r>
        <w:rPr>
          <w:spacing w:val="-14"/>
        </w:rPr>
        <w:t> </w:t>
      </w:r>
      <w:r>
        <w:rPr/>
        <w:t>and</w:t>
      </w:r>
      <w:r>
        <w:rPr>
          <w:spacing w:val="-14"/>
        </w:rPr>
        <w:t> </w:t>
      </w:r>
      <w:r>
        <w:rPr/>
        <w:t>industry.</w:t>
      </w:r>
      <w:r>
        <w:rPr>
          <w:spacing w:val="-13"/>
        </w:rPr>
        <w:t> </w:t>
      </w:r>
      <w:r>
        <w:rPr/>
        <w:t>Mentoring</w:t>
      </w:r>
      <w:r>
        <w:rPr>
          <w:spacing w:val="-14"/>
        </w:rPr>
        <w:t> </w:t>
      </w:r>
      <w:r>
        <w:rPr/>
        <w:t>to</w:t>
      </w:r>
      <w:r>
        <w:rPr>
          <w:spacing w:val="-14"/>
        </w:rPr>
        <w:t> </w:t>
      </w:r>
      <w:r>
        <w:rPr/>
        <w:t>help</w:t>
      </w:r>
      <w:r>
        <w:rPr>
          <w:spacing w:val="-14"/>
        </w:rPr>
        <w:t> </w:t>
      </w:r>
      <w:r>
        <w:rPr/>
        <w:t>MEEs sustain</w:t>
      </w:r>
      <w:r>
        <w:rPr>
          <w:spacing w:val="-5"/>
        </w:rPr>
        <w:t> </w:t>
      </w:r>
      <w:r>
        <w:rPr/>
        <w:t>quality</w:t>
      </w:r>
      <w:r>
        <w:rPr>
          <w:spacing w:val="-5"/>
        </w:rPr>
        <w:t> </w:t>
      </w:r>
      <w:r>
        <w:rPr/>
        <w:t>standards</w:t>
      </w:r>
      <w:r>
        <w:rPr>
          <w:spacing w:val="-5"/>
        </w:rPr>
        <w:t> </w:t>
      </w:r>
      <w:r>
        <w:rPr/>
        <w:t>should</w:t>
      </w:r>
      <w:r>
        <w:rPr>
          <w:spacing w:val="-5"/>
        </w:rPr>
        <w:t> </w:t>
      </w:r>
      <w:r>
        <w:rPr/>
        <w:t>be</w:t>
      </w:r>
      <w:r>
        <w:rPr>
          <w:spacing w:val="-5"/>
        </w:rPr>
        <w:t> </w:t>
      </w:r>
      <w:r>
        <w:rPr/>
        <w:t>an</w:t>
      </w:r>
      <w:r>
        <w:rPr>
          <w:spacing w:val="-5"/>
        </w:rPr>
        <w:t> </w:t>
      </w:r>
      <w:r>
        <w:rPr/>
        <w:t>integral</w:t>
      </w:r>
      <w:r>
        <w:rPr>
          <w:spacing w:val="-5"/>
        </w:rPr>
        <w:t> </w:t>
      </w:r>
      <w:r>
        <w:rPr/>
        <w:t>part</w:t>
      </w:r>
      <w:r>
        <w:rPr>
          <w:spacing w:val="-5"/>
        </w:rPr>
        <w:t> </w:t>
      </w:r>
      <w:r>
        <w:rPr/>
        <w:t>of the process. Select international accreditations may also</w:t>
      </w:r>
      <w:r>
        <w:rPr>
          <w:spacing w:val="-8"/>
        </w:rPr>
        <w:t> </w:t>
      </w:r>
      <w:r>
        <w:rPr/>
        <w:t>be</w:t>
      </w:r>
      <w:r>
        <w:rPr>
          <w:spacing w:val="-8"/>
        </w:rPr>
        <w:t> </w:t>
      </w:r>
      <w:r>
        <w:rPr/>
        <w:t>recognised.</w:t>
      </w:r>
      <w:r>
        <w:rPr>
          <w:spacing w:val="-8"/>
        </w:rPr>
        <w:t> </w:t>
      </w:r>
      <w:r>
        <w:rPr/>
        <w:t>Branding</w:t>
      </w:r>
      <w:r>
        <w:rPr>
          <w:spacing w:val="-8"/>
        </w:rPr>
        <w:t> </w:t>
      </w:r>
      <w:r>
        <w:rPr/>
        <w:t>of</w:t>
      </w:r>
      <w:r>
        <w:rPr>
          <w:spacing w:val="-8"/>
        </w:rPr>
        <w:t> </w:t>
      </w:r>
      <w:r>
        <w:rPr/>
        <w:t>accreditation,</w:t>
      </w:r>
      <w:r>
        <w:rPr>
          <w:spacing w:val="-8"/>
        </w:rPr>
        <w:t> </w:t>
      </w:r>
      <w:r>
        <w:rPr/>
        <w:t>similar to international standards such as ISO 9001, may be considered</w:t>
      </w:r>
      <w:r>
        <w:rPr>
          <w:spacing w:val="-9"/>
        </w:rPr>
        <w:t> </w:t>
      </w:r>
      <w:r>
        <w:rPr/>
        <w:t>to</w:t>
      </w:r>
      <w:r>
        <w:rPr>
          <w:spacing w:val="-9"/>
        </w:rPr>
        <w:t> </w:t>
      </w:r>
      <w:r>
        <w:rPr/>
        <w:t>encourage</w:t>
      </w:r>
      <w:r>
        <w:rPr>
          <w:spacing w:val="-9"/>
        </w:rPr>
        <w:t> </w:t>
      </w:r>
      <w:r>
        <w:rPr/>
        <w:t>MEEs</w:t>
      </w:r>
      <w:r>
        <w:rPr>
          <w:spacing w:val="-9"/>
        </w:rPr>
        <w:t> </w:t>
      </w:r>
      <w:r>
        <w:rPr/>
        <w:t>to</w:t>
      </w:r>
      <w:r>
        <w:rPr>
          <w:spacing w:val="-9"/>
        </w:rPr>
        <w:t> </w:t>
      </w:r>
      <w:r>
        <w:rPr/>
        <w:t>pursue</w:t>
      </w:r>
      <w:r>
        <w:rPr>
          <w:spacing w:val="-9"/>
        </w:rPr>
        <w:t> </w:t>
      </w:r>
      <w:r>
        <w:rPr/>
        <w:t>excellence.</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91" w:after="1"/>
        <w:rPr>
          <w:sz w:val="20"/>
        </w:rPr>
      </w:pPr>
    </w:p>
    <w:p>
      <w:pPr>
        <w:pStyle w:val="BodyText"/>
        <w:spacing w:line="20" w:lineRule="exact"/>
        <w:ind w:left="1080"/>
        <w:rPr>
          <w:sz w:val="2"/>
        </w:rPr>
      </w:pPr>
      <w:r>
        <w:rPr>
          <w:sz w:val="2"/>
        </w:rPr>
        <mc:AlternateContent>
          <mc:Choice Requires="wps">
            <w:drawing>
              <wp:inline distT="0" distB="0" distL="0" distR="0">
                <wp:extent cx="2408555" cy="6350"/>
                <wp:effectExtent l="0" t="0" r="0" b="0"/>
                <wp:docPr id="897" name="Group 897"/>
                <wp:cNvGraphicFramePr>
                  <a:graphicFrameLocks/>
                </wp:cNvGraphicFramePr>
                <a:graphic>
                  <a:graphicData uri="http://schemas.microsoft.com/office/word/2010/wordprocessingGroup">
                    <wpg:wgp>
                      <wpg:cNvPr id="897" name="Group 897"/>
                      <wpg:cNvGrpSpPr/>
                      <wpg:grpSpPr>
                        <a:xfrm>
                          <a:off x="0" y="0"/>
                          <a:ext cx="2408555" cy="6350"/>
                          <a:chExt cx="2408555" cy="6350"/>
                        </a:xfrm>
                      </wpg:grpSpPr>
                      <wps:wsp>
                        <wps:cNvPr id="898" name="Graphic 898"/>
                        <wps:cNvSpPr/>
                        <wps:spPr>
                          <a:xfrm>
                            <a:off x="0" y="0"/>
                            <a:ext cx="2408555" cy="6350"/>
                          </a:xfrm>
                          <a:custGeom>
                            <a:avLst/>
                            <a:gdLst/>
                            <a:ahLst/>
                            <a:cxnLst/>
                            <a:rect l="l" t="t" r="r" b="b"/>
                            <a:pathLst>
                              <a:path w="2408555" h="6350">
                                <a:moveTo>
                                  <a:pt x="2408400" y="0"/>
                                </a:moveTo>
                                <a:lnTo>
                                  <a:pt x="0" y="0"/>
                                </a:lnTo>
                                <a:lnTo>
                                  <a:pt x="0" y="6350"/>
                                </a:lnTo>
                                <a:lnTo>
                                  <a:pt x="2408400" y="6350"/>
                                </a:lnTo>
                                <a:lnTo>
                                  <a:pt x="240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65pt;height:.5pt;mso-position-horizontal-relative:char;mso-position-vertical-relative:line" id="docshapegroup890" coordorigin="0,0" coordsize="3793,10">
                <v:rect style="position:absolute;left:0;top:0;width:3793;height:10" id="docshape891" filled="true" fillcolor="#000000" stroked="false">
                  <v:fill type="solid"/>
                </v:rect>
              </v:group>
            </w:pict>
          </mc:Fallback>
        </mc:AlternateContent>
      </w:r>
      <w:r>
        <w:rPr>
          <w:sz w:val="2"/>
        </w:rPr>
      </w:r>
    </w:p>
    <w:p>
      <w:pPr>
        <w:spacing w:line="254" w:lineRule="auto" w:before="64"/>
        <w:ind w:left="1079" w:right="921" w:firstLine="0"/>
        <w:jc w:val="left"/>
        <w:rPr>
          <w:sz w:val="18"/>
        </w:rPr>
      </w:pPr>
      <w:r>
        <w:rPr>
          <w:position w:val="6"/>
          <w:sz w:val="10"/>
        </w:rPr>
        <w:t>1</w:t>
      </w:r>
      <w:r>
        <w:rPr>
          <w:spacing w:val="28"/>
          <w:position w:val="6"/>
          <w:sz w:val="10"/>
        </w:rPr>
        <w:t> </w:t>
      </w:r>
      <w:r>
        <w:rPr>
          <w:sz w:val="18"/>
        </w:rPr>
        <w:t>In</w:t>
      </w:r>
      <w:r>
        <w:rPr>
          <w:spacing w:val="8"/>
          <w:sz w:val="18"/>
        </w:rPr>
        <w:t> </w:t>
      </w:r>
      <w:r>
        <w:rPr>
          <w:sz w:val="18"/>
        </w:rPr>
        <w:t>view</w:t>
      </w:r>
      <w:r>
        <w:rPr>
          <w:spacing w:val="8"/>
          <w:sz w:val="18"/>
        </w:rPr>
        <w:t> </w:t>
      </w:r>
      <w:r>
        <w:rPr>
          <w:sz w:val="18"/>
        </w:rPr>
        <w:t>of</w:t>
      </w:r>
      <w:r>
        <w:rPr>
          <w:spacing w:val="8"/>
          <w:sz w:val="18"/>
        </w:rPr>
        <w:t> </w:t>
      </w:r>
      <w:r>
        <w:rPr>
          <w:sz w:val="18"/>
        </w:rPr>
        <w:t>the</w:t>
      </w:r>
      <w:r>
        <w:rPr>
          <w:spacing w:val="8"/>
          <w:sz w:val="18"/>
        </w:rPr>
        <w:t> </w:t>
      </w:r>
      <w:r>
        <w:rPr>
          <w:sz w:val="18"/>
        </w:rPr>
        <w:t>variety</w:t>
      </w:r>
      <w:r>
        <w:rPr>
          <w:spacing w:val="8"/>
          <w:sz w:val="18"/>
        </w:rPr>
        <w:t> </w:t>
      </w:r>
      <w:r>
        <w:rPr>
          <w:sz w:val="18"/>
        </w:rPr>
        <w:t>of</w:t>
      </w:r>
      <w:r>
        <w:rPr>
          <w:spacing w:val="8"/>
          <w:sz w:val="18"/>
        </w:rPr>
        <w:t> </w:t>
      </w:r>
      <w:r>
        <w:rPr>
          <w:sz w:val="18"/>
        </w:rPr>
        <w:t>institutions</w:t>
      </w:r>
      <w:r>
        <w:rPr>
          <w:spacing w:val="8"/>
          <w:sz w:val="18"/>
        </w:rPr>
        <w:t> </w:t>
      </w:r>
      <w:r>
        <w:rPr>
          <w:sz w:val="18"/>
        </w:rPr>
        <w:t>delivering</w:t>
      </w:r>
      <w:r>
        <w:rPr>
          <w:spacing w:val="8"/>
          <w:sz w:val="18"/>
        </w:rPr>
        <w:t> </w:t>
      </w:r>
      <w:r>
        <w:rPr>
          <w:sz w:val="18"/>
        </w:rPr>
        <w:t>management</w:t>
      </w:r>
      <w:r>
        <w:rPr>
          <w:spacing w:val="8"/>
          <w:sz w:val="18"/>
        </w:rPr>
        <w:t> </w:t>
      </w:r>
      <w:r>
        <w:rPr>
          <w:sz w:val="18"/>
        </w:rPr>
        <w:t>education,</w:t>
      </w:r>
      <w:r>
        <w:rPr>
          <w:spacing w:val="8"/>
          <w:sz w:val="18"/>
        </w:rPr>
        <w:t> </w:t>
      </w:r>
      <w:r>
        <w:rPr>
          <w:sz w:val="18"/>
        </w:rPr>
        <w:t>MEE</w:t>
      </w:r>
      <w:r>
        <w:rPr>
          <w:spacing w:val="8"/>
          <w:sz w:val="18"/>
        </w:rPr>
        <w:t> </w:t>
      </w:r>
      <w:r>
        <w:rPr>
          <w:sz w:val="18"/>
        </w:rPr>
        <w:t>is</w:t>
      </w:r>
      <w:r>
        <w:rPr>
          <w:spacing w:val="8"/>
          <w:sz w:val="18"/>
        </w:rPr>
        <w:t> </w:t>
      </w:r>
      <w:r>
        <w:rPr>
          <w:sz w:val="18"/>
        </w:rPr>
        <w:t>used</w:t>
      </w:r>
      <w:r>
        <w:rPr>
          <w:spacing w:val="8"/>
          <w:sz w:val="18"/>
        </w:rPr>
        <w:t> </w:t>
      </w:r>
      <w:r>
        <w:rPr>
          <w:sz w:val="18"/>
        </w:rPr>
        <w:t>to</w:t>
      </w:r>
      <w:r>
        <w:rPr>
          <w:spacing w:val="8"/>
          <w:sz w:val="18"/>
        </w:rPr>
        <w:t> </w:t>
      </w:r>
      <w:r>
        <w:rPr>
          <w:sz w:val="18"/>
        </w:rPr>
        <w:t>cover</w:t>
      </w:r>
      <w:r>
        <w:rPr>
          <w:spacing w:val="8"/>
          <w:sz w:val="18"/>
        </w:rPr>
        <w:t> </w:t>
      </w:r>
      <w:r>
        <w:rPr>
          <w:sz w:val="18"/>
        </w:rPr>
        <w:t>all</w:t>
      </w:r>
      <w:r>
        <w:rPr>
          <w:spacing w:val="8"/>
          <w:sz w:val="18"/>
        </w:rPr>
        <w:t> </w:t>
      </w:r>
      <w:r>
        <w:rPr>
          <w:sz w:val="18"/>
        </w:rPr>
        <w:t>educational</w:t>
      </w:r>
      <w:r>
        <w:rPr>
          <w:spacing w:val="8"/>
          <w:sz w:val="18"/>
        </w:rPr>
        <w:t> </w:t>
      </w:r>
      <w:r>
        <w:rPr>
          <w:sz w:val="18"/>
        </w:rPr>
        <w:t>institutions;</w:t>
      </w:r>
      <w:r>
        <w:rPr>
          <w:spacing w:val="8"/>
          <w:sz w:val="18"/>
        </w:rPr>
        <w:t> </w:t>
      </w:r>
      <w:r>
        <w:rPr>
          <w:sz w:val="18"/>
        </w:rPr>
        <w:t>Institutes, </w:t>
      </w:r>
      <w:r>
        <w:rPr>
          <w:spacing w:val="-2"/>
          <w:sz w:val="18"/>
        </w:rPr>
        <w:t>Departments, Affiliated and Autonomous colleges, Departments in Deemed Universities, Private Business Schools etc.</w:t>
      </w:r>
    </w:p>
    <w:p>
      <w:pPr>
        <w:spacing w:after="0" w:line="254" w:lineRule="auto"/>
        <w:jc w:val="left"/>
        <w:rPr>
          <w:sz w:val="18"/>
        </w:rPr>
        <w:sectPr>
          <w:type w:val="continuous"/>
          <w:pgSz w:w="11910" w:h="16840"/>
          <w:pgMar w:header="0" w:footer="675" w:top="1920" w:bottom="280" w:left="0" w:right="0"/>
        </w:sectPr>
      </w:pPr>
    </w:p>
    <w:p>
      <w:pPr>
        <w:pStyle w:val="Heading6"/>
        <w:numPr>
          <w:ilvl w:val="3"/>
          <w:numId w:val="26"/>
        </w:numPr>
        <w:tabs>
          <w:tab w:pos="1405" w:val="left" w:leader="none"/>
        </w:tabs>
        <w:spacing w:line="240" w:lineRule="auto" w:before="57" w:after="0"/>
        <w:ind w:left="1405" w:right="0" w:hanging="325"/>
        <w:jc w:val="left"/>
      </w:pPr>
      <w:r>
        <w:rPr>
          <w:color w:val="2E614A"/>
          <w:w w:val="90"/>
        </w:rPr>
        <w:t>Improve</w:t>
      </w:r>
      <w:r>
        <w:rPr>
          <w:color w:val="2E614A"/>
          <w:spacing w:val="-2"/>
        </w:rPr>
        <w:t> Access</w:t>
      </w:r>
    </w:p>
    <w:p>
      <w:pPr>
        <w:pStyle w:val="BodyText"/>
        <w:spacing w:line="266" w:lineRule="auto" w:before="285"/>
        <w:ind w:left="1080"/>
        <w:jc w:val="both"/>
      </w:pPr>
      <w:r>
        <w:rPr/>
        <w:t>In addition to the framework of affirmative </w:t>
      </w:r>
      <w:r>
        <w:rPr/>
        <w:t>action </w:t>
      </w:r>
      <w:r>
        <w:rPr>
          <w:spacing w:val="-4"/>
        </w:rPr>
        <w:t>already</w:t>
      </w:r>
      <w:r>
        <w:rPr>
          <w:spacing w:val="-7"/>
        </w:rPr>
        <w:t> </w:t>
      </w:r>
      <w:r>
        <w:rPr>
          <w:spacing w:val="-4"/>
        </w:rPr>
        <w:t>in</w:t>
      </w:r>
      <w:r>
        <w:rPr>
          <w:spacing w:val="-7"/>
        </w:rPr>
        <w:t> </w:t>
      </w:r>
      <w:r>
        <w:rPr>
          <w:spacing w:val="-4"/>
        </w:rPr>
        <w:t>place,</w:t>
      </w:r>
      <w:r>
        <w:rPr>
          <w:spacing w:val="-7"/>
        </w:rPr>
        <w:t> </w:t>
      </w:r>
      <w:r>
        <w:rPr>
          <w:spacing w:val="-4"/>
        </w:rPr>
        <w:t>we</w:t>
      </w:r>
      <w:r>
        <w:rPr>
          <w:spacing w:val="-7"/>
        </w:rPr>
        <w:t> </w:t>
      </w:r>
      <w:r>
        <w:rPr>
          <w:spacing w:val="-4"/>
        </w:rPr>
        <w:t>suggest</w:t>
      </w:r>
      <w:r>
        <w:rPr>
          <w:spacing w:val="-7"/>
        </w:rPr>
        <w:t> </w:t>
      </w:r>
      <w:r>
        <w:rPr>
          <w:spacing w:val="-4"/>
        </w:rPr>
        <w:t>improving</w:t>
      </w:r>
      <w:r>
        <w:rPr>
          <w:spacing w:val="-7"/>
        </w:rPr>
        <w:t> </w:t>
      </w:r>
      <w:r>
        <w:rPr>
          <w:spacing w:val="-4"/>
        </w:rPr>
        <w:t>access</w:t>
      </w:r>
      <w:r>
        <w:rPr>
          <w:spacing w:val="-7"/>
        </w:rPr>
        <w:t> </w:t>
      </w:r>
      <w:r>
        <w:rPr>
          <w:spacing w:val="-4"/>
        </w:rPr>
        <w:t>based</w:t>
      </w:r>
      <w:r>
        <w:rPr>
          <w:spacing w:val="-7"/>
        </w:rPr>
        <w:t> </w:t>
      </w:r>
      <w:r>
        <w:rPr>
          <w:spacing w:val="-4"/>
        </w:rPr>
        <w:t>on </w:t>
      </w:r>
      <w:r>
        <w:rPr>
          <w:spacing w:val="-2"/>
        </w:rPr>
        <w:t>work</w:t>
      </w:r>
      <w:r>
        <w:rPr>
          <w:spacing w:val="-5"/>
        </w:rPr>
        <w:t> </w:t>
      </w:r>
      <w:r>
        <w:rPr>
          <w:spacing w:val="-2"/>
        </w:rPr>
        <w:t>experience</w:t>
      </w:r>
      <w:r>
        <w:rPr>
          <w:spacing w:val="-5"/>
        </w:rPr>
        <w:t> </w:t>
      </w:r>
      <w:r>
        <w:rPr>
          <w:spacing w:val="-2"/>
        </w:rPr>
        <w:t>and</w:t>
      </w:r>
      <w:r>
        <w:rPr>
          <w:spacing w:val="-5"/>
        </w:rPr>
        <w:t> </w:t>
      </w:r>
      <w:r>
        <w:rPr>
          <w:spacing w:val="-2"/>
        </w:rPr>
        <w:t>educational</w:t>
      </w:r>
      <w:r>
        <w:rPr>
          <w:spacing w:val="-5"/>
        </w:rPr>
        <w:t> </w:t>
      </w:r>
      <w:r>
        <w:rPr>
          <w:spacing w:val="-2"/>
        </w:rPr>
        <w:t>loans.</w:t>
      </w:r>
      <w:r>
        <w:rPr>
          <w:spacing w:val="-5"/>
        </w:rPr>
        <w:t> </w:t>
      </w:r>
      <w:r>
        <w:rPr>
          <w:spacing w:val="-2"/>
        </w:rPr>
        <w:t>NKC</w:t>
      </w:r>
      <w:r>
        <w:rPr>
          <w:spacing w:val="-5"/>
        </w:rPr>
        <w:t> </w:t>
      </w:r>
      <w:r>
        <w:rPr>
          <w:spacing w:val="-2"/>
        </w:rPr>
        <w:t>believes </w:t>
      </w:r>
      <w:r>
        <w:rPr/>
        <w:t>that management education can be made available to a much wider student community by adopting a two </w:t>
      </w:r>
      <w:r>
        <w:rPr>
          <w:spacing w:val="-6"/>
        </w:rPr>
        <w:t>pronged</w:t>
      </w:r>
      <w:r>
        <w:rPr>
          <w:spacing w:val="-8"/>
        </w:rPr>
        <w:t> </w:t>
      </w:r>
      <w:r>
        <w:rPr>
          <w:spacing w:val="-6"/>
        </w:rPr>
        <w:t>approach.</w:t>
      </w:r>
      <w:r>
        <w:rPr>
          <w:spacing w:val="-8"/>
        </w:rPr>
        <w:t> </w:t>
      </w:r>
      <w:r>
        <w:rPr>
          <w:spacing w:val="-6"/>
        </w:rPr>
        <w:t>First,</w:t>
      </w:r>
      <w:r>
        <w:rPr>
          <w:spacing w:val="-8"/>
        </w:rPr>
        <w:t> </w:t>
      </w:r>
      <w:r>
        <w:rPr>
          <w:spacing w:val="-6"/>
        </w:rPr>
        <w:t>we</w:t>
      </w:r>
      <w:r>
        <w:rPr>
          <w:spacing w:val="-7"/>
        </w:rPr>
        <w:t> </w:t>
      </w:r>
      <w:r>
        <w:rPr>
          <w:spacing w:val="-6"/>
        </w:rPr>
        <w:t>suggest</w:t>
      </w:r>
      <w:r>
        <w:rPr>
          <w:spacing w:val="-8"/>
        </w:rPr>
        <w:t> </w:t>
      </w:r>
      <w:r>
        <w:rPr>
          <w:spacing w:val="-6"/>
        </w:rPr>
        <w:t>that</w:t>
      </w:r>
      <w:r>
        <w:rPr>
          <w:spacing w:val="-8"/>
        </w:rPr>
        <w:t> </w:t>
      </w:r>
      <w:r>
        <w:rPr>
          <w:spacing w:val="-6"/>
        </w:rPr>
        <w:t>more</w:t>
      </w:r>
      <w:r>
        <w:rPr>
          <w:spacing w:val="-8"/>
        </w:rPr>
        <w:t> </w:t>
      </w:r>
      <w:r>
        <w:rPr>
          <w:spacing w:val="-6"/>
        </w:rPr>
        <w:t>weightage </w:t>
      </w:r>
      <w:r>
        <w:rPr>
          <w:w w:val="90"/>
        </w:rPr>
        <w:t>be assigned to work experience in admissions.</w:t>
      </w:r>
      <w:r>
        <w:rPr>
          <w:spacing w:val="-9"/>
          <w:w w:val="90"/>
        </w:rPr>
        <w:t> </w:t>
      </w:r>
      <w:r>
        <w:rPr>
          <w:w w:val="90"/>
        </w:rPr>
        <w:t>This would </w:t>
      </w:r>
      <w:r>
        <w:rPr>
          <w:spacing w:val="-4"/>
        </w:rPr>
        <w:t>help</w:t>
      </w:r>
      <w:r>
        <w:rPr>
          <w:spacing w:val="-6"/>
        </w:rPr>
        <w:t> </w:t>
      </w:r>
      <w:r>
        <w:rPr>
          <w:spacing w:val="-4"/>
        </w:rPr>
        <w:t>in</w:t>
      </w:r>
      <w:r>
        <w:rPr>
          <w:spacing w:val="-6"/>
        </w:rPr>
        <w:t> </w:t>
      </w:r>
      <w:r>
        <w:rPr>
          <w:spacing w:val="-4"/>
        </w:rPr>
        <w:t>overcoming</w:t>
      </w:r>
      <w:r>
        <w:rPr>
          <w:spacing w:val="-6"/>
        </w:rPr>
        <w:t> </w:t>
      </w:r>
      <w:r>
        <w:rPr>
          <w:spacing w:val="-4"/>
        </w:rPr>
        <w:t>disadvantages</w:t>
      </w:r>
      <w:r>
        <w:rPr>
          <w:spacing w:val="-6"/>
        </w:rPr>
        <w:t> </w:t>
      </w:r>
      <w:r>
        <w:rPr>
          <w:spacing w:val="-4"/>
        </w:rPr>
        <w:t>faced</w:t>
      </w:r>
      <w:r>
        <w:rPr>
          <w:spacing w:val="-6"/>
        </w:rPr>
        <w:t> </w:t>
      </w:r>
      <w:r>
        <w:rPr>
          <w:spacing w:val="-4"/>
        </w:rPr>
        <w:t>by</w:t>
      </w:r>
      <w:r>
        <w:rPr>
          <w:spacing w:val="-6"/>
        </w:rPr>
        <w:t> </w:t>
      </w:r>
      <w:r>
        <w:rPr>
          <w:spacing w:val="-4"/>
        </w:rPr>
        <w:t>prospective </w:t>
      </w:r>
      <w:r>
        <w:rPr>
          <w:spacing w:val="-6"/>
        </w:rPr>
        <w:t>students due to lack of proficiency in English. Secondly, steps</w:t>
      </w:r>
      <w:r>
        <w:rPr>
          <w:spacing w:val="-7"/>
        </w:rPr>
        <w:t> </w:t>
      </w:r>
      <w:r>
        <w:rPr>
          <w:spacing w:val="-6"/>
        </w:rPr>
        <w:t>may</w:t>
      </w:r>
      <w:r>
        <w:rPr>
          <w:spacing w:val="-7"/>
        </w:rPr>
        <w:t> </w:t>
      </w:r>
      <w:r>
        <w:rPr>
          <w:spacing w:val="-6"/>
        </w:rPr>
        <w:t>be</w:t>
      </w:r>
      <w:r>
        <w:rPr>
          <w:spacing w:val="-7"/>
        </w:rPr>
        <w:t> </w:t>
      </w:r>
      <w:r>
        <w:rPr>
          <w:spacing w:val="-6"/>
        </w:rPr>
        <w:t>taken</w:t>
      </w:r>
      <w:r>
        <w:rPr>
          <w:spacing w:val="-7"/>
        </w:rPr>
        <w:t> </w:t>
      </w:r>
      <w:r>
        <w:rPr>
          <w:spacing w:val="-6"/>
        </w:rPr>
        <w:t>to</w:t>
      </w:r>
      <w:r>
        <w:rPr>
          <w:spacing w:val="-7"/>
        </w:rPr>
        <w:t> </w:t>
      </w:r>
      <w:r>
        <w:rPr>
          <w:spacing w:val="-6"/>
        </w:rPr>
        <w:t>ensure</w:t>
      </w:r>
      <w:r>
        <w:rPr>
          <w:spacing w:val="-7"/>
        </w:rPr>
        <w:t> </w:t>
      </w:r>
      <w:r>
        <w:rPr>
          <w:spacing w:val="-6"/>
        </w:rPr>
        <w:t>easier</w:t>
      </w:r>
      <w:r>
        <w:rPr>
          <w:spacing w:val="-7"/>
        </w:rPr>
        <w:t> </w:t>
      </w:r>
      <w:r>
        <w:rPr>
          <w:spacing w:val="-6"/>
        </w:rPr>
        <w:t>access</w:t>
      </w:r>
      <w:r>
        <w:rPr>
          <w:spacing w:val="-7"/>
        </w:rPr>
        <w:t> </w:t>
      </w:r>
      <w:r>
        <w:rPr>
          <w:spacing w:val="-6"/>
        </w:rPr>
        <w:t>to</w:t>
      </w:r>
      <w:r>
        <w:rPr>
          <w:spacing w:val="-7"/>
        </w:rPr>
        <w:t> </w:t>
      </w:r>
      <w:r>
        <w:rPr>
          <w:spacing w:val="-6"/>
        </w:rPr>
        <w:t>educational </w:t>
      </w:r>
      <w:r>
        <w:rPr>
          <w:spacing w:val="-4"/>
        </w:rPr>
        <w:t>loans</w:t>
      </w:r>
      <w:r>
        <w:rPr>
          <w:spacing w:val="-10"/>
        </w:rPr>
        <w:t> </w:t>
      </w:r>
      <w:r>
        <w:rPr>
          <w:spacing w:val="-4"/>
        </w:rPr>
        <w:t>through</w:t>
      </w:r>
      <w:r>
        <w:rPr>
          <w:spacing w:val="-10"/>
        </w:rPr>
        <w:t> </w:t>
      </w:r>
      <w:r>
        <w:rPr>
          <w:spacing w:val="-4"/>
        </w:rPr>
        <w:t>banks.</w:t>
      </w:r>
      <w:r>
        <w:rPr>
          <w:spacing w:val="-10"/>
        </w:rPr>
        <w:t> </w:t>
      </w:r>
      <w:r>
        <w:rPr>
          <w:spacing w:val="-4"/>
        </w:rPr>
        <w:t>Default</w:t>
      </w:r>
      <w:r>
        <w:rPr>
          <w:spacing w:val="-9"/>
        </w:rPr>
        <w:t> </w:t>
      </w:r>
      <w:r>
        <w:rPr>
          <w:spacing w:val="-4"/>
        </w:rPr>
        <w:t>concerns</w:t>
      </w:r>
      <w:r>
        <w:rPr>
          <w:spacing w:val="-10"/>
        </w:rPr>
        <w:t> </w:t>
      </w:r>
      <w:r>
        <w:rPr>
          <w:spacing w:val="-4"/>
        </w:rPr>
        <w:t>can</w:t>
      </w:r>
      <w:r>
        <w:rPr>
          <w:spacing w:val="-10"/>
        </w:rPr>
        <w:t> </w:t>
      </w:r>
      <w:r>
        <w:rPr>
          <w:spacing w:val="-4"/>
        </w:rPr>
        <w:t>be</w:t>
      </w:r>
      <w:r>
        <w:rPr>
          <w:spacing w:val="-10"/>
        </w:rPr>
        <w:t> </w:t>
      </w:r>
      <w:r>
        <w:rPr>
          <w:spacing w:val="-4"/>
        </w:rPr>
        <w:t>addressed </w:t>
      </w:r>
      <w:r>
        <w:rPr>
          <w:spacing w:val="-2"/>
        </w:rPr>
        <w:t>if</w:t>
      </w:r>
      <w:r>
        <w:rPr>
          <w:spacing w:val="-10"/>
        </w:rPr>
        <w:t> </w:t>
      </w:r>
      <w:r>
        <w:rPr>
          <w:spacing w:val="-2"/>
        </w:rPr>
        <w:t>the</w:t>
      </w:r>
      <w:r>
        <w:rPr>
          <w:spacing w:val="-10"/>
        </w:rPr>
        <w:t> </w:t>
      </w:r>
      <w:r>
        <w:rPr>
          <w:spacing w:val="-2"/>
        </w:rPr>
        <w:t>respective</w:t>
      </w:r>
      <w:r>
        <w:rPr>
          <w:spacing w:val="-10"/>
        </w:rPr>
        <w:t> </w:t>
      </w:r>
      <w:r>
        <w:rPr>
          <w:spacing w:val="-2"/>
        </w:rPr>
        <w:t>MEE</w:t>
      </w:r>
      <w:r>
        <w:rPr>
          <w:spacing w:val="-10"/>
        </w:rPr>
        <w:t> </w:t>
      </w:r>
      <w:r>
        <w:rPr>
          <w:spacing w:val="-2"/>
        </w:rPr>
        <w:t>and</w:t>
      </w:r>
      <w:r>
        <w:rPr>
          <w:spacing w:val="-10"/>
        </w:rPr>
        <w:t> </w:t>
      </w:r>
      <w:r>
        <w:rPr>
          <w:spacing w:val="-2"/>
        </w:rPr>
        <w:t>the</w:t>
      </w:r>
      <w:r>
        <w:rPr>
          <w:spacing w:val="-10"/>
        </w:rPr>
        <w:t> </w:t>
      </w:r>
      <w:r>
        <w:rPr>
          <w:spacing w:val="-2"/>
        </w:rPr>
        <w:t>first</w:t>
      </w:r>
      <w:r>
        <w:rPr>
          <w:spacing w:val="-10"/>
        </w:rPr>
        <w:t> </w:t>
      </w:r>
      <w:r>
        <w:rPr>
          <w:spacing w:val="-2"/>
        </w:rPr>
        <w:t>employer</w:t>
      </w:r>
      <w:r>
        <w:rPr>
          <w:spacing w:val="-10"/>
        </w:rPr>
        <w:t> </w:t>
      </w:r>
      <w:r>
        <w:rPr>
          <w:spacing w:val="-2"/>
        </w:rPr>
        <w:t>cooperate </w:t>
      </w:r>
      <w:r>
        <w:rPr/>
        <w:t>with</w:t>
      </w:r>
      <w:r>
        <w:rPr>
          <w:spacing w:val="-4"/>
        </w:rPr>
        <w:t> </w:t>
      </w:r>
      <w:r>
        <w:rPr/>
        <w:t>the</w:t>
      </w:r>
      <w:r>
        <w:rPr>
          <w:spacing w:val="-4"/>
        </w:rPr>
        <w:t> </w:t>
      </w:r>
      <w:r>
        <w:rPr/>
        <w:t>banks.</w:t>
      </w:r>
      <w:r>
        <w:rPr>
          <w:spacing w:val="-4"/>
        </w:rPr>
        <w:t> </w:t>
      </w:r>
      <w:r>
        <w:rPr/>
        <w:t>MEEs</w:t>
      </w:r>
      <w:r>
        <w:rPr>
          <w:spacing w:val="-4"/>
        </w:rPr>
        <w:t> </w:t>
      </w:r>
      <w:r>
        <w:rPr/>
        <w:t>must</w:t>
      </w:r>
      <w:r>
        <w:rPr>
          <w:spacing w:val="-4"/>
        </w:rPr>
        <w:t> </w:t>
      </w:r>
      <w:r>
        <w:rPr/>
        <w:t>also</w:t>
      </w:r>
      <w:r>
        <w:rPr>
          <w:spacing w:val="-4"/>
        </w:rPr>
        <w:t> </w:t>
      </w:r>
      <w:r>
        <w:rPr/>
        <w:t>offer</w:t>
      </w:r>
      <w:r>
        <w:rPr>
          <w:spacing w:val="-4"/>
        </w:rPr>
        <w:t> </w:t>
      </w:r>
      <w:r>
        <w:rPr/>
        <w:t>scholarships</w:t>
      </w:r>
      <w:r>
        <w:rPr>
          <w:spacing w:val="-4"/>
        </w:rPr>
        <w:t> </w:t>
      </w:r>
      <w:r>
        <w:rPr/>
        <w:t>to socially disadvantaged students.</w:t>
      </w:r>
    </w:p>
    <w:p>
      <w:pPr>
        <w:pStyle w:val="Heading6"/>
        <w:numPr>
          <w:ilvl w:val="3"/>
          <w:numId w:val="26"/>
        </w:numPr>
        <w:tabs>
          <w:tab w:pos="1405" w:val="left" w:leader="none"/>
        </w:tabs>
        <w:spacing w:line="240" w:lineRule="auto" w:before="176" w:after="0"/>
        <w:ind w:left="1405" w:right="0" w:hanging="325"/>
        <w:jc w:val="left"/>
      </w:pPr>
      <w:r>
        <w:rPr>
          <w:color w:val="2E614A"/>
          <w:w w:val="90"/>
        </w:rPr>
        <w:t>Social</w:t>
      </w:r>
      <w:r>
        <w:rPr>
          <w:color w:val="2E614A"/>
          <w:spacing w:val="3"/>
        </w:rPr>
        <w:t> </w:t>
      </w:r>
      <w:r>
        <w:rPr>
          <w:color w:val="2E614A"/>
          <w:spacing w:val="-2"/>
        </w:rPr>
        <w:t>Context</w:t>
      </w:r>
    </w:p>
    <w:p>
      <w:pPr>
        <w:pStyle w:val="BodyText"/>
        <w:spacing w:line="266" w:lineRule="auto" w:before="285"/>
        <w:ind w:left="1080"/>
        <w:jc w:val="both"/>
      </w:pPr>
      <w:r>
        <w:rPr>
          <w:spacing w:val="-4"/>
        </w:rPr>
        <w:t>It</w:t>
      </w:r>
      <w:r>
        <w:rPr>
          <w:spacing w:val="-10"/>
        </w:rPr>
        <w:t> </w:t>
      </w:r>
      <w:r>
        <w:rPr>
          <w:spacing w:val="-4"/>
        </w:rPr>
        <w:t>is</w:t>
      </w:r>
      <w:r>
        <w:rPr>
          <w:spacing w:val="-10"/>
        </w:rPr>
        <w:t> </w:t>
      </w:r>
      <w:r>
        <w:rPr>
          <w:spacing w:val="-4"/>
        </w:rPr>
        <w:t>essential</w:t>
      </w:r>
      <w:r>
        <w:rPr>
          <w:spacing w:val="-10"/>
        </w:rPr>
        <w:t> </w:t>
      </w:r>
      <w:r>
        <w:rPr>
          <w:spacing w:val="-4"/>
        </w:rPr>
        <w:t>to</w:t>
      </w:r>
      <w:r>
        <w:rPr>
          <w:spacing w:val="-9"/>
        </w:rPr>
        <w:t> </w:t>
      </w:r>
      <w:r>
        <w:rPr>
          <w:spacing w:val="-4"/>
        </w:rPr>
        <w:t>widen</w:t>
      </w:r>
      <w:r>
        <w:rPr>
          <w:spacing w:val="-10"/>
        </w:rPr>
        <w:t> </w:t>
      </w:r>
      <w:r>
        <w:rPr>
          <w:spacing w:val="-4"/>
        </w:rPr>
        <w:t>the</w:t>
      </w:r>
      <w:r>
        <w:rPr>
          <w:spacing w:val="-10"/>
        </w:rPr>
        <w:t> </w:t>
      </w:r>
      <w:r>
        <w:rPr>
          <w:spacing w:val="-4"/>
        </w:rPr>
        <w:t>scope</w:t>
      </w:r>
      <w:r>
        <w:rPr>
          <w:spacing w:val="-10"/>
        </w:rPr>
        <w:t> </w:t>
      </w:r>
      <w:r>
        <w:rPr>
          <w:spacing w:val="-4"/>
        </w:rPr>
        <w:t>of</w:t>
      </w:r>
      <w:r>
        <w:rPr>
          <w:spacing w:val="-9"/>
        </w:rPr>
        <w:t> </w:t>
      </w:r>
      <w:r>
        <w:rPr>
          <w:spacing w:val="-4"/>
        </w:rPr>
        <w:t>management</w:t>
      </w:r>
      <w:r>
        <w:rPr>
          <w:spacing w:val="-10"/>
        </w:rPr>
        <w:t> </w:t>
      </w:r>
      <w:r>
        <w:rPr>
          <w:spacing w:val="-4"/>
        </w:rPr>
        <w:t>studies </w:t>
      </w:r>
      <w:r>
        <w:rPr/>
        <w:t>and</w:t>
      </w:r>
      <w:r>
        <w:rPr>
          <w:spacing w:val="-14"/>
        </w:rPr>
        <w:t> </w:t>
      </w:r>
      <w:r>
        <w:rPr/>
        <w:t>enhance</w:t>
      </w:r>
      <w:r>
        <w:rPr>
          <w:spacing w:val="-14"/>
        </w:rPr>
        <w:t> </w:t>
      </w:r>
      <w:r>
        <w:rPr/>
        <w:t>its</w:t>
      </w:r>
      <w:r>
        <w:rPr>
          <w:spacing w:val="-14"/>
        </w:rPr>
        <w:t> </w:t>
      </w:r>
      <w:r>
        <w:rPr/>
        <w:t>relevance.</w:t>
      </w:r>
    </w:p>
    <w:p>
      <w:pPr>
        <w:pStyle w:val="ListParagraph"/>
        <w:numPr>
          <w:ilvl w:val="4"/>
          <w:numId w:val="26"/>
        </w:numPr>
        <w:tabs>
          <w:tab w:pos="1439" w:val="left" w:leader="none"/>
        </w:tabs>
        <w:spacing w:line="266" w:lineRule="auto" w:before="0" w:after="0"/>
        <w:ind w:left="1439" w:right="2" w:hanging="360"/>
        <w:jc w:val="both"/>
        <w:rPr>
          <w:sz w:val="22"/>
        </w:rPr>
      </w:pPr>
      <w:r>
        <w:rPr>
          <w:sz w:val="22"/>
        </w:rPr>
        <w:t>Sensitise management education to our </w:t>
      </w:r>
      <w:r>
        <w:rPr>
          <w:sz w:val="22"/>
        </w:rPr>
        <w:t>unique </w:t>
      </w:r>
      <w:r>
        <w:rPr>
          <w:spacing w:val="-2"/>
          <w:sz w:val="22"/>
        </w:rPr>
        <w:t>socio-cultural</w:t>
      </w:r>
      <w:r>
        <w:rPr>
          <w:spacing w:val="-8"/>
          <w:sz w:val="22"/>
        </w:rPr>
        <w:t> </w:t>
      </w:r>
      <w:r>
        <w:rPr>
          <w:spacing w:val="-2"/>
          <w:sz w:val="22"/>
        </w:rPr>
        <w:t>situation</w:t>
      </w:r>
      <w:r>
        <w:rPr>
          <w:spacing w:val="-8"/>
          <w:sz w:val="22"/>
        </w:rPr>
        <w:t> </w:t>
      </w:r>
      <w:r>
        <w:rPr>
          <w:spacing w:val="-2"/>
          <w:sz w:val="22"/>
        </w:rPr>
        <w:t>by</w:t>
      </w:r>
      <w:r>
        <w:rPr>
          <w:spacing w:val="-8"/>
          <w:sz w:val="22"/>
        </w:rPr>
        <w:t> </w:t>
      </w:r>
      <w:r>
        <w:rPr>
          <w:spacing w:val="-2"/>
          <w:sz w:val="22"/>
        </w:rPr>
        <w:t>including</w:t>
      </w:r>
      <w:r>
        <w:rPr>
          <w:spacing w:val="-8"/>
          <w:sz w:val="22"/>
        </w:rPr>
        <w:t> </w:t>
      </w:r>
      <w:r>
        <w:rPr>
          <w:spacing w:val="-2"/>
          <w:sz w:val="22"/>
        </w:rPr>
        <w:t>India</w:t>
      </w:r>
      <w:r>
        <w:rPr>
          <w:spacing w:val="-8"/>
          <w:sz w:val="22"/>
        </w:rPr>
        <w:t> </w:t>
      </w:r>
      <w:r>
        <w:rPr>
          <w:spacing w:val="-2"/>
          <w:sz w:val="22"/>
        </w:rPr>
        <w:t>specific </w:t>
      </w:r>
      <w:r>
        <w:rPr>
          <w:sz w:val="22"/>
        </w:rPr>
        <w:t>case studies in the curriculum, reflecting our diversity and incorporating traditional wisdom.</w:t>
      </w:r>
    </w:p>
    <w:p>
      <w:pPr>
        <w:pStyle w:val="ListParagraph"/>
        <w:numPr>
          <w:ilvl w:val="4"/>
          <w:numId w:val="26"/>
        </w:numPr>
        <w:tabs>
          <w:tab w:pos="1439" w:val="left" w:leader="none"/>
        </w:tabs>
        <w:spacing w:line="266" w:lineRule="auto" w:before="0" w:after="0"/>
        <w:ind w:left="1439" w:right="0" w:hanging="360"/>
        <w:jc w:val="both"/>
        <w:rPr>
          <w:sz w:val="22"/>
        </w:rPr>
      </w:pPr>
      <w:r>
        <w:rPr>
          <w:w w:val="90"/>
          <w:sz w:val="22"/>
        </w:rPr>
        <w:t>Integrate management with other knowledge </w:t>
      </w:r>
      <w:r>
        <w:rPr>
          <w:w w:val="90"/>
          <w:sz w:val="22"/>
        </w:rPr>
        <w:t>sources </w:t>
      </w:r>
      <w:r>
        <w:rPr>
          <w:spacing w:val="-4"/>
          <w:sz w:val="22"/>
        </w:rPr>
        <w:t>and increase research funding for management and supporting</w:t>
      </w:r>
      <w:r>
        <w:rPr>
          <w:spacing w:val="-9"/>
          <w:sz w:val="22"/>
        </w:rPr>
        <w:t> </w:t>
      </w:r>
      <w:r>
        <w:rPr>
          <w:spacing w:val="-4"/>
          <w:sz w:val="22"/>
        </w:rPr>
        <w:t>disciplines.</w:t>
      </w:r>
      <w:r>
        <w:rPr>
          <w:spacing w:val="-10"/>
          <w:sz w:val="22"/>
        </w:rPr>
        <w:t> </w:t>
      </w:r>
      <w:r>
        <w:rPr>
          <w:spacing w:val="-4"/>
          <w:sz w:val="22"/>
        </w:rPr>
        <w:t>With</w:t>
      </w:r>
      <w:r>
        <w:rPr>
          <w:spacing w:val="-8"/>
          <w:sz w:val="22"/>
        </w:rPr>
        <w:t> </w:t>
      </w:r>
      <w:r>
        <w:rPr>
          <w:spacing w:val="-4"/>
          <w:sz w:val="22"/>
        </w:rPr>
        <w:t>globalisation,</w:t>
      </w:r>
      <w:r>
        <w:rPr>
          <w:spacing w:val="-8"/>
          <w:sz w:val="22"/>
        </w:rPr>
        <w:t> </w:t>
      </w:r>
      <w:r>
        <w:rPr>
          <w:spacing w:val="-4"/>
          <w:sz w:val="22"/>
        </w:rPr>
        <w:t>the</w:t>
      </w:r>
      <w:r>
        <w:rPr>
          <w:spacing w:val="-8"/>
          <w:sz w:val="22"/>
        </w:rPr>
        <w:t> </w:t>
      </w:r>
      <w:r>
        <w:rPr>
          <w:spacing w:val="-4"/>
          <w:sz w:val="22"/>
        </w:rPr>
        <w:t>need </w:t>
      </w:r>
      <w:r>
        <w:rPr>
          <w:spacing w:val="-2"/>
          <w:sz w:val="22"/>
        </w:rPr>
        <w:t>for</w:t>
      </w:r>
      <w:r>
        <w:rPr>
          <w:spacing w:val="-12"/>
          <w:sz w:val="22"/>
        </w:rPr>
        <w:t> </w:t>
      </w:r>
      <w:r>
        <w:rPr>
          <w:spacing w:val="-2"/>
          <w:sz w:val="22"/>
        </w:rPr>
        <w:t>management</w:t>
      </w:r>
      <w:r>
        <w:rPr>
          <w:spacing w:val="-12"/>
          <w:sz w:val="22"/>
        </w:rPr>
        <w:t> </w:t>
      </w:r>
      <w:r>
        <w:rPr>
          <w:spacing w:val="-2"/>
          <w:sz w:val="22"/>
        </w:rPr>
        <w:t>education</w:t>
      </w:r>
      <w:r>
        <w:rPr>
          <w:spacing w:val="-12"/>
          <w:sz w:val="22"/>
        </w:rPr>
        <w:t> </w:t>
      </w:r>
      <w:r>
        <w:rPr>
          <w:spacing w:val="-2"/>
          <w:sz w:val="22"/>
        </w:rPr>
        <w:t>to</w:t>
      </w:r>
      <w:r>
        <w:rPr>
          <w:spacing w:val="-11"/>
          <w:sz w:val="22"/>
        </w:rPr>
        <w:t> </w:t>
      </w:r>
      <w:r>
        <w:rPr>
          <w:spacing w:val="-2"/>
          <w:sz w:val="22"/>
        </w:rPr>
        <w:t>pursue</w:t>
      </w:r>
      <w:r>
        <w:rPr>
          <w:spacing w:val="-12"/>
          <w:sz w:val="22"/>
        </w:rPr>
        <w:t> </w:t>
      </w:r>
      <w:r>
        <w:rPr>
          <w:spacing w:val="-2"/>
          <w:sz w:val="22"/>
        </w:rPr>
        <w:t>a</w:t>
      </w:r>
      <w:r>
        <w:rPr>
          <w:spacing w:val="-12"/>
          <w:sz w:val="22"/>
        </w:rPr>
        <w:t> </w:t>
      </w:r>
      <w:r>
        <w:rPr>
          <w:spacing w:val="-2"/>
          <w:sz w:val="22"/>
        </w:rPr>
        <w:t>wider</w:t>
      </w:r>
      <w:r>
        <w:rPr>
          <w:spacing w:val="-12"/>
          <w:sz w:val="22"/>
        </w:rPr>
        <w:t> </w:t>
      </w:r>
      <w:r>
        <w:rPr>
          <w:spacing w:val="-2"/>
          <w:sz w:val="22"/>
        </w:rPr>
        <w:t>scope </w:t>
      </w:r>
      <w:r>
        <w:rPr>
          <w:spacing w:val="-6"/>
          <w:sz w:val="22"/>
        </w:rPr>
        <w:t>and</w:t>
      </w:r>
      <w:r>
        <w:rPr>
          <w:spacing w:val="-8"/>
          <w:sz w:val="22"/>
        </w:rPr>
        <w:t> </w:t>
      </w:r>
      <w:r>
        <w:rPr>
          <w:spacing w:val="-6"/>
          <w:sz w:val="22"/>
        </w:rPr>
        <w:t>realise</w:t>
      </w:r>
      <w:r>
        <w:rPr>
          <w:spacing w:val="-8"/>
          <w:sz w:val="22"/>
        </w:rPr>
        <w:t> </w:t>
      </w:r>
      <w:r>
        <w:rPr>
          <w:spacing w:val="-6"/>
          <w:sz w:val="22"/>
        </w:rPr>
        <w:t>a</w:t>
      </w:r>
      <w:r>
        <w:rPr>
          <w:spacing w:val="-8"/>
          <w:sz w:val="22"/>
        </w:rPr>
        <w:t> </w:t>
      </w:r>
      <w:r>
        <w:rPr>
          <w:spacing w:val="-6"/>
          <w:sz w:val="22"/>
        </w:rPr>
        <w:t>more</w:t>
      </w:r>
      <w:r>
        <w:rPr>
          <w:spacing w:val="-7"/>
          <w:sz w:val="22"/>
        </w:rPr>
        <w:t> </w:t>
      </w:r>
      <w:r>
        <w:rPr>
          <w:spacing w:val="-6"/>
          <w:sz w:val="22"/>
        </w:rPr>
        <w:t>wholesome</w:t>
      </w:r>
      <w:r>
        <w:rPr>
          <w:spacing w:val="-8"/>
          <w:sz w:val="22"/>
        </w:rPr>
        <w:t> </w:t>
      </w:r>
      <w:r>
        <w:rPr>
          <w:spacing w:val="-6"/>
          <w:sz w:val="22"/>
        </w:rPr>
        <w:t>impact</w:t>
      </w:r>
      <w:r>
        <w:rPr>
          <w:spacing w:val="-8"/>
          <w:sz w:val="22"/>
        </w:rPr>
        <w:t> </w:t>
      </w:r>
      <w:r>
        <w:rPr>
          <w:spacing w:val="-6"/>
          <w:sz w:val="22"/>
        </w:rPr>
        <w:t>on</w:t>
      </w:r>
      <w:r>
        <w:rPr>
          <w:spacing w:val="-8"/>
          <w:sz w:val="22"/>
        </w:rPr>
        <w:t> </w:t>
      </w:r>
      <w:r>
        <w:rPr>
          <w:spacing w:val="-6"/>
          <w:sz w:val="22"/>
        </w:rPr>
        <w:t>society</w:t>
      </w:r>
      <w:r>
        <w:rPr>
          <w:spacing w:val="-7"/>
          <w:sz w:val="22"/>
        </w:rPr>
        <w:t> </w:t>
      </w:r>
      <w:r>
        <w:rPr>
          <w:spacing w:val="-6"/>
          <w:sz w:val="22"/>
        </w:rPr>
        <w:t>has </w:t>
      </w:r>
      <w:r>
        <w:rPr>
          <w:spacing w:val="-4"/>
          <w:sz w:val="22"/>
        </w:rPr>
        <w:t>increased.</w:t>
      </w:r>
      <w:r>
        <w:rPr>
          <w:spacing w:val="-10"/>
          <w:sz w:val="22"/>
        </w:rPr>
        <w:t> </w:t>
      </w:r>
      <w:r>
        <w:rPr>
          <w:spacing w:val="-4"/>
          <w:sz w:val="22"/>
        </w:rPr>
        <w:t>Management</w:t>
      </w:r>
      <w:r>
        <w:rPr>
          <w:spacing w:val="-9"/>
          <w:sz w:val="22"/>
        </w:rPr>
        <w:t> </w:t>
      </w:r>
      <w:r>
        <w:rPr>
          <w:spacing w:val="-4"/>
          <w:sz w:val="22"/>
        </w:rPr>
        <w:t>departments</w:t>
      </w:r>
      <w:r>
        <w:rPr>
          <w:spacing w:val="-10"/>
          <w:sz w:val="22"/>
        </w:rPr>
        <w:t> </w:t>
      </w:r>
      <w:r>
        <w:rPr>
          <w:spacing w:val="-4"/>
          <w:sz w:val="22"/>
        </w:rPr>
        <w:t>in</w:t>
      </w:r>
      <w:r>
        <w:rPr>
          <w:spacing w:val="-9"/>
          <w:sz w:val="22"/>
        </w:rPr>
        <w:t> </w:t>
      </w:r>
      <w:r>
        <w:rPr>
          <w:spacing w:val="-4"/>
          <w:sz w:val="22"/>
        </w:rPr>
        <w:t>universities </w:t>
      </w:r>
      <w:r>
        <w:rPr>
          <w:sz w:val="22"/>
        </w:rPr>
        <w:t>should</w:t>
      </w:r>
      <w:r>
        <w:rPr>
          <w:spacing w:val="-14"/>
          <w:sz w:val="22"/>
        </w:rPr>
        <w:t> </w:t>
      </w:r>
      <w:r>
        <w:rPr>
          <w:sz w:val="22"/>
        </w:rPr>
        <w:t>therefore</w:t>
      </w:r>
      <w:r>
        <w:rPr>
          <w:spacing w:val="-14"/>
          <w:sz w:val="22"/>
        </w:rPr>
        <w:t> </w:t>
      </w:r>
      <w:r>
        <w:rPr>
          <w:sz w:val="22"/>
        </w:rPr>
        <w:t>draw</w:t>
      </w:r>
      <w:r>
        <w:rPr>
          <w:spacing w:val="-14"/>
          <w:sz w:val="22"/>
        </w:rPr>
        <w:t> </w:t>
      </w:r>
      <w:r>
        <w:rPr>
          <w:sz w:val="22"/>
        </w:rPr>
        <w:t>upon</w:t>
      </w:r>
      <w:r>
        <w:rPr>
          <w:spacing w:val="-13"/>
          <w:sz w:val="22"/>
        </w:rPr>
        <w:t> </w:t>
      </w:r>
      <w:r>
        <w:rPr>
          <w:sz w:val="22"/>
        </w:rPr>
        <w:t>knowledge</w:t>
      </w:r>
      <w:r>
        <w:rPr>
          <w:spacing w:val="-14"/>
          <w:sz w:val="22"/>
        </w:rPr>
        <w:t> </w:t>
      </w:r>
      <w:r>
        <w:rPr>
          <w:sz w:val="22"/>
        </w:rPr>
        <w:t>sources</w:t>
      </w:r>
      <w:r>
        <w:rPr>
          <w:spacing w:val="-14"/>
          <w:sz w:val="22"/>
        </w:rPr>
        <w:t> </w:t>
      </w:r>
      <w:r>
        <w:rPr>
          <w:sz w:val="22"/>
        </w:rPr>
        <w:t>in other departments.</w:t>
      </w:r>
    </w:p>
    <w:p>
      <w:pPr>
        <w:pStyle w:val="ListParagraph"/>
        <w:numPr>
          <w:ilvl w:val="4"/>
          <w:numId w:val="26"/>
        </w:numPr>
        <w:tabs>
          <w:tab w:pos="1439" w:val="left" w:leader="none"/>
        </w:tabs>
        <w:spacing w:line="266" w:lineRule="auto" w:before="0" w:after="0"/>
        <w:ind w:left="1439" w:right="1" w:hanging="360"/>
        <w:jc w:val="both"/>
        <w:rPr>
          <w:sz w:val="22"/>
        </w:rPr>
      </w:pPr>
      <w:r>
        <w:rPr>
          <w:sz w:val="22"/>
        </w:rPr>
        <w:t>Encourage MEEs to design and offer </w:t>
      </w:r>
      <w:r>
        <w:rPr>
          <w:sz w:val="22"/>
        </w:rPr>
        <w:t>executive programs</w:t>
      </w:r>
      <w:r>
        <w:rPr>
          <w:spacing w:val="80"/>
          <w:sz w:val="22"/>
        </w:rPr>
        <w:t> </w:t>
      </w:r>
      <w:r>
        <w:rPr>
          <w:sz w:val="22"/>
        </w:rPr>
        <w:t>for</w:t>
      </w:r>
      <w:r>
        <w:rPr>
          <w:spacing w:val="80"/>
          <w:sz w:val="22"/>
        </w:rPr>
        <w:t> </w:t>
      </w:r>
      <w:r>
        <w:rPr>
          <w:sz w:val="22"/>
        </w:rPr>
        <w:t>government</w:t>
      </w:r>
      <w:r>
        <w:rPr>
          <w:spacing w:val="80"/>
          <w:sz w:val="22"/>
        </w:rPr>
        <w:t> </w:t>
      </w:r>
      <w:r>
        <w:rPr>
          <w:sz w:val="22"/>
        </w:rPr>
        <w:t>officials,</w:t>
      </w:r>
      <w:r>
        <w:rPr>
          <w:spacing w:val="80"/>
          <w:sz w:val="22"/>
        </w:rPr>
        <w:t> </w:t>
      </w:r>
      <w:r>
        <w:rPr>
          <w:sz w:val="22"/>
        </w:rPr>
        <w:t>NGOs and defence personnel. Short term courses for </w:t>
      </w:r>
      <w:r>
        <w:rPr>
          <w:spacing w:val="-2"/>
          <w:sz w:val="22"/>
        </w:rPr>
        <w:t>government</w:t>
      </w:r>
      <w:r>
        <w:rPr>
          <w:spacing w:val="-11"/>
          <w:sz w:val="22"/>
        </w:rPr>
        <w:t> </w:t>
      </w:r>
      <w:r>
        <w:rPr>
          <w:spacing w:val="-2"/>
          <w:sz w:val="22"/>
        </w:rPr>
        <w:t>officials</w:t>
      </w:r>
      <w:r>
        <w:rPr>
          <w:spacing w:val="-11"/>
          <w:sz w:val="22"/>
        </w:rPr>
        <w:t> </w:t>
      </w:r>
      <w:r>
        <w:rPr>
          <w:spacing w:val="-2"/>
          <w:sz w:val="22"/>
        </w:rPr>
        <w:t>will</w:t>
      </w:r>
      <w:r>
        <w:rPr>
          <w:spacing w:val="-11"/>
          <w:sz w:val="22"/>
        </w:rPr>
        <w:t> </w:t>
      </w:r>
      <w:r>
        <w:rPr>
          <w:spacing w:val="-2"/>
          <w:sz w:val="22"/>
        </w:rPr>
        <w:t>help</w:t>
      </w:r>
      <w:r>
        <w:rPr>
          <w:spacing w:val="-11"/>
          <w:sz w:val="22"/>
        </w:rPr>
        <w:t> </w:t>
      </w:r>
      <w:r>
        <w:rPr>
          <w:spacing w:val="-2"/>
          <w:sz w:val="22"/>
        </w:rPr>
        <w:t>them</w:t>
      </w:r>
      <w:r>
        <w:rPr>
          <w:spacing w:val="-11"/>
          <w:sz w:val="22"/>
        </w:rPr>
        <w:t> </w:t>
      </w:r>
      <w:r>
        <w:rPr>
          <w:spacing w:val="-2"/>
          <w:sz w:val="22"/>
        </w:rPr>
        <w:t>in</w:t>
      </w:r>
      <w:r>
        <w:rPr>
          <w:spacing w:val="-11"/>
          <w:sz w:val="22"/>
        </w:rPr>
        <w:t> </w:t>
      </w:r>
      <w:r>
        <w:rPr>
          <w:spacing w:val="-2"/>
          <w:sz w:val="22"/>
        </w:rPr>
        <w:t>their</w:t>
      </w:r>
      <w:r>
        <w:rPr>
          <w:spacing w:val="-11"/>
          <w:sz w:val="22"/>
        </w:rPr>
        <w:t> </w:t>
      </w:r>
      <w:r>
        <w:rPr>
          <w:spacing w:val="-2"/>
          <w:sz w:val="22"/>
        </w:rPr>
        <w:t>role</w:t>
      </w:r>
      <w:r>
        <w:rPr>
          <w:spacing w:val="-11"/>
          <w:sz w:val="22"/>
        </w:rPr>
        <w:t> </w:t>
      </w:r>
      <w:r>
        <w:rPr>
          <w:spacing w:val="-2"/>
          <w:sz w:val="22"/>
        </w:rPr>
        <w:t>as </w:t>
      </w:r>
      <w:r>
        <w:rPr>
          <w:sz w:val="22"/>
        </w:rPr>
        <w:t>economic managers.</w:t>
      </w:r>
    </w:p>
    <w:p>
      <w:pPr>
        <w:pStyle w:val="ListParagraph"/>
        <w:numPr>
          <w:ilvl w:val="4"/>
          <w:numId w:val="26"/>
        </w:numPr>
        <w:tabs>
          <w:tab w:pos="1439" w:val="left" w:leader="none"/>
        </w:tabs>
        <w:spacing w:line="266" w:lineRule="auto" w:before="0" w:after="0"/>
        <w:ind w:left="1439" w:right="0" w:hanging="360"/>
        <w:jc w:val="both"/>
        <w:rPr>
          <w:sz w:val="22"/>
        </w:rPr>
      </w:pPr>
      <w:r>
        <w:rPr>
          <w:spacing w:val="-6"/>
          <w:sz w:val="22"/>
        </w:rPr>
        <w:t>RevamptheexistingBachelor’sdegreeinmanagement, </w:t>
      </w:r>
      <w:r>
        <w:rPr>
          <w:spacing w:val="-4"/>
          <w:sz w:val="22"/>
        </w:rPr>
        <w:t>the Bachelor’s in Business Administration, to </w:t>
      </w:r>
      <w:r>
        <w:rPr>
          <w:spacing w:val="-4"/>
          <w:sz w:val="22"/>
        </w:rPr>
        <w:t>cater </w:t>
      </w:r>
      <w:r>
        <w:rPr>
          <w:sz w:val="22"/>
        </w:rPr>
        <w:t>to</w:t>
      </w:r>
      <w:r>
        <w:rPr>
          <w:spacing w:val="-14"/>
          <w:sz w:val="22"/>
        </w:rPr>
        <w:t> </w:t>
      </w:r>
      <w:r>
        <w:rPr>
          <w:sz w:val="22"/>
        </w:rPr>
        <w:t>the</w:t>
      </w:r>
      <w:r>
        <w:rPr>
          <w:spacing w:val="-14"/>
          <w:sz w:val="22"/>
        </w:rPr>
        <w:t> </w:t>
      </w:r>
      <w:r>
        <w:rPr>
          <w:sz w:val="22"/>
        </w:rPr>
        <w:t>burgeoning</w:t>
      </w:r>
      <w:r>
        <w:rPr>
          <w:spacing w:val="-14"/>
          <w:sz w:val="22"/>
        </w:rPr>
        <w:t> </w:t>
      </w:r>
      <w:r>
        <w:rPr>
          <w:sz w:val="22"/>
        </w:rPr>
        <w:t>need</w:t>
      </w:r>
      <w:r>
        <w:rPr>
          <w:spacing w:val="-13"/>
          <w:sz w:val="22"/>
        </w:rPr>
        <w:t> </w:t>
      </w:r>
      <w:r>
        <w:rPr>
          <w:sz w:val="22"/>
        </w:rPr>
        <w:t>of</w:t>
      </w:r>
      <w:r>
        <w:rPr>
          <w:spacing w:val="-14"/>
          <w:sz w:val="22"/>
        </w:rPr>
        <w:t> </w:t>
      </w:r>
      <w:r>
        <w:rPr>
          <w:sz w:val="22"/>
        </w:rPr>
        <w:t>management</w:t>
      </w:r>
      <w:r>
        <w:rPr>
          <w:spacing w:val="-14"/>
          <w:sz w:val="22"/>
        </w:rPr>
        <w:t> </w:t>
      </w:r>
      <w:r>
        <w:rPr>
          <w:sz w:val="22"/>
        </w:rPr>
        <w:t>graduates. Compulsory apprenticeship in organisations and study of under managed sector areas should be included as part of the program. The current bookish</w:t>
      </w:r>
      <w:r>
        <w:rPr>
          <w:spacing w:val="-2"/>
          <w:sz w:val="22"/>
        </w:rPr>
        <w:t> </w:t>
      </w:r>
      <w:r>
        <w:rPr>
          <w:sz w:val="22"/>
        </w:rPr>
        <w:t>nature</w:t>
      </w:r>
      <w:r>
        <w:rPr>
          <w:spacing w:val="-2"/>
          <w:sz w:val="22"/>
        </w:rPr>
        <w:t> </w:t>
      </w:r>
      <w:r>
        <w:rPr>
          <w:sz w:val="22"/>
        </w:rPr>
        <w:t>of</w:t>
      </w:r>
      <w:r>
        <w:rPr>
          <w:spacing w:val="-2"/>
          <w:sz w:val="22"/>
        </w:rPr>
        <w:t> </w:t>
      </w:r>
      <w:r>
        <w:rPr>
          <w:sz w:val="22"/>
        </w:rPr>
        <w:t>the</w:t>
      </w:r>
      <w:r>
        <w:rPr>
          <w:spacing w:val="-2"/>
          <w:sz w:val="22"/>
        </w:rPr>
        <w:t> </w:t>
      </w:r>
      <w:r>
        <w:rPr>
          <w:sz w:val="22"/>
        </w:rPr>
        <w:t>curriculum</w:t>
      </w:r>
      <w:r>
        <w:rPr>
          <w:spacing w:val="-2"/>
          <w:sz w:val="22"/>
        </w:rPr>
        <w:t> </w:t>
      </w:r>
      <w:r>
        <w:rPr>
          <w:sz w:val="22"/>
        </w:rPr>
        <w:t>is</w:t>
      </w:r>
      <w:r>
        <w:rPr>
          <w:spacing w:val="-2"/>
          <w:sz w:val="22"/>
        </w:rPr>
        <w:t> </w:t>
      </w:r>
      <w:r>
        <w:rPr>
          <w:sz w:val="22"/>
        </w:rPr>
        <w:t>not</w:t>
      </w:r>
      <w:r>
        <w:rPr>
          <w:spacing w:val="-2"/>
          <w:sz w:val="22"/>
        </w:rPr>
        <w:t> </w:t>
      </w:r>
      <w:r>
        <w:rPr>
          <w:sz w:val="22"/>
        </w:rPr>
        <w:t>sufficient to</w:t>
      </w:r>
      <w:r>
        <w:rPr>
          <w:spacing w:val="-10"/>
          <w:sz w:val="22"/>
        </w:rPr>
        <w:t> </w:t>
      </w:r>
      <w:r>
        <w:rPr>
          <w:sz w:val="22"/>
        </w:rPr>
        <w:t>prepare</w:t>
      </w:r>
      <w:r>
        <w:rPr>
          <w:spacing w:val="-10"/>
          <w:sz w:val="22"/>
        </w:rPr>
        <w:t> </w:t>
      </w:r>
      <w:r>
        <w:rPr>
          <w:sz w:val="22"/>
        </w:rPr>
        <w:t>students</w:t>
      </w:r>
      <w:r>
        <w:rPr>
          <w:spacing w:val="-10"/>
          <w:sz w:val="22"/>
        </w:rPr>
        <w:t> </w:t>
      </w:r>
      <w:r>
        <w:rPr>
          <w:sz w:val="22"/>
        </w:rPr>
        <w:t>for</w:t>
      </w:r>
      <w:r>
        <w:rPr>
          <w:spacing w:val="-10"/>
          <w:sz w:val="22"/>
        </w:rPr>
        <w:t> </w:t>
      </w:r>
      <w:r>
        <w:rPr>
          <w:sz w:val="22"/>
        </w:rPr>
        <w:t>junior</w:t>
      </w:r>
      <w:r>
        <w:rPr>
          <w:spacing w:val="-10"/>
          <w:sz w:val="22"/>
        </w:rPr>
        <w:t> </w:t>
      </w:r>
      <w:r>
        <w:rPr>
          <w:sz w:val="22"/>
        </w:rPr>
        <w:t>management</w:t>
      </w:r>
      <w:r>
        <w:rPr>
          <w:spacing w:val="-10"/>
          <w:sz w:val="22"/>
        </w:rPr>
        <w:t> </w:t>
      </w:r>
      <w:r>
        <w:rPr>
          <w:sz w:val="22"/>
        </w:rPr>
        <w:t>levels.</w:t>
      </w:r>
    </w:p>
    <w:p>
      <w:pPr>
        <w:pStyle w:val="ListParagraph"/>
        <w:numPr>
          <w:ilvl w:val="4"/>
          <w:numId w:val="26"/>
        </w:numPr>
        <w:tabs>
          <w:tab w:pos="1439" w:val="left" w:leader="none"/>
        </w:tabs>
        <w:spacing w:line="266" w:lineRule="auto" w:before="0" w:after="0"/>
        <w:ind w:left="1439" w:right="1" w:hanging="360"/>
        <w:jc w:val="both"/>
        <w:rPr>
          <w:sz w:val="22"/>
        </w:rPr>
      </w:pPr>
      <w:r>
        <w:rPr>
          <w:sz w:val="22"/>
        </w:rPr>
        <w:t>Distance learning has considerable potential </w:t>
      </w:r>
      <w:r>
        <w:rPr>
          <w:sz w:val="22"/>
        </w:rPr>
        <w:t>in this domain. We therefore need to fully realise the</w:t>
      </w:r>
      <w:r>
        <w:rPr>
          <w:spacing w:val="-3"/>
          <w:sz w:val="22"/>
        </w:rPr>
        <w:t> </w:t>
      </w:r>
      <w:r>
        <w:rPr>
          <w:sz w:val="22"/>
        </w:rPr>
        <w:t>potential</w:t>
      </w:r>
      <w:r>
        <w:rPr>
          <w:spacing w:val="-4"/>
          <w:sz w:val="22"/>
        </w:rPr>
        <w:t> </w:t>
      </w:r>
      <w:r>
        <w:rPr>
          <w:sz w:val="22"/>
        </w:rPr>
        <w:t>of</w:t>
      </w:r>
      <w:r>
        <w:rPr>
          <w:spacing w:val="-3"/>
          <w:sz w:val="22"/>
        </w:rPr>
        <w:t> </w:t>
      </w:r>
      <w:r>
        <w:rPr>
          <w:sz w:val="22"/>
        </w:rPr>
        <w:t>Online</w:t>
      </w:r>
      <w:r>
        <w:rPr>
          <w:spacing w:val="-3"/>
          <w:sz w:val="22"/>
        </w:rPr>
        <w:t> </w:t>
      </w:r>
      <w:r>
        <w:rPr>
          <w:sz w:val="22"/>
        </w:rPr>
        <w:t>Management</w:t>
      </w:r>
      <w:r>
        <w:rPr>
          <w:spacing w:val="-4"/>
          <w:sz w:val="22"/>
        </w:rPr>
        <w:t> </w:t>
      </w:r>
      <w:r>
        <w:rPr>
          <w:sz w:val="22"/>
        </w:rPr>
        <w:t>Programs</w:t>
      </w:r>
      <w:r>
        <w:rPr>
          <w:spacing w:val="-3"/>
          <w:sz w:val="22"/>
        </w:rPr>
        <w:t> </w:t>
      </w:r>
      <w:r>
        <w:rPr>
          <w:sz w:val="22"/>
        </w:rPr>
        <w:t>to bridge the demand-supply gap.</w:t>
      </w:r>
    </w:p>
    <w:p>
      <w:pPr>
        <w:pStyle w:val="Heading6"/>
        <w:numPr>
          <w:ilvl w:val="0"/>
          <w:numId w:val="26"/>
        </w:numPr>
        <w:tabs>
          <w:tab w:pos="641" w:val="left" w:leader="none"/>
        </w:tabs>
        <w:spacing w:line="240" w:lineRule="auto" w:before="57" w:after="0"/>
        <w:ind w:left="641" w:right="0" w:hanging="325"/>
        <w:jc w:val="left"/>
        <w:rPr>
          <w:color w:val="2E614A"/>
        </w:rPr>
      </w:pPr>
      <w:r>
        <w:rPr>
          <w:b w:val="0"/>
        </w:rPr>
        <w:br w:type="column"/>
      </w:r>
      <w:r>
        <w:rPr>
          <w:color w:val="2E614A"/>
          <w:w w:val="90"/>
        </w:rPr>
        <w:t>Faculty</w:t>
      </w:r>
      <w:r>
        <w:rPr>
          <w:color w:val="2E614A"/>
          <w:spacing w:val="-8"/>
          <w:w w:val="90"/>
        </w:rPr>
        <w:t> </w:t>
      </w:r>
      <w:r>
        <w:rPr>
          <w:color w:val="2E614A"/>
          <w:spacing w:val="-2"/>
        </w:rPr>
        <w:t>Development</w:t>
      </w:r>
    </w:p>
    <w:p>
      <w:pPr>
        <w:pStyle w:val="BodyText"/>
        <w:spacing w:line="266" w:lineRule="auto" w:before="285"/>
        <w:ind w:left="316" w:right="1077"/>
        <w:jc w:val="both"/>
      </w:pPr>
      <w:r>
        <w:rPr/>
        <w:t>Non availability of adequate proficient faculty is a major constraint for sustainable growth of quality management education in India. An autonomous, financially sound and academically credible institute with active support from the leading management institutes,</w:t>
      </w:r>
      <w:r>
        <w:rPr>
          <w:spacing w:val="40"/>
        </w:rPr>
        <w:t> </w:t>
      </w:r>
      <w:r>
        <w:rPr/>
        <w:t>industry</w:t>
      </w:r>
      <w:r>
        <w:rPr>
          <w:spacing w:val="40"/>
        </w:rPr>
        <w:t> </w:t>
      </w:r>
      <w:r>
        <w:rPr/>
        <w:t>and</w:t>
      </w:r>
      <w:r>
        <w:rPr>
          <w:spacing w:val="40"/>
        </w:rPr>
        <w:t> </w:t>
      </w:r>
      <w:r>
        <w:rPr/>
        <w:t>Government</w:t>
      </w:r>
      <w:r>
        <w:rPr>
          <w:spacing w:val="40"/>
        </w:rPr>
        <w:t> </w:t>
      </w:r>
      <w:r>
        <w:rPr/>
        <w:t>should</w:t>
      </w:r>
      <w:r>
        <w:rPr>
          <w:spacing w:val="40"/>
        </w:rPr>
        <w:t> </w:t>
      </w:r>
      <w:r>
        <w:rPr/>
        <w:t>be</w:t>
      </w:r>
      <w:r>
        <w:rPr>
          <w:spacing w:val="40"/>
        </w:rPr>
        <w:t> </w:t>
      </w:r>
      <w:r>
        <w:rPr/>
        <w:t>set up</w:t>
      </w:r>
      <w:r>
        <w:rPr>
          <w:spacing w:val="-7"/>
        </w:rPr>
        <w:t> </w:t>
      </w:r>
      <w:r>
        <w:rPr/>
        <w:t>for</w:t>
      </w:r>
      <w:r>
        <w:rPr>
          <w:spacing w:val="-7"/>
        </w:rPr>
        <w:t> </w:t>
      </w:r>
      <w:r>
        <w:rPr/>
        <w:t>faculty</w:t>
      </w:r>
      <w:r>
        <w:rPr>
          <w:spacing w:val="-7"/>
        </w:rPr>
        <w:t> </w:t>
      </w:r>
      <w:r>
        <w:rPr/>
        <w:t>development.</w:t>
      </w:r>
      <w:r>
        <w:rPr>
          <w:spacing w:val="-7"/>
        </w:rPr>
        <w:t> </w:t>
      </w:r>
      <w:r>
        <w:rPr/>
        <w:t>Standards</w:t>
      </w:r>
      <w:r>
        <w:rPr>
          <w:spacing w:val="-7"/>
        </w:rPr>
        <w:t> </w:t>
      </w:r>
      <w:r>
        <w:rPr/>
        <w:t>for</w:t>
      </w:r>
      <w:r>
        <w:rPr>
          <w:spacing w:val="-7"/>
        </w:rPr>
        <w:t> </w:t>
      </w:r>
      <w:r>
        <w:rPr/>
        <w:t>curriculum covering the entire spectrum need to be set. Active involvement</w:t>
      </w:r>
      <w:r>
        <w:rPr>
          <w:spacing w:val="-8"/>
        </w:rPr>
        <w:t> </w:t>
      </w:r>
      <w:r>
        <w:rPr/>
        <w:t>of</w:t>
      </w:r>
      <w:r>
        <w:rPr>
          <w:spacing w:val="-8"/>
        </w:rPr>
        <w:t> </w:t>
      </w:r>
      <w:r>
        <w:rPr/>
        <w:t>MEE</w:t>
      </w:r>
      <w:r>
        <w:rPr>
          <w:spacing w:val="-8"/>
        </w:rPr>
        <w:t> </w:t>
      </w:r>
      <w:r>
        <w:rPr/>
        <w:t>faculty</w:t>
      </w:r>
      <w:r>
        <w:rPr>
          <w:spacing w:val="-8"/>
        </w:rPr>
        <w:t> </w:t>
      </w:r>
      <w:r>
        <w:rPr/>
        <w:t>in</w:t>
      </w:r>
      <w:r>
        <w:rPr>
          <w:spacing w:val="-8"/>
        </w:rPr>
        <w:t> </w:t>
      </w:r>
      <w:r>
        <w:rPr/>
        <w:t>training,</w:t>
      </w:r>
      <w:r>
        <w:rPr>
          <w:spacing w:val="-8"/>
        </w:rPr>
        <w:t> </w:t>
      </w:r>
      <w:r>
        <w:rPr/>
        <w:t>conferences, industry engagement and curriculum revision should be encouraged. Given the current demand-supply gap, additional faculty would need to be attracted by appropriate incentives.</w:t>
      </w:r>
    </w:p>
    <w:p>
      <w:pPr>
        <w:pStyle w:val="Heading6"/>
        <w:numPr>
          <w:ilvl w:val="0"/>
          <w:numId w:val="26"/>
        </w:numPr>
        <w:tabs>
          <w:tab w:pos="641" w:val="left" w:leader="none"/>
        </w:tabs>
        <w:spacing w:line="240" w:lineRule="auto" w:before="176" w:after="0"/>
        <w:ind w:left="641" w:right="0" w:hanging="325"/>
        <w:jc w:val="left"/>
        <w:rPr>
          <w:color w:val="2E614A"/>
        </w:rPr>
      </w:pPr>
      <w:r>
        <w:rPr>
          <w:color w:val="2E614A"/>
          <w:spacing w:val="-2"/>
        </w:rPr>
        <w:t>Mentoring</w:t>
      </w:r>
    </w:p>
    <w:p>
      <w:pPr>
        <w:pStyle w:val="BodyText"/>
        <w:spacing w:line="266" w:lineRule="auto" w:before="286"/>
        <w:ind w:left="316" w:right="1077"/>
        <w:jc w:val="both"/>
      </w:pPr>
      <w:r>
        <w:rPr/>
        <w:t>To achieve excellence in the field of </w:t>
      </w:r>
      <w:r>
        <w:rPr/>
        <w:t>management, NKC recommends that all the leading Management Institutions adopt 3-4 MEEs for mentoring and upgradation of quality. Funding and other modalities can be mutually worked out between the institutions.</w:t>
      </w:r>
    </w:p>
    <w:p>
      <w:pPr>
        <w:pStyle w:val="Heading6"/>
        <w:numPr>
          <w:ilvl w:val="0"/>
          <w:numId w:val="26"/>
        </w:numPr>
        <w:tabs>
          <w:tab w:pos="641" w:val="left" w:leader="none"/>
        </w:tabs>
        <w:spacing w:line="240" w:lineRule="auto" w:before="182" w:after="0"/>
        <w:ind w:left="641" w:right="0" w:hanging="325"/>
        <w:jc w:val="left"/>
        <w:rPr>
          <w:color w:val="2E614A"/>
        </w:rPr>
      </w:pPr>
      <w:r>
        <w:rPr>
          <w:color w:val="2E614A"/>
        </w:rPr>
        <w:t>New</w:t>
      </w:r>
      <w:r>
        <w:rPr>
          <w:color w:val="2E614A"/>
          <w:spacing w:val="-17"/>
        </w:rPr>
        <w:t> </w:t>
      </w:r>
      <w:r>
        <w:rPr>
          <w:color w:val="2E614A"/>
          <w:spacing w:val="-2"/>
        </w:rPr>
        <w:t>Institutions</w:t>
      </w:r>
    </w:p>
    <w:p>
      <w:pPr>
        <w:pStyle w:val="BodyText"/>
        <w:spacing w:line="266" w:lineRule="auto" w:before="286"/>
        <w:ind w:left="316" w:right="1077"/>
        <w:jc w:val="both"/>
      </w:pPr>
      <w:r>
        <w:rPr/>
        <w:t>There is a need for a new wave of </w:t>
      </w:r>
      <w:r>
        <w:rPr/>
        <w:t>management institutions which will focus on entrepreneurship, </w:t>
      </w:r>
      <w:r>
        <w:rPr>
          <w:spacing w:val="-6"/>
        </w:rPr>
        <w:t>leadership</w:t>
      </w:r>
      <w:r>
        <w:rPr>
          <w:spacing w:val="-2"/>
        </w:rPr>
        <w:t> </w:t>
      </w:r>
      <w:r>
        <w:rPr>
          <w:spacing w:val="-6"/>
        </w:rPr>
        <w:t>and</w:t>
      </w:r>
      <w:r>
        <w:rPr/>
        <w:t> </w:t>
      </w:r>
      <w:r>
        <w:rPr>
          <w:spacing w:val="-6"/>
        </w:rPr>
        <w:t>innovation.</w:t>
      </w:r>
      <w:r>
        <w:rPr>
          <w:spacing w:val="-8"/>
        </w:rPr>
        <w:t> </w:t>
      </w:r>
      <w:r>
        <w:rPr>
          <w:spacing w:val="-6"/>
        </w:rPr>
        <w:t>These</w:t>
      </w:r>
      <w:r>
        <w:rPr/>
        <w:t> </w:t>
      </w:r>
      <w:r>
        <w:rPr>
          <w:spacing w:val="-6"/>
        </w:rPr>
        <w:t>institutions</w:t>
      </w:r>
      <w:r>
        <w:rPr/>
        <w:t> </w:t>
      </w:r>
      <w:r>
        <w:rPr>
          <w:spacing w:val="-6"/>
        </w:rPr>
        <w:t>will</w:t>
      </w:r>
      <w:r>
        <w:rPr/>
        <w:t> </w:t>
      </w:r>
      <w:r>
        <w:rPr>
          <w:spacing w:val="-6"/>
        </w:rPr>
        <w:t>enable </w:t>
      </w:r>
      <w:r>
        <w:rPr>
          <w:spacing w:val="-4"/>
        </w:rPr>
        <w:t>to</w:t>
      </w:r>
      <w:r>
        <w:rPr>
          <w:spacing w:val="-7"/>
        </w:rPr>
        <w:t> </w:t>
      </w:r>
      <w:r>
        <w:rPr>
          <w:spacing w:val="-4"/>
        </w:rPr>
        <w:t>launch</w:t>
      </w:r>
      <w:r>
        <w:rPr>
          <w:spacing w:val="-7"/>
        </w:rPr>
        <w:t> </w:t>
      </w:r>
      <w:r>
        <w:rPr>
          <w:spacing w:val="-4"/>
        </w:rPr>
        <w:t>India</w:t>
      </w:r>
      <w:r>
        <w:rPr>
          <w:spacing w:val="-7"/>
        </w:rPr>
        <w:t> </w:t>
      </w:r>
      <w:r>
        <w:rPr>
          <w:spacing w:val="-4"/>
        </w:rPr>
        <w:t>into</w:t>
      </w:r>
      <w:r>
        <w:rPr>
          <w:spacing w:val="-7"/>
        </w:rPr>
        <w:t> </w:t>
      </w:r>
      <w:r>
        <w:rPr>
          <w:spacing w:val="-4"/>
        </w:rPr>
        <w:t>the</w:t>
      </w:r>
      <w:r>
        <w:rPr>
          <w:spacing w:val="-7"/>
        </w:rPr>
        <w:t> </w:t>
      </w:r>
      <w:r>
        <w:rPr>
          <w:spacing w:val="-4"/>
        </w:rPr>
        <w:t>global</w:t>
      </w:r>
      <w:r>
        <w:rPr>
          <w:spacing w:val="-7"/>
        </w:rPr>
        <w:t> </w:t>
      </w:r>
      <w:r>
        <w:rPr>
          <w:spacing w:val="-4"/>
        </w:rPr>
        <w:t>arena,</w:t>
      </w:r>
      <w:r>
        <w:rPr>
          <w:spacing w:val="-7"/>
        </w:rPr>
        <w:t> </w:t>
      </w:r>
      <w:r>
        <w:rPr>
          <w:spacing w:val="-4"/>
        </w:rPr>
        <w:t>without</w:t>
      </w:r>
      <w:r>
        <w:rPr>
          <w:spacing w:val="-7"/>
        </w:rPr>
        <w:t> </w:t>
      </w:r>
      <w:r>
        <w:rPr>
          <w:spacing w:val="-4"/>
        </w:rPr>
        <w:t>the</w:t>
      </w:r>
      <w:r>
        <w:rPr>
          <w:spacing w:val="-7"/>
        </w:rPr>
        <w:t> </w:t>
      </w:r>
      <w:r>
        <w:rPr>
          <w:spacing w:val="-4"/>
        </w:rPr>
        <w:t>legacy </w:t>
      </w:r>
      <w:r>
        <w:rPr/>
        <w:t>associated</w:t>
      </w:r>
      <w:r>
        <w:rPr>
          <w:spacing w:val="-9"/>
        </w:rPr>
        <w:t> </w:t>
      </w:r>
      <w:r>
        <w:rPr/>
        <w:t>with</w:t>
      </w:r>
      <w:r>
        <w:rPr>
          <w:spacing w:val="-9"/>
        </w:rPr>
        <w:t> </w:t>
      </w:r>
      <w:r>
        <w:rPr/>
        <w:t>operating</w:t>
      </w:r>
      <w:r>
        <w:rPr>
          <w:spacing w:val="-9"/>
        </w:rPr>
        <w:t> </w:t>
      </w:r>
      <w:r>
        <w:rPr/>
        <w:t>in</w:t>
      </w:r>
      <w:r>
        <w:rPr>
          <w:spacing w:val="-9"/>
        </w:rPr>
        <w:t> </w:t>
      </w:r>
      <w:r>
        <w:rPr/>
        <w:t>a</w:t>
      </w:r>
      <w:r>
        <w:rPr>
          <w:spacing w:val="-9"/>
        </w:rPr>
        <w:t> </w:t>
      </w:r>
      <w:r>
        <w:rPr/>
        <w:t>protected</w:t>
      </w:r>
      <w:r>
        <w:rPr>
          <w:spacing w:val="-9"/>
        </w:rPr>
        <w:t> </w:t>
      </w:r>
      <w:r>
        <w:rPr/>
        <w:t>environment. </w:t>
      </w:r>
      <w:r>
        <w:rPr>
          <w:spacing w:val="-4"/>
        </w:rPr>
        <w:t>These</w:t>
      </w:r>
      <w:r>
        <w:rPr>
          <w:spacing w:val="-10"/>
        </w:rPr>
        <w:t> </w:t>
      </w:r>
      <w:r>
        <w:rPr>
          <w:spacing w:val="-4"/>
        </w:rPr>
        <w:t>institutions</w:t>
      </w:r>
      <w:r>
        <w:rPr>
          <w:spacing w:val="-10"/>
        </w:rPr>
        <w:t> </w:t>
      </w:r>
      <w:r>
        <w:rPr>
          <w:spacing w:val="-4"/>
        </w:rPr>
        <w:t>should</w:t>
      </w:r>
      <w:r>
        <w:rPr>
          <w:spacing w:val="-10"/>
        </w:rPr>
        <w:t> </w:t>
      </w:r>
      <w:r>
        <w:rPr>
          <w:spacing w:val="-4"/>
        </w:rPr>
        <w:t>set</w:t>
      </w:r>
      <w:r>
        <w:rPr>
          <w:spacing w:val="-9"/>
        </w:rPr>
        <w:t> </w:t>
      </w:r>
      <w:r>
        <w:rPr>
          <w:spacing w:val="-4"/>
        </w:rPr>
        <w:t>new</w:t>
      </w:r>
      <w:r>
        <w:rPr>
          <w:spacing w:val="-10"/>
        </w:rPr>
        <w:t> </w:t>
      </w:r>
      <w:r>
        <w:rPr>
          <w:spacing w:val="-4"/>
        </w:rPr>
        <w:t>standards</w:t>
      </w:r>
      <w:r>
        <w:rPr>
          <w:spacing w:val="-10"/>
        </w:rPr>
        <w:t> </w:t>
      </w:r>
      <w:r>
        <w:rPr>
          <w:spacing w:val="-4"/>
        </w:rPr>
        <w:t>and</w:t>
      </w:r>
      <w:r>
        <w:rPr>
          <w:spacing w:val="-10"/>
        </w:rPr>
        <w:t> </w:t>
      </w:r>
      <w:r>
        <w:rPr>
          <w:spacing w:val="-4"/>
        </w:rPr>
        <w:t>become </w:t>
      </w:r>
      <w:r>
        <w:rPr/>
        <w:t>role</w:t>
      </w:r>
      <w:r>
        <w:rPr>
          <w:spacing w:val="-2"/>
        </w:rPr>
        <w:t> </w:t>
      </w:r>
      <w:r>
        <w:rPr/>
        <w:t>models</w:t>
      </w:r>
      <w:r>
        <w:rPr>
          <w:spacing w:val="-2"/>
        </w:rPr>
        <w:t> </w:t>
      </w:r>
      <w:r>
        <w:rPr/>
        <w:t>for</w:t>
      </w:r>
      <w:r>
        <w:rPr>
          <w:spacing w:val="-2"/>
        </w:rPr>
        <w:t> </w:t>
      </w:r>
      <w:r>
        <w:rPr/>
        <w:t>MEEs</w:t>
      </w:r>
      <w:r>
        <w:rPr>
          <w:spacing w:val="-2"/>
        </w:rPr>
        <w:t> </w:t>
      </w:r>
      <w:r>
        <w:rPr/>
        <w:t>that</w:t>
      </w:r>
      <w:r>
        <w:rPr>
          <w:spacing w:val="-2"/>
        </w:rPr>
        <w:t> </w:t>
      </w:r>
      <w:r>
        <w:rPr/>
        <w:t>have</w:t>
      </w:r>
      <w:r>
        <w:rPr>
          <w:spacing w:val="-2"/>
        </w:rPr>
        <w:t> </w:t>
      </w:r>
      <w:r>
        <w:rPr/>
        <w:t>the</w:t>
      </w:r>
      <w:r>
        <w:rPr>
          <w:spacing w:val="-2"/>
        </w:rPr>
        <w:t> </w:t>
      </w:r>
      <w:r>
        <w:rPr/>
        <w:t>desire</w:t>
      </w:r>
      <w:r>
        <w:rPr>
          <w:spacing w:val="-2"/>
        </w:rPr>
        <w:t> </w:t>
      </w:r>
      <w:r>
        <w:rPr/>
        <w:t>to</w:t>
      </w:r>
      <w:r>
        <w:rPr>
          <w:spacing w:val="-2"/>
        </w:rPr>
        <w:t> </w:t>
      </w:r>
      <w:r>
        <w:rPr/>
        <w:t>become leaders</w:t>
      </w:r>
      <w:r>
        <w:rPr>
          <w:spacing w:val="-2"/>
        </w:rPr>
        <w:t> </w:t>
      </w:r>
      <w:r>
        <w:rPr/>
        <w:t>in</w:t>
      </w:r>
      <w:r>
        <w:rPr>
          <w:spacing w:val="-2"/>
        </w:rPr>
        <w:t> </w:t>
      </w:r>
      <w:r>
        <w:rPr/>
        <w:t>the</w:t>
      </w:r>
      <w:r>
        <w:rPr>
          <w:spacing w:val="-2"/>
        </w:rPr>
        <w:t> </w:t>
      </w:r>
      <w:r>
        <w:rPr/>
        <w:t>global</w:t>
      </w:r>
      <w:r>
        <w:rPr>
          <w:spacing w:val="-2"/>
        </w:rPr>
        <w:t> </w:t>
      </w:r>
      <w:r>
        <w:rPr/>
        <w:t>market</w:t>
      </w:r>
      <w:r>
        <w:rPr>
          <w:spacing w:val="-2"/>
        </w:rPr>
        <w:t> </w:t>
      </w:r>
      <w:r>
        <w:rPr/>
        <w:t>place.</w:t>
      </w:r>
      <w:r>
        <w:rPr>
          <w:spacing w:val="-2"/>
        </w:rPr>
        <w:t> </w:t>
      </w:r>
      <w:r>
        <w:rPr/>
        <w:t>Incentives</w:t>
      </w:r>
      <w:r>
        <w:rPr>
          <w:spacing w:val="-2"/>
        </w:rPr>
        <w:t> </w:t>
      </w:r>
      <w:r>
        <w:rPr/>
        <w:t>need</w:t>
      </w:r>
      <w:r>
        <w:rPr>
          <w:spacing w:val="-2"/>
        </w:rPr>
        <w:t> </w:t>
      </w:r>
      <w:r>
        <w:rPr/>
        <w:t>to be</w:t>
      </w:r>
      <w:r>
        <w:rPr>
          <w:spacing w:val="40"/>
        </w:rPr>
        <w:t> </w:t>
      </w:r>
      <w:r>
        <w:rPr/>
        <w:t>provided</w:t>
      </w:r>
      <w:r>
        <w:rPr>
          <w:spacing w:val="40"/>
        </w:rPr>
        <w:t> </w:t>
      </w:r>
      <w:r>
        <w:rPr/>
        <w:t>to</w:t>
      </w:r>
      <w:r>
        <w:rPr>
          <w:spacing w:val="40"/>
        </w:rPr>
        <w:t> </w:t>
      </w:r>
      <w:r>
        <w:rPr/>
        <w:t>Indian</w:t>
      </w:r>
      <w:r>
        <w:rPr>
          <w:spacing w:val="40"/>
        </w:rPr>
        <w:t> </w:t>
      </w:r>
      <w:r>
        <w:rPr/>
        <w:t>entrepreneurs/corporates</w:t>
      </w:r>
      <w:r>
        <w:rPr>
          <w:spacing w:val="40"/>
        </w:rPr>
        <w:t> </w:t>
      </w:r>
      <w:r>
        <w:rPr/>
        <w:t>to set up institutions of excellence on their own or in collaboration</w:t>
      </w:r>
      <w:r>
        <w:rPr>
          <w:spacing w:val="-14"/>
        </w:rPr>
        <w:t> </w:t>
      </w:r>
      <w:r>
        <w:rPr/>
        <w:t>with</w:t>
      </w:r>
      <w:r>
        <w:rPr>
          <w:spacing w:val="-13"/>
        </w:rPr>
        <w:t> </w:t>
      </w:r>
      <w:r>
        <w:rPr/>
        <w:t>foreign</w:t>
      </w:r>
      <w:r>
        <w:rPr>
          <w:spacing w:val="-12"/>
        </w:rPr>
        <w:t> </w:t>
      </w:r>
      <w:r>
        <w:rPr/>
        <w:t>universities.</w:t>
      </w:r>
      <w:r>
        <w:rPr>
          <w:spacing w:val="-14"/>
        </w:rPr>
        <w:t> </w:t>
      </w:r>
      <w:r>
        <w:rPr/>
        <w:t>We</w:t>
      </w:r>
      <w:r>
        <w:rPr>
          <w:spacing w:val="-12"/>
        </w:rPr>
        <w:t> </w:t>
      </w:r>
      <w:r>
        <w:rPr/>
        <w:t>could</w:t>
      </w:r>
      <w:r>
        <w:rPr>
          <w:spacing w:val="-12"/>
        </w:rPr>
        <w:t> </w:t>
      </w:r>
      <w:r>
        <w:rPr/>
        <w:t>also consider</w:t>
      </w:r>
      <w:r>
        <w:rPr>
          <w:spacing w:val="-14"/>
        </w:rPr>
        <w:t> </w:t>
      </w:r>
      <w:r>
        <w:rPr/>
        <w:t>allowing</w:t>
      </w:r>
      <w:r>
        <w:rPr>
          <w:spacing w:val="-14"/>
        </w:rPr>
        <w:t> </w:t>
      </w:r>
      <w:r>
        <w:rPr/>
        <w:t>reputed</w:t>
      </w:r>
      <w:r>
        <w:rPr>
          <w:spacing w:val="-14"/>
        </w:rPr>
        <w:t> </w:t>
      </w:r>
      <w:r>
        <w:rPr/>
        <w:t>foreign</w:t>
      </w:r>
      <w:r>
        <w:rPr>
          <w:spacing w:val="-13"/>
        </w:rPr>
        <w:t> </w:t>
      </w:r>
      <w:r>
        <w:rPr/>
        <w:t>universities</w:t>
      </w:r>
      <w:r>
        <w:rPr>
          <w:spacing w:val="-14"/>
        </w:rPr>
        <w:t> </w:t>
      </w:r>
      <w:r>
        <w:rPr/>
        <w:t>to</w:t>
      </w:r>
      <w:r>
        <w:rPr>
          <w:spacing w:val="-14"/>
        </w:rPr>
        <w:t> </w:t>
      </w:r>
      <w:r>
        <w:rPr/>
        <w:t>enter </w:t>
      </w:r>
      <w:r>
        <w:rPr>
          <w:spacing w:val="-2"/>
        </w:rPr>
        <w:t>this</w:t>
      </w:r>
      <w:r>
        <w:rPr>
          <w:spacing w:val="-12"/>
        </w:rPr>
        <w:t> </w:t>
      </w:r>
      <w:r>
        <w:rPr>
          <w:spacing w:val="-2"/>
        </w:rPr>
        <w:t>field,</w:t>
      </w:r>
      <w:r>
        <w:rPr>
          <w:spacing w:val="-12"/>
        </w:rPr>
        <w:t> </w:t>
      </w:r>
      <w:r>
        <w:rPr>
          <w:spacing w:val="-2"/>
        </w:rPr>
        <w:t>regulations</w:t>
      </w:r>
      <w:r>
        <w:rPr>
          <w:spacing w:val="-12"/>
        </w:rPr>
        <w:t> </w:t>
      </w:r>
      <w:r>
        <w:rPr>
          <w:spacing w:val="-2"/>
        </w:rPr>
        <w:t>for</w:t>
      </w:r>
      <w:r>
        <w:rPr>
          <w:spacing w:val="-11"/>
        </w:rPr>
        <w:t> </w:t>
      </w:r>
      <w:r>
        <w:rPr>
          <w:spacing w:val="-2"/>
        </w:rPr>
        <w:t>them</w:t>
      </w:r>
      <w:r>
        <w:rPr>
          <w:spacing w:val="-12"/>
        </w:rPr>
        <w:t> </w:t>
      </w:r>
      <w:r>
        <w:rPr>
          <w:spacing w:val="-2"/>
        </w:rPr>
        <w:t>being</w:t>
      </w:r>
      <w:r>
        <w:rPr>
          <w:spacing w:val="-12"/>
        </w:rPr>
        <w:t> </w:t>
      </w:r>
      <w:r>
        <w:rPr>
          <w:spacing w:val="-2"/>
        </w:rPr>
        <w:t>at</w:t>
      </w:r>
      <w:r>
        <w:rPr>
          <w:spacing w:val="-12"/>
        </w:rPr>
        <w:t> </w:t>
      </w:r>
      <w:r>
        <w:rPr>
          <w:spacing w:val="-2"/>
        </w:rPr>
        <w:t>par</w:t>
      </w:r>
      <w:r>
        <w:rPr>
          <w:spacing w:val="-11"/>
        </w:rPr>
        <w:t> </w:t>
      </w:r>
      <w:r>
        <w:rPr>
          <w:spacing w:val="-2"/>
        </w:rPr>
        <w:t>with</w:t>
      </w:r>
      <w:r>
        <w:rPr>
          <w:spacing w:val="-12"/>
        </w:rPr>
        <w:t> </w:t>
      </w:r>
      <w:r>
        <w:rPr>
          <w:spacing w:val="-2"/>
        </w:rPr>
        <w:t>private institutions.</w:t>
      </w:r>
    </w:p>
    <w:p>
      <w:pPr>
        <w:pStyle w:val="Heading6"/>
        <w:numPr>
          <w:ilvl w:val="0"/>
          <w:numId w:val="26"/>
        </w:numPr>
        <w:tabs>
          <w:tab w:pos="641" w:val="left" w:leader="none"/>
        </w:tabs>
        <w:spacing w:line="240" w:lineRule="auto" w:before="175" w:after="0"/>
        <w:ind w:left="641" w:right="0" w:hanging="325"/>
        <w:jc w:val="left"/>
        <w:rPr>
          <w:color w:val="2E614A"/>
        </w:rPr>
      </w:pPr>
      <w:r>
        <w:rPr>
          <w:color w:val="2E614A"/>
          <w:spacing w:val="-2"/>
        </w:rPr>
        <w:t>Autonomy</w:t>
      </w:r>
    </w:p>
    <w:p>
      <w:pPr>
        <w:pStyle w:val="BodyText"/>
        <w:spacing w:line="266" w:lineRule="auto" w:before="285"/>
        <w:ind w:left="316" w:right="1077"/>
        <w:jc w:val="both"/>
      </w:pPr>
      <w:r>
        <w:rPr/>
        <w:t>All existing management institutes </w:t>
      </w:r>
      <w:r>
        <w:rPr/>
        <w:t>excluding management departments in universities should register with the Standing Committee of IRAHE and be accorded independent status. In the case of MEEs set</w:t>
      </w:r>
      <w:r>
        <w:rPr>
          <w:spacing w:val="-9"/>
        </w:rPr>
        <w:t> </w:t>
      </w:r>
      <w:r>
        <w:rPr/>
        <w:t>up</w:t>
      </w:r>
      <w:r>
        <w:rPr>
          <w:spacing w:val="-9"/>
        </w:rPr>
        <w:t> </w:t>
      </w:r>
      <w:r>
        <w:rPr/>
        <w:t>by</w:t>
      </w:r>
      <w:r>
        <w:rPr>
          <w:spacing w:val="-9"/>
        </w:rPr>
        <w:t> </w:t>
      </w:r>
      <w:r>
        <w:rPr/>
        <w:t>Central</w:t>
      </w:r>
      <w:r>
        <w:rPr>
          <w:spacing w:val="-9"/>
        </w:rPr>
        <w:t> </w:t>
      </w:r>
      <w:r>
        <w:rPr/>
        <w:t>and</w:t>
      </w:r>
      <w:r>
        <w:rPr>
          <w:spacing w:val="-9"/>
        </w:rPr>
        <w:t> </w:t>
      </w:r>
      <w:r>
        <w:rPr/>
        <w:t>State</w:t>
      </w:r>
      <w:r>
        <w:rPr>
          <w:spacing w:val="-9"/>
        </w:rPr>
        <w:t> </w:t>
      </w:r>
      <w:r>
        <w:rPr/>
        <w:t>governments,</w:t>
      </w:r>
      <w:r>
        <w:rPr>
          <w:spacing w:val="-9"/>
        </w:rPr>
        <w:t> </w:t>
      </w:r>
      <w:r>
        <w:rPr/>
        <w:t>government should be treated as a promoter. Registered institutes </w:t>
      </w:r>
      <w:r>
        <w:rPr>
          <w:spacing w:val="-2"/>
        </w:rPr>
        <w:t>will</w:t>
      </w:r>
      <w:r>
        <w:rPr>
          <w:spacing w:val="-8"/>
        </w:rPr>
        <w:t> </w:t>
      </w:r>
      <w:r>
        <w:rPr>
          <w:spacing w:val="-2"/>
        </w:rPr>
        <w:t>benefit</w:t>
      </w:r>
      <w:r>
        <w:rPr>
          <w:spacing w:val="-7"/>
        </w:rPr>
        <w:t> </w:t>
      </w:r>
      <w:r>
        <w:rPr>
          <w:spacing w:val="-2"/>
        </w:rPr>
        <w:t>from</w:t>
      </w:r>
      <w:r>
        <w:rPr>
          <w:spacing w:val="-7"/>
        </w:rPr>
        <w:t> </w:t>
      </w:r>
      <w:r>
        <w:rPr>
          <w:spacing w:val="-2"/>
        </w:rPr>
        <w:t>the</w:t>
      </w:r>
      <w:r>
        <w:rPr>
          <w:spacing w:val="-7"/>
        </w:rPr>
        <w:t> </w:t>
      </w:r>
      <w:r>
        <w:rPr>
          <w:spacing w:val="-2"/>
        </w:rPr>
        <w:t>Standing</w:t>
      </w:r>
      <w:r>
        <w:rPr>
          <w:spacing w:val="-7"/>
        </w:rPr>
        <w:t> </w:t>
      </w:r>
      <w:r>
        <w:rPr>
          <w:spacing w:val="-2"/>
        </w:rPr>
        <w:t>Committee’s</w:t>
      </w:r>
      <w:r>
        <w:rPr>
          <w:spacing w:val="-8"/>
        </w:rPr>
        <w:t> </w:t>
      </w:r>
      <w:r>
        <w:rPr>
          <w:spacing w:val="-2"/>
        </w:rPr>
        <w:t>mentoring</w:t>
      </w:r>
    </w:p>
    <w:p>
      <w:pPr>
        <w:spacing w:after="0" w:line="266" w:lineRule="auto"/>
        <w:jc w:val="both"/>
        <w:sectPr>
          <w:pgSz w:w="11910" w:h="16840"/>
          <w:pgMar w:header="0" w:footer="675" w:top="940" w:bottom="860" w:left="0" w:right="0"/>
          <w:cols w:num="2" w:equalWidth="0">
            <w:col w:w="5777" w:space="40"/>
            <w:col w:w="6093"/>
          </w:cols>
        </w:sectPr>
      </w:pPr>
    </w:p>
    <w:p>
      <w:pPr>
        <w:pStyle w:val="BodyText"/>
        <w:spacing w:line="266" w:lineRule="auto" w:before="57"/>
        <w:ind w:left="1080" w:right="1"/>
        <w:jc w:val="both"/>
      </w:pPr>
      <w:r>
        <w:rPr/>
        <w:t>and better funding opportunities apart from </w:t>
      </w:r>
      <w:r>
        <w:rPr/>
        <w:t>other advantages</w:t>
      </w:r>
      <w:r>
        <w:rPr>
          <w:spacing w:val="-5"/>
        </w:rPr>
        <w:t> </w:t>
      </w:r>
      <w:r>
        <w:rPr/>
        <w:t>associated</w:t>
      </w:r>
      <w:r>
        <w:rPr>
          <w:spacing w:val="-5"/>
        </w:rPr>
        <w:t> </w:t>
      </w:r>
      <w:r>
        <w:rPr/>
        <w:t>with</w:t>
      </w:r>
      <w:r>
        <w:rPr>
          <w:spacing w:val="-5"/>
        </w:rPr>
        <w:t> </w:t>
      </w:r>
      <w:r>
        <w:rPr/>
        <w:t>autonomy.</w:t>
      </w:r>
    </w:p>
    <w:p>
      <w:pPr>
        <w:pStyle w:val="Heading6"/>
        <w:numPr>
          <w:ilvl w:val="0"/>
          <w:numId w:val="26"/>
        </w:numPr>
        <w:tabs>
          <w:tab w:pos="1569" w:val="left" w:leader="none"/>
        </w:tabs>
        <w:spacing w:line="240" w:lineRule="auto" w:before="185" w:after="0"/>
        <w:ind w:left="1569" w:right="0" w:hanging="489"/>
        <w:jc w:val="left"/>
        <w:rPr>
          <w:color w:val="2E614A"/>
        </w:rPr>
      </w:pPr>
      <w:r>
        <w:rPr>
          <w:color w:val="2E614A"/>
          <w:spacing w:val="-2"/>
        </w:rPr>
        <w:t>Governance</w:t>
      </w:r>
    </w:p>
    <w:p>
      <w:pPr>
        <w:pStyle w:val="BodyText"/>
        <w:spacing w:line="266" w:lineRule="auto" w:before="276"/>
        <w:ind w:left="1080"/>
        <w:jc w:val="both"/>
      </w:pPr>
      <w:r>
        <w:rPr/>
        <w:t>NKC</w:t>
      </w:r>
      <w:r>
        <w:rPr>
          <w:spacing w:val="-14"/>
        </w:rPr>
        <w:t> </w:t>
      </w:r>
      <w:r>
        <w:rPr/>
        <w:t>recommends</w:t>
      </w:r>
      <w:r>
        <w:rPr>
          <w:spacing w:val="-14"/>
        </w:rPr>
        <w:t> </w:t>
      </w:r>
      <w:r>
        <w:rPr/>
        <w:t>a</w:t>
      </w:r>
      <w:r>
        <w:rPr>
          <w:spacing w:val="-14"/>
        </w:rPr>
        <w:t> </w:t>
      </w:r>
      <w:r>
        <w:rPr/>
        <w:t>board</w:t>
      </w:r>
      <w:r>
        <w:rPr>
          <w:spacing w:val="-13"/>
        </w:rPr>
        <w:t> </w:t>
      </w:r>
      <w:r>
        <w:rPr/>
        <w:t>of</w:t>
      </w:r>
      <w:r>
        <w:rPr>
          <w:spacing w:val="-14"/>
        </w:rPr>
        <w:t> </w:t>
      </w:r>
      <w:r>
        <w:rPr/>
        <w:t>governors</w:t>
      </w:r>
      <w:r>
        <w:rPr>
          <w:spacing w:val="-14"/>
        </w:rPr>
        <w:t> </w:t>
      </w:r>
      <w:r>
        <w:rPr/>
        <w:t>for</w:t>
      </w:r>
      <w:r>
        <w:rPr>
          <w:spacing w:val="-14"/>
        </w:rPr>
        <w:t> </w:t>
      </w:r>
      <w:r>
        <w:rPr/>
        <w:t>all</w:t>
      </w:r>
      <w:r>
        <w:rPr>
          <w:spacing w:val="-13"/>
        </w:rPr>
        <w:t> </w:t>
      </w:r>
      <w:r>
        <w:rPr/>
        <w:t>MEEs, consisting of 50 per cent independent members </w:t>
      </w:r>
      <w:r>
        <w:rPr/>
        <w:t>as there are independent directors under Company</w:t>
      </w:r>
      <w:r>
        <w:rPr>
          <w:spacing w:val="80"/>
        </w:rPr>
        <w:t> </w:t>
      </w:r>
      <w:r>
        <w:rPr/>
        <w:t>Law. The key focus of the governing board should</w:t>
      </w:r>
      <w:r>
        <w:rPr>
          <w:spacing w:val="40"/>
        </w:rPr>
        <w:t> </w:t>
      </w:r>
      <w:r>
        <w:rPr/>
        <w:t>be</w:t>
      </w:r>
      <w:r>
        <w:rPr>
          <w:spacing w:val="40"/>
        </w:rPr>
        <w:t> </w:t>
      </w:r>
      <w:r>
        <w:rPr/>
        <w:t>to</w:t>
      </w:r>
      <w:r>
        <w:rPr>
          <w:spacing w:val="40"/>
        </w:rPr>
        <w:t> </w:t>
      </w:r>
      <w:r>
        <w:rPr/>
        <w:t>continuously</w:t>
      </w:r>
      <w:r>
        <w:rPr>
          <w:spacing w:val="40"/>
        </w:rPr>
        <w:t> </w:t>
      </w:r>
      <w:r>
        <w:rPr/>
        <w:t>improve</w:t>
      </w:r>
      <w:r>
        <w:rPr>
          <w:spacing w:val="40"/>
        </w:rPr>
        <w:t> </w:t>
      </w:r>
      <w:r>
        <w:rPr/>
        <w:t>quality</w:t>
      </w:r>
      <w:r>
        <w:rPr>
          <w:spacing w:val="40"/>
        </w:rPr>
        <w:t> </w:t>
      </w:r>
      <w:r>
        <w:rPr/>
        <w:t>of</w:t>
      </w:r>
      <w:r>
        <w:rPr>
          <w:spacing w:val="40"/>
        </w:rPr>
        <w:t> </w:t>
      </w:r>
      <w:r>
        <w:rPr/>
        <w:t>education and research. For this purpose, they would have to </w:t>
      </w:r>
      <w:r>
        <w:rPr>
          <w:spacing w:val="-4"/>
        </w:rPr>
        <w:t>maximise the resource/fund inflows and allocate/spend </w:t>
      </w:r>
      <w:r>
        <w:rPr/>
        <w:t>them purposively and efficiently. The Board should encourage faculty to publish reputed journals and </w:t>
      </w:r>
      <w:r>
        <w:rPr>
          <w:spacing w:val="-2"/>
        </w:rPr>
        <w:t>publications,</w:t>
      </w:r>
      <w:r>
        <w:rPr>
          <w:spacing w:val="-8"/>
        </w:rPr>
        <w:t> </w:t>
      </w:r>
      <w:r>
        <w:rPr>
          <w:spacing w:val="-2"/>
        </w:rPr>
        <w:t>obtain</w:t>
      </w:r>
      <w:r>
        <w:rPr>
          <w:spacing w:val="-8"/>
        </w:rPr>
        <w:t> </w:t>
      </w:r>
      <w:r>
        <w:rPr>
          <w:spacing w:val="-2"/>
        </w:rPr>
        <w:t>regular</w:t>
      </w:r>
      <w:r>
        <w:rPr>
          <w:spacing w:val="-8"/>
        </w:rPr>
        <w:t> </w:t>
      </w:r>
      <w:r>
        <w:rPr>
          <w:spacing w:val="-2"/>
        </w:rPr>
        <w:t>feedback</w:t>
      </w:r>
      <w:r>
        <w:rPr>
          <w:spacing w:val="-8"/>
        </w:rPr>
        <w:t> </w:t>
      </w:r>
      <w:r>
        <w:rPr>
          <w:spacing w:val="-2"/>
        </w:rPr>
        <w:t>from</w:t>
      </w:r>
      <w:r>
        <w:rPr>
          <w:spacing w:val="-8"/>
        </w:rPr>
        <w:t> </w:t>
      </w:r>
      <w:r>
        <w:rPr>
          <w:spacing w:val="-2"/>
        </w:rPr>
        <w:t>students</w:t>
      </w:r>
      <w:r>
        <w:rPr>
          <w:spacing w:val="-8"/>
        </w:rPr>
        <w:t> </w:t>
      </w:r>
      <w:r>
        <w:rPr>
          <w:spacing w:val="-2"/>
        </w:rPr>
        <w:t>on </w:t>
      </w:r>
      <w:r>
        <w:rPr>
          <w:spacing w:val="-4"/>
        </w:rPr>
        <w:t>teaching-learning process, obtain recruiter feedback for </w:t>
      </w:r>
      <w:r>
        <w:rPr/>
        <w:t>improving quality, institutionalise faculty evaluation and management system and encourage faculty to write India based case studies. The appointment of Directors</w:t>
      </w:r>
      <w:r>
        <w:rPr>
          <w:spacing w:val="-8"/>
        </w:rPr>
        <w:t> </w:t>
      </w:r>
      <w:r>
        <w:rPr/>
        <w:t>of</w:t>
      </w:r>
      <w:r>
        <w:rPr>
          <w:spacing w:val="-8"/>
        </w:rPr>
        <w:t> </w:t>
      </w:r>
      <w:r>
        <w:rPr/>
        <w:t>public</w:t>
      </w:r>
      <w:r>
        <w:rPr>
          <w:spacing w:val="-8"/>
        </w:rPr>
        <w:t> </w:t>
      </w:r>
      <w:r>
        <w:rPr/>
        <w:t>MEEs</w:t>
      </w:r>
      <w:r>
        <w:rPr>
          <w:spacing w:val="-8"/>
        </w:rPr>
        <w:t> </w:t>
      </w:r>
      <w:r>
        <w:rPr/>
        <w:t>should</w:t>
      </w:r>
      <w:r>
        <w:rPr>
          <w:spacing w:val="-8"/>
        </w:rPr>
        <w:t> </w:t>
      </w:r>
      <w:r>
        <w:rPr/>
        <w:t>be</w:t>
      </w:r>
      <w:r>
        <w:rPr>
          <w:spacing w:val="-8"/>
        </w:rPr>
        <w:t> </w:t>
      </w:r>
      <w:r>
        <w:rPr/>
        <w:t>freed</w:t>
      </w:r>
      <w:r>
        <w:rPr>
          <w:spacing w:val="-8"/>
        </w:rPr>
        <w:t> </w:t>
      </w:r>
      <w:r>
        <w:rPr/>
        <w:t>from</w:t>
      </w:r>
      <w:r>
        <w:rPr>
          <w:spacing w:val="-8"/>
        </w:rPr>
        <w:t> </w:t>
      </w:r>
      <w:r>
        <w:rPr/>
        <w:t>direct or indirect interventions on part of the governments, for these should be based on search processes and peer</w:t>
      </w:r>
      <w:r>
        <w:rPr>
          <w:spacing w:val="40"/>
        </w:rPr>
        <w:t> </w:t>
      </w:r>
      <w:r>
        <w:rPr/>
        <w:t>judgement</w:t>
      </w:r>
      <w:r>
        <w:rPr>
          <w:spacing w:val="40"/>
        </w:rPr>
        <w:t> </w:t>
      </w:r>
      <w:r>
        <w:rPr/>
        <w:t>alone.</w:t>
      </w:r>
      <w:r>
        <w:rPr>
          <w:spacing w:val="40"/>
        </w:rPr>
        <w:t> </w:t>
      </w:r>
      <w:r>
        <w:rPr/>
        <w:t>Likewise,</w:t>
      </w:r>
      <w:r>
        <w:rPr>
          <w:spacing w:val="40"/>
        </w:rPr>
        <w:t> </w:t>
      </w:r>
      <w:r>
        <w:rPr/>
        <w:t>the</w:t>
      </w:r>
      <w:r>
        <w:rPr>
          <w:spacing w:val="40"/>
        </w:rPr>
        <w:t> </w:t>
      </w:r>
      <w:r>
        <w:rPr/>
        <w:t>appointment of directors of private MEEs should be based on a transparent</w:t>
      </w:r>
      <w:r>
        <w:rPr>
          <w:spacing w:val="33"/>
        </w:rPr>
        <w:t> </w:t>
      </w:r>
      <w:r>
        <w:rPr/>
        <w:t>selection</w:t>
      </w:r>
      <w:r>
        <w:rPr>
          <w:spacing w:val="33"/>
        </w:rPr>
        <w:t> </w:t>
      </w:r>
      <w:r>
        <w:rPr/>
        <w:t>process.</w:t>
      </w:r>
      <w:r>
        <w:rPr>
          <w:spacing w:val="25"/>
        </w:rPr>
        <w:t> </w:t>
      </w:r>
      <w:r>
        <w:rPr/>
        <w:t>This</w:t>
      </w:r>
      <w:r>
        <w:rPr>
          <w:spacing w:val="33"/>
        </w:rPr>
        <w:t> </w:t>
      </w:r>
      <w:r>
        <w:rPr/>
        <w:t>would</w:t>
      </w:r>
      <w:r>
        <w:rPr>
          <w:spacing w:val="33"/>
        </w:rPr>
        <w:t> </w:t>
      </w:r>
      <w:r>
        <w:rPr/>
        <w:t>of</w:t>
      </w:r>
      <w:r>
        <w:rPr>
          <w:spacing w:val="34"/>
        </w:rPr>
        <w:t> </w:t>
      </w:r>
      <w:r>
        <w:rPr>
          <w:spacing w:val="-2"/>
        </w:rPr>
        <w:t>course</w:t>
      </w:r>
    </w:p>
    <w:p>
      <w:pPr>
        <w:pStyle w:val="BodyText"/>
        <w:spacing w:line="266" w:lineRule="auto" w:before="57"/>
        <w:ind w:left="319" w:right="1077"/>
        <w:jc w:val="both"/>
      </w:pPr>
      <w:r>
        <w:rPr/>
        <w:br w:type="column"/>
      </w:r>
      <w:r>
        <w:rPr/>
        <w:t>be accompanied by enhanced accountability based</w:t>
      </w:r>
      <w:r>
        <w:rPr>
          <w:spacing w:val="40"/>
        </w:rPr>
        <w:t> </w:t>
      </w:r>
      <w:r>
        <w:rPr/>
        <w:t>on performance indicators and independent external </w:t>
      </w:r>
      <w:r>
        <w:rPr>
          <w:spacing w:val="-2"/>
        </w:rPr>
        <w:t>evaluation.</w:t>
      </w:r>
    </w:p>
    <w:p>
      <w:pPr>
        <w:pStyle w:val="BodyText"/>
        <w:spacing w:before="83"/>
      </w:pPr>
    </w:p>
    <w:p>
      <w:pPr>
        <w:pStyle w:val="Heading6"/>
        <w:numPr>
          <w:ilvl w:val="0"/>
          <w:numId w:val="26"/>
        </w:numPr>
        <w:tabs>
          <w:tab w:pos="808" w:val="left" w:leader="none"/>
        </w:tabs>
        <w:spacing w:line="182" w:lineRule="auto" w:before="0" w:after="0"/>
        <w:ind w:left="808" w:right="1527" w:hanging="490"/>
        <w:jc w:val="left"/>
        <w:rPr>
          <w:color w:val="2E614A"/>
        </w:rPr>
      </w:pPr>
      <w:r>
        <w:rPr>
          <w:color w:val="2E614A"/>
          <w:spacing w:val="-10"/>
        </w:rPr>
        <w:t>Non-traditional </w:t>
      </w:r>
      <w:r>
        <w:rPr>
          <w:color w:val="2E614A"/>
          <w:spacing w:val="-10"/>
        </w:rPr>
        <w:t>Management </w:t>
      </w:r>
      <w:r>
        <w:rPr>
          <w:color w:val="2E614A"/>
          <w:spacing w:val="-2"/>
        </w:rPr>
        <w:t>Education</w:t>
      </w:r>
    </w:p>
    <w:p>
      <w:pPr>
        <w:pStyle w:val="BodyText"/>
        <w:spacing w:line="266" w:lineRule="auto" w:before="203"/>
        <w:ind w:left="319" w:right="1077"/>
        <w:jc w:val="both"/>
      </w:pPr>
      <w:r>
        <w:rPr/>
        <w:t>The</w:t>
      </w:r>
      <w:r>
        <w:rPr>
          <w:spacing w:val="-6"/>
        </w:rPr>
        <w:t> </w:t>
      </w:r>
      <w:r>
        <w:rPr/>
        <w:t>need</w:t>
      </w:r>
      <w:r>
        <w:rPr>
          <w:spacing w:val="-6"/>
        </w:rPr>
        <w:t> </w:t>
      </w:r>
      <w:r>
        <w:rPr/>
        <w:t>for</w:t>
      </w:r>
      <w:r>
        <w:rPr>
          <w:spacing w:val="-6"/>
        </w:rPr>
        <w:t> </w:t>
      </w:r>
      <w:r>
        <w:rPr/>
        <w:t>better</w:t>
      </w:r>
      <w:r>
        <w:rPr>
          <w:spacing w:val="-6"/>
        </w:rPr>
        <w:t> </w:t>
      </w:r>
      <w:r>
        <w:rPr/>
        <w:t>management</w:t>
      </w:r>
      <w:r>
        <w:rPr>
          <w:spacing w:val="-6"/>
        </w:rPr>
        <w:t> </w:t>
      </w:r>
      <w:r>
        <w:rPr/>
        <w:t>in</w:t>
      </w:r>
      <w:r>
        <w:rPr>
          <w:spacing w:val="-6"/>
        </w:rPr>
        <w:t> </w:t>
      </w:r>
      <w:r>
        <w:rPr/>
        <w:t>education,</w:t>
      </w:r>
      <w:r>
        <w:rPr>
          <w:spacing w:val="-6"/>
        </w:rPr>
        <w:t> </w:t>
      </w:r>
      <w:r>
        <w:rPr/>
        <w:t>health, local government, co-operatives, and civil society </w:t>
      </w:r>
      <w:r>
        <w:rPr>
          <w:spacing w:val="-6"/>
        </w:rPr>
        <w:t>organisations</w:t>
      </w:r>
      <w:r>
        <w:rPr>
          <w:spacing w:val="-8"/>
        </w:rPr>
        <w:t> </w:t>
      </w:r>
      <w:r>
        <w:rPr>
          <w:spacing w:val="-6"/>
        </w:rPr>
        <w:t>and</w:t>
      </w:r>
      <w:r>
        <w:rPr>
          <w:spacing w:val="-8"/>
        </w:rPr>
        <w:t> </w:t>
      </w:r>
      <w:r>
        <w:rPr>
          <w:spacing w:val="-6"/>
        </w:rPr>
        <w:t>so</w:t>
      </w:r>
      <w:r>
        <w:rPr>
          <w:spacing w:val="-8"/>
        </w:rPr>
        <w:t> </w:t>
      </w:r>
      <w:r>
        <w:rPr>
          <w:spacing w:val="-6"/>
        </w:rPr>
        <w:t>on</w:t>
      </w:r>
      <w:r>
        <w:rPr>
          <w:spacing w:val="-7"/>
        </w:rPr>
        <w:t> </w:t>
      </w:r>
      <w:r>
        <w:rPr>
          <w:spacing w:val="-6"/>
        </w:rPr>
        <w:t>has</w:t>
      </w:r>
      <w:r>
        <w:rPr>
          <w:spacing w:val="-8"/>
        </w:rPr>
        <w:t> </w:t>
      </w:r>
      <w:r>
        <w:rPr>
          <w:spacing w:val="-6"/>
        </w:rPr>
        <w:t>often</w:t>
      </w:r>
      <w:r>
        <w:rPr>
          <w:spacing w:val="-8"/>
        </w:rPr>
        <w:t> </w:t>
      </w:r>
      <w:r>
        <w:rPr>
          <w:spacing w:val="-6"/>
        </w:rPr>
        <w:t>been</w:t>
      </w:r>
      <w:r>
        <w:rPr>
          <w:spacing w:val="-8"/>
        </w:rPr>
        <w:t> </w:t>
      </w:r>
      <w:r>
        <w:rPr>
          <w:spacing w:val="-6"/>
        </w:rPr>
        <w:t>felt.</w:t>
      </w:r>
      <w:r>
        <w:rPr>
          <w:spacing w:val="-7"/>
        </w:rPr>
        <w:t> </w:t>
      </w:r>
      <w:r>
        <w:rPr>
          <w:spacing w:val="-6"/>
        </w:rPr>
        <w:t>However,</w:t>
      </w:r>
      <w:r>
        <w:rPr>
          <w:spacing w:val="-8"/>
        </w:rPr>
        <w:t> </w:t>
      </w:r>
      <w:r>
        <w:rPr>
          <w:spacing w:val="-6"/>
        </w:rPr>
        <w:t>the </w:t>
      </w:r>
      <w:r>
        <w:rPr>
          <w:w w:val="90"/>
        </w:rPr>
        <w:t>experience of graduates of Institute of Rural Management </w:t>
      </w:r>
      <w:r>
        <w:rPr>
          <w:spacing w:val="-4"/>
        </w:rPr>
        <w:t>and</w:t>
      </w:r>
      <w:r>
        <w:rPr>
          <w:spacing w:val="-6"/>
        </w:rPr>
        <w:t> </w:t>
      </w:r>
      <w:r>
        <w:rPr>
          <w:spacing w:val="-4"/>
        </w:rPr>
        <w:t>Institute</w:t>
      </w:r>
      <w:r>
        <w:rPr>
          <w:spacing w:val="-6"/>
        </w:rPr>
        <w:t> </w:t>
      </w:r>
      <w:r>
        <w:rPr>
          <w:spacing w:val="-4"/>
        </w:rPr>
        <w:t>of</w:t>
      </w:r>
      <w:r>
        <w:rPr>
          <w:spacing w:val="-6"/>
        </w:rPr>
        <w:t> </w:t>
      </w:r>
      <w:r>
        <w:rPr>
          <w:spacing w:val="-4"/>
        </w:rPr>
        <w:t>Forestry</w:t>
      </w:r>
      <w:r>
        <w:rPr>
          <w:spacing w:val="-6"/>
        </w:rPr>
        <w:t> </w:t>
      </w:r>
      <w:r>
        <w:rPr>
          <w:spacing w:val="-4"/>
        </w:rPr>
        <w:t>Management</w:t>
      </w:r>
      <w:r>
        <w:rPr>
          <w:spacing w:val="-6"/>
        </w:rPr>
        <w:t> </w:t>
      </w:r>
      <w:r>
        <w:rPr>
          <w:spacing w:val="-4"/>
        </w:rPr>
        <w:t>shows</w:t>
      </w:r>
      <w:r>
        <w:rPr>
          <w:spacing w:val="-6"/>
        </w:rPr>
        <w:t> </w:t>
      </w:r>
      <w:r>
        <w:rPr>
          <w:spacing w:val="-4"/>
        </w:rPr>
        <w:t>that</w:t>
      </w:r>
      <w:r>
        <w:rPr>
          <w:spacing w:val="-6"/>
        </w:rPr>
        <w:t> </w:t>
      </w:r>
      <w:r>
        <w:rPr>
          <w:spacing w:val="-4"/>
        </w:rPr>
        <w:t>a</w:t>
      </w:r>
      <w:r>
        <w:rPr>
          <w:spacing w:val="-6"/>
        </w:rPr>
        <w:t> </w:t>
      </w:r>
      <w:r>
        <w:rPr>
          <w:spacing w:val="-4"/>
        </w:rPr>
        <w:t>lack </w:t>
      </w:r>
      <w:r>
        <w:rPr>
          <w:spacing w:val="-6"/>
        </w:rPr>
        <w:t>of advancement opportunities in the Government acts as a</w:t>
      </w:r>
      <w:r>
        <w:rPr>
          <w:spacing w:val="-8"/>
        </w:rPr>
        <w:t> </w:t>
      </w:r>
      <w:r>
        <w:rPr>
          <w:spacing w:val="-6"/>
        </w:rPr>
        <w:t>barrier</w:t>
      </w:r>
      <w:r>
        <w:rPr>
          <w:spacing w:val="-8"/>
        </w:rPr>
        <w:t> </w:t>
      </w:r>
      <w:r>
        <w:rPr>
          <w:spacing w:val="-6"/>
        </w:rPr>
        <w:t>to</w:t>
      </w:r>
      <w:r>
        <w:rPr>
          <w:spacing w:val="-8"/>
        </w:rPr>
        <w:t> </w:t>
      </w:r>
      <w:r>
        <w:rPr>
          <w:spacing w:val="-6"/>
        </w:rPr>
        <w:t>the</w:t>
      </w:r>
      <w:r>
        <w:rPr>
          <w:spacing w:val="-7"/>
        </w:rPr>
        <w:t> </w:t>
      </w:r>
      <w:r>
        <w:rPr>
          <w:spacing w:val="-6"/>
        </w:rPr>
        <w:t>success</w:t>
      </w:r>
      <w:r>
        <w:rPr>
          <w:spacing w:val="-8"/>
        </w:rPr>
        <w:t> </w:t>
      </w:r>
      <w:r>
        <w:rPr>
          <w:spacing w:val="-6"/>
        </w:rPr>
        <w:t>of</w:t>
      </w:r>
      <w:r>
        <w:rPr>
          <w:spacing w:val="-8"/>
        </w:rPr>
        <w:t> </w:t>
      </w:r>
      <w:r>
        <w:rPr>
          <w:spacing w:val="-6"/>
        </w:rPr>
        <w:t>such</w:t>
      </w:r>
      <w:r>
        <w:rPr>
          <w:spacing w:val="-8"/>
        </w:rPr>
        <w:t> </w:t>
      </w:r>
      <w:r>
        <w:rPr>
          <w:spacing w:val="-6"/>
        </w:rPr>
        <w:t>programs.</w:t>
      </w:r>
      <w:r>
        <w:rPr>
          <w:spacing w:val="-7"/>
        </w:rPr>
        <w:t> </w:t>
      </w:r>
      <w:r>
        <w:rPr>
          <w:spacing w:val="-6"/>
        </w:rPr>
        <w:t>There</w:t>
      </w:r>
      <w:r>
        <w:rPr>
          <w:spacing w:val="-8"/>
        </w:rPr>
        <w:t> </w:t>
      </w:r>
      <w:r>
        <w:rPr>
          <w:spacing w:val="-6"/>
        </w:rPr>
        <w:t>is</w:t>
      </w:r>
      <w:r>
        <w:rPr>
          <w:spacing w:val="-8"/>
        </w:rPr>
        <w:t> </w:t>
      </w:r>
      <w:r>
        <w:rPr>
          <w:spacing w:val="-6"/>
        </w:rPr>
        <w:t>a</w:t>
      </w:r>
      <w:r>
        <w:rPr>
          <w:spacing w:val="-8"/>
        </w:rPr>
        <w:t> </w:t>
      </w:r>
      <w:r>
        <w:rPr>
          <w:spacing w:val="-6"/>
        </w:rPr>
        <w:t>need </w:t>
      </w:r>
      <w:r>
        <w:rPr>
          <w:spacing w:val="-4"/>
        </w:rPr>
        <w:t>to establish career opportunities in public management, </w:t>
      </w:r>
      <w:r>
        <w:rPr/>
        <w:t>and systematise recruitment and retention policies. </w:t>
      </w:r>
      <w:r>
        <w:rPr>
          <w:spacing w:val="-4"/>
        </w:rPr>
        <w:t>Structure</w:t>
      </w:r>
      <w:r>
        <w:rPr>
          <w:spacing w:val="-8"/>
        </w:rPr>
        <w:t> </w:t>
      </w:r>
      <w:r>
        <w:rPr>
          <w:spacing w:val="-4"/>
        </w:rPr>
        <w:t>of</w:t>
      </w:r>
      <w:r>
        <w:rPr>
          <w:spacing w:val="-8"/>
        </w:rPr>
        <w:t> </w:t>
      </w:r>
      <w:r>
        <w:rPr>
          <w:spacing w:val="-4"/>
        </w:rPr>
        <w:t>fees</w:t>
      </w:r>
      <w:r>
        <w:rPr>
          <w:spacing w:val="-8"/>
        </w:rPr>
        <w:t> </w:t>
      </w:r>
      <w:r>
        <w:rPr>
          <w:spacing w:val="-4"/>
        </w:rPr>
        <w:t>for</w:t>
      </w:r>
      <w:r>
        <w:rPr>
          <w:spacing w:val="-8"/>
        </w:rPr>
        <w:t> </w:t>
      </w:r>
      <w:r>
        <w:rPr>
          <w:spacing w:val="-4"/>
        </w:rPr>
        <w:t>these</w:t>
      </w:r>
      <w:r>
        <w:rPr>
          <w:spacing w:val="-8"/>
        </w:rPr>
        <w:t> </w:t>
      </w:r>
      <w:r>
        <w:rPr>
          <w:spacing w:val="-4"/>
        </w:rPr>
        <w:t>courses</w:t>
      </w:r>
      <w:r>
        <w:rPr>
          <w:spacing w:val="-8"/>
        </w:rPr>
        <w:t> </w:t>
      </w:r>
      <w:r>
        <w:rPr>
          <w:spacing w:val="-4"/>
        </w:rPr>
        <w:t>should</w:t>
      </w:r>
      <w:r>
        <w:rPr>
          <w:spacing w:val="-8"/>
        </w:rPr>
        <w:t> </w:t>
      </w:r>
      <w:r>
        <w:rPr>
          <w:spacing w:val="-4"/>
        </w:rPr>
        <w:t>be</w:t>
      </w:r>
      <w:r>
        <w:rPr>
          <w:spacing w:val="-8"/>
        </w:rPr>
        <w:t> </w:t>
      </w:r>
      <w:r>
        <w:rPr>
          <w:spacing w:val="-4"/>
        </w:rPr>
        <w:t>formulated in</w:t>
      </w:r>
      <w:r>
        <w:rPr>
          <w:spacing w:val="-6"/>
        </w:rPr>
        <w:t> </w:t>
      </w:r>
      <w:r>
        <w:rPr>
          <w:spacing w:val="-4"/>
        </w:rPr>
        <w:t>accordance</w:t>
      </w:r>
      <w:r>
        <w:rPr>
          <w:spacing w:val="-6"/>
        </w:rPr>
        <w:t> </w:t>
      </w:r>
      <w:r>
        <w:rPr>
          <w:spacing w:val="-4"/>
        </w:rPr>
        <w:t>with</w:t>
      </w:r>
      <w:r>
        <w:rPr>
          <w:spacing w:val="-6"/>
        </w:rPr>
        <w:t> </w:t>
      </w:r>
      <w:r>
        <w:rPr>
          <w:spacing w:val="-4"/>
        </w:rPr>
        <w:t>earning</w:t>
      </w:r>
      <w:r>
        <w:rPr>
          <w:spacing w:val="-6"/>
        </w:rPr>
        <w:t> </w:t>
      </w:r>
      <w:r>
        <w:rPr>
          <w:spacing w:val="-4"/>
        </w:rPr>
        <w:t>opportunities.</w:t>
      </w:r>
      <w:r>
        <w:rPr>
          <w:spacing w:val="-9"/>
        </w:rPr>
        <w:t> </w:t>
      </w:r>
      <w:r>
        <w:rPr>
          <w:spacing w:val="-4"/>
        </w:rPr>
        <w:t>We</w:t>
      </w:r>
      <w:r>
        <w:rPr>
          <w:spacing w:val="-6"/>
        </w:rPr>
        <w:t> </w:t>
      </w:r>
      <w:r>
        <w:rPr>
          <w:spacing w:val="-4"/>
        </w:rPr>
        <w:t>also</w:t>
      </w:r>
      <w:r>
        <w:rPr>
          <w:spacing w:val="-6"/>
        </w:rPr>
        <w:t> </w:t>
      </w:r>
      <w:r>
        <w:rPr>
          <w:spacing w:val="-4"/>
        </w:rPr>
        <w:t>need </w:t>
      </w:r>
      <w:r>
        <w:rPr/>
        <w:t>to encourage reputed MEEs to develop specialised </w:t>
      </w:r>
      <w:r>
        <w:rPr>
          <w:spacing w:val="-4"/>
        </w:rPr>
        <w:t>courses</w:t>
      </w:r>
      <w:r>
        <w:rPr>
          <w:spacing w:val="-6"/>
        </w:rPr>
        <w:t> </w:t>
      </w:r>
      <w:r>
        <w:rPr>
          <w:spacing w:val="-4"/>
        </w:rPr>
        <w:t>for</w:t>
      </w:r>
      <w:r>
        <w:rPr>
          <w:spacing w:val="-6"/>
        </w:rPr>
        <w:t> </w:t>
      </w:r>
      <w:r>
        <w:rPr>
          <w:spacing w:val="-4"/>
        </w:rPr>
        <w:t>agri-business,</w:t>
      </w:r>
      <w:r>
        <w:rPr>
          <w:spacing w:val="-6"/>
        </w:rPr>
        <w:t> </w:t>
      </w:r>
      <w:r>
        <w:rPr>
          <w:spacing w:val="-4"/>
        </w:rPr>
        <w:t>rural</w:t>
      </w:r>
      <w:r>
        <w:rPr>
          <w:spacing w:val="-6"/>
        </w:rPr>
        <w:t> </w:t>
      </w:r>
      <w:r>
        <w:rPr>
          <w:spacing w:val="-4"/>
        </w:rPr>
        <w:t>banking,</w:t>
      </w:r>
      <w:r>
        <w:rPr>
          <w:spacing w:val="-6"/>
        </w:rPr>
        <w:t> </w:t>
      </w:r>
      <w:r>
        <w:rPr>
          <w:spacing w:val="-4"/>
        </w:rPr>
        <w:t>public</w:t>
      </w:r>
      <w:r>
        <w:rPr>
          <w:spacing w:val="-6"/>
        </w:rPr>
        <w:t> </w:t>
      </w:r>
      <w:r>
        <w:rPr>
          <w:spacing w:val="-4"/>
        </w:rPr>
        <w:t>utilities, </w:t>
      </w:r>
      <w:r>
        <w:rPr/>
        <w:t>regulatory</w:t>
      </w:r>
      <w:r>
        <w:rPr>
          <w:spacing w:val="-6"/>
        </w:rPr>
        <w:t> </w:t>
      </w:r>
      <w:r>
        <w:rPr/>
        <w:t>agencies</w:t>
      </w:r>
      <w:r>
        <w:rPr>
          <w:spacing w:val="-6"/>
        </w:rPr>
        <w:t> </w:t>
      </w:r>
      <w:r>
        <w:rPr/>
        <w:t>and</w:t>
      </w:r>
      <w:r>
        <w:rPr>
          <w:spacing w:val="-6"/>
        </w:rPr>
        <w:t> </w:t>
      </w:r>
      <w:r>
        <w:rPr/>
        <w:t>services</w:t>
      </w:r>
      <w:r>
        <w:rPr>
          <w:spacing w:val="-6"/>
        </w:rPr>
        <w:t> </w:t>
      </w:r>
      <w:r>
        <w:rPr/>
        <w:t>sector</w:t>
      </w:r>
      <w:r>
        <w:rPr>
          <w:spacing w:val="-6"/>
        </w:rPr>
        <w:t> </w:t>
      </w:r>
      <w:r>
        <w:rPr/>
        <w:t>in</w:t>
      </w:r>
      <w:r>
        <w:rPr>
          <w:spacing w:val="-6"/>
        </w:rPr>
        <w:t> </w:t>
      </w:r>
      <w:r>
        <w:rPr/>
        <w:t>the</w:t>
      </w:r>
      <w:r>
        <w:rPr>
          <w:spacing w:val="-6"/>
        </w:rPr>
        <w:t> </w:t>
      </w:r>
      <w:r>
        <w:rPr/>
        <w:t>coming years as private players entering this space would create</w:t>
      </w:r>
      <w:r>
        <w:rPr>
          <w:spacing w:val="-14"/>
        </w:rPr>
        <w:t> </w:t>
      </w:r>
      <w:r>
        <w:rPr/>
        <w:t>demand</w:t>
      </w:r>
      <w:r>
        <w:rPr>
          <w:spacing w:val="-11"/>
        </w:rPr>
        <w:t> </w:t>
      </w:r>
      <w:r>
        <w:rPr/>
        <w:t>for</w:t>
      </w:r>
      <w:r>
        <w:rPr>
          <w:spacing w:val="-11"/>
        </w:rPr>
        <w:t> </w:t>
      </w:r>
      <w:r>
        <w:rPr/>
        <w:t>the</w:t>
      </w:r>
      <w:r>
        <w:rPr>
          <w:spacing w:val="-11"/>
        </w:rPr>
        <w:t> </w:t>
      </w:r>
      <w:r>
        <w:rPr/>
        <w:t>same.</w:t>
      </w:r>
      <w:r>
        <w:rPr>
          <w:spacing w:val="-14"/>
        </w:rPr>
        <w:t> </w:t>
      </w:r>
      <w:r>
        <w:rPr/>
        <w:t>The</w:t>
      </w:r>
      <w:r>
        <w:rPr>
          <w:spacing w:val="-11"/>
        </w:rPr>
        <w:t> </w:t>
      </w:r>
      <w:r>
        <w:rPr/>
        <w:t>Standing</w:t>
      </w:r>
      <w:r>
        <w:rPr>
          <w:spacing w:val="-11"/>
        </w:rPr>
        <w:t> </w:t>
      </w:r>
      <w:r>
        <w:rPr/>
        <w:t>Committee </w:t>
      </w:r>
      <w:r>
        <w:rPr>
          <w:spacing w:val="-2"/>
        </w:rPr>
        <w:t>should</w:t>
      </w:r>
      <w:r>
        <w:rPr>
          <w:spacing w:val="-9"/>
        </w:rPr>
        <w:t> </w:t>
      </w:r>
      <w:r>
        <w:rPr>
          <w:spacing w:val="-2"/>
        </w:rPr>
        <w:t>undertake</w:t>
      </w:r>
      <w:r>
        <w:rPr>
          <w:spacing w:val="-9"/>
        </w:rPr>
        <w:t> </w:t>
      </w:r>
      <w:r>
        <w:rPr>
          <w:spacing w:val="-2"/>
        </w:rPr>
        <w:t>a</w:t>
      </w:r>
      <w:r>
        <w:rPr>
          <w:spacing w:val="-9"/>
        </w:rPr>
        <w:t> </w:t>
      </w:r>
      <w:r>
        <w:rPr>
          <w:spacing w:val="-2"/>
        </w:rPr>
        <w:t>study</w:t>
      </w:r>
      <w:r>
        <w:rPr>
          <w:spacing w:val="-9"/>
        </w:rPr>
        <w:t> </w:t>
      </w:r>
      <w:r>
        <w:rPr>
          <w:spacing w:val="-2"/>
        </w:rPr>
        <w:t>in</w:t>
      </w:r>
      <w:r>
        <w:rPr>
          <w:spacing w:val="-9"/>
        </w:rPr>
        <w:t> </w:t>
      </w:r>
      <w:r>
        <w:rPr>
          <w:spacing w:val="-2"/>
        </w:rPr>
        <w:t>this</w:t>
      </w:r>
      <w:r>
        <w:rPr>
          <w:spacing w:val="-9"/>
        </w:rPr>
        <w:t> </w:t>
      </w:r>
      <w:r>
        <w:rPr>
          <w:spacing w:val="-2"/>
        </w:rPr>
        <w:t>field</w:t>
      </w:r>
      <w:r>
        <w:rPr>
          <w:spacing w:val="-9"/>
        </w:rPr>
        <w:t> </w:t>
      </w:r>
      <w:r>
        <w:rPr>
          <w:spacing w:val="-2"/>
        </w:rPr>
        <w:t>to</w:t>
      </w:r>
      <w:r>
        <w:rPr>
          <w:spacing w:val="-9"/>
        </w:rPr>
        <w:t> </w:t>
      </w:r>
      <w:r>
        <w:rPr>
          <w:spacing w:val="-2"/>
        </w:rPr>
        <w:t>institutionalise </w:t>
      </w:r>
      <w:r>
        <w:rPr/>
        <w:t>these programs.</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701"/>
        <w:jc w:val="both"/>
      </w:pPr>
      <w:r>
        <w:rPr/>
        <mc:AlternateContent>
          <mc:Choice Requires="wps">
            <w:drawing>
              <wp:anchor distT="0" distB="0" distL="0" distR="0" allowOverlap="1" layoutInCell="1" locked="0" behindDoc="0" simplePos="0" relativeHeight="15767552">
                <wp:simplePos x="0" y="0"/>
                <wp:positionH relativeFrom="page">
                  <wp:posOffset>0</wp:posOffset>
                </wp:positionH>
                <wp:positionV relativeFrom="paragraph">
                  <wp:posOffset>-2277393</wp:posOffset>
                </wp:positionV>
                <wp:extent cx="7560309" cy="1752600"/>
                <wp:effectExtent l="0" t="0" r="0" b="0"/>
                <wp:wrapNone/>
                <wp:docPr id="899" name="Group 899"/>
                <wp:cNvGraphicFramePr>
                  <a:graphicFrameLocks/>
                </wp:cNvGraphicFramePr>
                <a:graphic>
                  <a:graphicData uri="http://schemas.microsoft.com/office/word/2010/wordprocessingGroup">
                    <wpg:wgp>
                      <wpg:cNvPr id="899" name="Group 899"/>
                      <wpg:cNvGrpSpPr/>
                      <wpg:grpSpPr>
                        <a:xfrm>
                          <a:off x="0" y="0"/>
                          <a:ext cx="7560309" cy="1752600"/>
                          <a:chExt cx="7560309" cy="1752600"/>
                        </a:xfrm>
                      </wpg:grpSpPr>
                      <pic:pic>
                        <pic:nvPicPr>
                          <pic:cNvPr id="900" name="Image 900"/>
                          <pic:cNvPicPr/>
                        </pic:nvPicPr>
                        <pic:blipFill>
                          <a:blip r:embed="rId612" cstate="print"/>
                          <a:stretch>
                            <a:fillRect/>
                          </a:stretch>
                        </pic:blipFill>
                        <pic:spPr>
                          <a:xfrm>
                            <a:off x="0" y="0"/>
                            <a:ext cx="7559999" cy="1752562"/>
                          </a:xfrm>
                          <a:prstGeom prst="rect">
                            <a:avLst/>
                          </a:prstGeom>
                        </pic:spPr>
                      </pic:pic>
                      <wps:wsp>
                        <wps:cNvPr id="901" name="Textbox 901"/>
                        <wps:cNvSpPr txBox="1"/>
                        <wps:spPr>
                          <a:xfrm>
                            <a:off x="685800" y="598688"/>
                            <a:ext cx="4525645"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Engineering</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s:wsp>
                        <wps:cNvPr id="902" name="Textbox 902"/>
                        <wps:cNvSpPr txBox="1"/>
                        <wps:spPr>
                          <a:xfrm>
                            <a:off x="6162856" y="1439105"/>
                            <a:ext cx="724535" cy="158750"/>
                          </a:xfrm>
                          <a:prstGeom prst="rect">
                            <a:avLst/>
                          </a:prstGeom>
                        </wps:spPr>
                        <wps:txbx>
                          <w:txbxContent>
                            <w:p>
                              <w:pPr>
                                <w:spacing w:line="238" w:lineRule="exact" w:before="0"/>
                                <w:ind w:left="0" w:right="0" w:firstLine="0"/>
                                <w:jc w:val="left"/>
                                <w:rPr>
                                  <w:b/>
                                  <w:sz w:val="22"/>
                                </w:rPr>
                              </w:pPr>
                              <w:r>
                                <w:rPr>
                                  <w:b/>
                                  <w:color w:val="FFFFFF"/>
                                  <w:spacing w:val="-4"/>
                                  <w:sz w:val="22"/>
                                </w:rPr>
                                <w:t>May</w:t>
                              </w:r>
                              <w:r>
                                <w:rPr>
                                  <w:b/>
                                  <w:color w:val="FFFFFF"/>
                                  <w:spacing w:val="-8"/>
                                  <w:sz w:val="22"/>
                                </w:rPr>
                                <w:t> </w:t>
                              </w:r>
                              <w:r>
                                <w:rPr>
                                  <w:b/>
                                  <w:color w:val="FFFFFF"/>
                                  <w:spacing w:val="-4"/>
                                  <w:sz w:val="22"/>
                                </w:rPr>
                                <w:t>6,</w:t>
                              </w:r>
                              <w:r>
                                <w:rPr>
                                  <w:b/>
                                  <w:color w:val="FFFFFF"/>
                                  <w:spacing w:val="-7"/>
                                  <w:sz w:val="22"/>
                                </w:rPr>
                                <w:t> </w:t>
                              </w:r>
                              <w:r>
                                <w:rPr>
                                  <w:b/>
                                  <w:color w:val="FFFFFF"/>
                                  <w:spacing w:val="-4"/>
                                  <w:sz w:val="22"/>
                                </w:rPr>
                                <w:t>2008</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67552" id="docshapegroup892" coordorigin="0,-3586" coordsize="11906,2760">
                <v:shape style="position:absolute;left:0;top:-3587;width:11906;height:2760" type="#_x0000_t75" id="docshape893" stroked="false">
                  <v:imagedata r:id="rId612" o:title=""/>
                </v:shape>
                <v:shape style="position:absolute;left:1080;top:-2644;width:7127;height:790" type="#_x0000_t202" id="docshape894" filled="false" stroked="false">
                  <v:textbox inset="0,0,0,0">
                    <w:txbxContent>
                      <w:p>
                        <w:pPr>
                          <w:spacing w:before="0"/>
                          <w:ind w:left="0" w:right="0" w:firstLine="0"/>
                          <w:jc w:val="left"/>
                          <w:rPr>
                            <w:rFonts w:ascii="Trebuchet MS"/>
                            <w:b/>
                            <w:sz w:val="68"/>
                          </w:rPr>
                        </w:pPr>
                        <w:r>
                          <w:rPr>
                            <w:rFonts w:ascii="Trebuchet MS"/>
                            <w:b/>
                            <w:color w:val="FFFFFF"/>
                            <w:sz w:val="68"/>
                          </w:rPr>
                          <w:t>Engineering</w:t>
                        </w:r>
                        <w:r>
                          <w:rPr>
                            <w:rFonts w:ascii="Trebuchet MS"/>
                            <w:b/>
                            <w:color w:val="FFFFFF"/>
                            <w:spacing w:val="-1"/>
                            <w:sz w:val="68"/>
                          </w:rPr>
                          <w:t> </w:t>
                        </w:r>
                        <w:r>
                          <w:rPr>
                            <w:rFonts w:ascii="Trebuchet MS"/>
                            <w:b/>
                            <w:color w:val="FFFFFF"/>
                            <w:spacing w:val="-2"/>
                            <w:sz w:val="68"/>
                          </w:rPr>
                          <w:t>Education</w:t>
                        </w:r>
                      </w:p>
                    </w:txbxContent>
                  </v:textbox>
                  <w10:wrap type="none"/>
                </v:shape>
                <v:shape style="position:absolute;left:9705;top:-1321;width:1141;height:250" type="#_x0000_t202" id="docshape895" filled="false" stroked="false">
                  <v:textbox inset="0,0,0,0">
                    <w:txbxContent>
                      <w:p>
                        <w:pPr>
                          <w:spacing w:line="238" w:lineRule="exact" w:before="0"/>
                          <w:ind w:left="0" w:right="0" w:firstLine="0"/>
                          <w:jc w:val="left"/>
                          <w:rPr>
                            <w:b/>
                            <w:sz w:val="22"/>
                          </w:rPr>
                        </w:pPr>
                        <w:r>
                          <w:rPr>
                            <w:b/>
                            <w:color w:val="FFFFFF"/>
                            <w:spacing w:val="-4"/>
                            <w:sz w:val="22"/>
                          </w:rPr>
                          <w:t>May</w:t>
                        </w:r>
                        <w:r>
                          <w:rPr>
                            <w:b/>
                            <w:color w:val="FFFFFF"/>
                            <w:spacing w:val="-8"/>
                            <w:sz w:val="22"/>
                          </w:rPr>
                          <w:t> </w:t>
                        </w:r>
                        <w:r>
                          <w:rPr>
                            <w:b/>
                            <w:color w:val="FFFFFF"/>
                            <w:spacing w:val="-4"/>
                            <w:sz w:val="22"/>
                          </w:rPr>
                          <w:t>6,</w:t>
                        </w:r>
                        <w:r>
                          <w:rPr>
                            <w:b/>
                            <w:color w:val="FFFFFF"/>
                            <w:spacing w:val="-7"/>
                            <w:sz w:val="22"/>
                          </w:rPr>
                          <w:t> </w:t>
                        </w:r>
                        <w:r>
                          <w:rPr>
                            <w:b/>
                            <w:color w:val="FFFFFF"/>
                            <w:spacing w:val="-4"/>
                            <w:sz w:val="22"/>
                          </w:rPr>
                          <w:t>2008</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4640">
                <wp:simplePos x="0" y="0"/>
                <wp:positionH relativeFrom="page">
                  <wp:posOffset>685799</wp:posOffset>
                </wp:positionH>
                <wp:positionV relativeFrom="paragraph">
                  <wp:posOffset>-36774</wp:posOffset>
                </wp:positionV>
                <wp:extent cx="394970" cy="75755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394970" cy="757555"/>
                        </a:xfrm>
                        <a:prstGeom prst="rect">
                          <a:avLst/>
                        </a:prstGeom>
                      </wps:spPr>
                      <wps:txbx>
                        <w:txbxContent>
                          <w:p>
                            <w:pPr>
                              <w:spacing w:line="1135" w:lineRule="exact" w:before="0"/>
                              <w:ind w:left="0" w:right="0" w:firstLine="0"/>
                              <w:jc w:val="left"/>
                              <w:rPr>
                                <w:sz w:val="106"/>
                              </w:rPr>
                            </w:pPr>
                            <w:r>
                              <w:rPr>
                                <w:color w:val="9CBF3B"/>
                                <w:spacing w:val="-37"/>
                                <w:sz w:val="106"/>
                              </w:rPr>
                              <w:t>E</w:t>
                            </w:r>
                          </w:p>
                        </w:txbxContent>
                      </wps:txbx>
                      <wps:bodyPr wrap="square" lIns="0" tIns="0" rIns="0" bIns="0" rtlCol="0">
                        <a:noAutofit/>
                      </wps:bodyPr>
                    </wps:wsp>
                  </a:graphicData>
                </a:graphic>
              </wp:anchor>
            </w:drawing>
          </mc:Choice>
          <mc:Fallback>
            <w:pict>
              <v:shape style="position:absolute;margin-left:53.999981pt;margin-top:-2.8956pt;width:31.1pt;height:59.65pt;mso-position-horizontal-relative:page;mso-position-vertical-relative:paragraph;z-index:-23971840" type="#_x0000_t202" id="docshape896" filled="false" stroked="false">
                <v:textbox inset="0,0,0,0">
                  <w:txbxContent>
                    <w:p>
                      <w:pPr>
                        <w:spacing w:line="1135" w:lineRule="exact" w:before="0"/>
                        <w:ind w:left="0" w:right="0" w:firstLine="0"/>
                        <w:jc w:val="left"/>
                        <w:rPr>
                          <w:sz w:val="106"/>
                        </w:rPr>
                      </w:pPr>
                      <w:r>
                        <w:rPr>
                          <w:color w:val="9CBF3B"/>
                          <w:spacing w:val="-37"/>
                          <w:sz w:val="106"/>
                        </w:rPr>
                        <w:t>E</w:t>
                      </w:r>
                    </w:p>
                  </w:txbxContent>
                </v:textbox>
                <w10:wrap type="none"/>
              </v:shape>
            </w:pict>
          </mc:Fallback>
        </mc:AlternateContent>
      </w:r>
      <w:r>
        <w:rPr>
          <w:spacing w:val="-2"/>
        </w:rPr>
        <w:t>ngineering</w:t>
      </w:r>
      <w:r>
        <w:rPr>
          <w:spacing w:val="-12"/>
        </w:rPr>
        <w:t> </w:t>
      </w:r>
      <w:r>
        <w:rPr>
          <w:spacing w:val="-2"/>
        </w:rPr>
        <w:t>education</w:t>
      </w:r>
      <w:r>
        <w:rPr>
          <w:spacing w:val="-12"/>
        </w:rPr>
        <w:t> </w:t>
      </w:r>
      <w:r>
        <w:rPr>
          <w:spacing w:val="-2"/>
        </w:rPr>
        <w:t>is</w:t>
      </w:r>
      <w:r>
        <w:rPr>
          <w:spacing w:val="-12"/>
        </w:rPr>
        <w:t> </w:t>
      </w:r>
      <w:r>
        <w:rPr>
          <w:spacing w:val="-2"/>
        </w:rPr>
        <w:t>among</w:t>
      </w:r>
      <w:r>
        <w:rPr>
          <w:spacing w:val="-11"/>
        </w:rPr>
        <w:t> </w:t>
      </w:r>
      <w:r>
        <w:rPr>
          <w:spacing w:val="-2"/>
        </w:rPr>
        <w:t>the</w:t>
      </w:r>
      <w:r>
        <w:rPr>
          <w:spacing w:val="-12"/>
        </w:rPr>
        <w:t> </w:t>
      </w:r>
      <w:r>
        <w:rPr>
          <w:spacing w:val="-2"/>
        </w:rPr>
        <w:t>key</w:t>
      </w:r>
      <w:r>
        <w:rPr>
          <w:spacing w:val="-12"/>
        </w:rPr>
        <w:t> </w:t>
      </w:r>
      <w:r>
        <w:rPr>
          <w:spacing w:val="-2"/>
        </w:rPr>
        <w:t>enablers </w:t>
      </w:r>
      <w:r>
        <w:rPr>
          <w:spacing w:val="-6"/>
        </w:rPr>
        <w:t>of</w:t>
      </w:r>
      <w:r>
        <w:rPr>
          <w:spacing w:val="-8"/>
        </w:rPr>
        <w:t> </w:t>
      </w:r>
      <w:r>
        <w:rPr>
          <w:spacing w:val="-6"/>
        </w:rPr>
        <w:t>growth</w:t>
      </w:r>
      <w:r>
        <w:rPr>
          <w:spacing w:val="-8"/>
        </w:rPr>
        <w:t> </w:t>
      </w:r>
      <w:r>
        <w:rPr>
          <w:spacing w:val="-6"/>
        </w:rPr>
        <w:t>for</w:t>
      </w:r>
      <w:r>
        <w:rPr>
          <w:spacing w:val="-8"/>
        </w:rPr>
        <w:t> </w:t>
      </w:r>
      <w:r>
        <w:rPr>
          <w:spacing w:val="-6"/>
        </w:rPr>
        <w:t>transforming</w:t>
      </w:r>
      <w:r>
        <w:rPr>
          <w:spacing w:val="-7"/>
        </w:rPr>
        <w:t> </w:t>
      </w:r>
      <w:r>
        <w:rPr>
          <w:spacing w:val="-6"/>
        </w:rPr>
        <w:t>India’s</w:t>
      </w:r>
      <w:r>
        <w:rPr>
          <w:spacing w:val="-8"/>
        </w:rPr>
        <w:t> </w:t>
      </w:r>
      <w:r>
        <w:rPr>
          <w:spacing w:val="-6"/>
        </w:rPr>
        <w:t>economy.</w:t>
      </w:r>
      <w:r>
        <w:rPr>
          <w:spacing w:val="-8"/>
        </w:rPr>
        <w:t> </w:t>
      </w:r>
      <w:r>
        <w:rPr>
          <w:spacing w:val="-6"/>
        </w:rPr>
        <w:t>The </w:t>
      </w:r>
      <w:r>
        <w:rPr/>
        <w:t>quality</w:t>
      </w:r>
      <w:r>
        <w:rPr>
          <w:spacing w:val="6"/>
        </w:rPr>
        <w:t> </w:t>
      </w:r>
      <w:r>
        <w:rPr/>
        <w:t>of</w:t>
      </w:r>
      <w:r>
        <w:rPr>
          <w:spacing w:val="6"/>
        </w:rPr>
        <w:t> </w:t>
      </w:r>
      <w:r>
        <w:rPr/>
        <w:t>teaching</w:t>
      </w:r>
      <w:r>
        <w:rPr>
          <w:spacing w:val="6"/>
        </w:rPr>
        <w:t> </w:t>
      </w:r>
      <w:r>
        <w:rPr/>
        <w:t>and</w:t>
      </w:r>
      <w:r>
        <w:rPr>
          <w:spacing w:val="6"/>
        </w:rPr>
        <w:t> </w:t>
      </w:r>
      <w:r>
        <w:rPr/>
        <w:t>research</w:t>
      </w:r>
      <w:r>
        <w:rPr>
          <w:spacing w:val="7"/>
        </w:rPr>
        <w:t> </w:t>
      </w:r>
      <w:r>
        <w:rPr/>
        <w:t>in</w:t>
      </w:r>
      <w:r>
        <w:rPr>
          <w:spacing w:val="6"/>
        </w:rPr>
        <w:t> </w:t>
      </w:r>
      <w:r>
        <w:rPr/>
        <w:t>this</w:t>
      </w:r>
      <w:r>
        <w:rPr>
          <w:spacing w:val="6"/>
        </w:rPr>
        <w:t> </w:t>
      </w:r>
      <w:r>
        <w:rPr>
          <w:spacing w:val="-5"/>
        </w:rPr>
        <w:t>sphere</w:t>
      </w:r>
    </w:p>
    <w:p>
      <w:pPr>
        <w:pStyle w:val="BodyText"/>
        <w:spacing w:line="266" w:lineRule="auto"/>
        <w:ind w:left="1079"/>
        <w:jc w:val="both"/>
      </w:pPr>
      <w:r>
        <w:rPr>
          <w:spacing w:val="-2"/>
        </w:rPr>
        <w:t>will</w:t>
      </w:r>
      <w:r>
        <w:rPr>
          <w:spacing w:val="-12"/>
        </w:rPr>
        <w:t> </w:t>
      </w:r>
      <w:r>
        <w:rPr>
          <w:spacing w:val="-2"/>
        </w:rPr>
        <w:t>play</w:t>
      </w:r>
      <w:r>
        <w:rPr>
          <w:spacing w:val="-12"/>
        </w:rPr>
        <w:t> </w:t>
      </w:r>
      <w:r>
        <w:rPr>
          <w:spacing w:val="-2"/>
        </w:rPr>
        <w:t>a</w:t>
      </w:r>
      <w:r>
        <w:rPr>
          <w:spacing w:val="-11"/>
        </w:rPr>
        <w:t> </w:t>
      </w:r>
      <w:r>
        <w:rPr>
          <w:spacing w:val="-2"/>
        </w:rPr>
        <w:t>critical</w:t>
      </w:r>
      <w:r>
        <w:rPr>
          <w:spacing w:val="-12"/>
        </w:rPr>
        <w:t> </w:t>
      </w:r>
      <w:r>
        <w:rPr>
          <w:spacing w:val="-2"/>
        </w:rPr>
        <w:t>role</w:t>
      </w:r>
      <w:r>
        <w:rPr>
          <w:spacing w:val="-12"/>
        </w:rPr>
        <w:t> </w:t>
      </w:r>
      <w:r>
        <w:rPr>
          <w:spacing w:val="-2"/>
        </w:rPr>
        <w:t>in</w:t>
      </w:r>
      <w:r>
        <w:rPr>
          <w:spacing w:val="-11"/>
        </w:rPr>
        <w:t> </w:t>
      </w:r>
      <w:r>
        <w:rPr>
          <w:spacing w:val="-2"/>
        </w:rPr>
        <w:t>the</w:t>
      </w:r>
      <w:r>
        <w:rPr>
          <w:spacing w:val="-12"/>
        </w:rPr>
        <w:t> </w:t>
      </w:r>
      <w:r>
        <w:rPr>
          <w:spacing w:val="-2"/>
        </w:rPr>
        <w:t>emergence</w:t>
      </w:r>
      <w:r>
        <w:rPr>
          <w:spacing w:val="-12"/>
        </w:rPr>
        <w:t> </w:t>
      </w:r>
      <w:r>
        <w:rPr>
          <w:spacing w:val="-2"/>
        </w:rPr>
        <w:t>of</w:t>
      </w:r>
      <w:r>
        <w:rPr>
          <w:spacing w:val="-11"/>
        </w:rPr>
        <w:t> </w:t>
      </w:r>
      <w:r>
        <w:rPr>
          <w:spacing w:val="-2"/>
        </w:rPr>
        <w:t>our</w:t>
      </w:r>
      <w:r>
        <w:rPr>
          <w:spacing w:val="-12"/>
        </w:rPr>
        <w:t> </w:t>
      </w:r>
      <w:r>
        <w:rPr>
          <w:spacing w:val="-2"/>
        </w:rPr>
        <w:t>country </w:t>
      </w:r>
      <w:r>
        <w:rPr/>
        <w:t>as</w:t>
      </w:r>
      <w:r>
        <w:rPr>
          <w:spacing w:val="-14"/>
        </w:rPr>
        <w:t> </w:t>
      </w:r>
      <w:r>
        <w:rPr/>
        <w:t>a</w:t>
      </w:r>
      <w:r>
        <w:rPr>
          <w:spacing w:val="-14"/>
        </w:rPr>
        <w:t> </w:t>
      </w:r>
      <w:r>
        <w:rPr/>
        <w:t>global</w:t>
      </w:r>
      <w:r>
        <w:rPr>
          <w:spacing w:val="-14"/>
        </w:rPr>
        <w:t> </w:t>
      </w:r>
      <w:r>
        <w:rPr/>
        <w:t>knowledge</w:t>
      </w:r>
      <w:r>
        <w:rPr>
          <w:spacing w:val="-13"/>
        </w:rPr>
        <w:t> </w:t>
      </w:r>
      <w:r>
        <w:rPr/>
        <w:t>leader.</w:t>
      </w:r>
      <w:r>
        <w:rPr>
          <w:spacing w:val="-14"/>
        </w:rPr>
        <w:t> </w:t>
      </w:r>
      <w:r>
        <w:rPr/>
        <w:t>It</w:t>
      </w:r>
      <w:r>
        <w:rPr>
          <w:spacing w:val="-14"/>
        </w:rPr>
        <w:t> </w:t>
      </w:r>
      <w:r>
        <w:rPr/>
        <w:t>will</w:t>
      </w:r>
      <w:r>
        <w:rPr>
          <w:spacing w:val="-14"/>
        </w:rPr>
        <w:t> </w:t>
      </w:r>
      <w:r>
        <w:rPr/>
        <w:t>also</w:t>
      </w:r>
      <w:r>
        <w:rPr>
          <w:spacing w:val="-13"/>
        </w:rPr>
        <w:t> </w:t>
      </w:r>
      <w:r>
        <w:rPr/>
        <w:t>provide</w:t>
      </w:r>
      <w:r>
        <w:rPr>
          <w:spacing w:val="-14"/>
        </w:rPr>
        <w:t> </w:t>
      </w:r>
      <w:r>
        <w:rPr/>
        <w:t>vital </w:t>
      </w:r>
      <w:r>
        <w:rPr>
          <w:spacing w:val="-2"/>
        </w:rPr>
        <w:t>inputs</w:t>
      </w:r>
      <w:r>
        <w:rPr>
          <w:spacing w:val="-11"/>
        </w:rPr>
        <w:t> </w:t>
      </w:r>
      <w:r>
        <w:rPr>
          <w:spacing w:val="-2"/>
        </w:rPr>
        <w:t>for</w:t>
      </w:r>
      <w:r>
        <w:rPr>
          <w:spacing w:val="-11"/>
        </w:rPr>
        <w:t> </w:t>
      </w:r>
      <w:r>
        <w:rPr>
          <w:spacing w:val="-2"/>
        </w:rPr>
        <w:t>enhancing</w:t>
      </w:r>
      <w:r>
        <w:rPr>
          <w:spacing w:val="-11"/>
        </w:rPr>
        <w:t> </w:t>
      </w:r>
      <w:r>
        <w:rPr>
          <w:spacing w:val="-2"/>
        </w:rPr>
        <w:t>productivity</w:t>
      </w:r>
      <w:r>
        <w:rPr>
          <w:spacing w:val="-11"/>
        </w:rPr>
        <w:t> </w:t>
      </w:r>
      <w:r>
        <w:rPr>
          <w:spacing w:val="-2"/>
        </w:rPr>
        <w:t>across</w:t>
      </w:r>
      <w:r>
        <w:rPr>
          <w:spacing w:val="-11"/>
        </w:rPr>
        <w:t> </w:t>
      </w:r>
      <w:r>
        <w:rPr>
          <w:spacing w:val="-2"/>
        </w:rPr>
        <w:t>sectors.</w:t>
      </w:r>
      <w:r>
        <w:rPr>
          <w:spacing w:val="-11"/>
        </w:rPr>
        <w:t> </w:t>
      </w:r>
      <w:r>
        <w:rPr>
          <w:spacing w:val="-2"/>
        </w:rPr>
        <w:t>In</w:t>
      </w:r>
      <w:r>
        <w:rPr>
          <w:spacing w:val="-11"/>
        </w:rPr>
        <w:t> </w:t>
      </w:r>
      <w:r>
        <w:rPr>
          <w:spacing w:val="-2"/>
        </w:rPr>
        <w:t>the </w:t>
      </w:r>
      <w:r>
        <w:rPr/>
        <w:t>past</w:t>
      </w:r>
      <w:r>
        <w:rPr>
          <w:spacing w:val="-10"/>
        </w:rPr>
        <w:t> </w:t>
      </w:r>
      <w:r>
        <w:rPr/>
        <w:t>two</w:t>
      </w:r>
      <w:r>
        <w:rPr>
          <w:spacing w:val="-10"/>
        </w:rPr>
        <w:t> </w:t>
      </w:r>
      <w:r>
        <w:rPr/>
        <w:t>decades,</w:t>
      </w:r>
      <w:r>
        <w:rPr>
          <w:spacing w:val="-10"/>
        </w:rPr>
        <w:t> </w:t>
      </w:r>
      <w:r>
        <w:rPr/>
        <w:t>we</w:t>
      </w:r>
      <w:r>
        <w:rPr>
          <w:spacing w:val="-10"/>
        </w:rPr>
        <w:t> </w:t>
      </w:r>
      <w:r>
        <w:rPr/>
        <w:t>have</w:t>
      </w:r>
      <w:r>
        <w:rPr>
          <w:spacing w:val="-10"/>
        </w:rPr>
        <w:t> </w:t>
      </w:r>
      <w:r>
        <w:rPr/>
        <w:t>seen</w:t>
      </w:r>
      <w:r>
        <w:rPr>
          <w:spacing w:val="-10"/>
        </w:rPr>
        <w:t> </w:t>
      </w:r>
      <w:r>
        <w:rPr/>
        <w:t>an</w:t>
      </w:r>
      <w:r>
        <w:rPr>
          <w:spacing w:val="-10"/>
        </w:rPr>
        <w:t> </w:t>
      </w:r>
      <w:r>
        <w:rPr/>
        <w:t>eight-fold</w:t>
      </w:r>
      <w:r>
        <w:rPr>
          <w:spacing w:val="-10"/>
        </w:rPr>
        <w:t> </w:t>
      </w:r>
      <w:r>
        <w:rPr/>
        <w:t>increase in the number of institutions imparting engineering </w:t>
      </w:r>
      <w:r>
        <w:rPr>
          <w:spacing w:val="-6"/>
        </w:rPr>
        <w:t>education</w:t>
      </w:r>
      <w:r>
        <w:rPr>
          <w:spacing w:val="-8"/>
        </w:rPr>
        <w:t> </w:t>
      </w:r>
      <w:r>
        <w:rPr>
          <w:spacing w:val="-6"/>
        </w:rPr>
        <w:t>at</w:t>
      </w:r>
      <w:r>
        <w:rPr>
          <w:spacing w:val="-8"/>
        </w:rPr>
        <w:t> </w:t>
      </w:r>
      <w:r>
        <w:rPr>
          <w:spacing w:val="-6"/>
        </w:rPr>
        <w:t>the</w:t>
      </w:r>
      <w:r>
        <w:rPr>
          <w:spacing w:val="-8"/>
        </w:rPr>
        <w:t> </w:t>
      </w:r>
      <w:r>
        <w:rPr>
          <w:spacing w:val="-6"/>
        </w:rPr>
        <w:t>undergraduate</w:t>
      </w:r>
      <w:r>
        <w:rPr>
          <w:spacing w:val="-7"/>
        </w:rPr>
        <w:t> </w:t>
      </w:r>
      <w:r>
        <w:rPr>
          <w:spacing w:val="-6"/>
        </w:rPr>
        <w:t>level.</w:t>
      </w:r>
      <w:r>
        <w:rPr>
          <w:spacing w:val="-8"/>
        </w:rPr>
        <w:t> </w:t>
      </w:r>
      <w:r>
        <w:rPr>
          <w:spacing w:val="-6"/>
        </w:rPr>
        <w:t>Yet,</w:t>
      </w:r>
      <w:r>
        <w:rPr>
          <w:spacing w:val="-7"/>
        </w:rPr>
        <w:t> </w:t>
      </w:r>
      <w:r>
        <w:rPr>
          <w:spacing w:val="-6"/>
        </w:rPr>
        <w:t>there</w:t>
      </w:r>
      <w:r>
        <w:rPr>
          <w:spacing w:val="-8"/>
        </w:rPr>
        <w:t> </w:t>
      </w:r>
      <w:r>
        <w:rPr>
          <w:spacing w:val="-6"/>
        </w:rPr>
        <w:t>are</w:t>
      </w:r>
      <w:r>
        <w:rPr>
          <w:spacing w:val="-7"/>
        </w:rPr>
        <w:t> </w:t>
      </w:r>
      <w:r>
        <w:rPr>
          <w:spacing w:val="-6"/>
        </w:rPr>
        <w:t>some </w:t>
      </w:r>
      <w:r>
        <w:rPr/>
        <w:t>fundamental issues that need to be addressed.</w:t>
      </w:r>
    </w:p>
    <w:p>
      <w:pPr>
        <w:pStyle w:val="BodyText"/>
        <w:spacing w:before="19"/>
      </w:pPr>
    </w:p>
    <w:p>
      <w:pPr>
        <w:pStyle w:val="BodyText"/>
        <w:spacing w:line="266" w:lineRule="auto"/>
        <w:ind w:left="1079"/>
        <w:jc w:val="both"/>
      </w:pPr>
      <w:r>
        <w:rPr/>
        <w:t>A glaring regional imbalance has emerged in </w:t>
      </w:r>
      <w:r>
        <w:rPr/>
        <w:t>the </w:t>
      </w:r>
      <w:r>
        <w:rPr>
          <w:spacing w:val="-4"/>
        </w:rPr>
        <w:t>availability</w:t>
      </w:r>
      <w:r>
        <w:rPr>
          <w:spacing w:val="-5"/>
        </w:rPr>
        <w:t> </w:t>
      </w:r>
      <w:r>
        <w:rPr>
          <w:spacing w:val="-4"/>
        </w:rPr>
        <w:t>of engineering education.</w:t>
      </w:r>
      <w:r>
        <w:rPr>
          <w:spacing w:val="-10"/>
        </w:rPr>
        <w:t> </w:t>
      </w:r>
      <w:r>
        <w:rPr>
          <w:spacing w:val="-4"/>
        </w:rPr>
        <w:t>Two-thirds of the </w:t>
      </w:r>
      <w:r>
        <w:rPr/>
        <w:t>engineering institutions are located in four southern </w:t>
      </w:r>
      <w:r>
        <w:rPr>
          <w:spacing w:val="-2"/>
        </w:rPr>
        <w:t>states,</w:t>
      </w:r>
      <w:r>
        <w:rPr>
          <w:spacing w:val="-7"/>
        </w:rPr>
        <w:t> </w:t>
      </w:r>
      <w:r>
        <w:rPr>
          <w:spacing w:val="-2"/>
        </w:rPr>
        <w:t>plus</w:t>
      </w:r>
      <w:r>
        <w:rPr>
          <w:spacing w:val="-7"/>
        </w:rPr>
        <w:t> </w:t>
      </w:r>
      <w:r>
        <w:rPr>
          <w:spacing w:val="-2"/>
        </w:rPr>
        <w:t>Maharashtra,</w:t>
      </w:r>
      <w:r>
        <w:rPr>
          <w:spacing w:val="-7"/>
        </w:rPr>
        <w:t> </w:t>
      </w:r>
      <w:r>
        <w:rPr>
          <w:spacing w:val="-2"/>
        </w:rPr>
        <w:t>even</w:t>
      </w:r>
      <w:r>
        <w:rPr>
          <w:spacing w:val="-7"/>
        </w:rPr>
        <w:t> </w:t>
      </w:r>
      <w:r>
        <w:rPr>
          <w:spacing w:val="-2"/>
        </w:rPr>
        <w:t>though</w:t>
      </w:r>
      <w:r>
        <w:rPr>
          <w:spacing w:val="-7"/>
        </w:rPr>
        <w:t> </w:t>
      </w:r>
      <w:r>
        <w:rPr>
          <w:spacing w:val="-2"/>
        </w:rPr>
        <w:t>they</w:t>
      </w:r>
      <w:r>
        <w:rPr>
          <w:spacing w:val="-7"/>
        </w:rPr>
        <w:t> </w:t>
      </w:r>
      <w:r>
        <w:rPr>
          <w:spacing w:val="-2"/>
        </w:rPr>
        <w:t>account</w:t>
      </w:r>
      <w:r>
        <w:rPr>
          <w:spacing w:val="-7"/>
        </w:rPr>
        <w:t> </w:t>
      </w:r>
      <w:r>
        <w:rPr>
          <w:spacing w:val="-2"/>
        </w:rPr>
        <w:t>for </w:t>
      </w:r>
      <w:r>
        <w:rPr>
          <w:spacing w:val="-4"/>
        </w:rPr>
        <w:t>less</w:t>
      </w:r>
      <w:r>
        <w:rPr>
          <w:spacing w:val="-10"/>
        </w:rPr>
        <w:t> </w:t>
      </w:r>
      <w:r>
        <w:rPr>
          <w:spacing w:val="-4"/>
        </w:rPr>
        <w:t>than</w:t>
      </w:r>
      <w:r>
        <w:rPr>
          <w:spacing w:val="-10"/>
        </w:rPr>
        <w:t> </w:t>
      </w:r>
      <w:r>
        <w:rPr>
          <w:spacing w:val="-4"/>
        </w:rPr>
        <w:t>one-third</w:t>
      </w:r>
      <w:r>
        <w:rPr>
          <w:spacing w:val="-10"/>
        </w:rPr>
        <w:t> </w:t>
      </w:r>
      <w:r>
        <w:rPr>
          <w:spacing w:val="-4"/>
        </w:rPr>
        <w:t>of</w:t>
      </w:r>
      <w:r>
        <w:rPr>
          <w:spacing w:val="-9"/>
        </w:rPr>
        <w:t> </w:t>
      </w:r>
      <w:r>
        <w:rPr>
          <w:spacing w:val="-4"/>
        </w:rPr>
        <w:t>the</w:t>
      </w:r>
      <w:r>
        <w:rPr>
          <w:spacing w:val="-10"/>
        </w:rPr>
        <w:t> </w:t>
      </w:r>
      <w:r>
        <w:rPr>
          <w:spacing w:val="-4"/>
        </w:rPr>
        <w:t>population.</w:t>
      </w:r>
      <w:r>
        <w:rPr>
          <w:spacing w:val="-10"/>
        </w:rPr>
        <w:t> </w:t>
      </w:r>
      <w:r>
        <w:rPr>
          <w:spacing w:val="-4"/>
        </w:rPr>
        <w:t>There</w:t>
      </w:r>
      <w:r>
        <w:rPr>
          <w:spacing w:val="-10"/>
        </w:rPr>
        <w:t> </w:t>
      </w:r>
      <w:r>
        <w:rPr>
          <w:spacing w:val="-4"/>
        </w:rPr>
        <w:t>is</w:t>
      </w:r>
      <w:r>
        <w:rPr>
          <w:spacing w:val="-9"/>
        </w:rPr>
        <w:t> </w:t>
      </w:r>
      <w:r>
        <w:rPr>
          <w:spacing w:val="-4"/>
        </w:rPr>
        <w:t>much</w:t>
      </w:r>
      <w:r>
        <w:rPr>
          <w:spacing w:val="-10"/>
        </w:rPr>
        <w:t> </w:t>
      </w:r>
      <w:r>
        <w:rPr>
          <w:spacing w:val="-4"/>
        </w:rPr>
        <w:t>less </w:t>
      </w:r>
      <w:r>
        <w:rPr>
          <w:w w:val="90"/>
        </w:rPr>
        <w:t>access for the youth in under-provided states, particularly </w:t>
      </w:r>
      <w:r>
        <w:rPr>
          <w:spacing w:val="-2"/>
        </w:rPr>
        <w:t>because</w:t>
      </w:r>
      <w:r>
        <w:rPr>
          <w:spacing w:val="-9"/>
        </w:rPr>
        <w:t> </w:t>
      </w:r>
      <w:r>
        <w:rPr>
          <w:spacing w:val="-2"/>
        </w:rPr>
        <w:t>only</w:t>
      </w:r>
      <w:r>
        <w:rPr>
          <w:spacing w:val="-9"/>
        </w:rPr>
        <w:t> </w:t>
      </w:r>
      <w:r>
        <w:rPr>
          <w:spacing w:val="-2"/>
        </w:rPr>
        <w:t>15</w:t>
      </w:r>
      <w:r>
        <w:rPr>
          <w:spacing w:val="-9"/>
        </w:rPr>
        <w:t> </w:t>
      </w:r>
      <w:r>
        <w:rPr>
          <w:spacing w:val="-2"/>
        </w:rPr>
        <w:t>per</w:t>
      </w:r>
      <w:r>
        <w:rPr>
          <w:spacing w:val="-9"/>
        </w:rPr>
        <w:t> </w:t>
      </w:r>
      <w:r>
        <w:rPr>
          <w:spacing w:val="-2"/>
        </w:rPr>
        <w:t>cent</w:t>
      </w:r>
      <w:r>
        <w:rPr>
          <w:spacing w:val="-9"/>
        </w:rPr>
        <w:t> </w:t>
      </w:r>
      <w:r>
        <w:rPr>
          <w:spacing w:val="-2"/>
        </w:rPr>
        <w:t>of</w:t>
      </w:r>
      <w:r>
        <w:rPr>
          <w:spacing w:val="-9"/>
        </w:rPr>
        <w:t> </w:t>
      </w:r>
      <w:r>
        <w:rPr>
          <w:spacing w:val="-2"/>
        </w:rPr>
        <w:t>the</w:t>
      </w:r>
      <w:r>
        <w:rPr>
          <w:spacing w:val="-9"/>
        </w:rPr>
        <w:t> </w:t>
      </w:r>
      <w:r>
        <w:rPr>
          <w:spacing w:val="-2"/>
        </w:rPr>
        <w:t>total</w:t>
      </w:r>
      <w:r>
        <w:rPr>
          <w:spacing w:val="-9"/>
        </w:rPr>
        <w:t> </w:t>
      </w:r>
      <w:r>
        <w:rPr>
          <w:spacing w:val="-2"/>
        </w:rPr>
        <w:t>seats</w:t>
      </w:r>
      <w:r>
        <w:rPr>
          <w:spacing w:val="-9"/>
        </w:rPr>
        <w:t> </w:t>
      </w:r>
      <w:r>
        <w:rPr>
          <w:spacing w:val="-2"/>
        </w:rPr>
        <w:t>are</w:t>
      </w:r>
      <w:r>
        <w:rPr>
          <w:spacing w:val="-9"/>
        </w:rPr>
        <w:t> </w:t>
      </w:r>
      <w:r>
        <w:rPr>
          <w:spacing w:val="-2"/>
        </w:rPr>
        <w:t>available </w:t>
      </w:r>
      <w:r>
        <w:rPr/>
        <w:t>for those who come from outside the state. It would be</w:t>
      </w:r>
      <w:r>
        <w:rPr>
          <w:spacing w:val="-7"/>
        </w:rPr>
        <w:t> </w:t>
      </w:r>
      <w:r>
        <w:rPr/>
        <w:t>worthwhile</w:t>
      </w:r>
      <w:r>
        <w:rPr>
          <w:spacing w:val="-7"/>
        </w:rPr>
        <w:t> </w:t>
      </w:r>
      <w:r>
        <w:rPr/>
        <w:t>to</w:t>
      </w:r>
      <w:r>
        <w:rPr>
          <w:spacing w:val="-7"/>
        </w:rPr>
        <w:t> </w:t>
      </w:r>
      <w:r>
        <w:rPr/>
        <w:t>study</w:t>
      </w:r>
      <w:r>
        <w:rPr>
          <w:spacing w:val="-7"/>
        </w:rPr>
        <w:t> </w:t>
      </w:r>
      <w:r>
        <w:rPr/>
        <w:t>whether</w:t>
      </w:r>
      <w:r>
        <w:rPr>
          <w:spacing w:val="-7"/>
        </w:rPr>
        <w:t> </w:t>
      </w:r>
      <w:r>
        <w:rPr/>
        <w:t>there</w:t>
      </w:r>
      <w:r>
        <w:rPr>
          <w:spacing w:val="-7"/>
        </w:rPr>
        <w:t> </w:t>
      </w:r>
      <w:r>
        <w:rPr/>
        <w:t>are</w:t>
      </w:r>
      <w:r>
        <w:rPr>
          <w:spacing w:val="-7"/>
        </w:rPr>
        <w:t> </w:t>
      </w:r>
      <w:r>
        <w:rPr/>
        <w:t>any</w:t>
      </w:r>
      <w:r>
        <w:rPr>
          <w:spacing w:val="-7"/>
        </w:rPr>
        <w:t> </w:t>
      </w:r>
      <w:r>
        <w:rPr/>
        <w:t>cultural or</w:t>
      </w:r>
      <w:r>
        <w:rPr>
          <w:spacing w:val="-1"/>
        </w:rPr>
        <w:t> </w:t>
      </w:r>
      <w:r>
        <w:rPr/>
        <w:t>region-specific</w:t>
      </w:r>
      <w:r>
        <w:rPr>
          <w:spacing w:val="-1"/>
        </w:rPr>
        <w:t> </w:t>
      </w:r>
      <w:r>
        <w:rPr/>
        <w:t>factors</w:t>
      </w:r>
      <w:r>
        <w:rPr>
          <w:spacing w:val="-1"/>
        </w:rPr>
        <w:t> </w:t>
      </w:r>
      <w:r>
        <w:rPr/>
        <w:t>that</w:t>
      </w:r>
      <w:r>
        <w:rPr>
          <w:spacing w:val="-1"/>
        </w:rPr>
        <w:t> </w:t>
      </w:r>
      <w:r>
        <w:rPr/>
        <w:t>influence</w:t>
      </w:r>
      <w:r>
        <w:rPr>
          <w:spacing w:val="-1"/>
        </w:rPr>
        <w:t> </w:t>
      </w:r>
      <w:r>
        <w:rPr/>
        <w:t>the</w:t>
      </w:r>
      <w:r>
        <w:rPr>
          <w:spacing w:val="-1"/>
        </w:rPr>
        <w:t> </w:t>
      </w:r>
      <w:r>
        <w:rPr/>
        <w:t>choice</w:t>
      </w:r>
      <w:r>
        <w:rPr>
          <w:spacing w:val="-1"/>
        </w:rPr>
        <w:t> </w:t>
      </w:r>
      <w:r>
        <w:rPr/>
        <w:t>of </w:t>
      </w:r>
      <w:r>
        <w:rPr>
          <w:spacing w:val="-6"/>
        </w:rPr>
        <w:t>engineering</w:t>
      </w:r>
      <w:r>
        <w:rPr>
          <w:spacing w:val="-8"/>
        </w:rPr>
        <w:t> </w:t>
      </w:r>
      <w:r>
        <w:rPr>
          <w:spacing w:val="-6"/>
        </w:rPr>
        <w:t>as</w:t>
      </w:r>
      <w:r>
        <w:rPr>
          <w:spacing w:val="-8"/>
        </w:rPr>
        <w:t> </w:t>
      </w:r>
      <w:r>
        <w:rPr>
          <w:spacing w:val="-6"/>
        </w:rPr>
        <w:t>a</w:t>
      </w:r>
      <w:r>
        <w:rPr>
          <w:spacing w:val="-7"/>
        </w:rPr>
        <w:t> </w:t>
      </w:r>
      <w:r>
        <w:rPr>
          <w:spacing w:val="-6"/>
        </w:rPr>
        <w:t>career</w:t>
      </w:r>
      <w:r>
        <w:rPr>
          <w:spacing w:val="-8"/>
        </w:rPr>
        <w:t> </w:t>
      </w:r>
      <w:r>
        <w:rPr>
          <w:spacing w:val="-6"/>
        </w:rPr>
        <w:t>in</w:t>
      </w:r>
      <w:r>
        <w:rPr>
          <w:spacing w:val="-8"/>
        </w:rPr>
        <w:t> </w:t>
      </w:r>
      <w:r>
        <w:rPr>
          <w:spacing w:val="-6"/>
        </w:rPr>
        <w:t>some</w:t>
      </w:r>
      <w:r>
        <w:rPr>
          <w:spacing w:val="-7"/>
        </w:rPr>
        <w:t> </w:t>
      </w:r>
      <w:r>
        <w:rPr>
          <w:spacing w:val="-6"/>
        </w:rPr>
        <w:t>states</w:t>
      </w:r>
      <w:r>
        <w:rPr>
          <w:spacing w:val="-8"/>
        </w:rPr>
        <w:t> </w:t>
      </w:r>
      <w:r>
        <w:rPr>
          <w:spacing w:val="-6"/>
        </w:rPr>
        <w:t>and</w:t>
      </w:r>
      <w:r>
        <w:rPr>
          <w:spacing w:val="-8"/>
        </w:rPr>
        <w:t> </w:t>
      </w:r>
      <w:r>
        <w:rPr>
          <w:spacing w:val="-6"/>
        </w:rPr>
        <w:t>not</w:t>
      </w:r>
      <w:r>
        <w:rPr>
          <w:spacing w:val="-7"/>
        </w:rPr>
        <w:t> </w:t>
      </w:r>
      <w:r>
        <w:rPr>
          <w:spacing w:val="-6"/>
        </w:rPr>
        <w:t>elsewhere. </w:t>
      </w:r>
      <w:r>
        <w:rPr>
          <w:spacing w:val="-2"/>
        </w:rPr>
        <w:t>This</w:t>
      </w:r>
      <w:r>
        <w:rPr>
          <w:spacing w:val="-10"/>
        </w:rPr>
        <w:t> </w:t>
      </w:r>
      <w:r>
        <w:rPr>
          <w:spacing w:val="-2"/>
        </w:rPr>
        <w:t>could</w:t>
      </w:r>
      <w:r>
        <w:rPr>
          <w:spacing w:val="-10"/>
        </w:rPr>
        <w:t> </w:t>
      </w:r>
      <w:r>
        <w:rPr>
          <w:spacing w:val="-2"/>
        </w:rPr>
        <w:t>help</w:t>
      </w:r>
      <w:r>
        <w:rPr>
          <w:spacing w:val="-10"/>
        </w:rPr>
        <w:t> </w:t>
      </w:r>
      <w:r>
        <w:rPr>
          <w:spacing w:val="-2"/>
        </w:rPr>
        <w:t>make</w:t>
      </w:r>
      <w:r>
        <w:rPr>
          <w:spacing w:val="-10"/>
        </w:rPr>
        <w:t> </w:t>
      </w:r>
      <w:r>
        <w:rPr>
          <w:spacing w:val="-2"/>
        </w:rPr>
        <w:t>the</w:t>
      </w:r>
      <w:r>
        <w:rPr>
          <w:spacing w:val="-10"/>
        </w:rPr>
        <w:t> </w:t>
      </w:r>
      <w:r>
        <w:rPr>
          <w:spacing w:val="-2"/>
        </w:rPr>
        <w:t>spread</w:t>
      </w:r>
      <w:r>
        <w:rPr>
          <w:spacing w:val="-10"/>
        </w:rPr>
        <w:t> </w:t>
      </w:r>
      <w:r>
        <w:rPr>
          <w:spacing w:val="-2"/>
        </w:rPr>
        <w:t>of</w:t>
      </w:r>
      <w:r>
        <w:rPr>
          <w:spacing w:val="-10"/>
        </w:rPr>
        <w:t> </w:t>
      </w:r>
      <w:r>
        <w:rPr>
          <w:spacing w:val="-2"/>
        </w:rPr>
        <w:t>such</w:t>
      </w:r>
      <w:r>
        <w:rPr>
          <w:spacing w:val="-10"/>
        </w:rPr>
        <w:t> </w:t>
      </w:r>
      <w:r>
        <w:rPr>
          <w:spacing w:val="-2"/>
        </w:rPr>
        <w:t>colleges</w:t>
      </w:r>
      <w:r>
        <w:rPr>
          <w:spacing w:val="-10"/>
        </w:rPr>
        <w:t> </w:t>
      </w:r>
      <w:r>
        <w:rPr>
          <w:spacing w:val="-2"/>
        </w:rPr>
        <w:t>more </w:t>
      </w:r>
      <w:r>
        <w:rPr/>
        <w:t>even nationwide.</w:t>
      </w:r>
    </w:p>
    <w:p>
      <w:pPr>
        <w:pStyle w:val="BodyText"/>
        <w:spacing w:before="17"/>
      </w:pPr>
    </w:p>
    <w:p>
      <w:pPr>
        <w:pStyle w:val="BodyText"/>
        <w:spacing w:line="266" w:lineRule="auto"/>
        <w:ind w:left="1079"/>
        <w:jc w:val="both"/>
      </w:pPr>
      <w:r>
        <w:rPr/>
        <w:t>Several recent studies have flagged the problem of unemployability of engineering graduates, </w:t>
      </w:r>
      <w:r>
        <w:rPr/>
        <w:t>largely </w:t>
      </w:r>
      <w:r>
        <w:rPr>
          <w:spacing w:val="-4"/>
        </w:rPr>
        <w:t>because</w:t>
      </w:r>
      <w:r>
        <w:rPr>
          <w:spacing w:val="-10"/>
        </w:rPr>
        <w:t> </w:t>
      </w:r>
      <w:r>
        <w:rPr>
          <w:spacing w:val="-4"/>
        </w:rPr>
        <w:t>curriculum</w:t>
      </w:r>
      <w:r>
        <w:rPr>
          <w:spacing w:val="-10"/>
        </w:rPr>
        <w:t> </w:t>
      </w:r>
      <w:r>
        <w:rPr>
          <w:spacing w:val="-4"/>
        </w:rPr>
        <w:t>and</w:t>
      </w:r>
      <w:r>
        <w:rPr>
          <w:spacing w:val="-10"/>
        </w:rPr>
        <w:t> </w:t>
      </w:r>
      <w:r>
        <w:rPr>
          <w:spacing w:val="-4"/>
        </w:rPr>
        <w:t>syllabi</w:t>
      </w:r>
      <w:r>
        <w:rPr>
          <w:spacing w:val="-9"/>
        </w:rPr>
        <w:t> </w:t>
      </w:r>
      <w:r>
        <w:rPr>
          <w:spacing w:val="-4"/>
        </w:rPr>
        <w:t>are</w:t>
      </w:r>
      <w:r>
        <w:rPr>
          <w:spacing w:val="-10"/>
        </w:rPr>
        <w:t> </w:t>
      </w:r>
      <w:r>
        <w:rPr>
          <w:spacing w:val="-4"/>
        </w:rPr>
        <w:t>not</w:t>
      </w:r>
      <w:r>
        <w:rPr>
          <w:spacing w:val="-10"/>
        </w:rPr>
        <w:t> </w:t>
      </w:r>
      <w:r>
        <w:rPr>
          <w:spacing w:val="-4"/>
        </w:rPr>
        <w:t>quite</w:t>
      </w:r>
      <w:r>
        <w:rPr>
          <w:spacing w:val="-10"/>
        </w:rPr>
        <w:t> </w:t>
      </w:r>
      <w:r>
        <w:rPr>
          <w:spacing w:val="-4"/>
        </w:rPr>
        <w:t>compatible </w:t>
      </w:r>
      <w:r>
        <w:rPr>
          <w:spacing w:val="-2"/>
        </w:rPr>
        <w:t>with</w:t>
      </w:r>
      <w:r>
        <w:rPr>
          <w:spacing w:val="-5"/>
        </w:rPr>
        <w:t> </w:t>
      </w:r>
      <w:r>
        <w:rPr>
          <w:spacing w:val="-2"/>
        </w:rPr>
        <w:t>industry</w:t>
      </w:r>
      <w:r>
        <w:rPr>
          <w:spacing w:val="-5"/>
        </w:rPr>
        <w:t> </w:t>
      </w:r>
      <w:r>
        <w:rPr>
          <w:spacing w:val="-2"/>
        </w:rPr>
        <w:t>requirements.</w:t>
      </w:r>
      <w:r>
        <w:rPr>
          <w:spacing w:val="-5"/>
        </w:rPr>
        <w:t> </w:t>
      </w:r>
      <w:r>
        <w:rPr>
          <w:spacing w:val="-2"/>
        </w:rPr>
        <w:t>Further,</w:t>
      </w:r>
      <w:r>
        <w:rPr>
          <w:spacing w:val="-5"/>
        </w:rPr>
        <w:t> </w:t>
      </w:r>
      <w:r>
        <w:rPr>
          <w:spacing w:val="-2"/>
        </w:rPr>
        <w:t>the</w:t>
      </w:r>
      <w:r>
        <w:rPr>
          <w:spacing w:val="-5"/>
        </w:rPr>
        <w:t> </w:t>
      </w:r>
      <w:r>
        <w:rPr>
          <w:spacing w:val="-2"/>
        </w:rPr>
        <w:t>standards</w:t>
      </w:r>
      <w:r>
        <w:rPr>
          <w:spacing w:val="-5"/>
        </w:rPr>
        <w:t> </w:t>
      </w:r>
      <w:r>
        <w:rPr>
          <w:spacing w:val="-2"/>
        </w:rPr>
        <w:t>of</w:t>
      </w:r>
      <w:r>
        <w:rPr>
          <w:spacing w:val="-5"/>
        </w:rPr>
        <w:t> </w:t>
      </w:r>
      <w:r>
        <w:rPr>
          <w:spacing w:val="-2"/>
        </w:rPr>
        <w:t>a </w:t>
      </w:r>
      <w:r>
        <w:rPr>
          <w:spacing w:val="-4"/>
        </w:rPr>
        <w:t>very</w:t>
      </w:r>
      <w:r>
        <w:rPr>
          <w:spacing w:val="-8"/>
        </w:rPr>
        <w:t> </w:t>
      </w:r>
      <w:r>
        <w:rPr>
          <w:spacing w:val="-4"/>
        </w:rPr>
        <w:t>large</w:t>
      </w:r>
      <w:r>
        <w:rPr>
          <w:spacing w:val="-8"/>
        </w:rPr>
        <w:t> </w:t>
      </w:r>
      <w:r>
        <w:rPr>
          <w:spacing w:val="-4"/>
        </w:rPr>
        <w:t>proportion</w:t>
      </w:r>
      <w:r>
        <w:rPr>
          <w:spacing w:val="-8"/>
        </w:rPr>
        <w:t> </w:t>
      </w:r>
      <w:r>
        <w:rPr>
          <w:spacing w:val="-4"/>
        </w:rPr>
        <w:t>of</w:t>
      </w:r>
      <w:r>
        <w:rPr>
          <w:spacing w:val="-8"/>
        </w:rPr>
        <w:t> </w:t>
      </w:r>
      <w:r>
        <w:rPr>
          <w:spacing w:val="-4"/>
        </w:rPr>
        <w:t>institutions</w:t>
      </w:r>
      <w:r>
        <w:rPr>
          <w:spacing w:val="-8"/>
        </w:rPr>
        <w:t> </w:t>
      </w:r>
      <w:r>
        <w:rPr>
          <w:spacing w:val="-4"/>
        </w:rPr>
        <w:t>at</w:t>
      </w:r>
      <w:r>
        <w:rPr>
          <w:spacing w:val="-8"/>
        </w:rPr>
        <w:t> </w:t>
      </w:r>
      <w:r>
        <w:rPr>
          <w:spacing w:val="-4"/>
        </w:rPr>
        <w:t>the</w:t>
      </w:r>
      <w:r>
        <w:rPr>
          <w:spacing w:val="-8"/>
        </w:rPr>
        <w:t> </w:t>
      </w:r>
      <w:r>
        <w:rPr>
          <w:spacing w:val="-4"/>
        </w:rPr>
        <w:t>bottom</w:t>
      </w:r>
      <w:r>
        <w:rPr>
          <w:spacing w:val="-8"/>
        </w:rPr>
        <w:t> </w:t>
      </w:r>
      <w:r>
        <w:rPr>
          <w:spacing w:val="-4"/>
        </w:rPr>
        <w:t>of</w:t>
      </w:r>
      <w:r>
        <w:rPr>
          <w:spacing w:val="-8"/>
        </w:rPr>
        <w:t> </w:t>
      </w:r>
      <w:r>
        <w:rPr>
          <w:spacing w:val="-4"/>
        </w:rPr>
        <w:t>the </w:t>
      </w:r>
      <w:r>
        <w:rPr>
          <w:spacing w:val="-6"/>
        </w:rPr>
        <w:t>pyramid</w:t>
      </w:r>
      <w:r>
        <w:rPr>
          <w:spacing w:val="-8"/>
        </w:rPr>
        <w:t> </w:t>
      </w:r>
      <w:r>
        <w:rPr>
          <w:spacing w:val="-6"/>
        </w:rPr>
        <w:t>have</w:t>
      </w:r>
      <w:r>
        <w:rPr>
          <w:spacing w:val="-8"/>
        </w:rPr>
        <w:t> </w:t>
      </w:r>
      <w:r>
        <w:rPr>
          <w:spacing w:val="-6"/>
        </w:rPr>
        <w:t>also</w:t>
      </w:r>
      <w:r>
        <w:rPr>
          <w:spacing w:val="-7"/>
        </w:rPr>
        <w:t> </w:t>
      </w:r>
      <w:r>
        <w:rPr>
          <w:spacing w:val="-6"/>
        </w:rPr>
        <w:t>been</w:t>
      </w:r>
      <w:r>
        <w:rPr>
          <w:spacing w:val="-8"/>
        </w:rPr>
        <w:t> </w:t>
      </w:r>
      <w:r>
        <w:rPr>
          <w:spacing w:val="-6"/>
        </w:rPr>
        <w:t>found</w:t>
      </w:r>
      <w:r>
        <w:rPr>
          <w:spacing w:val="-8"/>
        </w:rPr>
        <w:t> </w:t>
      </w:r>
      <w:r>
        <w:rPr>
          <w:spacing w:val="-6"/>
        </w:rPr>
        <w:t>to</w:t>
      </w:r>
      <w:r>
        <w:rPr>
          <w:spacing w:val="-7"/>
        </w:rPr>
        <w:t> </w:t>
      </w:r>
      <w:r>
        <w:rPr>
          <w:spacing w:val="-6"/>
        </w:rPr>
        <w:t>be</w:t>
      </w:r>
      <w:r>
        <w:rPr>
          <w:spacing w:val="-8"/>
        </w:rPr>
        <w:t> </w:t>
      </w:r>
      <w:r>
        <w:rPr>
          <w:spacing w:val="-6"/>
        </w:rPr>
        <w:t>abysmal.</w:t>
      </w:r>
      <w:r>
        <w:rPr>
          <w:spacing w:val="-8"/>
        </w:rPr>
        <w:t> </w:t>
      </w:r>
      <w:r>
        <w:rPr>
          <w:spacing w:val="-6"/>
        </w:rPr>
        <w:t>Even</w:t>
      </w:r>
      <w:r>
        <w:rPr>
          <w:spacing w:val="-7"/>
        </w:rPr>
        <w:t> </w:t>
      </w:r>
      <w:r>
        <w:rPr>
          <w:spacing w:val="-6"/>
        </w:rPr>
        <w:t>good institutions are plagued by deficiency of quality students </w:t>
      </w:r>
      <w:r>
        <w:rPr/>
        <w:t>at</w:t>
      </w:r>
      <w:r>
        <w:rPr>
          <w:spacing w:val="-7"/>
        </w:rPr>
        <w:t> </w:t>
      </w:r>
      <w:r>
        <w:rPr/>
        <w:t>post-graduate</w:t>
      </w:r>
      <w:r>
        <w:rPr>
          <w:spacing w:val="-7"/>
        </w:rPr>
        <w:t> </w:t>
      </w:r>
      <w:r>
        <w:rPr/>
        <w:t>and</w:t>
      </w:r>
      <w:r>
        <w:rPr>
          <w:spacing w:val="-7"/>
        </w:rPr>
        <w:t> </w:t>
      </w:r>
      <w:r>
        <w:rPr/>
        <w:t>research</w:t>
      </w:r>
      <w:r>
        <w:rPr>
          <w:spacing w:val="-7"/>
        </w:rPr>
        <w:t> </w:t>
      </w:r>
      <w:r>
        <w:rPr/>
        <w:t>level.</w:t>
      </w:r>
      <w:r>
        <w:rPr>
          <w:spacing w:val="-12"/>
        </w:rPr>
        <w:t> </w:t>
      </w:r>
      <w:r>
        <w:rPr/>
        <w:t>The</w:t>
      </w:r>
      <w:r>
        <w:rPr>
          <w:spacing w:val="-7"/>
        </w:rPr>
        <w:t> </w:t>
      </w:r>
      <w:r>
        <w:rPr/>
        <w:t>problems</w:t>
      </w:r>
      <w:r>
        <w:rPr>
          <w:spacing w:val="-7"/>
        </w:rPr>
        <w:t> </w:t>
      </w:r>
      <w:r>
        <w:rPr/>
        <w:t>are </w:t>
      </w:r>
      <w:r>
        <w:rPr>
          <w:spacing w:val="-2"/>
        </w:rPr>
        <w:t>complex</w:t>
      </w:r>
      <w:r>
        <w:rPr>
          <w:spacing w:val="-12"/>
        </w:rPr>
        <w:t> </w:t>
      </w:r>
      <w:r>
        <w:rPr>
          <w:spacing w:val="-2"/>
        </w:rPr>
        <w:t>and</w:t>
      </w:r>
      <w:r>
        <w:rPr>
          <w:spacing w:val="-9"/>
        </w:rPr>
        <w:t> </w:t>
      </w:r>
      <w:r>
        <w:rPr>
          <w:spacing w:val="-2"/>
        </w:rPr>
        <w:t>deep</w:t>
      </w:r>
      <w:r>
        <w:rPr>
          <w:spacing w:val="-9"/>
        </w:rPr>
        <w:t> </w:t>
      </w:r>
      <w:r>
        <w:rPr>
          <w:spacing w:val="-2"/>
        </w:rPr>
        <w:t>rooted.</w:t>
      </w:r>
      <w:r>
        <w:rPr>
          <w:spacing w:val="-12"/>
        </w:rPr>
        <w:t> </w:t>
      </w:r>
      <w:r>
        <w:rPr>
          <w:spacing w:val="-2"/>
        </w:rPr>
        <w:t>The</w:t>
      </w:r>
      <w:r>
        <w:rPr>
          <w:spacing w:val="-8"/>
        </w:rPr>
        <w:t> </w:t>
      </w:r>
      <w:r>
        <w:rPr>
          <w:spacing w:val="-2"/>
        </w:rPr>
        <w:t>situation</w:t>
      </w:r>
      <w:r>
        <w:rPr>
          <w:spacing w:val="-9"/>
        </w:rPr>
        <w:t> </w:t>
      </w:r>
      <w:r>
        <w:rPr>
          <w:spacing w:val="-2"/>
        </w:rPr>
        <w:t>calls</w:t>
      </w:r>
      <w:r>
        <w:rPr>
          <w:spacing w:val="-9"/>
        </w:rPr>
        <w:t> </w:t>
      </w:r>
      <w:r>
        <w:rPr>
          <w:spacing w:val="-2"/>
        </w:rPr>
        <w:t>for</w:t>
      </w:r>
      <w:r>
        <w:rPr>
          <w:spacing w:val="-9"/>
        </w:rPr>
        <w:t> </w:t>
      </w:r>
      <w:r>
        <w:rPr>
          <w:spacing w:val="-2"/>
        </w:rPr>
        <w:t>a</w:t>
      </w:r>
      <w:r>
        <w:rPr>
          <w:spacing w:val="-9"/>
        </w:rPr>
        <w:t> </w:t>
      </w:r>
      <w:r>
        <w:rPr>
          <w:spacing w:val="-2"/>
        </w:rPr>
        <w:t>new </w:t>
      </w:r>
      <w:r>
        <w:rPr/>
        <w:t>paradigm</w:t>
      </w:r>
      <w:r>
        <w:rPr>
          <w:spacing w:val="-14"/>
        </w:rPr>
        <w:t> </w:t>
      </w:r>
      <w:r>
        <w:rPr/>
        <w:t>in</w:t>
      </w:r>
      <w:r>
        <w:rPr>
          <w:spacing w:val="-14"/>
        </w:rPr>
        <w:t> </w:t>
      </w:r>
      <w:r>
        <w:rPr/>
        <w:t>regulation,</w:t>
      </w:r>
      <w:r>
        <w:rPr>
          <w:spacing w:val="-14"/>
        </w:rPr>
        <w:t> </w:t>
      </w:r>
      <w:r>
        <w:rPr/>
        <w:t>accreditation,</w:t>
      </w:r>
      <w:r>
        <w:rPr>
          <w:spacing w:val="-13"/>
        </w:rPr>
        <w:t> </w:t>
      </w:r>
      <w:r>
        <w:rPr/>
        <w:t>governance</w:t>
      </w:r>
      <w:r>
        <w:rPr>
          <w:spacing w:val="-14"/>
        </w:rPr>
        <w:t> </w:t>
      </w:r>
      <w:r>
        <w:rPr/>
        <w:t>and faculty development.</w:t>
      </w:r>
    </w:p>
    <w:p>
      <w:pPr>
        <w:pStyle w:val="BodyText"/>
        <w:spacing w:before="18"/>
      </w:pPr>
    </w:p>
    <w:p>
      <w:pPr>
        <w:pStyle w:val="BodyText"/>
        <w:spacing w:line="266" w:lineRule="auto"/>
        <w:ind w:left="1079"/>
        <w:jc w:val="both"/>
      </w:pPr>
      <w:r>
        <w:rPr/>
        <w:t>As</w:t>
      </w:r>
      <w:r>
        <w:rPr>
          <w:spacing w:val="-9"/>
        </w:rPr>
        <w:t> </w:t>
      </w:r>
      <w:r>
        <w:rPr/>
        <w:t>part</w:t>
      </w:r>
      <w:r>
        <w:rPr>
          <w:spacing w:val="-9"/>
        </w:rPr>
        <w:t> </w:t>
      </w:r>
      <w:r>
        <w:rPr/>
        <w:t>of</w:t>
      </w:r>
      <w:r>
        <w:rPr>
          <w:spacing w:val="-9"/>
        </w:rPr>
        <w:t> </w:t>
      </w:r>
      <w:r>
        <w:rPr/>
        <w:t>its</w:t>
      </w:r>
      <w:r>
        <w:rPr>
          <w:spacing w:val="-9"/>
        </w:rPr>
        <w:t> </w:t>
      </w:r>
      <w:r>
        <w:rPr/>
        <w:t>consultative</w:t>
      </w:r>
      <w:r>
        <w:rPr>
          <w:spacing w:val="-9"/>
        </w:rPr>
        <w:t> </w:t>
      </w:r>
      <w:r>
        <w:rPr/>
        <w:t>process,</w:t>
      </w:r>
      <w:r>
        <w:rPr>
          <w:spacing w:val="-9"/>
        </w:rPr>
        <w:t> </w:t>
      </w:r>
      <w:r>
        <w:rPr/>
        <w:t>NKC</w:t>
      </w:r>
      <w:r>
        <w:rPr>
          <w:spacing w:val="-9"/>
        </w:rPr>
        <w:t> </w:t>
      </w:r>
      <w:r>
        <w:rPr/>
        <w:t>constituted</w:t>
      </w:r>
      <w:r>
        <w:rPr>
          <w:spacing w:val="-9"/>
        </w:rPr>
        <w:t> </w:t>
      </w:r>
      <w:r>
        <w:rPr/>
        <w:t>a </w:t>
      </w:r>
      <w:r>
        <w:rPr>
          <w:spacing w:val="-2"/>
        </w:rPr>
        <w:t>Working</w:t>
      </w:r>
      <w:r>
        <w:rPr>
          <w:spacing w:val="-12"/>
        </w:rPr>
        <w:t> </w:t>
      </w:r>
      <w:r>
        <w:rPr>
          <w:spacing w:val="-2"/>
        </w:rPr>
        <w:t>Group</w:t>
      </w:r>
      <w:r>
        <w:rPr>
          <w:spacing w:val="-12"/>
        </w:rPr>
        <w:t> </w:t>
      </w:r>
      <w:r>
        <w:rPr>
          <w:spacing w:val="-2"/>
        </w:rPr>
        <w:t>of</w:t>
      </w:r>
      <w:r>
        <w:rPr>
          <w:spacing w:val="-12"/>
        </w:rPr>
        <w:t> </w:t>
      </w:r>
      <w:r>
        <w:rPr>
          <w:spacing w:val="-2"/>
        </w:rPr>
        <w:t>experts</w:t>
      </w:r>
      <w:r>
        <w:rPr>
          <w:spacing w:val="-11"/>
        </w:rPr>
        <w:t> </w:t>
      </w:r>
      <w:r>
        <w:rPr>
          <w:spacing w:val="-2"/>
        </w:rPr>
        <w:t>from</w:t>
      </w:r>
      <w:r>
        <w:rPr>
          <w:spacing w:val="-12"/>
        </w:rPr>
        <w:t> </w:t>
      </w:r>
      <w:r>
        <w:rPr>
          <w:spacing w:val="-2"/>
        </w:rPr>
        <w:t>academia</w:t>
      </w:r>
      <w:r>
        <w:rPr>
          <w:spacing w:val="-12"/>
        </w:rPr>
        <w:t> </w:t>
      </w:r>
      <w:r>
        <w:rPr>
          <w:spacing w:val="-2"/>
        </w:rPr>
        <w:t>and</w:t>
      </w:r>
      <w:r>
        <w:rPr>
          <w:spacing w:val="-12"/>
        </w:rPr>
        <w:t> </w:t>
      </w:r>
      <w:r>
        <w:rPr>
          <w:spacing w:val="-2"/>
        </w:rPr>
        <w:t>industry under</w:t>
      </w:r>
      <w:r>
        <w:rPr>
          <w:spacing w:val="-11"/>
        </w:rPr>
        <w:t> </w:t>
      </w:r>
      <w:r>
        <w:rPr>
          <w:spacing w:val="-2"/>
        </w:rPr>
        <w:t>the</w:t>
      </w:r>
      <w:r>
        <w:rPr>
          <w:spacing w:val="-11"/>
        </w:rPr>
        <w:t> </w:t>
      </w:r>
      <w:r>
        <w:rPr>
          <w:spacing w:val="-2"/>
        </w:rPr>
        <w:t>chairmanship</w:t>
      </w:r>
      <w:r>
        <w:rPr>
          <w:spacing w:val="-11"/>
        </w:rPr>
        <w:t> </w:t>
      </w:r>
      <w:r>
        <w:rPr>
          <w:spacing w:val="-2"/>
        </w:rPr>
        <w:t>of</w:t>
      </w:r>
      <w:r>
        <w:rPr>
          <w:spacing w:val="-11"/>
        </w:rPr>
        <w:t> </w:t>
      </w:r>
      <w:r>
        <w:rPr>
          <w:spacing w:val="-2"/>
        </w:rPr>
        <w:t>Prof.</w:t>
      </w:r>
      <w:r>
        <w:rPr>
          <w:spacing w:val="-11"/>
        </w:rPr>
        <w:t> </w:t>
      </w:r>
      <w:r>
        <w:rPr>
          <w:spacing w:val="-2"/>
        </w:rPr>
        <w:t>M.S.</w:t>
      </w:r>
      <w:r>
        <w:rPr>
          <w:spacing w:val="-11"/>
        </w:rPr>
        <w:t> </w:t>
      </w:r>
      <w:r>
        <w:rPr>
          <w:spacing w:val="-2"/>
        </w:rPr>
        <w:t>Ananth,</w:t>
      </w:r>
      <w:r>
        <w:rPr>
          <w:spacing w:val="-11"/>
        </w:rPr>
        <w:t> </w:t>
      </w:r>
      <w:r>
        <w:rPr>
          <w:spacing w:val="-2"/>
        </w:rPr>
        <w:t>Director IIT</w:t>
      </w:r>
      <w:r>
        <w:rPr>
          <w:spacing w:val="-12"/>
        </w:rPr>
        <w:t> </w:t>
      </w:r>
      <w:r>
        <w:rPr>
          <w:spacing w:val="-2"/>
        </w:rPr>
        <w:t>Chennai.</w:t>
      </w:r>
      <w:r>
        <w:rPr>
          <w:spacing w:val="-12"/>
        </w:rPr>
        <w:t> </w:t>
      </w:r>
      <w:r>
        <w:rPr>
          <w:spacing w:val="-2"/>
        </w:rPr>
        <w:t>The</w:t>
      </w:r>
      <w:r>
        <w:rPr>
          <w:spacing w:val="-11"/>
        </w:rPr>
        <w:t> </w:t>
      </w:r>
      <w:r>
        <w:rPr>
          <w:spacing w:val="-2"/>
        </w:rPr>
        <w:t>Group</w:t>
      </w:r>
      <w:r>
        <w:rPr>
          <w:spacing w:val="-8"/>
        </w:rPr>
        <w:t> </w:t>
      </w:r>
      <w:r>
        <w:rPr>
          <w:spacing w:val="-2"/>
        </w:rPr>
        <w:t>has</w:t>
      </w:r>
      <w:r>
        <w:rPr>
          <w:spacing w:val="-9"/>
        </w:rPr>
        <w:t> </w:t>
      </w:r>
      <w:r>
        <w:rPr>
          <w:spacing w:val="-2"/>
        </w:rPr>
        <w:t>also</w:t>
      </w:r>
      <w:r>
        <w:rPr>
          <w:spacing w:val="-9"/>
        </w:rPr>
        <w:t> </w:t>
      </w:r>
      <w:r>
        <w:rPr>
          <w:spacing w:val="-2"/>
        </w:rPr>
        <w:t>considered</w:t>
      </w:r>
      <w:r>
        <w:rPr>
          <w:spacing w:val="-9"/>
        </w:rPr>
        <w:t> </w:t>
      </w:r>
      <w:r>
        <w:rPr>
          <w:spacing w:val="-2"/>
        </w:rPr>
        <w:t>the</w:t>
      </w:r>
      <w:r>
        <w:rPr>
          <w:spacing w:val="-9"/>
        </w:rPr>
        <w:t> </w:t>
      </w:r>
      <w:r>
        <w:rPr>
          <w:spacing w:val="-2"/>
        </w:rPr>
        <w:t>inputs </w:t>
      </w:r>
      <w:r>
        <w:rPr/>
        <w:t>provided by the earlier committees on this subject </w:t>
      </w:r>
      <w:r>
        <w:rPr>
          <w:spacing w:val="-4"/>
        </w:rPr>
        <w:t>chaired</w:t>
      </w:r>
      <w:r>
        <w:rPr>
          <w:spacing w:val="-16"/>
        </w:rPr>
        <w:t> </w:t>
      </w:r>
      <w:r>
        <w:rPr>
          <w:spacing w:val="-4"/>
        </w:rPr>
        <w:t>by</w:t>
      </w:r>
      <w:r>
        <w:rPr>
          <w:spacing w:val="-15"/>
        </w:rPr>
        <w:t> </w:t>
      </w:r>
      <w:r>
        <w:rPr>
          <w:spacing w:val="-4"/>
        </w:rPr>
        <w:t>R.A.</w:t>
      </w:r>
      <w:r>
        <w:rPr>
          <w:spacing w:val="-15"/>
        </w:rPr>
        <w:t> </w:t>
      </w:r>
      <w:r>
        <w:rPr>
          <w:spacing w:val="-4"/>
        </w:rPr>
        <w:t>Mashelkar</w:t>
      </w:r>
      <w:r>
        <w:rPr>
          <w:spacing w:val="-15"/>
        </w:rPr>
        <w:t> </w:t>
      </w:r>
      <w:r>
        <w:rPr>
          <w:spacing w:val="-4"/>
        </w:rPr>
        <w:t>(1998),</w:t>
      </w:r>
      <w:r>
        <w:rPr>
          <w:spacing w:val="-15"/>
        </w:rPr>
        <w:t> </w:t>
      </w:r>
      <w:r>
        <w:rPr>
          <w:spacing w:val="-4"/>
        </w:rPr>
        <w:t>U.R.</w:t>
      </w:r>
      <w:r>
        <w:rPr>
          <w:spacing w:val="-15"/>
        </w:rPr>
        <w:t> </w:t>
      </w:r>
      <w:r>
        <w:rPr>
          <w:spacing w:val="-4"/>
        </w:rPr>
        <w:t>Rao</w:t>
      </w:r>
      <w:r>
        <w:rPr>
          <w:spacing w:val="-15"/>
        </w:rPr>
        <w:t> </w:t>
      </w:r>
      <w:r>
        <w:rPr>
          <w:spacing w:val="-4"/>
        </w:rPr>
        <w:t>(2003)</w:t>
      </w:r>
      <w:r>
        <w:rPr>
          <w:spacing w:val="-16"/>
        </w:rPr>
        <w:t> </w:t>
      </w:r>
      <w:r>
        <w:rPr>
          <w:spacing w:val="-5"/>
        </w:rPr>
        <w:t>and</w:t>
      </w:r>
    </w:p>
    <w:p>
      <w:pPr>
        <w:pStyle w:val="BodyText"/>
        <w:spacing w:line="266" w:lineRule="auto" w:before="82"/>
        <w:ind w:left="319" w:right="1077"/>
        <w:jc w:val="both"/>
      </w:pPr>
      <w:r>
        <w:rPr/>
        <w:br w:type="column"/>
      </w:r>
      <w:r>
        <w:rPr>
          <w:spacing w:val="-6"/>
        </w:rPr>
        <w:t>P.</w:t>
      </w:r>
      <w:r>
        <w:rPr>
          <w:spacing w:val="-8"/>
        </w:rPr>
        <w:t> </w:t>
      </w:r>
      <w:r>
        <w:rPr>
          <w:spacing w:val="-6"/>
        </w:rPr>
        <w:t>Rama</w:t>
      </w:r>
      <w:r>
        <w:rPr>
          <w:spacing w:val="-8"/>
        </w:rPr>
        <w:t> </w:t>
      </w:r>
      <w:r>
        <w:rPr>
          <w:spacing w:val="-6"/>
        </w:rPr>
        <w:t>Rao</w:t>
      </w:r>
      <w:r>
        <w:rPr>
          <w:spacing w:val="-8"/>
        </w:rPr>
        <w:t> </w:t>
      </w:r>
      <w:r>
        <w:rPr>
          <w:spacing w:val="-6"/>
        </w:rPr>
        <w:t>(2004).</w:t>
      </w:r>
      <w:r>
        <w:rPr>
          <w:spacing w:val="-7"/>
        </w:rPr>
        <w:t> </w:t>
      </w:r>
      <w:r>
        <w:rPr>
          <w:spacing w:val="-6"/>
        </w:rPr>
        <w:t>The</w:t>
      </w:r>
      <w:r>
        <w:rPr>
          <w:spacing w:val="-8"/>
        </w:rPr>
        <w:t> </w:t>
      </w:r>
      <w:r>
        <w:rPr>
          <w:spacing w:val="-6"/>
        </w:rPr>
        <w:t>study conducted by </w:t>
      </w:r>
      <w:r>
        <w:rPr>
          <w:spacing w:val="-6"/>
        </w:rPr>
        <w:t>Professor</w:t>
      </w:r>
      <w:r>
        <w:rPr>
          <w:spacing w:val="-6"/>
        </w:rPr>
        <w:t>s</w:t>
      </w:r>
      <w:r>
        <w:rPr>
          <w:spacing w:val="-6"/>
        </w:rPr>
        <w:t> </w:t>
      </w:r>
      <w:r>
        <w:rPr>
          <w:spacing w:val="-8"/>
        </w:rPr>
        <w:t>Banerjee</w:t>
      </w:r>
      <w:r>
        <w:rPr>
          <w:spacing w:val="-2"/>
        </w:rPr>
        <w:t> </w:t>
      </w:r>
      <w:r>
        <w:rPr>
          <w:spacing w:val="-8"/>
        </w:rPr>
        <w:t>and</w:t>
      </w:r>
      <w:r>
        <w:rPr>
          <w:spacing w:val="-2"/>
        </w:rPr>
        <w:t> </w:t>
      </w:r>
      <w:r>
        <w:rPr>
          <w:spacing w:val="-8"/>
        </w:rPr>
        <w:t>Muley</w:t>
      </w:r>
      <w:r>
        <w:rPr>
          <w:spacing w:val="-2"/>
        </w:rPr>
        <w:t> </w:t>
      </w:r>
      <w:r>
        <w:rPr>
          <w:spacing w:val="-8"/>
        </w:rPr>
        <w:t>of</w:t>
      </w:r>
      <w:r>
        <w:rPr>
          <w:spacing w:val="-2"/>
        </w:rPr>
        <w:t> </w:t>
      </w:r>
      <w:r>
        <w:rPr>
          <w:spacing w:val="-8"/>
        </w:rPr>
        <w:t>IIT</w:t>
      </w:r>
      <w:r>
        <w:rPr>
          <w:spacing w:val="-2"/>
        </w:rPr>
        <w:t> </w:t>
      </w:r>
      <w:r>
        <w:rPr>
          <w:spacing w:val="-8"/>
        </w:rPr>
        <w:t>Bombay</w:t>
      </w:r>
      <w:r>
        <w:rPr>
          <w:spacing w:val="-2"/>
        </w:rPr>
        <w:t> </w:t>
      </w:r>
      <w:r>
        <w:rPr>
          <w:spacing w:val="-8"/>
        </w:rPr>
        <w:t>(2007)</w:t>
      </w:r>
      <w:r>
        <w:rPr>
          <w:spacing w:val="-2"/>
        </w:rPr>
        <w:t> </w:t>
      </w:r>
      <w:r>
        <w:rPr>
          <w:spacing w:val="-8"/>
        </w:rPr>
        <w:t>has</w:t>
      </w:r>
      <w:r>
        <w:rPr>
          <w:spacing w:val="-2"/>
        </w:rPr>
        <w:t> </w:t>
      </w:r>
      <w:r>
        <w:rPr>
          <w:spacing w:val="-8"/>
        </w:rPr>
        <w:t>also</w:t>
      </w:r>
      <w:r>
        <w:rPr>
          <w:spacing w:val="-2"/>
        </w:rPr>
        <w:t> </w:t>
      </w:r>
      <w:r>
        <w:rPr>
          <w:spacing w:val="-8"/>
        </w:rPr>
        <w:t>bee</w:t>
      </w:r>
      <w:r>
        <w:rPr>
          <w:spacing w:val="-8"/>
        </w:rPr>
        <w:t>n</w:t>
      </w:r>
      <w:r>
        <w:rPr>
          <w:spacing w:val="-8"/>
        </w:rPr>
        <w:t> </w:t>
      </w:r>
      <w:r>
        <w:rPr/>
        <w:t>taken</w:t>
      </w:r>
      <w:r>
        <w:rPr>
          <w:spacing w:val="-14"/>
        </w:rPr>
        <w:t> </w:t>
      </w:r>
      <w:r>
        <w:rPr/>
        <w:t>into</w:t>
      </w:r>
      <w:r>
        <w:rPr>
          <w:spacing w:val="-14"/>
        </w:rPr>
        <w:t> </w:t>
      </w:r>
      <w:r>
        <w:rPr/>
        <w:t>account.</w:t>
      </w:r>
      <w:r>
        <w:rPr>
          <w:spacing w:val="-14"/>
        </w:rPr>
        <w:t> </w:t>
      </w:r>
      <w:r>
        <w:rPr/>
        <w:t>Based</w:t>
      </w:r>
      <w:r>
        <w:rPr>
          <w:spacing w:val="-13"/>
        </w:rPr>
        <w:t> </w:t>
      </w:r>
      <w:r>
        <w:rPr/>
        <w:t>on</w:t>
      </w:r>
      <w:r>
        <w:rPr>
          <w:spacing w:val="-14"/>
        </w:rPr>
        <w:t> </w:t>
      </w:r>
      <w:r>
        <w:rPr/>
        <w:t>inputs</w:t>
      </w:r>
      <w:r>
        <w:rPr>
          <w:spacing w:val="-14"/>
        </w:rPr>
        <w:t> </w:t>
      </w:r>
      <w:r>
        <w:rPr/>
        <w:t>from</w:t>
      </w:r>
      <w:r>
        <w:rPr>
          <w:spacing w:val="-14"/>
        </w:rPr>
        <w:t> </w:t>
      </w:r>
      <w:r>
        <w:rPr/>
        <w:t>the</w:t>
      </w:r>
      <w:r>
        <w:rPr>
          <w:spacing w:val="-13"/>
        </w:rPr>
        <w:t> </w:t>
      </w:r>
      <w:r>
        <w:rPr/>
        <w:t>Working</w:t>
      </w:r>
      <w:r>
        <w:rPr/>
        <w:t> </w:t>
      </w:r>
      <w:r>
        <w:rPr>
          <w:spacing w:val="-2"/>
        </w:rPr>
        <w:t>Group</w:t>
      </w:r>
      <w:r>
        <w:rPr>
          <w:spacing w:val="-12"/>
        </w:rPr>
        <w:t> </w:t>
      </w:r>
      <w:r>
        <w:rPr>
          <w:spacing w:val="-2"/>
        </w:rPr>
        <w:t>and</w:t>
      </w:r>
      <w:r>
        <w:rPr>
          <w:spacing w:val="-12"/>
        </w:rPr>
        <w:t> </w:t>
      </w:r>
      <w:r>
        <w:rPr>
          <w:spacing w:val="-2"/>
        </w:rPr>
        <w:t>consultations</w:t>
      </w:r>
      <w:r>
        <w:rPr>
          <w:spacing w:val="-12"/>
        </w:rPr>
        <w:t> </w:t>
      </w:r>
      <w:r>
        <w:rPr>
          <w:spacing w:val="-2"/>
        </w:rPr>
        <w:t>with</w:t>
      </w:r>
      <w:r>
        <w:rPr>
          <w:spacing w:val="-11"/>
        </w:rPr>
        <w:t> </w:t>
      </w:r>
      <w:r>
        <w:rPr>
          <w:spacing w:val="-2"/>
        </w:rPr>
        <w:t>other</w:t>
      </w:r>
      <w:r>
        <w:rPr>
          <w:spacing w:val="-12"/>
        </w:rPr>
        <w:t> </w:t>
      </w:r>
      <w:r>
        <w:rPr>
          <w:spacing w:val="-2"/>
        </w:rPr>
        <w:t>stakeholders,</w:t>
      </w:r>
      <w:r>
        <w:rPr>
          <w:spacing w:val="-12"/>
        </w:rPr>
        <w:t> </w:t>
      </w:r>
      <w:r>
        <w:rPr>
          <w:spacing w:val="-2"/>
        </w:rPr>
        <w:t>NK</w:t>
      </w:r>
      <w:r>
        <w:rPr>
          <w:spacing w:val="-2"/>
        </w:rPr>
        <w:t>C</w:t>
      </w:r>
      <w:r>
        <w:rPr>
          <w:spacing w:val="-2"/>
        </w:rPr>
        <w:t> </w:t>
      </w:r>
      <w:r>
        <w:rPr/>
        <w:t>proposes</w:t>
      </w:r>
      <w:r>
        <w:rPr>
          <w:spacing w:val="-7"/>
        </w:rPr>
        <w:t> </w:t>
      </w:r>
      <w:r>
        <w:rPr/>
        <w:t>the</w:t>
      </w:r>
      <w:r>
        <w:rPr>
          <w:spacing w:val="-7"/>
        </w:rPr>
        <w:t> </w:t>
      </w:r>
      <w:r>
        <w:rPr/>
        <w:t>following</w:t>
      </w:r>
      <w:r>
        <w:rPr>
          <w:spacing w:val="-7"/>
        </w:rPr>
        <w:t> </w:t>
      </w:r>
      <w:r>
        <w:rPr/>
        <w:t>set</w:t>
      </w:r>
      <w:r>
        <w:rPr>
          <w:spacing w:val="-7"/>
        </w:rPr>
        <w:t> </w:t>
      </w:r>
      <w:r>
        <w:rPr/>
        <w:t>of</w:t>
      </w:r>
      <w:r>
        <w:rPr>
          <w:spacing w:val="-7"/>
        </w:rPr>
        <w:t> </w:t>
      </w:r>
      <w:r>
        <w:rPr/>
        <w:t>initiatives:</w:t>
      </w:r>
    </w:p>
    <w:p>
      <w:pPr>
        <w:pStyle w:val="BodyText"/>
        <w:spacing w:before="1"/>
      </w:pPr>
    </w:p>
    <w:p>
      <w:pPr>
        <w:pStyle w:val="Heading6"/>
        <w:numPr>
          <w:ilvl w:val="0"/>
          <w:numId w:val="27"/>
        </w:numPr>
        <w:tabs>
          <w:tab w:pos="643" w:val="left" w:leader="none"/>
          <w:tab w:pos="645" w:val="left" w:leader="none"/>
        </w:tabs>
        <w:spacing w:line="182" w:lineRule="auto" w:before="1" w:after="0"/>
        <w:ind w:left="645" w:right="2129" w:hanging="327"/>
        <w:jc w:val="left"/>
      </w:pPr>
      <w:r>
        <w:rPr>
          <w:color w:val="2E614A"/>
          <w:w w:val="90"/>
        </w:rPr>
        <w:t>Reforming the </w:t>
      </w:r>
      <w:r>
        <w:rPr>
          <w:color w:val="2E614A"/>
          <w:w w:val="90"/>
        </w:rPr>
        <w:t>Regulatory </w:t>
      </w:r>
      <w:r>
        <w:rPr>
          <w:color w:val="2E614A"/>
          <w:spacing w:val="-2"/>
        </w:rPr>
        <w:t>Framework</w:t>
      </w:r>
    </w:p>
    <w:p>
      <w:pPr>
        <w:pStyle w:val="BodyText"/>
        <w:spacing w:line="266" w:lineRule="auto" w:before="302"/>
        <w:ind w:left="319" w:right="1077"/>
        <w:jc w:val="both"/>
      </w:pPr>
      <w:r>
        <w:rPr/>
        <w:t>As</w:t>
      </w:r>
      <w:r>
        <w:rPr>
          <w:spacing w:val="40"/>
        </w:rPr>
        <w:t> </w:t>
      </w:r>
      <w:r>
        <w:rPr/>
        <w:t>stated</w:t>
      </w:r>
      <w:r>
        <w:rPr>
          <w:spacing w:val="40"/>
        </w:rPr>
        <w:t> </w:t>
      </w:r>
      <w:r>
        <w:rPr/>
        <w:t>in</w:t>
      </w:r>
      <w:r>
        <w:rPr>
          <w:spacing w:val="40"/>
        </w:rPr>
        <w:t> </w:t>
      </w:r>
      <w:r>
        <w:rPr/>
        <w:t>our</w:t>
      </w:r>
      <w:r>
        <w:rPr>
          <w:spacing w:val="40"/>
        </w:rPr>
        <w:t> </w:t>
      </w:r>
      <w:r>
        <w:rPr/>
        <w:t>earlier</w:t>
      </w:r>
      <w:r>
        <w:rPr>
          <w:spacing w:val="40"/>
        </w:rPr>
        <w:t> </w:t>
      </w:r>
      <w:r>
        <w:rPr/>
        <w:t>recommendations</w:t>
      </w:r>
      <w:r>
        <w:rPr>
          <w:spacing w:val="40"/>
        </w:rPr>
        <w:t> </w:t>
      </w:r>
      <w:r>
        <w:rPr/>
        <w:t>relating to Higher Education, there is a need to establish an </w:t>
      </w:r>
      <w:r>
        <w:rPr>
          <w:spacing w:val="-6"/>
        </w:rPr>
        <w:t>Independent Regulatory Authority for Higher Education </w:t>
      </w:r>
      <w:r>
        <w:rPr>
          <w:spacing w:val="-2"/>
        </w:rPr>
        <w:t>(IRAHE)</w:t>
      </w:r>
      <w:r>
        <w:rPr>
          <w:spacing w:val="-12"/>
        </w:rPr>
        <w:t> </w:t>
      </w:r>
      <w:r>
        <w:rPr>
          <w:spacing w:val="-2"/>
        </w:rPr>
        <w:t>to</w:t>
      </w:r>
      <w:r>
        <w:rPr>
          <w:spacing w:val="-11"/>
        </w:rPr>
        <w:t> </w:t>
      </w:r>
      <w:r>
        <w:rPr>
          <w:spacing w:val="-2"/>
        </w:rPr>
        <w:t>cover</w:t>
      </w:r>
      <w:r>
        <w:rPr>
          <w:spacing w:val="-9"/>
        </w:rPr>
        <w:t> </w:t>
      </w:r>
      <w:r>
        <w:rPr>
          <w:spacing w:val="-2"/>
        </w:rPr>
        <w:t>all</w:t>
      </w:r>
      <w:r>
        <w:rPr>
          <w:spacing w:val="-10"/>
        </w:rPr>
        <w:t> </w:t>
      </w:r>
      <w:r>
        <w:rPr>
          <w:spacing w:val="-2"/>
        </w:rPr>
        <w:t>streams.</w:t>
      </w:r>
      <w:r>
        <w:rPr>
          <w:spacing w:val="-12"/>
        </w:rPr>
        <w:t> </w:t>
      </w:r>
      <w:r>
        <w:rPr>
          <w:spacing w:val="-2"/>
        </w:rPr>
        <w:t>The</w:t>
      </w:r>
      <w:r>
        <w:rPr>
          <w:spacing w:val="-9"/>
        </w:rPr>
        <w:t> </w:t>
      </w:r>
      <w:r>
        <w:rPr>
          <w:spacing w:val="-2"/>
        </w:rPr>
        <w:t>role</w:t>
      </w:r>
      <w:r>
        <w:rPr>
          <w:spacing w:val="-10"/>
        </w:rPr>
        <w:t> </w:t>
      </w:r>
      <w:r>
        <w:rPr>
          <w:spacing w:val="-2"/>
        </w:rPr>
        <w:t>of</w:t>
      </w:r>
      <w:r>
        <w:rPr>
          <w:spacing w:val="-10"/>
        </w:rPr>
        <w:t> </w:t>
      </w:r>
      <w:r>
        <w:rPr>
          <w:spacing w:val="-2"/>
        </w:rPr>
        <w:t>the</w:t>
      </w:r>
      <w:r>
        <w:rPr>
          <w:spacing w:val="-10"/>
        </w:rPr>
        <w:t> </w:t>
      </w:r>
      <w:r>
        <w:rPr>
          <w:spacing w:val="-2"/>
        </w:rPr>
        <w:t>Standing </w:t>
      </w:r>
      <w:r>
        <w:rPr/>
        <w:t>Committee on Engineering Education under IRAHE </w:t>
      </w:r>
      <w:r>
        <w:rPr>
          <w:w w:val="90"/>
        </w:rPr>
        <w:t>would be to exercise due diligence at the point it approves </w:t>
      </w:r>
      <w:r>
        <w:rPr/>
        <w:t>entry for an institution to grant degrees/diplomas. The members of the Committee should comprise eminent educationists, education administrators and management specialists drawn from industry. The Committee would follow transparent and uniform </w:t>
      </w:r>
      <w:r>
        <w:rPr>
          <w:spacing w:val="-4"/>
        </w:rPr>
        <w:t>processes,</w:t>
      </w:r>
      <w:r>
        <w:rPr>
          <w:spacing w:val="-10"/>
        </w:rPr>
        <w:t> </w:t>
      </w:r>
      <w:r>
        <w:rPr>
          <w:spacing w:val="-4"/>
        </w:rPr>
        <w:t>under</w:t>
      </w:r>
      <w:r>
        <w:rPr>
          <w:spacing w:val="-10"/>
        </w:rPr>
        <w:t> </w:t>
      </w:r>
      <w:r>
        <w:rPr>
          <w:spacing w:val="-4"/>
        </w:rPr>
        <w:t>the</w:t>
      </w:r>
      <w:r>
        <w:rPr>
          <w:spacing w:val="-10"/>
        </w:rPr>
        <w:t> </w:t>
      </w:r>
      <w:r>
        <w:rPr>
          <w:spacing w:val="-4"/>
        </w:rPr>
        <w:t>overall</w:t>
      </w:r>
      <w:r>
        <w:rPr>
          <w:spacing w:val="-9"/>
        </w:rPr>
        <w:t> </w:t>
      </w:r>
      <w:r>
        <w:rPr>
          <w:spacing w:val="-4"/>
        </w:rPr>
        <w:t>supervision</w:t>
      </w:r>
      <w:r>
        <w:rPr>
          <w:spacing w:val="-10"/>
        </w:rPr>
        <w:t> </w:t>
      </w:r>
      <w:r>
        <w:rPr>
          <w:spacing w:val="-4"/>
        </w:rPr>
        <w:t>of</w:t>
      </w:r>
      <w:r>
        <w:rPr>
          <w:spacing w:val="-10"/>
        </w:rPr>
        <w:t> </w:t>
      </w:r>
      <w:r>
        <w:rPr>
          <w:spacing w:val="-4"/>
        </w:rPr>
        <w:t>IRAHE.</w:t>
      </w:r>
      <w:r>
        <w:rPr>
          <w:spacing w:val="-10"/>
        </w:rPr>
        <w:t> </w:t>
      </w:r>
      <w:r>
        <w:rPr>
          <w:spacing w:val="-4"/>
        </w:rPr>
        <w:t>The </w:t>
      </w:r>
      <w:r>
        <w:rPr/>
        <w:t>Committee shall also determine the criteria and the </w:t>
      </w:r>
      <w:r>
        <w:rPr>
          <w:spacing w:val="-4"/>
        </w:rPr>
        <w:t>processes</w:t>
      </w:r>
      <w:r>
        <w:rPr>
          <w:spacing w:val="-9"/>
        </w:rPr>
        <w:t> </w:t>
      </w:r>
      <w:r>
        <w:rPr>
          <w:spacing w:val="-4"/>
        </w:rPr>
        <w:t>of</w:t>
      </w:r>
      <w:r>
        <w:rPr>
          <w:spacing w:val="-9"/>
        </w:rPr>
        <w:t> </w:t>
      </w:r>
      <w:r>
        <w:rPr>
          <w:spacing w:val="-4"/>
        </w:rPr>
        <w:t>accreditation</w:t>
      </w:r>
      <w:r>
        <w:rPr>
          <w:spacing w:val="-9"/>
        </w:rPr>
        <w:t> </w:t>
      </w:r>
      <w:r>
        <w:rPr>
          <w:spacing w:val="-4"/>
        </w:rPr>
        <w:t>and</w:t>
      </w:r>
      <w:r>
        <w:rPr>
          <w:spacing w:val="-9"/>
        </w:rPr>
        <w:t> </w:t>
      </w:r>
      <w:r>
        <w:rPr>
          <w:spacing w:val="-4"/>
        </w:rPr>
        <w:t>license</w:t>
      </w:r>
      <w:r>
        <w:rPr>
          <w:spacing w:val="-9"/>
        </w:rPr>
        <w:t> </w:t>
      </w:r>
      <w:r>
        <w:rPr>
          <w:spacing w:val="-4"/>
        </w:rPr>
        <w:t>multiple</w:t>
      </w:r>
      <w:r>
        <w:rPr>
          <w:spacing w:val="-9"/>
        </w:rPr>
        <w:t> </w:t>
      </w:r>
      <w:r>
        <w:rPr>
          <w:spacing w:val="-4"/>
        </w:rPr>
        <w:t>agencies </w:t>
      </w:r>
      <w:r>
        <w:rPr/>
        <w:t>for</w:t>
      </w:r>
      <w:r>
        <w:rPr>
          <w:spacing w:val="-8"/>
        </w:rPr>
        <w:t> </w:t>
      </w:r>
      <w:r>
        <w:rPr/>
        <w:t>the</w:t>
      </w:r>
      <w:r>
        <w:rPr>
          <w:spacing w:val="-8"/>
        </w:rPr>
        <w:t> </w:t>
      </w:r>
      <w:r>
        <w:rPr/>
        <w:t>same.</w:t>
      </w:r>
      <w:r>
        <w:rPr>
          <w:spacing w:val="-8"/>
        </w:rPr>
        <w:t> </w:t>
      </w:r>
      <w:r>
        <w:rPr/>
        <w:t>A</w:t>
      </w:r>
      <w:r>
        <w:rPr>
          <w:spacing w:val="-8"/>
        </w:rPr>
        <w:t> </w:t>
      </w:r>
      <w:r>
        <w:rPr/>
        <w:t>mechanism</w:t>
      </w:r>
      <w:r>
        <w:rPr>
          <w:spacing w:val="-8"/>
        </w:rPr>
        <w:t> </w:t>
      </w:r>
      <w:r>
        <w:rPr/>
        <w:t>for</w:t>
      </w:r>
      <w:r>
        <w:rPr>
          <w:spacing w:val="-8"/>
        </w:rPr>
        <w:t> </w:t>
      </w:r>
      <w:r>
        <w:rPr/>
        <w:t>ranking</w:t>
      </w:r>
      <w:r>
        <w:rPr>
          <w:spacing w:val="-8"/>
        </w:rPr>
        <w:t> </w:t>
      </w:r>
      <w:r>
        <w:rPr/>
        <w:t>of</w:t>
      </w:r>
      <w:r>
        <w:rPr>
          <w:spacing w:val="-8"/>
        </w:rPr>
        <w:t> </w:t>
      </w:r>
      <w:r>
        <w:rPr/>
        <w:t>institutions to enable students to take informed decisions at the time of admissions by stipulating grading norms and nominating</w:t>
      </w:r>
      <w:r>
        <w:rPr>
          <w:spacing w:val="-8"/>
        </w:rPr>
        <w:t> </w:t>
      </w:r>
      <w:r>
        <w:rPr/>
        <w:t>independent</w:t>
      </w:r>
      <w:r>
        <w:rPr>
          <w:spacing w:val="-8"/>
        </w:rPr>
        <w:t> </w:t>
      </w:r>
      <w:r>
        <w:rPr/>
        <w:t>rating</w:t>
      </w:r>
      <w:r>
        <w:rPr>
          <w:spacing w:val="-8"/>
        </w:rPr>
        <w:t> </w:t>
      </w:r>
      <w:r>
        <w:rPr/>
        <w:t>agencies</w:t>
      </w:r>
      <w:r>
        <w:rPr>
          <w:spacing w:val="-8"/>
        </w:rPr>
        <w:t> </w:t>
      </w:r>
      <w:r>
        <w:rPr/>
        <w:t>also</w:t>
      </w:r>
      <w:r>
        <w:rPr>
          <w:spacing w:val="-8"/>
        </w:rPr>
        <w:t> </w:t>
      </w:r>
      <w:r>
        <w:rPr/>
        <w:t>needs</w:t>
      </w:r>
      <w:r>
        <w:rPr>
          <w:spacing w:val="-8"/>
        </w:rPr>
        <w:t> </w:t>
      </w:r>
      <w:r>
        <w:rPr/>
        <w:t>to </w:t>
      </w:r>
      <w:r>
        <w:rPr>
          <w:spacing w:val="-6"/>
        </w:rPr>
        <w:t>be</w:t>
      </w:r>
      <w:r>
        <w:rPr>
          <w:spacing w:val="-7"/>
        </w:rPr>
        <w:t> </w:t>
      </w:r>
      <w:r>
        <w:rPr>
          <w:spacing w:val="-6"/>
        </w:rPr>
        <w:t>established.</w:t>
      </w:r>
      <w:r>
        <w:rPr>
          <w:spacing w:val="-8"/>
        </w:rPr>
        <w:t> </w:t>
      </w:r>
      <w:r>
        <w:rPr>
          <w:spacing w:val="-6"/>
        </w:rPr>
        <w:t>These initiatives will enable the All India </w:t>
      </w:r>
      <w:r>
        <w:rPr/>
        <w:t>Council for Technical Education (AICTE) to focus on</w:t>
      </w:r>
      <w:r>
        <w:rPr>
          <w:spacing w:val="-3"/>
        </w:rPr>
        <w:t> </w:t>
      </w:r>
      <w:r>
        <w:rPr/>
        <w:t>important</w:t>
      </w:r>
      <w:r>
        <w:rPr>
          <w:spacing w:val="-3"/>
        </w:rPr>
        <w:t> </w:t>
      </w:r>
      <w:r>
        <w:rPr/>
        <w:t>issues</w:t>
      </w:r>
      <w:r>
        <w:rPr>
          <w:spacing w:val="-3"/>
        </w:rPr>
        <w:t> </w:t>
      </w:r>
      <w:r>
        <w:rPr/>
        <w:t>such</w:t>
      </w:r>
      <w:r>
        <w:rPr>
          <w:spacing w:val="-3"/>
        </w:rPr>
        <w:t> </w:t>
      </w:r>
      <w:r>
        <w:rPr/>
        <w:t>as</w:t>
      </w:r>
      <w:r>
        <w:rPr>
          <w:spacing w:val="-3"/>
        </w:rPr>
        <w:t> </w:t>
      </w:r>
      <w:r>
        <w:rPr/>
        <w:t>curriculum</w:t>
      </w:r>
      <w:r>
        <w:rPr>
          <w:spacing w:val="-3"/>
        </w:rPr>
        <w:t> </w:t>
      </w:r>
      <w:r>
        <w:rPr/>
        <w:t>development, pedagogy,</w:t>
      </w:r>
      <w:r>
        <w:rPr>
          <w:spacing w:val="-4"/>
        </w:rPr>
        <w:t> </w:t>
      </w:r>
      <w:r>
        <w:rPr/>
        <w:t>faculty</w:t>
      </w:r>
      <w:r>
        <w:rPr>
          <w:spacing w:val="-4"/>
        </w:rPr>
        <w:t> </w:t>
      </w:r>
      <w:r>
        <w:rPr/>
        <w:t>development</w:t>
      </w:r>
      <w:r>
        <w:rPr>
          <w:spacing w:val="-4"/>
        </w:rPr>
        <w:t> </w:t>
      </w:r>
      <w:r>
        <w:rPr/>
        <w:t>etc.</w:t>
      </w:r>
    </w:p>
    <w:p>
      <w:pPr>
        <w:pStyle w:val="Heading6"/>
        <w:numPr>
          <w:ilvl w:val="0"/>
          <w:numId w:val="27"/>
        </w:numPr>
        <w:tabs>
          <w:tab w:pos="643" w:val="left" w:leader="none"/>
          <w:tab w:pos="645" w:val="left" w:leader="none"/>
        </w:tabs>
        <w:spacing w:line="182" w:lineRule="auto" w:before="240" w:after="0"/>
        <w:ind w:left="645" w:right="2188" w:hanging="327"/>
        <w:jc w:val="left"/>
      </w:pPr>
      <w:r>
        <w:rPr>
          <w:color w:val="2E614A"/>
          <w:w w:val="90"/>
        </w:rPr>
        <w:t>Improving Governance </w:t>
      </w:r>
      <w:r>
        <w:rPr>
          <w:color w:val="2E614A"/>
          <w:w w:val="90"/>
        </w:rPr>
        <w:t>of </w:t>
      </w:r>
      <w:r>
        <w:rPr>
          <w:color w:val="2E614A"/>
          <w:spacing w:val="-2"/>
        </w:rPr>
        <w:t>Institutions</w:t>
      </w:r>
    </w:p>
    <w:p>
      <w:pPr>
        <w:pStyle w:val="BodyText"/>
        <w:spacing w:line="266" w:lineRule="auto" w:before="303"/>
        <w:ind w:left="319" w:right="1077"/>
        <w:jc w:val="both"/>
      </w:pPr>
      <w:r>
        <w:rPr>
          <w:spacing w:val="-2"/>
        </w:rPr>
        <w:t>In</w:t>
      </w:r>
      <w:r>
        <w:rPr>
          <w:spacing w:val="-12"/>
        </w:rPr>
        <w:t> </w:t>
      </w:r>
      <w:r>
        <w:rPr>
          <w:spacing w:val="-2"/>
        </w:rPr>
        <w:t>order</w:t>
      </w:r>
      <w:r>
        <w:rPr>
          <w:spacing w:val="-12"/>
        </w:rPr>
        <w:t> </w:t>
      </w:r>
      <w:r>
        <w:rPr>
          <w:spacing w:val="-2"/>
        </w:rPr>
        <w:t>to</w:t>
      </w:r>
      <w:r>
        <w:rPr>
          <w:spacing w:val="-12"/>
        </w:rPr>
        <w:t> </w:t>
      </w:r>
      <w:r>
        <w:rPr>
          <w:spacing w:val="-2"/>
        </w:rPr>
        <w:t>encourage</w:t>
      </w:r>
      <w:r>
        <w:rPr>
          <w:spacing w:val="-11"/>
        </w:rPr>
        <w:t> </w:t>
      </w:r>
      <w:r>
        <w:rPr>
          <w:spacing w:val="-2"/>
        </w:rPr>
        <w:t>greater</w:t>
      </w:r>
      <w:r>
        <w:rPr>
          <w:spacing w:val="-12"/>
        </w:rPr>
        <w:t> </w:t>
      </w:r>
      <w:r>
        <w:rPr>
          <w:spacing w:val="-2"/>
        </w:rPr>
        <w:t>flexibility</w:t>
      </w:r>
      <w:r>
        <w:rPr>
          <w:spacing w:val="-12"/>
        </w:rPr>
        <w:t> </w:t>
      </w:r>
      <w:r>
        <w:rPr>
          <w:spacing w:val="-2"/>
        </w:rPr>
        <w:t>and</w:t>
      </w:r>
      <w:r>
        <w:rPr>
          <w:spacing w:val="-12"/>
        </w:rPr>
        <w:t> </w:t>
      </w:r>
      <w:r>
        <w:rPr>
          <w:spacing w:val="-2"/>
        </w:rPr>
        <w:t>autonomy, </w:t>
      </w:r>
      <w:r>
        <w:rPr>
          <w:spacing w:val="-4"/>
        </w:rPr>
        <w:t>there</w:t>
      </w:r>
      <w:r>
        <w:rPr>
          <w:spacing w:val="-10"/>
        </w:rPr>
        <w:t> </w:t>
      </w:r>
      <w:r>
        <w:rPr>
          <w:spacing w:val="-4"/>
        </w:rPr>
        <w:t>is</w:t>
      </w:r>
      <w:r>
        <w:rPr>
          <w:spacing w:val="-10"/>
        </w:rPr>
        <w:t> </w:t>
      </w:r>
      <w:r>
        <w:rPr>
          <w:spacing w:val="-4"/>
        </w:rPr>
        <w:t>a</w:t>
      </w:r>
      <w:r>
        <w:rPr>
          <w:spacing w:val="-10"/>
        </w:rPr>
        <w:t> </w:t>
      </w:r>
      <w:r>
        <w:rPr>
          <w:spacing w:val="-4"/>
        </w:rPr>
        <w:t>need</w:t>
      </w:r>
      <w:r>
        <w:rPr>
          <w:spacing w:val="-9"/>
        </w:rPr>
        <w:t> </w:t>
      </w:r>
      <w:r>
        <w:rPr>
          <w:spacing w:val="-4"/>
        </w:rPr>
        <w:t>to</w:t>
      </w:r>
      <w:r>
        <w:rPr>
          <w:spacing w:val="-10"/>
        </w:rPr>
        <w:t> </w:t>
      </w:r>
      <w:r>
        <w:rPr>
          <w:spacing w:val="-4"/>
        </w:rPr>
        <w:t>progressively</w:t>
      </w:r>
      <w:r>
        <w:rPr>
          <w:spacing w:val="-10"/>
        </w:rPr>
        <w:t> </w:t>
      </w:r>
      <w:r>
        <w:rPr>
          <w:spacing w:val="-4"/>
        </w:rPr>
        <w:t>do</w:t>
      </w:r>
      <w:r>
        <w:rPr>
          <w:spacing w:val="-10"/>
        </w:rPr>
        <w:t> </w:t>
      </w:r>
      <w:r>
        <w:rPr>
          <w:spacing w:val="-4"/>
        </w:rPr>
        <w:t>away</w:t>
      </w:r>
      <w:r>
        <w:rPr>
          <w:spacing w:val="-9"/>
        </w:rPr>
        <w:t> </w:t>
      </w:r>
      <w:r>
        <w:rPr>
          <w:spacing w:val="-4"/>
        </w:rPr>
        <w:t>with</w:t>
      </w:r>
      <w:r>
        <w:rPr>
          <w:spacing w:val="-10"/>
        </w:rPr>
        <w:t> </w:t>
      </w:r>
      <w:r>
        <w:rPr>
          <w:spacing w:val="-4"/>
        </w:rPr>
        <w:t>the</w:t>
      </w:r>
      <w:r>
        <w:rPr>
          <w:spacing w:val="-10"/>
        </w:rPr>
        <w:t> </w:t>
      </w:r>
      <w:r>
        <w:rPr>
          <w:spacing w:val="-4"/>
        </w:rPr>
        <w:t>system </w:t>
      </w:r>
      <w:r>
        <w:rPr/>
        <w:t>of affiliation of engineering institutions/colleges to universities. Where feasible, they should be given full autonomy. To attain greater transparency and accountability,</w:t>
      </w:r>
      <w:r>
        <w:rPr>
          <w:spacing w:val="40"/>
        </w:rPr>
        <w:t> </w:t>
      </w:r>
      <w:r>
        <w:rPr/>
        <w:t>it</w:t>
      </w:r>
      <w:r>
        <w:rPr>
          <w:spacing w:val="40"/>
        </w:rPr>
        <w:t> </w:t>
      </w:r>
      <w:r>
        <w:rPr/>
        <w:t>should</w:t>
      </w:r>
      <w:r>
        <w:rPr>
          <w:spacing w:val="40"/>
        </w:rPr>
        <w:t> </w:t>
      </w:r>
      <w:r>
        <w:rPr/>
        <w:t>be</w:t>
      </w:r>
      <w:r>
        <w:rPr>
          <w:spacing w:val="40"/>
        </w:rPr>
        <w:t> </w:t>
      </w:r>
      <w:r>
        <w:rPr/>
        <w:t>made</w:t>
      </w:r>
      <w:r>
        <w:rPr>
          <w:spacing w:val="40"/>
        </w:rPr>
        <w:t> </w:t>
      </w:r>
      <w:r>
        <w:rPr/>
        <w:t>compulsory</w:t>
      </w:r>
      <w:r>
        <w:rPr>
          <w:spacing w:val="40"/>
        </w:rPr>
        <w:t> </w:t>
      </w:r>
      <w:r>
        <w:rPr/>
        <w:t>for all engineering institutions to display information about</w:t>
      </w:r>
      <w:r>
        <w:rPr>
          <w:spacing w:val="-5"/>
        </w:rPr>
        <w:t> </w:t>
      </w:r>
      <w:r>
        <w:rPr/>
        <w:t>their</w:t>
      </w:r>
      <w:r>
        <w:rPr>
          <w:spacing w:val="-4"/>
        </w:rPr>
        <w:t> </w:t>
      </w:r>
      <w:r>
        <w:rPr/>
        <w:t>buildings,</w:t>
      </w:r>
      <w:r>
        <w:rPr>
          <w:spacing w:val="-5"/>
        </w:rPr>
        <w:t> </w:t>
      </w:r>
      <w:r>
        <w:rPr/>
        <w:t>labs,</w:t>
      </w:r>
      <w:r>
        <w:rPr>
          <w:spacing w:val="-4"/>
        </w:rPr>
        <w:t> </w:t>
      </w:r>
      <w:r>
        <w:rPr/>
        <w:t>faculty,</w:t>
      </w:r>
      <w:r>
        <w:rPr>
          <w:spacing w:val="-5"/>
        </w:rPr>
        <w:t> </w:t>
      </w:r>
      <w:r>
        <w:rPr/>
        <w:t>intake</w:t>
      </w:r>
      <w:r>
        <w:rPr>
          <w:spacing w:val="-4"/>
        </w:rPr>
        <w:t> </w:t>
      </w:r>
      <w:r>
        <w:rPr/>
        <w:t>of</w:t>
      </w:r>
      <w:r>
        <w:rPr>
          <w:spacing w:val="-5"/>
        </w:rPr>
        <w:t> </w:t>
      </w:r>
      <w:r>
        <w:rPr>
          <w:spacing w:val="-2"/>
        </w:rPr>
        <w:t>students,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t>performance of students, recognition status </w:t>
      </w:r>
      <w:r>
        <w:rPr/>
        <w:t>and </w:t>
      </w:r>
      <w:r>
        <w:rPr>
          <w:spacing w:val="-2"/>
        </w:rPr>
        <w:t>placements,</w:t>
      </w:r>
      <w:r>
        <w:rPr>
          <w:spacing w:val="-12"/>
        </w:rPr>
        <w:t> </w:t>
      </w:r>
      <w:r>
        <w:rPr>
          <w:spacing w:val="-2"/>
        </w:rPr>
        <w:t>on</w:t>
      </w:r>
      <w:r>
        <w:rPr>
          <w:spacing w:val="-12"/>
        </w:rPr>
        <w:t> </w:t>
      </w:r>
      <w:r>
        <w:rPr>
          <w:spacing w:val="-2"/>
        </w:rPr>
        <w:t>their</w:t>
      </w:r>
      <w:r>
        <w:rPr>
          <w:spacing w:val="-11"/>
        </w:rPr>
        <w:t> </w:t>
      </w:r>
      <w:r>
        <w:rPr>
          <w:spacing w:val="-2"/>
        </w:rPr>
        <w:t>websites.</w:t>
      </w:r>
      <w:r>
        <w:rPr>
          <w:spacing w:val="-12"/>
        </w:rPr>
        <w:t> </w:t>
      </w:r>
      <w:r>
        <w:rPr>
          <w:spacing w:val="-2"/>
        </w:rPr>
        <w:t>As</w:t>
      </w:r>
      <w:r>
        <w:rPr>
          <w:spacing w:val="-12"/>
        </w:rPr>
        <w:t> </w:t>
      </w:r>
      <w:r>
        <w:rPr>
          <w:spacing w:val="-2"/>
        </w:rPr>
        <w:t>emphasised</w:t>
      </w:r>
      <w:r>
        <w:rPr>
          <w:spacing w:val="-11"/>
        </w:rPr>
        <w:t> </w:t>
      </w:r>
      <w:r>
        <w:rPr>
          <w:spacing w:val="-2"/>
        </w:rPr>
        <w:t>by</w:t>
      </w:r>
      <w:r>
        <w:rPr>
          <w:spacing w:val="-12"/>
        </w:rPr>
        <w:t> </w:t>
      </w:r>
      <w:r>
        <w:rPr>
          <w:spacing w:val="-2"/>
        </w:rPr>
        <w:t>NKC repeatedly,</w:t>
      </w:r>
      <w:r>
        <w:rPr>
          <w:spacing w:val="-12"/>
        </w:rPr>
        <w:t> </w:t>
      </w:r>
      <w:r>
        <w:rPr>
          <w:spacing w:val="-2"/>
        </w:rPr>
        <w:t>appointments</w:t>
      </w:r>
      <w:r>
        <w:rPr>
          <w:spacing w:val="-12"/>
        </w:rPr>
        <w:t> </w:t>
      </w:r>
      <w:r>
        <w:rPr>
          <w:spacing w:val="-2"/>
        </w:rPr>
        <w:t>of</w:t>
      </w:r>
      <w:r>
        <w:rPr>
          <w:spacing w:val="-12"/>
        </w:rPr>
        <w:t> </w:t>
      </w:r>
      <w:r>
        <w:rPr>
          <w:spacing w:val="-2"/>
        </w:rPr>
        <w:t>Heads</w:t>
      </w:r>
      <w:r>
        <w:rPr>
          <w:spacing w:val="-11"/>
        </w:rPr>
        <w:t> </w:t>
      </w:r>
      <w:r>
        <w:rPr>
          <w:spacing w:val="-2"/>
        </w:rPr>
        <w:t>of</w:t>
      </w:r>
      <w:r>
        <w:rPr>
          <w:spacing w:val="-12"/>
        </w:rPr>
        <w:t> </w:t>
      </w:r>
      <w:r>
        <w:rPr>
          <w:spacing w:val="-2"/>
        </w:rPr>
        <w:t>Institutions</w:t>
      </w:r>
      <w:r>
        <w:rPr>
          <w:spacing w:val="-12"/>
        </w:rPr>
        <w:t> </w:t>
      </w:r>
      <w:r>
        <w:rPr>
          <w:spacing w:val="-2"/>
        </w:rPr>
        <w:t>must </w:t>
      </w:r>
      <w:r>
        <w:rPr/>
        <w:t>be made through the process of a Search Committee that has an independent Chair and is at an arm’s length from the government.</w:t>
      </w:r>
      <w:r>
        <w:rPr>
          <w:spacing w:val="-1"/>
        </w:rPr>
        <w:t> </w:t>
      </w:r>
      <w:r>
        <w:rPr/>
        <w:t>The direct involvement </w:t>
      </w:r>
      <w:r>
        <w:rPr>
          <w:spacing w:val="-2"/>
        </w:rPr>
        <w:t>of</w:t>
      </w:r>
      <w:r>
        <w:rPr>
          <w:spacing w:val="-8"/>
        </w:rPr>
        <w:t> </w:t>
      </w:r>
      <w:r>
        <w:rPr>
          <w:spacing w:val="-2"/>
        </w:rPr>
        <w:t>administrative</w:t>
      </w:r>
      <w:r>
        <w:rPr>
          <w:spacing w:val="-8"/>
        </w:rPr>
        <w:t> </w:t>
      </w:r>
      <w:r>
        <w:rPr>
          <w:spacing w:val="-2"/>
        </w:rPr>
        <w:t>ministries</w:t>
      </w:r>
      <w:r>
        <w:rPr>
          <w:spacing w:val="-8"/>
        </w:rPr>
        <w:t> </w:t>
      </w:r>
      <w:r>
        <w:rPr>
          <w:spacing w:val="-2"/>
        </w:rPr>
        <w:t>in</w:t>
      </w:r>
      <w:r>
        <w:rPr>
          <w:spacing w:val="-8"/>
        </w:rPr>
        <w:t> </w:t>
      </w:r>
      <w:r>
        <w:rPr>
          <w:spacing w:val="-2"/>
        </w:rPr>
        <w:t>the</w:t>
      </w:r>
      <w:r>
        <w:rPr>
          <w:spacing w:val="-8"/>
        </w:rPr>
        <w:t> </w:t>
      </w:r>
      <w:r>
        <w:rPr>
          <w:spacing w:val="-2"/>
        </w:rPr>
        <w:t>process</w:t>
      </w:r>
      <w:r>
        <w:rPr>
          <w:spacing w:val="-8"/>
        </w:rPr>
        <w:t> </w:t>
      </w:r>
      <w:r>
        <w:rPr>
          <w:spacing w:val="-2"/>
        </w:rPr>
        <w:t>can</w:t>
      </w:r>
      <w:r>
        <w:rPr>
          <w:spacing w:val="-8"/>
        </w:rPr>
        <w:t> </w:t>
      </w:r>
      <w:r>
        <w:rPr>
          <w:spacing w:val="-2"/>
        </w:rPr>
        <w:t>result</w:t>
      </w:r>
      <w:r>
        <w:rPr>
          <w:spacing w:val="-8"/>
        </w:rPr>
        <w:t> </w:t>
      </w:r>
      <w:r>
        <w:rPr>
          <w:spacing w:val="-2"/>
        </w:rPr>
        <w:t>in </w:t>
      </w:r>
      <w:r>
        <w:rPr/>
        <w:t>unfortunate situations.</w:t>
      </w:r>
    </w:p>
    <w:p>
      <w:pPr>
        <w:pStyle w:val="Heading6"/>
        <w:numPr>
          <w:ilvl w:val="0"/>
          <w:numId w:val="27"/>
        </w:numPr>
        <w:tabs>
          <w:tab w:pos="1405" w:val="left" w:leader="none"/>
        </w:tabs>
        <w:spacing w:line="240" w:lineRule="auto" w:before="180" w:after="0"/>
        <w:ind w:left="1405" w:right="0" w:hanging="325"/>
        <w:jc w:val="left"/>
      </w:pPr>
      <w:r>
        <w:rPr>
          <w:color w:val="2E614A"/>
          <w:w w:val="90"/>
        </w:rPr>
        <w:t>Attracting</w:t>
      </w:r>
      <w:r>
        <w:rPr>
          <w:color w:val="2E614A"/>
          <w:spacing w:val="10"/>
        </w:rPr>
        <w:t> </w:t>
      </w:r>
      <w:r>
        <w:rPr>
          <w:color w:val="2E614A"/>
          <w:w w:val="90"/>
        </w:rPr>
        <w:t>and</w:t>
      </w:r>
      <w:r>
        <w:rPr>
          <w:color w:val="2E614A"/>
          <w:spacing w:val="10"/>
        </w:rPr>
        <w:t> </w:t>
      </w:r>
      <w:r>
        <w:rPr>
          <w:color w:val="2E614A"/>
          <w:w w:val="90"/>
        </w:rPr>
        <w:t>Retaining</w:t>
      </w:r>
      <w:r>
        <w:rPr>
          <w:color w:val="2E614A"/>
          <w:spacing w:val="10"/>
        </w:rPr>
        <w:t> </w:t>
      </w:r>
      <w:r>
        <w:rPr>
          <w:color w:val="2E614A"/>
          <w:spacing w:val="-2"/>
          <w:w w:val="90"/>
        </w:rPr>
        <w:t>Faculty</w:t>
      </w:r>
    </w:p>
    <w:p>
      <w:pPr>
        <w:pStyle w:val="BodyText"/>
        <w:spacing w:line="266" w:lineRule="auto" w:before="286"/>
        <w:ind w:left="1080"/>
        <w:jc w:val="both"/>
      </w:pPr>
      <w:r>
        <w:rPr/>
        <w:t>The most serious challenge in engineering </w:t>
      </w:r>
      <w:r>
        <w:rPr/>
        <w:t>education </w:t>
      </w:r>
      <w:r>
        <w:rPr>
          <w:spacing w:val="-4"/>
        </w:rPr>
        <w:t>is</w:t>
      </w:r>
      <w:r>
        <w:rPr>
          <w:spacing w:val="-9"/>
        </w:rPr>
        <w:t> </w:t>
      </w:r>
      <w:r>
        <w:rPr>
          <w:spacing w:val="-4"/>
        </w:rPr>
        <w:t>the</w:t>
      </w:r>
      <w:r>
        <w:rPr>
          <w:spacing w:val="-9"/>
        </w:rPr>
        <w:t> </w:t>
      </w:r>
      <w:r>
        <w:rPr>
          <w:spacing w:val="-4"/>
        </w:rPr>
        <w:t>dearth</w:t>
      </w:r>
      <w:r>
        <w:rPr>
          <w:spacing w:val="-9"/>
        </w:rPr>
        <w:t> </w:t>
      </w:r>
      <w:r>
        <w:rPr>
          <w:spacing w:val="-4"/>
        </w:rPr>
        <w:t>of</w:t>
      </w:r>
      <w:r>
        <w:rPr>
          <w:spacing w:val="-9"/>
        </w:rPr>
        <w:t> </w:t>
      </w:r>
      <w:r>
        <w:rPr>
          <w:spacing w:val="-4"/>
        </w:rPr>
        <w:t>well-qualified</w:t>
      </w:r>
      <w:r>
        <w:rPr>
          <w:spacing w:val="-9"/>
        </w:rPr>
        <w:t> </w:t>
      </w:r>
      <w:r>
        <w:rPr>
          <w:spacing w:val="-4"/>
        </w:rPr>
        <w:t>faculty.</w:t>
      </w:r>
      <w:r>
        <w:rPr>
          <w:spacing w:val="-9"/>
        </w:rPr>
        <w:t> </w:t>
      </w:r>
      <w:r>
        <w:rPr>
          <w:spacing w:val="-4"/>
        </w:rPr>
        <w:t>Several</w:t>
      </w:r>
      <w:r>
        <w:rPr>
          <w:spacing w:val="-9"/>
        </w:rPr>
        <w:t> </w:t>
      </w:r>
      <w:r>
        <w:rPr>
          <w:spacing w:val="-4"/>
        </w:rPr>
        <w:t>measures </w:t>
      </w:r>
      <w:r>
        <w:rPr/>
        <w:t>must be undertaken in this direction:</w:t>
      </w:r>
    </w:p>
    <w:p>
      <w:pPr>
        <w:pStyle w:val="ListParagraph"/>
        <w:numPr>
          <w:ilvl w:val="0"/>
          <w:numId w:val="28"/>
        </w:numPr>
        <w:tabs>
          <w:tab w:pos="1439" w:val="left" w:leader="none"/>
        </w:tabs>
        <w:spacing w:line="266" w:lineRule="auto" w:before="0" w:after="0"/>
        <w:ind w:left="1439" w:right="0" w:hanging="360"/>
        <w:jc w:val="both"/>
        <w:rPr>
          <w:sz w:val="22"/>
        </w:rPr>
      </w:pPr>
      <w:r>
        <w:rPr>
          <w:spacing w:val="-2"/>
          <w:sz w:val="22"/>
        </w:rPr>
        <w:t>Institutions</w:t>
      </w:r>
      <w:r>
        <w:rPr>
          <w:spacing w:val="-12"/>
          <w:sz w:val="22"/>
        </w:rPr>
        <w:t> </w:t>
      </w:r>
      <w:r>
        <w:rPr>
          <w:spacing w:val="-2"/>
          <w:sz w:val="22"/>
        </w:rPr>
        <w:t>should</w:t>
      </w:r>
      <w:r>
        <w:rPr>
          <w:spacing w:val="-12"/>
          <w:sz w:val="22"/>
        </w:rPr>
        <w:t> </w:t>
      </w:r>
      <w:r>
        <w:rPr>
          <w:spacing w:val="-2"/>
          <w:sz w:val="22"/>
        </w:rPr>
        <w:t>be</w:t>
      </w:r>
      <w:r>
        <w:rPr>
          <w:spacing w:val="-12"/>
          <w:sz w:val="22"/>
        </w:rPr>
        <w:t> </w:t>
      </w:r>
      <w:r>
        <w:rPr>
          <w:spacing w:val="-2"/>
          <w:sz w:val="22"/>
        </w:rPr>
        <w:t>encouraged</w:t>
      </w:r>
      <w:r>
        <w:rPr>
          <w:spacing w:val="-11"/>
          <w:sz w:val="22"/>
        </w:rPr>
        <w:t> </w:t>
      </w:r>
      <w:r>
        <w:rPr>
          <w:spacing w:val="-2"/>
          <w:sz w:val="22"/>
        </w:rPr>
        <w:t>to</w:t>
      </w:r>
      <w:r>
        <w:rPr>
          <w:spacing w:val="-12"/>
          <w:sz w:val="22"/>
        </w:rPr>
        <w:t> </w:t>
      </w:r>
      <w:r>
        <w:rPr>
          <w:spacing w:val="-2"/>
          <w:sz w:val="22"/>
        </w:rPr>
        <w:t>create</w:t>
      </w:r>
      <w:r>
        <w:rPr>
          <w:spacing w:val="-12"/>
          <w:sz w:val="22"/>
        </w:rPr>
        <w:t> </w:t>
      </w:r>
      <w:r>
        <w:rPr>
          <w:spacing w:val="-2"/>
          <w:sz w:val="22"/>
        </w:rPr>
        <w:t>adjunct </w:t>
      </w:r>
      <w:r>
        <w:rPr>
          <w:spacing w:val="-6"/>
          <w:sz w:val="22"/>
        </w:rPr>
        <w:t>positions and invite professionals from industry and </w:t>
      </w:r>
      <w:r>
        <w:rPr>
          <w:sz w:val="22"/>
        </w:rPr>
        <w:t>research</w:t>
      </w:r>
      <w:r>
        <w:rPr>
          <w:spacing w:val="-5"/>
          <w:sz w:val="22"/>
        </w:rPr>
        <w:t> </w:t>
      </w:r>
      <w:r>
        <w:rPr>
          <w:sz w:val="22"/>
        </w:rPr>
        <w:t>institutions</w:t>
      </w:r>
      <w:r>
        <w:rPr>
          <w:spacing w:val="-6"/>
          <w:sz w:val="22"/>
        </w:rPr>
        <w:t> </w:t>
      </w:r>
      <w:r>
        <w:rPr>
          <w:sz w:val="22"/>
        </w:rPr>
        <w:t>to</w:t>
      </w:r>
      <w:r>
        <w:rPr>
          <w:spacing w:val="-5"/>
          <w:sz w:val="22"/>
        </w:rPr>
        <w:t> </w:t>
      </w:r>
      <w:r>
        <w:rPr>
          <w:sz w:val="22"/>
        </w:rPr>
        <w:t>participate</w:t>
      </w:r>
      <w:r>
        <w:rPr>
          <w:spacing w:val="-6"/>
          <w:sz w:val="22"/>
        </w:rPr>
        <w:t> </w:t>
      </w:r>
      <w:r>
        <w:rPr>
          <w:sz w:val="22"/>
        </w:rPr>
        <w:t>in</w:t>
      </w:r>
      <w:r>
        <w:rPr>
          <w:spacing w:val="-5"/>
          <w:sz w:val="22"/>
        </w:rPr>
        <w:t> </w:t>
      </w:r>
      <w:r>
        <w:rPr>
          <w:sz w:val="22"/>
        </w:rPr>
        <w:t>the</w:t>
      </w:r>
      <w:r>
        <w:rPr>
          <w:spacing w:val="-5"/>
          <w:sz w:val="22"/>
        </w:rPr>
        <w:t> </w:t>
      </w:r>
      <w:r>
        <w:rPr>
          <w:sz w:val="22"/>
        </w:rPr>
        <w:t>teaching </w:t>
      </w:r>
      <w:r>
        <w:rPr>
          <w:spacing w:val="-2"/>
          <w:sz w:val="22"/>
        </w:rPr>
        <w:t>process.</w:t>
      </w:r>
    </w:p>
    <w:p>
      <w:pPr>
        <w:pStyle w:val="ListParagraph"/>
        <w:numPr>
          <w:ilvl w:val="0"/>
          <w:numId w:val="28"/>
        </w:numPr>
        <w:tabs>
          <w:tab w:pos="1439" w:val="left" w:leader="none"/>
        </w:tabs>
        <w:spacing w:line="266" w:lineRule="auto" w:before="0" w:after="0"/>
        <w:ind w:left="1439" w:right="0" w:hanging="360"/>
        <w:jc w:val="both"/>
        <w:rPr>
          <w:sz w:val="22"/>
        </w:rPr>
      </w:pPr>
      <w:r>
        <w:rPr>
          <w:sz w:val="22"/>
        </w:rPr>
        <w:t>The criterion of holding a Ph.D for </w:t>
      </w:r>
      <w:r>
        <w:rPr>
          <w:sz w:val="22"/>
        </w:rPr>
        <w:t>teaching </w:t>
      </w:r>
      <w:r>
        <w:rPr>
          <w:spacing w:val="-4"/>
          <w:sz w:val="22"/>
        </w:rPr>
        <w:t>undergraduate students may be relaxed to Master’s </w:t>
      </w:r>
      <w:r>
        <w:rPr>
          <w:spacing w:val="-2"/>
          <w:sz w:val="22"/>
        </w:rPr>
        <w:t>degrees</w:t>
      </w:r>
      <w:r>
        <w:rPr>
          <w:spacing w:val="-12"/>
          <w:sz w:val="22"/>
        </w:rPr>
        <w:t> </w:t>
      </w:r>
      <w:r>
        <w:rPr>
          <w:spacing w:val="-2"/>
          <w:sz w:val="22"/>
        </w:rPr>
        <w:t>which</w:t>
      </w:r>
      <w:r>
        <w:rPr>
          <w:spacing w:val="-11"/>
          <w:sz w:val="22"/>
        </w:rPr>
        <w:t> </w:t>
      </w:r>
      <w:r>
        <w:rPr>
          <w:spacing w:val="-2"/>
          <w:sz w:val="22"/>
        </w:rPr>
        <w:t>are</w:t>
      </w:r>
      <w:r>
        <w:rPr>
          <w:spacing w:val="-12"/>
          <w:sz w:val="22"/>
        </w:rPr>
        <w:t> </w:t>
      </w:r>
      <w:r>
        <w:rPr>
          <w:spacing w:val="-2"/>
          <w:sz w:val="22"/>
        </w:rPr>
        <w:t>specifically</w:t>
      </w:r>
      <w:r>
        <w:rPr>
          <w:spacing w:val="-11"/>
          <w:sz w:val="22"/>
        </w:rPr>
        <w:t> </w:t>
      </w:r>
      <w:r>
        <w:rPr>
          <w:spacing w:val="-2"/>
          <w:sz w:val="22"/>
        </w:rPr>
        <w:t>designed</w:t>
      </w:r>
      <w:r>
        <w:rPr>
          <w:spacing w:val="-12"/>
          <w:sz w:val="22"/>
        </w:rPr>
        <w:t> </w:t>
      </w:r>
      <w:r>
        <w:rPr>
          <w:spacing w:val="-2"/>
          <w:sz w:val="22"/>
        </w:rPr>
        <w:t>with</w:t>
      </w:r>
      <w:r>
        <w:rPr>
          <w:spacing w:val="-11"/>
          <w:sz w:val="22"/>
        </w:rPr>
        <w:t> </w:t>
      </w:r>
      <w:r>
        <w:rPr>
          <w:spacing w:val="-2"/>
          <w:sz w:val="22"/>
        </w:rPr>
        <w:t>more </w:t>
      </w:r>
      <w:r>
        <w:rPr>
          <w:spacing w:val="-4"/>
          <w:sz w:val="22"/>
        </w:rPr>
        <w:t>course</w:t>
      </w:r>
      <w:r>
        <w:rPr>
          <w:spacing w:val="-6"/>
          <w:sz w:val="22"/>
        </w:rPr>
        <w:t> </w:t>
      </w:r>
      <w:r>
        <w:rPr>
          <w:spacing w:val="-4"/>
          <w:sz w:val="22"/>
        </w:rPr>
        <w:t>work</w:t>
      </w:r>
      <w:r>
        <w:rPr>
          <w:spacing w:val="-6"/>
          <w:sz w:val="22"/>
        </w:rPr>
        <w:t> </w:t>
      </w:r>
      <w:r>
        <w:rPr>
          <w:spacing w:val="-4"/>
          <w:sz w:val="22"/>
        </w:rPr>
        <w:t>in</w:t>
      </w:r>
      <w:r>
        <w:rPr>
          <w:spacing w:val="-6"/>
          <w:sz w:val="22"/>
        </w:rPr>
        <w:t> </w:t>
      </w:r>
      <w:r>
        <w:rPr>
          <w:spacing w:val="-4"/>
          <w:sz w:val="22"/>
        </w:rPr>
        <w:t>lieu</w:t>
      </w:r>
      <w:r>
        <w:rPr>
          <w:spacing w:val="-6"/>
          <w:sz w:val="22"/>
        </w:rPr>
        <w:t> </w:t>
      </w:r>
      <w:r>
        <w:rPr>
          <w:spacing w:val="-4"/>
          <w:sz w:val="22"/>
        </w:rPr>
        <w:t>of</w:t>
      </w:r>
      <w:r>
        <w:rPr>
          <w:spacing w:val="-6"/>
          <w:sz w:val="22"/>
        </w:rPr>
        <w:t> </w:t>
      </w:r>
      <w:r>
        <w:rPr>
          <w:spacing w:val="-4"/>
          <w:sz w:val="22"/>
        </w:rPr>
        <w:t>thesis.</w:t>
      </w:r>
      <w:r>
        <w:rPr>
          <w:spacing w:val="-6"/>
          <w:sz w:val="22"/>
        </w:rPr>
        <w:t> </w:t>
      </w:r>
      <w:r>
        <w:rPr>
          <w:spacing w:val="-4"/>
          <w:sz w:val="22"/>
        </w:rPr>
        <w:t>Special</w:t>
      </w:r>
      <w:r>
        <w:rPr>
          <w:spacing w:val="-6"/>
          <w:sz w:val="22"/>
        </w:rPr>
        <w:t> </w:t>
      </w:r>
      <w:r>
        <w:rPr>
          <w:spacing w:val="-4"/>
          <w:sz w:val="22"/>
        </w:rPr>
        <w:t>efforts</w:t>
      </w:r>
      <w:r>
        <w:rPr>
          <w:spacing w:val="-6"/>
          <w:sz w:val="22"/>
        </w:rPr>
        <w:t> </w:t>
      </w:r>
      <w:r>
        <w:rPr>
          <w:spacing w:val="-4"/>
          <w:sz w:val="22"/>
        </w:rPr>
        <w:t>should </w:t>
      </w:r>
      <w:r>
        <w:rPr>
          <w:sz w:val="22"/>
        </w:rPr>
        <w:t>be</w:t>
      </w:r>
      <w:r>
        <w:rPr>
          <w:spacing w:val="-16"/>
          <w:sz w:val="22"/>
        </w:rPr>
        <w:t> </w:t>
      </w:r>
      <w:r>
        <w:rPr>
          <w:sz w:val="22"/>
        </w:rPr>
        <w:t>made</w:t>
      </w:r>
      <w:r>
        <w:rPr>
          <w:spacing w:val="-14"/>
          <w:sz w:val="22"/>
        </w:rPr>
        <w:t> </w:t>
      </w:r>
      <w:r>
        <w:rPr>
          <w:sz w:val="22"/>
        </w:rPr>
        <w:t>at</w:t>
      </w:r>
      <w:r>
        <w:rPr>
          <w:spacing w:val="-14"/>
          <w:sz w:val="22"/>
        </w:rPr>
        <w:t> </w:t>
      </w:r>
      <w:r>
        <w:rPr>
          <w:sz w:val="22"/>
        </w:rPr>
        <w:t>the</w:t>
      </w:r>
      <w:r>
        <w:rPr>
          <w:spacing w:val="-13"/>
          <w:sz w:val="22"/>
        </w:rPr>
        <w:t> </w:t>
      </w:r>
      <w:r>
        <w:rPr>
          <w:sz w:val="22"/>
        </w:rPr>
        <w:t>undergraduate</w:t>
      </w:r>
      <w:r>
        <w:rPr>
          <w:spacing w:val="-14"/>
          <w:sz w:val="22"/>
        </w:rPr>
        <w:t> </w:t>
      </w:r>
      <w:r>
        <w:rPr>
          <w:sz w:val="22"/>
        </w:rPr>
        <w:t>level</w:t>
      </w:r>
      <w:r>
        <w:rPr>
          <w:spacing w:val="-14"/>
          <w:sz w:val="22"/>
        </w:rPr>
        <w:t> </w:t>
      </w:r>
      <w:r>
        <w:rPr>
          <w:sz w:val="22"/>
        </w:rPr>
        <w:t>to</w:t>
      </w:r>
      <w:r>
        <w:rPr>
          <w:spacing w:val="-14"/>
          <w:sz w:val="22"/>
        </w:rPr>
        <w:t> </w:t>
      </w:r>
      <w:r>
        <w:rPr>
          <w:sz w:val="22"/>
        </w:rPr>
        <w:t>identify</w:t>
      </w:r>
      <w:r>
        <w:rPr>
          <w:spacing w:val="-13"/>
          <w:sz w:val="22"/>
        </w:rPr>
        <w:t> </w:t>
      </w:r>
      <w:r>
        <w:rPr>
          <w:sz w:val="22"/>
        </w:rPr>
        <w:t>and </w:t>
      </w:r>
      <w:r>
        <w:rPr>
          <w:spacing w:val="-4"/>
          <w:sz w:val="22"/>
        </w:rPr>
        <w:t>motivate</w:t>
      </w:r>
      <w:r>
        <w:rPr>
          <w:spacing w:val="-10"/>
          <w:sz w:val="22"/>
        </w:rPr>
        <w:t> </w:t>
      </w:r>
      <w:r>
        <w:rPr>
          <w:spacing w:val="-4"/>
          <w:sz w:val="22"/>
        </w:rPr>
        <w:t>those</w:t>
      </w:r>
      <w:r>
        <w:rPr>
          <w:spacing w:val="-10"/>
          <w:sz w:val="22"/>
        </w:rPr>
        <w:t> </w:t>
      </w:r>
      <w:r>
        <w:rPr>
          <w:spacing w:val="-4"/>
          <w:sz w:val="22"/>
        </w:rPr>
        <w:t>who</w:t>
      </w:r>
      <w:r>
        <w:rPr>
          <w:spacing w:val="-10"/>
          <w:sz w:val="22"/>
        </w:rPr>
        <w:t> </w:t>
      </w:r>
      <w:r>
        <w:rPr>
          <w:spacing w:val="-4"/>
          <w:sz w:val="22"/>
        </w:rPr>
        <w:t>have</w:t>
      </w:r>
      <w:r>
        <w:rPr>
          <w:spacing w:val="-9"/>
          <w:sz w:val="22"/>
        </w:rPr>
        <w:t> </w:t>
      </w:r>
      <w:r>
        <w:rPr>
          <w:spacing w:val="-4"/>
          <w:sz w:val="22"/>
        </w:rPr>
        <w:t>the</w:t>
      </w:r>
      <w:r>
        <w:rPr>
          <w:spacing w:val="-10"/>
          <w:sz w:val="22"/>
        </w:rPr>
        <w:t> </w:t>
      </w:r>
      <w:r>
        <w:rPr>
          <w:spacing w:val="-4"/>
          <w:sz w:val="22"/>
        </w:rPr>
        <w:t>potential</w:t>
      </w:r>
      <w:r>
        <w:rPr>
          <w:spacing w:val="-10"/>
          <w:sz w:val="22"/>
        </w:rPr>
        <w:t> </w:t>
      </w:r>
      <w:r>
        <w:rPr>
          <w:spacing w:val="-4"/>
          <w:sz w:val="22"/>
        </w:rPr>
        <w:t>as</w:t>
      </w:r>
      <w:r>
        <w:rPr>
          <w:spacing w:val="-10"/>
          <w:sz w:val="22"/>
        </w:rPr>
        <w:t> </w:t>
      </w:r>
      <w:r>
        <w:rPr>
          <w:spacing w:val="-4"/>
          <w:sz w:val="22"/>
        </w:rPr>
        <w:t>well</w:t>
      </w:r>
      <w:r>
        <w:rPr>
          <w:spacing w:val="-9"/>
          <w:sz w:val="22"/>
        </w:rPr>
        <w:t> </w:t>
      </w:r>
      <w:r>
        <w:rPr>
          <w:spacing w:val="-4"/>
          <w:sz w:val="22"/>
        </w:rPr>
        <w:t>as</w:t>
      </w:r>
      <w:r>
        <w:rPr>
          <w:spacing w:val="-10"/>
          <w:sz w:val="22"/>
        </w:rPr>
        <w:t> </w:t>
      </w:r>
      <w:r>
        <w:rPr>
          <w:spacing w:val="-4"/>
          <w:sz w:val="22"/>
        </w:rPr>
        <w:t>the </w:t>
      </w:r>
      <w:r>
        <w:rPr>
          <w:sz w:val="22"/>
        </w:rPr>
        <w:t>inclination towards teaching.</w:t>
      </w:r>
    </w:p>
    <w:p>
      <w:pPr>
        <w:pStyle w:val="ListParagraph"/>
        <w:numPr>
          <w:ilvl w:val="0"/>
          <w:numId w:val="28"/>
        </w:numPr>
        <w:tabs>
          <w:tab w:pos="1439" w:val="left" w:leader="none"/>
        </w:tabs>
        <w:spacing w:line="266" w:lineRule="auto" w:before="0" w:after="0"/>
        <w:ind w:left="1439" w:right="0" w:hanging="360"/>
        <w:jc w:val="both"/>
        <w:rPr>
          <w:sz w:val="22"/>
        </w:rPr>
      </w:pPr>
      <w:r>
        <w:rPr>
          <w:spacing w:val="-4"/>
          <w:sz w:val="22"/>
        </w:rPr>
        <w:t>Incentives like better salary, modern </w:t>
      </w:r>
      <w:r>
        <w:rPr>
          <w:spacing w:val="-4"/>
          <w:sz w:val="22"/>
        </w:rPr>
        <w:t>infrastructure, </w:t>
      </w:r>
      <w:r>
        <w:rPr>
          <w:spacing w:val="-2"/>
          <w:sz w:val="22"/>
        </w:rPr>
        <w:t>better</w:t>
      </w:r>
      <w:r>
        <w:rPr>
          <w:spacing w:val="-8"/>
          <w:sz w:val="22"/>
        </w:rPr>
        <w:t> </w:t>
      </w:r>
      <w:r>
        <w:rPr>
          <w:spacing w:val="-2"/>
          <w:sz w:val="22"/>
        </w:rPr>
        <w:t>living</w:t>
      </w:r>
      <w:r>
        <w:rPr>
          <w:spacing w:val="-8"/>
          <w:sz w:val="22"/>
        </w:rPr>
        <w:t> </w:t>
      </w:r>
      <w:r>
        <w:rPr>
          <w:spacing w:val="-2"/>
          <w:sz w:val="22"/>
        </w:rPr>
        <w:t>and</w:t>
      </w:r>
      <w:r>
        <w:rPr>
          <w:spacing w:val="-8"/>
          <w:sz w:val="22"/>
        </w:rPr>
        <w:t> </w:t>
      </w:r>
      <w:r>
        <w:rPr>
          <w:spacing w:val="-2"/>
          <w:sz w:val="22"/>
        </w:rPr>
        <w:t>working</w:t>
      </w:r>
      <w:r>
        <w:rPr>
          <w:spacing w:val="-8"/>
          <w:sz w:val="22"/>
        </w:rPr>
        <w:t> </w:t>
      </w:r>
      <w:r>
        <w:rPr>
          <w:spacing w:val="-2"/>
          <w:sz w:val="22"/>
        </w:rPr>
        <w:t>environment,</w:t>
      </w:r>
      <w:r>
        <w:rPr>
          <w:spacing w:val="-8"/>
          <w:sz w:val="22"/>
        </w:rPr>
        <w:t> </w:t>
      </w:r>
      <w:r>
        <w:rPr>
          <w:spacing w:val="-2"/>
          <w:sz w:val="22"/>
        </w:rPr>
        <w:t>possibility of</w:t>
      </w:r>
      <w:r>
        <w:rPr>
          <w:spacing w:val="-12"/>
          <w:sz w:val="22"/>
        </w:rPr>
        <w:t> </w:t>
      </w:r>
      <w:r>
        <w:rPr>
          <w:spacing w:val="-2"/>
          <w:sz w:val="22"/>
        </w:rPr>
        <w:t>secondment</w:t>
      </w:r>
      <w:r>
        <w:rPr>
          <w:spacing w:val="-11"/>
          <w:sz w:val="22"/>
        </w:rPr>
        <w:t> </w:t>
      </w:r>
      <w:r>
        <w:rPr>
          <w:spacing w:val="-2"/>
          <w:sz w:val="22"/>
        </w:rPr>
        <w:t>to</w:t>
      </w:r>
      <w:r>
        <w:rPr>
          <w:spacing w:val="-12"/>
          <w:sz w:val="22"/>
        </w:rPr>
        <w:t> </w:t>
      </w:r>
      <w:r>
        <w:rPr>
          <w:spacing w:val="-2"/>
          <w:sz w:val="22"/>
        </w:rPr>
        <w:t>industry</w:t>
      </w:r>
      <w:r>
        <w:rPr>
          <w:spacing w:val="-11"/>
          <w:sz w:val="22"/>
        </w:rPr>
        <w:t> </w:t>
      </w:r>
      <w:r>
        <w:rPr>
          <w:spacing w:val="-2"/>
          <w:sz w:val="22"/>
        </w:rPr>
        <w:t>during</w:t>
      </w:r>
      <w:r>
        <w:rPr>
          <w:spacing w:val="-12"/>
          <w:sz w:val="22"/>
        </w:rPr>
        <w:t> </w:t>
      </w:r>
      <w:r>
        <w:rPr>
          <w:spacing w:val="-2"/>
          <w:sz w:val="22"/>
        </w:rPr>
        <w:t>vacations</w:t>
      </w:r>
      <w:r>
        <w:rPr>
          <w:spacing w:val="-11"/>
          <w:sz w:val="22"/>
        </w:rPr>
        <w:t> </w:t>
      </w:r>
      <w:r>
        <w:rPr>
          <w:spacing w:val="-2"/>
          <w:sz w:val="22"/>
        </w:rPr>
        <w:t>should </w:t>
      </w:r>
      <w:r>
        <w:rPr>
          <w:sz w:val="22"/>
        </w:rPr>
        <w:t>be made available.</w:t>
      </w:r>
    </w:p>
    <w:p>
      <w:pPr>
        <w:pStyle w:val="ListParagraph"/>
        <w:numPr>
          <w:ilvl w:val="0"/>
          <w:numId w:val="28"/>
        </w:numPr>
        <w:tabs>
          <w:tab w:pos="1439" w:val="left" w:leader="none"/>
        </w:tabs>
        <w:spacing w:line="266" w:lineRule="auto" w:before="0" w:after="0"/>
        <w:ind w:left="1439" w:right="0" w:hanging="360"/>
        <w:jc w:val="both"/>
        <w:rPr>
          <w:sz w:val="22"/>
        </w:rPr>
      </w:pPr>
      <w:r>
        <w:rPr>
          <w:sz w:val="22"/>
        </w:rPr>
        <w:t>Shortage of faculty could also be overcome </w:t>
      </w:r>
      <w:r>
        <w:rPr>
          <w:sz w:val="22"/>
        </w:rPr>
        <w:t>by innovative</w:t>
      </w:r>
      <w:r>
        <w:rPr>
          <w:spacing w:val="-5"/>
          <w:sz w:val="22"/>
        </w:rPr>
        <w:t> </w:t>
      </w:r>
      <w:r>
        <w:rPr>
          <w:sz w:val="22"/>
        </w:rPr>
        <w:t>use</w:t>
      </w:r>
      <w:r>
        <w:rPr>
          <w:spacing w:val="-5"/>
          <w:sz w:val="22"/>
        </w:rPr>
        <w:t> </w:t>
      </w:r>
      <w:r>
        <w:rPr>
          <w:sz w:val="22"/>
        </w:rPr>
        <w:t>of</w:t>
      </w:r>
      <w:r>
        <w:rPr>
          <w:spacing w:val="-5"/>
          <w:sz w:val="22"/>
        </w:rPr>
        <w:t> </w:t>
      </w:r>
      <w:r>
        <w:rPr>
          <w:sz w:val="22"/>
        </w:rPr>
        <w:t>Information</w:t>
      </w:r>
      <w:r>
        <w:rPr>
          <w:spacing w:val="-5"/>
          <w:sz w:val="22"/>
        </w:rPr>
        <w:t> </w:t>
      </w:r>
      <w:r>
        <w:rPr>
          <w:sz w:val="22"/>
        </w:rPr>
        <w:t>&amp;</w:t>
      </w:r>
      <w:r>
        <w:rPr>
          <w:spacing w:val="-5"/>
          <w:sz w:val="22"/>
        </w:rPr>
        <w:t> </w:t>
      </w:r>
      <w:r>
        <w:rPr>
          <w:sz w:val="22"/>
        </w:rPr>
        <w:t>Communication Technology and Open Educational Resources (OERs) by leveraging the content available from the</w:t>
      </w:r>
      <w:r>
        <w:rPr>
          <w:spacing w:val="-1"/>
          <w:sz w:val="22"/>
        </w:rPr>
        <w:t> </w:t>
      </w:r>
      <w:r>
        <w:rPr>
          <w:sz w:val="22"/>
        </w:rPr>
        <w:t>best</w:t>
      </w:r>
      <w:r>
        <w:rPr>
          <w:spacing w:val="-1"/>
          <w:sz w:val="22"/>
        </w:rPr>
        <w:t> </w:t>
      </w:r>
      <w:r>
        <w:rPr>
          <w:sz w:val="22"/>
        </w:rPr>
        <w:t>universities</w:t>
      </w:r>
      <w:r>
        <w:rPr>
          <w:spacing w:val="-1"/>
          <w:sz w:val="22"/>
        </w:rPr>
        <w:t> </w:t>
      </w:r>
      <w:r>
        <w:rPr>
          <w:sz w:val="22"/>
        </w:rPr>
        <w:t>across</w:t>
      </w:r>
      <w:r>
        <w:rPr>
          <w:spacing w:val="-1"/>
          <w:sz w:val="22"/>
        </w:rPr>
        <w:t> </w:t>
      </w:r>
      <w:r>
        <w:rPr>
          <w:sz w:val="22"/>
        </w:rPr>
        <w:t>the</w:t>
      </w:r>
      <w:r>
        <w:rPr>
          <w:spacing w:val="-1"/>
          <w:sz w:val="22"/>
        </w:rPr>
        <w:t> </w:t>
      </w:r>
      <w:r>
        <w:rPr>
          <w:sz w:val="22"/>
        </w:rPr>
        <w:t>world.</w:t>
      </w:r>
    </w:p>
    <w:p>
      <w:pPr>
        <w:pStyle w:val="ListParagraph"/>
        <w:numPr>
          <w:ilvl w:val="0"/>
          <w:numId w:val="28"/>
        </w:numPr>
        <w:tabs>
          <w:tab w:pos="1439" w:val="left" w:leader="none"/>
        </w:tabs>
        <w:spacing w:line="266" w:lineRule="auto" w:before="0" w:after="0"/>
        <w:ind w:left="1439" w:right="0" w:hanging="360"/>
        <w:jc w:val="both"/>
        <w:rPr>
          <w:sz w:val="22"/>
        </w:rPr>
      </w:pPr>
      <w:r>
        <w:rPr>
          <w:spacing w:val="-6"/>
          <w:sz w:val="22"/>
        </w:rPr>
        <w:t>Several initiatives need to be undertaken to improve </w:t>
      </w:r>
      <w:r>
        <w:rPr>
          <w:spacing w:val="-8"/>
          <w:sz w:val="22"/>
        </w:rPr>
        <w:t>training</w:t>
      </w:r>
      <w:r>
        <w:rPr>
          <w:sz w:val="22"/>
        </w:rPr>
        <w:t> </w:t>
      </w:r>
      <w:r>
        <w:rPr>
          <w:spacing w:val="-8"/>
          <w:sz w:val="22"/>
        </w:rPr>
        <w:t>and</w:t>
      </w:r>
      <w:r>
        <w:rPr>
          <w:sz w:val="22"/>
        </w:rPr>
        <w:t> </w:t>
      </w:r>
      <w:r>
        <w:rPr>
          <w:spacing w:val="-8"/>
          <w:sz w:val="22"/>
        </w:rPr>
        <w:t>professional</w:t>
      </w:r>
      <w:r>
        <w:rPr>
          <w:sz w:val="22"/>
        </w:rPr>
        <w:t> </w:t>
      </w:r>
      <w:r>
        <w:rPr>
          <w:spacing w:val="-8"/>
          <w:sz w:val="22"/>
        </w:rPr>
        <w:t>development</w:t>
      </w:r>
      <w:r>
        <w:rPr>
          <w:sz w:val="22"/>
        </w:rPr>
        <w:t> </w:t>
      </w:r>
      <w:r>
        <w:rPr>
          <w:spacing w:val="-8"/>
          <w:sz w:val="22"/>
        </w:rPr>
        <w:t>of</w:t>
      </w:r>
      <w:r>
        <w:rPr>
          <w:sz w:val="22"/>
        </w:rPr>
        <w:t> </w:t>
      </w:r>
      <w:r>
        <w:rPr>
          <w:spacing w:val="-8"/>
          <w:sz w:val="22"/>
        </w:rPr>
        <w:t>the</w:t>
      </w:r>
      <w:r>
        <w:rPr>
          <w:sz w:val="22"/>
        </w:rPr>
        <w:t> </w:t>
      </w:r>
      <w:r>
        <w:rPr>
          <w:spacing w:val="-8"/>
          <w:sz w:val="22"/>
        </w:rPr>
        <w:t>faculty. </w:t>
      </w:r>
      <w:r>
        <w:rPr>
          <w:sz w:val="22"/>
        </w:rPr>
        <w:t>A two-week teacher induction training course should be made compulsory. A one-day regional </w:t>
      </w:r>
      <w:r>
        <w:rPr>
          <w:spacing w:val="-4"/>
          <w:sz w:val="22"/>
        </w:rPr>
        <w:t>workshop</w:t>
      </w:r>
      <w:r>
        <w:rPr>
          <w:spacing w:val="-10"/>
          <w:sz w:val="22"/>
        </w:rPr>
        <w:t> </w:t>
      </w:r>
      <w:r>
        <w:rPr>
          <w:spacing w:val="-4"/>
          <w:sz w:val="22"/>
        </w:rPr>
        <w:t>on</w:t>
      </w:r>
      <w:r>
        <w:rPr>
          <w:spacing w:val="-10"/>
          <w:sz w:val="22"/>
        </w:rPr>
        <w:t> </w:t>
      </w:r>
      <w:r>
        <w:rPr>
          <w:spacing w:val="-4"/>
          <w:sz w:val="22"/>
        </w:rPr>
        <w:t>teaching/learning</w:t>
      </w:r>
      <w:r>
        <w:rPr>
          <w:spacing w:val="-10"/>
          <w:sz w:val="22"/>
        </w:rPr>
        <w:t> </w:t>
      </w:r>
      <w:r>
        <w:rPr>
          <w:spacing w:val="-4"/>
          <w:sz w:val="22"/>
        </w:rPr>
        <w:t>processes</w:t>
      </w:r>
      <w:r>
        <w:rPr>
          <w:spacing w:val="-9"/>
          <w:sz w:val="22"/>
        </w:rPr>
        <w:t> </w:t>
      </w:r>
      <w:r>
        <w:rPr>
          <w:spacing w:val="-4"/>
          <w:sz w:val="22"/>
        </w:rPr>
        <w:t>should</w:t>
      </w:r>
      <w:r>
        <w:rPr>
          <w:spacing w:val="-10"/>
          <w:sz w:val="22"/>
        </w:rPr>
        <w:t> </w:t>
      </w:r>
      <w:r>
        <w:rPr>
          <w:spacing w:val="-4"/>
          <w:sz w:val="22"/>
        </w:rPr>
        <w:t>be arranged</w:t>
      </w:r>
      <w:r>
        <w:rPr>
          <w:spacing w:val="-9"/>
          <w:sz w:val="22"/>
        </w:rPr>
        <w:t> </w:t>
      </w:r>
      <w:r>
        <w:rPr>
          <w:spacing w:val="-4"/>
          <w:sz w:val="22"/>
        </w:rPr>
        <w:t>as</w:t>
      </w:r>
      <w:r>
        <w:rPr>
          <w:spacing w:val="-9"/>
          <w:sz w:val="22"/>
        </w:rPr>
        <w:t> </w:t>
      </w:r>
      <w:r>
        <w:rPr>
          <w:spacing w:val="-4"/>
          <w:sz w:val="22"/>
        </w:rPr>
        <w:t>a</w:t>
      </w:r>
      <w:r>
        <w:rPr>
          <w:spacing w:val="-9"/>
          <w:sz w:val="22"/>
        </w:rPr>
        <w:t> </w:t>
      </w:r>
      <w:r>
        <w:rPr>
          <w:spacing w:val="-4"/>
          <w:sz w:val="22"/>
        </w:rPr>
        <w:t>part</w:t>
      </w:r>
      <w:r>
        <w:rPr>
          <w:spacing w:val="-9"/>
          <w:sz w:val="22"/>
        </w:rPr>
        <w:t> </w:t>
      </w:r>
      <w:r>
        <w:rPr>
          <w:spacing w:val="-4"/>
          <w:sz w:val="22"/>
        </w:rPr>
        <w:t>of</w:t>
      </w:r>
      <w:r>
        <w:rPr>
          <w:spacing w:val="-9"/>
          <w:sz w:val="22"/>
        </w:rPr>
        <w:t> </w:t>
      </w:r>
      <w:r>
        <w:rPr>
          <w:spacing w:val="-4"/>
          <w:sz w:val="22"/>
        </w:rPr>
        <w:t>the</w:t>
      </w:r>
      <w:r>
        <w:rPr>
          <w:spacing w:val="-9"/>
          <w:sz w:val="22"/>
        </w:rPr>
        <w:t> </w:t>
      </w:r>
      <w:r>
        <w:rPr>
          <w:spacing w:val="-4"/>
          <w:sz w:val="22"/>
        </w:rPr>
        <w:t>academic</w:t>
      </w:r>
      <w:r>
        <w:rPr>
          <w:spacing w:val="-9"/>
          <w:sz w:val="22"/>
        </w:rPr>
        <w:t> </w:t>
      </w:r>
      <w:r>
        <w:rPr>
          <w:spacing w:val="-4"/>
          <w:sz w:val="22"/>
        </w:rPr>
        <w:t>calendar.</w:t>
      </w:r>
      <w:r>
        <w:rPr>
          <w:spacing w:val="-9"/>
          <w:sz w:val="22"/>
        </w:rPr>
        <w:t> </w:t>
      </w:r>
      <w:r>
        <w:rPr>
          <w:spacing w:val="-4"/>
          <w:sz w:val="22"/>
        </w:rPr>
        <w:t>Course </w:t>
      </w:r>
      <w:r>
        <w:rPr>
          <w:sz w:val="22"/>
        </w:rPr>
        <w:t>development should be made an integral part of the training programs conducted by Academic </w:t>
      </w:r>
      <w:r>
        <w:rPr>
          <w:spacing w:val="-4"/>
          <w:sz w:val="22"/>
        </w:rPr>
        <w:t>Staff</w:t>
      </w:r>
      <w:r>
        <w:rPr>
          <w:spacing w:val="-5"/>
          <w:sz w:val="22"/>
        </w:rPr>
        <w:t> </w:t>
      </w:r>
      <w:r>
        <w:rPr>
          <w:spacing w:val="-4"/>
          <w:sz w:val="22"/>
        </w:rPr>
        <w:t>Colleges.</w:t>
      </w:r>
      <w:r>
        <w:rPr>
          <w:spacing w:val="-5"/>
          <w:sz w:val="22"/>
        </w:rPr>
        <w:t> </w:t>
      </w:r>
      <w:r>
        <w:rPr>
          <w:spacing w:val="-4"/>
          <w:sz w:val="22"/>
        </w:rPr>
        <w:t>Better</w:t>
      </w:r>
      <w:r>
        <w:rPr>
          <w:spacing w:val="-5"/>
          <w:sz w:val="22"/>
        </w:rPr>
        <w:t> </w:t>
      </w:r>
      <w:r>
        <w:rPr>
          <w:spacing w:val="-4"/>
          <w:sz w:val="22"/>
        </w:rPr>
        <w:t>opportunities</w:t>
      </w:r>
      <w:r>
        <w:rPr>
          <w:spacing w:val="-5"/>
          <w:sz w:val="22"/>
        </w:rPr>
        <w:t> </w:t>
      </w:r>
      <w:r>
        <w:rPr>
          <w:spacing w:val="-4"/>
          <w:sz w:val="22"/>
        </w:rPr>
        <w:t>may</w:t>
      </w:r>
      <w:r>
        <w:rPr>
          <w:spacing w:val="-5"/>
          <w:sz w:val="22"/>
        </w:rPr>
        <w:t> </w:t>
      </w:r>
      <w:r>
        <w:rPr>
          <w:spacing w:val="-4"/>
          <w:sz w:val="22"/>
        </w:rPr>
        <w:t>be</w:t>
      </w:r>
      <w:r>
        <w:rPr>
          <w:spacing w:val="-5"/>
          <w:sz w:val="22"/>
        </w:rPr>
        <w:t> </w:t>
      </w:r>
      <w:r>
        <w:rPr>
          <w:spacing w:val="-4"/>
          <w:sz w:val="22"/>
        </w:rPr>
        <w:t>created </w:t>
      </w:r>
      <w:r>
        <w:rPr>
          <w:sz w:val="22"/>
        </w:rPr>
        <w:t>for</w:t>
      </w:r>
      <w:r>
        <w:rPr>
          <w:spacing w:val="-14"/>
          <w:sz w:val="22"/>
        </w:rPr>
        <w:t> </w:t>
      </w:r>
      <w:r>
        <w:rPr>
          <w:sz w:val="22"/>
        </w:rPr>
        <w:t>continuing</w:t>
      </w:r>
      <w:r>
        <w:rPr>
          <w:spacing w:val="-14"/>
          <w:sz w:val="22"/>
        </w:rPr>
        <w:t> </w:t>
      </w:r>
      <w:r>
        <w:rPr>
          <w:sz w:val="22"/>
        </w:rPr>
        <w:t>education</w:t>
      </w:r>
      <w:r>
        <w:rPr>
          <w:spacing w:val="-14"/>
          <w:sz w:val="22"/>
        </w:rPr>
        <w:t> </w:t>
      </w:r>
      <w:r>
        <w:rPr>
          <w:sz w:val="22"/>
        </w:rPr>
        <w:t>using</w:t>
      </w:r>
      <w:r>
        <w:rPr>
          <w:spacing w:val="-13"/>
          <w:sz w:val="22"/>
        </w:rPr>
        <w:t> </w:t>
      </w:r>
      <w:r>
        <w:rPr>
          <w:sz w:val="22"/>
        </w:rPr>
        <w:t>the</w:t>
      </w:r>
      <w:r>
        <w:rPr>
          <w:spacing w:val="-14"/>
          <w:sz w:val="22"/>
        </w:rPr>
        <w:t> </w:t>
      </w:r>
      <w:r>
        <w:rPr>
          <w:sz w:val="22"/>
        </w:rPr>
        <w:t>distance</w:t>
      </w:r>
      <w:r>
        <w:rPr>
          <w:spacing w:val="-14"/>
          <w:sz w:val="22"/>
        </w:rPr>
        <w:t> </w:t>
      </w:r>
      <w:r>
        <w:rPr>
          <w:sz w:val="22"/>
        </w:rPr>
        <w:t>mode.</w:t>
      </w:r>
    </w:p>
    <w:p>
      <w:pPr>
        <w:pStyle w:val="Heading6"/>
        <w:numPr>
          <w:ilvl w:val="0"/>
          <w:numId w:val="27"/>
        </w:numPr>
        <w:tabs>
          <w:tab w:pos="1405" w:val="left" w:leader="none"/>
        </w:tabs>
        <w:spacing w:line="240" w:lineRule="auto" w:before="160" w:after="0"/>
        <w:ind w:left="1405" w:right="0" w:hanging="325"/>
        <w:jc w:val="left"/>
      </w:pPr>
      <w:r>
        <w:rPr>
          <w:color w:val="2E614A"/>
          <w:w w:val="90"/>
        </w:rPr>
        <w:t>Curriculum</w:t>
      </w:r>
      <w:r>
        <w:rPr>
          <w:color w:val="2E614A"/>
          <w:spacing w:val="7"/>
        </w:rPr>
        <w:t> </w:t>
      </w:r>
      <w:r>
        <w:rPr>
          <w:color w:val="2E614A"/>
          <w:spacing w:val="-2"/>
        </w:rPr>
        <w:t>Reform</w:t>
      </w:r>
    </w:p>
    <w:p>
      <w:pPr>
        <w:pStyle w:val="BodyText"/>
        <w:spacing w:line="266" w:lineRule="auto" w:before="285"/>
        <w:ind w:left="1080"/>
        <w:jc w:val="both"/>
      </w:pPr>
      <w:r>
        <w:rPr/>
        <w:t>The</w:t>
      </w:r>
      <w:r>
        <w:rPr>
          <w:spacing w:val="-14"/>
        </w:rPr>
        <w:t> </w:t>
      </w:r>
      <w:r>
        <w:rPr/>
        <w:t>current</w:t>
      </w:r>
      <w:r>
        <w:rPr>
          <w:spacing w:val="-14"/>
        </w:rPr>
        <w:t> </w:t>
      </w:r>
      <w:r>
        <w:rPr/>
        <w:t>curriculum</w:t>
      </w:r>
      <w:r>
        <w:rPr>
          <w:spacing w:val="-13"/>
        </w:rPr>
        <w:t> </w:t>
      </w:r>
      <w:r>
        <w:rPr/>
        <w:t>should</w:t>
      </w:r>
      <w:r>
        <w:rPr>
          <w:spacing w:val="-14"/>
        </w:rPr>
        <w:t> </w:t>
      </w:r>
      <w:r>
        <w:rPr/>
        <w:t>be</w:t>
      </w:r>
      <w:r>
        <w:rPr>
          <w:spacing w:val="-14"/>
        </w:rPr>
        <w:t> </w:t>
      </w:r>
      <w:r>
        <w:rPr/>
        <w:t>modified</w:t>
      </w:r>
      <w:r>
        <w:rPr>
          <w:spacing w:val="-13"/>
        </w:rPr>
        <w:t> </w:t>
      </w:r>
      <w:r>
        <w:rPr/>
        <w:t>to</w:t>
      </w:r>
      <w:r>
        <w:rPr>
          <w:spacing w:val="-14"/>
        </w:rPr>
        <w:t> </w:t>
      </w:r>
      <w:r>
        <w:rPr/>
        <w:t>provide greater flexibility, inter-disciplinary perspective and choice</w:t>
      </w:r>
      <w:r>
        <w:rPr>
          <w:spacing w:val="-14"/>
        </w:rPr>
        <w:t> </w:t>
      </w:r>
      <w:r>
        <w:rPr/>
        <w:t>of</w:t>
      </w:r>
      <w:r>
        <w:rPr>
          <w:spacing w:val="-14"/>
        </w:rPr>
        <w:t> </w:t>
      </w:r>
      <w:r>
        <w:rPr/>
        <w:t>electives.</w:t>
      </w:r>
      <w:r>
        <w:rPr>
          <w:spacing w:val="-14"/>
        </w:rPr>
        <w:t> </w:t>
      </w:r>
      <w:r>
        <w:rPr/>
        <w:t>The</w:t>
      </w:r>
      <w:r>
        <w:rPr>
          <w:spacing w:val="-13"/>
        </w:rPr>
        <w:t> </w:t>
      </w:r>
      <w:r>
        <w:rPr/>
        <w:t>focus</w:t>
      </w:r>
      <w:r>
        <w:rPr>
          <w:spacing w:val="-14"/>
        </w:rPr>
        <w:t> </w:t>
      </w:r>
      <w:r>
        <w:rPr/>
        <w:t>in</w:t>
      </w:r>
      <w:r>
        <w:rPr>
          <w:spacing w:val="-14"/>
        </w:rPr>
        <w:t> </w:t>
      </w:r>
      <w:r>
        <w:rPr/>
        <w:t>the</w:t>
      </w:r>
      <w:r>
        <w:rPr>
          <w:spacing w:val="-14"/>
        </w:rPr>
        <w:t> </w:t>
      </w:r>
      <w:r>
        <w:rPr/>
        <w:t>teaching/learning </w:t>
      </w:r>
      <w:r>
        <w:rPr>
          <w:spacing w:val="-2"/>
        </w:rPr>
        <w:t>process</w:t>
      </w:r>
      <w:r>
        <w:rPr>
          <w:spacing w:val="-14"/>
        </w:rPr>
        <w:t> </w:t>
      </w:r>
      <w:r>
        <w:rPr>
          <w:spacing w:val="-2"/>
        </w:rPr>
        <w:t>should</w:t>
      </w:r>
      <w:r>
        <w:rPr>
          <w:spacing w:val="-12"/>
        </w:rPr>
        <w:t> </w:t>
      </w:r>
      <w:r>
        <w:rPr>
          <w:spacing w:val="-2"/>
        </w:rPr>
        <w:t>be</w:t>
      </w:r>
      <w:r>
        <w:rPr>
          <w:spacing w:val="-12"/>
        </w:rPr>
        <w:t> </w:t>
      </w:r>
      <w:r>
        <w:rPr>
          <w:spacing w:val="-2"/>
        </w:rPr>
        <w:t>on</w:t>
      </w:r>
      <w:r>
        <w:rPr>
          <w:spacing w:val="-11"/>
        </w:rPr>
        <w:t> </w:t>
      </w:r>
      <w:r>
        <w:rPr>
          <w:spacing w:val="-2"/>
        </w:rPr>
        <w:t>integrating</w:t>
      </w:r>
      <w:r>
        <w:rPr>
          <w:spacing w:val="-12"/>
        </w:rPr>
        <w:t> </w:t>
      </w:r>
      <w:r>
        <w:rPr>
          <w:spacing w:val="-2"/>
        </w:rPr>
        <w:t>skills</w:t>
      </w:r>
      <w:r>
        <w:rPr>
          <w:spacing w:val="-12"/>
        </w:rPr>
        <w:t> </w:t>
      </w:r>
      <w:r>
        <w:rPr>
          <w:spacing w:val="-2"/>
        </w:rPr>
        <w:t>such</w:t>
      </w:r>
      <w:r>
        <w:rPr>
          <w:spacing w:val="-12"/>
        </w:rPr>
        <w:t> </w:t>
      </w:r>
      <w:r>
        <w:rPr>
          <w:spacing w:val="-2"/>
        </w:rPr>
        <w:t>as</w:t>
      </w:r>
      <w:r>
        <w:rPr>
          <w:spacing w:val="-11"/>
        </w:rPr>
        <w:t> </w:t>
      </w:r>
      <w:r>
        <w:rPr>
          <w:spacing w:val="-2"/>
        </w:rPr>
        <w:t>problem </w:t>
      </w:r>
      <w:r>
        <w:rPr>
          <w:spacing w:val="-5"/>
        </w:rPr>
        <w:t>solvingandlogicalreasoning,processorientation,learning</w:t>
      </w:r>
    </w:p>
    <w:p>
      <w:pPr>
        <w:pStyle w:val="BodyText"/>
        <w:spacing w:line="266" w:lineRule="auto" w:before="57"/>
        <w:ind w:left="319" w:right="1077"/>
        <w:jc w:val="both"/>
      </w:pPr>
      <w:r>
        <w:rPr/>
        <w:br w:type="column"/>
      </w:r>
      <w:r>
        <w:rPr/>
        <w:t>ability, English communication and </w:t>
      </w:r>
      <w:r>
        <w:rPr/>
        <w:t>programming fundamentals. Industry participation to discuss real life case studies should be encouraged. Laboratory </w:t>
      </w:r>
      <w:r>
        <w:rPr>
          <w:spacing w:val="-2"/>
        </w:rPr>
        <w:t>courses</w:t>
      </w:r>
      <w:r>
        <w:rPr>
          <w:spacing w:val="-14"/>
        </w:rPr>
        <w:t> </w:t>
      </w:r>
      <w:r>
        <w:rPr>
          <w:spacing w:val="-2"/>
        </w:rPr>
        <w:t>must</w:t>
      </w:r>
      <w:r>
        <w:rPr>
          <w:spacing w:val="-12"/>
        </w:rPr>
        <w:t> </w:t>
      </w:r>
      <w:r>
        <w:rPr>
          <w:spacing w:val="-2"/>
        </w:rPr>
        <w:t>be</w:t>
      </w:r>
      <w:r>
        <w:rPr>
          <w:spacing w:val="-12"/>
        </w:rPr>
        <w:t> </w:t>
      </w:r>
      <w:r>
        <w:rPr>
          <w:spacing w:val="-2"/>
        </w:rPr>
        <w:t>revamped</w:t>
      </w:r>
      <w:r>
        <w:rPr>
          <w:spacing w:val="-11"/>
        </w:rPr>
        <w:t> </w:t>
      </w:r>
      <w:r>
        <w:rPr>
          <w:spacing w:val="-2"/>
        </w:rPr>
        <w:t>to</w:t>
      </w:r>
      <w:r>
        <w:rPr>
          <w:spacing w:val="-12"/>
        </w:rPr>
        <w:t> </w:t>
      </w:r>
      <w:r>
        <w:rPr>
          <w:spacing w:val="-2"/>
        </w:rPr>
        <w:t>develop</w:t>
      </w:r>
      <w:r>
        <w:rPr>
          <w:spacing w:val="-12"/>
        </w:rPr>
        <w:t> </w:t>
      </w:r>
      <w:r>
        <w:rPr>
          <w:spacing w:val="-2"/>
        </w:rPr>
        <w:t>a</w:t>
      </w:r>
      <w:r>
        <w:rPr>
          <w:spacing w:val="-12"/>
        </w:rPr>
        <w:t> </w:t>
      </w:r>
      <w:r>
        <w:rPr>
          <w:spacing w:val="-2"/>
        </w:rPr>
        <w:t>healthy</w:t>
      </w:r>
      <w:r>
        <w:rPr>
          <w:spacing w:val="-11"/>
        </w:rPr>
        <w:t> </w:t>
      </w:r>
      <w:r>
        <w:rPr>
          <w:spacing w:val="-2"/>
        </w:rPr>
        <w:t>attitude </w:t>
      </w:r>
      <w:r>
        <w:rPr/>
        <w:t>towards experimental work. Environment must be created to encourage students to participate in co- curricular activities.</w:t>
      </w:r>
    </w:p>
    <w:p>
      <w:pPr>
        <w:pStyle w:val="BodyText"/>
      </w:pPr>
    </w:p>
    <w:p>
      <w:pPr>
        <w:pStyle w:val="Heading6"/>
        <w:numPr>
          <w:ilvl w:val="0"/>
          <w:numId w:val="27"/>
        </w:numPr>
        <w:tabs>
          <w:tab w:pos="643" w:val="left" w:leader="none"/>
          <w:tab w:pos="645" w:val="left" w:leader="none"/>
        </w:tabs>
        <w:spacing w:line="182" w:lineRule="auto" w:before="0" w:after="0"/>
        <w:ind w:left="645" w:right="2350" w:hanging="327"/>
        <w:jc w:val="left"/>
      </w:pPr>
      <w:r>
        <w:rPr>
          <w:color w:val="2E614A"/>
          <w:w w:val="90"/>
        </w:rPr>
        <w:t>Integrating Sciences </w:t>
      </w:r>
      <w:r>
        <w:rPr>
          <w:color w:val="2E614A"/>
          <w:w w:val="90"/>
        </w:rPr>
        <w:t>and </w:t>
      </w:r>
      <w:r>
        <w:rPr>
          <w:color w:val="2E614A"/>
          <w:spacing w:val="-4"/>
        </w:rPr>
        <w:t>Engineering</w:t>
      </w:r>
      <w:r>
        <w:rPr>
          <w:color w:val="2E614A"/>
          <w:spacing w:val="-16"/>
        </w:rPr>
        <w:t> </w:t>
      </w:r>
      <w:r>
        <w:rPr>
          <w:color w:val="2E614A"/>
          <w:spacing w:val="-4"/>
        </w:rPr>
        <w:t>Education</w:t>
      </w:r>
    </w:p>
    <w:p>
      <w:pPr>
        <w:pStyle w:val="BodyText"/>
        <w:spacing w:line="266" w:lineRule="auto" w:before="302"/>
        <w:ind w:left="319" w:right="1077"/>
        <w:jc w:val="both"/>
      </w:pPr>
      <w:r>
        <w:rPr/>
        <w:t>We have entered a period in history where </w:t>
      </w:r>
      <w:r>
        <w:rPr/>
        <w:t>the </w:t>
      </w:r>
      <w:r>
        <w:rPr>
          <w:spacing w:val="-4"/>
        </w:rPr>
        <w:t>distinction</w:t>
      </w:r>
      <w:r>
        <w:rPr>
          <w:spacing w:val="-10"/>
        </w:rPr>
        <w:t> </w:t>
      </w:r>
      <w:r>
        <w:rPr>
          <w:spacing w:val="-4"/>
        </w:rPr>
        <w:t>between</w:t>
      </w:r>
      <w:r>
        <w:rPr>
          <w:spacing w:val="-10"/>
        </w:rPr>
        <w:t> </w:t>
      </w:r>
      <w:r>
        <w:rPr>
          <w:spacing w:val="-4"/>
        </w:rPr>
        <w:t>sciences</w:t>
      </w:r>
      <w:r>
        <w:rPr>
          <w:spacing w:val="-10"/>
        </w:rPr>
        <w:t> </w:t>
      </w:r>
      <w:r>
        <w:rPr>
          <w:spacing w:val="-4"/>
        </w:rPr>
        <w:t>and</w:t>
      </w:r>
      <w:r>
        <w:rPr>
          <w:spacing w:val="-9"/>
        </w:rPr>
        <w:t> </w:t>
      </w:r>
      <w:r>
        <w:rPr>
          <w:spacing w:val="-4"/>
        </w:rPr>
        <w:t>engineering</w:t>
      </w:r>
      <w:r>
        <w:rPr>
          <w:spacing w:val="-10"/>
        </w:rPr>
        <w:t> </w:t>
      </w:r>
      <w:r>
        <w:rPr>
          <w:spacing w:val="-4"/>
        </w:rPr>
        <w:t>has</w:t>
      </w:r>
      <w:r>
        <w:rPr>
          <w:spacing w:val="-10"/>
        </w:rPr>
        <w:t> </w:t>
      </w:r>
      <w:r>
        <w:rPr>
          <w:spacing w:val="-4"/>
        </w:rPr>
        <w:t>all</w:t>
      </w:r>
      <w:r>
        <w:rPr>
          <w:spacing w:val="-10"/>
        </w:rPr>
        <w:t> </w:t>
      </w:r>
      <w:r>
        <w:rPr>
          <w:spacing w:val="-4"/>
        </w:rPr>
        <w:t>but </w:t>
      </w:r>
      <w:r>
        <w:rPr>
          <w:spacing w:val="-6"/>
        </w:rPr>
        <w:t>disappeared. Sciences are at the heart of engineering.</w:t>
      </w:r>
      <w:r>
        <w:rPr>
          <w:spacing w:val="-8"/>
        </w:rPr>
        <w:t> </w:t>
      </w:r>
      <w:r>
        <w:rPr>
          <w:spacing w:val="-6"/>
        </w:rPr>
        <w:t>To </w:t>
      </w:r>
      <w:r>
        <w:rPr/>
        <w:t>that</w:t>
      </w:r>
      <w:r>
        <w:rPr>
          <w:spacing w:val="-1"/>
        </w:rPr>
        <w:t> </w:t>
      </w:r>
      <w:r>
        <w:rPr/>
        <w:t>extent</w:t>
      </w:r>
      <w:r>
        <w:rPr>
          <w:spacing w:val="-1"/>
        </w:rPr>
        <w:t> </w:t>
      </w:r>
      <w:r>
        <w:rPr/>
        <w:t>there</w:t>
      </w:r>
      <w:r>
        <w:rPr>
          <w:spacing w:val="-1"/>
        </w:rPr>
        <w:t> </w:t>
      </w:r>
      <w:r>
        <w:rPr/>
        <w:t>is</w:t>
      </w:r>
      <w:r>
        <w:rPr>
          <w:spacing w:val="-1"/>
        </w:rPr>
        <w:t> </w:t>
      </w:r>
      <w:r>
        <w:rPr/>
        <w:t>no</w:t>
      </w:r>
      <w:r>
        <w:rPr>
          <w:spacing w:val="-1"/>
        </w:rPr>
        <w:t> </w:t>
      </w:r>
      <w:r>
        <w:rPr/>
        <w:t>distinction</w:t>
      </w:r>
      <w:r>
        <w:rPr>
          <w:spacing w:val="-1"/>
        </w:rPr>
        <w:t> </w:t>
      </w:r>
      <w:r>
        <w:rPr/>
        <w:t>between</w:t>
      </w:r>
      <w:r>
        <w:rPr>
          <w:spacing w:val="-1"/>
        </w:rPr>
        <w:t> </w:t>
      </w:r>
      <w:r>
        <w:rPr/>
        <w:t>the</w:t>
      </w:r>
      <w:r>
        <w:rPr>
          <w:spacing w:val="-1"/>
        </w:rPr>
        <w:t> </w:t>
      </w:r>
      <w:r>
        <w:rPr/>
        <w:t>two.</w:t>
      </w:r>
      <w:r>
        <w:rPr>
          <w:spacing w:val="-1"/>
        </w:rPr>
        <w:t> </w:t>
      </w:r>
      <w:r>
        <w:rPr/>
        <w:t>In </w:t>
      </w:r>
      <w:r>
        <w:rPr>
          <w:spacing w:val="-4"/>
        </w:rPr>
        <w:t>order</w:t>
      </w:r>
      <w:r>
        <w:rPr>
          <w:spacing w:val="-6"/>
        </w:rPr>
        <w:t> </w:t>
      </w:r>
      <w:r>
        <w:rPr>
          <w:spacing w:val="-4"/>
        </w:rPr>
        <w:t>to</w:t>
      </w:r>
      <w:r>
        <w:rPr>
          <w:spacing w:val="-6"/>
        </w:rPr>
        <w:t> </w:t>
      </w:r>
      <w:r>
        <w:rPr>
          <w:spacing w:val="-4"/>
        </w:rPr>
        <w:t>reduce</w:t>
      </w:r>
      <w:r>
        <w:rPr>
          <w:spacing w:val="-6"/>
        </w:rPr>
        <w:t> </w:t>
      </w:r>
      <w:r>
        <w:rPr>
          <w:spacing w:val="-4"/>
        </w:rPr>
        <w:t>the</w:t>
      </w:r>
      <w:r>
        <w:rPr>
          <w:spacing w:val="-6"/>
        </w:rPr>
        <w:t> </w:t>
      </w:r>
      <w:r>
        <w:rPr>
          <w:spacing w:val="-4"/>
        </w:rPr>
        <w:t>perceived</w:t>
      </w:r>
      <w:r>
        <w:rPr>
          <w:spacing w:val="-6"/>
        </w:rPr>
        <w:t> </w:t>
      </w:r>
      <w:r>
        <w:rPr>
          <w:spacing w:val="-4"/>
        </w:rPr>
        <w:t>gap</w:t>
      </w:r>
      <w:r>
        <w:rPr>
          <w:spacing w:val="-6"/>
        </w:rPr>
        <w:t> </w:t>
      </w:r>
      <w:r>
        <w:rPr>
          <w:spacing w:val="-4"/>
        </w:rPr>
        <w:t>between</w:t>
      </w:r>
      <w:r>
        <w:rPr>
          <w:spacing w:val="-6"/>
        </w:rPr>
        <w:t> </w:t>
      </w:r>
      <w:r>
        <w:rPr>
          <w:spacing w:val="-4"/>
        </w:rPr>
        <w:t>sciences</w:t>
      </w:r>
      <w:r>
        <w:rPr>
          <w:spacing w:val="-6"/>
        </w:rPr>
        <w:t> </w:t>
      </w:r>
      <w:r>
        <w:rPr>
          <w:spacing w:val="-4"/>
        </w:rPr>
        <w:t>and </w:t>
      </w:r>
      <w:r>
        <w:rPr/>
        <w:t>engineering,</w:t>
      </w:r>
      <w:r>
        <w:rPr>
          <w:spacing w:val="-14"/>
        </w:rPr>
        <w:t> </w:t>
      </w:r>
      <w:r>
        <w:rPr/>
        <w:t>we</w:t>
      </w:r>
      <w:r>
        <w:rPr>
          <w:spacing w:val="-13"/>
        </w:rPr>
        <w:t> </w:t>
      </w:r>
      <w:r>
        <w:rPr/>
        <w:t>need</w:t>
      </w:r>
      <w:r>
        <w:rPr>
          <w:spacing w:val="-14"/>
        </w:rPr>
        <w:t> </w:t>
      </w:r>
      <w:r>
        <w:rPr/>
        <w:t>to</w:t>
      </w:r>
      <w:r>
        <w:rPr>
          <w:spacing w:val="-13"/>
        </w:rPr>
        <w:t> </w:t>
      </w:r>
      <w:r>
        <w:rPr/>
        <w:t>create</w:t>
      </w:r>
      <w:r>
        <w:rPr>
          <w:spacing w:val="-14"/>
        </w:rPr>
        <w:t> </w:t>
      </w:r>
      <w:r>
        <w:rPr/>
        <w:t>mechanisms</w:t>
      </w:r>
      <w:r>
        <w:rPr>
          <w:spacing w:val="-13"/>
        </w:rPr>
        <w:t> </w:t>
      </w:r>
      <w:r>
        <w:rPr/>
        <w:t>that</w:t>
      </w:r>
      <w:r>
        <w:rPr>
          <w:spacing w:val="-14"/>
        </w:rPr>
        <w:t> </w:t>
      </w:r>
      <w:r>
        <w:rPr/>
        <w:t>allow </w:t>
      </w:r>
      <w:r>
        <w:rPr>
          <w:spacing w:val="-2"/>
        </w:rPr>
        <w:t>mobility</w:t>
      </w:r>
      <w:r>
        <w:rPr>
          <w:spacing w:val="-14"/>
        </w:rPr>
        <w:t> </w:t>
      </w:r>
      <w:r>
        <w:rPr>
          <w:spacing w:val="-2"/>
        </w:rPr>
        <w:t>between</w:t>
      </w:r>
      <w:r>
        <w:rPr>
          <w:spacing w:val="-12"/>
        </w:rPr>
        <w:t> </w:t>
      </w:r>
      <w:r>
        <w:rPr>
          <w:spacing w:val="-2"/>
        </w:rPr>
        <w:t>the</w:t>
      </w:r>
      <w:r>
        <w:rPr>
          <w:spacing w:val="-12"/>
        </w:rPr>
        <w:t> </w:t>
      </w:r>
      <w:r>
        <w:rPr>
          <w:spacing w:val="-2"/>
        </w:rPr>
        <w:t>two</w:t>
      </w:r>
      <w:r>
        <w:rPr>
          <w:spacing w:val="-11"/>
        </w:rPr>
        <w:t> </w:t>
      </w:r>
      <w:r>
        <w:rPr>
          <w:spacing w:val="-2"/>
        </w:rPr>
        <w:t>streams.</w:t>
      </w:r>
      <w:r>
        <w:rPr>
          <w:spacing w:val="-12"/>
        </w:rPr>
        <w:t> </w:t>
      </w:r>
      <w:r>
        <w:rPr>
          <w:spacing w:val="-2"/>
        </w:rPr>
        <w:t>One</w:t>
      </w:r>
      <w:r>
        <w:rPr>
          <w:spacing w:val="-12"/>
        </w:rPr>
        <w:t> </w:t>
      </w:r>
      <w:r>
        <w:rPr>
          <w:spacing w:val="-2"/>
        </w:rPr>
        <w:t>option</w:t>
      </w:r>
      <w:r>
        <w:rPr>
          <w:spacing w:val="-12"/>
        </w:rPr>
        <w:t> </w:t>
      </w:r>
      <w:r>
        <w:rPr>
          <w:spacing w:val="-2"/>
        </w:rPr>
        <w:t>could</w:t>
      </w:r>
      <w:r>
        <w:rPr>
          <w:spacing w:val="-11"/>
        </w:rPr>
        <w:t> </w:t>
      </w:r>
      <w:r>
        <w:rPr>
          <w:spacing w:val="-2"/>
        </w:rPr>
        <w:t>be </w:t>
      </w:r>
      <w:r>
        <w:rPr/>
        <w:t>to</w:t>
      </w:r>
      <w:r>
        <w:rPr>
          <w:spacing w:val="-10"/>
        </w:rPr>
        <w:t> </w:t>
      </w:r>
      <w:r>
        <w:rPr/>
        <w:t>start</w:t>
      </w:r>
      <w:r>
        <w:rPr>
          <w:spacing w:val="-10"/>
        </w:rPr>
        <w:t> </w:t>
      </w:r>
      <w:r>
        <w:rPr/>
        <w:t>four</w:t>
      </w:r>
      <w:r>
        <w:rPr>
          <w:spacing w:val="-10"/>
        </w:rPr>
        <w:t> </w:t>
      </w:r>
      <w:r>
        <w:rPr/>
        <w:t>year</w:t>
      </w:r>
      <w:r>
        <w:rPr>
          <w:spacing w:val="-10"/>
        </w:rPr>
        <w:t> </w:t>
      </w:r>
      <w:r>
        <w:rPr/>
        <w:t>undergraduate</w:t>
      </w:r>
      <w:r>
        <w:rPr>
          <w:spacing w:val="-10"/>
        </w:rPr>
        <w:t> </w:t>
      </w:r>
      <w:r>
        <w:rPr/>
        <w:t>programs</w:t>
      </w:r>
      <w:r>
        <w:rPr>
          <w:spacing w:val="-10"/>
        </w:rPr>
        <w:t> </w:t>
      </w:r>
      <w:r>
        <w:rPr/>
        <w:t>in</w:t>
      </w:r>
      <w:r>
        <w:rPr>
          <w:spacing w:val="-10"/>
        </w:rPr>
        <w:t> </w:t>
      </w:r>
      <w:r>
        <w:rPr/>
        <w:t>sciences, initially</w:t>
      </w:r>
      <w:r>
        <w:rPr>
          <w:spacing w:val="-6"/>
        </w:rPr>
        <w:t> </w:t>
      </w:r>
      <w:r>
        <w:rPr/>
        <w:t>in</w:t>
      </w:r>
      <w:r>
        <w:rPr>
          <w:spacing w:val="-6"/>
        </w:rPr>
        <w:t> </w:t>
      </w:r>
      <w:r>
        <w:rPr/>
        <w:t>institutes</w:t>
      </w:r>
      <w:r>
        <w:rPr>
          <w:spacing w:val="-6"/>
        </w:rPr>
        <w:t> </w:t>
      </w:r>
      <w:r>
        <w:rPr/>
        <w:t>of</w:t>
      </w:r>
      <w:r>
        <w:rPr>
          <w:spacing w:val="-6"/>
        </w:rPr>
        <w:t> </w:t>
      </w:r>
      <w:r>
        <w:rPr/>
        <w:t>excellence</w:t>
      </w:r>
      <w:r>
        <w:rPr>
          <w:spacing w:val="-6"/>
        </w:rPr>
        <w:t> </w:t>
      </w:r>
      <w:r>
        <w:rPr/>
        <w:t>where</w:t>
      </w:r>
      <w:r>
        <w:rPr>
          <w:spacing w:val="-6"/>
        </w:rPr>
        <w:t> </w:t>
      </w:r>
      <w:r>
        <w:rPr/>
        <w:t>facilities</w:t>
      </w:r>
      <w:r>
        <w:rPr>
          <w:spacing w:val="-6"/>
        </w:rPr>
        <w:t> </w:t>
      </w:r>
      <w:r>
        <w:rPr/>
        <w:t>for science programs already exist. This would enable </w:t>
      </w:r>
      <w:r>
        <w:rPr>
          <w:spacing w:val="-2"/>
        </w:rPr>
        <w:t>pursuing</w:t>
      </w:r>
      <w:r>
        <w:rPr>
          <w:spacing w:val="-12"/>
        </w:rPr>
        <w:t> </w:t>
      </w:r>
      <w:r>
        <w:rPr>
          <w:spacing w:val="-2"/>
        </w:rPr>
        <w:t>doctoral</w:t>
      </w:r>
      <w:r>
        <w:rPr>
          <w:spacing w:val="-11"/>
        </w:rPr>
        <w:t> </w:t>
      </w:r>
      <w:r>
        <w:rPr>
          <w:spacing w:val="-2"/>
        </w:rPr>
        <w:t>programs</w:t>
      </w:r>
      <w:r>
        <w:rPr>
          <w:spacing w:val="-12"/>
        </w:rPr>
        <w:t> </w:t>
      </w:r>
      <w:r>
        <w:rPr>
          <w:spacing w:val="-2"/>
        </w:rPr>
        <w:t>in</w:t>
      </w:r>
      <w:r>
        <w:rPr>
          <w:spacing w:val="-11"/>
        </w:rPr>
        <w:t> </w:t>
      </w:r>
      <w:r>
        <w:rPr>
          <w:spacing w:val="-2"/>
        </w:rPr>
        <w:t>science</w:t>
      </w:r>
      <w:r>
        <w:rPr>
          <w:spacing w:val="-12"/>
        </w:rPr>
        <w:t> </w:t>
      </w:r>
      <w:r>
        <w:rPr>
          <w:spacing w:val="-2"/>
        </w:rPr>
        <w:t>and</w:t>
      </w:r>
      <w:r>
        <w:rPr>
          <w:spacing w:val="-11"/>
        </w:rPr>
        <w:t> </w:t>
      </w:r>
      <w:r>
        <w:rPr>
          <w:spacing w:val="-2"/>
        </w:rPr>
        <w:t>technology, </w:t>
      </w:r>
      <w:r>
        <w:rPr/>
        <w:t>without a Master’s degree.</w:t>
      </w:r>
    </w:p>
    <w:p>
      <w:pPr>
        <w:pStyle w:val="Heading6"/>
        <w:numPr>
          <w:ilvl w:val="0"/>
          <w:numId w:val="27"/>
        </w:numPr>
        <w:tabs>
          <w:tab w:pos="644" w:val="left" w:leader="none"/>
        </w:tabs>
        <w:spacing w:line="240" w:lineRule="auto" w:before="177" w:after="0"/>
        <w:ind w:left="644" w:right="0" w:hanging="325"/>
        <w:jc w:val="left"/>
      </w:pPr>
      <w:r>
        <w:rPr>
          <w:color w:val="2E614A"/>
          <w:w w:val="90"/>
        </w:rPr>
        <w:t>Encouraging</w:t>
      </w:r>
      <w:r>
        <w:rPr>
          <w:color w:val="2E614A"/>
          <w:spacing w:val="5"/>
        </w:rPr>
        <w:t> </w:t>
      </w:r>
      <w:r>
        <w:rPr>
          <w:color w:val="2E614A"/>
          <w:spacing w:val="-2"/>
        </w:rPr>
        <w:t>Research</w:t>
      </w:r>
    </w:p>
    <w:p>
      <w:pPr>
        <w:pStyle w:val="BodyText"/>
        <w:spacing w:line="266" w:lineRule="auto" w:before="286"/>
        <w:ind w:left="319" w:right="1077"/>
        <w:jc w:val="both"/>
      </w:pPr>
      <w:r>
        <w:rPr>
          <w:spacing w:val="-2"/>
        </w:rPr>
        <w:t>Several</w:t>
      </w:r>
      <w:r>
        <w:rPr>
          <w:spacing w:val="-12"/>
        </w:rPr>
        <w:t> </w:t>
      </w:r>
      <w:r>
        <w:rPr>
          <w:spacing w:val="-2"/>
        </w:rPr>
        <w:t>initiatives</w:t>
      </w:r>
      <w:r>
        <w:rPr>
          <w:spacing w:val="-12"/>
        </w:rPr>
        <w:t> </w:t>
      </w:r>
      <w:r>
        <w:rPr>
          <w:spacing w:val="-2"/>
        </w:rPr>
        <w:t>are</w:t>
      </w:r>
      <w:r>
        <w:rPr>
          <w:spacing w:val="-12"/>
        </w:rPr>
        <w:t> </w:t>
      </w:r>
      <w:r>
        <w:rPr>
          <w:spacing w:val="-2"/>
        </w:rPr>
        <w:t>necessary</w:t>
      </w:r>
      <w:r>
        <w:rPr>
          <w:spacing w:val="-11"/>
        </w:rPr>
        <w:t> </w:t>
      </w:r>
      <w:r>
        <w:rPr>
          <w:spacing w:val="-2"/>
        </w:rPr>
        <w:t>to</w:t>
      </w:r>
      <w:r>
        <w:rPr>
          <w:spacing w:val="-12"/>
        </w:rPr>
        <w:t> </w:t>
      </w:r>
      <w:r>
        <w:rPr>
          <w:spacing w:val="-2"/>
        </w:rPr>
        <w:t>promote</w:t>
      </w:r>
      <w:r>
        <w:rPr>
          <w:spacing w:val="-12"/>
        </w:rPr>
        <w:t> </w:t>
      </w:r>
      <w:r>
        <w:rPr>
          <w:spacing w:val="-2"/>
        </w:rPr>
        <w:t>research</w:t>
      </w:r>
      <w:r>
        <w:rPr>
          <w:spacing w:val="-12"/>
        </w:rPr>
        <w:t> </w:t>
      </w:r>
      <w:r>
        <w:rPr>
          <w:spacing w:val="-2"/>
        </w:rPr>
        <w:t>in </w:t>
      </w:r>
      <w:r>
        <w:rPr/>
        <w:t>engineering disciplines:</w:t>
      </w:r>
    </w:p>
    <w:p>
      <w:pPr>
        <w:pStyle w:val="ListParagraph"/>
        <w:numPr>
          <w:ilvl w:val="0"/>
          <w:numId w:val="29"/>
        </w:numPr>
        <w:tabs>
          <w:tab w:pos="679" w:val="left" w:leader="none"/>
        </w:tabs>
        <w:spacing w:line="266" w:lineRule="auto" w:before="0" w:after="0"/>
        <w:ind w:left="679" w:right="1077" w:hanging="360"/>
        <w:jc w:val="both"/>
        <w:rPr>
          <w:sz w:val="22"/>
        </w:rPr>
      </w:pPr>
      <w:r>
        <w:rPr>
          <w:sz w:val="22"/>
        </w:rPr>
        <w:t>Vibrant and well funded Ph.D programs with opportunities for international exposure </w:t>
      </w:r>
      <w:r>
        <w:rPr>
          <w:sz w:val="22"/>
        </w:rPr>
        <w:t>should be rolled out to attract students who currently go abroad for Ph.Ds.</w:t>
      </w:r>
    </w:p>
    <w:p>
      <w:pPr>
        <w:pStyle w:val="ListParagraph"/>
        <w:numPr>
          <w:ilvl w:val="0"/>
          <w:numId w:val="29"/>
        </w:numPr>
        <w:tabs>
          <w:tab w:pos="679" w:val="left" w:leader="none"/>
        </w:tabs>
        <w:spacing w:line="266" w:lineRule="auto" w:before="0" w:after="0"/>
        <w:ind w:left="679" w:right="1077" w:hanging="360"/>
        <w:jc w:val="both"/>
        <w:rPr>
          <w:sz w:val="22"/>
        </w:rPr>
      </w:pPr>
      <w:r>
        <w:rPr>
          <w:sz w:val="22"/>
        </w:rPr>
        <w:t>The</w:t>
      </w:r>
      <w:r>
        <w:rPr>
          <w:spacing w:val="-14"/>
          <w:sz w:val="22"/>
        </w:rPr>
        <w:t> </w:t>
      </w:r>
      <w:r>
        <w:rPr>
          <w:sz w:val="22"/>
        </w:rPr>
        <w:t>new</w:t>
      </w:r>
      <w:r>
        <w:rPr>
          <w:spacing w:val="-14"/>
          <w:sz w:val="22"/>
        </w:rPr>
        <w:t> </w:t>
      </w:r>
      <w:r>
        <w:rPr>
          <w:sz w:val="22"/>
        </w:rPr>
        <w:t>academic</w:t>
      </w:r>
      <w:r>
        <w:rPr>
          <w:spacing w:val="-14"/>
          <w:sz w:val="22"/>
        </w:rPr>
        <w:t> </w:t>
      </w:r>
      <w:r>
        <w:rPr>
          <w:sz w:val="22"/>
        </w:rPr>
        <w:t>and</w:t>
      </w:r>
      <w:r>
        <w:rPr>
          <w:spacing w:val="-13"/>
          <w:sz w:val="22"/>
        </w:rPr>
        <w:t> </w:t>
      </w:r>
      <w:r>
        <w:rPr>
          <w:sz w:val="22"/>
        </w:rPr>
        <w:t>research</w:t>
      </w:r>
      <w:r>
        <w:rPr>
          <w:spacing w:val="-14"/>
          <w:sz w:val="22"/>
        </w:rPr>
        <w:t> </w:t>
      </w:r>
      <w:r>
        <w:rPr>
          <w:sz w:val="22"/>
        </w:rPr>
        <w:t>institutions</w:t>
      </w:r>
      <w:r>
        <w:rPr>
          <w:spacing w:val="-14"/>
          <w:sz w:val="22"/>
        </w:rPr>
        <w:t> </w:t>
      </w:r>
      <w:r>
        <w:rPr>
          <w:sz w:val="22"/>
        </w:rPr>
        <w:t>being established should be so located that they can optimise</w:t>
      </w:r>
      <w:r>
        <w:rPr>
          <w:spacing w:val="-14"/>
          <w:sz w:val="22"/>
        </w:rPr>
        <w:t> </w:t>
      </w:r>
      <w:r>
        <w:rPr>
          <w:sz w:val="22"/>
        </w:rPr>
        <w:t>mutual</w:t>
      </w:r>
      <w:r>
        <w:rPr>
          <w:spacing w:val="-14"/>
          <w:sz w:val="22"/>
        </w:rPr>
        <w:t> </w:t>
      </w:r>
      <w:r>
        <w:rPr>
          <w:sz w:val="22"/>
        </w:rPr>
        <w:t>collaboration.</w:t>
      </w:r>
      <w:r>
        <w:rPr>
          <w:spacing w:val="-14"/>
          <w:sz w:val="22"/>
        </w:rPr>
        <w:t> </w:t>
      </w:r>
      <w:r>
        <w:rPr>
          <w:sz w:val="22"/>
        </w:rPr>
        <w:t>Likewise,</w:t>
      </w:r>
      <w:r>
        <w:rPr>
          <w:spacing w:val="-13"/>
          <w:sz w:val="22"/>
        </w:rPr>
        <w:t> </w:t>
      </w:r>
      <w:r>
        <w:rPr>
          <w:sz w:val="22"/>
        </w:rPr>
        <w:t>existing </w:t>
      </w:r>
      <w:r>
        <w:rPr>
          <w:spacing w:val="-6"/>
          <w:sz w:val="22"/>
        </w:rPr>
        <w:t>academic institutions with active research programs </w:t>
      </w:r>
      <w:r>
        <w:rPr>
          <w:sz w:val="22"/>
        </w:rPr>
        <w:t>should</w:t>
      </w:r>
      <w:r>
        <w:rPr>
          <w:spacing w:val="-7"/>
          <w:sz w:val="22"/>
        </w:rPr>
        <w:t> </w:t>
      </w:r>
      <w:r>
        <w:rPr>
          <w:sz w:val="22"/>
        </w:rPr>
        <w:t>be</w:t>
      </w:r>
      <w:r>
        <w:rPr>
          <w:spacing w:val="-7"/>
          <w:sz w:val="22"/>
        </w:rPr>
        <w:t> </w:t>
      </w:r>
      <w:r>
        <w:rPr>
          <w:sz w:val="22"/>
        </w:rPr>
        <w:t>supported</w:t>
      </w:r>
      <w:r>
        <w:rPr>
          <w:spacing w:val="-7"/>
          <w:sz w:val="22"/>
        </w:rPr>
        <w:t> </w:t>
      </w:r>
      <w:r>
        <w:rPr>
          <w:sz w:val="22"/>
        </w:rPr>
        <w:t>to</w:t>
      </w:r>
      <w:r>
        <w:rPr>
          <w:spacing w:val="-7"/>
          <w:sz w:val="22"/>
        </w:rPr>
        <w:t> </w:t>
      </w:r>
      <w:r>
        <w:rPr>
          <w:sz w:val="22"/>
        </w:rPr>
        <w:t>set</w:t>
      </w:r>
      <w:r>
        <w:rPr>
          <w:spacing w:val="-7"/>
          <w:sz w:val="22"/>
        </w:rPr>
        <w:t> </w:t>
      </w:r>
      <w:r>
        <w:rPr>
          <w:sz w:val="22"/>
        </w:rPr>
        <w:t>up</w:t>
      </w:r>
      <w:r>
        <w:rPr>
          <w:spacing w:val="-7"/>
          <w:sz w:val="22"/>
        </w:rPr>
        <w:t> </w:t>
      </w:r>
      <w:r>
        <w:rPr>
          <w:sz w:val="22"/>
        </w:rPr>
        <w:t>high-tech</w:t>
      </w:r>
      <w:r>
        <w:rPr>
          <w:spacing w:val="-7"/>
          <w:sz w:val="22"/>
        </w:rPr>
        <w:t> </w:t>
      </w:r>
      <w:r>
        <w:rPr>
          <w:sz w:val="22"/>
        </w:rPr>
        <w:t>industrial research</w:t>
      </w:r>
      <w:r>
        <w:rPr>
          <w:spacing w:val="-5"/>
          <w:sz w:val="22"/>
        </w:rPr>
        <w:t> </w:t>
      </w:r>
      <w:r>
        <w:rPr>
          <w:sz w:val="22"/>
        </w:rPr>
        <w:t>parks</w:t>
      </w:r>
      <w:r>
        <w:rPr>
          <w:spacing w:val="-5"/>
          <w:sz w:val="22"/>
        </w:rPr>
        <w:t> </w:t>
      </w:r>
      <w:r>
        <w:rPr>
          <w:sz w:val="22"/>
        </w:rPr>
        <w:t>in</w:t>
      </w:r>
      <w:r>
        <w:rPr>
          <w:spacing w:val="-5"/>
          <w:sz w:val="22"/>
        </w:rPr>
        <w:t> </w:t>
      </w:r>
      <w:r>
        <w:rPr>
          <w:sz w:val="22"/>
        </w:rPr>
        <w:t>the</w:t>
      </w:r>
      <w:r>
        <w:rPr>
          <w:spacing w:val="-5"/>
          <w:sz w:val="22"/>
        </w:rPr>
        <w:t> </w:t>
      </w:r>
      <w:r>
        <w:rPr>
          <w:sz w:val="22"/>
        </w:rPr>
        <w:t>vicinity</w:t>
      </w:r>
      <w:r>
        <w:rPr>
          <w:spacing w:val="-5"/>
          <w:sz w:val="22"/>
        </w:rPr>
        <w:t> </w:t>
      </w:r>
      <w:r>
        <w:rPr>
          <w:sz w:val="22"/>
        </w:rPr>
        <w:t>of</w:t>
      </w:r>
      <w:r>
        <w:rPr>
          <w:spacing w:val="-5"/>
          <w:sz w:val="22"/>
        </w:rPr>
        <w:t> </w:t>
      </w:r>
      <w:r>
        <w:rPr>
          <w:sz w:val="22"/>
        </w:rPr>
        <w:t>their</w:t>
      </w:r>
      <w:r>
        <w:rPr>
          <w:spacing w:val="-5"/>
          <w:sz w:val="22"/>
        </w:rPr>
        <w:t> </w:t>
      </w:r>
      <w:r>
        <w:rPr>
          <w:sz w:val="22"/>
        </w:rPr>
        <w:t>campuses.</w:t>
      </w:r>
    </w:p>
    <w:p>
      <w:pPr>
        <w:pStyle w:val="ListParagraph"/>
        <w:numPr>
          <w:ilvl w:val="0"/>
          <w:numId w:val="29"/>
        </w:numPr>
        <w:tabs>
          <w:tab w:pos="679" w:val="left" w:leader="none"/>
        </w:tabs>
        <w:spacing w:line="266" w:lineRule="auto" w:before="0" w:after="0"/>
        <w:ind w:left="679" w:right="1077" w:hanging="360"/>
        <w:jc w:val="both"/>
        <w:rPr>
          <w:sz w:val="22"/>
        </w:rPr>
      </w:pPr>
      <w:r>
        <w:rPr>
          <w:sz w:val="22"/>
        </w:rPr>
        <w:t>Universities must become the hub of </w:t>
      </w:r>
      <w:r>
        <w:rPr>
          <w:sz w:val="22"/>
        </w:rPr>
        <w:t>research once</w:t>
      </w:r>
      <w:r>
        <w:rPr>
          <w:spacing w:val="-9"/>
          <w:sz w:val="22"/>
        </w:rPr>
        <w:t> </w:t>
      </w:r>
      <w:r>
        <w:rPr>
          <w:sz w:val="22"/>
        </w:rPr>
        <w:t>again</w:t>
      </w:r>
      <w:r>
        <w:rPr>
          <w:spacing w:val="-9"/>
          <w:sz w:val="22"/>
        </w:rPr>
        <w:t> </w:t>
      </w:r>
      <w:r>
        <w:rPr>
          <w:sz w:val="22"/>
        </w:rPr>
        <w:t>to</w:t>
      </w:r>
      <w:r>
        <w:rPr>
          <w:spacing w:val="-9"/>
          <w:sz w:val="22"/>
        </w:rPr>
        <w:t> </w:t>
      </w:r>
      <w:r>
        <w:rPr>
          <w:sz w:val="22"/>
        </w:rPr>
        <w:t>capture</w:t>
      </w:r>
      <w:r>
        <w:rPr>
          <w:spacing w:val="-9"/>
          <w:sz w:val="22"/>
        </w:rPr>
        <w:t> </w:t>
      </w:r>
      <w:r>
        <w:rPr>
          <w:sz w:val="22"/>
        </w:rPr>
        <w:t>synergies</w:t>
      </w:r>
      <w:r>
        <w:rPr>
          <w:spacing w:val="-9"/>
          <w:sz w:val="22"/>
        </w:rPr>
        <w:t> </w:t>
      </w:r>
      <w:r>
        <w:rPr>
          <w:sz w:val="22"/>
        </w:rPr>
        <w:t>between</w:t>
      </w:r>
      <w:r>
        <w:rPr>
          <w:spacing w:val="-9"/>
          <w:sz w:val="22"/>
        </w:rPr>
        <w:t> </w:t>
      </w:r>
      <w:r>
        <w:rPr>
          <w:sz w:val="22"/>
        </w:rPr>
        <w:t>teaching </w:t>
      </w:r>
      <w:r>
        <w:rPr>
          <w:spacing w:val="-2"/>
          <w:sz w:val="22"/>
        </w:rPr>
        <w:t>and</w:t>
      </w:r>
      <w:r>
        <w:rPr>
          <w:spacing w:val="-12"/>
          <w:sz w:val="22"/>
        </w:rPr>
        <w:t> </w:t>
      </w:r>
      <w:r>
        <w:rPr>
          <w:spacing w:val="-2"/>
          <w:sz w:val="22"/>
        </w:rPr>
        <w:t>research.</w:t>
      </w:r>
      <w:r>
        <w:rPr>
          <w:spacing w:val="-12"/>
          <w:sz w:val="22"/>
        </w:rPr>
        <w:t> </w:t>
      </w:r>
      <w:r>
        <w:rPr>
          <w:spacing w:val="-2"/>
          <w:sz w:val="22"/>
        </w:rPr>
        <w:t>This</w:t>
      </w:r>
      <w:r>
        <w:rPr>
          <w:spacing w:val="-12"/>
          <w:sz w:val="22"/>
        </w:rPr>
        <w:t> </w:t>
      </w:r>
      <w:r>
        <w:rPr>
          <w:spacing w:val="-2"/>
          <w:sz w:val="22"/>
        </w:rPr>
        <w:t>will</w:t>
      </w:r>
      <w:r>
        <w:rPr>
          <w:spacing w:val="-11"/>
          <w:sz w:val="22"/>
        </w:rPr>
        <w:t> </w:t>
      </w:r>
      <w:r>
        <w:rPr>
          <w:spacing w:val="-2"/>
          <w:sz w:val="22"/>
        </w:rPr>
        <w:t>require</w:t>
      </w:r>
      <w:r>
        <w:rPr>
          <w:spacing w:val="-12"/>
          <w:sz w:val="22"/>
        </w:rPr>
        <w:t> </w:t>
      </w:r>
      <w:r>
        <w:rPr>
          <w:spacing w:val="-2"/>
          <w:sz w:val="22"/>
        </w:rPr>
        <w:t>changes</w:t>
      </w:r>
      <w:r>
        <w:rPr>
          <w:spacing w:val="-12"/>
          <w:sz w:val="22"/>
        </w:rPr>
        <w:t> </w:t>
      </w:r>
      <w:r>
        <w:rPr>
          <w:spacing w:val="-2"/>
          <w:sz w:val="22"/>
        </w:rPr>
        <w:t>in</w:t>
      </w:r>
      <w:r>
        <w:rPr>
          <w:spacing w:val="-12"/>
          <w:sz w:val="22"/>
        </w:rPr>
        <w:t> </w:t>
      </w:r>
      <w:r>
        <w:rPr>
          <w:spacing w:val="-2"/>
          <w:sz w:val="22"/>
        </w:rPr>
        <w:t>resource </w:t>
      </w:r>
      <w:r>
        <w:rPr>
          <w:sz w:val="22"/>
        </w:rPr>
        <w:t>allocation,</w:t>
      </w:r>
      <w:r>
        <w:rPr>
          <w:spacing w:val="-2"/>
          <w:sz w:val="22"/>
        </w:rPr>
        <w:t> </w:t>
      </w:r>
      <w:r>
        <w:rPr>
          <w:sz w:val="22"/>
        </w:rPr>
        <w:t>reward</w:t>
      </w:r>
      <w:r>
        <w:rPr>
          <w:spacing w:val="-2"/>
          <w:sz w:val="22"/>
        </w:rPr>
        <w:t> </w:t>
      </w:r>
      <w:r>
        <w:rPr>
          <w:sz w:val="22"/>
        </w:rPr>
        <w:t>systems</w:t>
      </w:r>
      <w:r>
        <w:rPr>
          <w:spacing w:val="-2"/>
          <w:sz w:val="22"/>
        </w:rPr>
        <w:t> </w:t>
      </w:r>
      <w:r>
        <w:rPr>
          <w:sz w:val="22"/>
        </w:rPr>
        <w:t>and</w:t>
      </w:r>
      <w:r>
        <w:rPr>
          <w:spacing w:val="-2"/>
          <w:sz w:val="22"/>
        </w:rPr>
        <w:t> </w:t>
      </w:r>
      <w:r>
        <w:rPr>
          <w:sz w:val="22"/>
        </w:rPr>
        <w:t>mindsets.</w:t>
      </w:r>
    </w:p>
    <w:p>
      <w:pPr>
        <w:pStyle w:val="Heading6"/>
        <w:numPr>
          <w:ilvl w:val="0"/>
          <w:numId w:val="27"/>
        </w:numPr>
        <w:tabs>
          <w:tab w:pos="644" w:val="left" w:leader="none"/>
        </w:tabs>
        <w:spacing w:line="240" w:lineRule="auto" w:before="173" w:after="0"/>
        <w:ind w:left="644" w:right="0" w:hanging="325"/>
        <w:jc w:val="left"/>
      </w:pPr>
      <w:r>
        <w:rPr>
          <w:color w:val="2E614A"/>
          <w:w w:val="90"/>
        </w:rPr>
        <w:t>Industry-Academia</w:t>
      </w:r>
      <w:r>
        <w:rPr>
          <w:color w:val="2E614A"/>
          <w:spacing w:val="2"/>
        </w:rPr>
        <w:t> </w:t>
      </w:r>
      <w:r>
        <w:rPr>
          <w:color w:val="2E614A"/>
          <w:spacing w:val="-2"/>
          <w:w w:val="90"/>
        </w:rPr>
        <w:t>Interaction</w:t>
      </w:r>
    </w:p>
    <w:p>
      <w:pPr>
        <w:pStyle w:val="BodyText"/>
        <w:spacing w:line="266" w:lineRule="auto" w:before="286"/>
        <w:ind w:left="319" w:right="1077"/>
        <w:jc w:val="both"/>
      </w:pPr>
      <w:r>
        <w:rPr/>
        <w:t>In order to attain greater alignment of </w:t>
      </w:r>
      <w:r>
        <w:rPr/>
        <w:t>engineering education with employment opportunities, frequent </w:t>
      </w:r>
      <w:r>
        <w:rPr>
          <w:spacing w:val="-8"/>
        </w:rPr>
        <w:t>dialogue</w:t>
      </w:r>
      <w:r>
        <w:rPr/>
        <w:t> </w:t>
      </w:r>
      <w:r>
        <w:rPr>
          <w:spacing w:val="-8"/>
        </w:rPr>
        <w:t>with</w:t>
      </w:r>
      <w:r>
        <w:rPr/>
        <w:t> </w:t>
      </w:r>
      <w:r>
        <w:rPr>
          <w:spacing w:val="-8"/>
        </w:rPr>
        <w:t>industry</w:t>
      </w:r>
      <w:r>
        <w:rPr/>
        <w:t> </w:t>
      </w:r>
      <w:r>
        <w:rPr>
          <w:spacing w:val="-8"/>
        </w:rPr>
        <w:t>and</w:t>
      </w:r>
      <w:r>
        <w:rPr/>
        <w:t> </w:t>
      </w:r>
      <w:r>
        <w:rPr>
          <w:spacing w:val="-8"/>
        </w:rPr>
        <w:t>government</w:t>
      </w:r>
      <w:r>
        <w:rPr/>
        <w:t> </w:t>
      </w:r>
      <w:r>
        <w:rPr>
          <w:spacing w:val="-8"/>
        </w:rPr>
        <w:t>through</w:t>
      </w:r>
      <w:r>
        <w:rPr/>
        <w:t> </w:t>
      </w:r>
      <w:r>
        <w:rPr>
          <w:spacing w:val="-8"/>
        </w:rPr>
        <w:t>seminars </w:t>
      </w:r>
      <w:r>
        <w:rPr>
          <w:spacing w:val="-4"/>
        </w:rPr>
        <w:t>and</w:t>
      </w:r>
      <w:r>
        <w:rPr>
          <w:spacing w:val="-10"/>
        </w:rPr>
        <w:t> </w:t>
      </w:r>
      <w:r>
        <w:rPr>
          <w:spacing w:val="-4"/>
        </w:rPr>
        <w:t>workshops</w:t>
      </w:r>
      <w:r>
        <w:rPr>
          <w:spacing w:val="-10"/>
        </w:rPr>
        <w:t> </w:t>
      </w:r>
      <w:r>
        <w:rPr>
          <w:spacing w:val="-4"/>
        </w:rPr>
        <w:t>is</w:t>
      </w:r>
      <w:r>
        <w:rPr>
          <w:spacing w:val="-8"/>
        </w:rPr>
        <w:t> </w:t>
      </w:r>
      <w:r>
        <w:rPr>
          <w:spacing w:val="-4"/>
        </w:rPr>
        <w:t>necessary.</w:t>
      </w:r>
      <w:r>
        <w:rPr>
          <w:spacing w:val="-10"/>
        </w:rPr>
        <w:t> </w:t>
      </w:r>
      <w:r>
        <w:rPr>
          <w:spacing w:val="-4"/>
        </w:rPr>
        <w:t>To</w:t>
      </w:r>
      <w:r>
        <w:rPr>
          <w:spacing w:val="-8"/>
        </w:rPr>
        <w:t> </w:t>
      </w:r>
      <w:r>
        <w:rPr>
          <w:spacing w:val="-4"/>
        </w:rPr>
        <w:t>enhance</w:t>
      </w:r>
      <w:r>
        <w:rPr>
          <w:spacing w:val="-8"/>
        </w:rPr>
        <w:t> </w:t>
      </w:r>
      <w:r>
        <w:rPr>
          <w:spacing w:val="-4"/>
        </w:rPr>
        <w:t>employability, </w:t>
      </w:r>
      <w:r>
        <w:rPr/>
        <w:t>summer internships should be made an integral part of the curriculum. Restrictive provisions and the </w:t>
      </w:r>
      <w:r>
        <w:rPr>
          <w:spacing w:val="-2"/>
        </w:rPr>
        <w:t>elaborate</w:t>
      </w:r>
      <w:r>
        <w:rPr>
          <w:spacing w:val="10"/>
        </w:rPr>
        <w:t> </w:t>
      </w:r>
      <w:r>
        <w:rPr>
          <w:spacing w:val="-2"/>
        </w:rPr>
        <w:t>regulatory</w:t>
      </w:r>
      <w:r>
        <w:rPr>
          <w:spacing w:val="11"/>
        </w:rPr>
        <w:t> </w:t>
      </w:r>
      <w:r>
        <w:rPr>
          <w:spacing w:val="-2"/>
        </w:rPr>
        <w:t>framework</w:t>
      </w:r>
      <w:r>
        <w:rPr>
          <w:spacing w:val="10"/>
        </w:rPr>
        <w:t> </w:t>
      </w:r>
      <w:r>
        <w:rPr>
          <w:spacing w:val="-2"/>
        </w:rPr>
        <w:t>of</w:t>
      </w:r>
      <w:r>
        <w:rPr>
          <w:spacing w:val="11"/>
        </w:rPr>
        <w:t> </w:t>
      </w:r>
      <w:r>
        <w:rPr>
          <w:spacing w:val="-2"/>
        </w:rPr>
        <w:t>the</w:t>
      </w:r>
      <w:r>
        <w:rPr>
          <w:spacing w:val="10"/>
        </w:rPr>
        <w:t> </w:t>
      </w:r>
      <w:r>
        <w:rPr>
          <w:spacing w:val="-5"/>
        </w:rPr>
        <w:t>Apprenticeship</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77"/>
        <w:ind w:left="1079"/>
        <w:jc w:val="both"/>
      </w:pPr>
      <w:r>
        <w:rPr/>
        <w:t>Act 1961 have inhibited industry from </w:t>
      </w:r>
      <w:r>
        <w:rPr/>
        <w:t>adequately </w:t>
      </w:r>
      <w:r>
        <w:rPr>
          <w:spacing w:val="-4"/>
        </w:rPr>
        <w:t>using</w:t>
      </w:r>
      <w:r>
        <w:rPr>
          <w:spacing w:val="-9"/>
        </w:rPr>
        <w:t> </w:t>
      </w:r>
      <w:r>
        <w:rPr>
          <w:spacing w:val="-4"/>
        </w:rPr>
        <w:t>the</w:t>
      </w:r>
      <w:r>
        <w:rPr>
          <w:spacing w:val="-9"/>
        </w:rPr>
        <w:t> </w:t>
      </w:r>
      <w:r>
        <w:rPr>
          <w:spacing w:val="-4"/>
        </w:rPr>
        <w:t>apprenticeship</w:t>
      </w:r>
      <w:r>
        <w:rPr>
          <w:spacing w:val="-9"/>
        </w:rPr>
        <w:t> </w:t>
      </w:r>
      <w:r>
        <w:rPr>
          <w:spacing w:val="-4"/>
        </w:rPr>
        <w:t>scheme</w:t>
      </w:r>
      <w:r>
        <w:rPr>
          <w:spacing w:val="-9"/>
        </w:rPr>
        <w:t> </w:t>
      </w:r>
      <w:r>
        <w:rPr>
          <w:spacing w:val="-4"/>
        </w:rPr>
        <w:t>for</w:t>
      </w:r>
      <w:r>
        <w:rPr>
          <w:spacing w:val="-9"/>
        </w:rPr>
        <w:t> </w:t>
      </w:r>
      <w:r>
        <w:rPr>
          <w:spacing w:val="-4"/>
        </w:rPr>
        <w:t>honing</w:t>
      </w:r>
      <w:r>
        <w:rPr>
          <w:spacing w:val="-9"/>
        </w:rPr>
        <w:t> </w:t>
      </w:r>
      <w:r>
        <w:rPr>
          <w:spacing w:val="-4"/>
        </w:rPr>
        <w:t>the</w:t>
      </w:r>
      <w:r>
        <w:rPr>
          <w:spacing w:val="-9"/>
        </w:rPr>
        <w:t> </w:t>
      </w:r>
      <w:r>
        <w:rPr>
          <w:spacing w:val="-4"/>
        </w:rPr>
        <w:t>skills</w:t>
      </w:r>
      <w:r>
        <w:rPr>
          <w:spacing w:val="-9"/>
        </w:rPr>
        <w:t> </w:t>
      </w:r>
      <w:r>
        <w:rPr>
          <w:spacing w:val="-4"/>
        </w:rPr>
        <w:t>of engineering graduates. Clauses need to be incorporated </w:t>
      </w:r>
      <w:r>
        <w:rPr/>
        <w:t>in the Act that will enable training in multiple skills (not just a specific trade) and allow entry to and exit from the scheme at different points in the education </w:t>
      </w:r>
      <w:r>
        <w:rPr>
          <w:spacing w:val="-4"/>
        </w:rPr>
        <w:t>and</w:t>
      </w:r>
      <w:r>
        <w:rPr>
          <w:spacing w:val="-10"/>
        </w:rPr>
        <w:t> </w:t>
      </w:r>
      <w:r>
        <w:rPr>
          <w:spacing w:val="-4"/>
        </w:rPr>
        <w:t>career</w:t>
      </w:r>
      <w:r>
        <w:rPr>
          <w:spacing w:val="-10"/>
        </w:rPr>
        <w:t> </w:t>
      </w:r>
      <w:r>
        <w:rPr>
          <w:spacing w:val="-4"/>
        </w:rPr>
        <w:t>cycle.</w:t>
      </w:r>
      <w:r>
        <w:rPr>
          <w:spacing w:val="-10"/>
        </w:rPr>
        <w:t> </w:t>
      </w:r>
      <w:r>
        <w:rPr>
          <w:spacing w:val="-4"/>
        </w:rPr>
        <w:t>Likewise,</w:t>
      </w:r>
      <w:r>
        <w:rPr>
          <w:spacing w:val="-9"/>
        </w:rPr>
        <w:t> </w:t>
      </w:r>
      <w:r>
        <w:rPr>
          <w:spacing w:val="-4"/>
        </w:rPr>
        <w:t>industry</w:t>
      </w:r>
      <w:r>
        <w:rPr>
          <w:spacing w:val="-10"/>
        </w:rPr>
        <w:t> </w:t>
      </w:r>
      <w:r>
        <w:rPr>
          <w:spacing w:val="-4"/>
        </w:rPr>
        <w:t>needs</w:t>
      </w:r>
      <w:r>
        <w:rPr>
          <w:spacing w:val="-10"/>
        </w:rPr>
        <w:t> </w:t>
      </w:r>
      <w:r>
        <w:rPr>
          <w:spacing w:val="-4"/>
        </w:rPr>
        <w:t>to</w:t>
      </w:r>
      <w:r>
        <w:rPr>
          <w:spacing w:val="-10"/>
        </w:rPr>
        <w:t> </w:t>
      </w:r>
      <w:r>
        <w:rPr>
          <w:spacing w:val="-4"/>
        </w:rPr>
        <w:t>encourage </w:t>
      </w:r>
      <w:r>
        <w:rPr>
          <w:spacing w:val="-2"/>
        </w:rPr>
        <w:t>continuing</w:t>
      </w:r>
      <w:r>
        <w:rPr>
          <w:spacing w:val="-6"/>
        </w:rPr>
        <w:t> </w:t>
      </w:r>
      <w:r>
        <w:rPr>
          <w:spacing w:val="-2"/>
        </w:rPr>
        <w:t>education</w:t>
      </w:r>
      <w:r>
        <w:rPr>
          <w:spacing w:val="-6"/>
        </w:rPr>
        <w:t> </w:t>
      </w:r>
      <w:r>
        <w:rPr>
          <w:spacing w:val="-2"/>
        </w:rPr>
        <w:t>programs</w:t>
      </w:r>
      <w:r>
        <w:rPr>
          <w:spacing w:val="-6"/>
        </w:rPr>
        <w:t> </w:t>
      </w:r>
      <w:r>
        <w:rPr>
          <w:spacing w:val="-2"/>
        </w:rPr>
        <w:t>for</w:t>
      </w:r>
      <w:r>
        <w:rPr>
          <w:spacing w:val="-6"/>
        </w:rPr>
        <w:t> </w:t>
      </w:r>
      <w:r>
        <w:rPr>
          <w:spacing w:val="-2"/>
        </w:rPr>
        <w:t>their</w:t>
      </w:r>
      <w:r>
        <w:rPr>
          <w:spacing w:val="-6"/>
        </w:rPr>
        <w:t> </w:t>
      </w:r>
      <w:r>
        <w:rPr>
          <w:spacing w:val="-2"/>
        </w:rPr>
        <w:t>employees</w:t>
      </w:r>
      <w:r>
        <w:rPr>
          <w:spacing w:val="-6"/>
        </w:rPr>
        <w:t> </w:t>
      </w:r>
      <w:r>
        <w:rPr>
          <w:spacing w:val="-2"/>
        </w:rPr>
        <w:t>by </w:t>
      </w:r>
      <w:r>
        <w:rPr/>
        <w:t>collaborating with appropriate educational institutes. </w:t>
      </w:r>
      <w:r>
        <w:rPr>
          <w:spacing w:val="-2"/>
        </w:rPr>
        <w:t>Academia</w:t>
      </w:r>
      <w:r>
        <w:rPr>
          <w:spacing w:val="-12"/>
        </w:rPr>
        <w:t> </w:t>
      </w:r>
      <w:r>
        <w:rPr>
          <w:spacing w:val="-2"/>
        </w:rPr>
        <w:t>and</w:t>
      </w:r>
      <w:r>
        <w:rPr>
          <w:spacing w:val="-12"/>
        </w:rPr>
        <w:t> </w:t>
      </w:r>
      <w:r>
        <w:rPr>
          <w:spacing w:val="-2"/>
        </w:rPr>
        <w:t>industry</w:t>
      </w:r>
      <w:r>
        <w:rPr>
          <w:spacing w:val="-12"/>
        </w:rPr>
        <w:t> </w:t>
      </w:r>
      <w:r>
        <w:rPr>
          <w:spacing w:val="-2"/>
        </w:rPr>
        <w:t>should</w:t>
      </w:r>
      <w:r>
        <w:rPr>
          <w:spacing w:val="-11"/>
        </w:rPr>
        <w:t> </w:t>
      </w:r>
      <w:r>
        <w:rPr>
          <w:spacing w:val="-2"/>
        </w:rPr>
        <w:t>engage</w:t>
      </w:r>
      <w:r>
        <w:rPr>
          <w:spacing w:val="-12"/>
        </w:rPr>
        <w:t> </w:t>
      </w:r>
      <w:r>
        <w:rPr>
          <w:spacing w:val="-2"/>
        </w:rPr>
        <w:t>in</w:t>
      </w:r>
      <w:r>
        <w:rPr>
          <w:spacing w:val="-12"/>
        </w:rPr>
        <w:t> </w:t>
      </w:r>
      <w:r>
        <w:rPr>
          <w:spacing w:val="-2"/>
        </w:rPr>
        <w:t>joint</w:t>
      </w:r>
      <w:r>
        <w:rPr>
          <w:spacing w:val="-12"/>
        </w:rPr>
        <w:t> </w:t>
      </w:r>
      <w:r>
        <w:rPr>
          <w:spacing w:val="-2"/>
        </w:rPr>
        <w:t>research </w:t>
      </w:r>
      <w:r>
        <w:rPr/>
        <w:t>to encourage innovation and competitiveness in the global economy.</w:t>
      </w:r>
    </w:p>
    <w:p>
      <w:pPr>
        <w:pStyle w:val="Heading6"/>
        <w:numPr>
          <w:ilvl w:val="0"/>
          <w:numId w:val="27"/>
        </w:numPr>
        <w:tabs>
          <w:tab w:pos="1404" w:val="left" w:leader="none"/>
        </w:tabs>
        <w:spacing w:line="240" w:lineRule="auto" w:before="177" w:after="0"/>
        <w:ind w:left="1404" w:right="0" w:hanging="325"/>
        <w:jc w:val="left"/>
      </w:pPr>
      <w:r>
        <w:rPr>
          <w:color w:val="2E614A"/>
          <w:w w:val="90"/>
        </w:rPr>
        <w:t>Improve</w:t>
      </w:r>
      <w:r>
        <w:rPr>
          <w:color w:val="2E614A"/>
          <w:spacing w:val="-2"/>
        </w:rPr>
        <w:t> Access</w:t>
      </w:r>
    </w:p>
    <w:p>
      <w:pPr>
        <w:pStyle w:val="BodyText"/>
        <w:spacing w:line="266" w:lineRule="auto" w:before="366"/>
        <w:ind w:left="1079"/>
        <w:jc w:val="both"/>
      </w:pPr>
      <w:r>
        <w:rPr/>
        <w:t>While the government would need to establish </w:t>
      </w:r>
      <w:r>
        <w:rPr/>
        <w:t>new institutions in the under-provided states, it must be </w:t>
      </w:r>
      <w:r>
        <w:rPr>
          <w:spacing w:val="-2"/>
        </w:rPr>
        <w:t>emphasised</w:t>
      </w:r>
      <w:r>
        <w:rPr>
          <w:spacing w:val="-11"/>
        </w:rPr>
        <w:t> </w:t>
      </w:r>
      <w:r>
        <w:rPr>
          <w:spacing w:val="-2"/>
        </w:rPr>
        <w:t>that</w:t>
      </w:r>
      <w:r>
        <w:rPr>
          <w:spacing w:val="-11"/>
        </w:rPr>
        <w:t> </w:t>
      </w:r>
      <w:r>
        <w:rPr>
          <w:spacing w:val="-2"/>
        </w:rPr>
        <w:t>the</w:t>
      </w:r>
      <w:r>
        <w:rPr>
          <w:spacing w:val="-11"/>
        </w:rPr>
        <w:t> </w:t>
      </w:r>
      <w:r>
        <w:rPr>
          <w:spacing w:val="-2"/>
        </w:rPr>
        <w:t>recent</w:t>
      </w:r>
      <w:r>
        <w:rPr>
          <w:spacing w:val="-11"/>
        </w:rPr>
        <w:t> </w:t>
      </w:r>
      <w:r>
        <w:rPr>
          <w:spacing w:val="-2"/>
        </w:rPr>
        <w:t>proliferation</w:t>
      </w:r>
      <w:r>
        <w:rPr>
          <w:spacing w:val="-11"/>
        </w:rPr>
        <w:t> </w:t>
      </w:r>
      <w:r>
        <w:rPr>
          <w:spacing w:val="-2"/>
        </w:rPr>
        <w:t>of</w:t>
      </w:r>
      <w:r>
        <w:rPr>
          <w:spacing w:val="-11"/>
        </w:rPr>
        <w:t> </w:t>
      </w:r>
      <w:r>
        <w:rPr>
          <w:spacing w:val="-2"/>
        </w:rPr>
        <w:t>engineering </w:t>
      </w:r>
      <w:r>
        <w:rPr/>
        <w:t>institutions</w:t>
      </w:r>
      <w:r>
        <w:rPr>
          <w:spacing w:val="40"/>
        </w:rPr>
        <w:t> </w:t>
      </w:r>
      <w:r>
        <w:rPr/>
        <w:t>in</w:t>
      </w:r>
      <w:r>
        <w:rPr>
          <w:spacing w:val="40"/>
        </w:rPr>
        <w:t> </w:t>
      </w:r>
      <w:r>
        <w:rPr/>
        <w:t>the</w:t>
      </w:r>
      <w:r>
        <w:rPr>
          <w:spacing w:val="40"/>
        </w:rPr>
        <w:t> </w:t>
      </w:r>
      <w:r>
        <w:rPr/>
        <w:t>southern</w:t>
      </w:r>
      <w:r>
        <w:rPr>
          <w:spacing w:val="40"/>
        </w:rPr>
        <w:t> </w:t>
      </w:r>
      <w:r>
        <w:rPr/>
        <w:t>states</w:t>
      </w:r>
      <w:r>
        <w:rPr>
          <w:spacing w:val="40"/>
        </w:rPr>
        <w:t> </w:t>
      </w:r>
      <w:r>
        <w:rPr/>
        <w:t>is</w:t>
      </w:r>
      <w:r>
        <w:rPr>
          <w:spacing w:val="40"/>
        </w:rPr>
        <w:t> </w:t>
      </w:r>
      <w:r>
        <w:rPr/>
        <w:t>largely</w:t>
      </w:r>
      <w:r>
        <w:rPr>
          <w:spacing w:val="40"/>
        </w:rPr>
        <w:t> </w:t>
      </w:r>
      <w:r>
        <w:rPr/>
        <w:t>the result of private initiatives. A framework for public- private</w:t>
      </w:r>
      <w:r>
        <w:rPr>
          <w:spacing w:val="-5"/>
        </w:rPr>
        <w:t> </w:t>
      </w:r>
      <w:r>
        <w:rPr/>
        <w:t>partnerships</w:t>
      </w:r>
      <w:r>
        <w:rPr>
          <w:spacing w:val="-5"/>
        </w:rPr>
        <w:t> </w:t>
      </w:r>
      <w:r>
        <w:rPr/>
        <w:t>should</w:t>
      </w:r>
      <w:r>
        <w:rPr>
          <w:spacing w:val="-5"/>
        </w:rPr>
        <w:t> </w:t>
      </w:r>
      <w:r>
        <w:rPr/>
        <w:t>therefore</w:t>
      </w:r>
      <w:r>
        <w:rPr>
          <w:spacing w:val="-5"/>
        </w:rPr>
        <w:t> </w:t>
      </w:r>
      <w:r>
        <w:rPr/>
        <w:t>be</w:t>
      </w:r>
      <w:r>
        <w:rPr>
          <w:spacing w:val="-5"/>
        </w:rPr>
        <w:t> </w:t>
      </w:r>
      <w:r>
        <w:rPr/>
        <w:t>developed</w:t>
      </w:r>
      <w:r>
        <w:rPr>
          <w:spacing w:val="-5"/>
        </w:rPr>
        <w:t> </w:t>
      </w:r>
      <w:r>
        <w:rPr/>
        <w:t>in </w:t>
      </w:r>
      <w:r>
        <w:rPr>
          <w:spacing w:val="-4"/>
        </w:rPr>
        <w:t>collaboration</w:t>
      </w:r>
      <w:r>
        <w:rPr>
          <w:spacing w:val="-8"/>
        </w:rPr>
        <w:t> </w:t>
      </w:r>
      <w:r>
        <w:rPr>
          <w:spacing w:val="-4"/>
        </w:rPr>
        <w:t>with</w:t>
      </w:r>
      <w:r>
        <w:rPr>
          <w:spacing w:val="-8"/>
        </w:rPr>
        <w:t> </w:t>
      </w:r>
      <w:r>
        <w:rPr>
          <w:spacing w:val="-4"/>
        </w:rPr>
        <w:t>the</w:t>
      </w:r>
      <w:r>
        <w:rPr>
          <w:spacing w:val="-8"/>
        </w:rPr>
        <w:t> </w:t>
      </w:r>
      <w:r>
        <w:rPr>
          <w:spacing w:val="-4"/>
        </w:rPr>
        <w:t>concerned</w:t>
      </w:r>
      <w:r>
        <w:rPr>
          <w:spacing w:val="-8"/>
        </w:rPr>
        <w:t> </w:t>
      </w:r>
      <w:r>
        <w:rPr>
          <w:spacing w:val="-4"/>
        </w:rPr>
        <w:t>states</w:t>
      </w:r>
      <w:r>
        <w:rPr>
          <w:spacing w:val="-8"/>
        </w:rPr>
        <w:t> </w:t>
      </w:r>
      <w:r>
        <w:rPr>
          <w:spacing w:val="-4"/>
        </w:rPr>
        <w:t>to</w:t>
      </w:r>
      <w:r>
        <w:rPr>
          <w:spacing w:val="-8"/>
        </w:rPr>
        <w:t> </w:t>
      </w:r>
      <w:r>
        <w:rPr>
          <w:spacing w:val="-4"/>
        </w:rPr>
        <w:t>establish</w:t>
      </w:r>
      <w:r>
        <w:rPr>
          <w:spacing w:val="-8"/>
        </w:rPr>
        <w:t> </w:t>
      </w:r>
      <w:r>
        <w:rPr>
          <w:spacing w:val="-4"/>
        </w:rPr>
        <w:t>new </w:t>
      </w:r>
      <w:r>
        <w:rPr/>
        <w:t>quality institutions.</w:t>
      </w:r>
    </w:p>
    <w:p>
      <w:pPr>
        <w:pStyle w:val="Heading6"/>
        <w:numPr>
          <w:ilvl w:val="0"/>
          <w:numId w:val="27"/>
        </w:numPr>
        <w:tabs>
          <w:tab w:pos="644" w:val="left" w:leader="none"/>
        </w:tabs>
        <w:spacing w:line="240" w:lineRule="auto" w:before="57" w:after="0"/>
        <w:ind w:left="644" w:right="0" w:hanging="325"/>
        <w:jc w:val="left"/>
      </w:pPr>
      <w:r>
        <w:rPr>
          <w:b w:val="0"/>
        </w:rPr>
        <w:br w:type="column"/>
      </w:r>
      <w:r>
        <w:rPr>
          <w:color w:val="2E614A"/>
          <w:spacing w:val="-2"/>
        </w:rPr>
        <w:t>Mentoring</w:t>
      </w:r>
    </w:p>
    <w:p>
      <w:pPr>
        <w:pStyle w:val="BodyText"/>
        <w:spacing w:line="266" w:lineRule="auto" w:before="285"/>
        <w:ind w:left="319" w:right="1077"/>
        <w:jc w:val="both"/>
      </w:pPr>
      <w:r>
        <w:rPr/>
        <w:t>Elite institutions should consider some </w:t>
      </w:r>
      <w:r>
        <w:rPr/>
        <w:t>additional responsibilities such as adopting a few engineering </w:t>
      </w:r>
      <w:r>
        <w:rPr>
          <w:spacing w:val="-2"/>
        </w:rPr>
        <w:t>institutions</w:t>
      </w:r>
      <w:r>
        <w:rPr>
          <w:spacing w:val="-8"/>
        </w:rPr>
        <w:t> </w:t>
      </w:r>
      <w:r>
        <w:rPr>
          <w:spacing w:val="-2"/>
        </w:rPr>
        <w:t>of</w:t>
      </w:r>
      <w:r>
        <w:rPr>
          <w:spacing w:val="-8"/>
        </w:rPr>
        <w:t> </w:t>
      </w:r>
      <w:r>
        <w:rPr>
          <w:spacing w:val="-2"/>
        </w:rPr>
        <w:t>their</w:t>
      </w:r>
      <w:r>
        <w:rPr>
          <w:spacing w:val="-8"/>
        </w:rPr>
        <w:t> </w:t>
      </w:r>
      <w:r>
        <w:rPr>
          <w:spacing w:val="-2"/>
        </w:rPr>
        <w:t>choice</w:t>
      </w:r>
      <w:r>
        <w:rPr>
          <w:spacing w:val="-8"/>
        </w:rPr>
        <w:t> </w:t>
      </w:r>
      <w:r>
        <w:rPr>
          <w:spacing w:val="-2"/>
        </w:rPr>
        <w:t>and</w:t>
      </w:r>
      <w:r>
        <w:rPr>
          <w:spacing w:val="-8"/>
        </w:rPr>
        <w:t> </w:t>
      </w:r>
      <w:r>
        <w:rPr>
          <w:spacing w:val="-2"/>
        </w:rPr>
        <w:t>helping</w:t>
      </w:r>
      <w:r>
        <w:rPr>
          <w:spacing w:val="-8"/>
        </w:rPr>
        <w:t> </w:t>
      </w:r>
      <w:r>
        <w:rPr>
          <w:spacing w:val="-2"/>
        </w:rPr>
        <w:t>them</w:t>
      </w:r>
      <w:r>
        <w:rPr>
          <w:spacing w:val="-8"/>
        </w:rPr>
        <w:t> </w:t>
      </w:r>
      <w:r>
        <w:rPr>
          <w:spacing w:val="-2"/>
        </w:rPr>
        <w:t>raise</w:t>
      </w:r>
      <w:r>
        <w:rPr>
          <w:spacing w:val="-8"/>
        </w:rPr>
        <w:t> </w:t>
      </w:r>
      <w:r>
        <w:rPr>
          <w:spacing w:val="-2"/>
        </w:rPr>
        <w:t>their </w:t>
      </w:r>
      <w:r>
        <w:rPr/>
        <w:t>standards, creating and making available educational resources in the public domain for use of all students and</w:t>
      </w:r>
      <w:r>
        <w:rPr>
          <w:spacing w:val="-14"/>
        </w:rPr>
        <w:t> </w:t>
      </w:r>
      <w:r>
        <w:rPr/>
        <w:t>conducting</w:t>
      </w:r>
      <w:r>
        <w:rPr>
          <w:spacing w:val="-14"/>
        </w:rPr>
        <w:t> </w:t>
      </w:r>
      <w:r>
        <w:rPr/>
        <w:t>distance</w:t>
      </w:r>
      <w:r>
        <w:rPr>
          <w:spacing w:val="-14"/>
        </w:rPr>
        <w:t> </w:t>
      </w:r>
      <w:r>
        <w:rPr/>
        <w:t>education</w:t>
      </w:r>
      <w:r>
        <w:rPr>
          <w:spacing w:val="-13"/>
        </w:rPr>
        <w:t> </w:t>
      </w:r>
      <w:r>
        <w:rPr/>
        <w:t>courses,</w:t>
      </w:r>
      <w:r>
        <w:rPr>
          <w:spacing w:val="-14"/>
        </w:rPr>
        <w:t> </w:t>
      </w:r>
      <w:r>
        <w:rPr/>
        <w:t>especially for students at the post-graduate level and working professionals. In particular, the existing IITs could mentor the new ones being established.</w:t>
      </w:r>
      <w:r>
        <w:rPr>
          <w:spacing w:val="-6"/>
        </w:rPr>
        <w:t> </w:t>
      </w:r>
      <w:r>
        <w:rPr/>
        <w:t>The latter, in due course, could play a similar role vis-à-vis others. Similarly, National Institutes of Technology and </w:t>
      </w:r>
      <w:r>
        <w:rPr>
          <w:spacing w:val="-2"/>
        </w:rPr>
        <w:t>Regional</w:t>
      </w:r>
      <w:r>
        <w:rPr>
          <w:spacing w:val="-12"/>
        </w:rPr>
        <w:t> </w:t>
      </w:r>
      <w:r>
        <w:rPr>
          <w:spacing w:val="-2"/>
        </w:rPr>
        <w:t>Engineering</w:t>
      </w:r>
      <w:r>
        <w:rPr>
          <w:spacing w:val="-12"/>
        </w:rPr>
        <w:t> </w:t>
      </w:r>
      <w:r>
        <w:rPr>
          <w:spacing w:val="-2"/>
        </w:rPr>
        <w:t>Colleges</w:t>
      </w:r>
      <w:r>
        <w:rPr>
          <w:spacing w:val="-12"/>
        </w:rPr>
        <w:t> </w:t>
      </w:r>
      <w:r>
        <w:rPr>
          <w:spacing w:val="-2"/>
        </w:rPr>
        <w:t>could</w:t>
      </w:r>
      <w:r>
        <w:rPr>
          <w:spacing w:val="-11"/>
        </w:rPr>
        <w:t> </w:t>
      </w:r>
      <w:r>
        <w:rPr>
          <w:spacing w:val="-2"/>
        </w:rPr>
        <w:t>play</w:t>
      </w:r>
      <w:r>
        <w:rPr>
          <w:spacing w:val="-12"/>
        </w:rPr>
        <w:t> </w:t>
      </w:r>
      <w:r>
        <w:rPr>
          <w:spacing w:val="-2"/>
        </w:rPr>
        <w:t>a</w:t>
      </w:r>
      <w:r>
        <w:rPr>
          <w:spacing w:val="-12"/>
        </w:rPr>
        <w:t> </w:t>
      </w:r>
      <w:r>
        <w:rPr>
          <w:spacing w:val="-2"/>
        </w:rPr>
        <w:t>mentoring </w:t>
      </w:r>
      <w:r>
        <w:rPr/>
        <w:t>role for selected engineering institutions in their respective regions. Mentoring by its definition is a voluntary</w:t>
      </w:r>
      <w:r>
        <w:rPr>
          <w:spacing w:val="-8"/>
        </w:rPr>
        <w:t> </w:t>
      </w:r>
      <w:r>
        <w:rPr/>
        <w:t>activity,</w:t>
      </w:r>
      <w:r>
        <w:rPr>
          <w:spacing w:val="-8"/>
        </w:rPr>
        <w:t> </w:t>
      </w:r>
      <w:r>
        <w:rPr/>
        <w:t>but</w:t>
      </w:r>
      <w:r>
        <w:rPr>
          <w:spacing w:val="-8"/>
        </w:rPr>
        <w:t> </w:t>
      </w:r>
      <w:r>
        <w:rPr/>
        <w:t>if</w:t>
      </w:r>
      <w:r>
        <w:rPr>
          <w:spacing w:val="-8"/>
        </w:rPr>
        <w:t> </w:t>
      </w:r>
      <w:r>
        <w:rPr/>
        <w:t>we</w:t>
      </w:r>
      <w:r>
        <w:rPr>
          <w:spacing w:val="-8"/>
        </w:rPr>
        <w:t> </w:t>
      </w:r>
      <w:r>
        <w:rPr/>
        <w:t>can</w:t>
      </w:r>
      <w:r>
        <w:rPr>
          <w:spacing w:val="-8"/>
        </w:rPr>
        <w:t> </w:t>
      </w:r>
      <w:r>
        <w:rPr/>
        <w:t>create</w:t>
      </w:r>
      <w:r>
        <w:rPr>
          <w:spacing w:val="-8"/>
        </w:rPr>
        <w:t> </w:t>
      </w:r>
      <w:r>
        <w:rPr/>
        <w:t>an</w:t>
      </w:r>
      <w:r>
        <w:rPr>
          <w:spacing w:val="-8"/>
        </w:rPr>
        <w:t> </w:t>
      </w:r>
      <w:r>
        <w:rPr/>
        <w:t>atmosphere where</w:t>
      </w:r>
      <w:r>
        <w:rPr>
          <w:spacing w:val="-11"/>
        </w:rPr>
        <w:t> </w:t>
      </w:r>
      <w:r>
        <w:rPr/>
        <w:t>institutions</w:t>
      </w:r>
      <w:r>
        <w:rPr>
          <w:spacing w:val="-11"/>
        </w:rPr>
        <w:t> </w:t>
      </w:r>
      <w:r>
        <w:rPr/>
        <w:t>of</w:t>
      </w:r>
      <w:r>
        <w:rPr>
          <w:spacing w:val="-11"/>
        </w:rPr>
        <w:t> </w:t>
      </w:r>
      <w:r>
        <w:rPr/>
        <w:t>distinction</w:t>
      </w:r>
      <w:r>
        <w:rPr>
          <w:spacing w:val="-13"/>
        </w:rPr>
        <w:t> </w:t>
      </w:r>
      <w:r>
        <w:rPr/>
        <w:t>feel</w:t>
      </w:r>
      <w:r>
        <w:rPr>
          <w:spacing w:val="-13"/>
        </w:rPr>
        <w:t> </w:t>
      </w:r>
      <w:r>
        <w:rPr/>
        <w:t>a</w:t>
      </w:r>
      <w:r>
        <w:rPr>
          <w:spacing w:val="-13"/>
        </w:rPr>
        <w:t> </w:t>
      </w:r>
      <w:r>
        <w:rPr/>
        <w:t>sense</w:t>
      </w:r>
      <w:r>
        <w:rPr>
          <w:spacing w:val="-13"/>
        </w:rPr>
        <w:t> </w:t>
      </w:r>
      <w:r>
        <w:rPr/>
        <w:t>of</w:t>
      </w:r>
      <w:r>
        <w:rPr>
          <w:spacing w:val="-13"/>
        </w:rPr>
        <w:t> </w:t>
      </w:r>
      <w:r>
        <w:rPr/>
        <w:t>calling in the interest of the larger national good, it would transform our education. The changes and reforms </w:t>
      </w:r>
      <w:r>
        <w:rPr>
          <w:spacing w:val="-6"/>
        </w:rPr>
        <w:t>proposed</w:t>
      </w:r>
      <w:r>
        <w:rPr>
          <w:spacing w:val="-8"/>
        </w:rPr>
        <w:t> </w:t>
      </w:r>
      <w:r>
        <w:rPr>
          <w:spacing w:val="-6"/>
        </w:rPr>
        <w:t>above</w:t>
      </w:r>
      <w:r>
        <w:rPr>
          <w:spacing w:val="-8"/>
        </w:rPr>
        <w:t> </w:t>
      </w:r>
      <w:r>
        <w:rPr>
          <w:spacing w:val="-6"/>
        </w:rPr>
        <w:t>are</w:t>
      </w:r>
      <w:r>
        <w:rPr>
          <w:spacing w:val="-8"/>
        </w:rPr>
        <w:t> </w:t>
      </w:r>
      <w:r>
        <w:rPr>
          <w:spacing w:val="-6"/>
        </w:rPr>
        <w:t>necessary</w:t>
      </w:r>
      <w:r>
        <w:rPr>
          <w:spacing w:val="-7"/>
        </w:rPr>
        <w:t> </w:t>
      </w:r>
      <w:r>
        <w:rPr>
          <w:spacing w:val="-6"/>
        </w:rPr>
        <w:t>to</w:t>
      </w:r>
      <w:r>
        <w:rPr>
          <w:spacing w:val="-8"/>
        </w:rPr>
        <w:t> </w:t>
      </w:r>
      <w:r>
        <w:rPr>
          <w:spacing w:val="-6"/>
        </w:rPr>
        <w:t>bring</w:t>
      </w:r>
      <w:r>
        <w:rPr>
          <w:spacing w:val="-8"/>
        </w:rPr>
        <w:t> </w:t>
      </w:r>
      <w:r>
        <w:rPr>
          <w:spacing w:val="-6"/>
        </w:rPr>
        <w:t>about</w:t>
      </w:r>
      <w:r>
        <w:rPr>
          <w:spacing w:val="-8"/>
        </w:rPr>
        <w:t> </w:t>
      </w:r>
      <w:r>
        <w:rPr>
          <w:spacing w:val="-6"/>
        </w:rPr>
        <w:t>a</w:t>
      </w:r>
      <w:r>
        <w:rPr>
          <w:spacing w:val="-7"/>
        </w:rPr>
        <w:t> </w:t>
      </w:r>
      <w:r>
        <w:rPr>
          <w:spacing w:val="-6"/>
        </w:rPr>
        <w:t>qualitative </w:t>
      </w:r>
      <w:r>
        <w:rPr>
          <w:spacing w:val="-4"/>
        </w:rPr>
        <w:t>transformation</w:t>
      </w:r>
      <w:r>
        <w:rPr>
          <w:spacing w:val="-10"/>
        </w:rPr>
        <w:t> </w:t>
      </w:r>
      <w:r>
        <w:rPr>
          <w:spacing w:val="-4"/>
        </w:rPr>
        <w:t>in</w:t>
      </w:r>
      <w:r>
        <w:rPr>
          <w:spacing w:val="-10"/>
        </w:rPr>
        <w:t> </w:t>
      </w:r>
      <w:r>
        <w:rPr>
          <w:spacing w:val="-4"/>
        </w:rPr>
        <w:t>engineering</w:t>
      </w:r>
      <w:r>
        <w:rPr>
          <w:spacing w:val="-10"/>
        </w:rPr>
        <w:t> </w:t>
      </w:r>
      <w:r>
        <w:rPr>
          <w:spacing w:val="-4"/>
        </w:rPr>
        <w:t>education</w:t>
      </w:r>
      <w:r>
        <w:rPr>
          <w:spacing w:val="-9"/>
        </w:rPr>
        <w:t> </w:t>
      </w:r>
      <w:r>
        <w:rPr>
          <w:spacing w:val="-4"/>
        </w:rPr>
        <w:t>to</w:t>
      </w:r>
      <w:r>
        <w:rPr>
          <w:spacing w:val="-10"/>
        </w:rPr>
        <w:t> </w:t>
      </w:r>
      <w:r>
        <w:rPr>
          <w:spacing w:val="-4"/>
        </w:rPr>
        <w:t>meet</w:t>
      </w:r>
      <w:r>
        <w:rPr>
          <w:spacing w:val="-10"/>
        </w:rPr>
        <w:t> </w:t>
      </w:r>
      <w:r>
        <w:rPr>
          <w:spacing w:val="-4"/>
        </w:rPr>
        <w:t>present </w:t>
      </w:r>
      <w:r>
        <w:rPr/>
        <w:t>and future needs.</w:t>
      </w:r>
    </w:p>
    <w:p>
      <w:pPr>
        <w:spacing w:after="0" w:line="266" w:lineRule="auto"/>
        <w:jc w:val="both"/>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761"/>
        <w:jc w:val="both"/>
      </w:pPr>
      <w:r>
        <w:rPr/>
        <mc:AlternateContent>
          <mc:Choice Requires="wps">
            <w:drawing>
              <wp:anchor distT="0" distB="0" distL="0" distR="0" allowOverlap="1" layoutInCell="1" locked="0" behindDoc="0" simplePos="0" relativeHeight="15768576">
                <wp:simplePos x="0" y="0"/>
                <wp:positionH relativeFrom="page">
                  <wp:posOffset>0</wp:posOffset>
                </wp:positionH>
                <wp:positionV relativeFrom="paragraph">
                  <wp:posOffset>-2277393</wp:posOffset>
                </wp:positionV>
                <wp:extent cx="7560309" cy="1752600"/>
                <wp:effectExtent l="0" t="0" r="0" b="0"/>
                <wp:wrapNone/>
                <wp:docPr id="904" name="Group 904"/>
                <wp:cNvGraphicFramePr>
                  <a:graphicFrameLocks/>
                </wp:cNvGraphicFramePr>
                <a:graphic>
                  <a:graphicData uri="http://schemas.microsoft.com/office/word/2010/wordprocessingGroup">
                    <wpg:wgp>
                      <wpg:cNvPr id="904" name="Group 904"/>
                      <wpg:cNvGrpSpPr/>
                      <wpg:grpSpPr>
                        <a:xfrm>
                          <a:off x="0" y="0"/>
                          <a:ext cx="7560309" cy="1752600"/>
                          <a:chExt cx="7560309" cy="1752600"/>
                        </a:xfrm>
                      </wpg:grpSpPr>
                      <pic:pic>
                        <pic:nvPicPr>
                          <pic:cNvPr id="905" name="Image 905"/>
                          <pic:cNvPicPr/>
                        </pic:nvPicPr>
                        <pic:blipFill>
                          <a:blip r:embed="rId11" cstate="print"/>
                          <a:stretch>
                            <a:fillRect/>
                          </a:stretch>
                        </pic:blipFill>
                        <pic:spPr>
                          <a:xfrm>
                            <a:off x="0" y="0"/>
                            <a:ext cx="7559999" cy="1752562"/>
                          </a:xfrm>
                          <a:prstGeom prst="rect">
                            <a:avLst/>
                          </a:prstGeom>
                        </pic:spPr>
                      </pic:pic>
                      <wps:wsp>
                        <wps:cNvPr id="906" name="Textbox 906"/>
                        <wps:cNvSpPr txBox="1"/>
                        <wps:spPr>
                          <a:xfrm>
                            <a:off x="685800" y="598688"/>
                            <a:ext cx="3785235" cy="1019810"/>
                          </a:xfrm>
                          <a:prstGeom prst="rect">
                            <a:avLst/>
                          </a:prstGeom>
                        </wps:spPr>
                        <wps:txbx>
                          <w:txbxContent>
                            <w:p>
                              <w:pPr>
                                <w:spacing w:line="247" w:lineRule="auto" w:before="0"/>
                                <w:ind w:left="0" w:right="18" w:firstLine="0"/>
                                <w:jc w:val="left"/>
                                <w:rPr>
                                  <w:rFonts w:ascii="Trebuchet MS"/>
                                  <w:b/>
                                  <w:sz w:val="68"/>
                                </w:rPr>
                              </w:pPr>
                              <w:r>
                                <w:rPr>
                                  <w:rFonts w:ascii="Trebuchet MS"/>
                                  <w:b/>
                                  <w:color w:val="FFFFFF"/>
                                  <w:sz w:val="68"/>
                                </w:rPr>
                                <w:t>Open</w:t>
                              </w:r>
                              <w:r>
                                <w:rPr>
                                  <w:rFonts w:ascii="Trebuchet MS"/>
                                  <w:b/>
                                  <w:color w:val="FFFFFF"/>
                                  <w:spacing w:val="-19"/>
                                  <w:sz w:val="68"/>
                                </w:rPr>
                                <w:t> </w:t>
                              </w:r>
                              <w:r>
                                <w:rPr>
                                  <w:rFonts w:ascii="Trebuchet MS"/>
                                  <w:b/>
                                  <w:color w:val="FFFFFF"/>
                                  <w:sz w:val="68"/>
                                </w:rPr>
                                <w:t>and</w:t>
                              </w:r>
                              <w:r>
                                <w:rPr>
                                  <w:rFonts w:ascii="Trebuchet MS"/>
                                  <w:b/>
                                  <w:color w:val="FFFFFF"/>
                                  <w:spacing w:val="-18"/>
                                  <w:sz w:val="68"/>
                                </w:rPr>
                                <w:t> </w:t>
                              </w:r>
                              <w:r>
                                <w:rPr>
                                  <w:rFonts w:ascii="Trebuchet MS"/>
                                  <w:b/>
                                  <w:color w:val="FFFFFF"/>
                                  <w:sz w:val="68"/>
                                </w:rPr>
                                <w:t>Distance </w:t>
                              </w:r>
                              <w:r>
                                <w:rPr>
                                  <w:rFonts w:ascii="Trebuchet MS"/>
                                  <w:b/>
                                  <w:color w:val="FFFFFF"/>
                                  <w:spacing w:val="-2"/>
                                  <w:sz w:val="68"/>
                                </w:rPr>
                                <w:t>Education</w:t>
                              </w:r>
                            </w:p>
                          </w:txbxContent>
                        </wps:txbx>
                        <wps:bodyPr wrap="square" lIns="0" tIns="0" rIns="0" bIns="0" rtlCol="0">
                          <a:noAutofit/>
                        </wps:bodyPr>
                      </wps:wsp>
                      <wps:wsp>
                        <wps:cNvPr id="907" name="Textbox 907"/>
                        <wps:cNvSpPr txBox="1"/>
                        <wps:spPr>
                          <a:xfrm>
                            <a:off x="5833727" y="1439105"/>
                            <a:ext cx="1053465" cy="158750"/>
                          </a:xfrm>
                          <a:prstGeom prst="rect">
                            <a:avLst/>
                          </a:prstGeom>
                        </wps:spPr>
                        <wps:txbx>
                          <w:txbxContent>
                            <w:p>
                              <w:pPr>
                                <w:spacing w:line="238" w:lineRule="exact" w:before="0"/>
                                <w:ind w:left="0" w:right="0" w:firstLine="0"/>
                                <w:jc w:val="left"/>
                                <w:rPr>
                                  <w:b/>
                                  <w:sz w:val="22"/>
                                </w:rPr>
                              </w:pPr>
                              <w:r>
                                <w:rPr>
                                  <w:b/>
                                  <w:color w:val="FFFFFF"/>
                                  <w:spacing w:val="-6"/>
                                  <w:sz w:val="22"/>
                                </w:rPr>
                                <w:t>November 2, 2007</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68576" id="docshapegroup897" coordorigin="0,-3586" coordsize="11906,2760">
                <v:shape style="position:absolute;left:0;top:-3587;width:11906;height:2760" type="#_x0000_t75" id="docshape898" stroked="false">
                  <v:imagedata r:id="rId11" o:title=""/>
                </v:shape>
                <v:shape style="position:absolute;left:1080;top:-2644;width:5961;height:1606" type="#_x0000_t202" id="docshape899" filled="false" stroked="false">
                  <v:textbox inset="0,0,0,0">
                    <w:txbxContent>
                      <w:p>
                        <w:pPr>
                          <w:spacing w:line="247" w:lineRule="auto" w:before="0"/>
                          <w:ind w:left="0" w:right="18" w:firstLine="0"/>
                          <w:jc w:val="left"/>
                          <w:rPr>
                            <w:rFonts w:ascii="Trebuchet MS"/>
                            <w:b/>
                            <w:sz w:val="68"/>
                          </w:rPr>
                        </w:pPr>
                        <w:r>
                          <w:rPr>
                            <w:rFonts w:ascii="Trebuchet MS"/>
                            <w:b/>
                            <w:color w:val="FFFFFF"/>
                            <w:sz w:val="68"/>
                          </w:rPr>
                          <w:t>Open</w:t>
                        </w:r>
                        <w:r>
                          <w:rPr>
                            <w:rFonts w:ascii="Trebuchet MS"/>
                            <w:b/>
                            <w:color w:val="FFFFFF"/>
                            <w:spacing w:val="-19"/>
                            <w:sz w:val="68"/>
                          </w:rPr>
                          <w:t> </w:t>
                        </w:r>
                        <w:r>
                          <w:rPr>
                            <w:rFonts w:ascii="Trebuchet MS"/>
                            <w:b/>
                            <w:color w:val="FFFFFF"/>
                            <w:sz w:val="68"/>
                          </w:rPr>
                          <w:t>and</w:t>
                        </w:r>
                        <w:r>
                          <w:rPr>
                            <w:rFonts w:ascii="Trebuchet MS"/>
                            <w:b/>
                            <w:color w:val="FFFFFF"/>
                            <w:spacing w:val="-18"/>
                            <w:sz w:val="68"/>
                          </w:rPr>
                          <w:t> </w:t>
                        </w:r>
                        <w:r>
                          <w:rPr>
                            <w:rFonts w:ascii="Trebuchet MS"/>
                            <w:b/>
                            <w:color w:val="FFFFFF"/>
                            <w:sz w:val="68"/>
                          </w:rPr>
                          <w:t>Distance </w:t>
                        </w:r>
                        <w:r>
                          <w:rPr>
                            <w:rFonts w:ascii="Trebuchet MS"/>
                            <w:b/>
                            <w:color w:val="FFFFFF"/>
                            <w:spacing w:val="-2"/>
                            <w:sz w:val="68"/>
                          </w:rPr>
                          <w:t>Education</w:t>
                        </w:r>
                      </w:p>
                    </w:txbxContent>
                  </v:textbox>
                  <w10:wrap type="none"/>
                </v:shape>
                <v:shape style="position:absolute;left:9186;top:-1321;width:1659;height:250" type="#_x0000_t202" id="docshape900" filled="false" stroked="false">
                  <v:textbox inset="0,0,0,0">
                    <w:txbxContent>
                      <w:p>
                        <w:pPr>
                          <w:spacing w:line="238" w:lineRule="exact" w:before="0"/>
                          <w:ind w:left="0" w:right="0" w:firstLine="0"/>
                          <w:jc w:val="left"/>
                          <w:rPr>
                            <w:b/>
                            <w:sz w:val="22"/>
                          </w:rPr>
                        </w:pPr>
                        <w:r>
                          <w:rPr>
                            <w:b/>
                            <w:color w:val="FFFFFF"/>
                            <w:spacing w:val="-6"/>
                            <w:sz w:val="22"/>
                          </w:rPr>
                          <w:t>November 2, 2007</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5664">
                <wp:simplePos x="0" y="0"/>
                <wp:positionH relativeFrom="page">
                  <wp:posOffset>685799</wp:posOffset>
                </wp:positionH>
                <wp:positionV relativeFrom="paragraph">
                  <wp:posOffset>-36774</wp:posOffset>
                </wp:positionV>
                <wp:extent cx="446405" cy="757555"/>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8956pt;width:35.15pt;height:59.65pt;mso-position-horizontal-relative:page;mso-position-vertical-relative:paragraph;z-index:-23970816" type="#_x0000_t202" id="docshape901"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National Knowledge Commission (NKC) </w:t>
      </w:r>
      <w:r>
        <w:rPr>
          <w:spacing w:val="-2"/>
          <w:w w:val="90"/>
        </w:rPr>
        <w:t>believes</w:t>
      </w:r>
      <w:r>
        <w:rPr>
          <w:spacing w:val="-6"/>
          <w:w w:val="90"/>
        </w:rPr>
        <w:t> </w:t>
      </w:r>
      <w:r>
        <w:rPr>
          <w:spacing w:val="-2"/>
          <w:w w:val="90"/>
        </w:rPr>
        <w:t>that</w:t>
      </w:r>
      <w:r>
        <w:rPr>
          <w:spacing w:val="-6"/>
          <w:w w:val="90"/>
        </w:rPr>
        <w:t> </w:t>
      </w:r>
      <w:r>
        <w:rPr>
          <w:spacing w:val="-2"/>
          <w:w w:val="90"/>
        </w:rPr>
        <w:t>a</w:t>
      </w:r>
      <w:r>
        <w:rPr>
          <w:spacing w:val="-6"/>
          <w:w w:val="90"/>
        </w:rPr>
        <w:t> </w:t>
      </w:r>
      <w:r>
        <w:rPr>
          <w:spacing w:val="-2"/>
          <w:w w:val="90"/>
        </w:rPr>
        <w:t>radical</w:t>
      </w:r>
      <w:r>
        <w:rPr>
          <w:spacing w:val="-6"/>
          <w:w w:val="90"/>
        </w:rPr>
        <w:t> </w:t>
      </w:r>
      <w:r>
        <w:rPr>
          <w:spacing w:val="-2"/>
          <w:w w:val="90"/>
        </w:rPr>
        <w:t>reform</w:t>
      </w:r>
      <w:r>
        <w:rPr>
          <w:spacing w:val="-6"/>
          <w:w w:val="90"/>
        </w:rPr>
        <w:t> </w:t>
      </w:r>
      <w:r>
        <w:rPr>
          <w:spacing w:val="-2"/>
          <w:w w:val="90"/>
        </w:rPr>
        <w:t>of</w:t>
      </w:r>
      <w:r>
        <w:rPr>
          <w:spacing w:val="-6"/>
          <w:w w:val="90"/>
        </w:rPr>
        <w:t> </w:t>
      </w:r>
      <w:r>
        <w:rPr>
          <w:spacing w:val="-2"/>
          <w:w w:val="90"/>
        </w:rPr>
        <w:t>the</w:t>
      </w:r>
      <w:r>
        <w:rPr>
          <w:spacing w:val="-6"/>
          <w:w w:val="90"/>
        </w:rPr>
        <w:t> </w:t>
      </w:r>
      <w:r>
        <w:rPr>
          <w:spacing w:val="-2"/>
          <w:w w:val="90"/>
        </w:rPr>
        <w:t>system</w:t>
      </w:r>
      <w:r>
        <w:rPr>
          <w:spacing w:val="-6"/>
          <w:w w:val="90"/>
        </w:rPr>
        <w:t> </w:t>
      </w:r>
      <w:r>
        <w:rPr>
          <w:spacing w:val="-2"/>
          <w:w w:val="90"/>
        </w:rPr>
        <w:t>of</w:t>
      </w:r>
      <w:r>
        <w:rPr>
          <w:spacing w:val="-6"/>
          <w:w w:val="90"/>
        </w:rPr>
        <w:t> </w:t>
      </w:r>
      <w:r>
        <w:rPr>
          <w:spacing w:val="-2"/>
          <w:w w:val="90"/>
        </w:rPr>
        <w:t>Open </w:t>
      </w:r>
      <w:r>
        <w:rPr>
          <w:spacing w:val="-4"/>
        </w:rPr>
        <w:t>and</w:t>
      </w:r>
      <w:r>
        <w:rPr>
          <w:spacing w:val="-7"/>
        </w:rPr>
        <w:t> </w:t>
      </w:r>
      <w:r>
        <w:rPr>
          <w:spacing w:val="-4"/>
        </w:rPr>
        <w:t>Distance</w:t>
      </w:r>
      <w:r>
        <w:rPr>
          <w:spacing w:val="-6"/>
        </w:rPr>
        <w:t> </w:t>
      </w:r>
      <w:r>
        <w:rPr>
          <w:spacing w:val="-4"/>
        </w:rPr>
        <w:t>Education</w:t>
      </w:r>
      <w:r>
        <w:rPr>
          <w:spacing w:val="-6"/>
        </w:rPr>
        <w:t> </w:t>
      </w:r>
      <w:r>
        <w:rPr>
          <w:spacing w:val="-4"/>
        </w:rPr>
        <w:t>(ODE)</w:t>
      </w:r>
      <w:r>
        <w:rPr>
          <w:spacing w:val="-7"/>
        </w:rPr>
        <w:t> </w:t>
      </w:r>
      <w:r>
        <w:rPr>
          <w:spacing w:val="-4"/>
        </w:rPr>
        <w:t>is</w:t>
      </w:r>
      <w:r>
        <w:rPr>
          <w:spacing w:val="-6"/>
        </w:rPr>
        <w:t> </w:t>
      </w:r>
      <w:r>
        <w:rPr>
          <w:spacing w:val="-4"/>
        </w:rPr>
        <w:t>imperative</w:t>
      </w:r>
      <w:r>
        <w:rPr>
          <w:spacing w:val="-6"/>
        </w:rPr>
        <w:t> </w:t>
      </w:r>
      <w:r>
        <w:rPr>
          <w:spacing w:val="-5"/>
        </w:rPr>
        <w:t>to</w:t>
      </w:r>
    </w:p>
    <w:p>
      <w:pPr>
        <w:pStyle w:val="BodyText"/>
        <w:spacing w:line="266" w:lineRule="auto"/>
        <w:ind w:left="1080"/>
        <w:jc w:val="both"/>
      </w:pPr>
      <w:r>
        <w:rPr>
          <w:spacing w:val="-4"/>
          <w:w w:val="90"/>
        </w:rPr>
        <w:t>achieve the objectives of expansion, inclusion and excellence </w:t>
      </w:r>
      <w:r>
        <w:rPr>
          <w:spacing w:val="-8"/>
        </w:rPr>
        <w:t>in</w:t>
      </w:r>
      <w:r>
        <w:rPr>
          <w:spacing w:val="-5"/>
        </w:rPr>
        <w:t> </w:t>
      </w:r>
      <w:r>
        <w:rPr>
          <w:spacing w:val="-8"/>
        </w:rPr>
        <w:t>higher</w:t>
      </w:r>
      <w:r>
        <w:rPr/>
        <w:t> </w:t>
      </w:r>
      <w:r>
        <w:rPr>
          <w:spacing w:val="-8"/>
        </w:rPr>
        <w:t>education.</w:t>
      </w:r>
      <w:r>
        <w:rPr>
          <w:spacing w:val="-6"/>
        </w:rPr>
        <w:t> </w:t>
      </w:r>
      <w:r>
        <w:rPr>
          <w:spacing w:val="-8"/>
        </w:rPr>
        <w:t>The</w:t>
      </w:r>
      <w:r>
        <w:rPr/>
        <w:t> </w:t>
      </w:r>
      <w:r>
        <w:rPr>
          <w:spacing w:val="-8"/>
        </w:rPr>
        <w:t>significance</w:t>
      </w:r>
      <w:r>
        <w:rPr>
          <w:spacing w:val="-1"/>
        </w:rPr>
        <w:t> </w:t>
      </w:r>
      <w:r>
        <w:rPr>
          <w:spacing w:val="-8"/>
        </w:rPr>
        <w:t>is</w:t>
      </w:r>
      <w:r>
        <w:rPr>
          <w:spacing w:val="-1"/>
        </w:rPr>
        <w:t> </w:t>
      </w:r>
      <w:r>
        <w:rPr>
          <w:spacing w:val="-8"/>
        </w:rPr>
        <w:t>obvious.</w:t>
      </w:r>
      <w:r>
        <w:rPr>
          <w:spacing w:val="-1"/>
        </w:rPr>
        <w:t> </w:t>
      </w:r>
      <w:r>
        <w:rPr>
          <w:spacing w:val="-8"/>
        </w:rPr>
        <w:t>For</w:t>
      </w:r>
      <w:r>
        <w:rPr>
          <w:spacing w:val="-1"/>
        </w:rPr>
        <w:t> </w:t>
      </w:r>
      <w:r>
        <w:rPr>
          <w:spacing w:val="-8"/>
        </w:rPr>
        <w:t>one, </w:t>
      </w:r>
      <w:r>
        <w:rPr/>
        <w:t>more</w:t>
      </w:r>
      <w:r>
        <w:rPr>
          <w:spacing w:val="-2"/>
        </w:rPr>
        <w:t> </w:t>
      </w:r>
      <w:r>
        <w:rPr/>
        <w:t>than</w:t>
      </w:r>
      <w:r>
        <w:rPr>
          <w:spacing w:val="-2"/>
        </w:rPr>
        <w:t> </w:t>
      </w:r>
      <w:r>
        <w:rPr/>
        <w:t>one-fifth</w:t>
      </w:r>
      <w:r>
        <w:rPr>
          <w:spacing w:val="-2"/>
        </w:rPr>
        <w:t> </w:t>
      </w:r>
      <w:r>
        <w:rPr/>
        <w:t>of</w:t>
      </w:r>
      <w:r>
        <w:rPr>
          <w:spacing w:val="-2"/>
        </w:rPr>
        <w:t> </w:t>
      </w:r>
      <w:r>
        <w:rPr/>
        <w:t>the</w:t>
      </w:r>
      <w:r>
        <w:rPr>
          <w:spacing w:val="-2"/>
        </w:rPr>
        <w:t> </w:t>
      </w:r>
      <w:r>
        <w:rPr/>
        <w:t>students</w:t>
      </w:r>
      <w:r>
        <w:rPr>
          <w:spacing w:val="-2"/>
        </w:rPr>
        <w:t> </w:t>
      </w:r>
      <w:r>
        <w:rPr/>
        <w:t>enrolled</w:t>
      </w:r>
      <w:r>
        <w:rPr>
          <w:spacing w:val="-2"/>
        </w:rPr>
        <w:t> </w:t>
      </w:r>
      <w:r>
        <w:rPr/>
        <w:t>in</w:t>
      </w:r>
      <w:r>
        <w:rPr>
          <w:spacing w:val="-2"/>
        </w:rPr>
        <w:t> </w:t>
      </w:r>
      <w:r>
        <w:rPr/>
        <w:t>higher education are in the ODE stream. For another, ODE has</w:t>
      </w:r>
      <w:r>
        <w:rPr>
          <w:spacing w:val="-5"/>
        </w:rPr>
        <w:t> </w:t>
      </w:r>
      <w:r>
        <w:rPr/>
        <w:t>an</w:t>
      </w:r>
      <w:r>
        <w:rPr>
          <w:spacing w:val="-5"/>
        </w:rPr>
        <w:t> </w:t>
      </w:r>
      <w:r>
        <w:rPr/>
        <w:t>enormous</w:t>
      </w:r>
      <w:r>
        <w:rPr>
          <w:spacing w:val="-5"/>
        </w:rPr>
        <w:t> </w:t>
      </w:r>
      <w:r>
        <w:rPr/>
        <w:t>potential</w:t>
      </w:r>
      <w:r>
        <w:rPr>
          <w:spacing w:val="-5"/>
        </w:rPr>
        <w:t> </w:t>
      </w:r>
      <w:r>
        <w:rPr/>
        <w:t>to</w:t>
      </w:r>
      <w:r>
        <w:rPr>
          <w:spacing w:val="-5"/>
        </w:rPr>
        <w:t> </w:t>
      </w:r>
      <w:r>
        <w:rPr/>
        <w:t>spread</w:t>
      </w:r>
      <w:r>
        <w:rPr>
          <w:spacing w:val="-5"/>
        </w:rPr>
        <w:t> </w:t>
      </w:r>
      <w:r>
        <w:rPr/>
        <w:t>higher</w:t>
      </w:r>
      <w:r>
        <w:rPr>
          <w:spacing w:val="-5"/>
        </w:rPr>
        <w:t> </w:t>
      </w:r>
      <w:r>
        <w:rPr/>
        <w:t>education opportunities</w:t>
      </w:r>
      <w:r>
        <w:rPr>
          <w:spacing w:val="-8"/>
        </w:rPr>
        <w:t> </w:t>
      </w:r>
      <w:r>
        <w:rPr/>
        <w:t>beyond</w:t>
      </w:r>
      <w:r>
        <w:rPr>
          <w:spacing w:val="-8"/>
        </w:rPr>
        <w:t> </w:t>
      </w:r>
      <w:r>
        <w:rPr/>
        <w:t>the</w:t>
      </w:r>
      <w:r>
        <w:rPr>
          <w:spacing w:val="-8"/>
        </w:rPr>
        <w:t> </w:t>
      </w:r>
      <w:r>
        <w:rPr/>
        <w:t>brick</w:t>
      </w:r>
      <w:r>
        <w:rPr>
          <w:spacing w:val="-8"/>
        </w:rPr>
        <w:t> </w:t>
      </w:r>
      <w:r>
        <w:rPr/>
        <w:t>and</w:t>
      </w:r>
      <w:r>
        <w:rPr>
          <w:spacing w:val="-8"/>
        </w:rPr>
        <w:t> </w:t>
      </w:r>
      <w:r>
        <w:rPr/>
        <w:t>mortar</w:t>
      </w:r>
      <w:r>
        <w:rPr>
          <w:spacing w:val="-8"/>
        </w:rPr>
        <w:t> </w:t>
      </w:r>
      <w:r>
        <w:rPr/>
        <w:t>world.</w:t>
      </w:r>
      <w:r>
        <w:rPr>
          <w:spacing w:val="-8"/>
        </w:rPr>
        <w:t> </w:t>
      </w:r>
      <w:r>
        <w:rPr/>
        <w:t>But </w:t>
      </w:r>
      <w:r>
        <w:rPr>
          <w:spacing w:val="-4"/>
        </w:rPr>
        <w:t>there</w:t>
      </w:r>
      <w:r>
        <w:rPr>
          <w:spacing w:val="-10"/>
        </w:rPr>
        <w:t> </w:t>
      </w:r>
      <w:r>
        <w:rPr>
          <w:spacing w:val="-4"/>
        </w:rPr>
        <w:t>are</w:t>
      </w:r>
      <w:r>
        <w:rPr>
          <w:spacing w:val="-10"/>
        </w:rPr>
        <w:t> </w:t>
      </w:r>
      <w:r>
        <w:rPr>
          <w:spacing w:val="-4"/>
        </w:rPr>
        <w:t>reasons</w:t>
      </w:r>
      <w:r>
        <w:rPr>
          <w:spacing w:val="-10"/>
        </w:rPr>
        <w:t> </w:t>
      </w:r>
      <w:r>
        <w:rPr>
          <w:spacing w:val="-4"/>
        </w:rPr>
        <w:t>for</w:t>
      </w:r>
      <w:r>
        <w:rPr>
          <w:spacing w:val="-9"/>
        </w:rPr>
        <w:t> </w:t>
      </w:r>
      <w:r>
        <w:rPr>
          <w:spacing w:val="-4"/>
        </w:rPr>
        <w:t>concern.</w:t>
      </w:r>
      <w:r>
        <w:rPr>
          <w:spacing w:val="-10"/>
        </w:rPr>
        <w:t> </w:t>
      </w:r>
      <w:r>
        <w:rPr>
          <w:spacing w:val="-4"/>
        </w:rPr>
        <w:t>First,</w:t>
      </w:r>
      <w:r>
        <w:rPr>
          <w:spacing w:val="-10"/>
        </w:rPr>
        <w:t> </w:t>
      </w:r>
      <w:r>
        <w:rPr>
          <w:spacing w:val="-4"/>
        </w:rPr>
        <w:t>the</w:t>
      </w:r>
      <w:r>
        <w:rPr>
          <w:spacing w:val="-10"/>
        </w:rPr>
        <w:t> </w:t>
      </w:r>
      <w:r>
        <w:rPr>
          <w:spacing w:val="-4"/>
        </w:rPr>
        <w:t>quality</w:t>
      </w:r>
      <w:r>
        <w:rPr>
          <w:spacing w:val="-9"/>
        </w:rPr>
        <w:t> </w:t>
      </w:r>
      <w:r>
        <w:rPr>
          <w:spacing w:val="-4"/>
        </w:rPr>
        <w:t>of</w:t>
      </w:r>
      <w:r>
        <w:rPr>
          <w:spacing w:val="-10"/>
        </w:rPr>
        <w:t> </w:t>
      </w:r>
      <w:r>
        <w:rPr>
          <w:spacing w:val="-4"/>
        </w:rPr>
        <w:t>higher </w:t>
      </w:r>
      <w:r>
        <w:rPr>
          <w:spacing w:val="-10"/>
        </w:rPr>
        <w:t>education</w:t>
      </w:r>
      <w:r>
        <w:rPr>
          <w:spacing w:val="-1"/>
        </w:rPr>
        <w:t> </w:t>
      </w:r>
      <w:r>
        <w:rPr>
          <w:spacing w:val="-10"/>
        </w:rPr>
        <w:t>provided</w:t>
      </w:r>
      <w:r>
        <w:rPr>
          <w:spacing w:val="-1"/>
        </w:rPr>
        <w:t> </w:t>
      </w:r>
      <w:r>
        <w:rPr>
          <w:spacing w:val="-10"/>
        </w:rPr>
        <w:t>in</w:t>
      </w:r>
      <w:r>
        <w:rPr>
          <w:spacing w:val="-1"/>
        </w:rPr>
        <w:t> </w:t>
      </w:r>
      <w:r>
        <w:rPr>
          <w:spacing w:val="-10"/>
        </w:rPr>
        <w:t>large</w:t>
      </w:r>
      <w:r>
        <w:rPr>
          <w:spacing w:val="-1"/>
        </w:rPr>
        <w:t> </w:t>
      </w:r>
      <w:r>
        <w:rPr>
          <w:spacing w:val="-10"/>
        </w:rPr>
        <w:t>segments</w:t>
      </w:r>
      <w:r>
        <w:rPr>
          <w:spacing w:val="-1"/>
        </w:rPr>
        <w:t> </w:t>
      </w:r>
      <w:r>
        <w:rPr>
          <w:spacing w:val="-10"/>
        </w:rPr>
        <w:t>of</w:t>
      </w:r>
      <w:r>
        <w:rPr>
          <w:spacing w:val="-1"/>
        </w:rPr>
        <w:t> </w:t>
      </w:r>
      <w:r>
        <w:rPr>
          <w:spacing w:val="-10"/>
        </w:rPr>
        <w:t>ODE,</w:t>
      </w:r>
      <w:r>
        <w:rPr>
          <w:spacing w:val="-1"/>
        </w:rPr>
        <w:t> </w:t>
      </w:r>
      <w:r>
        <w:rPr>
          <w:spacing w:val="-10"/>
        </w:rPr>
        <w:t>particularly </w:t>
      </w:r>
      <w:r>
        <w:rPr>
          <w:spacing w:val="-2"/>
          <w:w w:val="90"/>
        </w:rPr>
        <w:t>in</w:t>
      </w:r>
      <w:r>
        <w:rPr>
          <w:spacing w:val="-3"/>
          <w:w w:val="90"/>
        </w:rPr>
        <w:t> </w:t>
      </w:r>
      <w:r>
        <w:rPr>
          <w:spacing w:val="-2"/>
          <w:w w:val="90"/>
        </w:rPr>
        <w:t>correspondence</w:t>
      </w:r>
      <w:r>
        <w:rPr>
          <w:spacing w:val="-3"/>
          <w:w w:val="90"/>
        </w:rPr>
        <w:t> </w:t>
      </w:r>
      <w:r>
        <w:rPr>
          <w:spacing w:val="-2"/>
          <w:w w:val="90"/>
        </w:rPr>
        <w:t>courses</w:t>
      </w:r>
      <w:r>
        <w:rPr>
          <w:spacing w:val="-3"/>
          <w:w w:val="90"/>
        </w:rPr>
        <w:t> </w:t>
      </w:r>
      <w:r>
        <w:rPr>
          <w:spacing w:val="-2"/>
          <w:w w:val="90"/>
        </w:rPr>
        <w:t>in</w:t>
      </w:r>
      <w:r>
        <w:rPr>
          <w:spacing w:val="-3"/>
          <w:w w:val="90"/>
        </w:rPr>
        <w:t> </w:t>
      </w:r>
      <w:r>
        <w:rPr>
          <w:spacing w:val="-2"/>
          <w:w w:val="90"/>
        </w:rPr>
        <w:t>universities,</w:t>
      </w:r>
      <w:r>
        <w:rPr>
          <w:spacing w:val="-3"/>
          <w:w w:val="90"/>
        </w:rPr>
        <w:t> </w:t>
      </w:r>
      <w:r>
        <w:rPr>
          <w:spacing w:val="-2"/>
          <w:w w:val="90"/>
        </w:rPr>
        <w:t>leaves</w:t>
      </w:r>
      <w:r>
        <w:rPr>
          <w:spacing w:val="-3"/>
          <w:w w:val="90"/>
        </w:rPr>
        <w:t> </w:t>
      </w:r>
      <w:r>
        <w:rPr>
          <w:spacing w:val="-2"/>
          <w:w w:val="90"/>
        </w:rPr>
        <w:t>much</w:t>
      </w:r>
      <w:r>
        <w:rPr>
          <w:spacing w:val="-3"/>
          <w:w w:val="90"/>
        </w:rPr>
        <w:t> </w:t>
      </w:r>
      <w:r>
        <w:rPr>
          <w:spacing w:val="-2"/>
          <w:w w:val="90"/>
        </w:rPr>
        <w:t>to</w:t>
      </w:r>
      <w:r>
        <w:rPr>
          <w:spacing w:val="-3"/>
          <w:w w:val="90"/>
        </w:rPr>
        <w:t> </w:t>
      </w:r>
      <w:r>
        <w:rPr>
          <w:spacing w:val="-2"/>
          <w:w w:val="90"/>
        </w:rPr>
        <w:t>be </w:t>
      </w:r>
      <w:r>
        <w:rPr>
          <w:spacing w:val="-8"/>
        </w:rPr>
        <w:t>desired. Second,</w:t>
      </w:r>
      <w:r>
        <w:rPr>
          <w:spacing w:val="-6"/>
        </w:rPr>
        <w:t> </w:t>
      </w:r>
      <w:r>
        <w:rPr>
          <w:spacing w:val="-8"/>
        </w:rPr>
        <w:t>it</w:t>
      </w:r>
      <w:r>
        <w:rPr>
          <w:spacing w:val="-6"/>
        </w:rPr>
        <w:t> </w:t>
      </w:r>
      <w:r>
        <w:rPr>
          <w:spacing w:val="-8"/>
        </w:rPr>
        <w:t>is</w:t>
      </w:r>
      <w:r>
        <w:rPr>
          <w:spacing w:val="-5"/>
        </w:rPr>
        <w:t> </w:t>
      </w:r>
      <w:r>
        <w:rPr>
          <w:spacing w:val="-8"/>
        </w:rPr>
        <w:t>not</w:t>
      </w:r>
      <w:r>
        <w:rPr>
          <w:spacing w:val="-6"/>
        </w:rPr>
        <w:t> </w:t>
      </w:r>
      <w:r>
        <w:rPr>
          <w:spacing w:val="-8"/>
        </w:rPr>
        <w:t>sufficiently</w:t>
      </w:r>
      <w:r>
        <w:rPr>
          <w:spacing w:val="-6"/>
        </w:rPr>
        <w:t> </w:t>
      </w:r>
      <w:r>
        <w:rPr>
          <w:spacing w:val="-8"/>
        </w:rPr>
        <w:t>recognised</w:t>
      </w:r>
      <w:r>
        <w:rPr>
          <w:spacing w:val="-6"/>
        </w:rPr>
        <w:t> </w:t>
      </w:r>
      <w:r>
        <w:rPr>
          <w:spacing w:val="-8"/>
        </w:rPr>
        <w:t>that</w:t>
      </w:r>
      <w:r>
        <w:rPr>
          <w:spacing w:val="-5"/>
        </w:rPr>
        <w:t> </w:t>
      </w:r>
      <w:r>
        <w:rPr>
          <w:spacing w:val="-8"/>
        </w:rPr>
        <w:t>ODE </w:t>
      </w:r>
      <w:r>
        <w:rPr>
          <w:spacing w:val="-6"/>
        </w:rPr>
        <w:t>provides</w:t>
      </w:r>
      <w:r>
        <w:rPr>
          <w:spacing w:val="-8"/>
        </w:rPr>
        <w:t> </w:t>
      </w:r>
      <w:r>
        <w:rPr>
          <w:spacing w:val="-6"/>
        </w:rPr>
        <w:t>educational</w:t>
      </w:r>
      <w:r>
        <w:rPr>
          <w:spacing w:val="-8"/>
        </w:rPr>
        <w:t> </w:t>
      </w:r>
      <w:r>
        <w:rPr>
          <w:spacing w:val="-6"/>
        </w:rPr>
        <w:t>opportunities</w:t>
      </w:r>
      <w:r>
        <w:rPr>
          <w:spacing w:val="-8"/>
        </w:rPr>
        <w:t> </w:t>
      </w:r>
      <w:r>
        <w:rPr>
          <w:spacing w:val="-6"/>
        </w:rPr>
        <w:t>not</w:t>
      </w:r>
      <w:r>
        <w:rPr>
          <w:spacing w:val="-7"/>
        </w:rPr>
        <w:t> </w:t>
      </w:r>
      <w:r>
        <w:rPr>
          <w:spacing w:val="-6"/>
        </w:rPr>
        <w:t>only</w:t>
      </w:r>
      <w:r>
        <w:rPr>
          <w:spacing w:val="-8"/>
        </w:rPr>
        <w:t> </w:t>
      </w:r>
      <w:r>
        <w:rPr>
          <w:spacing w:val="-6"/>
        </w:rPr>
        <w:t>to</w:t>
      </w:r>
      <w:r>
        <w:rPr>
          <w:spacing w:val="-8"/>
        </w:rPr>
        <w:t> </w:t>
      </w:r>
      <w:r>
        <w:rPr>
          <w:spacing w:val="-6"/>
        </w:rPr>
        <w:t>those</w:t>
      </w:r>
      <w:r>
        <w:rPr>
          <w:spacing w:val="-8"/>
        </w:rPr>
        <w:t> </w:t>
      </w:r>
      <w:r>
        <w:rPr>
          <w:spacing w:val="-6"/>
        </w:rPr>
        <w:t>who discontinue formal education on account of economic or </w:t>
      </w:r>
      <w:r>
        <w:rPr>
          <w:spacing w:val="-8"/>
        </w:rPr>
        <w:t>social</w:t>
      </w:r>
      <w:r>
        <w:rPr>
          <w:spacing w:val="-2"/>
        </w:rPr>
        <w:t> </w:t>
      </w:r>
      <w:r>
        <w:rPr>
          <w:spacing w:val="-8"/>
        </w:rPr>
        <w:t>compulsions,</w:t>
      </w:r>
      <w:r>
        <w:rPr>
          <w:spacing w:val="-2"/>
        </w:rPr>
        <w:t> </w:t>
      </w:r>
      <w:r>
        <w:rPr>
          <w:spacing w:val="-8"/>
        </w:rPr>
        <w:t>but</w:t>
      </w:r>
      <w:r>
        <w:rPr>
          <w:spacing w:val="-2"/>
        </w:rPr>
        <w:t> </w:t>
      </w:r>
      <w:r>
        <w:rPr>
          <w:spacing w:val="-8"/>
        </w:rPr>
        <w:t>also</w:t>
      </w:r>
      <w:r>
        <w:rPr>
          <w:spacing w:val="-2"/>
        </w:rPr>
        <w:t> </w:t>
      </w:r>
      <w:r>
        <w:rPr>
          <w:spacing w:val="-8"/>
        </w:rPr>
        <w:t>to</w:t>
      </w:r>
      <w:r>
        <w:rPr>
          <w:spacing w:val="-2"/>
        </w:rPr>
        <w:t> </w:t>
      </w:r>
      <w:r>
        <w:rPr>
          <w:spacing w:val="-8"/>
        </w:rPr>
        <w:t>young</w:t>
      </w:r>
      <w:r>
        <w:rPr>
          <w:spacing w:val="-2"/>
        </w:rPr>
        <w:t> </w:t>
      </w:r>
      <w:r>
        <w:rPr>
          <w:spacing w:val="-8"/>
        </w:rPr>
        <w:t>school</w:t>
      </w:r>
      <w:r>
        <w:rPr>
          <w:spacing w:val="-2"/>
        </w:rPr>
        <w:t> </w:t>
      </w:r>
      <w:r>
        <w:rPr>
          <w:spacing w:val="-8"/>
        </w:rPr>
        <w:t>leavers</w:t>
      </w:r>
      <w:r>
        <w:rPr>
          <w:spacing w:val="-2"/>
        </w:rPr>
        <w:t> </w:t>
      </w:r>
      <w:r>
        <w:rPr>
          <w:spacing w:val="-8"/>
        </w:rPr>
        <w:t>who </w:t>
      </w:r>
      <w:r>
        <w:rPr>
          <w:spacing w:val="-10"/>
        </w:rPr>
        <w:t>are</w:t>
      </w:r>
      <w:r>
        <w:rPr>
          <w:spacing w:val="-4"/>
        </w:rPr>
        <w:t> </w:t>
      </w:r>
      <w:r>
        <w:rPr>
          <w:spacing w:val="-10"/>
        </w:rPr>
        <w:t>simply</w:t>
      </w:r>
      <w:r>
        <w:rPr>
          <w:spacing w:val="-4"/>
        </w:rPr>
        <w:t> </w:t>
      </w:r>
      <w:r>
        <w:rPr>
          <w:spacing w:val="-10"/>
        </w:rPr>
        <w:t>unable</w:t>
      </w:r>
      <w:r>
        <w:rPr>
          <w:spacing w:val="-4"/>
        </w:rPr>
        <w:t> </w:t>
      </w:r>
      <w:r>
        <w:rPr>
          <w:spacing w:val="-10"/>
        </w:rPr>
        <w:t>to</w:t>
      </w:r>
      <w:r>
        <w:rPr>
          <w:spacing w:val="-3"/>
        </w:rPr>
        <w:t> </w:t>
      </w:r>
      <w:r>
        <w:rPr>
          <w:spacing w:val="-10"/>
        </w:rPr>
        <w:t>secure</w:t>
      </w:r>
      <w:r>
        <w:rPr>
          <w:spacing w:val="-4"/>
        </w:rPr>
        <w:t> </w:t>
      </w:r>
      <w:r>
        <w:rPr>
          <w:spacing w:val="-10"/>
        </w:rPr>
        <w:t>admission</w:t>
      </w:r>
      <w:r>
        <w:rPr>
          <w:spacing w:val="-4"/>
        </w:rPr>
        <w:t> </w:t>
      </w:r>
      <w:r>
        <w:rPr>
          <w:spacing w:val="-10"/>
        </w:rPr>
        <w:t>in</w:t>
      </w:r>
      <w:r>
        <w:rPr>
          <w:spacing w:val="-4"/>
        </w:rPr>
        <w:t> </w:t>
      </w:r>
      <w:r>
        <w:rPr>
          <w:spacing w:val="-10"/>
        </w:rPr>
        <w:t>the</w:t>
      </w:r>
      <w:r>
        <w:rPr>
          <w:spacing w:val="-3"/>
        </w:rPr>
        <w:t> </w:t>
      </w:r>
      <w:r>
        <w:rPr>
          <w:spacing w:val="-10"/>
        </w:rPr>
        <w:t>formal</w:t>
      </w:r>
      <w:r>
        <w:rPr>
          <w:spacing w:val="-4"/>
        </w:rPr>
        <w:t> </w:t>
      </w:r>
      <w:r>
        <w:rPr>
          <w:spacing w:val="-10"/>
        </w:rPr>
        <w:t>stream </w:t>
      </w:r>
      <w:r>
        <w:rPr>
          <w:spacing w:val="-8"/>
        </w:rPr>
        <w:t>at</w:t>
      </w:r>
      <w:r>
        <w:rPr>
          <w:spacing w:val="-3"/>
        </w:rPr>
        <w:t> </w:t>
      </w:r>
      <w:r>
        <w:rPr>
          <w:spacing w:val="-8"/>
        </w:rPr>
        <w:t>universities.</w:t>
      </w:r>
      <w:r>
        <w:rPr/>
        <w:t> </w:t>
      </w:r>
      <w:r>
        <w:rPr>
          <w:spacing w:val="-8"/>
        </w:rPr>
        <w:t>It</w:t>
      </w:r>
      <w:r>
        <w:rPr/>
        <w:t> </w:t>
      </w:r>
      <w:r>
        <w:rPr>
          <w:spacing w:val="-8"/>
        </w:rPr>
        <w:t>is</w:t>
      </w:r>
      <w:r>
        <w:rPr/>
        <w:t> </w:t>
      </w:r>
      <w:r>
        <w:rPr>
          <w:spacing w:val="-8"/>
        </w:rPr>
        <w:t>time</w:t>
      </w:r>
      <w:r>
        <w:rPr/>
        <w:t> </w:t>
      </w:r>
      <w:r>
        <w:rPr>
          <w:spacing w:val="-8"/>
        </w:rPr>
        <w:t>to</w:t>
      </w:r>
      <w:r>
        <w:rPr/>
        <w:t> </w:t>
      </w:r>
      <w:r>
        <w:rPr>
          <w:spacing w:val="-8"/>
        </w:rPr>
        <w:t>address</w:t>
      </w:r>
      <w:r>
        <w:rPr/>
        <w:t> </w:t>
      </w:r>
      <w:r>
        <w:rPr>
          <w:spacing w:val="-8"/>
        </w:rPr>
        <w:t>these</w:t>
      </w:r>
      <w:r>
        <w:rPr/>
        <w:t> </w:t>
      </w:r>
      <w:r>
        <w:rPr>
          <w:spacing w:val="-8"/>
        </w:rPr>
        <w:t>problems.</w:t>
      </w:r>
      <w:r>
        <w:rPr>
          <w:spacing w:val="-6"/>
        </w:rPr>
        <w:t> </w:t>
      </w:r>
      <w:r>
        <w:rPr>
          <w:spacing w:val="-8"/>
        </w:rPr>
        <w:t>There </w:t>
      </w:r>
      <w:r>
        <w:rPr>
          <w:spacing w:val="-10"/>
        </w:rPr>
        <w:t>is</w:t>
      </w:r>
      <w:r>
        <w:rPr>
          <w:spacing w:val="-3"/>
        </w:rPr>
        <w:t> </w:t>
      </w:r>
      <w:r>
        <w:rPr>
          <w:spacing w:val="-10"/>
        </w:rPr>
        <w:t>a</w:t>
      </w:r>
      <w:r>
        <w:rPr>
          <w:spacing w:val="-3"/>
        </w:rPr>
        <w:t> </w:t>
      </w:r>
      <w:r>
        <w:rPr>
          <w:spacing w:val="-10"/>
        </w:rPr>
        <w:t>clear</w:t>
      </w:r>
      <w:r>
        <w:rPr>
          <w:spacing w:val="-3"/>
        </w:rPr>
        <w:t> </w:t>
      </w:r>
      <w:r>
        <w:rPr>
          <w:spacing w:val="-10"/>
        </w:rPr>
        <w:t>need</w:t>
      </w:r>
      <w:r>
        <w:rPr>
          <w:spacing w:val="-3"/>
        </w:rPr>
        <w:t> </w:t>
      </w:r>
      <w:r>
        <w:rPr>
          <w:spacing w:val="-10"/>
        </w:rPr>
        <w:t>to</w:t>
      </w:r>
      <w:r>
        <w:rPr>
          <w:spacing w:val="-3"/>
        </w:rPr>
        <w:t> </w:t>
      </w:r>
      <w:r>
        <w:rPr>
          <w:spacing w:val="-10"/>
        </w:rPr>
        <w:t>improve</w:t>
      </w:r>
      <w:r>
        <w:rPr>
          <w:spacing w:val="-3"/>
        </w:rPr>
        <w:t> </w:t>
      </w:r>
      <w:r>
        <w:rPr>
          <w:spacing w:val="-10"/>
        </w:rPr>
        <w:t>the</w:t>
      </w:r>
      <w:r>
        <w:rPr>
          <w:spacing w:val="-3"/>
        </w:rPr>
        <w:t> </w:t>
      </w:r>
      <w:r>
        <w:rPr>
          <w:spacing w:val="-10"/>
        </w:rPr>
        <w:t>quality</w:t>
      </w:r>
      <w:r>
        <w:rPr>
          <w:spacing w:val="-3"/>
        </w:rPr>
        <w:t> </w:t>
      </w:r>
      <w:r>
        <w:rPr>
          <w:spacing w:val="-10"/>
        </w:rPr>
        <w:t>of</w:t>
      </w:r>
      <w:r>
        <w:rPr>
          <w:spacing w:val="-3"/>
        </w:rPr>
        <w:t> </w:t>
      </w:r>
      <w:r>
        <w:rPr>
          <w:spacing w:val="-10"/>
        </w:rPr>
        <w:t>ODE</w:t>
      </w:r>
      <w:r>
        <w:rPr>
          <w:spacing w:val="-3"/>
        </w:rPr>
        <w:t> </w:t>
      </w:r>
      <w:r>
        <w:rPr>
          <w:spacing w:val="-10"/>
        </w:rPr>
        <w:t>and</w:t>
      </w:r>
      <w:r>
        <w:rPr>
          <w:spacing w:val="-3"/>
        </w:rPr>
        <w:t> </w:t>
      </w:r>
      <w:r>
        <w:rPr>
          <w:spacing w:val="-10"/>
        </w:rPr>
        <w:t>to</w:t>
      </w:r>
      <w:r>
        <w:rPr>
          <w:spacing w:val="-3"/>
        </w:rPr>
        <w:t> </w:t>
      </w:r>
      <w:r>
        <w:rPr>
          <w:spacing w:val="-10"/>
        </w:rPr>
        <w:t>make </w:t>
      </w:r>
      <w:r>
        <w:rPr/>
        <w:t>it</w:t>
      </w:r>
      <w:r>
        <w:rPr>
          <w:spacing w:val="-11"/>
        </w:rPr>
        <w:t> </w:t>
      </w:r>
      <w:r>
        <w:rPr/>
        <w:t>more</w:t>
      </w:r>
      <w:r>
        <w:rPr>
          <w:spacing w:val="-11"/>
        </w:rPr>
        <w:t> </w:t>
      </w:r>
      <w:r>
        <w:rPr/>
        <w:t>appropriate</w:t>
      </w:r>
      <w:r>
        <w:rPr>
          <w:spacing w:val="-11"/>
        </w:rPr>
        <w:t> </w:t>
      </w:r>
      <w:r>
        <w:rPr/>
        <w:t>to</w:t>
      </w:r>
      <w:r>
        <w:rPr>
          <w:spacing w:val="-11"/>
        </w:rPr>
        <w:t> </w:t>
      </w:r>
      <w:r>
        <w:rPr/>
        <w:t>the</w:t>
      </w:r>
      <w:r>
        <w:rPr>
          <w:spacing w:val="-11"/>
        </w:rPr>
        <w:t> </w:t>
      </w:r>
      <w:r>
        <w:rPr/>
        <w:t>needs</w:t>
      </w:r>
      <w:r>
        <w:rPr>
          <w:spacing w:val="-11"/>
        </w:rPr>
        <w:t> </w:t>
      </w:r>
      <w:r>
        <w:rPr/>
        <w:t>of</w:t>
      </w:r>
      <w:r>
        <w:rPr>
          <w:spacing w:val="-11"/>
        </w:rPr>
        <w:t> </w:t>
      </w:r>
      <w:r>
        <w:rPr/>
        <w:t>society.</w:t>
      </w:r>
      <w:r>
        <w:rPr>
          <w:spacing w:val="-11"/>
        </w:rPr>
        <w:t> </w:t>
      </w:r>
      <w:r>
        <w:rPr/>
        <w:t>It</w:t>
      </w:r>
      <w:r>
        <w:rPr>
          <w:spacing w:val="-11"/>
        </w:rPr>
        <w:t> </w:t>
      </w:r>
      <w:r>
        <w:rPr/>
        <w:t>is</w:t>
      </w:r>
      <w:r>
        <w:rPr>
          <w:spacing w:val="-11"/>
        </w:rPr>
        <w:t> </w:t>
      </w:r>
      <w:r>
        <w:rPr/>
        <w:t>just</w:t>
      </w:r>
      <w:r>
        <w:rPr>
          <w:spacing w:val="-11"/>
        </w:rPr>
        <w:t> </w:t>
      </w:r>
      <w:r>
        <w:rPr/>
        <w:t>as important</w:t>
      </w:r>
      <w:r>
        <w:rPr>
          <w:spacing w:val="-14"/>
        </w:rPr>
        <w:t> </w:t>
      </w:r>
      <w:r>
        <w:rPr/>
        <w:t>to</w:t>
      </w:r>
      <w:r>
        <w:rPr>
          <w:spacing w:val="-14"/>
        </w:rPr>
        <w:t> </w:t>
      </w:r>
      <w:r>
        <w:rPr/>
        <w:t>expand</w:t>
      </w:r>
      <w:r>
        <w:rPr>
          <w:spacing w:val="-14"/>
        </w:rPr>
        <w:t> </w:t>
      </w:r>
      <w:r>
        <w:rPr/>
        <w:t>opportunities</w:t>
      </w:r>
      <w:r>
        <w:rPr>
          <w:spacing w:val="-13"/>
        </w:rPr>
        <w:t> </w:t>
      </w:r>
      <w:r>
        <w:rPr/>
        <w:t>in</w:t>
      </w:r>
      <w:r>
        <w:rPr>
          <w:spacing w:val="-14"/>
        </w:rPr>
        <w:t> </w:t>
      </w:r>
      <w:r>
        <w:rPr/>
        <w:t>higher</w:t>
      </w:r>
      <w:r>
        <w:rPr>
          <w:spacing w:val="-14"/>
        </w:rPr>
        <w:t> </w:t>
      </w:r>
      <w:r>
        <w:rPr/>
        <w:t>education through</w:t>
      </w:r>
      <w:r>
        <w:rPr>
          <w:spacing w:val="-14"/>
        </w:rPr>
        <w:t> </w:t>
      </w:r>
      <w:r>
        <w:rPr/>
        <w:t>the</w:t>
      </w:r>
      <w:r>
        <w:rPr>
          <w:spacing w:val="-14"/>
        </w:rPr>
        <w:t> </w:t>
      </w:r>
      <w:r>
        <w:rPr/>
        <w:t>use</w:t>
      </w:r>
      <w:r>
        <w:rPr>
          <w:spacing w:val="-14"/>
        </w:rPr>
        <w:t> </w:t>
      </w:r>
      <w:r>
        <w:rPr/>
        <w:t>of</w:t>
      </w:r>
      <w:r>
        <w:rPr>
          <w:spacing w:val="-13"/>
        </w:rPr>
        <w:t> </w:t>
      </w:r>
      <w:r>
        <w:rPr/>
        <w:t>technology</w:t>
      </w:r>
      <w:r>
        <w:rPr>
          <w:spacing w:val="-14"/>
        </w:rPr>
        <w:t> </w:t>
      </w:r>
      <w:r>
        <w:rPr/>
        <w:t>in</w:t>
      </w:r>
      <w:r>
        <w:rPr>
          <w:spacing w:val="-14"/>
        </w:rPr>
        <w:t> </w:t>
      </w:r>
      <w:r>
        <w:rPr/>
        <w:t>ODE.</w:t>
      </w:r>
      <w:r>
        <w:rPr>
          <w:spacing w:val="-14"/>
        </w:rPr>
        <w:t> </w:t>
      </w:r>
      <w:r>
        <w:rPr/>
        <w:t>It</w:t>
      </w:r>
      <w:r>
        <w:rPr>
          <w:spacing w:val="-13"/>
        </w:rPr>
        <w:t> </w:t>
      </w:r>
      <w:r>
        <w:rPr/>
        <w:t>would</w:t>
      </w:r>
      <w:r>
        <w:rPr>
          <w:spacing w:val="-14"/>
        </w:rPr>
        <w:t> </w:t>
      </w:r>
      <w:r>
        <w:rPr/>
        <w:t>not</w:t>
      </w:r>
      <w:r>
        <w:rPr>
          <w:spacing w:val="-14"/>
        </w:rPr>
        <w:t> </w:t>
      </w:r>
      <w:r>
        <w:rPr/>
        <w:t>be </w:t>
      </w:r>
      <w:r>
        <w:rPr>
          <w:spacing w:val="-2"/>
        </w:rPr>
        <w:t>possible</w:t>
      </w:r>
      <w:r>
        <w:rPr>
          <w:spacing w:val="-10"/>
        </w:rPr>
        <w:t> </w:t>
      </w:r>
      <w:r>
        <w:rPr>
          <w:spacing w:val="-2"/>
        </w:rPr>
        <w:t>to</w:t>
      </w:r>
      <w:r>
        <w:rPr>
          <w:spacing w:val="-10"/>
        </w:rPr>
        <w:t> </w:t>
      </w:r>
      <w:r>
        <w:rPr>
          <w:spacing w:val="-2"/>
        </w:rPr>
        <w:t>attain</w:t>
      </w:r>
      <w:r>
        <w:rPr>
          <w:spacing w:val="-10"/>
        </w:rPr>
        <w:t> </w:t>
      </w:r>
      <w:r>
        <w:rPr>
          <w:spacing w:val="-2"/>
        </w:rPr>
        <w:t>a</w:t>
      </w:r>
      <w:r>
        <w:rPr>
          <w:spacing w:val="-10"/>
        </w:rPr>
        <w:t> </w:t>
      </w:r>
      <w:r>
        <w:rPr>
          <w:spacing w:val="-2"/>
        </w:rPr>
        <w:t>gross</w:t>
      </w:r>
      <w:r>
        <w:rPr>
          <w:spacing w:val="-10"/>
        </w:rPr>
        <w:t> </w:t>
      </w:r>
      <w:r>
        <w:rPr>
          <w:spacing w:val="-2"/>
        </w:rPr>
        <w:t>enrolment</w:t>
      </w:r>
      <w:r>
        <w:rPr>
          <w:spacing w:val="-10"/>
        </w:rPr>
        <w:t> </w:t>
      </w:r>
      <w:r>
        <w:rPr>
          <w:spacing w:val="-2"/>
        </w:rPr>
        <w:t>ratio</w:t>
      </w:r>
      <w:r>
        <w:rPr>
          <w:spacing w:val="-10"/>
        </w:rPr>
        <w:t> </w:t>
      </w:r>
      <w:r>
        <w:rPr>
          <w:spacing w:val="-2"/>
        </w:rPr>
        <w:t>of</w:t>
      </w:r>
      <w:r>
        <w:rPr>
          <w:spacing w:val="-10"/>
        </w:rPr>
        <w:t> </w:t>
      </w:r>
      <w:r>
        <w:rPr>
          <w:spacing w:val="-2"/>
        </w:rPr>
        <w:t>15</w:t>
      </w:r>
      <w:r>
        <w:rPr>
          <w:spacing w:val="-10"/>
        </w:rPr>
        <w:t> </w:t>
      </w:r>
      <w:r>
        <w:rPr>
          <w:spacing w:val="-2"/>
        </w:rPr>
        <w:t>per</w:t>
      </w:r>
      <w:r>
        <w:rPr>
          <w:spacing w:val="-10"/>
        </w:rPr>
        <w:t> </w:t>
      </w:r>
      <w:r>
        <w:rPr>
          <w:spacing w:val="-2"/>
        </w:rPr>
        <w:t>cent </w:t>
      </w:r>
      <w:r>
        <w:rPr/>
        <w:t>by</w:t>
      </w:r>
      <w:r>
        <w:rPr>
          <w:spacing w:val="-6"/>
        </w:rPr>
        <w:t> </w:t>
      </w:r>
      <w:r>
        <w:rPr/>
        <w:t>2015</w:t>
      </w:r>
      <w:r>
        <w:rPr>
          <w:spacing w:val="-6"/>
        </w:rPr>
        <w:t> </w:t>
      </w:r>
      <w:r>
        <w:rPr/>
        <w:t>without</w:t>
      </w:r>
      <w:r>
        <w:rPr>
          <w:spacing w:val="-6"/>
        </w:rPr>
        <w:t> </w:t>
      </w:r>
      <w:r>
        <w:rPr/>
        <w:t>a</w:t>
      </w:r>
      <w:r>
        <w:rPr>
          <w:spacing w:val="-6"/>
        </w:rPr>
        <w:t> </w:t>
      </w:r>
      <w:r>
        <w:rPr/>
        <w:t>massive</w:t>
      </w:r>
      <w:r>
        <w:rPr>
          <w:spacing w:val="-6"/>
        </w:rPr>
        <w:t> </w:t>
      </w:r>
      <w:r>
        <w:rPr/>
        <w:t>expansion</w:t>
      </w:r>
      <w:r>
        <w:rPr>
          <w:spacing w:val="-6"/>
        </w:rPr>
        <w:t> </w:t>
      </w:r>
      <w:r>
        <w:rPr/>
        <w:t>in</w:t>
      </w:r>
      <w:r>
        <w:rPr>
          <w:spacing w:val="-6"/>
        </w:rPr>
        <w:t> </w:t>
      </w:r>
      <w:r>
        <w:rPr/>
        <w:t>ODE.</w:t>
      </w:r>
      <w:r>
        <w:rPr>
          <w:spacing w:val="-6"/>
        </w:rPr>
        <w:t> </w:t>
      </w:r>
      <w:r>
        <w:rPr/>
        <w:t>In</w:t>
      </w:r>
      <w:r>
        <w:rPr>
          <w:spacing w:val="-6"/>
        </w:rPr>
        <w:t> </w:t>
      </w:r>
      <w:r>
        <w:rPr/>
        <w:t>this </w:t>
      </w:r>
      <w:r>
        <w:rPr>
          <w:spacing w:val="-10"/>
        </w:rPr>
        <w:t>endeavour,</w:t>
      </w:r>
      <w:r>
        <w:rPr>
          <w:spacing w:val="-4"/>
        </w:rPr>
        <w:t> </w:t>
      </w:r>
      <w:r>
        <w:rPr>
          <w:spacing w:val="-10"/>
        </w:rPr>
        <w:t>we</w:t>
      </w:r>
      <w:r>
        <w:rPr>
          <w:spacing w:val="-4"/>
        </w:rPr>
        <w:t> </w:t>
      </w:r>
      <w:r>
        <w:rPr>
          <w:spacing w:val="-10"/>
        </w:rPr>
        <w:t>must</w:t>
      </w:r>
      <w:r>
        <w:rPr>
          <w:spacing w:val="-4"/>
        </w:rPr>
        <w:t> </w:t>
      </w:r>
      <w:r>
        <w:rPr>
          <w:spacing w:val="-10"/>
        </w:rPr>
        <w:t>not</w:t>
      </w:r>
      <w:r>
        <w:rPr>
          <w:spacing w:val="-3"/>
        </w:rPr>
        <w:t> </w:t>
      </w:r>
      <w:r>
        <w:rPr>
          <w:spacing w:val="-10"/>
        </w:rPr>
        <w:t>forget</w:t>
      </w:r>
      <w:r>
        <w:rPr>
          <w:spacing w:val="-4"/>
        </w:rPr>
        <w:t> </w:t>
      </w:r>
      <w:r>
        <w:rPr>
          <w:spacing w:val="-10"/>
        </w:rPr>
        <w:t>that</w:t>
      </w:r>
      <w:r>
        <w:rPr>
          <w:spacing w:val="-4"/>
        </w:rPr>
        <w:t> </w:t>
      </w:r>
      <w:r>
        <w:rPr>
          <w:spacing w:val="-10"/>
        </w:rPr>
        <w:t>ODE</w:t>
      </w:r>
      <w:r>
        <w:rPr>
          <w:spacing w:val="-4"/>
        </w:rPr>
        <w:t> </w:t>
      </w:r>
      <w:r>
        <w:rPr>
          <w:spacing w:val="-10"/>
        </w:rPr>
        <w:t>is</w:t>
      </w:r>
      <w:r>
        <w:rPr>
          <w:spacing w:val="-3"/>
        </w:rPr>
        <w:t> </w:t>
      </w:r>
      <w:r>
        <w:rPr>
          <w:spacing w:val="-10"/>
        </w:rPr>
        <w:t>seen</w:t>
      </w:r>
      <w:r>
        <w:rPr>
          <w:spacing w:val="-4"/>
        </w:rPr>
        <w:t> </w:t>
      </w:r>
      <w:r>
        <w:rPr>
          <w:spacing w:val="-10"/>
        </w:rPr>
        <w:t>as</w:t>
      </w:r>
      <w:r>
        <w:rPr>
          <w:spacing w:val="-4"/>
        </w:rPr>
        <w:t> </w:t>
      </w:r>
      <w:r>
        <w:rPr>
          <w:spacing w:val="-10"/>
        </w:rPr>
        <w:t>inferior </w:t>
      </w:r>
      <w:r>
        <w:rPr>
          <w:spacing w:val="-6"/>
        </w:rPr>
        <w:t>to</w:t>
      </w:r>
      <w:r>
        <w:rPr>
          <w:spacing w:val="-8"/>
        </w:rPr>
        <w:t> </w:t>
      </w:r>
      <w:r>
        <w:rPr>
          <w:spacing w:val="-6"/>
        </w:rPr>
        <w:t>conventional</w:t>
      </w:r>
      <w:r>
        <w:rPr>
          <w:spacing w:val="-8"/>
        </w:rPr>
        <w:t> </w:t>
      </w:r>
      <w:r>
        <w:rPr>
          <w:spacing w:val="-6"/>
        </w:rPr>
        <w:t>classroom</w:t>
      </w:r>
      <w:r>
        <w:rPr>
          <w:spacing w:val="-8"/>
        </w:rPr>
        <w:t> </w:t>
      </w:r>
      <w:r>
        <w:rPr>
          <w:spacing w:val="-6"/>
        </w:rPr>
        <w:t>learning.</w:t>
      </w:r>
      <w:r>
        <w:rPr>
          <w:spacing w:val="-7"/>
        </w:rPr>
        <w:t> </w:t>
      </w:r>
      <w:r>
        <w:rPr>
          <w:spacing w:val="-6"/>
        </w:rPr>
        <w:t>This</w:t>
      </w:r>
      <w:r>
        <w:rPr>
          <w:spacing w:val="-7"/>
        </w:rPr>
        <w:t> </w:t>
      </w:r>
      <w:r>
        <w:rPr>
          <w:spacing w:val="-6"/>
        </w:rPr>
        <w:t>perception, and </w:t>
      </w:r>
      <w:r>
        <w:rPr>
          <w:spacing w:val="-10"/>
        </w:rPr>
        <w:t>the</w:t>
      </w:r>
      <w:r>
        <w:rPr>
          <w:spacing w:val="-4"/>
        </w:rPr>
        <w:t> </w:t>
      </w:r>
      <w:r>
        <w:rPr>
          <w:spacing w:val="-10"/>
        </w:rPr>
        <w:t>reality,</w:t>
      </w:r>
      <w:r>
        <w:rPr>
          <w:spacing w:val="-2"/>
        </w:rPr>
        <w:t> </w:t>
      </w:r>
      <w:r>
        <w:rPr>
          <w:spacing w:val="-10"/>
        </w:rPr>
        <w:t>both</w:t>
      </w:r>
      <w:r>
        <w:rPr>
          <w:spacing w:val="-2"/>
        </w:rPr>
        <w:t> </w:t>
      </w:r>
      <w:r>
        <w:rPr>
          <w:spacing w:val="-10"/>
        </w:rPr>
        <w:t>need</w:t>
      </w:r>
      <w:r>
        <w:rPr>
          <w:spacing w:val="-2"/>
        </w:rPr>
        <w:t> </w:t>
      </w:r>
      <w:r>
        <w:rPr>
          <w:spacing w:val="-10"/>
        </w:rPr>
        <w:t>change.</w:t>
      </w:r>
      <w:r>
        <w:rPr>
          <w:spacing w:val="-4"/>
        </w:rPr>
        <w:t> </w:t>
      </w:r>
      <w:r>
        <w:rPr>
          <w:spacing w:val="-10"/>
        </w:rPr>
        <w:t>We</w:t>
      </w:r>
      <w:r>
        <w:rPr>
          <w:spacing w:val="-2"/>
        </w:rPr>
        <w:t> </w:t>
      </w:r>
      <w:r>
        <w:rPr>
          <w:spacing w:val="-10"/>
        </w:rPr>
        <w:t>must</w:t>
      </w:r>
      <w:r>
        <w:rPr>
          <w:spacing w:val="-2"/>
        </w:rPr>
        <w:t> </w:t>
      </w:r>
      <w:r>
        <w:rPr>
          <w:spacing w:val="-10"/>
        </w:rPr>
        <w:t>realise</w:t>
      </w:r>
      <w:r>
        <w:rPr>
          <w:spacing w:val="-2"/>
        </w:rPr>
        <w:t> </w:t>
      </w:r>
      <w:r>
        <w:rPr>
          <w:spacing w:val="-10"/>
        </w:rPr>
        <w:t>that</w:t>
      </w:r>
      <w:r>
        <w:rPr>
          <w:spacing w:val="-2"/>
        </w:rPr>
        <w:t> </w:t>
      </w:r>
      <w:r>
        <w:rPr>
          <w:spacing w:val="-10"/>
        </w:rPr>
        <w:t>ODE</w:t>
      </w:r>
      <w:r>
        <w:rPr>
          <w:spacing w:val="-2"/>
        </w:rPr>
        <w:t> </w:t>
      </w:r>
      <w:r>
        <w:rPr>
          <w:spacing w:val="-10"/>
        </w:rPr>
        <w:t>is </w:t>
      </w:r>
      <w:r>
        <w:rPr>
          <w:spacing w:val="-2"/>
          <w:w w:val="90"/>
        </w:rPr>
        <w:t>not simply a mode of educational delivery, but an integrated </w:t>
      </w:r>
      <w:r>
        <w:rPr>
          <w:spacing w:val="-6"/>
        </w:rPr>
        <w:t>discipline engaged in the creation of knowledge.</w:t>
      </w:r>
    </w:p>
    <w:p>
      <w:pPr>
        <w:pStyle w:val="BodyText"/>
        <w:spacing w:before="4"/>
      </w:pPr>
    </w:p>
    <w:p>
      <w:pPr>
        <w:pStyle w:val="BodyText"/>
        <w:spacing w:line="266" w:lineRule="auto"/>
        <w:ind w:left="1080"/>
        <w:jc w:val="both"/>
      </w:pPr>
      <w:r>
        <w:rPr/>
        <w:t>In light of the above, NKC constituted a </w:t>
      </w:r>
      <w:r>
        <w:rPr/>
        <w:t>Working Group</w:t>
      </w:r>
      <w:r>
        <w:rPr>
          <w:spacing w:val="-14"/>
        </w:rPr>
        <w:t> </w:t>
      </w:r>
      <w:r>
        <w:rPr/>
        <w:t>composed</w:t>
      </w:r>
      <w:r>
        <w:rPr>
          <w:spacing w:val="-14"/>
        </w:rPr>
        <w:t> </w:t>
      </w:r>
      <w:r>
        <w:rPr/>
        <w:t>of</w:t>
      </w:r>
      <w:r>
        <w:rPr>
          <w:spacing w:val="-14"/>
        </w:rPr>
        <w:t> </w:t>
      </w:r>
      <w:r>
        <w:rPr/>
        <w:t>distinguished</w:t>
      </w:r>
      <w:r>
        <w:rPr>
          <w:spacing w:val="-13"/>
        </w:rPr>
        <w:t> </w:t>
      </w:r>
      <w:r>
        <w:rPr/>
        <w:t>experts</w:t>
      </w:r>
      <w:r>
        <w:rPr>
          <w:spacing w:val="-14"/>
        </w:rPr>
        <w:t> </w:t>
      </w:r>
      <w:r>
        <w:rPr/>
        <w:t>in</w:t>
      </w:r>
      <w:r>
        <w:rPr>
          <w:spacing w:val="-14"/>
        </w:rPr>
        <w:t> </w:t>
      </w:r>
      <w:r>
        <w:rPr/>
        <w:t>this</w:t>
      </w:r>
      <w:r>
        <w:rPr>
          <w:spacing w:val="-14"/>
        </w:rPr>
        <w:t> </w:t>
      </w:r>
      <w:r>
        <w:rPr/>
        <w:t>field, </w:t>
      </w:r>
      <w:r>
        <w:rPr>
          <w:spacing w:val="-6"/>
        </w:rPr>
        <w:t>chaired</w:t>
      </w:r>
      <w:r>
        <w:rPr>
          <w:spacing w:val="-8"/>
        </w:rPr>
        <w:t> </w:t>
      </w:r>
      <w:r>
        <w:rPr>
          <w:spacing w:val="-6"/>
        </w:rPr>
        <w:t>by</w:t>
      </w:r>
      <w:r>
        <w:rPr>
          <w:spacing w:val="-3"/>
        </w:rPr>
        <w:t> </w:t>
      </w:r>
      <w:r>
        <w:rPr>
          <w:spacing w:val="-6"/>
        </w:rPr>
        <w:t>Prof.</w:t>
      </w:r>
      <w:r>
        <w:rPr>
          <w:spacing w:val="-4"/>
        </w:rPr>
        <w:t> </w:t>
      </w:r>
      <w:r>
        <w:rPr>
          <w:spacing w:val="-6"/>
        </w:rPr>
        <w:t>Ram</w:t>
      </w:r>
      <w:r>
        <w:rPr>
          <w:spacing w:val="-8"/>
        </w:rPr>
        <w:t> </w:t>
      </w:r>
      <w:r>
        <w:rPr>
          <w:spacing w:val="-6"/>
        </w:rPr>
        <w:t>Takwale,</w:t>
      </w:r>
      <w:r>
        <w:rPr>
          <w:spacing w:val="-3"/>
        </w:rPr>
        <w:t> </w:t>
      </w:r>
      <w:r>
        <w:rPr>
          <w:spacing w:val="-6"/>
        </w:rPr>
        <w:t>former</w:t>
      </w:r>
      <w:r>
        <w:rPr>
          <w:spacing w:val="-7"/>
        </w:rPr>
        <w:t> </w:t>
      </w:r>
      <w:r>
        <w:rPr>
          <w:spacing w:val="-6"/>
        </w:rPr>
        <w:t>Vice-Chancellor, </w:t>
      </w:r>
      <w:r>
        <w:rPr/>
        <w:t>IGNOU. Based on inputs provided by the working group and consultations with stakeholders, NKC recommended the following reforms:</w:t>
      </w:r>
    </w:p>
    <w:p>
      <w:pPr>
        <w:pStyle w:val="BodyText"/>
      </w:pPr>
    </w:p>
    <w:p>
      <w:pPr>
        <w:pStyle w:val="Heading6"/>
        <w:numPr>
          <w:ilvl w:val="0"/>
          <w:numId w:val="30"/>
        </w:numPr>
        <w:tabs>
          <w:tab w:pos="1404" w:val="left" w:leader="none"/>
          <w:tab w:pos="1406" w:val="left" w:leader="none"/>
        </w:tabs>
        <w:spacing w:line="182" w:lineRule="auto" w:before="0" w:after="0"/>
        <w:ind w:left="1406" w:right="660" w:hanging="327"/>
        <w:jc w:val="left"/>
      </w:pPr>
      <w:r>
        <w:rPr>
          <w:color w:val="2E614A"/>
        </w:rPr>
        <w:t>Create</w:t>
      </w:r>
      <w:r>
        <w:rPr>
          <w:color w:val="2E614A"/>
          <w:spacing w:val="-20"/>
        </w:rPr>
        <w:t> </w:t>
      </w:r>
      <w:r>
        <w:rPr>
          <w:color w:val="2E614A"/>
        </w:rPr>
        <w:t>a</w:t>
      </w:r>
      <w:r>
        <w:rPr>
          <w:color w:val="2E614A"/>
          <w:spacing w:val="-20"/>
        </w:rPr>
        <w:t> </w:t>
      </w:r>
      <w:r>
        <w:rPr>
          <w:color w:val="2E614A"/>
        </w:rPr>
        <w:t>national</w:t>
      </w:r>
      <w:r>
        <w:rPr>
          <w:color w:val="2E614A"/>
          <w:spacing w:val="-20"/>
        </w:rPr>
        <w:t> </w:t>
      </w:r>
      <w:r>
        <w:rPr>
          <w:color w:val="2E614A"/>
        </w:rPr>
        <w:t>ICT </w:t>
      </w:r>
      <w:r>
        <w:rPr>
          <w:color w:val="2E614A"/>
          <w:w w:val="90"/>
        </w:rPr>
        <w:t>infrastructure for </w:t>
      </w:r>
      <w:r>
        <w:rPr>
          <w:color w:val="2E614A"/>
          <w:w w:val="90"/>
        </w:rPr>
        <w:t>networking </w:t>
      </w:r>
      <w:r>
        <w:rPr>
          <w:color w:val="2E614A"/>
        </w:rPr>
        <w:t>ODE institutions</w:t>
      </w:r>
    </w:p>
    <w:p>
      <w:pPr>
        <w:pStyle w:val="BodyText"/>
        <w:spacing w:line="266" w:lineRule="auto" w:before="303"/>
        <w:ind w:left="1079"/>
        <w:jc w:val="both"/>
      </w:pPr>
      <w:r>
        <w:rPr>
          <w:spacing w:val="-6"/>
        </w:rPr>
        <w:t>A</w:t>
      </w:r>
      <w:r>
        <w:rPr>
          <w:spacing w:val="-8"/>
        </w:rPr>
        <w:t> </w:t>
      </w:r>
      <w:r>
        <w:rPr>
          <w:spacing w:val="-6"/>
        </w:rPr>
        <w:t>national</w:t>
      </w:r>
      <w:r>
        <w:rPr>
          <w:spacing w:val="-8"/>
        </w:rPr>
        <w:t> </w:t>
      </w:r>
      <w:r>
        <w:rPr>
          <w:spacing w:val="-6"/>
        </w:rPr>
        <w:t>Information</w:t>
      </w:r>
      <w:r>
        <w:rPr>
          <w:spacing w:val="-8"/>
        </w:rPr>
        <w:t> </w:t>
      </w:r>
      <w:r>
        <w:rPr>
          <w:spacing w:val="-6"/>
        </w:rPr>
        <w:t>and</w:t>
      </w:r>
      <w:r>
        <w:rPr>
          <w:spacing w:val="-7"/>
        </w:rPr>
        <w:t> </w:t>
      </w:r>
      <w:r>
        <w:rPr>
          <w:spacing w:val="-6"/>
        </w:rPr>
        <w:t>Communication</w:t>
      </w:r>
      <w:r>
        <w:rPr>
          <w:spacing w:val="-8"/>
        </w:rPr>
        <w:t> </w:t>
      </w:r>
      <w:r>
        <w:rPr>
          <w:spacing w:val="-6"/>
        </w:rPr>
        <w:t>Technology </w:t>
      </w:r>
      <w:r>
        <w:rPr>
          <w:spacing w:val="-4"/>
        </w:rPr>
        <w:t>(ICT)</w:t>
      </w:r>
      <w:r>
        <w:rPr>
          <w:spacing w:val="-7"/>
        </w:rPr>
        <w:t> </w:t>
      </w:r>
      <w:r>
        <w:rPr>
          <w:spacing w:val="-4"/>
        </w:rPr>
        <w:t>infrastructure</w:t>
      </w:r>
      <w:r>
        <w:rPr>
          <w:spacing w:val="-6"/>
        </w:rPr>
        <w:t> </w:t>
      </w:r>
      <w:r>
        <w:rPr>
          <w:spacing w:val="-4"/>
        </w:rPr>
        <w:t>must</w:t>
      </w:r>
      <w:r>
        <w:rPr>
          <w:spacing w:val="-6"/>
        </w:rPr>
        <w:t> </w:t>
      </w:r>
      <w:r>
        <w:rPr>
          <w:spacing w:val="-4"/>
        </w:rPr>
        <w:t>be</w:t>
      </w:r>
      <w:r>
        <w:rPr>
          <w:spacing w:val="-7"/>
        </w:rPr>
        <w:t> </w:t>
      </w:r>
      <w:r>
        <w:rPr>
          <w:spacing w:val="-4"/>
        </w:rPr>
        <w:t>set</w:t>
      </w:r>
      <w:r>
        <w:rPr>
          <w:spacing w:val="-6"/>
        </w:rPr>
        <w:t> </w:t>
      </w:r>
      <w:r>
        <w:rPr>
          <w:spacing w:val="-4"/>
        </w:rPr>
        <w:t>up</w:t>
      </w:r>
      <w:r>
        <w:rPr>
          <w:spacing w:val="-6"/>
        </w:rPr>
        <w:t> </w:t>
      </w:r>
      <w:r>
        <w:rPr>
          <w:spacing w:val="-4"/>
        </w:rPr>
        <w:t>through</w:t>
      </w:r>
      <w:r>
        <w:rPr>
          <w:spacing w:val="-6"/>
        </w:rPr>
        <w:t> </w:t>
      </w:r>
      <w:r>
        <w:rPr>
          <w:spacing w:val="-4"/>
        </w:rPr>
        <w:t>government</w:t>
      </w:r>
    </w:p>
    <w:p>
      <w:pPr>
        <w:pStyle w:val="BodyText"/>
        <w:spacing w:line="266" w:lineRule="auto" w:before="82"/>
        <w:ind w:left="319" w:right="1077"/>
        <w:jc w:val="both"/>
      </w:pPr>
      <w:r>
        <w:rPr/>
        <w:br w:type="column"/>
      </w:r>
      <w:r>
        <w:rPr/>
        <w:t>support for networking all ODE institutions. In this regard, we recommend that the digital broadband Knowledge Network proposed by NKC should have </w:t>
      </w:r>
      <w:r>
        <w:rPr>
          <w:spacing w:val="-6"/>
        </w:rPr>
        <w:t>provision</w:t>
      </w:r>
      <w:r>
        <w:rPr>
          <w:spacing w:val="-7"/>
        </w:rPr>
        <w:t> </w:t>
      </w:r>
      <w:r>
        <w:rPr>
          <w:spacing w:val="-6"/>
        </w:rPr>
        <w:t>for</w:t>
      </w:r>
      <w:r>
        <w:rPr>
          <w:spacing w:val="-7"/>
        </w:rPr>
        <w:t> </w:t>
      </w:r>
      <w:r>
        <w:rPr>
          <w:spacing w:val="-6"/>
        </w:rPr>
        <w:t>interconnecting</w:t>
      </w:r>
      <w:r>
        <w:rPr>
          <w:spacing w:val="-7"/>
        </w:rPr>
        <w:t> </w:t>
      </w:r>
      <w:r>
        <w:rPr>
          <w:spacing w:val="-6"/>
        </w:rPr>
        <w:t>the</w:t>
      </w:r>
      <w:r>
        <w:rPr>
          <w:spacing w:val="-7"/>
        </w:rPr>
        <w:t> </w:t>
      </w:r>
      <w:r>
        <w:rPr>
          <w:spacing w:val="-6"/>
        </w:rPr>
        <w:t>major</w:t>
      </w:r>
      <w:r>
        <w:rPr>
          <w:spacing w:val="-7"/>
        </w:rPr>
        <w:t> </w:t>
      </w:r>
      <w:r>
        <w:rPr>
          <w:spacing w:val="-6"/>
        </w:rPr>
        <w:t>ODE</w:t>
      </w:r>
      <w:r>
        <w:rPr>
          <w:spacing w:val="-7"/>
        </w:rPr>
        <w:t> </w:t>
      </w:r>
      <w:r>
        <w:rPr>
          <w:spacing w:val="-6"/>
        </w:rPr>
        <w:t>institutions </w:t>
      </w:r>
      <w:r>
        <w:rPr>
          <w:spacing w:val="-8"/>
        </w:rPr>
        <w:t>and</w:t>
      </w:r>
      <w:r>
        <w:rPr>
          <w:spacing w:val="-4"/>
        </w:rPr>
        <w:t> </w:t>
      </w:r>
      <w:r>
        <w:rPr>
          <w:spacing w:val="-8"/>
        </w:rPr>
        <w:t>their</w:t>
      </w:r>
      <w:r>
        <w:rPr>
          <w:spacing w:val="-4"/>
        </w:rPr>
        <w:t> </w:t>
      </w:r>
      <w:r>
        <w:rPr>
          <w:spacing w:val="-8"/>
        </w:rPr>
        <w:t>study</w:t>
      </w:r>
      <w:r>
        <w:rPr>
          <w:spacing w:val="-4"/>
        </w:rPr>
        <w:t> </w:t>
      </w:r>
      <w:r>
        <w:rPr>
          <w:spacing w:val="-8"/>
        </w:rPr>
        <w:t>centres</w:t>
      </w:r>
      <w:r>
        <w:rPr>
          <w:spacing w:val="-4"/>
        </w:rPr>
        <w:t> </w:t>
      </w:r>
      <w:r>
        <w:rPr>
          <w:spacing w:val="-8"/>
        </w:rPr>
        <w:t>in</w:t>
      </w:r>
      <w:r>
        <w:rPr>
          <w:spacing w:val="-4"/>
        </w:rPr>
        <w:t> </w:t>
      </w:r>
      <w:r>
        <w:rPr>
          <w:spacing w:val="-8"/>
        </w:rPr>
        <w:t>the</w:t>
      </w:r>
      <w:r>
        <w:rPr>
          <w:spacing w:val="-4"/>
        </w:rPr>
        <w:t> </w:t>
      </w:r>
      <w:r>
        <w:rPr>
          <w:spacing w:val="-8"/>
        </w:rPr>
        <w:t>first</w:t>
      </w:r>
      <w:r>
        <w:rPr>
          <w:spacing w:val="-4"/>
        </w:rPr>
        <w:t> </w:t>
      </w:r>
      <w:r>
        <w:rPr>
          <w:spacing w:val="-8"/>
        </w:rPr>
        <w:t>phase</w:t>
      </w:r>
      <w:r>
        <w:rPr>
          <w:spacing w:val="-4"/>
        </w:rPr>
        <w:t> </w:t>
      </w:r>
      <w:r>
        <w:rPr>
          <w:spacing w:val="-8"/>
        </w:rPr>
        <w:t>itself.</w:t>
      </w:r>
      <w:r>
        <w:rPr>
          <w:spacing w:val="-4"/>
        </w:rPr>
        <w:t> </w:t>
      </w:r>
      <w:r>
        <w:rPr>
          <w:spacing w:val="-8"/>
        </w:rPr>
        <w:t>Eventually, </w:t>
      </w:r>
      <w:r>
        <w:rPr/>
        <w:t>minimum</w:t>
      </w:r>
      <w:r>
        <w:rPr>
          <w:spacing w:val="-16"/>
        </w:rPr>
        <w:t> </w:t>
      </w:r>
      <w:r>
        <w:rPr/>
        <w:t>connectivity</w:t>
      </w:r>
      <w:r>
        <w:rPr>
          <w:spacing w:val="-14"/>
        </w:rPr>
        <w:t> </w:t>
      </w:r>
      <w:r>
        <w:rPr/>
        <w:t>of</w:t>
      </w:r>
      <w:r>
        <w:rPr>
          <w:spacing w:val="-14"/>
        </w:rPr>
        <w:t> </w:t>
      </w:r>
      <w:r>
        <w:rPr/>
        <w:t>2</w:t>
      </w:r>
      <w:r>
        <w:rPr>
          <w:spacing w:val="-13"/>
        </w:rPr>
        <w:t> </w:t>
      </w:r>
      <w:r>
        <w:rPr/>
        <w:t>Mbps</w:t>
      </w:r>
      <w:r>
        <w:rPr>
          <w:spacing w:val="-14"/>
        </w:rPr>
        <w:t> </w:t>
      </w:r>
      <w:r>
        <w:rPr/>
        <w:t>must</w:t>
      </w:r>
      <w:r>
        <w:rPr>
          <w:spacing w:val="-14"/>
        </w:rPr>
        <w:t> </w:t>
      </w:r>
      <w:r>
        <w:rPr/>
        <w:t>be</w:t>
      </w:r>
      <w:r>
        <w:rPr>
          <w:spacing w:val="-14"/>
        </w:rPr>
        <w:t> </w:t>
      </w:r>
      <w:r>
        <w:rPr/>
        <w:t>extended</w:t>
      </w:r>
      <w:r>
        <w:rPr>
          <w:spacing w:val="-13"/>
        </w:rPr>
        <w:t> </w:t>
      </w:r>
      <w:r>
        <w:rPr/>
        <w:t>to </w:t>
      </w:r>
      <w:r>
        <w:rPr>
          <w:spacing w:val="-6"/>
        </w:rPr>
        <w:t>the study centres of all ODE institutions. A national ICT </w:t>
      </w:r>
      <w:r>
        <w:rPr/>
        <w:t>backbone</w:t>
      </w:r>
      <w:r>
        <w:rPr>
          <w:spacing w:val="-4"/>
        </w:rPr>
        <w:t> </w:t>
      </w:r>
      <w:r>
        <w:rPr/>
        <w:t>would</w:t>
      </w:r>
      <w:r>
        <w:rPr>
          <w:spacing w:val="-4"/>
        </w:rPr>
        <w:t> </w:t>
      </w:r>
      <w:r>
        <w:rPr/>
        <w:t>enhance</w:t>
      </w:r>
      <w:r>
        <w:rPr>
          <w:spacing w:val="-4"/>
        </w:rPr>
        <w:t> </w:t>
      </w:r>
      <w:r>
        <w:rPr/>
        <w:t>access</w:t>
      </w:r>
      <w:r>
        <w:rPr>
          <w:spacing w:val="-4"/>
        </w:rPr>
        <w:t> </w:t>
      </w:r>
      <w:r>
        <w:rPr/>
        <w:t>and</w:t>
      </w:r>
      <w:r>
        <w:rPr>
          <w:spacing w:val="-4"/>
        </w:rPr>
        <w:t> </w:t>
      </w:r>
      <w:r>
        <w:rPr/>
        <w:t>e-governance</w:t>
      </w:r>
      <w:r>
        <w:rPr>
          <w:spacing w:val="-4"/>
        </w:rPr>
        <w:t> </w:t>
      </w:r>
      <w:r>
        <w:rPr/>
        <w:t>in </w:t>
      </w:r>
      <w:r>
        <w:rPr>
          <w:spacing w:val="-6"/>
        </w:rPr>
        <w:t>ODE, and enable the dissemination of knowledge across </w:t>
      </w:r>
      <w:r>
        <w:rPr>
          <w:spacing w:val="-2"/>
        </w:rPr>
        <w:t>all</w:t>
      </w:r>
      <w:r>
        <w:rPr>
          <w:spacing w:val="-12"/>
        </w:rPr>
        <w:t> </w:t>
      </w:r>
      <w:r>
        <w:rPr>
          <w:spacing w:val="-2"/>
        </w:rPr>
        <w:t>modes,</w:t>
      </w:r>
      <w:r>
        <w:rPr>
          <w:spacing w:val="-12"/>
        </w:rPr>
        <w:t> </w:t>
      </w:r>
      <w:r>
        <w:rPr>
          <w:spacing w:val="-2"/>
        </w:rPr>
        <w:t>that</w:t>
      </w:r>
      <w:r>
        <w:rPr>
          <w:spacing w:val="-12"/>
        </w:rPr>
        <w:t> </w:t>
      </w:r>
      <w:r>
        <w:rPr>
          <w:spacing w:val="-2"/>
        </w:rPr>
        <w:t>is,</w:t>
      </w:r>
      <w:r>
        <w:rPr>
          <w:spacing w:val="-11"/>
        </w:rPr>
        <w:t> </w:t>
      </w:r>
      <w:r>
        <w:rPr>
          <w:spacing w:val="-2"/>
        </w:rPr>
        <w:t>print,</w:t>
      </w:r>
      <w:r>
        <w:rPr>
          <w:spacing w:val="-12"/>
        </w:rPr>
        <w:t> </w:t>
      </w:r>
      <w:r>
        <w:rPr>
          <w:spacing w:val="-2"/>
        </w:rPr>
        <w:t>audio-visual</w:t>
      </w:r>
      <w:r>
        <w:rPr>
          <w:spacing w:val="-12"/>
        </w:rPr>
        <w:t> </w:t>
      </w:r>
      <w:r>
        <w:rPr>
          <w:spacing w:val="-2"/>
        </w:rPr>
        <w:t>and</w:t>
      </w:r>
      <w:r>
        <w:rPr>
          <w:spacing w:val="-12"/>
        </w:rPr>
        <w:t> </w:t>
      </w:r>
      <w:r>
        <w:rPr>
          <w:spacing w:val="-2"/>
        </w:rPr>
        <w:t>Internet</w:t>
      </w:r>
      <w:r>
        <w:rPr>
          <w:spacing w:val="-11"/>
        </w:rPr>
        <w:t> </w:t>
      </w:r>
      <w:r>
        <w:rPr>
          <w:spacing w:val="-2"/>
        </w:rPr>
        <w:t>based multimedia.</w:t>
      </w:r>
    </w:p>
    <w:p>
      <w:pPr>
        <w:pStyle w:val="Heading6"/>
        <w:numPr>
          <w:ilvl w:val="0"/>
          <w:numId w:val="30"/>
        </w:numPr>
        <w:tabs>
          <w:tab w:pos="643" w:val="left" w:leader="none"/>
          <w:tab w:pos="645" w:val="left" w:leader="none"/>
        </w:tabs>
        <w:spacing w:line="182" w:lineRule="auto" w:before="250" w:after="0"/>
        <w:ind w:left="645" w:right="1186" w:hanging="327"/>
        <w:jc w:val="left"/>
      </w:pPr>
      <w:r>
        <w:rPr>
          <w:color w:val="2E614A"/>
        </w:rPr>
        <w:t>Set</w:t>
      </w:r>
      <w:r>
        <w:rPr>
          <w:color w:val="2E614A"/>
          <w:spacing w:val="-20"/>
        </w:rPr>
        <w:t> </w:t>
      </w:r>
      <w:r>
        <w:rPr>
          <w:color w:val="2E614A"/>
        </w:rPr>
        <w:t>up</w:t>
      </w:r>
      <w:r>
        <w:rPr>
          <w:color w:val="2E614A"/>
          <w:spacing w:val="-20"/>
        </w:rPr>
        <w:t> </w:t>
      </w:r>
      <w:r>
        <w:rPr>
          <w:color w:val="2E614A"/>
        </w:rPr>
        <w:t>a</w:t>
      </w:r>
      <w:r>
        <w:rPr>
          <w:color w:val="2E614A"/>
          <w:spacing w:val="-20"/>
        </w:rPr>
        <w:t> </w:t>
      </w:r>
      <w:r>
        <w:rPr>
          <w:color w:val="2E614A"/>
        </w:rPr>
        <w:t>National</w:t>
      </w:r>
      <w:r>
        <w:rPr>
          <w:color w:val="2E614A"/>
          <w:spacing w:val="-20"/>
        </w:rPr>
        <w:t> </w:t>
      </w:r>
      <w:r>
        <w:rPr>
          <w:color w:val="2E614A"/>
        </w:rPr>
        <w:t>Education </w:t>
      </w:r>
      <w:r>
        <w:rPr>
          <w:color w:val="2E614A"/>
          <w:w w:val="90"/>
        </w:rPr>
        <w:t>Foundation to develop </w:t>
      </w:r>
      <w:r>
        <w:rPr>
          <w:color w:val="2E614A"/>
          <w:w w:val="90"/>
        </w:rPr>
        <w:t>web-based </w:t>
      </w:r>
      <w:r>
        <w:rPr>
          <w:color w:val="2E614A"/>
          <w:spacing w:val="-2"/>
        </w:rPr>
        <w:t>common</w:t>
      </w:r>
      <w:r>
        <w:rPr>
          <w:color w:val="2E614A"/>
          <w:spacing w:val="-17"/>
        </w:rPr>
        <w:t> </w:t>
      </w:r>
      <w:r>
        <w:rPr>
          <w:color w:val="2E614A"/>
          <w:spacing w:val="-2"/>
        </w:rPr>
        <w:t>open</w:t>
      </w:r>
      <w:r>
        <w:rPr>
          <w:color w:val="2E614A"/>
          <w:spacing w:val="-17"/>
        </w:rPr>
        <w:t> </w:t>
      </w:r>
      <w:r>
        <w:rPr>
          <w:color w:val="2E614A"/>
          <w:spacing w:val="-2"/>
        </w:rPr>
        <w:t>resources</w:t>
      </w:r>
    </w:p>
    <w:p>
      <w:pPr>
        <w:pStyle w:val="BodyText"/>
        <w:spacing w:line="266" w:lineRule="auto" w:before="302"/>
        <w:ind w:left="319" w:right="1077"/>
        <w:jc w:val="both"/>
      </w:pPr>
      <w:r>
        <w:rPr/>
        <w:t>A</w:t>
      </w:r>
      <w:r>
        <w:rPr>
          <w:spacing w:val="40"/>
        </w:rPr>
        <w:t> </w:t>
      </w:r>
      <w:r>
        <w:rPr/>
        <w:t>National</w:t>
      </w:r>
      <w:r>
        <w:rPr>
          <w:spacing w:val="40"/>
        </w:rPr>
        <w:t> </w:t>
      </w:r>
      <w:r>
        <w:rPr/>
        <w:t>Educational</w:t>
      </w:r>
      <w:r>
        <w:rPr>
          <w:spacing w:val="40"/>
        </w:rPr>
        <w:t> </w:t>
      </w:r>
      <w:r>
        <w:rPr/>
        <w:t>Foundation</w:t>
      </w:r>
      <w:r>
        <w:rPr>
          <w:spacing w:val="40"/>
        </w:rPr>
        <w:t> </w:t>
      </w:r>
      <w:r>
        <w:rPr/>
        <w:t>with</w:t>
      </w:r>
      <w:r>
        <w:rPr>
          <w:spacing w:val="40"/>
        </w:rPr>
        <w:t> </w:t>
      </w:r>
      <w:r>
        <w:rPr/>
        <w:t>a</w:t>
      </w:r>
      <w:r>
        <w:rPr>
          <w:spacing w:val="40"/>
        </w:rPr>
        <w:t> </w:t>
      </w:r>
      <w:r>
        <w:rPr/>
        <w:t>one- time infusion of adequate funds must be established to develop a web-based repository of high quality educational resources. Open Educational Resources (OER)</w:t>
      </w:r>
      <w:r>
        <w:rPr>
          <w:spacing w:val="-9"/>
        </w:rPr>
        <w:t> </w:t>
      </w:r>
      <w:r>
        <w:rPr/>
        <w:t>must</w:t>
      </w:r>
      <w:r>
        <w:rPr>
          <w:spacing w:val="-9"/>
        </w:rPr>
        <w:t> </w:t>
      </w:r>
      <w:r>
        <w:rPr/>
        <w:t>be</w:t>
      </w:r>
      <w:r>
        <w:rPr>
          <w:spacing w:val="-9"/>
        </w:rPr>
        <w:t> </w:t>
      </w:r>
      <w:r>
        <w:rPr/>
        <w:t>created</w:t>
      </w:r>
      <w:r>
        <w:rPr>
          <w:spacing w:val="-9"/>
        </w:rPr>
        <w:t> </w:t>
      </w:r>
      <w:r>
        <w:rPr/>
        <w:t>online</w:t>
      </w:r>
      <w:r>
        <w:rPr>
          <w:spacing w:val="-9"/>
        </w:rPr>
        <w:t> </w:t>
      </w:r>
      <w:r>
        <w:rPr/>
        <w:t>through</w:t>
      </w:r>
      <w:r>
        <w:rPr>
          <w:spacing w:val="-9"/>
        </w:rPr>
        <w:t> </w:t>
      </w:r>
      <w:r>
        <w:rPr/>
        <w:t>a</w:t>
      </w:r>
      <w:r>
        <w:rPr>
          <w:spacing w:val="-9"/>
        </w:rPr>
        <w:t> </w:t>
      </w:r>
      <w:r>
        <w:rPr/>
        <w:t>collaborative </w:t>
      </w:r>
      <w:r>
        <w:rPr>
          <w:spacing w:val="-4"/>
        </w:rPr>
        <w:t>process,</w:t>
      </w:r>
      <w:r>
        <w:rPr>
          <w:spacing w:val="-8"/>
        </w:rPr>
        <w:t> </w:t>
      </w:r>
      <w:r>
        <w:rPr>
          <w:spacing w:val="-4"/>
        </w:rPr>
        <w:t>pooling</w:t>
      </w:r>
      <w:r>
        <w:rPr>
          <w:spacing w:val="-8"/>
        </w:rPr>
        <w:t> </w:t>
      </w:r>
      <w:r>
        <w:rPr>
          <w:spacing w:val="-4"/>
        </w:rPr>
        <w:t>in</w:t>
      </w:r>
      <w:r>
        <w:rPr>
          <w:spacing w:val="-8"/>
        </w:rPr>
        <w:t> </w:t>
      </w:r>
      <w:r>
        <w:rPr>
          <w:spacing w:val="-4"/>
        </w:rPr>
        <w:t>the</w:t>
      </w:r>
      <w:r>
        <w:rPr>
          <w:spacing w:val="-8"/>
        </w:rPr>
        <w:t> </w:t>
      </w:r>
      <w:r>
        <w:rPr>
          <w:spacing w:val="-4"/>
        </w:rPr>
        <w:t>efforts</w:t>
      </w:r>
      <w:r>
        <w:rPr>
          <w:spacing w:val="-8"/>
        </w:rPr>
        <w:t> </w:t>
      </w:r>
      <w:r>
        <w:rPr>
          <w:spacing w:val="-4"/>
        </w:rPr>
        <w:t>and</w:t>
      </w:r>
      <w:r>
        <w:rPr>
          <w:spacing w:val="-8"/>
        </w:rPr>
        <w:t> </w:t>
      </w:r>
      <w:r>
        <w:rPr>
          <w:spacing w:val="-4"/>
        </w:rPr>
        <w:t>expertise</w:t>
      </w:r>
      <w:r>
        <w:rPr>
          <w:spacing w:val="-8"/>
        </w:rPr>
        <w:t> </w:t>
      </w:r>
      <w:r>
        <w:rPr>
          <w:spacing w:val="-4"/>
        </w:rPr>
        <w:t>of</w:t>
      </w:r>
      <w:r>
        <w:rPr>
          <w:spacing w:val="-8"/>
        </w:rPr>
        <w:t> </w:t>
      </w:r>
      <w:r>
        <w:rPr>
          <w:spacing w:val="-4"/>
        </w:rPr>
        <w:t>all</w:t>
      </w:r>
      <w:r>
        <w:rPr>
          <w:spacing w:val="-8"/>
        </w:rPr>
        <w:t> </w:t>
      </w:r>
      <w:r>
        <w:rPr>
          <w:spacing w:val="-4"/>
        </w:rPr>
        <w:t>major </w:t>
      </w:r>
      <w:r>
        <w:rPr/>
        <w:t>institutions of higher education.</w:t>
      </w:r>
      <w:r>
        <w:rPr>
          <w:spacing w:val="-3"/>
        </w:rPr>
        <w:t> </w:t>
      </w:r>
      <w:r>
        <w:rPr/>
        <w:t>The OER repository </w:t>
      </w:r>
      <w:r>
        <w:rPr>
          <w:spacing w:val="-6"/>
        </w:rPr>
        <w:t>would</w:t>
      </w:r>
      <w:r>
        <w:rPr>
          <w:spacing w:val="-8"/>
        </w:rPr>
        <w:t> </w:t>
      </w:r>
      <w:r>
        <w:rPr>
          <w:spacing w:val="-6"/>
        </w:rPr>
        <w:t>supply</w:t>
      </w:r>
      <w:r>
        <w:rPr>
          <w:spacing w:val="-8"/>
        </w:rPr>
        <w:t> </w:t>
      </w:r>
      <w:r>
        <w:rPr>
          <w:spacing w:val="-6"/>
        </w:rPr>
        <w:t>pedagogical</w:t>
      </w:r>
      <w:r>
        <w:rPr>
          <w:spacing w:val="-8"/>
        </w:rPr>
        <w:t> </w:t>
      </w:r>
      <w:r>
        <w:rPr>
          <w:spacing w:val="-6"/>
        </w:rPr>
        <w:t>software</w:t>
      </w:r>
      <w:r>
        <w:rPr>
          <w:spacing w:val="-7"/>
        </w:rPr>
        <w:t> </w:t>
      </w:r>
      <w:r>
        <w:rPr>
          <w:spacing w:val="-6"/>
        </w:rPr>
        <w:t>for</w:t>
      </w:r>
      <w:r>
        <w:rPr>
          <w:spacing w:val="-8"/>
        </w:rPr>
        <w:t> </w:t>
      </w:r>
      <w:r>
        <w:rPr>
          <w:spacing w:val="-6"/>
        </w:rPr>
        <w:t>various</w:t>
      </w:r>
      <w:r>
        <w:rPr>
          <w:spacing w:val="-8"/>
        </w:rPr>
        <w:t> </w:t>
      </w:r>
      <w:r>
        <w:rPr>
          <w:spacing w:val="-6"/>
        </w:rPr>
        <w:t>programs </w:t>
      </w:r>
      <w:r>
        <w:rPr>
          <w:spacing w:val="-2"/>
        </w:rPr>
        <w:t>run</w:t>
      </w:r>
      <w:r>
        <w:rPr>
          <w:spacing w:val="-8"/>
        </w:rPr>
        <w:t> </w:t>
      </w:r>
      <w:r>
        <w:rPr>
          <w:spacing w:val="-2"/>
        </w:rPr>
        <w:t>through</w:t>
      </w:r>
      <w:r>
        <w:rPr>
          <w:spacing w:val="-8"/>
        </w:rPr>
        <w:t> </w:t>
      </w:r>
      <w:r>
        <w:rPr>
          <w:spacing w:val="-2"/>
        </w:rPr>
        <w:t>ODE</w:t>
      </w:r>
      <w:r>
        <w:rPr>
          <w:spacing w:val="-8"/>
        </w:rPr>
        <w:t> </w:t>
      </w:r>
      <w:r>
        <w:rPr>
          <w:spacing w:val="-2"/>
        </w:rPr>
        <w:t>and</w:t>
      </w:r>
      <w:r>
        <w:rPr>
          <w:spacing w:val="-8"/>
        </w:rPr>
        <w:t> </w:t>
      </w:r>
      <w:r>
        <w:rPr>
          <w:spacing w:val="-2"/>
        </w:rPr>
        <w:t>be</w:t>
      </w:r>
      <w:r>
        <w:rPr>
          <w:spacing w:val="-8"/>
        </w:rPr>
        <w:t> </w:t>
      </w:r>
      <w:r>
        <w:rPr>
          <w:spacing w:val="-2"/>
        </w:rPr>
        <w:t>available</w:t>
      </w:r>
      <w:r>
        <w:rPr>
          <w:spacing w:val="-8"/>
        </w:rPr>
        <w:t> </w:t>
      </w:r>
      <w:r>
        <w:rPr>
          <w:spacing w:val="-2"/>
        </w:rPr>
        <w:t>for</w:t>
      </w:r>
      <w:r>
        <w:rPr>
          <w:spacing w:val="-8"/>
        </w:rPr>
        <w:t> </w:t>
      </w:r>
      <w:r>
        <w:rPr>
          <w:spacing w:val="-2"/>
        </w:rPr>
        <w:t>utilisation</w:t>
      </w:r>
      <w:r>
        <w:rPr>
          <w:spacing w:val="-8"/>
        </w:rPr>
        <w:t> </w:t>
      </w:r>
      <w:r>
        <w:rPr>
          <w:spacing w:val="-2"/>
        </w:rPr>
        <w:t>by</w:t>
      </w:r>
      <w:r>
        <w:rPr>
          <w:spacing w:val="-8"/>
        </w:rPr>
        <w:t> </w:t>
      </w:r>
      <w:r>
        <w:rPr>
          <w:spacing w:val="-2"/>
        </w:rPr>
        <w:t>all </w:t>
      </w:r>
      <w:r>
        <w:rPr/>
        <w:t>ODE institutions. An enabling legal framework that </w:t>
      </w:r>
      <w:r>
        <w:rPr>
          <w:spacing w:val="-4"/>
        </w:rPr>
        <w:t>would allow unrestricted access without compromising intellectual</w:t>
      </w:r>
      <w:r>
        <w:rPr>
          <w:spacing w:val="-10"/>
        </w:rPr>
        <w:t> </w:t>
      </w:r>
      <w:r>
        <w:rPr>
          <w:spacing w:val="-4"/>
        </w:rPr>
        <w:t>authorship</w:t>
      </w:r>
      <w:r>
        <w:rPr>
          <w:spacing w:val="-9"/>
        </w:rPr>
        <w:t> </w:t>
      </w:r>
      <w:r>
        <w:rPr>
          <w:spacing w:val="-4"/>
        </w:rPr>
        <w:t>must</w:t>
      </w:r>
      <w:r>
        <w:rPr>
          <w:spacing w:val="-10"/>
        </w:rPr>
        <w:t> </w:t>
      </w:r>
      <w:r>
        <w:rPr>
          <w:spacing w:val="-4"/>
        </w:rPr>
        <w:t>be</w:t>
      </w:r>
      <w:r>
        <w:rPr>
          <w:spacing w:val="-9"/>
        </w:rPr>
        <w:t> </w:t>
      </w:r>
      <w:r>
        <w:rPr>
          <w:spacing w:val="-4"/>
        </w:rPr>
        <w:t>devised</w:t>
      </w:r>
      <w:r>
        <w:rPr>
          <w:spacing w:val="-10"/>
        </w:rPr>
        <w:t> </w:t>
      </w:r>
      <w:r>
        <w:rPr>
          <w:spacing w:val="-4"/>
        </w:rPr>
        <w:t>for</w:t>
      </w:r>
      <w:r>
        <w:rPr>
          <w:spacing w:val="-9"/>
        </w:rPr>
        <w:t> </w:t>
      </w:r>
      <w:r>
        <w:rPr>
          <w:spacing w:val="-4"/>
        </w:rPr>
        <w:t>this</w:t>
      </w:r>
      <w:r>
        <w:rPr>
          <w:spacing w:val="-10"/>
        </w:rPr>
        <w:t> </w:t>
      </w:r>
      <w:r>
        <w:rPr>
          <w:spacing w:val="-4"/>
        </w:rPr>
        <w:t>purpose.</w:t>
      </w:r>
    </w:p>
    <w:p>
      <w:pPr>
        <w:pStyle w:val="Heading6"/>
        <w:numPr>
          <w:ilvl w:val="0"/>
          <w:numId w:val="30"/>
        </w:numPr>
        <w:tabs>
          <w:tab w:pos="643" w:val="left" w:leader="none"/>
          <w:tab w:pos="645" w:val="left" w:leader="none"/>
        </w:tabs>
        <w:spacing w:line="182" w:lineRule="auto" w:before="249" w:after="0"/>
        <w:ind w:left="645" w:right="1348" w:hanging="327"/>
        <w:jc w:val="left"/>
      </w:pPr>
      <w:r>
        <w:rPr>
          <w:color w:val="2E614A"/>
          <w:w w:val="90"/>
        </w:rPr>
        <w:t>Establish a Credit Bank to </w:t>
      </w:r>
      <w:r>
        <w:rPr>
          <w:color w:val="2E614A"/>
          <w:w w:val="90"/>
        </w:rPr>
        <w:t>effect </w:t>
      </w:r>
      <w:r>
        <w:rPr>
          <w:color w:val="2E614A"/>
          <w:spacing w:val="-2"/>
        </w:rPr>
        <w:t>transition</w:t>
      </w:r>
      <w:r>
        <w:rPr>
          <w:color w:val="2E614A"/>
          <w:spacing w:val="-18"/>
        </w:rPr>
        <w:t> </w:t>
      </w:r>
      <w:r>
        <w:rPr>
          <w:color w:val="2E614A"/>
          <w:spacing w:val="-2"/>
        </w:rPr>
        <w:t>to</w:t>
      </w:r>
      <w:r>
        <w:rPr>
          <w:color w:val="2E614A"/>
          <w:spacing w:val="-18"/>
        </w:rPr>
        <w:t> </w:t>
      </w:r>
      <w:r>
        <w:rPr>
          <w:color w:val="2E614A"/>
          <w:spacing w:val="-2"/>
        </w:rPr>
        <w:t>a</w:t>
      </w:r>
      <w:r>
        <w:rPr>
          <w:color w:val="2E614A"/>
          <w:spacing w:val="-18"/>
        </w:rPr>
        <w:t> </w:t>
      </w:r>
      <w:r>
        <w:rPr>
          <w:color w:val="2E614A"/>
          <w:spacing w:val="-2"/>
        </w:rPr>
        <w:t>course</w:t>
      </w:r>
      <w:r>
        <w:rPr>
          <w:color w:val="2E614A"/>
          <w:spacing w:val="-18"/>
        </w:rPr>
        <w:t> </w:t>
      </w:r>
      <w:r>
        <w:rPr>
          <w:color w:val="2E614A"/>
          <w:spacing w:val="-2"/>
        </w:rPr>
        <w:t>credit system</w:t>
      </w:r>
    </w:p>
    <w:p>
      <w:pPr>
        <w:pStyle w:val="BodyText"/>
        <w:spacing w:line="266" w:lineRule="auto" w:before="303"/>
        <w:ind w:left="319" w:right="1077"/>
        <w:jc w:val="both"/>
      </w:pPr>
      <w:r>
        <w:rPr/>
        <w:t>Transition to a course credit system must be carried out</w:t>
      </w:r>
      <w:r>
        <w:rPr>
          <w:spacing w:val="-14"/>
        </w:rPr>
        <w:t> </w:t>
      </w:r>
      <w:r>
        <w:rPr/>
        <w:t>to</w:t>
      </w:r>
      <w:r>
        <w:rPr>
          <w:spacing w:val="-13"/>
        </w:rPr>
        <w:t> </w:t>
      </w:r>
      <w:r>
        <w:rPr/>
        <w:t>enable</w:t>
      </w:r>
      <w:r>
        <w:rPr>
          <w:spacing w:val="-14"/>
        </w:rPr>
        <w:t> </w:t>
      </w:r>
      <w:r>
        <w:rPr/>
        <w:t>the</w:t>
      </w:r>
      <w:r>
        <w:rPr>
          <w:spacing w:val="-13"/>
        </w:rPr>
        <w:t> </w:t>
      </w:r>
      <w:r>
        <w:rPr/>
        <w:t>learner</w:t>
      </w:r>
      <w:r>
        <w:rPr>
          <w:spacing w:val="-14"/>
        </w:rPr>
        <w:t> </w:t>
      </w:r>
      <w:r>
        <w:rPr/>
        <w:t>to</w:t>
      </w:r>
      <w:r>
        <w:rPr>
          <w:spacing w:val="-13"/>
        </w:rPr>
        <w:t> </w:t>
      </w:r>
      <w:r>
        <w:rPr/>
        <w:t>undertake</w:t>
      </w:r>
      <w:r>
        <w:rPr>
          <w:spacing w:val="-14"/>
        </w:rPr>
        <w:t> </w:t>
      </w:r>
      <w:r>
        <w:rPr/>
        <w:t>programs</w:t>
      </w:r>
      <w:r>
        <w:rPr>
          <w:spacing w:val="-13"/>
        </w:rPr>
        <w:t> </w:t>
      </w:r>
      <w:r>
        <w:rPr/>
        <w:t>across all ODE institutions and disciplines. As a part of this </w:t>
      </w:r>
      <w:r>
        <w:rPr>
          <w:spacing w:val="-4"/>
        </w:rPr>
        <w:t>process,</w:t>
      </w:r>
      <w:r>
        <w:rPr>
          <w:spacing w:val="-10"/>
        </w:rPr>
        <w:t> </w:t>
      </w:r>
      <w:r>
        <w:rPr>
          <w:spacing w:val="-4"/>
        </w:rPr>
        <w:t>an</w:t>
      </w:r>
      <w:r>
        <w:rPr>
          <w:spacing w:val="-10"/>
        </w:rPr>
        <w:t> </w:t>
      </w:r>
      <w:r>
        <w:rPr>
          <w:spacing w:val="-4"/>
        </w:rPr>
        <w:t>autonomous</w:t>
      </w:r>
      <w:r>
        <w:rPr>
          <w:spacing w:val="-10"/>
        </w:rPr>
        <w:t> </w:t>
      </w:r>
      <w:r>
        <w:rPr>
          <w:spacing w:val="-4"/>
        </w:rPr>
        <w:t>credit</w:t>
      </w:r>
      <w:r>
        <w:rPr>
          <w:spacing w:val="-9"/>
        </w:rPr>
        <w:t> </w:t>
      </w:r>
      <w:r>
        <w:rPr>
          <w:spacing w:val="-4"/>
        </w:rPr>
        <w:t>bank</w:t>
      </w:r>
      <w:r>
        <w:rPr>
          <w:spacing w:val="-10"/>
        </w:rPr>
        <w:t> </w:t>
      </w:r>
      <w:r>
        <w:rPr>
          <w:spacing w:val="-4"/>
        </w:rPr>
        <w:t>must</w:t>
      </w:r>
      <w:r>
        <w:rPr>
          <w:spacing w:val="-10"/>
        </w:rPr>
        <w:t> </w:t>
      </w:r>
      <w:r>
        <w:rPr>
          <w:spacing w:val="-4"/>
        </w:rPr>
        <w:t>be</w:t>
      </w:r>
      <w:r>
        <w:rPr>
          <w:spacing w:val="-10"/>
        </w:rPr>
        <w:t> </w:t>
      </w:r>
      <w:r>
        <w:rPr>
          <w:spacing w:val="-4"/>
        </w:rPr>
        <w:t>established </w:t>
      </w:r>
      <w:r>
        <w:rPr>
          <w:spacing w:val="-2"/>
        </w:rPr>
        <w:t>for</w:t>
      </w:r>
      <w:r>
        <w:rPr>
          <w:spacing w:val="-8"/>
        </w:rPr>
        <w:t> </w:t>
      </w:r>
      <w:r>
        <w:rPr>
          <w:spacing w:val="-2"/>
        </w:rPr>
        <w:t>storing</w:t>
      </w:r>
      <w:r>
        <w:rPr>
          <w:spacing w:val="-8"/>
        </w:rPr>
        <w:t> </w:t>
      </w:r>
      <w:r>
        <w:rPr>
          <w:spacing w:val="-2"/>
        </w:rPr>
        <w:t>and</w:t>
      </w:r>
      <w:r>
        <w:rPr>
          <w:spacing w:val="-8"/>
        </w:rPr>
        <w:t> </w:t>
      </w:r>
      <w:r>
        <w:rPr>
          <w:spacing w:val="-2"/>
        </w:rPr>
        <w:t>filing</w:t>
      </w:r>
      <w:r>
        <w:rPr>
          <w:spacing w:val="-8"/>
        </w:rPr>
        <w:t> </w:t>
      </w:r>
      <w:r>
        <w:rPr>
          <w:spacing w:val="-2"/>
        </w:rPr>
        <w:t>credits</w:t>
      </w:r>
      <w:r>
        <w:rPr>
          <w:spacing w:val="-8"/>
        </w:rPr>
        <w:t> </w:t>
      </w:r>
      <w:r>
        <w:rPr>
          <w:spacing w:val="-2"/>
        </w:rPr>
        <w:t>acquired</w:t>
      </w:r>
      <w:r>
        <w:rPr>
          <w:spacing w:val="-8"/>
        </w:rPr>
        <w:t> </w:t>
      </w:r>
      <w:r>
        <w:rPr>
          <w:spacing w:val="-2"/>
        </w:rPr>
        <w:t>by</w:t>
      </w:r>
      <w:r>
        <w:rPr>
          <w:spacing w:val="-8"/>
        </w:rPr>
        <w:t> </w:t>
      </w:r>
      <w:r>
        <w:rPr>
          <w:spacing w:val="-2"/>
        </w:rPr>
        <w:t>every</w:t>
      </w:r>
      <w:r>
        <w:rPr>
          <w:spacing w:val="-8"/>
        </w:rPr>
        <w:t> </w:t>
      </w:r>
      <w:r>
        <w:rPr>
          <w:spacing w:val="-2"/>
        </w:rPr>
        <w:t>learner. In</w:t>
      </w:r>
      <w:r>
        <w:rPr>
          <w:spacing w:val="-14"/>
        </w:rPr>
        <w:t> </w:t>
      </w:r>
      <w:r>
        <w:rPr>
          <w:spacing w:val="-2"/>
        </w:rPr>
        <w:t>addition,</w:t>
      </w:r>
      <w:r>
        <w:rPr>
          <w:spacing w:val="-12"/>
        </w:rPr>
        <w:t> </w:t>
      </w:r>
      <w:r>
        <w:rPr>
          <w:spacing w:val="-2"/>
        </w:rPr>
        <w:t>admission</w:t>
      </w:r>
      <w:r>
        <w:rPr>
          <w:spacing w:val="-12"/>
        </w:rPr>
        <w:t> </w:t>
      </w:r>
      <w:r>
        <w:rPr>
          <w:spacing w:val="-2"/>
        </w:rPr>
        <w:t>criteria</w:t>
      </w:r>
      <w:r>
        <w:rPr>
          <w:spacing w:val="-11"/>
        </w:rPr>
        <w:t> </w:t>
      </w:r>
      <w:r>
        <w:rPr>
          <w:spacing w:val="-2"/>
        </w:rPr>
        <w:t>and</w:t>
      </w:r>
      <w:r>
        <w:rPr>
          <w:spacing w:val="-12"/>
        </w:rPr>
        <w:t> </w:t>
      </w:r>
      <w:r>
        <w:rPr>
          <w:spacing w:val="-2"/>
        </w:rPr>
        <w:t>the</w:t>
      </w:r>
      <w:r>
        <w:rPr>
          <w:spacing w:val="-12"/>
        </w:rPr>
        <w:t> </w:t>
      </w:r>
      <w:r>
        <w:rPr>
          <w:spacing w:val="-2"/>
        </w:rPr>
        <w:t>system</w:t>
      </w:r>
      <w:r>
        <w:rPr>
          <w:spacing w:val="-12"/>
        </w:rPr>
        <w:t> </w:t>
      </w:r>
      <w:r>
        <w:rPr>
          <w:spacing w:val="-2"/>
        </w:rPr>
        <w:t>of</w:t>
      </w:r>
      <w:r>
        <w:rPr>
          <w:spacing w:val="-11"/>
        </w:rPr>
        <w:t> </w:t>
      </w:r>
      <w:r>
        <w:rPr>
          <w:spacing w:val="-2"/>
        </w:rPr>
        <w:t>credits </w:t>
      </w:r>
      <w:r>
        <w:rPr>
          <w:w w:val="90"/>
        </w:rPr>
        <w:t>should be as flexible and adaptable as possible. Provisions </w:t>
      </w:r>
      <w:r>
        <w:rPr>
          <w:spacing w:val="-2"/>
        </w:rPr>
        <w:t>must</w:t>
      </w:r>
      <w:r>
        <w:rPr>
          <w:spacing w:val="-9"/>
        </w:rPr>
        <w:t> </w:t>
      </w:r>
      <w:r>
        <w:rPr>
          <w:spacing w:val="-2"/>
        </w:rPr>
        <w:t>be</w:t>
      </w:r>
      <w:r>
        <w:rPr>
          <w:spacing w:val="-9"/>
        </w:rPr>
        <w:t> </w:t>
      </w:r>
      <w:r>
        <w:rPr>
          <w:spacing w:val="-2"/>
        </w:rPr>
        <w:t>made</w:t>
      </w:r>
      <w:r>
        <w:rPr>
          <w:spacing w:val="-9"/>
        </w:rPr>
        <w:t> </w:t>
      </w:r>
      <w:r>
        <w:rPr>
          <w:spacing w:val="-2"/>
        </w:rPr>
        <w:t>for</w:t>
      </w:r>
      <w:r>
        <w:rPr>
          <w:spacing w:val="-9"/>
        </w:rPr>
        <w:t> </w:t>
      </w:r>
      <w:r>
        <w:rPr>
          <w:spacing w:val="-2"/>
        </w:rPr>
        <w:t>multiple</w:t>
      </w:r>
      <w:r>
        <w:rPr>
          <w:spacing w:val="-9"/>
        </w:rPr>
        <w:t> </w:t>
      </w:r>
      <w:r>
        <w:rPr>
          <w:spacing w:val="-2"/>
        </w:rPr>
        <w:t>entry</w:t>
      </w:r>
      <w:r>
        <w:rPr>
          <w:spacing w:val="-9"/>
        </w:rPr>
        <w:t> </w:t>
      </w:r>
      <w:r>
        <w:rPr>
          <w:spacing w:val="-2"/>
        </w:rPr>
        <w:t>points</w:t>
      </w:r>
      <w:r>
        <w:rPr>
          <w:spacing w:val="-9"/>
        </w:rPr>
        <w:t> </w:t>
      </w:r>
      <w:r>
        <w:rPr>
          <w:spacing w:val="-2"/>
        </w:rPr>
        <w:t>and</w:t>
      </w:r>
      <w:r>
        <w:rPr>
          <w:spacing w:val="-9"/>
        </w:rPr>
        <w:t> </w:t>
      </w:r>
      <w:r>
        <w:rPr>
          <w:spacing w:val="-2"/>
        </w:rPr>
        <w:t>exit</w:t>
      </w:r>
      <w:r>
        <w:rPr>
          <w:spacing w:val="-9"/>
        </w:rPr>
        <w:t> </w:t>
      </w:r>
      <w:r>
        <w:rPr>
          <w:spacing w:val="-2"/>
        </w:rPr>
        <w:t>points, </w:t>
      </w:r>
      <w:r>
        <w:rPr/>
        <w:t>a flexible time-table and assessment mechanisms for supporting</w:t>
      </w:r>
      <w:r>
        <w:rPr>
          <w:spacing w:val="-12"/>
        </w:rPr>
        <w:t> </w:t>
      </w:r>
      <w:r>
        <w:rPr/>
        <w:t>life-long</w:t>
      </w:r>
      <w:r>
        <w:rPr>
          <w:spacing w:val="-12"/>
        </w:rPr>
        <w:t> </w:t>
      </w:r>
      <w:r>
        <w:rPr/>
        <w:t>learning.</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30"/>
        </w:numPr>
        <w:tabs>
          <w:tab w:pos="1404" w:val="left" w:leader="none"/>
          <w:tab w:pos="1406" w:val="left" w:leader="none"/>
        </w:tabs>
        <w:spacing w:line="182" w:lineRule="auto" w:before="129" w:after="0"/>
        <w:ind w:left="1406" w:right="51" w:hanging="327"/>
        <w:jc w:val="left"/>
      </w:pPr>
      <w:r>
        <w:rPr>
          <w:color w:val="2E614A"/>
          <w:spacing w:val="-4"/>
        </w:rPr>
        <w:t>Establish</w:t>
      </w:r>
      <w:r>
        <w:rPr>
          <w:color w:val="2E614A"/>
          <w:spacing w:val="-16"/>
        </w:rPr>
        <w:t> </w:t>
      </w:r>
      <w:r>
        <w:rPr>
          <w:color w:val="2E614A"/>
          <w:spacing w:val="-4"/>
        </w:rPr>
        <w:t>a</w:t>
      </w:r>
      <w:r>
        <w:rPr>
          <w:color w:val="2E614A"/>
          <w:spacing w:val="-16"/>
        </w:rPr>
        <w:t> </w:t>
      </w:r>
      <w:r>
        <w:rPr>
          <w:color w:val="2E614A"/>
          <w:spacing w:val="-4"/>
        </w:rPr>
        <w:t>National</w:t>
      </w:r>
      <w:r>
        <w:rPr>
          <w:color w:val="2E614A"/>
          <w:spacing w:val="-16"/>
        </w:rPr>
        <w:t> </w:t>
      </w:r>
      <w:r>
        <w:rPr>
          <w:color w:val="2E614A"/>
          <w:spacing w:val="-4"/>
        </w:rPr>
        <w:t>Education </w:t>
      </w:r>
      <w:r>
        <w:rPr>
          <w:color w:val="2E614A"/>
          <w:spacing w:val="-12"/>
        </w:rPr>
        <w:t>Testing</w:t>
      </w:r>
      <w:r>
        <w:rPr>
          <w:color w:val="2E614A"/>
          <w:spacing w:val="-8"/>
        </w:rPr>
        <w:t> </w:t>
      </w:r>
      <w:r>
        <w:rPr>
          <w:color w:val="2E614A"/>
          <w:spacing w:val="-12"/>
        </w:rPr>
        <w:t>Service</w:t>
      </w:r>
      <w:r>
        <w:rPr>
          <w:color w:val="2E614A"/>
          <w:spacing w:val="-8"/>
        </w:rPr>
        <w:t> </w:t>
      </w:r>
      <w:r>
        <w:rPr>
          <w:color w:val="2E614A"/>
          <w:spacing w:val="-12"/>
        </w:rPr>
        <w:t>for</w:t>
      </w:r>
      <w:r>
        <w:rPr>
          <w:color w:val="2E614A"/>
          <w:spacing w:val="-8"/>
        </w:rPr>
        <w:t> </w:t>
      </w:r>
      <w:r>
        <w:rPr>
          <w:color w:val="2E614A"/>
          <w:spacing w:val="-12"/>
        </w:rPr>
        <w:t>assessing</w:t>
      </w:r>
      <w:r>
        <w:rPr>
          <w:color w:val="2E614A"/>
          <w:spacing w:val="-8"/>
        </w:rPr>
        <w:t> </w:t>
      </w:r>
      <w:r>
        <w:rPr>
          <w:color w:val="2E614A"/>
          <w:spacing w:val="-12"/>
        </w:rPr>
        <w:t>ODE </w:t>
      </w:r>
      <w:r>
        <w:rPr>
          <w:color w:val="2E614A"/>
          <w:spacing w:val="-2"/>
        </w:rPr>
        <w:t>students</w:t>
      </w:r>
    </w:p>
    <w:p>
      <w:pPr>
        <w:pStyle w:val="BodyText"/>
        <w:spacing w:line="266" w:lineRule="auto" w:before="292"/>
        <w:ind w:left="1080"/>
        <w:jc w:val="both"/>
      </w:pPr>
      <w:r>
        <w:rPr/>
        <w:t>An autonomous National Education Testing </w:t>
      </w:r>
      <w:r>
        <w:rPr/>
        <w:t>Service (NETS) must be established through legislation and invested</w:t>
      </w:r>
      <w:r>
        <w:rPr>
          <w:spacing w:val="-14"/>
        </w:rPr>
        <w:t> </w:t>
      </w:r>
      <w:r>
        <w:rPr/>
        <w:t>with</w:t>
      </w:r>
      <w:r>
        <w:rPr>
          <w:spacing w:val="-14"/>
        </w:rPr>
        <w:t> </w:t>
      </w:r>
      <w:r>
        <w:rPr/>
        <w:t>functional</w:t>
      </w:r>
      <w:r>
        <w:rPr>
          <w:spacing w:val="-14"/>
        </w:rPr>
        <w:t> </w:t>
      </w:r>
      <w:r>
        <w:rPr/>
        <w:t>powers</w:t>
      </w:r>
      <w:r>
        <w:rPr>
          <w:spacing w:val="-13"/>
        </w:rPr>
        <w:t> </w:t>
      </w:r>
      <w:r>
        <w:rPr/>
        <w:t>and</w:t>
      </w:r>
      <w:r>
        <w:rPr>
          <w:spacing w:val="-14"/>
        </w:rPr>
        <w:t> </w:t>
      </w:r>
      <w:r>
        <w:rPr/>
        <w:t>responsibility</w:t>
      </w:r>
      <w:r>
        <w:rPr>
          <w:spacing w:val="-14"/>
        </w:rPr>
        <w:t> </w:t>
      </w:r>
      <w:r>
        <w:rPr/>
        <w:t>for assessing</w:t>
      </w:r>
      <w:r>
        <w:rPr>
          <w:spacing w:val="-12"/>
        </w:rPr>
        <w:t> </w:t>
      </w:r>
      <w:r>
        <w:rPr/>
        <w:t>all</w:t>
      </w:r>
      <w:r>
        <w:rPr>
          <w:spacing w:val="-10"/>
        </w:rPr>
        <w:t> </w:t>
      </w:r>
      <w:r>
        <w:rPr/>
        <w:t>potential</w:t>
      </w:r>
      <w:r>
        <w:rPr>
          <w:spacing w:val="-10"/>
        </w:rPr>
        <w:t> </w:t>
      </w:r>
      <w:r>
        <w:rPr/>
        <w:t>graduates</w:t>
      </w:r>
      <w:r>
        <w:rPr>
          <w:spacing w:val="-10"/>
        </w:rPr>
        <w:t> </w:t>
      </w:r>
      <w:r>
        <w:rPr/>
        <w:t>in</w:t>
      </w:r>
      <w:r>
        <w:rPr>
          <w:spacing w:val="-10"/>
        </w:rPr>
        <w:t> </w:t>
      </w:r>
      <w:r>
        <w:rPr/>
        <w:t>ODE.</w:t>
      </w:r>
      <w:r>
        <w:rPr>
          <w:spacing w:val="-14"/>
        </w:rPr>
        <w:t> </w:t>
      </w:r>
      <w:r>
        <w:rPr/>
        <w:t>This</w:t>
      </w:r>
      <w:r>
        <w:rPr>
          <w:spacing w:val="-10"/>
        </w:rPr>
        <w:t> </w:t>
      </w:r>
      <w:r>
        <w:rPr/>
        <w:t>unified examination</w:t>
      </w:r>
      <w:r>
        <w:rPr>
          <w:spacing w:val="-9"/>
        </w:rPr>
        <w:t> </w:t>
      </w:r>
      <w:r>
        <w:rPr/>
        <w:t>system</w:t>
      </w:r>
      <w:r>
        <w:rPr>
          <w:spacing w:val="-9"/>
        </w:rPr>
        <w:t> </w:t>
      </w:r>
      <w:r>
        <w:rPr/>
        <w:t>would</w:t>
      </w:r>
      <w:r>
        <w:rPr>
          <w:spacing w:val="-9"/>
        </w:rPr>
        <w:t> </w:t>
      </w:r>
      <w:r>
        <w:rPr/>
        <w:t>test</w:t>
      </w:r>
      <w:r>
        <w:rPr>
          <w:spacing w:val="-9"/>
        </w:rPr>
        <w:t> </w:t>
      </w:r>
      <w:r>
        <w:rPr/>
        <w:t>the</w:t>
      </w:r>
      <w:r>
        <w:rPr>
          <w:spacing w:val="-9"/>
        </w:rPr>
        <w:t> </w:t>
      </w:r>
      <w:r>
        <w:rPr/>
        <w:t>learners’</w:t>
      </w:r>
      <w:r>
        <w:rPr>
          <w:spacing w:val="-9"/>
        </w:rPr>
        <w:t> </w:t>
      </w:r>
      <w:r>
        <w:rPr/>
        <w:t>ability</w:t>
      </w:r>
      <w:r>
        <w:rPr>
          <w:spacing w:val="-9"/>
        </w:rPr>
        <w:t> </w:t>
      </w:r>
      <w:r>
        <w:rPr/>
        <w:t>to perform intellectual and practical tasks. All courses, degrees</w:t>
      </w:r>
      <w:r>
        <w:rPr>
          <w:spacing w:val="-12"/>
        </w:rPr>
        <w:t> </w:t>
      </w:r>
      <w:r>
        <w:rPr/>
        <w:t>and</w:t>
      </w:r>
      <w:r>
        <w:rPr>
          <w:spacing w:val="-12"/>
        </w:rPr>
        <w:t> </w:t>
      </w:r>
      <w:r>
        <w:rPr/>
        <w:t>activities</w:t>
      </w:r>
      <w:r>
        <w:rPr>
          <w:spacing w:val="-12"/>
        </w:rPr>
        <w:t> </w:t>
      </w:r>
      <w:r>
        <w:rPr/>
        <w:t>offered</w:t>
      </w:r>
      <w:r>
        <w:rPr>
          <w:spacing w:val="-12"/>
        </w:rPr>
        <w:t> </w:t>
      </w:r>
      <w:r>
        <w:rPr/>
        <w:t>through</w:t>
      </w:r>
      <w:r>
        <w:rPr>
          <w:spacing w:val="-12"/>
        </w:rPr>
        <w:t> </w:t>
      </w:r>
      <w:r>
        <w:rPr/>
        <w:t>ODE</w:t>
      </w:r>
      <w:r>
        <w:rPr>
          <w:spacing w:val="-12"/>
        </w:rPr>
        <w:t> </w:t>
      </w:r>
      <w:r>
        <w:rPr/>
        <w:t>should</w:t>
      </w:r>
      <w:r>
        <w:rPr>
          <w:spacing w:val="-12"/>
        </w:rPr>
        <w:t> </w:t>
      </w:r>
      <w:r>
        <w:rPr/>
        <w:t>be certified through this system.</w:t>
      </w:r>
    </w:p>
    <w:p>
      <w:pPr>
        <w:pStyle w:val="Heading6"/>
        <w:numPr>
          <w:ilvl w:val="0"/>
          <w:numId w:val="30"/>
        </w:numPr>
        <w:tabs>
          <w:tab w:pos="1404" w:val="left" w:leader="none"/>
          <w:tab w:pos="1406" w:val="left" w:leader="none"/>
        </w:tabs>
        <w:spacing w:line="182" w:lineRule="auto" w:before="224" w:after="0"/>
        <w:ind w:left="1406" w:right="935" w:hanging="327"/>
        <w:jc w:val="left"/>
      </w:pPr>
      <w:r>
        <w:rPr>
          <w:color w:val="2E614A"/>
          <w:w w:val="90"/>
        </w:rPr>
        <w:t>Facilitate convergence </w:t>
      </w:r>
      <w:r>
        <w:rPr>
          <w:color w:val="2E614A"/>
          <w:w w:val="90"/>
        </w:rPr>
        <w:t>with </w:t>
      </w:r>
      <w:r>
        <w:rPr>
          <w:color w:val="2E614A"/>
          <w:spacing w:val="-2"/>
        </w:rPr>
        <w:t>conventional</w:t>
      </w:r>
      <w:r>
        <w:rPr>
          <w:color w:val="2E614A"/>
          <w:spacing w:val="-18"/>
        </w:rPr>
        <w:t> </w:t>
      </w:r>
      <w:r>
        <w:rPr>
          <w:color w:val="2E614A"/>
          <w:spacing w:val="-2"/>
        </w:rPr>
        <w:t>universities</w:t>
      </w:r>
    </w:p>
    <w:p>
      <w:pPr>
        <w:pStyle w:val="BodyText"/>
        <w:spacing w:line="266" w:lineRule="auto" w:before="293"/>
        <w:ind w:left="1080"/>
        <w:jc w:val="both"/>
      </w:pPr>
      <w:r>
        <w:rPr>
          <w:spacing w:val="-6"/>
        </w:rPr>
        <w:t>The lack of convergence between programs run by </w:t>
      </w:r>
      <w:r>
        <w:rPr>
          <w:spacing w:val="-6"/>
        </w:rPr>
        <w:t>open </w:t>
      </w:r>
      <w:r>
        <w:rPr>
          <w:spacing w:val="-2"/>
        </w:rPr>
        <w:t>universities</w:t>
      </w:r>
      <w:r>
        <w:rPr>
          <w:spacing w:val="-12"/>
        </w:rPr>
        <w:t> </w:t>
      </w:r>
      <w:r>
        <w:rPr>
          <w:spacing w:val="-2"/>
        </w:rPr>
        <w:t>and</w:t>
      </w:r>
      <w:r>
        <w:rPr>
          <w:spacing w:val="-12"/>
        </w:rPr>
        <w:t> </w:t>
      </w:r>
      <w:r>
        <w:rPr>
          <w:spacing w:val="-2"/>
        </w:rPr>
        <w:t>correspondence</w:t>
      </w:r>
      <w:r>
        <w:rPr>
          <w:spacing w:val="-12"/>
        </w:rPr>
        <w:t> </w:t>
      </w:r>
      <w:r>
        <w:rPr>
          <w:spacing w:val="-2"/>
        </w:rPr>
        <w:t>courses</w:t>
      </w:r>
      <w:r>
        <w:rPr>
          <w:spacing w:val="-11"/>
        </w:rPr>
        <w:t> </w:t>
      </w:r>
      <w:r>
        <w:rPr>
          <w:spacing w:val="-2"/>
        </w:rPr>
        <w:t>offered</w:t>
      </w:r>
      <w:r>
        <w:rPr>
          <w:spacing w:val="-12"/>
        </w:rPr>
        <w:t> </w:t>
      </w:r>
      <w:r>
        <w:rPr>
          <w:spacing w:val="-2"/>
        </w:rPr>
        <w:t>by</w:t>
      </w:r>
      <w:r>
        <w:rPr>
          <w:spacing w:val="-12"/>
        </w:rPr>
        <w:t> </w:t>
      </w:r>
      <w:r>
        <w:rPr>
          <w:spacing w:val="-2"/>
        </w:rPr>
        <w:t>the </w:t>
      </w:r>
      <w:r>
        <w:rPr/>
        <w:t>distance</w:t>
      </w:r>
      <w:r>
        <w:rPr>
          <w:spacing w:val="-12"/>
        </w:rPr>
        <w:t> </w:t>
      </w:r>
      <w:r>
        <w:rPr/>
        <w:t>education</w:t>
      </w:r>
      <w:r>
        <w:rPr>
          <w:spacing w:val="-12"/>
        </w:rPr>
        <w:t> </w:t>
      </w:r>
      <w:r>
        <w:rPr/>
        <w:t>wings</w:t>
      </w:r>
      <w:r>
        <w:rPr>
          <w:spacing w:val="-12"/>
        </w:rPr>
        <w:t> </w:t>
      </w:r>
      <w:r>
        <w:rPr/>
        <w:t>of</w:t>
      </w:r>
      <w:r>
        <w:rPr>
          <w:spacing w:val="-12"/>
        </w:rPr>
        <w:t> </w:t>
      </w:r>
      <w:r>
        <w:rPr/>
        <w:t>conventional</w:t>
      </w:r>
      <w:r>
        <w:rPr>
          <w:spacing w:val="-12"/>
        </w:rPr>
        <w:t> </w:t>
      </w:r>
      <w:r>
        <w:rPr/>
        <w:t>educational institutions is a cause of great concern. Rather than function as parallel systems at odds with each other, </w:t>
      </w:r>
      <w:r>
        <w:rPr>
          <w:spacing w:val="-2"/>
        </w:rPr>
        <w:t>open</w:t>
      </w:r>
      <w:r>
        <w:rPr>
          <w:spacing w:val="-12"/>
        </w:rPr>
        <w:t> </w:t>
      </w:r>
      <w:r>
        <w:rPr>
          <w:spacing w:val="-2"/>
        </w:rPr>
        <w:t>universities</w:t>
      </w:r>
      <w:r>
        <w:rPr>
          <w:spacing w:val="-12"/>
        </w:rPr>
        <w:t> </w:t>
      </w:r>
      <w:r>
        <w:rPr>
          <w:spacing w:val="-2"/>
        </w:rPr>
        <w:t>must</w:t>
      </w:r>
      <w:r>
        <w:rPr>
          <w:spacing w:val="-12"/>
        </w:rPr>
        <w:t> </w:t>
      </w:r>
      <w:r>
        <w:rPr>
          <w:spacing w:val="-2"/>
        </w:rPr>
        <w:t>forge</w:t>
      </w:r>
      <w:r>
        <w:rPr>
          <w:spacing w:val="-11"/>
        </w:rPr>
        <w:t> </w:t>
      </w:r>
      <w:r>
        <w:rPr>
          <w:spacing w:val="-2"/>
        </w:rPr>
        <w:t>organisational</w:t>
      </w:r>
      <w:r>
        <w:rPr>
          <w:spacing w:val="-12"/>
        </w:rPr>
        <w:t> </w:t>
      </w:r>
      <w:r>
        <w:rPr>
          <w:spacing w:val="-2"/>
        </w:rPr>
        <w:t>alignments </w:t>
      </w:r>
      <w:r>
        <w:rPr>
          <w:spacing w:val="-4"/>
        </w:rPr>
        <w:t>with</w:t>
      </w:r>
      <w:r>
        <w:rPr>
          <w:spacing w:val="-10"/>
        </w:rPr>
        <w:t> </w:t>
      </w:r>
      <w:r>
        <w:rPr>
          <w:spacing w:val="-4"/>
        </w:rPr>
        <w:t>conventional</w:t>
      </w:r>
      <w:r>
        <w:rPr>
          <w:spacing w:val="-10"/>
        </w:rPr>
        <w:t> </w:t>
      </w:r>
      <w:r>
        <w:rPr>
          <w:spacing w:val="-4"/>
        </w:rPr>
        <w:t>universities</w:t>
      </w:r>
      <w:r>
        <w:rPr>
          <w:spacing w:val="-6"/>
        </w:rPr>
        <w:t> </w:t>
      </w:r>
      <w:r>
        <w:rPr>
          <w:spacing w:val="-4"/>
        </w:rPr>
        <w:t>geared towards common </w:t>
      </w:r>
      <w:r>
        <w:rPr/>
        <w:t>goals and strategies.</w:t>
      </w:r>
      <w:r>
        <w:rPr>
          <w:spacing w:val="-6"/>
        </w:rPr>
        <w:t> </w:t>
      </w:r>
      <w:r>
        <w:rPr/>
        <w:t>They must engage each other in </w:t>
      </w:r>
      <w:r>
        <w:rPr>
          <w:spacing w:val="-2"/>
        </w:rPr>
        <w:t>the</w:t>
      </w:r>
      <w:r>
        <w:rPr>
          <w:spacing w:val="-9"/>
        </w:rPr>
        <w:t> </w:t>
      </w:r>
      <w:r>
        <w:rPr>
          <w:spacing w:val="-2"/>
        </w:rPr>
        <w:t>collaborative</w:t>
      </w:r>
      <w:r>
        <w:rPr>
          <w:spacing w:val="-9"/>
        </w:rPr>
        <w:t> </w:t>
      </w:r>
      <w:r>
        <w:rPr>
          <w:spacing w:val="-2"/>
        </w:rPr>
        <w:t>creation</w:t>
      </w:r>
      <w:r>
        <w:rPr>
          <w:spacing w:val="-9"/>
        </w:rPr>
        <w:t> </w:t>
      </w:r>
      <w:r>
        <w:rPr>
          <w:spacing w:val="-2"/>
        </w:rPr>
        <w:t>of</w:t>
      </w:r>
      <w:r>
        <w:rPr>
          <w:spacing w:val="-9"/>
        </w:rPr>
        <w:t> </w:t>
      </w:r>
      <w:r>
        <w:rPr>
          <w:spacing w:val="-2"/>
        </w:rPr>
        <w:t>pedagogical</w:t>
      </w:r>
      <w:r>
        <w:rPr>
          <w:spacing w:val="-9"/>
        </w:rPr>
        <w:t> </w:t>
      </w:r>
      <w:r>
        <w:rPr>
          <w:spacing w:val="-2"/>
        </w:rPr>
        <w:t>resources</w:t>
      </w:r>
      <w:r>
        <w:rPr>
          <w:spacing w:val="-9"/>
        </w:rPr>
        <w:t> </w:t>
      </w:r>
      <w:r>
        <w:rPr>
          <w:spacing w:val="-2"/>
        </w:rPr>
        <w:t>via </w:t>
      </w:r>
      <w:r>
        <w:rPr/>
        <w:t>OER and its delivery along shared modes. Programs and</w:t>
      </w:r>
      <w:r>
        <w:rPr>
          <w:spacing w:val="40"/>
        </w:rPr>
        <w:t> </w:t>
      </w:r>
      <w:r>
        <w:rPr/>
        <w:t>courses</w:t>
      </w:r>
      <w:r>
        <w:rPr>
          <w:spacing w:val="40"/>
        </w:rPr>
        <w:t> </w:t>
      </w:r>
      <w:r>
        <w:rPr/>
        <w:t>offered</w:t>
      </w:r>
      <w:r>
        <w:rPr>
          <w:spacing w:val="40"/>
        </w:rPr>
        <w:t> </w:t>
      </w:r>
      <w:r>
        <w:rPr/>
        <w:t>by</w:t>
      </w:r>
      <w:r>
        <w:rPr>
          <w:spacing w:val="40"/>
        </w:rPr>
        <w:t> </w:t>
      </w:r>
      <w:r>
        <w:rPr/>
        <w:t>each</w:t>
      </w:r>
      <w:r>
        <w:rPr>
          <w:spacing w:val="40"/>
        </w:rPr>
        <w:t> </w:t>
      </w:r>
      <w:r>
        <w:rPr/>
        <w:t>should</w:t>
      </w:r>
      <w:r>
        <w:rPr>
          <w:spacing w:val="40"/>
        </w:rPr>
        <w:t> </w:t>
      </w:r>
      <w:r>
        <w:rPr/>
        <w:t>be</w:t>
      </w:r>
      <w:r>
        <w:rPr>
          <w:spacing w:val="40"/>
        </w:rPr>
        <w:t> </w:t>
      </w:r>
      <w:r>
        <w:rPr/>
        <w:t>subject</w:t>
      </w:r>
      <w:r>
        <w:rPr>
          <w:spacing w:val="40"/>
        </w:rPr>
        <w:t> </w:t>
      </w:r>
      <w:r>
        <w:rPr/>
        <w:t>to the same stringent norms of quality assurance. This implies that the distance education departments operating within conventional universities must be encouraged to put correspondence courses through the NETS for purposes of assessment. At the same time,</w:t>
      </w:r>
      <w:r>
        <w:rPr>
          <w:spacing w:val="-1"/>
        </w:rPr>
        <w:t> </w:t>
      </w:r>
      <w:r>
        <w:rPr/>
        <w:t>universities</w:t>
      </w:r>
      <w:r>
        <w:rPr>
          <w:spacing w:val="-1"/>
        </w:rPr>
        <w:t> </w:t>
      </w:r>
      <w:r>
        <w:rPr/>
        <w:t>must</w:t>
      </w:r>
      <w:r>
        <w:rPr>
          <w:spacing w:val="-1"/>
        </w:rPr>
        <w:t> </w:t>
      </w:r>
      <w:r>
        <w:rPr/>
        <w:t>also</w:t>
      </w:r>
      <w:r>
        <w:rPr>
          <w:spacing w:val="-1"/>
        </w:rPr>
        <w:t> </w:t>
      </w:r>
      <w:r>
        <w:rPr/>
        <w:t>ensure</w:t>
      </w:r>
      <w:r>
        <w:rPr>
          <w:spacing w:val="-1"/>
        </w:rPr>
        <w:t> </w:t>
      </w:r>
      <w:r>
        <w:rPr/>
        <w:t>that</w:t>
      </w:r>
      <w:r>
        <w:rPr>
          <w:spacing w:val="-1"/>
        </w:rPr>
        <w:t> </w:t>
      </w:r>
      <w:r>
        <w:rPr/>
        <w:t>their</w:t>
      </w:r>
      <w:r>
        <w:rPr>
          <w:spacing w:val="-1"/>
        </w:rPr>
        <w:t> </w:t>
      </w:r>
      <w:r>
        <w:rPr/>
        <w:t>distance education programs are not stand-alone, but should benefit from regular interaction with university </w:t>
      </w:r>
      <w:r>
        <w:rPr>
          <w:spacing w:val="-2"/>
        </w:rPr>
        <w:t>departments</w:t>
      </w:r>
      <w:r>
        <w:rPr>
          <w:spacing w:val="-7"/>
        </w:rPr>
        <w:t> </w:t>
      </w:r>
      <w:r>
        <w:rPr>
          <w:spacing w:val="-2"/>
        </w:rPr>
        <w:t>in</w:t>
      </w:r>
      <w:r>
        <w:rPr>
          <w:spacing w:val="-6"/>
        </w:rPr>
        <w:t> </w:t>
      </w:r>
      <w:r>
        <w:rPr>
          <w:spacing w:val="-2"/>
        </w:rPr>
        <w:t>concerned</w:t>
      </w:r>
      <w:r>
        <w:rPr>
          <w:spacing w:val="-6"/>
        </w:rPr>
        <w:t> </w:t>
      </w:r>
      <w:r>
        <w:rPr>
          <w:spacing w:val="-2"/>
        </w:rPr>
        <w:t>disciplines.</w:t>
      </w:r>
      <w:r>
        <w:rPr>
          <w:spacing w:val="-12"/>
        </w:rPr>
        <w:t> </w:t>
      </w:r>
      <w:r>
        <w:rPr>
          <w:spacing w:val="-2"/>
        </w:rPr>
        <w:t>The</w:t>
      </w:r>
      <w:r>
        <w:rPr>
          <w:spacing w:val="-5"/>
        </w:rPr>
        <w:t> </w:t>
      </w:r>
      <w:r>
        <w:rPr>
          <w:spacing w:val="-2"/>
        </w:rPr>
        <w:t>aim</w:t>
      </w:r>
      <w:r>
        <w:rPr>
          <w:spacing w:val="-6"/>
        </w:rPr>
        <w:t> </w:t>
      </w:r>
      <w:r>
        <w:rPr>
          <w:spacing w:val="-2"/>
        </w:rPr>
        <w:t>of</w:t>
      </w:r>
      <w:r>
        <w:rPr>
          <w:spacing w:val="-6"/>
        </w:rPr>
        <w:t> </w:t>
      </w:r>
      <w:r>
        <w:rPr>
          <w:spacing w:val="-2"/>
        </w:rPr>
        <w:t>such </w:t>
      </w:r>
      <w:r>
        <w:rPr/>
        <w:t>convergence</w:t>
      </w:r>
      <w:r>
        <w:rPr>
          <w:spacing w:val="-1"/>
        </w:rPr>
        <w:t> </w:t>
      </w:r>
      <w:r>
        <w:rPr/>
        <w:t>is</w:t>
      </w:r>
      <w:r>
        <w:rPr>
          <w:spacing w:val="-1"/>
        </w:rPr>
        <w:t> </w:t>
      </w:r>
      <w:r>
        <w:rPr/>
        <w:t>to</w:t>
      </w:r>
      <w:r>
        <w:rPr>
          <w:spacing w:val="-1"/>
        </w:rPr>
        <w:t> </w:t>
      </w:r>
      <w:r>
        <w:rPr/>
        <w:t>eventually</w:t>
      </w:r>
      <w:r>
        <w:rPr>
          <w:spacing w:val="-2"/>
        </w:rPr>
        <w:t> </w:t>
      </w:r>
      <w:r>
        <w:rPr/>
        <w:t>enable</w:t>
      </w:r>
      <w:r>
        <w:rPr>
          <w:spacing w:val="-1"/>
        </w:rPr>
        <w:t> </w:t>
      </w:r>
      <w:r>
        <w:rPr/>
        <w:t>learners</w:t>
      </w:r>
      <w:r>
        <w:rPr>
          <w:spacing w:val="-1"/>
        </w:rPr>
        <w:t> </w:t>
      </w:r>
      <w:r>
        <w:rPr/>
        <w:t>to</w:t>
      </w:r>
      <w:r>
        <w:rPr>
          <w:spacing w:val="-1"/>
        </w:rPr>
        <w:t> </w:t>
      </w:r>
      <w:r>
        <w:rPr/>
        <w:t>move freely from one system to the other.</w:t>
      </w:r>
    </w:p>
    <w:p>
      <w:pPr>
        <w:pStyle w:val="Heading6"/>
        <w:numPr>
          <w:ilvl w:val="0"/>
          <w:numId w:val="30"/>
        </w:numPr>
        <w:tabs>
          <w:tab w:pos="1404" w:val="left" w:leader="none"/>
          <w:tab w:pos="1406" w:val="left" w:leader="none"/>
        </w:tabs>
        <w:spacing w:line="182" w:lineRule="auto" w:before="240" w:after="0"/>
        <w:ind w:left="1406" w:right="760" w:hanging="327"/>
        <w:jc w:val="left"/>
      </w:pPr>
      <w:r>
        <w:rPr>
          <w:color w:val="2E614A"/>
          <w:w w:val="90"/>
        </w:rPr>
        <w:t>Set up a research </w:t>
      </w:r>
      <w:r>
        <w:rPr>
          <w:color w:val="2E614A"/>
          <w:w w:val="90"/>
        </w:rPr>
        <w:t>foundation </w:t>
      </w:r>
      <w:r>
        <w:rPr>
          <w:color w:val="2E614A"/>
          <w:spacing w:val="-6"/>
        </w:rPr>
        <w:t>to</w:t>
      </w:r>
      <w:r>
        <w:rPr>
          <w:color w:val="2E614A"/>
          <w:spacing w:val="-14"/>
        </w:rPr>
        <w:t> </w:t>
      </w:r>
      <w:r>
        <w:rPr>
          <w:color w:val="2E614A"/>
          <w:spacing w:val="-6"/>
        </w:rPr>
        <w:t>support</w:t>
      </w:r>
      <w:r>
        <w:rPr>
          <w:color w:val="2E614A"/>
          <w:spacing w:val="-14"/>
        </w:rPr>
        <w:t> </w:t>
      </w:r>
      <w:r>
        <w:rPr>
          <w:color w:val="2E614A"/>
          <w:spacing w:val="-6"/>
        </w:rPr>
        <w:t>research</w:t>
      </w:r>
      <w:r>
        <w:rPr>
          <w:color w:val="2E614A"/>
          <w:spacing w:val="-14"/>
        </w:rPr>
        <w:t> </w:t>
      </w:r>
      <w:r>
        <w:rPr>
          <w:color w:val="2E614A"/>
          <w:spacing w:val="-6"/>
        </w:rPr>
        <w:t>activity </w:t>
      </w:r>
      <w:r>
        <w:rPr>
          <w:color w:val="2E614A"/>
        </w:rPr>
        <w:t>in ODE</w:t>
      </w:r>
    </w:p>
    <w:p>
      <w:pPr>
        <w:pStyle w:val="BodyText"/>
        <w:spacing w:line="266" w:lineRule="auto" w:before="275"/>
        <w:ind w:left="1080"/>
        <w:jc w:val="both"/>
      </w:pPr>
      <w:r>
        <w:rPr>
          <w:spacing w:val="-6"/>
        </w:rPr>
        <w:t>An</w:t>
      </w:r>
      <w:r>
        <w:rPr>
          <w:spacing w:val="-8"/>
        </w:rPr>
        <w:t> </w:t>
      </w:r>
      <w:r>
        <w:rPr>
          <w:spacing w:val="-6"/>
        </w:rPr>
        <w:t>autonomous</w:t>
      </w:r>
      <w:r>
        <w:rPr>
          <w:spacing w:val="-8"/>
        </w:rPr>
        <w:t> </w:t>
      </w:r>
      <w:r>
        <w:rPr>
          <w:spacing w:val="-6"/>
        </w:rPr>
        <w:t>and</w:t>
      </w:r>
      <w:r>
        <w:rPr>
          <w:spacing w:val="-8"/>
        </w:rPr>
        <w:t> </w:t>
      </w:r>
      <w:r>
        <w:rPr>
          <w:spacing w:val="-6"/>
        </w:rPr>
        <w:t>well-endowed</w:t>
      </w:r>
      <w:r>
        <w:rPr>
          <w:spacing w:val="-7"/>
        </w:rPr>
        <w:t> </w:t>
      </w:r>
      <w:r>
        <w:rPr>
          <w:spacing w:val="-6"/>
        </w:rPr>
        <w:t>Research</w:t>
      </w:r>
      <w:r>
        <w:rPr>
          <w:spacing w:val="-8"/>
        </w:rPr>
        <w:t> </w:t>
      </w:r>
      <w:r>
        <w:rPr>
          <w:spacing w:val="-6"/>
        </w:rPr>
        <w:t>Foundation </w:t>
      </w:r>
      <w:r>
        <w:rPr/>
        <w:t>must be established to commission and facilitate multidimensional and multidisciplinary research in ODE. In addition, a favourable environment for research must be created by setting up infrastructure like libraries, digital databases and online journals, holding regular workshops and seminars, granting </w:t>
      </w:r>
      <w:r>
        <w:rPr>
          <w:spacing w:val="-2"/>
        </w:rPr>
        <w:t>sabbatical</w:t>
      </w:r>
      <w:r>
        <w:rPr>
          <w:spacing w:val="-3"/>
        </w:rPr>
        <w:t> </w:t>
      </w:r>
      <w:r>
        <w:rPr>
          <w:spacing w:val="-2"/>
        </w:rPr>
        <w:t>leave</w:t>
      </w:r>
      <w:r>
        <w:rPr>
          <w:spacing w:val="-3"/>
        </w:rPr>
        <w:t> </w:t>
      </w:r>
      <w:r>
        <w:rPr>
          <w:spacing w:val="-2"/>
        </w:rPr>
        <w:t>for</w:t>
      </w:r>
      <w:r>
        <w:rPr>
          <w:spacing w:val="-3"/>
        </w:rPr>
        <w:t> </w:t>
      </w:r>
      <w:r>
        <w:rPr>
          <w:spacing w:val="-2"/>
        </w:rPr>
        <w:t>undertaking</w:t>
      </w:r>
      <w:r>
        <w:rPr>
          <w:spacing w:val="-3"/>
        </w:rPr>
        <w:t> </w:t>
      </w:r>
      <w:r>
        <w:rPr>
          <w:spacing w:val="-2"/>
        </w:rPr>
        <w:t>research,</w:t>
      </w:r>
      <w:r>
        <w:rPr>
          <w:spacing w:val="-3"/>
        </w:rPr>
        <w:t> </w:t>
      </w:r>
      <w:r>
        <w:rPr>
          <w:spacing w:val="-2"/>
        </w:rPr>
        <w:t>establishing </w:t>
      </w:r>
      <w:r>
        <w:rPr/>
        <w:t>a</w:t>
      </w:r>
      <w:r>
        <w:rPr>
          <w:spacing w:val="46"/>
        </w:rPr>
        <w:t> </w:t>
      </w:r>
      <w:r>
        <w:rPr/>
        <w:t>peer</w:t>
      </w:r>
      <w:r>
        <w:rPr>
          <w:spacing w:val="47"/>
        </w:rPr>
        <w:t> </w:t>
      </w:r>
      <w:r>
        <w:rPr/>
        <w:t>reviewed</w:t>
      </w:r>
      <w:r>
        <w:rPr>
          <w:spacing w:val="47"/>
        </w:rPr>
        <w:t> </w:t>
      </w:r>
      <w:r>
        <w:rPr/>
        <w:t>journal</w:t>
      </w:r>
      <w:r>
        <w:rPr>
          <w:spacing w:val="47"/>
        </w:rPr>
        <w:t> </w:t>
      </w:r>
      <w:r>
        <w:rPr/>
        <w:t>to</w:t>
      </w:r>
      <w:r>
        <w:rPr>
          <w:spacing w:val="47"/>
        </w:rPr>
        <w:t> </w:t>
      </w:r>
      <w:r>
        <w:rPr/>
        <w:t>provide</w:t>
      </w:r>
      <w:r>
        <w:rPr>
          <w:spacing w:val="47"/>
        </w:rPr>
        <w:t> </w:t>
      </w:r>
      <w:r>
        <w:rPr/>
        <w:t>a</w:t>
      </w:r>
      <w:r>
        <w:rPr>
          <w:spacing w:val="47"/>
        </w:rPr>
        <w:t> </w:t>
      </w:r>
      <w:r>
        <w:rPr/>
        <w:t>platform</w:t>
      </w:r>
      <w:r>
        <w:rPr>
          <w:spacing w:val="47"/>
        </w:rPr>
        <w:t> </w:t>
      </w:r>
      <w:r>
        <w:rPr>
          <w:spacing w:val="-5"/>
        </w:rPr>
        <w:t>for</w:t>
      </w:r>
    </w:p>
    <w:p>
      <w:pPr>
        <w:pStyle w:val="BodyText"/>
        <w:spacing w:line="266" w:lineRule="auto" w:before="77"/>
        <w:ind w:left="319" w:right="1077"/>
        <w:jc w:val="both"/>
      </w:pPr>
      <w:r>
        <w:rPr/>
        <w:br w:type="column"/>
      </w:r>
      <w:r>
        <w:rPr/>
        <w:t>publication for scholars, and other such measures. </w:t>
      </w:r>
      <w:r>
        <w:rPr/>
        <w:t>A </w:t>
      </w:r>
      <w:r>
        <w:rPr>
          <w:spacing w:val="-4"/>
        </w:rPr>
        <w:t>robust</w:t>
      </w:r>
      <w:r>
        <w:rPr>
          <w:spacing w:val="-7"/>
        </w:rPr>
        <w:t> </w:t>
      </w:r>
      <w:r>
        <w:rPr>
          <w:spacing w:val="-4"/>
        </w:rPr>
        <w:t>research</w:t>
      </w:r>
      <w:r>
        <w:rPr>
          <w:spacing w:val="-7"/>
        </w:rPr>
        <w:t> </w:t>
      </w:r>
      <w:r>
        <w:rPr>
          <w:spacing w:val="-4"/>
        </w:rPr>
        <w:t>environment</w:t>
      </w:r>
      <w:r>
        <w:rPr>
          <w:spacing w:val="-7"/>
        </w:rPr>
        <w:t> </w:t>
      </w:r>
      <w:r>
        <w:rPr>
          <w:spacing w:val="-4"/>
        </w:rPr>
        <w:t>is</w:t>
      </w:r>
      <w:r>
        <w:rPr>
          <w:spacing w:val="-7"/>
        </w:rPr>
        <w:t> </w:t>
      </w:r>
      <w:r>
        <w:rPr>
          <w:spacing w:val="-4"/>
        </w:rPr>
        <w:t>essential</w:t>
      </w:r>
      <w:r>
        <w:rPr>
          <w:spacing w:val="-7"/>
        </w:rPr>
        <w:t> </w:t>
      </w:r>
      <w:r>
        <w:rPr>
          <w:spacing w:val="-4"/>
        </w:rPr>
        <w:t>to</w:t>
      </w:r>
      <w:r>
        <w:rPr>
          <w:spacing w:val="-7"/>
        </w:rPr>
        <w:t> </w:t>
      </w:r>
      <w:r>
        <w:rPr>
          <w:spacing w:val="-4"/>
        </w:rPr>
        <w:t>accord</w:t>
      </w:r>
      <w:r>
        <w:rPr>
          <w:spacing w:val="-7"/>
        </w:rPr>
        <w:t> </w:t>
      </w:r>
      <w:r>
        <w:rPr>
          <w:spacing w:val="-4"/>
        </w:rPr>
        <w:t>ODE </w:t>
      </w:r>
      <w:r>
        <w:rPr/>
        <w:t>value</w:t>
      </w:r>
      <w:r>
        <w:rPr>
          <w:spacing w:val="-11"/>
        </w:rPr>
        <w:t> </w:t>
      </w:r>
      <w:r>
        <w:rPr/>
        <w:t>as</w:t>
      </w:r>
      <w:r>
        <w:rPr>
          <w:spacing w:val="-11"/>
        </w:rPr>
        <w:t> </w:t>
      </w:r>
      <w:r>
        <w:rPr/>
        <w:t>a</w:t>
      </w:r>
      <w:r>
        <w:rPr>
          <w:spacing w:val="-11"/>
        </w:rPr>
        <w:t> </w:t>
      </w:r>
      <w:r>
        <w:rPr/>
        <w:t>discipline,</w:t>
      </w:r>
      <w:r>
        <w:rPr>
          <w:spacing w:val="-11"/>
        </w:rPr>
        <w:t> </w:t>
      </w:r>
      <w:r>
        <w:rPr/>
        <w:t>as</w:t>
      </w:r>
      <w:r>
        <w:rPr>
          <w:spacing w:val="-11"/>
        </w:rPr>
        <w:t> </w:t>
      </w:r>
      <w:r>
        <w:rPr/>
        <w:t>opposed</w:t>
      </w:r>
      <w:r>
        <w:rPr>
          <w:spacing w:val="-11"/>
        </w:rPr>
        <w:t> </w:t>
      </w:r>
      <w:r>
        <w:rPr/>
        <w:t>to</w:t>
      </w:r>
      <w:r>
        <w:rPr>
          <w:spacing w:val="-11"/>
        </w:rPr>
        <w:t> </w:t>
      </w:r>
      <w:r>
        <w:rPr/>
        <w:t>it</w:t>
      </w:r>
      <w:r>
        <w:rPr>
          <w:spacing w:val="-11"/>
        </w:rPr>
        <w:t> </w:t>
      </w:r>
      <w:r>
        <w:rPr/>
        <w:t>being</w:t>
      </w:r>
      <w:r>
        <w:rPr>
          <w:spacing w:val="-11"/>
        </w:rPr>
        <w:t> </w:t>
      </w:r>
      <w:r>
        <w:rPr/>
        <w:t>consigned to a ‘mode’.</w:t>
      </w:r>
    </w:p>
    <w:p>
      <w:pPr>
        <w:pStyle w:val="BodyText"/>
        <w:spacing w:before="2"/>
      </w:pPr>
    </w:p>
    <w:p>
      <w:pPr>
        <w:pStyle w:val="Heading6"/>
        <w:numPr>
          <w:ilvl w:val="0"/>
          <w:numId w:val="30"/>
        </w:numPr>
        <w:tabs>
          <w:tab w:pos="643" w:val="left" w:leader="none"/>
          <w:tab w:pos="645" w:val="left" w:leader="none"/>
        </w:tabs>
        <w:spacing w:line="182" w:lineRule="auto" w:before="0" w:after="0"/>
        <w:ind w:left="645" w:right="1447" w:hanging="327"/>
        <w:jc w:val="left"/>
      </w:pPr>
      <w:r>
        <w:rPr>
          <w:color w:val="2E614A"/>
          <w:w w:val="90"/>
        </w:rPr>
        <w:t>Overhaul training programs </w:t>
      </w:r>
      <w:r>
        <w:rPr>
          <w:color w:val="2E614A"/>
          <w:w w:val="90"/>
        </w:rPr>
        <w:t>for </w:t>
      </w:r>
      <w:r>
        <w:rPr>
          <w:color w:val="2E614A"/>
          <w:spacing w:val="-2"/>
        </w:rPr>
        <w:t>educators</w:t>
      </w:r>
    </w:p>
    <w:p>
      <w:pPr>
        <w:pStyle w:val="BodyText"/>
        <w:spacing w:line="266" w:lineRule="auto" w:before="303"/>
        <w:ind w:left="319" w:right="1077"/>
        <w:jc w:val="both"/>
      </w:pPr>
      <w:r>
        <w:rPr/>
        <w:t>Training and orientation programs must </w:t>
      </w:r>
      <w:r>
        <w:rPr/>
        <w:t>be </w:t>
      </w:r>
      <w:r>
        <w:rPr>
          <w:spacing w:val="-6"/>
        </w:rPr>
        <w:t>conceptualised to enable educators and administrators to effectively utilise technology to cater to diverse learners’ </w:t>
      </w:r>
      <w:r>
        <w:rPr/>
        <w:t>interests. The content of the training modules must promote</w:t>
      </w:r>
      <w:r>
        <w:rPr>
          <w:spacing w:val="-4"/>
        </w:rPr>
        <w:t> </w:t>
      </w:r>
      <w:r>
        <w:rPr/>
        <w:t>familiarity</w:t>
      </w:r>
      <w:r>
        <w:rPr>
          <w:spacing w:val="-4"/>
        </w:rPr>
        <w:t> </w:t>
      </w:r>
      <w:r>
        <w:rPr/>
        <w:t>with</w:t>
      </w:r>
      <w:r>
        <w:rPr>
          <w:spacing w:val="-4"/>
        </w:rPr>
        <w:t> </w:t>
      </w:r>
      <w:r>
        <w:rPr/>
        <w:t>the</w:t>
      </w:r>
      <w:r>
        <w:rPr>
          <w:spacing w:val="-4"/>
        </w:rPr>
        <w:t> </w:t>
      </w:r>
      <w:r>
        <w:rPr/>
        <w:t>theories</w:t>
      </w:r>
      <w:r>
        <w:rPr>
          <w:spacing w:val="-4"/>
        </w:rPr>
        <w:t> </w:t>
      </w:r>
      <w:r>
        <w:rPr/>
        <w:t>and</w:t>
      </w:r>
      <w:r>
        <w:rPr>
          <w:spacing w:val="-4"/>
        </w:rPr>
        <w:t> </w:t>
      </w:r>
      <w:r>
        <w:rPr/>
        <w:t>practices</w:t>
      </w:r>
      <w:r>
        <w:rPr>
          <w:spacing w:val="-4"/>
        </w:rPr>
        <w:t> </w:t>
      </w:r>
      <w:r>
        <w:rPr/>
        <w:t>of </w:t>
      </w:r>
      <w:r>
        <w:rPr>
          <w:spacing w:val="-2"/>
        </w:rPr>
        <w:t>self-learning.</w:t>
      </w:r>
      <w:r>
        <w:rPr>
          <w:spacing w:val="-12"/>
        </w:rPr>
        <w:t> </w:t>
      </w:r>
      <w:r>
        <w:rPr>
          <w:spacing w:val="-2"/>
        </w:rPr>
        <w:t>Their</w:t>
      </w:r>
      <w:r>
        <w:rPr>
          <w:spacing w:val="-6"/>
        </w:rPr>
        <w:t> </w:t>
      </w:r>
      <w:r>
        <w:rPr>
          <w:spacing w:val="-2"/>
        </w:rPr>
        <w:t>delivery</w:t>
      </w:r>
      <w:r>
        <w:rPr>
          <w:spacing w:val="-6"/>
        </w:rPr>
        <w:t> </w:t>
      </w:r>
      <w:r>
        <w:rPr>
          <w:spacing w:val="-2"/>
        </w:rPr>
        <w:t>should</w:t>
      </w:r>
      <w:r>
        <w:rPr>
          <w:spacing w:val="-6"/>
        </w:rPr>
        <w:t> </w:t>
      </w:r>
      <w:r>
        <w:rPr>
          <w:spacing w:val="-2"/>
        </w:rPr>
        <w:t>take</w:t>
      </w:r>
      <w:r>
        <w:rPr>
          <w:spacing w:val="-6"/>
        </w:rPr>
        <w:t> </w:t>
      </w:r>
      <w:r>
        <w:rPr>
          <w:spacing w:val="-2"/>
        </w:rPr>
        <w:t>place</w:t>
      </w:r>
      <w:r>
        <w:rPr>
          <w:spacing w:val="-6"/>
        </w:rPr>
        <w:t> </w:t>
      </w:r>
      <w:r>
        <w:rPr>
          <w:spacing w:val="-2"/>
        </w:rPr>
        <w:t>through several</w:t>
      </w:r>
      <w:r>
        <w:rPr>
          <w:spacing w:val="-2"/>
        </w:rPr>
        <w:t> modes,</w:t>
      </w:r>
      <w:r>
        <w:rPr>
          <w:spacing w:val="-2"/>
        </w:rPr>
        <w:t> including</w:t>
      </w:r>
      <w:r>
        <w:rPr>
          <w:spacing w:val="-2"/>
        </w:rPr>
        <w:t> web-supported,</w:t>
      </w:r>
      <w:r>
        <w:rPr>
          <w:spacing w:val="-2"/>
        </w:rPr>
        <w:t> audio-visual </w:t>
      </w:r>
      <w:r>
        <w:rPr/>
        <w:t>and face-to-face interaction on a regular basis with </w:t>
      </w:r>
      <w:r>
        <w:rPr>
          <w:spacing w:val="-4"/>
        </w:rPr>
        <w:t>experts,</w:t>
      </w:r>
      <w:r>
        <w:rPr>
          <w:spacing w:val="-10"/>
        </w:rPr>
        <w:t> </w:t>
      </w:r>
      <w:r>
        <w:rPr>
          <w:spacing w:val="-4"/>
        </w:rPr>
        <w:t>practitioners</w:t>
      </w:r>
      <w:r>
        <w:rPr>
          <w:spacing w:val="-10"/>
        </w:rPr>
        <w:t> </w:t>
      </w:r>
      <w:r>
        <w:rPr>
          <w:spacing w:val="-4"/>
        </w:rPr>
        <w:t>and</w:t>
      </w:r>
      <w:r>
        <w:rPr>
          <w:spacing w:val="-10"/>
        </w:rPr>
        <w:t> </w:t>
      </w:r>
      <w:r>
        <w:rPr>
          <w:spacing w:val="-4"/>
        </w:rPr>
        <w:t>peers.</w:t>
      </w:r>
      <w:r>
        <w:rPr>
          <w:spacing w:val="-9"/>
        </w:rPr>
        <w:t> </w:t>
      </w:r>
      <w:r>
        <w:rPr>
          <w:spacing w:val="-4"/>
        </w:rPr>
        <w:t>Most</w:t>
      </w:r>
      <w:r>
        <w:rPr>
          <w:spacing w:val="-10"/>
        </w:rPr>
        <w:t> </w:t>
      </w:r>
      <w:r>
        <w:rPr>
          <w:spacing w:val="-4"/>
        </w:rPr>
        <w:t>importantly,</w:t>
      </w:r>
      <w:r>
        <w:rPr>
          <w:spacing w:val="-10"/>
        </w:rPr>
        <w:t> </w:t>
      </w:r>
      <w:r>
        <w:rPr>
          <w:spacing w:val="-4"/>
        </w:rPr>
        <w:t>these </w:t>
      </w:r>
      <w:r>
        <w:rPr/>
        <w:t>packages</w:t>
      </w:r>
      <w:r>
        <w:rPr>
          <w:spacing w:val="-10"/>
        </w:rPr>
        <w:t> </w:t>
      </w:r>
      <w:r>
        <w:rPr/>
        <w:t>must</w:t>
      </w:r>
      <w:r>
        <w:rPr>
          <w:spacing w:val="-10"/>
        </w:rPr>
        <w:t> </w:t>
      </w:r>
      <w:r>
        <w:rPr/>
        <w:t>be</w:t>
      </w:r>
      <w:r>
        <w:rPr>
          <w:spacing w:val="-10"/>
        </w:rPr>
        <w:t> </w:t>
      </w:r>
      <w:r>
        <w:rPr/>
        <w:t>updated</w:t>
      </w:r>
      <w:r>
        <w:rPr>
          <w:spacing w:val="-10"/>
        </w:rPr>
        <w:t> </w:t>
      </w:r>
      <w:r>
        <w:rPr/>
        <w:t>regularly</w:t>
      </w:r>
      <w:r>
        <w:rPr>
          <w:spacing w:val="-10"/>
        </w:rPr>
        <w:t> </w:t>
      </w:r>
      <w:r>
        <w:rPr/>
        <w:t>and</w:t>
      </w:r>
      <w:r>
        <w:rPr>
          <w:spacing w:val="-10"/>
        </w:rPr>
        <w:t> </w:t>
      </w:r>
      <w:r>
        <w:rPr/>
        <w:t>administered directly. The B.Ed. curriculum must also be revised, updated</w:t>
      </w:r>
      <w:r>
        <w:rPr>
          <w:spacing w:val="-14"/>
        </w:rPr>
        <w:t> </w:t>
      </w:r>
      <w:r>
        <w:rPr/>
        <w:t>and</w:t>
      </w:r>
      <w:r>
        <w:rPr>
          <w:spacing w:val="-14"/>
        </w:rPr>
        <w:t> </w:t>
      </w:r>
      <w:r>
        <w:rPr/>
        <w:t>made</w:t>
      </w:r>
      <w:r>
        <w:rPr>
          <w:spacing w:val="-14"/>
        </w:rPr>
        <w:t> </w:t>
      </w:r>
      <w:r>
        <w:rPr/>
        <w:t>to</w:t>
      </w:r>
      <w:r>
        <w:rPr>
          <w:spacing w:val="-13"/>
        </w:rPr>
        <w:t> </w:t>
      </w:r>
      <w:r>
        <w:rPr/>
        <w:t>emphasise</w:t>
      </w:r>
      <w:r>
        <w:rPr>
          <w:spacing w:val="-14"/>
        </w:rPr>
        <w:t> </w:t>
      </w:r>
      <w:r>
        <w:rPr/>
        <w:t>theories</w:t>
      </w:r>
      <w:r>
        <w:rPr>
          <w:spacing w:val="-14"/>
        </w:rPr>
        <w:t> </w:t>
      </w:r>
      <w:r>
        <w:rPr/>
        <w:t>and</w:t>
      </w:r>
      <w:r>
        <w:rPr>
          <w:spacing w:val="-14"/>
        </w:rPr>
        <w:t> </w:t>
      </w:r>
      <w:r>
        <w:rPr/>
        <w:t>practices of self-learning.</w:t>
      </w:r>
    </w:p>
    <w:p>
      <w:pPr>
        <w:pStyle w:val="Heading6"/>
        <w:numPr>
          <w:ilvl w:val="0"/>
          <w:numId w:val="30"/>
        </w:numPr>
        <w:tabs>
          <w:tab w:pos="634" w:val="left" w:leader="none"/>
          <w:tab w:pos="636" w:val="left" w:leader="none"/>
        </w:tabs>
        <w:spacing w:line="182" w:lineRule="auto" w:before="247" w:after="0"/>
        <w:ind w:left="636" w:right="1545" w:hanging="317"/>
        <w:jc w:val="left"/>
      </w:pPr>
      <w:r>
        <w:rPr>
          <w:color w:val="2E614A"/>
          <w:spacing w:val="-2"/>
          <w:w w:val="90"/>
        </w:rPr>
        <w:t>Increase</w:t>
      </w:r>
      <w:r>
        <w:rPr>
          <w:color w:val="2E614A"/>
          <w:spacing w:val="-12"/>
          <w:w w:val="90"/>
        </w:rPr>
        <w:t> </w:t>
      </w:r>
      <w:r>
        <w:rPr>
          <w:color w:val="2E614A"/>
          <w:spacing w:val="-2"/>
          <w:w w:val="90"/>
        </w:rPr>
        <w:t>access</w:t>
      </w:r>
      <w:r>
        <w:rPr>
          <w:color w:val="2E614A"/>
          <w:spacing w:val="-10"/>
          <w:w w:val="90"/>
        </w:rPr>
        <w:t> </w:t>
      </w:r>
      <w:r>
        <w:rPr>
          <w:color w:val="2E614A"/>
          <w:spacing w:val="-2"/>
          <w:w w:val="90"/>
        </w:rPr>
        <w:t>for</w:t>
      </w:r>
      <w:r>
        <w:rPr>
          <w:color w:val="2E614A"/>
          <w:spacing w:val="-10"/>
          <w:w w:val="90"/>
        </w:rPr>
        <w:t> </w:t>
      </w:r>
      <w:r>
        <w:rPr>
          <w:color w:val="2E614A"/>
          <w:spacing w:val="-2"/>
          <w:w w:val="90"/>
        </w:rPr>
        <w:t>learners</w:t>
      </w:r>
      <w:r>
        <w:rPr>
          <w:color w:val="2E614A"/>
          <w:spacing w:val="-10"/>
          <w:w w:val="90"/>
        </w:rPr>
        <w:t> </w:t>
      </w:r>
      <w:r>
        <w:rPr>
          <w:color w:val="2E614A"/>
          <w:spacing w:val="-2"/>
          <w:w w:val="90"/>
        </w:rPr>
        <w:t>with </w:t>
      </w:r>
      <w:r>
        <w:rPr>
          <w:color w:val="2E614A"/>
        </w:rPr>
        <w:t>special</w:t>
      </w:r>
      <w:r>
        <w:rPr>
          <w:color w:val="2E614A"/>
          <w:spacing w:val="-20"/>
        </w:rPr>
        <w:t> </w:t>
      </w:r>
      <w:r>
        <w:rPr>
          <w:color w:val="2E614A"/>
        </w:rPr>
        <w:t>needs</w:t>
      </w:r>
    </w:p>
    <w:p>
      <w:pPr>
        <w:pStyle w:val="BodyText"/>
        <w:spacing w:line="266" w:lineRule="auto" w:before="303"/>
        <w:ind w:left="319" w:right="1077"/>
        <w:jc w:val="both"/>
      </w:pPr>
      <w:r>
        <w:rPr/>
        <w:t>Special Education Committees must be set up in </w:t>
      </w:r>
      <w:r>
        <w:rPr/>
        <w:t>all ODE institutions to address the needs of learners with disabilities as well as senior citizens. These committees must devise mechanisms to ensure their participation and provide effective mechanisms for monitoring, evaluation of policies, and collection of feedback.</w:t>
      </w:r>
      <w:r>
        <w:rPr>
          <w:spacing w:val="-2"/>
        </w:rPr>
        <w:t> </w:t>
      </w:r>
      <w:r>
        <w:rPr/>
        <w:t>Admission</w:t>
      </w:r>
      <w:r>
        <w:rPr>
          <w:spacing w:val="-2"/>
        </w:rPr>
        <w:t> </w:t>
      </w:r>
      <w:r>
        <w:rPr/>
        <w:t>criteria</w:t>
      </w:r>
      <w:r>
        <w:rPr>
          <w:spacing w:val="-2"/>
        </w:rPr>
        <w:t> </w:t>
      </w:r>
      <w:r>
        <w:rPr/>
        <w:t>and</w:t>
      </w:r>
      <w:r>
        <w:rPr>
          <w:spacing w:val="-2"/>
        </w:rPr>
        <w:t> </w:t>
      </w:r>
      <w:r>
        <w:rPr/>
        <w:t>time</w:t>
      </w:r>
      <w:r>
        <w:rPr>
          <w:spacing w:val="-2"/>
        </w:rPr>
        <w:t> </w:t>
      </w:r>
      <w:r>
        <w:rPr/>
        <w:t>tables</w:t>
      </w:r>
      <w:r>
        <w:rPr>
          <w:spacing w:val="-2"/>
        </w:rPr>
        <w:t> </w:t>
      </w:r>
      <w:r>
        <w:rPr/>
        <w:t>must</w:t>
      </w:r>
      <w:r>
        <w:rPr>
          <w:spacing w:val="-2"/>
        </w:rPr>
        <w:t> </w:t>
      </w:r>
      <w:r>
        <w:rPr/>
        <w:t>be </w:t>
      </w:r>
      <w:r>
        <w:rPr>
          <w:spacing w:val="-2"/>
        </w:rPr>
        <w:t>flexible</w:t>
      </w:r>
      <w:r>
        <w:rPr>
          <w:spacing w:val="-7"/>
        </w:rPr>
        <w:t> </w:t>
      </w:r>
      <w:r>
        <w:rPr>
          <w:spacing w:val="-2"/>
        </w:rPr>
        <w:t>enough</w:t>
      </w:r>
      <w:r>
        <w:rPr>
          <w:spacing w:val="-7"/>
        </w:rPr>
        <w:t> </w:t>
      </w:r>
      <w:r>
        <w:rPr>
          <w:spacing w:val="-2"/>
        </w:rPr>
        <w:t>to</w:t>
      </w:r>
      <w:r>
        <w:rPr>
          <w:spacing w:val="-7"/>
        </w:rPr>
        <w:t> </w:t>
      </w:r>
      <w:r>
        <w:rPr>
          <w:spacing w:val="-2"/>
        </w:rPr>
        <w:t>provide</w:t>
      </w:r>
      <w:r>
        <w:rPr>
          <w:spacing w:val="-7"/>
        </w:rPr>
        <w:t> </w:t>
      </w:r>
      <w:r>
        <w:rPr>
          <w:spacing w:val="-2"/>
        </w:rPr>
        <w:t>diverse</w:t>
      </w:r>
      <w:r>
        <w:rPr>
          <w:spacing w:val="-7"/>
        </w:rPr>
        <w:t> </w:t>
      </w:r>
      <w:r>
        <w:rPr>
          <w:spacing w:val="-2"/>
        </w:rPr>
        <w:t>options</w:t>
      </w:r>
      <w:r>
        <w:rPr>
          <w:spacing w:val="-7"/>
        </w:rPr>
        <w:t> </w:t>
      </w:r>
      <w:r>
        <w:rPr>
          <w:spacing w:val="-2"/>
        </w:rPr>
        <w:t>for</w:t>
      </w:r>
      <w:r>
        <w:rPr>
          <w:spacing w:val="-7"/>
        </w:rPr>
        <w:t> </w:t>
      </w:r>
      <w:r>
        <w:rPr>
          <w:spacing w:val="-2"/>
        </w:rPr>
        <w:t>meeting </w:t>
      </w:r>
      <w:r>
        <w:rPr/>
        <w:t>program</w:t>
      </w:r>
      <w:r>
        <w:rPr>
          <w:spacing w:val="-8"/>
        </w:rPr>
        <w:t> </w:t>
      </w:r>
      <w:r>
        <w:rPr/>
        <w:t>requirements</w:t>
      </w:r>
      <w:r>
        <w:rPr>
          <w:spacing w:val="-8"/>
        </w:rPr>
        <w:t> </w:t>
      </w:r>
      <w:r>
        <w:rPr/>
        <w:t>to</w:t>
      </w:r>
      <w:r>
        <w:rPr>
          <w:spacing w:val="-8"/>
        </w:rPr>
        <w:t> </w:t>
      </w:r>
      <w:r>
        <w:rPr/>
        <w:t>differently</w:t>
      </w:r>
      <w:r>
        <w:rPr>
          <w:spacing w:val="-8"/>
        </w:rPr>
        <w:t> </w:t>
      </w:r>
      <w:r>
        <w:rPr/>
        <w:t>able</w:t>
      </w:r>
      <w:r>
        <w:rPr>
          <w:spacing w:val="-8"/>
        </w:rPr>
        <w:t> </w:t>
      </w:r>
      <w:r>
        <w:rPr/>
        <w:t>learners</w:t>
      </w:r>
      <w:r>
        <w:rPr>
          <w:spacing w:val="-8"/>
        </w:rPr>
        <w:t> </w:t>
      </w:r>
      <w:r>
        <w:rPr/>
        <w:t>and </w:t>
      </w:r>
      <w:r>
        <w:rPr>
          <w:spacing w:val="-4"/>
        </w:rPr>
        <w:t>senior</w:t>
      </w:r>
      <w:r>
        <w:rPr>
          <w:spacing w:val="-10"/>
        </w:rPr>
        <w:t> </w:t>
      </w:r>
      <w:r>
        <w:rPr>
          <w:spacing w:val="-4"/>
        </w:rPr>
        <w:t>citizens.</w:t>
      </w:r>
      <w:r>
        <w:rPr>
          <w:spacing w:val="-9"/>
        </w:rPr>
        <w:t> </w:t>
      </w:r>
      <w:r>
        <w:rPr>
          <w:spacing w:val="-4"/>
        </w:rPr>
        <w:t>Pedagogical</w:t>
      </w:r>
      <w:r>
        <w:rPr>
          <w:spacing w:val="-10"/>
        </w:rPr>
        <w:t> </w:t>
      </w:r>
      <w:r>
        <w:rPr>
          <w:spacing w:val="-4"/>
        </w:rPr>
        <w:t>tools</w:t>
      </w:r>
      <w:r>
        <w:rPr>
          <w:spacing w:val="-9"/>
        </w:rPr>
        <w:t> </w:t>
      </w:r>
      <w:r>
        <w:rPr>
          <w:spacing w:val="-4"/>
        </w:rPr>
        <w:t>and</w:t>
      </w:r>
      <w:r>
        <w:rPr>
          <w:spacing w:val="-10"/>
        </w:rPr>
        <w:t> </w:t>
      </w:r>
      <w:r>
        <w:rPr>
          <w:spacing w:val="-4"/>
        </w:rPr>
        <w:t>components</w:t>
      </w:r>
      <w:r>
        <w:rPr>
          <w:spacing w:val="-9"/>
        </w:rPr>
        <w:t> </w:t>
      </w:r>
      <w:r>
        <w:rPr>
          <w:spacing w:val="-4"/>
        </w:rPr>
        <w:t>from </w:t>
      </w:r>
      <w:r>
        <w:rPr/>
        <w:t>the open educational resources must be adaptable to </w:t>
      </w:r>
      <w:r>
        <w:rPr>
          <w:spacing w:val="-6"/>
        </w:rPr>
        <w:t>alternative</w:t>
      </w:r>
      <w:r>
        <w:rPr>
          <w:spacing w:val="-8"/>
        </w:rPr>
        <w:t> </w:t>
      </w:r>
      <w:r>
        <w:rPr>
          <w:spacing w:val="-6"/>
        </w:rPr>
        <w:t>formats</w:t>
      </w:r>
      <w:r>
        <w:rPr>
          <w:spacing w:val="-8"/>
        </w:rPr>
        <w:t> </w:t>
      </w:r>
      <w:r>
        <w:rPr>
          <w:spacing w:val="-6"/>
        </w:rPr>
        <w:t>for special learning needs.</w:t>
      </w:r>
      <w:r>
        <w:rPr>
          <w:spacing w:val="-8"/>
        </w:rPr>
        <w:t> </w:t>
      </w:r>
      <w:r>
        <w:rPr>
          <w:spacing w:val="-6"/>
        </w:rPr>
        <w:t>This could </w:t>
      </w:r>
      <w:r>
        <w:rPr>
          <w:spacing w:val="-2"/>
        </w:rPr>
        <w:t>include,</w:t>
      </w:r>
      <w:r>
        <w:rPr>
          <w:spacing w:val="-8"/>
        </w:rPr>
        <w:t> </w:t>
      </w:r>
      <w:r>
        <w:rPr>
          <w:spacing w:val="-2"/>
        </w:rPr>
        <w:t>for</w:t>
      </w:r>
      <w:r>
        <w:rPr>
          <w:spacing w:val="-8"/>
        </w:rPr>
        <w:t> </w:t>
      </w:r>
      <w:r>
        <w:rPr>
          <w:spacing w:val="-2"/>
        </w:rPr>
        <w:t>example,</w:t>
      </w:r>
      <w:r>
        <w:rPr>
          <w:spacing w:val="-8"/>
        </w:rPr>
        <w:t> </w:t>
      </w:r>
      <w:r>
        <w:rPr>
          <w:spacing w:val="-2"/>
        </w:rPr>
        <w:t>Braille,</w:t>
      </w:r>
      <w:r>
        <w:rPr>
          <w:spacing w:val="-8"/>
        </w:rPr>
        <w:t> </w:t>
      </w:r>
      <w:r>
        <w:rPr>
          <w:spacing w:val="-2"/>
        </w:rPr>
        <w:t>colour-contrast</w:t>
      </w:r>
      <w:r>
        <w:rPr>
          <w:spacing w:val="-8"/>
        </w:rPr>
        <w:t> </w:t>
      </w:r>
      <w:r>
        <w:rPr>
          <w:spacing w:val="-2"/>
        </w:rPr>
        <w:t>texts</w:t>
      </w:r>
      <w:r>
        <w:rPr>
          <w:spacing w:val="-8"/>
        </w:rPr>
        <w:t> </w:t>
      </w:r>
      <w:r>
        <w:rPr>
          <w:spacing w:val="-2"/>
        </w:rPr>
        <w:t>and </w:t>
      </w:r>
      <w:r>
        <w:rPr/>
        <w:t>voice</w:t>
      </w:r>
      <w:r>
        <w:rPr>
          <w:spacing w:val="-13"/>
        </w:rPr>
        <w:t> </w:t>
      </w:r>
      <w:r>
        <w:rPr/>
        <w:t>recordings</w:t>
      </w:r>
      <w:r>
        <w:rPr>
          <w:spacing w:val="-13"/>
        </w:rPr>
        <w:t> </w:t>
      </w:r>
      <w:r>
        <w:rPr/>
        <w:t>for</w:t>
      </w:r>
      <w:r>
        <w:rPr>
          <w:spacing w:val="-13"/>
        </w:rPr>
        <w:t> </w:t>
      </w:r>
      <w:r>
        <w:rPr/>
        <w:t>the</w:t>
      </w:r>
      <w:r>
        <w:rPr>
          <w:spacing w:val="-13"/>
        </w:rPr>
        <w:t> </w:t>
      </w:r>
      <w:r>
        <w:rPr/>
        <w:t>visually</w:t>
      </w:r>
      <w:r>
        <w:rPr>
          <w:spacing w:val="-13"/>
        </w:rPr>
        <w:t> </w:t>
      </w:r>
      <w:r>
        <w:rPr/>
        <w:t>disabled.</w:t>
      </w:r>
    </w:p>
    <w:p>
      <w:pPr>
        <w:pStyle w:val="Heading6"/>
        <w:numPr>
          <w:ilvl w:val="0"/>
          <w:numId w:val="30"/>
        </w:numPr>
        <w:tabs>
          <w:tab w:pos="643" w:val="left" w:leader="none"/>
          <w:tab w:pos="645" w:val="left" w:leader="none"/>
        </w:tabs>
        <w:spacing w:line="182" w:lineRule="auto" w:before="247" w:after="0"/>
        <w:ind w:left="645" w:right="1078" w:hanging="327"/>
        <w:jc w:val="left"/>
      </w:pPr>
      <w:r>
        <w:rPr>
          <w:color w:val="2E614A"/>
          <w:spacing w:val="-12"/>
        </w:rPr>
        <w:t>Create</w:t>
      </w:r>
      <w:r>
        <w:rPr>
          <w:color w:val="2E614A"/>
          <w:spacing w:val="-8"/>
        </w:rPr>
        <w:t> </w:t>
      </w:r>
      <w:r>
        <w:rPr>
          <w:color w:val="2E614A"/>
          <w:spacing w:val="-12"/>
        </w:rPr>
        <w:t>a</w:t>
      </w:r>
      <w:r>
        <w:rPr>
          <w:color w:val="2E614A"/>
          <w:spacing w:val="-8"/>
        </w:rPr>
        <w:t> </w:t>
      </w:r>
      <w:r>
        <w:rPr>
          <w:color w:val="2E614A"/>
          <w:spacing w:val="-12"/>
        </w:rPr>
        <w:t>new</w:t>
      </w:r>
      <w:r>
        <w:rPr>
          <w:color w:val="2E614A"/>
          <w:spacing w:val="-8"/>
        </w:rPr>
        <w:t> </w:t>
      </w:r>
      <w:r>
        <w:rPr>
          <w:color w:val="2E614A"/>
          <w:spacing w:val="-12"/>
        </w:rPr>
        <w:t>Standing</w:t>
      </w:r>
      <w:r>
        <w:rPr>
          <w:color w:val="2E614A"/>
          <w:spacing w:val="-8"/>
        </w:rPr>
        <w:t> </w:t>
      </w:r>
      <w:r>
        <w:rPr>
          <w:color w:val="2E614A"/>
          <w:spacing w:val="-12"/>
        </w:rPr>
        <w:t>Committee </w:t>
      </w:r>
      <w:r>
        <w:rPr>
          <w:color w:val="2E614A"/>
        </w:rPr>
        <w:t>for</w:t>
      </w:r>
      <w:r>
        <w:rPr>
          <w:color w:val="2E614A"/>
          <w:spacing w:val="-11"/>
        </w:rPr>
        <w:t> </w:t>
      </w:r>
      <w:r>
        <w:rPr>
          <w:color w:val="2E614A"/>
        </w:rPr>
        <w:t>the</w:t>
      </w:r>
      <w:r>
        <w:rPr>
          <w:color w:val="2E614A"/>
          <w:spacing w:val="-11"/>
        </w:rPr>
        <w:t> </w:t>
      </w:r>
      <w:r>
        <w:rPr>
          <w:color w:val="2E614A"/>
        </w:rPr>
        <w:t>regulation</w:t>
      </w:r>
      <w:r>
        <w:rPr>
          <w:color w:val="2E614A"/>
          <w:spacing w:val="-11"/>
        </w:rPr>
        <w:t> </w:t>
      </w:r>
      <w:r>
        <w:rPr>
          <w:color w:val="2E614A"/>
        </w:rPr>
        <w:t>of</w:t>
      </w:r>
      <w:r>
        <w:rPr>
          <w:color w:val="2E614A"/>
          <w:spacing w:val="-11"/>
        </w:rPr>
        <w:t> </w:t>
      </w:r>
      <w:r>
        <w:rPr>
          <w:color w:val="2E614A"/>
        </w:rPr>
        <w:t>ODE</w:t>
      </w:r>
    </w:p>
    <w:p>
      <w:pPr>
        <w:pStyle w:val="BodyText"/>
        <w:spacing w:line="266" w:lineRule="auto" w:before="302"/>
        <w:ind w:left="319" w:right="1077"/>
        <w:jc w:val="both"/>
      </w:pPr>
      <w:r>
        <w:rPr/>
        <w:t>At present, the Distance Education Council </w:t>
      </w:r>
      <w:r>
        <w:rPr/>
        <w:t>(DEC) </w:t>
      </w:r>
      <w:r>
        <w:rPr>
          <w:spacing w:val="-2"/>
        </w:rPr>
        <w:t>under</w:t>
      </w:r>
      <w:r>
        <w:rPr>
          <w:spacing w:val="-11"/>
        </w:rPr>
        <w:t> </w:t>
      </w:r>
      <w:r>
        <w:rPr>
          <w:spacing w:val="-2"/>
        </w:rPr>
        <w:t>IGNOU</w:t>
      </w:r>
      <w:r>
        <w:rPr>
          <w:spacing w:val="-11"/>
        </w:rPr>
        <w:t> </w:t>
      </w:r>
      <w:r>
        <w:rPr>
          <w:spacing w:val="-2"/>
        </w:rPr>
        <w:t>arbitrates</w:t>
      </w:r>
      <w:r>
        <w:rPr>
          <w:spacing w:val="-11"/>
        </w:rPr>
        <w:t> </w:t>
      </w:r>
      <w:r>
        <w:rPr>
          <w:spacing w:val="-2"/>
        </w:rPr>
        <w:t>standards</w:t>
      </w:r>
      <w:r>
        <w:rPr>
          <w:spacing w:val="-11"/>
        </w:rPr>
        <w:t> </w:t>
      </w:r>
      <w:r>
        <w:rPr>
          <w:spacing w:val="-2"/>
        </w:rPr>
        <w:t>and</w:t>
      </w:r>
      <w:r>
        <w:rPr>
          <w:spacing w:val="-11"/>
        </w:rPr>
        <w:t> </w:t>
      </w:r>
      <w:r>
        <w:rPr>
          <w:spacing w:val="-2"/>
        </w:rPr>
        <w:t>disburses</w:t>
      </w:r>
      <w:r>
        <w:rPr>
          <w:spacing w:val="-11"/>
        </w:rPr>
        <w:t> </w:t>
      </w:r>
      <w:r>
        <w:rPr>
          <w:spacing w:val="-2"/>
        </w:rPr>
        <w:t>funds for</w:t>
      </w:r>
      <w:r>
        <w:rPr>
          <w:spacing w:val="-8"/>
        </w:rPr>
        <w:t> </w:t>
      </w:r>
      <w:r>
        <w:rPr>
          <w:spacing w:val="-2"/>
        </w:rPr>
        <w:t>ODE</w:t>
      </w:r>
      <w:r>
        <w:rPr>
          <w:spacing w:val="-8"/>
        </w:rPr>
        <w:t> </w:t>
      </w:r>
      <w:r>
        <w:rPr>
          <w:spacing w:val="-2"/>
        </w:rPr>
        <w:t>institutions</w:t>
      </w:r>
      <w:r>
        <w:rPr>
          <w:spacing w:val="-8"/>
        </w:rPr>
        <w:t> </w:t>
      </w:r>
      <w:r>
        <w:rPr>
          <w:spacing w:val="-2"/>
        </w:rPr>
        <w:t>across</w:t>
      </w:r>
      <w:r>
        <w:rPr>
          <w:spacing w:val="-8"/>
        </w:rPr>
        <w:t> </w:t>
      </w:r>
      <w:r>
        <w:rPr>
          <w:spacing w:val="-2"/>
        </w:rPr>
        <w:t>the</w:t>
      </w:r>
      <w:r>
        <w:rPr>
          <w:spacing w:val="-8"/>
        </w:rPr>
        <w:t> </w:t>
      </w:r>
      <w:r>
        <w:rPr>
          <w:spacing w:val="-2"/>
        </w:rPr>
        <w:t>country.</w:t>
      </w:r>
      <w:r>
        <w:rPr>
          <w:spacing w:val="-8"/>
        </w:rPr>
        <w:t> </w:t>
      </w:r>
      <w:r>
        <w:rPr>
          <w:spacing w:val="-2"/>
        </w:rPr>
        <w:t>NKC</w:t>
      </w:r>
      <w:r>
        <w:rPr>
          <w:spacing w:val="-8"/>
        </w:rPr>
        <w:t> </w:t>
      </w:r>
      <w:r>
        <w:rPr>
          <w:spacing w:val="-2"/>
        </w:rPr>
        <w:t>believes </w:t>
      </w:r>
      <w:r>
        <w:rPr/>
        <w:t>that this arrangement cannot provide adequate and appropriate regulation. A new regulatory mechanism must be established by appointing a Standing Committee on Open and Distance Education under the Independent Regulatory Authority for Higher Education</w:t>
      </w:r>
      <w:r>
        <w:rPr>
          <w:spacing w:val="-14"/>
        </w:rPr>
        <w:t> </w:t>
      </w:r>
      <w:r>
        <w:rPr/>
        <w:t>(IRAHE)</w:t>
      </w:r>
      <w:r>
        <w:rPr>
          <w:spacing w:val="-11"/>
        </w:rPr>
        <w:t> </w:t>
      </w:r>
      <w:r>
        <w:rPr/>
        <w:t>proposed</w:t>
      </w:r>
      <w:r>
        <w:rPr>
          <w:spacing w:val="-11"/>
        </w:rPr>
        <w:t> </w:t>
      </w:r>
      <w:r>
        <w:rPr/>
        <w:t>by</w:t>
      </w:r>
      <w:r>
        <w:rPr>
          <w:spacing w:val="-10"/>
        </w:rPr>
        <w:t> </w:t>
      </w:r>
      <w:r>
        <w:rPr/>
        <w:t>NKC.</w:t>
      </w:r>
      <w:r>
        <w:rPr>
          <w:spacing w:val="-14"/>
        </w:rPr>
        <w:t> </w:t>
      </w:r>
      <w:r>
        <w:rPr/>
        <w:t>This</w:t>
      </w:r>
      <w:r>
        <w:rPr>
          <w:spacing w:val="-10"/>
        </w:rPr>
        <w:t> </w:t>
      </w:r>
      <w:r>
        <w:rPr>
          <w:spacing w:val="-2"/>
        </w:rPr>
        <w:t>statutory</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57"/>
        <w:ind w:left="1080"/>
        <w:jc w:val="both"/>
      </w:pPr>
      <w:r>
        <w:rPr>
          <w:spacing w:val="-4"/>
        </w:rPr>
        <w:t>body</w:t>
      </w:r>
      <w:r>
        <w:rPr>
          <w:spacing w:val="-10"/>
        </w:rPr>
        <w:t> </w:t>
      </w:r>
      <w:r>
        <w:rPr>
          <w:spacing w:val="-4"/>
        </w:rPr>
        <w:t>would</w:t>
      </w:r>
      <w:r>
        <w:rPr>
          <w:spacing w:val="-10"/>
        </w:rPr>
        <w:t> </w:t>
      </w:r>
      <w:r>
        <w:rPr>
          <w:spacing w:val="-4"/>
        </w:rPr>
        <w:t>be</w:t>
      </w:r>
      <w:r>
        <w:rPr>
          <w:spacing w:val="-10"/>
        </w:rPr>
        <w:t> </w:t>
      </w:r>
      <w:r>
        <w:rPr>
          <w:spacing w:val="-4"/>
        </w:rPr>
        <w:t>responsible</w:t>
      </w:r>
      <w:r>
        <w:rPr>
          <w:spacing w:val="-9"/>
        </w:rPr>
        <w:t> </w:t>
      </w:r>
      <w:r>
        <w:rPr>
          <w:spacing w:val="-4"/>
        </w:rPr>
        <w:t>for</w:t>
      </w:r>
      <w:r>
        <w:rPr>
          <w:spacing w:val="-10"/>
        </w:rPr>
        <w:t> </w:t>
      </w:r>
      <w:r>
        <w:rPr>
          <w:spacing w:val="-4"/>
        </w:rPr>
        <w:t>developing</w:t>
      </w:r>
      <w:r>
        <w:rPr>
          <w:spacing w:val="-10"/>
        </w:rPr>
        <w:t> </w:t>
      </w:r>
      <w:r>
        <w:rPr>
          <w:spacing w:val="-4"/>
        </w:rPr>
        <w:t>broad</w:t>
      </w:r>
      <w:r>
        <w:rPr>
          <w:spacing w:val="-10"/>
        </w:rPr>
        <w:t> </w:t>
      </w:r>
      <w:r>
        <w:rPr>
          <w:spacing w:val="-4"/>
        </w:rPr>
        <w:t>criteria </w:t>
      </w:r>
      <w:r>
        <w:rPr/>
        <w:t>for</w:t>
      </w:r>
      <w:r>
        <w:rPr>
          <w:spacing w:val="-7"/>
        </w:rPr>
        <w:t> </w:t>
      </w:r>
      <w:r>
        <w:rPr/>
        <w:t>accreditation</w:t>
      </w:r>
      <w:r>
        <w:rPr>
          <w:spacing w:val="-7"/>
        </w:rPr>
        <w:t> </w:t>
      </w:r>
      <w:r>
        <w:rPr/>
        <w:t>as</w:t>
      </w:r>
      <w:r>
        <w:rPr>
          <w:spacing w:val="-7"/>
        </w:rPr>
        <w:t> </w:t>
      </w:r>
      <w:r>
        <w:rPr/>
        <w:t>well</w:t>
      </w:r>
      <w:r>
        <w:rPr>
          <w:spacing w:val="-7"/>
        </w:rPr>
        <w:t> </w:t>
      </w:r>
      <w:r>
        <w:rPr/>
        <w:t>as</w:t>
      </w:r>
      <w:r>
        <w:rPr>
          <w:spacing w:val="-7"/>
        </w:rPr>
        <w:t> </w:t>
      </w:r>
      <w:r>
        <w:rPr/>
        <w:t>laying</w:t>
      </w:r>
      <w:r>
        <w:rPr>
          <w:spacing w:val="-7"/>
        </w:rPr>
        <w:t> </w:t>
      </w:r>
      <w:r>
        <w:rPr/>
        <w:t>down</w:t>
      </w:r>
      <w:r>
        <w:rPr>
          <w:spacing w:val="-7"/>
        </w:rPr>
        <w:t> </w:t>
      </w:r>
      <w:r>
        <w:rPr/>
        <w:t>standards</w:t>
      </w:r>
      <w:r>
        <w:rPr>
          <w:spacing w:val="-7"/>
        </w:rPr>
        <w:t> </w:t>
      </w:r>
      <w:r>
        <w:rPr/>
        <w:t>for </w:t>
      </w:r>
      <w:r>
        <w:rPr>
          <w:w w:val="90"/>
        </w:rPr>
        <w:t>quality assurance. It would be accountable to stakeholders </w:t>
      </w:r>
      <w:r>
        <w:rPr>
          <w:spacing w:val="-6"/>
        </w:rPr>
        <w:t>at</w:t>
      </w:r>
      <w:r>
        <w:rPr>
          <w:spacing w:val="-8"/>
        </w:rPr>
        <w:t> </w:t>
      </w:r>
      <w:r>
        <w:rPr>
          <w:spacing w:val="-6"/>
        </w:rPr>
        <w:t>all</w:t>
      </w:r>
      <w:r>
        <w:rPr>
          <w:spacing w:val="-8"/>
        </w:rPr>
        <w:t> </w:t>
      </w:r>
      <w:r>
        <w:rPr>
          <w:spacing w:val="-6"/>
        </w:rPr>
        <w:t>levels</w:t>
      </w:r>
      <w:r>
        <w:rPr>
          <w:spacing w:val="-8"/>
        </w:rPr>
        <w:t> </w:t>
      </w:r>
      <w:r>
        <w:rPr>
          <w:spacing w:val="-6"/>
        </w:rPr>
        <w:t>and</w:t>
      </w:r>
      <w:r>
        <w:rPr>
          <w:spacing w:val="-7"/>
        </w:rPr>
        <w:t> </w:t>
      </w:r>
      <w:r>
        <w:rPr>
          <w:spacing w:val="-6"/>
        </w:rPr>
        <w:t>to</w:t>
      </w:r>
      <w:r>
        <w:rPr>
          <w:spacing w:val="-8"/>
        </w:rPr>
        <w:t> </w:t>
      </w:r>
      <w:r>
        <w:rPr>
          <w:spacing w:val="-6"/>
        </w:rPr>
        <w:t>IRAHE,</w:t>
      </w:r>
      <w:r>
        <w:rPr>
          <w:spacing w:val="-8"/>
        </w:rPr>
        <w:t> </w:t>
      </w:r>
      <w:r>
        <w:rPr>
          <w:spacing w:val="-6"/>
        </w:rPr>
        <w:t>and</w:t>
      </w:r>
      <w:r>
        <w:rPr>
          <w:spacing w:val="-8"/>
        </w:rPr>
        <w:t> </w:t>
      </w:r>
      <w:r>
        <w:rPr>
          <w:spacing w:val="-6"/>
        </w:rPr>
        <w:t>have</w:t>
      </w:r>
      <w:r>
        <w:rPr>
          <w:spacing w:val="-7"/>
        </w:rPr>
        <w:t> </w:t>
      </w:r>
      <w:r>
        <w:rPr>
          <w:spacing w:val="-6"/>
        </w:rPr>
        <w:t>representation</w:t>
      </w:r>
      <w:r>
        <w:rPr>
          <w:spacing w:val="-8"/>
        </w:rPr>
        <w:t> </w:t>
      </w:r>
      <w:r>
        <w:rPr>
          <w:spacing w:val="-6"/>
        </w:rPr>
        <w:t>from </w:t>
      </w:r>
      <w:r>
        <w:rPr/>
        <w:t>public, private and social institutions involved in the education</w:t>
      </w:r>
      <w:r>
        <w:rPr>
          <w:spacing w:val="-14"/>
        </w:rPr>
        <w:t> </w:t>
      </w:r>
      <w:r>
        <w:rPr/>
        <w:t>and</w:t>
      </w:r>
      <w:r>
        <w:rPr>
          <w:spacing w:val="-14"/>
        </w:rPr>
        <w:t> </w:t>
      </w:r>
      <w:r>
        <w:rPr/>
        <w:t>development</w:t>
      </w:r>
      <w:r>
        <w:rPr>
          <w:spacing w:val="-14"/>
        </w:rPr>
        <w:t> </w:t>
      </w:r>
      <w:r>
        <w:rPr/>
        <w:t>sectors.</w:t>
      </w:r>
      <w:r>
        <w:rPr>
          <w:spacing w:val="-13"/>
        </w:rPr>
        <w:t> </w:t>
      </w:r>
      <w:r>
        <w:rPr/>
        <w:t>These</w:t>
      </w:r>
      <w:r>
        <w:rPr>
          <w:spacing w:val="-14"/>
        </w:rPr>
        <w:t> </w:t>
      </w:r>
      <w:r>
        <w:rPr/>
        <w:t>include</w:t>
      </w:r>
      <w:r>
        <w:rPr>
          <w:spacing w:val="-14"/>
        </w:rPr>
        <w:t> </w:t>
      </w:r>
      <w:r>
        <w:rPr/>
        <w:t>the </w:t>
      </w:r>
      <w:r>
        <w:rPr>
          <w:spacing w:val="-2"/>
        </w:rPr>
        <w:t>central</w:t>
      </w:r>
      <w:r>
        <w:rPr>
          <w:spacing w:val="-8"/>
        </w:rPr>
        <w:t> </w:t>
      </w:r>
      <w:r>
        <w:rPr>
          <w:spacing w:val="-2"/>
        </w:rPr>
        <w:t>open</w:t>
      </w:r>
      <w:r>
        <w:rPr>
          <w:spacing w:val="-8"/>
        </w:rPr>
        <w:t> </w:t>
      </w:r>
      <w:r>
        <w:rPr>
          <w:spacing w:val="-2"/>
        </w:rPr>
        <w:t>university,</w:t>
      </w:r>
      <w:r>
        <w:rPr>
          <w:spacing w:val="-8"/>
        </w:rPr>
        <w:t> </w:t>
      </w:r>
      <w:r>
        <w:rPr>
          <w:spacing w:val="-2"/>
        </w:rPr>
        <w:t>state</w:t>
      </w:r>
      <w:r>
        <w:rPr>
          <w:spacing w:val="-8"/>
        </w:rPr>
        <w:t> </w:t>
      </w:r>
      <w:r>
        <w:rPr>
          <w:spacing w:val="-2"/>
        </w:rPr>
        <w:t>open</w:t>
      </w:r>
      <w:r>
        <w:rPr>
          <w:spacing w:val="-8"/>
        </w:rPr>
        <w:t> </w:t>
      </w:r>
      <w:r>
        <w:rPr>
          <w:spacing w:val="-2"/>
        </w:rPr>
        <w:t>universities,</w:t>
      </w:r>
      <w:r>
        <w:rPr>
          <w:spacing w:val="-8"/>
        </w:rPr>
        <w:t> </w:t>
      </w:r>
      <w:r>
        <w:rPr>
          <w:spacing w:val="-2"/>
        </w:rPr>
        <w:t>private open</w:t>
      </w:r>
      <w:r>
        <w:rPr>
          <w:spacing w:val="-9"/>
        </w:rPr>
        <w:t> </w:t>
      </w:r>
      <w:r>
        <w:rPr>
          <w:spacing w:val="-2"/>
        </w:rPr>
        <w:t>universities,</w:t>
      </w:r>
      <w:r>
        <w:rPr>
          <w:spacing w:val="-9"/>
        </w:rPr>
        <w:t> </w:t>
      </w:r>
      <w:r>
        <w:rPr>
          <w:spacing w:val="-2"/>
        </w:rPr>
        <w:t>conventional</w:t>
      </w:r>
      <w:r>
        <w:rPr>
          <w:spacing w:val="-9"/>
        </w:rPr>
        <w:t> </w:t>
      </w:r>
      <w:r>
        <w:rPr>
          <w:spacing w:val="-2"/>
        </w:rPr>
        <w:t>education</w:t>
      </w:r>
      <w:r>
        <w:rPr>
          <w:spacing w:val="-9"/>
        </w:rPr>
        <w:t> </w:t>
      </w:r>
      <w:r>
        <w:rPr>
          <w:spacing w:val="-2"/>
        </w:rPr>
        <w:t>institutes,</w:t>
      </w:r>
      <w:r>
        <w:rPr>
          <w:spacing w:val="-9"/>
        </w:rPr>
        <w:t> </w:t>
      </w:r>
      <w:r>
        <w:rPr>
          <w:spacing w:val="-2"/>
        </w:rPr>
        <w:t>as </w:t>
      </w:r>
      <w:r>
        <w:rPr>
          <w:w w:val="90"/>
        </w:rPr>
        <w:t>well as chairpersons of the specialised bodies to be set up </w:t>
      </w:r>
      <w:r>
        <w:rPr/>
        <w:t>to look into infrastructural requirements of ODE.</w:t>
      </w:r>
    </w:p>
    <w:p>
      <w:pPr>
        <w:pStyle w:val="BodyText"/>
        <w:spacing w:before="19"/>
      </w:pPr>
    </w:p>
    <w:p>
      <w:pPr>
        <w:pStyle w:val="BodyText"/>
        <w:spacing w:line="266" w:lineRule="auto"/>
        <w:ind w:left="1080" w:right="1"/>
        <w:jc w:val="both"/>
      </w:pPr>
      <w:r>
        <w:rPr>
          <w:spacing w:val="-6"/>
        </w:rPr>
        <w:t>In addition, two specialised bodies should be </w:t>
      </w:r>
      <w:r>
        <w:rPr>
          <w:spacing w:val="-6"/>
        </w:rPr>
        <w:t>established </w:t>
      </w:r>
      <w:r>
        <w:rPr/>
        <w:t>under the aegis of the Standing Committee:</w:t>
      </w:r>
    </w:p>
    <w:p>
      <w:pPr>
        <w:pStyle w:val="ListParagraph"/>
        <w:numPr>
          <w:ilvl w:val="0"/>
          <w:numId w:val="31"/>
        </w:numPr>
        <w:tabs>
          <w:tab w:pos="1439" w:val="left" w:leader="none"/>
        </w:tabs>
        <w:spacing w:line="266" w:lineRule="auto" w:before="0" w:after="0"/>
        <w:ind w:left="1439" w:right="0" w:hanging="360"/>
        <w:jc w:val="both"/>
        <w:rPr>
          <w:sz w:val="22"/>
        </w:rPr>
      </w:pPr>
      <w:r>
        <w:rPr>
          <w:sz w:val="22"/>
        </w:rPr>
        <w:t>A</w:t>
      </w:r>
      <w:r>
        <w:rPr>
          <w:spacing w:val="-14"/>
          <w:sz w:val="22"/>
        </w:rPr>
        <w:t> </w:t>
      </w:r>
      <w:r>
        <w:rPr>
          <w:sz w:val="22"/>
        </w:rPr>
        <w:t>Technical</w:t>
      </w:r>
      <w:r>
        <w:rPr>
          <w:spacing w:val="-14"/>
          <w:sz w:val="22"/>
        </w:rPr>
        <w:t> </w:t>
      </w:r>
      <w:r>
        <w:rPr>
          <w:sz w:val="22"/>
        </w:rPr>
        <w:t>Advisory</w:t>
      </w:r>
      <w:r>
        <w:rPr>
          <w:spacing w:val="-14"/>
          <w:sz w:val="22"/>
        </w:rPr>
        <w:t> </w:t>
      </w:r>
      <w:r>
        <w:rPr>
          <w:sz w:val="22"/>
        </w:rPr>
        <w:t>Group</w:t>
      </w:r>
      <w:r>
        <w:rPr>
          <w:spacing w:val="-13"/>
          <w:sz w:val="22"/>
        </w:rPr>
        <w:t> </w:t>
      </w:r>
      <w:r>
        <w:rPr>
          <w:sz w:val="22"/>
        </w:rPr>
        <w:t>with</w:t>
      </w:r>
      <w:r>
        <w:rPr>
          <w:spacing w:val="-14"/>
          <w:sz w:val="22"/>
        </w:rPr>
        <w:t> </w:t>
      </w:r>
      <w:r>
        <w:rPr>
          <w:sz w:val="22"/>
        </w:rPr>
        <w:t>representatives from the IT sector, telecom, space and </w:t>
      </w:r>
      <w:r>
        <w:rPr>
          <w:sz w:val="22"/>
        </w:rPr>
        <w:t>industry </w:t>
      </w:r>
      <w:r>
        <w:rPr>
          <w:spacing w:val="-2"/>
          <w:sz w:val="22"/>
        </w:rPr>
        <w:t>should</w:t>
      </w:r>
      <w:r>
        <w:rPr>
          <w:spacing w:val="-12"/>
          <w:sz w:val="22"/>
        </w:rPr>
        <w:t> </w:t>
      </w:r>
      <w:r>
        <w:rPr>
          <w:spacing w:val="-2"/>
          <w:sz w:val="22"/>
        </w:rPr>
        <w:t>be</w:t>
      </w:r>
      <w:r>
        <w:rPr>
          <w:spacing w:val="-12"/>
          <w:sz w:val="22"/>
        </w:rPr>
        <w:t> </w:t>
      </w:r>
      <w:r>
        <w:rPr>
          <w:spacing w:val="-2"/>
          <w:sz w:val="22"/>
        </w:rPr>
        <w:t>constituted</w:t>
      </w:r>
      <w:r>
        <w:rPr>
          <w:spacing w:val="-12"/>
          <w:sz w:val="22"/>
        </w:rPr>
        <w:t> </w:t>
      </w:r>
      <w:r>
        <w:rPr>
          <w:spacing w:val="-2"/>
          <w:sz w:val="22"/>
        </w:rPr>
        <w:t>to</w:t>
      </w:r>
      <w:r>
        <w:rPr>
          <w:spacing w:val="-11"/>
          <w:sz w:val="22"/>
        </w:rPr>
        <w:t> </w:t>
      </w:r>
      <w:r>
        <w:rPr>
          <w:spacing w:val="-2"/>
          <w:sz w:val="22"/>
        </w:rPr>
        <w:t>provide</w:t>
      </w:r>
      <w:r>
        <w:rPr>
          <w:spacing w:val="-12"/>
          <w:sz w:val="22"/>
        </w:rPr>
        <w:t> </w:t>
      </w:r>
      <w:r>
        <w:rPr>
          <w:spacing w:val="-2"/>
          <w:sz w:val="22"/>
        </w:rPr>
        <w:t>guidelines,</w:t>
      </w:r>
      <w:r>
        <w:rPr>
          <w:spacing w:val="-12"/>
          <w:sz w:val="22"/>
        </w:rPr>
        <w:t> </w:t>
      </w:r>
      <w:r>
        <w:rPr>
          <w:spacing w:val="-2"/>
          <w:sz w:val="22"/>
        </w:rPr>
        <w:t>ensure </w:t>
      </w:r>
      <w:r>
        <w:rPr>
          <w:sz w:val="22"/>
        </w:rPr>
        <w:t>flexibility and track the latest developments in </w:t>
      </w:r>
      <w:r>
        <w:rPr>
          <w:spacing w:val="-2"/>
          <w:sz w:val="22"/>
        </w:rPr>
        <w:t>application.</w:t>
      </w:r>
      <w:r>
        <w:rPr>
          <w:spacing w:val="-12"/>
          <w:sz w:val="22"/>
        </w:rPr>
        <w:t> </w:t>
      </w:r>
      <w:r>
        <w:rPr>
          <w:spacing w:val="-2"/>
          <w:sz w:val="22"/>
        </w:rPr>
        <w:t>The</w:t>
      </w:r>
      <w:r>
        <w:rPr>
          <w:spacing w:val="-12"/>
          <w:sz w:val="22"/>
        </w:rPr>
        <w:t> </w:t>
      </w:r>
      <w:r>
        <w:rPr>
          <w:spacing w:val="-2"/>
          <w:sz w:val="22"/>
        </w:rPr>
        <w:t>most</w:t>
      </w:r>
      <w:r>
        <w:rPr>
          <w:spacing w:val="-12"/>
          <w:sz w:val="22"/>
        </w:rPr>
        <w:t> </w:t>
      </w:r>
      <w:r>
        <w:rPr>
          <w:spacing w:val="-2"/>
          <w:sz w:val="22"/>
        </w:rPr>
        <w:t>important</w:t>
      </w:r>
      <w:r>
        <w:rPr>
          <w:spacing w:val="-11"/>
          <w:sz w:val="22"/>
        </w:rPr>
        <w:t> </w:t>
      </w:r>
      <w:r>
        <w:rPr>
          <w:spacing w:val="-2"/>
          <w:sz w:val="22"/>
        </w:rPr>
        <w:t>function</w:t>
      </w:r>
      <w:r>
        <w:rPr>
          <w:spacing w:val="-12"/>
          <w:sz w:val="22"/>
        </w:rPr>
        <w:t> </w:t>
      </w:r>
      <w:r>
        <w:rPr>
          <w:spacing w:val="-2"/>
          <w:sz w:val="22"/>
        </w:rPr>
        <w:t>would</w:t>
      </w:r>
      <w:r>
        <w:rPr>
          <w:spacing w:val="-12"/>
          <w:sz w:val="22"/>
        </w:rPr>
        <w:t> </w:t>
      </w:r>
      <w:r>
        <w:rPr>
          <w:spacing w:val="-2"/>
          <w:sz w:val="22"/>
        </w:rPr>
        <w:t>be to</w:t>
      </w:r>
      <w:r>
        <w:rPr>
          <w:spacing w:val="-6"/>
          <w:sz w:val="22"/>
        </w:rPr>
        <w:t> </w:t>
      </w:r>
      <w:r>
        <w:rPr>
          <w:spacing w:val="-2"/>
          <w:sz w:val="22"/>
        </w:rPr>
        <w:t>devise</w:t>
      </w:r>
      <w:r>
        <w:rPr>
          <w:spacing w:val="-6"/>
          <w:sz w:val="22"/>
        </w:rPr>
        <w:t> </w:t>
      </w:r>
      <w:r>
        <w:rPr>
          <w:spacing w:val="-2"/>
          <w:sz w:val="22"/>
        </w:rPr>
        <w:t>common</w:t>
      </w:r>
      <w:r>
        <w:rPr>
          <w:spacing w:val="-6"/>
          <w:sz w:val="22"/>
        </w:rPr>
        <w:t> </w:t>
      </w:r>
      <w:r>
        <w:rPr>
          <w:spacing w:val="-2"/>
          <w:sz w:val="22"/>
        </w:rPr>
        <w:t>standards</w:t>
      </w:r>
      <w:r>
        <w:rPr>
          <w:spacing w:val="-6"/>
          <w:sz w:val="22"/>
        </w:rPr>
        <w:t> </w:t>
      </w:r>
      <w:r>
        <w:rPr>
          <w:spacing w:val="-2"/>
          <w:sz w:val="22"/>
        </w:rPr>
        <w:t>for</w:t>
      </w:r>
      <w:r>
        <w:rPr>
          <w:spacing w:val="-6"/>
          <w:sz w:val="22"/>
        </w:rPr>
        <w:t> </w:t>
      </w:r>
      <w:r>
        <w:rPr>
          <w:spacing w:val="-2"/>
          <w:sz w:val="22"/>
        </w:rPr>
        <w:t>labelling</w:t>
      </w:r>
      <w:r>
        <w:rPr>
          <w:spacing w:val="-6"/>
          <w:sz w:val="22"/>
        </w:rPr>
        <w:t> </w:t>
      </w:r>
      <w:r>
        <w:rPr>
          <w:spacing w:val="-2"/>
          <w:sz w:val="22"/>
        </w:rPr>
        <w:t>learning content</w:t>
      </w:r>
      <w:r>
        <w:rPr>
          <w:spacing w:val="-12"/>
          <w:sz w:val="22"/>
        </w:rPr>
        <w:t> </w:t>
      </w:r>
      <w:r>
        <w:rPr>
          <w:spacing w:val="-2"/>
          <w:sz w:val="22"/>
        </w:rPr>
        <w:t>developed</w:t>
      </w:r>
      <w:r>
        <w:rPr>
          <w:spacing w:val="-12"/>
          <w:sz w:val="22"/>
        </w:rPr>
        <w:t> </w:t>
      </w:r>
      <w:r>
        <w:rPr>
          <w:spacing w:val="-2"/>
          <w:sz w:val="22"/>
        </w:rPr>
        <w:t>by</w:t>
      </w:r>
      <w:r>
        <w:rPr>
          <w:spacing w:val="-12"/>
          <w:sz w:val="22"/>
        </w:rPr>
        <w:t> </w:t>
      </w:r>
      <w:r>
        <w:rPr>
          <w:spacing w:val="-2"/>
          <w:sz w:val="22"/>
        </w:rPr>
        <w:t>different</w:t>
      </w:r>
      <w:r>
        <w:rPr>
          <w:spacing w:val="-11"/>
          <w:sz w:val="22"/>
        </w:rPr>
        <w:t> </w:t>
      </w:r>
      <w:r>
        <w:rPr>
          <w:spacing w:val="-2"/>
          <w:sz w:val="22"/>
        </w:rPr>
        <w:t>agencies</w:t>
      </w:r>
      <w:r>
        <w:rPr>
          <w:spacing w:val="-12"/>
          <w:sz w:val="22"/>
        </w:rPr>
        <w:t> </w:t>
      </w:r>
      <w:r>
        <w:rPr>
          <w:spacing w:val="-2"/>
          <w:sz w:val="22"/>
        </w:rPr>
        <w:t>in</w:t>
      </w:r>
      <w:r>
        <w:rPr>
          <w:spacing w:val="-12"/>
          <w:sz w:val="22"/>
        </w:rPr>
        <w:t> </w:t>
      </w:r>
      <w:r>
        <w:rPr>
          <w:spacing w:val="-2"/>
          <w:sz w:val="22"/>
        </w:rPr>
        <w:t>order</w:t>
      </w:r>
      <w:r>
        <w:rPr>
          <w:spacing w:val="-12"/>
          <w:sz w:val="22"/>
        </w:rPr>
        <w:t> </w:t>
      </w:r>
      <w:r>
        <w:rPr>
          <w:spacing w:val="-2"/>
          <w:sz w:val="22"/>
        </w:rPr>
        <w:t>to </w:t>
      </w:r>
      <w:r>
        <w:rPr>
          <w:sz w:val="22"/>
        </w:rPr>
        <w:t>support</w:t>
      </w:r>
      <w:r>
        <w:rPr>
          <w:spacing w:val="-13"/>
          <w:sz w:val="22"/>
        </w:rPr>
        <w:t> </w:t>
      </w:r>
      <w:r>
        <w:rPr>
          <w:sz w:val="22"/>
        </w:rPr>
        <w:t>indexing,</w:t>
      </w:r>
      <w:r>
        <w:rPr>
          <w:spacing w:val="-13"/>
          <w:sz w:val="22"/>
        </w:rPr>
        <w:t> </w:t>
      </w:r>
      <w:r>
        <w:rPr>
          <w:sz w:val="22"/>
        </w:rPr>
        <w:t>storage,</w:t>
      </w:r>
      <w:r>
        <w:rPr>
          <w:spacing w:val="-13"/>
          <w:sz w:val="22"/>
        </w:rPr>
        <w:t> </w:t>
      </w:r>
      <w:r>
        <w:rPr>
          <w:sz w:val="22"/>
        </w:rPr>
        <w:t>discovery</w:t>
      </w:r>
      <w:r>
        <w:rPr>
          <w:spacing w:val="-13"/>
          <w:sz w:val="22"/>
        </w:rPr>
        <w:t> </w:t>
      </w:r>
      <w:r>
        <w:rPr>
          <w:sz w:val="22"/>
        </w:rPr>
        <w:t>and</w:t>
      </w:r>
      <w:r>
        <w:rPr>
          <w:spacing w:val="-13"/>
          <w:sz w:val="22"/>
        </w:rPr>
        <w:t> </w:t>
      </w:r>
      <w:r>
        <w:rPr>
          <w:sz w:val="22"/>
        </w:rPr>
        <w:t>retrieval of this content by multiple tools across multiple </w:t>
      </w:r>
      <w:r>
        <w:rPr>
          <w:spacing w:val="-2"/>
          <w:sz w:val="22"/>
        </w:rPr>
        <w:t>repositories.</w:t>
      </w:r>
    </w:p>
    <w:p>
      <w:pPr>
        <w:pStyle w:val="ListParagraph"/>
        <w:numPr>
          <w:ilvl w:val="0"/>
          <w:numId w:val="31"/>
        </w:numPr>
        <w:tabs>
          <w:tab w:pos="1439" w:val="left" w:leader="none"/>
        </w:tabs>
        <w:spacing w:line="266" w:lineRule="auto" w:before="0" w:after="0"/>
        <w:ind w:left="1439" w:right="0" w:hanging="360"/>
        <w:jc w:val="both"/>
        <w:rPr>
          <w:sz w:val="22"/>
        </w:rPr>
      </w:pPr>
      <w:r>
        <w:rPr>
          <w:sz w:val="22"/>
        </w:rPr>
        <w:t>An Advisory Group on Pedagogical </w:t>
      </w:r>
      <w:r>
        <w:rPr>
          <w:sz w:val="22"/>
        </w:rPr>
        <w:t>Content </w:t>
      </w:r>
      <w:r>
        <w:rPr>
          <w:spacing w:val="-4"/>
          <w:sz w:val="22"/>
        </w:rPr>
        <w:t>Management</w:t>
      </w:r>
      <w:r>
        <w:rPr>
          <w:spacing w:val="-10"/>
          <w:sz w:val="22"/>
        </w:rPr>
        <w:t> </w:t>
      </w:r>
      <w:r>
        <w:rPr>
          <w:spacing w:val="-4"/>
          <w:sz w:val="22"/>
        </w:rPr>
        <w:t>should</w:t>
      </w:r>
      <w:r>
        <w:rPr>
          <w:spacing w:val="-10"/>
          <w:sz w:val="22"/>
        </w:rPr>
        <w:t> </w:t>
      </w:r>
      <w:r>
        <w:rPr>
          <w:spacing w:val="-4"/>
          <w:sz w:val="22"/>
        </w:rPr>
        <w:t>be</w:t>
      </w:r>
      <w:r>
        <w:rPr>
          <w:spacing w:val="-10"/>
          <w:sz w:val="22"/>
        </w:rPr>
        <w:t> </w:t>
      </w:r>
      <w:r>
        <w:rPr>
          <w:spacing w:val="-4"/>
          <w:sz w:val="22"/>
        </w:rPr>
        <w:t>set</w:t>
      </w:r>
      <w:r>
        <w:rPr>
          <w:spacing w:val="-9"/>
          <w:sz w:val="22"/>
        </w:rPr>
        <w:t> </w:t>
      </w:r>
      <w:r>
        <w:rPr>
          <w:spacing w:val="-4"/>
          <w:sz w:val="22"/>
        </w:rPr>
        <w:t>up</w:t>
      </w:r>
      <w:r>
        <w:rPr>
          <w:spacing w:val="-10"/>
          <w:sz w:val="22"/>
        </w:rPr>
        <w:t> </w:t>
      </w:r>
      <w:r>
        <w:rPr>
          <w:spacing w:val="-4"/>
          <w:sz w:val="22"/>
        </w:rPr>
        <w:t>to</w:t>
      </w:r>
      <w:r>
        <w:rPr>
          <w:spacing w:val="-10"/>
          <w:sz w:val="22"/>
        </w:rPr>
        <w:t> </w:t>
      </w:r>
      <w:r>
        <w:rPr>
          <w:spacing w:val="-4"/>
          <w:sz w:val="22"/>
        </w:rPr>
        <w:t>provide</w:t>
      </w:r>
      <w:r>
        <w:rPr>
          <w:spacing w:val="-10"/>
          <w:sz w:val="22"/>
        </w:rPr>
        <w:t> </w:t>
      </w:r>
      <w:r>
        <w:rPr>
          <w:spacing w:val="-4"/>
          <w:sz w:val="22"/>
        </w:rPr>
        <w:t>guidelines </w:t>
      </w:r>
      <w:r>
        <w:rPr>
          <w:sz w:val="22"/>
        </w:rPr>
        <w:t>on curricular content and development of </w:t>
      </w:r>
      <w:r>
        <w:rPr>
          <w:spacing w:val="-6"/>
          <w:sz w:val="22"/>
        </w:rPr>
        <w:t>repositories,</w:t>
      </w:r>
      <w:r>
        <w:rPr>
          <w:spacing w:val="-8"/>
          <w:sz w:val="22"/>
        </w:rPr>
        <w:t> </w:t>
      </w:r>
      <w:r>
        <w:rPr>
          <w:spacing w:val="-6"/>
          <w:sz w:val="22"/>
        </w:rPr>
        <w:t>exchange</w:t>
      </w:r>
      <w:r>
        <w:rPr>
          <w:spacing w:val="-8"/>
          <w:sz w:val="22"/>
        </w:rPr>
        <w:t> </w:t>
      </w:r>
      <w:r>
        <w:rPr>
          <w:spacing w:val="-6"/>
          <w:sz w:val="22"/>
        </w:rPr>
        <w:t>of</w:t>
      </w:r>
      <w:r>
        <w:rPr>
          <w:spacing w:val="-8"/>
          <w:sz w:val="22"/>
        </w:rPr>
        <w:t> </w:t>
      </w:r>
      <w:r>
        <w:rPr>
          <w:spacing w:val="-6"/>
          <w:sz w:val="22"/>
        </w:rPr>
        <w:t>material,</w:t>
      </w:r>
      <w:r>
        <w:rPr>
          <w:spacing w:val="-7"/>
          <w:sz w:val="22"/>
        </w:rPr>
        <w:t> </w:t>
      </w:r>
      <w:r>
        <w:rPr>
          <w:spacing w:val="-6"/>
          <w:sz w:val="22"/>
        </w:rPr>
        <w:t>access</w:t>
      </w:r>
      <w:r>
        <w:rPr>
          <w:spacing w:val="-8"/>
          <w:sz w:val="22"/>
        </w:rPr>
        <w:t> </w:t>
      </w:r>
      <w:r>
        <w:rPr>
          <w:spacing w:val="-6"/>
          <w:sz w:val="22"/>
        </w:rPr>
        <w:t>to</w:t>
      </w:r>
      <w:r>
        <w:rPr>
          <w:spacing w:val="-8"/>
          <w:sz w:val="22"/>
        </w:rPr>
        <w:t> </w:t>
      </w:r>
      <w:r>
        <w:rPr>
          <w:spacing w:val="-6"/>
          <w:sz w:val="22"/>
        </w:rPr>
        <w:t>students </w:t>
      </w:r>
      <w:r>
        <w:rPr>
          <w:sz w:val="22"/>
        </w:rPr>
        <w:t>and other such issues.</w:t>
      </w:r>
    </w:p>
    <w:p>
      <w:pPr>
        <w:pStyle w:val="BodyText"/>
        <w:spacing w:before="13"/>
      </w:pPr>
    </w:p>
    <w:p>
      <w:pPr>
        <w:pStyle w:val="BodyText"/>
        <w:spacing w:line="266" w:lineRule="auto" w:before="1"/>
        <w:ind w:left="1080"/>
        <w:jc w:val="both"/>
      </w:pPr>
      <w:r>
        <w:rPr/>
        <w:t>The Standing Committee on Open and </w:t>
      </w:r>
      <w:r>
        <w:rPr/>
        <w:t>Distance </w:t>
      </w:r>
      <w:r>
        <w:rPr>
          <w:spacing w:val="-2"/>
        </w:rPr>
        <w:t>Education</w:t>
      </w:r>
      <w:r>
        <w:rPr>
          <w:spacing w:val="-10"/>
        </w:rPr>
        <w:t> </w:t>
      </w:r>
      <w:r>
        <w:rPr>
          <w:spacing w:val="-2"/>
        </w:rPr>
        <w:t>would</w:t>
      </w:r>
      <w:r>
        <w:rPr>
          <w:spacing w:val="-10"/>
        </w:rPr>
        <w:t> </w:t>
      </w:r>
      <w:r>
        <w:rPr>
          <w:spacing w:val="-2"/>
        </w:rPr>
        <w:t>also</w:t>
      </w:r>
      <w:r>
        <w:rPr>
          <w:spacing w:val="-10"/>
        </w:rPr>
        <w:t> </w:t>
      </w:r>
      <w:r>
        <w:rPr>
          <w:spacing w:val="-2"/>
        </w:rPr>
        <w:t>serve</w:t>
      </w:r>
      <w:r>
        <w:rPr>
          <w:spacing w:val="-10"/>
        </w:rPr>
        <w:t> </w:t>
      </w:r>
      <w:r>
        <w:rPr>
          <w:spacing w:val="-2"/>
        </w:rPr>
        <w:t>as</w:t>
      </w:r>
      <w:r>
        <w:rPr>
          <w:spacing w:val="-10"/>
        </w:rPr>
        <w:t> </w:t>
      </w:r>
      <w:r>
        <w:rPr>
          <w:spacing w:val="-2"/>
        </w:rPr>
        <w:t>the</w:t>
      </w:r>
      <w:r>
        <w:rPr>
          <w:spacing w:val="-10"/>
        </w:rPr>
        <w:t> </w:t>
      </w:r>
      <w:r>
        <w:rPr>
          <w:spacing w:val="-2"/>
        </w:rPr>
        <w:t>nodal</w:t>
      </w:r>
      <w:r>
        <w:rPr>
          <w:spacing w:val="-10"/>
        </w:rPr>
        <w:t> </w:t>
      </w:r>
      <w:r>
        <w:rPr>
          <w:spacing w:val="-2"/>
        </w:rPr>
        <w:t>agency</w:t>
      </w:r>
      <w:r>
        <w:rPr>
          <w:spacing w:val="-10"/>
        </w:rPr>
        <w:t> </w:t>
      </w:r>
      <w:r>
        <w:rPr>
          <w:spacing w:val="-2"/>
        </w:rPr>
        <w:t>for</w:t>
      </w:r>
      <w:r>
        <w:rPr>
          <w:spacing w:val="-9"/>
        </w:rPr>
        <w:t> </w:t>
      </w:r>
      <w:r>
        <w:rPr>
          <w:spacing w:val="-5"/>
        </w:rPr>
        <w:t>the</w:t>
      </w:r>
    </w:p>
    <w:p>
      <w:pPr>
        <w:pStyle w:val="BodyText"/>
        <w:spacing w:line="266" w:lineRule="auto" w:before="57"/>
        <w:ind w:left="319" w:right="1077"/>
        <w:jc w:val="both"/>
      </w:pPr>
      <w:r>
        <w:rPr/>
        <w:br w:type="column"/>
      </w:r>
      <w:r>
        <w:rPr/>
        <w:t>National</w:t>
      </w:r>
      <w:r>
        <w:rPr>
          <w:spacing w:val="-14"/>
        </w:rPr>
        <w:t> </w:t>
      </w:r>
      <w:r>
        <w:rPr/>
        <w:t>Educational</w:t>
      </w:r>
      <w:r>
        <w:rPr>
          <w:spacing w:val="-14"/>
        </w:rPr>
        <w:t> </w:t>
      </w:r>
      <w:r>
        <w:rPr/>
        <w:t>Foundation</w:t>
      </w:r>
      <w:r>
        <w:rPr>
          <w:spacing w:val="-14"/>
        </w:rPr>
        <w:t> </w:t>
      </w:r>
      <w:r>
        <w:rPr/>
        <w:t>on</w:t>
      </w:r>
      <w:r>
        <w:rPr>
          <w:spacing w:val="-13"/>
        </w:rPr>
        <w:t> </w:t>
      </w:r>
      <w:r>
        <w:rPr/>
        <w:t>open</w:t>
      </w:r>
      <w:r>
        <w:rPr>
          <w:spacing w:val="-14"/>
        </w:rPr>
        <w:t> </w:t>
      </w:r>
      <w:r>
        <w:rPr/>
        <w:t>educational resources, the National Education Testing Service (NETS) and the Credit Bank.</w:t>
      </w:r>
    </w:p>
    <w:p>
      <w:pPr>
        <w:pStyle w:val="BodyText"/>
        <w:spacing w:before="3"/>
      </w:pPr>
    </w:p>
    <w:p>
      <w:pPr>
        <w:pStyle w:val="Heading6"/>
        <w:numPr>
          <w:ilvl w:val="0"/>
          <w:numId w:val="30"/>
        </w:numPr>
        <w:tabs>
          <w:tab w:pos="809" w:val="left" w:leader="none"/>
        </w:tabs>
        <w:spacing w:line="182" w:lineRule="auto" w:before="0" w:after="0"/>
        <w:ind w:left="809" w:right="1672" w:hanging="490"/>
        <w:jc w:val="left"/>
      </w:pPr>
      <w:r>
        <w:rPr>
          <w:color w:val="2E614A"/>
          <w:spacing w:val="-10"/>
        </w:rPr>
        <w:t>Develop a system for </w:t>
      </w:r>
      <w:r>
        <w:rPr>
          <w:color w:val="2E614A"/>
          <w:spacing w:val="-10"/>
        </w:rPr>
        <w:t>quality </w:t>
      </w:r>
      <w:r>
        <w:rPr>
          <w:color w:val="2E614A"/>
          <w:spacing w:val="-2"/>
        </w:rPr>
        <w:t>assessment</w:t>
      </w:r>
    </w:p>
    <w:p>
      <w:pPr>
        <w:pStyle w:val="BodyText"/>
        <w:spacing w:line="266" w:lineRule="auto" w:before="303"/>
        <w:ind w:left="319" w:right="1077"/>
        <w:jc w:val="both"/>
      </w:pPr>
      <w:r>
        <w:rPr/>
        <w:t>Reliable</w:t>
      </w:r>
      <w:r>
        <w:rPr>
          <w:spacing w:val="-3"/>
        </w:rPr>
        <w:t> </w:t>
      </w:r>
      <w:r>
        <w:rPr/>
        <w:t>external</w:t>
      </w:r>
      <w:r>
        <w:rPr>
          <w:spacing w:val="-3"/>
        </w:rPr>
        <w:t> </w:t>
      </w:r>
      <w:r>
        <w:rPr/>
        <w:t>assessment</w:t>
      </w:r>
      <w:r>
        <w:rPr>
          <w:spacing w:val="-3"/>
        </w:rPr>
        <w:t> </w:t>
      </w:r>
      <w:r>
        <w:rPr/>
        <w:t>is</w:t>
      </w:r>
      <w:r>
        <w:rPr>
          <w:spacing w:val="-3"/>
        </w:rPr>
        <w:t> </w:t>
      </w:r>
      <w:r>
        <w:rPr/>
        <w:t>valued</w:t>
      </w:r>
      <w:r>
        <w:rPr>
          <w:spacing w:val="-3"/>
        </w:rPr>
        <w:t> </w:t>
      </w:r>
      <w:r>
        <w:rPr/>
        <w:t>by</w:t>
      </w:r>
      <w:r>
        <w:rPr>
          <w:spacing w:val="-3"/>
        </w:rPr>
        <w:t> </w:t>
      </w:r>
      <w:r>
        <w:rPr/>
        <w:t>employers, </w:t>
      </w:r>
      <w:r>
        <w:rPr>
          <w:spacing w:val="-4"/>
        </w:rPr>
        <w:t>students</w:t>
      </w:r>
      <w:r>
        <w:rPr>
          <w:spacing w:val="-10"/>
        </w:rPr>
        <w:t> </w:t>
      </w:r>
      <w:r>
        <w:rPr>
          <w:spacing w:val="-4"/>
        </w:rPr>
        <w:t>and</w:t>
      </w:r>
      <w:r>
        <w:rPr>
          <w:spacing w:val="-10"/>
        </w:rPr>
        <w:t> </w:t>
      </w:r>
      <w:r>
        <w:rPr>
          <w:spacing w:val="-4"/>
        </w:rPr>
        <w:t>other</w:t>
      </w:r>
      <w:r>
        <w:rPr>
          <w:spacing w:val="-10"/>
        </w:rPr>
        <w:t> </w:t>
      </w:r>
      <w:r>
        <w:rPr>
          <w:spacing w:val="-4"/>
        </w:rPr>
        <w:t>stakeholders</w:t>
      </w:r>
      <w:r>
        <w:rPr>
          <w:spacing w:val="-9"/>
        </w:rPr>
        <w:t> </w:t>
      </w:r>
      <w:r>
        <w:rPr>
          <w:spacing w:val="-4"/>
        </w:rPr>
        <w:t>in</w:t>
      </w:r>
      <w:r>
        <w:rPr>
          <w:spacing w:val="-10"/>
        </w:rPr>
        <w:t> </w:t>
      </w:r>
      <w:r>
        <w:rPr>
          <w:spacing w:val="-4"/>
        </w:rPr>
        <w:t>the</w:t>
      </w:r>
      <w:r>
        <w:rPr>
          <w:spacing w:val="-10"/>
        </w:rPr>
        <w:t> </w:t>
      </w:r>
      <w:r>
        <w:rPr>
          <w:spacing w:val="-4"/>
        </w:rPr>
        <w:t>given</w:t>
      </w:r>
      <w:r>
        <w:rPr>
          <w:spacing w:val="-10"/>
        </w:rPr>
        <w:t> </w:t>
      </w:r>
      <w:r>
        <w:rPr>
          <w:spacing w:val="-4"/>
        </w:rPr>
        <w:t>context</w:t>
      </w:r>
      <w:r>
        <w:rPr>
          <w:spacing w:val="-9"/>
        </w:rPr>
        <w:t> </w:t>
      </w:r>
      <w:r>
        <w:rPr>
          <w:spacing w:val="-4"/>
        </w:rPr>
        <w:t>of</w:t>
      </w:r>
      <w:r>
        <w:rPr>
          <w:spacing w:val="-10"/>
        </w:rPr>
        <w:t> </w:t>
      </w:r>
      <w:r>
        <w:rPr>
          <w:spacing w:val="-4"/>
        </w:rPr>
        <w:t>a market</w:t>
      </w:r>
      <w:r>
        <w:rPr>
          <w:spacing w:val="-9"/>
        </w:rPr>
        <w:t> </w:t>
      </w:r>
      <w:r>
        <w:rPr>
          <w:spacing w:val="-4"/>
        </w:rPr>
        <w:t>driven</w:t>
      </w:r>
      <w:r>
        <w:rPr>
          <w:spacing w:val="-9"/>
        </w:rPr>
        <w:t> </w:t>
      </w:r>
      <w:r>
        <w:rPr>
          <w:spacing w:val="-4"/>
        </w:rPr>
        <w:t>economy.</w:t>
      </w:r>
      <w:r>
        <w:rPr>
          <w:spacing w:val="-9"/>
        </w:rPr>
        <w:t> </w:t>
      </w:r>
      <w:r>
        <w:rPr>
          <w:spacing w:val="-4"/>
        </w:rPr>
        <w:t>In</w:t>
      </w:r>
      <w:r>
        <w:rPr>
          <w:spacing w:val="-9"/>
        </w:rPr>
        <w:t> </w:t>
      </w:r>
      <w:r>
        <w:rPr>
          <w:spacing w:val="-4"/>
        </w:rPr>
        <w:t>view</w:t>
      </w:r>
      <w:r>
        <w:rPr>
          <w:spacing w:val="-9"/>
        </w:rPr>
        <w:t> </w:t>
      </w:r>
      <w:r>
        <w:rPr>
          <w:spacing w:val="-4"/>
        </w:rPr>
        <w:t>of</w:t>
      </w:r>
      <w:r>
        <w:rPr>
          <w:spacing w:val="-9"/>
        </w:rPr>
        <w:t> </w:t>
      </w:r>
      <w:r>
        <w:rPr>
          <w:spacing w:val="-4"/>
        </w:rPr>
        <w:t>this,</w:t>
      </w:r>
      <w:r>
        <w:rPr>
          <w:spacing w:val="-9"/>
        </w:rPr>
        <w:t> </w:t>
      </w:r>
      <w:r>
        <w:rPr>
          <w:spacing w:val="-4"/>
        </w:rPr>
        <w:t>a</w:t>
      </w:r>
      <w:r>
        <w:rPr>
          <w:spacing w:val="-9"/>
        </w:rPr>
        <w:t> </w:t>
      </w:r>
      <w:r>
        <w:rPr>
          <w:spacing w:val="-4"/>
        </w:rPr>
        <w:t>rating</w:t>
      </w:r>
      <w:r>
        <w:rPr>
          <w:spacing w:val="-9"/>
        </w:rPr>
        <w:t> </w:t>
      </w:r>
      <w:r>
        <w:rPr>
          <w:spacing w:val="-4"/>
        </w:rPr>
        <w:t>system </w:t>
      </w:r>
      <w:r>
        <w:rPr>
          <w:spacing w:val="-2"/>
        </w:rPr>
        <w:t>to</w:t>
      </w:r>
      <w:r>
        <w:rPr>
          <w:spacing w:val="-14"/>
        </w:rPr>
        <w:t> </w:t>
      </w:r>
      <w:r>
        <w:rPr>
          <w:spacing w:val="-2"/>
        </w:rPr>
        <w:t>assess</w:t>
      </w:r>
      <w:r>
        <w:rPr>
          <w:spacing w:val="-12"/>
        </w:rPr>
        <w:t> </w:t>
      </w:r>
      <w:r>
        <w:rPr>
          <w:spacing w:val="-2"/>
        </w:rPr>
        <w:t>the</w:t>
      </w:r>
      <w:r>
        <w:rPr>
          <w:spacing w:val="-12"/>
        </w:rPr>
        <w:t> </w:t>
      </w:r>
      <w:r>
        <w:rPr>
          <w:spacing w:val="-2"/>
        </w:rPr>
        <w:t>standard</w:t>
      </w:r>
      <w:r>
        <w:rPr>
          <w:spacing w:val="-11"/>
        </w:rPr>
        <w:t> </w:t>
      </w:r>
      <w:r>
        <w:rPr>
          <w:spacing w:val="-2"/>
        </w:rPr>
        <w:t>of</w:t>
      </w:r>
      <w:r>
        <w:rPr>
          <w:spacing w:val="-12"/>
        </w:rPr>
        <w:t> </w:t>
      </w:r>
      <w:r>
        <w:rPr>
          <w:spacing w:val="-2"/>
        </w:rPr>
        <w:t>all</w:t>
      </w:r>
      <w:r>
        <w:rPr>
          <w:spacing w:val="-12"/>
        </w:rPr>
        <w:t> </w:t>
      </w:r>
      <w:r>
        <w:rPr>
          <w:spacing w:val="-2"/>
        </w:rPr>
        <w:t>institutions</w:t>
      </w:r>
      <w:r>
        <w:rPr>
          <w:spacing w:val="-12"/>
        </w:rPr>
        <w:t> </w:t>
      </w:r>
      <w:r>
        <w:rPr>
          <w:spacing w:val="-2"/>
        </w:rPr>
        <w:t>imparting</w:t>
      </w:r>
      <w:r>
        <w:rPr>
          <w:spacing w:val="-11"/>
        </w:rPr>
        <w:t> </w:t>
      </w:r>
      <w:r>
        <w:rPr>
          <w:spacing w:val="-2"/>
        </w:rPr>
        <w:t>ODE </w:t>
      </w:r>
      <w:r>
        <w:rPr/>
        <w:t>must be evolved and made publicly available. The Standing Committee would stipulate grading norms and independent rating agencies would be licensed by IRAHE to carry out this function. In addition, it</w:t>
      </w:r>
      <w:r>
        <w:rPr>
          <w:spacing w:val="80"/>
        </w:rPr>
        <w:t> </w:t>
      </w:r>
      <w:r>
        <w:rPr/>
        <w:t>is recommended that every ODE institution has an internal</w:t>
      </w:r>
      <w:r>
        <w:rPr>
          <w:spacing w:val="-4"/>
        </w:rPr>
        <w:t> </w:t>
      </w:r>
      <w:r>
        <w:rPr/>
        <w:t>quality</w:t>
      </w:r>
      <w:r>
        <w:rPr>
          <w:spacing w:val="-4"/>
        </w:rPr>
        <w:t> </w:t>
      </w:r>
      <w:r>
        <w:rPr/>
        <w:t>assurance</w:t>
      </w:r>
      <w:r>
        <w:rPr>
          <w:spacing w:val="-4"/>
        </w:rPr>
        <w:t> </w:t>
      </w:r>
      <w:r>
        <w:rPr/>
        <w:t>cell</w:t>
      </w:r>
      <w:r>
        <w:rPr>
          <w:spacing w:val="-4"/>
        </w:rPr>
        <w:t> </w:t>
      </w:r>
      <w:r>
        <w:rPr/>
        <w:t>to</w:t>
      </w:r>
      <w:r>
        <w:rPr>
          <w:spacing w:val="-4"/>
        </w:rPr>
        <w:t> </w:t>
      </w:r>
      <w:r>
        <w:rPr/>
        <w:t>ensure</w:t>
      </w:r>
      <w:r>
        <w:rPr>
          <w:spacing w:val="-4"/>
        </w:rPr>
        <w:t> </w:t>
      </w:r>
      <w:r>
        <w:rPr/>
        <w:t>that</w:t>
      </w:r>
      <w:r>
        <w:rPr>
          <w:spacing w:val="-4"/>
        </w:rPr>
        <w:t> </w:t>
      </w:r>
      <w:r>
        <w:rPr/>
        <w:t>statutory quality</w:t>
      </w:r>
      <w:r>
        <w:rPr>
          <w:spacing w:val="-2"/>
        </w:rPr>
        <w:t> </w:t>
      </w:r>
      <w:r>
        <w:rPr/>
        <w:t>compliances</w:t>
      </w:r>
      <w:r>
        <w:rPr>
          <w:spacing w:val="-2"/>
        </w:rPr>
        <w:t> </w:t>
      </w:r>
      <w:r>
        <w:rPr/>
        <w:t>are</w:t>
      </w:r>
      <w:r>
        <w:rPr>
          <w:spacing w:val="-2"/>
        </w:rPr>
        <w:t> </w:t>
      </w:r>
      <w:r>
        <w:rPr/>
        <w:t>regularly</w:t>
      </w:r>
      <w:r>
        <w:rPr>
          <w:spacing w:val="-2"/>
        </w:rPr>
        <w:t> </w:t>
      </w:r>
      <w:r>
        <w:rPr/>
        <w:t>met.</w:t>
      </w:r>
    </w:p>
    <w:p>
      <w:pPr>
        <w:pStyle w:val="BodyText"/>
        <w:spacing w:before="17"/>
      </w:pPr>
    </w:p>
    <w:p>
      <w:pPr>
        <w:pStyle w:val="BodyText"/>
        <w:spacing w:line="266" w:lineRule="auto" w:before="1"/>
        <w:ind w:left="319" w:right="1077"/>
        <w:jc w:val="both"/>
      </w:pPr>
      <w:r>
        <w:rPr/>
        <w:t>Establishment of the new organisations proposed above, namely, the National Education Testing Service, the Credit Bank, the National Educational Foundation for developing common open resources, the Technical Advisory Group and the Advisory Group</w:t>
      </w:r>
      <w:r>
        <w:rPr>
          <w:spacing w:val="40"/>
        </w:rPr>
        <w:t> </w:t>
      </w:r>
      <w:r>
        <w:rPr/>
        <w:t>on</w:t>
      </w:r>
      <w:r>
        <w:rPr>
          <w:spacing w:val="40"/>
        </w:rPr>
        <w:t> </w:t>
      </w:r>
      <w:r>
        <w:rPr/>
        <w:t>Pedagogical</w:t>
      </w:r>
      <w:r>
        <w:rPr>
          <w:spacing w:val="40"/>
        </w:rPr>
        <w:t> </w:t>
      </w:r>
      <w:r>
        <w:rPr/>
        <w:t>Content</w:t>
      </w:r>
      <w:r>
        <w:rPr>
          <w:spacing w:val="40"/>
        </w:rPr>
        <w:t> </w:t>
      </w:r>
      <w:r>
        <w:rPr/>
        <w:t>Management</w:t>
      </w:r>
      <w:r>
        <w:rPr>
          <w:spacing w:val="80"/>
        </w:rPr>
        <w:t> </w:t>
      </w:r>
      <w:r>
        <w:rPr/>
        <w:t>would initially require financial support from the </w:t>
      </w:r>
      <w:r>
        <w:rPr>
          <w:spacing w:val="-2"/>
        </w:rPr>
        <w:t>government.</w:t>
      </w:r>
      <w:r>
        <w:rPr>
          <w:spacing w:val="-4"/>
        </w:rPr>
        <w:t> </w:t>
      </w:r>
      <w:r>
        <w:rPr>
          <w:spacing w:val="-2"/>
        </w:rPr>
        <w:t>Additional</w:t>
      </w:r>
      <w:r>
        <w:rPr>
          <w:spacing w:val="-4"/>
        </w:rPr>
        <w:t> </w:t>
      </w:r>
      <w:r>
        <w:rPr>
          <w:spacing w:val="-2"/>
        </w:rPr>
        <w:t>finances</w:t>
      </w:r>
      <w:r>
        <w:rPr>
          <w:spacing w:val="-4"/>
        </w:rPr>
        <w:t> </w:t>
      </w:r>
      <w:r>
        <w:rPr>
          <w:spacing w:val="-2"/>
        </w:rPr>
        <w:t>for</w:t>
      </w:r>
      <w:r>
        <w:rPr>
          <w:spacing w:val="-4"/>
        </w:rPr>
        <w:t> </w:t>
      </w:r>
      <w:r>
        <w:rPr>
          <w:spacing w:val="-2"/>
        </w:rPr>
        <w:t>networking</w:t>
      </w:r>
      <w:r>
        <w:rPr>
          <w:spacing w:val="-4"/>
        </w:rPr>
        <w:t> </w:t>
      </w:r>
      <w:r>
        <w:rPr>
          <w:spacing w:val="-2"/>
        </w:rPr>
        <w:t>ODE </w:t>
      </w:r>
      <w:r>
        <w:rPr/>
        <w:t>institutions and creating access centres, developing training programs for educators and administrators and providing scholarships and services for needy students would also be required.</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1"/>
        <w:rPr>
          <w:sz w:val="20"/>
        </w:rPr>
      </w:pPr>
    </w:p>
    <w:p>
      <w:pPr>
        <w:spacing w:after="0"/>
        <w:rPr>
          <w:sz w:val="20"/>
        </w:rPr>
        <w:sectPr>
          <w:pgSz w:w="11910" w:h="16840"/>
          <w:pgMar w:header="0" w:footer="675" w:top="0" w:bottom="860" w:left="0" w:right="0"/>
        </w:sectPr>
      </w:pPr>
    </w:p>
    <w:p>
      <w:pPr>
        <w:pStyle w:val="BodyText"/>
        <w:spacing w:line="266" w:lineRule="auto" w:before="98"/>
        <w:ind w:left="1890"/>
        <w:jc w:val="both"/>
      </w:pPr>
      <w:r>
        <w:rPr/>
        <mc:AlternateContent>
          <mc:Choice Requires="wps">
            <w:drawing>
              <wp:anchor distT="0" distB="0" distL="0" distR="0" allowOverlap="1" layoutInCell="1" locked="0" behindDoc="0" simplePos="0" relativeHeight="15769600">
                <wp:simplePos x="0" y="0"/>
                <wp:positionH relativeFrom="page">
                  <wp:posOffset>0</wp:posOffset>
                </wp:positionH>
                <wp:positionV relativeFrom="paragraph">
                  <wp:posOffset>-2450101</wp:posOffset>
                </wp:positionV>
                <wp:extent cx="7560309" cy="1935480"/>
                <wp:effectExtent l="0" t="0" r="0" b="0"/>
                <wp:wrapNone/>
                <wp:docPr id="909" name="Group 909"/>
                <wp:cNvGraphicFramePr>
                  <a:graphicFrameLocks/>
                </wp:cNvGraphicFramePr>
                <a:graphic>
                  <a:graphicData uri="http://schemas.microsoft.com/office/word/2010/wordprocessingGroup">
                    <wpg:wgp>
                      <wpg:cNvPr id="909" name="Group 909"/>
                      <wpg:cNvGrpSpPr/>
                      <wpg:grpSpPr>
                        <a:xfrm>
                          <a:off x="0" y="0"/>
                          <a:ext cx="7560309" cy="1935480"/>
                          <a:chExt cx="7560309" cy="1935480"/>
                        </a:xfrm>
                      </wpg:grpSpPr>
                      <pic:pic>
                        <pic:nvPicPr>
                          <pic:cNvPr id="910" name="Image 910"/>
                          <pic:cNvPicPr/>
                        </pic:nvPicPr>
                        <pic:blipFill>
                          <a:blip r:embed="rId620" cstate="print"/>
                          <a:stretch>
                            <a:fillRect/>
                          </a:stretch>
                        </pic:blipFill>
                        <pic:spPr>
                          <a:xfrm>
                            <a:off x="0" y="0"/>
                            <a:ext cx="7559999" cy="1935441"/>
                          </a:xfrm>
                          <a:prstGeom prst="rect">
                            <a:avLst/>
                          </a:prstGeom>
                        </pic:spPr>
                      </pic:pic>
                      <wps:wsp>
                        <wps:cNvPr id="911" name="Textbox 911"/>
                        <wps:cNvSpPr txBox="1"/>
                        <wps:spPr>
                          <a:xfrm>
                            <a:off x="669599" y="781573"/>
                            <a:ext cx="3559810" cy="1019810"/>
                          </a:xfrm>
                          <a:prstGeom prst="rect">
                            <a:avLst/>
                          </a:prstGeom>
                        </wps:spPr>
                        <wps:txbx>
                          <w:txbxContent>
                            <w:p>
                              <w:pPr>
                                <w:spacing w:line="247" w:lineRule="auto" w:before="0"/>
                                <w:ind w:left="0" w:right="18" w:firstLine="0"/>
                                <w:jc w:val="left"/>
                                <w:rPr>
                                  <w:rFonts w:ascii="Trebuchet MS"/>
                                  <w:b/>
                                  <w:sz w:val="68"/>
                                </w:rPr>
                              </w:pPr>
                              <w:r>
                                <w:rPr>
                                  <w:rFonts w:ascii="Trebuchet MS"/>
                                  <w:b/>
                                  <w:color w:val="FFFFFF"/>
                                  <w:sz w:val="68"/>
                                </w:rPr>
                                <w:t>Open</w:t>
                              </w:r>
                              <w:r>
                                <w:rPr>
                                  <w:rFonts w:ascii="Trebuchet MS"/>
                                  <w:b/>
                                  <w:color w:val="FFFFFF"/>
                                  <w:spacing w:val="-39"/>
                                  <w:sz w:val="68"/>
                                </w:rPr>
                                <w:t> </w:t>
                              </w:r>
                              <w:r>
                                <w:rPr>
                                  <w:rFonts w:ascii="Trebuchet MS"/>
                                  <w:b/>
                                  <w:color w:val="FFFFFF"/>
                                  <w:sz w:val="68"/>
                                </w:rPr>
                                <w:t>Educational </w:t>
                              </w:r>
                              <w:r>
                                <w:rPr>
                                  <w:rFonts w:ascii="Trebuchet MS"/>
                                  <w:b/>
                                  <w:color w:val="FFFFFF"/>
                                  <w:spacing w:val="-2"/>
                                  <w:sz w:val="68"/>
                                </w:rPr>
                                <w:t>Resources</w:t>
                              </w:r>
                            </w:p>
                          </w:txbxContent>
                        </wps:txbx>
                        <wps:bodyPr wrap="square" lIns="0" tIns="0" rIns="0" bIns="0" rtlCol="0">
                          <a:noAutofit/>
                        </wps:bodyPr>
                      </wps:wsp>
                      <wps:wsp>
                        <wps:cNvPr id="912" name="Textbox 912"/>
                        <wps:cNvSpPr txBox="1"/>
                        <wps:spPr>
                          <a:xfrm>
                            <a:off x="5833727" y="1621991"/>
                            <a:ext cx="1053465" cy="158750"/>
                          </a:xfrm>
                          <a:prstGeom prst="rect">
                            <a:avLst/>
                          </a:prstGeom>
                        </wps:spPr>
                        <wps:txbx>
                          <w:txbxContent>
                            <w:p>
                              <w:pPr>
                                <w:spacing w:line="238" w:lineRule="exact" w:before="0"/>
                                <w:ind w:left="0" w:right="0" w:firstLine="0"/>
                                <w:jc w:val="left"/>
                                <w:rPr>
                                  <w:b/>
                                  <w:sz w:val="22"/>
                                </w:rPr>
                              </w:pPr>
                              <w:r>
                                <w:rPr>
                                  <w:b/>
                                  <w:color w:val="FFFFFF"/>
                                  <w:spacing w:val="-6"/>
                                  <w:sz w:val="22"/>
                                </w:rPr>
                                <w:t>November 7, 2007</w:t>
                              </w:r>
                            </w:p>
                          </w:txbxContent>
                        </wps:txbx>
                        <wps:bodyPr wrap="square" lIns="0" tIns="0" rIns="0" bIns="0" rtlCol="0">
                          <a:noAutofit/>
                        </wps:bodyPr>
                      </wps:wsp>
                    </wpg:wgp>
                  </a:graphicData>
                </a:graphic>
              </wp:anchor>
            </w:drawing>
          </mc:Choice>
          <mc:Fallback>
            <w:pict>
              <v:group style="position:absolute;margin-left:0pt;margin-top:-192.921341pt;width:595.3pt;height:152.4pt;mso-position-horizontal-relative:page;mso-position-vertical-relative:paragraph;z-index:15769600" id="docshapegroup902" coordorigin="0,-3858" coordsize="11906,3048">
                <v:shape style="position:absolute;left:0;top:-3859;width:11906;height:3048" type="#_x0000_t75" id="docshape903" stroked="false">
                  <v:imagedata r:id="rId620" o:title=""/>
                </v:shape>
                <v:shape style="position:absolute;left:1054;top:-2628;width:5606;height:1606" type="#_x0000_t202" id="docshape904" filled="false" stroked="false">
                  <v:textbox inset="0,0,0,0">
                    <w:txbxContent>
                      <w:p>
                        <w:pPr>
                          <w:spacing w:line="247" w:lineRule="auto" w:before="0"/>
                          <w:ind w:left="0" w:right="18" w:firstLine="0"/>
                          <w:jc w:val="left"/>
                          <w:rPr>
                            <w:rFonts w:ascii="Trebuchet MS"/>
                            <w:b/>
                            <w:sz w:val="68"/>
                          </w:rPr>
                        </w:pPr>
                        <w:r>
                          <w:rPr>
                            <w:rFonts w:ascii="Trebuchet MS"/>
                            <w:b/>
                            <w:color w:val="FFFFFF"/>
                            <w:sz w:val="68"/>
                          </w:rPr>
                          <w:t>Open</w:t>
                        </w:r>
                        <w:r>
                          <w:rPr>
                            <w:rFonts w:ascii="Trebuchet MS"/>
                            <w:b/>
                            <w:color w:val="FFFFFF"/>
                            <w:spacing w:val="-39"/>
                            <w:sz w:val="68"/>
                          </w:rPr>
                          <w:t> </w:t>
                        </w:r>
                        <w:r>
                          <w:rPr>
                            <w:rFonts w:ascii="Trebuchet MS"/>
                            <w:b/>
                            <w:color w:val="FFFFFF"/>
                            <w:sz w:val="68"/>
                          </w:rPr>
                          <w:t>Educational </w:t>
                        </w:r>
                        <w:r>
                          <w:rPr>
                            <w:rFonts w:ascii="Trebuchet MS"/>
                            <w:b/>
                            <w:color w:val="FFFFFF"/>
                            <w:spacing w:val="-2"/>
                            <w:sz w:val="68"/>
                          </w:rPr>
                          <w:t>Resources</w:t>
                        </w:r>
                      </w:p>
                    </w:txbxContent>
                  </v:textbox>
                  <w10:wrap type="none"/>
                </v:shape>
                <v:shape style="position:absolute;left:9186;top:-1305;width:1659;height:250" type="#_x0000_t202" id="docshape905" filled="false" stroked="false">
                  <v:textbox inset="0,0,0,0">
                    <w:txbxContent>
                      <w:p>
                        <w:pPr>
                          <w:spacing w:line="238" w:lineRule="exact" w:before="0"/>
                          <w:ind w:left="0" w:right="0" w:firstLine="0"/>
                          <w:jc w:val="left"/>
                          <w:rPr>
                            <w:b/>
                            <w:sz w:val="22"/>
                          </w:rPr>
                        </w:pPr>
                        <w:r>
                          <w:rPr>
                            <w:b/>
                            <w:color w:val="FFFFFF"/>
                            <w:spacing w:val="-6"/>
                            <w:sz w:val="22"/>
                          </w:rPr>
                          <w:t>November 7, 2007</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6688">
                <wp:simplePos x="0" y="0"/>
                <wp:positionH relativeFrom="page">
                  <wp:posOffset>669599</wp:posOffset>
                </wp:positionH>
                <wp:positionV relativeFrom="paragraph">
                  <wp:posOffset>-26595</wp:posOffset>
                </wp:positionV>
                <wp:extent cx="537845" cy="757555"/>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537845" cy="757555"/>
                        </a:xfrm>
                        <a:prstGeom prst="rect">
                          <a:avLst/>
                        </a:prstGeom>
                      </wps:spPr>
                      <wps:txbx>
                        <w:txbxContent>
                          <w:p>
                            <w:pPr>
                              <w:spacing w:line="1135" w:lineRule="exact" w:before="0"/>
                              <w:ind w:left="0" w:right="0" w:firstLine="0"/>
                              <w:jc w:val="left"/>
                              <w:rPr>
                                <w:sz w:val="106"/>
                              </w:rPr>
                            </w:pPr>
                            <w:r>
                              <w:rPr>
                                <w:color w:val="9CBF3B"/>
                                <w:spacing w:val="-10"/>
                                <w:w w:val="110"/>
                                <w:sz w:val="106"/>
                              </w:rPr>
                              <w:t>O</w:t>
                            </w:r>
                          </w:p>
                        </w:txbxContent>
                      </wps:txbx>
                      <wps:bodyPr wrap="square" lIns="0" tIns="0" rIns="0" bIns="0" rtlCol="0">
                        <a:noAutofit/>
                      </wps:bodyPr>
                    </wps:wsp>
                  </a:graphicData>
                </a:graphic>
              </wp:anchor>
            </w:drawing>
          </mc:Choice>
          <mc:Fallback>
            <w:pict>
              <v:shape style="position:absolute;margin-left:52.72438pt;margin-top:-2.094113pt;width:42.35pt;height:59.65pt;mso-position-horizontal-relative:page;mso-position-vertical-relative:paragraph;z-index:-23969792" type="#_x0000_t202" id="docshape906" filled="false" stroked="false">
                <v:textbox inset="0,0,0,0">
                  <w:txbxContent>
                    <w:p>
                      <w:pPr>
                        <w:spacing w:line="1135" w:lineRule="exact" w:before="0"/>
                        <w:ind w:left="0" w:right="0" w:firstLine="0"/>
                        <w:jc w:val="left"/>
                        <w:rPr>
                          <w:sz w:val="106"/>
                        </w:rPr>
                      </w:pPr>
                      <w:r>
                        <w:rPr>
                          <w:color w:val="9CBF3B"/>
                          <w:spacing w:val="-10"/>
                          <w:w w:val="110"/>
                          <w:sz w:val="106"/>
                        </w:rPr>
                        <w:t>O</w:t>
                      </w:r>
                    </w:p>
                  </w:txbxContent>
                </v:textbox>
                <w10:wrap type="none"/>
              </v:shape>
            </w:pict>
          </mc:Fallback>
        </mc:AlternateContent>
      </w:r>
      <w:r>
        <w:rPr>
          <w:spacing w:val="-2"/>
        </w:rPr>
        <w:t>ur</w:t>
      </w:r>
      <w:r>
        <w:rPr>
          <w:spacing w:val="-8"/>
        </w:rPr>
        <w:t> </w:t>
      </w:r>
      <w:r>
        <w:rPr>
          <w:spacing w:val="-2"/>
        </w:rPr>
        <w:t>success</w:t>
      </w:r>
      <w:r>
        <w:rPr>
          <w:spacing w:val="-8"/>
        </w:rPr>
        <w:t> </w:t>
      </w:r>
      <w:r>
        <w:rPr>
          <w:spacing w:val="-2"/>
        </w:rPr>
        <w:t>in</w:t>
      </w:r>
      <w:r>
        <w:rPr>
          <w:spacing w:val="-8"/>
        </w:rPr>
        <w:t> </w:t>
      </w:r>
      <w:r>
        <w:rPr>
          <w:spacing w:val="-2"/>
        </w:rPr>
        <w:t>the</w:t>
      </w:r>
      <w:r>
        <w:rPr>
          <w:spacing w:val="-8"/>
        </w:rPr>
        <w:t> </w:t>
      </w:r>
      <w:r>
        <w:rPr>
          <w:spacing w:val="-2"/>
        </w:rPr>
        <w:t>knowledge</w:t>
      </w:r>
      <w:r>
        <w:rPr>
          <w:spacing w:val="-8"/>
        </w:rPr>
        <w:t> </w:t>
      </w:r>
      <w:r>
        <w:rPr>
          <w:spacing w:val="-2"/>
        </w:rPr>
        <w:t>economy</w:t>
      </w:r>
      <w:r>
        <w:rPr>
          <w:spacing w:val="-8"/>
        </w:rPr>
        <w:t> </w:t>
      </w:r>
      <w:r>
        <w:rPr>
          <w:spacing w:val="-2"/>
        </w:rPr>
        <w:t>hinges </w:t>
      </w:r>
      <w:r>
        <w:rPr/>
        <w:t>to a large extent on upgrading the quality</w:t>
      </w:r>
      <w:r>
        <w:rPr>
          <w:spacing w:val="40"/>
        </w:rPr>
        <w:t> </w:t>
      </w:r>
      <w:r>
        <w:rPr/>
        <w:t>of,</w:t>
      </w:r>
      <w:r>
        <w:rPr>
          <w:spacing w:val="21"/>
        </w:rPr>
        <w:t> </w:t>
      </w:r>
      <w:r>
        <w:rPr/>
        <w:t>and</w:t>
      </w:r>
      <w:r>
        <w:rPr>
          <w:spacing w:val="22"/>
        </w:rPr>
        <w:t> </w:t>
      </w:r>
      <w:r>
        <w:rPr/>
        <w:t>enhancing</w:t>
      </w:r>
      <w:r>
        <w:rPr>
          <w:spacing w:val="22"/>
        </w:rPr>
        <w:t> </w:t>
      </w:r>
      <w:r>
        <w:rPr/>
        <w:t>the</w:t>
      </w:r>
      <w:r>
        <w:rPr>
          <w:spacing w:val="22"/>
        </w:rPr>
        <w:t> </w:t>
      </w:r>
      <w:r>
        <w:rPr/>
        <w:t>access</w:t>
      </w:r>
      <w:r>
        <w:rPr>
          <w:spacing w:val="22"/>
        </w:rPr>
        <w:t> </w:t>
      </w:r>
      <w:r>
        <w:rPr/>
        <w:t>to,</w:t>
      </w:r>
      <w:r>
        <w:rPr>
          <w:spacing w:val="22"/>
        </w:rPr>
        <w:t> </w:t>
      </w:r>
      <w:r>
        <w:rPr>
          <w:spacing w:val="-2"/>
        </w:rPr>
        <w:t>education.</w:t>
      </w:r>
    </w:p>
    <w:p>
      <w:pPr>
        <w:pStyle w:val="BodyText"/>
        <w:spacing w:line="266" w:lineRule="auto"/>
        <w:ind w:left="1054"/>
        <w:jc w:val="both"/>
      </w:pPr>
      <w:r>
        <w:rPr>
          <w:spacing w:val="-2"/>
        </w:rPr>
        <w:t>One</w:t>
      </w:r>
      <w:r>
        <w:rPr>
          <w:spacing w:val="-12"/>
        </w:rPr>
        <w:t> </w:t>
      </w:r>
      <w:r>
        <w:rPr>
          <w:spacing w:val="-2"/>
        </w:rPr>
        <w:t>of</w:t>
      </w:r>
      <w:r>
        <w:rPr>
          <w:spacing w:val="-11"/>
        </w:rPr>
        <w:t> </w:t>
      </w:r>
      <w:r>
        <w:rPr>
          <w:spacing w:val="-2"/>
        </w:rPr>
        <w:t>the</w:t>
      </w:r>
      <w:r>
        <w:rPr>
          <w:spacing w:val="-12"/>
        </w:rPr>
        <w:t> </w:t>
      </w:r>
      <w:r>
        <w:rPr>
          <w:spacing w:val="-2"/>
        </w:rPr>
        <w:t>most</w:t>
      </w:r>
      <w:r>
        <w:rPr>
          <w:spacing w:val="-11"/>
        </w:rPr>
        <w:t> </w:t>
      </w:r>
      <w:r>
        <w:rPr>
          <w:spacing w:val="-2"/>
        </w:rPr>
        <w:t>effective</w:t>
      </w:r>
      <w:r>
        <w:rPr>
          <w:spacing w:val="-12"/>
        </w:rPr>
        <w:t> </w:t>
      </w:r>
      <w:r>
        <w:rPr>
          <w:spacing w:val="-2"/>
        </w:rPr>
        <w:t>ways</w:t>
      </w:r>
      <w:r>
        <w:rPr>
          <w:spacing w:val="-11"/>
        </w:rPr>
        <w:t> </w:t>
      </w:r>
      <w:r>
        <w:rPr>
          <w:spacing w:val="-2"/>
        </w:rPr>
        <w:t>of</w:t>
      </w:r>
      <w:r>
        <w:rPr>
          <w:spacing w:val="-12"/>
        </w:rPr>
        <w:t> </w:t>
      </w:r>
      <w:r>
        <w:rPr>
          <w:spacing w:val="-2"/>
        </w:rPr>
        <w:t>achieving</w:t>
      </w:r>
      <w:r>
        <w:rPr>
          <w:spacing w:val="-11"/>
        </w:rPr>
        <w:t> </w:t>
      </w:r>
      <w:r>
        <w:rPr>
          <w:spacing w:val="-2"/>
        </w:rPr>
        <w:t>this</w:t>
      </w:r>
      <w:r>
        <w:rPr>
          <w:spacing w:val="-12"/>
        </w:rPr>
        <w:t> </w:t>
      </w:r>
      <w:r>
        <w:rPr>
          <w:spacing w:val="-2"/>
        </w:rPr>
        <w:t>would </w:t>
      </w:r>
      <w:r>
        <w:rPr/>
        <w:t>be to stimulate the development and dissemination</w:t>
      </w:r>
      <w:r>
        <w:rPr>
          <w:spacing w:val="80"/>
        </w:rPr>
        <w:t> </w:t>
      </w:r>
      <w:r>
        <w:rPr/>
        <w:t>of quality Open Access (OA) materials and Open Educational Resources (OER) through broadband Internet connectivity. This would facilitate easy and </w:t>
      </w:r>
      <w:r>
        <w:rPr>
          <w:spacing w:val="-4"/>
        </w:rPr>
        <w:t>widespread</w:t>
      </w:r>
      <w:r>
        <w:rPr>
          <w:spacing w:val="-6"/>
        </w:rPr>
        <w:t> </w:t>
      </w:r>
      <w:r>
        <w:rPr>
          <w:spacing w:val="-4"/>
        </w:rPr>
        <w:t>access</w:t>
      </w:r>
      <w:r>
        <w:rPr>
          <w:spacing w:val="-6"/>
        </w:rPr>
        <w:t> </w:t>
      </w:r>
      <w:r>
        <w:rPr>
          <w:spacing w:val="-4"/>
        </w:rPr>
        <w:t>to</w:t>
      </w:r>
      <w:r>
        <w:rPr>
          <w:spacing w:val="-6"/>
        </w:rPr>
        <w:t> </w:t>
      </w:r>
      <w:r>
        <w:rPr>
          <w:spacing w:val="-4"/>
        </w:rPr>
        <w:t>high</w:t>
      </w:r>
      <w:r>
        <w:rPr>
          <w:spacing w:val="-6"/>
        </w:rPr>
        <w:t> </w:t>
      </w:r>
      <w:r>
        <w:rPr>
          <w:spacing w:val="-4"/>
        </w:rPr>
        <w:t>quality</w:t>
      </w:r>
      <w:r>
        <w:rPr>
          <w:spacing w:val="-6"/>
        </w:rPr>
        <w:t> </w:t>
      </w:r>
      <w:r>
        <w:rPr>
          <w:spacing w:val="-4"/>
        </w:rPr>
        <w:t>educational</w:t>
      </w:r>
      <w:r>
        <w:rPr>
          <w:spacing w:val="-6"/>
        </w:rPr>
        <w:t> </w:t>
      </w:r>
      <w:r>
        <w:rPr>
          <w:spacing w:val="-4"/>
        </w:rPr>
        <w:t>resources </w:t>
      </w:r>
      <w:r>
        <w:rPr/>
        <w:t>and drastically improve the teaching paradigm for all </w:t>
      </w:r>
      <w:r>
        <w:rPr>
          <w:spacing w:val="-2"/>
        </w:rPr>
        <w:t>our</w:t>
      </w:r>
      <w:r>
        <w:rPr>
          <w:spacing w:val="-12"/>
        </w:rPr>
        <w:t> </w:t>
      </w:r>
      <w:r>
        <w:rPr>
          <w:spacing w:val="-2"/>
        </w:rPr>
        <w:t>students.</w:t>
      </w:r>
      <w:r>
        <w:rPr>
          <w:spacing w:val="-12"/>
        </w:rPr>
        <w:t> </w:t>
      </w:r>
      <w:r>
        <w:rPr>
          <w:spacing w:val="-2"/>
        </w:rPr>
        <w:t>As</w:t>
      </w:r>
      <w:r>
        <w:rPr>
          <w:spacing w:val="-12"/>
        </w:rPr>
        <w:t> </w:t>
      </w:r>
      <w:r>
        <w:rPr>
          <w:spacing w:val="-2"/>
        </w:rPr>
        <w:t>a</w:t>
      </w:r>
      <w:r>
        <w:rPr>
          <w:spacing w:val="-11"/>
        </w:rPr>
        <w:t> </w:t>
      </w:r>
      <w:r>
        <w:rPr>
          <w:spacing w:val="-2"/>
        </w:rPr>
        <w:t>part</w:t>
      </w:r>
      <w:r>
        <w:rPr>
          <w:spacing w:val="-12"/>
        </w:rPr>
        <w:t> </w:t>
      </w:r>
      <w:r>
        <w:rPr>
          <w:spacing w:val="-2"/>
        </w:rPr>
        <w:t>of</w:t>
      </w:r>
      <w:r>
        <w:rPr>
          <w:spacing w:val="-12"/>
        </w:rPr>
        <w:t> </w:t>
      </w:r>
      <w:r>
        <w:rPr>
          <w:spacing w:val="-2"/>
        </w:rPr>
        <w:t>its</w:t>
      </w:r>
      <w:r>
        <w:rPr>
          <w:spacing w:val="-12"/>
        </w:rPr>
        <w:t> </w:t>
      </w:r>
      <w:r>
        <w:rPr>
          <w:spacing w:val="-2"/>
        </w:rPr>
        <w:t>consultative</w:t>
      </w:r>
      <w:r>
        <w:rPr>
          <w:spacing w:val="-11"/>
        </w:rPr>
        <w:t> </w:t>
      </w:r>
      <w:r>
        <w:rPr>
          <w:spacing w:val="-2"/>
        </w:rPr>
        <w:t>process,</w:t>
      </w:r>
      <w:r>
        <w:rPr>
          <w:spacing w:val="-12"/>
        </w:rPr>
        <w:t> </w:t>
      </w:r>
      <w:r>
        <w:rPr>
          <w:spacing w:val="-2"/>
        </w:rPr>
        <w:t>NKC </w:t>
      </w:r>
      <w:r>
        <w:rPr/>
        <w:t>constituted a Working Group of experts, including </w:t>
      </w:r>
      <w:r>
        <w:rPr>
          <w:spacing w:val="-4"/>
        </w:rPr>
        <w:t>distinguished</w:t>
      </w:r>
      <w:r>
        <w:rPr>
          <w:spacing w:val="-10"/>
        </w:rPr>
        <w:t> </w:t>
      </w:r>
      <w:r>
        <w:rPr>
          <w:spacing w:val="-4"/>
        </w:rPr>
        <w:t>members</w:t>
      </w:r>
      <w:r>
        <w:rPr>
          <w:spacing w:val="-10"/>
        </w:rPr>
        <w:t> </w:t>
      </w:r>
      <w:r>
        <w:rPr>
          <w:spacing w:val="-4"/>
        </w:rPr>
        <w:t>from</w:t>
      </w:r>
      <w:r>
        <w:rPr>
          <w:spacing w:val="-10"/>
        </w:rPr>
        <w:t> </w:t>
      </w:r>
      <w:r>
        <w:rPr>
          <w:spacing w:val="-4"/>
        </w:rPr>
        <w:t>the</w:t>
      </w:r>
      <w:r>
        <w:rPr>
          <w:spacing w:val="-9"/>
        </w:rPr>
        <w:t> </w:t>
      </w:r>
      <w:r>
        <w:rPr>
          <w:spacing w:val="-4"/>
        </w:rPr>
        <w:t>academia,</w:t>
      </w:r>
      <w:r>
        <w:rPr>
          <w:spacing w:val="-10"/>
        </w:rPr>
        <w:t> </w:t>
      </w:r>
      <w:r>
        <w:rPr>
          <w:spacing w:val="-4"/>
        </w:rPr>
        <w:t>government, </w:t>
      </w:r>
      <w:r>
        <w:rPr/>
        <w:t>private</w:t>
      </w:r>
      <w:r>
        <w:rPr>
          <w:spacing w:val="-14"/>
        </w:rPr>
        <w:t> </w:t>
      </w:r>
      <w:r>
        <w:rPr/>
        <w:t>sector</w:t>
      </w:r>
      <w:r>
        <w:rPr>
          <w:spacing w:val="-14"/>
        </w:rPr>
        <w:t> </w:t>
      </w:r>
      <w:r>
        <w:rPr/>
        <w:t>and</w:t>
      </w:r>
      <w:r>
        <w:rPr>
          <w:spacing w:val="-14"/>
        </w:rPr>
        <w:t> </w:t>
      </w:r>
      <w:r>
        <w:rPr/>
        <w:t>users</w:t>
      </w:r>
      <w:r>
        <w:rPr>
          <w:spacing w:val="-13"/>
        </w:rPr>
        <w:t> </w:t>
      </w:r>
      <w:r>
        <w:rPr/>
        <w:t>to</w:t>
      </w:r>
      <w:r>
        <w:rPr>
          <w:spacing w:val="-14"/>
        </w:rPr>
        <w:t> </w:t>
      </w:r>
      <w:r>
        <w:rPr/>
        <w:t>suggest</w:t>
      </w:r>
      <w:r>
        <w:rPr>
          <w:spacing w:val="-14"/>
        </w:rPr>
        <w:t> </w:t>
      </w:r>
      <w:r>
        <w:rPr/>
        <w:t>necessary</w:t>
      </w:r>
      <w:r>
        <w:rPr>
          <w:spacing w:val="-14"/>
        </w:rPr>
        <w:t> </w:t>
      </w:r>
      <w:r>
        <w:rPr/>
        <w:t>measures to</w:t>
      </w:r>
      <w:r>
        <w:rPr>
          <w:spacing w:val="-3"/>
        </w:rPr>
        <w:t> </w:t>
      </w:r>
      <w:r>
        <w:rPr/>
        <w:t>improve</w:t>
      </w:r>
      <w:r>
        <w:rPr>
          <w:spacing w:val="-3"/>
        </w:rPr>
        <w:t> </w:t>
      </w:r>
      <w:r>
        <w:rPr/>
        <w:t>the</w:t>
      </w:r>
      <w:r>
        <w:rPr>
          <w:spacing w:val="-3"/>
        </w:rPr>
        <w:t> </w:t>
      </w:r>
      <w:r>
        <w:rPr/>
        <w:t>quality</w:t>
      </w:r>
      <w:r>
        <w:rPr>
          <w:spacing w:val="-3"/>
        </w:rPr>
        <w:t> </w:t>
      </w:r>
      <w:r>
        <w:rPr/>
        <w:t>of</w:t>
      </w:r>
      <w:r>
        <w:rPr>
          <w:spacing w:val="-3"/>
        </w:rPr>
        <w:t> </w:t>
      </w:r>
      <w:r>
        <w:rPr/>
        <w:t>Open</w:t>
      </w:r>
      <w:r>
        <w:rPr>
          <w:spacing w:val="-3"/>
        </w:rPr>
        <w:t> </w:t>
      </w:r>
      <w:r>
        <w:rPr/>
        <w:t>Access</w:t>
      </w:r>
      <w:r>
        <w:rPr>
          <w:spacing w:val="-3"/>
        </w:rPr>
        <w:t> </w:t>
      </w:r>
      <w:r>
        <w:rPr/>
        <w:t>in</w:t>
      </w:r>
      <w:r>
        <w:rPr>
          <w:spacing w:val="-3"/>
        </w:rPr>
        <w:t> </w:t>
      </w:r>
      <w:r>
        <w:rPr/>
        <w:t>India.</w:t>
      </w:r>
      <w:r>
        <w:rPr>
          <w:spacing w:val="-3"/>
        </w:rPr>
        <w:t> </w:t>
      </w:r>
      <w:r>
        <w:rPr/>
        <w:t>NKC consultations</w:t>
      </w:r>
      <w:r>
        <w:rPr>
          <w:spacing w:val="-1"/>
        </w:rPr>
        <w:t> </w:t>
      </w:r>
      <w:r>
        <w:rPr/>
        <w:t>with</w:t>
      </w:r>
      <w:r>
        <w:rPr>
          <w:spacing w:val="-1"/>
        </w:rPr>
        <w:t> </w:t>
      </w:r>
      <w:r>
        <w:rPr/>
        <w:t>stakeholders</w:t>
      </w:r>
      <w:r>
        <w:rPr>
          <w:spacing w:val="-1"/>
        </w:rPr>
        <w:t> </w:t>
      </w:r>
      <w:r>
        <w:rPr/>
        <w:t>helped</w:t>
      </w:r>
      <w:r>
        <w:rPr>
          <w:spacing w:val="-1"/>
        </w:rPr>
        <w:t> </w:t>
      </w:r>
      <w:r>
        <w:rPr/>
        <w:t>identify</w:t>
      </w:r>
      <w:r>
        <w:rPr>
          <w:spacing w:val="-1"/>
        </w:rPr>
        <w:t> </w:t>
      </w:r>
      <w:r>
        <w:rPr/>
        <w:t>a</w:t>
      </w:r>
      <w:r>
        <w:rPr>
          <w:spacing w:val="-1"/>
        </w:rPr>
        <w:t> </w:t>
      </w:r>
      <w:r>
        <w:rPr/>
        <w:t>few key</w:t>
      </w:r>
      <w:r>
        <w:rPr>
          <w:spacing w:val="-14"/>
        </w:rPr>
        <w:t> </w:t>
      </w:r>
      <w:r>
        <w:rPr/>
        <w:t>reform</w:t>
      </w:r>
      <w:r>
        <w:rPr>
          <w:spacing w:val="-14"/>
        </w:rPr>
        <w:t> </w:t>
      </w:r>
      <w:r>
        <w:rPr/>
        <w:t>proposals</w:t>
      </w:r>
      <w:r>
        <w:rPr>
          <w:spacing w:val="-14"/>
        </w:rPr>
        <w:t> </w:t>
      </w:r>
      <w:r>
        <w:rPr/>
        <w:t>which</w:t>
      </w:r>
      <w:r>
        <w:rPr>
          <w:spacing w:val="-13"/>
        </w:rPr>
        <w:t> </w:t>
      </w:r>
      <w:r>
        <w:rPr/>
        <w:t>are</w:t>
      </w:r>
      <w:r>
        <w:rPr>
          <w:spacing w:val="-14"/>
        </w:rPr>
        <w:t> </w:t>
      </w:r>
      <w:r>
        <w:rPr/>
        <w:t>elaborated</w:t>
      </w:r>
      <w:r>
        <w:rPr>
          <w:spacing w:val="-14"/>
        </w:rPr>
        <w:t> </w:t>
      </w:r>
      <w:r>
        <w:rPr/>
        <w:t>as</w:t>
      </w:r>
      <w:r>
        <w:rPr>
          <w:spacing w:val="-14"/>
        </w:rPr>
        <w:t> </w:t>
      </w:r>
      <w:r>
        <w:rPr/>
        <w:t>follows:</w:t>
      </w:r>
    </w:p>
    <w:p>
      <w:pPr>
        <w:pStyle w:val="Heading6"/>
        <w:numPr>
          <w:ilvl w:val="0"/>
          <w:numId w:val="32"/>
        </w:numPr>
        <w:tabs>
          <w:tab w:pos="1378" w:val="left" w:leader="none"/>
          <w:tab w:pos="1380" w:val="left" w:leader="none"/>
        </w:tabs>
        <w:spacing w:line="182" w:lineRule="auto" w:before="245" w:after="0"/>
        <w:ind w:left="1380" w:right="101" w:hanging="327"/>
        <w:jc w:val="left"/>
      </w:pPr>
      <w:r>
        <w:rPr>
          <w:color w:val="2E614A"/>
          <w:spacing w:val="-10"/>
        </w:rPr>
        <w:t>Support the production of </w:t>
      </w:r>
      <w:r>
        <w:rPr>
          <w:color w:val="2E614A"/>
          <w:spacing w:val="-10"/>
        </w:rPr>
        <w:t>quality </w:t>
      </w:r>
      <w:r>
        <w:rPr>
          <w:color w:val="2E614A"/>
        </w:rPr>
        <w:t>content</w:t>
      </w:r>
      <w:r>
        <w:rPr>
          <w:color w:val="2E614A"/>
          <w:spacing w:val="-20"/>
        </w:rPr>
        <w:t> </w:t>
      </w:r>
      <w:r>
        <w:rPr>
          <w:color w:val="2E614A"/>
        </w:rPr>
        <w:t>by</w:t>
      </w:r>
      <w:r>
        <w:rPr>
          <w:color w:val="2E614A"/>
          <w:spacing w:val="-20"/>
        </w:rPr>
        <w:t> </w:t>
      </w:r>
      <w:r>
        <w:rPr>
          <w:color w:val="2E614A"/>
        </w:rPr>
        <w:t>a</w:t>
      </w:r>
      <w:r>
        <w:rPr>
          <w:color w:val="2E614A"/>
          <w:spacing w:val="-20"/>
        </w:rPr>
        <w:t> </w:t>
      </w:r>
      <w:r>
        <w:rPr>
          <w:color w:val="2E614A"/>
        </w:rPr>
        <w:t>select</w:t>
      </w:r>
      <w:r>
        <w:rPr>
          <w:color w:val="2E614A"/>
          <w:spacing w:val="-20"/>
        </w:rPr>
        <w:t> </w:t>
      </w:r>
      <w:r>
        <w:rPr>
          <w:color w:val="2E614A"/>
        </w:rPr>
        <w:t>set</w:t>
      </w:r>
      <w:r>
        <w:rPr>
          <w:color w:val="2E614A"/>
          <w:spacing w:val="-20"/>
        </w:rPr>
        <w:t> </w:t>
      </w:r>
      <w:r>
        <w:rPr>
          <w:color w:val="2E614A"/>
        </w:rPr>
        <w:t>of</w:t>
      </w:r>
      <w:r>
        <w:rPr>
          <w:color w:val="2E614A"/>
          <w:spacing w:val="-20"/>
        </w:rPr>
        <w:t> </w:t>
      </w:r>
      <w:r>
        <w:rPr>
          <w:color w:val="2E614A"/>
        </w:rPr>
        <w:t>Indian </w:t>
      </w:r>
      <w:r>
        <w:rPr>
          <w:color w:val="2E614A"/>
          <w:spacing w:val="-2"/>
        </w:rPr>
        <w:t>institutions</w:t>
      </w:r>
    </w:p>
    <w:p>
      <w:pPr>
        <w:pStyle w:val="BodyText"/>
        <w:spacing w:line="266" w:lineRule="auto" w:before="303"/>
        <w:ind w:left="1054"/>
        <w:jc w:val="both"/>
      </w:pPr>
      <w:r>
        <w:rPr/>
        <w:t>A</w:t>
      </w:r>
      <w:r>
        <w:rPr>
          <w:spacing w:val="-14"/>
        </w:rPr>
        <w:t> </w:t>
      </w:r>
      <w:r>
        <w:rPr/>
        <w:t>set</w:t>
      </w:r>
      <w:r>
        <w:rPr>
          <w:spacing w:val="-14"/>
        </w:rPr>
        <w:t> </w:t>
      </w:r>
      <w:r>
        <w:rPr/>
        <w:t>of</w:t>
      </w:r>
      <w:r>
        <w:rPr>
          <w:spacing w:val="-14"/>
        </w:rPr>
        <w:t> </w:t>
      </w:r>
      <w:r>
        <w:rPr/>
        <w:t>key</w:t>
      </w:r>
      <w:r>
        <w:rPr>
          <w:spacing w:val="-13"/>
        </w:rPr>
        <w:t> </w:t>
      </w:r>
      <w:r>
        <w:rPr/>
        <w:t>institutions</w:t>
      </w:r>
      <w:r>
        <w:rPr>
          <w:spacing w:val="-14"/>
        </w:rPr>
        <w:t> </w:t>
      </w:r>
      <w:r>
        <w:rPr/>
        <w:t>should</w:t>
      </w:r>
      <w:r>
        <w:rPr>
          <w:spacing w:val="-14"/>
        </w:rPr>
        <w:t> </w:t>
      </w:r>
      <w:r>
        <w:rPr/>
        <w:t>be</w:t>
      </w:r>
      <w:r>
        <w:rPr>
          <w:spacing w:val="-14"/>
        </w:rPr>
        <w:t> </w:t>
      </w:r>
      <w:r>
        <w:rPr/>
        <w:t>selected</w:t>
      </w:r>
      <w:r>
        <w:rPr>
          <w:spacing w:val="-13"/>
        </w:rPr>
        <w:t> </w:t>
      </w:r>
      <w:r>
        <w:rPr/>
        <w:t>and</w:t>
      </w:r>
      <w:r>
        <w:rPr>
          <w:spacing w:val="-14"/>
        </w:rPr>
        <w:t> </w:t>
      </w:r>
      <w:r>
        <w:rPr/>
        <w:t>experts representing</w:t>
      </w:r>
      <w:r>
        <w:rPr>
          <w:spacing w:val="-14"/>
        </w:rPr>
        <w:t> </w:t>
      </w:r>
      <w:r>
        <w:rPr/>
        <w:t>diverse</w:t>
      </w:r>
      <w:r>
        <w:rPr>
          <w:spacing w:val="-14"/>
        </w:rPr>
        <w:t> </w:t>
      </w:r>
      <w:r>
        <w:rPr/>
        <w:t>knowledge</w:t>
      </w:r>
      <w:r>
        <w:rPr>
          <w:spacing w:val="-14"/>
        </w:rPr>
        <w:t> </w:t>
      </w:r>
      <w:r>
        <w:rPr/>
        <w:t>areas</w:t>
      </w:r>
      <w:r>
        <w:rPr>
          <w:spacing w:val="-13"/>
        </w:rPr>
        <w:t> </w:t>
      </w:r>
      <w:r>
        <w:rPr/>
        <w:t>like</w:t>
      </w:r>
      <w:r>
        <w:rPr>
          <w:spacing w:val="-14"/>
        </w:rPr>
        <w:t> </w:t>
      </w:r>
      <w:r>
        <w:rPr/>
        <w:t>agriculture, engineering, medicine, arts, humanities, science, education etc. should be asked to develop standards- </w:t>
      </w:r>
      <w:r>
        <w:rPr>
          <w:spacing w:val="-2"/>
        </w:rPr>
        <w:t>based</w:t>
      </w:r>
      <w:r>
        <w:rPr>
          <w:spacing w:val="-11"/>
        </w:rPr>
        <w:t> </w:t>
      </w:r>
      <w:r>
        <w:rPr>
          <w:spacing w:val="-2"/>
        </w:rPr>
        <w:t>content,</w:t>
      </w:r>
      <w:r>
        <w:rPr>
          <w:spacing w:val="-11"/>
        </w:rPr>
        <w:t> </w:t>
      </w:r>
      <w:r>
        <w:rPr>
          <w:spacing w:val="-2"/>
        </w:rPr>
        <w:t>which</w:t>
      </w:r>
      <w:r>
        <w:rPr>
          <w:spacing w:val="-11"/>
        </w:rPr>
        <w:t> </w:t>
      </w:r>
      <w:r>
        <w:rPr>
          <w:spacing w:val="-2"/>
        </w:rPr>
        <w:t>can</w:t>
      </w:r>
      <w:r>
        <w:rPr>
          <w:spacing w:val="-11"/>
        </w:rPr>
        <w:t> </w:t>
      </w:r>
      <w:r>
        <w:rPr>
          <w:spacing w:val="-2"/>
        </w:rPr>
        <w:t>be</w:t>
      </w:r>
      <w:r>
        <w:rPr>
          <w:spacing w:val="-11"/>
        </w:rPr>
        <w:t> </w:t>
      </w:r>
      <w:r>
        <w:rPr>
          <w:spacing w:val="-2"/>
        </w:rPr>
        <w:t>customised</w:t>
      </w:r>
      <w:r>
        <w:rPr>
          <w:spacing w:val="-11"/>
        </w:rPr>
        <w:t> </w:t>
      </w:r>
      <w:r>
        <w:rPr>
          <w:spacing w:val="-2"/>
        </w:rPr>
        <w:t>to</w:t>
      </w:r>
      <w:r>
        <w:rPr>
          <w:spacing w:val="-11"/>
        </w:rPr>
        <w:t> </w:t>
      </w:r>
      <w:r>
        <w:rPr>
          <w:spacing w:val="-2"/>
        </w:rPr>
        <w:t>diverse</w:t>
      </w:r>
      <w:r>
        <w:rPr>
          <w:spacing w:val="-11"/>
        </w:rPr>
        <w:t> </w:t>
      </w:r>
      <w:r>
        <w:rPr>
          <w:spacing w:val="-2"/>
        </w:rPr>
        <w:t>user </w:t>
      </w:r>
      <w:r>
        <w:rPr>
          <w:spacing w:val="-4"/>
        </w:rPr>
        <w:t>needs.</w:t>
      </w:r>
      <w:r>
        <w:rPr>
          <w:spacing w:val="-10"/>
        </w:rPr>
        <w:t> </w:t>
      </w:r>
      <w:r>
        <w:rPr>
          <w:spacing w:val="-4"/>
        </w:rPr>
        <w:t>This</w:t>
      </w:r>
      <w:r>
        <w:rPr>
          <w:spacing w:val="-9"/>
        </w:rPr>
        <w:t> </w:t>
      </w:r>
      <w:r>
        <w:rPr>
          <w:spacing w:val="-4"/>
        </w:rPr>
        <w:t>should be</w:t>
      </w:r>
      <w:r>
        <w:rPr>
          <w:spacing w:val="-5"/>
        </w:rPr>
        <w:t> </w:t>
      </w:r>
      <w:r>
        <w:rPr>
          <w:spacing w:val="-4"/>
        </w:rPr>
        <w:t>made</w:t>
      </w:r>
      <w:r>
        <w:rPr>
          <w:spacing w:val="-5"/>
        </w:rPr>
        <w:t> </w:t>
      </w:r>
      <w:r>
        <w:rPr>
          <w:spacing w:val="-4"/>
        </w:rPr>
        <w:t>available</w:t>
      </w:r>
      <w:r>
        <w:rPr>
          <w:spacing w:val="-5"/>
        </w:rPr>
        <w:t> </w:t>
      </w:r>
      <w:r>
        <w:rPr>
          <w:spacing w:val="-4"/>
        </w:rPr>
        <w:t>not</w:t>
      </w:r>
      <w:r>
        <w:rPr>
          <w:spacing w:val="-5"/>
        </w:rPr>
        <w:t> </w:t>
      </w:r>
      <w:r>
        <w:rPr>
          <w:spacing w:val="-4"/>
        </w:rPr>
        <w:t>only</w:t>
      </w:r>
      <w:r>
        <w:rPr>
          <w:spacing w:val="-5"/>
        </w:rPr>
        <w:t> </w:t>
      </w:r>
      <w:r>
        <w:rPr>
          <w:spacing w:val="-4"/>
        </w:rPr>
        <w:t>to</w:t>
      </w:r>
      <w:r>
        <w:rPr>
          <w:spacing w:val="-5"/>
        </w:rPr>
        <w:t> </w:t>
      </w:r>
      <w:r>
        <w:rPr>
          <w:spacing w:val="-4"/>
        </w:rPr>
        <w:t>Indian </w:t>
      </w:r>
      <w:r>
        <w:rPr/>
        <w:t>institutions but also for global use. The efforts made through the project of Ministry of Human Resources Development – National Program on Technology Enhanced Learning (NPTEL) for creation of OER in the areas of Engineering and Technology should be applied</w:t>
      </w:r>
      <w:r>
        <w:rPr>
          <w:spacing w:val="-14"/>
        </w:rPr>
        <w:t> </w:t>
      </w:r>
      <w:r>
        <w:rPr/>
        <w:t>in</w:t>
      </w:r>
      <w:r>
        <w:rPr>
          <w:spacing w:val="-14"/>
        </w:rPr>
        <w:t> </w:t>
      </w:r>
      <w:r>
        <w:rPr/>
        <w:t>other</w:t>
      </w:r>
      <w:r>
        <w:rPr>
          <w:spacing w:val="-14"/>
        </w:rPr>
        <w:t> </w:t>
      </w:r>
      <w:r>
        <w:rPr/>
        <w:t>areas</w:t>
      </w:r>
      <w:r>
        <w:rPr>
          <w:spacing w:val="-13"/>
        </w:rPr>
        <w:t> </w:t>
      </w:r>
      <w:r>
        <w:rPr/>
        <w:t>of</w:t>
      </w:r>
      <w:r>
        <w:rPr>
          <w:spacing w:val="-14"/>
        </w:rPr>
        <w:t> </w:t>
      </w:r>
      <w:r>
        <w:rPr/>
        <w:t>education</w:t>
      </w:r>
      <w:r>
        <w:rPr>
          <w:spacing w:val="-14"/>
        </w:rPr>
        <w:t> </w:t>
      </w:r>
      <w:r>
        <w:rPr/>
        <w:t>also.</w:t>
      </w:r>
      <w:r>
        <w:rPr>
          <w:spacing w:val="-14"/>
        </w:rPr>
        <w:t> </w:t>
      </w:r>
      <w:r>
        <w:rPr/>
        <w:t>The</w:t>
      </w:r>
      <w:r>
        <w:rPr>
          <w:spacing w:val="-13"/>
        </w:rPr>
        <w:t> </w:t>
      </w:r>
      <w:r>
        <w:rPr/>
        <w:t>content</w:t>
      </w:r>
      <w:r>
        <w:rPr>
          <w:spacing w:val="-14"/>
        </w:rPr>
        <w:t> </w:t>
      </w:r>
      <w:r>
        <w:rPr/>
        <w:t>in the</w:t>
      </w:r>
      <w:r>
        <w:rPr>
          <w:spacing w:val="-8"/>
        </w:rPr>
        <w:t> </w:t>
      </w:r>
      <w:r>
        <w:rPr/>
        <w:t>repositories</w:t>
      </w:r>
      <w:r>
        <w:rPr>
          <w:spacing w:val="-8"/>
        </w:rPr>
        <w:t> </w:t>
      </w:r>
      <w:r>
        <w:rPr/>
        <w:t>should</w:t>
      </w:r>
      <w:r>
        <w:rPr>
          <w:spacing w:val="-8"/>
        </w:rPr>
        <w:t> </w:t>
      </w:r>
      <w:r>
        <w:rPr/>
        <w:t>be</w:t>
      </w:r>
      <w:r>
        <w:rPr>
          <w:spacing w:val="-8"/>
        </w:rPr>
        <w:t> </w:t>
      </w:r>
      <w:r>
        <w:rPr/>
        <w:t>multimedia,</w:t>
      </w:r>
      <w:r>
        <w:rPr>
          <w:spacing w:val="-8"/>
        </w:rPr>
        <w:t> </w:t>
      </w:r>
      <w:r>
        <w:rPr/>
        <w:t>interactive</w:t>
      </w:r>
      <w:r>
        <w:rPr>
          <w:spacing w:val="-8"/>
        </w:rPr>
        <w:t> </w:t>
      </w:r>
      <w:r>
        <w:rPr/>
        <w:t>and </w:t>
      </w:r>
      <w:r>
        <w:rPr>
          <w:spacing w:val="-4"/>
        </w:rPr>
        <w:t>available</w:t>
      </w:r>
      <w:r>
        <w:rPr>
          <w:spacing w:val="-10"/>
        </w:rPr>
        <w:t> </w:t>
      </w:r>
      <w:r>
        <w:rPr>
          <w:spacing w:val="-4"/>
        </w:rPr>
        <w:t>in</w:t>
      </w:r>
      <w:r>
        <w:rPr>
          <w:spacing w:val="-7"/>
        </w:rPr>
        <w:t> </w:t>
      </w:r>
      <w:r>
        <w:rPr>
          <w:spacing w:val="-4"/>
        </w:rPr>
        <w:t>different</w:t>
      </w:r>
      <w:r>
        <w:rPr>
          <w:spacing w:val="-7"/>
        </w:rPr>
        <w:t> </w:t>
      </w:r>
      <w:r>
        <w:rPr>
          <w:spacing w:val="-4"/>
        </w:rPr>
        <w:t>regional</w:t>
      </w:r>
      <w:r>
        <w:rPr>
          <w:spacing w:val="-7"/>
        </w:rPr>
        <w:t> </w:t>
      </w:r>
      <w:r>
        <w:rPr>
          <w:spacing w:val="-4"/>
        </w:rPr>
        <w:t>languages.</w:t>
      </w:r>
      <w:r>
        <w:rPr>
          <w:spacing w:val="-10"/>
        </w:rPr>
        <w:t> </w:t>
      </w:r>
      <w:r>
        <w:rPr>
          <w:spacing w:val="-4"/>
        </w:rPr>
        <w:t>These</w:t>
      </w:r>
      <w:r>
        <w:rPr>
          <w:spacing w:val="-7"/>
        </w:rPr>
        <w:t> </w:t>
      </w:r>
      <w:r>
        <w:rPr>
          <w:spacing w:val="-4"/>
        </w:rPr>
        <w:t>projects should</w:t>
      </w:r>
      <w:r>
        <w:rPr>
          <w:spacing w:val="-9"/>
        </w:rPr>
        <w:t> </w:t>
      </w:r>
      <w:r>
        <w:rPr>
          <w:spacing w:val="-4"/>
        </w:rPr>
        <w:t>cover</w:t>
      </w:r>
      <w:r>
        <w:rPr>
          <w:spacing w:val="-9"/>
        </w:rPr>
        <w:t> </w:t>
      </w:r>
      <w:r>
        <w:rPr>
          <w:spacing w:val="-4"/>
        </w:rPr>
        <w:t>a</w:t>
      </w:r>
      <w:r>
        <w:rPr>
          <w:spacing w:val="-9"/>
        </w:rPr>
        <w:t> </w:t>
      </w:r>
      <w:r>
        <w:rPr>
          <w:spacing w:val="-4"/>
        </w:rPr>
        <w:t>wide</w:t>
      </w:r>
      <w:r>
        <w:rPr>
          <w:spacing w:val="-9"/>
        </w:rPr>
        <w:t> </w:t>
      </w:r>
      <w:r>
        <w:rPr>
          <w:spacing w:val="-4"/>
        </w:rPr>
        <w:t>range</w:t>
      </w:r>
      <w:r>
        <w:rPr>
          <w:spacing w:val="-9"/>
        </w:rPr>
        <w:t> </w:t>
      </w:r>
      <w:r>
        <w:rPr>
          <w:spacing w:val="-4"/>
        </w:rPr>
        <w:t>of</w:t>
      </w:r>
      <w:r>
        <w:rPr>
          <w:spacing w:val="-9"/>
        </w:rPr>
        <w:t> </w:t>
      </w:r>
      <w:r>
        <w:rPr>
          <w:spacing w:val="-4"/>
        </w:rPr>
        <w:t>subjects</w:t>
      </w:r>
      <w:r>
        <w:rPr>
          <w:spacing w:val="-9"/>
        </w:rPr>
        <w:t> </w:t>
      </w:r>
      <w:r>
        <w:rPr>
          <w:spacing w:val="-4"/>
        </w:rPr>
        <w:t>mentioned</w:t>
      </w:r>
      <w:r>
        <w:rPr>
          <w:spacing w:val="-9"/>
        </w:rPr>
        <w:t> </w:t>
      </w:r>
      <w:r>
        <w:rPr>
          <w:spacing w:val="-4"/>
        </w:rPr>
        <w:t>above. </w:t>
      </w:r>
      <w:r>
        <w:rPr/>
        <w:t>To</w:t>
      </w:r>
      <w:r>
        <w:rPr>
          <w:spacing w:val="-14"/>
        </w:rPr>
        <w:t> </w:t>
      </w:r>
      <w:r>
        <w:rPr/>
        <w:t>speed</w:t>
      </w:r>
      <w:r>
        <w:rPr>
          <w:spacing w:val="-14"/>
        </w:rPr>
        <w:t> </w:t>
      </w:r>
      <w:r>
        <w:rPr/>
        <w:t>up</w:t>
      </w:r>
      <w:r>
        <w:rPr>
          <w:spacing w:val="-14"/>
        </w:rPr>
        <w:t> </w:t>
      </w:r>
      <w:r>
        <w:rPr/>
        <w:t>the</w:t>
      </w:r>
      <w:r>
        <w:rPr>
          <w:spacing w:val="-13"/>
        </w:rPr>
        <w:t> </w:t>
      </w:r>
      <w:r>
        <w:rPr/>
        <w:t>creation,</w:t>
      </w:r>
      <w:r>
        <w:rPr>
          <w:spacing w:val="-14"/>
        </w:rPr>
        <w:t> </w:t>
      </w:r>
      <w:r>
        <w:rPr/>
        <w:t>adaptation,</w:t>
      </w:r>
      <w:r>
        <w:rPr>
          <w:spacing w:val="-14"/>
        </w:rPr>
        <w:t> </w:t>
      </w:r>
      <w:r>
        <w:rPr/>
        <w:t>and</w:t>
      </w:r>
      <w:r>
        <w:rPr>
          <w:spacing w:val="-14"/>
        </w:rPr>
        <w:t> </w:t>
      </w:r>
      <w:r>
        <w:rPr/>
        <w:t>utilisation</w:t>
      </w:r>
      <w:r>
        <w:rPr>
          <w:spacing w:val="-13"/>
        </w:rPr>
        <w:t> </w:t>
      </w:r>
      <w:r>
        <w:rPr/>
        <w:t>of OER, it is necessary to launch a ‘National E-content and Curriculum Initiative’.</w:t>
      </w:r>
    </w:p>
    <w:p>
      <w:pPr>
        <w:pStyle w:val="Heading6"/>
        <w:numPr>
          <w:ilvl w:val="0"/>
          <w:numId w:val="32"/>
        </w:numPr>
        <w:tabs>
          <w:tab w:pos="643" w:val="left" w:leader="none"/>
          <w:tab w:pos="645" w:val="left" w:leader="none"/>
        </w:tabs>
        <w:spacing w:line="182" w:lineRule="auto" w:before="150" w:after="0"/>
        <w:ind w:left="645" w:right="1246" w:hanging="327"/>
        <w:jc w:val="left"/>
      </w:pPr>
      <w:r>
        <w:rPr>
          <w:b w:val="0"/>
        </w:rPr>
        <w:br w:type="column"/>
      </w:r>
      <w:r>
        <w:rPr>
          <w:color w:val="2E614A"/>
          <w:w w:val="90"/>
        </w:rPr>
        <w:t>Leverage global open </w:t>
      </w:r>
      <w:r>
        <w:rPr>
          <w:color w:val="2E614A"/>
          <w:w w:val="90"/>
        </w:rPr>
        <w:t>educational </w:t>
      </w:r>
      <w:r>
        <w:rPr>
          <w:color w:val="2E614A"/>
          <w:spacing w:val="-2"/>
        </w:rPr>
        <w:t>resources</w:t>
      </w:r>
    </w:p>
    <w:p>
      <w:pPr>
        <w:pStyle w:val="BodyText"/>
        <w:spacing w:before="14"/>
        <w:rPr>
          <w:b/>
          <w:sz w:val="32"/>
        </w:rPr>
      </w:pPr>
    </w:p>
    <w:p>
      <w:pPr>
        <w:pStyle w:val="BodyText"/>
        <w:spacing w:line="266" w:lineRule="auto"/>
        <w:ind w:left="319" w:right="1077"/>
        <w:jc w:val="both"/>
      </w:pPr>
      <w:r>
        <w:rPr/>
        <w:t>Sustainable development of quality content relevant to</w:t>
      </w:r>
      <w:r>
        <w:rPr>
          <w:spacing w:val="-13"/>
        </w:rPr>
        <w:t> </w:t>
      </w:r>
      <w:r>
        <w:rPr/>
        <w:t>India</w:t>
      </w:r>
      <w:r>
        <w:rPr>
          <w:spacing w:val="-13"/>
        </w:rPr>
        <w:t> </w:t>
      </w:r>
      <w:r>
        <w:rPr/>
        <w:t>is</w:t>
      </w:r>
      <w:r>
        <w:rPr>
          <w:spacing w:val="-13"/>
        </w:rPr>
        <w:t> </w:t>
      </w:r>
      <w:r>
        <w:rPr/>
        <w:t>a</w:t>
      </w:r>
      <w:r>
        <w:rPr>
          <w:spacing w:val="-13"/>
        </w:rPr>
        <w:t> </w:t>
      </w:r>
      <w:r>
        <w:rPr/>
        <w:t>difficult</w:t>
      </w:r>
      <w:r>
        <w:rPr>
          <w:spacing w:val="-13"/>
        </w:rPr>
        <w:t> </w:t>
      </w:r>
      <w:r>
        <w:rPr/>
        <w:t>and</w:t>
      </w:r>
      <w:r>
        <w:rPr>
          <w:spacing w:val="-13"/>
        </w:rPr>
        <w:t> </w:t>
      </w:r>
      <w:r>
        <w:rPr/>
        <w:t>expensive</w:t>
      </w:r>
      <w:r>
        <w:rPr>
          <w:spacing w:val="-13"/>
        </w:rPr>
        <w:t> </w:t>
      </w:r>
      <w:r>
        <w:rPr/>
        <w:t>proposition,</w:t>
      </w:r>
      <w:r>
        <w:rPr>
          <w:spacing w:val="-13"/>
        </w:rPr>
        <w:t> </w:t>
      </w:r>
      <w:r>
        <w:rPr/>
        <w:t>given the diverse needs of various sectors in our emerging knowledge economy. Emerging international and national initiatives are offering quality educational content as open resources. It is vital for India to leverage</w:t>
      </w:r>
      <w:r>
        <w:rPr>
          <w:spacing w:val="-4"/>
        </w:rPr>
        <w:t> </w:t>
      </w:r>
      <w:r>
        <w:rPr/>
        <w:t>these</w:t>
      </w:r>
      <w:r>
        <w:rPr>
          <w:spacing w:val="-4"/>
        </w:rPr>
        <w:t> </w:t>
      </w:r>
      <w:r>
        <w:rPr/>
        <w:t>initiatives</w:t>
      </w:r>
      <w:r>
        <w:rPr>
          <w:spacing w:val="-4"/>
        </w:rPr>
        <w:t> </w:t>
      </w:r>
      <w:r>
        <w:rPr/>
        <w:t>as</w:t>
      </w:r>
      <w:r>
        <w:rPr>
          <w:spacing w:val="-4"/>
        </w:rPr>
        <w:t> </w:t>
      </w:r>
      <w:r>
        <w:rPr/>
        <w:t>they</w:t>
      </w:r>
      <w:r>
        <w:rPr>
          <w:spacing w:val="-4"/>
        </w:rPr>
        <w:t> </w:t>
      </w:r>
      <w:r>
        <w:rPr/>
        <w:t>are</w:t>
      </w:r>
      <w:r>
        <w:rPr>
          <w:spacing w:val="-4"/>
        </w:rPr>
        <w:t> </w:t>
      </w:r>
      <w:r>
        <w:rPr/>
        <w:t>readily</w:t>
      </w:r>
      <w:r>
        <w:rPr>
          <w:spacing w:val="-4"/>
        </w:rPr>
        <w:t> </w:t>
      </w:r>
      <w:r>
        <w:rPr/>
        <w:t>available for adoption and adaptation and to serve as a model for further indigenous content production. NKC found that there are already 200-300 free knowledge repositories available across the world.</w:t>
      </w:r>
      <w:r>
        <w:rPr>
          <w:spacing w:val="-2"/>
        </w:rPr>
        <w:t> </w:t>
      </w:r>
      <w:r>
        <w:rPr/>
        <w:t>The National Knowledge Commission is separately disseminating this information through its website.</w:t>
      </w:r>
    </w:p>
    <w:p>
      <w:pPr>
        <w:pStyle w:val="BodyText"/>
        <w:spacing w:before="3"/>
      </w:pPr>
    </w:p>
    <w:p>
      <w:pPr>
        <w:pStyle w:val="Heading6"/>
        <w:numPr>
          <w:ilvl w:val="0"/>
          <w:numId w:val="32"/>
        </w:numPr>
        <w:tabs>
          <w:tab w:pos="644" w:val="left" w:leader="none"/>
        </w:tabs>
        <w:spacing w:line="240" w:lineRule="auto" w:before="0" w:after="0"/>
        <w:ind w:left="644" w:right="0" w:hanging="325"/>
        <w:jc w:val="left"/>
      </w:pPr>
      <w:r>
        <w:rPr>
          <w:color w:val="2E614A"/>
          <w:w w:val="90"/>
        </w:rPr>
        <w:t>Encourage</w:t>
      </w:r>
      <w:r>
        <w:rPr>
          <w:color w:val="2E614A"/>
          <w:spacing w:val="8"/>
        </w:rPr>
        <w:t> </w:t>
      </w:r>
      <w:r>
        <w:rPr>
          <w:color w:val="2E614A"/>
          <w:w w:val="90"/>
        </w:rPr>
        <w:t>open</w:t>
      </w:r>
      <w:r>
        <w:rPr>
          <w:color w:val="2E614A"/>
          <w:spacing w:val="9"/>
        </w:rPr>
        <w:t> </w:t>
      </w:r>
      <w:r>
        <w:rPr>
          <w:color w:val="2E614A"/>
          <w:spacing w:val="-2"/>
          <w:w w:val="90"/>
        </w:rPr>
        <w:t>access</w:t>
      </w:r>
    </w:p>
    <w:p>
      <w:pPr>
        <w:pStyle w:val="BodyText"/>
        <w:spacing w:line="266" w:lineRule="auto" w:before="366"/>
        <w:ind w:left="319" w:right="1077"/>
        <w:jc w:val="both"/>
      </w:pPr>
      <w:r>
        <w:rPr/>
        <w:t>Open Access material stimulates research and helps students, teachers and researchers across the world. Therefore at the policy level, all research articles published by Indian authors receiving </w:t>
      </w:r>
      <w:r>
        <w:rPr/>
        <w:t>substantial government</w:t>
      </w:r>
      <w:r>
        <w:rPr>
          <w:spacing w:val="-14"/>
        </w:rPr>
        <w:t> </w:t>
      </w:r>
      <w:r>
        <w:rPr/>
        <w:t>or</w:t>
      </w:r>
      <w:r>
        <w:rPr>
          <w:spacing w:val="-14"/>
        </w:rPr>
        <w:t> </w:t>
      </w:r>
      <w:r>
        <w:rPr/>
        <w:t>public</w:t>
      </w:r>
      <w:r>
        <w:rPr>
          <w:spacing w:val="-14"/>
        </w:rPr>
        <w:t> </w:t>
      </w:r>
      <w:r>
        <w:rPr/>
        <w:t>funding</w:t>
      </w:r>
      <w:r>
        <w:rPr>
          <w:spacing w:val="-13"/>
        </w:rPr>
        <w:t> </w:t>
      </w:r>
      <w:r>
        <w:rPr/>
        <w:t>must</w:t>
      </w:r>
      <w:r>
        <w:rPr>
          <w:spacing w:val="-14"/>
        </w:rPr>
        <w:t> </w:t>
      </w:r>
      <w:r>
        <w:rPr/>
        <w:t>be</w:t>
      </w:r>
      <w:r>
        <w:rPr>
          <w:spacing w:val="-14"/>
        </w:rPr>
        <w:t> </w:t>
      </w:r>
      <w:r>
        <w:rPr/>
        <w:t>made</w:t>
      </w:r>
      <w:r>
        <w:rPr>
          <w:spacing w:val="-14"/>
        </w:rPr>
        <w:t> </w:t>
      </w:r>
      <w:r>
        <w:rPr/>
        <w:t>available under Open Access and should be archived in the standard OA format at least on his/her website. As a next step, a national academic OA portal should be developed.</w:t>
      </w:r>
      <w:r>
        <w:rPr>
          <w:spacing w:val="-14"/>
        </w:rPr>
        <w:t> </w:t>
      </w:r>
      <w:r>
        <w:rPr/>
        <w:t>The</w:t>
      </w:r>
      <w:r>
        <w:rPr>
          <w:spacing w:val="-14"/>
        </w:rPr>
        <w:t> </w:t>
      </w:r>
      <w:r>
        <w:rPr/>
        <w:t>government</w:t>
      </w:r>
      <w:r>
        <w:rPr>
          <w:spacing w:val="-14"/>
        </w:rPr>
        <w:t> </w:t>
      </w:r>
      <w:r>
        <w:rPr/>
        <w:t>should</w:t>
      </w:r>
      <w:r>
        <w:rPr>
          <w:spacing w:val="-13"/>
        </w:rPr>
        <w:t> </w:t>
      </w:r>
      <w:r>
        <w:rPr/>
        <w:t>allocate</w:t>
      </w:r>
      <w:r>
        <w:rPr>
          <w:spacing w:val="-14"/>
        </w:rPr>
        <w:t> </w:t>
      </w:r>
      <w:r>
        <w:rPr/>
        <w:t>resources </w:t>
      </w:r>
      <w:r>
        <w:rPr>
          <w:spacing w:val="-2"/>
        </w:rPr>
        <w:t>to</w:t>
      </w:r>
      <w:r>
        <w:rPr>
          <w:spacing w:val="-8"/>
        </w:rPr>
        <w:t> </w:t>
      </w:r>
      <w:r>
        <w:rPr>
          <w:spacing w:val="-2"/>
        </w:rPr>
        <w:t>increase</w:t>
      </w:r>
      <w:r>
        <w:rPr>
          <w:spacing w:val="-8"/>
        </w:rPr>
        <w:t> </w:t>
      </w:r>
      <w:r>
        <w:rPr>
          <w:spacing w:val="-2"/>
        </w:rPr>
        <w:t>the</w:t>
      </w:r>
      <w:r>
        <w:rPr>
          <w:spacing w:val="-8"/>
        </w:rPr>
        <w:t> </w:t>
      </w:r>
      <w:r>
        <w:rPr>
          <w:spacing w:val="-2"/>
        </w:rPr>
        <w:t>current</w:t>
      </w:r>
      <w:r>
        <w:rPr>
          <w:spacing w:val="-8"/>
        </w:rPr>
        <w:t> </w:t>
      </w:r>
      <w:r>
        <w:rPr>
          <w:spacing w:val="-2"/>
        </w:rPr>
        <w:t>digitisation</w:t>
      </w:r>
      <w:r>
        <w:rPr>
          <w:spacing w:val="-8"/>
        </w:rPr>
        <w:t> </w:t>
      </w:r>
      <w:r>
        <w:rPr>
          <w:spacing w:val="-2"/>
        </w:rPr>
        <w:t>efforts</w:t>
      </w:r>
      <w:r>
        <w:rPr>
          <w:spacing w:val="-8"/>
        </w:rPr>
        <w:t> </w:t>
      </w:r>
      <w:r>
        <w:rPr>
          <w:spacing w:val="-2"/>
        </w:rPr>
        <w:t>of</w:t>
      </w:r>
      <w:r>
        <w:rPr>
          <w:spacing w:val="-8"/>
        </w:rPr>
        <w:t> </w:t>
      </w:r>
      <w:r>
        <w:rPr>
          <w:spacing w:val="-2"/>
        </w:rPr>
        <w:t>books</w:t>
      </w:r>
      <w:r>
        <w:rPr>
          <w:spacing w:val="-8"/>
        </w:rPr>
        <w:t> </w:t>
      </w:r>
      <w:r>
        <w:rPr>
          <w:spacing w:val="-2"/>
        </w:rPr>
        <w:t>and </w:t>
      </w:r>
      <w:r>
        <w:rPr/>
        <w:t>periodicals which are outside copyright protection. Separate funding should be allocated to develop a new high quality OCR software package so that new and old fonts in many different Indian languages can be converted into ISCI/ASCI code and OA portals and</w:t>
      </w:r>
      <w:r>
        <w:rPr>
          <w:spacing w:val="-7"/>
        </w:rPr>
        <w:t> </w:t>
      </w:r>
      <w:r>
        <w:rPr/>
        <w:t>servers</w:t>
      </w:r>
      <w:r>
        <w:rPr>
          <w:spacing w:val="-7"/>
        </w:rPr>
        <w:t> </w:t>
      </w:r>
      <w:r>
        <w:rPr/>
        <w:t>could</w:t>
      </w:r>
      <w:r>
        <w:rPr>
          <w:spacing w:val="-7"/>
        </w:rPr>
        <w:t> </w:t>
      </w:r>
      <w:r>
        <w:rPr/>
        <w:t>be</w:t>
      </w:r>
      <w:r>
        <w:rPr>
          <w:spacing w:val="-7"/>
        </w:rPr>
        <w:t> </w:t>
      </w:r>
      <w:r>
        <w:rPr/>
        <w:t>upgraded</w:t>
      </w:r>
      <w:r>
        <w:rPr>
          <w:spacing w:val="-7"/>
        </w:rPr>
        <w:t> </w:t>
      </w:r>
      <w:r>
        <w:rPr/>
        <w:t>regularly.</w:t>
      </w:r>
      <w:r>
        <w:rPr>
          <w:spacing w:val="-7"/>
        </w:rPr>
        <w:t> </w:t>
      </w:r>
      <w:r>
        <w:rPr/>
        <w:t>Appropriate financial resources should be earmarked for these </w:t>
      </w:r>
      <w:r>
        <w:rPr>
          <w:spacing w:val="-4"/>
        </w:rPr>
        <w:t>endeavours.</w:t>
      </w:r>
      <w:r>
        <w:rPr>
          <w:spacing w:val="-10"/>
        </w:rPr>
        <w:t> </w:t>
      </w:r>
      <w:r>
        <w:rPr>
          <w:spacing w:val="-4"/>
        </w:rPr>
        <w:t>This</w:t>
      </w:r>
      <w:r>
        <w:rPr>
          <w:spacing w:val="-10"/>
        </w:rPr>
        <w:t> </w:t>
      </w:r>
      <w:r>
        <w:rPr>
          <w:spacing w:val="-4"/>
        </w:rPr>
        <w:t>will</w:t>
      </w:r>
      <w:r>
        <w:rPr>
          <w:spacing w:val="-10"/>
        </w:rPr>
        <w:t> </w:t>
      </w:r>
      <w:r>
        <w:rPr>
          <w:spacing w:val="-4"/>
        </w:rPr>
        <w:t>also</w:t>
      </w:r>
      <w:r>
        <w:rPr>
          <w:spacing w:val="-9"/>
        </w:rPr>
        <w:t> </w:t>
      </w:r>
      <w:r>
        <w:rPr>
          <w:spacing w:val="-4"/>
        </w:rPr>
        <w:t>facilitate</w:t>
      </w:r>
      <w:r>
        <w:rPr>
          <w:spacing w:val="-8"/>
        </w:rPr>
        <w:t> </w:t>
      </w:r>
      <w:r>
        <w:rPr>
          <w:spacing w:val="-4"/>
        </w:rPr>
        <w:t>machine</w:t>
      </w:r>
      <w:r>
        <w:rPr>
          <w:spacing w:val="-8"/>
        </w:rPr>
        <w:t> </w:t>
      </w:r>
      <w:r>
        <w:rPr>
          <w:spacing w:val="-4"/>
        </w:rPr>
        <w:t>translation </w:t>
      </w:r>
      <w:r>
        <w:rPr/>
        <w:t>of</w:t>
      </w:r>
      <w:r>
        <w:rPr>
          <w:spacing w:val="-1"/>
        </w:rPr>
        <w:t> </w:t>
      </w:r>
      <w:r>
        <w:rPr/>
        <w:t>these</w:t>
      </w:r>
      <w:r>
        <w:rPr>
          <w:spacing w:val="-1"/>
        </w:rPr>
        <w:t> </w:t>
      </w:r>
      <w:r>
        <w:rPr/>
        <w:t>valuable</w:t>
      </w:r>
      <w:r>
        <w:rPr>
          <w:spacing w:val="-1"/>
        </w:rPr>
        <w:t> </w:t>
      </w:r>
      <w:r>
        <w:rPr/>
        <w:t>resources.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32"/>
        </w:numPr>
        <w:tabs>
          <w:tab w:pos="1404" w:val="left" w:leader="none"/>
          <w:tab w:pos="1406" w:val="left" w:leader="none"/>
        </w:tabs>
        <w:spacing w:line="182" w:lineRule="auto" w:before="129" w:after="0"/>
        <w:ind w:left="1406" w:right="32" w:hanging="327"/>
        <w:jc w:val="left"/>
      </w:pPr>
      <w:r>
        <w:rPr>
          <w:color w:val="2E614A"/>
          <w:w w:val="90"/>
        </w:rPr>
        <w:t>Develop network-enabled </w:t>
      </w:r>
      <w:r>
        <w:rPr>
          <w:color w:val="2E614A"/>
          <w:w w:val="90"/>
        </w:rPr>
        <w:t>delivery </w:t>
      </w:r>
      <w:r>
        <w:rPr>
          <w:color w:val="2E614A"/>
          <w:spacing w:val="-2"/>
        </w:rPr>
        <w:t>infrastructure</w:t>
      </w:r>
    </w:p>
    <w:p>
      <w:pPr>
        <w:pStyle w:val="BodyText"/>
        <w:spacing w:line="266" w:lineRule="auto" w:before="302"/>
        <w:ind w:left="1080"/>
        <w:jc w:val="both"/>
      </w:pPr>
      <w:r>
        <w:rPr/>
        <w:t>Along with the national initiative for </w:t>
      </w:r>
      <w:r>
        <w:rPr/>
        <w:t>content development, we must develop a network-enabled delivery infrastructure with a focus on two primary areas:</w:t>
      </w:r>
      <w:r>
        <w:rPr>
          <w:spacing w:val="-5"/>
        </w:rPr>
        <w:t> </w:t>
      </w:r>
      <w:r>
        <w:rPr/>
        <w:t>access</w:t>
      </w:r>
      <w:r>
        <w:rPr>
          <w:spacing w:val="-5"/>
        </w:rPr>
        <w:t> </w:t>
      </w:r>
      <w:r>
        <w:rPr/>
        <w:t>and</w:t>
      </w:r>
      <w:r>
        <w:rPr>
          <w:spacing w:val="-5"/>
        </w:rPr>
        <w:t> </w:t>
      </w:r>
      <w:r>
        <w:rPr/>
        <w:t>delivery.</w:t>
      </w:r>
      <w:r>
        <w:rPr>
          <w:spacing w:val="-5"/>
        </w:rPr>
        <w:t> </w:t>
      </w:r>
      <w:r>
        <w:rPr/>
        <w:t>For</w:t>
      </w:r>
      <w:r>
        <w:rPr>
          <w:spacing w:val="-5"/>
        </w:rPr>
        <w:t> </w:t>
      </w:r>
      <w:r>
        <w:rPr/>
        <w:t>access</w:t>
      </w:r>
      <w:r>
        <w:rPr>
          <w:spacing w:val="-5"/>
        </w:rPr>
        <w:t> </w:t>
      </w:r>
      <w:r>
        <w:rPr/>
        <w:t>to</w:t>
      </w:r>
      <w:r>
        <w:rPr>
          <w:spacing w:val="-5"/>
        </w:rPr>
        <w:t> </w:t>
      </w:r>
      <w:r>
        <w:rPr/>
        <w:t>the</w:t>
      </w:r>
      <w:r>
        <w:rPr>
          <w:spacing w:val="-5"/>
        </w:rPr>
        <w:t> </w:t>
      </w:r>
      <w:r>
        <w:rPr/>
        <w:t>network, high bandwidth connections across institutions and a national</w:t>
      </w:r>
      <w:r>
        <w:rPr>
          <w:spacing w:val="-14"/>
        </w:rPr>
        <w:t> </w:t>
      </w:r>
      <w:r>
        <w:rPr/>
        <w:t>backbone</w:t>
      </w:r>
      <w:r>
        <w:rPr>
          <w:spacing w:val="-14"/>
        </w:rPr>
        <w:t> </w:t>
      </w:r>
      <w:r>
        <w:rPr/>
        <w:t>that</w:t>
      </w:r>
      <w:r>
        <w:rPr>
          <w:spacing w:val="-14"/>
        </w:rPr>
        <w:t> </w:t>
      </w:r>
      <w:r>
        <w:rPr/>
        <w:t>provides</w:t>
      </w:r>
      <w:r>
        <w:rPr>
          <w:spacing w:val="-13"/>
        </w:rPr>
        <w:t> </w:t>
      </w:r>
      <w:r>
        <w:rPr/>
        <w:t>advanced</w:t>
      </w:r>
      <w:r>
        <w:rPr>
          <w:spacing w:val="-14"/>
        </w:rPr>
        <w:t> </w:t>
      </w:r>
      <w:r>
        <w:rPr/>
        <w:t>networking capabilities are major requirements. Additionally, </w:t>
      </w:r>
      <w:r>
        <w:rPr>
          <w:spacing w:val="-4"/>
        </w:rPr>
        <w:t>connectivity</w:t>
      </w:r>
      <w:r>
        <w:rPr>
          <w:spacing w:val="-9"/>
        </w:rPr>
        <w:t> </w:t>
      </w:r>
      <w:r>
        <w:rPr>
          <w:spacing w:val="-4"/>
        </w:rPr>
        <w:t>to</w:t>
      </w:r>
      <w:r>
        <w:rPr>
          <w:spacing w:val="-9"/>
        </w:rPr>
        <w:t> </w:t>
      </w:r>
      <w:r>
        <w:rPr>
          <w:spacing w:val="-4"/>
        </w:rPr>
        <w:t>global</w:t>
      </w:r>
      <w:r>
        <w:rPr>
          <w:spacing w:val="-9"/>
        </w:rPr>
        <w:t> </w:t>
      </w:r>
      <w:r>
        <w:rPr>
          <w:spacing w:val="-4"/>
        </w:rPr>
        <w:t>networks</w:t>
      </w:r>
      <w:r>
        <w:rPr>
          <w:spacing w:val="-9"/>
        </w:rPr>
        <w:t> </w:t>
      </w:r>
      <w:r>
        <w:rPr>
          <w:spacing w:val="-4"/>
        </w:rPr>
        <w:t>is</w:t>
      </w:r>
      <w:r>
        <w:rPr>
          <w:spacing w:val="-9"/>
        </w:rPr>
        <w:t> </w:t>
      </w:r>
      <w:r>
        <w:rPr>
          <w:spacing w:val="-4"/>
        </w:rPr>
        <w:t>essential.</w:t>
      </w:r>
      <w:r>
        <w:rPr>
          <w:spacing w:val="-9"/>
        </w:rPr>
        <w:t> </w:t>
      </w:r>
      <w:r>
        <w:rPr>
          <w:spacing w:val="-4"/>
        </w:rPr>
        <w:t>Delivery</w:t>
      </w:r>
      <w:r>
        <w:rPr>
          <w:spacing w:val="-9"/>
        </w:rPr>
        <w:t> </w:t>
      </w:r>
      <w:r>
        <w:rPr>
          <w:spacing w:val="-4"/>
        </w:rPr>
        <w:t>of </w:t>
      </w:r>
      <w:r>
        <w:rPr/>
        <w:t>the OER content would be done through distributed repositories</w:t>
      </w:r>
      <w:r>
        <w:rPr>
          <w:spacing w:val="-5"/>
        </w:rPr>
        <w:t> </w:t>
      </w:r>
      <w:r>
        <w:rPr/>
        <w:t>of</w:t>
      </w:r>
      <w:r>
        <w:rPr>
          <w:spacing w:val="-6"/>
        </w:rPr>
        <w:t> </w:t>
      </w:r>
      <w:r>
        <w:rPr/>
        <w:t>educational</w:t>
      </w:r>
      <w:r>
        <w:rPr>
          <w:spacing w:val="-5"/>
        </w:rPr>
        <w:t> </w:t>
      </w:r>
      <w:r>
        <w:rPr/>
        <w:t>resources.</w:t>
      </w:r>
    </w:p>
    <w:p>
      <w:pPr>
        <w:pStyle w:val="Heading6"/>
        <w:numPr>
          <w:ilvl w:val="0"/>
          <w:numId w:val="32"/>
        </w:numPr>
        <w:tabs>
          <w:tab w:pos="1404" w:val="left" w:leader="none"/>
          <w:tab w:pos="1406" w:val="left" w:leader="none"/>
        </w:tabs>
        <w:spacing w:line="182" w:lineRule="auto" w:before="250" w:after="0"/>
        <w:ind w:left="1406" w:right="198" w:hanging="327"/>
        <w:jc w:val="left"/>
      </w:pPr>
      <w:r>
        <w:rPr>
          <w:color w:val="2E614A"/>
          <w:w w:val="90"/>
        </w:rPr>
        <w:t>Create a faculty and </w:t>
      </w:r>
      <w:r>
        <w:rPr>
          <w:color w:val="2E614A"/>
          <w:w w:val="90"/>
        </w:rPr>
        <w:t>institutional </w:t>
      </w:r>
      <w:r>
        <w:rPr>
          <w:color w:val="2E614A"/>
          <w:spacing w:val="-2"/>
        </w:rPr>
        <w:t>development</w:t>
      </w:r>
      <w:r>
        <w:rPr>
          <w:color w:val="2E614A"/>
          <w:spacing w:val="-18"/>
        </w:rPr>
        <w:t> </w:t>
      </w:r>
      <w:r>
        <w:rPr>
          <w:color w:val="2E614A"/>
          <w:spacing w:val="-2"/>
        </w:rPr>
        <w:t>program</w:t>
      </w:r>
    </w:p>
    <w:p>
      <w:pPr>
        <w:pStyle w:val="BodyText"/>
        <w:spacing w:line="266" w:lineRule="auto" w:before="303"/>
        <w:ind w:left="1080"/>
        <w:jc w:val="both"/>
      </w:pPr>
      <w:r>
        <w:rPr>
          <w:spacing w:val="-4"/>
        </w:rPr>
        <w:t>Faculty</w:t>
      </w:r>
      <w:r>
        <w:rPr>
          <w:spacing w:val="-10"/>
        </w:rPr>
        <w:t> </w:t>
      </w:r>
      <w:r>
        <w:rPr>
          <w:spacing w:val="-4"/>
        </w:rPr>
        <w:t>development</w:t>
      </w:r>
      <w:r>
        <w:rPr>
          <w:spacing w:val="-10"/>
        </w:rPr>
        <w:t> </w:t>
      </w:r>
      <w:r>
        <w:rPr>
          <w:spacing w:val="-4"/>
        </w:rPr>
        <w:t>and</w:t>
      </w:r>
      <w:r>
        <w:rPr>
          <w:spacing w:val="-10"/>
        </w:rPr>
        <w:t> </w:t>
      </w:r>
      <w:r>
        <w:rPr>
          <w:spacing w:val="-4"/>
        </w:rPr>
        <w:t>teacher</w:t>
      </w:r>
      <w:r>
        <w:rPr>
          <w:spacing w:val="-9"/>
        </w:rPr>
        <w:t> </w:t>
      </w:r>
      <w:r>
        <w:rPr>
          <w:spacing w:val="-4"/>
        </w:rPr>
        <w:t>training</w:t>
      </w:r>
      <w:r>
        <w:rPr>
          <w:spacing w:val="-10"/>
        </w:rPr>
        <w:t> </w:t>
      </w:r>
      <w:r>
        <w:rPr>
          <w:spacing w:val="-4"/>
        </w:rPr>
        <w:t>is</w:t>
      </w:r>
      <w:r>
        <w:rPr>
          <w:spacing w:val="-10"/>
        </w:rPr>
        <w:t> </w:t>
      </w:r>
      <w:r>
        <w:rPr>
          <w:spacing w:val="-4"/>
        </w:rPr>
        <w:t>the</w:t>
      </w:r>
      <w:r>
        <w:rPr>
          <w:spacing w:val="-10"/>
        </w:rPr>
        <w:t> </w:t>
      </w:r>
      <w:r>
        <w:rPr>
          <w:spacing w:val="-4"/>
        </w:rPr>
        <w:t>primary </w:t>
      </w:r>
      <w:r>
        <w:rPr/>
        <w:t>area that needs to be addressed in order to realise the benefits of extended access and improved quality through OER. The training program must develop domain competencies and teaching skills using new educational technologies. The training will also help </w:t>
      </w:r>
      <w:r>
        <w:rPr>
          <w:spacing w:val="-2"/>
        </w:rPr>
        <w:t>developers</w:t>
      </w:r>
      <w:r>
        <w:rPr>
          <w:spacing w:val="-12"/>
        </w:rPr>
        <w:t> </w:t>
      </w:r>
      <w:r>
        <w:rPr>
          <w:spacing w:val="-2"/>
        </w:rPr>
        <w:t>of</w:t>
      </w:r>
      <w:r>
        <w:rPr>
          <w:spacing w:val="-12"/>
        </w:rPr>
        <w:t> </w:t>
      </w:r>
      <w:r>
        <w:rPr>
          <w:spacing w:val="-2"/>
        </w:rPr>
        <w:t>new</w:t>
      </w:r>
      <w:r>
        <w:rPr>
          <w:spacing w:val="-12"/>
        </w:rPr>
        <w:t> </w:t>
      </w:r>
      <w:r>
        <w:rPr>
          <w:spacing w:val="-2"/>
        </w:rPr>
        <w:t>OER</w:t>
      </w:r>
      <w:r>
        <w:rPr>
          <w:spacing w:val="-11"/>
        </w:rPr>
        <w:t> </w:t>
      </w:r>
      <w:r>
        <w:rPr>
          <w:spacing w:val="-2"/>
        </w:rPr>
        <w:t>and</w:t>
      </w:r>
      <w:r>
        <w:rPr>
          <w:spacing w:val="-12"/>
        </w:rPr>
        <w:t> </w:t>
      </w:r>
      <w:r>
        <w:rPr>
          <w:spacing w:val="-2"/>
        </w:rPr>
        <w:t>in</w:t>
      </w:r>
      <w:r>
        <w:rPr>
          <w:spacing w:val="-12"/>
        </w:rPr>
        <w:t> </w:t>
      </w:r>
      <w:r>
        <w:rPr>
          <w:spacing w:val="-2"/>
        </w:rPr>
        <w:t>contextualising</w:t>
      </w:r>
      <w:r>
        <w:rPr>
          <w:spacing w:val="-12"/>
        </w:rPr>
        <w:t> </w:t>
      </w:r>
      <w:r>
        <w:rPr>
          <w:spacing w:val="-2"/>
        </w:rPr>
        <w:t>existing </w:t>
      </w:r>
      <w:r>
        <w:rPr/>
        <w:t>educational</w:t>
      </w:r>
      <w:r>
        <w:rPr>
          <w:spacing w:val="-3"/>
        </w:rPr>
        <w:t> </w:t>
      </w:r>
      <w:r>
        <w:rPr/>
        <w:t>resources.</w:t>
      </w:r>
      <w:r>
        <w:rPr>
          <w:spacing w:val="-3"/>
        </w:rPr>
        <w:t> </w:t>
      </w:r>
      <w:r>
        <w:rPr/>
        <w:t>Centres</w:t>
      </w:r>
      <w:r>
        <w:rPr>
          <w:spacing w:val="-3"/>
        </w:rPr>
        <w:t> </w:t>
      </w:r>
      <w:r>
        <w:rPr/>
        <w:t>at</w:t>
      </w:r>
      <w:r>
        <w:rPr>
          <w:spacing w:val="-3"/>
        </w:rPr>
        <w:t> </w:t>
      </w:r>
      <w:r>
        <w:rPr/>
        <w:t>specific</w:t>
      </w:r>
      <w:r>
        <w:rPr>
          <w:spacing w:val="-3"/>
        </w:rPr>
        <w:t> </w:t>
      </w:r>
      <w:r>
        <w:rPr/>
        <w:t>institutions should</w:t>
      </w:r>
      <w:r>
        <w:rPr>
          <w:spacing w:val="71"/>
        </w:rPr>
        <w:t> </w:t>
      </w:r>
      <w:r>
        <w:rPr/>
        <w:t>be</w:t>
      </w:r>
      <w:r>
        <w:rPr>
          <w:spacing w:val="72"/>
        </w:rPr>
        <w:t> </w:t>
      </w:r>
      <w:r>
        <w:rPr/>
        <w:t>identified</w:t>
      </w:r>
      <w:r>
        <w:rPr>
          <w:spacing w:val="72"/>
        </w:rPr>
        <w:t> </w:t>
      </w:r>
      <w:r>
        <w:rPr/>
        <w:t>so</w:t>
      </w:r>
      <w:r>
        <w:rPr>
          <w:spacing w:val="72"/>
        </w:rPr>
        <w:t> </w:t>
      </w:r>
      <w:r>
        <w:rPr/>
        <w:t>that</w:t>
      </w:r>
      <w:r>
        <w:rPr>
          <w:spacing w:val="72"/>
        </w:rPr>
        <w:t> </w:t>
      </w:r>
      <w:r>
        <w:rPr/>
        <w:t>the</w:t>
      </w:r>
      <w:r>
        <w:rPr>
          <w:spacing w:val="72"/>
        </w:rPr>
        <w:t> </w:t>
      </w:r>
      <w:r>
        <w:rPr/>
        <w:t>faculty</w:t>
      </w:r>
      <w:r>
        <w:rPr>
          <w:spacing w:val="71"/>
        </w:rPr>
        <w:t> </w:t>
      </w:r>
      <w:r>
        <w:rPr/>
        <w:t>of</w:t>
      </w:r>
      <w:r>
        <w:rPr>
          <w:spacing w:val="72"/>
        </w:rPr>
        <w:t> </w:t>
      </w:r>
      <w:r>
        <w:rPr>
          <w:spacing w:val="-4"/>
        </w:rPr>
        <w:t>these</w:t>
      </w:r>
    </w:p>
    <w:p>
      <w:pPr>
        <w:pStyle w:val="BodyText"/>
        <w:spacing w:line="266" w:lineRule="auto" w:before="77"/>
        <w:ind w:left="319" w:right="1077"/>
        <w:jc w:val="both"/>
      </w:pPr>
      <w:r>
        <w:rPr/>
        <w:br w:type="column"/>
      </w:r>
      <w:r>
        <w:rPr/>
        <w:t>institutions will eventually own, modify, and expand OER repositories. These must be integrated into university</w:t>
      </w:r>
      <w:r>
        <w:rPr>
          <w:spacing w:val="-14"/>
        </w:rPr>
        <w:t> </w:t>
      </w:r>
      <w:r>
        <w:rPr/>
        <w:t>curricula</w:t>
      </w:r>
      <w:r>
        <w:rPr>
          <w:spacing w:val="-14"/>
        </w:rPr>
        <w:t> </w:t>
      </w:r>
      <w:r>
        <w:rPr/>
        <w:t>and</w:t>
      </w:r>
      <w:r>
        <w:rPr>
          <w:spacing w:val="-14"/>
        </w:rPr>
        <w:t> </w:t>
      </w:r>
      <w:r>
        <w:rPr/>
        <w:t>organisational</w:t>
      </w:r>
      <w:r>
        <w:rPr>
          <w:spacing w:val="-13"/>
        </w:rPr>
        <w:t> </w:t>
      </w:r>
      <w:r>
        <w:rPr/>
        <w:t>structures.</w:t>
      </w:r>
      <w:r>
        <w:rPr>
          <w:spacing w:val="-14"/>
        </w:rPr>
        <w:t> </w:t>
      </w:r>
      <w:r>
        <w:rPr/>
        <w:t>The </w:t>
      </w:r>
      <w:r>
        <w:rPr>
          <w:spacing w:val="-2"/>
        </w:rPr>
        <w:t>availability</w:t>
      </w:r>
      <w:r>
        <w:rPr>
          <w:spacing w:val="-11"/>
        </w:rPr>
        <w:t> </w:t>
      </w:r>
      <w:r>
        <w:rPr>
          <w:spacing w:val="-2"/>
        </w:rPr>
        <w:t>of</w:t>
      </w:r>
      <w:r>
        <w:rPr>
          <w:spacing w:val="-11"/>
        </w:rPr>
        <w:t> </w:t>
      </w:r>
      <w:r>
        <w:rPr>
          <w:spacing w:val="-2"/>
        </w:rPr>
        <w:t>learning</w:t>
      </w:r>
      <w:r>
        <w:rPr>
          <w:spacing w:val="-11"/>
        </w:rPr>
        <w:t> </w:t>
      </w:r>
      <w:r>
        <w:rPr>
          <w:spacing w:val="-2"/>
        </w:rPr>
        <w:t>management</w:t>
      </w:r>
      <w:r>
        <w:rPr>
          <w:spacing w:val="-11"/>
        </w:rPr>
        <w:t> </w:t>
      </w:r>
      <w:r>
        <w:rPr>
          <w:spacing w:val="-2"/>
        </w:rPr>
        <w:t>systems</w:t>
      </w:r>
      <w:r>
        <w:rPr>
          <w:spacing w:val="-11"/>
        </w:rPr>
        <w:t> </w:t>
      </w:r>
      <w:r>
        <w:rPr>
          <w:spacing w:val="-2"/>
        </w:rPr>
        <w:t>and</w:t>
      </w:r>
      <w:r>
        <w:rPr>
          <w:spacing w:val="-10"/>
        </w:rPr>
        <w:t> </w:t>
      </w:r>
      <w:r>
        <w:rPr>
          <w:spacing w:val="-2"/>
        </w:rPr>
        <w:t>other </w:t>
      </w:r>
      <w:r>
        <w:rPr/>
        <w:t>quizzing,</w:t>
      </w:r>
      <w:r>
        <w:rPr>
          <w:spacing w:val="-5"/>
        </w:rPr>
        <w:t> </w:t>
      </w:r>
      <w:r>
        <w:rPr/>
        <w:t>authoring</w:t>
      </w:r>
      <w:r>
        <w:rPr>
          <w:spacing w:val="-5"/>
        </w:rPr>
        <w:t> </w:t>
      </w:r>
      <w:r>
        <w:rPr/>
        <w:t>and</w:t>
      </w:r>
      <w:r>
        <w:rPr>
          <w:spacing w:val="-5"/>
        </w:rPr>
        <w:t> </w:t>
      </w:r>
      <w:r>
        <w:rPr/>
        <w:t>collaborating</w:t>
      </w:r>
      <w:r>
        <w:rPr>
          <w:spacing w:val="-5"/>
        </w:rPr>
        <w:t> </w:t>
      </w:r>
      <w:r>
        <w:rPr/>
        <w:t>tools</w:t>
      </w:r>
      <w:r>
        <w:rPr>
          <w:spacing w:val="-5"/>
        </w:rPr>
        <w:t> </w:t>
      </w:r>
      <w:r>
        <w:rPr/>
        <w:t>should</w:t>
      </w:r>
      <w:r>
        <w:rPr>
          <w:spacing w:val="-5"/>
        </w:rPr>
        <w:t> </w:t>
      </w:r>
      <w:r>
        <w:rPr/>
        <w:t>be increased.</w:t>
      </w:r>
      <w:r>
        <w:rPr>
          <w:spacing w:val="-6"/>
        </w:rPr>
        <w:t> </w:t>
      </w:r>
      <w:r>
        <w:rPr/>
        <w:t>The evaluation system should be based on the use of the content and the pedagogy in OER. To implement and monitor the above recommendations urgently and efficiently, the Government of India may designate a suitable organisation or establish a new</w:t>
      </w:r>
      <w:r>
        <w:rPr>
          <w:spacing w:val="-13"/>
        </w:rPr>
        <w:t> </w:t>
      </w:r>
      <w:r>
        <w:rPr/>
        <w:t>institution</w:t>
      </w:r>
      <w:r>
        <w:rPr>
          <w:spacing w:val="-13"/>
        </w:rPr>
        <w:t> </w:t>
      </w:r>
      <w:r>
        <w:rPr/>
        <w:t>with</w:t>
      </w:r>
      <w:r>
        <w:rPr>
          <w:spacing w:val="-13"/>
        </w:rPr>
        <w:t> </w:t>
      </w:r>
      <w:r>
        <w:rPr/>
        <w:t>necessary</w:t>
      </w:r>
      <w:r>
        <w:rPr>
          <w:spacing w:val="-13"/>
        </w:rPr>
        <w:t> </w:t>
      </w:r>
      <w:r>
        <w:rPr/>
        <w:t>mandate</w:t>
      </w:r>
      <w:r>
        <w:rPr>
          <w:spacing w:val="-13"/>
        </w:rPr>
        <w:t> </w:t>
      </w:r>
      <w:r>
        <w:rPr/>
        <w:t>to</w:t>
      </w:r>
      <w:r>
        <w:rPr>
          <w:spacing w:val="-13"/>
        </w:rPr>
        <w:t> </w:t>
      </w:r>
      <w:r>
        <w:rPr/>
        <w:t>achieve</w:t>
      </w:r>
      <w:r>
        <w:rPr>
          <w:spacing w:val="-13"/>
        </w:rPr>
        <w:t> </w:t>
      </w:r>
      <w:r>
        <w:rPr/>
        <w:t>the </w:t>
      </w:r>
      <w:r>
        <w:rPr>
          <w:spacing w:val="-4"/>
        </w:rPr>
        <w:t>above</w:t>
      </w:r>
      <w:r>
        <w:rPr>
          <w:spacing w:val="-10"/>
        </w:rPr>
        <w:t> </w:t>
      </w:r>
      <w:r>
        <w:rPr>
          <w:spacing w:val="-4"/>
        </w:rPr>
        <w:t>objectives.</w:t>
      </w:r>
      <w:r>
        <w:rPr>
          <w:spacing w:val="-10"/>
        </w:rPr>
        <w:t> </w:t>
      </w:r>
      <w:r>
        <w:rPr>
          <w:spacing w:val="-4"/>
        </w:rPr>
        <w:t>This</w:t>
      </w:r>
      <w:r>
        <w:rPr>
          <w:spacing w:val="-10"/>
        </w:rPr>
        <w:t> </w:t>
      </w:r>
      <w:r>
        <w:rPr>
          <w:spacing w:val="-4"/>
        </w:rPr>
        <w:t>institute</w:t>
      </w:r>
      <w:r>
        <w:rPr>
          <w:spacing w:val="-9"/>
        </w:rPr>
        <w:t> </w:t>
      </w:r>
      <w:r>
        <w:rPr>
          <w:spacing w:val="-4"/>
        </w:rPr>
        <w:t>may</w:t>
      </w:r>
      <w:r>
        <w:rPr>
          <w:spacing w:val="-10"/>
        </w:rPr>
        <w:t> </w:t>
      </w:r>
      <w:r>
        <w:rPr>
          <w:spacing w:val="-4"/>
        </w:rPr>
        <w:t>serve</w:t>
      </w:r>
      <w:r>
        <w:rPr>
          <w:spacing w:val="-10"/>
        </w:rPr>
        <w:t> </w:t>
      </w:r>
      <w:r>
        <w:rPr>
          <w:spacing w:val="-4"/>
        </w:rPr>
        <w:t>the</w:t>
      </w:r>
      <w:r>
        <w:rPr>
          <w:spacing w:val="-10"/>
        </w:rPr>
        <w:t> </w:t>
      </w:r>
      <w:r>
        <w:rPr>
          <w:spacing w:val="-4"/>
        </w:rPr>
        <w:t>following </w:t>
      </w:r>
      <w:r>
        <w:rPr>
          <w:spacing w:val="-2"/>
        </w:rPr>
        <w:t>functions:</w:t>
      </w:r>
    </w:p>
    <w:p>
      <w:pPr>
        <w:pStyle w:val="ListParagraph"/>
        <w:numPr>
          <w:ilvl w:val="0"/>
          <w:numId w:val="33"/>
        </w:numPr>
        <w:tabs>
          <w:tab w:pos="679" w:val="left" w:leader="none"/>
        </w:tabs>
        <w:spacing w:line="266" w:lineRule="auto" w:before="80" w:after="0"/>
        <w:ind w:left="679" w:right="1077" w:hanging="360"/>
        <w:jc w:val="left"/>
        <w:rPr>
          <w:sz w:val="22"/>
        </w:rPr>
      </w:pPr>
      <w:r>
        <w:rPr>
          <w:sz w:val="22"/>
        </w:rPr>
        <w:t>Provide</w:t>
      </w:r>
      <w:r>
        <w:rPr>
          <w:spacing w:val="8"/>
          <w:sz w:val="22"/>
        </w:rPr>
        <w:t> </w:t>
      </w:r>
      <w:r>
        <w:rPr>
          <w:sz w:val="22"/>
        </w:rPr>
        <w:t>leadership</w:t>
      </w:r>
      <w:r>
        <w:rPr>
          <w:spacing w:val="8"/>
          <w:sz w:val="22"/>
        </w:rPr>
        <w:t> </w:t>
      </w:r>
      <w:r>
        <w:rPr>
          <w:sz w:val="22"/>
        </w:rPr>
        <w:t>and</w:t>
      </w:r>
      <w:r>
        <w:rPr>
          <w:spacing w:val="8"/>
          <w:sz w:val="22"/>
        </w:rPr>
        <w:t> </w:t>
      </w:r>
      <w:r>
        <w:rPr>
          <w:sz w:val="22"/>
        </w:rPr>
        <w:t>coordination</w:t>
      </w:r>
      <w:r>
        <w:rPr>
          <w:spacing w:val="8"/>
          <w:sz w:val="22"/>
        </w:rPr>
        <w:t> </w:t>
      </w:r>
      <w:r>
        <w:rPr>
          <w:sz w:val="22"/>
        </w:rPr>
        <w:t>of</w:t>
      </w:r>
      <w:r>
        <w:rPr>
          <w:spacing w:val="8"/>
          <w:sz w:val="22"/>
        </w:rPr>
        <w:t> </w:t>
      </w:r>
      <w:r>
        <w:rPr>
          <w:sz w:val="22"/>
        </w:rPr>
        <w:t>network- based open education resources</w:t>
      </w:r>
    </w:p>
    <w:p>
      <w:pPr>
        <w:pStyle w:val="ListParagraph"/>
        <w:numPr>
          <w:ilvl w:val="0"/>
          <w:numId w:val="33"/>
        </w:numPr>
        <w:tabs>
          <w:tab w:pos="679" w:val="left" w:leader="none"/>
        </w:tabs>
        <w:spacing w:line="266" w:lineRule="auto" w:before="0" w:after="0"/>
        <w:ind w:left="679" w:right="1077" w:hanging="360"/>
        <w:jc w:val="left"/>
        <w:rPr>
          <w:sz w:val="22"/>
        </w:rPr>
      </w:pPr>
      <w:r>
        <w:rPr>
          <w:spacing w:val="-2"/>
          <w:sz w:val="22"/>
        </w:rPr>
        <w:t>Select</w:t>
      </w:r>
      <w:r>
        <w:rPr>
          <w:spacing w:val="25"/>
          <w:sz w:val="22"/>
        </w:rPr>
        <w:t> </w:t>
      </w:r>
      <w:r>
        <w:rPr>
          <w:spacing w:val="-2"/>
          <w:sz w:val="22"/>
        </w:rPr>
        <w:t>institutional</w:t>
      </w:r>
      <w:r>
        <w:rPr>
          <w:spacing w:val="25"/>
          <w:sz w:val="22"/>
        </w:rPr>
        <w:t> </w:t>
      </w:r>
      <w:r>
        <w:rPr>
          <w:spacing w:val="-2"/>
          <w:sz w:val="22"/>
        </w:rPr>
        <w:t>collaborations</w:t>
      </w:r>
      <w:r>
        <w:rPr>
          <w:spacing w:val="25"/>
          <w:sz w:val="22"/>
        </w:rPr>
        <w:t> </w:t>
      </w:r>
      <w:r>
        <w:rPr>
          <w:spacing w:val="-2"/>
          <w:sz w:val="22"/>
        </w:rPr>
        <w:t>for</w:t>
      </w:r>
      <w:r>
        <w:rPr>
          <w:spacing w:val="25"/>
          <w:sz w:val="22"/>
        </w:rPr>
        <w:t> </w:t>
      </w:r>
      <w:r>
        <w:rPr>
          <w:spacing w:val="-2"/>
          <w:sz w:val="22"/>
        </w:rPr>
        <w:t>developing content</w:t>
      </w:r>
    </w:p>
    <w:p>
      <w:pPr>
        <w:pStyle w:val="ListParagraph"/>
        <w:numPr>
          <w:ilvl w:val="0"/>
          <w:numId w:val="33"/>
        </w:numPr>
        <w:tabs>
          <w:tab w:pos="679" w:val="left" w:leader="none"/>
        </w:tabs>
        <w:spacing w:line="251" w:lineRule="exact" w:before="0" w:after="0"/>
        <w:ind w:left="679" w:right="0" w:hanging="360"/>
        <w:jc w:val="left"/>
        <w:rPr>
          <w:sz w:val="22"/>
        </w:rPr>
      </w:pPr>
      <w:r>
        <w:rPr>
          <w:spacing w:val="-2"/>
          <w:sz w:val="22"/>
        </w:rPr>
        <w:t>Develop</w:t>
      </w:r>
      <w:r>
        <w:rPr>
          <w:spacing w:val="-4"/>
          <w:sz w:val="22"/>
        </w:rPr>
        <w:t> </w:t>
      </w:r>
      <w:r>
        <w:rPr>
          <w:spacing w:val="-2"/>
          <w:sz w:val="22"/>
        </w:rPr>
        <w:t>adoption</w:t>
      </w:r>
      <w:r>
        <w:rPr>
          <w:spacing w:val="-4"/>
          <w:sz w:val="22"/>
        </w:rPr>
        <w:t> </w:t>
      </w:r>
      <w:r>
        <w:rPr>
          <w:spacing w:val="-2"/>
          <w:sz w:val="22"/>
        </w:rPr>
        <w:t>support</w:t>
      </w:r>
      <w:r>
        <w:rPr>
          <w:spacing w:val="-4"/>
          <w:sz w:val="22"/>
        </w:rPr>
        <w:t> </w:t>
      </w:r>
      <w:r>
        <w:rPr>
          <w:spacing w:val="-2"/>
          <w:sz w:val="22"/>
        </w:rPr>
        <w:t>strategies</w:t>
      </w:r>
    </w:p>
    <w:p>
      <w:pPr>
        <w:pStyle w:val="ListParagraph"/>
        <w:numPr>
          <w:ilvl w:val="0"/>
          <w:numId w:val="33"/>
        </w:numPr>
        <w:tabs>
          <w:tab w:pos="679" w:val="left" w:leader="none"/>
        </w:tabs>
        <w:spacing w:line="266" w:lineRule="auto" w:before="25" w:after="0"/>
        <w:ind w:left="679" w:right="1078" w:hanging="360"/>
        <w:jc w:val="left"/>
        <w:rPr>
          <w:sz w:val="22"/>
        </w:rPr>
      </w:pPr>
      <w:r>
        <w:rPr>
          <w:sz w:val="22"/>
        </w:rPr>
        <w:t>Recommend</w:t>
      </w:r>
      <w:r>
        <w:rPr>
          <w:spacing w:val="32"/>
          <w:sz w:val="22"/>
        </w:rPr>
        <w:t> </w:t>
      </w:r>
      <w:r>
        <w:rPr>
          <w:sz w:val="22"/>
        </w:rPr>
        <w:t>and</w:t>
      </w:r>
      <w:r>
        <w:rPr>
          <w:spacing w:val="32"/>
          <w:sz w:val="22"/>
        </w:rPr>
        <w:t> </w:t>
      </w:r>
      <w:r>
        <w:rPr>
          <w:sz w:val="22"/>
        </w:rPr>
        <w:t>monitor</w:t>
      </w:r>
      <w:r>
        <w:rPr>
          <w:spacing w:val="32"/>
          <w:sz w:val="22"/>
        </w:rPr>
        <w:t> </w:t>
      </w:r>
      <w:r>
        <w:rPr>
          <w:sz w:val="22"/>
        </w:rPr>
        <w:t>standards</w:t>
      </w:r>
      <w:r>
        <w:rPr>
          <w:spacing w:val="32"/>
          <w:sz w:val="22"/>
        </w:rPr>
        <w:t> </w:t>
      </w:r>
      <w:r>
        <w:rPr>
          <w:sz w:val="22"/>
        </w:rPr>
        <w:t>for</w:t>
      </w:r>
      <w:r>
        <w:rPr>
          <w:spacing w:val="32"/>
          <w:sz w:val="22"/>
        </w:rPr>
        <w:t> </w:t>
      </w:r>
      <w:r>
        <w:rPr>
          <w:sz w:val="22"/>
        </w:rPr>
        <w:t>content development and adoption</w:t>
      </w:r>
    </w:p>
    <w:p>
      <w:pPr>
        <w:pStyle w:val="ListParagraph"/>
        <w:numPr>
          <w:ilvl w:val="0"/>
          <w:numId w:val="33"/>
        </w:numPr>
        <w:tabs>
          <w:tab w:pos="679" w:val="left" w:leader="none"/>
        </w:tabs>
        <w:spacing w:line="266" w:lineRule="auto" w:before="0" w:after="0"/>
        <w:ind w:left="679" w:right="1077" w:hanging="360"/>
        <w:jc w:val="left"/>
        <w:rPr>
          <w:sz w:val="22"/>
        </w:rPr>
      </w:pPr>
      <w:r>
        <w:rPr>
          <w:spacing w:val="-4"/>
          <w:sz w:val="22"/>
        </w:rPr>
        <w:t>Advise</w:t>
      </w:r>
      <w:r>
        <w:rPr>
          <w:spacing w:val="23"/>
          <w:sz w:val="22"/>
        </w:rPr>
        <w:t> </w:t>
      </w:r>
      <w:r>
        <w:rPr>
          <w:spacing w:val="-4"/>
          <w:sz w:val="22"/>
        </w:rPr>
        <w:t>on</w:t>
      </w:r>
      <w:r>
        <w:rPr>
          <w:spacing w:val="24"/>
          <w:sz w:val="22"/>
        </w:rPr>
        <w:t> </w:t>
      </w:r>
      <w:r>
        <w:rPr>
          <w:spacing w:val="-4"/>
          <w:sz w:val="22"/>
        </w:rPr>
        <w:t>policy</w:t>
      </w:r>
      <w:r>
        <w:rPr>
          <w:spacing w:val="23"/>
          <w:sz w:val="22"/>
        </w:rPr>
        <w:t> </w:t>
      </w:r>
      <w:r>
        <w:rPr>
          <w:spacing w:val="-4"/>
          <w:sz w:val="22"/>
        </w:rPr>
        <w:t>implications</w:t>
      </w:r>
      <w:r>
        <w:rPr>
          <w:spacing w:val="24"/>
          <w:sz w:val="22"/>
        </w:rPr>
        <w:t> </w:t>
      </w:r>
      <w:r>
        <w:rPr>
          <w:spacing w:val="-4"/>
          <w:sz w:val="22"/>
        </w:rPr>
        <w:t>vis-à-vis</w:t>
      </w:r>
      <w:r>
        <w:rPr>
          <w:spacing w:val="24"/>
          <w:sz w:val="22"/>
        </w:rPr>
        <w:t> </w:t>
      </w:r>
      <w:r>
        <w:rPr>
          <w:spacing w:val="-4"/>
          <w:sz w:val="22"/>
        </w:rPr>
        <w:t>licensing, </w:t>
      </w:r>
      <w:r>
        <w:rPr>
          <w:sz w:val="22"/>
        </w:rPr>
        <w:t>intellectual</w:t>
      </w:r>
      <w:r>
        <w:rPr>
          <w:spacing w:val="-10"/>
          <w:sz w:val="22"/>
        </w:rPr>
        <w:t> </w:t>
      </w:r>
      <w:r>
        <w:rPr>
          <w:sz w:val="22"/>
        </w:rPr>
        <w:t>property</w:t>
      </w:r>
      <w:r>
        <w:rPr>
          <w:spacing w:val="-10"/>
          <w:sz w:val="22"/>
        </w:rPr>
        <w:t> </w:t>
      </w:r>
      <w:r>
        <w:rPr>
          <w:sz w:val="22"/>
        </w:rPr>
        <w:t>rights</w:t>
      </w:r>
      <w:r>
        <w:rPr>
          <w:spacing w:val="-10"/>
          <w:sz w:val="22"/>
        </w:rPr>
        <w:t> </w:t>
      </w:r>
      <w:r>
        <w:rPr>
          <w:sz w:val="22"/>
        </w:rPr>
        <w:t>etc.</w:t>
      </w:r>
    </w:p>
    <w:p>
      <w:pPr>
        <w:pStyle w:val="ListParagraph"/>
        <w:numPr>
          <w:ilvl w:val="0"/>
          <w:numId w:val="33"/>
        </w:numPr>
        <w:tabs>
          <w:tab w:pos="679" w:val="left" w:leader="none"/>
        </w:tabs>
        <w:spacing w:line="266" w:lineRule="auto" w:before="0" w:after="0"/>
        <w:ind w:left="679" w:right="1077" w:hanging="360"/>
        <w:jc w:val="left"/>
        <w:rPr>
          <w:sz w:val="22"/>
        </w:rPr>
      </w:pPr>
      <w:r>
        <w:rPr>
          <w:sz w:val="22"/>
        </w:rPr>
        <w:t>Identify</w:t>
      </w:r>
      <w:r>
        <w:rPr>
          <w:spacing w:val="-4"/>
          <w:sz w:val="22"/>
        </w:rPr>
        <w:t> </w:t>
      </w:r>
      <w:r>
        <w:rPr>
          <w:sz w:val="22"/>
        </w:rPr>
        <w:t>and</w:t>
      </w:r>
      <w:r>
        <w:rPr>
          <w:spacing w:val="-4"/>
          <w:sz w:val="22"/>
        </w:rPr>
        <w:t> </w:t>
      </w:r>
      <w:r>
        <w:rPr>
          <w:sz w:val="22"/>
        </w:rPr>
        <w:t>set</w:t>
      </w:r>
      <w:r>
        <w:rPr>
          <w:spacing w:val="-3"/>
          <w:sz w:val="22"/>
        </w:rPr>
        <w:t> </w:t>
      </w:r>
      <w:r>
        <w:rPr>
          <w:sz w:val="22"/>
        </w:rPr>
        <w:t>benchmarks</w:t>
      </w:r>
      <w:r>
        <w:rPr>
          <w:spacing w:val="-4"/>
          <w:sz w:val="22"/>
        </w:rPr>
        <w:t> </w:t>
      </w:r>
      <w:r>
        <w:rPr>
          <w:sz w:val="22"/>
        </w:rPr>
        <w:t>based</w:t>
      </w:r>
      <w:r>
        <w:rPr>
          <w:spacing w:val="-4"/>
          <w:sz w:val="22"/>
        </w:rPr>
        <w:t> </w:t>
      </w:r>
      <w:r>
        <w:rPr>
          <w:sz w:val="22"/>
        </w:rPr>
        <w:t>on</w:t>
      </w:r>
      <w:r>
        <w:rPr>
          <w:spacing w:val="-3"/>
          <w:sz w:val="22"/>
        </w:rPr>
        <w:t> </w:t>
      </w:r>
      <w:r>
        <w:rPr>
          <w:sz w:val="22"/>
        </w:rPr>
        <w:t>global</w:t>
      </w:r>
      <w:r>
        <w:rPr>
          <w:spacing w:val="-4"/>
          <w:sz w:val="22"/>
        </w:rPr>
        <w:t> </w:t>
      </w:r>
      <w:r>
        <w:rPr>
          <w:sz w:val="22"/>
        </w:rPr>
        <w:t>best </w:t>
      </w:r>
      <w:r>
        <w:rPr>
          <w:spacing w:val="-2"/>
          <w:sz w:val="22"/>
        </w:rPr>
        <w:t>practices</w:t>
      </w:r>
    </w:p>
    <w:p>
      <w:pPr>
        <w:pStyle w:val="ListParagraph"/>
        <w:numPr>
          <w:ilvl w:val="0"/>
          <w:numId w:val="33"/>
        </w:numPr>
        <w:tabs>
          <w:tab w:pos="679" w:val="left" w:leader="none"/>
        </w:tabs>
        <w:spacing w:line="266" w:lineRule="auto" w:before="0" w:after="0"/>
        <w:ind w:left="679" w:right="1077" w:hanging="360"/>
        <w:jc w:val="left"/>
        <w:rPr>
          <w:sz w:val="22"/>
        </w:rPr>
      </w:pPr>
      <w:r>
        <w:rPr>
          <w:sz w:val="22"/>
        </w:rPr>
        <w:t>Establish</w:t>
      </w:r>
      <w:r>
        <w:rPr>
          <w:spacing w:val="3"/>
          <w:sz w:val="22"/>
        </w:rPr>
        <w:t> </w:t>
      </w:r>
      <w:r>
        <w:rPr>
          <w:sz w:val="22"/>
        </w:rPr>
        <w:t>relationships</w:t>
      </w:r>
      <w:r>
        <w:rPr>
          <w:spacing w:val="3"/>
          <w:sz w:val="22"/>
        </w:rPr>
        <w:t> </w:t>
      </w:r>
      <w:r>
        <w:rPr>
          <w:sz w:val="22"/>
        </w:rPr>
        <w:t>with</w:t>
      </w:r>
      <w:r>
        <w:rPr>
          <w:spacing w:val="3"/>
          <w:sz w:val="22"/>
        </w:rPr>
        <w:t> </w:t>
      </w:r>
      <w:r>
        <w:rPr>
          <w:sz w:val="22"/>
        </w:rPr>
        <w:t>global</w:t>
      </w:r>
      <w:r>
        <w:rPr>
          <w:spacing w:val="3"/>
          <w:sz w:val="22"/>
        </w:rPr>
        <w:t> </w:t>
      </w:r>
      <w:r>
        <w:rPr>
          <w:sz w:val="22"/>
        </w:rPr>
        <w:t>OA</w:t>
      </w:r>
      <w:r>
        <w:rPr>
          <w:spacing w:val="3"/>
          <w:sz w:val="22"/>
        </w:rPr>
        <w:t> </w:t>
      </w:r>
      <w:r>
        <w:rPr>
          <w:sz w:val="22"/>
        </w:rPr>
        <w:t>and</w:t>
      </w:r>
      <w:r>
        <w:rPr>
          <w:spacing w:val="3"/>
          <w:sz w:val="22"/>
        </w:rPr>
        <w:t> </w:t>
      </w:r>
      <w:r>
        <w:rPr>
          <w:sz w:val="22"/>
        </w:rPr>
        <w:t>OER </w:t>
      </w:r>
      <w:r>
        <w:rPr>
          <w:spacing w:val="-2"/>
          <w:sz w:val="22"/>
        </w:rPr>
        <w:t>initiatives.</w:t>
      </w:r>
    </w:p>
    <w:p>
      <w:pPr>
        <w:spacing w:after="0" w:line="266" w:lineRule="auto"/>
        <w:jc w:val="left"/>
        <w:rPr>
          <w:sz w:val="22"/>
        </w:rPr>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080" w:firstLine="663"/>
        <w:jc w:val="right"/>
      </w:pPr>
      <w:r>
        <w:rPr/>
        <mc:AlternateContent>
          <mc:Choice Requires="wps">
            <w:drawing>
              <wp:anchor distT="0" distB="0" distL="0" distR="0" allowOverlap="1" layoutInCell="1" locked="0" behindDoc="0" simplePos="0" relativeHeight="15770624">
                <wp:simplePos x="0" y="0"/>
                <wp:positionH relativeFrom="page">
                  <wp:posOffset>0</wp:posOffset>
                </wp:positionH>
                <wp:positionV relativeFrom="paragraph">
                  <wp:posOffset>-2277393</wp:posOffset>
                </wp:positionV>
                <wp:extent cx="7560309" cy="1752600"/>
                <wp:effectExtent l="0" t="0" r="0" b="0"/>
                <wp:wrapNone/>
                <wp:docPr id="914" name="Group 914"/>
                <wp:cNvGraphicFramePr>
                  <a:graphicFrameLocks/>
                </wp:cNvGraphicFramePr>
                <a:graphic>
                  <a:graphicData uri="http://schemas.microsoft.com/office/word/2010/wordprocessingGroup">
                    <wpg:wgp>
                      <wpg:cNvPr id="914" name="Group 914"/>
                      <wpg:cNvGrpSpPr/>
                      <wpg:grpSpPr>
                        <a:xfrm>
                          <a:off x="0" y="0"/>
                          <a:ext cx="7560309" cy="1752600"/>
                          <a:chExt cx="7560309" cy="1752600"/>
                        </a:xfrm>
                      </wpg:grpSpPr>
                      <pic:pic>
                        <pic:nvPicPr>
                          <pic:cNvPr id="915" name="Image 915"/>
                          <pic:cNvPicPr/>
                        </pic:nvPicPr>
                        <pic:blipFill>
                          <a:blip r:embed="rId612" cstate="print"/>
                          <a:stretch>
                            <a:fillRect/>
                          </a:stretch>
                        </pic:blipFill>
                        <pic:spPr>
                          <a:xfrm>
                            <a:off x="0" y="0"/>
                            <a:ext cx="7559999" cy="1752562"/>
                          </a:xfrm>
                          <a:prstGeom prst="rect">
                            <a:avLst/>
                          </a:prstGeom>
                        </pic:spPr>
                      </pic:pic>
                      <wps:wsp>
                        <wps:cNvPr id="916" name="Textbox 916"/>
                        <wps:cNvSpPr txBox="1"/>
                        <wps:spPr>
                          <a:xfrm>
                            <a:off x="685800" y="598687"/>
                            <a:ext cx="5285105" cy="1019810"/>
                          </a:xfrm>
                          <a:prstGeom prst="rect">
                            <a:avLst/>
                          </a:prstGeom>
                        </wps:spPr>
                        <wps:txbx>
                          <w:txbxContent>
                            <w:p>
                              <w:pPr>
                                <w:spacing w:line="247" w:lineRule="auto" w:before="0"/>
                                <w:ind w:left="0" w:right="18" w:firstLine="0"/>
                                <w:jc w:val="left"/>
                                <w:rPr>
                                  <w:rFonts w:ascii="Trebuchet MS"/>
                                  <w:b/>
                                  <w:sz w:val="68"/>
                                </w:rPr>
                              </w:pPr>
                              <w:r>
                                <w:rPr>
                                  <w:rFonts w:ascii="Trebuchet MS"/>
                                  <w:b/>
                                  <w:color w:val="FFFFFF"/>
                                  <w:sz w:val="68"/>
                                </w:rPr>
                                <w:t>More</w:t>
                              </w:r>
                              <w:r>
                                <w:rPr>
                                  <w:rFonts w:ascii="Trebuchet MS"/>
                                  <w:b/>
                                  <w:color w:val="FFFFFF"/>
                                  <w:spacing w:val="-48"/>
                                  <w:sz w:val="68"/>
                                </w:rPr>
                                <w:t> </w:t>
                              </w:r>
                              <w:r>
                                <w:rPr>
                                  <w:rFonts w:ascii="Trebuchet MS"/>
                                  <w:b/>
                                  <w:color w:val="FFFFFF"/>
                                  <w:sz w:val="68"/>
                                </w:rPr>
                                <w:t>Talented</w:t>
                              </w:r>
                              <w:r>
                                <w:rPr>
                                  <w:rFonts w:ascii="Trebuchet MS"/>
                                  <w:b/>
                                  <w:color w:val="FFFFFF"/>
                                  <w:spacing w:val="-37"/>
                                  <w:sz w:val="68"/>
                                </w:rPr>
                                <w:t> </w:t>
                              </w:r>
                              <w:r>
                                <w:rPr>
                                  <w:rFonts w:ascii="Trebuchet MS"/>
                                  <w:b/>
                                  <w:color w:val="FFFFFF"/>
                                  <w:sz w:val="68"/>
                                </w:rPr>
                                <w:t>Students</w:t>
                              </w:r>
                              <w:r>
                                <w:rPr>
                                  <w:rFonts w:ascii="Trebuchet MS"/>
                                  <w:b/>
                                  <w:color w:val="FFFFFF"/>
                                  <w:spacing w:val="-37"/>
                                  <w:sz w:val="68"/>
                                </w:rPr>
                                <w:t> </w:t>
                              </w:r>
                              <w:r>
                                <w:rPr>
                                  <w:rFonts w:ascii="Trebuchet MS"/>
                                  <w:b/>
                                  <w:color w:val="FFFFFF"/>
                                  <w:sz w:val="68"/>
                                </w:rPr>
                                <w:t>in Maths and Science</w:t>
                              </w:r>
                            </w:p>
                          </w:txbxContent>
                        </wps:txbx>
                        <wps:bodyPr wrap="square" lIns="0" tIns="0" rIns="0" bIns="0" rtlCol="0">
                          <a:noAutofit/>
                        </wps:bodyPr>
                      </wps:wsp>
                      <wps:wsp>
                        <wps:cNvPr id="917" name="Textbox 917"/>
                        <wps:cNvSpPr txBox="1"/>
                        <wps:spPr>
                          <a:xfrm>
                            <a:off x="6162856" y="1439105"/>
                            <a:ext cx="724535" cy="158750"/>
                          </a:xfrm>
                          <a:prstGeom prst="rect">
                            <a:avLst/>
                          </a:prstGeom>
                        </wps:spPr>
                        <wps:txbx>
                          <w:txbxContent>
                            <w:p>
                              <w:pPr>
                                <w:spacing w:line="238" w:lineRule="exact" w:before="0"/>
                                <w:ind w:left="0" w:right="0" w:firstLine="0"/>
                                <w:jc w:val="left"/>
                                <w:rPr>
                                  <w:b/>
                                  <w:sz w:val="22"/>
                                </w:rPr>
                              </w:pPr>
                              <w:r>
                                <w:rPr>
                                  <w:b/>
                                  <w:color w:val="FFFFFF"/>
                                  <w:spacing w:val="-4"/>
                                  <w:sz w:val="22"/>
                                </w:rPr>
                                <w:t>May</w:t>
                              </w:r>
                              <w:r>
                                <w:rPr>
                                  <w:b/>
                                  <w:color w:val="FFFFFF"/>
                                  <w:spacing w:val="-8"/>
                                  <w:sz w:val="22"/>
                                </w:rPr>
                                <w:t> </w:t>
                              </w:r>
                              <w:r>
                                <w:rPr>
                                  <w:b/>
                                  <w:color w:val="FFFFFF"/>
                                  <w:spacing w:val="-4"/>
                                  <w:sz w:val="22"/>
                                </w:rPr>
                                <w:t>2,</w:t>
                              </w:r>
                              <w:r>
                                <w:rPr>
                                  <w:b/>
                                  <w:color w:val="FFFFFF"/>
                                  <w:spacing w:val="-7"/>
                                  <w:sz w:val="22"/>
                                </w:rPr>
                                <w:t> </w:t>
                              </w:r>
                              <w:r>
                                <w:rPr>
                                  <w:b/>
                                  <w:color w:val="FFFFFF"/>
                                  <w:spacing w:val="-4"/>
                                  <w:sz w:val="22"/>
                                </w:rPr>
                                <w:t>2008</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70624" id="docshapegroup907" coordorigin="0,-3586" coordsize="11906,2760">
                <v:shape style="position:absolute;left:0;top:-3587;width:11906;height:2760" type="#_x0000_t75" id="docshape908" stroked="false">
                  <v:imagedata r:id="rId612" o:title=""/>
                </v:shape>
                <v:shape style="position:absolute;left:1080;top:-2644;width:8323;height:1606" type="#_x0000_t202" id="docshape909" filled="false" stroked="false">
                  <v:textbox inset="0,0,0,0">
                    <w:txbxContent>
                      <w:p>
                        <w:pPr>
                          <w:spacing w:line="247" w:lineRule="auto" w:before="0"/>
                          <w:ind w:left="0" w:right="18" w:firstLine="0"/>
                          <w:jc w:val="left"/>
                          <w:rPr>
                            <w:rFonts w:ascii="Trebuchet MS"/>
                            <w:b/>
                            <w:sz w:val="68"/>
                          </w:rPr>
                        </w:pPr>
                        <w:r>
                          <w:rPr>
                            <w:rFonts w:ascii="Trebuchet MS"/>
                            <w:b/>
                            <w:color w:val="FFFFFF"/>
                            <w:sz w:val="68"/>
                          </w:rPr>
                          <w:t>More</w:t>
                        </w:r>
                        <w:r>
                          <w:rPr>
                            <w:rFonts w:ascii="Trebuchet MS"/>
                            <w:b/>
                            <w:color w:val="FFFFFF"/>
                            <w:spacing w:val="-48"/>
                            <w:sz w:val="68"/>
                          </w:rPr>
                          <w:t> </w:t>
                        </w:r>
                        <w:r>
                          <w:rPr>
                            <w:rFonts w:ascii="Trebuchet MS"/>
                            <w:b/>
                            <w:color w:val="FFFFFF"/>
                            <w:sz w:val="68"/>
                          </w:rPr>
                          <w:t>Talented</w:t>
                        </w:r>
                        <w:r>
                          <w:rPr>
                            <w:rFonts w:ascii="Trebuchet MS"/>
                            <w:b/>
                            <w:color w:val="FFFFFF"/>
                            <w:spacing w:val="-37"/>
                            <w:sz w:val="68"/>
                          </w:rPr>
                          <w:t> </w:t>
                        </w:r>
                        <w:r>
                          <w:rPr>
                            <w:rFonts w:ascii="Trebuchet MS"/>
                            <w:b/>
                            <w:color w:val="FFFFFF"/>
                            <w:sz w:val="68"/>
                          </w:rPr>
                          <w:t>Students</w:t>
                        </w:r>
                        <w:r>
                          <w:rPr>
                            <w:rFonts w:ascii="Trebuchet MS"/>
                            <w:b/>
                            <w:color w:val="FFFFFF"/>
                            <w:spacing w:val="-37"/>
                            <w:sz w:val="68"/>
                          </w:rPr>
                          <w:t> </w:t>
                        </w:r>
                        <w:r>
                          <w:rPr>
                            <w:rFonts w:ascii="Trebuchet MS"/>
                            <w:b/>
                            <w:color w:val="FFFFFF"/>
                            <w:sz w:val="68"/>
                          </w:rPr>
                          <w:t>in Maths and Science</w:t>
                        </w:r>
                      </w:p>
                    </w:txbxContent>
                  </v:textbox>
                  <w10:wrap type="none"/>
                </v:shape>
                <v:shape style="position:absolute;left:9705;top:-1321;width:1141;height:250" type="#_x0000_t202" id="docshape910" filled="false" stroked="false">
                  <v:textbox inset="0,0,0,0">
                    <w:txbxContent>
                      <w:p>
                        <w:pPr>
                          <w:spacing w:line="238" w:lineRule="exact" w:before="0"/>
                          <w:ind w:left="0" w:right="0" w:firstLine="0"/>
                          <w:jc w:val="left"/>
                          <w:rPr>
                            <w:b/>
                            <w:sz w:val="22"/>
                          </w:rPr>
                        </w:pPr>
                        <w:r>
                          <w:rPr>
                            <w:b/>
                            <w:color w:val="FFFFFF"/>
                            <w:spacing w:val="-4"/>
                            <w:sz w:val="22"/>
                          </w:rPr>
                          <w:t>May</w:t>
                        </w:r>
                        <w:r>
                          <w:rPr>
                            <w:b/>
                            <w:color w:val="FFFFFF"/>
                            <w:spacing w:val="-8"/>
                            <w:sz w:val="22"/>
                          </w:rPr>
                          <w:t> </w:t>
                        </w:r>
                        <w:r>
                          <w:rPr>
                            <w:b/>
                            <w:color w:val="FFFFFF"/>
                            <w:spacing w:val="-4"/>
                            <w:sz w:val="22"/>
                          </w:rPr>
                          <w:t>2,</w:t>
                        </w:r>
                        <w:r>
                          <w:rPr>
                            <w:b/>
                            <w:color w:val="FFFFFF"/>
                            <w:spacing w:val="-7"/>
                            <w:sz w:val="22"/>
                          </w:rPr>
                          <w:t> </w:t>
                        </w:r>
                        <w:r>
                          <w:rPr>
                            <w:b/>
                            <w:color w:val="FFFFFF"/>
                            <w:spacing w:val="-4"/>
                            <w:sz w:val="22"/>
                          </w:rPr>
                          <w:t>2008</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7712">
                <wp:simplePos x="0" y="0"/>
                <wp:positionH relativeFrom="page">
                  <wp:posOffset>685799</wp:posOffset>
                </wp:positionH>
                <wp:positionV relativeFrom="paragraph">
                  <wp:posOffset>-36774</wp:posOffset>
                </wp:positionV>
                <wp:extent cx="421640" cy="75755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421640" cy="757555"/>
                        </a:xfrm>
                        <a:prstGeom prst="rect">
                          <a:avLst/>
                        </a:prstGeom>
                      </wps:spPr>
                      <wps:txbx>
                        <w:txbxContent>
                          <w:p>
                            <w:pPr>
                              <w:spacing w:line="1135" w:lineRule="exact" w:before="0"/>
                              <w:ind w:left="0" w:right="0" w:firstLine="0"/>
                              <w:jc w:val="left"/>
                              <w:rPr>
                                <w:sz w:val="106"/>
                              </w:rPr>
                            </w:pPr>
                            <w:r>
                              <w:rPr>
                                <w:color w:val="9CBF3B"/>
                                <w:spacing w:val="-10"/>
                                <w:w w:val="85"/>
                                <w:sz w:val="106"/>
                              </w:rPr>
                              <w:t>A</w:t>
                            </w:r>
                          </w:p>
                        </w:txbxContent>
                      </wps:txbx>
                      <wps:bodyPr wrap="square" lIns="0" tIns="0" rIns="0" bIns="0" rtlCol="0">
                        <a:noAutofit/>
                      </wps:bodyPr>
                    </wps:wsp>
                  </a:graphicData>
                </a:graphic>
              </wp:anchor>
            </w:drawing>
          </mc:Choice>
          <mc:Fallback>
            <w:pict>
              <v:shape style="position:absolute;margin-left:53.999981pt;margin-top:-2.89566pt;width:33.2pt;height:59.65pt;mso-position-horizontal-relative:page;mso-position-vertical-relative:paragraph;z-index:-23968768" type="#_x0000_t202" id="docshape911" filled="false" stroked="false">
                <v:textbox inset="0,0,0,0">
                  <w:txbxContent>
                    <w:p>
                      <w:pPr>
                        <w:spacing w:line="1135" w:lineRule="exact" w:before="0"/>
                        <w:ind w:left="0" w:right="0" w:firstLine="0"/>
                        <w:jc w:val="left"/>
                        <w:rPr>
                          <w:sz w:val="106"/>
                        </w:rPr>
                      </w:pPr>
                      <w:r>
                        <w:rPr>
                          <w:color w:val="9CBF3B"/>
                          <w:spacing w:val="-10"/>
                          <w:w w:val="85"/>
                          <w:sz w:val="106"/>
                        </w:rPr>
                        <w:t>A</w:t>
                      </w:r>
                    </w:p>
                  </w:txbxContent>
                </v:textbox>
                <w10:wrap type="none"/>
              </v:shape>
            </w:pict>
          </mc:Fallback>
        </mc:AlternateContent>
      </w:r>
      <w:r>
        <w:rPr>
          <w:spacing w:val="-6"/>
        </w:rPr>
        <w:t>strong</w:t>
      </w:r>
      <w:r>
        <w:rPr>
          <w:spacing w:val="-15"/>
        </w:rPr>
        <w:t> </w:t>
      </w:r>
      <w:r>
        <w:rPr>
          <w:spacing w:val="-6"/>
        </w:rPr>
        <w:t>foundation</w:t>
      </w:r>
      <w:r>
        <w:rPr>
          <w:spacing w:val="-15"/>
        </w:rPr>
        <w:t> </w:t>
      </w:r>
      <w:r>
        <w:rPr>
          <w:spacing w:val="-6"/>
        </w:rPr>
        <w:t>in</w:t>
      </w:r>
      <w:r>
        <w:rPr>
          <w:spacing w:val="-15"/>
        </w:rPr>
        <w:t> </w:t>
      </w:r>
      <w:r>
        <w:rPr>
          <w:spacing w:val="-6"/>
        </w:rPr>
        <w:t>the</w:t>
      </w:r>
      <w:r>
        <w:rPr>
          <w:spacing w:val="-15"/>
        </w:rPr>
        <w:t> </w:t>
      </w:r>
      <w:r>
        <w:rPr>
          <w:spacing w:val="-6"/>
        </w:rPr>
        <w:t>pure</w:t>
      </w:r>
      <w:r>
        <w:rPr>
          <w:spacing w:val="-15"/>
        </w:rPr>
        <w:t> </w:t>
      </w:r>
      <w:r>
        <w:rPr>
          <w:spacing w:val="-6"/>
        </w:rPr>
        <w:t>sciences</w:t>
      </w:r>
      <w:r>
        <w:rPr>
          <w:spacing w:val="-15"/>
        </w:rPr>
        <w:t> </w:t>
      </w:r>
      <w:r>
        <w:rPr>
          <w:spacing w:val="-6"/>
        </w:rPr>
        <w:t>is</w:t>
      </w:r>
      <w:r>
        <w:rPr>
          <w:spacing w:val="-15"/>
        </w:rPr>
        <w:t> </w:t>
      </w:r>
      <w:r>
        <w:rPr>
          <w:spacing w:val="-6"/>
        </w:rPr>
        <w:t>essential </w:t>
      </w:r>
      <w:r>
        <w:rPr/>
        <w:t>to</w:t>
      </w:r>
      <w:r>
        <w:rPr>
          <w:spacing w:val="-19"/>
        </w:rPr>
        <w:t> </w:t>
      </w:r>
      <w:r>
        <w:rPr/>
        <w:t>transform</w:t>
      </w:r>
      <w:r>
        <w:rPr>
          <w:spacing w:val="-19"/>
        </w:rPr>
        <w:t> </w:t>
      </w:r>
      <w:r>
        <w:rPr/>
        <w:t>India</w:t>
      </w:r>
      <w:r>
        <w:rPr>
          <w:spacing w:val="-19"/>
        </w:rPr>
        <w:t> </w:t>
      </w:r>
      <w:r>
        <w:rPr/>
        <w:t>into</w:t>
      </w:r>
      <w:r>
        <w:rPr>
          <w:spacing w:val="-19"/>
        </w:rPr>
        <w:t> </w:t>
      </w:r>
      <w:r>
        <w:rPr/>
        <w:t>a</w:t>
      </w:r>
      <w:r>
        <w:rPr>
          <w:spacing w:val="-19"/>
        </w:rPr>
        <w:t> </w:t>
      </w:r>
      <w:r>
        <w:rPr/>
        <w:t>knowledge</w:t>
      </w:r>
      <w:r>
        <w:rPr>
          <w:spacing w:val="-19"/>
        </w:rPr>
        <w:t> </w:t>
      </w:r>
      <w:r>
        <w:rPr/>
        <w:t>superpower. Unfortunately,</w:t>
      </w:r>
      <w:r>
        <w:rPr>
          <w:spacing w:val="40"/>
        </w:rPr>
        <w:t> </w:t>
      </w:r>
      <w:r>
        <w:rPr/>
        <w:t>as</w:t>
      </w:r>
      <w:r>
        <w:rPr>
          <w:spacing w:val="40"/>
        </w:rPr>
        <w:t> </w:t>
      </w:r>
      <w:r>
        <w:rPr/>
        <w:t>the</w:t>
      </w:r>
      <w:r>
        <w:rPr>
          <w:spacing w:val="40"/>
        </w:rPr>
        <w:t> </w:t>
      </w:r>
      <w:r>
        <w:rPr/>
        <w:t>economy</w:t>
      </w:r>
      <w:r>
        <w:rPr>
          <w:spacing w:val="40"/>
        </w:rPr>
        <w:t> </w:t>
      </w:r>
      <w:r>
        <w:rPr/>
        <w:t>grows,</w:t>
      </w:r>
      <w:r>
        <w:rPr>
          <w:spacing w:val="40"/>
        </w:rPr>
        <w:t> </w:t>
      </w:r>
      <w:r>
        <w:rPr/>
        <w:t>fewer students</w:t>
      </w:r>
      <w:r>
        <w:rPr>
          <w:spacing w:val="-5"/>
        </w:rPr>
        <w:t> </w:t>
      </w:r>
      <w:r>
        <w:rPr/>
        <w:t>are</w:t>
      </w:r>
      <w:r>
        <w:rPr>
          <w:spacing w:val="-5"/>
        </w:rPr>
        <w:t> </w:t>
      </w:r>
      <w:r>
        <w:rPr/>
        <w:t>opting</w:t>
      </w:r>
      <w:r>
        <w:rPr>
          <w:spacing w:val="-5"/>
        </w:rPr>
        <w:t> </w:t>
      </w:r>
      <w:r>
        <w:rPr/>
        <w:t>for</w:t>
      </w:r>
      <w:r>
        <w:rPr>
          <w:spacing w:val="-5"/>
        </w:rPr>
        <w:t> </w:t>
      </w:r>
      <w:r>
        <w:rPr/>
        <w:t>the</w:t>
      </w:r>
      <w:r>
        <w:rPr>
          <w:spacing w:val="-5"/>
        </w:rPr>
        <w:t> </w:t>
      </w:r>
      <w:r>
        <w:rPr/>
        <w:t>pure</w:t>
      </w:r>
      <w:r>
        <w:rPr>
          <w:spacing w:val="-5"/>
        </w:rPr>
        <w:t> </w:t>
      </w:r>
      <w:r>
        <w:rPr/>
        <w:t>sciences.</w:t>
      </w:r>
      <w:r>
        <w:rPr>
          <w:spacing w:val="-12"/>
        </w:rPr>
        <w:t> </w:t>
      </w:r>
      <w:r>
        <w:rPr/>
        <w:t>This</w:t>
      </w:r>
      <w:r>
        <w:rPr>
          <w:spacing w:val="-5"/>
        </w:rPr>
        <w:t> </w:t>
      </w:r>
      <w:r>
        <w:rPr/>
        <w:t>has</w:t>
      </w:r>
      <w:r>
        <w:rPr>
          <w:spacing w:val="-5"/>
        </w:rPr>
        <w:t> </w:t>
      </w:r>
      <w:r>
        <w:rPr/>
        <w:t>led </w:t>
      </w:r>
      <w:r>
        <w:rPr>
          <w:spacing w:val="-2"/>
        </w:rPr>
        <w:t>to</w:t>
      </w:r>
      <w:r>
        <w:rPr>
          <w:spacing w:val="-12"/>
        </w:rPr>
        <w:t> </w:t>
      </w:r>
      <w:r>
        <w:rPr>
          <w:spacing w:val="-2"/>
        </w:rPr>
        <w:t>a</w:t>
      </w:r>
      <w:r>
        <w:rPr>
          <w:spacing w:val="-11"/>
        </w:rPr>
        <w:t> </w:t>
      </w:r>
      <w:r>
        <w:rPr>
          <w:spacing w:val="-2"/>
        </w:rPr>
        <w:t>talent</w:t>
      </w:r>
      <w:r>
        <w:rPr>
          <w:spacing w:val="-12"/>
        </w:rPr>
        <w:t> </w:t>
      </w:r>
      <w:r>
        <w:rPr>
          <w:spacing w:val="-2"/>
        </w:rPr>
        <w:t>crunch,</w:t>
      </w:r>
      <w:r>
        <w:rPr>
          <w:spacing w:val="-11"/>
        </w:rPr>
        <w:t> </w:t>
      </w:r>
      <w:r>
        <w:rPr>
          <w:spacing w:val="-2"/>
        </w:rPr>
        <w:t>seriously</w:t>
      </w:r>
      <w:r>
        <w:rPr>
          <w:spacing w:val="-12"/>
        </w:rPr>
        <w:t> </w:t>
      </w:r>
      <w:r>
        <w:rPr>
          <w:spacing w:val="-2"/>
        </w:rPr>
        <w:t>impeding</w:t>
      </w:r>
      <w:r>
        <w:rPr>
          <w:spacing w:val="-11"/>
        </w:rPr>
        <w:t> </w:t>
      </w:r>
      <w:r>
        <w:rPr>
          <w:spacing w:val="-2"/>
        </w:rPr>
        <w:t>the</w:t>
      </w:r>
      <w:r>
        <w:rPr>
          <w:spacing w:val="-12"/>
        </w:rPr>
        <w:t> </w:t>
      </w:r>
      <w:r>
        <w:rPr>
          <w:spacing w:val="-2"/>
        </w:rPr>
        <w:t>development </w:t>
      </w:r>
      <w:r>
        <w:rPr/>
        <w:t>of</w:t>
      </w:r>
      <w:r>
        <w:rPr>
          <w:spacing w:val="-7"/>
        </w:rPr>
        <w:t> </w:t>
      </w:r>
      <w:r>
        <w:rPr/>
        <w:t>the</w:t>
      </w:r>
      <w:r>
        <w:rPr>
          <w:spacing w:val="-7"/>
        </w:rPr>
        <w:t> </w:t>
      </w:r>
      <w:r>
        <w:rPr/>
        <w:t>future</w:t>
      </w:r>
      <w:r>
        <w:rPr>
          <w:spacing w:val="-7"/>
        </w:rPr>
        <w:t> </w:t>
      </w:r>
      <w:r>
        <w:rPr/>
        <w:t>generation</w:t>
      </w:r>
      <w:r>
        <w:rPr>
          <w:spacing w:val="-7"/>
        </w:rPr>
        <w:t> </w:t>
      </w:r>
      <w:r>
        <w:rPr/>
        <w:t>of</w:t>
      </w:r>
      <w:r>
        <w:rPr>
          <w:spacing w:val="-7"/>
        </w:rPr>
        <w:t> </w:t>
      </w:r>
      <w:r>
        <w:rPr/>
        <w:t>scientists</w:t>
      </w:r>
      <w:r>
        <w:rPr>
          <w:spacing w:val="-7"/>
        </w:rPr>
        <w:t> </w:t>
      </w:r>
      <w:r>
        <w:rPr/>
        <w:t>and</w:t>
      </w:r>
      <w:r>
        <w:rPr>
          <w:spacing w:val="-7"/>
        </w:rPr>
        <w:t> </w:t>
      </w:r>
      <w:r>
        <w:rPr/>
        <w:t>teachers.</w:t>
      </w:r>
      <w:r>
        <w:rPr>
          <w:spacing w:val="-9"/>
        </w:rPr>
        <w:t> </w:t>
      </w:r>
      <w:r>
        <w:rPr/>
        <w:t>We are</w:t>
      </w:r>
      <w:r>
        <w:rPr>
          <w:spacing w:val="14"/>
        </w:rPr>
        <w:t> </w:t>
      </w:r>
      <w:r>
        <w:rPr/>
        <w:t>aware</w:t>
      </w:r>
      <w:r>
        <w:rPr>
          <w:spacing w:val="14"/>
        </w:rPr>
        <w:t> </w:t>
      </w:r>
      <w:r>
        <w:rPr/>
        <w:t>that</w:t>
      </w:r>
      <w:r>
        <w:rPr>
          <w:spacing w:val="14"/>
        </w:rPr>
        <w:t> </w:t>
      </w:r>
      <w:r>
        <w:rPr/>
        <w:t>this</w:t>
      </w:r>
      <w:r>
        <w:rPr>
          <w:spacing w:val="14"/>
        </w:rPr>
        <w:t> </w:t>
      </w:r>
      <w:r>
        <w:rPr/>
        <w:t>is</w:t>
      </w:r>
      <w:r>
        <w:rPr>
          <w:spacing w:val="14"/>
        </w:rPr>
        <w:t> </w:t>
      </w:r>
      <w:r>
        <w:rPr/>
        <w:t>a</w:t>
      </w:r>
      <w:r>
        <w:rPr>
          <w:spacing w:val="14"/>
        </w:rPr>
        <w:t> </w:t>
      </w:r>
      <w:r>
        <w:rPr/>
        <w:t>worldwide</w:t>
      </w:r>
      <w:r>
        <w:rPr>
          <w:spacing w:val="14"/>
        </w:rPr>
        <w:t> </w:t>
      </w:r>
      <w:r>
        <w:rPr/>
        <w:t>phenomenon,</w:t>
      </w:r>
      <w:r>
        <w:rPr>
          <w:spacing w:val="14"/>
        </w:rPr>
        <w:t> </w:t>
      </w:r>
      <w:r>
        <w:rPr/>
        <w:t>but </w:t>
      </w:r>
      <w:r>
        <w:rPr>
          <w:spacing w:val="-2"/>
        </w:rPr>
        <w:t>countries</w:t>
      </w:r>
      <w:r>
        <w:rPr>
          <w:spacing w:val="-9"/>
        </w:rPr>
        <w:t> </w:t>
      </w:r>
      <w:r>
        <w:rPr>
          <w:spacing w:val="-2"/>
        </w:rPr>
        <w:t>like</w:t>
      </w:r>
      <w:r>
        <w:rPr>
          <w:spacing w:val="-9"/>
        </w:rPr>
        <w:t> </w:t>
      </w:r>
      <w:r>
        <w:rPr>
          <w:spacing w:val="-2"/>
        </w:rPr>
        <w:t>China</w:t>
      </w:r>
      <w:r>
        <w:rPr>
          <w:spacing w:val="-9"/>
        </w:rPr>
        <w:t> </w:t>
      </w:r>
      <w:r>
        <w:rPr>
          <w:spacing w:val="-2"/>
        </w:rPr>
        <w:t>and</w:t>
      </w:r>
      <w:r>
        <w:rPr>
          <w:spacing w:val="-9"/>
        </w:rPr>
        <w:t> </w:t>
      </w:r>
      <w:r>
        <w:rPr>
          <w:spacing w:val="-2"/>
        </w:rPr>
        <w:t>South</w:t>
      </w:r>
      <w:r>
        <w:rPr>
          <w:spacing w:val="-9"/>
        </w:rPr>
        <w:t> </w:t>
      </w:r>
      <w:r>
        <w:rPr>
          <w:spacing w:val="-2"/>
        </w:rPr>
        <w:t>Korea,</w:t>
      </w:r>
      <w:r>
        <w:rPr>
          <w:spacing w:val="-9"/>
        </w:rPr>
        <w:t> </w:t>
      </w:r>
      <w:r>
        <w:rPr>
          <w:spacing w:val="-2"/>
        </w:rPr>
        <w:t>having</w:t>
      </w:r>
      <w:r>
        <w:rPr>
          <w:spacing w:val="-9"/>
        </w:rPr>
        <w:t> </w:t>
      </w:r>
      <w:r>
        <w:rPr>
          <w:spacing w:val="-2"/>
        </w:rPr>
        <w:t>invested </w:t>
      </w:r>
      <w:r>
        <w:rPr/>
        <w:t>prudently</w:t>
      </w:r>
      <w:r>
        <w:rPr>
          <w:spacing w:val="-1"/>
        </w:rPr>
        <w:t> </w:t>
      </w:r>
      <w:r>
        <w:rPr/>
        <w:t>in</w:t>
      </w:r>
      <w:r>
        <w:rPr>
          <w:spacing w:val="-1"/>
        </w:rPr>
        <w:t> </w:t>
      </w:r>
      <w:r>
        <w:rPr/>
        <w:t>science education,</w:t>
      </w:r>
      <w:r>
        <w:rPr>
          <w:spacing w:val="-1"/>
        </w:rPr>
        <w:t> </w:t>
      </w:r>
      <w:r>
        <w:rPr/>
        <w:t>are now</w:t>
      </w:r>
      <w:r>
        <w:rPr>
          <w:spacing w:val="-1"/>
        </w:rPr>
        <w:t> </w:t>
      </w:r>
      <w:r>
        <w:rPr/>
        <w:t>beginning </w:t>
      </w:r>
      <w:r>
        <w:rPr>
          <w:spacing w:val="-5"/>
        </w:rPr>
        <w:t>to</w:t>
      </w:r>
    </w:p>
    <w:p>
      <w:pPr>
        <w:pStyle w:val="BodyText"/>
        <w:spacing w:line="246" w:lineRule="exact"/>
        <w:ind w:left="1080"/>
        <w:jc w:val="both"/>
      </w:pPr>
      <w:r>
        <w:rPr>
          <w:spacing w:val="-2"/>
        </w:rPr>
        <w:t>reap</w:t>
      </w:r>
      <w:r>
        <w:rPr>
          <w:spacing w:val="-10"/>
        </w:rPr>
        <w:t> </w:t>
      </w:r>
      <w:r>
        <w:rPr>
          <w:spacing w:val="-2"/>
        </w:rPr>
        <w:t>rich</w:t>
      </w:r>
      <w:r>
        <w:rPr>
          <w:spacing w:val="-10"/>
        </w:rPr>
        <w:t> </w:t>
      </w:r>
      <w:r>
        <w:rPr>
          <w:spacing w:val="-2"/>
        </w:rPr>
        <w:t>dividends.</w:t>
      </w:r>
    </w:p>
    <w:p>
      <w:pPr>
        <w:pStyle w:val="BodyText"/>
        <w:spacing w:before="54"/>
      </w:pPr>
    </w:p>
    <w:p>
      <w:pPr>
        <w:pStyle w:val="BodyText"/>
        <w:spacing w:line="266" w:lineRule="auto"/>
        <w:ind w:left="1080"/>
        <w:jc w:val="both"/>
      </w:pPr>
      <w:r>
        <w:rPr>
          <w:spacing w:val="-6"/>
        </w:rPr>
        <w:t>In this context, NKC carried out wide consultations </w:t>
      </w:r>
      <w:r>
        <w:rPr>
          <w:spacing w:val="-6"/>
        </w:rPr>
        <w:t>with </w:t>
      </w:r>
      <w:r>
        <w:rPr>
          <w:spacing w:val="-4"/>
        </w:rPr>
        <w:t>experts</w:t>
      </w:r>
      <w:r>
        <w:rPr>
          <w:spacing w:val="-10"/>
        </w:rPr>
        <w:t> </w:t>
      </w:r>
      <w:r>
        <w:rPr>
          <w:spacing w:val="-4"/>
        </w:rPr>
        <w:t>through</w:t>
      </w:r>
      <w:r>
        <w:rPr>
          <w:spacing w:val="-10"/>
        </w:rPr>
        <w:t> </w:t>
      </w:r>
      <w:r>
        <w:rPr>
          <w:spacing w:val="-4"/>
        </w:rPr>
        <w:t>a</w:t>
      </w:r>
      <w:r>
        <w:rPr>
          <w:spacing w:val="-10"/>
        </w:rPr>
        <w:t> </w:t>
      </w:r>
      <w:r>
        <w:rPr>
          <w:spacing w:val="-4"/>
        </w:rPr>
        <w:t>series</w:t>
      </w:r>
      <w:r>
        <w:rPr>
          <w:spacing w:val="-9"/>
        </w:rPr>
        <w:t> </w:t>
      </w:r>
      <w:r>
        <w:rPr>
          <w:spacing w:val="-4"/>
        </w:rPr>
        <w:t>of</w:t>
      </w:r>
      <w:r>
        <w:rPr>
          <w:spacing w:val="-10"/>
        </w:rPr>
        <w:t> </w:t>
      </w:r>
      <w:r>
        <w:rPr>
          <w:spacing w:val="-4"/>
        </w:rPr>
        <w:t>workshops</w:t>
      </w:r>
      <w:r>
        <w:rPr>
          <w:spacing w:val="-10"/>
        </w:rPr>
        <w:t> </w:t>
      </w:r>
      <w:r>
        <w:rPr>
          <w:spacing w:val="-4"/>
        </w:rPr>
        <w:t>and</w:t>
      </w:r>
      <w:r>
        <w:rPr>
          <w:spacing w:val="-10"/>
        </w:rPr>
        <w:t> </w:t>
      </w:r>
      <w:r>
        <w:rPr>
          <w:spacing w:val="-4"/>
        </w:rPr>
        <w:t>interviews.</w:t>
      </w:r>
      <w:r>
        <w:rPr>
          <w:spacing w:val="-9"/>
        </w:rPr>
        <w:t> </w:t>
      </w:r>
      <w:r>
        <w:rPr>
          <w:spacing w:val="-4"/>
        </w:rPr>
        <w:t>A </w:t>
      </w:r>
      <w:r>
        <w:rPr>
          <w:spacing w:val="-2"/>
        </w:rPr>
        <w:t>working</w:t>
      </w:r>
      <w:r>
        <w:rPr>
          <w:spacing w:val="-12"/>
        </w:rPr>
        <w:t> </w:t>
      </w:r>
      <w:r>
        <w:rPr>
          <w:spacing w:val="-2"/>
        </w:rPr>
        <w:t>group</w:t>
      </w:r>
      <w:r>
        <w:rPr>
          <w:spacing w:val="-12"/>
        </w:rPr>
        <w:t> </w:t>
      </w:r>
      <w:r>
        <w:rPr>
          <w:spacing w:val="-2"/>
        </w:rPr>
        <w:t>of</w:t>
      </w:r>
      <w:r>
        <w:rPr>
          <w:spacing w:val="-12"/>
        </w:rPr>
        <w:t> </w:t>
      </w:r>
      <w:r>
        <w:rPr>
          <w:spacing w:val="-2"/>
        </w:rPr>
        <w:t>eminent</w:t>
      </w:r>
      <w:r>
        <w:rPr>
          <w:spacing w:val="-11"/>
        </w:rPr>
        <w:t> </w:t>
      </w:r>
      <w:r>
        <w:rPr>
          <w:spacing w:val="-2"/>
        </w:rPr>
        <w:t>persons</w:t>
      </w:r>
      <w:r>
        <w:rPr>
          <w:spacing w:val="-12"/>
        </w:rPr>
        <w:t> </w:t>
      </w:r>
      <w:r>
        <w:rPr>
          <w:spacing w:val="-2"/>
        </w:rPr>
        <w:t>was</w:t>
      </w:r>
      <w:r>
        <w:rPr>
          <w:spacing w:val="-12"/>
        </w:rPr>
        <w:t> </w:t>
      </w:r>
      <w:r>
        <w:rPr>
          <w:spacing w:val="-2"/>
        </w:rPr>
        <w:t>also</w:t>
      </w:r>
      <w:r>
        <w:rPr>
          <w:spacing w:val="-12"/>
        </w:rPr>
        <w:t> </w:t>
      </w:r>
      <w:r>
        <w:rPr>
          <w:spacing w:val="-2"/>
        </w:rPr>
        <w:t>constituted </w:t>
      </w:r>
      <w:r>
        <w:rPr/>
        <w:t>to</w:t>
      </w:r>
      <w:r>
        <w:rPr>
          <w:spacing w:val="-7"/>
        </w:rPr>
        <w:t> </w:t>
      </w:r>
      <w:r>
        <w:rPr/>
        <w:t>consider</w:t>
      </w:r>
      <w:r>
        <w:rPr>
          <w:spacing w:val="-7"/>
        </w:rPr>
        <w:t> </w:t>
      </w:r>
      <w:r>
        <w:rPr/>
        <w:t>all</w:t>
      </w:r>
      <w:r>
        <w:rPr>
          <w:spacing w:val="-7"/>
        </w:rPr>
        <w:t> </w:t>
      </w:r>
      <w:r>
        <w:rPr/>
        <w:t>aspects</w:t>
      </w:r>
      <w:r>
        <w:rPr>
          <w:spacing w:val="-7"/>
        </w:rPr>
        <w:t> </w:t>
      </w:r>
      <w:r>
        <w:rPr/>
        <w:t>of</w:t>
      </w:r>
      <w:r>
        <w:rPr>
          <w:spacing w:val="-7"/>
        </w:rPr>
        <w:t> </w:t>
      </w:r>
      <w:r>
        <w:rPr/>
        <w:t>the</w:t>
      </w:r>
      <w:r>
        <w:rPr>
          <w:spacing w:val="-7"/>
        </w:rPr>
        <w:t> </w:t>
      </w:r>
      <w:r>
        <w:rPr/>
        <w:t>problem.</w:t>
      </w:r>
      <w:r>
        <w:rPr>
          <w:spacing w:val="-7"/>
        </w:rPr>
        <w:t> </w:t>
      </w:r>
      <w:r>
        <w:rPr/>
        <w:t>Based</w:t>
      </w:r>
      <w:r>
        <w:rPr>
          <w:spacing w:val="-7"/>
        </w:rPr>
        <w:t> </w:t>
      </w:r>
      <w:r>
        <w:rPr/>
        <w:t>on</w:t>
      </w:r>
      <w:r>
        <w:rPr>
          <w:spacing w:val="-7"/>
        </w:rPr>
        <w:t> </w:t>
      </w:r>
      <w:r>
        <w:rPr/>
        <w:t>these </w:t>
      </w:r>
      <w:r>
        <w:rPr>
          <w:spacing w:val="-2"/>
        </w:rPr>
        <w:t>inputs,</w:t>
      </w:r>
      <w:r>
        <w:rPr>
          <w:spacing w:val="-7"/>
        </w:rPr>
        <w:t> </w:t>
      </w:r>
      <w:r>
        <w:rPr>
          <w:spacing w:val="-2"/>
        </w:rPr>
        <w:t>NKC</w:t>
      </w:r>
      <w:r>
        <w:rPr>
          <w:spacing w:val="-7"/>
        </w:rPr>
        <w:t> </w:t>
      </w:r>
      <w:r>
        <w:rPr>
          <w:spacing w:val="-2"/>
        </w:rPr>
        <w:t>has</w:t>
      </w:r>
      <w:r>
        <w:rPr>
          <w:spacing w:val="-7"/>
        </w:rPr>
        <w:t> </w:t>
      </w:r>
      <w:r>
        <w:rPr>
          <w:spacing w:val="-2"/>
        </w:rPr>
        <w:t>formulated</w:t>
      </w:r>
      <w:r>
        <w:rPr>
          <w:spacing w:val="-7"/>
        </w:rPr>
        <w:t> </w:t>
      </w:r>
      <w:r>
        <w:rPr>
          <w:spacing w:val="-2"/>
        </w:rPr>
        <w:t>a</w:t>
      </w:r>
      <w:r>
        <w:rPr>
          <w:spacing w:val="-7"/>
        </w:rPr>
        <w:t> </w:t>
      </w:r>
      <w:r>
        <w:rPr>
          <w:spacing w:val="-2"/>
        </w:rPr>
        <w:t>set</w:t>
      </w:r>
      <w:r>
        <w:rPr>
          <w:spacing w:val="-7"/>
        </w:rPr>
        <w:t> </w:t>
      </w:r>
      <w:r>
        <w:rPr>
          <w:spacing w:val="-2"/>
        </w:rPr>
        <w:t>of</w:t>
      </w:r>
      <w:r>
        <w:rPr>
          <w:spacing w:val="-7"/>
        </w:rPr>
        <w:t> </w:t>
      </w:r>
      <w:r>
        <w:rPr>
          <w:spacing w:val="-2"/>
        </w:rPr>
        <w:t>recommendations </w:t>
      </w:r>
      <w:r>
        <w:rPr/>
        <w:t>to</w:t>
      </w:r>
      <w:r>
        <w:rPr>
          <w:spacing w:val="-13"/>
        </w:rPr>
        <w:t> </w:t>
      </w:r>
      <w:r>
        <w:rPr/>
        <w:t>attract</w:t>
      </w:r>
      <w:r>
        <w:rPr>
          <w:spacing w:val="-13"/>
        </w:rPr>
        <w:t> </w:t>
      </w:r>
      <w:r>
        <w:rPr/>
        <w:t>and</w:t>
      </w:r>
      <w:r>
        <w:rPr>
          <w:spacing w:val="-13"/>
        </w:rPr>
        <w:t> </w:t>
      </w:r>
      <w:r>
        <w:rPr/>
        <w:t>retain</w:t>
      </w:r>
      <w:r>
        <w:rPr>
          <w:spacing w:val="-13"/>
        </w:rPr>
        <w:t> </w:t>
      </w:r>
      <w:r>
        <w:rPr/>
        <w:t>talented</w:t>
      </w:r>
      <w:r>
        <w:rPr>
          <w:spacing w:val="-13"/>
        </w:rPr>
        <w:t> </w:t>
      </w:r>
      <w:r>
        <w:rPr/>
        <w:t>students</w:t>
      </w:r>
      <w:r>
        <w:rPr>
          <w:spacing w:val="-13"/>
        </w:rPr>
        <w:t> </w:t>
      </w:r>
      <w:r>
        <w:rPr/>
        <w:t>in</w:t>
      </w:r>
      <w:r>
        <w:rPr>
          <w:spacing w:val="-13"/>
        </w:rPr>
        <w:t> </w:t>
      </w:r>
      <w:r>
        <w:rPr/>
        <w:t>basic</w:t>
      </w:r>
      <w:r>
        <w:rPr>
          <w:spacing w:val="-13"/>
        </w:rPr>
        <w:t> </w:t>
      </w:r>
      <w:r>
        <w:rPr/>
        <w:t>sciences which are summarised in the following paragraphs. </w:t>
      </w:r>
      <w:r>
        <w:rPr>
          <w:spacing w:val="-8"/>
        </w:rPr>
        <w:t>NKC</w:t>
      </w:r>
      <w:r>
        <w:rPr>
          <w:spacing w:val="-4"/>
        </w:rPr>
        <w:t> </w:t>
      </w:r>
      <w:r>
        <w:rPr>
          <w:spacing w:val="-8"/>
        </w:rPr>
        <w:t>has</w:t>
      </w:r>
      <w:r>
        <w:rPr>
          <w:spacing w:val="-4"/>
        </w:rPr>
        <w:t> </w:t>
      </w:r>
      <w:r>
        <w:rPr>
          <w:spacing w:val="-8"/>
        </w:rPr>
        <w:t>chosen</w:t>
      </w:r>
      <w:r>
        <w:rPr>
          <w:spacing w:val="-4"/>
        </w:rPr>
        <w:t> </w:t>
      </w:r>
      <w:r>
        <w:rPr>
          <w:spacing w:val="-8"/>
        </w:rPr>
        <w:t>to</w:t>
      </w:r>
      <w:r>
        <w:rPr>
          <w:spacing w:val="-4"/>
        </w:rPr>
        <w:t> </w:t>
      </w:r>
      <w:r>
        <w:rPr>
          <w:spacing w:val="-8"/>
        </w:rPr>
        <w:t>reiterate</w:t>
      </w:r>
      <w:r>
        <w:rPr>
          <w:spacing w:val="-4"/>
        </w:rPr>
        <w:t> </w:t>
      </w:r>
      <w:r>
        <w:rPr>
          <w:spacing w:val="-8"/>
        </w:rPr>
        <w:t>some</w:t>
      </w:r>
      <w:r>
        <w:rPr>
          <w:spacing w:val="-4"/>
        </w:rPr>
        <w:t> </w:t>
      </w:r>
      <w:r>
        <w:rPr>
          <w:spacing w:val="-8"/>
        </w:rPr>
        <w:t>of</w:t>
      </w:r>
      <w:r>
        <w:rPr>
          <w:spacing w:val="-4"/>
        </w:rPr>
        <w:t> </w:t>
      </w:r>
      <w:r>
        <w:rPr>
          <w:spacing w:val="-8"/>
        </w:rPr>
        <w:t>the</w:t>
      </w:r>
      <w:r>
        <w:rPr>
          <w:spacing w:val="-4"/>
        </w:rPr>
        <w:t> </w:t>
      </w:r>
      <w:r>
        <w:rPr>
          <w:spacing w:val="-8"/>
        </w:rPr>
        <w:t>proposals</w:t>
      </w:r>
      <w:r>
        <w:rPr>
          <w:spacing w:val="-4"/>
        </w:rPr>
        <w:t> </w:t>
      </w:r>
      <w:r>
        <w:rPr>
          <w:spacing w:val="-8"/>
        </w:rPr>
        <w:t>which </w:t>
      </w:r>
      <w:r>
        <w:rPr/>
        <w:t>overlap with the views of other expert groups. NKC </w:t>
      </w:r>
      <w:r>
        <w:rPr>
          <w:spacing w:val="-2"/>
        </w:rPr>
        <w:t>would</w:t>
      </w:r>
      <w:r>
        <w:rPr>
          <w:spacing w:val="-10"/>
        </w:rPr>
        <w:t> </w:t>
      </w:r>
      <w:r>
        <w:rPr>
          <w:spacing w:val="-2"/>
        </w:rPr>
        <w:t>like</w:t>
      </w:r>
      <w:r>
        <w:rPr>
          <w:spacing w:val="-10"/>
        </w:rPr>
        <w:t> </w:t>
      </w:r>
      <w:r>
        <w:rPr>
          <w:spacing w:val="-2"/>
        </w:rPr>
        <w:t>to</w:t>
      </w:r>
      <w:r>
        <w:rPr>
          <w:spacing w:val="-10"/>
        </w:rPr>
        <w:t> </w:t>
      </w:r>
      <w:r>
        <w:rPr>
          <w:spacing w:val="-2"/>
        </w:rPr>
        <w:t>stress</w:t>
      </w:r>
      <w:r>
        <w:rPr>
          <w:spacing w:val="-10"/>
        </w:rPr>
        <w:t> </w:t>
      </w:r>
      <w:r>
        <w:rPr>
          <w:spacing w:val="-2"/>
        </w:rPr>
        <w:t>that</w:t>
      </w:r>
      <w:r>
        <w:rPr>
          <w:spacing w:val="-10"/>
        </w:rPr>
        <w:t> </w:t>
      </w:r>
      <w:r>
        <w:rPr>
          <w:spacing w:val="-2"/>
        </w:rPr>
        <w:t>this</w:t>
      </w:r>
      <w:r>
        <w:rPr>
          <w:spacing w:val="-10"/>
        </w:rPr>
        <w:t> </w:t>
      </w:r>
      <w:r>
        <w:rPr>
          <w:spacing w:val="-2"/>
        </w:rPr>
        <w:t>matter</w:t>
      </w:r>
      <w:r>
        <w:rPr>
          <w:spacing w:val="-10"/>
        </w:rPr>
        <w:t> </w:t>
      </w:r>
      <w:r>
        <w:rPr>
          <w:spacing w:val="-2"/>
        </w:rPr>
        <w:t>is</w:t>
      </w:r>
      <w:r>
        <w:rPr>
          <w:spacing w:val="-10"/>
        </w:rPr>
        <w:t> </w:t>
      </w:r>
      <w:r>
        <w:rPr>
          <w:spacing w:val="-2"/>
        </w:rPr>
        <w:t>extremely</w:t>
      </w:r>
      <w:r>
        <w:rPr>
          <w:spacing w:val="-10"/>
        </w:rPr>
        <w:t> </w:t>
      </w:r>
      <w:r>
        <w:rPr>
          <w:spacing w:val="-2"/>
        </w:rPr>
        <w:t>urgent </w:t>
      </w:r>
      <w:r>
        <w:rPr/>
        <w:t>and a rapid implementation is now crucial to effect a paradigm</w:t>
      </w:r>
      <w:r>
        <w:rPr>
          <w:spacing w:val="-14"/>
        </w:rPr>
        <w:t> </w:t>
      </w:r>
      <w:r>
        <w:rPr/>
        <w:t>change</w:t>
      </w:r>
      <w:r>
        <w:rPr>
          <w:spacing w:val="-14"/>
        </w:rPr>
        <w:t> </w:t>
      </w:r>
      <w:r>
        <w:rPr/>
        <w:t>in</w:t>
      </w:r>
      <w:r>
        <w:rPr>
          <w:spacing w:val="-14"/>
        </w:rPr>
        <w:t> </w:t>
      </w:r>
      <w:r>
        <w:rPr/>
        <w:t>the</w:t>
      </w:r>
      <w:r>
        <w:rPr>
          <w:spacing w:val="-13"/>
        </w:rPr>
        <w:t> </w:t>
      </w:r>
      <w:r>
        <w:rPr/>
        <w:t>field</w:t>
      </w:r>
      <w:r>
        <w:rPr>
          <w:spacing w:val="-14"/>
        </w:rPr>
        <w:t> </w:t>
      </w:r>
      <w:r>
        <w:rPr/>
        <w:t>of</w:t>
      </w:r>
      <w:r>
        <w:rPr>
          <w:spacing w:val="-14"/>
        </w:rPr>
        <w:t> </w:t>
      </w:r>
      <w:r>
        <w:rPr/>
        <w:t>Science</w:t>
      </w:r>
      <w:r>
        <w:rPr>
          <w:spacing w:val="-14"/>
        </w:rPr>
        <w:t> </w:t>
      </w:r>
      <w:r>
        <w:rPr/>
        <w:t>education</w:t>
      </w:r>
      <w:r>
        <w:rPr>
          <w:spacing w:val="-13"/>
        </w:rPr>
        <w:t> </w:t>
      </w:r>
      <w:r>
        <w:rPr/>
        <w:t>and research in the country.</w:t>
      </w:r>
    </w:p>
    <w:p>
      <w:pPr>
        <w:pStyle w:val="Heading6"/>
        <w:numPr>
          <w:ilvl w:val="0"/>
          <w:numId w:val="34"/>
        </w:numPr>
        <w:tabs>
          <w:tab w:pos="1404" w:val="left" w:leader="none"/>
          <w:tab w:pos="1406" w:val="left" w:leader="none"/>
        </w:tabs>
        <w:spacing w:line="182" w:lineRule="auto" w:before="248" w:after="0"/>
        <w:ind w:left="1406" w:right="706" w:hanging="327"/>
        <w:jc w:val="left"/>
      </w:pPr>
      <w:r>
        <w:rPr>
          <w:color w:val="2E614A"/>
          <w:spacing w:val="-2"/>
        </w:rPr>
        <w:t>Invest</w:t>
      </w:r>
      <w:r>
        <w:rPr>
          <w:color w:val="2E614A"/>
          <w:spacing w:val="-18"/>
        </w:rPr>
        <w:t> </w:t>
      </w:r>
      <w:r>
        <w:rPr>
          <w:color w:val="2E614A"/>
          <w:spacing w:val="-2"/>
        </w:rPr>
        <w:t>in</w:t>
      </w:r>
      <w:r>
        <w:rPr>
          <w:color w:val="2E614A"/>
          <w:spacing w:val="-18"/>
        </w:rPr>
        <w:t> </w:t>
      </w:r>
      <w:r>
        <w:rPr>
          <w:color w:val="2E614A"/>
          <w:spacing w:val="-2"/>
        </w:rPr>
        <w:t>upgrading</w:t>
      </w:r>
      <w:r>
        <w:rPr>
          <w:color w:val="2E614A"/>
          <w:spacing w:val="-18"/>
        </w:rPr>
        <w:t> </w:t>
      </w:r>
      <w:r>
        <w:rPr>
          <w:color w:val="2E614A"/>
          <w:spacing w:val="-2"/>
        </w:rPr>
        <w:t>and </w:t>
      </w:r>
      <w:r>
        <w:rPr>
          <w:color w:val="2E614A"/>
        </w:rPr>
        <w:t>expanding</w:t>
      </w:r>
      <w:r>
        <w:rPr>
          <w:color w:val="2E614A"/>
          <w:spacing w:val="-20"/>
        </w:rPr>
        <w:t> </w:t>
      </w:r>
      <w:r>
        <w:rPr>
          <w:color w:val="2E614A"/>
        </w:rPr>
        <w:t>the</w:t>
      </w:r>
      <w:r>
        <w:rPr>
          <w:color w:val="2E614A"/>
          <w:spacing w:val="-20"/>
        </w:rPr>
        <w:t> </w:t>
      </w:r>
      <w:r>
        <w:rPr>
          <w:color w:val="2E614A"/>
        </w:rPr>
        <w:t>existing </w:t>
      </w:r>
      <w:r>
        <w:rPr>
          <w:color w:val="2E614A"/>
          <w:spacing w:val="-6"/>
        </w:rPr>
        <w:t>infrastructure</w:t>
      </w:r>
      <w:r>
        <w:rPr>
          <w:color w:val="2E614A"/>
          <w:spacing w:val="-16"/>
        </w:rPr>
        <w:t> </w:t>
      </w:r>
      <w:r>
        <w:rPr>
          <w:color w:val="2E614A"/>
          <w:spacing w:val="-6"/>
        </w:rPr>
        <w:t>and</w:t>
      </w:r>
      <w:r>
        <w:rPr>
          <w:color w:val="2E614A"/>
          <w:spacing w:val="-14"/>
        </w:rPr>
        <w:t> </w:t>
      </w:r>
      <w:r>
        <w:rPr>
          <w:color w:val="2E614A"/>
          <w:spacing w:val="-6"/>
        </w:rPr>
        <w:t>promote </w:t>
      </w:r>
      <w:r>
        <w:rPr>
          <w:color w:val="2E614A"/>
          <w:w w:val="90"/>
        </w:rPr>
        <w:t>sharing</w:t>
      </w:r>
      <w:r>
        <w:rPr>
          <w:color w:val="2E614A"/>
          <w:spacing w:val="-12"/>
          <w:w w:val="90"/>
        </w:rPr>
        <w:t> </w:t>
      </w:r>
      <w:r>
        <w:rPr>
          <w:color w:val="2E614A"/>
          <w:w w:val="90"/>
        </w:rPr>
        <w:t>of</w:t>
      </w:r>
      <w:r>
        <w:rPr>
          <w:color w:val="2E614A"/>
          <w:spacing w:val="-12"/>
          <w:w w:val="90"/>
        </w:rPr>
        <w:t> </w:t>
      </w:r>
      <w:r>
        <w:rPr>
          <w:color w:val="2E614A"/>
          <w:w w:val="90"/>
        </w:rPr>
        <w:t>available</w:t>
      </w:r>
      <w:r>
        <w:rPr>
          <w:color w:val="2E614A"/>
          <w:spacing w:val="-12"/>
          <w:w w:val="90"/>
        </w:rPr>
        <w:t> </w:t>
      </w:r>
      <w:r>
        <w:rPr>
          <w:color w:val="2E614A"/>
          <w:w w:val="90"/>
        </w:rPr>
        <w:t>resources</w:t>
      </w:r>
    </w:p>
    <w:p>
      <w:pPr>
        <w:spacing w:line="266" w:lineRule="auto" w:before="303"/>
        <w:ind w:left="1079" w:right="0" w:firstLine="0"/>
        <w:jc w:val="both"/>
        <w:rPr>
          <w:sz w:val="22"/>
        </w:rPr>
      </w:pPr>
      <w:r>
        <w:rPr>
          <w:sz w:val="22"/>
        </w:rPr>
        <w:t>University departments and leading </w:t>
      </w:r>
      <w:r>
        <w:rPr>
          <w:sz w:val="22"/>
        </w:rPr>
        <w:t>undergraduate science colleges should be generously funded to upgrade their staff and facilities. To encourage good </w:t>
      </w:r>
      <w:r>
        <w:rPr>
          <w:spacing w:val="-6"/>
          <w:sz w:val="22"/>
        </w:rPr>
        <w:t>departments,</w:t>
      </w:r>
      <w:r>
        <w:rPr>
          <w:spacing w:val="-8"/>
          <w:sz w:val="22"/>
        </w:rPr>
        <w:t> </w:t>
      </w:r>
      <w:r>
        <w:rPr>
          <w:spacing w:val="-6"/>
          <w:sz w:val="22"/>
        </w:rPr>
        <w:t>‘Centres</w:t>
      </w:r>
      <w:r>
        <w:rPr>
          <w:spacing w:val="-8"/>
          <w:sz w:val="22"/>
        </w:rPr>
        <w:t> </w:t>
      </w:r>
      <w:r>
        <w:rPr>
          <w:spacing w:val="-6"/>
          <w:sz w:val="22"/>
        </w:rPr>
        <w:t>of</w:t>
      </w:r>
      <w:r>
        <w:rPr>
          <w:spacing w:val="-8"/>
          <w:sz w:val="22"/>
        </w:rPr>
        <w:t> </w:t>
      </w:r>
      <w:r>
        <w:rPr>
          <w:spacing w:val="-6"/>
          <w:sz w:val="22"/>
        </w:rPr>
        <w:t>excellence’</w:t>
      </w:r>
      <w:r>
        <w:rPr>
          <w:spacing w:val="-7"/>
          <w:sz w:val="22"/>
        </w:rPr>
        <w:t> </w:t>
      </w:r>
      <w:r>
        <w:rPr>
          <w:spacing w:val="-6"/>
          <w:sz w:val="22"/>
        </w:rPr>
        <w:t>should</w:t>
      </w:r>
      <w:r>
        <w:rPr>
          <w:spacing w:val="-8"/>
          <w:sz w:val="22"/>
        </w:rPr>
        <w:t> </w:t>
      </w:r>
      <w:r>
        <w:rPr>
          <w:spacing w:val="-6"/>
          <w:sz w:val="22"/>
        </w:rPr>
        <w:t>be</w:t>
      </w:r>
      <w:r>
        <w:rPr>
          <w:spacing w:val="-8"/>
          <w:sz w:val="22"/>
        </w:rPr>
        <w:t> </w:t>
      </w:r>
      <w:r>
        <w:rPr>
          <w:spacing w:val="-6"/>
          <w:sz w:val="22"/>
        </w:rPr>
        <w:t>identified </w:t>
      </w:r>
      <w:r>
        <w:rPr>
          <w:spacing w:val="-2"/>
          <w:sz w:val="22"/>
        </w:rPr>
        <w:t>with</w:t>
      </w:r>
      <w:r>
        <w:rPr>
          <w:spacing w:val="-10"/>
          <w:sz w:val="22"/>
        </w:rPr>
        <w:t> </w:t>
      </w:r>
      <w:r>
        <w:rPr>
          <w:spacing w:val="-2"/>
          <w:sz w:val="22"/>
        </w:rPr>
        <w:t>comprehensive</w:t>
      </w:r>
      <w:r>
        <w:rPr>
          <w:spacing w:val="-10"/>
          <w:sz w:val="22"/>
        </w:rPr>
        <w:t> </w:t>
      </w:r>
      <w:r>
        <w:rPr>
          <w:spacing w:val="-2"/>
          <w:sz w:val="22"/>
        </w:rPr>
        <w:t>review</w:t>
      </w:r>
      <w:r>
        <w:rPr>
          <w:spacing w:val="-10"/>
          <w:sz w:val="22"/>
        </w:rPr>
        <w:t> </w:t>
      </w:r>
      <w:r>
        <w:rPr>
          <w:spacing w:val="-2"/>
          <w:sz w:val="22"/>
        </w:rPr>
        <w:t>and</w:t>
      </w:r>
      <w:r>
        <w:rPr>
          <w:spacing w:val="-10"/>
          <w:sz w:val="22"/>
        </w:rPr>
        <w:t> </w:t>
      </w:r>
      <w:r>
        <w:rPr>
          <w:spacing w:val="-2"/>
          <w:sz w:val="22"/>
        </w:rPr>
        <w:t>evaluation</w:t>
      </w:r>
      <w:r>
        <w:rPr>
          <w:spacing w:val="-10"/>
          <w:sz w:val="22"/>
        </w:rPr>
        <w:t> </w:t>
      </w:r>
      <w:r>
        <w:rPr>
          <w:spacing w:val="-2"/>
          <w:sz w:val="22"/>
        </w:rPr>
        <w:t>procedures </w:t>
      </w:r>
      <w:r>
        <w:rPr>
          <w:sz w:val="22"/>
        </w:rPr>
        <w:t>in</w:t>
      </w:r>
      <w:r>
        <w:rPr>
          <w:spacing w:val="-7"/>
          <w:sz w:val="22"/>
        </w:rPr>
        <w:t> </w:t>
      </w:r>
      <w:r>
        <w:rPr>
          <w:sz w:val="22"/>
        </w:rPr>
        <w:t>place.</w:t>
      </w:r>
      <w:r>
        <w:rPr>
          <w:spacing w:val="-13"/>
          <w:sz w:val="22"/>
        </w:rPr>
        <w:t> </w:t>
      </w:r>
      <w:r>
        <w:rPr>
          <w:sz w:val="22"/>
        </w:rPr>
        <w:t>To</w:t>
      </w:r>
      <w:r>
        <w:rPr>
          <w:spacing w:val="-7"/>
          <w:sz w:val="22"/>
        </w:rPr>
        <w:t> </w:t>
      </w:r>
      <w:r>
        <w:rPr>
          <w:sz w:val="22"/>
        </w:rPr>
        <w:t>create</w:t>
      </w:r>
      <w:r>
        <w:rPr>
          <w:spacing w:val="-7"/>
          <w:sz w:val="22"/>
        </w:rPr>
        <w:t> </w:t>
      </w:r>
      <w:r>
        <w:rPr>
          <w:sz w:val="22"/>
        </w:rPr>
        <w:t>a</w:t>
      </w:r>
      <w:r>
        <w:rPr>
          <w:spacing w:val="-7"/>
          <w:sz w:val="22"/>
        </w:rPr>
        <w:t> </w:t>
      </w:r>
      <w:r>
        <w:rPr>
          <w:sz w:val="22"/>
        </w:rPr>
        <w:t>critical</w:t>
      </w:r>
      <w:r>
        <w:rPr>
          <w:spacing w:val="-7"/>
          <w:sz w:val="22"/>
        </w:rPr>
        <w:t> </w:t>
      </w:r>
      <w:r>
        <w:rPr>
          <w:sz w:val="22"/>
        </w:rPr>
        <w:t>mass</w:t>
      </w:r>
      <w:r>
        <w:rPr>
          <w:spacing w:val="-7"/>
          <w:sz w:val="22"/>
        </w:rPr>
        <w:t> </w:t>
      </w:r>
      <w:r>
        <w:rPr>
          <w:sz w:val="22"/>
        </w:rPr>
        <w:t>of</w:t>
      </w:r>
      <w:r>
        <w:rPr>
          <w:spacing w:val="-7"/>
          <w:sz w:val="22"/>
        </w:rPr>
        <w:t> </w:t>
      </w:r>
      <w:r>
        <w:rPr>
          <w:sz w:val="22"/>
        </w:rPr>
        <w:t>scientists</w:t>
      </w:r>
      <w:r>
        <w:rPr>
          <w:spacing w:val="-7"/>
          <w:sz w:val="22"/>
        </w:rPr>
        <w:t> </w:t>
      </w:r>
      <w:r>
        <w:rPr>
          <w:sz w:val="22"/>
        </w:rPr>
        <w:t>in</w:t>
      </w:r>
      <w:r>
        <w:rPr>
          <w:spacing w:val="-7"/>
          <w:sz w:val="22"/>
        </w:rPr>
        <w:t> </w:t>
      </w:r>
      <w:r>
        <w:rPr>
          <w:sz w:val="22"/>
        </w:rPr>
        <w:t>each </w:t>
      </w:r>
      <w:r>
        <w:rPr>
          <w:w w:val="90"/>
          <w:sz w:val="22"/>
        </w:rPr>
        <w:t>science stream </w:t>
      </w:r>
      <w:r>
        <w:rPr>
          <w:b/>
          <w:w w:val="90"/>
          <w:sz w:val="22"/>
        </w:rPr>
        <w:t>undergraduate seats should be increased in good institutes and undergraduate programs should </w:t>
      </w:r>
      <w:r>
        <w:rPr>
          <w:b/>
          <w:spacing w:val="-4"/>
          <w:sz w:val="22"/>
        </w:rPr>
        <w:t>be</w:t>
      </w:r>
      <w:r>
        <w:rPr>
          <w:b/>
          <w:spacing w:val="-7"/>
          <w:sz w:val="22"/>
        </w:rPr>
        <w:t> </w:t>
      </w:r>
      <w:r>
        <w:rPr>
          <w:b/>
          <w:spacing w:val="-4"/>
          <w:sz w:val="22"/>
        </w:rPr>
        <w:t>introduced</w:t>
      </w:r>
      <w:r>
        <w:rPr>
          <w:b/>
          <w:spacing w:val="-7"/>
          <w:sz w:val="22"/>
        </w:rPr>
        <w:t> </w:t>
      </w:r>
      <w:r>
        <w:rPr>
          <w:b/>
          <w:spacing w:val="-4"/>
          <w:sz w:val="22"/>
        </w:rPr>
        <w:t>at</w:t>
      </w:r>
      <w:r>
        <w:rPr>
          <w:b/>
          <w:spacing w:val="-7"/>
          <w:sz w:val="22"/>
        </w:rPr>
        <w:t> </w:t>
      </w:r>
      <w:r>
        <w:rPr>
          <w:b/>
          <w:spacing w:val="-4"/>
          <w:sz w:val="22"/>
        </w:rPr>
        <w:t>institutes</w:t>
      </w:r>
      <w:r>
        <w:rPr>
          <w:b/>
          <w:spacing w:val="-7"/>
          <w:sz w:val="22"/>
        </w:rPr>
        <w:t> </w:t>
      </w:r>
      <w:r>
        <w:rPr>
          <w:b/>
          <w:spacing w:val="-4"/>
          <w:sz w:val="22"/>
        </w:rPr>
        <w:t>where</w:t>
      </w:r>
      <w:r>
        <w:rPr>
          <w:b/>
          <w:spacing w:val="-7"/>
          <w:sz w:val="22"/>
        </w:rPr>
        <w:t> </w:t>
      </w:r>
      <w:r>
        <w:rPr>
          <w:b/>
          <w:spacing w:val="-4"/>
          <w:sz w:val="22"/>
        </w:rPr>
        <w:t>only</w:t>
      </w:r>
      <w:r>
        <w:rPr>
          <w:b/>
          <w:spacing w:val="-7"/>
          <w:sz w:val="22"/>
        </w:rPr>
        <w:t> </w:t>
      </w:r>
      <w:r>
        <w:rPr>
          <w:b/>
          <w:spacing w:val="-4"/>
          <w:sz w:val="22"/>
        </w:rPr>
        <w:t>post</w:t>
      </w:r>
      <w:r>
        <w:rPr>
          <w:b/>
          <w:spacing w:val="-7"/>
          <w:sz w:val="22"/>
        </w:rPr>
        <w:t> </w:t>
      </w:r>
      <w:r>
        <w:rPr>
          <w:b/>
          <w:spacing w:val="-4"/>
          <w:sz w:val="22"/>
        </w:rPr>
        <w:t>graduate </w:t>
      </w:r>
      <w:r>
        <w:rPr>
          <w:b/>
          <w:spacing w:val="-6"/>
          <w:sz w:val="22"/>
        </w:rPr>
        <w:t>teaching is currently undertaken. </w:t>
      </w:r>
      <w:r>
        <w:rPr>
          <w:spacing w:val="-6"/>
          <w:sz w:val="22"/>
        </w:rPr>
        <w:t>Innovative methods </w:t>
      </w:r>
      <w:r>
        <w:rPr>
          <w:sz w:val="22"/>
        </w:rPr>
        <w:t>for sharing resources and faculty between institutes and</w:t>
      </w:r>
      <w:r>
        <w:rPr>
          <w:spacing w:val="-12"/>
          <w:sz w:val="22"/>
        </w:rPr>
        <w:t> </w:t>
      </w:r>
      <w:r>
        <w:rPr>
          <w:sz w:val="22"/>
        </w:rPr>
        <w:t>universities</w:t>
      </w:r>
      <w:r>
        <w:rPr>
          <w:spacing w:val="-12"/>
          <w:sz w:val="22"/>
        </w:rPr>
        <w:t> </w:t>
      </w:r>
      <w:r>
        <w:rPr>
          <w:sz w:val="22"/>
        </w:rPr>
        <w:t>need</w:t>
      </w:r>
      <w:r>
        <w:rPr>
          <w:spacing w:val="-12"/>
          <w:sz w:val="22"/>
        </w:rPr>
        <w:t> </w:t>
      </w:r>
      <w:r>
        <w:rPr>
          <w:sz w:val="22"/>
        </w:rPr>
        <w:t>to</w:t>
      </w:r>
      <w:r>
        <w:rPr>
          <w:spacing w:val="-12"/>
          <w:sz w:val="22"/>
        </w:rPr>
        <w:t> </w:t>
      </w:r>
      <w:r>
        <w:rPr>
          <w:sz w:val="22"/>
        </w:rPr>
        <w:t>be</w:t>
      </w:r>
      <w:r>
        <w:rPr>
          <w:spacing w:val="-12"/>
          <w:sz w:val="22"/>
        </w:rPr>
        <w:t> </w:t>
      </w:r>
      <w:r>
        <w:rPr>
          <w:sz w:val="22"/>
        </w:rPr>
        <w:t>evolved.</w:t>
      </w:r>
      <w:r>
        <w:rPr>
          <w:spacing w:val="-12"/>
          <w:sz w:val="22"/>
        </w:rPr>
        <w:t> </w:t>
      </w:r>
      <w:r>
        <w:rPr>
          <w:sz w:val="22"/>
        </w:rPr>
        <w:t>At</w:t>
      </w:r>
      <w:r>
        <w:rPr>
          <w:spacing w:val="-12"/>
          <w:sz w:val="22"/>
        </w:rPr>
        <w:t> </w:t>
      </w:r>
      <w:r>
        <w:rPr>
          <w:sz w:val="22"/>
        </w:rPr>
        <w:t>the</w:t>
      </w:r>
      <w:r>
        <w:rPr>
          <w:spacing w:val="-12"/>
          <w:sz w:val="22"/>
        </w:rPr>
        <w:t> </w:t>
      </w:r>
      <w:r>
        <w:rPr>
          <w:sz w:val="22"/>
        </w:rPr>
        <w:t>same</w:t>
      </w:r>
      <w:r>
        <w:rPr>
          <w:spacing w:val="-12"/>
          <w:sz w:val="22"/>
        </w:rPr>
        <w:t> </w:t>
      </w:r>
      <w:r>
        <w:rPr>
          <w:sz w:val="22"/>
        </w:rPr>
        <w:t>time, university</w:t>
      </w:r>
      <w:r>
        <w:rPr>
          <w:spacing w:val="19"/>
          <w:sz w:val="22"/>
        </w:rPr>
        <w:t> </w:t>
      </w:r>
      <w:r>
        <w:rPr>
          <w:sz w:val="22"/>
        </w:rPr>
        <w:t>management</w:t>
      </w:r>
      <w:r>
        <w:rPr>
          <w:spacing w:val="19"/>
          <w:sz w:val="22"/>
        </w:rPr>
        <w:t> </w:t>
      </w:r>
      <w:r>
        <w:rPr>
          <w:sz w:val="22"/>
        </w:rPr>
        <w:t>at</w:t>
      </w:r>
      <w:r>
        <w:rPr>
          <w:spacing w:val="19"/>
          <w:sz w:val="22"/>
        </w:rPr>
        <w:t> </w:t>
      </w:r>
      <w:r>
        <w:rPr>
          <w:sz w:val="22"/>
        </w:rPr>
        <w:t>all</w:t>
      </w:r>
      <w:r>
        <w:rPr>
          <w:spacing w:val="20"/>
          <w:sz w:val="22"/>
        </w:rPr>
        <w:t> </w:t>
      </w:r>
      <w:r>
        <w:rPr>
          <w:sz w:val="22"/>
        </w:rPr>
        <w:t>levels</w:t>
      </w:r>
      <w:r>
        <w:rPr>
          <w:spacing w:val="19"/>
          <w:sz w:val="22"/>
        </w:rPr>
        <w:t> </w:t>
      </w:r>
      <w:r>
        <w:rPr>
          <w:sz w:val="22"/>
        </w:rPr>
        <w:t>should</w:t>
      </w:r>
      <w:r>
        <w:rPr>
          <w:spacing w:val="19"/>
          <w:sz w:val="22"/>
        </w:rPr>
        <w:t> </w:t>
      </w:r>
      <w:r>
        <w:rPr>
          <w:sz w:val="22"/>
        </w:rPr>
        <w:t>be</w:t>
      </w:r>
      <w:r>
        <w:rPr>
          <w:spacing w:val="19"/>
          <w:sz w:val="22"/>
        </w:rPr>
        <w:t> </w:t>
      </w:r>
      <w:r>
        <w:rPr>
          <w:spacing w:val="-4"/>
          <w:sz w:val="22"/>
        </w:rPr>
        <w:t>made</w:t>
      </w:r>
    </w:p>
    <w:p>
      <w:pPr>
        <w:pStyle w:val="BodyText"/>
        <w:spacing w:line="266" w:lineRule="auto" w:before="82"/>
        <w:ind w:left="319" w:right="1078"/>
        <w:jc w:val="both"/>
      </w:pPr>
      <w:r>
        <w:rPr/>
        <w:br w:type="column"/>
      </w:r>
      <w:r>
        <w:rPr>
          <w:spacing w:val="-2"/>
        </w:rPr>
        <w:t>more</w:t>
      </w:r>
      <w:r>
        <w:rPr>
          <w:spacing w:val="-9"/>
        </w:rPr>
        <w:t> </w:t>
      </w:r>
      <w:r>
        <w:rPr>
          <w:spacing w:val="-2"/>
        </w:rPr>
        <w:t>professional</w:t>
      </w:r>
      <w:r>
        <w:rPr>
          <w:spacing w:val="-9"/>
        </w:rPr>
        <w:t> </w:t>
      </w:r>
      <w:r>
        <w:rPr>
          <w:spacing w:val="-2"/>
        </w:rPr>
        <w:t>and</w:t>
      </w:r>
      <w:r>
        <w:rPr>
          <w:spacing w:val="-9"/>
        </w:rPr>
        <w:t> </w:t>
      </w:r>
      <w:r>
        <w:rPr>
          <w:spacing w:val="-2"/>
        </w:rPr>
        <w:t>sensitive</w:t>
      </w:r>
      <w:r>
        <w:rPr>
          <w:spacing w:val="-9"/>
        </w:rPr>
        <w:t> </w:t>
      </w:r>
      <w:r>
        <w:rPr>
          <w:spacing w:val="-2"/>
        </w:rPr>
        <w:t>towards</w:t>
      </w:r>
      <w:r>
        <w:rPr>
          <w:spacing w:val="-9"/>
        </w:rPr>
        <w:t> </w:t>
      </w:r>
      <w:r>
        <w:rPr>
          <w:spacing w:val="-2"/>
        </w:rPr>
        <w:t>working</w:t>
      </w:r>
      <w:r>
        <w:rPr>
          <w:spacing w:val="-9"/>
        </w:rPr>
        <w:t> </w:t>
      </w:r>
      <w:r>
        <w:rPr>
          <w:spacing w:val="-2"/>
        </w:rPr>
        <w:t>in</w:t>
      </w:r>
      <w:r>
        <w:rPr>
          <w:spacing w:val="-9"/>
        </w:rPr>
        <w:t> </w:t>
      </w:r>
      <w:r>
        <w:rPr>
          <w:spacing w:val="-2"/>
        </w:rPr>
        <w:t>an </w:t>
      </w:r>
      <w:r>
        <w:rPr>
          <w:spacing w:val="-4"/>
        </w:rPr>
        <w:t>academic</w:t>
      </w:r>
      <w:r>
        <w:rPr>
          <w:spacing w:val="-10"/>
        </w:rPr>
        <w:t> </w:t>
      </w:r>
      <w:r>
        <w:rPr>
          <w:spacing w:val="-4"/>
        </w:rPr>
        <w:t>and</w:t>
      </w:r>
      <w:r>
        <w:rPr>
          <w:spacing w:val="-10"/>
        </w:rPr>
        <w:t> </w:t>
      </w:r>
      <w:r>
        <w:rPr>
          <w:spacing w:val="-4"/>
        </w:rPr>
        <w:t>research</w:t>
      </w:r>
      <w:r>
        <w:rPr>
          <w:spacing w:val="-9"/>
        </w:rPr>
        <w:t> </w:t>
      </w:r>
      <w:r>
        <w:rPr>
          <w:spacing w:val="-4"/>
        </w:rPr>
        <w:t>environment</w:t>
      </w:r>
      <w:r>
        <w:rPr>
          <w:spacing w:val="-10"/>
        </w:rPr>
        <w:t> </w:t>
      </w:r>
      <w:r>
        <w:rPr>
          <w:spacing w:val="-4"/>
        </w:rPr>
        <w:t>to</w:t>
      </w:r>
      <w:r>
        <w:rPr>
          <w:spacing w:val="-10"/>
        </w:rPr>
        <w:t> </w:t>
      </w:r>
      <w:r>
        <w:rPr>
          <w:spacing w:val="-4"/>
        </w:rPr>
        <w:t>promote</w:t>
      </w:r>
      <w:r>
        <w:rPr>
          <w:spacing w:val="-9"/>
        </w:rPr>
        <w:t> </w:t>
      </w:r>
      <w:r>
        <w:rPr>
          <w:spacing w:val="-4"/>
        </w:rPr>
        <w:t>optimal </w:t>
      </w:r>
      <w:r>
        <w:rPr/>
        <w:t>utilisation of resources.</w:t>
      </w:r>
    </w:p>
    <w:p>
      <w:pPr>
        <w:pStyle w:val="BodyText"/>
        <w:spacing w:before="3"/>
      </w:pPr>
    </w:p>
    <w:p>
      <w:pPr>
        <w:pStyle w:val="Heading6"/>
        <w:numPr>
          <w:ilvl w:val="0"/>
          <w:numId w:val="34"/>
        </w:numPr>
        <w:tabs>
          <w:tab w:pos="643" w:val="left" w:leader="none"/>
          <w:tab w:pos="645" w:val="left" w:leader="none"/>
        </w:tabs>
        <w:spacing w:line="182" w:lineRule="auto" w:before="0" w:after="0"/>
        <w:ind w:left="645" w:right="1227" w:hanging="327"/>
        <w:jc w:val="left"/>
      </w:pPr>
      <w:r>
        <w:rPr>
          <w:color w:val="2E614A"/>
          <w:w w:val="90"/>
        </w:rPr>
        <w:t>Revitalise the teaching </w:t>
      </w:r>
      <w:r>
        <w:rPr>
          <w:color w:val="2E614A"/>
          <w:w w:val="90"/>
        </w:rPr>
        <w:t>profession </w:t>
      </w:r>
      <w:r>
        <w:rPr>
          <w:color w:val="2E614A"/>
          <w:spacing w:val="-4"/>
        </w:rPr>
        <w:t>to</w:t>
      </w:r>
      <w:r>
        <w:rPr>
          <w:color w:val="2E614A"/>
          <w:spacing w:val="-16"/>
        </w:rPr>
        <w:t> </w:t>
      </w:r>
      <w:r>
        <w:rPr>
          <w:color w:val="2E614A"/>
          <w:spacing w:val="-4"/>
        </w:rPr>
        <w:t>attract</w:t>
      </w:r>
      <w:r>
        <w:rPr>
          <w:color w:val="2E614A"/>
          <w:spacing w:val="-16"/>
        </w:rPr>
        <w:t> </w:t>
      </w:r>
      <w:r>
        <w:rPr>
          <w:color w:val="2E614A"/>
          <w:spacing w:val="-4"/>
        </w:rPr>
        <w:t>and</w:t>
      </w:r>
      <w:r>
        <w:rPr>
          <w:color w:val="2E614A"/>
          <w:spacing w:val="-16"/>
        </w:rPr>
        <w:t> </w:t>
      </w:r>
      <w:r>
        <w:rPr>
          <w:color w:val="2E614A"/>
          <w:spacing w:val="-4"/>
        </w:rPr>
        <w:t>retain</w:t>
      </w:r>
      <w:r>
        <w:rPr>
          <w:color w:val="2E614A"/>
          <w:spacing w:val="-16"/>
        </w:rPr>
        <w:t> </w:t>
      </w:r>
      <w:r>
        <w:rPr>
          <w:color w:val="2E614A"/>
          <w:spacing w:val="-4"/>
        </w:rPr>
        <w:t>quality </w:t>
      </w:r>
      <w:r>
        <w:rPr>
          <w:color w:val="2E614A"/>
          <w:spacing w:val="-2"/>
        </w:rPr>
        <w:t>teachers</w:t>
      </w:r>
    </w:p>
    <w:p>
      <w:pPr>
        <w:pStyle w:val="BodyText"/>
        <w:spacing w:line="266" w:lineRule="auto" w:before="303"/>
        <w:ind w:left="319" w:right="1077"/>
        <w:jc w:val="both"/>
      </w:pPr>
      <w:r>
        <w:rPr/>
        <w:t>The working condition of teachers needs to </w:t>
      </w:r>
      <w:r>
        <w:rPr/>
        <w:t>be </w:t>
      </w:r>
      <w:r>
        <w:rPr>
          <w:spacing w:val="-2"/>
        </w:rPr>
        <w:t>drastically</w:t>
      </w:r>
      <w:r>
        <w:rPr>
          <w:spacing w:val="-3"/>
        </w:rPr>
        <w:t> </w:t>
      </w:r>
      <w:r>
        <w:rPr>
          <w:spacing w:val="-2"/>
        </w:rPr>
        <w:t>improved.</w:t>
      </w:r>
      <w:r>
        <w:rPr>
          <w:spacing w:val="-3"/>
        </w:rPr>
        <w:t> </w:t>
      </w:r>
      <w:r>
        <w:rPr>
          <w:spacing w:val="-2"/>
        </w:rPr>
        <w:t>Rewards</w:t>
      </w:r>
      <w:r>
        <w:rPr>
          <w:spacing w:val="-3"/>
        </w:rPr>
        <w:t> </w:t>
      </w:r>
      <w:r>
        <w:rPr>
          <w:spacing w:val="-2"/>
        </w:rPr>
        <w:t>and</w:t>
      </w:r>
      <w:r>
        <w:rPr>
          <w:spacing w:val="-3"/>
        </w:rPr>
        <w:t> </w:t>
      </w:r>
      <w:r>
        <w:rPr>
          <w:spacing w:val="-2"/>
        </w:rPr>
        <w:t>recognition</w:t>
      </w:r>
      <w:r>
        <w:rPr>
          <w:spacing w:val="-3"/>
        </w:rPr>
        <w:t> </w:t>
      </w:r>
      <w:r>
        <w:rPr>
          <w:spacing w:val="-2"/>
        </w:rPr>
        <w:t>should </w:t>
      </w:r>
      <w:r>
        <w:rPr/>
        <w:t>be publicised and given at all levels. Teachers at the school and college level should be encouraged to </w:t>
      </w:r>
      <w:r>
        <w:rPr>
          <w:spacing w:val="-2"/>
        </w:rPr>
        <w:t>develop</w:t>
      </w:r>
      <w:r>
        <w:rPr>
          <w:spacing w:val="-12"/>
        </w:rPr>
        <w:t> </w:t>
      </w:r>
      <w:r>
        <w:rPr>
          <w:spacing w:val="-2"/>
        </w:rPr>
        <w:t>innovative</w:t>
      </w:r>
      <w:r>
        <w:rPr>
          <w:spacing w:val="-12"/>
        </w:rPr>
        <w:t> </w:t>
      </w:r>
      <w:r>
        <w:rPr>
          <w:spacing w:val="-2"/>
        </w:rPr>
        <w:t>teaching</w:t>
      </w:r>
      <w:r>
        <w:rPr>
          <w:spacing w:val="-12"/>
        </w:rPr>
        <w:t> </w:t>
      </w:r>
      <w:r>
        <w:rPr>
          <w:spacing w:val="-2"/>
        </w:rPr>
        <w:t>methods.</w:t>
      </w:r>
      <w:r>
        <w:rPr>
          <w:spacing w:val="-11"/>
        </w:rPr>
        <w:t> </w:t>
      </w:r>
      <w:r>
        <w:rPr>
          <w:spacing w:val="-2"/>
        </w:rPr>
        <w:t>Research</w:t>
      </w:r>
      <w:r>
        <w:rPr>
          <w:spacing w:val="-12"/>
        </w:rPr>
        <w:t> </w:t>
      </w:r>
      <w:r>
        <w:rPr>
          <w:spacing w:val="-2"/>
        </w:rPr>
        <w:t>should </w:t>
      </w:r>
      <w:r>
        <w:rPr/>
        <w:t>be</w:t>
      </w:r>
      <w:r>
        <w:rPr>
          <w:spacing w:val="-13"/>
        </w:rPr>
        <w:t> </w:t>
      </w:r>
      <w:r>
        <w:rPr/>
        <w:t>promoted</w:t>
      </w:r>
      <w:r>
        <w:rPr>
          <w:spacing w:val="-13"/>
        </w:rPr>
        <w:t> </w:t>
      </w:r>
      <w:r>
        <w:rPr/>
        <w:t>in</w:t>
      </w:r>
      <w:r>
        <w:rPr>
          <w:spacing w:val="-13"/>
        </w:rPr>
        <w:t> </w:t>
      </w:r>
      <w:r>
        <w:rPr/>
        <w:t>colleges</w:t>
      </w:r>
      <w:r>
        <w:rPr>
          <w:spacing w:val="-13"/>
        </w:rPr>
        <w:t> </w:t>
      </w:r>
      <w:r>
        <w:rPr/>
        <w:t>by</w:t>
      </w:r>
      <w:r>
        <w:rPr>
          <w:spacing w:val="-13"/>
        </w:rPr>
        <w:t> </w:t>
      </w:r>
      <w:r>
        <w:rPr/>
        <w:t>building</w:t>
      </w:r>
      <w:r>
        <w:rPr>
          <w:spacing w:val="-13"/>
        </w:rPr>
        <w:t> </w:t>
      </w:r>
      <w:r>
        <w:rPr/>
        <w:t>linkages</w:t>
      </w:r>
      <w:r>
        <w:rPr>
          <w:spacing w:val="-13"/>
        </w:rPr>
        <w:t> </w:t>
      </w:r>
      <w:r>
        <w:rPr/>
        <w:t>between </w:t>
      </w:r>
      <w:r>
        <w:rPr>
          <w:spacing w:val="-4"/>
        </w:rPr>
        <w:t>colleges and research institutions. Academic autonomy </w:t>
      </w:r>
      <w:r>
        <w:rPr/>
        <w:t>and flexibility should be encouraged. Further, a </w:t>
      </w:r>
      <w:r>
        <w:rPr>
          <w:spacing w:val="-2"/>
        </w:rPr>
        <w:t>mentoring</w:t>
      </w:r>
      <w:r>
        <w:rPr>
          <w:spacing w:val="-8"/>
        </w:rPr>
        <w:t> </w:t>
      </w:r>
      <w:r>
        <w:rPr>
          <w:spacing w:val="-2"/>
        </w:rPr>
        <w:t>program</w:t>
      </w:r>
      <w:r>
        <w:rPr>
          <w:spacing w:val="-8"/>
        </w:rPr>
        <w:t> </w:t>
      </w:r>
      <w:r>
        <w:rPr>
          <w:spacing w:val="-2"/>
        </w:rPr>
        <w:t>for</w:t>
      </w:r>
      <w:r>
        <w:rPr>
          <w:spacing w:val="-8"/>
        </w:rPr>
        <w:t> </w:t>
      </w:r>
      <w:r>
        <w:rPr>
          <w:spacing w:val="-2"/>
        </w:rPr>
        <w:t>young</w:t>
      </w:r>
      <w:r>
        <w:rPr>
          <w:spacing w:val="-8"/>
        </w:rPr>
        <w:t> </w:t>
      </w:r>
      <w:r>
        <w:rPr>
          <w:spacing w:val="-2"/>
        </w:rPr>
        <w:t>faculty</w:t>
      </w:r>
      <w:r>
        <w:rPr>
          <w:spacing w:val="-8"/>
        </w:rPr>
        <w:t> </w:t>
      </w:r>
      <w:r>
        <w:rPr>
          <w:spacing w:val="-2"/>
        </w:rPr>
        <w:t>members</w:t>
      </w:r>
      <w:r>
        <w:rPr>
          <w:spacing w:val="-8"/>
        </w:rPr>
        <w:t> </w:t>
      </w:r>
      <w:r>
        <w:rPr>
          <w:spacing w:val="-2"/>
        </w:rPr>
        <w:t>should </w:t>
      </w:r>
      <w:r>
        <w:rPr/>
        <w:t>be</w:t>
      </w:r>
      <w:r>
        <w:rPr>
          <w:spacing w:val="-9"/>
        </w:rPr>
        <w:t> </w:t>
      </w:r>
      <w:r>
        <w:rPr/>
        <w:t>started</w:t>
      </w:r>
      <w:r>
        <w:rPr>
          <w:spacing w:val="-9"/>
        </w:rPr>
        <w:t> </w:t>
      </w:r>
      <w:r>
        <w:rPr/>
        <w:t>in</w:t>
      </w:r>
      <w:r>
        <w:rPr>
          <w:spacing w:val="-9"/>
        </w:rPr>
        <w:t> </w:t>
      </w:r>
      <w:r>
        <w:rPr/>
        <w:t>universities</w:t>
      </w:r>
      <w:r>
        <w:rPr>
          <w:spacing w:val="-9"/>
        </w:rPr>
        <w:t> </w:t>
      </w:r>
      <w:r>
        <w:rPr/>
        <w:t>and</w:t>
      </w:r>
      <w:r>
        <w:rPr>
          <w:spacing w:val="-9"/>
        </w:rPr>
        <w:t> </w:t>
      </w:r>
      <w:r>
        <w:rPr/>
        <w:t>colleges.</w:t>
      </w:r>
      <w:r>
        <w:rPr>
          <w:spacing w:val="-9"/>
        </w:rPr>
        <w:t> </w:t>
      </w:r>
      <w:r>
        <w:rPr/>
        <w:t>Many</w:t>
      </w:r>
      <w:r>
        <w:rPr>
          <w:spacing w:val="-9"/>
        </w:rPr>
        <w:t> </w:t>
      </w:r>
      <w:r>
        <w:rPr/>
        <w:t>reserved </w:t>
      </w:r>
      <w:r>
        <w:rPr>
          <w:spacing w:val="-4"/>
        </w:rPr>
        <w:t>faculty</w:t>
      </w:r>
      <w:r>
        <w:rPr>
          <w:spacing w:val="-10"/>
        </w:rPr>
        <w:t> </w:t>
      </w:r>
      <w:r>
        <w:rPr>
          <w:spacing w:val="-4"/>
        </w:rPr>
        <w:t>posts</w:t>
      </w:r>
      <w:r>
        <w:rPr>
          <w:spacing w:val="-10"/>
        </w:rPr>
        <w:t> </w:t>
      </w:r>
      <w:r>
        <w:rPr>
          <w:spacing w:val="-4"/>
        </w:rPr>
        <w:t>remain</w:t>
      </w:r>
      <w:r>
        <w:rPr>
          <w:spacing w:val="-10"/>
        </w:rPr>
        <w:t> </w:t>
      </w:r>
      <w:r>
        <w:rPr>
          <w:spacing w:val="-4"/>
        </w:rPr>
        <w:t>vacant</w:t>
      </w:r>
      <w:r>
        <w:rPr>
          <w:spacing w:val="-9"/>
        </w:rPr>
        <w:t> </w:t>
      </w:r>
      <w:r>
        <w:rPr>
          <w:spacing w:val="-4"/>
        </w:rPr>
        <w:t>in</w:t>
      </w:r>
      <w:r>
        <w:rPr>
          <w:spacing w:val="-10"/>
        </w:rPr>
        <w:t> </w:t>
      </w:r>
      <w:r>
        <w:rPr>
          <w:spacing w:val="-4"/>
        </w:rPr>
        <w:t>the</w:t>
      </w:r>
      <w:r>
        <w:rPr>
          <w:spacing w:val="-10"/>
        </w:rPr>
        <w:t> </w:t>
      </w:r>
      <w:r>
        <w:rPr>
          <w:spacing w:val="-4"/>
        </w:rPr>
        <w:t>absence</w:t>
      </w:r>
      <w:r>
        <w:rPr>
          <w:spacing w:val="-10"/>
        </w:rPr>
        <w:t> </w:t>
      </w:r>
      <w:r>
        <w:rPr>
          <w:spacing w:val="-4"/>
        </w:rPr>
        <w:t>of</w:t>
      </w:r>
      <w:r>
        <w:rPr>
          <w:spacing w:val="-9"/>
        </w:rPr>
        <w:t> </w:t>
      </w:r>
      <w:r>
        <w:rPr>
          <w:spacing w:val="-4"/>
        </w:rPr>
        <w:t>innovative </w:t>
      </w:r>
      <w:r>
        <w:rPr/>
        <w:t>or flexible appointment modes to fill these posts, creating enormous practical difficulties in teaching. </w:t>
      </w:r>
      <w:r>
        <w:rPr>
          <w:b/>
        </w:rPr>
        <w:t>There is a need to start a systematic affirmative </w:t>
      </w:r>
      <w:r>
        <w:rPr>
          <w:b/>
          <w:spacing w:val="-6"/>
        </w:rPr>
        <w:t>campaign</w:t>
      </w:r>
      <w:r>
        <w:rPr>
          <w:b/>
          <w:spacing w:val="-8"/>
        </w:rPr>
        <w:t> </w:t>
      </w:r>
      <w:r>
        <w:rPr>
          <w:b/>
          <w:spacing w:val="-6"/>
        </w:rPr>
        <w:t>to</w:t>
      </w:r>
      <w:r>
        <w:rPr>
          <w:b/>
          <w:spacing w:val="-8"/>
        </w:rPr>
        <w:t> </w:t>
      </w:r>
      <w:r>
        <w:rPr>
          <w:b/>
          <w:spacing w:val="-6"/>
        </w:rPr>
        <w:t>rectify</w:t>
      </w:r>
      <w:r>
        <w:rPr>
          <w:b/>
          <w:spacing w:val="-8"/>
        </w:rPr>
        <w:t> </w:t>
      </w:r>
      <w:r>
        <w:rPr>
          <w:b/>
          <w:spacing w:val="-6"/>
        </w:rPr>
        <w:t>this</w:t>
      </w:r>
      <w:r>
        <w:rPr>
          <w:b/>
          <w:spacing w:val="-7"/>
        </w:rPr>
        <w:t> </w:t>
      </w:r>
      <w:r>
        <w:rPr>
          <w:b/>
          <w:spacing w:val="-6"/>
        </w:rPr>
        <w:t>situation.</w:t>
      </w:r>
      <w:r>
        <w:rPr>
          <w:b/>
          <w:spacing w:val="-8"/>
        </w:rPr>
        <w:t> </w:t>
      </w:r>
      <w:r>
        <w:rPr>
          <w:spacing w:val="-6"/>
        </w:rPr>
        <w:t>Young</w:t>
      </w:r>
      <w:r>
        <w:rPr>
          <w:spacing w:val="-8"/>
        </w:rPr>
        <w:t> </w:t>
      </w:r>
      <w:r>
        <w:rPr>
          <w:spacing w:val="-6"/>
        </w:rPr>
        <w:t>students</w:t>
      </w:r>
      <w:r>
        <w:rPr>
          <w:spacing w:val="-8"/>
        </w:rPr>
        <w:t> </w:t>
      </w:r>
      <w:r>
        <w:rPr>
          <w:spacing w:val="-6"/>
        </w:rPr>
        <w:t>who </w:t>
      </w:r>
      <w:r>
        <w:rPr>
          <w:spacing w:val="-4"/>
        </w:rPr>
        <w:t>can</w:t>
      </w:r>
      <w:r>
        <w:rPr>
          <w:spacing w:val="-8"/>
        </w:rPr>
        <w:t> </w:t>
      </w:r>
      <w:r>
        <w:rPr>
          <w:spacing w:val="-4"/>
        </w:rPr>
        <w:t>eventually</w:t>
      </w:r>
      <w:r>
        <w:rPr>
          <w:spacing w:val="-8"/>
        </w:rPr>
        <w:t> </w:t>
      </w:r>
      <w:r>
        <w:rPr>
          <w:spacing w:val="-4"/>
        </w:rPr>
        <w:t>fill</w:t>
      </w:r>
      <w:r>
        <w:rPr>
          <w:spacing w:val="-8"/>
        </w:rPr>
        <w:t> </w:t>
      </w:r>
      <w:r>
        <w:rPr>
          <w:spacing w:val="-4"/>
        </w:rPr>
        <w:t>these</w:t>
      </w:r>
      <w:r>
        <w:rPr>
          <w:spacing w:val="-8"/>
        </w:rPr>
        <w:t> </w:t>
      </w:r>
      <w:r>
        <w:rPr>
          <w:spacing w:val="-4"/>
        </w:rPr>
        <w:t>posts</w:t>
      </w:r>
      <w:r>
        <w:rPr>
          <w:spacing w:val="-8"/>
        </w:rPr>
        <w:t> </w:t>
      </w:r>
      <w:r>
        <w:rPr>
          <w:spacing w:val="-4"/>
        </w:rPr>
        <w:t>could</w:t>
      </w:r>
      <w:r>
        <w:rPr>
          <w:spacing w:val="-8"/>
        </w:rPr>
        <w:t> </w:t>
      </w:r>
      <w:r>
        <w:rPr>
          <w:spacing w:val="-4"/>
        </w:rPr>
        <w:t>be</w:t>
      </w:r>
      <w:r>
        <w:rPr>
          <w:spacing w:val="-8"/>
        </w:rPr>
        <w:t> </w:t>
      </w:r>
      <w:r>
        <w:rPr>
          <w:spacing w:val="-4"/>
        </w:rPr>
        <w:t>selected</w:t>
      </w:r>
      <w:r>
        <w:rPr>
          <w:spacing w:val="-8"/>
        </w:rPr>
        <w:t> </w:t>
      </w:r>
      <w:r>
        <w:rPr>
          <w:spacing w:val="-4"/>
        </w:rPr>
        <w:t>from</w:t>
      </w:r>
      <w:r>
        <w:rPr>
          <w:spacing w:val="-8"/>
        </w:rPr>
        <w:t> </w:t>
      </w:r>
      <w:r>
        <w:rPr>
          <w:spacing w:val="-4"/>
        </w:rPr>
        <w:t>an </w:t>
      </w:r>
      <w:r>
        <w:rPr/>
        <w:t>early</w:t>
      </w:r>
      <w:r>
        <w:rPr>
          <w:spacing w:val="-3"/>
        </w:rPr>
        <w:t> </w:t>
      </w:r>
      <w:r>
        <w:rPr/>
        <w:t>age</w:t>
      </w:r>
      <w:r>
        <w:rPr>
          <w:spacing w:val="-3"/>
        </w:rPr>
        <w:t> </w:t>
      </w:r>
      <w:r>
        <w:rPr/>
        <w:t>and</w:t>
      </w:r>
      <w:r>
        <w:rPr>
          <w:spacing w:val="-3"/>
        </w:rPr>
        <w:t> </w:t>
      </w:r>
      <w:r>
        <w:rPr/>
        <w:t>nurtured</w:t>
      </w:r>
      <w:r>
        <w:rPr>
          <w:spacing w:val="-3"/>
        </w:rPr>
        <w:t> </w:t>
      </w:r>
      <w:r>
        <w:rPr/>
        <w:t>and</w:t>
      </w:r>
      <w:r>
        <w:rPr>
          <w:spacing w:val="-3"/>
        </w:rPr>
        <w:t> </w:t>
      </w:r>
      <w:r>
        <w:rPr/>
        <w:t>trained</w:t>
      </w:r>
      <w:r>
        <w:rPr>
          <w:spacing w:val="-3"/>
        </w:rPr>
        <w:t> </w:t>
      </w:r>
      <w:r>
        <w:rPr/>
        <w:t>carefully</w:t>
      </w:r>
      <w:r>
        <w:rPr>
          <w:spacing w:val="-3"/>
        </w:rPr>
        <w:t> </w:t>
      </w:r>
      <w:r>
        <w:rPr/>
        <w:t>to</w:t>
      </w:r>
      <w:r>
        <w:rPr>
          <w:spacing w:val="-3"/>
        </w:rPr>
        <w:t> </w:t>
      </w:r>
      <w:r>
        <w:rPr/>
        <w:t>induct them into a career in teaching.</w:t>
      </w:r>
    </w:p>
    <w:p>
      <w:pPr>
        <w:pStyle w:val="Heading6"/>
        <w:numPr>
          <w:ilvl w:val="0"/>
          <w:numId w:val="34"/>
        </w:numPr>
        <w:tabs>
          <w:tab w:pos="643" w:val="left" w:leader="none"/>
          <w:tab w:pos="645" w:val="left" w:leader="none"/>
        </w:tabs>
        <w:spacing w:line="182" w:lineRule="auto" w:before="244" w:after="0"/>
        <w:ind w:left="645" w:right="1281" w:hanging="327"/>
        <w:jc w:val="left"/>
      </w:pPr>
      <w:r>
        <w:rPr>
          <w:color w:val="2E614A"/>
          <w:spacing w:val="-6"/>
        </w:rPr>
        <w:t>Revamp</w:t>
      </w:r>
      <w:r>
        <w:rPr>
          <w:color w:val="2E614A"/>
          <w:spacing w:val="-14"/>
        </w:rPr>
        <w:t> </w:t>
      </w:r>
      <w:r>
        <w:rPr>
          <w:color w:val="2E614A"/>
          <w:spacing w:val="-6"/>
        </w:rPr>
        <w:t>teacher</w:t>
      </w:r>
      <w:r>
        <w:rPr>
          <w:color w:val="2E614A"/>
          <w:spacing w:val="-14"/>
        </w:rPr>
        <w:t> </w:t>
      </w:r>
      <w:r>
        <w:rPr>
          <w:color w:val="2E614A"/>
          <w:spacing w:val="-6"/>
        </w:rPr>
        <w:t>training</w:t>
      </w:r>
      <w:r>
        <w:rPr>
          <w:color w:val="2E614A"/>
          <w:spacing w:val="-14"/>
        </w:rPr>
        <w:t> </w:t>
      </w:r>
      <w:r>
        <w:rPr>
          <w:color w:val="2E614A"/>
          <w:spacing w:val="-6"/>
        </w:rPr>
        <w:t>at</w:t>
      </w:r>
      <w:r>
        <w:rPr>
          <w:color w:val="2E614A"/>
          <w:spacing w:val="-14"/>
        </w:rPr>
        <w:t> </w:t>
      </w:r>
      <w:r>
        <w:rPr>
          <w:color w:val="2E614A"/>
          <w:spacing w:val="-6"/>
        </w:rPr>
        <w:t>all </w:t>
      </w:r>
      <w:r>
        <w:rPr>
          <w:color w:val="2E614A"/>
          <w:spacing w:val="-8"/>
        </w:rPr>
        <w:t>levels</w:t>
      </w:r>
      <w:r>
        <w:rPr>
          <w:color w:val="2E614A"/>
          <w:spacing w:val="-12"/>
        </w:rPr>
        <w:t> </w:t>
      </w:r>
      <w:r>
        <w:rPr>
          <w:color w:val="2E614A"/>
          <w:spacing w:val="-8"/>
        </w:rPr>
        <w:t>and</w:t>
      </w:r>
      <w:r>
        <w:rPr>
          <w:color w:val="2E614A"/>
          <w:spacing w:val="-12"/>
        </w:rPr>
        <w:t> </w:t>
      </w:r>
      <w:r>
        <w:rPr>
          <w:color w:val="2E614A"/>
          <w:spacing w:val="-8"/>
        </w:rPr>
        <w:t>promote</w:t>
      </w:r>
      <w:r>
        <w:rPr>
          <w:color w:val="2E614A"/>
          <w:spacing w:val="-12"/>
        </w:rPr>
        <w:t> </w:t>
      </w:r>
      <w:r>
        <w:rPr>
          <w:color w:val="2E614A"/>
          <w:spacing w:val="-8"/>
        </w:rPr>
        <w:t>development </w:t>
      </w:r>
      <w:r>
        <w:rPr>
          <w:color w:val="2E614A"/>
          <w:spacing w:val="-10"/>
        </w:rPr>
        <w:t>of teaching aids to retain </w:t>
      </w:r>
      <w:r>
        <w:rPr>
          <w:color w:val="2E614A"/>
          <w:spacing w:val="-10"/>
        </w:rPr>
        <w:t>student </w:t>
      </w:r>
      <w:r>
        <w:rPr>
          <w:color w:val="2E614A"/>
        </w:rPr>
        <w:t>attention</w:t>
      </w:r>
      <w:r>
        <w:rPr>
          <w:color w:val="2E614A"/>
          <w:spacing w:val="-20"/>
        </w:rPr>
        <w:t> </w:t>
      </w:r>
      <w:r>
        <w:rPr>
          <w:color w:val="2E614A"/>
        </w:rPr>
        <w:t>in</w:t>
      </w:r>
      <w:r>
        <w:rPr>
          <w:color w:val="2E614A"/>
          <w:spacing w:val="-20"/>
        </w:rPr>
        <w:t> </w:t>
      </w:r>
      <w:r>
        <w:rPr>
          <w:color w:val="2E614A"/>
        </w:rPr>
        <w:t>classrooms</w:t>
      </w:r>
    </w:p>
    <w:p>
      <w:pPr>
        <w:pStyle w:val="BodyText"/>
        <w:spacing w:line="266" w:lineRule="auto" w:before="303"/>
        <w:ind w:left="319" w:right="1077"/>
        <w:jc w:val="both"/>
      </w:pPr>
      <w:r>
        <w:rPr/>
        <w:t>A</w:t>
      </w:r>
      <w:r>
        <w:rPr>
          <w:spacing w:val="-11"/>
        </w:rPr>
        <w:t> </w:t>
      </w:r>
      <w:r>
        <w:rPr/>
        <w:t>systemic</w:t>
      </w:r>
      <w:r>
        <w:rPr>
          <w:spacing w:val="-11"/>
        </w:rPr>
        <w:t> </w:t>
      </w:r>
      <w:r>
        <w:rPr/>
        <w:t>change</w:t>
      </w:r>
      <w:r>
        <w:rPr>
          <w:spacing w:val="-11"/>
        </w:rPr>
        <w:t> </w:t>
      </w:r>
      <w:r>
        <w:rPr/>
        <w:t>in</w:t>
      </w:r>
      <w:r>
        <w:rPr>
          <w:spacing w:val="-11"/>
        </w:rPr>
        <w:t> </w:t>
      </w:r>
      <w:r>
        <w:rPr/>
        <w:t>science</w:t>
      </w:r>
      <w:r>
        <w:rPr>
          <w:spacing w:val="-11"/>
        </w:rPr>
        <w:t> </w:t>
      </w:r>
      <w:r>
        <w:rPr/>
        <w:t>pedagogy</w:t>
      </w:r>
      <w:r>
        <w:rPr>
          <w:spacing w:val="-11"/>
        </w:rPr>
        <w:t> </w:t>
      </w:r>
      <w:r>
        <w:rPr/>
        <w:t>from</w:t>
      </w:r>
      <w:r>
        <w:rPr>
          <w:spacing w:val="-11"/>
        </w:rPr>
        <w:t> </w:t>
      </w:r>
      <w:r>
        <w:rPr/>
        <w:t>primary and high school levels is required.</w:t>
      </w:r>
      <w:r>
        <w:rPr>
          <w:spacing w:val="-3"/>
        </w:rPr>
        <w:t> </w:t>
      </w:r>
      <w:r>
        <w:rPr/>
        <w:t>There is a need to launch a large scale in-service training program for all</w:t>
      </w:r>
      <w:r>
        <w:rPr>
          <w:spacing w:val="-9"/>
        </w:rPr>
        <w:t> </w:t>
      </w:r>
      <w:r>
        <w:rPr/>
        <w:t>science</w:t>
      </w:r>
      <w:r>
        <w:rPr>
          <w:spacing w:val="-9"/>
        </w:rPr>
        <w:t> </w:t>
      </w:r>
      <w:r>
        <w:rPr/>
        <w:t>teachers</w:t>
      </w:r>
      <w:r>
        <w:rPr>
          <w:spacing w:val="-9"/>
        </w:rPr>
        <w:t> </w:t>
      </w:r>
      <w:r>
        <w:rPr/>
        <w:t>based</w:t>
      </w:r>
      <w:r>
        <w:rPr>
          <w:spacing w:val="-9"/>
        </w:rPr>
        <w:t> </w:t>
      </w:r>
      <w:r>
        <w:rPr/>
        <w:t>on</w:t>
      </w:r>
      <w:r>
        <w:rPr>
          <w:spacing w:val="-9"/>
        </w:rPr>
        <w:t> </w:t>
      </w:r>
      <w:r>
        <w:rPr/>
        <w:t>the</w:t>
      </w:r>
      <w:r>
        <w:rPr>
          <w:spacing w:val="-9"/>
        </w:rPr>
        <w:t> </w:t>
      </w:r>
      <w:r>
        <w:rPr/>
        <w:t>initiative</w:t>
      </w:r>
      <w:r>
        <w:rPr>
          <w:spacing w:val="-9"/>
        </w:rPr>
        <w:t> </w:t>
      </w:r>
      <w:r>
        <w:rPr/>
        <w:t>undertaken by</w:t>
      </w:r>
      <w:r>
        <w:rPr>
          <w:spacing w:val="-14"/>
        </w:rPr>
        <w:t> </w:t>
      </w:r>
      <w:r>
        <w:rPr/>
        <w:t>Science</w:t>
      </w:r>
      <w:r>
        <w:rPr>
          <w:spacing w:val="-14"/>
        </w:rPr>
        <w:t> </w:t>
      </w:r>
      <w:r>
        <w:rPr/>
        <w:t>academies.</w:t>
      </w:r>
      <w:r>
        <w:rPr>
          <w:spacing w:val="-14"/>
        </w:rPr>
        <w:t> </w:t>
      </w:r>
      <w:r>
        <w:rPr/>
        <w:t>At</w:t>
      </w:r>
      <w:r>
        <w:rPr>
          <w:spacing w:val="-13"/>
        </w:rPr>
        <w:t> </w:t>
      </w:r>
      <w:r>
        <w:rPr/>
        <w:t>the</w:t>
      </w:r>
      <w:r>
        <w:rPr>
          <w:spacing w:val="-14"/>
        </w:rPr>
        <w:t> </w:t>
      </w:r>
      <w:r>
        <w:rPr/>
        <w:t>undergraduate</w:t>
      </w:r>
      <w:r>
        <w:rPr>
          <w:spacing w:val="-14"/>
        </w:rPr>
        <w:t> </w:t>
      </w:r>
      <w:r>
        <w:rPr/>
        <w:t>level,</w:t>
      </w:r>
      <w:r>
        <w:rPr>
          <w:spacing w:val="-14"/>
        </w:rPr>
        <w:t> </w:t>
      </w:r>
      <w:r>
        <w:rPr/>
        <w:t>the present</w:t>
      </w:r>
      <w:r>
        <w:rPr>
          <w:spacing w:val="-8"/>
        </w:rPr>
        <w:t> </w:t>
      </w:r>
      <w:r>
        <w:rPr/>
        <w:t>method</w:t>
      </w:r>
      <w:r>
        <w:rPr>
          <w:spacing w:val="-8"/>
        </w:rPr>
        <w:t> </w:t>
      </w:r>
      <w:r>
        <w:rPr/>
        <w:t>of</w:t>
      </w:r>
      <w:r>
        <w:rPr>
          <w:spacing w:val="-8"/>
        </w:rPr>
        <w:t> </w:t>
      </w:r>
      <w:r>
        <w:rPr/>
        <w:t>faculty</w:t>
      </w:r>
      <w:r>
        <w:rPr>
          <w:spacing w:val="-8"/>
        </w:rPr>
        <w:t> </w:t>
      </w:r>
      <w:r>
        <w:rPr/>
        <w:t>training</w:t>
      </w:r>
      <w:r>
        <w:rPr>
          <w:spacing w:val="-8"/>
        </w:rPr>
        <w:t> </w:t>
      </w:r>
      <w:r>
        <w:rPr/>
        <w:t>conducted</w:t>
      </w:r>
      <w:r>
        <w:rPr>
          <w:spacing w:val="-8"/>
        </w:rPr>
        <w:t> </w:t>
      </w:r>
      <w:r>
        <w:rPr/>
        <w:t>by</w:t>
      </w:r>
      <w:r>
        <w:rPr>
          <w:spacing w:val="-8"/>
        </w:rPr>
        <w:t> </w:t>
      </w:r>
      <w:r>
        <w:rPr/>
        <w:t>Staff Training Institutes/Centres should be reviewed and revamped. In addition, there is a need to provide a platform for life long skill enhancement of teachers. Teacher organisations like the Indian Association of </w:t>
      </w:r>
      <w:r>
        <w:rPr>
          <w:spacing w:val="-6"/>
        </w:rPr>
        <w:t>Physics</w:t>
      </w:r>
      <w:r>
        <w:rPr>
          <w:spacing w:val="-11"/>
        </w:rPr>
        <w:t> </w:t>
      </w:r>
      <w:r>
        <w:rPr>
          <w:spacing w:val="-6"/>
        </w:rPr>
        <w:t>Teachers</w:t>
      </w:r>
      <w:r>
        <w:rPr>
          <w:spacing w:val="1"/>
        </w:rPr>
        <w:t> </w:t>
      </w:r>
      <w:r>
        <w:rPr>
          <w:spacing w:val="-6"/>
        </w:rPr>
        <w:t>should</w:t>
      </w:r>
      <w:r>
        <w:rPr>
          <w:spacing w:val="1"/>
        </w:rPr>
        <w:t> </w:t>
      </w:r>
      <w:r>
        <w:rPr>
          <w:spacing w:val="-6"/>
        </w:rPr>
        <w:t>be</w:t>
      </w:r>
      <w:r>
        <w:rPr/>
        <w:t> </w:t>
      </w:r>
      <w:r>
        <w:rPr>
          <w:spacing w:val="-6"/>
        </w:rPr>
        <w:t>strengthened</w:t>
      </w:r>
      <w:r>
        <w:rPr>
          <w:spacing w:val="1"/>
        </w:rPr>
        <w:t> </w:t>
      </w:r>
      <w:r>
        <w:rPr>
          <w:spacing w:val="-6"/>
        </w:rPr>
        <w:t>and</w:t>
      </w:r>
      <w:r>
        <w:rPr>
          <w:spacing w:val="1"/>
        </w:rPr>
        <w:t> </w:t>
      </w:r>
      <w:r>
        <w:rPr>
          <w:spacing w:val="-6"/>
        </w:rPr>
        <w:t>financially</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spacing w:val="-6"/>
        </w:rPr>
        <w:t>supported so that they can become leaders in </w:t>
      </w:r>
      <w:r>
        <w:rPr>
          <w:spacing w:val="-6"/>
        </w:rPr>
        <w:t>developing </w:t>
      </w:r>
      <w:r>
        <w:rPr/>
        <w:t>new teaching methodologies and make significant contributions to content and evaluation reforms.</w:t>
      </w:r>
    </w:p>
    <w:p>
      <w:pPr>
        <w:pStyle w:val="BodyText"/>
        <w:spacing w:before="3"/>
      </w:pPr>
    </w:p>
    <w:p>
      <w:pPr>
        <w:pStyle w:val="Heading6"/>
        <w:numPr>
          <w:ilvl w:val="0"/>
          <w:numId w:val="34"/>
        </w:numPr>
        <w:tabs>
          <w:tab w:pos="1404" w:val="left" w:leader="none"/>
          <w:tab w:pos="1406" w:val="left" w:leader="none"/>
        </w:tabs>
        <w:spacing w:line="182" w:lineRule="auto" w:before="0" w:after="0"/>
        <w:ind w:left="1406" w:right="137" w:hanging="327"/>
        <w:jc w:val="left"/>
      </w:pPr>
      <w:r>
        <w:rPr>
          <w:color w:val="2E614A"/>
          <w:w w:val="90"/>
        </w:rPr>
        <w:t>Restructure</w:t>
      </w:r>
      <w:r>
        <w:rPr>
          <w:color w:val="2E614A"/>
          <w:spacing w:val="-8"/>
          <w:w w:val="90"/>
        </w:rPr>
        <w:t> </w:t>
      </w:r>
      <w:r>
        <w:rPr>
          <w:color w:val="2E614A"/>
          <w:w w:val="90"/>
        </w:rPr>
        <w:t>masters</w:t>
      </w:r>
      <w:r>
        <w:rPr>
          <w:color w:val="2E614A"/>
          <w:spacing w:val="-8"/>
          <w:w w:val="90"/>
        </w:rPr>
        <w:t> </w:t>
      </w:r>
      <w:r>
        <w:rPr>
          <w:color w:val="2E614A"/>
          <w:w w:val="90"/>
        </w:rPr>
        <w:t>and</w:t>
      </w:r>
      <w:r>
        <w:rPr>
          <w:color w:val="2E614A"/>
          <w:spacing w:val="-8"/>
          <w:w w:val="90"/>
        </w:rPr>
        <w:t> </w:t>
      </w:r>
      <w:r>
        <w:rPr>
          <w:color w:val="2E614A"/>
          <w:w w:val="90"/>
        </w:rPr>
        <w:t>graduate </w:t>
      </w:r>
      <w:r>
        <w:rPr>
          <w:color w:val="2E614A"/>
          <w:spacing w:val="-4"/>
        </w:rPr>
        <w:t>degrees</w:t>
      </w:r>
      <w:r>
        <w:rPr>
          <w:color w:val="2E614A"/>
          <w:spacing w:val="-16"/>
        </w:rPr>
        <w:t> </w:t>
      </w:r>
      <w:r>
        <w:rPr>
          <w:color w:val="2E614A"/>
          <w:spacing w:val="-4"/>
        </w:rPr>
        <w:t>to</w:t>
      </w:r>
      <w:r>
        <w:rPr>
          <w:color w:val="2E614A"/>
          <w:spacing w:val="-16"/>
        </w:rPr>
        <w:t> </w:t>
      </w:r>
      <w:r>
        <w:rPr>
          <w:color w:val="2E614A"/>
          <w:spacing w:val="-4"/>
        </w:rPr>
        <w:t>promote</w:t>
      </w:r>
      <w:r>
        <w:rPr>
          <w:color w:val="2E614A"/>
          <w:spacing w:val="-16"/>
        </w:rPr>
        <w:t> </w:t>
      </w:r>
      <w:r>
        <w:rPr>
          <w:color w:val="2E614A"/>
          <w:spacing w:val="-4"/>
        </w:rPr>
        <w:t>career flexibility</w:t>
      </w:r>
      <w:r>
        <w:rPr>
          <w:color w:val="2E614A"/>
          <w:spacing w:val="-16"/>
        </w:rPr>
        <w:t> </w:t>
      </w:r>
      <w:r>
        <w:rPr>
          <w:color w:val="2E614A"/>
          <w:spacing w:val="-4"/>
        </w:rPr>
        <w:t>after</w:t>
      </w:r>
      <w:r>
        <w:rPr>
          <w:color w:val="2E614A"/>
          <w:spacing w:val="-16"/>
        </w:rPr>
        <w:t> </w:t>
      </w:r>
      <w:r>
        <w:rPr>
          <w:color w:val="2E614A"/>
          <w:spacing w:val="-4"/>
        </w:rPr>
        <w:t>graduation</w:t>
      </w:r>
    </w:p>
    <w:p>
      <w:pPr>
        <w:pStyle w:val="BodyText"/>
        <w:spacing w:line="266" w:lineRule="auto" w:before="303"/>
        <w:ind w:left="1080"/>
        <w:jc w:val="both"/>
      </w:pPr>
      <w:r>
        <w:rPr/>
        <w:t>To</w:t>
      </w:r>
      <w:r>
        <w:rPr>
          <w:spacing w:val="-9"/>
        </w:rPr>
        <w:t> </w:t>
      </w:r>
      <w:r>
        <w:rPr/>
        <w:t>bring</w:t>
      </w:r>
      <w:r>
        <w:rPr>
          <w:spacing w:val="-9"/>
        </w:rPr>
        <w:t> </w:t>
      </w:r>
      <w:r>
        <w:rPr/>
        <w:t>graduate</w:t>
      </w:r>
      <w:r>
        <w:rPr>
          <w:spacing w:val="-9"/>
        </w:rPr>
        <w:t> </w:t>
      </w:r>
      <w:r>
        <w:rPr/>
        <w:t>degrees</w:t>
      </w:r>
      <w:r>
        <w:rPr>
          <w:spacing w:val="-9"/>
        </w:rPr>
        <w:t> </w:t>
      </w:r>
      <w:r>
        <w:rPr/>
        <w:t>in</w:t>
      </w:r>
      <w:r>
        <w:rPr>
          <w:spacing w:val="-9"/>
        </w:rPr>
        <w:t> </w:t>
      </w:r>
      <w:r>
        <w:rPr/>
        <w:t>science</w:t>
      </w:r>
      <w:r>
        <w:rPr>
          <w:spacing w:val="-9"/>
        </w:rPr>
        <w:t> </w:t>
      </w:r>
      <w:r>
        <w:rPr/>
        <w:t>at</w:t>
      </w:r>
      <w:r>
        <w:rPr>
          <w:spacing w:val="-9"/>
        </w:rPr>
        <w:t> </w:t>
      </w:r>
      <w:r>
        <w:rPr/>
        <w:t>par</w:t>
      </w:r>
      <w:r>
        <w:rPr>
          <w:spacing w:val="-9"/>
        </w:rPr>
        <w:t> </w:t>
      </w:r>
      <w:r>
        <w:rPr/>
        <w:t>with</w:t>
      </w:r>
      <w:r>
        <w:rPr>
          <w:spacing w:val="-9"/>
        </w:rPr>
        <w:t> </w:t>
      </w:r>
      <w:r>
        <w:rPr/>
        <w:t>other professional</w:t>
      </w:r>
      <w:r>
        <w:rPr>
          <w:spacing w:val="-4"/>
        </w:rPr>
        <w:t> </w:t>
      </w:r>
      <w:r>
        <w:rPr/>
        <w:t>streams,</w:t>
      </w:r>
      <w:r>
        <w:rPr>
          <w:spacing w:val="-4"/>
        </w:rPr>
        <w:t> </w:t>
      </w:r>
      <w:r>
        <w:rPr/>
        <w:t>a</w:t>
      </w:r>
      <w:r>
        <w:rPr>
          <w:spacing w:val="-4"/>
        </w:rPr>
        <w:t> </w:t>
      </w:r>
      <w:r>
        <w:rPr/>
        <w:t>four</w:t>
      </w:r>
      <w:r>
        <w:rPr>
          <w:spacing w:val="-4"/>
        </w:rPr>
        <w:t> </w:t>
      </w:r>
      <w:r>
        <w:rPr/>
        <w:t>year</w:t>
      </w:r>
      <w:r>
        <w:rPr>
          <w:spacing w:val="-4"/>
        </w:rPr>
        <w:t> </w:t>
      </w:r>
      <w:r>
        <w:rPr/>
        <w:t>Bachelor</w:t>
      </w:r>
      <w:r>
        <w:rPr>
          <w:spacing w:val="-4"/>
        </w:rPr>
        <w:t> </w:t>
      </w:r>
      <w:r>
        <w:rPr/>
        <w:t>in</w:t>
      </w:r>
      <w:r>
        <w:rPr>
          <w:spacing w:val="-4"/>
        </w:rPr>
        <w:t> </w:t>
      </w:r>
      <w:r>
        <w:rPr/>
        <w:t>Science (flexible and modular in nature) is proposed. This degree</w:t>
      </w:r>
      <w:r>
        <w:rPr>
          <w:spacing w:val="-10"/>
        </w:rPr>
        <w:t> </w:t>
      </w:r>
      <w:r>
        <w:rPr/>
        <w:t>course</w:t>
      </w:r>
      <w:r>
        <w:rPr>
          <w:spacing w:val="-10"/>
        </w:rPr>
        <w:t> </w:t>
      </w:r>
      <w:r>
        <w:rPr/>
        <w:t>should</w:t>
      </w:r>
      <w:r>
        <w:rPr>
          <w:spacing w:val="-10"/>
        </w:rPr>
        <w:t> </w:t>
      </w:r>
      <w:r>
        <w:rPr/>
        <w:t>be</w:t>
      </w:r>
      <w:r>
        <w:rPr>
          <w:spacing w:val="-10"/>
        </w:rPr>
        <w:t> </w:t>
      </w:r>
      <w:r>
        <w:rPr/>
        <w:t>aptly</w:t>
      </w:r>
      <w:r>
        <w:rPr>
          <w:spacing w:val="-10"/>
        </w:rPr>
        <w:t> </w:t>
      </w:r>
      <w:r>
        <w:rPr/>
        <w:t>branded</w:t>
      </w:r>
      <w:r>
        <w:rPr>
          <w:spacing w:val="-10"/>
        </w:rPr>
        <w:t> </w:t>
      </w:r>
      <w:r>
        <w:rPr/>
        <w:t>and</w:t>
      </w:r>
      <w:r>
        <w:rPr>
          <w:spacing w:val="-10"/>
        </w:rPr>
        <w:t> </w:t>
      </w:r>
      <w:r>
        <w:rPr/>
        <w:t>devised</w:t>
      </w:r>
      <w:r>
        <w:rPr>
          <w:spacing w:val="-10"/>
        </w:rPr>
        <w:t> </w:t>
      </w:r>
      <w:r>
        <w:rPr/>
        <w:t>so that it is significantly stronger than the regular three year</w:t>
      </w:r>
      <w:r>
        <w:rPr>
          <w:spacing w:val="-6"/>
        </w:rPr>
        <w:t> </w:t>
      </w:r>
      <w:r>
        <w:rPr/>
        <w:t>program.</w:t>
      </w:r>
      <w:r>
        <w:rPr>
          <w:spacing w:val="-6"/>
        </w:rPr>
        <w:t> </w:t>
      </w:r>
      <w:r>
        <w:rPr/>
        <w:t>It</w:t>
      </w:r>
      <w:r>
        <w:rPr>
          <w:spacing w:val="-6"/>
        </w:rPr>
        <w:t> </w:t>
      </w:r>
      <w:r>
        <w:rPr/>
        <w:t>should</w:t>
      </w:r>
      <w:r>
        <w:rPr>
          <w:spacing w:val="-6"/>
        </w:rPr>
        <w:t> </w:t>
      </w:r>
      <w:r>
        <w:rPr/>
        <w:t>enable</w:t>
      </w:r>
      <w:r>
        <w:rPr>
          <w:spacing w:val="-6"/>
        </w:rPr>
        <w:t> </w:t>
      </w:r>
      <w:r>
        <w:rPr/>
        <w:t>students</w:t>
      </w:r>
      <w:r>
        <w:rPr>
          <w:spacing w:val="-6"/>
        </w:rPr>
        <w:t> </w:t>
      </w:r>
      <w:r>
        <w:rPr/>
        <w:t>aspiring</w:t>
      </w:r>
      <w:r>
        <w:rPr>
          <w:spacing w:val="-6"/>
        </w:rPr>
        <w:t> </w:t>
      </w:r>
      <w:r>
        <w:rPr/>
        <w:t>for</w:t>
      </w:r>
      <w:r>
        <w:rPr>
          <w:spacing w:val="-6"/>
        </w:rPr>
        <w:t> </w:t>
      </w:r>
      <w:r>
        <w:rPr/>
        <w:t>a research career to directly enter a Ph.D program. For others,</w:t>
      </w:r>
      <w:r>
        <w:rPr>
          <w:spacing w:val="-4"/>
        </w:rPr>
        <w:t> </w:t>
      </w:r>
      <w:r>
        <w:rPr/>
        <w:t>it</w:t>
      </w:r>
      <w:r>
        <w:rPr>
          <w:spacing w:val="-2"/>
        </w:rPr>
        <w:t> </w:t>
      </w:r>
      <w:r>
        <w:rPr/>
        <w:t>should</w:t>
      </w:r>
      <w:r>
        <w:rPr>
          <w:spacing w:val="-2"/>
        </w:rPr>
        <w:t> </w:t>
      </w:r>
      <w:r>
        <w:rPr/>
        <w:t>provide</w:t>
      </w:r>
      <w:r>
        <w:rPr>
          <w:spacing w:val="-2"/>
        </w:rPr>
        <w:t> </w:t>
      </w:r>
      <w:r>
        <w:rPr/>
        <w:t>them</w:t>
      </w:r>
      <w:r>
        <w:rPr>
          <w:spacing w:val="-2"/>
        </w:rPr>
        <w:t> </w:t>
      </w:r>
      <w:r>
        <w:rPr/>
        <w:t>with</w:t>
      </w:r>
      <w:r>
        <w:rPr>
          <w:spacing w:val="-2"/>
        </w:rPr>
        <w:t> </w:t>
      </w:r>
      <w:r>
        <w:rPr/>
        <w:t>measurable</w:t>
      </w:r>
      <w:r>
        <w:rPr>
          <w:spacing w:val="-2"/>
        </w:rPr>
        <w:t> </w:t>
      </w:r>
      <w:r>
        <w:rPr/>
        <w:t>value </w:t>
      </w:r>
      <w:r>
        <w:rPr>
          <w:w w:val="90"/>
        </w:rPr>
        <w:t>additions like interdisciplinary skills, niche skills required </w:t>
      </w:r>
      <w:r>
        <w:rPr/>
        <w:t>in</w:t>
      </w:r>
      <w:r>
        <w:rPr>
          <w:spacing w:val="-2"/>
        </w:rPr>
        <w:t> </w:t>
      </w:r>
      <w:r>
        <w:rPr/>
        <w:t>industry,</w:t>
      </w:r>
      <w:r>
        <w:rPr>
          <w:spacing w:val="-2"/>
        </w:rPr>
        <w:t> </w:t>
      </w:r>
      <w:r>
        <w:rPr/>
        <w:t>or</w:t>
      </w:r>
      <w:r>
        <w:rPr>
          <w:spacing w:val="-2"/>
        </w:rPr>
        <w:t> </w:t>
      </w:r>
      <w:r>
        <w:rPr/>
        <w:t>rigorous</w:t>
      </w:r>
      <w:r>
        <w:rPr>
          <w:spacing w:val="-2"/>
        </w:rPr>
        <w:t> </w:t>
      </w:r>
      <w:r>
        <w:rPr/>
        <w:t>training</w:t>
      </w:r>
      <w:r>
        <w:rPr>
          <w:spacing w:val="-2"/>
        </w:rPr>
        <w:t> </w:t>
      </w:r>
      <w:r>
        <w:rPr/>
        <w:t>in</w:t>
      </w:r>
      <w:r>
        <w:rPr>
          <w:spacing w:val="-2"/>
        </w:rPr>
        <w:t> </w:t>
      </w:r>
      <w:r>
        <w:rPr/>
        <w:t>science</w:t>
      </w:r>
      <w:r>
        <w:rPr>
          <w:spacing w:val="-2"/>
        </w:rPr>
        <w:t> </w:t>
      </w:r>
      <w:r>
        <w:rPr/>
        <w:t>education, science</w:t>
      </w:r>
      <w:r>
        <w:rPr>
          <w:spacing w:val="-14"/>
        </w:rPr>
        <w:t> </w:t>
      </w:r>
      <w:r>
        <w:rPr/>
        <w:t>communication</w:t>
      </w:r>
      <w:r>
        <w:rPr>
          <w:spacing w:val="-14"/>
        </w:rPr>
        <w:t> </w:t>
      </w:r>
      <w:r>
        <w:rPr/>
        <w:t>etc.</w:t>
      </w:r>
      <w:r>
        <w:rPr>
          <w:spacing w:val="-14"/>
        </w:rPr>
        <w:t> </w:t>
      </w:r>
      <w:r>
        <w:rPr/>
        <w:t>To</w:t>
      </w:r>
      <w:r>
        <w:rPr>
          <w:spacing w:val="-13"/>
        </w:rPr>
        <w:t> </w:t>
      </w:r>
      <w:r>
        <w:rPr/>
        <w:t>ensure</w:t>
      </w:r>
      <w:r>
        <w:rPr>
          <w:spacing w:val="-14"/>
        </w:rPr>
        <w:t> </w:t>
      </w:r>
      <w:r>
        <w:rPr/>
        <w:t>the</w:t>
      </w:r>
      <w:r>
        <w:rPr>
          <w:spacing w:val="-14"/>
        </w:rPr>
        <w:t> </w:t>
      </w:r>
      <w:r>
        <w:rPr/>
        <w:t>success</w:t>
      </w:r>
      <w:r>
        <w:rPr>
          <w:spacing w:val="-14"/>
        </w:rPr>
        <w:t> </w:t>
      </w:r>
      <w:r>
        <w:rPr/>
        <w:t>and </w:t>
      </w:r>
      <w:r>
        <w:rPr>
          <w:spacing w:val="-4"/>
        </w:rPr>
        <w:t>acceptability</w:t>
      </w:r>
      <w:r>
        <w:rPr>
          <w:spacing w:val="-8"/>
        </w:rPr>
        <w:t> </w:t>
      </w:r>
      <w:r>
        <w:rPr>
          <w:spacing w:val="-4"/>
        </w:rPr>
        <w:t>of</w:t>
      </w:r>
      <w:r>
        <w:rPr>
          <w:spacing w:val="-8"/>
        </w:rPr>
        <w:t> </w:t>
      </w:r>
      <w:r>
        <w:rPr>
          <w:spacing w:val="-4"/>
        </w:rPr>
        <w:t>such</w:t>
      </w:r>
      <w:r>
        <w:rPr>
          <w:spacing w:val="-8"/>
        </w:rPr>
        <w:t> </w:t>
      </w:r>
      <w:r>
        <w:rPr>
          <w:spacing w:val="-4"/>
        </w:rPr>
        <w:t>programs,</w:t>
      </w:r>
      <w:r>
        <w:rPr>
          <w:spacing w:val="-8"/>
        </w:rPr>
        <w:t> </w:t>
      </w:r>
      <w:r>
        <w:rPr>
          <w:spacing w:val="-4"/>
        </w:rPr>
        <w:t>the</w:t>
      </w:r>
      <w:r>
        <w:rPr>
          <w:spacing w:val="-8"/>
        </w:rPr>
        <w:t> </w:t>
      </w:r>
      <w:r>
        <w:rPr>
          <w:spacing w:val="-4"/>
        </w:rPr>
        <w:t>course</w:t>
      </w:r>
      <w:r>
        <w:rPr>
          <w:spacing w:val="-8"/>
        </w:rPr>
        <w:t> </w:t>
      </w:r>
      <w:r>
        <w:rPr>
          <w:spacing w:val="-4"/>
        </w:rPr>
        <w:t>content</w:t>
      </w:r>
      <w:r>
        <w:rPr>
          <w:spacing w:val="-8"/>
        </w:rPr>
        <w:t> </w:t>
      </w:r>
      <w:r>
        <w:rPr>
          <w:spacing w:val="-4"/>
        </w:rPr>
        <w:t>must </w:t>
      </w:r>
      <w:r>
        <w:rPr/>
        <w:t>be</w:t>
      </w:r>
      <w:r>
        <w:rPr>
          <w:spacing w:val="-14"/>
        </w:rPr>
        <w:t> </w:t>
      </w:r>
      <w:r>
        <w:rPr/>
        <w:t>planned</w:t>
      </w:r>
      <w:r>
        <w:rPr>
          <w:spacing w:val="-14"/>
        </w:rPr>
        <w:t> </w:t>
      </w:r>
      <w:r>
        <w:rPr/>
        <w:t>in</w:t>
      </w:r>
      <w:r>
        <w:rPr>
          <w:spacing w:val="-14"/>
        </w:rPr>
        <w:t> </w:t>
      </w:r>
      <w:r>
        <w:rPr/>
        <w:t>consultation</w:t>
      </w:r>
      <w:r>
        <w:rPr>
          <w:spacing w:val="-13"/>
        </w:rPr>
        <w:t> </w:t>
      </w:r>
      <w:r>
        <w:rPr/>
        <w:t>with</w:t>
      </w:r>
      <w:r>
        <w:rPr>
          <w:spacing w:val="-14"/>
        </w:rPr>
        <w:t> </w:t>
      </w:r>
      <w:r>
        <w:rPr/>
        <w:t>diverse</w:t>
      </w:r>
      <w:r>
        <w:rPr>
          <w:spacing w:val="-14"/>
        </w:rPr>
        <w:t> </w:t>
      </w:r>
      <w:r>
        <w:rPr/>
        <w:t>expert</w:t>
      </w:r>
      <w:r>
        <w:rPr>
          <w:spacing w:val="-14"/>
        </w:rPr>
        <w:t> </w:t>
      </w:r>
      <w:r>
        <w:rPr/>
        <w:t>groups, and implemented at institutions with a proven track record of success. Simultaneously, the existing B.Sc and</w:t>
      </w:r>
      <w:r>
        <w:rPr>
          <w:spacing w:val="-8"/>
        </w:rPr>
        <w:t> </w:t>
      </w:r>
      <w:r>
        <w:rPr/>
        <w:t>M.Sc</w:t>
      </w:r>
      <w:r>
        <w:rPr>
          <w:spacing w:val="-8"/>
        </w:rPr>
        <w:t> </w:t>
      </w:r>
      <w:r>
        <w:rPr/>
        <w:t>courses</w:t>
      </w:r>
      <w:r>
        <w:rPr>
          <w:spacing w:val="-8"/>
        </w:rPr>
        <w:t> </w:t>
      </w:r>
      <w:r>
        <w:rPr/>
        <w:t>should</w:t>
      </w:r>
      <w:r>
        <w:rPr>
          <w:spacing w:val="-8"/>
        </w:rPr>
        <w:t> </w:t>
      </w:r>
      <w:r>
        <w:rPr/>
        <w:t>be</w:t>
      </w:r>
      <w:r>
        <w:rPr>
          <w:spacing w:val="-8"/>
        </w:rPr>
        <w:t> </w:t>
      </w:r>
      <w:r>
        <w:rPr/>
        <w:t>reformed.</w:t>
      </w:r>
      <w:r>
        <w:rPr>
          <w:spacing w:val="-14"/>
        </w:rPr>
        <w:t> </w:t>
      </w:r>
      <w:r>
        <w:rPr/>
        <w:t>The</w:t>
      </w:r>
      <w:r>
        <w:rPr>
          <w:spacing w:val="-7"/>
        </w:rPr>
        <w:t> </w:t>
      </w:r>
      <w:r>
        <w:rPr/>
        <w:t>integrated five year M.Sc program should have the provision to be integrated with the Ph.D program so that the total effective time spent for a Ph.D is reduced.</w:t>
      </w:r>
    </w:p>
    <w:p>
      <w:pPr>
        <w:pStyle w:val="Heading6"/>
        <w:numPr>
          <w:ilvl w:val="0"/>
          <w:numId w:val="34"/>
        </w:numPr>
        <w:tabs>
          <w:tab w:pos="1404" w:val="left" w:leader="none"/>
          <w:tab w:pos="1406" w:val="left" w:leader="none"/>
        </w:tabs>
        <w:spacing w:line="182" w:lineRule="auto" w:before="243" w:after="0"/>
        <w:ind w:left="1406" w:right="139" w:hanging="327"/>
        <w:jc w:val="left"/>
      </w:pPr>
      <w:r>
        <w:rPr>
          <w:color w:val="2E614A"/>
          <w:spacing w:val="-4"/>
        </w:rPr>
        <w:t>Reform</w:t>
      </w:r>
      <w:r>
        <w:rPr>
          <w:color w:val="2E614A"/>
          <w:spacing w:val="-16"/>
        </w:rPr>
        <w:t> </w:t>
      </w:r>
      <w:r>
        <w:rPr>
          <w:color w:val="2E614A"/>
          <w:spacing w:val="-4"/>
        </w:rPr>
        <w:t>the</w:t>
      </w:r>
      <w:r>
        <w:rPr>
          <w:color w:val="2E614A"/>
          <w:spacing w:val="-16"/>
        </w:rPr>
        <w:t> </w:t>
      </w:r>
      <w:r>
        <w:rPr>
          <w:color w:val="2E614A"/>
          <w:spacing w:val="-4"/>
        </w:rPr>
        <w:t>science</w:t>
      </w:r>
      <w:r>
        <w:rPr>
          <w:color w:val="2E614A"/>
          <w:spacing w:val="-16"/>
        </w:rPr>
        <w:t> </w:t>
      </w:r>
      <w:r>
        <w:rPr>
          <w:color w:val="2E614A"/>
          <w:spacing w:val="-4"/>
        </w:rPr>
        <w:t>curriculum </w:t>
      </w:r>
      <w:r>
        <w:rPr>
          <w:color w:val="2E614A"/>
          <w:spacing w:val="-6"/>
        </w:rPr>
        <w:t>content</w:t>
      </w:r>
      <w:r>
        <w:rPr>
          <w:color w:val="2E614A"/>
          <w:spacing w:val="-16"/>
        </w:rPr>
        <w:t> </w:t>
      </w:r>
      <w:r>
        <w:rPr>
          <w:color w:val="2E614A"/>
          <w:spacing w:val="-6"/>
        </w:rPr>
        <w:t>in</w:t>
      </w:r>
      <w:r>
        <w:rPr>
          <w:color w:val="2E614A"/>
          <w:spacing w:val="-14"/>
        </w:rPr>
        <w:t> </w:t>
      </w:r>
      <w:r>
        <w:rPr>
          <w:color w:val="2E614A"/>
          <w:spacing w:val="-6"/>
        </w:rPr>
        <w:t>line</w:t>
      </w:r>
      <w:r>
        <w:rPr>
          <w:color w:val="2E614A"/>
          <w:spacing w:val="-14"/>
        </w:rPr>
        <w:t> </w:t>
      </w:r>
      <w:r>
        <w:rPr>
          <w:color w:val="2E614A"/>
          <w:spacing w:val="-6"/>
        </w:rPr>
        <w:t>with</w:t>
      </w:r>
      <w:r>
        <w:rPr>
          <w:color w:val="2E614A"/>
          <w:spacing w:val="-14"/>
        </w:rPr>
        <w:t> </w:t>
      </w:r>
      <w:r>
        <w:rPr>
          <w:color w:val="2E614A"/>
          <w:spacing w:val="-6"/>
        </w:rPr>
        <w:t>the</w:t>
      </w:r>
      <w:r>
        <w:rPr>
          <w:color w:val="2E614A"/>
          <w:spacing w:val="-14"/>
        </w:rPr>
        <w:t> </w:t>
      </w:r>
      <w:r>
        <w:rPr>
          <w:color w:val="2E614A"/>
          <w:spacing w:val="-6"/>
        </w:rPr>
        <w:t>changing </w:t>
      </w:r>
      <w:r>
        <w:rPr>
          <w:color w:val="2E614A"/>
          <w:spacing w:val="-8"/>
        </w:rPr>
        <w:t>world</w:t>
      </w:r>
      <w:r>
        <w:rPr>
          <w:color w:val="2E614A"/>
          <w:spacing w:val="-12"/>
        </w:rPr>
        <w:t> </w:t>
      </w:r>
      <w:r>
        <w:rPr>
          <w:color w:val="2E614A"/>
          <w:spacing w:val="-8"/>
        </w:rPr>
        <w:t>and</w:t>
      </w:r>
      <w:r>
        <w:rPr>
          <w:color w:val="2E614A"/>
          <w:spacing w:val="-12"/>
        </w:rPr>
        <w:t> </w:t>
      </w:r>
      <w:r>
        <w:rPr>
          <w:color w:val="2E614A"/>
          <w:spacing w:val="-8"/>
        </w:rPr>
        <w:t>increase</w:t>
      </w:r>
      <w:r>
        <w:rPr>
          <w:color w:val="2E614A"/>
          <w:spacing w:val="-12"/>
        </w:rPr>
        <w:t> </w:t>
      </w:r>
      <w:r>
        <w:rPr>
          <w:color w:val="2E614A"/>
          <w:spacing w:val="-8"/>
        </w:rPr>
        <w:t>research </w:t>
      </w:r>
      <w:r>
        <w:rPr>
          <w:color w:val="2E614A"/>
        </w:rPr>
        <w:t>component</w:t>
      </w:r>
      <w:r>
        <w:rPr>
          <w:color w:val="2E614A"/>
          <w:spacing w:val="-17"/>
        </w:rPr>
        <w:t> </w:t>
      </w:r>
      <w:r>
        <w:rPr>
          <w:color w:val="2E614A"/>
        </w:rPr>
        <w:t>at</w:t>
      </w:r>
      <w:r>
        <w:rPr>
          <w:color w:val="2E614A"/>
          <w:spacing w:val="-17"/>
        </w:rPr>
        <w:t> </w:t>
      </w:r>
      <w:r>
        <w:rPr>
          <w:color w:val="2E614A"/>
        </w:rPr>
        <w:t>all</w:t>
      </w:r>
      <w:r>
        <w:rPr>
          <w:color w:val="2E614A"/>
          <w:spacing w:val="-17"/>
        </w:rPr>
        <w:t> </w:t>
      </w:r>
      <w:r>
        <w:rPr>
          <w:color w:val="2E614A"/>
        </w:rPr>
        <w:t>levels</w:t>
      </w:r>
    </w:p>
    <w:p>
      <w:pPr>
        <w:pStyle w:val="BodyText"/>
        <w:spacing w:line="266" w:lineRule="auto" w:before="303"/>
        <w:ind w:left="1080"/>
        <w:jc w:val="both"/>
      </w:pPr>
      <w:r>
        <w:rPr/>
        <w:t>There is an urgent need to reduce information </w:t>
      </w:r>
      <w:r>
        <w:rPr/>
        <w:t>load</w:t>
      </w:r>
      <w:r>
        <w:rPr>
          <w:spacing w:val="40"/>
        </w:rPr>
        <w:t> </w:t>
      </w:r>
      <w:r>
        <w:rPr/>
        <w:t>of curriculum at the higher secondary level. Courses should</w:t>
      </w:r>
      <w:r>
        <w:rPr>
          <w:spacing w:val="-13"/>
        </w:rPr>
        <w:t> </w:t>
      </w:r>
      <w:r>
        <w:rPr/>
        <w:t>be</w:t>
      </w:r>
      <w:r>
        <w:rPr>
          <w:spacing w:val="-13"/>
        </w:rPr>
        <w:t> </w:t>
      </w:r>
      <w:r>
        <w:rPr/>
        <w:t>made</w:t>
      </w:r>
      <w:r>
        <w:rPr>
          <w:spacing w:val="-13"/>
        </w:rPr>
        <w:t> </w:t>
      </w:r>
      <w:r>
        <w:rPr/>
        <w:t>engaging</w:t>
      </w:r>
      <w:r>
        <w:rPr>
          <w:spacing w:val="-13"/>
        </w:rPr>
        <w:t> </w:t>
      </w:r>
      <w:r>
        <w:rPr/>
        <w:t>and</w:t>
      </w:r>
      <w:r>
        <w:rPr>
          <w:spacing w:val="-13"/>
        </w:rPr>
        <w:t> </w:t>
      </w:r>
      <w:r>
        <w:rPr/>
        <w:t>the</w:t>
      </w:r>
      <w:r>
        <w:rPr>
          <w:spacing w:val="-13"/>
        </w:rPr>
        <w:t> </w:t>
      </w:r>
      <w:r>
        <w:rPr/>
        <w:t>amount</w:t>
      </w:r>
      <w:r>
        <w:rPr>
          <w:spacing w:val="-13"/>
        </w:rPr>
        <w:t> </w:t>
      </w:r>
      <w:r>
        <w:rPr/>
        <w:t>of</w:t>
      </w:r>
      <w:r>
        <w:rPr>
          <w:spacing w:val="-13"/>
        </w:rPr>
        <w:t> </w:t>
      </w:r>
      <w:r>
        <w:rPr/>
        <w:t>hands-on </w:t>
      </w:r>
      <w:r>
        <w:rPr>
          <w:spacing w:val="-2"/>
        </w:rPr>
        <w:t>work</w:t>
      </w:r>
      <w:r>
        <w:rPr>
          <w:spacing w:val="-12"/>
        </w:rPr>
        <w:t> </w:t>
      </w:r>
      <w:r>
        <w:rPr>
          <w:spacing w:val="-2"/>
        </w:rPr>
        <w:t>at</w:t>
      </w:r>
      <w:r>
        <w:rPr>
          <w:spacing w:val="-12"/>
        </w:rPr>
        <w:t> </w:t>
      </w:r>
      <w:r>
        <w:rPr>
          <w:spacing w:val="-2"/>
        </w:rPr>
        <w:t>all</w:t>
      </w:r>
      <w:r>
        <w:rPr>
          <w:spacing w:val="-12"/>
        </w:rPr>
        <w:t> </w:t>
      </w:r>
      <w:r>
        <w:rPr>
          <w:spacing w:val="-2"/>
        </w:rPr>
        <w:t>levels</w:t>
      </w:r>
      <w:r>
        <w:rPr>
          <w:spacing w:val="-11"/>
        </w:rPr>
        <w:t> </w:t>
      </w:r>
      <w:r>
        <w:rPr>
          <w:spacing w:val="-2"/>
        </w:rPr>
        <w:t>should</w:t>
      </w:r>
      <w:r>
        <w:rPr>
          <w:spacing w:val="-12"/>
        </w:rPr>
        <w:t> </w:t>
      </w:r>
      <w:r>
        <w:rPr>
          <w:spacing w:val="-2"/>
        </w:rPr>
        <w:t>be</w:t>
      </w:r>
      <w:r>
        <w:rPr>
          <w:spacing w:val="-12"/>
        </w:rPr>
        <w:t> </w:t>
      </w:r>
      <w:r>
        <w:rPr>
          <w:spacing w:val="-2"/>
        </w:rPr>
        <w:t>increased.</w:t>
      </w:r>
      <w:r>
        <w:rPr>
          <w:spacing w:val="-12"/>
        </w:rPr>
        <w:t> </w:t>
      </w:r>
      <w:r>
        <w:rPr>
          <w:spacing w:val="-2"/>
        </w:rPr>
        <w:t>Books</w:t>
      </w:r>
      <w:r>
        <w:rPr>
          <w:spacing w:val="-11"/>
        </w:rPr>
        <w:t> </w:t>
      </w:r>
      <w:r>
        <w:rPr>
          <w:spacing w:val="-2"/>
        </w:rPr>
        <w:t>should</w:t>
      </w:r>
      <w:r>
        <w:rPr>
          <w:spacing w:val="-12"/>
        </w:rPr>
        <w:t> </w:t>
      </w:r>
      <w:r>
        <w:rPr>
          <w:spacing w:val="-2"/>
        </w:rPr>
        <w:t>be </w:t>
      </w:r>
      <w:r>
        <w:rPr/>
        <w:t>written by teachers who teach the subject and not by </w:t>
      </w:r>
      <w:r>
        <w:rPr>
          <w:spacing w:val="-2"/>
        </w:rPr>
        <w:t>curriculum</w:t>
      </w:r>
      <w:r>
        <w:rPr>
          <w:spacing w:val="-5"/>
        </w:rPr>
        <w:t> </w:t>
      </w:r>
      <w:r>
        <w:rPr>
          <w:spacing w:val="-2"/>
        </w:rPr>
        <w:t>committees.</w:t>
      </w:r>
      <w:r>
        <w:rPr>
          <w:spacing w:val="-5"/>
        </w:rPr>
        <w:t> </w:t>
      </w:r>
      <w:r>
        <w:rPr>
          <w:spacing w:val="-2"/>
        </w:rPr>
        <w:t>Pedagogy</w:t>
      </w:r>
      <w:r>
        <w:rPr>
          <w:spacing w:val="-5"/>
        </w:rPr>
        <w:t> </w:t>
      </w:r>
      <w:r>
        <w:rPr>
          <w:spacing w:val="-2"/>
        </w:rPr>
        <w:t>should</w:t>
      </w:r>
      <w:r>
        <w:rPr>
          <w:spacing w:val="-5"/>
        </w:rPr>
        <w:t> </w:t>
      </w:r>
      <w:r>
        <w:rPr>
          <w:spacing w:val="-2"/>
        </w:rPr>
        <w:t>be</w:t>
      </w:r>
      <w:r>
        <w:rPr>
          <w:spacing w:val="-5"/>
        </w:rPr>
        <w:t> </w:t>
      </w:r>
      <w:r>
        <w:rPr>
          <w:spacing w:val="-2"/>
        </w:rPr>
        <w:t>modified </w:t>
      </w:r>
      <w:r>
        <w:rPr>
          <w:spacing w:val="-4"/>
        </w:rPr>
        <w:t>to impart creativity and global vision training. Avenues </w:t>
      </w:r>
      <w:r>
        <w:rPr/>
        <w:t>for</w:t>
      </w:r>
      <w:r>
        <w:rPr>
          <w:spacing w:val="-12"/>
        </w:rPr>
        <w:t> </w:t>
      </w:r>
      <w:r>
        <w:rPr/>
        <w:t>research</w:t>
      </w:r>
      <w:r>
        <w:rPr>
          <w:spacing w:val="-12"/>
        </w:rPr>
        <w:t> </w:t>
      </w:r>
      <w:r>
        <w:rPr/>
        <w:t>should</w:t>
      </w:r>
      <w:r>
        <w:rPr>
          <w:spacing w:val="-12"/>
        </w:rPr>
        <w:t> </w:t>
      </w:r>
      <w:r>
        <w:rPr/>
        <w:t>be</w:t>
      </w:r>
      <w:r>
        <w:rPr>
          <w:spacing w:val="-12"/>
        </w:rPr>
        <w:t> </w:t>
      </w:r>
      <w:r>
        <w:rPr/>
        <w:t>increased</w:t>
      </w:r>
      <w:r>
        <w:rPr>
          <w:spacing w:val="-12"/>
        </w:rPr>
        <w:t> </w:t>
      </w:r>
      <w:r>
        <w:rPr/>
        <w:t>at</w:t>
      </w:r>
      <w:r>
        <w:rPr>
          <w:spacing w:val="-12"/>
        </w:rPr>
        <w:t> </w:t>
      </w:r>
      <w:r>
        <w:rPr/>
        <w:t>all</w:t>
      </w:r>
      <w:r>
        <w:rPr>
          <w:spacing w:val="-12"/>
        </w:rPr>
        <w:t> </w:t>
      </w:r>
      <w:r>
        <w:rPr/>
        <w:t>levels.</w:t>
      </w:r>
    </w:p>
    <w:p>
      <w:pPr>
        <w:pStyle w:val="Heading6"/>
        <w:numPr>
          <w:ilvl w:val="0"/>
          <w:numId w:val="34"/>
        </w:numPr>
        <w:tabs>
          <w:tab w:pos="1404" w:val="left" w:leader="none"/>
          <w:tab w:pos="1406" w:val="left" w:leader="none"/>
        </w:tabs>
        <w:spacing w:line="182" w:lineRule="auto" w:before="252" w:after="0"/>
        <w:ind w:left="1406" w:right="770" w:hanging="327"/>
        <w:jc w:val="both"/>
      </w:pPr>
      <w:r>
        <w:rPr>
          <w:color w:val="2E614A"/>
          <w:w w:val="90"/>
        </w:rPr>
        <w:t>Radical</w:t>
      </w:r>
      <w:r>
        <w:rPr>
          <w:color w:val="2E614A"/>
          <w:spacing w:val="-14"/>
          <w:w w:val="90"/>
        </w:rPr>
        <w:t> </w:t>
      </w:r>
      <w:r>
        <w:rPr>
          <w:color w:val="2E614A"/>
          <w:w w:val="90"/>
        </w:rPr>
        <w:t>changes</w:t>
      </w:r>
      <w:r>
        <w:rPr>
          <w:color w:val="2E614A"/>
          <w:spacing w:val="-12"/>
          <w:w w:val="90"/>
        </w:rPr>
        <w:t> </w:t>
      </w:r>
      <w:r>
        <w:rPr>
          <w:color w:val="2E614A"/>
          <w:w w:val="90"/>
        </w:rPr>
        <w:t>are</w:t>
      </w:r>
      <w:r>
        <w:rPr>
          <w:color w:val="2E614A"/>
          <w:spacing w:val="-12"/>
          <w:w w:val="90"/>
        </w:rPr>
        <w:t> </w:t>
      </w:r>
      <w:r>
        <w:rPr>
          <w:color w:val="2E614A"/>
          <w:w w:val="90"/>
        </w:rPr>
        <w:t>required </w:t>
      </w:r>
      <w:r>
        <w:rPr>
          <w:color w:val="2E614A"/>
        </w:rPr>
        <w:t>in</w:t>
      </w:r>
      <w:r>
        <w:rPr>
          <w:color w:val="2E614A"/>
          <w:spacing w:val="-18"/>
        </w:rPr>
        <w:t> </w:t>
      </w:r>
      <w:r>
        <w:rPr>
          <w:color w:val="2E614A"/>
        </w:rPr>
        <w:t>the</w:t>
      </w:r>
      <w:r>
        <w:rPr>
          <w:color w:val="2E614A"/>
          <w:spacing w:val="-18"/>
        </w:rPr>
        <w:t> </w:t>
      </w:r>
      <w:r>
        <w:rPr>
          <w:color w:val="2E614A"/>
        </w:rPr>
        <w:t>evaluation</w:t>
      </w:r>
      <w:r>
        <w:rPr>
          <w:color w:val="2E614A"/>
          <w:spacing w:val="-18"/>
        </w:rPr>
        <w:t> </w:t>
      </w:r>
      <w:r>
        <w:rPr>
          <w:color w:val="2E614A"/>
        </w:rPr>
        <w:t>system</w:t>
      </w:r>
      <w:r>
        <w:rPr>
          <w:color w:val="2E614A"/>
          <w:spacing w:val="-18"/>
        </w:rPr>
        <w:t> </w:t>
      </w:r>
      <w:r>
        <w:rPr>
          <w:color w:val="2E614A"/>
        </w:rPr>
        <w:t>to</w:t>
      </w:r>
    </w:p>
    <w:p>
      <w:pPr>
        <w:spacing w:line="182" w:lineRule="auto" w:before="0"/>
        <w:ind w:left="1406" w:right="171" w:firstLine="0"/>
        <w:jc w:val="both"/>
        <w:rPr>
          <w:b/>
          <w:sz w:val="32"/>
        </w:rPr>
      </w:pPr>
      <w:r>
        <w:rPr>
          <w:b/>
          <w:color w:val="2E614A"/>
          <w:w w:val="90"/>
          <w:sz w:val="32"/>
        </w:rPr>
        <w:t>encourage scientific thinking </w:t>
      </w:r>
      <w:r>
        <w:rPr>
          <w:b/>
          <w:color w:val="2E614A"/>
          <w:w w:val="90"/>
          <w:sz w:val="32"/>
        </w:rPr>
        <w:t>and promote better understanding of </w:t>
      </w:r>
      <w:r>
        <w:rPr>
          <w:b/>
          <w:color w:val="2E614A"/>
          <w:sz w:val="32"/>
        </w:rPr>
        <w:t>basic</w:t>
      </w:r>
      <w:r>
        <w:rPr>
          <w:b/>
          <w:color w:val="2E614A"/>
          <w:spacing w:val="-20"/>
          <w:sz w:val="32"/>
        </w:rPr>
        <w:t> </w:t>
      </w:r>
      <w:r>
        <w:rPr>
          <w:b/>
          <w:color w:val="2E614A"/>
          <w:sz w:val="32"/>
        </w:rPr>
        <w:t>science</w:t>
      </w:r>
      <w:r>
        <w:rPr>
          <w:b/>
          <w:color w:val="2E614A"/>
          <w:spacing w:val="-20"/>
          <w:sz w:val="32"/>
        </w:rPr>
        <w:t> </w:t>
      </w:r>
      <w:r>
        <w:rPr>
          <w:b/>
          <w:color w:val="2E614A"/>
          <w:sz w:val="32"/>
        </w:rPr>
        <w:t>concepts</w:t>
      </w:r>
    </w:p>
    <w:p>
      <w:pPr>
        <w:pStyle w:val="BodyText"/>
        <w:spacing w:line="266" w:lineRule="auto" w:before="303"/>
        <w:ind w:left="1080"/>
        <w:jc w:val="both"/>
      </w:pPr>
      <w:r>
        <w:rPr/>
        <w:t>The system should move from examination </w:t>
      </w:r>
      <w:r>
        <w:rPr/>
        <w:t>based evaluation to more open assessment mechanisms. Memory, comprehension and creativity should be given</w:t>
      </w:r>
      <w:r>
        <w:rPr>
          <w:spacing w:val="39"/>
        </w:rPr>
        <w:t> </w:t>
      </w:r>
      <w:r>
        <w:rPr/>
        <w:t>equal</w:t>
      </w:r>
      <w:r>
        <w:rPr>
          <w:spacing w:val="40"/>
        </w:rPr>
        <w:t> </w:t>
      </w:r>
      <w:r>
        <w:rPr/>
        <w:t>importance</w:t>
      </w:r>
      <w:r>
        <w:rPr>
          <w:spacing w:val="40"/>
        </w:rPr>
        <w:t> </w:t>
      </w:r>
      <w:r>
        <w:rPr/>
        <w:t>in</w:t>
      </w:r>
      <w:r>
        <w:rPr>
          <w:spacing w:val="39"/>
        </w:rPr>
        <w:t> </w:t>
      </w:r>
      <w:r>
        <w:rPr/>
        <w:t>evaluations.</w:t>
      </w:r>
      <w:r>
        <w:rPr>
          <w:spacing w:val="40"/>
        </w:rPr>
        <w:t> </w:t>
      </w:r>
      <w:r>
        <w:rPr>
          <w:spacing w:val="-2"/>
        </w:rPr>
        <w:t>Continuous</w:t>
      </w:r>
    </w:p>
    <w:p>
      <w:pPr>
        <w:pStyle w:val="BodyText"/>
        <w:spacing w:line="266" w:lineRule="auto" w:before="57"/>
        <w:ind w:left="319" w:right="1067"/>
        <w:jc w:val="both"/>
      </w:pPr>
      <w:r>
        <w:rPr/>
        <w:br w:type="column"/>
      </w:r>
      <w:r>
        <w:rPr/>
        <w:t>assessment</w:t>
      </w:r>
      <w:r>
        <w:rPr>
          <w:spacing w:val="-13"/>
        </w:rPr>
        <w:t> </w:t>
      </w:r>
      <w:r>
        <w:rPr/>
        <w:t>at</w:t>
      </w:r>
      <w:r>
        <w:rPr>
          <w:spacing w:val="-13"/>
        </w:rPr>
        <w:t> </w:t>
      </w:r>
      <w:r>
        <w:rPr/>
        <w:t>the</w:t>
      </w:r>
      <w:r>
        <w:rPr>
          <w:spacing w:val="-13"/>
        </w:rPr>
        <w:t> </w:t>
      </w:r>
      <w:r>
        <w:rPr/>
        <w:t>school</w:t>
      </w:r>
      <w:r>
        <w:rPr>
          <w:spacing w:val="-13"/>
        </w:rPr>
        <w:t> </w:t>
      </w:r>
      <w:r>
        <w:rPr/>
        <w:t>level</w:t>
      </w:r>
      <w:r>
        <w:rPr>
          <w:spacing w:val="-13"/>
        </w:rPr>
        <w:t> </w:t>
      </w:r>
      <w:r>
        <w:rPr/>
        <w:t>will</w:t>
      </w:r>
      <w:r>
        <w:rPr>
          <w:spacing w:val="-13"/>
        </w:rPr>
        <w:t> </w:t>
      </w:r>
      <w:r>
        <w:rPr/>
        <w:t>reduce</w:t>
      </w:r>
      <w:r>
        <w:rPr>
          <w:spacing w:val="-13"/>
        </w:rPr>
        <w:t> </w:t>
      </w:r>
      <w:r>
        <w:rPr/>
        <w:t>dependence </w:t>
      </w:r>
      <w:r>
        <w:rPr>
          <w:spacing w:val="-2"/>
        </w:rPr>
        <w:t>on</w:t>
      </w:r>
      <w:r>
        <w:rPr>
          <w:spacing w:val="-12"/>
        </w:rPr>
        <w:t> </w:t>
      </w:r>
      <w:r>
        <w:rPr>
          <w:spacing w:val="-2"/>
        </w:rPr>
        <w:t>year-end</w:t>
      </w:r>
      <w:r>
        <w:rPr>
          <w:spacing w:val="-12"/>
        </w:rPr>
        <w:t> </w:t>
      </w:r>
      <w:r>
        <w:rPr>
          <w:spacing w:val="-2"/>
        </w:rPr>
        <w:t>examinations.</w:t>
      </w:r>
      <w:r>
        <w:rPr>
          <w:spacing w:val="-12"/>
        </w:rPr>
        <w:t> </w:t>
      </w:r>
      <w:r>
        <w:rPr>
          <w:spacing w:val="-2"/>
        </w:rPr>
        <w:t>To</w:t>
      </w:r>
      <w:r>
        <w:rPr>
          <w:spacing w:val="-11"/>
        </w:rPr>
        <w:t> </w:t>
      </w:r>
      <w:r>
        <w:rPr>
          <w:spacing w:val="-2"/>
        </w:rPr>
        <w:t>enable</w:t>
      </w:r>
      <w:r>
        <w:rPr>
          <w:spacing w:val="-12"/>
        </w:rPr>
        <w:t> </w:t>
      </w:r>
      <w:r>
        <w:rPr>
          <w:spacing w:val="-2"/>
        </w:rPr>
        <w:t>the</w:t>
      </w:r>
      <w:r>
        <w:rPr>
          <w:spacing w:val="-12"/>
        </w:rPr>
        <w:t> </w:t>
      </w:r>
      <w:r>
        <w:rPr>
          <w:spacing w:val="-2"/>
        </w:rPr>
        <w:t>modifications in</w:t>
      </w:r>
      <w:r>
        <w:rPr>
          <w:spacing w:val="-11"/>
        </w:rPr>
        <w:t> </w:t>
      </w:r>
      <w:r>
        <w:rPr>
          <w:spacing w:val="-2"/>
        </w:rPr>
        <w:t>the</w:t>
      </w:r>
      <w:r>
        <w:rPr>
          <w:spacing w:val="-11"/>
        </w:rPr>
        <w:t> </w:t>
      </w:r>
      <w:r>
        <w:rPr>
          <w:spacing w:val="-2"/>
        </w:rPr>
        <w:t>evaluation</w:t>
      </w:r>
      <w:r>
        <w:rPr>
          <w:spacing w:val="-11"/>
        </w:rPr>
        <w:t> </w:t>
      </w:r>
      <w:r>
        <w:rPr>
          <w:spacing w:val="-2"/>
        </w:rPr>
        <w:t>process,</w:t>
      </w:r>
      <w:r>
        <w:rPr>
          <w:spacing w:val="-11"/>
        </w:rPr>
        <w:t> </w:t>
      </w:r>
      <w:r>
        <w:rPr>
          <w:spacing w:val="-2"/>
        </w:rPr>
        <w:t>teachers</w:t>
      </w:r>
      <w:r>
        <w:rPr>
          <w:spacing w:val="-11"/>
        </w:rPr>
        <w:t> </w:t>
      </w:r>
      <w:r>
        <w:rPr>
          <w:spacing w:val="-2"/>
        </w:rPr>
        <w:t>need</w:t>
      </w:r>
      <w:r>
        <w:rPr>
          <w:spacing w:val="-11"/>
        </w:rPr>
        <w:t> </w:t>
      </w:r>
      <w:r>
        <w:rPr>
          <w:spacing w:val="-2"/>
        </w:rPr>
        <w:t>to</w:t>
      </w:r>
      <w:r>
        <w:rPr>
          <w:spacing w:val="-11"/>
        </w:rPr>
        <w:t> </w:t>
      </w:r>
      <w:r>
        <w:rPr>
          <w:spacing w:val="-2"/>
        </w:rPr>
        <w:t>be</w:t>
      </w:r>
      <w:r>
        <w:rPr>
          <w:spacing w:val="-11"/>
        </w:rPr>
        <w:t> </w:t>
      </w:r>
      <w:r>
        <w:rPr>
          <w:spacing w:val="-2"/>
        </w:rPr>
        <w:t>trained</w:t>
      </w:r>
      <w:r>
        <w:rPr>
          <w:spacing w:val="-11"/>
        </w:rPr>
        <w:t> </w:t>
      </w:r>
      <w:r>
        <w:rPr>
          <w:spacing w:val="-2"/>
        </w:rPr>
        <w:t>in </w:t>
      </w:r>
      <w:r>
        <w:rPr/>
        <w:t>new methods of evaluation.</w:t>
      </w:r>
    </w:p>
    <w:p>
      <w:pPr>
        <w:pStyle w:val="BodyText"/>
        <w:spacing w:before="2"/>
      </w:pPr>
    </w:p>
    <w:p>
      <w:pPr>
        <w:pStyle w:val="Heading6"/>
        <w:numPr>
          <w:ilvl w:val="0"/>
          <w:numId w:val="34"/>
        </w:numPr>
        <w:tabs>
          <w:tab w:pos="643" w:val="left" w:leader="none"/>
          <w:tab w:pos="645" w:val="left" w:leader="none"/>
        </w:tabs>
        <w:spacing w:line="182" w:lineRule="auto" w:before="0" w:after="0"/>
        <w:ind w:left="645" w:right="1261" w:hanging="327"/>
        <w:jc w:val="left"/>
      </w:pPr>
      <w:r>
        <w:rPr>
          <w:color w:val="2E614A"/>
          <w:w w:val="90"/>
        </w:rPr>
        <w:t>Promote access to quality </w:t>
      </w:r>
      <w:r>
        <w:rPr>
          <w:color w:val="2E614A"/>
          <w:w w:val="90"/>
        </w:rPr>
        <w:t>science </w:t>
      </w:r>
      <w:r>
        <w:rPr>
          <w:color w:val="2E614A"/>
          <w:spacing w:val="-6"/>
        </w:rPr>
        <w:t>educational</w:t>
      </w:r>
      <w:r>
        <w:rPr>
          <w:color w:val="2E614A"/>
          <w:spacing w:val="-14"/>
        </w:rPr>
        <w:t> </w:t>
      </w:r>
      <w:r>
        <w:rPr>
          <w:color w:val="2E614A"/>
          <w:spacing w:val="-6"/>
        </w:rPr>
        <w:t>material</w:t>
      </w:r>
      <w:r>
        <w:rPr>
          <w:color w:val="2E614A"/>
          <w:spacing w:val="-14"/>
        </w:rPr>
        <w:t> </w:t>
      </w:r>
      <w:r>
        <w:rPr>
          <w:color w:val="2E614A"/>
          <w:spacing w:val="-6"/>
        </w:rPr>
        <w:t>at</w:t>
      </w:r>
      <w:r>
        <w:rPr>
          <w:color w:val="2E614A"/>
          <w:spacing w:val="-14"/>
        </w:rPr>
        <w:t> </w:t>
      </w:r>
      <w:r>
        <w:rPr>
          <w:color w:val="2E614A"/>
          <w:spacing w:val="-6"/>
        </w:rPr>
        <w:t>all</w:t>
      </w:r>
      <w:r>
        <w:rPr>
          <w:color w:val="2E614A"/>
          <w:spacing w:val="-14"/>
        </w:rPr>
        <w:t> </w:t>
      </w:r>
      <w:r>
        <w:rPr>
          <w:color w:val="2E614A"/>
          <w:spacing w:val="-6"/>
        </w:rPr>
        <w:t>levels</w:t>
      </w:r>
    </w:p>
    <w:p>
      <w:pPr>
        <w:spacing w:line="266" w:lineRule="auto" w:before="303"/>
        <w:ind w:left="319" w:right="1067" w:firstLine="0"/>
        <w:jc w:val="both"/>
        <w:rPr>
          <w:sz w:val="22"/>
        </w:rPr>
      </w:pPr>
      <w:r>
        <w:rPr>
          <w:sz w:val="22"/>
        </w:rPr>
        <w:t>There is a need to disseminate high quality </w:t>
      </w:r>
      <w:r>
        <w:rPr>
          <w:sz w:val="22"/>
        </w:rPr>
        <w:t>science educational material and self learning aids in local </w:t>
      </w:r>
      <w:r>
        <w:rPr>
          <w:spacing w:val="-2"/>
          <w:sz w:val="22"/>
        </w:rPr>
        <w:t>languages</w:t>
      </w:r>
      <w:r>
        <w:rPr>
          <w:spacing w:val="-7"/>
          <w:sz w:val="22"/>
        </w:rPr>
        <w:t> </w:t>
      </w:r>
      <w:r>
        <w:rPr>
          <w:spacing w:val="-2"/>
          <w:sz w:val="22"/>
        </w:rPr>
        <w:t>to</w:t>
      </w:r>
      <w:r>
        <w:rPr>
          <w:spacing w:val="-7"/>
          <w:sz w:val="22"/>
        </w:rPr>
        <w:t> </w:t>
      </w:r>
      <w:r>
        <w:rPr>
          <w:spacing w:val="-2"/>
          <w:sz w:val="22"/>
        </w:rPr>
        <w:t>assist</w:t>
      </w:r>
      <w:r>
        <w:rPr>
          <w:spacing w:val="-7"/>
          <w:sz w:val="22"/>
        </w:rPr>
        <w:t> </w:t>
      </w:r>
      <w:r>
        <w:rPr>
          <w:spacing w:val="-2"/>
          <w:sz w:val="22"/>
        </w:rPr>
        <w:t>students</w:t>
      </w:r>
      <w:r>
        <w:rPr>
          <w:spacing w:val="-7"/>
          <w:sz w:val="22"/>
        </w:rPr>
        <w:t> </w:t>
      </w:r>
      <w:r>
        <w:rPr>
          <w:spacing w:val="-2"/>
          <w:sz w:val="22"/>
        </w:rPr>
        <w:t>from</w:t>
      </w:r>
      <w:r>
        <w:rPr>
          <w:spacing w:val="-7"/>
          <w:sz w:val="22"/>
        </w:rPr>
        <w:t> </w:t>
      </w:r>
      <w:r>
        <w:rPr>
          <w:spacing w:val="-2"/>
          <w:sz w:val="22"/>
        </w:rPr>
        <w:t>non-English</w:t>
      </w:r>
      <w:r>
        <w:rPr>
          <w:spacing w:val="-7"/>
          <w:sz w:val="22"/>
        </w:rPr>
        <w:t> </w:t>
      </w:r>
      <w:r>
        <w:rPr>
          <w:spacing w:val="-2"/>
          <w:sz w:val="22"/>
        </w:rPr>
        <w:t>medium </w:t>
      </w:r>
      <w:r>
        <w:rPr>
          <w:sz w:val="22"/>
        </w:rPr>
        <w:t>education</w:t>
      </w:r>
      <w:r>
        <w:rPr>
          <w:spacing w:val="-6"/>
          <w:sz w:val="22"/>
        </w:rPr>
        <w:t> </w:t>
      </w:r>
      <w:r>
        <w:rPr>
          <w:sz w:val="22"/>
        </w:rPr>
        <w:t>background.</w:t>
      </w:r>
      <w:r>
        <w:rPr>
          <w:spacing w:val="-6"/>
          <w:sz w:val="22"/>
        </w:rPr>
        <w:t> </w:t>
      </w:r>
      <w:r>
        <w:rPr>
          <w:b/>
          <w:sz w:val="22"/>
        </w:rPr>
        <w:t>One</w:t>
      </w:r>
      <w:r>
        <w:rPr>
          <w:b/>
          <w:spacing w:val="-5"/>
          <w:sz w:val="22"/>
        </w:rPr>
        <w:t> </w:t>
      </w:r>
      <w:r>
        <w:rPr>
          <w:b/>
          <w:sz w:val="22"/>
        </w:rPr>
        <w:t>important</w:t>
      </w:r>
      <w:r>
        <w:rPr>
          <w:b/>
          <w:spacing w:val="-5"/>
          <w:sz w:val="22"/>
        </w:rPr>
        <w:t> </w:t>
      </w:r>
      <w:r>
        <w:rPr>
          <w:b/>
          <w:sz w:val="22"/>
        </w:rPr>
        <w:t>factor</w:t>
      </w:r>
      <w:r>
        <w:rPr>
          <w:b/>
          <w:spacing w:val="-5"/>
          <w:sz w:val="22"/>
        </w:rPr>
        <w:t> </w:t>
      </w:r>
      <w:r>
        <w:rPr>
          <w:b/>
          <w:sz w:val="22"/>
        </w:rPr>
        <w:t>which has to be kept in mind while translating into local </w:t>
      </w:r>
      <w:r>
        <w:rPr>
          <w:b/>
          <w:spacing w:val="-6"/>
          <w:sz w:val="22"/>
        </w:rPr>
        <w:t>languages is that the technical/scientific terms should </w:t>
      </w:r>
      <w:r>
        <w:rPr>
          <w:b/>
          <w:w w:val="90"/>
          <w:sz w:val="22"/>
        </w:rPr>
        <w:t>be</w:t>
      </w:r>
      <w:r>
        <w:rPr>
          <w:b/>
          <w:spacing w:val="-3"/>
          <w:w w:val="90"/>
          <w:sz w:val="22"/>
        </w:rPr>
        <w:t> </w:t>
      </w:r>
      <w:r>
        <w:rPr>
          <w:b/>
          <w:w w:val="90"/>
          <w:sz w:val="22"/>
        </w:rPr>
        <w:t>retained in English</w:t>
      </w:r>
      <w:r>
        <w:rPr>
          <w:w w:val="90"/>
          <w:sz w:val="22"/>
        </w:rPr>
        <w:t>.</w:t>
      </w:r>
      <w:r>
        <w:rPr>
          <w:spacing w:val="-9"/>
          <w:w w:val="90"/>
          <w:sz w:val="22"/>
        </w:rPr>
        <w:t> </w:t>
      </w:r>
      <w:r>
        <w:rPr>
          <w:w w:val="90"/>
          <w:sz w:val="22"/>
        </w:rPr>
        <w:t>This will make it easier to migrate to English medium teaching in sciences at higher level for </w:t>
      </w:r>
      <w:r>
        <w:rPr>
          <w:spacing w:val="-4"/>
          <w:sz w:val="22"/>
        </w:rPr>
        <w:t>the</w:t>
      </w:r>
      <w:r>
        <w:rPr>
          <w:spacing w:val="-9"/>
          <w:sz w:val="22"/>
        </w:rPr>
        <w:t> </w:t>
      </w:r>
      <w:r>
        <w:rPr>
          <w:spacing w:val="-4"/>
          <w:sz w:val="22"/>
        </w:rPr>
        <w:t>students.</w:t>
      </w:r>
      <w:r>
        <w:rPr>
          <w:spacing w:val="-9"/>
          <w:sz w:val="22"/>
        </w:rPr>
        <w:t> </w:t>
      </w:r>
      <w:r>
        <w:rPr>
          <w:spacing w:val="-4"/>
          <w:sz w:val="22"/>
        </w:rPr>
        <w:t>Special</w:t>
      </w:r>
      <w:r>
        <w:rPr>
          <w:spacing w:val="-9"/>
          <w:sz w:val="22"/>
        </w:rPr>
        <w:t> </w:t>
      </w:r>
      <w:r>
        <w:rPr>
          <w:spacing w:val="-4"/>
          <w:sz w:val="22"/>
        </w:rPr>
        <w:t>teaching</w:t>
      </w:r>
      <w:r>
        <w:rPr>
          <w:spacing w:val="-9"/>
          <w:sz w:val="22"/>
        </w:rPr>
        <w:t> </w:t>
      </w:r>
      <w:r>
        <w:rPr>
          <w:spacing w:val="-4"/>
          <w:sz w:val="22"/>
        </w:rPr>
        <w:t>aids</w:t>
      </w:r>
      <w:r>
        <w:rPr>
          <w:spacing w:val="-9"/>
          <w:sz w:val="22"/>
        </w:rPr>
        <w:t> </w:t>
      </w:r>
      <w:r>
        <w:rPr>
          <w:spacing w:val="-4"/>
          <w:sz w:val="22"/>
        </w:rPr>
        <w:t>need</w:t>
      </w:r>
      <w:r>
        <w:rPr>
          <w:spacing w:val="-9"/>
          <w:sz w:val="22"/>
        </w:rPr>
        <w:t> </w:t>
      </w:r>
      <w:r>
        <w:rPr>
          <w:spacing w:val="-4"/>
          <w:sz w:val="22"/>
        </w:rPr>
        <w:t>to</w:t>
      </w:r>
      <w:r>
        <w:rPr>
          <w:spacing w:val="-9"/>
          <w:sz w:val="22"/>
        </w:rPr>
        <w:t> </w:t>
      </w:r>
      <w:r>
        <w:rPr>
          <w:spacing w:val="-4"/>
          <w:sz w:val="22"/>
        </w:rPr>
        <w:t>be</w:t>
      </w:r>
      <w:r>
        <w:rPr>
          <w:spacing w:val="-9"/>
          <w:sz w:val="22"/>
        </w:rPr>
        <w:t> </w:t>
      </w:r>
      <w:r>
        <w:rPr>
          <w:spacing w:val="-4"/>
          <w:sz w:val="22"/>
        </w:rPr>
        <w:t>developed </w:t>
      </w:r>
      <w:r>
        <w:rPr>
          <w:spacing w:val="-2"/>
          <w:sz w:val="22"/>
        </w:rPr>
        <w:t>for</w:t>
      </w:r>
      <w:r>
        <w:rPr>
          <w:spacing w:val="-10"/>
          <w:sz w:val="22"/>
        </w:rPr>
        <w:t> </w:t>
      </w:r>
      <w:r>
        <w:rPr>
          <w:spacing w:val="-2"/>
          <w:sz w:val="22"/>
        </w:rPr>
        <w:t>tribal</w:t>
      </w:r>
      <w:r>
        <w:rPr>
          <w:spacing w:val="-10"/>
          <w:sz w:val="22"/>
        </w:rPr>
        <w:t> </w:t>
      </w:r>
      <w:r>
        <w:rPr>
          <w:spacing w:val="-2"/>
          <w:sz w:val="22"/>
        </w:rPr>
        <w:t>children</w:t>
      </w:r>
      <w:r>
        <w:rPr>
          <w:spacing w:val="-10"/>
          <w:sz w:val="22"/>
        </w:rPr>
        <w:t> </w:t>
      </w:r>
      <w:r>
        <w:rPr>
          <w:spacing w:val="-2"/>
          <w:sz w:val="22"/>
        </w:rPr>
        <w:t>and</w:t>
      </w:r>
      <w:r>
        <w:rPr>
          <w:spacing w:val="-10"/>
          <w:sz w:val="22"/>
        </w:rPr>
        <w:t> </w:t>
      </w:r>
      <w:r>
        <w:rPr>
          <w:spacing w:val="-2"/>
          <w:sz w:val="22"/>
        </w:rPr>
        <w:t>children</w:t>
      </w:r>
      <w:r>
        <w:rPr>
          <w:spacing w:val="-10"/>
          <w:sz w:val="22"/>
        </w:rPr>
        <w:t> </w:t>
      </w:r>
      <w:r>
        <w:rPr>
          <w:spacing w:val="-2"/>
          <w:sz w:val="22"/>
        </w:rPr>
        <w:t>from</w:t>
      </w:r>
      <w:r>
        <w:rPr>
          <w:spacing w:val="-10"/>
          <w:sz w:val="22"/>
        </w:rPr>
        <w:t> </w:t>
      </w:r>
      <w:r>
        <w:rPr>
          <w:spacing w:val="-2"/>
          <w:sz w:val="22"/>
        </w:rPr>
        <w:t>rural</w:t>
      </w:r>
      <w:r>
        <w:rPr>
          <w:spacing w:val="-10"/>
          <w:sz w:val="22"/>
        </w:rPr>
        <w:t> </w:t>
      </w:r>
      <w:r>
        <w:rPr>
          <w:spacing w:val="-2"/>
          <w:sz w:val="22"/>
        </w:rPr>
        <w:t>backgrounds </w:t>
      </w:r>
      <w:r>
        <w:rPr>
          <w:spacing w:val="-6"/>
          <w:sz w:val="22"/>
        </w:rPr>
        <w:t>to</w:t>
      </w:r>
      <w:r>
        <w:rPr>
          <w:spacing w:val="-8"/>
          <w:sz w:val="22"/>
        </w:rPr>
        <w:t> </w:t>
      </w:r>
      <w:r>
        <w:rPr>
          <w:spacing w:val="-6"/>
          <w:sz w:val="22"/>
        </w:rPr>
        <w:t>attract them towards science.</w:t>
      </w:r>
      <w:r>
        <w:rPr>
          <w:spacing w:val="-8"/>
          <w:sz w:val="22"/>
        </w:rPr>
        <w:t> </w:t>
      </w:r>
      <w:r>
        <w:rPr>
          <w:spacing w:val="-6"/>
          <w:sz w:val="22"/>
        </w:rPr>
        <w:t>Tribal schools should be </w:t>
      </w:r>
      <w:r>
        <w:rPr>
          <w:sz w:val="22"/>
        </w:rPr>
        <w:t>equipped</w:t>
      </w:r>
      <w:r>
        <w:rPr>
          <w:spacing w:val="-14"/>
          <w:sz w:val="22"/>
        </w:rPr>
        <w:t> </w:t>
      </w:r>
      <w:r>
        <w:rPr>
          <w:sz w:val="22"/>
        </w:rPr>
        <w:t>with</w:t>
      </w:r>
      <w:r>
        <w:rPr>
          <w:spacing w:val="-14"/>
          <w:sz w:val="22"/>
        </w:rPr>
        <w:t> </w:t>
      </w:r>
      <w:r>
        <w:rPr>
          <w:sz w:val="22"/>
        </w:rPr>
        <w:t>teachers</w:t>
      </w:r>
      <w:r>
        <w:rPr>
          <w:spacing w:val="-14"/>
          <w:sz w:val="22"/>
        </w:rPr>
        <w:t> </w:t>
      </w:r>
      <w:r>
        <w:rPr>
          <w:sz w:val="22"/>
        </w:rPr>
        <w:t>who</w:t>
      </w:r>
      <w:r>
        <w:rPr>
          <w:spacing w:val="-13"/>
          <w:sz w:val="22"/>
        </w:rPr>
        <w:t> </w:t>
      </w:r>
      <w:r>
        <w:rPr>
          <w:sz w:val="22"/>
        </w:rPr>
        <w:t>are</w:t>
      </w:r>
      <w:r>
        <w:rPr>
          <w:spacing w:val="-14"/>
          <w:sz w:val="22"/>
        </w:rPr>
        <w:t> </w:t>
      </w:r>
      <w:r>
        <w:rPr>
          <w:sz w:val="22"/>
        </w:rPr>
        <w:t>trained</w:t>
      </w:r>
      <w:r>
        <w:rPr>
          <w:spacing w:val="-14"/>
          <w:sz w:val="22"/>
        </w:rPr>
        <w:t> </w:t>
      </w:r>
      <w:r>
        <w:rPr>
          <w:sz w:val="22"/>
        </w:rPr>
        <w:t>in</w:t>
      </w:r>
      <w:r>
        <w:rPr>
          <w:spacing w:val="-14"/>
          <w:sz w:val="22"/>
        </w:rPr>
        <w:t> </w:t>
      </w:r>
      <w:r>
        <w:rPr>
          <w:sz w:val="22"/>
        </w:rPr>
        <w:t>pedagogical methods</w:t>
      </w:r>
      <w:r>
        <w:rPr>
          <w:spacing w:val="-3"/>
          <w:sz w:val="22"/>
        </w:rPr>
        <w:t> </w:t>
      </w:r>
      <w:r>
        <w:rPr>
          <w:sz w:val="22"/>
        </w:rPr>
        <w:t>suited</w:t>
      </w:r>
      <w:r>
        <w:rPr>
          <w:spacing w:val="-3"/>
          <w:sz w:val="22"/>
        </w:rPr>
        <w:t> </w:t>
      </w:r>
      <w:r>
        <w:rPr>
          <w:sz w:val="22"/>
        </w:rPr>
        <w:t>to</w:t>
      </w:r>
      <w:r>
        <w:rPr>
          <w:spacing w:val="-3"/>
          <w:sz w:val="22"/>
        </w:rPr>
        <w:t> </w:t>
      </w:r>
      <w:r>
        <w:rPr>
          <w:sz w:val="22"/>
        </w:rPr>
        <w:t>the</w:t>
      </w:r>
      <w:r>
        <w:rPr>
          <w:spacing w:val="-3"/>
          <w:sz w:val="22"/>
        </w:rPr>
        <w:t> </w:t>
      </w:r>
      <w:r>
        <w:rPr>
          <w:sz w:val="22"/>
        </w:rPr>
        <w:t>special</w:t>
      </w:r>
      <w:r>
        <w:rPr>
          <w:spacing w:val="-3"/>
          <w:sz w:val="22"/>
        </w:rPr>
        <w:t> </w:t>
      </w:r>
      <w:r>
        <w:rPr>
          <w:sz w:val="22"/>
        </w:rPr>
        <w:t>needs</w:t>
      </w:r>
      <w:r>
        <w:rPr>
          <w:spacing w:val="-3"/>
          <w:sz w:val="22"/>
        </w:rPr>
        <w:t> </w:t>
      </w:r>
      <w:r>
        <w:rPr>
          <w:sz w:val="22"/>
        </w:rPr>
        <w:t>of</w:t>
      </w:r>
      <w:r>
        <w:rPr>
          <w:spacing w:val="-3"/>
          <w:sz w:val="22"/>
        </w:rPr>
        <w:t> </w:t>
      </w:r>
      <w:r>
        <w:rPr>
          <w:sz w:val="22"/>
        </w:rPr>
        <w:t>tribal</w:t>
      </w:r>
      <w:r>
        <w:rPr>
          <w:spacing w:val="-3"/>
          <w:sz w:val="22"/>
        </w:rPr>
        <w:t> </w:t>
      </w:r>
      <w:r>
        <w:rPr>
          <w:sz w:val="22"/>
        </w:rPr>
        <w:t>children.</w:t>
      </w:r>
    </w:p>
    <w:p>
      <w:pPr>
        <w:pStyle w:val="Heading6"/>
        <w:numPr>
          <w:ilvl w:val="0"/>
          <w:numId w:val="34"/>
        </w:numPr>
        <w:tabs>
          <w:tab w:pos="643" w:val="left" w:leader="none"/>
          <w:tab w:pos="645" w:val="left" w:leader="none"/>
        </w:tabs>
        <w:spacing w:line="182" w:lineRule="auto" w:before="247" w:after="0"/>
        <w:ind w:left="645" w:right="1278" w:hanging="327"/>
        <w:jc w:val="left"/>
      </w:pPr>
      <w:r>
        <w:rPr>
          <w:color w:val="2E614A"/>
          <w:w w:val="90"/>
        </w:rPr>
        <w:t>Re-brand and promote careers </w:t>
      </w:r>
      <w:r>
        <w:rPr>
          <w:color w:val="2E614A"/>
          <w:w w:val="90"/>
        </w:rPr>
        <w:t>in </w:t>
      </w:r>
      <w:r>
        <w:rPr>
          <w:color w:val="2E614A"/>
        </w:rPr>
        <w:t>basic sciences</w:t>
      </w:r>
    </w:p>
    <w:p>
      <w:pPr>
        <w:pStyle w:val="BodyText"/>
        <w:spacing w:line="266" w:lineRule="auto" w:before="303"/>
        <w:ind w:left="319" w:right="1067"/>
        <w:jc w:val="both"/>
      </w:pPr>
      <w:r>
        <w:rPr/>
        <w:t>Existing careers in sciences, namely teaching and research,</w:t>
      </w:r>
      <w:r>
        <w:rPr>
          <w:spacing w:val="35"/>
        </w:rPr>
        <w:t> </w:t>
      </w:r>
      <w:r>
        <w:rPr/>
        <w:t>should</w:t>
      </w:r>
      <w:r>
        <w:rPr>
          <w:spacing w:val="35"/>
        </w:rPr>
        <w:t> </w:t>
      </w:r>
      <w:r>
        <w:rPr/>
        <w:t>be</w:t>
      </w:r>
      <w:r>
        <w:rPr>
          <w:spacing w:val="35"/>
        </w:rPr>
        <w:t> </w:t>
      </w:r>
      <w:r>
        <w:rPr/>
        <w:t>made</w:t>
      </w:r>
      <w:r>
        <w:rPr>
          <w:spacing w:val="35"/>
        </w:rPr>
        <w:t> </w:t>
      </w:r>
      <w:r>
        <w:rPr/>
        <w:t>more</w:t>
      </w:r>
      <w:r>
        <w:rPr>
          <w:spacing w:val="35"/>
        </w:rPr>
        <w:t> </w:t>
      </w:r>
      <w:r>
        <w:rPr/>
        <w:t>attractive.</w:t>
      </w:r>
      <w:r>
        <w:rPr>
          <w:spacing w:val="28"/>
        </w:rPr>
        <w:t> </w:t>
      </w:r>
      <w:r>
        <w:rPr/>
        <w:t>There</w:t>
      </w:r>
      <w:r>
        <w:rPr>
          <w:spacing w:val="35"/>
        </w:rPr>
        <w:t> </w:t>
      </w:r>
      <w:r>
        <w:rPr/>
        <w:t>is a need to increase salaries in this field to reflect the shortage of skilled manpower and to attract students towards a career in science. Science colleges should collaborate with research institutes and industry for campus placements. More modules/courses could be designed which prepare students for employment in industry. The four year bachelor’s course offered by quality institutes should dispel the myth that science </w:t>
      </w:r>
      <w:r>
        <w:rPr>
          <w:spacing w:val="-6"/>
        </w:rPr>
        <w:t>bachelors are in any way less employable than graduates </w:t>
      </w:r>
      <w:r>
        <w:rPr/>
        <w:t>from other professional streams. Research institutes </w:t>
      </w:r>
      <w:r>
        <w:rPr>
          <w:spacing w:val="-2"/>
        </w:rPr>
        <w:t>should</w:t>
      </w:r>
      <w:r>
        <w:rPr>
          <w:spacing w:val="-5"/>
        </w:rPr>
        <w:t> </w:t>
      </w:r>
      <w:r>
        <w:rPr>
          <w:spacing w:val="-2"/>
        </w:rPr>
        <w:t>collaborate</w:t>
      </w:r>
      <w:r>
        <w:rPr>
          <w:spacing w:val="-5"/>
        </w:rPr>
        <w:t> </w:t>
      </w:r>
      <w:r>
        <w:rPr>
          <w:spacing w:val="-2"/>
        </w:rPr>
        <w:t>with</w:t>
      </w:r>
      <w:r>
        <w:rPr>
          <w:spacing w:val="-5"/>
        </w:rPr>
        <w:t> </w:t>
      </w:r>
      <w:r>
        <w:rPr>
          <w:spacing w:val="-2"/>
        </w:rPr>
        <w:t>professional</w:t>
      </w:r>
      <w:r>
        <w:rPr>
          <w:spacing w:val="-5"/>
        </w:rPr>
        <w:t> </w:t>
      </w:r>
      <w:r>
        <w:rPr>
          <w:spacing w:val="-2"/>
        </w:rPr>
        <w:t>streams</w:t>
      </w:r>
      <w:r>
        <w:rPr>
          <w:spacing w:val="-5"/>
        </w:rPr>
        <w:t> </w:t>
      </w:r>
      <w:r>
        <w:rPr>
          <w:spacing w:val="-2"/>
        </w:rPr>
        <w:t>to</w:t>
      </w:r>
      <w:r>
        <w:rPr>
          <w:spacing w:val="-5"/>
        </w:rPr>
        <w:t> </w:t>
      </w:r>
      <w:r>
        <w:rPr>
          <w:spacing w:val="-2"/>
        </w:rPr>
        <w:t>pursue </w:t>
      </w:r>
      <w:r>
        <w:rPr/>
        <w:t>and create more opportunities. New institutes will create a demand for quality science Ph.Ds and these career opportunities need to be publicised.</w:t>
      </w:r>
    </w:p>
    <w:p>
      <w:pPr>
        <w:pStyle w:val="Heading6"/>
        <w:numPr>
          <w:ilvl w:val="0"/>
          <w:numId w:val="34"/>
        </w:numPr>
        <w:tabs>
          <w:tab w:pos="643" w:val="left" w:leader="none"/>
          <w:tab w:pos="645" w:val="left" w:leader="none"/>
        </w:tabs>
        <w:spacing w:line="182" w:lineRule="auto" w:before="245" w:after="0"/>
        <w:ind w:left="645" w:right="1096" w:hanging="327"/>
        <w:jc w:val="left"/>
      </w:pPr>
      <w:r>
        <w:rPr>
          <w:color w:val="2E614A"/>
          <w:w w:val="90"/>
        </w:rPr>
        <w:t>Launch a massive science </w:t>
      </w:r>
      <w:r>
        <w:rPr>
          <w:color w:val="2E614A"/>
          <w:w w:val="90"/>
        </w:rPr>
        <w:t>outreach </w:t>
      </w:r>
      <w:r>
        <w:rPr>
          <w:color w:val="2E614A"/>
          <w:spacing w:val="-4"/>
        </w:rPr>
        <w:t>program</w:t>
      </w:r>
      <w:r>
        <w:rPr>
          <w:color w:val="2E614A"/>
          <w:spacing w:val="-16"/>
        </w:rPr>
        <w:t> </w:t>
      </w:r>
      <w:r>
        <w:rPr>
          <w:color w:val="2E614A"/>
          <w:spacing w:val="-4"/>
        </w:rPr>
        <w:t>aimed</w:t>
      </w:r>
      <w:r>
        <w:rPr>
          <w:color w:val="2E614A"/>
          <w:spacing w:val="-16"/>
        </w:rPr>
        <w:t> </w:t>
      </w:r>
      <w:r>
        <w:rPr>
          <w:color w:val="2E614A"/>
          <w:spacing w:val="-4"/>
        </w:rPr>
        <w:t>at</w:t>
      </w:r>
      <w:r>
        <w:rPr>
          <w:color w:val="2E614A"/>
          <w:spacing w:val="-16"/>
        </w:rPr>
        <w:t> </w:t>
      </w:r>
      <w:r>
        <w:rPr>
          <w:color w:val="2E614A"/>
          <w:spacing w:val="-4"/>
        </w:rPr>
        <w:t>students</w:t>
      </w:r>
      <w:r>
        <w:rPr>
          <w:color w:val="2E614A"/>
          <w:spacing w:val="-16"/>
        </w:rPr>
        <w:t> </w:t>
      </w:r>
      <w:r>
        <w:rPr>
          <w:color w:val="2E614A"/>
          <w:spacing w:val="-4"/>
        </w:rPr>
        <w:t>and </w:t>
      </w:r>
      <w:r>
        <w:rPr>
          <w:color w:val="2E614A"/>
        </w:rPr>
        <w:t>their</w:t>
      </w:r>
      <w:r>
        <w:rPr>
          <w:color w:val="2E614A"/>
          <w:spacing w:val="-11"/>
        </w:rPr>
        <w:t> </w:t>
      </w:r>
      <w:r>
        <w:rPr>
          <w:color w:val="2E614A"/>
        </w:rPr>
        <w:t>parents</w:t>
      </w:r>
    </w:p>
    <w:p>
      <w:pPr>
        <w:pStyle w:val="BodyText"/>
        <w:spacing w:line="266" w:lineRule="auto" w:before="303"/>
        <w:ind w:left="319" w:right="1067"/>
        <w:jc w:val="both"/>
      </w:pPr>
      <w:r>
        <w:rPr/>
        <w:t>A</w:t>
      </w:r>
      <w:r>
        <w:rPr>
          <w:spacing w:val="-10"/>
        </w:rPr>
        <w:t> </w:t>
      </w:r>
      <w:r>
        <w:rPr/>
        <w:t>science</w:t>
      </w:r>
      <w:r>
        <w:rPr>
          <w:spacing w:val="-10"/>
        </w:rPr>
        <w:t> </w:t>
      </w:r>
      <w:r>
        <w:rPr/>
        <w:t>popularisation</w:t>
      </w:r>
      <w:r>
        <w:rPr>
          <w:spacing w:val="-10"/>
        </w:rPr>
        <w:t> </w:t>
      </w:r>
      <w:r>
        <w:rPr/>
        <w:t>program</w:t>
      </w:r>
      <w:r>
        <w:rPr>
          <w:spacing w:val="-10"/>
        </w:rPr>
        <w:t> </w:t>
      </w:r>
      <w:r>
        <w:rPr/>
        <w:t>should</w:t>
      </w:r>
      <w:r>
        <w:rPr>
          <w:spacing w:val="-10"/>
        </w:rPr>
        <w:t> </w:t>
      </w:r>
      <w:r>
        <w:rPr/>
        <w:t>be</w:t>
      </w:r>
      <w:r>
        <w:rPr>
          <w:spacing w:val="-10"/>
        </w:rPr>
        <w:t> </w:t>
      </w:r>
      <w:r>
        <w:rPr/>
        <w:t>launched </w:t>
      </w:r>
      <w:r>
        <w:rPr>
          <w:spacing w:val="-4"/>
        </w:rPr>
        <w:t>to</w:t>
      </w:r>
      <w:r>
        <w:rPr>
          <w:spacing w:val="-6"/>
        </w:rPr>
        <w:t> </w:t>
      </w:r>
      <w:r>
        <w:rPr>
          <w:spacing w:val="-4"/>
        </w:rPr>
        <w:t>effectively cover children across India.</w:t>
      </w:r>
      <w:r>
        <w:rPr>
          <w:spacing w:val="-10"/>
        </w:rPr>
        <w:t> </w:t>
      </w:r>
      <w:r>
        <w:rPr>
          <w:spacing w:val="-4"/>
        </w:rPr>
        <w:t>This program </w:t>
      </w:r>
      <w:r>
        <w:rPr/>
        <w:t>should bring all popular science activities under one umbrella for rapid implementation and replication of successful initiatives. A large chain of science talent cells</w:t>
      </w:r>
      <w:r>
        <w:rPr>
          <w:spacing w:val="42"/>
        </w:rPr>
        <w:t> </w:t>
      </w:r>
      <w:r>
        <w:rPr/>
        <w:t>should</w:t>
      </w:r>
      <w:r>
        <w:rPr>
          <w:spacing w:val="42"/>
        </w:rPr>
        <w:t> </w:t>
      </w:r>
      <w:r>
        <w:rPr/>
        <w:t>be</w:t>
      </w:r>
      <w:r>
        <w:rPr>
          <w:spacing w:val="42"/>
        </w:rPr>
        <w:t> </w:t>
      </w:r>
      <w:r>
        <w:rPr/>
        <w:t>created</w:t>
      </w:r>
      <w:r>
        <w:rPr>
          <w:spacing w:val="42"/>
        </w:rPr>
        <w:t> </w:t>
      </w:r>
      <w:r>
        <w:rPr/>
        <w:t>and</w:t>
      </w:r>
      <w:r>
        <w:rPr>
          <w:spacing w:val="43"/>
        </w:rPr>
        <w:t> </w:t>
      </w:r>
      <w:r>
        <w:rPr/>
        <w:t>each</w:t>
      </w:r>
      <w:r>
        <w:rPr>
          <w:spacing w:val="42"/>
        </w:rPr>
        <w:t> </w:t>
      </w:r>
      <w:r>
        <w:rPr/>
        <w:t>school</w:t>
      </w:r>
      <w:r>
        <w:rPr>
          <w:spacing w:val="42"/>
        </w:rPr>
        <w:t> </w:t>
      </w:r>
      <w:r>
        <w:rPr/>
        <w:t>should</w:t>
      </w:r>
      <w:r>
        <w:rPr>
          <w:spacing w:val="42"/>
        </w:rPr>
        <w:t> </w:t>
      </w:r>
      <w:r>
        <w:rPr>
          <w:spacing w:val="-5"/>
        </w:rPr>
        <w:t>be</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79"/>
        <w:jc w:val="both"/>
      </w:pPr>
      <w:r>
        <w:rPr/>
        <w:t>funded to open a science club. The effectiveness </w:t>
      </w:r>
      <w:r>
        <w:rPr/>
        <w:t>of mobile</w:t>
      </w:r>
      <w:r>
        <w:rPr>
          <w:spacing w:val="-14"/>
        </w:rPr>
        <w:t> </w:t>
      </w:r>
      <w:r>
        <w:rPr/>
        <w:t>labs</w:t>
      </w:r>
      <w:r>
        <w:rPr>
          <w:spacing w:val="-14"/>
        </w:rPr>
        <w:t> </w:t>
      </w:r>
      <w:r>
        <w:rPr/>
        <w:t>in</w:t>
      </w:r>
      <w:r>
        <w:rPr>
          <w:spacing w:val="-14"/>
        </w:rPr>
        <w:t> </w:t>
      </w:r>
      <w:r>
        <w:rPr/>
        <w:t>reaching</w:t>
      </w:r>
      <w:r>
        <w:rPr>
          <w:spacing w:val="-13"/>
        </w:rPr>
        <w:t> </w:t>
      </w:r>
      <w:r>
        <w:rPr/>
        <w:t>the</w:t>
      </w:r>
      <w:r>
        <w:rPr>
          <w:spacing w:val="-14"/>
        </w:rPr>
        <w:t> </w:t>
      </w:r>
      <w:r>
        <w:rPr/>
        <w:t>rural</w:t>
      </w:r>
      <w:r>
        <w:rPr>
          <w:spacing w:val="-14"/>
        </w:rPr>
        <w:t> </w:t>
      </w:r>
      <w:r>
        <w:rPr/>
        <w:t>students</w:t>
      </w:r>
      <w:r>
        <w:rPr>
          <w:spacing w:val="-14"/>
        </w:rPr>
        <w:t> </w:t>
      </w:r>
      <w:r>
        <w:rPr/>
        <w:t>and</w:t>
      </w:r>
      <w:r>
        <w:rPr>
          <w:spacing w:val="-13"/>
        </w:rPr>
        <w:t> </w:t>
      </w:r>
      <w:r>
        <w:rPr/>
        <w:t>teachers is</w:t>
      </w:r>
      <w:r>
        <w:rPr>
          <w:spacing w:val="-4"/>
        </w:rPr>
        <w:t> </w:t>
      </w:r>
      <w:r>
        <w:rPr/>
        <w:t>very</w:t>
      </w:r>
      <w:r>
        <w:rPr>
          <w:spacing w:val="-4"/>
        </w:rPr>
        <w:t> </w:t>
      </w:r>
      <w:r>
        <w:rPr/>
        <w:t>high.</w:t>
      </w:r>
      <w:r>
        <w:rPr>
          <w:spacing w:val="-4"/>
        </w:rPr>
        <w:t> </w:t>
      </w:r>
      <w:r>
        <w:rPr/>
        <w:t>Replication</w:t>
      </w:r>
      <w:r>
        <w:rPr>
          <w:spacing w:val="-4"/>
        </w:rPr>
        <w:t> </w:t>
      </w:r>
      <w:r>
        <w:rPr/>
        <w:t>of</w:t>
      </w:r>
      <w:r>
        <w:rPr>
          <w:spacing w:val="-4"/>
        </w:rPr>
        <w:t> </w:t>
      </w:r>
      <w:r>
        <w:rPr/>
        <w:t>the</w:t>
      </w:r>
      <w:r>
        <w:rPr>
          <w:spacing w:val="-4"/>
        </w:rPr>
        <w:t> </w:t>
      </w:r>
      <w:r>
        <w:rPr/>
        <w:t>Agastya</w:t>
      </w:r>
      <w:r>
        <w:rPr>
          <w:spacing w:val="-4"/>
        </w:rPr>
        <w:t> </w:t>
      </w:r>
      <w:r>
        <w:rPr/>
        <w:t>International </w:t>
      </w:r>
      <w:r>
        <w:rPr>
          <w:spacing w:val="-2"/>
        </w:rPr>
        <w:t>Foundation’s</w:t>
      </w:r>
      <w:r>
        <w:rPr>
          <w:spacing w:val="-12"/>
        </w:rPr>
        <w:t> </w:t>
      </w:r>
      <w:r>
        <w:rPr>
          <w:spacing w:val="-2"/>
        </w:rPr>
        <w:t>mobile</w:t>
      </w:r>
      <w:r>
        <w:rPr>
          <w:spacing w:val="-12"/>
        </w:rPr>
        <w:t> </w:t>
      </w:r>
      <w:r>
        <w:rPr>
          <w:spacing w:val="-2"/>
        </w:rPr>
        <w:t>lab</w:t>
      </w:r>
      <w:r>
        <w:rPr>
          <w:spacing w:val="-12"/>
        </w:rPr>
        <w:t> </w:t>
      </w:r>
      <w:r>
        <w:rPr>
          <w:spacing w:val="-2"/>
        </w:rPr>
        <w:t>program,</w:t>
      </w:r>
      <w:r>
        <w:rPr>
          <w:spacing w:val="-11"/>
        </w:rPr>
        <w:t> </w:t>
      </w:r>
      <w:r>
        <w:rPr>
          <w:spacing w:val="-2"/>
        </w:rPr>
        <w:t>with</w:t>
      </w:r>
      <w:r>
        <w:rPr>
          <w:spacing w:val="-12"/>
        </w:rPr>
        <w:t> </w:t>
      </w:r>
      <w:r>
        <w:rPr>
          <w:spacing w:val="-2"/>
        </w:rPr>
        <w:t>possible</w:t>
      </w:r>
      <w:r>
        <w:rPr>
          <w:spacing w:val="-12"/>
        </w:rPr>
        <w:t> </w:t>
      </w:r>
      <w:r>
        <w:rPr>
          <w:spacing w:val="-2"/>
        </w:rPr>
        <w:t>public </w:t>
      </w:r>
      <w:r>
        <w:rPr/>
        <w:t>private partnership mode for implementation, should be considered for various states.</w:t>
      </w:r>
    </w:p>
    <w:p>
      <w:pPr>
        <w:pStyle w:val="BodyText"/>
        <w:spacing w:before="1"/>
      </w:pPr>
    </w:p>
    <w:p>
      <w:pPr>
        <w:pStyle w:val="Heading6"/>
        <w:numPr>
          <w:ilvl w:val="0"/>
          <w:numId w:val="34"/>
        </w:numPr>
        <w:tabs>
          <w:tab w:pos="1554" w:val="left" w:leader="none"/>
          <w:tab w:pos="1556" w:val="left" w:leader="none"/>
        </w:tabs>
        <w:spacing w:line="182" w:lineRule="auto" w:before="0" w:after="0"/>
        <w:ind w:left="1556" w:right="99" w:hanging="477"/>
        <w:jc w:val="left"/>
      </w:pPr>
      <w:r>
        <w:rPr>
          <w:color w:val="2E614A"/>
          <w:w w:val="90"/>
        </w:rPr>
        <w:t>Encourage</w:t>
      </w:r>
      <w:r>
        <w:rPr>
          <w:color w:val="2E614A"/>
          <w:spacing w:val="-14"/>
          <w:w w:val="90"/>
        </w:rPr>
        <w:t> </w:t>
      </w:r>
      <w:r>
        <w:rPr>
          <w:color w:val="2E614A"/>
          <w:w w:val="90"/>
        </w:rPr>
        <w:t>industry</w:t>
      </w:r>
      <w:r>
        <w:rPr>
          <w:color w:val="2E614A"/>
          <w:spacing w:val="-12"/>
          <w:w w:val="90"/>
        </w:rPr>
        <w:t> </w:t>
      </w:r>
      <w:r>
        <w:rPr>
          <w:color w:val="2E614A"/>
          <w:w w:val="90"/>
        </w:rPr>
        <w:t>participation in</w:t>
      </w:r>
      <w:r>
        <w:rPr>
          <w:color w:val="2E614A"/>
          <w:spacing w:val="-2"/>
          <w:w w:val="90"/>
        </w:rPr>
        <w:t> </w:t>
      </w:r>
      <w:r>
        <w:rPr>
          <w:color w:val="2E614A"/>
          <w:w w:val="90"/>
        </w:rPr>
        <w:t>promoting</w:t>
      </w:r>
      <w:r>
        <w:rPr>
          <w:color w:val="2E614A"/>
          <w:spacing w:val="-2"/>
          <w:w w:val="90"/>
        </w:rPr>
        <w:t> </w:t>
      </w:r>
      <w:r>
        <w:rPr>
          <w:color w:val="2E614A"/>
          <w:w w:val="90"/>
        </w:rPr>
        <w:t>sciences</w:t>
      </w:r>
      <w:r>
        <w:rPr>
          <w:color w:val="2E614A"/>
          <w:spacing w:val="-2"/>
          <w:w w:val="90"/>
        </w:rPr>
        <w:t> </w:t>
      </w:r>
      <w:r>
        <w:rPr>
          <w:color w:val="2E614A"/>
          <w:w w:val="90"/>
        </w:rPr>
        <w:t>at</w:t>
      </w:r>
      <w:r>
        <w:rPr>
          <w:color w:val="2E614A"/>
          <w:spacing w:val="-2"/>
          <w:w w:val="90"/>
        </w:rPr>
        <w:t> </w:t>
      </w:r>
      <w:r>
        <w:rPr>
          <w:color w:val="2E614A"/>
          <w:w w:val="90"/>
        </w:rPr>
        <w:t>all</w:t>
      </w:r>
      <w:r>
        <w:rPr>
          <w:color w:val="2E614A"/>
          <w:spacing w:val="-2"/>
          <w:w w:val="90"/>
        </w:rPr>
        <w:t> </w:t>
      </w:r>
      <w:r>
        <w:rPr>
          <w:color w:val="2E614A"/>
          <w:w w:val="90"/>
        </w:rPr>
        <w:t>levels</w:t>
      </w:r>
    </w:p>
    <w:p>
      <w:pPr>
        <w:pStyle w:val="BodyText"/>
        <w:spacing w:line="266" w:lineRule="auto" w:before="302"/>
        <w:ind w:left="1079"/>
        <w:jc w:val="both"/>
      </w:pPr>
      <w:r>
        <w:rPr/>
        <w:t>As research based industries flourish in India, </w:t>
      </w:r>
      <w:r>
        <w:rPr/>
        <w:t>more and more companies will need employees qualified in</w:t>
      </w:r>
      <w:r>
        <w:rPr>
          <w:spacing w:val="-4"/>
        </w:rPr>
        <w:t> </w:t>
      </w:r>
      <w:r>
        <w:rPr/>
        <w:t>basic</w:t>
      </w:r>
      <w:r>
        <w:rPr>
          <w:spacing w:val="-4"/>
        </w:rPr>
        <w:t> </w:t>
      </w:r>
      <w:r>
        <w:rPr/>
        <w:t>sciences,</w:t>
      </w:r>
      <w:r>
        <w:rPr>
          <w:spacing w:val="-4"/>
        </w:rPr>
        <w:t> </w:t>
      </w:r>
      <w:r>
        <w:rPr/>
        <w:t>thus</w:t>
      </w:r>
      <w:r>
        <w:rPr>
          <w:spacing w:val="-4"/>
        </w:rPr>
        <w:t> </w:t>
      </w:r>
      <w:r>
        <w:rPr/>
        <w:t>creating</w:t>
      </w:r>
      <w:r>
        <w:rPr>
          <w:spacing w:val="-4"/>
        </w:rPr>
        <w:t> </w:t>
      </w:r>
      <w:r>
        <w:rPr/>
        <w:t>other</w:t>
      </w:r>
      <w:r>
        <w:rPr>
          <w:spacing w:val="-4"/>
        </w:rPr>
        <w:t> </w:t>
      </w:r>
      <w:r>
        <w:rPr/>
        <w:t>attractive</w:t>
      </w:r>
      <w:r>
        <w:rPr>
          <w:spacing w:val="-4"/>
        </w:rPr>
        <w:t> </w:t>
      </w:r>
      <w:r>
        <w:rPr/>
        <w:t>career </w:t>
      </w:r>
      <w:r>
        <w:rPr>
          <w:spacing w:val="-4"/>
        </w:rPr>
        <w:t>opportunities</w:t>
      </w:r>
      <w:r>
        <w:rPr>
          <w:spacing w:val="-10"/>
        </w:rPr>
        <w:t> </w:t>
      </w:r>
      <w:r>
        <w:rPr>
          <w:spacing w:val="-4"/>
        </w:rPr>
        <w:t>in</w:t>
      </w:r>
      <w:r>
        <w:rPr>
          <w:spacing w:val="-9"/>
        </w:rPr>
        <w:t> </w:t>
      </w:r>
      <w:r>
        <w:rPr>
          <w:spacing w:val="-4"/>
        </w:rPr>
        <w:t>science.</w:t>
      </w:r>
      <w:r>
        <w:rPr>
          <w:spacing w:val="-10"/>
        </w:rPr>
        <w:t> </w:t>
      </w:r>
      <w:r>
        <w:rPr>
          <w:spacing w:val="-4"/>
        </w:rPr>
        <w:t>Industry</w:t>
      </w:r>
      <w:r>
        <w:rPr>
          <w:spacing w:val="-9"/>
        </w:rPr>
        <w:t> </w:t>
      </w:r>
      <w:r>
        <w:rPr>
          <w:spacing w:val="-4"/>
        </w:rPr>
        <w:t>should</w:t>
      </w:r>
      <w:r>
        <w:rPr>
          <w:spacing w:val="-10"/>
        </w:rPr>
        <w:t> </w:t>
      </w:r>
      <w:r>
        <w:rPr>
          <w:spacing w:val="-4"/>
        </w:rPr>
        <w:t>be</w:t>
      </w:r>
      <w:r>
        <w:rPr>
          <w:spacing w:val="-9"/>
        </w:rPr>
        <w:t> </w:t>
      </w:r>
      <w:r>
        <w:rPr>
          <w:spacing w:val="-4"/>
        </w:rPr>
        <w:t>encouraged </w:t>
      </w:r>
      <w:r>
        <w:rPr/>
        <w:t>to sponsor students for Masters and Ph.Ds in science and</w:t>
      </w:r>
      <w:r>
        <w:rPr>
          <w:spacing w:val="-7"/>
        </w:rPr>
        <w:t> </w:t>
      </w:r>
      <w:r>
        <w:rPr/>
        <w:t>also</w:t>
      </w:r>
      <w:r>
        <w:rPr>
          <w:spacing w:val="-7"/>
        </w:rPr>
        <w:t> </w:t>
      </w:r>
      <w:r>
        <w:rPr/>
        <w:t>internships</w:t>
      </w:r>
      <w:r>
        <w:rPr>
          <w:spacing w:val="-7"/>
        </w:rPr>
        <w:t> </w:t>
      </w:r>
      <w:r>
        <w:rPr/>
        <w:t>of</w:t>
      </w:r>
      <w:r>
        <w:rPr>
          <w:spacing w:val="-7"/>
        </w:rPr>
        <w:t> </w:t>
      </w:r>
      <w:r>
        <w:rPr/>
        <w:t>longer</w:t>
      </w:r>
      <w:r>
        <w:rPr>
          <w:spacing w:val="-7"/>
        </w:rPr>
        <w:t> </w:t>
      </w:r>
      <w:r>
        <w:rPr/>
        <w:t>duration</w:t>
      </w:r>
      <w:r>
        <w:rPr>
          <w:spacing w:val="-7"/>
        </w:rPr>
        <w:t> </w:t>
      </w:r>
      <w:r>
        <w:rPr/>
        <w:t>in</w:t>
      </w:r>
      <w:r>
        <w:rPr>
          <w:spacing w:val="-7"/>
        </w:rPr>
        <w:t> </w:t>
      </w:r>
      <w:r>
        <w:rPr/>
        <w:t>industry</w:t>
      </w:r>
      <w:r>
        <w:rPr>
          <w:spacing w:val="-7"/>
        </w:rPr>
        <w:t> </w:t>
      </w:r>
      <w:r>
        <w:rPr/>
        <w:t>for </w:t>
      </w:r>
      <w:r>
        <w:rPr>
          <w:spacing w:val="-2"/>
        </w:rPr>
        <w:t>post</w:t>
      </w:r>
      <w:r>
        <w:rPr>
          <w:spacing w:val="-4"/>
        </w:rPr>
        <w:t> </w:t>
      </w:r>
      <w:r>
        <w:rPr>
          <w:spacing w:val="-2"/>
        </w:rPr>
        <w:t>graduate</w:t>
      </w:r>
      <w:r>
        <w:rPr>
          <w:spacing w:val="-4"/>
        </w:rPr>
        <w:t> </w:t>
      </w:r>
      <w:r>
        <w:rPr>
          <w:spacing w:val="-2"/>
        </w:rPr>
        <w:t>students.</w:t>
      </w:r>
      <w:r>
        <w:rPr>
          <w:spacing w:val="-4"/>
        </w:rPr>
        <w:t> </w:t>
      </w:r>
      <w:r>
        <w:rPr>
          <w:spacing w:val="-2"/>
        </w:rPr>
        <w:t>Science</w:t>
      </w:r>
      <w:r>
        <w:rPr>
          <w:spacing w:val="-4"/>
        </w:rPr>
        <w:t> </w:t>
      </w:r>
      <w:r>
        <w:rPr>
          <w:spacing w:val="-2"/>
        </w:rPr>
        <w:t>undergraduates</w:t>
      </w:r>
      <w:r>
        <w:rPr>
          <w:spacing w:val="-4"/>
        </w:rPr>
        <w:t> </w:t>
      </w:r>
      <w:r>
        <w:rPr>
          <w:spacing w:val="-2"/>
        </w:rPr>
        <w:t>should</w:t>
      </w:r>
    </w:p>
    <w:p>
      <w:pPr>
        <w:pStyle w:val="BodyText"/>
        <w:spacing w:line="266" w:lineRule="auto" w:before="57"/>
        <w:ind w:left="319" w:right="1077"/>
        <w:jc w:val="both"/>
      </w:pPr>
      <w:r>
        <w:rPr/>
        <w:br w:type="column"/>
      </w:r>
      <w:r>
        <w:rPr>
          <w:spacing w:val="-6"/>
        </w:rPr>
        <w:t>be exposed to various applications of science in </w:t>
      </w:r>
      <w:r>
        <w:rPr>
          <w:spacing w:val="-6"/>
        </w:rPr>
        <w:t>industry </w:t>
      </w:r>
      <w:r>
        <w:rPr/>
        <w:t>through seminars and popular science lectures by </w:t>
      </w:r>
      <w:r>
        <w:rPr>
          <w:spacing w:val="-2"/>
        </w:rPr>
        <w:t>industry</w:t>
      </w:r>
      <w:r>
        <w:rPr>
          <w:spacing w:val="-12"/>
        </w:rPr>
        <w:t> </w:t>
      </w:r>
      <w:r>
        <w:rPr>
          <w:spacing w:val="-2"/>
        </w:rPr>
        <w:t>leaders.</w:t>
      </w:r>
      <w:r>
        <w:rPr>
          <w:spacing w:val="-12"/>
        </w:rPr>
        <w:t> </w:t>
      </w:r>
      <w:r>
        <w:rPr>
          <w:spacing w:val="-2"/>
        </w:rPr>
        <w:t>Academic</w:t>
      </w:r>
      <w:r>
        <w:rPr>
          <w:spacing w:val="-12"/>
        </w:rPr>
        <w:t> </w:t>
      </w:r>
      <w:r>
        <w:rPr>
          <w:spacing w:val="-2"/>
        </w:rPr>
        <w:t>institutions</w:t>
      </w:r>
      <w:r>
        <w:rPr>
          <w:spacing w:val="-11"/>
        </w:rPr>
        <w:t> </w:t>
      </w:r>
      <w:r>
        <w:rPr>
          <w:spacing w:val="-2"/>
        </w:rPr>
        <w:t>should</w:t>
      </w:r>
      <w:r>
        <w:rPr>
          <w:spacing w:val="-12"/>
        </w:rPr>
        <w:t> </w:t>
      </w:r>
      <w:r>
        <w:rPr>
          <w:spacing w:val="-2"/>
        </w:rPr>
        <w:t>develop groups</w:t>
      </w:r>
      <w:r>
        <w:rPr>
          <w:spacing w:val="-6"/>
        </w:rPr>
        <w:t> </w:t>
      </w:r>
      <w:r>
        <w:rPr>
          <w:spacing w:val="-2"/>
        </w:rPr>
        <w:t>at</w:t>
      </w:r>
      <w:r>
        <w:rPr>
          <w:spacing w:val="-6"/>
        </w:rPr>
        <w:t> </w:t>
      </w:r>
      <w:r>
        <w:rPr>
          <w:spacing w:val="-2"/>
        </w:rPr>
        <w:t>each</w:t>
      </w:r>
      <w:r>
        <w:rPr>
          <w:spacing w:val="-6"/>
        </w:rPr>
        <w:t> </w:t>
      </w:r>
      <w:r>
        <w:rPr>
          <w:spacing w:val="-2"/>
        </w:rPr>
        <w:t>institute</w:t>
      </w:r>
      <w:r>
        <w:rPr>
          <w:spacing w:val="-6"/>
        </w:rPr>
        <w:t> </w:t>
      </w:r>
      <w:r>
        <w:rPr>
          <w:spacing w:val="-2"/>
        </w:rPr>
        <w:t>which</w:t>
      </w:r>
      <w:r>
        <w:rPr>
          <w:spacing w:val="-6"/>
        </w:rPr>
        <w:t> </w:t>
      </w:r>
      <w:r>
        <w:rPr>
          <w:spacing w:val="-2"/>
        </w:rPr>
        <w:t>specialise</w:t>
      </w:r>
      <w:r>
        <w:rPr>
          <w:spacing w:val="-6"/>
        </w:rPr>
        <w:t> </w:t>
      </w:r>
      <w:r>
        <w:rPr>
          <w:spacing w:val="-2"/>
        </w:rPr>
        <w:t>in</w:t>
      </w:r>
      <w:r>
        <w:rPr>
          <w:spacing w:val="-6"/>
        </w:rPr>
        <w:t> </w:t>
      </w:r>
      <w:r>
        <w:rPr>
          <w:spacing w:val="-2"/>
        </w:rPr>
        <w:t>developing </w:t>
      </w:r>
      <w:r>
        <w:rPr/>
        <w:t>novel funding mechanisms involving industry and </w:t>
      </w:r>
      <w:r>
        <w:rPr>
          <w:spacing w:val="-2"/>
        </w:rPr>
        <w:t>explore</w:t>
      </w:r>
      <w:r>
        <w:rPr>
          <w:spacing w:val="-9"/>
        </w:rPr>
        <w:t> </w:t>
      </w:r>
      <w:r>
        <w:rPr>
          <w:spacing w:val="-2"/>
        </w:rPr>
        <w:t>other</w:t>
      </w:r>
      <w:r>
        <w:rPr>
          <w:spacing w:val="-9"/>
        </w:rPr>
        <w:t> </w:t>
      </w:r>
      <w:r>
        <w:rPr>
          <w:spacing w:val="-2"/>
        </w:rPr>
        <w:t>possible</w:t>
      </w:r>
      <w:r>
        <w:rPr>
          <w:spacing w:val="-9"/>
        </w:rPr>
        <w:t> </w:t>
      </w:r>
      <w:r>
        <w:rPr>
          <w:spacing w:val="-2"/>
        </w:rPr>
        <w:t>modes</w:t>
      </w:r>
      <w:r>
        <w:rPr>
          <w:spacing w:val="-9"/>
        </w:rPr>
        <w:t> </w:t>
      </w:r>
      <w:r>
        <w:rPr>
          <w:spacing w:val="-2"/>
        </w:rPr>
        <w:t>of</w:t>
      </w:r>
      <w:r>
        <w:rPr>
          <w:spacing w:val="-9"/>
        </w:rPr>
        <w:t> </w:t>
      </w:r>
      <w:r>
        <w:rPr>
          <w:spacing w:val="-2"/>
        </w:rPr>
        <w:t>industry</w:t>
      </w:r>
      <w:r>
        <w:rPr>
          <w:spacing w:val="-9"/>
        </w:rPr>
        <w:t> </w:t>
      </w:r>
      <w:r>
        <w:rPr>
          <w:spacing w:val="-2"/>
        </w:rPr>
        <w:t>participation. </w:t>
      </w:r>
      <w:r>
        <w:rPr/>
        <w:t>India has a long and rich history attesting to the high talents of Indians in science.</w:t>
      </w:r>
      <w:r>
        <w:rPr>
          <w:spacing w:val="-4"/>
        </w:rPr>
        <w:t> </w:t>
      </w:r>
      <w:r>
        <w:rPr/>
        <w:t>To bring back the glory that the pure sciences once held in the minds of the </w:t>
      </w:r>
      <w:r>
        <w:rPr>
          <w:spacing w:val="-2"/>
        </w:rPr>
        <w:t>students,</w:t>
      </w:r>
      <w:r>
        <w:rPr>
          <w:spacing w:val="-8"/>
        </w:rPr>
        <w:t> </w:t>
      </w:r>
      <w:r>
        <w:rPr>
          <w:spacing w:val="-2"/>
        </w:rPr>
        <w:t>an</w:t>
      </w:r>
      <w:r>
        <w:rPr>
          <w:spacing w:val="-8"/>
        </w:rPr>
        <w:t> </w:t>
      </w:r>
      <w:r>
        <w:rPr>
          <w:spacing w:val="-2"/>
        </w:rPr>
        <w:t>urgent</w:t>
      </w:r>
      <w:r>
        <w:rPr>
          <w:spacing w:val="-8"/>
        </w:rPr>
        <w:t> </w:t>
      </w:r>
      <w:r>
        <w:rPr>
          <w:spacing w:val="-2"/>
        </w:rPr>
        <w:t>restructuring</w:t>
      </w:r>
      <w:r>
        <w:rPr>
          <w:spacing w:val="-8"/>
        </w:rPr>
        <w:t> </w:t>
      </w:r>
      <w:r>
        <w:rPr>
          <w:spacing w:val="-2"/>
        </w:rPr>
        <w:t>of</w:t>
      </w:r>
      <w:r>
        <w:rPr>
          <w:spacing w:val="-8"/>
        </w:rPr>
        <w:t> </w:t>
      </w:r>
      <w:r>
        <w:rPr>
          <w:spacing w:val="-2"/>
        </w:rPr>
        <w:t>the</w:t>
      </w:r>
      <w:r>
        <w:rPr>
          <w:spacing w:val="-8"/>
        </w:rPr>
        <w:t> </w:t>
      </w:r>
      <w:r>
        <w:rPr>
          <w:spacing w:val="-2"/>
        </w:rPr>
        <w:t>entire</w:t>
      </w:r>
      <w:r>
        <w:rPr>
          <w:spacing w:val="-8"/>
        </w:rPr>
        <w:t> </w:t>
      </w:r>
      <w:r>
        <w:rPr>
          <w:spacing w:val="-2"/>
        </w:rPr>
        <w:t>system</w:t>
      </w:r>
      <w:r>
        <w:rPr>
          <w:spacing w:val="-8"/>
        </w:rPr>
        <w:t> </w:t>
      </w:r>
      <w:r>
        <w:rPr>
          <w:spacing w:val="-2"/>
        </w:rPr>
        <w:t>is needed.</w:t>
      </w:r>
      <w:r>
        <w:rPr>
          <w:spacing w:val="-12"/>
        </w:rPr>
        <w:t> </w:t>
      </w:r>
      <w:r>
        <w:rPr>
          <w:spacing w:val="-2"/>
        </w:rPr>
        <w:t>These</w:t>
      </w:r>
      <w:r>
        <w:rPr>
          <w:spacing w:val="-12"/>
        </w:rPr>
        <w:t> </w:t>
      </w:r>
      <w:r>
        <w:rPr>
          <w:spacing w:val="-2"/>
        </w:rPr>
        <w:t>recommendations</w:t>
      </w:r>
      <w:r>
        <w:rPr>
          <w:spacing w:val="-12"/>
        </w:rPr>
        <w:t> </w:t>
      </w:r>
      <w:r>
        <w:rPr>
          <w:spacing w:val="-2"/>
        </w:rPr>
        <w:t>are</w:t>
      </w:r>
      <w:r>
        <w:rPr>
          <w:spacing w:val="-11"/>
        </w:rPr>
        <w:t> </w:t>
      </w:r>
      <w:r>
        <w:rPr>
          <w:spacing w:val="-2"/>
        </w:rPr>
        <w:t>just</w:t>
      </w:r>
      <w:r>
        <w:rPr>
          <w:spacing w:val="-12"/>
        </w:rPr>
        <w:t> </w:t>
      </w:r>
      <w:r>
        <w:rPr>
          <w:spacing w:val="-2"/>
        </w:rPr>
        <w:t>the</w:t>
      </w:r>
      <w:r>
        <w:rPr>
          <w:spacing w:val="-12"/>
        </w:rPr>
        <w:t> </w:t>
      </w:r>
      <w:r>
        <w:rPr>
          <w:spacing w:val="-2"/>
        </w:rPr>
        <w:t>beginning of</w:t>
      </w:r>
      <w:r>
        <w:rPr>
          <w:spacing w:val="-11"/>
        </w:rPr>
        <w:t> </w:t>
      </w:r>
      <w:r>
        <w:rPr>
          <w:spacing w:val="-2"/>
        </w:rPr>
        <w:t>a</w:t>
      </w:r>
      <w:r>
        <w:rPr>
          <w:spacing w:val="-11"/>
        </w:rPr>
        <w:t> </w:t>
      </w:r>
      <w:r>
        <w:rPr>
          <w:spacing w:val="-2"/>
        </w:rPr>
        <w:t>systemic</w:t>
      </w:r>
      <w:r>
        <w:rPr>
          <w:spacing w:val="-11"/>
        </w:rPr>
        <w:t> </w:t>
      </w:r>
      <w:r>
        <w:rPr>
          <w:spacing w:val="-2"/>
        </w:rPr>
        <w:t>overhaul</w:t>
      </w:r>
      <w:r>
        <w:rPr>
          <w:spacing w:val="-11"/>
        </w:rPr>
        <w:t> </w:t>
      </w:r>
      <w:r>
        <w:rPr>
          <w:spacing w:val="-2"/>
        </w:rPr>
        <w:t>process,</w:t>
      </w:r>
      <w:r>
        <w:rPr>
          <w:spacing w:val="-11"/>
        </w:rPr>
        <w:t> </w:t>
      </w:r>
      <w:r>
        <w:rPr>
          <w:spacing w:val="-2"/>
        </w:rPr>
        <w:t>requiring</w:t>
      </w:r>
      <w:r>
        <w:rPr>
          <w:spacing w:val="-11"/>
        </w:rPr>
        <w:t> </w:t>
      </w:r>
      <w:r>
        <w:rPr>
          <w:spacing w:val="-2"/>
        </w:rPr>
        <w:t>great</w:t>
      </w:r>
      <w:r>
        <w:rPr>
          <w:spacing w:val="-11"/>
        </w:rPr>
        <w:t> </w:t>
      </w:r>
      <w:r>
        <w:rPr>
          <w:spacing w:val="-2"/>
        </w:rPr>
        <w:t>support </w:t>
      </w:r>
      <w:r>
        <w:rPr/>
        <w:t>from the government and committed individuals.</w:t>
      </w:r>
      <w:r>
        <w:rPr>
          <w:spacing w:val="40"/>
        </w:rPr>
        <w:t> </w:t>
      </w:r>
      <w:r>
        <w:rPr/>
        <w:t>The crucial ingredient for ensuring success would be an effective, mission-oriented platform for delivery. </w:t>
      </w:r>
      <w:r>
        <w:rPr>
          <w:spacing w:val="-6"/>
        </w:rPr>
        <w:t>Therefore, a National Science and Mathematics Mission </w:t>
      </w:r>
      <w:r>
        <w:rPr/>
        <w:t>is proposed.</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664"/>
        <w:jc w:val="both"/>
      </w:pPr>
      <w:r>
        <w:rPr/>
        <mc:AlternateContent>
          <mc:Choice Requires="wps">
            <w:drawing>
              <wp:anchor distT="0" distB="0" distL="0" distR="0" allowOverlap="1" layoutInCell="1" locked="0" behindDoc="0" simplePos="0" relativeHeight="15772160">
                <wp:simplePos x="0" y="0"/>
                <wp:positionH relativeFrom="page">
                  <wp:posOffset>0</wp:posOffset>
                </wp:positionH>
                <wp:positionV relativeFrom="paragraph">
                  <wp:posOffset>-2277393</wp:posOffset>
                </wp:positionV>
                <wp:extent cx="7560309" cy="1752600"/>
                <wp:effectExtent l="0" t="0" r="0" b="0"/>
                <wp:wrapNone/>
                <wp:docPr id="919" name="Group 919"/>
                <wp:cNvGraphicFramePr>
                  <a:graphicFrameLocks/>
                </wp:cNvGraphicFramePr>
                <a:graphic>
                  <a:graphicData uri="http://schemas.microsoft.com/office/word/2010/wordprocessingGroup">
                    <wpg:wgp>
                      <wpg:cNvPr id="919" name="Group 919"/>
                      <wpg:cNvGrpSpPr/>
                      <wpg:grpSpPr>
                        <a:xfrm>
                          <a:off x="0" y="0"/>
                          <a:ext cx="7560309" cy="1752600"/>
                          <a:chExt cx="7560309" cy="1752600"/>
                        </a:xfrm>
                      </wpg:grpSpPr>
                      <pic:pic>
                        <pic:nvPicPr>
                          <pic:cNvPr id="920" name="Image 920"/>
                          <pic:cNvPicPr/>
                        </pic:nvPicPr>
                        <pic:blipFill>
                          <a:blip r:embed="rId11" cstate="print"/>
                          <a:stretch>
                            <a:fillRect/>
                          </a:stretch>
                        </pic:blipFill>
                        <pic:spPr>
                          <a:xfrm>
                            <a:off x="0" y="0"/>
                            <a:ext cx="7559999" cy="1752562"/>
                          </a:xfrm>
                          <a:prstGeom prst="rect">
                            <a:avLst/>
                          </a:prstGeom>
                        </pic:spPr>
                      </pic:pic>
                      <wps:wsp>
                        <wps:cNvPr id="921" name="Textbox 921"/>
                        <wps:cNvSpPr txBox="1"/>
                        <wps:spPr>
                          <a:xfrm>
                            <a:off x="0" y="0"/>
                            <a:ext cx="7560309" cy="1752600"/>
                          </a:xfrm>
                          <a:prstGeom prst="rect">
                            <a:avLst/>
                          </a:prstGeom>
                        </wps:spPr>
                        <wps:txbx>
                          <w:txbxContent>
                            <w:p>
                              <w:pPr>
                                <w:spacing w:line="240" w:lineRule="auto" w:before="160"/>
                                <w:rPr>
                                  <w:sz w:val="68"/>
                                </w:rPr>
                              </w:pPr>
                            </w:p>
                            <w:p>
                              <w:pPr>
                                <w:spacing w:line="247" w:lineRule="auto" w:before="1"/>
                                <w:ind w:left="1080" w:right="778" w:firstLine="0"/>
                                <w:jc w:val="left"/>
                                <w:rPr>
                                  <w:rFonts w:ascii="Trebuchet MS"/>
                                  <w:b/>
                                  <w:sz w:val="68"/>
                                </w:rPr>
                              </w:pPr>
                              <w:r>
                                <w:rPr>
                                  <w:rFonts w:ascii="Trebuchet MS"/>
                                  <w:b/>
                                  <w:color w:val="FFFFFF"/>
                                  <w:sz w:val="68"/>
                                </w:rPr>
                                <w:t>Note on More Talented Students</w:t>
                              </w:r>
                              <w:r>
                                <w:rPr>
                                  <w:rFonts w:ascii="Trebuchet MS"/>
                                  <w:b/>
                                  <w:color w:val="FFFFFF"/>
                                  <w:spacing w:val="-8"/>
                                  <w:sz w:val="68"/>
                                </w:rPr>
                                <w:t> </w:t>
                              </w:r>
                              <w:r>
                                <w:rPr>
                                  <w:rFonts w:ascii="Trebuchet MS"/>
                                  <w:b/>
                                  <w:color w:val="FFFFFF"/>
                                  <w:sz w:val="68"/>
                                </w:rPr>
                                <w:t>in</w:t>
                              </w:r>
                              <w:r>
                                <w:rPr>
                                  <w:rFonts w:ascii="Trebuchet MS"/>
                                  <w:b/>
                                  <w:color w:val="FFFFFF"/>
                                  <w:spacing w:val="-9"/>
                                  <w:sz w:val="68"/>
                                </w:rPr>
                                <w:t> </w:t>
                              </w:r>
                              <w:r>
                                <w:rPr>
                                  <w:rFonts w:ascii="Trebuchet MS"/>
                                  <w:b/>
                                  <w:color w:val="FFFFFF"/>
                                  <w:sz w:val="68"/>
                                </w:rPr>
                                <w:t>Maths</w:t>
                              </w:r>
                              <w:r>
                                <w:rPr>
                                  <w:rFonts w:ascii="Trebuchet MS"/>
                                  <w:b/>
                                  <w:color w:val="FFFFFF"/>
                                  <w:spacing w:val="-8"/>
                                  <w:sz w:val="68"/>
                                </w:rPr>
                                <w:t> </w:t>
                              </w:r>
                              <w:r>
                                <w:rPr>
                                  <w:rFonts w:ascii="Trebuchet MS"/>
                                  <w:b/>
                                  <w:color w:val="FFFFFF"/>
                                  <w:sz w:val="68"/>
                                </w:rPr>
                                <w:t>and</w:t>
                              </w:r>
                              <w:r>
                                <w:rPr>
                                  <w:rFonts w:ascii="Trebuchet MS"/>
                                  <w:b/>
                                  <w:color w:val="FFFFFF"/>
                                  <w:spacing w:val="-8"/>
                                  <w:sz w:val="68"/>
                                </w:rPr>
                                <w:t> </w:t>
                              </w:r>
                              <w:r>
                                <w:rPr>
                                  <w:rFonts w:ascii="Trebuchet MS"/>
                                  <w:b/>
                                  <w:color w:val="FFFFFF"/>
                                  <w:sz w:val="68"/>
                                </w:rPr>
                                <w:t>Science</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72160" id="docshapegroup912" coordorigin="0,-3586" coordsize="11906,2760">
                <v:shape style="position:absolute;left:0;top:-3587;width:11906;height:2760" type="#_x0000_t75" id="docshape913" stroked="false">
                  <v:imagedata r:id="rId11" o:title=""/>
                </v:shape>
                <v:shape style="position:absolute;left:0;top:-3587;width:11906;height:2760" type="#_x0000_t202" id="docshape914" filled="false" stroked="false">
                  <v:textbox inset="0,0,0,0">
                    <w:txbxContent>
                      <w:p>
                        <w:pPr>
                          <w:spacing w:line="240" w:lineRule="auto" w:before="160"/>
                          <w:rPr>
                            <w:sz w:val="68"/>
                          </w:rPr>
                        </w:pPr>
                      </w:p>
                      <w:p>
                        <w:pPr>
                          <w:spacing w:line="247" w:lineRule="auto" w:before="1"/>
                          <w:ind w:left="1080" w:right="778" w:firstLine="0"/>
                          <w:jc w:val="left"/>
                          <w:rPr>
                            <w:rFonts w:ascii="Trebuchet MS"/>
                            <w:b/>
                            <w:sz w:val="68"/>
                          </w:rPr>
                        </w:pPr>
                        <w:r>
                          <w:rPr>
                            <w:rFonts w:ascii="Trebuchet MS"/>
                            <w:b/>
                            <w:color w:val="FFFFFF"/>
                            <w:sz w:val="68"/>
                          </w:rPr>
                          <w:t>Note on More Talented Students</w:t>
                        </w:r>
                        <w:r>
                          <w:rPr>
                            <w:rFonts w:ascii="Trebuchet MS"/>
                            <w:b/>
                            <w:color w:val="FFFFFF"/>
                            <w:spacing w:val="-8"/>
                            <w:sz w:val="68"/>
                          </w:rPr>
                          <w:t> </w:t>
                        </w:r>
                        <w:r>
                          <w:rPr>
                            <w:rFonts w:ascii="Trebuchet MS"/>
                            <w:b/>
                            <w:color w:val="FFFFFF"/>
                            <w:sz w:val="68"/>
                          </w:rPr>
                          <w:t>in</w:t>
                        </w:r>
                        <w:r>
                          <w:rPr>
                            <w:rFonts w:ascii="Trebuchet MS"/>
                            <w:b/>
                            <w:color w:val="FFFFFF"/>
                            <w:spacing w:val="-9"/>
                            <w:sz w:val="68"/>
                          </w:rPr>
                          <w:t> </w:t>
                        </w:r>
                        <w:r>
                          <w:rPr>
                            <w:rFonts w:ascii="Trebuchet MS"/>
                            <w:b/>
                            <w:color w:val="FFFFFF"/>
                            <w:sz w:val="68"/>
                          </w:rPr>
                          <w:t>Maths</w:t>
                        </w:r>
                        <w:r>
                          <w:rPr>
                            <w:rFonts w:ascii="Trebuchet MS"/>
                            <w:b/>
                            <w:color w:val="FFFFFF"/>
                            <w:spacing w:val="-8"/>
                            <w:sz w:val="68"/>
                          </w:rPr>
                          <w:t> </w:t>
                        </w:r>
                        <w:r>
                          <w:rPr>
                            <w:rFonts w:ascii="Trebuchet MS"/>
                            <w:b/>
                            <w:color w:val="FFFFFF"/>
                            <w:sz w:val="68"/>
                          </w:rPr>
                          <w:t>and</w:t>
                        </w:r>
                        <w:r>
                          <w:rPr>
                            <w:rFonts w:ascii="Trebuchet MS"/>
                            <w:b/>
                            <w:color w:val="FFFFFF"/>
                            <w:spacing w:val="-8"/>
                            <w:sz w:val="68"/>
                          </w:rPr>
                          <w:t> </w:t>
                        </w:r>
                        <w:r>
                          <w:rPr>
                            <w:rFonts w:ascii="Trebuchet MS"/>
                            <w:b/>
                            <w:color w:val="FFFFFF"/>
                            <w:sz w:val="68"/>
                          </w:rPr>
                          <w:t>Science</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49248">
                <wp:simplePos x="0" y="0"/>
                <wp:positionH relativeFrom="page">
                  <wp:posOffset>685799</wp:posOffset>
                </wp:positionH>
                <wp:positionV relativeFrom="paragraph">
                  <wp:posOffset>-36774</wp:posOffset>
                </wp:positionV>
                <wp:extent cx="371475" cy="757555"/>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a:off x="0" y="0"/>
                          <a:ext cx="371475" cy="757555"/>
                        </a:xfrm>
                        <a:prstGeom prst="rect">
                          <a:avLst/>
                        </a:prstGeom>
                      </wps:spPr>
                      <wps:txbx>
                        <w:txbxContent>
                          <w:p>
                            <w:pPr>
                              <w:spacing w:line="1135" w:lineRule="exact" w:before="0"/>
                              <w:ind w:left="0" w:right="0" w:firstLine="0"/>
                              <w:jc w:val="left"/>
                              <w:rPr>
                                <w:sz w:val="106"/>
                              </w:rPr>
                            </w:pPr>
                            <w:r>
                              <w:rPr>
                                <w:color w:val="9CBF3B"/>
                                <w:spacing w:val="-16"/>
                                <w:sz w:val="106"/>
                              </w:rPr>
                              <w:t>P</w:t>
                            </w:r>
                          </w:p>
                        </w:txbxContent>
                      </wps:txbx>
                      <wps:bodyPr wrap="square" lIns="0" tIns="0" rIns="0" bIns="0" rtlCol="0">
                        <a:noAutofit/>
                      </wps:bodyPr>
                    </wps:wsp>
                  </a:graphicData>
                </a:graphic>
              </wp:anchor>
            </w:drawing>
          </mc:Choice>
          <mc:Fallback>
            <w:pict>
              <v:shape style="position:absolute;margin-left:53.999981pt;margin-top:-2.8956pt;width:29.25pt;height:59.65pt;mso-position-horizontal-relative:page;mso-position-vertical-relative:paragraph;z-index:-23967232" type="#_x0000_t202" id="docshape915" filled="false" stroked="false">
                <v:textbox inset="0,0,0,0">
                  <w:txbxContent>
                    <w:p>
                      <w:pPr>
                        <w:spacing w:line="1135" w:lineRule="exact" w:before="0"/>
                        <w:ind w:left="0" w:right="0" w:firstLine="0"/>
                        <w:jc w:val="left"/>
                        <w:rPr>
                          <w:sz w:val="106"/>
                        </w:rPr>
                      </w:pPr>
                      <w:r>
                        <w:rPr>
                          <w:color w:val="9CBF3B"/>
                          <w:spacing w:val="-16"/>
                          <w:sz w:val="106"/>
                        </w:rPr>
                        <w:t>P</w:t>
                      </w:r>
                    </w:p>
                  </w:txbxContent>
                </v:textbox>
                <w10:wrap type="none"/>
              </v:shape>
            </w:pict>
          </mc:Fallback>
        </mc:AlternateContent>
      </w:r>
      <w:r>
        <w:rPr/>
        <w:t>ure sciences form the bedrock of all </w:t>
      </w:r>
      <w:r>
        <w:rPr/>
        <w:t>applied </w:t>
      </w:r>
      <w:r>
        <w:rPr>
          <w:spacing w:val="-6"/>
        </w:rPr>
        <w:t>sciences. Advancement in sciences is a necessary </w:t>
      </w:r>
      <w:r>
        <w:rPr/>
        <w:t>condition</w:t>
      </w:r>
      <w:r>
        <w:rPr>
          <w:spacing w:val="18"/>
        </w:rPr>
        <w:t> </w:t>
      </w:r>
      <w:r>
        <w:rPr/>
        <w:t>for</w:t>
      </w:r>
      <w:r>
        <w:rPr>
          <w:spacing w:val="19"/>
        </w:rPr>
        <w:t> </w:t>
      </w:r>
      <w:r>
        <w:rPr/>
        <w:t>future</w:t>
      </w:r>
      <w:r>
        <w:rPr>
          <w:spacing w:val="18"/>
        </w:rPr>
        <w:t> </w:t>
      </w:r>
      <w:r>
        <w:rPr/>
        <w:t>technological</w:t>
      </w:r>
      <w:r>
        <w:rPr>
          <w:spacing w:val="19"/>
        </w:rPr>
        <w:t> </w:t>
      </w:r>
      <w:r>
        <w:rPr>
          <w:spacing w:val="-5"/>
        </w:rPr>
        <w:t>revolutions.</w:t>
      </w:r>
    </w:p>
    <w:p>
      <w:pPr>
        <w:pStyle w:val="BodyText"/>
        <w:spacing w:line="266" w:lineRule="auto"/>
        <w:ind w:left="1079"/>
        <w:jc w:val="both"/>
      </w:pPr>
      <w:r>
        <w:rPr>
          <w:spacing w:val="-6"/>
        </w:rPr>
        <w:t>While innovative science and scientific discoveries have </w:t>
      </w:r>
      <w:r>
        <w:rPr/>
        <w:t>the potential of enabling a quantum leap in </w:t>
      </w:r>
      <w:r>
        <w:rPr/>
        <w:t>human civilisation, pursuit of sciences promotes a culture</w:t>
      </w:r>
      <w:r>
        <w:rPr>
          <w:spacing w:val="80"/>
        </w:rPr>
        <w:t> </w:t>
      </w:r>
      <w:r>
        <w:rPr/>
        <w:t>of open mindedness and rationality. India has a rich heritage in abstract thinking and has contributed to scientific discoveries since ancient times. As India </w:t>
      </w:r>
      <w:r>
        <w:rPr>
          <w:spacing w:val="-6"/>
        </w:rPr>
        <w:t>ventures</w:t>
      </w:r>
      <w:r>
        <w:rPr>
          <w:spacing w:val="-8"/>
        </w:rPr>
        <w:t> </w:t>
      </w:r>
      <w:r>
        <w:rPr>
          <w:spacing w:val="-6"/>
        </w:rPr>
        <w:t>into</w:t>
      </w:r>
      <w:r>
        <w:rPr>
          <w:spacing w:val="-8"/>
        </w:rPr>
        <w:t> </w:t>
      </w:r>
      <w:r>
        <w:rPr>
          <w:spacing w:val="-6"/>
        </w:rPr>
        <w:t>the</w:t>
      </w:r>
      <w:r>
        <w:rPr>
          <w:spacing w:val="-8"/>
        </w:rPr>
        <w:t> </w:t>
      </w:r>
      <w:r>
        <w:rPr>
          <w:spacing w:val="-6"/>
        </w:rPr>
        <w:t>21st</w:t>
      </w:r>
      <w:r>
        <w:rPr>
          <w:spacing w:val="-7"/>
        </w:rPr>
        <w:t> </w:t>
      </w:r>
      <w:r>
        <w:rPr>
          <w:spacing w:val="-6"/>
        </w:rPr>
        <w:t>century</w:t>
      </w:r>
      <w:r>
        <w:rPr>
          <w:spacing w:val="-8"/>
        </w:rPr>
        <w:t> </w:t>
      </w:r>
      <w:r>
        <w:rPr>
          <w:spacing w:val="-6"/>
        </w:rPr>
        <w:t>and</w:t>
      </w:r>
      <w:r>
        <w:rPr>
          <w:spacing w:val="-8"/>
        </w:rPr>
        <w:t> </w:t>
      </w:r>
      <w:r>
        <w:rPr>
          <w:spacing w:val="-6"/>
        </w:rPr>
        <w:t>seeks</w:t>
      </w:r>
      <w:r>
        <w:rPr>
          <w:spacing w:val="-8"/>
        </w:rPr>
        <w:t> </w:t>
      </w:r>
      <w:r>
        <w:rPr>
          <w:spacing w:val="-6"/>
        </w:rPr>
        <w:t>to</w:t>
      </w:r>
      <w:r>
        <w:rPr>
          <w:spacing w:val="-7"/>
        </w:rPr>
        <w:t> </w:t>
      </w:r>
      <w:r>
        <w:rPr>
          <w:spacing w:val="-6"/>
        </w:rPr>
        <w:t>establish</w:t>
      </w:r>
      <w:r>
        <w:rPr>
          <w:spacing w:val="-8"/>
        </w:rPr>
        <w:t> </w:t>
      </w:r>
      <w:r>
        <w:rPr>
          <w:spacing w:val="-6"/>
        </w:rPr>
        <w:t>itself </w:t>
      </w:r>
      <w:r>
        <w:rPr>
          <w:spacing w:val="-2"/>
        </w:rPr>
        <w:t>as</w:t>
      </w:r>
      <w:r>
        <w:rPr>
          <w:spacing w:val="-9"/>
        </w:rPr>
        <w:t> </w:t>
      </w:r>
      <w:r>
        <w:rPr>
          <w:spacing w:val="-2"/>
        </w:rPr>
        <w:t>a</w:t>
      </w:r>
      <w:r>
        <w:rPr>
          <w:spacing w:val="-9"/>
        </w:rPr>
        <w:t> </w:t>
      </w:r>
      <w:r>
        <w:rPr>
          <w:spacing w:val="-2"/>
        </w:rPr>
        <w:t>knowledge</w:t>
      </w:r>
      <w:r>
        <w:rPr>
          <w:spacing w:val="-9"/>
        </w:rPr>
        <w:t> </w:t>
      </w:r>
      <w:r>
        <w:rPr>
          <w:spacing w:val="-2"/>
        </w:rPr>
        <w:t>superpower,</w:t>
      </w:r>
      <w:r>
        <w:rPr>
          <w:spacing w:val="-9"/>
        </w:rPr>
        <w:t> </w:t>
      </w:r>
      <w:r>
        <w:rPr>
          <w:spacing w:val="-2"/>
        </w:rPr>
        <w:t>it</w:t>
      </w:r>
      <w:r>
        <w:rPr>
          <w:spacing w:val="-9"/>
        </w:rPr>
        <w:t> </w:t>
      </w:r>
      <w:r>
        <w:rPr>
          <w:spacing w:val="-2"/>
        </w:rPr>
        <w:t>is</w:t>
      </w:r>
      <w:r>
        <w:rPr>
          <w:spacing w:val="-9"/>
        </w:rPr>
        <w:t> </w:t>
      </w:r>
      <w:r>
        <w:rPr>
          <w:spacing w:val="-2"/>
        </w:rPr>
        <w:t>essential</w:t>
      </w:r>
      <w:r>
        <w:rPr>
          <w:spacing w:val="-9"/>
        </w:rPr>
        <w:t> </w:t>
      </w:r>
      <w:r>
        <w:rPr>
          <w:spacing w:val="-2"/>
        </w:rPr>
        <w:t>that</w:t>
      </w:r>
      <w:r>
        <w:rPr>
          <w:spacing w:val="-9"/>
        </w:rPr>
        <w:t> </w:t>
      </w:r>
      <w:r>
        <w:rPr>
          <w:spacing w:val="-2"/>
        </w:rPr>
        <w:t>a</w:t>
      </w:r>
      <w:r>
        <w:rPr>
          <w:spacing w:val="-9"/>
        </w:rPr>
        <w:t> </w:t>
      </w:r>
      <w:r>
        <w:rPr>
          <w:spacing w:val="-2"/>
        </w:rPr>
        <w:t>strong </w:t>
      </w:r>
      <w:r>
        <w:rPr>
          <w:w w:val="90"/>
        </w:rPr>
        <w:t>foundation in science is firmly in place.</w:t>
      </w:r>
      <w:r>
        <w:rPr>
          <w:spacing w:val="-8"/>
          <w:w w:val="90"/>
        </w:rPr>
        <w:t> </w:t>
      </w:r>
      <w:r>
        <w:rPr>
          <w:w w:val="90"/>
        </w:rPr>
        <w:t>This will help the </w:t>
      </w:r>
      <w:r>
        <w:rPr>
          <w:spacing w:val="-2"/>
        </w:rPr>
        <w:t>nation</w:t>
      </w:r>
      <w:r>
        <w:rPr>
          <w:spacing w:val="-4"/>
        </w:rPr>
        <w:t> </w:t>
      </w:r>
      <w:r>
        <w:rPr>
          <w:spacing w:val="-2"/>
        </w:rPr>
        <w:t>in</w:t>
      </w:r>
      <w:r>
        <w:rPr>
          <w:spacing w:val="-4"/>
        </w:rPr>
        <w:t> </w:t>
      </w:r>
      <w:r>
        <w:rPr>
          <w:spacing w:val="-2"/>
        </w:rPr>
        <w:t>building</w:t>
      </w:r>
      <w:r>
        <w:rPr>
          <w:spacing w:val="-4"/>
        </w:rPr>
        <w:t> </w:t>
      </w:r>
      <w:r>
        <w:rPr>
          <w:spacing w:val="-2"/>
        </w:rPr>
        <w:t>excellence</w:t>
      </w:r>
      <w:r>
        <w:rPr>
          <w:spacing w:val="-4"/>
        </w:rPr>
        <w:t> </w:t>
      </w:r>
      <w:r>
        <w:rPr>
          <w:spacing w:val="-2"/>
        </w:rPr>
        <w:t>in</w:t>
      </w:r>
      <w:r>
        <w:rPr>
          <w:spacing w:val="-4"/>
        </w:rPr>
        <w:t> </w:t>
      </w:r>
      <w:r>
        <w:rPr>
          <w:spacing w:val="-2"/>
        </w:rPr>
        <w:t>technology,</w:t>
      </w:r>
      <w:r>
        <w:rPr>
          <w:spacing w:val="-4"/>
        </w:rPr>
        <w:t> </w:t>
      </w:r>
      <w:r>
        <w:rPr>
          <w:spacing w:val="-2"/>
        </w:rPr>
        <w:t>achieving </w:t>
      </w:r>
      <w:r>
        <w:rPr/>
        <w:t>self-reliance and in propelling economic growth and prosperity, consequently raising the living standards </w:t>
      </w:r>
      <w:r>
        <w:rPr>
          <w:spacing w:val="-4"/>
        </w:rPr>
        <w:t>of</w:t>
      </w:r>
      <w:r>
        <w:rPr>
          <w:spacing w:val="-7"/>
        </w:rPr>
        <w:t> </w:t>
      </w:r>
      <w:r>
        <w:rPr>
          <w:spacing w:val="-4"/>
        </w:rPr>
        <w:t>all</w:t>
      </w:r>
      <w:r>
        <w:rPr>
          <w:spacing w:val="-7"/>
        </w:rPr>
        <w:t> </w:t>
      </w:r>
      <w:r>
        <w:rPr>
          <w:spacing w:val="-4"/>
        </w:rPr>
        <w:t>its</w:t>
      </w:r>
      <w:r>
        <w:rPr>
          <w:spacing w:val="-7"/>
        </w:rPr>
        <w:t> </w:t>
      </w:r>
      <w:r>
        <w:rPr>
          <w:spacing w:val="-4"/>
        </w:rPr>
        <w:t>citizens.</w:t>
      </w:r>
      <w:r>
        <w:rPr>
          <w:spacing w:val="-9"/>
        </w:rPr>
        <w:t> </w:t>
      </w:r>
      <w:r>
        <w:rPr>
          <w:spacing w:val="-4"/>
        </w:rPr>
        <w:t>Yet,</w:t>
      </w:r>
      <w:r>
        <w:rPr>
          <w:spacing w:val="-7"/>
        </w:rPr>
        <w:t> </w:t>
      </w:r>
      <w:r>
        <w:rPr>
          <w:spacing w:val="-4"/>
        </w:rPr>
        <w:t>as</w:t>
      </w:r>
      <w:r>
        <w:rPr>
          <w:spacing w:val="-7"/>
        </w:rPr>
        <w:t> </w:t>
      </w:r>
      <w:r>
        <w:rPr>
          <w:spacing w:val="-4"/>
        </w:rPr>
        <w:t>the</w:t>
      </w:r>
      <w:r>
        <w:rPr>
          <w:spacing w:val="-7"/>
        </w:rPr>
        <w:t> </w:t>
      </w:r>
      <w:r>
        <w:rPr>
          <w:spacing w:val="-4"/>
        </w:rPr>
        <w:t>economy</w:t>
      </w:r>
      <w:r>
        <w:rPr>
          <w:spacing w:val="-7"/>
        </w:rPr>
        <w:t> </w:t>
      </w:r>
      <w:r>
        <w:rPr>
          <w:spacing w:val="-4"/>
        </w:rPr>
        <w:t>progresses,</w:t>
      </w:r>
      <w:r>
        <w:rPr>
          <w:spacing w:val="-7"/>
        </w:rPr>
        <w:t> </w:t>
      </w:r>
      <w:r>
        <w:rPr>
          <w:spacing w:val="-4"/>
        </w:rPr>
        <w:t>it</w:t>
      </w:r>
      <w:r>
        <w:rPr>
          <w:spacing w:val="-7"/>
        </w:rPr>
        <w:t> </w:t>
      </w:r>
      <w:r>
        <w:rPr>
          <w:spacing w:val="-4"/>
        </w:rPr>
        <w:t>has </w:t>
      </w:r>
      <w:r>
        <w:rPr>
          <w:spacing w:val="-6"/>
        </w:rPr>
        <w:t>become increasingly difficult to ensure a sustained input </w:t>
      </w:r>
      <w:r>
        <w:rPr/>
        <w:t>of fresh young scientists and educationists into the </w:t>
      </w:r>
      <w:r>
        <w:rPr>
          <w:spacing w:val="-4"/>
        </w:rPr>
        <w:t>system.</w:t>
      </w:r>
      <w:r>
        <w:rPr>
          <w:spacing w:val="-10"/>
        </w:rPr>
        <w:t> </w:t>
      </w:r>
      <w:r>
        <w:rPr>
          <w:spacing w:val="-4"/>
        </w:rPr>
        <w:t>This</w:t>
      </w:r>
      <w:r>
        <w:rPr>
          <w:spacing w:val="-10"/>
        </w:rPr>
        <w:t> </w:t>
      </w:r>
      <w:r>
        <w:rPr>
          <w:spacing w:val="-4"/>
        </w:rPr>
        <w:t>situation</w:t>
      </w:r>
      <w:r>
        <w:rPr>
          <w:spacing w:val="-10"/>
        </w:rPr>
        <w:t> </w:t>
      </w:r>
      <w:r>
        <w:rPr>
          <w:spacing w:val="-4"/>
        </w:rPr>
        <w:t>has</w:t>
      </w:r>
      <w:r>
        <w:rPr>
          <w:spacing w:val="-9"/>
        </w:rPr>
        <w:t> </w:t>
      </w:r>
      <w:r>
        <w:rPr>
          <w:spacing w:val="-4"/>
        </w:rPr>
        <w:t>become</w:t>
      </w:r>
      <w:r>
        <w:rPr>
          <w:spacing w:val="-10"/>
        </w:rPr>
        <w:t> </w:t>
      </w:r>
      <w:r>
        <w:rPr>
          <w:spacing w:val="-4"/>
        </w:rPr>
        <w:t>particularly</w:t>
      </w:r>
      <w:r>
        <w:rPr>
          <w:spacing w:val="-10"/>
        </w:rPr>
        <w:t> </w:t>
      </w:r>
      <w:r>
        <w:rPr>
          <w:spacing w:val="-4"/>
        </w:rPr>
        <w:t>alarming </w:t>
      </w:r>
      <w:r>
        <w:rPr>
          <w:spacing w:val="-6"/>
        </w:rPr>
        <w:t>in</w:t>
      </w:r>
      <w:r>
        <w:rPr>
          <w:spacing w:val="-8"/>
        </w:rPr>
        <w:t> </w:t>
      </w:r>
      <w:r>
        <w:rPr>
          <w:spacing w:val="-6"/>
        </w:rPr>
        <w:t>the</w:t>
      </w:r>
      <w:r>
        <w:rPr>
          <w:spacing w:val="-8"/>
        </w:rPr>
        <w:t> </w:t>
      </w:r>
      <w:r>
        <w:rPr>
          <w:spacing w:val="-6"/>
        </w:rPr>
        <w:t>pure</w:t>
      </w:r>
      <w:r>
        <w:rPr>
          <w:spacing w:val="-8"/>
        </w:rPr>
        <w:t> </w:t>
      </w:r>
      <w:r>
        <w:rPr>
          <w:spacing w:val="-6"/>
        </w:rPr>
        <w:t>sciences.</w:t>
      </w:r>
      <w:r>
        <w:rPr>
          <w:spacing w:val="-7"/>
        </w:rPr>
        <w:t> </w:t>
      </w:r>
      <w:r>
        <w:rPr>
          <w:spacing w:val="-6"/>
        </w:rPr>
        <w:t>Since</w:t>
      </w:r>
      <w:r>
        <w:rPr>
          <w:spacing w:val="-8"/>
        </w:rPr>
        <w:t> </w:t>
      </w:r>
      <w:r>
        <w:rPr>
          <w:spacing w:val="-6"/>
        </w:rPr>
        <w:t>developing</w:t>
      </w:r>
      <w:r>
        <w:rPr>
          <w:spacing w:val="-8"/>
        </w:rPr>
        <w:t> </w:t>
      </w:r>
      <w:r>
        <w:rPr>
          <w:spacing w:val="-6"/>
        </w:rPr>
        <w:t>competence</w:t>
      </w:r>
      <w:r>
        <w:rPr>
          <w:spacing w:val="-8"/>
        </w:rPr>
        <w:t> </w:t>
      </w:r>
      <w:r>
        <w:rPr>
          <w:spacing w:val="-6"/>
        </w:rPr>
        <w:t>in</w:t>
      </w:r>
      <w:r>
        <w:rPr>
          <w:spacing w:val="-7"/>
        </w:rPr>
        <w:t> </w:t>
      </w:r>
      <w:r>
        <w:rPr>
          <w:spacing w:val="-6"/>
        </w:rPr>
        <w:t>the </w:t>
      </w:r>
      <w:r>
        <w:rPr>
          <w:spacing w:val="-4"/>
        </w:rPr>
        <w:t>basic</w:t>
      </w:r>
      <w:r>
        <w:rPr>
          <w:spacing w:val="-10"/>
        </w:rPr>
        <w:t> </w:t>
      </w:r>
      <w:r>
        <w:rPr>
          <w:spacing w:val="-4"/>
        </w:rPr>
        <w:t>sciences</w:t>
      </w:r>
      <w:r>
        <w:rPr>
          <w:spacing w:val="-10"/>
        </w:rPr>
        <w:t> </w:t>
      </w:r>
      <w:r>
        <w:rPr>
          <w:spacing w:val="-4"/>
        </w:rPr>
        <w:t>has</w:t>
      </w:r>
      <w:r>
        <w:rPr>
          <w:spacing w:val="-10"/>
        </w:rPr>
        <w:t> </w:t>
      </w:r>
      <w:r>
        <w:rPr>
          <w:spacing w:val="-4"/>
        </w:rPr>
        <w:t>a</w:t>
      </w:r>
      <w:r>
        <w:rPr>
          <w:spacing w:val="-9"/>
        </w:rPr>
        <w:t> </w:t>
      </w:r>
      <w:r>
        <w:rPr>
          <w:spacing w:val="-4"/>
        </w:rPr>
        <w:t>long</w:t>
      </w:r>
      <w:r>
        <w:rPr>
          <w:spacing w:val="-10"/>
        </w:rPr>
        <w:t> </w:t>
      </w:r>
      <w:r>
        <w:rPr>
          <w:spacing w:val="-4"/>
        </w:rPr>
        <w:t>incubation</w:t>
      </w:r>
      <w:r>
        <w:rPr>
          <w:spacing w:val="-10"/>
        </w:rPr>
        <w:t> </w:t>
      </w:r>
      <w:r>
        <w:rPr>
          <w:spacing w:val="-4"/>
        </w:rPr>
        <w:t>time,</w:t>
      </w:r>
      <w:r>
        <w:rPr>
          <w:spacing w:val="-10"/>
        </w:rPr>
        <w:t> </w:t>
      </w:r>
      <w:r>
        <w:rPr>
          <w:spacing w:val="-4"/>
        </w:rPr>
        <w:t>it</w:t>
      </w:r>
      <w:r>
        <w:rPr>
          <w:spacing w:val="-9"/>
        </w:rPr>
        <w:t> </w:t>
      </w:r>
      <w:r>
        <w:rPr>
          <w:spacing w:val="-4"/>
        </w:rPr>
        <w:t>is</w:t>
      </w:r>
      <w:r>
        <w:rPr>
          <w:spacing w:val="-10"/>
        </w:rPr>
        <w:t> </w:t>
      </w:r>
      <w:r>
        <w:rPr>
          <w:spacing w:val="-4"/>
        </w:rPr>
        <w:t>important </w:t>
      </w:r>
      <w:r>
        <w:rPr>
          <w:spacing w:val="-6"/>
        </w:rPr>
        <w:t>that</w:t>
      </w:r>
      <w:r>
        <w:rPr>
          <w:spacing w:val="-7"/>
        </w:rPr>
        <w:t> </w:t>
      </w:r>
      <w:r>
        <w:rPr>
          <w:spacing w:val="-6"/>
        </w:rPr>
        <w:t>this</w:t>
      </w:r>
      <w:r>
        <w:rPr>
          <w:spacing w:val="-7"/>
        </w:rPr>
        <w:t> </w:t>
      </w:r>
      <w:r>
        <w:rPr>
          <w:spacing w:val="-6"/>
        </w:rPr>
        <w:t>problem</w:t>
      </w:r>
      <w:r>
        <w:rPr>
          <w:spacing w:val="-7"/>
        </w:rPr>
        <w:t> </w:t>
      </w:r>
      <w:r>
        <w:rPr>
          <w:spacing w:val="-6"/>
        </w:rPr>
        <w:t>be</w:t>
      </w:r>
      <w:r>
        <w:rPr>
          <w:spacing w:val="-7"/>
        </w:rPr>
        <w:t> </w:t>
      </w:r>
      <w:r>
        <w:rPr>
          <w:spacing w:val="-6"/>
        </w:rPr>
        <w:t>addressed</w:t>
      </w:r>
      <w:r>
        <w:rPr>
          <w:spacing w:val="-7"/>
        </w:rPr>
        <w:t> </w:t>
      </w:r>
      <w:r>
        <w:rPr>
          <w:spacing w:val="-6"/>
        </w:rPr>
        <w:t>with</w:t>
      </w:r>
      <w:r>
        <w:rPr>
          <w:spacing w:val="-7"/>
        </w:rPr>
        <w:t> </w:t>
      </w:r>
      <w:r>
        <w:rPr>
          <w:spacing w:val="-6"/>
        </w:rPr>
        <w:t>alacrity.</w:t>
      </w:r>
      <w:r>
        <w:rPr>
          <w:spacing w:val="-7"/>
        </w:rPr>
        <w:t> </w:t>
      </w:r>
      <w:r>
        <w:rPr>
          <w:spacing w:val="-6"/>
        </w:rPr>
        <w:t>Science</w:t>
      </w:r>
      <w:r>
        <w:rPr>
          <w:spacing w:val="-7"/>
        </w:rPr>
        <w:t> </w:t>
      </w:r>
      <w:r>
        <w:rPr>
          <w:spacing w:val="-6"/>
        </w:rPr>
        <w:t>and Mathematics are living subjects which grow rapidly and </w:t>
      </w:r>
      <w:r>
        <w:rPr>
          <w:spacing w:val="-8"/>
        </w:rPr>
        <w:t>give</w:t>
      </w:r>
      <w:r>
        <w:rPr>
          <w:spacing w:val="-6"/>
        </w:rPr>
        <w:t> </w:t>
      </w:r>
      <w:r>
        <w:rPr>
          <w:spacing w:val="-8"/>
        </w:rPr>
        <w:t>rise</w:t>
      </w:r>
      <w:r>
        <w:rPr>
          <w:spacing w:val="-6"/>
        </w:rPr>
        <w:t> </w:t>
      </w:r>
      <w:r>
        <w:rPr>
          <w:spacing w:val="-8"/>
        </w:rPr>
        <w:t>to</w:t>
      </w:r>
      <w:r>
        <w:rPr>
          <w:spacing w:val="-5"/>
        </w:rPr>
        <w:t> </w:t>
      </w:r>
      <w:r>
        <w:rPr>
          <w:spacing w:val="-8"/>
        </w:rPr>
        <w:t>new</w:t>
      </w:r>
      <w:r>
        <w:rPr>
          <w:spacing w:val="-6"/>
        </w:rPr>
        <w:t> </w:t>
      </w:r>
      <w:r>
        <w:rPr>
          <w:spacing w:val="-8"/>
        </w:rPr>
        <w:t>areas</w:t>
      </w:r>
      <w:r>
        <w:rPr>
          <w:spacing w:val="-6"/>
        </w:rPr>
        <w:t> </w:t>
      </w:r>
      <w:r>
        <w:rPr>
          <w:spacing w:val="-8"/>
        </w:rPr>
        <w:t>which</w:t>
      </w:r>
      <w:r>
        <w:rPr>
          <w:spacing w:val="-5"/>
        </w:rPr>
        <w:t> </w:t>
      </w:r>
      <w:r>
        <w:rPr>
          <w:spacing w:val="-8"/>
        </w:rPr>
        <w:t>build</w:t>
      </w:r>
      <w:r>
        <w:rPr>
          <w:spacing w:val="-6"/>
        </w:rPr>
        <w:t> </w:t>
      </w:r>
      <w:r>
        <w:rPr>
          <w:spacing w:val="-8"/>
        </w:rPr>
        <w:t>on</w:t>
      </w:r>
      <w:r>
        <w:rPr>
          <w:spacing w:val="-6"/>
        </w:rPr>
        <w:t> </w:t>
      </w:r>
      <w:r>
        <w:rPr>
          <w:spacing w:val="-8"/>
        </w:rPr>
        <w:t>other</w:t>
      </w:r>
      <w:r>
        <w:rPr>
          <w:spacing w:val="-5"/>
        </w:rPr>
        <w:t> </w:t>
      </w:r>
      <w:r>
        <w:rPr>
          <w:spacing w:val="-8"/>
        </w:rPr>
        <w:t>existing</w:t>
      </w:r>
      <w:r>
        <w:rPr>
          <w:spacing w:val="-6"/>
        </w:rPr>
        <w:t> </w:t>
      </w:r>
      <w:r>
        <w:rPr>
          <w:spacing w:val="-8"/>
        </w:rPr>
        <w:t>areas. </w:t>
      </w:r>
      <w:r>
        <w:rPr>
          <w:spacing w:val="-6"/>
        </w:rPr>
        <w:t>Therefore, they need a constant input of fresh and young </w:t>
      </w:r>
      <w:r>
        <w:rPr>
          <w:spacing w:val="-4"/>
        </w:rPr>
        <w:t>talent.</w:t>
      </w:r>
      <w:r>
        <w:rPr>
          <w:spacing w:val="-10"/>
        </w:rPr>
        <w:t> </w:t>
      </w:r>
      <w:r>
        <w:rPr>
          <w:spacing w:val="-4"/>
        </w:rPr>
        <w:t>It</w:t>
      </w:r>
      <w:r>
        <w:rPr>
          <w:spacing w:val="-10"/>
        </w:rPr>
        <w:t> </w:t>
      </w:r>
      <w:r>
        <w:rPr>
          <w:spacing w:val="-4"/>
        </w:rPr>
        <w:t>is</w:t>
      </w:r>
      <w:r>
        <w:rPr>
          <w:spacing w:val="-9"/>
        </w:rPr>
        <w:t> </w:t>
      </w:r>
      <w:r>
        <w:rPr>
          <w:spacing w:val="-4"/>
        </w:rPr>
        <w:t>worthwhile</w:t>
      </w:r>
      <w:r>
        <w:rPr>
          <w:spacing w:val="-10"/>
        </w:rPr>
        <w:t> </w:t>
      </w:r>
      <w:r>
        <w:rPr>
          <w:spacing w:val="-4"/>
        </w:rPr>
        <w:t>to</w:t>
      </w:r>
      <w:r>
        <w:rPr>
          <w:spacing w:val="-10"/>
        </w:rPr>
        <w:t> </w:t>
      </w:r>
      <w:r>
        <w:rPr>
          <w:spacing w:val="-4"/>
        </w:rPr>
        <w:t>note</w:t>
      </w:r>
      <w:r>
        <w:rPr>
          <w:spacing w:val="-9"/>
        </w:rPr>
        <w:t> </w:t>
      </w:r>
      <w:r>
        <w:rPr>
          <w:spacing w:val="-4"/>
        </w:rPr>
        <w:t>that</w:t>
      </w:r>
      <w:r>
        <w:rPr>
          <w:spacing w:val="-10"/>
        </w:rPr>
        <w:t> </w:t>
      </w:r>
      <w:r>
        <w:rPr>
          <w:spacing w:val="-4"/>
        </w:rPr>
        <w:t>developing</w:t>
      </w:r>
      <w:r>
        <w:rPr>
          <w:spacing w:val="-10"/>
        </w:rPr>
        <w:t> </w:t>
      </w:r>
      <w:r>
        <w:rPr>
          <w:spacing w:val="-4"/>
        </w:rPr>
        <w:t>countries </w:t>
      </w:r>
      <w:r>
        <w:rPr/>
        <w:t>like China and South Korea have invested massively in science education in the past few decades and are </w:t>
      </w:r>
      <w:r>
        <w:rPr>
          <w:spacing w:val="-2"/>
        </w:rPr>
        <w:t>reaping</w:t>
      </w:r>
      <w:r>
        <w:rPr>
          <w:spacing w:val="-8"/>
        </w:rPr>
        <w:t> </w:t>
      </w:r>
      <w:r>
        <w:rPr>
          <w:spacing w:val="-2"/>
        </w:rPr>
        <w:t>enormous</w:t>
      </w:r>
      <w:r>
        <w:rPr>
          <w:spacing w:val="-8"/>
        </w:rPr>
        <w:t> </w:t>
      </w:r>
      <w:r>
        <w:rPr>
          <w:spacing w:val="-2"/>
        </w:rPr>
        <w:t>benefits</w:t>
      </w:r>
      <w:r>
        <w:rPr>
          <w:spacing w:val="-8"/>
        </w:rPr>
        <w:t> </w:t>
      </w:r>
      <w:r>
        <w:rPr>
          <w:spacing w:val="-2"/>
        </w:rPr>
        <w:t>today</w:t>
      </w:r>
      <w:r>
        <w:rPr>
          <w:spacing w:val="-8"/>
        </w:rPr>
        <w:t> </w:t>
      </w:r>
      <w:r>
        <w:rPr>
          <w:spacing w:val="-2"/>
        </w:rPr>
        <w:t>in</w:t>
      </w:r>
      <w:r>
        <w:rPr>
          <w:spacing w:val="-8"/>
        </w:rPr>
        <w:t> </w:t>
      </w:r>
      <w:r>
        <w:rPr>
          <w:spacing w:val="-2"/>
        </w:rPr>
        <w:t>terms</w:t>
      </w:r>
      <w:r>
        <w:rPr>
          <w:spacing w:val="-8"/>
        </w:rPr>
        <w:t> </w:t>
      </w:r>
      <w:r>
        <w:rPr>
          <w:spacing w:val="-2"/>
        </w:rPr>
        <w:t>of</w:t>
      </w:r>
      <w:r>
        <w:rPr>
          <w:spacing w:val="-8"/>
        </w:rPr>
        <w:t> </w:t>
      </w:r>
      <w:r>
        <w:rPr>
          <w:spacing w:val="-2"/>
        </w:rPr>
        <w:t>economic development</w:t>
      </w:r>
      <w:r>
        <w:rPr>
          <w:spacing w:val="-8"/>
        </w:rPr>
        <w:t> </w:t>
      </w:r>
      <w:r>
        <w:rPr>
          <w:spacing w:val="-2"/>
        </w:rPr>
        <w:t>and</w:t>
      </w:r>
      <w:r>
        <w:rPr>
          <w:spacing w:val="-8"/>
        </w:rPr>
        <w:t> </w:t>
      </w:r>
      <w:r>
        <w:rPr>
          <w:spacing w:val="-2"/>
        </w:rPr>
        <w:t>global</w:t>
      </w:r>
      <w:r>
        <w:rPr>
          <w:spacing w:val="-8"/>
        </w:rPr>
        <w:t> </w:t>
      </w:r>
      <w:r>
        <w:rPr>
          <w:spacing w:val="-2"/>
        </w:rPr>
        <w:t>standing</w:t>
      </w:r>
      <w:r>
        <w:rPr>
          <w:spacing w:val="-8"/>
        </w:rPr>
        <w:t> </w:t>
      </w:r>
      <w:r>
        <w:rPr>
          <w:spacing w:val="-2"/>
        </w:rPr>
        <w:t>in</w:t>
      </w:r>
      <w:r>
        <w:rPr>
          <w:spacing w:val="-8"/>
        </w:rPr>
        <w:t> </w:t>
      </w:r>
      <w:r>
        <w:rPr>
          <w:spacing w:val="-2"/>
        </w:rPr>
        <w:t>science.</w:t>
      </w:r>
    </w:p>
    <w:p>
      <w:pPr>
        <w:pStyle w:val="BodyText"/>
        <w:spacing w:before="33"/>
      </w:pPr>
    </w:p>
    <w:p>
      <w:pPr>
        <w:pStyle w:val="BodyText"/>
        <w:spacing w:line="266" w:lineRule="auto"/>
        <w:ind w:left="1079"/>
        <w:jc w:val="both"/>
      </w:pPr>
      <w:r>
        <w:rPr/>
        <w:t>The Prime Minister has repeatedly stressed </w:t>
      </w:r>
      <w:r>
        <w:rPr/>
        <w:t>the </w:t>
      </w:r>
      <w:r>
        <w:rPr>
          <w:spacing w:val="-2"/>
        </w:rPr>
        <w:t>importance</w:t>
      </w:r>
      <w:r>
        <w:rPr>
          <w:spacing w:val="-12"/>
        </w:rPr>
        <w:t> </w:t>
      </w:r>
      <w:r>
        <w:rPr>
          <w:spacing w:val="-2"/>
        </w:rPr>
        <w:t>of</w:t>
      </w:r>
      <w:r>
        <w:rPr>
          <w:spacing w:val="-12"/>
        </w:rPr>
        <w:t> </w:t>
      </w:r>
      <w:r>
        <w:rPr>
          <w:spacing w:val="-2"/>
        </w:rPr>
        <w:t>making</w:t>
      </w:r>
      <w:r>
        <w:rPr>
          <w:spacing w:val="-12"/>
        </w:rPr>
        <w:t> </w:t>
      </w:r>
      <w:r>
        <w:rPr>
          <w:spacing w:val="-2"/>
        </w:rPr>
        <w:t>Science</w:t>
      </w:r>
      <w:r>
        <w:rPr>
          <w:spacing w:val="-11"/>
        </w:rPr>
        <w:t> </w:t>
      </w:r>
      <w:r>
        <w:rPr>
          <w:spacing w:val="-2"/>
        </w:rPr>
        <w:t>a</w:t>
      </w:r>
      <w:r>
        <w:rPr>
          <w:spacing w:val="-12"/>
        </w:rPr>
        <w:t> </w:t>
      </w:r>
      <w:r>
        <w:rPr>
          <w:spacing w:val="-2"/>
        </w:rPr>
        <w:t>preferred</w:t>
      </w:r>
      <w:r>
        <w:rPr>
          <w:spacing w:val="-12"/>
        </w:rPr>
        <w:t> </w:t>
      </w:r>
      <w:r>
        <w:rPr>
          <w:spacing w:val="-2"/>
        </w:rPr>
        <w:t>discipline</w:t>
      </w:r>
      <w:r>
        <w:rPr>
          <w:spacing w:val="-12"/>
        </w:rPr>
        <w:t> </w:t>
      </w:r>
      <w:r>
        <w:rPr>
          <w:spacing w:val="-2"/>
        </w:rPr>
        <w:t>of </w:t>
      </w:r>
      <w:r>
        <w:rPr/>
        <w:t>study for students and has also pointed out the need </w:t>
      </w:r>
      <w:r>
        <w:rPr>
          <w:spacing w:val="-2"/>
        </w:rPr>
        <w:t>for</w:t>
      </w:r>
      <w:r>
        <w:rPr>
          <w:spacing w:val="-7"/>
        </w:rPr>
        <w:t> </w:t>
      </w:r>
      <w:r>
        <w:rPr>
          <w:spacing w:val="-2"/>
        </w:rPr>
        <w:t>both</w:t>
      </w:r>
      <w:r>
        <w:rPr>
          <w:spacing w:val="-7"/>
        </w:rPr>
        <w:t> </w:t>
      </w:r>
      <w:r>
        <w:rPr>
          <w:spacing w:val="-2"/>
        </w:rPr>
        <w:t>a</w:t>
      </w:r>
      <w:r>
        <w:rPr>
          <w:spacing w:val="-7"/>
        </w:rPr>
        <w:t> </w:t>
      </w:r>
      <w:r>
        <w:rPr>
          <w:spacing w:val="-2"/>
        </w:rPr>
        <w:t>qualitative</w:t>
      </w:r>
      <w:r>
        <w:rPr>
          <w:spacing w:val="-7"/>
        </w:rPr>
        <w:t> </w:t>
      </w:r>
      <w:r>
        <w:rPr>
          <w:spacing w:val="-2"/>
        </w:rPr>
        <w:t>and</w:t>
      </w:r>
      <w:r>
        <w:rPr>
          <w:spacing w:val="-7"/>
        </w:rPr>
        <w:t> </w:t>
      </w:r>
      <w:r>
        <w:rPr>
          <w:spacing w:val="-2"/>
        </w:rPr>
        <w:t>quantitative</w:t>
      </w:r>
      <w:r>
        <w:rPr>
          <w:spacing w:val="-7"/>
        </w:rPr>
        <w:t> </w:t>
      </w:r>
      <w:r>
        <w:rPr>
          <w:spacing w:val="-2"/>
        </w:rPr>
        <w:t>expansion</w:t>
      </w:r>
      <w:r>
        <w:rPr>
          <w:spacing w:val="-7"/>
        </w:rPr>
        <w:t> </w:t>
      </w:r>
      <w:r>
        <w:rPr>
          <w:spacing w:val="-2"/>
        </w:rPr>
        <w:t>in</w:t>
      </w:r>
      <w:r>
        <w:rPr>
          <w:spacing w:val="-7"/>
        </w:rPr>
        <w:t> </w:t>
      </w:r>
      <w:r>
        <w:rPr>
          <w:spacing w:val="-2"/>
        </w:rPr>
        <w:t>the </w:t>
      </w:r>
      <w:r>
        <w:rPr>
          <w:spacing w:val="-4"/>
        </w:rPr>
        <w:t>pool</w:t>
      </w:r>
      <w:r>
        <w:rPr>
          <w:spacing w:val="-10"/>
        </w:rPr>
        <w:t> </w:t>
      </w:r>
      <w:r>
        <w:rPr>
          <w:spacing w:val="-4"/>
        </w:rPr>
        <w:t>of</w:t>
      </w:r>
      <w:r>
        <w:rPr>
          <w:spacing w:val="-10"/>
        </w:rPr>
        <w:t> </w:t>
      </w:r>
      <w:r>
        <w:rPr>
          <w:spacing w:val="-4"/>
        </w:rPr>
        <w:t>science</w:t>
      </w:r>
      <w:r>
        <w:rPr>
          <w:spacing w:val="-10"/>
        </w:rPr>
        <w:t> </w:t>
      </w:r>
      <w:r>
        <w:rPr>
          <w:spacing w:val="-4"/>
        </w:rPr>
        <w:t>students.</w:t>
      </w:r>
      <w:r>
        <w:rPr>
          <w:spacing w:val="-9"/>
        </w:rPr>
        <w:t> </w:t>
      </w:r>
      <w:r>
        <w:rPr>
          <w:spacing w:val="-4"/>
        </w:rPr>
        <w:t>The</w:t>
      </w:r>
      <w:r>
        <w:rPr>
          <w:spacing w:val="-10"/>
        </w:rPr>
        <w:t> </w:t>
      </w:r>
      <w:r>
        <w:rPr>
          <w:spacing w:val="-4"/>
        </w:rPr>
        <w:t>strategy</w:t>
      </w:r>
      <w:r>
        <w:rPr>
          <w:spacing w:val="-8"/>
        </w:rPr>
        <w:t> </w:t>
      </w:r>
      <w:r>
        <w:rPr>
          <w:spacing w:val="-4"/>
        </w:rPr>
        <w:t>for</w:t>
      </w:r>
      <w:r>
        <w:rPr>
          <w:spacing w:val="-8"/>
        </w:rPr>
        <w:t> </w:t>
      </w:r>
      <w:r>
        <w:rPr>
          <w:spacing w:val="-4"/>
        </w:rPr>
        <w:t>the</w:t>
      </w:r>
      <w:r>
        <w:rPr>
          <w:spacing w:val="-8"/>
        </w:rPr>
        <w:t> </w:t>
      </w:r>
      <w:r>
        <w:rPr>
          <w:spacing w:val="-4"/>
        </w:rPr>
        <w:t>promotion </w:t>
      </w:r>
      <w:r>
        <w:rPr/>
        <w:t>of science education in the 11th Plan aims at (a) </w:t>
      </w:r>
      <w:r>
        <w:rPr>
          <w:spacing w:val="-6"/>
        </w:rPr>
        <w:t>expanding</w:t>
      </w:r>
      <w:r>
        <w:rPr>
          <w:spacing w:val="-3"/>
        </w:rPr>
        <w:t> </w:t>
      </w:r>
      <w:r>
        <w:rPr>
          <w:spacing w:val="-6"/>
        </w:rPr>
        <w:t>and</w:t>
      </w:r>
      <w:r>
        <w:rPr/>
        <w:t> </w:t>
      </w:r>
      <w:r>
        <w:rPr>
          <w:spacing w:val="-6"/>
        </w:rPr>
        <w:t>strengthening</w:t>
      </w:r>
      <w:r>
        <w:rPr/>
        <w:t> </w:t>
      </w:r>
      <w:r>
        <w:rPr>
          <w:spacing w:val="-6"/>
        </w:rPr>
        <w:t>the</w:t>
      </w:r>
      <w:r>
        <w:rPr/>
        <w:t> </w:t>
      </w:r>
      <w:r>
        <w:rPr>
          <w:spacing w:val="-6"/>
        </w:rPr>
        <w:t>Science</w:t>
      </w:r>
      <w:r>
        <w:rPr/>
        <w:t> </w:t>
      </w:r>
      <w:r>
        <w:rPr>
          <w:spacing w:val="-6"/>
        </w:rPr>
        <w:t>&amp;</w:t>
      </w:r>
      <w:r>
        <w:rPr>
          <w:spacing w:val="-8"/>
        </w:rPr>
        <w:t> </w:t>
      </w:r>
      <w:r>
        <w:rPr>
          <w:spacing w:val="-6"/>
        </w:rPr>
        <w:t>Technology </w:t>
      </w:r>
      <w:r>
        <w:rPr/>
        <w:t>base</w:t>
      </w:r>
      <w:r>
        <w:rPr>
          <w:spacing w:val="3"/>
        </w:rPr>
        <w:t> </w:t>
      </w:r>
      <w:r>
        <w:rPr/>
        <w:t>in</w:t>
      </w:r>
      <w:r>
        <w:rPr>
          <w:spacing w:val="4"/>
        </w:rPr>
        <w:t> </w:t>
      </w:r>
      <w:r>
        <w:rPr/>
        <w:t>our</w:t>
      </w:r>
      <w:r>
        <w:rPr>
          <w:spacing w:val="4"/>
        </w:rPr>
        <w:t> </w:t>
      </w:r>
      <w:r>
        <w:rPr/>
        <w:t>universities,</w:t>
      </w:r>
      <w:r>
        <w:rPr>
          <w:spacing w:val="4"/>
        </w:rPr>
        <w:t> </w:t>
      </w:r>
      <w:r>
        <w:rPr/>
        <w:t>and</w:t>
      </w:r>
      <w:r>
        <w:rPr>
          <w:spacing w:val="4"/>
        </w:rPr>
        <w:t> </w:t>
      </w:r>
      <w:r>
        <w:rPr/>
        <w:t>(b)</w:t>
      </w:r>
      <w:r>
        <w:rPr>
          <w:spacing w:val="4"/>
        </w:rPr>
        <w:t> </w:t>
      </w:r>
      <w:r>
        <w:rPr/>
        <w:t>promoting</w:t>
      </w:r>
      <w:r>
        <w:rPr>
          <w:spacing w:val="4"/>
        </w:rPr>
        <w:t> </w:t>
      </w:r>
      <w:r>
        <w:rPr>
          <w:spacing w:val="-9"/>
        </w:rPr>
        <w:t>excellence</w:t>
      </w:r>
    </w:p>
    <w:p>
      <w:pPr>
        <w:pStyle w:val="BodyText"/>
        <w:spacing w:line="266" w:lineRule="auto" w:before="82"/>
        <w:ind w:left="319" w:right="1077"/>
        <w:jc w:val="both"/>
      </w:pPr>
      <w:r>
        <w:rPr/>
        <w:br w:type="column"/>
      </w:r>
      <w:r>
        <w:rPr/>
        <w:t>through competitively secured funding at centres </w:t>
      </w:r>
      <w:r>
        <w:rPr/>
        <w:t>for advanced research.</w:t>
      </w:r>
    </w:p>
    <w:p>
      <w:pPr>
        <w:pStyle w:val="BodyText"/>
        <w:spacing w:before="26"/>
      </w:pPr>
    </w:p>
    <w:p>
      <w:pPr>
        <w:pStyle w:val="BodyText"/>
        <w:spacing w:line="266" w:lineRule="auto"/>
        <w:ind w:left="319" w:right="1077"/>
        <w:jc w:val="both"/>
      </w:pPr>
      <w:r>
        <w:rPr/>
        <w:t>In</w:t>
      </w:r>
      <w:r>
        <w:rPr>
          <w:spacing w:val="-14"/>
        </w:rPr>
        <w:t> </w:t>
      </w:r>
      <w:r>
        <w:rPr/>
        <w:t>this</w:t>
      </w:r>
      <w:r>
        <w:rPr>
          <w:spacing w:val="-14"/>
        </w:rPr>
        <w:t> </w:t>
      </w:r>
      <w:r>
        <w:rPr/>
        <w:t>context,</w:t>
      </w:r>
      <w:r>
        <w:rPr>
          <w:spacing w:val="-14"/>
        </w:rPr>
        <w:t> </w:t>
      </w:r>
      <w:r>
        <w:rPr/>
        <w:t>NKC</w:t>
      </w:r>
      <w:r>
        <w:rPr>
          <w:spacing w:val="-13"/>
        </w:rPr>
        <w:t> </w:t>
      </w:r>
      <w:r>
        <w:rPr/>
        <w:t>conducted</w:t>
      </w:r>
      <w:r>
        <w:rPr>
          <w:spacing w:val="-14"/>
        </w:rPr>
        <w:t> </w:t>
      </w:r>
      <w:r>
        <w:rPr/>
        <w:t>workshops</w:t>
      </w:r>
      <w:r>
        <w:rPr>
          <w:spacing w:val="-14"/>
        </w:rPr>
        <w:t> </w:t>
      </w:r>
      <w:r>
        <w:rPr/>
        <w:t>and</w:t>
      </w:r>
      <w:r>
        <w:rPr>
          <w:spacing w:val="-14"/>
        </w:rPr>
        <w:t> </w:t>
      </w:r>
      <w:r>
        <w:rPr/>
        <w:t>expert </w:t>
      </w:r>
      <w:r>
        <w:rPr>
          <w:spacing w:val="-2"/>
        </w:rPr>
        <w:t>interviews</w:t>
      </w:r>
      <w:r>
        <w:rPr>
          <w:spacing w:val="-14"/>
        </w:rPr>
        <w:t> </w:t>
      </w:r>
      <w:r>
        <w:rPr>
          <w:spacing w:val="-2"/>
        </w:rPr>
        <w:t>to</w:t>
      </w:r>
      <w:r>
        <w:rPr>
          <w:spacing w:val="-12"/>
        </w:rPr>
        <w:t> </w:t>
      </w:r>
      <w:r>
        <w:rPr>
          <w:spacing w:val="-2"/>
        </w:rPr>
        <w:t>analyse</w:t>
      </w:r>
      <w:r>
        <w:rPr>
          <w:spacing w:val="-12"/>
        </w:rPr>
        <w:t> </w:t>
      </w:r>
      <w:r>
        <w:rPr>
          <w:spacing w:val="-2"/>
        </w:rPr>
        <w:t>the</w:t>
      </w:r>
      <w:r>
        <w:rPr>
          <w:spacing w:val="-11"/>
        </w:rPr>
        <w:t> </w:t>
      </w:r>
      <w:r>
        <w:rPr>
          <w:spacing w:val="-2"/>
        </w:rPr>
        <w:t>issue</w:t>
      </w:r>
      <w:r>
        <w:rPr>
          <w:spacing w:val="-12"/>
        </w:rPr>
        <w:t> </w:t>
      </w:r>
      <w:r>
        <w:rPr>
          <w:spacing w:val="-2"/>
        </w:rPr>
        <w:t>and</w:t>
      </w:r>
      <w:r>
        <w:rPr>
          <w:spacing w:val="-12"/>
        </w:rPr>
        <w:t> </w:t>
      </w:r>
      <w:r>
        <w:rPr>
          <w:spacing w:val="-2"/>
        </w:rPr>
        <w:t>recommend</w:t>
      </w:r>
      <w:r>
        <w:rPr>
          <w:spacing w:val="-12"/>
        </w:rPr>
        <w:t> </w:t>
      </w:r>
      <w:r>
        <w:rPr>
          <w:spacing w:val="-2"/>
        </w:rPr>
        <w:t>steps</w:t>
      </w:r>
      <w:r>
        <w:rPr>
          <w:spacing w:val="-11"/>
        </w:rPr>
        <w:t> </w:t>
      </w:r>
      <w:r>
        <w:rPr>
          <w:spacing w:val="-2"/>
        </w:rPr>
        <w:t>to </w:t>
      </w:r>
      <w:r>
        <w:rPr/>
        <w:t>attract and retain talented students in basic sciences. A working group of eminent members representing universities, science colleges, research institutes, industry and NGOs was constituted to look into the ideas</w:t>
      </w:r>
      <w:r>
        <w:rPr>
          <w:spacing w:val="-14"/>
        </w:rPr>
        <w:t> </w:t>
      </w:r>
      <w:r>
        <w:rPr/>
        <w:t>in</w:t>
      </w:r>
      <w:r>
        <w:rPr>
          <w:spacing w:val="-14"/>
        </w:rPr>
        <w:t> </w:t>
      </w:r>
      <w:r>
        <w:rPr/>
        <w:t>greater</w:t>
      </w:r>
      <w:r>
        <w:rPr>
          <w:spacing w:val="-14"/>
        </w:rPr>
        <w:t> </w:t>
      </w:r>
      <w:r>
        <w:rPr/>
        <w:t>detail,</w:t>
      </w:r>
      <w:r>
        <w:rPr>
          <w:spacing w:val="-13"/>
        </w:rPr>
        <w:t> </w:t>
      </w:r>
      <w:r>
        <w:rPr/>
        <w:t>and</w:t>
      </w:r>
      <w:r>
        <w:rPr>
          <w:spacing w:val="-14"/>
        </w:rPr>
        <w:t> </w:t>
      </w:r>
      <w:r>
        <w:rPr/>
        <w:t>this</w:t>
      </w:r>
      <w:r>
        <w:rPr>
          <w:spacing w:val="-14"/>
        </w:rPr>
        <w:t> </w:t>
      </w:r>
      <w:r>
        <w:rPr/>
        <w:t>Note</w:t>
      </w:r>
      <w:r>
        <w:rPr>
          <w:spacing w:val="-14"/>
        </w:rPr>
        <w:t> </w:t>
      </w:r>
      <w:r>
        <w:rPr/>
        <w:t>is</w:t>
      </w:r>
      <w:r>
        <w:rPr>
          <w:spacing w:val="-13"/>
        </w:rPr>
        <w:t> </w:t>
      </w:r>
      <w:r>
        <w:rPr/>
        <w:t>a</w:t>
      </w:r>
      <w:r>
        <w:rPr>
          <w:spacing w:val="-14"/>
        </w:rPr>
        <w:t> </w:t>
      </w:r>
      <w:r>
        <w:rPr/>
        <w:t>result</w:t>
      </w:r>
      <w:r>
        <w:rPr>
          <w:spacing w:val="-14"/>
        </w:rPr>
        <w:t> </w:t>
      </w:r>
      <w:r>
        <w:rPr/>
        <w:t>of</w:t>
      </w:r>
      <w:r>
        <w:rPr>
          <w:spacing w:val="-14"/>
        </w:rPr>
        <w:t> </w:t>
      </w:r>
      <w:r>
        <w:rPr/>
        <w:t>these deliberations. Broadly, the recommendations can be summarised as </w:t>
      </w:r>
      <w:r>
        <w:rPr>
          <w:b/>
          <w:i/>
        </w:rPr>
        <w:t>better infrastructure and pedagogy, curricular</w:t>
      </w:r>
      <w:r>
        <w:rPr>
          <w:b/>
          <w:i/>
          <w:spacing w:val="-4"/>
        </w:rPr>
        <w:t> </w:t>
      </w:r>
      <w:r>
        <w:rPr>
          <w:b/>
          <w:i/>
        </w:rPr>
        <w:t>and</w:t>
      </w:r>
      <w:r>
        <w:rPr>
          <w:b/>
          <w:i/>
          <w:spacing w:val="-4"/>
        </w:rPr>
        <w:t> </w:t>
      </w:r>
      <w:r>
        <w:rPr>
          <w:b/>
          <w:i/>
        </w:rPr>
        <w:t>structural</w:t>
      </w:r>
      <w:r>
        <w:rPr>
          <w:b/>
          <w:i/>
          <w:spacing w:val="-4"/>
        </w:rPr>
        <w:t> </w:t>
      </w:r>
      <w:r>
        <w:rPr>
          <w:b/>
          <w:i/>
        </w:rPr>
        <w:t>reforms,</w:t>
      </w:r>
      <w:r>
        <w:rPr>
          <w:b/>
          <w:i/>
          <w:spacing w:val="-4"/>
        </w:rPr>
        <w:t> </w:t>
      </w:r>
      <w:r>
        <w:rPr>
          <w:b/>
          <w:i/>
        </w:rPr>
        <w:t>improved</w:t>
      </w:r>
      <w:r>
        <w:rPr>
          <w:b/>
          <w:i/>
          <w:spacing w:val="-4"/>
        </w:rPr>
        <w:t> </w:t>
      </w:r>
      <w:r>
        <w:rPr>
          <w:b/>
          <w:i/>
        </w:rPr>
        <w:t>access, </w:t>
      </w:r>
      <w:r>
        <w:rPr>
          <w:b/>
          <w:i/>
          <w:spacing w:val="-2"/>
        </w:rPr>
        <w:t>re-branding</w:t>
      </w:r>
      <w:r>
        <w:rPr>
          <w:b/>
          <w:i/>
          <w:spacing w:val="-12"/>
        </w:rPr>
        <w:t> </w:t>
      </w:r>
      <w:r>
        <w:rPr>
          <w:b/>
          <w:i/>
          <w:spacing w:val="-2"/>
        </w:rPr>
        <w:t>of</w:t>
      </w:r>
      <w:r>
        <w:rPr>
          <w:b/>
          <w:i/>
          <w:spacing w:val="-12"/>
        </w:rPr>
        <w:t> </w:t>
      </w:r>
      <w:r>
        <w:rPr>
          <w:b/>
          <w:i/>
          <w:spacing w:val="-2"/>
        </w:rPr>
        <w:t>science</w:t>
      </w:r>
      <w:r>
        <w:rPr>
          <w:b/>
          <w:i/>
          <w:spacing w:val="-12"/>
        </w:rPr>
        <w:t> </w:t>
      </w:r>
      <w:r>
        <w:rPr>
          <w:b/>
          <w:i/>
          <w:spacing w:val="-2"/>
        </w:rPr>
        <w:t>careers,</w:t>
      </w:r>
      <w:r>
        <w:rPr>
          <w:b/>
          <w:i/>
          <w:spacing w:val="-11"/>
        </w:rPr>
        <w:t> </w:t>
      </w:r>
      <w:r>
        <w:rPr>
          <w:b/>
          <w:i/>
          <w:spacing w:val="-2"/>
        </w:rPr>
        <w:t>massive</w:t>
      </w:r>
      <w:r>
        <w:rPr>
          <w:b/>
          <w:i/>
          <w:spacing w:val="-12"/>
        </w:rPr>
        <w:t> </w:t>
      </w:r>
      <w:r>
        <w:rPr>
          <w:b/>
          <w:i/>
          <w:spacing w:val="-2"/>
        </w:rPr>
        <w:t>outreach</w:t>
      </w:r>
      <w:r>
        <w:rPr>
          <w:b/>
          <w:i/>
          <w:spacing w:val="-12"/>
        </w:rPr>
        <w:t> </w:t>
      </w:r>
      <w:r>
        <w:rPr>
          <w:b/>
          <w:i/>
          <w:spacing w:val="-2"/>
        </w:rPr>
        <w:t>and </w:t>
      </w:r>
      <w:r>
        <w:rPr>
          <w:b/>
          <w:i/>
          <w:spacing w:val="-4"/>
        </w:rPr>
        <w:t>greater industry participation</w:t>
      </w:r>
      <w:r>
        <w:rPr>
          <w:spacing w:val="-4"/>
        </w:rPr>
        <w:t>.</w:t>
      </w:r>
      <w:r>
        <w:rPr>
          <w:spacing w:val="-7"/>
        </w:rPr>
        <w:t> </w:t>
      </w:r>
      <w:r>
        <w:rPr>
          <w:spacing w:val="-4"/>
        </w:rPr>
        <w:t>We are glad to note that </w:t>
      </w:r>
      <w:r>
        <w:rPr/>
        <w:t>some recent UGC initiatives are in line with a few of </w:t>
      </w:r>
      <w:r>
        <w:rPr>
          <w:spacing w:val="-2"/>
        </w:rPr>
        <w:t>these</w:t>
      </w:r>
      <w:r>
        <w:rPr>
          <w:spacing w:val="-12"/>
        </w:rPr>
        <w:t> </w:t>
      </w:r>
      <w:r>
        <w:rPr>
          <w:spacing w:val="-2"/>
        </w:rPr>
        <w:t>recommendations.</w:t>
      </w:r>
      <w:r>
        <w:rPr>
          <w:spacing w:val="-12"/>
        </w:rPr>
        <w:t> </w:t>
      </w:r>
      <w:r>
        <w:rPr>
          <w:spacing w:val="-2"/>
        </w:rPr>
        <w:t>We</w:t>
      </w:r>
      <w:r>
        <w:rPr>
          <w:spacing w:val="-12"/>
        </w:rPr>
        <w:t> </w:t>
      </w:r>
      <w:r>
        <w:rPr>
          <w:spacing w:val="-2"/>
        </w:rPr>
        <w:t>are</w:t>
      </w:r>
      <w:r>
        <w:rPr>
          <w:spacing w:val="-11"/>
        </w:rPr>
        <w:t> </w:t>
      </w:r>
      <w:r>
        <w:rPr>
          <w:spacing w:val="-2"/>
        </w:rPr>
        <w:t>aware</w:t>
      </w:r>
      <w:r>
        <w:rPr>
          <w:spacing w:val="-12"/>
        </w:rPr>
        <w:t> </w:t>
      </w:r>
      <w:r>
        <w:rPr>
          <w:spacing w:val="-2"/>
        </w:rPr>
        <w:t>that</w:t>
      </w:r>
      <w:r>
        <w:rPr>
          <w:spacing w:val="-12"/>
        </w:rPr>
        <w:t> </w:t>
      </w:r>
      <w:r>
        <w:rPr>
          <w:spacing w:val="-2"/>
        </w:rPr>
        <w:t>while</w:t>
      </w:r>
      <w:r>
        <w:rPr>
          <w:spacing w:val="-12"/>
        </w:rPr>
        <w:t> </w:t>
      </w:r>
      <w:r>
        <w:rPr>
          <w:spacing w:val="-2"/>
        </w:rPr>
        <w:t>some of</w:t>
      </w:r>
      <w:r>
        <w:rPr>
          <w:spacing w:val="-10"/>
        </w:rPr>
        <w:t> </w:t>
      </w:r>
      <w:r>
        <w:rPr>
          <w:spacing w:val="-2"/>
        </w:rPr>
        <w:t>the</w:t>
      </w:r>
      <w:r>
        <w:rPr>
          <w:spacing w:val="-10"/>
        </w:rPr>
        <w:t> </w:t>
      </w:r>
      <w:r>
        <w:rPr>
          <w:spacing w:val="-2"/>
        </w:rPr>
        <w:t>proposals</w:t>
      </w:r>
      <w:r>
        <w:rPr>
          <w:spacing w:val="-10"/>
        </w:rPr>
        <w:t> </w:t>
      </w:r>
      <w:r>
        <w:rPr>
          <w:spacing w:val="-2"/>
        </w:rPr>
        <w:t>below</w:t>
      </w:r>
      <w:r>
        <w:rPr>
          <w:spacing w:val="-10"/>
        </w:rPr>
        <w:t> </w:t>
      </w:r>
      <w:r>
        <w:rPr>
          <w:spacing w:val="-2"/>
        </w:rPr>
        <w:t>are</w:t>
      </w:r>
      <w:r>
        <w:rPr>
          <w:spacing w:val="-10"/>
        </w:rPr>
        <w:t> </w:t>
      </w:r>
      <w:r>
        <w:rPr>
          <w:spacing w:val="-2"/>
        </w:rPr>
        <w:t>new,</w:t>
      </w:r>
      <w:r>
        <w:rPr>
          <w:spacing w:val="-10"/>
        </w:rPr>
        <w:t> </w:t>
      </w:r>
      <w:r>
        <w:rPr>
          <w:spacing w:val="-2"/>
        </w:rPr>
        <w:t>various</w:t>
      </w:r>
      <w:r>
        <w:rPr>
          <w:spacing w:val="-10"/>
        </w:rPr>
        <w:t> </w:t>
      </w:r>
      <w:r>
        <w:rPr>
          <w:spacing w:val="-2"/>
        </w:rPr>
        <w:t>expert</w:t>
      </w:r>
      <w:r>
        <w:rPr>
          <w:spacing w:val="-10"/>
        </w:rPr>
        <w:t> </w:t>
      </w:r>
      <w:r>
        <w:rPr>
          <w:spacing w:val="-2"/>
        </w:rPr>
        <w:t>groups</w:t>
      </w:r>
      <w:r>
        <w:rPr>
          <w:spacing w:val="-2"/>
          <w:position w:val="7"/>
          <w:sz w:val="13"/>
        </w:rPr>
        <w:t>1</w:t>
      </w:r>
      <w:r>
        <w:rPr>
          <w:spacing w:val="40"/>
          <w:position w:val="7"/>
          <w:sz w:val="13"/>
        </w:rPr>
        <w:t> </w:t>
      </w:r>
      <w:r>
        <w:rPr>
          <w:spacing w:val="-4"/>
        </w:rPr>
        <w:t>have previously made proposals which overlap in spirit </w:t>
      </w:r>
      <w:r>
        <w:rPr/>
        <w:t>and content with the others. They are reiterated here because it is felt that these proposals need fast-track implementation for effecting a change in Science Education which is critical and urgent.</w:t>
      </w:r>
    </w:p>
    <w:p>
      <w:pPr>
        <w:pStyle w:val="Heading6"/>
        <w:spacing w:before="170"/>
        <w:ind w:left="319" w:firstLine="0"/>
      </w:pPr>
      <w:r>
        <w:rPr>
          <w:color w:val="2E614A"/>
          <w:spacing w:val="-2"/>
        </w:rPr>
        <w:t>Resources</w:t>
      </w:r>
    </w:p>
    <w:p>
      <w:pPr>
        <w:pStyle w:val="Heading7"/>
        <w:spacing w:line="208" w:lineRule="auto" w:before="160"/>
        <w:ind w:right="1075"/>
      </w:pPr>
      <w:r>
        <w:rPr>
          <w:color w:val="2E614A"/>
          <w:w w:val="90"/>
        </w:rPr>
        <w:t>Recommendation 1: Invest in upgrading </w:t>
      </w:r>
      <w:r>
        <w:rPr>
          <w:color w:val="2E614A"/>
          <w:w w:val="90"/>
        </w:rPr>
        <w:t>and </w:t>
      </w:r>
      <w:r>
        <w:rPr>
          <w:color w:val="2E614A"/>
          <w:spacing w:val="-4"/>
        </w:rPr>
        <w:t>expanding</w:t>
      </w:r>
      <w:r>
        <w:rPr>
          <w:color w:val="2E614A"/>
          <w:spacing w:val="-13"/>
        </w:rPr>
        <w:t> </w:t>
      </w:r>
      <w:r>
        <w:rPr>
          <w:color w:val="2E614A"/>
          <w:spacing w:val="-4"/>
        </w:rPr>
        <w:t>the</w:t>
      </w:r>
      <w:r>
        <w:rPr>
          <w:color w:val="2E614A"/>
          <w:spacing w:val="-12"/>
        </w:rPr>
        <w:t> </w:t>
      </w:r>
      <w:r>
        <w:rPr>
          <w:color w:val="2E614A"/>
          <w:spacing w:val="-4"/>
        </w:rPr>
        <w:t>existing</w:t>
      </w:r>
      <w:r>
        <w:rPr>
          <w:color w:val="2E614A"/>
          <w:spacing w:val="-12"/>
        </w:rPr>
        <w:t> </w:t>
      </w:r>
      <w:r>
        <w:rPr>
          <w:color w:val="2E614A"/>
          <w:spacing w:val="-4"/>
        </w:rPr>
        <w:t>infrastructure</w:t>
      </w:r>
      <w:r>
        <w:rPr>
          <w:color w:val="2E614A"/>
          <w:spacing w:val="-12"/>
        </w:rPr>
        <w:t> </w:t>
      </w:r>
      <w:r>
        <w:rPr>
          <w:color w:val="2E614A"/>
          <w:spacing w:val="-4"/>
        </w:rPr>
        <w:t>and </w:t>
      </w:r>
      <w:r>
        <w:rPr>
          <w:color w:val="2E614A"/>
          <w:spacing w:val="-6"/>
        </w:rPr>
        <w:t>promote</w:t>
      </w:r>
      <w:r>
        <w:rPr>
          <w:color w:val="2E614A"/>
          <w:spacing w:val="-8"/>
        </w:rPr>
        <w:t> </w:t>
      </w:r>
      <w:r>
        <w:rPr>
          <w:color w:val="2E614A"/>
          <w:spacing w:val="-6"/>
        </w:rPr>
        <w:t>sharing</w:t>
      </w:r>
      <w:r>
        <w:rPr>
          <w:color w:val="2E614A"/>
          <w:spacing w:val="-8"/>
        </w:rPr>
        <w:t> </w:t>
      </w:r>
      <w:r>
        <w:rPr>
          <w:color w:val="2E614A"/>
          <w:spacing w:val="-6"/>
        </w:rPr>
        <w:t>of</w:t>
      </w:r>
      <w:r>
        <w:rPr>
          <w:color w:val="2E614A"/>
          <w:spacing w:val="-8"/>
        </w:rPr>
        <w:t> </w:t>
      </w:r>
      <w:r>
        <w:rPr>
          <w:color w:val="2E614A"/>
          <w:spacing w:val="-6"/>
        </w:rPr>
        <w:t>available</w:t>
      </w:r>
      <w:r>
        <w:rPr>
          <w:color w:val="2E614A"/>
          <w:spacing w:val="-8"/>
        </w:rPr>
        <w:t> </w:t>
      </w:r>
      <w:r>
        <w:rPr>
          <w:color w:val="2E614A"/>
          <w:spacing w:val="-6"/>
        </w:rPr>
        <w:t>resources</w:t>
      </w:r>
    </w:p>
    <w:p>
      <w:pPr>
        <w:pStyle w:val="BodyText"/>
        <w:spacing w:line="266" w:lineRule="auto" w:before="205"/>
        <w:ind w:left="319" w:right="1077"/>
        <w:jc w:val="both"/>
      </w:pPr>
      <w:r>
        <w:rPr/>
        <w:t>Science is a capital intensive subject and its pursuit requires good infrastructure, adequate resources and regular maintenance of the same. Further, better </w:t>
      </w:r>
      <w:r>
        <w:rPr>
          <w:spacing w:val="-4"/>
        </w:rPr>
        <w:t>infrastructure will play a vital role in attracting students </w:t>
      </w:r>
      <w:r>
        <w:rPr/>
        <w:t>towards sciences.</w:t>
      </w:r>
    </w:p>
    <w:p>
      <w:pPr>
        <w:pStyle w:val="BodyText"/>
        <w:spacing w:before="23"/>
      </w:pPr>
    </w:p>
    <w:p>
      <w:pPr>
        <w:pStyle w:val="BodyText"/>
        <w:spacing w:line="266" w:lineRule="auto"/>
        <w:ind w:left="319" w:right="1077"/>
        <w:jc w:val="both"/>
      </w:pPr>
      <w:r>
        <w:rPr>
          <w:b/>
        </w:rPr>
        <w:t>Issues:</w:t>
      </w:r>
      <w:r>
        <w:rPr>
          <w:b/>
          <w:spacing w:val="40"/>
        </w:rPr>
        <w:t> </w:t>
      </w:r>
      <w:r>
        <w:rPr/>
        <w:t>The</w:t>
      </w:r>
      <w:r>
        <w:rPr>
          <w:spacing w:val="40"/>
        </w:rPr>
        <w:t> </w:t>
      </w:r>
      <w:r>
        <w:rPr/>
        <w:t>condition</w:t>
      </w:r>
      <w:r>
        <w:rPr>
          <w:spacing w:val="40"/>
        </w:rPr>
        <w:t> </w:t>
      </w:r>
      <w:r>
        <w:rPr/>
        <w:t>of</w:t>
      </w:r>
      <w:r>
        <w:rPr>
          <w:spacing w:val="40"/>
        </w:rPr>
        <w:t> </w:t>
      </w:r>
      <w:r>
        <w:rPr/>
        <w:t>basic</w:t>
      </w:r>
      <w:r>
        <w:rPr>
          <w:spacing w:val="40"/>
        </w:rPr>
        <w:t> </w:t>
      </w:r>
      <w:r>
        <w:rPr/>
        <w:t>infrastructure</w:t>
      </w:r>
      <w:r>
        <w:rPr>
          <w:spacing w:val="40"/>
        </w:rPr>
        <w:t> </w:t>
      </w:r>
      <w:r>
        <w:rPr/>
        <w:t>in most</w:t>
      </w:r>
      <w:r>
        <w:rPr>
          <w:spacing w:val="-4"/>
        </w:rPr>
        <w:t> </w:t>
      </w:r>
      <w:r>
        <w:rPr/>
        <w:t>science</w:t>
      </w:r>
      <w:r>
        <w:rPr>
          <w:spacing w:val="-4"/>
        </w:rPr>
        <w:t> </w:t>
      </w:r>
      <w:r>
        <w:rPr/>
        <w:t>colleges</w:t>
      </w:r>
      <w:r>
        <w:rPr>
          <w:spacing w:val="-4"/>
        </w:rPr>
        <w:t> </w:t>
      </w:r>
      <w:r>
        <w:rPr/>
        <w:t>and</w:t>
      </w:r>
      <w:r>
        <w:rPr>
          <w:spacing w:val="-4"/>
        </w:rPr>
        <w:t> </w:t>
      </w:r>
      <w:r>
        <w:rPr/>
        <w:t>universities</w:t>
      </w:r>
      <w:r>
        <w:rPr>
          <w:spacing w:val="-4"/>
        </w:rPr>
        <w:t> </w:t>
      </w:r>
      <w:r>
        <w:rPr/>
        <w:t>remain</w:t>
      </w:r>
      <w:r>
        <w:rPr>
          <w:spacing w:val="-4"/>
        </w:rPr>
        <w:t> </w:t>
      </w:r>
      <w:r>
        <w:rPr/>
        <w:t>largely unattractive and uninspiring to today’s high school student</w:t>
      </w:r>
      <w:r>
        <w:rPr>
          <w:spacing w:val="22"/>
        </w:rPr>
        <w:t> </w:t>
      </w:r>
      <w:r>
        <w:rPr/>
        <w:t>who</w:t>
      </w:r>
      <w:r>
        <w:rPr>
          <w:spacing w:val="23"/>
        </w:rPr>
        <w:t> </w:t>
      </w:r>
      <w:r>
        <w:rPr/>
        <w:t>has</w:t>
      </w:r>
      <w:r>
        <w:rPr>
          <w:spacing w:val="23"/>
        </w:rPr>
        <w:t> </w:t>
      </w:r>
      <w:r>
        <w:rPr/>
        <w:t>an</w:t>
      </w:r>
      <w:r>
        <w:rPr>
          <w:spacing w:val="23"/>
        </w:rPr>
        <w:t> </w:t>
      </w:r>
      <w:r>
        <w:rPr/>
        <w:t>array</w:t>
      </w:r>
      <w:r>
        <w:rPr>
          <w:spacing w:val="23"/>
        </w:rPr>
        <w:t> </w:t>
      </w:r>
      <w:r>
        <w:rPr/>
        <w:t>of</w:t>
      </w:r>
      <w:r>
        <w:rPr>
          <w:spacing w:val="23"/>
        </w:rPr>
        <w:t> </w:t>
      </w:r>
      <w:r>
        <w:rPr/>
        <w:t>other</w:t>
      </w:r>
      <w:r>
        <w:rPr>
          <w:spacing w:val="23"/>
        </w:rPr>
        <w:t> </w:t>
      </w:r>
      <w:r>
        <w:rPr/>
        <w:t>attractive</w:t>
      </w:r>
      <w:r>
        <w:rPr>
          <w:spacing w:val="23"/>
        </w:rPr>
        <w:t> </w:t>
      </w:r>
      <w:r>
        <w:rPr>
          <w:spacing w:val="-2"/>
        </w:rPr>
        <w:t>options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117"/>
        <w:rPr>
          <w:sz w:val="20"/>
        </w:rPr>
      </w:pPr>
    </w:p>
    <w:p>
      <w:pPr>
        <w:pStyle w:val="BodyText"/>
        <w:spacing w:line="20" w:lineRule="exact"/>
        <w:ind w:left="1080"/>
        <w:rPr>
          <w:sz w:val="2"/>
        </w:rPr>
      </w:pPr>
      <w:r>
        <w:rPr>
          <w:sz w:val="2"/>
        </w:rPr>
        <mc:AlternateContent>
          <mc:Choice Requires="wps">
            <w:drawing>
              <wp:inline distT="0" distB="0" distL="0" distR="0">
                <wp:extent cx="2408555" cy="6350"/>
                <wp:effectExtent l="0" t="0" r="0" b="0"/>
                <wp:docPr id="923" name="Group 923"/>
                <wp:cNvGraphicFramePr>
                  <a:graphicFrameLocks/>
                </wp:cNvGraphicFramePr>
                <a:graphic>
                  <a:graphicData uri="http://schemas.microsoft.com/office/word/2010/wordprocessingGroup">
                    <wpg:wgp>
                      <wpg:cNvPr id="923" name="Group 923"/>
                      <wpg:cNvGrpSpPr/>
                      <wpg:grpSpPr>
                        <a:xfrm>
                          <a:off x="0" y="0"/>
                          <a:ext cx="2408555" cy="6350"/>
                          <a:chExt cx="2408555" cy="6350"/>
                        </a:xfrm>
                      </wpg:grpSpPr>
                      <wps:wsp>
                        <wps:cNvPr id="924" name="Graphic 924"/>
                        <wps:cNvSpPr/>
                        <wps:spPr>
                          <a:xfrm>
                            <a:off x="0" y="0"/>
                            <a:ext cx="2408555" cy="6350"/>
                          </a:xfrm>
                          <a:custGeom>
                            <a:avLst/>
                            <a:gdLst/>
                            <a:ahLst/>
                            <a:cxnLst/>
                            <a:rect l="l" t="t" r="r" b="b"/>
                            <a:pathLst>
                              <a:path w="2408555" h="6350">
                                <a:moveTo>
                                  <a:pt x="2408400" y="0"/>
                                </a:moveTo>
                                <a:lnTo>
                                  <a:pt x="0" y="0"/>
                                </a:lnTo>
                                <a:lnTo>
                                  <a:pt x="0" y="6350"/>
                                </a:lnTo>
                                <a:lnTo>
                                  <a:pt x="2408400" y="6350"/>
                                </a:lnTo>
                                <a:lnTo>
                                  <a:pt x="240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65pt;height:.5pt;mso-position-horizontal-relative:char;mso-position-vertical-relative:line" id="docshapegroup916" coordorigin="0,0" coordsize="3793,10">
                <v:rect style="position:absolute;left:0;top:0;width:3793;height:10" id="docshape917" filled="true" fillcolor="#000000" stroked="false">
                  <v:fill type="solid"/>
                </v:rect>
              </v:group>
            </w:pict>
          </mc:Fallback>
        </mc:AlternateContent>
      </w:r>
      <w:r>
        <w:rPr>
          <w:sz w:val="2"/>
        </w:rPr>
      </w:r>
    </w:p>
    <w:p>
      <w:pPr>
        <w:spacing w:line="254" w:lineRule="auto" w:before="118"/>
        <w:ind w:left="1079" w:right="921" w:firstLine="0"/>
        <w:jc w:val="left"/>
        <w:rPr>
          <w:sz w:val="18"/>
        </w:rPr>
      </w:pPr>
      <w:r>
        <w:rPr>
          <w:spacing w:val="-4"/>
          <w:position w:val="6"/>
          <w:sz w:val="10"/>
        </w:rPr>
        <w:t>1</w:t>
      </w:r>
      <w:r>
        <w:rPr>
          <w:spacing w:val="20"/>
          <w:position w:val="6"/>
          <w:sz w:val="10"/>
        </w:rPr>
        <w:t> </w:t>
      </w:r>
      <w:r>
        <w:rPr>
          <w:spacing w:val="-4"/>
          <w:sz w:val="18"/>
        </w:rPr>
        <w:t>Higher Education in Science and Research &amp; Development:</w:t>
      </w:r>
      <w:r>
        <w:rPr>
          <w:spacing w:val="-9"/>
          <w:sz w:val="18"/>
        </w:rPr>
        <w:t> </w:t>
      </w:r>
      <w:r>
        <w:rPr>
          <w:spacing w:val="-4"/>
          <w:sz w:val="18"/>
        </w:rPr>
        <w:t>The Challenges And</w:t>
      </w:r>
      <w:r>
        <w:rPr>
          <w:spacing w:val="-9"/>
          <w:sz w:val="18"/>
        </w:rPr>
        <w:t> </w:t>
      </w:r>
      <w:r>
        <w:rPr>
          <w:spacing w:val="-4"/>
          <w:sz w:val="18"/>
        </w:rPr>
        <w:t>The Road Ahead, INSA and IAS, 2006; Attracting Young </w:t>
      </w:r>
      <w:r>
        <w:rPr>
          <w:sz w:val="18"/>
        </w:rPr>
        <w:t>People</w:t>
      </w:r>
      <w:r>
        <w:rPr>
          <w:spacing w:val="-12"/>
          <w:sz w:val="18"/>
        </w:rPr>
        <w:t> </w:t>
      </w:r>
      <w:r>
        <w:rPr>
          <w:sz w:val="18"/>
        </w:rPr>
        <w:t>to</w:t>
      </w:r>
      <w:r>
        <w:rPr>
          <w:spacing w:val="-11"/>
          <w:sz w:val="18"/>
        </w:rPr>
        <w:t> </w:t>
      </w:r>
      <w:r>
        <w:rPr>
          <w:sz w:val="18"/>
        </w:rPr>
        <w:t>Careers</w:t>
      </w:r>
      <w:r>
        <w:rPr>
          <w:spacing w:val="-11"/>
          <w:sz w:val="18"/>
        </w:rPr>
        <w:t> </w:t>
      </w:r>
      <w:r>
        <w:rPr>
          <w:sz w:val="18"/>
        </w:rPr>
        <w:t>in</w:t>
      </w:r>
      <w:r>
        <w:rPr>
          <w:spacing w:val="-11"/>
          <w:sz w:val="18"/>
        </w:rPr>
        <w:t> </w:t>
      </w:r>
      <w:r>
        <w:rPr>
          <w:sz w:val="18"/>
        </w:rPr>
        <w:t>Science,</w:t>
      </w:r>
      <w:r>
        <w:rPr>
          <w:spacing w:val="-12"/>
          <w:sz w:val="18"/>
        </w:rPr>
        <w:t> </w:t>
      </w:r>
      <w:r>
        <w:rPr>
          <w:sz w:val="18"/>
        </w:rPr>
        <w:t>Office</w:t>
      </w:r>
      <w:r>
        <w:rPr>
          <w:spacing w:val="-11"/>
          <w:sz w:val="18"/>
        </w:rPr>
        <w:t> </w:t>
      </w:r>
      <w:r>
        <w:rPr>
          <w:sz w:val="18"/>
        </w:rPr>
        <w:t>of</w:t>
      </w:r>
      <w:r>
        <w:rPr>
          <w:spacing w:val="-11"/>
          <w:sz w:val="18"/>
        </w:rPr>
        <w:t> </w:t>
      </w:r>
      <w:r>
        <w:rPr>
          <w:sz w:val="18"/>
        </w:rPr>
        <w:t>PSA,</w:t>
      </w:r>
      <w:r>
        <w:rPr>
          <w:spacing w:val="-11"/>
          <w:sz w:val="18"/>
        </w:rPr>
        <w:t> </w:t>
      </w:r>
      <w:r>
        <w:rPr>
          <w:sz w:val="18"/>
        </w:rPr>
        <w:t>2005;</w:t>
      </w:r>
      <w:r>
        <w:rPr>
          <w:spacing w:val="-12"/>
          <w:sz w:val="18"/>
        </w:rPr>
        <w:t> </w:t>
      </w:r>
      <w:r>
        <w:rPr>
          <w:sz w:val="18"/>
        </w:rPr>
        <w:t>Report</w:t>
      </w:r>
      <w:r>
        <w:rPr>
          <w:spacing w:val="-11"/>
          <w:sz w:val="18"/>
        </w:rPr>
        <w:t> </w:t>
      </w:r>
      <w:r>
        <w:rPr>
          <w:sz w:val="18"/>
        </w:rPr>
        <w:t>on</w:t>
      </w:r>
      <w:r>
        <w:rPr>
          <w:spacing w:val="-11"/>
          <w:sz w:val="18"/>
        </w:rPr>
        <w:t> </w:t>
      </w:r>
      <w:r>
        <w:rPr>
          <w:sz w:val="18"/>
        </w:rPr>
        <w:t>University</w:t>
      </w:r>
      <w:r>
        <w:rPr>
          <w:spacing w:val="-11"/>
          <w:sz w:val="18"/>
        </w:rPr>
        <w:t> </w:t>
      </w:r>
      <w:r>
        <w:rPr>
          <w:sz w:val="18"/>
        </w:rPr>
        <w:t>Science</w:t>
      </w:r>
      <w:r>
        <w:rPr>
          <w:spacing w:val="-12"/>
          <w:sz w:val="18"/>
        </w:rPr>
        <w:t> </w:t>
      </w:r>
      <w:r>
        <w:rPr>
          <w:sz w:val="18"/>
        </w:rPr>
        <w:t>Education,</w:t>
      </w:r>
      <w:r>
        <w:rPr>
          <w:spacing w:val="-11"/>
          <w:sz w:val="18"/>
        </w:rPr>
        <w:t> </w:t>
      </w:r>
      <w:r>
        <w:rPr>
          <w:sz w:val="18"/>
        </w:rPr>
        <w:t>IAS,</w:t>
      </w:r>
      <w:r>
        <w:rPr>
          <w:spacing w:val="-11"/>
          <w:sz w:val="18"/>
        </w:rPr>
        <w:t> </w:t>
      </w:r>
      <w:r>
        <w:rPr>
          <w:sz w:val="18"/>
        </w:rPr>
        <w:t>1994</w:t>
      </w:r>
    </w:p>
    <w:p>
      <w:pPr>
        <w:spacing w:after="0" w:line="254" w:lineRule="auto"/>
        <w:jc w:val="left"/>
        <w:rPr>
          <w:sz w:val="18"/>
        </w:rPr>
        <w:sectPr>
          <w:type w:val="continuous"/>
          <w:pgSz w:w="11910" w:h="16840"/>
          <w:pgMar w:header="0" w:footer="675" w:top="1920" w:bottom="280" w:left="0" w:right="0"/>
        </w:sectPr>
      </w:pPr>
    </w:p>
    <w:p>
      <w:pPr>
        <w:pStyle w:val="BodyText"/>
        <w:spacing w:line="266" w:lineRule="auto" w:before="57"/>
        <w:ind w:left="1079"/>
        <w:jc w:val="both"/>
      </w:pPr>
      <w:r>
        <w:rPr/>
        <w:t>while choosing his/ her career. Basic </w:t>
      </w:r>
      <w:r>
        <w:rPr/>
        <w:t>infrastructure like</w:t>
      </w:r>
      <w:r>
        <w:rPr>
          <w:spacing w:val="-14"/>
        </w:rPr>
        <w:t> </w:t>
      </w:r>
      <w:r>
        <w:rPr/>
        <w:t>classrooms</w:t>
      </w:r>
      <w:r>
        <w:rPr>
          <w:spacing w:val="-14"/>
        </w:rPr>
        <w:t> </w:t>
      </w:r>
      <w:r>
        <w:rPr/>
        <w:t>and</w:t>
      </w:r>
      <w:r>
        <w:rPr>
          <w:spacing w:val="-14"/>
        </w:rPr>
        <w:t> </w:t>
      </w:r>
      <w:r>
        <w:rPr/>
        <w:t>buildings</w:t>
      </w:r>
      <w:r>
        <w:rPr>
          <w:spacing w:val="-13"/>
        </w:rPr>
        <w:t> </w:t>
      </w:r>
      <w:r>
        <w:rPr/>
        <w:t>and</w:t>
      </w:r>
      <w:r>
        <w:rPr>
          <w:spacing w:val="-14"/>
        </w:rPr>
        <w:t> </w:t>
      </w:r>
      <w:r>
        <w:rPr/>
        <w:t>essential</w:t>
      </w:r>
      <w:r>
        <w:rPr>
          <w:spacing w:val="-14"/>
        </w:rPr>
        <w:t> </w:t>
      </w:r>
      <w:r>
        <w:rPr/>
        <w:t>laboratory </w:t>
      </w:r>
      <w:r>
        <w:rPr>
          <w:spacing w:val="-8"/>
        </w:rPr>
        <w:t>equipment</w:t>
      </w:r>
      <w:r>
        <w:rPr/>
        <w:t> </w:t>
      </w:r>
      <w:r>
        <w:rPr>
          <w:spacing w:val="-8"/>
        </w:rPr>
        <w:t>deteriorate</w:t>
      </w:r>
      <w:r>
        <w:rPr/>
        <w:t> </w:t>
      </w:r>
      <w:r>
        <w:rPr>
          <w:spacing w:val="-8"/>
        </w:rPr>
        <w:t>due</w:t>
      </w:r>
      <w:r>
        <w:rPr/>
        <w:t> </w:t>
      </w:r>
      <w:r>
        <w:rPr>
          <w:spacing w:val="-8"/>
        </w:rPr>
        <w:t>to</w:t>
      </w:r>
      <w:r>
        <w:rPr/>
        <w:t> </w:t>
      </w:r>
      <w:r>
        <w:rPr>
          <w:spacing w:val="-8"/>
        </w:rPr>
        <w:t>lack</w:t>
      </w:r>
      <w:r>
        <w:rPr/>
        <w:t> </w:t>
      </w:r>
      <w:r>
        <w:rPr>
          <w:spacing w:val="-8"/>
        </w:rPr>
        <w:t>of</w:t>
      </w:r>
      <w:r>
        <w:rPr/>
        <w:t> </w:t>
      </w:r>
      <w:r>
        <w:rPr>
          <w:spacing w:val="-8"/>
        </w:rPr>
        <w:t>proper</w:t>
      </w:r>
      <w:r>
        <w:rPr/>
        <w:t> </w:t>
      </w:r>
      <w:r>
        <w:rPr>
          <w:spacing w:val="-8"/>
        </w:rPr>
        <w:t>maintenance. </w:t>
      </w:r>
      <w:r>
        <w:rPr>
          <w:spacing w:val="-6"/>
        </w:rPr>
        <w:t>This creates a grim atmosphere for students and teachers </w:t>
      </w:r>
      <w:r>
        <w:rPr>
          <w:spacing w:val="-2"/>
        </w:rPr>
        <w:t>who</w:t>
      </w:r>
      <w:r>
        <w:rPr>
          <w:spacing w:val="-9"/>
        </w:rPr>
        <w:t> </w:t>
      </w:r>
      <w:r>
        <w:rPr>
          <w:spacing w:val="-2"/>
        </w:rPr>
        <w:t>are</w:t>
      </w:r>
      <w:r>
        <w:rPr>
          <w:spacing w:val="-9"/>
        </w:rPr>
        <w:t> </w:t>
      </w:r>
      <w:r>
        <w:rPr>
          <w:spacing w:val="-2"/>
        </w:rPr>
        <w:t>interested</w:t>
      </w:r>
      <w:r>
        <w:rPr>
          <w:spacing w:val="-9"/>
        </w:rPr>
        <w:t> </w:t>
      </w:r>
      <w:r>
        <w:rPr>
          <w:spacing w:val="-2"/>
        </w:rPr>
        <w:t>in</w:t>
      </w:r>
      <w:r>
        <w:rPr>
          <w:spacing w:val="-9"/>
        </w:rPr>
        <w:t> </w:t>
      </w:r>
      <w:r>
        <w:rPr>
          <w:spacing w:val="-2"/>
        </w:rPr>
        <w:t>pursuing</w:t>
      </w:r>
      <w:r>
        <w:rPr>
          <w:spacing w:val="-9"/>
        </w:rPr>
        <w:t> </w:t>
      </w:r>
      <w:r>
        <w:rPr>
          <w:spacing w:val="-2"/>
        </w:rPr>
        <w:t>pure</w:t>
      </w:r>
      <w:r>
        <w:rPr>
          <w:spacing w:val="-9"/>
        </w:rPr>
        <w:t> </w:t>
      </w:r>
      <w:r>
        <w:rPr>
          <w:spacing w:val="-2"/>
        </w:rPr>
        <w:t>sciences.</w:t>
      </w:r>
    </w:p>
    <w:p>
      <w:pPr>
        <w:pStyle w:val="BodyText"/>
        <w:spacing w:before="23"/>
      </w:pPr>
    </w:p>
    <w:p>
      <w:pPr>
        <w:pStyle w:val="ListParagraph"/>
        <w:numPr>
          <w:ilvl w:val="1"/>
          <w:numId w:val="35"/>
        </w:numPr>
        <w:tabs>
          <w:tab w:pos="1414" w:val="left" w:leader="none"/>
        </w:tabs>
        <w:spacing w:line="266" w:lineRule="auto" w:before="0" w:after="0"/>
        <w:ind w:left="1079" w:right="0" w:firstLine="0"/>
        <w:jc w:val="both"/>
        <w:rPr>
          <w:sz w:val="22"/>
        </w:rPr>
      </w:pPr>
      <w:r>
        <w:rPr>
          <w:b/>
          <w:spacing w:val="-8"/>
          <w:sz w:val="22"/>
        </w:rPr>
        <w:t>Basic</w:t>
      </w:r>
      <w:r>
        <w:rPr>
          <w:b/>
          <w:sz w:val="22"/>
        </w:rPr>
        <w:t> </w:t>
      </w:r>
      <w:r>
        <w:rPr>
          <w:b/>
          <w:spacing w:val="-8"/>
          <w:sz w:val="22"/>
        </w:rPr>
        <w:t>infrastructure:</w:t>
      </w:r>
      <w:r>
        <w:rPr>
          <w:b/>
          <w:sz w:val="22"/>
        </w:rPr>
        <w:t> </w:t>
      </w:r>
      <w:r>
        <w:rPr>
          <w:spacing w:val="-8"/>
          <w:sz w:val="22"/>
        </w:rPr>
        <w:t>The</w:t>
      </w:r>
      <w:r>
        <w:rPr>
          <w:sz w:val="22"/>
        </w:rPr>
        <w:t> </w:t>
      </w:r>
      <w:r>
        <w:rPr>
          <w:spacing w:val="-8"/>
          <w:sz w:val="22"/>
        </w:rPr>
        <w:t>number</w:t>
      </w:r>
      <w:r>
        <w:rPr>
          <w:sz w:val="22"/>
        </w:rPr>
        <w:t> </w:t>
      </w:r>
      <w:r>
        <w:rPr>
          <w:spacing w:val="-8"/>
          <w:sz w:val="22"/>
        </w:rPr>
        <w:t>of</w:t>
      </w:r>
      <w:r>
        <w:rPr>
          <w:sz w:val="22"/>
        </w:rPr>
        <w:t> </w:t>
      </w:r>
      <w:r>
        <w:rPr>
          <w:spacing w:val="-8"/>
          <w:sz w:val="22"/>
        </w:rPr>
        <w:t>seats</w:t>
      </w:r>
      <w:r>
        <w:rPr>
          <w:sz w:val="22"/>
        </w:rPr>
        <w:t> </w:t>
      </w:r>
      <w:r>
        <w:rPr>
          <w:spacing w:val="-8"/>
          <w:sz w:val="22"/>
        </w:rPr>
        <w:t>presently </w:t>
      </w:r>
      <w:r>
        <w:rPr>
          <w:sz w:val="22"/>
        </w:rPr>
        <w:t>available</w:t>
      </w:r>
      <w:r>
        <w:rPr>
          <w:spacing w:val="-14"/>
          <w:sz w:val="22"/>
        </w:rPr>
        <w:t> </w:t>
      </w:r>
      <w:r>
        <w:rPr>
          <w:sz w:val="22"/>
        </w:rPr>
        <w:t>in</w:t>
      </w:r>
      <w:r>
        <w:rPr>
          <w:spacing w:val="-13"/>
          <w:sz w:val="22"/>
        </w:rPr>
        <w:t> </w:t>
      </w:r>
      <w:r>
        <w:rPr>
          <w:sz w:val="22"/>
        </w:rPr>
        <w:t>good</w:t>
      </w:r>
      <w:r>
        <w:rPr>
          <w:spacing w:val="-14"/>
          <w:sz w:val="22"/>
        </w:rPr>
        <w:t> </w:t>
      </w:r>
      <w:r>
        <w:rPr>
          <w:sz w:val="22"/>
        </w:rPr>
        <w:t>institutes</w:t>
      </w:r>
      <w:r>
        <w:rPr>
          <w:spacing w:val="-13"/>
          <w:sz w:val="22"/>
        </w:rPr>
        <w:t> </w:t>
      </w:r>
      <w:r>
        <w:rPr>
          <w:sz w:val="22"/>
        </w:rPr>
        <w:t>for</w:t>
      </w:r>
      <w:r>
        <w:rPr>
          <w:spacing w:val="-14"/>
          <w:sz w:val="22"/>
        </w:rPr>
        <w:t> </w:t>
      </w:r>
      <w:r>
        <w:rPr>
          <w:sz w:val="22"/>
        </w:rPr>
        <w:t>bachelors</w:t>
      </w:r>
      <w:r>
        <w:rPr>
          <w:spacing w:val="-13"/>
          <w:sz w:val="22"/>
        </w:rPr>
        <w:t> </w:t>
      </w:r>
      <w:r>
        <w:rPr>
          <w:sz w:val="22"/>
        </w:rPr>
        <w:t>or</w:t>
      </w:r>
      <w:r>
        <w:rPr>
          <w:spacing w:val="-14"/>
          <w:sz w:val="22"/>
        </w:rPr>
        <w:t> </w:t>
      </w:r>
      <w:r>
        <w:rPr>
          <w:sz w:val="22"/>
        </w:rPr>
        <w:t>integrated </w:t>
      </w:r>
      <w:r>
        <w:rPr>
          <w:spacing w:val="-2"/>
          <w:sz w:val="22"/>
        </w:rPr>
        <w:t>masters</w:t>
      </w:r>
      <w:r>
        <w:rPr>
          <w:spacing w:val="-12"/>
          <w:sz w:val="22"/>
        </w:rPr>
        <w:t> </w:t>
      </w:r>
      <w:r>
        <w:rPr>
          <w:spacing w:val="-2"/>
          <w:sz w:val="22"/>
        </w:rPr>
        <w:t>in</w:t>
      </w:r>
      <w:r>
        <w:rPr>
          <w:spacing w:val="-11"/>
          <w:sz w:val="22"/>
        </w:rPr>
        <w:t> </w:t>
      </w:r>
      <w:r>
        <w:rPr>
          <w:spacing w:val="-2"/>
          <w:sz w:val="22"/>
        </w:rPr>
        <w:t>science</w:t>
      </w:r>
      <w:r>
        <w:rPr>
          <w:spacing w:val="-9"/>
          <w:sz w:val="22"/>
        </w:rPr>
        <w:t> </w:t>
      </w:r>
      <w:r>
        <w:rPr>
          <w:spacing w:val="-2"/>
          <w:sz w:val="22"/>
        </w:rPr>
        <w:t>is</w:t>
      </w:r>
      <w:r>
        <w:rPr>
          <w:spacing w:val="-10"/>
          <w:sz w:val="22"/>
        </w:rPr>
        <w:t> </w:t>
      </w:r>
      <w:r>
        <w:rPr>
          <w:spacing w:val="-2"/>
          <w:sz w:val="22"/>
        </w:rPr>
        <w:t>limited.</w:t>
      </w:r>
      <w:r>
        <w:rPr>
          <w:spacing w:val="-12"/>
          <w:sz w:val="22"/>
        </w:rPr>
        <w:t> </w:t>
      </w:r>
      <w:r>
        <w:rPr>
          <w:spacing w:val="-2"/>
          <w:sz w:val="22"/>
        </w:rPr>
        <w:t>There</w:t>
      </w:r>
      <w:r>
        <w:rPr>
          <w:spacing w:val="-9"/>
          <w:sz w:val="22"/>
        </w:rPr>
        <w:t> </w:t>
      </w:r>
      <w:r>
        <w:rPr>
          <w:spacing w:val="-2"/>
          <w:sz w:val="22"/>
        </w:rPr>
        <w:t>is</w:t>
      </w:r>
      <w:r>
        <w:rPr>
          <w:spacing w:val="-10"/>
          <w:sz w:val="22"/>
        </w:rPr>
        <w:t> </w:t>
      </w:r>
      <w:r>
        <w:rPr>
          <w:spacing w:val="-2"/>
          <w:sz w:val="22"/>
        </w:rPr>
        <w:t>a</w:t>
      </w:r>
      <w:r>
        <w:rPr>
          <w:spacing w:val="-10"/>
          <w:sz w:val="22"/>
        </w:rPr>
        <w:t> </w:t>
      </w:r>
      <w:r>
        <w:rPr>
          <w:spacing w:val="-2"/>
          <w:sz w:val="22"/>
        </w:rPr>
        <w:t>need</w:t>
      </w:r>
      <w:r>
        <w:rPr>
          <w:spacing w:val="-10"/>
          <w:sz w:val="22"/>
        </w:rPr>
        <w:t> </w:t>
      </w:r>
      <w:r>
        <w:rPr>
          <w:spacing w:val="-2"/>
          <w:sz w:val="22"/>
        </w:rPr>
        <w:t>to</w:t>
      </w:r>
      <w:r>
        <w:rPr>
          <w:spacing w:val="-10"/>
          <w:sz w:val="22"/>
        </w:rPr>
        <w:t> </w:t>
      </w:r>
      <w:r>
        <w:rPr>
          <w:spacing w:val="-2"/>
          <w:sz w:val="22"/>
        </w:rPr>
        <w:t>expand </w:t>
      </w:r>
      <w:r>
        <w:rPr>
          <w:w w:val="90"/>
          <w:sz w:val="22"/>
        </w:rPr>
        <w:t>seats</w:t>
      </w:r>
      <w:r>
        <w:rPr>
          <w:spacing w:val="-1"/>
          <w:w w:val="90"/>
          <w:sz w:val="22"/>
        </w:rPr>
        <w:t> </w:t>
      </w:r>
      <w:r>
        <w:rPr>
          <w:w w:val="90"/>
          <w:sz w:val="22"/>
        </w:rPr>
        <w:t>at</w:t>
      </w:r>
      <w:r>
        <w:rPr>
          <w:spacing w:val="-1"/>
          <w:w w:val="90"/>
          <w:sz w:val="22"/>
        </w:rPr>
        <w:t> </w:t>
      </w:r>
      <w:r>
        <w:rPr>
          <w:w w:val="90"/>
          <w:sz w:val="22"/>
        </w:rPr>
        <w:t>entry</w:t>
      </w:r>
      <w:r>
        <w:rPr>
          <w:spacing w:val="-1"/>
          <w:w w:val="90"/>
          <w:sz w:val="22"/>
        </w:rPr>
        <w:t> </w:t>
      </w:r>
      <w:r>
        <w:rPr>
          <w:w w:val="90"/>
          <w:sz w:val="22"/>
        </w:rPr>
        <w:t>level</w:t>
      </w:r>
      <w:r>
        <w:rPr>
          <w:spacing w:val="-1"/>
          <w:w w:val="90"/>
          <w:sz w:val="22"/>
        </w:rPr>
        <w:t> </w:t>
      </w:r>
      <w:r>
        <w:rPr>
          <w:w w:val="90"/>
          <w:sz w:val="22"/>
        </w:rPr>
        <w:t>in</w:t>
      </w:r>
      <w:r>
        <w:rPr>
          <w:spacing w:val="-1"/>
          <w:w w:val="90"/>
          <w:sz w:val="22"/>
        </w:rPr>
        <w:t> </w:t>
      </w:r>
      <w:r>
        <w:rPr>
          <w:w w:val="90"/>
          <w:sz w:val="22"/>
        </w:rPr>
        <w:t>science</w:t>
      </w:r>
      <w:r>
        <w:rPr>
          <w:spacing w:val="-1"/>
          <w:w w:val="90"/>
          <w:sz w:val="22"/>
        </w:rPr>
        <w:t> </w:t>
      </w:r>
      <w:r>
        <w:rPr>
          <w:w w:val="90"/>
          <w:sz w:val="22"/>
        </w:rPr>
        <w:t>disciplines</w:t>
      </w:r>
      <w:r>
        <w:rPr>
          <w:spacing w:val="-1"/>
          <w:w w:val="90"/>
          <w:sz w:val="22"/>
        </w:rPr>
        <w:t> </w:t>
      </w:r>
      <w:r>
        <w:rPr>
          <w:w w:val="90"/>
          <w:sz w:val="22"/>
        </w:rPr>
        <w:t>to</w:t>
      </w:r>
      <w:r>
        <w:rPr>
          <w:spacing w:val="-1"/>
          <w:w w:val="90"/>
          <w:sz w:val="22"/>
        </w:rPr>
        <w:t> </w:t>
      </w:r>
      <w:r>
        <w:rPr>
          <w:w w:val="90"/>
          <w:sz w:val="22"/>
        </w:rPr>
        <w:t>create</w:t>
      </w:r>
      <w:r>
        <w:rPr>
          <w:spacing w:val="-1"/>
          <w:w w:val="90"/>
          <w:sz w:val="22"/>
        </w:rPr>
        <w:t> </w:t>
      </w:r>
      <w:r>
        <w:rPr>
          <w:w w:val="90"/>
          <w:sz w:val="22"/>
        </w:rPr>
        <w:t>a</w:t>
      </w:r>
      <w:r>
        <w:rPr>
          <w:spacing w:val="-1"/>
          <w:w w:val="90"/>
          <w:sz w:val="22"/>
        </w:rPr>
        <w:t> </w:t>
      </w:r>
      <w:r>
        <w:rPr>
          <w:w w:val="90"/>
          <w:sz w:val="22"/>
        </w:rPr>
        <w:t>critical </w:t>
      </w:r>
      <w:r>
        <w:rPr>
          <w:spacing w:val="-4"/>
          <w:sz w:val="22"/>
        </w:rPr>
        <w:t>mass</w:t>
      </w:r>
      <w:r>
        <w:rPr>
          <w:spacing w:val="-8"/>
          <w:sz w:val="22"/>
        </w:rPr>
        <w:t> </w:t>
      </w:r>
      <w:r>
        <w:rPr>
          <w:spacing w:val="-4"/>
          <w:sz w:val="22"/>
        </w:rPr>
        <w:t>of</w:t>
      </w:r>
      <w:r>
        <w:rPr>
          <w:spacing w:val="-7"/>
          <w:sz w:val="22"/>
        </w:rPr>
        <w:t> </w:t>
      </w:r>
      <w:r>
        <w:rPr>
          <w:spacing w:val="-4"/>
          <w:sz w:val="22"/>
        </w:rPr>
        <w:t>scientists</w:t>
      </w:r>
      <w:r>
        <w:rPr>
          <w:spacing w:val="-8"/>
          <w:sz w:val="22"/>
        </w:rPr>
        <w:t> </w:t>
      </w:r>
      <w:r>
        <w:rPr>
          <w:spacing w:val="-4"/>
          <w:sz w:val="22"/>
        </w:rPr>
        <w:t>in</w:t>
      </w:r>
      <w:r>
        <w:rPr>
          <w:spacing w:val="-7"/>
          <w:sz w:val="22"/>
        </w:rPr>
        <w:t> </w:t>
      </w:r>
      <w:r>
        <w:rPr>
          <w:spacing w:val="-4"/>
          <w:sz w:val="22"/>
        </w:rPr>
        <w:t>each</w:t>
      </w:r>
      <w:r>
        <w:rPr>
          <w:spacing w:val="-8"/>
          <w:sz w:val="22"/>
        </w:rPr>
        <w:t> </w:t>
      </w:r>
      <w:r>
        <w:rPr>
          <w:spacing w:val="-4"/>
          <w:sz w:val="22"/>
        </w:rPr>
        <w:t>stream.</w:t>
      </w:r>
      <w:r>
        <w:rPr>
          <w:spacing w:val="-7"/>
          <w:sz w:val="22"/>
        </w:rPr>
        <w:t> </w:t>
      </w:r>
      <w:r>
        <w:rPr>
          <w:spacing w:val="-4"/>
          <w:sz w:val="22"/>
        </w:rPr>
        <w:t>Substantial</w:t>
      </w:r>
      <w:r>
        <w:rPr>
          <w:spacing w:val="-8"/>
          <w:sz w:val="22"/>
        </w:rPr>
        <w:t> </w:t>
      </w:r>
      <w:r>
        <w:rPr>
          <w:spacing w:val="-4"/>
          <w:sz w:val="22"/>
        </w:rPr>
        <w:t>expansion </w:t>
      </w:r>
      <w:r>
        <w:rPr>
          <w:spacing w:val="-2"/>
          <w:sz w:val="22"/>
        </w:rPr>
        <w:t>of</w:t>
      </w:r>
      <w:r>
        <w:rPr>
          <w:spacing w:val="-10"/>
          <w:sz w:val="22"/>
        </w:rPr>
        <w:t> </w:t>
      </w:r>
      <w:r>
        <w:rPr>
          <w:spacing w:val="-2"/>
          <w:sz w:val="22"/>
        </w:rPr>
        <w:t>capacity</w:t>
      </w:r>
      <w:r>
        <w:rPr>
          <w:spacing w:val="-10"/>
          <w:sz w:val="22"/>
        </w:rPr>
        <w:t> </w:t>
      </w:r>
      <w:r>
        <w:rPr>
          <w:spacing w:val="-2"/>
          <w:sz w:val="22"/>
        </w:rPr>
        <w:t>of</w:t>
      </w:r>
      <w:r>
        <w:rPr>
          <w:spacing w:val="-10"/>
          <w:sz w:val="22"/>
        </w:rPr>
        <w:t> </w:t>
      </w:r>
      <w:r>
        <w:rPr>
          <w:spacing w:val="-2"/>
          <w:sz w:val="22"/>
        </w:rPr>
        <w:t>bachelor’s</w:t>
      </w:r>
      <w:r>
        <w:rPr>
          <w:spacing w:val="-10"/>
          <w:sz w:val="22"/>
        </w:rPr>
        <w:t> </w:t>
      </w:r>
      <w:r>
        <w:rPr>
          <w:spacing w:val="-2"/>
          <w:sz w:val="22"/>
        </w:rPr>
        <w:t>program</w:t>
      </w:r>
      <w:r>
        <w:rPr>
          <w:spacing w:val="-10"/>
          <w:sz w:val="22"/>
        </w:rPr>
        <w:t> </w:t>
      </w:r>
      <w:r>
        <w:rPr>
          <w:spacing w:val="-2"/>
          <w:sz w:val="22"/>
        </w:rPr>
        <w:t>in</w:t>
      </w:r>
      <w:r>
        <w:rPr>
          <w:spacing w:val="-10"/>
          <w:sz w:val="22"/>
        </w:rPr>
        <w:t> </w:t>
      </w:r>
      <w:r>
        <w:rPr>
          <w:spacing w:val="-2"/>
          <w:sz w:val="22"/>
        </w:rPr>
        <w:t>all</w:t>
      </w:r>
      <w:r>
        <w:rPr>
          <w:spacing w:val="-10"/>
          <w:sz w:val="22"/>
        </w:rPr>
        <w:t> </w:t>
      </w:r>
      <w:r>
        <w:rPr>
          <w:spacing w:val="-2"/>
          <w:sz w:val="22"/>
        </w:rPr>
        <w:t>good</w:t>
      </w:r>
      <w:r>
        <w:rPr>
          <w:spacing w:val="-10"/>
          <w:sz w:val="22"/>
        </w:rPr>
        <w:t> </w:t>
      </w:r>
      <w:r>
        <w:rPr>
          <w:spacing w:val="-2"/>
          <w:sz w:val="22"/>
        </w:rPr>
        <w:t>institutes </w:t>
      </w:r>
      <w:r>
        <w:rPr>
          <w:sz w:val="22"/>
        </w:rPr>
        <w:t>is</w:t>
      </w:r>
      <w:r>
        <w:rPr>
          <w:spacing w:val="-14"/>
          <w:sz w:val="22"/>
        </w:rPr>
        <w:t> </w:t>
      </w:r>
      <w:r>
        <w:rPr>
          <w:sz w:val="22"/>
        </w:rPr>
        <w:t>required.</w:t>
      </w:r>
      <w:r>
        <w:rPr>
          <w:spacing w:val="-14"/>
          <w:sz w:val="22"/>
        </w:rPr>
        <w:t> </w:t>
      </w:r>
      <w:r>
        <w:rPr>
          <w:sz w:val="22"/>
        </w:rPr>
        <w:t>The</w:t>
      </w:r>
      <w:r>
        <w:rPr>
          <w:spacing w:val="-14"/>
          <w:sz w:val="22"/>
        </w:rPr>
        <w:t> </w:t>
      </w:r>
      <w:r>
        <w:rPr>
          <w:sz w:val="22"/>
        </w:rPr>
        <w:t>starting</w:t>
      </w:r>
      <w:r>
        <w:rPr>
          <w:spacing w:val="-13"/>
          <w:sz w:val="22"/>
        </w:rPr>
        <w:t> </w:t>
      </w:r>
      <w:r>
        <w:rPr>
          <w:sz w:val="22"/>
        </w:rPr>
        <w:t>of</w:t>
      </w:r>
      <w:r>
        <w:rPr>
          <w:spacing w:val="-14"/>
          <w:sz w:val="22"/>
        </w:rPr>
        <w:t> </w:t>
      </w:r>
      <w:r>
        <w:rPr>
          <w:sz w:val="22"/>
        </w:rPr>
        <w:t>IISERs</w:t>
      </w:r>
      <w:r>
        <w:rPr>
          <w:spacing w:val="-14"/>
          <w:sz w:val="22"/>
        </w:rPr>
        <w:t> </w:t>
      </w:r>
      <w:r>
        <w:rPr>
          <w:sz w:val="22"/>
        </w:rPr>
        <w:t>is</w:t>
      </w:r>
      <w:r>
        <w:rPr>
          <w:spacing w:val="-14"/>
          <w:sz w:val="22"/>
        </w:rPr>
        <w:t> </w:t>
      </w:r>
      <w:r>
        <w:rPr>
          <w:sz w:val="22"/>
        </w:rPr>
        <w:t>a</w:t>
      </w:r>
      <w:r>
        <w:rPr>
          <w:spacing w:val="-13"/>
          <w:sz w:val="22"/>
        </w:rPr>
        <w:t> </w:t>
      </w:r>
      <w:r>
        <w:rPr>
          <w:sz w:val="22"/>
        </w:rPr>
        <w:t>step</w:t>
      </w:r>
      <w:r>
        <w:rPr>
          <w:spacing w:val="-14"/>
          <w:sz w:val="22"/>
        </w:rPr>
        <w:t> </w:t>
      </w:r>
      <w:r>
        <w:rPr>
          <w:sz w:val="22"/>
        </w:rPr>
        <w:t>in</w:t>
      </w:r>
      <w:r>
        <w:rPr>
          <w:spacing w:val="-14"/>
          <w:sz w:val="22"/>
        </w:rPr>
        <w:t> </w:t>
      </w:r>
      <w:r>
        <w:rPr>
          <w:sz w:val="22"/>
        </w:rPr>
        <w:t>the</w:t>
      </w:r>
      <w:r>
        <w:rPr>
          <w:spacing w:val="-14"/>
          <w:sz w:val="22"/>
        </w:rPr>
        <w:t> </w:t>
      </w:r>
      <w:r>
        <w:rPr>
          <w:sz w:val="22"/>
        </w:rPr>
        <w:t>right </w:t>
      </w:r>
      <w:r>
        <w:rPr>
          <w:spacing w:val="-2"/>
          <w:sz w:val="22"/>
        </w:rPr>
        <w:t>direction</w:t>
      </w:r>
      <w:r>
        <w:rPr>
          <w:spacing w:val="-12"/>
          <w:sz w:val="22"/>
        </w:rPr>
        <w:t> </w:t>
      </w:r>
      <w:r>
        <w:rPr>
          <w:spacing w:val="-2"/>
          <w:sz w:val="22"/>
        </w:rPr>
        <w:t>and</w:t>
      </w:r>
      <w:r>
        <w:rPr>
          <w:spacing w:val="-12"/>
          <w:sz w:val="22"/>
        </w:rPr>
        <w:t> </w:t>
      </w:r>
      <w:r>
        <w:rPr>
          <w:spacing w:val="-2"/>
          <w:sz w:val="22"/>
        </w:rPr>
        <w:t>it</w:t>
      </w:r>
      <w:r>
        <w:rPr>
          <w:spacing w:val="-12"/>
          <w:sz w:val="22"/>
        </w:rPr>
        <w:t> </w:t>
      </w:r>
      <w:r>
        <w:rPr>
          <w:spacing w:val="-2"/>
          <w:sz w:val="22"/>
        </w:rPr>
        <w:t>is</w:t>
      </w:r>
      <w:r>
        <w:rPr>
          <w:spacing w:val="-11"/>
          <w:sz w:val="22"/>
        </w:rPr>
        <w:t> </w:t>
      </w:r>
      <w:r>
        <w:rPr>
          <w:spacing w:val="-2"/>
          <w:sz w:val="22"/>
        </w:rPr>
        <w:t>crucial</w:t>
      </w:r>
      <w:r>
        <w:rPr>
          <w:spacing w:val="-12"/>
          <w:sz w:val="22"/>
        </w:rPr>
        <w:t> </w:t>
      </w:r>
      <w:r>
        <w:rPr>
          <w:spacing w:val="-2"/>
          <w:sz w:val="22"/>
        </w:rPr>
        <w:t>that</w:t>
      </w:r>
      <w:r>
        <w:rPr>
          <w:spacing w:val="-12"/>
          <w:sz w:val="22"/>
        </w:rPr>
        <w:t> </w:t>
      </w:r>
      <w:r>
        <w:rPr>
          <w:spacing w:val="-2"/>
          <w:sz w:val="22"/>
        </w:rPr>
        <w:t>they</w:t>
      </w:r>
      <w:r>
        <w:rPr>
          <w:spacing w:val="-12"/>
          <w:sz w:val="22"/>
        </w:rPr>
        <w:t> </w:t>
      </w:r>
      <w:r>
        <w:rPr>
          <w:spacing w:val="-2"/>
          <w:sz w:val="22"/>
        </w:rPr>
        <w:t>succeed</w:t>
      </w:r>
      <w:r>
        <w:rPr>
          <w:spacing w:val="-11"/>
          <w:sz w:val="22"/>
        </w:rPr>
        <w:t> </w:t>
      </w:r>
      <w:r>
        <w:rPr>
          <w:spacing w:val="-2"/>
          <w:sz w:val="22"/>
        </w:rPr>
        <w:t>in</w:t>
      </w:r>
      <w:r>
        <w:rPr>
          <w:spacing w:val="-12"/>
          <w:sz w:val="22"/>
        </w:rPr>
        <w:t> </w:t>
      </w:r>
      <w:r>
        <w:rPr>
          <w:spacing w:val="-2"/>
          <w:sz w:val="22"/>
        </w:rPr>
        <w:t>setting</w:t>
      </w:r>
      <w:r>
        <w:rPr>
          <w:spacing w:val="-12"/>
          <w:sz w:val="22"/>
        </w:rPr>
        <w:t> </w:t>
      </w:r>
      <w:r>
        <w:rPr>
          <w:spacing w:val="-2"/>
          <w:sz w:val="22"/>
        </w:rPr>
        <w:t>an example.</w:t>
      </w:r>
      <w:r>
        <w:rPr>
          <w:spacing w:val="-10"/>
          <w:sz w:val="22"/>
        </w:rPr>
        <w:t> </w:t>
      </w:r>
      <w:r>
        <w:rPr>
          <w:spacing w:val="-2"/>
          <w:sz w:val="22"/>
        </w:rPr>
        <w:t>Care</w:t>
      </w:r>
      <w:r>
        <w:rPr>
          <w:spacing w:val="-10"/>
          <w:sz w:val="22"/>
        </w:rPr>
        <w:t> </w:t>
      </w:r>
      <w:r>
        <w:rPr>
          <w:spacing w:val="-2"/>
          <w:sz w:val="22"/>
        </w:rPr>
        <w:t>should</w:t>
      </w:r>
      <w:r>
        <w:rPr>
          <w:spacing w:val="-10"/>
          <w:sz w:val="22"/>
        </w:rPr>
        <w:t> </w:t>
      </w:r>
      <w:r>
        <w:rPr>
          <w:spacing w:val="-2"/>
          <w:sz w:val="22"/>
        </w:rPr>
        <w:t>be</w:t>
      </w:r>
      <w:r>
        <w:rPr>
          <w:spacing w:val="-10"/>
          <w:sz w:val="22"/>
        </w:rPr>
        <w:t> </w:t>
      </w:r>
      <w:r>
        <w:rPr>
          <w:spacing w:val="-2"/>
          <w:sz w:val="22"/>
        </w:rPr>
        <w:t>taken</w:t>
      </w:r>
      <w:r>
        <w:rPr>
          <w:spacing w:val="-10"/>
          <w:sz w:val="22"/>
        </w:rPr>
        <w:t> </w:t>
      </w:r>
      <w:r>
        <w:rPr>
          <w:spacing w:val="-2"/>
          <w:sz w:val="22"/>
        </w:rPr>
        <w:t>that</w:t>
      </w:r>
      <w:r>
        <w:rPr>
          <w:spacing w:val="-10"/>
          <w:sz w:val="22"/>
        </w:rPr>
        <w:t> </w:t>
      </w:r>
      <w:r>
        <w:rPr>
          <w:spacing w:val="-2"/>
          <w:sz w:val="22"/>
        </w:rPr>
        <w:t>while</w:t>
      </w:r>
      <w:r>
        <w:rPr>
          <w:spacing w:val="-10"/>
          <w:sz w:val="22"/>
        </w:rPr>
        <w:t> </w:t>
      </w:r>
      <w:r>
        <w:rPr>
          <w:spacing w:val="-2"/>
          <w:sz w:val="22"/>
        </w:rPr>
        <w:t>excellence</w:t>
      </w:r>
      <w:r>
        <w:rPr>
          <w:spacing w:val="-10"/>
          <w:sz w:val="22"/>
        </w:rPr>
        <w:t> </w:t>
      </w:r>
      <w:r>
        <w:rPr>
          <w:spacing w:val="-2"/>
          <w:sz w:val="22"/>
        </w:rPr>
        <w:t>is </w:t>
      </w:r>
      <w:r>
        <w:rPr>
          <w:sz w:val="22"/>
        </w:rPr>
        <w:t>cultivated</w:t>
      </w:r>
      <w:r>
        <w:rPr>
          <w:spacing w:val="-14"/>
          <w:sz w:val="22"/>
        </w:rPr>
        <w:t> </w:t>
      </w:r>
      <w:r>
        <w:rPr>
          <w:sz w:val="22"/>
        </w:rPr>
        <w:t>in</w:t>
      </w:r>
      <w:r>
        <w:rPr>
          <w:spacing w:val="-13"/>
          <w:sz w:val="22"/>
        </w:rPr>
        <w:t> </w:t>
      </w:r>
      <w:r>
        <w:rPr>
          <w:sz w:val="22"/>
        </w:rPr>
        <w:t>them,</w:t>
      </w:r>
      <w:r>
        <w:rPr>
          <w:spacing w:val="-14"/>
          <w:sz w:val="22"/>
        </w:rPr>
        <w:t> </w:t>
      </w:r>
      <w:r>
        <w:rPr>
          <w:sz w:val="22"/>
        </w:rPr>
        <w:t>it</w:t>
      </w:r>
      <w:r>
        <w:rPr>
          <w:spacing w:val="-13"/>
          <w:sz w:val="22"/>
        </w:rPr>
        <w:t> </w:t>
      </w:r>
      <w:r>
        <w:rPr>
          <w:sz w:val="22"/>
        </w:rPr>
        <w:t>should</w:t>
      </w:r>
      <w:r>
        <w:rPr>
          <w:spacing w:val="-14"/>
          <w:sz w:val="22"/>
        </w:rPr>
        <w:t> </w:t>
      </w:r>
      <w:r>
        <w:rPr>
          <w:sz w:val="22"/>
        </w:rPr>
        <w:t>not</w:t>
      </w:r>
      <w:r>
        <w:rPr>
          <w:spacing w:val="-13"/>
          <w:sz w:val="22"/>
        </w:rPr>
        <w:t> </w:t>
      </w:r>
      <w:r>
        <w:rPr>
          <w:sz w:val="22"/>
        </w:rPr>
        <w:t>lead</w:t>
      </w:r>
      <w:r>
        <w:rPr>
          <w:spacing w:val="-14"/>
          <w:sz w:val="22"/>
        </w:rPr>
        <w:t> </w:t>
      </w:r>
      <w:r>
        <w:rPr>
          <w:sz w:val="22"/>
        </w:rPr>
        <w:t>to</w:t>
      </w:r>
      <w:r>
        <w:rPr>
          <w:spacing w:val="-13"/>
          <w:sz w:val="22"/>
        </w:rPr>
        <w:t> </w:t>
      </w:r>
      <w:r>
        <w:rPr>
          <w:sz w:val="22"/>
        </w:rPr>
        <w:t>their</w:t>
      </w:r>
      <w:r>
        <w:rPr>
          <w:spacing w:val="-14"/>
          <w:sz w:val="22"/>
        </w:rPr>
        <w:t> </w:t>
      </w:r>
      <w:r>
        <w:rPr>
          <w:sz w:val="22"/>
        </w:rPr>
        <w:t>isolation.</w:t>
      </w:r>
    </w:p>
    <w:p>
      <w:pPr>
        <w:pStyle w:val="BodyText"/>
        <w:spacing w:before="19"/>
      </w:pPr>
    </w:p>
    <w:p>
      <w:pPr>
        <w:pStyle w:val="BodyText"/>
        <w:spacing w:line="266" w:lineRule="auto"/>
        <w:ind w:left="1079"/>
        <w:jc w:val="both"/>
      </w:pPr>
      <w:r>
        <w:rPr>
          <w:i/>
        </w:rPr>
        <w:t>A continuum of institutes in quality is needed. </w:t>
      </w:r>
      <w:r>
        <w:rPr/>
        <w:t>While there</w:t>
      </w:r>
      <w:r>
        <w:rPr>
          <w:spacing w:val="-7"/>
        </w:rPr>
        <w:t> </w:t>
      </w:r>
      <w:r>
        <w:rPr/>
        <w:t>are</w:t>
      </w:r>
      <w:r>
        <w:rPr>
          <w:spacing w:val="-7"/>
        </w:rPr>
        <w:t> </w:t>
      </w:r>
      <w:r>
        <w:rPr/>
        <w:t>IISERs</w:t>
      </w:r>
      <w:r>
        <w:rPr>
          <w:spacing w:val="-7"/>
        </w:rPr>
        <w:t> </w:t>
      </w:r>
      <w:r>
        <w:rPr/>
        <w:t>on</w:t>
      </w:r>
      <w:r>
        <w:rPr>
          <w:spacing w:val="-7"/>
        </w:rPr>
        <w:t> </w:t>
      </w:r>
      <w:r>
        <w:rPr/>
        <w:t>one</w:t>
      </w:r>
      <w:r>
        <w:rPr>
          <w:spacing w:val="-7"/>
        </w:rPr>
        <w:t> </w:t>
      </w:r>
      <w:r>
        <w:rPr/>
        <w:t>end,</w:t>
      </w:r>
      <w:r>
        <w:rPr>
          <w:spacing w:val="-7"/>
        </w:rPr>
        <w:t> </w:t>
      </w:r>
      <w:r>
        <w:rPr/>
        <w:t>and</w:t>
      </w:r>
      <w:r>
        <w:rPr>
          <w:spacing w:val="-7"/>
        </w:rPr>
        <w:t> </w:t>
      </w:r>
      <w:r>
        <w:rPr/>
        <w:t>government</w:t>
      </w:r>
      <w:r>
        <w:rPr>
          <w:spacing w:val="-7"/>
        </w:rPr>
        <w:t> </w:t>
      </w:r>
      <w:r>
        <w:rPr/>
        <w:t>science colleges on the other end, there is a need to start undergraduate</w:t>
      </w:r>
      <w:r>
        <w:rPr>
          <w:spacing w:val="-14"/>
        </w:rPr>
        <w:t> </w:t>
      </w:r>
      <w:r>
        <w:rPr/>
        <w:t>courses</w:t>
      </w:r>
      <w:r>
        <w:rPr>
          <w:spacing w:val="-14"/>
        </w:rPr>
        <w:t> </w:t>
      </w:r>
      <w:r>
        <w:rPr/>
        <w:t>at</w:t>
      </w:r>
      <w:r>
        <w:rPr>
          <w:spacing w:val="-14"/>
        </w:rPr>
        <w:t> </w:t>
      </w:r>
      <w:r>
        <w:rPr/>
        <w:t>universities</w:t>
      </w:r>
      <w:r>
        <w:rPr>
          <w:spacing w:val="-13"/>
        </w:rPr>
        <w:t> </w:t>
      </w:r>
      <w:r>
        <w:rPr/>
        <w:t>and</w:t>
      </w:r>
      <w:r>
        <w:rPr>
          <w:spacing w:val="-14"/>
        </w:rPr>
        <w:t> </w:t>
      </w:r>
      <w:r>
        <w:rPr/>
        <w:t>other</w:t>
      </w:r>
      <w:r>
        <w:rPr>
          <w:spacing w:val="-14"/>
        </w:rPr>
        <w:t> </w:t>
      </w:r>
      <w:r>
        <w:rPr/>
        <w:t>places which</w:t>
      </w:r>
      <w:r>
        <w:rPr>
          <w:spacing w:val="-5"/>
        </w:rPr>
        <w:t> </w:t>
      </w:r>
      <w:r>
        <w:rPr/>
        <w:t>currently</w:t>
      </w:r>
      <w:r>
        <w:rPr>
          <w:spacing w:val="-5"/>
        </w:rPr>
        <w:t> </w:t>
      </w:r>
      <w:r>
        <w:rPr/>
        <w:t>offer</w:t>
      </w:r>
      <w:r>
        <w:rPr>
          <w:spacing w:val="-5"/>
        </w:rPr>
        <w:t> </w:t>
      </w:r>
      <w:r>
        <w:rPr/>
        <w:t>only</w:t>
      </w:r>
      <w:r>
        <w:rPr>
          <w:spacing w:val="-5"/>
        </w:rPr>
        <w:t> </w:t>
      </w:r>
      <w:r>
        <w:rPr/>
        <w:t>post</w:t>
      </w:r>
      <w:r>
        <w:rPr>
          <w:spacing w:val="-5"/>
        </w:rPr>
        <w:t> </w:t>
      </w:r>
      <w:r>
        <w:rPr/>
        <w:t>graduate</w:t>
      </w:r>
      <w:r>
        <w:rPr>
          <w:spacing w:val="-5"/>
        </w:rPr>
        <w:t> </w:t>
      </w:r>
      <w:r>
        <w:rPr/>
        <w:t>education</w:t>
      </w:r>
      <w:r>
        <w:rPr>
          <w:spacing w:val="-5"/>
        </w:rPr>
        <w:t> </w:t>
      </w:r>
      <w:r>
        <w:rPr/>
        <w:t>in sciences to complete the continuum of institutes for students</w:t>
      </w:r>
      <w:r>
        <w:rPr>
          <w:spacing w:val="-12"/>
        </w:rPr>
        <w:t> </w:t>
      </w:r>
      <w:r>
        <w:rPr/>
        <w:t>with</w:t>
      </w:r>
      <w:r>
        <w:rPr>
          <w:spacing w:val="-12"/>
        </w:rPr>
        <w:t> </w:t>
      </w:r>
      <w:r>
        <w:rPr/>
        <w:t>varying</w:t>
      </w:r>
      <w:r>
        <w:rPr>
          <w:spacing w:val="-12"/>
        </w:rPr>
        <w:t> </w:t>
      </w:r>
      <w:r>
        <w:rPr/>
        <w:t>abilities.</w:t>
      </w:r>
      <w:r>
        <w:rPr>
          <w:spacing w:val="-12"/>
        </w:rPr>
        <w:t> </w:t>
      </w:r>
      <w:r>
        <w:rPr/>
        <w:t>Select</w:t>
      </w:r>
      <w:r>
        <w:rPr>
          <w:spacing w:val="-12"/>
        </w:rPr>
        <w:t> </w:t>
      </w:r>
      <w:r>
        <w:rPr/>
        <w:t>universities</w:t>
      </w:r>
      <w:r>
        <w:rPr>
          <w:spacing w:val="-12"/>
        </w:rPr>
        <w:t> </w:t>
      </w:r>
      <w:r>
        <w:rPr/>
        <w:t>can offer</w:t>
      </w:r>
      <w:r>
        <w:rPr>
          <w:spacing w:val="-3"/>
        </w:rPr>
        <w:t> </w:t>
      </w:r>
      <w:r>
        <w:rPr/>
        <w:t>Bachelor’s</w:t>
      </w:r>
      <w:r>
        <w:rPr>
          <w:spacing w:val="-3"/>
        </w:rPr>
        <w:t> </w:t>
      </w:r>
      <w:r>
        <w:rPr/>
        <w:t>honours</w:t>
      </w:r>
      <w:r>
        <w:rPr>
          <w:spacing w:val="-3"/>
        </w:rPr>
        <w:t> </w:t>
      </w:r>
      <w:r>
        <w:rPr/>
        <w:t>(four</w:t>
      </w:r>
      <w:r>
        <w:rPr>
          <w:spacing w:val="-3"/>
        </w:rPr>
        <w:t> </w:t>
      </w:r>
      <w:r>
        <w:rPr/>
        <w:t>year</w:t>
      </w:r>
      <w:r>
        <w:rPr>
          <w:spacing w:val="-3"/>
        </w:rPr>
        <w:t> </w:t>
      </w:r>
      <w:r>
        <w:rPr/>
        <w:t>course</w:t>
      </w:r>
      <w:r>
        <w:rPr>
          <w:spacing w:val="-3"/>
        </w:rPr>
        <w:t> </w:t>
      </w:r>
      <w:r>
        <w:rPr/>
        <w:t>–</w:t>
      </w:r>
      <w:r>
        <w:rPr>
          <w:spacing w:val="-3"/>
        </w:rPr>
        <w:t> </w:t>
      </w:r>
      <w:r>
        <w:rPr/>
        <w:t>detailed </w:t>
      </w:r>
      <w:r>
        <w:rPr>
          <w:spacing w:val="-2"/>
        </w:rPr>
        <w:t>later)</w:t>
      </w:r>
      <w:r>
        <w:rPr>
          <w:spacing w:val="-8"/>
        </w:rPr>
        <w:t> </w:t>
      </w:r>
      <w:r>
        <w:rPr>
          <w:spacing w:val="-2"/>
        </w:rPr>
        <w:t>with</w:t>
      </w:r>
      <w:r>
        <w:rPr>
          <w:spacing w:val="-8"/>
        </w:rPr>
        <w:t> </w:t>
      </w:r>
      <w:r>
        <w:rPr>
          <w:spacing w:val="-2"/>
        </w:rPr>
        <w:t>an</w:t>
      </w:r>
      <w:r>
        <w:rPr>
          <w:spacing w:val="-8"/>
        </w:rPr>
        <w:t> </w:t>
      </w:r>
      <w:r>
        <w:rPr>
          <w:spacing w:val="-2"/>
        </w:rPr>
        <w:t>option</w:t>
      </w:r>
      <w:r>
        <w:rPr>
          <w:spacing w:val="-8"/>
        </w:rPr>
        <w:t> </w:t>
      </w:r>
      <w:r>
        <w:rPr>
          <w:spacing w:val="-2"/>
        </w:rPr>
        <w:t>to</w:t>
      </w:r>
      <w:r>
        <w:rPr>
          <w:spacing w:val="-8"/>
        </w:rPr>
        <w:t> </w:t>
      </w:r>
      <w:r>
        <w:rPr>
          <w:spacing w:val="-2"/>
        </w:rPr>
        <w:t>directly</w:t>
      </w:r>
      <w:r>
        <w:rPr>
          <w:spacing w:val="-8"/>
        </w:rPr>
        <w:t> </w:t>
      </w:r>
      <w:r>
        <w:rPr>
          <w:spacing w:val="-2"/>
        </w:rPr>
        <w:t>move</w:t>
      </w:r>
      <w:r>
        <w:rPr>
          <w:spacing w:val="-8"/>
        </w:rPr>
        <w:t> </w:t>
      </w:r>
      <w:r>
        <w:rPr>
          <w:spacing w:val="-2"/>
        </w:rPr>
        <w:t>to</w:t>
      </w:r>
      <w:r>
        <w:rPr>
          <w:spacing w:val="-8"/>
        </w:rPr>
        <w:t> </w:t>
      </w:r>
      <w:r>
        <w:rPr>
          <w:spacing w:val="-2"/>
        </w:rPr>
        <w:t>Ph.D</w:t>
      </w:r>
      <w:r>
        <w:rPr>
          <w:spacing w:val="-8"/>
        </w:rPr>
        <w:t> </w:t>
      </w:r>
      <w:r>
        <w:rPr>
          <w:spacing w:val="-2"/>
        </w:rPr>
        <w:t>program </w:t>
      </w:r>
      <w:r>
        <w:rPr/>
        <w:t>after successful completion of honours.</w:t>
      </w:r>
    </w:p>
    <w:p>
      <w:pPr>
        <w:pStyle w:val="BodyText"/>
        <w:spacing w:before="19"/>
      </w:pPr>
    </w:p>
    <w:p>
      <w:pPr>
        <w:pStyle w:val="BodyText"/>
        <w:spacing w:line="266" w:lineRule="auto"/>
        <w:ind w:left="1080"/>
        <w:jc w:val="both"/>
      </w:pPr>
      <w:r>
        <w:rPr/>
        <w:t>Independent</w:t>
      </w:r>
      <w:r>
        <w:rPr>
          <w:spacing w:val="-12"/>
        </w:rPr>
        <w:t> </w:t>
      </w:r>
      <w:r>
        <w:rPr/>
        <w:t>but</w:t>
      </w:r>
      <w:r>
        <w:rPr>
          <w:spacing w:val="-12"/>
        </w:rPr>
        <w:t> </w:t>
      </w:r>
      <w:r>
        <w:rPr/>
        <w:t>standardised</w:t>
      </w:r>
      <w:r>
        <w:rPr>
          <w:spacing w:val="-12"/>
        </w:rPr>
        <w:t> </w:t>
      </w:r>
      <w:r>
        <w:rPr/>
        <w:t>accreditation</w:t>
      </w:r>
      <w:r>
        <w:rPr>
          <w:spacing w:val="-12"/>
        </w:rPr>
        <w:t> </w:t>
      </w:r>
      <w:r>
        <w:rPr/>
        <w:t>of</w:t>
      </w:r>
      <w:r>
        <w:rPr>
          <w:spacing w:val="-12"/>
        </w:rPr>
        <w:t> </w:t>
      </w:r>
      <w:r>
        <w:rPr/>
        <w:t>science departments and regular evaluation of accredited institutions is necessary. Accreditation agencies should be sufficiently supported to carry out regular </w:t>
      </w:r>
      <w:r>
        <w:rPr>
          <w:spacing w:val="-2"/>
        </w:rPr>
        <w:t>evaluations.</w:t>
      </w:r>
      <w:r>
        <w:rPr>
          <w:spacing w:val="-10"/>
        </w:rPr>
        <w:t> </w:t>
      </w:r>
      <w:r>
        <w:rPr>
          <w:spacing w:val="-2"/>
        </w:rPr>
        <w:t>This</w:t>
      </w:r>
      <w:r>
        <w:rPr>
          <w:spacing w:val="-3"/>
        </w:rPr>
        <w:t> </w:t>
      </w:r>
      <w:r>
        <w:rPr>
          <w:spacing w:val="-2"/>
        </w:rPr>
        <w:t>rating</w:t>
      </w:r>
      <w:r>
        <w:rPr>
          <w:spacing w:val="-3"/>
        </w:rPr>
        <w:t> </w:t>
      </w:r>
      <w:r>
        <w:rPr>
          <w:spacing w:val="-2"/>
        </w:rPr>
        <w:t>information</w:t>
      </w:r>
      <w:r>
        <w:rPr>
          <w:spacing w:val="-3"/>
        </w:rPr>
        <w:t> </w:t>
      </w:r>
      <w:r>
        <w:rPr>
          <w:spacing w:val="-2"/>
        </w:rPr>
        <w:t>will</w:t>
      </w:r>
      <w:r>
        <w:rPr>
          <w:spacing w:val="-3"/>
        </w:rPr>
        <w:t> </w:t>
      </w:r>
      <w:r>
        <w:rPr>
          <w:spacing w:val="-2"/>
        </w:rPr>
        <w:t>help</w:t>
      </w:r>
      <w:r>
        <w:rPr>
          <w:spacing w:val="-3"/>
        </w:rPr>
        <w:t> </w:t>
      </w:r>
      <w:r>
        <w:rPr>
          <w:spacing w:val="-2"/>
        </w:rPr>
        <w:t>students </w:t>
      </w:r>
      <w:r>
        <w:rPr>
          <w:spacing w:val="-4"/>
        </w:rPr>
        <w:t>to</w:t>
      </w:r>
      <w:r>
        <w:rPr>
          <w:spacing w:val="-12"/>
        </w:rPr>
        <w:t> </w:t>
      </w:r>
      <w:r>
        <w:rPr>
          <w:spacing w:val="-4"/>
        </w:rPr>
        <w:t>take</w:t>
      </w:r>
      <w:r>
        <w:rPr>
          <w:spacing w:val="-10"/>
        </w:rPr>
        <w:t> </w:t>
      </w:r>
      <w:r>
        <w:rPr>
          <w:spacing w:val="-4"/>
        </w:rPr>
        <w:t>informed</w:t>
      </w:r>
      <w:r>
        <w:rPr>
          <w:spacing w:val="-10"/>
        </w:rPr>
        <w:t> </w:t>
      </w:r>
      <w:r>
        <w:rPr>
          <w:spacing w:val="-4"/>
        </w:rPr>
        <w:t>decisions</w:t>
      </w:r>
      <w:r>
        <w:rPr>
          <w:spacing w:val="-9"/>
        </w:rPr>
        <w:t> </w:t>
      </w:r>
      <w:r>
        <w:rPr>
          <w:spacing w:val="-4"/>
        </w:rPr>
        <w:t>when</w:t>
      </w:r>
      <w:r>
        <w:rPr>
          <w:spacing w:val="-10"/>
        </w:rPr>
        <w:t> </w:t>
      </w:r>
      <w:r>
        <w:rPr>
          <w:spacing w:val="-4"/>
        </w:rPr>
        <w:t>they</w:t>
      </w:r>
      <w:r>
        <w:rPr>
          <w:spacing w:val="-10"/>
        </w:rPr>
        <w:t> </w:t>
      </w:r>
      <w:r>
        <w:rPr>
          <w:spacing w:val="-4"/>
        </w:rPr>
        <w:t>choose</w:t>
      </w:r>
      <w:r>
        <w:rPr>
          <w:spacing w:val="-10"/>
        </w:rPr>
        <w:t> </w:t>
      </w:r>
      <w:r>
        <w:rPr>
          <w:spacing w:val="-4"/>
        </w:rPr>
        <w:t>their</w:t>
      </w:r>
      <w:r>
        <w:rPr>
          <w:spacing w:val="-9"/>
        </w:rPr>
        <w:t> </w:t>
      </w:r>
      <w:r>
        <w:rPr>
          <w:spacing w:val="-4"/>
        </w:rPr>
        <w:t>place </w:t>
      </w:r>
      <w:r>
        <w:rPr/>
        <w:t>of</w:t>
      </w:r>
      <w:r>
        <w:rPr>
          <w:spacing w:val="-1"/>
        </w:rPr>
        <w:t> </w:t>
      </w:r>
      <w:r>
        <w:rPr/>
        <w:t>study.</w:t>
      </w:r>
      <w:r>
        <w:rPr>
          <w:spacing w:val="-8"/>
        </w:rPr>
        <w:t> </w:t>
      </w:r>
      <w:r>
        <w:rPr/>
        <w:t>This</w:t>
      </w:r>
      <w:r>
        <w:rPr>
          <w:spacing w:val="-1"/>
        </w:rPr>
        <w:t> </w:t>
      </w:r>
      <w:r>
        <w:rPr/>
        <w:t>will</w:t>
      </w:r>
      <w:r>
        <w:rPr>
          <w:spacing w:val="-1"/>
        </w:rPr>
        <w:t> </w:t>
      </w:r>
      <w:r>
        <w:rPr/>
        <w:t>also</w:t>
      </w:r>
      <w:r>
        <w:rPr>
          <w:spacing w:val="-1"/>
        </w:rPr>
        <w:t> </w:t>
      </w:r>
      <w:r>
        <w:rPr/>
        <w:t>serve</w:t>
      </w:r>
      <w:r>
        <w:rPr>
          <w:spacing w:val="-1"/>
        </w:rPr>
        <w:t> </w:t>
      </w:r>
      <w:r>
        <w:rPr/>
        <w:t>to</w:t>
      </w:r>
      <w:r>
        <w:rPr>
          <w:spacing w:val="-1"/>
        </w:rPr>
        <w:t> </w:t>
      </w:r>
      <w:r>
        <w:rPr/>
        <w:t>direct</w:t>
      </w:r>
      <w:r>
        <w:rPr>
          <w:spacing w:val="-1"/>
        </w:rPr>
        <w:t> </w:t>
      </w:r>
      <w:r>
        <w:rPr/>
        <w:t>public</w:t>
      </w:r>
      <w:r>
        <w:rPr>
          <w:spacing w:val="-1"/>
        </w:rPr>
        <w:t> </w:t>
      </w:r>
      <w:r>
        <w:rPr/>
        <w:t>funding where it is most optimally utilised.</w:t>
      </w:r>
    </w:p>
    <w:p>
      <w:pPr>
        <w:pStyle w:val="BodyText"/>
        <w:spacing w:before="20"/>
      </w:pPr>
    </w:p>
    <w:p>
      <w:pPr>
        <w:pStyle w:val="BodyText"/>
        <w:spacing w:line="266" w:lineRule="auto" w:before="1"/>
        <w:ind w:left="1080"/>
        <w:jc w:val="both"/>
      </w:pPr>
      <w:r>
        <w:rPr>
          <w:spacing w:val="-8"/>
        </w:rPr>
        <w:t>University</w:t>
      </w:r>
      <w:r>
        <w:rPr/>
        <w:t> </w:t>
      </w:r>
      <w:r>
        <w:rPr>
          <w:spacing w:val="-8"/>
        </w:rPr>
        <w:t>departments</w:t>
      </w:r>
      <w:r>
        <w:rPr/>
        <w:t> </w:t>
      </w:r>
      <w:r>
        <w:rPr>
          <w:spacing w:val="-8"/>
        </w:rPr>
        <w:t>should</w:t>
      </w:r>
      <w:r>
        <w:rPr/>
        <w:t> </w:t>
      </w:r>
      <w:r>
        <w:rPr>
          <w:spacing w:val="-8"/>
        </w:rPr>
        <w:t>be</w:t>
      </w:r>
      <w:r>
        <w:rPr/>
        <w:t> </w:t>
      </w:r>
      <w:r>
        <w:rPr>
          <w:spacing w:val="-8"/>
        </w:rPr>
        <w:t>generously</w:t>
      </w:r>
      <w:r>
        <w:rPr/>
        <w:t> </w:t>
      </w:r>
      <w:r>
        <w:rPr>
          <w:spacing w:val="-8"/>
        </w:rPr>
        <w:t>funded</w:t>
      </w:r>
      <w:r>
        <w:rPr/>
        <w:t> </w:t>
      </w:r>
      <w:r>
        <w:rPr>
          <w:spacing w:val="-8"/>
        </w:rPr>
        <w:t>and </w:t>
      </w:r>
      <w:r>
        <w:rPr>
          <w:spacing w:val="-2"/>
        </w:rPr>
        <w:t>upgraded</w:t>
      </w:r>
      <w:r>
        <w:rPr>
          <w:spacing w:val="-12"/>
        </w:rPr>
        <w:t> </w:t>
      </w:r>
      <w:r>
        <w:rPr>
          <w:spacing w:val="-2"/>
        </w:rPr>
        <w:t>with</w:t>
      </w:r>
      <w:r>
        <w:rPr>
          <w:spacing w:val="-10"/>
        </w:rPr>
        <w:t> </w:t>
      </w:r>
      <w:r>
        <w:rPr>
          <w:spacing w:val="-2"/>
        </w:rPr>
        <w:t>staff</w:t>
      </w:r>
      <w:r>
        <w:rPr>
          <w:spacing w:val="-9"/>
        </w:rPr>
        <w:t> </w:t>
      </w:r>
      <w:r>
        <w:rPr>
          <w:spacing w:val="-2"/>
        </w:rPr>
        <w:t>and</w:t>
      </w:r>
      <w:r>
        <w:rPr>
          <w:spacing w:val="-9"/>
        </w:rPr>
        <w:t> </w:t>
      </w:r>
      <w:r>
        <w:rPr>
          <w:spacing w:val="-2"/>
        </w:rPr>
        <w:t>facilities.</w:t>
      </w:r>
      <w:r>
        <w:rPr>
          <w:spacing w:val="-12"/>
        </w:rPr>
        <w:t> </w:t>
      </w:r>
      <w:r>
        <w:rPr>
          <w:spacing w:val="-2"/>
        </w:rPr>
        <w:t>To</w:t>
      </w:r>
      <w:r>
        <w:rPr>
          <w:spacing w:val="-9"/>
        </w:rPr>
        <w:t> </w:t>
      </w:r>
      <w:r>
        <w:rPr>
          <w:spacing w:val="-2"/>
        </w:rPr>
        <w:t>begin</w:t>
      </w:r>
      <w:r>
        <w:rPr>
          <w:spacing w:val="-9"/>
        </w:rPr>
        <w:t> </w:t>
      </w:r>
      <w:r>
        <w:rPr>
          <w:spacing w:val="-2"/>
        </w:rPr>
        <w:t>with,</w:t>
      </w:r>
      <w:r>
        <w:rPr>
          <w:spacing w:val="-9"/>
        </w:rPr>
        <w:t> </w:t>
      </w:r>
      <w:r>
        <w:rPr>
          <w:spacing w:val="-2"/>
        </w:rPr>
        <w:t>a</w:t>
      </w:r>
      <w:r>
        <w:rPr>
          <w:spacing w:val="-9"/>
        </w:rPr>
        <w:t> </w:t>
      </w:r>
      <w:r>
        <w:rPr>
          <w:spacing w:val="-2"/>
        </w:rPr>
        <w:t>few </w:t>
      </w:r>
      <w:r>
        <w:rPr>
          <w:spacing w:val="-6"/>
        </w:rPr>
        <w:t>departments</w:t>
      </w:r>
      <w:r>
        <w:rPr>
          <w:spacing w:val="-8"/>
        </w:rPr>
        <w:t> </w:t>
      </w:r>
      <w:r>
        <w:rPr>
          <w:spacing w:val="-6"/>
        </w:rPr>
        <w:t>could</w:t>
      </w:r>
      <w:r>
        <w:rPr>
          <w:spacing w:val="-8"/>
        </w:rPr>
        <w:t> </w:t>
      </w:r>
      <w:r>
        <w:rPr>
          <w:spacing w:val="-6"/>
        </w:rPr>
        <w:t>be</w:t>
      </w:r>
      <w:r>
        <w:rPr>
          <w:spacing w:val="-8"/>
        </w:rPr>
        <w:t> </w:t>
      </w:r>
      <w:r>
        <w:rPr>
          <w:spacing w:val="-6"/>
        </w:rPr>
        <w:t>identified,</w:t>
      </w:r>
      <w:r>
        <w:rPr>
          <w:spacing w:val="-7"/>
        </w:rPr>
        <w:t> </w:t>
      </w:r>
      <w:r>
        <w:rPr>
          <w:spacing w:val="-6"/>
        </w:rPr>
        <w:t>a</w:t>
      </w:r>
      <w:r>
        <w:rPr>
          <w:spacing w:val="-8"/>
        </w:rPr>
        <w:t> </w:t>
      </w:r>
      <w:r>
        <w:rPr>
          <w:spacing w:val="-6"/>
        </w:rPr>
        <w:t>plan</w:t>
      </w:r>
      <w:r>
        <w:rPr>
          <w:spacing w:val="-8"/>
        </w:rPr>
        <w:t> </w:t>
      </w:r>
      <w:r>
        <w:rPr>
          <w:spacing w:val="-6"/>
        </w:rPr>
        <w:t>prepared</w:t>
      </w:r>
      <w:r>
        <w:rPr>
          <w:spacing w:val="-8"/>
        </w:rPr>
        <w:t> </w:t>
      </w:r>
      <w:r>
        <w:rPr>
          <w:spacing w:val="-6"/>
        </w:rPr>
        <w:t>for</w:t>
      </w:r>
      <w:r>
        <w:rPr>
          <w:spacing w:val="-7"/>
        </w:rPr>
        <w:t> </w:t>
      </w:r>
      <w:r>
        <w:rPr>
          <w:spacing w:val="-6"/>
        </w:rPr>
        <w:t>their </w:t>
      </w:r>
      <w:r>
        <w:rPr/>
        <w:t>conversion</w:t>
      </w:r>
      <w:r>
        <w:rPr>
          <w:spacing w:val="-14"/>
        </w:rPr>
        <w:t> </w:t>
      </w:r>
      <w:r>
        <w:rPr/>
        <w:t>to</w:t>
      </w:r>
      <w:r>
        <w:rPr>
          <w:spacing w:val="-14"/>
        </w:rPr>
        <w:t> </w:t>
      </w:r>
      <w:r>
        <w:rPr/>
        <w:t>centres</w:t>
      </w:r>
      <w:r>
        <w:rPr>
          <w:spacing w:val="-14"/>
        </w:rPr>
        <w:t> </w:t>
      </w:r>
      <w:r>
        <w:rPr/>
        <w:t>of</w:t>
      </w:r>
      <w:r>
        <w:rPr>
          <w:spacing w:val="-13"/>
        </w:rPr>
        <w:t> </w:t>
      </w:r>
      <w:r>
        <w:rPr/>
        <w:t>excellence</w:t>
      </w:r>
      <w:r>
        <w:rPr>
          <w:spacing w:val="-14"/>
        </w:rPr>
        <w:t> </w:t>
      </w:r>
      <w:r>
        <w:rPr/>
        <w:t>and</w:t>
      </w:r>
      <w:r>
        <w:rPr>
          <w:spacing w:val="-14"/>
        </w:rPr>
        <w:t> </w:t>
      </w:r>
      <w:r>
        <w:rPr/>
        <w:t>then</w:t>
      </w:r>
      <w:r>
        <w:rPr>
          <w:spacing w:val="-14"/>
        </w:rPr>
        <w:t> </w:t>
      </w:r>
      <w:r>
        <w:rPr/>
        <w:t>continual monitoring</w:t>
      </w:r>
      <w:r>
        <w:rPr>
          <w:spacing w:val="-3"/>
        </w:rPr>
        <w:t> </w:t>
      </w:r>
      <w:r>
        <w:rPr/>
        <w:t>of</w:t>
      </w:r>
      <w:r>
        <w:rPr>
          <w:spacing w:val="-3"/>
        </w:rPr>
        <w:t> </w:t>
      </w:r>
      <w:r>
        <w:rPr/>
        <w:t>the</w:t>
      </w:r>
      <w:r>
        <w:rPr>
          <w:spacing w:val="-3"/>
        </w:rPr>
        <w:t> </w:t>
      </w:r>
      <w:r>
        <w:rPr/>
        <w:t>progress</w:t>
      </w:r>
      <w:r>
        <w:rPr>
          <w:spacing w:val="-3"/>
        </w:rPr>
        <w:t> </w:t>
      </w:r>
      <w:r>
        <w:rPr/>
        <w:t>could</w:t>
      </w:r>
      <w:r>
        <w:rPr>
          <w:spacing w:val="-3"/>
        </w:rPr>
        <w:t> </w:t>
      </w:r>
      <w:r>
        <w:rPr/>
        <w:t>be</w:t>
      </w:r>
      <w:r>
        <w:rPr>
          <w:spacing w:val="-3"/>
        </w:rPr>
        <w:t> </w:t>
      </w:r>
      <w:r>
        <w:rPr/>
        <w:t>undertaken.</w:t>
      </w:r>
      <w:r>
        <w:rPr>
          <w:spacing w:val="-10"/>
        </w:rPr>
        <w:t> </w:t>
      </w:r>
      <w:r>
        <w:rPr/>
        <w:t>This </w:t>
      </w:r>
      <w:r>
        <w:rPr>
          <w:spacing w:val="-2"/>
        </w:rPr>
        <w:t>task</w:t>
      </w:r>
      <w:r>
        <w:rPr>
          <w:spacing w:val="-11"/>
        </w:rPr>
        <w:t> </w:t>
      </w:r>
      <w:r>
        <w:rPr>
          <w:spacing w:val="-2"/>
        </w:rPr>
        <w:t>can</w:t>
      </w:r>
      <w:r>
        <w:rPr>
          <w:spacing w:val="-11"/>
        </w:rPr>
        <w:t> </w:t>
      </w:r>
      <w:r>
        <w:rPr>
          <w:spacing w:val="-2"/>
        </w:rPr>
        <w:t>be</w:t>
      </w:r>
      <w:r>
        <w:rPr>
          <w:spacing w:val="-11"/>
        </w:rPr>
        <w:t> </w:t>
      </w:r>
      <w:r>
        <w:rPr>
          <w:spacing w:val="-2"/>
        </w:rPr>
        <w:t>accomplished</w:t>
      </w:r>
      <w:r>
        <w:rPr>
          <w:spacing w:val="-11"/>
        </w:rPr>
        <w:t> </w:t>
      </w:r>
      <w:r>
        <w:rPr>
          <w:spacing w:val="-2"/>
        </w:rPr>
        <w:t>by</w:t>
      </w:r>
      <w:r>
        <w:rPr>
          <w:spacing w:val="-11"/>
        </w:rPr>
        <w:t> </w:t>
      </w:r>
      <w:r>
        <w:rPr>
          <w:spacing w:val="-2"/>
        </w:rPr>
        <w:t>either</w:t>
      </w:r>
      <w:r>
        <w:rPr>
          <w:spacing w:val="-11"/>
        </w:rPr>
        <w:t> </w:t>
      </w:r>
      <w:r>
        <w:rPr>
          <w:spacing w:val="-2"/>
        </w:rPr>
        <w:t>UGC</w:t>
      </w:r>
      <w:r>
        <w:rPr>
          <w:spacing w:val="-11"/>
        </w:rPr>
        <w:t> </w:t>
      </w:r>
      <w:r>
        <w:rPr>
          <w:spacing w:val="-2"/>
        </w:rPr>
        <w:t>or</w:t>
      </w:r>
      <w:r>
        <w:rPr>
          <w:spacing w:val="-11"/>
        </w:rPr>
        <w:t> </w:t>
      </w:r>
      <w:r>
        <w:rPr>
          <w:spacing w:val="-2"/>
        </w:rPr>
        <w:t>directly</w:t>
      </w:r>
      <w:r>
        <w:rPr>
          <w:spacing w:val="-11"/>
        </w:rPr>
        <w:t> </w:t>
      </w:r>
      <w:r>
        <w:rPr>
          <w:spacing w:val="-2"/>
        </w:rPr>
        <w:t>by </w:t>
      </w:r>
      <w:r>
        <w:rPr>
          <w:spacing w:val="-6"/>
        </w:rPr>
        <w:t>MHRD. Leading undergraduate science colleges should </w:t>
      </w:r>
      <w:r>
        <w:rPr/>
        <w:t>be chosen to provide them with additional assistance and turn them into centres of excellence. Clusters of </w:t>
      </w:r>
      <w:r>
        <w:rPr>
          <w:w w:val="90"/>
        </w:rPr>
        <w:t>undergraduate colleges should make a </w:t>
      </w:r>
      <w:r>
        <w:rPr>
          <w:i/>
          <w:w w:val="90"/>
        </w:rPr>
        <w:t>centralised request </w:t>
      </w:r>
      <w:r>
        <w:rPr/>
        <w:t>through university for comprehensive funding.</w:t>
      </w:r>
    </w:p>
    <w:p>
      <w:pPr>
        <w:pStyle w:val="BodyText"/>
        <w:spacing w:before="17"/>
      </w:pPr>
    </w:p>
    <w:p>
      <w:pPr>
        <w:pStyle w:val="BodyText"/>
        <w:spacing w:line="266" w:lineRule="auto" w:before="1"/>
        <w:ind w:left="1080"/>
        <w:jc w:val="both"/>
      </w:pPr>
      <w:r>
        <w:rPr/>
        <w:t>UGC has a provision to provide grants to </w:t>
      </w:r>
      <w:r>
        <w:rPr/>
        <w:t>the universities for providing financial support to the faculty</w:t>
      </w:r>
      <w:r>
        <w:rPr>
          <w:spacing w:val="-5"/>
        </w:rPr>
        <w:t> </w:t>
      </w:r>
      <w:r>
        <w:rPr/>
        <w:t>for</w:t>
      </w:r>
      <w:r>
        <w:rPr>
          <w:spacing w:val="-4"/>
        </w:rPr>
        <w:t> </w:t>
      </w:r>
      <w:r>
        <w:rPr/>
        <w:t>travel</w:t>
      </w:r>
      <w:r>
        <w:rPr>
          <w:spacing w:val="-5"/>
        </w:rPr>
        <w:t> </w:t>
      </w:r>
      <w:r>
        <w:rPr/>
        <w:t>or</w:t>
      </w:r>
      <w:r>
        <w:rPr>
          <w:spacing w:val="-4"/>
        </w:rPr>
        <w:t> </w:t>
      </w:r>
      <w:r>
        <w:rPr/>
        <w:t>to</w:t>
      </w:r>
      <w:r>
        <w:rPr>
          <w:spacing w:val="-4"/>
        </w:rPr>
        <w:t> </w:t>
      </w:r>
      <w:r>
        <w:rPr/>
        <w:t>organise</w:t>
      </w:r>
      <w:r>
        <w:rPr>
          <w:spacing w:val="-5"/>
        </w:rPr>
        <w:t> </w:t>
      </w:r>
      <w:r>
        <w:rPr/>
        <w:t>seminars.</w:t>
      </w:r>
      <w:r>
        <w:rPr>
          <w:spacing w:val="-11"/>
        </w:rPr>
        <w:t> </w:t>
      </w:r>
      <w:r>
        <w:rPr/>
        <w:t>This</w:t>
      </w:r>
      <w:r>
        <w:rPr>
          <w:spacing w:val="-4"/>
        </w:rPr>
        <w:t> </w:t>
      </w:r>
      <w:r>
        <w:rPr>
          <w:spacing w:val="-2"/>
        </w:rPr>
        <w:t>should</w:t>
      </w:r>
    </w:p>
    <w:p>
      <w:pPr>
        <w:pStyle w:val="BodyText"/>
        <w:spacing w:line="266" w:lineRule="auto" w:before="57"/>
        <w:ind w:left="319" w:right="1078"/>
        <w:jc w:val="both"/>
      </w:pPr>
      <w:r>
        <w:rPr/>
        <w:br w:type="column"/>
      </w:r>
      <w:r>
        <w:rPr/>
        <w:t>be</w:t>
      </w:r>
      <w:r>
        <w:rPr>
          <w:spacing w:val="-8"/>
        </w:rPr>
        <w:t> </w:t>
      </w:r>
      <w:r>
        <w:rPr/>
        <w:t>extended</w:t>
      </w:r>
      <w:r>
        <w:rPr>
          <w:spacing w:val="-8"/>
        </w:rPr>
        <w:t> </w:t>
      </w:r>
      <w:r>
        <w:rPr/>
        <w:t>to</w:t>
      </w:r>
      <w:r>
        <w:rPr>
          <w:spacing w:val="-8"/>
        </w:rPr>
        <w:t> </w:t>
      </w:r>
      <w:r>
        <w:rPr/>
        <w:t>colleges</w:t>
      </w:r>
      <w:r>
        <w:rPr>
          <w:spacing w:val="-8"/>
        </w:rPr>
        <w:t> </w:t>
      </w:r>
      <w:r>
        <w:rPr/>
        <w:t>with</w:t>
      </w:r>
      <w:r>
        <w:rPr>
          <w:spacing w:val="-8"/>
        </w:rPr>
        <w:t> </w:t>
      </w:r>
      <w:r>
        <w:rPr/>
        <w:t>a</w:t>
      </w:r>
      <w:r>
        <w:rPr>
          <w:spacing w:val="-8"/>
        </w:rPr>
        <w:t> </w:t>
      </w:r>
      <w:r>
        <w:rPr/>
        <w:t>proven</w:t>
      </w:r>
      <w:r>
        <w:rPr>
          <w:spacing w:val="-8"/>
        </w:rPr>
        <w:t> </w:t>
      </w:r>
      <w:r>
        <w:rPr/>
        <w:t>track</w:t>
      </w:r>
      <w:r>
        <w:rPr>
          <w:spacing w:val="-8"/>
        </w:rPr>
        <w:t> </w:t>
      </w:r>
      <w:r>
        <w:rPr/>
        <w:t>record.</w:t>
      </w:r>
      <w:r>
        <w:rPr>
          <w:spacing w:val="-8"/>
        </w:rPr>
        <w:t> </w:t>
      </w:r>
      <w:r>
        <w:rPr/>
        <w:t>In fact,</w:t>
      </w:r>
      <w:r>
        <w:rPr>
          <w:spacing w:val="-14"/>
        </w:rPr>
        <w:t> </w:t>
      </w:r>
      <w:r>
        <w:rPr/>
        <w:t>a</w:t>
      </w:r>
      <w:r>
        <w:rPr>
          <w:spacing w:val="-14"/>
        </w:rPr>
        <w:t> </w:t>
      </w:r>
      <w:r>
        <w:rPr/>
        <w:t>comprehensive</w:t>
      </w:r>
      <w:r>
        <w:rPr>
          <w:spacing w:val="-14"/>
        </w:rPr>
        <w:t> </w:t>
      </w:r>
      <w:r>
        <w:rPr/>
        <w:t>funding</w:t>
      </w:r>
      <w:r>
        <w:rPr>
          <w:spacing w:val="-13"/>
        </w:rPr>
        <w:t> </w:t>
      </w:r>
      <w:r>
        <w:rPr/>
        <w:t>mechanism</w:t>
      </w:r>
      <w:r>
        <w:rPr>
          <w:spacing w:val="-14"/>
        </w:rPr>
        <w:t> </w:t>
      </w:r>
      <w:r>
        <w:rPr/>
        <w:t>needs</w:t>
      </w:r>
      <w:r>
        <w:rPr>
          <w:spacing w:val="-14"/>
        </w:rPr>
        <w:t> </w:t>
      </w:r>
      <w:r>
        <w:rPr/>
        <w:t>to</w:t>
      </w:r>
      <w:r>
        <w:rPr>
          <w:spacing w:val="-14"/>
        </w:rPr>
        <w:t> </w:t>
      </w:r>
      <w:r>
        <w:rPr/>
        <w:t>be </w:t>
      </w:r>
      <w:r>
        <w:rPr>
          <w:spacing w:val="-4"/>
        </w:rPr>
        <w:t>in</w:t>
      </w:r>
      <w:r>
        <w:rPr>
          <w:spacing w:val="-10"/>
        </w:rPr>
        <w:t> </w:t>
      </w:r>
      <w:r>
        <w:rPr>
          <w:spacing w:val="-4"/>
        </w:rPr>
        <w:t>place</w:t>
      </w:r>
      <w:r>
        <w:rPr>
          <w:spacing w:val="-10"/>
        </w:rPr>
        <w:t> </w:t>
      </w:r>
      <w:r>
        <w:rPr>
          <w:spacing w:val="-4"/>
        </w:rPr>
        <w:t>which</w:t>
      </w:r>
      <w:r>
        <w:rPr>
          <w:spacing w:val="-10"/>
        </w:rPr>
        <w:t> </w:t>
      </w:r>
      <w:r>
        <w:rPr>
          <w:spacing w:val="-4"/>
        </w:rPr>
        <w:t>will</w:t>
      </w:r>
      <w:r>
        <w:rPr>
          <w:spacing w:val="-9"/>
        </w:rPr>
        <w:t> </w:t>
      </w:r>
      <w:r>
        <w:rPr>
          <w:spacing w:val="-4"/>
        </w:rPr>
        <w:t>cover</w:t>
      </w:r>
      <w:r>
        <w:rPr>
          <w:spacing w:val="-10"/>
        </w:rPr>
        <w:t> </w:t>
      </w:r>
      <w:r>
        <w:rPr>
          <w:spacing w:val="-4"/>
        </w:rPr>
        <w:t>capital</w:t>
      </w:r>
      <w:r>
        <w:rPr>
          <w:spacing w:val="-10"/>
        </w:rPr>
        <w:t> </w:t>
      </w:r>
      <w:r>
        <w:rPr>
          <w:spacing w:val="-4"/>
        </w:rPr>
        <w:t>as</w:t>
      </w:r>
      <w:r>
        <w:rPr>
          <w:spacing w:val="-10"/>
        </w:rPr>
        <w:t> </w:t>
      </w:r>
      <w:r>
        <w:rPr>
          <w:spacing w:val="-4"/>
        </w:rPr>
        <w:t>well</w:t>
      </w:r>
      <w:r>
        <w:rPr>
          <w:spacing w:val="-9"/>
        </w:rPr>
        <w:t> </w:t>
      </w:r>
      <w:r>
        <w:rPr>
          <w:spacing w:val="-4"/>
        </w:rPr>
        <w:t>as</w:t>
      </w:r>
      <w:r>
        <w:rPr>
          <w:spacing w:val="-10"/>
        </w:rPr>
        <w:t> </w:t>
      </w:r>
      <w:r>
        <w:rPr>
          <w:spacing w:val="-4"/>
        </w:rPr>
        <w:t>maintenance </w:t>
      </w:r>
      <w:r>
        <w:rPr/>
        <w:t>expenses,</w:t>
      </w:r>
      <w:r>
        <w:rPr>
          <w:spacing w:val="-14"/>
        </w:rPr>
        <w:t> </w:t>
      </w:r>
      <w:r>
        <w:rPr/>
        <w:t>work</w:t>
      </w:r>
      <w:r>
        <w:rPr>
          <w:spacing w:val="-14"/>
        </w:rPr>
        <w:t> </w:t>
      </w:r>
      <w:r>
        <w:rPr/>
        <w:t>related</w:t>
      </w:r>
      <w:r>
        <w:rPr>
          <w:spacing w:val="-14"/>
        </w:rPr>
        <w:t> </w:t>
      </w:r>
      <w:r>
        <w:rPr/>
        <w:t>field</w:t>
      </w:r>
      <w:r>
        <w:rPr>
          <w:spacing w:val="-13"/>
        </w:rPr>
        <w:t> </w:t>
      </w:r>
      <w:r>
        <w:rPr/>
        <w:t>trips</w:t>
      </w:r>
      <w:r>
        <w:rPr>
          <w:spacing w:val="-14"/>
        </w:rPr>
        <w:t> </w:t>
      </w:r>
      <w:r>
        <w:rPr/>
        <w:t>for</w:t>
      </w:r>
      <w:r>
        <w:rPr>
          <w:spacing w:val="-14"/>
        </w:rPr>
        <w:t> </w:t>
      </w:r>
      <w:r>
        <w:rPr/>
        <w:t>students,</w:t>
      </w:r>
      <w:r>
        <w:rPr>
          <w:spacing w:val="-14"/>
        </w:rPr>
        <w:t> </w:t>
      </w:r>
      <w:r>
        <w:rPr/>
        <w:t>support to publish articles etc.</w:t>
      </w:r>
    </w:p>
    <w:p>
      <w:pPr>
        <w:pStyle w:val="BodyText"/>
        <w:spacing w:before="23"/>
      </w:pPr>
    </w:p>
    <w:p>
      <w:pPr>
        <w:pStyle w:val="ListParagraph"/>
        <w:numPr>
          <w:ilvl w:val="1"/>
          <w:numId w:val="35"/>
        </w:numPr>
        <w:tabs>
          <w:tab w:pos="668" w:val="left" w:leader="none"/>
        </w:tabs>
        <w:spacing w:line="266" w:lineRule="auto" w:before="0" w:after="0"/>
        <w:ind w:left="319" w:right="1077" w:firstLine="0"/>
        <w:jc w:val="both"/>
        <w:rPr>
          <w:sz w:val="22"/>
        </w:rPr>
      </w:pPr>
      <w:r>
        <w:rPr>
          <w:b/>
          <w:spacing w:val="-6"/>
          <w:sz w:val="22"/>
        </w:rPr>
        <w:t>Sharing resources: </w:t>
      </w:r>
      <w:r>
        <w:rPr>
          <w:spacing w:val="-6"/>
          <w:sz w:val="22"/>
        </w:rPr>
        <w:t>Many valuable facilities are not </w:t>
      </w:r>
      <w:r>
        <w:rPr>
          <w:spacing w:val="-4"/>
          <w:sz w:val="22"/>
        </w:rPr>
        <w:t>optimally</w:t>
      </w:r>
      <w:r>
        <w:rPr>
          <w:spacing w:val="-10"/>
          <w:sz w:val="22"/>
        </w:rPr>
        <w:t> </w:t>
      </w:r>
      <w:r>
        <w:rPr>
          <w:spacing w:val="-4"/>
          <w:sz w:val="22"/>
        </w:rPr>
        <w:t>shared</w:t>
      </w:r>
      <w:r>
        <w:rPr>
          <w:spacing w:val="-10"/>
          <w:sz w:val="22"/>
        </w:rPr>
        <w:t> </w:t>
      </w:r>
      <w:r>
        <w:rPr>
          <w:spacing w:val="-4"/>
          <w:sz w:val="22"/>
        </w:rPr>
        <w:t>among</w:t>
      </w:r>
      <w:r>
        <w:rPr>
          <w:spacing w:val="-10"/>
          <w:sz w:val="22"/>
        </w:rPr>
        <w:t> </w:t>
      </w:r>
      <w:r>
        <w:rPr>
          <w:spacing w:val="-4"/>
          <w:sz w:val="22"/>
        </w:rPr>
        <w:t>research</w:t>
      </w:r>
      <w:r>
        <w:rPr>
          <w:spacing w:val="-9"/>
          <w:sz w:val="22"/>
        </w:rPr>
        <w:t> </w:t>
      </w:r>
      <w:r>
        <w:rPr>
          <w:spacing w:val="-4"/>
          <w:sz w:val="22"/>
        </w:rPr>
        <w:t>institutes,</w:t>
      </w:r>
      <w:r>
        <w:rPr>
          <w:spacing w:val="-10"/>
          <w:sz w:val="22"/>
        </w:rPr>
        <w:t> </w:t>
      </w:r>
      <w:r>
        <w:rPr>
          <w:spacing w:val="-4"/>
          <w:sz w:val="22"/>
        </w:rPr>
        <w:t>laboratories </w:t>
      </w:r>
      <w:r>
        <w:rPr>
          <w:spacing w:val="-2"/>
          <w:sz w:val="22"/>
        </w:rPr>
        <w:t>and</w:t>
      </w:r>
      <w:r>
        <w:rPr>
          <w:spacing w:val="-12"/>
          <w:sz w:val="22"/>
        </w:rPr>
        <w:t> </w:t>
      </w:r>
      <w:r>
        <w:rPr>
          <w:spacing w:val="-2"/>
          <w:sz w:val="22"/>
        </w:rPr>
        <w:t>universities.</w:t>
      </w:r>
      <w:r>
        <w:rPr>
          <w:spacing w:val="-12"/>
          <w:sz w:val="22"/>
        </w:rPr>
        <w:t> </w:t>
      </w:r>
      <w:r>
        <w:rPr>
          <w:spacing w:val="-2"/>
          <w:sz w:val="22"/>
        </w:rPr>
        <w:t>The</w:t>
      </w:r>
      <w:r>
        <w:rPr>
          <w:spacing w:val="-12"/>
          <w:sz w:val="22"/>
        </w:rPr>
        <w:t> </w:t>
      </w:r>
      <w:r>
        <w:rPr>
          <w:spacing w:val="-2"/>
          <w:sz w:val="22"/>
        </w:rPr>
        <w:t>funding</w:t>
      </w:r>
      <w:r>
        <w:rPr>
          <w:spacing w:val="-11"/>
          <w:sz w:val="22"/>
        </w:rPr>
        <w:t> </w:t>
      </w:r>
      <w:r>
        <w:rPr>
          <w:spacing w:val="-2"/>
          <w:sz w:val="22"/>
        </w:rPr>
        <w:t>agencies</w:t>
      </w:r>
      <w:r>
        <w:rPr>
          <w:spacing w:val="-10"/>
          <w:sz w:val="22"/>
        </w:rPr>
        <w:t> </w:t>
      </w:r>
      <w:r>
        <w:rPr>
          <w:spacing w:val="-2"/>
          <w:sz w:val="22"/>
        </w:rPr>
        <w:t>should</w:t>
      </w:r>
      <w:r>
        <w:rPr>
          <w:spacing w:val="-10"/>
          <w:sz w:val="22"/>
        </w:rPr>
        <w:t> </w:t>
      </w:r>
      <w:r>
        <w:rPr>
          <w:spacing w:val="-2"/>
          <w:sz w:val="22"/>
        </w:rPr>
        <w:t>promote </w:t>
      </w:r>
      <w:r>
        <w:rPr>
          <w:sz w:val="22"/>
        </w:rPr>
        <w:t>the formation of centres for shared instrumentation, by facilitating a consortium approach. Full-fledged laboratories within the campuses of our universities and other educational institutions can be set up. Greater collaboration should be promoted between </w:t>
      </w:r>
      <w:r>
        <w:rPr>
          <w:spacing w:val="-2"/>
          <w:sz w:val="22"/>
        </w:rPr>
        <w:t>research</w:t>
      </w:r>
      <w:r>
        <w:rPr>
          <w:spacing w:val="-12"/>
          <w:sz w:val="22"/>
        </w:rPr>
        <w:t> </w:t>
      </w:r>
      <w:r>
        <w:rPr>
          <w:spacing w:val="-2"/>
          <w:sz w:val="22"/>
        </w:rPr>
        <w:t>institutes</w:t>
      </w:r>
      <w:r>
        <w:rPr>
          <w:spacing w:val="-12"/>
          <w:sz w:val="22"/>
        </w:rPr>
        <w:t> </w:t>
      </w:r>
      <w:r>
        <w:rPr>
          <w:spacing w:val="-2"/>
          <w:sz w:val="22"/>
        </w:rPr>
        <w:t>and</w:t>
      </w:r>
      <w:r>
        <w:rPr>
          <w:spacing w:val="-12"/>
          <w:sz w:val="22"/>
        </w:rPr>
        <w:t> </w:t>
      </w:r>
      <w:r>
        <w:rPr>
          <w:spacing w:val="-2"/>
          <w:sz w:val="22"/>
        </w:rPr>
        <w:t>universities</w:t>
      </w:r>
      <w:r>
        <w:rPr>
          <w:spacing w:val="-11"/>
          <w:sz w:val="22"/>
        </w:rPr>
        <w:t> </w:t>
      </w:r>
      <w:r>
        <w:rPr>
          <w:spacing w:val="-2"/>
          <w:sz w:val="22"/>
        </w:rPr>
        <w:t>through</w:t>
      </w:r>
      <w:r>
        <w:rPr>
          <w:spacing w:val="-12"/>
          <w:sz w:val="22"/>
        </w:rPr>
        <w:t> </w:t>
      </w:r>
      <w:r>
        <w:rPr>
          <w:spacing w:val="-2"/>
          <w:sz w:val="22"/>
        </w:rPr>
        <w:t>appropriate </w:t>
      </w:r>
      <w:r>
        <w:rPr>
          <w:spacing w:val="-6"/>
          <w:sz w:val="22"/>
        </w:rPr>
        <w:t>incentives. Further, colleges which do not have adequate </w:t>
      </w:r>
      <w:r>
        <w:rPr>
          <w:spacing w:val="-4"/>
          <w:sz w:val="22"/>
        </w:rPr>
        <w:t>infrastructure</w:t>
      </w:r>
      <w:r>
        <w:rPr>
          <w:spacing w:val="-9"/>
          <w:sz w:val="22"/>
        </w:rPr>
        <w:t> </w:t>
      </w:r>
      <w:r>
        <w:rPr>
          <w:spacing w:val="-4"/>
          <w:sz w:val="22"/>
        </w:rPr>
        <w:t>should</w:t>
      </w:r>
      <w:r>
        <w:rPr>
          <w:spacing w:val="-9"/>
          <w:sz w:val="22"/>
        </w:rPr>
        <w:t> </w:t>
      </w:r>
      <w:r>
        <w:rPr>
          <w:spacing w:val="-4"/>
          <w:sz w:val="22"/>
        </w:rPr>
        <w:t>form</w:t>
      </w:r>
      <w:r>
        <w:rPr>
          <w:spacing w:val="-9"/>
          <w:sz w:val="22"/>
        </w:rPr>
        <w:t> </w:t>
      </w:r>
      <w:r>
        <w:rPr>
          <w:spacing w:val="-4"/>
          <w:sz w:val="22"/>
        </w:rPr>
        <w:t>clusters</w:t>
      </w:r>
      <w:r>
        <w:rPr>
          <w:spacing w:val="-9"/>
          <w:sz w:val="22"/>
        </w:rPr>
        <w:t> </w:t>
      </w:r>
      <w:r>
        <w:rPr>
          <w:spacing w:val="-4"/>
          <w:sz w:val="22"/>
        </w:rPr>
        <w:t>with</w:t>
      </w:r>
      <w:r>
        <w:rPr>
          <w:spacing w:val="-9"/>
          <w:sz w:val="22"/>
        </w:rPr>
        <w:t> </w:t>
      </w:r>
      <w:r>
        <w:rPr>
          <w:spacing w:val="-4"/>
          <w:sz w:val="22"/>
        </w:rPr>
        <w:t>nearby</w:t>
      </w:r>
      <w:r>
        <w:rPr>
          <w:spacing w:val="-9"/>
          <w:sz w:val="22"/>
        </w:rPr>
        <w:t> </w:t>
      </w:r>
      <w:r>
        <w:rPr>
          <w:spacing w:val="-4"/>
          <w:sz w:val="22"/>
        </w:rPr>
        <w:t>colleges </w:t>
      </w:r>
      <w:r>
        <w:rPr>
          <w:sz w:val="22"/>
        </w:rPr>
        <w:t>and</w:t>
      </w:r>
      <w:r>
        <w:rPr>
          <w:spacing w:val="-14"/>
          <w:sz w:val="22"/>
        </w:rPr>
        <w:t> </w:t>
      </w:r>
      <w:r>
        <w:rPr>
          <w:sz w:val="22"/>
        </w:rPr>
        <w:t>institutes</w:t>
      </w:r>
      <w:r>
        <w:rPr>
          <w:spacing w:val="-14"/>
          <w:sz w:val="22"/>
        </w:rPr>
        <w:t> </w:t>
      </w:r>
      <w:r>
        <w:rPr>
          <w:sz w:val="22"/>
        </w:rPr>
        <w:t>to</w:t>
      </w:r>
      <w:r>
        <w:rPr>
          <w:spacing w:val="-14"/>
          <w:sz w:val="22"/>
        </w:rPr>
        <w:t> </w:t>
      </w:r>
      <w:r>
        <w:rPr>
          <w:sz w:val="22"/>
        </w:rPr>
        <w:t>share</w:t>
      </w:r>
      <w:r>
        <w:rPr>
          <w:spacing w:val="-13"/>
          <w:sz w:val="22"/>
        </w:rPr>
        <w:t> </w:t>
      </w:r>
      <w:r>
        <w:rPr>
          <w:sz w:val="22"/>
        </w:rPr>
        <w:t>laboratory</w:t>
      </w:r>
      <w:r>
        <w:rPr>
          <w:spacing w:val="-14"/>
          <w:sz w:val="22"/>
        </w:rPr>
        <w:t> </w:t>
      </w:r>
      <w:r>
        <w:rPr>
          <w:sz w:val="22"/>
        </w:rPr>
        <w:t>resources,</w:t>
      </w:r>
      <w:r>
        <w:rPr>
          <w:spacing w:val="-14"/>
          <w:sz w:val="22"/>
        </w:rPr>
        <w:t> </w:t>
      </w:r>
      <w:r>
        <w:rPr>
          <w:sz w:val="22"/>
        </w:rPr>
        <w:t>especially expensive equipment.</w:t>
      </w:r>
    </w:p>
    <w:p>
      <w:pPr>
        <w:pStyle w:val="BodyText"/>
        <w:spacing w:before="17"/>
      </w:pPr>
    </w:p>
    <w:p>
      <w:pPr>
        <w:pStyle w:val="ListParagraph"/>
        <w:numPr>
          <w:ilvl w:val="1"/>
          <w:numId w:val="35"/>
        </w:numPr>
        <w:tabs>
          <w:tab w:pos="698" w:val="left" w:leader="none"/>
        </w:tabs>
        <w:spacing w:line="266" w:lineRule="auto" w:before="0" w:after="0"/>
        <w:ind w:left="319" w:right="1077" w:firstLine="0"/>
        <w:jc w:val="both"/>
        <w:rPr>
          <w:sz w:val="22"/>
        </w:rPr>
      </w:pPr>
      <w:r>
        <w:rPr>
          <w:b/>
          <w:sz w:val="22"/>
        </w:rPr>
        <w:t>Scholarships:</w:t>
      </w:r>
      <w:r>
        <w:rPr>
          <w:b/>
          <w:spacing w:val="-14"/>
          <w:sz w:val="22"/>
        </w:rPr>
        <w:t> </w:t>
      </w:r>
      <w:r>
        <w:rPr>
          <w:sz w:val="22"/>
        </w:rPr>
        <w:t>The</w:t>
      </w:r>
      <w:r>
        <w:rPr>
          <w:spacing w:val="-10"/>
          <w:sz w:val="22"/>
        </w:rPr>
        <w:t> </w:t>
      </w:r>
      <w:r>
        <w:rPr>
          <w:sz w:val="22"/>
        </w:rPr>
        <w:t>number</w:t>
      </w:r>
      <w:r>
        <w:rPr>
          <w:spacing w:val="-10"/>
          <w:sz w:val="22"/>
        </w:rPr>
        <w:t> </w:t>
      </w:r>
      <w:r>
        <w:rPr>
          <w:sz w:val="22"/>
        </w:rPr>
        <w:t>of</w:t>
      </w:r>
      <w:r>
        <w:rPr>
          <w:spacing w:val="-10"/>
          <w:sz w:val="22"/>
        </w:rPr>
        <w:t> </w:t>
      </w:r>
      <w:r>
        <w:rPr>
          <w:sz w:val="22"/>
        </w:rPr>
        <w:t>direct</w:t>
      </w:r>
      <w:r>
        <w:rPr>
          <w:spacing w:val="-10"/>
          <w:sz w:val="22"/>
        </w:rPr>
        <w:t> </w:t>
      </w:r>
      <w:r>
        <w:rPr>
          <w:sz w:val="22"/>
        </w:rPr>
        <w:t>scholarships to</w:t>
      </w:r>
      <w:r>
        <w:rPr>
          <w:spacing w:val="-14"/>
          <w:sz w:val="22"/>
        </w:rPr>
        <w:t> </w:t>
      </w:r>
      <w:r>
        <w:rPr>
          <w:sz w:val="22"/>
        </w:rPr>
        <w:t>meritorious</w:t>
      </w:r>
      <w:r>
        <w:rPr>
          <w:spacing w:val="-14"/>
          <w:sz w:val="22"/>
        </w:rPr>
        <w:t> </w:t>
      </w:r>
      <w:r>
        <w:rPr>
          <w:sz w:val="22"/>
        </w:rPr>
        <w:t>students</w:t>
      </w:r>
      <w:r>
        <w:rPr>
          <w:spacing w:val="-14"/>
          <w:sz w:val="22"/>
        </w:rPr>
        <w:t> </w:t>
      </w:r>
      <w:r>
        <w:rPr>
          <w:sz w:val="22"/>
        </w:rPr>
        <w:t>like</w:t>
      </w:r>
      <w:r>
        <w:rPr>
          <w:spacing w:val="-13"/>
          <w:sz w:val="22"/>
        </w:rPr>
        <w:t> </w:t>
      </w:r>
      <w:r>
        <w:rPr>
          <w:sz w:val="22"/>
        </w:rPr>
        <w:t>KVPY</w:t>
      </w:r>
      <w:r>
        <w:rPr>
          <w:spacing w:val="-14"/>
          <w:sz w:val="22"/>
        </w:rPr>
        <w:t> </w:t>
      </w:r>
      <w:r>
        <w:rPr>
          <w:sz w:val="22"/>
        </w:rPr>
        <w:t>(Kishore</w:t>
      </w:r>
      <w:r>
        <w:rPr>
          <w:spacing w:val="-14"/>
          <w:sz w:val="22"/>
        </w:rPr>
        <w:t> </w:t>
      </w:r>
      <w:r>
        <w:rPr>
          <w:sz w:val="22"/>
        </w:rPr>
        <w:t>Vigyanik </w:t>
      </w:r>
      <w:r>
        <w:rPr>
          <w:spacing w:val="-4"/>
          <w:sz w:val="22"/>
        </w:rPr>
        <w:t>Protsahan</w:t>
      </w:r>
      <w:r>
        <w:rPr>
          <w:spacing w:val="-10"/>
          <w:sz w:val="22"/>
        </w:rPr>
        <w:t> </w:t>
      </w:r>
      <w:r>
        <w:rPr>
          <w:spacing w:val="-4"/>
          <w:sz w:val="22"/>
        </w:rPr>
        <w:t>Yojana)</w:t>
      </w:r>
      <w:r>
        <w:rPr>
          <w:spacing w:val="-9"/>
          <w:sz w:val="22"/>
        </w:rPr>
        <w:t> </w:t>
      </w:r>
      <w:r>
        <w:rPr>
          <w:spacing w:val="-4"/>
          <w:sz w:val="22"/>
        </w:rPr>
        <w:t>should</w:t>
      </w:r>
      <w:r>
        <w:rPr>
          <w:spacing w:val="-8"/>
          <w:sz w:val="22"/>
        </w:rPr>
        <w:t> </w:t>
      </w:r>
      <w:r>
        <w:rPr>
          <w:spacing w:val="-4"/>
          <w:sz w:val="22"/>
        </w:rPr>
        <w:t>be</w:t>
      </w:r>
      <w:r>
        <w:rPr>
          <w:spacing w:val="-8"/>
          <w:sz w:val="22"/>
        </w:rPr>
        <w:t> </w:t>
      </w:r>
      <w:r>
        <w:rPr>
          <w:spacing w:val="-4"/>
          <w:sz w:val="22"/>
        </w:rPr>
        <w:t>increased</w:t>
      </w:r>
      <w:r>
        <w:rPr>
          <w:spacing w:val="-8"/>
          <w:sz w:val="22"/>
        </w:rPr>
        <w:t> </w:t>
      </w:r>
      <w:r>
        <w:rPr>
          <w:spacing w:val="-4"/>
          <w:sz w:val="22"/>
        </w:rPr>
        <w:t>to</w:t>
      </w:r>
      <w:r>
        <w:rPr>
          <w:spacing w:val="-8"/>
          <w:sz w:val="22"/>
        </w:rPr>
        <w:t> </w:t>
      </w:r>
      <w:r>
        <w:rPr>
          <w:spacing w:val="-4"/>
          <w:sz w:val="22"/>
        </w:rPr>
        <w:t>cover</w:t>
      </w:r>
      <w:r>
        <w:rPr>
          <w:spacing w:val="-8"/>
          <w:sz w:val="22"/>
        </w:rPr>
        <w:t> </w:t>
      </w:r>
      <w:r>
        <w:rPr>
          <w:spacing w:val="-4"/>
          <w:sz w:val="22"/>
        </w:rPr>
        <w:t>a</w:t>
      </w:r>
      <w:r>
        <w:rPr>
          <w:spacing w:val="-8"/>
          <w:sz w:val="22"/>
        </w:rPr>
        <w:t> </w:t>
      </w:r>
      <w:r>
        <w:rPr>
          <w:spacing w:val="-4"/>
          <w:sz w:val="22"/>
        </w:rPr>
        <w:t>larger </w:t>
      </w:r>
      <w:r>
        <w:rPr>
          <w:sz w:val="22"/>
        </w:rPr>
        <w:t>student population. To enlarge the pool of scientific manpower and foster research in the sciences, the </w:t>
      </w:r>
      <w:r>
        <w:rPr>
          <w:spacing w:val="-4"/>
          <w:sz w:val="22"/>
        </w:rPr>
        <w:t>Government</w:t>
      </w:r>
      <w:r>
        <w:rPr>
          <w:spacing w:val="-5"/>
          <w:sz w:val="22"/>
        </w:rPr>
        <w:t> </w:t>
      </w:r>
      <w:r>
        <w:rPr>
          <w:spacing w:val="-4"/>
          <w:sz w:val="22"/>
        </w:rPr>
        <w:t>of</w:t>
      </w:r>
      <w:r>
        <w:rPr>
          <w:spacing w:val="-5"/>
          <w:sz w:val="22"/>
        </w:rPr>
        <w:t> </w:t>
      </w:r>
      <w:r>
        <w:rPr>
          <w:spacing w:val="-4"/>
          <w:sz w:val="22"/>
        </w:rPr>
        <w:t>India</w:t>
      </w:r>
      <w:r>
        <w:rPr>
          <w:spacing w:val="-5"/>
          <w:sz w:val="22"/>
        </w:rPr>
        <w:t> </w:t>
      </w:r>
      <w:r>
        <w:rPr>
          <w:spacing w:val="-4"/>
          <w:sz w:val="22"/>
        </w:rPr>
        <w:t>has</w:t>
      </w:r>
      <w:r>
        <w:rPr>
          <w:spacing w:val="-5"/>
          <w:sz w:val="22"/>
        </w:rPr>
        <w:t> </w:t>
      </w:r>
      <w:r>
        <w:rPr>
          <w:spacing w:val="-4"/>
          <w:sz w:val="22"/>
        </w:rPr>
        <w:t>announced</w:t>
      </w:r>
      <w:r>
        <w:rPr>
          <w:spacing w:val="-5"/>
          <w:sz w:val="22"/>
        </w:rPr>
        <w:t> </w:t>
      </w:r>
      <w:r>
        <w:rPr>
          <w:spacing w:val="-4"/>
          <w:sz w:val="22"/>
        </w:rPr>
        <w:t>a</w:t>
      </w:r>
      <w:r>
        <w:rPr>
          <w:spacing w:val="-5"/>
          <w:sz w:val="22"/>
        </w:rPr>
        <w:t> </w:t>
      </w:r>
      <w:r>
        <w:rPr>
          <w:spacing w:val="-4"/>
          <w:sz w:val="22"/>
        </w:rPr>
        <w:t>program</w:t>
      </w:r>
      <w:r>
        <w:rPr>
          <w:spacing w:val="-5"/>
          <w:sz w:val="22"/>
        </w:rPr>
        <w:t> </w:t>
      </w:r>
      <w:r>
        <w:rPr>
          <w:spacing w:val="-4"/>
          <w:sz w:val="22"/>
        </w:rPr>
        <w:t>entitled </w:t>
      </w:r>
      <w:r>
        <w:rPr>
          <w:sz w:val="22"/>
        </w:rPr>
        <w:t>“Innovation</w:t>
      </w:r>
      <w:r>
        <w:rPr>
          <w:spacing w:val="-14"/>
          <w:sz w:val="22"/>
        </w:rPr>
        <w:t> </w:t>
      </w:r>
      <w:r>
        <w:rPr>
          <w:sz w:val="22"/>
        </w:rPr>
        <w:t>in</w:t>
      </w:r>
      <w:r>
        <w:rPr>
          <w:spacing w:val="-14"/>
          <w:sz w:val="22"/>
        </w:rPr>
        <w:t> </w:t>
      </w:r>
      <w:r>
        <w:rPr>
          <w:sz w:val="22"/>
        </w:rPr>
        <w:t>Science</w:t>
      </w:r>
      <w:r>
        <w:rPr>
          <w:spacing w:val="-13"/>
          <w:sz w:val="22"/>
        </w:rPr>
        <w:t> </w:t>
      </w:r>
      <w:r>
        <w:rPr>
          <w:sz w:val="22"/>
        </w:rPr>
        <w:t>Pursuit</w:t>
      </w:r>
      <w:r>
        <w:rPr>
          <w:spacing w:val="-14"/>
          <w:sz w:val="22"/>
        </w:rPr>
        <w:t> </w:t>
      </w:r>
      <w:r>
        <w:rPr>
          <w:sz w:val="22"/>
        </w:rPr>
        <w:t>for</w:t>
      </w:r>
      <w:r>
        <w:rPr>
          <w:spacing w:val="-14"/>
          <w:sz w:val="22"/>
        </w:rPr>
        <w:t> </w:t>
      </w:r>
      <w:r>
        <w:rPr>
          <w:sz w:val="22"/>
        </w:rPr>
        <w:t>Inspired</w:t>
      </w:r>
      <w:r>
        <w:rPr>
          <w:spacing w:val="-13"/>
          <w:sz w:val="22"/>
        </w:rPr>
        <w:t> </w:t>
      </w:r>
      <w:r>
        <w:rPr>
          <w:sz w:val="22"/>
        </w:rPr>
        <w:t>Research” </w:t>
      </w:r>
      <w:r>
        <w:rPr>
          <w:spacing w:val="-4"/>
          <w:sz w:val="22"/>
        </w:rPr>
        <w:t>(INSPIRE).</w:t>
      </w:r>
      <w:r>
        <w:rPr>
          <w:spacing w:val="-10"/>
          <w:sz w:val="22"/>
        </w:rPr>
        <w:t> </w:t>
      </w:r>
      <w:r>
        <w:rPr>
          <w:spacing w:val="-4"/>
          <w:sz w:val="22"/>
        </w:rPr>
        <w:t>The</w:t>
      </w:r>
      <w:r>
        <w:rPr>
          <w:spacing w:val="-10"/>
          <w:sz w:val="22"/>
        </w:rPr>
        <w:t> </w:t>
      </w:r>
      <w:r>
        <w:rPr>
          <w:spacing w:val="-4"/>
          <w:sz w:val="22"/>
        </w:rPr>
        <w:t>INSPIRE</w:t>
      </w:r>
      <w:r>
        <w:rPr>
          <w:spacing w:val="-5"/>
          <w:sz w:val="22"/>
        </w:rPr>
        <w:t> </w:t>
      </w:r>
      <w:r>
        <w:rPr>
          <w:spacing w:val="-4"/>
          <w:sz w:val="22"/>
        </w:rPr>
        <w:t>program</w:t>
      </w:r>
      <w:r>
        <w:rPr>
          <w:spacing w:val="-5"/>
          <w:sz w:val="22"/>
        </w:rPr>
        <w:t> </w:t>
      </w:r>
      <w:r>
        <w:rPr>
          <w:spacing w:val="-4"/>
          <w:sz w:val="22"/>
        </w:rPr>
        <w:t>should</w:t>
      </w:r>
      <w:r>
        <w:rPr>
          <w:spacing w:val="-5"/>
          <w:sz w:val="22"/>
        </w:rPr>
        <w:t> </w:t>
      </w:r>
      <w:r>
        <w:rPr>
          <w:spacing w:val="-4"/>
          <w:sz w:val="22"/>
        </w:rPr>
        <w:t>be</w:t>
      </w:r>
      <w:r>
        <w:rPr>
          <w:spacing w:val="-5"/>
          <w:sz w:val="22"/>
        </w:rPr>
        <w:t> </w:t>
      </w:r>
      <w:r>
        <w:rPr>
          <w:spacing w:val="-4"/>
          <w:sz w:val="22"/>
        </w:rPr>
        <w:t>launched </w:t>
      </w:r>
      <w:r>
        <w:rPr>
          <w:sz w:val="22"/>
        </w:rPr>
        <w:t>as soon as possible.</w:t>
      </w:r>
    </w:p>
    <w:p>
      <w:pPr>
        <w:pStyle w:val="BodyText"/>
        <w:spacing w:before="19"/>
      </w:pPr>
    </w:p>
    <w:p>
      <w:pPr>
        <w:pStyle w:val="ListParagraph"/>
        <w:numPr>
          <w:ilvl w:val="1"/>
          <w:numId w:val="35"/>
        </w:numPr>
        <w:tabs>
          <w:tab w:pos="703" w:val="left" w:leader="none"/>
        </w:tabs>
        <w:spacing w:line="266" w:lineRule="auto" w:before="0" w:after="0"/>
        <w:ind w:left="319" w:right="1077" w:firstLine="0"/>
        <w:jc w:val="both"/>
        <w:rPr>
          <w:sz w:val="22"/>
        </w:rPr>
      </w:pPr>
      <w:r>
        <w:rPr>
          <w:b/>
          <w:spacing w:val="-2"/>
          <w:sz w:val="22"/>
        </w:rPr>
        <w:t>Autonomy</w:t>
      </w:r>
      <w:r>
        <w:rPr>
          <w:b/>
          <w:spacing w:val="-9"/>
          <w:sz w:val="22"/>
        </w:rPr>
        <w:t> </w:t>
      </w:r>
      <w:r>
        <w:rPr>
          <w:b/>
          <w:spacing w:val="-2"/>
          <w:sz w:val="22"/>
        </w:rPr>
        <w:t>and</w:t>
      </w:r>
      <w:r>
        <w:rPr>
          <w:b/>
          <w:spacing w:val="-9"/>
          <w:sz w:val="22"/>
        </w:rPr>
        <w:t> </w:t>
      </w:r>
      <w:r>
        <w:rPr>
          <w:b/>
          <w:spacing w:val="-2"/>
          <w:sz w:val="22"/>
        </w:rPr>
        <w:t>flexibility:</w:t>
      </w:r>
      <w:r>
        <w:rPr>
          <w:b/>
          <w:spacing w:val="-10"/>
          <w:sz w:val="22"/>
        </w:rPr>
        <w:t> </w:t>
      </w:r>
      <w:r>
        <w:rPr>
          <w:i/>
          <w:spacing w:val="-2"/>
          <w:sz w:val="22"/>
        </w:rPr>
        <w:t>“A</w:t>
      </w:r>
      <w:r>
        <w:rPr>
          <w:i/>
          <w:spacing w:val="-10"/>
          <w:sz w:val="22"/>
        </w:rPr>
        <w:t> </w:t>
      </w:r>
      <w:r>
        <w:rPr>
          <w:i/>
          <w:spacing w:val="-2"/>
          <w:sz w:val="22"/>
        </w:rPr>
        <w:t>university</w:t>
      </w:r>
      <w:r>
        <w:rPr>
          <w:i/>
          <w:spacing w:val="-10"/>
          <w:sz w:val="22"/>
        </w:rPr>
        <w:t> </w:t>
      </w:r>
      <w:r>
        <w:rPr>
          <w:i/>
          <w:spacing w:val="-2"/>
          <w:sz w:val="22"/>
        </w:rPr>
        <w:t>is</w:t>
      </w:r>
      <w:r>
        <w:rPr>
          <w:i/>
          <w:spacing w:val="-10"/>
          <w:sz w:val="22"/>
        </w:rPr>
        <w:t> </w:t>
      </w:r>
      <w:r>
        <w:rPr>
          <w:i/>
          <w:spacing w:val="-2"/>
          <w:sz w:val="22"/>
        </w:rPr>
        <w:t>about </w:t>
      </w:r>
      <w:r>
        <w:rPr>
          <w:i/>
          <w:w w:val="90"/>
          <w:sz w:val="22"/>
        </w:rPr>
        <w:t>learning that moulds a lifetime, learning that transmits </w:t>
      </w:r>
      <w:r>
        <w:rPr>
          <w:i/>
          <w:w w:val="90"/>
          <w:sz w:val="22"/>
        </w:rPr>
        <w:t>the heritage of the millennia, learning that shapes the future.” </w:t>
      </w:r>
      <w:r>
        <w:rPr>
          <w:w w:val="90"/>
          <w:sz w:val="22"/>
        </w:rPr>
        <w:t>While efficient university administration should facilitate </w:t>
      </w:r>
      <w:r>
        <w:rPr>
          <w:spacing w:val="-4"/>
          <w:sz w:val="22"/>
        </w:rPr>
        <w:t>this,</w:t>
      </w:r>
      <w:r>
        <w:rPr>
          <w:spacing w:val="-8"/>
          <w:sz w:val="22"/>
        </w:rPr>
        <w:t> </w:t>
      </w:r>
      <w:r>
        <w:rPr>
          <w:spacing w:val="-4"/>
          <w:sz w:val="22"/>
        </w:rPr>
        <w:t>bureaucratic</w:t>
      </w:r>
      <w:r>
        <w:rPr>
          <w:spacing w:val="-8"/>
          <w:sz w:val="22"/>
        </w:rPr>
        <w:t> </w:t>
      </w:r>
      <w:r>
        <w:rPr>
          <w:spacing w:val="-4"/>
          <w:sz w:val="22"/>
        </w:rPr>
        <w:t>stranglehold</w:t>
      </w:r>
      <w:r>
        <w:rPr>
          <w:spacing w:val="-8"/>
          <w:sz w:val="22"/>
        </w:rPr>
        <w:t> </w:t>
      </w:r>
      <w:r>
        <w:rPr>
          <w:spacing w:val="-4"/>
          <w:sz w:val="22"/>
        </w:rPr>
        <w:t>and</w:t>
      </w:r>
      <w:r>
        <w:rPr>
          <w:spacing w:val="-8"/>
          <w:sz w:val="22"/>
        </w:rPr>
        <w:t> </w:t>
      </w:r>
      <w:r>
        <w:rPr>
          <w:spacing w:val="-4"/>
          <w:sz w:val="22"/>
        </w:rPr>
        <w:t>political</w:t>
      </w:r>
      <w:r>
        <w:rPr>
          <w:spacing w:val="-8"/>
          <w:sz w:val="22"/>
        </w:rPr>
        <w:t> </w:t>
      </w:r>
      <w:r>
        <w:rPr>
          <w:spacing w:val="-4"/>
          <w:sz w:val="22"/>
        </w:rPr>
        <w:t>interference </w:t>
      </w:r>
      <w:r>
        <w:rPr>
          <w:sz w:val="22"/>
        </w:rPr>
        <w:t>vitiates the academic environment, creating a war of nerves</w:t>
      </w:r>
      <w:r>
        <w:rPr>
          <w:spacing w:val="-2"/>
          <w:sz w:val="22"/>
        </w:rPr>
        <w:t> </w:t>
      </w:r>
      <w:r>
        <w:rPr>
          <w:sz w:val="22"/>
        </w:rPr>
        <w:t>between</w:t>
      </w:r>
      <w:r>
        <w:rPr>
          <w:spacing w:val="-2"/>
          <w:sz w:val="22"/>
        </w:rPr>
        <w:t> </w:t>
      </w:r>
      <w:r>
        <w:rPr>
          <w:sz w:val="22"/>
        </w:rPr>
        <w:t>academicians</w:t>
      </w:r>
      <w:r>
        <w:rPr>
          <w:spacing w:val="-2"/>
          <w:sz w:val="22"/>
        </w:rPr>
        <w:t> </w:t>
      </w:r>
      <w:r>
        <w:rPr>
          <w:sz w:val="22"/>
        </w:rPr>
        <w:t>and</w:t>
      </w:r>
      <w:r>
        <w:rPr>
          <w:spacing w:val="-2"/>
          <w:sz w:val="22"/>
        </w:rPr>
        <w:t> </w:t>
      </w:r>
      <w:r>
        <w:rPr>
          <w:sz w:val="22"/>
        </w:rPr>
        <w:t>the</w:t>
      </w:r>
      <w:r>
        <w:rPr>
          <w:spacing w:val="-2"/>
          <w:sz w:val="22"/>
        </w:rPr>
        <w:t> </w:t>
      </w:r>
      <w:r>
        <w:rPr>
          <w:sz w:val="22"/>
        </w:rPr>
        <w:t>administrators. Universities</w:t>
      </w:r>
      <w:r>
        <w:rPr>
          <w:spacing w:val="-2"/>
          <w:sz w:val="22"/>
        </w:rPr>
        <w:t> </w:t>
      </w:r>
      <w:r>
        <w:rPr>
          <w:sz w:val="22"/>
        </w:rPr>
        <w:t>have</w:t>
      </w:r>
      <w:r>
        <w:rPr>
          <w:spacing w:val="-2"/>
          <w:sz w:val="22"/>
        </w:rPr>
        <w:t> </w:t>
      </w:r>
      <w:r>
        <w:rPr>
          <w:sz w:val="22"/>
        </w:rPr>
        <w:t>to</w:t>
      </w:r>
      <w:r>
        <w:rPr>
          <w:spacing w:val="-2"/>
          <w:sz w:val="22"/>
        </w:rPr>
        <w:t> </w:t>
      </w:r>
      <w:r>
        <w:rPr>
          <w:sz w:val="22"/>
        </w:rPr>
        <w:t>be</w:t>
      </w:r>
      <w:r>
        <w:rPr>
          <w:spacing w:val="-2"/>
          <w:sz w:val="22"/>
        </w:rPr>
        <w:t> </w:t>
      </w:r>
      <w:r>
        <w:rPr>
          <w:sz w:val="22"/>
        </w:rPr>
        <w:t>financially</w:t>
      </w:r>
      <w:r>
        <w:rPr>
          <w:spacing w:val="-2"/>
          <w:sz w:val="22"/>
        </w:rPr>
        <w:t> </w:t>
      </w:r>
      <w:r>
        <w:rPr>
          <w:sz w:val="22"/>
        </w:rPr>
        <w:t>accountable</w:t>
      </w:r>
      <w:r>
        <w:rPr>
          <w:spacing w:val="-2"/>
          <w:sz w:val="22"/>
        </w:rPr>
        <w:t> </w:t>
      </w:r>
      <w:r>
        <w:rPr>
          <w:sz w:val="22"/>
        </w:rPr>
        <w:t>to</w:t>
      </w:r>
      <w:r>
        <w:rPr>
          <w:spacing w:val="-2"/>
          <w:sz w:val="22"/>
        </w:rPr>
        <w:t> </w:t>
      </w:r>
      <w:r>
        <w:rPr>
          <w:sz w:val="22"/>
        </w:rPr>
        <w:t>the </w:t>
      </w:r>
      <w:r>
        <w:rPr>
          <w:spacing w:val="-2"/>
          <w:sz w:val="22"/>
        </w:rPr>
        <w:t>government,</w:t>
      </w:r>
      <w:r>
        <w:rPr>
          <w:spacing w:val="-10"/>
          <w:sz w:val="22"/>
        </w:rPr>
        <w:t> </w:t>
      </w:r>
      <w:r>
        <w:rPr>
          <w:spacing w:val="-2"/>
          <w:sz w:val="22"/>
        </w:rPr>
        <w:t>but</w:t>
      </w:r>
      <w:r>
        <w:rPr>
          <w:spacing w:val="-10"/>
          <w:sz w:val="22"/>
        </w:rPr>
        <w:t> </w:t>
      </w:r>
      <w:r>
        <w:rPr>
          <w:spacing w:val="-2"/>
          <w:sz w:val="22"/>
        </w:rPr>
        <w:t>the</w:t>
      </w:r>
      <w:r>
        <w:rPr>
          <w:spacing w:val="-10"/>
          <w:sz w:val="22"/>
        </w:rPr>
        <w:t> </w:t>
      </w:r>
      <w:r>
        <w:rPr>
          <w:spacing w:val="-2"/>
          <w:sz w:val="22"/>
        </w:rPr>
        <w:t>academic</w:t>
      </w:r>
      <w:r>
        <w:rPr>
          <w:spacing w:val="-10"/>
          <w:sz w:val="22"/>
        </w:rPr>
        <w:t> </w:t>
      </w:r>
      <w:r>
        <w:rPr>
          <w:spacing w:val="-2"/>
          <w:sz w:val="22"/>
        </w:rPr>
        <w:t>matters</w:t>
      </w:r>
      <w:r>
        <w:rPr>
          <w:spacing w:val="-10"/>
          <w:sz w:val="22"/>
        </w:rPr>
        <w:t> </w:t>
      </w:r>
      <w:r>
        <w:rPr>
          <w:spacing w:val="-2"/>
          <w:sz w:val="22"/>
        </w:rPr>
        <w:t>should</w:t>
      </w:r>
      <w:r>
        <w:rPr>
          <w:spacing w:val="-10"/>
          <w:sz w:val="22"/>
        </w:rPr>
        <w:t> </w:t>
      </w:r>
      <w:r>
        <w:rPr>
          <w:spacing w:val="-2"/>
          <w:sz w:val="22"/>
        </w:rPr>
        <w:t>be</w:t>
      </w:r>
      <w:r>
        <w:rPr>
          <w:spacing w:val="-10"/>
          <w:sz w:val="22"/>
        </w:rPr>
        <w:t> </w:t>
      </w:r>
      <w:r>
        <w:rPr>
          <w:spacing w:val="-2"/>
          <w:sz w:val="22"/>
        </w:rPr>
        <w:t>under </w:t>
      </w:r>
      <w:r>
        <w:rPr>
          <w:sz w:val="22"/>
        </w:rPr>
        <w:t>the sole purview of the university bodies. At present, even academic matters like starting new innovative courses</w:t>
      </w:r>
      <w:r>
        <w:rPr>
          <w:spacing w:val="-14"/>
          <w:sz w:val="22"/>
        </w:rPr>
        <w:t> </w:t>
      </w:r>
      <w:r>
        <w:rPr>
          <w:sz w:val="22"/>
        </w:rPr>
        <w:t>have</w:t>
      </w:r>
      <w:r>
        <w:rPr>
          <w:spacing w:val="-14"/>
          <w:sz w:val="22"/>
        </w:rPr>
        <w:t> </w:t>
      </w:r>
      <w:r>
        <w:rPr>
          <w:sz w:val="22"/>
        </w:rPr>
        <w:t>to</w:t>
      </w:r>
      <w:r>
        <w:rPr>
          <w:spacing w:val="-14"/>
          <w:sz w:val="22"/>
        </w:rPr>
        <w:t> </w:t>
      </w:r>
      <w:r>
        <w:rPr>
          <w:sz w:val="22"/>
        </w:rPr>
        <w:t>be</w:t>
      </w:r>
      <w:r>
        <w:rPr>
          <w:spacing w:val="-13"/>
          <w:sz w:val="22"/>
        </w:rPr>
        <w:t> </w:t>
      </w:r>
      <w:r>
        <w:rPr>
          <w:sz w:val="22"/>
        </w:rPr>
        <w:t>approved</w:t>
      </w:r>
      <w:r>
        <w:rPr>
          <w:spacing w:val="-14"/>
          <w:sz w:val="22"/>
        </w:rPr>
        <w:t> </w:t>
      </w:r>
      <w:r>
        <w:rPr>
          <w:sz w:val="22"/>
        </w:rPr>
        <w:t>by</w:t>
      </w:r>
      <w:r>
        <w:rPr>
          <w:spacing w:val="-14"/>
          <w:sz w:val="22"/>
        </w:rPr>
        <w:t> </w:t>
      </w:r>
      <w:r>
        <w:rPr>
          <w:sz w:val="22"/>
        </w:rPr>
        <w:t>the</w:t>
      </w:r>
      <w:r>
        <w:rPr>
          <w:spacing w:val="-14"/>
          <w:sz w:val="22"/>
        </w:rPr>
        <w:t> </w:t>
      </w:r>
      <w:r>
        <w:rPr>
          <w:sz w:val="22"/>
        </w:rPr>
        <w:t>state</w:t>
      </w:r>
      <w:r>
        <w:rPr>
          <w:spacing w:val="-13"/>
          <w:sz w:val="22"/>
        </w:rPr>
        <w:t> </w:t>
      </w:r>
      <w:r>
        <w:rPr>
          <w:sz w:val="22"/>
        </w:rPr>
        <w:t>governments. These proposals do not see the light of the day even after</w:t>
      </w:r>
      <w:r>
        <w:rPr>
          <w:spacing w:val="-14"/>
          <w:sz w:val="22"/>
        </w:rPr>
        <w:t> </w:t>
      </w:r>
      <w:r>
        <w:rPr>
          <w:sz w:val="22"/>
        </w:rPr>
        <w:t>several</w:t>
      </w:r>
      <w:r>
        <w:rPr>
          <w:spacing w:val="-14"/>
          <w:sz w:val="22"/>
        </w:rPr>
        <w:t> </w:t>
      </w:r>
      <w:r>
        <w:rPr>
          <w:sz w:val="22"/>
        </w:rPr>
        <w:t>years.</w:t>
      </w:r>
      <w:r>
        <w:rPr>
          <w:spacing w:val="-14"/>
          <w:sz w:val="22"/>
        </w:rPr>
        <w:t> </w:t>
      </w:r>
      <w:r>
        <w:rPr>
          <w:sz w:val="22"/>
        </w:rPr>
        <w:t>Academic</w:t>
      </w:r>
      <w:r>
        <w:rPr>
          <w:spacing w:val="-13"/>
          <w:sz w:val="22"/>
        </w:rPr>
        <w:t> </w:t>
      </w:r>
      <w:r>
        <w:rPr>
          <w:sz w:val="22"/>
        </w:rPr>
        <w:t>autonomy</w:t>
      </w:r>
      <w:r>
        <w:rPr>
          <w:spacing w:val="-14"/>
          <w:sz w:val="22"/>
        </w:rPr>
        <w:t> </w:t>
      </w:r>
      <w:r>
        <w:rPr>
          <w:sz w:val="22"/>
        </w:rPr>
        <w:t>is</w:t>
      </w:r>
      <w:r>
        <w:rPr>
          <w:spacing w:val="-14"/>
          <w:sz w:val="22"/>
        </w:rPr>
        <w:t> </w:t>
      </w:r>
      <w:r>
        <w:rPr>
          <w:sz w:val="22"/>
        </w:rPr>
        <w:t>essential</w:t>
      </w:r>
      <w:r>
        <w:rPr>
          <w:spacing w:val="-14"/>
          <w:sz w:val="22"/>
        </w:rPr>
        <w:t> </w:t>
      </w:r>
      <w:r>
        <w:rPr>
          <w:sz w:val="22"/>
        </w:rPr>
        <w:t>to contemporise</w:t>
      </w:r>
      <w:r>
        <w:rPr>
          <w:spacing w:val="-14"/>
          <w:sz w:val="22"/>
        </w:rPr>
        <w:t> </w:t>
      </w:r>
      <w:r>
        <w:rPr>
          <w:sz w:val="22"/>
        </w:rPr>
        <w:t>syllabus</w:t>
      </w:r>
      <w:r>
        <w:rPr>
          <w:spacing w:val="-14"/>
          <w:sz w:val="22"/>
        </w:rPr>
        <w:t> </w:t>
      </w:r>
      <w:r>
        <w:rPr>
          <w:sz w:val="22"/>
        </w:rPr>
        <w:t>and</w:t>
      </w:r>
      <w:r>
        <w:rPr>
          <w:spacing w:val="-14"/>
          <w:sz w:val="22"/>
        </w:rPr>
        <w:t> </w:t>
      </w:r>
      <w:r>
        <w:rPr>
          <w:sz w:val="22"/>
        </w:rPr>
        <w:t>make</w:t>
      </w:r>
      <w:r>
        <w:rPr>
          <w:spacing w:val="-13"/>
          <w:sz w:val="22"/>
        </w:rPr>
        <w:t> </w:t>
      </w:r>
      <w:r>
        <w:rPr>
          <w:sz w:val="22"/>
        </w:rPr>
        <w:t>it</w:t>
      </w:r>
      <w:r>
        <w:rPr>
          <w:spacing w:val="-14"/>
          <w:sz w:val="22"/>
        </w:rPr>
        <w:t> </w:t>
      </w:r>
      <w:r>
        <w:rPr>
          <w:sz w:val="22"/>
        </w:rPr>
        <w:t>more</w:t>
      </w:r>
      <w:r>
        <w:rPr>
          <w:spacing w:val="-14"/>
          <w:sz w:val="22"/>
        </w:rPr>
        <w:t> </w:t>
      </w:r>
      <w:r>
        <w:rPr>
          <w:sz w:val="22"/>
        </w:rPr>
        <w:t>relevant.</w:t>
      </w:r>
      <w:r>
        <w:rPr>
          <w:spacing w:val="-14"/>
          <w:sz w:val="22"/>
        </w:rPr>
        <w:t> </w:t>
      </w:r>
      <w:r>
        <w:rPr>
          <w:sz w:val="22"/>
        </w:rPr>
        <w:t>The </w:t>
      </w:r>
      <w:r>
        <w:rPr>
          <w:spacing w:val="-2"/>
          <w:sz w:val="22"/>
        </w:rPr>
        <w:t>administration</w:t>
      </w:r>
      <w:r>
        <w:rPr>
          <w:spacing w:val="-12"/>
          <w:sz w:val="22"/>
        </w:rPr>
        <w:t> </w:t>
      </w:r>
      <w:r>
        <w:rPr>
          <w:spacing w:val="-2"/>
          <w:sz w:val="22"/>
        </w:rPr>
        <w:t>at</w:t>
      </w:r>
      <w:r>
        <w:rPr>
          <w:spacing w:val="-12"/>
          <w:sz w:val="22"/>
        </w:rPr>
        <w:t> </w:t>
      </w:r>
      <w:r>
        <w:rPr>
          <w:spacing w:val="-2"/>
          <w:sz w:val="22"/>
        </w:rPr>
        <w:t>all</w:t>
      </w:r>
      <w:r>
        <w:rPr>
          <w:spacing w:val="-12"/>
          <w:sz w:val="22"/>
        </w:rPr>
        <w:t> </w:t>
      </w:r>
      <w:r>
        <w:rPr>
          <w:spacing w:val="-2"/>
          <w:sz w:val="22"/>
        </w:rPr>
        <w:t>levels</w:t>
      </w:r>
      <w:r>
        <w:rPr>
          <w:spacing w:val="-11"/>
          <w:sz w:val="22"/>
        </w:rPr>
        <w:t> </w:t>
      </w:r>
      <w:r>
        <w:rPr>
          <w:spacing w:val="-2"/>
          <w:sz w:val="22"/>
        </w:rPr>
        <w:t>should</w:t>
      </w:r>
      <w:r>
        <w:rPr>
          <w:spacing w:val="-12"/>
          <w:sz w:val="22"/>
        </w:rPr>
        <w:t> </w:t>
      </w:r>
      <w:r>
        <w:rPr>
          <w:spacing w:val="-2"/>
          <w:sz w:val="22"/>
        </w:rPr>
        <w:t>be</w:t>
      </w:r>
      <w:r>
        <w:rPr>
          <w:spacing w:val="-12"/>
          <w:sz w:val="22"/>
        </w:rPr>
        <w:t> </w:t>
      </w:r>
      <w:r>
        <w:rPr>
          <w:spacing w:val="-2"/>
          <w:sz w:val="22"/>
        </w:rPr>
        <w:t>made</w:t>
      </w:r>
      <w:r>
        <w:rPr>
          <w:spacing w:val="-12"/>
          <w:sz w:val="22"/>
        </w:rPr>
        <w:t> </w:t>
      </w:r>
      <w:r>
        <w:rPr>
          <w:spacing w:val="-2"/>
          <w:sz w:val="22"/>
        </w:rPr>
        <w:t>transparent, </w:t>
      </w:r>
      <w:r>
        <w:rPr>
          <w:sz w:val="22"/>
        </w:rPr>
        <w:t>professional and sensitised towards working in an academic and research environment.</w:t>
      </w:r>
    </w:p>
    <w:p>
      <w:pPr>
        <w:pStyle w:val="BodyText"/>
        <w:spacing w:before="13"/>
      </w:pPr>
    </w:p>
    <w:p>
      <w:pPr>
        <w:pStyle w:val="BodyText"/>
        <w:spacing w:line="266" w:lineRule="auto"/>
        <w:ind w:left="319" w:right="1077"/>
        <w:jc w:val="both"/>
        <w:rPr>
          <w:i/>
        </w:rPr>
      </w:pPr>
      <w:r>
        <w:rPr/>
        <w:t>To facilitate teaching in universities by </w:t>
      </w:r>
      <w:r>
        <w:rPr/>
        <w:t>research scientists,</w:t>
      </w:r>
      <w:r>
        <w:rPr>
          <w:spacing w:val="-7"/>
        </w:rPr>
        <w:t> </w:t>
      </w:r>
      <w:r>
        <w:rPr/>
        <w:t>supporting</w:t>
      </w:r>
      <w:r>
        <w:rPr>
          <w:spacing w:val="-7"/>
        </w:rPr>
        <w:t> </w:t>
      </w:r>
      <w:r>
        <w:rPr/>
        <w:t>infrastructure</w:t>
      </w:r>
      <w:r>
        <w:rPr>
          <w:spacing w:val="-7"/>
        </w:rPr>
        <w:t> </w:t>
      </w:r>
      <w:r>
        <w:rPr/>
        <w:t>should</w:t>
      </w:r>
      <w:r>
        <w:rPr>
          <w:spacing w:val="-7"/>
        </w:rPr>
        <w:t> </w:t>
      </w:r>
      <w:r>
        <w:rPr/>
        <w:t>be</w:t>
      </w:r>
      <w:r>
        <w:rPr>
          <w:spacing w:val="-7"/>
        </w:rPr>
        <w:t> </w:t>
      </w:r>
      <w:r>
        <w:rPr/>
        <w:t>created </w:t>
      </w:r>
      <w:r>
        <w:rPr>
          <w:spacing w:val="-6"/>
        </w:rPr>
        <w:t>in</w:t>
      </w:r>
      <w:r>
        <w:rPr>
          <w:spacing w:val="1"/>
        </w:rPr>
        <w:t> </w:t>
      </w:r>
      <w:r>
        <w:rPr>
          <w:spacing w:val="-6"/>
        </w:rPr>
        <w:t>universities</w:t>
      </w:r>
      <w:r>
        <w:rPr>
          <w:spacing w:val="1"/>
        </w:rPr>
        <w:t> </w:t>
      </w:r>
      <w:r>
        <w:rPr>
          <w:spacing w:val="-6"/>
        </w:rPr>
        <w:t>for</w:t>
      </w:r>
      <w:r>
        <w:rPr>
          <w:spacing w:val="1"/>
        </w:rPr>
        <w:t> </w:t>
      </w:r>
      <w:r>
        <w:rPr>
          <w:spacing w:val="-6"/>
        </w:rPr>
        <w:t>visiting</w:t>
      </w:r>
      <w:r>
        <w:rPr>
          <w:spacing w:val="1"/>
        </w:rPr>
        <w:t> </w:t>
      </w:r>
      <w:r>
        <w:rPr>
          <w:spacing w:val="-6"/>
        </w:rPr>
        <w:t>professors.</w:t>
      </w:r>
      <w:r>
        <w:rPr>
          <w:spacing w:val="1"/>
        </w:rPr>
        <w:t> </w:t>
      </w:r>
      <w:r>
        <w:rPr>
          <w:spacing w:val="-6"/>
        </w:rPr>
        <w:t>Further,</w:t>
      </w:r>
      <w:r>
        <w:rPr>
          <w:spacing w:val="1"/>
        </w:rPr>
        <w:t> </w:t>
      </w:r>
      <w:r>
        <w:rPr>
          <w:i/>
          <w:spacing w:val="-8"/>
        </w:rPr>
        <w:t>University</w:t>
      </w:r>
    </w:p>
    <w:p>
      <w:pPr>
        <w:spacing w:after="0" w:line="266" w:lineRule="auto"/>
        <w:jc w:val="both"/>
        <w:sectPr>
          <w:pgSz w:w="11910" w:h="16840"/>
          <w:pgMar w:header="0" w:footer="675" w:top="960" w:bottom="860" w:left="0" w:right="0"/>
          <w:cols w:num="2" w:equalWidth="0">
            <w:col w:w="5774" w:space="40"/>
            <w:col w:w="6096"/>
          </w:cols>
        </w:sectPr>
      </w:pPr>
    </w:p>
    <w:p>
      <w:pPr>
        <w:spacing w:line="266" w:lineRule="auto" w:before="54"/>
        <w:ind w:left="1080" w:right="0" w:firstLine="0"/>
        <w:jc w:val="both"/>
        <w:rPr>
          <w:sz w:val="22"/>
        </w:rPr>
      </w:pPr>
      <w:r>
        <w:rPr>
          <w:i/>
          <w:w w:val="90"/>
          <w:sz w:val="22"/>
        </w:rPr>
        <w:t>and</w:t>
      </w:r>
      <w:r>
        <w:rPr>
          <w:i/>
          <w:spacing w:val="-2"/>
          <w:w w:val="90"/>
          <w:sz w:val="22"/>
        </w:rPr>
        <w:t> </w:t>
      </w:r>
      <w:r>
        <w:rPr>
          <w:i/>
          <w:w w:val="90"/>
          <w:sz w:val="22"/>
        </w:rPr>
        <w:t>research</w:t>
      </w:r>
      <w:r>
        <w:rPr>
          <w:i/>
          <w:spacing w:val="-2"/>
          <w:w w:val="90"/>
          <w:sz w:val="22"/>
        </w:rPr>
        <w:t> </w:t>
      </w:r>
      <w:r>
        <w:rPr>
          <w:i/>
          <w:w w:val="90"/>
          <w:sz w:val="22"/>
        </w:rPr>
        <w:t>institute</w:t>
      </w:r>
      <w:r>
        <w:rPr>
          <w:i/>
          <w:spacing w:val="-2"/>
          <w:w w:val="90"/>
          <w:sz w:val="22"/>
        </w:rPr>
        <w:t> </w:t>
      </w:r>
      <w:r>
        <w:rPr>
          <w:i/>
          <w:w w:val="90"/>
          <w:sz w:val="22"/>
        </w:rPr>
        <w:t>faculty</w:t>
      </w:r>
      <w:r>
        <w:rPr>
          <w:i/>
          <w:spacing w:val="-2"/>
          <w:w w:val="90"/>
          <w:sz w:val="22"/>
        </w:rPr>
        <w:t> </w:t>
      </w:r>
      <w:r>
        <w:rPr>
          <w:i/>
          <w:w w:val="90"/>
          <w:sz w:val="22"/>
        </w:rPr>
        <w:t>members</w:t>
      </w:r>
      <w:r>
        <w:rPr>
          <w:i/>
          <w:spacing w:val="-2"/>
          <w:w w:val="90"/>
          <w:sz w:val="22"/>
        </w:rPr>
        <w:t> </w:t>
      </w:r>
      <w:r>
        <w:rPr>
          <w:i/>
          <w:w w:val="90"/>
          <w:sz w:val="22"/>
        </w:rPr>
        <w:t>should</w:t>
      </w:r>
      <w:r>
        <w:rPr>
          <w:i/>
          <w:spacing w:val="-2"/>
          <w:w w:val="90"/>
          <w:sz w:val="22"/>
        </w:rPr>
        <w:t> </w:t>
      </w:r>
      <w:r>
        <w:rPr>
          <w:i/>
          <w:w w:val="90"/>
          <w:sz w:val="22"/>
        </w:rPr>
        <w:t>be</w:t>
      </w:r>
      <w:r>
        <w:rPr>
          <w:i/>
          <w:spacing w:val="-2"/>
          <w:w w:val="90"/>
          <w:sz w:val="22"/>
        </w:rPr>
        <w:t> </w:t>
      </w:r>
      <w:r>
        <w:rPr>
          <w:i/>
          <w:w w:val="90"/>
          <w:sz w:val="22"/>
        </w:rPr>
        <w:t>given</w:t>
      </w:r>
      <w:r>
        <w:rPr>
          <w:i/>
          <w:spacing w:val="-2"/>
          <w:w w:val="90"/>
          <w:sz w:val="22"/>
        </w:rPr>
        <w:t> </w:t>
      </w:r>
      <w:r>
        <w:rPr>
          <w:i/>
          <w:w w:val="90"/>
          <w:sz w:val="22"/>
        </w:rPr>
        <w:t>the </w:t>
      </w:r>
      <w:r>
        <w:rPr>
          <w:i/>
          <w:spacing w:val="-4"/>
          <w:sz w:val="22"/>
        </w:rPr>
        <w:t>flexibility</w:t>
      </w:r>
      <w:r>
        <w:rPr>
          <w:i/>
          <w:spacing w:val="-6"/>
          <w:sz w:val="22"/>
        </w:rPr>
        <w:t> </w:t>
      </w:r>
      <w:r>
        <w:rPr>
          <w:i/>
          <w:spacing w:val="-4"/>
          <w:sz w:val="22"/>
        </w:rPr>
        <w:t>of</w:t>
      </w:r>
      <w:r>
        <w:rPr>
          <w:i/>
          <w:spacing w:val="-6"/>
          <w:sz w:val="22"/>
        </w:rPr>
        <w:t> </w:t>
      </w:r>
      <w:r>
        <w:rPr>
          <w:i/>
          <w:spacing w:val="-4"/>
          <w:sz w:val="22"/>
        </w:rPr>
        <w:t>taking</w:t>
      </w:r>
      <w:r>
        <w:rPr>
          <w:i/>
          <w:spacing w:val="-6"/>
          <w:sz w:val="22"/>
        </w:rPr>
        <w:t> </w:t>
      </w:r>
      <w:r>
        <w:rPr>
          <w:i/>
          <w:spacing w:val="-4"/>
          <w:sz w:val="22"/>
        </w:rPr>
        <w:t>sabbaticals</w:t>
      </w:r>
      <w:r>
        <w:rPr>
          <w:i/>
          <w:spacing w:val="-6"/>
          <w:sz w:val="22"/>
        </w:rPr>
        <w:t> </w:t>
      </w:r>
      <w:r>
        <w:rPr>
          <w:i/>
          <w:spacing w:val="-4"/>
          <w:sz w:val="22"/>
        </w:rPr>
        <w:t>for</w:t>
      </w:r>
      <w:r>
        <w:rPr>
          <w:i/>
          <w:spacing w:val="-6"/>
          <w:sz w:val="22"/>
        </w:rPr>
        <w:t> </w:t>
      </w:r>
      <w:r>
        <w:rPr>
          <w:i/>
          <w:spacing w:val="-4"/>
          <w:sz w:val="22"/>
        </w:rPr>
        <w:t>teaching</w:t>
      </w:r>
      <w:r>
        <w:rPr>
          <w:i/>
          <w:spacing w:val="-6"/>
          <w:sz w:val="22"/>
        </w:rPr>
        <w:t> </w:t>
      </w:r>
      <w:r>
        <w:rPr>
          <w:i/>
          <w:spacing w:val="-4"/>
          <w:sz w:val="22"/>
        </w:rPr>
        <w:t>in</w:t>
      </w:r>
      <w:r>
        <w:rPr>
          <w:i/>
          <w:spacing w:val="-6"/>
          <w:sz w:val="22"/>
        </w:rPr>
        <w:t> </w:t>
      </w:r>
      <w:r>
        <w:rPr>
          <w:i/>
          <w:spacing w:val="-4"/>
          <w:sz w:val="22"/>
        </w:rPr>
        <w:t>colleges, </w:t>
      </w:r>
      <w:r>
        <w:rPr>
          <w:i/>
          <w:sz w:val="22"/>
        </w:rPr>
        <w:t>doing work in educational field and for popularising </w:t>
      </w:r>
      <w:r>
        <w:rPr>
          <w:i/>
          <w:w w:val="90"/>
          <w:sz w:val="22"/>
        </w:rPr>
        <w:t>science</w:t>
      </w:r>
      <w:r>
        <w:rPr>
          <w:i/>
          <w:spacing w:val="-8"/>
          <w:w w:val="90"/>
          <w:sz w:val="22"/>
        </w:rPr>
        <w:t> </w:t>
      </w:r>
      <w:r>
        <w:rPr>
          <w:i/>
          <w:w w:val="90"/>
          <w:sz w:val="22"/>
        </w:rPr>
        <w:t>among</w:t>
      </w:r>
      <w:r>
        <w:rPr>
          <w:i/>
          <w:spacing w:val="-8"/>
          <w:w w:val="90"/>
          <w:sz w:val="22"/>
        </w:rPr>
        <w:t> </w:t>
      </w:r>
      <w:r>
        <w:rPr>
          <w:i/>
          <w:w w:val="90"/>
          <w:sz w:val="22"/>
        </w:rPr>
        <w:t>children,</w:t>
      </w:r>
      <w:r>
        <w:rPr>
          <w:i/>
          <w:spacing w:val="-8"/>
          <w:w w:val="90"/>
          <w:sz w:val="22"/>
        </w:rPr>
        <w:t> </w:t>
      </w:r>
      <w:r>
        <w:rPr>
          <w:i/>
          <w:w w:val="90"/>
          <w:sz w:val="22"/>
        </w:rPr>
        <w:t>teachers</w:t>
      </w:r>
      <w:r>
        <w:rPr>
          <w:i/>
          <w:spacing w:val="-8"/>
          <w:w w:val="90"/>
          <w:sz w:val="22"/>
        </w:rPr>
        <w:t> </w:t>
      </w:r>
      <w:r>
        <w:rPr>
          <w:i/>
          <w:w w:val="90"/>
          <w:sz w:val="22"/>
        </w:rPr>
        <w:t>and</w:t>
      </w:r>
      <w:r>
        <w:rPr>
          <w:i/>
          <w:spacing w:val="-8"/>
          <w:w w:val="90"/>
          <w:sz w:val="22"/>
        </w:rPr>
        <w:t> </w:t>
      </w:r>
      <w:r>
        <w:rPr>
          <w:i/>
          <w:w w:val="90"/>
          <w:sz w:val="22"/>
        </w:rPr>
        <w:t>communities</w:t>
      </w:r>
      <w:r>
        <w:rPr>
          <w:i/>
          <w:spacing w:val="-8"/>
          <w:w w:val="90"/>
          <w:sz w:val="22"/>
        </w:rPr>
        <w:t> </w:t>
      </w:r>
      <w:r>
        <w:rPr>
          <w:i/>
          <w:w w:val="90"/>
          <w:sz w:val="22"/>
        </w:rPr>
        <w:t>in</w:t>
      </w:r>
      <w:r>
        <w:rPr>
          <w:i/>
          <w:spacing w:val="-8"/>
          <w:w w:val="90"/>
          <w:sz w:val="22"/>
        </w:rPr>
        <w:t> </w:t>
      </w:r>
      <w:r>
        <w:rPr>
          <w:i/>
          <w:w w:val="90"/>
          <w:sz w:val="22"/>
        </w:rPr>
        <w:t>rural and urban areas. </w:t>
      </w:r>
      <w:r>
        <w:rPr>
          <w:w w:val="90"/>
          <w:sz w:val="22"/>
        </w:rPr>
        <w:t>Appropriate checks and balances can be </w:t>
      </w:r>
      <w:r>
        <w:rPr>
          <w:sz w:val="22"/>
        </w:rPr>
        <w:t>put</w:t>
      </w:r>
      <w:r>
        <w:rPr>
          <w:spacing w:val="-9"/>
          <w:sz w:val="22"/>
        </w:rPr>
        <w:t> </w:t>
      </w:r>
      <w:r>
        <w:rPr>
          <w:sz w:val="22"/>
        </w:rPr>
        <w:t>in</w:t>
      </w:r>
      <w:r>
        <w:rPr>
          <w:spacing w:val="-9"/>
          <w:sz w:val="22"/>
        </w:rPr>
        <w:t> </w:t>
      </w:r>
      <w:r>
        <w:rPr>
          <w:sz w:val="22"/>
        </w:rPr>
        <w:t>place</w:t>
      </w:r>
      <w:r>
        <w:rPr>
          <w:spacing w:val="-9"/>
          <w:sz w:val="22"/>
        </w:rPr>
        <w:t> </w:t>
      </w:r>
      <w:r>
        <w:rPr>
          <w:sz w:val="22"/>
        </w:rPr>
        <w:t>to</w:t>
      </w:r>
      <w:r>
        <w:rPr>
          <w:spacing w:val="-9"/>
          <w:sz w:val="22"/>
        </w:rPr>
        <w:t> </w:t>
      </w:r>
      <w:r>
        <w:rPr>
          <w:sz w:val="22"/>
        </w:rPr>
        <w:t>ensure</w:t>
      </w:r>
      <w:r>
        <w:rPr>
          <w:spacing w:val="-9"/>
          <w:sz w:val="22"/>
        </w:rPr>
        <w:t> </w:t>
      </w:r>
      <w:r>
        <w:rPr>
          <w:sz w:val="22"/>
        </w:rPr>
        <w:t>that</w:t>
      </w:r>
      <w:r>
        <w:rPr>
          <w:spacing w:val="-9"/>
          <w:sz w:val="22"/>
        </w:rPr>
        <w:t> </w:t>
      </w:r>
      <w:r>
        <w:rPr>
          <w:sz w:val="22"/>
        </w:rPr>
        <w:t>the</w:t>
      </w:r>
      <w:r>
        <w:rPr>
          <w:spacing w:val="-9"/>
          <w:sz w:val="22"/>
        </w:rPr>
        <w:t> </w:t>
      </w:r>
      <w:r>
        <w:rPr>
          <w:sz w:val="22"/>
        </w:rPr>
        <w:t>organisations</w:t>
      </w:r>
      <w:r>
        <w:rPr>
          <w:spacing w:val="-9"/>
          <w:sz w:val="22"/>
        </w:rPr>
        <w:t> </w:t>
      </w:r>
      <w:r>
        <w:rPr>
          <w:sz w:val="22"/>
        </w:rPr>
        <w:t>where</w:t>
      </w:r>
      <w:r>
        <w:rPr>
          <w:spacing w:val="-9"/>
          <w:sz w:val="22"/>
        </w:rPr>
        <w:t> </w:t>
      </w:r>
      <w:r>
        <w:rPr>
          <w:sz w:val="22"/>
        </w:rPr>
        <w:t>the </w:t>
      </w:r>
      <w:r>
        <w:rPr>
          <w:spacing w:val="-2"/>
          <w:sz w:val="22"/>
        </w:rPr>
        <w:t>faculty</w:t>
      </w:r>
      <w:r>
        <w:rPr>
          <w:spacing w:val="-6"/>
          <w:sz w:val="22"/>
        </w:rPr>
        <w:t> </w:t>
      </w:r>
      <w:r>
        <w:rPr>
          <w:spacing w:val="-2"/>
          <w:sz w:val="22"/>
        </w:rPr>
        <w:t>members</w:t>
      </w:r>
      <w:r>
        <w:rPr>
          <w:spacing w:val="-6"/>
          <w:sz w:val="22"/>
        </w:rPr>
        <w:t> </w:t>
      </w:r>
      <w:r>
        <w:rPr>
          <w:spacing w:val="-2"/>
          <w:sz w:val="22"/>
        </w:rPr>
        <w:t>choose</w:t>
      </w:r>
      <w:r>
        <w:rPr>
          <w:spacing w:val="-6"/>
          <w:sz w:val="22"/>
        </w:rPr>
        <w:t> </w:t>
      </w:r>
      <w:r>
        <w:rPr>
          <w:spacing w:val="-2"/>
          <w:sz w:val="22"/>
        </w:rPr>
        <w:t>to</w:t>
      </w:r>
      <w:r>
        <w:rPr>
          <w:spacing w:val="-6"/>
          <w:sz w:val="22"/>
        </w:rPr>
        <w:t> </w:t>
      </w:r>
      <w:r>
        <w:rPr>
          <w:spacing w:val="-2"/>
          <w:sz w:val="22"/>
        </w:rPr>
        <w:t>work</w:t>
      </w:r>
      <w:r>
        <w:rPr>
          <w:spacing w:val="-6"/>
          <w:sz w:val="22"/>
        </w:rPr>
        <w:t> </w:t>
      </w:r>
      <w:r>
        <w:rPr>
          <w:spacing w:val="-2"/>
          <w:sz w:val="22"/>
        </w:rPr>
        <w:t>are</w:t>
      </w:r>
      <w:r>
        <w:rPr>
          <w:spacing w:val="-6"/>
          <w:sz w:val="22"/>
        </w:rPr>
        <w:t> </w:t>
      </w:r>
      <w:r>
        <w:rPr>
          <w:spacing w:val="-2"/>
          <w:sz w:val="22"/>
        </w:rPr>
        <w:t>indeed</w:t>
      </w:r>
      <w:r>
        <w:rPr>
          <w:spacing w:val="-6"/>
          <w:sz w:val="22"/>
        </w:rPr>
        <w:t> </w:t>
      </w:r>
      <w:r>
        <w:rPr>
          <w:spacing w:val="-2"/>
          <w:sz w:val="22"/>
        </w:rPr>
        <w:t>benefiting </w:t>
      </w:r>
      <w:r>
        <w:rPr>
          <w:sz w:val="22"/>
        </w:rPr>
        <w:t>from their participation.</w:t>
      </w:r>
    </w:p>
    <w:p>
      <w:pPr>
        <w:pStyle w:val="BodyText"/>
        <w:spacing w:before="20"/>
      </w:pPr>
    </w:p>
    <w:p>
      <w:pPr>
        <w:pStyle w:val="BodyText"/>
        <w:spacing w:line="266" w:lineRule="auto"/>
        <w:ind w:left="1080"/>
        <w:jc w:val="both"/>
      </w:pPr>
      <w:r>
        <w:rPr/>
        <w:t>There is a horde of grant disbursing </w:t>
      </w:r>
      <w:r>
        <w:rPr/>
        <w:t>government departments and organisations. Researchers seeking funds for their projects have to manoeuvre across all </w:t>
      </w:r>
      <w:r>
        <w:rPr>
          <w:spacing w:val="-2"/>
        </w:rPr>
        <w:t>these</w:t>
      </w:r>
      <w:r>
        <w:rPr>
          <w:spacing w:val="-7"/>
        </w:rPr>
        <w:t> </w:t>
      </w:r>
      <w:r>
        <w:rPr>
          <w:spacing w:val="-2"/>
        </w:rPr>
        <w:t>administrative</w:t>
      </w:r>
      <w:r>
        <w:rPr>
          <w:spacing w:val="-7"/>
        </w:rPr>
        <w:t> </w:t>
      </w:r>
      <w:r>
        <w:rPr>
          <w:spacing w:val="-2"/>
        </w:rPr>
        <w:t>hassles</w:t>
      </w:r>
      <w:r>
        <w:rPr>
          <w:spacing w:val="-7"/>
        </w:rPr>
        <w:t> </w:t>
      </w:r>
      <w:r>
        <w:rPr>
          <w:spacing w:val="-2"/>
        </w:rPr>
        <w:t>to</w:t>
      </w:r>
      <w:r>
        <w:rPr>
          <w:spacing w:val="-7"/>
        </w:rPr>
        <w:t> </w:t>
      </w:r>
      <w:r>
        <w:rPr>
          <w:spacing w:val="-2"/>
        </w:rPr>
        <w:t>get</w:t>
      </w:r>
      <w:r>
        <w:rPr>
          <w:spacing w:val="-7"/>
        </w:rPr>
        <w:t> </w:t>
      </w:r>
      <w:r>
        <w:rPr>
          <w:spacing w:val="-2"/>
        </w:rPr>
        <w:t>funds.</w:t>
      </w:r>
      <w:r>
        <w:rPr>
          <w:spacing w:val="-7"/>
        </w:rPr>
        <w:t> </w:t>
      </w:r>
      <w:r>
        <w:rPr>
          <w:spacing w:val="-2"/>
        </w:rPr>
        <w:t>A</w:t>
      </w:r>
      <w:r>
        <w:rPr>
          <w:spacing w:val="-7"/>
        </w:rPr>
        <w:t> </w:t>
      </w:r>
      <w:r>
        <w:rPr>
          <w:spacing w:val="-2"/>
        </w:rPr>
        <w:t>web</w:t>
      </w:r>
      <w:r>
        <w:rPr>
          <w:spacing w:val="-7"/>
        </w:rPr>
        <w:t> </w:t>
      </w:r>
      <w:r>
        <w:rPr>
          <w:spacing w:val="-2"/>
        </w:rPr>
        <w:t>portal which</w:t>
      </w:r>
      <w:r>
        <w:rPr>
          <w:spacing w:val="-7"/>
        </w:rPr>
        <w:t> </w:t>
      </w:r>
      <w:r>
        <w:rPr>
          <w:spacing w:val="-2"/>
        </w:rPr>
        <w:t>brings</w:t>
      </w:r>
      <w:r>
        <w:rPr>
          <w:spacing w:val="-7"/>
        </w:rPr>
        <w:t> </w:t>
      </w:r>
      <w:r>
        <w:rPr>
          <w:spacing w:val="-2"/>
        </w:rPr>
        <w:t>all</w:t>
      </w:r>
      <w:r>
        <w:rPr>
          <w:spacing w:val="-7"/>
        </w:rPr>
        <w:t> </w:t>
      </w:r>
      <w:r>
        <w:rPr>
          <w:spacing w:val="-2"/>
        </w:rPr>
        <w:t>relevant</w:t>
      </w:r>
      <w:r>
        <w:rPr>
          <w:spacing w:val="-7"/>
        </w:rPr>
        <w:t> </w:t>
      </w:r>
      <w:r>
        <w:rPr>
          <w:spacing w:val="-2"/>
        </w:rPr>
        <w:t>funding</w:t>
      </w:r>
      <w:r>
        <w:rPr>
          <w:spacing w:val="-7"/>
        </w:rPr>
        <w:t> </w:t>
      </w:r>
      <w:r>
        <w:rPr>
          <w:spacing w:val="-2"/>
        </w:rPr>
        <w:t>information</w:t>
      </w:r>
      <w:r>
        <w:rPr>
          <w:spacing w:val="-7"/>
        </w:rPr>
        <w:t> </w:t>
      </w:r>
      <w:r>
        <w:rPr>
          <w:spacing w:val="-2"/>
        </w:rPr>
        <w:t>together </w:t>
      </w:r>
      <w:r>
        <w:rPr>
          <w:spacing w:val="-6"/>
        </w:rPr>
        <w:t>should</w:t>
      </w:r>
      <w:r>
        <w:rPr>
          <w:spacing w:val="-8"/>
        </w:rPr>
        <w:t> </w:t>
      </w:r>
      <w:r>
        <w:rPr>
          <w:spacing w:val="-6"/>
        </w:rPr>
        <w:t>be</w:t>
      </w:r>
      <w:r>
        <w:rPr>
          <w:spacing w:val="-8"/>
        </w:rPr>
        <w:t> </w:t>
      </w:r>
      <w:r>
        <w:rPr>
          <w:spacing w:val="-6"/>
        </w:rPr>
        <w:t>launched.</w:t>
      </w:r>
      <w:r>
        <w:rPr>
          <w:spacing w:val="-8"/>
        </w:rPr>
        <w:t> </w:t>
      </w:r>
      <w:r>
        <w:rPr>
          <w:spacing w:val="-6"/>
        </w:rPr>
        <w:t>Administrative</w:t>
      </w:r>
      <w:r>
        <w:rPr>
          <w:spacing w:val="-7"/>
        </w:rPr>
        <w:t> </w:t>
      </w:r>
      <w:r>
        <w:rPr>
          <w:spacing w:val="-6"/>
        </w:rPr>
        <w:t>problems</w:t>
      </w:r>
      <w:r>
        <w:rPr>
          <w:spacing w:val="-8"/>
        </w:rPr>
        <w:t> </w:t>
      </w:r>
      <w:r>
        <w:rPr>
          <w:spacing w:val="-6"/>
        </w:rPr>
        <w:t>and</w:t>
      </w:r>
      <w:r>
        <w:rPr>
          <w:spacing w:val="-8"/>
        </w:rPr>
        <w:t> </w:t>
      </w:r>
      <w:r>
        <w:rPr>
          <w:spacing w:val="-6"/>
        </w:rPr>
        <w:t>delays </w:t>
      </w:r>
      <w:r>
        <w:rPr>
          <w:spacing w:val="-4"/>
        </w:rPr>
        <w:t>created</w:t>
      </w:r>
      <w:r>
        <w:rPr>
          <w:spacing w:val="-5"/>
        </w:rPr>
        <w:t> </w:t>
      </w:r>
      <w:r>
        <w:rPr>
          <w:spacing w:val="-4"/>
        </w:rPr>
        <w:t>by</w:t>
      </w:r>
      <w:r>
        <w:rPr>
          <w:spacing w:val="-5"/>
        </w:rPr>
        <w:t> </w:t>
      </w:r>
      <w:r>
        <w:rPr>
          <w:spacing w:val="-4"/>
        </w:rPr>
        <w:t>funding</w:t>
      </w:r>
      <w:r>
        <w:rPr>
          <w:spacing w:val="-5"/>
        </w:rPr>
        <w:t> </w:t>
      </w:r>
      <w:r>
        <w:rPr>
          <w:spacing w:val="-4"/>
        </w:rPr>
        <w:t>agencies</w:t>
      </w:r>
      <w:r>
        <w:rPr>
          <w:spacing w:val="-5"/>
        </w:rPr>
        <w:t> </w:t>
      </w:r>
      <w:r>
        <w:rPr>
          <w:spacing w:val="-4"/>
        </w:rPr>
        <w:t>should</w:t>
      </w:r>
      <w:r>
        <w:rPr>
          <w:spacing w:val="-5"/>
        </w:rPr>
        <w:t> </w:t>
      </w:r>
      <w:r>
        <w:rPr>
          <w:spacing w:val="-4"/>
        </w:rPr>
        <w:t>be</w:t>
      </w:r>
      <w:r>
        <w:rPr>
          <w:spacing w:val="-5"/>
        </w:rPr>
        <w:t> </w:t>
      </w:r>
      <w:r>
        <w:rPr>
          <w:spacing w:val="-4"/>
        </w:rPr>
        <w:t>done</w:t>
      </w:r>
      <w:r>
        <w:rPr>
          <w:spacing w:val="-5"/>
        </w:rPr>
        <w:t> </w:t>
      </w:r>
      <w:r>
        <w:rPr>
          <w:spacing w:val="-4"/>
        </w:rPr>
        <w:t>away</w:t>
      </w:r>
      <w:r>
        <w:rPr>
          <w:spacing w:val="-5"/>
        </w:rPr>
        <w:t> </w:t>
      </w:r>
      <w:r>
        <w:rPr>
          <w:spacing w:val="-4"/>
        </w:rPr>
        <w:t>with. </w:t>
      </w:r>
      <w:r>
        <w:rPr/>
        <w:t>Competitive</w:t>
      </w:r>
      <w:r>
        <w:rPr>
          <w:spacing w:val="-8"/>
        </w:rPr>
        <w:t> </w:t>
      </w:r>
      <w:r>
        <w:rPr/>
        <w:t>process</w:t>
      </w:r>
      <w:r>
        <w:rPr>
          <w:spacing w:val="-8"/>
        </w:rPr>
        <w:t> </w:t>
      </w:r>
      <w:r>
        <w:rPr/>
        <w:t>for</w:t>
      </w:r>
      <w:r>
        <w:rPr>
          <w:spacing w:val="-8"/>
        </w:rPr>
        <w:t> </w:t>
      </w:r>
      <w:r>
        <w:rPr/>
        <w:t>grants</w:t>
      </w:r>
      <w:r>
        <w:rPr>
          <w:spacing w:val="-8"/>
        </w:rPr>
        <w:t> </w:t>
      </w:r>
      <w:r>
        <w:rPr/>
        <w:t>should</w:t>
      </w:r>
      <w:r>
        <w:rPr>
          <w:spacing w:val="-8"/>
        </w:rPr>
        <w:t> </w:t>
      </w:r>
      <w:r>
        <w:rPr/>
        <w:t>be</w:t>
      </w:r>
      <w:r>
        <w:rPr>
          <w:spacing w:val="-8"/>
        </w:rPr>
        <w:t> </w:t>
      </w:r>
      <w:r>
        <w:rPr/>
        <w:t>established. Principles</w:t>
      </w:r>
      <w:r>
        <w:rPr>
          <w:spacing w:val="-1"/>
        </w:rPr>
        <w:t> </w:t>
      </w:r>
      <w:r>
        <w:rPr/>
        <w:t>of</w:t>
      </w:r>
      <w:r>
        <w:rPr>
          <w:spacing w:val="-1"/>
        </w:rPr>
        <w:t> </w:t>
      </w:r>
      <w:r>
        <w:rPr/>
        <w:t>e-governance</w:t>
      </w:r>
      <w:r>
        <w:rPr>
          <w:spacing w:val="-1"/>
        </w:rPr>
        <w:t> </w:t>
      </w:r>
      <w:r>
        <w:rPr/>
        <w:t>should</w:t>
      </w:r>
      <w:r>
        <w:rPr>
          <w:spacing w:val="-1"/>
        </w:rPr>
        <w:t> </w:t>
      </w:r>
      <w:r>
        <w:rPr/>
        <w:t>be</w:t>
      </w:r>
      <w:r>
        <w:rPr>
          <w:spacing w:val="-1"/>
        </w:rPr>
        <w:t> </w:t>
      </w:r>
      <w:r>
        <w:rPr/>
        <w:t>incorporated</w:t>
      </w:r>
      <w:r>
        <w:rPr>
          <w:spacing w:val="-1"/>
        </w:rPr>
        <w:t> </w:t>
      </w:r>
      <w:r>
        <w:rPr/>
        <w:t>to promote transparency in the system.</w:t>
      </w:r>
    </w:p>
    <w:p>
      <w:pPr>
        <w:pStyle w:val="Heading7"/>
        <w:spacing w:line="225" w:lineRule="auto" w:before="249"/>
        <w:ind w:left="1080"/>
      </w:pPr>
      <w:r>
        <w:rPr>
          <w:color w:val="2E614A"/>
          <w:w w:val="90"/>
        </w:rPr>
        <w:t>Recommendation 2: Revitalise the </w:t>
      </w:r>
      <w:r>
        <w:rPr>
          <w:color w:val="2E614A"/>
          <w:w w:val="90"/>
        </w:rPr>
        <w:t>teaching </w:t>
      </w:r>
      <w:r>
        <w:rPr>
          <w:color w:val="2E614A"/>
          <w:spacing w:val="-4"/>
        </w:rPr>
        <w:t>profession</w:t>
      </w:r>
      <w:r>
        <w:rPr>
          <w:color w:val="2E614A"/>
          <w:spacing w:val="-12"/>
        </w:rPr>
        <w:t> </w:t>
      </w:r>
      <w:r>
        <w:rPr>
          <w:color w:val="2E614A"/>
          <w:spacing w:val="-4"/>
        </w:rPr>
        <w:t>to</w:t>
      </w:r>
      <w:r>
        <w:rPr>
          <w:color w:val="2E614A"/>
          <w:spacing w:val="-12"/>
        </w:rPr>
        <w:t> </w:t>
      </w:r>
      <w:r>
        <w:rPr>
          <w:color w:val="2E614A"/>
          <w:spacing w:val="-4"/>
        </w:rPr>
        <w:t>attract</w:t>
      </w:r>
      <w:r>
        <w:rPr>
          <w:color w:val="2E614A"/>
          <w:spacing w:val="-12"/>
        </w:rPr>
        <w:t> </w:t>
      </w:r>
      <w:r>
        <w:rPr>
          <w:color w:val="2E614A"/>
          <w:spacing w:val="-4"/>
        </w:rPr>
        <w:t>and</w:t>
      </w:r>
      <w:r>
        <w:rPr>
          <w:color w:val="2E614A"/>
          <w:spacing w:val="-12"/>
        </w:rPr>
        <w:t> </w:t>
      </w:r>
      <w:r>
        <w:rPr>
          <w:color w:val="2E614A"/>
          <w:spacing w:val="-4"/>
        </w:rPr>
        <w:t>retain</w:t>
      </w:r>
      <w:r>
        <w:rPr>
          <w:color w:val="2E614A"/>
          <w:spacing w:val="-12"/>
        </w:rPr>
        <w:t> </w:t>
      </w:r>
      <w:r>
        <w:rPr>
          <w:color w:val="2E614A"/>
          <w:spacing w:val="-4"/>
        </w:rPr>
        <w:t>quality </w:t>
      </w:r>
      <w:r>
        <w:rPr>
          <w:color w:val="2E614A"/>
          <w:spacing w:val="-2"/>
        </w:rPr>
        <w:t>teachers</w:t>
      </w:r>
    </w:p>
    <w:p>
      <w:pPr>
        <w:pStyle w:val="BodyText"/>
        <w:spacing w:before="1"/>
        <w:rPr>
          <w:b/>
          <w:sz w:val="26"/>
        </w:rPr>
      </w:pPr>
    </w:p>
    <w:p>
      <w:pPr>
        <w:pStyle w:val="BodyText"/>
        <w:spacing w:line="266" w:lineRule="auto"/>
        <w:ind w:left="1080"/>
        <w:jc w:val="both"/>
      </w:pPr>
      <w:r>
        <w:rPr>
          <w:spacing w:val="-4"/>
        </w:rPr>
        <w:t>The</w:t>
      </w:r>
      <w:r>
        <w:rPr>
          <w:spacing w:val="-12"/>
        </w:rPr>
        <w:t> </w:t>
      </w:r>
      <w:r>
        <w:rPr>
          <w:spacing w:val="-4"/>
        </w:rPr>
        <w:t>working</w:t>
      </w:r>
      <w:r>
        <w:rPr>
          <w:spacing w:val="-10"/>
        </w:rPr>
        <w:t> </w:t>
      </w:r>
      <w:r>
        <w:rPr>
          <w:spacing w:val="-4"/>
        </w:rPr>
        <w:t>conditions</w:t>
      </w:r>
      <w:r>
        <w:rPr>
          <w:spacing w:val="-10"/>
        </w:rPr>
        <w:t> </w:t>
      </w:r>
      <w:r>
        <w:rPr>
          <w:spacing w:val="-4"/>
        </w:rPr>
        <w:t>for</w:t>
      </w:r>
      <w:r>
        <w:rPr>
          <w:spacing w:val="-9"/>
        </w:rPr>
        <w:t> </w:t>
      </w:r>
      <w:r>
        <w:rPr>
          <w:spacing w:val="-4"/>
        </w:rPr>
        <w:t>science</w:t>
      </w:r>
      <w:r>
        <w:rPr>
          <w:spacing w:val="-10"/>
        </w:rPr>
        <w:t> </w:t>
      </w:r>
      <w:r>
        <w:rPr>
          <w:spacing w:val="-4"/>
        </w:rPr>
        <w:t>teachers</w:t>
      </w:r>
      <w:r>
        <w:rPr>
          <w:spacing w:val="-10"/>
        </w:rPr>
        <w:t> </w:t>
      </w:r>
      <w:r>
        <w:rPr>
          <w:spacing w:val="-4"/>
        </w:rPr>
        <w:t>at</w:t>
      </w:r>
      <w:r>
        <w:rPr>
          <w:spacing w:val="-10"/>
        </w:rPr>
        <w:t> </w:t>
      </w:r>
      <w:r>
        <w:rPr>
          <w:spacing w:val="-4"/>
        </w:rPr>
        <w:t>all</w:t>
      </w:r>
      <w:r>
        <w:rPr>
          <w:spacing w:val="-9"/>
        </w:rPr>
        <w:t> </w:t>
      </w:r>
      <w:r>
        <w:rPr>
          <w:spacing w:val="-4"/>
        </w:rPr>
        <w:t>levels </w:t>
      </w:r>
      <w:r>
        <w:rPr/>
        <w:t>should be improved. Massive efforts are needed not </w:t>
      </w:r>
      <w:r>
        <w:rPr>
          <w:spacing w:val="-6"/>
        </w:rPr>
        <w:t>only to make teaching an attractive profession for young </w:t>
      </w:r>
      <w:r>
        <w:rPr>
          <w:w w:val="90"/>
        </w:rPr>
        <w:t>science trained professionals, but also to revive the desire </w:t>
      </w:r>
      <w:r>
        <w:rPr/>
        <w:t>to teach and inspire students in existing teachers.</w:t>
      </w:r>
    </w:p>
    <w:p>
      <w:pPr>
        <w:pStyle w:val="BodyText"/>
        <w:spacing w:before="23"/>
      </w:pPr>
    </w:p>
    <w:p>
      <w:pPr>
        <w:pStyle w:val="BodyText"/>
        <w:spacing w:line="266" w:lineRule="auto"/>
        <w:ind w:left="1080"/>
        <w:jc w:val="both"/>
      </w:pPr>
      <w:r>
        <w:rPr>
          <w:b/>
        </w:rPr>
        <w:t>Issues: </w:t>
      </w:r>
      <w:r>
        <w:rPr/>
        <w:t>The base salary of teachers is low. </w:t>
      </w:r>
      <w:r>
        <w:rPr/>
        <w:t>Further, </w:t>
      </w:r>
      <w:r>
        <w:rPr>
          <w:spacing w:val="-4"/>
        </w:rPr>
        <w:t>reward and recognition mechanisms do not exist. Basic </w:t>
      </w:r>
      <w:r>
        <w:rPr/>
        <w:t>infrastructure</w:t>
      </w:r>
      <w:r>
        <w:rPr>
          <w:spacing w:val="-12"/>
        </w:rPr>
        <w:t> </w:t>
      </w:r>
      <w:r>
        <w:rPr/>
        <w:t>is</w:t>
      </w:r>
      <w:r>
        <w:rPr>
          <w:spacing w:val="-12"/>
        </w:rPr>
        <w:t> </w:t>
      </w:r>
      <w:r>
        <w:rPr/>
        <w:t>inadequate</w:t>
      </w:r>
      <w:r>
        <w:rPr>
          <w:spacing w:val="-12"/>
        </w:rPr>
        <w:t> </w:t>
      </w:r>
      <w:r>
        <w:rPr/>
        <w:t>and</w:t>
      </w:r>
      <w:r>
        <w:rPr>
          <w:spacing w:val="-12"/>
        </w:rPr>
        <w:t> </w:t>
      </w:r>
      <w:r>
        <w:rPr/>
        <w:t>poorly</w:t>
      </w:r>
      <w:r>
        <w:rPr>
          <w:spacing w:val="-12"/>
        </w:rPr>
        <w:t> </w:t>
      </w:r>
      <w:r>
        <w:rPr/>
        <w:t>maintained.</w:t>
      </w:r>
      <w:r>
        <w:rPr>
          <w:spacing w:val="-12"/>
        </w:rPr>
        <w:t> </w:t>
      </w:r>
      <w:r>
        <w:rPr/>
        <w:t>In addition, systematic politicisation of universities has contributed</w:t>
      </w:r>
      <w:r>
        <w:rPr>
          <w:spacing w:val="-14"/>
        </w:rPr>
        <w:t> </w:t>
      </w:r>
      <w:r>
        <w:rPr/>
        <w:t>to</w:t>
      </w:r>
      <w:r>
        <w:rPr>
          <w:spacing w:val="-14"/>
        </w:rPr>
        <w:t> </w:t>
      </w:r>
      <w:r>
        <w:rPr/>
        <w:t>the</w:t>
      </w:r>
      <w:r>
        <w:rPr>
          <w:spacing w:val="-14"/>
        </w:rPr>
        <w:t> </w:t>
      </w:r>
      <w:r>
        <w:rPr/>
        <w:t>deteriorating</w:t>
      </w:r>
      <w:r>
        <w:rPr>
          <w:spacing w:val="-13"/>
        </w:rPr>
        <w:t> </w:t>
      </w:r>
      <w:r>
        <w:rPr/>
        <w:t>environment.</w:t>
      </w:r>
      <w:r>
        <w:rPr>
          <w:spacing w:val="-14"/>
        </w:rPr>
        <w:t> </w:t>
      </w:r>
      <w:r>
        <w:rPr/>
        <w:t>Overall, </w:t>
      </w:r>
      <w:r>
        <w:rPr>
          <w:spacing w:val="-4"/>
        </w:rPr>
        <w:t>the</w:t>
      </w:r>
      <w:r>
        <w:rPr>
          <w:spacing w:val="-10"/>
        </w:rPr>
        <w:t> </w:t>
      </w:r>
      <w:r>
        <w:rPr>
          <w:spacing w:val="-4"/>
        </w:rPr>
        <w:t>morale</w:t>
      </w:r>
      <w:r>
        <w:rPr>
          <w:spacing w:val="-10"/>
        </w:rPr>
        <w:t> </w:t>
      </w:r>
      <w:r>
        <w:rPr>
          <w:spacing w:val="-4"/>
        </w:rPr>
        <w:t>of</w:t>
      </w:r>
      <w:r>
        <w:rPr>
          <w:spacing w:val="-10"/>
        </w:rPr>
        <w:t> </w:t>
      </w:r>
      <w:r>
        <w:rPr>
          <w:spacing w:val="-4"/>
        </w:rPr>
        <w:t>the</w:t>
      </w:r>
      <w:r>
        <w:rPr>
          <w:spacing w:val="-9"/>
        </w:rPr>
        <w:t> </w:t>
      </w:r>
      <w:r>
        <w:rPr>
          <w:spacing w:val="-4"/>
        </w:rPr>
        <w:t>teachers</w:t>
      </w:r>
      <w:r>
        <w:rPr>
          <w:spacing w:val="-10"/>
        </w:rPr>
        <w:t> </w:t>
      </w:r>
      <w:r>
        <w:rPr>
          <w:spacing w:val="-4"/>
        </w:rPr>
        <w:t>is</w:t>
      </w:r>
      <w:r>
        <w:rPr>
          <w:spacing w:val="-10"/>
        </w:rPr>
        <w:t> </w:t>
      </w:r>
      <w:r>
        <w:rPr>
          <w:spacing w:val="-4"/>
        </w:rPr>
        <w:t>severely</w:t>
      </w:r>
      <w:r>
        <w:rPr>
          <w:spacing w:val="-10"/>
        </w:rPr>
        <w:t> </w:t>
      </w:r>
      <w:r>
        <w:rPr>
          <w:spacing w:val="-4"/>
        </w:rPr>
        <w:t>affected.</w:t>
      </w:r>
      <w:r>
        <w:rPr>
          <w:spacing w:val="-9"/>
        </w:rPr>
        <w:t> </w:t>
      </w:r>
      <w:r>
        <w:rPr>
          <w:spacing w:val="-4"/>
        </w:rPr>
        <w:t>Teaching </w:t>
      </w:r>
      <w:r>
        <w:rPr/>
        <w:t>is taken up by uninspired practitioners who do not communicate</w:t>
      </w:r>
      <w:r>
        <w:rPr>
          <w:spacing w:val="-6"/>
        </w:rPr>
        <w:t> </w:t>
      </w:r>
      <w:r>
        <w:rPr/>
        <w:t>the</w:t>
      </w:r>
      <w:r>
        <w:rPr>
          <w:spacing w:val="-6"/>
        </w:rPr>
        <w:t> </w:t>
      </w:r>
      <w:r>
        <w:rPr/>
        <w:t>passion</w:t>
      </w:r>
      <w:r>
        <w:rPr>
          <w:spacing w:val="-6"/>
        </w:rPr>
        <w:t> </w:t>
      </w:r>
      <w:r>
        <w:rPr/>
        <w:t>for</w:t>
      </w:r>
      <w:r>
        <w:rPr>
          <w:spacing w:val="-6"/>
        </w:rPr>
        <w:t> </w:t>
      </w:r>
      <w:r>
        <w:rPr/>
        <w:t>doing</w:t>
      </w:r>
      <w:r>
        <w:rPr>
          <w:spacing w:val="-6"/>
        </w:rPr>
        <w:t> </w:t>
      </w:r>
      <w:r>
        <w:rPr/>
        <w:t>science.</w:t>
      </w:r>
      <w:r>
        <w:rPr>
          <w:spacing w:val="-6"/>
        </w:rPr>
        <w:t> </w:t>
      </w:r>
      <w:r>
        <w:rPr/>
        <w:t>Shortage of teachers in colleges results in additional burden</w:t>
      </w:r>
      <w:r>
        <w:rPr>
          <w:spacing w:val="80"/>
        </w:rPr>
        <w:t> </w:t>
      </w:r>
      <w:r>
        <w:rPr/>
        <w:t>of</w:t>
      </w:r>
      <w:r>
        <w:rPr>
          <w:spacing w:val="35"/>
        </w:rPr>
        <w:t> </w:t>
      </w:r>
      <w:r>
        <w:rPr/>
        <w:t>teaching</w:t>
      </w:r>
      <w:r>
        <w:rPr>
          <w:spacing w:val="35"/>
        </w:rPr>
        <w:t> </w:t>
      </w:r>
      <w:r>
        <w:rPr/>
        <w:t>load</w:t>
      </w:r>
      <w:r>
        <w:rPr>
          <w:spacing w:val="35"/>
        </w:rPr>
        <w:t> </w:t>
      </w:r>
      <w:r>
        <w:rPr/>
        <w:t>leaving</w:t>
      </w:r>
      <w:r>
        <w:rPr>
          <w:spacing w:val="35"/>
        </w:rPr>
        <w:t> </w:t>
      </w:r>
      <w:r>
        <w:rPr/>
        <w:t>little</w:t>
      </w:r>
      <w:r>
        <w:rPr>
          <w:spacing w:val="35"/>
        </w:rPr>
        <w:t> </w:t>
      </w:r>
      <w:r>
        <w:rPr/>
        <w:t>room</w:t>
      </w:r>
      <w:r>
        <w:rPr>
          <w:spacing w:val="35"/>
        </w:rPr>
        <w:t> </w:t>
      </w:r>
      <w:r>
        <w:rPr/>
        <w:t>for</w:t>
      </w:r>
      <w:r>
        <w:rPr>
          <w:spacing w:val="35"/>
        </w:rPr>
        <w:t> </w:t>
      </w:r>
      <w:r>
        <w:rPr/>
        <w:t>innovation in teaching. The practice of contractual teaching without</w:t>
      </w:r>
      <w:r>
        <w:rPr>
          <w:spacing w:val="-7"/>
        </w:rPr>
        <w:t> </w:t>
      </w:r>
      <w:r>
        <w:rPr/>
        <w:t>appropriate</w:t>
      </w:r>
      <w:r>
        <w:rPr>
          <w:spacing w:val="-7"/>
        </w:rPr>
        <w:t> </w:t>
      </w:r>
      <w:r>
        <w:rPr/>
        <w:t>remuneration</w:t>
      </w:r>
      <w:r>
        <w:rPr>
          <w:spacing w:val="-7"/>
        </w:rPr>
        <w:t> </w:t>
      </w:r>
      <w:r>
        <w:rPr/>
        <w:t>has</w:t>
      </w:r>
      <w:r>
        <w:rPr>
          <w:spacing w:val="-7"/>
        </w:rPr>
        <w:t> </w:t>
      </w:r>
      <w:r>
        <w:rPr/>
        <w:t>created</w:t>
      </w:r>
      <w:r>
        <w:rPr>
          <w:spacing w:val="-7"/>
        </w:rPr>
        <w:t> </w:t>
      </w:r>
      <w:r>
        <w:rPr/>
        <w:t>its</w:t>
      </w:r>
      <w:r>
        <w:rPr>
          <w:spacing w:val="-7"/>
        </w:rPr>
        <w:t> </w:t>
      </w:r>
      <w:r>
        <w:rPr/>
        <w:t>own </w:t>
      </w:r>
      <w:r>
        <w:rPr>
          <w:spacing w:val="-4"/>
        </w:rPr>
        <w:t>problems. Access to good libraries, teaching aids etc. is </w:t>
      </w:r>
      <w:r>
        <w:rPr/>
        <w:t>not</w:t>
      </w:r>
      <w:r>
        <w:rPr>
          <w:spacing w:val="-8"/>
        </w:rPr>
        <w:t> </w:t>
      </w:r>
      <w:r>
        <w:rPr/>
        <w:t>available.</w:t>
      </w:r>
      <w:r>
        <w:rPr>
          <w:spacing w:val="-8"/>
        </w:rPr>
        <w:t> </w:t>
      </w:r>
      <w:r>
        <w:rPr/>
        <w:t>College</w:t>
      </w:r>
      <w:r>
        <w:rPr>
          <w:spacing w:val="-8"/>
        </w:rPr>
        <w:t> </w:t>
      </w:r>
      <w:r>
        <w:rPr/>
        <w:t>teachers</w:t>
      </w:r>
      <w:r>
        <w:rPr>
          <w:spacing w:val="-8"/>
        </w:rPr>
        <w:t> </w:t>
      </w:r>
      <w:r>
        <w:rPr/>
        <w:t>do</w:t>
      </w:r>
      <w:r>
        <w:rPr>
          <w:spacing w:val="-8"/>
        </w:rPr>
        <w:t> </w:t>
      </w:r>
      <w:r>
        <w:rPr/>
        <w:t>not</w:t>
      </w:r>
      <w:r>
        <w:rPr>
          <w:spacing w:val="-8"/>
        </w:rPr>
        <w:t> </w:t>
      </w:r>
      <w:r>
        <w:rPr/>
        <w:t>get</w:t>
      </w:r>
      <w:r>
        <w:rPr>
          <w:spacing w:val="-8"/>
        </w:rPr>
        <w:t> </w:t>
      </w:r>
      <w:r>
        <w:rPr/>
        <w:t>exposure</w:t>
      </w:r>
      <w:r>
        <w:rPr>
          <w:spacing w:val="-8"/>
        </w:rPr>
        <w:t> </w:t>
      </w:r>
      <w:r>
        <w:rPr/>
        <w:t>to </w:t>
      </w:r>
      <w:r>
        <w:rPr>
          <w:spacing w:val="-4"/>
        </w:rPr>
        <w:t>newest</w:t>
      </w:r>
      <w:r>
        <w:rPr>
          <w:spacing w:val="-10"/>
        </w:rPr>
        <w:t> </w:t>
      </w:r>
      <w:r>
        <w:rPr>
          <w:spacing w:val="-4"/>
        </w:rPr>
        <w:t>developments</w:t>
      </w:r>
      <w:r>
        <w:rPr>
          <w:spacing w:val="-10"/>
        </w:rPr>
        <w:t> </w:t>
      </w:r>
      <w:r>
        <w:rPr>
          <w:spacing w:val="-4"/>
        </w:rPr>
        <w:t>in</w:t>
      </w:r>
      <w:r>
        <w:rPr>
          <w:spacing w:val="-10"/>
        </w:rPr>
        <w:t> </w:t>
      </w:r>
      <w:r>
        <w:rPr>
          <w:spacing w:val="-4"/>
        </w:rPr>
        <w:t>their</w:t>
      </w:r>
      <w:r>
        <w:rPr>
          <w:spacing w:val="-9"/>
        </w:rPr>
        <w:t> </w:t>
      </w:r>
      <w:r>
        <w:rPr>
          <w:spacing w:val="-4"/>
        </w:rPr>
        <w:t>fields.</w:t>
      </w:r>
      <w:r>
        <w:rPr>
          <w:spacing w:val="-10"/>
        </w:rPr>
        <w:t> </w:t>
      </w:r>
      <w:r>
        <w:rPr>
          <w:spacing w:val="-4"/>
        </w:rPr>
        <w:t>Academic</w:t>
      </w:r>
      <w:r>
        <w:rPr>
          <w:spacing w:val="-10"/>
        </w:rPr>
        <w:t> </w:t>
      </w:r>
      <w:r>
        <w:rPr>
          <w:spacing w:val="-4"/>
        </w:rPr>
        <w:t>freedom </w:t>
      </w:r>
      <w:r>
        <w:rPr/>
        <w:t>and</w:t>
      </w:r>
      <w:r>
        <w:rPr>
          <w:spacing w:val="-8"/>
        </w:rPr>
        <w:t> </w:t>
      </w:r>
      <w:r>
        <w:rPr/>
        <w:t>flexibility</w:t>
      </w:r>
      <w:r>
        <w:rPr>
          <w:spacing w:val="-8"/>
        </w:rPr>
        <w:t> </w:t>
      </w:r>
      <w:r>
        <w:rPr/>
        <w:t>is</w:t>
      </w:r>
      <w:r>
        <w:rPr>
          <w:spacing w:val="-8"/>
        </w:rPr>
        <w:t> </w:t>
      </w:r>
      <w:r>
        <w:rPr/>
        <w:t>lacking</w:t>
      </w:r>
      <w:r>
        <w:rPr>
          <w:spacing w:val="-8"/>
        </w:rPr>
        <w:t> </w:t>
      </w:r>
      <w:r>
        <w:rPr/>
        <w:t>in</w:t>
      </w:r>
      <w:r>
        <w:rPr>
          <w:spacing w:val="-8"/>
        </w:rPr>
        <w:t> </w:t>
      </w:r>
      <w:r>
        <w:rPr/>
        <w:t>the</w:t>
      </w:r>
      <w:r>
        <w:rPr>
          <w:spacing w:val="-8"/>
        </w:rPr>
        <w:t> </w:t>
      </w:r>
      <w:r>
        <w:rPr/>
        <w:t>present</w:t>
      </w:r>
      <w:r>
        <w:rPr>
          <w:spacing w:val="-8"/>
        </w:rPr>
        <w:t> </w:t>
      </w:r>
      <w:r>
        <w:rPr/>
        <w:t>rigid</w:t>
      </w:r>
      <w:r>
        <w:rPr>
          <w:spacing w:val="-8"/>
        </w:rPr>
        <w:t> </w:t>
      </w:r>
      <w:r>
        <w:rPr/>
        <w:t>system.</w:t>
      </w:r>
    </w:p>
    <w:p>
      <w:pPr>
        <w:pStyle w:val="BodyText"/>
        <w:spacing w:before="14"/>
      </w:pPr>
    </w:p>
    <w:p>
      <w:pPr>
        <w:pStyle w:val="ListParagraph"/>
        <w:numPr>
          <w:ilvl w:val="1"/>
          <w:numId w:val="36"/>
        </w:numPr>
        <w:tabs>
          <w:tab w:pos="1424" w:val="left" w:leader="none"/>
        </w:tabs>
        <w:spacing w:line="266" w:lineRule="auto" w:before="0" w:after="0"/>
        <w:ind w:left="1080" w:right="0" w:firstLine="0"/>
        <w:jc w:val="both"/>
        <w:rPr>
          <w:sz w:val="22"/>
        </w:rPr>
      </w:pPr>
      <w:r>
        <w:rPr>
          <w:b/>
          <w:spacing w:val="-6"/>
          <w:sz w:val="22"/>
        </w:rPr>
        <w:t>Rewards and recognition: </w:t>
      </w:r>
      <w:r>
        <w:rPr>
          <w:spacing w:val="-6"/>
          <w:sz w:val="22"/>
        </w:rPr>
        <w:t>The</w:t>
      </w:r>
      <w:r>
        <w:rPr>
          <w:spacing w:val="-8"/>
          <w:sz w:val="22"/>
        </w:rPr>
        <w:t> </w:t>
      </w:r>
      <w:r>
        <w:rPr>
          <w:spacing w:val="-6"/>
          <w:sz w:val="22"/>
        </w:rPr>
        <w:t>teaching</w:t>
      </w:r>
      <w:r>
        <w:rPr>
          <w:spacing w:val="-8"/>
          <w:sz w:val="22"/>
        </w:rPr>
        <w:t> </w:t>
      </w:r>
      <w:r>
        <w:rPr>
          <w:spacing w:val="-6"/>
          <w:sz w:val="22"/>
        </w:rPr>
        <w:t>profession </w:t>
      </w:r>
      <w:r>
        <w:rPr>
          <w:sz w:val="22"/>
        </w:rPr>
        <w:t>has</w:t>
      </w:r>
      <w:r>
        <w:rPr>
          <w:spacing w:val="-5"/>
          <w:sz w:val="22"/>
        </w:rPr>
        <w:t> </w:t>
      </w:r>
      <w:r>
        <w:rPr>
          <w:sz w:val="22"/>
        </w:rPr>
        <w:t>been</w:t>
      </w:r>
      <w:r>
        <w:rPr>
          <w:spacing w:val="-5"/>
          <w:sz w:val="22"/>
        </w:rPr>
        <w:t> </w:t>
      </w:r>
      <w:r>
        <w:rPr>
          <w:sz w:val="22"/>
        </w:rPr>
        <w:t>severely</w:t>
      </w:r>
      <w:r>
        <w:rPr>
          <w:spacing w:val="-5"/>
          <w:sz w:val="22"/>
        </w:rPr>
        <w:t> </w:t>
      </w:r>
      <w:r>
        <w:rPr>
          <w:sz w:val="22"/>
        </w:rPr>
        <w:t>undermined</w:t>
      </w:r>
      <w:r>
        <w:rPr>
          <w:spacing w:val="-6"/>
          <w:sz w:val="22"/>
        </w:rPr>
        <w:t> </w:t>
      </w:r>
      <w:r>
        <w:rPr>
          <w:sz w:val="22"/>
        </w:rPr>
        <w:t>in</w:t>
      </w:r>
      <w:r>
        <w:rPr>
          <w:spacing w:val="-5"/>
          <w:sz w:val="22"/>
        </w:rPr>
        <w:t> </w:t>
      </w:r>
      <w:r>
        <w:rPr>
          <w:sz w:val="22"/>
        </w:rPr>
        <w:t>recent</w:t>
      </w:r>
      <w:r>
        <w:rPr>
          <w:spacing w:val="-5"/>
          <w:sz w:val="22"/>
        </w:rPr>
        <w:t> </w:t>
      </w:r>
      <w:r>
        <w:rPr>
          <w:sz w:val="22"/>
        </w:rPr>
        <w:t>years</w:t>
      </w:r>
      <w:r>
        <w:rPr>
          <w:spacing w:val="-5"/>
          <w:sz w:val="22"/>
        </w:rPr>
        <w:t> </w:t>
      </w:r>
      <w:r>
        <w:rPr>
          <w:sz w:val="22"/>
        </w:rPr>
        <w:t>and</w:t>
      </w:r>
      <w:r>
        <w:rPr>
          <w:spacing w:val="-5"/>
          <w:sz w:val="22"/>
        </w:rPr>
        <w:t> </w:t>
      </w:r>
      <w:r>
        <w:rPr>
          <w:sz w:val="22"/>
        </w:rPr>
        <w:t>the working</w:t>
      </w:r>
      <w:r>
        <w:rPr>
          <w:spacing w:val="-12"/>
          <w:sz w:val="22"/>
        </w:rPr>
        <w:t> </w:t>
      </w:r>
      <w:r>
        <w:rPr>
          <w:sz w:val="22"/>
        </w:rPr>
        <w:t>conditions</w:t>
      </w:r>
      <w:r>
        <w:rPr>
          <w:spacing w:val="-12"/>
          <w:sz w:val="22"/>
        </w:rPr>
        <w:t> </w:t>
      </w:r>
      <w:r>
        <w:rPr>
          <w:sz w:val="22"/>
        </w:rPr>
        <w:t>of</w:t>
      </w:r>
      <w:r>
        <w:rPr>
          <w:spacing w:val="-12"/>
          <w:sz w:val="22"/>
        </w:rPr>
        <w:t> </w:t>
      </w:r>
      <w:r>
        <w:rPr>
          <w:sz w:val="22"/>
        </w:rPr>
        <w:t>teachers</w:t>
      </w:r>
      <w:r>
        <w:rPr>
          <w:spacing w:val="-12"/>
          <w:sz w:val="22"/>
        </w:rPr>
        <w:t> </w:t>
      </w:r>
      <w:r>
        <w:rPr>
          <w:sz w:val="22"/>
        </w:rPr>
        <w:t>needs</w:t>
      </w:r>
      <w:r>
        <w:rPr>
          <w:spacing w:val="-12"/>
          <w:sz w:val="22"/>
        </w:rPr>
        <w:t> </w:t>
      </w:r>
      <w:r>
        <w:rPr>
          <w:sz w:val="22"/>
        </w:rPr>
        <w:t>to</w:t>
      </w:r>
      <w:r>
        <w:rPr>
          <w:spacing w:val="-12"/>
          <w:sz w:val="22"/>
        </w:rPr>
        <w:t> </w:t>
      </w:r>
      <w:r>
        <w:rPr>
          <w:sz w:val="22"/>
        </w:rPr>
        <w:t>be</w:t>
      </w:r>
      <w:r>
        <w:rPr>
          <w:spacing w:val="-12"/>
          <w:sz w:val="22"/>
        </w:rPr>
        <w:t> </w:t>
      </w:r>
      <w:r>
        <w:rPr>
          <w:sz w:val="22"/>
        </w:rPr>
        <w:t>drastically improved. It is essential that teachers are given due recognition</w:t>
      </w:r>
      <w:r>
        <w:rPr>
          <w:spacing w:val="9"/>
          <w:sz w:val="22"/>
        </w:rPr>
        <w:t> </w:t>
      </w:r>
      <w:r>
        <w:rPr>
          <w:sz w:val="22"/>
        </w:rPr>
        <w:t>for</w:t>
      </w:r>
      <w:r>
        <w:rPr>
          <w:spacing w:val="9"/>
          <w:sz w:val="22"/>
        </w:rPr>
        <w:t> </w:t>
      </w:r>
      <w:r>
        <w:rPr>
          <w:sz w:val="22"/>
        </w:rPr>
        <w:t>their</w:t>
      </w:r>
      <w:r>
        <w:rPr>
          <w:spacing w:val="10"/>
          <w:sz w:val="22"/>
        </w:rPr>
        <w:t> </w:t>
      </w:r>
      <w:r>
        <w:rPr>
          <w:sz w:val="22"/>
        </w:rPr>
        <w:t>contribution</w:t>
      </w:r>
      <w:r>
        <w:rPr>
          <w:spacing w:val="9"/>
          <w:sz w:val="22"/>
        </w:rPr>
        <w:t> </w:t>
      </w:r>
      <w:r>
        <w:rPr>
          <w:sz w:val="22"/>
        </w:rPr>
        <w:t>to</w:t>
      </w:r>
      <w:r>
        <w:rPr>
          <w:spacing w:val="9"/>
          <w:sz w:val="22"/>
        </w:rPr>
        <w:t> </w:t>
      </w:r>
      <w:r>
        <w:rPr>
          <w:sz w:val="22"/>
        </w:rPr>
        <w:t>society.</w:t>
      </w:r>
      <w:r>
        <w:rPr>
          <w:spacing w:val="10"/>
          <w:sz w:val="22"/>
        </w:rPr>
        <w:t> </w:t>
      </w:r>
      <w:r>
        <w:rPr>
          <w:sz w:val="22"/>
        </w:rPr>
        <w:t>Salaries</w:t>
      </w:r>
    </w:p>
    <w:p>
      <w:pPr>
        <w:pStyle w:val="BodyText"/>
        <w:spacing w:line="266" w:lineRule="auto" w:before="57"/>
        <w:ind w:left="319" w:right="1077"/>
        <w:jc w:val="both"/>
      </w:pPr>
      <w:r>
        <w:rPr/>
        <w:br w:type="column"/>
      </w:r>
      <w:r>
        <w:rPr/>
        <w:t>need</w:t>
      </w:r>
      <w:r>
        <w:rPr>
          <w:spacing w:val="-7"/>
        </w:rPr>
        <w:t> </w:t>
      </w:r>
      <w:r>
        <w:rPr/>
        <w:t>to</w:t>
      </w:r>
      <w:r>
        <w:rPr>
          <w:spacing w:val="-7"/>
        </w:rPr>
        <w:t> </w:t>
      </w:r>
      <w:r>
        <w:rPr/>
        <w:t>be</w:t>
      </w:r>
      <w:r>
        <w:rPr>
          <w:spacing w:val="-7"/>
        </w:rPr>
        <w:t> </w:t>
      </w:r>
      <w:r>
        <w:rPr/>
        <w:t>hiked</w:t>
      </w:r>
      <w:r>
        <w:rPr>
          <w:spacing w:val="-7"/>
        </w:rPr>
        <w:t> </w:t>
      </w:r>
      <w:r>
        <w:rPr/>
        <w:t>across</w:t>
      </w:r>
      <w:r>
        <w:rPr>
          <w:spacing w:val="-7"/>
        </w:rPr>
        <w:t> </w:t>
      </w:r>
      <w:r>
        <w:rPr/>
        <w:t>the</w:t>
      </w:r>
      <w:r>
        <w:rPr>
          <w:spacing w:val="-7"/>
        </w:rPr>
        <w:t> </w:t>
      </w:r>
      <w:r>
        <w:rPr/>
        <w:t>board.</w:t>
      </w:r>
      <w:r>
        <w:rPr>
          <w:spacing w:val="-7"/>
        </w:rPr>
        <w:t> </w:t>
      </w:r>
      <w:r>
        <w:rPr/>
        <w:t>Rewards</w:t>
      </w:r>
      <w:r>
        <w:rPr>
          <w:spacing w:val="-7"/>
        </w:rPr>
        <w:t> </w:t>
      </w:r>
      <w:r>
        <w:rPr/>
        <w:t>should</w:t>
      </w:r>
      <w:r>
        <w:rPr>
          <w:spacing w:val="-7"/>
        </w:rPr>
        <w:t> </w:t>
      </w:r>
      <w:r>
        <w:rPr/>
        <w:t>be </w:t>
      </w:r>
      <w:r>
        <w:rPr>
          <w:spacing w:val="-2"/>
        </w:rPr>
        <w:t>instituted</w:t>
      </w:r>
      <w:r>
        <w:rPr>
          <w:spacing w:val="-6"/>
        </w:rPr>
        <w:t> </w:t>
      </w:r>
      <w:r>
        <w:rPr>
          <w:spacing w:val="-2"/>
        </w:rPr>
        <w:t>for</w:t>
      </w:r>
      <w:r>
        <w:rPr>
          <w:spacing w:val="-7"/>
        </w:rPr>
        <w:t> </w:t>
      </w:r>
      <w:r>
        <w:rPr>
          <w:spacing w:val="-2"/>
        </w:rPr>
        <w:t>good</w:t>
      </w:r>
      <w:r>
        <w:rPr>
          <w:spacing w:val="-6"/>
        </w:rPr>
        <w:t> </w:t>
      </w:r>
      <w:r>
        <w:rPr>
          <w:spacing w:val="-2"/>
        </w:rPr>
        <w:t>teaching</w:t>
      </w:r>
      <w:r>
        <w:rPr>
          <w:spacing w:val="-7"/>
        </w:rPr>
        <w:t> </w:t>
      </w:r>
      <w:r>
        <w:rPr>
          <w:spacing w:val="-2"/>
        </w:rPr>
        <w:t>based</w:t>
      </w:r>
      <w:r>
        <w:rPr>
          <w:spacing w:val="-6"/>
        </w:rPr>
        <w:t> </w:t>
      </w:r>
      <w:r>
        <w:rPr>
          <w:spacing w:val="-2"/>
        </w:rPr>
        <w:t>on</w:t>
      </w:r>
      <w:r>
        <w:rPr>
          <w:spacing w:val="-7"/>
        </w:rPr>
        <w:t> </w:t>
      </w:r>
      <w:r>
        <w:rPr>
          <w:spacing w:val="-2"/>
        </w:rPr>
        <w:t>student</w:t>
      </w:r>
      <w:r>
        <w:rPr>
          <w:spacing w:val="-6"/>
        </w:rPr>
        <w:t> </w:t>
      </w:r>
      <w:r>
        <w:rPr>
          <w:spacing w:val="-2"/>
        </w:rPr>
        <w:t>feedback </w:t>
      </w:r>
      <w:r>
        <w:rPr/>
        <w:t>in colleges.</w:t>
      </w:r>
      <w:r>
        <w:rPr>
          <w:spacing w:val="-6"/>
        </w:rPr>
        <w:t> </w:t>
      </w:r>
      <w:r>
        <w:rPr/>
        <w:t>The rewards should be given at all levels and should be organised with sufficient publicity. Innovation</w:t>
      </w:r>
      <w:r>
        <w:rPr>
          <w:spacing w:val="-6"/>
        </w:rPr>
        <w:t> </w:t>
      </w:r>
      <w:r>
        <w:rPr/>
        <w:t>in</w:t>
      </w:r>
      <w:r>
        <w:rPr>
          <w:spacing w:val="-6"/>
        </w:rPr>
        <w:t> </w:t>
      </w:r>
      <w:r>
        <w:rPr/>
        <w:t>teaching</w:t>
      </w:r>
      <w:r>
        <w:rPr>
          <w:spacing w:val="-6"/>
        </w:rPr>
        <w:t> </w:t>
      </w:r>
      <w:r>
        <w:rPr/>
        <w:t>should</w:t>
      </w:r>
      <w:r>
        <w:rPr>
          <w:spacing w:val="-6"/>
        </w:rPr>
        <w:t> </w:t>
      </w:r>
      <w:r>
        <w:rPr/>
        <w:t>be</w:t>
      </w:r>
      <w:r>
        <w:rPr>
          <w:spacing w:val="-6"/>
        </w:rPr>
        <w:t> </w:t>
      </w:r>
      <w:r>
        <w:rPr/>
        <w:t>encouraged</w:t>
      </w:r>
      <w:r>
        <w:rPr>
          <w:spacing w:val="-6"/>
        </w:rPr>
        <w:t> </w:t>
      </w:r>
      <w:r>
        <w:rPr/>
        <w:t>through </w:t>
      </w:r>
      <w:r>
        <w:rPr>
          <w:spacing w:val="-4"/>
        </w:rPr>
        <w:t>appropriate</w:t>
      </w:r>
      <w:r>
        <w:rPr>
          <w:spacing w:val="-10"/>
        </w:rPr>
        <w:t> </w:t>
      </w:r>
      <w:r>
        <w:rPr>
          <w:spacing w:val="-4"/>
        </w:rPr>
        <w:t>incentives.</w:t>
      </w:r>
      <w:r>
        <w:rPr>
          <w:spacing w:val="-10"/>
        </w:rPr>
        <w:t> </w:t>
      </w:r>
      <w:r>
        <w:rPr>
          <w:spacing w:val="-4"/>
        </w:rPr>
        <w:t>The</w:t>
      </w:r>
      <w:r>
        <w:rPr>
          <w:spacing w:val="-10"/>
        </w:rPr>
        <w:t> </w:t>
      </w:r>
      <w:r>
        <w:rPr>
          <w:spacing w:val="-4"/>
        </w:rPr>
        <w:t>practice</w:t>
      </w:r>
      <w:r>
        <w:rPr>
          <w:spacing w:val="-7"/>
        </w:rPr>
        <w:t> </w:t>
      </w:r>
      <w:r>
        <w:rPr>
          <w:spacing w:val="-4"/>
        </w:rPr>
        <w:t>of</w:t>
      </w:r>
      <w:r>
        <w:rPr>
          <w:spacing w:val="-7"/>
        </w:rPr>
        <w:t> </w:t>
      </w:r>
      <w:r>
        <w:rPr>
          <w:spacing w:val="-4"/>
        </w:rPr>
        <w:t>instituting</w:t>
      </w:r>
      <w:r>
        <w:rPr>
          <w:spacing w:val="-7"/>
        </w:rPr>
        <w:t> </w:t>
      </w:r>
      <w:r>
        <w:rPr>
          <w:spacing w:val="-4"/>
        </w:rPr>
        <w:t>chairs </w:t>
      </w:r>
      <w:r>
        <w:rPr/>
        <w:t>like</w:t>
      </w:r>
      <w:r>
        <w:rPr>
          <w:spacing w:val="-10"/>
        </w:rPr>
        <w:t> </w:t>
      </w:r>
      <w:r>
        <w:rPr/>
        <w:t>National</w:t>
      </w:r>
      <w:r>
        <w:rPr>
          <w:spacing w:val="-10"/>
        </w:rPr>
        <w:t> </w:t>
      </w:r>
      <w:r>
        <w:rPr/>
        <w:t>Professors</w:t>
      </w:r>
      <w:r>
        <w:rPr>
          <w:spacing w:val="-10"/>
        </w:rPr>
        <w:t> </w:t>
      </w:r>
      <w:r>
        <w:rPr/>
        <w:t>should</w:t>
      </w:r>
      <w:r>
        <w:rPr>
          <w:spacing w:val="-10"/>
        </w:rPr>
        <w:t> </w:t>
      </w:r>
      <w:r>
        <w:rPr/>
        <w:t>be</w:t>
      </w:r>
      <w:r>
        <w:rPr>
          <w:spacing w:val="-10"/>
        </w:rPr>
        <w:t> </w:t>
      </w:r>
      <w:r>
        <w:rPr/>
        <w:t>extended</w:t>
      </w:r>
      <w:r>
        <w:rPr>
          <w:spacing w:val="-10"/>
        </w:rPr>
        <w:t> </w:t>
      </w:r>
      <w:r>
        <w:rPr/>
        <w:t>to</w:t>
      </w:r>
      <w:r>
        <w:rPr>
          <w:spacing w:val="-10"/>
        </w:rPr>
        <w:t> </w:t>
      </w:r>
      <w:r>
        <w:rPr/>
        <w:t>school and college teachers too.</w:t>
      </w:r>
    </w:p>
    <w:p>
      <w:pPr>
        <w:pStyle w:val="BodyText"/>
        <w:spacing w:before="21"/>
      </w:pPr>
    </w:p>
    <w:p>
      <w:pPr>
        <w:pStyle w:val="ListParagraph"/>
        <w:numPr>
          <w:ilvl w:val="1"/>
          <w:numId w:val="36"/>
        </w:numPr>
        <w:tabs>
          <w:tab w:pos="672" w:val="left" w:leader="none"/>
        </w:tabs>
        <w:spacing w:line="266" w:lineRule="auto" w:before="0" w:after="0"/>
        <w:ind w:left="319" w:right="1077" w:firstLine="0"/>
        <w:jc w:val="both"/>
        <w:rPr>
          <w:sz w:val="22"/>
        </w:rPr>
      </w:pPr>
      <w:r>
        <w:rPr>
          <w:b/>
          <w:spacing w:val="-6"/>
          <w:sz w:val="22"/>
        </w:rPr>
        <w:t>Professional development: </w:t>
      </w:r>
      <w:r>
        <w:rPr>
          <w:spacing w:val="-6"/>
          <w:sz w:val="22"/>
        </w:rPr>
        <w:t>School teachers </w:t>
      </w:r>
      <w:r>
        <w:rPr>
          <w:spacing w:val="-6"/>
          <w:sz w:val="22"/>
        </w:rPr>
        <w:t>should </w:t>
      </w:r>
      <w:r>
        <w:rPr>
          <w:sz w:val="22"/>
        </w:rPr>
        <w:t>be</w:t>
      </w:r>
      <w:r>
        <w:rPr>
          <w:spacing w:val="-8"/>
          <w:sz w:val="22"/>
        </w:rPr>
        <w:t> </w:t>
      </w:r>
      <w:r>
        <w:rPr>
          <w:sz w:val="22"/>
        </w:rPr>
        <w:t>provided</w:t>
      </w:r>
      <w:r>
        <w:rPr>
          <w:spacing w:val="-8"/>
          <w:sz w:val="22"/>
        </w:rPr>
        <w:t> </w:t>
      </w:r>
      <w:r>
        <w:rPr>
          <w:sz w:val="22"/>
        </w:rPr>
        <w:t>with</w:t>
      </w:r>
      <w:r>
        <w:rPr>
          <w:spacing w:val="-8"/>
          <w:sz w:val="22"/>
        </w:rPr>
        <w:t> </w:t>
      </w:r>
      <w:r>
        <w:rPr>
          <w:sz w:val="22"/>
        </w:rPr>
        <w:t>avenues</w:t>
      </w:r>
      <w:r>
        <w:rPr>
          <w:spacing w:val="-8"/>
          <w:sz w:val="22"/>
        </w:rPr>
        <w:t> </w:t>
      </w:r>
      <w:r>
        <w:rPr>
          <w:sz w:val="22"/>
        </w:rPr>
        <w:t>to</w:t>
      </w:r>
      <w:r>
        <w:rPr>
          <w:spacing w:val="-8"/>
          <w:sz w:val="22"/>
        </w:rPr>
        <w:t> </w:t>
      </w:r>
      <w:r>
        <w:rPr>
          <w:sz w:val="22"/>
        </w:rPr>
        <w:t>discuss</w:t>
      </w:r>
      <w:r>
        <w:rPr>
          <w:spacing w:val="-8"/>
          <w:sz w:val="22"/>
        </w:rPr>
        <w:t> </w:t>
      </w:r>
      <w:r>
        <w:rPr>
          <w:sz w:val="22"/>
        </w:rPr>
        <w:t>new</w:t>
      </w:r>
      <w:r>
        <w:rPr>
          <w:spacing w:val="-8"/>
          <w:sz w:val="22"/>
        </w:rPr>
        <w:t> </w:t>
      </w:r>
      <w:r>
        <w:rPr>
          <w:sz w:val="22"/>
        </w:rPr>
        <w:t>pedagogical </w:t>
      </w:r>
      <w:r>
        <w:rPr>
          <w:spacing w:val="-4"/>
          <w:sz w:val="22"/>
        </w:rPr>
        <w:t>developments.</w:t>
      </w:r>
      <w:r>
        <w:rPr>
          <w:spacing w:val="-5"/>
          <w:sz w:val="22"/>
        </w:rPr>
        <w:t> </w:t>
      </w:r>
      <w:r>
        <w:rPr>
          <w:spacing w:val="-4"/>
          <w:sz w:val="22"/>
        </w:rPr>
        <w:t>For</w:t>
      </w:r>
      <w:r>
        <w:rPr>
          <w:spacing w:val="-5"/>
          <w:sz w:val="22"/>
        </w:rPr>
        <w:t> </w:t>
      </w:r>
      <w:r>
        <w:rPr>
          <w:spacing w:val="-4"/>
          <w:sz w:val="22"/>
        </w:rPr>
        <w:t>instance,</w:t>
      </w:r>
      <w:r>
        <w:rPr>
          <w:spacing w:val="-5"/>
          <w:sz w:val="22"/>
        </w:rPr>
        <w:t> </w:t>
      </w:r>
      <w:r>
        <w:rPr>
          <w:spacing w:val="-4"/>
          <w:sz w:val="22"/>
        </w:rPr>
        <w:t>they</w:t>
      </w:r>
      <w:r>
        <w:rPr>
          <w:spacing w:val="-5"/>
          <w:sz w:val="22"/>
        </w:rPr>
        <w:t> </w:t>
      </w:r>
      <w:r>
        <w:rPr>
          <w:spacing w:val="-4"/>
          <w:sz w:val="22"/>
        </w:rPr>
        <w:t>should</w:t>
      </w:r>
      <w:r>
        <w:rPr>
          <w:spacing w:val="-5"/>
          <w:sz w:val="22"/>
        </w:rPr>
        <w:t> </w:t>
      </w:r>
      <w:r>
        <w:rPr>
          <w:spacing w:val="-4"/>
          <w:sz w:val="22"/>
        </w:rPr>
        <w:t>be</w:t>
      </w:r>
      <w:r>
        <w:rPr>
          <w:spacing w:val="-5"/>
          <w:sz w:val="22"/>
        </w:rPr>
        <w:t> </w:t>
      </w:r>
      <w:r>
        <w:rPr>
          <w:spacing w:val="-4"/>
          <w:sz w:val="22"/>
        </w:rPr>
        <w:t>encouraged to</w:t>
      </w:r>
      <w:r>
        <w:rPr>
          <w:spacing w:val="-10"/>
          <w:sz w:val="22"/>
        </w:rPr>
        <w:t> </w:t>
      </w:r>
      <w:r>
        <w:rPr>
          <w:spacing w:val="-4"/>
          <w:sz w:val="22"/>
        </w:rPr>
        <w:t>do</w:t>
      </w:r>
      <w:r>
        <w:rPr>
          <w:spacing w:val="-10"/>
          <w:sz w:val="22"/>
        </w:rPr>
        <w:t> </w:t>
      </w:r>
      <w:r>
        <w:rPr>
          <w:spacing w:val="-4"/>
          <w:sz w:val="22"/>
        </w:rPr>
        <w:t>projects</w:t>
      </w:r>
      <w:r>
        <w:rPr>
          <w:spacing w:val="-10"/>
          <w:sz w:val="22"/>
        </w:rPr>
        <w:t> </w:t>
      </w:r>
      <w:r>
        <w:rPr>
          <w:spacing w:val="-4"/>
          <w:sz w:val="22"/>
        </w:rPr>
        <w:t>in</w:t>
      </w:r>
      <w:r>
        <w:rPr>
          <w:spacing w:val="-9"/>
          <w:sz w:val="22"/>
        </w:rPr>
        <w:t> </w:t>
      </w:r>
      <w:r>
        <w:rPr>
          <w:spacing w:val="-4"/>
          <w:sz w:val="22"/>
        </w:rPr>
        <w:t>laboratories</w:t>
      </w:r>
      <w:r>
        <w:rPr>
          <w:spacing w:val="-10"/>
          <w:sz w:val="22"/>
        </w:rPr>
        <w:t> </w:t>
      </w:r>
      <w:r>
        <w:rPr>
          <w:spacing w:val="-4"/>
          <w:sz w:val="22"/>
        </w:rPr>
        <w:t>in</w:t>
      </w:r>
      <w:r>
        <w:rPr>
          <w:spacing w:val="-10"/>
          <w:sz w:val="22"/>
        </w:rPr>
        <w:t> </w:t>
      </w:r>
      <w:r>
        <w:rPr>
          <w:spacing w:val="-4"/>
          <w:sz w:val="22"/>
        </w:rPr>
        <w:t>colleges</w:t>
      </w:r>
      <w:r>
        <w:rPr>
          <w:spacing w:val="-10"/>
          <w:sz w:val="22"/>
        </w:rPr>
        <w:t> </w:t>
      </w:r>
      <w:r>
        <w:rPr>
          <w:spacing w:val="-4"/>
          <w:sz w:val="22"/>
        </w:rPr>
        <w:t>during</w:t>
      </w:r>
      <w:r>
        <w:rPr>
          <w:spacing w:val="-9"/>
          <w:sz w:val="22"/>
        </w:rPr>
        <w:t> </w:t>
      </w:r>
      <w:r>
        <w:rPr>
          <w:spacing w:val="-4"/>
          <w:sz w:val="22"/>
        </w:rPr>
        <w:t>vacation </w:t>
      </w:r>
      <w:r>
        <w:rPr>
          <w:sz w:val="22"/>
        </w:rPr>
        <w:t>time. Colleges can be given separate funds to run such</w:t>
      </w:r>
      <w:r>
        <w:rPr>
          <w:spacing w:val="-14"/>
          <w:sz w:val="22"/>
        </w:rPr>
        <w:t> </w:t>
      </w:r>
      <w:r>
        <w:rPr>
          <w:sz w:val="22"/>
        </w:rPr>
        <w:t>programs.</w:t>
      </w:r>
      <w:r>
        <w:rPr>
          <w:spacing w:val="-14"/>
          <w:sz w:val="22"/>
        </w:rPr>
        <w:t> </w:t>
      </w:r>
      <w:r>
        <w:rPr>
          <w:sz w:val="22"/>
        </w:rPr>
        <w:t>School</w:t>
      </w:r>
      <w:r>
        <w:rPr>
          <w:spacing w:val="-14"/>
          <w:sz w:val="22"/>
        </w:rPr>
        <w:t> </w:t>
      </w:r>
      <w:r>
        <w:rPr>
          <w:sz w:val="22"/>
        </w:rPr>
        <w:t>teachers</w:t>
      </w:r>
      <w:r>
        <w:rPr>
          <w:spacing w:val="-13"/>
          <w:sz w:val="22"/>
        </w:rPr>
        <w:t> </w:t>
      </w:r>
      <w:r>
        <w:rPr>
          <w:sz w:val="22"/>
        </w:rPr>
        <w:t>should</w:t>
      </w:r>
      <w:r>
        <w:rPr>
          <w:spacing w:val="-14"/>
          <w:sz w:val="22"/>
        </w:rPr>
        <w:t> </w:t>
      </w:r>
      <w:r>
        <w:rPr>
          <w:sz w:val="22"/>
        </w:rPr>
        <w:t>be</w:t>
      </w:r>
      <w:r>
        <w:rPr>
          <w:spacing w:val="-14"/>
          <w:sz w:val="22"/>
        </w:rPr>
        <w:t> </w:t>
      </w:r>
      <w:r>
        <w:rPr>
          <w:sz w:val="22"/>
        </w:rPr>
        <w:t>sufficiently </w:t>
      </w:r>
      <w:r>
        <w:rPr>
          <w:spacing w:val="-2"/>
          <w:sz w:val="22"/>
        </w:rPr>
        <w:t>incentivised</w:t>
      </w:r>
      <w:r>
        <w:rPr>
          <w:spacing w:val="-10"/>
          <w:sz w:val="22"/>
        </w:rPr>
        <w:t> </w:t>
      </w:r>
      <w:r>
        <w:rPr>
          <w:spacing w:val="-2"/>
          <w:sz w:val="22"/>
        </w:rPr>
        <w:t>to</w:t>
      </w:r>
      <w:r>
        <w:rPr>
          <w:spacing w:val="-10"/>
          <w:sz w:val="22"/>
        </w:rPr>
        <w:t> </w:t>
      </w:r>
      <w:r>
        <w:rPr>
          <w:spacing w:val="-2"/>
          <w:sz w:val="22"/>
        </w:rPr>
        <w:t>develop</w:t>
      </w:r>
      <w:r>
        <w:rPr>
          <w:spacing w:val="-10"/>
          <w:sz w:val="22"/>
        </w:rPr>
        <w:t> </w:t>
      </w:r>
      <w:r>
        <w:rPr>
          <w:spacing w:val="-2"/>
          <w:sz w:val="22"/>
        </w:rPr>
        <w:t>new</w:t>
      </w:r>
      <w:r>
        <w:rPr>
          <w:spacing w:val="-10"/>
          <w:sz w:val="22"/>
        </w:rPr>
        <w:t> </w:t>
      </w:r>
      <w:r>
        <w:rPr>
          <w:spacing w:val="-2"/>
          <w:sz w:val="22"/>
        </w:rPr>
        <w:t>experiments</w:t>
      </w:r>
      <w:r>
        <w:rPr>
          <w:spacing w:val="-10"/>
          <w:sz w:val="22"/>
        </w:rPr>
        <w:t> </w:t>
      </w:r>
      <w:r>
        <w:rPr>
          <w:spacing w:val="-2"/>
          <w:sz w:val="22"/>
        </w:rPr>
        <w:t>and</w:t>
      </w:r>
      <w:r>
        <w:rPr>
          <w:spacing w:val="-10"/>
          <w:sz w:val="22"/>
        </w:rPr>
        <w:t> </w:t>
      </w:r>
      <w:r>
        <w:rPr>
          <w:spacing w:val="-2"/>
          <w:sz w:val="22"/>
        </w:rPr>
        <w:t>activities </w:t>
      </w:r>
      <w:r>
        <w:rPr>
          <w:sz w:val="22"/>
        </w:rPr>
        <w:t>to be used at school level.</w:t>
      </w:r>
    </w:p>
    <w:p>
      <w:pPr>
        <w:pStyle w:val="BodyText"/>
        <w:spacing w:before="20"/>
      </w:pPr>
    </w:p>
    <w:p>
      <w:pPr>
        <w:pStyle w:val="BodyText"/>
        <w:spacing w:line="266" w:lineRule="auto"/>
        <w:ind w:left="319" w:right="1077"/>
        <w:jc w:val="both"/>
      </w:pPr>
      <w:r>
        <w:rPr>
          <w:spacing w:val="-6"/>
        </w:rPr>
        <w:t>Teaching load in colleges should be lightened to provide </w:t>
      </w:r>
      <w:r>
        <w:rPr>
          <w:spacing w:val="-2"/>
        </w:rPr>
        <w:t>scope</w:t>
      </w:r>
      <w:r>
        <w:rPr>
          <w:spacing w:val="-11"/>
        </w:rPr>
        <w:t> </w:t>
      </w:r>
      <w:r>
        <w:rPr>
          <w:spacing w:val="-2"/>
        </w:rPr>
        <w:t>for</w:t>
      </w:r>
      <w:r>
        <w:rPr>
          <w:spacing w:val="-8"/>
        </w:rPr>
        <w:t> </w:t>
      </w:r>
      <w:r>
        <w:rPr>
          <w:spacing w:val="-2"/>
        </w:rPr>
        <w:t>professional</w:t>
      </w:r>
      <w:r>
        <w:rPr>
          <w:spacing w:val="-8"/>
        </w:rPr>
        <w:t> </w:t>
      </w:r>
      <w:r>
        <w:rPr>
          <w:spacing w:val="-2"/>
        </w:rPr>
        <w:t>development.</w:t>
      </w:r>
      <w:r>
        <w:rPr>
          <w:spacing w:val="-12"/>
        </w:rPr>
        <w:t> </w:t>
      </w:r>
      <w:r>
        <w:rPr>
          <w:spacing w:val="-2"/>
        </w:rPr>
        <w:t>There</w:t>
      </w:r>
      <w:r>
        <w:rPr>
          <w:spacing w:val="-8"/>
        </w:rPr>
        <w:t> </w:t>
      </w:r>
      <w:r>
        <w:rPr>
          <w:spacing w:val="-2"/>
        </w:rPr>
        <w:t>should</w:t>
      </w:r>
      <w:r>
        <w:rPr>
          <w:spacing w:val="-8"/>
        </w:rPr>
        <w:t> </w:t>
      </w:r>
      <w:r>
        <w:rPr>
          <w:spacing w:val="-2"/>
        </w:rPr>
        <w:t>be</w:t>
      </w:r>
      <w:r>
        <w:rPr>
          <w:spacing w:val="-8"/>
        </w:rPr>
        <w:t> </w:t>
      </w:r>
      <w:r>
        <w:rPr>
          <w:spacing w:val="-2"/>
        </w:rPr>
        <w:t>a </w:t>
      </w:r>
      <w:r>
        <w:rPr>
          <w:spacing w:val="-6"/>
        </w:rPr>
        <w:t>provision of research facilities in all colleges or a system </w:t>
      </w:r>
      <w:r>
        <w:rPr>
          <w:spacing w:val="-2"/>
        </w:rPr>
        <w:t>wherein</w:t>
      </w:r>
      <w:r>
        <w:rPr>
          <w:spacing w:val="-10"/>
        </w:rPr>
        <w:t> </w:t>
      </w:r>
      <w:r>
        <w:rPr>
          <w:spacing w:val="-2"/>
        </w:rPr>
        <w:t>interested</w:t>
      </w:r>
      <w:r>
        <w:rPr>
          <w:spacing w:val="-10"/>
        </w:rPr>
        <w:t> </w:t>
      </w:r>
      <w:r>
        <w:rPr>
          <w:spacing w:val="-2"/>
        </w:rPr>
        <w:t>college</w:t>
      </w:r>
      <w:r>
        <w:rPr>
          <w:spacing w:val="-10"/>
        </w:rPr>
        <w:t> </w:t>
      </w:r>
      <w:r>
        <w:rPr>
          <w:spacing w:val="-2"/>
        </w:rPr>
        <w:t>teachers</w:t>
      </w:r>
      <w:r>
        <w:rPr>
          <w:spacing w:val="-10"/>
        </w:rPr>
        <w:t> </w:t>
      </w:r>
      <w:r>
        <w:rPr>
          <w:spacing w:val="-2"/>
        </w:rPr>
        <w:t>can</w:t>
      </w:r>
      <w:r>
        <w:rPr>
          <w:spacing w:val="-10"/>
        </w:rPr>
        <w:t> </w:t>
      </w:r>
      <w:r>
        <w:rPr>
          <w:spacing w:val="-2"/>
        </w:rPr>
        <w:t>avail</w:t>
      </w:r>
      <w:r>
        <w:rPr>
          <w:spacing w:val="-10"/>
        </w:rPr>
        <w:t> </w:t>
      </w:r>
      <w:r>
        <w:rPr>
          <w:spacing w:val="-2"/>
        </w:rPr>
        <w:t>of</w:t>
      </w:r>
      <w:r>
        <w:rPr>
          <w:spacing w:val="-10"/>
        </w:rPr>
        <w:t> </w:t>
      </w:r>
      <w:r>
        <w:rPr>
          <w:spacing w:val="-2"/>
        </w:rPr>
        <w:t>nearby </w:t>
      </w:r>
      <w:r>
        <w:rPr>
          <w:spacing w:val="-4"/>
        </w:rPr>
        <w:t>research</w:t>
      </w:r>
      <w:r>
        <w:rPr>
          <w:spacing w:val="-9"/>
        </w:rPr>
        <w:t> </w:t>
      </w:r>
      <w:r>
        <w:rPr>
          <w:spacing w:val="-4"/>
        </w:rPr>
        <w:t>facilities.</w:t>
      </w:r>
      <w:r>
        <w:rPr>
          <w:spacing w:val="-9"/>
        </w:rPr>
        <w:t> </w:t>
      </w:r>
      <w:r>
        <w:rPr>
          <w:spacing w:val="-4"/>
        </w:rPr>
        <w:t>Access</w:t>
      </w:r>
      <w:r>
        <w:rPr>
          <w:spacing w:val="-9"/>
        </w:rPr>
        <w:t> </w:t>
      </w:r>
      <w:r>
        <w:rPr>
          <w:spacing w:val="-4"/>
        </w:rPr>
        <w:t>to</w:t>
      </w:r>
      <w:r>
        <w:rPr>
          <w:spacing w:val="-9"/>
        </w:rPr>
        <w:t> </w:t>
      </w:r>
      <w:r>
        <w:rPr>
          <w:spacing w:val="-4"/>
        </w:rPr>
        <w:t>journals</w:t>
      </w:r>
      <w:r>
        <w:rPr>
          <w:spacing w:val="-9"/>
        </w:rPr>
        <w:t> </w:t>
      </w:r>
      <w:r>
        <w:rPr>
          <w:spacing w:val="-4"/>
        </w:rPr>
        <w:t>and</w:t>
      </w:r>
      <w:r>
        <w:rPr>
          <w:spacing w:val="-9"/>
        </w:rPr>
        <w:t> </w:t>
      </w:r>
      <w:r>
        <w:rPr>
          <w:spacing w:val="-4"/>
        </w:rPr>
        <w:t>internet</w:t>
      </w:r>
      <w:r>
        <w:rPr>
          <w:spacing w:val="-9"/>
        </w:rPr>
        <w:t> </w:t>
      </w:r>
      <w:r>
        <w:rPr>
          <w:spacing w:val="-4"/>
        </w:rPr>
        <w:t>based </w:t>
      </w:r>
      <w:r>
        <w:rPr>
          <w:spacing w:val="-6"/>
        </w:rPr>
        <w:t>learning</w:t>
      </w:r>
      <w:r>
        <w:rPr>
          <w:spacing w:val="-8"/>
        </w:rPr>
        <w:t> </w:t>
      </w:r>
      <w:r>
        <w:rPr>
          <w:spacing w:val="-6"/>
        </w:rPr>
        <w:t>must</w:t>
      </w:r>
      <w:r>
        <w:rPr>
          <w:spacing w:val="-8"/>
        </w:rPr>
        <w:t> </w:t>
      </w:r>
      <w:r>
        <w:rPr>
          <w:spacing w:val="-6"/>
        </w:rPr>
        <w:t>be</w:t>
      </w:r>
      <w:r>
        <w:rPr>
          <w:spacing w:val="-8"/>
        </w:rPr>
        <w:t> </w:t>
      </w:r>
      <w:r>
        <w:rPr>
          <w:spacing w:val="-6"/>
        </w:rPr>
        <w:t>provided.</w:t>
      </w:r>
      <w:r>
        <w:rPr>
          <w:spacing w:val="-7"/>
        </w:rPr>
        <w:t> </w:t>
      </w:r>
      <w:r>
        <w:rPr>
          <w:spacing w:val="-6"/>
        </w:rPr>
        <w:t>New</w:t>
      </w:r>
      <w:r>
        <w:rPr>
          <w:spacing w:val="-8"/>
        </w:rPr>
        <w:t> </w:t>
      </w:r>
      <w:r>
        <w:rPr>
          <w:spacing w:val="-6"/>
        </w:rPr>
        <w:t>faculty</w:t>
      </w:r>
      <w:r>
        <w:rPr>
          <w:spacing w:val="-8"/>
        </w:rPr>
        <w:t> </w:t>
      </w:r>
      <w:r>
        <w:rPr>
          <w:spacing w:val="-6"/>
        </w:rPr>
        <w:t>members</w:t>
      </w:r>
      <w:r>
        <w:rPr>
          <w:spacing w:val="-8"/>
        </w:rPr>
        <w:t> </w:t>
      </w:r>
      <w:r>
        <w:rPr>
          <w:spacing w:val="-6"/>
        </w:rPr>
        <w:t>should </w:t>
      </w:r>
      <w:r>
        <w:rPr/>
        <w:t>be</w:t>
      </w:r>
      <w:r>
        <w:rPr>
          <w:spacing w:val="-1"/>
        </w:rPr>
        <w:t> </w:t>
      </w:r>
      <w:r>
        <w:rPr/>
        <w:t>given</w:t>
      </w:r>
      <w:r>
        <w:rPr>
          <w:spacing w:val="-1"/>
        </w:rPr>
        <w:t> </w:t>
      </w:r>
      <w:r>
        <w:rPr/>
        <w:t>lighter</w:t>
      </w:r>
      <w:r>
        <w:rPr>
          <w:spacing w:val="-1"/>
        </w:rPr>
        <w:t> </w:t>
      </w:r>
      <w:r>
        <w:rPr/>
        <w:t>teaching</w:t>
      </w:r>
      <w:r>
        <w:rPr>
          <w:spacing w:val="-1"/>
        </w:rPr>
        <w:t> </w:t>
      </w:r>
      <w:r>
        <w:rPr/>
        <w:t>load</w:t>
      </w:r>
      <w:r>
        <w:rPr>
          <w:spacing w:val="-1"/>
        </w:rPr>
        <w:t> </w:t>
      </w:r>
      <w:r>
        <w:rPr/>
        <w:t>and</w:t>
      </w:r>
      <w:r>
        <w:rPr>
          <w:spacing w:val="-1"/>
        </w:rPr>
        <w:t> </w:t>
      </w:r>
      <w:r>
        <w:rPr/>
        <w:t>a</w:t>
      </w:r>
      <w:r>
        <w:rPr>
          <w:spacing w:val="-1"/>
        </w:rPr>
        <w:t> </w:t>
      </w:r>
      <w:r>
        <w:rPr/>
        <w:t>start</w:t>
      </w:r>
      <w:r>
        <w:rPr>
          <w:spacing w:val="-1"/>
        </w:rPr>
        <w:t> </w:t>
      </w:r>
      <w:r>
        <w:rPr/>
        <w:t>up</w:t>
      </w:r>
      <w:r>
        <w:rPr>
          <w:spacing w:val="-1"/>
        </w:rPr>
        <w:t> </w:t>
      </w:r>
      <w:r>
        <w:rPr/>
        <w:t>grant</w:t>
      </w:r>
      <w:r>
        <w:rPr>
          <w:spacing w:val="-1"/>
        </w:rPr>
        <w:t> </w:t>
      </w:r>
      <w:r>
        <w:rPr/>
        <w:t>for </w:t>
      </w:r>
      <w:r>
        <w:rPr>
          <w:spacing w:val="-2"/>
        </w:rPr>
        <w:t>research.</w:t>
      </w:r>
      <w:r>
        <w:rPr>
          <w:spacing w:val="-12"/>
        </w:rPr>
        <w:t> </w:t>
      </w:r>
      <w:r>
        <w:rPr>
          <w:spacing w:val="-2"/>
        </w:rPr>
        <w:t>This</w:t>
      </w:r>
      <w:r>
        <w:rPr>
          <w:spacing w:val="-12"/>
        </w:rPr>
        <w:t> </w:t>
      </w:r>
      <w:r>
        <w:rPr>
          <w:spacing w:val="-2"/>
        </w:rPr>
        <w:t>will</w:t>
      </w:r>
      <w:r>
        <w:rPr>
          <w:spacing w:val="-12"/>
        </w:rPr>
        <w:t> </w:t>
      </w:r>
      <w:r>
        <w:rPr>
          <w:spacing w:val="-2"/>
        </w:rPr>
        <w:t>enable</w:t>
      </w:r>
      <w:r>
        <w:rPr>
          <w:spacing w:val="-11"/>
        </w:rPr>
        <w:t> </w:t>
      </w:r>
      <w:r>
        <w:rPr>
          <w:spacing w:val="-2"/>
        </w:rPr>
        <w:t>them</w:t>
      </w:r>
      <w:r>
        <w:rPr>
          <w:spacing w:val="-12"/>
        </w:rPr>
        <w:t> </w:t>
      </w:r>
      <w:r>
        <w:rPr>
          <w:spacing w:val="-2"/>
        </w:rPr>
        <w:t>to</w:t>
      </w:r>
      <w:r>
        <w:rPr>
          <w:spacing w:val="-12"/>
        </w:rPr>
        <w:t> </w:t>
      </w:r>
      <w:r>
        <w:rPr>
          <w:spacing w:val="-2"/>
        </w:rPr>
        <w:t>establish</w:t>
      </w:r>
      <w:r>
        <w:rPr>
          <w:spacing w:val="-12"/>
        </w:rPr>
        <w:t> </w:t>
      </w:r>
      <w:r>
        <w:rPr>
          <w:spacing w:val="-2"/>
        </w:rPr>
        <w:t>themselves </w:t>
      </w:r>
      <w:r>
        <w:rPr>
          <w:spacing w:val="-4"/>
        </w:rPr>
        <w:t>in</w:t>
      </w:r>
      <w:r>
        <w:rPr>
          <w:spacing w:val="-10"/>
        </w:rPr>
        <w:t> </w:t>
      </w:r>
      <w:r>
        <w:rPr>
          <w:spacing w:val="-4"/>
        </w:rPr>
        <w:t>their</w:t>
      </w:r>
      <w:r>
        <w:rPr>
          <w:spacing w:val="-10"/>
        </w:rPr>
        <w:t> </w:t>
      </w:r>
      <w:r>
        <w:rPr>
          <w:spacing w:val="-4"/>
        </w:rPr>
        <w:t>chosen</w:t>
      </w:r>
      <w:r>
        <w:rPr>
          <w:spacing w:val="-10"/>
        </w:rPr>
        <w:t> </w:t>
      </w:r>
      <w:r>
        <w:rPr>
          <w:spacing w:val="-4"/>
        </w:rPr>
        <w:t>research</w:t>
      </w:r>
      <w:r>
        <w:rPr>
          <w:spacing w:val="-9"/>
        </w:rPr>
        <w:t> </w:t>
      </w:r>
      <w:r>
        <w:rPr>
          <w:spacing w:val="-4"/>
        </w:rPr>
        <w:t>area.</w:t>
      </w:r>
      <w:r>
        <w:rPr>
          <w:spacing w:val="-10"/>
        </w:rPr>
        <w:t> </w:t>
      </w:r>
      <w:r>
        <w:rPr>
          <w:spacing w:val="-4"/>
        </w:rPr>
        <w:t>There</w:t>
      </w:r>
      <w:r>
        <w:rPr>
          <w:spacing w:val="-10"/>
        </w:rPr>
        <w:t> </w:t>
      </w:r>
      <w:r>
        <w:rPr>
          <w:spacing w:val="-4"/>
        </w:rPr>
        <w:t>is</w:t>
      </w:r>
      <w:r>
        <w:rPr>
          <w:spacing w:val="-10"/>
        </w:rPr>
        <w:t> </w:t>
      </w:r>
      <w:r>
        <w:rPr>
          <w:spacing w:val="-4"/>
        </w:rPr>
        <w:t>a</w:t>
      </w:r>
      <w:r>
        <w:rPr>
          <w:spacing w:val="-9"/>
        </w:rPr>
        <w:t> </w:t>
      </w:r>
      <w:r>
        <w:rPr>
          <w:spacing w:val="-4"/>
        </w:rPr>
        <w:t>need</w:t>
      </w:r>
      <w:r>
        <w:rPr>
          <w:spacing w:val="-10"/>
        </w:rPr>
        <w:t> </w:t>
      </w:r>
      <w:r>
        <w:rPr>
          <w:spacing w:val="-4"/>
        </w:rPr>
        <w:t>to</w:t>
      </w:r>
      <w:r>
        <w:rPr>
          <w:spacing w:val="-10"/>
        </w:rPr>
        <w:t> </w:t>
      </w:r>
      <w:r>
        <w:rPr>
          <w:spacing w:val="-4"/>
        </w:rPr>
        <w:t>increase </w:t>
      </w:r>
      <w:r>
        <w:rPr/>
        <w:t>academic freedom at all levels. </w:t>
      </w:r>
      <w:r>
        <w:rPr>
          <w:i/>
        </w:rPr>
        <w:t>Academic autonomy is</w:t>
      </w:r>
      <w:r>
        <w:rPr>
          <w:i/>
          <w:spacing w:val="-14"/>
        </w:rPr>
        <w:t> </w:t>
      </w:r>
      <w:r>
        <w:rPr>
          <w:i/>
        </w:rPr>
        <w:t>important</w:t>
      </w:r>
      <w:r>
        <w:rPr>
          <w:i/>
          <w:spacing w:val="-14"/>
        </w:rPr>
        <w:t> </w:t>
      </w:r>
      <w:r>
        <w:rPr>
          <w:i/>
        </w:rPr>
        <w:t>in</w:t>
      </w:r>
      <w:r>
        <w:rPr>
          <w:i/>
          <w:spacing w:val="-14"/>
        </w:rPr>
        <w:t> </w:t>
      </w:r>
      <w:r>
        <w:rPr>
          <w:i/>
        </w:rPr>
        <w:t>retaining</w:t>
      </w:r>
      <w:r>
        <w:rPr>
          <w:i/>
          <w:spacing w:val="-13"/>
        </w:rPr>
        <w:t> </w:t>
      </w:r>
      <w:r>
        <w:rPr>
          <w:i/>
        </w:rPr>
        <w:t>teachers.</w:t>
      </w:r>
      <w:r>
        <w:rPr>
          <w:i/>
          <w:spacing w:val="-14"/>
        </w:rPr>
        <w:t> </w:t>
      </w:r>
      <w:r>
        <w:rPr>
          <w:i/>
        </w:rPr>
        <w:t>Teachers</w:t>
      </w:r>
      <w:r>
        <w:rPr>
          <w:i/>
          <w:spacing w:val="-14"/>
        </w:rPr>
        <w:t> </w:t>
      </w:r>
      <w:r>
        <w:rPr>
          <w:i/>
        </w:rPr>
        <w:t>should</w:t>
      </w:r>
      <w:r>
        <w:rPr>
          <w:i/>
          <w:spacing w:val="-14"/>
        </w:rPr>
        <w:t> </w:t>
      </w:r>
      <w:r>
        <w:rPr>
          <w:i/>
        </w:rPr>
        <w:t>be </w:t>
      </w:r>
      <w:r>
        <w:rPr>
          <w:i/>
          <w:w w:val="90"/>
        </w:rPr>
        <w:t>encouraged and empowered to try new pedagogical tools. </w:t>
      </w:r>
      <w:r>
        <w:rPr/>
        <w:t>Flexibility is important to contemporise classroom learning and make it more engaging.</w:t>
      </w:r>
    </w:p>
    <w:p>
      <w:pPr>
        <w:pStyle w:val="BodyText"/>
        <w:spacing w:before="16"/>
      </w:pPr>
    </w:p>
    <w:p>
      <w:pPr>
        <w:pStyle w:val="ListParagraph"/>
        <w:numPr>
          <w:ilvl w:val="1"/>
          <w:numId w:val="36"/>
        </w:numPr>
        <w:tabs>
          <w:tab w:pos="651" w:val="left" w:leader="none"/>
        </w:tabs>
        <w:spacing w:line="266" w:lineRule="auto" w:before="0" w:after="0"/>
        <w:ind w:left="319" w:right="1077" w:firstLine="0"/>
        <w:jc w:val="both"/>
        <w:rPr>
          <w:sz w:val="22"/>
        </w:rPr>
      </w:pPr>
      <w:r>
        <w:rPr>
          <w:b/>
          <w:spacing w:val="-6"/>
          <w:sz w:val="22"/>
        </w:rPr>
        <w:t>Mentoring:</w:t>
      </w:r>
      <w:r>
        <w:rPr>
          <w:b/>
          <w:spacing w:val="-8"/>
          <w:sz w:val="22"/>
        </w:rPr>
        <w:t> </w:t>
      </w:r>
      <w:r>
        <w:rPr>
          <w:spacing w:val="-6"/>
          <w:sz w:val="22"/>
        </w:rPr>
        <w:t>A</w:t>
      </w:r>
      <w:r>
        <w:rPr>
          <w:spacing w:val="-8"/>
          <w:sz w:val="22"/>
        </w:rPr>
        <w:t> </w:t>
      </w:r>
      <w:r>
        <w:rPr>
          <w:spacing w:val="-6"/>
          <w:sz w:val="22"/>
        </w:rPr>
        <w:t>mentoring</w:t>
      </w:r>
      <w:r>
        <w:rPr>
          <w:spacing w:val="-8"/>
          <w:sz w:val="22"/>
        </w:rPr>
        <w:t> </w:t>
      </w:r>
      <w:r>
        <w:rPr>
          <w:spacing w:val="-6"/>
          <w:sz w:val="22"/>
        </w:rPr>
        <w:t>program</w:t>
      </w:r>
      <w:r>
        <w:rPr>
          <w:spacing w:val="-7"/>
          <w:sz w:val="22"/>
        </w:rPr>
        <w:t> </w:t>
      </w:r>
      <w:r>
        <w:rPr>
          <w:spacing w:val="-6"/>
          <w:sz w:val="22"/>
        </w:rPr>
        <w:t>for</w:t>
      </w:r>
      <w:r>
        <w:rPr>
          <w:spacing w:val="-8"/>
          <w:sz w:val="22"/>
        </w:rPr>
        <w:t> </w:t>
      </w:r>
      <w:r>
        <w:rPr>
          <w:spacing w:val="-6"/>
          <w:sz w:val="22"/>
        </w:rPr>
        <w:t>young</w:t>
      </w:r>
      <w:r>
        <w:rPr>
          <w:spacing w:val="-8"/>
          <w:sz w:val="22"/>
        </w:rPr>
        <w:t> </w:t>
      </w:r>
      <w:r>
        <w:rPr>
          <w:spacing w:val="-6"/>
          <w:sz w:val="22"/>
        </w:rPr>
        <w:t>faculty </w:t>
      </w:r>
      <w:r>
        <w:rPr>
          <w:spacing w:val="-2"/>
          <w:sz w:val="22"/>
        </w:rPr>
        <w:t>members</w:t>
      </w:r>
      <w:r>
        <w:rPr>
          <w:spacing w:val="-12"/>
          <w:sz w:val="22"/>
        </w:rPr>
        <w:t> </w:t>
      </w:r>
      <w:r>
        <w:rPr>
          <w:spacing w:val="-2"/>
          <w:sz w:val="22"/>
        </w:rPr>
        <w:t>should</w:t>
      </w:r>
      <w:r>
        <w:rPr>
          <w:spacing w:val="-12"/>
          <w:sz w:val="22"/>
        </w:rPr>
        <w:t> </w:t>
      </w:r>
      <w:r>
        <w:rPr>
          <w:spacing w:val="-2"/>
          <w:sz w:val="22"/>
        </w:rPr>
        <w:t>be</w:t>
      </w:r>
      <w:r>
        <w:rPr>
          <w:spacing w:val="-12"/>
          <w:sz w:val="22"/>
        </w:rPr>
        <w:t> </w:t>
      </w:r>
      <w:r>
        <w:rPr>
          <w:spacing w:val="-2"/>
          <w:sz w:val="22"/>
        </w:rPr>
        <w:t>started</w:t>
      </w:r>
      <w:r>
        <w:rPr>
          <w:spacing w:val="-11"/>
          <w:sz w:val="22"/>
        </w:rPr>
        <w:t> </w:t>
      </w:r>
      <w:r>
        <w:rPr>
          <w:spacing w:val="-2"/>
          <w:sz w:val="22"/>
        </w:rPr>
        <w:t>in</w:t>
      </w:r>
      <w:r>
        <w:rPr>
          <w:spacing w:val="-12"/>
          <w:sz w:val="22"/>
        </w:rPr>
        <w:t> </w:t>
      </w:r>
      <w:r>
        <w:rPr>
          <w:spacing w:val="-2"/>
          <w:sz w:val="22"/>
        </w:rPr>
        <w:t>universities</w:t>
      </w:r>
      <w:r>
        <w:rPr>
          <w:spacing w:val="-12"/>
          <w:sz w:val="22"/>
        </w:rPr>
        <w:t> </w:t>
      </w:r>
      <w:r>
        <w:rPr>
          <w:spacing w:val="-2"/>
          <w:sz w:val="22"/>
        </w:rPr>
        <w:t>and</w:t>
      </w:r>
      <w:r>
        <w:rPr>
          <w:spacing w:val="-12"/>
          <w:sz w:val="22"/>
        </w:rPr>
        <w:t> </w:t>
      </w:r>
      <w:r>
        <w:rPr>
          <w:spacing w:val="-2"/>
          <w:sz w:val="22"/>
        </w:rPr>
        <w:t>colleges. </w:t>
      </w:r>
      <w:r>
        <w:rPr>
          <w:spacing w:val="-10"/>
          <w:sz w:val="22"/>
        </w:rPr>
        <w:t>Experienced</w:t>
      </w:r>
      <w:r>
        <w:rPr>
          <w:sz w:val="22"/>
        </w:rPr>
        <w:t> </w:t>
      </w:r>
      <w:r>
        <w:rPr>
          <w:spacing w:val="-10"/>
          <w:sz w:val="22"/>
        </w:rPr>
        <w:t>faculty</w:t>
      </w:r>
      <w:r>
        <w:rPr>
          <w:sz w:val="22"/>
        </w:rPr>
        <w:t> </w:t>
      </w:r>
      <w:r>
        <w:rPr>
          <w:spacing w:val="-10"/>
          <w:sz w:val="22"/>
        </w:rPr>
        <w:t>members</w:t>
      </w:r>
      <w:r>
        <w:rPr>
          <w:sz w:val="22"/>
        </w:rPr>
        <w:t> </w:t>
      </w:r>
      <w:r>
        <w:rPr>
          <w:spacing w:val="-10"/>
          <w:sz w:val="22"/>
        </w:rPr>
        <w:t>can</w:t>
      </w:r>
      <w:r>
        <w:rPr>
          <w:sz w:val="22"/>
        </w:rPr>
        <w:t> </w:t>
      </w:r>
      <w:r>
        <w:rPr>
          <w:spacing w:val="-10"/>
          <w:sz w:val="22"/>
        </w:rPr>
        <w:t>mentor</w:t>
      </w:r>
      <w:r>
        <w:rPr>
          <w:sz w:val="22"/>
        </w:rPr>
        <w:t> </w:t>
      </w:r>
      <w:r>
        <w:rPr>
          <w:spacing w:val="-10"/>
          <w:sz w:val="22"/>
        </w:rPr>
        <w:t>junior</w:t>
      </w:r>
      <w:r>
        <w:rPr>
          <w:sz w:val="22"/>
        </w:rPr>
        <w:t> </w:t>
      </w:r>
      <w:r>
        <w:rPr>
          <w:spacing w:val="-10"/>
          <w:sz w:val="22"/>
        </w:rPr>
        <w:t>members </w:t>
      </w:r>
      <w:r>
        <w:rPr>
          <w:spacing w:val="-4"/>
          <w:sz w:val="22"/>
        </w:rPr>
        <w:t>on</w:t>
      </w:r>
      <w:r>
        <w:rPr>
          <w:spacing w:val="-8"/>
          <w:sz w:val="22"/>
        </w:rPr>
        <w:t> </w:t>
      </w:r>
      <w:r>
        <w:rPr>
          <w:spacing w:val="-4"/>
          <w:sz w:val="22"/>
        </w:rPr>
        <w:t>issues</w:t>
      </w:r>
      <w:r>
        <w:rPr>
          <w:spacing w:val="-8"/>
          <w:sz w:val="22"/>
        </w:rPr>
        <w:t> </w:t>
      </w:r>
      <w:r>
        <w:rPr>
          <w:spacing w:val="-4"/>
          <w:sz w:val="22"/>
        </w:rPr>
        <w:t>related</w:t>
      </w:r>
      <w:r>
        <w:rPr>
          <w:spacing w:val="-8"/>
          <w:sz w:val="22"/>
        </w:rPr>
        <w:t> </w:t>
      </w:r>
      <w:r>
        <w:rPr>
          <w:spacing w:val="-4"/>
          <w:sz w:val="22"/>
        </w:rPr>
        <w:t>to</w:t>
      </w:r>
      <w:r>
        <w:rPr>
          <w:spacing w:val="-8"/>
          <w:sz w:val="22"/>
        </w:rPr>
        <w:t> </w:t>
      </w:r>
      <w:r>
        <w:rPr>
          <w:spacing w:val="-4"/>
          <w:sz w:val="22"/>
        </w:rPr>
        <w:t>starting</w:t>
      </w:r>
      <w:r>
        <w:rPr>
          <w:spacing w:val="-8"/>
          <w:sz w:val="22"/>
        </w:rPr>
        <w:t> </w:t>
      </w:r>
      <w:r>
        <w:rPr>
          <w:spacing w:val="-4"/>
          <w:sz w:val="22"/>
        </w:rPr>
        <w:t>new</w:t>
      </w:r>
      <w:r>
        <w:rPr>
          <w:spacing w:val="-8"/>
          <w:sz w:val="22"/>
        </w:rPr>
        <w:t> </w:t>
      </w:r>
      <w:r>
        <w:rPr>
          <w:spacing w:val="-4"/>
          <w:sz w:val="22"/>
        </w:rPr>
        <w:t>research</w:t>
      </w:r>
      <w:r>
        <w:rPr>
          <w:spacing w:val="-8"/>
          <w:sz w:val="22"/>
        </w:rPr>
        <w:t> </w:t>
      </w:r>
      <w:r>
        <w:rPr>
          <w:spacing w:val="-4"/>
          <w:sz w:val="22"/>
        </w:rPr>
        <w:t>projects,</w:t>
      </w:r>
      <w:r>
        <w:rPr>
          <w:spacing w:val="-8"/>
          <w:sz w:val="22"/>
        </w:rPr>
        <w:t> </w:t>
      </w:r>
      <w:r>
        <w:rPr>
          <w:spacing w:val="-4"/>
          <w:sz w:val="22"/>
        </w:rPr>
        <w:t>grant </w:t>
      </w:r>
      <w:r>
        <w:rPr>
          <w:spacing w:val="-2"/>
          <w:sz w:val="22"/>
        </w:rPr>
        <w:t>application</w:t>
      </w:r>
      <w:r>
        <w:rPr>
          <w:spacing w:val="-12"/>
          <w:sz w:val="22"/>
        </w:rPr>
        <w:t> </w:t>
      </w:r>
      <w:r>
        <w:rPr>
          <w:spacing w:val="-2"/>
          <w:sz w:val="22"/>
        </w:rPr>
        <w:t>writing</w:t>
      </w:r>
      <w:r>
        <w:rPr>
          <w:spacing w:val="-12"/>
          <w:sz w:val="22"/>
        </w:rPr>
        <w:t> </w:t>
      </w:r>
      <w:r>
        <w:rPr>
          <w:spacing w:val="-2"/>
          <w:sz w:val="22"/>
        </w:rPr>
        <w:t>etc.</w:t>
      </w:r>
      <w:r>
        <w:rPr>
          <w:spacing w:val="-12"/>
          <w:sz w:val="22"/>
        </w:rPr>
        <w:t> </w:t>
      </w:r>
      <w:r>
        <w:rPr>
          <w:spacing w:val="-2"/>
          <w:sz w:val="22"/>
        </w:rPr>
        <w:t>They</w:t>
      </w:r>
      <w:r>
        <w:rPr>
          <w:spacing w:val="-11"/>
          <w:sz w:val="22"/>
        </w:rPr>
        <w:t> </w:t>
      </w:r>
      <w:r>
        <w:rPr>
          <w:spacing w:val="-2"/>
          <w:sz w:val="22"/>
        </w:rPr>
        <w:t>can</w:t>
      </w:r>
      <w:r>
        <w:rPr>
          <w:spacing w:val="-12"/>
          <w:sz w:val="22"/>
        </w:rPr>
        <w:t> </w:t>
      </w:r>
      <w:r>
        <w:rPr>
          <w:spacing w:val="-2"/>
          <w:sz w:val="22"/>
        </w:rPr>
        <w:t>share</w:t>
      </w:r>
      <w:r>
        <w:rPr>
          <w:spacing w:val="-12"/>
          <w:sz w:val="22"/>
        </w:rPr>
        <w:t> </w:t>
      </w:r>
      <w:r>
        <w:rPr>
          <w:spacing w:val="-2"/>
          <w:sz w:val="22"/>
        </w:rPr>
        <w:t>tips</w:t>
      </w:r>
      <w:r>
        <w:rPr>
          <w:spacing w:val="-12"/>
          <w:sz w:val="22"/>
        </w:rPr>
        <w:t> </w:t>
      </w:r>
      <w:r>
        <w:rPr>
          <w:spacing w:val="-2"/>
          <w:sz w:val="22"/>
        </w:rPr>
        <w:t>on</w:t>
      </w:r>
      <w:r>
        <w:rPr>
          <w:spacing w:val="-11"/>
          <w:sz w:val="22"/>
        </w:rPr>
        <w:t> </w:t>
      </w:r>
      <w:r>
        <w:rPr>
          <w:spacing w:val="-2"/>
          <w:sz w:val="22"/>
        </w:rPr>
        <w:t>different </w:t>
      </w:r>
      <w:r>
        <w:rPr>
          <w:sz w:val="22"/>
        </w:rPr>
        <w:t>aspects</w:t>
      </w:r>
      <w:r>
        <w:rPr>
          <w:spacing w:val="-10"/>
          <w:sz w:val="22"/>
        </w:rPr>
        <w:t> </w:t>
      </w:r>
      <w:r>
        <w:rPr>
          <w:sz w:val="22"/>
        </w:rPr>
        <w:t>of</w:t>
      </w:r>
      <w:r>
        <w:rPr>
          <w:spacing w:val="-10"/>
          <w:sz w:val="22"/>
        </w:rPr>
        <w:t> </w:t>
      </w:r>
      <w:r>
        <w:rPr>
          <w:sz w:val="22"/>
        </w:rPr>
        <w:t>classroom</w:t>
      </w:r>
      <w:r>
        <w:rPr>
          <w:spacing w:val="-10"/>
          <w:sz w:val="22"/>
        </w:rPr>
        <w:t> </w:t>
      </w:r>
      <w:r>
        <w:rPr>
          <w:sz w:val="22"/>
        </w:rPr>
        <w:t>teaching,</w:t>
      </w:r>
      <w:r>
        <w:rPr>
          <w:spacing w:val="-10"/>
          <w:sz w:val="22"/>
        </w:rPr>
        <w:t> </w:t>
      </w:r>
      <w:r>
        <w:rPr>
          <w:sz w:val="22"/>
        </w:rPr>
        <w:t>like</w:t>
      </w:r>
      <w:r>
        <w:rPr>
          <w:spacing w:val="-10"/>
          <w:sz w:val="22"/>
        </w:rPr>
        <w:t> </w:t>
      </w:r>
      <w:r>
        <w:rPr>
          <w:sz w:val="22"/>
        </w:rPr>
        <w:t>syllabus</w:t>
      </w:r>
      <w:r>
        <w:rPr>
          <w:spacing w:val="-10"/>
          <w:sz w:val="22"/>
        </w:rPr>
        <w:t> </w:t>
      </w:r>
      <w:r>
        <w:rPr>
          <w:sz w:val="22"/>
        </w:rPr>
        <w:t>planning, </w:t>
      </w:r>
      <w:r>
        <w:rPr>
          <w:spacing w:val="-8"/>
          <w:sz w:val="22"/>
        </w:rPr>
        <w:t>managing</w:t>
      </w:r>
      <w:r>
        <w:rPr>
          <w:spacing w:val="-1"/>
          <w:sz w:val="22"/>
        </w:rPr>
        <w:t> </w:t>
      </w:r>
      <w:r>
        <w:rPr>
          <w:spacing w:val="-8"/>
          <w:sz w:val="22"/>
        </w:rPr>
        <w:t>the</w:t>
      </w:r>
      <w:r>
        <w:rPr>
          <w:spacing w:val="-1"/>
          <w:sz w:val="22"/>
        </w:rPr>
        <w:t> </w:t>
      </w:r>
      <w:r>
        <w:rPr>
          <w:spacing w:val="-8"/>
          <w:sz w:val="22"/>
        </w:rPr>
        <w:t>classes</w:t>
      </w:r>
      <w:r>
        <w:rPr>
          <w:spacing w:val="-1"/>
          <w:sz w:val="22"/>
        </w:rPr>
        <w:t> </w:t>
      </w:r>
      <w:r>
        <w:rPr>
          <w:spacing w:val="-8"/>
          <w:sz w:val="22"/>
        </w:rPr>
        <w:t>etc.</w:t>
      </w:r>
      <w:r>
        <w:rPr>
          <w:spacing w:val="-1"/>
          <w:sz w:val="22"/>
        </w:rPr>
        <w:t> </w:t>
      </w:r>
      <w:r>
        <w:rPr>
          <w:spacing w:val="-8"/>
          <w:sz w:val="22"/>
        </w:rPr>
        <w:t>Peer</w:t>
      </w:r>
      <w:r>
        <w:rPr>
          <w:spacing w:val="-1"/>
          <w:sz w:val="22"/>
        </w:rPr>
        <w:t> </w:t>
      </w:r>
      <w:r>
        <w:rPr>
          <w:spacing w:val="-8"/>
          <w:sz w:val="22"/>
        </w:rPr>
        <w:t>evaluation</w:t>
      </w:r>
      <w:r>
        <w:rPr>
          <w:spacing w:val="-1"/>
          <w:sz w:val="22"/>
        </w:rPr>
        <w:t> </w:t>
      </w:r>
      <w:r>
        <w:rPr>
          <w:spacing w:val="-8"/>
          <w:sz w:val="22"/>
        </w:rPr>
        <w:t>of</w:t>
      </w:r>
      <w:r>
        <w:rPr>
          <w:spacing w:val="-1"/>
          <w:sz w:val="22"/>
        </w:rPr>
        <w:t> </w:t>
      </w:r>
      <w:r>
        <w:rPr>
          <w:spacing w:val="-8"/>
          <w:sz w:val="22"/>
        </w:rPr>
        <w:t>teaching</w:t>
      </w:r>
      <w:r>
        <w:rPr>
          <w:spacing w:val="-1"/>
          <w:sz w:val="22"/>
        </w:rPr>
        <w:t> </w:t>
      </w:r>
      <w:r>
        <w:rPr>
          <w:spacing w:val="-8"/>
          <w:sz w:val="22"/>
        </w:rPr>
        <w:t>and </w:t>
      </w:r>
      <w:r>
        <w:rPr>
          <w:spacing w:val="-4"/>
          <w:sz w:val="22"/>
        </w:rPr>
        <w:t>exchange</w:t>
      </w:r>
      <w:r>
        <w:rPr>
          <w:spacing w:val="-6"/>
          <w:sz w:val="22"/>
        </w:rPr>
        <w:t> </w:t>
      </w:r>
      <w:r>
        <w:rPr>
          <w:spacing w:val="-4"/>
          <w:sz w:val="22"/>
        </w:rPr>
        <w:t>of</w:t>
      </w:r>
      <w:r>
        <w:rPr>
          <w:spacing w:val="-6"/>
          <w:sz w:val="22"/>
        </w:rPr>
        <w:t> </w:t>
      </w:r>
      <w:r>
        <w:rPr>
          <w:spacing w:val="-4"/>
          <w:sz w:val="22"/>
        </w:rPr>
        <w:t>ideas</w:t>
      </w:r>
      <w:r>
        <w:rPr>
          <w:spacing w:val="-6"/>
          <w:sz w:val="22"/>
        </w:rPr>
        <w:t> </w:t>
      </w:r>
      <w:r>
        <w:rPr>
          <w:spacing w:val="-4"/>
          <w:sz w:val="22"/>
        </w:rPr>
        <w:t>on</w:t>
      </w:r>
      <w:r>
        <w:rPr>
          <w:spacing w:val="-6"/>
          <w:sz w:val="22"/>
        </w:rPr>
        <w:t> </w:t>
      </w:r>
      <w:r>
        <w:rPr>
          <w:spacing w:val="-4"/>
          <w:sz w:val="22"/>
        </w:rPr>
        <w:t>pedagogy</w:t>
      </w:r>
      <w:r>
        <w:rPr>
          <w:spacing w:val="-6"/>
          <w:sz w:val="22"/>
        </w:rPr>
        <w:t> </w:t>
      </w:r>
      <w:r>
        <w:rPr>
          <w:spacing w:val="-4"/>
          <w:sz w:val="22"/>
        </w:rPr>
        <w:t>should</w:t>
      </w:r>
      <w:r>
        <w:rPr>
          <w:spacing w:val="-6"/>
          <w:sz w:val="22"/>
        </w:rPr>
        <w:t> </w:t>
      </w:r>
      <w:r>
        <w:rPr>
          <w:spacing w:val="-4"/>
          <w:sz w:val="22"/>
        </w:rPr>
        <w:t>be</w:t>
      </w:r>
      <w:r>
        <w:rPr>
          <w:spacing w:val="-6"/>
          <w:sz w:val="22"/>
        </w:rPr>
        <w:t> </w:t>
      </w:r>
      <w:r>
        <w:rPr>
          <w:spacing w:val="-4"/>
          <w:sz w:val="22"/>
        </w:rPr>
        <w:t>encouraged.</w:t>
      </w:r>
    </w:p>
    <w:p>
      <w:pPr>
        <w:pStyle w:val="BodyText"/>
        <w:spacing w:before="20"/>
      </w:pPr>
    </w:p>
    <w:p>
      <w:pPr>
        <w:pStyle w:val="BodyText"/>
        <w:spacing w:line="266" w:lineRule="auto" w:before="1"/>
        <w:ind w:left="319" w:right="1077"/>
        <w:jc w:val="both"/>
      </w:pPr>
      <w:r>
        <w:rPr>
          <w:w w:val="90"/>
        </w:rPr>
        <w:t>Many reserved faculty posts remain vacant in the absence </w:t>
      </w:r>
      <w:r>
        <w:rPr>
          <w:spacing w:val="-4"/>
        </w:rPr>
        <w:t>of</w:t>
      </w:r>
      <w:r>
        <w:rPr>
          <w:spacing w:val="-12"/>
        </w:rPr>
        <w:t> </w:t>
      </w:r>
      <w:r>
        <w:rPr>
          <w:spacing w:val="-4"/>
        </w:rPr>
        <w:t>innovative</w:t>
      </w:r>
      <w:r>
        <w:rPr>
          <w:spacing w:val="-10"/>
        </w:rPr>
        <w:t> </w:t>
      </w:r>
      <w:r>
        <w:rPr>
          <w:spacing w:val="-4"/>
        </w:rPr>
        <w:t>or</w:t>
      </w:r>
      <w:r>
        <w:rPr>
          <w:spacing w:val="-10"/>
        </w:rPr>
        <w:t> </w:t>
      </w:r>
      <w:r>
        <w:rPr>
          <w:spacing w:val="-4"/>
        </w:rPr>
        <w:t>flexible</w:t>
      </w:r>
      <w:r>
        <w:rPr>
          <w:spacing w:val="-9"/>
        </w:rPr>
        <w:t> </w:t>
      </w:r>
      <w:r>
        <w:rPr>
          <w:spacing w:val="-4"/>
        </w:rPr>
        <w:t>appointment</w:t>
      </w:r>
      <w:r>
        <w:rPr>
          <w:spacing w:val="-10"/>
        </w:rPr>
        <w:t> </w:t>
      </w:r>
      <w:r>
        <w:rPr>
          <w:spacing w:val="-4"/>
        </w:rPr>
        <w:t>modes</w:t>
      </w:r>
      <w:r>
        <w:rPr>
          <w:spacing w:val="-10"/>
        </w:rPr>
        <w:t> </w:t>
      </w:r>
      <w:r>
        <w:rPr>
          <w:spacing w:val="-4"/>
        </w:rPr>
        <w:t>to</w:t>
      </w:r>
      <w:r>
        <w:rPr>
          <w:spacing w:val="-10"/>
        </w:rPr>
        <w:t> </w:t>
      </w:r>
      <w:r>
        <w:rPr>
          <w:spacing w:val="-4"/>
        </w:rPr>
        <w:t>fill</w:t>
      </w:r>
      <w:r>
        <w:rPr>
          <w:spacing w:val="-9"/>
        </w:rPr>
        <w:t> </w:t>
      </w:r>
      <w:r>
        <w:rPr>
          <w:spacing w:val="-4"/>
        </w:rPr>
        <w:t>these </w:t>
      </w:r>
      <w:r>
        <w:rPr/>
        <w:t>posts.</w:t>
      </w:r>
      <w:r>
        <w:rPr>
          <w:spacing w:val="-14"/>
        </w:rPr>
        <w:t> </w:t>
      </w:r>
      <w:r>
        <w:rPr/>
        <w:t>This</w:t>
      </w:r>
      <w:r>
        <w:rPr>
          <w:spacing w:val="-10"/>
        </w:rPr>
        <w:t> </w:t>
      </w:r>
      <w:r>
        <w:rPr/>
        <w:t>leads</w:t>
      </w:r>
      <w:r>
        <w:rPr>
          <w:spacing w:val="-9"/>
        </w:rPr>
        <w:t> </w:t>
      </w:r>
      <w:r>
        <w:rPr/>
        <w:t>to</w:t>
      </w:r>
      <w:r>
        <w:rPr>
          <w:spacing w:val="-9"/>
        </w:rPr>
        <w:t> </w:t>
      </w:r>
      <w:r>
        <w:rPr/>
        <w:t>excess</w:t>
      </w:r>
      <w:r>
        <w:rPr>
          <w:spacing w:val="-9"/>
        </w:rPr>
        <w:t> </w:t>
      </w:r>
      <w:r>
        <w:rPr/>
        <w:t>strain</w:t>
      </w:r>
      <w:r>
        <w:rPr>
          <w:spacing w:val="-9"/>
        </w:rPr>
        <w:t> </w:t>
      </w:r>
      <w:r>
        <w:rPr/>
        <w:t>and</w:t>
      </w:r>
      <w:r>
        <w:rPr>
          <w:spacing w:val="-9"/>
        </w:rPr>
        <w:t> </w:t>
      </w:r>
      <w:r>
        <w:rPr/>
        <w:t>teaching</w:t>
      </w:r>
      <w:r>
        <w:rPr>
          <w:spacing w:val="-9"/>
        </w:rPr>
        <w:t> </w:t>
      </w:r>
      <w:r>
        <w:rPr/>
        <w:t>load</w:t>
      </w:r>
      <w:r>
        <w:rPr>
          <w:spacing w:val="-9"/>
        </w:rPr>
        <w:t> </w:t>
      </w:r>
      <w:r>
        <w:rPr/>
        <w:t>on the</w:t>
      </w:r>
      <w:r>
        <w:rPr>
          <w:spacing w:val="-6"/>
        </w:rPr>
        <w:t> </w:t>
      </w:r>
      <w:r>
        <w:rPr/>
        <w:t>existing</w:t>
      </w:r>
      <w:r>
        <w:rPr>
          <w:spacing w:val="-6"/>
        </w:rPr>
        <w:t> </w:t>
      </w:r>
      <w:r>
        <w:rPr/>
        <w:t>teachers.</w:t>
      </w:r>
      <w:r>
        <w:rPr>
          <w:spacing w:val="-6"/>
        </w:rPr>
        <w:t> </w:t>
      </w:r>
      <w:r>
        <w:rPr/>
        <w:t>In</w:t>
      </w:r>
      <w:r>
        <w:rPr>
          <w:spacing w:val="-6"/>
        </w:rPr>
        <w:t> </w:t>
      </w:r>
      <w:r>
        <w:rPr/>
        <w:t>addition,</w:t>
      </w:r>
      <w:r>
        <w:rPr>
          <w:spacing w:val="-6"/>
        </w:rPr>
        <w:t> </w:t>
      </w:r>
      <w:r>
        <w:rPr/>
        <w:t>this</w:t>
      </w:r>
      <w:r>
        <w:rPr>
          <w:spacing w:val="-6"/>
        </w:rPr>
        <w:t> </w:t>
      </w:r>
      <w:r>
        <w:rPr/>
        <w:t>has</w:t>
      </w:r>
      <w:r>
        <w:rPr>
          <w:spacing w:val="-6"/>
        </w:rPr>
        <w:t> </w:t>
      </w:r>
      <w:r>
        <w:rPr/>
        <w:t>contributed to the gradual decay and death of many departments of pure sciences in colleges and universities around the</w:t>
      </w:r>
      <w:r>
        <w:rPr>
          <w:spacing w:val="-14"/>
        </w:rPr>
        <w:t> </w:t>
      </w:r>
      <w:r>
        <w:rPr/>
        <w:t>country,</w:t>
      </w:r>
      <w:r>
        <w:rPr>
          <w:spacing w:val="-14"/>
        </w:rPr>
        <w:t> </w:t>
      </w:r>
      <w:r>
        <w:rPr/>
        <w:t>which</w:t>
      </w:r>
      <w:r>
        <w:rPr>
          <w:spacing w:val="-14"/>
        </w:rPr>
        <w:t> </w:t>
      </w:r>
      <w:r>
        <w:rPr/>
        <w:t>were</w:t>
      </w:r>
      <w:r>
        <w:rPr>
          <w:spacing w:val="-13"/>
        </w:rPr>
        <w:t> </w:t>
      </w:r>
      <w:r>
        <w:rPr/>
        <w:t>once</w:t>
      </w:r>
      <w:r>
        <w:rPr>
          <w:spacing w:val="-14"/>
        </w:rPr>
        <w:t> </w:t>
      </w:r>
      <w:r>
        <w:rPr/>
        <w:t>famous</w:t>
      </w:r>
      <w:r>
        <w:rPr>
          <w:spacing w:val="-14"/>
        </w:rPr>
        <w:t> </w:t>
      </w:r>
      <w:r>
        <w:rPr/>
        <w:t>for</w:t>
      </w:r>
      <w:r>
        <w:rPr>
          <w:spacing w:val="-14"/>
        </w:rPr>
        <w:t> </w:t>
      </w:r>
      <w:r>
        <w:rPr/>
        <w:t>their</w:t>
      </w:r>
      <w:r>
        <w:rPr>
          <w:spacing w:val="-13"/>
        </w:rPr>
        <w:t> </w:t>
      </w:r>
      <w:r>
        <w:rPr/>
        <w:t>science </w:t>
      </w:r>
      <w:r>
        <w:rPr>
          <w:spacing w:val="-6"/>
        </w:rPr>
        <w:t>teaching.</w:t>
      </w:r>
      <w:r>
        <w:rPr>
          <w:spacing w:val="-8"/>
        </w:rPr>
        <w:t> </w:t>
      </w:r>
      <w:r>
        <w:rPr>
          <w:i/>
          <w:spacing w:val="-6"/>
        </w:rPr>
        <w:t>There</w:t>
      </w:r>
      <w:r>
        <w:rPr>
          <w:i/>
          <w:spacing w:val="-8"/>
        </w:rPr>
        <w:t> </w:t>
      </w:r>
      <w:r>
        <w:rPr>
          <w:i/>
          <w:spacing w:val="-6"/>
        </w:rPr>
        <w:t>is</w:t>
      </w:r>
      <w:r>
        <w:rPr>
          <w:i/>
          <w:spacing w:val="-8"/>
        </w:rPr>
        <w:t> </w:t>
      </w:r>
      <w:r>
        <w:rPr>
          <w:i/>
          <w:spacing w:val="-6"/>
        </w:rPr>
        <w:t>a</w:t>
      </w:r>
      <w:r>
        <w:rPr>
          <w:i/>
          <w:spacing w:val="-7"/>
        </w:rPr>
        <w:t> </w:t>
      </w:r>
      <w:r>
        <w:rPr>
          <w:i/>
          <w:spacing w:val="-6"/>
        </w:rPr>
        <w:t>need</w:t>
      </w:r>
      <w:r>
        <w:rPr>
          <w:i/>
          <w:spacing w:val="-8"/>
        </w:rPr>
        <w:t> </w:t>
      </w:r>
      <w:r>
        <w:rPr>
          <w:i/>
          <w:spacing w:val="-6"/>
        </w:rPr>
        <w:t>to</w:t>
      </w:r>
      <w:r>
        <w:rPr>
          <w:i/>
          <w:spacing w:val="-8"/>
        </w:rPr>
        <w:t> </w:t>
      </w:r>
      <w:r>
        <w:rPr>
          <w:i/>
          <w:spacing w:val="-6"/>
        </w:rPr>
        <w:t>start</w:t>
      </w:r>
      <w:r>
        <w:rPr>
          <w:i/>
          <w:spacing w:val="-8"/>
        </w:rPr>
        <w:t> </w:t>
      </w:r>
      <w:r>
        <w:rPr>
          <w:i/>
          <w:spacing w:val="-6"/>
        </w:rPr>
        <w:t>a</w:t>
      </w:r>
      <w:r>
        <w:rPr>
          <w:i/>
          <w:spacing w:val="-7"/>
        </w:rPr>
        <w:t> </w:t>
      </w:r>
      <w:r>
        <w:rPr>
          <w:i/>
          <w:spacing w:val="-6"/>
        </w:rPr>
        <w:t>systematic</w:t>
      </w:r>
      <w:r>
        <w:rPr>
          <w:i/>
          <w:spacing w:val="-8"/>
        </w:rPr>
        <w:t> </w:t>
      </w:r>
      <w:r>
        <w:rPr>
          <w:i/>
          <w:spacing w:val="-6"/>
        </w:rPr>
        <w:t>affirmative </w:t>
      </w:r>
      <w:r>
        <w:rPr>
          <w:i/>
          <w:spacing w:val="-2"/>
        </w:rPr>
        <w:t>campaign</w:t>
      </w:r>
      <w:r>
        <w:rPr>
          <w:i/>
          <w:spacing w:val="-11"/>
        </w:rPr>
        <w:t> </w:t>
      </w:r>
      <w:r>
        <w:rPr>
          <w:i/>
          <w:spacing w:val="-2"/>
        </w:rPr>
        <w:t>to</w:t>
      </w:r>
      <w:r>
        <w:rPr>
          <w:i/>
          <w:spacing w:val="-11"/>
        </w:rPr>
        <w:t> </w:t>
      </w:r>
      <w:r>
        <w:rPr>
          <w:i/>
          <w:spacing w:val="-2"/>
        </w:rPr>
        <w:t>rectify</w:t>
      </w:r>
      <w:r>
        <w:rPr>
          <w:i/>
          <w:spacing w:val="-11"/>
        </w:rPr>
        <w:t> </w:t>
      </w:r>
      <w:r>
        <w:rPr>
          <w:i/>
          <w:spacing w:val="-2"/>
        </w:rPr>
        <w:t>this</w:t>
      </w:r>
      <w:r>
        <w:rPr>
          <w:i/>
          <w:spacing w:val="-11"/>
        </w:rPr>
        <w:t> </w:t>
      </w:r>
      <w:r>
        <w:rPr>
          <w:i/>
          <w:spacing w:val="-2"/>
        </w:rPr>
        <w:t>situation.</w:t>
      </w:r>
      <w:r>
        <w:rPr>
          <w:i/>
          <w:spacing w:val="-10"/>
        </w:rPr>
        <w:t> </w:t>
      </w:r>
      <w:r>
        <w:rPr>
          <w:spacing w:val="-2"/>
        </w:rPr>
        <w:t>Young</w:t>
      </w:r>
      <w:r>
        <w:rPr>
          <w:spacing w:val="-11"/>
        </w:rPr>
        <w:t> </w:t>
      </w:r>
      <w:r>
        <w:rPr>
          <w:spacing w:val="-2"/>
        </w:rPr>
        <w:t>students</w:t>
      </w:r>
      <w:r>
        <w:rPr>
          <w:spacing w:val="-11"/>
        </w:rPr>
        <w:t> </w:t>
      </w:r>
      <w:r>
        <w:rPr>
          <w:spacing w:val="-2"/>
        </w:rPr>
        <w:t>who </w:t>
      </w:r>
      <w:r>
        <w:rPr>
          <w:spacing w:val="-6"/>
        </w:rPr>
        <w:t>can</w:t>
      </w:r>
      <w:r>
        <w:rPr>
          <w:spacing w:val="-7"/>
        </w:rPr>
        <w:t> </w:t>
      </w:r>
      <w:r>
        <w:rPr>
          <w:spacing w:val="-6"/>
        </w:rPr>
        <w:t>eventually</w:t>
      </w:r>
      <w:r>
        <w:rPr>
          <w:spacing w:val="-7"/>
        </w:rPr>
        <w:t> </w:t>
      </w:r>
      <w:r>
        <w:rPr>
          <w:spacing w:val="-6"/>
        </w:rPr>
        <w:t>fill</w:t>
      </w:r>
      <w:r>
        <w:rPr>
          <w:spacing w:val="-7"/>
        </w:rPr>
        <w:t> </w:t>
      </w:r>
      <w:r>
        <w:rPr>
          <w:spacing w:val="-6"/>
        </w:rPr>
        <w:t>these posts</w:t>
      </w:r>
      <w:r>
        <w:rPr>
          <w:spacing w:val="-7"/>
        </w:rPr>
        <w:t> </w:t>
      </w:r>
      <w:r>
        <w:rPr>
          <w:spacing w:val="-6"/>
        </w:rPr>
        <w:t>should</w:t>
      </w:r>
      <w:r>
        <w:rPr>
          <w:spacing w:val="-7"/>
        </w:rPr>
        <w:t> </w:t>
      </w:r>
      <w:r>
        <w:rPr>
          <w:spacing w:val="-6"/>
        </w:rPr>
        <w:t>be</w:t>
      </w:r>
      <w:r>
        <w:rPr>
          <w:spacing w:val="-7"/>
        </w:rPr>
        <w:t> </w:t>
      </w:r>
      <w:r>
        <w:rPr>
          <w:spacing w:val="-6"/>
        </w:rPr>
        <w:t>selected from</w:t>
      </w:r>
      <w:r>
        <w:rPr>
          <w:spacing w:val="-7"/>
        </w:rPr>
        <w:t> </w:t>
      </w:r>
      <w:r>
        <w:rPr>
          <w:spacing w:val="-6"/>
        </w:rPr>
        <w:t>an</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79"/>
        <w:jc w:val="both"/>
      </w:pPr>
      <w:r>
        <w:rPr/>
        <w:t>early</w:t>
      </w:r>
      <w:r>
        <w:rPr>
          <w:spacing w:val="-4"/>
        </w:rPr>
        <w:t> </w:t>
      </w:r>
      <w:r>
        <w:rPr/>
        <w:t>age</w:t>
      </w:r>
      <w:r>
        <w:rPr>
          <w:spacing w:val="-4"/>
        </w:rPr>
        <w:t> </w:t>
      </w:r>
      <w:r>
        <w:rPr/>
        <w:t>and</w:t>
      </w:r>
      <w:r>
        <w:rPr>
          <w:spacing w:val="-4"/>
        </w:rPr>
        <w:t> </w:t>
      </w:r>
      <w:r>
        <w:rPr/>
        <w:t>nurtured</w:t>
      </w:r>
      <w:r>
        <w:rPr>
          <w:spacing w:val="-4"/>
        </w:rPr>
        <w:t> </w:t>
      </w:r>
      <w:r>
        <w:rPr/>
        <w:t>carefully</w:t>
      </w:r>
      <w:r>
        <w:rPr>
          <w:spacing w:val="-4"/>
        </w:rPr>
        <w:t> </w:t>
      </w:r>
      <w:r>
        <w:rPr/>
        <w:t>to</w:t>
      </w:r>
      <w:r>
        <w:rPr>
          <w:spacing w:val="-4"/>
        </w:rPr>
        <w:t> </w:t>
      </w:r>
      <w:r>
        <w:rPr/>
        <w:t>induct</w:t>
      </w:r>
      <w:r>
        <w:rPr>
          <w:spacing w:val="-4"/>
        </w:rPr>
        <w:t> </w:t>
      </w:r>
      <w:r>
        <w:rPr/>
        <w:t>them</w:t>
      </w:r>
      <w:r>
        <w:rPr>
          <w:spacing w:val="-4"/>
        </w:rPr>
        <w:t> </w:t>
      </w:r>
      <w:r>
        <w:rPr/>
        <w:t>into</w:t>
      </w:r>
      <w:r>
        <w:rPr>
          <w:spacing w:val="-4"/>
        </w:rPr>
        <w:t> </w:t>
      </w:r>
      <w:r>
        <w:rPr/>
        <w:t>a </w:t>
      </w:r>
      <w:r>
        <w:rPr>
          <w:spacing w:val="-6"/>
        </w:rPr>
        <w:t>career in teaching. Special mentor programs with </w:t>
      </w:r>
      <w:r>
        <w:rPr>
          <w:spacing w:val="-6"/>
        </w:rPr>
        <w:t>highly </w:t>
      </w:r>
      <w:r>
        <w:rPr/>
        <w:t>individualised attention should be an in-built part of this program.</w:t>
      </w:r>
    </w:p>
    <w:p>
      <w:pPr>
        <w:pStyle w:val="BodyText"/>
        <w:spacing w:before="1"/>
      </w:pPr>
    </w:p>
    <w:p>
      <w:pPr>
        <w:pStyle w:val="Heading7"/>
        <w:spacing w:line="225" w:lineRule="auto"/>
        <w:ind w:left="1079"/>
      </w:pPr>
      <w:r>
        <w:rPr>
          <w:color w:val="2E614A"/>
          <w:w w:val="90"/>
        </w:rPr>
        <w:t>Recommendation 3: Revamp teacher </w:t>
      </w:r>
      <w:r>
        <w:rPr>
          <w:color w:val="2E614A"/>
          <w:w w:val="90"/>
        </w:rPr>
        <w:t>training </w:t>
      </w:r>
      <w:r>
        <w:rPr>
          <w:color w:val="2E614A"/>
          <w:spacing w:val="-2"/>
        </w:rPr>
        <w:t>at</w:t>
      </w:r>
      <w:r>
        <w:rPr>
          <w:color w:val="2E614A"/>
          <w:spacing w:val="-15"/>
        </w:rPr>
        <w:t> </w:t>
      </w:r>
      <w:r>
        <w:rPr>
          <w:color w:val="2E614A"/>
          <w:spacing w:val="-2"/>
        </w:rPr>
        <w:t>all</w:t>
      </w:r>
      <w:r>
        <w:rPr>
          <w:color w:val="2E614A"/>
          <w:spacing w:val="-14"/>
        </w:rPr>
        <w:t> </w:t>
      </w:r>
      <w:r>
        <w:rPr>
          <w:color w:val="2E614A"/>
          <w:spacing w:val="-2"/>
        </w:rPr>
        <w:t>levels</w:t>
      </w:r>
      <w:r>
        <w:rPr>
          <w:color w:val="2E614A"/>
          <w:spacing w:val="-14"/>
        </w:rPr>
        <w:t> </w:t>
      </w:r>
      <w:r>
        <w:rPr>
          <w:color w:val="2E614A"/>
          <w:spacing w:val="-2"/>
        </w:rPr>
        <w:t>and</w:t>
      </w:r>
      <w:r>
        <w:rPr>
          <w:color w:val="2E614A"/>
          <w:spacing w:val="-14"/>
        </w:rPr>
        <w:t> </w:t>
      </w:r>
      <w:r>
        <w:rPr>
          <w:color w:val="2E614A"/>
          <w:spacing w:val="-2"/>
        </w:rPr>
        <w:t>promote</w:t>
      </w:r>
      <w:r>
        <w:rPr>
          <w:color w:val="2E614A"/>
          <w:spacing w:val="-15"/>
        </w:rPr>
        <w:t> </w:t>
      </w:r>
      <w:r>
        <w:rPr>
          <w:color w:val="2E614A"/>
          <w:spacing w:val="-2"/>
        </w:rPr>
        <w:t>development</w:t>
      </w:r>
      <w:r>
        <w:rPr>
          <w:color w:val="2E614A"/>
          <w:spacing w:val="-14"/>
        </w:rPr>
        <w:t> </w:t>
      </w:r>
      <w:r>
        <w:rPr>
          <w:color w:val="2E614A"/>
          <w:spacing w:val="-2"/>
        </w:rPr>
        <w:t>of teaching</w:t>
      </w:r>
      <w:r>
        <w:rPr>
          <w:color w:val="2E614A"/>
          <w:spacing w:val="-12"/>
        </w:rPr>
        <w:t> </w:t>
      </w:r>
      <w:r>
        <w:rPr>
          <w:color w:val="2E614A"/>
          <w:spacing w:val="-2"/>
        </w:rPr>
        <w:t>aids</w:t>
      </w:r>
      <w:r>
        <w:rPr>
          <w:color w:val="2E614A"/>
          <w:spacing w:val="-12"/>
        </w:rPr>
        <w:t> </w:t>
      </w:r>
      <w:r>
        <w:rPr>
          <w:color w:val="2E614A"/>
          <w:spacing w:val="-2"/>
        </w:rPr>
        <w:t>to</w:t>
      </w:r>
      <w:r>
        <w:rPr>
          <w:color w:val="2E614A"/>
          <w:spacing w:val="-12"/>
        </w:rPr>
        <w:t> </w:t>
      </w:r>
      <w:r>
        <w:rPr>
          <w:color w:val="2E614A"/>
          <w:spacing w:val="-2"/>
        </w:rPr>
        <w:t>retain</w:t>
      </w:r>
      <w:r>
        <w:rPr>
          <w:color w:val="2E614A"/>
          <w:spacing w:val="-12"/>
        </w:rPr>
        <w:t> </w:t>
      </w:r>
      <w:r>
        <w:rPr>
          <w:color w:val="2E614A"/>
          <w:spacing w:val="-2"/>
        </w:rPr>
        <w:t>student</w:t>
      </w:r>
      <w:r>
        <w:rPr>
          <w:color w:val="2E614A"/>
          <w:spacing w:val="-12"/>
        </w:rPr>
        <w:t> </w:t>
      </w:r>
      <w:r>
        <w:rPr>
          <w:color w:val="2E614A"/>
          <w:spacing w:val="-2"/>
        </w:rPr>
        <w:t>attention</w:t>
      </w:r>
      <w:r>
        <w:rPr>
          <w:color w:val="2E614A"/>
          <w:spacing w:val="-12"/>
        </w:rPr>
        <w:t> </w:t>
      </w:r>
      <w:r>
        <w:rPr>
          <w:color w:val="2E614A"/>
          <w:spacing w:val="-2"/>
        </w:rPr>
        <w:t>in classrooms</w:t>
      </w:r>
    </w:p>
    <w:p>
      <w:pPr>
        <w:pStyle w:val="BodyText"/>
        <w:rPr>
          <w:b/>
          <w:sz w:val="26"/>
        </w:rPr>
      </w:pPr>
    </w:p>
    <w:p>
      <w:pPr>
        <w:pStyle w:val="BodyText"/>
        <w:spacing w:line="266" w:lineRule="auto"/>
        <w:ind w:left="1079"/>
        <w:jc w:val="both"/>
      </w:pPr>
      <w:r>
        <w:rPr>
          <w:w w:val="90"/>
        </w:rPr>
        <w:t>A systemic change in science pedagogy from primary </w:t>
      </w:r>
      <w:r>
        <w:rPr>
          <w:w w:val="90"/>
        </w:rPr>
        <w:t>and </w:t>
      </w:r>
      <w:r>
        <w:rPr>
          <w:spacing w:val="-4"/>
        </w:rPr>
        <w:t>high</w:t>
      </w:r>
      <w:r>
        <w:rPr>
          <w:spacing w:val="-10"/>
        </w:rPr>
        <w:t> </w:t>
      </w:r>
      <w:r>
        <w:rPr>
          <w:spacing w:val="-4"/>
        </w:rPr>
        <w:t>school</w:t>
      </w:r>
      <w:r>
        <w:rPr>
          <w:spacing w:val="-10"/>
        </w:rPr>
        <w:t> </w:t>
      </w:r>
      <w:r>
        <w:rPr>
          <w:spacing w:val="-4"/>
        </w:rPr>
        <w:t>levels</w:t>
      </w:r>
      <w:r>
        <w:rPr>
          <w:spacing w:val="-10"/>
        </w:rPr>
        <w:t> </w:t>
      </w:r>
      <w:r>
        <w:rPr>
          <w:spacing w:val="-4"/>
        </w:rPr>
        <w:t>is</w:t>
      </w:r>
      <w:r>
        <w:rPr>
          <w:spacing w:val="-9"/>
        </w:rPr>
        <w:t> </w:t>
      </w:r>
      <w:r>
        <w:rPr>
          <w:spacing w:val="-4"/>
        </w:rPr>
        <w:t>required.</w:t>
      </w:r>
      <w:r>
        <w:rPr>
          <w:spacing w:val="-10"/>
        </w:rPr>
        <w:t> </w:t>
      </w:r>
      <w:r>
        <w:rPr>
          <w:spacing w:val="-4"/>
        </w:rPr>
        <w:t>Teaching</w:t>
      </w:r>
      <w:r>
        <w:rPr>
          <w:spacing w:val="-10"/>
        </w:rPr>
        <w:t> </w:t>
      </w:r>
      <w:r>
        <w:rPr>
          <w:spacing w:val="-4"/>
        </w:rPr>
        <w:t>should</w:t>
      </w:r>
      <w:r>
        <w:rPr>
          <w:spacing w:val="-10"/>
        </w:rPr>
        <w:t> </w:t>
      </w:r>
      <w:r>
        <w:rPr>
          <w:spacing w:val="-4"/>
        </w:rPr>
        <w:t>be</w:t>
      </w:r>
      <w:r>
        <w:rPr>
          <w:spacing w:val="-9"/>
        </w:rPr>
        <w:t> </w:t>
      </w:r>
      <w:r>
        <w:rPr>
          <w:spacing w:val="-4"/>
        </w:rPr>
        <w:t>made </w:t>
      </w:r>
      <w:r>
        <w:rPr/>
        <w:t>more inquiry based. It should raise curiosity, convey the</w:t>
      </w:r>
      <w:r>
        <w:rPr>
          <w:spacing w:val="-14"/>
        </w:rPr>
        <w:t> </w:t>
      </w:r>
      <w:r>
        <w:rPr/>
        <w:t>excitement</w:t>
      </w:r>
      <w:r>
        <w:rPr>
          <w:spacing w:val="-14"/>
        </w:rPr>
        <w:t> </w:t>
      </w:r>
      <w:r>
        <w:rPr/>
        <w:t>of</w:t>
      </w:r>
      <w:r>
        <w:rPr>
          <w:spacing w:val="-14"/>
        </w:rPr>
        <w:t> </w:t>
      </w:r>
      <w:r>
        <w:rPr/>
        <w:t>science</w:t>
      </w:r>
      <w:r>
        <w:rPr>
          <w:spacing w:val="-13"/>
        </w:rPr>
        <w:t> </w:t>
      </w:r>
      <w:r>
        <w:rPr/>
        <w:t>and</w:t>
      </w:r>
      <w:r>
        <w:rPr>
          <w:spacing w:val="-14"/>
        </w:rPr>
        <w:t> </w:t>
      </w:r>
      <w:r>
        <w:rPr/>
        <w:t>enable</w:t>
      </w:r>
      <w:r>
        <w:rPr>
          <w:spacing w:val="-14"/>
        </w:rPr>
        <w:t> </w:t>
      </w:r>
      <w:r>
        <w:rPr/>
        <w:t>understanding</w:t>
      </w:r>
      <w:r>
        <w:rPr>
          <w:spacing w:val="-14"/>
        </w:rPr>
        <w:t> </w:t>
      </w:r>
      <w:r>
        <w:rPr/>
        <w:t>of nature through experiments.</w:t>
      </w:r>
    </w:p>
    <w:p>
      <w:pPr>
        <w:pStyle w:val="BodyText"/>
        <w:spacing w:before="23"/>
      </w:pPr>
    </w:p>
    <w:p>
      <w:pPr>
        <w:pStyle w:val="BodyText"/>
        <w:spacing w:line="266" w:lineRule="auto"/>
        <w:ind w:left="1079"/>
        <w:jc w:val="both"/>
      </w:pPr>
      <w:r>
        <w:rPr>
          <w:b/>
        </w:rPr>
        <w:t>Issues:</w:t>
      </w:r>
      <w:r>
        <w:rPr>
          <w:b/>
          <w:spacing w:val="-14"/>
        </w:rPr>
        <w:t> </w:t>
      </w:r>
      <w:r>
        <w:rPr/>
        <w:t>Unimaginative</w:t>
      </w:r>
      <w:r>
        <w:rPr>
          <w:spacing w:val="-14"/>
        </w:rPr>
        <w:t> </w:t>
      </w:r>
      <w:r>
        <w:rPr/>
        <w:t>science</w:t>
      </w:r>
      <w:r>
        <w:rPr>
          <w:spacing w:val="-14"/>
        </w:rPr>
        <w:t> </w:t>
      </w:r>
      <w:r>
        <w:rPr/>
        <w:t>teaching</w:t>
      </w:r>
      <w:r>
        <w:rPr>
          <w:spacing w:val="-13"/>
        </w:rPr>
        <w:t> </w:t>
      </w:r>
      <w:r>
        <w:rPr/>
        <w:t>has</w:t>
      </w:r>
      <w:r>
        <w:rPr>
          <w:spacing w:val="-14"/>
        </w:rPr>
        <w:t> </w:t>
      </w:r>
      <w:r>
        <w:rPr/>
        <w:t>promoted </w:t>
      </w:r>
      <w:r>
        <w:rPr>
          <w:spacing w:val="-4"/>
        </w:rPr>
        <w:t>rote learning, thereby dousing the very spirit of enquiry </w:t>
      </w:r>
      <w:r>
        <w:rPr/>
        <w:t>that</w:t>
      </w:r>
      <w:r>
        <w:rPr>
          <w:spacing w:val="-13"/>
        </w:rPr>
        <w:t> </w:t>
      </w:r>
      <w:r>
        <w:rPr/>
        <w:t>a</w:t>
      </w:r>
      <w:r>
        <w:rPr>
          <w:spacing w:val="-13"/>
        </w:rPr>
        <w:t> </w:t>
      </w:r>
      <w:r>
        <w:rPr/>
        <w:t>study</w:t>
      </w:r>
      <w:r>
        <w:rPr>
          <w:spacing w:val="-13"/>
        </w:rPr>
        <w:t> </w:t>
      </w:r>
      <w:r>
        <w:rPr/>
        <w:t>of</w:t>
      </w:r>
      <w:r>
        <w:rPr>
          <w:spacing w:val="-13"/>
        </w:rPr>
        <w:t> </w:t>
      </w:r>
      <w:r>
        <w:rPr/>
        <w:t>science</w:t>
      </w:r>
      <w:r>
        <w:rPr>
          <w:spacing w:val="-13"/>
        </w:rPr>
        <w:t> </w:t>
      </w:r>
      <w:r>
        <w:rPr/>
        <w:t>should</w:t>
      </w:r>
      <w:r>
        <w:rPr>
          <w:spacing w:val="-13"/>
        </w:rPr>
        <w:t> </w:t>
      </w:r>
      <w:r>
        <w:rPr/>
        <w:t>nurture</w:t>
      </w:r>
      <w:r>
        <w:rPr>
          <w:spacing w:val="-13"/>
        </w:rPr>
        <w:t> </w:t>
      </w:r>
      <w:r>
        <w:rPr/>
        <w:t>in</w:t>
      </w:r>
      <w:r>
        <w:rPr>
          <w:spacing w:val="-13"/>
        </w:rPr>
        <w:t> </w:t>
      </w:r>
      <w:r>
        <w:rPr/>
        <w:t>young</w:t>
      </w:r>
      <w:r>
        <w:rPr>
          <w:spacing w:val="-13"/>
        </w:rPr>
        <w:t> </w:t>
      </w:r>
      <w:r>
        <w:rPr/>
        <w:t>minds. Teaching is accompanied by a limited number of demonstrations</w:t>
      </w:r>
      <w:r>
        <w:rPr>
          <w:spacing w:val="-4"/>
        </w:rPr>
        <w:t> </w:t>
      </w:r>
      <w:r>
        <w:rPr/>
        <w:t>and</w:t>
      </w:r>
      <w:r>
        <w:rPr>
          <w:spacing w:val="-4"/>
        </w:rPr>
        <w:t> </w:t>
      </w:r>
      <w:r>
        <w:rPr/>
        <w:t>activities.</w:t>
      </w:r>
      <w:r>
        <w:rPr>
          <w:spacing w:val="-4"/>
        </w:rPr>
        <w:t> </w:t>
      </w:r>
      <w:r>
        <w:rPr/>
        <w:t>Science</w:t>
      </w:r>
      <w:r>
        <w:rPr>
          <w:spacing w:val="-4"/>
        </w:rPr>
        <w:t> </w:t>
      </w:r>
      <w:r>
        <w:rPr/>
        <w:t>is</w:t>
      </w:r>
      <w:r>
        <w:rPr>
          <w:spacing w:val="-4"/>
        </w:rPr>
        <w:t> </w:t>
      </w:r>
      <w:r>
        <w:rPr/>
        <w:t>projected</w:t>
      </w:r>
      <w:r>
        <w:rPr>
          <w:spacing w:val="-4"/>
        </w:rPr>
        <w:t> </w:t>
      </w:r>
      <w:r>
        <w:rPr/>
        <w:t>as an</w:t>
      </w:r>
      <w:r>
        <w:rPr>
          <w:spacing w:val="-6"/>
        </w:rPr>
        <w:t> </w:t>
      </w:r>
      <w:r>
        <w:rPr/>
        <w:t>abstract</w:t>
      </w:r>
      <w:r>
        <w:rPr>
          <w:spacing w:val="-6"/>
        </w:rPr>
        <w:t> </w:t>
      </w:r>
      <w:r>
        <w:rPr/>
        <w:t>difficult</w:t>
      </w:r>
      <w:r>
        <w:rPr>
          <w:spacing w:val="-6"/>
        </w:rPr>
        <w:t> </w:t>
      </w:r>
      <w:r>
        <w:rPr/>
        <w:t>subject</w:t>
      </w:r>
      <w:r>
        <w:rPr>
          <w:spacing w:val="-6"/>
        </w:rPr>
        <w:t> </w:t>
      </w:r>
      <w:r>
        <w:rPr/>
        <w:t>to</w:t>
      </w:r>
      <w:r>
        <w:rPr>
          <w:spacing w:val="-6"/>
        </w:rPr>
        <w:t> </w:t>
      </w:r>
      <w:r>
        <w:rPr/>
        <w:t>its</w:t>
      </w:r>
      <w:r>
        <w:rPr>
          <w:spacing w:val="-6"/>
        </w:rPr>
        <w:t> </w:t>
      </w:r>
      <w:r>
        <w:rPr/>
        <w:t>young</w:t>
      </w:r>
      <w:r>
        <w:rPr>
          <w:spacing w:val="-6"/>
        </w:rPr>
        <w:t> </w:t>
      </w:r>
      <w:r>
        <w:rPr/>
        <w:t>practitioners. There</w:t>
      </w:r>
      <w:r>
        <w:rPr>
          <w:spacing w:val="-1"/>
        </w:rPr>
        <w:t> </w:t>
      </w:r>
      <w:r>
        <w:rPr/>
        <w:t>is</w:t>
      </w:r>
      <w:r>
        <w:rPr>
          <w:spacing w:val="-1"/>
        </w:rPr>
        <w:t> </w:t>
      </w:r>
      <w:r>
        <w:rPr/>
        <w:t>no</w:t>
      </w:r>
      <w:r>
        <w:rPr>
          <w:spacing w:val="-1"/>
        </w:rPr>
        <w:t> </w:t>
      </w:r>
      <w:r>
        <w:rPr/>
        <w:t>effort</w:t>
      </w:r>
      <w:r>
        <w:rPr>
          <w:spacing w:val="-1"/>
        </w:rPr>
        <w:t> </w:t>
      </w:r>
      <w:r>
        <w:rPr/>
        <w:t>on</w:t>
      </w:r>
      <w:r>
        <w:rPr>
          <w:spacing w:val="-1"/>
        </w:rPr>
        <w:t> </w:t>
      </w:r>
      <w:r>
        <w:rPr/>
        <w:t>the</w:t>
      </w:r>
      <w:r>
        <w:rPr>
          <w:spacing w:val="-1"/>
        </w:rPr>
        <w:t> </w:t>
      </w:r>
      <w:r>
        <w:rPr/>
        <w:t>part</w:t>
      </w:r>
      <w:r>
        <w:rPr>
          <w:spacing w:val="-1"/>
        </w:rPr>
        <w:t> </w:t>
      </w:r>
      <w:r>
        <w:rPr/>
        <w:t>of</w:t>
      </w:r>
      <w:r>
        <w:rPr>
          <w:spacing w:val="-1"/>
        </w:rPr>
        <w:t> </w:t>
      </w:r>
      <w:r>
        <w:rPr/>
        <w:t>the</w:t>
      </w:r>
      <w:r>
        <w:rPr>
          <w:spacing w:val="-1"/>
        </w:rPr>
        <w:t> </w:t>
      </w:r>
      <w:r>
        <w:rPr/>
        <w:t>system</w:t>
      </w:r>
      <w:r>
        <w:rPr>
          <w:spacing w:val="-1"/>
        </w:rPr>
        <w:t> </w:t>
      </w:r>
      <w:r>
        <w:rPr/>
        <w:t>to</w:t>
      </w:r>
      <w:r>
        <w:rPr>
          <w:spacing w:val="-1"/>
        </w:rPr>
        <w:t> </w:t>
      </w:r>
      <w:r>
        <w:rPr/>
        <w:t>engage students</w:t>
      </w:r>
      <w:r>
        <w:rPr>
          <w:spacing w:val="-14"/>
        </w:rPr>
        <w:t> </w:t>
      </w:r>
      <w:r>
        <w:rPr/>
        <w:t>in</w:t>
      </w:r>
      <w:r>
        <w:rPr>
          <w:spacing w:val="-14"/>
        </w:rPr>
        <w:t> </w:t>
      </w:r>
      <w:r>
        <w:rPr/>
        <w:t>the</w:t>
      </w:r>
      <w:r>
        <w:rPr>
          <w:spacing w:val="-14"/>
        </w:rPr>
        <w:t> </w:t>
      </w:r>
      <w:r>
        <w:rPr/>
        <w:t>process</w:t>
      </w:r>
      <w:r>
        <w:rPr>
          <w:spacing w:val="-13"/>
        </w:rPr>
        <w:t> </w:t>
      </w:r>
      <w:r>
        <w:rPr/>
        <w:t>of</w:t>
      </w:r>
      <w:r>
        <w:rPr>
          <w:spacing w:val="-14"/>
        </w:rPr>
        <w:t> </w:t>
      </w:r>
      <w:r>
        <w:rPr/>
        <w:t>scientific</w:t>
      </w:r>
      <w:r>
        <w:rPr>
          <w:spacing w:val="-14"/>
        </w:rPr>
        <w:t> </w:t>
      </w:r>
      <w:r>
        <w:rPr/>
        <w:t>enquiry.</w:t>
      </w:r>
      <w:r>
        <w:rPr>
          <w:spacing w:val="-14"/>
        </w:rPr>
        <w:t> </w:t>
      </w:r>
      <w:r>
        <w:rPr/>
        <w:t>Emphasis is</w:t>
      </w:r>
      <w:r>
        <w:rPr>
          <w:spacing w:val="-5"/>
        </w:rPr>
        <w:t> </w:t>
      </w:r>
      <w:r>
        <w:rPr/>
        <w:t>not</w:t>
      </w:r>
      <w:r>
        <w:rPr>
          <w:spacing w:val="-5"/>
        </w:rPr>
        <w:t> </w:t>
      </w:r>
      <w:r>
        <w:rPr/>
        <w:t>laid</w:t>
      </w:r>
      <w:r>
        <w:rPr>
          <w:spacing w:val="-5"/>
        </w:rPr>
        <w:t> </w:t>
      </w:r>
      <w:r>
        <w:rPr/>
        <w:t>on</w:t>
      </w:r>
      <w:r>
        <w:rPr>
          <w:spacing w:val="-5"/>
        </w:rPr>
        <w:t> </w:t>
      </w:r>
      <w:r>
        <w:rPr/>
        <w:t>thorough</w:t>
      </w:r>
      <w:r>
        <w:rPr>
          <w:spacing w:val="-5"/>
        </w:rPr>
        <w:t> </w:t>
      </w:r>
      <w:r>
        <w:rPr/>
        <w:t>understanding</w:t>
      </w:r>
      <w:r>
        <w:rPr>
          <w:spacing w:val="-5"/>
        </w:rPr>
        <w:t> </w:t>
      </w:r>
      <w:r>
        <w:rPr/>
        <w:t>of</w:t>
      </w:r>
      <w:r>
        <w:rPr>
          <w:spacing w:val="-5"/>
        </w:rPr>
        <w:t> </w:t>
      </w:r>
      <w:r>
        <w:rPr/>
        <w:t>fundamental concepts.</w:t>
      </w:r>
      <w:r>
        <w:rPr>
          <w:spacing w:val="-1"/>
        </w:rPr>
        <w:t> </w:t>
      </w:r>
      <w:r>
        <w:rPr/>
        <w:t>Instead,</w:t>
      </w:r>
      <w:r>
        <w:rPr>
          <w:spacing w:val="-1"/>
        </w:rPr>
        <w:t> </w:t>
      </w:r>
      <w:r>
        <w:rPr/>
        <w:t>students</w:t>
      </w:r>
      <w:r>
        <w:rPr>
          <w:spacing w:val="-1"/>
        </w:rPr>
        <w:t> </w:t>
      </w:r>
      <w:r>
        <w:rPr/>
        <w:t>are</w:t>
      </w:r>
      <w:r>
        <w:rPr>
          <w:spacing w:val="-1"/>
        </w:rPr>
        <w:t> </w:t>
      </w:r>
      <w:r>
        <w:rPr/>
        <w:t>overloaded</w:t>
      </w:r>
      <w:r>
        <w:rPr>
          <w:spacing w:val="-1"/>
        </w:rPr>
        <w:t> </w:t>
      </w:r>
      <w:r>
        <w:rPr/>
        <w:t>with</w:t>
      </w:r>
      <w:r>
        <w:rPr>
          <w:spacing w:val="-1"/>
        </w:rPr>
        <w:t> </w:t>
      </w:r>
      <w:r>
        <w:rPr/>
        <w:t>more and</w:t>
      </w:r>
      <w:r>
        <w:rPr>
          <w:spacing w:val="-5"/>
        </w:rPr>
        <w:t> </w:t>
      </w:r>
      <w:r>
        <w:rPr/>
        <w:t>more</w:t>
      </w:r>
      <w:r>
        <w:rPr>
          <w:spacing w:val="-5"/>
        </w:rPr>
        <w:t> </w:t>
      </w:r>
      <w:r>
        <w:rPr/>
        <w:t>information.</w:t>
      </w:r>
      <w:r>
        <w:rPr>
          <w:spacing w:val="-11"/>
        </w:rPr>
        <w:t> </w:t>
      </w:r>
      <w:r>
        <w:rPr/>
        <w:t>This</w:t>
      </w:r>
      <w:r>
        <w:rPr>
          <w:spacing w:val="-5"/>
        </w:rPr>
        <w:t> </w:t>
      </w:r>
      <w:r>
        <w:rPr/>
        <w:t>is</w:t>
      </w:r>
      <w:r>
        <w:rPr>
          <w:spacing w:val="-5"/>
        </w:rPr>
        <w:t> </w:t>
      </w:r>
      <w:r>
        <w:rPr/>
        <w:t>also</w:t>
      </w:r>
      <w:r>
        <w:rPr>
          <w:spacing w:val="-5"/>
        </w:rPr>
        <w:t> </w:t>
      </w:r>
      <w:r>
        <w:rPr/>
        <w:t>encouraged</w:t>
      </w:r>
      <w:r>
        <w:rPr>
          <w:spacing w:val="-5"/>
        </w:rPr>
        <w:t> </w:t>
      </w:r>
      <w:r>
        <w:rPr/>
        <w:t>by</w:t>
      </w:r>
      <w:r>
        <w:rPr>
          <w:spacing w:val="-5"/>
        </w:rPr>
        <w:t> </w:t>
      </w:r>
      <w:r>
        <w:rPr/>
        <w:t>the current evaluation system and various competitive examination bodies.</w:t>
      </w:r>
    </w:p>
    <w:p>
      <w:pPr>
        <w:pStyle w:val="BodyText"/>
        <w:spacing w:before="16"/>
      </w:pPr>
    </w:p>
    <w:p>
      <w:pPr>
        <w:pStyle w:val="ListParagraph"/>
        <w:numPr>
          <w:ilvl w:val="1"/>
          <w:numId w:val="37"/>
        </w:numPr>
        <w:tabs>
          <w:tab w:pos="1439" w:val="left" w:leader="none"/>
        </w:tabs>
        <w:spacing w:line="266" w:lineRule="auto" w:before="0" w:after="0"/>
        <w:ind w:left="1079" w:right="0" w:firstLine="0"/>
        <w:jc w:val="both"/>
        <w:rPr>
          <w:b/>
          <w:sz w:val="22"/>
        </w:rPr>
      </w:pPr>
      <w:r>
        <w:rPr>
          <w:b/>
          <w:spacing w:val="-4"/>
          <w:sz w:val="22"/>
        </w:rPr>
        <w:t>Teacher</w:t>
      </w:r>
      <w:r>
        <w:rPr>
          <w:b/>
          <w:spacing w:val="-10"/>
          <w:sz w:val="22"/>
        </w:rPr>
        <w:t> </w:t>
      </w:r>
      <w:r>
        <w:rPr>
          <w:b/>
          <w:spacing w:val="-4"/>
          <w:sz w:val="22"/>
        </w:rPr>
        <w:t>training:</w:t>
      </w:r>
      <w:r>
        <w:rPr>
          <w:b/>
          <w:spacing w:val="-10"/>
          <w:sz w:val="22"/>
        </w:rPr>
        <w:t> </w:t>
      </w:r>
      <w:r>
        <w:rPr>
          <w:spacing w:val="-4"/>
          <w:sz w:val="22"/>
        </w:rPr>
        <w:t>To</w:t>
      </w:r>
      <w:r>
        <w:rPr>
          <w:spacing w:val="-10"/>
          <w:sz w:val="22"/>
        </w:rPr>
        <w:t> </w:t>
      </w:r>
      <w:r>
        <w:rPr>
          <w:spacing w:val="-4"/>
          <w:sz w:val="22"/>
        </w:rPr>
        <w:t>help</w:t>
      </w:r>
      <w:r>
        <w:rPr>
          <w:spacing w:val="-9"/>
          <w:sz w:val="22"/>
        </w:rPr>
        <w:t> </w:t>
      </w:r>
      <w:r>
        <w:rPr>
          <w:spacing w:val="-4"/>
          <w:sz w:val="22"/>
        </w:rPr>
        <w:t>teachers</w:t>
      </w:r>
      <w:r>
        <w:rPr>
          <w:spacing w:val="-10"/>
          <w:sz w:val="22"/>
        </w:rPr>
        <w:t> </w:t>
      </w:r>
      <w:r>
        <w:rPr>
          <w:spacing w:val="-4"/>
          <w:sz w:val="22"/>
        </w:rPr>
        <w:t>keep</w:t>
      </w:r>
      <w:r>
        <w:rPr>
          <w:spacing w:val="-10"/>
          <w:sz w:val="22"/>
        </w:rPr>
        <w:t> </w:t>
      </w:r>
      <w:r>
        <w:rPr>
          <w:spacing w:val="-4"/>
          <w:sz w:val="22"/>
        </w:rPr>
        <w:t>pace</w:t>
      </w:r>
      <w:r>
        <w:rPr>
          <w:spacing w:val="-10"/>
          <w:sz w:val="22"/>
        </w:rPr>
        <w:t> </w:t>
      </w:r>
      <w:r>
        <w:rPr>
          <w:spacing w:val="-4"/>
          <w:sz w:val="22"/>
        </w:rPr>
        <w:t>with </w:t>
      </w:r>
      <w:r>
        <w:rPr>
          <w:sz w:val="22"/>
        </w:rPr>
        <w:t>recent advances in their subjects and new pedagogic tools, there is a need to launch large scale in-service training program for all science teachers. Training teachers is necessary because at the middle school </w:t>
      </w:r>
      <w:r>
        <w:rPr>
          <w:spacing w:val="-4"/>
          <w:sz w:val="22"/>
        </w:rPr>
        <w:t>level,</w:t>
      </w:r>
      <w:r>
        <w:rPr>
          <w:spacing w:val="-12"/>
          <w:sz w:val="22"/>
        </w:rPr>
        <w:t> </w:t>
      </w:r>
      <w:r>
        <w:rPr>
          <w:spacing w:val="-4"/>
          <w:sz w:val="22"/>
        </w:rPr>
        <w:t>they</w:t>
      </w:r>
      <w:r>
        <w:rPr>
          <w:spacing w:val="-10"/>
          <w:sz w:val="22"/>
        </w:rPr>
        <w:t> </w:t>
      </w:r>
      <w:r>
        <w:rPr>
          <w:spacing w:val="-4"/>
          <w:sz w:val="22"/>
        </w:rPr>
        <w:t>are</w:t>
      </w:r>
      <w:r>
        <w:rPr>
          <w:spacing w:val="-10"/>
          <w:sz w:val="22"/>
        </w:rPr>
        <w:t> </w:t>
      </w:r>
      <w:r>
        <w:rPr>
          <w:spacing w:val="-4"/>
          <w:sz w:val="22"/>
        </w:rPr>
        <w:t>expected</w:t>
      </w:r>
      <w:r>
        <w:rPr>
          <w:spacing w:val="-9"/>
          <w:sz w:val="22"/>
        </w:rPr>
        <w:t> </w:t>
      </w:r>
      <w:r>
        <w:rPr>
          <w:spacing w:val="-4"/>
          <w:sz w:val="22"/>
        </w:rPr>
        <w:t>to</w:t>
      </w:r>
      <w:r>
        <w:rPr>
          <w:spacing w:val="-10"/>
          <w:sz w:val="22"/>
        </w:rPr>
        <w:t> </w:t>
      </w:r>
      <w:r>
        <w:rPr>
          <w:spacing w:val="-4"/>
          <w:sz w:val="22"/>
        </w:rPr>
        <w:t>teach</w:t>
      </w:r>
      <w:r>
        <w:rPr>
          <w:spacing w:val="-10"/>
          <w:sz w:val="22"/>
        </w:rPr>
        <w:t> </w:t>
      </w:r>
      <w:r>
        <w:rPr>
          <w:spacing w:val="-4"/>
          <w:sz w:val="22"/>
        </w:rPr>
        <w:t>general</w:t>
      </w:r>
      <w:r>
        <w:rPr>
          <w:spacing w:val="-10"/>
          <w:sz w:val="22"/>
        </w:rPr>
        <w:t> </w:t>
      </w:r>
      <w:r>
        <w:rPr>
          <w:spacing w:val="-4"/>
          <w:sz w:val="22"/>
        </w:rPr>
        <w:t>science</w:t>
      </w:r>
      <w:r>
        <w:rPr>
          <w:spacing w:val="-9"/>
          <w:sz w:val="22"/>
        </w:rPr>
        <w:t> </w:t>
      </w:r>
      <w:r>
        <w:rPr>
          <w:spacing w:val="-4"/>
          <w:sz w:val="22"/>
        </w:rPr>
        <w:t>courses </w:t>
      </w:r>
      <w:r>
        <w:rPr>
          <w:sz w:val="22"/>
        </w:rPr>
        <w:t>though</w:t>
      </w:r>
      <w:r>
        <w:rPr>
          <w:spacing w:val="-2"/>
          <w:sz w:val="22"/>
        </w:rPr>
        <w:t> </w:t>
      </w:r>
      <w:r>
        <w:rPr>
          <w:sz w:val="22"/>
        </w:rPr>
        <w:t>they</w:t>
      </w:r>
      <w:r>
        <w:rPr>
          <w:spacing w:val="-2"/>
          <w:sz w:val="22"/>
        </w:rPr>
        <w:t> </w:t>
      </w:r>
      <w:r>
        <w:rPr>
          <w:sz w:val="22"/>
        </w:rPr>
        <w:t>might</w:t>
      </w:r>
      <w:r>
        <w:rPr>
          <w:spacing w:val="-2"/>
          <w:sz w:val="22"/>
        </w:rPr>
        <w:t> </w:t>
      </w:r>
      <w:r>
        <w:rPr>
          <w:sz w:val="22"/>
        </w:rPr>
        <w:t>have</w:t>
      </w:r>
      <w:r>
        <w:rPr>
          <w:spacing w:val="-2"/>
          <w:sz w:val="22"/>
        </w:rPr>
        <w:t> </w:t>
      </w:r>
      <w:r>
        <w:rPr>
          <w:sz w:val="22"/>
        </w:rPr>
        <w:t>received</w:t>
      </w:r>
      <w:r>
        <w:rPr>
          <w:spacing w:val="-2"/>
          <w:sz w:val="22"/>
        </w:rPr>
        <w:t> </w:t>
      </w:r>
      <w:r>
        <w:rPr>
          <w:sz w:val="22"/>
        </w:rPr>
        <w:t>training</w:t>
      </w:r>
      <w:r>
        <w:rPr>
          <w:spacing w:val="-2"/>
          <w:sz w:val="22"/>
        </w:rPr>
        <w:t> </w:t>
      </w:r>
      <w:r>
        <w:rPr>
          <w:sz w:val="22"/>
        </w:rPr>
        <w:t>in</w:t>
      </w:r>
      <w:r>
        <w:rPr>
          <w:spacing w:val="-2"/>
          <w:sz w:val="22"/>
        </w:rPr>
        <w:t> </w:t>
      </w:r>
      <w:r>
        <w:rPr>
          <w:sz w:val="22"/>
        </w:rPr>
        <w:t>only</w:t>
      </w:r>
      <w:r>
        <w:rPr>
          <w:spacing w:val="-2"/>
          <w:sz w:val="22"/>
        </w:rPr>
        <w:t> </w:t>
      </w:r>
      <w:r>
        <w:rPr>
          <w:sz w:val="22"/>
        </w:rPr>
        <w:t>one of the disciplines. The delivery medium should be </w:t>
      </w:r>
      <w:r>
        <w:rPr>
          <w:spacing w:val="-2"/>
          <w:sz w:val="22"/>
        </w:rPr>
        <w:t>classroom</w:t>
      </w:r>
      <w:r>
        <w:rPr>
          <w:spacing w:val="-12"/>
          <w:sz w:val="22"/>
        </w:rPr>
        <w:t> </w:t>
      </w:r>
      <w:r>
        <w:rPr>
          <w:spacing w:val="-2"/>
          <w:sz w:val="22"/>
        </w:rPr>
        <w:t>based,</w:t>
      </w:r>
      <w:r>
        <w:rPr>
          <w:spacing w:val="-12"/>
          <w:sz w:val="22"/>
        </w:rPr>
        <w:t> </w:t>
      </w:r>
      <w:r>
        <w:rPr>
          <w:spacing w:val="-2"/>
          <w:sz w:val="22"/>
        </w:rPr>
        <w:t>supported</w:t>
      </w:r>
      <w:r>
        <w:rPr>
          <w:spacing w:val="-12"/>
          <w:sz w:val="22"/>
        </w:rPr>
        <w:t> </w:t>
      </w:r>
      <w:r>
        <w:rPr>
          <w:spacing w:val="-2"/>
          <w:sz w:val="22"/>
        </w:rPr>
        <w:t>by</w:t>
      </w:r>
      <w:r>
        <w:rPr>
          <w:spacing w:val="-11"/>
          <w:sz w:val="22"/>
        </w:rPr>
        <w:t> </w:t>
      </w:r>
      <w:r>
        <w:rPr>
          <w:spacing w:val="-2"/>
          <w:sz w:val="22"/>
        </w:rPr>
        <w:t>materials</w:t>
      </w:r>
      <w:r>
        <w:rPr>
          <w:spacing w:val="-12"/>
          <w:sz w:val="22"/>
        </w:rPr>
        <w:t> </w:t>
      </w:r>
      <w:r>
        <w:rPr>
          <w:spacing w:val="-2"/>
          <w:sz w:val="22"/>
        </w:rPr>
        <w:t>based</w:t>
      </w:r>
      <w:r>
        <w:rPr>
          <w:spacing w:val="-12"/>
          <w:sz w:val="22"/>
        </w:rPr>
        <w:t> </w:t>
      </w:r>
      <w:r>
        <w:rPr>
          <w:spacing w:val="-2"/>
          <w:sz w:val="22"/>
        </w:rPr>
        <w:t>on</w:t>
      </w:r>
      <w:r>
        <w:rPr>
          <w:spacing w:val="-12"/>
          <w:sz w:val="22"/>
        </w:rPr>
        <w:t> </w:t>
      </w:r>
      <w:r>
        <w:rPr>
          <w:spacing w:val="-2"/>
          <w:sz w:val="22"/>
        </w:rPr>
        <w:t>ICT. </w:t>
      </w:r>
      <w:r>
        <w:rPr>
          <w:spacing w:val="-6"/>
          <w:sz w:val="22"/>
        </w:rPr>
        <w:t>Video-conferencing</w:t>
      </w:r>
      <w:r>
        <w:rPr>
          <w:spacing w:val="-8"/>
          <w:sz w:val="22"/>
        </w:rPr>
        <w:t> </w:t>
      </w:r>
      <w:r>
        <w:rPr>
          <w:spacing w:val="-6"/>
          <w:sz w:val="22"/>
        </w:rPr>
        <w:t>sessions</w:t>
      </w:r>
      <w:r>
        <w:rPr>
          <w:spacing w:val="-7"/>
          <w:sz w:val="22"/>
        </w:rPr>
        <w:t> </w:t>
      </w:r>
      <w:r>
        <w:rPr>
          <w:spacing w:val="-6"/>
          <w:sz w:val="22"/>
        </w:rPr>
        <w:t>can</w:t>
      </w:r>
      <w:r>
        <w:rPr>
          <w:spacing w:val="-8"/>
          <w:sz w:val="22"/>
        </w:rPr>
        <w:t> </w:t>
      </w:r>
      <w:r>
        <w:rPr>
          <w:spacing w:val="-6"/>
          <w:sz w:val="22"/>
        </w:rPr>
        <w:t>be</w:t>
      </w:r>
      <w:r>
        <w:rPr>
          <w:spacing w:val="-7"/>
          <w:sz w:val="22"/>
        </w:rPr>
        <w:t> </w:t>
      </w:r>
      <w:r>
        <w:rPr>
          <w:spacing w:val="-6"/>
          <w:sz w:val="22"/>
        </w:rPr>
        <w:t>very</w:t>
      </w:r>
      <w:r>
        <w:rPr>
          <w:spacing w:val="-8"/>
          <w:sz w:val="22"/>
        </w:rPr>
        <w:t> </w:t>
      </w:r>
      <w:r>
        <w:rPr>
          <w:spacing w:val="-6"/>
          <w:sz w:val="22"/>
        </w:rPr>
        <w:t>useful.</w:t>
      </w:r>
      <w:r>
        <w:rPr>
          <w:spacing w:val="-7"/>
          <w:sz w:val="22"/>
        </w:rPr>
        <w:t> </w:t>
      </w:r>
      <w:r>
        <w:rPr>
          <w:spacing w:val="-6"/>
          <w:sz w:val="22"/>
        </w:rPr>
        <w:t>Science </w:t>
      </w:r>
      <w:r>
        <w:rPr>
          <w:sz w:val="22"/>
        </w:rPr>
        <w:t>academies have launched such a training program, and this can serve as a model for other institutes.</w:t>
      </w:r>
      <w:r>
        <w:rPr>
          <w:spacing w:val="80"/>
          <w:sz w:val="22"/>
        </w:rPr>
        <w:t> </w:t>
      </w:r>
      <w:r>
        <w:rPr>
          <w:sz w:val="22"/>
        </w:rPr>
        <w:t>The in-service training program for teachers needs</w:t>
      </w:r>
      <w:r>
        <w:rPr>
          <w:spacing w:val="80"/>
          <w:sz w:val="22"/>
        </w:rPr>
        <w:t> </w:t>
      </w:r>
      <w:r>
        <w:rPr>
          <w:sz w:val="22"/>
        </w:rPr>
        <w:t>to</w:t>
      </w:r>
      <w:r>
        <w:rPr>
          <w:spacing w:val="40"/>
          <w:sz w:val="22"/>
        </w:rPr>
        <w:t> </w:t>
      </w:r>
      <w:r>
        <w:rPr>
          <w:sz w:val="22"/>
        </w:rPr>
        <w:t>be</w:t>
      </w:r>
      <w:r>
        <w:rPr>
          <w:spacing w:val="40"/>
          <w:sz w:val="22"/>
        </w:rPr>
        <w:t> </w:t>
      </w:r>
      <w:r>
        <w:rPr>
          <w:sz w:val="22"/>
        </w:rPr>
        <w:t>revamped. The</w:t>
      </w:r>
      <w:r>
        <w:rPr>
          <w:spacing w:val="40"/>
          <w:sz w:val="22"/>
        </w:rPr>
        <w:t> </w:t>
      </w:r>
      <w:r>
        <w:rPr>
          <w:sz w:val="22"/>
        </w:rPr>
        <w:t>frequency</w:t>
      </w:r>
      <w:r>
        <w:rPr>
          <w:spacing w:val="40"/>
          <w:sz w:val="22"/>
        </w:rPr>
        <w:t> </w:t>
      </w:r>
      <w:r>
        <w:rPr>
          <w:sz w:val="22"/>
        </w:rPr>
        <w:t>of</w:t>
      </w:r>
      <w:r>
        <w:rPr>
          <w:spacing w:val="40"/>
          <w:sz w:val="22"/>
        </w:rPr>
        <w:t> </w:t>
      </w:r>
      <w:r>
        <w:rPr>
          <w:sz w:val="22"/>
        </w:rPr>
        <w:t>training</w:t>
      </w:r>
      <w:r>
        <w:rPr>
          <w:spacing w:val="40"/>
          <w:sz w:val="22"/>
        </w:rPr>
        <w:t> </w:t>
      </w:r>
      <w:r>
        <w:rPr>
          <w:sz w:val="22"/>
        </w:rPr>
        <w:t>should be increased. Teacher training institutes should be measured on their performance based on outcomes. Every</w:t>
      </w:r>
      <w:r>
        <w:rPr>
          <w:spacing w:val="-8"/>
          <w:sz w:val="22"/>
        </w:rPr>
        <w:t> </w:t>
      </w:r>
      <w:r>
        <w:rPr>
          <w:sz w:val="22"/>
        </w:rPr>
        <w:t>training</w:t>
      </w:r>
      <w:r>
        <w:rPr>
          <w:spacing w:val="-8"/>
          <w:sz w:val="22"/>
        </w:rPr>
        <w:t> </w:t>
      </w:r>
      <w:r>
        <w:rPr>
          <w:sz w:val="22"/>
        </w:rPr>
        <w:t>school</w:t>
      </w:r>
      <w:r>
        <w:rPr>
          <w:spacing w:val="-8"/>
          <w:sz w:val="22"/>
        </w:rPr>
        <w:t> </w:t>
      </w:r>
      <w:r>
        <w:rPr>
          <w:sz w:val="22"/>
        </w:rPr>
        <w:t>can</w:t>
      </w:r>
      <w:r>
        <w:rPr>
          <w:spacing w:val="-8"/>
          <w:sz w:val="22"/>
        </w:rPr>
        <w:t> </w:t>
      </w:r>
      <w:r>
        <w:rPr>
          <w:sz w:val="22"/>
        </w:rPr>
        <w:t>be</w:t>
      </w:r>
      <w:r>
        <w:rPr>
          <w:spacing w:val="-8"/>
          <w:sz w:val="22"/>
        </w:rPr>
        <w:t> </w:t>
      </w:r>
      <w:r>
        <w:rPr>
          <w:sz w:val="22"/>
        </w:rPr>
        <w:t>linked</w:t>
      </w:r>
      <w:r>
        <w:rPr>
          <w:spacing w:val="-8"/>
          <w:sz w:val="22"/>
        </w:rPr>
        <w:t> </w:t>
      </w:r>
      <w:r>
        <w:rPr>
          <w:sz w:val="22"/>
        </w:rPr>
        <w:t>to</w:t>
      </w:r>
      <w:r>
        <w:rPr>
          <w:spacing w:val="-8"/>
          <w:sz w:val="22"/>
        </w:rPr>
        <w:t> </w:t>
      </w:r>
      <w:r>
        <w:rPr>
          <w:sz w:val="22"/>
        </w:rPr>
        <w:t>nearby</w:t>
      </w:r>
      <w:r>
        <w:rPr>
          <w:spacing w:val="-8"/>
          <w:sz w:val="22"/>
        </w:rPr>
        <w:t> </w:t>
      </w:r>
      <w:r>
        <w:rPr>
          <w:sz w:val="22"/>
        </w:rPr>
        <w:t>schools for this purpose.</w:t>
      </w:r>
      <w:r>
        <w:rPr>
          <w:spacing w:val="-5"/>
          <w:sz w:val="22"/>
        </w:rPr>
        <w:t> </w:t>
      </w:r>
      <w:r>
        <w:rPr>
          <w:sz w:val="22"/>
        </w:rPr>
        <w:t>The performance of students can be taken as a substitute for measuring the performance of</w:t>
      </w:r>
      <w:r>
        <w:rPr>
          <w:spacing w:val="-2"/>
          <w:sz w:val="22"/>
        </w:rPr>
        <w:t> </w:t>
      </w:r>
      <w:r>
        <w:rPr>
          <w:sz w:val="22"/>
        </w:rPr>
        <w:t>teachers</w:t>
      </w:r>
      <w:r>
        <w:rPr>
          <w:spacing w:val="-2"/>
          <w:sz w:val="22"/>
        </w:rPr>
        <w:t> </w:t>
      </w:r>
      <w:r>
        <w:rPr>
          <w:sz w:val="22"/>
        </w:rPr>
        <w:t>associated</w:t>
      </w:r>
      <w:r>
        <w:rPr>
          <w:spacing w:val="-2"/>
          <w:sz w:val="22"/>
        </w:rPr>
        <w:t> </w:t>
      </w:r>
      <w:r>
        <w:rPr>
          <w:sz w:val="22"/>
        </w:rPr>
        <w:t>with</w:t>
      </w:r>
      <w:r>
        <w:rPr>
          <w:spacing w:val="-2"/>
          <w:sz w:val="22"/>
        </w:rPr>
        <w:t> </w:t>
      </w:r>
      <w:r>
        <w:rPr>
          <w:sz w:val="22"/>
        </w:rPr>
        <w:t>the</w:t>
      </w:r>
      <w:r>
        <w:rPr>
          <w:spacing w:val="-2"/>
          <w:sz w:val="22"/>
        </w:rPr>
        <w:t> </w:t>
      </w:r>
      <w:r>
        <w:rPr>
          <w:sz w:val="22"/>
        </w:rPr>
        <w:t>training</w:t>
      </w:r>
      <w:r>
        <w:rPr>
          <w:spacing w:val="-2"/>
          <w:sz w:val="22"/>
        </w:rPr>
        <w:t> </w:t>
      </w:r>
      <w:r>
        <w:rPr>
          <w:sz w:val="22"/>
        </w:rPr>
        <w:t>school.</w:t>
      </w:r>
      <w:r>
        <w:rPr>
          <w:spacing w:val="-2"/>
          <w:sz w:val="22"/>
        </w:rPr>
        <w:t> </w:t>
      </w:r>
      <w:r>
        <w:rPr>
          <w:sz w:val="22"/>
        </w:rPr>
        <w:t>Apart </w:t>
      </w:r>
      <w:r>
        <w:rPr>
          <w:spacing w:val="-2"/>
          <w:sz w:val="22"/>
        </w:rPr>
        <w:t>from</w:t>
      </w:r>
      <w:r>
        <w:rPr>
          <w:spacing w:val="-12"/>
          <w:sz w:val="22"/>
        </w:rPr>
        <w:t> </w:t>
      </w:r>
      <w:r>
        <w:rPr>
          <w:spacing w:val="-2"/>
          <w:sz w:val="22"/>
        </w:rPr>
        <w:t>fundamental</w:t>
      </w:r>
      <w:r>
        <w:rPr>
          <w:spacing w:val="-12"/>
          <w:sz w:val="22"/>
        </w:rPr>
        <w:t> </w:t>
      </w:r>
      <w:r>
        <w:rPr>
          <w:spacing w:val="-2"/>
          <w:sz w:val="22"/>
        </w:rPr>
        <w:t>concepts,</w:t>
      </w:r>
      <w:r>
        <w:rPr>
          <w:spacing w:val="-12"/>
          <w:sz w:val="22"/>
        </w:rPr>
        <w:t> </w:t>
      </w:r>
      <w:r>
        <w:rPr>
          <w:spacing w:val="-2"/>
          <w:sz w:val="22"/>
        </w:rPr>
        <w:t>inquisitiveness,</w:t>
      </w:r>
      <w:r>
        <w:rPr>
          <w:spacing w:val="-11"/>
          <w:sz w:val="22"/>
        </w:rPr>
        <w:t> </w:t>
      </w:r>
      <w:r>
        <w:rPr>
          <w:spacing w:val="-2"/>
          <w:sz w:val="22"/>
        </w:rPr>
        <w:t>creativity, </w:t>
      </w:r>
      <w:r>
        <w:rPr>
          <w:sz w:val="22"/>
        </w:rPr>
        <w:t>problem</w:t>
      </w:r>
      <w:r>
        <w:rPr>
          <w:spacing w:val="27"/>
          <w:sz w:val="22"/>
        </w:rPr>
        <w:t> </w:t>
      </w:r>
      <w:r>
        <w:rPr>
          <w:sz w:val="22"/>
        </w:rPr>
        <w:t>solving</w:t>
      </w:r>
      <w:r>
        <w:rPr>
          <w:spacing w:val="28"/>
          <w:sz w:val="22"/>
        </w:rPr>
        <w:t> </w:t>
      </w:r>
      <w:r>
        <w:rPr>
          <w:sz w:val="22"/>
        </w:rPr>
        <w:t>and</w:t>
      </w:r>
      <w:r>
        <w:rPr>
          <w:spacing w:val="28"/>
          <w:sz w:val="22"/>
        </w:rPr>
        <w:t> </w:t>
      </w:r>
      <w:r>
        <w:rPr>
          <w:sz w:val="22"/>
        </w:rPr>
        <w:t>research</w:t>
      </w:r>
      <w:r>
        <w:rPr>
          <w:spacing w:val="28"/>
          <w:sz w:val="22"/>
        </w:rPr>
        <w:t> </w:t>
      </w:r>
      <w:r>
        <w:rPr>
          <w:sz w:val="22"/>
        </w:rPr>
        <w:t>orientation</w:t>
      </w:r>
      <w:r>
        <w:rPr>
          <w:spacing w:val="28"/>
          <w:sz w:val="22"/>
        </w:rPr>
        <w:t> </w:t>
      </w:r>
      <w:r>
        <w:rPr>
          <w:sz w:val="22"/>
        </w:rPr>
        <w:t>should</w:t>
      </w:r>
      <w:r>
        <w:rPr>
          <w:spacing w:val="28"/>
          <w:sz w:val="22"/>
        </w:rPr>
        <w:t> </w:t>
      </w:r>
      <w:r>
        <w:rPr>
          <w:spacing w:val="-5"/>
          <w:sz w:val="22"/>
        </w:rPr>
        <w:t>be</w:t>
      </w:r>
    </w:p>
    <w:p>
      <w:pPr>
        <w:pStyle w:val="BodyText"/>
        <w:spacing w:line="266" w:lineRule="auto" w:before="57"/>
        <w:ind w:left="319" w:right="1077"/>
        <w:jc w:val="both"/>
      </w:pPr>
      <w:r>
        <w:rPr/>
        <w:br w:type="column"/>
      </w:r>
      <w:r>
        <w:rPr/>
        <w:t>included in teaching. At the undergraduate level, </w:t>
      </w:r>
      <w:r>
        <w:rPr/>
        <w:t>the present</w:t>
      </w:r>
      <w:r>
        <w:rPr>
          <w:spacing w:val="-8"/>
        </w:rPr>
        <w:t> </w:t>
      </w:r>
      <w:r>
        <w:rPr/>
        <w:t>method</w:t>
      </w:r>
      <w:r>
        <w:rPr>
          <w:spacing w:val="-8"/>
        </w:rPr>
        <w:t> </w:t>
      </w:r>
      <w:r>
        <w:rPr/>
        <w:t>of</w:t>
      </w:r>
      <w:r>
        <w:rPr>
          <w:spacing w:val="-8"/>
        </w:rPr>
        <w:t> </w:t>
      </w:r>
      <w:r>
        <w:rPr/>
        <w:t>faculty</w:t>
      </w:r>
      <w:r>
        <w:rPr>
          <w:spacing w:val="-8"/>
        </w:rPr>
        <w:t> </w:t>
      </w:r>
      <w:r>
        <w:rPr/>
        <w:t>training</w:t>
      </w:r>
      <w:r>
        <w:rPr>
          <w:spacing w:val="-8"/>
        </w:rPr>
        <w:t> </w:t>
      </w:r>
      <w:r>
        <w:rPr/>
        <w:t>conducted</w:t>
      </w:r>
      <w:r>
        <w:rPr>
          <w:spacing w:val="-8"/>
        </w:rPr>
        <w:t> </w:t>
      </w:r>
      <w:r>
        <w:rPr/>
        <w:t>by</w:t>
      </w:r>
      <w:r>
        <w:rPr>
          <w:spacing w:val="-8"/>
        </w:rPr>
        <w:t> </w:t>
      </w:r>
      <w:r>
        <w:rPr/>
        <w:t>Staff Training Institutes/Centres should be reviewed and the</w:t>
      </w:r>
      <w:r>
        <w:rPr>
          <w:spacing w:val="-16"/>
        </w:rPr>
        <w:t> </w:t>
      </w:r>
      <w:r>
        <w:rPr/>
        <w:t>training</w:t>
      </w:r>
      <w:r>
        <w:rPr>
          <w:spacing w:val="-14"/>
        </w:rPr>
        <w:t> </w:t>
      </w:r>
      <w:r>
        <w:rPr/>
        <w:t>system</w:t>
      </w:r>
      <w:r>
        <w:rPr>
          <w:spacing w:val="-14"/>
        </w:rPr>
        <w:t> </w:t>
      </w:r>
      <w:r>
        <w:rPr/>
        <w:t>with</w:t>
      </w:r>
      <w:r>
        <w:rPr>
          <w:spacing w:val="-13"/>
        </w:rPr>
        <w:t> </w:t>
      </w:r>
      <w:r>
        <w:rPr/>
        <w:t>lectures</w:t>
      </w:r>
      <w:r>
        <w:rPr>
          <w:spacing w:val="-14"/>
        </w:rPr>
        <w:t> </w:t>
      </w:r>
      <w:r>
        <w:rPr/>
        <w:t>alone</w:t>
      </w:r>
      <w:r>
        <w:rPr>
          <w:spacing w:val="-14"/>
        </w:rPr>
        <w:t> </w:t>
      </w:r>
      <w:r>
        <w:rPr/>
        <w:t>should</w:t>
      </w:r>
      <w:r>
        <w:rPr>
          <w:spacing w:val="-14"/>
        </w:rPr>
        <w:t> </w:t>
      </w:r>
      <w:r>
        <w:rPr/>
        <w:t>be</w:t>
      </w:r>
      <w:r>
        <w:rPr>
          <w:spacing w:val="-13"/>
        </w:rPr>
        <w:t> </w:t>
      </w:r>
      <w:r>
        <w:rPr/>
        <w:t>done </w:t>
      </w:r>
      <w:r>
        <w:rPr>
          <w:spacing w:val="-4"/>
        </w:rPr>
        <w:t>away</w:t>
      </w:r>
      <w:r>
        <w:rPr>
          <w:spacing w:val="-10"/>
        </w:rPr>
        <w:t> </w:t>
      </w:r>
      <w:r>
        <w:rPr>
          <w:spacing w:val="-4"/>
        </w:rPr>
        <w:t>with.</w:t>
      </w:r>
      <w:r>
        <w:rPr>
          <w:spacing w:val="-10"/>
        </w:rPr>
        <w:t> </w:t>
      </w:r>
      <w:r>
        <w:rPr>
          <w:spacing w:val="-4"/>
        </w:rPr>
        <w:t>There</w:t>
      </w:r>
      <w:r>
        <w:rPr>
          <w:spacing w:val="-8"/>
        </w:rPr>
        <w:t> </w:t>
      </w:r>
      <w:r>
        <w:rPr>
          <w:spacing w:val="-4"/>
        </w:rPr>
        <w:t>is</w:t>
      </w:r>
      <w:r>
        <w:rPr>
          <w:spacing w:val="-7"/>
        </w:rPr>
        <w:t> </w:t>
      </w:r>
      <w:r>
        <w:rPr>
          <w:spacing w:val="-4"/>
        </w:rPr>
        <w:t>a</w:t>
      </w:r>
      <w:r>
        <w:rPr>
          <w:spacing w:val="-7"/>
        </w:rPr>
        <w:t> </w:t>
      </w:r>
      <w:r>
        <w:rPr>
          <w:spacing w:val="-4"/>
        </w:rPr>
        <w:t>need</w:t>
      </w:r>
      <w:r>
        <w:rPr>
          <w:spacing w:val="-7"/>
        </w:rPr>
        <w:t> </w:t>
      </w:r>
      <w:r>
        <w:rPr>
          <w:spacing w:val="-4"/>
        </w:rPr>
        <w:t>to</w:t>
      </w:r>
      <w:r>
        <w:rPr>
          <w:spacing w:val="-7"/>
        </w:rPr>
        <w:t> </w:t>
      </w:r>
      <w:r>
        <w:rPr>
          <w:spacing w:val="-4"/>
        </w:rPr>
        <w:t>revamp</w:t>
      </w:r>
      <w:r>
        <w:rPr>
          <w:spacing w:val="-7"/>
        </w:rPr>
        <w:t> </w:t>
      </w:r>
      <w:r>
        <w:rPr>
          <w:spacing w:val="-4"/>
        </w:rPr>
        <w:t>the</w:t>
      </w:r>
      <w:r>
        <w:rPr>
          <w:spacing w:val="-7"/>
        </w:rPr>
        <w:t> </w:t>
      </w:r>
      <w:r>
        <w:rPr>
          <w:spacing w:val="-4"/>
        </w:rPr>
        <w:t>Refresher</w:t>
      </w:r>
      <w:r>
        <w:rPr>
          <w:spacing w:val="-7"/>
        </w:rPr>
        <w:t> </w:t>
      </w:r>
      <w:r>
        <w:rPr>
          <w:spacing w:val="-4"/>
        </w:rPr>
        <w:t>and </w:t>
      </w:r>
      <w:r>
        <w:rPr/>
        <w:t>Orientation courses conducted under the guidance of UGC.</w:t>
      </w:r>
      <w:r>
        <w:rPr>
          <w:spacing w:val="-3"/>
        </w:rPr>
        <w:t> </w:t>
      </w:r>
      <w:r>
        <w:rPr/>
        <w:t>The need is to provide a platform for life long skill enhancement of teachers.</w:t>
      </w:r>
    </w:p>
    <w:p>
      <w:pPr>
        <w:pStyle w:val="BodyText"/>
        <w:spacing w:before="21"/>
      </w:pPr>
    </w:p>
    <w:p>
      <w:pPr>
        <w:spacing w:line="266" w:lineRule="auto" w:before="0"/>
        <w:ind w:left="319" w:right="1077" w:firstLine="0"/>
        <w:jc w:val="both"/>
        <w:rPr>
          <w:i/>
          <w:sz w:val="22"/>
        </w:rPr>
      </w:pPr>
      <w:r>
        <w:rPr>
          <w:spacing w:val="-6"/>
          <w:sz w:val="22"/>
        </w:rPr>
        <w:t>Dedicated training centres can be established at research </w:t>
      </w:r>
      <w:r>
        <w:rPr>
          <w:sz w:val="22"/>
        </w:rPr>
        <w:t>institutes/universities for advanced level courses. </w:t>
      </w:r>
      <w:r>
        <w:rPr>
          <w:sz w:val="22"/>
        </w:rPr>
        <w:t>A </w:t>
      </w:r>
      <w:r>
        <w:rPr>
          <w:spacing w:val="-4"/>
          <w:sz w:val="22"/>
        </w:rPr>
        <w:t>database</w:t>
      </w:r>
      <w:r>
        <w:rPr>
          <w:spacing w:val="-10"/>
          <w:sz w:val="22"/>
        </w:rPr>
        <w:t> </w:t>
      </w:r>
      <w:r>
        <w:rPr>
          <w:spacing w:val="-4"/>
          <w:sz w:val="22"/>
        </w:rPr>
        <w:t>of</w:t>
      </w:r>
      <w:r>
        <w:rPr>
          <w:spacing w:val="-9"/>
          <w:sz w:val="22"/>
        </w:rPr>
        <w:t> </w:t>
      </w:r>
      <w:r>
        <w:rPr>
          <w:spacing w:val="-4"/>
          <w:sz w:val="22"/>
        </w:rPr>
        <w:t>good</w:t>
      </w:r>
      <w:r>
        <w:rPr>
          <w:spacing w:val="-10"/>
          <w:sz w:val="22"/>
        </w:rPr>
        <w:t> </w:t>
      </w:r>
      <w:r>
        <w:rPr>
          <w:spacing w:val="-4"/>
          <w:sz w:val="22"/>
        </w:rPr>
        <w:t>teachers</w:t>
      </w:r>
      <w:r>
        <w:rPr>
          <w:spacing w:val="-9"/>
          <w:sz w:val="22"/>
        </w:rPr>
        <w:t> </w:t>
      </w:r>
      <w:r>
        <w:rPr>
          <w:spacing w:val="-4"/>
          <w:sz w:val="22"/>
        </w:rPr>
        <w:t>should</w:t>
      </w:r>
      <w:r>
        <w:rPr>
          <w:spacing w:val="-10"/>
          <w:sz w:val="22"/>
        </w:rPr>
        <w:t> </w:t>
      </w:r>
      <w:r>
        <w:rPr>
          <w:spacing w:val="-4"/>
          <w:sz w:val="22"/>
        </w:rPr>
        <w:t>be</w:t>
      </w:r>
      <w:r>
        <w:rPr>
          <w:spacing w:val="-9"/>
          <w:sz w:val="22"/>
        </w:rPr>
        <w:t> </w:t>
      </w:r>
      <w:r>
        <w:rPr>
          <w:spacing w:val="-4"/>
          <w:sz w:val="22"/>
        </w:rPr>
        <w:t>created</w:t>
      </w:r>
      <w:r>
        <w:rPr>
          <w:spacing w:val="-10"/>
          <w:sz w:val="22"/>
        </w:rPr>
        <w:t> </w:t>
      </w:r>
      <w:r>
        <w:rPr>
          <w:spacing w:val="-4"/>
          <w:sz w:val="22"/>
        </w:rPr>
        <w:t>so</w:t>
      </w:r>
      <w:r>
        <w:rPr>
          <w:spacing w:val="-9"/>
          <w:sz w:val="22"/>
        </w:rPr>
        <w:t> </w:t>
      </w:r>
      <w:r>
        <w:rPr>
          <w:spacing w:val="-4"/>
          <w:sz w:val="22"/>
        </w:rPr>
        <w:t>that</w:t>
      </w:r>
      <w:r>
        <w:rPr>
          <w:spacing w:val="-10"/>
          <w:sz w:val="22"/>
        </w:rPr>
        <w:t> </w:t>
      </w:r>
      <w:r>
        <w:rPr>
          <w:spacing w:val="-4"/>
          <w:sz w:val="22"/>
        </w:rPr>
        <w:t>they </w:t>
      </w:r>
      <w:r>
        <w:rPr>
          <w:spacing w:val="-6"/>
          <w:sz w:val="22"/>
        </w:rPr>
        <w:t>can</w:t>
      </w:r>
      <w:r>
        <w:rPr>
          <w:spacing w:val="-7"/>
          <w:sz w:val="22"/>
        </w:rPr>
        <w:t> </w:t>
      </w:r>
      <w:r>
        <w:rPr>
          <w:spacing w:val="-6"/>
          <w:sz w:val="22"/>
        </w:rPr>
        <w:t>be</w:t>
      </w:r>
      <w:r>
        <w:rPr>
          <w:spacing w:val="-7"/>
          <w:sz w:val="22"/>
        </w:rPr>
        <w:t> </w:t>
      </w:r>
      <w:r>
        <w:rPr>
          <w:spacing w:val="-6"/>
          <w:sz w:val="22"/>
        </w:rPr>
        <w:t>tapped</w:t>
      </w:r>
      <w:r>
        <w:rPr>
          <w:spacing w:val="-7"/>
          <w:sz w:val="22"/>
        </w:rPr>
        <w:t> </w:t>
      </w:r>
      <w:r>
        <w:rPr>
          <w:spacing w:val="-6"/>
          <w:sz w:val="22"/>
        </w:rPr>
        <w:t>for</w:t>
      </w:r>
      <w:r>
        <w:rPr>
          <w:spacing w:val="-7"/>
          <w:sz w:val="22"/>
        </w:rPr>
        <w:t> </w:t>
      </w:r>
      <w:r>
        <w:rPr>
          <w:spacing w:val="-6"/>
          <w:sz w:val="22"/>
        </w:rPr>
        <w:t>discussion</w:t>
      </w:r>
      <w:r>
        <w:rPr>
          <w:spacing w:val="-7"/>
          <w:sz w:val="22"/>
        </w:rPr>
        <w:t> </w:t>
      </w:r>
      <w:r>
        <w:rPr>
          <w:spacing w:val="-6"/>
          <w:sz w:val="22"/>
        </w:rPr>
        <w:t>forums,</w:t>
      </w:r>
      <w:r>
        <w:rPr>
          <w:spacing w:val="-7"/>
          <w:sz w:val="22"/>
        </w:rPr>
        <w:t> </w:t>
      </w:r>
      <w:r>
        <w:rPr>
          <w:spacing w:val="-6"/>
          <w:sz w:val="22"/>
        </w:rPr>
        <w:t>video-conferencing </w:t>
      </w:r>
      <w:r>
        <w:rPr>
          <w:spacing w:val="-4"/>
          <w:sz w:val="22"/>
        </w:rPr>
        <w:t>sessions</w:t>
      </w:r>
      <w:r>
        <w:rPr>
          <w:spacing w:val="-9"/>
          <w:sz w:val="22"/>
        </w:rPr>
        <w:t> </w:t>
      </w:r>
      <w:r>
        <w:rPr>
          <w:spacing w:val="-4"/>
          <w:sz w:val="22"/>
        </w:rPr>
        <w:t>and</w:t>
      </w:r>
      <w:r>
        <w:rPr>
          <w:spacing w:val="-9"/>
          <w:sz w:val="22"/>
        </w:rPr>
        <w:t> </w:t>
      </w:r>
      <w:r>
        <w:rPr>
          <w:spacing w:val="-4"/>
          <w:sz w:val="22"/>
        </w:rPr>
        <w:t>for</w:t>
      </w:r>
      <w:r>
        <w:rPr>
          <w:spacing w:val="-9"/>
          <w:sz w:val="22"/>
        </w:rPr>
        <w:t> </w:t>
      </w:r>
      <w:r>
        <w:rPr>
          <w:spacing w:val="-4"/>
          <w:sz w:val="22"/>
        </w:rPr>
        <w:t>live</w:t>
      </w:r>
      <w:r>
        <w:rPr>
          <w:spacing w:val="-9"/>
          <w:sz w:val="22"/>
        </w:rPr>
        <w:t> </w:t>
      </w:r>
      <w:r>
        <w:rPr>
          <w:spacing w:val="-4"/>
          <w:sz w:val="22"/>
        </w:rPr>
        <w:t>interactions</w:t>
      </w:r>
      <w:r>
        <w:rPr>
          <w:spacing w:val="-9"/>
          <w:sz w:val="22"/>
        </w:rPr>
        <w:t> </w:t>
      </w:r>
      <w:r>
        <w:rPr>
          <w:spacing w:val="-4"/>
          <w:sz w:val="22"/>
        </w:rPr>
        <w:t>with</w:t>
      </w:r>
      <w:r>
        <w:rPr>
          <w:spacing w:val="-9"/>
          <w:sz w:val="22"/>
        </w:rPr>
        <w:t> </w:t>
      </w:r>
      <w:r>
        <w:rPr>
          <w:spacing w:val="-4"/>
          <w:sz w:val="22"/>
        </w:rPr>
        <w:t>trainees.</w:t>
      </w:r>
      <w:r>
        <w:rPr>
          <w:spacing w:val="-9"/>
          <w:sz w:val="22"/>
        </w:rPr>
        <w:t> </w:t>
      </w:r>
      <w:r>
        <w:rPr>
          <w:spacing w:val="-4"/>
          <w:sz w:val="22"/>
        </w:rPr>
        <w:t>Lectures of</w:t>
      </w:r>
      <w:r>
        <w:rPr>
          <w:spacing w:val="-10"/>
          <w:sz w:val="22"/>
        </w:rPr>
        <w:t> </w:t>
      </w:r>
      <w:r>
        <w:rPr>
          <w:spacing w:val="-4"/>
          <w:sz w:val="22"/>
        </w:rPr>
        <w:t>good</w:t>
      </w:r>
      <w:r>
        <w:rPr>
          <w:spacing w:val="-10"/>
          <w:sz w:val="22"/>
        </w:rPr>
        <w:t> </w:t>
      </w:r>
      <w:r>
        <w:rPr>
          <w:spacing w:val="-4"/>
          <w:sz w:val="22"/>
        </w:rPr>
        <w:t>teachers</w:t>
      </w:r>
      <w:r>
        <w:rPr>
          <w:spacing w:val="-10"/>
          <w:sz w:val="22"/>
        </w:rPr>
        <w:t> </w:t>
      </w:r>
      <w:r>
        <w:rPr>
          <w:spacing w:val="-4"/>
          <w:sz w:val="22"/>
        </w:rPr>
        <w:t>should</w:t>
      </w:r>
      <w:r>
        <w:rPr>
          <w:spacing w:val="-9"/>
          <w:sz w:val="22"/>
        </w:rPr>
        <w:t> </w:t>
      </w:r>
      <w:r>
        <w:rPr>
          <w:spacing w:val="-4"/>
          <w:sz w:val="22"/>
        </w:rPr>
        <w:t>be</w:t>
      </w:r>
      <w:r>
        <w:rPr>
          <w:spacing w:val="-10"/>
          <w:sz w:val="22"/>
        </w:rPr>
        <w:t> </w:t>
      </w:r>
      <w:r>
        <w:rPr>
          <w:spacing w:val="-4"/>
          <w:sz w:val="22"/>
        </w:rPr>
        <w:t>recorded</w:t>
      </w:r>
      <w:r>
        <w:rPr>
          <w:spacing w:val="-10"/>
          <w:sz w:val="22"/>
        </w:rPr>
        <w:t> </w:t>
      </w:r>
      <w:r>
        <w:rPr>
          <w:spacing w:val="-4"/>
          <w:sz w:val="22"/>
        </w:rPr>
        <w:t>and</w:t>
      </w:r>
      <w:r>
        <w:rPr>
          <w:spacing w:val="-10"/>
          <w:sz w:val="22"/>
        </w:rPr>
        <w:t> </w:t>
      </w:r>
      <w:r>
        <w:rPr>
          <w:spacing w:val="-4"/>
          <w:sz w:val="22"/>
        </w:rPr>
        <w:t>made</w:t>
      </w:r>
      <w:r>
        <w:rPr>
          <w:spacing w:val="-9"/>
          <w:sz w:val="22"/>
        </w:rPr>
        <w:t> </w:t>
      </w:r>
      <w:r>
        <w:rPr>
          <w:spacing w:val="-4"/>
          <w:sz w:val="22"/>
        </w:rPr>
        <w:t>available </w:t>
      </w:r>
      <w:r>
        <w:rPr>
          <w:spacing w:val="-6"/>
          <w:sz w:val="22"/>
        </w:rPr>
        <w:t>in</w:t>
      </w:r>
      <w:r>
        <w:rPr>
          <w:spacing w:val="-8"/>
          <w:sz w:val="22"/>
        </w:rPr>
        <w:t> </w:t>
      </w:r>
      <w:r>
        <w:rPr>
          <w:spacing w:val="-6"/>
          <w:sz w:val="22"/>
        </w:rPr>
        <w:t>CDs</w:t>
      </w:r>
      <w:r>
        <w:rPr>
          <w:spacing w:val="-8"/>
          <w:sz w:val="22"/>
        </w:rPr>
        <w:t> </w:t>
      </w:r>
      <w:r>
        <w:rPr>
          <w:spacing w:val="-6"/>
          <w:sz w:val="22"/>
        </w:rPr>
        <w:t>or</w:t>
      </w:r>
      <w:r>
        <w:rPr>
          <w:spacing w:val="-8"/>
          <w:sz w:val="22"/>
        </w:rPr>
        <w:t> </w:t>
      </w:r>
      <w:r>
        <w:rPr>
          <w:spacing w:val="-6"/>
          <w:sz w:val="22"/>
        </w:rPr>
        <w:t>on</w:t>
      </w:r>
      <w:r>
        <w:rPr>
          <w:spacing w:val="-7"/>
          <w:sz w:val="22"/>
        </w:rPr>
        <w:t> </w:t>
      </w:r>
      <w:r>
        <w:rPr>
          <w:spacing w:val="-6"/>
          <w:sz w:val="22"/>
        </w:rPr>
        <w:t>internet</w:t>
      </w:r>
      <w:r>
        <w:rPr>
          <w:spacing w:val="-8"/>
          <w:sz w:val="22"/>
        </w:rPr>
        <w:t> </w:t>
      </w:r>
      <w:r>
        <w:rPr>
          <w:spacing w:val="-6"/>
          <w:sz w:val="22"/>
        </w:rPr>
        <w:t>for</w:t>
      </w:r>
      <w:r>
        <w:rPr>
          <w:spacing w:val="-8"/>
          <w:sz w:val="22"/>
        </w:rPr>
        <w:t> </w:t>
      </w:r>
      <w:r>
        <w:rPr>
          <w:spacing w:val="-6"/>
          <w:sz w:val="22"/>
        </w:rPr>
        <w:t>easy</w:t>
      </w:r>
      <w:r>
        <w:rPr>
          <w:spacing w:val="-8"/>
          <w:sz w:val="22"/>
        </w:rPr>
        <w:t> </w:t>
      </w:r>
      <w:r>
        <w:rPr>
          <w:spacing w:val="-6"/>
          <w:sz w:val="22"/>
        </w:rPr>
        <w:t>accessibility.</w:t>
      </w:r>
      <w:r>
        <w:rPr>
          <w:spacing w:val="-7"/>
          <w:sz w:val="22"/>
        </w:rPr>
        <w:t> </w:t>
      </w:r>
      <w:r>
        <w:rPr>
          <w:spacing w:val="-6"/>
          <w:sz w:val="22"/>
        </w:rPr>
        <w:t>Web</w:t>
      </w:r>
      <w:r>
        <w:rPr>
          <w:spacing w:val="-8"/>
          <w:sz w:val="22"/>
        </w:rPr>
        <w:t> </w:t>
      </w:r>
      <w:r>
        <w:rPr>
          <w:spacing w:val="-6"/>
          <w:sz w:val="22"/>
        </w:rPr>
        <w:t>enabled </w:t>
      </w:r>
      <w:r>
        <w:rPr>
          <w:sz w:val="22"/>
        </w:rPr>
        <w:t>discussion forums should be promoted. Teachers should</w:t>
      </w:r>
      <w:r>
        <w:rPr>
          <w:spacing w:val="-4"/>
          <w:sz w:val="22"/>
        </w:rPr>
        <w:t> </w:t>
      </w:r>
      <w:r>
        <w:rPr>
          <w:sz w:val="22"/>
        </w:rPr>
        <w:t>be</w:t>
      </w:r>
      <w:r>
        <w:rPr>
          <w:spacing w:val="-4"/>
          <w:sz w:val="22"/>
        </w:rPr>
        <w:t> </w:t>
      </w:r>
      <w:r>
        <w:rPr>
          <w:sz w:val="22"/>
        </w:rPr>
        <w:t>connected</w:t>
      </w:r>
      <w:r>
        <w:rPr>
          <w:spacing w:val="-4"/>
          <w:sz w:val="22"/>
        </w:rPr>
        <w:t> </w:t>
      </w:r>
      <w:r>
        <w:rPr>
          <w:sz w:val="22"/>
        </w:rPr>
        <w:t>with</w:t>
      </w:r>
      <w:r>
        <w:rPr>
          <w:spacing w:val="-4"/>
          <w:sz w:val="22"/>
        </w:rPr>
        <w:t> </w:t>
      </w:r>
      <w:r>
        <w:rPr>
          <w:sz w:val="22"/>
        </w:rPr>
        <w:t>one</w:t>
      </w:r>
      <w:r>
        <w:rPr>
          <w:spacing w:val="-4"/>
          <w:sz w:val="22"/>
        </w:rPr>
        <w:t> </w:t>
      </w:r>
      <w:r>
        <w:rPr>
          <w:sz w:val="22"/>
        </w:rPr>
        <w:t>another</w:t>
      </w:r>
      <w:r>
        <w:rPr>
          <w:spacing w:val="-4"/>
          <w:sz w:val="22"/>
        </w:rPr>
        <w:t> </w:t>
      </w:r>
      <w:r>
        <w:rPr>
          <w:sz w:val="22"/>
        </w:rPr>
        <w:t>so</w:t>
      </w:r>
      <w:r>
        <w:rPr>
          <w:spacing w:val="-4"/>
          <w:sz w:val="22"/>
        </w:rPr>
        <w:t> </w:t>
      </w:r>
      <w:r>
        <w:rPr>
          <w:sz w:val="22"/>
        </w:rPr>
        <w:t>that</w:t>
      </w:r>
      <w:r>
        <w:rPr>
          <w:spacing w:val="-4"/>
          <w:sz w:val="22"/>
        </w:rPr>
        <w:t> </w:t>
      </w:r>
      <w:r>
        <w:rPr>
          <w:sz w:val="22"/>
        </w:rPr>
        <w:t>in</w:t>
      </w:r>
      <w:r>
        <w:rPr>
          <w:spacing w:val="-4"/>
          <w:sz w:val="22"/>
        </w:rPr>
        <w:t> </w:t>
      </w:r>
      <w:r>
        <w:rPr>
          <w:sz w:val="22"/>
        </w:rPr>
        <w:t>time, </w:t>
      </w:r>
      <w:r>
        <w:rPr>
          <w:spacing w:val="-4"/>
          <w:sz w:val="22"/>
        </w:rPr>
        <w:t>teacher</w:t>
      </w:r>
      <w:r>
        <w:rPr>
          <w:spacing w:val="-8"/>
          <w:sz w:val="22"/>
        </w:rPr>
        <w:t> </w:t>
      </w:r>
      <w:r>
        <w:rPr>
          <w:spacing w:val="-4"/>
          <w:sz w:val="22"/>
        </w:rPr>
        <w:t>organisations</w:t>
      </w:r>
      <w:r>
        <w:rPr>
          <w:spacing w:val="-8"/>
          <w:sz w:val="22"/>
        </w:rPr>
        <w:t> </w:t>
      </w:r>
      <w:r>
        <w:rPr>
          <w:spacing w:val="-4"/>
          <w:sz w:val="22"/>
        </w:rPr>
        <w:t>can</w:t>
      </w:r>
      <w:r>
        <w:rPr>
          <w:spacing w:val="-8"/>
          <w:sz w:val="22"/>
        </w:rPr>
        <w:t> </w:t>
      </w:r>
      <w:r>
        <w:rPr>
          <w:spacing w:val="-4"/>
          <w:sz w:val="22"/>
        </w:rPr>
        <w:t>become</w:t>
      </w:r>
      <w:r>
        <w:rPr>
          <w:spacing w:val="-8"/>
          <w:sz w:val="22"/>
        </w:rPr>
        <w:t> </w:t>
      </w:r>
      <w:r>
        <w:rPr>
          <w:spacing w:val="-4"/>
          <w:sz w:val="22"/>
        </w:rPr>
        <w:t>leaders</w:t>
      </w:r>
      <w:r>
        <w:rPr>
          <w:spacing w:val="-8"/>
          <w:sz w:val="22"/>
        </w:rPr>
        <w:t> </w:t>
      </w:r>
      <w:r>
        <w:rPr>
          <w:spacing w:val="-4"/>
          <w:sz w:val="22"/>
        </w:rPr>
        <w:t>in</w:t>
      </w:r>
      <w:r>
        <w:rPr>
          <w:spacing w:val="-8"/>
          <w:sz w:val="22"/>
        </w:rPr>
        <w:t> </w:t>
      </w:r>
      <w:r>
        <w:rPr>
          <w:spacing w:val="-4"/>
          <w:sz w:val="22"/>
        </w:rPr>
        <w:t>developing </w:t>
      </w:r>
      <w:r>
        <w:rPr>
          <w:sz w:val="22"/>
        </w:rPr>
        <w:t>new teaching methodologies and make significant contributions</w:t>
      </w:r>
      <w:r>
        <w:rPr>
          <w:spacing w:val="-5"/>
          <w:sz w:val="22"/>
        </w:rPr>
        <w:t> </w:t>
      </w:r>
      <w:r>
        <w:rPr>
          <w:sz w:val="22"/>
        </w:rPr>
        <w:t>to</w:t>
      </w:r>
      <w:r>
        <w:rPr>
          <w:spacing w:val="-5"/>
          <w:sz w:val="22"/>
        </w:rPr>
        <w:t> </w:t>
      </w:r>
      <w:r>
        <w:rPr>
          <w:sz w:val="22"/>
        </w:rPr>
        <w:t>content</w:t>
      </w:r>
      <w:r>
        <w:rPr>
          <w:spacing w:val="-5"/>
          <w:sz w:val="22"/>
        </w:rPr>
        <w:t> </w:t>
      </w:r>
      <w:r>
        <w:rPr>
          <w:sz w:val="22"/>
        </w:rPr>
        <w:t>and</w:t>
      </w:r>
      <w:r>
        <w:rPr>
          <w:spacing w:val="-5"/>
          <w:sz w:val="22"/>
        </w:rPr>
        <w:t> </w:t>
      </w:r>
      <w:r>
        <w:rPr>
          <w:sz w:val="22"/>
        </w:rPr>
        <w:t>evaluation</w:t>
      </w:r>
      <w:r>
        <w:rPr>
          <w:spacing w:val="-5"/>
          <w:sz w:val="22"/>
        </w:rPr>
        <w:t> </w:t>
      </w:r>
      <w:r>
        <w:rPr>
          <w:sz w:val="22"/>
        </w:rPr>
        <w:t>reforms.</w:t>
      </w:r>
      <w:r>
        <w:rPr>
          <w:spacing w:val="-4"/>
          <w:sz w:val="22"/>
        </w:rPr>
        <w:t> </w:t>
      </w:r>
      <w:r>
        <w:rPr>
          <w:i/>
          <w:sz w:val="22"/>
        </w:rPr>
        <w:t>Well </w:t>
      </w:r>
      <w:r>
        <w:rPr>
          <w:i/>
          <w:w w:val="90"/>
          <w:sz w:val="22"/>
        </w:rPr>
        <w:t>established associations like Indian Association of Physics Teachers and others like the nascent Indian Association of Teachers in Biological Sciences should be strengthened by </w:t>
      </w:r>
      <w:r>
        <w:rPr>
          <w:i/>
          <w:spacing w:val="-4"/>
          <w:sz w:val="22"/>
        </w:rPr>
        <w:t>appropriate</w:t>
      </w:r>
      <w:r>
        <w:rPr>
          <w:i/>
          <w:spacing w:val="-12"/>
          <w:sz w:val="22"/>
        </w:rPr>
        <w:t> </w:t>
      </w:r>
      <w:r>
        <w:rPr>
          <w:i/>
          <w:spacing w:val="-4"/>
          <w:sz w:val="22"/>
        </w:rPr>
        <w:t>financial</w:t>
      </w:r>
      <w:r>
        <w:rPr>
          <w:i/>
          <w:spacing w:val="-10"/>
          <w:sz w:val="22"/>
        </w:rPr>
        <w:t> </w:t>
      </w:r>
      <w:r>
        <w:rPr>
          <w:i/>
          <w:spacing w:val="-4"/>
          <w:sz w:val="22"/>
        </w:rPr>
        <w:t>and</w:t>
      </w:r>
      <w:r>
        <w:rPr>
          <w:i/>
          <w:spacing w:val="-10"/>
          <w:sz w:val="22"/>
        </w:rPr>
        <w:t> </w:t>
      </w:r>
      <w:r>
        <w:rPr>
          <w:i/>
          <w:spacing w:val="-4"/>
          <w:sz w:val="22"/>
        </w:rPr>
        <w:t>other</w:t>
      </w:r>
      <w:r>
        <w:rPr>
          <w:i/>
          <w:spacing w:val="-9"/>
          <w:sz w:val="22"/>
        </w:rPr>
        <w:t> </w:t>
      </w:r>
      <w:r>
        <w:rPr>
          <w:i/>
          <w:spacing w:val="-4"/>
          <w:sz w:val="22"/>
        </w:rPr>
        <w:t>support.</w:t>
      </w:r>
    </w:p>
    <w:p>
      <w:pPr>
        <w:pStyle w:val="BodyText"/>
        <w:spacing w:before="14"/>
        <w:rPr>
          <w:i/>
        </w:rPr>
      </w:pPr>
    </w:p>
    <w:p>
      <w:pPr>
        <w:pStyle w:val="ListParagraph"/>
        <w:numPr>
          <w:ilvl w:val="1"/>
          <w:numId w:val="37"/>
        </w:numPr>
        <w:tabs>
          <w:tab w:pos="664" w:val="left" w:leader="none"/>
        </w:tabs>
        <w:spacing w:line="266" w:lineRule="auto" w:before="0" w:after="0"/>
        <w:ind w:left="319" w:right="1077" w:firstLine="0"/>
        <w:jc w:val="both"/>
        <w:rPr>
          <w:b/>
          <w:sz w:val="22"/>
        </w:rPr>
      </w:pPr>
      <w:r>
        <w:rPr>
          <w:b/>
          <w:spacing w:val="-6"/>
          <w:sz w:val="22"/>
        </w:rPr>
        <w:t>Teaching aids: </w:t>
      </w:r>
      <w:r>
        <w:rPr>
          <w:spacing w:val="-6"/>
          <w:sz w:val="22"/>
        </w:rPr>
        <w:t>With the advent of new technology, </w:t>
      </w:r>
      <w:r>
        <w:rPr>
          <w:sz w:val="22"/>
        </w:rPr>
        <w:t>there</w:t>
      </w:r>
      <w:r>
        <w:rPr>
          <w:spacing w:val="-11"/>
          <w:sz w:val="22"/>
        </w:rPr>
        <w:t> </w:t>
      </w:r>
      <w:r>
        <w:rPr>
          <w:sz w:val="22"/>
        </w:rPr>
        <w:t>is</w:t>
      </w:r>
      <w:r>
        <w:rPr>
          <w:spacing w:val="-11"/>
          <w:sz w:val="22"/>
        </w:rPr>
        <w:t> </w:t>
      </w:r>
      <w:r>
        <w:rPr>
          <w:sz w:val="22"/>
        </w:rPr>
        <w:t>a</w:t>
      </w:r>
      <w:r>
        <w:rPr>
          <w:spacing w:val="-11"/>
          <w:sz w:val="22"/>
        </w:rPr>
        <w:t> </w:t>
      </w:r>
      <w:r>
        <w:rPr>
          <w:sz w:val="22"/>
        </w:rPr>
        <w:t>need</w:t>
      </w:r>
      <w:r>
        <w:rPr>
          <w:spacing w:val="-11"/>
          <w:sz w:val="22"/>
        </w:rPr>
        <w:t> </w:t>
      </w:r>
      <w:r>
        <w:rPr>
          <w:sz w:val="22"/>
        </w:rPr>
        <w:t>to</w:t>
      </w:r>
      <w:r>
        <w:rPr>
          <w:spacing w:val="-11"/>
          <w:sz w:val="22"/>
        </w:rPr>
        <w:t> </w:t>
      </w:r>
      <w:r>
        <w:rPr>
          <w:sz w:val="22"/>
        </w:rPr>
        <w:t>develop</w:t>
      </w:r>
      <w:r>
        <w:rPr>
          <w:spacing w:val="-11"/>
          <w:sz w:val="22"/>
        </w:rPr>
        <w:t> </w:t>
      </w:r>
      <w:r>
        <w:rPr>
          <w:sz w:val="22"/>
        </w:rPr>
        <w:t>better</w:t>
      </w:r>
      <w:r>
        <w:rPr>
          <w:spacing w:val="-11"/>
          <w:sz w:val="22"/>
        </w:rPr>
        <w:t> </w:t>
      </w:r>
      <w:r>
        <w:rPr>
          <w:sz w:val="22"/>
        </w:rPr>
        <w:t>teaching</w:t>
      </w:r>
      <w:r>
        <w:rPr>
          <w:spacing w:val="-11"/>
          <w:sz w:val="22"/>
        </w:rPr>
        <w:t> </w:t>
      </w:r>
      <w:r>
        <w:rPr>
          <w:sz w:val="22"/>
        </w:rPr>
        <w:t>aids</w:t>
      </w:r>
      <w:r>
        <w:rPr>
          <w:spacing w:val="-11"/>
          <w:sz w:val="22"/>
        </w:rPr>
        <w:t> </w:t>
      </w:r>
      <w:r>
        <w:rPr>
          <w:sz w:val="22"/>
        </w:rPr>
        <w:t>to</w:t>
      </w:r>
      <w:r>
        <w:rPr>
          <w:spacing w:val="-11"/>
          <w:sz w:val="22"/>
        </w:rPr>
        <w:t> </w:t>
      </w:r>
      <w:r>
        <w:rPr>
          <w:sz w:val="22"/>
        </w:rPr>
        <w:t>make classrooms livelier. There is an array of open </w:t>
      </w:r>
      <w:r>
        <w:rPr>
          <w:sz w:val="22"/>
        </w:rPr>
        <w:t>source </w:t>
      </w:r>
      <w:r>
        <w:rPr>
          <w:spacing w:val="-6"/>
          <w:sz w:val="22"/>
        </w:rPr>
        <w:t>material</w:t>
      </w:r>
      <w:r>
        <w:rPr>
          <w:spacing w:val="-8"/>
          <w:sz w:val="22"/>
        </w:rPr>
        <w:t> </w:t>
      </w:r>
      <w:r>
        <w:rPr>
          <w:spacing w:val="-6"/>
          <w:sz w:val="22"/>
        </w:rPr>
        <w:t>and</w:t>
      </w:r>
      <w:r>
        <w:rPr>
          <w:spacing w:val="-8"/>
          <w:sz w:val="22"/>
        </w:rPr>
        <w:t> </w:t>
      </w:r>
      <w:r>
        <w:rPr>
          <w:spacing w:val="-6"/>
          <w:sz w:val="22"/>
        </w:rPr>
        <w:t>ICT</w:t>
      </w:r>
      <w:r>
        <w:rPr>
          <w:spacing w:val="-8"/>
          <w:sz w:val="22"/>
        </w:rPr>
        <w:t> </w:t>
      </w:r>
      <w:r>
        <w:rPr>
          <w:spacing w:val="-6"/>
          <w:sz w:val="22"/>
        </w:rPr>
        <w:t>aided</w:t>
      </w:r>
      <w:r>
        <w:rPr>
          <w:spacing w:val="-7"/>
          <w:sz w:val="22"/>
        </w:rPr>
        <w:t> </w:t>
      </w:r>
      <w:r>
        <w:rPr>
          <w:spacing w:val="-6"/>
          <w:sz w:val="22"/>
        </w:rPr>
        <w:t>tools,</w:t>
      </w:r>
      <w:r>
        <w:rPr>
          <w:spacing w:val="-8"/>
          <w:sz w:val="22"/>
        </w:rPr>
        <w:t> </w:t>
      </w:r>
      <w:r>
        <w:rPr>
          <w:spacing w:val="-6"/>
          <w:sz w:val="22"/>
        </w:rPr>
        <w:t>which</w:t>
      </w:r>
      <w:r>
        <w:rPr>
          <w:spacing w:val="-8"/>
          <w:sz w:val="22"/>
        </w:rPr>
        <w:t> </w:t>
      </w:r>
      <w:r>
        <w:rPr>
          <w:spacing w:val="-6"/>
          <w:sz w:val="22"/>
        </w:rPr>
        <w:t>can</w:t>
      </w:r>
      <w:r>
        <w:rPr>
          <w:spacing w:val="-8"/>
          <w:sz w:val="22"/>
        </w:rPr>
        <w:t> </w:t>
      </w:r>
      <w:r>
        <w:rPr>
          <w:spacing w:val="-6"/>
          <w:sz w:val="22"/>
        </w:rPr>
        <w:t>make</w:t>
      </w:r>
      <w:r>
        <w:rPr>
          <w:spacing w:val="-7"/>
          <w:sz w:val="22"/>
        </w:rPr>
        <w:t> </w:t>
      </w:r>
      <w:r>
        <w:rPr>
          <w:spacing w:val="-6"/>
          <w:sz w:val="22"/>
        </w:rPr>
        <w:t>classroom </w:t>
      </w:r>
      <w:r>
        <w:rPr>
          <w:sz w:val="22"/>
        </w:rPr>
        <w:t>transactions in math and science more engaging and </w:t>
      </w:r>
      <w:r>
        <w:rPr>
          <w:spacing w:val="-6"/>
          <w:sz w:val="22"/>
        </w:rPr>
        <w:t>participatory.</w:t>
      </w:r>
      <w:r>
        <w:rPr>
          <w:spacing w:val="-8"/>
          <w:sz w:val="22"/>
        </w:rPr>
        <w:t> </w:t>
      </w:r>
      <w:r>
        <w:rPr>
          <w:spacing w:val="-6"/>
          <w:sz w:val="22"/>
        </w:rPr>
        <w:t>At</w:t>
      </w:r>
      <w:r>
        <w:rPr>
          <w:spacing w:val="-8"/>
          <w:sz w:val="22"/>
        </w:rPr>
        <w:t> </w:t>
      </w:r>
      <w:r>
        <w:rPr>
          <w:spacing w:val="-6"/>
          <w:sz w:val="22"/>
        </w:rPr>
        <w:t>present,</w:t>
      </w:r>
      <w:r>
        <w:rPr>
          <w:spacing w:val="-8"/>
          <w:sz w:val="22"/>
        </w:rPr>
        <w:t> </w:t>
      </w:r>
      <w:r>
        <w:rPr>
          <w:spacing w:val="-6"/>
          <w:sz w:val="22"/>
        </w:rPr>
        <w:t>it</w:t>
      </w:r>
      <w:r>
        <w:rPr>
          <w:spacing w:val="-7"/>
          <w:sz w:val="22"/>
        </w:rPr>
        <w:t> </w:t>
      </w:r>
      <w:r>
        <w:rPr>
          <w:spacing w:val="-6"/>
          <w:sz w:val="22"/>
        </w:rPr>
        <w:t>is</w:t>
      </w:r>
      <w:r>
        <w:rPr>
          <w:spacing w:val="-8"/>
          <w:sz w:val="22"/>
        </w:rPr>
        <w:t> </w:t>
      </w:r>
      <w:r>
        <w:rPr>
          <w:spacing w:val="-6"/>
          <w:sz w:val="22"/>
        </w:rPr>
        <w:t>felt</w:t>
      </w:r>
      <w:r>
        <w:rPr>
          <w:spacing w:val="-8"/>
          <w:sz w:val="22"/>
        </w:rPr>
        <w:t> </w:t>
      </w:r>
      <w:r>
        <w:rPr>
          <w:spacing w:val="-6"/>
          <w:sz w:val="22"/>
        </w:rPr>
        <w:t>that</w:t>
      </w:r>
      <w:r>
        <w:rPr>
          <w:spacing w:val="-8"/>
          <w:sz w:val="22"/>
        </w:rPr>
        <w:t> </w:t>
      </w:r>
      <w:r>
        <w:rPr>
          <w:spacing w:val="-6"/>
          <w:sz w:val="22"/>
        </w:rPr>
        <w:t>neither</w:t>
      </w:r>
      <w:r>
        <w:rPr>
          <w:spacing w:val="-7"/>
          <w:sz w:val="22"/>
        </w:rPr>
        <w:t> </w:t>
      </w:r>
      <w:r>
        <w:rPr>
          <w:spacing w:val="-6"/>
          <w:sz w:val="22"/>
        </w:rPr>
        <w:t>the</w:t>
      </w:r>
      <w:r>
        <w:rPr>
          <w:spacing w:val="-8"/>
          <w:sz w:val="22"/>
        </w:rPr>
        <w:t> </w:t>
      </w:r>
      <w:r>
        <w:rPr>
          <w:spacing w:val="-6"/>
          <w:sz w:val="22"/>
        </w:rPr>
        <w:t>teachers </w:t>
      </w:r>
      <w:r>
        <w:rPr>
          <w:sz w:val="22"/>
        </w:rPr>
        <w:t>nor students are fully familiar with these resources. Multimedia should be appropriately used, and easily </w:t>
      </w:r>
      <w:r>
        <w:rPr>
          <w:spacing w:val="-2"/>
          <w:sz w:val="22"/>
        </w:rPr>
        <w:t>replicable</w:t>
      </w:r>
      <w:r>
        <w:rPr>
          <w:spacing w:val="-3"/>
          <w:sz w:val="22"/>
        </w:rPr>
        <w:t> </w:t>
      </w:r>
      <w:r>
        <w:rPr>
          <w:spacing w:val="-2"/>
          <w:sz w:val="22"/>
        </w:rPr>
        <w:t>hands</w:t>
      </w:r>
      <w:r>
        <w:rPr>
          <w:spacing w:val="-3"/>
          <w:sz w:val="22"/>
        </w:rPr>
        <w:t> </w:t>
      </w:r>
      <w:r>
        <w:rPr>
          <w:spacing w:val="-2"/>
          <w:sz w:val="22"/>
        </w:rPr>
        <w:t>on</w:t>
      </w:r>
      <w:r>
        <w:rPr>
          <w:spacing w:val="-3"/>
          <w:sz w:val="22"/>
        </w:rPr>
        <w:t> </w:t>
      </w:r>
      <w:r>
        <w:rPr>
          <w:spacing w:val="-2"/>
          <w:sz w:val="22"/>
        </w:rPr>
        <w:t>activities</w:t>
      </w:r>
      <w:r>
        <w:rPr>
          <w:spacing w:val="-3"/>
          <w:sz w:val="22"/>
        </w:rPr>
        <w:t> </w:t>
      </w:r>
      <w:r>
        <w:rPr>
          <w:spacing w:val="-2"/>
          <w:sz w:val="22"/>
        </w:rPr>
        <w:t>to</w:t>
      </w:r>
      <w:r>
        <w:rPr>
          <w:spacing w:val="-3"/>
          <w:sz w:val="22"/>
        </w:rPr>
        <w:t> </w:t>
      </w:r>
      <w:r>
        <w:rPr>
          <w:spacing w:val="-2"/>
          <w:sz w:val="22"/>
        </w:rPr>
        <w:t>demonstrate</w:t>
      </w:r>
      <w:r>
        <w:rPr>
          <w:spacing w:val="-3"/>
          <w:sz w:val="22"/>
        </w:rPr>
        <w:t> </w:t>
      </w:r>
      <w:r>
        <w:rPr>
          <w:spacing w:val="-2"/>
          <w:sz w:val="22"/>
        </w:rPr>
        <w:t>scientific </w:t>
      </w:r>
      <w:r>
        <w:rPr>
          <w:sz w:val="22"/>
        </w:rPr>
        <w:t>concepts</w:t>
      </w:r>
      <w:r>
        <w:rPr>
          <w:spacing w:val="-14"/>
          <w:sz w:val="22"/>
        </w:rPr>
        <w:t> </w:t>
      </w:r>
      <w:r>
        <w:rPr>
          <w:sz w:val="22"/>
        </w:rPr>
        <w:t>should</w:t>
      </w:r>
      <w:r>
        <w:rPr>
          <w:spacing w:val="-14"/>
          <w:sz w:val="22"/>
        </w:rPr>
        <w:t> </w:t>
      </w:r>
      <w:r>
        <w:rPr>
          <w:sz w:val="22"/>
        </w:rPr>
        <w:t>be</w:t>
      </w:r>
      <w:r>
        <w:rPr>
          <w:spacing w:val="-14"/>
          <w:sz w:val="22"/>
        </w:rPr>
        <w:t> </w:t>
      </w:r>
      <w:r>
        <w:rPr>
          <w:sz w:val="22"/>
        </w:rPr>
        <w:t>made</w:t>
      </w:r>
      <w:r>
        <w:rPr>
          <w:spacing w:val="-13"/>
          <w:sz w:val="22"/>
        </w:rPr>
        <w:t> </w:t>
      </w:r>
      <w:r>
        <w:rPr>
          <w:sz w:val="22"/>
        </w:rPr>
        <w:t>part</w:t>
      </w:r>
      <w:r>
        <w:rPr>
          <w:spacing w:val="-14"/>
          <w:sz w:val="22"/>
        </w:rPr>
        <w:t> </w:t>
      </w:r>
      <w:r>
        <w:rPr>
          <w:sz w:val="22"/>
        </w:rPr>
        <w:t>of</w:t>
      </w:r>
      <w:r>
        <w:rPr>
          <w:spacing w:val="-14"/>
          <w:sz w:val="22"/>
        </w:rPr>
        <w:t> </w:t>
      </w:r>
      <w:r>
        <w:rPr>
          <w:sz w:val="22"/>
        </w:rPr>
        <w:t>regular</w:t>
      </w:r>
      <w:r>
        <w:rPr>
          <w:spacing w:val="-14"/>
          <w:sz w:val="22"/>
        </w:rPr>
        <w:t> </w:t>
      </w:r>
      <w:r>
        <w:rPr>
          <w:sz w:val="22"/>
        </w:rPr>
        <w:t>teaching.</w:t>
      </w:r>
      <w:r>
        <w:rPr>
          <w:spacing w:val="-13"/>
          <w:sz w:val="22"/>
        </w:rPr>
        <w:t> </w:t>
      </w:r>
      <w:r>
        <w:rPr>
          <w:sz w:val="22"/>
        </w:rPr>
        <w:t>The Hoshangabad Science Teaching Program should be </w:t>
      </w:r>
      <w:r>
        <w:rPr>
          <w:spacing w:val="-8"/>
          <w:sz w:val="22"/>
        </w:rPr>
        <w:t>emulated</w:t>
      </w:r>
      <w:r>
        <w:rPr>
          <w:spacing w:val="-2"/>
          <w:sz w:val="22"/>
        </w:rPr>
        <w:t> </w:t>
      </w:r>
      <w:r>
        <w:rPr>
          <w:spacing w:val="-8"/>
          <w:sz w:val="22"/>
        </w:rPr>
        <w:t>by</w:t>
      </w:r>
      <w:r>
        <w:rPr>
          <w:spacing w:val="-2"/>
          <w:sz w:val="22"/>
        </w:rPr>
        <w:t> </w:t>
      </w:r>
      <w:r>
        <w:rPr>
          <w:spacing w:val="-8"/>
          <w:sz w:val="22"/>
        </w:rPr>
        <w:t>the</w:t>
      </w:r>
      <w:r>
        <w:rPr>
          <w:spacing w:val="-2"/>
          <w:sz w:val="22"/>
        </w:rPr>
        <w:t> </w:t>
      </w:r>
      <w:r>
        <w:rPr>
          <w:spacing w:val="-8"/>
          <w:sz w:val="22"/>
        </w:rPr>
        <w:t>training</w:t>
      </w:r>
      <w:r>
        <w:rPr>
          <w:spacing w:val="-2"/>
          <w:sz w:val="22"/>
        </w:rPr>
        <w:t> </w:t>
      </w:r>
      <w:r>
        <w:rPr>
          <w:spacing w:val="-8"/>
          <w:sz w:val="22"/>
        </w:rPr>
        <w:t>schools</w:t>
      </w:r>
      <w:r>
        <w:rPr>
          <w:spacing w:val="-2"/>
          <w:sz w:val="22"/>
        </w:rPr>
        <w:t> </w:t>
      </w:r>
      <w:r>
        <w:rPr>
          <w:spacing w:val="-8"/>
          <w:sz w:val="22"/>
        </w:rPr>
        <w:t>to</w:t>
      </w:r>
      <w:r>
        <w:rPr>
          <w:spacing w:val="-2"/>
          <w:sz w:val="22"/>
        </w:rPr>
        <w:t> </w:t>
      </w:r>
      <w:r>
        <w:rPr>
          <w:spacing w:val="-8"/>
          <w:sz w:val="22"/>
        </w:rPr>
        <w:t>enable</w:t>
      </w:r>
      <w:r>
        <w:rPr>
          <w:spacing w:val="-2"/>
          <w:sz w:val="22"/>
        </w:rPr>
        <w:t> </w:t>
      </w:r>
      <w:r>
        <w:rPr>
          <w:spacing w:val="-8"/>
          <w:sz w:val="22"/>
        </w:rPr>
        <w:t>teachers</w:t>
      </w:r>
      <w:r>
        <w:rPr>
          <w:spacing w:val="-2"/>
          <w:sz w:val="22"/>
        </w:rPr>
        <w:t> </w:t>
      </w:r>
      <w:r>
        <w:rPr>
          <w:spacing w:val="-8"/>
          <w:sz w:val="22"/>
        </w:rPr>
        <w:t>to</w:t>
      </w:r>
      <w:r>
        <w:rPr>
          <w:spacing w:val="-2"/>
          <w:sz w:val="22"/>
        </w:rPr>
        <w:t> </w:t>
      </w:r>
      <w:r>
        <w:rPr>
          <w:spacing w:val="-8"/>
          <w:sz w:val="22"/>
        </w:rPr>
        <w:t>use </w:t>
      </w:r>
      <w:r>
        <w:rPr>
          <w:spacing w:val="-4"/>
          <w:sz w:val="22"/>
        </w:rPr>
        <w:t>these</w:t>
      </w:r>
      <w:r>
        <w:rPr>
          <w:spacing w:val="-10"/>
          <w:sz w:val="22"/>
        </w:rPr>
        <w:t> </w:t>
      </w:r>
      <w:r>
        <w:rPr>
          <w:spacing w:val="-4"/>
          <w:sz w:val="22"/>
        </w:rPr>
        <w:t>concepts</w:t>
      </w:r>
      <w:r>
        <w:rPr>
          <w:spacing w:val="-10"/>
          <w:sz w:val="22"/>
        </w:rPr>
        <w:t> </w:t>
      </w:r>
      <w:r>
        <w:rPr>
          <w:spacing w:val="-4"/>
          <w:sz w:val="22"/>
        </w:rPr>
        <w:t>in</w:t>
      </w:r>
      <w:r>
        <w:rPr>
          <w:spacing w:val="-10"/>
          <w:sz w:val="22"/>
        </w:rPr>
        <w:t> </w:t>
      </w:r>
      <w:r>
        <w:rPr>
          <w:spacing w:val="-4"/>
          <w:sz w:val="22"/>
        </w:rPr>
        <w:t>their</w:t>
      </w:r>
      <w:r>
        <w:rPr>
          <w:spacing w:val="-9"/>
          <w:sz w:val="22"/>
        </w:rPr>
        <w:t> </w:t>
      </w:r>
      <w:r>
        <w:rPr>
          <w:spacing w:val="-4"/>
          <w:sz w:val="22"/>
        </w:rPr>
        <w:t>own</w:t>
      </w:r>
      <w:r>
        <w:rPr>
          <w:spacing w:val="-10"/>
          <w:sz w:val="22"/>
        </w:rPr>
        <w:t> </w:t>
      </w:r>
      <w:r>
        <w:rPr>
          <w:spacing w:val="-4"/>
          <w:sz w:val="22"/>
        </w:rPr>
        <w:t>schools.</w:t>
      </w:r>
      <w:r>
        <w:rPr>
          <w:spacing w:val="-10"/>
          <w:sz w:val="22"/>
        </w:rPr>
        <w:t> </w:t>
      </w:r>
      <w:r>
        <w:rPr>
          <w:spacing w:val="-4"/>
          <w:sz w:val="22"/>
        </w:rPr>
        <w:t>Virtual</w:t>
      </w:r>
      <w:r>
        <w:rPr>
          <w:spacing w:val="-10"/>
          <w:sz w:val="22"/>
        </w:rPr>
        <w:t> </w:t>
      </w:r>
      <w:r>
        <w:rPr>
          <w:spacing w:val="-4"/>
          <w:sz w:val="22"/>
        </w:rPr>
        <w:t>laboratories </w:t>
      </w:r>
      <w:r>
        <w:rPr>
          <w:sz w:val="22"/>
        </w:rPr>
        <w:t>program should be encouraged and scaled up so that schools which are in a position to benefit from such experiments</w:t>
      </w:r>
      <w:r>
        <w:rPr>
          <w:spacing w:val="-10"/>
          <w:sz w:val="22"/>
        </w:rPr>
        <w:t> </w:t>
      </w:r>
      <w:r>
        <w:rPr>
          <w:sz w:val="22"/>
        </w:rPr>
        <w:t>have</w:t>
      </w:r>
      <w:r>
        <w:rPr>
          <w:spacing w:val="-10"/>
          <w:sz w:val="22"/>
        </w:rPr>
        <w:t> </w:t>
      </w:r>
      <w:r>
        <w:rPr>
          <w:sz w:val="22"/>
        </w:rPr>
        <w:t>the</w:t>
      </w:r>
      <w:r>
        <w:rPr>
          <w:spacing w:val="-10"/>
          <w:sz w:val="22"/>
        </w:rPr>
        <w:t> </w:t>
      </w:r>
      <w:r>
        <w:rPr>
          <w:sz w:val="22"/>
        </w:rPr>
        <w:t>opportunity</w:t>
      </w:r>
      <w:r>
        <w:rPr>
          <w:spacing w:val="-10"/>
          <w:sz w:val="22"/>
        </w:rPr>
        <w:t> </w:t>
      </w:r>
      <w:r>
        <w:rPr>
          <w:sz w:val="22"/>
        </w:rPr>
        <w:t>to</w:t>
      </w:r>
      <w:r>
        <w:rPr>
          <w:spacing w:val="-10"/>
          <w:sz w:val="22"/>
        </w:rPr>
        <w:t> </w:t>
      </w:r>
      <w:r>
        <w:rPr>
          <w:sz w:val="22"/>
        </w:rPr>
        <w:t>do</w:t>
      </w:r>
      <w:r>
        <w:rPr>
          <w:spacing w:val="-10"/>
          <w:sz w:val="22"/>
        </w:rPr>
        <w:t> </w:t>
      </w:r>
      <w:r>
        <w:rPr>
          <w:sz w:val="22"/>
        </w:rPr>
        <w:t>so.</w:t>
      </w:r>
    </w:p>
    <w:p>
      <w:pPr>
        <w:pStyle w:val="BodyText"/>
        <w:spacing w:before="14"/>
      </w:pPr>
    </w:p>
    <w:p>
      <w:pPr>
        <w:pStyle w:val="ListParagraph"/>
        <w:numPr>
          <w:ilvl w:val="1"/>
          <w:numId w:val="37"/>
        </w:numPr>
        <w:tabs>
          <w:tab w:pos="670" w:val="left" w:leader="none"/>
        </w:tabs>
        <w:spacing w:line="266" w:lineRule="auto" w:before="0" w:after="0"/>
        <w:ind w:left="319" w:right="1078" w:firstLine="0"/>
        <w:jc w:val="both"/>
        <w:rPr>
          <w:sz w:val="22"/>
        </w:rPr>
      </w:pPr>
      <w:r>
        <w:rPr>
          <w:spacing w:val="-2"/>
          <w:sz w:val="22"/>
        </w:rPr>
        <w:t>Some</w:t>
      </w:r>
      <w:r>
        <w:rPr>
          <w:spacing w:val="-7"/>
          <w:sz w:val="22"/>
        </w:rPr>
        <w:t> </w:t>
      </w:r>
      <w:r>
        <w:rPr>
          <w:spacing w:val="-2"/>
          <w:sz w:val="22"/>
        </w:rPr>
        <w:t>external</w:t>
      </w:r>
      <w:r>
        <w:rPr>
          <w:spacing w:val="-7"/>
          <w:sz w:val="22"/>
        </w:rPr>
        <w:t> </w:t>
      </w:r>
      <w:r>
        <w:rPr>
          <w:spacing w:val="-2"/>
          <w:sz w:val="22"/>
        </w:rPr>
        <w:t>measures</w:t>
      </w:r>
      <w:r>
        <w:rPr>
          <w:spacing w:val="-7"/>
          <w:sz w:val="22"/>
        </w:rPr>
        <w:t> </w:t>
      </w:r>
      <w:r>
        <w:rPr>
          <w:spacing w:val="-2"/>
          <w:sz w:val="22"/>
        </w:rPr>
        <w:t>to</w:t>
      </w:r>
      <w:r>
        <w:rPr>
          <w:spacing w:val="-7"/>
          <w:sz w:val="22"/>
        </w:rPr>
        <w:t> </w:t>
      </w:r>
      <w:r>
        <w:rPr>
          <w:spacing w:val="-2"/>
          <w:sz w:val="22"/>
        </w:rPr>
        <w:t>raise</w:t>
      </w:r>
      <w:r>
        <w:rPr>
          <w:spacing w:val="-7"/>
          <w:sz w:val="22"/>
        </w:rPr>
        <w:t> </w:t>
      </w:r>
      <w:r>
        <w:rPr>
          <w:spacing w:val="-2"/>
          <w:sz w:val="22"/>
        </w:rPr>
        <w:t>quality</w:t>
      </w:r>
      <w:r>
        <w:rPr>
          <w:spacing w:val="-7"/>
          <w:sz w:val="22"/>
        </w:rPr>
        <w:t> </w:t>
      </w:r>
      <w:r>
        <w:rPr>
          <w:spacing w:val="-2"/>
          <w:sz w:val="22"/>
        </w:rPr>
        <w:t>of</w:t>
      </w:r>
      <w:r>
        <w:rPr>
          <w:spacing w:val="-7"/>
          <w:sz w:val="22"/>
        </w:rPr>
        <w:t> </w:t>
      </w:r>
      <w:r>
        <w:rPr>
          <w:spacing w:val="-2"/>
          <w:sz w:val="22"/>
        </w:rPr>
        <w:t>science teaching.</w:t>
      </w:r>
    </w:p>
    <w:p>
      <w:pPr>
        <w:pStyle w:val="ListParagraph"/>
        <w:numPr>
          <w:ilvl w:val="2"/>
          <w:numId w:val="37"/>
        </w:numPr>
        <w:tabs>
          <w:tab w:pos="679" w:val="left" w:leader="none"/>
        </w:tabs>
        <w:spacing w:line="266" w:lineRule="auto" w:before="0" w:after="0"/>
        <w:ind w:left="679" w:right="1077" w:hanging="360"/>
        <w:jc w:val="both"/>
        <w:rPr>
          <w:sz w:val="22"/>
        </w:rPr>
      </w:pPr>
      <w:r>
        <w:rPr>
          <w:sz w:val="22"/>
        </w:rPr>
        <w:t>Good teachers can offer common courses in </w:t>
      </w:r>
      <w:r>
        <w:rPr>
          <w:sz w:val="22"/>
        </w:rPr>
        <w:t>an institute cluster. This will enable access to good </w:t>
      </w:r>
      <w:r>
        <w:rPr>
          <w:spacing w:val="-4"/>
          <w:sz w:val="22"/>
        </w:rPr>
        <w:t>teaching</w:t>
      </w:r>
      <w:r>
        <w:rPr>
          <w:spacing w:val="-10"/>
          <w:sz w:val="22"/>
        </w:rPr>
        <w:t> </w:t>
      </w:r>
      <w:r>
        <w:rPr>
          <w:spacing w:val="-4"/>
          <w:sz w:val="22"/>
        </w:rPr>
        <w:t>for</w:t>
      </w:r>
      <w:r>
        <w:rPr>
          <w:spacing w:val="-9"/>
          <w:sz w:val="22"/>
        </w:rPr>
        <w:t> </w:t>
      </w:r>
      <w:r>
        <w:rPr>
          <w:spacing w:val="-4"/>
          <w:sz w:val="22"/>
        </w:rPr>
        <w:t>a</w:t>
      </w:r>
      <w:r>
        <w:rPr>
          <w:spacing w:val="-10"/>
          <w:sz w:val="22"/>
        </w:rPr>
        <w:t> </w:t>
      </w:r>
      <w:r>
        <w:rPr>
          <w:spacing w:val="-4"/>
          <w:sz w:val="22"/>
        </w:rPr>
        <w:t>large</w:t>
      </w:r>
      <w:r>
        <w:rPr>
          <w:spacing w:val="-9"/>
          <w:sz w:val="22"/>
        </w:rPr>
        <w:t> </w:t>
      </w:r>
      <w:r>
        <w:rPr>
          <w:spacing w:val="-4"/>
          <w:sz w:val="22"/>
        </w:rPr>
        <w:t>number</w:t>
      </w:r>
      <w:r>
        <w:rPr>
          <w:spacing w:val="-10"/>
          <w:sz w:val="22"/>
        </w:rPr>
        <w:t> </w:t>
      </w:r>
      <w:r>
        <w:rPr>
          <w:spacing w:val="-4"/>
          <w:sz w:val="22"/>
        </w:rPr>
        <w:t>of</w:t>
      </w:r>
      <w:r>
        <w:rPr>
          <w:spacing w:val="-9"/>
          <w:sz w:val="22"/>
        </w:rPr>
        <w:t> </w:t>
      </w:r>
      <w:r>
        <w:rPr>
          <w:spacing w:val="-4"/>
          <w:sz w:val="22"/>
        </w:rPr>
        <w:t>students</w:t>
      </w:r>
      <w:r>
        <w:rPr>
          <w:spacing w:val="-10"/>
          <w:sz w:val="22"/>
        </w:rPr>
        <w:t> </w:t>
      </w:r>
      <w:r>
        <w:rPr>
          <w:spacing w:val="-4"/>
          <w:sz w:val="22"/>
        </w:rPr>
        <w:t>and</w:t>
      </w:r>
      <w:r>
        <w:rPr>
          <w:spacing w:val="-9"/>
          <w:sz w:val="22"/>
        </w:rPr>
        <w:t> </w:t>
      </w:r>
      <w:r>
        <w:rPr>
          <w:spacing w:val="-4"/>
          <w:sz w:val="22"/>
        </w:rPr>
        <w:t>provide </w:t>
      </w:r>
      <w:r>
        <w:rPr>
          <w:sz w:val="22"/>
        </w:rPr>
        <w:t>them with an option of host of electives.</w:t>
      </w:r>
    </w:p>
    <w:p>
      <w:pPr>
        <w:pStyle w:val="ListParagraph"/>
        <w:numPr>
          <w:ilvl w:val="2"/>
          <w:numId w:val="37"/>
        </w:numPr>
        <w:tabs>
          <w:tab w:pos="679" w:val="left" w:leader="none"/>
        </w:tabs>
        <w:spacing w:line="266" w:lineRule="auto" w:before="0" w:after="0"/>
        <w:ind w:left="679" w:right="1078" w:hanging="360"/>
        <w:jc w:val="both"/>
        <w:rPr>
          <w:sz w:val="22"/>
        </w:rPr>
      </w:pPr>
      <w:r>
        <w:rPr>
          <w:spacing w:val="-2"/>
          <w:sz w:val="22"/>
        </w:rPr>
        <w:t>Bright</w:t>
      </w:r>
      <w:r>
        <w:rPr>
          <w:spacing w:val="-9"/>
          <w:sz w:val="22"/>
        </w:rPr>
        <w:t> </w:t>
      </w:r>
      <w:r>
        <w:rPr>
          <w:spacing w:val="-2"/>
          <w:sz w:val="22"/>
        </w:rPr>
        <w:t>young</w:t>
      </w:r>
      <w:r>
        <w:rPr>
          <w:spacing w:val="-9"/>
          <w:sz w:val="22"/>
        </w:rPr>
        <w:t> </w:t>
      </w:r>
      <w:r>
        <w:rPr>
          <w:spacing w:val="-2"/>
          <w:sz w:val="22"/>
        </w:rPr>
        <w:t>faculty</w:t>
      </w:r>
      <w:r>
        <w:rPr>
          <w:spacing w:val="-9"/>
          <w:sz w:val="22"/>
        </w:rPr>
        <w:t> </w:t>
      </w:r>
      <w:r>
        <w:rPr>
          <w:spacing w:val="-2"/>
          <w:sz w:val="22"/>
        </w:rPr>
        <w:t>should</w:t>
      </w:r>
      <w:r>
        <w:rPr>
          <w:spacing w:val="-9"/>
          <w:sz w:val="22"/>
        </w:rPr>
        <w:t> </w:t>
      </w:r>
      <w:r>
        <w:rPr>
          <w:spacing w:val="-2"/>
          <w:sz w:val="22"/>
        </w:rPr>
        <w:t>be</w:t>
      </w:r>
      <w:r>
        <w:rPr>
          <w:spacing w:val="-9"/>
          <w:sz w:val="22"/>
        </w:rPr>
        <w:t> </w:t>
      </w:r>
      <w:r>
        <w:rPr>
          <w:spacing w:val="-2"/>
          <w:sz w:val="22"/>
        </w:rPr>
        <w:t>attracted</w:t>
      </w:r>
      <w:r>
        <w:rPr>
          <w:spacing w:val="-9"/>
          <w:sz w:val="22"/>
        </w:rPr>
        <w:t> </w:t>
      </w:r>
      <w:r>
        <w:rPr>
          <w:spacing w:val="-2"/>
          <w:sz w:val="22"/>
        </w:rPr>
        <w:t>with</w:t>
      </w:r>
      <w:r>
        <w:rPr>
          <w:spacing w:val="-9"/>
          <w:sz w:val="22"/>
        </w:rPr>
        <w:t> </w:t>
      </w:r>
      <w:r>
        <w:rPr>
          <w:spacing w:val="-2"/>
          <w:sz w:val="22"/>
        </w:rPr>
        <w:t>high </w:t>
      </w:r>
      <w:r>
        <w:rPr>
          <w:spacing w:val="-6"/>
          <w:sz w:val="22"/>
        </w:rPr>
        <w:t>salaries.</w:t>
      </w:r>
      <w:r>
        <w:rPr>
          <w:spacing w:val="-8"/>
          <w:sz w:val="22"/>
        </w:rPr>
        <w:t> </w:t>
      </w:r>
      <w:r>
        <w:rPr>
          <w:spacing w:val="-6"/>
          <w:sz w:val="22"/>
        </w:rPr>
        <w:t>This</w:t>
      </w:r>
      <w:r>
        <w:rPr>
          <w:spacing w:val="-8"/>
          <w:sz w:val="22"/>
        </w:rPr>
        <w:t> </w:t>
      </w:r>
      <w:r>
        <w:rPr>
          <w:spacing w:val="-6"/>
          <w:sz w:val="22"/>
        </w:rPr>
        <w:t>will</w:t>
      </w:r>
      <w:r>
        <w:rPr>
          <w:spacing w:val="-3"/>
          <w:sz w:val="22"/>
        </w:rPr>
        <w:t> </w:t>
      </w:r>
      <w:r>
        <w:rPr>
          <w:spacing w:val="-6"/>
          <w:sz w:val="22"/>
        </w:rPr>
        <w:t>inject much needed fresh blood in </w:t>
      </w:r>
      <w:r>
        <w:rPr>
          <w:sz w:val="22"/>
        </w:rPr>
        <w:t>our universities.</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ListParagraph"/>
        <w:numPr>
          <w:ilvl w:val="3"/>
          <w:numId w:val="37"/>
        </w:numPr>
        <w:tabs>
          <w:tab w:pos="1439" w:val="left" w:leader="none"/>
        </w:tabs>
        <w:spacing w:line="266" w:lineRule="auto" w:before="68" w:after="0"/>
        <w:ind w:left="1439" w:right="0" w:hanging="360"/>
        <w:jc w:val="both"/>
        <w:rPr>
          <w:sz w:val="22"/>
        </w:rPr>
      </w:pPr>
      <w:r>
        <w:rPr>
          <w:sz w:val="22"/>
        </w:rPr>
        <w:t>Researchers in India and alumni in </w:t>
      </w:r>
      <w:r>
        <w:rPr>
          <w:sz w:val="22"/>
        </w:rPr>
        <w:t>research institutes abroad should be encouraged to teach. They</w:t>
      </w:r>
      <w:r>
        <w:rPr>
          <w:spacing w:val="-14"/>
          <w:sz w:val="22"/>
        </w:rPr>
        <w:t> </w:t>
      </w:r>
      <w:r>
        <w:rPr>
          <w:sz w:val="22"/>
        </w:rPr>
        <w:t>are</w:t>
      </w:r>
      <w:r>
        <w:rPr>
          <w:spacing w:val="-14"/>
          <w:sz w:val="22"/>
        </w:rPr>
        <w:t> </w:t>
      </w:r>
      <w:r>
        <w:rPr>
          <w:sz w:val="22"/>
        </w:rPr>
        <w:t>best</w:t>
      </w:r>
      <w:r>
        <w:rPr>
          <w:spacing w:val="-14"/>
          <w:sz w:val="22"/>
        </w:rPr>
        <w:t> </w:t>
      </w:r>
      <w:r>
        <w:rPr>
          <w:sz w:val="22"/>
        </w:rPr>
        <w:t>positioned</w:t>
      </w:r>
      <w:r>
        <w:rPr>
          <w:spacing w:val="-13"/>
          <w:sz w:val="22"/>
        </w:rPr>
        <w:t> </w:t>
      </w:r>
      <w:r>
        <w:rPr>
          <w:sz w:val="22"/>
        </w:rPr>
        <w:t>to</w:t>
      </w:r>
      <w:r>
        <w:rPr>
          <w:spacing w:val="-14"/>
          <w:sz w:val="22"/>
        </w:rPr>
        <w:t> </w:t>
      </w:r>
      <w:r>
        <w:rPr>
          <w:sz w:val="22"/>
        </w:rPr>
        <w:t>convey</w:t>
      </w:r>
      <w:r>
        <w:rPr>
          <w:spacing w:val="-14"/>
          <w:sz w:val="22"/>
        </w:rPr>
        <w:t> </w:t>
      </w:r>
      <w:r>
        <w:rPr>
          <w:sz w:val="22"/>
        </w:rPr>
        <w:t>the</w:t>
      </w:r>
      <w:r>
        <w:rPr>
          <w:spacing w:val="-14"/>
          <w:sz w:val="22"/>
        </w:rPr>
        <w:t> </w:t>
      </w:r>
      <w:r>
        <w:rPr>
          <w:sz w:val="22"/>
        </w:rPr>
        <w:t>excitement of science.</w:t>
      </w:r>
    </w:p>
    <w:p>
      <w:pPr>
        <w:pStyle w:val="ListParagraph"/>
        <w:numPr>
          <w:ilvl w:val="3"/>
          <w:numId w:val="37"/>
        </w:numPr>
        <w:tabs>
          <w:tab w:pos="1439" w:val="left" w:leader="none"/>
        </w:tabs>
        <w:spacing w:line="266" w:lineRule="auto" w:before="0" w:after="0"/>
        <w:ind w:left="1439" w:right="0" w:hanging="360"/>
        <w:jc w:val="both"/>
        <w:rPr>
          <w:sz w:val="22"/>
        </w:rPr>
      </w:pPr>
      <w:r>
        <w:rPr>
          <w:sz w:val="22"/>
        </w:rPr>
        <w:t>Schemes that permit utilisation of the skills </w:t>
      </w:r>
      <w:r>
        <w:rPr>
          <w:sz w:val="22"/>
        </w:rPr>
        <w:t>of talented</w:t>
      </w:r>
      <w:r>
        <w:rPr>
          <w:spacing w:val="-14"/>
          <w:sz w:val="22"/>
        </w:rPr>
        <w:t> </w:t>
      </w:r>
      <w:r>
        <w:rPr>
          <w:sz w:val="22"/>
        </w:rPr>
        <w:t>teachers</w:t>
      </w:r>
      <w:r>
        <w:rPr>
          <w:spacing w:val="-14"/>
          <w:sz w:val="22"/>
        </w:rPr>
        <w:t> </w:t>
      </w:r>
      <w:r>
        <w:rPr>
          <w:sz w:val="22"/>
        </w:rPr>
        <w:t>and</w:t>
      </w:r>
      <w:r>
        <w:rPr>
          <w:spacing w:val="-14"/>
          <w:sz w:val="22"/>
        </w:rPr>
        <w:t> </w:t>
      </w:r>
      <w:r>
        <w:rPr>
          <w:sz w:val="22"/>
        </w:rPr>
        <w:t>scientists,</w:t>
      </w:r>
      <w:r>
        <w:rPr>
          <w:spacing w:val="-13"/>
          <w:sz w:val="22"/>
        </w:rPr>
        <w:t> </w:t>
      </w:r>
      <w:r>
        <w:rPr>
          <w:sz w:val="22"/>
        </w:rPr>
        <w:t>who</w:t>
      </w:r>
      <w:r>
        <w:rPr>
          <w:spacing w:val="-14"/>
          <w:sz w:val="22"/>
        </w:rPr>
        <w:t> </w:t>
      </w:r>
      <w:r>
        <w:rPr>
          <w:sz w:val="22"/>
        </w:rPr>
        <w:t>have</w:t>
      </w:r>
      <w:r>
        <w:rPr>
          <w:spacing w:val="-14"/>
          <w:sz w:val="22"/>
        </w:rPr>
        <w:t> </w:t>
      </w:r>
      <w:r>
        <w:rPr>
          <w:sz w:val="22"/>
        </w:rPr>
        <w:t>reached formal</w:t>
      </w:r>
      <w:r>
        <w:rPr>
          <w:spacing w:val="-16"/>
          <w:sz w:val="22"/>
        </w:rPr>
        <w:t> </w:t>
      </w:r>
      <w:r>
        <w:rPr>
          <w:sz w:val="22"/>
        </w:rPr>
        <w:t>retirement</w:t>
      </w:r>
      <w:r>
        <w:rPr>
          <w:spacing w:val="-14"/>
          <w:sz w:val="22"/>
        </w:rPr>
        <w:t> </w:t>
      </w:r>
      <w:r>
        <w:rPr>
          <w:sz w:val="22"/>
        </w:rPr>
        <w:t>age,</w:t>
      </w:r>
      <w:r>
        <w:rPr>
          <w:spacing w:val="-14"/>
          <w:sz w:val="22"/>
        </w:rPr>
        <w:t> </w:t>
      </w:r>
      <w:r>
        <w:rPr>
          <w:sz w:val="22"/>
        </w:rPr>
        <w:t>will</w:t>
      </w:r>
      <w:r>
        <w:rPr>
          <w:spacing w:val="-13"/>
          <w:sz w:val="22"/>
        </w:rPr>
        <w:t> </w:t>
      </w:r>
      <w:r>
        <w:rPr>
          <w:sz w:val="22"/>
        </w:rPr>
        <w:t>be</w:t>
      </w:r>
      <w:r>
        <w:rPr>
          <w:spacing w:val="-14"/>
          <w:sz w:val="22"/>
        </w:rPr>
        <w:t> </w:t>
      </w:r>
      <w:r>
        <w:rPr>
          <w:sz w:val="22"/>
        </w:rPr>
        <w:t>an</w:t>
      </w:r>
      <w:r>
        <w:rPr>
          <w:spacing w:val="-14"/>
          <w:sz w:val="22"/>
        </w:rPr>
        <w:t> </w:t>
      </w:r>
      <w:r>
        <w:rPr>
          <w:sz w:val="22"/>
        </w:rPr>
        <w:t>important</w:t>
      </w:r>
      <w:r>
        <w:rPr>
          <w:spacing w:val="-14"/>
          <w:sz w:val="22"/>
        </w:rPr>
        <w:t> </w:t>
      </w:r>
      <w:r>
        <w:rPr>
          <w:sz w:val="22"/>
        </w:rPr>
        <w:t>step</w:t>
      </w:r>
      <w:r>
        <w:rPr>
          <w:spacing w:val="-13"/>
          <w:sz w:val="22"/>
        </w:rPr>
        <w:t> </w:t>
      </w:r>
      <w:r>
        <w:rPr>
          <w:sz w:val="22"/>
        </w:rPr>
        <w:t>in maintaining</w:t>
      </w:r>
      <w:r>
        <w:rPr>
          <w:spacing w:val="-12"/>
          <w:sz w:val="22"/>
        </w:rPr>
        <w:t> </w:t>
      </w:r>
      <w:r>
        <w:rPr>
          <w:sz w:val="22"/>
        </w:rPr>
        <w:t>standards</w:t>
      </w:r>
      <w:r>
        <w:rPr>
          <w:spacing w:val="-12"/>
          <w:sz w:val="22"/>
        </w:rPr>
        <w:t> </w:t>
      </w:r>
      <w:r>
        <w:rPr>
          <w:sz w:val="22"/>
        </w:rPr>
        <w:t>in</w:t>
      </w:r>
      <w:r>
        <w:rPr>
          <w:spacing w:val="-12"/>
          <w:sz w:val="22"/>
        </w:rPr>
        <w:t> </w:t>
      </w:r>
      <w:r>
        <w:rPr>
          <w:sz w:val="22"/>
        </w:rPr>
        <w:t>many</w:t>
      </w:r>
      <w:r>
        <w:rPr>
          <w:spacing w:val="-12"/>
          <w:sz w:val="22"/>
        </w:rPr>
        <w:t> </w:t>
      </w:r>
      <w:r>
        <w:rPr>
          <w:sz w:val="22"/>
        </w:rPr>
        <w:t>disciplines,</w:t>
      </w:r>
      <w:r>
        <w:rPr>
          <w:spacing w:val="-12"/>
          <w:sz w:val="22"/>
        </w:rPr>
        <w:t> </w:t>
      </w:r>
      <w:r>
        <w:rPr>
          <w:sz w:val="22"/>
        </w:rPr>
        <w:t>which have</w:t>
      </w:r>
      <w:r>
        <w:rPr>
          <w:spacing w:val="-11"/>
          <w:sz w:val="22"/>
        </w:rPr>
        <w:t> </w:t>
      </w:r>
      <w:r>
        <w:rPr>
          <w:sz w:val="22"/>
        </w:rPr>
        <w:t>been</w:t>
      </w:r>
      <w:r>
        <w:rPr>
          <w:spacing w:val="-11"/>
          <w:sz w:val="22"/>
        </w:rPr>
        <w:t> </w:t>
      </w:r>
      <w:r>
        <w:rPr>
          <w:sz w:val="22"/>
        </w:rPr>
        <w:t>hard</w:t>
      </w:r>
      <w:r>
        <w:rPr>
          <w:spacing w:val="-11"/>
          <w:sz w:val="22"/>
        </w:rPr>
        <w:t> </w:t>
      </w:r>
      <w:r>
        <w:rPr>
          <w:sz w:val="22"/>
        </w:rPr>
        <w:t>hit</w:t>
      </w:r>
      <w:r>
        <w:rPr>
          <w:spacing w:val="-11"/>
          <w:sz w:val="22"/>
        </w:rPr>
        <w:t> </w:t>
      </w:r>
      <w:r>
        <w:rPr>
          <w:sz w:val="22"/>
        </w:rPr>
        <w:t>by</w:t>
      </w:r>
      <w:r>
        <w:rPr>
          <w:spacing w:val="-11"/>
          <w:sz w:val="22"/>
        </w:rPr>
        <w:t> </w:t>
      </w:r>
      <w:r>
        <w:rPr>
          <w:sz w:val="22"/>
        </w:rPr>
        <w:t>declining</w:t>
      </w:r>
      <w:r>
        <w:rPr>
          <w:spacing w:val="-11"/>
          <w:sz w:val="22"/>
        </w:rPr>
        <w:t> </w:t>
      </w:r>
      <w:r>
        <w:rPr>
          <w:sz w:val="22"/>
        </w:rPr>
        <w:t>recruitments</w:t>
      </w:r>
      <w:r>
        <w:rPr>
          <w:spacing w:val="-11"/>
          <w:sz w:val="22"/>
        </w:rPr>
        <w:t> </w:t>
      </w:r>
      <w:r>
        <w:rPr>
          <w:sz w:val="22"/>
        </w:rPr>
        <w:t>over the years.</w:t>
      </w:r>
    </w:p>
    <w:p>
      <w:pPr>
        <w:pStyle w:val="ListParagraph"/>
        <w:numPr>
          <w:ilvl w:val="3"/>
          <w:numId w:val="37"/>
        </w:numPr>
        <w:tabs>
          <w:tab w:pos="1439" w:val="left" w:leader="none"/>
        </w:tabs>
        <w:spacing w:line="266" w:lineRule="auto" w:before="0" w:after="0"/>
        <w:ind w:left="1439" w:right="0" w:hanging="360"/>
        <w:jc w:val="both"/>
        <w:rPr>
          <w:sz w:val="22"/>
        </w:rPr>
      </w:pPr>
      <w:r>
        <w:rPr>
          <w:sz w:val="22"/>
        </w:rPr>
        <w:t>Universities should be given financial support </w:t>
      </w:r>
      <w:r>
        <w:rPr>
          <w:sz w:val="22"/>
        </w:rPr>
        <w:t>to </w:t>
      </w:r>
      <w:r>
        <w:rPr>
          <w:spacing w:val="-4"/>
          <w:sz w:val="22"/>
        </w:rPr>
        <w:t>attract</w:t>
      </w:r>
      <w:r>
        <w:rPr>
          <w:spacing w:val="-10"/>
          <w:sz w:val="22"/>
        </w:rPr>
        <w:t> </w:t>
      </w:r>
      <w:r>
        <w:rPr>
          <w:spacing w:val="-4"/>
          <w:sz w:val="22"/>
        </w:rPr>
        <w:t>good</w:t>
      </w:r>
      <w:r>
        <w:rPr>
          <w:spacing w:val="-10"/>
          <w:sz w:val="22"/>
        </w:rPr>
        <w:t> </w:t>
      </w:r>
      <w:r>
        <w:rPr>
          <w:spacing w:val="-4"/>
          <w:sz w:val="22"/>
        </w:rPr>
        <w:t>teachers</w:t>
      </w:r>
      <w:r>
        <w:rPr>
          <w:spacing w:val="-10"/>
          <w:sz w:val="22"/>
        </w:rPr>
        <w:t> </w:t>
      </w:r>
      <w:r>
        <w:rPr>
          <w:spacing w:val="-4"/>
          <w:sz w:val="22"/>
        </w:rPr>
        <w:t>and</w:t>
      </w:r>
      <w:r>
        <w:rPr>
          <w:spacing w:val="-9"/>
          <w:sz w:val="22"/>
        </w:rPr>
        <w:t> </w:t>
      </w:r>
      <w:r>
        <w:rPr>
          <w:spacing w:val="-4"/>
          <w:sz w:val="22"/>
        </w:rPr>
        <w:t>researchers</w:t>
      </w:r>
      <w:r>
        <w:rPr>
          <w:spacing w:val="-10"/>
          <w:sz w:val="22"/>
        </w:rPr>
        <w:t> </w:t>
      </w:r>
      <w:r>
        <w:rPr>
          <w:spacing w:val="-4"/>
          <w:sz w:val="22"/>
        </w:rPr>
        <w:t>from</w:t>
      </w:r>
      <w:r>
        <w:rPr>
          <w:spacing w:val="-10"/>
          <w:sz w:val="22"/>
        </w:rPr>
        <w:t> </w:t>
      </w:r>
      <w:r>
        <w:rPr>
          <w:spacing w:val="-4"/>
          <w:sz w:val="22"/>
        </w:rPr>
        <w:t>institutes </w:t>
      </w:r>
      <w:r>
        <w:rPr>
          <w:sz w:val="22"/>
        </w:rPr>
        <w:t>in India or abroad (for periods ranging from one </w:t>
      </w:r>
      <w:r>
        <w:rPr>
          <w:w w:val="90"/>
          <w:sz w:val="22"/>
        </w:rPr>
        <w:t>semester to an academic year or so) to help introduce </w:t>
      </w:r>
      <w:r>
        <w:rPr>
          <w:sz w:val="22"/>
        </w:rPr>
        <w:t>teaching in new fields.</w:t>
      </w:r>
    </w:p>
    <w:p>
      <w:pPr>
        <w:pStyle w:val="Heading6"/>
        <w:spacing w:line="182" w:lineRule="auto" w:before="246"/>
        <w:ind w:left="1469" w:hanging="390"/>
      </w:pPr>
      <w:r>
        <w:rPr>
          <w:color w:val="2E614A"/>
          <w:spacing w:val="-10"/>
        </w:rPr>
        <w:t>II. Science education in</w:t>
      </w:r>
      <w:r>
        <w:rPr>
          <w:color w:val="2E614A"/>
          <w:spacing w:val="-7"/>
        </w:rPr>
        <w:t> </w:t>
      </w:r>
      <w:r>
        <w:rPr>
          <w:color w:val="2E614A"/>
          <w:spacing w:val="-10"/>
        </w:rPr>
        <w:t>schools</w:t>
      </w:r>
      <w:r>
        <w:rPr>
          <w:color w:val="2E614A"/>
          <w:spacing w:val="-7"/>
        </w:rPr>
        <w:t> </w:t>
      </w:r>
      <w:r>
        <w:rPr>
          <w:color w:val="2E614A"/>
          <w:spacing w:val="-10"/>
        </w:rPr>
        <w:t>an</w:t>
      </w:r>
      <w:r>
        <w:rPr>
          <w:color w:val="2E614A"/>
          <w:spacing w:val="-10"/>
        </w:rPr>
        <w:t>d</w:t>
      </w:r>
      <w:r>
        <w:rPr>
          <w:color w:val="2E614A"/>
          <w:spacing w:val="-10"/>
        </w:rPr>
        <w:t> </w:t>
      </w:r>
      <w:r>
        <w:rPr>
          <w:color w:val="2E614A"/>
          <w:spacing w:val="-2"/>
        </w:rPr>
        <w:t>colleges</w:t>
      </w:r>
    </w:p>
    <w:p>
      <w:pPr>
        <w:pStyle w:val="Heading7"/>
        <w:spacing w:line="225" w:lineRule="auto" w:before="280"/>
        <w:ind w:left="1080" w:right="51"/>
        <w:jc w:val="both"/>
      </w:pPr>
      <w:r>
        <w:rPr>
          <w:color w:val="2E614A"/>
          <w:w w:val="90"/>
        </w:rPr>
        <w:t>Recommendation 4: Restructure masters </w:t>
      </w:r>
      <w:r>
        <w:rPr>
          <w:color w:val="2E614A"/>
          <w:w w:val="90"/>
        </w:rPr>
        <w:t>and graduate degrees to promote career flexibility </w:t>
      </w:r>
      <w:r>
        <w:rPr>
          <w:color w:val="2E614A"/>
        </w:rPr>
        <w:t>after</w:t>
      </w:r>
      <w:r>
        <w:rPr>
          <w:color w:val="2E614A"/>
          <w:spacing w:val="-16"/>
        </w:rPr>
        <w:t> </w:t>
      </w:r>
      <w:r>
        <w:rPr>
          <w:color w:val="2E614A"/>
        </w:rPr>
        <w:t>graduation</w:t>
      </w:r>
    </w:p>
    <w:p>
      <w:pPr>
        <w:pStyle w:val="BodyText"/>
        <w:rPr>
          <w:b/>
          <w:sz w:val="26"/>
        </w:rPr>
      </w:pPr>
    </w:p>
    <w:p>
      <w:pPr>
        <w:pStyle w:val="BodyText"/>
        <w:spacing w:line="266" w:lineRule="auto" w:before="1"/>
        <w:ind w:left="1080"/>
        <w:jc w:val="both"/>
      </w:pPr>
      <w:r>
        <w:rPr/>
        <w:t>Structural</w:t>
      </w:r>
      <w:r>
        <w:rPr>
          <w:spacing w:val="-14"/>
        </w:rPr>
        <w:t> </w:t>
      </w:r>
      <w:r>
        <w:rPr/>
        <w:t>reforms</w:t>
      </w:r>
      <w:r>
        <w:rPr>
          <w:spacing w:val="-13"/>
        </w:rPr>
        <w:t> </w:t>
      </w:r>
      <w:r>
        <w:rPr/>
        <w:t>in</w:t>
      </w:r>
      <w:r>
        <w:rPr>
          <w:spacing w:val="-14"/>
        </w:rPr>
        <w:t> </w:t>
      </w:r>
      <w:r>
        <w:rPr/>
        <w:t>courses</w:t>
      </w:r>
      <w:r>
        <w:rPr>
          <w:spacing w:val="-13"/>
        </w:rPr>
        <w:t> </w:t>
      </w:r>
      <w:r>
        <w:rPr/>
        <w:t>are</w:t>
      </w:r>
      <w:r>
        <w:rPr>
          <w:spacing w:val="-14"/>
        </w:rPr>
        <w:t> </w:t>
      </w:r>
      <w:r>
        <w:rPr/>
        <w:t>needed</w:t>
      </w:r>
      <w:r>
        <w:rPr>
          <w:spacing w:val="-13"/>
        </w:rPr>
        <w:t> </w:t>
      </w:r>
      <w:r>
        <w:rPr/>
        <w:t>to</w:t>
      </w:r>
      <w:r>
        <w:rPr>
          <w:spacing w:val="-14"/>
        </w:rPr>
        <w:t> </w:t>
      </w:r>
      <w:r>
        <w:rPr/>
        <w:t>streamline available options and present students with multiple </w:t>
      </w:r>
      <w:r>
        <w:rPr>
          <w:spacing w:val="-2"/>
        </w:rPr>
        <w:t>options.</w:t>
      </w:r>
      <w:r>
        <w:rPr>
          <w:spacing w:val="-14"/>
        </w:rPr>
        <w:t> </w:t>
      </w:r>
      <w:r>
        <w:rPr>
          <w:spacing w:val="-2"/>
        </w:rPr>
        <w:t>Preferences</w:t>
      </w:r>
      <w:r>
        <w:rPr>
          <w:spacing w:val="-12"/>
        </w:rPr>
        <w:t> </w:t>
      </w:r>
      <w:r>
        <w:rPr>
          <w:spacing w:val="-2"/>
        </w:rPr>
        <w:t>of</w:t>
      </w:r>
      <w:r>
        <w:rPr>
          <w:spacing w:val="-12"/>
        </w:rPr>
        <w:t> </w:t>
      </w:r>
      <w:r>
        <w:rPr>
          <w:spacing w:val="-2"/>
        </w:rPr>
        <w:t>students</w:t>
      </w:r>
      <w:r>
        <w:rPr>
          <w:spacing w:val="-11"/>
        </w:rPr>
        <w:t> </w:t>
      </w:r>
      <w:r>
        <w:rPr>
          <w:spacing w:val="-2"/>
        </w:rPr>
        <w:t>who</w:t>
      </w:r>
      <w:r>
        <w:rPr>
          <w:spacing w:val="-12"/>
        </w:rPr>
        <w:t> </w:t>
      </w:r>
      <w:r>
        <w:rPr>
          <w:spacing w:val="-2"/>
        </w:rPr>
        <w:t>intend</w:t>
      </w:r>
      <w:r>
        <w:rPr>
          <w:spacing w:val="-12"/>
        </w:rPr>
        <w:t> </w:t>
      </w:r>
      <w:r>
        <w:rPr>
          <w:spacing w:val="-2"/>
        </w:rPr>
        <w:t>to</w:t>
      </w:r>
      <w:r>
        <w:rPr>
          <w:spacing w:val="-12"/>
        </w:rPr>
        <w:t> </w:t>
      </w:r>
      <w:r>
        <w:rPr>
          <w:spacing w:val="-2"/>
        </w:rPr>
        <w:t>pursue</w:t>
      </w:r>
      <w:r>
        <w:rPr>
          <w:spacing w:val="-11"/>
        </w:rPr>
        <w:t> </w:t>
      </w:r>
      <w:r>
        <w:rPr>
          <w:spacing w:val="-2"/>
        </w:rPr>
        <w:t>a </w:t>
      </w:r>
      <w:r>
        <w:rPr>
          <w:spacing w:val="-4"/>
        </w:rPr>
        <w:t>career</w:t>
      </w:r>
      <w:r>
        <w:rPr>
          <w:spacing w:val="-10"/>
        </w:rPr>
        <w:t> </w:t>
      </w:r>
      <w:r>
        <w:rPr>
          <w:spacing w:val="-4"/>
        </w:rPr>
        <w:t>in</w:t>
      </w:r>
      <w:r>
        <w:rPr>
          <w:spacing w:val="-10"/>
        </w:rPr>
        <w:t> </w:t>
      </w:r>
      <w:r>
        <w:rPr>
          <w:spacing w:val="-4"/>
        </w:rPr>
        <w:t>research</w:t>
      </w:r>
      <w:r>
        <w:rPr>
          <w:spacing w:val="-10"/>
        </w:rPr>
        <w:t> </w:t>
      </w:r>
      <w:r>
        <w:rPr>
          <w:spacing w:val="-4"/>
        </w:rPr>
        <w:t>will</w:t>
      </w:r>
      <w:r>
        <w:rPr>
          <w:spacing w:val="-9"/>
        </w:rPr>
        <w:t> </w:t>
      </w:r>
      <w:r>
        <w:rPr>
          <w:spacing w:val="-4"/>
        </w:rPr>
        <w:t>be</w:t>
      </w:r>
      <w:r>
        <w:rPr>
          <w:spacing w:val="-10"/>
        </w:rPr>
        <w:t> </w:t>
      </w:r>
      <w:r>
        <w:rPr>
          <w:spacing w:val="-4"/>
        </w:rPr>
        <w:t>different</w:t>
      </w:r>
      <w:r>
        <w:rPr>
          <w:spacing w:val="-10"/>
        </w:rPr>
        <w:t> </w:t>
      </w:r>
      <w:r>
        <w:rPr>
          <w:spacing w:val="-4"/>
        </w:rPr>
        <w:t>from</w:t>
      </w:r>
      <w:r>
        <w:rPr>
          <w:spacing w:val="-10"/>
        </w:rPr>
        <w:t> </w:t>
      </w:r>
      <w:r>
        <w:rPr>
          <w:spacing w:val="-4"/>
        </w:rPr>
        <w:t>those</w:t>
      </w:r>
      <w:r>
        <w:rPr>
          <w:spacing w:val="-9"/>
        </w:rPr>
        <w:t> </w:t>
      </w:r>
      <w:r>
        <w:rPr>
          <w:spacing w:val="-4"/>
        </w:rPr>
        <w:t>who</w:t>
      </w:r>
      <w:r>
        <w:rPr>
          <w:spacing w:val="-10"/>
        </w:rPr>
        <w:t> </w:t>
      </w:r>
      <w:r>
        <w:rPr>
          <w:spacing w:val="-4"/>
        </w:rPr>
        <w:t>want to</w:t>
      </w:r>
      <w:r>
        <w:rPr>
          <w:spacing w:val="-10"/>
        </w:rPr>
        <w:t> </w:t>
      </w:r>
      <w:r>
        <w:rPr>
          <w:spacing w:val="-4"/>
        </w:rPr>
        <w:t>work</w:t>
      </w:r>
      <w:r>
        <w:rPr>
          <w:spacing w:val="-10"/>
        </w:rPr>
        <w:t> </w:t>
      </w:r>
      <w:r>
        <w:rPr>
          <w:spacing w:val="-4"/>
        </w:rPr>
        <w:t>in</w:t>
      </w:r>
      <w:r>
        <w:rPr>
          <w:spacing w:val="-10"/>
        </w:rPr>
        <w:t> </w:t>
      </w:r>
      <w:r>
        <w:rPr>
          <w:spacing w:val="-4"/>
        </w:rPr>
        <w:t>industry</w:t>
      </w:r>
      <w:r>
        <w:rPr>
          <w:spacing w:val="-9"/>
        </w:rPr>
        <w:t> </w:t>
      </w:r>
      <w:r>
        <w:rPr>
          <w:spacing w:val="-4"/>
        </w:rPr>
        <w:t>immediately</w:t>
      </w:r>
      <w:r>
        <w:rPr>
          <w:spacing w:val="-10"/>
        </w:rPr>
        <w:t> </w:t>
      </w:r>
      <w:r>
        <w:rPr>
          <w:spacing w:val="-4"/>
        </w:rPr>
        <w:t>after</w:t>
      </w:r>
      <w:r>
        <w:rPr>
          <w:spacing w:val="-10"/>
        </w:rPr>
        <w:t> </w:t>
      </w:r>
      <w:r>
        <w:rPr>
          <w:spacing w:val="-4"/>
        </w:rPr>
        <w:t>graduation.</w:t>
      </w:r>
      <w:r>
        <w:rPr>
          <w:spacing w:val="-10"/>
        </w:rPr>
        <w:t> </w:t>
      </w:r>
      <w:r>
        <w:rPr>
          <w:spacing w:val="-4"/>
        </w:rPr>
        <w:t>Many students</w:t>
      </w:r>
      <w:r>
        <w:rPr>
          <w:spacing w:val="-10"/>
        </w:rPr>
        <w:t> </w:t>
      </w:r>
      <w:r>
        <w:rPr>
          <w:spacing w:val="-4"/>
        </w:rPr>
        <w:t>may</w:t>
      </w:r>
      <w:r>
        <w:rPr>
          <w:spacing w:val="-10"/>
        </w:rPr>
        <w:t> </w:t>
      </w:r>
      <w:r>
        <w:rPr>
          <w:spacing w:val="-4"/>
        </w:rPr>
        <w:t>want</w:t>
      </w:r>
      <w:r>
        <w:rPr>
          <w:spacing w:val="-10"/>
        </w:rPr>
        <w:t> </w:t>
      </w:r>
      <w:r>
        <w:rPr>
          <w:spacing w:val="-4"/>
        </w:rPr>
        <w:t>to</w:t>
      </w:r>
      <w:r>
        <w:rPr>
          <w:spacing w:val="-9"/>
        </w:rPr>
        <w:t> </w:t>
      </w:r>
      <w:r>
        <w:rPr>
          <w:spacing w:val="-4"/>
        </w:rPr>
        <w:t>pursue</w:t>
      </w:r>
      <w:r>
        <w:rPr>
          <w:spacing w:val="-10"/>
        </w:rPr>
        <w:t> </w:t>
      </w:r>
      <w:r>
        <w:rPr>
          <w:spacing w:val="-4"/>
        </w:rPr>
        <w:t>a</w:t>
      </w:r>
      <w:r>
        <w:rPr>
          <w:spacing w:val="-10"/>
        </w:rPr>
        <w:t> </w:t>
      </w:r>
      <w:r>
        <w:rPr>
          <w:spacing w:val="-4"/>
        </w:rPr>
        <w:t>more</w:t>
      </w:r>
      <w:r>
        <w:rPr>
          <w:spacing w:val="-10"/>
        </w:rPr>
        <w:t> </w:t>
      </w:r>
      <w:r>
        <w:rPr>
          <w:spacing w:val="-4"/>
        </w:rPr>
        <w:t>generalised</w:t>
      </w:r>
      <w:r>
        <w:rPr>
          <w:spacing w:val="-9"/>
        </w:rPr>
        <w:t> </w:t>
      </w:r>
      <w:r>
        <w:rPr>
          <w:spacing w:val="-4"/>
        </w:rPr>
        <w:t>science </w:t>
      </w:r>
      <w:r>
        <w:rPr/>
        <w:t>course while others may prefer a highly specialised course focused on a particular stream. Issues: The </w:t>
      </w:r>
      <w:r>
        <w:rPr>
          <w:spacing w:val="-6"/>
        </w:rPr>
        <w:t>present</w:t>
      </w:r>
      <w:r>
        <w:rPr>
          <w:spacing w:val="-8"/>
        </w:rPr>
        <w:t> </w:t>
      </w:r>
      <w:r>
        <w:rPr>
          <w:spacing w:val="-6"/>
        </w:rPr>
        <w:t>courses</w:t>
      </w:r>
      <w:r>
        <w:rPr>
          <w:spacing w:val="-8"/>
        </w:rPr>
        <w:t> </w:t>
      </w:r>
      <w:r>
        <w:rPr>
          <w:spacing w:val="-6"/>
        </w:rPr>
        <w:t>of</w:t>
      </w:r>
      <w:r>
        <w:rPr>
          <w:spacing w:val="-8"/>
        </w:rPr>
        <w:t> </w:t>
      </w:r>
      <w:r>
        <w:rPr>
          <w:spacing w:val="-6"/>
        </w:rPr>
        <w:t>study</w:t>
      </w:r>
      <w:r>
        <w:rPr>
          <w:spacing w:val="-7"/>
        </w:rPr>
        <w:t> </w:t>
      </w:r>
      <w:r>
        <w:rPr>
          <w:spacing w:val="-6"/>
        </w:rPr>
        <w:t>available</w:t>
      </w:r>
      <w:r>
        <w:rPr>
          <w:spacing w:val="-8"/>
        </w:rPr>
        <w:t> </w:t>
      </w:r>
      <w:r>
        <w:rPr>
          <w:spacing w:val="-6"/>
        </w:rPr>
        <w:t>at</w:t>
      </w:r>
      <w:r>
        <w:rPr>
          <w:spacing w:val="-8"/>
        </w:rPr>
        <w:t> </w:t>
      </w:r>
      <w:r>
        <w:rPr>
          <w:spacing w:val="-6"/>
        </w:rPr>
        <w:t>various</w:t>
      </w:r>
      <w:r>
        <w:rPr>
          <w:spacing w:val="-8"/>
        </w:rPr>
        <w:t> </w:t>
      </w:r>
      <w:r>
        <w:rPr>
          <w:spacing w:val="-6"/>
        </w:rPr>
        <w:t>colleges</w:t>
      </w:r>
      <w:r>
        <w:rPr>
          <w:spacing w:val="-7"/>
        </w:rPr>
        <w:t> </w:t>
      </w:r>
      <w:r>
        <w:rPr>
          <w:spacing w:val="-6"/>
        </w:rPr>
        <w:t>and </w:t>
      </w:r>
      <w:r>
        <w:rPr>
          <w:spacing w:val="-4"/>
        </w:rPr>
        <w:t>universities</w:t>
      </w:r>
      <w:r>
        <w:rPr>
          <w:spacing w:val="-10"/>
        </w:rPr>
        <w:t> </w:t>
      </w:r>
      <w:r>
        <w:rPr>
          <w:spacing w:val="-4"/>
        </w:rPr>
        <w:t>involve</w:t>
      </w:r>
      <w:r>
        <w:rPr>
          <w:spacing w:val="-10"/>
        </w:rPr>
        <w:t> </w:t>
      </w:r>
      <w:r>
        <w:rPr>
          <w:spacing w:val="-4"/>
        </w:rPr>
        <w:t>repetition</w:t>
      </w:r>
      <w:r>
        <w:rPr>
          <w:spacing w:val="-9"/>
        </w:rPr>
        <w:t> </w:t>
      </w:r>
      <w:r>
        <w:rPr>
          <w:spacing w:val="-4"/>
        </w:rPr>
        <w:t>at</w:t>
      </w:r>
      <w:r>
        <w:rPr>
          <w:spacing w:val="-8"/>
        </w:rPr>
        <w:t> </w:t>
      </w:r>
      <w:r>
        <w:rPr>
          <w:spacing w:val="-4"/>
        </w:rPr>
        <w:t>each</w:t>
      </w:r>
      <w:r>
        <w:rPr>
          <w:spacing w:val="-8"/>
        </w:rPr>
        <w:t> </w:t>
      </w:r>
      <w:r>
        <w:rPr>
          <w:spacing w:val="-4"/>
        </w:rPr>
        <w:t>level.</w:t>
      </w:r>
      <w:r>
        <w:rPr>
          <w:spacing w:val="-10"/>
        </w:rPr>
        <w:t> </w:t>
      </w:r>
      <w:r>
        <w:rPr>
          <w:spacing w:val="-4"/>
        </w:rPr>
        <w:t>This</w:t>
      </w:r>
      <w:r>
        <w:rPr>
          <w:spacing w:val="-8"/>
        </w:rPr>
        <w:t> </w:t>
      </w:r>
      <w:r>
        <w:rPr>
          <w:spacing w:val="-4"/>
        </w:rPr>
        <w:t>affects students’</w:t>
      </w:r>
      <w:r>
        <w:rPr>
          <w:spacing w:val="-7"/>
        </w:rPr>
        <w:t> </w:t>
      </w:r>
      <w:r>
        <w:rPr>
          <w:spacing w:val="-4"/>
        </w:rPr>
        <w:t>interest adversely.</w:t>
      </w:r>
      <w:r>
        <w:rPr>
          <w:spacing w:val="-10"/>
        </w:rPr>
        <w:t> </w:t>
      </w:r>
      <w:r>
        <w:rPr>
          <w:spacing w:val="-4"/>
        </w:rPr>
        <w:t>There is a need to integrate </w:t>
      </w:r>
      <w:r>
        <w:rPr>
          <w:spacing w:val="-6"/>
        </w:rPr>
        <w:t>course curriculum from senior secondary level to master level</w:t>
      </w:r>
      <w:r>
        <w:rPr>
          <w:spacing w:val="-8"/>
        </w:rPr>
        <w:t> </w:t>
      </w:r>
      <w:r>
        <w:rPr>
          <w:spacing w:val="-6"/>
        </w:rPr>
        <w:t>in</w:t>
      </w:r>
      <w:r>
        <w:rPr>
          <w:spacing w:val="-8"/>
        </w:rPr>
        <w:t> </w:t>
      </w:r>
      <w:r>
        <w:rPr>
          <w:spacing w:val="-6"/>
        </w:rPr>
        <w:t>sciences.</w:t>
      </w:r>
      <w:r>
        <w:rPr>
          <w:spacing w:val="-8"/>
        </w:rPr>
        <w:t> </w:t>
      </w:r>
      <w:r>
        <w:rPr>
          <w:spacing w:val="-6"/>
        </w:rPr>
        <w:t>Most</w:t>
      </w:r>
      <w:r>
        <w:rPr>
          <w:spacing w:val="-7"/>
        </w:rPr>
        <w:t> </w:t>
      </w:r>
      <w:r>
        <w:rPr>
          <w:spacing w:val="-6"/>
        </w:rPr>
        <w:t>of</w:t>
      </w:r>
      <w:r>
        <w:rPr>
          <w:spacing w:val="-8"/>
        </w:rPr>
        <w:t> </w:t>
      </w:r>
      <w:r>
        <w:rPr>
          <w:spacing w:val="-6"/>
        </w:rPr>
        <w:t>the</w:t>
      </w:r>
      <w:r>
        <w:rPr>
          <w:spacing w:val="-8"/>
        </w:rPr>
        <w:t> </w:t>
      </w:r>
      <w:r>
        <w:rPr>
          <w:spacing w:val="-6"/>
        </w:rPr>
        <w:t>B.Sc</w:t>
      </w:r>
      <w:r>
        <w:rPr>
          <w:spacing w:val="-8"/>
        </w:rPr>
        <w:t> </w:t>
      </w:r>
      <w:r>
        <w:rPr>
          <w:spacing w:val="-6"/>
        </w:rPr>
        <w:t>courses</w:t>
      </w:r>
      <w:r>
        <w:rPr>
          <w:spacing w:val="-7"/>
        </w:rPr>
        <w:t> </w:t>
      </w:r>
      <w:r>
        <w:rPr>
          <w:spacing w:val="-6"/>
        </w:rPr>
        <w:t>in</w:t>
      </w:r>
      <w:r>
        <w:rPr>
          <w:spacing w:val="-8"/>
        </w:rPr>
        <w:t> </w:t>
      </w:r>
      <w:r>
        <w:rPr>
          <w:spacing w:val="-6"/>
        </w:rPr>
        <w:t>the</w:t>
      </w:r>
      <w:r>
        <w:rPr>
          <w:spacing w:val="-8"/>
        </w:rPr>
        <w:t> </w:t>
      </w:r>
      <w:r>
        <w:rPr>
          <w:spacing w:val="-6"/>
        </w:rPr>
        <w:t>country </w:t>
      </w:r>
      <w:r>
        <w:rPr/>
        <w:t>fail to provide a wider conceptual base in diverse disciplines of Science and thus severely limit “inter- disciplinary”</w:t>
      </w:r>
      <w:r>
        <w:rPr>
          <w:spacing w:val="-6"/>
        </w:rPr>
        <w:t> </w:t>
      </w:r>
      <w:r>
        <w:rPr/>
        <w:t>capability</w:t>
      </w:r>
      <w:r>
        <w:rPr>
          <w:spacing w:val="-6"/>
        </w:rPr>
        <w:t> </w:t>
      </w:r>
      <w:r>
        <w:rPr/>
        <w:t>of</w:t>
      </w:r>
      <w:r>
        <w:rPr>
          <w:spacing w:val="-6"/>
        </w:rPr>
        <w:t> </w:t>
      </w:r>
      <w:r>
        <w:rPr/>
        <w:t>the</w:t>
      </w:r>
      <w:r>
        <w:rPr>
          <w:spacing w:val="-6"/>
        </w:rPr>
        <w:t> </w:t>
      </w:r>
      <w:r>
        <w:rPr/>
        <w:t>graduating</w:t>
      </w:r>
      <w:r>
        <w:rPr>
          <w:spacing w:val="-6"/>
        </w:rPr>
        <w:t> </w:t>
      </w:r>
      <w:r>
        <w:rPr/>
        <w:t>students.</w:t>
      </w:r>
      <w:r>
        <w:rPr>
          <w:spacing w:val="-6"/>
        </w:rPr>
        <w:t> </w:t>
      </w:r>
      <w:r>
        <w:rPr/>
        <w:t>In </w:t>
      </w:r>
      <w:r>
        <w:rPr>
          <w:spacing w:val="-4"/>
        </w:rPr>
        <w:t>the</w:t>
      </w:r>
      <w:r>
        <w:rPr>
          <w:spacing w:val="-6"/>
        </w:rPr>
        <w:t> </w:t>
      </w:r>
      <w:r>
        <w:rPr>
          <w:spacing w:val="-4"/>
        </w:rPr>
        <w:t>absence</w:t>
      </w:r>
      <w:r>
        <w:rPr>
          <w:spacing w:val="-6"/>
        </w:rPr>
        <w:t> </w:t>
      </w:r>
      <w:r>
        <w:rPr>
          <w:spacing w:val="-4"/>
        </w:rPr>
        <w:t>of</w:t>
      </w:r>
      <w:r>
        <w:rPr>
          <w:spacing w:val="-6"/>
        </w:rPr>
        <w:t> </w:t>
      </w:r>
      <w:r>
        <w:rPr>
          <w:spacing w:val="-4"/>
        </w:rPr>
        <w:t>extensive</w:t>
      </w:r>
      <w:r>
        <w:rPr>
          <w:spacing w:val="-6"/>
        </w:rPr>
        <w:t> </w:t>
      </w:r>
      <w:r>
        <w:rPr>
          <w:spacing w:val="-4"/>
        </w:rPr>
        <w:t>laboratory</w:t>
      </w:r>
      <w:r>
        <w:rPr>
          <w:spacing w:val="-6"/>
        </w:rPr>
        <w:t> </w:t>
      </w:r>
      <w:r>
        <w:rPr>
          <w:spacing w:val="-4"/>
        </w:rPr>
        <w:t>work,</w:t>
      </w:r>
      <w:r>
        <w:rPr>
          <w:spacing w:val="-6"/>
        </w:rPr>
        <w:t> </w:t>
      </w:r>
      <w:r>
        <w:rPr>
          <w:spacing w:val="-4"/>
        </w:rPr>
        <w:t>the</w:t>
      </w:r>
      <w:r>
        <w:rPr>
          <w:spacing w:val="-6"/>
        </w:rPr>
        <w:t> </w:t>
      </w:r>
      <w:r>
        <w:rPr>
          <w:spacing w:val="-4"/>
        </w:rPr>
        <w:t>graduates </w:t>
      </w:r>
      <w:r>
        <w:rPr/>
        <w:t>do not know how to actually do an experiment and without</w:t>
      </w:r>
      <w:r>
        <w:rPr>
          <w:spacing w:val="-14"/>
        </w:rPr>
        <w:t> </w:t>
      </w:r>
      <w:r>
        <w:rPr/>
        <w:t>any</w:t>
      </w:r>
      <w:r>
        <w:rPr>
          <w:spacing w:val="-14"/>
        </w:rPr>
        <w:t> </w:t>
      </w:r>
      <w:r>
        <w:rPr/>
        <w:t>self</w:t>
      </w:r>
      <w:r>
        <w:rPr>
          <w:spacing w:val="-14"/>
        </w:rPr>
        <w:t> </w:t>
      </w:r>
      <w:r>
        <w:rPr/>
        <w:t>undertaken</w:t>
      </w:r>
      <w:r>
        <w:rPr>
          <w:spacing w:val="-13"/>
        </w:rPr>
        <w:t> </w:t>
      </w:r>
      <w:r>
        <w:rPr/>
        <w:t>exploratory</w:t>
      </w:r>
      <w:r>
        <w:rPr>
          <w:spacing w:val="-14"/>
        </w:rPr>
        <w:t> </w:t>
      </w:r>
      <w:r>
        <w:rPr/>
        <w:t>experimental work,</w:t>
      </w:r>
      <w:r>
        <w:rPr>
          <w:spacing w:val="-9"/>
        </w:rPr>
        <w:t> </w:t>
      </w:r>
      <w:r>
        <w:rPr/>
        <w:t>they</w:t>
      </w:r>
      <w:r>
        <w:rPr>
          <w:spacing w:val="-9"/>
        </w:rPr>
        <w:t> </w:t>
      </w:r>
      <w:r>
        <w:rPr/>
        <w:t>also</w:t>
      </w:r>
      <w:r>
        <w:rPr>
          <w:spacing w:val="-9"/>
        </w:rPr>
        <w:t> </w:t>
      </w:r>
      <w:r>
        <w:rPr/>
        <w:t>fail</w:t>
      </w:r>
      <w:r>
        <w:rPr>
          <w:spacing w:val="-9"/>
        </w:rPr>
        <w:t> </w:t>
      </w:r>
      <w:r>
        <w:rPr/>
        <w:t>to</w:t>
      </w:r>
      <w:r>
        <w:rPr>
          <w:spacing w:val="-9"/>
        </w:rPr>
        <w:t> </w:t>
      </w:r>
      <w:r>
        <w:rPr/>
        <w:t>learn</w:t>
      </w:r>
      <w:r>
        <w:rPr>
          <w:spacing w:val="-9"/>
        </w:rPr>
        <w:t> </w:t>
      </w:r>
      <w:r>
        <w:rPr/>
        <w:t>how</w:t>
      </w:r>
      <w:r>
        <w:rPr>
          <w:spacing w:val="-9"/>
        </w:rPr>
        <w:t> </w:t>
      </w:r>
      <w:r>
        <w:rPr/>
        <w:t>to</w:t>
      </w:r>
      <w:r>
        <w:rPr>
          <w:spacing w:val="-9"/>
        </w:rPr>
        <w:t> </w:t>
      </w:r>
      <w:r>
        <w:rPr/>
        <w:t>ask</w:t>
      </w:r>
      <w:r>
        <w:rPr>
          <w:spacing w:val="-9"/>
        </w:rPr>
        <w:t> </w:t>
      </w:r>
      <w:r>
        <w:rPr/>
        <w:t>new</w:t>
      </w:r>
      <w:r>
        <w:rPr>
          <w:spacing w:val="-9"/>
        </w:rPr>
        <w:t> </w:t>
      </w:r>
      <w:r>
        <w:rPr/>
        <w:t>questions for research.</w:t>
      </w:r>
    </w:p>
    <w:p>
      <w:pPr>
        <w:pStyle w:val="BodyText"/>
        <w:spacing w:before="9"/>
      </w:pPr>
    </w:p>
    <w:p>
      <w:pPr>
        <w:pStyle w:val="ListParagraph"/>
        <w:numPr>
          <w:ilvl w:val="1"/>
          <w:numId w:val="38"/>
        </w:numPr>
        <w:tabs>
          <w:tab w:pos="1459" w:val="left" w:leader="none"/>
        </w:tabs>
        <w:spacing w:line="266" w:lineRule="auto" w:before="1" w:after="0"/>
        <w:ind w:left="1079" w:right="0" w:firstLine="0"/>
        <w:jc w:val="both"/>
        <w:rPr>
          <w:sz w:val="22"/>
        </w:rPr>
      </w:pPr>
      <w:r>
        <w:rPr>
          <w:i/>
          <w:sz w:val="22"/>
        </w:rPr>
        <w:t>To</w:t>
      </w:r>
      <w:r>
        <w:rPr>
          <w:i/>
          <w:spacing w:val="-12"/>
          <w:sz w:val="22"/>
        </w:rPr>
        <w:t> </w:t>
      </w:r>
      <w:r>
        <w:rPr>
          <w:i/>
          <w:sz w:val="22"/>
        </w:rPr>
        <w:t>bring</w:t>
      </w:r>
      <w:r>
        <w:rPr>
          <w:i/>
          <w:spacing w:val="-12"/>
          <w:sz w:val="22"/>
        </w:rPr>
        <w:t> </w:t>
      </w:r>
      <w:r>
        <w:rPr>
          <w:i/>
          <w:sz w:val="22"/>
        </w:rPr>
        <w:t>a</w:t>
      </w:r>
      <w:r>
        <w:rPr>
          <w:i/>
          <w:spacing w:val="-12"/>
          <w:sz w:val="22"/>
        </w:rPr>
        <w:t> </w:t>
      </w:r>
      <w:r>
        <w:rPr>
          <w:i/>
          <w:sz w:val="22"/>
        </w:rPr>
        <w:t>graduate</w:t>
      </w:r>
      <w:r>
        <w:rPr>
          <w:i/>
          <w:spacing w:val="-12"/>
          <w:sz w:val="22"/>
        </w:rPr>
        <w:t> </w:t>
      </w:r>
      <w:r>
        <w:rPr>
          <w:i/>
          <w:sz w:val="22"/>
        </w:rPr>
        <w:t>degree</w:t>
      </w:r>
      <w:r>
        <w:rPr>
          <w:i/>
          <w:spacing w:val="-12"/>
          <w:sz w:val="22"/>
        </w:rPr>
        <w:t> </w:t>
      </w:r>
      <w:r>
        <w:rPr>
          <w:i/>
          <w:sz w:val="22"/>
        </w:rPr>
        <w:t>in</w:t>
      </w:r>
      <w:r>
        <w:rPr>
          <w:i/>
          <w:spacing w:val="-12"/>
          <w:sz w:val="22"/>
        </w:rPr>
        <w:t> </w:t>
      </w:r>
      <w:r>
        <w:rPr>
          <w:i/>
          <w:sz w:val="22"/>
        </w:rPr>
        <w:t>science</w:t>
      </w:r>
      <w:r>
        <w:rPr>
          <w:i/>
          <w:spacing w:val="-12"/>
          <w:sz w:val="22"/>
        </w:rPr>
        <w:t> </w:t>
      </w:r>
      <w:r>
        <w:rPr>
          <w:i/>
          <w:sz w:val="22"/>
        </w:rPr>
        <w:t>at</w:t>
      </w:r>
      <w:r>
        <w:rPr>
          <w:i/>
          <w:spacing w:val="-12"/>
          <w:sz w:val="22"/>
        </w:rPr>
        <w:t> </w:t>
      </w:r>
      <w:r>
        <w:rPr>
          <w:i/>
          <w:sz w:val="22"/>
        </w:rPr>
        <w:t>par</w:t>
      </w:r>
      <w:r>
        <w:rPr>
          <w:i/>
          <w:spacing w:val="-12"/>
          <w:sz w:val="22"/>
        </w:rPr>
        <w:t> </w:t>
      </w:r>
      <w:r>
        <w:rPr>
          <w:i/>
          <w:sz w:val="22"/>
        </w:rPr>
        <w:t>with </w:t>
      </w:r>
      <w:r>
        <w:rPr>
          <w:i/>
          <w:spacing w:val="-6"/>
          <w:sz w:val="22"/>
        </w:rPr>
        <w:t>other</w:t>
      </w:r>
      <w:r>
        <w:rPr>
          <w:i/>
          <w:spacing w:val="-8"/>
          <w:sz w:val="22"/>
        </w:rPr>
        <w:t> </w:t>
      </w:r>
      <w:r>
        <w:rPr>
          <w:i/>
          <w:spacing w:val="-6"/>
          <w:sz w:val="22"/>
        </w:rPr>
        <w:t>streams,</w:t>
      </w:r>
      <w:r>
        <w:rPr>
          <w:i/>
          <w:spacing w:val="-8"/>
          <w:sz w:val="22"/>
        </w:rPr>
        <w:t> </w:t>
      </w:r>
      <w:r>
        <w:rPr>
          <w:i/>
          <w:spacing w:val="-6"/>
          <w:sz w:val="22"/>
        </w:rPr>
        <w:t>a</w:t>
      </w:r>
      <w:r>
        <w:rPr>
          <w:i/>
          <w:spacing w:val="-8"/>
          <w:sz w:val="22"/>
        </w:rPr>
        <w:t> </w:t>
      </w:r>
      <w:r>
        <w:rPr>
          <w:i/>
          <w:spacing w:val="-6"/>
          <w:sz w:val="22"/>
        </w:rPr>
        <w:t>four</w:t>
      </w:r>
      <w:r>
        <w:rPr>
          <w:i/>
          <w:spacing w:val="-7"/>
          <w:sz w:val="22"/>
        </w:rPr>
        <w:t> </w:t>
      </w:r>
      <w:r>
        <w:rPr>
          <w:i/>
          <w:spacing w:val="-6"/>
          <w:sz w:val="22"/>
        </w:rPr>
        <w:t>year</w:t>
      </w:r>
      <w:r>
        <w:rPr>
          <w:i/>
          <w:spacing w:val="-8"/>
          <w:sz w:val="22"/>
        </w:rPr>
        <w:t> </w:t>
      </w:r>
      <w:r>
        <w:rPr>
          <w:i/>
          <w:spacing w:val="-6"/>
          <w:sz w:val="22"/>
        </w:rPr>
        <w:t>Bachelors</w:t>
      </w:r>
      <w:r>
        <w:rPr>
          <w:i/>
          <w:spacing w:val="-8"/>
          <w:sz w:val="22"/>
        </w:rPr>
        <w:t> </w:t>
      </w:r>
      <w:r>
        <w:rPr>
          <w:i/>
          <w:spacing w:val="-6"/>
          <w:sz w:val="22"/>
        </w:rPr>
        <w:t>in</w:t>
      </w:r>
      <w:r>
        <w:rPr>
          <w:i/>
          <w:spacing w:val="-8"/>
          <w:sz w:val="22"/>
        </w:rPr>
        <w:t> </w:t>
      </w:r>
      <w:r>
        <w:rPr>
          <w:i/>
          <w:spacing w:val="-6"/>
          <w:sz w:val="22"/>
        </w:rPr>
        <w:t>Science</w:t>
      </w:r>
      <w:r>
        <w:rPr>
          <w:i/>
          <w:spacing w:val="-7"/>
          <w:sz w:val="22"/>
        </w:rPr>
        <w:t> </w:t>
      </w:r>
      <w:r>
        <w:rPr>
          <w:i/>
          <w:spacing w:val="-6"/>
          <w:sz w:val="22"/>
        </w:rPr>
        <w:t>course</w:t>
      </w:r>
      <w:r>
        <w:rPr>
          <w:i/>
          <w:spacing w:val="-8"/>
          <w:sz w:val="22"/>
        </w:rPr>
        <w:t> </w:t>
      </w:r>
      <w:r>
        <w:rPr>
          <w:i/>
          <w:spacing w:val="-6"/>
          <w:sz w:val="22"/>
        </w:rPr>
        <w:t>is </w:t>
      </w:r>
      <w:r>
        <w:rPr>
          <w:i/>
          <w:sz w:val="22"/>
        </w:rPr>
        <w:t>proposed.</w:t>
      </w:r>
      <w:r>
        <w:rPr>
          <w:i/>
          <w:spacing w:val="-14"/>
          <w:sz w:val="22"/>
        </w:rPr>
        <w:t> </w:t>
      </w:r>
      <w:r>
        <w:rPr>
          <w:sz w:val="22"/>
        </w:rPr>
        <w:t>This</w:t>
      </w:r>
      <w:r>
        <w:rPr>
          <w:spacing w:val="-14"/>
          <w:sz w:val="22"/>
        </w:rPr>
        <w:t> </w:t>
      </w:r>
      <w:r>
        <w:rPr>
          <w:sz w:val="22"/>
        </w:rPr>
        <w:t>degree</w:t>
      </w:r>
      <w:r>
        <w:rPr>
          <w:spacing w:val="-14"/>
          <w:sz w:val="22"/>
        </w:rPr>
        <w:t> </w:t>
      </w:r>
      <w:r>
        <w:rPr>
          <w:sz w:val="22"/>
        </w:rPr>
        <w:t>course</w:t>
      </w:r>
      <w:r>
        <w:rPr>
          <w:spacing w:val="-13"/>
          <w:sz w:val="22"/>
        </w:rPr>
        <w:t> </w:t>
      </w:r>
      <w:r>
        <w:rPr>
          <w:sz w:val="22"/>
        </w:rPr>
        <w:t>should</w:t>
      </w:r>
      <w:r>
        <w:rPr>
          <w:spacing w:val="-14"/>
          <w:sz w:val="22"/>
        </w:rPr>
        <w:t> </w:t>
      </w:r>
      <w:r>
        <w:rPr>
          <w:sz w:val="22"/>
        </w:rPr>
        <w:t>be</w:t>
      </w:r>
      <w:r>
        <w:rPr>
          <w:spacing w:val="-14"/>
          <w:sz w:val="22"/>
        </w:rPr>
        <w:t> </w:t>
      </w:r>
      <w:r>
        <w:rPr>
          <w:sz w:val="22"/>
        </w:rPr>
        <w:t>aptly</w:t>
      </w:r>
      <w:r>
        <w:rPr>
          <w:spacing w:val="-14"/>
          <w:sz w:val="22"/>
        </w:rPr>
        <w:t> </w:t>
      </w:r>
      <w:r>
        <w:rPr>
          <w:sz w:val="22"/>
        </w:rPr>
        <w:t>branded </w:t>
      </w:r>
      <w:r>
        <w:rPr>
          <w:spacing w:val="-2"/>
          <w:sz w:val="22"/>
        </w:rPr>
        <w:t>so</w:t>
      </w:r>
      <w:r>
        <w:rPr>
          <w:spacing w:val="-10"/>
          <w:sz w:val="22"/>
        </w:rPr>
        <w:t> </w:t>
      </w:r>
      <w:r>
        <w:rPr>
          <w:spacing w:val="-2"/>
          <w:sz w:val="22"/>
        </w:rPr>
        <w:t>that</w:t>
      </w:r>
      <w:r>
        <w:rPr>
          <w:spacing w:val="-10"/>
          <w:sz w:val="22"/>
        </w:rPr>
        <w:t> </w:t>
      </w:r>
      <w:r>
        <w:rPr>
          <w:spacing w:val="-2"/>
          <w:sz w:val="22"/>
        </w:rPr>
        <w:t>it</w:t>
      </w:r>
      <w:r>
        <w:rPr>
          <w:spacing w:val="-10"/>
          <w:sz w:val="22"/>
        </w:rPr>
        <w:t> </w:t>
      </w:r>
      <w:r>
        <w:rPr>
          <w:spacing w:val="-2"/>
          <w:sz w:val="22"/>
        </w:rPr>
        <w:t>gains</w:t>
      </w:r>
      <w:r>
        <w:rPr>
          <w:spacing w:val="-10"/>
          <w:sz w:val="22"/>
        </w:rPr>
        <w:t> </w:t>
      </w:r>
      <w:r>
        <w:rPr>
          <w:spacing w:val="-2"/>
          <w:sz w:val="22"/>
        </w:rPr>
        <w:t>more</w:t>
      </w:r>
      <w:r>
        <w:rPr>
          <w:spacing w:val="-10"/>
          <w:sz w:val="22"/>
        </w:rPr>
        <w:t> </w:t>
      </w:r>
      <w:r>
        <w:rPr>
          <w:spacing w:val="-2"/>
          <w:sz w:val="22"/>
        </w:rPr>
        <w:t>significance</w:t>
      </w:r>
      <w:r>
        <w:rPr>
          <w:spacing w:val="-10"/>
          <w:sz w:val="22"/>
        </w:rPr>
        <w:t> </w:t>
      </w:r>
      <w:r>
        <w:rPr>
          <w:spacing w:val="-2"/>
          <w:sz w:val="22"/>
        </w:rPr>
        <w:t>than</w:t>
      </w:r>
      <w:r>
        <w:rPr>
          <w:spacing w:val="-10"/>
          <w:sz w:val="22"/>
        </w:rPr>
        <w:t> </w:t>
      </w:r>
      <w:r>
        <w:rPr>
          <w:spacing w:val="-2"/>
          <w:sz w:val="22"/>
        </w:rPr>
        <w:t>the</w:t>
      </w:r>
      <w:r>
        <w:rPr>
          <w:spacing w:val="-10"/>
          <w:sz w:val="22"/>
        </w:rPr>
        <w:t> </w:t>
      </w:r>
      <w:r>
        <w:rPr>
          <w:spacing w:val="-2"/>
          <w:sz w:val="22"/>
        </w:rPr>
        <w:t>regular</w:t>
      </w:r>
      <w:r>
        <w:rPr>
          <w:spacing w:val="-10"/>
          <w:sz w:val="22"/>
        </w:rPr>
        <w:t> </w:t>
      </w:r>
      <w:r>
        <w:rPr>
          <w:spacing w:val="-2"/>
          <w:sz w:val="22"/>
        </w:rPr>
        <w:t>three </w:t>
      </w:r>
      <w:r>
        <w:rPr>
          <w:sz w:val="22"/>
        </w:rPr>
        <w:t>year</w:t>
      </w:r>
      <w:r>
        <w:rPr>
          <w:spacing w:val="-14"/>
          <w:sz w:val="22"/>
        </w:rPr>
        <w:t> </w:t>
      </w:r>
      <w:r>
        <w:rPr>
          <w:sz w:val="22"/>
        </w:rPr>
        <w:t>program.</w:t>
      </w:r>
      <w:r>
        <w:rPr>
          <w:spacing w:val="-14"/>
          <w:sz w:val="22"/>
        </w:rPr>
        <w:t> </w:t>
      </w:r>
      <w:r>
        <w:rPr>
          <w:sz w:val="22"/>
        </w:rPr>
        <w:t>To</w:t>
      </w:r>
      <w:r>
        <w:rPr>
          <w:spacing w:val="-14"/>
          <w:sz w:val="22"/>
        </w:rPr>
        <w:t> </w:t>
      </w:r>
      <w:r>
        <w:rPr>
          <w:sz w:val="22"/>
        </w:rPr>
        <w:t>ensure</w:t>
      </w:r>
      <w:r>
        <w:rPr>
          <w:spacing w:val="-13"/>
          <w:sz w:val="22"/>
        </w:rPr>
        <w:t> </w:t>
      </w:r>
      <w:r>
        <w:rPr>
          <w:sz w:val="22"/>
        </w:rPr>
        <w:t>the</w:t>
      </w:r>
      <w:r>
        <w:rPr>
          <w:spacing w:val="-14"/>
          <w:sz w:val="22"/>
        </w:rPr>
        <w:t> </w:t>
      </w:r>
      <w:r>
        <w:rPr>
          <w:sz w:val="22"/>
        </w:rPr>
        <w:t>success</w:t>
      </w:r>
      <w:r>
        <w:rPr>
          <w:spacing w:val="-14"/>
          <w:sz w:val="22"/>
        </w:rPr>
        <w:t> </w:t>
      </w:r>
      <w:r>
        <w:rPr>
          <w:sz w:val="22"/>
        </w:rPr>
        <w:t>and</w:t>
      </w:r>
      <w:r>
        <w:rPr>
          <w:spacing w:val="-14"/>
          <w:sz w:val="22"/>
        </w:rPr>
        <w:t> </w:t>
      </w:r>
      <w:r>
        <w:rPr>
          <w:sz w:val="22"/>
        </w:rPr>
        <w:t>acceptability of this program, the course content must be planned in</w:t>
      </w:r>
      <w:r>
        <w:rPr>
          <w:spacing w:val="80"/>
          <w:sz w:val="22"/>
        </w:rPr>
        <w:t> </w:t>
      </w:r>
      <w:r>
        <w:rPr>
          <w:sz w:val="22"/>
        </w:rPr>
        <w:t>consultation</w:t>
      </w:r>
      <w:r>
        <w:rPr>
          <w:spacing w:val="80"/>
          <w:sz w:val="22"/>
        </w:rPr>
        <w:t> </w:t>
      </w:r>
      <w:r>
        <w:rPr>
          <w:sz w:val="22"/>
        </w:rPr>
        <w:t>with</w:t>
      </w:r>
      <w:r>
        <w:rPr>
          <w:spacing w:val="80"/>
          <w:sz w:val="22"/>
        </w:rPr>
        <w:t> </w:t>
      </w:r>
      <w:r>
        <w:rPr>
          <w:sz w:val="22"/>
        </w:rPr>
        <w:t>diverse</w:t>
      </w:r>
      <w:r>
        <w:rPr>
          <w:spacing w:val="80"/>
          <w:sz w:val="22"/>
        </w:rPr>
        <w:t> </w:t>
      </w:r>
      <w:r>
        <w:rPr>
          <w:sz w:val="22"/>
        </w:rPr>
        <w:t>expert</w:t>
      </w:r>
      <w:r>
        <w:rPr>
          <w:spacing w:val="80"/>
          <w:sz w:val="22"/>
        </w:rPr>
        <w:t> </w:t>
      </w:r>
      <w:r>
        <w:rPr>
          <w:sz w:val="22"/>
        </w:rPr>
        <w:t>groups,</w:t>
      </w:r>
      <w:r>
        <w:rPr>
          <w:spacing w:val="80"/>
          <w:sz w:val="22"/>
        </w:rPr>
        <w:t> </w:t>
      </w:r>
      <w:r>
        <w:rPr>
          <w:sz w:val="22"/>
        </w:rPr>
        <w:t>and</w:t>
      </w:r>
    </w:p>
    <w:p>
      <w:pPr>
        <w:pStyle w:val="BodyText"/>
        <w:spacing w:line="266" w:lineRule="auto" w:before="77"/>
        <w:ind w:left="319" w:right="1067"/>
        <w:jc w:val="both"/>
      </w:pPr>
      <w:r>
        <w:rPr/>
        <w:br w:type="column"/>
      </w:r>
      <w:r>
        <w:rPr/>
        <w:t>implemented</w:t>
      </w:r>
      <w:r>
        <w:rPr>
          <w:spacing w:val="-14"/>
        </w:rPr>
        <w:t> </w:t>
      </w:r>
      <w:r>
        <w:rPr/>
        <w:t>at</w:t>
      </w:r>
      <w:r>
        <w:rPr>
          <w:spacing w:val="-14"/>
        </w:rPr>
        <w:t> </w:t>
      </w:r>
      <w:r>
        <w:rPr/>
        <w:t>institutions</w:t>
      </w:r>
      <w:r>
        <w:rPr>
          <w:spacing w:val="-14"/>
        </w:rPr>
        <w:t> </w:t>
      </w:r>
      <w:r>
        <w:rPr/>
        <w:t>with</w:t>
      </w:r>
      <w:r>
        <w:rPr>
          <w:spacing w:val="-13"/>
        </w:rPr>
        <w:t> </w:t>
      </w:r>
      <w:r>
        <w:rPr/>
        <w:t>a</w:t>
      </w:r>
      <w:r>
        <w:rPr>
          <w:spacing w:val="-14"/>
        </w:rPr>
        <w:t> </w:t>
      </w:r>
      <w:r>
        <w:rPr/>
        <w:t>proven</w:t>
      </w:r>
      <w:r>
        <w:rPr>
          <w:spacing w:val="-14"/>
        </w:rPr>
        <w:t> </w:t>
      </w:r>
      <w:r>
        <w:rPr/>
        <w:t>track</w:t>
      </w:r>
      <w:r>
        <w:rPr>
          <w:spacing w:val="-14"/>
        </w:rPr>
        <w:t> </w:t>
      </w:r>
      <w:r>
        <w:rPr/>
        <w:t>record of</w:t>
      </w:r>
      <w:r>
        <w:rPr>
          <w:spacing w:val="-12"/>
        </w:rPr>
        <w:t> </w:t>
      </w:r>
      <w:r>
        <w:rPr/>
        <w:t>success.</w:t>
      </w:r>
      <w:r>
        <w:rPr>
          <w:spacing w:val="-14"/>
        </w:rPr>
        <w:t> </w:t>
      </w:r>
      <w:r>
        <w:rPr/>
        <w:t>The</w:t>
      </w:r>
      <w:r>
        <w:rPr>
          <w:spacing w:val="-10"/>
        </w:rPr>
        <w:t> </w:t>
      </w:r>
      <w:r>
        <w:rPr/>
        <w:t>first</w:t>
      </w:r>
      <w:r>
        <w:rPr>
          <w:spacing w:val="-10"/>
        </w:rPr>
        <w:t> </w:t>
      </w:r>
      <w:r>
        <w:rPr/>
        <w:t>two</w:t>
      </w:r>
      <w:r>
        <w:rPr>
          <w:spacing w:val="-10"/>
        </w:rPr>
        <w:t> </w:t>
      </w:r>
      <w:r>
        <w:rPr/>
        <w:t>years</w:t>
      </w:r>
      <w:r>
        <w:rPr>
          <w:spacing w:val="-10"/>
        </w:rPr>
        <w:t> </w:t>
      </w:r>
      <w:r>
        <w:rPr/>
        <w:t>of</w:t>
      </w:r>
      <w:r>
        <w:rPr>
          <w:spacing w:val="-10"/>
        </w:rPr>
        <w:t> </w:t>
      </w:r>
      <w:r>
        <w:rPr/>
        <w:t>this</w:t>
      </w:r>
      <w:r>
        <w:rPr>
          <w:spacing w:val="-10"/>
        </w:rPr>
        <w:t> </w:t>
      </w:r>
      <w:r>
        <w:rPr/>
        <w:t>course</w:t>
      </w:r>
      <w:r>
        <w:rPr>
          <w:spacing w:val="-10"/>
        </w:rPr>
        <w:t> </w:t>
      </w:r>
      <w:r>
        <w:rPr/>
        <w:t>would</w:t>
      </w:r>
      <w:r>
        <w:rPr>
          <w:spacing w:val="-10"/>
        </w:rPr>
        <w:t> </w:t>
      </w:r>
      <w:r>
        <w:rPr/>
        <w:t>be </w:t>
      </w:r>
      <w:r>
        <w:rPr>
          <w:spacing w:val="-4"/>
        </w:rPr>
        <w:t>common</w:t>
      </w:r>
      <w:r>
        <w:rPr>
          <w:spacing w:val="-10"/>
        </w:rPr>
        <w:t> </w:t>
      </w:r>
      <w:r>
        <w:rPr>
          <w:spacing w:val="-4"/>
        </w:rPr>
        <w:t>for</w:t>
      </w:r>
      <w:r>
        <w:rPr>
          <w:spacing w:val="-10"/>
        </w:rPr>
        <w:t> </w:t>
      </w:r>
      <w:r>
        <w:rPr>
          <w:spacing w:val="-4"/>
        </w:rPr>
        <w:t>all</w:t>
      </w:r>
      <w:r>
        <w:rPr>
          <w:spacing w:val="-8"/>
        </w:rPr>
        <w:t> </w:t>
      </w:r>
      <w:r>
        <w:rPr>
          <w:spacing w:val="-4"/>
        </w:rPr>
        <w:t>students.</w:t>
      </w:r>
      <w:r>
        <w:rPr>
          <w:spacing w:val="-10"/>
        </w:rPr>
        <w:t> </w:t>
      </w:r>
      <w:r>
        <w:rPr>
          <w:spacing w:val="-4"/>
        </w:rPr>
        <w:t>The</w:t>
      </w:r>
      <w:r>
        <w:rPr>
          <w:spacing w:val="-7"/>
        </w:rPr>
        <w:t> </w:t>
      </w:r>
      <w:r>
        <w:rPr>
          <w:spacing w:val="-4"/>
        </w:rPr>
        <w:t>students</w:t>
      </w:r>
      <w:r>
        <w:rPr>
          <w:spacing w:val="-7"/>
        </w:rPr>
        <w:t> </w:t>
      </w:r>
      <w:r>
        <w:rPr>
          <w:spacing w:val="-4"/>
        </w:rPr>
        <w:t>may</w:t>
      </w:r>
      <w:r>
        <w:rPr>
          <w:spacing w:val="-7"/>
        </w:rPr>
        <w:t> </w:t>
      </w:r>
      <w:r>
        <w:rPr>
          <w:spacing w:val="-4"/>
        </w:rPr>
        <w:t>choose</w:t>
      </w:r>
      <w:r>
        <w:rPr>
          <w:spacing w:val="-7"/>
        </w:rPr>
        <w:t> </w:t>
      </w:r>
      <w:r>
        <w:rPr>
          <w:spacing w:val="-4"/>
        </w:rPr>
        <w:t>their </w:t>
      </w:r>
      <w:r>
        <w:rPr/>
        <w:t>streams based on interest and performance after two years.</w:t>
      </w:r>
      <w:r>
        <w:rPr>
          <w:spacing w:val="-12"/>
        </w:rPr>
        <w:t> </w:t>
      </w:r>
      <w:r>
        <w:rPr/>
        <w:t>If</w:t>
      </w:r>
      <w:r>
        <w:rPr>
          <w:spacing w:val="-12"/>
        </w:rPr>
        <w:t> </w:t>
      </w:r>
      <w:r>
        <w:rPr/>
        <w:t>the</w:t>
      </w:r>
      <w:r>
        <w:rPr>
          <w:spacing w:val="-12"/>
        </w:rPr>
        <w:t> </w:t>
      </w:r>
      <w:r>
        <w:rPr/>
        <w:t>course</w:t>
      </w:r>
      <w:r>
        <w:rPr>
          <w:spacing w:val="-12"/>
        </w:rPr>
        <w:t> </w:t>
      </w:r>
      <w:r>
        <w:rPr/>
        <w:t>is</w:t>
      </w:r>
      <w:r>
        <w:rPr>
          <w:spacing w:val="-12"/>
        </w:rPr>
        <w:t> </w:t>
      </w:r>
      <w:r>
        <w:rPr/>
        <w:t>offered</w:t>
      </w:r>
      <w:r>
        <w:rPr>
          <w:spacing w:val="-12"/>
        </w:rPr>
        <w:t> </w:t>
      </w:r>
      <w:r>
        <w:rPr/>
        <w:t>in</w:t>
      </w:r>
      <w:r>
        <w:rPr>
          <w:spacing w:val="-12"/>
        </w:rPr>
        <w:t> </w:t>
      </w:r>
      <w:r>
        <w:rPr/>
        <w:t>an</w:t>
      </w:r>
      <w:r>
        <w:rPr>
          <w:spacing w:val="-12"/>
        </w:rPr>
        <w:t> </w:t>
      </w:r>
      <w:r>
        <w:rPr/>
        <w:t>institute/university </w:t>
      </w:r>
      <w:r>
        <w:rPr>
          <w:spacing w:val="-2"/>
        </w:rPr>
        <w:t>where</w:t>
      </w:r>
      <w:r>
        <w:rPr>
          <w:spacing w:val="-14"/>
        </w:rPr>
        <w:t> </w:t>
      </w:r>
      <w:r>
        <w:rPr>
          <w:spacing w:val="-2"/>
        </w:rPr>
        <w:t>engineering</w:t>
      </w:r>
      <w:r>
        <w:rPr>
          <w:spacing w:val="-12"/>
        </w:rPr>
        <w:t> </w:t>
      </w:r>
      <w:r>
        <w:rPr>
          <w:spacing w:val="-2"/>
        </w:rPr>
        <w:t>courses</w:t>
      </w:r>
      <w:r>
        <w:rPr>
          <w:spacing w:val="-12"/>
        </w:rPr>
        <w:t> </w:t>
      </w:r>
      <w:r>
        <w:rPr>
          <w:spacing w:val="-2"/>
        </w:rPr>
        <w:t>are</w:t>
      </w:r>
      <w:r>
        <w:rPr>
          <w:spacing w:val="-11"/>
        </w:rPr>
        <w:t> </w:t>
      </w:r>
      <w:r>
        <w:rPr>
          <w:spacing w:val="-2"/>
        </w:rPr>
        <w:t>also</w:t>
      </w:r>
      <w:r>
        <w:rPr>
          <w:spacing w:val="-12"/>
        </w:rPr>
        <w:t> </w:t>
      </w:r>
      <w:r>
        <w:rPr>
          <w:spacing w:val="-2"/>
        </w:rPr>
        <w:t>offered</w:t>
      </w:r>
      <w:r>
        <w:rPr>
          <w:spacing w:val="-12"/>
        </w:rPr>
        <w:t> </w:t>
      </w:r>
      <w:r>
        <w:rPr>
          <w:spacing w:val="-2"/>
        </w:rPr>
        <w:t>there</w:t>
      </w:r>
      <w:r>
        <w:rPr>
          <w:spacing w:val="-12"/>
        </w:rPr>
        <w:t> </w:t>
      </w:r>
      <w:r>
        <w:rPr>
          <w:spacing w:val="-2"/>
        </w:rPr>
        <w:t>can</w:t>
      </w:r>
      <w:r>
        <w:rPr>
          <w:spacing w:val="-11"/>
        </w:rPr>
        <w:t> </w:t>
      </w:r>
      <w:r>
        <w:rPr>
          <w:spacing w:val="-2"/>
        </w:rPr>
        <w:t>be a</w:t>
      </w:r>
      <w:r>
        <w:rPr>
          <w:spacing w:val="-10"/>
        </w:rPr>
        <w:t> </w:t>
      </w:r>
      <w:r>
        <w:rPr>
          <w:spacing w:val="-2"/>
        </w:rPr>
        <w:t>provision</w:t>
      </w:r>
      <w:r>
        <w:rPr>
          <w:spacing w:val="-10"/>
        </w:rPr>
        <w:t> </w:t>
      </w:r>
      <w:r>
        <w:rPr>
          <w:spacing w:val="-2"/>
        </w:rPr>
        <w:t>of</w:t>
      </w:r>
      <w:r>
        <w:rPr>
          <w:spacing w:val="-10"/>
        </w:rPr>
        <w:t> </w:t>
      </w:r>
      <w:r>
        <w:rPr>
          <w:spacing w:val="-2"/>
        </w:rPr>
        <w:t>flexibility</w:t>
      </w:r>
      <w:r>
        <w:rPr>
          <w:spacing w:val="-10"/>
        </w:rPr>
        <w:t> </w:t>
      </w:r>
      <w:r>
        <w:rPr>
          <w:spacing w:val="-2"/>
        </w:rPr>
        <w:t>to</w:t>
      </w:r>
      <w:r>
        <w:rPr>
          <w:spacing w:val="-10"/>
        </w:rPr>
        <w:t> </w:t>
      </w:r>
      <w:r>
        <w:rPr>
          <w:spacing w:val="-2"/>
        </w:rPr>
        <w:t>move</w:t>
      </w:r>
      <w:r>
        <w:rPr>
          <w:spacing w:val="-10"/>
        </w:rPr>
        <w:t> </w:t>
      </w:r>
      <w:r>
        <w:rPr>
          <w:spacing w:val="-2"/>
        </w:rPr>
        <w:t>from</w:t>
      </w:r>
      <w:r>
        <w:rPr>
          <w:spacing w:val="-10"/>
        </w:rPr>
        <w:t> </w:t>
      </w:r>
      <w:r>
        <w:rPr>
          <w:spacing w:val="-2"/>
        </w:rPr>
        <w:t>B.Sc</w:t>
      </w:r>
      <w:r>
        <w:rPr>
          <w:spacing w:val="-10"/>
        </w:rPr>
        <w:t> </w:t>
      </w:r>
      <w:r>
        <w:rPr>
          <w:spacing w:val="-2"/>
        </w:rPr>
        <w:t>to</w:t>
      </w:r>
      <w:r>
        <w:rPr>
          <w:spacing w:val="-10"/>
        </w:rPr>
        <w:t> </w:t>
      </w:r>
      <w:r>
        <w:rPr>
          <w:spacing w:val="-2"/>
        </w:rPr>
        <w:t>B.Tech. </w:t>
      </w:r>
      <w:r>
        <w:rPr/>
        <w:t>Further, a student could also choose to take a 4 year </w:t>
      </w:r>
      <w:r>
        <w:rPr>
          <w:spacing w:val="-6"/>
        </w:rPr>
        <w:t>integrated</w:t>
      </w:r>
      <w:r>
        <w:rPr>
          <w:spacing w:val="-8"/>
        </w:rPr>
        <w:t> </w:t>
      </w:r>
      <w:r>
        <w:rPr>
          <w:spacing w:val="-6"/>
        </w:rPr>
        <w:t>B.Sc</w:t>
      </w:r>
      <w:r>
        <w:rPr>
          <w:spacing w:val="-8"/>
        </w:rPr>
        <w:t> </w:t>
      </w:r>
      <w:r>
        <w:rPr>
          <w:spacing w:val="-6"/>
        </w:rPr>
        <w:t>plus</w:t>
      </w:r>
      <w:r>
        <w:rPr>
          <w:spacing w:val="-7"/>
        </w:rPr>
        <w:t> </w:t>
      </w:r>
      <w:r>
        <w:rPr>
          <w:spacing w:val="-6"/>
        </w:rPr>
        <w:t>B.Ed.</w:t>
      </w:r>
      <w:r>
        <w:rPr>
          <w:spacing w:val="-8"/>
        </w:rPr>
        <w:t> </w:t>
      </w:r>
      <w:r>
        <w:rPr>
          <w:spacing w:val="-6"/>
        </w:rPr>
        <w:t>course</w:t>
      </w:r>
      <w:r>
        <w:rPr>
          <w:spacing w:val="-8"/>
        </w:rPr>
        <w:t> </w:t>
      </w:r>
      <w:r>
        <w:rPr>
          <w:spacing w:val="-6"/>
        </w:rPr>
        <w:t>in</w:t>
      </w:r>
      <w:r>
        <w:rPr>
          <w:spacing w:val="-7"/>
        </w:rPr>
        <w:t> </w:t>
      </w:r>
      <w:r>
        <w:rPr>
          <w:spacing w:val="-6"/>
        </w:rPr>
        <w:t>colleges</w:t>
      </w:r>
      <w:r>
        <w:rPr>
          <w:spacing w:val="-8"/>
        </w:rPr>
        <w:t> </w:t>
      </w:r>
      <w:r>
        <w:rPr>
          <w:spacing w:val="-6"/>
        </w:rPr>
        <w:t>where</w:t>
      </w:r>
      <w:r>
        <w:rPr>
          <w:spacing w:val="-8"/>
        </w:rPr>
        <w:t> </w:t>
      </w:r>
      <w:r>
        <w:rPr>
          <w:spacing w:val="-6"/>
        </w:rPr>
        <w:t>such a</w:t>
      </w:r>
      <w:r>
        <w:rPr>
          <w:spacing w:val="-8"/>
        </w:rPr>
        <w:t> </w:t>
      </w:r>
      <w:r>
        <w:rPr>
          <w:spacing w:val="-6"/>
        </w:rPr>
        <w:t>facility</w:t>
      </w:r>
      <w:r>
        <w:rPr>
          <w:spacing w:val="-8"/>
        </w:rPr>
        <w:t> </w:t>
      </w:r>
      <w:r>
        <w:rPr>
          <w:spacing w:val="-6"/>
        </w:rPr>
        <w:t>is</w:t>
      </w:r>
      <w:r>
        <w:rPr>
          <w:spacing w:val="-8"/>
        </w:rPr>
        <w:t> </w:t>
      </w:r>
      <w:r>
        <w:rPr>
          <w:spacing w:val="-6"/>
        </w:rPr>
        <w:t>available.</w:t>
      </w:r>
      <w:r>
        <w:rPr>
          <w:spacing w:val="-7"/>
        </w:rPr>
        <w:t> </w:t>
      </w:r>
      <w:r>
        <w:rPr>
          <w:i/>
          <w:spacing w:val="-6"/>
        </w:rPr>
        <w:t>A</w:t>
      </w:r>
      <w:r>
        <w:rPr>
          <w:i/>
          <w:spacing w:val="-8"/>
        </w:rPr>
        <w:t> </w:t>
      </w:r>
      <w:r>
        <w:rPr>
          <w:i/>
          <w:spacing w:val="-6"/>
        </w:rPr>
        <w:t>four</w:t>
      </w:r>
      <w:r>
        <w:rPr>
          <w:i/>
          <w:spacing w:val="-8"/>
        </w:rPr>
        <w:t> </w:t>
      </w:r>
      <w:r>
        <w:rPr>
          <w:i/>
          <w:spacing w:val="-6"/>
        </w:rPr>
        <w:t>year</w:t>
      </w:r>
      <w:r>
        <w:rPr>
          <w:i/>
          <w:spacing w:val="-8"/>
        </w:rPr>
        <w:t> </w:t>
      </w:r>
      <w:r>
        <w:rPr>
          <w:i/>
          <w:spacing w:val="-6"/>
        </w:rPr>
        <w:t>B.Sc</w:t>
      </w:r>
      <w:r>
        <w:rPr>
          <w:i/>
          <w:spacing w:val="-7"/>
        </w:rPr>
        <w:t> </w:t>
      </w:r>
      <w:r>
        <w:rPr>
          <w:i/>
          <w:spacing w:val="-6"/>
        </w:rPr>
        <w:t>+</w:t>
      </w:r>
      <w:r>
        <w:rPr>
          <w:i/>
          <w:spacing w:val="-8"/>
        </w:rPr>
        <w:t> </w:t>
      </w:r>
      <w:r>
        <w:rPr>
          <w:i/>
          <w:spacing w:val="-6"/>
        </w:rPr>
        <w:t>B.</w:t>
      </w:r>
      <w:r>
        <w:rPr>
          <w:i/>
          <w:spacing w:val="-8"/>
        </w:rPr>
        <w:t> </w:t>
      </w:r>
      <w:r>
        <w:rPr>
          <w:i/>
          <w:spacing w:val="-6"/>
        </w:rPr>
        <w:t>Ed.</w:t>
      </w:r>
      <w:r>
        <w:rPr>
          <w:i/>
          <w:spacing w:val="-8"/>
        </w:rPr>
        <w:t> </w:t>
      </w:r>
      <w:r>
        <w:rPr>
          <w:i/>
          <w:spacing w:val="-6"/>
        </w:rPr>
        <w:t>Program </w:t>
      </w:r>
      <w:r>
        <w:rPr/>
        <w:t>is a more effective training program than the current </w:t>
      </w:r>
      <w:r>
        <w:rPr>
          <w:spacing w:val="-4"/>
        </w:rPr>
        <w:t>practice</w:t>
      </w:r>
      <w:r>
        <w:rPr>
          <w:spacing w:val="-8"/>
        </w:rPr>
        <w:t> </w:t>
      </w:r>
      <w:r>
        <w:rPr>
          <w:spacing w:val="-4"/>
        </w:rPr>
        <w:t>of</w:t>
      </w:r>
      <w:r>
        <w:rPr>
          <w:spacing w:val="-8"/>
        </w:rPr>
        <w:t> </w:t>
      </w:r>
      <w:r>
        <w:rPr>
          <w:spacing w:val="-4"/>
        </w:rPr>
        <w:t>B.Ed.</w:t>
      </w:r>
      <w:r>
        <w:rPr>
          <w:spacing w:val="-8"/>
        </w:rPr>
        <w:t> </w:t>
      </w:r>
      <w:r>
        <w:rPr>
          <w:spacing w:val="-4"/>
        </w:rPr>
        <w:t>after</w:t>
      </w:r>
      <w:r>
        <w:rPr>
          <w:spacing w:val="-8"/>
        </w:rPr>
        <w:t> </w:t>
      </w:r>
      <w:r>
        <w:rPr>
          <w:spacing w:val="-4"/>
        </w:rPr>
        <w:t>completing</w:t>
      </w:r>
      <w:r>
        <w:rPr>
          <w:spacing w:val="-8"/>
        </w:rPr>
        <w:t> </w:t>
      </w:r>
      <w:r>
        <w:rPr>
          <w:spacing w:val="-4"/>
        </w:rPr>
        <w:t>B.Sc.</w:t>
      </w:r>
      <w:r>
        <w:rPr>
          <w:spacing w:val="-8"/>
        </w:rPr>
        <w:t> </w:t>
      </w:r>
      <w:r>
        <w:rPr>
          <w:spacing w:val="-4"/>
        </w:rPr>
        <w:t>Funding</w:t>
      </w:r>
      <w:r>
        <w:rPr>
          <w:spacing w:val="-8"/>
        </w:rPr>
        <w:t> </w:t>
      </w:r>
      <w:r>
        <w:rPr>
          <w:spacing w:val="-4"/>
        </w:rPr>
        <w:t>of</w:t>
      </w:r>
      <w:r>
        <w:rPr>
          <w:spacing w:val="-8"/>
        </w:rPr>
        <w:t> </w:t>
      </w:r>
      <w:r>
        <w:rPr>
          <w:spacing w:val="-4"/>
        </w:rPr>
        <w:t>this program</w:t>
      </w:r>
      <w:r>
        <w:rPr>
          <w:spacing w:val="-9"/>
        </w:rPr>
        <w:t> </w:t>
      </w:r>
      <w:r>
        <w:rPr>
          <w:spacing w:val="-4"/>
        </w:rPr>
        <w:t>should</w:t>
      </w:r>
      <w:r>
        <w:rPr>
          <w:spacing w:val="-9"/>
        </w:rPr>
        <w:t> </w:t>
      </w:r>
      <w:r>
        <w:rPr>
          <w:spacing w:val="-4"/>
        </w:rPr>
        <w:t>be</w:t>
      </w:r>
      <w:r>
        <w:rPr>
          <w:spacing w:val="-9"/>
        </w:rPr>
        <w:t> </w:t>
      </w:r>
      <w:r>
        <w:rPr>
          <w:spacing w:val="-4"/>
        </w:rPr>
        <w:t>given</w:t>
      </w:r>
      <w:r>
        <w:rPr>
          <w:spacing w:val="-9"/>
        </w:rPr>
        <w:t> </w:t>
      </w:r>
      <w:r>
        <w:rPr>
          <w:spacing w:val="-4"/>
        </w:rPr>
        <w:t>special</w:t>
      </w:r>
      <w:r>
        <w:rPr>
          <w:spacing w:val="-9"/>
        </w:rPr>
        <w:t> </w:t>
      </w:r>
      <w:r>
        <w:rPr>
          <w:spacing w:val="-4"/>
        </w:rPr>
        <w:t>attention.</w:t>
      </w:r>
      <w:r>
        <w:rPr>
          <w:spacing w:val="-9"/>
        </w:rPr>
        <w:t> </w:t>
      </w:r>
      <w:r>
        <w:rPr>
          <w:spacing w:val="-4"/>
        </w:rPr>
        <w:t>Universities/ </w:t>
      </w:r>
      <w:r>
        <w:rPr/>
        <w:t>Science colleges must be encouraged to run such programs. If the student does not opt for B.Ed. then </w:t>
      </w:r>
      <w:r>
        <w:rPr>
          <w:spacing w:val="-4"/>
        </w:rPr>
        <w:t>s/he</w:t>
      </w:r>
      <w:r>
        <w:rPr>
          <w:spacing w:val="-7"/>
        </w:rPr>
        <w:t> </w:t>
      </w:r>
      <w:r>
        <w:rPr>
          <w:spacing w:val="-4"/>
        </w:rPr>
        <w:t>can</w:t>
      </w:r>
      <w:r>
        <w:rPr>
          <w:spacing w:val="-7"/>
        </w:rPr>
        <w:t> </w:t>
      </w:r>
      <w:r>
        <w:rPr>
          <w:spacing w:val="-4"/>
        </w:rPr>
        <w:t>either</w:t>
      </w:r>
      <w:r>
        <w:rPr>
          <w:spacing w:val="-7"/>
        </w:rPr>
        <w:t> </w:t>
      </w:r>
      <w:r>
        <w:rPr>
          <w:spacing w:val="-4"/>
        </w:rPr>
        <w:t>do</w:t>
      </w:r>
      <w:r>
        <w:rPr>
          <w:spacing w:val="-7"/>
        </w:rPr>
        <w:t> </w:t>
      </w:r>
      <w:r>
        <w:rPr>
          <w:spacing w:val="-4"/>
        </w:rPr>
        <w:t>a</w:t>
      </w:r>
      <w:r>
        <w:rPr>
          <w:spacing w:val="-7"/>
        </w:rPr>
        <w:t> </w:t>
      </w:r>
      <w:r>
        <w:rPr>
          <w:spacing w:val="-4"/>
        </w:rPr>
        <w:t>research</w:t>
      </w:r>
      <w:r>
        <w:rPr>
          <w:spacing w:val="-7"/>
        </w:rPr>
        <w:t> </w:t>
      </w:r>
      <w:r>
        <w:rPr>
          <w:spacing w:val="-4"/>
        </w:rPr>
        <w:t>project</w:t>
      </w:r>
      <w:r>
        <w:rPr>
          <w:spacing w:val="-7"/>
        </w:rPr>
        <w:t> </w:t>
      </w:r>
      <w:r>
        <w:rPr>
          <w:spacing w:val="-4"/>
        </w:rPr>
        <w:t>in</w:t>
      </w:r>
      <w:r>
        <w:rPr>
          <w:spacing w:val="-7"/>
        </w:rPr>
        <w:t> </w:t>
      </w:r>
      <w:r>
        <w:rPr>
          <w:spacing w:val="-4"/>
        </w:rPr>
        <w:t>final</w:t>
      </w:r>
      <w:r>
        <w:rPr>
          <w:spacing w:val="-7"/>
        </w:rPr>
        <w:t> </w:t>
      </w:r>
      <w:r>
        <w:rPr>
          <w:spacing w:val="-4"/>
        </w:rPr>
        <w:t>year</w:t>
      </w:r>
      <w:r>
        <w:rPr>
          <w:spacing w:val="-7"/>
        </w:rPr>
        <w:t> </w:t>
      </w:r>
      <w:r>
        <w:rPr>
          <w:spacing w:val="-4"/>
        </w:rPr>
        <w:t>or</w:t>
      </w:r>
      <w:r>
        <w:rPr>
          <w:spacing w:val="-7"/>
        </w:rPr>
        <w:t> </w:t>
      </w:r>
      <w:r>
        <w:rPr>
          <w:spacing w:val="-4"/>
        </w:rPr>
        <w:t>take </w:t>
      </w:r>
      <w:r>
        <w:rPr>
          <w:spacing w:val="-2"/>
        </w:rPr>
        <w:t>up</w:t>
      </w:r>
      <w:r>
        <w:rPr>
          <w:spacing w:val="-12"/>
        </w:rPr>
        <w:t> </w:t>
      </w:r>
      <w:r>
        <w:rPr>
          <w:spacing w:val="-2"/>
        </w:rPr>
        <w:t>employment</w:t>
      </w:r>
      <w:r>
        <w:rPr>
          <w:spacing w:val="-12"/>
        </w:rPr>
        <w:t> </w:t>
      </w:r>
      <w:r>
        <w:rPr>
          <w:spacing w:val="-2"/>
        </w:rPr>
        <w:t>friendly</w:t>
      </w:r>
      <w:r>
        <w:rPr>
          <w:spacing w:val="-12"/>
        </w:rPr>
        <w:t> </w:t>
      </w:r>
      <w:r>
        <w:rPr>
          <w:spacing w:val="-2"/>
        </w:rPr>
        <w:t>modules</w:t>
      </w:r>
      <w:r>
        <w:rPr>
          <w:spacing w:val="-11"/>
        </w:rPr>
        <w:t> </w:t>
      </w:r>
      <w:r>
        <w:rPr>
          <w:spacing w:val="-2"/>
        </w:rPr>
        <w:t>like</w:t>
      </w:r>
      <w:r>
        <w:rPr>
          <w:spacing w:val="-12"/>
        </w:rPr>
        <w:t> </w:t>
      </w:r>
      <w:r>
        <w:rPr>
          <w:spacing w:val="-2"/>
        </w:rPr>
        <w:t>clinical</w:t>
      </w:r>
      <w:r>
        <w:rPr>
          <w:spacing w:val="-12"/>
        </w:rPr>
        <w:t> </w:t>
      </w:r>
      <w:r>
        <w:rPr>
          <w:spacing w:val="-2"/>
        </w:rPr>
        <w:t>research, </w:t>
      </w:r>
      <w:r>
        <w:rPr/>
        <w:t>statistics etc.</w:t>
      </w:r>
    </w:p>
    <w:p>
      <w:pPr>
        <w:pStyle w:val="BodyText"/>
        <w:spacing w:before="13"/>
      </w:pPr>
    </w:p>
    <w:p>
      <w:pPr>
        <w:pStyle w:val="BodyText"/>
        <w:spacing w:line="266" w:lineRule="auto"/>
        <w:ind w:left="319" w:right="1067"/>
        <w:jc w:val="both"/>
      </w:pPr>
      <w:r>
        <w:rPr/>
        <w:t>The</w:t>
      </w:r>
      <w:r>
        <w:rPr>
          <w:spacing w:val="-9"/>
        </w:rPr>
        <w:t> </w:t>
      </w:r>
      <w:r>
        <w:rPr/>
        <w:t>exact</w:t>
      </w:r>
      <w:r>
        <w:rPr>
          <w:spacing w:val="-9"/>
        </w:rPr>
        <w:t> </w:t>
      </w:r>
      <w:r>
        <w:rPr/>
        <w:t>duration</w:t>
      </w:r>
      <w:r>
        <w:rPr>
          <w:spacing w:val="-9"/>
        </w:rPr>
        <w:t> </w:t>
      </w:r>
      <w:r>
        <w:rPr/>
        <w:t>of</w:t>
      </w:r>
      <w:r>
        <w:rPr>
          <w:spacing w:val="-9"/>
        </w:rPr>
        <w:t> </w:t>
      </w:r>
      <w:r>
        <w:rPr/>
        <w:t>the</w:t>
      </w:r>
      <w:r>
        <w:rPr>
          <w:spacing w:val="-9"/>
        </w:rPr>
        <w:t> </w:t>
      </w:r>
      <w:r>
        <w:rPr/>
        <w:t>course</w:t>
      </w:r>
      <w:r>
        <w:rPr>
          <w:spacing w:val="-9"/>
        </w:rPr>
        <w:t> </w:t>
      </w:r>
      <w:r>
        <w:rPr/>
        <w:t>need</w:t>
      </w:r>
      <w:r>
        <w:rPr>
          <w:spacing w:val="-9"/>
        </w:rPr>
        <w:t> </w:t>
      </w:r>
      <w:r>
        <w:rPr/>
        <w:t>not</w:t>
      </w:r>
      <w:r>
        <w:rPr>
          <w:spacing w:val="-9"/>
        </w:rPr>
        <w:t> </w:t>
      </w:r>
      <w:r>
        <w:rPr/>
        <w:t>be</w:t>
      </w:r>
      <w:r>
        <w:rPr>
          <w:spacing w:val="-9"/>
        </w:rPr>
        <w:t> </w:t>
      </w:r>
      <w:r>
        <w:rPr/>
        <w:t>fixed</w:t>
      </w:r>
      <w:r>
        <w:rPr>
          <w:spacing w:val="-9"/>
        </w:rPr>
        <w:t> </w:t>
      </w:r>
      <w:r>
        <w:rPr/>
        <w:t>but should be based on credits. Thus, if a bright student completes the requirement of all necessary credits a semester before, s/he could do additional advanced courses in the remaining period. Also if the place s/ he is studying offers M.Sc and Ph.D, there should be </w:t>
      </w:r>
      <w:r>
        <w:rPr>
          <w:spacing w:val="-6"/>
        </w:rPr>
        <w:t>flexibility to start earning credits for the master’s courses </w:t>
      </w:r>
      <w:r>
        <w:rPr>
          <w:spacing w:val="-4"/>
        </w:rPr>
        <w:t>such</w:t>
      </w:r>
      <w:r>
        <w:rPr>
          <w:spacing w:val="-10"/>
        </w:rPr>
        <w:t> </w:t>
      </w:r>
      <w:r>
        <w:rPr>
          <w:spacing w:val="-4"/>
        </w:rPr>
        <w:t>that</w:t>
      </w:r>
      <w:r>
        <w:rPr>
          <w:spacing w:val="-9"/>
        </w:rPr>
        <w:t> </w:t>
      </w:r>
      <w:r>
        <w:rPr>
          <w:spacing w:val="-4"/>
        </w:rPr>
        <w:t>the</w:t>
      </w:r>
      <w:r>
        <w:rPr>
          <w:spacing w:val="-10"/>
        </w:rPr>
        <w:t> </w:t>
      </w:r>
      <w:r>
        <w:rPr>
          <w:spacing w:val="-4"/>
        </w:rPr>
        <w:t>total</w:t>
      </w:r>
      <w:r>
        <w:rPr>
          <w:spacing w:val="-9"/>
        </w:rPr>
        <w:t> </w:t>
      </w:r>
      <w:r>
        <w:rPr>
          <w:spacing w:val="-4"/>
        </w:rPr>
        <w:t>effective</w:t>
      </w:r>
      <w:r>
        <w:rPr>
          <w:spacing w:val="-10"/>
        </w:rPr>
        <w:t> </w:t>
      </w:r>
      <w:r>
        <w:rPr>
          <w:spacing w:val="-4"/>
        </w:rPr>
        <w:t>time</w:t>
      </w:r>
      <w:r>
        <w:rPr>
          <w:spacing w:val="-9"/>
        </w:rPr>
        <w:t> </w:t>
      </w:r>
      <w:r>
        <w:rPr>
          <w:spacing w:val="-4"/>
        </w:rPr>
        <w:t>spent</w:t>
      </w:r>
      <w:r>
        <w:rPr>
          <w:spacing w:val="-10"/>
        </w:rPr>
        <w:t> </w:t>
      </w:r>
      <w:r>
        <w:rPr>
          <w:spacing w:val="-4"/>
        </w:rPr>
        <w:t>in</w:t>
      </w:r>
      <w:r>
        <w:rPr>
          <w:spacing w:val="-9"/>
        </w:rPr>
        <w:t> </w:t>
      </w:r>
      <w:r>
        <w:rPr>
          <w:spacing w:val="-4"/>
        </w:rPr>
        <w:t>B.Sc</w:t>
      </w:r>
      <w:r>
        <w:rPr>
          <w:spacing w:val="-10"/>
        </w:rPr>
        <w:t> </w:t>
      </w:r>
      <w:r>
        <w:rPr>
          <w:spacing w:val="-4"/>
        </w:rPr>
        <w:t>+</w:t>
      </w:r>
      <w:r>
        <w:rPr>
          <w:spacing w:val="-9"/>
        </w:rPr>
        <w:t> </w:t>
      </w:r>
      <w:r>
        <w:rPr>
          <w:spacing w:val="-4"/>
        </w:rPr>
        <w:t>M.Sc</w:t>
      </w:r>
      <w:r>
        <w:rPr>
          <w:spacing w:val="-10"/>
        </w:rPr>
        <w:t> </w:t>
      </w:r>
      <w:r>
        <w:rPr>
          <w:spacing w:val="-4"/>
        </w:rPr>
        <w:t>is reduced,</w:t>
      </w:r>
      <w:r>
        <w:rPr>
          <w:spacing w:val="-6"/>
        </w:rPr>
        <w:t> </w:t>
      </w:r>
      <w:r>
        <w:rPr>
          <w:spacing w:val="-4"/>
        </w:rPr>
        <w:t>and</w:t>
      </w:r>
      <w:r>
        <w:rPr>
          <w:spacing w:val="-6"/>
        </w:rPr>
        <w:t> </w:t>
      </w:r>
      <w:r>
        <w:rPr>
          <w:spacing w:val="-4"/>
        </w:rPr>
        <w:t>the</w:t>
      </w:r>
      <w:r>
        <w:rPr>
          <w:spacing w:val="-6"/>
        </w:rPr>
        <w:t> </w:t>
      </w:r>
      <w:r>
        <w:rPr>
          <w:spacing w:val="-4"/>
        </w:rPr>
        <w:t>student</w:t>
      </w:r>
      <w:r>
        <w:rPr>
          <w:spacing w:val="-6"/>
        </w:rPr>
        <w:t> </w:t>
      </w:r>
      <w:r>
        <w:rPr>
          <w:spacing w:val="-4"/>
        </w:rPr>
        <w:t>can</w:t>
      </w:r>
      <w:r>
        <w:rPr>
          <w:spacing w:val="-6"/>
        </w:rPr>
        <w:t> </w:t>
      </w:r>
      <w:r>
        <w:rPr>
          <w:spacing w:val="-4"/>
        </w:rPr>
        <w:t>directly</w:t>
      </w:r>
      <w:r>
        <w:rPr>
          <w:spacing w:val="-6"/>
        </w:rPr>
        <w:t> </w:t>
      </w:r>
      <w:r>
        <w:rPr>
          <w:spacing w:val="-4"/>
        </w:rPr>
        <w:t>opt</w:t>
      </w:r>
      <w:r>
        <w:rPr>
          <w:spacing w:val="-6"/>
        </w:rPr>
        <w:t> </w:t>
      </w:r>
      <w:r>
        <w:rPr>
          <w:spacing w:val="-4"/>
        </w:rPr>
        <w:t>for</w:t>
      </w:r>
      <w:r>
        <w:rPr>
          <w:spacing w:val="-6"/>
        </w:rPr>
        <w:t> </w:t>
      </w:r>
      <w:r>
        <w:rPr>
          <w:spacing w:val="-4"/>
        </w:rPr>
        <w:t>Ph.D</w:t>
      </w:r>
      <w:r>
        <w:rPr>
          <w:spacing w:val="-6"/>
        </w:rPr>
        <w:t> </w:t>
      </w:r>
      <w:r>
        <w:rPr>
          <w:spacing w:val="-4"/>
        </w:rPr>
        <w:t>at</w:t>
      </w:r>
      <w:r>
        <w:rPr>
          <w:spacing w:val="-6"/>
        </w:rPr>
        <w:t> </w:t>
      </w:r>
      <w:r>
        <w:rPr>
          <w:spacing w:val="-4"/>
        </w:rPr>
        <w:t>the </w:t>
      </w:r>
      <w:r>
        <w:rPr/>
        <w:t>end of the course.</w:t>
      </w:r>
      <w:r>
        <w:rPr>
          <w:spacing w:val="-6"/>
        </w:rPr>
        <w:t> </w:t>
      </w:r>
      <w:r>
        <w:rPr/>
        <w:t>The government should encourage </w:t>
      </w:r>
      <w:r>
        <w:rPr>
          <w:spacing w:val="-2"/>
        </w:rPr>
        <w:t>universities</w:t>
      </w:r>
      <w:r>
        <w:rPr>
          <w:spacing w:val="-12"/>
        </w:rPr>
        <w:t> </w:t>
      </w:r>
      <w:r>
        <w:rPr>
          <w:spacing w:val="-2"/>
        </w:rPr>
        <w:t>and</w:t>
      </w:r>
      <w:r>
        <w:rPr>
          <w:spacing w:val="-12"/>
        </w:rPr>
        <w:t> </w:t>
      </w:r>
      <w:r>
        <w:rPr>
          <w:spacing w:val="-2"/>
        </w:rPr>
        <w:t>IITs/IISERs/</w:t>
      </w:r>
      <w:r>
        <w:rPr>
          <w:spacing w:val="-12"/>
        </w:rPr>
        <w:t> </w:t>
      </w:r>
      <w:r>
        <w:rPr>
          <w:spacing w:val="-2"/>
        </w:rPr>
        <w:t>research</w:t>
      </w:r>
      <w:r>
        <w:rPr>
          <w:spacing w:val="-11"/>
        </w:rPr>
        <w:t> </w:t>
      </w:r>
      <w:r>
        <w:rPr>
          <w:spacing w:val="-2"/>
        </w:rPr>
        <w:t>institutes</w:t>
      </w:r>
      <w:r>
        <w:rPr>
          <w:spacing w:val="-12"/>
        </w:rPr>
        <w:t> </w:t>
      </w:r>
      <w:r>
        <w:rPr>
          <w:spacing w:val="-2"/>
        </w:rPr>
        <w:t>to</w:t>
      </w:r>
      <w:r>
        <w:rPr>
          <w:spacing w:val="-12"/>
        </w:rPr>
        <w:t> </w:t>
      </w:r>
      <w:r>
        <w:rPr>
          <w:spacing w:val="-2"/>
        </w:rPr>
        <w:t>start </w:t>
      </w:r>
      <w:r>
        <w:rPr>
          <w:spacing w:val="-4"/>
        </w:rPr>
        <w:t>a</w:t>
      </w:r>
      <w:r>
        <w:rPr>
          <w:spacing w:val="-10"/>
        </w:rPr>
        <w:t> </w:t>
      </w:r>
      <w:r>
        <w:rPr>
          <w:spacing w:val="-4"/>
        </w:rPr>
        <w:t>broad</w:t>
      </w:r>
      <w:r>
        <w:rPr>
          <w:spacing w:val="-10"/>
        </w:rPr>
        <w:t> </w:t>
      </w:r>
      <w:r>
        <w:rPr>
          <w:spacing w:val="-4"/>
        </w:rPr>
        <w:t>based</w:t>
      </w:r>
      <w:r>
        <w:rPr>
          <w:spacing w:val="-10"/>
        </w:rPr>
        <w:t> </w:t>
      </w:r>
      <w:r>
        <w:rPr>
          <w:spacing w:val="-4"/>
        </w:rPr>
        <w:t>undergraduate</w:t>
      </w:r>
      <w:r>
        <w:rPr>
          <w:spacing w:val="-9"/>
        </w:rPr>
        <w:t> </w:t>
      </w:r>
      <w:r>
        <w:rPr>
          <w:spacing w:val="-4"/>
        </w:rPr>
        <w:t>degree</w:t>
      </w:r>
      <w:r>
        <w:rPr>
          <w:spacing w:val="-10"/>
        </w:rPr>
        <w:t> </w:t>
      </w:r>
      <w:r>
        <w:rPr>
          <w:spacing w:val="-4"/>
        </w:rPr>
        <w:t>program</w:t>
      </w:r>
      <w:r>
        <w:rPr>
          <w:spacing w:val="-10"/>
        </w:rPr>
        <w:t> </w:t>
      </w:r>
      <w:r>
        <w:rPr>
          <w:spacing w:val="-4"/>
        </w:rPr>
        <w:t>in</w:t>
      </w:r>
      <w:r>
        <w:rPr>
          <w:spacing w:val="-10"/>
        </w:rPr>
        <w:t> </w:t>
      </w:r>
      <w:r>
        <w:rPr>
          <w:spacing w:val="-4"/>
        </w:rPr>
        <w:t>science. Based</w:t>
      </w:r>
      <w:r>
        <w:rPr>
          <w:spacing w:val="-6"/>
        </w:rPr>
        <w:t> </w:t>
      </w:r>
      <w:r>
        <w:rPr>
          <w:spacing w:val="-4"/>
        </w:rPr>
        <w:t>on</w:t>
      </w:r>
      <w:r>
        <w:rPr>
          <w:spacing w:val="-6"/>
        </w:rPr>
        <w:t> </w:t>
      </w:r>
      <w:r>
        <w:rPr>
          <w:spacing w:val="-4"/>
        </w:rPr>
        <w:t>the</w:t>
      </w:r>
      <w:r>
        <w:rPr>
          <w:spacing w:val="-6"/>
        </w:rPr>
        <w:t> </w:t>
      </w:r>
      <w:r>
        <w:rPr>
          <w:spacing w:val="-4"/>
        </w:rPr>
        <w:t>course</w:t>
      </w:r>
      <w:r>
        <w:rPr>
          <w:spacing w:val="-6"/>
        </w:rPr>
        <w:t> </w:t>
      </w:r>
      <w:r>
        <w:rPr>
          <w:spacing w:val="-4"/>
        </w:rPr>
        <w:t>credits</w:t>
      </w:r>
      <w:r>
        <w:rPr>
          <w:spacing w:val="-6"/>
        </w:rPr>
        <w:t> </w:t>
      </w:r>
      <w:r>
        <w:rPr>
          <w:spacing w:val="-4"/>
        </w:rPr>
        <w:t>students</w:t>
      </w:r>
      <w:r>
        <w:rPr>
          <w:spacing w:val="-6"/>
        </w:rPr>
        <w:t> </w:t>
      </w:r>
      <w:r>
        <w:rPr>
          <w:spacing w:val="-4"/>
        </w:rPr>
        <w:t>acquire,</w:t>
      </w:r>
      <w:r>
        <w:rPr>
          <w:spacing w:val="-6"/>
        </w:rPr>
        <w:t> </w:t>
      </w:r>
      <w:r>
        <w:rPr>
          <w:spacing w:val="-4"/>
        </w:rPr>
        <w:t>the</w:t>
      </w:r>
      <w:r>
        <w:rPr>
          <w:spacing w:val="-6"/>
        </w:rPr>
        <w:t> </w:t>
      </w:r>
      <w:r>
        <w:rPr>
          <w:spacing w:val="-4"/>
        </w:rPr>
        <w:t>degree </w:t>
      </w:r>
      <w:r>
        <w:rPr/>
        <w:t>can</w:t>
      </w:r>
      <w:r>
        <w:rPr>
          <w:spacing w:val="-8"/>
        </w:rPr>
        <w:t> </w:t>
      </w:r>
      <w:r>
        <w:rPr/>
        <w:t>be</w:t>
      </w:r>
      <w:r>
        <w:rPr>
          <w:spacing w:val="-8"/>
        </w:rPr>
        <w:t> </w:t>
      </w:r>
      <w:r>
        <w:rPr/>
        <w:t>aptly</w:t>
      </w:r>
      <w:r>
        <w:rPr>
          <w:spacing w:val="-8"/>
        </w:rPr>
        <w:t> </w:t>
      </w:r>
      <w:r>
        <w:rPr/>
        <w:t>named</w:t>
      </w:r>
      <w:r>
        <w:rPr>
          <w:spacing w:val="-8"/>
        </w:rPr>
        <w:t> </w:t>
      </w:r>
      <w:r>
        <w:rPr/>
        <w:t>like</w:t>
      </w:r>
      <w:r>
        <w:rPr>
          <w:spacing w:val="-8"/>
        </w:rPr>
        <w:t> </w:t>
      </w:r>
      <w:r>
        <w:rPr/>
        <w:t>Bachelor</w:t>
      </w:r>
      <w:r>
        <w:rPr>
          <w:spacing w:val="-8"/>
        </w:rPr>
        <w:t> </w:t>
      </w:r>
      <w:r>
        <w:rPr/>
        <w:t>in</w:t>
      </w:r>
      <w:r>
        <w:rPr>
          <w:spacing w:val="-8"/>
        </w:rPr>
        <w:t> </w:t>
      </w:r>
      <w:r>
        <w:rPr/>
        <w:t>Mathematics</w:t>
      </w:r>
      <w:r>
        <w:rPr>
          <w:spacing w:val="-8"/>
        </w:rPr>
        <w:t> </w:t>
      </w:r>
      <w:r>
        <w:rPr/>
        <w:t>and </w:t>
      </w:r>
      <w:r>
        <w:rPr>
          <w:spacing w:val="-2"/>
        </w:rPr>
        <w:t>Computer</w:t>
      </w:r>
      <w:r>
        <w:rPr>
          <w:spacing w:val="-12"/>
        </w:rPr>
        <w:t> </w:t>
      </w:r>
      <w:r>
        <w:rPr>
          <w:spacing w:val="-2"/>
        </w:rPr>
        <w:t>Science,</w:t>
      </w:r>
      <w:r>
        <w:rPr>
          <w:spacing w:val="-12"/>
        </w:rPr>
        <w:t> </w:t>
      </w:r>
      <w:r>
        <w:rPr>
          <w:spacing w:val="-2"/>
        </w:rPr>
        <w:t>Bachelor</w:t>
      </w:r>
      <w:r>
        <w:rPr>
          <w:spacing w:val="-12"/>
        </w:rPr>
        <w:t> </w:t>
      </w:r>
      <w:r>
        <w:rPr>
          <w:spacing w:val="-2"/>
        </w:rPr>
        <w:t>in</w:t>
      </w:r>
      <w:r>
        <w:rPr>
          <w:spacing w:val="-11"/>
        </w:rPr>
        <w:t> </w:t>
      </w:r>
      <w:r>
        <w:rPr>
          <w:spacing w:val="-2"/>
        </w:rPr>
        <w:t>Chemistry</w:t>
      </w:r>
      <w:r>
        <w:rPr>
          <w:spacing w:val="-12"/>
        </w:rPr>
        <w:t> </w:t>
      </w:r>
      <w:r>
        <w:rPr>
          <w:spacing w:val="-2"/>
        </w:rPr>
        <w:t>and</w:t>
      </w:r>
      <w:r>
        <w:rPr>
          <w:spacing w:val="-12"/>
        </w:rPr>
        <w:t> </w:t>
      </w:r>
      <w:r>
        <w:rPr>
          <w:spacing w:val="-2"/>
        </w:rPr>
        <w:t>Biology </w:t>
      </w:r>
      <w:r>
        <w:rPr/>
        <w:t>etc. Highly specialised courses like Biotechnology</w:t>
      </w:r>
      <w:r>
        <w:rPr>
          <w:spacing w:val="80"/>
        </w:rPr>
        <w:t> </w:t>
      </w:r>
      <w:r>
        <w:rPr/>
        <w:t>or Bioinformatics at undergraduate level should be </w:t>
      </w:r>
      <w:r>
        <w:rPr>
          <w:spacing w:val="-4"/>
        </w:rPr>
        <w:t>avoided.</w:t>
      </w:r>
      <w:r>
        <w:rPr>
          <w:spacing w:val="-10"/>
        </w:rPr>
        <w:t> </w:t>
      </w:r>
      <w:r>
        <w:rPr>
          <w:spacing w:val="-4"/>
        </w:rPr>
        <w:t>Instead</w:t>
      </w:r>
      <w:r>
        <w:rPr>
          <w:spacing w:val="-10"/>
        </w:rPr>
        <w:t> </w:t>
      </w:r>
      <w:r>
        <w:rPr>
          <w:spacing w:val="-4"/>
        </w:rPr>
        <w:t>the</w:t>
      </w:r>
      <w:r>
        <w:rPr>
          <w:spacing w:val="-10"/>
        </w:rPr>
        <w:t> </w:t>
      </w:r>
      <w:r>
        <w:rPr>
          <w:spacing w:val="-4"/>
        </w:rPr>
        <w:t>emphasis</w:t>
      </w:r>
      <w:r>
        <w:rPr>
          <w:spacing w:val="-9"/>
        </w:rPr>
        <w:t> </w:t>
      </w:r>
      <w:r>
        <w:rPr>
          <w:spacing w:val="-4"/>
        </w:rPr>
        <w:t>should</w:t>
      </w:r>
      <w:r>
        <w:rPr>
          <w:spacing w:val="-10"/>
        </w:rPr>
        <w:t> </w:t>
      </w:r>
      <w:r>
        <w:rPr>
          <w:spacing w:val="-4"/>
        </w:rPr>
        <w:t>be</w:t>
      </w:r>
      <w:r>
        <w:rPr>
          <w:spacing w:val="-10"/>
        </w:rPr>
        <w:t> </w:t>
      </w:r>
      <w:r>
        <w:rPr>
          <w:spacing w:val="-4"/>
        </w:rPr>
        <w:t>on</w:t>
      </w:r>
      <w:r>
        <w:rPr>
          <w:spacing w:val="-10"/>
        </w:rPr>
        <w:t> </w:t>
      </w:r>
      <w:r>
        <w:rPr>
          <w:spacing w:val="-4"/>
        </w:rPr>
        <w:t>broad</w:t>
      </w:r>
      <w:r>
        <w:rPr>
          <w:spacing w:val="-9"/>
        </w:rPr>
        <w:t> </w:t>
      </w:r>
      <w:r>
        <w:rPr>
          <w:spacing w:val="-4"/>
        </w:rPr>
        <w:t>based </w:t>
      </w:r>
      <w:r>
        <w:rPr/>
        <w:t>knowledge</w:t>
      </w:r>
      <w:r>
        <w:rPr>
          <w:spacing w:val="-13"/>
        </w:rPr>
        <w:t> </w:t>
      </w:r>
      <w:r>
        <w:rPr/>
        <w:t>of</w:t>
      </w:r>
      <w:r>
        <w:rPr>
          <w:spacing w:val="-13"/>
        </w:rPr>
        <w:t> </w:t>
      </w:r>
      <w:r>
        <w:rPr/>
        <w:t>various</w:t>
      </w:r>
      <w:r>
        <w:rPr>
          <w:spacing w:val="-13"/>
        </w:rPr>
        <w:t> </w:t>
      </w:r>
      <w:r>
        <w:rPr/>
        <w:t>science</w:t>
      </w:r>
      <w:r>
        <w:rPr>
          <w:spacing w:val="-13"/>
        </w:rPr>
        <w:t> </w:t>
      </w:r>
      <w:r>
        <w:rPr/>
        <w:t>streams.</w:t>
      </w:r>
    </w:p>
    <w:p>
      <w:pPr>
        <w:pStyle w:val="BodyText"/>
        <w:spacing w:before="11"/>
      </w:pPr>
    </w:p>
    <w:p>
      <w:pPr>
        <w:pStyle w:val="ListParagraph"/>
        <w:numPr>
          <w:ilvl w:val="1"/>
          <w:numId w:val="38"/>
        </w:numPr>
        <w:tabs>
          <w:tab w:pos="647" w:val="left" w:leader="none"/>
        </w:tabs>
        <w:spacing w:line="266" w:lineRule="auto" w:before="0" w:after="0"/>
        <w:ind w:left="319" w:right="1067" w:firstLine="0"/>
        <w:jc w:val="both"/>
        <w:rPr>
          <w:sz w:val="22"/>
        </w:rPr>
      </w:pPr>
      <w:r>
        <w:rPr>
          <w:spacing w:val="-2"/>
          <w:sz w:val="22"/>
        </w:rPr>
        <w:t>The</w:t>
      </w:r>
      <w:r>
        <w:rPr>
          <w:spacing w:val="-14"/>
          <w:sz w:val="22"/>
        </w:rPr>
        <w:t> </w:t>
      </w:r>
      <w:r>
        <w:rPr>
          <w:spacing w:val="-2"/>
          <w:sz w:val="22"/>
        </w:rPr>
        <w:t>3</w:t>
      </w:r>
      <w:r>
        <w:rPr>
          <w:spacing w:val="-12"/>
          <w:sz w:val="22"/>
        </w:rPr>
        <w:t> </w:t>
      </w:r>
      <w:r>
        <w:rPr>
          <w:spacing w:val="-2"/>
          <w:sz w:val="22"/>
        </w:rPr>
        <w:t>year</w:t>
      </w:r>
      <w:r>
        <w:rPr>
          <w:spacing w:val="-12"/>
          <w:sz w:val="22"/>
        </w:rPr>
        <w:t> </w:t>
      </w:r>
      <w:r>
        <w:rPr>
          <w:spacing w:val="-2"/>
          <w:sz w:val="22"/>
        </w:rPr>
        <w:t>regular</w:t>
      </w:r>
      <w:r>
        <w:rPr>
          <w:spacing w:val="-11"/>
          <w:sz w:val="22"/>
        </w:rPr>
        <w:t> </w:t>
      </w:r>
      <w:r>
        <w:rPr>
          <w:spacing w:val="-2"/>
          <w:sz w:val="22"/>
        </w:rPr>
        <w:t>B.Sc</w:t>
      </w:r>
      <w:r>
        <w:rPr>
          <w:spacing w:val="-12"/>
          <w:sz w:val="22"/>
        </w:rPr>
        <w:t> </w:t>
      </w:r>
      <w:r>
        <w:rPr>
          <w:spacing w:val="-2"/>
          <w:sz w:val="22"/>
        </w:rPr>
        <w:t>course</w:t>
      </w:r>
      <w:r>
        <w:rPr>
          <w:spacing w:val="-12"/>
          <w:sz w:val="22"/>
        </w:rPr>
        <w:t> </w:t>
      </w:r>
      <w:r>
        <w:rPr>
          <w:spacing w:val="-2"/>
          <w:sz w:val="22"/>
        </w:rPr>
        <w:t>should</w:t>
      </w:r>
      <w:r>
        <w:rPr>
          <w:spacing w:val="-12"/>
          <w:sz w:val="22"/>
        </w:rPr>
        <w:t> </w:t>
      </w:r>
      <w:r>
        <w:rPr>
          <w:spacing w:val="-2"/>
          <w:sz w:val="22"/>
        </w:rPr>
        <w:t>be</w:t>
      </w:r>
      <w:r>
        <w:rPr>
          <w:spacing w:val="-11"/>
          <w:sz w:val="22"/>
        </w:rPr>
        <w:t> </w:t>
      </w:r>
      <w:r>
        <w:rPr>
          <w:spacing w:val="-2"/>
          <w:sz w:val="22"/>
        </w:rPr>
        <w:t>reformed. </w:t>
      </w:r>
      <w:r>
        <w:rPr>
          <w:sz w:val="22"/>
        </w:rPr>
        <w:t>In</w:t>
      </w:r>
      <w:r>
        <w:rPr>
          <w:spacing w:val="-14"/>
          <w:sz w:val="22"/>
        </w:rPr>
        <w:t> </w:t>
      </w:r>
      <w:r>
        <w:rPr>
          <w:sz w:val="22"/>
        </w:rPr>
        <w:t>the</w:t>
      </w:r>
      <w:r>
        <w:rPr>
          <w:spacing w:val="-14"/>
          <w:sz w:val="22"/>
        </w:rPr>
        <w:t> </w:t>
      </w:r>
      <w:r>
        <w:rPr>
          <w:sz w:val="22"/>
        </w:rPr>
        <w:t>first</w:t>
      </w:r>
      <w:r>
        <w:rPr>
          <w:spacing w:val="-14"/>
          <w:sz w:val="22"/>
        </w:rPr>
        <w:t> </w:t>
      </w:r>
      <w:r>
        <w:rPr>
          <w:sz w:val="22"/>
        </w:rPr>
        <w:t>year,</w:t>
      </w:r>
      <w:r>
        <w:rPr>
          <w:spacing w:val="-13"/>
          <w:sz w:val="22"/>
        </w:rPr>
        <w:t> </w:t>
      </w:r>
      <w:r>
        <w:rPr>
          <w:sz w:val="22"/>
        </w:rPr>
        <w:t>the</w:t>
      </w:r>
      <w:r>
        <w:rPr>
          <w:spacing w:val="-14"/>
          <w:sz w:val="22"/>
        </w:rPr>
        <w:t> </w:t>
      </w:r>
      <w:r>
        <w:rPr>
          <w:sz w:val="22"/>
        </w:rPr>
        <w:t>program</w:t>
      </w:r>
      <w:r>
        <w:rPr>
          <w:spacing w:val="-14"/>
          <w:sz w:val="22"/>
        </w:rPr>
        <w:t> </w:t>
      </w:r>
      <w:r>
        <w:rPr>
          <w:sz w:val="22"/>
        </w:rPr>
        <w:t>should</w:t>
      </w:r>
      <w:r>
        <w:rPr>
          <w:spacing w:val="-14"/>
          <w:sz w:val="22"/>
        </w:rPr>
        <w:t> </w:t>
      </w:r>
      <w:r>
        <w:rPr>
          <w:sz w:val="22"/>
        </w:rPr>
        <w:t>include</w:t>
      </w:r>
      <w:r>
        <w:rPr>
          <w:spacing w:val="-13"/>
          <w:sz w:val="22"/>
        </w:rPr>
        <w:t> </w:t>
      </w:r>
      <w:r>
        <w:rPr>
          <w:sz w:val="22"/>
        </w:rPr>
        <w:t>courses</w:t>
      </w:r>
      <w:r>
        <w:rPr>
          <w:spacing w:val="-14"/>
          <w:sz w:val="22"/>
        </w:rPr>
        <w:t> </w:t>
      </w:r>
      <w:r>
        <w:rPr>
          <w:sz w:val="22"/>
        </w:rPr>
        <w:t>in </w:t>
      </w:r>
      <w:r>
        <w:rPr>
          <w:spacing w:val="-4"/>
          <w:sz w:val="22"/>
        </w:rPr>
        <w:t>all</w:t>
      </w:r>
      <w:r>
        <w:rPr>
          <w:spacing w:val="-10"/>
          <w:sz w:val="22"/>
        </w:rPr>
        <w:t> </w:t>
      </w:r>
      <w:r>
        <w:rPr>
          <w:spacing w:val="-4"/>
          <w:sz w:val="22"/>
        </w:rPr>
        <w:t>major</w:t>
      </w:r>
      <w:r>
        <w:rPr>
          <w:spacing w:val="-10"/>
          <w:sz w:val="22"/>
        </w:rPr>
        <w:t> </w:t>
      </w:r>
      <w:r>
        <w:rPr>
          <w:spacing w:val="-4"/>
          <w:sz w:val="22"/>
        </w:rPr>
        <w:t>disciplines</w:t>
      </w:r>
      <w:r>
        <w:rPr>
          <w:spacing w:val="-10"/>
          <w:sz w:val="22"/>
        </w:rPr>
        <w:t> </w:t>
      </w:r>
      <w:r>
        <w:rPr>
          <w:spacing w:val="-4"/>
          <w:sz w:val="22"/>
        </w:rPr>
        <w:t>of</w:t>
      </w:r>
      <w:r>
        <w:rPr>
          <w:spacing w:val="-9"/>
          <w:sz w:val="22"/>
        </w:rPr>
        <w:t> </w:t>
      </w:r>
      <w:r>
        <w:rPr>
          <w:spacing w:val="-4"/>
          <w:sz w:val="22"/>
        </w:rPr>
        <w:t>science,</w:t>
      </w:r>
      <w:r>
        <w:rPr>
          <w:spacing w:val="-10"/>
          <w:sz w:val="22"/>
        </w:rPr>
        <w:t> </w:t>
      </w:r>
      <w:r>
        <w:rPr>
          <w:spacing w:val="-4"/>
          <w:sz w:val="22"/>
        </w:rPr>
        <w:t>so</w:t>
      </w:r>
      <w:r>
        <w:rPr>
          <w:spacing w:val="-10"/>
          <w:sz w:val="22"/>
        </w:rPr>
        <w:t> </w:t>
      </w:r>
      <w:r>
        <w:rPr>
          <w:spacing w:val="-4"/>
          <w:sz w:val="22"/>
        </w:rPr>
        <w:t>that</w:t>
      </w:r>
      <w:r>
        <w:rPr>
          <w:spacing w:val="-10"/>
          <w:sz w:val="22"/>
        </w:rPr>
        <w:t> </w:t>
      </w:r>
      <w:r>
        <w:rPr>
          <w:spacing w:val="-4"/>
          <w:sz w:val="22"/>
        </w:rPr>
        <w:t>all</w:t>
      </w:r>
      <w:r>
        <w:rPr>
          <w:spacing w:val="-9"/>
          <w:sz w:val="22"/>
        </w:rPr>
        <w:t> </w:t>
      </w:r>
      <w:r>
        <w:rPr>
          <w:spacing w:val="-4"/>
          <w:sz w:val="22"/>
        </w:rPr>
        <w:t>students</w:t>
      </w:r>
      <w:r>
        <w:rPr>
          <w:spacing w:val="-10"/>
          <w:sz w:val="22"/>
        </w:rPr>
        <w:t> </w:t>
      </w:r>
      <w:r>
        <w:rPr>
          <w:spacing w:val="-4"/>
          <w:sz w:val="22"/>
        </w:rPr>
        <w:t>learn </w:t>
      </w:r>
      <w:r>
        <w:rPr>
          <w:w w:val="90"/>
          <w:sz w:val="22"/>
        </w:rPr>
        <w:t>the basics of “physical”, “life” and “earth” sciences.</w:t>
      </w:r>
      <w:r>
        <w:rPr>
          <w:spacing w:val="-9"/>
          <w:w w:val="90"/>
          <w:sz w:val="22"/>
        </w:rPr>
        <w:t> </w:t>
      </w:r>
      <w:r>
        <w:rPr>
          <w:w w:val="90"/>
          <w:sz w:val="22"/>
        </w:rPr>
        <w:t>These </w:t>
      </w:r>
      <w:r>
        <w:rPr>
          <w:sz w:val="22"/>
        </w:rPr>
        <w:t>courses should advance the student’s understanding beyond the +2 level where the focus is more on information due to limited evaluation methodology. </w:t>
      </w:r>
      <w:r>
        <w:rPr>
          <w:spacing w:val="-2"/>
          <w:sz w:val="22"/>
        </w:rPr>
        <w:t>“Deficiency”</w:t>
      </w:r>
      <w:r>
        <w:rPr>
          <w:spacing w:val="-12"/>
          <w:sz w:val="22"/>
        </w:rPr>
        <w:t> </w:t>
      </w:r>
      <w:r>
        <w:rPr>
          <w:spacing w:val="-2"/>
          <w:sz w:val="22"/>
        </w:rPr>
        <w:t>courses</w:t>
      </w:r>
      <w:r>
        <w:rPr>
          <w:spacing w:val="-12"/>
          <w:sz w:val="22"/>
        </w:rPr>
        <w:t> </w:t>
      </w:r>
      <w:r>
        <w:rPr>
          <w:spacing w:val="-2"/>
          <w:sz w:val="22"/>
        </w:rPr>
        <w:t>may</w:t>
      </w:r>
      <w:r>
        <w:rPr>
          <w:spacing w:val="-11"/>
          <w:sz w:val="22"/>
        </w:rPr>
        <w:t> </w:t>
      </w:r>
      <w:r>
        <w:rPr>
          <w:spacing w:val="-2"/>
          <w:sz w:val="22"/>
        </w:rPr>
        <w:t>need</w:t>
      </w:r>
      <w:r>
        <w:rPr>
          <w:spacing w:val="-12"/>
          <w:sz w:val="22"/>
        </w:rPr>
        <w:t> </w:t>
      </w:r>
      <w:r>
        <w:rPr>
          <w:spacing w:val="-2"/>
          <w:sz w:val="22"/>
        </w:rPr>
        <w:t>to</w:t>
      </w:r>
      <w:r>
        <w:rPr>
          <w:spacing w:val="-12"/>
          <w:sz w:val="22"/>
        </w:rPr>
        <w:t> </w:t>
      </w:r>
      <w:r>
        <w:rPr>
          <w:spacing w:val="-2"/>
          <w:sz w:val="22"/>
        </w:rPr>
        <w:t>be</w:t>
      </w:r>
      <w:r>
        <w:rPr>
          <w:spacing w:val="-11"/>
          <w:sz w:val="22"/>
        </w:rPr>
        <w:t> </w:t>
      </w:r>
      <w:r>
        <w:rPr>
          <w:spacing w:val="-2"/>
          <w:sz w:val="22"/>
        </w:rPr>
        <w:t>planned</w:t>
      </w:r>
      <w:r>
        <w:rPr>
          <w:spacing w:val="-12"/>
          <w:sz w:val="22"/>
        </w:rPr>
        <w:t> </w:t>
      </w:r>
      <w:r>
        <w:rPr>
          <w:spacing w:val="-2"/>
          <w:sz w:val="22"/>
        </w:rPr>
        <w:t>for</w:t>
      </w:r>
      <w:r>
        <w:rPr>
          <w:spacing w:val="-12"/>
          <w:sz w:val="22"/>
        </w:rPr>
        <w:t> </w:t>
      </w:r>
      <w:r>
        <w:rPr>
          <w:spacing w:val="-2"/>
          <w:sz w:val="22"/>
        </w:rPr>
        <w:t>those </w:t>
      </w:r>
      <w:r>
        <w:rPr>
          <w:sz w:val="22"/>
        </w:rPr>
        <w:t>who</w:t>
      </w:r>
      <w:r>
        <w:rPr>
          <w:spacing w:val="7"/>
          <w:sz w:val="22"/>
        </w:rPr>
        <w:t> </w:t>
      </w:r>
      <w:r>
        <w:rPr>
          <w:sz w:val="22"/>
        </w:rPr>
        <w:t>have</w:t>
      </w:r>
      <w:r>
        <w:rPr>
          <w:spacing w:val="7"/>
          <w:sz w:val="22"/>
        </w:rPr>
        <w:t> </w:t>
      </w:r>
      <w:r>
        <w:rPr>
          <w:sz w:val="22"/>
        </w:rPr>
        <w:t>not</w:t>
      </w:r>
      <w:r>
        <w:rPr>
          <w:spacing w:val="7"/>
          <w:sz w:val="22"/>
        </w:rPr>
        <w:t> </w:t>
      </w:r>
      <w:r>
        <w:rPr>
          <w:sz w:val="22"/>
        </w:rPr>
        <w:t>studied</w:t>
      </w:r>
      <w:r>
        <w:rPr>
          <w:spacing w:val="7"/>
          <w:sz w:val="22"/>
        </w:rPr>
        <w:t> </w:t>
      </w:r>
      <w:r>
        <w:rPr>
          <w:sz w:val="22"/>
        </w:rPr>
        <w:t>Mathematics</w:t>
      </w:r>
      <w:r>
        <w:rPr>
          <w:spacing w:val="7"/>
          <w:sz w:val="22"/>
        </w:rPr>
        <w:t> </w:t>
      </w:r>
      <w:r>
        <w:rPr>
          <w:sz w:val="22"/>
        </w:rPr>
        <w:t>or</w:t>
      </w:r>
      <w:r>
        <w:rPr>
          <w:spacing w:val="7"/>
          <w:sz w:val="22"/>
        </w:rPr>
        <w:t> </w:t>
      </w:r>
      <w:r>
        <w:rPr>
          <w:sz w:val="22"/>
        </w:rPr>
        <w:t>Biology</w:t>
      </w:r>
      <w:r>
        <w:rPr>
          <w:spacing w:val="7"/>
          <w:sz w:val="22"/>
        </w:rPr>
        <w:t> </w:t>
      </w:r>
      <w:r>
        <w:rPr>
          <w:sz w:val="22"/>
        </w:rPr>
        <w:t>at</w:t>
      </w:r>
      <w:r>
        <w:rPr>
          <w:spacing w:val="7"/>
          <w:sz w:val="22"/>
        </w:rPr>
        <w:t> </w:t>
      </w:r>
      <w:r>
        <w:rPr>
          <w:sz w:val="22"/>
        </w:rPr>
        <w:t>the</w:t>
      </w:r>
    </w:p>
    <w:p>
      <w:pPr>
        <w:pStyle w:val="BodyText"/>
        <w:spacing w:line="266" w:lineRule="auto"/>
        <w:ind w:left="319" w:right="1067"/>
        <w:jc w:val="both"/>
      </w:pPr>
      <w:r>
        <w:rPr/>
        <w:t>+2</w:t>
      </w:r>
      <w:r>
        <w:rPr>
          <w:spacing w:val="-14"/>
        </w:rPr>
        <w:t> </w:t>
      </w:r>
      <w:r>
        <w:rPr/>
        <w:t>level.</w:t>
      </w:r>
      <w:r>
        <w:rPr>
          <w:spacing w:val="-14"/>
        </w:rPr>
        <w:t> </w:t>
      </w:r>
      <w:r>
        <w:rPr/>
        <w:t>In</w:t>
      </w:r>
      <w:r>
        <w:rPr>
          <w:spacing w:val="-14"/>
        </w:rPr>
        <w:t> </w:t>
      </w:r>
      <w:r>
        <w:rPr/>
        <w:t>the</w:t>
      </w:r>
      <w:r>
        <w:rPr>
          <w:spacing w:val="-13"/>
        </w:rPr>
        <w:t> </w:t>
      </w:r>
      <w:r>
        <w:rPr/>
        <w:t>second</w:t>
      </w:r>
      <w:r>
        <w:rPr>
          <w:spacing w:val="-14"/>
        </w:rPr>
        <w:t> </w:t>
      </w:r>
      <w:r>
        <w:rPr/>
        <w:t>year,</w:t>
      </w:r>
      <w:r>
        <w:rPr>
          <w:spacing w:val="-14"/>
        </w:rPr>
        <w:t> </w:t>
      </w:r>
      <w:r>
        <w:rPr/>
        <w:t>a</w:t>
      </w:r>
      <w:r>
        <w:rPr>
          <w:spacing w:val="-14"/>
        </w:rPr>
        <w:t> </w:t>
      </w:r>
      <w:r>
        <w:rPr/>
        <w:t>student</w:t>
      </w:r>
      <w:r>
        <w:rPr>
          <w:spacing w:val="-13"/>
        </w:rPr>
        <w:t> </w:t>
      </w:r>
      <w:r>
        <w:rPr/>
        <w:t>may</w:t>
      </w:r>
      <w:r>
        <w:rPr>
          <w:spacing w:val="-14"/>
        </w:rPr>
        <w:t> </w:t>
      </w:r>
      <w:r>
        <w:rPr/>
        <w:t>select</w:t>
      </w:r>
      <w:r>
        <w:rPr>
          <w:spacing w:val="-14"/>
        </w:rPr>
        <w:t> </w:t>
      </w:r>
      <w:r>
        <w:rPr/>
        <w:t>three </w:t>
      </w:r>
      <w:r>
        <w:rPr>
          <w:spacing w:val="-2"/>
        </w:rPr>
        <w:t>main</w:t>
      </w:r>
      <w:r>
        <w:rPr>
          <w:spacing w:val="-12"/>
        </w:rPr>
        <w:t> </w:t>
      </w:r>
      <w:r>
        <w:rPr>
          <w:spacing w:val="-2"/>
        </w:rPr>
        <w:t>subjects;</w:t>
      </w:r>
      <w:r>
        <w:rPr>
          <w:spacing w:val="-12"/>
        </w:rPr>
        <w:t> </w:t>
      </w:r>
      <w:r>
        <w:rPr>
          <w:spacing w:val="-2"/>
        </w:rPr>
        <w:t>however,</w:t>
      </w:r>
      <w:r>
        <w:rPr>
          <w:spacing w:val="-12"/>
        </w:rPr>
        <w:t> </w:t>
      </w:r>
      <w:r>
        <w:rPr>
          <w:spacing w:val="-2"/>
        </w:rPr>
        <w:t>about</w:t>
      </w:r>
      <w:r>
        <w:rPr>
          <w:spacing w:val="-11"/>
        </w:rPr>
        <w:t> </w:t>
      </w:r>
      <w:r>
        <w:rPr>
          <w:spacing w:val="-2"/>
        </w:rPr>
        <w:t>15-20</w:t>
      </w:r>
      <w:r>
        <w:rPr>
          <w:spacing w:val="-12"/>
        </w:rPr>
        <w:t> </w:t>
      </w:r>
      <w:r>
        <w:rPr>
          <w:spacing w:val="-2"/>
        </w:rPr>
        <w:t>per</w:t>
      </w:r>
      <w:r>
        <w:rPr>
          <w:spacing w:val="-12"/>
        </w:rPr>
        <w:t> </w:t>
      </w:r>
      <w:r>
        <w:rPr>
          <w:spacing w:val="-2"/>
        </w:rPr>
        <w:t>cent</w:t>
      </w:r>
      <w:r>
        <w:rPr>
          <w:spacing w:val="-12"/>
        </w:rPr>
        <w:t> </w:t>
      </w:r>
      <w:r>
        <w:rPr>
          <w:spacing w:val="-2"/>
        </w:rPr>
        <w:t>of</w:t>
      </w:r>
      <w:r>
        <w:rPr>
          <w:spacing w:val="-11"/>
        </w:rPr>
        <w:t> </w:t>
      </w:r>
      <w:r>
        <w:rPr>
          <w:spacing w:val="-2"/>
        </w:rPr>
        <w:t>credits </w:t>
      </w:r>
      <w:r>
        <w:rPr/>
        <w:t>should be earned through courses from other </w:t>
      </w:r>
      <w:r>
        <w:rPr/>
        <w:t>streams (e.g.</w:t>
      </w:r>
      <w:r>
        <w:rPr>
          <w:spacing w:val="27"/>
        </w:rPr>
        <w:t> </w:t>
      </w:r>
      <w:r>
        <w:rPr/>
        <w:t>a</w:t>
      </w:r>
      <w:r>
        <w:rPr>
          <w:spacing w:val="28"/>
        </w:rPr>
        <w:t> </w:t>
      </w:r>
      <w:r>
        <w:rPr/>
        <w:t>student</w:t>
      </w:r>
      <w:r>
        <w:rPr>
          <w:spacing w:val="28"/>
        </w:rPr>
        <w:t> </w:t>
      </w:r>
      <w:r>
        <w:rPr/>
        <w:t>of</w:t>
      </w:r>
      <w:r>
        <w:rPr>
          <w:spacing w:val="28"/>
        </w:rPr>
        <w:t> </w:t>
      </w:r>
      <w:r>
        <w:rPr/>
        <w:t>“Physics/Maths”</w:t>
      </w:r>
      <w:r>
        <w:rPr>
          <w:spacing w:val="28"/>
        </w:rPr>
        <w:t> </w:t>
      </w:r>
      <w:r>
        <w:rPr/>
        <w:t>stream</w:t>
      </w:r>
      <w:r>
        <w:rPr>
          <w:spacing w:val="28"/>
        </w:rPr>
        <w:t> </w:t>
      </w:r>
      <w:r>
        <w:rPr/>
        <w:t>may</w:t>
      </w:r>
      <w:r>
        <w:rPr>
          <w:spacing w:val="28"/>
        </w:rPr>
        <w:t> </w:t>
      </w:r>
      <w:r>
        <w:rPr>
          <w:spacing w:val="-4"/>
        </w:rPr>
        <w:t>take</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57"/>
        <w:ind w:left="1079"/>
        <w:jc w:val="both"/>
      </w:pPr>
      <w:r>
        <w:rPr/>
        <w:t>some courses in Biological/Earth sciences and </w:t>
      </w:r>
      <w:r>
        <w:rPr/>
        <w:t>vice- versa. In the final year, the student may select one subject (Major subject) out of the three studied in</w:t>
      </w:r>
      <w:r>
        <w:rPr>
          <w:spacing w:val="80"/>
        </w:rPr>
        <w:t> </w:t>
      </w:r>
      <w:r>
        <w:rPr/>
        <w:t>the</w:t>
      </w:r>
      <w:r>
        <w:rPr>
          <w:spacing w:val="-4"/>
        </w:rPr>
        <w:t> </w:t>
      </w:r>
      <w:r>
        <w:rPr/>
        <w:t>second</w:t>
      </w:r>
      <w:r>
        <w:rPr>
          <w:spacing w:val="-4"/>
        </w:rPr>
        <w:t> </w:t>
      </w:r>
      <w:r>
        <w:rPr/>
        <w:t>year.</w:t>
      </w:r>
      <w:r>
        <w:rPr>
          <w:spacing w:val="-4"/>
        </w:rPr>
        <w:t> </w:t>
      </w:r>
      <w:r>
        <w:rPr/>
        <w:t>Again,</w:t>
      </w:r>
      <w:r>
        <w:rPr>
          <w:spacing w:val="-4"/>
        </w:rPr>
        <w:t> </w:t>
      </w:r>
      <w:r>
        <w:rPr/>
        <w:t>15-20</w:t>
      </w:r>
      <w:r>
        <w:rPr>
          <w:spacing w:val="-4"/>
        </w:rPr>
        <w:t> </w:t>
      </w:r>
      <w:r>
        <w:rPr/>
        <w:t>per</w:t>
      </w:r>
      <w:r>
        <w:rPr>
          <w:spacing w:val="-4"/>
        </w:rPr>
        <w:t> </w:t>
      </w:r>
      <w:r>
        <w:rPr/>
        <w:t>cent</w:t>
      </w:r>
      <w:r>
        <w:rPr>
          <w:spacing w:val="-4"/>
        </w:rPr>
        <w:t> </w:t>
      </w:r>
      <w:r>
        <w:rPr/>
        <w:t>credits</w:t>
      </w:r>
      <w:r>
        <w:rPr>
          <w:spacing w:val="-4"/>
        </w:rPr>
        <w:t> </w:t>
      </w:r>
      <w:r>
        <w:rPr/>
        <w:t>should be obtained through courses in other streams. These </w:t>
      </w:r>
      <w:r>
        <w:rPr>
          <w:spacing w:val="-6"/>
        </w:rPr>
        <w:t>should also include courses designed to improve “skills” </w:t>
      </w:r>
      <w:r>
        <w:rPr>
          <w:spacing w:val="-2"/>
        </w:rPr>
        <w:t>like</w:t>
      </w:r>
      <w:r>
        <w:rPr>
          <w:spacing w:val="-12"/>
        </w:rPr>
        <w:t> </w:t>
      </w:r>
      <w:r>
        <w:rPr>
          <w:spacing w:val="-2"/>
        </w:rPr>
        <w:t>computer</w:t>
      </w:r>
      <w:r>
        <w:rPr>
          <w:spacing w:val="-12"/>
        </w:rPr>
        <w:t> </w:t>
      </w:r>
      <w:r>
        <w:rPr>
          <w:spacing w:val="-2"/>
        </w:rPr>
        <w:t>programming,</w:t>
      </w:r>
      <w:r>
        <w:rPr>
          <w:spacing w:val="-12"/>
        </w:rPr>
        <w:t> </w:t>
      </w:r>
      <w:r>
        <w:rPr>
          <w:spacing w:val="-2"/>
        </w:rPr>
        <w:t>statistics,</w:t>
      </w:r>
      <w:r>
        <w:rPr>
          <w:spacing w:val="-11"/>
        </w:rPr>
        <w:t> </w:t>
      </w:r>
      <w:r>
        <w:rPr>
          <w:spacing w:val="-2"/>
        </w:rPr>
        <w:t>instrumentation </w:t>
      </w:r>
      <w:r>
        <w:rPr/>
        <w:t>(optical/electronic) etc.</w:t>
      </w:r>
    </w:p>
    <w:p>
      <w:pPr>
        <w:pStyle w:val="BodyText"/>
        <w:spacing w:before="21"/>
      </w:pPr>
    </w:p>
    <w:p>
      <w:pPr>
        <w:pStyle w:val="BodyText"/>
        <w:spacing w:line="266" w:lineRule="auto"/>
        <w:ind w:left="1079"/>
        <w:jc w:val="both"/>
      </w:pPr>
      <w:r>
        <w:rPr/>
        <w:t>All science courses must include 30 to 40 per cent </w:t>
      </w:r>
      <w:r>
        <w:rPr>
          <w:spacing w:val="-6"/>
        </w:rPr>
        <w:t>credits in laboratory and field work (where applicable as </w:t>
      </w:r>
      <w:r>
        <w:rPr>
          <w:spacing w:val="-4"/>
        </w:rPr>
        <w:t>in</w:t>
      </w:r>
      <w:r>
        <w:rPr>
          <w:spacing w:val="-10"/>
        </w:rPr>
        <w:t> </w:t>
      </w:r>
      <w:r>
        <w:rPr>
          <w:spacing w:val="-4"/>
        </w:rPr>
        <w:t>Earth</w:t>
      </w:r>
      <w:r>
        <w:rPr>
          <w:spacing w:val="-10"/>
        </w:rPr>
        <w:t> </w:t>
      </w:r>
      <w:r>
        <w:rPr>
          <w:spacing w:val="-4"/>
        </w:rPr>
        <w:t>sciences</w:t>
      </w:r>
      <w:r>
        <w:rPr>
          <w:spacing w:val="-10"/>
        </w:rPr>
        <w:t> </w:t>
      </w:r>
      <w:r>
        <w:rPr>
          <w:spacing w:val="-4"/>
        </w:rPr>
        <w:t>and</w:t>
      </w:r>
      <w:r>
        <w:rPr>
          <w:spacing w:val="-9"/>
        </w:rPr>
        <w:t> </w:t>
      </w:r>
      <w:r>
        <w:rPr>
          <w:spacing w:val="-4"/>
        </w:rPr>
        <w:t>some</w:t>
      </w:r>
      <w:r>
        <w:rPr>
          <w:spacing w:val="-10"/>
        </w:rPr>
        <w:t> </w:t>
      </w:r>
      <w:r>
        <w:rPr>
          <w:spacing w:val="-4"/>
        </w:rPr>
        <w:t>areas</w:t>
      </w:r>
      <w:r>
        <w:rPr>
          <w:spacing w:val="-10"/>
        </w:rPr>
        <w:t> </w:t>
      </w:r>
      <w:r>
        <w:rPr>
          <w:spacing w:val="-4"/>
        </w:rPr>
        <w:t>in</w:t>
      </w:r>
      <w:r>
        <w:rPr>
          <w:spacing w:val="-10"/>
        </w:rPr>
        <w:t> </w:t>
      </w:r>
      <w:r>
        <w:rPr>
          <w:spacing w:val="-4"/>
        </w:rPr>
        <w:t>Biological</w:t>
      </w:r>
      <w:r>
        <w:rPr>
          <w:spacing w:val="-9"/>
        </w:rPr>
        <w:t> </w:t>
      </w:r>
      <w:r>
        <w:rPr>
          <w:spacing w:val="-4"/>
        </w:rPr>
        <w:t>sciences) and</w:t>
      </w:r>
      <w:r>
        <w:rPr>
          <w:spacing w:val="-10"/>
        </w:rPr>
        <w:t> </w:t>
      </w:r>
      <w:r>
        <w:rPr>
          <w:spacing w:val="-4"/>
        </w:rPr>
        <w:t>the</w:t>
      </w:r>
      <w:r>
        <w:rPr>
          <w:spacing w:val="-10"/>
        </w:rPr>
        <w:t> </w:t>
      </w:r>
      <w:r>
        <w:rPr>
          <w:spacing w:val="-4"/>
        </w:rPr>
        <w:t>laboratory</w:t>
      </w:r>
      <w:r>
        <w:rPr>
          <w:spacing w:val="-10"/>
        </w:rPr>
        <w:t> </w:t>
      </w:r>
      <w:r>
        <w:rPr>
          <w:spacing w:val="-4"/>
        </w:rPr>
        <w:t>exercises</w:t>
      </w:r>
      <w:r>
        <w:rPr>
          <w:spacing w:val="-9"/>
        </w:rPr>
        <w:t> </w:t>
      </w:r>
      <w:r>
        <w:rPr>
          <w:spacing w:val="-4"/>
        </w:rPr>
        <w:t>should</w:t>
      </w:r>
      <w:r>
        <w:rPr>
          <w:spacing w:val="-10"/>
        </w:rPr>
        <w:t> </w:t>
      </w:r>
      <w:r>
        <w:rPr>
          <w:spacing w:val="-4"/>
        </w:rPr>
        <w:t>be</w:t>
      </w:r>
      <w:r>
        <w:rPr>
          <w:spacing w:val="-10"/>
        </w:rPr>
        <w:t> </w:t>
      </w:r>
      <w:r>
        <w:rPr>
          <w:spacing w:val="-4"/>
        </w:rPr>
        <w:t>planned</w:t>
      </w:r>
      <w:r>
        <w:rPr>
          <w:spacing w:val="-10"/>
        </w:rPr>
        <w:t> </w:t>
      </w:r>
      <w:r>
        <w:rPr>
          <w:spacing w:val="-4"/>
        </w:rPr>
        <w:t>in</w:t>
      </w:r>
      <w:r>
        <w:rPr>
          <w:spacing w:val="-9"/>
        </w:rPr>
        <w:t> </w:t>
      </w:r>
      <w:r>
        <w:rPr>
          <w:spacing w:val="-4"/>
        </w:rPr>
        <w:t>such</w:t>
      </w:r>
      <w:r>
        <w:rPr>
          <w:spacing w:val="-10"/>
        </w:rPr>
        <w:t> </w:t>
      </w:r>
      <w:r>
        <w:rPr>
          <w:spacing w:val="-4"/>
        </w:rPr>
        <w:t>a </w:t>
      </w:r>
      <w:r>
        <w:rPr>
          <w:spacing w:val="-2"/>
        </w:rPr>
        <w:t>manner</w:t>
      </w:r>
      <w:r>
        <w:rPr>
          <w:spacing w:val="-12"/>
        </w:rPr>
        <w:t> </w:t>
      </w:r>
      <w:r>
        <w:rPr>
          <w:spacing w:val="-2"/>
        </w:rPr>
        <w:t>that</w:t>
      </w:r>
      <w:r>
        <w:rPr>
          <w:spacing w:val="-12"/>
        </w:rPr>
        <w:t> </w:t>
      </w:r>
      <w:r>
        <w:rPr>
          <w:spacing w:val="-2"/>
        </w:rPr>
        <w:t>students</w:t>
      </w:r>
      <w:r>
        <w:rPr>
          <w:spacing w:val="-12"/>
        </w:rPr>
        <w:t> </w:t>
      </w:r>
      <w:r>
        <w:rPr>
          <w:spacing w:val="-2"/>
        </w:rPr>
        <w:t>have</w:t>
      </w:r>
      <w:r>
        <w:rPr>
          <w:spacing w:val="-11"/>
        </w:rPr>
        <w:t> </w:t>
      </w:r>
      <w:r>
        <w:rPr>
          <w:spacing w:val="-2"/>
        </w:rPr>
        <w:t>opportunities</w:t>
      </w:r>
      <w:r>
        <w:rPr>
          <w:spacing w:val="-12"/>
        </w:rPr>
        <w:t> </w:t>
      </w:r>
      <w:r>
        <w:rPr>
          <w:spacing w:val="-2"/>
        </w:rPr>
        <w:t>for</w:t>
      </w:r>
      <w:r>
        <w:rPr>
          <w:spacing w:val="-12"/>
        </w:rPr>
        <w:t> </w:t>
      </w:r>
      <w:r>
        <w:rPr>
          <w:spacing w:val="-2"/>
        </w:rPr>
        <w:t>“hands</w:t>
      </w:r>
      <w:r>
        <w:rPr>
          <w:spacing w:val="-12"/>
        </w:rPr>
        <w:t> </w:t>
      </w:r>
      <w:r>
        <w:rPr>
          <w:spacing w:val="-2"/>
        </w:rPr>
        <w:t>on” </w:t>
      </w:r>
      <w:r>
        <w:rPr>
          <w:spacing w:val="-4"/>
        </w:rPr>
        <w:t>training,</w:t>
      </w:r>
      <w:r>
        <w:rPr>
          <w:spacing w:val="-10"/>
        </w:rPr>
        <w:t> </w:t>
      </w:r>
      <w:r>
        <w:rPr>
          <w:spacing w:val="-4"/>
        </w:rPr>
        <w:t>and</w:t>
      </w:r>
      <w:r>
        <w:rPr>
          <w:spacing w:val="-10"/>
        </w:rPr>
        <w:t> </w:t>
      </w:r>
      <w:r>
        <w:rPr>
          <w:spacing w:val="-4"/>
        </w:rPr>
        <w:t>a</w:t>
      </w:r>
      <w:r>
        <w:rPr>
          <w:spacing w:val="-10"/>
        </w:rPr>
        <w:t> </w:t>
      </w:r>
      <w:r>
        <w:rPr>
          <w:spacing w:val="-4"/>
        </w:rPr>
        <w:t>certain</w:t>
      </w:r>
      <w:r>
        <w:rPr>
          <w:spacing w:val="-9"/>
        </w:rPr>
        <w:t> </w:t>
      </w:r>
      <w:r>
        <w:rPr>
          <w:spacing w:val="-4"/>
        </w:rPr>
        <w:t>proportion</w:t>
      </w:r>
      <w:r>
        <w:rPr>
          <w:spacing w:val="-10"/>
        </w:rPr>
        <w:t> </w:t>
      </w:r>
      <w:r>
        <w:rPr>
          <w:spacing w:val="-4"/>
        </w:rPr>
        <w:t>of</w:t>
      </w:r>
      <w:r>
        <w:rPr>
          <w:spacing w:val="-10"/>
        </w:rPr>
        <w:t> </w:t>
      </w:r>
      <w:r>
        <w:rPr>
          <w:spacing w:val="-4"/>
        </w:rPr>
        <w:t>practicals</w:t>
      </w:r>
      <w:r>
        <w:rPr>
          <w:spacing w:val="-10"/>
        </w:rPr>
        <w:t> </w:t>
      </w:r>
      <w:r>
        <w:rPr>
          <w:spacing w:val="-4"/>
        </w:rPr>
        <w:t>should</w:t>
      </w:r>
      <w:r>
        <w:rPr>
          <w:spacing w:val="-9"/>
        </w:rPr>
        <w:t> </w:t>
      </w:r>
      <w:r>
        <w:rPr>
          <w:spacing w:val="-4"/>
        </w:rPr>
        <w:t>be </w:t>
      </w:r>
      <w:r>
        <w:rPr>
          <w:spacing w:val="-6"/>
        </w:rPr>
        <w:t>“open-ended”</w:t>
      </w:r>
      <w:r>
        <w:rPr>
          <w:spacing w:val="-10"/>
        </w:rPr>
        <w:t> </w:t>
      </w:r>
      <w:r>
        <w:rPr>
          <w:spacing w:val="-6"/>
        </w:rPr>
        <w:t>so</w:t>
      </w:r>
      <w:r>
        <w:rPr>
          <w:spacing w:val="-8"/>
        </w:rPr>
        <w:t> </w:t>
      </w:r>
      <w:r>
        <w:rPr>
          <w:spacing w:val="-6"/>
        </w:rPr>
        <w:t>that</w:t>
      </w:r>
      <w:r>
        <w:rPr>
          <w:spacing w:val="-8"/>
        </w:rPr>
        <w:t> </w:t>
      </w:r>
      <w:r>
        <w:rPr>
          <w:spacing w:val="-6"/>
        </w:rPr>
        <w:t>students</w:t>
      </w:r>
      <w:r>
        <w:rPr>
          <w:spacing w:val="-7"/>
        </w:rPr>
        <w:t> </w:t>
      </w:r>
      <w:r>
        <w:rPr>
          <w:spacing w:val="-6"/>
        </w:rPr>
        <w:t>can</w:t>
      </w:r>
      <w:r>
        <w:rPr>
          <w:spacing w:val="-8"/>
        </w:rPr>
        <w:t> </w:t>
      </w:r>
      <w:r>
        <w:rPr>
          <w:spacing w:val="-6"/>
        </w:rPr>
        <w:t>learn</w:t>
      </w:r>
      <w:r>
        <w:rPr>
          <w:spacing w:val="-8"/>
        </w:rPr>
        <w:t> </w:t>
      </w:r>
      <w:r>
        <w:rPr>
          <w:spacing w:val="-6"/>
        </w:rPr>
        <w:t>to</w:t>
      </w:r>
      <w:r>
        <w:rPr>
          <w:spacing w:val="-8"/>
        </w:rPr>
        <w:t> </w:t>
      </w:r>
      <w:r>
        <w:rPr>
          <w:spacing w:val="-6"/>
        </w:rPr>
        <w:t>be</w:t>
      </w:r>
      <w:r>
        <w:rPr>
          <w:spacing w:val="-7"/>
        </w:rPr>
        <w:t> </w:t>
      </w:r>
      <w:r>
        <w:rPr>
          <w:spacing w:val="-6"/>
        </w:rPr>
        <w:t>innovative/ </w:t>
      </w:r>
      <w:r>
        <w:rPr>
          <w:spacing w:val="-4"/>
        </w:rPr>
        <w:t>exploratory.</w:t>
      </w:r>
      <w:r>
        <w:rPr>
          <w:spacing w:val="-10"/>
        </w:rPr>
        <w:t> </w:t>
      </w:r>
      <w:r>
        <w:rPr>
          <w:spacing w:val="-4"/>
        </w:rPr>
        <w:t>The</w:t>
      </w:r>
      <w:r>
        <w:rPr>
          <w:spacing w:val="-10"/>
        </w:rPr>
        <w:t> </w:t>
      </w:r>
      <w:r>
        <w:rPr>
          <w:spacing w:val="-4"/>
        </w:rPr>
        <w:t>“open-ended”</w:t>
      </w:r>
      <w:r>
        <w:rPr>
          <w:spacing w:val="-10"/>
        </w:rPr>
        <w:t> </w:t>
      </w:r>
      <w:r>
        <w:rPr>
          <w:spacing w:val="-4"/>
        </w:rPr>
        <w:t>exercises</w:t>
      </w:r>
      <w:r>
        <w:rPr>
          <w:spacing w:val="-9"/>
        </w:rPr>
        <w:t> </w:t>
      </w:r>
      <w:r>
        <w:rPr>
          <w:spacing w:val="-4"/>
        </w:rPr>
        <w:t>may</w:t>
      </w:r>
      <w:r>
        <w:rPr>
          <w:spacing w:val="-10"/>
        </w:rPr>
        <w:t> </w:t>
      </w:r>
      <w:r>
        <w:rPr>
          <w:spacing w:val="-4"/>
        </w:rPr>
        <w:t>also</w:t>
      </w:r>
      <w:r>
        <w:rPr>
          <w:spacing w:val="-10"/>
        </w:rPr>
        <w:t> </w:t>
      </w:r>
      <w:r>
        <w:rPr>
          <w:spacing w:val="-4"/>
        </w:rPr>
        <w:t>be</w:t>
      </w:r>
      <w:r>
        <w:rPr>
          <w:spacing w:val="-10"/>
        </w:rPr>
        <w:t> </w:t>
      </w:r>
      <w:r>
        <w:rPr>
          <w:spacing w:val="-4"/>
        </w:rPr>
        <w:t>in </w:t>
      </w:r>
      <w:r>
        <w:rPr/>
        <w:t>form</w:t>
      </w:r>
      <w:r>
        <w:rPr>
          <w:spacing w:val="-5"/>
        </w:rPr>
        <w:t> </w:t>
      </w:r>
      <w:r>
        <w:rPr/>
        <w:t>of</w:t>
      </w:r>
      <w:r>
        <w:rPr>
          <w:spacing w:val="-5"/>
        </w:rPr>
        <w:t> </w:t>
      </w:r>
      <w:r>
        <w:rPr/>
        <w:t>“projects”,</w:t>
      </w:r>
      <w:r>
        <w:rPr>
          <w:spacing w:val="-5"/>
        </w:rPr>
        <w:t> </w:t>
      </w:r>
      <w:r>
        <w:rPr/>
        <w:t>which</w:t>
      </w:r>
      <w:r>
        <w:rPr>
          <w:spacing w:val="-5"/>
        </w:rPr>
        <w:t> </w:t>
      </w:r>
      <w:r>
        <w:rPr/>
        <w:t>should</w:t>
      </w:r>
      <w:r>
        <w:rPr>
          <w:spacing w:val="-5"/>
        </w:rPr>
        <w:t> </w:t>
      </w:r>
      <w:r>
        <w:rPr/>
        <w:t>include,</w:t>
      </w:r>
      <w:r>
        <w:rPr>
          <w:spacing w:val="-5"/>
        </w:rPr>
        <w:t> </w:t>
      </w:r>
      <w:r>
        <w:rPr/>
        <w:t>besides</w:t>
      </w:r>
      <w:r>
        <w:rPr>
          <w:spacing w:val="-5"/>
        </w:rPr>
        <w:t> </w:t>
      </w:r>
      <w:r>
        <w:rPr/>
        <w:t>the actual</w:t>
      </w:r>
      <w:r>
        <w:rPr>
          <w:spacing w:val="-14"/>
        </w:rPr>
        <w:t> </w:t>
      </w:r>
      <w:r>
        <w:rPr/>
        <w:t>study,</w:t>
      </w:r>
      <w:r>
        <w:rPr>
          <w:spacing w:val="-14"/>
        </w:rPr>
        <w:t> </w:t>
      </w:r>
      <w:r>
        <w:rPr/>
        <w:t>preparation</w:t>
      </w:r>
      <w:r>
        <w:rPr>
          <w:spacing w:val="-14"/>
        </w:rPr>
        <w:t> </w:t>
      </w:r>
      <w:r>
        <w:rPr/>
        <w:t>of</w:t>
      </w:r>
      <w:r>
        <w:rPr>
          <w:spacing w:val="-13"/>
        </w:rPr>
        <w:t> </w:t>
      </w:r>
      <w:r>
        <w:rPr/>
        <w:t>a</w:t>
      </w:r>
      <w:r>
        <w:rPr>
          <w:spacing w:val="-14"/>
        </w:rPr>
        <w:t> </w:t>
      </w:r>
      <w:r>
        <w:rPr/>
        <w:t>formal</w:t>
      </w:r>
      <w:r>
        <w:rPr>
          <w:spacing w:val="-14"/>
        </w:rPr>
        <w:t> </w:t>
      </w:r>
      <w:r>
        <w:rPr/>
        <w:t>report.</w:t>
      </w:r>
      <w:r>
        <w:rPr>
          <w:spacing w:val="-14"/>
        </w:rPr>
        <w:t> </w:t>
      </w:r>
      <w:r>
        <w:rPr/>
        <w:t>Care</w:t>
      </w:r>
      <w:r>
        <w:rPr>
          <w:spacing w:val="-13"/>
        </w:rPr>
        <w:t> </w:t>
      </w:r>
      <w:r>
        <w:rPr/>
        <w:t>must </w:t>
      </w:r>
      <w:r>
        <w:rPr>
          <w:spacing w:val="-4"/>
        </w:rPr>
        <w:t>be</w:t>
      </w:r>
      <w:r>
        <w:rPr>
          <w:spacing w:val="-7"/>
        </w:rPr>
        <w:t> </w:t>
      </w:r>
      <w:r>
        <w:rPr>
          <w:spacing w:val="-4"/>
        </w:rPr>
        <w:t>exercised</w:t>
      </w:r>
      <w:r>
        <w:rPr>
          <w:spacing w:val="-7"/>
        </w:rPr>
        <w:t> </w:t>
      </w:r>
      <w:r>
        <w:rPr>
          <w:spacing w:val="-4"/>
        </w:rPr>
        <w:t>to</w:t>
      </w:r>
      <w:r>
        <w:rPr>
          <w:spacing w:val="-7"/>
        </w:rPr>
        <w:t> </w:t>
      </w:r>
      <w:r>
        <w:rPr>
          <w:spacing w:val="-4"/>
        </w:rPr>
        <w:t>ensure</w:t>
      </w:r>
      <w:r>
        <w:rPr>
          <w:spacing w:val="-7"/>
        </w:rPr>
        <w:t> </w:t>
      </w:r>
      <w:r>
        <w:rPr>
          <w:spacing w:val="-4"/>
        </w:rPr>
        <w:t>that</w:t>
      </w:r>
      <w:r>
        <w:rPr>
          <w:spacing w:val="-7"/>
        </w:rPr>
        <w:t> </w:t>
      </w:r>
      <w:r>
        <w:rPr>
          <w:spacing w:val="-4"/>
        </w:rPr>
        <w:t>the</w:t>
      </w:r>
      <w:r>
        <w:rPr>
          <w:spacing w:val="-7"/>
        </w:rPr>
        <w:t> </w:t>
      </w:r>
      <w:r>
        <w:rPr>
          <w:spacing w:val="-4"/>
        </w:rPr>
        <w:t>practicals</w:t>
      </w:r>
      <w:r>
        <w:rPr>
          <w:spacing w:val="-7"/>
        </w:rPr>
        <w:t> </w:t>
      </w:r>
      <w:r>
        <w:rPr>
          <w:spacing w:val="-4"/>
        </w:rPr>
        <w:t>do</w:t>
      </w:r>
      <w:r>
        <w:rPr>
          <w:spacing w:val="-7"/>
        </w:rPr>
        <w:t> </w:t>
      </w:r>
      <w:r>
        <w:rPr>
          <w:spacing w:val="-4"/>
        </w:rPr>
        <w:t>not</w:t>
      </w:r>
      <w:r>
        <w:rPr>
          <w:spacing w:val="-7"/>
        </w:rPr>
        <w:t> </w:t>
      </w:r>
      <w:r>
        <w:rPr>
          <w:spacing w:val="-4"/>
        </w:rPr>
        <w:t>become “rituals”</w:t>
      </w:r>
      <w:r>
        <w:rPr>
          <w:spacing w:val="-10"/>
        </w:rPr>
        <w:t> </w:t>
      </w:r>
      <w:r>
        <w:rPr>
          <w:spacing w:val="-4"/>
        </w:rPr>
        <w:t>or</w:t>
      </w:r>
      <w:r>
        <w:rPr>
          <w:spacing w:val="-10"/>
        </w:rPr>
        <w:t> </w:t>
      </w:r>
      <w:r>
        <w:rPr>
          <w:spacing w:val="-4"/>
        </w:rPr>
        <w:t>“demonstrations”,</w:t>
      </w:r>
      <w:r>
        <w:rPr>
          <w:spacing w:val="-10"/>
        </w:rPr>
        <w:t> </w:t>
      </w:r>
      <w:r>
        <w:rPr>
          <w:spacing w:val="-4"/>
        </w:rPr>
        <w:t>and</w:t>
      </w:r>
      <w:r>
        <w:rPr>
          <w:spacing w:val="-9"/>
        </w:rPr>
        <w:t> </w:t>
      </w:r>
      <w:r>
        <w:rPr>
          <w:spacing w:val="-4"/>
        </w:rPr>
        <w:t>project</w:t>
      </w:r>
      <w:r>
        <w:rPr>
          <w:spacing w:val="-10"/>
        </w:rPr>
        <w:t> </w:t>
      </w:r>
      <w:r>
        <w:rPr>
          <w:spacing w:val="-4"/>
        </w:rPr>
        <w:t>reports</w:t>
      </w:r>
      <w:r>
        <w:rPr>
          <w:spacing w:val="-10"/>
        </w:rPr>
        <w:t> </w:t>
      </w:r>
      <w:r>
        <w:rPr>
          <w:spacing w:val="-4"/>
        </w:rPr>
        <w:t>do</w:t>
      </w:r>
      <w:r>
        <w:rPr>
          <w:spacing w:val="-10"/>
        </w:rPr>
        <w:t> </w:t>
      </w:r>
      <w:r>
        <w:rPr>
          <w:spacing w:val="-4"/>
        </w:rPr>
        <w:t>not </w:t>
      </w:r>
      <w:r>
        <w:rPr/>
        <w:t>get</w:t>
      </w:r>
      <w:r>
        <w:rPr>
          <w:spacing w:val="-8"/>
        </w:rPr>
        <w:t> </w:t>
      </w:r>
      <w:r>
        <w:rPr/>
        <w:t>replicated</w:t>
      </w:r>
      <w:r>
        <w:rPr>
          <w:spacing w:val="-8"/>
        </w:rPr>
        <w:t> </w:t>
      </w:r>
      <w:r>
        <w:rPr/>
        <w:t>from</w:t>
      </w:r>
      <w:r>
        <w:rPr>
          <w:spacing w:val="-8"/>
        </w:rPr>
        <w:t> </w:t>
      </w:r>
      <w:r>
        <w:rPr/>
        <w:t>one</w:t>
      </w:r>
      <w:r>
        <w:rPr>
          <w:spacing w:val="-8"/>
        </w:rPr>
        <w:t> </w:t>
      </w:r>
      <w:r>
        <w:rPr/>
        <w:t>batch</w:t>
      </w:r>
      <w:r>
        <w:rPr>
          <w:spacing w:val="-8"/>
        </w:rPr>
        <w:t> </w:t>
      </w:r>
      <w:r>
        <w:rPr/>
        <w:t>to</w:t>
      </w:r>
      <w:r>
        <w:rPr>
          <w:spacing w:val="-8"/>
        </w:rPr>
        <w:t> </w:t>
      </w:r>
      <w:r>
        <w:rPr/>
        <w:t>the</w:t>
      </w:r>
      <w:r>
        <w:rPr>
          <w:spacing w:val="-8"/>
        </w:rPr>
        <w:t> </w:t>
      </w:r>
      <w:r>
        <w:rPr/>
        <w:t>next.</w:t>
      </w:r>
    </w:p>
    <w:p>
      <w:pPr>
        <w:pStyle w:val="BodyText"/>
        <w:spacing w:before="16"/>
      </w:pPr>
    </w:p>
    <w:p>
      <w:pPr>
        <w:pStyle w:val="BodyText"/>
        <w:spacing w:line="266" w:lineRule="auto"/>
        <w:ind w:left="1079"/>
        <w:jc w:val="both"/>
      </w:pPr>
      <w:r>
        <w:rPr>
          <w:spacing w:val="-4"/>
        </w:rPr>
        <w:t>It</w:t>
      </w:r>
      <w:r>
        <w:rPr>
          <w:spacing w:val="-8"/>
        </w:rPr>
        <w:t> </w:t>
      </w:r>
      <w:r>
        <w:rPr>
          <w:spacing w:val="-4"/>
        </w:rPr>
        <w:t>is</w:t>
      </w:r>
      <w:r>
        <w:rPr>
          <w:spacing w:val="-8"/>
        </w:rPr>
        <w:t> </w:t>
      </w:r>
      <w:r>
        <w:rPr>
          <w:spacing w:val="-4"/>
        </w:rPr>
        <w:t>also</w:t>
      </w:r>
      <w:r>
        <w:rPr>
          <w:spacing w:val="-8"/>
        </w:rPr>
        <w:t> </w:t>
      </w:r>
      <w:r>
        <w:rPr>
          <w:spacing w:val="-4"/>
        </w:rPr>
        <w:t>desirable</w:t>
      </w:r>
      <w:r>
        <w:rPr>
          <w:spacing w:val="-8"/>
        </w:rPr>
        <w:t> </w:t>
      </w:r>
      <w:r>
        <w:rPr>
          <w:spacing w:val="-4"/>
        </w:rPr>
        <w:t>that</w:t>
      </w:r>
      <w:r>
        <w:rPr>
          <w:spacing w:val="-8"/>
        </w:rPr>
        <w:t> </w:t>
      </w:r>
      <w:r>
        <w:rPr>
          <w:spacing w:val="-4"/>
        </w:rPr>
        <w:t>language</w:t>
      </w:r>
      <w:r>
        <w:rPr>
          <w:spacing w:val="-8"/>
        </w:rPr>
        <w:t> </w:t>
      </w:r>
      <w:r>
        <w:rPr>
          <w:spacing w:val="-4"/>
        </w:rPr>
        <w:t>courses</w:t>
      </w:r>
      <w:r>
        <w:rPr>
          <w:spacing w:val="-8"/>
        </w:rPr>
        <w:t> </w:t>
      </w:r>
      <w:r>
        <w:rPr>
          <w:spacing w:val="-4"/>
        </w:rPr>
        <w:t>are</w:t>
      </w:r>
      <w:r>
        <w:rPr>
          <w:spacing w:val="-8"/>
        </w:rPr>
        <w:t> </w:t>
      </w:r>
      <w:r>
        <w:rPr>
          <w:spacing w:val="-4"/>
        </w:rPr>
        <w:t>introduced, </w:t>
      </w:r>
      <w:r>
        <w:rPr/>
        <w:t>at</w:t>
      </w:r>
      <w:r>
        <w:rPr>
          <w:spacing w:val="-11"/>
        </w:rPr>
        <w:t> </w:t>
      </w:r>
      <w:r>
        <w:rPr/>
        <w:t>least</w:t>
      </w:r>
      <w:r>
        <w:rPr>
          <w:spacing w:val="-11"/>
        </w:rPr>
        <w:t> </w:t>
      </w:r>
      <w:r>
        <w:rPr/>
        <w:t>from</w:t>
      </w:r>
      <w:r>
        <w:rPr>
          <w:spacing w:val="-11"/>
        </w:rPr>
        <w:t> </w:t>
      </w:r>
      <w:r>
        <w:rPr/>
        <w:t>the</w:t>
      </w:r>
      <w:r>
        <w:rPr>
          <w:spacing w:val="-11"/>
        </w:rPr>
        <w:t> </w:t>
      </w:r>
      <w:r>
        <w:rPr/>
        <w:t>viewpoint</w:t>
      </w:r>
      <w:r>
        <w:rPr>
          <w:spacing w:val="-11"/>
        </w:rPr>
        <w:t> </w:t>
      </w:r>
      <w:r>
        <w:rPr/>
        <w:t>of</w:t>
      </w:r>
      <w:r>
        <w:rPr>
          <w:spacing w:val="-11"/>
        </w:rPr>
        <w:t> </w:t>
      </w:r>
      <w:r>
        <w:rPr/>
        <w:t>presentation</w:t>
      </w:r>
      <w:r>
        <w:rPr>
          <w:spacing w:val="-11"/>
        </w:rPr>
        <w:t> </w:t>
      </w:r>
      <w:r>
        <w:rPr/>
        <w:t>of</w:t>
      </w:r>
      <w:r>
        <w:rPr>
          <w:spacing w:val="-11"/>
        </w:rPr>
        <w:t> </w:t>
      </w:r>
      <w:r>
        <w:rPr/>
        <w:t>data</w:t>
      </w:r>
      <w:r>
        <w:rPr>
          <w:spacing w:val="-11"/>
        </w:rPr>
        <w:t> </w:t>
      </w:r>
      <w:r>
        <w:rPr/>
        <w:t>etc. in scientific reports/papers. In addition, the students </w:t>
      </w:r>
      <w:r>
        <w:rPr>
          <w:spacing w:val="-2"/>
        </w:rPr>
        <w:t>should</w:t>
      </w:r>
      <w:r>
        <w:rPr>
          <w:spacing w:val="-12"/>
        </w:rPr>
        <w:t> </w:t>
      </w:r>
      <w:r>
        <w:rPr>
          <w:spacing w:val="-2"/>
        </w:rPr>
        <w:t>also</w:t>
      </w:r>
      <w:r>
        <w:rPr>
          <w:spacing w:val="-12"/>
        </w:rPr>
        <w:t> </w:t>
      </w:r>
      <w:r>
        <w:rPr>
          <w:spacing w:val="-2"/>
        </w:rPr>
        <w:t>be</w:t>
      </w:r>
      <w:r>
        <w:rPr>
          <w:spacing w:val="-12"/>
        </w:rPr>
        <w:t> </w:t>
      </w:r>
      <w:r>
        <w:rPr>
          <w:spacing w:val="-2"/>
        </w:rPr>
        <w:t>encouraged</w:t>
      </w:r>
      <w:r>
        <w:rPr>
          <w:spacing w:val="-11"/>
        </w:rPr>
        <w:t> </w:t>
      </w:r>
      <w:r>
        <w:rPr>
          <w:spacing w:val="-2"/>
        </w:rPr>
        <w:t>to</w:t>
      </w:r>
      <w:r>
        <w:rPr>
          <w:spacing w:val="-12"/>
        </w:rPr>
        <w:t> </w:t>
      </w:r>
      <w:r>
        <w:rPr>
          <w:spacing w:val="-2"/>
        </w:rPr>
        <w:t>take</w:t>
      </w:r>
      <w:r>
        <w:rPr>
          <w:spacing w:val="-12"/>
        </w:rPr>
        <w:t> </w:t>
      </w:r>
      <w:r>
        <w:rPr>
          <w:spacing w:val="-2"/>
        </w:rPr>
        <w:t>some</w:t>
      </w:r>
      <w:r>
        <w:rPr>
          <w:spacing w:val="-12"/>
        </w:rPr>
        <w:t> </w:t>
      </w:r>
      <w:r>
        <w:rPr>
          <w:spacing w:val="-2"/>
        </w:rPr>
        <w:t>extra</w:t>
      </w:r>
      <w:r>
        <w:rPr>
          <w:spacing w:val="-11"/>
        </w:rPr>
        <w:t> </w:t>
      </w:r>
      <w:r>
        <w:rPr>
          <w:spacing w:val="-2"/>
        </w:rPr>
        <w:t>credits</w:t>
      </w:r>
      <w:r>
        <w:rPr>
          <w:spacing w:val="-12"/>
        </w:rPr>
        <w:t> </w:t>
      </w:r>
      <w:r>
        <w:rPr>
          <w:spacing w:val="-2"/>
        </w:rPr>
        <w:t>in </w:t>
      </w:r>
      <w:r>
        <w:rPr>
          <w:spacing w:val="-4"/>
        </w:rPr>
        <w:t>courses</w:t>
      </w:r>
      <w:r>
        <w:rPr>
          <w:spacing w:val="-8"/>
        </w:rPr>
        <w:t> </w:t>
      </w:r>
      <w:r>
        <w:rPr>
          <w:spacing w:val="-4"/>
        </w:rPr>
        <w:t>in</w:t>
      </w:r>
      <w:r>
        <w:rPr>
          <w:spacing w:val="-8"/>
        </w:rPr>
        <w:t> </w:t>
      </w:r>
      <w:r>
        <w:rPr>
          <w:spacing w:val="-4"/>
        </w:rPr>
        <w:t>other</w:t>
      </w:r>
      <w:r>
        <w:rPr>
          <w:spacing w:val="-8"/>
        </w:rPr>
        <w:t> </w:t>
      </w:r>
      <w:r>
        <w:rPr>
          <w:spacing w:val="-4"/>
        </w:rPr>
        <w:t>faculties,</w:t>
      </w:r>
      <w:r>
        <w:rPr>
          <w:spacing w:val="-8"/>
        </w:rPr>
        <w:t> </w:t>
      </w:r>
      <w:r>
        <w:rPr>
          <w:spacing w:val="-4"/>
        </w:rPr>
        <w:t>like</w:t>
      </w:r>
      <w:r>
        <w:rPr>
          <w:spacing w:val="-8"/>
        </w:rPr>
        <w:t> </w:t>
      </w:r>
      <w:r>
        <w:rPr>
          <w:spacing w:val="-4"/>
        </w:rPr>
        <w:t>Arts,</w:t>
      </w:r>
      <w:r>
        <w:rPr>
          <w:spacing w:val="-8"/>
        </w:rPr>
        <w:t> </w:t>
      </w:r>
      <w:r>
        <w:rPr>
          <w:spacing w:val="-4"/>
        </w:rPr>
        <w:t>Social</w:t>
      </w:r>
      <w:r>
        <w:rPr>
          <w:spacing w:val="-8"/>
        </w:rPr>
        <w:t> </w:t>
      </w:r>
      <w:r>
        <w:rPr>
          <w:spacing w:val="-4"/>
        </w:rPr>
        <w:t>Sciences</w:t>
      </w:r>
      <w:r>
        <w:rPr>
          <w:spacing w:val="-8"/>
        </w:rPr>
        <w:t> </w:t>
      </w:r>
      <w:r>
        <w:rPr>
          <w:spacing w:val="-4"/>
        </w:rPr>
        <w:t>etc. to</w:t>
      </w:r>
      <w:r>
        <w:rPr>
          <w:spacing w:val="-10"/>
        </w:rPr>
        <w:t> </w:t>
      </w:r>
      <w:r>
        <w:rPr>
          <w:spacing w:val="-4"/>
        </w:rPr>
        <w:t>develop</w:t>
      </w:r>
      <w:r>
        <w:rPr>
          <w:spacing w:val="-10"/>
        </w:rPr>
        <w:t> </w:t>
      </w:r>
      <w:r>
        <w:rPr>
          <w:spacing w:val="-4"/>
        </w:rPr>
        <w:t>a</w:t>
      </w:r>
      <w:r>
        <w:rPr>
          <w:spacing w:val="-10"/>
        </w:rPr>
        <w:t> </w:t>
      </w:r>
      <w:r>
        <w:rPr>
          <w:spacing w:val="-4"/>
        </w:rPr>
        <w:t>more</w:t>
      </w:r>
      <w:r>
        <w:rPr>
          <w:spacing w:val="-9"/>
        </w:rPr>
        <w:t> </w:t>
      </w:r>
      <w:r>
        <w:rPr>
          <w:spacing w:val="-4"/>
        </w:rPr>
        <w:t>integrative</w:t>
      </w:r>
      <w:r>
        <w:rPr>
          <w:spacing w:val="-10"/>
        </w:rPr>
        <w:t> </w:t>
      </w:r>
      <w:r>
        <w:rPr>
          <w:spacing w:val="-4"/>
        </w:rPr>
        <w:t>personality.</w:t>
      </w:r>
      <w:r>
        <w:rPr>
          <w:spacing w:val="-10"/>
        </w:rPr>
        <w:t> </w:t>
      </w:r>
      <w:r>
        <w:rPr>
          <w:spacing w:val="-4"/>
        </w:rPr>
        <w:t>To</w:t>
      </w:r>
      <w:r>
        <w:rPr>
          <w:spacing w:val="-10"/>
        </w:rPr>
        <w:t> </w:t>
      </w:r>
      <w:r>
        <w:rPr>
          <w:spacing w:val="-4"/>
        </w:rPr>
        <w:t>encourage </w:t>
      </w:r>
      <w:r>
        <w:rPr>
          <w:spacing w:val="-2"/>
        </w:rPr>
        <w:t>communication</w:t>
      </w:r>
      <w:r>
        <w:rPr>
          <w:spacing w:val="-6"/>
        </w:rPr>
        <w:t> </w:t>
      </w:r>
      <w:r>
        <w:rPr>
          <w:spacing w:val="-2"/>
        </w:rPr>
        <w:t>skills,</w:t>
      </w:r>
      <w:r>
        <w:rPr>
          <w:spacing w:val="-6"/>
        </w:rPr>
        <w:t> </w:t>
      </w:r>
      <w:r>
        <w:rPr>
          <w:spacing w:val="-2"/>
        </w:rPr>
        <w:t>each</w:t>
      </w:r>
      <w:r>
        <w:rPr>
          <w:spacing w:val="-6"/>
        </w:rPr>
        <w:t> </w:t>
      </w:r>
      <w:r>
        <w:rPr>
          <w:spacing w:val="-2"/>
        </w:rPr>
        <w:t>student</w:t>
      </w:r>
      <w:r>
        <w:rPr>
          <w:spacing w:val="-6"/>
        </w:rPr>
        <w:t> </w:t>
      </w:r>
      <w:r>
        <w:rPr>
          <w:spacing w:val="-2"/>
        </w:rPr>
        <w:t>should</w:t>
      </w:r>
      <w:r>
        <w:rPr>
          <w:spacing w:val="-6"/>
        </w:rPr>
        <w:t> </w:t>
      </w:r>
      <w:r>
        <w:rPr>
          <w:spacing w:val="-2"/>
        </w:rPr>
        <w:t>be</w:t>
      </w:r>
      <w:r>
        <w:rPr>
          <w:spacing w:val="-6"/>
        </w:rPr>
        <w:t> </w:t>
      </w:r>
      <w:r>
        <w:rPr>
          <w:spacing w:val="-2"/>
        </w:rPr>
        <w:t>required </w:t>
      </w:r>
      <w:r>
        <w:rPr/>
        <w:t>to give at least one seminar on a current topic in the final year of B.Sc.</w:t>
      </w:r>
    </w:p>
    <w:p>
      <w:pPr>
        <w:pStyle w:val="BodyText"/>
        <w:spacing w:before="20"/>
      </w:pPr>
    </w:p>
    <w:p>
      <w:pPr>
        <w:pStyle w:val="ListParagraph"/>
        <w:numPr>
          <w:ilvl w:val="1"/>
          <w:numId w:val="38"/>
        </w:numPr>
        <w:tabs>
          <w:tab w:pos="1453" w:val="left" w:leader="none"/>
        </w:tabs>
        <w:spacing w:line="266" w:lineRule="auto" w:before="0" w:after="0"/>
        <w:ind w:left="1079" w:right="0" w:firstLine="0"/>
        <w:jc w:val="both"/>
        <w:rPr>
          <w:sz w:val="22"/>
        </w:rPr>
      </w:pPr>
      <w:r>
        <w:rPr>
          <w:sz w:val="22"/>
        </w:rPr>
        <w:t>The integrated M.Sc offered by many </w:t>
      </w:r>
      <w:r>
        <w:rPr>
          <w:sz w:val="22"/>
        </w:rPr>
        <w:t>institutes should be made more flexible. The program should offer</w:t>
      </w:r>
      <w:r>
        <w:rPr>
          <w:spacing w:val="-12"/>
          <w:sz w:val="22"/>
        </w:rPr>
        <w:t> </w:t>
      </w:r>
      <w:r>
        <w:rPr>
          <w:sz w:val="22"/>
        </w:rPr>
        <w:t>more</w:t>
      </w:r>
      <w:r>
        <w:rPr>
          <w:spacing w:val="-10"/>
          <w:sz w:val="22"/>
        </w:rPr>
        <w:t> </w:t>
      </w:r>
      <w:r>
        <w:rPr>
          <w:sz w:val="22"/>
        </w:rPr>
        <w:t>elective</w:t>
      </w:r>
      <w:r>
        <w:rPr>
          <w:spacing w:val="-10"/>
          <w:sz w:val="22"/>
        </w:rPr>
        <w:t> </w:t>
      </w:r>
      <w:r>
        <w:rPr>
          <w:sz w:val="22"/>
        </w:rPr>
        <w:t>choices</w:t>
      </w:r>
      <w:r>
        <w:rPr>
          <w:spacing w:val="-10"/>
          <w:sz w:val="22"/>
        </w:rPr>
        <w:t> </w:t>
      </w:r>
      <w:r>
        <w:rPr>
          <w:sz w:val="22"/>
        </w:rPr>
        <w:t>for</w:t>
      </w:r>
      <w:r>
        <w:rPr>
          <w:spacing w:val="-10"/>
          <w:sz w:val="22"/>
        </w:rPr>
        <w:t> </w:t>
      </w:r>
      <w:r>
        <w:rPr>
          <w:sz w:val="22"/>
        </w:rPr>
        <w:t>students.</w:t>
      </w:r>
      <w:r>
        <w:rPr>
          <w:spacing w:val="-14"/>
          <w:sz w:val="22"/>
        </w:rPr>
        <w:t> </w:t>
      </w:r>
      <w:r>
        <w:rPr>
          <w:sz w:val="22"/>
        </w:rPr>
        <w:t>The</w:t>
      </w:r>
      <w:r>
        <w:rPr>
          <w:spacing w:val="-10"/>
          <w:sz w:val="22"/>
        </w:rPr>
        <w:t> </w:t>
      </w:r>
      <w:r>
        <w:rPr>
          <w:sz w:val="22"/>
        </w:rPr>
        <w:t>program should be restructured so that the students have the option to pursue a part of their training outside the </w:t>
      </w:r>
      <w:r>
        <w:rPr>
          <w:spacing w:val="-2"/>
          <w:sz w:val="22"/>
        </w:rPr>
        <w:t>mother</w:t>
      </w:r>
      <w:r>
        <w:rPr>
          <w:spacing w:val="-12"/>
          <w:sz w:val="22"/>
        </w:rPr>
        <w:t> </w:t>
      </w:r>
      <w:r>
        <w:rPr>
          <w:spacing w:val="-2"/>
          <w:sz w:val="22"/>
        </w:rPr>
        <w:t>institute.</w:t>
      </w:r>
      <w:r>
        <w:rPr>
          <w:spacing w:val="-12"/>
          <w:sz w:val="22"/>
        </w:rPr>
        <w:t> </w:t>
      </w:r>
      <w:r>
        <w:rPr>
          <w:spacing w:val="-2"/>
          <w:sz w:val="22"/>
        </w:rPr>
        <w:t>This</w:t>
      </w:r>
      <w:r>
        <w:rPr>
          <w:spacing w:val="-12"/>
          <w:sz w:val="22"/>
        </w:rPr>
        <w:t> </w:t>
      </w:r>
      <w:r>
        <w:rPr>
          <w:spacing w:val="-2"/>
          <w:sz w:val="22"/>
        </w:rPr>
        <w:t>is</w:t>
      </w:r>
      <w:r>
        <w:rPr>
          <w:spacing w:val="-10"/>
          <w:sz w:val="22"/>
        </w:rPr>
        <w:t> </w:t>
      </w:r>
      <w:r>
        <w:rPr>
          <w:spacing w:val="-2"/>
          <w:sz w:val="22"/>
        </w:rPr>
        <w:t>being</w:t>
      </w:r>
      <w:r>
        <w:rPr>
          <w:spacing w:val="-10"/>
          <w:sz w:val="22"/>
        </w:rPr>
        <w:t> </w:t>
      </w:r>
      <w:r>
        <w:rPr>
          <w:spacing w:val="-2"/>
          <w:sz w:val="22"/>
        </w:rPr>
        <w:t>followed</w:t>
      </w:r>
      <w:r>
        <w:rPr>
          <w:spacing w:val="-10"/>
          <w:sz w:val="22"/>
        </w:rPr>
        <w:t> </w:t>
      </w:r>
      <w:r>
        <w:rPr>
          <w:spacing w:val="-2"/>
          <w:sz w:val="22"/>
        </w:rPr>
        <w:t>successfully</w:t>
      </w:r>
      <w:r>
        <w:rPr>
          <w:spacing w:val="-10"/>
          <w:sz w:val="22"/>
        </w:rPr>
        <w:t> </w:t>
      </w:r>
      <w:r>
        <w:rPr>
          <w:spacing w:val="-2"/>
          <w:sz w:val="22"/>
        </w:rPr>
        <w:t>in </w:t>
      </w:r>
      <w:r>
        <w:rPr>
          <w:sz w:val="22"/>
        </w:rPr>
        <w:t>institutes like BITS Pilani. Further, a student should have the flexibility to major in a science stream and </w:t>
      </w:r>
      <w:r>
        <w:rPr>
          <w:spacing w:val="-2"/>
          <w:sz w:val="22"/>
        </w:rPr>
        <w:t>obtain</w:t>
      </w:r>
      <w:r>
        <w:rPr>
          <w:spacing w:val="-10"/>
          <w:sz w:val="22"/>
        </w:rPr>
        <w:t> </w:t>
      </w:r>
      <w:r>
        <w:rPr>
          <w:spacing w:val="-2"/>
          <w:sz w:val="22"/>
        </w:rPr>
        <w:t>a</w:t>
      </w:r>
      <w:r>
        <w:rPr>
          <w:spacing w:val="-10"/>
          <w:sz w:val="22"/>
        </w:rPr>
        <w:t> </w:t>
      </w:r>
      <w:r>
        <w:rPr>
          <w:spacing w:val="-2"/>
          <w:sz w:val="22"/>
        </w:rPr>
        <w:t>minor</w:t>
      </w:r>
      <w:r>
        <w:rPr>
          <w:spacing w:val="-10"/>
          <w:sz w:val="22"/>
        </w:rPr>
        <w:t> </w:t>
      </w:r>
      <w:r>
        <w:rPr>
          <w:spacing w:val="-2"/>
          <w:sz w:val="22"/>
        </w:rPr>
        <w:t>in</w:t>
      </w:r>
      <w:r>
        <w:rPr>
          <w:spacing w:val="-10"/>
          <w:sz w:val="22"/>
        </w:rPr>
        <w:t> </w:t>
      </w:r>
      <w:r>
        <w:rPr>
          <w:spacing w:val="-2"/>
          <w:sz w:val="22"/>
        </w:rPr>
        <w:t>engineering</w:t>
      </w:r>
      <w:r>
        <w:rPr>
          <w:spacing w:val="-10"/>
          <w:sz w:val="22"/>
        </w:rPr>
        <w:t> </w:t>
      </w:r>
      <w:r>
        <w:rPr>
          <w:spacing w:val="-2"/>
          <w:sz w:val="22"/>
        </w:rPr>
        <w:t>or</w:t>
      </w:r>
      <w:r>
        <w:rPr>
          <w:spacing w:val="-10"/>
          <w:sz w:val="22"/>
        </w:rPr>
        <w:t> </w:t>
      </w:r>
      <w:r>
        <w:rPr>
          <w:spacing w:val="-2"/>
          <w:sz w:val="22"/>
        </w:rPr>
        <w:t>technology</w:t>
      </w:r>
      <w:r>
        <w:rPr>
          <w:spacing w:val="-10"/>
          <w:sz w:val="22"/>
        </w:rPr>
        <w:t> </w:t>
      </w:r>
      <w:r>
        <w:rPr>
          <w:spacing w:val="-2"/>
          <w:sz w:val="22"/>
        </w:rPr>
        <w:t>or</w:t>
      </w:r>
      <w:r>
        <w:rPr>
          <w:spacing w:val="-10"/>
          <w:sz w:val="22"/>
        </w:rPr>
        <w:t> </w:t>
      </w:r>
      <w:r>
        <w:rPr>
          <w:spacing w:val="-2"/>
          <w:sz w:val="22"/>
        </w:rPr>
        <w:t>another </w:t>
      </w:r>
      <w:r>
        <w:rPr>
          <w:spacing w:val="-4"/>
          <w:sz w:val="22"/>
        </w:rPr>
        <w:t>science stream.</w:t>
      </w:r>
      <w:r>
        <w:rPr>
          <w:spacing w:val="-10"/>
          <w:sz w:val="22"/>
        </w:rPr>
        <w:t> </w:t>
      </w:r>
      <w:r>
        <w:rPr>
          <w:spacing w:val="-4"/>
          <w:sz w:val="22"/>
        </w:rPr>
        <w:t>The program should have the provision </w:t>
      </w:r>
      <w:r>
        <w:rPr>
          <w:sz w:val="22"/>
        </w:rPr>
        <w:t>to</w:t>
      </w:r>
      <w:r>
        <w:rPr>
          <w:spacing w:val="-9"/>
          <w:sz w:val="22"/>
        </w:rPr>
        <w:t> </w:t>
      </w:r>
      <w:r>
        <w:rPr>
          <w:sz w:val="22"/>
        </w:rPr>
        <w:t>be</w:t>
      </w:r>
      <w:r>
        <w:rPr>
          <w:spacing w:val="-9"/>
          <w:sz w:val="22"/>
        </w:rPr>
        <w:t> </w:t>
      </w:r>
      <w:r>
        <w:rPr>
          <w:sz w:val="22"/>
        </w:rPr>
        <w:t>integrated</w:t>
      </w:r>
      <w:r>
        <w:rPr>
          <w:spacing w:val="-9"/>
          <w:sz w:val="22"/>
        </w:rPr>
        <w:t> </w:t>
      </w:r>
      <w:r>
        <w:rPr>
          <w:sz w:val="22"/>
        </w:rPr>
        <w:t>with</w:t>
      </w:r>
      <w:r>
        <w:rPr>
          <w:spacing w:val="-9"/>
          <w:sz w:val="22"/>
        </w:rPr>
        <w:t> </w:t>
      </w:r>
      <w:r>
        <w:rPr>
          <w:sz w:val="22"/>
        </w:rPr>
        <w:t>the</w:t>
      </w:r>
      <w:r>
        <w:rPr>
          <w:spacing w:val="-9"/>
          <w:sz w:val="22"/>
        </w:rPr>
        <w:t> </w:t>
      </w:r>
      <w:r>
        <w:rPr>
          <w:sz w:val="22"/>
        </w:rPr>
        <w:t>Ph.D</w:t>
      </w:r>
      <w:r>
        <w:rPr>
          <w:spacing w:val="-9"/>
          <w:sz w:val="22"/>
        </w:rPr>
        <w:t> </w:t>
      </w:r>
      <w:r>
        <w:rPr>
          <w:sz w:val="22"/>
        </w:rPr>
        <w:t>program</w:t>
      </w:r>
      <w:r>
        <w:rPr>
          <w:spacing w:val="-9"/>
          <w:sz w:val="22"/>
        </w:rPr>
        <w:t> </w:t>
      </w:r>
      <w:r>
        <w:rPr>
          <w:sz w:val="22"/>
        </w:rPr>
        <w:t>offered</w:t>
      </w:r>
      <w:r>
        <w:rPr>
          <w:spacing w:val="-9"/>
          <w:sz w:val="22"/>
        </w:rPr>
        <w:t> </w:t>
      </w:r>
      <w:r>
        <w:rPr>
          <w:sz w:val="22"/>
        </w:rPr>
        <w:t>by</w:t>
      </w:r>
      <w:r>
        <w:rPr>
          <w:spacing w:val="-9"/>
          <w:sz w:val="22"/>
        </w:rPr>
        <w:t> </w:t>
      </w:r>
      <w:r>
        <w:rPr>
          <w:sz w:val="22"/>
        </w:rPr>
        <w:t>the </w:t>
      </w:r>
      <w:r>
        <w:rPr>
          <w:spacing w:val="-2"/>
          <w:sz w:val="22"/>
        </w:rPr>
        <w:t>institute</w:t>
      </w:r>
      <w:r>
        <w:rPr>
          <w:spacing w:val="-10"/>
          <w:sz w:val="22"/>
        </w:rPr>
        <w:t> </w:t>
      </w:r>
      <w:r>
        <w:rPr>
          <w:spacing w:val="-2"/>
          <w:sz w:val="22"/>
        </w:rPr>
        <w:t>so</w:t>
      </w:r>
      <w:r>
        <w:rPr>
          <w:spacing w:val="-10"/>
          <w:sz w:val="22"/>
        </w:rPr>
        <w:t> </w:t>
      </w:r>
      <w:r>
        <w:rPr>
          <w:spacing w:val="-2"/>
          <w:sz w:val="22"/>
        </w:rPr>
        <w:t>that</w:t>
      </w:r>
      <w:r>
        <w:rPr>
          <w:spacing w:val="-9"/>
          <w:sz w:val="22"/>
        </w:rPr>
        <w:t> </w:t>
      </w:r>
      <w:r>
        <w:rPr>
          <w:spacing w:val="-2"/>
          <w:sz w:val="22"/>
        </w:rPr>
        <w:t>the</w:t>
      </w:r>
      <w:r>
        <w:rPr>
          <w:spacing w:val="-10"/>
          <w:sz w:val="22"/>
        </w:rPr>
        <w:t> </w:t>
      </w:r>
      <w:r>
        <w:rPr>
          <w:spacing w:val="-2"/>
          <w:sz w:val="22"/>
        </w:rPr>
        <w:t>effective</w:t>
      </w:r>
      <w:r>
        <w:rPr>
          <w:spacing w:val="-9"/>
          <w:sz w:val="22"/>
        </w:rPr>
        <w:t> </w:t>
      </w:r>
      <w:r>
        <w:rPr>
          <w:spacing w:val="-2"/>
          <w:sz w:val="22"/>
        </w:rPr>
        <w:t>time</w:t>
      </w:r>
      <w:r>
        <w:rPr>
          <w:spacing w:val="-10"/>
          <w:sz w:val="22"/>
        </w:rPr>
        <w:t> </w:t>
      </w:r>
      <w:r>
        <w:rPr>
          <w:spacing w:val="-2"/>
          <w:sz w:val="22"/>
        </w:rPr>
        <w:t>spent</w:t>
      </w:r>
      <w:r>
        <w:rPr>
          <w:spacing w:val="-9"/>
          <w:sz w:val="22"/>
        </w:rPr>
        <w:t> </w:t>
      </w:r>
      <w:r>
        <w:rPr>
          <w:spacing w:val="-2"/>
          <w:sz w:val="22"/>
        </w:rPr>
        <w:t>in</w:t>
      </w:r>
      <w:r>
        <w:rPr>
          <w:spacing w:val="-10"/>
          <w:sz w:val="22"/>
        </w:rPr>
        <w:t> </w:t>
      </w:r>
      <w:r>
        <w:rPr>
          <w:spacing w:val="-2"/>
          <w:sz w:val="22"/>
        </w:rPr>
        <w:t>B.Sc</w:t>
      </w:r>
      <w:r>
        <w:rPr>
          <w:spacing w:val="-9"/>
          <w:sz w:val="22"/>
        </w:rPr>
        <w:t> </w:t>
      </w:r>
      <w:r>
        <w:rPr>
          <w:spacing w:val="-2"/>
          <w:sz w:val="22"/>
        </w:rPr>
        <w:t>+</w:t>
      </w:r>
      <w:r>
        <w:rPr>
          <w:spacing w:val="-10"/>
          <w:sz w:val="22"/>
        </w:rPr>
        <w:t> </w:t>
      </w:r>
      <w:r>
        <w:rPr>
          <w:spacing w:val="-4"/>
          <w:sz w:val="22"/>
        </w:rPr>
        <w:t>M.Sc</w:t>
      </w:r>
    </w:p>
    <w:p>
      <w:pPr>
        <w:pStyle w:val="BodyText"/>
        <w:spacing w:line="266" w:lineRule="auto"/>
        <w:ind w:left="1079"/>
        <w:jc w:val="both"/>
      </w:pPr>
      <w:r>
        <w:rPr/>
        <w:t>+</w:t>
      </w:r>
      <w:r>
        <w:rPr>
          <w:spacing w:val="-14"/>
        </w:rPr>
        <w:t> </w:t>
      </w:r>
      <w:r>
        <w:rPr/>
        <w:t>Ph.D</w:t>
      </w:r>
      <w:r>
        <w:rPr>
          <w:spacing w:val="-14"/>
        </w:rPr>
        <w:t> </w:t>
      </w:r>
      <w:r>
        <w:rPr/>
        <w:t>reduces.</w:t>
      </w:r>
      <w:r>
        <w:rPr>
          <w:spacing w:val="-14"/>
        </w:rPr>
        <w:t> </w:t>
      </w:r>
      <w:r>
        <w:rPr/>
        <w:t>Also</w:t>
      </w:r>
      <w:r>
        <w:rPr>
          <w:spacing w:val="-13"/>
        </w:rPr>
        <w:t> </w:t>
      </w:r>
      <w:r>
        <w:rPr/>
        <w:t>the</w:t>
      </w:r>
      <w:r>
        <w:rPr>
          <w:spacing w:val="-14"/>
        </w:rPr>
        <w:t> </w:t>
      </w:r>
      <w:r>
        <w:rPr/>
        <w:t>integrated</w:t>
      </w:r>
      <w:r>
        <w:rPr>
          <w:spacing w:val="-14"/>
        </w:rPr>
        <w:t> </w:t>
      </w:r>
      <w:r>
        <w:rPr/>
        <w:t>M.Sc</w:t>
      </w:r>
      <w:r>
        <w:rPr>
          <w:spacing w:val="-14"/>
        </w:rPr>
        <w:t> </w:t>
      </w:r>
      <w:r>
        <w:rPr/>
        <w:t>should</w:t>
      </w:r>
      <w:r>
        <w:rPr>
          <w:spacing w:val="-13"/>
        </w:rPr>
        <w:t> </w:t>
      </w:r>
      <w:r>
        <w:rPr/>
        <w:t>have a provision of exit for a student after 3 years with </w:t>
      </w:r>
      <w:r>
        <w:rPr/>
        <w:t>a B.Sc</w:t>
      </w:r>
      <w:r>
        <w:rPr>
          <w:spacing w:val="-11"/>
        </w:rPr>
        <w:t> </w:t>
      </w:r>
      <w:r>
        <w:rPr/>
        <w:t>degree.</w:t>
      </w:r>
      <w:r>
        <w:rPr>
          <w:spacing w:val="-11"/>
        </w:rPr>
        <w:t> </w:t>
      </w:r>
      <w:r>
        <w:rPr/>
        <w:t>As</w:t>
      </w:r>
      <w:r>
        <w:rPr>
          <w:spacing w:val="-11"/>
        </w:rPr>
        <w:t> </w:t>
      </w:r>
      <w:r>
        <w:rPr/>
        <w:t>an</w:t>
      </w:r>
      <w:r>
        <w:rPr>
          <w:spacing w:val="-11"/>
        </w:rPr>
        <w:t> </w:t>
      </w:r>
      <w:r>
        <w:rPr/>
        <w:t>integrated</w:t>
      </w:r>
      <w:r>
        <w:rPr>
          <w:spacing w:val="-11"/>
        </w:rPr>
        <w:t> </w:t>
      </w:r>
      <w:r>
        <w:rPr/>
        <w:t>M.Sc</w:t>
      </w:r>
      <w:r>
        <w:rPr>
          <w:spacing w:val="-11"/>
        </w:rPr>
        <w:t> </w:t>
      </w:r>
      <w:r>
        <w:rPr/>
        <w:t>course</w:t>
      </w:r>
      <w:r>
        <w:rPr>
          <w:spacing w:val="-11"/>
        </w:rPr>
        <w:t> </w:t>
      </w:r>
      <w:r>
        <w:rPr/>
        <w:t>by</w:t>
      </w:r>
      <w:r>
        <w:rPr>
          <w:spacing w:val="-11"/>
        </w:rPr>
        <w:t> </w:t>
      </w:r>
      <w:r>
        <w:rPr/>
        <w:t>its</w:t>
      </w:r>
      <w:r>
        <w:rPr>
          <w:spacing w:val="-11"/>
        </w:rPr>
        <w:t> </w:t>
      </w:r>
      <w:r>
        <w:rPr/>
        <w:t>very nature</w:t>
      </w:r>
      <w:r>
        <w:rPr>
          <w:spacing w:val="-12"/>
        </w:rPr>
        <w:t> </w:t>
      </w:r>
      <w:r>
        <w:rPr/>
        <w:t>will</w:t>
      </w:r>
      <w:r>
        <w:rPr>
          <w:spacing w:val="-12"/>
        </w:rPr>
        <w:t> </w:t>
      </w:r>
      <w:r>
        <w:rPr/>
        <w:t>have</w:t>
      </w:r>
      <w:r>
        <w:rPr>
          <w:spacing w:val="-12"/>
        </w:rPr>
        <w:t> </w:t>
      </w:r>
      <w:r>
        <w:rPr/>
        <w:t>a</w:t>
      </w:r>
      <w:r>
        <w:rPr>
          <w:spacing w:val="-12"/>
        </w:rPr>
        <w:t> </w:t>
      </w:r>
      <w:r>
        <w:rPr/>
        <w:t>major</w:t>
      </w:r>
      <w:r>
        <w:rPr>
          <w:spacing w:val="-12"/>
        </w:rPr>
        <w:t> </w:t>
      </w:r>
      <w:r>
        <w:rPr/>
        <w:t>interdisciplinary</w:t>
      </w:r>
      <w:r>
        <w:rPr>
          <w:spacing w:val="-12"/>
        </w:rPr>
        <w:t> </w:t>
      </w:r>
      <w:r>
        <w:rPr/>
        <w:t>component, </w:t>
      </w:r>
      <w:r>
        <w:rPr>
          <w:spacing w:val="-2"/>
        </w:rPr>
        <w:t>it</w:t>
      </w:r>
      <w:r>
        <w:rPr>
          <w:spacing w:val="-8"/>
        </w:rPr>
        <w:t> </w:t>
      </w:r>
      <w:r>
        <w:rPr>
          <w:spacing w:val="-2"/>
        </w:rPr>
        <w:t>should</w:t>
      </w:r>
      <w:r>
        <w:rPr>
          <w:spacing w:val="-8"/>
        </w:rPr>
        <w:t> </w:t>
      </w:r>
      <w:r>
        <w:rPr>
          <w:spacing w:val="-2"/>
        </w:rPr>
        <w:t>be</w:t>
      </w:r>
      <w:r>
        <w:rPr>
          <w:spacing w:val="-8"/>
        </w:rPr>
        <w:t> </w:t>
      </w:r>
      <w:r>
        <w:rPr>
          <w:spacing w:val="-2"/>
        </w:rPr>
        <w:t>run</w:t>
      </w:r>
      <w:r>
        <w:rPr>
          <w:spacing w:val="-8"/>
        </w:rPr>
        <w:t> </w:t>
      </w:r>
      <w:r>
        <w:rPr>
          <w:spacing w:val="-2"/>
        </w:rPr>
        <w:t>in</w:t>
      </w:r>
      <w:r>
        <w:rPr>
          <w:spacing w:val="-8"/>
        </w:rPr>
        <w:t> </w:t>
      </w:r>
      <w:r>
        <w:rPr>
          <w:spacing w:val="-2"/>
        </w:rPr>
        <w:t>institutes</w:t>
      </w:r>
      <w:r>
        <w:rPr>
          <w:spacing w:val="-8"/>
        </w:rPr>
        <w:t> </w:t>
      </w:r>
      <w:r>
        <w:rPr>
          <w:spacing w:val="-2"/>
        </w:rPr>
        <w:t>or</w:t>
      </w:r>
      <w:r>
        <w:rPr>
          <w:spacing w:val="-8"/>
        </w:rPr>
        <w:t> </w:t>
      </w:r>
      <w:r>
        <w:rPr>
          <w:spacing w:val="-2"/>
        </w:rPr>
        <w:t>universities</w:t>
      </w:r>
      <w:r>
        <w:rPr>
          <w:spacing w:val="-8"/>
        </w:rPr>
        <w:t> </w:t>
      </w:r>
      <w:r>
        <w:rPr>
          <w:spacing w:val="-2"/>
        </w:rPr>
        <w:t>which</w:t>
      </w:r>
      <w:r>
        <w:rPr>
          <w:spacing w:val="-8"/>
        </w:rPr>
        <w:t> </w:t>
      </w:r>
      <w:r>
        <w:rPr>
          <w:spacing w:val="-2"/>
        </w:rPr>
        <w:t>have </w:t>
      </w:r>
      <w:r>
        <w:rPr/>
        <w:t>the</w:t>
      </w:r>
      <w:r>
        <w:rPr>
          <w:spacing w:val="-10"/>
        </w:rPr>
        <w:t> </w:t>
      </w:r>
      <w:r>
        <w:rPr/>
        <w:t>infrastructure</w:t>
      </w:r>
      <w:r>
        <w:rPr>
          <w:spacing w:val="-10"/>
        </w:rPr>
        <w:t> </w:t>
      </w:r>
      <w:r>
        <w:rPr/>
        <w:t>to</w:t>
      </w:r>
      <w:r>
        <w:rPr>
          <w:spacing w:val="-10"/>
        </w:rPr>
        <w:t> </w:t>
      </w:r>
      <w:r>
        <w:rPr/>
        <w:t>provide</w:t>
      </w:r>
      <w:r>
        <w:rPr>
          <w:spacing w:val="-10"/>
        </w:rPr>
        <w:t> </w:t>
      </w:r>
      <w:r>
        <w:rPr/>
        <w:t>such</w:t>
      </w:r>
      <w:r>
        <w:rPr>
          <w:spacing w:val="-10"/>
        </w:rPr>
        <w:t> </w:t>
      </w:r>
      <w:r>
        <w:rPr/>
        <w:t>flexibility.</w:t>
      </w:r>
      <w:r>
        <w:rPr>
          <w:spacing w:val="-10"/>
        </w:rPr>
        <w:t> </w:t>
      </w:r>
      <w:r>
        <w:rPr/>
        <w:t>Students </w:t>
      </w:r>
      <w:r>
        <w:rPr>
          <w:spacing w:val="-6"/>
        </w:rPr>
        <w:t>should</w:t>
      </w:r>
      <w:r>
        <w:rPr>
          <w:spacing w:val="-11"/>
        </w:rPr>
        <w:t> </w:t>
      </w:r>
      <w:r>
        <w:rPr>
          <w:spacing w:val="-6"/>
        </w:rPr>
        <w:t>have</w:t>
      </w:r>
      <w:r>
        <w:rPr>
          <w:spacing w:val="-11"/>
        </w:rPr>
        <w:t> </w:t>
      </w:r>
      <w:r>
        <w:rPr>
          <w:spacing w:val="-6"/>
        </w:rPr>
        <w:t>the</w:t>
      </w:r>
      <w:r>
        <w:rPr>
          <w:spacing w:val="-10"/>
        </w:rPr>
        <w:t> </w:t>
      </w:r>
      <w:r>
        <w:rPr>
          <w:spacing w:val="-6"/>
        </w:rPr>
        <w:t>option</w:t>
      </w:r>
      <w:r>
        <w:rPr>
          <w:spacing w:val="-11"/>
        </w:rPr>
        <w:t> </w:t>
      </w:r>
      <w:r>
        <w:rPr>
          <w:spacing w:val="-6"/>
        </w:rPr>
        <w:t>to</w:t>
      </w:r>
      <w:r>
        <w:rPr>
          <w:spacing w:val="-11"/>
        </w:rPr>
        <w:t> </w:t>
      </w:r>
      <w:r>
        <w:rPr>
          <w:spacing w:val="-6"/>
        </w:rPr>
        <w:t>study</w:t>
      </w:r>
      <w:r>
        <w:rPr>
          <w:spacing w:val="-10"/>
        </w:rPr>
        <w:t> </w:t>
      </w:r>
      <w:r>
        <w:rPr>
          <w:spacing w:val="-6"/>
        </w:rPr>
        <w:t>a</w:t>
      </w:r>
      <w:r>
        <w:rPr>
          <w:spacing w:val="-11"/>
        </w:rPr>
        <w:t> </w:t>
      </w:r>
      <w:r>
        <w:rPr>
          <w:spacing w:val="-6"/>
        </w:rPr>
        <w:t>wide</w:t>
      </w:r>
      <w:r>
        <w:rPr>
          <w:spacing w:val="-11"/>
        </w:rPr>
        <w:t> </w:t>
      </w:r>
      <w:r>
        <w:rPr>
          <w:spacing w:val="-6"/>
        </w:rPr>
        <w:t>variety</w:t>
      </w:r>
      <w:r>
        <w:rPr>
          <w:spacing w:val="-10"/>
        </w:rPr>
        <w:t> </w:t>
      </w:r>
      <w:r>
        <w:rPr>
          <w:spacing w:val="-6"/>
        </w:rPr>
        <w:t>of</w:t>
      </w:r>
      <w:r>
        <w:rPr>
          <w:spacing w:val="-11"/>
        </w:rPr>
        <w:t> </w:t>
      </w:r>
      <w:r>
        <w:rPr>
          <w:spacing w:val="-6"/>
        </w:rPr>
        <w:t>subjects</w:t>
      </w:r>
    </w:p>
    <w:p>
      <w:pPr>
        <w:pStyle w:val="BodyText"/>
        <w:spacing w:line="266" w:lineRule="auto" w:before="57"/>
        <w:ind w:left="319" w:right="1078"/>
        <w:jc w:val="both"/>
      </w:pPr>
      <w:r>
        <w:rPr/>
        <w:br w:type="column"/>
      </w:r>
      <w:r>
        <w:rPr>
          <w:spacing w:val="-4"/>
        </w:rPr>
        <w:t>before</w:t>
      </w:r>
      <w:r>
        <w:rPr>
          <w:spacing w:val="-7"/>
        </w:rPr>
        <w:t> </w:t>
      </w:r>
      <w:r>
        <w:rPr>
          <w:spacing w:val="-4"/>
        </w:rPr>
        <w:t>choosing</w:t>
      </w:r>
      <w:r>
        <w:rPr>
          <w:spacing w:val="-7"/>
        </w:rPr>
        <w:t> </w:t>
      </w:r>
      <w:r>
        <w:rPr>
          <w:spacing w:val="-4"/>
        </w:rPr>
        <w:t>their</w:t>
      </w:r>
      <w:r>
        <w:rPr>
          <w:spacing w:val="-7"/>
        </w:rPr>
        <w:t> </w:t>
      </w:r>
      <w:r>
        <w:rPr>
          <w:spacing w:val="-4"/>
        </w:rPr>
        <w:t>thesis</w:t>
      </w:r>
      <w:r>
        <w:rPr>
          <w:spacing w:val="-7"/>
        </w:rPr>
        <w:t> </w:t>
      </w:r>
      <w:r>
        <w:rPr>
          <w:spacing w:val="-4"/>
        </w:rPr>
        <w:t>topic.</w:t>
      </w:r>
      <w:r>
        <w:rPr>
          <w:spacing w:val="-7"/>
        </w:rPr>
        <w:t> </w:t>
      </w:r>
      <w:r>
        <w:rPr>
          <w:spacing w:val="-4"/>
        </w:rPr>
        <w:t>A</w:t>
      </w:r>
      <w:r>
        <w:rPr>
          <w:spacing w:val="-7"/>
        </w:rPr>
        <w:t> </w:t>
      </w:r>
      <w:r>
        <w:rPr>
          <w:spacing w:val="-4"/>
        </w:rPr>
        <w:t>cluster</w:t>
      </w:r>
      <w:r>
        <w:rPr>
          <w:spacing w:val="-7"/>
        </w:rPr>
        <w:t> </w:t>
      </w:r>
      <w:r>
        <w:rPr>
          <w:spacing w:val="-4"/>
        </w:rPr>
        <w:t>of</w:t>
      </w:r>
      <w:r>
        <w:rPr>
          <w:spacing w:val="-7"/>
        </w:rPr>
        <w:t> </w:t>
      </w:r>
      <w:r>
        <w:rPr>
          <w:spacing w:val="-4"/>
        </w:rPr>
        <w:t>institutes </w:t>
      </w:r>
      <w:r>
        <w:rPr/>
        <w:t>in</w:t>
      </w:r>
      <w:r>
        <w:rPr>
          <w:spacing w:val="-2"/>
        </w:rPr>
        <w:t> </w:t>
      </w:r>
      <w:r>
        <w:rPr/>
        <w:t>the</w:t>
      </w:r>
      <w:r>
        <w:rPr>
          <w:spacing w:val="-2"/>
        </w:rPr>
        <w:t> </w:t>
      </w:r>
      <w:r>
        <w:rPr/>
        <w:t>same</w:t>
      </w:r>
      <w:r>
        <w:rPr>
          <w:spacing w:val="-2"/>
        </w:rPr>
        <w:t> </w:t>
      </w:r>
      <w:r>
        <w:rPr/>
        <w:t>locality</w:t>
      </w:r>
      <w:r>
        <w:rPr>
          <w:spacing w:val="-2"/>
        </w:rPr>
        <w:t> </w:t>
      </w:r>
      <w:r>
        <w:rPr/>
        <w:t>can</w:t>
      </w:r>
      <w:r>
        <w:rPr>
          <w:spacing w:val="-2"/>
        </w:rPr>
        <w:t> </w:t>
      </w:r>
      <w:r>
        <w:rPr/>
        <w:t>come</w:t>
      </w:r>
      <w:r>
        <w:rPr>
          <w:spacing w:val="-2"/>
        </w:rPr>
        <w:t> </w:t>
      </w:r>
      <w:r>
        <w:rPr/>
        <w:t>together</w:t>
      </w:r>
      <w:r>
        <w:rPr>
          <w:spacing w:val="-2"/>
        </w:rPr>
        <w:t> </w:t>
      </w:r>
      <w:r>
        <w:rPr/>
        <w:t>to</w:t>
      </w:r>
      <w:r>
        <w:rPr>
          <w:spacing w:val="-2"/>
        </w:rPr>
        <w:t> </w:t>
      </w:r>
      <w:r>
        <w:rPr/>
        <w:t>present</w:t>
      </w:r>
      <w:r>
        <w:rPr>
          <w:spacing w:val="-2"/>
        </w:rPr>
        <w:t> </w:t>
      </w:r>
      <w:r>
        <w:rPr/>
        <w:t>and offer such a bouquet of courses.</w:t>
      </w:r>
    </w:p>
    <w:p>
      <w:pPr>
        <w:pStyle w:val="BodyText"/>
        <w:spacing w:before="25"/>
      </w:pPr>
    </w:p>
    <w:p>
      <w:pPr>
        <w:pStyle w:val="ListParagraph"/>
        <w:numPr>
          <w:ilvl w:val="1"/>
          <w:numId w:val="38"/>
        </w:numPr>
        <w:tabs>
          <w:tab w:pos="659" w:val="left" w:leader="none"/>
        </w:tabs>
        <w:spacing w:line="266" w:lineRule="auto" w:before="0" w:after="0"/>
        <w:ind w:left="319" w:right="1077" w:firstLine="0"/>
        <w:jc w:val="both"/>
        <w:rPr>
          <w:sz w:val="22"/>
        </w:rPr>
      </w:pPr>
      <w:r>
        <w:rPr>
          <w:spacing w:val="-6"/>
          <w:sz w:val="22"/>
        </w:rPr>
        <w:t>Premier engineering institutes should be encouraged </w:t>
      </w:r>
      <w:r>
        <w:rPr>
          <w:spacing w:val="-2"/>
          <w:sz w:val="22"/>
        </w:rPr>
        <w:t>to</w:t>
      </w:r>
      <w:r>
        <w:rPr>
          <w:spacing w:val="-7"/>
          <w:sz w:val="22"/>
        </w:rPr>
        <w:t> </w:t>
      </w:r>
      <w:r>
        <w:rPr>
          <w:spacing w:val="-2"/>
          <w:sz w:val="22"/>
        </w:rPr>
        <w:t>offer</w:t>
      </w:r>
      <w:r>
        <w:rPr>
          <w:spacing w:val="-7"/>
          <w:sz w:val="22"/>
        </w:rPr>
        <w:t> </w:t>
      </w:r>
      <w:r>
        <w:rPr>
          <w:spacing w:val="-2"/>
          <w:sz w:val="22"/>
        </w:rPr>
        <w:t>a</w:t>
      </w:r>
      <w:r>
        <w:rPr>
          <w:spacing w:val="-7"/>
          <w:sz w:val="22"/>
        </w:rPr>
        <w:t> </w:t>
      </w:r>
      <w:r>
        <w:rPr>
          <w:spacing w:val="-2"/>
          <w:sz w:val="22"/>
        </w:rPr>
        <w:t>combined</w:t>
      </w:r>
      <w:r>
        <w:rPr>
          <w:spacing w:val="-7"/>
          <w:sz w:val="22"/>
        </w:rPr>
        <w:t> </w:t>
      </w:r>
      <w:r>
        <w:rPr>
          <w:spacing w:val="-2"/>
          <w:sz w:val="22"/>
        </w:rPr>
        <w:t>master’s</w:t>
      </w:r>
      <w:r>
        <w:rPr>
          <w:spacing w:val="-7"/>
          <w:sz w:val="22"/>
        </w:rPr>
        <w:t> </w:t>
      </w:r>
      <w:r>
        <w:rPr>
          <w:spacing w:val="-2"/>
          <w:sz w:val="22"/>
        </w:rPr>
        <w:t>degree</w:t>
      </w:r>
      <w:r>
        <w:rPr>
          <w:spacing w:val="-7"/>
          <w:sz w:val="22"/>
        </w:rPr>
        <w:t> </w:t>
      </w:r>
      <w:r>
        <w:rPr>
          <w:spacing w:val="-2"/>
          <w:sz w:val="22"/>
        </w:rPr>
        <w:t>in</w:t>
      </w:r>
      <w:r>
        <w:rPr>
          <w:spacing w:val="-7"/>
          <w:sz w:val="22"/>
        </w:rPr>
        <w:t> </w:t>
      </w:r>
      <w:r>
        <w:rPr>
          <w:spacing w:val="-2"/>
          <w:sz w:val="22"/>
        </w:rPr>
        <w:t>technology</w:t>
      </w:r>
      <w:r>
        <w:rPr>
          <w:spacing w:val="-7"/>
          <w:sz w:val="22"/>
        </w:rPr>
        <w:t> </w:t>
      </w:r>
      <w:r>
        <w:rPr>
          <w:spacing w:val="-2"/>
          <w:sz w:val="22"/>
        </w:rPr>
        <w:t>and </w:t>
      </w:r>
      <w:r>
        <w:rPr>
          <w:sz w:val="22"/>
        </w:rPr>
        <w:t>sciences</w:t>
      </w:r>
      <w:r>
        <w:rPr>
          <w:spacing w:val="-5"/>
          <w:sz w:val="22"/>
        </w:rPr>
        <w:t> </w:t>
      </w:r>
      <w:r>
        <w:rPr>
          <w:sz w:val="22"/>
        </w:rPr>
        <w:t>to</w:t>
      </w:r>
      <w:r>
        <w:rPr>
          <w:spacing w:val="-5"/>
          <w:sz w:val="22"/>
        </w:rPr>
        <w:t> </w:t>
      </w:r>
      <w:r>
        <w:rPr>
          <w:sz w:val="22"/>
        </w:rPr>
        <w:t>lure</w:t>
      </w:r>
      <w:r>
        <w:rPr>
          <w:spacing w:val="-5"/>
          <w:sz w:val="22"/>
        </w:rPr>
        <w:t> </w:t>
      </w:r>
      <w:r>
        <w:rPr>
          <w:sz w:val="22"/>
        </w:rPr>
        <w:t>some</w:t>
      </w:r>
      <w:r>
        <w:rPr>
          <w:spacing w:val="-5"/>
          <w:sz w:val="22"/>
        </w:rPr>
        <w:t> </w:t>
      </w:r>
      <w:r>
        <w:rPr>
          <w:sz w:val="22"/>
        </w:rPr>
        <w:t>students</w:t>
      </w:r>
      <w:r>
        <w:rPr>
          <w:spacing w:val="-5"/>
          <w:sz w:val="22"/>
        </w:rPr>
        <w:t> </w:t>
      </w:r>
      <w:r>
        <w:rPr>
          <w:sz w:val="22"/>
        </w:rPr>
        <w:t>to</w:t>
      </w:r>
      <w:r>
        <w:rPr>
          <w:spacing w:val="-5"/>
          <w:sz w:val="22"/>
        </w:rPr>
        <w:t> </w:t>
      </w:r>
      <w:r>
        <w:rPr>
          <w:sz w:val="22"/>
        </w:rPr>
        <w:t>sciences.</w:t>
      </w:r>
      <w:r>
        <w:rPr>
          <w:spacing w:val="-5"/>
          <w:sz w:val="22"/>
        </w:rPr>
        <w:t> </w:t>
      </w:r>
      <w:r>
        <w:rPr>
          <w:sz w:val="22"/>
        </w:rPr>
        <w:t>Flexibility to change streams from engineering and medicine </w:t>
      </w:r>
      <w:r>
        <w:rPr>
          <w:sz w:val="22"/>
        </w:rPr>
        <w:t>to </w:t>
      </w:r>
      <w:r>
        <w:rPr>
          <w:spacing w:val="-2"/>
          <w:sz w:val="22"/>
        </w:rPr>
        <w:t>sciences</w:t>
      </w:r>
      <w:r>
        <w:rPr>
          <w:spacing w:val="-8"/>
          <w:sz w:val="22"/>
        </w:rPr>
        <w:t> </w:t>
      </w:r>
      <w:r>
        <w:rPr>
          <w:spacing w:val="-2"/>
          <w:sz w:val="22"/>
        </w:rPr>
        <w:t>and</w:t>
      </w:r>
      <w:r>
        <w:rPr>
          <w:spacing w:val="-8"/>
          <w:sz w:val="22"/>
        </w:rPr>
        <w:t> </w:t>
      </w:r>
      <w:r>
        <w:rPr>
          <w:spacing w:val="-2"/>
          <w:sz w:val="22"/>
        </w:rPr>
        <w:t>vice</w:t>
      </w:r>
      <w:r>
        <w:rPr>
          <w:spacing w:val="-7"/>
          <w:sz w:val="22"/>
        </w:rPr>
        <w:t> </w:t>
      </w:r>
      <w:r>
        <w:rPr>
          <w:spacing w:val="-2"/>
          <w:sz w:val="22"/>
        </w:rPr>
        <w:t>versa</w:t>
      </w:r>
      <w:r>
        <w:rPr>
          <w:spacing w:val="-8"/>
          <w:sz w:val="22"/>
        </w:rPr>
        <w:t> </w:t>
      </w:r>
      <w:r>
        <w:rPr>
          <w:spacing w:val="-2"/>
          <w:sz w:val="22"/>
        </w:rPr>
        <w:t>should</w:t>
      </w:r>
      <w:r>
        <w:rPr>
          <w:spacing w:val="-8"/>
          <w:sz w:val="22"/>
        </w:rPr>
        <w:t> </w:t>
      </w:r>
      <w:r>
        <w:rPr>
          <w:spacing w:val="-2"/>
          <w:sz w:val="22"/>
        </w:rPr>
        <w:t>be</w:t>
      </w:r>
      <w:r>
        <w:rPr>
          <w:spacing w:val="-7"/>
          <w:sz w:val="22"/>
        </w:rPr>
        <w:t> </w:t>
      </w:r>
      <w:r>
        <w:rPr>
          <w:spacing w:val="-2"/>
          <w:sz w:val="22"/>
        </w:rPr>
        <w:t>built</w:t>
      </w:r>
      <w:r>
        <w:rPr>
          <w:spacing w:val="-8"/>
          <w:sz w:val="22"/>
        </w:rPr>
        <w:t> </w:t>
      </w:r>
      <w:r>
        <w:rPr>
          <w:spacing w:val="-2"/>
          <w:sz w:val="22"/>
        </w:rPr>
        <w:t>in.</w:t>
      </w:r>
      <w:r>
        <w:rPr>
          <w:spacing w:val="-8"/>
          <w:sz w:val="22"/>
        </w:rPr>
        <w:t> </w:t>
      </w:r>
      <w:r>
        <w:rPr>
          <w:spacing w:val="-2"/>
          <w:sz w:val="22"/>
        </w:rPr>
        <w:t>Masters</w:t>
      </w:r>
      <w:r>
        <w:rPr>
          <w:spacing w:val="-8"/>
          <w:sz w:val="22"/>
        </w:rPr>
        <w:t> </w:t>
      </w:r>
      <w:r>
        <w:rPr>
          <w:spacing w:val="-2"/>
          <w:sz w:val="22"/>
        </w:rPr>
        <w:t>and </w:t>
      </w:r>
      <w:r>
        <w:rPr>
          <w:sz w:val="22"/>
        </w:rPr>
        <w:t>doctorates</w:t>
      </w:r>
      <w:r>
        <w:rPr>
          <w:spacing w:val="-16"/>
          <w:sz w:val="22"/>
        </w:rPr>
        <w:t> </w:t>
      </w:r>
      <w:r>
        <w:rPr>
          <w:sz w:val="22"/>
        </w:rPr>
        <w:t>in</w:t>
      </w:r>
      <w:r>
        <w:rPr>
          <w:spacing w:val="-14"/>
          <w:sz w:val="22"/>
        </w:rPr>
        <w:t> </w:t>
      </w:r>
      <w:r>
        <w:rPr>
          <w:sz w:val="22"/>
        </w:rPr>
        <w:t>pure</w:t>
      </w:r>
      <w:r>
        <w:rPr>
          <w:spacing w:val="-14"/>
          <w:sz w:val="22"/>
        </w:rPr>
        <w:t> </w:t>
      </w:r>
      <w:r>
        <w:rPr>
          <w:sz w:val="22"/>
        </w:rPr>
        <w:t>sciences</w:t>
      </w:r>
      <w:r>
        <w:rPr>
          <w:spacing w:val="-13"/>
          <w:sz w:val="22"/>
        </w:rPr>
        <w:t> </w:t>
      </w:r>
      <w:r>
        <w:rPr>
          <w:sz w:val="22"/>
        </w:rPr>
        <w:t>should</w:t>
      </w:r>
      <w:r>
        <w:rPr>
          <w:spacing w:val="-14"/>
          <w:sz w:val="22"/>
        </w:rPr>
        <w:t> </w:t>
      </w:r>
      <w:r>
        <w:rPr>
          <w:sz w:val="22"/>
        </w:rPr>
        <w:t>be</w:t>
      </w:r>
      <w:r>
        <w:rPr>
          <w:spacing w:val="-14"/>
          <w:sz w:val="22"/>
        </w:rPr>
        <w:t> </w:t>
      </w:r>
      <w:r>
        <w:rPr>
          <w:sz w:val="22"/>
        </w:rPr>
        <w:t>open</w:t>
      </w:r>
      <w:r>
        <w:rPr>
          <w:spacing w:val="-14"/>
          <w:sz w:val="22"/>
        </w:rPr>
        <w:t> </w:t>
      </w:r>
      <w:r>
        <w:rPr>
          <w:sz w:val="22"/>
        </w:rPr>
        <w:t>to</w:t>
      </w:r>
      <w:r>
        <w:rPr>
          <w:spacing w:val="-13"/>
          <w:sz w:val="22"/>
        </w:rPr>
        <w:t> </w:t>
      </w:r>
      <w:r>
        <w:rPr>
          <w:sz w:val="22"/>
        </w:rPr>
        <w:t>graduate engineering</w:t>
      </w:r>
      <w:r>
        <w:rPr>
          <w:spacing w:val="-12"/>
          <w:sz w:val="22"/>
        </w:rPr>
        <w:t> </w:t>
      </w:r>
      <w:r>
        <w:rPr>
          <w:sz w:val="22"/>
        </w:rPr>
        <w:t>and</w:t>
      </w:r>
      <w:r>
        <w:rPr>
          <w:spacing w:val="-12"/>
          <w:sz w:val="22"/>
        </w:rPr>
        <w:t> </w:t>
      </w:r>
      <w:r>
        <w:rPr>
          <w:sz w:val="22"/>
        </w:rPr>
        <w:t>medicine</w:t>
      </w:r>
      <w:r>
        <w:rPr>
          <w:spacing w:val="-12"/>
          <w:sz w:val="22"/>
        </w:rPr>
        <w:t> </w:t>
      </w:r>
      <w:r>
        <w:rPr>
          <w:sz w:val="22"/>
        </w:rPr>
        <w:t>students.</w:t>
      </w:r>
      <w:r>
        <w:rPr>
          <w:spacing w:val="-12"/>
          <w:sz w:val="22"/>
        </w:rPr>
        <w:t> </w:t>
      </w:r>
      <w:r>
        <w:rPr>
          <w:sz w:val="22"/>
        </w:rPr>
        <w:t>Remedial</w:t>
      </w:r>
      <w:r>
        <w:rPr>
          <w:spacing w:val="-12"/>
          <w:sz w:val="22"/>
        </w:rPr>
        <w:t> </w:t>
      </w:r>
      <w:r>
        <w:rPr>
          <w:sz w:val="22"/>
        </w:rPr>
        <w:t>courses </w:t>
      </w:r>
      <w:r>
        <w:rPr>
          <w:spacing w:val="-2"/>
          <w:sz w:val="22"/>
        </w:rPr>
        <w:t>can</w:t>
      </w:r>
      <w:r>
        <w:rPr>
          <w:spacing w:val="-11"/>
          <w:sz w:val="22"/>
        </w:rPr>
        <w:t> </w:t>
      </w:r>
      <w:r>
        <w:rPr>
          <w:spacing w:val="-2"/>
          <w:sz w:val="22"/>
        </w:rPr>
        <w:t>be</w:t>
      </w:r>
      <w:r>
        <w:rPr>
          <w:spacing w:val="-11"/>
          <w:sz w:val="22"/>
        </w:rPr>
        <w:t> </w:t>
      </w:r>
      <w:r>
        <w:rPr>
          <w:spacing w:val="-2"/>
          <w:sz w:val="22"/>
        </w:rPr>
        <w:t>run</w:t>
      </w:r>
      <w:r>
        <w:rPr>
          <w:spacing w:val="-11"/>
          <w:sz w:val="22"/>
        </w:rPr>
        <w:t> </w:t>
      </w:r>
      <w:r>
        <w:rPr>
          <w:spacing w:val="-2"/>
          <w:sz w:val="22"/>
        </w:rPr>
        <w:t>by</w:t>
      </w:r>
      <w:r>
        <w:rPr>
          <w:spacing w:val="-11"/>
          <w:sz w:val="22"/>
        </w:rPr>
        <w:t> </w:t>
      </w:r>
      <w:r>
        <w:rPr>
          <w:spacing w:val="-2"/>
          <w:sz w:val="22"/>
        </w:rPr>
        <w:t>premier</w:t>
      </w:r>
      <w:r>
        <w:rPr>
          <w:spacing w:val="-11"/>
          <w:sz w:val="22"/>
        </w:rPr>
        <w:t> </w:t>
      </w:r>
      <w:r>
        <w:rPr>
          <w:spacing w:val="-2"/>
          <w:sz w:val="22"/>
        </w:rPr>
        <w:t>institutes</w:t>
      </w:r>
      <w:r>
        <w:rPr>
          <w:spacing w:val="-11"/>
          <w:sz w:val="22"/>
        </w:rPr>
        <w:t> </w:t>
      </w:r>
      <w:r>
        <w:rPr>
          <w:spacing w:val="-2"/>
          <w:sz w:val="22"/>
        </w:rPr>
        <w:t>to</w:t>
      </w:r>
      <w:r>
        <w:rPr>
          <w:spacing w:val="-11"/>
          <w:sz w:val="22"/>
        </w:rPr>
        <w:t> </w:t>
      </w:r>
      <w:r>
        <w:rPr>
          <w:spacing w:val="-2"/>
          <w:sz w:val="22"/>
        </w:rPr>
        <w:t>bridge</w:t>
      </w:r>
      <w:r>
        <w:rPr>
          <w:spacing w:val="-11"/>
          <w:sz w:val="22"/>
        </w:rPr>
        <w:t> </w:t>
      </w:r>
      <w:r>
        <w:rPr>
          <w:spacing w:val="-2"/>
          <w:sz w:val="22"/>
        </w:rPr>
        <w:t>the</w:t>
      </w:r>
      <w:r>
        <w:rPr>
          <w:spacing w:val="-11"/>
          <w:sz w:val="22"/>
        </w:rPr>
        <w:t> </w:t>
      </w:r>
      <w:r>
        <w:rPr>
          <w:spacing w:val="-2"/>
          <w:sz w:val="22"/>
        </w:rPr>
        <w:t>gap</w:t>
      </w:r>
      <w:r>
        <w:rPr>
          <w:spacing w:val="-11"/>
          <w:sz w:val="22"/>
        </w:rPr>
        <w:t> </w:t>
      </w:r>
      <w:r>
        <w:rPr>
          <w:spacing w:val="-2"/>
          <w:sz w:val="22"/>
        </w:rPr>
        <w:t>in</w:t>
      </w:r>
      <w:r>
        <w:rPr>
          <w:spacing w:val="-11"/>
          <w:sz w:val="22"/>
        </w:rPr>
        <w:t> </w:t>
      </w:r>
      <w:r>
        <w:rPr>
          <w:spacing w:val="-2"/>
          <w:sz w:val="22"/>
        </w:rPr>
        <w:t>the knowledge</w:t>
      </w:r>
      <w:r>
        <w:rPr>
          <w:spacing w:val="-6"/>
          <w:sz w:val="22"/>
        </w:rPr>
        <w:t> </w:t>
      </w:r>
      <w:r>
        <w:rPr>
          <w:spacing w:val="-2"/>
          <w:sz w:val="22"/>
        </w:rPr>
        <w:t>of</w:t>
      </w:r>
      <w:r>
        <w:rPr>
          <w:spacing w:val="-6"/>
          <w:sz w:val="22"/>
        </w:rPr>
        <w:t> </w:t>
      </w:r>
      <w:r>
        <w:rPr>
          <w:spacing w:val="-2"/>
          <w:sz w:val="22"/>
        </w:rPr>
        <w:t>professional</w:t>
      </w:r>
      <w:r>
        <w:rPr>
          <w:spacing w:val="-6"/>
          <w:sz w:val="22"/>
        </w:rPr>
        <w:t> </w:t>
      </w:r>
      <w:r>
        <w:rPr>
          <w:spacing w:val="-2"/>
          <w:sz w:val="22"/>
        </w:rPr>
        <w:t>degree</w:t>
      </w:r>
      <w:r>
        <w:rPr>
          <w:spacing w:val="-6"/>
          <w:sz w:val="22"/>
        </w:rPr>
        <w:t> </w:t>
      </w:r>
      <w:r>
        <w:rPr>
          <w:spacing w:val="-2"/>
          <w:sz w:val="22"/>
        </w:rPr>
        <w:t>students.</w:t>
      </w:r>
      <w:r>
        <w:rPr>
          <w:spacing w:val="-12"/>
          <w:sz w:val="22"/>
        </w:rPr>
        <w:t> </w:t>
      </w:r>
      <w:r>
        <w:rPr>
          <w:spacing w:val="-2"/>
          <w:sz w:val="22"/>
        </w:rPr>
        <w:t>The</w:t>
      </w:r>
      <w:r>
        <w:rPr>
          <w:spacing w:val="-6"/>
          <w:sz w:val="22"/>
        </w:rPr>
        <w:t> </w:t>
      </w:r>
      <w:r>
        <w:rPr>
          <w:spacing w:val="-2"/>
          <w:sz w:val="22"/>
        </w:rPr>
        <w:t>BITS, </w:t>
      </w:r>
      <w:r>
        <w:rPr>
          <w:spacing w:val="-4"/>
          <w:sz w:val="22"/>
        </w:rPr>
        <w:t>Pilani</w:t>
      </w:r>
      <w:r>
        <w:rPr>
          <w:spacing w:val="-6"/>
          <w:sz w:val="22"/>
        </w:rPr>
        <w:t> </w:t>
      </w:r>
      <w:r>
        <w:rPr>
          <w:spacing w:val="-4"/>
          <w:sz w:val="22"/>
        </w:rPr>
        <w:t>model</w:t>
      </w:r>
      <w:r>
        <w:rPr>
          <w:spacing w:val="-6"/>
          <w:sz w:val="22"/>
        </w:rPr>
        <w:t> </w:t>
      </w:r>
      <w:r>
        <w:rPr>
          <w:spacing w:val="-4"/>
          <w:sz w:val="22"/>
        </w:rPr>
        <w:t>is</w:t>
      </w:r>
      <w:r>
        <w:rPr>
          <w:spacing w:val="-6"/>
          <w:sz w:val="22"/>
        </w:rPr>
        <w:t> </w:t>
      </w:r>
      <w:r>
        <w:rPr>
          <w:spacing w:val="-4"/>
          <w:sz w:val="22"/>
        </w:rPr>
        <w:t>worth</w:t>
      </w:r>
      <w:r>
        <w:rPr>
          <w:spacing w:val="-6"/>
          <w:sz w:val="22"/>
        </w:rPr>
        <w:t> </w:t>
      </w:r>
      <w:r>
        <w:rPr>
          <w:spacing w:val="-4"/>
          <w:sz w:val="22"/>
        </w:rPr>
        <w:t>studying</w:t>
      </w:r>
      <w:r>
        <w:rPr>
          <w:spacing w:val="-6"/>
          <w:sz w:val="22"/>
        </w:rPr>
        <w:t> </w:t>
      </w:r>
      <w:r>
        <w:rPr>
          <w:spacing w:val="-4"/>
          <w:sz w:val="22"/>
        </w:rPr>
        <w:t>in</w:t>
      </w:r>
      <w:r>
        <w:rPr>
          <w:spacing w:val="-6"/>
          <w:sz w:val="22"/>
        </w:rPr>
        <w:t> </w:t>
      </w:r>
      <w:r>
        <w:rPr>
          <w:spacing w:val="-4"/>
          <w:sz w:val="22"/>
        </w:rPr>
        <w:t>this</w:t>
      </w:r>
      <w:r>
        <w:rPr>
          <w:spacing w:val="-6"/>
          <w:sz w:val="22"/>
        </w:rPr>
        <w:t> </w:t>
      </w:r>
      <w:r>
        <w:rPr>
          <w:spacing w:val="-4"/>
          <w:sz w:val="22"/>
        </w:rPr>
        <w:t>context.</w:t>
      </w:r>
      <w:r>
        <w:rPr>
          <w:spacing w:val="-6"/>
          <w:sz w:val="22"/>
        </w:rPr>
        <w:t> </w:t>
      </w:r>
      <w:r>
        <w:rPr>
          <w:spacing w:val="-4"/>
          <w:sz w:val="22"/>
        </w:rPr>
        <w:t>Frequent </w:t>
      </w:r>
      <w:r>
        <w:rPr>
          <w:sz w:val="22"/>
        </w:rPr>
        <w:t>interactions</w:t>
      </w:r>
      <w:r>
        <w:rPr>
          <w:spacing w:val="-8"/>
          <w:sz w:val="22"/>
        </w:rPr>
        <w:t> </w:t>
      </w:r>
      <w:r>
        <w:rPr>
          <w:sz w:val="22"/>
        </w:rPr>
        <w:t>with</w:t>
      </w:r>
      <w:r>
        <w:rPr>
          <w:spacing w:val="-8"/>
          <w:sz w:val="22"/>
        </w:rPr>
        <w:t> </w:t>
      </w:r>
      <w:r>
        <w:rPr>
          <w:sz w:val="22"/>
        </w:rPr>
        <w:t>students</w:t>
      </w:r>
      <w:r>
        <w:rPr>
          <w:spacing w:val="-8"/>
          <w:sz w:val="22"/>
        </w:rPr>
        <w:t> </w:t>
      </w:r>
      <w:r>
        <w:rPr>
          <w:sz w:val="22"/>
        </w:rPr>
        <w:t>of</w:t>
      </w:r>
      <w:r>
        <w:rPr>
          <w:spacing w:val="-8"/>
          <w:sz w:val="22"/>
        </w:rPr>
        <w:t> </w:t>
      </w:r>
      <w:r>
        <w:rPr>
          <w:sz w:val="22"/>
        </w:rPr>
        <w:t>engineering</w:t>
      </w:r>
      <w:r>
        <w:rPr>
          <w:spacing w:val="-8"/>
          <w:sz w:val="22"/>
        </w:rPr>
        <w:t> </w:t>
      </w:r>
      <w:r>
        <w:rPr>
          <w:sz w:val="22"/>
        </w:rPr>
        <w:t>and</w:t>
      </w:r>
      <w:r>
        <w:rPr>
          <w:spacing w:val="-8"/>
          <w:sz w:val="22"/>
        </w:rPr>
        <w:t> </w:t>
      </w:r>
      <w:r>
        <w:rPr>
          <w:sz w:val="22"/>
        </w:rPr>
        <w:t>medical streams are important to expose and enable students </w:t>
      </w:r>
      <w:r>
        <w:rPr>
          <w:spacing w:val="-2"/>
          <w:sz w:val="22"/>
        </w:rPr>
        <w:t>to</w:t>
      </w:r>
      <w:r>
        <w:rPr>
          <w:spacing w:val="-3"/>
          <w:sz w:val="22"/>
        </w:rPr>
        <w:t> </w:t>
      </w:r>
      <w:r>
        <w:rPr>
          <w:spacing w:val="-2"/>
          <w:sz w:val="22"/>
        </w:rPr>
        <w:t>contribute</w:t>
      </w:r>
      <w:r>
        <w:rPr>
          <w:spacing w:val="-3"/>
          <w:sz w:val="22"/>
        </w:rPr>
        <w:t> </w:t>
      </w:r>
      <w:r>
        <w:rPr>
          <w:spacing w:val="-2"/>
          <w:sz w:val="22"/>
        </w:rPr>
        <w:t>to</w:t>
      </w:r>
      <w:r>
        <w:rPr>
          <w:spacing w:val="-3"/>
          <w:sz w:val="22"/>
        </w:rPr>
        <w:t> </w:t>
      </w:r>
      <w:r>
        <w:rPr>
          <w:spacing w:val="-2"/>
          <w:sz w:val="22"/>
        </w:rPr>
        <w:t>interdisciplinary</w:t>
      </w:r>
      <w:r>
        <w:rPr>
          <w:spacing w:val="-3"/>
          <w:sz w:val="22"/>
        </w:rPr>
        <w:t> </w:t>
      </w:r>
      <w:r>
        <w:rPr>
          <w:spacing w:val="-2"/>
          <w:sz w:val="22"/>
        </w:rPr>
        <w:t>research.</w:t>
      </w:r>
      <w:r>
        <w:rPr>
          <w:spacing w:val="-3"/>
          <w:sz w:val="22"/>
        </w:rPr>
        <w:t> </w:t>
      </w:r>
      <w:r>
        <w:rPr>
          <w:spacing w:val="-2"/>
          <w:sz w:val="22"/>
        </w:rPr>
        <w:t>Interactions can</w:t>
      </w:r>
      <w:r>
        <w:rPr>
          <w:spacing w:val="-12"/>
          <w:sz w:val="22"/>
        </w:rPr>
        <w:t> </w:t>
      </w:r>
      <w:r>
        <w:rPr>
          <w:spacing w:val="-2"/>
          <w:sz w:val="22"/>
        </w:rPr>
        <w:t>be</w:t>
      </w:r>
      <w:r>
        <w:rPr>
          <w:spacing w:val="-12"/>
          <w:sz w:val="22"/>
        </w:rPr>
        <w:t> </w:t>
      </w:r>
      <w:r>
        <w:rPr>
          <w:spacing w:val="-2"/>
          <w:sz w:val="22"/>
        </w:rPr>
        <w:t>planned</w:t>
      </w:r>
      <w:r>
        <w:rPr>
          <w:spacing w:val="-12"/>
          <w:sz w:val="22"/>
        </w:rPr>
        <w:t> </w:t>
      </w:r>
      <w:r>
        <w:rPr>
          <w:spacing w:val="-2"/>
          <w:sz w:val="22"/>
        </w:rPr>
        <w:t>in</w:t>
      </w:r>
      <w:r>
        <w:rPr>
          <w:spacing w:val="-11"/>
          <w:sz w:val="22"/>
        </w:rPr>
        <w:t> </w:t>
      </w:r>
      <w:r>
        <w:rPr>
          <w:spacing w:val="-2"/>
          <w:sz w:val="22"/>
        </w:rPr>
        <w:t>the</w:t>
      </w:r>
      <w:r>
        <w:rPr>
          <w:spacing w:val="-12"/>
          <w:sz w:val="22"/>
        </w:rPr>
        <w:t> </w:t>
      </w:r>
      <w:r>
        <w:rPr>
          <w:spacing w:val="-2"/>
          <w:sz w:val="22"/>
        </w:rPr>
        <w:t>form</w:t>
      </w:r>
      <w:r>
        <w:rPr>
          <w:spacing w:val="-12"/>
          <w:sz w:val="22"/>
        </w:rPr>
        <w:t> </w:t>
      </w:r>
      <w:r>
        <w:rPr>
          <w:spacing w:val="-2"/>
          <w:sz w:val="22"/>
        </w:rPr>
        <w:t>of</w:t>
      </w:r>
      <w:r>
        <w:rPr>
          <w:spacing w:val="-12"/>
          <w:sz w:val="22"/>
        </w:rPr>
        <w:t> </w:t>
      </w:r>
      <w:r>
        <w:rPr>
          <w:spacing w:val="-2"/>
          <w:sz w:val="22"/>
        </w:rPr>
        <w:t>research</w:t>
      </w:r>
      <w:r>
        <w:rPr>
          <w:spacing w:val="-11"/>
          <w:sz w:val="22"/>
        </w:rPr>
        <w:t> </w:t>
      </w:r>
      <w:r>
        <w:rPr>
          <w:spacing w:val="-2"/>
          <w:sz w:val="22"/>
        </w:rPr>
        <w:t>projects,</w:t>
      </w:r>
      <w:r>
        <w:rPr>
          <w:spacing w:val="-12"/>
          <w:sz w:val="22"/>
        </w:rPr>
        <w:t> </w:t>
      </w:r>
      <w:r>
        <w:rPr>
          <w:spacing w:val="-2"/>
          <w:sz w:val="22"/>
        </w:rPr>
        <w:t>student </w:t>
      </w:r>
      <w:r>
        <w:rPr>
          <w:sz w:val="22"/>
        </w:rPr>
        <w:t>seminars</w:t>
      </w:r>
      <w:r>
        <w:rPr>
          <w:spacing w:val="-2"/>
          <w:sz w:val="22"/>
        </w:rPr>
        <w:t> </w:t>
      </w:r>
      <w:r>
        <w:rPr>
          <w:sz w:val="22"/>
        </w:rPr>
        <w:t>and</w:t>
      </w:r>
      <w:r>
        <w:rPr>
          <w:spacing w:val="-2"/>
          <w:sz w:val="22"/>
        </w:rPr>
        <w:t> </w:t>
      </w:r>
      <w:r>
        <w:rPr>
          <w:sz w:val="22"/>
        </w:rPr>
        <w:t>conferences</w:t>
      </w:r>
      <w:r>
        <w:rPr>
          <w:spacing w:val="-2"/>
          <w:sz w:val="22"/>
        </w:rPr>
        <w:t> </w:t>
      </w:r>
      <w:r>
        <w:rPr>
          <w:sz w:val="22"/>
        </w:rPr>
        <w:t>on</w:t>
      </w:r>
      <w:r>
        <w:rPr>
          <w:spacing w:val="-2"/>
          <w:sz w:val="22"/>
        </w:rPr>
        <w:t> </w:t>
      </w:r>
      <w:r>
        <w:rPr>
          <w:sz w:val="22"/>
        </w:rPr>
        <w:t>recent</w:t>
      </w:r>
      <w:r>
        <w:rPr>
          <w:spacing w:val="-2"/>
          <w:sz w:val="22"/>
        </w:rPr>
        <w:t> </w:t>
      </w:r>
      <w:r>
        <w:rPr>
          <w:sz w:val="22"/>
        </w:rPr>
        <w:t>advances</w:t>
      </w:r>
      <w:r>
        <w:rPr>
          <w:spacing w:val="-2"/>
          <w:sz w:val="22"/>
        </w:rPr>
        <w:t> </w:t>
      </w:r>
      <w:r>
        <w:rPr>
          <w:sz w:val="22"/>
        </w:rPr>
        <w:t>in</w:t>
      </w:r>
      <w:r>
        <w:rPr>
          <w:spacing w:val="-2"/>
          <w:sz w:val="22"/>
        </w:rPr>
        <w:t> </w:t>
      </w:r>
      <w:r>
        <w:rPr>
          <w:sz w:val="22"/>
        </w:rPr>
        <w:t>each discipline where participation is open to all.</w:t>
      </w:r>
    </w:p>
    <w:p>
      <w:pPr>
        <w:pStyle w:val="Heading7"/>
        <w:spacing w:line="225" w:lineRule="auto" w:before="244"/>
        <w:ind w:right="1075"/>
      </w:pPr>
      <w:r>
        <w:rPr>
          <w:color w:val="2E614A"/>
          <w:spacing w:val="-2"/>
        </w:rPr>
        <w:t>Recommendation</w:t>
      </w:r>
      <w:r>
        <w:rPr>
          <w:color w:val="2E614A"/>
          <w:spacing w:val="-17"/>
        </w:rPr>
        <w:t> </w:t>
      </w:r>
      <w:r>
        <w:rPr>
          <w:color w:val="2E614A"/>
          <w:spacing w:val="-2"/>
        </w:rPr>
        <w:t>5:</w:t>
      </w:r>
      <w:r>
        <w:rPr>
          <w:color w:val="2E614A"/>
          <w:spacing w:val="-14"/>
        </w:rPr>
        <w:t> </w:t>
      </w:r>
      <w:r>
        <w:rPr>
          <w:color w:val="2E614A"/>
          <w:spacing w:val="-2"/>
        </w:rPr>
        <w:t>Reform</w:t>
      </w:r>
      <w:r>
        <w:rPr>
          <w:color w:val="2E614A"/>
          <w:spacing w:val="-14"/>
        </w:rPr>
        <w:t> </w:t>
      </w:r>
      <w:r>
        <w:rPr>
          <w:color w:val="2E614A"/>
          <w:spacing w:val="-2"/>
        </w:rPr>
        <w:t>the</w:t>
      </w:r>
      <w:r>
        <w:rPr>
          <w:color w:val="2E614A"/>
          <w:spacing w:val="-14"/>
        </w:rPr>
        <w:t> </w:t>
      </w:r>
      <w:r>
        <w:rPr>
          <w:color w:val="2E614A"/>
          <w:spacing w:val="-2"/>
        </w:rPr>
        <w:t>science </w:t>
      </w:r>
      <w:r>
        <w:rPr>
          <w:color w:val="2E614A"/>
          <w:spacing w:val="-8"/>
        </w:rPr>
        <w:t>curriculum content in line with the </w:t>
      </w:r>
      <w:r>
        <w:rPr>
          <w:color w:val="2E614A"/>
          <w:spacing w:val="-8"/>
        </w:rPr>
        <w:t>changing </w:t>
      </w:r>
      <w:r>
        <w:rPr>
          <w:color w:val="2E614A"/>
          <w:w w:val="90"/>
        </w:rPr>
        <w:t>world and increase research component at all </w:t>
      </w:r>
      <w:r>
        <w:rPr>
          <w:color w:val="2E614A"/>
          <w:spacing w:val="-2"/>
        </w:rPr>
        <w:t>levels</w:t>
      </w:r>
    </w:p>
    <w:p>
      <w:pPr>
        <w:pStyle w:val="BodyText"/>
        <w:rPr>
          <w:b/>
          <w:sz w:val="26"/>
        </w:rPr>
      </w:pPr>
    </w:p>
    <w:p>
      <w:pPr>
        <w:pStyle w:val="BodyText"/>
        <w:spacing w:line="266" w:lineRule="auto"/>
        <w:ind w:left="319" w:right="1077"/>
        <w:jc w:val="both"/>
      </w:pPr>
      <w:r>
        <w:rPr/>
        <w:t>There is a need to change the balance of content </w:t>
      </w:r>
      <w:r>
        <w:rPr/>
        <w:t>in favour</w:t>
      </w:r>
      <w:r>
        <w:rPr>
          <w:spacing w:val="-16"/>
        </w:rPr>
        <w:t> </w:t>
      </w:r>
      <w:r>
        <w:rPr/>
        <w:t>of</w:t>
      </w:r>
      <w:r>
        <w:rPr>
          <w:spacing w:val="-14"/>
        </w:rPr>
        <w:t> </w:t>
      </w:r>
      <w:r>
        <w:rPr/>
        <w:t>hands-on</w:t>
      </w:r>
      <w:r>
        <w:rPr>
          <w:spacing w:val="-14"/>
        </w:rPr>
        <w:t> </w:t>
      </w:r>
      <w:r>
        <w:rPr/>
        <w:t>activities</w:t>
      </w:r>
      <w:r>
        <w:rPr>
          <w:spacing w:val="-13"/>
        </w:rPr>
        <w:t> </w:t>
      </w:r>
      <w:r>
        <w:rPr/>
        <w:t>and</w:t>
      </w:r>
      <w:r>
        <w:rPr>
          <w:spacing w:val="-14"/>
        </w:rPr>
        <w:t> </w:t>
      </w:r>
      <w:r>
        <w:rPr/>
        <w:t>research</w:t>
      </w:r>
      <w:r>
        <w:rPr>
          <w:spacing w:val="-14"/>
        </w:rPr>
        <w:t> </w:t>
      </w:r>
      <w:r>
        <w:rPr/>
        <w:t>at</w:t>
      </w:r>
      <w:r>
        <w:rPr>
          <w:spacing w:val="-14"/>
        </w:rPr>
        <w:t> </w:t>
      </w:r>
      <w:r>
        <w:rPr/>
        <w:t>all</w:t>
      </w:r>
      <w:r>
        <w:rPr>
          <w:spacing w:val="-13"/>
        </w:rPr>
        <w:t> </w:t>
      </w:r>
      <w:r>
        <w:rPr/>
        <w:t>levels. </w:t>
      </w:r>
      <w:r>
        <w:rPr>
          <w:spacing w:val="-2"/>
        </w:rPr>
        <w:t>Increase</w:t>
      </w:r>
      <w:r>
        <w:rPr>
          <w:spacing w:val="-8"/>
        </w:rPr>
        <w:t> </w:t>
      </w:r>
      <w:r>
        <w:rPr>
          <w:spacing w:val="-2"/>
        </w:rPr>
        <w:t>in</w:t>
      </w:r>
      <w:r>
        <w:rPr>
          <w:spacing w:val="-8"/>
        </w:rPr>
        <w:t> </w:t>
      </w:r>
      <w:r>
        <w:rPr>
          <w:spacing w:val="-2"/>
        </w:rPr>
        <w:t>experimental</w:t>
      </w:r>
      <w:r>
        <w:rPr>
          <w:spacing w:val="-8"/>
        </w:rPr>
        <w:t> </w:t>
      </w:r>
      <w:r>
        <w:rPr>
          <w:spacing w:val="-2"/>
        </w:rPr>
        <w:t>learning</w:t>
      </w:r>
      <w:r>
        <w:rPr>
          <w:spacing w:val="-8"/>
        </w:rPr>
        <w:t> </w:t>
      </w:r>
      <w:r>
        <w:rPr>
          <w:spacing w:val="-2"/>
        </w:rPr>
        <w:t>will</w:t>
      </w:r>
      <w:r>
        <w:rPr>
          <w:spacing w:val="-8"/>
        </w:rPr>
        <w:t> </w:t>
      </w:r>
      <w:r>
        <w:rPr>
          <w:spacing w:val="-2"/>
        </w:rPr>
        <w:t>increase</w:t>
      </w:r>
      <w:r>
        <w:rPr>
          <w:spacing w:val="-8"/>
        </w:rPr>
        <w:t> </w:t>
      </w:r>
      <w:r>
        <w:rPr>
          <w:spacing w:val="-2"/>
        </w:rPr>
        <w:t>student interest</w:t>
      </w:r>
      <w:r>
        <w:rPr>
          <w:spacing w:val="-12"/>
        </w:rPr>
        <w:t> </w:t>
      </w:r>
      <w:r>
        <w:rPr>
          <w:spacing w:val="-2"/>
        </w:rPr>
        <w:t>in</w:t>
      </w:r>
      <w:r>
        <w:rPr>
          <w:spacing w:val="-12"/>
        </w:rPr>
        <w:t> </w:t>
      </w:r>
      <w:r>
        <w:rPr>
          <w:spacing w:val="-2"/>
        </w:rPr>
        <w:t>science.</w:t>
      </w:r>
      <w:r>
        <w:rPr>
          <w:spacing w:val="-12"/>
        </w:rPr>
        <w:t> </w:t>
      </w:r>
      <w:r>
        <w:rPr>
          <w:spacing w:val="-2"/>
        </w:rPr>
        <w:t>Content</w:t>
      </w:r>
      <w:r>
        <w:rPr>
          <w:spacing w:val="-11"/>
        </w:rPr>
        <w:t> </w:t>
      </w:r>
      <w:r>
        <w:rPr>
          <w:spacing w:val="-2"/>
        </w:rPr>
        <w:t>development</w:t>
      </w:r>
      <w:r>
        <w:rPr>
          <w:spacing w:val="-12"/>
        </w:rPr>
        <w:t> </w:t>
      </w:r>
      <w:r>
        <w:rPr>
          <w:spacing w:val="-2"/>
        </w:rPr>
        <w:t>activities</w:t>
      </w:r>
      <w:r>
        <w:rPr>
          <w:spacing w:val="-12"/>
        </w:rPr>
        <w:t> </w:t>
      </w:r>
      <w:r>
        <w:rPr>
          <w:spacing w:val="-2"/>
        </w:rPr>
        <w:t>also </w:t>
      </w:r>
      <w:r>
        <w:rPr/>
        <w:t>need to be altered to cater to all segments of student </w:t>
      </w:r>
      <w:r>
        <w:rPr>
          <w:spacing w:val="-2"/>
        </w:rPr>
        <w:t>population.</w:t>
      </w:r>
    </w:p>
    <w:p>
      <w:pPr>
        <w:pStyle w:val="BodyText"/>
        <w:spacing w:before="22"/>
      </w:pPr>
    </w:p>
    <w:p>
      <w:pPr>
        <w:pStyle w:val="BodyText"/>
        <w:spacing w:line="266" w:lineRule="auto"/>
        <w:ind w:left="319" w:right="1077"/>
        <w:jc w:val="both"/>
      </w:pPr>
      <w:r>
        <w:rPr>
          <w:b/>
        </w:rPr>
        <w:t>Issues:</w:t>
      </w:r>
      <w:r>
        <w:rPr>
          <w:b/>
          <w:spacing w:val="-14"/>
        </w:rPr>
        <w:t> </w:t>
      </w:r>
      <w:r>
        <w:rPr/>
        <w:t>Firstly,</w:t>
      </w:r>
      <w:r>
        <w:rPr>
          <w:spacing w:val="-14"/>
        </w:rPr>
        <w:t> </w:t>
      </w:r>
      <w:r>
        <w:rPr/>
        <w:t>the</w:t>
      </w:r>
      <w:r>
        <w:rPr>
          <w:spacing w:val="-14"/>
        </w:rPr>
        <w:t> </w:t>
      </w:r>
      <w:r>
        <w:rPr/>
        <w:t>curriculum</w:t>
      </w:r>
      <w:r>
        <w:rPr>
          <w:spacing w:val="-13"/>
        </w:rPr>
        <w:t> </w:t>
      </w:r>
      <w:r>
        <w:rPr/>
        <w:t>load</w:t>
      </w:r>
      <w:r>
        <w:rPr>
          <w:spacing w:val="-14"/>
        </w:rPr>
        <w:t> </w:t>
      </w:r>
      <w:r>
        <w:rPr/>
        <w:t>at</w:t>
      </w:r>
      <w:r>
        <w:rPr>
          <w:spacing w:val="-14"/>
        </w:rPr>
        <w:t> </w:t>
      </w:r>
      <w:r>
        <w:rPr/>
        <w:t>school</w:t>
      </w:r>
      <w:r>
        <w:rPr>
          <w:spacing w:val="-14"/>
        </w:rPr>
        <w:t> </w:t>
      </w:r>
      <w:r>
        <w:rPr/>
        <w:t>level</w:t>
      </w:r>
      <w:r>
        <w:rPr>
          <w:spacing w:val="-13"/>
        </w:rPr>
        <w:t> </w:t>
      </w:r>
      <w:r>
        <w:rPr/>
        <w:t>has </w:t>
      </w:r>
      <w:r>
        <w:rPr>
          <w:spacing w:val="-6"/>
        </w:rPr>
        <w:t>significantly impacted the understanding of fundamental </w:t>
      </w:r>
      <w:r>
        <w:rPr/>
        <w:t>concepts.</w:t>
      </w:r>
      <w:r>
        <w:rPr>
          <w:spacing w:val="-14"/>
        </w:rPr>
        <w:t> </w:t>
      </w:r>
      <w:r>
        <w:rPr/>
        <w:t>Inflexibilities</w:t>
      </w:r>
      <w:r>
        <w:rPr>
          <w:spacing w:val="-14"/>
        </w:rPr>
        <w:t> </w:t>
      </w:r>
      <w:r>
        <w:rPr/>
        <w:t>in</w:t>
      </w:r>
      <w:r>
        <w:rPr>
          <w:spacing w:val="-13"/>
        </w:rPr>
        <w:t> </w:t>
      </w:r>
      <w:r>
        <w:rPr/>
        <w:t>the</w:t>
      </w:r>
      <w:r>
        <w:rPr>
          <w:spacing w:val="-14"/>
        </w:rPr>
        <w:t> </w:t>
      </w:r>
      <w:r>
        <w:rPr/>
        <w:t>course</w:t>
      </w:r>
      <w:r>
        <w:rPr>
          <w:spacing w:val="-14"/>
        </w:rPr>
        <w:t> </w:t>
      </w:r>
      <w:r>
        <w:rPr/>
        <w:t>curriculum,</w:t>
      </w:r>
      <w:r>
        <w:rPr>
          <w:spacing w:val="-13"/>
        </w:rPr>
        <w:t> </w:t>
      </w:r>
      <w:r>
        <w:rPr/>
        <w:t>lack of application oriented content and poorly designed laboratory courses have made sciences unattractive. Secondly, emerging technology has reshaped and </w:t>
      </w:r>
      <w:r>
        <w:rPr>
          <w:w w:val="90"/>
        </w:rPr>
        <w:t>continues to reshape every discipline rapidly. Competitive </w:t>
      </w:r>
      <w:r>
        <w:rPr/>
        <w:t>advantage</w:t>
      </w:r>
      <w:r>
        <w:rPr>
          <w:spacing w:val="-8"/>
        </w:rPr>
        <w:t> </w:t>
      </w:r>
      <w:r>
        <w:rPr/>
        <w:t>will</w:t>
      </w:r>
      <w:r>
        <w:rPr>
          <w:spacing w:val="-8"/>
        </w:rPr>
        <w:t> </w:t>
      </w:r>
      <w:r>
        <w:rPr/>
        <w:t>rest</w:t>
      </w:r>
      <w:r>
        <w:rPr>
          <w:spacing w:val="-8"/>
        </w:rPr>
        <w:t> </w:t>
      </w:r>
      <w:r>
        <w:rPr/>
        <w:t>with</w:t>
      </w:r>
      <w:r>
        <w:rPr>
          <w:spacing w:val="-8"/>
        </w:rPr>
        <w:t> </w:t>
      </w:r>
      <w:r>
        <w:rPr/>
        <w:t>those</w:t>
      </w:r>
      <w:r>
        <w:rPr>
          <w:spacing w:val="-8"/>
        </w:rPr>
        <w:t> </w:t>
      </w:r>
      <w:r>
        <w:rPr/>
        <w:t>who</w:t>
      </w:r>
      <w:r>
        <w:rPr>
          <w:spacing w:val="-8"/>
        </w:rPr>
        <w:t> </w:t>
      </w:r>
      <w:r>
        <w:rPr/>
        <w:t>have</w:t>
      </w:r>
      <w:r>
        <w:rPr>
          <w:spacing w:val="-8"/>
        </w:rPr>
        <w:t> </w:t>
      </w:r>
      <w:r>
        <w:rPr/>
        <w:t>life-long</w:t>
      </w:r>
      <w:r>
        <w:rPr>
          <w:spacing w:val="-8"/>
        </w:rPr>
        <w:t> </w:t>
      </w:r>
      <w:r>
        <w:rPr/>
        <w:t>self learning</w:t>
      </w:r>
      <w:r>
        <w:rPr>
          <w:spacing w:val="-13"/>
        </w:rPr>
        <w:t> </w:t>
      </w:r>
      <w:r>
        <w:rPr/>
        <w:t>skills</w:t>
      </w:r>
      <w:r>
        <w:rPr>
          <w:spacing w:val="-13"/>
        </w:rPr>
        <w:t> </w:t>
      </w:r>
      <w:r>
        <w:rPr/>
        <w:t>and</w:t>
      </w:r>
      <w:r>
        <w:rPr>
          <w:spacing w:val="-13"/>
        </w:rPr>
        <w:t> </w:t>
      </w:r>
      <w:r>
        <w:rPr/>
        <w:t>humanistic</w:t>
      </w:r>
      <w:r>
        <w:rPr>
          <w:spacing w:val="-13"/>
        </w:rPr>
        <w:t> </w:t>
      </w:r>
      <w:r>
        <w:rPr/>
        <w:t>grounding</w:t>
      </w:r>
      <w:r>
        <w:rPr>
          <w:spacing w:val="-13"/>
        </w:rPr>
        <w:t> </w:t>
      </w:r>
      <w:r>
        <w:rPr/>
        <w:t>and</w:t>
      </w:r>
      <w:r>
        <w:rPr>
          <w:spacing w:val="-13"/>
        </w:rPr>
        <w:t> </w:t>
      </w:r>
      <w:r>
        <w:rPr/>
        <w:t>not</w:t>
      </w:r>
      <w:r>
        <w:rPr>
          <w:spacing w:val="-13"/>
        </w:rPr>
        <w:t> </w:t>
      </w:r>
      <w:r>
        <w:rPr/>
        <w:t>with those stuffed with most information. Globalisation </w:t>
      </w:r>
      <w:r>
        <w:rPr>
          <w:spacing w:val="-2"/>
        </w:rPr>
        <w:t>demands</w:t>
      </w:r>
      <w:r>
        <w:rPr>
          <w:spacing w:val="-12"/>
        </w:rPr>
        <w:t> </w:t>
      </w:r>
      <w:r>
        <w:rPr>
          <w:spacing w:val="-2"/>
        </w:rPr>
        <w:t>individuals</w:t>
      </w:r>
      <w:r>
        <w:rPr>
          <w:spacing w:val="-12"/>
        </w:rPr>
        <w:t> </w:t>
      </w:r>
      <w:r>
        <w:rPr>
          <w:spacing w:val="-2"/>
        </w:rPr>
        <w:t>who</w:t>
      </w:r>
      <w:r>
        <w:rPr>
          <w:spacing w:val="-12"/>
        </w:rPr>
        <w:t> </w:t>
      </w:r>
      <w:r>
        <w:rPr>
          <w:spacing w:val="-2"/>
        </w:rPr>
        <w:t>can</w:t>
      </w:r>
      <w:r>
        <w:rPr>
          <w:spacing w:val="-11"/>
        </w:rPr>
        <w:t> </w:t>
      </w:r>
      <w:r>
        <w:rPr>
          <w:spacing w:val="-2"/>
        </w:rPr>
        <w:t>cope</w:t>
      </w:r>
      <w:r>
        <w:rPr>
          <w:spacing w:val="-12"/>
        </w:rPr>
        <w:t> </w:t>
      </w:r>
      <w:r>
        <w:rPr>
          <w:spacing w:val="-2"/>
        </w:rPr>
        <w:t>with</w:t>
      </w:r>
      <w:r>
        <w:rPr>
          <w:spacing w:val="-12"/>
        </w:rPr>
        <w:t> </w:t>
      </w:r>
      <w:r>
        <w:rPr>
          <w:spacing w:val="-2"/>
        </w:rPr>
        <w:t>exploding</w:t>
      </w:r>
      <w:r>
        <w:rPr>
          <w:spacing w:val="-12"/>
        </w:rPr>
        <w:t> </w:t>
      </w:r>
      <w:r>
        <w:rPr>
          <w:spacing w:val="-2"/>
        </w:rPr>
        <w:t>and </w:t>
      </w:r>
      <w:r>
        <w:rPr/>
        <w:t>challenging</w:t>
      </w:r>
      <w:r>
        <w:rPr>
          <w:spacing w:val="-8"/>
        </w:rPr>
        <w:t> </w:t>
      </w:r>
      <w:r>
        <w:rPr/>
        <w:t>landscapes</w:t>
      </w:r>
      <w:r>
        <w:rPr>
          <w:spacing w:val="-8"/>
        </w:rPr>
        <w:t> </w:t>
      </w:r>
      <w:r>
        <w:rPr/>
        <w:t>of</w:t>
      </w:r>
      <w:r>
        <w:rPr>
          <w:spacing w:val="-8"/>
        </w:rPr>
        <w:t> </w:t>
      </w:r>
      <w:r>
        <w:rPr/>
        <w:t>the</w:t>
      </w:r>
      <w:r>
        <w:rPr>
          <w:spacing w:val="-8"/>
        </w:rPr>
        <w:t> </w:t>
      </w:r>
      <w:r>
        <w:rPr/>
        <w:t>future</w:t>
      </w:r>
      <w:r>
        <w:rPr>
          <w:spacing w:val="-8"/>
        </w:rPr>
        <w:t> </w:t>
      </w:r>
      <w:r>
        <w:rPr/>
        <w:t>world.</w:t>
      </w:r>
      <w:r>
        <w:rPr>
          <w:spacing w:val="-14"/>
        </w:rPr>
        <w:t> </w:t>
      </w:r>
      <w:r>
        <w:rPr/>
        <w:t>There</w:t>
      </w:r>
      <w:r>
        <w:rPr>
          <w:spacing w:val="-7"/>
        </w:rPr>
        <w:t> </w:t>
      </w:r>
      <w:r>
        <w:rPr/>
        <w:t>is</w:t>
      </w:r>
      <w:r>
        <w:rPr>
          <w:spacing w:val="-8"/>
        </w:rPr>
        <w:t> </w:t>
      </w:r>
      <w:r>
        <w:rPr/>
        <w:t>a need</w:t>
      </w:r>
      <w:r>
        <w:rPr>
          <w:spacing w:val="-1"/>
        </w:rPr>
        <w:t> </w:t>
      </w:r>
      <w:r>
        <w:rPr/>
        <w:t>to</w:t>
      </w:r>
      <w:r>
        <w:rPr>
          <w:spacing w:val="-1"/>
        </w:rPr>
        <w:t> </w:t>
      </w:r>
      <w:r>
        <w:rPr/>
        <w:t>modify</w:t>
      </w:r>
      <w:r>
        <w:rPr>
          <w:spacing w:val="-1"/>
        </w:rPr>
        <w:t> </w:t>
      </w:r>
      <w:r>
        <w:rPr/>
        <w:t>the</w:t>
      </w:r>
      <w:r>
        <w:rPr>
          <w:spacing w:val="-1"/>
        </w:rPr>
        <w:t> </w:t>
      </w:r>
      <w:r>
        <w:rPr/>
        <w:t>current</w:t>
      </w:r>
      <w:r>
        <w:rPr>
          <w:spacing w:val="-1"/>
        </w:rPr>
        <w:t> </w:t>
      </w:r>
      <w:r>
        <w:rPr/>
        <w:t>education</w:t>
      </w:r>
      <w:r>
        <w:rPr>
          <w:spacing w:val="-1"/>
        </w:rPr>
        <w:t> </w:t>
      </w:r>
      <w:r>
        <w:rPr/>
        <w:t>system</w:t>
      </w:r>
      <w:r>
        <w:rPr>
          <w:spacing w:val="-1"/>
        </w:rPr>
        <w:t> </w:t>
      </w:r>
      <w:r>
        <w:rPr/>
        <w:t>to</w:t>
      </w:r>
      <w:r>
        <w:rPr>
          <w:spacing w:val="-1"/>
        </w:rPr>
        <w:t> </w:t>
      </w:r>
      <w:r>
        <w:rPr/>
        <w:t>adapt to changing needs of society.</w:t>
      </w:r>
    </w:p>
    <w:p>
      <w:pPr>
        <w:pStyle w:val="BodyText"/>
        <w:spacing w:before="15"/>
      </w:pPr>
    </w:p>
    <w:p>
      <w:pPr>
        <w:pStyle w:val="ListParagraph"/>
        <w:numPr>
          <w:ilvl w:val="1"/>
          <w:numId w:val="39"/>
        </w:numPr>
        <w:tabs>
          <w:tab w:pos="649" w:val="left" w:leader="none"/>
        </w:tabs>
        <w:spacing w:line="266" w:lineRule="auto" w:before="1" w:after="0"/>
        <w:ind w:left="319" w:right="1077" w:firstLine="0"/>
        <w:jc w:val="both"/>
        <w:rPr>
          <w:i/>
          <w:sz w:val="22"/>
        </w:rPr>
      </w:pPr>
      <w:r>
        <w:rPr>
          <w:b/>
          <w:w w:val="90"/>
          <w:sz w:val="22"/>
        </w:rPr>
        <w:t>Reduction of load: </w:t>
      </w:r>
      <w:r>
        <w:rPr>
          <w:i/>
          <w:w w:val="90"/>
          <w:sz w:val="22"/>
        </w:rPr>
        <w:t>There is an urgent need to reduce </w:t>
      </w:r>
      <w:r>
        <w:rPr>
          <w:i/>
          <w:sz w:val="22"/>
        </w:rPr>
        <w:t>information load of curriculum at higher secondary level.</w:t>
      </w:r>
      <w:r>
        <w:rPr>
          <w:i/>
          <w:spacing w:val="-6"/>
          <w:sz w:val="22"/>
        </w:rPr>
        <w:t> </w:t>
      </w:r>
      <w:r>
        <w:rPr>
          <w:i/>
          <w:sz w:val="22"/>
        </w:rPr>
        <w:t>Courses</w:t>
      </w:r>
      <w:r>
        <w:rPr>
          <w:i/>
          <w:spacing w:val="-7"/>
          <w:sz w:val="22"/>
        </w:rPr>
        <w:t> </w:t>
      </w:r>
      <w:r>
        <w:rPr>
          <w:i/>
          <w:sz w:val="22"/>
        </w:rPr>
        <w:t>should</w:t>
      </w:r>
      <w:r>
        <w:rPr>
          <w:i/>
          <w:spacing w:val="-7"/>
          <w:sz w:val="22"/>
        </w:rPr>
        <w:t> </w:t>
      </w:r>
      <w:r>
        <w:rPr>
          <w:i/>
          <w:sz w:val="22"/>
        </w:rPr>
        <w:t>be</w:t>
      </w:r>
      <w:r>
        <w:rPr>
          <w:i/>
          <w:spacing w:val="-7"/>
          <w:sz w:val="22"/>
        </w:rPr>
        <w:t> </w:t>
      </w:r>
      <w:r>
        <w:rPr>
          <w:i/>
          <w:sz w:val="22"/>
        </w:rPr>
        <w:t>made</w:t>
      </w:r>
      <w:r>
        <w:rPr>
          <w:i/>
          <w:spacing w:val="-7"/>
          <w:sz w:val="22"/>
        </w:rPr>
        <w:t> </w:t>
      </w:r>
      <w:r>
        <w:rPr>
          <w:i/>
          <w:sz w:val="22"/>
        </w:rPr>
        <w:t>engaging</w:t>
      </w:r>
      <w:r>
        <w:rPr>
          <w:i/>
          <w:spacing w:val="-7"/>
          <w:sz w:val="22"/>
        </w:rPr>
        <w:t> </w:t>
      </w:r>
      <w:r>
        <w:rPr>
          <w:i/>
          <w:sz w:val="22"/>
        </w:rPr>
        <w:t>and</w:t>
      </w:r>
      <w:r>
        <w:rPr>
          <w:i/>
          <w:spacing w:val="-7"/>
          <w:sz w:val="22"/>
        </w:rPr>
        <w:t> </w:t>
      </w:r>
      <w:r>
        <w:rPr>
          <w:i/>
          <w:sz w:val="22"/>
        </w:rPr>
        <w:t>not</w:t>
      </w:r>
      <w:r>
        <w:rPr>
          <w:i/>
          <w:spacing w:val="-7"/>
          <w:sz w:val="22"/>
        </w:rPr>
        <w:t> </w:t>
      </w:r>
      <w:r>
        <w:rPr>
          <w:i/>
          <w:sz w:val="22"/>
        </w:rPr>
        <w:t>very </w:t>
      </w:r>
      <w:r>
        <w:rPr>
          <w:i/>
          <w:w w:val="90"/>
          <w:sz w:val="22"/>
        </w:rPr>
        <w:t>heavy.</w:t>
      </w:r>
      <w:r>
        <w:rPr>
          <w:i/>
          <w:spacing w:val="7"/>
          <w:sz w:val="22"/>
        </w:rPr>
        <w:t> </w:t>
      </w:r>
      <w:r>
        <w:rPr>
          <w:i/>
          <w:w w:val="90"/>
          <w:sz w:val="22"/>
        </w:rPr>
        <w:t>Fundamentals</w:t>
      </w:r>
      <w:r>
        <w:rPr>
          <w:i/>
          <w:spacing w:val="8"/>
          <w:sz w:val="22"/>
        </w:rPr>
        <w:t> </w:t>
      </w:r>
      <w:r>
        <w:rPr>
          <w:i/>
          <w:w w:val="90"/>
          <w:sz w:val="22"/>
        </w:rPr>
        <w:t>should</w:t>
      </w:r>
      <w:r>
        <w:rPr>
          <w:i/>
          <w:spacing w:val="8"/>
          <w:sz w:val="22"/>
        </w:rPr>
        <w:t> </w:t>
      </w:r>
      <w:r>
        <w:rPr>
          <w:i/>
          <w:w w:val="90"/>
          <w:sz w:val="22"/>
        </w:rPr>
        <w:t>be</w:t>
      </w:r>
      <w:r>
        <w:rPr>
          <w:i/>
          <w:spacing w:val="8"/>
          <w:sz w:val="22"/>
        </w:rPr>
        <w:t> </w:t>
      </w:r>
      <w:r>
        <w:rPr>
          <w:i/>
          <w:w w:val="90"/>
          <w:sz w:val="22"/>
        </w:rPr>
        <w:t>emphasised</w:t>
      </w:r>
      <w:r>
        <w:rPr>
          <w:i/>
          <w:spacing w:val="8"/>
          <w:sz w:val="22"/>
        </w:rPr>
        <w:t> </w:t>
      </w:r>
      <w:r>
        <w:rPr>
          <w:i/>
          <w:w w:val="90"/>
          <w:sz w:val="22"/>
        </w:rPr>
        <w:t>by</w:t>
      </w:r>
      <w:r>
        <w:rPr>
          <w:i/>
          <w:spacing w:val="8"/>
          <w:sz w:val="22"/>
        </w:rPr>
        <w:t> </w:t>
      </w:r>
      <w:r>
        <w:rPr>
          <w:i/>
          <w:spacing w:val="-2"/>
          <w:w w:val="90"/>
          <w:sz w:val="22"/>
        </w:rPr>
        <w:t>providing</w:t>
      </w:r>
    </w:p>
    <w:p>
      <w:pPr>
        <w:spacing w:after="0" w:line="266" w:lineRule="auto"/>
        <w:jc w:val="both"/>
        <w:rPr>
          <w:sz w:val="22"/>
        </w:rPr>
        <w:sectPr>
          <w:pgSz w:w="11910" w:h="16840"/>
          <w:pgMar w:header="0" w:footer="675" w:top="960" w:bottom="860" w:left="0" w:right="0"/>
          <w:cols w:num="2" w:equalWidth="0">
            <w:col w:w="5774" w:space="40"/>
            <w:col w:w="6096"/>
          </w:cols>
        </w:sectPr>
      </w:pPr>
    </w:p>
    <w:p>
      <w:pPr>
        <w:spacing w:line="266" w:lineRule="auto" w:before="54"/>
        <w:ind w:left="1080" w:right="0" w:firstLine="0"/>
        <w:jc w:val="both"/>
        <w:rPr>
          <w:i/>
          <w:sz w:val="22"/>
        </w:rPr>
      </w:pPr>
      <w:r>
        <w:rPr>
          <w:i/>
          <w:spacing w:val="-2"/>
          <w:sz w:val="22"/>
        </w:rPr>
        <w:t>more</w:t>
      </w:r>
      <w:r>
        <w:rPr>
          <w:i/>
          <w:spacing w:val="-12"/>
          <w:sz w:val="22"/>
        </w:rPr>
        <w:t> </w:t>
      </w:r>
      <w:r>
        <w:rPr>
          <w:i/>
          <w:spacing w:val="-2"/>
          <w:sz w:val="22"/>
        </w:rPr>
        <w:t>background</w:t>
      </w:r>
      <w:r>
        <w:rPr>
          <w:i/>
          <w:spacing w:val="-12"/>
          <w:sz w:val="22"/>
        </w:rPr>
        <w:t> </w:t>
      </w:r>
      <w:r>
        <w:rPr>
          <w:i/>
          <w:spacing w:val="-2"/>
          <w:sz w:val="22"/>
        </w:rPr>
        <w:t>and</w:t>
      </w:r>
      <w:r>
        <w:rPr>
          <w:i/>
          <w:spacing w:val="-12"/>
          <w:sz w:val="22"/>
        </w:rPr>
        <w:t> </w:t>
      </w:r>
      <w:r>
        <w:rPr>
          <w:i/>
          <w:spacing w:val="-2"/>
          <w:sz w:val="22"/>
        </w:rPr>
        <w:t>application</w:t>
      </w:r>
      <w:r>
        <w:rPr>
          <w:i/>
          <w:spacing w:val="-11"/>
          <w:sz w:val="22"/>
        </w:rPr>
        <w:t> </w:t>
      </w:r>
      <w:r>
        <w:rPr>
          <w:i/>
          <w:spacing w:val="-2"/>
          <w:sz w:val="22"/>
        </w:rPr>
        <w:t>related</w:t>
      </w:r>
      <w:r>
        <w:rPr>
          <w:i/>
          <w:spacing w:val="-12"/>
          <w:sz w:val="22"/>
        </w:rPr>
        <w:t> </w:t>
      </w:r>
      <w:r>
        <w:rPr>
          <w:i/>
          <w:spacing w:val="-2"/>
          <w:sz w:val="22"/>
        </w:rPr>
        <w:t>problems</w:t>
      </w:r>
      <w:r>
        <w:rPr>
          <w:i/>
          <w:spacing w:val="-12"/>
          <w:sz w:val="22"/>
        </w:rPr>
        <w:t> </w:t>
      </w:r>
      <w:r>
        <w:rPr>
          <w:i/>
          <w:spacing w:val="-2"/>
          <w:sz w:val="22"/>
        </w:rPr>
        <w:t>on </w:t>
      </w:r>
      <w:r>
        <w:rPr>
          <w:i/>
          <w:sz w:val="22"/>
        </w:rPr>
        <w:t>each concept.</w:t>
      </w:r>
    </w:p>
    <w:p>
      <w:pPr>
        <w:pStyle w:val="BodyText"/>
        <w:spacing w:before="25"/>
        <w:rPr>
          <w:i/>
        </w:rPr>
      </w:pPr>
    </w:p>
    <w:p>
      <w:pPr>
        <w:pStyle w:val="ListParagraph"/>
        <w:numPr>
          <w:ilvl w:val="1"/>
          <w:numId w:val="39"/>
        </w:numPr>
        <w:tabs>
          <w:tab w:pos="1430" w:val="left" w:leader="none"/>
        </w:tabs>
        <w:spacing w:line="266" w:lineRule="auto" w:before="0" w:after="0"/>
        <w:ind w:left="1080" w:right="0" w:firstLine="0"/>
        <w:jc w:val="both"/>
        <w:rPr>
          <w:sz w:val="22"/>
        </w:rPr>
      </w:pPr>
      <w:r>
        <w:rPr>
          <w:b/>
          <w:spacing w:val="-4"/>
          <w:sz w:val="22"/>
        </w:rPr>
        <w:t>Content</w:t>
      </w:r>
      <w:r>
        <w:rPr>
          <w:b/>
          <w:spacing w:val="-10"/>
          <w:sz w:val="22"/>
        </w:rPr>
        <w:t> </w:t>
      </w:r>
      <w:r>
        <w:rPr>
          <w:b/>
          <w:spacing w:val="-4"/>
          <w:sz w:val="22"/>
        </w:rPr>
        <w:t>reforms:</w:t>
      </w:r>
      <w:r>
        <w:rPr>
          <w:b/>
          <w:spacing w:val="-10"/>
          <w:sz w:val="22"/>
        </w:rPr>
        <w:t> </w:t>
      </w:r>
      <w:r>
        <w:rPr>
          <w:i/>
          <w:spacing w:val="-4"/>
          <w:sz w:val="22"/>
        </w:rPr>
        <w:t>The</w:t>
      </w:r>
      <w:r>
        <w:rPr>
          <w:i/>
          <w:spacing w:val="-10"/>
          <w:sz w:val="22"/>
        </w:rPr>
        <w:t> </w:t>
      </w:r>
      <w:r>
        <w:rPr>
          <w:i/>
          <w:spacing w:val="-4"/>
          <w:sz w:val="22"/>
        </w:rPr>
        <w:t>amount</w:t>
      </w:r>
      <w:r>
        <w:rPr>
          <w:i/>
          <w:spacing w:val="-9"/>
          <w:sz w:val="22"/>
        </w:rPr>
        <w:t> </w:t>
      </w:r>
      <w:r>
        <w:rPr>
          <w:i/>
          <w:spacing w:val="-4"/>
          <w:sz w:val="22"/>
        </w:rPr>
        <w:t>of</w:t>
      </w:r>
      <w:r>
        <w:rPr>
          <w:i/>
          <w:spacing w:val="-10"/>
          <w:sz w:val="22"/>
        </w:rPr>
        <w:t> </w:t>
      </w:r>
      <w:r>
        <w:rPr>
          <w:i/>
          <w:spacing w:val="-4"/>
          <w:sz w:val="22"/>
        </w:rPr>
        <w:t>hands-on</w:t>
      </w:r>
      <w:r>
        <w:rPr>
          <w:i/>
          <w:spacing w:val="-10"/>
          <w:sz w:val="22"/>
        </w:rPr>
        <w:t> </w:t>
      </w:r>
      <w:r>
        <w:rPr>
          <w:i/>
          <w:spacing w:val="-4"/>
          <w:sz w:val="22"/>
        </w:rPr>
        <w:t>work</w:t>
      </w:r>
      <w:r>
        <w:rPr>
          <w:i/>
          <w:spacing w:val="-10"/>
          <w:sz w:val="22"/>
        </w:rPr>
        <w:t> </w:t>
      </w:r>
      <w:r>
        <w:rPr>
          <w:i/>
          <w:spacing w:val="-4"/>
          <w:sz w:val="22"/>
        </w:rPr>
        <w:t>at </w:t>
      </w:r>
      <w:r>
        <w:rPr>
          <w:i/>
          <w:spacing w:val="-2"/>
          <w:w w:val="90"/>
          <w:sz w:val="22"/>
        </w:rPr>
        <w:t>all</w:t>
      </w:r>
      <w:r>
        <w:rPr>
          <w:i/>
          <w:spacing w:val="-7"/>
          <w:w w:val="90"/>
          <w:sz w:val="22"/>
        </w:rPr>
        <w:t> </w:t>
      </w:r>
      <w:r>
        <w:rPr>
          <w:i/>
          <w:spacing w:val="-2"/>
          <w:w w:val="90"/>
          <w:sz w:val="22"/>
        </w:rPr>
        <w:t>levels</w:t>
      </w:r>
      <w:r>
        <w:rPr>
          <w:i/>
          <w:spacing w:val="-3"/>
          <w:w w:val="90"/>
          <w:sz w:val="22"/>
        </w:rPr>
        <w:t> </w:t>
      </w:r>
      <w:r>
        <w:rPr>
          <w:i/>
          <w:spacing w:val="-2"/>
          <w:w w:val="90"/>
          <w:sz w:val="22"/>
        </w:rPr>
        <w:t>should be increased.</w:t>
      </w:r>
      <w:r>
        <w:rPr>
          <w:i/>
          <w:spacing w:val="-7"/>
          <w:w w:val="90"/>
          <w:sz w:val="22"/>
        </w:rPr>
        <w:t> </w:t>
      </w:r>
      <w:r>
        <w:rPr>
          <w:spacing w:val="-2"/>
          <w:w w:val="90"/>
          <w:sz w:val="22"/>
        </w:rPr>
        <w:t>To make sciences interesting, </w:t>
      </w:r>
      <w:r>
        <w:rPr>
          <w:spacing w:val="-10"/>
          <w:sz w:val="22"/>
        </w:rPr>
        <w:t>local</w:t>
      </w:r>
      <w:r>
        <w:rPr>
          <w:spacing w:val="-4"/>
          <w:sz w:val="22"/>
        </w:rPr>
        <w:t> </w:t>
      </w:r>
      <w:r>
        <w:rPr>
          <w:spacing w:val="-10"/>
          <w:sz w:val="22"/>
        </w:rPr>
        <w:t>environment</w:t>
      </w:r>
      <w:r>
        <w:rPr>
          <w:spacing w:val="-4"/>
          <w:sz w:val="22"/>
        </w:rPr>
        <w:t> </w:t>
      </w:r>
      <w:r>
        <w:rPr>
          <w:spacing w:val="-10"/>
          <w:sz w:val="22"/>
        </w:rPr>
        <w:t>can</w:t>
      </w:r>
      <w:r>
        <w:rPr>
          <w:spacing w:val="-4"/>
          <w:sz w:val="22"/>
        </w:rPr>
        <w:t> </w:t>
      </w:r>
      <w:r>
        <w:rPr>
          <w:spacing w:val="-10"/>
          <w:sz w:val="22"/>
        </w:rPr>
        <w:t>be</w:t>
      </w:r>
      <w:r>
        <w:rPr>
          <w:spacing w:val="-3"/>
          <w:sz w:val="22"/>
        </w:rPr>
        <w:t> </w:t>
      </w:r>
      <w:r>
        <w:rPr>
          <w:spacing w:val="-10"/>
          <w:sz w:val="22"/>
        </w:rPr>
        <w:t>made</w:t>
      </w:r>
      <w:r>
        <w:rPr>
          <w:spacing w:val="-4"/>
          <w:sz w:val="22"/>
        </w:rPr>
        <w:t> </w:t>
      </w:r>
      <w:r>
        <w:rPr>
          <w:spacing w:val="-10"/>
          <w:sz w:val="22"/>
        </w:rPr>
        <w:t>a</w:t>
      </w:r>
      <w:r>
        <w:rPr>
          <w:spacing w:val="-4"/>
          <w:sz w:val="22"/>
        </w:rPr>
        <w:t> </w:t>
      </w:r>
      <w:r>
        <w:rPr>
          <w:spacing w:val="-10"/>
          <w:sz w:val="22"/>
        </w:rPr>
        <w:t>part</w:t>
      </w:r>
      <w:r>
        <w:rPr>
          <w:spacing w:val="-4"/>
          <w:sz w:val="22"/>
        </w:rPr>
        <w:t> </w:t>
      </w:r>
      <w:r>
        <w:rPr>
          <w:spacing w:val="-10"/>
          <w:sz w:val="22"/>
        </w:rPr>
        <w:t>of</w:t>
      </w:r>
      <w:r>
        <w:rPr>
          <w:spacing w:val="-3"/>
          <w:sz w:val="22"/>
        </w:rPr>
        <w:t> </w:t>
      </w:r>
      <w:r>
        <w:rPr>
          <w:spacing w:val="-10"/>
          <w:sz w:val="22"/>
        </w:rPr>
        <w:t>learning.</w:t>
      </w:r>
      <w:r>
        <w:rPr>
          <w:spacing w:val="-4"/>
          <w:sz w:val="22"/>
        </w:rPr>
        <w:t> </w:t>
      </w:r>
      <w:r>
        <w:rPr>
          <w:spacing w:val="-10"/>
          <w:sz w:val="22"/>
        </w:rPr>
        <w:t>Students </w:t>
      </w:r>
      <w:r>
        <w:rPr>
          <w:spacing w:val="-2"/>
          <w:sz w:val="22"/>
        </w:rPr>
        <w:t>can</w:t>
      </w:r>
      <w:r>
        <w:rPr>
          <w:spacing w:val="-12"/>
          <w:sz w:val="22"/>
        </w:rPr>
        <w:t> </w:t>
      </w:r>
      <w:r>
        <w:rPr>
          <w:spacing w:val="-2"/>
          <w:sz w:val="22"/>
        </w:rPr>
        <w:t>apply</w:t>
      </w:r>
      <w:r>
        <w:rPr>
          <w:spacing w:val="-12"/>
          <w:sz w:val="22"/>
        </w:rPr>
        <w:t> </w:t>
      </w:r>
      <w:r>
        <w:rPr>
          <w:spacing w:val="-2"/>
          <w:sz w:val="22"/>
        </w:rPr>
        <w:t>principles</w:t>
      </w:r>
      <w:r>
        <w:rPr>
          <w:spacing w:val="-12"/>
          <w:sz w:val="22"/>
        </w:rPr>
        <w:t> </w:t>
      </w:r>
      <w:r>
        <w:rPr>
          <w:spacing w:val="-2"/>
          <w:sz w:val="22"/>
        </w:rPr>
        <w:t>of</w:t>
      </w:r>
      <w:r>
        <w:rPr>
          <w:spacing w:val="-11"/>
          <w:sz w:val="22"/>
        </w:rPr>
        <w:t> </w:t>
      </w:r>
      <w:r>
        <w:rPr>
          <w:spacing w:val="-2"/>
          <w:sz w:val="22"/>
        </w:rPr>
        <w:t>science</w:t>
      </w:r>
      <w:r>
        <w:rPr>
          <w:spacing w:val="-12"/>
          <w:sz w:val="22"/>
        </w:rPr>
        <w:t> </w:t>
      </w:r>
      <w:r>
        <w:rPr>
          <w:spacing w:val="-2"/>
          <w:sz w:val="22"/>
        </w:rPr>
        <w:t>to</w:t>
      </w:r>
      <w:r>
        <w:rPr>
          <w:spacing w:val="-12"/>
          <w:sz w:val="22"/>
        </w:rPr>
        <w:t> </w:t>
      </w:r>
      <w:r>
        <w:rPr>
          <w:spacing w:val="-2"/>
          <w:sz w:val="22"/>
        </w:rPr>
        <w:t>solve</w:t>
      </w:r>
      <w:r>
        <w:rPr>
          <w:spacing w:val="-12"/>
          <w:sz w:val="22"/>
        </w:rPr>
        <w:t> </w:t>
      </w:r>
      <w:r>
        <w:rPr>
          <w:spacing w:val="-2"/>
          <w:sz w:val="22"/>
        </w:rPr>
        <w:t>local</w:t>
      </w:r>
      <w:r>
        <w:rPr>
          <w:spacing w:val="-11"/>
          <w:sz w:val="22"/>
        </w:rPr>
        <w:t> </w:t>
      </w:r>
      <w:r>
        <w:rPr>
          <w:spacing w:val="-2"/>
          <w:sz w:val="22"/>
        </w:rPr>
        <w:t>problems. </w:t>
      </w:r>
      <w:r>
        <w:rPr>
          <w:sz w:val="22"/>
        </w:rPr>
        <w:t>This can be coordinated with local science bodies. Group</w:t>
      </w:r>
      <w:r>
        <w:rPr>
          <w:spacing w:val="-11"/>
          <w:sz w:val="22"/>
        </w:rPr>
        <w:t> </w:t>
      </w:r>
      <w:r>
        <w:rPr>
          <w:sz w:val="22"/>
        </w:rPr>
        <w:t>activities,</w:t>
      </w:r>
      <w:r>
        <w:rPr>
          <w:spacing w:val="-11"/>
          <w:sz w:val="22"/>
        </w:rPr>
        <w:t> </w:t>
      </w:r>
      <w:r>
        <w:rPr>
          <w:sz w:val="22"/>
        </w:rPr>
        <w:t>hands-on</w:t>
      </w:r>
      <w:r>
        <w:rPr>
          <w:spacing w:val="-11"/>
          <w:sz w:val="22"/>
        </w:rPr>
        <w:t> </w:t>
      </w:r>
      <w:r>
        <w:rPr>
          <w:sz w:val="22"/>
        </w:rPr>
        <w:t>training,</w:t>
      </w:r>
      <w:r>
        <w:rPr>
          <w:spacing w:val="-11"/>
          <w:sz w:val="22"/>
        </w:rPr>
        <w:t> </w:t>
      </w:r>
      <w:r>
        <w:rPr>
          <w:sz w:val="22"/>
        </w:rPr>
        <w:t>student</w:t>
      </w:r>
      <w:r>
        <w:rPr>
          <w:spacing w:val="-11"/>
          <w:sz w:val="22"/>
        </w:rPr>
        <w:t> </w:t>
      </w:r>
      <w:r>
        <w:rPr>
          <w:sz w:val="22"/>
        </w:rPr>
        <w:t>seminars, project</w:t>
      </w:r>
      <w:r>
        <w:rPr>
          <w:spacing w:val="-16"/>
          <w:sz w:val="22"/>
        </w:rPr>
        <w:t> </w:t>
      </w:r>
      <w:r>
        <w:rPr>
          <w:sz w:val="22"/>
        </w:rPr>
        <w:t>camps</w:t>
      </w:r>
      <w:r>
        <w:rPr>
          <w:spacing w:val="-14"/>
          <w:sz w:val="22"/>
        </w:rPr>
        <w:t> </w:t>
      </w:r>
      <w:r>
        <w:rPr>
          <w:sz w:val="22"/>
        </w:rPr>
        <w:t>in</w:t>
      </w:r>
      <w:r>
        <w:rPr>
          <w:spacing w:val="-14"/>
          <w:sz w:val="22"/>
        </w:rPr>
        <w:t> </w:t>
      </w:r>
      <w:r>
        <w:rPr>
          <w:sz w:val="22"/>
        </w:rPr>
        <w:t>summers</w:t>
      </w:r>
      <w:r>
        <w:rPr>
          <w:spacing w:val="-13"/>
          <w:sz w:val="22"/>
        </w:rPr>
        <w:t> </w:t>
      </w:r>
      <w:r>
        <w:rPr>
          <w:sz w:val="22"/>
        </w:rPr>
        <w:t>should</w:t>
      </w:r>
      <w:r>
        <w:rPr>
          <w:spacing w:val="-14"/>
          <w:sz w:val="22"/>
        </w:rPr>
        <w:t> </w:t>
      </w:r>
      <w:r>
        <w:rPr>
          <w:sz w:val="22"/>
        </w:rPr>
        <w:t>be</w:t>
      </w:r>
      <w:r>
        <w:rPr>
          <w:spacing w:val="-14"/>
          <w:sz w:val="22"/>
        </w:rPr>
        <w:t> </w:t>
      </w:r>
      <w:r>
        <w:rPr>
          <w:sz w:val="22"/>
        </w:rPr>
        <w:t>encouraged</w:t>
      </w:r>
      <w:r>
        <w:rPr>
          <w:spacing w:val="-14"/>
          <w:sz w:val="22"/>
        </w:rPr>
        <w:t> </w:t>
      </w:r>
      <w:r>
        <w:rPr>
          <w:sz w:val="22"/>
        </w:rPr>
        <w:t>at</w:t>
      </w:r>
      <w:r>
        <w:rPr>
          <w:spacing w:val="-13"/>
          <w:sz w:val="22"/>
        </w:rPr>
        <w:t> </w:t>
      </w:r>
      <w:r>
        <w:rPr>
          <w:sz w:val="22"/>
        </w:rPr>
        <w:t>all </w:t>
      </w:r>
      <w:r>
        <w:rPr>
          <w:spacing w:val="-2"/>
          <w:sz w:val="22"/>
        </w:rPr>
        <w:t>levels.</w:t>
      </w:r>
      <w:r>
        <w:rPr>
          <w:spacing w:val="-8"/>
          <w:sz w:val="22"/>
        </w:rPr>
        <w:t> </w:t>
      </w:r>
      <w:r>
        <w:rPr>
          <w:spacing w:val="-2"/>
          <w:sz w:val="22"/>
        </w:rPr>
        <w:t>Laboratory</w:t>
      </w:r>
      <w:r>
        <w:rPr>
          <w:spacing w:val="-8"/>
          <w:sz w:val="22"/>
        </w:rPr>
        <w:t> </w:t>
      </w:r>
      <w:r>
        <w:rPr>
          <w:spacing w:val="-2"/>
          <w:sz w:val="22"/>
        </w:rPr>
        <w:t>courses</w:t>
      </w:r>
      <w:r>
        <w:rPr>
          <w:spacing w:val="-8"/>
          <w:sz w:val="22"/>
        </w:rPr>
        <w:t> </w:t>
      </w:r>
      <w:r>
        <w:rPr>
          <w:spacing w:val="-2"/>
          <w:sz w:val="22"/>
        </w:rPr>
        <w:t>should</w:t>
      </w:r>
      <w:r>
        <w:rPr>
          <w:spacing w:val="-8"/>
          <w:sz w:val="22"/>
        </w:rPr>
        <w:t> </w:t>
      </w:r>
      <w:r>
        <w:rPr>
          <w:spacing w:val="-2"/>
          <w:sz w:val="22"/>
        </w:rPr>
        <w:t>follow</w:t>
      </w:r>
      <w:r>
        <w:rPr>
          <w:spacing w:val="-8"/>
          <w:sz w:val="22"/>
        </w:rPr>
        <w:t> </w:t>
      </w:r>
      <w:r>
        <w:rPr>
          <w:spacing w:val="-2"/>
          <w:sz w:val="22"/>
        </w:rPr>
        <w:t>a</w:t>
      </w:r>
      <w:r>
        <w:rPr>
          <w:spacing w:val="-8"/>
          <w:sz w:val="22"/>
        </w:rPr>
        <w:t> </w:t>
      </w:r>
      <w:r>
        <w:rPr>
          <w:spacing w:val="-2"/>
          <w:sz w:val="22"/>
        </w:rPr>
        <w:t>continuum. </w:t>
      </w:r>
      <w:r>
        <w:rPr>
          <w:sz w:val="22"/>
        </w:rPr>
        <w:t>To</w:t>
      </w:r>
      <w:r>
        <w:rPr>
          <w:spacing w:val="-13"/>
          <w:sz w:val="22"/>
        </w:rPr>
        <w:t> </w:t>
      </w:r>
      <w:r>
        <w:rPr>
          <w:sz w:val="22"/>
        </w:rPr>
        <w:t>aid</w:t>
      </w:r>
      <w:r>
        <w:rPr>
          <w:spacing w:val="-13"/>
          <w:sz w:val="22"/>
        </w:rPr>
        <w:t> </w:t>
      </w:r>
      <w:r>
        <w:rPr>
          <w:sz w:val="22"/>
        </w:rPr>
        <w:t>learning</w:t>
      </w:r>
      <w:r>
        <w:rPr>
          <w:spacing w:val="-13"/>
          <w:sz w:val="22"/>
        </w:rPr>
        <w:t> </w:t>
      </w:r>
      <w:r>
        <w:rPr>
          <w:sz w:val="22"/>
        </w:rPr>
        <w:t>by</w:t>
      </w:r>
      <w:r>
        <w:rPr>
          <w:spacing w:val="-13"/>
          <w:sz w:val="22"/>
        </w:rPr>
        <w:t> </w:t>
      </w:r>
      <w:r>
        <w:rPr>
          <w:sz w:val="22"/>
        </w:rPr>
        <w:t>inquiry,</w:t>
      </w:r>
      <w:r>
        <w:rPr>
          <w:spacing w:val="-13"/>
          <w:sz w:val="22"/>
        </w:rPr>
        <w:t> </w:t>
      </w:r>
      <w:r>
        <w:rPr>
          <w:sz w:val="22"/>
        </w:rPr>
        <w:t>more</w:t>
      </w:r>
      <w:r>
        <w:rPr>
          <w:spacing w:val="-13"/>
          <w:sz w:val="22"/>
        </w:rPr>
        <w:t> </w:t>
      </w:r>
      <w:r>
        <w:rPr>
          <w:sz w:val="22"/>
        </w:rPr>
        <w:t>exploratory</w:t>
      </w:r>
      <w:r>
        <w:rPr>
          <w:spacing w:val="-13"/>
          <w:sz w:val="22"/>
        </w:rPr>
        <w:t> </w:t>
      </w:r>
      <w:r>
        <w:rPr>
          <w:sz w:val="22"/>
        </w:rPr>
        <w:t>methods must be incorporated into the curriculum. A larger number</w:t>
      </w:r>
      <w:r>
        <w:rPr>
          <w:spacing w:val="-14"/>
          <w:sz w:val="22"/>
        </w:rPr>
        <w:t> </w:t>
      </w:r>
      <w:r>
        <w:rPr>
          <w:sz w:val="22"/>
        </w:rPr>
        <w:t>of</w:t>
      </w:r>
      <w:r>
        <w:rPr>
          <w:spacing w:val="-14"/>
          <w:sz w:val="22"/>
        </w:rPr>
        <w:t> </w:t>
      </w:r>
      <w:r>
        <w:rPr>
          <w:sz w:val="22"/>
        </w:rPr>
        <w:t>experiments,</w:t>
      </w:r>
      <w:r>
        <w:rPr>
          <w:spacing w:val="-14"/>
          <w:sz w:val="22"/>
        </w:rPr>
        <w:t> </w:t>
      </w:r>
      <w:r>
        <w:rPr>
          <w:sz w:val="22"/>
        </w:rPr>
        <w:t>kits</w:t>
      </w:r>
      <w:r>
        <w:rPr>
          <w:spacing w:val="-13"/>
          <w:sz w:val="22"/>
        </w:rPr>
        <w:t> </w:t>
      </w:r>
      <w:r>
        <w:rPr>
          <w:sz w:val="22"/>
        </w:rPr>
        <w:t>and</w:t>
      </w:r>
      <w:r>
        <w:rPr>
          <w:spacing w:val="-14"/>
          <w:sz w:val="22"/>
        </w:rPr>
        <w:t> </w:t>
      </w:r>
      <w:r>
        <w:rPr>
          <w:sz w:val="22"/>
        </w:rPr>
        <w:t>multi</w:t>
      </w:r>
      <w:r>
        <w:rPr>
          <w:spacing w:val="-14"/>
          <w:sz w:val="22"/>
        </w:rPr>
        <w:t> </w:t>
      </w:r>
      <w:r>
        <w:rPr>
          <w:sz w:val="22"/>
        </w:rPr>
        <w:t>media</w:t>
      </w:r>
      <w:r>
        <w:rPr>
          <w:spacing w:val="-14"/>
          <w:sz w:val="22"/>
        </w:rPr>
        <w:t> </w:t>
      </w:r>
      <w:r>
        <w:rPr>
          <w:sz w:val="22"/>
        </w:rPr>
        <w:t>teaching aids</w:t>
      </w:r>
      <w:r>
        <w:rPr>
          <w:spacing w:val="-14"/>
          <w:sz w:val="22"/>
        </w:rPr>
        <w:t> </w:t>
      </w:r>
      <w:r>
        <w:rPr>
          <w:sz w:val="22"/>
        </w:rPr>
        <w:t>should</w:t>
      </w:r>
      <w:r>
        <w:rPr>
          <w:spacing w:val="-14"/>
          <w:sz w:val="22"/>
        </w:rPr>
        <w:t> </w:t>
      </w:r>
      <w:r>
        <w:rPr>
          <w:sz w:val="22"/>
        </w:rPr>
        <w:t>be</w:t>
      </w:r>
      <w:r>
        <w:rPr>
          <w:spacing w:val="-14"/>
          <w:sz w:val="22"/>
        </w:rPr>
        <w:t> </w:t>
      </w:r>
      <w:r>
        <w:rPr>
          <w:sz w:val="22"/>
        </w:rPr>
        <w:t>created</w:t>
      </w:r>
      <w:r>
        <w:rPr>
          <w:spacing w:val="-13"/>
          <w:sz w:val="22"/>
        </w:rPr>
        <w:t> </w:t>
      </w:r>
      <w:r>
        <w:rPr>
          <w:sz w:val="22"/>
        </w:rPr>
        <w:t>using,</w:t>
      </w:r>
      <w:r>
        <w:rPr>
          <w:spacing w:val="-14"/>
          <w:sz w:val="22"/>
        </w:rPr>
        <w:t> </w:t>
      </w:r>
      <w:r>
        <w:rPr>
          <w:sz w:val="22"/>
        </w:rPr>
        <w:t>as</w:t>
      </w:r>
      <w:r>
        <w:rPr>
          <w:spacing w:val="-14"/>
          <w:sz w:val="22"/>
        </w:rPr>
        <w:t> </w:t>
      </w:r>
      <w:r>
        <w:rPr>
          <w:sz w:val="22"/>
        </w:rPr>
        <w:t>far</w:t>
      </w:r>
      <w:r>
        <w:rPr>
          <w:spacing w:val="-14"/>
          <w:sz w:val="22"/>
        </w:rPr>
        <w:t> </w:t>
      </w:r>
      <w:r>
        <w:rPr>
          <w:sz w:val="22"/>
        </w:rPr>
        <w:t>as</w:t>
      </w:r>
      <w:r>
        <w:rPr>
          <w:spacing w:val="-13"/>
          <w:sz w:val="22"/>
        </w:rPr>
        <w:t> </w:t>
      </w:r>
      <w:r>
        <w:rPr>
          <w:sz w:val="22"/>
        </w:rPr>
        <w:t>possible,</w:t>
      </w:r>
      <w:r>
        <w:rPr>
          <w:spacing w:val="-14"/>
          <w:sz w:val="22"/>
        </w:rPr>
        <w:t> </w:t>
      </w:r>
      <w:r>
        <w:rPr>
          <w:sz w:val="22"/>
        </w:rPr>
        <w:t>locally available</w:t>
      </w:r>
      <w:r>
        <w:rPr>
          <w:spacing w:val="-13"/>
          <w:sz w:val="22"/>
        </w:rPr>
        <w:t> </w:t>
      </w:r>
      <w:r>
        <w:rPr>
          <w:sz w:val="22"/>
        </w:rPr>
        <w:t>materials</w:t>
      </w:r>
      <w:r>
        <w:rPr>
          <w:spacing w:val="-13"/>
          <w:sz w:val="22"/>
        </w:rPr>
        <w:t> </w:t>
      </w:r>
      <w:r>
        <w:rPr>
          <w:sz w:val="22"/>
        </w:rPr>
        <w:t>with</w:t>
      </w:r>
      <w:r>
        <w:rPr>
          <w:spacing w:val="-13"/>
          <w:sz w:val="22"/>
        </w:rPr>
        <w:t> </w:t>
      </w:r>
      <w:r>
        <w:rPr>
          <w:sz w:val="22"/>
        </w:rPr>
        <w:t>accompanying</w:t>
      </w:r>
      <w:r>
        <w:rPr>
          <w:spacing w:val="-13"/>
          <w:sz w:val="22"/>
        </w:rPr>
        <w:t> </w:t>
      </w:r>
      <w:r>
        <w:rPr>
          <w:sz w:val="22"/>
        </w:rPr>
        <w:t>do-it-yourself books.</w:t>
      </w:r>
      <w:r>
        <w:rPr>
          <w:spacing w:val="-9"/>
          <w:sz w:val="22"/>
        </w:rPr>
        <w:t> </w:t>
      </w:r>
      <w:r>
        <w:rPr>
          <w:sz w:val="22"/>
        </w:rPr>
        <w:t>Most</w:t>
      </w:r>
      <w:r>
        <w:rPr>
          <w:spacing w:val="-9"/>
          <w:sz w:val="22"/>
        </w:rPr>
        <w:t> </w:t>
      </w:r>
      <w:r>
        <w:rPr>
          <w:sz w:val="22"/>
        </w:rPr>
        <w:t>textbooks</w:t>
      </w:r>
      <w:r>
        <w:rPr>
          <w:spacing w:val="-9"/>
          <w:sz w:val="22"/>
        </w:rPr>
        <w:t> </w:t>
      </w:r>
      <w:r>
        <w:rPr>
          <w:sz w:val="22"/>
        </w:rPr>
        <w:t>at</w:t>
      </w:r>
      <w:r>
        <w:rPr>
          <w:spacing w:val="-9"/>
          <w:sz w:val="22"/>
        </w:rPr>
        <w:t> </w:t>
      </w:r>
      <w:r>
        <w:rPr>
          <w:sz w:val="22"/>
        </w:rPr>
        <w:t>school</w:t>
      </w:r>
      <w:r>
        <w:rPr>
          <w:spacing w:val="-9"/>
          <w:sz w:val="22"/>
        </w:rPr>
        <w:t> </w:t>
      </w:r>
      <w:r>
        <w:rPr>
          <w:sz w:val="22"/>
        </w:rPr>
        <w:t>level</w:t>
      </w:r>
      <w:r>
        <w:rPr>
          <w:spacing w:val="-9"/>
          <w:sz w:val="22"/>
        </w:rPr>
        <w:t> </w:t>
      </w:r>
      <w:r>
        <w:rPr>
          <w:sz w:val="22"/>
        </w:rPr>
        <w:t>do</w:t>
      </w:r>
      <w:r>
        <w:rPr>
          <w:spacing w:val="-9"/>
          <w:sz w:val="22"/>
        </w:rPr>
        <w:t> </w:t>
      </w:r>
      <w:r>
        <w:rPr>
          <w:sz w:val="22"/>
        </w:rPr>
        <w:t>not</w:t>
      </w:r>
      <w:r>
        <w:rPr>
          <w:spacing w:val="-9"/>
          <w:sz w:val="22"/>
        </w:rPr>
        <w:t> </w:t>
      </w:r>
      <w:r>
        <w:rPr>
          <w:sz w:val="22"/>
        </w:rPr>
        <w:t>describe </w:t>
      </w:r>
      <w:r>
        <w:rPr>
          <w:spacing w:val="-6"/>
          <w:sz w:val="22"/>
        </w:rPr>
        <w:t>the</w:t>
      </w:r>
      <w:r>
        <w:rPr>
          <w:spacing w:val="-7"/>
          <w:sz w:val="22"/>
        </w:rPr>
        <w:t> </w:t>
      </w:r>
      <w:r>
        <w:rPr>
          <w:spacing w:val="-6"/>
          <w:sz w:val="22"/>
        </w:rPr>
        <w:t>details</w:t>
      </w:r>
      <w:r>
        <w:rPr>
          <w:spacing w:val="-7"/>
          <w:sz w:val="22"/>
        </w:rPr>
        <w:t> </w:t>
      </w:r>
      <w:r>
        <w:rPr>
          <w:spacing w:val="-6"/>
          <w:sz w:val="22"/>
        </w:rPr>
        <w:t>of</w:t>
      </w:r>
      <w:r>
        <w:rPr>
          <w:spacing w:val="-7"/>
          <w:sz w:val="22"/>
        </w:rPr>
        <w:t> </w:t>
      </w:r>
      <w:r>
        <w:rPr>
          <w:spacing w:val="-6"/>
          <w:sz w:val="22"/>
        </w:rPr>
        <w:t>experiments</w:t>
      </w:r>
      <w:r>
        <w:rPr>
          <w:spacing w:val="-7"/>
          <w:sz w:val="22"/>
        </w:rPr>
        <w:t> </w:t>
      </w:r>
      <w:r>
        <w:rPr>
          <w:spacing w:val="-6"/>
          <w:sz w:val="22"/>
        </w:rPr>
        <w:t>and</w:t>
      </w:r>
      <w:r>
        <w:rPr>
          <w:spacing w:val="-7"/>
          <w:sz w:val="22"/>
        </w:rPr>
        <w:t> </w:t>
      </w:r>
      <w:r>
        <w:rPr>
          <w:spacing w:val="-6"/>
          <w:sz w:val="22"/>
        </w:rPr>
        <w:t>teachers</w:t>
      </w:r>
      <w:r>
        <w:rPr>
          <w:spacing w:val="-7"/>
          <w:sz w:val="22"/>
        </w:rPr>
        <w:t> </w:t>
      </w:r>
      <w:r>
        <w:rPr>
          <w:spacing w:val="-6"/>
          <w:sz w:val="22"/>
        </w:rPr>
        <w:t>are</w:t>
      </w:r>
      <w:r>
        <w:rPr>
          <w:spacing w:val="-7"/>
          <w:sz w:val="22"/>
        </w:rPr>
        <w:t> </w:t>
      </w:r>
      <w:r>
        <w:rPr>
          <w:spacing w:val="-6"/>
          <w:sz w:val="22"/>
        </w:rPr>
        <w:t>often</w:t>
      </w:r>
      <w:r>
        <w:rPr>
          <w:spacing w:val="-7"/>
          <w:sz w:val="22"/>
        </w:rPr>
        <w:t> </w:t>
      </w:r>
      <w:r>
        <w:rPr>
          <w:spacing w:val="-6"/>
          <w:sz w:val="22"/>
        </w:rPr>
        <w:t>not</w:t>
      </w:r>
      <w:r>
        <w:rPr>
          <w:spacing w:val="-7"/>
          <w:sz w:val="22"/>
        </w:rPr>
        <w:t> </w:t>
      </w:r>
      <w:r>
        <w:rPr>
          <w:spacing w:val="-6"/>
          <w:sz w:val="22"/>
        </w:rPr>
        <w:t>sure </w:t>
      </w:r>
      <w:r>
        <w:rPr>
          <w:spacing w:val="-4"/>
          <w:sz w:val="22"/>
        </w:rPr>
        <w:t>how</w:t>
      </w:r>
      <w:r>
        <w:rPr>
          <w:spacing w:val="-10"/>
          <w:sz w:val="22"/>
        </w:rPr>
        <w:t> </w:t>
      </w:r>
      <w:r>
        <w:rPr>
          <w:spacing w:val="-4"/>
          <w:sz w:val="22"/>
        </w:rPr>
        <w:t>to</w:t>
      </w:r>
      <w:r>
        <w:rPr>
          <w:spacing w:val="-10"/>
          <w:sz w:val="22"/>
        </w:rPr>
        <w:t> </w:t>
      </w:r>
      <w:r>
        <w:rPr>
          <w:spacing w:val="-4"/>
          <w:sz w:val="22"/>
        </w:rPr>
        <w:t>do</w:t>
      </w:r>
      <w:r>
        <w:rPr>
          <w:spacing w:val="-10"/>
          <w:sz w:val="22"/>
        </w:rPr>
        <w:t> </w:t>
      </w:r>
      <w:r>
        <w:rPr>
          <w:spacing w:val="-4"/>
          <w:sz w:val="22"/>
        </w:rPr>
        <w:t>the</w:t>
      </w:r>
      <w:r>
        <w:rPr>
          <w:spacing w:val="-9"/>
          <w:sz w:val="22"/>
        </w:rPr>
        <w:t> </w:t>
      </w:r>
      <w:r>
        <w:rPr>
          <w:spacing w:val="-4"/>
          <w:sz w:val="22"/>
        </w:rPr>
        <w:t>experiments</w:t>
      </w:r>
      <w:r>
        <w:rPr>
          <w:spacing w:val="-10"/>
          <w:sz w:val="22"/>
        </w:rPr>
        <w:t> </w:t>
      </w:r>
      <w:r>
        <w:rPr>
          <w:spacing w:val="-4"/>
          <w:sz w:val="22"/>
        </w:rPr>
        <w:t>or</w:t>
      </w:r>
      <w:r>
        <w:rPr>
          <w:spacing w:val="-10"/>
          <w:sz w:val="22"/>
        </w:rPr>
        <w:t> </w:t>
      </w:r>
      <w:r>
        <w:rPr>
          <w:spacing w:val="-4"/>
          <w:sz w:val="22"/>
        </w:rPr>
        <w:t>why</w:t>
      </w:r>
      <w:r>
        <w:rPr>
          <w:spacing w:val="-10"/>
          <w:sz w:val="22"/>
        </w:rPr>
        <w:t> </w:t>
      </w:r>
      <w:r>
        <w:rPr>
          <w:spacing w:val="-4"/>
          <w:sz w:val="22"/>
        </w:rPr>
        <w:t>their</w:t>
      </w:r>
      <w:r>
        <w:rPr>
          <w:spacing w:val="-9"/>
          <w:sz w:val="22"/>
        </w:rPr>
        <w:t> </w:t>
      </w:r>
      <w:r>
        <w:rPr>
          <w:spacing w:val="-4"/>
          <w:sz w:val="22"/>
        </w:rPr>
        <w:t>experiments</w:t>
      </w:r>
      <w:r>
        <w:rPr>
          <w:spacing w:val="-10"/>
          <w:sz w:val="22"/>
        </w:rPr>
        <w:t> </w:t>
      </w:r>
      <w:r>
        <w:rPr>
          <w:spacing w:val="-4"/>
          <w:sz w:val="22"/>
        </w:rPr>
        <w:t>fail –</w:t>
      </w:r>
      <w:r>
        <w:rPr>
          <w:spacing w:val="-7"/>
          <w:sz w:val="22"/>
        </w:rPr>
        <w:t> </w:t>
      </w:r>
      <w:r>
        <w:rPr>
          <w:spacing w:val="-4"/>
          <w:sz w:val="22"/>
        </w:rPr>
        <w:t>it</w:t>
      </w:r>
      <w:r>
        <w:rPr>
          <w:spacing w:val="-7"/>
          <w:sz w:val="22"/>
        </w:rPr>
        <w:t> </w:t>
      </w:r>
      <w:r>
        <w:rPr>
          <w:spacing w:val="-4"/>
          <w:sz w:val="22"/>
        </w:rPr>
        <w:t>should</w:t>
      </w:r>
      <w:r>
        <w:rPr>
          <w:spacing w:val="-7"/>
          <w:sz w:val="22"/>
        </w:rPr>
        <w:t> </w:t>
      </w:r>
      <w:r>
        <w:rPr>
          <w:spacing w:val="-4"/>
          <w:sz w:val="22"/>
        </w:rPr>
        <w:t>be</w:t>
      </w:r>
      <w:r>
        <w:rPr>
          <w:spacing w:val="-7"/>
          <w:sz w:val="22"/>
        </w:rPr>
        <w:t> </w:t>
      </w:r>
      <w:r>
        <w:rPr>
          <w:spacing w:val="-4"/>
          <w:sz w:val="22"/>
        </w:rPr>
        <w:t>ensured</w:t>
      </w:r>
      <w:r>
        <w:rPr>
          <w:spacing w:val="-7"/>
          <w:sz w:val="22"/>
        </w:rPr>
        <w:t> </w:t>
      </w:r>
      <w:r>
        <w:rPr>
          <w:spacing w:val="-4"/>
          <w:sz w:val="22"/>
        </w:rPr>
        <w:t>that</w:t>
      </w:r>
      <w:r>
        <w:rPr>
          <w:spacing w:val="-7"/>
          <w:sz w:val="22"/>
        </w:rPr>
        <w:t> </w:t>
      </w:r>
      <w:r>
        <w:rPr>
          <w:spacing w:val="-4"/>
          <w:sz w:val="22"/>
        </w:rPr>
        <w:t>practical</w:t>
      </w:r>
      <w:r>
        <w:rPr>
          <w:spacing w:val="-7"/>
          <w:sz w:val="22"/>
        </w:rPr>
        <w:t> </w:t>
      </w:r>
      <w:r>
        <w:rPr>
          <w:spacing w:val="-4"/>
          <w:sz w:val="22"/>
        </w:rPr>
        <w:t>manuals</w:t>
      </w:r>
      <w:r>
        <w:rPr>
          <w:spacing w:val="-7"/>
          <w:sz w:val="22"/>
        </w:rPr>
        <w:t> </w:t>
      </w:r>
      <w:r>
        <w:rPr>
          <w:spacing w:val="-4"/>
          <w:sz w:val="22"/>
        </w:rPr>
        <w:t>explaining </w:t>
      </w:r>
      <w:r>
        <w:rPr>
          <w:sz w:val="22"/>
        </w:rPr>
        <w:t>details</w:t>
      </w:r>
      <w:r>
        <w:rPr>
          <w:spacing w:val="-11"/>
          <w:sz w:val="22"/>
        </w:rPr>
        <w:t> </w:t>
      </w:r>
      <w:r>
        <w:rPr>
          <w:sz w:val="22"/>
        </w:rPr>
        <w:t>should</w:t>
      </w:r>
      <w:r>
        <w:rPr>
          <w:spacing w:val="-11"/>
          <w:sz w:val="22"/>
        </w:rPr>
        <w:t> </w:t>
      </w:r>
      <w:r>
        <w:rPr>
          <w:sz w:val="22"/>
        </w:rPr>
        <w:t>be</w:t>
      </w:r>
      <w:r>
        <w:rPr>
          <w:spacing w:val="-11"/>
          <w:sz w:val="22"/>
        </w:rPr>
        <w:t> </w:t>
      </w:r>
      <w:r>
        <w:rPr>
          <w:sz w:val="22"/>
        </w:rPr>
        <w:t>made</w:t>
      </w:r>
      <w:r>
        <w:rPr>
          <w:spacing w:val="-11"/>
          <w:sz w:val="22"/>
        </w:rPr>
        <w:t> </w:t>
      </w:r>
      <w:r>
        <w:rPr>
          <w:sz w:val="22"/>
        </w:rPr>
        <w:t>available.</w:t>
      </w:r>
      <w:r>
        <w:rPr>
          <w:spacing w:val="-11"/>
          <w:sz w:val="22"/>
        </w:rPr>
        <w:t> </w:t>
      </w:r>
      <w:r>
        <w:rPr>
          <w:sz w:val="22"/>
        </w:rPr>
        <w:t>Details</w:t>
      </w:r>
      <w:r>
        <w:rPr>
          <w:spacing w:val="-11"/>
          <w:sz w:val="22"/>
        </w:rPr>
        <w:t> </w:t>
      </w:r>
      <w:r>
        <w:rPr>
          <w:sz w:val="22"/>
        </w:rPr>
        <w:t>about</w:t>
      </w:r>
      <w:r>
        <w:rPr>
          <w:spacing w:val="-11"/>
          <w:sz w:val="22"/>
        </w:rPr>
        <w:t> </w:t>
      </w:r>
      <w:r>
        <w:rPr>
          <w:sz w:val="22"/>
        </w:rPr>
        <w:t>where </w:t>
      </w:r>
      <w:r>
        <w:rPr>
          <w:spacing w:val="-6"/>
          <w:sz w:val="22"/>
        </w:rPr>
        <w:t>the</w:t>
      </w:r>
      <w:r>
        <w:rPr>
          <w:spacing w:val="-8"/>
          <w:sz w:val="22"/>
        </w:rPr>
        <w:t> </w:t>
      </w:r>
      <w:r>
        <w:rPr>
          <w:spacing w:val="-6"/>
          <w:sz w:val="22"/>
        </w:rPr>
        <w:t>requirements</w:t>
      </w:r>
      <w:r>
        <w:rPr>
          <w:spacing w:val="-8"/>
          <w:sz w:val="22"/>
        </w:rPr>
        <w:t> </w:t>
      </w:r>
      <w:r>
        <w:rPr>
          <w:spacing w:val="-6"/>
          <w:sz w:val="22"/>
        </w:rPr>
        <w:t>/kit</w:t>
      </w:r>
      <w:r>
        <w:rPr>
          <w:spacing w:val="-8"/>
          <w:sz w:val="22"/>
        </w:rPr>
        <w:t> </w:t>
      </w:r>
      <w:r>
        <w:rPr>
          <w:spacing w:val="-6"/>
          <w:sz w:val="22"/>
        </w:rPr>
        <w:t>items</w:t>
      </w:r>
      <w:r>
        <w:rPr>
          <w:spacing w:val="-7"/>
          <w:sz w:val="22"/>
        </w:rPr>
        <w:t> </w:t>
      </w:r>
      <w:r>
        <w:rPr>
          <w:spacing w:val="-6"/>
          <w:sz w:val="22"/>
        </w:rPr>
        <w:t>can</w:t>
      </w:r>
      <w:r>
        <w:rPr>
          <w:spacing w:val="-8"/>
          <w:sz w:val="22"/>
        </w:rPr>
        <w:t> </w:t>
      </w:r>
      <w:r>
        <w:rPr>
          <w:spacing w:val="-6"/>
          <w:sz w:val="22"/>
        </w:rPr>
        <w:t>be</w:t>
      </w:r>
      <w:r>
        <w:rPr>
          <w:spacing w:val="-8"/>
          <w:sz w:val="22"/>
        </w:rPr>
        <w:t> </w:t>
      </w:r>
      <w:r>
        <w:rPr>
          <w:spacing w:val="-6"/>
          <w:sz w:val="22"/>
        </w:rPr>
        <w:t>available</w:t>
      </w:r>
      <w:r>
        <w:rPr>
          <w:spacing w:val="-8"/>
          <w:sz w:val="22"/>
        </w:rPr>
        <w:t> </w:t>
      </w:r>
      <w:r>
        <w:rPr>
          <w:spacing w:val="-6"/>
          <w:sz w:val="22"/>
        </w:rPr>
        <w:t>and</w:t>
      </w:r>
      <w:r>
        <w:rPr>
          <w:spacing w:val="-7"/>
          <w:sz w:val="22"/>
        </w:rPr>
        <w:t> </w:t>
      </w:r>
      <w:r>
        <w:rPr>
          <w:spacing w:val="-6"/>
          <w:sz w:val="22"/>
        </w:rPr>
        <w:t>expected </w:t>
      </w:r>
      <w:r>
        <w:rPr>
          <w:spacing w:val="-4"/>
          <w:sz w:val="22"/>
        </w:rPr>
        <w:t>cost</w:t>
      </w:r>
      <w:r>
        <w:rPr>
          <w:spacing w:val="-10"/>
          <w:sz w:val="22"/>
        </w:rPr>
        <w:t> </w:t>
      </w:r>
      <w:r>
        <w:rPr>
          <w:spacing w:val="-4"/>
          <w:sz w:val="22"/>
        </w:rPr>
        <w:t>should</w:t>
      </w:r>
      <w:r>
        <w:rPr>
          <w:spacing w:val="-10"/>
          <w:sz w:val="22"/>
        </w:rPr>
        <w:t> </w:t>
      </w:r>
      <w:r>
        <w:rPr>
          <w:spacing w:val="-4"/>
          <w:sz w:val="22"/>
        </w:rPr>
        <w:t>be</w:t>
      </w:r>
      <w:r>
        <w:rPr>
          <w:spacing w:val="-10"/>
          <w:sz w:val="22"/>
        </w:rPr>
        <w:t> </w:t>
      </w:r>
      <w:r>
        <w:rPr>
          <w:spacing w:val="-4"/>
          <w:sz w:val="22"/>
        </w:rPr>
        <w:t>provided.</w:t>
      </w:r>
      <w:r>
        <w:rPr>
          <w:spacing w:val="-9"/>
          <w:sz w:val="22"/>
        </w:rPr>
        <w:t> </w:t>
      </w:r>
      <w:r>
        <w:rPr>
          <w:spacing w:val="-4"/>
          <w:sz w:val="22"/>
        </w:rPr>
        <w:t>Students</w:t>
      </w:r>
      <w:r>
        <w:rPr>
          <w:spacing w:val="-10"/>
          <w:sz w:val="22"/>
        </w:rPr>
        <w:t> </w:t>
      </w:r>
      <w:r>
        <w:rPr>
          <w:spacing w:val="-4"/>
          <w:sz w:val="22"/>
        </w:rPr>
        <w:t>should</w:t>
      </w:r>
      <w:r>
        <w:rPr>
          <w:spacing w:val="-10"/>
          <w:sz w:val="22"/>
        </w:rPr>
        <w:t> </w:t>
      </w:r>
      <w:r>
        <w:rPr>
          <w:spacing w:val="-4"/>
          <w:sz w:val="22"/>
        </w:rPr>
        <w:t>be</w:t>
      </w:r>
      <w:r>
        <w:rPr>
          <w:spacing w:val="-10"/>
          <w:sz w:val="22"/>
        </w:rPr>
        <w:t> </w:t>
      </w:r>
      <w:r>
        <w:rPr>
          <w:spacing w:val="-4"/>
          <w:sz w:val="22"/>
        </w:rPr>
        <w:t>encouraged </w:t>
      </w:r>
      <w:r>
        <w:rPr>
          <w:spacing w:val="-6"/>
          <w:sz w:val="22"/>
        </w:rPr>
        <w:t>to</w:t>
      </w:r>
      <w:r>
        <w:rPr>
          <w:spacing w:val="-8"/>
          <w:sz w:val="22"/>
        </w:rPr>
        <w:t> </w:t>
      </w:r>
      <w:r>
        <w:rPr>
          <w:spacing w:val="-6"/>
          <w:sz w:val="22"/>
        </w:rPr>
        <w:t>experiment</w:t>
      </w:r>
      <w:r>
        <w:rPr>
          <w:spacing w:val="-8"/>
          <w:sz w:val="22"/>
        </w:rPr>
        <w:t> </w:t>
      </w:r>
      <w:r>
        <w:rPr>
          <w:spacing w:val="-6"/>
          <w:sz w:val="22"/>
        </w:rPr>
        <w:t>in</w:t>
      </w:r>
      <w:r>
        <w:rPr>
          <w:spacing w:val="-8"/>
          <w:sz w:val="22"/>
        </w:rPr>
        <w:t> </w:t>
      </w:r>
      <w:r>
        <w:rPr>
          <w:spacing w:val="-6"/>
          <w:sz w:val="22"/>
        </w:rPr>
        <w:t>a</w:t>
      </w:r>
      <w:r>
        <w:rPr>
          <w:spacing w:val="-4"/>
          <w:sz w:val="22"/>
        </w:rPr>
        <w:t> </w:t>
      </w:r>
      <w:r>
        <w:rPr>
          <w:spacing w:val="-6"/>
          <w:sz w:val="22"/>
        </w:rPr>
        <w:t>creative, unfettered fashion.</w:t>
      </w:r>
      <w:r>
        <w:rPr>
          <w:spacing w:val="-8"/>
          <w:sz w:val="22"/>
        </w:rPr>
        <w:t> </w:t>
      </w:r>
      <w:r>
        <w:rPr>
          <w:spacing w:val="-6"/>
          <w:sz w:val="22"/>
        </w:rPr>
        <w:t>This calls </w:t>
      </w:r>
      <w:r>
        <w:rPr>
          <w:sz w:val="22"/>
        </w:rPr>
        <w:t>for</w:t>
      </w:r>
      <w:r>
        <w:rPr>
          <w:spacing w:val="-16"/>
          <w:sz w:val="22"/>
        </w:rPr>
        <w:t> </w:t>
      </w:r>
      <w:r>
        <w:rPr>
          <w:sz w:val="22"/>
        </w:rPr>
        <w:t>changes</w:t>
      </w:r>
      <w:r>
        <w:rPr>
          <w:spacing w:val="-14"/>
          <w:sz w:val="22"/>
        </w:rPr>
        <w:t> </w:t>
      </w:r>
      <w:r>
        <w:rPr>
          <w:sz w:val="22"/>
        </w:rPr>
        <w:t>in</w:t>
      </w:r>
      <w:r>
        <w:rPr>
          <w:spacing w:val="-14"/>
          <w:sz w:val="22"/>
        </w:rPr>
        <w:t> </w:t>
      </w:r>
      <w:r>
        <w:rPr>
          <w:sz w:val="22"/>
        </w:rPr>
        <w:t>the</w:t>
      </w:r>
      <w:r>
        <w:rPr>
          <w:spacing w:val="-13"/>
          <w:sz w:val="22"/>
        </w:rPr>
        <w:t> </w:t>
      </w:r>
      <w:r>
        <w:rPr>
          <w:sz w:val="22"/>
        </w:rPr>
        <w:t>curriculum,</w:t>
      </w:r>
      <w:r>
        <w:rPr>
          <w:spacing w:val="-14"/>
          <w:sz w:val="22"/>
        </w:rPr>
        <w:t> </w:t>
      </w:r>
      <w:r>
        <w:rPr>
          <w:sz w:val="22"/>
        </w:rPr>
        <w:t>teaching</w:t>
      </w:r>
      <w:r>
        <w:rPr>
          <w:spacing w:val="-14"/>
          <w:sz w:val="22"/>
        </w:rPr>
        <w:t> </w:t>
      </w:r>
      <w:r>
        <w:rPr>
          <w:sz w:val="22"/>
        </w:rPr>
        <w:t>and</w:t>
      </w:r>
      <w:r>
        <w:rPr>
          <w:spacing w:val="-14"/>
          <w:sz w:val="22"/>
        </w:rPr>
        <w:t> </w:t>
      </w:r>
      <w:r>
        <w:rPr>
          <w:sz w:val="22"/>
        </w:rPr>
        <w:t>attitude</w:t>
      </w:r>
      <w:r>
        <w:rPr>
          <w:spacing w:val="-13"/>
          <w:sz w:val="22"/>
        </w:rPr>
        <w:t> </w:t>
      </w:r>
      <w:r>
        <w:rPr>
          <w:sz w:val="22"/>
        </w:rPr>
        <w:t>of </w:t>
      </w:r>
      <w:r>
        <w:rPr>
          <w:spacing w:val="-2"/>
          <w:sz w:val="22"/>
        </w:rPr>
        <w:t>school</w:t>
      </w:r>
      <w:r>
        <w:rPr>
          <w:spacing w:val="-7"/>
          <w:sz w:val="22"/>
        </w:rPr>
        <w:t> </w:t>
      </w:r>
      <w:r>
        <w:rPr>
          <w:spacing w:val="-2"/>
          <w:sz w:val="22"/>
        </w:rPr>
        <w:t>administrators</w:t>
      </w:r>
      <w:r>
        <w:rPr>
          <w:spacing w:val="-7"/>
          <w:sz w:val="22"/>
        </w:rPr>
        <w:t> </w:t>
      </w:r>
      <w:r>
        <w:rPr>
          <w:spacing w:val="-2"/>
          <w:sz w:val="22"/>
        </w:rPr>
        <w:t>(not</w:t>
      </w:r>
      <w:r>
        <w:rPr>
          <w:spacing w:val="-7"/>
          <w:sz w:val="22"/>
        </w:rPr>
        <w:t> </w:t>
      </w:r>
      <w:r>
        <w:rPr>
          <w:spacing w:val="-2"/>
          <w:sz w:val="22"/>
        </w:rPr>
        <w:t>viewing</w:t>
      </w:r>
      <w:r>
        <w:rPr>
          <w:spacing w:val="-7"/>
          <w:sz w:val="22"/>
        </w:rPr>
        <w:t> </w:t>
      </w:r>
      <w:r>
        <w:rPr>
          <w:spacing w:val="-2"/>
          <w:sz w:val="22"/>
        </w:rPr>
        <w:t>labs</w:t>
      </w:r>
      <w:r>
        <w:rPr>
          <w:spacing w:val="-7"/>
          <w:sz w:val="22"/>
        </w:rPr>
        <w:t> </w:t>
      </w:r>
      <w:r>
        <w:rPr>
          <w:spacing w:val="-2"/>
          <w:sz w:val="22"/>
        </w:rPr>
        <w:t>or</w:t>
      </w:r>
      <w:r>
        <w:rPr>
          <w:spacing w:val="-7"/>
          <w:sz w:val="22"/>
        </w:rPr>
        <w:t> </w:t>
      </w:r>
      <w:r>
        <w:rPr>
          <w:spacing w:val="-2"/>
          <w:sz w:val="22"/>
        </w:rPr>
        <w:t>instruments </w:t>
      </w:r>
      <w:r>
        <w:rPr>
          <w:sz w:val="22"/>
        </w:rPr>
        <w:t>or</w:t>
      </w:r>
      <w:r>
        <w:rPr>
          <w:spacing w:val="-12"/>
          <w:sz w:val="22"/>
        </w:rPr>
        <w:t> </w:t>
      </w:r>
      <w:r>
        <w:rPr>
          <w:sz w:val="22"/>
        </w:rPr>
        <w:t>chemicals</w:t>
      </w:r>
      <w:r>
        <w:rPr>
          <w:spacing w:val="-12"/>
          <w:sz w:val="22"/>
        </w:rPr>
        <w:t> </w:t>
      </w:r>
      <w:r>
        <w:rPr>
          <w:sz w:val="22"/>
        </w:rPr>
        <w:t>as</w:t>
      </w:r>
      <w:r>
        <w:rPr>
          <w:spacing w:val="-12"/>
          <w:sz w:val="22"/>
        </w:rPr>
        <w:t> </w:t>
      </w:r>
      <w:r>
        <w:rPr>
          <w:sz w:val="22"/>
        </w:rPr>
        <w:t>prized</w:t>
      </w:r>
      <w:r>
        <w:rPr>
          <w:spacing w:val="-12"/>
          <w:sz w:val="22"/>
        </w:rPr>
        <w:t> </w:t>
      </w:r>
      <w:r>
        <w:rPr>
          <w:sz w:val="22"/>
        </w:rPr>
        <w:t>possessions</w:t>
      </w:r>
      <w:r>
        <w:rPr>
          <w:spacing w:val="-12"/>
          <w:sz w:val="22"/>
        </w:rPr>
        <w:t> </w:t>
      </w:r>
      <w:r>
        <w:rPr>
          <w:sz w:val="22"/>
        </w:rPr>
        <w:t>etc).</w:t>
      </w:r>
    </w:p>
    <w:p>
      <w:pPr>
        <w:pStyle w:val="BodyText"/>
        <w:spacing w:before="8"/>
      </w:pPr>
    </w:p>
    <w:p>
      <w:pPr>
        <w:spacing w:line="266" w:lineRule="auto" w:before="0"/>
        <w:ind w:left="1080" w:right="0" w:firstLine="0"/>
        <w:jc w:val="both"/>
        <w:rPr>
          <w:sz w:val="22"/>
        </w:rPr>
      </w:pPr>
      <w:r>
        <w:rPr>
          <w:i/>
          <w:w w:val="90"/>
          <w:sz w:val="22"/>
        </w:rPr>
        <w:t>Books should be written by teachers who teach the </w:t>
      </w:r>
      <w:r>
        <w:rPr>
          <w:i/>
          <w:w w:val="90"/>
          <w:sz w:val="22"/>
        </w:rPr>
        <w:t>subject </w:t>
      </w:r>
      <w:r>
        <w:rPr>
          <w:i/>
          <w:spacing w:val="-2"/>
          <w:sz w:val="22"/>
        </w:rPr>
        <w:t>and</w:t>
      </w:r>
      <w:r>
        <w:rPr>
          <w:i/>
          <w:spacing w:val="-12"/>
          <w:sz w:val="22"/>
        </w:rPr>
        <w:t> </w:t>
      </w:r>
      <w:r>
        <w:rPr>
          <w:i/>
          <w:spacing w:val="-2"/>
          <w:sz w:val="22"/>
        </w:rPr>
        <w:t>not</w:t>
      </w:r>
      <w:r>
        <w:rPr>
          <w:i/>
          <w:spacing w:val="-12"/>
          <w:sz w:val="22"/>
        </w:rPr>
        <w:t> </w:t>
      </w:r>
      <w:r>
        <w:rPr>
          <w:i/>
          <w:spacing w:val="-2"/>
          <w:sz w:val="22"/>
        </w:rPr>
        <w:t>by</w:t>
      </w:r>
      <w:r>
        <w:rPr>
          <w:i/>
          <w:spacing w:val="-12"/>
          <w:sz w:val="22"/>
        </w:rPr>
        <w:t> </w:t>
      </w:r>
      <w:r>
        <w:rPr>
          <w:i/>
          <w:spacing w:val="-2"/>
          <w:sz w:val="22"/>
        </w:rPr>
        <w:t>curriculum</w:t>
      </w:r>
      <w:r>
        <w:rPr>
          <w:i/>
          <w:spacing w:val="-11"/>
          <w:sz w:val="22"/>
        </w:rPr>
        <w:t> </w:t>
      </w:r>
      <w:r>
        <w:rPr>
          <w:i/>
          <w:spacing w:val="-2"/>
          <w:sz w:val="22"/>
        </w:rPr>
        <w:t>committees.</w:t>
      </w:r>
      <w:r>
        <w:rPr>
          <w:i/>
          <w:spacing w:val="-12"/>
          <w:sz w:val="22"/>
        </w:rPr>
        <w:t> </w:t>
      </w:r>
      <w:r>
        <w:rPr>
          <w:spacing w:val="-2"/>
          <w:sz w:val="22"/>
        </w:rPr>
        <w:t>A</w:t>
      </w:r>
      <w:r>
        <w:rPr>
          <w:spacing w:val="-12"/>
          <w:sz w:val="22"/>
        </w:rPr>
        <w:t> </w:t>
      </w:r>
      <w:r>
        <w:rPr>
          <w:spacing w:val="-2"/>
          <w:sz w:val="22"/>
        </w:rPr>
        <w:t>culture</w:t>
      </w:r>
      <w:r>
        <w:rPr>
          <w:spacing w:val="-12"/>
          <w:sz w:val="22"/>
        </w:rPr>
        <w:t> </w:t>
      </w:r>
      <w:r>
        <w:rPr>
          <w:spacing w:val="-2"/>
          <w:sz w:val="22"/>
        </w:rPr>
        <w:t>of</w:t>
      </w:r>
      <w:r>
        <w:rPr>
          <w:spacing w:val="-11"/>
          <w:sz w:val="22"/>
        </w:rPr>
        <w:t> </w:t>
      </w:r>
      <w:r>
        <w:rPr>
          <w:spacing w:val="-2"/>
          <w:sz w:val="22"/>
        </w:rPr>
        <w:t>writing </w:t>
      </w:r>
      <w:r>
        <w:rPr>
          <w:sz w:val="22"/>
        </w:rPr>
        <w:t>books needs to be developed. Mass collaboration for content development should be encouraged. The government should promote Indian edition of latest books in science.</w:t>
      </w:r>
    </w:p>
    <w:p>
      <w:pPr>
        <w:pStyle w:val="BodyText"/>
        <w:spacing w:before="22"/>
      </w:pPr>
    </w:p>
    <w:p>
      <w:pPr>
        <w:pStyle w:val="BodyText"/>
        <w:spacing w:line="266" w:lineRule="auto"/>
        <w:ind w:left="1080"/>
        <w:jc w:val="both"/>
      </w:pPr>
      <w:r>
        <w:rPr/>
        <w:t>To</w:t>
      </w:r>
      <w:r>
        <w:rPr>
          <w:spacing w:val="-14"/>
        </w:rPr>
        <w:t> </w:t>
      </w:r>
      <w:r>
        <w:rPr/>
        <w:t>be</w:t>
      </w:r>
      <w:r>
        <w:rPr>
          <w:spacing w:val="-14"/>
        </w:rPr>
        <w:t> </w:t>
      </w:r>
      <w:r>
        <w:rPr/>
        <w:t>ready</w:t>
      </w:r>
      <w:r>
        <w:rPr>
          <w:spacing w:val="-14"/>
        </w:rPr>
        <w:t> </w:t>
      </w:r>
      <w:r>
        <w:rPr/>
        <w:t>for</w:t>
      </w:r>
      <w:r>
        <w:rPr>
          <w:spacing w:val="-13"/>
        </w:rPr>
        <w:t> </w:t>
      </w:r>
      <w:r>
        <w:rPr/>
        <w:t>the</w:t>
      </w:r>
      <w:r>
        <w:rPr>
          <w:spacing w:val="-14"/>
        </w:rPr>
        <w:t> </w:t>
      </w:r>
      <w:r>
        <w:rPr/>
        <w:t>ever</w:t>
      </w:r>
      <w:r>
        <w:rPr>
          <w:spacing w:val="-14"/>
        </w:rPr>
        <w:t> </w:t>
      </w:r>
      <w:r>
        <w:rPr/>
        <w:t>changing</w:t>
      </w:r>
      <w:r>
        <w:rPr>
          <w:spacing w:val="-14"/>
        </w:rPr>
        <w:t> </w:t>
      </w:r>
      <w:r>
        <w:rPr/>
        <w:t>scientific</w:t>
      </w:r>
      <w:r>
        <w:rPr>
          <w:spacing w:val="-13"/>
        </w:rPr>
        <w:t> </w:t>
      </w:r>
      <w:r>
        <w:rPr/>
        <w:t>world,</w:t>
      </w:r>
      <w:r>
        <w:rPr>
          <w:spacing w:val="-14"/>
        </w:rPr>
        <w:t> </w:t>
      </w:r>
      <w:r>
        <w:rPr/>
        <w:t>we </w:t>
      </w:r>
      <w:r>
        <w:rPr>
          <w:spacing w:val="-2"/>
        </w:rPr>
        <w:t>should</w:t>
      </w:r>
      <w:r>
        <w:rPr>
          <w:spacing w:val="-12"/>
        </w:rPr>
        <w:t> </w:t>
      </w:r>
      <w:r>
        <w:rPr>
          <w:spacing w:val="-2"/>
        </w:rPr>
        <w:t>develop</w:t>
      </w:r>
      <w:r>
        <w:rPr>
          <w:spacing w:val="-12"/>
        </w:rPr>
        <w:t> </w:t>
      </w:r>
      <w:r>
        <w:rPr>
          <w:spacing w:val="-2"/>
        </w:rPr>
        <w:t>and</w:t>
      </w:r>
      <w:r>
        <w:rPr>
          <w:spacing w:val="-12"/>
        </w:rPr>
        <w:t> </w:t>
      </w:r>
      <w:r>
        <w:rPr>
          <w:spacing w:val="-2"/>
        </w:rPr>
        <w:t>impart</w:t>
      </w:r>
      <w:r>
        <w:rPr>
          <w:spacing w:val="-11"/>
        </w:rPr>
        <w:t> </w:t>
      </w:r>
      <w:r>
        <w:rPr>
          <w:spacing w:val="-2"/>
        </w:rPr>
        <w:t>creativity</w:t>
      </w:r>
      <w:r>
        <w:rPr>
          <w:spacing w:val="-12"/>
        </w:rPr>
        <w:t> </w:t>
      </w:r>
      <w:r>
        <w:rPr>
          <w:spacing w:val="-2"/>
        </w:rPr>
        <w:t>training</w:t>
      </w:r>
      <w:r>
        <w:rPr>
          <w:spacing w:val="-12"/>
        </w:rPr>
        <w:t> </w:t>
      </w:r>
      <w:r>
        <w:rPr>
          <w:spacing w:val="-2"/>
        </w:rPr>
        <w:t>that</w:t>
      </w:r>
      <w:r>
        <w:rPr>
          <w:spacing w:val="-12"/>
        </w:rPr>
        <w:t> </w:t>
      </w:r>
      <w:r>
        <w:rPr>
          <w:spacing w:val="-2"/>
        </w:rPr>
        <w:t>is</w:t>
      </w:r>
      <w:r>
        <w:rPr>
          <w:spacing w:val="-11"/>
        </w:rPr>
        <w:t> </w:t>
      </w:r>
      <w:r>
        <w:rPr>
          <w:spacing w:val="-2"/>
        </w:rPr>
        <w:t>the ability</w:t>
      </w:r>
      <w:r>
        <w:rPr>
          <w:spacing w:val="-10"/>
        </w:rPr>
        <w:t> </w:t>
      </w:r>
      <w:r>
        <w:rPr>
          <w:spacing w:val="-2"/>
        </w:rPr>
        <w:t>to</w:t>
      </w:r>
      <w:r>
        <w:rPr>
          <w:spacing w:val="-10"/>
        </w:rPr>
        <w:t> </w:t>
      </w:r>
      <w:r>
        <w:rPr>
          <w:spacing w:val="-2"/>
        </w:rPr>
        <w:t>synthesise</w:t>
      </w:r>
      <w:r>
        <w:rPr>
          <w:spacing w:val="-10"/>
        </w:rPr>
        <w:t> </w:t>
      </w:r>
      <w:r>
        <w:rPr>
          <w:spacing w:val="-2"/>
        </w:rPr>
        <w:t>conceptually.</w:t>
      </w:r>
      <w:r>
        <w:rPr>
          <w:spacing w:val="-10"/>
        </w:rPr>
        <w:t> </w:t>
      </w:r>
      <w:r>
        <w:rPr>
          <w:spacing w:val="-2"/>
        </w:rPr>
        <w:t>Pedagogy</w:t>
      </w:r>
      <w:r>
        <w:rPr>
          <w:spacing w:val="-10"/>
        </w:rPr>
        <w:t> </w:t>
      </w:r>
      <w:r>
        <w:rPr>
          <w:spacing w:val="-2"/>
        </w:rPr>
        <w:t>should</w:t>
      </w:r>
      <w:r>
        <w:rPr>
          <w:spacing w:val="-10"/>
        </w:rPr>
        <w:t> </w:t>
      </w:r>
      <w:r>
        <w:rPr>
          <w:spacing w:val="-2"/>
        </w:rPr>
        <w:t>be </w:t>
      </w:r>
      <w:r>
        <w:rPr/>
        <w:t>modified</w:t>
      </w:r>
      <w:r>
        <w:rPr>
          <w:spacing w:val="-14"/>
        </w:rPr>
        <w:t> </w:t>
      </w:r>
      <w:r>
        <w:rPr/>
        <w:t>to</w:t>
      </w:r>
      <w:r>
        <w:rPr>
          <w:spacing w:val="-14"/>
        </w:rPr>
        <w:t> </w:t>
      </w:r>
      <w:r>
        <w:rPr/>
        <w:t>entail</w:t>
      </w:r>
      <w:r>
        <w:rPr>
          <w:spacing w:val="-14"/>
        </w:rPr>
        <w:t> </w:t>
      </w:r>
      <w:r>
        <w:rPr/>
        <w:t>such</w:t>
      </w:r>
      <w:r>
        <w:rPr>
          <w:spacing w:val="-13"/>
        </w:rPr>
        <w:t> </w:t>
      </w:r>
      <w:r>
        <w:rPr/>
        <w:t>training.</w:t>
      </w:r>
      <w:r>
        <w:rPr>
          <w:spacing w:val="-14"/>
        </w:rPr>
        <w:t> </w:t>
      </w:r>
      <w:r>
        <w:rPr/>
        <w:t>To</w:t>
      </w:r>
      <w:r>
        <w:rPr>
          <w:spacing w:val="-14"/>
        </w:rPr>
        <w:t> </w:t>
      </w:r>
      <w:r>
        <w:rPr/>
        <w:t>empower</w:t>
      </w:r>
      <w:r>
        <w:rPr>
          <w:spacing w:val="-14"/>
        </w:rPr>
        <w:t> </w:t>
      </w:r>
      <w:r>
        <w:rPr/>
        <w:t>students </w:t>
      </w:r>
      <w:r>
        <w:rPr>
          <w:w w:val="90"/>
        </w:rPr>
        <w:t>to face future challenges imposed by globalisation, global </w:t>
      </w:r>
      <w:r>
        <w:rPr>
          <w:spacing w:val="-2"/>
        </w:rPr>
        <w:t>vision</w:t>
      </w:r>
      <w:r>
        <w:rPr>
          <w:spacing w:val="-8"/>
        </w:rPr>
        <w:t> </w:t>
      </w:r>
      <w:r>
        <w:rPr>
          <w:spacing w:val="-2"/>
        </w:rPr>
        <w:t>training</w:t>
      </w:r>
      <w:r>
        <w:rPr>
          <w:spacing w:val="-8"/>
        </w:rPr>
        <w:t> </w:t>
      </w:r>
      <w:r>
        <w:rPr>
          <w:spacing w:val="-2"/>
        </w:rPr>
        <w:t>should</w:t>
      </w:r>
      <w:r>
        <w:rPr>
          <w:spacing w:val="-8"/>
        </w:rPr>
        <w:t> </w:t>
      </w:r>
      <w:r>
        <w:rPr>
          <w:spacing w:val="-2"/>
        </w:rPr>
        <w:t>be</w:t>
      </w:r>
      <w:r>
        <w:rPr>
          <w:spacing w:val="-8"/>
        </w:rPr>
        <w:t> </w:t>
      </w:r>
      <w:r>
        <w:rPr>
          <w:spacing w:val="-2"/>
        </w:rPr>
        <w:t>imparted</w:t>
      </w:r>
      <w:r>
        <w:rPr>
          <w:spacing w:val="-8"/>
        </w:rPr>
        <w:t> </w:t>
      </w:r>
      <w:r>
        <w:rPr>
          <w:spacing w:val="-2"/>
        </w:rPr>
        <w:t>to</w:t>
      </w:r>
      <w:r>
        <w:rPr>
          <w:spacing w:val="-8"/>
        </w:rPr>
        <w:t> </w:t>
      </w:r>
      <w:r>
        <w:rPr>
          <w:spacing w:val="-2"/>
        </w:rPr>
        <w:t>students.</w:t>
      </w:r>
      <w:r>
        <w:rPr>
          <w:spacing w:val="-8"/>
        </w:rPr>
        <w:t> </w:t>
      </w:r>
      <w:r>
        <w:rPr>
          <w:spacing w:val="-2"/>
        </w:rPr>
        <w:t>Student </w:t>
      </w:r>
      <w:r>
        <w:rPr>
          <w:spacing w:val="-4"/>
        </w:rPr>
        <w:t>exchange</w:t>
      </w:r>
      <w:r>
        <w:rPr>
          <w:spacing w:val="-10"/>
        </w:rPr>
        <w:t> </w:t>
      </w:r>
      <w:r>
        <w:rPr>
          <w:spacing w:val="-4"/>
        </w:rPr>
        <w:t>programs</w:t>
      </w:r>
      <w:r>
        <w:rPr>
          <w:spacing w:val="-10"/>
        </w:rPr>
        <w:t> </w:t>
      </w:r>
      <w:r>
        <w:rPr>
          <w:spacing w:val="-4"/>
        </w:rPr>
        <w:t>should</w:t>
      </w:r>
      <w:r>
        <w:rPr>
          <w:spacing w:val="-10"/>
        </w:rPr>
        <w:t> </w:t>
      </w:r>
      <w:r>
        <w:rPr>
          <w:spacing w:val="-4"/>
        </w:rPr>
        <w:t>be</w:t>
      </w:r>
      <w:r>
        <w:rPr>
          <w:spacing w:val="-9"/>
        </w:rPr>
        <w:t> </w:t>
      </w:r>
      <w:r>
        <w:rPr>
          <w:spacing w:val="-4"/>
        </w:rPr>
        <w:t>increased</w:t>
      </w:r>
      <w:r>
        <w:rPr>
          <w:spacing w:val="-10"/>
        </w:rPr>
        <w:t> </w:t>
      </w:r>
      <w:r>
        <w:rPr>
          <w:spacing w:val="-4"/>
        </w:rPr>
        <w:t>as</w:t>
      </w:r>
      <w:r>
        <w:rPr>
          <w:spacing w:val="-10"/>
        </w:rPr>
        <w:t> </w:t>
      </w:r>
      <w:r>
        <w:rPr>
          <w:spacing w:val="-4"/>
        </w:rPr>
        <w:t>international </w:t>
      </w:r>
      <w:r>
        <w:rPr>
          <w:spacing w:val="-2"/>
        </w:rPr>
        <w:t>students</w:t>
      </w:r>
      <w:r>
        <w:rPr>
          <w:spacing w:val="-5"/>
        </w:rPr>
        <w:t> </w:t>
      </w:r>
      <w:r>
        <w:rPr>
          <w:spacing w:val="-2"/>
        </w:rPr>
        <w:t>bring</w:t>
      </w:r>
      <w:r>
        <w:rPr>
          <w:spacing w:val="-5"/>
        </w:rPr>
        <w:t> </w:t>
      </w:r>
      <w:r>
        <w:rPr>
          <w:spacing w:val="-2"/>
        </w:rPr>
        <w:t>fresh</w:t>
      </w:r>
      <w:r>
        <w:rPr>
          <w:spacing w:val="-5"/>
        </w:rPr>
        <w:t> </w:t>
      </w:r>
      <w:r>
        <w:rPr>
          <w:spacing w:val="-2"/>
        </w:rPr>
        <w:t>perspective</w:t>
      </w:r>
      <w:r>
        <w:rPr>
          <w:spacing w:val="-5"/>
        </w:rPr>
        <w:t> </w:t>
      </w:r>
      <w:r>
        <w:rPr>
          <w:spacing w:val="-2"/>
        </w:rPr>
        <w:t>crucial</w:t>
      </w:r>
      <w:r>
        <w:rPr>
          <w:spacing w:val="-5"/>
        </w:rPr>
        <w:t> </w:t>
      </w:r>
      <w:r>
        <w:rPr>
          <w:spacing w:val="-2"/>
        </w:rPr>
        <w:t>for</w:t>
      </w:r>
      <w:r>
        <w:rPr>
          <w:spacing w:val="-5"/>
        </w:rPr>
        <w:t> </w:t>
      </w:r>
      <w:r>
        <w:rPr>
          <w:spacing w:val="-2"/>
        </w:rPr>
        <w:t>turning</w:t>
      </w:r>
      <w:r>
        <w:rPr>
          <w:spacing w:val="-5"/>
        </w:rPr>
        <w:t> </w:t>
      </w:r>
      <w:r>
        <w:rPr>
          <w:spacing w:val="-2"/>
        </w:rPr>
        <w:t>out </w:t>
      </w:r>
      <w:r>
        <w:rPr/>
        <w:t>global citizens.</w:t>
      </w:r>
    </w:p>
    <w:p>
      <w:pPr>
        <w:pStyle w:val="BodyText"/>
        <w:spacing w:before="19"/>
      </w:pPr>
    </w:p>
    <w:p>
      <w:pPr>
        <w:pStyle w:val="ListParagraph"/>
        <w:numPr>
          <w:ilvl w:val="1"/>
          <w:numId w:val="39"/>
        </w:numPr>
        <w:tabs>
          <w:tab w:pos="1516" w:val="left" w:leader="none"/>
        </w:tabs>
        <w:spacing w:line="266" w:lineRule="auto" w:before="1" w:after="0"/>
        <w:ind w:left="1080" w:right="0" w:firstLine="0"/>
        <w:jc w:val="both"/>
        <w:rPr>
          <w:sz w:val="22"/>
        </w:rPr>
      </w:pPr>
      <w:r>
        <w:rPr>
          <w:b/>
          <w:sz w:val="22"/>
        </w:rPr>
        <w:t>Increasing avenues for research: </w:t>
      </w:r>
      <w:r>
        <w:rPr>
          <w:sz w:val="22"/>
        </w:rPr>
        <w:t>As </w:t>
      </w:r>
      <w:r>
        <w:rPr>
          <w:sz w:val="22"/>
        </w:rPr>
        <w:t>students advance in their studies, whether undergraduate or graduate,</w:t>
      </w:r>
      <w:r>
        <w:rPr>
          <w:spacing w:val="-14"/>
          <w:sz w:val="22"/>
        </w:rPr>
        <w:t> </w:t>
      </w:r>
      <w:r>
        <w:rPr>
          <w:sz w:val="22"/>
        </w:rPr>
        <w:t>they</w:t>
      </w:r>
      <w:r>
        <w:rPr>
          <w:spacing w:val="-14"/>
          <w:sz w:val="22"/>
        </w:rPr>
        <w:t> </w:t>
      </w:r>
      <w:r>
        <w:rPr>
          <w:sz w:val="22"/>
        </w:rPr>
        <w:t>should</w:t>
      </w:r>
      <w:r>
        <w:rPr>
          <w:spacing w:val="-14"/>
          <w:sz w:val="22"/>
        </w:rPr>
        <w:t> </w:t>
      </w:r>
      <w:r>
        <w:rPr>
          <w:sz w:val="22"/>
        </w:rPr>
        <w:t>be</w:t>
      </w:r>
      <w:r>
        <w:rPr>
          <w:spacing w:val="-13"/>
          <w:sz w:val="22"/>
        </w:rPr>
        <w:t> </w:t>
      </w:r>
      <w:r>
        <w:rPr>
          <w:sz w:val="22"/>
        </w:rPr>
        <w:t>frequently</w:t>
      </w:r>
      <w:r>
        <w:rPr>
          <w:spacing w:val="-14"/>
          <w:sz w:val="22"/>
        </w:rPr>
        <w:t> </w:t>
      </w:r>
      <w:r>
        <w:rPr>
          <w:sz w:val="22"/>
        </w:rPr>
        <w:t>exposed</w:t>
      </w:r>
      <w:r>
        <w:rPr>
          <w:spacing w:val="-14"/>
          <w:sz w:val="22"/>
        </w:rPr>
        <w:t> </w:t>
      </w:r>
      <w:r>
        <w:rPr>
          <w:sz w:val="22"/>
        </w:rPr>
        <w:t>to</w:t>
      </w:r>
      <w:r>
        <w:rPr>
          <w:spacing w:val="-14"/>
          <w:sz w:val="22"/>
        </w:rPr>
        <w:t> </w:t>
      </w:r>
      <w:r>
        <w:rPr>
          <w:sz w:val="22"/>
        </w:rPr>
        <w:t>people </w:t>
      </w:r>
      <w:r>
        <w:rPr>
          <w:spacing w:val="-4"/>
          <w:sz w:val="22"/>
        </w:rPr>
        <w:t>who</w:t>
      </w:r>
      <w:r>
        <w:rPr>
          <w:spacing w:val="-10"/>
          <w:sz w:val="22"/>
        </w:rPr>
        <w:t> </w:t>
      </w:r>
      <w:r>
        <w:rPr>
          <w:spacing w:val="-4"/>
          <w:sz w:val="22"/>
        </w:rPr>
        <w:t>are</w:t>
      </w:r>
      <w:r>
        <w:rPr>
          <w:spacing w:val="-10"/>
          <w:sz w:val="22"/>
        </w:rPr>
        <w:t> </w:t>
      </w:r>
      <w:r>
        <w:rPr>
          <w:spacing w:val="-4"/>
          <w:sz w:val="22"/>
        </w:rPr>
        <w:t>immersed</w:t>
      </w:r>
      <w:r>
        <w:rPr>
          <w:spacing w:val="-10"/>
          <w:sz w:val="22"/>
        </w:rPr>
        <w:t> </w:t>
      </w:r>
      <w:r>
        <w:rPr>
          <w:spacing w:val="-4"/>
          <w:sz w:val="22"/>
        </w:rPr>
        <w:t>in</w:t>
      </w:r>
      <w:r>
        <w:rPr>
          <w:spacing w:val="-9"/>
          <w:sz w:val="22"/>
        </w:rPr>
        <w:t> </w:t>
      </w:r>
      <w:r>
        <w:rPr>
          <w:spacing w:val="-4"/>
          <w:sz w:val="22"/>
        </w:rPr>
        <w:t>solving</w:t>
      </w:r>
      <w:r>
        <w:rPr>
          <w:spacing w:val="-10"/>
          <w:sz w:val="22"/>
        </w:rPr>
        <w:t> </w:t>
      </w:r>
      <w:r>
        <w:rPr>
          <w:spacing w:val="-4"/>
          <w:sz w:val="22"/>
        </w:rPr>
        <w:t>serious</w:t>
      </w:r>
      <w:r>
        <w:rPr>
          <w:spacing w:val="-10"/>
          <w:sz w:val="22"/>
        </w:rPr>
        <w:t> </w:t>
      </w:r>
      <w:r>
        <w:rPr>
          <w:spacing w:val="-4"/>
          <w:sz w:val="22"/>
        </w:rPr>
        <w:t>problems</w:t>
      </w:r>
      <w:r>
        <w:rPr>
          <w:spacing w:val="-10"/>
          <w:sz w:val="22"/>
        </w:rPr>
        <w:t> </w:t>
      </w:r>
      <w:r>
        <w:rPr>
          <w:spacing w:val="-4"/>
          <w:sz w:val="22"/>
        </w:rPr>
        <w:t>in</w:t>
      </w:r>
      <w:r>
        <w:rPr>
          <w:spacing w:val="-9"/>
          <w:sz w:val="22"/>
        </w:rPr>
        <w:t> </w:t>
      </w:r>
      <w:r>
        <w:rPr>
          <w:spacing w:val="-4"/>
          <w:sz w:val="22"/>
        </w:rPr>
        <w:t>global </w:t>
      </w:r>
      <w:r>
        <w:rPr>
          <w:sz w:val="22"/>
        </w:rPr>
        <w:t>change, energy and environment, pharmaceuticals, </w:t>
      </w:r>
      <w:r>
        <w:rPr>
          <w:spacing w:val="-2"/>
          <w:sz w:val="22"/>
        </w:rPr>
        <w:t>biology</w:t>
      </w:r>
      <w:r>
        <w:rPr>
          <w:spacing w:val="-12"/>
          <w:sz w:val="22"/>
        </w:rPr>
        <w:t> </w:t>
      </w:r>
      <w:r>
        <w:rPr>
          <w:spacing w:val="-2"/>
          <w:sz w:val="22"/>
        </w:rPr>
        <w:t>and</w:t>
      </w:r>
      <w:r>
        <w:rPr>
          <w:spacing w:val="-12"/>
          <w:sz w:val="22"/>
        </w:rPr>
        <w:t> </w:t>
      </w:r>
      <w:r>
        <w:rPr>
          <w:spacing w:val="-2"/>
          <w:sz w:val="22"/>
        </w:rPr>
        <w:t>biotechnology,</w:t>
      </w:r>
      <w:r>
        <w:rPr>
          <w:spacing w:val="-12"/>
          <w:sz w:val="22"/>
        </w:rPr>
        <w:t> </w:t>
      </w:r>
      <w:r>
        <w:rPr>
          <w:spacing w:val="-2"/>
          <w:sz w:val="22"/>
        </w:rPr>
        <w:t>finance,</w:t>
      </w:r>
      <w:r>
        <w:rPr>
          <w:spacing w:val="-11"/>
          <w:sz w:val="22"/>
        </w:rPr>
        <w:t> </w:t>
      </w:r>
      <w:r>
        <w:rPr>
          <w:spacing w:val="-2"/>
          <w:sz w:val="22"/>
        </w:rPr>
        <w:t>cryptography,</w:t>
      </w:r>
      <w:r>
        <w:rPr>
          <w:spacing w:val="-12"/>
          <w:sz w:val="22"/>
        </w:rPr>
        <w:t> </w:t>
      </w:r>
      <w:r>
        <w:rPr>
          <w:spacing w:val="-2"/>
          <w:sz w:val="22"/>
        </w:rPr>
        <w:t>and communication</w:t>
      </w:r>
      <w:r>
        <w:rPr>
          <w:spacing w:val="-7"/>
          <w:sz w:val="22"/>
        </w:rPr>
        <w:t> </w:t>
      </w:r>
      <w:r>
        <w:rPr>
          <w:spacing w:val="-2"/>
          <w:sz w:val="22"/>
        </w:rPr>
        <w:t>—</w:t>
      </w:r>
      <w:r>
        <w:rPr>
          <w:spacing w:val="-7"/>
          <w:sz w:val="22"/>
        </w:rPr>
        <w:t> </w:t>
      </w:r>
      <w:r>
        <w:rPr>
          <w:spacing w:val="-2"/>
          <w:sz w:val="22"/>
        </w:rPr>
        <w:t>again</w:t>
      </w:r>
      <w:r>
        <w:rPr>
          <w:spacing w:val="-7"/>
          <w:sz w:val="22"/>
        </w:rPr>
        <w:t> </w:t>
      </w:r>
      <w:r>
        <w:rPr>
          <w:spacing w:val="-2"/>
          <w:sz w:val="22"/>
        </w:rPr>
        <w:t>without</w:t>
      </w:r>
      <w:r>
        <w:rPr>
          <w:spacing w:val="-6"/>
          <w:sz w:val="22"/>
        </w:rPr>
        <w:t> </w:t>
      </w:r>
      <w:r>
        <w:rPr>
          <w:spacing w:val="-2"/>
          <w:sz w:val="22"/>
        </w:rPr>
        <w:t>dilution</w:t>
      </w:r>
      <w:r>
        <w:rPr>
          <w:spacing w:val="-7"/>
          <w:sz w:val="22"/>
        </w:rPr>
        <w:t> </w:t>
      </w:r>
      <w:r>
        <w:rPr>
          <w:spacing w:val="-2"/>
          <w:sz w:val="22"/>
        </w:rPr>
        <w:t>of</w:t>
      </w:r>
      <w:r>
        <w:rPr>
          <w:spacing w:val="-7"/>
          <w:sz w:val="22"/>
        </w:rPr>
        <w:t> </w:t>
      </w:r>
      <w:r>
        <w:rPr>
          <w:spacing w:val="-4"/>
          <w:sz w:val="22"/>
        </w:rPr>
        <w:t>standards.</w:t>
      </w:r>
    </w:p>
    <w:p>
      <w:pPr>
        <w:pStyle w:val="BodyText"/>
        <w:spacing w:line="266" w:lineRule="auto" w:before="57"/>
        <w:ind w:left="319" w:right="1077"/>
        <w:jc w:val="both"/>
      </w:pPr>
      <w:r>
        <w:rPr/>
        <w:br w:type="column"/>
      </w:r>
      <w:r>
        <w:rPr>
          <w:spacing w:val="-6"/>
        </w:rPr>
        <w:t>At the undergrad level, this can be done through popular </w:t>
      </w:r>
      <w:r>
        <w:rPr/>
        <w:t>science lectures. Research institutes and </w:t>
      </w:r>
      <w:r>
        <w:rPr/>
        <w:t>universities should collaborate to launch attractive programs for </w:t>
      </w:r>
      <w:r>
        <w:rPr>
          <w:w w:val="90"/>
        </w:rPr>
        <w:t>students.</w:t>
      </w:r>
      <w:r>
        <w:rPr>
          <w:spacing w:val="-9"/>
          <w:w w:val="90"/>
        </w:rPr>
        <w:t> </w:t>
      </w:r>
      <w:r>
        <w:rPr>
          <w:w w:val="90"/>
        </w:rPr>
        <w:t>These</w:t>
      </w:r>
      <w:r>
        <w:rPr>
          <w:spacing w:val="-8"/>
          <w:w w:val="90"/>
        </w:rPr>
        <w:t> </w:t>
      </w:r>
      <w:r>
        <w:rPr>
          <w:i/>
          <w:w w:val="90"/>
        </w:rPr>
        <w:t>specialised</w:t>
      </w:r>
      <w:r>
        <w:rPr>
          <w:i/>
          <w:spacing w:val="-8"/>
          <w:w w:val="90"/>
        </w:rPr>
        <w:t> </w:t>
      </w:r>
      <w:r>
        <w:rPr>
          <w:i/>
          <w:w w:val="90"/>
        </w:rPr>
        <w:t>courses</w:t>
      </w:r>
      <w:r>
        <w:rPr>
          <w:i/>
          <w:spacing w:val="-8"/>
          <w:w w:val="90"/>
        </w:rPr>
        <w:t> </w:t>
      </w:r>
      <w:r>
        <w:rPr>
          <w:w w:val="90"/>
        </w:rPr>
        <w:t>will</w:t>
      </w:r>
      <w:r>
        <w:rPr>
          <w:spacing w:val="-9"/>
          <w:w w:val="90"/>
        </w:rPr>
        <w:t> </w:t>
      </w:r>
      <w:r>
        <w:rPr>
          <w:w w:val="90"/>
        </w:rPr>
        <w:t>help</w:t>
      </w:r>
      <w:r>
        <w:rPr>
          <w:spacing w:val="-8"/>
          <w:w w:val="90"/>
        </w:rPr>
        <w:t> </w:t>
      </w:r>
      <w:r>
        <w:rPr>
          <w:w w:val="90"/>
        </w:rPr>
        <w:t>in</w:t>
      </w:r>
      <w:r>
        <w:rPr>
          <w:spacing w:val="-8"/>
          <w:w w:val="90"/>
        </w:rPr>
        <w:t> </w:t>
      </w:r>
      <w:r>
        <w:rPr>
          <w:w w:val="90"/>
        </w:rPr>
        <w:t>channelling </w:t>
      </w:r>
      <w:r>
        <w:rPr/>
        <w:t>student</w:t>
      </w:r>
      <w:r>
        <w:rPr>
          <w:spacing w:val="-13"/>
        </w:rPr>
        <w:t> </w:t>
      </w:r>
      <w:r>
        <w:rPr/>
        <w:t>interest</w:t>
      </w:r>
      <w:r>
        <w:rPr>
          <w:spacing w:val="-13"/>
        </w:rPr>
        <w:t> </w:t>
      </w:r>
      <w:r>
        <w:rPr/>
        <w:t>towards</w:t>
      </w:r>
      <w:r>
        <w:rPr>
          <w:spacing w:val="-13"/>
        </w:rPr>
        <w:t> </w:t>
      </w:r>
      <w:r>
        <w:rPr/>
        <w:t>sciences.</w:t>
      </w:r>
      <w:r>
        <w:rPr>
          <w:spacing w:val="-13"/>
        </w:rPr>
        <w:t> </w:t>
      </w:r>
      <w:r>
        <w:rPr/>
        <w:t>Scientists</w:t>
      </w:r>
      <w:r>
        <w:rPr>
          <w:spacing w:val="-13"/>
        </w:rPr>
        <w:t> </w:t>
      </w:r>
      <w:r>
        <w:rPr/>
        <w:t>should</w:t>
      </w:r>
      <w:r>
        <w:rPr>
          <w:spacing w:val="-13"/>
        </w:rPr>
        <w:t> </w:t>
      </w:r>
      <w:r>
        <w:rPr/>
        <w:t>be </w:t>
      </w:r>
      <w:r>
        <w:rPr>
          <w:spacing w:val="-2"/>
        </w:rPr>
        <w:t>incentivised</w:t>
      </w:r>
      <w:r>
        <w:rPr>
          <w:spacing w:val="-12"/>
        </w:rPr>
        <w:t> </w:t>
      </w:r>
      <w:r>
        <w:rPr>
          <w:spacing w:val="-2"/>
        </w:rPr>
        <w:t>for</w:t>
      </w:r>
      <w:r>
        <w:rPr>
          <w:spacing w:val="-12"/>
        </w:rPr>
        <w:t> </w:t>
      </w:r>
      <w:r>
        <w:rPr>
          <w:spacing w:val="-2"/>
        </w:rPr>
        <w:t>teaching.</w:t>
      </w:r>
      <w:r>
        <w:rPr>
          <w:spacing w:val="-12"/>
        </w:rPr>
        <w:t> </w:t>
      </w:r>
      <w:r>
        <w:rPr>
          <w:spacing w:val="-2"/>
        </w:rPr>
        <w:t>If</w:t>
      </w:r>
      <w:r>
        <w:rPr>
          <w:spacing w:val="-11"/>
        </w:rPr>
        <w:t> </w:t>
      </w:r>
      <w:r>
        <w:rPr>
          <w:spacing w:val="-2"/>
        </w:rPr>
        <w:t>the</w:t>
      </w:r>
      <w:r>
        <w:rPr>
          <w:spacing w:val="-12"/>
        </w:rPr>
        <w:t> </w:t>
      </w:r>
      <w:r>
        <w:rPr>
          <w:spacing w:val="-2"/>
        </w:rPr>
        <w:t>research</w:t>
      </w:r>
      <w:r>
        <w:rPr>
          <w:spacing w:val="-12"/>
        </w:rPr>
        <w:t> </w:t>
      </w:r>
      <w:r>
        <w:rPr>
          <w:spacing w:val="-2"/>
        </w:rPr>
        <w:t>institutes</w:t>
      </w:r>
      <w:r>
        <w:rPr>
          <w:spacing w:val="-12"/>
        </w:rPr>
        <w:t> </w:t>
      </w:r>
      <w:r>
        <w:rPr>
          <w:spacing w:val="-2"/>
        </w:rPr>
        <w:t>have </w:t>
      </w:r>
      <w:r>
        <w:rPr/>
        <w:t>adequate teaching infrastructure, some of them can run six months residential courses at their premises and</w:t>
      </w:r>
      <w:r>
        <w:rPr>
          <w:spacing w:val="-14"/>
        </w:rPr>
        <w:t> </w:t>
      </w:r>
      <w:r>
        <w:rPr/>
        <w:t>offer</w:t>
      </w:r>
      <w:r>
        <w:rPr>
          <w:spacing w:val="-14"/>
        </w:rPr>
        <w:t> </w:t>
      </w:r>
      <w:r>
        <w:rPr/>
        <w:t>research</w:t>
      </w:r>
      <w:r>
        <w:rPr>
          <w:spacing w:val="-14"/>
        </w:rPr>
        <w:t> </w:t>
      </w:r>
      <w:r>
        <w:rPr/>
        <w:t>training</w:t>
      </w:r>
      <w:r>
        <w:rPr>
          <w:spacing w:val="-13"/>
        </w:rPr>
        <w:t> </w:t>
      </w:r>
      <w:r>
        <w:rPr/>
        <w:t>in</w:t>
      </w:r>
      <w:r>
        <w:rPr>
          <w:spacing w:val="-14"/>
        </w:rPr>
        <w:t> </w:t>
      </w:r>
      <w:r>
        <w:rPr/>
        <w:t>the</w:t>
      </w:r>
      <w:r>
        <w:rPr>
          <w:spacing w:val="-14"/>
        </w:rPr>
        <w:t> </w:t>
      </w:r>
      <w:r>
        <w:rPr/>
        <w:t>final</w:t>
      </w:r>
      <w:r>
        <w:rPr>
          <w:spacing w:val="-14"/>
        </w:rPr>
        <w:t> </w:t>
      </w:r>
      <w:r>
        <w:rPr/>
        <w:t>semester</w:t>
      </w:r>
      <w:r>
        <w:rPr>
          <w:spacing w:val="-13"/>
        </w:rPr>
        <w:t> </w:t>
      </w:r>
      <w:r>
        <w:rPr/>
        <w:t>to</w:t>
      </w:r>
      <w:r>
        <w:rPr>
          <w:spacing w:val="-14"/>
        </w:rPr>
        <w:t> </w:t>
      </w:r>
      <w:r>
        <w:rPr/>
        <w:t>post graduate students.</w:t>
      </w:r>
    </w:p>
    <w:p>
      <w:pPr>
        <w:pStyle w:val="BodyText"/>
        <w:spacing w:before="19"/>
      </w:pPr>
    </w:p>
    <w:p>
      <w:pPr>
        <w:pStyle w:val="BodyText"/>
        <w:spacing w:line="266" w:lineRule="auto"/>
        <w:ind w:left="319" w:right="1077"/>
        <w:jc w:val="both"/>
      </w:pPr>
      <w:r>
        <w:rPr/>
        <w:t>Undergraduate summer fellowships should </w:t>
      </w:r>
      <w:r>
        <w:rPr/>
        <w:t>be popularised</w:t>
      </w:r>
      <w:r>
        <w:rPr>
          <w:spacing w:val="-2"/>
        </w:rPr>
        <w:t> </w:t>
      </w:r>
      <w:r>
        <w:rPr/>
        <w:t>and</w:t>
      </w:r>
      <w:r>
        <w:rPr>
          <w:spacing w:val="-2"/>
        </w:rPr>
        <w:t> </w:t>
      </w:r>
      <w:r>
        <w:rPr/>
        <w:t>increased</w:t>
      </w:r>
      <w:r>
        <w:rPr>
          <w:spacing w:val="-2"/>
        </w:rPr>
        <w:t> </w:t>
      </w:r>
      <w:r>
        <w:rPr/>
        <w:t>in</w:t>
      </w:r>
      <w:r>
        <w:rPr>
          <w:spacing w:val="-2"/>
        </w:rPr>
        <w:t> </w:t>
      </w:r>
      <w:r>
        <w:rPr/>
        <w:t>number.</w:t>
      </w:r>
      <w:r>
        <w:rPr>
          <w:spacing w:val="-8"/>
        </w:rPr>
        <w:t> </w:t>
      </w:r>
      <w:r>
        <w:rPr/>
        <w:t>The</w:t>
      </w:r>
      <w:r>
        <w:rPr>
          <w:spacing w:val="-2"/>
        </w:rPr>
        <w:t> </w:t>
      </w:r>
      <w:r>
        <w:rPr/>
        <w:t>fellowship program</w:t>
      </w:r>
      <w:r>
        <w:rPr>
          <w:spacing w:val="-14"/>
        </w:rPr>
        <w:t> </w:t>
      </w:r>
      <w:r>
        <w:rPr/>
        <w:t>currently</w:t>
      </w:r>
      <w:r>
        <w:rPr>
          <w:spacing w:val="-14"/>
        </w:rPr>
        <w:t> </w:t>
      </w:r>
      <w:r>
        <w:rPr/>
        <w:t>run</w:t>
      </w:r>
      <w:r>
        <w:rPr>
          <w:spacing w:val="-14"/>
        </w:rPr>
        <w:t> </w:t>
      </w:r>
      <w:r>
        <w:rPr/>
        <w:t>by</w:t>
      </w:r>
      <w:r>
        <w:rPr>
          <w:spacing w:val="-13"/>
        </w:rPr>
        <w:t> </w:t>
      </w:r>
      <w:r>
        <w:rPr/>
        <w:t>science</w:t>
      </w:r>
      <w:r>
        <w:rPr>
          <w:spacing w:val="-14"/>
        </w:rPr>
        <w:t> </w:t>
      </w:r>
      <w:r>
        <w:rPr/>
        <w:t>academies</w:t>
      </w:r>
      <w:r>
        <w:rPr>
          <w:spacing w:val="-14"/>
        </w:rPr>
        <w:t> </w:t>
      </w:r>
      <w:r>
        <w:rPr/>
        <w:t>and</w:t>
      </w:r>
      <w:r>
        <w:rPr>
          <w:spacing w:val="-14"/>
        </w:rPr>
        <w:t> </w:t>
      </w:r>
      <w:r>
        <w:rPr/>
        <w:t>other </w:t>
      </w:r>
      <w:r>
        <w:rPr>
          <w:spacing w:val="-4"/>
        </w:rPr>
        <w:t>research institutes should be integrated and popularised so</w:t>
      </w:r>
      <w:r>
        <w:rPr>
          <w:spacing w:val="-7"/>
        </w:rPr>
        <w:t> </w:t>
      </w:r>
      <w:r>
        <w:rPr>
          <w:spacing w:val="-4"/>
        </w:rPr>
        <w:t>that</w:t>
      </w:r>
      <w:r>
        <w:rPr>
          <w:spacing w:val="-7"/>
        </w:rPr>
        <w:t> </w:t>
      </w:r>
      <w:r>
        <w:rPr>
          <w:spacing w:val="-4"/>
        </w:rPr>
        <w:t>students</w:t>
      </w:r>
      <w:r>
        <w:rPr>
          <w:spacing w:val="-7"/>
        </w:rPr>
        <w:t> </w:t>
      </w:r>
      <w:r>
        <w:rPr>
          <w:spacing w:val="-4"/>
        </w:rPr>
        <w:t>have</w:t>
      </w:r>
      <w:r>
        <w:rPr>
          <w:spacing w:val="-7"/>
        </w:rPr>
        <w:t> </w:t>
      </w:r>
      <w:r>
        <w:rPr>
          <w:spacing w:val="-4"/>
        </w:rPr>
        <w:t>uniform</w:t>
      </w:r>
      <w:r>
        <w:rPr>
          <w:spacing w:val="-7"/>
        </w:rPr>
        <w:t> </w:t>
      </w:r>
      <w:r>
        <w:rPr>
          <w:spacing w:val="-4"/>
        </w:rPr>
        <w:t>access</w:t>
      </w:r>
      <w:r>
        <w:rPr>
          <w:spacing w:val="-7"/>
        </w:rPr>
        <w:t> </w:t>
      </w:r>
      <w:r>
        <w:rPr>
          <w:spacing w:val="-4"/>
        </w:rPr>
        <w:t>to</w:t>
      </w:r>
      <w:r>
        <w:rPr>
          <w:spacing w:val="-7"/>
        </w:rPr>
        <w:t> </w:t>
      </w:r>
      <w:r>
        <w:rPr>
          <w:spacing w:val="-4"/>
        </w:rPr>
        <w:t>information</w:t>
      </w:r>
      <w:r>
        <w:rPr>
          <w:spacing w:val="-7"/>
        </w:rPr>
        <w:t> </w:t>
      </w:r>
      <w:r>
        <w:rPr>
          <w:spacing w:val="-4"/>
        </w:rPr>
        <w:t>and </w:t>
      </w:r>
      <w:r>
        <w:rPr/>
        <w:t>opportunity to do a project at a premier institute.</w:t>
      </w:r>
    </w:p>
    <w:p>
      <w:pPr>
        <w:pStyle w:val="BodyText"/>
        <w:spacing w:before="22"/>
      </w:pPr>
    </w:p>
    <w:p>
      <w:pPr>
        <w:pStyle w:val="BodyText"/>
        <w:spacing w:line="266" w:lineRule="auto"/>
        <w:ind w:left="319" w:right="1077"/>
        <w:jc w:val="both"/>
      </w:pPr>
      <w:r>
        <w:rPr/>
        <w:t>A “University Innovation Fund” can be constituted</w:t>
      </w:r>
      <w:r>
        <w:rPr>
          <w:spacing w:val="40"/>
        </w:rPr>
        <w:t> </w:t>
      </w:r>
      <w:r>
        <w:rPr/>
        <w:t>to</w:t>
      </w:r>
      <w:r>
        <w:rPr>
          <w:spacing w:val="-10"/>
        </w:rPr>
        <w:t> </w:t>
      </w:r>
      <w:r>
        <w:rPr/>
        <w:t>promote</w:t>
      </w:r>
      <w:r>
        <w:rPr>
          <w:spacing w:val="-10"/>
        </w:rPr>
        <w:t> </w:t>
      </w:r>
      <w:r>
        <w:rPr/>
        <w:t>projects</w:t>
      </w:r>
      <w:r>
        <w:rPr>
          <w:spacing w:val="-10"/>
        </w:rPr>
        <w:t> </w:t>
      </w:r>
      <w:r>
        <w:rPr/>
        <w:t>by</w:t>
      </w:r>
      <w:r>
        <w:rPr>
          <w:spacing w:val="-10"/>
        </w:rPr>
        <w:t> </w:t>
      </w:r>
      <w:r>
        <w:rPr/>
        <w:t>college/</w:t>
      </w:r>
      <w:r>
        <w:rPr>
          <w:spacing w:val="-10"/>
        </w:rPr>
        <w:t> </w:t>
      </w:r>
      <w:r>
        <w:rPr/>
        <w:t>university</w:t>
      </w:r>
      <w:r>
        <w:rPr>
          <w:spacing w:val="-10"/>
        </w:rPr>
        <w:t> </w:t>
      </w:r>
      <w:r>
        <w:rPr/>
        <w:t>researchers</w:t>
      </w:r>
      <w:r>
        <w:rPr/>
        <w:t> showing</w:t>
      </w:r>
      <w:r>
        <w:rPr>
          <w:spacing w:val="-14"/>
        </w:rPr>
        <w:t> </w:t>
      </w:r>
      <w:r>
        <w:rPr/>
        <w:t>potential</w:t>
      </w:r>
      <w:r>
        <w:rPr>
          <w:spacing w:val="-14"/>
        </w:rPr>
        <w:t> </w:t>
      </w:r>
      <w:r>
        <w:rPr/>
        <w:t>for</w:t>
      </w:r>
      <w:r>
        <w:rPr>
          <w:spacing w:val="-11"/>
        </w:rPr>
        <w:t> </w:t>
      </w:r>
      <w:r>
        <w:rPr/>
        <w:t>innovation.</w:t>
      </w:r>
      <w:r>
        <w:rPr>
          <w:spacing w:val="-14"/>
        </w:rPr>
        <w:t> </w:t>
      </w:r>
      <w:r>
        <w:rPr/>
        <w:t>The</w:t>
      </w:r>
      <w:r>
        <w:rPr>
          <w:spacing w:val="-12"/>
        </w:rPr>
        <w:t> </w:t>
      </w:r>
      <w:r>
        <w:rPr/>
        <w:t>funding</w:t>
      </w:r>
      <w:r>
        <w:rPr>
          <w:spacing w:val="-12"/>
        </w:rPr>
        <w:t> </w:t>
      </w:r>
      <w:r>
        <w:rPr/>
        <w:t>system</w:t>
      </w:r>
      <w:r>
        <w:rPr/>
        <w:t> </w:t>
      </w:r>
      <w:r>
        <w:rPr>
          <w:spacing w:val="-2"/>
        </w:rPr>
        <w:t>should</w:t>
      </w:r>
      <w:r>
        <w:rPr>
          <w:spacing w:val="-4"/>
        </w:rPr>
        <w:t> </w:t>
      </w:r>
      <w:r>
        <w:rPr>
          <w:spacing w:val="-2"/>
        </w:rPr>
        <w:t>be</w:t>
      </w:r>
      <w:r>
        <w:rPr>
          <w:spacing w:val="-4"/>
        </w:rPr>
        <w:t> </w:t>
      </w:r>
      <w:r>
        <w:rPr>
          <w:spacing w:val="-2"/>
        </w:rPr>
        <w:t>intensively</w:t>
      </w:r>
      <w:r>
        <w:rPr>
          <w:spacing w:val="-4"/>
        </w:rPr>
        <w:t> </w:t>
      </w:r>
      <w:r>
        <w:rPr>
          <w:spacing w:val="-2"/>
        </w:rPr>
        <w:t>peer</w:t>
      </w:r>
      <w:r>
        <w:rPr>
          <w:spacing w:val="-4"/>
        </w:rPr>
        <w:t> </w:t>
      </w:r>
      <w:r>
        <w:rPr>
          <w:spacing w:val="-2"/>
        </w:rPr>
        <w:t>reviewed.</w:t>
      </w:r>
      <w:r>
        <w:rPr>
          <w:spacing w:val="-11"/>
        </w:rPr>
        <w:t> </w:t>
      </w:r>
      <w:r>
        <w:rPr>
          <w:spacing w:val="-2"/>
        </w:rPr>
        <w:t>These</w:t>
      </w:r>
      <w:r>
        <w:rPr>
          <w:spacing w:val="-4"/>
        </w:rPr>
        <w:t> </w:t>
      </w:r>
      <w:r>
        <w:rPr>
          <w:spacing w:val="-2"/>
        </w:rPr>
        <w:t>innovative </w:t>
      </w:r>
      <w:r>
        <w:rPr/>
        <w:t>grants should be closely monitored in terms </w:t>
      </w:r>
      <w:r>
        <w:rPr/>
        <w:t>of</w:t>
      </w:r>
      <w:r>
        <w:rPr/>
        <w:t> performance</w:t>
      </w:r>
      <w:r>
        <w:rPr>
          <w:spacing w:val="-1"/>
        </w:rPr>
        <w:t> </w:t>
      </w:r>
      <w:r>
        <w:rPr/>
        <w:t>with</w:t>
      </w:r>
      <w:r>
        <w:rPr>
          <w:spacing w:val="-1"/>
        </w:rPr>
        <w:t> </w:t>
      </w:r>
      <w:r>
        <w:rPr/>
        <w:t>a</w:t>
      </w:r>
      <w:r>
        <w:rPr>
          <w:spacing w:val="-1"/>
        </w:rPr>
        <w:t> </w:t>
      </w:r>
      <w:r>
        <w:rPr/>
        <w:t>provision</w:t>
      </w:r>
      <w:r>
        <w:rPr>
          <w:spacing w:val="-1"/>
        </w:rPr>
        <w:t> </w:t>
      </w:r>
      <w:r>
        <w:rPr/>
        <w:t>for</w:t>
      </w:r>
      <w:r>
        <w:rPr>
          <w:spacing w:val="-1"/>
        </w:rPr>
        <w:t> </w:t>
      </w:r>
      <w:r>
        <w:rPr/>
        <w:t>early</w:t>
      </w:r>
      <w:r>
        <w:rPr>
          <w:spacing w:val="-1"/>
        </w:rPr>
        <w:t> </w:t>
      </w:r>
      <w:r>
        <w:rPr/>
        <w:t>termination</w:t>
      </w:r>
      <w:r>
        <w:rPr>
          <w:spacing w:val="-1"/>
        </w:rPr>
        <w:t> </w:t>
      </w:r>
      <w:r>
        <w:rPr/>
        <w:t>if</w:t>
      </w:r>
      <w:r>
        <w:rPr/>
        <w:t> milestones are not achieved. On the same lines, the </w:t>
      </w:r>
      <w:r>
        <w:rPr>
          <w:i/>
          <w:spacing w:val="-8"/>
        </w:rPr>
        <w:t>College</w:t>
      </w:r>
      <w:r>
        <w:rPr>
          <w:i/>
          <w:spacing w:val="-5"/>
        </w:rPr>
        <w:t> </w:t>
      </w:r>
      <w:r>
        <w:rPr>
          <w:i/>
          <w:spacing w:val="-8"/>
        </w:rPr>
        <w:t>Science</w:t>
      </w:r>
      <w:r>
        <w:rPr>
          <w:i/>
          <w:spacing w:val="-5"/>
        </w:rPr>
        <w:t> </w:t>
      </w:r>
      <w:r>
        <w:rPr>
          <w:i/>
          <w:spacing w:val="-8"/>
        </w:rPr>
        <w:t>Improvement</w:t>
      </w:r>
      <w:r>
        <w:rPr>
          <w:i/>
          <w:spacing w:val="-5"/>
        </w:rPr>
        <w:t> </w:t>
      </w:r>
      <w:r>
        <w:rPr>
          <w:i/>
          <w:spacing w:val="-8"/>
        </w:rPr>
        <w:t>Program</w:t>
      </w:r>
      <w:r>
        <w:rPr>
          <w:i/>
          <w:spacing w:val="-5"/>
        </w:rPr>
        <w:t> </w:t>
      </w:r>
      <w:r>
        <w:rPr>
          <w:spacing w:val="-8"/>
        </w:rPr>
        <w:t>can</w:t>
      </w:r>
      <w:r>
        <w:rPr>
          <w:spacing w:val="-5"/>
        </w:rPr>
        <w:t> </w:t>
      </w:r>
      <w:r>
        <w:rPr>
          <w:spacing w:val="-8"/>
        </w:rPr>
        <w:t>be</w:t>
      </w:r>
      <w:r>
        <w:rPr>
          <w:spacing w:val="-5"/>
        </w:rPr>
        <w:t> </w:t>
      </w:r>
      <w:r>
        <w:rPr>
          <w:spacing w:val="-8"/>
        </w:rPr>
        <w:t>promoted</w:t>
      </w:r>
      <w:r>
        <w:rPr>
          <w:spacing w:val="-8"/>
        </w:rPr>
        <w:t>.</w:t>
      </w:r>
      <w:r>
        <w:rPr>
          <w:spacing w:val="-8"/>
        </w:rPr>
        <w:t> </w:t>
      </w:r>
      <w:r>
        <w:rPr>
          <w:spacing w:val="-2"/>
        </w:rPr>
        <w:t>Teachers</w:t>
      </w:r>
      <w:r>
        <w:rPr>
          <w:spacing w:val="-7"/>
        </w:rPr>
        <w:t> </w:t>
      </w:r>
      <w:r>
        <w:rPr>
          <w:spacing w:val="-2"/>
        </w:rPr>
        <w:t>should</w:t>
      </w:r>
      <w:r>
        <w:rPr>
          <w:spacing w:val="-7"/>
        </w:rPr>
        <w:t> </w:t>
      </w:r>
      <w:r>
        <w:rPr>
          <w:spacing w:val="-2"/>
        </w:rPr>
        <w:t>come</w:t>
      </w:r>
      <w:r>
        <w:rPr>
          <w:spacing w:val="-7"/>
        </w:rPr>
        <w:t> </w:t>
      </w:r>
      <w:r>
        <w:rPr>
          <w:spacing w:val="-2"/>
        </w:rPr>
        <w:t>together</w:t>
      </w:r>
      <w:r>
        <w:rPr>
          <w:spacing w:val="-7"/>
        </w:rPr>
        <w:t> </w:t>
      </w:r>
      <w:r>
        <w:rPr>
          <w:spacing w:val="-2"/>
        </w:rPr>
        <w:t>to</w:t>
      </w:r>
      <w:r>
        <w:rPr>
          <w:spacing w:val="-7"/>
        </w:rPr>
        <w:t> </w:t>
      </w:r>
      <w:r>
        <w:rPr>
          <w:spacing w:val="-2"/>
        </w:rPr>
        <w:t>design</w:t>
      </w:r>
      <w:r>
        <w:rPr>
          <w:spacing w:val="-7"/>
        </w:rPr>
        <w:t> </w:t>
      </w:r>
      <w:r>
        <w:rPr>
          <w:spacing w:val="-2"/>
        </w:rPr>
        <w:t>and</w:t>
      </w:r>
      <w:r>
        <w:rPr>
          <w:spacing w:val="-7"/>
        </w:rPr>
        <w:t> </w:t>
      </w:r>
      <w:r>
        <w:rPr>
          <w:spacing w:val="-2"/>
        </w:rPr>
        <w:t>fabricat</w:t>
      </w:r>
      <w:r>
        <w:rPr>
          <w:spacing w:val="-2"/>
        </w:rPr>
        <w:t>e</w:t>
      </w:r>
      <w:r>
        <w:rPr>
          <w:spacing w:val="-2"/>
        </w:rPr>
        <w:t> </w:t>
      </w:r>
      <w:r>
        <w:rPr/>
        <w:t>new lab experiments.</w:t>
      </w:r>
    </w:p>
    <w:p>
      <w:pPr>
        <w:pStyle w:val="Heading7"/>
        <w:spacing w:line="225" w:lineRule="auto" w:before="249"/>
        <w:ind w:right="1075"/>
      </w:pPr>
      <w:r>
        <w:rPr>
          <w:color w:val="2E614A"/>
          <w:spacing w:val="-8"/>
        </w:rPr>
        <w:t>Recommendation</w:t>
      </w:r>
      <w:r>
        <w:rPr>
          <w:color w:val="2E614A"/>
          <w:spacing w:val="-11"/>
        </w:rPr>
        <w:t> </w:t>
      </w:r>
      <w:r>
        <w:rPr>
          <w:color w:val="2E614A"/>
          <w:spacing w:val="-8"/>
        </w:rPr>
        <w:t>6: Radical changes are </w:t>
      </w:r>
      <w:r>
        <w:rPr>
          <w:color w:val="2E614A"/>
          <w:w w:val="90"/>
        </w:rPr>
        <w:t>required</w:t>
      </w:r>
      <w:r>
        <w:rPr>
          <w:color w:val="2E614A"/>
          <w:spacing w:val="-6"/>
          <w:w w:val="90"/>
        </w:rPr>
        <w:t> </w:t>
      </w:r>
      <w:r>
        <w:rPr>
          <w:color w:val="2E614A"/>
          <w:w w:val="90"/>
        </w:rPr>
        <w:t>in</w:t>
      </w:r>
      <w:r>
        <w:rPr>
          <w:color w:val="2E614A"/>
          <w:spacing w:val="-6"/>
          <w:w w:val="90"/>
        </w:rPr>
        <w:t> </w:t>
      </w:r>
      <w:r>
        <w:rPr>
          <w:color w:val="2E614A"/>
          <w:w w:val="90"/>
        </w:rPr>
        <w:t>the</w:t>
      </w:r>
      <w:r>
        <w:rPr>
          <w:color w:val="2E614A"/>
          <w:spacing w:val="-6"/>
          <w:w w:val="90"/>
        </w:rPr>
        <w:t> </w:t>
      </w:r>
      <w:r>
        <w:rPr>
          <w:color w:val="2E614A"/>
          <w:w w:val="90"/>
        </w:rPr>
        <w:t>evaluation</w:t>
      </w:r>
      <w:r>
        <w:rPr>
          <w:color w:val="2E614A"/>
          <w:spacing w:val="-6"/>
          <w:w w:val="90"/>
        </w:rPr>
        <w:t> </w:t>
      </w:r>
      <w:r>
        <w:rPr>
          <w:color w:val="2E614A"/>
          <w:w w:val="90"/>
        </w:rPr>
        <w:t>system</w:t>
      </w:r>
      <w:r>
        <w:rPr>
          <w:color w:val="2E614A"/>
          <w:spacing w:val="-6"/>
          <w:w w:val="90"/>
        </w:rPr>
        <w:t> </w:t>
      </w:r>
      <w:r>
        <w:rPr>
          <w:color w:val="2E614A"/>
          <w:w w:val="90"/>
        </w:rPr>
        <w:t>to</w:t>
      </w:r>
      <w:r>
        <w:rPr>
          <w:color w:val="2E614A"/>
          <w:spacing w:val="-6"/>
          <w:w w:val="90"/>
        </w:rPr>
        <w:t> </w:t>
      </w:r>
      <w:r>
        <w:rPr>
          <w:color w:val="2E614A"/>
          <w:w w:val="90"/>
        </w:rPr>
        <w:t>encourage </w:t>
      </w:r>
      <w:r>
        <w:rPr>
          <w:color w:val="2E614A"/>
          <w:spacing w:val="-6"/>
        </w:rPr>
        <w:t>scientific</w:t>
      </w:r>
      <w:r>
        <w:rPr>
          <w:color w:val="2E614A"/>
          <w:spacing w:val="-8"/>
        </w:rPr>
        <w:t> </w:t>
      </w:r>
      <w:r>
        <w:rPr>
          <w:color w:val="2E614A"/>
          <w:spacing w:val="-6"/>
        </w:rPr>
        <w:t>thinking</w:t>
      </w:r>
      <w:r>
        <w:rPr>
          <w:color w:val="2E614A"/>
          <w:spacing w:val="-8"/>
        </w:rPr>
        <w:t> </w:t>
      </w:r>
      <w:r>
        <w:rPr>
          <w:color w:val="2E614A"/>
          <w:spacing w:val="-6"/>
        </w:rPr>
        <w:t>and</w:t>
      </w:r>
      <w:r>
        <w:rPr>
          <w:color w:val="2E614A"/>
          <w:spacing w:val="-8"/>
        </w:rPr>
        <w:t> </w:t>
      </w:r>
      <w:r>
        <w:rPr>
          <w:color w:val="2E614A"/>
          <w:spacing w:val="-6"/>
        </w:rPr>
        <w:t>promote</w:t>
      </w:r>
      <w:r>
        <w:rPr>
          <w:color w:val="2E614A"/>
          <w:spacing w:val="-8"/>
        </w:rPr>
        <w:t> </w:t>
      </w:r>
      <w:r>
        <w:rPr>
          <w:color w:val="2E614A"/>
          <w:spacing w:val="-6"/>
        </w:rPr>
        <w:t>better understanding</w:t>
      </w:r>
      <w:r>
        <w:rPr>
          <w:color w:val="2E614A"/>
          <w:spacing w:val="-11"/>
        </w:rPr>
        <w:t> </w:t>
      </w:r>
      <w:r>
        <w:rPr>
          <w:color w:val="2E614A"/>
          <w:spacing w:val="-6"/>
        </w:rPr>
        <w:t>of</w:t>
      </w:r>
      <w:r>
        <w:rPr>
          <w:color w:val="2E614A"/>
          <w:spacing w:val="-10"/>
        </w:rPr>
        <w:t> </w:t>
      </w:r>
      <w:r>
        <w:rPr>
          <w:color w:val="2E614A"/>
          <w:spacing w:val="-6"/>
        </w:rPr>
        <w:t>basic</w:t>
      </w:r>
      <w:r>
        <w:rPr>
          <w:color w:val="2E614A"/>
          <w:spacing w:val="-10"/>
        </w:rPr>
        <w:t> </w:t>
      </w:r>
      <w:r>
        <w:rPr>
          <w:color w:val="2E614A"/>
          <w:spacing w:val="-6"/>
        </w:rPr>
        <w:t>science</w:t>
      </w:r>
      <w:r>
        <w:rPr>
          <w:color w:val="2E614A"/>
          <w:spacing w:val="-10"/>
        </w:rPr>
        <w:t> </w:t>
      </w:r>
      <w:r>
        <w:rPr>
          <w:color w:val="2E614A"/>
          <w:spacing w:val="-6"/>
        </w:rPr>
        <w:t>concepts</w:t>
      </w:r>
    </w:p>
    <w:p>
      <w:pPr>
        <w:pStyle w:val="BodyText"/>
        <w:rPr>
          <w:b/>
          <w:sz w:val="26"/>
        </w:rPr>
      </w:pPr>
    </w:p>
    <w:p>
      <w:pPr>
        <w:pStyle w:val="BodyText"/>
        <w:spacing w:line="266" w:lineRule="auto"/>
        <w:ind w:left="319" w:right="1077"/>
        <w:jc w:val="both"/>
      </w:pPr>
      <w:r>
        <w:rPr>
          <w:b/>
        </w:rPr>
        <w:t>Issues: </w:t>
      </w:r>
      <w:r>
        <w:rPr/>
        <w:t>The present evaluation system tests </w:t>
      </w:r>
      <w:r>
        <w:rPr/>
        <w:t>memory </w:t>
      </w:r>
      <w:r>
        <w:rPr>
          <w:spacing w:val="-2"/>
        </w:rPr>
        <w:t>instead</w:t>
      </w:r>
      <w:r>
        <w:rPr>
          <w:spacing w:val="-12"/>
        </w:rPr>
        <w:t> </w:t>
      </w:r>
      <w:r>
        <w:rPr>
          <w:spacing w:val="-2"/>
        </w:rPr>
        <w:t>of</w:t>
      </w:r>
      <w:r>
        <w:rPr>
          <w:spacing w:val="-12"/>
        </w:rPr>
        <w:t> </w:t>
      </w:r>
      <w:r>
        <w:rPr>
          <w:spacing w:val="-2"/>
        </w:rPr>
        <w:t>comprehension.</w:t>
      </w:r>
      <w:r>
        <w:rPr>
          <w:spacing w:val="-12"/>
        </w:rPr>
        <w:t> </w:t>
      </w:r>
      <w:r>
        <w:rPr>
          <w:spacing w:val="-2"/>
        </w:rPr>
        <w:t>It</w:t>
      </w:r>
      <w:r>
        <w:rPr>
          <w:spacing w:val="-11"/>
        </w:rPr>
        <w:t> </w:t>
      </w:r>
      <w:r>
        <w:rPr>
          <w:spacing w:val="-2"/>
        </w:rPr>
        <w:t>does</w:t>
      </w:r>
      <w:r>
        <w:rPr>
          <w:spacing w:val="-12"/>
        </w:rPr>
        <w:t> </w:t>
      </w:r>
      <w:r>
        <w:rPr>
          <w:spacing w:val="-2"/>
        </w:rPr>
        <w:t>not</w:t>
      </w:r>
      <w:r>
        <w:rPr>
          <w:spacing w:val="-12"/>
        </w:rPr>
        <w:t> </w:t>
      </w:r>
      <w:r>
        <w:rPr>
          <w:spacing w:val="-2"/>
        </w:rPr>
        <w:t>promote</w:t>
      </w:r>
      <w:r>
        <w:rPr>
          <w:spacing w:val="-12"/>
        </w:rPr>
        <w:t> </w:t>
      </w:r>
      <w:r>
        <w:rPr>
          <w:spacing w:val="-2"/>
        </w:rPr>
        <w:t>creative </w:t>
      </w:r>
      <w:r>
        <w:rPr/>
        <w:t>thinking or problem solving.</w:t>
      </w:r>
      <w:r>
        <w:rPr>
          <w:spacing w:val="-4"/>
        </w:rPr>
        <w:t> </w:t>
      </w:r>
      <w:r>
        <w:rPr/>
        <w:t>The selection processes discount originality in thought, innovative ability</w:t>
      </w:r>
      <w:r>
        <w:rPr>
          <w:spacing w:val="80"/>
        </w:rPr>
        <w:t> </w:t>
      </w:r>
      <w:r>
        <w:rPr/>
        <w:t>and</w:t>
      </w:r>
      <w:r>
        <w:rPr>
          <w:spacing w:val="-6"/>
        </w:rPr>
        <w:t> </w:t>
      </w:r>
      <w:r>
        <w:rPr/>
        <w:t>passion</w:t>
      </w:r>
      <w:r>
        <w:rPr>
          <w:spacing w:val="-6"/>
        </w:rPr>
        <w:t> </w:t>
      </w:r>
      <w:r>
        <w:rPr/>
        <w:t>for</w:t>
      </w:r>
      <w:r>
        <w:rPr>
          <w:spacing w:val="-6"/>
        </w:rPr>
        <w:t> </w:t>
      </w:r>
      <w:r>
        <w:rPr/>
        <w:t>hands-on</w:t>
      </w:r>
      <w:r>
        <w:rPr>
          <w:spacing w:val="-6"/>
        </w:rPr>
        <w:t> </w:t>
      </w:r>
      <w:r>
        <w:rPr/>
        <w:t>science.</w:t>
      </w:r>
      <w:r>
        <w:rPr>
          <w:spacing w:val="-12"/>
        </w:rPr>
        <w:t> </w:t>
      </w:r>
      <w:r>
        <w:rPr/>
        <w:t>These</w:t>
      </w:r>
      <w:r>
        <w:rPr>
          <w:spacing w:val="-6"/>
        </w:rPr>
        <w:t> </w:t>
      </w:r>
      <w:r>
        <w:rPr/>
        <w:t>elements</w:t>
      </w:r>
      <w:r>
        <w:rPr>
          <w:spacing w:val="-6"/>
        </w:rPr>
        <w:t> </w:t>
      </w:r>
      <w:r>
        <w:rPr/>
        <w:t>are far more important for a career in research. The fun of studying science has been forgotten in the current </w:t>
      </w:r>
      <w:r>
        <w:rPr>
          <w:w w:val="90"/>
        </w:rPr>
        <w:t>competitive scenario where science students are focussed </w:t>
      </w:r>
      <w:r>
        <w:rPr/>
        <w:t>at</w:t>
      </w:r>
      <w:r>
        <w:rPr>
          <w:spacing w:val="-6"/>
        </w:rPr>
        <w:t> </w:t>
      </w:r>
      <w:r>
        <w:rPr/>
        <w:t>solving</w:t>
      </w:r>
      <w:r>
        <w:rPr>
          <w:spacing w:val="-6"/>
        </w:rPr>
        <w:t> </w:t>
      </w:r>
      <w:r>
        <w:rPr/>
        <w:t>problems</w:t>
      </w:r>
      <w:r>
        <w:rPr>
          <w:spacing w:val="-6"/>
        </w:rPr>
        <w:t> </w:t>
      </w:r>
      <w:r>
        <w:rPr/>
        <w:t>which</w:t>
      </w:r>
      <w:r>
        <w:rPr>
          <w:spacing w:val="-6"/>
        </w:rPr>
        <w:t> </w:t>
      </w:r>
      <w:r>
        <w:rPr/>
        <w:t>appear</w:t>
      </w:r>
      <w:r>
        <w:rPr>
          <w:spacing w:val="-6"/>
        </w:rPr>
        <w:t> </w:t>
      </w:r>
      <w:r>
        <w:rPr/>
        <w:t>in</w:t>
      </w:r>
      <w:r>
        <w:rPr>
          <w:spacing w:val="-6"/>
        </w:rPr>
        <w:t> </w:t>
      </w:r>
      <w:r>
        <w:rPr/>
        <w:t>various</w:t>
      </w:r>
      <w:r>
        <w:rPr>
          <w:spacing w:val="-6"/>
        </w:rPr>
        <w:t> </w:t>
      </w:r>
      <w:r>
        <w:rPr/>
        <w:t>entrance examinations in the shortest possible time.</w:t>
      </w:r>
    </w:p>
    <w:p>
      <w:pPr>
        <w:pStyle w:val="BodyText"/>
        <w:spacing w:before="19"/>
      </w:pPr>
    </w:p>
    <w:p>
      <w:pPr>
        <w:pStyle w:val="ListParagraph"/>
        <w:numPr>
          <w:ilvl w:val="1"/>
          <w:numId w:val="40"/>
        </w:numPr>
        <w:tabs>
          <w:tab w:pos="669" w:val="left" w:leader="none"/>
        </w:tabs>
        <w:spacing w:line="266" w:lineRule="auto" w:before="0" w:after="0"/>
        <w:ind w:left="319" w:right="1077" w:firstLine="0"/>
        <w:jc w:val="both"/>
        <w:rPr>
          <w:sz w:val="22"/>
        </w:rPr>
      </w:pPr>
      <w:r>
        <w:rPr>
          <w:b/>
          <w:w w:val="90"/>
          <w:sz w:val="22"/>
        </w:rPr>
        <w:t>Alternative evaluation methodologies: </w:t>
      </w:r>
      <w:r>
        <w:rPr>
          <w:i/>
          <w:w w:val="90"/>
          <w:sz w:val="22"/>
        </w:rPr>
        <w:t>The system should move from examination based evaluation to more </w:t>
      </w:r>
      <w:r>
        <w:rPr>
          <w:i/>
          <w:spacing w:val="-4"/>
          <w:sz w:val="22"/>
        </w:rPr>
        <w:t>open</w:t>
      </w:r>
      <w:r>
        <w:rPr>
          <w:i/>
          <w:spacing w:val="-10"/>
          <w:sz w:val="22"/>
        </w:rPr>
        <w:t> </w:t>
      </w:r>
      <w:r>
        <w:rPr>
          <w:i/>
          <w:spacing w:val="-4"/>
          <w:sz w:val="22"/>
        </w:rPr>
        <w:t>assessment</w:t>
      </w:r>
      <w:r>
        <w:rPr>
          <w:i/>
          <w:spacing w:val="-10"/>
          <w:sz w:val="22"/>
        </w:rPr>
        <w:t> </w:t>
      </w:r>
      <w:r>
        <w:rPr>
          <w:i/>
          <w:spacing w:val="-4"/>
          <w:sz w:val="22"/>
        </w:rPr>
        <w:t>mechanisms.</w:t>
      </w:r>
      <w:r>
        <w:rPr>
          <w:i/>
          <w:spacing w:val="-10"/>
          <w:sz w:val="22"/>
        </w:rPr>
        <w:t> </w:t>
      </w:r>
      <w:r>
        <w:rPr>
          <w:i/>
          <w:spacing w:val="-4"/>
          <w:sz w:val="22"/>
        </w:rPr>
        <w:t>Memory,</w:t>
      </w:r>
      <w:r>
        <w:rPr>
          <w:i/>
          <w:spacing w:val="-9"/>
          <w:sz w:val="22"/>
        </w:rPr>
        <w:t> </w:t>
      </w:r>
      <w:r>
        <w:rPr>
          <w:i/>
          <w:spacing w:val="-4"/>
          <w:sz w:val="22"/>
        </w:rPr>
        <w:t>comprehension </w:t>
      </w:r>
      <w:r>
        <w:rPr>
          <w:i/>
          <w:sz w:val="22"/>
        </w:rPr>
        <w:t>and creativity should be given equal importance in </w:t>
      </w:r>
      <w:r>
        <w:rPr>
          <w:i/>
          <w:spacing w:val="-2"/>
          <w:sz w:val="22"/>
        </w:rPr>
        <w:t>evaluations.</w:t>
      </w:r>
      <w:r>
        <w:rPr>
          <w:i/>
          <w:spacing w:val="-8"/>
          <w:sz w:val="22"/>
        </w:rPr>
        <w:t> </w:t>
      </w:r>
      <w:r>
        <w:rPr>
          <w:spacing w:val="-2"/>
          <w:sz w:val="22"/>
        </w:rPr>
        <w:t>More</w:t>
      </w:r>
      <w:r>
        <w:rPr>
          <w:spacing w:val="-8"/>
          <w:sz w:val="22"/>
        </w:rPr>
        <w:t> </w:t>
      </w:r>
      <w:r>
        <w:rPr>
          <w:spacing w:val="-2"/>
          <w:sz w:val="22"/>
        </w:rPr>
        <w:t>weightage</w:t>
      </w:r>
      <w:r>
        <w:rPr>
          <w:spacing w:val="-8"/>
          <w:sz w:val="22"/>
        </w:rPr>
        <w:t> </w:t>
      </w:r>
      <w:r>
        <w:rPr>
          <w:spacing w:val="-2"/>
          <w:sz w:val="22"/>
        </w:rPr>
        <w:t>should</w:t>
      </w:r>
      <w:r>
        <w:rPr>
          <w:spacing w:val="-8"/>
          <w:sz w:val="22"/>
        </w:rPr>
        <w:t> </w:t>
      </w:r>
      <w:r>
        <w:rPr>
          <w:spacing w:val="-2"/>
          <w:sz w:val="22"/>
        </w:rPr>
        <w:t>be</w:t>
      </w:r>
      <w:r>
        <w:rPr>
          <w:spacing w:val="-8"/>
          <w:sz w:val="22"/>
        </w:rPr>
        <w:t> </w:t>
      </w:r>
      <w:r>
        <w:rPr>
          <w:spacing w:val="-2"/>
          <w:sz w:val="22"/>
        </w:rPr>
        <w:t>given</w:t>
      </w:r>
      <w:r>
        <w:rPr>
          <w:spacing w:val="-8"/>
          <w:sz w:val="22"/>
        </w:rPr>
        <w:t> </w:t>
      </w:r>
      <w:r>
        <w:rPr>
          <w:spacing w:val="-2"/>
          <w:sz w:val="22"/>
        </w:rPr>
        <w:t>to</w:t>
      </w:r>
      <w:r>
        <w:rPr>
          <w:spacing w:val="-8"/>
          <w:sz w:val="22"/>
        </w:rPr>
        <w:t> </w:t>
      </w:r>
      <w:r>
        <w:rPr>
          <w:spacing w:val="-2"/>
          <w:sz w:val="22"/>
        </w:rPr>
        <w:t>round </w:t>
      </w:r>
      <w:r>
        <w:rPr>
          <w:sz w:val="22"/>
        </w:rPr>
        <w:t>the year hands-on activities and laboratory work. Continuous</w:t>
      </w:r>
      <w:r>
        <w:rPr>
          <w:spacing w:val="43"/>
          <w:sz w:val="22"/>
        </w:rPr>
        <w:t> </w:t>
      </w:r>
      <w:r>
        <w:rPr>
          <w:sz w:val="22"/>
        </w:rPr>
        <w:t>assessment</w:t>
      </w:r>
      <w:r>
        <w:rPr>
          <w:spacing w:val="45"/>
          <w:sz w:val="22"/>
        </w:rPr>
        <w:t> </w:t>
      </w:r>
      <w:r>
        <w:rPr>
          <w:sz w:val="22"/>
        </w:rPr>
        <w:t>at</w:t>
      </w:r>
      <w:r>
        <w:rPr>
          <w:spacing w:val="46"/>
          <w:sz w:val="22"/>
        </w:rPr>
        <w:t> </w:t>
      </w:r>
      <w:r>
        <w:rPr>
          <w:sz w:val="22"/>
        </w:rPr>
        <w:t>school</w:t>
      </w:r>
      <w:r>
        <w:rPr>
          <w:spacing w:val="45"/>
          <w:sz w:val="22"/>
        </w:rPr>
        <w:t> </w:t>
      </w:r>
      <w:r>
        <w:rPr>
          <w:sz w:val="22"/>
        </w:rPr>
        <w:t>level</w:t>
      </w:r>
      <w:r>
        <w:rPr>
          <w:spacing w:val="45"/>
          <w:sz w:val="22"/>
        </w:rPr>
        <w:t> </w:t>
      </w:r>
      <w:r>
        <w:rPr>
          <w:sz w:val="22"/>
        </w:rPr>
        <w:t>will</w:t>
      </w:r>
      <w:r>
        <w:rPr>
          <w:spacing w:val="46"/>
          <w:sz w:val="22"/>
        </w:rPr>
        <w:t> </w:t>
      </w:r>
      <w:r>
        <w:rPr>
          <w:spacing w:val="-2"/>
          <w:sz w:val="22"/>
        </w:rPr>
        <w:t>reduce</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079"/>
        <w:jc w:val="both"/>
      </w:pPr>
      <w:r>
        <w:rPr/>
        <w:t>dependence on year end examinations. If we could develop a system where a holistic record of student performance from school to college is maintained, then this can be used as an alternative or additional input to entrance examinations for entry into various institutes after higher secondary level.</w:t>
      </w:r>
    </w:p>
    <w:p>
      <w:pPr>
        <w:pStyle w:val="BodyText"/>
        <w:spacing w:before="22"/>
      </w:pPr>
    </w:p>
    <w:p>
      <w:pPr>
        <w:pStyle w:val="BodyText"/>
        <w:spacing w:line="266" w:lineRule="auto"/>
        <w:ind w:left="1079"/>
        <w:jc w:val="both"/>
      </w:pPr>
      <w:r>
        <w:rPr>
          <w:spacing w:val="-6"/>
        </w:rPr>
        <w:t>At</w:t>
      </w:r>
      <w:r>
        <w:rPr>
          <w:spacing w:val="-8"/>
        </w:rPr>
        <w:t> </w:t>
      </w:r>
      <w:r>
        <w:rPr>
          <w:spacing w:val="-6"/>
        </w:rPr>
        <w:t>the</w:t>
      </w:r>
      <w:r>
        <w:rPr>
          <w:spacing w:val="-8"/>
        </w:rPr>
        <w:t> </w:t>
      </w:r>
      <w:r>
        <w:rPr>
          <w:spacing w:val="-6"/>
        </w:rPr>
        <w:t>college</w:t>
      </w:r>
      <w:r>
        <w:rPr>
          <w:spacing w:val="-8"/>
        </w:rPr>
        <w:t> </w:t>
      </w:r>
      <w:r>
        <w:rPr>
          <w:spacing w:val="-6"/>
        </w:rPr>
        <w:t>level,</w:t>
      </w:r>
      <w:r>
        <w:rPr>
          <w:spacing w:val="-7"/>
        </w:rPr>
        <w:t> </w:t>
      </w:r>
      <w:r>
        <w:rPr>
          <w:spacing w:val="-6"/>
        </w:rPr>
        <w:t>introduction</w:t>
      </w:r>
      <w:r>
        <w:rPr>
          <w:spacing w:val="-8"/>
        </w:rPr>
        <w:t> </w:t>
      </w:r>
      <w:r>
        <w:rPr>
          <w:spacing w:val="-6"/>
        </w:rPr>
        <w:t>of</w:t>
      </w:r>
      <w:r>
        <w:rPr>
          <w:spacing w:val="-8"/>
        </w:rPr>
        <w:t> </w:t>
      </w:r>
      <w:r>
        <w:rPr>
          <w:spacing w:val="-6"/>
        </w:rPr>
        <w:t>semester</w:t>
      </w:r>
      <w:r>
        <w:rPr>
          <w:spacing w:val="-8"/>
        </w:rPr>
        <w:t> </w:t>
      </w:r>
      <w:r>
        <w:rPr>
          <w:spacing w:val="-6"/>
        </w:rPr>
        <w:t>system</w:t>
      </w:r>
      <w:r>
        <w:rPr>
          <w:spacing w:val="-7"/>
        </w:rPr>
        <w:t> </w:t>
      </w:r>
      <w:r>
        <w:rPr>
          <w:spacing w:val="-6"/>
        </w:rPr>
        <w:t>will </w:t>
      </w:r>
      <w:r>
        <w:rPr/>
        <w:t>reduce the anxiety related to year end examinations. Internal assessment should be increased and given more weight. Internal assessment should focus on experimental projects which will create demand for laboratories. This in-turn will lead to demand for </w:t>
      </w:r>
      <w:r>
        <w:rPr>
          <w:spacing w:val="-2"/>
        </w:rPr>
        <w:t>better laboratory facilities and consequently improved </w:t>
      </w:r>
      <w:r>
        <w:rPr>
          <w:spacing w:val="-4"/>
        </w:rPr>
        <w:t>infrastructure</w:t>
      </w:r>
      <w:r>
        <w:rPr>
          <w:spacing w:val="-10"/>
        </w:rPr>
        <w:t> </w:t>
      </w:r>
      <w:r>
        <w:rPr>
          <w:spacing w:val="-4"/>
        </w:rPr>
        <w:t>in</w:t>
      </w:r>
      <w:r>
        <w:rPr>
          <w:spacing w:val="-10"/>
        </w:rPr>
        <w:t> </w:t>
      </w:r>
      <w:r>
        <w:rPr>
          <w:spacing w:val="-4"/>
        </w:rPr>
        <w:t>all</w:t>
      </w:r>
      <w:r>
        <w:rPr>
          <w:spacing w:val="-10"/>
        </w:rPr>
        <w:t> </w:t>
      </w:r>
      <w:r>
        <w:rPr>
          <w:spacing w:val="-4"/>
        </w:rPr>
        <w:t>colleges.</w:t>
      </w:r>
      <w:r>
        <w:rPr>
          <w:spacing w:val="-9"/>
        </w:rPr>
        <w:t> </w:t>
      </w:r>
      <w:r>
        <w:rPr>
          <w:spacing w:val="-4"/>
        </w:rPr>
        <w:t>Other</w:t>
      </w:r>
      <w:r>
        <w:rPr>
          <w:spacing w:val="-10"/>
        </w:rPr>
        <w:t> </w:t>
      </w:r>
      <w:r>
        <w:rPr>
          <w:spacing w:val="-4"/>
        </w:rPr>
        <w:t>measures</w:t>
      </w:r>
      <w:r>
        <w:rPr>
          <w:spacing w:val="-10"/>
        </w:rPr>
        <w:t> </w:t>
      </w:r>
      <w:r>
        <w:rPr>
          <w:spacing w:val="-4"/>
        </w:rPr>
        <w:t>which</w:t>
      </w:r>
      <w:r>
        <w:rPr>
          <w:spacing w:val="-10"/>
        </w:rPr>
        <w:t> </w:t>
      </w:r>
      <w:r>
        <w:rPr>
          <w:spacing w:val="-4"/>
        </w:rPr>
        <w:t>will </w:t>
      </w:r>
      <w:r>
        <w:rPr>
          <w:spacing w:val="-2"/>
        </w:rPr>
        <w:t>encourage</w:t>
      </w:r>
      <w:r>
        <w:rPr>
          <w:spacing w:val="-12"/>
        </w:rPr>
        <w:t> </w:t>
      </w:r>
      <w:r>
        <w:rPr>
          <w:spacing w:val="-2"/>
        </w:rPr>
        <w:t>students</w:t>
      </w:r>
      <w:r>
        <w:rPr>
          <w:spacing w:val="-12"/>
        </w:rPr>
        <w:t> </w:t>
      </w:r>
      <w:r>
        <w:rPr>
          <w:spacing w:val="-2"/>
        </w:rPr>
        <w:t>to</w:t>
      </w:r>
      <w:r>
        <w:rPr>
          <w:spacing w:val="-12"/>
        </w:rPr>
        <w:t> </w:t>
      </w:r>
      <w:r>
        <w:rPr>
          <w:spacing w:val="-2"/>
        </w:rPr>
        <w:t>go</w:t>
      </w:r>
      <w:r>
        <w:rPr>
          <w:spacing w:val="-11"/>
        </w:rPr>
        <w:t> </w:t>
      </w:r>
      <w:r>
        <w:rPr>
          <w:spacing w:val="-2"/>
        </w:rPr>
        <w:t>beyond</w:t>
      </w:r>
      <w:r>
        <w:rPr>
          <w:spacing w:val="-12"/>
        </w:rPr>
        <w:t> </w:t>
      </w:r>
      <w:r>
        <w:rPr>
          <w:spacing w:val="-2"/>
        </w:rPr>
        <w:t>rote</w:t>
      </w:r>
      <w:r>
        <w:rPr>
          <w:spacing w:val="-12"/>
        </w:rPr>
        <w:t> </w:t>
      </w:r>
      <w:r>
        <w:rPr>
          <w:spacing w:val="-2"/>
        </w:rPr>
        <w:t>learning</w:t>
      </w:r>
      <w:r>
        <w:rPr>
          <w:spacing w:val="-12"/>
        </w:rPr>
        <w:t> </w:t>
      </w:r>
      <w:r>
        <w:rPr>
          <w:spacing w:val="-2"/>
        </w:rPr>
        <w:t>are</w:t>
      </w:r>
      <w:r>
        <w:rPr>
          <w:spacing w:val="-11"/>
        </w:rPr>
        <w:t> </w:t>
      </w:r>
      <w:r>
        <w:rPr>
          <w:spacing w:val="-2"/>
        </w:rPr>
        <w:t>open </w:t>
      </w:r>
      <w:r>
        <w:rPr/>
        <w:t>ended</w:t>
      </w:r>
      <w:r>
        <w:rPr>
          <w:spacing w:val="-4"/>
        </w:rPr>
        <w:t> </w:t>
      </w:r>
      <w:r>
        <w:rPr/>
        <w:t>examinations</w:t>
      </w:r>
      <w:r>
        <w:rPr>
          <w:spacing w:val="-4"/>
        </w:rPr>
        <w:t> </w:t>
      </w:r>
      <w:r>
        <w:rPr/>
        <w:t>which</w:t>
      </w:r>
      <w:r>
        <w:rPr>
          <w:spacing w:val="-4"/>
        </w:rPr>
        <w:t> </w:t>
      </w:r>
      <w:r>
        <w:rPr/>
        <w:t>test</w:t>
      </w:r>
      <w:r>
        <w:rPr>
          <w:spacing w:val="-4"/>
        </w:rPr>
        <w:t> </w:t>
      </w:r>
      <w:r>
        <w:rPr/>
        <w:t>comprehension</w:t>
      </w:r>
      <w:r>
        <w:rPr>
          <w:spacing w:val="-4"/>
        </w:rPr>
        <w:t> </w:t>
      </w:r>
      <w:r>
        <w:rPr/>
        <w:t>rather </w:t>
      </w:r>
      <w:r>
        <w:rPr>
          <w:spacing w:val="-2"/>
        </w:rPr>
        <w:t>than</w:t>
      </w:r>
      <w:r>
        <w:rPr>
          <w:spacing w:val="-12"/>
        </w:rPr>
        <w:t> </w:t>
      </w:r>
      <w:r>
        <w:rPr>
          <w:spacing w:val="-2"/>
        </w:rPr>
        <w:t>memory</w:t>
      </w:r>
      <w:r>
        <w:rPr>
          <w:spacing w:val="-12"/>
        </w:rPr>
        <w:t> </w:t>
      </w:r>
      <w:r>
        <w:rPr>
          <w:spacing w:val="-2"/>
        </w:rPr>
        <w:t>and</w:t>
      </w:r>
      <w:r>
        <w:rPr>
          <w:spacing w:val="-12"/>
        </w:rPr>
        <w:t> </w:t>
      </w:r>
      <w:r>
        <w:rPr>
          <w:spacing w:val="-2"/>
        </w:rPr>
        <w:t>open</w:t>
      </w:r>
      <w:r>
        <w:rPr>
          <w:spacing w:val="-11"/>
        </w:rPr>
        <w:t> </w:t>
      </w:r>
      <w:r>
        <w:rPr>
          <w:spacing w:val="-2"/>
        </w:rPr>
        <w:t>book</w:t>
      </w:r>
      <w:r>
        <w:rPr>
          <w:spacing w:val="-12"/>
        </w:rPr>
        <w:t> </w:t>
      </w:r>
      <w:r>
        <w:rPr>
          <w:spacing w:val="-2"/>
        </w:rPr>
        <w:t>examinations</w:t>
      </w:r>
      <w:r>
        <w:rPr>
          <w:spacing w:val="-12"/>
        </w:rPr>
        <w:t> </w:t>
      </w:r>
      <w:r>
        <w:rPr>
          <w:spacing w:val="-2"/>
        </w:rPr>
        <w:t>focusing</w:t>
      </w:r>
      <w:r>
        <w:rPr>
          <w:spacing w:val="-12"/>
        </w:rPr>
        <w:t> </w:t>
      </w:r>
      <w:r>
        <w:rPr>
          <w:spacing w:val="-2"/>
        </w:rPr>
        <w:t>on </w:t>
      </w:r>
      <w:r>
        <w:rPr>
          <w:spacing w:val="-4"/>
        </w:rPr>
        <w:t>problem</w:t>
      </w:r>
      <w:r>
        <w:rPr>
          <w:spacing w:val="-10"/>
        </w:rPr>
        <w:t> </w:t>
      </w:r>
      <w:r>
        <w:rPr>
          <w:spacing w:val="-4"/>
        </w:rPr>
        <w:t>solving</w:t>
      </w:r>
      <w:r>
        <w:rPr>
          <w:spacing w:val="-10"/>
        </w:rPr>
        <w:t> </w:t>
      </w:r>
      <w:r>
        <w:rPr>
          <w:spacing w:val="-4"/>
        </w:rPr>
        <w:t>and</w:t>
      </w:r>
      <w:r>
        <w:rPr>
          <w:spacing w:val="-10"/>
        </w:rPr>
        <w:t> </w:t>
      </w:r>
      <w:r>
        <w:rPr>
          <w:spacing w:val="-4"/>
        </w:rPr>
        <w:t>critical</w:t>
      </w:r>
      <w:r>
        <w:rPr>
          <w:spacing w:val="-9"/>
        </w:rPr>
        <w:t> </w:t>
      </w:r>
      <w:r>
        <w:rPr>
          <w:spacing w:val="-4"/>
        </w:rPr>
        <w:t>thinking.</w:t>
      </w:r>
      <w:r>
        <w:rPr>
          <w:spacing w:val="-10"/>
        </w:rPr>
        <w:t> </w:t>
      </w:r>
      <w:r>
        <w:rPr>
          <w:spacing w:val="-4"/>
        </w:rPr>
        <w:t>Group</w:t>
      </w:r>
      <w:r>
        <w:rPr>
          <w:spacing w:val="-10"/>
        </w:rPr>
        <w:t> </w:t>
      </w:r>
      <w:r>
        <w:rPr>
          <w:spacing w:val="-4"/>
        </w:rPr>
        <w:t>testing</w:t>
      </w:r>
      <w:r>
        <w:rPr>
          <w:spacing w:val="-10"/>
        </w:rPr>
        <w:t> </w:t>
      </w:r>
      <w:r>
        <w:rPr>
          <w:spacing w:val="-4"/>
        </w:rPr>
        <w:t>and </w:t>
      </w:r>
      <w:r>
        <w:rPr>
          <w:spacing w:val="-2"/>
        </w:rPr>
        <w:t>field-work</w:t>
      </w:r>
      <w:r>
        <w:rPr>
          <w:spacing w:val="-4"/>
        </w:rPr>
        <w:t> </w:t>
      </w:r>
      <w:r>
        <w:rPr>
          <w:spacing w:val="-2"/>
        </w:rPr>
        <w:t>based</w:t>
      </w:r>
      <w:r>
        <w:rPr>
          <w:spacing w:val="-4"/>
        </w:rPr>
        <w:t> </w:t>
      </w:r>
      <w:r>
        <w:rPr>
          <w:spacing w:val="-2"/>
        </w:rPr>
        <w:t>testing</w:t>
      </w:r>
      <w:r>
        <w:rPr>
          <w:spacing w:val="-4"/>
        </w:rPr>
        <w:t> </w:t>
      </w:r>
      <w:r>
        <w:rPr>
          <w:spacing w:val="-2"/>
        </w:rPr>
        <w:t>should</w:t>
      </w:r>
      <w:r>
        <w:rPr>
          <w:spacing w:val="-4"/>
        </w:rPr>
        <w:t> </w:t>
      </w:r>
      <w:r>
        <w:rPr>
          <w:spacing w:val="-2"/>
        </w:rPr>
        <w:t>be</w:t>
      </w:r>
      <w:r>
        <w:rPr>
          <w:spacing w:val="-4"/>
        </w:rPr>
        <w:t> </w:t>
      </w:r>
      <w:r>
        <w:rPr>
          <w:spacing w:val="-2"/>
        </w:rPr>
        <w:t>used</w:t>
      </w:r>
      <w:r>
        <w:rPr>
          <w:spacing w:val="-4"/>
        </w:rPr>
        <w:t> </w:t>
      </w:r>
      <w:r>
        <w:rPr>
          <w:spacing w:val="-2"/>
        </w:rPr>
        <w:t>extensively.</w:t>
      </w:r>
    </w:p>
    <w:p>
      <w:pPr>
        <w:pStyle w:val="BodyText"/>
        <w:spacing w:before="17"/>
      </w:pPr>
    </w:p>
    <w:p>
      <w:pPr>
        <w:pStyle w:val="ListParagraph"/>
        <w:numPr>
          <w:ilvl w:val="1"/>
          <w:numId w:val="40"/>
        </w:numPr>
        <w:tabs>
          <w:tab w:pos="1414" w:val="left" w:leader="none"/>
        </w:tabs>
        <w:spacing w:line="266" w:lineRule="auto" w:before="0" w:after="0"/>
        <w:ind w:left="1079" w:right="0" w:firstLine="0"/>
        <w:jc w:val="both"/>
        <w:rPr>
          <w:sz w:val="22"/>
        </w:rPr>
      </w:pPr>
      <w:r>
        <w:rPr>
          <w:b/>
          <w:spacing w:val="-6"/>
          <w:sz w:val="22"/>
        </w:rPr>
        <w:t>Enablers:</w:t>
      </w:r>
      <w:r>
        <w:rPr>
          <w:b/>
          <w:spacing w:val="-8"/>
          <w:sz w:val="22"/>
        </w:rPr>
        <w:t> </w:t>
      </w:r>
      <w:r>
        <w:rPr>
          <w:spacing w:val="-6"/>
          <w:sz w:val="22"/>
        </w:rPr>
        <w:t>To</w:t>
      </w:r>
      <w:r>
        <w:rPr>
          <w:spacing w:val="-8"/>
          <w:sz w:val="22"/>
        </w:rPr>
        <w:t> </w:t>
      </w:r>
      <w:r>
        <w:rPr>
          <w:spacing w:val="-6"/>
          <w:sz w:val="22"/>
        </w:rPr>
        <w:t>enable</w:t>
      </w:r>
      <w:r>
        <w:rPr>
          <w:spacing w:val="-8"/>
          <w:sz w:val="22"/>
        </w:rPr>
        <w:t> </w:t>
      </w:r>
      <w:r>
        <w:rPr>
          <w:spacing w:val="-6"/>
          <w:sz w:val="22"/>
        </w:rPr>
        <w:t>the</w:t>
      </w:r>
      <w:r>
        <w:rPr>
          <w:spacing w:val="-7"/>
          <w:sz w:val="22"/>
        </w:rPr>
        <w:t> </w:t>
      </w:r>
      <w:r>
        <w:rPr>
          <w:spacing w:val="-6"/>
          <w:sz w:val="22"/>
        </w:rPr>
        <w:t>modifications</w:t>
      </w:r>
      <w:r>
        <w:rPr>
          <w:spacing w:val="-8"/>
          <w:sz w:val="22"/>
        </w:rPr>
        <w:t> </w:t>
      </w:r>
      <w:r>
        <w:rPr>
          <w:spacing w:val="-6"/>
          <w:sz w:val="22"/>
        </w:rPr>
        <w:t>of</w:t>
      </w:r>
      <w:r>
        <w:rPr>
          <w:spacing w:val="-8"/>
          <w:sz w:val="22"/>
        </w:rPr>
        <w:t> </w:t>
      </w:r>
      <w:r>
        <w:rPr>
          <w:spacing w:val="-6"/>
          <w:sz w:val="22"/>
        </w:rPr>
        <w:t>evaluation </w:t>
      </w:r>
      <w:r>
        <w:rPr>
          <w:sz w:val="22"/>
        </w:rPr>
        <w:t>process,</w:t>
      </w:r>
      <w:r>
        <w:rPr>
          <w:spacing w:val="-14"/>
          <w:sz w:val="22"/>
        </w:rPr>
        <w:t> </w:t>
      </w:r>
      <w:r>
        <w:rPr>
          <w:sz w:val="22"/>
        </w:rPr>
        <w:t>teachers</w:t>
      </w:r>
      <w:r>
        <w:rPr>
          <w:spacing w:val="-14"/>
          <w:sz w:val="22"/>
        </w:rPr>
        <w:t> </w:t>
      </w:r>
      <w:r>
        <w:rPr>
          <w:sz w:val="22"/>
        </w:rPr>
        <w:t>need</w:t>
      </w:r>
      <w:r>
        <w:rPr>
          <w:spacing w:val="-14"/>
          <w:sz w:val="22"/>
        </w:rPr>
        <w:t> </w:t>
      </w:r>
      <w:r>
        <w:rPr>
          <w:sz w:val="22"/>
        </w:rPr>
        <w:t>to</w:t>
      </w:r>
      <w:r>
        <w:rPr>
          <w:spacing w:val="-13"/>
          <w:sz w:val="22"/>
        </w:rPr>
        <w:t> </w:t>
      </w:r>
      <w:r>
        <w:rPr>
          <w:sz w:val="22"/>
        </w:rPr>
        <w:t>be</w:t>
      </w:r>
      <w:r>
        <w:rPr>
          <w:spacing w:val="-14"/>
          <w:sz w:val="22"/>
        </w:rPr>
        <w:t> </w:t>
      </w:r>
      <w:r>
        <w:rPr>
          <w:sz w:val="22"/>
        </w:rPr>
        <w:t>trained</w:t>
      </w:r>
      <w:r>
        <w:rPr>
          <w:spacing w:val="-14"/>
          <w:sz w:val="22"/>
        </w:rPr>
        <w:t> </w:t>
      </w:r>
      <w:r>
        <w:rPr>
          <w:sz w:val="22"/>
        </w:rPr>
        <w:t>in</w:t>
      </w:r>
      <w:r>
        <w:rPr>
          <w:spacing w:val="-14"/>
          <w:sz w:val="22"/>
        </w:rPr>
        <w:t> </w:t>
      </w:r>
      <w:r>
        <w:rPr>
          <w:sz w:val="22"/>
        </w:rPr>
        <w:t>new</w:t>
      </w:r>
      <w:r>
        <w:rPr>
          <w:spacing w:val="-13"/>
          <w:sz w:val="22"/>
        </w:rPr>
        <w:t> </w:t>
      </w:r>
      <w:r>
        <w:rPr>
          <w:sz w:val="22"/>
        </w:rPr>
        <w:t>methods</w:t>
      </w:r>
      <w:r>
        <w:rPr>
          <w:spacing w:val="-14"/>
          <w:sz w:val="22"/>
        </w:rPr>
        <w:t> </w:t>
      </w:r>
      <w:r>
        <w:rPr>
          <w:sz w:val="22"/>
        </w:rPr>
        <w:t>of </w:t>
      </w:r>
      <w:r>
        <w:rPr>
          <w:spacing w:val="-8"/>
          <w:sz w:val="22"/>
        </w:rPr>
        <w:t>evaluation.</w:t>
      </w:r>
      <w:r>
        <w:rPr>
          <w:sz w:val="22"/>
        </w:rPr>
        <w:t> </w:t>
      </w:r>
      <w:r>
        <w:rPr>
          <w:spacing w:val="-8"/>
          <w:sz w:val="22"/>
        </w:rPr>
        <w:t>Academic</w:t>
      </w:r>
      <w:r>
        <w:rPr>
          <w:sz w:val="22"/>
        </w:rPr>
        <w:t> </w:t>
      </w:r>
      <w:r>
        <w:rPr>
          <w:spacing w:val="-8"/>
          <w:sz w:val="22"/>
        </w:rPr>
        <w:t>calendar</w:t>
      </w:r>
      <w:r>
        <w:rPr>
          <w:sz w:val="22"/>
        </w:rPr>
        <w:t> </w:t>
      </w:r>
      <w:r>
        <w:rPr>
          <w:spacing w:val="-8"/>
          <w:sz w:val="22"/>
        </w:rPr>
        <w:t>should</w:t>
      </w:r>
      <w:r>
        <w:rPr>
          <w:sz w:val="22"/>
        </w:rPr>
        <w:t> </w:t>
      </w:r>
      <w:r>
        <w:rPr>
          <w:spacing w:val="-8"/>
          <w:sz w:val="22"/>
        </w:rPr>
        <w:t>be</w:t>
      </w:r>
      <w:r>
        <w:rPr>
          <w:sz w:val="22"/>
        </w:rPr>
        <w:t> </w:t>
      </w:r>
      <w:r>
        <w:rPr>
          <w:spacing w:val="-8"/>
          <w:sz w:val="22"/>
        </w:rPr>
        <w:t>strictly</w:t>
      </w:r>
      <w:r>
        <w:rPr>
          <w:sz w:val="22"/>
        </w:rPr>
        <w:t> </w:t>
      </w:r>
      <w:r>
        <w:rPr>
          <w:spacing w:val="-8"/>
          <w:sz w:val="22"/>
        </w:rPr>
        <w:t>adhered </w:t>
      </w:r>
      <w:r>
        <w:rPr>
          <w:sz w:val="22"/>
        </w:rPr>
        <w:t>to. There is a need to increase the teacher to student ratio to ensure better interaction and assessment. A ratio of 1:40 should be targeted. One can look at a unified</w:t>
      </w:r>
      <w:r>
        <w:rPr>
          <w:spacing w:val="-10"/>
          <w:sz w:val="22"/>
        </w:rPr>
        <w:t> </w:t>
      </w:r>
      <w:r>
        <w:rPr>
          <w:sz w:val="22"/>
        </w:rPr>
        <w:t>National</w:t>
      </w:r>
      <w:r>
        <w:rPr>
          <w:spacing w:val="-10"/>
          <w:sz w:val="22"/>
        </w:rPr>
        <w:t> </w:t>
      </w:r>
      <w:r>
        <w:rPr>
          <w:sz w:val="22"/>
        </w:rPr>
        <w:t>Level</w:t>
      </w:r>
      <w:r>
        <w:rPr>
          <w:spacing w:val="-10"/>
          <w:sz w:val="22"/>
        </w:rPr>
        <w:t> </w:t>
      </w:r>
      <w:r>
        <w:rPr>
          <w:sz w:val="22"/>
        </w:rPr>
        <w:t>testing</w:t>
      </w:r>
      <w:r>
        <w:rPr>
          <w:spacing w:val="-10"/>
          <w:sz w:val="22"/>
        </w:rPr>
        <w:t> </w:t>
      </w:r>
      <w:r>
        <w:rPr>
          <w:sz w:val="22"/>
        </w:rPr>
        <w:t>at</w:t>
      </w:r>
      <w:r>
        <w:rPr>
          <w:spacing w:val="-10"/>
          <w:sz w:val="22"/>
        </w:rPr>
        <w:t> </w:t>
      </w:r>
      <w:r>
        <w:rPr>
          <w:sz w:val="22"/>
        </w:rPr>
        <w:t>mid</w:t>
      </w:r>
      <w:r>
        <w:rPr>
          <w:spacing w:val="-10"/>
          <w:sz w:val="22"/>
        </w:rPr>
        <w:t> </w:t>
      </w:r>
      <w:r>
        <w:rPr>
          <w:sz w:val="22"/>
        </w:rPr>
        <w:t>school</w:t>
      </w:r>
      <w:r>
        <w:rPr>
          <w:spacing w:val="-10"/>
          <w:sz w:val="22"/>
        </w:rPr>
        <w:t> </w:t>
      </w:r>
      <w:r>
        <w:rPr>
          <w:sz w:val="22"/>
        </w:rPr>
        <w:t>level</w:t>
      </w:r>
      <w:r>
        <w:rPr>
          <w:spacing w:val="-10"/>
          <w:sz w:val="22"/>
        </w:rPr>
        <w:t> </w:t>
      </w:r>
      <w:r>
        <w:rPr>
          <w:sz w:val="22"/>
        </w:rPr>
        <w:t>and after</w:t>
      </w:r>
      <w:r>
        <w:rPr>
          <w:spacing w:val="-8"/>
          <w:sz w:val="22"/>
        </w:rPr>
        <w:t> </w:t>
      </w:r>
      <w:r>
        <w:rPr>
          <w:sz w:val="22"/>
        </w:rPr>
        <w:t>school</w:t>
      </w:r>
      <w:r>
        <w:rPr>
          <w:spacing w:val="-8"/>
          <w:sz w:val="22"/>
        </w:rPr>
        <w:t> </w:t>
      </w:r>
      <w:r>
        <w:rPr>
          <w:sz w:val="22"/>
        </w:rPr>
        <w:t>completion</w:t>
      </w:r>
      <w:r>
        <w:rPr>
          <w:spacing w:val="-8"/>
          <w:sz w:val="22"/>
        </w:rPr>
        <w:t> </w:t>
      </w:r>
      <w:r>
        <w:rPr>
          <w:sz w:val="22"/>
        </w:rPr>
        <w:t>to</w:t>
      </w:r>
      <w:r>
        <w:rPr>
          <w:spacing w:val="-8"/>
          <w:sz w:val="22"/>
        </w:rPr>
        <w:t> </w:t>
      </w:r>
      <w:r>
        <w:rPr>
          <w:sz w:val="22"/>
        </w:rPr>
        <w:t>reduce</w:t>
      </w:r>
      <w:r>
        <w:rPr>
          <w:spacing w:val="-8"/>
          <w:sz w:val="22"/>
        </w:rPr>
        <w:t> </w:t>
      </w:r>
      <w:r>
        <w:rPr>
          <w:sz w:val="22"/>
        </w:rPr>
        <w:t>load</w:t>
      </w:r>
      <w:r>
        <w:rPr>
          <w:spacing w:val="-8"/>
          <w:sz w:val="22"/>
        </w:rPr>
        <w:t> </w:t>
      </w:r>
      <w:r>
        <w:rPr>
          <w:sz w:val="22"/>
        </w:rPr>
        <w:t>of</w:t>
      </w:r>
      <w:r>
        <w:rPr>
          <w:spacing w:val="-8"/>
          <w:sz w:val="22"/>
        </w:rPr>
        <w:t> </w:t>
      </w:r>
      <w:r>
        <w:rPr>
          <w:sz w:val="22"/>
        </w:rPr>
        <w:t>competitive exams on students. Another important application of </w:t>
      </w:r>
      <w:r>
        <w:rPr>
          <w:spacing w:val="-4"/>
          <w:sz w:val="22"/>
        </w:rPr>
        <w:t>such</w:t>
      </w:r>
      <w:r>
        <w:rPr>
          <w:spacing w:val="-10"/>
          <w:sz w:val="22"/>
        </w:rPr>
        <w:t> </w:t>
      </w:r>
      <w:r>
        <w:rPr>
          <w:spacing w:val="-4"/>
          <w:sz w:val="22"/>
        </w:rPr>
        <w:t>testing</w:t>
      </w:r>
      <w:r>
        <w:rPr>
          <w:spacing w:val="-10"/>
          <w:sz w:val="22"/>
        </w:rPr>
        <w:t> </w:t>
      </w:r>
      <w:r>
        <w:rPr>
          <w:spacing w:val="-4"/>
          <w:sz w:val="22"/>
        </w:rPr>
        <w:t>could</w:t>
      </w:r>
      <w:r>
        <w:rPr>
          <w:spacing w:val="-10"/>
          <w:sz w:val="22"/>
        </w:rPr>
        <w:t> </w:t>
      </w:r>
      <w:r>
        <w:rPr>
          <w:spacing w:val="-4"/>
          <w:sz w:val="22"/>
        </w:rPr>
        <w:t>be</w:t>
      </w:r>
      <w:r>
        <w:rPr>
          <w:spacing w:val="-9"/>
          <w:sz w:val="22"/>
        </w:rPr>
        <w:t> </w:t>
      </w:r>
      <w:r>
        <w:rPr>
          <w:spacing w:val="-4"/>
          <w:sz w:val="22"/>
        </w:rPr>
        <w:t>to</w:t>
      </w:r>
      <w:r>
        <w:rPr>
          <w:spacing w:val="-10"/>
          <w:sz w:val="22"/>
        </w:rPr>
        <w:t> </w:t>
      </w:r>
      <w:r>
        <w:rPr>
          <w:spacing w:val="-4"/>
          <w:sz w:val="22"/>
        </w:rPr>
        <w:t>bring</w:t>
      </w:r>
      <w:r>
        <w:rPr>
          <w:spacing w:val="-10"/>
          <w:sz w:val="22"/>
        </w:rPr>
        <w:t> </w:t>
      </w:r>
      <w:r>
        <w:rPr>
          <w:spacing w:val="-4"/>
          <w:sz w:val="22"/>
        </w:rPr>
        <w:t>forth</w:t>
      </w:r>
      <w:r>
        <w:rPr>
          <w:spacing w:val="-10"/>
          <w:sz w:val="22"/>
        </w:rPr>
        <w:t> </w:t>
      </w:r>
      <w:r>
        <w:rPr>
          <w:spacing w:val="-4"/>
          <w:sz w:val="22"/>
        </w:rPr>
        <w:t>areas</w:t>
      </w:r>
      <w:r>
        <w:rPr>
          <w:spacing w:val="-9"/>
          <w:sz w:val="22"/>
        </w:rPr>
        <w:t> </w:t>
      </w:r>
      <w:r>
        <w:rPr>
          <w:spacing w:val="-4"/>
          <w:sz w:val="22"/>
        </w:rPr>
        <w:t>where</w:t>
      </w:r>
      <w:r>
        <w:rPr>
          <w:spacing w:val="-10"/>
          <w:sz w:val="22"/>
        </w:rPr>
        <w:t> </w:t>
      </w:r>
      <w:r>
        <w:rPr>
          <w:spacing w:val="-4"/>
          <w:sz w:val="22"/>
        </w:rPr>
        <w:t>teachers </w:t>
      </w:r>
      <w:r>
        <w:rPr>
          <w:sz w:val="22"/>
        </w:rPr>
        <w:t>need to be trained.</w:t>
      </w:r>
    </w:p>
    <w:p>
      <w:pPr>
        <w:pStyle w:val="Heading7"/>
        <w:spacing w:line="225" w:lineRule="auto" w:before="248"/>
        <w:ind w:left="1079"/>
      </w:pPr>
      <w:r>
        <w:rPr>
          <w:color w:val="2E614A"/>
          <w:w w:val="90"/>
        </w:rPr>
        <w:t>Recommendation 7: Promote access to quality </w:t>
      </w:r>
      <w:r>
        <w:rPr>
          <w:color w:val="2E614A"/>
          <w:spacing w:val="-8"/>
        </w:rPr>
        <w:t>science educational material at all levels</w:t>
      </w:r>
    </w:p>
    <w:p>
      <w:pPr>
        <w:pStyle w:val="BodyText"/>
        <w:spacing w:before="2"/>
        <w:rPr>
          <w:b/>
          <w:sz w:val="26"/>
        </w:rPr>
      </w:pPr>
    </w:p>
    <w:p>
      <w:pPr>
        <w:pStyle w:val="BodyText"/>
        <w:spacing w:line="266" w:lineRule="auto"/>
        <w:ind w:left="1079"/>
        <w:jc w:val="both"/>
      </w:pPr>
      <w:r>
        <w:rPr/>
        <w:t>To attract more talented students to Maths </w:t>
      </w:r>
      <w:r>
        <w:rPr/>
        <w:t>and </w:t>
      </w:r>
      <w:r>
        <w:rPr>
          <w:spacing w:val="-6"/>
        </w:rPr>
        <w:t>Science, it is essential to ensure access to quality science </w:t>
      </w:r>
      <w:r>
        <w:rPr>
          <w:spacing w:val="-4"/>
        </w:rPr>
        <w:t>education</w:t>
      </w:r>
      <w:r>
        <w:rPr>
          <w:spacing w:val="-10"/>
        </w:rPr>
        <w:t> </w:t>
      </w:r>
      <w:r>
        <w:rPr>
          <w:spacing w:val="-4"/>
        </w:rPr>
        <w:t>to</w:t>
      </w:r>
      <w:r>
        <w:rPr>
          <w:spacing w:val="-5"/>
        </w:rPr>
        <w:t> </w:t>
      </w:r>
      <w:r>
        <w:rPr>
          <w:spacing w:val="-4"/>
        </w:rPr>
        <w:t>all</w:t>
      </w:r>
      <w:r>
        <w:rPr>
          <w:spacing w:val="-5"/>
        </w:rPr>
        <w:t> </w:t>
      </w:r>
      <w:r>
        <w:rPr>
          <w:spacing w:val="-4"/>
        </w:rPr>
        <w:t>students.</w:t>
      </w:r>
      <w:r>
        <w:rPr>
          <w:spacing w:val="-10"/>
        </w:rPr>
        <w:t> </w:t>
      </w:r>
      <w:r>
        <w:rPr>
          <w:spacing w:val="-4"/>
        </w:rPr>
        <w:t>There</w:t>
      </w:r>
      <w:r>
        <w:rPr>
          <w:spacing w:val="-5"/>
        </w:rPr>
        <w:t> </w:t>
      </w:r>
      <w:r>
        <w:rPr>
          <w:spacing w:val="-4"/>
        </w:rPr>
        <w:t>is</w:t>
      </w:r>
      <w:r>
        <w:rPr>
          <w:spacing w:val="-5"/>
        </w:rPr>
        <w:t> </w:t>
      </w:r>
      <w:r>
        <w:rPr>
          <w:spacing w:val="-4"/>
        </w:rPr>
        <w:t>a</w:t>
      </w:r>
      <w:r>
        <w:rPr>
          <w:spacing w:val="-5"/>
        </w:rPr>
        <w:t> </w:t>
      </w:r>
      <w:r>
        <w:rPr>
          <w:spacing w:val="-4"/>
        </w:rPr>
        <w:t>need</w:t>
      </w:r>
      <w:r>
        <w:rPr>
          <w:spacing w:val="-5"/>
        </w:rPr>
        <w:t> </w:t>
      </w:r>
      <w:r>
        <w:rPr>
          <w:spacing w:val="-4"/>
        </w:rPr>
        <w:t>to</w:t>
      </w:r>
      <w:r>
        <w:rPr>
          <w:spacing w:val="-5"/>
        </w:rPr>
        <w:t> </w:t>
      </w:r>
      <w:r>
        <w:rPr>
          <w:spacing w:val="-4"/>
        </w:rPr>
        <w:t>disseminate </w:t>
      </w:r>
      <w:r>
        <w:rPr/>
        <w:t>high</w:t>
      </w:r>
      <w:r>
        <w:rPr>
          <w:spacing w:val="-14"/>
        </w:rPr>
        <w:t> </w:t>
      </w:r>
      <w:r>
        <w:rPr/>
        <w:t>quality</w:t>
      </w:r>
      <w:r>
        <w:rPr>
          <w:spacing w:val="-14"/>
        </w:rPr>
        <w:t> </w:t>
      </w:r>
      <w:r>
        <w:rPr/>
        <w:t>educational</w:t>
      </w:r>
      <w:r>
        <w:rPr>
          <w:spacing w:val="-14"/>
        </w:rPr>
        <w:t> </w:t>
      </w:r>
      <w:r>
        <w:rPr/>
        <w:t>material</w:t>
      </w:r>
      <w:r>
        <w:rPr>
          <w:spacing w:val="-13"/>
        </w:rPr>
        <w:t> </w:t>
      </w:r>
      <w:r>
        <w:rPr/>
        <w:t>in</w:t>
      </w:r>
      <w:r>
        <w:rPr>
          <w:spacing w:val="-14"/>
        </w:rPr>
        <w:t> </w:t>
      </w:r>
      <w:r>
        <w:rPr/>
        <w:t>local</w:t>
      </w:r>
      <w:r>
        <w:rPr>
          <w:spacing w:val="-14"/>
        </w:rPr>
        <w:t> </w:t>
      </w:r>
      <w:r>
        <w:rPr/>
        <w:t>languages</w:t>
      </w:r>
      <w:r>
        <w:rPr>
          <w:spacing w:val="-14"/>
        </w:rPr>
        <w:t> </w:t>
      </w:r>
      <w:r>
        <w:rPr/>
        <w:t>to assist students from non English medium education </w:t>
      </w:r>
      <w:r>
        <w:rPr>
          <w:spacing w:val="-2"/>
        </w:rPr>
        <w:t>background.</w:t>
      </w:r>
      <w:r>
        <w:rPr>
          <w:spacing w:val="-11"/>
        </w:rPr>
        <w:t> </w:t>
      </w:r>
      <w:r>
        <w:rPr>
          <w:spacing w:val="-2"/>
        </w:rPr>
        <w:t>Educational</w:t>
      </w:r>
      <w:r>
        <w:rPr>
          <w:spacing w:val="-11"/>
        </w:rPr>
        <w:t> </w:t>
      </w:r>
      <w:r>
        <w:rPr>
          <w:spacing w:val="-2"/>
        </w:rPr>
        <w:t>materials</w:t>
      </w:r>
      <w:r>
        <w:rPr>
          <w:spacing w:val="-11"/>
        </w:rPr>
        <w:t> </w:t>
      </w:r>
      <w:r>
        <w:rPr>
          <w:spacing w:val="-2"/>
        </w:rPr>
        <w:t>should</w:t>
      </w:r>
      <w:r>
        <w:rPr>
          <w:spacing w:val="-11"/>
        </w:rPr>
        <w:t> </w:t>
      </w:r>
      <w:r>
        <w:rPr>
          <w:spacing w:val="-2"/>
        </w:rPr>
        <w:t>be</w:t>
      </w:r>
      <w:r>
        <w:rPr>
          <w:spacing w:val="-11"/>
        </w:rPr>
        <w:t> </w:t>
      </w:r>
      <w:r>
        <w:rPr>
          <w:spacing w:val="-2"/>
        </w:rPr>
        <w:t>provided </w:t>
      </w:r>
      <w:r>
        <w:rPr/>
        <w:t>to all at subsidised rates.</w:t>
      </w:r>
    </w:p>
    <w:p>
      <w:pPr>
        <w:pStyle w:val="BodyText"/>
        <w:spacing w:before="21"/>
      </w:pPr>
    </w:p>
    <w:p>
      <w:pPr>
        <w:pStyle w:val="BodyText"/>
        <w:spacing w:line="266" w:lineRule="auto"/>
        <w:ind w:left="1079"/>
        <w:jc w:val="both"/>
      </w:pPr>
      <w:r>
        <w:rPr>
          <w:b/>
        </w:rPr>
        <w:t>Issues:</w:t>
      </w:r>
      <w:r>
        <w:rPr>
          <w:b/>
          <w:spacing w:val="-16"/>
        </w:rPr>
        <w:t> </w:t>
      </w:r>
      <w:r>
        <w:rPr/>
        <w:t>The</w:t>
      </w:r>
      <w:r>
        <w:rPr>
          <w:spacing w:val="-14"/>
        </w:rPr>
        <w:t> </w:t>
      </w:r>
      <w:r>
        <w:rPr/>
        <w:t>quality</w:t>
      </w:r>
      <w:r>
        <w:rPr>
          <w:spacing w:val="-14"/>
        </w:rPr>
        <w:t> </w:t>
      </w:r>
      <w:r>
        <w:rPr/>
        <w:t>of</w:t>
      </w:r>
      <w:r>
        <w:rPr>
          <w:spacing w:val="-13"/>
        </w:rPr>
        <w:t> </w:t>
      </w:r>
      <w:r>
        <w:rPr/>
        <w:t>education</w:t>
      </w:r>
      <w:r>
        <w:rPr>
          <w:spacing w:val="-14"/>
        </w:rPr>
        <w:t> </w:t>
      </w:r>
      <w:r>
        <w:rPr/>
        <w:t>in</w:t>
      </w:r>
      <w:r>
        <w:rPr>
          <w:spacing w:val="-14"/>
        </w:rPr>
        <w:t> </w:t>
      </w:r>
      <w:r>
        <w:rPr/>
        <w:t>sciences</w:t>
      </w:r>
      <w:r>
        <w:rPr>
          <w:spacing w:val="-14"/>
        </w:rPr>
        <w:t> </w:t>
      </w:r>
      <w:r>
        <w:rPr/>
        <w:t>across</w:t>
      </w:r>
      <w:r>
        <w:rPr>
          <w:spacing w:val="-13"/>
        </w:rPr>
        <w:t> </w:t>
      </w:r>
      <w:r>
        <w:rPr/>
        <w:t>the </w:t>
      </w:r>
      <w:r>
        <w:rPr>
          <w:spacing w:val="-2"/>
        </w:rPr>
        <w:t>country</w:t>
      </w:r>
      <w:r>
        <w:rPr>
          <w:spacing w:val="-12"/>
        </w:rPr>
        <w:t> </w:t>
      </w:r>
      <w:r>
        <w:rPr>
          <w:spacing w:val="-2"/>
        </w:rPr>
        <w:t>varies</w:t>
      </w:r>
      <w:r>
        <w:rPr>
          <w:spacing w:val="-12"/>
        </w:rPr>
        <w:t> </w:t>
      </w:r>
      <w:r>
        <w:rPr>
          <w:spacing w:val="-2"/>
        </w:rPr>
        <w:t>widely.</w:t>
      </w:r>
      <w:r>
        <w:rPr>
          <w:spacing w:val="-12"/>
        </w:rPr>
        <w:t> </w:t>
      </w:r>
      <w:r>
        <w:rPr>
          <w:spacing w:val="-2"/>
        </w:rPr>
        <w:t>Many</w:t>
      </w:r>
      <w:r>
        <w:rPr>
          <w:spacing w:val="-11"/>
        </w:rPr>
        <w:t> </w:t>
      </w:r>
      <w:r>
        <w:rPr>
          <w:spacing w:val="-2"/>
        </w:rPr>
        <w:t>meritorious</w:t>
      </w:r>
      <w:r>
        <w:rPr>
          <w:spacing w:val="-12"/>
        </w:rPr>
        <w:t> </w:t>
      </w:r>
      <w:r>
        <w:rPr>
          <w:spacing w:val="-2"/>
        </w:rPr>
        <w:t>students</w:t>
      </w:r>
      <w:r>
        <w:rPr>
          <w:spacing w:val="-12"/>
        </w:rPr>
        <w:t> </w:t>
      </w:r>
      <w:r>
        <w:rPr>
          <w:spacing w:val="-2"/>
        </w:rPr>
        <w:t>have </w:t>
      </w:r>
      <w:r>
        <w:rPr/>
        <w:t>no</w:t>
      </w:r>
      <w:r>
        <w:rPr>
          <w:spacing w:val="-14"/>
        </w:rPr>
        <w:t> </w:t>
      </w:r>
      <w:r>
        <w:rPr/>
        <w:t>access</w:t>
      </w:r>
      <w:r>
        <w:rPr>
          <w:spacing w:val="-14"/>
        </w:rPr>
        <w:t> </w:t>
      </w:r>
      <w:r>
        <w:rPr/>
        <w:t>to</w:t>
      </w:r>
      <w:r>
        <w:rPr>
          <w:spacing w:val="-14"/>
        </w:rPr>
        <w:t> </w:t>
      </w:r>
      <w:r>
        <w:rPr/>
        <w:t>quality</w:t>
      </w:r>
      <w:r>
        <w:rPr>
          <w:spacing w:val="-13"/>
        </w:rPr>
        <w:t> </w:t>
      </w:r>
      <w:r>
        <w:rPr/>
        <w:t>education.</w:t>
      </w:r>
      <w:r>
        <w:rPr>
          <w:spacing w:val="-14"/>
        </w:rPr>
        <w:t> </w:t>
      </w:r>
      <w:r>
        <w:rPr/>
        <w:t>There</w:t>
      </w:r>
      <w:r>
        <w:rPr>
          <w:spacing w:val="-14"/>
        </w:rPr>
        <w:t> </w:t>
      </w:r>
      <w:r>
        <w:rPr/>
        <w:t>is</w:t>
      </w:r>
      <w:r>
        <w:rPr>
          <w:spacing w:val="-14"/>
        </w:rPr>
        <w:t> </w:t>
      </w:r>
      <w:r>
        <w:rPr/>
        <w:t>a</w:t>
      </w:r>
      <w:r>
        <w:rPr>
          <w:spacing w:val="-13"/>
        </w:rPr>
        <w:t> </w:t>
      </w:r>
      <w:r>
        <w:rPr/>
        <w:t>large</w:t>
      </w:r>
      <w:r>
        <w:rPr>
          <w:spacing w:val="-14"/>
        </w:rPr>
        <w:t> </w:t>
      </w:r>
      <w:r>
        <w:rPr/>
        <w:t>section </w:t>
      </w:r>
      <w:r>
        <w:rPr>
          <w:spacing w:val="-2"/>
        </w:rPr>
        <w:t>of</w:t>
      </w:r>
      <w:r>
        <w:rPr>
          <w:spacing w:val="-5"/>
        </w:rPr>
        <w:t> </w:t>
      </w:r>
      <w:r>
        <w:rPr>
          <w:spacing w:val="-2"/>
        </w:rPr>
        <w:t>student</w:t>
      </w:r>
      <w:r>
        <w:rPr>
          <w:spacing w:val="-5"/>
        </w:rPr>
        <w:t> </w:t>
      </w:r>
      <w:r>
        <w:rPr>
          <w:spacing w:val="-2"/>
        </w:rPr>
        <w:t>population</w:t>
      </w:r>
      <w:r>
        <w:rPr>
          <w:spacing w:val="-5"/>
        </w:rPr>
        <w:t> </w:t>
      </w:r>
      <w:r>
        <w:rPr>
          <w:spacing w:val="-2"/>
        </w:rPr>
        <w:t>which</w:t>
      </w:r>
      <w:r>
        <w:rPr>
          <w:spacing w:val="-5"/>
        </w:rPr>
        <w:t> </w:t>
      </w:r>
      <w:r>
        <w:rPr>
          <w:spacing w:val="-2"/>
        </w:rPr>
        <w:t>receives</w:t>
      </w:r>
      <w:r>
        <w:rPr>
          <w:spacing w:val="-5"/>
        </w:rPr>
        <w:t> </w:t>
      </w:r>
      <w:r>
        <w:rPr>
          <w:spacing w:val="-2"/>
        </w:rPr>
        <w:t>school</w:t>
      </w:r>
      <w:r>
        <w:rPr>
          <w:spacing w:val="-5"/>
        </w:rPr>
        <w:t> </w:t>
      </w:r>
      <w:r>
        <w:rPr>
          <w:spacing w:val="-2"/>
        </w:rPr>
        <w:t>education in</w:t>
      </w:r>
      <w:r>
        <w:rPr>
          <w:spacing w:val="-12"/>
        </w:rPr>
        <w:t> </w:t>
      </w:r>
      <w:r>
        <w:rPr>
          <w:spacing w:val="-2"/>
        </w:rPr>
        <w:t>local</w:t>
      </w:r>
      <w:r>
        <w:rPr>
          <w:spacing w:val="-12"/>
        </w:rPr>
        <w:t> </w:t>
      </w:r>
      <w:r>
        <w:rPr>
          <w:spacing w:val="-2"/>
        </w:rPr>
        <w:t>languages.</w:t>
      </w:r>
      <w:r>
        <w:rPr>
          <w:spacing w:val="-12"/>
        </w:rPr>
        <w:t> </w:t>
      </w:r>
      <w:r>
        <w:rPr>
          <w:spacing w:val="-2"/>
        </w:rPr>
        <w:t>These</w:t>
      </w:r>
      <w:r>
        <w:rPr>
          <w:spacing w:val="-11"/>
        </w:rPr>
        <w:t> </w:t>
      </w:r>
      <w:r>
        <w:rPr>
          <w:spacing w:val="-2"/>
        </w:rPr>
        <w:t>students</w:t>
      </w:r>
      <w:r>
        <w:rPr>
          <w:spacing w:val="-12"/>
        </w:rPr>
        <w:t> </w:t>
      </w:r>
      <w:r>
        <w:rPr>
          <w:spacing w:val="-2"/>
        </w:rPr>
        <w:t>do</w:t>
      </w:r>
      <w:r>
        <w:rPr>
          <w:spacing w:val="-12"/>
        </w:rPr>
        <w:t> </w:t>
      </w:r>
      <w:r>
        <w:rPr>
          <w:spacing w:val="-2"/>
        </w:rPr>
        <w:t>wonderfully</w:t>
      </w:r>
      <w:r>
        <w:rPr>
          <w:spacing w:val="-12"/>
        </w:rPr>
        <w:t> </w:t>
      </w:r>
      <w:r>
        <w:rPr>
          <w:spacing w:val="-2"/>
        </w:rPr>
        <w:t>well </w:t>
      </w:r>
      <w:r>
        <w:rPr/>
        <w:t>in</w:t>
      </w:r>
      <w:r>
        <w:rPr>
          <w:spacing w:val="-14"/>
        </w:rPr>
        <w:t> </w:t>
      </w:r>
      <w:r>
        <w:rPr/>
        <w:t>the</w:t>
      </w:r>
      <w:r>
        <w:rPr>
          <w:spacing w:val="-14"/>
        </w:rPr>
        <w:t> </w:t>
      </w:r>
      <w:r>
        <w:rPr/>
        <w:t>sciences</w:t>
      </w:r>
      <w:r>
        <w:rPr>
          <w:spacing w:val="-14"/>
        </w:rPr>
        <w:t> </w:t>
      </w:r>
      <w:r>
        <w:rPr/>
        <w:t>till</w:t>
      </w:r>
      <w:r>
        <w:rPr>
          <w:spacing w:val="-13"/>
        </w:rPr>
        <w:t> </w:t>
      </w:r>
      <w:r>
        <w:rPr/>
        <w:t>graduate</w:t>
      </w:r>
      <w:r>
        <w:rPr>
          <w:spacing w:val="-14"/>
        </w:rPr>
        <w:t> </w:t>
      </w:r>
      <w:r>
        <w:rPr/>
        <w:t>level</w:t>
      </w:r>
      <w:r>
        <w:rPr>
          <w:spacing w:val="-14"/>
        </w:rPr>
        <w:t> </w:t>
      </w:r>
      <w:r>
        <w:rPr/>
        <w:t>where</w:t>
      </w:r>
      <w:r>
        <w:rPr>
          <w:spacing w:val="-14"/>
        </w:rPr>
        <w:t> </w:t>
      </w:r>
      <w:r>
        <w:rPr/>
        <w:t>the</w:t>
      </w:r>
      <w:r>
        <w:rPr>
          <w:spacing w:val="-13"/>
        </w:rPr>
        <w:t> </w:t>
      </w:r>
      <w:r>
        <w:rPr/>
        <w:t>medium</w:t>
      </w:r>
      <w:r>
        <w:rPr>
          <w:spacing w:val="-14"/>
        </w:rPr>
        <w:t> </w:t>
      </w:r>
      <w:r>
        <w:rPr/>
        <w:t>of </w:t>
      </w:r>
      <w:r>
        <w:rPr>
          <w:spacing w:val="-4"/>
        </w:rPr>
        <w:t>instruction</w:t>
      </w:r>
      <w:r>
        <w:rPr>
          <w:spacing w:val="-10"/>
        </w:rPr>
        <w:t> </w:t>
      </w:r>
      <w:r>
        <w:rPr>
          <w:spacing w:val="-4"/>
        </w:rPr>
        <w:t>remains</w:t>
      </w:r>
      <w:r>
        <w:rPr>
          <w:spacing w:val="-10"/>
        </w:rPr>
        <w:t> </w:t>
      </w:r>
      <w:r>
        <w:rPr>
          <w:spacing w:val="-4"/>
        </w:rPr>
        <w:t>vernacular.</w:t>
      </w:r>
      <w:r>
        <w:rPr>
          <w:spacing w:val="-10"/>
        </w:rPr>
        <w:t> </w:t>
      </w:r>
      <w:r>
        <w:rPr>
          <w:spacing w:val="-4"/>
        </w:rPr>
        <w:t>But</w:t>
      </w:r>
      <w:r>
        <w:rPr>
          <w:spacing w:val="-9"/>
        </w:rPr>
        <w:t> </w:t>
      </w:r>
      <w:r>
        <w:rPr>
          <w:spacing w:val="-4"/>
        </w:rPr>
        <w:t>at</w:t>
      </w:r>
      <w:r>
        <w:rPr>
          <w:spacing w:val="-10"/>
        </w:rPr>
        <w:t> </w:t>
      </w:r>
      <w:r>
        <w:rPr>
          <w:spacing w:val="-4"/>
        </w:rPr>
        <w:t>post</w:t>
      </w:r>
      <w:r>
        <w:rPr>
          <w:spacing w:val="-10"/>
        </w:rPr>
        <w:t> </w:t>
      </w:r>
      <w:r>
        <w:rPr>
          <w:spacing w:val="-4"/>
        </w:rPr>
        <w:t>graduate</w:t>
      </w:r>
      <w:r>
        <w:rPr>
          <w:spacing w:val="-10"/>
        </w:rPr>
        <w:t> </w:t>
      </w:r>
      <w:r>
        <w:rPr>
          <w:spacing w:val="-4"/>
        </w:rPr>
        <w:t>and </w:t>
      </w:r>
      <w:r>
        <w:rPr>
          <w:w w:val="90"/>
        </w:rPr>
        <w:t>higher</w:t>
      </w:r>
      <w:r>
        <w:rPr>
          <w:spacing w:val="-7"/>
          <w:w w:val="90"/>
        </w:rPr>
        <w:t> </w:t>
      </w:r>
      <w:r>
        <w:rPr>
          <w:w w:val="90"/>
        </w:rPr>
        <w:t>levels</w:t>
      </w:r>
      <w:r>
        <w:rPr>
          <w:spacing w:val="-7"/>
          <w:w w:val="90"/>
        </w:rPr>
        <w:t> </w:t>
      </w:r>
      <w:r>
        <w:rPr>
          <w:w w:val="90"/>
        </w:rPr>
        <w:t>because</w:t>
      </w:r>
      <w:r>
        <w:rPr>
          <w:spacing w:val="-6"/>
          <w:w w:val="90"/>
        </w:rPr>
        <w:t> </w:t>
      </w:r>
      <w:r>
        <w:rPr>
          <w:w w:val="90"/>
        </w:rPr>
        <w:t>of</w:t>
      </w:r>
      <w:r>
        <w:rPr>
          <w:spacing w:val="-7"/>
          <w:w w:val="90"/>
        </w:rPr>
        <w:t> </w:t>
      </w:r>
      <w:r>
        <w:rPr>
          <w:w w:val="90"/>
        </w:rPr>
        <w:t>the</w:t>
      </w:r>
      <w:r>
        <w:rPr>
          <w:spacing w:val="-6"/>
          <w:w w:val="90"/>
        </w:rPr>
        <w:t> </w:t>
      </w:r>
      <w:r>
        <w:rPr>
          <w:w w:val="90"/>
        </w:rPr>
        <w:t>monopoly</w:t>
      </w:r>
      <w:r>
        <w:rPr>
          <w:spacing w:val="-7"/>
          <w:w w:val="90"/>
        </w:rPr>
        <w:t> </w:t>
      </w:r>
      <w:r>
        <w:rPr>
          <w:w w:val="90"/>
        </w:rPr>
        <w:t>of</w:t>
      </w:r>
      <w:r>
        <w:rPr>
          <w:spacing w:val="-6"/>
          <w:w w:val="90"/>
        </w:rPr>
        <w:t> </w:t>
      </w:r>
      <w:r>
        <w:rPr>
          <w:w w:val="90"/>
        </w:rPr>
        <w:t>English</w:t>
      </w:r>
      <w:r>
        <w:rPr>
          <w:spacing w:val="-7"/>
          <w:w w:val="90"/>
        </w:rPr>
        <w:t> </w:t>
      </w:r>
      <w:r>
        <w:rPr>
          <w:spacing w:val="-2"/>
          <w:w w:val="90"/>
        </w:rPr>
        <w:t>language</w:t>
      </w:r>
    </w:p>
    <w:p>
      <w:pPr>
        <w:pStyle w:val="BodyText"/>
        <w:spacing w:line="266" w:lineRule="auto" w:before="57"/>
        <w:ind w:left="319" w:right="1077"/>
        <w:jc w:val="both"/>
      </w:pPr>
      <w:r>
        <w:rPr/>
        <w:br w:type="column"/>
      </w:r>
      <w:r>
        <w:rPr>
          <w:spacing w:val="-2"/>
        </w:rPr>
        <w:t>in</w:t>
      </w:r>
      <w:r>
        <w:rPr>
          <w:spacing w:val="-9"/>
        </w:rPr>
        <w:t> </w:t>
      </w:r>
      <w:r>
        <w:rPr>
          <w:spacing w:val="-2"/>
        </w:rPr>
        <w:t>science</w:t>
      </w:r>
      <w:r>
        <w:rPr>
          <w:spacing w:val="-7"/>
        </w:rPr>
        <w:t> </w:t>
      </w:r>
      <w:r>
        <w:rPr>
          <w:spacing w:val="-2"/>
        </w:rPr>
        <w:t>education,</w:t>
      </w:r>
      <w:r>
        <w:rPr>
          <w:spacing w:val="-7"/>
        </w:rPr>
        <w:t> </w:t>
      </w:r>
      <w:r>
        <w:rPr>
          <w:spacing w:val="-2"/>
        </w:rPr>
        <w:t>they</w:t>
      </w:r>
      <w:r>
        <w:rPr>
          <w:spacing w:val="-7"/>
        </w:rPr>
        <w:t> </w:t>
      </w:r>
      <w:r>
        <w:rPr>
          <w:spacing w:val="-2"/>
        </w:rPr>
        <w:t>face</w:t>
      </w:r>
      <w:r>
        <w:rPr>
          <w:spacing w:val="-7"/>
        </w:rPr>
        <w:t> </w:t>
      </w:r>
      <w:r>
        <w:rPr>
          <w:spacing w:val="-2"/>
        </w:rPr>
        <w:t>serious</w:t>
      </w:r>
      <w:r>
        <w:rPr>
          <w:spacing w:val="-7"/>
        </w:rPr>
        <w:t> </w:t>
      </w:r>
      <w:r>
        <w:rPr>
          <w:spacing w:val="-2"/>
        </w:rPr>
        <w:t>problems.</w:t>
      </w:r>
      <w:r>
        <w:rPr>
          <w:spacing w:val="-12"/>
        </w:rPr>
        <w:t> </w:t>
      </w:r>
      <w:r>
        <w:rPr>
          <w:spacing w:val="-2"/>
        </w:rPr>
        <w:t>They </w:t>
      </w:r>
      <w:r>
        <w:rPr/>
        <w:t>have</w:t>
      </w:r>
      <w:r>
        <w:rPr>
          <w:spacing w:val="-11"/>
        </w:rPr>
        <w:t> </w:t>
      </w:r>
      <w:r>
        <w:rPr/>
        <w:t>to</w:t>
      </w:r>
      <w:r>
        <w:rPr>
          <w:spacing w:val="-11"/>
        </w:rPr>
        <w:t> </w:t>
      </w:r>
      <w:r>
        <w:rPr/>
        <w:t>put</w:t>
      </w:r>
      <w:r>
        <w:rPr>
          <w:spacing w:val="-11"/>
        </w:rPr>
        <w:t> </w:t>
      </w:r>
      <w:r>
        <w:rPr/>
        <w:t>a</w:t>
      </w:r>
      <w:r>
        <w:rPr>
          <w:spacing w:val="-11"/>
        </w:rPr>
        <w:t> </w:t>
      </w:r>
      <w:r>
        <w:rPr/>
        <w:t>lot</w:t>
      </w:r>
      <w:r>
        <w:rPr>
          <w:spacing w:val="-11"/>
        </w:rPr>
        <w:t> </w:t>
      </w:r>
      <w:r>
        <w:rPr/>
        <w:t>more</w:t>
      </w:r>
      <w:r>
        <w:rPr>
          <w:spacing w:val="-11"/>
        </w:rPr>
        <w:t> </w:t>
      </w:r>
      <w:r>
        <w:rPr/>
        <w:t>effort</w:t>
      </w:r>
      <w:r>
        <w:rPr>
          <w:spacing w:val="-11"/>
        </w:rPr>
        <w:t> </w:t>
      </w:r>
      <w:r>
        <w:rPr/>
        <w:t>to</w:t>
      </w:r>
      <w:r>
        <w:rPr>
          <w:spacing w:val="-11"/>
        </w:rPr>
        <w:t> </w:t>
      </w:r>
      <w:r>
        <w:rPr/>
        <w:t>understand</w:t>
      </w:r>
      <w:r>
        <w:rPr>
          <w:spacing w:val="-11"/>
        </w:rPr>
        <w:t> </w:t>
      </w:r>
      <w:r>
        <w:rPr/>
        <w:t>concepts</w:t>
      </w:r>
      <w:r>
        <w:rPr>
          <w:spacing w:val="-11"/>
        </w:rPr>
        <w:t> </w:t>
      </w:r>
      <w:r>
        <w:rPr/>
        <w:t>in the</w:t>
      </w:r>
      <w:r>
        <w:rPr>
          <w:spacing w:val="-13"/>
        </w:rPr>
        <w:t> </w:t>
      </w:r>
      <w:r>
        <w:rPr/>
        <w:t>English</w:t>
      </w:r>
      <w:r>
        <w:rPr>
          <w:spacing w:val="-13"/>
        </w:rPr>
        <w:t> </w:t>
      </w:r>
      <w:r>
        <w:rPr/>
        <w:t>language</w:t>
      </w:r>
      <w:r>
        <w:rPr>
          <w:spacing w:val="-13"/>
        </w:rPr>
        <w:t> </w:t>
      </w:r>
      <w:r>
        <w:rPr/>
        <w:t>at</w:t>
      </w:r>
      <w:r>
        <w:rPr>
          <w:spacing w:val="-13"/>
        </w:rPr>
        <w:t> </w:t>
      </w:r>
      <w:r>
        <w:rPr/>
        <w:t>a</w:t>
      </w:r>
      <w:r>
        <w:rPr>
          <w:spacing w:val="-13"/>
        </w:rPr>
        <w:t> </w:t>
      </w:r>
      <w:r>
        <w:rPr/>
        <w:t>higher</w:t>
      </w:r>
      <w:r>
        <w:rPr>
          <w:spacing w:val="-13"/>
        </w:rPr>
        <w:t> </w:t>
      </w:r>
      <w:r>
        <w:rPr/>
        <w:t>level;</w:t>
      </w:r>
      <w:r>
        <w:rPr>
          <w:spacing w:val="-13"/>
        </w:rPr>
        <w:t> </w:t>
      </w:r>
      <w:r>
        <w:rPr/>
        <w:t>often</w:t>
      </w:r>
      <w:r>
        <w:rPr>
          <w:spacing w:val="-13"/>
        </w:rPr>
        <w:t> </w:t>
      </w:r>
      <w:r>
        <w:rPr/>
        <w:t>making</w:t>
      </w:r>
      <w:r>
        <w:rPr>
          <w:spacing w:val="-13"/>
        </w:rPr>
        <w:t> </w:t>
      </w:r>
      <w:r>
        <w:rPr/>
        <w:t>it difficult to cope with the course work.</w:t>
      </w:r>
    </w:p>
    <w:p>
      <w:pPr>
        <w:pStyle w:val="BodyText"/>
        <w:spacing w:before="24"/>
      </w:pPr>
    </w:p>
    <w:p>
      <w:pPr>
        <w:pStyle w:val="ListParagraph"/>
        <w:numPr>
          <w:ilvl w:val="1"/>
          <w:numId w:val="41"/>
        </w:numPr>
        <w:tabs>
          <w:tab w:pos="644" w:val="left" w:leader="none"/>
        </w:tabs>
        <w:spacing w:line="266" w:lineRule="auto" w:before="0" w:after="0"/>
        <w:ind w:left="319" w:right="1077" w:firstLine="0"/>
        <w:jc w:val="both"/>
        <w:rPr>
          <w:sz w:val="22"/>
        </w:rPr>
      </w:pPr>
      <w:r>
        <w:rPr>
          <w:b/>
          <w:w w:val="90"/>
          <w:sz w:val="22"/>
        </w:rPr>
        <w:t>Study material: </w:t>
      </w:r>
      <w:r>
        <w:rPr>
          <w:w w:val="90"/>
          <w:sz w:val="22"/>
        </w:rPr>
        <w:t>The current study material available </w:t>
      </w:r>
      <w:r>
        <w:rPr>
          <w:sz w:val="22"/>
        </w:rPr>
        <w:t>at bachelor’s and post graduate courses in science </w:t>
      </w:r>
      <w:r>
        <w:rPr>
          <w:sz w:val="22"/>
        </w:rPr>
        <w:t>is limited and does not promote or enable self learning for</w:t>
      </w:r>
      <w:r>
        <w:rPr>
          <w:spacing w:val="-5"/>
          <w:sz w:val="22"/>
        </w:rPr>
        <w:t> </w:t>
      </w:r>
      <w:r>
        <w:rPr>
          <w:sz w:val="22"/>
        </w:rPr>
        <w:t>students.</w:t>
      </w:r>
      <w:r>
        <w:rPr>
          <w:spacing w:val="-5"/>
          <w:sz w:val="22"/>
        </w:rPr>
        <w:t> </w:t>
      </w:r>
      <w:r>
        <w:rPr>
          <w:sz w:val="22"/>
        </w:rPr>
        <w:t>Self</w:t>
      </w:r>
      <w:r>
        <w:rPr>
          <w:spacing w:val="-5"/>
          <w:sz w:val="22"/>
        </w:rPr>
        <w:t> </w:t>
      </w:r>
      <w:r>
        <w:rPr>
          <w:sz w:val="22"/>
        </w:rPr>
        <w:t>learning</w:t>
      </w:r>
      <w:r>
        <w:rPr>
          <w:spacing w:val="-5"/>
          <w:sz w:val="22"/>
        </w:rPr>
        <w:t> </w:t>
      </w:r>
      <w:r>
        <w:rPr>
          <w:sz w:val="22"/>
        </w:rPr>
        <w:t>aids</w:t>
      </w:r>
      <w:r>
        <w:rPr>
          <w:spacing w:val="-5"/>
          <w:sz w:val="22"/>
        </w:rPr>
        <w:t> </w:t>
      </w:r>
      <w:r>
        <w:rPr>
          <w:sz w:val="22"/>
        </w:rPr>
        <w:t>will</w:t>
      </w:r>
      <w:r>
        <w:rPr>
          <w:spacing w:val="-5"/>
          <w:sz w:val="22"/>
        </w:rPr>
        <w:t> </w:t>
      </w:r>
      <w:r>
        <w:rPr>
          <w:sz w:val="22"/>
        </w:rPr>
        <w:t>increase</w:t>
      </w:r>
      <w:r>
        <w:rPr>
          <w:spacing w:val="-5"/>
          <w:sz w:val="22"/>
        </w:rPr>
        <w:t> </w:t>
      </w:r>
      <w:r>
        <w:rPr>
          <w:sz w:val="22"/>
        </w:rPr>
        <w:t>access</w:t>
      </w:r>
      <w:r>
        <w:rPr>
          <w:spacing w:val="-5"/>
          <w:sz w:val="22"/>
        </w:rPr>
        <w:t> </w:t>
      </w:r>
      <w:r>
        <w:rPr>
          <w:sz w:val="22"/>
        </w:rPr>
        <w:t>to quality education and hence should be promoted. </w:t>
      </w:r>
      <w:r>
        <w:rPr>
          <w:spacing w:val="-6"/>
          <w:sz w:val="22"/>
        </w:rPr>
        <w:t>Internationally available courses in different streams can </w:t>
      </w:r>
      <w:r>
        <w:rPr>
          <w:spacing w:val="-2"/>
          <w:sz w:val="22"/>
        </w:rPr>
        <w:t>be</w:t>
      </w:r>
      <w:r>
        <w:rPr>
          <w:spacing w:val="-12"/>
          <w:sz w:val="22"/>
        </w:rPr>
        <w:t> </w:t>
      </w:r>
      <w:r>
        <w:rPr>
          <w:spacing w:val="-2"/>
          <w:sz w:val="22"/>
        </w:rPr>
        <w:t>adapted</w:t>
      </w:r>
      <w:r>
        <w:rPr>
          <w:spacing w:val="-12"/>
          <w:sz w:val="22"/>
        </w:rPr>
        <w:t> </w:t>
      </w:r>
      <w:r>
        <w:rPr>
          <w:spacing w:val="-2"/>
          <w:sz w:val="22"/>
        </w:rPr>
        <w:t>for</w:t>
      </w:r>
      <w:r>
        <w:rPr>
          <w:spacing w:val="-12"/>
          <w:sz w:val="22"/>
        </w:rPr>
        <w:t> </w:t>
      </w:r>
      <w:r>
        <w:rPr>
          <w:spacing w:val="-2"/>
          <w:sz w:val="22"/>
        </w:rPr>
        <w:t>local</w:t>
      </w:r>
      <w:r>
        <w:rPr>
          <w:spacing w:val="-11"/>
          <w:sz w:val="22"/>
        </w:rPr>
        <w:t> </w:t>
      </w:r>
      <w:r>
        <w:rPr>
          <w:spacing w:val="-2"/>
          <w:sz w:val="22"/>
        </w:rPr>
        <w:t>use.</w:t>
      </w:r>
      <w:r>
        <w:rPr>
          <w:spacing w:val="-12"/>
          <w:sz w:val="22"/>
        </w:rPr>
        <w:t> </w:t>
      </w:r>
      <w:r>
        <w:rPr>
          <w:spacing w:val="-2"/>
          <w:sz w:val="22"/>
        </w:rPr>
        <w:t>Incentives</w:t>
      </w:r>
      <w:r>
        <w:rPr>
          <w:spacing w:val="-12"/>
          <w:sz w:val="22"/>
        </w:rPr>
        <w:t> </w:t>
      </w:r>
      <w:r>
        <w:rPr>
          <w:spacing w:val="-2"/>
          <w:sz w:val="22"/>
        </w:rPr>
        <w:t>for</w:t>
      </w:r>
      <w:r>
        <w:rPr>
          <w:spacing w:val="-12"/>
          <w:sz w:val="22"/>
        </w:rPr>
        <w:t> </w:t>
      </w:r>
      <w:r>
        <w:rPr>
          <w:spacing w:val="-2"/>
          <w:sz w:val="22"/>
        </w:rPr>
        <w:t>people</w:t>
      </w:r>
      <w:r>
        <w:rPr>
          <w:spacing w:val="-11"/>
          <w:sz w:val="22"/>
        </w:rPr>
        <w:t> </w:t>
      </w:r>
      <w:r>
        <w:rPr>
          <w:spacing w:val="-2"/>
          <w:sz w:val="22"/>
        </w:rPr>
        <w:t>to</w:t>
      </w:r>
      <w:r>
        <w:rPr>
          <w:spacing w:val="-12"/>
          <w:sz w:val="22"/>
        </w:rPr>
        <w:t> </w:t>
      </w:r>
      <w:r>
        <w:rPr>
          <w:spacing w:val="-2"/>
          <w:sz w:val="22"/>
        </w:rPr>
        <w:t>create </w:t>
      </w:r>
      <w:r>
        <w:rPr>
          <w:sz w:val="22"/>
        </w:rPr>
        <w:t>such</w:t>
      </w:r>
      <w:r>
        <w:rPr>
          <w:spacing w:val="-1"/>
          <w:sz w:val="22"/>
        </w:rPr>
        <w:t> </w:t>
      </w:r>
      <w:r>
        <w:rPr>
          <w:sz w:val="22"/>
        </w:rPr>
        <w:t>material</w:t>
      </w:r>
      <w:r>
        <w:rPr>
          <w:spacing w:val="-1"/>
          <w:sz w:val="22"/>
        </w:rPr>
        <w:t> </w:t>
      </w:r>
      <w:r>
        <w:rPr>
          <w:sz w:val="22"/>
        </w:rPr>
        <w:t>in</w:t>
      </w:r>
      <w:r>
        <w:rPr>
          <w:spacing w:val="-1"/>
          <w:sz w:val="22"/>
        </w:rPr>
        <w:t> </w:t>
      </w:r>
      <w:r>
        <w:rPr>
          <w:sz w:val="22"/>
        </w:rPr>
        <w:t>academia</w:t>
      </w:r>
      <w:r>
        <w:rPr>
          <w:spacing w:val="-1"/>
          <w:sz w:val="22"/>
        </w:rPr>
        <w:t> </w:t>
      </w:r>
      <w:r>
        <w:rPr>
          <w:sz w:val="22"/>
        </w:rPr>
        <w:t>should</w:t>
      </w:r>
      <w:r>
        <w:rPr>
          <w:spacing w:val="-1"/>
          <w:sz w:val="22"/>
        </w:rPr>
        <w:t> </w:t>
      </w:r>
      <w:r>
        <w:rPr>
          <w:sz w:val="22"/>
        </w:rPr>
        <w:t>be</w:t>
      </w:r>
      <w:r>
        <w:rPr>
          <w:spacing w:val="-1"/>
          <w:sz w:val="22"/>
        </w:rPr>
        <w:t> </w:t>
      </w:r>
      <w:r>
        <w:rPr>
          <w:sz w:val="22"/>
        </w:rPr>
        <w:t>provided</w:t>
      </w:r>
      <w:r>
        <w:rPr>
          <w:spacing w:val="-1"/>
          <w:sz w:val="22"/>
        </w:rPr>
        <w:t> </w:t>
      </w:r>
      <w:r>
        <w:rPr>
          <w:sz w:val="22"/>
        </w:rPr>
        <w:t>so</w:t>
      </w:r>
      <w:r>
        <w:rPr>
          <w:spacing w:val="-1"/>
          <w:sz w:val="22"/>
        </w:rPr>
        <w:t> </w:t>
      </w:r>
      <w:r>
        <w:rPr>
          <w:sz w:val="22"/>
        </w:rPr>
        <w:t>that people</w:t>
      </w:r>
      <w:r>
        <w:rPr>
          <w:spacing w:val="-16"/>
          <w:sz w:val="22"/>
        </w:rPr>
        <w:t> </w:t>
      </w:r>
      <w:r>
        <w:rPr>
          <w:sz w:val="22"/>
        </w:rPr>
        <w:t>are</w:t>
      </w:r>
      <w:r>
        <w:rPr>
          <w:spacing w:val="-14"/>
          <w:sz w:val="22"/>
        </w:rPr>
        <w:t> </w:t>
      </w:r>
      <w:r>
        <w:rPr>
          <w:sz w:val="22"/>
        </w:rPr>
        <w:t>encouraged</w:t>
      </w:r>
      <w:r>
        <w:rPr>
          <w:spacing w:val="-14"/>
          <w:sz w:val="22"/>
        </w:rPr>
        <w:t> </w:t>
      </w:r>
      <w:r>
        <w:rPr>
          <w:sz w:val="22"/>
        </w:rPr>
        <w:t>to</w:t>
      </w:r>
      <w:r>
        <w:rPr>
          <w:spacing w:val="-13"/>
          <w:sz w:val="22"/>
        </w:rPr>
        <w:t> </w:t>
      </w:r>
      <w:r>
        <w:rPr>
          <w:sz w:val="22"/>
        </w:rPr>
        <w:t>take</w:t>
      </w:r>
      <w:r>
        <w:rPr>
          <w:spacing w:val="-14"/>
          <w:sz w:val="22"/>
        </w:rPr>
        <w:t> </w:t>
      </w:r>
      <w:r>
        <w:rPr>
          <w:sz w:val="22"/>
        </w:rPr>
        <w:t>up</w:t>
      </w:r>
      <w:r>
        <w:rPr>
          <w:spacing w:val="-14"/>
          <w:sz w:val="22"/>
        </w:rPr>
        <w:t> </w:t>
      </w:r>
      <w:r>
        <w:rPr>
          <w:sz w:val="22"/>
        </w:rPr>
        <w:t>such</w:t>
      </w:r>
      <w:r>
        <w:rPr>
          <w:spacing w:val="-14"/>
          <w:sz w:val="22"/>
        </w:rPr>
        <w:t> </w:t>
      </w:r>
      <w:r>
        <w:rPr>
          <w:sz w:val="22"/>
        </w:rPr>
        <w:t>work</w:t>
      </w:r>
      <w:r>
        <w:rPr>
          <w:spacing w:val="-13"/>
          <w:sz w:val="22"/>
        </w:rPr>
        <w:t> </w:t>
      </w:r>
      <w:r>
        <w:rPr>
          <w:sz w:val="22"/>
        </w:rPr>
        <w:t>willingly. Further,</w:t>
      </w:r>
      <w:r>
        <w:rPr>
          <w:spacing w:val="-12"/>
          <w:sz w:val="22"/>
        </w:rPr>
        <w:t> </w:t>
      </w:r>
      <w:r>
        <w:rPr>
          <w:sz w:val="22"/>
        </w:rPr>
        <w:t>lectures</w:t>
      </w:r>
      <w:r>
        <w:rPr>
          <w:spacing w:val="-12"/>
          <w:sz w:val="22"/>
        </w:rPr>
        <w:t> </w:t>
      </w:r>
      <w:r>
        <w:rPr>
          <w:sz w:val="22"/>
        </w:rPr>
        <w:t>of</w:t>
      </w:r>
      <w:r>
        <w:rPr>
          <w:spacing w:val="-12"/>
          <w:sz w:val="22"/>
        </w:rPr>
        <w:t> </w:t>
      </w:r>
      <w:r>
        <w:rPr>
          <w:sz w:val="22"/>
        </w:rPr>
        <w:t>teachers</w:t>
      </w:r>
      <w:r>
        <w:rPr>
          <w:spacing w:val="-12"/>
          <w:sz w:val="22"/>
        </w:rPr>
        <w:t> </w:t>
      </w:r>
      <w:r>
        <w:rPr>
          <w:sz w:val="22"/>
        </w:rPr>
        <w:t>reputed</w:t>
      </w:r>
      <w:r>
        <w:rPr>
          <w:spacing w:val="-12"/>
          <w:sz w:val="22"/>
        </w:rPr>
        <w:t> </w:t>
      </w:r>
      <w:r>
        <w:rPr>
          <w:sz w:val="22"/>
        </w:rPr>
        <w:t>for</w:t>
      </w:r>
      <w:r>
        <w:rPr>
          <w:spacing w:val="-12"/>
          <w:sz w:val="22"/>
        </w:rPr>
        <w:t> </w:t>
      </w:r>
      <w:r>
        <w:rPr>
          <w:sz w:val="22"/>
        </w:rPr>
        <w:t>their</w:t>
      </w:r>
      <w:r>
        <w:rPr>
          <w:spacing w:val="-12"/>
          <w:sz w:val="22"/>
        </w:rPr>
        <w:t> </w:t>
      </w:r>
      <w:r>
        <w:rPr>
          <w:sz w:val="22"/>
        </w:rPr>
        <w:t>teaching should be recorded and disseminated all over the country,</w:t>
      </w:r>
      <w:r>
        <w:rPr>
          <w:spacing w:val="-14"/>
          <w:sz w:val="22"/>
        </w:rPr>
        <w:t> </w:t>
      </w:r>
      <w:r>
        <w:rPr>
          <w:sz w:val="22"/>
        </w:rPr>
        <w:t>enabling</w:t>
      </w:r>
      <w:r>
        <w:rPr>
          <w:spacing w:val="-14"/>
          <w:sz w:val="22"/>
        </w:rPr>
        <w:t> </w:t>
      </w:r>
      <w:r>
        <w:rPr>
          <w:sz w:val="22"/>
        </w:rPr>
        <w:t>students</w:t>
      </w:r>
      <w:r>
        <w:rPr>
          <w:spacing w:val="-14"/>
          <w:sz w:val="22"/>
        </w:rPr>
        <w:t> </w:t>
      </w:r>
      <w:r>
        <w:rPr>
          <w:sz w:val="22"/>
        </w:rPr>
        <w:t>and</w:t>
      </w:r>
      <w:r>
        <w:rPr>
          <w:spacing w:val="-13"/>
          <w:sz w:val="22"/>
        </w:rPr>
        <w:t> </w:t>
      </w:r>
      <w:r>
        <w:rPr>
          <w:sz w:val="22"/>
        </w:rPr>
        <w:t>teachers</w:t>
      </w:r>
      <w:r>
        <w:rPr>
          <w:spacing w:val="-14"/>
          <w:sz w:val="22"/>
        </w:rPr>
        <w:t> </w:t>
      </w:r>
      <w:r>
        <w:rPr>
          <w:sz w:val="22"/>
        </w:rPr>
        <w:t>to</w:t>
      </w:r>
      <w:r>
        <w:rPr>
          <w:spacing w:val="-14"/>
          <w:sz w:val="22"/>
        </w:rPr>
        <w:t> </w:t>
      </w:r>
      <w:r>
        <w:rPr>
          <w:sz w:val="22"/>
        </w:rPr>
        <w:t>have</w:t>
      </w:r>
      <w:r>
        <w:rPr>
          <w:spacing w:val="-14"/>
          <w:sz w:val="22"/>
        </w:rPr>
        <w:t> </w:t>
      </w:r>
      <w:r>
        <w:rPr>
          <w:sz w:val="22"/>
        </w:rPr>
        <w:t>access to quality education material.</w:t>
      </w:r>
    </w:p>
    <w:p>
      <w:pPr>
        <w:pStyle w:val="BodyText"/>
        <w:spacing w:before="16"/>
      </w:pPr>
    </w:p>
    <w:p>
      <w:pPr>
        <w:pStyle w:val="ListParagraph"/>
        <w:numPr>
          <w:ilvl w:val="1"/>
          <w:numId w:val="41"/>
        </w:numPr>
        <w:tabs>
          <w:tab w:pos="679" w:val="left" w:leader="none"/>
        </w:tabs>
        <w:spacing w:line="266" w:lineRule="auto" w:before="1" w:after="0"/>
        <w:ind w:left="319" w:right="1077" w:firstLine="0"/>
        <w:jc w:val="both"/>
        <w:rPr>
          <w:sz w:val="22"/>
        </w:rPr>
      </w:pPr>
      <w:r>
        <w:rPr>
          <w:b/>
          <w:sz w:val="22"/>
        </w:rPr>
        <w:t>Translation:</w:t>
      </w:r>
      <w:r>
        <w:rPr>
          <w:b/>
          <w:spacing w:val="-14"/>
          <w:sz w:val="22"/>
        </w:rPr>
        <w:t> </w:t>
      </w:r>
      <w:r>
        <w:rPr>
          <w:sz w:val="22"/>
        </w:rPr>
        <w:t>Language</w:t>
      </w:r>
      <w:r>
        <w:rPr>
          <w:spacing w:val="-14"/>
          <w:sz w:val="22"/>
        </w:rPr>
        <w:t> </w:t>
      </w:r>
      <w:r>
        <w:rPr>
          <w:sz w:val="22"/>
        </w:rPr>
        <w:t>should</w:t>
      </w:r>
      <w:r>
        <w:rPr>
          <w:spacing w:val="-14"/>
          <w:sz w:val="22"/>
        </w:rPr>
        <w:t> </w:t>
      </w:r>
      <w:r>
        <w:rPr>
          <w:sz w:val="22"/>
        </w:rPr>
        <w:t>not</w:t>
      </w:r>
      <w:r>
        <w:rPr>
          <w:spacing w:val="-13"/>
          <w:sz w:val="22"/>
        </w:rPr>
        <w:t> </w:t>
      </w:r>
      <w:r>
        <w:rPr>
          <w:sz w:val="22"/>
        </w:rPr>
        <w:t>act</w:t>
      </w:r>
      <w:r>
        <w:rPr>
          <w:spacing w:val="-14"/>
          <w:sz w:val="22"/>
        </w:rPr>
        <w:t> </w:t>
      </w:r>
      <w:r>
        <w:rPr>
          <w:sz w:val="22"/>
        </w:rPr>
        <w:t>as</w:t>
      </w:r>
      <w:r>
        <w:rPr>
          <w:spacing w:val="-14"/>
          <w:sz w:val="22"/>
        </w:rPr>
        <w:t> </w:t>
      </w:r>
      <w:r>
        <w:rPr>
          <w:sz w:val="22"/>
        </w:rPr>
        <w:t>a</w:t>
      </w:r>
      <w:r>
        <w:rPr>
          <w:spacing w:val="-14"/>
          <w:sz w:val="22"/>
        </w:rPr>
        <w:t> </w:t>
      </w:r>
      <w:r>
        <w:rPr>
          <w:sz w:val="22"/>
        </w:rPr>
        <w:t>barrier in science teaching. To bring such students to level playing</w:t>
      </w:r>
      <w:r>
        <w:rPr>
          <w:spacing w:val="-6"/>
          <w:sz w:val="22"/>
        </w:rPr>
        <w:t> </w:t>
      </w:r>
      <w:r>
        <w:rPr>
          <w:sz w:val="22"/>
        </w:rPr>
        <w:t>ground,</w:t>
      </w:r>
      <w:r>
        <w:rPr>
          <w:spacing w:val="-6"/>
          <w:sz w:val="22"/>
        </w:rPr>
        <w:t> </w:t>
      </w:r>
      <w:r>
        <w:rPr>
          <w:sz w:val="22"/>
        </w:rPr>
        <w:t>apart</w:t>
      </w:r>
      <w:r>
        <w:rPr>
          <w:spacing w:val="-6"/>
          <w:sz w:val="22"/>
        </w:rPr>
        <w:t> </w:t>
      </w:r>
      <w:r>
        <w:rPr>
          <w:sz w:val="22"/>
        </w:rPr>
        <w:t>from</w:t>
      </w:r>
      <w:r>
        <w:rPr>
          <w:spacing w:val="-6"/>
          <w:sz w:val="22"/>
        </w:rPr>
        <w:t> </w:t>
      </w:r>
      <w:r>
        <w:rPr>
          <w:sz w:val="22"/>
        </w:rPr>
        <w:t>English</w:t>
      </w:r>
      <w:r>
        <w:rPr>
          <w:spacing w:val="-6"/>
          <w:sz w:val="22"/>
        </w:rPr>
        <w:t> </w:t>
      </w:r>
      <w:r>
        <w:rPr>
          <w:sz w:val="22"/>
        </w:rPr>
        <w:t>language</w:t>
      </w:r>
      <w:r>
        <w:rPr>
          <w:spacing w:val="-6"/>
          <w:sz w:val="22"/>
        </w:rPr>
        <w:t> </w:t>
      </w:r>
      <w:r>
        <w:rPr>
          <w:sz w:val="22"/>
        </w:rPr>
        <w:t>lessons, there is a need to arrange speedy and widespread dissemination</w:t>
      </w:r>
      <w:r>
        <w:rPr>
          <w:spacing w:val="-2"/>
          <w:sz w:val="22"/>
        </w:rPr>
        <w:t> </w:t>
      </w:r>
      <w:r>
        <w:rPr>
          <w:sz w:val="22"/>
        </w:rPr>
        <w:t>of</w:t>
      </w:r>
      <w:r>
        <w:rPr>
          <w:spacing w:val="-2"/>
          <w:sz w:val="22"/>
        </w:rPr>
        <w:t> </w:t>
      </w:r>
      <w:r>
        <w:rPr>
          <w:sz w:val="22"/>
        </w:rPr>
        <w:t>basic</w:t>
      </w:r>
      <w:r>
        <w:rPr>
          <w:spacing w:val="-2"/>
          <w:sz w:val="22"/>
        </w:rPr>
        <w:t> </w:t>
      </w:r>
      <w:r>
        <w:rPr>
          <w:sz w:val="22"/>
        </w:rPr>
        <w:t>science</w:t>
      </w:r>
      <w:r>
        <w:rPr>
          <w:spacing w:val="-2"/>
          <w:sz w:val="22"/>
        </w:rPr>
        <w:t> </w:t>
      </w:r>
      <w:r>
        <w:rPr>
          <w:sz w:val="22"/>
        </w:rPr>
        <w:t>education</w:t>
      </w:r>
      <w:r>
        <w:rPr>
          <w:spacing w:val="-2"/>
          <w:sz w:val="22"/>
        </w:rPr>
        <w:t> </w:t>
      </w:r>
      <w:r>
        <w:rPr>
          <w:sz w:val="22"/>
        </w:rPr>
        <w:t>materials</w:t>
      </w:r>
      <w:r>
        <w:rPr>
          <w:spacing w:val="-2"/>
          <w:sz w:val="22"/>
        </w:rPr>
        <w:t> </w:t>
      </w:r>
      <w:r>
        <w:rPr>
          <w:sz w:val="22"/>
        </w:rPr>
        <w:t>in local</w:t>
      </w:r>
      <w:r>
        <w:rPr>
          <w:spacing w:val="-3"/>
          <w:sz w:val="22"/>
        </w:rPr>
        <w:t> </w:t>
      </w:r>
      <w:r>
        <w:rPr>
          <w:sz w:val="22"/>
        </w:rPr>
        <w:t>languages.</w:t>
      </w:r>
      <w:r>
        <w:rPr>
          <w:spacing w:val="-8"/>
          <w:sz w:val="22"/>
        </w:rPr>
        <w:t> </w:t>
      </w:r>
      <w:r>
        <w:rPr>
          <w:sz w:val="22"/>
        </w:rPr>
        <w:t>These</w:t>
      </w:r>
      <w:r>
        <w:rPr>
          <w:spacing w:val="-3"/>
          <w:sz w:val="22"/>
        </w:rPr>
        <w:t> </w:t>
      </w:r>
      <w:r>
        <w:rPr>
          <w:sz w:val="22"/>
        </w:rPr>
        <w:t>courses</w:t>
      </w:r>
      <w:r>
        <w:rPr>
          <w:spacing w:val="-3"/>
          <w:sz w:val="22"/>
        </w:rPr>
        <w:t> </w:t>
      </w:r>
      <w:r>
        <w:rPr>
          <w:sz w:val="22"/>
        </w:rPr>
        <w:t>should</w:t>
      </w:r>
      <w:r>
        <w:rPr>
          <w:spacing w:val="-3"/>
          <w:sz w:val="22"/>
        </w:rPr>
        <w:t> </w:t>
      </w:r>
      <w:r>
        <w:rPr>
          <w:sz w:val="22"/>
        </w:rPr>
        <w:t>be</w:t>
      </w:r>
      <w:r>
        <w:rPr>
          <w:spacing w:val="-3"/>
          <w:sz w:val="22"/>
        </w:rPr>
        <w:t> </w:t>
      </w:r>
      <w:r>
        <w:rPr>
          <w:sz w:val="22"/>
        </w:rPr>
        <w:t>designed</w:t>
      </w:r>
      <w:r>
        <w:rPr>
          <w:spacing w:val="-3"/>
          <w:sz w:val="22"/>
        </w:rPr>
        <w:t> </w:t>
      </w:r>
      <w:r>
        <w:rPr>
          <w:sz w:val="22"/>
        </w:rPr>
        <w:t>to facilitate understanding of fundamental concepts in the</w:t>
      </w:r>
      <w:r>
        <w:rPr>
          <w:spacing w:val="-8"/>
          <w:sz w:val="22"/>
        </w:rPr>
        <w:t> </w:t>
      </w:r>
      <w:r>
        <w:rPr>
          <w:sz w:val="22"/>
        </w:rPr>
        <w:t>local</w:t>
      </w:r>
      <w:r>
        <w:rPr>
          <w:spacing w:val="-8"/>
          <w:sz w:val="22"/>
        </w:rPr>
        <w:t> </w:t>
      </w:r>
      <w:r>
        <w:rPr>
          <w:sz w:val="22"/>
        </w:rPr>
        <w:t>languages</w:t>
      </w:r>
      <w:r>
        <w:rPr>
          <w:spacing w:val="-8"/>
          <w:sz w:val="22"/>
        </w:rPr>
        <w:t> </w:t>
      </w:r>
      <w:r>
        <w:rPr>
          <w:sz w:val="22"/>
        </w:rPr>
        <w:t>and</w:t>
      </w:r>
      <w:r>
        <w:rPr>
          <w:spacing w:val="-8"/>
          <w:sz w:val="22"/>
        </w:rPr>
        <w:t> </w:t>
      </w:r>
      <w:r>
        <w:rPr>
          <w:sz w:val="22"/>
        </w:rPr>
        <w:t>also</w:t>
      </w:r>
      <w:r>
        <w:rPr>
          <w:spacing w:val="-8"/>
          <w:sz w:val="22"/>
        </w:rPr>
        <w:t> </w:t>
      </w:r>
      <w:r>
        <w:rPr>
          <w:sz w:val="22"/>
        </w:rPr>
        <w:t>provide</w:t>
      </w:r>
      <w:r>
        <w:rPr>
          <w:spacing w:val="-8"/>
          <w:sz w:val="22"/>
        </w:rPr>
        <w:t> </w:t>
      </w:r>
      <w:r>
        <w:rPr>
          <w:sz w:val="22"/>
        </w:rPr>
        <w:t>a</w:t>
      </w:r>
      <w:r>
        <w:rPr>
          <w:spacing w:val="-8"/>
          <w:sz w:val="22"/>
        </w:rPr>
        <w:t> </w:t>
      </w:r>
      <w:r>
        <w:rPr>
          <w:sz w:val="22"/>
        </w:rPr>
        <w:t>bridge</w:t>
      </w:r>
      <w:r>
        <w:rPr>
          <w:spacing w:val="-8"/>
          <w:sz w:val="22"/>
        </w:rPr>
        <w:t> </w:t>
      </w:r>
      <w:r>
        <w:rPr>
          <w:sz w:val="22"/>
        </w:rPr>
        <w:t>towards </w:t>
      </w:r>
      <w:r>
        <w:rPr>
          <w:spacing w:val="-2"/>
          <w:sz w:val="22"/>
        </w:rPr>
        <w:t>subsequent</w:t>
      </w:r>
      <w:r>
        <w:rPr>
          <w:spacing w:val="-6"/>
          <w:sz w:val="22"/>
        </w:rPr>
        <w:t> </w:t>
      </w:r>
      <w:r>
        <w:rPr>
          <w:spacing w:val="-2"/>
          <w:sz w:val="22"/>
        </w:rPr>
        <w:t>studies</w:t>
      </w:r>
      <w:r>
        <w:rPr>
          <w:spacing w:val="-6"/>
          <w:sz w:val="22"/>
        </w:rPr>
        <w:t> </w:t>
      </w:r>
      <w:r>
        <w:rPr>
          <w:spacing w:val="-2"/>
          <w:sz w:val="22"/>
        </w:rPr>
        <w:t>in</w:t>
      </w:r>
      <w:r>
        <w:rPr>
          <w:spacing w:val="-6"/>
          <w:sz w:val="22"/>
        </w:rPr>
        <w:t> </w:t>
      </w:r>
      <w:r>
        <w:rPr>
          <w:spacing w:val="-2"/>
          <w:sz w:val="22"/>
        </w:rPr>
        <w:t>the</w:t>
      </w:r>
      <w:r>
        <w:rPr>
          <w:spacing w:val="-6"/>
          <w:sz w:val="22"/>
        </w:rPr>
        <w:t> </w:t>
      </w:r>
      <w:r>
        <w:rPr>
          <w:spacing w:val="-2"/>
          <w:sz w:val="22"/>
        </w:rPr>
        <w:t>English</w:t>
      </w:r>
      <w:r>
        <w:rPr>
          <w:spacing w:val="-6"/>
          <w:sz w:val="22"/>
        </w:rPr>
        <w:t> </w:t>
      </w:r>
      <w:r>
        <w:rPr>
          <w:spacing w:val="-2"/>
          <w:sz w:val="22"/>
        </w:rPr>
        <w:t>language.</w:t>
      </w:r>
      <w:r>
        <w:rPr>
          <w:spacing w:val="-6"/>
          <w:sz w:val="22"/>
        </w:rPr>
        <w:t> </w:t>
      </w:r>
      <w:r>
        <w:rPr>
          <w:spacing w:val="-2"/>
          <w:sz w:val="22"/>
        </w:rPr>
        <w:t>Resources </w:t>
      </w:r>
      <w:r>
        <w:rPr>
          <w:sz w:val="22"/>
        </w:rPr>
        <w:t>should</w:t>
      </w:r>
      <w:r>
        <w:rPr>
          <w:spacing w:val="-9"/>
          <w:sz w:val="22"/>
        </w:rPr>
        <w:t> </w:t>
      </w:r>
      <w:r>
        <w:rPr>
          <w:sz w:val="22"/>
        </w:rPr>
        <w:t>be</w:t>
      </w:r>
      <w:r>
        <w:rPr>
          <w:spacing w:val="-9"/>
          <w:sz w:val="22"/>
        </w:rPr>
        <w:t> </w:t>
      </w:r>
      <w:r>
        <w:rPr>
          <w:sz w:val="22"/>
        </w:rPr>
        <w:t>provided</w:t>
      </w:r>
      <w:r>
        <w:rPr>
          <w:spacing w:val="-9"/>
          <w:sz w:val="22"/>
        </w:rPr>
        <w:t> </w:t>
      </w:r>
      <w:r>
        <w:rPr>
          <w:sz w:val="22"/>
        </w:rPr>
        <w:t>to</w:t>
      </w:r>
      <w:r>
        <w:rPr>
          <w:spacing w:val="-9"/>
          <w:sz w:val="22"/>
        </w:rPr>
        <w:t> </w:t>
      </w:r>
      <w:r>
        <w:rPr>
          <w:sz w:val="22"/>
        </w:rPr>
        <w:t>translate</w:t>
      </w:r>
      <w:r>
        <w:rPr>
          <w:spacing w:val="-9"/>
          <w:sz w:val="22"/>
        </w:rPr>
        <w:t> </w:t>
      </w:r>
      <w:r>
        <w:rPr>
          <w:sz w:val="22"/>
        </w:rPr>
        <w:t>the</w:t>
      </w:r>
      <w:r>
        <w:rPr>
          <w:spacing w:val="-9"/>
          <w:sz w:val="22"/>
        </w:rPr>
        <w:t> </w:t>
      </w:r>
      <w:r>
        <w:rPr>
          <w:sz w:val="22"/>
        </w:rPr>
        <w:t>best</w:t>
      </w:r>
      <w:r>
        <w:rPr>
          <w:spacing w:val="-9"/>
          <w:sz w:val="22"/>
        </w:rPr>
        <w:t> </w:t>
      </w:r>
      <w:r>
        <w:rPr>
          <w:sz w:val="22"/>
        </w:rPr>
        <w:t>science</w:t>
      </w:r>
      <w:r>
        <w:rPr>
          <w:spacing w:val="-9"/>
          <w:sz w:val="22"/>
        </w:rPr>
        <w:t> </w:t>
      </w:r>
      <w:r>
        <w:rPr>
          <w:sz w:val="22"/>
        </w:rPr>
        <w:t>books in local languages. Internet dissemination of these </w:t>
      </w:r>
      <w:r>
        <w:rPr>
          <w:spacing w:val="-6"/>
          <w:sz w:val="22"/>
        </w:rPr>
        <w:t>translated</w:t>
      </w:r>
      <w:r>
        <w:rPr>
          <w:spacing w:val="-8"/>
          <w:sz w:val="22"/>
        </w:rPr>
        <w:t> </w:t>
      </w:r>
      <w:r>
        <w:rPr>
          <w:spacing w:val="-6"/>
          <w:sz w:val="22"/>
        </w:rPr>
        <w:t>books</w:t>
      </w:r>
      <w:r>
        <w:rPr>
          <w:spacing w:val="-8"/>
          <w:sz w:val="22"/>
        </w:rPr>
        <w:t> </w:t>
      </w:r>
      <w:r>
        <w:rPr>
          <w:spacing w:val="-6"/>
          <w:sz w:val="22"/>
        </w:rPr>
        <w:t>should</w:t>
      </w:r>
      <w:r>
        <w:rPr>
          <w:spacing w:val="-8"/>
          <w:sz w:val="22"/>
        </w:rPr>
        <w:t> </w:t>
      </w:r>
      <w:r>
        <w:rPr>
          <w:spacing w:val="-6"/>
          <w:sz w:val="22"/>
        </w:rPr>
        <w:t>be</w:t>
      </w:r>
      <w:r>
        <w:rPr>
          <w:spacing w:val="-7"/>
          <w:sz w:val="22"/>
        </w:rPr>
        <w:t> </w:t>
      </w:r>
      <w:r>
        <w:rPr>
          <w:spacing w:val="-6"/>
          <w:sz w:val="22"/>
        </w:rPr>
        <w:t>carried</w:t>
      </w:r>
      <w:r>
        <w:rPr>
          <w:spacing w:val="-8"/>
          <w:sz w:val="22"/>
        </w:rPr>
        <w:t> </w:t>
      </w:r>
      <w:r>
        <w:rPr>
          <w:spacing w:val="-6"/>
          <w:sz w:val="22"/>
        </w:rPr>
        <w:t>out.</w:t>
      </w:r>
      <w:r>
        <w:rPr>
          <w:spacing w:val="-8"/>
          <w:sz w:val="22"/>
        </w:rPr>
        <w:t> </w:t>
      </w:r>
      <w:r>
        <w:rPr>
          <w:spacing w:val="-6"/>
          <w:sz w:val="22"/>
        </w:rPr>
        <w:t>To</w:t>
      </w:r>
      <w:r>
        <w:rPr>
          <w:spacing w:val="-8"/>
          <w:sz w:val="22"/>
        </w:rPr>
        <w:t> </w:t>
      </w:r>
      <w:r>
        <w:rPr>
          <w:spacing w:val="-6"/>
          <w:sz w:val="22"/>
        </w:rPr>
        <w:t>aid</w:t>
      </w:r>
      <w:r>
        <w:rPr>
          <w:spacing w:val="-7"/>
          <w:sz w:val="22"/>
        </w:rPr>
        <w:t> </w:t>
      </w:r>
      <w:r>
        <w:rPr>
          <w:spacing w:val="-6"/>
          <w:sz w:val="22"/>
        </w:rPr>
        <w:t>conceptual </w:t>
      </w:r>
      <w:r>
        <w:rPr>
          <w:sz w:val="22"/>
        </w:rPr>
        <w:t>understanding,</w:t>
      </w:r>
      <w:r>
        <w:rPr>
          <w:spacing w:val="-14"/>
          <w:sz w:val="22"/>
        </w:rPr>
        <w:t> </w:t>
      </w:r>
      <w:r>
        <w:rPr>
          <w:sz w:val="22"/>
        </w:rPr>
        <w:t>science</w:t>
      </w:r>
      <w:r>
        <w:rPr>
          <w:spacing w:val="-14"/>
          <w:sz w:val="22"/>
        </w:rPr>
        <w:t> </w:t>
      </w:r>
      <w:r>
        <w:rPr>
          <w:sz w:val="22"/>
        </w:rPr>
        <w:t>lectures</w:t>
      </w:r>
      <w:r>
        <w:rPr>
          <w:spacing w:val="-14"/>
          <w:sz w:val="22"/>
        </w:rPr>
        <w:t> </w:t>
      </w:r>
      <w:r>
        <w:rPr>
          <w:sz w:val="22"/>
        </w:rPr>
        <w:t>in</w:t>
      </w:r>
      <w:r>
        <w:rPr>
          <w:spacing w:val="-13"/>
          <w:sz w:val="22"/>
        </w:rPr>
        <w:t> </w:t>
      </w:r>
      <w:r>
        <w:rPr>
          <w:sz w:val="22"/>
        </w:rPr>
        <w:t>local</w:t>
      </w:r>
      <w:r>
        <w:rPr>
          <w:spacing w:val="-14"/>
          <w:sz w:val="22"/>
        </w:rPr>
        <w:t> </w:t>
      </w:r>
      <w:r>
        <w:rPr>
          <w:sz w:val="22"/>
        </w:rPr>
        <w:t>languages</w:t>
      </w:r>
      <w:r>
        <w:rPr>
          <w:spacing w:val="-14"/>
          <w:sz w:val="22"/>
        </w:rPr>
        <w:t> </w:t>
      </w:r>
      <w:r>
        <w:rPr>
          <w:sz w:val="22"/>
        </w:rPr>
        <w:t>can </w:t>
      </w:r>
      <w:r>
        <w:rPr>
          <w:spacing w:val="-2"/>
          <w:sz w:val="22"/>
        </w:rPr>
        <w:t>be</w:t>
      </w:r>
      <w:r>
        <w:rPr>
          <w:spacing w:val="-7"/>
          <w:sz w:val="22"/>
        </w:rPr>
        <w:t> </w:t>
      </w:r>
      <w:r>
        <w:rPr>
          <w:spacing w:val="-2"/>
          <w:sz w:val="22"/>
        </w:rPr>
        <w:t>prepared</w:t>
      </w:r>
      <w:r>
        <w:rPr>
          <w:spacing w:val="-7"/>
          <w:sz w:val="22"/>
        </w:rPr>
        <w:t> </w:t>
      </w:r>
      <w:r>
        <w:rPr>
          <w:spacing w:val="-2"/>
          <w:sz w:val="22"/>
        </w:rPr>
        <w:t>by</w:t>
      </w:r>
      <w:r>
        <w:rPr>
          <w:spacing w:val="-7"/>
          <w:sz w:val="22"/>
        </w:rPr>
        <w:t> </w:t>
      </w:r>
      <w:r>
        <w:rPr>
          <w:spacing w:val="-2"/>
          <w:sz w:val="22"/>
        </w:rPr>
        <w:t>good</w:t>
      </w:r>
      <w:r>
        <w:rPr>
          <w:spacing w:val="-7"/>
          <w:sz w:val="22"/>
        </w:rPr>
        <w:t> </w:t>
      </w:r>
      <w:r>
        <w:rPr>
          <w:spacing w:val="-2"/>
          <w:sz w:val="22"/>
        </w:rPr>
        <w:t>science</w:t>
      </w:r>
      <w:r>
        <w:rPr>
          <w:spacing w:val="-7"/>
          <w:sz w:val="22"/>
        </w:rPr>
        <w:t> </w:t>
      </w:r>
      <w:r>
        <w:rPr>
          <w:spacing w:val="-2"/>
          <w:sz w:val="22"/>
        </w:rPr>
        <w:t>teachers</w:t>
      </w:r>
      <w:r>
        <w:rPr>
          <w:spacing w:val="-7"/>
          <w:sz w:val="22"/>
        </w:rPr>
        <w:t> </w:t>
      </w:r>
      <w:r>
        <w:rPr>
          <w:spacing w:val="-2"/>
          <w:sz w:val="22"/>
        </w:rPr>
        <w:t>capable</w:t>
      </w:r>
      <w:r>
        <w:rPr>
          <w:spacing w:val="-7"/>
          <w:sz w:val="22"/>
        </w:rPr>
        <w:t> </w:t>
      </w:r>
      <w:r>
        <w:rPr>
          <w:spacing w:val="-2"/>
          <w:sz w:val="22"/>
        </w:rPr>
        <w:t>of</w:t>
      </w:r>
      <w:r>
        <w:rPr>
          <w:spacing w:val="-7"/>
          <w:sz w:val="22"/>
        </w:rPr>
        <w:t> </w:t>
      </w:r>
      <w:r>
        <w:rPr>
          <w:spacing w:val="-2"/>
          <w:sz w:val="22"/>
        </w:rPr>
        <w:t>doing </w:t>
      </w:r>
      <w:r>
        <w:rPr>
          <w:sz w:val="22"/>
        </w:rPr>
        <w:t>so.</w:t>
      </w:r>
      <w:r>
        <w:rPr>
          <w:spacing w:val="-1"/>
          <w:sz w:val="22"/>
        </w:rPr>
        <w:t> </w:t>
      </w:r>
      <w:r>
        <w:rPr>
          <w:sz w:val="22"/>
        </w:rPr>
        <w:t>These lectures can be recorded and distributed to </w:t>
      </w:r>
      <w:r>
        <w:rPr>
          <w:spacing w:val="-4"/>
          <w:sz w:val="22"/>
        </w:rPr>
        <w:t>libraries</w:t>
      </w:r>
      <w:r>
        <w:rPr>
          <w:spacing w:val="-10"/>
          <w:sz w:val="22"/>
        </w:rPr>
        <w:t> </w:t>
      </w:r>
      <w:r>
        <w:rPr>
          <w:spacing w:val="-4"/>
          <w:sz w:val="22"/>
        </w:rPr>
        <w:t>of</w:t>
      </w:r>
      <w:r>
        <w:rPr>
          <w:spacing w:val="-10"/>
          <w:sz w:val="22"/>
        </w:rPr>
        <w:t> </w:t>
      </w:r>
      <w:r>
        <w:rPr>
          <w:spacing w:val="-4"/>
          <w:sz w:val="22"/>
        </w:rPr>
        <w:t>all</w:t>
      </w:r>
      <w:r>
        <w:rPr>
          <w:spacing w:val="-10"/>
          <w:sz w:val="22"/>
        </w:rPr>
        <w:t> </w:t>
      </w:r>
      <w:r>
        <w:rPr>
          <w:spacing w:val="-4"/>
          <w:sz w:val="22"/>
        </w:rPr>
        <w:t>science</w:t>
      </w:r>
      <w:r>
        <w:rPr>
          <w:spacing w:val="-9"/>
          <w:sz w:val="22"/>
        </w:rPr>
        <w:t> </w:t>
      </w:r>
      <w:r>
        <w:rPr>
          <w:spacing w:val="-4"/>
          <w:sz w:val="22"/>
        </w:rPr>
        <w:t>teaching</w:t>
      </w:r>
      <w:r>
        <w:rPr>
          <w:spacing w:val="-10"/>
          <w:sz w:val="22"/>
        </w:rPr>
        <w:t> </w:t>
      </w:r>
      <w:r>
        <w:rPr>
          <w:spacing w:val="-4"/>
          <w:sz w:val="22"/>
        </w:rPr>
        <w:t>colleges</w:t>
      </w:r>
      <w:r>
        <w:rPr>
          <w:spacing w:val="-10"/>
          <w:sz w:val="22"/>
        </w:rPr>
        <w:t> </w:t>
      </w:r>
      <w:r>
        <w:rPr>
          <w:spacing w:val="-4"/>
          <w:sz w:val="22"/>
        </w:rPr>
        <w:t>and</w:t>
      </w:r>
      <w:r>
        <w:rPr>
          <w:spacing w:val="-10"/>
          <w:sz w:val="22"/>
        </w:rPr>
        <w:t> </w:t>
      </w:r>
      <w:r>
        <w:rPr>
          <w:spacing w:val="-4"/>
          <w:sz w:val="22"/>
        </w:rPr>
        <w:t>universities and</w:t>
      </w:r>
      <w:r>
        <w:rPr>
          <w:spacing w:val="-6"/>
          <w:sz w:val="22"/>
        </w:rPr>
        <w:t> </w:t>
      </w:r>
      <w:r>
        <w:rPr>
          <w:spacing w:val="-4"/>
          <w:sz w:val="22"/>
        </w:rPr>
        <w:t>made</w:t>
      </w:r>
      <w:r>
        <w:rPr>
          <w:spacing w:val="-6"/>
          <w:sz w:val="22"/>
        </w:rPr>
        <w:t> </w:t>
      </w:r>
      <w:r>
        <w:rPr>
          <w:spacing w:val="-4"/>
          <w:sz w:val="22"/>
        </w:rPr>
        <w:t>freely</w:t>
      </w:r>
      <w:r>
        <w:rPr>
          <w:spacing w:val="-6"/>
          <w:sz w:val="22"/>
        </w:rPr>
        <w:t> </w:t>
      </w:r>
      <w:r>
        <w:rPr>
          <w:spacing w:val="-4"/>
          <w:sz w:val="22"/>
        </w:rPr>
        <w:t>available</w:t>
      </w:r>
      <w:r>
        <w:rPr>
          <w:spacing w:val="-6"/>
          <w:sz w:val="22"/>
        </w:rPr>
        <w:t> </w:t>
      </w:r>
      <w:r>
        <w:rPr>
          <w:spacing w:val="-4"/>
          <w:sz w:val="22"/>
        </w:rPr>
        <w:t>on</w:t>
      </w:r>
      <w:r>
        <w:rPr>
          <w:spacing w:val="-6"/>
          <w:sz w:val="22"/>
        </w:rPr>
        <w:t> </w:t>
      </w:r>
      <w:r>
        <w:rPr>
          <w:spacing w:val="-4"/>
          <w:sz w:val="22"/>
        </w:rPr>
        <w:t>the</w:t>
      </w:r>
      <w:r>
        <w:rPr>
          <w:spacing w:val="-6"/>
          <w:sz w:val="22"/>
        </w:rPr>
        <w:t> </w:t>
      </w:r>
      <w:r>
        <w:rPr>
          <w:spacing w:val="-4"/>
          <w:sz w:val="22"/>
        </w:rPr>
        <w:t>internet.</w:t>
      </w:r>
      <w:r>
        <w:rPr>
          <w:spacing w:val="-6"/>
          <w:sz w:val="22"/>
        </w:rPr>
        <w:t> </w:t>
      </w:r>
      <w:r>
        <w:rPr>
          <w:spacing w:val="-4"/>
          <w:sz w:val="22"/>
        </w:rPr>
        <w:t>As</w:t>
      </w:r>
      <w:r>
        <w:rPr>
          <w:spacing w:val="-6"/>
          <w:sz w:val="22"/>
        </w:rPr>
        <w:t> </w:t>
      </w:r>
      <w:r>
        <w:rPr>
          <w:spacing w:val="-4"/>
          <w:sz w:val="22"/>
        </w:rPr>
        <w:t>there</w:t>
      </w:r>
      <w:r>
        <w:rPr>
          <w:spacing w:val="-6"/>
          <w:sz w:val="22"/>
        </w:rPr>
        <w:t> </w:t>
      </w:r>
      <w:r>
        <w:rPr>
          <w:spacing w:val="-4"/>
          <w:sz w:val="22"/>
        </w:rPr>
        <w:t>is</w:t>
      </w:r>
      <w:r>
        <w:rPr>
          <w:spacing w:val="-6"/>
          <w:sz w:val="22"/>
        </w:rPr>
        <w:t> </w:t>
      </w:r>
      <w:r>
        <w:rPr>
          <w:spacing w:val="-4"/>
          <w:sz w:val="22"/>
        </w:rPr>
        <w:t>an </w:t>
      </w:r>
      <w:r>
        <w:rPr>
          <w:sz w:val="22"/>
        </w:rPr>
        <w:t>urgent need for this task to be carried, it is important that the right agencies and people be identified and networked to carry out this work in an organised and </w:t>
      </w:r>
      <w:r>
        <w:rPr>
          <w:w w:val="90"/>
          <w:sz w:val="22"/>
        </w:rPr>
        <w:t>comprehensive manner. </w:t>
      </w:r>
      <w:r>
        <w:rPr>
          <w:i/>
          <w:w w:val="90"/>
          <w:sz w:val="22"/>
        </w:rPr>
        <w:t>One important factor which has</w:t>
      </w:r>
      <w:r>
        <w:rPr>
          <w:i/>
          <w:spacing w:val="80"/>
          <w:sz w:val="22"/>
        </w:rPr>
        <w:t> </w:t>
      </w:r>
      <w:r>
        <w:rPr>
          <w:i/>
          <w:w w:val="90"/>
          <w:sz w:val="22"/>
        </w:rPr>
        <w:t>to be kept in mind while translating into local languages</w:t>
      </w:r>
      <w:r>
        <w:rPr>
          <w:i/>
          <w:spacing w:val="80"/>
          <w:sz w:val="22"/>
        </w:rPr>
        <w:t> </w:t>
      </w:r>
      <w:r>
        <w:rPr>
          <w:i/>
          <w:sz w:val="22"/>
        </w:rPr>
        <w:t>is that the technical terms/ scientific terms should be kept</w:t>
      </w:r>
      <w:r>
        <w:rPr>
          <w:i/>
          <w:spacing w:val="-2"/>
          <w:sz w:val="22"/>
        </w:rPr>
        <w:t> </w:t>
      </w:r>
      <w:r>
        <w:rPr>
          <w:i/>
          <w:sz w:val="22"/>
        </w:rPr>
        <w:t>in</w:t>
      </w:r>
      <w:r>
        <w:rPr>
          <w:i/>
          <w:spacing w:val="-2"/>
          <w:sz w:val="22"/>
        </w:rPr>
        <w:t> </w:t>
      </w:r>
      <w:r>
        <w:rPr>
          <w:i/>
          <w:sz w:val="22"/>
        </w:rPr>
        <w:t>English.</w:t>
      </w:r>
      <w:r>
        <w:rPr>
          <w:i/>
          <w:spacing w:val="-2"/>
          <w:sz w:val="22"/>
        </w:rPr>
        <w:t> </w:t>
      </w:r>
      <w:r>
        <w:rPr>
          <w:sz w:val="22"/>
        </w:rPr>
        <w:t>This</w:t>
      </w:r>
      <w:r>
        <w:rPr>
          <w:spacing w:val="-2"/>
          <w:sz w:val="22"/>
        </w:rPr>
        <w:t> </w:t>
      </w:r>
      <w:r>
        <w:rPr>
          <w:sz w:val="22"/>
        </w:rPr>
        <w:t>will</w:t>
      </w:r>
      <w:r>
        <w:rPr>
          <w:spacing w:val="-2"/>
          <w:sz w:val="22"/>
        </w:rPr>
        <w:t> </w:t>
      </w:r>
      <w:r>
        <w:rPr>
          <w:sz w:val="22"/>
        </w:rPr>
        <w:t>make</w:t>
      </w:r>
      <w:r>
        <w:rPr>
          <w:spacing w:val="-2"/>
          <w:sz w:val="22"/>
        </w:rPr>
        <w:t> </w:t>
      </w:r>
      <w:r>
        <w:rPr>
          <w:sz w:val="22"/>
        </w:rPr>
        <w:t>it</w:t>
      </w:r>
      <w:r>
        <w:rPr>
          <w:spacing w:val="-2"/>
          <w:sz w:val="22"/>
        </w:rPr>
        <w:t> </w:t>
      </w:r>
      <w:r>
        <w:rPr>
          <w:sz w:val="22"/>
        </w:rPr>
        <w:t>easier</w:t>
      </w:r>
      <w:r>
        <w:rPr>
          <w:spacing w:val="-2"/>
          <w:sz w:val="22"/>
        </w:rPr>
        <w:t> </w:t>
      </w:r>
      <w:r>
        <w:rPr>
          <w:sz w:val="22"/>
        </w:rPr>
        <w:t>to</w:t>
      </w:r>
      <w:r>
        <w:rPr>
          <w:spacing w:val="-2"/>
          <w:sz w:val="22"/>
        </w:rPr>
        <w:t> </w:t>
      </w:r>
      <w:r>
        <w:rPr>
          <w:sz w:val="22"/>
        </w:rPr>
        <w:t>migrate</w:t>
      </w:r>
      <w:r>
        <w:rPr>
          <w:spacing w:val="-2"/>
          <w:sz w:val="22"/>
        </w:rPr>
        <w:t> </w:t>
      </w:r>
      <w:r>
        <w:rPr>
          <w:sz w:val="22"/>
        </w:rPr>
        <w:t>to English medium teaching in sciences at higher level for students.</w:t>
      </w:r>
    </w:p>
    <w:p>
      <w:pPr>
        <w:pStyle w:val="BodyText"/>
        <w:spacing w:before="5"/>
      </w:pPr>
    </w:p>
    <w:p>
      <w:pPr>
        <w:pStyle w:val="ListParagraph"/>
        <w:numPr>
          <w:ilvl w:val="1"/>
          <w:numId w:val="41"/>
        </w:numPr>
        <w:tabs>
          <w:tab w:pos="676" w:val="left" w:leader="none"/>
        </w:tabs>
        <w:spacing w:line="266" w:lineRule="auto" w:before="1" w:after="0"/>
        <w:ind w:left="319" w:right="1077" w:firstLine="0"/>
        <w:jc w:val="both"/>
        <w:rPr>
          <w:sz w:val="22"/>
        </w:rPr>
      </w:pPr>
      <w:r>
        <w:rPr>
          <w:b/>
          <w:spacing w:val="-4"/>
          <w:sz w:val="22"/>
        </w:rPr>
        <w:t>Special</w:t>
      </w:r>
      <w:r>
        <w:rPr>
          <w:b/>
          <w:spacing w:val="-9"/>
          <w:sz w:val="22"/>
        </w:rPr>
        <w:t> </w:t>
      </w:r>
      <w:r>
        <w:rPr>
          <w:b/>
          <w:spacing w:val="-4"/>
          <w:sz w:val="22"/>
        </w:rPr>
        <w:t>needs</w:t>
      </w:r>
      <w:r>
        <w:rPr>
          <w:b/>
          <w:spacing w:val="-9"/>
          <w:sz w:val="22"/>
        </w:rPr>
        <w:t> </w:t>
      </w:r>
      <w:r>
        <w:rPr>
          <w:b/>
          <w:spacing w:val="-4"/>
          <w:sz w:val="22"/>
        </w:rPr>
        <w:t>of</w:t>
      </w:r>
      <w:r>
        <w:rPr>
          <w:b/>
          <w:spacing w:val="-4"/>
          <w:sz w:val="22"/>
        </w:rPr>
        <w:t> Tribal</w:t>
      </w:r>
      <w:r>
        <w:rPr>
          <w:b/>
          <w:spacing w:val="-9"/>
          <w:sz w:val="22"/>
        </w:rPr>
        <w:t> </w:t>
      </w:r>
      <w:r>
        <w:rPr>
          <w:b/>
          <w:spacing w:val="-4"/>
          <w:sz w:val="22"/>
        </w:rPr>
        <w:t>children:</w:t>
      </w:r>
      <w:r>
        <w:rPr>
          <w:b/>
          <w:spacing w:val="-10"/>
          <w:sz w:val="22"/>
        </w:rPr>
        <w:t> </w:t>
      </w:r>
      <w:r>
        <w:rPr>
          <w:spacing w:val="-4"/>
          <w:sz w:val="22"/>
        </w:rPr>
        <w:t>Early</w:t>
      </w:r>
      <w:r>
        <w:rPr>
          <w:spacing w:val="-10"/>
          <w:sz w:val="22"/>
        </w:rPr>
        <w:t> </w:t>
      </w:r>
      <w:r>
        <w:rPr>
          <w:spacing w:val="-4"/>
          <w:sz w:val="22"/>
        </w:rPr>
        <w:t>childhood </w:t>
      </w:r>
      <w:r>
        <w:rPr>
          <w:sz w:val="22"/>
        </w:rPr>
        <w:t>education is very important as the brain develops the fastest up till six years of age. In this context, special </w:t>
      </w:r>
      <w:r>
        <w:rPr>
          <w:spacing w:val="-4"/>
          <w:sz w:val="22"/>
        </w:rPr>
        <w:t>teaching</w:t>
      </w:r>
      <w:r>
        <w:rPr>
          <w:spacing w:val="-8"/>
          <w:sz w:val="22"/>
        </w:rPr>
        <w:t> </w:t>
      </w:r>
      <w:r>
        <w:rPr>
          <w:spacing w:val="-4"/>
          <w:sz w:val="22"/>
        </w:rPr>
        <w:t>aids</w:t>
      </w:r>
      <w:r>
        <w:rPr>
          <w:spacing w:val="-8"/>
          <w:sz w:val="22"/>
        </w:rPr>
        <w:t> </w:t>
      </w:r>
      <w:r>
        <w:rPr>
          <w:spacing w:val="-4"/>
          <w:sz w:val="22"/>
        </w:rPr>
        <w:t>need</w:t>
      </w:r>
      <w:r>
        <w:rPr>
          <w:spacing w:val="-8"/>
          <w:sz w:val="22"/>
        </w:rPr>
        <w:t> </w:t>
      </w:r>
      <w:r>
        <w:rPr>
          <w:spacing w:val="-4"/>
          <w:sz w:val="22"/>
        </w:rPr>
        <w:t>to</w:t>
      </w:r>
      <w:r>
        <w:rPr>
          <w:spacing w:val="-8"/>
          <w:sz w:val="22"/>
        </w:rPr>
        <w:t> </w:t>
      </w:r>
      <w:r>
        <w:rPr>
          <w:spacing w:val="-4"/>
          <w:sz w:val="22"/>
        </w:rPr>
        <w:t>be</w:t>
      </w:r>
      <w:r>
        <w:rPr>
          <w:spacing w:val="-8"/>
          <w:sz w:val="22"/>
        </w:rPr>
        <w:t> </w:t>
      </w:r>
      <w:r>
        <w:rPr>
          <w:spacing w:val="-4"/>
          <w:sz w:val="22"/>
        </w:rPr>
        <w:t>developed</w:t>
      </w:r>
      <w:r>
        <w:rPr>
          <w:spacing w:val="-8"/>
          <w:sz w:val="22"/>
        </w:rPr>
        <w:t> </w:t>
      </w:r>
      <w:r>
        <w:rPr>
          <w:spacing w:val="-4"/>
          <w:sz w:val="22"/>
        </w:rPr>
        <w:t>for</w:t>
      </w:r>
      <w:r>
        <w:rPr>
          <w:spacing w:val="-8"/>
          <w:sz w:val="22"/>
        </w:rPr>
        <w:t> </w:t>
      </w:r>
      <w:r>
        <w:rPr>
          <w:spacing w:val="-4"/>
          <w:sz w:val="22"/>
        </w:rPr>
        <w:t>tribal</w:t>
      </w:r>
      <w:r>
        <w:rPr>
          <w:spacing w:val="-8"/>
          <w:sz w:val="22"/>
        </w:rPr>
        <w:t> </w:t>
      </w:r>
      <w:r>
        <w:rPr>
          <w:spacing w:val="-4"/>
          <w:sz w:val="22"/>
        </w:rPr>
        <w:t>children</w:t>
      </w:r>
      <w:r>
        <w:rPr>
          <w:spacing w:val="-8"/>
          <w:sz w:val="22"/>
        </w:rPr>
        <w:t> </w:t>
      </w:r>
      <w:r>
        <w:rPr>
          <w:spacing w:val="-4"/>
          <w:sz w:val="22"/>
        </w:rPr>
        <w:t>as </w:t>
      </w:r>
      <w:r>
        <w:rPr>
          <w:sz w:val="22"/>
        </w:rPr>
        <w:t>they</w:t>
      </w:r>
      <w:r>
        <w:rPr>
          <w:spacing w:val="-14"/>
          <w:sz w:val="22"/>
        </w:rPr>
        <w:t> </w:t>
      </w:r>
      <w:r>
        <w:rPr>
          <w:sz w:val="22"/>
        </w:rPr>
        <w:t>are</w:t>
      </w:r>
      <w:r>
        <w:rPr>
          <w:spacing w:val="-14"/>
          <w:sz w:val="22"/>
        </w:rPr>
        <w:t> </w:t>
      </w:r>
      <w:r>
        <w:rPr>
          <w:sz w:val="22"/>
        </w:rPr>
        <w:t>not</w:t>
      </w:r>
      <w:r>
        <w:rPr>
          <w:spacing w:val="-14"/>
          <w:sz w:val="22"/>
        </w:rPr>
        <w:t> </w:t>
      </w:r>
      <w:r>
        <w:rPr>
          <w:sz w:val="22"/>
        </w:rPr>
        <w:t>exposed</w:t>
      </w:r>
      <w:r>
        <w:rPr>
          <w:spacing w:val="-13"/>
          <w:sz w:val="22"/>
        </w:rPr>
        <w:t> </w:t>
      </w:r>
      <w:r>
        <w:rPr>
          <w:sz w:val="22"/>
        </w:rPr>
        <w:t>to</w:t>
      </w:r>
      <w:r>
        <w:rPr>
          <w:spacing w:val="-14"/>
          <w:sz w:val="22"/>
        </w:rPr>
        <w:t> </w:t>
      </w:r>
      <w:r>
        <w:rPr>
          <w:sz w:val="22"/>
        </w:rPr>
        <w:t>modern</w:t>
      </w:r>
      <w:r>
        <w:rPr>
          <w:spacing w:val="-14"/>
          <w:sz w:val="22"/>
        </w:rPr>
        <w:t> </w:t>
      </w:r>
      <w:r>
        <w:rPr>
          <w:sz w:val="22"/>
        </w:rPr>
        <w:t>technology</w:t>
      </w:r>
      <w:r>
        <w:rPr>
          <w:spacing w:val="-14"/>
          <w:sz w:val="22"/>
        </w:rPr>
        <w:t> </w:t>
      </w:r>
      <w:r>
        <w:rPr>
          <w:sz w:val="22"/>
        </w:rPr>
        <w:t>like</w:t>
      </w:r>
      <w:r>
        <w:rPr>
          <w:spacing w:val="-13"/>
          <w:sz w:val="22"/>
        </w:rPr>
        <w:t> </w:t>
      </w:r>
      <w:r>
        <w:rPr>
          <w:sz w:val="22"/>
        </w:rPr>
        <w:t>rest</w:t>
      </w:r>
      <w:r>
        <w:rPr>
          <w:spacing w:val="-14"/>
          <w:sz w:val="22"/>
        </w:rPr>
        <w:t> </w:t>
      </w:r>
      <w:r>
        <w:rPr>
          <w:sz w:val="22"/>
        </w:rPr>
        <w:t>of the</w:t>
      </w:r>
      <w:r>
        <w:rPr>
          <w:spacing w:val="-6"/>
          <w:sz w:val="22"/>
        </w:rPr>
        <w:t> </w:t>
      </w:r>
      <w:r>
        <w:rPr>
          <w:sz w:val="22"/>
        </w:rPr>
        <w:t>children.</w:t>
      </w:r>
      <w:r>
        <w:rPr>
          <w:spacing w:val="-6"/>
          <w:sz w:val="22"/>
        </w:rPr>
        <w:t> </w:t>
      </w:r>
      <w:r>
        <w:rPr>
          <w:sz w:val="22"/>
        </w:rPr>
        <w:t>Motivation</w:t>
      </w:r>
      <w:r>
        <w:rPr>
          <w:spacing w:val="-6"/>
          <w:sz w:val="22"/>
        </w:rPr>
        <w:t> </w:t>
      </w:r>
      <w:r>
        <w:rPr>
          <w:sz w:val="22"/>
        </w:rPr>
        <w:t>for</w:t>
      </w:r>
      <w:r>
        <w:rPr>
          <w:spacing w:val="-5"/>
          <w:sz w:val="22"/>
        </w:rPr>
        <w:t> </w:t>
      </w:r>
      <w:r>
        <w:rPr>
          <w:sz w:val="22"/>
        </w:rPr>
        <w:t>learning</w:t>
      </w:r>
      <w:r>
        <w:rPr>
          <w:spacing w:val="-6"/>
          <w:sz w:val="22"/>
        </w:rPr>
        <w:t> </w:t>
      </w:r>
      <w:r>
        <w:rPr>
          <w:sz w:val="22"/>
        </w:rPr>
        <w:t>has</w:t>
      </w:r>
      <w:r>
        <w:rPr>
          <w:spacing w:val="-6"/>
          <w:sz w:val="22"/>
        </w:rPr>
        <w:t> </w:t>
      </w:r>
      <w:r>
        <w:rPr>
          <w:sz w:val="22"/>
        </w:rPr>
        <w:t>to</w:t>
      </w:r>
      <w:r>
        <w:rPr>
          <w:spacing w:val="-5"/>
          <w:sz w:val="22"/>
        </w:rPr>
        <w:t> </w:t>
      </w:r>
      <w:r>
        <w:rPr>
          <w:sz w:val="22"/>
        </w:rPr>
        <w:t>be</w:t>
      </w:r>
      <w:r>
        <w:rPr>
          <w:spacing w:val="-6"/>
          <w:sz w:val="22"/>
        </w:rPr>
        <w:t> </w:t>
      </w:r>
      <w:r>
        <w:rPr>
          <w:spacing w:val="-2"/>
          <w:sz w:val="22"/>
        </w:rPr>
        <w:t>created</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080"/>
        <w:jc w:val="both"/>
      </w:pPr>
      <w:r>
        <w:rPr>
          <w:spacing w:val="-6"/>
        </w:rPr>
        <w:t>by</w:t>
      </w:r>
      <w:r>
        <w:rPr>
          <w:spacing w:val="-8"/>
        </w:rPr>
        <w:t> </w:t>
      </w:r>
      <w:r>
        <w:rPr>
          <w:spacing w:val="-6"/>
        </w:rPr>
        <w:t>providing</w:t>
      </w:r>
      <w:r>
        <w:rPr>
          <w:spacing w:val="-8"/>
        </w:rPr>
        <w:t> </w:t>
      </w:r>
      <w:r>
        <w:rPr>
          <w:spacing w:val="-6"/>
        </w:rPr>
        <w:t>exposure</w:t>
      </w:r>
      <w:r>
        <w:rPr>
          <w:spacing w:val="-5"/>
        </w:rPr>
        <w:t> </w:t>
      </w:r>
      <w:r>
        <w:rPr>
          <w:spacing w:val="-6"/>
        </w:rPr>
        <w:t>to scientific developments.</w:t>
      </w:r>
      <w:r>
        <w:rPr>
          <w:spacing w:val="-8"/>
        </w:rPr>
        <w:t> </w:t>
      </w:r>
      <w:r>
        <w:rPr>
          <w:spacing w:val="-6"/>
        </w:rPr>
        <w:t>Tribal </w:t>
      </w:r>
      <w:r>
        <w:rPr>
          <w:w w:val="90"/>
        </w:rPr>
        <w:t>schools should be equipped with teachers who are trained </w:t>
      </w:r>
      <w:r>
        <w:rPr>
          <w:spacing w:val="-4"/>
        </w:rPr>
        <w:t>in pedagogical methods suited to special needs of tribal </w:t>
      </w:r>
      <w:r>
        <w:rPr>
          <w:spacing w:val="-2"/>
        </w:rPr>
        <w:t>kids.</w:t>
      </w:r>
      <w:r>
        <w:rPr>
          <w:spacing w:val="-12"/>
        </w:rPr>
        <w:t> </w:t>
      </w:r>
      <w:r>
        <w:rPr>
          <w:spacing w:val="-2"/>
        </w:rPr>
        <w:t>They</w:t>
      </w:r>
      <w:r>
        <w:rPr>
          <w:spacing w:val="-10"/>
        </w:rPr>
        <w:t> </w:t>
      </w:r>
      <w:r>
        <w:rPr>
          <w:spacing w:val="-2"/>
        </w:rPr>
        <w:t>should</w:t>
      </w:r>
      <w:r>
        <w:rPr>
          <w:spacing w:val="-8"/>
        </w:rPr>
        <w:t> </w:t>
      </w:r>
      <w:r>
        <w:rPr>
          <w:spacing w:val="-2"/>
        </w:rPr>
        <w:t>be</w:t>
      </w:r>
      <w:r>
        <w:rPr>
          <w:spacing w:val="-8"/>
        </w:rPr>
        <w:t> </w:t>
      </w:r>
      <w:r>
        <w:rPr>
          <w:spacing w:val="-2"/>
        </w:rPr>
        <w:t>well</w:t>
      </w:r>
      <w:r>
        <w:rPr>
          <w:spacing w:val="-8"/>
        </w:rPr>
        <w:t> </w:t>
      </w:r>
      <w:r>
        <w:rPr>
          <w:spacing w:val="-2"/>
        </w:rPr>
        <w:t>versed</w:t>
      </w:r>
      <w:r>
        <w:rPr>
          <w:spacing w:val="-8"/>
        </w:rPr>
        <w:t> </w:t>
      </w:r>
      <w:r>
        <w:rPr>
          <w:spacing w:val="-2"/>
        </w:rPr>
        <w:t>in</w:t>
      </w:r>
      <w:r>
        <w:rPr>
          <w:spacing w:val="-8"/>
        </w:rPr>
        <w:t> </w:t>
      </w:r>
      <w:r>
        <w:rPr>
          <w:spacing w:val="-2"/>
        </w:rPr>
        <w:t>local</w:t>
      </w:r>
      <w:r>
        <w:rPr>
          <w:spacing w:val="-8"/>
        </w:rPr>
        <w:t> </w:t>
      </w:r>
      <w:r>
        <w:rPr>
          <w:spacing w:val="-2"/>
        </w:rPr>
        <w:t>tribal</w:t>
      </w:r>
      <w:r>
        <w:rPr>
          <w:spacing w:val="-8"/>
        </w:rPr>
        <w:t> </w:t>
      </w:r>
      <w:r>
        <w:rPr>
          <w:spacing w:val="-2"/>
        </w:rPr>
        <w:t>dialect. Science</w:t>
      </w:r>
      <w:r>
        <w:rPr>
          <w:spacing w:val="-9"/>
        </w:rPr>
        <w:t> </w:t>
      </w:r>
      <w:r>
        <w:rPr>
          <w:spacing w:val="-2"/>
        </w:rPr>
        <w:t>subjects</w:t>
      </w:r>
      <w:r>
        <w:rPr>
          <w:spacing w:val="-9"/>
        </w:rPr>
        <w:t> </w:t>
      </w:r>
      <w:r>
        <w:rPr>
          <w:spacing w:val="-2"/>
        </w:rPr>
        <w:t>should</w:t>
      </w:r>
      <w:r>
        <w:rPr>
          <w:spacing w:val="-9"/>
        </w:rPr>
        <w:t> </w:t>
      </w:r>
      <w:r>
        <w:rPr>
          <w:spacing w:val="-2"/>
        </w:rPr>
        <w:t>be</w:t>
      </w:r>
      <w:r>
        <w:rPr>
          <w:spacing w:val="-9"/>
        </w:rPr>
        <w:t> </w:t>
      </w:r>
      <w:r>
        <w:rPr>
          <w:spacing w:val="-2"/>
        </w:rPr>
        <w:t>taught</w:t>
      </w:r>
      <w:r>
        <w:rPr>
          <w:spacing w:val="-9"/>
        </w:rPr>
        <w:t> </w:t>
      </w:r>
      <w:r>
        <w:rPr>
          <w:spacing w:val="-2"/>
        </w:rPr>
        <w:t>in</w:t>
      </w:r>
      <w:r>
        <w:rPr>
          <w:spacing w:val="-9"/>
        </w:rPr>
        <w:t> </w:t>
      </w:r>
      <w:r>
        <w:rPr>
          <w:spacing w:val="-2"/>
        </w:rPr>
        <w:t>local</w:t>
      </w:r>
      <w:r>
        <w:rPr>
          <w:spacing w:val="-9"/>
        </w:rPr>
        <w:t> </w:t>
      </w:r>
      <w:r>
        <w:rPr>
          <w:spacing w:val="-2"/>
        </w:rPr>
        <w:t>language</w:t>
      </w:r>
      <w:r>
        <w:rPr>
          <w:spacing w:val="-9"/>
        </w:rPr>
        <w:t> </w:t>
      </w:r>
      <w:r>
        <w:rPr>
          <w:spacing w:val="-2"/>
        </w:rPr>
        <w:t>till mid-school</w:t>
      </w:r>
      <w:r>
        <w:rPr>
          <w:spacing w:val="-9"/>
        </w:rPr>
        <w:t> </w:t>
      </w:r>
      <w:r>
        <w:rPr>
          <w:spacing w:val="-2"/>
        </w:rPr>
        <w:t>level.</w:t>
      </w:r>
      <w:r>
        <w:rPr>
          <w:spacing w:val="-9"/>
        </w:rPr>
        <w:t> </w:t>
      </w:r>
      <w:r>
        <w:rPr>
          <w:spacing w:val="-2"/>
        </w:rPr>
        <w:t>However,</w:t>
      </w:r>
      <w:r>
        <w:rPr>
          <w:spacing w:val="-9"/>
        </w:rPr>
        <w:t> </w:t>
      </w:r>
      <w:r>
        <w:rPr>
          <w:spacing w:val="-2"/>
        </w:rPr>
        <w:t>the</w:t>
      </w:r>
      <w:r>
        <w:rPr>
          <w:spacing w:val="-9"/>
        </w:rPr>
        <w:t> </w:t>
      </w:r>
      <w:r>
        <w:rPr>
          <w:spacing w:val="-2"/>
        </w:rPr>
        <w:t>teacher</w:t>
      </w:r>
      <w:r>
        <w:rPr>
          <w:spacing w:val="-9"/>
        </w:rPr>
        <w:t> </w:t>
      </w:r>
      <w:r>
        <w:rPr>
          <w:spacing w:val="-2"/>
        </w:rPr>
        <w:t>should</w:t>
      </w:r>
      <w:r>
        <w:rPr>
          <w:spacing w:val="-9"/>
        </w:rPr>
        <w:t> </w:t>
      </w:r>
      <w:r>
        <w:rPr>
          <w:spacing w:val="-2"/>
        </w:rPr>
        <w:t>explain </w:t>
      </w:r>
      <w:r>
        <w:rPr/>
        <w:t>fundamental</w:t>
      </w:r>
      <w:r>
        <w:rPr>
          <w:spacing w:val="-14"/>
        </w:rPr>
        <w:t> </w:t>
      </w:r>
      <w:r>
        <w:rPr/>
        <w:t>concepts</w:t>
      </w:r>
      <w:r>
        <w:rPr>
          <w:spacing w:val="-14"/>
        </w:rPr>
        <w:t> </w:t>
      </w:r>
      <w:r>
        <w:rPr/>
        <w:t>in</w:t>
      </w:r>
      <w:r>
        <w:rPr>
          <w:spacing w:val="-13"/>
        </w:rPr>
        <w:t> </w:t>
      </w:r>
      <w:r>
        <w:rPr/>
        <w:t>tribal</w:t>
      </w:r>
      <w:r>
        <w:rPr>
          <w:spacing w:val="-14"/>
        </w:rPr>
        <w:t> </w:t>
      </w:r>
      <w:r>
        <w:rPr/>
        <w:t>dialect</w:t>
      </w:r>
      <w:r>
        <w:rPr>
          <w:spacing w:val="-14"/>
        </w:rPr>
        <w:t> </w:t>
      </w:r>
      <w:r>
        <w:rPr/>
        <w:t>to</w:t>
      </w:r>
      <w:r>
        <w:rPr>
          <w:spacing w:val="-13"/>
        </w:rPr>
        <w:t> </w:t>
      </w:r>
      <w:r>
        <w:rPr/>
        <w:t>ensure</w:t>
      </w:r>
      <w:r>
        <w:rPr>
          <w:spacing w:val="-14"/>
        </w:rPr>
        <w:t> </w:t>
      </w:r>
      <w:r>
        <w:rPr/>
        <w:t>sound conceptual understanding. Tribal dialect can be used </w:t>
      </w:r>
      <w:r>
        <w:rPr>
          <w:spacing w:val="-2"/>
        </w:rPr>
        <w:t>for</w:t>
      </w:r>
      <w:r>
        <w:rPr>
          <w:spacing w:val="-9"/>
        </w:rPr>
        <w:t> </w:t>
      </w:r>
      <w:r>
        <w:rPr>
          <w:spacing w:val="-2"/>
        </w:rPr>
        <w:t>evaluation</w:t>
      </w:r>
      <w:r>
        <w:rPr>
          <w:spacing w:val="-9"/>
        </w:rPr>
        <w:t> </w:t>
      </w:r>
      <w:r>
        <w:rPr>
          <w:spacing w:val="-2"/>
        </w:rPr>
        <w:t>purposes</w:t>
      </w:r>
      <w:r>
        <w:rPr>
          <w:spacing w:val="-9"/>
        </w:rPr>
        <w:t> </w:t>
      </w:r>
      <w:r>
        <w:rPr>
          <w:spacing w:val="-2"/>
        </w:rPr>
        <w:t>too</w:t>
      </w:r>
      <w:r>
        <w:rPr>
          <w:spacing w:val="-9"/>
        </w:rPr>
        <w:t> </w:t>
      </w:r>
      <w:r>
        <w:rPr>
          <w:spacing w:val="-2"/>
        </w:rPr>
        <w:t>at</w:t>
      </w:r>
      <w:r>
        <w:rPr>
          <w:spacing w:val="-9"/>
        </w:rPr>
        <w:t> </w:t>
      </w:r>
      <w:r>
        <w:rPr>
          <w:spacing w:val="-2"/>
        </w:rPr>
        <w:t>lower</w:t>
      </w:r>
      <w:r>
        <w:rPr>
          <w:spacing w:val="-9"/>
        </w:rPr>
        <w:t> </w:t>
      </w:r>
      <w:r>
        <w:rPr>
          <w:spacing w:val="-2"/>
        </w:rPr>
        <w:t>levels.</w:t>
      </w:r>
      <w:r>
        <w:rPr>
          <w:spacing w:val="-9"/>
        </w:rPr>
        <w:t> </w:t>
      </w:r>
      <w:r>
        <w:rPr>
          <w:spacing w:val="-2"/>
        </w:rPr>
        <w:t>Nutritional </w:t>
      </w:r>
      <w:r>
        <w:rPr>
          <w:spacing w:val="-4"/>
        </w:rPr>
        <w:t>requirements</w:t>
      </w:r>
      <w:r>
        <w:rPr>
          <w:spacing w:val="-7"/>
        </w:rPr>
        <w:t> </w:t>
      </w:r>
      <w:r>
        <w:rPr>
          <w:spacing w:val="-4"/>
        </w:rPr>
        <w:t>of</w:t>
      </w:r>
      <w:r>
        <w:rPr>
          <w:spacing w:val="-7"/>
        </w:rPr>
        <w:t> </w:t>
      </w:r>
      <w:r>
        <w:rPr>
          <w:spacing w:val="-4"/>
        </w:rPr>
        <w:t>tribal</w:t>
      </w:r>
      <w:r>
        <w:rPr>
          <w:spacing w:val="-7"/>
        </w:rPr>
        <w:t> </w:t>
      </w:r>
      <w:r>
        <w:rPr>
          <w:spacing w:val="-4"/>
        </w:rPr>
        <w:t>children</w:t>
      </w:r>
      <w:r>
        <w:rPr>
          <w:spacing w:val="-7"/>
        </w:rPr>
        <w:t> </w:t>
      </w:r>
      <w:r>
        <w:rPr>
          <w:spacing w:val="-4"/>
        </w:rPr>
        <w:t>should</w:t>
      </w:r>
      <w:r>
        <w:rPr>
          <w:spacing w:val="-7"/>
        </w:rPr>
        <w:t> </w:t>
      </w:r>
      <w:r>
        <w:rPr>
          <w:spacing w:val="-4"/>
        </w:rPr>
        <w:t>be</w:t>
      </w:r>
      <w:r>
        <w:rPr>
          <w:spacing w:val="-7"/>
        </w:rPr>
        <w:t> </w:t>
      </w:r>
      <w:r>
        <w:rPr>
          <w:spacing w:val="-4"/>
        </w:rPr>
        <w:t>taken</w:t>
      </w:r>
      <w:r>
        <w:rPr>
          <w:spacing w:val="-7"/>
        </w:rPr>
        <w:t> </w:t>
      </w:r>
      <w:r>
        <w:rPr>
          <w:spacing w:val="-4"/>
        </w:rPr>
        <w:t>care</w:t>
      </w:r>
      <w:r>
        <w:rPr>
          <w:spacing w:val="-7"/>
        </w:rPr>
        <w:t> </w:t>
      </w:r>
      <w:r>
        <w:rPr>
          <w:spacing w:val="-4"/>
        </w:rPr>
        <w:t>off. </w:t>
      </w:r>
      <w:r>
        <w:rPr>
          <w:spacing w:val="-2"/>
        </w:rPr>
        <w:t>Migration</w:t>
      </w:r>
      <w:r>
        <w:rPr>
          <w:spacing w:val="-8"/>
        </w:rPr>
        <w:t> </w:t>
      </w:r>
      <w:r>
        <w:rPr>
          <w:spacing w:val="-2"/>
        </w:rPr>
        <w:t>is</w:t>
      </w:r>
      <w:r>
        <w:rPr>
          <w:spacing w:val="-8"/>
        </w:rPr>
        <w:t> </w:t>
      </w:r>
      <w:r>
        <w:rPr>
          <w:spacing w:val="-2"/>
        </w:rPr>
        <w:t>a</w:t>
      </w:r>
      <w:r>
        <w:rPr>
          <w:spacing w:val="-8"/>
        </w:rPr>
        <w:t> </w:t>
      </w:r>
      <w:r>
        <w:rPr>
          <w:spacing w:val="-2"/>
        </w:rPr>
        <w:t>major</w:t>
      </w:r>
      <w:r>
        <w:rPr>
          <w:spacing w:val="-8"/>
        </w:rPr>
        <w:t> </w:t>
      </w:r>
      <w:r>
        <w:rPr>
          <w:spacing w:val="-2"/>
        </w:rPr>
        <w:t>problem</w:t>
      </w:r>
      <w:r>
        <w:rPr>
          <w:spacing w:val="-8"/>
        </w:rPr>
        <w:t> </w:t>
      </w:r>
      <w:r>
        <w:rPr>
          <w:spacing w:val="-2"/>
        </w:rPr>
        <w:t>which</w:t>
      </w:r>
      <w:r>
        <w:rPr>
          <w:spacing w:val="-8"/>
        </w:rPr>
        <w:t> </w:t>
      </w:r>
      <w:r>
        <w:rPr>
          <w:spacing w:val="-2"/>
        </w:rPr>
        <w:t>hinders</w:t>
      </w:r>
      <w:r>
        <w:rPr>
          <w:spacing w:val="-8"/>
        </w:rPr>
        <w:t> </w:t>
      </w:r>
      <w:r>
        <w:rPr>
          <w:spacing w:val="-2"/>
        </w:rPr>
        <w:t>education </w:t>
      </w:r>
      <w:r>
        <w:rPr/>
        <w:t>of</w:t>
      </w:r>
      <w:r>
        <w:rPr>
          <w:spacing w:val="-9"/>
        </w:rPr>
        <w:t> </w:t>
      </w:r>
      <w:r>
        <w:rPr/>
        <w:t>tribal</w:t>
      </w:r>
      <w:r>
        <w:rPr>
          <w:spacing w:val="-9"/>
        </w:rPr>
        <w:t> </w:t>
      </w:r>
      <w:r>
        <w:rPr/>
        <w:t>children.</w:t>
      </w:r>
      <w:r>
        <w:rPr>
          <w:spacing w:val="-9"/>
        </w:rPr>
        <w:t> </w:t>
      </w:r>
      <w:r>
        <w:rPr/>
        <w:t>Hostel</w:t>
      </w:r>
      <w:r>
        <w:rPr>
          <w:spacing w:val="-9"/>
        </w:rPr>
        <w:t> </w:t>
      </w:r>
      <w:r>
        <w:rPr/>
        <w:t>facilities</w:t>
      </w:r>
      <w:r>
        <w:rPr>
          <w:spacing w:val="-9"/>
        </w:rPr>
        <w:t> </w:t>
      </w:r>
      <w:r>
        <w:rPr/>
        <w:t>should</w:t>
      </w:r>
      <w:r>
        <w:rPr>
          <w:spacing w:val="-9"/>
        </w:rPr>
        <w:t> </w:t>
      </w:r>
      <w:r>
        <w:rPr/>
        <w:t>be</w:t>
      </w:r>
      <w:r>
        <w:rPr>
          <w:spacing w:val="-9"/>
        </w:rPr>
        <w:t> </w:t>
      </w:r>
      <w:r>
        <w:rPr/>
        <w:t>provided for older students to ensure continuity in learning.</w:t>
      </w:r>
    </w:p>
    <w:p>
      <w:pPr>
        <w:pStyle w:val="Heading6"/>
        <w:spacing w:line="182" w:lineRule="auto" w:before="248"/>
        <w:ind w:left="1583" w:hanging="504"/>
      </w:pPr>
      <w:r>
        <w:rPr>
          <w:color w:val="2E614A"/>
          <w:w w:val="90"/>
        </w:rPr>
        <w:t>III. Career Opportunities, </w:t>
      </w:r>
      <w:r>
        <w:rPr>
          <w:color w:val="2E614A"/>
          <w:w w:val="90"/>
        </w:rPr>
        <w:t>Outreach </w:t>
      </w:r>
      <w:r>
        <w:rPr>
          <w:color w:val="2E614A"/>
          <w:spacing w:val="-4"/>
        </w:rPr>
        <w:t>and</w:t>
      </w:r>
      <w:r>
        <w:rPr>
          <w:color w:val="2E614A"/>
          <w:spacing w:val="-16"/>
        </w:rPr>
        <w:t> </w:t>
      </w:r>
      <w:r>
        <w:rPr>
          <w:color w:val="2E614A"/>
          <w:spacing w:val="-4"/>
        </w:rPr>
        <w:t>Industry</w:t>
      </w:r>
      <w:r>
        <w:rPr>
          <w:color w:val="2E614A"/>
          <w:spacing w:val="-16"/>
        </w:rPr>
        <w:t> </w:t>
      </w:r>
      <w:r>
        <w:rPr>
          <w:color w:val="2E614A"/>
          <w:spacing w:val="-4"/>
        </w:rPr>
        <w:t>Participation</w:t>
      </w:r>
    </w:p>
    <w:p>
      <w:pPr>
        <w:pStyle w:val="Heading7"/>
        <w:spacing w:line="225" w:lineRule="auto" w:before="280"/>
        <w:ind w:left="1080"/>
      </w:pPr>
      <w:r>
        <w:rPr>
          <w:color w:val="2E614A"/>
          <w:w w:val="90"/>
        </w:rPr>
        <w:t>Recommendation 8: Re-brand and </w:t>
      </w:r>
      <w:r>
        <w:rPr>
          <w:color w:val="2E614A"/>
          <w:w w:val="90"/>
        </w:rPr>
        <w:t>promote </w:t>
      </w:r>
      <w:r>
        <w:rPr>
          <w:color w:val="2E614A"/>
          <w:spacing w:val="-2"/>
        </w:rPr>
        <w:t>careers</w:t>
      </w:r>
      <w:r>
        <w:rPr>
          <w:color w:val="2E614A"/>
          <w:spacing w:val="-15"/>
        </w:rPr>
        <w:t> </w:t>
      </w:r>
      <w:r>
        <w:rPr>
          <w:color w:val="2E614A"/>
          <w:spacing w:val="-2"/>
        </w:rPr>
        <w:t>in</w:t>
      </w:r>
      <w:r>
        <w:rPr>
          <w:color w:val="2E614A"/>
          <w:spacing w:val="-14"/>
        </w:rPr>
        <w:t> </w:t>
      </w:r>
      <w:r>
        <w:rPr>
          <w:color w:val="2E614A"/>
          <w:spacing w:val="-2"/>
        </w:rPr>
        <w:t>basic</w:t>
      </w:r>
      <w:r>
        <w:rPr>
          <w:color w:val="2E614A"/>
          <w:spacing w:val="-14"/>
        </w:rPr>
        <w:t> </w:t>
      </w:r>
      <w:r>
        <w:rPr>
          <w:color w:val="2E614A"/>
          <w:spacing w:val="-2"/>
        </w:rPr>
        <w:t>sciences</w:t>
      </w:r>
    </w:p>
    <w:p>
      <w:pPr>
        <w:pStyle w:val="BodyText"/>
        <w:spacing w:before="1"/>
        <w:rPr>
          <w:b/>
          <w:sz w:val="26"/>
        </w:rPr>
      </w:pPr>
    </w:p>
    <w:p>
      <w:pPr>
        <w:pStyle w:val="BodyText"/>
        <w:spacing w:line="266" w:lineRule="auto"/>
        <w:ind w:left="1080"/>
        <w:jc w:val="both"/>
      </w:pPr>
      <w:r>
        <w:rPr/>
        <w:t>The prime reason that students opt for </w:t>
      </w:r>
      <w:r>
        <w:rPr/>
        <w:t>professional courses is the perception that there are no attractive </w:t>
      </w:r>
      <w:r>
        <w:rPr>
          <w:spacing w:val="-4"/>
        </w:rPr>
        <w:t>career</w:t>
      </w:r>
      <w:r>
        <w:rPr>
          <w:spacing w:val="-12"/>
        </w:rPr>
        <w:t> </w:t>
      </w:r>
      <w:r>
        <w:rPr>
          <w:spacing w:val="-4"/>
        </w:rPr>
        <w:t>opportunities</w:t>
      </w:r>
      <w:r>
        <w:rPr>
          <w:spacing w:val="-10"/>
        </w:rPr>
        <w:t> </w:t>
      </w:r>
      <w:r>
        <w:rPr>
          <w:spacing w:val="-4"/>
        </w:rPr>
        <w:t>in</w:t>
      </w:r>
      <w:r>
        <w:rPr>
          <w:spacing w:val="-10"/>
        </w:rPr>
        <w:t> </w:t>
      </w:r>
      <w:r>
        <w:rPr>
          <w:spacing w:val="-4"/>
        </w:rPr>
        <w:t>sciences.</w:t>
      </w:r>
      <w:r>
        <w:rPr>
          <w:spacing w:val="-9"/>
        </w:rPr>
        <w:t> </w:t>
      </w:r>
      <w:r>
        <w:rPr>
          <w:spacing w:val="-4"/>
        </w:rPr>
        <w:t>There</w:t>
      </w:r>
      <w:r>
        <w:rPr>
          <w:spacing w:val="-10"/>
        </w:rPr>
        <w:t> </w:t>
      </w:r>
      <w:r>
        <w:rPr>
          <w:spacing w:val="-4"/>
        </w:rPr>
        <w:t>is</w:t>
      </w:r>
      <w:r>
        <w:rPr>
          <w:spacing w:val="-10"/>
        </w:rPr>
        <w:t> </w:t>
      </w:r>
      <w:r>
        <w:rPr>
          <w:spacing w:val="-4"/>
        </w:rPr>
        <w:t>an</w:t>
      </w:r>
      <w:r>
        <w:rPr>
          <w:spacing w:val="-10"/>
        </w:rPr>
        <w:t> </w:t>
      </w:r>
      <w:r>
        <w:rPr>
          <w:spacing w:val="-4"/>
        </w:rPr>
        <w:t>urgent</w:t>
      </w:r>
      <w:r>
        <w:rPr>
          <w:spacing w:val="-9"/>
        </w:rPr>
        <w:t> </w:t>
      </w:r>
      <w:r>
        <w:rPr>
          <w:spacing w:val="-4"/>
        </w:rPr>
        <w:t>need </w:t>
      </w:r>
      <w:r>
        <w:rPr>
          <w:spacing w:val="-2"/>
        </w:rPr>
        <w:t>on</w:t>
      </w:r>
      <w:r>
        <w:rPr>
          <w:spacing w:val="-14"/>
        </w:rPr>
        <w:t> </w:t>
      </w:r>
      <w:r>
        <w:rPr>
          <w:spacing w:val="-2"/>
        </w:rPr>
        <w:t>the</w:t>
      </w:r>
      <w:r>
        <w:rPr>
          <w:spacing w:val="-12"/>
        </w:rPr>
        <w:t> </w:t>
      </w:r>
      <w:r>
        <w:rPr>
          <w:spacing w:val="-2"/>
        </w:rPr>
        <w:t>part</w:t>
      </w:r>
      <w:r>
        <w:rPr>
          <w:spacing w:val="-12"/>
        </w:rPr>
        <w:t> </w:t>
      </w:r>
      <w:r>
        <w:rPr>
          <w:spacing w:val="-2"/>
        </w:rPr>
        <w:t>of</w:t>
      </w:r>
      <w:r>
        <w:rPr>
          <w:spacing w:val="-11"/>
        </w:rPr>
        <w:t> </w:t>
      </w:r>
      <w:r>
        <w:rPr>
          <w:spacing w:val="-2"/>
        </w:rPr>
        <w:t>all</w:t>
      </w:r>
      <w:r>
        <w:rPr>
          <w:spacing w:val="-12"/>
        </w:rPr>
        <w:t> </w:t>
      </w:r>
      <w:r>
        <w:rPr>
          <w:spacing w:val="-2"/>
        </w:rPr>
        <w:t>science</w:t>
      </w:r>
      <w:r>
        <w:rPr>
          <w:spacing w:val="-12"/>
        </w:rPr>
        <w:t> </w:t>
      </w:r>
      <w:r>
        <w:rPr>
          <w:spacing w:val="-2"/>
        </w:rPr>
        <w:t>teaching</w:t>
      </w:r>
      <w:r>
        <w:rPr>
          <w:spacing w:val="-12"/>
        </w:rPr>
        <w:t> </w:t>
      </w:r>
      <w:r>
        <w:rPr>
          <w:spacing w:val="-2"/>
        </w:rPr>
        <w:t>colleges,</w:t>
      </w:r>
      <w:r>
        <w:rPr>
          <w:spacing w:val="-11"/>
        </w:rPr>
        <w:t> </w:t>
      </w:r>
      <w:r>
        <w:rPr>
          <w:spacing w:val="-2"/>
        </w:rPr>
        <w:t>universities </w:t>
      </w:r>
      <w:r>
        <w:rPr/>
        <w:t>and</w:t>
      </w:r>
      <w:r>
        <w:rPr>
          <w:spacing w:val="-14"/>
        </w:rPr>
        <w:t> </w:t>
      </w:r>
      <w:r>
        <w:rPr/>
        <w:t>institutes</w:t>
      </w:r>
      <w:r>
        <w:rPr>
          <w:spacing w:val="-14"/>
        </w:rPr>
        <w:t> </w:t>
      </w:r>
      <w:r>
        <w:rPr/>
        <w:t>to</w:t>
      </w:r>
      <w:r>
        <w:rPr>
          <w:spacing w:val="-14"/>
        </w:rPr>
        <w:t> </w:t>
      </w:r>
      <w:r>
        <w:rPr/>
        <w:t>better</w:t>
      </w:r>
      <w:r>
        <w:rPr>
          <w:spacing w:val="-13"/>
        </w:rPr>
        <w:t> </w:t>
      </w:r>
      <w:r>
        <w:rPr/>
        <w:t>brand</w:t>
      </w:r>
      <w:r>
        <w:rPr>
          <w:spacing w:val="-14"/>
        </w:rPr>
        <w:t> </w:t>
      </w:r>
      <w:r>
        <w:rPr/>
        <w:t>the</w:t>
      </w:r>
      <w:r>
        <w:rPr>
          <w:spacing w:val="-14"/>
        </w:rPr>
        <w:t> </w:t>
      </w:r>
      <w:r>
        <w:rPr/>
        <w:t>careers</w:t>
      </w:r>
      <w:r>
        <w:rPr>
          <w:spacing w:val="-14"/>
        </w:rPr>
        <w:t> </w:t>
      </w:r>
      <w:r>
        <w:rPr/>
        <w:t>in</w:t>
      </w:r>
      <w:r>
        <w:rPr>
          <w:spacing w:val="-13"/>
        </w:rPr>
        <w:t> </w:t>
      </w:r>
      <w:r>
        <w:rPr/>
        <w:t>science</w:t>
      </w:r>
      <w:r>
        <w:rPr>
          <w:spacing w:val="-14"/>
        </w:rPr>
        <w:t> </w:t>
      </w:r>
      <w:r>
        <w:rPr/>
        <w:t>and to</w:t>
      </w:r>
      <w:r>
        <w:rPr>
          <w:spacing w:val="-14"/>
        </w:rPr>
        <w:t> </w:t>
      </w:r>
      <w:r>
        <w:rPr/>
        <w:t>spread</w:t>
      </w:r>
      <w:r>
        <w:rPr>
          <w:spacing w:val="-14"/>
        </w:rPr>
        <w:t> </w:t>
      </w:r>
      <w:r>
        <w:rPr/>
        <w:t>awareness</w:t>
      </w:r>
      <w:r>
        <w:rPr>
          <w:spacing w:val="-14"/>
        </w:rPr>
        <w:t> </w:t>
      </w:r>
      <w:r>
        <w:rPr/>
        <w:t>of</w:t>
      </w:r>
      <w:r>
        <w:rPr>
          <w:spacing w:val="-13"/>
        </w:rPr>
        <w:t> </w:t>
      </w:r>
      <w:r>
        <w:rPr/>
        <w:t>increasing</w:t>
      </w:r>
      <w:r>
        <w:rPr>
          <w:spacing w:val="-14"/>
        </w:rPr>
        <w:t> </w:t>
      </w:r>
      <w:r>
        <w:rPr/>
        <w:t>career</w:t>
      </w:r>
      <w:r>
        <w:rPr>
          <w:spacing w:val="-14"/>
        </w:rPr>
        <w:t> </w:t>
      </w:r>
      <w:r>
        <w:rPr/>
        <w:t>opportunities in basic sciences.</w:t>
      </w:r>
    </w:p>
    <w:p>
      <w:pPr>
        <w:pStyle w:val="BodyText"/>
        <w:spacing w:before="21"/>
      </w:pPr>
    </w:p>
    <w:p>
      <w:pPr>
        <w:pStyle w:val="BodyText"/>
        <w:spacing w:line="266" w:lineRule="auto" w:before="1"/>
        <w:ind w:left="1080"/>
        <w:jc w:val="both"/>
      </w:pPr>
      <w:r>
        <w:rPr>
          <w:b/>
          <w:spacing w:val="-4"/>
        </w:rPr>
        <w:t>Issues:</w:t>
      </w:r>
      <w:r>
        <w:rPr>
          <w:b/>
          <w:spacing w:val="-12"/>
        </w:rPr>
        <w:t> </w:t>
      </w:r>
      <w:r>
        <w:rPr>
          <w:spacing w:val="-4"/>
        </w:rPr>
        <w:t>Financial</w:t>
      </w:r>
      <w:r>
        <w:rPr>
          <w:spacing w:val="-10"/>
        </w:rPr>
        <w:t> </w:t>
      </w:r>
      <w:r>
        <w:rPr>
          <w:spacing w:val="-4"/>
        </w:rPr>
        <w:t>unattractiveness</w:t>
      </w:r>
      <w:r>
        <w:rPr>
          <w:spacing w:val="-10"/>
        </w:rPr>
        <w:t> </w:t>
      </w:r>
      <w:r>
        <w:rPr>
          <w:spacing w:val="-4"/>
        </w:rPr>
        <w:t>at</w:t>
      </w:r>
      <w:r>
        <w:rPr>
          <w:spacing w:val="-9"/>
        </w:rPr>
        <w:t> </w:t>
      </w:r>
      <w:r>
        <w:rPr>
          <w:spacing w:val="-4"/>
        </w:rPr>
        <w:t>all</w:t>
      </w:r>
      <w:r>
        <w:rPr>
          <w:spacing w:val="-10"/>
        </w:rPr>
        <w:t> </w:t>
      </w:r>
      <w:r>
        <w:rPr>
          <w:spacing w:val="-4"/>
        </w:rPr>
        <w:t>levels</w:t>
      </w:r>
      <w:r>
        <w:rPr>
          <w:spacing w:val="-10"/>
        </w:rPr>
        <w:t> </w:t>
      </w:r>
      <w:r>
        <w:rPr>
          <w:spacing w:val="-4"/>
        </w:rPr>
        <w:t>is</w:t>
      </w:r>
      <w:r>
        <w:rPr>
          <w:spacing w:val="-10"/>
        </w:rPr>
        <w:t> </w:t>
      </w:r>
      <w:r>
        <w:rPr>
          <w:spacing w:val="-4"/>
        </w:rPr>
        <w:t>a</w:t>
      </w:r>
      <w:r>
        <w:rPr>
          <w:spacing w:val="-9"/>
        </w:rPr>
        <w:t> </w:t>
      </w:r>
      <w:r>
        <w:rPr>
          <w:spacing w:val="-4"/>
        </w:rPr>
        <w:t>major </w:t>
      </w:r>
      <w:r>
        <w:rPr/>
        <w:t>reason</w:t>
      </w:r>
      <w:r>
        <w:rPr>
          <w:spacing w:val="-14"/>
        </w:rPr>
        <w:t> </w:t>
      </w:r>
      <w:r>
        <w:rPr/>
        <w:t>for</w:t>
      </w:r>
      <w:r>
        <w:rPr>
          <w:spacing w:val="-10"/>
        </w:rPr>
        <w:t> </w:t>
      </w:r>
      <w:r>
        <w:rPr/>
        <w:t>the</w:t>
      </w:r>
      <w:r>
        <w:rPr>
          <w:spacing w:val="-11"/>
        </w:rPr>
        <w:t> </w:t>
      </w:r>
      <w:r>
        <w:rPr/>
        <w:t>downfall</w:t>
      </w:r>
      <w:r>
        <w:rPr>
          <w:spacing w:val="-11"/>
        </w:rPr>
        <w:t> </w:t>
      </w:r>
      <w:r>
        <w:rPr/>
        <w:t>of</w:t>
      </w:r>
      <w:r>
        <w:rPr>
          <w:spacing w:val="-11"/>
        </w:rPr>
        <w:t> </w:t>
      </w:r>
      <w:r>
        <w:rPr/>
        <w:t>interest</w:t>
      </w:r>
      <w:r>
        <w:rPr>
          <w:spacing w:val="-11"/>
        </w:rPr>
        <w:t> </w:t>
      </w:r>
      <w:r>
        <w:rPr/>
        <w:t>in</w:t>
      </w:r>
      <w:r>
        <w:rPr>
          <w:spacing w:val="-11"/>
        </w:rPr>
        <w:t> </w:t>
      </w:r>
      <w:r>
        <w:rPr/>
        <w:t>science.</w:t>
      </w:r>
      <w:r>
        <w:rPr>
          <w:spacing w:val="-14"/>
        </w:rPr>
        <w:t> </w:t>
      </w:r>
      <w:r>
        <w:rPr/>
        <w:t>The</w:t>
      </w:r>
      <w:r>
        <w:rPr>
          <w:spacing w:val="-11"/>
        </w:rPr>
        <w:t> </w:t>
      </w:r>
      <w:r>
        <w:rPr/>
        <w:t>two main occupations associated with pure sciences are </w:t>
      </w:r>
      <w:r>
        <w:rPr>
          <w:spacing w:val="-2"/>
        </w:rPr>
        <w:t>teaching</w:t>
      </w:r>
      <w:r>
        <w:rPr>
          <w:spacing w:val="-12"/>
        </w:rPr>
        <w:t> </w:t>
      </w:r>
      <w:r>
        <w:rPr>
          <w:spacing w:val="-2"/>
        </w:rPr>
        <w:t>and</w:t>
      </w:r>
      <w:r>
        <w:rPr>
          <w:spacing w:val="-12"/>
        </w:rPr>
        <w:t> </w:t>
      </w:r>
      <w:r>
        <w:rPr>
          <w:spacing w:val="-2"/>
        </w:rPr>
        <w:t>research.</w:t>
      </w:r>
      <w:r>
        <w:rPr>
          <w:spacing w:val="-12"/>
        </w:rPr>
        <w:t> </w:t>
      </w:r>
      <w:r>
        <w:rPr>
          <w:spacing w:val="-2"/>
        </w:rPr>
        <w:t>Both</w:t>
      </w:r>
      <w:r>
        <w:rPr>
          <w:spacing w:val="-11"/>
        </w:rPr>
        <w:t> </w:t>
      </w:r>
      <w:r>
        <w:rPr>
          <w:spacing w:val="-2"/>
        </w:rPr>
        <w:t>careers</w:t>
      </w:r>
      <w:r>
        <w:rPr>
          <w:spacing w:val="-12"/>
        </w:rPr>
        <w:t> </w:t>
      </w:r>
      <w:r>
        <w:rPr>
          <w:spacing w:val="-2"/>
        </w:rPr>
        <w:t>no</w:t>
      </w:r>
      <w:r>
        <w:rPr>
          <w:spacing w:val="-12"/>
        </w:rPr>
        <w:t> </w:t>
      </w:r>
      <w:r>
        <w:rPr>
          <w:spacing w:val="-2"/>
        </w:rPr>
        <w:t>longer</w:t>
      </w:r>
      <w:r>
        <w:rPr>
          <w:spacing w:val="-12"/>
        </w:rPr>
        <w:t> </w:t>
      </w:r>
      <w:r>
        <w:rPr>
          <w:spacing w:val="-2"/>
        </w:rPr>
        <w:t>carry</w:t>
      </w:r>
      <w:r>
        <w:rPr>
          <w:spacing w:val="-11"/>
        </w:rPr>
        <w:t> </w:t>
      </w:r>
      <w:r>
        <w:rPr>
          <w:spacing w:val="-2"/>
        </w:rPr>
        <w:t>the </w:t>
      </w:r>
      <w:r>
        <w:rPr/>
        <w:t>respect</w:t>
      </w:r>
      <w:r>
        <w:rPr>
          <w:spacing w:val="-14"/>
        </w:rPr>
        <w:t> </w:t>
      </w:r>
      <w:r>
        <w:rPr/>
        <w:t>and</w:t>
      </w:r>
      <w:r>
        <w:rPr>
          <w:spacing w:val="-14"/>
        </w:rPr>
        <w:t> </w:t>
      </w:r>
      <w:r>
        <w:rPr/>
        <w:t>recognition</w:t>
      </w:r>
      <w:r>
        <w:rPr>
          <w:spacing w:val="-12"/>
        </w:rPr>
        <w:t> </w:t>
      </w:r>
      <w:r>
        <w:rPr/>
        <w:t>in</w:t>
      </w:r>
      <w:r>
        <w:rPr>
          <w:spacing w:val="-12"/>
        </w:rPr>
        <w:t> </w:t>
      </w:r>
      <w:r>
        <w:rPr/>
        <w:t>society</w:t>
      </w:r>
      <w:r>
        <w:rPr>
          <w:spacing w:val="-12"/>
        </w:rPr>
        <w:t> </w:t>
      </w:r>
      <w:r>
        <w:rPr/>
        <w:t>as</w:t>
      </w:r>
      <w:r>
        <w:rPr>
          <w:spacing w:val="-12"/>
        </w:rPr>
        <w:t> </w:t>
      </w:r>
      <w:r>
        <w:rPr/>
        <w:t>they</w:t>
      </w:r>
      <w:r>
        <w:rPr>
          <w:spacing w:val="-12"/>
        </w:rPr>
        <w:t> </w:t>
      </w:r>
      <w:r>
        <w:rPr/>
        <w:t>used</w:t>
      </w:r>
      <w:r>
        <w:rPr>
          <w:spacing w:val="-12"/>
        </w:rPr>
        <w:t> </w:t>
      </w:r>
      <w:r>
        <w:rPr/>
        <w:t>to.</w:t>
      </w:r>
      <w:r>
        <w:rPr>
          <w:spacing w:val="-14"/>
        </w:rPr>
        <w:t> </w:t>
      </w:r>
      <w:r>
        <w:rPr/>
        <w:t>The financial attractiveness of jobs in other streams pulls </w:t>
      </w:r>
      <w:r>
        <w:rPr>
          <w:spacing w:val="-4"/>
        </w:rPr>
        <w:t>students</w:t>
      </w:r>
      <w:r>
        <w:rPr>
          <w:spacing w:val="-10"/>
        </w:rPr>
        <w:t> </w:t>
      </w:r>
      <w:r>
        <w:rPr>
          <w:spacing w:val="-4"/>
        </w:rPr>
        <w:t>away</w:t>
      </w:r>
      <w:r>
        <w:rPr>
          <w:spacing w:val="-10"/>
        </w:rPr>
        <w:t> </w:t>
      </w:r>
      <w:r>
        <w:rPr>
          <w:spacing w:val="-4"/>
        </w:rPr>
        <w:t>from</w:t>
      </w:r>
      <w:r>
        <w:rPr>
          <w:spacing w:val="-10"/>
        </w:rPr>
        <w:t> </w:t>
      </w:r>
      <w:r>
        <w:rPr>
          <w:spacing w:val="-4"/>
        </w:rPr>
        <w:t>sciences.</w:t>
      </w:r>
      <w:r>
        <w:rPr>
          <w:spacing w:val="-9"/>
        </w:rPr>
        <w:t> </w:t>
      </w:r>
      <w:r>
        <w:rPr>
          <w:spacing w:val="-4"/>
        </w:rPr>
        <w:t>Parental</w:t>
      </w:r>
      <w:r>
        <w:rPr>
          <w:spacing w:val="-10"/>
        </w:rPr>
        <w:t> </w:t>
      </w:r>
      <w:r>
        <w:rPr>
          <w:spacing w:val="-4"/>
        </w:rPr>
        <w:t>and</w:t>
      </w:r>
      <w:r>
        <w:rPr>
          <w:spacing w:val="-10"/>
        </w:rPr>
        <w:t> </w:t>
      </w:r>
      <w:r>
        <w:rPr>
          <w:spacing w:val="-4"/>
        </w:rPr>
        <w:t>peer</w:t>
      </w:r>
      <w:r>
        <w:rPr>
          <w:spacing w:val="-10"/>
        </w:rPr>
        <w:t> </w:t>
      </w:r>
      <w:r>
        <w:rPr>
          <w:spacing w:val="-4"/>
        </w:rPr>
        <w:t>pressure </w:t>
      </w:r>
      <w:r>
        <w:rPr/>
        <w:t>de-motivates even interested students.</w:t>
      </w:r>
    </w:p>
    <w:p>
      <w:pPr>
        <w:pStyle w:val="BodyText"/>
        <w:spacing w:before="20"/>
      </w:pPr>
    </w:p>
    <w:p>
      <w:pPr>
        <w:pStyle w:val="ListParagraph"/>
        <w:numPr>
          <w:ilvl w:val="1"/>
          <w:numId w:val="42"/>
        </w:numPr>
        <w:tabs>
          <w:tab w:pos="1404" w:val="left" w:leader="none"/>
        </w:tabs>
        <w:spacing w:line="266" w:lineRule="auto" w:before="0" w:after="0"/>
        <w:ind w:left="1079" w:right="0" w:firstLine="0"/>
        <w:jc w:val="both"/>
        <w:rPr>
          <w:sz w:val="22"/>
        </w:rPr>
      </w:pPr>
      <w:r>
        <w:rPr>
          <w:b/>
          <w:w w:val="90"/>
          <w:sz w:val="22"/>
        </w:rPr>
        <w:t>Current</w:t>
      </w:r>
      <w:r>
        <w:rPr>
          <w:b/>
          <w:spacing w:val="-1"/>
          <w:w w:val="90"/>
          <w:sz w:val="22"/>
        </w:rPr>
        <w:t> </w:t>
      </w:r>
      <w:r>
        <w:rPr>
          <w:b/>
          <w:w w:val="90"/>
          <w:sz w:val="22"/>
        </w:rPr>
        <w:t>careers:</w:t>
      </w:r>
      <w:r>
        <w:rPr>
          <w:b/>
          <w:spacing w:val="-1"/>
          <w:w w:val="90"/>
          <w:sz w:val="22"/>
        </w:rPr>
        <w:t> </w:t>
      </w:r>
      <w:r>
        <w:rPr>
          <w:w w:val="90"/>
          <w:sz w:val="22"/>
        </w:rPr>
        <w:t>Existing</w:t>
      </w:r>
      <w:r>
        <w:rPr>
          <w:spacing w:val="-2"/>
          <w:w w:val="90"/>
          <w:sz w:val="22"/>
        </w:rPr>
        <w:t> </w:t>
      </w:r>
      <w:r>
        <w:rPr>
          <w:w w:val="90"/>
          <w:sz w:val="22"/>
        </w:rPr>
        <w:t>careers</w:t>
      </w:r>
      <w:r>
        <w:rPr>
          <w:spacing w:val="-2"/>
          <w:w w:val="90"/>
          <w:sz w:val="22"/>
        </w:rPr>
        <w:t> </w:t>
      </w:r>
      <w:r>
        <w:rPr>
          <w:w w:val="90"/>
          <w:sz w:val="22"/>
        </w:rPr>
        <w:t>in</w:t>
      </w:r>
      <w:r>
        <w:rPr>
          <w:spacing w:val="-2"/>
          <w:w w:val="90"/>
          <w:sz w:val="22"/>
        </w:rPr>
        <w:t> </w:t>
      </w:r>
      <w:r>
        <w:rPr>
          <w:w w:val="90"/>
          <w:sz w:val="22"/>
        </w:rPr>
        <w:t>sciences,</w:t>
      </w:r>
      <w:r>
        <w:rPr>
          <w:spacing w:val="-2"/>
          <w:w w:val="90"/>
          <w:sz w:val="22"/>
        </w:rPr>
        <w:t> </w:t>
      </w:r>
      <w:r>
        <w:rPr>
          <w:w w:val="90"/>
          <w:sz w:val="22"/>
        </w:rPr>
        <w:t>namely </w:t>
      </w:r>
      <w:r>
        <w:rPr>
          <w:sz w:val="22"/>
        </w:rPr>
        <w:t>teaching</w:t>
      </w:r>
      <w:r>
        <w:rPr>
          <w:spacing w:val="-14"/>
          <w:sz w:val="22"/>
        </w:rPr>
        <w:t> </w:t>
      </w:r>
      <w:r>
        <w:rPr>
          <w:sz w:val="22"/>
        </w:rPr>
        <w:t>and</w:t>
      </w:r>
      <w:r>
        <w:rPr>
          <w:spacing w:val="-14"/>
          <w:sz w:val="22"/>
        </w:rPr>
        <w:t> </w:t>
      </w:r>
      <w:r>
        <w:rPr>
          <w:sz w:val="22"/>
        </w:rPr>
        <w:t>research,</w:t>
      </w:r>
      <w:r>
        <w:rPr>
          <w:spacing w:val="-14"/>
          <w:sz w:val="22"/>
        </w:rPr>
        <w:t> </w:t>
      </w:r>
      <w:r>
        <w:rPr>
          <w:sz w:val="22"/>
        </w:rPr>
        <w:t>should</w:t>
      </w:r>
      <w:r>
        <w:rPr>
          <w:spacing w:val="-13"/>
          <w:sz w:val="22"/>
        </w:rPr>
        <w:t> </w:t>
      </w:r>
      <w:r>
        <w:rPr>
          <w:sz w:val="22"/>
        </w:rPr>
        <w:t>be</w:t>
      </w:r>
      <w:r>
        <w:rPr>
          <w:spacing w:val="-14"/>
          <w:sz w:val="22"/>
        </w:rPr>
        <w:t> </w:t>
      </w:r>
      <w:r>
        <w:rPr>
          <w:sz w:val="22"/>
        </w:rPr>
        <w:t>made</w:t>
      </w:r>
      <w:r>
        <w:rPr>
          <w:spacing w:val="-14"/>
          <w:sz w:val="22"/>
        </w:rPr>
        <w:t> </w:t>
      </w:r>
      <w:r>
        <w:rPr>
          <w:sz w:val="22"/>
        </w:rPr>
        <w:t>more</w:t>
      </w:r>
      <w:r>
        <w:rPr>
          <w:spacing w:val="-14"/>
          <w:sz w:val="22"/>
        </w:rPr>
        <w:t> </w:t>
      </w:r>
      <w:r>
        <w:rPr>
          <w:sz w:val="22"/>
        </w:rPr>
        <w:t>attractive by providing better emoluments, security of tenure, academic freedom and facilities. Joint appointments within the country and appointment of eminent </w:t>
      </w:r>
      <w:r>
        <w:rPr>
          <w:spacing w:val="-2"/>
          <w:sz w:val="22"/>
        </w:rPr>
        <w:t>scientists</w:t>
      </w:r>
      <w:r>
        <w:rPr>
          <w:spacing w:val="-14"/>
          <w:sz w:val="22"/>
        </w:rPr>
        <w:t> </w:t>
      </w:r>
      <w:r>
        <w:rPr>
          <w:spacing w:val="-2"/>
          <w:sz w:val="22"/>
        </w:rPr>
        <w:t>in</w:t>
      </w:r>
      <w:r>
        <w:rPr>
          <w:spacing w:val="-12"/>
          <w:sz w:val="22"/>
        </w:rPr>
        <w:t> </w:t>
      </w:r>
      <w:r>
        <w:rPr>
          <w:spacing w:val="-2"/>
          <w:sz w:val="22"/>
        </w:rPr>
        <w:t>such</w:t>
      </w:r>
      <w:r>
        <w:rPr>
          <w:spacing w:val="-12"/>
          <w:sz w:val="22"/>
        </w:rPr>
        <w:t> </w:t>
      </w:r>
      <w:r>
        <w:rPr>
          <w:spacing w:val="-2"/>
          <w:sz w:val="22"/>
        </w:rPr>
        <w:t>areas</w:t>
      </w:r>
      <w:r>
        <w:rPr>
          <w:spacing w:val="-11"/>
          <w:sz w:val="22"/>
        </w:rPr>
        <w:t> </w:t>
      </w:r>
      <w:r>
        <w:rPr>
          <w:spacing w:val="-2"/>
          <w:sz w:val="22"/>
        </w:rPr>
        <w:t>from</w:t>
      </w:r>
      <w:r>
        <w:rPr>
          <w:spacing w:val="-12"/>
          <w:sz w:val="22"/>
        </w:rPr>
        <w:t> </w:t>
      </w:r>
      <w:r>
        <w:rPr>
          <w:spacing w:val="-2"/>
          <w:sz w:val="22"/>
        </w:rPr>
        <w:t>other</w:t>
      </w:r>
      <w:r>
        <w:rPr>
          <w:spacing w:val="-12"/>
          <w:sz w:val="22"/>
        </w:rPr>
        <w:t> </w:t>
      </w:r>
      <w:r>
        <w:rPr>
          <w:spacing w:val="-2"/>
          <w:sz w:val="22"/>
        </w:rPr>
        <w:t>countries</w:t>
      </w:r>
      <w:r>
        <w:rPr>
          <w:spacing w:val="-12"/>
          <w:sz w:val="22"/>
        </w:rPr>
        <w:t> </w:t>
      </w:r>
      <w:r>
        <w:rPr>
          <w:spacing w:val="-2"/>
          <w:sz w:val="22"/>
        </w:rPr>
        <w:t>under</w:t>
      </w:r>
      <w:r>
        <w:rPr>
          <w:spacing w:val="-11"/>
          <w:sz w:val="22"/>
        </w:rPr>
        <w:t> </w:t>
      </w:r>
      <w:r>
        <w:rPr>
          <w:spacing w:val="-2"/>
          <w:sz w:val="22"/>
        </w:rPr>
        <w:t>long </w:t>
      </w:r>
      <w:r>
        <w:rPr>
          <w:sz w:val="22"/>
        </w:rPr>
        <w:t>term visiting professorships should be looked into. Ph.Ds</w:t>
      </w:r>
      <w:r>
        <w:rPr>
          <w:spacing w:val="-14"/>
          <w:sz w:val="22"/>
        </w:rPr>
        <w:t> </w:t>
      </w:r>
      <w:r>
        <w:rPr>
          <w:sz w:val="22"/>
        </w:rPr>
        <w:t>need</w:t>
      </w:r>
      <w:r>
        <w:rPr>
          <w:spacing w:val="-14"/>
          <w:sz w:val="22"/>
        </w:rPr>
        <w:t> </w:t>
      </w:r>
      <w:r>
        <w:rPr>
          <w:sz w:val="22"/>
        </w:rPr>
        <w:t>to</w:t>
      </w:r>
      <w:r>
        <w:rPr>
          <w:spacing w:val="-14"/>
          <w:sz w:val="22"/>
        </w:rPr>
        <w:t> </w:t>
      </w:r>
      <w:r>
        <w:rPr>
          <w:sz w:val="22"/>
        </w:rPr>
        <w:t>be</w:t>
      </w:r>
      <w:r>
        <w:rPr>
          <w:spacing w:val="-13"/>
          <w:sz w:val="22"/>
        </w:rPr>
        <w:t> </w:t>
      </w:r>
      <w:r>
        <w:rPr>
          <w:sz w:val="22"/>
        </w:rPr>
        <w:t>restructured</w:t>
      </w:r>
      <w:r>
        <w:rPr>
          <w:spacing w:val="-14"/>
          <w:sz w:val="22"/>
        </w:rPr>
        <w:t> </w:t>
      </w:r>
      <w:r>
        <w:rPr>
          <w:sz w:val="22"/>
        </w:rPr>
        <w:t>to</w:t>
      </w:r>
      <w:r>
        <w:rPr>
          <w:spacing w:val="-14"/>
          <w:sz w:val="22"/>
        </w:rPr>
        <w:t> </w:t>
      </w:r>
      <w:r>
        <w:rPr>
          <w:sz w:val="22"/>
        </w:rPr>
        <w:t>ensure</w:t>
      </w:r>
      <w:r>
        <w:rPr>
          <w:spacing w:val="-14"/>
          <w:sz w:val="22"/>
        </w:rPr>
        <w:t> </w:t>
      </w:r>
      <w:r>
        <w:rPr>
          <w:sz w:val="22"/>
        </w:rPr>
        <w:t>better</w:t>
      </w:r>
      <w:r>
        <w:rPr>
          <w:spacing w:val="-13"/>
          <w:sz w:val="22"/>
        </w:rPr>
        <w:t> </w:t>
      </w:r>
      <w:r>
        <w:rPr>
          <w:sz w:val="22"/>
        </w:rPr>
        <w:t>stipends </w:t>
      </w:r>
      <w:r>
        <w:rPr>
          <w:spacing w:val="-4"/>
          <w:sz w:val="22"/>
        </w:rPr>
        <w:t>for</w:t>
      </w:r>
      <w:r>
        <w:rPr>
          <w:spacing w:val="-7"/>
          <w:sz w:val="22"/>
        </w:rPr>
        <w:t> </w:t>
      </w:r>
      <w:r>
        <w:rPr>
          <w:spacing w:val="-4"/>
          <w:sz w:val="22"/>
        </w:rPr>
        <w:t>longer</w:t>
      </w:r>
      <w:r>
        <w:rPr>
          <w:spacing w:val="-7"/>
          <w:sz w:val="22"/>
        </w:rPr>
        <w:t> </w:t>
      </w:r>
      <w:r>
        <w:rPr>
          <w:spacing w:val="-4"/>
          <w:sz w:val="22"/>
        </w:rPr>
        <w:t>duration</w:t>
      </w:r>
      <w:r>
        <w:rPr>
          <w:spacing w:val="-7"/>
          <w:sz w:val="22"/>
        </w:rPr>
        <w:t> </w:t>
      </w:r>
      <w:r>
        <w:rPr>
          <w:spacing w:val="-4"/>
          <w:sz w:val="22"/>
        </w:rPr>
        <w:t>and</w:t>
      </w:r>
      <w:r>
        <w:rPr>
          <w:spacing w:val="-7"/>
          <w:sz w:val="22"/>
        </w:rPr>
        <w:t> </w:t>
      </w:r>
      <w:r>
        <w:rPr>
          <w:spacing w:val="-4"/>
          <w:sz w:val="22"/>
        </w:rPr>
        <w:t>secured</w:t>
      </w:r>
      <w:r>
        <w:rPr>
          <w:spacing w:val="-7"/>
          <w:sz w:val="22"/>
        </w:rPr>
        <w:t> </w:t>
      </w:r>
      <w:r>
        <w:rPr>
          <w:spacing w:val="-4"/>
          <w:sz w:val="22"/>
        </w:rPr>
        <w:t>post</w:t>
      </w:r>
      <w:r>
        <w:rPr>
          <w:spacing w:val="-7"/>
          <w:sz w:val="22"/>
        </w:rPr>
        <w:t> </w:t>
      </w:r>
      <w:r>
        <w:rPr>
          <w:spacing w:val="-4"/>
          <w:sz w:val="22"/>
        </w:rPr>
        <w:t>docs.</w:t>
      </w:r>
      <w:r>
        <w:rPr>
          <w:spacing w:val="-7"/>
          <w:sz w:val="22"/>
        </w:rPr>
        <w:t> </w:t>
      </w:r>
      <w:r>
        <w:rPr>
          <w:spacing w:val="-4"/>
          <w:sz w:val="22"/>
        </w:rPr>
        <w:t>It</w:t>
      </w:r>
      <w:r>
        <w:rPr>
          <w:spacing w:val="-7"/>
          <w:sz w:val="22"/>
        </w:rPr>
        <w:t> </w:t>
      </w:r>
      <w:r>
        <w:rPr>
          <w:spacing w:val="-4"/>
          <w:sz w:val="22"/>
        </w:rPr>
        <w:t>is</w:t>
      </w:r>
      <w:r>
        <w:rPr>
          <w:spacing w:val="-7"/>
          <w:sz w:val="22"/>
        </w:rPr>
        <w:t> </w:t>
      </w:r>
      <w:r>
        <w:rPr>
          <w:spacing w:val="-4"/>
          <w:sz w:val="22"/>
        </w:rPr>
        <w:t>vital</w:t>
      </w:r>
      <w:r>
        <w:rPr>
          <w:spacing w:val="-7"/>
          <w:sz w:val="22"/>
        </w:rPr>
        <w:t> </w:t>
      </w:r>
      <w:r>
        <w:rPr>
          <w:spacing w:val="-4"/>
          <w:sz w:val="22"/>
        </w:rPr>
        <w:t>that </w:t>
      </w:r>
      <w:r>
        <w:rPr>
          <w:sz w:val="22"/>
        </w:rPr>
        <w:t>all</w:t>
      </w:r>
      <w:r>
        <w:rPr>
          <w:spacing w:val="-13"/>
          <w:sz w:val="22"/>
        </w:rPr>
        <w:t> </w:t>
      </w:r>
      <w:r>
        <w:rPr>
          <w:sz w:val="22"/>
        </w:rPr>
        <w:t>such</w:t>
      </w:r>
      <w:r>
        <w:rPr>
          <w:spacing w:val="-13"/>
          <w:sz w:val="22"/>
        </w:rPr>
        <w:t> </w:t>
      </w:r>
      <w:r>
        <w:rPr>
          <w:sz w:val="22"/>
        </w:rPr>
        <w:t>recommendations</w:t>
      </w:r>
      <w:r>
        <w:rPr>
          <w:spacing w:val="-13"/>
          <w:sz w:val="22"/>
        </w:rPr>
        <w:t> </w:t>
      </w:r>
      <w:r>
        <w:rPr>
          <w:sz w:val="22"/>
        </w:rPr>
        <w:t>of</w:t>
      </w:r>
      <w:r>
        <w:rPr>
          <w:spacing w:val="-13"/>
          <w:sz w:val="22"/>
        </w:rPr>
        <w:t> </w:t>
      </w:r>
      <w:r>
        <w:rPr>
          <w:sz w:val="22"/>
        </w:rPr>
        <w:t>appointments</w:t>
      </w:r>
      <w:r>
        <w:rPr>
          <w:spacing w:val="-13"/>
          <w:sz w:val="22"/>
        </w:rPr>
        <w:t> </w:t>
      </w:r>
      <w:r>
        <w:rPr>
          <w:sz w:val="22"/>
        </w:rPr>
        <w:t>and</w:t>
      </w:r>
      <w:r>
        <w:rPr>
          <w:spacing w:val="-13"/>
          <w:sz w:val="22"/>
        </w:rPr>
        <w:t> </w:t>
      </w:r>
      <w:r>
        <w:rPr>
          <w:sz w:val="22"/>
        </w:rPr>
        <w:t>salary </w:t>
      </w:r>
      <w:r>
        <w:rPr>
          <w:spacing w:val="-4"/>
          <w:sz w:val="22"/>
        </w:rPr>
        <w:t>structures</w:t>
      </w:r>
      <w:r>
        <w:rPr>
          <w:spacing w:val="-10"/>
          <w:sz w:val="22"/>
        </w:rPr>
        <w:t> </w:t>
      </w:r>
      <w:r>
        <w:rPr>
          <w:spacing w:val="-4"/>
          <w:sz w:val="22"/>
        </w:rPr>
        <w:t>have</w:t>
      </w:r>
      <w:r>
        <w:rPr>
          <w:spacing w:val="-10"/>
          <w:sz w:val="22"/>
        </w:rPr>
        <w:t> </w:t>
      </w:r>
      <w:r>
        <w:rPr>
          <w:spacing w:val="-4"/>
          <w:sz w:val="22"/>
        </w:rPr>
        <w:t>a</w:t>
      </w:r>
      <w:r>
        <w:rPr>
          <w:spacing w:val="-10"/>
          <w:sz w:val="22"/>
        </w:rPr>
        <w:t> </w:t>
      </w:r>
      <w:r>
        <w:rPr>
          <w:spacing w:val="-4"/>
          <w:sz w:val="22"/>
        </w:rPr>
        <w:t>visible</w:t>
      </w:r>
      <w:r>
        <w:rPr>
          <w:spacing w:val="-9"/>
          <w:sz w:val="22"/>
        </w:rPr>
        <w:t> </w:t>
      </w:r>
      <w:r>
        <w:rPr>
          <w:spacing w:val="-4"/>
          <w:sz w:val="22"/>
        </w:rPr>
        <w:t>component</w:t>
      </w:r>
      <w:r>
        <w:rPr>
          <w:spacing w:val="-10"/>
          <w:sz w:val="22"/>
        </w:rPr>
        <w:t> </w:t>
      </w:r>
      <w:r>
        <w:rPr>
          <w:spacing w:val="-4"/>
          <w:sz w:val="22"/>
        </w:rPr>
        <w:t>of</w:t>
      </w:r>
      <w:r>
        <w:rPr>
          <w:spacing w:val="-10"/>
          <w:sz w:val="22"/>
        </w:rPr>
        <w:t> </w:t>
      </w:r>
      <w:r>
        <w:rPr>
          <w:spacing w:val="-4"/>
          <w:sz w:val="22"/>
        </w:rPr>
        <w:t>accountability</w:t>
      </w:r>
      <w:r>
        <w:rPr>
          <w:spacing w:val="-10"/>
          <w:sz w:val="22"/>
        </w:rPr>
        <w:t> </w:t>
      </w:r>
      <w:r>
        <w:rPr>
          <w:spacing w:val="-4"/>
          <w:sz w:val="22"/>
        </w:rPr>
        <w:t>in </w:t>
      </w:r>
      <w:r>
        <w:rPr>
          <w:sz w:val="22"/>
        </w:rPr>
        <w:t>their implementation.</w:t>
      </w:r>
    </w:p>
    <w:p>
      <w:pPr>
        <w:pStyle w:val="BodyText"/>
        <w:spacing w:before="17"/>
      </w:pPr>
    </w:p>
    <w:p>
      <w:pPr>
        <w:pStyle w:val="ListParagraph"/>
        <w:numPr>
          <w:ilvl w:val="1"/>
          <w:numId w:val="42"/>
        </w:numPr>
        <w:tabs>
          <w:tab w:pos="1405" w:val="left" w:leader="none"/>
        </w:tabs>
        <w:spacing w:line="266" w:lineRule="auto" w:before="0" w:after="0"/>
        <w:ind w:left="1079" w:right="1" w:firstLine="0"/>
        <w:jc w:val="both"/>
        <w:rPr>
          <w:sz w:val="22"/>
        </w:rPr>
      </w:pPr>
      <w:r>
        <w:rPr>
          <w:spacing w:val="-4"/>
          <w:sz w:val="22"/>
        </w:rPr>
        <w:t>Some</w:t>
      </w:r>
      <w:r>
        <w:rPr>
          <w:spacing w:val="-10"/>
          <w:sz w:val="22"/>
        </w:rPr>
        <w:t> </w:t>
      </w:r>
      <w:r>
        <w:rPr>
          <w:spacing w:val="-4"/>
          <w:sz w:val="22"/>
        </w:rPr>
        <w:t>other</w:t>
      </w:r>
      <w:r>
        <w:rPr>
          <w:spacing w:val="-10"/>
          <w:sz w:val="22"/>
        </w:rPr>
        <w:t> </w:t>
      </w:r>
      <w:r>
        <w:rPr>
          <w:spacing w:val="-4"/>
          <w:sz w:val="22"/>
        </w:rPr>
        <w:t>suggestions</w:t>
      </w:r>
      <w:r>
        <w:rPr>
          <w:spacing w:val="-10"/>
          <w:sz w:val="22"/>
        </w:rPr>
        <w:t> </w:t>
      </w:r>
      <w:r>
        <w:rPr>
          <w:spacing w:val="-4"/>
          <w:sz w:val="22"/>
        </w:rPr>
        <w:t>to</w:t>
      </w:r>
      <w:r>
        <w:rPr>
          <w:spacing w:val="-9"/>
          <w:sz w:val="22"/>
        </w:rPr>
        <w:t> </w:t>
      </w:r>
      <w:r>
        <w:rPr>
          <w:spacing w:val="-4"/>
          <w:sz w:val="22"/>
        </w:rPr>
        <w:t>attract</w:t>
      </w:r>
      <w:r>
        <w:rPr>
          <w:spacing w:val="-10"/>
          <w:sz w:val="22"/>
        </w:rPr>
        <w:t> </w:t>
      </w:r>
      <w:r>
        <w:rPr>
          <w:spacing w:val="-4"/>
          <w:sz w:val="22"/>
        </w:rPr>
        <w:t>students</w:t>
      </w:r>
      <w:r>
        <w:rPr>
          <w:spacing w:val="-10"/>
          <w:sz w:val="22"/>
        </w:rPr>
        <w:t> </w:t>
      </w:r>
      <w:r>
        <w:rPr>
          <w:spacing w:val="-4"/>
          <w:sz w:val="22"/>
        </w:rPr>
        <w:t>to</w:t>
      </w:r>
      <w:r>
        <w:rPr>
          <w:spacing w:val="-10"/>
          <w:sz w:val="22"/>
        </w:rPr>
        <w:t> </w:t>
      </w:r>
      <w:r>
        <w:rPr>
          <w:spacing w:val="-4"/>
          <w:sz w:val="22"/>
        </w:rPr>
        <w:t>careers </w:t>
      </w:r>
      <w:r>
        <w:rPr>
          <w:sz w:val="22"/>
        </w:rPr>
        <w:t>in sciences:</w:t>
      </w:r>
    </w:p>
    <w:p>
      <w:pPr>
        <w:pStyle w:val="ListParagraph"/>
        <w:numPr>
          <w:ilvl w:val="0"/>
          <w:numId w:val="43"/>
        </w:numPr>
        <w:tabs>
          <w:tab w:pos="679" w:val="left" w:leader="none"/>
        </w:tabs>
        <w:spacing w:line="266" w:lineRule="auto" w:before="57" w:after="0"/>
        <w:ind w:left="679" w:right="1077" w:hanging="360"/>
        <w:jc w:val="both"/>
        <w:rPr>
          <w:sz w:val="22"/>
        </w:rPr>
      </w:pPr>
      <w:r>
        <w:rPr/>
        <w:br w:type="column"/>
      </w:r>
      <w:r>
        <w:rPr>
          <w:spacing w:val="-4"/>
          <w:sz w:val="22"/>
        </w:rPr>
        <w:t>Information about job opportunities for </w:t>
      </w:r>
      <w:r>
        <w:rPr>
          <w:spacing w:val="-4"/>
          <w:sz w:val="22"/>
        </w:rPr>
        <w:t>individuals </w:t>
      </w:r>
      <w:r>
        <w:rPr>
          <w:sz w:val="22"/>
        </w:rPr>
        <w:t>with a master or doctorate qualification in pure sciences should be made available on a portal. </w:t>
      </w:r>
      <w:r>
        <w:rPr>
          <w:spacing w:val="-4"/>
          <w:sz w:val="22"/>
        </w:rPr>
        <w:t>New opportunities in emerging fields like financial mathematics</w:t>
      </w:r>
      <w:r>
        <w:rPr>
          <w:spacing w:val="-10"/>
          <w:sz w:val="22"/>
        </w:rPr>
        <w:t> </w:t>
      </w:r>
      <w:r>
        <w:rPr>
          <w:spacing w:val="-4"/>
          <w:sz w:val="22"/>
        </w:rPr>
        <w:t>etc.</w:t>
      </w:r>
      <w:r>
        <w:rPr>
          <w:spacing w:val="-10"/>
          <w:sz w:val="22"/>
        </w:rPr>
        <w:t> </w:t>
      </w:r>
      <w:r>
        <w:rPr>
          <w:spacing w:val="-4"/>
          <w:sz w:val="22"/>
        </w:rPr>
        <w:t>should</w:t>
      </w:r>
      <w:r>
        <w:rPr>
          <w:spacing w:val="-10"/>
          <w:sz w:val="22"/>
        </w:rPr>
        <w:t> </w:t>
      </w:r>
      <w:r>
        <w:rPr>
          <w:spacing w:val="-4"/>
          <w:sz w:val="22"/>
        </w:rPr>
        <w:t>be</w:t>
      </w:r>
      <w:r>
        <w:rPr>
          <w:spacing w:val="-9"/>
          <w:sz w:val="22"/>
        </w:rPr>
        <w:t> </w:t>
      </w:r>
      <w:r>
        <w:rPr>
          <w:spacing w:val="-4"/>
          <w:sz w:val="22"/>
        </w:rPr>
        <w:t>appropriately</w:t>
      </w:r>
      <w:r>
        <w:rPr>
          <w:spacing w:val="-10"/>
          <w:sz w:val="22"/>
        </w:rPr>
        <w:t> </w:t>
      </w:r>
      <w:r>
        <w:rPr>
          <w:spacing w:val="-4"/>
          <w:sz w:val="22"/>
        </w:rPr>
        <w:t>marketed. </w:t>
      </w:r>
      <w:r>
        <w:rPr>
          <w:spacing w:val="-6"/>
          <w:sz w:val="22"/>
        </w:rPr>
        <w:t>Companies</w:t>
      </w:r>
      <w:r>
        <w:rPr>
          <w:spacing w:val="-8"/>
          <w:sz w:val="22"/>
        </w:rPr>
        <w:t> </w:t>
      </w:r>
      <w:r>
        <w:rPr>
          <w:spacing w:val="-6"/>
          <w:sz w:val="22"/>
        </w:rPr>
        <w:t>working</w:t>
      </w:r>
      <w:r>
        <w:rPr>
          <w:spacing w:val="-8"/>
          <w:sz w:val="22"/>
        </w:rPr>
        <w:t> </w:t>
      </w:r>
      <w:r>
        <w:rPr>
          <w:spacing w:val="-6"/>
          <w:sz w:val="22"/>
        </w:rPr>
        <w:t>in</w:t>
      </w:r>
      <w:r>
        <w:rPr>
          <w:spacing w:val="-8"/>
          <w:sz w:val="22"/>
        </w:rPr>
        <w:t> </w:t>
      </w:r>
      <w:r>
        <w:rPr>
          <w:spacing w:val="-6"/>
          <w:sz w:val="22"/>
        </w:rPr>
        <w:t>these</w:t>
      </w:r>
      <w:r>
        <w:rPr>
          <w:spacing w:val="-7"/>
          <w:sz w:val="22"/>
        </w:rPr>
        <w:t> </w:t>
      </w:r>
      <w:r>
        <w:rPr>
          <w:spacing w:val="-6"/>
          <w:sz w:val="22"/>
        </w:rPr>
        <w:t>fields</w:t>
      </w:r>
      <w:r>
        <w:rPr>
          <w:spacing w:val="-8"/>
          <w:sz w:val="22"/>
        </w:rPr>
        <w:t> </w:t>
      </w:r>
      <w:r>
        <w:rPr>
          <w:spacing w:val="-6"/>
          <w:sz w:val="22"/>
        </w:rPr>
        <w:t>should</w:t>
      </w:r>
      <w:r>
        <w:rPr>
          <w:spacing w:val="-8"/>
          <w:sz w:val="22"/>
        </w:rPr>
        <w:t> </w:t>
      </w:r>
      <w:r>
        <w:rPr>
          <w:spacing w:val="-6"/>
          <w:sz w:val="22"/>
        </w:rPr>
        <w:t>be</w:t>
      </w:r>
      <w:r>
        <w:rPr>
          <w:spacing w:val="-8"/>
          <w:sz w:val="22"/>
        </w:rPr>
        <w:t> </w:t>
      </w:r>
      <w:r>
        <w:rPr>
          <w:spacing w:val="-6"/>
          <w:sz w:val="22"/>
        </w:rPr>
        <w:t>invited </w:t>
      </w:r>
      <w:r>
        <w:rPr>
          <w:sz w:val="22"/>
        </w:rPr>
        <w:t>to</w:t>
      </w:r>
      <w:r>
        <w:rPr>
          <w:spacing w:val="-8"/>
          <w:sz w:val="22"/>
        </w:rPr>
        <w:t> </w:t>
      </w:r>
      <w:r>
        <w:rPr>
          <w:sz w:val="22"/>
        </w:rPr>
        <w:t>deliver</w:t>
      </w:r>
      <w:r>
        <w:rPr>
          <w:spacing w:val="-8"/>
          <w:sz w:val="22"/>
        </w:rPr>
        <w:t> </w:t>
      </w:r>
      <w:r>
        <w:rPr>
          <w:sz w:val="22"/>
        </w:rPr>
        <w:t>talks</w:t>
      </w:r>
      <w:r>
        <w:rPr>
          <w:spacing w:val="-8"/>
          <w:sz w:val="22"/>
        </w:rPr>
        <w:t> </w:t>
      </w:r>
      <w:r>
        <w:rPr>
          <w:sz w:val="22"/>
        </w:rPr>
        <w:t>in</w:t>
      </w:r>
      <w:r>
        <w:rPr>
          <w:spacing w:val="-8"/>
          <w:sz w:val="22"/>
        </w:rPr>
        <w:t> </w:t>
      </w:r>
      <w:r>
        <w:rPr>
          <w:sz w:val="22"/>
        </w:rPr>
        <w:t>science</w:t>
      </w:r>
      <w:r>
        <w:rPr>
          <w:spacing w:val="-8"/>
          <w:sz w:val="22"/>
        </w:rPr>
        <w:t> </w:t>
      </w:r>
      <w:r>
        <w:rPr>
          <w:sz w:val="22"/>
        </w:rPr>
        <w:t>colleges.</w:t>
      </w:r>
    </w:p>
    <w:p>
      <w:pPr>
        <w:pStyle w:val="ListParagraph"/>
        <w:numPr>
          <w:ilvl w:val="0"/>
          <w:numId w:val="43"/>
        </w:numPr>
        <w:tabs>
          <w:tab w:pos="679" w:val="left" w:leader="none"/>
        </w:tabs>
        <w:spacing w:line="266" w:lineRule="auto" w:before="0" w:after="0"/>
        <w:ind w:left="679" w:right="1077" w:hanging="360"/>
        <w:jc w:val="both"/>
        <w:rPr>
          <w:sz w:val="22"/>
        </w:rPr>
      </w:pPr>
      <w:r>
        <w:rPr>
          <w:sz w:val="22"/>
        </w:rPr>
        <w:t>Science</w:t>
      </w:r>
      <w:r>
        <w:rPr>
          <w:spacing w:val="-14"/>
          <w:sz w:val="22"/>
        </w:rPr>
        <w:t> </w:t>
      </w:r>
      <w:r>
        <w:rPr>
          <w:sz w:val="22"/>
        </w:rPr>
        <w:t>colleges</w:t>
      </w:r>
      <w:r>
        <w:rPr>
          <w:spacing w:val="-14"/>
          <w:sz w:val="22"/>
        </w:rPr>
        <w:t> </w:t>
      </w:r>
      <w:r>
        <w:rPr>
          <w:sz w:val="22"/>
        </w:rPr>
        <w:t>should</w:t>
      </w:r>
      <w:r>
        <w:rPr>
          <w:spacing w:val="-14"/>
          <w:sz w:val="22"/>
        </w:rPr>
        <w:t> </w:t>
      </w:r>
      <w:r>
        <w:rPr>
          <w:sz w:val="22"/>
        </w:rPr>
        <w:t>collaborate</w:t>
      </w:r>
      <w:r>
        <w:rPr>
          <w:spacing w:val="-13"/>
          <w:sz w:val="22"/>
        </w:rPr>
        <w:t> </w:t>
      </w:r>
      <w:r>
        <w:rPr>
          <w:sz w:val="22"/>
        </w:rPr>
        <w:t>with</w:t>
      </w:r>
      <w:r>
        <w:rPr>
          <w:spacing w:val="-14"/>
          <w:sz w:val="22"/>
        </w:rPr>
        <w:t> </w:t>
      </w:r>
      <w:r>
        <w:rPr>
          <w:sz w:val="22"/>
        </w:rPr>
        <w:t>research </w:t>
      </w:r>
      <w:r>
        <w:rPr>
          <w:spacing w:val="-8"/>
          <w:sz w:val="22"/>
        </w:rPr>
        <w:t>institutes</w:t>
      </w:r>
      <w:r>
        <w:rPr>
          <w:spacing w:val="-6"/>
          <w:sz w:val="22"/>
        </w:rPr>
        <w:t> </w:t>
      </w:r>
      <w:r>
        <w:rPr>
          <w:spacing w:val="-8"/>
          <w:sz w:val="22"/>
        </w:rPr>
        <w:t>and</w:t>
      </w:r>
      <w:r>
        <w:rPr>
          <w:spacing w:val="-6"/>
          <w:sz w:val="22"/>
        </w:rPr>
        <w:t> </w:t>
      </w:r>
      <w:r>
        <w:rPr>
          <w:spacing w:val="-8"/>
          <w:sz w:val="22"/>
        </w:rPr>
        <w:t>industry</w:t>
      </w:r>
      <w:r>
        <w:rPr>
          <w:spacing w:val="-6"/>
          <w:sz w:val="22"/>
        </w:rPr>
        <w:t> </w:t>
      </w:r>
      <w:r>
        <w:rPr>
          <w:spacing w:val="-8"/>
          <w:sz w:val="22"/>
        </w:rPr>
        <w:t>for</w:t>
      </w:r>
      <w:r>
        <w:rPr>
          <w:spacing w:val="-5"/>
          <w:sz w:val="22"/>
        </w:rPr>
        <w:t> </w:t>
      </w:r>
      <w:r>
        <w:rPr>
          <w:spacing w:val="-8"/>
          <w:sz w:val="22"/>
        </w:rPr>
        <w:t>campus</w:t>
      </w:r>
      <w:r>
        <w:rPr>
          <w:spacing w:val="-6"/>
          <w:sz w:val="22"/>
        </w:rPr>
        <w:t> </w:t>
      </w:r>
      <w:r>
        <w:rPr>
          <w:spacing w:val="-8"/>
          <w:sz w:val="22"/>
        </w:rPr>
        <w:t>placements.</w:t>
      </w:r>
      <w:r>
        <w:rPr>
          <w:spacing w:val="-6"/>
          <w:sz w:val="22"/>
        </w:rPr>
        <w:t> </w:t>
      </w:r>
      <w:r>
        <w:rPr>
          <w:spacing w:val="-8"/>
          <w:sz w:val="22"/>
        </w:rPr>
        <w:t>Career </w:t>
      </w:r>
      <w:r>
        <w:rPr>
          <w:spacing w:val="-2"/>
          <w:sz w:val="22"/>
        </w:rPr>
        <w:t>cells</w:t>
      </w:r>
      <w:r>
        <w:rPr>
          <w:spacing w:val="-9"/>
          <w:sz w:val="22"/>
        </w:rPr>
        <w:t> </w:t>
      </w:r>
      <w:r>
        <w:rPr>
          <w:spacing w:val="-2"/>
          <w:sz w:val="22"/>
        </w:rPr>
        <w:t>need</w:t>
      </w:r>
      <w:r>
        <w:rPr>
          <w:spacing w:val="-9"/>
          <w:sz w:val="22"/>
        </w:rPr>
        <w:t> </w:t>
      </w:r>
      <w:r>
        <w:rPr>
          <w:spacing w:val="-2"/>
          <w:sz w:val="22"/>
        </w:rPr>
        <w:t>to</w:t>
      </w:r>
      <w:r>
        <w:rPr>
          <w:spacing w:val="-9"/>
          <w:sz w:val="22"/>
        </w:rPr>
        <w:t> </w:t>
      </w:r>
      <w:r>
        <w:rPr>
          <w:spacing w:val="-2"/>
          <w:sz w:val="22"/>
        </w:rPr>
        <w:t>be</w:t>
      </w:r>
      <w:r>
        <w:rPr>
          <w:spacing w:val="-9"/>
          <w:sz w:val="22"/>
        </w:rPr>
        <w:t> </w:t>
      </w:r>
      <w:r>
        <w:rPr>
          <w:spacing w:val="-2"/>
          <w:sz w:val="22"/>
        </w:rPr>
        <w:t>established.</w:t>
      </w:r>
      <w:r>
        <w:rPr>
          <w:spacing w:val="-9"/>
          <w:sz w:val="22"/>
        </w:rPr>
        <w:t> </w:t>
      </w:r>
      <w:r>
        <w:rPr>
          <w:spacing w:val="-2"/>
          <w:sz w:val="22"/>
        </w:rPr>
        <w:t>Close</w:t>
      </w:r>
      <w:r>
        <w:rPr>
          <w:spacing w:val="-9"/>
          <w:sz w:val="22"/>
        </w:rPr>
        <w:t> </w:t>
      </w:r>
      <w:r>
        <w:rPr>
          <w:spacing w:val="-2"/>
          <w:sz w:val="22"/>
        </w:rPr>
        <w:t>interaction</w:t>
      </w:r>
      <w:r>
        <w:rPr>
          <w:spacing w:val="-9"/>
          <w:sz w:val="22"/>
        </w:rPr>
        <w:t> </w:t>
      </w:r>
      <w:r>
        <w:rPr>
          <w:spacing w:val="-2"/>
          <w:sz w:val="22"/>
        </w:rPr>
        <w:t>with industry</w:t>
      </w:r>
      <w:r>
        <w:rPr>
          <w:spacing w:val="-12"/>
          <w:sz w:val="22"/>
        </w:rPr>
        <w:t> </w:t>
      </w:r>
      <w:r>
        <w:rPr>
          <w:spacing w:val="-2"/>
          <w:sz w:val="22"/>
        </w:rPr>
        <w:t>and</w:t>
      </w:r>
      <w:r>
        <w:rPr>
          <w:spacing w:val="-12"/>
          <w:sz w:val="22"/>
        </w:rPr>
        <w:t> </w:t>
      </w:r>
      <w:r>
        <w:rPr>
          <w:spacing w:val="-2"/>
          <w:sz w:val="22"/>
        </w:rPr>
        <w:t>research</w:t>
      </w:r>
      <w:r>
        <w:rPr>
          <w:spacing w:val="-12"/>
          <w:sz w:val="22"/>
        </w:rPr>
        <w:t> </w:t>
      </w:r>
      <w:r>
        <w:rPr>
          <w:spacing w:val="-2"/>
          <w:sz w:val="22"/>
        </w:rPr>
        <w:t>institutes</w:t>
      </w:r>
      <w:r>
        <w:rPr>
          <w:spacing w:val="-11"/>
          <w:sz w:val="22"/>
        </w:rPr>
        <w:t> </w:t>
      </w:r>
      <w:r>
        <w:rPr>
          <w:spacing w:val="-2"/>
          <w:sz w:val="22"/>
        </w:rPr>
        <w:t>is</w:t>
      </w:r>
      <w:r>
        <w:rPr>
          <w:spacing w:val="-12"/>
          <w:sz w:val="22"/>
        </w:rPr>
        <w:t> </w:t>
      </w:r>
      <w:r>
        <w:rPr>
          <w:spacing w:val="-2"/>
          <w:sz w:val="22"/>
        </w:rPr>
        <w:t>needed</w:t>
      </w:r>
      <w:r>
        <w:rPr>
          <w:spacing w:val="-12"/>
          <w:sz w:val="22"/>
        </w:rPr>
        <w:t> </w:t>
      </w:r>
      <w:r>
        <w:rPr>
          <w:spacing w:val="-2"/>
          <w:sz w:val="22"/>
        </w:rPr>
        <w:t>to</w:t>
      </w:r>
      <w:r>
        <w:rPr>
          <w:spacing w:val="-12"/>
          <w:sz w:val="22"/>
        </w:rPr>
        <w:t> </w:t>
      </w:r>
      <w:r>
        <w:rPr>
          <w:spacing w:val="-2"/>
          <w:sz w:val="22"/>
        </w:rPr>
        <w:t>project type,</w:t>
      </w:r>
      <w:r>
        <w:rPr>
          <w:spacing w:val="-11"/>
          <w:sz w:val="22"/>
        </w:rPr>
        <w:t> </w:t>
      </w:r>
      <w:r>
        <w:rPr>
          <w:spacing w:val="-2"/>
          <w:sz w:val="22"/>
        </w:rPr>
        <w:t>expertise</w:t>
      </w:r>
      <w:r>
        <w:rPr>
          <w:spacing w:val="-11"/>
          <w:sz w:val="22"/>
        </w:rPr>
        <w:t> </w:t>
      </w:r>
      <w:r>
        <w:rPr>
          <w:spacing w:val="-2"/>
          <w:sz w:val="22"/>
        </w:rPr>
        <w:t>level</w:t>
      </w:r>
      <w:r>
        <w:rPr>
          <w:spacing w:val="-11"/>
          <w:sz w:val="22"/>
        </w:rPr>
        <w:t> </w:t>
      </w:r>
      <w:r>
        <w:rPr>
          <w:spacing w:val="-2"/>
          <w:sz w:val="22"/>
        </w:rPr>
        <w:t>and</w:t>
      </w:r>
      <w:r>
        <w:rPr>
          <w:spacing w:val="-11"/>
          <w:sz w:val="22"/>
        </w:rPr>
        <w:t> </w:t>
      </w:r>
      <w:r>
        <w:rPr>
          <w:spacing w:val="-2"/>
          <w:sz w:val="22"/>
        </w:rPr>
        <w:t>amount</w:t>
      </w:r>
      <w:r>
        <w:rPr>
          <w:spacing w:val="-11"/>
          <w:sz w:val="22"/>
        </w:rPr>
        <w:t> </w:t>
      </w:r>
      <w:r>
        <w:rPr>
          <w:spacing w:val="-2"/>
          <w:sz w:val="22"/>
        </w:rPr>
        <w:t>of</w:t>
      </w:r>
      <w:r>
        <w:rPr>
          <w:spacing w:val="-11"/>
          <w:sz w:val="22"/>
        </w:rPr>
        <w:t> </w:t>
      </w:r>
      <w:r>
        <w:rPr>
          <w:spacing w:val="-2"/>
          <w:sz w:val="22"/>
        </w:rPr>
        <w:t>manpower.</w:t>
      </w:r>
    </w:p>
    <w:p>
      <w:pPr>
        <w:pStyle w:val="ListParagraph"/>
        <w:numPr>
          <w:ilvl w:val="0"/>
          <w:numId w:val="43"/>
        </w:numPr>
        <w:tabs>
          <w:tab w:pos="679" w:val="left" w:leader="none"/>
        </w:tabs>
        <w:spacing w:line="266" w:lineRule="auto" w:before="0" w:after="0"/>
        <w:ind w:left="679" w:right="1077" w:hanging="360"/>
        <w:jc w:val="both"/>
        <w:rPr>
          <w:sz w:val="22"/>
        </w:rPr>
      </w:pPr>
      <w:r>
        <w:rPr>
          <w:sz w:val="22"/>
        </w:rPr>
        <w:t>Additional</w:t>
      </w:r>
      <w:r>
        <w:rPr>
          <w:spacing w:val="-14"/>
          <w:sz w:val="22"/>
        </w:rPr>
        <w:t> </w:t>
      </w:r>
      <w:r>
        <w:rPr>
          <w:sz w:val="22"/>
        </w:rPr>
        <w:t>training</w:t>
      </w:r>
      <w:r>
        <w:rPr>
          <w:spacing w:val="-14"/>
          <w:sz w:val="22"/>
        </w:rPr>
        <w:t> </w:t>
      </w:r>
      <w:r>
        <w:rPr>
          <w:sz w:val="22"/>
        </w:rPr>
        <w:t>at</w:t>
      </w:r>
      <w:r>
        <w:rPr>
          <w:spacing w:val="-14"/>
          <w:sz w:val="22"/>
        </w:rPr>
        <w:t> </w:t>
      </w:r>
      <w:r>
        <w:rPr>
          <w:sz w:val="22"/>
        </w:rPr>
        <w:t>bachelor’s</w:t>
      </w:r>
      <w:r>
        <w:rPr>
          <w:spacing w:val="-13"/>
          <w:sz w:val="22"/>
        </w:rPr>
        <w:t> </w:t>
      </w:r>
      <w:r>
        <w:rPr>
          <w:sz w:val="22"/>
        </w:rPr>
        <w:t>level</w:t>
      </w:r>
      <w:r>
        <w:rPr>
          <w:spacing w:val="-14"/>
          <w:sz w:val="22"/>
        </w:rPr>
        <w:t> </w:t>
      </w:r>
      <w:r>
        <w:rPr>
          <w:sz w:val="22"/>
        </w:rPr>
        <w:t>has</w:t>
      </w:r>
      <w:r>
        <w:rPr>
          <w:spacing w:val="-14"/>
          <w:sz w:val="22"/>
        </w:rPr>
        <w:t> </w:t>
      </w:r>
      <w:r>
        <w:rPr>
          <w:sz w:val="22"/>
        </w:rPr>
        <w:t>already been</w:t>
      </w:r>
      <w:r>
        <w:rPr>
          <w:spacing w:val="-14"/>
          <w:sz w:val="22"/>
        </w:rPr>
        <w:t> </w:t>
      </w:r>
      <w:r>
        <w:rPr>
          <w:sz w:val="22"/>
        </w:rPr>
        <w:t>suggested</w:t>
      </w:r>
      <w:r>
        <w:rPr>
          <w:spacing w:val="-14"/>
          <w:sz w:val="22"/>
        </w:rPr>
        <w:t> </w:t>
      </w:r>
      <w:r>
        <w:rPr>
          <w:sz w:val="22"/>
        </w:rPr>
        <w:t>for</w:t>
      </w:r>
      <w:r>
        <w:rPr>
          <w:spacing w:val="-14"/>
          <w:sz w:val="22"/>
        </w:rPr>
        <w:t> </w:t>
      </w:r>
      <w:r>
        <w:rPr>
          <w:sz w:val="22"/>
        </w:rPr>
        <w:t>increased</w:t>
      </w:r>
      <w:r>
        <w:rPr>
          <w:spacing w:val="-13"/>
          <w:sz w:val="22"/>
        </w:rPr>
        <w:t> </w:t>
      </w:r>
      <w:r>
        <w:rPr>
          <w:sz w:val="22"/>
        </w:rPr>
        <w:t>employability.</w:t>
      </w:r>
      <w:r>
        <w:rPr>
          <w:spacing w:val="-14"/>
          <w:sz w:val="22"/>
        </w:rPr>
        <w:t> </w:t>
      </w:r>
      <w:r>
        <w:rPr>
          <w:sz w:val="22"/>
        </w:rPr>
        <w:t>More </w:t>
      </w:r>
      <w:r>
        <w:rPr>
          <w:spacing w:val="-2"/>
          <w:sz w:val="22"/>
        </w:rPr>
        <w:t>modules/</w:t>
      </w:r>
      <w:r>
        <w:rPr>
          <w:spacing w:val="-12"/>
          <w:sz w:val="22"/>
        </w:rPr>
        <w:t> </w:t>
      </w:r>
      <w:r>
        <w:rPr>
          <w:spacing w:val="-2"/>
          <w:sz w:val="22"/>
        </w:rPr>
        <w:t>courses</w:t>
      </w:r>
      <w:r>
        <w:rPr>
          <w:spacing w:val="-12"/>
          <w:sz w:val="22"/>
        </w:rPr>
        <w:t> </w:t>
      </w:r>
      <w:r>
        <w:rPr>
          <w:spacing w:val="-2"/>
          <w:sz w:val="22"/>
        </w:rPr>
        <w:t>could</w:t>
      </w:r>
      <w:r>
        <w:rPr>
          <w:spacing w:val="-12"/>
          <w:sz w:val="22"/>
        </w:rPr>
        <w:t> </w:t>
      </w:r>
      <w:r>
        <w:rPr>
          <w:spacing w:val="-2"/>
          <w:sz w:val="22"/>
        </w:rPr>
        <w:t>be</w:t>
      </w:r>
      <w:r>
        <w:rPr>
          <w:spacing w:val="-11"/>
          <w:sz w:val="22"/>
        </w:rPr>
        <w:t> </w:t>
      </w:r>
      <w:r>
        <w:rPr>
          <w:spacing w:val="-2"/>
          <w:sz w:val="22"/>
        </w:rPr>
        <w:t>designed</w:t>
      </w:r>
      <w:r>
        <w:rPr>
          <w:spacing w:val="-12"/>
          <w:sz w:val="22"/>
        </w:rPr>
        <w:t> </w:t>
      </w:r>
      <w:r>
        <w:rPr>
          <w:spacing w:val="-2"/>
          <w:sz w:val="22"/>
        </w:rPr>
        <w:t>which</w:t>
      </w:r>
      <w:r>
        <w:rPr>
          <w:spacing w:val="-12"/>
          <w:sz w:val="22"/>
        </w:rPr>
        <w:t> </w:t>
      </w:r>
      <w:r>
        <w:rPr>
          <w:spacing w:val="-2"/>
          <w:sz w:val="22"/>
        </w:rPr>
        <w:t>prepare </w:t>
      </w:r>
      <w:r>
        <w:rPr>
          <w:sz w:val="22"/>
        </w:rPr>
        <w:t>students for employment in industry. Students should</w:t>
      </w:r>
      <w:r>
        <w:rPr>
          <w:spacing w:val="-10"/>
          <w:sz w:val="22"/>
        </w:rPr>
        <w:t> </w:t>
      </w:r>
      <w:r>
        <w:rPr>
          <w:sz w:val="22"/>
        </w:rPr>
        <w:t>have</w:t>
      </w:r>
      <w:r>
        <w:rPr>
          <w:spacing w:val="-10"/>
          <w:sz w:val="22"/>
        </w:rPr>
        <w:t> </w:t>
      </w:r>
      <w:r>
        <w:rPr>
          <w:sz w:val="22"/>
        </w:rPr>
        <w:t>the</w:t>
      </w:r>
      <w:r>
        <w:rPr>
          <w:spacing w:val="-10"/>
          <w:sz w:val="22"/>
        </w:rPr>
        <w:t> </w:t>
      </w:r>
      <w:r>
        <w:rPr>
          <w:sz w:val="22"/>
        </w:rPr>
        <w:t>choice</w:t>
      </w:r>
      <w:r>
        <w:rPr>
          <w:spacing w:val="-10"/>
          <w:sz w:val="22"/>
        </w:rPr>
        <w:t> </w:t>
      </w:r>
      <w:r>
        <w:rPr>
          <w:sz w:val="22"/>
        </w:rPr>
        <w:t>to</w:t>
      </w:r>
      <w:r>
        <w:rPr>
          <w:spacing w:val="-10"/>
          <w:sz w:val="22"/>
        </w:rPr>
        <w:t> </w:t>
      </w:r>
      <w:r>
        <w:rPr>
          <w:sz w:val="22"/>
        </w:rPr>
        <w:t>take</w:t>
      </w:r>
      <w:r>
        <w:rPr>
          <w:spacing w:val="-10"/>
          <w:sz w:val="22"/>
        </w:rPr>
        <w:t> </w:t>
      </w:r>
      <w:r>
        <w:rPr>
          <w:sz w:val="22"/>
        </w:rPr>
        <w:t>such</w:t>
      </w:r>
      <w:r>
        <w:rPr>
          <w:spacing w:val="-10"/>
          <w:sz w:val="22"/>
        </w:rPr>
        <w:t> </w:t>
      </w:r>
      <w:r>
        <w:rPr>
          <w:sz w:val="22"/>
        </w:rPr>
        <w:t>courses</w:t>
      </w:r>
      <w:r>
        <w:rPr>
          <w:spacing w:val="-10"/>
          <w:sz w:val="22"/>
        </w:rPr>
        <w:t> </w:t>
      </w:r>
      <w:r>
        <w:rPr>
          <w:sz w:val="22"/>
        </w:rPr>
        <w:t>while pursuing</w:t>
      </w:r>
      <w:r>
        <w:rPr>
          <w:spacing w:val="-3"/>
          <w:sz w:val="22"/>
        </w:rPr>
        <w:t> </w:t>
      </w:r>
      <w:r>
        <w:rPr>
          <w:sz w:val="22"/>
        </w:rPr>
        <w:t>bachelors.</w:t>
      </w:r>
      <w:r>
        <w:rPr>
          <w:spacing w:val="-8"/>
          <w:sz w:val="22"/>
        </w:rPr>
        <w:t> </w:t>
      </w:r>
      <w:r>
        <w:rPr>
          <w:sz w:val="22"/>
        </w:rPr>
        <w:t>The</w:t>
      </w:r>
      <w:r>
        <w:rPr>
          <w:spacing w:val="-3"/>
          <w:sz w:val="22"/>
        </w:rPr>
        <w:t> </w:t>
      </w:r>
      <w:r>
        <w:rPr>
          <w:sz w:val="22"/>
        </w:rPr>
        <w:t>4</w:t>
      </w:r>
      <w:r>
        <w:rPr>
          <w:spacing w:val="-3"/>
          <w:sz w:val="22"/>
        </w:rPr>
        <w:t> </w:t>
      </w:r>
      <w:r>
        <w:rPr>
          <w:sz w:val="22"/>
        </w:rPr>
        <w:t>year</w:t>
      </w:r>
      <w:r>
        <w:rPr>
          <w:spacing w:val="-3"/>
          <w:sz w:val="22"/>
        </w:rPr>
        <w:t> </w:t>
      </w:r>
      <w:r>
        <w:rPr>
          <w:sz w:val="22"/>
        </w:rPr>
        <w:t>bachelor’s</w:t>
      </w:r>
      <w:r>
        <w:rPr>
          <w:spacing w:val="-3"/>
          <w:sz w:val="22"/>
        </w:rPr>
        <w:t> </w:t>
      </w:r>
      <w:r>
        <w:rPr>
          <w:sz w:val="22"/>
        </w:rPr>
        <w:t>course </w:t>
      </w:r>
      <w:r>
        <w:rPr>
          <w:spacing w:val="-2"/>
          <w:sz w:val="22"/>
        </w:rPr>
        <w:t>offered</w:t>
      </w:r>
      <w:r>
        <w:rPr>
          <w:spacing w:val="-8"/>
          <w:sz w:val="22"/>
        </w:rPr>
        <w:t> </w:t>
      </w:r>
      <w:r>
        <w:rPr>
          <w:spacing w:val="-2"/>
          <w:sz w:val="22"/>
        </w:rPr>
        <w:t>by</w:t>
      </w:r>
      <w:r>
        <w:rPr>
          <w:spacing w:val="-8"/>
          <w:sz w:val="22"/>
        </w:rPr>
        <w:t> </w:t>
      </w:r>
      <w:r>
        <w:rPr>
          <w:spacing w:val="-2"/>
          <w:sz w:val="22"/>
        </w:rPr>
        <w:t>good</w:t>
      </w:r>
      <w:r>
        <w:rPr>
          <w:spacing w:val="-8"/>
          <w:sz w:val="22"/>
        </w:rPr>
        <w:t> </w:t>
      </w:r>
      <w:r>
        <w:rPr>
          <w:spacing w:val="-2"/>
          <w:sz w:val="22"/>
        </w:rPr>
        <w:t>institutes</w:t>
      </w:r>
      <w:r>
        <w:rPr>
          <w:spacing w:val="-8"/>
          <w:sz w:val="22"/>
        </w:rPr>
        <w:t> </w:t>
      </w:r>
      <w:r>
        <w:rPr>
          <w:spacing w:val="-2"/>
          <w:sz w:val="22"/>
        </w:rPr>
        <w:t>will</w:t>
      </w:r>
      <w:r>
        <w:rPr>
          <w:spacing w:val="-8"/>
          <w:sz w:val="22"/>
        </w:rPr>
        <w:t> </w:t>
      </w:r>
      <w:r>
        <w:rPr>
          <w:spacing w:val="-2"/>
          <w:sz w:val="22"/>
        </w:rPr>
        <w:t>dispel</w:t>
      </w:r>
      <w:r>
        <w:rPr>
          <w:spacing w:val="-8"/>
          <w:sz w:val="22"/>
        </w:rPr>
        <w:t> </w:t>
      </w:r>
      <w:r>
        <w:rPr>
          <w:spacing w:val="-2"/>
          <w:sz w:val="22"/>
        </w:rPr>
        <w:t>the</w:t>
      </w:r>
      <w:r>
        <w:rPr>
          <w:spacing w:val="-8"/>
          <w:sz w:val="22"/>
        </w:rPr>
        <w:t> </w:t>
      </w:r>
      <w:r>
        <w:rPr>
          <w:spacing w:val="-2"/>
          <w:sz w:val="22"/>
        </w:rPr>
        <w:t>myth</w:t>
      </w:r>
      <w:r>
        <w:rPr>
          <w:spacing w:val="-8"/>
          <w:sz w:val="22"/>
        </w:rPr>
        <w:t> </w:t>
      </w:r>
      <w:r>
        <w:rPr>
          <w:spacing w:val="-2"/>
          <w:sz w:val="22"/>
        </w:rPr>
        <w:t>that </w:t>
      </w:r>
      <w:r>
        <w:rPr>
          <w:sz w:val="22"/>
        </w:rPr>
        <w:t>science</w:t>
      </w:r>
      <w:r>
        <w:rPr>
          <w:spacing w:val="-8"/>
          <w:sz w:val="22"/>
        </w:rPr>
        <w:t> </w:t>
      </w:r>
      <w:r>
        <w:rPr>
          <w:sz w:val="22"/>
        </w:rPr>
        <w:t>bachelors</w:t>
      </w:r>
      <w:r>
        <w:rPr>
          <w:spacing w:val="-8"/>
          <w:sz w:val="22"/>
        </w:rPr>
        <w:t> </w:t>
      </w:r>
      <w:r>
        <w:rPr>
          <w:sz w:val="22"/>
        </w:rPr>
        <w:t>are</w:t>
      </w:r>
      <w:r>
        <w:rPr>
          <w:spacing w:val="-8"/>
          <w:sz w:val="22"/>
        </w:rPr>
        <w:t> </w:t>
      </w:r>
      <w:r>
        <w:rPr>
          <w:sz w:val="22"/>
        </w:rPr>
        <w:t>in</w:t>
      </w:r>
      <w:r>
        <w:rPr>
          <w:spacing w:val="-8"/>
          <w:sz w:val="22"/>
        </w:rPr>
        <w:t> </w:t>
      </w:r>
      <w:r>
        <w:rPr>
          <w:sz w:val="22"/>
        </w:rPr>
        <w:t>any</w:t>
      </w:r>
      <w:r>
        <w:rPr>
          <w:spacing w:val="-8"/>
          <w:sz w:val="22"/>
        </w:rPr>
        <w:t> </w:t>
      </w:r>
      <w:r>
        <w:rPr>
          <w:sz w:val="22"/>
        </w:rPr>
        <w:t>way</w:t>
      </w:r>
      <w:r>
        <w:rPr>
          <w:spacing w:val="-8"/>
          <w:sz w:val="22"/>
        </w:rPr>
        <w:t> </w:t>
      </w:r>
      <w:r>
        <w:rPr>
          <w:sz w:val="22"/>
        </w:rPr>
        <w:t>less</w:t>
      </w:r>
      <w:r>
        <w:rPr>
          <w:spacing w:val="-8"/>
          <w:sz w:val="22"/>
        </w:rPr>
        <w:t> </w:t>
      </w:r>
      <w:r>
        <w:rPr>
          <w:sz w:val="22"/>
        </w:rPr>
        <w:t>employable than graduates from other professional streams. The</w:t>
      </w:r>
      <w:r>
        <w:rPr>
          <w:spacing w:val="-14"/>
          <w:sz w:val="22"/>
        </w:rPr>
        <w:t> </w:t>
      </w:r>
      <w:r>
        <w:rPr>
          <w:sz w:val="22"/>
        </w:rPr>
        <w:t>ability</w:t>
      </w:r>
      <w:r>
        <w:rPr>
          <w:spacing w:val="-14"/>
          <w:sz w:val="22"/>
        </w:rPr>
        <w:t> </w:t>
      </w:r>
      <w:r>
        <w:rPr>
          <w:sz w:val="22"/>
        </w:rPr>
        <w:t>of</w:t>
      </w:r>
      <w:r>
        <w:rPr>
          <w:spacing w:val="-14"/>
          <w:sz w:val="22"/>
        </w:rPr>
        <w:t> </w:t>
      </w:r>
      <w:r>
        <w:rPr>
          <w:sz w:val="22"/>
        </w:rPr>
        <w:t>life</w:t>
      </w:r>
      <w:r>
        <w:rPr>
          <w:spacing w:val="-13"/>
          <w:sz w:val="22"/>
        </w:rPr>
        <w:t> </w:t>
      </w:r>
      <w:r>
        <w:rPr>
          <w:sz w:val="22"/>
        </w:rPr>
        <w:t>long</w:t>
      </w:r>
      <w:r>
        <w:rPr>
          <w:spacing w:val="-14"/>
          <w:sz w:val="22"/>
        </w:rPr>
        <w:t> </w:t>
      </w:r>
      <w:r>
        <w:rPr>
          <w:sz w:val="22"/>
        </w:rPr>
        <w:t>learning</w:t>
      </w:r>
      <w:r>
        <w:rPr>
          <w:spacing w:val="-14"/>
          <w:sz w:val="22"/>
        </w:rPr>
        <w:t> </w:t>
      </w:r>
      <w:r>
        <w:rPr>
          <w:sz w:val="22"/>
        </w:rPr>
        <w:t>should</w:t>
      </w:r>
      <w:r>
        <w:rPr>
          <w:spacing w:val="-14"/>
          <w:sz w:val="22"/>
        </w:rPr>
        <w:t> </w:t>
      </w:r>
      <w:r>
        <w:rPr>
          <w:sz w:val="22"/>
        </w:rPr>
        <w:t>be</w:t>
      </w:r>
      <w:r>
        <w:rPr>
          <w:spacing w:val="-13"/>
          <w:sz w:val="22"/>
        </w:rPr>
        <w:t> </w:t>
      </w:r>
      <w:r>
        <w:rPr>
          <w:sz w:val="22"/>
        </w:rPr>
        <w:t>instilled </w:t>
      </w:r>
      <w:r>
        <w:rPr>
          <w:spacing w:val="-2"/>
          <w:sz w:val="22"/>
        </w:rPr>
        <w:t>in</w:t>
      </w:r>
      <w:r>
        <w:rPr>
          <w:spacing w:val="-12"/>
          <w:sz w:val="22"/>
        </w:rPr>
        <w:t> </w:t>
      </w:r>
      <w:r>
        <w:rPr>
          <w:spacing w:val="-2"/>
          <w:sz w:val="22"/>
        </w:rPr>
        <w:t>students.</w:t>
      </w:r>
      <w:r>
        <w:rPr>
          <w:spacing w:val="-12"/>
          <w:sz w:val="22"/>
        </w:rPr>
        <w:t> </w:t>
      </w:r>
      <w:r>
        <w:rPr>
          <w:spacing w:val="-2"/>
          <w:sz w:val="22"/>
        </w:rPr>
        <w:t>This</w:t>
      </w:r>
      <w:r>
        <w:rPr>
          <w:spacing w:val="-12"/>
          <w:sz w:val="22"/>
        </w:rPr>
        <w:t> </w:t>
      </w:r>
      <w:r>
        <w:rPr>
          <w:spacing w:val="-2"/>
          <w:sz w:val="22"/>
        </w:rPr>
        <w:t>should</w:t>
      </w:r>
      <w:r>
        <w:rPr>
          <w:spacing w:val="-11"/>
          <w:sz w:val="22"/>
        </w:rPr>
        <w:t> </w:t>
      </w:r>
      <w:r>
        <w:rPr>
          <w:spacing w:val="-2"/>
          <w:sz w:val="22"/>
        </w:rPr>
        <w:t>be</w:t>
      </w:r>
      <w:r>
        <w:rPr>
          <w:spacing w:val="-12"/>
          <w:sz w:val="22"/>
        </w:rPr>
        <w:t> </w:t>
      </w:r>
      <w:r>
        <w:rPr>
          <w:spacing w:val="-2"/>
          <w:sz w:val="22"/>
        </w:rPr>
        <w:t>marketed</w:t>
      </w:r>
      <w:r>
        <w:rPr>
          <w:spacing w:val="-12"/>
          <w:sz w:val="22"/>
        </w:rPr>
        <w:t> </w:t>
      </w:r>
      <w:r>
        <w:rPr>
          <w:spacing w:val="-2"/>
          <w:sz w:val="22"/>
        </w:rPr>
        <w:t>well</w:t>
      </w:r>
      <w:r>
        <w:rPr>
          <w:spacing w:val="-12"/>
          <w:sz w:val="22"/>
        </w:rPr>
        <w:t> </w:t>
      </w:r>
      <w:r>
        <w:rPr>
          <w:spacing w:val="-2"/>
          <w:sz w:val="22"/>
        </w:rPr>
        <w:t>to</w:t>
      </w:r>
      <w:r>
        <w:rPr>
          <w:spacing w:val="-11"/>
          <w:sz w:val="22"/>
        </w:rPr>
        <w:t> </w:t>
      </w:r>
      <w:r>
        <w:rPr>
          <w:spacing w:val="-2"/>
          <w:sz w:val="22"/>
        </w:rPr>
        <w:t>attract </w:t>
      </w:r>
      <w:r>
        <w:rPr>
          <w:spacing w:val="-4"/>
          <w:sz w:val="22"/>
        </w:rPr>
        <w:t>companies</w:t>
      </w:r>
      <w:r>
        <w:rPr>
          <w:spacing w:val="-8"/>
          <w:sz w:val="22"/>
        </w:rPr>
        <w:t> </w:t>
      </w:r>
      <w:r>
        <w:rPr>
          <w:spacing w:val="-4"/>
          <w:sz w:val="22"/>
        </w:rPr>
        <w:t>to</w:t>
      </w:r>
      <w:r>
        <w:rPr>
          <w:spacing w:val="-8"/>
          <w:sz w:val="22"/>
        </w:rPr>
        <w:t> </w:t>
      </w:r>
      <w:r>
        <w:rPr>
          <w:spacing w:val="-4"/>
          <w:sz w:val="22"/>
        </w:rPr>
        <w:t>employ</w:t>
      </w:r>
      <w:r>
        <w:rPr>
          <w:spacing w:val="-8"/>
          <w:sz w:val="22"/>
        </w:rPr>
        <w:t> </w:t>
      </w:r>
      <w:r>
        <w:rPr>
          <w:spacing w:val="-4"/>
          <w:sz w:val="22"/>
        </w:rPr>
        <w:t>science</w:t>
      </w:r>
      <w:r>
        <w:rPr>
          <w:spacing w:val="-8"/>
          <w:sz w:val="22"/>
        </w:rPr>
        <w:t> </w:t>
      </w:r>
      <w:r>
        <w:rPr>
          <w:spacing w:val="-4"/>
          <w:sz w:val="22"/>
        </w:rPr>
        <w:t>background</w:t>
      </w:r>
      <w:r>
        <w:rPr>
          <w:spacing w:val="-8"/>
          <w:sz w:val="22"/>
        </w:rPr>
        <w:t> </w:t>
      </w:r>
      <w:r>
        <w:rPr>
          <w:spacing w:val="-4"/>
          <w:sz w:val="22"/>
        </w:rPr>
        <w:t>students.</w:t>
      </w:r>
    </w:p>
    <w:p>
      <w:pPr>
        <w:pStyle w:val="ListParagraph"/>
        <w:numPr>
          <w:ilvl w:val="0"/>
          <w:numId w:val="43"/>
        </w:numPr>
        <w:tabs>
          <w:tab w:pos="679" w:val="left" w:leader="none"/>
        </w:tabs>
        <w:spacing w:line="266" w:lineRule="auto" w:before="0" w:after="0"/>
        <w:ind w:left="679" w:right="1077" w:hanging="360"/>
        <w:jc w:val="both"/>
        <w:rPr>
          <w:sz w:val="22"/>
        </w:rPr>
      </w:pPr>
      <w:r>
        <w:rPr>
          <w:sz w:val="22"/>
        </w:rPr>
        <w:t>New opportunities in science streams need to </w:t>
      </w:r>
      <w:r>
        <w:rPr>
          <w:sz w:val="22"/>
        </w:rPr>
        <w:t>be developed.</w:t>
      </w:r>
      <w:r>
        <w:rPr>
          <w:spacing w:val="-11"/>
          <w:sz w:val="22"/>
        </w:rPr>
        <w:t> </w:t>
      </w:r>
      <w:r>
        <w:rPr>
          <w:sz w:val="22"/>
        </w:rPr>
        <w:t>Research</w:t>
      </w:r>
      <w:r>
        <w:rPr>
          <w:spacing w:val="-11"/>
          <w:sz w:val="22"/>
        </w:rPr>
        <w:t> </w:t>
      </w:r>
      <w:r>
        <w:rPr>
          <w:sz w:val="22"/>
        </w:rPr>
        <w:t>institutes</w:t>
      </w:r>
      <w:r>
        <w:rPr>
          <w:spacing w:val="-11"/>
          <w:sz w:val="22"/>
        </w:rPr>
        <w:t> </w:t>
      </w:r>
      <w:r>
        <w:rPr>
          <w:sz w:val="22"/>
        </w:rPr>
        <w:t>should</w:t>
      </w:r>
      <w:r>
        <w:rPr>
          <w:spacing w:val="-11"/>
          <w:sz w:val="22"/>
        </w:rPr>
        <w:t> </w:t>
      </w:r>
      <w:r>
        <w:rPr>
          <w:sz w:val="22"/>
        </w:rPr>
        <w:t>collaborate </w:t>
      </w:r>
      <w:r>
        <w:rPr>
          <w:spacing w:val="-6"/>
          <w:sz w:val="22"/>
        </w:rPr>
        <w:t>with professional streams to pursue and create more </w:t>
      </w:r>
      <w:r>
        <w:rPr>
          <w:sz w:val="22"/>
        </w:rPr>
        <w:t>opportunities.</w:t>
      </w:r>
      <w:r>
        <w:rPr>
          <w:spacing w:val="-8"/>
          <w:sz w:val="22"/>
        </w:rPr>
        <w:t> </w:t>
      </w:r>
      <w:r>
        <w:rPr>
          <w:sz w:val="22"/>
        </w:rPr>
        <w:t>Research</w:t>
      </w:r>
      <w:r>
        <w:rPr>
          <w:spacing w:val="-8"/>
          <w:sz w:val="22"/>
        </w:rPr>
        <w:t> </w:t>
      </w:r>
      <w:r>
        <w:rPr>
          <w:sz w:val="22"/>
        </w:rPr>
        <w:t>in</w:t>
      </w:r>
      <w:r>
        <w:rPr>
          <w:spacing w:val="-8"/>
          <w:sz w:val="22"/>
        </w:rPr>
        <w:t> </w:t>
      </w:r>
      <w:r>
        <w:rPr>
          <w:sz w:val="22"/>
        </w:rPr>
        <w:t>emerging</w:t>
      </w:r>
      <w:r>
        <w:rPr>
          <w:spacing w:val="-8"/>
          <w:sz w:val="22"/>
        </w:rPr>
        <w:t> </w:t>
      </w:r>
      <w:r>
        <w:rPr>
          <w:sz w:val="22"/>
        </w:rPr>
        <w:t>areas</w:t>
      </w:r>
      <w:r>
        <w:rPr>
          <w:spacing w:val="-8"/>
          <w:sz w:val="22"/>
        </w:rPr>
        <w:t> </w:t>
      </w:r>
      <w:r>
        <w:rPr>
          <w:sz w:val="22"/>
        </w:rPr>
        <w:t>should </w:t>
      </w:r>
      <w:r>
        <w:rPr>
          <w:spacing w:val="-2"/>
          <w:sz w:val="22"/>
        </w:rPr>
        <w:t>be</w:t>
      </w:r>
      <w:r>
        <w:rPr>
          <w:spacing w:val="-12"/>
          <w:sz w:val="22"/>
        </w:rPr>
        <w:t> </w:t>
      </w:r>
      <w:r>
        <w:rPr>
          <w:spacing w:val="-2"/>
          <w:sz w:val="22"/>
        </w:rPr>
        <w:t>systematically</w:t>
      </w:r>
      <w:r>
        <w:rPr>
          <w:spacing w:val="-12"/>
          <w:sz w:val="22"/>
        </w:rPr>
        <w:t> </w:t>
      </w:r>
      <w:r>
        <w:rPr>
          <w:spacing w:val="-2"/>
          <w:sz w:val="22"/>
        </w:rPr>
        <w:t>developed.</w:t>
      </w:r>
      <w:r>
        <w:rPr>
          <w:spacing w:val="-12"/>
          <w:sz w:val="22"/>
        </w:rPr>
        <w:t> </w:t>
      </w:r>
      <w:r>
        <w:rPr>
          <w:spacing w:val="-2"/>
          <w:sz w:val="22"/>
        </w:rPr>
        <w:t>Research</w:t>
      </w:r>
      <w:r>
        <w:rPr>
          <w:spacing w:val="-11"/>
          <w:sz w:val="22"/>
        </w:rPr>
        <w:t> </w:t>
      </w:r>
      <w:r>
        <w:rPr>
          <w:spacing w:val="-2"/>
          <w:sz w:val="22"/>
        </w:rPr>
        <w:t>activities</w:t>
      </w:r>
      <w:r>
        <w:rPr>
          <w:spacing w:val="-12"/>
          <w:sz w:val="22"/>
        </w:rPr>
        <w:t> </w:t>
      </w:r>
      <w:r>
        <w:rPr>
          <w:spacing w:val="-2"/>
          <w:sz w:val="22"/>
        </w:rPr>
        <w:t>in </w:t>
      </w:r>
      <w:r>
        <w:rPr>
          <w:sz w:val="22"/>
        </w:rPr>
        <w:t>research</w:t>
      </w:r>
      <w:r>
        <w:rPr>
          <w:spacing w:val="-3"/>
          <w:sz w:val="22"/>
        </w:rPr>
        <w:t> </w:t>
      </w:r>
      <w:r>
        <w:rPr>
          <w:sz w:val="22"/>
        </w:rPr>
        <w:t>laboratories</w:t>
      </w:r>
      <w:r>
        <w:rPr>
          <w:spacing w:val="-3"/>
          <w:sz w:val="22"/>
        </w:rPr>
        <w:t> </w:t>
      </w:r>
      <w:r>
        <w:rPr>
          <w:sz w:val="22"/>
        </w:rPr>
        <w:t>and</w:t>
      </w:r>
      <w:r>
        <w:rPr>
          <w:spacing w:val="-3"/>
          <w:sz w:val="22"/>
        </w:rPr>
        <w:t> </w:t>
      </w:r>
      <w:r>
        <w:rPr>
          <w:sz w:val="22"/>
        </w:rPr>
        <w:t>universities</w:t>
      </w:r>
      <w:r>
        <w:rPr>
          <w:spacing w:val="-3"/>
          <w:sz w:val="22"/>
        </w:rPr>
        <w:t> </w:t>
      </w:r>
      <w:r>
        <w:rPr>
          <w:sz w:val="22"/>
        </w:rPr>
        <w:t>needs</w:t>
      </w:r>
      <w:r>
        <w:rPr>
          <w:spacing w:val="-3"/>
          <w:sz w:val="22"/>
        </w:rPr>
        <w:t> </w:t>
      </w:r>
      <w:r>
        <w:rPr>
          <w:sz w:val="22"/>
        </w:rPr>
        <w:t>to</w:t>
      </w:r>
      <w:r>
        <w:rPr>
          <w:spacing w:val="-3"/>
          <w:sz w:val="22"/>
        </w:rPr>
        <w:t> </w:t>
      </w:r>
      <w:r>
        <w:rPr>
          <w:sz w:val="22"/>
        </w:rPr>
        <w:t>be massively</w:t>
      </w:r>
      <w:r>
        <w:rPr>
          <w:spacing w:val="-12"/>
          <w:sz w:val="22"/>
        </w:rPr>
        <w:t> </w:t>
      </w:r>
      <w:r>
        <w:rPr>
          <w:sz w:val="22"/>
        </w:rPr>
        <w:t>increased.</w:t>
      </w:r>
      <w:r>
        <w:rPr>
          <w:spacing w:val="-12"/>
          <w:sz w:val="22"/>
        </w:rPr>
        <w:t> </w:t>
      </w:r>
      <w:r>
        <w:rPr>
          <w:sz w:val="22"/>
        </w:rPr>
        <w:t>Government</w:t>
      </w:r>
      <w:r>
        <w:rPr>
          <w:spacing w:val="-12"/>
          <w:sz w:val="22"/>
        </w:rPr>
        <w:t> </w:t>
      </w:r>
      <w:r>
        <w:rPr>
          <w:sz w:val="22"/>
        </w:rPr>
        <w:t>should</w:t>
      </w:r>
      <w:r>
        <w:rPr>
          <w:spacing w:val="-12"/>
          <w:sz w:val="22"/>
        </w:rPr>
        <w:t> </w:t>
      </w:r>
      <w:r>
        <w:rPr>
          <w:sz w:val="22"/>
        </w:rPr>
        <w:t>provide all possible incentives to encourage research and development</w:t>
      </w:r>
      <w:r>
        <w:rPr>
          <w:spacing w:val="-5"/>
          <w:sz w:val="22"/>
        </w:rPr>
        <w:t> </w:t>
      </w:r>
      <w:r>
        <w:rPr>
          <w:sz w:val="22"/>
        </w:rPr>
        <w:t>in</w:t>
      </w:r>
      <w:r>
        <w:rPr>
          <w:spacing w:val="-5"/>
          <w:sz w:val="22"/>
        </w:rPr>
        <w:t> </w:t>
      </w:r>
      <w:r>
        <w:rPr>
          <w:sz w:val="22"/>
        </w:rPr>
        <w:t>every</w:t>
      </w:r>
      <w:r>
        <w:rPr>
          <w:spacing w:val="-5"/>
          <w:sz w:val="22"/>
        </w:rPr>
        <w:t> </w:t>
      </w:r>
      <w:r>
        <w:rPr>
          <w:sz w:val="22"/>
        </w:rPr>
        <w:t>sector</w:t>
      </w:r>
      <w:r>
        <w:rPr>
          <w:spacing w:val="-5"/>
          <w:sz w:val="22"/>
        </w:rPr>
        <w:t> </w:t>
      </w:r>
      <w:r>
        <w:rPr>
          <w:sz w:val="22"/>
        </w:rPr>
        <w:t>of</w:t>
      </w:r>
      <w:r>
        <w:rPr>
          <w:spacing w:val="-5"/>
          <w:sz w:val="22"/>
        </w:rPr>
        <w:t> </w:t>
      </w:r>
      <w:r>
        <w:rPr>
          <w:sz w:val="22"/>
        </w:rPr>
        <w:t>the</w:t>
      </w:r>
      <w:r>
        <w:rPr>
          <w:spacing w:val="-5"/>
          <w:sz w:val="22"/>
        </w:rPr>
        <w:t> </w:t>
      </w:r>
      <w:r>
        <w:rPr>
          <w:sz w:val="22"/>
        </w:rPr>
        <w:t>economy.</w:t>
      </w:r>
    </w:p>
    <w:p>
      <w:pPr>
        <w:pStyle w:val="ListParagraph"/>
        <w:numPr>
          <w:ilvl w:val="0"/>
          <w:numId w:val="43"/>
        </w:numPr>
        <w:tabs>
          <w:tab w:pos="679" w:val="left" w:leader="none"/>
        </w:tabs>
        <w:spacing w:line="266" w:lineRule="auto" w:before="0" w:after="0"/>
        <w:ind w:left="679" w:right="1077" w:hanging="360"/>
        <w:jc w:val="both"/>
        <w:rPr>
          <w:sz w:val="22"/>
        </w:rPr>
      </w:pPr>
      <w:r>
        <w:rPr>
          <w:spacing w:val="-2"/>
          <w:sz w:val="22"/>
        </w:rPr>
        <w:t>Large</w:t>
      </w:r>
      <w:r>
        <w:rPr>
          <w:spacing w:val="-12"/>
          <w:sz w:val="22"/>
        </w:rPr>
        <w:t> </w:t>
      </w:r>
      <w:r>
        <w:rPr>
          <w:spacing w:val="-2"/>
          <w:sz w:val="22"/>
        </w:rPr>
        <w:t>research</w:t>
      </w:r>
      <w:r>
        <w:rPr>
          <w:spacing w:val="-12"/>
          <w:sz w:val="22"/>
        </w:rPr>
        <w:t> </w:t>
      </w:r>
      <w:r>
        <w:rPr>
          <w:spacing w:val="-2"/>
          <w:sz w:val="22"/>
        </w:rPr>
        <w:t>groups</w:t>
      </w:r>
      <w:r>
        <w:rPr>
          <w:spacing w:val="-12"/>
          <w:sz w:val="22"/>
        </w:rPr>
        <w:t> </w:t>
      </w:r>
      <w:r>
        <w:rPr>
          <w:spacing w:val="-2"/>
          <w:sz w:val="22"/>
        </w:rPr>
        <w:t>should</w:t>
      </w:r>
      <w:r>
        <w:rPr>
          <w:spacing w:val="-11"/>
          <w:sz w:val="22"/>
        </w:rPr>
        <w:t> </w:t>
      </w:r>
      <w:r>
        <w:rPr>
          <w:spacing w:val="-2"/>
          <w:sz w:val="22"/>
        </w:rPr>
        <w:t>be</w:t>
      </w:r>
      <w:r>
        <w:rPr>
          <w:spacing w:val="-11"/>
          <w:sz w:val="22"/>
        </w:rPr>
        <w:t> </w:t>
      </w:r>
      <w:r>
        <w:rPr>
          <w:spacing w:val="-2"/>
          <w:sz w:val="22"/>
        </w:rPr>
        <w:t>developed.</w:t>
      </w:r>
      <w:r>
        <w:rPr>
          <w:spacing w:val="-12"/>
          <w:sz w:val="22"/>
        </w:rPr>
        <w:t> </w:t>
      </w:r>
      <w:r>
        <w:rPr>
          <w:spacing w:val="-2"/>
          <w:sz w:val="22"/>
        </w:rPr>
        <w:t>These </w:t>
      </w:r>
      <w:r>
        <w:rPr>
          <w:sz w:val="22"/>
        </w:rPr>
        <w:t>groups</w:t>
      </w:r>
      <w:r>
        <w:rPr>
          <w:spacing w:val="-4"/>
          <w:sz w:val="22"/>
        </w:rPr>
        <w:t> </w:t>
      </w:r>
      <w:r>
        <w:rPr>
          <w:sz w:val="22"/>
        </w:rPr>
        <w:t>should</w:t>
      </w:r>
      <w:r>
        <w:rPr>
          <w:spacing w:val="-4"/>
          <w:sz w:val="22"/>
        </w:rPr>
        <w:t> </w:t>
      </w:r>
      <w:r>
        <w:rPr>
          <w:sz w:val="22"/>
        </w:rPr>
        <w:t>focus</w:t>
      </w:r>
      <w:r>
        <w:rPr>
          <w:spacing w:val="-4"/>
          <w:sz w:val="22"/>
        </w:rPr>
        <w:t> </w:t>
      </w:r>
      <w:r>
        <w:rPr>
          <w:sz w:val="22"/>
        </w:rPr>
        <w:t>on</w:t>
      </w:r>
      <w:r>
        <w:rPr>
          <w:spacing w:val="-4"/>
          <w:sz w:val="22"/>
        </w:rPr>
        <w:t> </w:t>
      </w:r>
      <w:r>
        <w:rPr>
          <w:sz w:val="22"/>
        </w:rPr>
        <w:t>taking</w:t>
      </w:r>
      <w:r>
        <w:rPr>
          <w:spacing w:val="-4"/>
          <w:sz w:val="22"/>
        </w:rPr>
        <w:t> </w:t>
      </w:r>
      <w:r>
        <w:rPr>
          <w:sz w:val="22"/>
        </w:rPr>
        <w:t>an</w:t>
      </w:r>
      <w:r>
        <w:rPr>
          <w:spacing w:val="-4"/>
          <w:sz w:val="22"/>
        </w:rPr>
        <w:t> </w:t>
      </w:r>
      <w:r>
        <w:rPr>
          <w:sz w:val="22"/>
        </w:rPr>
        <w:t>idea</w:t>
      </w:r>
      <w:r>
        <w:rPr>
          <w:spacing w:val="-4"/>
          <w:sz w:val="22"/>
        </w:rPr>
        <w:t> </w:t>
      </w:r>
      <w:r>
        <w:rPr>
          <w:sz w:val="22"/>
        </w:rPr>
        <w:t>from</w:t>
      </w:r>
      <w:r>
        <w:rPr>
          <w:spacing w:val="-4"/>
          <w:sz w:val="22"/>
        </w:rPr>
        <w:t> </w:t>
      </w:r>
      <w:r>
        <w:rPr>
          <w:sz w:val="22"/>
        </w:rPr>
        <w:t>basic research</w:t>
      </w:r>
      <w:r>
        <w:rPr>
          <w:spacing w:val="-14"/>
          <w:sz w:val="22"/>
        </w:rPr>
        <w:t> </w:t>
      </w:r>
      <w:r>
        <w:rPr>
          <w:sz w:val="22"/>
        </w:rPr>
        <w:t>to</w:t>
      </w:r>
      <w:r>
        <w:rPr>
          <w:spacing w:val="-14"/>
          <w:sz w:val="22"/>
        </w:rPr>
        <w:t> </w:t>
      </w:r>
      <w:r>
        <w:rPr>
          <w:sz w:val="22"/>
        </w:rPr>
        <w:t>market</w:t>
      </w:r>
      <w:r>
        <w:rPr>
          <w:spacing w:val="-14"/>
          <w:sz w:val="22"/>
        </w:rPr>
        <w:t> </w:t>
      </w:r>
      <w:r>
        <w:rPr>
          <w:sz w:val="22"/>
        </w:rPr>
        <w:t>ready</w:t>
      </w:r>
      <w:r>
        <w:rPr>
          <w:spacing w:val="-13"/>
          <w:sz w:val="22"/>
        </w:rPr>
        <w:t> </w:t>
      </w:r>
      <w:r>
        <w:rPr>
          <w:sz w:val="22"/>
        </w:rPr>
        <w:t>application.</w:t>
      </w:r>
      <w:r>
        <w:rPr>
          <w:spacing w:val="-14"/>
          <w:sz w:val="22"/>
        </w:rPr>
        <w:t> </w:t>
      </w:r>
      <w:r>
        <w:rPr>
          <w:sz w:val="22"/>
        </w:rPr>
        <w:t>Such</w:t>
      </w:r>
      <w:r>
        <w:rPr>
          <w:spacing w:val="-14"/>
          <w:sz w:val="22"/>
        </w:rPr>
        <w:t> </w:t>
      </w:r>
      <w:r>
        <w:rPr>
          <w:sz w:val="22"/>
        </w:rPr>
        <w:t>groups can</w:t>
      </w:r>
      <w:r>
        <w:rPr>
          <w:spacing w:val="-9"/>
          <w:sz w:val="22"/>
        </w:rPr>
        <w:t> </w:t>
      </w:r>
      <w:r>
        <w:rPr>
          <w:sz w:val="22"/>
        </w:rPr>
        <w:t>be</w:t>
      </w:r>
      <w:r>
        <w:rPr>
          <w:spacing w:val="-9"/>
          <w:sz w:val="22"/>
        </w:rPr>
        <w:t> </w:t>
      </w:r>
      <w:r>
        <w:rPr>
          <w:sz w:val="22"/>
        </w:rPr>
        <w:t>partially</w:t>
      </w:r>
      <w:r>
        <w:rPr>
          <w:spacing w:val="-9"/>
          <w:sz w:val="22"/>
        </w:rPr>
        <w:t> </w:t>
      </w:r>
      <w:r>
        <w:rPr>
          <w:sz w:val="22"/>
        </w:rPr>
        <w:t>funded</w:t>
      </w:r>
      <w:r>
        <w:rPr>
          <w:spacing w:val="-9"/>
          <w:sz w:val="22"/>
        </w:rPr>
        <w:t> </w:t>
      </w:r>
      <w:r>
        <w:rPr>
          <w:sz w:val="22"/>
        </w:rPr>
        <w:t>by</w:t>
      </w:r>
      <w:r>
        <w:rPr>
          <w:spacing w:val="-9"/>
          <w:sz w:val="22"/>
        </w:rPr>
        <w:t> </w:t>
      </w:r>
      <w:r>
        <w:rPr>
          <w:sz w:val="22"/>
        </w:rPr>
        <w:t>industry.</w:t>
      </w:r>
      <w:r>
        <w:rPr>
          <w:spacing w:val="-14"/>
          <w:sz w:val="22"/>
        </w:rPr>
        <w:t> </w:t>
      </w:r>
      <w:r>
        <w:rPr>
          <w:sz w:val="22"/>
        </w:rPr>
        <w:t>These</w:t>
      </w:r>
      <w:r>
        <w:rPr>
          <w:spacing w:val="-8"/>
          <w:sz w:val="22"/>
        </w:rPr>
        <w:t> </w:t>
      </w:r>
      <w:r>
        <w:rPr>
          <w:sz w:val="22"/>
        </w:rPr>
        <w:t>groups should look at problems which affect a large section</w:t>
      </w:r>
      <w:r>
        <w:rPr>
          <w:spacing w:val="-14"/>
          <w:sz w:val="22"/>
        </w:rPr>
        <w:t> </w:t>
      </w:r>
      <w:r>
        <w:rPr>
          <w:sz w:val="22"/>
        </w:rPr>
        <w:t>of</w:t>
      </w:r>
      <w:r>
        <w:rPr>
          <w:spacing w:val="-14"/>
          <w:sz w:val="22"/>
        </w:rPr>
        <w:t> </w:t>
      </w:r>
      <w:r>
        <w:rPr>
          <w:sz w:val="22"/>
        </w:rPr>
        <w:t>society</w:t>
      </w:r>
      <w:r>
        <w:rPr>
          <w:spacing w:val="-14"/>
          <w:sz w:val="22"/>
        </w:rPr>
        <w:t> </w:t>
      </w:r>
      <w:r>
        <w:rPr>
          <w:sz w:val="22"/>
        </w:rPr>
        <w:t>and</w:t>
      </w:r>
      <w:r>
        <w:rPr>
          <w:spacing w:val="-13"/>
          <w:sz w:val="22"/>
        </w:rPr>
        <w:t> </w:t>
      </w:r>
      <w:r>
        <w:rPr>
          <w:sz w:val="22"/>
        </w:rPr>
        <w:t>devise</w:t>
      </w:r>
      <w:r>
        <w:rPr>
          <w:spacing w:val="-14"/>
          <w:sz w:val="22"/>
        </w:rPr>
        <w:t> </w:t>
      </w:r>
      <w:r>
        <w:rPr>
          <w:sz w:val="22"/>
        </w:rPr>
        <w:t>plan</w:t>
      </w:r>
      <w:r>
        <w:rPr>
          <w:spacing w:val="-14"/>
          <w:sz w:val="22"/>
        </w:rPr>
        <w:t> </w:t>
      </w:r>
      <w:r>
        <w:rPr>
          <w:sz w:val="22"/>
        </w:rPr>
        <w:t>to</w:t>
      </w:r>
      <w:r>
        <w:rPr>
          <w:spacing w:val="-14"/>
          <w:sz w:val="22"/>
        </w:rPr>
        <w:t> </w:t>
      </w:r>
      <w:r>
        <w:rPr>
          <w:sz w:val="22"/>
        </w:rPr>
        <w:t>come</w:t>
      </w:r>
      <w:r>
        <w:rPr>
          <w:spacing w:val="-13"/>
          <w:sz w:val="22"/>
        </w:rPr>
        <w:t> </w:t>
      </w:r>
      <w:r>
        <w:rPr>
          <w:sz w:val="22"/>
        </w:rPr>
        <w:t>up</w:t>
      </w:r>
      <w:r>
        <w:rPr>
          <w:spacing w:val="-14"/>
          <w:sz w:val="22"/>
        </w:rPr>
        <w:t> </w:t>
      </w:r>
      <w:r>
        <w:rPr>
          <w:sz w:val="22"/>
        </w:rPr>
        <w:t>with </w:t>
      </w:r>
      <w:r>
        <w:rPr>
          <w:spacing w:val="-4"/>
          <w:sz w:val="22"/>
        </w:rPr>
        <w:t>solutions.</w:t>
      </w:r>
      <w:r>
        <w:rPr>
          <w:spacing w:val="-8"/>
          <w:sz w:val="22"/>
        </w:rPr>
        <w:t> </w:t>
      </w:r>
      <w:r>
        <w:rPr>
          <w:spacing w:val="-4"/>
          <w:sz w:val="22"/>
        </w:rPr>
        <w:t>Young</w:t>
      </w:r>
      <w:r>
        <w:rPr>
          <w:spacing w:val="-6"/>
          <w:sz w:val="22"/>
        </w:rPr>
        <w:t> </w:t>
      </w:r>
      <w:r>
        <w:rPr>
          <w:spacing w:val="-4"/>
          <w:sz w:val="22"/>
        </w:rPr>
        <w:t>researchers</w:t>
      </w:r>
      <w:r>
        <w:rPr>
          <w:spacing w:val="-6"/>
          <w:sz w:val="22"/>
        </w:rPr>
        <w:t> </w:t>
      </w:r>
      <w:r>
        <w:rPr>
          <w:spacing w:val="-4"/>
          <w:sz w:val="22"/>
        </w:rPr>
        <w:t>should</w:t>
      </w:r>
      <w:r>
        <w:rPr>
          <w:spacing w:val="-6"/>
          <w:sz w:val="22"/>
        </w:rPr>
        <w:t> </w:t>
      </w:r>
      <w:r>
        <w:rPr>
          <w:spacing w:val="-4"/>
          <w:sz w:val="22"/>
        </w:rPr>
        <w:t>be</w:t>
      </w:r>
      <w:r>
        <w:rPr>
          <w:spacing w:val="-6"/>
          <w:sz w:val="22"/>
        </w:rPr>
        <w:t> </w:t>
      </w:r>
      <w:r>
        <w:rPr>
          <w:spacing w:val="-4"/>
          <w:sz w:val="22"/>
        </w:rPr>
        <w:t>recruited</w:t>
      </w:r>
      <w:r>
        <w:rPr>
          <w:spacing w:val="-6"/>
          <w:sz w:val="22"/>
        </w:rPr>
        <w:t> </w:t>
      </w:r>
      <w:r>
        <w:rPr>
          <w:spacing w:val="-4"/>
          <w:sz w:val="22"/>
        </w:rPr>
        <w:t>in </w:t>
      </w:r>
      <w:r>
        <w:rPr>
          <w:sz w:val="22"/>
        </w:rPr>
        <w:t>such</w:t>
      </w:r>
      <w:r>
        <w:rPr>
          <w:spacing w:val="-1"/>
          <w:sz w:val="22"/>
        </w:rPr>
        <w:t> </w:t>
      </w:r>
      <w:r>
        <w:rPr>
          <w:sz w:val="22"/>
        </w:rPr>
        <w:t>initiatives.</w:t>
      </w:r>
      <w:r>
        <w:rPr>
          <w:spacing w:val="-6"/>
          <w:sz w:val="22"/>
        </w:rPr>
        <w:t> </w:t>
      </w:r>
      <w:r>
        <w:rPr>
          <w:sz w:val="22"/>
        </w:rPr>
        <w:t>These</w:t>
      </w:r>
      <w:r>
        <w:rPr>
          <w:spacing w:val="-1"/>
          <w:sz w:val="22"/>
        </w:rPr>
        <w:t> </w:t>
      </w:r>
      <w:r>
        <w:rPr>
          <w:sz w:val="22"/>
        </w:rPr>
        <w:t>research</w:t>
      </w:r>
      <w:r>
        <w:rPr>
          <w:spacing w:val="-1"/>
          <w:sz w:val="22"/>
        </w:rPr>
        <w:t> </w:t>
      </w:r>
      <w:r>
        <w:rPr>
          <w:sz w:val="22"/>
        </w:rPr>
        <w:t>groups</w:t>
      </w:r>
      <w:r>
        <w:rPr>
          <w:spacing w:val="-1"/>
          <w:sz w:val="22"/>
        </w:rPr>
        <w:t> </w:t>
      </w:r>
      <w:r>
        <w:rPr>
          <w:sz w:val="22"/>
        </w:rPr>
        <w:t>should</w:t>
      </w:r>
      <w:r>
        <w:rPr>
          <w:spacing w:val="-1"/>
          <w:sz w:val="22"/>
        </w:rPr>
        <w:t> </w:t>
      </w:r>
      <w:r>
        <w:rPr>
          <w:sz w:val="22"/>
        </w:rPr>
        <w:t>be </w:t>
      </w:r>
      <w:r>
        <w:rPr>
          <w:spacing w:val="-2"/>
          <w:sz w:val="22"/>
        </w:rPr>
        <w:t>headed</w:t>
      </w:r>
      <w:r>
        <w:rPr>
          <w:spacing w:val="-12"/>
          <w:sz w:val="22"/>
        </w:rPr>
        <w:t> </w:t>
      </w:r>
      <w:r>
        <w:rPr>
          <w:spacing w:val="-2"/>
          <w:sz w:val="22"/>
        </w:rPr>
        <w:t>by</w:t>
      </w:r>
      <w:r>
        <w:rPr>
          <w:spacing w:val="-12"/>
          <w:sz w:val="22"/>
        </w:rPr>
        <w:t> </w:t>
      </w:r>
      <w:r>
        <w:rPr>
          <w:spacing w:val="-2"/>
          <w:sz w:val="22"/>
        </w:rPr>
        <w:t>a</w:t>
      </w:r>
      <w:r>
        <w:rPr>
          <w:spacing w:val="-12"/>
          <w:sz w:val="22"/>
        </w:rPr>
        <w:t> </w:t>
      </w:r>
      <w:r>
        <w:rPr>
          <w:spacing w:val="-2"/>
          <w:sz w:val="22"/>
        </w:rPr>
        <w:t>well</w:t>
      </w:r>
      <w:r>
        <w:rPr>
          <w:spacing w:val="-11"/>
          <w:sz w:val="22"/>
        </w:rPr>
        <w:t> </w:t>
      </w:r>
      <w:r>
        <w:rPr>
          <w:spacing w:val="-2"/>
          <w:sz w:val="22"/>
        </w:rPr>
        <w:t>known</w:t>
      </w:r>
      <w:r>
        <w:rPr>
          <w:spacing w:val="-12"/>
          <w:sz w:val="22"/>
        </w:rPr>
        <w:t> </w:t>
      </w:r>
      <w:r>
        <w:rPr>
          <w:spacing w:val="-2"/>
          <w:sz w:val="22"/>
        </w:rPr>
        <w:t>scientist</w:t>
      </w:r>
      <w:r>
        <w:rPr>
          <w:spacing w:val="-12"/>
          <w:sz w:val="22"/>
        </w:rPr>
        <w:t> </w:t>
      </w:r>
      <w:r>
        <w:rPr>
          <w:spacing w:val="-2"/>
          <w:sz w:val="22"/>
        </w:rPr>
        <w:t>who</w:t>
      </w:r>
      <w:r>
        <w:rPr>
          <w:spacing w:val="-12"/>
          <w:sz w:val="22"/>
        </w:rPr>
        <w:t> </w:t>
      </w:r>
      <w:r>
        <w:rPr>
          <w:spacing w:val="-2"/>
          <w:sz w:val="22"/>
        </w:rPr>
        <w:t>is</w:t>
      </w:r>
      <w:r>
        <w:rPr>
          <w:spacing w:val="-11"/>
          <w:sz w:val="22"/>
        </w:rPr>
        <w:t> </w:t>
      </w:r>
      <w:r>
        <w:rPr>
          <w:spacing w:val="-2"/>
          <w:sz w:val="22"/>
        </w:rPr>
        <w:t>capable</w:t>
      </w:r>
      <w:r>
        <w:rPr>
          <w:spacing w:val="-12"/>
          <w:sz w:val="22"/>
        </w:rPr>
        <w:t> </w:t>
      </w:r>
      <w:r>
        <w:rPr>
          <w:spacing w:val="-2"/>
          <w:sz w:val="22"/>
        </w:rPr>
        <w:t>of </w:t>
      </w:r>
      <w:r>
        <w:rPr>
          <w:sz w:val="22"/>
        </w:rPr>
        <w:t>attracting young doctorates.</w:t>
      </w:r>
    </w:p>
    <w:p>
      <w:pPr>
        <w:pStyle w:val="ListParagraph"/>
        <w:numPr>
          <w:ilvl w:val="0"/>
          <w:numId w:val="43"/>
        </w:numPr>
        <w:tabs>
          <w:tab w:pos="679" w:val="left" w:leader="none"/>
        </w:tabs>
        <w:spacing w:line="266" w:lineRule="auto" w:before="0" w:after="0"/>
        <w:ind w:left="679" w:right="1077" w:hanging="360"/>
        <w:jc w:val="both"/>
        <w:rPr>
          <w:sz w:val="22"/>
        </w:rPr>
      </w:pPr>
      <w:r>
        <w:rPr>
          <w:sz w:val="22"/>
        </w:rPr>
        <w:t>New</w:t>
      </w:r>
      <w:r>
        <w:rPr>
          <w:spacing w:val="-2"/>
          <w:sz w:val="22"/>
        </w:rPr>
        <w:t> </w:t>
      </w:r>
      <w:r>
        <w:rPr>
          <w:sz w:val="22"/>
        </w:rPr>
        <w:t>institutes</w:t>
      </w:r>
      <w:r>
        <w:rPr>
          <w:spacing w:val="-2"/>
          <w:sz w:val="22"/>
        </w:rPr>
        <w:t> </w:t>
      </w:r>
      <w:r>
        <w:rPr>
          <w:sz w:val="22"/>
        </w:rPr>
        <w:t>will</w:t>
      </w:r>
      <w:r>
        <w:rPr>
          <w:spacing w:val="-2"/>
          <w:sz w:val="22"/>
        </w:rPr>
        <w:t> </w:t>
      </w:r>
      <w:r>
        <w:rPr>
          <w:sz w:val="22"/>
        </w:rPr>
        <w:t>create</w:t>
      </w:r>
      <w:r>
        <w:rPr>
          <w:spacing w:val="-2"/>
          <w:sz w:val="22"/>
        </w:rPr>
        <w:t> </w:t>
      </w:r>
      <w:r>
        <w:rPr>
          <w:sz w:val="22"/>
        </w:rPr>
        <w:t>a</w:t>
      </w:r>
      <w:r>
        <w:rPr>
          <w:spacing w:val="-2"/>
          <w:sz w:val="22"/>
        </w:rPr>
        <w:t> </w:t>
      </w:r>
      <w:r>
        <w:rPr>
          <w:sz w:val="22"/>
        </w:rPr>
        <w:t>demand</w:t>
      </w:r>
      <w:r>
        <w:rPr>
          <w:spacing w:val="-2"/>
          <w:sz w:val="22"/>
        </w:rPr>
        <w:t> </w:t>
      </w:r>
      <w:r>
        <w:rPr>
          <w:sz w:val="22"/>
        </w:rPr>
        <w:t>for</w:t>
      </w:r>
      <w:r>
        <w:rPr>
          <w:spacing w:val="-2"/>
          <w:sz w:val="22"/>
        </w:rPr>
        <w:t> </w:t>
      </w:r>
      <w:r>
        <w:rPr>
          <w:sz w:val="22"/>
        </w:rPr>
        <w:t>Ph.Ds.</w:t>
      </w:r>
      <w:r>
        <w:rPr>
          <w:spacing w:val="-2"/>
          <w:sz w:val="22"/>
        </w:rPr>
        <w:t> </w:t>
      </w:r>
      <w:r>
        <w:rPr>
          <w:sz w:val="22"/>
        </w:rPr>
        <w:t>A study</w:t>
      </w:r>
      <w:r>
        <w:rPr>
          <w:spacing w:val="-7"/>
          <w:sz w:val="22"/>
        </w:rPr>
        <w:t> </w:t>
      </w:r>
      <w:r>
        <w:rPr>
          <w:sz w:val="22"/>
        </w:rPr>
        <w:t>on</w:t>
      </w:r>
      <w:r>
        <w:rPr>
          <w:spacing w:val="-7"/>
          <w:sz w:val="22"/>
        </w:rPr>
        <w:t> </w:t>
      </w:r>
      <w:r>
        <w:rPr>
          <w:sz w:val="22"/>
        </w:rPr>
        <w:t>shortage</w:t>
      </w:r>
      <w:r>
        <w:rPr>
          <w:spacing w:val="-7"/>
          <w:sz w:val="22"/>
        </w:rPr>
        <w:t> </w:t>
      </w:r>
      <w:r>
        <w:rPr>
          <w:sz w:val="22"/>
        </w:rPr>
        <w:t>of</w:t>
      </w:r>
      <w:r>
        <w:rPr>
          <w:spacing w:val="-7"/>
          <w:sz w:val="22"/>
        </w:rPr>
        <w:t> </w:t>
      </w:r>
      <w:r>
        <w:rPr>
          <w:sz w:val="22"/>
        </w:rPr>
        <w:t>skilled</w:t>
      </w:r>
      <w:r>
        <w:rPr>
          <w:spacing w:val="-7"/>
          <w:sz w:val="22"/>
        </w:rPr>
        <w:t> </w:t>
      </w:r>
      <w:r>
        <w:rPr>
          <w:sz w:val="22"/>
        </w:rPr>
        <w:t>manpower</w:t>
      </w:r>
      <w:r>
        <w:rPr>
          <w:spacing w:val="-7"/>
          <w:sz w:val="22"/>
        </w:rPr>
        <w:t> </w:t>
      </w:r>
      <w:r>
        <w:rPr>
          <w:sz w:val="22"/>
        </w:rPr>
        <w:t>in</w:t>
      </w:r>
      <w:r>
        <w:rPr>
          <w:spacing w:val="-7"/>
          <w:sz w:val="22"/>
        </w:rPr>
        <w:t> </w:t>
      </w:r>
      <w:r>
        <w:rPr>
          <w:sz w:val="22"/>
        </w:rPr>
        <w:t>science </w:t>
      </w:r>
      <w:r>
        <w:rPr>
          <w:spacing w:val="-6"/>
          <w:sz w:val="22"/>
        </w:rPr>
        <w:t>should</w:t>
      </w:r>
      <w:r>
        <w:rPr>
          <w:spacing w:val="-8"/>
          <w:sz w:val="22"/>
        </w:rPr>
        <w:t> </w:t>
      </w:r>
      <w:r>
        <w:rPr>
          <w:spacing w:val="-6"/>
          <w:sz w:val="22"/>
        </w:rPr>
        <w:t>be</w:t>
      </w:r>
      <w:r>
        <w:rPr>
          <w:spacing w:val="-8"/>
          <w:sz w:val="22"/>
        </w:rPr>
        <w:t> </w:t>
      </w:r>
      <w:r>
        <w:rPr>
          <w:spacing w:val="-6"/>
          <w:sz w:val="22"/>
        </w:rPr>
        <w:t>commissioned</w:t>
      </w:r>
      <w:r>
        <w:rPr>
          <w:spacing w:val="-7"/>
          <w:sz w:val="22"/>
        </w:rPr>
        <w:t> </w:t>
      </w:r>
      <w:r>
        <w:rPr>
          <w:spacing w:val="-6"/>
          <w:sz w:val="22"/>
        </w:rPr>
        <w:t>by DST.</w:t>
      </w:r>
      <w:r>
        <w:rPr>
          <w:spacing w:val="-8"/>
          <w:sz w:val="22"/>
        </w:rPr>
        <w:t> </w:t>
      </w:r>
      <w:r>
        <w:rPr>
          <w:spacing w:val="-6"/>
          <w:sz w:val="22"/>
        </w:rPr>
        <w:t>There is a need to </w:t>
      </w:r>
      <w:r>
        <w:rPr>
          <w:w w:val="90"/>
          <w:sz w:val="22"/>
        </w:rPr>
        <w:t>increase salaries in this field to reflect the shortage of </w:t>
      </w:r>
      <w:r>
        <w:rPr>
          <w:spacing w:val="-6"/>
          <w:sz w:val="22"/>
        </w:rPr>
        <w:t>skilled</w:t>
      </w:r>
      <w:r>
        <w:rPr>
          <w:spacing w:val="-8"/>
          <w:sz w:val="22"/>
        </w:rPr>
        <w:t> </w:t>
      </w:r>
      <w:r>
        <w:rPr>
          <w:spacing w:val="-6"/>
          <w:sz w:val="22"/>
        </w:rPr>
        <w:t>manpower.</w:t>
      </w:r>
      <w:r>
        <w:rPr>
          <w:spacing w:val="-8"/>
          <w:sz w:val="22"/>
        </w:rPr>
        <w:t> </w:t>
      </w:r>
      <w:r>
        <w:rPr>
          <w:spacing w:val="-6"/>
          <w:sz w:val="22"/>
        </w:rPr>
        <w:t>More</w:t>
      </w:r>
      <w:r>
        <w:rPr>
          <w:spacing w:val="-8"/>
          <w:sz w:val="22"/>
        </w:rPr>
        <w:t> </w:t>
      </w:r>
      <w:r>
        <w:rPr>
          <w:spacing w:val="-6"/>
          <w:sz w:val="22"/>
        </w:rPr>
        <w:t>students</w:t>
      </w:r>
      <w:r>
        <w:rPr>
          <w:spacing w:val="-7"/>
          <w:sz w:val="22"/>
        </w:rPr>
        <w:t> </w:t>
      </w:r>
      <w:r>
        <w:rPr>
          <w:spacing w:val="-6"/>
          <w:sz w:val="22"/>
        </w:rPr>
        <w:t>will</w:t>
      </w:r>
      <w:r>
        <w:rPr>
          <w:spacing w:val="-8"/>
          <w:sz w:val="22"/>
        </w:rPr>
        <w:t> </w:t>
      </w:r>
      <w:r>
        <w:rPr>
          <w:spacing w:val="-6"/>
          <w:sz w:val="22"/>
        </w:rPr>
        <w:t>be</w:t>
      </w:r>
      <w:r>
        <w:rPr>
          <w:spacing w:val="-8"/>
          <w:sz w:val="22"/>
        </w:rPr>
        <w:t> </w:t>
      </w:r>
      <w:r>
        <w:rPr>
          <w:spacing w:val="-6"/>
          <w:sz w:val="22"/>
        </w:rPr>
        <w:t>attracted</w:t>
      </w:r>
      <w:r>
        <w:rPr>
          <w:spacing w:val="-8"/>
          <w:sz w:val="22"/>
        </w:rPr>
        <w:t> </w:t>
      </w:r>
      <w:r>
        <w:rPr>
          <w:spacing w:val="-6"/>
          <w:sz w:val="22"/>
        </w:rPr>
        <w:t>to pursue basic sciences if they realise that the rewards </w:t>
      </w:r>
      <w:r>
        <w:rPr>
          <w:sz w:val="22"/>
        </w:rPr>
        <w:t>in</w:t>
      </w:r>
      <w:r>
        <w:rPr>
          <w:spacing w:val="-14"/>
          <w:sz w:val="22"/>
        </w:rPr>
        <w:t> </w:t>
      </w:r>
      <w:r>
        <w:rPr>
          <w:sz w:val="22"/>
        </w:rPr>
        <w:t>scientific</w:t>
      </w:r>
      <w:r>
        <w:rPr>
          <w:spacing w:val="-13"/>
          <w:sz w:val="22"/>
        </w:rPr>
        <w:t> </w:t>
      </w:r>
      <w:r>
        <w:rPr>
          <w:sz w:val="22"/>
        </w:rPr>
        <w:t>profession</w:t>
      </w:r>
      <w:r>
        <w:rPr>
          <w:spacing w:val="-14"/>
          <w:sz w:val="22"/>
        </w:rPr>
        <w:t> </w:t>
      </w:r>
      <w:r>
        <w:rPr>
          <w:sz w:val="22"/>
        </w:rPr>
        <w:t>are</w:t>
      </w:r>
      <w:r>
        <w:rPr>
          <w:spacing w:val="-14"/>
          <w:sz w:val="22"/>
        </w:rPr>
        <w:t> </w:t>
      </w:r>
      <w:r>
        <w:rPr>
          <w:sz w:val="22"/>
        </w:rPr>
        <w:t>not</w:t>
      </w:r>
      <w:r>
        <w:rPr>
          <w:spacing w:val="-13"/>
          <w:sz w:val="22"/>
        </w:rPr>
        <w:t> </w:t>
      </w:r>
      <w:r>
        <w:rPr>
          <w:sz w:val="22"/>
        </w:rPr>
        <w:t>controlled</w:t>
      </w:r>
      <w:r>
        <w:rPr>
          <w:spacing w:val="-14"/>
          <w:sz w:val="22"/>
        </w:rPr>
        <w:t> </w:t>
      </w:r>
      <w:r>
        <w:rPr>
          <w:sz w:val="22"/>
        </w:rPr>
        <w:t>by</w:t>
      </w:r>
      <w:r>
        <w:rPr>
          <w:spacing w:val="-13"/>
          <w:sz w:val="22"/>
        </w:rPr>
        <w:t> </w:t>
      </w:r>
      <w:r>
        <w:rPr>
          <w:sz w:val="22"/>
        </w:rPr>
        <w:t>fixed </w:t>
      </w:r>
      <w:r>
        <w:rPr>
          <w:spacing w:val="-4"/>
          <w:sz w:val="22"/>
        </w:rPr>
        <w:t>pay</w:t>
      </w:r>
      <w:r>
        <w:rPr>
          <w:spacing w:val="-7"/>
          <w:sz w:val="22"/>
        </w:rPr>
        <w:t> </w:t>
      </w:r>
      <w:r>
        <w:rPr>
          <w:spacing w:val="-4"/>
          <w:sz w:val="22"/>
        </w:rPr>
        <w:t>scales</w:t>
      </w:r>
      <w:r>
        <w:rPr>
          <w:spacing w:val="-7"/>
          <w:sz w:val="22"/>
        </w:rPr>
        <w:t> </w:t>
      </w:r>
      <w:r>
        <w:rPr>
          <w:spacing w:val="-4"/>
          <w:sz w:val="22"/>
        </w:rPr>
        <w:t>but</w:t>
      </w:r>
      <w:r>
        <w:rPr>
          <w:spacing w:val="-7"/>
          <w:sz w:val="22"/>
        </w:rPr>
        <w:t> </w:t>
      </w:r>
      <w:r>
        <w:rPr>
          <w:spacing w:val="-4"/>
          <w:sz w:val="22"/>
        </w:rPr>
        <w:t>show</w:t>
      </w:r>
      <w:r>
        <w:rPr>
          <w:spacing w:val="-7"/>
          <w:sz w:val="22"/>
        </w:rPr>
        <w:t> </w:t>
      </w:r>
      <w:r>
        <w:rPr>
          <w:spacing w:val="-4"/>
          <w:sz w:val="22"/>
        </w:rPr>
        <w:t>an</w:t>
      </w:r>
      <w:r>
        <w:rPr>
          <w:spacing w:val="-7"/>
          <w:sz w:val="22"/>
        </w:rPr>
        <w:t> </w:t>
      </w:r>
      <w:r>
        <w:rPr>
          <w:spacing w:val="-4"/>
          <w:sz w:val="22"/>
        </w:rPr>
        <w:t>upward</w:t>
      </w:r>
      <w:r>
        <w:rPr>
          <w:spacing w:val="-7"/>
          <w:sz w:val="22"/>
        </w:rPr>
        <w:t> </w:t>
      </w:r>
      <w:r>
        <w:rPr>
          <w:spacing w:val="-4"/>
          <w:sz w:val="22"/>
        </w:rPr>
        <w:t>trend</w:t>
      </w:r>
      <w:r>
        <w:rPr>
          <w:spacing w:val="-7"/>
          <w:sz w:val="22"/>
        </w:rPr>
        <w:t> </w:t>
      </w:r>
      <w:r>
        <w:rPr>
          <w:spacing w:val="-4"/>
          <w:sz w:val="22"/>
        </w:rPr>
        <w:t>as</w:t>
      </w:r>
      <w:r>
        <w:rPr>
          <w:spacing w:val="-7"/>
          <w:sz w:val="22"/>
        </w:rPr>
        <w:t> </w:t>
      </w:r>
      <w:r>
        <w:rPr>
          <w:spacing w:val="-4"/>
          <w:sz w:val="22"/>
        </w:rPr>
        <w:t>a</w:t>
      </w:r>
      <w:r>
        <w:rPr>
          <w:spacing w:val="-7"/>
          <w:sz w:val="22"/>
        </w:rPr>
        <w:t> </w:t>
      </w:r>
      <w:r>
        <w:rPr>
          <w:spacing w:val="-4"/>
          <w:sz w:val="22"/>
        </w:rPr>
        <w:t>reflection </w:t>
      </w:r>
      <w:r>
        <w:rPr>
          <w:sz w:val="22"/>
        </w:rPr>
        <w:t>of the scarcity of talent in the field.</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ListParagraph"/>
        <w:numPr>
          <w:ilvl w:val="1"/>
          <w:numId w:val="42"/>
        </w:numPr>
        <w:tabs>
          <w:tab w:pos="1401" w:val="left" w:leader="none"/>
        </w:tabs>
        <w:spacing w:line="266" w:lineRule="auto" w:before="57" w:after="0"/>
        <w:ind w:left="1079" w:right="0" w:firstLine="0"/>
        <w:jc w:val="both"/>
        <w:rPr>
          <w:sz w:val="22"/>
        </w:rPr>
      </w:pPr>
      <w:r>
        <w:rPr>
          <w:b/>
          <w:w w:val="90"/>
          <w:sz w:val="22"/>
        </w:rPr>
        <w:t>Trained technicians: </w:t>
      </w:r>
      <w:r>
        <w:rPr>
          <w:w w:val="90"/>
          <w:sz w:val="22"/>
        </w:rPr>
        <w:t>Shortage of trained </w:t>
      </w:r>
      <w:r>
        <w:rPr>
          <w:w w:val="90"/>
          <w:sz w:val="22"/>
        </w:rPr>
        <w:t>technicians </w:t>
      </w:r>
      <w:r>
        <w:rPr>
          <w:spacing w:val="-6"/>
          <w:sz w:val="22"/>
        </w:rPr>
        <w:t>for</w:t>
      </w:r>
      <w:r>
        <w:rPr>
          <w:spacing w:val="-7"/>
          <w:sz w:val="22"/>
        </w:rPr>
        <w:t> </w:t>
      </w:r>
      <w:r>
        <w:rPr>
          <w:spacing w:val="-6"/>
          <w:sz w:val="22"/>
        </w:rPr>
        <w:t>science</w:t>
      </w:r>
      <w:r>
        <w:rPr>
          <w:spacing w:val="-7"/>
          <w:sz w:val="22"/>
        </w:rPr>
        <w:t> </w:t>
      </w:r>
      <w:r>
        <w:rPr>
          <w:spacing w:val="-6"/>
          <w:sz w:val="22"/>
        </w:rPr>
        <w:t>laboratories</w:t>
      </w:r>
      <w:r>
        <w:rPr>
          <w:spacing w:val="-7"/>
          <w:sz w:val="22"/>
        </w:rPr>
        <w:t> </w:t>
      </w:r>
      <w:r>
        <w:rPr>
          <w:spacing w:val="-6"/>
          <w:sz w:val="22"/>
        </w:rPr>
        <w:t>has</w:t>
      </w:r>
      <w:r>
        <w:rPr>
          <w:spacing w:val="-7"/>
          <w:sz w:val="22"/>
        </w:rPr>
        <w:t> </w:t>
      </w:r>
      <w:r>
        <w:rPr>
          <w:spacing w:val="-6"/>
          <w:sz w:val="22"/>
        </w:rPr>
        <w:t>resulted</w:t>
      </w:r>
      <w:r>
        <w:rPr>
          <w:spacing w:val="-7"/>
          <w:sz w:val="22"/>
        </w:rPr>
        <w:t> </w:t>
      </w:r>
      <w:r>
        <w:rPr>
          <w:spacing w:val="-6"/>
          <w:sz w:val="22"/>
        </w:rPr>
        <w:t>in</w:t>
      </w:r>
      <w:r>
        <w:rPr>
          <w:spacing w:val="-7"/>
          <w:sz w:val="22"/>
        </w:rPr>
        <w:t> </w:t>
      </w:r>
      <w:r>
        <w:rPr>
          <w:spacing w:val="-6"/>
          <w:sz w:val="22"/>
        </w:rPr>
        <w:t>poor</w:t>
      </w:r>
      <w:r>
        <w:rPr>
          <w:spacing w:val="-7"/>
          <w:sz w:val="22"/>
        </w:rPr>
        <w:t> </w:t>
      </w:r>
      <w:r>
        <w:rPr>
          <w:spacing w:val="-6"/>
          <w:sz w:val="22"/>
        </w:rPr>
        <w:t>maintenance </w:t>
      </w:r>
      <w:r>
        <w:rPr>
          <w:w w:val="90"/>
          <w:sz w:val="22"/>
        </w:rPr>
        <w:t>of laboratories across universities, colleges and institutes. </w:t>
      </w:r>
      <w:r>
        <w:rPr>
          <w:sz w:val="22"/>
        </w:rPr>
        <w:t>Appropriate</w:t>
      </w:r>
      <w:r>
        <w:rPr>
          <w:spacing w:val="-1"/>
          <w:sz w:val="22"/>
        </w:rPr>
        <w:t> </w:t>
      </w:r>
      <w:r>
        <w:rPr>
          <w:sz w:val="22"/>
        </w:rPr>
        <w:t>vocational</w:t>
      </w:r>
      <w:r>
        <w:rPr>
          <w:spacing w:val="-1"/>
          <w:sz w:val="22"/>
        </w:rPr>
        <w:t> </w:t>
      </w:r>
      <w:r>
        <w:rPr>
          <w:sz w:val="22"/>
        </w:rPr>
        <w:t>courses</w:t>
      </w:r>
      <w:r>
        <w:rPr>
          <w:spacing w:val="-1"/>
          <w:sz w:val="22"/>
        </w:rPr>
        <w:t> </w:t>
      </w:r>
      <w:r>
        <w:rPr>
          <w:sz w:val="22"/>
        </w:rPr>
        <w:t>may</w:t>
      </w:r>
      <w:r>
        <w:rPr>
          <w:spacing w:val="-1"/>
          <w:sz w:val="22"/>
        </w:rPr>
        <w:t> </w:t>
      </w:r>
      <w:r>
        <w:rPr>
          <w:sz w:val="22"/>
        </w:rPr>
        <w:t>be</w:t>
      </w:r>
      <w:r>
        <w:rPr>
          <w:spacing w:val="-1"/>
          <w:sz w:val="22"/>
        </w:rPr>
        <w:t> </w:t>
      </w:r>
      <w:r>
        <w:rPr>
          <w:sz w:val="22"/>
        </w:rPr>
        <w:t>designed</w:t>
      </w:r>
      <w:r>
        <w:rPr>
          <w:spacing w:val="-1"/>
          <w:sz w:val="22"/>
        </w:rPr>
        <w:t> </w:t>
      </w:r>
      <w:r>
        <w:rPr>
          <w:sz w:val="22"/>
        </w:rPr>
        <w:t>and </w:t>
      </w:r>
      <w:r>
        <w:rPr>
          <w:spacing w:val="-4"/>
          <w:sz w:val="22"/>
        </w:rPr>
        <w:t>introduced</w:t>
      </w:r>
      <w:r>
        <w:rPr>
          <w:spacing w:val="-10"/>
          <w:sz w:val="22"/>
        </w:rPr>
        <w:t> </w:t>
      </w:r>
      <w:r>
        <w:rPr>
          <w:spacing w:val="-4"/>
          <w:sz w:val="22"/>
        </w:rPr>
        <w:t>in</w:t>
      </w:r>
      <w:r>
        <w:rPr>
          <w:spacing w:val="-9"/>
          <w:sz w:val="22"/>
        </w:rPr>
        <w:t> </w:t>
      </w:r>
      <w:r>
        <w:rPr>
          <w:spacing w:val="-4"/>
          <w:sz w:val="22"/>
        </w:rPr>
        <w:t>areas</w:t>
      </w:r>
      <w:r>
        <w:rPr>
          <w:spacing w:val="-10"/>
          <w:sz w:val="22"/>
        </w:rPr>
        <w:t> </w:t>
      </w:r>
      <w:r>
        <w:rPr>
          <w:spacing w:val="-4"/>
          <w:sz w:val="22"/>
        </w:rPr>
        <w:t>that</w:t>
      </w:r>
      <w:r>
        <w:rPr>
          <w:spacing w:val="-9"/>
          <w:sz w:val="22"/>
        </w:rPr>
        <w:t> </w:t>
      </w:r>
      <w:r>
        <w:rPr>
          <w:spacing w:val="-4"/>
          <w:sz w:val="22"/>
        </w:rPr>
        <w:t>can</w:t>
      </w:r>
      <w:r>
        <w:rPr>
          <w:spacing w:val="-10"/>
          <w:sz w:val="22"/>
        </w:rPr>
        <w:t> </w:t>
      </w:r>
      <w:r>
        <w:rPr>
          <w:spacing w:val="-4"/>
          <w:sz w:val="22"/>
        </w:rPr>
        <w:t>provide</w:t>
      </w:r>
      <w:r>
        <w:rPr>
          <w:spacing w:val="-9"/>
          <w:sz w:val="22"/>
        </w:rPr>
        <w:t> </w:t>
      </w:r>
      <w:r>
        <w:rPr>
          <w:spacing w:val="-4"/>
          <w:sz w:val="22"/>
        </w:rPr>
        <w:t>direct</w:t>
      </w:r>
      <w:r>
        <w:rPr>
          <w:spacing w:val="-10"/>
          <w:sz w:val="22"/>
        </w:rPr>
        <w:t> </w:t>
      </w:r>
      <w:r>
        <w:rPr>
          <w:spacing w:val="-4"/>
          <w:sz w:val="22"/>
        </w:rPr>
        <w:t>employment. This</w:t>
      </w:r>
      <w:r>
        <w:rPr>
          <w:spacing w:val="-6"/>
          <w:sz w:val="22"/>
        </w:rPr>
        <w:t> </w:t>
      </w:r>
      <w:r>
        <w:rPr>
          <w:spacing w:val="-4"/>
          <w:sz w:val="22"/>
        </w:rPr>
        <w:t>may</w:t>
      </w:r>
      <w:r>
        <w:rPr>
          <w:spacing w:val="-6"/>
          <w:sz w:val="22"/>
        </w:rPr>
        <w:t> </w:t>
      </w:r>
      <w:r>
        <w:rPr>
          <w:spacing w:val="-4"/>
          <w:sz w:val="22"/>
        </w:rPr>
        <w:t>require</w:t>
      </w:r>
      <w:r>
        <w:rPr>
          <w:spacing w:val="-6"/>
          <w:sz w:val="22"/>
        </w:rPr>
        <w:t> </w:t>
      </w:r>
      <w:r>
        <w:rPr>
          <w:spacing w:val="-4"/>
          <w:sz w:val="22"/>
        </w:rPr>
        <w:t>a</w:t>
      </w:r>
      <w:r>
        <w:rPr>
          <w:spacing w:val="-6"/>
          <w:sz w:val="22"/>
        </w:rPr>
        <w:t> </w:t>
      </w:r>
      <w:r>
        <w:rPr>
          <w:spacing w:val="-4"/>
          <w:sz w:val="22"/>
        </w:rPr>
        <w:t>good</w:t>
      </w:r>
      <w:r>
        <w:rPr>
          <w:spacing w:val="-6"/>
          <w:sz w:val="22"/>
        </w:rPr>
        <w:t> </w:t>
      </w:r>
      <w:r>
        <w:rPr>
          <w:spacing w:val="-4"/>
          <w:sz w:val="22"/>
        </w:rPr>
        <w:t>analysis</w:t>
      </w:r>
      <w:r>
        <w:rPr>
          <w:spacing w:val="-6"/>
          <w:sz w:val="22"/>
        </w:rPr>
        <w:t> </w:t>
      </w:r>
      <w:r>
        <w:rPr>
          <w:spacing w:val="-4"/>
          <w:sz w:val="22"/>
        </w:rPr>
        <w:t>of</w:t>
      </w:r>
      <w:r>
        <w:rPr>
          <w:spacing w:val="-6"/>
          <w:sz w:val="22"/>
        </w:rPr>
        <w:t> </w:t>
      </w:r>
      <w:r>
        <w:rPr>
          <w:spacing w:val="-4"/>
          <w:sz w:val="22"/>
        </w:rPr>
        <w:t>local</w:t>
      </w:r>
      <w:r>
        <w:rPr>
          <w:spacing w:val="-6"/>
          <w:sz w:val="22"/>
        </w:rPr>
        <w:t> </w:t>
      </w:r>
      <w:r>
        <w:rPr>
          <w:spacing w:val="-4"/>
          <w:sz w:val="22"/>
        </w:rPr>
        <w:t>industrial</w:t>
      </w:r>
      <w:r>
        <w:rPr>
          <w:spacing w:val="-6"/>
          <w:sz w:val="22"/>
        </w:rPr>
        <w:t> </w:t>
      </w:r>
      <w:r>
        <w:rPr>
          <w:spacing w:val="-4"/>
          <w:sz w:val="22"/>
        </w:rPr>
        <w:t>and other</w:t>
      </w:r>
      <w:r>
        <w:rPr>
          <w:spacing w:val="-5"/>
          <w:sz w:val="22"/>
        </w:rPr>
        <w:t> </w:t>
      </w:r>
      <w:r>
        <w:rPr>
          <w:spacing w:val="-4"/>
          <w:sz w:val="22"/>
        </w:rPr>
        <w:t>requirements.</w:t>
      </w:r>
      <w:r>
        <w:rPr>
          <w:spacing w:val="-5"/>
          <w:sz w:val="22"/>
        </w:rPr>
        <w:t> </w:t>
      </w:r>
      <w:r>
        <w:rPr>
          <w:spacing w:val="-4"/>
          <w:sz w:val="22"/>
        </w:rPr>
        <w:t>Some</w:t>
      </w:r>
      <w:r>
        <w:rPr>
          <w:spacing w:val="-5"/>
          <w:sz w:val="22"/>
        </w:rPr>
        <w:t> </w:t>
      </w:r>
      <w:r>
        <w:rPr>
          <w:spacing w:val="-4"/>
          <w:sz w:val="22"/>
        </w:rPr>
        <w:t>general</w:t>
      </w:r>
      <w:r>
        <w:rPr>
          <w:spacing w:val="-5"/>
          <w:sz w:val="22"/>
        </w:rPr>
        <w:t> </w:t>
      </w:r>
      <w:r>
        <w:rPr>
          <w:spacing w:val="-4"/>
          <w:sz w:val="22"/>
        </w:rPr>
        <w:t>examples</w:t>
      </w:r>
      <w:r>
        <w:rPr>
          <w:spacing w:val="-5"/>
          <w:sz w:val="22"/>
        </w:rPr>
        <w:t> </w:t>
      </w:r>
      <w:r>
        <w:rPr>
          <w:spacing w:val="-4"/>
          <w:sz w:val="22"/>
        </w:rPr>
        <w:t>are:</w:t>
      </w:r>
      <w:r>
        <w:rPr>
          <w:spacing w:val="-5"/>
          <w:sz w:val="22"/>
        </w:rPr>
        <w:t> </w:t>
      </w:r>
      <w:r>
        <w:rPr>
          <w:spacing w:val="-4"/>
          <w:sz w:val="22"/>
        </w:rPr>
        <w:t>i)</w:t>
      </w:r>
      <w:r>
        <w:rPr>
          <w:spacing w:val="-5"/>
          <w:sz w:val="22"/>
        </w:rPr>
        <w:t> </w:t>
      </w:r>
      <w:r>
        <w:rPr>
          <w:spacing w:val="-4"/>
          <w:sz w:val="22"/>
        </w:rPr>
        <w:t>Bio- Medical</w:t>
      </w:r>
      <w:r>
        <w:rPr>
          <w:spacing w:val="-6"/>
          <w:sz w:val="22"/>
        </w:rPr>
        <w:t> </w:t>
      </w:r>
      <w:r>
        <w:rPr>
          <w:spacing w:val="-4"/>
          <w:sz w:val="22"/>
        </w:rPr>
        <w:t>Laboratory</w:t>
      </w:r>
      <w:r>
        <w:rPr>
          <w:spacing w:val="-10"/>
          <w:sz w:val="22"/>
        </w:rPr>
        <w:t> </w:t>
      </w:r>
      <w:r>
        <w:rPr>
          <w:spacing w:val="-4"/>
          <w:sz w:val="22"/>
        </w:rPr>
        <w:t>Techniques; ii) Bioinformatics; iii) Computer</w:t>
      </w:r>
      <w:r>
        <w:rPr>
          <w:spacing w:val="-10"/>
          <w:sz w:val="22"/>
        </w:rPr>
        <w:t> </w:t>
      </w:r>
      <w:r>
        <w:rPr>
          <w:spacing w:val="-4"/>
          <w:sz w:val="22"/>
        </w:rPr>
        <w:t>Applications;</w:t>
      </w:r>
      <w:r>
        <w:rPr>
          <w:spacing w:val="-10"/>
          <w:sz w:val="22"/>
        </w:rPr>
        <w:t> </w:t>
      </w:r>
      <w:r>
        <w:rPr>
          <w:spacing w:val="-4"/>
          <w:sz w:val="22"/>
        </w:rPr>
        <w:t>iv)</w:t>
      </w:r>
      <w:r>
        <w:rPr>
          <w:spacing w:val="-10"/>
          <w:sz w:val="22"/>
        </w:rPr>
        <w:t> </w:t>
      </w:r>
      <w:r>
        <w:rPr>
          <w:spacing w:val="-4"/>
          <w:sz w:val="22"/>
        </w:rPr>
        <w:t>Laboratory</w:t>
      </w:r>
      <w:r>
        <w:rPr>
          <w:spacing w:val="-9"/>
          <w:sz w:val="22"/>
        </w:rPr>
        <w:t> </w:t>
      </w:r>
      <w:r>
        <w:rPr>
          <w:spacing w:val="-4"/>
          <w:sz w:val="22"/>
        </w:rPr>
        <w:t>Techniques</w:t>
      </w:r>
      <w:r>
        <w:rPr>
          <w:spacing w:val="-10"/>
          <w:sz w:val="22"/>
        </w:rPr>
        <w:t> </w:t>
      </w:r>
      <w:r>
        <w:rPr>
          <w:spacing w:val="-4"/>
          <w:sz w:val="22"/>
        </w:rPr>
        <w:t>(for </w:t>
      </w:r>
      <w:r>
        <w:rPr>
          <w:sz w:val="22"/>
        </w:rPr>
        <w:t>Physics/Chemistry</w:t>
      </w:r>
      <w:r>
        <w:rPr>
          <w:spacing w:val="-14"/>
          <w:sz w:val="22"/>
        </w:rPr>
        <w:t> </w:t>
      </w:r>
      <w:r>
        <w:rPr>
          <w:sz w:val="22"/>
        </w:rPr>
        <w:t>labs)</w:t>
      </w:r>
      <w:r>
        <w:rPr>
          <w:spacing w:val="-14"/>
          <w:sz w:val="22"/>
        </w:rPr>
        <w:t> </w:t>
      </w:r>
      <w:r>
        <w:rPr>
          <w:sz w:val="22"/>
        </w:rPr>
        <w:t>etc.</w:t>
      </w:r>
      <w:r>
        <w:rPr>
          <w:spacing w:val="-14"/>
          <w:sz w:val="22"/>
        </w:rPr>
        <w:t> </w:t>
      </w:r>
      <w:r>
        <w:rPr>
          <w:sz w:val="22"/>
        </w:rPr>
        <w:t>These</w:t>
      </w:r>
      <w:r>
        <w:rPr>
          <w:spacing w:val="-13"/>
          <w:sz w:val="22"/>
        </w:rPr>
        <w:t> </w:t>
      </w:r>
      <w:r>
        <w:rPr>
          <w:sz w:val="22"/>
        </w:rPr>
        <w:t>courses</w:t>
      </w:r>
      <w:r>
        <w:rPr>
          <w:spacing w:val="-14"/>
          <w:sz w:val="22"/>
        </w:rPr>
        <w:t> </w:t>
      </w:r>
      <w:r>
        <w:rPr>
          <w:sz w:val="22"/>
        </w:rPr>
        <w:t>need</w:t>
      </w:r>
      <w:r>
        <w:rPr>
          <w:spacing w:val="-14"/>
          <w:sz w:val="22"/>
        </w:rPr>
        <w:t> </w:t>
      </w:r>
      <w:r>
        <w:rPr>
          <w:sz w:val="22"/>
        </w:rPr>
        <w:t>to</w:t>
      </w:r>
      <w:r>
        <w:rPr>
          <w:spacing w:val="-14"/>
          <w:sz w:val="22"/>
        </w:rPr>
        <w:t> </w:t>
      </w:r>
      <w:r>
        <w:rPr>
          <w:sz w:val="22"/>
        </w:rPr>
        <w:t>be so</w:t>
      </w:r>
      <w:r>
        <w:rPr>
          <w:spacing w:val="-11"/>
          <w:sz w:val="22"/>
        </w:rPr>
        <w:t> </w:t>
      </w:r>
      <w:r>
        <w:rPr>
          <w:sz w:val="22"/>
        </w:rPr>
        <w:t>designed</w:t>
      </w:r>
      <w:r>
        <w:rPr>
          <w:spacing w:val="-11"/>
          <w:sz w:val="22"/>
        </w:rPr>
        <w:t> </w:t>
      </w:r>
      <w:r>
        <w:rPr>
          <w:sz w:val="22"/>
        </w:rPr>
        <w:t>that</w:t>
      </w:r>
      <w:r>
        <w:rPr>
          <w:spacing w:val="-11"/>
          <w:sz w:val="22"/>
        </w:rPr>
        <w:t> </w:t>
      </w:r>
      <w:r>
        <w:rPr>
          <w:sz w:val="22"/>
        </w:rPr>
        <w:t>the</w:t>
      </w:r>
      <w:r>
        <w:rPr>
          <w:spacing w:val="-11"/>
          <w:sz w:val="22"/>
        </w:rPr>
        <w:t> </w:t>
      </w:r>
      <w:r>
        <w:rPr>
          <w:sz w:val="22"/>
        </w:rPr>
        <w:t>students</w:t>
      </w:r>
      <w:r>
        <w:rPr>
          <w:spacing w:val="-11"/>
          <w:sz w:val="22"/>
        </w:rPr>
        <w:t> </w:t>
      </w:r>
      <w:r>
        <w:rPr>
          <w:sz w:val="22"/>
        </w:rPr>
        <w:t>may</w:t>
      </w:r>
      <w:r>
        <w:rPr>
          <w:spacing w:val="-11"/>
          <w:sz w:val="22"/>
        </w:rPr>
        <w:t> </w:t>
      </w:r>
      <w:r>
        <w:rPr>
          <w:sz w:val="22"/>
        </w:rPr>
        <w:t>be</w:t>
      </w:r>
      <w:r>
        <w:rPr>
          <w:spacing w:val="-11"/>
          <w:sz w:val="22"/>
        </w:rPr>
        <w:t> </w:t>
      </w:r>
      <w:r>
        <w:rPr>
          <w:sz w:val="22"/>
        </w:rPr>
        <w:t>ready</w:t>
      </w:r>
      <w:r>
        <w:rPr>
          <w:spacing w:val="-11"/>
          <w:sz w:val="22"/>
        </w:rPr>
        <w:t> </w:t>
      </w:r>
      <w:r>
        <w:rPr>
          <w:sz w:val="22"/>
        </w:rPr>
        <w:t>for</w:t>
      </w:r>
      <w:r>
        <w:rPr>
          <w:spacing w:val="-11"/>
          <w:sz w:val="22"/>
        </w:rPr>
        <w:t> </w:t>
      </w:r>
      <w:r>
        <w:rPr>
          <w:sz w:val="22"/>
        </w:rPr>
        <w:t>gainful </w:t>
      </w:r>
      <w:r>
        <w:rPr>
          <w:w w:val="90"/>
          <w:sz w:val="22"/>
        </w:rPr>
        <w:t>employment.</w:t>
      </w:r>
      <w:r>
        <w:rPr>
          <w:spacing w:val="-9"/>
          <w:w w:val="90"/>
          <w:sz w:val="22"/>
        </w:rPr>
        <w:t> </w:t>
      </w:r>
      <w:r>
        <w:rPr>
          <w:w w:val="90"/>
          <w:sz w:val="22"/>
        </w:rPr>
        <w:t>These</w:t>
      </w:r>
      <w:r>
        <w:rPr>
          <w:spacing w:val="-4"/>
          <w:w w:val="90"/>
          <w:sz w:val="22"/>
        </w:rPr>
        <w:t> </w:t>
      </w:r>
      <w:r>
        <w:rPr>
          <w:w w:val="90"/>
          <w:sz w:val="22"/>
        </w:rPr>
        <w:t>courses can also be offered to students </w:t>
      </w:r>
      <w:r>
        <w:rPr>
          <w:spacing w:val="-2"/>
          <w:sz w:val="22"/>
        </w:rPr>
        <w:t>who</w:t>
      </w:r>
      <w:r>
        <w:rPr>
          <w:spacing w:val="-12"/>
          <w:sz w:val="22"/>
        </w:rPr>
        <w:t> </w:t>
      </w:r>
      <w:r>
        <w:rPr>
          <w:spacing w:val="-2"/>
          <w:sz w:val="22"/>
        </w:rPr>
        <w:t>are</w:t>
      </w:r>
      <w:r>
        <w:rPr>
          <w:spacing w:val="-12"/>
          <w:sz w:val="22"/>
        </w:rPr>
        <w:t> </w:t>
      </w:r>
      <w:r>
        <w:rPr>
          <w:spacing w:val="-2"/>
          <w:sz w:val="22"/>
        </w:rPr>
        <w:t>still</w:t>
      </w:r>
      <w:r>
        <w:rPr>
          <w:spacing w:val="-12"/>
          <w:sz w:val="22"/>
        </w:rPr>
        <w:t> </w:t>
      </w:r>
      <w:r>
        <w:rPr>
          <w:spacing w:val="-2"/>
          <w:sz w:val="22"/>
        </w:rPr>
        <w:t>pursuing</w:t>
      </w:r>
      <w:r>
        <w:rPr>
          <w:spacing w:val="-11"/>
          <w:sz w:val="22"/>
        </w:rPr>
        <w:t> </w:t>
      </w:r>
      <w:r>
        <w:rPr>
          <w:spacing w:val="-2"/>
          <w:sz w:val="22"/>
        </w:rPr>
        <w:t>their</w:t>
      </w:r>
      <w:r>
        <w:rPr>
          <w:spacing w:val="-12"/>
          <w:sz w:val="22"/>
        </w:rPr>
        <w:t> </w:t>
      </w:r>
      <w:r>
        <w:rPr>
          <w:spacing w:val="-2"/>
          <w:sz w:val="22"/>
        </w:rPr>
        <w:t>B.Sc</w:t>
      </w:r>
      <w:r>
        <w:rPr>
          <w:spacing w:val="-12"/>
          <w:sz w:val="22"/>
        </w:rPr>
        <w:t> </w:t>
      </w:r>
      <w:r>
        <w:rPr>
          <w:spacing w:val="-2"/>
          <w:sz w:val="22"/>
        </w:rPr>
        <w:t>as</w:t>
      </w:r>
      <w:r>
        <w:rPr>
          <w:spacing w:val="-12"/>
          <w:sz w:val="22"/>
        </w:rPr>
        <w:t> </w:t>
      </w:r>
      <w:r>
        <w:rPr>
          <w:spacing w:val="-2"/>
          <w:sz w:val="22"/>
        </w:rPr>
        <w:t>additional</w:t>
      </w:r>
      <w:r>
        <w:rPr>
          <w:spacing w:val="-11"/>
          <w:sz w:val="22"/>
        </w:rPr>
        <w:t> </w:t>
      </w:r>
      <w:r>
        <w:rPr>
          <w:spacing w:val="-2"/>
          <w:sz w:val="22"/>
        </w:rPr>
        <w:t>courses.</w:t>
      </w:r>
    </w:p>
    <w:p>
      <w:pPr>
        <w:pStyle w:val="BodyText"/>
        <w:spacing w:before="17"/>
      </w:pPr>
    </w:p>
    <w:p>
      <w:pPr>
        <w:pStyle w:val="ListParagraph"/>
        <w:numPr>
          <w:ilvl w:val="1"/>
          <w:numId w:val="42"/>
        </w:numPr>
        <w:tabs>
          <w:tab w:pos="1482" w:val="left" w:leader="none"/>
        </w:tabs>
        <w:spacing w:line="266" w:lineRule="auto" w:before="0" w:after="0"/>
        <w:ind w:left="1079" w:right="0" w:firstLine="0"/>
        <w:jc w:val="both"/>
        <w:rPr>
          <w:sz w:val="22"/>
        </w:rPr>
      </w:pPr>
      <w:r>
        <w:rPr>
          <w:b/>
          <w:sz w:val="22"/>
        </w:rPr>
        <w:t>Mentoring program: </w:t>
      </w:r>
      <w:r>
        <w:rPr>
          <w:sz w:val="22"/>
        </w:rPr>
        <w:t>A structured program for </w:t>
      </w:r>
      <w:r>
        <w:rPr>
          <w:w w:val="90"/>
          <w:sz w:val="22"/>
        </w:rPr>
        <w:t>mentoring students in science should be introduced. It was </w:t>
      </w:r>
      <w:r>
        <w:rPr>
          <w:spacing w:val="-6"/>
          <w:sz w:val="22"/>
        </w:rPr>
        <w:t>felt that the students in lower classes in different schools </w:t>
      </w:r>
      <w:r>
        <w:rPr>
          <w:sz w:val="22"/>
        </w:rPr>
        <w:t>across</w:t>
      </w:r>
      <w:r>
        <w:rPr>
          <w:spacing w:val="-16"/>
          <w:sz w:val="22"/>
        </w:rPr>
        <w:t> </w:t>
      </w:r>
      <w:r>
        <w:rPr>
          <w:sz w:val="22"/>
        </w:rPr>
        <w:t>the</w:t>
      </w:r>
      <w:r>
        <w:rPr>
          <w:spacing w:val="-14"/>
          <w:sz w:val="22"/>
        </w:rPr>
        <w:t> </w:t>
      </w:r>
      <w:r>
        <w:rPr>
          <w:sz w:val="22"/>
        </w:rPr>
        <w:t>country</w:t>
      </w:r>
      <w:r>
        <w:rPr>
          <w:spacing w:val="-14"/>
          <w:sz w:val="22"/>
        </w:rPr>
        <w:t> </w:t>
      </w:r>
      <w:r>
        <w:rPr>
          <w:sz w:val="22"/>
        </w:rPr>
        <w:t>are</w:t>
      </w:r>
      <w:r>
        <w:rPr>
          <w:spacing w:val="-13"/>
          <w:sz w:val="22"/>
        </w:rPr>
        <w:t> </w:t>
      </w:r>
      <w:r>
        <w:rPr>
          <w:sz w:val="22"/>
        </w:rPr>
        <w:t>intimidated</w:t>
      </w:r>
      <w:r>
        <w:rPr>
          <w:spacing w:val="-14"/>
          <w:sz w:val="22"/>
        </w:rPr>
        <w:t> </w:t>
      </w:r>
      <w:r>
        <w:rPr>
          <w:sz w:val="22"/>
        </w:rPr>
        <w:t>by</w:t>
      </w:r>
      <w:r>
        <w:rPr>
          <w:spacing w:val="-14"/>
          <w:sz w:val="22"/>
        </w:rPr>
        <w:t> </w:t>
      </w:r>
      <w:r>
        <w:rPr>
          <w:sz w:val="22"/>
        </w:rPr>
        <w:t>their</w:t>
      </w:r>
      <w:r>
        <w:rPr>
          <w:spacing w:val="-14"/>
          <w:sz w:val="22"/>
        </w:rPr>
        <w:t> </w:t>
      </w:r>
      <w:r>
        <w:rPr>
          <w:sz w:val="22"/>
        </w:rPr>
        <w:t>science</w:t>
      </w:r>
      <w:r>
        <w:rPr>
          <w:spacing w:val="-13"/>
          <w:sz w:val="22"/>
        </w:rPr>
        <w:t> </w:t>
      </w:r>
      <w:r>
        <w:rPr>
          <w:sz w:val="22"/>
        </w:rPr>
        <w:t>and </w:t>
      </w:r>
      <w:r>
        <w:rPr>
          <w:spacing w:val="-2"/>
          <w:sz w:val="22"/>
        </w:rPr>
        <w:t>math</w:t>
      </w:r>
      <w:r>
        <w:rPr>
          <w:spacing w:val="-12"/>
          <w:sz w:val="22"/>
        </w:rPr>
        <w:t> </w:t>
      </w:r>
      <w:r>
        <w:rPr>
          <w:spacing w:val="-2"/>
          <w:sz w:val="22"/>
        </w:rPr>
        <w:t>teachers</w:t>
      </w:r>
      <w:r>
        <w:rPr>
          <w:spacing w:val="-12"/>
          <w:sz w:val="22"/>
        </w:rPr>
        <w:t> </w:t>
      </w:r>
      <w:r>
        <w:rPr>
          <w:spacing w:val="-2"/>
          <w:sz w:val="22"/>
        </w:rPr>
        <w:t>because</w:t>
      </w:r>
      <w:r>
        <w:rPr>
          <w:spacing w:val="-12"/>
          <w:sz w:val="22"/>
        </w:rPr>
        <w:t> </w:t>
      </w:r>
      <w:r>
        <w:rPr>
          <w:spacing w:val="-2"/>
          <w:sz w:val="22"/>
        </w:rPr>
        <w:t>of</w:t>
      </w:r>
      <w:r>
        <w:rPr>
          <w:spacing w:val="-11"/>
          <w:sz w:val="22"/>
        </w:rPr>
        <w:t> </w:t>
      </w:r>
      <w:r>
        <w:rPr>
          <w:spacing w:val="-2"/>
          <w:sz w:val="22"/>
        </w:rPr>
        <w:t>the</w:t>
      </w:r>
      <w:r>
        <w:rPr>
          <w:spacing w:val="-12"/>
          <w:sz w:val="22"/>
        </w:rPr>
        <w:t> </w:t>
      </w:r>
      <w:r>
        <w:rPr>
          <w:spacing w:val="-2"/>
          <w:sz w:val="22"/>
        </w:rPr>
        <w:t>teacher’s</w:t>
      </w:r>
      <w:r>
        <w:rPr>
          <w:spacing w:val="-12"/>
          <w:sz w:val="22"/>
        </w:rPr>
        <w:t> </w:t>
      </w:r>
      <w:r>
        <w:rPr>
          <w:spacing w:val="-2"/>
          <w:sz w:val="22"/>
        </w:rPr>
        <w:t>attitude</w:t>
      </w:r>
      <w:r>
        <w:rPr>
          <w:spacing w:val="-12"/>
          <w:sz w:val="22"/>
        </w:rPr>
        <w:t> </w:t>
      </w:r>
      <w:r>
        <w:rPr>
          <w:spacing w:val="-2"/>
          <w:sz w:val="22"/>
        </w:rPr>
        <w:t>towards </w:t>
      </w:r>
      <w:r>
        <w:rPr>
          <w:sz w:val="22"/>
        </w:rPr>
        <w:t>the students or the teacher’s gap in knowledge. As a </w:t>
      </w:r>
      <w:r>
        <w:rPr>
          <w:spacing w:val="-2"/>
          <w:sz w:val="22"/>
        </w:rPr>
        <w:t>result,</w:t>
      </w:r>
      <w:r>
        <w:rPr>
          <w:spacing w:val="-4"/>
          <w:sz w:val="22"/>
        </w:rPr>
        <w:t> </w:t>
      </w:r>
      <w:r>
        <w:rPr>
          <w:spacing w:val="-2"/>
          <w:sz w:val="22"/>
        </w:rPr>
        <w:t>students</w:t>
      </w:r>
      <w:r>
        <w:rPr>
          <w:spacing w:val="-4"/>
          <w:sz w:val="22"/>
        </w:rPr>
        <w:t> </w:t>
      </w:r>
      <w:r>
        <w:rPr>
          <w:spacing w:val="-2"/>
          <w:sz w:val="22"/>
        </w:rPr>
        <w:t>feel</w:t>
      </w:r>
      <w:r>
        <w:rPr>
          <w:spacing w:val="-4"/>
          <w:sz w:val="22"/>
        </w:rPr>
        <w:t> </w:t>
      </w:r>
      <w:r>
        <w:rPr>
          <w:spacing w:val="-2"/>
          <w:sz w:val="22"/>
        </w:rPr>
        <w:t>inhibited</w:t>
      </w:r>
      <w:r>
        <w:rPr>
          <w:spacing w:val="-4"/>
          <w:sz w:val="22"/>
        </w:rPr>
        <w:t> </w:t>
      </w:r>
      <w:r>
        <w:rPr>
          <w:spacing w:val="-2"/>
          <w:sz w:val="22"/>
        </w:rPr>
        <w:t>in</w:t>
      </w:r>
      <w:r>
        <w:rPr>
          <w:spacing w:val="-4"/>
          <w:sz w:val="22"/>
        </w:rPr>
        <w:t> </w:t>
      </w:r>
      <w:r>
        <w:rPr>
          <w:spacing w:val="-2"/>
          <w:sz w:val="22"/>
        </w:rPr>
        <w:t>asking</w:t>
      </w:r>
      <w:r>
        <w:rPr>
          <w:spacing w:val="-4"/>
          <w:sz w:val="22"/>
        </w:rPr>
        <w:t> </w:t>
      </w:r>
      <w:r>
        <w:rPr>
          <w:spacing w:val="-2"/>
          <w:sz w:val="22"/>
        </w:rPr>
        <w:t>questions.</w:t>
      </w:r>
      <w:r>
        <w:rPr>
          <w:spacing w:val="-10"/>
          <w:sz w:val="22"/>
        </w:rPr>
        <w:t> </w:t>
      </w:r>
      <w:r>
        <w:rPr>
          <w:spacing w:val="-2"/>
          <w:sz w:val="22"/>
        </w:rPr>
        <w:t>This </w:t>
      </w:r>
      <w:r>
        <w:rPr>
          <w:spacing w:val="-4"/>
          <w:sz w:val="22"/>
        </w:rPr>
        <w:t>in</w:t>
      </w:r>
      <w:r>
        <w:rPr>
          <w:spacing w:val="-10"/>
          <w:sz w:val="22"/>
        </w:rPr>
        <w:t> </w:t>
      </w:r>
      <w:r>
        <w:rPr>
          <w:spacing w:val="-4"/>
          <w:sz w:val="22"/>
        </w:rPr>
        <w:t>turn,</w:t>
      </w:r>
      <w:r>
        <w:rPr>
          <w:spacing w:val="-10"/>
          <w:sz w:val="22"/>
        </w:rPr>
        <w:t> </w:t>
      </w:r>
      <w:r>
        <w:rPr>
          <w:spacing w:val="-4"/>
          <w:sz w:val="22"/>
        </w:rPr>
        <w:t>leads</w:t>
      </w:r>
      <w:r>
        <w:rPr>
          <w:spacing w:val="-10"/>
          <w:sz w:val="22"/>
        </w:rPr>
        <w:t> </w:t>
      </w:r>
      <w:r>
        <w:rPr>
          <w:spacing w:val="-4"/>
          <w:sz w:val="22"/>
        </w:rPr>
        <w:t>to</w:t>
      </w:r>
      <w:r>
        <w:rPr>
          <w:spacing w:val="-9"/>
          <w:sz w:val="22"/>
        </w:rPr>
        <w:t> </w:t>
      </w:r>
      <w:r>
        <w:rPr>
          <w:spacing w:val="-4"/>
          <w:sz w:val="22"/>
        </w:rPr>
        <w:t>the</w:t>
      </w:r>
      <w:r>
        <w:rPr>
          <w:spacing w:val="-10"/>
          <w:sz w:val="22"/>
        </w:rPr>
        <w:t> </w:t>
      </w:r>
      <w:r>
        <w:rPr>
          <w:spacing w:val="-4"/>
          <w:sz w:val="22"/>
        </w:rPr>
        <w:t>development</w:t>
      </w:r>
      <w:r>
        <w:rPr>
          <w:spacing w:val="-10"/>
          <w:sz w:val="22"/>
        </w:rPr>
        <w:t> </w:t>
      </w:r>
      <w:r>
        <w:rPr>
          <w:spacing w:val="-4"/>
          <w:sz w:val="22"/>
        </w:rPr>
        <w:t>of</w:t>
      </w:r>
      <w:r>
        <w:rPr>
          <w:spacing w:val="-10"/>
          <w:sz w:val="22"/>
        </w:rPr>
        <w:t> </w:t>
      </w:r>
      <w:r>
        <w:rPr>
          <w:spacing w:val="-4"/>
          <w:sz w:val="22"/>
        </w:rPr>
        <w:t>a</w:t>
      </w:r>
      <w:r>
        <w:rPr>
          <w:spacing w:val="-9"/>
          <w:sz w:val="22"/>
        </w:rPr>
        <w:t> </w:t>
      </w:r>
      <w:r>
        <w:rPr>
          <w:spacing w:val="-4"/>
          <w:sz w:val="22"/>
        </w:rPr>
        <w:t>complex,</w:t>
      </w:r>
      <w:r>
        <w:rPr>
          <w:spacing w:val="-10"/>
          <w:sz w:val="22"/>
        </w:rPr>
        <w:t> </w:t>
      </w:r>
      <w:r>
        <w:rPr>
          <w:spacing w:val="-4"/>
          <w:sz w:val="22"/>
        </w:rPr>
        <w:t>which</w:t>
      </w:r>
      <w:r>
        <w:rPr>
          <w:spacing w:val="-10"/>
          <w:sz w:val="22"/>
        </w:rPr>
        <w:t> </w:t>
      </w:r>
      <w:r>
        <w:rPr>
          <w:spacing w:val="-4"/>
          <w:sz w:val="22"/>
        </w:rPr>
        <w:t>is </w:t>
      </w:r>
      <w:r>
        <w:rPr>
          <w:sz w:val="22"/>
        </w:rPr>
        <w:t>detrimental</w:t>
      </w:r>
      <w:r>
        <w:rPr>
          <w:spacing w:val="-14"/>
          <w:sz w:val="22"/>
        </w:rPr>
        <w:t> </w:t>
      </w:r>
      <w:r>
        <w:rPr>
          <w:sz w:val="22"/>
        </w:rPr>
        <w:t>for</w:t>
      </w:r>
      <w:r>
        <w:rPr>
          <w:spacing w:val="-13"/>
          <w:sz w:val="22"/>
        </w:rPr>
        <w:t> </w:t>
      </w:r>
      <w:r>
        <w:rPr>
          <w:sz w:val="22"/>
        </w:rPr>
        <w:t>academic</w:t>
      </w:r>
      <w:r>
        <w:rPr>
          <w:spacing w:val="-14"/>
          <w:sz w:val="22"/>
        </w:rPr>
        <w:t> </w:t>
      </w:r>
      <w:r>
        <w:rPr>
          <w:sz w:val="22"/>
        </w:rPr>
        <w:t>progress.</w:t>
      </w:r>
      <w:r>
        <w:rPr>
          <w:spacing w:val="-13"/>
          <w:sz w:val="22"/>
        </w:rPr>
        <w:t> </w:t>
      </w:r>
      <w:r>
        <w:rPr>
          <w:sz w:val="22"/>
        </w:rPr>
        <w:t>On</w:t>
      </w:r>
      <w:r>
        <w:rPr>
          <w:spacing w:val="-14"/>
          <w:sz w:val="22"/>
        </w:rPr>
        <w:t> </w:t>
      </w:r>
      <w:r>
        <w:rPr>
          <w:sz w:val="22"/>
        </w:rPr>
        <w:t>the</w:t>
      </w:r>
      <w:r>
        <w:rPr>
          <w:spacing w:val="-13"/>
          <w:sz w:val="22"/>
        </w:rPr>
        <w:t> </w:t>
      </w:r>
      <w:r>
        <w:rPr>
          <w:sz w:val="22"/>
        </w:rPr>
        <w:t>other</w:t>
      </w:r>
      <w:r>
        <w:rPr>
          <w:spacing w:val="-14"/>
          <w:sz w:val="22"/>
        </w:rPr>
        <w:t> </w:t>
      </w:r>
      <w:r>
        <w:rPr>
          <w:sz w:val="22"/>
        </w:rPr>
        <w:t>hand, </w:t>
      </w:r>
      <w:r>
        <w:rPr>
          <w:spacing w:val="-2"/>
          <w:sz w:val="22"/>
        </w:rPr>
        <w:t>if</w:t>
      </w:r>
      <w:r>
        <w:rPr>
          <w:spacing w:val="-12"/>
          <w:sz w:val="22"/>
        </w:rPr>
        <w:t> </w:t>
      </w:r>
      <w:r>
        <w:rPr>
          <w:spacing w:val="-2"/>
          <w:sz w:val="22"/>
        </w:rPr>
        <w:t>good</w:t>
      </w:r>
      <w:r>
        <w:rPr>
          <w:spacing w:val="-12"/>
          <w:sz w:val="22"/>
        </w:rPr>
        <w:t> </w:t>
      </w:r>
      <w:r>
        <w:rPr>
          <w:spacing w:val="-2"/>
          <w:sz w:val="22"/>
        </w:rPr>
        <w:t>students</w:t>
      </w:r>
      <w:r>
        <w:rPr>
          <w:spacing w:val="-12"/>
          <w:sz w:val="22"/>
        </w:rPr>
        <w:t> </w:t>
      </w:r>
      <w:r>
        <w:rPr>
          <w:spacing w:val="-2"/>
          <w:sz w:val="22"/>
        </w:rPr>
        <w:t>of</w:t>
      </w:r>
      <w:r>
        <w:rPr>
          <w:spacing w:val="-11"/>
          <w:sz w:val="22"/>
        </w:rPr>
        <w:t> </w:t>
      </w:r>
      <w:r>
        <w:rPr>
          <w:spacing w:val="-2"/>
          <w:sz w:val="22"/>
        </w:rPr>
        <w:t>higher</w:t>
      </w:r>
      <w:r>
        <w:rPr>
          <w:spacing w:val="-12"/>
          <w:sz w:val="22"/>
        </w:rPr>
        <w:t> </w:t>
      </w:r>
      <w:r>
        <w:rPr>
          <w:spacing w:val="-2"/>
          <w:sz w:val="22"/>
        </w:rPr>
        <w:t>classes,</w:t>
      </w:r>
      <w:r>
        <w:rPr>
          <w:spacing w:val="-12"/>
          <w:sz w:val="22"/>
        </w:rPr>
        <w:t> </w:t>
      </w:r>
      <w:r>
        <w:rPr>
          <w:spacing w:val="-2"/>
          <w:sz w:val="22"/>
        </w:rPr>
        <w:t>at</w:t>
      </w:r>
      <w:r>
        <w:rPr>
          <w:spacing w:val="-12"/>
          <w:sz w:val="22"/>
        </w:rPr>
        <w:t> </w:t>
      </w:r>
      <w:r>
        <w:rPr>
          <w:spacing w:val="-2"/>
          <w:sz w:val="22"/>
        </w:rPr>
        <w:t>least</w:t>
      </w:r>
      <w:r>
        <w:rPr>
          <w:spacing w:val="-11"/>
          <w:sz w:val="22"/>
        </w:rPr>
        <w:t> </w:t>
      </w:r>
      <w:r>
        <w:rPr>
          <w:spacing w:val="-2"/>
          <w:sz w:val="22"/>
        </w:rPr>
        <w:t>4</w:t>
      </w:r>
      <w:r>
        <w:rPr>
          <w:spacing w:val="-12"/>
          <w:sz w:val="22"/>
        </w:rPr>
        <w:t> </w:t>
      </w:r>
      <w:r>
        <w:rPr>
          <w:spacing w:val="-2"/>
          <w:sz w:val="22"/>
        </w:rPr>
        <w:t>years</w:t>
      </w:r>
      <w:r>
        <w:rPr>
          <w:spacing w:val="-12"/>
          <w:sz w:val="22"/>
        </w:rPr>
        <w:t> </w:t>
      </w:r>
      <w:r>
        <w:rPr>
          <w:spacing w:val="-2"/>
          <w:sz w:val="22"/>
        </w:rPr>
        <w:t>older, </w:t>
      </w:r>
      <w:r>
        <w:rPr>
          <w:sz w:val="22"/>
        </w:rPr>
        <w:t>come</w:t>
      </w:r>
      <w:r>
        <w:rPr>
          <w:spacing w:val="-12"/>
          <w:sz w:val="22"/>
        </w:rPr>
        <w:t> </w:t>
      </w:r>
      <w:r>
        <w:rPr>
          <w:sz w:val="22"/>
        </w:rPr>
        <w:t>forward</w:t>
      </w:r>
      <w:r>
        <w:rPr>
          <w:spacing w:val="-12"/>
          <w:sz w:val="22"/>
        </w:rPr>
        <w:t> </w:t>
      </w:r>
      <w:r>
        <w:rPr>
          <w:sz w:val="22"/>
        </w:rPr>
        <w:t>to</w:t>
      </w:r>
      <w:r>
        <w:rPr>
          <w:spacing w:val="-12"/>
          <w:sz w:val="22"/>
        </w:rPr>
        <w:t> </w:t>
      </w:r>
      <w:r>
        <w:rPr>
          <w:sz w:val="22"/>
        </w:rPr>
        <w:t>assist</w:t>
      </w:r>
      <w:r>
        <w:rPr>
          <w:spacing w:val="-12"/>
          <w:sz w:val="22"/>
        </w:rPr>
        <w:t> </w:t>
      </w:r>
      <w:r>
        <w:rPr>
          <w:sz w:val="22"/>
        </w:rPr>
        <w:t>the</w:t>
      </w:r>
      <w:r>
        <w:rPr>
          <w:spacing w:val="-12"/>
          <w:sz w:val="22"/>
        </w:rPr>
        <w:t> </w:t>
      </w:r>
      <w:r>
        <w:rPr>
          <w:sz w:val="22"/>
        </w:rPr>
        <w:t>younger</w:t>
      </w:r>
      <w:r>
        <w:rPr>
          <w:spacing w:val="-12"/>
          <w:sz w:val="22"/>
        </w:rPr>
        <w:t> </w:t>
      </w:r>
      <w:r>
        <w:rPr>
          <w:sz w:val="22"/>
        </w:rPr>
        <w:t>students,</w:t>
      </w:r>
      <w:r>
        <w:rPr>
          <w:spacing w:val="-12"/>
          <w:sz w:val="22"/>
        </w:rPr>
        <w:t> </w:t>
      </w:r>
      <w:r>
        <w:rPr>
          <w:sz w:val="22"/>
        </w:rPr>
        <w:t>the</w:t>
      </w:r>
      <w:r>
        <w:rPr>
          <w:spacing w:val="-12"/>
          <w:sz w:val="22"/>
        </w:rPr>
        <w:t> </w:t>
      </w:r>
      <w:r>
        <w:rPr>
          <w:sz w:val="22"/>
        </w:rPr>
        <w:t>latter </w:t>
      </w:r>
      <w:r>
        <w:rPr>
          <w:spacing w:val="-8"/>
          <w:sz w:val="22"/>
        </w:rPr>
        <w:t>would</w:t>
      </w:r>
      <w:r>
        <w:rPr>
          <w:spacing w:val="-3"/>
          <w:sz w:val="22"/>
        </w:rPr>
        <w:t> </w:t>
      </w:r>
      <w:r>
        <w:rPr>
          <w:spacing w:val="-8"/>
          <w:sz w:val="22"/>
        </w:rPr>
        <w:t>benefit</w:t>
      </w:r>
      <w:r>
        <w:rPr>
          <w:spacing w:val="-3"/>
          <w:sz w:val="22"/>
        </w:rPr>
        <w:t> </w:t>
      </w:r>
      <w:r>
        <w:rPr>
          <w:spacing w:val="-8"/>
          <w:sz w:val="22"/>
        </w:rPr>
        <w:t>by</w:t>
      </w:r>
      <w:r>
        <w:rPr>
          <w:spacing w:val="-3"/>
          <w:sz w:val="22"/>
        </w:rPr>
        <w:t> </w:t>
      </w:r>
      <w:r>
        <w:rPr>
          <w:spacing w:val="-8"/>
          <w:sz w:val="22"/>
        </w:rPr>
        <w:t>peer</w:t>
      </w:r>
      <w:r>
        <w:rPr>
          <w:spacing w:val="-3"/>
          <w:sz w:val="22"/>
        </w:rPr>
        <w:t> </w:t>
      </w:r>
      <w:r>
        <w:rPr>
          <w:spacing w:val="-8"/>
          <w:sz w:val="22"/>
        </w:rPr>
        <w:t>learning</w:t>
      </w:r>
      <w:r>
        <w:rPr>
          <w:spacing w:val="-3"/>
          <w:sz w:val="22"/>
        </w:rPr>
        <w:t> </w:t>
      </w:r>
      <w:r>
        <w:rPr>
          <w:spacing w:val="-8"/>
          <w:sz w:val="22"/>
        </w:rPr>
        <w:t>as</w:t>
      </w:r>
      <w:r>
        <w:rPr>
          <w:spacing w:val="-3"/>
          <w:sz w:val="22"/>
        </w:rPr>
        <w:t> </w:t>
      </w:r>
      <w:r>
        <w:rPr>
          <w:spacing w:val="-8"/>
          <w:sz w:val="22"/>
        </w:rPr>
        <w:t>this</w:t>
      </w:r>
      <w:r>
        <w:rPr>
          <w:spacing w:val="-3"/>
          <w:sz w:val="22"/>
        </w:rPr>
        <w:t> </w:t>
      </w:r>
      <w:r>
        <w:rPr>
          <w:spacing w:val="-8"/>
          <w:sz w:val="22"/>
        </w:rPr>
        <w:t>is</w:t>
      </w:r>
      <w:r>
        <w:rPr>
          <w:spacing w:val="-3"/>
          <w:sz w:val="22"/>
        </w:rPr>
        <w:t> </w:t>
      </w:r>
      <w:r>
        <w:rPr>
          <w:spacing w:val="-8"/>
          <w:sz w:val="22"/>
        </w:rPr>
        <w:t>associated</w:t>
      </w:r>
      <w:r>
        <w:rPr>
          <w:spacing w:val="-3"/>
          <w:sz w:val="22"/>
        </w:rPr>
        <w:t> </w:t>
      </w:r>
      <w:r>
        <w:rPr>
          <w:spacing w:val="-8"/>
          <w:sz w:val="22"/>
        </w:rPr>
        <w:t>with</w:t>
      </w:r>
      <w:r>
        <w:rPr>
          <w:spacing w:val="-3"/>
          <w:sz w:val="22"/>
        </w:rPr>
        <w:t> </w:t>
      </w:r>
      <w:r>
        <w:rPr>
          <w:spacing w:val="-8"/>
          <w:sz w:val="22"/>
        </w:rPr>
        <w:t>a </w:t>
      </w:r>
      <w:r>
        <w:rPr>
          <w:spacing w:val="-6"/>
          <w:sz w:val="22"/>
        </w:rPr>
        <w:t>with</w:t>
      </w:r>
      <w:r>
        <w:rPr>
          <w:spacing w:val="-8"/>
          <w:sz w:val="22"/>
        </w:rPr>
        <w:t> </w:t>
      </w:r>
      <w:r>
        <w:rPr>
          <w:spacing w:val="-6"/>
          <w:sz w:val="22"/>
        </w:rPr>
        <w:t>a</w:t>
      </w:r>
      <w:r>
        <w:rPr>
          <w:spacing w:val="-8"/>
          <w:sz w:val="22"/>
        </w:rPr>
        <w:t> </w:t>
      </w:r>
      <w:r>
        <w:rPr>
          <w:spacing w:val="-6"/>
          <w:sz w:val="22"/>
        </w:rPr>
        <w:t>sense</w:t>
      </w:r>
      <w:r>
        <w:rPr>
          <w:spacing w:val="-8"/>
          <w:sz w:val="22"/>
        </w:rPr>
        <w:t> </w:t>
      </w:r>
      <w:r>
        <w:rPr>
          <w:spacing w:val="-6"/>
          <w:sz w:val="22"/>
        </w:rPr>
        <w:t>of</w:t>
      </w:r>
      <w:r>
        <w:rPr>
          <w:spacing w:val="-7"/>
          <w:sz w:val="22"/>
        </w:rPr>
        <w:t> </w:t>
      </w:r>
      <w:r>
        <w:rPr>
          <w:spacing w:val="-6"/>
          <w:sz w:val="22"/>
        </w:rPr>
        <w:t>ease</w:t>
      </w:r>
      <w:r>
        <w:rPr>
          <w:spacing w:val="-8"/>
          <w:sz w:val="22"/>
        </w:rPr>
        <w:t> </w:t>
      </w:r>
      <w:r>
        <w:rPr>
          <w:spacing w:val="-6"/>
          <w:sz w:val="22"/>
        </w:rPr>
        <w:t>and</w:t>
      </w:r>
      <w:r>
        <w:rPr>
          <w:spacing w:val="-8"/>
          <w:sz w:val="22"/>
        </w:rPr>
        <w:t> </w:t>
      </w:r>
      <w:r>
        <w:rPr>
          <w:spacing w:val="-6"/>
          <w:sz w:val="22"/>
        </w:rPr>
        <w:t>freedom.</w:t>
      </w:r>
      <w:r>
        <w:rPr>
          <w:spacing w:val="-8"/>
          <w:sz w:val="22"/>
        </w:rPr>
        <w:t> </w:t>
      </w:r>
      <w:r>
        <w:rPr>
          <w:spacing w:val="-6"/>
          <w:sz w:val="22"/>
        </w:rPr>
        <w:t>The</w:t>
      </w:r>
      <w:r>
        <w:rPr>
          <w:spacing w:val="-7"/>
          <w:sz w:val="22"/>
        </w:rPr>
        <w:t> </w:t>
      </w:r>
      <w:r>
        <w:rPr>
          <w:spacing w:val="-6"/>
          <w:sz w:val="22"/>
        </w:rPr>
        <w:t>Young</w:t>
      </w:r>
      <w:r>
        <w:rPr>
          <w:spacing w:val="-8"/>
          <w:sz w:val="22"/>
        </w:rPr>
        <w:t> </w:t>
      </w:r>
      <w:r>
        <w:rPr>
          <w:spacing w:val="-6"/>
          <w:sz w:val="22"/>
        </w:rPr>
        <w:t>Instructors program of Agastya International Foundation is a model </w:t>
      </w:r>
      <w:r>
        <w:rPr>
          <w:spacing w:val="-8"/>
          <w:sz w:val="22"/>
        </w:rPr>
        <w:t>which</w:t>
      </w:r>
      <w:r>
        <w:rPr>
          <w:spacing w:val="-6"/>
          <w:sz w:val="22"/>
        </w:rPr>
        <w:t> </w:t>
      </w:r>
      <w:r>
        <w:rPr>
          <w:spacing w:val="-8"/>
          <w:sz w:val="22"/>
        </w:rPr>
        <w:t>could</w:t>
      </w:r>
      <w:r>
        <w:rPr>
          <w:spacing w:val="-6"/>
          <w:sz w:val="22"/>
        </w:rPr>
        <w:t> </w:t>
      </w:r>
      <w:r>
        <w:rPr>
          <w:spacing w:val="-8"/>
          <w:sz w:val="22"/>
        </w:rPr>
        <w:t>be</w:t>
      </w:r>
      <w:r>
        <w:rPr>
          <w:spacing w:val="-6"/>
          <w:sz w:val="22"/>
        </w:rPr>
        <w:t> </w:t>
      </w:r>
      <w:r>
        <w:rPr>
          <w:spacing w:val="-8"/>
          <w:sz w:val="22"/>
        </w:rPr>
        <w:t>replicated</w:t>
      </w:r>
      <w:r>
        <w:rPr>
          <w:spacing w:val="-5"/>
          <w:sz w:val="22"/>
        </w:rPr>
        <w:t> </w:t>
      </w:r>
      <w:r>
        <w:rPr>
          <w:spacing w:val="-8"/>
          <w:sz w:val="22"/>
        </w:rPr>
        <w:t>in</w:t>
      </w:r>
      <w:r>
        <w:rPr>
          <w:spacing w:val="-6"/>
          <w:sz w:val="22"/>
        </w:rPr>
        <w:t> </w:t>
      </w:r>
      <w:r>
        <w:rPr>
          <w:spacing w:val="-8"/>
          <w:sz w:val="22"/>
        </w:rPr>
        <w:t>this</w:t>
      </w:r>
      <w:r>
        <w:rPr>
          <w:spacing w:val="-6"/>
          <w:sz w:val="22"/>
        </w:rPr>
        <w:t> </w:t>
      </w:r>
      <w:r>
        <w:rPr>
          <w:spacing w:val="-8"/>
          <w:sz w:val="22"/>
        </w:rPr>
        <w:t>context</w:t>
      </w:r>
      <w:r>
        <w:rPr>
          <w:spacing w:val="-6"/>
          <w:sz w:val="22"/>
        </w:rPr>
        <w:t> </w:t>
      </w:r>
      <w:r>
        <w:rPr>
          <w:spacing w:val="-8"/>
          <w:sz w:val="22"/>
        </w:rPr>
        <w:t>at</w:t>
      </w:r>
      <w:r>
        <w:rPr>
          <w:spacing w:val="-5"/>
          <w:sz w:val="22"/>
        </w:rPr>
        <w:t> </w:t>
      </w:r>
      <w:r>
        <w:rPr>
          <w:spacing w:val="-8"/>
          <w:sz w:val="22"/>
        </w:rPr>
        <w:t>all</w:t>
      </w:r>
      <w:r>
        <w:rPr>
          <w:spacing w:val="-6"/>
          <w:sz w:val="22"/>
        </w:rPr>
        <w:t> </w:t>
      </w:r>
      <w:r>
        <w:rPr>
          <w:spacing w:val="-8"/>
          <w:sz w:val="22"/>
        </w:rPr>
        <w:t>levels.</w:t>
      </w:r>
      <w:r>
        <w:rPr>
          <w:spacing w:val="-6"/>
          <w:sz w:val="22"/>
        </w:rPr>
        <w:t> </w:t>
      </w:r>
      <w:r>
        <w:rPr>
          <w:spacing w:val="-8"/>
          <w:sz w:val="22"/>
        </w:rPr>
        <w:t>This </w:t>
      </w:r>
      <w:r>
        <w:rPr>
          <w:sz w:val="22"/>
        </w:rPr>
        <w:t>program</w:t>
      </w:r>
      <w:r>
        <w:rPr>
          <w:spacing w:val="-5"/>
          <w:sz w:val="22"/>
        </w:rPr>
        <w:t> </w:t>
      </w:r>
      <w:r>
        <w:rPr>
          <w:sz w:val="22"/>
        </w:rPr>
        <w:t>will</w:t>
      </w:r>
      <w:r>
        <w:rPr>
          <w:spacing w:val="-5"/>
          <w:sz w:val="22"/>
        </w:rPr>
        <w:t> </w:t>
      </w:r>
      <w:r>
        <w:rPr>
          <w:sz w:val="22"/>
        </w:rPr>
        <w:t>instill</w:t>
      </w:r>
      <w:r>
        <w:rPr>
          <w:spacing w:val="-5"/>
          <w:sz w:val="22"/>
        </w:rPr>
        <w:t> </w:t>
      </w:r>
      <w:r>
        <w:rPr>
          <w:sz w:val="22"/>
        </w:rPr>
        <w:t>confidence</w:t>
      </w:r>
      <w:r>
        <w:rPr>
          <w:spacing w:val="-5"/>
          <w:sz w:val="22"/>
        </w:rPr>
        <w:t> </w:t>
      </w:r>
      <w:r>
        <w:rPr>
          <w:sz w:val="22"/>
        </w:rPr>
        <w:t>in</w:t>
      </w:r>
      <w:r>
        <w:rPr>
          <w:spacing w:val="-5"/>
          <w:sz w:val="22"/>
        </w:rPr>
        <w:t> </w:t>
      </w:r>
      <w:r>
        <w:rPr>
          <w:sz w:val="22"/>
        </w:rPr>
        <w:t>senior</w:t>
      </w:r>
      <w:r>
        <w:rPr>
          <w:spacing w:val="-5"/>
          <w:sz w:val="22"/>
        </w:rPr>
        <w:t> </w:t>
      </w:r>
      <w:r>
        <w:rPr>
          <w:sz w:val="22"/>
        </w:rPr>
        <w:t>students</w:t>
      </w:r>
      <w:r>
        <w:rPr>
          <w:spacing w:val="-5"/>
          <w:sz w:val="22"/>
        </w:rPr>
        <w:t> </w:t>
      </w:r>
      <w:r>
        <w:rPr>
          <w:sz w:val="22"/>
        </w:rPr>
        <w:t>and lead</w:t>
      </w:r>
      <w:r>
        <w:rPr>
          <w:spacing w:val="-11"/>
          <w:sz w:val="22"/>
        </w:rPr>
        <w:t> </w:t>
      </w:r>
      <w:r>
        <w:rPr>
          <w:sz w:val="22"/>
        </w:rPr>
        <w:t>to</w:t>
      </w:r>
      <w:r>
        <w:rPr>
          <w:spacing w:val="-11"/>
          <w:sz w:val="22"/>
        </w:rPr>
        <w:t> </w:t>
      </w:r>
      <w:r>
        <w:rPr>
          <w:sz w:val="22"/>
        </w:rPr>
        <w:t>their</w:t>
      </w:r>
      <w:r>
        <w:rPr>
          <w:spacing w:val="-11"/>
          <w:sz w:val="22"/>
        </w:rPr>
        <w:t> </w:t>
      </w:r>
      <w:r>
        <w:rPr>
          <w:sz w:val="22"/>
        </w:rPr>
        <w:t>holistic</w:t>
      </w:r>
      <w:r>
        <w:rPr>
          <w:spacing w:val="-11"/>
          <w:sz w:val="22"/>
        </w:rPr>
        <w:t> </w:t>
      </w:r>
      <w:r>
        <w:rPr>
          <w:sz w:val="22"/>
        </w:rPr>
        <w:t>development</w:t>
      </w:r>
      <w:r>
        <w:rPr>
          <w:spacing w:val="-11"/>
          <w:sz w:val="22"/>
        </w:rPr>
        <w:t> </w:t>
      </w:r>
      <w:r>
        <w:rPr>
          <w:sz w:val="22"/>
        </w:rPr>
        <w:t>too.</w:t>
      </w:r>
    </w:p>
    <w:p>
      <w:pPr>
        <w:pStyle w:val="BodyText"/>
        <w:spacing w:before="13"/>
      </w:pPr>
    </w:p>
    <w:p>
      <w:pPr>
        <w:pStyle w:val="BodyText"/>
        <w:spacing w:line="266" w:lineRule="auto"/>
        <w:ind w:left="1079"/>
        <w:jc w:val="both"/>
      </w:pPr>
      <w:r>
        <w:rPr/>
        <w:t>The</w:t>
      </w:r>
      <w:r>
        <w:rPr>
          <w:spacing w:val="-7"/>
        </w:rPr>
        <w:t> </w:t>
      </w:r>
      <w:r>
        <w:rPr/>
        <w:t>program</w:t>
      </w:r>
      <w:r>
        <w:rPr>
          <w:spacing w:val="-7"/>
        </w:rPr>
        <w:t> </w:t>
      </w:r>
      <w:r>
        <w:rPr/>
        <w:t>can</w:t>
      </w:r>
      <w:r>
        <w:rPr>
          <w:spacing w:val="-7"/>
        </w:rPr>
        <w:t> </w:t>
      </w:r>
      <w:r>
        <w:rPr/>
        <w:t>be</w:t>
      </w:r>
      <w:r>
        <w:rPr>
          <w:spacing w:val="-7"/>
        </w:rPr>
        <w:t> </w:t>
      </w:r>
      <w:r>
        <w:rPr/>
        <w:t>started</w:t>
      </w:r>
      <w:r>
        <w:rPr>
          <w:spacing w:val="-7"/>
        </w:rPr>
        <w:t> </w:t>
      </w:r>
      <w:r>
        <w:rPr/>
        <w:t>at</w:t>
      </w:r>
      <w:r>
        <w:rPr>
          <w:spacing w:val="-7"/>
        </w:rPr>
        <w:t> </w:t>
      </w:r>
      <w:r>
        <w:rPr/>
        <w:t>first</w:t>
      </w:r>
      <w:r>
        <w:rPr>
          <w:spacing w:val="-7"/>
        </w:rPr>
        <w:t> </w:t>
      </w:r>
      <w:r>
        <w:rPr/>
        <w:t>in</w:t>
      </w:r>
      <w:r>
        <w:rPr>
          <w:spacing w:val="-7"/>
        </w:rPr>
        <w:t> </w:t>
      </w:r>
      <w:r>
        <w:rPr/>
        <w:t>schools</w:t>
      </w:r>
      <w:r>
        <w:rPr>
          <w:spacing w:val="-7"/>
        </w:rPr>
        <w:t> </w:t>
      </w:r>
      <w:r>
        <w:rPr/>
        <w:t>where</w:t>
      </w:r>
      <w:r>
        <w:rPr>
          <w:spacing w:val="-7"/>
        </w:rPr>
        <w:t> </w:t>
      </w:r>
      <w:r>
        <w:rPr/>
        <w:t>a few</w:t>
      </w:r>
      <w:r>
        <w:rPr>
          <w:spacing w:val="-14"/>
        </w:rPr>
        <w:t> </w:t>
      </w:r>
      <w:r>
        <w:rPr/>
        <w:t>hours</w:t>
      </w:r>
      <w:r>
        <w:rPr>
          <w:spacing w:val="-14"/>
        </w:rPr>
        <w:t> </w:t>
      </w:r>
      <w:r>
        <w:rPr/>
        <w:t>every</w:t>
      </w:r>
      <w:r>
        <w:rPr>
          <w:spacing w:val="-14"/>
        </w:rPr>
        <w:t> </w:t>
      </w:r>
      <w:r>
        <w:rPr/>
        <w:t>week</w:t>
      </w:r>
      <w:r>
        <w:rPr>
          <w:spacing w:val="-13"/>
        </w:rPr>
        <w:t> </w:t>
      </w:r>
      <w:r>
        <w:rPr/>
        <w:t>are</w:t>
      </w:r>
      <w:r>
        <w:rPr>
          <w:spacing w:val="-14"/>
        </w:rPr>
        <w:t> </w:t>
      </w:r>
      <w:r>
        <w:rPr/>
        <w:t>kept</w:t>
      </w:r>
      <w:r>
        <w:rPr>
          <w:spacing w:val="-14"/>
        </w:rPr>
        <w:t> </w:t>
      </w:r>
      <w:r>
        <w:rPr/>
        <w:t>aside</w:t>
      </w:r>
      <w:r>
        <w:rPr>
          <w:spacing w:val="-14"/>
        </w:rPr>
        <w:t> </w:t>
      </w:r>
      <w:r>
        <w:rPr/>
        <w:t>for</w:t>
      </w:r>
      <w:r>
        <w:rPr>
          <w:spacing w:val="-13"/>
        </w:rPr>
        <w:t> </w:t>
      </w:r>
      <w:r>
        <w:rPr/>
        <w:t>close</w:t>
      </w:r>
      <w:r>
        <w:rPr>
          <w:spacing w:val="-14"/>
        </w:rPr>
        <w:t> </w:t>
      </w:r>
      <w:r>
        <w:rPr/>
        <w:t>contacts like informal tutorials between groups of seniors </w:t>
      </w:r>
      <w:r>
        <w:rPr/>
        <w:t>and juniors. Such a tutorial program should be expanded later to cover students’ questions on careers. School teachers can be trained to act as career counselors. Students’ doubts regarding uncertainty in pursuing a career</w:t>
      </w:r>
      <w:r>
        <w:rPr>
          <w:spacing w:val="-13"/>
        </w:rPr>
        <w:t> </w:t>
      </w:r>
      <w:r>
        <w:rPr/>
        <w:t>in</w:t>
      </w:r>
      <w:r>
        <w:rPr>
          <w:spacing w:val="-13"/>
        </w:rPr>
        <w:t> </w:t>
      </w:r>
      <w:r>
        <w:rPr/>
        <w:t>science</w:t>
      </w:r>
      <w:r>
        <w:rPr>
          <w:spacing w:val="-13"/>
        </w:rPr>
        <w:t> </w:t>
      </w:r>
      <w:r>
        <w:rPr/>
        <w:t>should</w:t>
      </w:r>
      <w:r>
        <w:rPr>
          <w:spacing w:val="-13"/>
        </w:rPr>
        <w:t> </w:t>
      </w:r>
      <w:r>
        <w:rPr/>
        <w:t>be</w:t>
      </w:r>
      <w:r>
        <w:rPr>
          <w:spacing w:val="-13"/>
        </w:rPr>
        <w:t> </w:t>
      </w:r>
      <w:r>
        <w:rPr/>
        <w:t>effectively</w:t>
      </w:r>
      <w:r>
        <w:rPr>
          <w:spacing w:val="-13"/>
        </w:rPr>
        <w:t> </w:t>
      </w:r>
      <w:r>
        <w:rPr/>
        <w:t>dealt</w:t>
      </w:r>
      <w:r>
        <w:rPr>
          <w:spacing w:val="-13"/>
        </w:rPr>
        <w:t> </w:t>
      </w:r>
      <w:r>
        <w:rPr/>
        <w:t>with.</w:t>
      </w:r>
    </w:p>
    <w:p>
      <w:pPr>
        <w:pStyle w:val="Heading7"/>
        <w:spacing w:line="225" w:lineRule="auto" w:before="251"/>
        <w:ind w:left="1079"/>
      </w:pPr>
      <w:r>
        <w:rPr>
          <w:color w:val="2E614A"/>
          <w:spacing w:val="-4"/>
        </w:rPr>
        <w:t>Recommendation</w:t>
      </w:r>
      <w:r>
        <w:rPr>
          <w:color w:val="2E614A"/>
          <w:spacing w:val="-12"/>
        </w:rPr>
        <w:t> </w:t>
      </w:r>
      <w:r>
        <w:rPr>
          <w:color w:val="2E614A"/>
          <w:spacing w:val="-4"/>
        </w:rPr>
        <w:t>9:</w:t>
      </w:r>
      <w:r>
        <w:rPr>
          <w:color w:val="2E614A"/>
          <w:spacing w:val="-12"/>
        </w:rPr>
        <w:t> </w:t>
      </w:r>
      <w:r>
        <w:rPr>
          <w:color w:val="2E614A"/>
          <w:spacing w:val="-4"/>
        </w:rPr>
        <w:t>Launch</w:t>
      </w:r>
      <w:r>
        <w:rPr>
          <w:color w:val="2E614A"/>
          <w:spacing w:val="-12"/>
        </w:rPr>
        <w:t> </w:t>
      </w:r>
      <w:r>
        <w:rPr>
          <w:color w:val="2E614A"/>
          <w:spacing w:val="-4"/>
        </w:rPr>
        <w:t>a</w:t>
      </w:r>
      <w:r>
        <w:rPr>
          <w:color w:val="2E614A"/>
          <w:spacing w:val="-12"/>
        </w:rPr>
        <w:t> </w:t>
      </w:r>
      <w:r>
        <w:rPr>
          <w:color w:val="2E614A"/>
          <w:spacing w:val="-4"/>
        </w:rPr>
        <w:t>massive </w:t>
      </w:r>
      <w:r>
        <w:rPr>
          <w:color w:val="2E614A"/>
          <w:w w:val="90"/>
        </w:rPr>
        <w:t>science outreach program aimed at </w:t>
      </w:r>
      <w:r>
        <w:rPr>
          <w:color w:val="2E614A"/>
          <w:w w:val="90"/>
        </w:rPr>
        <w:t>students </w:t>
      </w:r>
      <w:r>
        <w:rPr>
          <w:color w:val="2E614A"/>
          <w:spacing w:val="-4"/>
        </w:rPr>
        <w:t>and</w:t>
      </w:r>
      <w:r>
        <w:rPr>
          <w:color w:val="2E614A"/>
          <w:spacing w:val="-13"/>
        </w:rPr>
        <w:t> </w:t>
      </w:r>
      <w:r>
        <w:rPr>
          <w:color w:val="2E614A"/>
          <w:spacing w:val="-4"/>
        </w:rPr>
        <w:t>their</w:t>
      </w:r>
      <w:r>
        <w:rPr>
          <w:color w:val="2E614A"/>
          <w:spacing w:val="-12"/>
        </w:rPr>
        <w:t> </w:t>
      </w:r>
      <w:r>
        <w:rPr>
          <w:color w:val="2E614A"/>
          <w:spacing w:val="-4"/>
        </w:rPr>
        <w:t>parents</w:t>
      </w:r>
      <w:r>
        <w:rPr>
          <w:color w:val="2E614A"/>
          <w:spacing w:val="-12"/>
        </w:rPr>
        <w:t> </w:t>
      </w:r>
      <w:r>
        <w:rPr>
          <w:color w:val="2E614A"/>
          <w:spacing w:val="-4"/>
        </w:rPr>
        <w:t>in</w:t>
      </w:r>
      <w:r>
        <w:rPr>
          <w:color w:val="2E614A"/>
          <w:spacing w:val="-12"/>
        </w:rPr>
        <w:t> </w:t>
      </w:r>
      <w:r>
        <w:rPr>
          <w:color w:val="2E614A"/>
          <w:spacing w:val="-4"/>
        </w:rPr>
        <w:t>particular.</w:t>
      </w:r>
    </w:p>
    <w:p>
      <w:pPr>
        <w:pStyle w:val="BodyText"/>
        <w:rPr>
          <w:b/>
          <w:sz w:val="26"/>
        </w:rPr>
      </w:pPr>
    </w:p>
    <w:p>
      <w:pPr>
        <w:pStyle w:val="BodyText"/>
        <w:spacing w:line="266" w:lineRule="auto"/>
        <w:ind w:left="1079"/>
        <w:jc w:val="both"/>
      </w:pPr>
      <w:r>
        <w:rPr>
          <w:spacing w:val="-6"/>
        </w:rPr>
        <w:t>The</w:t>
      </w:r>
      <w:r>
        <w:rPr>
          <w:spacing w:val="-8"/>
        </w:rPr>
        <w:t> </w:t>
      </w:r>
      <w:r>
        <w:rPr>
          <w:spacing w:val="-6"/>
        </w:rPr>
        <w:t>declining</w:t>
      </w:r>
      <w:r>
        <w:rPr>
          <w:spacing w:val="-8"/>
        </w:rPr>
        <w:t> </w:t>
      </w:r>
      <w:r>
        <w:rPr>
          <w:spacing w:val="-6"/>
        </w:rPr>
        <w:t>interest</w:t>
      </w:r>
      <w:r>
        <w:rPr>
          <w:spacing w:val="-8"/>
        </w:rPr>
        <w:t> </w:t>
      </w:r>
      <w:r>
        <w:rPr>
          <w:spacing w:val="-6"/>
        </w:rPr>
        <w:t>in</w:t>
      </w:r>
      <w:r>
        <w:rPr>
          <w:spacing w:val="-7"/>
        </w:rPr>
        <w:t> </w:t>
      </w:r>
      <w:r>
        <w:rPr>
          <w:spacing w:val="-6"/>
        </w:rPr>
        <w:t>sciences</w:t>
      </w:r>
      <w:r>
        <w:rPr>
          <w:spacing w:val="-8"/>
        </w:rPr>
        <w:t> </w:t>
      </w:r>
      <w:r>
        <w:rPr>
          <w:spacing w:val="-6"/>
        </w:rPr>
        <w:t>is</w:t>
      </w:r>
      <w:r>
        <w:rPr>
          <w:spacing w:val="-8"/>
        </w:rPr>
        <w:t> </w:t>
      </w:r>
      <w:r>
        <w:rPr>
          <w:spacing w:val="-6"/>
        </w:rPr>
        <w:t>a</w:t>
      </w:r>
      <w:r>
        <w:rPr>
          <w:spacing w:val="-8"/>
        </w:rPr>
        <w:t> </w:t>
      </w:r>
      <w:r>
        <w:rPr>
          <w:spacing w:val="-6"/>
        </w:rPr>
        <w:t>wider</w:t>
      </w:r>
      <w:r>
        <w:rPr>
          <w:spacing w:val="-7"/>
        </w:rPr>
        <w:t> </w:t>
      </w:r>
      <w:r>
        <w:rPr>
          <w:spacing w:val="-6"/>
        </w:rPr>
        <w:t>phenomenon and needs to be addressed comprehensively. Large scale </w:t>
      </w:r>
      <w:r>
        <w:rPr>
          <w:w w:val="90"/>
        </w:rPr>
        <w:t>science popularisation programs are needed to reestablish </w:t>
      </w:r>
      <w:r>
        <w:rPr>
          <w:spacing w:val="-2"/>
        </w:rPr>
        <w:t>the</w:t>
      </w:r>
      <w:r>
        <w:rPr>
          <w:spacing w:val="-12"/>
        </w:rPr>
        <w:t> </w:t>
      </w:r>
      <w:r>
        <w:rPr>
          <w:spacing w:val="-2"/>
        </w:rPr>
        <w:t>passion</w:t>
      </w:r>
      <w:r>
        <w:rPr>
          <w:spacing w:val="-12"/>
        </w:rPr>
        <w:t> </w:t>
      </w:r>
      <w:r>
        <w:rPr>
          <w:spacing w:val="-2"/>
        </w:rPr>
        <w:t>that</w:t>
      </w:r>
      <w:r>
        <w:rPr>
          <w:spacing w:val="-12"/>
        </w:rPr>
        <w:t> </w:t>
      </w:r>
      <w:r>
        <w:rPr>
          <w:spacing w:val="-2"/>
        </w:rPr>
        <w:t>science</w:t>
      </w:r>
      <w:r>
        <w:rPr>
          <w:spacing w:val="-11"/>
        </w:rPr>
        <w:t> </w:t>
      </w:r>
      <w:r>
        <w:rPr>
          <w:spacing w:val="-2"/>
        </w:rPr>
        <w:t>once</w:t>
      </w:r>
      <w:r>
        <w:rPr>
          <w:spacing w:val="-12"/>
        </w:rPr>
        <w:t> </w:t>
      </w:r>
      <w:r>
        <w:rPr>
          <w:spacing w:val="-2"/>
        </w:rPr>
        <w:t>generated.</w:t>
      </w:r>
      <w:r>
        <w:rPr>
          <w:spacing w:val="-12"/>
        </w:rPr>
        <w:t> </w:t>
      </w:r>
      <w:r>
        <w:rPr>
          <w:spacing w:val="-2"/>
        </w:rPr>
        <w:t>The</w:t>
      </w:r>
      <w:r>
        <w:rPr>
          <w:spacing w:val="-12"/>
        </w:rPr>
        <w:t> </w:t>
      </w:r>
      <w:r>
        <w:rPr>
          <w:spacing w:val="-2"/>
        </w:rPr>
        <w:t>objectives </w:t>
      </w:r>
      <w:r>
        <w:rPr/>
        <w:t>of science programs should include:</w:t>
      </w:r>
    </w:p>
    <w:p>
      <w:pPr>
        <w:pStyle w:val="ListParagraph"/>
        <w:numPr>
          <w:ilvl w:val="2"/>
          <w:numId w:val="42"/>
        </w:numPr>
        <w:tabs>
          <w:tab w:pos="1439" w:val="left" w:leader="none"/>
        </w:tabs>
        <w:spacing w:line="266" w:lineRule="auto" w:before="0" w:after="0"/>
        <w:ind w:left="1439" w:right="0" w:hanging="360"/>
        <w:jc w:val="both"/>
        <w:rPr>
          <w:sz w:val="22"/>
        </w:rPr>
      </w:pPr>
      <w:r>
        <w:rPr>
          <w:sz w:val="22"/>
        </w:rPr>
        <w:t>To spark curiosity and imbibe scientific way </w:t>
      </w:r>
      <w:r>
        <w:rPr>
          <w:sz w:val="22"/>
        </w:rPr>
        <w:t>of </w:t>
      </w:r>
      <w:r>
        <w:rPr>
          <w:spacing w:val="-2"/>
          <w:sz w:val="22"/>
        </w:rPr>
        <w:t>thinking</w:t>
      </w:r>
    </w:p>
    <w:p>
      <w:pPr>
        <w:pStyle w:val="ListParagraph"/>
        <w:numPr>
          <w:ilvl w:val="0"/>
          <w:numId w:val="43"/>
        </w:numPr>
        <w:tabs>
          <w:tab w:pos="679" w:val="left" w:leader="none"/>
        </w:tabs>
        <w:spacing w:line="266" w:lineRule="auto" w:before="57" w:after="0"/>
        <w:ind w:left="679" w:right="1077" w:hanging="360"/>
        <w:jc w:val="both"/>
        <w:rPr>
          <w:sz w:val="22"/>
        </w:rPr>
      </w:pPr>
      <w:r>
        <w:rPr/>
        <w:br w:type="column"/>
      </w:r>
      <w:r>
        <w:rPr>
          <w:sz w:val="22"/>
        </w:rPr>
        <w:t>To</w:t>
      </w:r>
      <w:r>
        <w:rPr>
          <w:spacing w:val="-3"/>
          <w:sz w:val="22"/>
        </w:rPr>
        <w:t> </w:t>
      </w:r>
      <w:r>
        <w:rPr>
          <w:sz w:val="22"/>
        </w:rPr>
        <w:t>spread</w:t>
      </w:r>
      <w:r>
        <w:rPr>
          <w:spacing w:val="-3"/>
          <w:sz w:val="22"/>
        </w:rPr>
        <w:t> </w:t>
      </w:r>
      <w:r>
        <w:rPr>
          <w:sz w:val="22"/>
        </w:rPr>
        <w:t>awareness</w:t>
      </w:r>
      <w:r>
        <w:rPr>
          <w:spacing w:val="-3"/>
          <w:sz w:val="22"/>
        </w:rPr>
        <w:t> </w:t>
      </w:r>
      <w:r>
        <w:rPr>
          <w:sz w:val="22"/>
        </w:rPr>
        <w:t>about</w:t>
      </w:r>
      <w:r>
        <w:rPr>
          <w:spacing w:val="-3"/>
          <w:sz w:val="22"/>
        </w:rPr>
        <w:t> </w:t>
      </w:r>
      <w:r>
        <w:rPr>
          <w:sz w:val="22"/>
        </w:rPr>
        <w:t>latest</w:t>
      </w:r>
      <w:r>
        <w:rPr>
          <w:spacing w:val="-3"/>
          <w:sz w:val="22"/>
        </w:rPr>
        <w:t> </w:t>
      </w:r>
      <w:r>
        <w:rPr>
          <w:sz w:val="22"/>
        </w:rPr>
        <w:t>discoveries</w:t>
      </w:r>
      <w:r>
        <w:rPr>
          <w:spacing w:val="-3"/>
          <w:sz w:val="22"/>
        </w:rPr>
        <w:t> </w:t>
      </w:r>
      <w:r>
        <w:rPr>
          <w:sz w:val="22"/>
        </w:rPr>
        <w:t>and their impact on society</w:t>
      </w:r>
    </w:p>
    <w:p>
      <w:pPr>
        <w:pStyle w:val="ListParagraph"/>
        <w:numPr>
          <w:ilvl w:val="0"/>
          <w:numId w:val="43"/>
        </w:numPr>
        <w:tabs>
          <w:tab w:pos="679" w:val="left" w:leader="none"/>
        </w:tabs>
        <w:spacing w:line="266" w:lineRule="auto" w:before="0" w:after="0"/>
        <w:ind w:left="679" w:right="1078" w:hanging="360"/>
        <w:jc w:val="both"/>
        <w:rPr>
          <w:sz w:val="22"/>
        </w:rPr>
      </w:pPr>
      <w:r>
        <w:rPr>
          <w:w w:val="90"/>
          <w:sz w:val="22"/>
        </w:rPr>
        <w:t>To</w:t>
      </w:r>
      <w:r>
        <w:rPr>
          <w:spacing w:val="-9"/>
          <w:w w:val="90"/>
          <w:sz w:val="22"/>
        </w:rPr>
        <w:t> </w:t>
      </w:r>
      <w:r>
        <w:rPr>
          <w:w w:val="90"/>
          <w:sz w:val="22"/>
        </w:rPr>
        <w:t>discuss</w:t>
      </w:r>
      <w:r>
        <w:rPr>
          <w:spacing w:val="-8"/>
          <w:w w:val="90"/>
          <w:sz w:val="22"/>
        </w:rPr>
        <w:t> </w:t>
      </w:r>
      <w:r>
        <w:rPr>
          <w:w w:val="90"/>
          <w:sz w:val="22"/>
        </w:rPr>
        <w:t>issues</w:t>
      </w:r>
      <w:r>
        <w:rPr>
          <w:spacing w:val="-8"/>
          <w:w w:val="90"/>
          <w:sz w:val="22"/>
        </w:rPr>
        <w:t> </w:t>
      </w:r>
      <w:r>
        <w:rPr>
          <w:w w:val="90"/>
          <w:sz w:val="22"/>
        </w:rPr>
        <w:t>related</w:t>
      </w:r>
      <w:r>
        <w:rPr>
          <w:spacing w:val="-8"/>
          <w:w w:val="90"/>
          <w:sz w:val="22"/>
        </w:rPr>
        <w:t> </w:t>
      </w:r>
      <w:r>
        <w:rPr>
          <w:w w:val="90"/>
          <w:sz w:val="22"/>
        </w:rPr>
        <w:t>to</w:t>
      </w:r>
      <w:r>
        <w:rPr>
          <w:spacing w:val="-9"/>
          <w:w w:val="90"/>
          <w:sz w:val="22"/>
        </w:rPr>
        <w:t> </w:t>
      </w:r>
      <w:r>
        <w:rPr>
          <w:w w:val="90"/>
          <w:sz w:val="22"/>
        </w:rPr>
        <w:t>adverse</w:t>
      </w:r>
      <w:r>
        <w:rPr>
          <w:spacing w:val="-8"/>
          <w:w w:val="90"/>
          <w:sz w:val="22"/>
        </w:rPr>
        <w:t> </w:t>
      </w:r>
      <w:r>
        <w:rPr>
          <w:w w:val="90"/>
          <w:sz w:val="22"/>
        </w:rPr>
        <w:t>effects</w:t>
      </w:r>
      <w:r>
        <w:rPr>
          <w:spacing w:val="-8"/>
          <w:w w:val="90"/>
          <w:sz w:val="22"/>
        </w:rPr>
        <w:t> </w:t>
      </w:r>
      <w:r>
        <w:rPr>
          <w:w w:val="90"/>
          <w:sz w:val="22"/>
        </w:rPr>
        <w:t>of</w:t>
      </w:r>
      <w:r>
        <w:rPr>
          <w:spacing w:val="-8"/>
          <w:w w:val="90"/>
          <w:sz w:val="22"/>
        </w:rPr>
        <w:t> </w:t>
      </w:r>
      <w:r>
        <w:rPr>
          <w:w w:val="90"/>
          <w:sz w:val="22"/>
        </w:rPr>
        <w:t>scientific </w:t>
      </w:r>
      <w:r>
        <w:rPr>
          <w:spacing w:val="-2"/>
          <w:sz w:val="22"/>
        </w:rPr>
        <w:t>developments</w:t>
      </w:r>
    </w:p>
    <w:p>
      <w:pPr>
        <w:pStyle w:val="ListParagraph"/>
        <w:numPr>
          <w:ilvl w:val="0"/>
          <w:numId w:val="43"/>
        </w:numPr>
        <w:tabs>
          <w:tab w:pos="679" w:val="left" w:leader="none"/>
        </w:tabs>
        <w:spacing w:line="266" w:lineRule="auto" w:before="0" w:after="0"/>
        <w:ind w:left="679" w:right="1078" w:hanging="360"/>
        <w:jc w:val="both"/>
        <w:rPr>
          <w:sz w:val="22"/>
        </w:rPr>
      </w:pPr>
      <w:r>
        <w:rPr>
          <w:spacing w:val="-6"/>
          <w:sz w:val="22"/>
        </w:rPr>
        <w:t>To</w:t>
      </w:r>
      <w:r>
        <w:rPr>
          <w:spacing w:val="-7"/>
          <w:sz w:val="22"/>
        </w:rPr>
        <w:t> </w:t>
      </w:r>
      <w:r>
        <w:rPr>
          <w:spacing w:val="-6"/>
          <w:sz w:val="22"/>
        </w:rPr>
        <w:t>promote</w:t>
      </w:r>
      <w:r>
        <w:rPr>
          <w:spacing w:val="-7"/>
          <w:sz w:val="22"/>
        </w:rPr>
        <w:t> </w:t>
      </w:r>
      <w:r>
        <w:rPr>
          <w:spacing w:val="-6"/>
          <w:sz w:val="22"/>
        </w:rPr>
        <w:t>science</w:t>
      </w:r>
      <w:r>
        <w:rPr>
          <w:spacing w:val="-7"/>
          <w:sz w:val="22"/>
        </w:rPr>
        <w:t> </w:t>
      </w:r>
      <w:r>
        <w:rPr>
          <w:spacing w:val="-6"/>
          <w:sz w:val="22"/>
        </w:rPr>
        <w:t>as</w:t>
      </w:r>
      <w:r>
        <w:rPr>
          <w:spacing w:val="-7"/>
          <w:sz w:val="22"/>
        </w:rPr>
        <w:t> </w:t>
      </w:r>
      <w:r>
        <w:rPr>
          <w:spacing w:val="-6"/>
          <w:sz w:val="22"/>
        </w:rPr>
        <w:t>a</w:t>
      </w:r>
      <w:r>
        <w:rPr>
          <w:spacing w:val="-7"/>
          <w:sz w:val="22"/>
        </w:rPr>
        <w:t> </w:t>
      </w:r>
      <w:r>
        <w:rPr>
          <w:spacing w:val="-6"/>
          <w:sz w:val="22"/>
        </w:rPr>
        <w:t>medium</w:t>
      </w:r>
      <w:r>
        <w:rPr>
          <w:spacing w:val="-7"/>
          <w:sz w:val="22"/>
        </w:rPr>
        <w:t> </w:t>
      </w:r>
      <w:r>
        <w:rPr>
          <w:spacing w:val="-6"/>
          <w:sz w:val="22"/>
        </w:rPr>
        <w:t>of</w:t>
      </w:r>
      <w:r>
        <w:rPr>
          <w:spacing w:val="-7"/>
          <w:sz w:val="22"/>
        </w:rPr>
        <w:t> </w:t>
      </w:r>
      <w:r>
        <w:rPr>
          <w:spacing w:val="-6"/>
          <w:sz w:val="22"/>
        </w:rPr>
        <w:t>socio-economic </w:t>
      </w:r>
      <w:r>
        <w:rPr>
          <w:spacing w:val="-2"/>
          <w:sz w:val="22"/>
        </w:rPr>
        <w:t>development</w:t>
      </w:r>
    </w:p>
    <w:p>
      <w:pPr>
        <w:pStyle w:val="ListParagraph"/>
        <w:numPr>
          <w:ilvl w:val="0"/>
          <w:numId w:val="43"/>
        </w:numPr>
        <w:tabs>
          <w:tab w:pos="679" w:val="left" w:leader="none"/>
        </w:tabs>
        <w:spacing w:line="266" w:lineRule="auto" w:before="0" w:after="0"/>
        <w:ind w:left="679" w:right="1077" w:hanging="360"/>
        <w:jc w:val="both"/>
        <w:rPr>
          <w:sz w:val="22"/>
        </w:rPr>
      </w:pPr>
      <w:r>
        <w:rPr>
          <w:sz w:val="22"/>
        </w:rPr>
        <w:t>To</w:t>
      </w:r>
      <w:r>
        <w:rPr>
          <w:spacing w:val="-8"/>
          <w:sz w:val="22"/>
        </w:rPr>
        <w:t> </w:t>
      </w:r>
      <w:r>
        <w:rPr>
          <w:sz w:val="22"/>
        </w:rPr>
        <w:t>glorify</w:t>
      </w:r>
      <w:r>
        <w:rPr>
          <w:spacing w:val="-8"/>
          <w:sz w:val="22"/>
        </w:rPr>
        <w:t> </w:t>
      </w:r>
      <w:r>
        <w:rPr>
          <w:sz w:val="22"/>
        </w:rPr>
        <w:t>careers</w:t>
      </w:r>
      <w:r>
        <w:rPr>
          <w:spacing w:val="-8"/>
          <w:sz w:val="22"/>
        </w:rPr>
        <w:t> </w:t>
      </w:r>
      <w:r>
        <w:rPr>
          <w:sz w:val="22"/>
        </w:rPr>
        <w:t>in</w:t>
      </w:r>
      <w:r>
        <w:rPr>
          <w:spacing w:val="-8"/>
          <w:sz w:val="22"/>
        </w:rPr>
        <w:t> </w:t>
      </w:r>
      <w:r>
        <w:rPr>
          <w:sz w:val="22"/>
        </w:rPr>
        <w:t>science</w:t>
      </w:r>
      <w:r>
        <w:rPr>
          <w:spacing w:val="-8"/>
          <w:sz w:val="22"/>
        </w:rPr>
        <w:t> </w:t>
      </w:r>
      <w:r>
        <w:rPr>
          <w:sz w:val="22"/>
        </w:rPr>
        <w:t>-</w:t>
      </w:r>
      <w:r>
        <w:rPr>
          <w:spacing w:val="-14"/>
          <w:sz w:val="22"/>
        </w:rPr>
        <w:t> </w:t>
      </w:r>
      <w:r>
        <w:rPr>
          <w:sz w:val="22"/>
        </w:rPr>
        <w:t>The</w:t>
      </w:r>
      <w:r>
        <w:rPr>
          <w:spacing w:val="-8"/>
          <w:sz w:val="22"/>
        </w:rPr>
        <w:t> </w:t>
      </w:r>
      <w:r>
        <w:rPr>
          <w:sz w:val="22"/>
        </w:rPr>
        <w:t>media,</w:t>
      </w:r>
      <w:r>
        <w:rPr>
          <w:spacing w:val="-8"/>
          <w:sz w:val="22"/>
        </w:rPr>
        <w:t> </w:t>
      </w:r>
      <w:r>
        <w:rPr>
          <w:sz w:val="22"/>
        </w:rPr>
        <w:t>parents and students should be sensitised to the various career options and job situations available to </w:t>
      </w:r>
      <w:r>
        <w:rPr>
          <w:spacing w:val="-4"/>
          <w:sz w:val="22"/>
        </w:rPr>
        <w:t>students</w:t>
      </w:r>
      <w:r>
        <w:rPr>
          <w:spacing w:val="-10"/>
          <w:sz w:val="22"/>
        </w:rPr>
        <w:t> </w:t>
      </w:r>
      <w:r>
        <w:rPr>
          <w:spacing w:val="-4"/>
          <w:sz w:val="22"/>
        </w:rPr>
        <w:t>coming</w:t>
      </w:r>
      <w:r>
        <w:rPr>
          <w:spacing w:val="-10"/>
          <w:sz w:val="22"/>
        </w:rPr>
        <w:t> </w:t>
      </w:r>
      <w:r>
        <w:rPr>
          <w:spacing w:val="-4"/>
          <w:sz w:val="22"/>
        </w:rPr>
        <w:t>out</w:t>
      </w:r>
      <w:r>
        <w:rPr>
          <w:spacing w:val="-10"/>
          <w:sz w:val="22"/>
        </w:rPr>
        <w:t> </w:t>
      </w:r>
      <w:r>
        <w:rPr>
          <w:spacing w:val="-4"/>
          <w:sz w:val="22"/>
        </w:rPr>
        <w:t>of</w:t>
      </w:r>
      <w:r>
        <w:rPr>
          <w:spacing w:val="-9"/>
          <w:sz w:val="22"/>
        </w:rPr>
        <w:t> </w:t>
      </w:r>
      <w:r>
        <w:rPr>
          <w:spacing w:val="-4"/>
          <w:sz w:val="22"/>
        </w:rPr>
        <w:t>science</w:t>
      </w:r>
      <w:r>
        <w:rPr>
          <w:spacing w:val="-10"/>
          <w:sz w:val="22"/>
        </w:rPr>
        <w:t> </w:t>
      </w:r>
      <w:r>
        <w:rPr>
          <w:spacing w:val="-4"/>
          <w:sz w:val="22"/>
        </w:rPr>
        <w:t>streams.</w:t>
      </w:r>
      <w:r>
        <w:rPr>
          <w:spacing w:val="-10"/>
          <w:sz w:val="22"/>
        </w:rPr>
        <w:t> </w:t>
      </w:r>
      <w:r>
        <w:rPr>
          <w:spacing w:val="-4"/>
          <w:sz w:val="22"/>
        </w:rPr>
        <w:t>This</w:t>
      </w:r>
      <w:r>
        <w:rPr>
          <w:spacing w:val="-10"/>
          <w:sz w:val="22"/>
        </w:rPr>
        <w:t> </w:t>
      </w:r>
      <w:r>
        <w:rPr>
          <w:spacing w:val="-4"/>
          <w:sz w:val="22"/>
        </w:rPr>
        <w:t>would encourage</w:t>
      </w:r>
      <w:r>
        <w:rPr>
          <w:spacing w:val="-5"/>
          <w:sz w:val="22"/>
        </w:rPr>
        <w:t> </w:t>
      </w:r>
      <w:r>
        <w:rPr>
          <w:spacing w:val="-4"/>
          <w:sz w:val="22"/>
        </w:rPr>
        <w:t>more</w:t>
      </w:r>
      <w:r>
        <w:rPr>
          <w:spacing w:val="-5"/>
          <w:sz w:val="22"/>
        </w:rPr>
        <w:t> </w:t>
      </w:r>
      <w:r>
        <w:rPr>
          <w:spacing w:val="-4"/>
          <w:sz w:val="22"/>
        </w:rPr>
        <w:t>students</w:t>
      </w:r>
      <w:r>
        <w:rPr>
          <w:spacing w:val="-5"/>
          <w:sz w:val="22"/>
        </w:rPr>
        <w:t> </w:t>
      </w:r>
      <w:r>
        <w:rPr>
          <w:spacing w:val="-4"/>
          <w:sz w:val="22"/>
        </w:rPr>
        <w:t>to</w:t>
      </w:r>
      <w:r>
        <w:rPr>
          <w:spacing w:val="-5"/>
          <w:sz w:val="22"/>
        </w:rPr>
        <w:t> </w:t>
      </w:r>
      <w:r>
        <w:rPr>
          <w:spacing w:val="-4"/>
          <w:sz w:val="22"/>
        </w:rPr>
        <w:t>science</w:t>
      </w:r>
      <w:r>
        <w:rPr>
          <w:spacing w:val="-5"/>
          <w:sz w:val="22"/>
        </w:rPr>
        <w:t> </w:t>
      </w:r>
      <w:r>
        <w:rPr>
          <w:spacing w:val="-4"/>
          <w:sz w:val="22"/>
        </w:rPr>
        <w:t>and</w:t>
      </w:r>
      <w:r>
        <w:rPr>
          <w:spacing w:val="-5"/>
          <w:sz w:val="22"/>
        </w:rPr>
        <w:t> </w:t>
      </w:r>
      <w:r>
        <w:rPr>
          <w:spacing w:val="-4"/>
          <w:sz w:val="22"/>
        </w:rPr>
        <w:t>reverse</w:t>
      </w:r>
      <w:r>
        <w:rPr>
          <w:spacing w:val="-5"/>
          <w:sz w:val="22"/>
        </w:rPr>
        <w:t> </w:t>
      </w:r>
      <w:r>
        <w:rPr>
          <w:spacing w:val="-4"/>
          <w:sz w:val="22"/>
        </w:rPr>
        <w:t>the </w:t>
      </w:r>
      <w:r>
        <w:rPr>
          <w:spacing w:val="-2"/>
          <w:sz w:val="22"/>
        </w:rPr>
        <w:t>alarming</w:t>
      </w:r>
      <w:r>
        <w:rPr>
          <w:spacing w:val="-10"/>
          <w:sz w:val="22"/>
        </w:rPr>
        <w:t> </w:t>
      </w:r>
      <w:r>
        <w:rPr>
          <w:spacing w:val="-2"/>
          <w:sz w:val="22"/>
        </w:rPr>
        <w:t>trend</w:t>
      </w:r>
      <w:r>
        <w:rPr>
          <w:spacing w:val="-10"/>
          <w:sz w:val="22"/>
        </w:rPr>
        <w:t> </w:t>
      </w:r>
      <w:r>
        <w:rPr>
          <w:spacing w:val="-2"/>
          <w:sz w:val="22"/>
        </w:rPr>
        <w:t>of</w:t>
      </w:r>
      <w:r>
        <w:rPr>
          <w:spacing w:val="-10"/>
          <w:sz w:val="22"/>
        </w:rPr>
        <w:t> </w:t>
      </w:r>
      <w:r>
        <w:rPr>
          <w:spacing w:val="-2"/>
          <w:sz w:val="22"/>
        </w:rPr>
        <w:t>lack</w:t>
      </w:r>
      <w:r>
        <w:rPr>
          <w:spacing w:val="-10"/>
          <w:sz w:val="22"/>
        </w:rPr>
        <w:t> </w:t>
      </w:r>
      <w:r>
        <w:rPr>
          <w:spacing w:val="-2"/>
          <w:sz w:val="22"/>
        </w:rPr>
        <w:t>of</w:t>
      </w:r>
      <w:r>
        <w:rPr>
          <w:spacing w:val="-10"/>
          <w:sz w:val="22"/>
        </w:rPr>
        <w:t> </w:t>
      </w:r>
      <w:r>
        <w:rPr>
          <w:spacing w:val="-2"/>
          <w:sz w:val="22"/>
        </w:rPr>
        <w:t>interest</w:t>
      </w:r>
      <w:r>
        <w:rPr>
          <w:spacing w:val="-10"/>
          <w:sz w:val="22"/>
        </w:rPr>
        <w:t> </w:t>
      </w:r>
      <w:r>
        <w:rPr>
          <w:spacing w:val="-2"/>
          <w:sz w:val="22"/>
        </w:rPr>
        <w:t>in</w:t>
      </w:r>
      <w:r>
        <w:rPr>
          <w:spacing w:val="-10"/>
          <w:sz w:val="22"/>
        </w:rPr>
        <w:t> </w:t>
      </w:r>
      <w:r>
        <w:rPr>
          <w:spacing w:val="-2"/>
          <w:sz w:val="22"/>
        </w:rPr>
        <w:t>basic</w:t>
      </w:r>
      <w:r>
        <w:rPr>
          <w:spacing w:val="-10"/>
          <w:sz w:val="22"/>
        </w:rPr>
        <w:t> </w:t>
      </w:r>
      <w:r>
        <w:rPr>
          <w:spacing w:val="-2"/>
          <w:sz w:val="22"/>
        </w:rPr>
        <w:t>sciences.</w:t>
      </w:r>
    </w:p>
    <w:p>
      <w:pPr>
        <w:pStyle w:val="BodyText"/>
        <w:spacing w:before="17"/>
      </w:pPr>
    </w:p>
    <w:p>
      <w:pPr>
        <w:pStyle w:val="ListParagraph"/>
        <w:numPr>
          <w:ilvl w:val="1"/>
          <w:numId w:val="27"/>
        </w:numPr>
        <w:tabs>
          <w:tab w:pos="664" w:val="left" w:leader="none"/>
        </w:tabs>
        <w:spacing w:line="266" w:lineRule="auto" w:before="1" w:after="0"/>
        <w:ind w:left="319" w:right="1077" w:firstLine="0"/>
        <w:jc w:val="both"/>
        <w:rPr>
          <w:sz w:val="22"/>
        </w:rPr>
      </w:pPr>
      <w:r>
        <w:rPr>
          <w:b/>
          <w:w w:val="90"/>
          <w:sz w:val="22"/>
        </w:rPr>
        <w:t>A large science popularisation program: </w:t>
      </w:r>
      <w:r>
        <w:rPr>
          <w:w w:val="90"/>
          <w:sz w:val="22"/>
        </w:rPr>
        <w:t>A </w:t>
      </w:r>
      <w:r>
        <w:rPr>
          <w:w w:val="90"/>
          <w:sz w:val="22"/>
        </w:rPr>
        <w:t>science </w:t>
      </w:r>
      <w:r>
        <w:rPr>
          <w:spacing w:val="-4"/>
          <w:sz w:val="22"/>
        </w:rPr>
        <w:t>popularisation</w:t>
      </w:r>
      <w:r>
        <w:rPr>
          <w:spacing w:val="-18"/>
          <w:sz w:val="22"/>
        </w:rPr>
        <w:t> </w:t>
      </w:r>
      <w:r>
        <w:rPr>
          <w:spacing w:val="-4"/>
          <w:sz w:val="22"/>
        </w:rPr>
        <w:t>program</w:t>
      </w:r>
      <w:r>
        <w:rPr>
          <w:spacing w:val="-17"/>
          <w:sz w:val="22"/>
        </w:rPr>
        <w:t> </w:t>
      </w:r>
      <w:r>
        <w:rPr>
          <w:spacing w:val="-4"/>
          <w:sz w:val="22"/>
        </w:rPr>
        <w:t>should</w:t>
      </w:r>
      <w:r>
        <w:rPr>
          <w:spacing w:val="-17"/>
          <w:sz w:val="22"/>
        </w:rPr>
        <w:t> </w:t>
      </w:r>
      <w:r>
        <w:rPr>
          <w:spacing w:val="-4"/>
          <w:sz w:val="22"/>
        </w:rPr>
        <w:t>be</w:t>
      </w:r>
      <w:r>
        <w:rPr>
          <w:spacing w:val="-17"/>
          <w:sz w:val="22"/>
        </w:rPr>
        <w:t> </w:t>
      </w:r>
      <w:r>
        <w:rPr>
          <w:spacing w:val="-4"/>
          <w:sz w:val="22"/>
        </w:rPr>
        <w:t>launched</w:t>
      </w:r>
      <w:r>
        <w:rPr>
          <w:spacing w:val="-17"/>
          <w:sz w:val="22"/>
        </w:rPr>
        <w:t> </w:t>
      </w:r>
      <w:r>
        <w:rPr>
          <w:spacing w:val="-4"/>
          <w:sz w:val="22"/>
        </w:rPr>
        <w:t>to</w:t>
      </w:r>
      <w:r>
        <w:rPr>
          <w:spacing w:val="-17"/>
          <w:sz w:val="22"/>
        </w:rPr>
        <w:t> </w:t>
      </w:r>
      <w:r>
        <w:rPr>
          <w:spacing w:val="-4"/>
          <w:sz w:val="22"/>
        </w:rPr>
        <w:t>cover</w:t>
      </w:r>
      <w:r>
        <w:rPr>
          <w:spacing w:val="-17"/>
          <w:sz w:val="22"/>
        </w:rPr>
        <w:t> </w:t>
      </w:r>
      <w:r>
        <w:rPr>
          <w:spacing w:val="-5"/>
          <w:sz w:val="22"/>
        </w:rPr>
        <w:t>250</w:t>
      </w:r>
    </w:p>
    <w:p>
      <w:pPr>
        <w:pStyle w:val="BodyText"/>
        <w:spacing w:line="266" w:lineRule="auto"/>
        <w:ind w:left="319" w:right="1077"/>
        <w:jc w:val="both"/>
      </w:pPr>
      <w:r>
        <w:rPr>
          <w:spacing w:val="-6"/>
        </w:rPr>
        <w:t>+</w:t>
      </w:r>
      <w:r>
        <w:rPr>
          <w:spacing w:val="-8"/>
        </w:rPr>
        <w:t> </w:t>
      </w:r>
      <w:r>
        <w:rPr>
          <w:spacing w:val="-6"/>
        </w:rPr>
        <w:t>million</w:t>
      </w:r>
      <w:r>
        <w:rPr>
          <w:spacing w:val="-8"/>
        </w:rPr>
        <w:t> </w:t>
      </w:r>
      <w:r>
        <w:rPr>
          <w:spacing w:val="-6"/>
        </w:rPr>
        <w:t>children</w:t>
      </w:r>
      <w:r>
        <w:rPr>
          <w:spacing w:val="-4"/>
        </w:rPr>
        <w:t> </w:t>
      </w:r>
      <w:r>
        <w:rPr>
          <w:spacing w:val="-6"/>
        </w:rPr>
        <w:t>effectively across India.</w:t>
      </w:r>
      <w:r>
        <w:rPr>
          <w:spacing w:val="-8"/>
        </w:rPr>
        <w:t> </w:t>
      </w:r>
      <w:r>
        <w:rPr>
          <w:spacing w:val="-6"/>
        </w:rPr>
        <w:t>This</w:t>
      </w:r>
      <w:r>
        <w:rPr>
          <w:spacing w:val="-4"/>
        </w:rPr>
        <w:t> </w:t>
      </w:r>
      <w:r>
        <w:rPr>
          <w:spacing w:val="-6"/>
        </w:rPr>
        <w:t>program should</w:t>
      </w:r>
      <w:r>
        <w:rPr>
          <w:spacing w:val="-8"/>
        </w:rPr>
        <w:t> </w:t>
      </w:r>
      <w:r>
        <w:rPr>
          <w:spacing w:val="-6"/>
        </w:rPr>
        <w:t>include</w:t>
      </w:r>
      <w:r>
        <w:rPr>
          <w:spacing w:val="-8"/>
        </w:rPr>
        <w:t> </w:t>
      </w:r>
      <w:r>
        <w:rPr>
          <w:spacing w:val="-6"/>
        </w:rPr>
        <w:t>all</w:t>
      </w:r>
      <w:r>
        <w:rPr>
          <w:spacing w:val="-8"/>
        </w:rPr>
        <w:t> </w:t>
      </w:r>
      <w:r>
        <w:rPr>
          <w:spacing w:val="-6"/>
        </w:rPr>
        <w:t>the</w:t>
      </w:r>
      <w:r>
        <w:rPr>
          <w:spacing w:val="-7"/>
        </w:rPr>
        <w:t> </w:t>
      </w:r>
      <w:r>
        <w:rPr>
          <w:spacing w:val="-6"/>
        </w:rPr>
        <w:t>objectives</w:t>
      </w:r>
      <w:r>
        <w:rPr>
          <w:spacing w:val="-8"/>
        </w:rPr>
        <w:t> </w:t>
      </w:r>
      <w:r>
        <w:rPr>
          <w:spacing w:val="-6"/>
        </w:rPr>
        <w:t>mentioned</w:t>
      </w:r>
      <w:r>
        <w:rPr>
          <w:spacing w:val="-8"/>
        </w:rPr>
        <w:t> </w:t>
      </w:r>
      <w:r>
        <w:rPr>
          <w:spacing w:val="-6"/>
        </w:rPr>
        <w:t>above.</w:t>
      </w:r>
      <w:r>
        <w:rPr>
          <w:spacing w:val="-8"/>
        </w:rPr>
        <w:t> </w:t>
      </w:r>
      <w:r>
        <w:rPr>
          <w:spacing w:val="-6"/>
        </w:rPr>
        <w:t>Apart </w:t>
      </w:r>
      <w:r>
        <w:rPr/>
        <w:t>from money, it will require committed people </w:t>
      </w:r>
      <w:r>
        <w:rPr/>
        <w:t>with </w:t>
      </w:r>
      <w:r>
        <w:rPr>
          <w:spacing w:val="-4"/>
        </w:rPr>
        <w:t>vision and capacity towards execution.</w:t>
      </w:r>
      <w:r>
        <w:rPr>
          <w:spacing w:val="-10"/>
        </w:rPr>
        <w:t> </w:t>
      </w:r>
      <w:r>
        <w:rPr>
          <w:spacing w:val="-4"/>
        </w:rPr>
        <w:t>The importance </w:t>
      </w:r>
      <w:r>
        <w:rPr/>
        <w:t>of this program necessitates consideration of out-of- the</w:t>
      </w:r>
      <w:r>
        <w:rPr>
          <w:spacing w:val="-14"/>
        </w:rPr>
        <w:t> </w:t>
      </w:r>
      <w:r>
        <w:rPr/>
        <w:t>box</w:t>
      </w:r>
      <w:r>
        <w:rPr>
          <w:spacing w:val="-14"/>
        </w:rPr>
        <w:t> </w:t>
      </w:r>
      <w:r>
        <w:rPr/>
        <w:t>organisation</w:t>
      </w:r>
      <w:r>
        <w:rPr>
          <w:spacing w:val="-14"/>
        </w:rPr>
        <w:t> </w:t>
      </w:r>
      <w:r>
        <w:rPr/>
        <w:t>and</w:t>
      </w:r>
      <w:r>
        <w:rPr>
          <w:spacing w:val="-13"/>
        </w:rPr>
        <w:t> </w:t>
      </w:r>
      <w:r>
        <w:rPr/>
        <w:t>service</w:t>
      </w:r>
      <w:r>
        <w:rPr>
          <w:spacing w:val="-14"/>
        </w:rPr>
        <w:t> </w:t>
      </w:r>
      <w:r>
        <w:rPr/>
        <w:t>delivery</w:t>
      </w:r>
      <w:r>
        <w:rPr>
          <w:spacing w:val="-14"/>
        </w:rPr>
        <w:t> </w:t>
      </w:r>
      <w:r>
        <w:rPr/>
        <w:t>alternatives. </w:t>
      </w:r>
      <w:r>
        <w:rPr>
          <w:spacing w:val="-4"/>
        </w:rPr>
        <w:t>This</w:t>
      </w:r>
      <w:r>
        <w:rPr>
          <w:spacing w:val="-8"/>
        </w:rPr>
        <w:t> </w:t>
      </w:r>
      <w:r>
        <w:rPr>
          <w:spacing w:val="-4"/>
        </w:rPr>
        <w:t>program</w:t>
      </w:r>
      <w:r>
        <w:rPr>
          <w:spacing w:val="-8"/>
        </w:rPr>
        <w:t> </w:t>
      </w:r>
      <w:r>
        <w:rPr>
          <w:spacing w:val="-4"/>
        </w:rPr>
        <w:t>should</w:t>
      </w:r>
      <w:r>
        <w:rPr>
          <w:spacing w:val="-8"/>
        </w:rPr>
        <w:t> </w:t>
      </w:r>
      <w:r>
        <w:rPr>
          <w:spacing w:val="-4"/>
        </w:rPr>
        <w:t>bring</w:t>
      </w:r>
      <w:r>
        <w:rPr>
          <w:spacing w:val="-8"/>
        </w:rPr>
        <w:t> </w:t>
      </w:r>
      <w:r>
        <w:rPr>
          <w:spacing w:val="-4"/>
        </w:rPr>
        <w:t>all</w:t>
      </w:r>
      <w:r>
        <w:rPr>
          <w:spacing w:val="-8"/>
        </w:rPr>
        <w:t> </w:t>
      </w:r>
      <w:r>
        <w:rPr>
          <w:spacing w:val="-4"/>
        </w:rPr>
        <w:t>popular</w:t>
      </w:r>
      <w:r>
        <w:rPr>
          <w:spacing w:val="-8"/>
        </w:rPr>
        <w:t> </w:t>
      </w:r>
      <w:r>
        <w:rPr>
          <w:spacing w:val="-4"/>
        </w:rPr>
        <w:t>science</w:t>
      </w:r>
      <w:r>
        <w:rPr>
          <w:spacing w:val="-8"/>
        </w:rPr>
        <w:t> </w:t>
      </w:r>
      <w:r>
        <w:rPr>
          <w:spacing w:val="-4"/>
        </w:rPr>
        <w:t>activities </w:t>
      </w:r>
      <w:r>
        <w:rPr/>
        <w:t>under one umbrella for effective implementation and replication</w:t>
      </w:r>
      <w:r>
        <w:rPr>
          <w:spacing w:val="-9"/>
        </w:rPr>
        <w:t> </w:t>
      </w:r>
      <w:r>
        <w:rPr/>
        <w:t>of</w:t>
      </w:r>
      <w:r>
        <w:rPr>
          <w:spacing w:val="-9"/>
        </w:rPr>
        <w:t> </w:t>
      </w:r>
      <w:r>
        <w:rPr/>
        <w:t>successful</w:t>
      </w:r>
      <w:r>
        <w:rPr>
          <w:spacing w:val="-9"/>
        </w:rPr>
        <w:t> </w:t>
      </w:r>
      <w:r>
        <w:rPr/>
        <w:t>initiatives.</w:t>
      </w:r>
    </w:p>
    <w:p>
      <w:pPr>
        <w:pStyle w:val="BodyText"/>
        <w:spacing w:before="18"/>
      </w:pPr>
    </w:p>
    <w:p>
      <w:pPr>
        <w:pStyle w:val="ListParagraph"/>
        <w:numPr>
          <w:ilvl w:val="1"/>
          <w:numId w:val="27"/>
        </w:numPr>
        <w:tabs>
          <w:tab w:pos="646" w:val="left" w:leader="none"/>
        </w:tabs>
        <w:spacing w:line="266" w:lineRule="auto" w:before="0" w:after="0"/>
        <w:ind w:left="319" w:right="1077" w:firstLine="0"/>
        <w:jc w:val="both"/>
        <w:rPr>
          <w:sz w:val="22"/>
        </w:rPr>
      </w:pPr>
      <w:r>
        <w:rPr>
          <w:b/>
          <w:w w:val="90"/>
          <w:sz w:val="22"/>
        </w:rPr>
        <w:t>Science cells, centres and mobile labs: </w:t>
      </w:r>
      <w:r>
        <w:rPr>
          <w:w w:val="90"/>
          <w:sz w:val="22"/>
        </w:rPr>
        <w:t>A large </w:t>
      </w:r>
      <w:r>
        <w:rPr>
          <w:w w:val="90"/>
          <w:sz w:val="22"/>
        </w:rPr>
        <w:t>chain </w:t>
      </w:r>
      <w:r>
        <w:rPr>
          <w:sz w:val="22"/>
        </w:rPr>
        <w:t>of</w:t>
      </w:r>
      <w:r>
        <w:rPr>
          <w:spacing w:val="-1"/>
          <w:sz w:val="22"/>
        </w:rPr>
        <w:t> </w:t>
      </w:r>
      <w:r>
        <w:rPr>
          <w:sz w:val="22"/>
        </w:rPr>
        <w:t>science</w:t>
      </w:r>
      <w:r>
        <w:rPr>
          <w:spacing w:val="-1"/>
          <w:sz w:val="22"/>
        </w:rPr>
        <w:t> </w:t>
      </w:r>
      <w:r>
        <w:rPr>
          <w:sz w:val="22"/>
        </w:rPr>
        <w:t>talent</w:t>
      </w:r>
      <w:r>
        <w:rPr>
          <w:spacing w:val="-1"/>
          <w:sz w:val="22"/>
        </w:rPr>
        <w:t> </w:t>
      </w:r>
      <w:r>
        <w:rPr>
          <w:sz w:val="22"/>
        </w:rPr>
        <w:t>cells</w:t>
      </w:r>
      <w:r>
        <w:rPr>
          <w:spacing w:val="-1"/>
          <w:sz w:val="22"/>
        </w:rPr>
        <w:t> </w:t>
      </w:r>
      <w:r>
        <w:rPr>
          <w:sz w:val="22"/>
        </w:rPr>
        <w:t>should</w:t>
      </w:r>
      <w:r>
        <w:rPr>
          <w:spacing w:val="-1"/>
          <w:sz w:val="22"/>
        </w:rPr>
        <w:t> </w:t>
      </w:r>
      <w:r>
        <w:rPr>
          <w:sz w:val="22"/>
        </w:rPr>
        <w:t>be</w:t>
      </w:r>
      <w:r>
        <w:rPr>
          <w:spacing w:val="-1"/>
          <w:sz w:val="22"/>
        </w:rPr>
        <w:t> </w:t>
      </w:r>
      <w:r>
        <w:rPr>
          <w:sz w:val="22"/>
        </w:rPr>
        <w:t>created.</w:t>
      </w:r>
      <w:r>
        <w:rPr>
          <w:spacing w:val="-1"/>
          <w:sz w:val="22"/>
        </w:rPr>
        <w:t> </w:t>
      </w:r>
      <w:r>
        <w:rPr>
          <w:sz w:val="22"/>
        </w:rPr>
        <w:t>Each</w:t>
      </w:r>
      <w:r>
        <w:rPr>
          <w:spacing w:val="-1"/>
          <w:sz w:val="22"/>
        </w:rPr>
        <w:t> </w:t>
      </w:r>
      <w:r>
        <w:rPr>
          <w:sz w:val="22"/>
        </w:rPr>
        <w:t>school should</w:t>
      </w:r>
      <w:r>
        <w:rPr>
          <w:spacing w:val="-14"/>
          <w:sz w:val="22"/>
        </w:rPr>
        <w:t> </w:t>
      </w:r>
      <w:r>
        <w:rPr>
          <w:sz w:val="22"/>
        </w:rPr>
        <w:t>be</w:t>
      </w:r>
      <w:r>
        <w:rPr>
          <w:spacing w:val="-14"/>
          <w:sz w:val="22"/>
        </w:rPr>
        <w:t> </w:t>
      </w:r>
      <w:r>
        <w:rPr>
          <w:sz w:val="22"/>
        </w:rPr>
        <w:t>funded</w:t>
      </w:r>
      <w:r>
        <w:rPr>
          <w:spacing w:val="-14"/>
          <w:sz w:val="22"/>
        </w:rPr>
        <w:t> </w:t>
      </w:r>
      <w:r>
        <w:rPr>
          <w:sz w:val="22"/>
        </w:rPr>
        <w:t>to</w:t>
      </w:r>
      <w:r>
        <w:rPr>
          <w:spacing w:val="-13"/>
          <w:sz w:val="22"/>
        </w:rPr>
        <w:t> </w:t>
      </w:r>
      <w:r>
        <w:rPr>
          <w:sz w:val="22"/>
        </w:rPr>
        <w:t>open</w:t>
      </w:r>
      <w:r>
        <w:rPr>
          <w:spacing w:val="-14"/>
          <w:sz w:val="22"/>
        </w:rPr>
        <w:t> </w:t>
      </w:r>
      <w:r>
        <w:rPr>
          <w:sz w:val="22"/>
        </w:rPr>
        <w:t>a</w:t>
      </w:r>
      <w:r>
        <w:rPr>
          <w:spacing w:val="-14"/>
          <w:sz w:val="22"/>
        </w:rPr>
        <w:t> </w:t>
      </w:r>
      <w:r>
        <w:rPr>
          <w:sz w:val="22"/>
        </w:rPr>
        <w:t>science</w:t>
      </w:r>
      <w:r>
        <w:rPr>
          <w:spacing w:val="-14"/>
          <w:sz w:val="22"/>
        </w:rPr>
        <w:t> </w:t>
      </w:r>
      <w:r>
        <w:rPr>
          <w:sz w:val="22"/>
        </w:rPr>
        <w:t>club.</w:t>
      </w:r>
      <w:r>
        <w:rPr>
          <w:spacing w:val="-13"/>
          <w:sz w:val="22"/>
        </w:rPr>
        <w:t> </w:t>
      </w:r>
      <w:r>
        <w:rPr>
          <w:sz w:val="22"/>
        </w:rPr>
        <w:t>A</w:t>
      </w:r>
      <w:r>
        <w:rPr>
          <w:spacing w:val="-14"/>
          <w:sz w:val="22"/>
        </w:rPr>
        <w:t> </w:t>
      </w:r>
      <w:r>
        <w:rPr>
          <w:sz w:val="22"/>
        </w:rPr>
        <w:t>network</w:t>
      </w:r>
      <w:r>
        <w:rPr>
          <w:spacing w:val="-14"/>
          <w:sz w:val="22"/>
        </w:rPr>
        <w:t> </w:t>
      </w:r>
      <w:r>
        <w:rPr>
          <w:sz w:val="22"/>
        </w:rPr>
        <w:t>of </w:t>
      </w:r>
      <w:r>
        <w:rPr>
          <w:spacing w:val="-6"/>
          <w:sz w:val="22"/>
        </w:rPr>
        <w:t>good</w:t>
      </w:r>
      <w:r>
        <w:rPr>
          <w:spacing w:val="-8"/>
          <w:sz w:val="22"/>
        </w:rPr>
        <w:t> </w:t>
      </w:r>
      <w:r>
        <w:rPr>
          <w:spacing w:val="-6"/>
          <w:sz w:val="22"/>
        </w:rPr>
        <w:t>teachers,</w:t>
      </w:r>
      <w:r>
        <w:rPr>
          <w:spacing w:val="-7"/>
          <w:sz w:val="22"/>
        </w:rPr>
        <w:t> </w:t>
      </w:r>
      <w:r>
        <w:rPr>
          <w:spacing w:val="-6"/>
          <w:sz w:val="22"/>
        </w:rPr>
        <w:t>laboratory</w:t>
      </w:r>
      <w:r>
        <w:rPr>
          <w:spacing w:val="-8"/>
          <w:sz w:val="22"/>
        </w:rPr>
        <w:t> </w:t>
      </w:r>
      <w:r>
        <w:rPr>
          <w:spacing w:val="-6"/>
          <w:sz w:val="22"/>
        </w:rPr>
        <w:t>facilities</w:t>
      </w:r>
      <w:r>
        <w:rPr>
          <w:spacing w:val="-7"/>
          <w:sz w:val="22"/>
        </w:rPr>
        <w:t> </w:t>
      </w:r>
      <w:r>
        <w:rPr>
          <w:spacing w:val="-6"/>
          <w:sz w:val="22"/>
        </w:rPr>
        <w:t>and</w:t>
      </w:r>
      <w:r>
        <w:rPr>
          <w:spacing w:val="-8"/>
          <w:sz w:val="22"/>
        </w:rPr>
        <w:t> </w:t>
      </w:r>
      <w:r>
        <w:rPr>
          <w:spacing w:val="-6"/>
          <w:sz w:val="22"/>
        </w:rPr>
        <w:t>reading</w:t>
      </w:r>
      <w:r>
        <w:rPr>
          <w:spacing w:val="-7"/>
          <w:sz w:val="22"/>
        </w:rPr>
        <w:t> </w:t>
      </w:r>
      <w:r>
        <w:rPr>
          <w:spacing w:val="-6"/>
          <w:sz w:val="22"/>
        </w:rPr>
        <w:t>resources </w:t>
      </w:r>
      <w:r>
        <w:rPr>
          <w:spacing w:val="-2"/>
          <w:sz w:val="22"/>
        </w:rPr>
        <w:t>connecting</w:t>
      </w:r>
      <w:r>
        <w:rPr>
          <w:spacing w:val="-14"/>
          <w:sz w:val="22"/>
        </w:rPr>
        <w:t> </w:t>
      </w:r>
      <w:r>
        <w:rPr>
          <w:spacing w:val="-2"/>
          <w:sz w:val="22"/>
        </w:rPr>
        <w:t>like</w:t>
      </w:r>
      <w:r>
        <w:rPr>
          <w:spacing w:val="-12"/>
          <w:sz w:val="22"/>
        </w:rPr>
        <w:t> </w:t>
      </w:r>
      <w:r>
        <w:rPr>
          <w:spacing w:val="-2"/>
          <w:sz w:val="22"/>
        </w:rPr>
        <w:t>–</w:t>
      </w:r>
      <w:r>
        <w:rPr>
          <w:spacing w:val="-12"/>
          <w:sz w:val="22"/>
        </w:rPr>
        <w:t> </w:t>
      </w:r>
      <w:r>
        <w:rPr>
          <w:spacing w:val="-2"/>
          <w:sz w:val="22"/>
        </w:rPr>
        <w:t>minded</w:t>
      </w:r>
      <w:r>
        <w:rPr>
          <w:spacing w:val="-11"/>
          <w:sz w:val="22"/>
        </w:rPr>
        <w:t> </w:t>
      </w:r>
      <w:r>
        <w:rPr>
          <w:spacing w:val="-2"/>
          <w:sz w:val="22"/>
        </w:rPr>
        <w:t>students</w:t>
      </w:r>
      <w:r>
        <w:rPr>
          <w:spacing w:val="-12"/>
          <w:sz w:val="22"/>
        </w:rPr>
        <w:t> </w:t>
      </w:r>
      <w:r>
        <w:rPr>
          <w:spacing w:val="-2"/>
          <w:sz w:val="22"/>
        </w:rPr>
        <w:t>in</w:t>
      </w:r>
      <w:r>
        <w:rPr>
          <w:spacing w:val="-12"/>
          <w:sz w:val="22"/>
        </w:rPr>
        <w:t> </w:t>
      </w:r>
      <w:r>
        <w:rPr>
          <w:spacing w:val="-2"/>
          <w:sz w:val="22"/>
        </w:rPr>
        <w:t>every</w:t>
      </w:r>
      <w:r>
        <w:rPr>
          <w:spacing w:val="-12"/>
          <w:sz w:val="22"/>
        </w:rPr>
        <w:t> </w:t>
      </w:r>
      <w:r>
        <w:rPr>
          <w:spacing w:val="-2"/>
          <w:sz w:val="22"/>
        </w:rPr>
        <w:t>town/city</w:t>
      </w:r>
      <w:r>
        <w:rPr>
          <w:spacing w:val="-11"/>
          <w:sz w:val="22"/>
        </w:rPr>
        <w:t> </w:t>
      </w:r>
      <w:r>
        <w:rPr>
          <w:spacing w:val="-2"/>
          <w:sz w:val="22"/>
        </w:rPr>
        <w:t>is </w:t>
      </w:r>
      <w:r>
        <w:rPr>
          <w:spacing w:val="-6"/>
          <w:sz w:val="22"/>
        </w:rPr>
        <w:t>needed.</w:t>
      </w:r>
      <w:r>
        <w:rPr>
          <w:spacing w:val="-8"/>
          <w:sz w:val="22"/>
        </w:rPr>
        <w:t> </w:t>
      </w:r>
      <w:r>
        <w:rPr>
          <w:spacing w:val="-6"/>
          <w:sz w:val="22"/>
        </w:rPr>
        <w:t>The</w:t>
      </w:r>
      <w:r>
        <w:rPr>
          <w:spacing w:val="-8"/>
          <w:sz w:val="22"/>
        </w:rPr>
        <w:t> </w:t>
      </w:r>
      <w:r>
        <w:rPr>
          <w:spacing w:val="-6"/>
          <w:sz w:val="22"/>
        </w:rPr>
        <w:t>school</w:t>
      </w:r>
      <w:r>
        <w:rPr>
          <w:spacing w:val="-3"/>
          <w:sz w:val="22"/>
        </w:rPr>
        <w:t> </w:t>
      </w:r>
      <w:r>
        <w:rPr>
          <w:spacing w:val="-6"/>
          <w:sz w:val="22"/>
        </w:rPr>
        <w:t>science clubs can be then networked </w:t>
      </w:r>
      <w:r>
        <w:rPr>
          <w:spacing w:val="-4"/>
          <w:sz w:val="22"/>
        </w:rPr>
        <w:t>to</w:t>
      </w:r>
      <w:r>
        <w:rPr>
          <w:spacing w:val="-9"/>
          <w:sz w:val="22"/>
        </w:rPr>
        <w:t> </w:t>
      </w:r>
      <w:r>
        <w:rPr>
          <w:spacing w:val="-4"/>
          <w:sz w:val="22"/>
        </w:rPr>
        <w:t>the</w:t>
      </w:r>
      <w:r>
        <w:rPr>
          <w:spacing w:val="-6"/>
          <w:sz w:val="22"/>
        </w:rPr>
        <w:t> </w:t>
      </w:r>
      <w:r>
        <w:rPr>
          <w:spacing w:val="-4"/>
          <w:sz w:val="22"/>
        </w:rPr>
        <w:t>local</w:t>
      </w:r>
      <w:r>
        <w:rPr>
          <w:spacing w:val="-6"/>
          <w:sz w:val="22"/>
        </w:rPr>
        <w:t> </w:t>
      </w:r>
      <w:r>
        <w:rPr>
          <w:spacing w:val="-4"/>
          <w:sz w:val="22"/>
        </w:rPr>
        <w:t>centres</w:t>
      </w:r>
      <w:r>
        <w:rPr>
          <w:spacing w:val="-6"/>
          <w:sz w:val="22"/>
        </w:rPr>
        <w:t> </w:t>
      </w:r>
      <w:r>
        <w:rPr>
          <w:spacing w:val="-4"/>
          <w:sz w:val="22"/>
        </w:rPr>
        <w:t>of</w:t>
      </w:r>
      <w:r>
        <w:rPr>
          <w:spacing w:val="-6"/>
          <w:sz w:val="22"/>
        </w:rPr>
        <w:t> </w:t>
      </w:r>
      <w:r>
        <w:rPr>
          <w:spacing w:val="-4"/>
          <w:sz w:val="22"/>
        </w:rPr>
        <w:t>science.</w:t>
      </w:r>
      <w:r>
        <w:rPr>
          <w:spacing w:val="-10"/>
          <w:sz w:val="22"/>
        </w:rPr>
        <w:t> </w:t>
      </w:r>
      <w:r>
        <w:rPr>
          <w:spacing w:val="-4"/>
          <w:sz w:val="22"/>
        </w:rPr>
        <w:t>The</w:t>
      </w:r>
      <w:r>
        <w:rPr>
          <w:spacing w:val="-5"/>
          <w:sz w:val="22"/>
        </w:rPr>
        <w:t> </w:t>
      </w:r>
      <w:r>
        <w:rPr>
          <w:spacing w:val="-4"/>
          <w:sz w:val="22"/>
        </w:rPr>
        <w:t>local</w:t>
      </w:r>
      <w:r>
        <w:rPr>
          <w:spacing w:val="-6"/>
          <w:sz w:val="22"/>
        </w:rPr>
        <w:t> </w:t>
      </w:r>
      <w:r>
        <w:rPr>
          <w:spacing w:val="-4"/>
          <w:sz w:val="22"/>
        </w:rPr>
        <w:t>science</w:t>
      </w:r>
      <w:r>
        <w:rPr>
          <w:spacing w:val="-6"/>
          <w:sz w:val="22"/>
        </w:rPr>
        <w:t> </w:t>
      </w:r>
      <w:r>
        <w:rPr>
          <w:spacing w:val="-4"/>
          <w:sz w:val="22"/>
        </w:rPr>
        <w:t>centres </w:t>
      </w:r>
      <w:r>
        <w:rPr>
          <w:spacing w:val="-2"/>
          <w:sz w:val="22"/>
        </w:rPr>
        <w:t>should</w:t>
      </w:r>
      <w:r>
        <w:rPr>
          <w:spacing w:val="-11"/>
          <w:sz w:val="22"/>
        </w:rPr>
        <w:t> </w:t>
      </w:r>
      <w:r>
        <w:rPr>
          <w:spacing w:val="-2"/>
          <w:sz w:val="22"/>
        </w:rPr>
        <w:t>have</w:t>
      </w:r>
      <w:r>
        <w:rPr>
          <w:spacing w:val="-11"/>
          <w:sz w:val="22"/>
        </w:rPr>
        <w:t> </w:t>
      </w:r>
      <w:r>
        <w:rPr>
          <w:spacing w:val="-2"/>
          <w:sz w:val="22"/>
        </w:rPr>
        <w:t>experimental</w:t>
      </w:r>
      <w:r>
        <w:rPr>
          <w:spacing w:val="-11"/>
          <w:sz w:val="22"/>
        </w:rPr>
        <w:t> </w:t>
      </w:r>
      <w:r>
        <w:rPr>
          <w:spacing w:val="-2"/>
          <w:sz w:val="22"/>
        </w:rPr>
        <w:t>models</w:t>
      </w:r>
      <w:r>
        <w:rPr>
          <w:spacing w:val="-11"/>
          <w:sz w:val="22"/>
        </w:rPr>
        <w:t> </w:t>
      </w:r>
      <w:r>
        <w:rPr>
          <w:spacing w:val="-2"/>
          <w:sz w:val="22"/>
        </w:rPr>
        <w:t>to</w:t>
      </w:r>
      <w:r>
        <w:rPr>
          <w:spacing w:val="-11"/>
          <w:sz w:val="22"/>
        </w:rPr>
        <w:t> </w:t>
      </w:r>
      <w:r>
        <w:rPr>
          <w:spacing w:val="-2"/>
          <w:sz w:val="22"/>
        </w:rPr>
        <w:t>demonstrate</w:t>
      </w:r>
      <w:r>
        <w:rPr>
          <w:spacing w:val="-11"/>
          <w:sz w:val="22"/>
        </w:rPr>
        <w:t> </w:t>
      </w:r>
      <w:r>
        <w:rPr>
          <w:spacing w:val="-2"/>
          <w:sz w:val="22"/>
        </w:rPr>
        <w:t>basic </w:t>
      </w:r>
      <w:r>
        <w:rPr>
          <w:sz w:val="22"/>
        </w:rPr>
        <w:t>science</w:t>
      </w:r>
      <w:r>
        <w:rPr>
          <w:spacing w:val="-14"/>
          <w:sz w:val="22"/>
        </w:rPr>
        <w:t> </w:t>
      </w:r>
      <w:r>
        <w:rPr>
          <w:sz w:val="22"/>
        </w:rPr>
        <w:t>concepts.</w:t>
      </w:r>
      <w:r>
        <w:rPr>
          <w:spacing w:val="-14"/>
          <w:sz w:val="22"/>
        </w:rPr>
        <w:t> </w:t>
      </w:r>
      <w:r>
        <w:rPr>
          <w:sz w:val="22"/>
        </w:rPr>
        <w:t>The</w:t>
      </w:r>
      <w:r>
        <w:rPr>
          <w:spacing w:val="-14"/>
          <w:sz w:val="22"/>
        </w:rPr>
        <w:t> </w:t>
      </w:r>
      <w:r>
        <w:rPr>
          <w:sz w:val="22"/>
        </w:rPr>
        <w:t>centres</w:t>
      </w:r>
      <w:r>
        <w:rPr>
          <w:spacing w:val="-13"/>
          <w:sz w:val="22"/>
        </w:rPr>
        <w:t> </w:t>
      </w:r>
      <w:r>
        <w:rPr>
          <w:sz w:val="22"/>
        </w:rPr>
        <w:t>would</w:t>
      </w:r>
      <w:r>
        <w:rPr>
          <w:spacing w:val="-14"/>
          <w:sz w:val="22"/>
        </w:rPr>
        <w:t> </w:t>
      </w:r>
      <w:r>
        <w:rPr>
          <w:sz w:val="22"/>
        </w:rPr>
        <w:t>be</w:t>
      </w:r>
      <w:r>
        <w:rPr>
          <w:spacing w:val="-14"/>
          <w:sz w:val="22"/>
        </w:rPr>
        <w:t> </w:t>
      </w:r>
      <w:r>
        <w:rPr>
          <w:sz w:val="22"/>
        </w:rPr>
        <w:t>equipped</w:t>
      </w:r>
      <w:r>
        <w:rPr>
          <w:spacing w:val="-14"/>
          <w:sz w:val="22"/>
        </w:rPr>
        <w:t> </w:t>
      </w:r>
      <w:r>
        <w:rPr>
          <w:sz w:val="22"/>
        </w:rPr>
        <w:t>with </w:t>
      </w:r>
      <w:r>
        <w:rPr>
          <w:spacing w:val="-2"/>
          <w:sz w:val="22"/>
        </w:rPr>
        <w:t>personnel</w:t>
      </w:r>
      <w:r>
        <w:rPr>
          <w:spacing w:val="-6"/>
          <w:sz w:val="22"/>
        </w:rPr>
        <w:t> </w:t>
      </w:r>
      <w:r>
        <w:rPr>
          <w:spacing w:val="-2"/>
          <w:sz w:val="22"/>
        </w:rPr>
        <w:t>to</w:t>
      </w:r>
      <w:r>
        <w:rPr>
          <w:spacing w:val="-6"/>
          <w:sz w:val="22"/>
        </w:rPr>
        <w:t> </w:t>
      </w:r>
      <w:r>
        <w:rPr>
          <w:spacing w:val="-2"/>
          <w:sz w:val="22"/>
        </w:rPr>
        <w:t>explain</w:t>
      </w:r>
      <w:r>
        <w:rPr>
          <w:spacing w:val="-6"/>
          <w:sz w:val="22"/>
        </w:rPr>
        <w:t> </w:t>
      </w:r>
      <w:r>
        <w:rPr>
          <w:spacing w:val="-2"/>
          <w:sz w:val="22"/>
        </w:rPr>
        <w:t>and</w:t>
      </w:r>
      <w:r>
        <w:rPr>
          <w:spacing w:val="-6"/>
          <w:sz w:val="22"/>
        </w:rPr>
        <w:t> </w:t>
      </w:r>
      <w:r>
        <w:rPr>
          <w:spacing w:val="-2"/>
          <w:sz w:val="22"/>
        </w:rPr>
        <w:t>answer</w:t>
      </w:r>
      <w:r>
        <w:rPr>
          <w:spacing w:val="-6"/>
          <w:sz w:val="22"/>
        </w:rPr>
        <w:t> </w:t>
      </w:r>
      <w:r>
        <w:rPr>
          <w:spacing w:val="-2"/>
          <w:sz w:val="22"/>
        </w:rPr>
        <w:t>questions</w:t>
      </w:r>
      <w:r>
        <w:rPr>
          <w:spacing w:val="-6"/>
          <w:sz w:val="22"/>
        </w:rPr>
        <w:t> </w:t>
      </w:r>
      <w:r>
        <w:rPr>
          <w:spacing w:val="-2"/>
          <w:sz w:val="22"/>
        </w:rPr>
        <w:t>of</w:t>
      </w:r>
      <w:r>
        <w:rPr>
          <w:spacing w:val="-6"/>
          <w:sz w:val="22"/>
        </w:rPr>
        <w:t> </w:t>
      </w:r>
      <w:r>
        <w:rPr>
          <w:spacing w:val="-2"/>
          <w:sz w:val="22"/>
        </w:rPr>
        <w:t>students. </w:t>
      </w:r>
      <w:r>
        <w:rPr>
          <w:sz w:val="22"/>
        </w:rPr>
        <w:t>Provision should be made to facilitate visits to this science</w:t>
      </w:r>
      <w:r>
        <w:rPr>
          <w:spacing w:val="-8"/>
          <w:sz w:val="22"/>
        </w:rPr>
        <w:t> </w:t>
      </w:r>
      <w:r>
        <w:rPr>
          <w:sz w:val="22"/>
        </w:rPr>
        <w:t>centre</w:t>
      </w:r>
      <w:r>
        <w:rPr>
          <w:spacing w:val="-8"/>
          <w:sz w:val="22"/>
        </w:rPr>
        <w:t> </w:t>
      </w:r>
      <w:r>
        <w:rPr>
          <w:sz w:val="22"/>
        </w:rPr>
        <w:t>by</w:t>
      </w:r>
      <w:r>
        <w:rPr>
          <w:spacing w:val="-8"/>
          <w:sz w:val="22"/>
        </w:rPr>
        <w:t> </w:t>
      </w:r>
      <w:r>
        <w:rPr>
          <w:sz w:val="22"/>
        </w:rPr>
        <w:t>connected</w:t>
      </w:r>
      <w:r>
        <w:rPr>
          <w:spacing w:val="-8"/>
          <w:sz w:val="22"/>
        </w:rPr>
        <w:t> </w:t>
      </w:r>
      <w:r>
        <w:rPr>
          <w:sz w:val="22"/>
        </w:rPr>
        <w:t>science</w:t>
      </w:r>
      <w:r>
        <w:rPr>
          <w:spacing w:val="-8"/>
          <w:sz w:val="22"/>
        </w:rPr>
        <w:t> </w:t>
      </w:r>
      <w:r>
        <w:rPr>
          <w:sz w:val="22"/>
        </w:rPr>
        <w:t>cells.</w:t>
      </w:r>
      <w:r>
        <w:rPr>
          <w:spacing w:val="-13"/>
          <w:sz w:val="22"/>
        </w:rPr>
        <w:t> </w:t>
      </w:r>
      <w:r>
        <w:rPr>
          <w:sz w:val="22"/>
        </w:rPr>
        <w:t>The</w:t>
      </w:r>
      <w:r>
        <w:rPr>
          <w:spacing w:val="-8"/>
          <w:sz w:val="22"/>
        </w:rPr>
        <w:t> </w:t>
      </w:r>
      <w:r>
        <w:rPr>
          <w:sz w:val="22"/>
        </w:rPr>
        <w:t>Centre </w:t>
      </w:r>
      <w:r>
        <w:rPr>
          <w:spacing w:val="-8"/>
          <w:sz w:val="22"/>
        </w:rPr>
        <w:t>would</w:t>
      </w:r>
      <w:r>
        <w:rPr>
          <w:spacing w:val="-5"/>
          <w:sz w:val="22"/>
        </w:rPr>
        <w:t> </w:t>
      </w:r>
      <w:r>
        <w:rPr>
          <w:spacing w:val="-8"/>
          <w:sz w:val="22"/>
        </w:rPr>
        <w:t>act</w:t>
      </w:r>
      <w:r>
        <w:rPr>
          <w:spacing w:val="-5"/>
          <w:sz w:val="22"/>
        </w:rPr>
        <w:t> </w:t>
      </w:r>
      <w:r>
        <w:rPr>
          <w:spacing w:val="-8"/>
          <w:sz w:val="22"/>
        </w:rPr>
        <w:t>as</w:t>
      </w:r>
      <w:r>
        <w:rPr>
          <w:spacing w:val="-5"/>
          <w:sz w:val="22"/>
        </w:rPr>
        <w:t> </w:t>
      </w:r>
      <w:r>
        <w:rPr>
          <w:spacing w:val="-8"/>
          <w:sz w:val="22"/>
        </w:rPr>
        <w:t>an</w:t>
      </w:r>
      <w:r>
        <w:rPr>
          <w:spacing w:val="-5"/>
          <w:sz w:val="22"/>
        </w:rPr>
        <w:t> </w:t>
      </w:r>
      <w:r>
        <w:rPr>
          <w:spacing w:val="-8"/>
          <w:sz w:val="22"/>
        </w:rPr>
        <w:t>“anchor”</w:t>
      </w:r>
      <w:r>
        <w:rPr>
          <w:spacing w:val="-5"/>
          <w:sz w:val="22"/>
        </w:rPr>
        <w:t> </w:t>
      </w:r>
      <w:r>
        <w:rPr>
          <w:spacing w:val="-8"/>
          <w:sz w:val="22"/>
        </w:rPr>
        <w:t>for</w:t>
      </w:r>
      <w:r>
        <w:rPr>
          <w:spacing w:val="-5"/>
          <w:sz w:val="22"/>
        </w:rPr>
        <w:t> </w:t>
      </w:r>
      <w:r>
        <w:rPr>
          <w:spacing w:val="-8"/>
          <w:sz w:val="22"/>
        </w:rPr>
        <w:t>the</w:t>
      </w:r>
      <w:r>
        <w:rPr>
          <w:spacing w:val="-5"/>
          <w:sz w:val="22"/>
        </w:rPr>
        <w:t> </w:t>
      </w:r>
      <w:r>
        <w:rPr>
          <w:spacing w:val="-8"/>
          <w:sz w:val="22"/>
        </w:rPr>
        <w:t>rest</w:t>
      </w:r>
      <w:r>
        <w:rPr>
          <w:spacing w:val="-5"/>
          <w:sz w:val="22"/>
        </w:rPr>
        <w:t> </w:t>
      </w:r>
      <w:r>
        <w:rPr>
          <w:spacing w:val="-8"/>
          <w:sz w:val="22"/>
        </w:rPr>
        <w:t>of</w:t>
      </w:r>
      <w:r>
        <w:rPr>
          <w:spacing w:val="-5"/>
          <w:sz w:val="22"/>
        </w:rPr>
        <w:t> </w:t>
      </w:r>
      <w:r>
        <w:rPr>
          <w:spacing w:val="-8"/>
          <w:sz w:val="22"/>
        </w:rPr>
        <w:t>the</w:t>
      </w:r>
      <w:r>
        <w:rPr>
          <w:spacing w:val="-5"/>
          <w:sz w:val="22"/>
        </w:rPr>
        <w:t> </w:t>
      </w:r>
      <w:r>
        <w:rPr>
          <w:spacing w:val="-8"/>
          <w:sz w:val="22"/>
        </w:rPr>
        <w:t>state’s</w:t>
      </w:r>
      <w:r>
        <w:rPr>
          <w:spacing w:val="-5"/>
          <w:sz w:val="22"/>
        </w:rPr>
        <w:t> </w:t>
      </w:r>
      <w:r>
        <w:rPr>
          <w:spacing w:val="-8"/>
          <w:sz w:val="22"/>
        </w:rPr>
        <w:t>science </w:t>
      </w:r>
      <w:r>
        <w:rPr>
          <w:sz w:val="22"/>
        </w:rPr>
        <w:t>activities and mobile lab programs, which would be dispersed across rural taluks. In general, the various state governments should facilitate building of more </w:t>
      </w:r>
      <w:r>
        <w:rPr>
          <w:spacing w:val="-6"/>
          <w:sz w:val="22"/>
        </w:rPr>
        <w:t>engaging and interactive science parks and museums for </w:t>
      </w:r>
      <w:r>
        <w:rPr>
          <w:sz w:val="22"/>
        </w:rPr>
        <w:t>learning science outdoors.</w:t>
      </w:r>
    </w:p>
    <w:p>
      <w:pPr>
        <w:pStyle w:val="BodyText"/>
        <w:spacing w:before="12"/>
      </w:pPr>
    </w:p>
    <w:p>
      <w:pPr>
        <w:spacing w:line="266" w:lineRule="auto" w:before="0"/>
        <w:ind w:left="319" w:right="1077" w:firstLine="0"/>
        <w:jc w:val="both"/>
        <w:rPr>
          <w:sz w:val="22"/>
        </w:rPr>
      </w:pPr>
      <w:r>
        <w:rPr>
          <w:sz w:val="22"/>
        </w:rPr>
        <w:t>To tap talent from rural India, special efforts </w:t>
      </w:r>
      <w:r>
        <w:rPr>
          <w:sz w:val="22"/>
        </w:rPr>
        <w:t>needed. Science</w:t>
      </w:r>
      <w:r>
        <w:rPr>
          <w:spacing w:val="-2"/>
          <w:sz w:val="22"/>
        </w:rPr>
        <w:t> </w:t>
      </w:r>
      <w:r>
        <w:rPr>
          <w:sz w:val="22"/>
        </w:rPr>
        <w:t>programs</w:t>
      </w:r>
      <w:r>
        <w:rPr>
          <w:spacing w:val="-2"/>
          <w:sz w:val="22"/>
        </w:rPr>
        <w:t> </w:t>
      </w:r>
      <w:r>
        <w:rPr>
          <w:sz w:val="22"/>
        </w:rPr>
        <w:t>for</w:t>
      </w:r>
      <w:r>
        <w:rPr>
          <w:spacing w:val="-2"/>
          <w:sz w:val="22"/>
        </w:rPr>
        <w:t> </w:t>
      </w:r>
      <w:r>
        <w:rPr>
          <w:sz w:val="22"/>
        </w:rPr>
        <w:t>rural</w:t>
      </w:r>
      <w:r>
        <w:rPr>
          <w:spacing w:val="-2"/>
          <w:sz w:val="22"/>
        </w:rPr>
        <w:t> </w:t>
      </w:r>
      <w:r>
        <w:rPr>
          <w:sz w:val="22"/>
        </w:rPr>
        <w:t>children</w:t>
      </w:r>
      <w:r>
        <w:rPr>
          <w:spacing w:val="-2"/>
          <w:sz w:val="22"/>
        </w:rPr>
        <w:t> </w:t>
      </w:r>
      <w:r>
        <w:rPr>
          <w:sz w:val="22"/>
        </w:rPr>
        <w:t>should</w:t>
      </w:r>
      <w:r>
        <w:rPr>
          <w:spacing w:val="-2"/>
          <w:sz w:val="22"/>
        </w:rPr>
        <w:t> </w:t>
      </w:r>
      <w:r>
        <w:rPr>
          <w:sz w:val="22"/>
        </w:rPr>
        <w:t>be</w:t>
      </w:r>
      <w:r>
        <w:rPr>
          <w:spacing w:val="-2"/>
          <w:sz w:val="22"/>
        </w:rPr>
        <w:t> </w:t>
      </w:r>
      <w:r>
        <w:rPr>
          <w:sz w:val="22"/>
        </w:rPr>
        <w:t>started –</w:t>
      </w:r>
      <w:r>
        <w:rPr>
          <w:spacing w:val="-12"/>
          <w:sz w:val="22"/>
        </w:rPr>
        <w:t> </w:t>
      </w:r>
      <w:r>
        <w:rPr>
          <w:sz w:val="22"/>
        </w:rPr>
        <w:t>book</w:t>
      </w:r>
      <w:r>
        <w:rPr>
          <w:spacing w:val="-12"/>
          <w:sz w:val="22"/>
        </w:rPr>
        <w:t> </w:t>
      </w:r>
      <w:r>
        <w:rPr>
          <w:sz w:val="22"/>
        </w:rPr>
        <w:t>grants,</w:t>
      </w:r>
      <w:r>
        <w:rPr>
          <w:spacing w:val="-12"/>
          <w:sz w:val="22"/>
        </w:rPr>
        <w:t> </w:t>
      </w:r>
      <w:r>
        <w:rPr>
          <w:sz w:val="22"/>
        </w:rPr>
        <w:t>computer</w:t>
      </w:r>
      <w:r>
        <w:rPr>
          <w:spacing w:val="-12"/>
          <w:sz w:val="22"/>
        </w:rPr>
        <w:t> </w:t>
      </w:r>
      <w:r>
        <w:rPr>
          <w:sz w:val="22"/>
        </w:rPr>
        <w:t>grants</w:t>
      </w:r>
      <w:r>
        <w:rPr>
          <w:spacing w:val="-12"/>
          <w:sz w:val="22"/>
        </w:rPr>
        <w:t> </w:t>
      </w:r>
      <w:r>
        <w:rPr>
          <w:sz w:val="22"/>
        </w:rPr>
        <w:t>etc.</w:t>
      </w:r>
      <w:r>
        <w:rPr>
          <w:spacing w:val="-12"/>
          <w:sz w:val="22"/>
        </w:rPr>
        <w:t> </w:t>
      </w:r>
      <w:r>
        <w:rPr>
          <w:sz w:val="22"/>
        </w:rPr>
        <w:t>can</w:t>
      </w:r>
      <w:r>
        <w:rPr>
          <w:spacing w:val="-12"/>
          <w:sz w:val="22"/>
        </w:rPr>
        <w:t> </w:t>
      </w:r>
      <w:r>
        <w:rPr>
          <w:sz w:val="22"/>
        </w:rPr>
        <w:t>be</w:t>
      </w:r>
      <w:r>
        <w:rPr>
          <w:spacing w:val="-12"/>
          <w:sz w:val="22"/>
        </w:rPr>
        <w:t> </w:t>
      </w:r>
      <w:r>
        <w:rPr>
          <w:sz w:val="22"/>
        </w:rPr>
        <w:t>given</w:t>
      </w:r>
      <w:r>
        <w:rPr>
          <w:spacing w:val="-12"/>
          <w:sz w:val="22"/>
        </w:rPr>
        <w:t> </w:t>
      </w:r>
      <w:r>
        <w:rPr>
          <w:sz w:val="22"/>
        </w:rPr>
        <w:t>apart from direct scholarship. </w:t>
      </w:r>
      <w:r>
        <w:rPr>
          <w:i/>
          <w:sz w:val="22"/>
        </w:rPr>
        <w:t>The effectiveness of mobile </w:t>
      </w:r>
      <w:r>
        <w:rPr>
          <w:i/>
          <w:w w:val="90"/>
          <w:sz w:val="22"/>
        </w:rPr>
        <w:t>science</w:t>
      </w:r>
      <w:r>
        <w:rPr>
          <w:i/>
          <w:spacing w:val="-3"/>
          <w:w w:val="90"/>
          <w:sz w:val="22"/>
        </w:rPr>
        <w:t> </w:t>
      </w:r>
      <w:r>
        <w:rPr>
          <w:i/>
          <w:w w:val="90"/>
          <w:sz w:val="22"/>
        </w:rPr>
        <w:t>labs</w:t>
      </w:r>
      <w:r>
        <w:rPr>
          <w:i/>
          <w:spacing w:val="-3"/>
          <w:w w:val="90"/>
          <w:sz w:val="22"/>
        </w:rPr>
        <w:t> </w:t>
      </w:r>
      <w:r>
        <w:rPr>
          <w:i/>
          <w:w w:val="90"/>
          <w:sz w:val="22"/>
        </w:rPr>
        <w:t>in</w:t>
      </w:r>
      <w:r>
        <w:rPr>
          <w:i/>
          <w:spacing w:val="-3"/>
          <w:w w:val="90"/>
          <w:sz w:val="22"/>
        </w:rPr>
        <w:t> </w:t>
      </w:r>
      <w:r>
        <w:rPr>
          <w:i/>
          <w:w w:val="90"/>
          <w:sz w:val="22"/>
        </w:rPr>
        <w:t>reaching</w:t>
      </w:r>
      <w:r>
        <w:rPr>
          <w:i/>
          <w:spacing w:val="-3"/>
          <w:w w:val="90"/>
          <w:sz w:val="22"/>
        </w:rPr>
        <w:t> </w:t>
      </w:r>
      <w:r>
        <w:rPr>
          <w:i/>
          <w:w w:val="90"/>
          <w:sz w:val="22"/>
        </w:rPr>
        <w:t>rural</w:t>
      </w:r>
      <w:r>
        <w:rPr>
          <w:i/>
          <w:spacing w:val="-3"/>
          <w:w w:val="90"/>
          <w:sz w:val="22"/>
        </w:rPr>
        <w:t> </w:t>
      </w:r>
      <w:r>
        <w:rPr>
          <w:i/>
          <w:w w:val="90"/>
          <w:sz w:val="22"/>
        </w:rPr>
        <w:t>students</w:t>
      </w:r>
      <w:r>
        <w:rPr>
          <w:i/>
          <w:spacing w:val="-3"/>
          <w:w w:val="90"/>
          <w:sz w:val="22"/>
        </w:rPr>
        <w:t> </w:t>
      </w:r>
      <w:r>
        <w:rPr>
          <w:i/>
          <w:w w:val="90"/>
          <w:sz w:val="22"/>
        </w:rPr>
        <w:t>is</w:t>
      </w:r>
      <w:r>
        <w:rPr>
          <w:i/>
          <w:spacing w:val="-3"/>
          <w:w w:val="90"/>
          <w:sz w:val="22"/>
        </w:rPr>
        <w:t> </w:t>
      </w:r>
      <w:r>
        <w:rPr>
          <w:i/>
          <w:w w:val="90"/>
          <w:sz w:val="22"/>
        </w:rPr>
        <w:t>very</w:t>
      </w:r>
      <w:r>
        <w:rPr>
          <w:i/>
          <w:spacing w:val="-3"/>
          <w:w w:val="90"/>
          <w:sz w:val="22"/>
        </w:rPr>
        <w:t> </w:t>
      </w:r>
      <w:r>
        <w:rPr>
          <w:i/>
          <w:w w:val="90"/>
          <w:sz w:val="22"/>
        </w:rPr>
        <w:t>high</w:t>
      </w:r>
      <w:r>
        <w:rPr>
          <w:i/>
          <w:spacing w:val="-3"/>
          <w:w w:val="90"/>
          <w:sz w:val="22"/>
        </w:rPr>
        <w:t> </w:t>
      </w:r>
      <w:r>
        <w:rPr>
          <w:i/>
          <w:w w:val="90"/>
          <w:sz w:val="22"/>
        </w:rPr>
        <w:t>and</w:t>
      </w:r>
      <w:r>
        <w:rPr>
          <w:i/>
          <w:spacing w:val="-3"/>
          <w:w w:val="90"/>
          <w:sz w:val="22"/>
        </w:rPr>
        <w:t> </w:t>
      </w:r>
      <w:r>
        <w:rPr>
          <w:i/>
          <w:w w:val="90"/>
          <w:sz w:val="22"/>
        </w:rPr>
        <w:t>the </w:t>
      </w:r>
      <w:r>
        <w:rPr>
          <w:i/>
          <w:spacing w:val="-6"/>
          <w:sz w:val="22"/>
        </w:rPr>
        <w:t>program</w:t>
      </w:r>
      <w:r>
        <w:rPr>
          <w:i/>
          <w:spacing w:val="-8"/>
          <w:sz w:val="22"/>
        </w:rPr>
        <w:t> </w:t>
      </w:r>
      <w:r>
        <w:rPr>
          <w:i/>
          <w:spacing w:val="-6"/>
          <w:sz w:val="22"/>
        </w:rPr>
        <w:t>should</w:t>
      </w:r>
      <w:r>
        <w:rPr>
          <w:i/>
          <w:spacing w:val="-8"/>
          <w:sz w:val="22"/>
        </w:rPr>
        <w:t> </w:t>
      </w:r>
      <w:r>
        <w:rPr>
          <w:i/>
          <w:spacing w:val="-6"/>
          <w:sz w:val="22"/>
        </w:rPr>
        <w:t>be</w:t>
      </w:r>
      <w:r>
        <w:rPr>
          <w:i/>
          <w:spacing w:val="-8"/>
          <w:sz w:val="22"/>
        </w:rPr>
        <w:t> </w:t>
      </w:r>
      <w:r>
        <w:rPr>
          <w:i/>
          <w:spacing w:val="-6"/>
          <w:sz w:val="22"/>
        </w:rPr>
        <w:t>replicated</w:t>
      </w:r>
      <w:r>
        <w:rPr>
          <w:i/>
          <w:spacing w:val="-7"/>
          <w:sz w:val="22"/>
        </w:rPr>
        <w:t> </w:t>
      </w:r>
      <w:r>
        <w:rPr>
          <w:i/>
          <w:spacing w:val="-6"/>
          <w:sz w:val="22"/>
        </w:rPr>
        <w:t>across</w:t>
      </w:r>
      <w:r>
        <w:rPr>
          <w:i/>
          <w:spacing w:val="-8"/>
          <w:sz w:val="22"/>
        </w:rPr>
        <w:t> </w:t>
      </w:r>
      <w:r>
        <w:rPr>
          <w:i/>
          <w:spacing w:val="-6"/>
          <w:sz w:val="22"/>
        </w:rPr>
        <w:t>India.</w:t>
      </w:r>
      <w:r>
        <w:rPr>
          <w:i/>
          <w:spacing w:val="-8"/>
          <w:sz w:val="22"/>
        </w:rPr>
        <w:t> </w:t>
      </w:r>
      <w:r>
        <w:rPr>
          <w:spacing w:val="-6"/>
          <w:sz w:val="22"/>
        </w:rPr>
        <w:t>The</w:t>
      </w:r>
      <w:r>
        <w:rPr>
          <w:spacing w:val="-8"/>
          <w:sz w:val="22"/>
        </w:rPr>
        <w:t> </w:t>
      </w:r>
      <w:r>
        <w:rPr>
          <w:spacing w:val="-6"/>
          <w:sz w:val="22"/>
        </w:rPr>
        <w:t>Agastya </w:t>
      </w:r>
      <w:r>
        <w:rPr>
          <w:spacing w:val="-2"/>
          <w:sz w:val="22"/>
        </w:rPr>
        <w:t>International</w:t>
      </w:r>
      <w:r>
        <w:rPr>
          <w:spacing w:val="-9"/>
          <w:sz w:val="22"/>
        </w:rPr>
        <w:t> </w:t>
      </w:r>
      <w:r>
        <w:rPr>
          <w:spacing w:val="-2"/>
          <w:sz w:val="22"/>
        </w:rPr>
        <w:t>Found</w:t>
      </w:r>
      <w:r>
        <w:rPr>
          <w:b/>
          <w:spacing w:val="-2"/>
          <w:sz w:val="22"/>
        </w:rPr>
        <w:t>atio</w:t>
      </w:r>
      <w:r>
        <w:rPr>
          <w:spacing w:val="-2"/>
          <w:sz w:val="22"/>
        </w:rPr>
        <w:t>n’s</w:t>
      </w:r>
      <w:r>
        <w:rPr>
          <w:spacing w:val="-9"/>
          <w:sz w:val="22"/>
        </w:rPr>
        <w:t> </w:t>
      </w:r>
      <w:r>
        <w:rPr>
          <w:spacing w:val="-2"/>
          <w:sz w:val="22"/>
        </w:rPr>
        <w:t>mobile</w:t>
      </w:r>
      <w:r>
        <w:rPr>
          <w:spacing w:val="-9"/>
          <w:sz w:val="22"/>
        </w:rPr>
        <w:t> </w:t>
      </w:r>
      <w:r>
        <w:rPr>
          <w:spacing w:val="-2"/>
          <w:sz w:val="22"/>
        </w:rPr>
        <w:t>lab</w:t>
      </w:r>
      <w:r>
        <w:rPr>
          <w:spacing w:val="-9"/>
          <w:sz w:val="22"/>
        </w:rPr>
        <w:t> </w:t>
      </w:r>
      <w:r>
        <w:rPr>
          <w:spacing w:val="-2"/>
          <w:sz w:val="22"/>
        </w:rPr>
        <w:t>program</w:t>
      </w:r>
      <w:r>
        <w:rPr>
          <w:spacing w:val="-9"/>
          <w:sz w:val="22"/>
        </w:rPr>
        <w:t> </w:t>
      </w:r>
      <w:r>
        <w:rPr>
          <w:spacing w:val="-2"/>
          <w:sz w:val="22"/>
        </w:rPr>
        <w:t>should </w:t>
      </w:r>
      <w:r>
        <w:rPr>
          <w:sz w:val="22"/>
        </w:rPr>
        <w:t>be</w:t>
      </w:r>
      <w:r>
        <w:rPr>
          <w:spacing w:val="38"/>
          <w:sz w:val="22"/>
        </w:rPr>
        <w:t> </w:t>
      </w:r>
      <w:r>
        <w:rPr>
          <w:sz w:val="22"/>
        </w:rPr>
        <w:t>studied</w:t>
      </w:r>
      <w:r>
        <w:rPr>
          <w:spacing w:val="38"/>
          <w:sz w:val="22"/>
        </w:rPr>
        <w:t> </w:t>
      </w:r>
      <w:r>
        <w:rPr>
          <w:sz w:val="22"/>
        </w:rPr>
        <w:t>in</w:t>
      </w:r>
      <w:r>
        <w:rPr>
          <w:spacing w:val="38"/>
          <w:sz w:val="22"/>
        </w:rPr>
        <w:t> </w:t>
      </w:r>
      <w:r>
        <w:rPr>
          <w:sz w:val="22"/>
        </w:rPr>
        <w:t>this</w:t>
      </w:r>
      <w:r>
        <w:rPr>
          <w:spacing w:val="38"/>
          <w:sz w:val="22"/>
        </w:rPr>
        <w:t> </w:t>
      </w:r>
      <w:r>
        <w:rPr>
          <w:sz w:val="22"/>
        </w:rPr>
        <w:t>regard.</w:t>
      </w:r>
      <w:r>
        <w:rPr>
          <w:spacing w:val="38"/>
          <w:sz w:val="22"/>
        </w:rPr>
        <w:t> </w:t>
      </w:r>
      <w:r>
        <w:rPr>
          <w:sz w:val="22"/>
        </w:rPr>
        <w:t>A</w:t>
      </w:r>
      <w:r>
        <w:rPr>
          <w:spacing w:val="39"/>
          <w:sz w:val="22"/>
        </w:rPr>
        <w:t> </w:t>
      </w:r>
      <w:r>
        <w:rPr>
          <w:sz w:val="22"/>
        </w:rPr>
        <w:t>suitable</w:t>
      </w:r>
      <w:r>
        <w:rPr>
          <w:spacing w:val="38"/>
          <w:sz w:val="22"/>
        </w:rPr>
        <w:t> </w:t>
      </w:r>
      <w:r>
        <w:rPr>
          <w:sz w:val="22"/>
        </w:rPr>
        <w:t>public</w:t>
      </w:r>
      <w:r>
        <w:rPr>
          <w:spacing w:val="38"/>
          <w:sz w:val="22"/>
        </w:rPr>
        <w:t> </w:t>
      </w:r>
      <w:r>
        <w:rPr>
          <w:spacing w:val="-2"/>
          <w:sz w:val="22"/>
        </w:rPr>
        <w:t>private</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080"/>
        <w:jc w:val="both"/>
      </w:pPr>
      <w:r>
        <w:rPr>
          <w:spacing w:val="-2"/>
        </w:rPr>
        <w:t>partnership</w:t>
      </w:r>
      <w:r>
        <w:rPr>
          <w:spacing w:val="-10"/>
        </w:rPr>
        <w:t> </w:t>
      </w:r>
      <w:r>
        <w:rPr>
          <w:spacing w:val="-2"/>
        </w:rPr>
        <w:t>mode</w:t>
      </w:r>
      <w:r>
        <w:rPr>
          <w:spacing w:val="-10"/>
        </w:rPr>
        <w:t> </w:t>
      </w:r>
      <w:r>
        <w:rPr>
          <w:spacing w:val="-2"/>
        </w:rPr>
        <w:t>can</w:t>
      </w:r>
      <w:r>
        <w:rPr>
          <w:spacing w:val="-10"/>
        </w:rPr>
        <w:t> </w:t>
      </w:r>
      <w:r>
        <w:rPr>
          <w:spacing w:val="-2"/>
        </w:rPr>
        <w:t>be</w:t>
      </w:r>
      <w:r>
        <w:rPr>
          <w:spacing w:val="-10"/>
        </w:rPr>
        <w:t> </w:t>
      </w:r>
      <w:r>
        <w:rPr>
          <w:spacing w:val="-2"/>
        </w:rPr>
        <w:t>worked</w:t>
      </w:r>
      <w:r>
        <w:rPr>
          <w:spacing w:val="-10"/>
        </w:rPr>
        <w:t> </w:t>
      </w:r>
      <w:r>
        <w:rPr>
          <w:spacing w:val="-2"/>
        </w:rPr>
        <w:t>out</w:t>
      </w:r>
      <w:r>
        <w:rPr>
          <w:spacing w:val="-10"/>
        </w:rPr>
        <w:t> </w:t>
      </w:r>
      <w:r>
        <w:rPr>
          <w:spacing w:val="-2"/>
        </w:rPr>
        <w:t>where</w:t>
      </w:r>
      <w:r>
        <w:rPr>
          <w:spacing w:val="-10"/>
        </w:rPr>
        <w:t> </w:t>
      </w:r>
      <w:r>
        <w:rPr>
          <w:spacing w:val="-2"/>
        </w:rPr>
        <w:t>a</w:t>
      </w:r>
      <w:r>
        <w:rPr>
          <w:spacing w:val="-10"/>
        </w:rPr>
        <w:t> </w:t>
      </w:r>
      <w:r>
        <w:rPr>
          <w:spacing w:val="-2"/>
        </w:rPr>
        <w:t>company can</w:t>
      </w:r>
      <w:r>
        <w:rPr>
          <w:spacing w:val="-12"/>
        </w:rPr>
        <w:t> </w:t>
      </w:r>
      <w:r>
        <w:rPr>
          <w:spacing w:val="-2"/>
        </w:rPr>
        <w:t>sponsor</w:t>
      </w:r>
      <w:r>
        <w:rPr>
          <w:spacing w:val="-12"/>
        </w:rPr>
        <w:t> </w:t>
      </w:r>
      <w:r>
        <w:rPr>
          <w:spacing w:val="-2"/>
        </w:rPr>
        <w:t>the</w:t>
      </w:r>
      <w:r>
        <w:rPr>
          <w:spacing w:val="-12"/>
        </w:rPr>
        <w:t> </w:t>
      </w:r>
      <w:r>
        <w:rPr>
          <w:spacing w:val="-2"/>
        </w:rPr>
        <w:t>capital</w:t>
      </w:r>
      <w:r>
        <w:rPr>
          <w:spacing w:val="-11"/>
        </w:rPr>
        <w:t> </w:t>
      </w:r>
      <w:r>
        <w:rPr>
          <w:spacing w:val="-2"/>
        </w:rPr>
        <w:t>cost</w:t>
      </w:r>
      <w:r>
        <w:rPr>
          <w:spacing w:val="-12"/>
        </w:rPr>
        <w:t> </w:t>
      </w:r>
      <w:r>
        <w:rPr>
          <w:spacing w:val="-2"/>
        </w:rPr>
        <w:t>of</w:t>
      </w:r>
      <w:r>
        <w:rPr>
          <w:spacing w:val="-12"/>
        </w:rPr>
        <w:t> </w:t>
      </w:r>
      <w:r>
        <w:rPr>
          <w:spacing w:val="-2"/>
        </w:rPr>
        <w:t>the</w:t>
      </w:r>
      <w:r>
        <w:rPr>
          <w:spacing w:val="-12"/>
        </w:rPr>
        <w:t> </w:t>
      </w:r>
      <w:r>
        <w:rPr>
          <w:spacing w:val="-2"/>
        </w:rPr>
        <w:t>mobile</w:t>
      </w:r>
      <w:r>
        <w:rPr>
          <w:spacing w:val="-11"/>
        </w:rPr>
        <w:t> </w:t>
      </w:r>
      <w:r>
        <w:rPr>
          <w:spacing w:val="-2"/>
        </w:rPr>
        <w:t>labs</w:t>
      </w:r>
      <w:r>
        <w:rPr>
          <w:spacing w:val="-12"/>
        </w:rPr>
        <w:t> </w:t>
      </w:r>
      <w:r>
        <w:rPr>
          <w:spacing w:val="-2"/>
        </w:rPr>
        <w:t>in</w:t>
      </w:r>
      <w:r>
        <w:rPr>
          <w:spacing w:val="-12"/>
        </w:rPr>
        <w:t> </w:t>
      </w:r>
      <w:r>
        <w:rPr>
          <w:spacing w:val="-2"/>
        </w:rPr>
        <w:t>return </w:t>
      </w:r>
      <w:r>
        <w:rPr/>
        <w:t>for some minimal publicity like logo etc. on the van. </w:t>
      </w:r>
      <w:r>
        <w:rPr>
          <w:spacing w:val="-2"/>
        </w:rPr>
        <w:t>The</w:t>
      </w:r>
      <w:r>
        <w:rPr>
          <w:spacing w:val="-9"/>
        </w:rPr>
        <w:t> </w:t>
      </w:r>
      <w:r>
        <w:rPr>
          <w:spacing w:val="-2"/>
        </w:rPr>
        <w:t>Government</w:t>
      </w:r>
      <w:r>
        <w:rPr>
          <w:spacing w:val="-9"/>
        </w:rPr>
        <w:t> </w:t>
      </w:r>
      <w:r>
        <w:rPr>
          <w:spacing w:val="-2"/>
        </w:rPr>
        <w:t>under</w:t>
      </w:r>
      <w:r>
        <w:rPr>
          <w:spacing w:val="-9"/>
        </w:rPr>
        <w:t> </w:t>
      </w:r>
      <w:r>
        <w:rPr>
          <w:spacing w:val="-2"/>
        </w:rPr>
        <w:t>its</w:t>
      </w:r>
      <w:r>
        <w:rPr>
          <w:spacing w:val="-9"/>
        </w:rPr>
        <w:t> </w:t>
      </w:r>
      <w:r>
        <w:rPr>
          <w:spacing w:val="-2"/>
        </w:rPr>
        <w:t>Sarva</w:t>
      </w:r>
      <w:r>
        <w:rPr>
          <w:spacing w:val="-9"/>
        </w:rPr>
        <w:t> </w:t>
      </w:r>
      <w:r>
        <w:rPr>
          <w:spacing w:val="-2"/>
        </w:rPr>
        <w:t>Shiksha</w:t>
      </w:r>
      <w:r>
        <w:rPr>
          <w:spacing w:val="-9"/>
        </w:rPr>
        <w:t> </w:t>
      </w:r>
      <w:r>
        <w:rPr>
          <w:spacing w:val="-2"/>
        </w:rPr>
        <w:t>Abhiyan</w:t>
      </w:r>
      <w:r>
        <w:rPr>
          <w:spacing w:val="-9"/>
        </w:rPr>
        <w:t> </w:t>
      </w:r>
      <w:r>
        <w:rPr>
          <w:spacing w:val="-2"/>
        </w:rPr>
        <w:t>can </w:t>
      </w:r>
      <w:r>
        <w:rPr/>
        <w:t>sponsor the operating costs of mobile labs to reach rural schools. Such a model is running successfully in many districts of Karnataka. Apart from mobile science labs like in vans, such labs can also be put in coaches</w:t>
      </w:r>
      <w:r>
        <w:rPr>
          <w:spacing w:val="-7"/>
        </w:rPr>
        <w:t> </w:t>
      </w:r>
      <w:r>
        <w:rPr/>
        <w:t>of</w:t>
      </w:r>
      <w:r>
        <w:rPr>
          <w:spacing w:val="-7"/>
        </w:rPr>
        <w:t> </w:t>
      </w:r>
      <w:r>
        <w:rPr/>
        <w:t>passenger</w:t>
      </w:r>
      <w:r>
        <w:rPr>
          <w:spacing w:val="-7"/>
        </w:rPr>
        <w:t> </w:t>
      </w:r>
      <w:r>
        <w:rPr/>
        <w:t>trains</w:t>
      </w:r>
      <w:r>
        <w:rPr>
          <w:spacing w:val="-7"/>
        </w:rPr>
        <w:t> </w:t>
      </w:r>
      <w:r>
        <w:rPr/>
        <w:t>run</w:t>
      </w:r>
      <w:r>
        <w:rPr>
          <w:spacing w:val="-7"/>
        </w:rPr>
        <w:t> </w:t>
      </w:r>
      <w:r>
        <w:rPr/>
        <w:t>in</w:t>
      </w:r>
      <w:r>
        <w:rPr>
          <w:spacing w:val="-7"/>
        </w:rPr>
        <w:t> </w:t>
      </w:r>
      <w:r>
        <w:rPr/>
        <w:t>the</w:t>
      </w:r>
      <w:r>
        <w:rPr>
          <w:spacing w:val="-7"/>
        </w:rPr>
        <w:t> </w:t>
      </w:r>
      <w:r>
        <w:rPr/>
        <w:t>interior</w:t>
      </w:r>
      <w:r>
        <w:rPr>
          <w:spacing w:val="-7"/>
        </w:rPr>
        <w:t> </w:t>
      </w:r>
      <w:r>
        <w:rPr/>
        <w:t>regions </w:t>
      </w:r>
      <w:r>
        <w:rPr>
          <w:spacing w:val="-2"/>
        </w:rPr>
        <w:t>of</w:t>
      </w:r>
      <w:r>
        <w:rPr>
          <w:spacing w:val="-12"/>
        </w:rPr>
        <w:t> </w:t>
      </w:r>
      <w:r>
        <w:rPr>
          <w:spacing w:val="-2"/>
        </w:rPr>
        <w:t>the</w:t>
      </w:r>
      <w:r>
        <w:rPr>
          <w:spacing w:val="-12"/>
        </w:rPr>
        <w:t> </w:t>
      </w:r>
      <w:r>
        <w:rPr>
          <w:spacing w:val="-2"/>
        </w:rPr>
        <w:t>country</w:t>
      </w:r>
      <w:r>
        <w:rPr>
          <w:spacing w:val="-12"/>
        </w:rPr>
        <w:t> </w:t>
      </w:r>
      <w:r>
        <w:rPr>
          <w:spacing w:val="-2"/>
        </w:rPr>
        <w:t>by</w:t>
      </w:r>
      <w:r>
        <w:rPr>
          <w:spacing w:val="-11"/>
        </w:rPr>
        <w:t> </w:t>
      </w:r>
      <w:r>
        <w:rPr>
          <w:spacing w:val="-2"/>
        </w:rPr>
        <w:t>Indian</w:t>
      </w:r>
      <w:r>
        <w:rPr>
          <w:spacing w:val="-12"/>
        </w:rPr>
        <w:t> </w:t>
      </w:r>
      <w:r>
        <w:rPr>
          <w:spacing w:val="-2"/>
        </w:rPr>
        <w:t>Railways</w:t>
      </w:r>
      <w:r>
        <w:rPr>
          <w:spacing w:val="-12"/>
        </w:rPr>
        <w:t> </w:t>
      </w:r>
      <w:r>
        <w:rPr>
          <w:spacing w:val="-2"/>
        </w:rPr>
        <w:t>and</w:t>
      </w:r>
      <w:r>
        <w:rPr>
          <w:spacing w:val="-12"/>
        </w:rPr>
        <w:t> </w:t>
      </w:r>
      <w:r>
        <w:rPr>
          <w:spacing w:val="-2"/>
        </w:rPr>
        <w:t>in</w:t>
      </w:r>
      <w:r>
        <w:rPr>
          <w:spacing w:val="-11"/>
        </w:rPr>
        <w:t> </w:t>
      </w:r>
      <w:r>
        <w:rPr>
          <w:spacing w:val="-2"/>
        </w:rPr>
        <w:t>buses</w:t>
      </w:r>
      <w:r>
        <w:rPr>
          <w:spacing w:val="-12"/>
        </w:rPr>
        <w:t> </w:t>
      </w:r>
      <w:r>
        <w:rPr>
          <w:spacing w:val="-2"/>
        </w:rPr>
        <w:t>of</w:t>
      </w:r>
      <w:r>
        <w:rPr>
          <w:spacing w:val="-12"/>
        </w:rPr>
        <w:t> </w:t>
      </w:r>
      <w:r>
        <w:rPr>
          <w:spacing w:val="-2"/>
        </w:rPr>
        <w:t>State </w:t>
      </w:r>
      <w:r>
        <w:rPr/>
        <w:t>Transport Corporations.</w:t>
      </w:r>
    </w:p>
    <w:p>
      <w:pPr>
        <w:pStyle w:val="BodyText"/>
        <w:spacing w:before="18"/>
      </w:pPr>
    </w:p>
    <w:p>
      <w:pPr>
        <w:pStyle w:val="BodyText"/>
        <w:spacing w:line="266" w:lineRule="auto"/>
        <w:ind w:left="1079"/>
        <w:jc w:val="both"/>
      </w:pPr>
      <w:r>
        <w:rPr/>
        <w:t>Mobile science libraries similar to mobile science laboratories</w:t>
      </w:r>
      <w:r>
        <w:rPr>
          <w:spacing w:val="-9"/>
        </w:rPr>
        <w:t> </w:t>
      </w:r>
      <w:r>
        <w:rPr/>
        <w:t>can</w:t>
      </w:r>
      <w:r>
        <w:rPr>
          <w:spacing w:val="-9"/>
        </w:rPr>
        <w:t> </w:t>
      </w:r>
      <w:r>
        <w:rPr/>
        <w:t>also</w:t>
      </w:r>
      <w:r>
        <w:rPr>
          <w:spacing w:val="-9"/>
        </w:rPr>
        <w:t> </w:t>
      </w:r>
      <w:r>
        <w:rPr/>
        <w:t>be</w:t>
      </w:r>
      <w:r>
        <w:rPr>
          <w:spacing w:val="-9"/>
        </w:rPr>
        <w:t> </w:t>
      </w:r>
      <w:r>
        <w:rPr/>
        <w:t>promoted.</w:t>
      </w:r>
      <w:r>
        <w:rPr>
          <w:spacing w:val="-14"/>
        </w:rPr>
        <w:t> </w:t>
      </w:r>
      <w:r>
        <w:rPr/>
        <w:t>These</w:t>
      </w:r>
      <w:r>
        <w:rPr>
          <w:spacing w:val="-8"/>
        </w:rPr>
        <w:t> </w:t>
      </w:r>
      <w:r>
        <w:rPr/>
        <w:t>should</w:t>
      </w:r>
      <w:r>
        <w:rPr>
          <w:spacing w:val="-9"/>
        </w:rPr>
        <w:t> </w:t>
      </w:r>
      <w:r>
        <w:rPr/>
        <w:t>have child</w:t>
      </w:r>
      <w:r>
        <w:rPr>
          <w:spacing w:val="-11"/>
        </w:rPr>
        <w:t> </w:t>
      </w:r>
      <w:r>
        <w:rPr/>
        <w:t>friendly</w:t>
      </w:r>
      <w:r>
        <w:rPr>
          <w:spacing w:val="-11"/>
        </w:rPr>
        <w:t> </w:t>
      </w:r>
      <w:r>
        <w:rPr/>
        <w:t>volumes</w:t>
      </w:r>
      <w:r>
        <w:rPr>
          <w:spacing w:val="-11"/>
        </w:rPr>
        <w:t> </w:t>
      </w:r>
      <w:r>
        <w:rPr/>
        <w:t>on</w:t>
      </w:r>
      <w:r>
        <w:rPr>
          <w:spacing w:val="-11"/>
        </w:rPr>
        <w:t> </w:t>
      </w:r>
      <w:r>
        <w:rPr/>
        <w:t>interesting</w:t>
      </w:r>
      <w:r>
        <w:rPr>
          <w:spacing w:val="-11"/>
        </w:rPr>
        <w:t> </w:t>
      </w:r>
      <w:r>
        <w:rPr/>
        <w:t>topics</w:t>
      </w:r>
      <w:r>
        <w:rPr>
          <w:spacing w:val="-11"/>
        </w:rPr>
        <w:t> </w:t>
      </w:r>
      <w:r>
        <w:rPr/>
        <w:t>including </w:t>
      </w:r>
      <w:r>
        <w:rPr>
          <w:spacing w:val="-4"/>
        </w:rPr>
        <w:t>science</w:t>
      </w:r>
      <w:r>
        <w:rPr>
          <w:spacing w:val="-10"/>
        </w:rPr>
        <w:t> </w:t>
      </w:r>
      <w:r>
        <w:rPr>
          <w:spacing w:val="-4"/>
        </w:rPr>
        <w:t>fiction.</w:t>
      </w:r>
      <w:r>
        <w:rPr>
          <w:spacing w:val="-10"/>
        </w:rPr>
        <w:t> </w:t>
      </w:r>
      <w:r>
        <w:rPr>
          <w:spacing w:val="-4"/>
        </w:rPr>
        <w:t>Alternatively,</w:t>
      </w:r>
      <w:r>
        <w:rPr>
          <w:spacing w:val="-10"/>
        </w:rPr>
        <w:t> </w:t>
      </w:r>
      <w:r>
        <w:rPr>
          <w:spacing w:val="-4"/>
        </w:rPr>
        <w:t>children’s/public</w:t>
      </w:r>
      <w:r>
        <w:rPr>
          <w:spacing w:val="-9"/>
        </w:rPr>
        <w:t> </w:t>
      </w:r>
      <w:r>
        <w:rPr>
          <w:spacing w:val="-4"/>
        </w:rPr>
        <w:t>libraries </w:t>
      </w:r>
      <w:r>
        <w:rPr>
          <w:spacing w:val="-8"/>
        </w:rPr>
        <w:t>should</w:t>
      </w:r>
      <w:r>
        <w:rPr>
          <w:spacing w:val="-5"/>
        </w:rPr>
        <w:t> </w:t>
      </w:r>
      <w:r>
        <w:rPr>
          <w:spacing w:val="-8"/>
        </w:rPr>
        <w:t>be</w:t>
      </w:r>
      <w:r>
        <w:rPr>
          <w:spacing w:val="-5"/>
        </w:rPr>
        <w:t> </w:t>
      </w:r>
      <w:r>
        <w:rPr>
          <w:spacing w:val="-8"/>
        </w:rPr>
        <w:t>opened</w:t>
      </w:r>
      <w:r>
        <w:rPr>
          <w:spacing w:val="-5"/>
        </w:rPr>
        <w:t> </w:t>
      </w:r>
      <w:r>
        <w:rPr>
          <w:spacing w:val="-8"/>
        </w:rPr>
        <w:t>all</w:t>
      </w:r>
      <w:r>
        <w:rPr>
          <w:spacing w:val="-5"/>
        </w:rPr>
        <w:t> </w:t>
      </w:r>
      <w:r>
        <w:rPr>
          <w:spacing w:val="-8"/>
        </w:rPr>
        <w:t>over</w:t>
      </w:r>
      <w:r>
        <w:rPr>
          <w:spacing w:val="-5"/>
        </w:rPr>
        <w:t> </w:t>
      </w:r>
      <w:r>
        <w:rPr>
          <w:spacing w:val="-8"/>
        </w:rPr>
        <w:t>the</w:t>
      </w:r>
      <w:r>
        <w:rPr>
          <w:spacing w:val="-5"/>
        </w:rPr>
        <w:t> </w:t>
      </w:r>
      <w:r>
        <w:rPr>
          <w:spacing w:val="-8"/>
        </w:rPr>
        <w:t>country</w:t>
      </w:r>
      <w:r>
        <w:rPr>
          <w:spacing w:val="-5"/>
        </w:rPr>
        <w:t> </w:t>
      </w:r>
      <w:r>
        <w:rPr>
          <w:spacing w:val="-8"/>
        </w:rPr>
        <w:t>by</w:t>
      </w:r>
      <w:r>
        <w:rPr>
          <w:spacing w:val="-5"/>
        </w:rPr>
        <w:t> </w:t>
      </w:r>
      <w:r>
        <w:rPr>
          <w:spacing w:val="-8"/>
        </w:rPr>
        <w:t>the</w:t>
      </w:r>
      <w:r>
        <w:rPr>
          <w:spacing w:val="-5"/>
        </w:rPr>
        <w:t> </w:t>
      </w:r>
      <w:r>
        <w:rPr>
          <w:spacing w:val="-8"/>
        </w:rPr>
        <w:t>government. </w:t>
      </w:r>
      <w:r>
        <w:rPr>
          <w:spacing w:val="-10"/>
        </w:rPr>
        <w:t>These</w:t>
      </w:r>
      <w:r>
        <w:rPr>
          <w:spacing w:val="-2"/>
        </w:rPr>
        <w:t> </w:t>
      </w:r>
      <w:r>
        <w:rPr>
          <w:spacing w:val="-10"/>
        </w:rPr>
        <w:t>could</w:t>
      </w:r>
      <w:r>
        <w:rPr>
          <w:spacing w:val="-2"/>
        </w:rPr>
        <w:t> </w:t>
      </w:r>
      <w:r>
        <w:rPr>
          <w:spacing w:val="-10"/>
        </w:rPr>
        <w:t>lend</w:t>
      </w:r>
      <w:r>
        <w:rPr>
          <w:spacing w:val="-2"/>
        </w:rPr>
        <w:t> </w:t>
      </w:r>
      <w:r>
        <w:rPr>
          <w:spacing w:val="-10"/>
        </w:rPr>
        <w:t>out</w:t>
      </w:r>
      <w:r>
        <w:rPr>
          <w:spacing w:val="-2"/>
        </w:rPr>
        <w:t> </w:t>
      </w:r>
      <w:r>
        <w:rPr>
          <w:spacing w:val="-10"/>
        </w:rPr>
        <w:t>books</w:t>
      </w:r>
      <w:r>
        <w:rPr>
          <w:spacing w:val="-2"/>
        </w:rPr>
        <w:t> </w:t>
      </w:r>
      <w:r>
        <w:rPr>
          <w:spacing w:val="-10"/>
        </w:rPr>
        <w:t>to</w:t>
      </w:r>
      <w:r>
        <w:rPr>
          <w:spacing w:val="-2"/>
        </w:rPr>
        <w:t> </w:t>
      </w:r>
      <w:r>
        <w:rPr>
          <w:spacing w:val="-10"/>
        </w:rPr>
        <w:t>schools</w:t>
      </w:r>
      <w:r>
        <w:rPr>
          <w:spacing w:val="-2"/>
        </w:rPr>
        <w:t> </w:t>
      </w:r>
      <w:r>
        <w:rPr>
          <w:spacing w:val="-10"/>
        </w:rPr>
        <w:t>and</w:t>
      </w:r>
      <w:r>
        <w:rPr>
          <w:spacing w:val="-2"/>
        </w:rPr>
        <w:t> </w:t>
      </w:r>
      <w:r>
        <w:rPr>
          <w:spacing w:val="-10"/>
        </w:rPr>
        <w:t>other</w:t>
      </w:r>
      <w:r>
        <w:rPr>
          <w:spacing w:val="-2"/>
        </w:rPr>
        <w:t> </w:t>
      </w:r>
      <w:r>
        <w:rPr>
          <w:spacing w:val="-10"/>
        </w:rPr>
        <w:t>registered </w:t>
      </w:r>
      <w:r>
        <w:rPr>
          <w:spacing w:val="-4"/>
        </w:rPr>
        <w:t>institutions</w:t>
      </w:r>
      <w:r>
        <w:rPr>
          <w:spacing w:val="-10"/>
        </w:rPr>
        <w:t> </w:t>
      </w:r>
      <w:r>
        <w:rPr>
          <w:spacing w:val="-4"/>
        </w:rPr>
        <w:t>in</w:t>
      </w:r>
      <w:r>
        <w:rPr>
          <w:spacing w:val="-9"/>
        </w:rPr>
        <w:t> </w:t>
      </w:r>
      <w:r>
        <w:rPr>
          <w:spacing w:val="-4"/>
        </w:rPr>
        <w:t>bulk,</w:t>
      </w:r>
      <w:r>
        <w:rPr>
          <w:spacing w:val="-10"/>
        </w:rPr>
        <w:t> </w:t>
      </w:r>
      <w:r>
        <w:rPr>
          <w:spacing w:val="-4"/>
        </w:rPr>
        <w:t>say</w:t>
      </w:r>
      <w:r>
        <w:rPr>
          <w:spacing w:val="-9"/>
        </w:rPr>
        <w:t> </w:t>
      </w:r>
      <w:r>
        <w:rPr>
          <w:spacing w:val="-4"/>
        </w:rPr>
        <w:t>100</w:t>
      </w:r>
      <w:r>
        <w:rPr>
          <w:spacing w:val="-10"/>
        </w:rPr>
        <w:t> </w:t>
      </w:r>
      <w:r>
        <w:rPr>
          <w:spacing w:val="-4"/>
        </w:rPr>
        <w:t>or</w:t>
      </w:r>
      <w:r>
        <w:rPr>
          <w:spacing w:val="-9"/>
        </w:rPr>
        <w:t> </w:t>
      </w:r>
      <w:r>
        <w:rPr>
          <w:spacing w:val="-4"/>
        </w:rPr>
        <w:t>more</w:t>
      </w:r>
      <w:r>
        <w:rPr>
          <w:spacing w:val="-10"/>
        </w:rPr>
        <w:t> </w:t>
      </w:r>
      <w:r>
        <w:rPr>
          <w:spacing w:val="-4"/>
        </w:rPr>
        <w:t>books</w:t>
      </w:r>
      <w:r>
        <w:rPr>
          <w:spacing w:val="-9"/>
        </w:rPr>
        <w:t> </w:t>
      </w:r>
      <w:r>
        <w:rPr>
          <w:spacing w:val="-4"/>
        </w:rPr>
        <w:t>at</w:t>
      </w:r>
      <w:r>
        <w:rPr>
          <w:spacing w:val="-10"/>
        </w:rPr>
        <w:t> </w:t>
      </w:r>
      <w:r>
        <w:rPr>
          <w:spacing w:val="-4"/>
        </w:rPr>
        <w:t>a</w:t>
      </w:r>
      <w:r>
        <w:rPr>
          <w:spacing w:val="-9"/>
        </w:rPr>
        <w:t> </w:t>
      </w:r>
      <w:r>
        <w:rPr>
          <w:spacing w:val="-4"/>
        </w:rPr>
        <w:t>time</w:t>
      </w:r>
      <w:r>
        <w:rPr>
          <w:spacing w:val="-10"/>
        </w:rPr>
        <w:t> </w:t>
      </w:r>
      <w:r>
        <w:rPr>
          <w:spacing w:val="-4"/>
        </w:rPr>
        <w:t>for, </w:t>
      </w:r>
      <w:r>
        <w:rPr>
          <w:spacing w:val="-2"/>
        </w:rPr>
        <w:t>say</w:t>
      </w:r>
      <w:r>
        <w:rPr>
          <w:spacing w:val="-12"/>
        </w:rPr>
        <w:t> </w:t>
      </w:r>
      <w:r>
        <w:rPr>
          <w:spacing w:val="-2"/>
        </w:rPr>
        <w:t>a</w:t>
      </w:r>
      <w:r>
        <w:rPr>
          <w:spacing w:val="-12"/>
        </w:rPr>
        <w:t> </w:t>
      </w:r>
      <w:r>
        <w:rPr>
          <w:spacing w:val="-2"/>
        </w:rPr>
        <w:t>month</w:t>
      </w:r>
      <w:r>
        <w:rPr>
          <w:spacing w:val="-12"/>
        </w:rPr>
        <w:t> </w:t>
      </w:r>
      <w:r>
        <w:rPr>
          <w:spacing w:val="-2"/>
        </w:rPr>
        <w:t>–</w:t>
      </w:r>
      <w:r>
        <w:rPr>
          <w:spacing w:val="-11"/>
        </w:rPr>
        <w:t> </w:t>
      </w:r>
      <w:r>
        <w:rPr>
          <w:spacing w:val="-2"/>
        </w:rPr>
        <w:t>this</w:t>
      </w:r>
      <w:r>
        <w:rPr>
          <w:spacing w:val="-12"/>
        </w:rPr>
        <w:t> </w:t>
      </w:r>
      <w:r>
        <w:rPr>
          <w:spacing w:val="-2"/>
        </w:rPr>
        <w:t>could</w:t>
      </w:r>
      <w:r>
        <w:rPr>
          <w:spacing w:val="-12"/>
        </w:rPr>
        <w:t> </w:t>
      </w:r>
      <w:r>
        <w:rPr>
          <w:spacing w:val="-2"/>
        </w:rPr>
        <w:t>be</w:t>
      </w:r>
      <w:r>
        <w:rPr>
          <w:spacing w:val="-12"/>
        </w:rPr>
        <w:t> </w:t>
      </w:r>
      <w:r>
        <w:rPr>
          <w:spacing w:val="-2"/>
        </w:rPr>
        <w:t>useful</w:t>
      </w:r>
      <w:r>
        <w:rPr>
          <w:spacing w:val="-11"/>
        </w:rPr>
        <w:t> </w:t>
      </w:r>
      <w:r>
        <w:rPr>
          <w:spacing w:val="-2"/>
        </w:rPr>
        <w:t>since</w:t>
      </w:r>
      <w:r>
        <w:rPr>
          <w:spacing w:val="-12"/>
        </w:rPr>
        <w:t> </w:t>
      </w:r>
      <w:r>
        <w:rPr>
          <w:spacing w:val="-2"/>
        </w:rPr>
        <w:t>expecting</w:t>
      </w:r>
      <w:r>
        <w:rPr>
          <w:spacing w:val="-12"/>
        </w:rPr>
        <w:t> </w:t>
      </w:r>
      <w:r>
        <w:rPr>
          <w:spacing w:val="-2"/>
        </w:rPr>
        <w:t>each </w:t>
      </w:r>
      <w:r>
        <w:rPr>
          <w:spacing w:val="-6"/>
        </w:rPr>
        <w:t>school to be able to identify and purchase suitable books is</w:t>
      </w:r>
      <w:r>
        <w:rPr>
          <w:spacing w:val="-10"/>
        </w:rPr>
        <w:t> </w:t>
      </w:r>
      <w:r>
        <w:rPr>
          <w:spacing w:val="-6"/>
        </w:rPr>
        <w:t>unreasonable.</w:t>
      </w:r>
      <w:r>
        <w:rPr>
          <w:spacing w:val="-8"/>
        </w:rPr>
        <w:t> </w:t>
      </w:r>
      <w:r>
        <w:rPr>
          <w:spacing w:val="-6"/>
        </w:rPr>
        <w:t>Good</w:t>
      </w:r>
      <w:r>
        <w:rPr>
          <w:spacing w:val="-8"/>
        </w:rPr>
        <w:t> </w:t>
      </w:r>
      <w:r>
        <w:rPr>
          <w:spacing w:val="-6"/>
        </w:rPr>
        <w:t>books</w:t>
      </w:r>
      <w:r>
        <w:rPr>
          <w:spacing w:val="-7"/>
        </w:rPr>
        <w:t> </w:t>
      </w:r>
      <w:r>
        <w:rPr>
          <w:spacing w:val="-6"/>
        </w:rPr>
        <w:t>could</w:t>
      </w:r>
      <w:r>
        <w:rPr>
          <w:spacing w:val="-8"/>
        </w:rPr>
        <w:t> </w:t>
      </w:r>
      <w:r>
        <w:rPr>
          <w:spacing w:val="-6"/>
        </w:rPr>
        <w:t>be</w:t>
      </w:r>
      <w:r>
        <w:rPr>
          <w:spacing w:val="-8"/>
        </w:rPr>
        <w:t> </w:t>
      </w:r>
      <w:r>
        <w:rPr>
          <w:spacing w:val="-6"/>
        </w:rPr>
        <w:t>identified</w:t>
      </w:r>
      <w:r>
        <w:rPr>
          <w:spacing w:val="-8"/>
        </w:rPr>
        <w:t> </w:t>
      </w:r>
      <w:r>
        <w:rPr>
          <w:spacing w:val="-6"/>
        </w:rPr>
        <w:t>for</w:t>
      </w:r>
      <w:r>
        <w:rPr>
          <w:spacing w:val="-7"/>
        </w:rPr>
        <w:t> </w:t>
      </w:r>
      <w:r>
        <w:rPr>
          <w:spacing w:val="-6"/>
        </w:rPr>
        <w:t>each </w:t>
      </w:r>
      <w:r>
        <w:rPr>
          <w:spacing w:val="-2"/>
        </w:rPr>
        <w:t>state</w:t>
      </w:r>
      <w:r>
        <w:rPr>
          <w:spacing w:val="-7"/>
        </w:rPr>
        <w:t> </w:t>
      </w:r>
      <w:r>
        <w:rPr>
          <w:spacing w:val="-2"/>
        </w:rPr>
        <w:t>and</w:t>
      </w:r>
      <w:r>
        <w:rPr>
          <w:spacing w:val="-7"/>
        </w:rPr>
        <w:t> </w:t>
      </w:r>
      <w:r>
        <w:rPr>
          <w:spacing w:val="-2"/>
        </w:rPr>
        <w:t>purchased</w:t>
      </w:r>
      <w:r>
        <w:rPr>
          <w:spacing w:val="-7"/>
        </w:rPr>
        <w:t> </w:t>
      </w:r>
      <w:r>
        <w:rPr>
          <w:spacing w:val="-2"/>
        </w:rPr>
        <w:t>in</w:t>
      </w:r>
      <w:r>
        <w:rPr>
          <w:spacing w:val="-7"/>
        </w:rPr>
        <w:t> </w:t>
      </w:r>
      <w:r>
        <w:rPr>
          <w:spacing w:val="-2"/>
        </w:rPr>
        <w:t>bulk</w:t>
      </w:r>
      <w:r>
        <w:rPr>
          <w:spacing w:val="-7"/>
        </w:rPr>
        <w:t> </w:t>
      </w:r>
      <w:r>
        <w:rPr>
          <w:spacing w:val="-2"/>
        </w:rPr>
        <w:t>for/by</w:t>
      </w:r>
      <w:r>
        <w:rPr>
          <w:spacing w:val="-7"/>
        </w:rPr>
        <w:t> </w:t>
      </w:r>
      <w:r>
        <w:rPr>
          <w:spacing w:val="-2"/>
        </w:rPr>
        <w:t>the</w:t>
      </w:r>
      <w:r>
        <w:rPr>
          <w:spacing w:val="-7"/>
        </w:rPr>
        <w:t> </w:t>
      </w:r>
      <w:r>
        <w:rPr>
          <w:spacing w:val="-2"/>
        </w:rPr>
        <w:t>public</w:t>
      </w:r>
      <w:r>
        <w:rPr>
          <w:spacing w:val="-7"/>
        </w:rPr>
        <w:t> </w:t>
      </w:r>
      <w:r>
        <w:rPr>
          <w:spacing w:val="-2"/>
        </w:rPr>
        <w:t>libraries.</w:t>
      </w:r>
    </w:p>
    <w:p>
      <w:pPr>
        <w:pStyle w:val="BodyText"/>
        <w:spacing w:before="18"/>
      </w:pPr>
    </w:p>
    <w:p>
      <w:pPr>
        <w:pStyle w:val="ListParagraph"/>
        <w:numPr>
          <w:ilvl w:val="1"/>
          <w:numId w:val="27"/>
        </w:numPr>
        <w:tabs>
          <w:tab w:pos="1443" w:val="left" w:leader="none"/>
        </w:tabs>
        <w:spacing w:line="266" w:lineRule="auto" w:before="1" w:after="0"/>
        <w:ind w:left="1079" w:right="0" w:firstLine="0"/>
        <w:jc w:val="both"/>
        <w:rPr>
          <w:sz w:val="22"/>
        </w:rPr>
      </w:pPr>
      <w:r>
        <w:rPr>
          <w:b/>
          <w:sz w:val="22"/>
        </w:rPr>
        <w:t>Local</w:t>
      </w:r>
      <w:r>
        <w:rPr>
          <w:b/>
          <w:spacing w:val="-14"/>
          <w:sz w:val="22"/>
        </w:rPr>
        <w:t> </w:t>
      </w:r>
      <w:r>
        <w:rPr>
          <w:b/>
          <w:sz w:val="22"/>
        </w:rPr>
        <w:t>science</w:t>
      </w:r>
      <w:r>
        <w:rPr>
          <w:b/>
          <w:spacing w:val="-14"/>
          <w:sz w:val="22"/>
        </w:rPr>
        <w:t> </w:t>
      </w:r>
      <w:r>
        <w:rPr>
          <w:b/>
          <w:sz w:val="22"/>
        </w:rPr>
        <w:t>programs:</w:t>
      </w:r>
      <w:r>
        <w:rPr>
          <w:b/>
          <w:spacing w:val="-14"/>
          <w:sz w:val="22"/>
        </w:rPr>
        <w:t> </w:t>
      </w:r>
      <w:r>
        <w:rPr>
          <w:sz w:val="22"/>
        </w:rPr>
        <w:t>While</w:t>
      </w:r>
      <w:r>
        <w:rPr>
          <w:spacing w:val="-13"/>
          <w:sz w:val="22"/>
        </w:rPr>
        <w:t> </w:t>
      </w:r>
      <w:r>
        <w:rPr>
          <w:sz w:val="22"/>
        </w:rPr>
        <w:t>we</w:t>
      </w:r>
      <w:r>
        <w:rPr>
          <w:spacing w:val="-14"/>
          <w:sz w:val="22"/>
        </w:rPr>
        <w:t> </w:t>
      </w:r>
      <w:r>
        <w:rPr>
          <w:sz w:val="22"/>
        </w:rPr>
        <w:t>need</w:t>
      </w:r>
      <w:r>
        <w:rPr>
          <w:spacing w:val="-14"/>
          <w:sz w:val="22"/>
        </w:rPr>
        <w:t> </w:t>
      </w:r>
      <w:r>
        <w:rPr>
          <w:sz w:val="22"/>
        </w:rPr>
        <w:t>to</w:t>
      </w:r>
      <w:r>
        <w:rPr>
          <w:spacing w:val="-14"/>
          <w:sz w:val="22"/>
        </w:rPr>
        <w:t> </w:t>
      </w:r>
      <w:r>
        <w:rPr>
          <w:sz w:val="22"/>
        </w:rPr>
        <w:t>build a</w:t>
      </w:r>
      <w:r>
        <w:rPr>
          <w:spacing w:val="-6"/>
          <w:sz w:val="22"/>
        </w:rPr>
        <w:t> </w:t>
      </w:r>
      <w:r>
        <w:rPr>
          <w:sz w:val="22"/>
        </w:rPr>
        <w:t>very</w:t>
      </w:r>
      <w:r>
        <w:rPr>
          <w:spacing w:val="-6"/>
          <w:sz w:val="22"/>
        </w:rPr>
        <w:t> </w:t>
      </w:r>
      <w:r>
        <w:rPr>
          <w:sz w:val="22"/>
        </w:rPr>
        <w:t>strong</w:t>
      </w:r>
      <w:r>
        <w:rPr>
          <w:spacing w:val="-6"/>
          <w:sz w:val="22"/>
        </w:rPr>
        <w:t> </w:t>
      </w:r>
      <w:r>
        <w:rPr>
          <w:sz w:val="22"/>
        </w:rPr>
        <w:t>machinery</w:t>
      </w:r>
      <w:r>
        <w:rPr>
          <w:spacing w:val="-6"/>
          <w:sz w:val="22"/>
        </w:rPr>
        <w:t> </w:t>
      </w:r>
      <w:r>
        <w:rPr>
          <w:sz w:val="22"/>
        </w:rPr>
        <w:t>to</w:t>
      </w:r>
      <w:r>
        <w:rPr>
          <w:spacing w:val="-6"/>
          <w:sz w:val="22"/>
        </w:rPr>
        <w:t> </w:t>
      </w:r>
      <w:r>
        <w:rPr>
          <w:sz w:val="22"/>
        </w:rPr>
        <w:t>promote</w:t>
      </w:r>
      <w:r>
        <w:rPr>
          <w:spacing w:val="-6"/>
          <w:sz w:val="22"/>
        </w:rPr>
        <w:t> </w:t>
      </w:r>
      <w:r>
        <w:rPr>
          <w:sz w:val="22"/>
        </w:rPr>
        <w:t>sciences,</w:t>
      </w:r>
      <w:r>
        <w:rPr>
          <w:spacing w:val="-6"/>
          <w:sz w:val="22"/>
        </w:rPr>
        <w:t> </w:t>
      </w:r>
      <w:r>
        <w:rPr>
          <w:sz w:val="22"/>
        </w:rPr>
        <w:t>science </w:t>
      </w:r>
      <w:r>
        <w:rPr>
          <w:spacing w:val="-4"/>
          <w:sz w:val="22"/>
        </w:rPr>
        <w:t>research institutes, science academies and local science </w:t>
      </w:r>
      <w:r>
        <w:rPr>
          <w:sz w:val="22"/>
        </w:rPr>
        <w:t>organisations and scientists (role models) in their individual capacity should participate in this task of nation</w:t>
      </w:r>
      <w:r>
        <w:rPr>
          <w:spacing w:val="-9"/>
          <w:sz w:val="22"/>
        </w:rPr>
        <w:t> </w:t>
      </w:r>
      <w:r>
        <w:rPr>
          <w:sz w:val="22"/>
        </w:rPr>
        <w:t>building.</w:t>
      </w:r>
      <w:r>
        <w:rPr>
          <w:spacing w:val="-9"/>
          <w:sz w:val="22"/>
        </w:rPr>
        <w:t> </w:t>
      </w:r>
      <w:r>
        <w:rPr>
          <w:sz w:val="22"/>
        </w:rPr>
        <w:t>Science</w:t>
      </w:r>
      <w:r>
        <w:rPr>
          <w:spacing w:val="-9"/>
          <w:sz w:val="22"/>
        </w:rPr>
        <w:t> </w:t>
      </w:r>
      <w:r>
        <w:rPr>
          <w:sz w:val="22"/>
        </w:rPr>
        <w:t>should</w:t>
      </w:r>
      <w:r>
        <w:rPr>
          <w:spacing w:val="-9"/>
          <w:sz w:val="22"/>
        </w:rPr>
        <w:t> </w:t>
      </w:r>
      <w:r>
        <w:rPr>
          <w:sz w:val="22"/>
        </w:rPr>
        <w:t>be</w:t>
      </w:r>
      <w:r>
        <w:rPr>
          <w:spacing w:val="-9"/>
          <w:sz w:val="22"/>
        </w:rPr>
        <w:t> </w:t>
      </w:r>
      <w:r>
        <w:rPr>
          <w:sz w:val="22"/>
        </w:rPr>
        <w:t>used</w:t>
      </w:r>
      <w:r>
        <w:rPr>
          <w:spacing w:val="-9"/>
          <w:sz w:val="22"/>
        </w:rPr>
        <w:t> </w:t>
      </w:r>
      <w:r>
        <w:rPr>
          <w:sz w:val="22"/>
        </w:rPr>
        <w:t>as</w:t>
      </w:r>
      <w:r>
        <w:rPr>
          <w:spacing w:val="-9"/>
          <w:sz w:val="22"/>
        </w:rPr>
        <w:t> </w:t>
      </w:r>
      <w:r>
        <w:rPr>
          <w:sz w:val="22"/>
        </w:rPr>
        <w:t>a</w:t>
      </w:r>
      <w:r>
        <w:rPr>
          <w:spacing w:val="-9"/>
          <w:sz w:val="22"/>
        </w:rPr>
        <w:t> </w:t>
      </w:r>
      <w:r>
        <w:rPr>
          <w:sz w:val="22"/>
        </w:rPr>
        <w:t>means</w:t>
      </w:r>
      <w:r>
        <w:rPr>
          <w:spacing w:val="-9"/>
          <w:sz w:val="22"/>
        </w:rPr>
        <w:t> </w:t>
      </w:r>
      <w:r>
        <w:rPr>
          <w:sz w:val="22"/>
        </w:rPr>
        <w:t>to </w:t>
      </w:r>
      <w:r>
        <w:rPr>
          <w:spacing w:val="-6"/>
          <w:sz w:val="22"/>
        </w:rPr>
        <w:t>engage students in a variety of extra curricular activities. </w:t>
      </w:r>
      <w:r>
        <w:rPr>
          <w:spacing w:val="-2"/>
          <w:sz w:val="22"/>
        </w:rPr>
        <w:t>Science</w:t>
      </w:r>
      <w:r>
        <w:rPr>
          <w:spacing w:val="-3"/>
          <w:sz w:val="22"/>
        </w:rPr>
        <w:t> </w:t>
      </w:r>
      <w:r>
        <w:rPr>
          <w:spacing w:val="-2"/>
          <w:sz w:val="22"/>
        </w:rPr>
        <w:t>exhibitions,</w:t>
      </w:r>
      <w:r>
        <w:rPr>
          <w:spacing w:val="-3"/>
          <w:sz w:val="22"/>
        </w:rPr>
        <w:t> </w:t>
      </w:r>
      <w:r>
        <w:rPr>
          <w:spacing w:val="-2"/>
          <w:sz w:val="22"/>
        </w:rPr>
        <w:t>science</w:t>
      </w:r>
      <w:r>
        <w:rPr>
          <w:spacing w:val="-3"/>
          <w:sz w:val="22"/>
        </w:rPr>
        <w:t> </w:t>
      </w:r>
      <w:r>
        <w:rPr>
          <w:spacing w:val="-2"/>
          <w:sz w:val="22"/>
        </w:rPr>
        <w:t>competitions</w:t>
      </w:r>
      <w:r>
        <w:rPr>
          <w:spacing w:val="-3"/>
          <w:sz w:val="22"/>
        </w:rPr>
        <w:t> </w:t>
      </w:r>
      <w:r>
        <w:rPr>
          <w:spacing w:val="-2"/>
          <w:sz w:val="22"/>
        </w:rPr>
        <w:t>and</w:t>
      </w:r>
      <w:r>
        <w:rPr>
          <w:spacing w:val="-3"/>
          <w:sz w:val="22"/>
        </w:rPr>
        <w:t> </w:t>
      </w:r>
      <w:r>
        <w:rPr>
          <w:spacing w:val="-2"/>
          <w:sz w:val="22"/>
        </w:rPr>
        <w:t>popular </w:t>
      </w:r>
      <w:r>
        <w:rPr>
          <w:sz w:val="22"/>
        </w:rPr>
        <w:t>science lectures can be organised by local science organisations/</w:t>
      </w:r>
      <w:r>
        <w:rPr>
          <w:spacing w:val="-9"/>
          <w:sz w:val="22"/>
        </w:rPr>
        <w:t> </w:t>
      </w:r>
      <w:r>
        <w:rPr>
          <w:sz w:val="22"/>
        </w:rPr>
        <w:t>teachers’</w:t>
      </w:r>
      <w:r>
        <w:rPr>
          <w:spacing w:val="-9"/>
          <w:sz w:val="22"/>
        </w:rPr>
        <w:t> </w:t>
      </w:r>
      <w:r>
        <w:rPr>
          <w:sz w:val="22"/>
        </w:rPr>
        <w:t>association/</w:t>
      </w:r>
      <w:r>
        <w:rPr>
          <w:spacing w:val="-9"/>
          <w:sz w:val="22"/>
        </w:rPr>
        <w:t> </w:t>
      </w:r>
      <w:r>
        <w:rPr>
          <w:sz w:val="22"/>
        </w:rPr>
        <w:t>group</w:t>
      </w:r>
      <w:r>
        <w:rPr>
          <w:spacing w:val="-9"/>
          <w:sz w:val="22"/>
        </w:rPr>
        <w:t> </w:t>
      </w:r>
      <w:r>
        <w:rPr>
          <w:sz w:val="22"/>
        </w:rPr>
        <w:t>of</w:t>
      </w:r>
      <w:r>
        <w:rPr>
          <w:spacing w:val="-9"/>
          <w:sz w:val="22"/>
        </w:rPr>
        <w:t> </w:t>
      </w:r>
      <w:r>
        <w:rPr>
          <w:sz w:val="22"/>
        </w:rPr>
        <w:t>schools to</w:t>
      </w:r>
      <w:r>
        <w:rPr>
          <w:spacing w:val="-2"/>
          <w:sz w:val="22"/>
        </w:rPr>
        <w:t> </w:t>
      </w:r>
      <w:r>
        <w:rPr>
          <w:sz w:val="22"/>
        </w:rPr>
        <w:t>promote</w:t>
      </w:r>
      <w:r>
        <w:rPr>
          <w:spacing w:val="-2"/>
          <w:sz w:val="22"/>
        </w:rPr>
        <w:t> </w:t>
      </w:r>
      <w:r>
        <w:rPr>
          <w:sz w:val="22"/>
        </w:rPr>
        <w:t>application</w:t>
      </w:r>
      <w:r>
        <w:rPr>
          <w:spacing w:val="-2"/>
          <w:sz w:val="22"/>
        </w:rPr>
        <w:t> </w:t>
      </w:r>
      <w:r>
        <w:rPr>
          <w:sz w:val="22"/>
        </w:rPr>
        <w:t>of</w:t>
      </w:r>
      <w:r>
        <w:rPr>
          <w:spacing w:val="-2"/>
          <w:sz w:val="22"/>
        </w:rPr>
        <w:t> </w:t>
      </w:r>
      <w:r>
        <w:rPr>
          <w:sz w:val="22"/>
        </w:rPr>
        <w:t>what</w:t>
      </w:r>
      <w:r>
        <w:rPr>
          <w:spacing w:val="-2"/>
          <w:sz w:val="22"/>
        </w:rPr>
        <w:t> </w:t>
      </w:r>
      <w:r>
        <w:rPr>
          <w:sz w:val="22"/>
        </w:rPr>
        <w:t>students</w:t>
      </w:r>
      <w:r>
        <w:rPr>
          <w:spacing w:val="-2"/>
          <w:sz w:val="22"/>
        </w:rPr>
        <w:t> </w:t>
      </w:r>
      <w:r>
        <w:rPr>
          <w:sz w:val="22"/>
        </w:rPr>
        <w:t>learn</w:t>
      </w:r>
      <w:r>
        <w:rPr>
          <w:spacing w:val="-2"/>
          <w:sz w:val="22"/>
        </w:rPr>
        <w:t> </w:t>
      </w:r>
      <w:r>
        <w:rPr>
          <w:sz w:val="22"/>
        </w:rPr>
        <w:t>in</w:t>
      </w:r>
      <w:r>
        <w:rPr>
          <w:spacing w:val="-2"/>
          <w:sz w:val="22"/>
        </w:rPr>
        <w:t> </w:t>
      </w:r>
      <w:r>
        <w:rPr>
          <w:sz w:val="22"/>
        </w:rPr>
        <w:t>their environment. Different ventures to encourage and </w:t>
      </w:r>
      <w:r>
        <w:rPr>
          <w:spacing w:val="-6"/>
          <w:sz w:val="22"/>
        </w:rPr>
        <w:t>popularise science, such as mobile vans, science centres, </w:t>
      </w:r>
      <w:r>
        <w:rPr>
          <w:spacing w:val="-2"/>
          <w:sz w:val="22"/>
        </w:rPr>
        <w:t>interactive</w:t>
      </w:r>
      <w:r>
        <w:rPr>
          <w:spacing w:val="-11"/>
          <w:sz w:val="22"/>
        </w:rPr>
        <w:t> </w:t>
      </w:r>
      <w:r>
        <w:rPr>
          <w:spacing w:val="-2"/>
          <w:sz w:val="22"/>
        </w:rPr>
        <w:t>exhibits,</w:t>
      </w:r>
      <w:r>
        <w:rPr>
          <w:spacing w:val="-11"/>
          <w:sz w:val="22"/>
        </w:rPr>
        <w:t> </w:t>
      </w:r>
      <w:r>
        <w:rPr>
          <w:spacing w:val="-2"/>
          <w:sz w:val="22"/>
        </w:rPr>
        <w:t>workshops</w:t>
      </w:r>
      <w:r>
        <w:rPr>
          <w:spacing w:val="-11"/>
          <w:sz w:val="22"/>
        </w:rPr>
        <w:t> </w:t>
      </w:r>
      <w:r>
        <w:rPr>
          <w:spacing w:val="-2"/>
          <w:sz w:val="22"/>
        </w:rPr>
        <w:t>and</w:t>
      </w:r>
      <w:r>
        <w:rPr>
          <w:spacing w:val="-11"/>
          <w:sz w:val="22"/>
        </w:rPr>
        <w:t> </w:t>
      </w:r>
      <w:r>
        <w:rPr>
          <w:spacing w:val="-2"/>
          <w:sz w:val="22"/>
        </w:rPr>
        <w:t>activity</w:t>
      </w:r>
      <w:r>
        <w:rPr>
          <w:spacing w:val="-11"/>
          <w:sz w:val="22"/>
        </w:rPr>
        <w:t> </w:t>
      </w:r>
      <w:r>
        <w:rPr>
          <w:spacing w:val="-2"/>
          <w:sz w:val="22"/>
        </w:rPr>
        <w:t>centres</w:t>
      </w:r>
      <w:r>
        <w:rPr>
          <w:spacing w:val="-11"/>
          <w:sz w:val="22"/>
        </w:rPr>
        <w:t> </w:t>
      </w:r>
      <w:r>
        <w:rPr>
          <w:spacing w:val="-2"/>
          <w:sz w:val="22"/>
        </w:rPr>
        <w:t>for </w:t>
      </w:r>
      <w:r>
        <w:rPr>
          <w:sz w:val="22"/>
        </w:rPr>
        <w:t>children should be supported financially.</w:t>
      </w:r>
    </w:p>
    <w:p>
      <w:pPr>
        <w:pStyle w:val="BodyText"/>
        <w:spacing w:before="14"/>
      </w:pPr>
    </w:p>
    <w:p>
      <w:pPr>
        <w:pStyle w:val="BodyText"/>
        <w:spacing w:line="266" w:lineRule="auto"/>
        <w:ind w:left="1079"/>
        <w:jc w:val="both"/>
      </w:pPr>
      <w:r>
        <w:rPr/>
        <w:t>Journals and popular science magazines can play </w:t>
      </w:r>
      <w:r>
        <w:rPr/>
        <w:t>an </w:t>
      </w:r>
      <w:r>
        <w:rPr>
          <w:spacing w:val="-4"/>
        </w:rPr>
        <w:t>important</w:t>
      </w:r>
      <w:r>
        <w:rPr>
          <w:spacing w:val="-7"/>
        </w:rPr>
        <w:t> </w:t>
      </w:r>
      <w:r>
        <w:rPr>
          <w:spacing w:val="-4"/>
        </w:rPr>
        <w:t>role</w:t>
      </w:r>
      <w:r>
        <w:rPr>
          <w:spacing w:val="-7"/>
        </w:rPr>
        <w:t> </w:t>
      </w:r>
      <w:r>
        <w:rPr>
          <w:spacing w:val="-4"/>
        </w:rPr>
        <w:t>in</w:t>
      </w:r>
      <w:r>
        <w:rPr>
          <w:spacing w:val="-7"/>
        </w:rPr>
        <w:t> </w:t>
      </w:r>
      <w:r>
        <w:rPr>
          <w:spacing w:val="-4"/>
        </w:rPr>
        <w:t>spreading</w:t>
      </w:r>
      <w:r>
        <w:rPr>
          <w:spacing w:val="-7"/>
        </w:rPr>
        <w:t> </w:t>
      </w:r>
      <w:r>
        <w:rPr>
          <w:spacing w:val="-4"/>
        </w:rPr>
        <w:t>the</w:t>
      </w:r>
      <w:r>
        <w:rPr>
          <w:spacing w:val="-7"/>
        </w:rPr>
        <w:t> </w:t>
      </w:r>
      <w:r>
        <w:rPr>
          <w:spacing w:val="-4"/>
        </w:rPr>
        <w:t>scientific</w:t>
      </w:r>
      <w:r>
        <w:rPr>
          <w:spacing w:val="-7"/>
        </w:rPr>
        <w:t> </w:t>
      </w:r>
      <w:r>
        <w:rPr>
          <w:spacing w:val="-4"/>
        </w:rPr>
        <w:t>temper</w:t>
      </w:r>
      <w:r>
        <w:rPr>
          <w:spacing w:val="-7"/>
        </w:rPr>
        <w:t> </w:t>
      </w:r>
      <w:r>
        <w:rPr>
          <w:spacing w:val="-4"/>
        </w:rPr>
        <w:t>among </w:t>
      </w:r>
      <w:r>
        <w:rPr>
          <w:w w:val="90"/>
        </w:rPr>
        <w:t>citizens must be more aggressively encouraged, especially </w:t>
      </w:r>
      <w:r>
        <w:rPr>
          <w:spacing w:val="-4"/>
        </w:rPr>
        <w:t>among</w:t>
      </w:r>
      <w:r>
        <w:rPr>
          <w:spacing w:val="-10"/>
        </w:rPr>
        <w:t> </w:t>
      </w:r>
      <w:r>
        <w:rPr>
          <w:spacing w:val="-4"/>
        </w:rPr>
        <w:t>college</w:t>
      </w:r>
      <w:r>
        <w:rPr>
          <w:spacing w:val="-10"/>
        </w:rPr>
        <w:t> </w:t>
      </w:r>
      <w:r>
        <w:rPr>
          <w:spacing w:val="-4"/>
        </w:rPr>
        <w:t>going</w:t>
      </w:r>
      <w:r>
        <w:rPr>
          <w:spacing w:val="-10"/>
        </w:rPr>
        <w:t> </w:t>
      </w:r>
      <w:r>
        <w:rPr>
          <w:spacing w:val="-4"/>
        </w:rPr>
        <w:t>students.</w:t>
      </w:r>
      <w:r>
        <w:rPr>
          <w:spacing w:val="-9"/>
        </w:rPr>
        <w:t> </w:t>
      </w:r>
      <w:r>
        <w:rPr>
          <w:spacing w:val="-4"/>
        </w:rPr>
        <w:t>The</w:t>
      </w:r>
      <w:r>
        <w:rPr>
          <w:spacing w:val="-10"/>
        </w:rPr>
        <w:t> </w:t>
      </w:r>
      <w:r>
        <w:rPr>
          <w:spacing w:val="-4"/>
        </w:rPr>
        <w:t>country</w:t>
      </w:r>
      <w:r>
        <w:rPr>
          <w:spacing w:val="-9"/>
        </w:rPr>
        <w:t> </w:t>
      </w:r>
      <w:r>
        <w:rPr>
          <w:spacing w:val="-4"/>
        </w:rPr>
        <w:t>needs</w:t>
      </w:r>
      <w:r>
        <w:rPr>
          <w:spacing w:val="-8"/>
        </w:rPr>
        <w:t> </w:t>
      </w:r>
      <w:r>
        <w:rPr>
          <w:spacing w:val="-4"/>
        </w:rPr>
        <w:t>many </w:t>
      </w:r>
      <w:r>
        <w:rPr/>
        <w:t>more child friendly science magazines, especially in local languages. TV programs like ‘Turning Point’ and ‘Quest’ that were hugely popular and provided a </w:t>
      </w:r>
      <w:r>
        <w:rPr>
          <w:spacing w:val="-4"/>
        </w:rPr>
        <w:t>platform</w:t>
      </w:r>
      <w:r>
        <w:rPr>
          <w:spacing w:val="-10"/>
        </w:rPr>
        <w:t> </w:t>
      </w:r>
      <w:r>
        <w:rPr>
          <w:spacing w:val="-4"/>
        </w:rPr>
        <w:t>(turning</w:t>
      </w:r>
      <w:r>
        <w:rPr>
          <w:spacing w:val="-10"/>
        </w:rPr>
        <w:t> </w:t>
      </w:r>
      <w:r>
        <w:rPr>
          <w:spacing w:val="-4"/>
        </w:rPr>
        <w:t>point)</w:t>
      </w:r>
      <w:r>
        <w:rPr>
          <w:spacing w:val="-10"/>
        </w:rPr>
        <w:t> </w:t>
      </w:r>
      <w:r>
        <w:rPr>
          <w:spacing w:val="-4"/>
        </w:rPr>
        <w:t>for</w:t>
      </w:r>
      <w:r>
        <w:rPr>
          <w:spacing w:val="-9"/>
        </w:rPr>
        <w:t> </w:t>
      </w:r>
      <w:r>
        <w:rPr>
          <w:spacing w:val="-4"/>
        </w:rPr>
        <w:t>asking</w:t>
      </w:r>
      <w:r>
        <w:rPr>
          <w:spacing w:val="-10"/>
        </w:rPr>
        <w:t> </w:t>
      </w:r>
      <w:r>
        <w:rPr>
          <w:spacing w:val="-4"/>
        </w:rPr>
        <w:t>‘scientific</w:t>
      </w:r>
      <w:r>
        <w:rPr>
          <w:spacing w:val="-10"/>
        </w:rPr>
        <w:t> </w:t>
      </w:r>
      <w:r>
        <w:rPr>
          <w:spacing w:val="-4"/>
        </w:rPr>
        <w:t>questions’ </w:t>
      </w:r>
      <w:r>
        <w:rPr/>
        <w:t>for children and adults alike should be promoted.</w:t>
      </w:r>
    </w:p>
    <w:p>
      <w:pPr>
        <w:pStyle w:val="BodyText"/>
        <w:spacing w:before="20"/>
      </w:pPr>
    </w:p>
    <w:p>
      <w:pPr>
        <w:pStyle w:val="BodyText"/>
        <w:spacing w:line="266" w:lineRule="auto"/>
        <w:ind w:left="1079"/>
        <w:jc w:val="both"/>
      </w:pPr>
      <w:r>
        <w:rPr>
          <w:spacing w:val="-4"/>
        </w:rPr>
        <w:t>Science</w:t>
      </w:r>
      <w:r>
        <w:rPr>
          <w:spacing w:val="-10"/>
        </w:rPr>
        <w:t> </w:t>
      </w:r>
      <w:r>
        <w:rPr>
          <w:spacing w:val="-4"/>
        </w:rPr>
        <w:t>programs</w:t>
      </w:r>
      <w:r>
        <w:rPr>
          <w:spacing w:val="-10"/>
        </w:rPr>
        <w:t> </w:t>
      </w:r>
      <w:r>
        <w:rPr>
          <w:spacing w:val="-4"/>
        </w:rPr>
        <w:t>focused</w:t>
      </w:r>
      <w:r>
        <w:rPr>
          <w:spacing w:val="-10"/>
        </w:rPr>
        <w:t> </w:t>
      </w:r>
      <w:r>
        <w:rPr>
          <w:spacing w:val="-4"/>
        </w:rPr>
        <w:t>at</w:t>
      </w:r>
      <w:r>
        <w:rPr>
          <w:spacing w:val="-9"/>
        </w:rPr>
        <w:t> </w:t>
      </w:r>
      <w:r>
        <w:rPr>
          <w:spacing w:val="-4"/>
        </w:rPr>
        <w:t>non-metro</w:t>
      </w:r>
      <w:r>
        <w:rPr>
          <w:spacing w:val="-10"/>
        </w:rPr>
        <w:t> </w:t>
      </w:r>
      <w:r>
        <w:rPr>
          <w:spacing w:val="-4"/>
        </w:rPr>
        <w:t>students</w:t>
      </w:r>
      <w:r>
        <w:rPr>
          <w:spacing w:val="-10"/>
        </w:rPr>
        <w:t> </w:t>
      </w:r>
      <w:r>
        <w:rPr>
          <w:spacing w:val="-4"/>
        </w:rPr>
        <w:t>should be</w:t>
      </w:r>
      <w:r>
        <w:rPr>
          <w:spacing w:val="-3"/>
        </w:rPr>
        <w:t> </w:t>
      </w:r>
      <w:r>
        <w:rPr>
          <w:spacing w:val="-4"/>
        </w:rPr>
        <w:t>launched.</w:t>
      </w:r>
      <w:r>
        <w:rPr>
          <w:spacing w:val="-2"/>
        </w:rPr>
        <w:t> </w:t>
      </w:r>
      <w:r>
        <w:rPr>
          <w:spacing w:val="-4"/>
        </w:rPr>
        <w:t>Local</w:t>
      </w:r>
      <w:r>
        <w:rPr>
          <w:spacing w:val="-3"/>
        </w:rPr>
        <w:t> </w:t>
      </w:r>
      <w:r>
        <w:rPr>
          <w:spacing w:val="-4"/>
        </w:rPr>
        <w:t>languages</w:t>
      </w:r>
      <w:r>
        <w:rPr>
          <w:spacing w:val="-2"/>
        </w:rPr>
        <w:t> </w:t>
      </w:r>
      <w:r>
        <w:rPr>
          <w:spacing w:val="-4"/>
        </w:rPr>
        <w:t>should</w:t>
      </w:r>
      <w:r>
        <w:rPr>
          <w:spacing w:val="-3"/>
        </w:rPr>
        <w:t> </w:t>
      </w:r>
      <w:r>
        <w:rPr>
          <w:spacing w:val="-4"/>
        </w:rPr>
        <w:t>be</w:t>
      </w:r>
      <w:r>
        <w:rPr>
          <w:spacing w:val="-2"/>
        </w:rPr>
        <w:t> </w:t>
      </w:r>
      <w:r>
        <w:rPr>
          <w:spacing w:val="-4"/>
        </w:rPr>
        <w:t>used</w:t>
      </w:r>
      <w:r>
        <w:rPr>
          <w:spacing w:val="-3"/>
        </w:rPr>
        <w:t> </w:t>
      </w:r>
      <w:r>
        <w:rPr>
          <w:spacing w:val="-4"/>
        </w:rPr>
        <w:t>in</w:t>
      </w:r>
      <w:r>
        <w:rPr>
          <w:spacing w:val="-2"/>
        </w:rPr>
        <w:t> </w:t>
      </w:r>
      <w:r>
        <w:rPr>
          <w:spacing w:val="-6"/>
        </w:rPr>
        <w:t>science</w:t>
      </w:r>
    </w:p>
    <w:p>
      <w:pPr>
        <w:pStyle w:val="BodyText"/>
        <w:spacing w:line="266" w:lineRule="auto" w:before="57"/>
        <w:ind w:left="319" w:right="1077"/>
        <w:jc w:val="both"/>
      </w:pPr>
      <w:r>
        <w:rPr/>
        <w:br w:type="column"/>
      </w:r>
      <w:r>
        <w:rPr>
          <w:spacing w:val="-2"/>
        </w:rPr>
        <w:t>dissemination.</w:t>
      </w:r>
      <w:r>
        <w:rPr>
          <w:spacing w:val="-8"/>
        </w:rPr>
        <w:t> </w:t>
      </w:r>
      <w:r>
        <w:rPr>
          <w:spacing w:val="-2"/>
        </w:rPr>
        <w:t>Scientists</w:t>
      </w:r>
      <w:r>
        <w:rPr>
          <w:spacing w:val="-8"/>
        </w:rPr>
        <w:t> </w:t>
      </w:r>
      <w:r>
        <w:rPr>
          <w:spacing w:val="-2"/>
        </w:rPr>
        <w:t>should</w:t>
      </w:r>
      <w:r>
        <w:rPr>
          <w:spacing w:val="-8"/>
        </w:rPr>
        <w:t> </w:t>
      </w:r>
      <w:r>
        <w:rPr>
          <w:spacing w:val="-2"/>
        </w:rPr>
        <w:t>communicate</w:t>
      </w:r>
      <w:r>
        <w:rPr>
          <w:spacing w:val="-8"/>
        </w:rPr>
        <w:t> </w:t>
      </w:r>
      <w:r>
        <w:rPr>
          <w:spacing w:val="-2"/>
        </w:rPr>
        <w:t>more</w:t>
      </w:r>
      <w:r>
        <w:rPr>
          <w:spacing w:val="-8"/>
        </w:rPr>
        <w:t> </w:t>
      </w:r>
      <w:r>
        <w:rPr>
          <w:spacing w:val="-2"/>
        </w:rPr>
        <w:t>to </w:t>
      </w:r>
      <w:r>
        <w:rPr/>
        <w:t>masses through the media. A national science portal, promoting science contests etc. can be created. The </w:t>
      </w:r>
      <w:r>
        <w:rPr>
          <w:spacing w:val="-2"/>
        </w:rPr>
        <w:t>Government</w:t>
      </w:r>
      <w:r>
        <w:rPr>
          <w:spacing w:val="-12"/>
        </w:rPr>
        <w:t> </w:t>
      </w:r>
      <w:r>
        <w:rPr>
          <w:spacing w:val="-2"/>
        </w:rPr>
        <w:t>can</w:t>
      </w:r>
      <w:r>
        <w:rPr>
          <w:spacing w:val="-12"/>
        </w:rPr>
        <w:t> </w:t>
      </w:r>
      <w:r>
        <w:rPr>
          <w:spacing w:val="-2"/>
        </w:rPr>
        <w:t>mandate</w:t>
      </w:r>
      <w:r>
        <w:rPr>
          <w:spacing w:val="-12"/>
        </w:rPr>
        <w:t> </w:t>
      </w:r>
      <w:r>
        <w:rPr>
          <w:spacing w:val="-2"/>
        </w:rPr>
        <w:t>outreach</w:t>
      </w:r>
      <w:r>
        <w:rPr>
          <w:spacing w:val="-11"/>
        </w:rPr>
        <w:t> </w:t>
      </w:r>
      <w:r>
        <w:rPr>
          <w:spacing w:val="-2"/>
        </w:rPr>
        <w:t>programs</w:t>
      </w:r>
      <w:r>
        <w:rPr>
          <w:spacing w:val="-12"/>
        </w:rPr>
        <w:t> </w:t>
      </w:r>
      <w:r>
        <w:rPr>
          <w:spacing w:val="-2"/>
        </w:rPr>
        <w:t>as</w:t>
      </w:r>
      <w:r>
        <w:rPr>
          <w:spacing w:val="-12"/>
        </w:rPr>
        <w:t> </w:t>
      </w:r>
      <w:r>
        <w:rPr>
          <w:spacing w:val="-2"/>
        </w:rPr>
        <w:t>part</w:t>
      </w:r>
      <w:r>
        <w:rPr>
          <w:spacing w:val="-12"/>
        </w:rPr>
        <w:t> </w:t>
      </w:r>
      <w:r>
        <w:rPr>
          <w:spacing w:val="-2"/>
        </w:rPr>
        <w:t>of </w:t>
      </w:r>
      <w:r>
        <w:rPr/>
        <w:t>grant applications.</w:t>
      </w:r>
    </w:p>
    <w:p>
      <w:pPr>
        <w:pStyle w:val="BodyText"/>
        <w:spacing w:before="23"/>
      </w:pPr>
    </w:p>
    <w:p>
      <w:pPr>
        <w:pStyle w:val="BodyText"/>
        <w:spacing w:line="266" w:lineRule="auto"/>
        <w:ind w:left="319" w:right="1077"/>
        <w:jc w:val="both"/>
      </w:pPr>
      <w:r>
        <w:rPr/>
        <w:t>The Children Science Congress organised by the Department of Science and</w:t>
      </w:r>
      <w:r>
        <w:rPr>
          <w:spacing w:val="-4"/>
        </w:rPr>
        <w:t> </w:t>
      </w:r>
      <w:r>
        <w:rPr/>
        <w:t>Technology is a laudable effort.</w:t>
      </w:r>
      <w:r>
        <w:rPr>
          <w:spacing w:val="-7"/>
        </w:rPr>
        <w:t> </w:t>
      </w:r>
      <w:r>
        <w:rPr/>
        <w:t>Its</w:t>
      </w:r>
      <w:r>
        <w:rPr>
          <w:spacing w:val="-7"/>
        </w:rPr>
        <w:t> </w:t>
      </w:r>
      <w:r>
        <w:rPr/>
        <w:t>scale</w:t>
      </w:r>
      <w:r>
        <w:rPr>
          <w:spacing w:val="-7"/>
        </w:rPr>
        <w:t> </w:t>
      </w:r>
      <w:r>
        <w:rPr/>
        <w:t>should</w:t>
      </w:r>
      <w:r>
        <w:rPr>
          <w:spacing w:val="-7"/>
        </w:rPr>
        <w:t> </w:t>
      </w:r>
      <w:r>
        <w:rPr/>
        <w:t>be</w:t>
      </w:r>
      <w:r>
        <w:rPr>
          <w:spacing w:val="-7"/>
        </w:rPr>
        <w:t> </w:t>
      </w:r>
      <w:r>
        <w:rPr/>
        <w:t>expanded</w:t>
      </w:r>
      <w:r>
        <w:rPr>
          <w:spacing w:val="-7"/>
        </w:rPr>
        <w:t> </w:t>
      </w:r>
      <w:r>
        <w:rPr/>
        <w:t>and</w:t>
      </w:r>
      <w:r>
        <w:rPr>
          <w:spacing w:val="-7"/>
        </w:rPr>
        <w:t> </w:t>
      </w:r>
      <w:r>
        <w:rPr/>
        <w:t>more</w:t>
      </w:r>
      <w:r>
        <w:rPr>
          <w:spacing w:val="-7"/>
        </w:rPr>
        <w:t> </w:t>
      </w:r>
      <w:r>
        <w:rPr/>
        <w:t>schools should be included. Information should be made available,</w:t>
      </w:r>
      <w:r>
        <w:rPr>
          <w:spacing w:val="-2"/>
        </w:rPr>
        <w:t> </w:t>
      </w:r>
      <w:r>
        <w:rPr/>
        <w:t>and</w:t>
      </w:r>
      <w:r>
        <w:rPr>
          <w:spacing w:val="-2"/>
        </w:rPr>
        <w:t> </w:t>
      </w:r>
      <w:r>
        <w:rPr/>
        <w:t>should</w:t>
      </w:r>
      <w:r>
        <w:rPr>
          <w:spacing w:val="-2"/>
        </w:rPr>
        <w:t> </w:t>
      </w:r>
      <w:r>
        <w:rPr/>
        <w:t>be</w:t>
      </w:r>
      <w:r>
        <w:rPr>
          <w:spacing w:val="-2"/>
        </w:rPr>
        <w:t> </w:t>
      </w:r>
      <w:r>
        <w:rPr/>
        <w:t>readily</w:t>
      </w:r>
      <w:r>
        <w:rPr>
          <w:spacing w:val="-2"/>
        </w:rPr>
        <w:t> </w:t>
      </w:r>
      <w:r>
        <w:rPr/>
        <w:t>accessible</w:t>
      </w:r>
      <w:r>
        <w:rPr>
          <w:spacing w:val="-2"/>
        </w:rPr>
        <w:t> </w:t>
      </w:r>
      <w:r>
        <w:rPr/>
        <w:t>at</w:t>
      </w:r>
      <w:r>
        <w:rPr>
          <w:spacing w:val="-2"/>
        </w:rPr>
        <w:t> </w:t>
      </w:r>
      <w:r>
        <w:rPr/>
        <w:t>all</w:t>
      </w:r>
      <w:r>
        <w:rPr>
          <w:spacing w:val="-2"/>
        </w:rPr>
        <w:t> </w:t>
      </w:r>
      <w:r>
        <w:rPr/>
        <w:t>high schools and junior colleges about careers in Science, and this should be publicised among the teachers at </w:t>
      </w:r>
      <w:r>
        <w:rPr>
          <w:spacing w:val="-6"/>
        </w:rPr>
        <w:t>these</w:t>
      </w:r>
      <w:r>
        <w:rPr>
          <w:spacing w:val="-8"/>
        </w:rPr>
        <w:t> </w:t>
      </w:r>
      <w:r>
        <w:rPr>
          <w:spacing w:val="-6"/>
        </w:rPr>
        <w:t>levels.</w:t>
      </w:r>
      <w:r>
        <w:rPr>
          <w:spacing w:val="-8"/>
        </w:rPr>
        <w:t> </w:t>
      </w:r>
      <w:r>
        <w:rPr>
          <w:spacing w:val="-6"/>
        </w:rPr>
        <w:t>Programs</w:t>
      </w:r>
      <w:r>
        <w:rPr>
          <w:spacing w:val="-8"/>
        </w:rPr>
        <w:t> </w:t>
      </w:r>
      <w:r>
        <w:rPr>
          <w:spacing w:val="-6"/>
        </w:rPr>
        <w:t>like</w:t>
      </w:r>
      <w:r>
        <w:rPr>
          <w:spacing w:val="-7"/>
        </w:rPr>
        <w:t> </w:t>
      </w:r>
      <w:r>
        <w:rPr>
          <w:spacing w:val="-6"/>
        </w:rPr>
        <w:t>Vigyan</w:t>
      </w:r>
      <w:r>
        <w:rPr>
          <w:spacing w:val="-8"/>
        </w:rPr>
        <w:t> </w:t>
      </w:r>
      <w:r>
        <w:rPr>
          <w:spacing w:val="-6"/>
        </w:rPr>
        <w:t>Manthan</w:t>
      </w:r>
      <w:r>
        <w:rPr>
          <w:spacing w:val="-8"/>
        </w:rPr>
        <w:t> </w:t>
      </w:r>
      <w:r>
        <w:rPr>
          <w:spacing w:val="-6"/>
        </w:rPr>
        <w:t>Yatra</w:t>
      </w:r>
      <w:r>
        <w:rPr>
          <w:spacing w:val="-8"/>
        </w:rPr>
        <w:t> </w:t>
      </w:r>
      <w:r>
        <w:rPr>
          <w:spacing w:val="-6"/>
        </w:rPr>
        <w:t>of</w:t>
      </w:r>
      <w:r>
        <w:rPr>
          <w:spacing w:val="-7"/>
        </w:rPr>
        <w:t> </w:t>
      </w:r>
      <w:r>
        <w:rPr>
          <w:spacing w:val="-6"/>
        </w:rPr>
        <w:t>the </w:t>
      </w:r>
      <w:r>
        <w:rPr>
          <w:spacing w:val="-4"/>
        </w:rPr>
        <w:t>Madhya</w:t>
      </w:r>
      <w:r>
        <w:rPr>
          <w:spacing w:val="-8"/>
        </w:rPr>
        <w:t> </w:t>
      </w:r>
      <w:r>
        <w:rPr>
          <w:spacing w:val="-4"/>
        </w:rPr>
        <w:t>Pradesh</w:t>
      </w:r>
      <w:r>
        <w:rPr>
          <w:spacing w:val="-8"/>
        </w:rPr>
        <w:t> </w:t>
      </w:r>
      <w:r>
        <w:rPr>
          <w:spacing w:val="-4"/>
        </w:rPr>
        <w:t>Government,</w:t>
      </w:r>
      <w:r>
        <w:rPr>
          <w:spacing w:val="-8"/>
        </w:rPr>
        <w:t> </w:t>
      </w:r>
      <w:r>
        <w:rPr>
          <w:spacing w:val="-4"/>
        </w:rPr>
        <w:t>Science</w:t>
      </w:r>
      <w:r>
        <w:rPr>
          <w:spacing w:val="-8"/>
        </w:rPr>
        <w:t> </w:t>
      </w:r>
      <w:r>
        <w:rPr>
          <w:spacing w:val="-4"/>
        </w:rPr>
        <w:t>centre</w:t>
      </w:r>
      <w:r>
        <w:rPr>
          <w:spacing w:val="-8"/>
        </w:rPr>
        <w:t> </w:t>
      </w:r>
      <w:r>
        <w:rPr>
          <w:spacing w:val="-4"/>
        </w:rPr>
        <w:t>proposed </w:t>
      </w:r>
      <w:r>
        <w:rPr/>
        <w:t>by</w:t>
      </w:r>
      <w:r>
        <w:rPr>
          <w:spacing w:val="-14"/>
        </w:rPr>
        <w:t> </w:t>
      </w:r>
      <w:r>
        <w:rPr/>
        <w:t>Assam</w:t>
      </w:r>
      <w:r>
        <w:rPr>
          <w:spacing w:val="-14"/>
        </w:rPr>
        <w:t> </w:t>
      </w:r>
      <w:r>
        <w:rPr/>
        <w:t>Government,</w:t>
      </w:r>
      <w:r>
        <w:rPr>
          <w:spacing w:val="-14"/>
        </w:rPr>
        <w:t> </w:t>
      </w:r>
      <w:r>
        <w:rPr/>
        <w:t>Science</w:t>
      </w:r>
      <w:r>
        <w:rPr>
          <w:spacing w:val="-13"/>
        </w:rPr>
        <w:t> </w:t>
      </w:r>
      <w:r>
        <w:rPr/>
        <w:t>city</w:t>
      </w:r>
      <w:r>
        <w:rPr>
          <w:spacing w:val="-14"/>
        </w:rPr>
        <w:t> </w:t>
      </w:r>
      <w:r>
        <w:rPr/>
        <w:t>concept</w:t>
      </w:r>
      <w:r>
        <w:rPr>
          <w:spacing w:val="-14"/>
        </w:rPr>
        <w:t> </w:t>
      </w:r>
      <w:r>
        <w:rPr/>
        <w:t>of</w:t>
      </w:r>
      <w:r>
        <w:rPr>
          <w:spacing w:val="-14"/>
        </w:rPr>
        <w:t> </w:t>
      </w:r>
      <w:r>
        <w:rPr/>
        <w:t>Tamil </w:t>
      </w:r>
      <w:r>
        <w:rPr>
          <w:spacing w:val="-4"/>
        </w:rPr>
        <w:t>Nadu</w:t>
      </w:r>
      <w:r>
        <w:rPr>
          <w:spacing w:val="-10"/>
        </w:rPr>
        <w:t> </w:t>
      </w:r>
      <w:r>
        <w:rPr>
          <w:spacing w:val="-4"/>
        </w:rPr>
        <w:t>and</w:t>
      </w:r>
      <w:r>
        <w:rPr>
          <w:spacing w:val="-10"/>
        </w:rPr>
        <w:t> </w:t>
      </w:r>
      <w:r>
        <w:rPr>
          <w:spacing w:val="-4"/>
        </w:rPr>
        <w:t>Gujarat</w:t>
      </w:r>
      <w:r>
        <w:rPr>
          <w:spacing w:val="-10"/>
        </w:rPr>
        <w:t> </w:t>
      </w:r>
      <w:r>
        <w:rPr>
          <w:spacing w:val="-4"/>
        </w:rPr>
        <w:t>Government</w:t>
      </w:r>
      <w:r>
        <w:rPr>
          <w:spacing w:val="-9"/>
        </w:rPr>
        <w:t> </w:t>
      </w:r>
      <w:r>
        <w:rPr>
          <w:spacing w:val="-4"/>
        </w:rPr>
        <w:t>etc.</w:t>
      </w:r>
      <w:r>
        <w:rPr>
          <w:spacing w:val="-10"/>
        </w:rPr>
        <w:t> </w:t>
      </w:r>
      <w:r>
        <w:rPr>
          <w:spacing w:val="-4"/>
        </w:rPr>
        <w:t>are</w:t>
      </w:r>
      <w:r>
        <w:rPr>
          <w:spacing w:val="-10"/>
        </w:rPr>
        <w:t> </w:t>
      </w:r>
      <w:r>
        <w:rPr>
          <w:spacing w:val="-4"/>
        </w:rPr>
        <w:t>also</w:t>
      </w:r>
      <w:r>
        <w:rPr>
          <w:spacing w:val="-10"/>
        </w:rPr>
        <w:t> </w:t>
      </w:r>
      <w:r>
        <w:rPr>
          <w:spacing w:val="-4"/>
        </w:rPr>
        <w:t>good</w:t>
      </w:r>
      <w:r>
        <w:rPr>
          <w:spacing w:val="-9"/>
        </w:rPr>
        <w:t> </w:t>
      </w:r>
      <w:r>
        <w:rPr>
          <w:spacing w:val="-4"/>
        </w:rPr>
        <w:t>efforts </w:t>
      </w:r>
      <w:r>
        <w:rPr>
          <w:spacing w:val="-6"/>
        </w:rPr>
        <w:t>and should be replicated across India wherever possible.</w:t>
      </w:r>
    </w:p>
    <w:p>
      <w:pPr>
        <w:pStyle w:val="Heading7"/>
        <w:spacing w:line="225" w:lineRule="auto" w:before="248"/>
        <w:ind w:right="1075"/>
      </w:pPr>
      <w:r>
        <w:rPr>
          <w:color w:val="2E614A"/>
          <w:spacing w:val="-8"/>
        </w:rPr>
        <w:t>Recommendation 10: Encourage industry </w:t>
      </w:r>
      <w:r>
        <w:rPr>
          <w:color w:val="2E614A"/>
          <w:w w:val="90"/>
        </w:rPr>
        <w:t>participation</w:t>
      </w:r>
      <w:r>
        <w:rPr>
          <w:color w:val="2E614A"/>
          <w:spacing w:val="-2"/>
          <w:w w:val="90"/>
        </w:rPr>
        <w:t> </w:t>
      </w:r>
      <w:r>
        <w:rPr>
          <w:color w:val="2E614A"/>
          <w:w w:val="90"/>
        </w:rPr>
        <w:t>in</w:t>
      </w:r>
      <w:r>
        <w:rPr>
          <w:color w:val="2E614A"/>
          <w:spacing w:val="-2"/>
          <w:w w:val="90"/>
        </w:rPr>
        <w:t> </w:t>
      </w:r>
      <w:r>
        <w:rPr>
          <w:color w:val="2E614A"/>
          <w:w w:val="90"/>
        </w:rPr>
        <w:t>promoting</w:t>
      </w:r>
      <w:r>
        <w:rPr>
          <w:color w:val="2E614A"/>
          <w:spacing w:val="-2"/>
          <w:w w:val="90"/>
        </w:rPr>
        <w:t> </w:t>
      </w:r>
      <w:r>
        <w:rPr>
          <w:color w:val="2E614A"/>
          <w:w w:val="90"/>
        </w:rPr>
        <w:t>sciences</w:t>
      </w:r>
      <w:r>
        <w:rPr>
          <w:color w:val="2E614A"/>
          <w:spacing w:val="-1"/>
          <w:w w:val="90"/>
        </w:rPr>
        <w:t> </w:t>
      </w:r>
      <w:r>
        <w:rPr>
          <w:color w:val="2E614A"/>
          <w:w w:val="90"/>
        </w:rPr>
        <w:t>at</w:t>
      </w:r>
      <w:r>
        <w:rPr>
          <w:color w:val="2E614A"/>
          <w:spacing w:val="-2"/>
          <w:w w:val="90"/>
        </w:rPr>
        <w:t> </w:t>
      </w:r>
      <w:r>
        <w:rPr>
          <w:color w:val="2E614A"/>
          <w:w w:val="90"/>
        </w:rPr>
        <w:t>all</w:t>
      </w:r>
      <w:r>
        <w:rPr>
          <w:color w:val="2E614A"/>
          <w:spacing w:val="-2"/>
          <w:w w:val="90"/>
        </w:rPr>
        <w:t> levels</w:t>
      </w:r>
    </w:p>
    <w:p>
      <w:pPr>
        <w:pStyle w:val="BodyText"/>
        <w:spacing w:before="1"/>
        <w:rPr>
          <w:b/>
          <w:sz w:val="26"/>
        </w:rPr>
      </w:pPr>
    </w:p>
    <w:p>
      <w:pPr>
        <w:pStyle w:val="BodyText"/>
        <w:spacing w:line="266" w:lineRule="auto"/>
        <w:ind w:left="319" w:right="1077"/>
        <w:jc w:val="both"/>
      </w:pPr>
      <w:r>
        <w:rPr/>
        <w:t>Industry</w:t>
      </w:r>
      <w:r>
        <w:rPr>
          <w:spacing w:val="-14"/>
        </w:rPr>
        <w:t> </w:t>
      </w:r>
      <w:r>
        <w:rPr/>
        <w:t>participation</w:t>
      </w:r>
      <w:r>
        <w:rPr>
          <w:spacing w:val="-14"/>
        </w:rPr>
        <w:t> </w:t>
      </w:r>
      <w:r>
        <w:rPr/>
        <w:t>is</w:t>
      </w:r>
      <w:r>
        <w:rPr>
          <w:spacing w:val="-14"/>
        </w:rPr>
        <w:t> </w:t>
      </w:r>
      <w:r>
        <w:rPr/>
        <w:t>important</w:t>
      </w:r>
      <w:r>
        <w:rPr>
          <w:spacing w:val="-13"/>
        </w:rPr>
        <w:t> </w:t>
      </w:r>
      <w:r>
        <w:rPr/>
        <w:t>in</w:t>
      </w:r>
      <w:r>
        <w:rPr>
          <w:spacing w:val="-14"/>
        </w:rPr>
        <w:t> </w:t>
      </w:r>
      <w:r>
        <w:rPr/>
        <w:t>making</w:t>
      </w:r>
      <w:r>
        <w:rPr>
          <w:spacing w:val="-14"/>
        </w:rPr>
        <w:t> </w:t>
      </w:r>
      <w:r>
        <w:rPr/>
        <w:t>sciences </w:t>
      </w:r>
      <w:r>
        <w:rPr>
          <w:spacing w:val="-2"/>
        </w:rPr>
        <w:t>popular.</w:t>
      </w:r>
      <w:r>
        <w:rPr>
          <w:spacing w:val="-8"/>
        </w:rPr>
        <w:t> </w:t>
      </w:r>
      <w:r>
        <w:rPr>
          <w:spacing w:val="-2"/>
        </w:rPr>
        <w:t>As</w:t>
      </w:r>
      <w:r>
        <w:rPr>
          <w:spacing w:val="-8"/>
        </w:rPr>
        <w:t> </w:t>
      </w:r>
      <w:r>
        <w:rPr>
          <w:spacing w:val="-2"/>
        </w:rPr>
        <w:t>research</w:t>
      </w:r>
      <w:r>
        <w:rPr>
          <w:spacing w:val="-8"/>
        </w:rPr>
        <w:t> </w:t>
      </w:r>
      <w:r>
        <w:rPr>
          <w:spacing w:val="-2"/>
        </w:rPr>
        <w:t>based</w:t>
      </w:r>
      <w:r>
        <w:rPr>
          <w:spacing w:val="-8"/>
        </w:rPr>
        <w:t> </w:t>
      </w:r>
      <w:r>
        <w:rPr>
          <w:spacing w:val="-2"/>
        </w:rPr>
        <w:t>industries</w:t>
      </w:r>
      <w:r>
        <w:rPr>
          <w:spacing w:val="-8"/>
        </w:rPr>
        <w:t> </w:t>
      </w:r>
      <w:r>
        <w:rPr>
          <w:spacing w:val="-2"/>
        </w:rPr>
        <w:t>flourish</w:t>
      </w:r>
      <w:r>
        <w:rPr>
          <w:spacing w:val="-8"/>
        </w:rPr>
        <w:t> </w:t>
      </w:r>
      <w:r>
        <w:rPr>
          <w:spacing w:val="-2"/>
        </w:rPr>
        <w:t>in</w:t>
      </w:r>
      <w:r>
        <w:rPr>
          <w:spacing w:val="-8"/>
        </w:rPr>
        <w:t> </w:t>
      </w:r>
      <w:r>
        <w:rPr>
          <w:spacing w:val="-2"/>
        </w:rPr>
        <w:t>India, </w:t>
      </w:r>
      <w:r>
        <w:rPr>
          <w:spacing w:val="-8"/>
        </w:rPr>
        <w:t>more</w:t>
      </w:r>
      <w:r>
        <w:rPr/>
        <w:t> </w:t>
      </w:r>
      <w:r>
        <w:rPr>
          <w:spacing w:val="-8"/>
        </w:rPr>
        <w:t>and</w:t>
      </w:r>
      <w:r>
        <w:rPr/>
        <w:t> </w:t>
      </w:r>
      <w:r>
        <w:rPr>
          <w:spacing w:val="-8"/>
        </w:rPr>
        <w:t>more</w:t>
      </w:r>
      <w:r>
        <w:rPr/>
        <w:t> </w:t>
      </w:r>
      <w:r>
        <w:rPr>
          <w:spacing w:val="-8"/>
        </w:rPr>
        <w:t>companies</w:t>
      </w:r>
      <w:r>
        <w:rPr/>
        <w:t> </w:t>
      </w:r>
      <w:r>
        <w:rPr>
          <w:spacing w:val="-8"/>
        </w:rPr>
        <w:t>will</w:t>
      </w:r>
      <w:r>
        <w:rPr/>
        <w:t> </w:t>
      </w:r>
      <w:r>
        <w:rPr>
          <w:spacing w:val="-8"/>
        </w:rPr>
        <w:t>need</w:t>
      </w:r>
      <w:r>
        <w:rPr/>
        <w:t> </w:t>
      </w:r>
      <w:r>
        <w:rPr>
          <w:spacing w:val="-8"/>
        </w:rPr>
        <w:t>employees</w:t>
      </w:r>
      <w:r>
        <w:rPr/>
        <w:t> </w:t>
      </w:r>
      <w:r>
        <w:rPr>
          <w:spacing w:val="-8"/>
        </w:rPr>
        <w:t>qualified </w:t>
      </w:r>
      <w:r>
        <w:rPr>
          <w:w w:val="90"/>
        </w:rPr>
        <w:t>in basic sciences.</w:t>
      </w:r>
      <w:r>
        <w:rPr>
          <w:spacing w:val="-8"/>
          <w:w w:val="90"/>
        </w:rPr>
        <w:t> </w:t>
      </w:r>
      <w:r>
        <w:rPr>
          <w:w w:val="90"/>
        </w:rPr>
        <w:t>This will visibly provide more attractive </w:t>
      </w:r>
      <w:r>
        <w:rPr/>
        <w:t>career options.</w:t>
      </w:r>
    </w:p>
    <w:p>
      <w:pPr>
        <w:pStyle w:val="BodyText"/>
        <w:spacing w:before="23"/>
      </w:pPr>
    </w:p>
    <w:p>
      <w:pPr>
        <w:pStyle w:val="BodyText"/>
        <w:spacing w:line="266" w:lineRule="auto"/>
        <w:ind w:left="319" w:right="1077"/>
        <w:jc w:val="both"/>
      </w:pPr>
      <w:r>
        <w:rPr>
          <w:b/>
        </w:rPr>
        <w:t>Issues: </w:t>
      </w:r>
      <w:r>
        <w:rPr/>
        <w:t>The current industry participation in </w:t>
      </w:r>
      <w:r>
        <w:rPr/>
        <w:t>science </w:t>
      </w:r>
      <w:r>
        <w:rPr>
          <w:spacing w:val="-4"/>
        </w:rPr>
        <w:t>education</w:t>
      </w:r>
      <w:r>
        <w:rPr>
          <w:spacing w:val="-10"/>
        </w:rPr>
        <w:t> </w:t>
      </w:r>
      <w:r>
        <w:rPr>
          <w:spacing w:val="-4"/>
        </w:rPr>
        <w:t>is</w:t>
      </w:r>
      <w:r>
        <w:rPr>
          <w:spacing w:val="-10"/>
        </w:rPr>
        <w:t> </w:t>
      </w:r>
      <w:r>
        <w:rPr>
          <w:spacing w:val="-4"/>
        </w:rPr>
        <w:t>very</w:t>
      </w:r>
      <w:r>
        <w:rPr>
          <w:spacing w:val="-10"/>
        </w:rPr>
        <w:t> </w:t>
      </w:r>
      <w:r>
        <w:rPr>
          <w:spacing w:val="-4"/>
        </w:rPr>
        <w:t>low.</w:t>
      </w:r>
      <w:r>
        <w:rPr>
          <w:spacing w:val="-9"/>
        </w:rPr>
        <w:t> </w:t>
      </w:r>
      <w:r>
        <w:rPr>
          <w:spacing w:val="-4"/>
        </w:rPr>
        <w:t>It</w:t>
      </w:r>
      <w:r>
        <w:rPr>
          <w:spacing w:val="-10"/>
        </w:rPr>
        <w:t> </w:t>
      </w:r>
      <w:r>
        <w:rPr>
          <w:spacing w:val="-4"/>
        </w:rPr>
        <w:t>needs</w:t>
      </w:r>
      <w:r>
        <w:rPr>
          <w:spacing w:val="-10"/>
        </w:rPr>
        <w:t> </w:t>
      </w:r>
      <w:r>
        <w:rPr>
          <w:spacing w:val="-4"/>
        </w:rPr>
        <w:t>to</w:t>
      </w:r>
      <w:r>
        <w:rPr>
          <w:spacing w:val="-10"/>
        </w:rPr>
        <w:t> </w:t>
      </w:r>
      <w:r>
        <w:rPr>
          <w:spacing w:val="-4"/>
        </w:rPr>
        <w:t>be</w:t>
      </w:r>
      <w:r>
        <w:rPr>
          <w:spacing w:val="-9"/>
        </w:rPr>
        <w:t> </w:t>
      </w:r>
      <w:r>
        <w:rPr>
          <w:spacing w:val="-4"/>
        </w:rPr>
        <w:t>increased</w:t>
      </w:r>
      <w:r>
        <w:rPr>
          <w:spacing w:val="-10"/>
        </w:rPr>
        <w:t> </w:t>
      </w:r>
      <w:r>
        <w:rPr>
          <w:spacing w:val="-4"/>
        </w:rPr>
        <w:t>manifold. </w:t>
      </w:r>
      <w:r>
        <w:rPr/>
        <w:t>Companies need to realise that their investment in science education is a long term investment for their own benefit.</w:t>
      </w:r>
    </w:p>
    <w:p>
      <w:pPr>
        <w:pStyle w:val="BodyText"/>
        <w:spacing w:before="23"/>
      </w:pPr>
    </w:p>
    <w:p>
      <w:pPr>
        <w:pStyle w:val="ListParagraph"/>
        <w:numPr>
          <w:ilvl w:val="1"/>
          <w:numId w:val="30"/>
        </w:numPr>
        <w:tabs>
          <w:tab w:pos="749" w:val="left" w:leader="none"/>
        </w:tabs>
        <w:spacing w:line="266" w:lineRule="auto" w:before="0" w:after="0"/>
        <w:ind w:left="319" w:right="1077" w:firstLine="0"/>
        <w:jc w:val="both"/>
        <w:rPr>
          <w:sz w:val="22"/>
        </w:rPr>
      </w:pPr>
      <w:r>
        <w:rPr>
          <w:w w:val="90"/>
          <w:sz w:val="22"/>
        </w:rPr>
        <w:t>Select companies, which employ research </w:t>
      </w:r>
      <w:r>
        <w:rPr>
          <w:w w:val="90"/>
          <w:sz w:val="22"/>
        </w:rPr>
        <w:t>scientists, </w:t>
      </w:r>
      <w:r>
        <w:rPr>
          <w:sz w:val="22"/>
        </w:rPr>
        <w:t>can</w:t>
      </w:r>
      <w:r>
        <w:rPr>
          <w:spacing w:val="40"/>
          <w:sz w:val="22"/>
        </w:rPr>
        <w:t> </w:t>
      </w:r>
      <w:r>
        <w:rPr>
          <w:sz w:val="22"/>
        </w:rPr>
        <w:t>come</w:t>
      </w:r>
      <w:r>
        <w:rPr>
          <w:spacing w:val="40"/>
          <w:sz w:val="22"/>
        </w:rPr>
        <w:t> </w:t>
      </w:r>
      <w:r>
        <w:rPr>
          <w:sz w:val="22"/>
        </w:rPr>
        <w:t>forward</w:t>
      </w:r>
      <w:r>
        <w:rPr>
          <w:spacing w:val="40"/>
          <w:sz w:val="22"/>
        </w:rPr>
        <w:t> </w:t>
      </w:r>
      <w:r>
        <w:rPr>
          <w:sz w:val="22"/>
        </w:rPr>
        <w:t>to</w:t>
      </w:r>
      <w:r>
        <w:rPr>
          <w:spacing w:val="40"/>
          <w:sz w:val="22"/>
        </w:rPr>
        <w:t> </w:t>
      </w:r>
      <w:r>
        <w:rPr>
          <w:sz w:val="22"/>
        </w:rPr>
        <w:t>offer</w:t>
      </w:r>
      <w:r>
        <w:rPr>
          <w:spacing w:val="40"/>
          <w:sz w:val="22"/>
        </w:rPr>
        <w:t> </w:t>
      </w:r>
      <w:r>
        <w:rPr>
          <w:sz w:val="22"/>
        </w:rPr>
        <w:t>jobs</w:t>
      </w:r>
      <w:r>
        <w:rPr>
          <w:spacing w:val="40"/>
          <w:sz w:val="22"/>
        </w:rPr>
        <w:t> </w:t>
      </w:r>
      <w:r>
        <w:rPr>
          <w:sz w:val="22"/>
        </w:rPr>
        <w:t>to</w:t>
      </w:r>
      <w:r>
        <w:rPr>
          <w:spacing w:val="40"/>
          <w:sz w:val="22"/>
        </w:rPr>
        <w:t> </w:t>
      </w:r>
      <w:r>
        <w:rPr>
          <w:sz w:val="22"/>
        </w:rPr>
        <w:t>Ph.D</w:t>
      </w:r>
      <w:r>
        <w:rPr>
          <w:spacing w:val="40"/>
          <w:sz w:val="22"/>
        </w:rPr>
        <w:t> </w:t>
      </w:r>
      <w:r>
        <w:rPr>
          <w:sz w:val="22"/>
        </w:rPr>
        <w:t>students post completion of their doctoral degree. Ideally this commitment should be made at the time when a prospective</w:t>
      </w:r>
      <w:r>
        <w:rPr>
          <w:spacing w:val="-14"/>
          <w:sz w:val="22"/>
        </w:rPr>
        <w:t> </w:t>
      </w:r>
      <w:r>
        <w:rPr>
          <w:sz w:val="22"/>
        </w:rPr>
        <w:t>Ph.D</w:t>
      </w:r>
      <w:r>
        <w:rPr>
          <w:spacing w:val="-14"/>
          <w:sz w:val="22"/>
        </w:rPr>
        <w:t> </w:t>
      </w:r>
      <w:r>
        <w:rPr>
          <w:sz w:val="22"/>
        </w:rPr>
        <w:t>student</w:t>
      </w:r>
      <w:r>
        <w:rPr>
          <w:spacing w:val="-14"/>
          <w:sz w:val="22"/>
        </w:rPr>
        <w:t> </w:t>
      </w:r>
      <w:r>
        <w:rPr>
          <w:sz w:val="22"/>
        </w:rPr>
        <w:t>is</w:t>
      </w:r>
      <w:r>
        <w:rPr>
          <w:spacing w:val="-13"/>
          <w:sz w:val="22"/>
        </w:rPr>
        <w:t> </w:t>
      </w:r>
      <w:r>
        <w:rPr>
          <w:sz w:val="22"/>
        </w:rPr>
        <w:t>deciding</w:t>
      </w:r>
      <w:r>
        <w:rPr>
          <w:spacing w:val="-14"/>
          <w:sz w:val="22"/>
        </w:rPr>
        <w:t> </w:t>
      </w:r>
      <w:r>
        <w:rPr>
          <w:sz w:val="22"/>
        </w:rPr>
        <w:t>about</w:t>
      </w:r>
      <w:r>
        <w:rPr>
          <w:spacing w:val="-14"/>
          <w:sz w:val="22"/>
        </w:rPr>
        <w:t> </w:t>
      </w:r>
      <w:r>
        <w:rPr>
          <w:sz w:val="22"/>
        </w:rPr>
        <w:t>joining</w:t>
      </w:r>
      <w:r>
        <w:rPr>
          <w:spacing w:val="-14"/>
          <w:sz w:val="22"/>
        </w:rPr>
        <w:t> </w:t>
      </w:r>
      <w:r>
        <w:rPr>
          <w:sz w:val="22"/>
        </w:rPr>
        <w:t>the </w:t>
      </w:r>
      <w:r>
        <w:rPr>
          <w:spacing w:val="-2"/>
          <w:sz w:val="22"/>
        </w:rPr>
        <w:t>degree</w:t>
      </w:r>
      <w:r>
        <w:rPr>
          <w:spacing w:val="-12"/>
          <w:sz w:val="22"/>
        </w:rPr>
        <w:t> </w:t>
      </w:r>
      <w:r>
        <w:rPr>
          <w:spacing w:val="-2"/>
          <w:sz w:val="22"/>
        </w:rPr>
        <w:t>program.</w:t>
      </w:r>
      <w:r>
        <w:rPr>
          <w:spacing w:val="-12"/>
          <w:sz w:val="22"/>
        </w:rPr>
        <w:t> </w:t>
      </w:r>
      <w:r>
        <w:rPr>
          <w:spacing w:val="-2"/>
          <w:sz w:val="22"/>
        </w:rPr>
        <w:t>Some</w:t>
      </w:r>
      <w:r>
        <w:rPr>
          <w:spacing w:val="-12"/>
          <w:sz w:val="22"/>
        </w:rPr>
        <w:t> </w:t>
      </w:r>
      <w:r>
        <w:rPr>
          <w:spacing w:val="-2"/>
          <w:sz w:val="22"/>
        </w:rPr>
        <w:t>industries</w:t>
      </w:r>
      <w:r>
        <w:rPr>
          <w:spacing w:val="-11"/>
          <w:sz w:val="22"/>
        </w:rPr>
        <w:t> </w:t>
      </w:r>
      <w:r>
        <w:rPr>
          <w:spacing w:val="-2"/>
          <w:sz w:val="22"/>
        </w:rPr>
        <w:t>are</w:t>
      </w:r>
      <w:r>
        <w:rPr>
          <w:spacing w:val="-12"/>
          <w:sz w:val="22"/>
        </w:rPr>
        <w:t> </w:t>
      </w:r>
      <w:r>
        <w:rPr>
          <w:spacing w:val="-2"/>
          <w:sz w:val="22"/>
        </w:rPr>
        <w:t>already</w:t>
      </w:r>
      <w:r>
        <w:rPr>
          <w:spacing w:val="-12"/>
          <w:sz w:val="22"/>
        </w:rPr>
        <w:t> </w:t>
      </w:r>
      <w:r>
        <w:rPr>
          <w:spacing w:val="-2"/>
          <w:sz w:val="22"/>
        </w:rPr>
        <w:t>doing</w:t>
      </w:r>
      <w:r>
        <w:rPr>
          <w:spacing w:val="-12"/>
          <w:sz w:val="22"/>
        </w:rPr>
        <w:t> </w:t>
      </w:r>
      <w:r>
        <w:rPr>
          <w:spacing w:val="-2"/>
          <w:sz w:val="22"/>
        </w:rPr>
        <w:t>this </w:t>
      </w:r>
      <w:r>
        <w:rPr>
          <w:sz w:val="22"/>
        </w:rPr>
        <w:t>in</w:t>
      </w:r>
      <w:r>
        <w:rPr>
          <w:spacing w:val="-4"/>
          <w:sz w:val="22"/>
        </w:rPr>
        <w:t> </w:t>
      </w:r>
      <w:r>
        <w:rPr>
          <w:sz w:val="22"/>
        </w:rPr>
        <w:t>Computer</w:t>
      </w:r>
      <w:r>
        <w:rPr>
          <w:spacing w:val="-5"/>
          <w:sz w:val="22"/>
        </w:rPr>
        <w:t> </w:t>
      </w:r>
      <w:r>
        <w:rPr>
          <w:sz w:val="22"/>
        </w:rPr>
        <w:t>Science.</w:t>
      </w:r>
      <w:r>
        <w:rPr>
          <w:spacing w:val="-5"/>
          <w:sz w:val="22"/>
        </w:rPr>
        <w:t> </w:t>
      </w:r>
      <w:r>
        <w:rPr>
          <w:sz w:val="22"/>
        </w:rPr>
        <w:t>Industry</w:t>
      </w:r>
      <w:r>
        <w:rPr>
          <w:spacing w:val="-4"/>
          <w:sz w:val="22"/>
        </w:rPr>
        <w:t> </w:t>
      </w:r>
      <w:r>
        <w:rPr>
          <w:sz w:val="22"/>
        </w:rPr>
        <w:t>can</w:t>
      </w:r>
      <w:r>
        <w:rPr>
          <w:spacing w:val="-4"/>
          <w:sz w:val="22"/>
        </w:rPr>
        <w:t> </w:t>
      </w:r>
      <w:r>
        <w:rPr>
          <w:sz w:val="22"/>
        </w:rPr>
        <w:t>sponsor</w:t>
      </w:r>
      <w:r>
        <w:rPr>
          <w:spacing w:val="-5"/>
          <w:sz w:val="22"/>
        </w:rPr>
        <w:t> </w:t>
      </w:r>
      <w:r>
        <w:rPr>
          <w:sz w:val="22"/>
        </w:rPr>
        <w:t>Ph.Ds</w:t>
      </w:r>
      <w:r>
        <w:rPr>
          <w:spacing w:val="-5"/>
          <w:sz w:val="22"/>
        </w:rPr>
        <w:t> </w:t>
      </w:r>
      <w:r>
        <w:rPr>
          <w:sz w:val="22"/>
        </w:rPr>
        <w:t>for students after setting some certain minimum criteria or it can hire students at master’s level and provide scholarships to pursue Ph.D in chosen fields.</w:t>
      </w:r>
    </w:p>
    <w:p>
      <w:pPr>
        <w:pStyle w:val="BodyText"/>
        <w:spacing w:before="19"/>
      </w:pPr>
    </w:p>
    <w:p>
      <w:pPr>
        <w:pStyle w:val="ListParagraph"/>
        <w:numPr>
          <w:ilvl w:val="1"/>
          <w:numId w:val="30"/>
        </w:numPr>
        <w:tabs>
          <w:tab w:pos="796" w:val="left" w:leader="none"/>
        </w:tabs>
        <w:spacing w:line="266" w:lineRule="auto" w:before="0" w:after="0"/>
        <w:ind w:left="319" w:right="1077" w:firstLine="0"/>
        <w:jc w:val="both"/>
        <w:rPr>
          <w:sz w:val="22"/>
        </w:rPr>
      </w:pPr>
      <w:r>
        <w:rPr>
          <w:sz w:val="22"/>
        </w:rPr>
        <w:t>Industry internships of longer duration for </w:t>
      </w:r>
      <w:r>
        <w:rPr>
          <w:sz w:val="22"/>
        </w:rPr>
        <w:t>post graduate students should be encouraged for students who intend to pursue a career in industry. This will </w:t>
      </w:r>
      <w:r>
        <w:rPr>
          <w:spacing w:val="-4"/>
          <w:sz w:val="22"/>
        </w:rPr>
        <w:t>enable</w:t>
      </w:r>
      <w:r>
        <w:rPr>
          <w:spacing w:val="-7"/>
          <w:sz w:val="22"/>
        </w:rPr>
        <w:t> </w:t>
      </w:r>
      <w:r>
        <w:rPr>
          <w:spacing w:val="-4"/>
          <w:sz w:val="22"/>
        </w:rPr>
        <w:t>them</w:t>
      </w:r>
      <w:r>
        <w:rPr>
          <w:spacing w:val="-7"/>
          <w:sz w:val="22"/>
        </w:rPr>
        <w:t> </w:t>
      </w:r>
      <w:r>
        <w:rPr>
          <w:spacing w:val="-4"/>
          <w:sz w:val="22"/>
        </w:rPr>
        <w:t>to</w:t>
      </w:r>
      <w:r>
        <w:rPr>
          <w:spacing w:val="-7"/>
          <w:sz w:val="22"/>
        </w:rPr>
        <w:t> </w:t>
      </w:r>
      <w:r>
        <w:rPr>
          <w:spacing w:val="-4"/>
          <w:sz w:val="22"/>
        </w:rPr>
        <w:t>learn</w:t>
      </w:r>
      <w:r>
        <w:rPr>
          <w:spacing w:val="-7"/>
          <w:sz w:val="22"/>
        </w:rPr>
        <w:t> </w:t>
      </w:r>
      <w:r>
        <w:rPr>
          <w:spacing w:val="-4"/>
          <w:sz w:val="22"/>
        </w:rPr>
        <w:t>work</w:t>
      </w:r>
      <w:r>
        <w:rPr>
          <w:spacing w:val="-7"/>
          <w:sz w:val="22"/>
        </w:rPr>
        <w:t> </w:t>
      </w:r>
      <w:r>
        <w:rPr>
          <w:spacing w:val="-4"/>
          <w:sz w:val="22"/>
        </w:rPr>
        <w:t>place</w:t>
      </w:r>
      <w:r>
        <w:rPr>
          <w:spacing w:val="-7"/>
          <w:sz w:val="22"/>
        </w:rPr>
        <w:t> </w:t>
      </w:r>
      <w:r>
        <w:rPr>
          <w:spacing w:val="-4"/>
          <w:sz w:val="22"/>
        </w:rPr>
        <w:t>skills</w:t>
      </w:r>
      <w:r>
        <w:rPr>
          <w:spacing w:val="-7"/>
          <w:sz w:val="22"/>
        </w:rPr>
        <w:t> </w:t>
      </w:r>
      <w:r>
        <w:rPr>
          <w:spacing w:val="-4"/>
          <w:sz w:val="22"/>
        </w:rPr>
        <w:t>as</w:t>
      </w:r>
      <w:r>
        <w:rPr>
          <w:spacing w:val="-7"/>
          <w:sz w:val="22"/>
        </w:rPr>
        <w:t> </w:t>
      </w:r>
      <w:r>
        <w:rPr>
          <w:spacing w:val="-4"/>
          <w:sz w:val="22"/>
        </w:rPr>
        <w:t>well</w:t>
      </w:r>
      <w:r>
        <w:rPr>
          <w:spacing w:val="-7"/>
          <w:sz w:val="22"/>
        </w:rPr>
        <w:t> </w:t>
      </w:r>
      <w:r>
        <w:rPr>
          <w:spacing w:val="-4"/>
          <w:sz w:val="22"/>
        </w:rPr>
        <w:t>as</w:t>
      </w:r>
      <w:r>
        <w:rPr>
          <w:spacing w:val="-7"/>
          <w:sz w:val="22"/>
        </w:rPr>
        <w:t> </w:t>
      </w:r>
      <w:r>
        <w:rPr>
          <w:spacing w:val="-4"/>
          <w:sz w:val="22"/>
        </w:rPr>
        <w:t>expose them</w:t>
      </w:r>
      <w:r>
        <w:rPr>
          <w:spacing w:val="-10"/>
          <w:sz w:val="22"/>
        </w:rPr>
        <w:t> </w:t>
      </w:r>
      <w:r>
        <w:rPr>
          <w:spacing w:val="-4"/>
          <w:sz w:val="22"/>
        </w:rPr>
        <w:t>to</w:t>
      </w:r>
      <w:r>
        <w:rPr>
          <w:spacing w:val="-10"/>
          <w:sz w:val="22"/>
        </w:rPr>
        <w:t> </w:t>
      </w:r>
      <w:r>
        <w:rPr>
          <w:spacing w:val="-4"/>
          <w:sz w:val="22"/>
        </w:rPr>
        <w:t>latest</w:t>
      </w:r>
      <w:r>
        <w:rPr>
          <w:spacing w:val="-10"/>
          <w:sz w:val="22"/>
        </w:rPr>
        <w:t> </w:t>
      </w:r>
      <w:r>
        <w:rPr>
          <w:spacing w:val="-4"/>
          <w:sz w:val="22"/>
        </w:rPr>
        <w:t>technologies</w:t>
      </w:r>
      <w:r>
        <w:rPr>
          <w:spacing w:val="-9"/>
          <w:sz w:val="22"/>
        </w:rPr>
        <w:t> </w:t>
      </w:r>
      <w:r>
        <w:rPr>
          <w:spacing w:val="-4"/>
          <w:sz w:val="22"/>
        </w:rPr>
        <w:t>and</w:t>
      </w:r>
      <w:r>
        <w:rPr>
          <w:spacing w:val="-10"/>
          <w:sz w:val="22"/>
        </w:rPr>
        <w:t> </w:t>
      </w:r>
      <w:r>
        <w:rPr>
          <w:spacing w:val="-4"/>
          <w:sz w:val="22"/>
        </w:rPr>
        <w:t>research</w:t>
      </w:r>
      <w:r>
        <w:rPr>
          <w:spacing w:val="-10"/>
          <w:sz w:val="22"/>
        </w:rPr>
        <w:t> </w:t>
      </w:r>
      <w:r>
        <w:rPr>
          <w:spacing w:val="-4"/>
          <w:sz w:val="22"/>
        </w:rPr>
        <w:t>methodologies. Industry</w:t>
      </w:r>
      <w:r>
        <w:rPr>
          <w:spacing w:val="-10"/>
          <w:sz w:val="22"/>
        </w:rPr>
        <w:t> </w:t>
      </w:r>
      <w:r>
        <w:rPr>
          <w:spacing w:val="-4"/>
          <w:sz w:val="22"/>
        </w:rPr>
        <w:t>should</w:t>
      </w:r>
      <w:r>
        <w:rPr>
          <w:spacing w:val="-9"/>
          <w:sz w:val="22"/>
        </w:rPr>
        <w:t> </w:t>
      </w:r>
      <w:r>
        <w:rPr>
          <w:spacing w:val="-4"/>
          <w:sz w:val="22"/>
        </w:rPr>
        <w:t>also</w:t>
      </w:r>
      <w:r>
        <w:rPr>
          <w:spacing w:val="-10"/>
          <w:sz w:val="22"/>
        </w:rPr>
        <w:t> </w:t>
      </w:r>
      <w:r>
        <w:rPr>
          <w:spacing w:val="-4"/>
          <w:sz w:val="22"/>
        </w:rPr>
        <w:t>devise</w:t>
      </w:r>
      <w:r>
        <w:rPr>
          <w:spacing w:val="-9"/>
          <w:sz w:val="22"/>
        </w:rPr>
        <w:t> </w:t>
      </w:r>
      <w:r>
        <w:rPr>
          <w:spacing w:val="-4"/>
          <w:sz w:val="22"/>
        </w:rPr>
        <w:t>methods</w:t>
      </w:r>
      <w:r>
        <w:rPr>
          <w:spacing w:val="-10"/>
          <w:sz w:val="22"/>
        </w:rPr>
        <w:t> </w:t>
      </w:r>
      <w:r>
        <w:rPr>
          <w:spacing w:val="-4"/>
          <w:sz w:val="22"/>
        </w:rPr>
        <w:t>to</w:t>
      </w:r>
      <w:r>
        <w:rPr>
          <w:spacing w:val="-9"/>
          <w:sz w:val="22"/>
        </w:rPr>
        <w:t> </w:t>
      </w:r>
      <w:r>
        <w:rPr>
          <w:spacing w:val="-4"/>
          <w:sz w:val="22"/>
        </w:rPr>
        <w:t>optimally</w:t>
      </w:r>
      <w:r>
        <w:rPr>
          <w:spacing w:val="-10"/>
          <w:sz w:val="22"/>
        </w:rPr>
        <w:t> </w:t>
      </w:r>
      <w:r>
        <w:rPr>
          <w:spacing w:val="-4"/>
          <w:sz w:val="22"/>
        </w:rPr>
        <w:t>utilise </w:t>
      </w:r>
      <w:r>
        <w:rPr>
          <w:sz w:val="22"/>
        </w:rPr>
        <w:t>the student’s stay in their workplace.</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ListParagraph"/>
        <w:numPr>
          <w:ilvl w:val="1"/>
          <w:numId w:val="30"/>
        </w:numPr>
        <w:tabs>
          <w:tab w:pos="1520" w:val="left" w:leader="none"/>
        </w:tabs>
        <w:spacing w:line="266" w:lineRule="auto" w:before="57" w:after="0"/>
        <w:ind w:left="1080" w:right="0" w:firstLine="0"/>
        <w:jc w:val="both"/>
        <w:rPr>
          <w:sz w:val="22"/>
        </w:rPr>
      </w:pPr>
      <w:r>
        <w:rPr>
          <w:w w:val="90"/>
          <w:sz w:val="22"/>
        </w:rPr>
        <w:t>At bachelor’s level, employable skills like </w:t>
      </w:r>
      <w:r>
        <w:rPr>
          <w:w w:val="90"/>
          <w:sz w:val="22"/>
        </w:rPr>
        <w:t>computer </w:t>
      </w:r>
      <w:r>
        <w:rPr>
          <w:sz w:val="22"/>
        </w:rPr>
        <w:t>training,</w:t>
      </w:r>
      <w:r>
        <w:rPr>
          <w:spacing w:val="-14"/>
          <w:sz w:val="22"/>
        </w:rPr>
        <w:t> </w:t>
      </w:r>
      <w:r>
        <w:rPr>
          <w:sz w:val="22"/>
        </w:rPr>
        <w:t>communication</w:t>
      </w:r>
      <w:r>
        <w:rPr>
          <w:spacing w:val="-14"/>
          <w:sz w:val="22"/>
        </w:rPr>
        <w:t> </w:t>
      </w:r>
      <w:r>
        <w:rPr>
          <w:sz w:val="22"/>
        </w:rPr>
        <w:t>skills</w:t>
      </w:r>
      <w:r>
        <w:rPr>
          <w:spacing w:val="-14"/>
          <w:sz w:val="22"/>
        </w:rPr>
        <w:t> </w:t>
      </w:r>
      <w:r>
        <w:rPr>
          <w:sz w:val="22"/>
        </w:rPr>
        <w:t>etc.</w:t>
      </w:r>
      <w:r>
        <w:rPr>
          <w:spacing w:val="-13"/>
          <w:sz w:val="22"/>
        </w:rPr>
        <w:t> </w:t>
      </w:r>
      <w:r>
        <w:rPr>
          <w:sz w:val="22"/>
        </w:rPr>
        <w:t>should</w:t>
      </w:r>
      <w:r>
        <w:rPr>
          <w:spacing w:val="-14"/>
          <w:sz w:val="22"/>
        </w:rPr>
        <w:t> </w:t>
      </w:r>
      <w:r>
        <w:rPr>
          <w:sz w:val="22"/>
        </w:rPr>
        <w:t>be</w:t>
      </w:r>
      <w:r>
        <w:rPr>
          <w:spacing w:val="-14"/>
          <w:sz w:val="22"/>
        </w:rPr>
        <w:t> </w:t>
      </w:r>
      <w:r>
        <w:rPr>
          <w:sz w:val="22"/>
        </w:rPr>
        <w:t>included in</w:t>
      </w:r>
      <w:r>
        <w:rPr>
          <w:spacing w:val="-8"/>
          <w:sz w:val="22"/>
        </w:rPr>
        <w:t> </w:t>
      </w:r>
      <w:r>
        <w:rPr>
          <w:sz w:val="22"/>
        </w:rPr>
        <w:t>the</w:t>
      </w:r>
      <w:r>
        <w:rPr>
          <w:spacing w:val="-8"/>
          <w:sz w:val="22"/>
        </w:rPr>
        <w:t> </w:t>
      </w:r>
      <w:r>
        <w:rPr>
          <w:sz w:val="22"/>
        </w:rPr>
        <w:t>curriculum.</w:t>
      </w:r>
      <w:r>
        <w:rPr>
          <w:spacing w:val="-8"/>
          <w:sz w:val="22"/>
        </w:rPr>
        <w:t> </w:t>
      </w:r>
      <w:r>
        <w:rPr>
          <w:sz w:val="22"/>
        </w:rPr>
        <w:t>Undergraduates</w:t>
      </w:r>
      <w:r>
        <w:rPr>
          <w:spacing w:val="-8"/>
          <w:sz w:val="22"/>
        </w:rPr>
        <w:t> </w:t>
      </w:r>
      <w:r>
        <w:rPr>
          <w:sz w:val="22"/>
        </w:rPr>
        <w:t>should</w:t>
      </w:r>
      <w:r>
        <w:rPr>
          <w:spacing w:val="-8"/>
          <w:sz w:val="22"/>
        </w:rPr>
        <w:t> </w:t>
      </w:r>
      <w:r>
        <w:rPr>
          <w:sz w:val="22"/>
        </w:rPr>
        <w:t>be</w:t>
      </w:r>
      <w:r>
        <w:rPr>
          <w:spacing w:val="-8"/>
          <w:sz w:val="22"/>
        </w:rPr>
        <w:t> </w:t>
      </w:r>
      <w:r>
        <w:rPr>
          <w:sz w:val="22"/>
        </w:rPr>
        <w:t>exposed to industry problems through seminars and popular science</w:t>
      </w:r>
      <w:r>
        <w:rPr>
          <w:spacing w:val="-5"/>
          <w:sz w:val="22"/>
        </w:rPr>
        <w:t> </w:t>
      </w:r>
      <w:r>
        <w:rPr>
          <w:sz w:val="22"/>
        </w:rPr>
        <w:t>lectures</w:t>
      </w:r>
      <w:r>
        <w:rPr>
          <w:spacing w:val="-5"/>
          <w:sz w:val="22"/>
        </w:rPr>
        <w:t> </w:t>
      </w:r>
      <w:r>
        <w:rPr>
          <w:sz w:val="22"/>
        </w:rPr>
        <w:t>by</w:t>
      </w:r>
      <w:r>
        <w:rPr>
          <w:spacing w:val="-5"/>
          <w:sz w:val="22"/>
        </w:rPr>
        <w:t> </w:t>
      </w:r>
      <w:r>
        <w:rPr>
          <w:sz w:val="22"/>
        </w:rPr>
        <w:t>industry</w:t>
      </w:r>
      <w:r>
        <w:rPr>
          <w:spacing w:val="-5"/>
          <w:sz w:val="22"/>
        </w:rPr>
        <w:t> </w:t>
      </w:r>
      <w:r>
        <w:rPr>
          <w:sz w:val="22"/>
        </w:rPr>
        <w:t>leaders.</w:t>
      </w:r>
      <w:r>
        <w:rPr>
          <w:spacing w:val="-10"/>
          <w:sz w:val="22"/>
        </w:rPr>
        <w:t> </w:t>
      </w:r>
      <w:r>
        <w:rPr>
          <w:sz w:val="22"/>
        </w:rPr>
        <w:t>This</w:t>
      </w:r>
      <w:r>
        <w:rPr>
          <w:spacing w:val="-5"/>
          <w:sz w:val="22"/>
        </w:rPr>
        <w:t> </w:t>
      </w:r>
      <w:r>
        <w:rPr>
          <w:sz w:val="22"/>
        </w:rPr>
        <w:t>will</w:t>
      </w:r>
      <w:r>
        <w:rPr>
          <w:spacing w:val="-5"/>
          <w:sz w:val="22"/>
        </w:rPr>
        <w:t> </w:t>
      </w:r>
      <w:r>
        <w:rPr>
          <w:sz w:val="22"/>
        </w:rPr>
        <w:t>engage </w:t>
      </w:r>
      <w:r>
        <w:rPr>
          <w:spacing w:val="-2"/>
          <w:sz w:val="22"/>
        </w:rPr>
        <w:t>students</w:t>
      </w:r>
      <w:r>
        <w:rPr>
          <w:spacing w:val="-10"/>
          <w:sz w:val="22"/>
        </w:rPr>
        <w:t> </w:t>
      </w:r>
      <w:r>
        <w:rPr>
          <w:spacing w:val="-2"/>
          <w:sz w:val="22"/>
        </w:rPr>
        <w:t>in</w:t>
      </w:r>
      <w:r>
        <w:rPr>
          <w:spacing w:val="-10"/>
          <w:sz w:val="22"/>
        </w:rPr>
        <w:t> </w:t>
      </w:r>
      <w:r>
        <w:rPr>
          <w:spacing w:val="-2"/>
          <w:sz w:val="22"/>
        </w:rPr>
        <w:t>scientific</w:t>
      </w:r>
      <w:r>
        <w:rPr>
          <w:spacing w:val="-10"/>
          <w:sz w:val="22"/>
        </w:rPr>
        <w:t> </w:t>
      </w:r>
      <w:r>
        <w:rPr>
          <w:spacing w:val="-2"/>
          <w:sz w:val="22"/>
        </w:rPr>
        <w:t>issues</w:t>
      </w:r>
      <w:r>
        <w:rPr>
          <w:spacing w:val="-10"/>
          <w:sz w:val="22"/>
        </w:rPr>
        <w:t> </w:t>
      </w:r>
      <w:r>
        <w:rPr>
          <w:spacing w:val="-2"/>
          <w:sz w:val="22"/>
        </w:rPr>
        <w:t>and</w:t>
      </w:r>
      <w:r>
        <w:rPr>
          <w:spacing w:val="-10"/>
          <w:sz w:val="22"/>
        </w:rPr>
        <w:t> </w:t>
      </w:r>
      <w:r>
        <w:rPr>
          <w:spacing w:val="-2"/>
          <w:sz w:val="22"/>
        </w:rPr>
        <w:t>motivate</w:t>
      </w:r>
      <w:r>
        <w:rPr>
          <w:spacing w:val="-10"/>
          <w:sz w:val="22"/>
        </w:rPr>
        <w:t> </w:t>
      </w:r>
      <w:r>
        <w:rPr>
          <w:spacing w:val="-2"/>
          <w:sz w:val="22"/>
        </w:rPr>
        <w:t>them</w:t>
      </w:r>
      <w:r>
        <w:rPr>
          <w:spacing w:val="-10"/>
          <w:sz w:val="22"/>
        </w:rPr>
        <w:t> </w:t>
      </w:r>
      <w:r>
        <w:rPr>
          <w:spacing w:val="-2"/>
          <w:sz w:val="22"/>
        </w:rPr>
        <w:t>to</w:t>
      </w:r>
      <w:r>
        <w:rPr>
          <w:spacing w:val="-10"/>
          <w:sz w:val="22"/>
        </w:rPr>
        <w:t> </w:t>
      </w:r>
      <w:r>
        <w:rPr>
          <w:spacing w:val="-2"/>
          <w:sz w:val="22"/>
        </w:rPr>
        <w:t>solve </w:t>
      </w:r>
      <w:r>
        <w:rPr>
          <w:sz w:val="22"/>
        </w:rPr>
        <w:t>some of these problems in the future.</w:t>
      </w:r>
    </w:p>
    <w:p>
      <w:pPr>
        <w:pStyle w:val="BodyText"/>
        <w:spacing w:before="21"/>
      </w:pPr>
    </w:p>
    <w:p>
      <w:pPr>
        <w:pStyle w:val="ListParagraph"/>
        <w:numPr>
          <w:ilvl w:val="1"/>
          <w:numId w:val="30"/>
        </w:numPr>
        <w:tabs>
          <w:tab w:pos="1519" w:val="left" w:leader="none"/>
        </w:tabs>
        <w:spacing w:line="266" w:lineRule="auto" w:before="1" w:after="0"/>
        <w:ind w:left="1080" w:right="0" w:firstLine="0"/>
        <w:jc w:val="both"/>
        <w:rPr>
          <w:sz w:val="22"/>
        </w:rPr>
      </w:pPr>
      <w:r>
        <w:rPr>
          <w:spacing w:val="-4"/>
          <w:sz w:val="22"/>
        </w:rPr>
        <w:t>Teaching aids: Industry can participate in </w:t>
      </w:r>
      <w:r>
        <w:rPr>
          <w:spacing w:val="-4"/>
          <w:sz w:val="22"/>
        </w:rPr>
        <w:t>creating </w:t>
      </w:r>
      <w:r>
        <w:rPr>
          <w:sz w:val="22"/>
        </w:rPr>
        <w:t>study</w:t>
      </w:r>
      <w:r>
        <w:rPr>
          <w:spacing w:val="-14"/>
          <w:sz w:val="22"/>
        </w:rPr>
        <w:t> </w:t>
      </w:r>
      <w:r>
        <w:rPr>
          <w:sz w:val="22"/>
        </w:rPr>
        <w:t>material</w:t>
      </w:r>
      <w:r>
        <w:rPr>
          <w:spacing w:val="-13"/>
          <w:sz w:val="22"/>
        </w:rPr>
        <w:t> </w:t>
      </w:r>
      <w:r>
        <w:rPr>
          <w:sz w:val="22"/>
        </w:rPr>
        <w:t>which</w:t>
      </w:r>
      <w:r>
        <w:rPr>
          <w:spacing w:val="-14"/>
          <w:sz w:val="22"/>
        </w:rPr>
        <w:t> </w:t>
      </w:r>
      <w:r>
        <w:rPr>
          <w:sz w:val="22"/>
        </w:rPr>
        <w:t>can</w:t>
      </w:r>
      <w:r>
        <w:rPr>
          <w:spacing w:val="-13"/>
          <w:sz w:val="22"/>
        </w:rPr>
        <w:t> </w:t>
      </w:r>
      <w:r>
        <w:rPr>
          <w:sz w:val="22"/>
        </w:rPr>
        <w:t>be</w:t>
      </w:r>
      <w:r>
        <w:rPr>
          <w:spacing w:val="-14"/>
          <w:sz w:val="22"/>
        </w:rPr>
        <w:t> </w:t>
      </w:r>
      <w:r>
        <w:rPr>
          <w:sz w:val="22"/>
        </w:rPr>
        <w:t>directly</w:t>
      </w:r>
      <w:r>
        <w:rPr>
          <w:spacing w:val="-13"/>
          <w:sz w:val="22"/>
        </w:rPr>
        <w:t> </w:t>
      </w:r>
      <w:r>
        <w:rPr>
          <w:sz w:val="22"/>
        </w:rPr>
        <w:t>used</w:t>
      </w:r>
      <w:r>
        <w:rPr>
          <w:spacing w:val="-14"/>
          <w:sz w:val="22"/>
        </w:rPr>
        <w:t> </w:t>
      </w:r>
      <w:r>
        <w:rPr>
          <w:sz w:val="22"/>
        </w:rPr>
        <w:t>by</w:t>
      </w:r>
      <w:r>
        <w:rPr>
          <w:spacing w:val="-13"/>
          <w:sz w:val="22"/>
        </w:rPr>
        <w:t> </w:t>
      </w:r>
      <w:r>
        <w:rPr>
          <w:sz w:val="22"/>
        </w:rPr>
        <w:t>students. Self learning should be promoted at all levels. The massive efforts required in translating science study material into local languages can be undertaken by companies</w:t>
      </w:r>
      <w:r>
        <w:rPr>
          <w:spacing w:val="-9"/>
          <w:sz w:val="22"/>
        </w:rPr>
        <w:t> </w:t>
      </w:r>
      <w:r>
        <w:rPr>
          <w:sz w:val="22"/>
        </w:rPr>
        <w:t>which</w:t>
      </w:r>
      <w:r>
        <w:rPr>
          <w:spacing w:val="-9"/>
          <w:sz w:val="22"/>
        </w:rPr>
        <w:t> </w:t>
      </w:r>
      <w:r>
        <w:rPr>
          <w:sz w:val="22"/>
        </w:rPr>
        <w:t>have</w:t>
      </w:r>
      <w:r>
        <w:rPr>
          <w:spacing w:val="-10"/>
          <w:sz w:val="22"/>
        </w:rPr>
        <w:t> </w:t>
      </w:r>
      <w:r>
        <w:rPr>
          <w:sz w:val="22"/>
        </w:rPr>
        <w:t>some</w:t>
      </w:r>
      <w:r>
        <w:rPr>
          <w:spacing w:val="-9"/>
          <w:sz w:val="22"/>
        </w:rPr>
        <w:t> </w:t>
      </w:r>
      <w:r>
        <w:rPr>
          <w:sz w:val="22"/>
        </w:rPr>
        <w:t>expertise</w:t>
      </w:r>
      <w:r>
        <w:rPr>
          <w:spacing w:val="-9"/>
          <w:sz w:val="22"/>
        </w:rPr>
        <w:t> </w:t>
      </w:r>
      <w:r>
        <w:rPr>
          <w:sz w:val="22"/>
        </w:rPr>
        <w:t>in</w:t>
      </w:r>
      <w:r>
        <w:rPr>
          <w:spacing w:val="-10"/>
          <w:sz w:val="22"/>
        </w:rPr>
        <w:t> </w:t>
      </w:r>
      <w:r>
        <w:rPr>
          <w:sz w:val="22"/>
        </w:rPr>
        <w:t>this</w:t>
      </w:r>
      <w:r>
        <w:rPr>
          <w:spacing w:val="-9"/>
          <w:sz w:val="22"/>
        </w:rPr>
        <w:t> </w:t>
      </w:r>
      <w:r>
        <w:rPr>
          <w:sz w:val="22"/>
        </w:rPr>
        <w:t>field.</w:t>
      </w:r>
    </w:p>
    <w:p>
      <w:pPr>
        <w:pStyle w:val="BodyText"/>
        <w:spacing w:before="22"/>
      </w:pPr>
    </w:p>
    <w:p>
      <w:pPr>
        <w:pStyle w:val="ListParagraph"/>
        <w:numPr>
          <w:ilvl w:val="1"/>
          <w:numId w:val="30"/>
        </w:numPr>
        <w:tabs>
          <w:tab w:pos="1507" w:val="left" w:leader="none"/>
        </w:tabs>
        <w:spacing w:line="266" w:lineRule="auto" w:before="0" w:after="0"/>
        <w:ind w:left="1080" w:right="0" w:firstLine="0"/>
        <w:jc w:val="both"/>
        <w:rPr>
          <w:sz w:val="22"/>
        </w:rPr>
      </w:pPr>
      <w:r>
        <w:rPr>
          <w:w w:val="90"/>
          <w:sz w:val="22"/>
        </w:rPr>
        <w:t>Industry sponsorships for science fairs, </w:t>
      </w:r>
      <w:r>
        <w:rPr>
          <w:w w:val="90"/>
          <w:sz w:val="22"/>
        </w:rPr>
        <w:t>laboratories, </w:t>
      </w:r>
      <w:r>
        <w:rPr>
          <w:sz w:val="22"/>
        </w:rPr>
        <w:t>science centres and mobile labs should be sought. A mutually beneficial partnership can be worked out </w:t>
      </w:r>
      <w:r>
        <w:rPr>
          <w:spacing w:val="-2"/>
          <w:sz w:val="22"/>
        </w:rPr>
        <w:t>between</w:t>
      </w:r>
      <w:r>
        <w:rPr>
          <w:spacing w:val="-5"/>
          <w:sz w:val="22"/>
        </w:rPr>
        <w:t> </w:t>
      </w:r>
      <w:r>
        <w:rPr>
          <w:spacing w:val="-2"/>
          <w:sz w:val="22"/>
        </w:rPr>
        <w:t>universities,</w:t>
      </w:r>
      <w:r>
        <w:rPr>
          <w:spacing w:val="-5"/>
          <w:sz w:val="22"/>
        </w:rPr>
        <w:t> </w:t>
      </w:r>
      <w:r>
        <w:rPr>
          <w:spacing w:val="-2"/>
          <w:sz w:val="22"/>
        </w:rPr>
        <w:t>NGOs</w:t>
      </w:r>
      <w:r>
        <w:rPr>
          <w:spacing w:val="-5"/>
          <w:sz w:val="22"/>
        </w:rPr>
        <w:t> </w:t>
      </w:r>
      <w:r>
        <w:rPr>
          <w:spacing w:val="-2"/>
          <w:sz w:val="22"/>
        </w:rPr>
        <w:t>and</w:t>
      </w:r>
      <w:r>
        <w:rPr>
          <w:spacing w:val="-5"/>
          <w:sz w:val="22"/>
        </w:rPr>
        <w:t> </w:t>
      </w:r>
      <w:r>
        <w:rPr>
          <w:spacing w:val="-2"/>
          <w:sz w:val="22"/>
        </w:rPr>
        <w:t>industries</w:t>
      </w:r>
      <w:r>
        <w:rPr>
          <w:spacing w:val="-5"/>
          <w:sz w:val="22"/>
        </w:rPr>
        <w:t> </w:t>
      </w:r>
      <w:r>
        <w:rPr>
          <w:spacing w:val="-2"/>
          <w:sz w:val="22"/>
        </w:rPr>
        <w:t>to</w:t>
      </w:r>
      <w:r>
        <w:rPr>
          <w:spacing w:val="-5"/>
          <w:sz w:val="22"/>
        </w:rPr>
        <w:t> </w:t>
      </w:r>
      <w:r>
        <w:rPr>
          <w:spacing w:val="-2"/>
          <w:sz w:val="22"/>
        </w:rPr>
        <w:t>promote </w:t>
      </w:r>
      <w:r>
        <w:rPr>
          <w:sz w:val="22"/>
        </w:rPr>
        <w:t>science</w:t>
      </w:r>
      <w:r>
        <w:rPr>
          <w:spacing w:val="40"/>
          <w:sz w:val="22"/>
        </w:rPr>
        <w:t> </w:t>
      </w:r>
      <w:r>
        <w:rPr>
          <w:sz w:val="22"/>
        </w:rPr>
        <w:t>popularisation</w:t>
      </w:r>
      <w:r>
        <w:rPr>
          <w:spacing w:val="40"/>
          <w:sz w:val="22"/>
        </w:rPr>
        <w:t> </w:t>
      </w:r>
      <w:r>
        <w:rPr>
          <w:sz w:val="22"/>
        </w:rPr>
        <w:t>programs.</w:t>
      </w:r>
      <w:r>
        <w:rPr>
          <w:spacing w:val="40"/>
          <w:sz w:val="22"/>
        </w:rPr>
        <w:t> </w:t>
      </w:r>
      <w:r>
        <w:rPr>
          <w:sz w:val="22"/>
        </w:rPr>
        <w:t>Industry</w:t>
      </w:r>
      <w:r>
        <w:rPr>
          <w:spacing w:val="40"/>
          <w:sz w:val="22"/>
        </w:rPr>
        <w:t> </w:t>
      </w:r>
      <w:r>
        <w:rPr>
          <w:sz w:val="22"/>
        </w:rPr>
        <w:t>should be encouraged to invest in basic infrastructure and maintaining</w:t>
      </w:r>
      <w:r>
        <w:rPr>
          <w:spacing w:val="-14"/>
          <w:sz w:val="22"/>
        </w:rPr>
        <w:t> </w:t>
      </w:r>
      <w:r>
        <w:rPr>
          <w:sz w:val="22"/>
        </w:rPr>
        <w:t>them</w:t>
      </w:r>
      <w:r>
        <w:rPr>
          <w:spacing w:val="-14"/>
          <w:sz w:val="22"/>
        </w:rPr>
        <w:t> </w:t>
      </w:r>
      <w:r>
        <w:rPr>
          <w:sz w:val="22"/>
        </w:rPr>
        <w:t>in</w:t>
      </w:r>
      <w:r>
        <w:rPr>
          <w:spacing w:val="-14"/>
          <w:sz w:val="22"/>
        </w:rPr>
        <w:t> </w:t>
      </w:r>
      <w:r>
        <w:rPr>
          <w:sz w:val="22"/>
        </w:rPr>
        <w:t>universities</w:t>
      </w:r>
      <w:r>
        <w:rPr>
          <w:spacing w:val="-13"/>
          <w:sz w:val="22"/>
        </w:rPr>
        <w:t> </w:t>
      </w:r>
      <w:r>
        <w:rPr>
          <w:sz w:val="22"/>
        </w:rPr>
        <w:t>and</w:t>
      </w:r>
      <w:r>
        <w:rPr>
          <w:spacing w:val="-14"/>
          <w:sz w:val="22"/>
        </w:rPr>
        <w:t> </w:t>
      </w:r>
      <w:r>
        <w:rPr>
          <w:sz w:val="22"/>
        </w:rPr>
        <w:t>also</w:t>
      </w:r>
      <w:r>
        <w:rPr>
          <w:spacing w:val="-14"/>
          <w:sz w:val="22"/>
        </w:rPr>
        <w:t> </w:t>
      </w:r>
      <w:r>
        <w:rPr>
          <w:sz w:val="22"/>
        </w:rPr>
        <w:t>in</w:t>
      </w:r>
      <w:r>
        <w:rPr>
          <w:spacing w:val="-14"/>
          <w:sz w:val="22"/>
        </w:rPr>
        <w:t> </w:t>
      </w:r>
      <w:r>
        <w:rPr>
          <w:sz w:val="22"/>
        </w:rPr>
        <w:t>providing </w:t>
      </w:r>
      <w:r>
        <w:rPr>
          <w:spacing w:val="-2"/>
          <w:sz w:val="22"/>
        </w:rPr>
        <w:t>scholarships</w:t>
      </w:r>
      <w:r>
        <w:rPr>
          <w:spacing w:val="-12"/>
          <w:sz w:val="22"/>
        </w:rPr>
        <w:t> </w:t>
      </w:r>
      <w:r>
        <w:rPr>
          <w:spacing w:val="-2"/>
          <w:sz w:val="22"/>
        </w:rPr>
        <w:t>to</w:t>
      </w:r>
      <w:r>
        <w:rPr>
          <w:spacing w:val="-12"/>
          <w:sz w:val="22"/>
        </w:rPr>
        <w:t> </w:t>
      </w:r>
      <w:r>
        <w:rPr>
          <w:spacing w:val="-2"/>
          <w:sz w:val="22"/>
        </w:rPr>
        <w:t>deserving</w:t>
      </w:r>
      <w:r>
        <w:rPr>
          <w:spacing w:val="-12"/>
          <w:sz w:val="22"/>
        </w:rPr>
        <w:t> </w:t>
      </w:r>
      <w:r>
        <w:rPr>
          <w:spacing w:val="-2"/>
          <w:sz w:val="22"/>
        </w:rPr>
        <w:t>students.</w:t>
      </w:r>
      <w:r>
        <w:rPr>
          <w:spacing w:val="-11"/>
          <w:sz w:val="22"/>
        </w:rPr>
        <w:t> </w:t>
      </w:r>
      <w:r>
        <w:rPr>
          <w:spacing w:val="-2"/>
          <w:sz w:val="22"/>
        </w:rPr>
        <w:t>Universities</w:t>
      </w:r>
      <w:r>
        <w:rPr>
          <w:spacing w:val="-12"/>
          <w:sz w:val="22"/>
        </w:rPr>
        <w:t> </w:t>
      </w:r>
      <w:r>
        <w:rPr>
          <w:spacing w:val="-2"/>
          <w:sz w:val="22"/>
        </w:rPr>
        <w:t>should </w:t>
      </w:r>
      <w:r>
        <w:rPr>
          <w:sz w:val="22"/>
        </w:rPr>
        <w:t>interact</w:t>
      </w:r>
      <w:r>
        <w:rPr>
          <w:spacing w:val="-14"/>
          <w:sz w:val="22"/>
        </w:rPr>
        <w:t> </w:t>
      </w:r>
      <w:r>
        <w:rPr>
          <w:sz w:val="22"/>
        </w:rPr>
        <w:t>with</w:t>
      </w:r>
      <w:r>
        <w:rPr>
          <w:spacing w:val="-14"/>
          <w:sz w:val="22"/>
        </w:rPr>
        <w:t> </w:t>
      </w:r>
      <w:r>
        <w:rPr>
          <w:sz w:val="22"/>
        </w:rPr>
        <w:t>industry</w:t>
      </w:r>
      <w:r>
        <w:rPr>
          <w:spacing w:val="-14"/>
          <w:sz w:val="22"/>
        </w:rPr>
        <w:t> </w:t>
      </w:r>
      <w:r>
        <w:rPr>
          <w:sz w:val="22"/>
        </w:rPr>
        <w:t>in</w:t>
      </w:r>
      <w:r>
        <w:rPr>
          <w:spacing w:val="-13"/>
          <w:sz w:val="22"/>
        </w:rPr>
        <w:t> </w:t>
      </w:r>
      <w:r>
        <w:rPr>
          <w:sz w:val="22"/>
        </w:rPr>
        <w:t>terms</w:t>
      </w:r>
      <w:r>
        <w:rPr>
          <w:spacing w:val="-14"/>
          <w:sz w:val="22"/>
        </w:rPr>
        <w:t> </w:t>
      </w:r>
      <w:r>
        <w:rPr>
          <w:sz w:val="22"/>
        </w:rPr>
        <w:t>of</w:t>
      </w:r>
      <w:r>
        <w:rPr>
          <w:spacing w:val="-14"/>
          <w:sz w:val="22"/>
        </w:rPr>
        <w:t> </w:t>
      </w:r>
      <w:r>
        <w:rPr>
          <w:sz w:val="22"/>
        </w:rPr>
        <w:t>needs,</w:t>
      </w:r>
      <w:r>
        <w:rPr>
          <w:spacing w:val="-14"/>
          <w:sz w:val="22"/>
        </w:rPr>
        <w:t> </w:t>
      </w:r>
      <w:r>
        <w:rPr>
          <w:sz w:val="22"/>
        </w:rPr>
        <w:t>employability skills</w:t>
      </w:r>
      <w:r>
        <w:rPr>
          <w:spacing w:val="-2"/>
          <w:sz w:val="22"/>
        </w:rPr>
        <w:t> </w:t>
      </w:r>
      <w:r>
        <w:rPr>
          <w:sz w:val="22"/>
        </w:rPr>
        <w:t>etc.</w:t>
      </w:r>
      <w:r>
        <w:rPr>
          <w:spacing w:val="-2"/>
          <w:sz w:val="22"/>
        </w:rPr>
        <w:t> </w:t>
      </w:r>
      <w:r>
        <w:rPr>
          <w:sz w:val="22"/>
        </w:rPr>
        <w:t>In</w:t>
      </w:r>
      <w:r>
        <w:rPr>
          <w:spacing w:val="-2"/>
          <w:sz w:val="22"/>
        </w:rPr>
        <w:t> </w:t>
      </w:r>
      <w:r>
        <w:rPr>
          <w:sz w:val="22"/>
        </w:rPr>
        <w:t>India,</w:t>
      </w:r>
      <w:r>
        <w:rPr>
          <w:spacing w:val="-2"/>
          <w:sz w:val="22"/>
        </w:rPr>
        <w:t> </w:t>
      </w:r>
      <w:r>
        <w:rPr>
          <w:sz w:val="22"/>
        </w:rPr>
        <w:t>a</w:t>
      </w:r>
      <w:r>
        <w:rPr>
          <w:spacing w:val="-2"/>
          <w:sz w:val="22"/>
        </w:rPr>
        <w:t> </w:t>
      </w:r>
      <w:r>
        <w:rPr>
          <w:sz w:val="22"/>
        </w:rPr>
        <w:t>few</w:t>
      </w:r>
      <w:r>
        <w:rPr>
          <w:spacing w:val="-2"/>
          <w:sz w:val="22"/>
        </w:rPr>
        <w:t> </w:t>
      </w:r>
      <w:r>
        <w:rPr>
          <w:sz w:val="22"/>
        </w:rPr>
        <w:t>technology</w:t>
      </w:r>
      <w:r>
        <w:rPr>
          <w:spacing w:val="-2"/>
          <w:sz w:val="22"/>
        </w:rPr>
        <w:t> </w:t>
      </w:r>
      <w:r>
        <w:rPr>
          <w:sz w:val="22"/>
        </w:rPr>
        <w:t>companies</w:t>
      </w:r>
      <w:r>
        <w:rPr>
          <w:spacing w:val="-2"/>
          <w:sz w:val="22"/>
        </w:rPr>
        <w:t> </w:t>
      </w:r>
      <w:r>
        <w:rPr>
          <w:sz w:val="22"/>
        </w:rPr>
        <w:t>have </w:t>
      </w:r>
      <w:r>
        <w:rPr>
          <w:spacing w:val="-2"/>
          <w:sz w:val="22"/>
        </w:rPr>
        <w:t>started</w:t>
      </w:r>
      <w:r>
        <w:rPr>
          <w:spacing w:val="-11"/>
          <w:sz w:val="22"/>
        </w:rPr>
        <w:t> </w:t>
      </w:r>
      <w:r>
        <w:rPr>
          <w:spacing w:val="-2"/>
          <w:sz w:val="22"/>
        </w:rPr>
        <w:t>exploring</w:t>
      </w:r>
      <w:r>
        <w:rPr>
          <w:spacing w:val="-12"/>
          <w:sz w:val="22"/>
        </w:rPr>
        <w:t> </w:t>
      </w:r>
      <w:r>
        <w:rPr>
          <w:spacing w:val="-2"/>
          <w:sz w:val="22"/>
        </w:rPr>
        <w:t>possible</w:t>
      </w:r>
      <w:r>
        <w:rPr>
          <w:spacing w:val="-11"/>
          <w:sz w:val="22"/>
        </w:rPr>
        <w:t> </w:t>
      </w:r>
      <w:r>
        <w:rPr>
          <w:spacing w:val="-2"/>
          <w:sz w:val="22"/>
        </w:rPr>
        <w:t>symbiotic</w:t>
      </w:r>
      <w:r>
        <w:rPr>
          <w:spacing w:val="-11"/>
          <w:sz w:val="22"/>
        </w:rPr>
        <w:t> </w:t>
      </w:r>
      <w:r>
        <w:rPr>
          <w:spacing w:val="-2"/>
          <w:sz w:val="22"/>
        </w:rPr>
        <w:t>relationships</w:t>
      </w:r>
      <w:r>
        <w:rPr>
          <w:spacing w:val="-12"/>
          <w:sz w:val="22"/>
        </w:rPr>
        <w:t> </w:t>
      </w:r>
      <w:r>
        <w:rPr>
          <w:spacing w:val="-2"/>
          <w:sz w:val="22"/>
        </w:rPr>
        <w:t>with universities</w:t>
      </w:r>
      <w:r>
        <w:rPr>
          <w:spacing w:val="-12"/>
          <w:sz w:val="22"/>
        </w:rPr>
        <w:t> </w:t>
      </w:r>
      <w:r>
        <w:rPr>
          <w:spacing w:val="-2"/>
          <w:sz w:val="22"/>
        </w:rPr>
        <w:t>in</w:t>
      </w:r>
      <w:r>
        <w:rPr>
          <w:spacing w:val="-12"/>
          <w:sz w:val="22"/>
        </w:rPr>
        <w:t> </w:t>
      </w:r>
      <w:r>
        <w:rPr>
          <w:spacing w:val="-2"/>
          <w:sz w:val="22"/>
        </w:rPr>
        <w:t>recent</w:t>
      </w:r>
      <w:r>
        <w:rPr>
          <w:spacing w:val="-9"/>
          <w:sz w:val="22"/>
        </w:rPr>
        <w:t> </w:t>
      </w:r>
      <w:r>
        <w:rPr>
          <w:spacing w:val="-2"/>
          <w:sz w:val="22"/>
        </w:rPr>
        <w:t>years.</w:t>
      </w:r>
      <w:r>
        <w:rPr>
          <w:spacing w:val="-12"/>
          <w:sz w:val="22"/>
        </w:rPr>
        <w:t> </w:t>
      </w:r>
      <w:r>
        <w:rPr>
          <w:spacing w:val="-2"/>
          <w:sz w:val="22"/>
        </w:rPr>
        <w:t>This</w:t>
      </w:r>
      <w:r>
        <w:rPr>
          <w:spacing w:val="-9"/>
          <w:sz w:val="22"/>
        </w:rPr>
        <w:t> </w:t>
      </w:r>
      <w:r>
        <w:rPr>
          <w:spacing w:val="-2"/>
          <w:sz w:val="22"/>
        </w:rPr>
        <w:t>needs</w:t>
      </w:r>
      <w:r>
        <w:rPr>
          <w:spacing w:val="-10"/>
          <w:sz w:val="22"/>
        </w:rPr>
        <w:t> </w:t>
      </w:r>
      <w:r>
        <w:rPr>
          <w:spacing w:val="-2"/>
          <w:sz w:val="22"/>
        </w:rPr>
        <w:t>to</w:t>
      </w:r>
      <w:r>
        <w:rPr>
          <w:spacing w:val="-10"/>
          <w:sz w:val="22"/>
        </w:rPr>
        <w:t> </w:t>
      </w:r>
      <w:r>
        <w:rPr>
          <w:spacing w:val="-2"/>
          <w:sz w:val="22"/>
        </w:rPr>
        <w:t>be</w:t>
      </w:r>
      <w:r>
        <w:rPr>
          <w:spacing w:val="-10"/>
          <w:sz w:val="22"/>
        </w:rPr>
        <w:t> </w:t>
      </w:r>
      <w:r>
        <w:rPr>
          <w:spacing w:val="-2"/>
          <w:sz w:val="22"/>
        </w:rPr>
        <w:t>structured </w:t>
      </w:r>
      <w:r>
        <w:rPr>
          <w:sz w:val="22"/>
        </w:rPr>
        <w:t>and</w:t>
      </w:r>
      <w:r>
        <w:rPr>
          <w:spacing w:val="29"/>
          <w:sz w:val="22"/>
        </w:rPr>
        <w:t> </w:t>
      </w:r>
      <w:r>
        <w:rPr>
          <w:sz w:val="22"/>
        </w:rPr>
        <w:t>massively</w:t>
      </w:r>
      <w:r>
        <w:rPr>
          <w:spacing w:val="30"/>
          <w:sz w:val="22"/>
        </w:rPr>
        <w:t> </w:t>
      </w:r>
      <w:r>
        <w:rPr>
          <w:sz w:val="22"/>
        </w:rPr>
        <w:t>encouraged.</w:t>
      </w:r>
      <w:r>
        <w:rPr>
          <w:spacing w:val="29"/>
          <w:sz w:val="22"/>
        </w:rPr>
        <w:t> </w:t>
      </w:r>
      <w:r>
        <w:rPr>
          <w:sz w:val="22"/>
        </w:rPr>
        <w:t>Further,</w:t>
      </w:r>
      <w:r>
        <w:rPr>
          <w:spacing w:val="30"/>
          <w:sz w:val="22"/>
        </w:rPr>
        <w:t> </w:t>
      </w:r>
      <w:r>
        <w:rPr>
          <w:sz w:val="22"/>
        </w:rPr>
        <w:t>if</w:t>
      </w:r>
      <w:r>
        <w:rPr>
          <w:spacing w:val="29"/>
          <w:sz w:val="22"/>
        </w:rPr>
        <w:t> </w:t>
      </w:r>
      <w:r>
        <w:rPr>
          <w:sz w:val="22"/>
        </w:rPr>
        <w:t>the</w:t>
      </w:r>
      <w:r>
        <w:rPr>
          <w:spacing w:val="30"/>
          <w:sz w:val="22"/>
        </w:rPr>
        <w:t> </w:t>
      </w:r>
      <w:r>
        <w:rPr>
          <w:spacing w:val="-5"/>
          <w:sz w:val="22"/>
        </w:rPr>
        <w:t>academia</w:t>
      </w:r>
    </w:p>
    <w:p>
      <w:pPr>
        <w:pStyle w:val="BodyText"/>
        <w:spacing w:line="266" w:lineRule="auto" w:before="57"/>
        <w:ind w:left="319" w:right="1077"/>
        <w:jc w:val="both"/>
      </w:pPr>
      <w:r>
        <w:rPr/>
        <w:br w:type="column"/>
      </w:r>
      <w:r>
        <w:rPr>
          <w:spacing w:val="-4"/>
        </w:rPr>
        <w:t>desires</w:t>
      </w:r>
      <w:r>
        <w:rPr>
          <w:spacing w:val="-8"/>
        </w:rPr>
        <w:t> </w:t>
      </w:r>
      <w:r>
        <w:rPr>
          <w:spacing w:val="-4"/>
        </w:rPr>
        <w:t>industry</w:t>
      </w:r>
      <w:r>
        <w:rPr>
          <w:spacing w:val="-8"/>
        </w:rPr>
        <w:t> </w:t>
      </w:r>
      <w:r>
        <w:rPr>
          <w:spacing w:val="-4"/>
        </w:rPr>
        <w:t>co-operation,</w:t>
      </w:r>
      <w:r>
        <w:rPr>
          <w:spacing w:val="-8"/>
        </w:rPr>
        <w:t> </w:t>
      </w:r>
      <w:r>
        <w:rPr>
          <w:spacing w:val="-4"/>
        </w:rPr>
        <w:t>it</w:t>
      </w:r>
      <w:r>
        <w:rPr>
          <w:spacing w:val="-8"/>
        </w:rPr>
        <w:t> </w:t>
      </w:r>
      <w:r>
        <w:rPr>
          <w:spacing w:val="-4"/>
        </w:rPr>
        <w:t>has</w:t>
      </w:r>
      <w:r>
        <w:rPr>
          <w:spacing w:val="-8"/>
        </w:rPr>
        <w:t> </w:t>
      </w:r>
      <w:r>
        <w:rPr>
          <w:spacing w:val="-4"/>
        </w:rPr>
        <w:t>to</w:t>
      </w:r>
      <w:r>
        <w:rPr>
          <w:spacing w:val="-8"/>
        </w:rPr>
        <w:t> </w:t>
      </w:r>
      <w:r>
        <w:rPr>
          <w:spacing w:val="-4"/>
        </w:rPr>
        <w:t>move</w:t>
      </w:r>
      <w:r>
        <w:rPr>
          <w:spacing w:val="-8"/>
        </w:rPr>
        <w:t> </w:t>
      </w:r>
      <w:r>
        <w:rPr>
          <w:spacing w:val="-4"/>
        </w:rPr>
        <w:t>away</w:t>
      </w:r>
      <w:r>
        <w:rPr>
          <w:spacing w:val="-8"/>
        </w:rPr>
        <w:t> </w:t>
      </w:r>
      <w:r>
        <w:rPr>
          <w:spacing w:val="-4"/>
        </w:rPr>
        <w:t>from </w:t>
      </w:r>
      <w:r>
        <w:rPr>
          <w:spacing w:val="-2"/>
        </w:rPr>
        <w:t>examination</w:t>
      </w:r>
      <w:r>
        <w:rPr>
          <w:spacing w:val="-9"/>
        </w:rPr>
        <w:t> </w:t>
      </w:r>
      <w:r>
        <w:rPr>
          <w:spacing w:val="-2"/>
        </w:rPr>
        <w:t>orientation.</w:t>
      </w:r>
      <w:r>
        <w:rPr>
          <w:spacing w:val="-9"/>
        </w:rPr>
        <w:t> </w:t>
      </w:r>
      <w:r>
        <w:rPr>
          <w:spacing w:val="-2"/>
        </w:rPr>
        <w:t>Inter-disciplinary</w:t>
      </w:r>
      <w:r>
        <w:rPr>
          <w:spacing w:val="-9"/>
        </w:rPr>
        <w:t> </w:t>
      </w:r>
      <w:r>
        <w:rPr>
          <w:spacing w:val="-2"/>
        </w:rPr>
        <w:t>approach</w:t>
      </w:r>
      <w:r>
        <w:rPr>
          <w:spacing w:val="-9"/>
        </w:rPr>
        <w:t> </w:t>
      </w:r>
      <w:r>
        <w:rPr>
          <w:spacing w:val="-2"/>
        </w:rPr>
        <w:t>is </w:t>
      </w:r>
      <w:r>
        <w:rPr/>
        <w:t>needed</w:t>
      </w:r>
      <w:r>
        <w:rPr>
          <w:spacing w:val="-4"/>
        </w:rPr>
        <w:t> </w:t>
      </w:r>
      <w:r>
        <w:rPr/>
        <w:t>to</w:t>
      </w:r>
      <w:r>
        <w:rPr>
          <w:spacing w:val="-4"/>
        </w:rPr>
        <w:t> </w:t>
      </w:r>
      <w:r>
        <w:rPr/>
        <w:t>handle</w:t>
      </w:r>
      <w:r>
        <w:rPr>
          <w:spacing w:val="-4"/>
        </w:rPr>
        <w:t> </w:t>
      </w:r>
      <w:r>
        <w:rPr/>
        <w:t>partnership</w:t>
      </w:r>
      <w:r>
        <w:rPr>
          <w:spacing w:val="-4"/>
        </w:rPr>
        <w:t> </w:t>
      </w:r>
      <w:r>
        <w:rPr/>
        <w:t>projects.</w:t>
      </w:r>
      <w:r>
        <w:rPr>
          <w:spacing w:val="-11"/>
        </w:rPr>
        <w:t> </w:t>
      </w:r>
      <w:r>
        <w:rPr/>
        <w:t>This</w:t>
      </w:r>
      <w:r>
        <w:rPr>
          <w:spacing w:val="-4"/>
        </w:rPr>
        <w:t> </w:t>
      </w:r>
      <w:r>
        <w:rPr/>
        <w:t>should</w:t>
      </w:r>
      <w:r>
        <w:rPr>
          <w:spacing w:val="-4"/>
        </w:rPr>
        <w:t> </w:t>
      </w:r>
      <w:r>
        <w:rPr/>
        <w:t>be </w:t>
      </w:r>
      <w:r>
        <w:rPr>
          <w:spacing w:val="-2"/>
        </w:rPr>
        <w:t>facilitated.</w:t>
      </w:r>
    </w:p>
    <w:p>
      <w:pPr>
        <w:pStyle w:val="BodyText"/>
        <w:spacing w:before="24"/>
      </w:pPr>
    </w:p>
    <w:p>
      <w:pPr>
        <w:pStyle w:val="ListParagraph"/>
        <w:numPr>
          <w:ilvl w:val="1"/>
          <w:numId w:val="30"/>
        </w:numPr>
        <w:tabs>
          <w:tab w:pos="853" w:val="left" w:leader="none"/>
        </w:tabs>
        <w:spacing w:line="266" w:lineRule="auto" w:before="0" w:after="0"/>
        <w:ind w:left="319" w:right="1077" w:firstLine="0"/>
        <w:jc w:val="both"/>
        <w:rPr>
          <w:sz w:val="22"/>
        </w:rPr>
      </w:pPr>
      <w:r>
        <w:rPr>
          <w:sz w:val="22"/>
        </w:rPr>
        <w:t>Academic institutions should develop </w:t>
      </w:r>
      <w:r>
        <w:rPr>
          <w:sz w:val="22"/>
        </w:rPr>
        <w:t>groups</w:t>
      </w:r>
      <w:r>
        <w:rPr>
          <w:spacing w:val="40"/>
          <w:sz w:val="22"/>
        </w:rPr>
        <w:t> </w:t>
      </w:r>
      <w:r>
        <w:rPr>
          <w:sz w:val="22"/>
        </w:rPr>
        <w:t>at</w:t>
      </w:r>
      <w:r>
        <w:rPr>
          <w:spacing w:val="-4"/>
          <w:sz w:val="22"/>
        </w:rPr>
        <w:t> </w:t>
      </w:r>
      <w:r>
        <w:rPr>
          <w:sz w:val="22"/>
        </w:rPr>
        <w:t>each</w:t>
      </w:r>
      <w:r>
        <w:rPr>
          <w:spacing w:val="-4"/>
          <w:sz w:val="22"/>
        </w:rPr>
        <w:t> </w:t>
      </w:r>
      <w:r>
        <w:rPr>
          <w:sz w:val="22"/>
        </w:rPr>
        <w:t>institute</w:t>
      </w:r>
      <w:r>
        <w:rPr>
          <w:spacing w:val="-4"/>
          <w:sz w:val="22"/>
        </w:rPr>
        <w:t> </w:t>
      </w:r>
      <w:r>
        <w:rPr>
          <w:sz w:val="22"/>
        </w:rPr>
        <w:t>which</w:t>
      </w:r>
      <w:r>
        <w:rPr>
          <w:spacing w:val="-4"/>
          <w:sz w:val="22"/>
        </w:rPr>
        <w:t> </w:t>
      </w:r>
      <w:r>
        <w:rPr>
          <w:sz w:val="22"/>
        </w:rPr>
        <w:t>specialise</w:t>
      </w:r>
      <w:r>
        <w:rPr>
          <w:spacing w:val="-4"/>
          <w:sz w:val="22"/>
        </w:rPr>
        <w:t> </w:t>
      </w:r>
      <w:r>
        <w:rPr>
          <w:sz w:val="22"/>
        </w:rPr>
        <w:t>in</w:t>
      </w:r>
      <w:r>
        <w:rPr>
          <w:spacing w:val="-4"/>
          <w:sz w:val="22"/>
        </w:rPr>
        <w:t> </w:t>
      </w:r>
      <w:r>
        <w:rPr>
          <w:sz w:val="22"/>
        </w:rPr>
        <w:t>developing</w:t>
      </w:r>
      <w:r>
        <w:rPr>
          <w:spacing w:val="-4"/>
          <w:sz w:val="22"/>
        </w:rPr>
        <w:t> </w:t>
      </w:r>
      <w:r>
        <w:rPr>
          <w:sz w:val="22"/>
        </w:rPr>
        <w:t>novel </w:t>
      </w:r>
      <w:r>
        <w:rPr>
          <w:spacing w:val="-2"/>
          <w:sz w:val="22"/>
        </w:rPr>
        <w:t>funding</w:t>
      </w:r>
      <w:r>
        <w:rPr>
          <w:spacing w:val="-12"/>
          <w:sz w:val="22"/>
        </w:rPr>
        <w:t> </w:t>
      </w:r>
      <w:r>
        <w:rPr>
          <w:spacing w:val="-2"/>
          <w:sz w:val="22"/>
        </w:rPr>
        <w:t>mechanisms</w:t>
      </w:r>
      <w:r>
        <w:rPr>
          <w:spacing w:val="-12"/>
          <w:sz w:val="22"/>
        </w:rPr>
        <w:t> </w:t>
      </w:r>
      <w:r>
        <w:rPr>
          <w:spacing w:val="-2"/>
          <w:sz w:val="22"/>
        </w:rPr>
        <w:t>involving</w:t>
      </w:r>
      <w:r>
        <w:rPr>
          <w:spacing w:val="-12"/>
          <w:sz w:val="22"/>
        </w:rPr>
        <w:t> </w:t>
      </w:r>
      <w:r>
        <w:rPr>
          <w:spacing w:val="-2"/>
          <w:sz w:val="22"/>
        </w:rPr>
        <w:t>industry.</w:t>
      </w:r>
      <w:r>
        <w:rPr>
          <w:spacing w:val="-11"/>
          <w:sz w:val="22"/>
        </w:rPr>
        <w:t> </w:t>
      </w:r>
      <w:r>
        <w:rPr>
          <w:spacing w:val="-2"/>
          <w:sz w:val="22"/>
        </w:rPr>
        <w:t>The</w:t>
      </w:r>
      <w:r>
        <w:rPr>
          <w:spacing w:val="-12"/>
          <w:sz w:val="22"/>
        </w:rPr>
        <w:t> </w:t>
      </w:r>
      <w:r>
        <w:rPr>
          <w:spacing w:val="-2"/>
          <w:sz w:val="22"/>
        </w:rPr>
        <w:t>academia </w:t>
      </w:r>
      <w:r>
        <w:rPr>
          <w:spacing w:val="-6"/>
          <w:sz w:val="22"/>
        </w:rPr>
        <w:t>on its part should run courses to train industry personnel. </w:t>
      </w:r>
      <w:r>
        <w:rPr>
          <w:sz w:val="22"/>
        </w:rPr>
        <w:t>It should take up industry sponsored projects for </w:t>
      </w:r>
      <w:r>
        <w:rPr>
          <w:spacing w:val="-2"/>
          <w:sz w:val="22"/>
        </w:rPr>
        <w:t>effective</w:t>
      </w:r>
      <w:r>
        <w:rPr>
          <w:spacing w:val="-11"/>
          <w:sz w:val="22"/>
        </w:rPr>
        <w:t> </w:t>
      </w:r>
      <w:r>
        <w:rPr>
          <w:spacing w:val="-2"/>
          <w:sz w:val="22"/>
        </w:rPr>
        <w:t>interaction.</w:t>
      </w:r>
      <w:r>
        <w:rPr>
          <w:spacing w:val="-11"/>
          <w:sz w:val="22"/>
        </w:rPr>
        <w:t> </w:t>
      </w:r>
      <w:r>
        <w:rPr>
          <w:spacing w:val="-2"/>
          <w:sz w:val="22"/>
        </w:rPr>
        <w:t>Academic</w:t>
      </w:r>
      <w:r>
        <w:rPr>
          <w:spacing w:val="-11"/>
          <w:sz w:val="22"/>
        </w:rPr>
        <w:t> </w:t>
      </w:r>
      <w:r>
        <w:rPr>
          <w:spacing w:val="-2"/>
          <w:sz w:val="22"/>
        </w:rPr>
        <w:t>institutes</w:t>
      </w:r>
      <w:r>
        <w:rPr>
          <w:spacing w:val="-11"/>
          <w:sz w:val="22"/>
        </w:rPr>
        <w:t> </w:t>
      </w:r>
      <w:r>
        <w:rPr>
          <w:spacing w:val="-2"/>
          <w:sz w:val="22"/>
        </w:rPr>
        <w:t>should</w:t>
      </w:r>
      <w:r>
        <w:rPr>
          <w:spacing w:val="-11"/>
          <w:sz w:val="22"/>
        </w:rPr>
        <w:t> </w:t>
      </w:r>
      <w:r>
        <w:rPr>
          <w:spacing w:val="-2"/>
          <w:sz w:val="22"/>
        </w:rPr>
        <w:t>invite </w:t>
      </w:r>
      <w:r>
        <w:rPr>
          <w:sz w:val="22"/>
        </w:rPr>
        <w:t>industry</w:t>
      </w:r>
      <w:r>
        <w:rPr>
          <w:spacing w:val="-14"/>
          <w:sz w:val="22"/>
        </w:rPr>
        <w:t> </w:t>
      </w:r>
      <w:r>
        <w:rPr>
          <w:sz w:val="22"/>
        </w:rPr>
        <w:t>to</w:t>
      </w:r>
      <w:r>
        <w:rPr>
          <w:spacing w:val="-14"/>
          <w:sz w:val="22"/>
        </w:rPr>
        <w:t> </w:t>
      </w:r>
      <w:r>
        <w:rPr>
          <w:sz w:val="22"/>
        </w:rPr>
        <w:t>visit</w:t>
      </w:r>
      <w:r>
        <w:rPr>
          <w:spacing w:val="-14"/>
          <w:sz w:val="22"/>
        </w:rPr>
        <w:t> </w:t>
      </w:r>
      <w:r>
        <w:rPr>
          <w:sz w:val="22"/>
        </w:rPr>
        <w:t>institutes</w:t>
      </w:r>
      <w:r>
        <w:rPr>
          <w:spacing w:val="-13"/>
          <w:sz w:val="22"/>
        </w:rPr>
        <w:t> </w:t>
      </w:r>
      <w:r>
        <w:rPr>
          <w:sz w:val="22"/>
        </w:rPr>
        <w:t>and</w:t>
      </w:r>
      <w:r>
        <w:rPr>
          <w:spacing w:val="-14"/>
          <w:sz w:val="22"/>
        </w:rPr>
        <w:t> </w:t>
      </w:r>
      <w:r>
        <w:rPr>
          <w:sz w:val="22"/>
        </w:rPr>
        <w:t>demonstrate</w:t>
      </w:r>
      <w:r>
        <w:rPr>
          <w:spacing w:val="-14"/>
          <w:sz w:val="22"/>
        </w:rPr>
        <w:t> </w:t>
      </w:r>
      <w:r>
        <w:rPr>
          <w:sz w:val="22"/>
        </w:rPr>
        <w:t>facilities</w:t>
      </w:r>
      <w:r>
        <w:rPr>
          <w:spacing w:val="-14"/>
          <w:sz w:val="22"/>
        </w:rPr>
        <w:t> </w:t>
      </w:r>
      <w:r>
        <w:rPr>
          <w:sz w:val="22"/>
        </w:rPr>
        <w:t>to </w:t>
      </w:r>
      <w:r>
        <w:rPr>
          <w:spacing w:val="-6"/>
          <w:sz w:val="22"/>
        </w:rPr>
        <w:t>create</w:t>
      </w:r>
      <w:r>
        <w:rPr>
          <w:spacing w:val="-8"/>
          <w:sz w:val="22"/>
        </w:rPr>
        <w:t> </w:t>
      </w:r>
      <w:r>
        <w:rPr>
          <w:spacing w:val="-6"/>
          <w:sz w:val="22"/>
        </w:rPr>
        <w:t>confidence</w:t>
      </w:r>
      <w:r>
        <w:rPr>
          <w:spacing w:val="-8"/>
          <w:sz w:val="22"/>
        </w:rPr>
        <w:t> </w:t>
      </w:r>
      <w:r>
        <w:rPr>
          <w:spacing w:val="-6"/>
          <w:sz w:val="22"/>
        </w:rPr>
        <w:t>in</w:t>
      </w:r>
      <w:r>
        <w:rPr>
          <w:spacing w:val="-8"/>
          <w:sz w:val="22"/>
        </w:rPr>
        <w:t> </w:t>
      </w:r>
      <w:r>
        <w:rPr>
          <w:spacing w:val="-6"/>
          <w:sz w:val="22"/>
        </w:rPr>
        <w:t>the</w:t>
      </w:r>
      <w:r>
        <w:rPr>
          <w:spacing w:val="-7"/>
          <w:sz w:val="22"/>
        </w:rPr>
        <w:t> </w:t>
      </w:r>
      <w:r>
        <w:rPr>
          <w:spacing w:val="-6"/>
          <w:sz w:val="22"/>
        </w:rPr>
        <w:t>industry</w:t>
      </w:r>
      <w:r>
        <w:rPr>
          <w:spacing w:val="-8"/>
          <w:sz w:val="22"/>
        </w:rPr>
        <w:t> </w:t>
      </w:r>
      <w:r>
        <w:rPr>
          <w:spacing w:val="-6"/>
          <w:sz w:val="22"/>
        </w:rPr>
        <w:t>people.</w:t>
      </w:r>
      <w:r>
        <w:rPr>
          <w:spacing w:val="-8"/>
          <w:sz w:val="22"/>
        </w:rPr>
        <w:t> </w:t>
      </w:r>
      <w:r>
        <w:rPr>
          <w:spacing w:val="-6"/>
          <w:sz w:val="22"/>
        </w:rPr>
        <w:t>Universities</w:t>
      </w:r>
      <w:r>
        <w:rPr>
          <w:spacing w:val="-8"/>
          <w:sz w:val="22"/>
        </w:rPr>
        <w:t> </w:t>
      </w:r>
      <w:r>
        <w:rPr>
          <w:spacing w:val="-6"/>
          <w:sz w:val="22"/>
        </w:rPr>
        <w:t>can create</w:t>
      </w:r>
      <w:r>
        <w:rPr>
          <w:spacing w:val="-6"/>
          <w:sz w:val="22"/>
        </w:rPr>
        <w:t> interface</w:t>
      </w:r>
      <w:r>
        <w:rPr>
          <w:spacing w:val="-6"/>
          <w:sz w:val="22"/>
        </w:rPr>
        <w:t> bodies</w:t>
      </w:r>
      <w:r>
        <w:rPr>
          <w:spacing w:val="-6"/>
          <w:sz w:val="22"/>
        </w:rPr>
        <w:t> for</w:t>
      </w:r>
      <w:r>
        <w:rPr>
          <w:spacing w:val="-6"/>
          <w:sz w:val="22"/>
        </w:rPr>
        <w:t> effective</w:t>
      </w:r>
      <w:r>
        <w:rPr>
          <w:spacing w:val="-6"/>
          <w:sz w:val="22"/>
        </w:rPr>
        <w:t> research</w:t>
      </w:r>
      <w:r>
        <w:rPr>
          <w:spacing w:val="-6"/>
          <w:sz w:val="22"/>
        </w:rPr>
        <w:t> work.</w:t>
      </w:r>
      <w:r>
        <w:rPr>
          <w:spacing w:val="-6"/>
          <w:sz w:val="22"/>
        </w:rPr>
        <w:t> Such </w:t>
      </w:r>
      <w:r>
        <w:rPr>
          <w:spacing w:val="-8"/>
          <w:sz w:val="22"/>
        </w:rPr>
        <w:t>collaborative</w:t>
      </w:r>
      <w:r>
        <w:rPr>
          <w:spacing w:val="-9"/>
          <w:sz w:val="22"/>
        </w:rPr>
        <w:t> </w:t>
      </w:r>
      <w:r>
        <w:rPr>
          <w:spacing w:val="-8"/>
          <w:sz w:val="22"/>
        </w:rPr>
        <w:t>work</w:t>
      </w:r>
      <w:r>
        <w:rPr>
          <w:spacing w:val="-9"/>
          <w:sz w:val="22"/>
        </w:rPr>
        <w:t> </w:t>
      </w:r>
      <w:r>
        <w:rPr>
          <w:spacing w:val="-8"/>
          <w:sz w:val="22"/>
        </w:rPr>
        <w:t>will</w:t>
      </w:r>
      <w:r>
        <w:rPr>
          <w:spacing w:val="-9"/>
          <w:sz w:val="22"/>
        </w:rPr>
        <w:t> </w:t>
      </w:r>
      <w:r>
        <w:rPr>
          <w:spacing w:val="-8"/>
          <w:sz w:val="22"/>
        </w:rPr>
        <w:t>generate</w:t>
      </w:r>
      <w:r>
        <w:rPr>
          <w:spacing w:val="-9"/>
          <w:sz w:val="22"/>
        </w:rPr>
        <w:t> </w:t>
      </w:r>
      <w:r>
        <w:rPr>
          <w:spacing w:val="-8"/>
          <w:sz w:val="22"/>
        </w:rPr>
        <w:t>funds</w:t>
      </w:r>
      <w:r>
        <w:rPr>
          <w:spacing w:val="-9"/>
          <w:sz w:val="22"/>
        </w:rPr>
        <w:t> </w:t>
      </w:r>
      <w:r>
        <w:rPr>
          <w:spacing w:val="-8"/>
          <w:sz w:val="22"/>
        </w:rPr>
        <w:t>for</w:t>
      </w:r>
      <w:r>
        <w:rPr>
          <w:spacing w:val="-9"/>
          <w:sz w:val="22"/>
        </w:rPr>
        <w:t> </w:t>
      </w:r>
      <w:r>
        <w:rPr>
          <w:spacing w:val="-8"/>
          <w:sz w:val="22"/>
        </w:rPr>
        <w:t>universities</w:t>
      </w:r>
      <w:r>
        <w:rPr>
          <w:spacing w:val="-9"/>
          <w:sz w:val="22"/>
        </w:rPr>
        <w:t> </w:t>
      </w:r>
      <w:r>
        <w:rPr>
          <w:spacing w:val="-8"/>
          <w:sz w:val="22"/>
        </w:rPr>
        <w:t>too.</w:t>
      </w:r>
    </w:p>
    <w:p>
      <w:pPr>
        <w:pStyle w:val="BodyText"/>
        <w:spacing w:before="19"/>
      </w:pPr>
    </w:p>
    <w:p>
      <w:pPr>
        <w:spacing w:line="266" w:lineRule="auto" w:before="0"/>
        <w:ind w:left="319" w:right="1077" w:firstLine="0"/>
        <w:jc w:val="both"/>
        <w:rPr>
          <w:i/>
          <w:sz w:val="22"/>
        </w:rPr>
      </w:pPr>
      <w:r>
        <w:rPr>
          <w:i/>
          <w:spacing w:val="-2"/>
          <w:sz w:val="22"/>
        </w:rPr>
        <w:t>In</w:t>
      </w:r>
      <w:r>
        <w:rPr>
          <w:i/>
          <w:spacing w:val="-8"/>
          <w:sz w:val="22"/>
        </w:rPr>
        <w:t> </w:t>
      </w:r>
      <w:r>
        <w:rPr>
          <w:i/>
          <w:spacing w:val="-2"/>
          <w:sz w:val="22"/>
        </w:rPr>
        <w:t>short,</w:t>
      </w:r>
      <w:r>
        <w:rPr>
          <w:i/>
          <w:spacing w:val="-8"/>
          <w:sz w:val="22"/>
        </w:rPr>
        <w:t> </w:t>
      </w:r>
      <w:r>
        <w:rPr>
          <w:i/>
          <w:spacing w:val="-2"/>
          <w:sz w:val="22"/>
        </w:rPr>
        <w:t>restructuring</w:t>
      </w:r>
      <w:r>
        <w:rPr>
          <w:i/>
          <w:spacing w:val="-8"/>
          <w:sz w:val="22"/>
        </w:rPr>
        <w:t> </w:t>
      </w:r>
      <w:r>
        <w:rPr>
          <w:i/>
          <w:spacing w:val="-2"/>
          <w:sz w:val="22"/>
        </w:rPr>
        <w:t>of</w:t>
      </w:r>
      <w:r>
        <w:rPr>
          <w:i/>
          <w:spacing w:val="-8"/>
          <w:sz w:val="22"/>
        </w:rPr>
        <w:t> </w:t>
      </w:r>
      <w:r>
        <w:rPr>
          <w:i/>
          <w:spacing w:val="-2"/>
          <w:sz w:val="22"/>
        </w:rPr>
        <w:t>the</w:t>
      </w:r>
      <w:r>
        <w:rPr>
          <w:i/>
          <w:spacing w:val="-8"/>
          <w:sz w:val="22"/>
        </w:rPr>
        <w:t> </w:t>
      </w:r>
      <w:r>
        <w:rPr>
          <w:i/>
          <w:spacing w:val="-2"/>
          <w:sz w:val="22"/>
        </w:rPr>
        <w:t>entire</w:t>
      </w:r>
      <w:r>
        <w:rPr>
          <w:i/>
          <w:spacing w:val="-8"/>
          <w:sz w:val="22"/>
        </w:rPr>
        <w:t> </w:t>
      </w:r>
      <w:r>
        <w:rPr>
          <w:i/>
          <w:spacing w:val="-2"/>
          <w:sz w:val="22"/>
        </w:rPr>
        <w:t>system</w:t>
      </w:r>
      <w:r>
        <w:rPr>
          <w:i/>
          <w:spacing w:val="-8"/>
          <w:sz w:val="22"/>
        </w:rPr>
        <w:t> </w:t>
      </w:r>
      <w:r>
        <w:rPr>
          <w:i/>
          <w:spacing w:val="-2"/>
          <w:sz w:val="22"/>
        </w:rPr>
        <w:t>is</w:t>
      </w:r>
      <w:r>
        <w:rPr>
          <w:i/>
          <w:spacing w:val="-8"/>
          <w:sz w:val="22"/>
        </w:rPr>
        <w:t> </w:t>
      </w:r>
      <w:r>
        <w:rPr>
          <w:i/>
          <w:spacing w:val="-2"/>
          <w:sz w:val="22"/>
        </w:rPr>
        <w:t>needed</w:t>
      </w:r>
      <w:r>
        <w:rPr>
          <w:i/>
          <w:spacing w:val="-8"/>
          <w:sz w:val="22"/>
        </w:rPr>
        <w:t> </w:t>
      </w:r>
      <w:r>
        <w:rPr>
          <w:i/>
          <w:spacing w:val="-2"/>
          <w:sz w:val="22"/>
        </w:rPr>
        <w:t>to </w:t>
      </w:r>
      <w:r>
        <w:rPr>
          <w:i/>
          <w:w w:val="90"/>
          <w:sz w:val="22"/>
        </w:rPr>
        <w:t>bring</w:t>
      </w:r>
      <w:r>
        <w:rPr>
          <w:i/>
          <w:spacing w:val="-8"/>
          <w:w w:val="90"/>
          <w:sz w:val="22"/>
        </w:rPr>
        <w:t> </w:t>
      </w:r>
      <w:r>
        <w:rPr>
          <w:i/>
          <w:w w:val="90"/>
          <w:sz w:val="22"/>
        </w:rPr>
        <w:t>back</w:t>
      </w:r>
      <w:r>
        <w:rPr>
          <w:i/>
          <w:spacing w:val="-8"/>
          <w:w w:val="90"/>
          <w:sz w:val="22"/>
        </w:rPr>
        <w:t> </w:t>
      </w:r>
      <w:r>
        <w:rPr>
          <w:i/>
          <w:w w:val="90"/>
          <w:sz w:val="22"/>
        </w:rPr>
        <w:t>the</w:t>
      </w:r>
      <w:r>
        <w:rPr>
          <w:i/>
          <w:spacing w:val="-8"/>
          <w:w w:val="90"/>
          <w:sz w:val="22"/>
        </w:rPr>
        <w:t> </w:t>
      </w:r>
      <w:r>
        <w:rPr>
          <w:i/>
          <w:w w:val="90"/>
          <w:sz w:val="22"/>
        </w:rPr>
        <w:t>glory</w:t>
      </w:r>
      <w:r>
        <w:rPr>
          <w:i/>
          <w:spacing w:val="-8"/>
          <w:w w:val="90"/>
          <w:sz w:val="22"/>
        </w:rPr>
        <w:t> </w:t>
      </w:r>
      <w:r>
        <w:rPr>
          <w:i/>
          <w:w w:val="90"/>
          <w:sz w:val="22"/>
        </w:rPr>
        <w:t>that</w:t>
      </w:r>
      <w:r>
        <w:rPr>
          <w:i/>
          <w:spacing w:val="-8"/>
          <w:w w:val="90"/>
          <w:sz w:val="22"/>
        </w:rPr>
        <w:t> </w:t>
      </w:r>
      <w:r>
        <w:rPr>
          <w:i/>
          <w:w w:val="90"/>
          <w:sz w:val="22"/>
        </w:rPr>
        <w:t>the</w:t>
      </w:r>
      <w:r>
        <w:rPr>
          <w:i/>
          <w:spacing w:val="-8"/>
          <w:w w:val="90"/>
          <w:sz w:val="22"/>
        </w:rPr>
        <w:t> </w:t>
      </w:r>
      <w:r>
        <w:rPr>
          <w:i/>
          <w:w w:val="90"/>
          <w:sz w:val="22"/>
        </w:rPr>
        <w:t>basic</w:t>
      </w:r>
      <w:r>
        <w:rPr>
          <w:i/>
          <w:spacing w:val="-8"/>
          <w:w w:val="90"/>
          <w:sz w:val="22"/>
        </w:rPr>
        <w:t> </w:t>
      </w:r>
      <w:r>
        <w:rPr>
          <w:i/>
          <w:w w:val="90"/>
          <w:sz w:val="22"/>
        </w:rPr>
        <w:t>sciences</w:t>
      </w:r>
      <w:r>
        <w:rPr>
          <w:i/>
          <w:spacing w:val="-8"/>
          <w:w w:val="90"/>
          <w:sz w:val="22"/>
        </w:rPr>
        <w:t> </w:t>
      </w:r>
      <w:r>
        <w:rPr>
          <w:i/>
          <w:w w:val="90"/>
          <w:sz w:val="22"/>
        </w:rPr>
        <w:t>once</w:t>
      </w:r>
      <w:r>
        <w:rPr>
          <w:i/>
          <w:spacing w:val="-8"/>
          <w:w w:val="90"/>
          <w:sz w:val="22"/>
        </w:rPr>
        <w:t> </w:t>
      </w:r>
      <w:r>
        <w:rPr>
          <w:i/>
          <w:w w:val="90"/>
          <w:sz w:val="22"/>
        </w:rPr>
        <w:t>held</w:t>
      </w:r>
      <w:r>
        <w:rPr>
          <w:i/>
          <w:spacing w:val="-8"/>
          <w:w w:val="90"/>
          <w:sz w:val="22"/>
        </w:rPr>
        <w:t> </w:t>
      </w:r>
      <w:r>
        <w:rPr>
          <w:i/>
          <w:w w:val="90"/>
          <w:sz w:val="22"/>
        </w:rPr>
        <w:t>in</w:t>
      </w:r>
      <w:r>
        <w:rPr>
          <w:i/>
          <w:spacing w:val="-8"/>
          <w:w w:val="90"/>
          <w:sz w:val="22"/>
        </w:rPr>
        <w:t> </w:t>
      </w:r>
      <w:r>
        <w:rPr>
          <w:i/>
          <w:w w:val="90"/>
          <w:sz w:val="22"/>
        </w:rPr>
        <w:t>the </w:t>
      </w:r>
      <w:r>
        <w:rPr>
          <w:i/>
          <w:spacing w:val="-4"/>
          <w:sz w:val="22"/>
        </w:rPr>
        <w:t>minds</w:t>
      </w:r>
      <w:r>
        <w:rPr>
          <w:i/>
          <w:spacing w:val="-12"/>
          <w:sz w:val="22"/>
        </w:rPr>
        <w:t> </w:t>
      </w:r>
      <w:r>
        <w:rPr>
          <w:i/>
          <w:spacing w:val="-4"/>
          <w:sz w:val="22"/>
        </w:rPr>
        <w:t>of</w:t>
      </w:r>
      <w:r>
        <w:rPr>
          <w:i/>
          <w:spacing w:val="-10"/>
          <w:sz w:val="22"/>
        </w:rPr>
        <w:t> </w:t>
      </w:r>
      <w:r>
        <w:rPr>
          <w:i/>
          <w:spacing w:val="-4"/>
          <w:sz w:val="22"/>
        </w:rPr>
        <w:t>the</w:t>
      </w:r>
      <w:r>
        <w:rPr>
          <w:i/>
          <w:spacing w:val="-10"/>
          <w:sz w:val="22"/>
        </w:rPr>
        <w:t> </w:t>
      </w:r>
      <w:r>
        <w:rPr>
          <w:i/>
          <w:spacing w:val="-4"/>
          <w:sz w:val="22"/>
        </w:rPr>
        <w:t>students.</w:t>
      </w:r>
      <w:r>
        <w:rPr>
          <w:i/>
          <w:spacing w:val="-9"/>
          <w:sz w:val="22"/>
        </w:rPr>
        <w:t> </w:t>
      </w:r>
      <w:r>
        <w:rPr>
          <w:i/>
          <w:spacing w:val="-4"/>
          <w:sz w:val="22"/>
        </w:rPr>
        <w:t>Many</w:t>
      </w:r>
      <w:r>
        <w:rPr>
          <w:i/>
          <w:spacing w:val="-10"/>
          <w:sz w:val="22"/>
        </w:rPr>
        <w:t> </w:t>
      </w:r>
      <w:r>
        <w:rPr>
          <w:i/>
          <w:spacing w:val="-4"/>
          <w:sz w:val="22"/>
        </w:rPr>
        <w:t>of</w:t>
      </w:r>
      <w:r>
        <w:rPr>
          <w:i/>
          <w:spacing w:val="-10"/>
          <w:sz w:val="22"/>
        </w:rPr>
        <w:t> </w:t>
      </w:r>
      <w:r>
        <w:rPr>
          <w:i/>
          <w:spacing w:val="-4"/>
          <w:sz w:val="22"/>
        </w:rPr>
        <w:t>our</w:t>
      </w:r>
      <w:r>
        <w:rPr>
          <w:i/>
          <w:spacing w:val="-10"/>
          <w:sz w:val="22"/>
        </w:rPr>
        <w:t> </w:t>
      </w:r>
      <w:r>
        <w:rPr>
          <w:i/>
          <w:spacing w:val="-4"/>
          <w:sz w:val="22"/>
        </w:rPr>
        <w:t>recommendations</w:t>
      </w:r>
      <w:r>
        <w:rPr>
          <w:i/>
          <w:spacing w:val="-9"/>
          <w:sz w:val="22"/>
        </w:rPr>
        <w:t> </w:t>
      </w:r>
      <w:r>
        <w:rPr>
          <w:i/>
          <w:spacing w:val="-4"/>
          <w:sz w:val="22"/>
        </w:rPr>
        <w:t>on </w:t>
      </w:r>
      <w:r>
        <w:rPr>
          <w:i/>
          <w:w w:val="90"/>
          <w:sz w:val="22"/>
        </w:rPr>
        <w:t>infrastructure,</w:t>
      </w:r>
      <w:r>
        <w:rPr>
          <w:i/>
          <w:spacing w:val="-8"/>
          <w:w w:val="90"/>
          <w:sz w:val="22"/>
        </w:rPr>
        <w:t> </w:t>
      </w:r>
      <w:r>
        <w:rPr>
          <w:i/>
          <w:w w:val="90"/>
          <w:sz w:val="22"/>
        </w:rPr>
        <w:t>autonomy,</w:t>
      </w:r>
      <w:r>
        <w:rPr>
          <w:i/>
          <w:spacing w:val="-8"/>
          <w:w w:val="90"/>
          <w:sz w:val="22"/>
        </w:rPr>
        <w:t> </w:t>
      </w:r>
      <w:r>
        <w:rPr>
          <w:i/>
          <w:w w:val="90"/>
          <w:sz w:val="22"/>
        </w:rPr>
        <w:t>access,</w:t>
      </w:r>
      <w:r>
        <w:rPr>
          <w:i/>
          <w:spacing w:val="-8"/>
          <w:w w:val="90"/>
          <w:sz w:val="22"/>
        </w:rPr>
        <w:t> </w:t>
      </w:r>
      <w:r>
        <w:rPr>
          <w:i/>
          <w:w w:val="90"/>
          <w:sz w:val="22"/>
        </w:rPr>
        <w:t>evaluation</w:t>
      </w:r>
      <w:r>
        <w:rPr>
          <w:i/>
          <w:spacing w:val="-8"/>
          <w:w w:val="90"/>
          <w:sz w:val="22"/>
        </w:rPr>
        <w:t> </w:t>
      </w:r>
      <w:r>
        <w:rPr>
          <w:i/>
          <w:w w:val="90"/>
          <w:sz w:val="22"/>
        </w:rPr>
        <w:t>and</w:t>
      </w:r>
      <w:r>
        <w:rPr>
          <w:i/>
          <w:spacing w:val="-8"/>
          <w:w w:val="90"/>
          <w:sz w:val="22"/>
        </w:rPr>
        <w:t> </w:t>
      </w:r>
      <w:r>
        <w:rPr>
          <w:i/>
          <w:w w:val="90"/>
          <w:sz w:val="22"/>
        </w:rPr>
        <w:t>pedagogy </w:t>
      </w:r>
      <w:r>
        <w:rPr>
          <w:i/>
          <w:sz w:val="22"/>
        </w:rPr>
        <w:t>have</w:t>
      </w:r>
      <w:r>
        <w:rPr>
          <w:i/>
          <w:spacing w:val="-14"/>
          <w:sz w:val="22"/>
        </w:rPr>
        <w:t> </w:t>
      </w:r>
      <w:r>
        <w:rPr>
          <w:i/>
          <w:sz w:val="22"/>
        </w:rPr>
        <w:t>synergies</w:t>
      </w:r>
      <w:r>
        <w:rPr>
          <w:i/>
          <w:spacing w:val="-14"/>
          <w:sz w:val="22"/>
        </w:rPr>
        <w:t> </w:t>
      </w:r>
      <w:r>
        <w:rPr>
          <w:i/>
          <w:sz w:val="22"/>
        </w:rPr>
        <w:t>with</w:t>
      </w:r>
      <w:r>
        <w:rPr>
          <w:i/>
          <w:spacing w:val="-14"/>
          <w:sz w:val="22"/>
        </w:rPr>
        <w:t> </w:t>
      </w:r>
      <w:r>
        <w:rPr>
          <w:i/>
          <w:sz w:val="22"/>
        </w:rPr>
        <w:t>NKC</w:t>
      </w:r>
      <w:r>
        <w:rPr>
          <w:i/>
          <w:spacing w:val="-13"/>
          <w:sz w:val="22"/>
        </w:rPr>
        <w:t> </w:t>
      </w:r>
      <w:r>
        <w:rPr>
          <w:i/>
          <w:sz w:val="22"/>
        </w:rPr>
        <w:t>recommendations</w:t>
      </w:r>
      <w:r>
        <w:rPr>
          <w:i/>
          <w:spacing w:val="-14"/>
          <w:sz w:val="22"/>
        </w:rPr>
        <w:t> </w:t>
      </w:r>
      <w:r>
        <w:rPr>
          <w:i/>
          <w:sz w:val="22"/>
        </w:rPr>
        <w:t>on</w:t>
      </w:r>
      <w:r>
        <w:rPr>
          <w:i/>
          <w:spacing w:val="-14"/>
          <w:sz w:val="22"/>
        </w:rPr>
        <w:t> </w:t>
      </w:r>
      <w:r>
        <w:rPr>
          <w:i/>
          <w:sz w:val="22"/>
        </w:rPr>
        <w:t>higher </w:t>
      </w:r>
      <w:r>
        <w:rPr>
          <w:i/>
          <w:spacing w:val="-2"/>
          <w:sz w:val="22"/>
        </w:rPr>
        <w:t>education,</w:t>
      </w:r>
      <w:r>
        <w:rPr>
          <w:i/>
          <w:spacing w:val="-9"/>
          <w:sz w:val="22"/>
        </w:rPr>
        <w:t> </w:t>
      </w:r>
      <w:r>
        <w:rPr>
          <w:i/>
          <w:spacing w:val="-2"/>
          <w:sz w:val="22"/>
        </w:rPr>
        <w:t>school</w:t>
      </w:r>
      <w:r>
        <w:rPr>
          <w:i/>
          <w:spacing w:val="-9"/>
          <w:sz w:val="22"/>
        </w:rPr>
        <w:t> </w:t>
      </w:r>
      <w:r>
        <w:rPr>
          <w:i/>
          <w:spacing w:val="-2"/>
          <w:sz w:val="22"/>
        </w:rPr>
        <w:t>education,</w:t>
      </w:r>
      <w:r>
        <w:rPr>
          <w:i/>
          <w:spacing w:val="-9"/>
          <w:sz w:val="22"/>
        </w:rPr>
        <w:t> </w:t>
      </w:r>
      <w:r>
        <w:rPr>
          <w:i/>
          <w:spacing w:val="-2"/>
          <w:sz w:val="22"/>
        </w:rPr>
        <w:t>libraries,</w:t>
      </w:r>
      <w:r>
        <w:rPr>
          <w:i/>
          <w:spacing w:val="-9"/>
          <w:sz w:val="22"/>
        </w:rPr>
        <w:t> </w:t>
      </w:r>
      <w:r>
        <w:rPr>
          <w:i/>
          <w:spacing w:val="-2"/>
          <w:sz w:val="22"/>
        </w:rPr>
        <w:t>translation</w:t>
      </w:r>
      <w:r>
        <w:rPr>
          <w:i/>
          <w:spacing w:val="-9"/>
          <w:sz w:val="22"/>
        </w:rPr>
        <w:t> </w:t>
      </w:r>
      <w:r>
        <w:rPr>
          <w:i/>
          <w:spacing w:val="-2"/>
          <w:sz w:val="22"/>
        </w:rPr>
        <w:t>and </w:t>
      </w:r>
      <w:r>
        <w:rPr>
          <w:i/>
          <w:w w:val="90"/>
          <w:sz w:val="22"/>
        </w:rPr>
        <w:t>open educational resources.</w:t>
      </w:r>
      <w:r>
        <w:rPr>
          <w:i/>
          <w:spacing w:val="-5"/>
          <w:w w:val="90"/>
          <w:sz w:val="22"/>
        </w:rPr>
        <w:t> </w:t>
      </w:r>
      <w:r>
        <w:rPr>
          <w:i/>
          <w:w w:val="90"/>
          <w:sz w:val="22"/>
        </w:rPr>
        <w:t>We have highlighted the most </w:t>
      </w:r>
      <w:r>
        <w:rPr>
          <w:i/>
          <w:sz w:val="22"/>
        </w:rPr>
        <w:t>important</w:t>
      </w:r>
      <w:r>
        <w:rPr>
          <w:i/>
          <w:spacing w:val="-14"/>
          <w:sz w:val="22"/>
        </w:rPr>
        <w:t> </w:t>
      </w:r>
      <w:r>
        <w:rPr>
          <w:i/>
          <w:sz w:val="22"/>
        </w:rPr>
        <w:t>things</w:t>
      </w:r>
      <w:r>
        <w:rPr>
          <w:i/>
          <w:spacing w:val="-14"/>
          <w:sz w:val="22"/>
        </w:rPr>
        <w:t> </w:t>
      </w:r>
      <w:r>
        <w:rPr>
          <w:i/>
          <w:sz w:val="22"/>
        </w:rPr>
        <w:t>which</w:t>
      </w:r>
      <w:r>
        <w:rPr>
          <w:i/>
          <w:spacing w:val="-14"/>
          <w:sz w:val="22"/>
        </w:rPr>
        <w:t> </w:t>
      </w:r>
      <w:r>
        <w:rPr>
          <w:i/>
          <w:sz w:val="22"/>
        </w:rPr>
        <w:t>have</w:t>
      </w:r>
      <w:r>
        <w:rPr>
          <w:i/>
          <w:spacing w:val="-13"/>
          <w:sz w:val="22"/>
        </w:rPr>
        <w:t> </w:t>
      </w:r>
      <w:r>
        <w:rPr>
          <w:i/>
          <w:sz w:val="22"/>
        </w:rPr>
        <w:t>to</w:t>
      </w:r>
      <w:r>
        <w:rPr>
          <w:i/>
          <w:spacing w:val="-14"/>
          <w:sz w:val="22"/>
        </w:rPr>
        <w:t> </w:t>
      </w:r>
      <w:r>
        <w:rPr>
          <w:i/>
          <w:sz w:val="22"/>
        </w:rPr>
        <w:t>be</w:t>
      </w:r>
      <w:r>
        <w:rPr>
          <w:i/>
          <w:spacing w:val="-14"/>
          <w:sz w:val="22"/>
        </w:rPr>
        <w:t> </w:t>
      </w:r>
      <w:r>
        <w:rPr>
          <w:i/>
          <w:sz w:val="22"/>
        </w:rPr>
        <w:t>in</w:t>
      </w:r>
      <w:r>
        <w:rPr>
          <w:i/>
          <w:spacing w:val="-14"/>
          <w:sz w:val="22"/>
        </w:rPr>
        <w:t> </w:t>
      </w:r>
      <w:r>
        <w:rPr>
          <w:i/>
          <w:sz w:val="22"/>
        </w:rPr>
        <w:t>place</w:t>
      </w:r>
      <w:r>
        <w:rPr>
          <w:i/>
          <w:spacing w:val="-13"/>
          <w:sz w:val="22"/>
        </w:rPr>
        <w:t> </w:t>
      </w:r>
      <w:r>
        <w:rPr>
          <w:i/>
          <w:sz w:val="22"/>
        </w:rPr>
        <w:t>to</w:t>
      </w:r>
      <w:r>
        <w:rPr>
          <w:i/>
          <w:spacing w:val="-14"/>
          <w:sz w:val="22"/>
        </w:rPr>
        <w:t> </w:t>
      </w:r>
      <w:r>
        <w:rPr>
          <w:i/>
          <w:sz w:val="22"/>
        </w:rPr>
        <w:t>work</w:t>
      </w:r>
      <w:r>
        <w:rPr>
          <w:i/>
          <w:spacing w:val="-14"/>
          <w:sz w:val="22"/>
        </w:rPr>
        <w:t> </w:t>
      </w:r>
      <w:r>
        <w:rPr>
          <w:i/>
          <w:sz w:val="22"/>
        </w:rPr>
        <w:t>the </w:t>
      </w:r>
      <w:r>
        <w:rPr>
          <w:i/>
          <w:spacing w:val="-6"/>
          <w:sz w:val="22"/>
        </w:rPr>
        <w:t>system</w:t>
      </w:r>
      <w:r>
        <w:rPr>
          <w:i/>
          <w:spacing w:val="-8"/>
          <w:sz w:val="22"/>
        </w:rPr>
        <w:t> </w:t>
      </w:r>
      <w:r>
        <w:rPr>
          <w:i/>
          <w:spacing w:val="-6"/>
          <w:sz w:val="22"/>
        </w:rPr>
        <w:t>around.</w:t>
      </w:r>
      <w:r>
        <w:rPr>
          <w:i/>
          <w:spacing w:val="-8"/>
          <w:sz w:val="22"/>
        </w:rPr>
        <w:t> </w:t>
      </w:r>
      <w:r>
        <w:rPr>
          <w:i/>
          <w:spacing w:val="-6"/>
          <w:sz w:val="22"/>
        </w:rPr>
        <w:t>We</w:t>
      </w:r>
      <w:r>
        <w:rPr>
          <w:i/>
          <w:spacing w:val="-8"/>
          <w:sz w:val="22"/>
        </w:rPr>
        <w:t> </w:t>
      </w:r>
      <w:r>
        <w:rPr>
          <w:i/>
          <w:spacing w:val="-6"/>
          <w:sz w:val="22"/>
        </w:rPr>
        <w:t>believe</w:t>
      </w:r>
      <w:r>
        <w:rPr>
          <w:i/>
          <w:spacing w:val="-7"/>
          <w:sz w:val="22"/>
        </w:rPr>
        <w:t> </w:t>
      </w:r>
      <w:r>
        <w:rPr>
          <w:i/>
          <w:spacing w:val="-6"/>
          <w:sz w:val="22"/>
        </w:rPr>
        <w:t>that</w:t>
      </w:r>
      <w:r>
        <w:rPr>
          <w:i/>
          <w:spacing w:val="-8"/>
          <w:sz w:val="22"/>
        </w:rPr>
        <w:t> </w:t>
      </w:r>
      <w:r>
        <w:rPr>
          <w:i/>
          <w:spacing w:val="-6"/>
          <w:sz w:val="22"/>
        </w:rPr>
        <w:t>the implementation of all </w:t>
      </w:r>
      <w:r>
        <w:rPr>
          <w:i/>
          <w:w w:val="85"/>
          <w:sz w:val="22"/>
        </w:rPr>
        <w:t>these recommendations in a coordinated fashion will charge </w:t>
      </w:r>
      <w:r>
        <w:rPr>
          <w:i/>
          <w:spacing w:val="-6"/>
          <w:sz w:val="22"/>
        </w:rPr>
        <w:t>the system to act as a magnet to attract students towards </w:t>
      </w:r>
      <w:r>
        <w:rPr>
          <w:i/>
          <w:spacing w:val="-2"/>
          <w:sz w:val="22"/>
        </w:rPr>
        <w:t>basic</w:t>
      </w:r>
      <w:r>
        <w:rPr>
          <w:i/>
          <w:spacing w:val="-12"/>
          <w:sz w:val="22"/>
        </w:rPr>
        <w:t> </w:t>
      </w:r>
      <w:r>
        <w:rPr>
          <w:i/>
          <w:spacing w:val="-2"/>
          <w:sz w:val="22"/>
        </w:rPr>
        <w:t>sciences.</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9"/>
        <w:rPr>
          <w:i/>
          <w:sz w:val="20"/>
        </w:rPr>
      </w:pPr>
    </w:p>
    <w:p>
      <w:pPr>
        <w:spacing w:after="0"/>
        <w:rPr>
          <w:sz w:val="20"/>
        </w:rPr>
        <w:sectPr>
          <w:pgSz w:w="11910" w:h="16840"/>
          <w:pgMar w:header="0" w:footer="675" w:top="0" w:bottom="860" w:left="0" w:right="0"/>
        </w:sectPr>
      </w:pPr>
    </w:p>
    <w:p>
      <w:pPr>
        <w:pStyle w:val="BodyText"/>
        <w:spacing w:line="266" w:lineRule="auto" w:before="82"/>
        <w:ind w:left="1079" w:firstLine="359"/>
        <w:jc w:val="right"/>
      </w:pPr>
      <w:r>
        <w:rPr/>
        <mc:AlternateContent>
          <mc:Choice Requires="wps">
            <w:drawing>
              <wp:anchor distT="0" distB="0" distL="0" distR="0" allowOverlap="1" layoutInCell="1" locked="0" behindDoc="0" simplePos="0" relativeHeight="15773696">
                <wp:simplePos x="0" y="0"/>
                <wp:positionH relativeFrom="page">
                  <wp:posOffset>0</wp:posOffset>
                </wp:positionH>
                <wp:positionV relativeFrom="paragraph">
                  <wp:posOffset>-2277393</wp:posOffset>
                </wp:positionV>
                <wp:extent cx="7560309" cy="1752600"/>
                <wp:effectExtent l="0" t="0" r="0" b="0"/>
                <wp:wrapNone/>
                <wp:docPr id="925" name="Group 925"/>
                <wp:cNvGraphicFramePr>
                  <a:graphicFrameLocks/>
                </wp:cNvGraphicFramePr>
                <a:graphic>
                  <a:graphicData uri="http://schemas.microsoft.com/office/word/2010/wordprocessingGroup">
                    <wpg:wgp>
                      <wpg:cNvPr id="925" name="Group 925"/>
                      <wpg:cNvGrpSpPr/>
                      <wpg:grpSpPr>
                        <a:xfrm>
                          <a:off x="0" y="0"/>
                          <a:ext cx="7560309" cy="1752600"/>
                          <a:chExt cx="7560309" cy="1752600"/>
                        </a:xfrm>
                      </wpg:grpSpPr>
                      <pic:pic>
                        <pic:nvPicPr>
                          <pic:cNvPr id="926" name="Image 926"/>
                          <pic:cNvPicPr/>
                        </pic:nvPicPr>
                        <pic:blipFill>
                          <a:blip r:embed="rId11" cstate="print"/>
                          <a:stretch>
                            <a:fillRect/>
                          </a:stretch>
                        </pic:blipFill>
                        <pic:spPr>
                          <a:xfrm>
                            <a:off x="0" y="0"/>
                            <a:ext cx="7559999" cy="1752562"/>
                          </a:xfrm>
                          <a:prstGeom prst="rect">
                            <a:avLst/>
                          </a:prstGeom>
                        </pic:spPr>
                      </pic:pic>
                      <wps:wsp>
                        <wps:cNvPr id="927" name="Textbox 927"/>
                        <wps:cNvSpPr txBox="1"/>
                        <wps:spPr>
                          <a:xfrm>
                            <a:off x="685800" y="598687"/>
                            <a:ext cx="3854450"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More Quality </w:t>
                              </w:r>
                              <w:r>
                                <w:rPr>
                                  <w:rFonts w:ascii="Trebuchet MS"/>
                                  <w:b/>
                                  <w:color w:val="FFFFFF"/>
                                  <w:spacing w:val="-2"/>
                                  <w:sz w:val="68"/>
                                </w:rPr>
                                <w:t>Ph.Ds</w:t>
                              </w:r>
                            </w:p>
                          </w:txbxContent>
                        </wps:txbx>
                        <wps:bodyPr wrap="square" lIns="0" tIns="0" rIns="0" bIns="0" rtlCol="0">
                          <a:noAutofit/>
                        </wps:bodyPr>
                      </wps:wsp>
                      <wps:wsp>
                        <wps:cNvPr id="928" name="Textbox 928"/>
                        <wps:cNvSpPr txBox="1"/>
                        <wps:spPr>
                          <a:xfrm>
                            <a:off x="5833727" y="1439105"/>
                            <a:ext cx="1053465" cy="158750"/>
                          </a:xfrm>
                          <a:prstGeom prst="rect">
                            <a:avLst/>
                          </a:prstGeom>
                        </wps:spPr>
                        <wps:txbx>
                          <w:txbxContent>
                            <w:p>
                              <w:pPr>
                                <w:spacing w:line="238" w:lineRule="exact" w:before="0"/>
                                <w:ind w:left="0" w:right="0" w:firstLine="0"/>
                                <w:jc w:val="left"/>
                                <w:rPr>
                                  <w:b/>
                                  <w:sz w:val="22"/>
                                </w:rPr>
                              </w:pPr>
                              <w:r>
                                <w:rPr>
                                  <w:b/>
                                  <w:color w:val="FFFFFF"/>
                                  <w:spacing w:val="-6"/>
                                  <w:sz w:val="22"/>
                                </w:rPr>
                                <w:t>November 6, 2008</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73696" id="docshapegroup918" coordorigin="0,-3586" coordsize="11906,2760">
                <v:shape style="position:absolute;left:0;top:-3587;width:11906;height:2760" type="#_x0000_t75" id="docshape919" stroked="false">
                  <v:imagedata r:id="rId11" o:title=""/>
                </v:shape>
                <v:shape style="position:absolute;left:1080;top:-2644;width:6070;height:790" type="#_x0000_t202" id="docshape920" filled="false" stroked="false">
                  <v:textbox inset="0,0,0,0">
                    <w:txbxContent>
                      <w:p>
                        <w:pPr>
                          <w:spacing w:before="0"/>
                          <w:ind w:left="0" w:right="0" w:firstLine="0"/>
                          <w:jc w:val="left"/>
                          <w:rPr>
                            <w:rFonts w:ascii="Trebuchet MS"/>
                            <w:b/>
                            <w:sz w:val="68"/>
                          </w:rPr>
                        </w:pPr>
                        <w:r>
                          <w:rPr>
                            <w:rFonts w:ascii="Trebuchet MS"/>
                            <w:b/>
                            <w:color w:val="FFFFFF"/>
                            <w:sz w:val="68"/>
                          </w:rPr>
                          <w:t>More Quality </w:t>
                        </w:r>
                        <w:r>
                          <w:rPr>
                            <w:rFonts w:ascii="Trebuchet MS"/>
                            <w:b/>
                            <w:color w:val="FFFFFF"/>
                            <w:spacing w:val="-2"/>
                            <w:sz w:val="68"/>
                          </w:rPr>
                          <w:t>Ph.Ds</w:t>
                        </w:r>
                      </w:p>
                    </w:txbxContent>
                  </v:textbox>
                  <w10:wrap type="none"/>
                </v:shape>
                <v:shape style="position:absolute;left:9186;top:-1321;width:1659;height:250" type="#_x0000_t202" id="docshape921" filled="false" stroked="false">
                  <v:textbox inset="0,0,0,0">
                    <w:txbxContent>
                      <w:p>
                        <w:pPr>
                          <w:spacing w:line="238" w:lineRule="exact" w:before="0"/>
                          <w:ind w:left="0" w:right="0" w:firstLine="0"/>
                          <w:jc w:val="left"/>
                          <w:rPr>
                            <w:b/>
                            <w:sz w:val="22"/>
                          </w:rPr>
                        </w:pPr>
                        <w:r>
                          <w:rPr>
                            <w:b/>
                            <w:color w:val="FFFFFF"/>
                            <w:spacing w:val="-6"/>
                            <w:sz w:val="22"/>
                          </w:rPr>
                          <w:t>November 6, 2008</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50784">
                <wp:simplePos x="0" y="0"/>
                <wp:positionH relativeFrom="page">
                  <wp:posOffset>685799</wp:posOffset>
                </wp:positionH>
                <wp:positionV relativeFrom="paragraph">
                  <wp:posOffset>-36774</wp:posOffset>
                </wp:positionV>
                <wp:extent cx="228600" cy="757555"/>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228600" cy="757555"/>
                        </a:xfrm>
                        <a:prstGeom prst="rect">
                          <a:avLst/>
                        </a:prstGeom>
                      </wps:spPr>
                      <wps:txbx>
                        <w:txbxContent>
                          <w:p>
                            <w:pPr>
                              <w:spacing w:line="1135" w:lineRule="exact" w:before="0"/>
                              <w:ind w:left="0" w:right="0" w:firstLine="0"/>
                              <w:jc w:val="left"/>
                              <w:rPr>
                                <w:sz w:val="106"/>
                              </w:rPr>
                            </w:pPr>
                            <w:r>
                              <w:rPr>
                                <w:color w:val="9CBF3B"/>
                                <w:spacing w:val="-10"/>
                                <w:sz w:val="106"/>
                              </w:rPr>
                              <w:t>I</w:t>
                            </w:r>
                          </w:p>
                        </w:txbxContent>
                      </wps:txbx>
                      <wps:bodyPr wrap="square" lIns="0" tIns="0" rIns="0" bIns="0" rtlCol="0">
                        <a:noAutofit/>
                      </wps:bodyPr>
                    </wps:wsp>
                  </a:graphicData>
                </a:graphic>
              </wp:anchor>
            </w:drawing>
          </mc:Choice>
          <mc:Fallback>
            <w:pict>
              <v:shape style="position:absolute;margin-left:53.999981pt;margin-top:-2.89566pt;width:18pt;height:59.65pt;mso-position-horizontal-relative:page;mso-position-vertical-relative:paragraph;z-index:-23965696" type="#_x0000_t202" id="docshape922" filled="false" stroked="false">
                <v:textbox inset="0,0,0,0">
                  <w:txbxContent>
                    <w:p>
                      <w:pPr>
                        <w:spacing w:line="1135" w:lineRule="exact" w:before="0"/>
                        <w:ind w:left="0" w:right="0" w:firstLine="0"/>
                        <w:jc w:val="left"/>
                        <w:rPr>
                          <w:sz w:val="106"/>
                        </w:rPr>
                      </w:pPr>
                      <w:r>
                        <w:rPr>
                          <w:color w:val="9CBF3B"/>
                          <w:spacing w:val="-10"/>
                          <w:sz w:val="106"/>
                        </w:rPr>
                        <w:t>I</w:t>
                      </w:r>
                    </w:p>
                  </w:txbxContent>
                </v:textbox>
                <w10:wrap type="none"/>
              </v:shape>
            </w:pict>
          </mc:Fallback>
        </mc:AlternateContent>
      </w:r>
      <w:r>
        <w:rPr>
          <w:spacing w:val="-4"/>
        </w:rPr>
        <w:t>t</w:t>
      </w:r>
      <w:r>
        <w:rPr>
          <w:spacing w:val="-10"/>
        </w:rPr>
        <w:t> </w:t>
      </w:r>
      <w:r>
        <w:rPr>
          <w:spacing w:val="-4"/>
        </w:rPr>
        <w:t>is</w:t>
      </w:r>
      <w:r>
        <w:rPr>
          <w:spacing w:val="-10"/>
        </w:rPr>
        <w:t> </w:t>
      </w:r>
      <w:r>
        <w:rPr>
          <w:spacing w:val="-4"/>
        </w:rPr>
        <w:t>widely</w:t>
      </w:r>
      <w:r>
        <w:rPr>
          <w:spacing w:val="-10"/>
        </w:rPr>
        <w:t> </w:t>
      </w:r>
      <w:r>
        <w:rPr>
          <w:spacing w:val="-4"/>
        </w:rPr>
        <w:t>recognised</w:t>
      </w:r>
      <w:r>
        <w:rPr>
          <w:spacing w:val="-9"/>
        </w:rPr>
        <w:t> </w:t>
      </w:r>
      <w:r>
        <w:rPr>
          <w:spacing w:val="-4"/>
        </w:rPr>
        <w:t>that</w:t>
      </w:r>
      <w:r>
        <w:rPr>
          <w:spacing w:val="-10"/>
        </w:rPr>
        <w:t> </w:t>
      </w:r>
      <w:r>
        <w:rPr>
          <w:spacing w:val="-4"/>
        </w:rPr>
        <w:t>a</w:t>
      </w:r>
      <w:r>
        <w:rPr>
          <w:spacing w:val="-10"/>
        </w:rPr>
        <w:t> </w:t>
      </w:r>
      <w:r>
        <w:rPr>
          <w:spacing w:val="-4"/>
        </w:rPr>
        <w:t>nation’s</w:t>
      </w:r>
      <w:r>
        <w:rPr>
          <w:spacing w:val="-10"/>
        </w:rPr>
        <w:t> </w:t>
      </w:r>
      <w:r>
        <w:rPr>
          <w:spacing w:val="-4"/>
        </w:rPr>
        <w:t>transformation </w:t>
      </w:r>
      <w:r>
        <w:rPr/>
        <w:t>to</w:t>
      </w:r>
      <w:r>
        <w:rPr>
          <w:spacing w:val="32"/>
        </w:rPr>
        <w:t> </w:t>
      </w:r>
      <w:r>
        <w:rPr/>
        <w:t>a</w:t>
      </w:r>
      <w:r>
        <w:rPr>
          <w:spacing w:val="32"/>
        </w:rPr>
        <w:t> </w:t>
      </w:r>
      <w:r>
        <w:rPr/>
        <w:t>Knowledge</w:t>
      </w:r>
      <w:r>
        <w:rPr>
          <w:spacing w:val="32"/>
        </w:rPr>
        <w:t> </w:t>
      </w:r>
      <w:r>
        <w:rPr/>
        <w:t>and</w:t>
      </w:r>
      <w:r>
        <w:rPr>
          <w:spacing w:val="32"/>
        </w:rPr>
        <w:t> </w:t>
      </w:r>
      <w:r>
        <w:rPr/>
        <w:t>Skills</w:t>
      </w:r>
      <w:r>
        <w:rPr>
          <w:spacing w:val="32"/>
        </w:rPr>
        <w:t> </w:t>
      </w:r>
      <w:r>
        <w:rPr/>
        <w:t>Economy</w:t>
      </w:r>
      <w:r>
        <w:rPr>
          <w:spacing w:val="32"/>
        </w:rPr>
        <w:t> </w:t>
      </w:r>
      <w:r>
        <w:rPr/>
        <w:t>is</w:t>
      </w:r>
      <w:r>
        <w:rPr>
          <w:spacing w:val="32"/>
        </w:rPr>
        <w:t> </w:t>
      </w:r>
      <w:r>
        <w:rPr/>
        <w:t>critically dependent</w:t>
      </w:r>
      <w:r>
        <w:rPr>
          <w:spacing w:val="-18"/>
        </w:rPr>
        <w:t> </w:t>
      </w:r>
      <w:r>
        <w:rPr/>
        <w:t>on</w:t>
      </w:r>
      <w:r>
        <w:rPr>
          <w:spacing w:val="-18"/>
        </w:rPr>
        <w:t> </w:t>
      </w:r>
      <w:r>
        <w:rPr/>
        <w:t>the</w:t>
      </w:r>
      <w:r>
        <w:rPr>
          <w:spacing w:val="-18"/>
        </w:rPr>
        <w:t> </w:t>
      </w:r>
      <w:r>
        <w:rPr/>
        <w:t>original</w:t>
      </w:r>
      <w:r>
        <w:rPr>
          <w:spacing w:val="-18"/>
        </w:rPr>
        <w:t> </w:t>
      </w:r>
      <w:r>
        <w:rPr/>
        <w:t>research</w:t>
      </w:r>
      <w:r>
        <w:rPr>
          <w:spacing w:val="-18"/>
        </w:rPr>
        <w:t> </w:t>
      </w:r>
      <w:r>
        <w:rPr/>
        <w:t>and</w:t>
      </w:r>
      <w:r>
        <w:rPr>
          <w:spacing w:val="-18"/>
        </w:rPr>
        <w:t> </w:t>
      </w:r>
      <w:r>
        <w:rPr/>
        <w:t>development taking</w:t>
      </w:r>
      <w:r>
        <w:rPr>
          <w:spacing w:val="-13"/>
        </w:rPr>
        <w:t> </w:t>
      </w:r>
      <w:r>
        <w:rPr/>
        <w:t>place</w:t>
      </w:r>
      <w:r>
        <w:rPr>
          <w:spacing w:val="-13"/>
        </w:rPr>
        <w:t> </w:t>
      </w:r>
      <w:r>
        <w:rPr/>
        <w:t>within</w:t>
      </w:r>
      <w:r>
        <w:rPr>
          <w:spacing w:val="-13"/>
        </w:rPr>
        <w:t> </w:t>
      </w:r>
      <w:r>
        <w:rPr/>
        <w:t>the</w:t>
      </w:r>
      <w:r>
        <w:rPr>
          <w:spacing w:val="-13"/>
        </w:rPr>
        <w:t> </w:t>
      </w:r>
      <w:r>
        <w:rPr/>
        <w:t>country.</w:t>
      </w:r>
      <w:r>
        <w:rPr>
          <w:spacing w:val="-13"/>
        </w:rPr>
        <w:t> </w:t>
      </w:r>
      <w:r>
        <w:rPr/>
        <w:t>If</w:t>
      </w:r>
      <w:r>
        <w:rPr>
          <w:spacing w:val="-13"/>
        </w:rPr>
        <w:t> </w:t>
      </w:r>
      <w:r>
        <w:rPr/>
        <w:t>India</w:t>
      </w:r>
      <w:r>
        <w:rPr>
          <w:spacing w:val="-13"/>
        </w:rPr>
        <w:t> </w:t>
      </w:r>
      <w:r>
        <w:rPr/>
        <w:t>is</w:t>
      </w:r>
      <w:r>
        <w:rPr>
          <w:spacing w:val="-13"/>
        </w:rPr>
        <w:t> </w:t>
      </w:r>
      <w:r>
        <w:rPr/>
        <w:t>to</w:t>
      </w:r>
      <w:r>
        <w:rPr>
          <w:spacing w:val="-13"/>
        </w:rPr>
        <w:t> </w:t>
      </w:r>
      <w:r>
        <w:rPr/>
        <w:t>make</w:t>
      </w:r>
      <w:r>
        <w:rPr>
          <w:spacing w:val="-13"/>
        </w:rPr>
        <w:t> </w:t>
      </w:r>
      <w:r>
        <w:rPr/>
        <w:t>the </w:t>
      </w:r>
      <w:r>
        <w:rPr>
          <w:spacing w:val="-2"/>
        </w:rPr>
        <w:t>transition</w:t>
      </w:r>
      <w:r>
        <w:rPr>
          <w:spacing w:val="-12"/>
        </w:rPr>
        <w:t> </w:t>
      </w:r>
      <w:r>
        <w:rPr>
          <w:spacing w:val="-2"/>
        </w:rPr>
        <w:t>to</w:t>
      </w:r>
      <w:r>
        <w:rPr>
          <w:spacing w:val="-12"/>
        </w:rPr>
        <w:t> </w:t>
      </w:r>
      <w:r>
        <w:rPr>
          <w:spacing w:val="-2"/>
        </w:rPr>
        <w:t>a</w:t>
      </w:r>
      <w:r>
        <w:rPr>
          <w:spacing w:val="-12"/>
        </w:rPr>
        <w:t> </w:t>
      </w:r>
      <w:r>
        <w:rPr>
          <w:spacing w:val="-2"/>
        </w:rPr>
        <w:t>Knowledge</w:t>
      </w:r>
      <w:r>
        <w:rPr>
          <w:spacing w:val="-11"/>
        </w:rPr>
        <w:t> </w:t>
      </w:r>
      <w:r>
        <w:rPr>
          <w:spacing w:val="-2"/>
        </w:rPr>
        <w:t>economy,</w:t>
      </w:r>
      <w:r>
        <w:rPr>
          <w:spacing w:val="-12"/>
        </w:rPr>
        <w:t> </w:t>
      </w:r>
      <w:r>
        <w:rPr>
          <w:spacing w:val="-2"/>
        </w:rPr>
        <w:t>it</w:t>
      </w:r>
      <w:r>
        <w:rPr>
          <w:spacing w:val="-12"/>
        </w:rPr>
        <w:t> </w:t>
      </w:r>
      <w:r>
        <w:rPr>
          <w:spacing w:val="-2"/>
        </w:rPr>
        <w:t>is</w:t>
      </w:r>
      <w:r>
        <w:rPr>
          <w:spacing w:val="-12"/>
        </w:rPr>
        <w:t> </w:t>
      </w:r>
      <w:r>
        <w:rPr>
          <w:spacing w:val="-2"/>
        </w:rPr>
        <w:t>therefore</w:t>
      </w:r>
      <w:r>
        <w:rPr>
          <w:spacing w:val="-11"/>
        </w:rPr>
        <w:t> </w:t>
      </w:r>
      <w:r>
        <w:rPr>
          <w:spacing w:val="-2"/>
        </w:rPr>
        <w:t>vital </w:t>
      </w:r>
      <w:r>
        <w:rPr/>
        <w:t>that research and development within the country be dramatically</w:t>
      </w:r>
      <w:r>
        <w:rPr>
          <w:spacing w:val="8"/>
        </w:rPr>
        <w:t> </w:t>
      </w:r>
      <w:r>
        <w:rPr/>
        <w:t>improved.</w:t>
      </w:r>
      <w:r>
        <w:rPr>
          <w:spacing w:val="1"/>
        </w:rPr>
        <w:t> </w:t>
      </w:r>
      <w:r>
        <w:rPr/>
        <w:t>There</w:t>
      </w:r>
      <w:r>
        <w:rPr>
          <w:spacing w:val="8"/>
        </w:rPr>
        <w:t> </w:t>
      </w:r>
      <w:r>
        <w:rPr/>
        <w:t>is</w:t>
      </w:r>
      <w:r>
        <w:rPr>
          <w:spacing w:val="8"/>
        </w:rPr>
        <w:t> </w:t>
      </w:r>
      <w:r>
        <w:rPr/>
        <w:t>ample</w:t>
      </w:r>
      <w:r>
        <w:rPr>
          <w:spacing w:val="8"/>
        </w:rPr>
        <w:t> </w:t>
      </w:r>
      <w:r>
        <w:rPr/>
        <w:t>evidence</w:t>
      </w:r>
      <w:r>
        <w:rPr>
          <w:spacing w:val="8"/>
        </w:rPr>
        <w:t> </w:t>
      </w:r>
      <w:r>
        <w:rPr/>
        <w:t>that India</w:t>
      </w:r>
      <w:r>
        <w:rPr>
          <w:spacing w:val="-11"/>
        </w:rPr>
        <w:t> </w:t>
      </w:r>
      <w:r>
        <w:rPr/>
        <w:t>is</w:t>
      </w:r>
      <w:r>
        <w:rPr>
          <w:spacing w:val="-10"/>
        </w:rPr>
        <w:t> </w:t>
      </w:r>
      <w:r>
        <w:rPr/>
        <w:t>not</w:t>
      </w:r>
      <w:r>
        <w:rPr>
          <w:spacing w:val="-10"/>
        </w:rPr>
        <w:t> </w:t>
      </w:r>
      <w:r>
        <w:rPr/>
        <w:t>well-placed</w:t>
      </w:r>
      <w:r>
        <w:rPr>
          <w:spacing w:val="-10"/>
        </w:rPr>
        <w:t> </w:t>
      </w:r>
      <w:r>
        <w:rPr/>
        <w:t>for</w:t>
      </w:r>
      <w:r>
        <w:rPr>
          <w:spacing w:val="-10"/>
        </w:rPr>
        <w:t> </w:t>
      </w:r>
      <w:r>
        <w:rPr/>
        <w:t>this</w:t>
      </w:r>
      <w:r>
        <w:rPr>
          <w:spacing w:val="-10"/>
        </w:rPr>
        <w:t> </w:t>
      </w:r>
      <w:r>
        <w:rPr/>
        <w:t>future</w:t>
      </w:r>
      <w:r>
        <w:rPr>
          <w:spacing w:val="-11"/>
        </w:rPr>
        <w:t> </w:t>
      </w:r>
      <w:r>
        <w:rPr/>
        <w:t>transformation. For</w:t>
      </w:r>
      <w:r>
        <w:rPr>
          <w:spacing w:val="15"/>
        </w:rPr>
        <w:t> </w:t>
      </w:r>
      <w:r>
        <w:rPr/>
        <w:t>example,</w:t>
      </w:r>
      <w:r>
        <w:rPr>
          <w:spacing w:val="15"/>
        </w:rPr>
        <w:t> </w:t>
      </w:r>
      <w:r>
        <w:rPr/>
        <w:t>in</w:t>
      </w:r>
      <w:r>
        <w:rPr>
          <w:spacing w:val="15"/>
        </w:rPr>
        <w:t> </w:t>
      </w:r>
      <w:r>
        <w:rPr/>
        <w:t>many</w:t>
      </w:r>
      <w:r>
        <w:rPr>
          <w:spacing w:val="15"/>
        </w:rPr>
        <w:t> </w:t>
      </w:r>
      <w:r>
        <w:rPr/>
        <w:t>disciplines,</w:t>
      </w:r>
      <w:r>
        <w:rPr>
          <w:spacing w:val="15"/>
        </w:rPr>
        <w:t> </w:t>
      </w:r>
      <w:r>
        <w:rPr/>
        <w:t>there</w:t>
      </w:r>
      <w:r>
        <w:rPr>
          <w:spacing w:val="15"/>
        </w:rPr>
        <w:t> </w:t>
      </w:r>
      <w:r>
        <w:rPr/>
        <w:t>is</w:t>
      </w:r>
      <w:r>
        <w:rPr>
          <w:spacing w:val="15"/>
        </w:rPr>
        <w:t> </w:t>
      </w:r>
      <w:r>
        <w:rPr/>
        <w:t>already</w:t>
      </w:r>
      <w:r>
        <w:rPr>
          <w:spacing w:val="15"/>
        </w:rPr>
        <w:t> </w:t>
      </w:r>
      <w:r>
        <w:rPr/>
        <w:t>a </w:t>
      </w:r>
      <w:r>
        <w:rPr>
          <w:spacing w:val="-6"/>
        </w:rPr>
        <w:t>severe</w:t>
      </w:r>
      <w:r>
        <w:rPr>
          <w:spacing w:val="-11"/>
        </w:rPr>
        <w:t> </w:t>
      </w:r>
      <w:r>
        <w:rPr>
          <w:spacing w:val="-6"/>
        </w:rPr>
        <w:t>shortage</w:t>
      </w:r>
      <w:r>
        <w:rPr>
          <w:spacing w:val="-11"/>
        </w:rPr>
        <w:t> </w:t>
      </w:r>
      <w:r>
        <w:rPr>
          <w:spacing w:val="-6"/>
        </w:rPr>
        <w:t>of</w:t>
      </w:r>
      <w:r>
        <w:rPr>
          <w:spacing w:val="-11"/>
        </w:rPr>
        <w:t> </w:t>
      </w:r>
      <w:r>
        <w:rPr>
          <w:spacing w:val="-6"/>
        </w:rPr>
        <w:t>well-trained</w:t>
      </w:r>
      <w:r>
        <w:rPr>
          <w:spacing w:val="-11"/>
        </w:rPr>
        <w:t> </w:t>
      </w:r>
      <w:r>
        <w:rPr>
          <w:spacing w:val="-6"/>
        </w:rPr>
        <w:t>young</w:t>
      </w:r>
      <w:r>
        <w:rPr>
          <w:spacing w:val="-11"/>
        </w:rPr>
        <w:t> </w:t>
      </w:r>
      <w:r>
        <w:rPr>
          <w:spacing w:val="-6"/>
        </w:rPr>
        <w:t>doctorates</w:t>
      </w:r>
      <w:r>
        <w:rPr>
          <w:spacing w:val="-11"/>
        </w:rPr>
        <w:t> </w:t>
      </w:r>
      <w:r>
        <w:rPr>
          <w:spacing w:val="-6"/>
        </w:rPr>
        <w:t>to</w:t>
      </w:r>
      <w:r>
        <w:rPr>
          <w:spacing w:val="-11"/>
        </w:rPr>
        <w:t> </w:t>
      </w:r>
      <w:r>
        <w:rPr>
          <w:spacing w:val="-6"/>
        </w:rPr>
        <w:t>fill</w:t>
      </w:r>
      <w:r>
        <w:rPr>
          <w:spacing w:val="-11"/>
        </w:rPr>
        <w:t> </w:t>
      </w:r>
      <w:r>
        <w:rPr>
          <w:spacing w:val="-6"/>
        </w:rPr>
        <w:t>in existing posts in research institutes and universities.</w:t>
      </w:r>
      <w:r>
        <w:rPr>
          <w:spacing w:val="-16"/>
        </w:rPr>
        <w:t> </w:t>
      </w:r>
      <w:r>
        <w:rPr>
          <w:spacing w:val="-6"/>
        </w:rPr>
        <w:t>This </w:t>
      </w:r>
      <w:r>
        <w:rPr>
          <w:spacing w:val="-4"/>
        </w:rPr>
        <w:t>problem</w:t>
      </w:r>
      <w:r>
        <w:rPr>
          <w:spacing w:val="-10"/>
        </w:rPr>
        <w:t> </w:t>
      </w:r>
      <w:r>
        <w:rPr>
          <w:spacing w:val="-4"/>
        </w:rPr>
        <w:t>is</w:t>
      </w:r>
      <w:r>
        <w:rPr>
          <w:spacing w:val="-10"/>
        </w:rPr>
        <w:t> </w:t>
      </w:r>
      <w:r>
        <w:rPr>
          <w:spacing w:val="-4"/>
        </w:rPr>
        <w:t>likely</w:t>
      </w:r>
      <w:r>
        <w:rPr>
          <w:spacing w:val="-10"/>
        </w:rPr>
        <w:t> </w:t>
      </w:r>
      <w:r>
        <w:rPr>
          <w:spacing w:val="-4"/>
        </w:rPr>
        <w:t>to</w:t>
      </w:r>
      <w:r>
        <w:rPr>
          <w:spacing w:val="-9"/>
        </w:rPr>
        <w:t> </w:t>
      </w:r>
      <w:r>
        <w:rPr>
          <w:spacing w:val="-4"/>
        </w:rPr>
        <w:t>be</w:t>
      </w:r>
      <w:r>
        <w:rPr>
          <w:spacing w:val="-10"/>
        </w:rPr>
        <w:t> </w:t>
      </w:r>
      <w:r>
        <w:rPr>
          <w:spacing w:val="-4"/>
        </w:rPr>
        <w:t>even</w:t>
      </w:r>
      <w:r>
        <w:rPr>
          <w:spacing w:val="-10"/>
        </w:rPr>
        <w:t> </w:t>
      </w:r>
      <w:r>
        <w:rPr>
          <w:spacing w:val="-4"/>
        </w:rPr>
        <w:t>more</w:t>
      </w:r>
      <w:r>
        <w:rPr>
          <w:spacing w:val="-10"/>
        </w:rPr>
        <w:t> </w:t>
      </w:r>
      <w:r>
        <w:rPr>
          <w:spacing w:val="-4"/>
        </w:rPr>
        <w:t>acute</w:t>
      </w:r>
      <w:r>
        <w:rPr>
          <w:spacing w:val="-9"/>
        </w:rPr>
        <w:t> </w:t>
      </w:r>
      <w:r>
        <w:rPr>
          <w:spacing w:val="-4"/>
        </w:rPr>
        <w:t>in</w:t>
      </w:r>
      <w:r>
        <w:rPr>
          <w:spacing w:val="-10"/>
        </w:rPr>
        <w:t> </w:t>
      </w:r>
      <w:r>
        <w:rPr>
          <w:spacing w:val="-4"/>
        </w:rPr>
        <w:t>the</w:t>
      </w:r>
      <w:r>
        <w:rPr>
          <w:spacing w:val="-10"/>
        </w:rPr>
        <w:t> </w:t>
      </w:r>
      <w:r>
        <w:rPr>
          <w:spacing w:val="-4"/>
        </w:rPr>
        <w:t>envisaged </w:t>
      </w:r>
      <w:r>
        <w:rPr/>
        <w:t>elite</w:t>
      </w:r>
      <w:r>
        <w:rPr>
          <w:spacing w:val="18"/>
        </w:rPr>
        <w:t> </w:t>
      </w:r>
      <w:r>
        <w:rPr/>
        <w:t>new</w:t>
      </w:r>
      <w:r>
        <w:rPr>
          <w:spacing w:val="18"/>
        </w:rPr>
        <w:t> </w:t>
      </w:r>
      <w:r>
        <w:rPr/>
        <w:t>universities.</w:t>
      </w:r>
      <w:r>
        <w:rPr>
          <w:spacing w:val="10"/>
        </w:rPr>
        <w:t> </w:t>
      </w:r>
      <w:r>
        <w:rPr/>
        <w:t>The</w:t>
      </w:r>
      <w:r>
        <w:rPr>
          <w:spacing w:val="18"/>
        </w:rPr>
        <w:t> </w:t>
      </w:r>
      <w:r>
        <w:rPr/>
        <w:t>growth</w:t>
      </w:r>
      <w:r>
        <w:rPr>
          <w:spacing w:val="18"/>
        </w:rPr>
        <w:t> </w:t>
      </w:r>
      <w:r>
        <w:rPr/>
        <w:t>in</w:t>
      </w:r>
      <w:r>
        <w:rPr>
          <w:spacing w:val="18"/>
        </w:rPr>
        <w:t> </w:t>
      </w:r>
      <w:r>
        <w:rPr/>
        <w:t>the</w:t>
      </w:r>
      <w:r>
        <w:rPr>
          <w:spacing w:val="18"/>
        </w:rPr>
        <w:t> </w:t>
      </w:r>
      <w:r>
        <w:rPr/>
        <w:t>number</w:t>
      </w:r>
      <w:r>
        <w:rPr>
          <w:spacing w:val="18"/>
        </w:rPr>
        <w:t> </w:t>
      </w:r>
      <w:r>
        <w:rPr/>
        <w:t>of </w:t>
      </w:r>
      <w:r>
        <w:rPr>
          <w:spacing w:val="-4"/>
        </w:rPr>
        <w:t>doctorates</w:t>
      </w:r>
      <w:r>
        <w:rPr>
          <w:spacing w:val="-21"/>
        </w:rPr>
        <w:t> </w:t>
      </w:r>
      <w:r>
        <w:rPr>
          <w:spacing w:val="-4"/>
        </w:rPr>
        <w:t>has</w:t>
      </w:r>
      <w:r>
        <w:rPr>
          <w:spacing w:val="-21"/>
        </w:rPr>
        <w:t> </w:t>
      </w:r>
      <w:r>
        <w:rPr>
          <w:spacing w:val="-4"/>
        </w:rPr>
        <w:t>only</w:t>
      </w:r>
      <w:r>
        <w:rPr>
          <w:spacing w:val="-21"/>
        </w:rPr>
        <w:t> </w:t>
      </w:r>
      <w:r>
        <w:rPr>
          <w:spacing w:val="-4"/>
        </w:rPr>
        <w:t>been</w:t>
      </w:r>
      <w:r>
        <w:rPr>
          <w:spacing w:val="-21"/>
        </w:rPr>
        <w:t> </w:t>
      </w:r>
      <w:r>
        <w:rPr>
          <w:spacing w:val="-4"/>
        </w:rPr>
        <w:t>20</w:t>
      </w:r>
      <w:r>
        <w:rPr>
          <w:spacing w:val="-21"/>
        </w:rPr>
        <w:t> </w:t>
      </w:r>
      <w:r>
        <w:rPr>
          <w:spacing w:val="-4"/>
        </w:rPr>
        <w:t>per</w:t>
      </w:r>
      <w:r>
        <w:rPr>
          <w:spacing w:val="-21"/>
        </w:rPr>
        <w:t> </w:t>
      </w:r>
      <w:r>
        <w:rPr>
          <w:spacing w:val="-4"/>
        </w:rPr>
        <w:t>cent</w:t>
      </w:r>
      <w:r>
        <w:rPr>
          <w:spacing w:val="-21"/>
        </w:rPr>
        <w:t> </w:t>
      </w:r>
      <w:r>
        <w:rPr>
          <w:spacing w:val="-4"/>
        </w:rPr>
        <w:t>in</w:t>
      </w:r>
      <w:r>
        <w:rPr>
          <w:spacing w:val="-21"/>
        </w:rPr>
        <w:t> </w:t>
      </w:r>
      <w:r>
        <w:rPr>
          <w:spacing w:val="-4"/>
        </w:rPr>
        <w:t>India</w:t>
      </w:r>
      <w:r>
        <w:rPr>
          <w:spacing w:val="-21"/>
        </w:rPr>
        <w:t> </w:t>
      </w:r>
      <w:r>
        <w:rPr>
          <w:spacing w:val="-4"/>
        </w:rPr>
        <w:t>in</w:t>
      </w:r>
      <w:r>
        <w:rPr>
          <w:spacing w:val="-21"/>
        </w:rPr>
        <w:t> </w:t>
      </w:r>
      <w:r>
        <w:rPr>
          <w:spacing w:val="-4"/>
        </w:rPr>
        <w:t>the</w:t>
      </w:r>
      <w:r>
        <w:rPr>
          <w:spacing w:val="-21"/>
        </w:rPr>
        <w:t> </w:t>
      </w:r>
      <w:r>
        <w:rPr>
          <w:spacing w:val="-4"/>
        </w:rPr>
        <w:t>period </w:t>
      </w:r>
      <w:r>
        <w:rPr/>
        <w:t>1991-2001</w:t>
      </w:r>
      <w:r>
        <w:rPr>
          <w:spacing w:val="26"/>
        </w:rPr>
        <w:t> </w:t>
      </w:r>
      <w:r>
        <w:rPr/>
        <w:t>compared</w:t>
      </w:r>
      <w:r>
        <w:rPr>
          <w:spacing w:val="26"/>
        </w:rPr>
        <w:t> </w:t>
      </w:r>
      <w:r>
        <w:rPr/>
        <w:t>to</w:t>
      </w:r>
      <w:r>
        <w:rPr>
          <w:spacing w:val="26"/>
        </w:rPr>
        <w:t> </w:t>
      </w:r>
      <w:r>
        <w:rPr/>
        <w:t>85</w:t>
      </w:r>
      <w:r>
        <w:rPr>
          <w:spacing w:val="26"/>
        </w:rPr>
        <w:t> </w:t>
      </w:r>
      <w:r>
        <w:rPr/>
        <w:t>per</w:t>
      </w:r>
      <w:r>
        <w:rPr>
          <w:spacing w:val="26"/>
        </w:rPr>
        <w:t> </w:t>
      </w:r>
      <w:r>
        <w:rPr/>
        <w:t>cent</w:t>
      </w:r>
      <w:r>
        <w:rPr>
          <w:spacing w:val="26"/>
        </w:rPr>
        <w:t> </w:t>
      </w:r>
      <w:r>
        <w:rPr/>
        <w:t>in</w:t>
      </w:r>
      <w:r>
        <w:rPr>
          <w:spacing w:val="26"/>
        </w:rPr>
        <w:t> </w:t>
      </w:r>
      <w:r>
        <w:rPr/>
        <w:t>China</w:t>
      </w:r>
      <w:r>
        <w:rPr>
          <w:position w:val="7"/>
          <w:sz w:val="13"/>
        </w:rPr>
        <w:t>1</w:t>
      </w:r>
      <w:r>
        <w:rPr/>
        <w:t>.</w:t>
      </w:r>
      <w:r>
        <w:rPr>
          <w:spacing w:val="26"/>
        </w:rPr>
        <w:t> </w:t>
      </w:r>
      <w:r>
        <w:rPr/>
        <w:t>Not </w:t>
      </w:r>
      <w:r>
        <w:rPr>
          <w:spacing w:val="-4"/>
        </w:rPr>
        <w:t>more</w:t>
      </w:r>
      <w:r>
        <w:rPr>
          <w:spacing w:val="-10"/>
        </w:rPr>
        <w:t> </w:t>
      </w:r>
      <w:r>
        <w:rPr>
          <w:spacing w:val="-4"/>
        </w:rPr>
        <w:t>than</w:t>
      </w:r>
      <w:r>
        <w:rPr>
          <w:spacing w:val="-10"/>
        </w:rPr>
        <w:t> </w:t>
      </w:r>
      <w:r>
        <w:rPr>
          <w:spacing w:val="-4"/>
        </w:rPr>
        <w:t>1</w:t>
      </w:r>
      <w:r>
        <w:rPr>
          <w:spacing w:val="-10"/>
        </w:rPr>
        <w:t> </w:t>
      </w:r>
      <w:r>
        <w:rPr>
          <w:spacing w:val="-4"/>
        </w:rPr>
        <w:t>per</w:t>
      </w:r>
      <w:r>
        <w:rPr>
          <w:spacing w:val="-9"/>
        </w:rPr>
        <w:t> </w:t>
      </w:r>
      <w:r>
        <w:rPr>
          <w:spacing w:val="-4"/>
        </w:rPr>
        <w:t>cent</w:t>
      </w:r>
      <w:r>
        <w:rPr>
          <w:spacing w:val="-10"/>
        </w:rPr>
        <w:t> </w:t>
      </w:r>
      <w:r>
        <w:rPr>
          <w:spacing w:val="-4"/>
        </w:rPr>
        <w:t>of</w:t>
      </w:r>
      <w:r>
        <w:rPr>
          <w:spacing w:val="-10"/>
        </w:rPr>
        <w:t> </w:t>
      </w:r>
      <w:r>
        <w:rPr>
          <w:spacing w:val="-4"/>
        </w:rPr>
        <w:t>those</w:t>
      </w:r>
      <w:r>
        <w:rPr>
          <w:spacing w:val="-10"/>
        </w:rPr>
        <w:t> </w:t>
      </w:r>
      <w:r>
        <w:rPr>
          <w:spacing w:val="-4"/>
        </w:rPr>
        <w:t>completing</w:t>
      </w:r>
      <w:r>
        <w:rPr>
          <w:spacing w:val="-9"/>
        </w:rPr>
        <w:t> </w:t>
      </w:r>
      <w:r>
        <w:rPr>
          <w:spacing w:val="-4"/>
        </w:rPr>
        <w:t>undergraduate degrees</w:t>
      </w:r>
      <w:r>
        <w:rPr>
          <w:spacing w:val="-9"/>
        </w:rPr>
        <w:t> </w:t>
      </w:r>
      <w:r>
        <w:rPr>
          <w:spacing w:val="-4"/>
        </w:rPr>
        <w:t>currently</w:t>
      </w:r>
      <w:r>
        <w:rPr>
          <w:spacing w:val="-9"/>
        </w:rPr>
        <w:t> </w:t>
      </w:r>
      <w:r>
        <w:rPr>
          <w:spacing w:val="-4"/>
        </w:rPr>
        <w:t>opt</w:t>
      </w:r>
      <w:r>
        <w:rPr>
          <w:spacing w:val="-9"/>
        </w:rPr>
        <w:t> </w:t>
      </w:r>
      <w:r>
        <w:rPr>
          <w:spacing w:val="-4"/>
        </w:rPr>
        <w:t>for</w:t>
      </w:r>
      <w:r>
        <w:rPr>
          <w:spacing w:val="-9"/>
        </w:rPr>
        <w:t> </w:t>
      </w:r>
      <w:r>
        <w:rPr>
          <w:spacing w:val="-4"/>
        </w:rPr>
        <w:t>doctoral</w:t>
      </w:r>
      <w:r>
        <w:rPr>
          <w:spacing w:val="-9"/>
        </w:rPr>
        <w:t> </w:t>
      </w:r>
      <w:r>
        <w:rPr>
          <w:spacing w:val="-4"/>
        </w:rPr>
        <w:t>studies</w:t>
      </w:r>
      <w:r>
        <w:rPr>
          <w:spacing w:val="-9"/>
        </w:rPr>
        <w:t> </w:t>
      </w:r>
      <w:r>
        <w:rPr>
          <w:spacing w:val="-4"/>
        </w:rPr>
        <w:t>in</w:t>
      </w:r>
      <w:r>
        <w:rPr>
          <w:spacing w:val="-9"/>
        </w:rPr>
        <w:t> </w:t>
      </w:r>
      <w:r>
        <w:rPr>
          <w:spacing w:val="-4"/>
        </w:rPr>
        <w:t>India,</w:t>
      </w:r>
      <w:r>
        <w:rPr>
          <w:spacing w:val="-9"/>
        </w:rPr>
        <w:t> </w:t>
      </w:r>
      <w:r>
        <w:rPr>
          <w:spacing w:val="-4"/>
        </w:rPr>
        <w:t>and</w:t>
      </w:r>
      <w:r>
        <w:rPr>
          <w:spacing w:val="-9"/>
        </w:rPr>
        <w:t> </w:t>
      </w:r>
      <w:r>
        <w:rPr>
          <w:spacing w:val="-4"/>
        </w:rPr>
        <w:t>a </w:t>
      </w:r>
      <w:r>
        <w:rPr>
          <w:spacing w:val="-2"/>
        </w:rPr>
        <w:t>substantial</w:t>
      </w:r>
      <w:r>
        <w:rPr>
          <w:spacing w:val="-3"/>
        </w:rPr>
        <w:t> </w:t>
      </w:r>
      <w:r>
        <w:rPr>
          <w:spacing w:val="-2"/>
        </w:rPr>
        <w:t>number</w:t>
      </w:r>
      <w:r>
        <w:rPr>
          <w:spacing w:val="-3"/>
        </w:rPr>
        <w:t> </w:t>
      </w:r>
      <w:r>
        <w:rPr>
          <w:spacing w:val="-2"/>
        </w:rPr>
        <w:t>of</w:t>
      </w:r>
      <w:r>
        <w:rPr>
          <w:spacing w:val="-3"/>
        </w:rPr>
        <w:t> </w:t>
      </w:r>
      <w:r>
        <w:rPr>
          <w:spacing w:val="-2"/>
        </w:rPr>
        <w:t>students</w:t>
      </w:r>
      <w:r>
        <w:rPr>
          <w:spacing w:val="-3"/>
        </w:rPr>
        <w:t> </w:t>
      </w:r>
      <w:r>
        <w:rPr>
          <w:spacing w:val="-2"/>
        </w:rPr>
        <w:t>prefer</w:t>
      </w:r>
      <w:r>
        <w:rPr>
          <w:spacing w:val="-3"/>
        </w:rPr>
        <w:t> </w:t>
      </w:r>
      <w:r>
        <w:rPr>
          <w:spacing w:val="-2"/>
        </w:rPr>
        <w:t>to</w:t>
      </w:r>
      <w:r>
        <w:rPr>
          <w:spacing w:val="-3"/>
        </w:rPr>
        <w:t> </w:t>
      </w:r>
      <w:r>
        <w:rPr>
          <w:spacing w:val="-2"/>
        </w:rPr>
        <w:t>go</w:t>
      </w:r>
      <w:r>
        <w:rPr>
          <w:spacing w:val="-3"/>
        </w:rPr>
        <w:t> </w:t>
      </w:r>
      <w:r>
        <w:rPr>
          <w:spacing w:val="-2"/>
        </w:rPr>
        <w:t>abroad.</w:t>
      </w:r>
      <w:r>
        <w:rPr>
          <w:spacing w:val="-10"/>
        </w:rPr>
        <w:t> </w:t>
      </w:r>
      <w:r>
        <w:rPr>
          <w:spacing w:val="-2"/>
        </w:rPr>
        <w:t>To </w:t>
      </w:r>
      <w:r>
        <w:rPr>
          <w:spacing w:val="-8"/>
        </w:rPr>
        <w:t>address</w:t>
      </w:r>
      <w:r>
        <w:rPr>
          <w:spacing w:val="-9"/>
        </w:rPr>
        <w:t> </w:t>
      </w:r>
      <w:r>
        <w:rPr>
          <w:spacing w:val="-8"/>
        </w:rPr>
        <w:t>these</w:t>
      </w:r>
      <w:r>
        <w:rPr>
          <w:spacing w:val="-9"/>
        </w:rPr>
        <w:t> </w:t>
      </w:r>
      <w:r>
        <w:rPr>
          <w:spacing w:val="-8"/>
        </w:rPr>
        <w:t>problems,</w:t>
      </w:r>
      <w:r>
        <w:rPr>
          <w:spacing w:val="-10"/>
        </w:rPr>
        <w:t> </w:t>
      </w:r>
      <w:r>
        <w:rPr>
          <w:spacing w:val="-8"/>
        </w:rPr>
        <w:t>there</w:t>
      </w:r>
      <w:r>
        <w:rPr>
          <w:spacing w:val="-9"/>
        </w:rPr>
        <w:t> </w:t>
      </w:r>
      <w:r>
        <w:rPr>
          <w:spacing w:val="-8"/>
        </w:rPr>
        <w:t>is</w:t>
      </w:r>
      <w:r>
        <w:rPr>
          <w:spacing w:val="-10"/>
        </w:rPr>
        <w:t> </w:t>
      </w:r>
      <w:r>
        <w:rPr>
          <w:spacing w:val="-8"/>
        </w:rPr>
        <w:t>a</w:t>
      </w:r>
      <w:r>
        <w:rPr>
          <w:spacing w:val="-9"/>
        </w:rPr>
        <w:t> </w:t>
      </w:r>
      <w:r>
        <w:rPr>
          <w:spacing w:val="-8"/>
        </w:rPr>
        <w:t>pressing</w:t>
      </w:r>
      <w:r>
        <w:rPr>
          <w:spacing w:val="-9"/>
        </w:rPr>
        <w:t> </w:t>
      </w:r>
      <w:r>
        <w:rPr>
          <w:spacing w:val="-8"/>
        </w:rPr>
        <w:t>need</w:t>
      </w:r>
      <w:r>
        <w:rPr>
          <w:spacing w:val="-10"/>
        </w:rPr>
        <w:t> </w:t>
      </w:r>
      <w:r>
        <w:rPr>
          <w:spacing w:val="-8"/>
        </w:rPr>
        <w:t>for</w:t>
      </w:r>
      <w:r>
        <w:rPr>
          <w:spacing w:val="-10"/>
        </w:rPr>
        <w:t> </w:t>
      </w:r>
      <w:r>
        <w:rPr>
          <w:spacing w:val="-8"/>
        </w:rPr>
        <w:t>urgent </w:t>
      </w:r>
      <w:r>
        <w:rPr>
          <w:spacing w:val="-6"/>
        </w:rPr>
        <w:t>government policy interventions, including high priority initiatives</w:t>
      </w:r>
      <w:r>
        <w:rPr>
          <w:spacing w:val="-10"/>
        </w:rPr>
        <w:t> </w:t>
      </w:r>
      <w:r>
        <w:rPr>
          <w:spacing w:val="-6"/>
        </w:rPr>
        <w:t>to</w:t>
      </w:r>
      <w:r>
        <w:rPr>
          <w:spacing w:val="-9"/>
        </w:rPr>
        <w:t> </w:t>
      </w:r>
      <w:r>
        <w:rPr>
          <w:spacing w:val="-6"/>
        </w:rPr>
        <w:t>attract,</w:t>
      </w:r>
      <w:r>
        <w:rPr>
          <w:spacing w:val="-10"/>
        </w:rPr>
        <w:t> </w:t>
      </w:r>
      <w:r>
        <w:rPr>
          <w:spacing w:val="-6"/>
        </w:rPr>
        <w:t>nurture,</w:t>
      </w:r>
      <w:r>
        <w:rPr>
          <w:spacing w:val="-10"/>
        </w:rPr>
        <w:t> </w:t>
      </w:r>
      <w:r>
        <w:rPr>
          <w:spacing w:val="-6"/>
        </w:rPr>
        <w:t>and</w:t>
      </w:r>
      <w:r>
        <w:rPr>
          <w:spacing w:val="-9"/>
        </w:rPr>
        <w:t> </w:t>
      </w:r>
      <w:r>
        <w:rPr>
          <w:spacing w:val="-6"/>
        </w:rPr>
        <w:t>retain</w:t>
      </w:r>
      <w:r>
        <w:rPr>
          <w:spacing w:val="-10"/>
        </w:rPr>
        <w:t> </w:t>
      </w:r>
      <w:r>
        <w:rPr>
          <w:spacing w:val="-6"/>
        </w:rPr>
        <w:t>the</w:t>
      </w:r>
      <w:r>
        <w:rPr>
          <w:spacing w:val="-9"/>
        </w:rPr>
        <w:t> </w:t>
      </w:r>
      <w:r>
        <w:rPr>
          <w:spacing w:val="-6"/>
        </w:rPr>
        <w:t>country’s</w:t>
      </w:r>
      <w:r>
        <w:rPr>
          <w:spacing w:val="-10"/>
        </w:rPr>
        <w:t> </w:t>
      </w:r>
      <w:r>
        <w:rPr>
          <w:spacing w:val="-6"/>
        </w:rPr>
        <w:t>best</w:t>
      </w:r>
    </w:p>
    <w:p>
      <w:pPr>
        <w:pStyle w:val="BodyText"/>
        <w:spacing w:line="236" w:lineRule="exact"/>
        <w:ind w:left="1079"/>
        <w:jc w:val="both"/>
      </w:pPr>
      <w:r>
        <w:rPr>
          <w:spacing w:val="-6"/>
        </w:rPr>
        <w:t>young minds</w:t>
      </w:r>
      <w:r>
        <w:rPr>
          <w:spacing w:val="-5"/>
        </w:rPr>
        <w:t> </w:t>
      </w:r>
      <w:r>
        <w:rPr>
          <w:spacing w:val="-6"/>
        </w:rPr>
        <w:t>in</w:t>
      </w:r>
      <w:r>
        <w:rPr>
          <w:spacing w:val="-5"/>
        </w:rPr>
        <w:t> </w:t>
      </w:r>
      <w:r>
        <w:rPr>
          <w:spacing w:val="-6"/>
        </w:rPr>
        <w:t>academia and</w:t>
      </w:r>
      <w:r>
        <w:rPr>
          <w:spacing w:val="-5"/>
        </w:rPr>
        <w:t> </w:t>
      </w:r>
      <w:r>
        <w:rPr>
          <w:spacing w:val="-6"/>
        </w:rPr>
        <w:t>research.</w:t>
      </w:r>
    </w:p>
    <w:p>
      <w:pPr>
        <w:pStyle w:val="BodyText"/>
        <w:spacing w:before="54"/>
      </w:pPr>
    </w:p>
    <w:p>
      <w:pPr>
        <w:pStyle w:val="BodyText"/>
        <w:spacing w:line="266" w:lineRule="auto"/>
        <w:ind w:left="1079"/>
        <w:jc w:val="both"/>
      </w:pPr>
      <w:r>
        <w:rPr>
          <w:spacing w:val="-2"/>
        </w:rPr>
        <w:t>With</w:t>
      </w:r>
      <w:r>
        <w:rPr>
          <w:spacing w:val="-10"/>
        </w:rPr>
        <w:t> </w:t>
      </w:r>
      <w:r>
        <w:rPr>
          <w:spacing w:val="-2"/>
        </w:rPr>
        <w:t>this</w:t>
      </w:r>
      <w:r>
        <w:rPr>
          <w:spacing w:val="-10"/>
        </w:rPr>
        <w:t> </w:t>
      </w:r>
      <w:r>
        <w:rPr>
          <w:spacing w:val="-2"/>
        </w:rPr>
        <w:t>objective,</w:t>
      </w:r>
      <w:r>
        <w:rPr>
          <w:spacing w:val="-10"/>
        </w:rPr>
        <w:t> </w:t>
      </w:r>
      <w:r>
        <w:rPr>
          <w:spacing w:val="-2"/>
        </w:rPr>
        <w:t>the</w:t>
      </w:r>
      <w:r>
        <w:rPr>
          <w:spacing w:val="-10"/>
        </w:rPr>
        <w:t> </w:t>
      </w:r>
      <w:r>
        <w:rPr>
          <w:spacing w:val="-2"/>
        </w:rPr>
        <w:t>NKC</w:t>
      </w:r>
      <w:r>
        <w:rPr>
          <w:spacing w:val="-10"/>
        </w:rPr>
        <w:t> </w:t>
      </w:r>
      <w:r>
        <w:rPr>
          <w:spacing w:val="-2"/>
        </w:rPr>
        <w:t>conducted</w:t>
      </w:r>
      <w:r>
        <w:rPr>
          <w:spacing w:val="-10"/>
        </w:rPr>
        <w:t> </w:t>
      </w:r>
      <w:r>
        <w:rPr>
          <w:spacing w:val="-2"/>
        </w:rPr>
        <w:t>a</w:t>
      </w:r>
      <w:r>
        <w:rPr>
          <w:spacing w:val="-10"/>
        </w:rPr>
        <w:t> </w:t>
      </w:r>
      <w:r>
        <w:rPr>
          <w:spacing w:val="-2"/>
        </w:rPr>
        <w:t>wide-spread </w:t>
      </w:r>
      <w:r>
        <w:rPr/>
        <w:t>investigative survey across the country and abroad. </w:t>
      </w:r>
      <w:r>
        <w:rPr>
          <w:spacing w:val="-4"/>
        </w:rPr>
        <w:t>Workshops</w:t>
      </w:r>
      <w:r>
        <w:rPr>
          <w:spacing w:val="-5"/>
        </w:rPr>
        <w:t> </w:t>
      </w:r>
      <w:r>
        <w:rPr>
          <w:spacing w:val="-4"/>
        </w:rPr>
        <w:t>and</w:t>
      </w:r>
      <w:r>
        <w:rPr>
          <w:spacing w:val="-5"/>
        </w:rPr>
        <w:t> </w:t>
      </w:r>
      <w:r>
        <w:rPr>
          <w:spacing w:val="-4"/>
        </w:rPr>
        <w:t>consultations</w:t>
      </w:r>
      <w:r>
        <w:rPr>
          <w:spacing w:val="-5"/>
        </w:rPr>
        <w:t> </w:t>
      </w:r>
      <w:r>
        <w:rPr>
          <w:spacing w:val="-4"/>
        </w:rPr>
        <w:t>were</w:t>
      </w:r>
      <w:r>
        <w:rPr>
          <w:spacing w:val="-5"/>
        </w:rPr>
        <w:t> </w:t>
      </w:r>
      <w:r>
        <w:rPr>
          <w:spacing w:val="-4"/>
        </w:rPr>
        <w:t>also</w:t>
      </w:r>
      <w:r>
        <w:rPr>
          <w:spacing w:val="-5"/>
        </w:rPr>
        <w:t> </w:t>
      </w:r>
      <w:r>
        <w:rPr>
          <w:spacing w:val="-4"/>
        </w:rPr>
        <w:t>held</w:t>
      </w:r>
      <w:r>
        <w:rPr>
          <w:spacing w:val="-5"/>
        </w:rPr>
        <w:t> </w:t>
      </w:r>
      <w:r>
        <w:rPr>
          <w:spacing w:val="-4"/>
        </w:rPr>
        <w:t>with</w:t>
      </w:r>
      <w:r>
        <w:rPr>
          <w:spacing w:val="-5"/>
        </w:rPr>
        <w:t> </w:t>
      </w:r>
      <w:r>
        <w:rPr>
          <w:spacing w:val="-4"/>
        </w:rPr>
        <w:t>other </w:t>
      </w:r>
      <w:r>
        <w:rPr/>
        <w:t>stakeholders from industry, research institutes and </w:t>
      </w:r>
      <w:r>
        <w:rPr>
          <w:spacing w:val="-6"/>
        </w:rPr>
        <w:t>universities.</w:t>
      </w:r>
      <w:r>
        <w:rPr>
          <w:spacing w:val="-8"/>
        </w:rPr>
        <w:t> </w:t>
      </w:r>
      <w:r>
        <w:rPr>
          <w:spacing w:val="-6"/>
        </w:rPr>
        <w:t>The</w:t>
      </w:r>
      <w:r>
        <w:rPr>
          <w:spacing w:val="-8"/>
        </w:rPr>
        <w:t> </w:t>
      </w:r>
      <w:r>
        <w:rPr>
          <w:spacing w:val="-6"/>
        </w:rPr>
        <w:t>attached</w:t>
      </w:r>
      <w:r>
        <w:rPr>
          <w:spacing w:val="-8"/>
        </w:rPr>
        <w:t> </w:t>
      </w:r>
      <w:r>
        <w:rPr>
          <w:spacing w:val="-6"/>
        </w:rPr>
        <w:t>note</w:t>
      </w:r>
      <w:r>
        <w:rPr>
          <w:spacing w:val="-7"/>
        </w:rPr>
        <w:t> </w:t>
      </w:r>
      <w:r>
        <w:rPr>
          <w:spacing w:val="-6"/>
        </w:rPr>
        <w:t>on</w:t>
      </w:r>
      <w:r>
        <w:rPr>
          <w:spacing w:val="-8"/>
        </w:rPr>
        <w:t> </w:t>
      </w:r>
      <w:r>
        <w:rPr>
          <w:spacing w:val="-6"/>
        </w:rPr>
        <w:t>‘More</w:t>
      </w:r>
      <w:r>
        <w:rPr>
          <w:spacing w:val="-5"/>
        </w:rPr>
        <w:t> </w:t>
      </w:r>
      <w:r>
        <w:rPr>
          <w:spacing w:val="-6"/>
        </w:rPr>
        <w:t>Quality</w:t>
      </w:r>
      <w:r>
        <w:rPr>
          <w:spacing w:val="-5"/>
        </w:rPr>
        <w:t> </w:t>
      </w:r>
      <w:r>
        <w:rPr>
          <w:spacing w:val="-6"/>
        </w:rPr>
        <w:t>Ph.Ds’, </w:t>
      </w:r>
      <w:r>
        <w:rPr>
          <w:spacing w:val="-2"/>
        </w:rPr>
        <w:t>identifies</w:t>
      </w:r>
      <w:r>
        <w:rPr>
          <w:spacing w:val="-5"/>
        </w:rPr>
        <w:t> </w:t>
      </w:r>
      <w:r>
        <w:rPr>
          <w:spacing w:val="-2"/>
        </w:rPr>
        <w:t>the</w:t>
      </w:r>
      <w:r>
        <w:rPr>
          <w:spacing w:val="-5"/>
        </w:rPr>
        <w:t> </w:t>
      </w:r>
      <w:r>
        <w:rPr>
          <w:spacing w:val="-2"/>
        </w:rPr>
        <w:t>critical</w:t>
      </w:r>
      <w:r>
        <w:rPr>
          <w:spacing w:val="-5"/>
        </w:rPr>
        <w:t> </w:t>
      </w:r>
      <w:r>
        <w:rPr>
          <w:spacing w:val="-2"/>
        </w:rPr>
        <w:t>issues</w:t>
      </w:r>
      <w:r>
        <w:rPr>
          <w:spacing w:val="-5"/>
        </w:rPr>
        <w:t> </w:t>
      </w:r>
      <w:r>
        <w:rPr>
          <w:spacing w:val="-2"/>
        </w:rPr>
        <w:t>and</w:t>
      </w:r>
      <w:r>
        <w:rPr>
          <w:spacing w:val="-5"/>
        </w:rPr>
        <w:t> </w:t>
      </w:r>
      <w:r>
        <w:rPr>
          <w:spacing w:val="-2"/>
        </w:rPr>
        <w:t>discusses</w:t>
      </w:r>
      <w:r>
        <w:rPr>
          <w:spacing w:val="-5"/>
        </w:rPr>
        <w:t> </w:t>
      </w:r>
      <w:r>
        <w:rPr>
          <w:spacing w:val="-2"/>
        </w:rPr>
        <w:t>the</w:t>
      </w:r>
      <w:r>
        <w:rPr>
          <w:spacing w:val="-5"/>
        </w:rPr>
        <w:t> </w:t>
      </w:r>
      <w:r>
        <w:rPr>
          <w:spacing w:val="-2"/>
        </w:rPr>
        <w:t>remedial </w:t>
      </w:r>
      <w:r>
        <w:rPr/>
        <w:t>steps in detail. NKC recommends the following to improve the quality and quantity of Ph.D students in the country.</w:t>
      </w:r>
    </w:p>
    <w:p>
      <w:pPr>
        <w:pStyle w:val="Heading6"/>
        <w:numPr>
          <w:ilvl w:val="2"/>
          <w:numId w:val="30"/>
        </w:numPr>
        <w:tabs>
          <w:tab w:pos="1404" w:val="left" w:leader="none"/>
          <w:tab w:pos="1406" w:val="left" w:leader="none"/>
        </w:tabs>
        <w:spacing w:line="182" w:lineRule="auto" w:before="251" w:after="0"/>
        <w:ind w:left="1406" w:right="641" w:hanging="327"/>
        <w:jc w:val="left"/>
      </w:pPr>
      <w:r>
        <w:rPr>
          <w:color w:val="2E614A"/>
          <w:spacing w:val="-4"/>
        </w:rPr>
        <w:t>Launch</w:t>
      </w:r>
      <w:r>
        <w:rPr>
          <w:color w:val="2E614A"/>
          <w:spacing w:val="-13"/>
        </w:rPr>
        <w:t> </w:t>
      </w:r>
      <w:r>
        <w:rPr>
          <w:color w:val="2E614A"/>
          <w:spacing w:val="-4"/>
        </w:rPr>
        <w:t>a</w:t>
      </w:r>
      <w:r>
        <w:rPr>
          <w:color w:val="2E614A"/>
          <w:spacing w:val="-13"/>
        </w:rPr>
        <w:t> </w:t>
      </w:r>
      <w:r>
        <w:rPr>
          <w:color w:val="2E614A"/>
          <w:spacing w:val="-4"/>
        </w:rPr>
        <w:t>national</w:t>
      </w:r>
      <w:r>
        <w:rPr>
          <w:color w:val="2E614A"/>
          <w:spacing w:val="-13"/>
        </w:rPr>
        <w:t> </w:t>
      </w:r>
      <w:r>
        <w:rPr>
          <w:color w:val="2E614A"/>
          <w:spacing w:val="-4"/>
        </w:rPr>
        <w:t>publicity </w:t>
      </w:r>
      <w:r>
        <w:rPr>
          <w:color w:val="2E614A"/>
          <w:spacing w:val="-2"/>
        </w:rPr>
        <w:t>campaign</w:t>
      </w:r>
      <w:r>
        <w:rPr>
          <w:color w:val="2E614A"/>
          <w:spacing w:val="-20"/>
        </w:rPr>
        <w:t> </w:t>
      </w:r>
      <w:r>
        <w:rPr>
          <w:color w:val="2E614A"/>
          <w:spacing w:val="-2"/>
        </w:rPr>
        <w:t>to</w:t>
      </w:r>
      <w:r>
        <w:rPr>
          <w:color w:val="2E614A"/>
          <w:spacing w:val="-18"/>
        </w:rPr>
        <w:t> </w:t>
      </w:r>
      <w:r>
        <w:rPr>
          <w:color w:val="2E614A"/>
          <w:spacing w:val="-2"/>
        </w:rPr>
        <w:t>attract</w:t>
      </w:r>
      <w:r>
        <w:rPr>
          <w:color w:val="2E614A"/>
          <w:spacing w:val="-18"/>
        </w:rPr>
        <w:t> </w:t>
      </w:r>
      <w:r>
        <w:rPr>
          <w:color w:val="2E614A"/>
          <w:spacing w:val="-2"/>
        </w:rPr>
        <w:t>the</w:t>
      </w:r>
      <w:r>
        <w:rPr>
          <w:color w:val="2E614A"/>
          <w:spacing w:val="-18"/>
        </w:rPr>
        <w:t> </w:t>
      </w:r>
      <w:r>
        <w:rPr>
          <w:color w:val="2E614A"/>
          <w:spacing w:val="-2"/>
        </w:rPr>
        <w:t>best young</w:t>
      </w:r>
      <w:r>
        <w:rPr>
          <w:color w:val="2E614A"/>
          <w:spacing w:val="-18"/>
        </w:rPr>
        <w:t> </w:t>
      </w:r>
      <w:r>
        <w:rPr>
          <w:color w:val="2E614A"/>
          <w:spacing w:val="-2"/>
        </w:rPr>
        <w:t>minds</w:t>
      </w:r>
      <w:r>
        <w:rPr>
          <w:color w:val="2E614A"/>
          <w:spacing w:val="-18"/>
        </w:rPr>
        <w:t> </w:t>
      </w:r>
      <w:r>
        <w:rPr>
          <w:color w:val="2E614A"/>
          <w:spacing w:val="-2"/>
        </w:rPr>
        <w:t>for</w:t>
      </w:r>
      <w:r>
        <w:rPr>
          <w:color w:val="2E614A"/>
          <w:spacing w:val="-18"/>
        </w:rPr>
        <w:t> </w:t>
      </w:r>
      <w:r>
        <w:rPr>
          <w:color w:val="2E614A"/>
          <w:spacing w:val="-2"/>
        </w:rPr>
        <w:t>careers</w:t>
      </w:r>
      <w:r>
        <w:rPr>
          <w:color w:val="2E614A"/>
          <w:spacing w:val="-18"/>
        </w:rPr>
        <w:t> </w:t>
      </w:r>
      <w:r>
        <w:rPr>
          <w:color w:val="2E614A"/>
          <w:spacing w:val="-2"/>
        </w:rPr>
        <w:t>in </w:t>
      </w:r>
      <w:r>
        <w:rPr>
          <w:color w:val="2E614A"/>
          <w:w w:val="90"/>
        </w:rPr>
        <w:t>teaching at all levels, and </w:t>
      </w:r>
      <w:r>
        <w:rPr>
          <w:color w:val="2E614A"/>
          <w:w w:val="90"/>
        </w:rPr>
        <w:t>also </w:t>
      </w:r>
      <w:r>
        <w:rPr>
          <w:color w:val="2E614A"/>
          <w:spacing w:val="-6"/>
        </w:rPr>
        <w:t>academic</w:t>
      </w:r>
      <w:r>
        <w:rPr>
          <w:color w:val="2E614A"/>
          <w:spacing w:val="-14"/>
        </w:rPr>
        <w:t> </w:t>
      </w:r>
      <w:r>
        <w:rPr>
          <w:color w:val="2E614A"/>
          <w:spacing w:val="-6"/>
        </w:rPr>
        <w:t>research</w:t>
      </w:r>
    </w:p>
    <w:p>
      <w:pPr>
        <w:pStyle w:val="BodyText"/>
        <w:spacing w:line="266" w:lineRule="auto" w:before="304"/>
        <w:ind w:left="1079"/>
        <w:jc w:val="both"/>
      </w:pPr>
      <w:r>
        <w:rPr>
          <w:spacing w:val="-4"/>
        </w:rPr>
        <w:t>One</w:t>
      </w:r>
      <w:r>
        <w:rPr>
          <w:spacing w:val="-9"/>
        </w:rPr>
        <w:t> </w:t>
      </w:r>
      <w:r>
        <w:rPr>
          <w:spacing w:val="-4"/>
        </w:rPr>
        <w:t>of</w:t>
      </w:r>
      <w:r>
        <w:rPr>
          <w:spacing w:val="-9"/>
        </w:rPr>
        <w:t> </w:t>
      </w:r>
      <w:r>
        <w:rPr>
          <w:spacing w:val="-4"/>
        </w:rPr>
        <w:t>the</w:t>
      </w:r>
      <w:r>
        <w:rPr>
          <w:spacing w:val="-9"/>
        </w:rPr>
        <w:t> </w:t>
      </w:r>
      <w:r>
        <w:rPr>
          <w:spacing w:val="-4"/>
        </w:rPr>
        <w:t>casualties</w:t>
      </w:r>
      <w:r>
        <w:rPr>
          <w:spacing w:val="-9"/>
        </w:rPr>
        <w:t> </w:t>
      </w:r>
      <w:r>
        <w:rPr>
          <w:spacing w:val="-4"/>
        </w:rPr>
        <w:t>of</w:t>
      </w:r>
      <w:r>
        <w:rPr>
          <w:spacing w:val="-9"/>
        </w:rPr>
        <w:t> </w:t>
      </w:r>
      <w:r>
        <w:rPr>
          <w:spacing w:val="-4"/>
        </w:rPr>
        <w:t>the</w:t>
      </w:r>
      <w:r>
        <w:rPr>
          <w:spacing w:val="-9"/>
        </w:rPr>
        <w:t> </w:t>
      </w:r>
      <w:r>
        <w:rPr>
          <w:spacing w:val="-4"/>
        </w:rPr>
        <w:t>expanding</w:t>
      </w:r>
      <w:r>
        <w:rPr>
          <w:spacing w:val="-9"/>
        </w:rPr>
        <w:t> </w:t>
      </w:r>
      <w:r>
        <w:rPr>
          <w:spacing w:val="-4"/>
        </w:rPr>
        <w:t>market</w:t>
      </w:r>
      <w:r>
        <w:rPr>
          <w:spacing w:val="-9"/>
        </w:rPr>
        <w:t> </w:t>
      </w:r>
      <w:r>
        <w:rPr>
          <w:spacing w:val="-4"/>
        </w:rPr>
        <w:t>economy </w:t>
      </w:r>
      <w:r>
        <w:rPr>
          <w:spacing w:val="-6"/>
        </w:rPr>
        <w:t>has</w:t>
      </w:r>
      <w:r>
        <w:rPr>
          <w:spacing w:val="-3"/>
        </w:rPr>
        <w:t> </w:t>
      </w:r>
      <w:r>
        <w:rPr>
          <w:spacing w:val="-6"/>
        </w:rPr>
        <w:t>been</w:t>
      </w:r>
      <w:r>
        <w:rPr>
          <w:spacing w:val="-3"/>
        </w:rPr>
        <w:t> </w:t>
      </w:r>
      <w:r>
        <w:rPr>
          <w:spacing w:val="-6"/>
        </w:rPr>
        <w:t>the</w:t>
      </w:r>
      <w:r>
        <w:rPr>
          <w:spacing w:val="-3"/>
        </w:rPr>
        <w:t> </w:t>
      </w:r>
      <w:r>
        <w:rPr>
          <w:spacing w:val="-6"/>
        </w:rPr>
        <w:t>devaluation</w:t>
      </w:r>
      <w:r>
        <w:rPr>
          <w:spacing w:val="-3"/>
        </w:rPr>
        <w:t> </w:t>
      </w:r>
      <w:r>
        <w:rPr>
          <w:spacing w:val="-6"/>
        </w:rPr>
        <w:t>of</w:t>
      </w:r>
      <w:r>
        <w:rPr>
          <w:spacing w:val="-3"/>
        </w:rPr>
        <w:t> </w:t>
      </w:r>
      <w:r>
        <w:rPr>
          <w:spacing w:val="-6"/>
        </w:rPr>
        <w:t>the</w:t>
      </w:r>
      <w:r>
        <w:rPr>
          <w:spacing w:val="-2"/>
        </w:rPr>
        <w:t> </w:t>
      </w:r>
      <w:r>
        <w:rPr>
          <w:spacing w:val="-6"/>
        </w:rPr>
        <w:t>academic</w:t>
      </w:r>
      <w:r>
        <w:rPr>
          <w:spacing w:val="-3"/>
        </w:rPr>
        <w:t> </w:t>
      </w:r>
      <w:r>
        <w:rPr>
          <w:spacing w:val="-6"/>
        </w:rPr>
        <w:t>profession</w:t>
      </w:r>
      <w:r>
        <w:rPr>
          <w:spacing w:val="-3"/>
        </w:rPr>
        <w:t> </w:t>
      </w:r>
      <w:r>
        <w:rPr>
          <w:spacing w:val="-6"/>
        </w:rPr>
        <w:t>as</w:t>
      </w:r>
      <w:r>
        <w:rPr>
          <w:spacing w:val="-3"/>
        </w:rPr>
        <w:t> </w:t>
      </w:r>
      <w:r>
        <w:rPr>
          <w:spacing w:val="-10"/>
        </w:rPr>
        <w:t>a</w:t>
      </w:r>
    </w:p>
    <w:p>
      <w:pPr>
        <w:pStyle w:val="BodyText"/>
        <w:spacing w:line="266" w:lineRule="auto" w:before="82"/>
        <w:ind w:left="319" w:right="1077"/>
        <w:jc w:val="both"/>
      </w:pPr>
      <w:r>
        <w:rPr/>
        <w:br w:type="column"/>
      </w:r>
      <w:r>
        <w:rPr>
          <w:spacing w:val="-6"/>
        </w:rPr>
        <w:t>whole,</w:t>
      </w:r>
      <w:r>
        <w:rPr>
          <w:spacing w:val="-8"/>
        </w:rPr>
        <w:t> </w:t>
      </w:r>
      <w:r>
        <w:rPr>
          <w:spacing w:val="-6"/>
        </w:rPr>
        <w:t>and</w:t>
      </w:r>
      <w:r>
        <w:rPr>
          <w:spacing w:val="-8"/>
        </w:rPr>
        <w:t> </w:t>
      </w:r>
      <w:r>
        <w:rPr>
          <w:spacing w:val="-6"/>
        </w:rPr>
        <w:t>this</w:t>
      </w:r>
      <w:r>
        <w:rPr>
          <w:spacing w:val="-8"/>
        </w:rPr>
        <w:t> </w:t>
      </w:r>
      <w:r>
        <w:rPr>
          <w:spacing w:val="-6"/>
        </w:rPr>
        <w:t>is</w:t>
      </w:r>
      <w:r>
        <w:rPr>
          <w:spacing w:val="-7"/>
        </w:rPr>
        <w:t> </w:t>
      </w:r>
      <w:r>
        <w:rPr>
          <w:spacing w:val="-6"/>
        </w:rPr>
        <w:t>now</w:t>
      </w:r>
      <w:r>
        <w:rPr>
          <w:spacing w:val="-8"/>
        </w:rPr>
        <w:t> </w:t>
      </w:r>
      <w:r>
        <w:rPr>
          <w:spacing w:val="-6"/>
        </w:rPr>
        <w:t>seriously</w:t>
      </w:r>
      <w:r>
        <w:rPr>
          <w:spacing w:val="-8"/>
        </w:rPr>
        <w:t> </w:t>
      </w:r>
      <w:r>
        <w:rPr>
          <w:spacing w:val="-6"/>
        </w:rPr>
        <w:t>affecting</w:t>
      </w:r>
      <w:r>
        <w:rPr>
          <w:spacing w:val="-8"/>
        </w:rPr>
        <w:t> </w:t>
      </w:r>
      <w:r>
        <w:rPr>
          <w:spacing w:val="-6"/>
        </w:rPr>
        <w:t>the</w:t>
      </w:r>
      <w:r>
        <w:rPr>
          <w:spacing w:val="-7"/>
        </w:rPr>
        <w:t> </w:t>
      </w:r>
      <w:r>
        <w:rPr>
          <w:spacing w:val="-6"/>
        </w:rPr>
        <w:t>desirability </w:t>
      </w:r>
      <w:r>
        <w:rPr>
          <w:spacing w:val="-4"/>
        </w:rPr>
        <w:t>of</w:t>
      </w:r>
      <w:r>
        <w:rPr>
          <w:spacing w:val="-8"/>
        </w:rPr>
        <w:t> </w:t>
      </w:r>
      <w:r>
        <w:rPr>
          <w:spacing w:val="-4"/>
        </w:rPr>
        <w:t>this</w:t>
      </w:r>
      <w:r>
        <w:rPr>
          <w:spacing w:val="-8"/>
        </w:rPr>
        <w:t> </w:t>
      </w:r>
      <w:r>
        <w:rPr>
          <w:spacing w:val="-4"/>
        </w:rPr>
        <w:t>profession.</w:t>
      </w:r>
      <w:r>
        <w:rPr>
          <w:spacing w:val="-8"/>
        </w:rPr>
        <w:t> </w:t>
      </w:r>
      <w:r>
        <w:rPr>
          <w:spacing w:val="-4"/>
        </w:rPr>
        <w:t>Specific</w:t>
      </w:r>
      <w:r>
        <w:rPr>
          <w:spacing w:val="-8"/>
        </w:rPr>
        <w:t> </w:t>
      </w:r>
      <w:r>
        <w:rPr>
          <w:spacing w:val="-4"/>
        </w:rPr>
        <w:t>measures</w:t>
      </w:r>
      <w:r>
        <w:rPr>
          <w:spacing w:val="-8"/>
        </w:rPr>
        <w:t> </w:t>
      </w:r>
      <w:r>
        <w:rPr>
          <w:spacing w:val="-4"/>
        </w:rPr>
        <w:t>for</w:t>
      </w:r>
      <w:r>
        <w:rPr>
          <w:spacing w:val="-8"/>
        </w:rPr>
        <w:t> </w:t>
      </w:r>
      <w:r>
        <w:rPr>
          <w:spacing w:val="-4"/>
        </w:rPr>
        <w:t>addressing</w:t>
      </w:r>
      <w:r>
        <w:rPr>
          <w:spacing w:val="-8"/>
        </w:rPr>
        <w:t> </w:t>
      </w:r>
      <w:r>
        <w:rPr>
          <w:spacing w:val="-4"/>
        </w:rPr>
        <w:t>this </w:t>
      </w:r>
      <w:r>
        <w:rPr/>
        <w:t>problem include:-</w:t>
      </w:r>
    </w:p>
    <w:p>
      <w:pPr>
        <w:pStyle w:val="ListParagraph"/>
        <w:numPr>
          <w:ilvl w:val="1"/>
          <w:numId w:val="43"/>
        </w:numPr>
        <w:tabs>
          <w:tab w:pos="1019" w:val="left" w:leader="none"/>
        </w:tabs>
        <w:spacing w:line="266" w:lineRule="auto" w:before="0" w:after="0"/>
        <w:ind w:left="1019" w:right="1077" w:hanging="320"/>
        <w:jc w:val="both"/>
        <w:rPr>
          <w:sz w:val="22"/>
        </w:rPr>
      </w:pPr>
      <w:r>
        <w:rPr>
          <w:sz w:val="22"/>
        </w:rPr>
        <w:t>Enhancing the prestige, social-standing </w:t>
      </w:r>
      <w:r>
        <w:rPr>
          <w:sz w:val="22"/>
        </w:rPr>
        <w:t>and remuneration of people in the academic </w:t>
      </w:r>
      <w:r>
        <w:rPr>
          <w:spacing w:val="-2"/>
          <w:sz w:val="22"/>
        </w:rPr>
        <w:t>profession</w:t>
      </w:r>
    </w:p>
    <w:p>
      <w:pPr>
        <w:pStyle w:val="ListParagraph"/>
        <w:numPr>
          <w:ilvl w:val="1"/>
          <w:numId w:val="43"/>
        </w:numPr>
        <w:tabs>
          <w:tab w:pos="1019" w:val="left" w:leader="none"/>
        </w:tabs>
        <w:spacing w:line="266" w:lineRule="auto" w:before="0" w:after="0"/>
        <w:ind w:left="1019" w:right="1077" w:hanging="320"/>
        <w:jc w:val="both"/>
        <w:rPr>
          <w:sz w:val="22"/>
        </w:rPr>
      </w:pPr>
      <w:r>
        <w:rPr>
          <w:sz w:val="22"/>
        </w:rPr>
        <w:t>Systematic</w:t>
      </w:r>
      <w:r>
        <w:rPr>
          <w:spacing w:val="-4"/>
          <w:sz w:val="22"/>
        </w:rPr>
        <w:t> </w:t>
      </w:r>
      <w:r>
        <w:rPr>
          <w:sz w:val="22"/>
        </w:rPr>
        <w:t>and</w:t>
      </w:r>
      <w:r>
        <w:rPr>
          <w:spacing w:val="-4"/>
          <w:sz w:val="22"/>
        </w:rPr>
        <w:t> </w:t>
      </w:r>
      <w:r>
        <w:rPr>
          <w:sz w:val="22"/>
        </w:rPr>
        <w:t>targeted</w:t>
      </w:r>
      <w:r>
        <w:rPr>
          <w:spacing w:val="-4"/>
          <w:sz w:val="22"/>
        </w:rPr>
        <w:t> </w:t>
      </w:r>
      <w:r>
        <w:rPr>
          <w:sz w:val="22"/>
        </w:rPr>
        <w:t>initiatives</w:t>
      </w:r>
      <w:r>
        <w:rPr>
          <w:spacing w:val="-4"/>
          <w:sz w:val="22"/>
        </w:rPr>
        <w:t> </w:t>
      </w:r>
      <w:r>
        <w:rPr>
          <w:sz w:val="22"/>
        </w:rPr>
        <w:t>to</w:t>
      </w:r>
      <w:r>
        <w:rPr>
          <w:spacing w:val="-4"/>
          <w:sz w:val="22"/>
        </w:rPr>
        <w:t> </w:t>
      </w:r>
      <w:r>
        <w:rPr>
          <w:sz w:val="22"/>
        </w:rPr>
        <w:t>unleash the potential of gifted students outside the urban population centres</w:t>
      </w:r>
    </w:p>
    <w:p>
      <w:pPr>
        <w:pStyle w:val="ListParagraph"/>
        <w:numPr>
          <w:ilvl w:val="1"/>
          <w:numId w:val="43"/>
        </w:numPr>
        <w:tabs>
          <w:tab w:pos="1019" w:val="left" w:leader="none"/>
        </w:tabs>
        <w:spacing w:line="266" w:lineRule="auto" w:before="0" w:after="0"/>
        <w:ind w:left="1019" w:right="1077" w:hanging="320"/>
        <w:jc w:val="both"/>
        <w:rPr>
          <w:sz w:val="22"/>
        </w:rPr>
      </w:pPr>
      <w:r>
        <w:rPr>
          <w:sz w:val="22"/>
        </w:rPr>
        <w:t>Utilisation of current technology to </w:t>
      </w:r>
      <w:r>
        <w:rPr>
          <w:sz w:val="22"/>
        </w:rPr>
        <w:t>provide greater</w:t>
      </w:r>
      <w:r>
        <w:rPr>
          <w:spacing w:val="-7"/>
          <w:sz w:val="22"/>
        </w:rPr>
        <w:t> </w:t>
      </w:r>
      <w:r>
        <w:rPr>
          <w:sz w:val="22"/>
        </w:rPr>
        <w:t>access</w:t>
      </w:r>
      <w:r>
        <w:rPr>
          <w:spacing w:val="-7"/>
          <w:sz w:val="22"/>
        </w:rPr>
        <w:t> </w:t>
      </w:r>
      <w:r>
        <w:rPr>
          <w:sz w:val="22"/>
        </w:rPr>
        <w:t>to</w:t>
      </w:r>
      <w:r>
        <w:rPr>
          <w:spacing w:val="-7"/>
          <w:sz w:val="22"/>
        </w:rPr>
        <w:t> </w:t>
      </w:r>
      <w:r>
        <w:rPr>
          <w:sz w:val="22"/>
        </w:rPr>
        <w:t>quality</w:t>
      </w:r>
      <w:r>
        <w:rPr>
          <w:spacing w:val="-7"/>
          <w:sz w:val="22"/>
        </w:rPr>
        <w:t> </w:t>
      </w:r>
      <w:r>
        <w:rPr>
          <w:sz w:val="22"/>
        </w:rPr>
        <w:t>learning</w:t>
      </w:r>
      <w:r>
        <w:rPr>
          <w:spacing w:val="-7"/>
          <w:sz w:val="22"/>
        </w:rPr>
        <w:t> </w:t>
      </w:r>
      <w:r>
        <w:rPr>
          <w:sz w:val="22"/>
        </w:rPr>
        <w:t>at</w:t>
      </w:r>
      <w:r>
        <w:rPr>
          <w:spacing w:val="-7"/>
          <w:sz w:val="22"/>
        </w:rPr>
        <w:t> </w:t>
      </w:r>
      <w:r>
        <w:rPr>
          <w:sz w:val="22"/>
        </w:rPr>
        <w:t>all</w:t>
      </w:r>
      <w:r>
        <w:rPr>
          <w:spacing w:val="-7"/>
          <w:sz w:val="22"/>
        </w:rPr>
        <w:t> </w:t>
      </w:r>
      <w:r>
        <w:rPr>
          <w:sz w:val="22"/>
        </w:rPr>
        <w:t>levels, and bridging the language gap</w:t>
      </w:r>
    </w:p>
    <w:p>
      <w:pPr>
        <w:pStyle w:val="ListParagraph"/>
        <w:numPr>
          <w:ilvl w:val="1"/>
          <w:numId w:val="43"/>
        </w:numPr>
        <w:tabs>
          <w:tab w:pos="1019" w:val="left" w:leader="none"/>
        </w:tabs>
        <w:spacing w:line="266" w:lineRule="auto" w:before="0" w:after="0"/>
        <w:ind w:left="1019" w:right="1077" w:hanging="320"/>
        <w:jc w:val="both"/>
        <w:rPr>
          <w:sz w:val="22"/>
        </w:rPr>
      </w:pPr>
      <w:r>
        <w:rPr>
          <w:w w:val="90"/>
          <w:sz w:val="22"/>
        </w:rPr>
        <w:t>Increased</w:t>
      </w:r>
      <w:r>
        <w:rPr>
          <w:spacing w:val="-7"/>
          <w:w w:val="90"/>
          <w:sz w:val="22"/>
        </w:rPr>
        <w:t> </w:t>
      </w:r>
      <w:r>
        <w:rPr>
          <w:w w:val="90"/>
          <w:sz w:val="22"/>
        </w:rPr>
        <w:t>coverage</w:t>
      </w:r>
      <w:r>
        <w:rPr>
          <w:spacing w:val="-7"/>
          <w:w w:val="90"/>
          <w:sz w:val="22"/>
        </w:rPr>
        <w:t> </w:t>
      </w:r>
      <w:r>
        <w:rPr>
          <w:w w:val="90"/>
          <w:sz w:val="22"/>
        </w:rPr>
        <w:t>in</w:t>
      </w:r>
      <w:r>
        <w:rPr>
          <w:spacing w:val="-7"/>
          <w:w w:val="90"/>
          <w:sz w:val="22"/>
        </w:rPr>
        <w:t> </w:t>
      </w:r>
      <w:r>
        <w:rPr>
          <w:w w:val="90"/>
          <w:sz w:val="22"/>
        </w:rPr>
        <w:t>the</w:t>
      </w:r>
      <w:r>
        <w:rPr>
          <w:spacing w:val="-7"/>
          <w:w w:val="90"/>
          <w:sz w:val="22"/>
        </w:rPr>
        <w:t> </w:t>
      </w:r>
      <w:r>
        <w:rPr>
          <w:w w:val="90"/>
          <w:sz w:val="22"/>
        </w:rPr>
        <w:t>media</w:t>
      </w:r>
      <w:r>
        <w:rPr>
          <w:spacing w:val="-7"/>
          <w:w w:val="90"/>
          <w:sz w:val="22"/>
        </w:rPr>
        <w:t> </w:t>
      </w:r>
      <w:r>
        <w:rPr>
          <w:w w:val="90"/>
          <w:sz w:val="22"/>
        </w:rPr>
        <w:t>of</w:t>
      </w:r>
      <w:r>
        <w:rPr>
          <w:spacing w:val="-7"/>
          <w:w w:val="90"/>
          <w:sz w:val="22"/>
        </w:rPr>
        <w:t> </w:t>
      </w:r>
      <w:r>
        <w:rPr>
          <w:w w:val="90"/>
          <w:sz w:val="22"/>
        </w:rPr>
        <w:t>different</w:t>
      </w:r>
      <w:r>
        <w:rPr>
          <w:spacing w:val="-7"/>
          <w:w w:val="90"/>
          <w:sz w:val="22"/>
        </w:rPr>
        <w:t> </w:t>
      </w:r>
      <w:r>
        <w:rPr>
          <w:w w:val="90"/>
          <w:sz w:val="22"/>
        </w:rPr>
        <w:t>facets </w:t>
      </w:r>
      <w:r>
        <w:rPr>
          <w:spacing w:val="-4"/>
          <w:sz w:val="22"/>
        </w:rPr>
        <w:t>ofteaching,</w:t>
      </w:r>
      <w:r>
        <w:rPr>
          <w:spacing w:val="-10"/>
          <w:sz w:val="22"/>
        </w:rPr>
        <w:t> </w:t>
      </w:r>
      <w:r>
        <w:rPr>
          <w:spacing w:val="-4"/>
          <w:sz w:val="22"/>
        </w:rPr>
        <w:t>researchandacademicachievements, </w:t>
      </w:r>
      <w:r>
        <w:rPr>
          <w:sz w:val="22"/>
        </w:rPr>
        <w:t>both nationally and internationally</w:t>
      </w:r>
    </w:p>
    <w:p>
      <w:pPr>
        <w:pStyle w:val="Heading6"/>
        <w:numPr>
          <w:ilvl w:val="2"/>
          <w:numId w:val="30"/>
        </w:numPr>
        <w:tabs>
          <w:tab w:pos="727" w:val="left" w:leader="none"/>
        </w:tabs>
        <w:spacing w:line="182" w:lineRule="auto" w:before="247" w:after="0"/>
        <w:ind w:left="727" w:right="1326" w:hanging="408"/>
        <w:jc w:val="left"/>
      </w:pPr>
      <w:r>
        <w:rPr>
          <w:color w:val="2E614A"/>
          <w:w w:val="90"/>
        </w:rPr>
        <w:t>Initiate major academic </w:t>
      </w:r>
      <w:r>
        <w:rPr>
          <w:color w:val="2E614A"/>
          <w:w w:val="90"/>
        </w:rPr>
        <w:t>reforms </w:t>
      </w:r>
      <w:r>
        <w:rPr>
          <w:color w:val="2E614A"/>
        </w:rPr>
        <w:t>in universities</w:t>
      </w:r>
    </w:p>
    <w:p>
      <w:pPr>
        <w:pStyle w:val="BodyText"/>
        <w:spacing w:line="266" w:lineRule="auto" w:before="302"/>
        <w:ind w:left="319" w:right="1077"/>
        <w:jc w:val="both"/>
      </w:pPr>
      <w:r>
        <w:rPr/>
        <w:t>Throughout the world, universities are the </w:t>
      </w:r>
      <w:r>
        <w:rPr/>
        <w:t>natural home</w:t>
      </w:r>
      <w:r>
        <w:rPr>
          <w:spacing w:val="-14"/>
        </w:rPr>
        <w:t> </w:t>
      </w:r>
      <w:r>
        <w:rPr/>
        <w:t>for</w:t>
      </w:r>
      <w:r>
        <w:rPr>
          <w:spacing w:val="-13"/>
        </w:rPr>
        <w:t> </w:t>
      </w:r>
      <w:r>
        <w:rPr/>
        <w:t>the</w:t>
      </w:r>
      <w:r>
        <w:rPr>
          <w:spacing w:val="-14"/>
        </w:rPr>
        <w:t> </w:t>
      </w:r>
      <w:r>
        <w:rPr/>
        <w:t>interface</w:t>
      </w:r>
      <w:r>
        <w:rPr>
          <w:spacing w:val="-13"/>
        </w:rPr>
        <w:t> </w:t>
      </w:r>
      <w:r>
        <w:rPr/>
        <w:t>between</w:t>
      </w:r>
      <w:r>
        <w:rPr>
          <w:spacing w:val="-14"/>
        </w:rPr>
        <w:t> </w:t>
      </w:r>
      <w:r>
        <w:rPr/>
        <w:t>teaching</w:t>
      </w:r>
      <w:r>
        <w:rPr>
          <w:spacing w:val="-13"/>
        </w:rPr>
        <w:t> </w:t>
      </w:r>
      <w:r>
        <w:rPr/>
        <w:t>and</w:t>
      </w:r>
      <w:r>
        <w:rPr>
          <w:spacing w:val="-14"/>
        </w:rPr>
        <w:t> </w:t>
      </w:r>
      <w:r>
        <w:rPr/>
        <w:t>research. </w:t>
      </w:r>
      <w:r>
        <w:rPr>
          <w:spacing w:val="-2"/>
        </w:rPr>
        <w:t>But</w:t>
      </w:r>
      <w:r>
        <w:rPr>
          <w:spacing w:val="-12"/>
        </w:rPr>
        <w:t> </w:t>
      </w:r>
      <w:r>
        <w:rPr>
          <w:spacing w:val="-2"/>
        </w:rPr>
        <w:t>this</w:t>
      </w:r>
      <w:r>
        <w:rPr>
          <w:spacing w:val="-12"/>
        </w:rPr>
        <w:t> </w:t>
      </w:r>
      <w:r>
        <w:rPr>
          <w:spacing w:val="-2"/>
        </w:rPr>
        <w:t>is</w:t>
      </w:r>
      <w:r>
        <w:rPr>
          <w:spacing w:val="-12"/>
        </w:rPr>
        <w:t> </w:t>
      </w:r>
      <w:r>
        <w:rPr>
          <w:spacing w:val="-2"/>
        </w:rPr>
        <w:t>far</w:t>
      </w:r>
      <w:r>
        <w:rPr>
          <w:spacing w:val="-11"/>
        </w:rPr>
        <w:t> </w:t>
      </w:r>
      <w:r>
        <w:rPr>
          <w:spacing w:val="-2"/>
        </w:rPr>
        <w:t>from</w:t>
      </w:r>
      <w:r>
        <w:rPr>
          <w:spacing w:val="-12"/>
        </w:rPr>
        <w:t> </w:t>
      </w:r>
      <w:r>
        <w:rPr>
          <w:spacing w:val="-2"/>
        </w:rPr>
        <w:t>reality</w:t>
      </w:r>
      <w:r>
        <w:rPr>
          <w:spacing w:val="-12"/>
        </w:rPr>
        <w:t> </w:t>
      </w:r>
      <w:r>
        <w:rPr>
          <w:spacing w:val="-2"/>
        </w:rPr>
        <w:t>in</w:t>
      </w:r>
      <w:r>
        <w:rPr>
          <w:spacing w:val="-12"/>
        </w:rPr>
        <w:t> </w:t>
      </w:r>
      <w:r>
        <w:rPr>
          <w:spacing w:val="-2"/>
        </w:rPr>
        <w:t>the</w:t>
      </w:r>
      <w:r>
        <w:rPr>
          <w:spacing w:val="-11"/>
        </w:rPr>
        <w:t> </w:t>
      </w:r>
      <w:r>
        <w:rPr>
          <w:spacing w:val="-2"/>
        </w:rPr>
        <w:t>vast</w:t>
      </w:r>
      <w:r>
        <w:rPr>
          <w:spacing w:val="-12"/>
        </w:rPr>
        <w:t> </w:t>
      </w:r>
      <w:r>
        <w:rPr>
          <w:spacing w:val="-2"/>
        </w:rPr>
        <w:t>majority</w:t>
      </w:r>
      <w:r>
        <w:rPr>
          <w:spacing w:val="-12"/>
        </w:rPr>
        <w:t> </w:t>
      </w:r>
      <w:r>
        <w:rPr>
          <w:spacing w:val="-2"/>
        </w:rPr>
        <w:t>of</w:t>
      </w:r>
      <w:r>
        <w:rPr>
          <w:spacing w:val="-12"/>
        </w:rPr>
        <w:t> </w:t>
      </w:r>
      <w:r>
        <w:rPr>
          <w:spacing w:val="-2"/>
        </w:rPr>
        <w:t>Indian </w:t>
      </w:r>
      <w:r>
        <w:rPr/>
        <w:t>universities. In fact, the overall current situation in Indian</w:t>
      </w:r>
      <w:r>
        <w:rPr>
          <w:spacing w:val="-7"/>
        </w:rPr>
        <w:t> </w:t>
      </w:r>
      <w:r>
        <w:rPr/>
        <w:t>universities</w:t>
      </w:r>
      <w:r>
        <w:rPr>
          <w:spacing w:val="-7"/>
        </w:rPr>
        <w:t> </w:t>
      </w:r>
      <w:r>
        <w:rPr/>
        <w:t>is</w:t>
      </w:r>
      <w:r>
        <w:rPr>
          <w:spacing w:val="-7"/>
        </w:rPr>
        <w:t> </w:t>
      </w:r>
      <w:r>
        <w:rPr/>
        <w:t>dismal</w:t>
      </w:r>
      <w:r>
        <w:rPr>
          <w:spacing w:val="-7"/>
        </w:rPr>
        <w:t> </w:t>
      </w:r>
      <w:r>
        <w:rPr/>
        <w:t>largely</w:t>
      </w:r>
      <w:r>
        <w:rPr>
          <w:spacing w:val="-7"/>
        </w:rPr>
        <w:t> </w:t>
      </w:r>
      <w:r>
        <w:rPr/>
        <w:t>due</w:t>
      </w:r>
      <w:r>
        <w:rPr>
          <w:spacing w:val="-7"/>
        </w:rPr>
        <w:t> </w:t>
      </w:r>
      <w:r>
        <w:rPr/>
        <w:t>to</w:t>
      </w:r>
      <w:r>
        <w:rPr>
          <w:spacing w:val="-7"/>
        </w:rPr>
        <w:t> </w:t>
      </w:r>
      <w:r>
        <w:rPr/>
        <w:t>the</w:t>
      </w:r>
      <w:r>
        <w:rPr>
          <w:spacing w:val="-7"/>
        </w:rPr>
        <w:t> </w:t>
      </w:r>
      <w:r>
        <w:rPr/>
        <w:t>lack</w:t>
      </w:r>
      <w:r>
        <w:rPr>
          <w:spacing w:val="-7"/>
        </w:rPr>
        <w:t> </w:t>
      </w:r>
      <w:r>
        <w:rPr/>
        <w:t>of quality</w:t>
      </w:r>
      <w:r>
        <w:rPr>
          <w:spacing w:val="-4"/>
        </w:rPr>
        <w:t> </w:t>
      </w:r>
      <w:r>
        <w:rPr/>
        <w:t>infrastructure</w:t>
      </w:r>
      <w:r>
        <w:rPr>
          <w:spacing w:val="-4"/>
        </w:rPr>
        <w:t> </w:t>
      </w:r>
      <w:r>
        <w:rPr/>
        <w:t>and</w:t>
      </w:r>
      <w:r>
        <w:rPr>
          <w:spacing w:val="-4"/>
        </w:rPr>
        <w:t> </w:t>
      </w:r>
      <w:r>
        <w:rPr/>
        <w:t>the</w:t>
      </w:r>
      <w:r>
        <w:rPr>
          <w:spacing w:val="-4"/>
        </w:rPr>
        <w:t> </w:t>
      </w:r>
      <w:r>
        <w:rPr/>
        <w:t>inability</w:t>
      </w:r>
      <w:r>
        <w:rPr>
          <w:spacing w:val="-4"/>
        </w:rPr>
        <w:t> </w:t>
      </w:r>
      <w:r>
        <w:rPr/>
        <w:t>to</w:t>
      </w:r>
      <w:r>
        <w:rPr>
          <w:spacing w:val="-4"/>
        </w:rPr>
        <w:t> </w:t>
      </w:r>
      <w:r>
        <w:rPr/>
        <w:t>recruit</w:t>
      </w:r>
      <w:r>
        <w:rPr>
          <w:spacing w:val="-4"/>
        </w:rPr>
        <w:t> </w:t>
      </w:r>
      <w:r>
        <w:rPr/>
        <w:t>good young faculty and gifted students. Some concrete interventions for improving the situation include:</w:t>
      </w:r>
    </w:p>
    <w:p>
      <w:pPr>
        <w:pStyle w:val="ListParagraph"/>
        <w:numPr>
          <w:ilvl w:val="3"/>
          <w:numId w:val="30"/>
        </w:numPr>
        <w:tabs>
          <w:tab w:pos="1019" w:val="left" w:leader="none"/>
        </w:tabs>
        <w:spacing w:line="266" w:lineRule="auto" w:before="0" w:after="0"/>
        <w:ind w:left="1019" w:right="1077" w:hanging="320"/>
        <w:jc w:val="both"/>
        <w:rPr>
          <w:sz w:val="22"/>
        </w:rPr>
      </w:pPr>
      <w:r>
        <w:rPr>
          <w:sz w:val="22"/>
        </w:rPr>
        <w:t>Urgent Regulatory reforms in </w:t>
      </w:r>
      <w:r>
        <w:rPr>
          <w:sz w:val="22"/>
        </w:rPr>
        <w:t>Higher </w:t>
      </w:r>
      <w:r>
        <w:rPr>
          <w:spacing w:val="-6"/>
          <w:sz w:val="22"/>
        </w:rPr>
        <w:t>Education, reducing regulation while improving governance; the details have been articulated by </w:t>
      </w:r>
      <w:r>
        <w:rPr>
          <w:spacing w:val="-2"/>
          <w:sz w:val="22"/>
        </w:rPr>
        <w:t>NKC</w:t>
      </w:r>
      <w:r>
        <w:rPr>
          <w:spacing w:val="-12"/>
          <w:sz w:val="22"/>
        </w:rPr>
        <w:t> </w:t>
      </w:r>
      <w:r>
        <w:rPr>
          <w:spacing w:val="-2"/>
          <w:sz w:val="22"/>
        </w:rPr>
        <w:t>in</w:t>
      </w:r>
      <w:r>
        <w:rPr>
          <w:spacing w:val="-12"/>
          <w:sz w:val="22"/>
        </w:rPr>
        <w:t> </w:t>
      </w:r>
      <w:r>
        <w:rPr>
          <w:spacing w:val="-2"/>
          <w:sz w:val="22"/>
        </w:rPr>
        <w:t>its</w:t>
      </w:r>
      <w:r>
        <w:rPr>
          <w:spacing w:val="-12"/>
          <w:sz w:val="22"/>
        </w:rPr>
        <w:t> </w:t>
      </w:r>
      <w:r>
        <w:rPr>
          <w:spacing w:val="-2"/>
          <w:sz w:val="22"/>
        </w:rPr>
        <w:t>earlier</w:t>
      </w:r>
      <w:r>
        <w:rPr>
          <w:spacing w:val="-11"/>
          <w:sz w:val="22"/>
        </w:rPr>
        <w:t> </w:t>
      </w:r>
      <w:r>
        <w:rPr>
          <w:spacing w:val="-2"/>
          <w:sz w:val="22"/>
        </w:rPr>
        <w:t>recommendations</w:t>
      </w:r>
      <w:r>
        <w:rPr>
          <w:spacing w:val="-12"/>
          <w:sz w:val="22"/>
        </w:rPr>
        <w:t> </w:t>
      </w:r>
      <w:r>
        <w:rPr>
          <w:spacing w:val="-2"/>
          <w:sz w:val="22"/>
        </w:rPr>
        <w:t>on</w:t>
      </w:r>
      <w:r>
        <w:rPr>
          <w:spacing w:val="-12"/>
          <w:sz w:val="22"/>
        </w:rPr>
        <w:t> </w:t>
      </w:r>
      <w:r>
        <w:rPr>
          <w:spacing w:val="-2"/>
          <w:sz w:val="22"/>
        </w:rPr>
        <w:t>Higher Education</w:t>
      </w:r>
    </w:p>
    <w:p>
      <w:pPr>
        <w:pStyle w:val="ListParagraph"/>
        <w:numPr>
          <w:ilvl w:val="3"/>
          <w:numId w:val="30"/>
        </w:numPr>
        <w:tabs>
          <w:tab w:pos="1019" w:val="left" w:leader="none"/>
        </w:tabs>
        <w:spacing w:line="266" w:lineRule="auto" w:before="0" w:after="0"/>
        <w:ind w:left="1019" w:right="1077" w:hanging="320"/>
        <w:jc w:val="both"/>
        <w:rPr>
          <w:sz w:val="22"/>
        </w:rPr>
      </w:pPr>
      <w:r>
        <w:rPr>
          <w:sz w:val="22"/>
        </w:rPr>
        <w:t>Greater autonomy for departments </w:t>
      </w:r>
      <w:r>
        <w:rPr>
          <w:sz w:val="22"/>
        </w:rPr>
        <w:t>within </w:t>
      </w:r>
      <w:r>
        <w:rPr>
          <w:spacing w:val="-2"/>
          <w:sz w:val="22"/>
        </w:rPr>
        <w:t>universities</w:t>
      </w:r>
      <w:r>
        <w:rPr>
          <w:spacing w:val="-8"/>
          <w:sz w:val="22"/>
        </w:rPr>
        <w:t> </w:t>
      </w:r>
      <w:r>
        <w:rPr>
          <w:spacing w:val="-2"/>
          <w:sz w:val="22"/>
        </w:rPr>
        <w:t>to</w:t>
      </w:r>
      <w:r>
        <w:rPr>
          <w:spacing w:val="-8"/>
          <w:sz w:val="22"/>
        </w:rPr>
        <w:t> </w:t>
      </w:r>
      <w:r>
        <w:rPr>
          <w:spacing w:val="-2"/>
          <w:sz w:val="22"/>
        </w:rPr>
        <w:t>introduce</w:t>
      </w:r>
      <w:r>
        <w:rPr>
          <w:spacing w:val="-8"/>
          <w:sz w:val="22"/>
        </w:rPr>
        <w:t> </w:t>
      </w:r>
      <w:r>
        <w:rPr>
          <w:spacing w:val="-2"/>
          <w:sz w:val="22"/>
        </w:rPr>
        <w:t>new</w:t>
      </w:r>
      <w:r>
        <w:rPr>
          <w:spacing w:val="-8"/>
          <w:sz w:val="22"/>
        </w:rPr>
        <w:t> </w:t>
      </w:r>
      <w:r>
        <w:rPr>
          <w:spacing w:val="-2"/>
          <w:sz w:val="22"/>
        </w:rPr>
        <w:t>relevant</w:t>
      </w:r>
      <w:r>
        <w:rPr>
          <w:spacing w:val="-8"/>
          <w:sz w:val="22"/>
        </w:rPr>
        <w:t> </w:t>
      </w:r>
      <w:r>
        <w:rPr>
          <w:spacing w:val="-2"/>
          <w:sz w:val="22"/>
        </w:rPr>
        <w:t>courses, </w:t>
      </w:r>
      <w:r>
        <w:rPr>
          <w:sz w:val="22"/>
        </w:rPr>
        <w:t>along with encouragement and rewards for innovation in teaching and research</w:t>
      </w:r>
    </w:p>
    <w:p>
      <w:pPr>
        <w:pStyle w:val="ListParagraph"/>
        <w:numPr>
          <w:ilvl w:val="3"/>
          <w:numId w:val="30"/>
        </w:numPr>
        <w:tabs>
          <w:tab w:pos="1019" w:val="left" w:leader="none"/>
        </w:tabs>
        <w:spacing w:line="266" w:lineRule="auto" w:before="0" w:after="0"/>
        <w:ind w:left="1019" w:right="1077" w:hanging="320"/>
        <w:jc w:val="both"/>
        <w:rPr>
          <w:sz w:val="22"/>
        </w:rPr>
      </w:pPr>
      <w:r>
        <w:rPr>
          <w:sz w:val="22"/>
        </w:rPr>
        <w:t>Identifying and supporting </w:t>
      </w:r>
      <w:r>
        <w:rPr>
          <w:sz w:val="22"/>
        </w:rPr>
        <w:t>university departments</w:t>
      </w:r>
      <w:r>
        <w:rPr>
          <w:spacing w:val="-1"/>
          <w:sz w:val="22"/>
        </w:rPr>
        <w:t> </w:t>
      </w:r>
      <w:r>
        <w:rPr>
          <w:sz w:val="22"/>
        </w:rPr>
        <w:t>as</w:t>
      </w:r>
      <w:r>
        <w:rPr>
          <w:spacing w:val="-1"/>
          <w:sz w:val="22"/>
        </w:rPr>
        <w:t> </w:t>
      </w:r>
      <w:r>
        <w:rPr>
          <w:sz w:val="22"/>
        </w:rPr>
        <w:t>Centres</w:t>
      </w:r>
      <w:r>
        <w:rPr>
          <w:spacing w:val="-1"/>
          <w:sz w:val="22"/>
        </w:rPr>
        <w:t> </w:t>
      </w:r>
      <w:r>
        <w:rPr>
          <w:sz w:val="22"/>
        </w:rPr>
        <w:t>of</w:t>
      </w:r>
      <w:r>
        <w:rPr>
          <w:spacing w:val="-1"/>
          <w:sz w:val="22"/>
        </w:rPr>
        <w:t> </w:t>
      </w:r>
      <w:r>
        <w:rPr>
          <w:sz w:val="22"/>
        </w:rPr>
        <w:t>Excellence</w:t>
      </w:r>
    </w:p>
    <w:p>
      <w:pPr>
        <w:pStyle w:val="ListParagraph"/>
        <w:numPr>
          <w:ilvl w:val="3"/>
          <w:numId w:val="30"/>
        </w:numPr>
        <w:tabs>
          <w:tab w:pos="1019" w:val="left" w:leader="none"/>
        </w:tabs>
        <w:spacing w:line="266" w:lineRule="auto" w:before="0" w:after="0"/>
        <w:ind w:left="1019" w:right="1077" w:hanging="320"/>
        <w:jc w:val="both"/>
        <w:rPr>
          <w:sz w:val="22"/>
        </w:rPr>
      </w:pPr>
      <w:r>
        <w:rPr>
          <w:sz w:val="22"/>
        </w:rPr>
        <w:t>Greater flexibility and increased funding </w:t>
      </w:r>
      <w:r>
        <w:rPr>
          <w:sz w:val="22"/>
        </w:rPr>
        <w:t>for university departments to recruit and retain good faculty from across the world</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BodyText"/>
        <w:spacing w:before="90"/>
        <w:rPr>
          <w:sz w:val="20"/>
        </w:rPr>
      </w:pPr>
    </w:p>
    <w:p>
      <w:pPr>
        <w:pStyle w:val="BodyText"/>
        <w:spacing w:line="20" w:lineRule="exact"/>
        <w:ind w:left="1080"/>
        <w:rPr>
          <w:sz w:val="2"/>
        </w:rPr>
      </w:pPr>
      <w:r>
        <w:rPr>
          <w:sz w:val="2"/>
        </w:rPr>
        <mc:AlternateContent>
          <mc:Choice Requires="wps">
            <w:drawing>
              <wp:inline distT="0" distB="0" distL="0" distR="0">
                <wp:extent cx="2408555" cy="6350"/>
                <wp:effectExtent l="0" t="0" r="0" b="0"/>
                <wp:docPr id="930" name="Group 930"/>
                <wp:cNvGraphicFramePr>
                  <a:graphicFrameLocks/>
                </wp:cNvGraphicFramePr>
                <a:graphic>
                  <a:graphicData uri="http://schemas.microsoft.com/office/word/2010/wordprocessingGroup">
                    <wpg:wgp>
                      <wpg:cNvPr id="930" name="Group 930"/>
                      <wpg:cNvGrpSpPr/>
                      <wpg:grpSpPr>
                        <a:xfrm>
                          <a:off x="0" y="0"/>
                          <a:ext cx="2408555" cy="6350"/>
                          <a:chExt cx="2408555" cy="6350"/>
                        </a:xfrm>
                      </wpg:grpSpPr>
                      <wps:wsp>
                        <wps:cNvPr id="931" name="Graphic 931"/>
                        <wps:cNvSpPr/>
                        <wps:spPr>
                          <a:xfrm>
                            <a:off x="0" y="0"/>
                            <a:ext cx="2408555" cy="6350"/>
                          </a:xfrm>
                          <a:custGeom>
                            <a:avLst/>
                            <a:gdLst/>
                            <a:ahLst/>
                            <a:cxnLst/>
                            <a:rect l="l" t="t" r="r" b="b"/>
                            <a:pathLst>
                              <a:path w="2408555" h="6350">
                                <a:moveTo>
                                  <a:pt x="2408400" y="0"/>
                                </a:moveTo>
                                <a:lnTo>
                                  <a:pt x="0" y="0"/>
                                </a:lnTo>
                                <a:lnTo>
                                  <a:pt x="0" y="6349"/>
                                </a:lnTo>
                                <a:lnTo>
                                  <a:pt x="2408400" y="6349"/>
                                </a:lnTo>
                                <a:lnTo>
                                  <a:pt x="240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65pt;height:.5pt;mso-position-horizontal-relative:char;mso-position-vertical-relative:line" id="docshapegroup923" coordorigin="0,0" coordsize="3793,10">
                <v:rect style="position:absolute;left:0;top:0;width:3793;height:10" id="docshape924" filled="true" fillcolor="#000000" stroked="false">
                  <v:fill type="solid"/>
                </v:rect>
              </v:group>
            </w:pict>
          </mc:Fallback>
        </mc:AlternateContent>
      </w:r>
      <w:r>
        <w:rPr>
          <w:sz w:val="2"/>
        </w:rPr>
      </w:r>
    </w:p>
    <w:p>
      <w:pPr>
        <w:spacing w:before="27"/>
        <w:ind w:left="1080" w:right="0" w:firstLine="0"/>
        <w:jc w:val="left"/>
        <w:rPr>
          <w:sz w:val="18"/>
        </w:rPr>
      </w:pPr>
      <w:r>
        <w:rPr>
          <w:spacing w:val="-4"/>
          <w:position w:val="6"/>
          <w:sz w:val="10"/>
        </w:rPr>
        <w:t>1</w:t>
      </w:r>
      <w:r>
        <w:rPr>
          <w:spacing w:val="-2"/>
          <w:position w:val="6"/>
          <w:sz w:val="10"/>
        </w:rPr>
        <w:t> </w:t>
      </w:r>
      <w:r>
        <w:rPr>
          <w:spacing w:val="-4"/>
          <w:sz w:val="18"/>
        </w:rPr>
        <w:t>“Measures</w:t>
      </w:r>
      <w:r>
        <w:rPr>
          <w:spacing w:val="-6"/>
          <w:sz w:val="18"/>
        </w:rPr>
        <w:t> </w:t>
      </w:r>
      <w:r>
        <w:rPr>
          <w:spacing w:val="-4"/>
          <w:sz w:val="18"/>
        </w:rPr>
        <w:t>of</w:t>
      </w:r>
      <w:r>
        <w:rPr>
          <w:spacing w:val="-5"/>
          <w:sz w:val="18"/>
        </w:rPr>
        <w:t> </w:t>
      </w:r>
      <w:r>
        <w:rPr>
          <w:spacing w:val="-4"/>
          <w:sz w:val="18"/>
        </w:rPr>
        <w:t>Progress</w:t>
      </w:r>
      <w:r>
        <w:rPr>
          <w:spacing w:val="-5"/>
          <w:sz w:val="18"/>
        </w:rPr>
        <w:t> </w:t>
      </w:r>
      <w:r>
        <w:rPr>
          <w:spacing w:val="-4"/>
          <w:sz w:val="18"/>
        </w:rPr>
        <w:t>of</w:t>
      </w:r>
      <w:r>
        <w:rPr>
          <w:spacing w:val="-5"/>
          <w:sz w:val="18"/>
        </w:rPr>
        <w:t> </w:t>
      </w:r>
      <w:r>
        <w:rPr>
          <w:spacing w:val="-4"/>
          <w:sz w:val="18"/>
        </w:rPr>
        <w:t>Science</w:t>
      </w:r>
      <w:r>
        <w:rPr>
          <w:spacing w:val="-5"/>
          <w:sz w:val="18"/>
        </w:rPr>
        <w:t> </w:t>
      </w:r>
      <w:r>
        <w:rPr>
          <w:spacing w:val="-4"/>
          <w:sz w:val="18"/>
        </w:rPr>
        <w:t>in</w:t>
      </w:r>
      <w:r>
        <w:rPr>
          <w:spacing w:val="-5"/>
          <w:sz w:val="18"/>
        </w:rPr>
        <w:t> </w:t>
      </w:r>
      <w:r>
        <w:rPr>
          <w:spacing w:val="-4"/>
          <w:sz w:val="18"/>
        </w:rPr>
        <w:t>India”,</w:t>
      </w:r>
      <w:r>
        <w:rPr>
          <w:spacing w:val="-5"/>
          <w:sz w:val="18"/>
        </w:rPr>
        <w:t> </w:t>
      </w:r>
      <w:r>
        <w:rPr>
          <w:spacing w:val="-4"/>
          <w:sz w:val="18"/>
        </w:rPr>
        <w:t>Report</w:t>
      </w:r>
      <w:r>
        <w:rPr>
          <w:spacing w:val="-5"/>
          <w:sz w:val="18"/>
        </w:rPr>
        <w:t> </w:t>
      </w:r>
      <w:r>
        <w:rPr>
          <w:spacing w:val="-4"/>
          <w:sz w:val="18"/>
        </w:rPr>
        <w:t>by</w:t>
      </w:r>
      <w:r>
        <w:rPr>
          <w:spacing w:val="-6"/>
          <w:sz w:val="18"/>
        </w:rPr>
        <w:t> </w:t>
      </w:r>
      <w:r>
        <w:rPr>
          <w:spacing w:val="-4"/>
          <w:sz w:val="18"/>
        </w:rPr>
        <w:t>NISTADS</w:t>
      </w:r>
      <w:r>
        <w:rPr>
          <w:spacing w:val="-5"/>
          <w:sz w:val="18"/>
        </w:rPr>
        <w:t> </w:t>
      </w:r>
      <w:r>
        <w:rPr>
          <w:spacing w:val="-4"/>
          <w:sz w:val="18"/>
        </w:rPr>
        <w:t>2006</w:t>
      </w:r>
    </w:p>
    <w:p>
      <w:pPr>
        <w:spacing w:after="0"/>
        <w:jc w:val="left"/>
        <w:rPr>
          <w:sz w:val="18"/>
        </w:rPr>
        <w:sectPr>
          <w:type w:val="continuous"/>
          <w:pgSz w:w="11910" w:h="16840"/>
          <w:pgMar w:header="0" w:footer="675" w:top="1920" w:bottom="280" w:left="0" w:right="0"/>
        </w:sectPr>
      </w:pPr>
    </w:p>
    <w:p>
      <w:pPr>
        <w:pStyle w:val="ListParagraph"/>
        <w:numPr>
          <w:ilvl w:val="4"/>
          <w:numId w:val="30"/>
        </w:numPr>
        <w:tabs>
          <w:tab w:pos="1780" w:val="left" w:leader="none"/>
        </w:tabs>
        <w:spacing w:line="266" w:lineRule="auto" w:before="60" w:after="0"/>
        <w:ind w:left="1780" w:right="0" w:hanging="320"/>
        <w:jc w:val="both"/>
        <w:rPr>
          <w:sz w:val="22"/>
        </w:rPr>
      </w:pPr>
      <w:r>
        <w:rPr>
          <w:sz w:val="22"/>
        </w:rPr>
        <w:t>Periodic peer reviews of departments in </w:t>
      </w:r>
      <w:r>
        <w:rPr>
          <w:sz w:val="22"/>
        </w:rPr>
        <w:t>the </w:t>
      </w:r>
      <w:r>
        <w:rPr>
          <w:spacing w:val="-2"/>
          <w:sz w:val="22"/>
        </w:rPr>
        <w:t>universities</w:t>
      </w:r>
    </w:p>
    <w:p>
      <w:pPr>
        <w:pStyle w:val="ListParagraph"/>
        <w:numPr>
          <w:ilvl w:val="4"/>
          <w:numId w:val="30"/>
        </w:numPr>
        <w:tabs>
          <w:tab w:pos="1779" w:val="left" w:leader="none"/>
        </w:tabs>
        <w:spacing w:line="266" w:lineRule="auto" w:before="0" w:after="0"/>
        <w:ind w:left="1779" w:right="0" w:hanging="320"/>
        <w:jc w:val="both"/>
        <w:rPr>
          <w:sz w:val="22"/>
        </w:rPr>
      </w:pPr>
      <w:r>
        <w:rPr>
          <w:spacing w:val="-8"/>
          <w:sz w:val="22"/>
        </w:rPr>
        <w:t>Encouraging</w:t>
      </w:r>
      <w:r>
        <w:rPr>
          <w:sz w:val="22"/>
        </w:rPr>
        <w:t> </w:t>
      </w:r>
      <w:r>
        <w:rPr>
          <w:spacing w:val="-8"/>
          <w:sz w:val="22"/>
        </w:rPr>
        <w:t>recruitment</w:t>
      </w:r>
      <w:r>
        <w:rPr>
          <w:sz w:val="22"/>
        </w:rPr>
        <w:t> </w:t>
      </w:r>
      <w:r>
        <w:rPr>
          <w:spacing w:val="-8"/>
          <w:sz w:val="22"/>
        </w:rPr>
        <w:t>of</w:t>
      </w:r>
      <w:r>
        <w:rPr>
          <w:sz w:val="22"/>
        </w:rPr>
        <w:t> </w:t>
      </w:r>
      <w:r>
        <w:rPr>
          <w:spacing w:val="-8"/>
          <w:sz w:val="22"/>
        </w:rPr>
        <w:t>capable</w:t>
      </w:r>
      <w:r>
        <w:rPr>
          <w:sz w:val="22"/>
        </w:rPr>
        <w:t> </w:t>
      </w:r>
      <w:r>
        <w:rPr>
          <w:spacing w:val="-8"/>
          <w:sz w:val="22"/>
        </w:rPr>
        <w:t>and</w:t>
      </w:r>
      <w:r>
        <w:rPr>
          <w:sz w:val="22"/>
        </w:rPr>
        <w:t> </w:t>
      </w:r>
      <w:r>
        <w:rPr>
          <w:spacing w:val="-8"/>
          <w:sz w:val="22"/>
        </w:rPr>
        <w:t>talented </w:t>
      </w:r>
      <w:r>
        <w:rPr>
          <w:sz w:val="22"/>
        </w:rPr>
        <w:t>younger faculty</w:t>
      </w:r>
    </w:p>
    <w:p>
      <w:pPr>
        <w:pStyle w:val="BodyText"/>
        <w:spacing w:before="2"/>
      </w:pPr>
    </w:p>
    <w:p>
      <w:pPr>
        <w:pStyle w:val="Heading6"/>
        <w:numPr>
          <w:ilvl w:val="2"/>
          <w:numId w:val="30"/>
        </w:numPr>
        <w:tabs>
          <w:tab w:pos="1487" w:val="left" w:leader="none"/>
        </w:tabs>
        <w:spacing w:line="182" w:lineRule="auto" w:before="0" w:after="0"/>
        <w:ind w:left="1487" w:right="988" w:hanging="408"/>
        <w:jc w:val="left"/>
      </w:pPr>
      <w:r>
        <w:rPr>
          <w:color w:val="2E614A"/>
          <w:w w:val="90"/>
        </w:rPr>
        <w:t>Implement </w:t>
      </w:r>
      <w:r>
        <w:rPr>
          <w:color w:val="2E614A"/>
          <w:w w:val="90"/>
        </w:rPr>
        <w:t>administrative </w:t>
      </w:r>
      <w:r>
        <w:rPr>
          <w:color w:val="2E614A"/>
          <w:spacing w:val="-2"/>
        </w:rPr>
        <w:t>reforms</w:t>
      </w:r>
      <w:r>
        <w:rPr>
          <w:color w:val="2E614A"/>
          <w:spacing w:val="-18"/>
        </w:rPr>
        <w:t> </w:t>
      </w:r>
      <w:r>
        <w:rPr>
          <w:color w:val="2E614A"/>
          <w:spacing w:val="-2"/>
        </w:rPr>
        <w:t>in</w:t>
      </w:r>
      <w:r>
        <w:rPr>
          <w:color w:val="2E614A"/>
          <w:spacing w:val="-18"/>
        </w:rPr>
        <w:t> </w:t>
      </w:r>
      <w:r>
        <w:rPr>
          <w:color w:val="2E614A"/>
          <w:spacing w:val="-2"/>
        </w:rPr>
        <w:t>universities</w:t>
      </w:r>
    </w:p>
    <w:p>
      <w:pPr>
        <w:pStyle w:val="BodyText"/>
        <w:spacing w:line="266" w:lineRule="auto" w:before="302"/>
        <w:ind w:left="1079"/>
        <w:jc w:val="both"/>
      </w:pPr>
      <w:r>
        <w:rPr>
          <w:spacing w:val="-4"/>
        </w:rPr>
        <w:t>It</w:t>
      </w:r>
      <w:r>
        <w:rPr>
          <w:spacing w:val="-12"/>
        </w:rPr>
        <w:t> </w:t>
      </w:r>
      <w:r>
        <w:rPr>
          <w:spacing w:val="-4"/>
        </w:rPr>
        <w:t>is</w:t>
      </w:r>
      <w:r>
        <w:rPr>
          <w:spacing w:val="-10"/>
        </w:rPr>
        <w:t> </w:t>
      </w:r>
      <w:r>
        <w:rPr>
          <w:spacing w:val="-4"/>
        </w:rPr>
        <w:t>equally</w:t>
      </w:r>
      <w:r>
        <w:rPr>
          <w:spacing w:val="-10"/>
        </w:rPr>
        <w:t> </w:t>
      </w:r>
      <w:r>
        <w:rPr>
          <w:spacing w:val="-4"/>
        </w:rPr>
        <w:t>important</w:t>
      </w:r>
      <w:r>
        <w:rPr>
          <w:spacing w:val="-9"/>
        </w:rPr>
        <w:t> </w:t>
      </w:r>
      <w:r>
        <w:rPr>
          <w:spacing w:val="-4"/>
        </w:rPr>
        <w:t>that</w:t>
      </w:r>
      <w:r>
        <w:rPr>
          <w:spacing w:val="-10"/>
        </w:rPr>
        <w:t> </w:t>
      </w:r>
      <w:r>
        <w:rPr>
          <w:spacing w:val="-4"/>
        </w:rPr>
        <w:t>reforms</w:t>
      </w:r>
      <w:r>
        <w:rPr>
          <w:spacing w:val="-10"/>
        </w:rPr>
        <w:t> </w:t>
      </w:r>
      <w:r>
        <w:rPr>
          <w:spacing w:val="-4"/>
        </w:rPr>
        <w:t>in</w:t>
      </w:r>
      <w:r>
        <w:rPr>
          <w:spacing w:val="-10"/>
        </w:rPr>
        <w:t> </w:t>
      </w:r>
      <w:r>
        <w:rPr>
          <w:spacing w:val="-4"/>
        </w:rPr>
        <w:t>the</w:t>
      </w:r>
      <w:r>
        <w:rPr>
          <w:spacing w:val="-9"/>
        </w:rPr>
        <w:t> </w:t>
      </w:r>
      <w:r>
        <w:rPr>
          <w:spacing w:val="-4"/>
        </w:rPr>
        <w:t>administration </w:t>
      </w:r>
      <w:r>
        <w:rPr>
          <w:spacing w:val="-2"/>
        </w:rPr>
        <w:t>of</w:t>
      </w:r>
      <w:r>
        <w:rPr>
          <w:spacing w:val="-12"/>
        </w:rPr>
        <w:t> </w:t>
      </w:r>
      <w:r>
        <w:rPr>
          <w:spacing w:val="-2"/>
        </w:rPr>
        <w:t>universities</w:t>
      </w:r>
      <w:r>
        <w:rPr>
          <w:spacing w:val="-12"/>
        </w:rPr>
        <w:t> </w:t>
      </w:r>
      <w:r>
        <w:rPr>
          <w:spacing w:val="-2"/>
        </w:rPr>
        <w:t>accompany</w:t>
      </w:r>
      <w:r>
        <w:rPr>
          <w:spacing w:val="-12"/>
        </w:rPr>
        <w:t> </w:t>
      </w:r>
      <w:r>
        <w:rPr>
          <w:spacing w:val="-2"/>
        </w:rPr>
        <w:t>academic</w:t>
      </w:r>
      <w:r>
        <w:rPr>
          <w:spacing w:val="-11"/>
        </w:rPr>
        <w:t> </w:t>
      </w:r>
      <w:r>
        <w:rPr>
          <w:spacing w:val="-2"/>
        </w:rPr>
        <w:t>reforms.</w:t>
      </w:r>
      <w:r>
        <w:rPr>
          <w:spacing w:val="-12"/>
        </w:rPr>
        <w:t> </w:t>
      </w:r>
      <w:r>
        <w:rPr>
          <w:spacing w:val="-2"/>
        </w:rPr>
        <w:t>This</w:t>
      </w:r>
      <w:r>
        <w:rPr>
          <w:spacing w:val="-12"/>
        </w:rPr>
        <w:t> </w:t>
      </w:r>
      <w:r>
        <w:rPr>
          <w:spacing w:val="-2"/>
        </w:rPr>
        <w:t>will ensure</w:t>
      </w:r>
      <w:r>
        <w:rPr>
          <w:spacing w:val="-2"/>
        </w:rPr>
        <w:t> professional</w:t>
      </w:r>
      <w:r>
        <w:rPr>
          <w:spacing w:val="-2"/>
        </w:rPr>
        <w:t> administration</w:t>
      </w:r>
      <w:r>
        <w:rPr>
          <w:spacing w:val="-2"/>
        </w:rPr>
        <w:t> of</w:t>
      </w:r>
      <w:r>
        <w:rPr>
          <w:spacing w:val="-4"/>
        </w:rPr>
        <w:t> </w:t>
      </w:r>
      <w:r>
        <w:rPr>
          <w:spacing w:val="-2"/>
        </w:rPr>
        <w:t>universities,</w:t>
      </w:r>
      <w:r>
        <w:rPr>
          <w:spacing w:val="-4"/>
        </w:rPr>
        <w:t> </w:t>
      </w:r>
      <w:r>
        <w:rPr>
          <w:spacing w:val="-2"/>
        </w:rPr>
        <w:t>and </w:t>
      </w:r>
      <w:r>
        <w:rPr>
          <w:spacing w:val="-10"/>
        </w:rPr>
        <w:t>help</w:t>
      </w:r>
      <w:r>
        <w:rPr>
          <w:spacing w:val="-4"/>
        </w:rPr>
        <w:t> </w:t>
      </w:r>
      <w:r>
        <w:rPr>
          <w:spacing w:val="-10"/>
        </w:rPr>
        <w:t>in</w:t>
      </w:r>
      <w:r>
        <w:rPr>
          <w:spacing w:val="-4"/>
        </w:rPr>
        <w:t> </w:t>
      </w:r>
      <w:r>
        <w:rPr>
          <w:spacing w:val="-10"/>
        </w:rPr>
        <w:t>attracting</w:t>
      </w:r>
      <w:r>
        <w:rPr/>
        <w:t> </w:t>
      </w:r>
      <w:r>
        <w:rPr>
          <w:spacing w:val="-10"/>
        </w:rPr>
        <w:t>students</w:t>
      </w:r>
      <w:r>
        <w:rPr/>
        <w:t> </w:t>
      </w:r>
      <w:r>
        <w:rPr>
          <w:spacing w:val="-10"/>
        </w:rPr>
        <w:t>and</w:t>
      </w:r>
      <w:r>
        <w:rPr/>
        <w:t> </w:t>
      </w:r>
      <w:r>
        <w:rPr>
          <w:spacing w:val="-10"/>
        </w:rPr>
        <w:t>good</w:t>
      </w:r>
      <w:r>
        <w:rPr/>
        <w:t> </w:t>
      </w:r>
      <w:r>
        <w:rPr>
          <w:spacing w:val="-10"/>
        </w:rPr>
        <w:t>faculty.</w:t>
      </w:r>
      <w:r>
        <w:rPr>
          <w:spacing w:val="-4"/>
        </w:rPr>
        <w:t> </w:t>
      </w:r>
      <w:r>
        <w:rPr>
          <w:spacing w:val="-10"/>
        </w:rPr>
        <w:t>These</w:t>
      </w:r>
      <w:r>
        <w:rPr/>
        <w:t> </w:t>
      </w:r>
      <w:r>
        <w:rPr>
          <w:spacing w:val="-10"/>
        </w:rPr>
        <w:t>reforms </w:t>
      </w:r>
      <w:r>
        <w:rPr>
          <w:spacing w:val="-2"/>
        </w:rPr>
        <w:t>should</w:t>
      </w:r>
      <w:r>
        <w:rPr>
          <w:spacing w:val="-9"/>
        </w:rPr>
        <w:t> </w:t>
      </w:r>
      <w:r>
        <w:rPr>
          <w:spacing w:val="-2"/>
        </w:rPr>
        <w:t>include</w:t>
      </w:r>
      <w:r>
        <w:rPr>
          <w:spacing w:val="-9"/>
        </w:rPr>
        <w:t> </w:t>
      </w:r>
      <w:r>
        <w:rPr>
          <w:spacing w:val="-2"/>
        </w:rPr>
        <w:t>the</w:t>
      </w:r>
      <w:r>
        <w:rPr>
          <w:spacing w:val="-9"/>
        </w:rPr>
        <w:t> </w:t>
      </w:r>
      <w:r>
        <w:rPr>
          <w:spacing w:val="-2"/>
        </w:rPr>
        <w:t>following:</w:t>
      </w:r>
    </w:p>
    <w:p>
      <w:pPr>
        <w:pStyle w:val="ListParagraph"/>
        <w:numPr>
          <w:ilvl w:val="3"/>
          <w:numId w:val="30"/>
        </w:numPr>
        <w:tabs>
          <w:tab w:pos="1780" w:val="left" w:leader="none"/>
        </w:tabs>
        <w:spacing w:line="266" w:lineRule="auto" w:before="0" w:after="0"/>
        <w:ind w:left="1780" w:right="0" w:hanging="320"/>
        <w:jc w:val="both"/>
        <w:rPr>
          <w:sz w:val="22"/>
        </w:rPr>
      </w:pPr>
      <w:r>
        <w:rPr>
          <w:sz w:val="22"/>
        </w:rPr>
        <w:t>Ensuring a capable administration</w:t>
      </w:r>
      <w:r>
        <w:rPr>
          <w:spacing w:val="-1"/>
          <w:sz w:val="22"/>
        </w:rPr>
        <w:t> </w:t>
      </w:r>
      <w:r>
        <w:rPr>
          <w:sz w:val="22"/>
        </w:rPr>
        <w:t>headed </w:t>
      </w:r>
      <w:r>
        <w:rPr>
          <w:sz w:val="22"/>
        </w:rPr>
        <w:t>by an able Vice Chancellor and Registrar; these appointments should be based on academic and administrative credentials</w:t>
      </w:r>
    </w:p>
    <w:p>
      <w:pPr>
        <w:pStyle w:val="ListParagraph"/>
        <w:numPr>
          <w:ilvl w:val="3"/>
          <w:numId w:val="30"/>
        </w:numPr>
        <w:tabs>
          <w:tab w:pos="1780" w:val="left" w:leader="none"/>
        </w:tabs>
        <w:spacing w:line="266" w:lineRule="auto" w:before="0" w:after="0"/>
        <w:ind w:left="1780" w:right="0" w:hanging="320"/>
        <w:jc w:val="both"/>
        <w:rPr>
          <w:sz w:val="22"/>
        </w:rPr>
      </w:pPr>
      <w:r>
        <w:rPr>
          <w:sz w:val="22"/>
        </w:rPr>
        <w:t>Increasing efficiency and transparency </w:t>
      </w:r>
      <w:r>
        <w:rPr>
          <w:sz w:val="22"/>
        </w:rPr>
        <w:t>in university</w:t>
      </w:r>
      <w:r>
        <w:rPr>
          <w:spacing w:val="-1"/>
          <w:sz w:val="22"/>
        </w:rPr>
        <w:t> </w:t>
      </w:r>
      <w:r>
        <w:rPr>
          <w:sz w:val="22"/>
        </w:rPr>
        <w:t>administration</w:t>
      </w:r>
      <w:r>
        <w:rPr>
          <w:spacing w:val="-1"/>
          <w:sz w:val="22"/>
        </w:rPr>
        <w:t> </w:t>
      </w:r>
      <w:r>
        <w:rPr>
          <w:sz w:val="22"/>
        </w:rPr>
        <w:t>at</w:t>
      </w:r>
      <w:r>
        <w:rPr>
          <w:spacing w:val="-1"/>
          <w:sz w:val="22"/>
        </w:rPr>
        <w:t> </w:t>
      </w:r>
      <w:r>
        <w:rPr>
          <w:sz w:val="22"/>
        </w:rPr>
        <w:t>all</w:t>
      </w:r>
      <w:r>
        <w:rPr>
          <w:spacing w:val="-1"/>
          <w:sz w:val="22"/>
        </w:rPr>
        <w:t> </w:t>
      </w:r>
      <w:r>
        <w:rPr>
          <w:sz w:val="22"/>
        </w:rPr>
        <w:t>levels</w:t>
      </w:r>
    </w:p>
    <w:p>
      <w:pPr>
        <w:pStyle w:val="ListParagraph"/>
        <w:numPr>
          <w:ilvl w:val="3"/>
          <w:numId w:val="30"/>
        </w:numPr>
        <w:tabs>
          <w:tab w:pos="1780" w:val="left" w:leader="none"/>
        </w:tabs>
        <w:spacing w:line="266" w:lineRule="auto" w:before="0" w:after="0"/>
        <w:ind w:left="1780" w:right="0" w:hanging="320"/>
        <w:jc w:val="both"/>
        <w:rPr>
          <w:sz w:val="22"/>
        </w:rPr>
      </w:pPr>
      <w:r>
        <w:rPr>
          <w:sz w:val="22"/>
        </w:rPr>
        <w:t>De-politicisation of appointments and </w:t>
      </w:r>
      <w:r>
        <w:rPr>
          <w:sz w:val="22"/>
        </w:rPr>
        <w:t>more administrative autonomy</w:t>
      </w:r>
    </w:p>
    <w:p>
      <w:pPr>
        <w:pStyle w:val="ListParagraph"/>
        <w:numPr>
          <w:ilvl w:val="3"/>
          <w:numId w:val="30"/>
        </w:numPr>
        <w:tabs>
          <w:tab w:pos="1780" w:val="left" w:leader="none"/>
        </w:tabs>
        <w:spacing w:line="266" w:lineRule="auto" w:before="0" w:after="0"/>
        <w:ind w:left="1780" w:right="0" w:hanging="320"/>
        <w:jc w:val="both"/>
        <w:rPr>
          <w:sz w:val="22"/>
        </w:rPr>
      </w:pPr>
      <w:r>
        <w:rPr>
          <w:spacing w:val="-2"/>
          <w:sz w:val="22"/>
        </w:rPr>
        <w:t>Better</w:t>
      </w:r>
      <w:r>
        <w:rPr>
          <w:spacing w:val="-12"/>
          <w:sz w:val="22"/>
        </w:rPr>
        <w:t> </w:t>
      </w:r>
      <w:r>
        <w:rPr>
          <w:spacing w:val="-2"/>
          <w:sz w:val="22"/>
        </w:rPr>
        <w:t>systems</w:t>
      </w:r>
      <w:r>
        <w:rPr>
          <w:spacing w:val="-12"/>
          <w:sz w:val="22"/>
        </w:rPr>
        <w:t> </w:t>
      </w:r>
      <w:r>
        <w:rPr>
          <w:spacing w:val="-2"/>
          <w:sz w:val="22"/>
        </w:rPr>
        <w:t>for</w:t>
      </w:r>
      <w:r>
        <w:rPr>
          <w:spacing w:val="-12"/>
          <w:sz w:val="22"/>
        </w:rPr>
        <w:t> </w:t>
      </w:r>
      <w:r>
        <w:rPr>
          <w:spacing w:val="-2"/>
          <w:sz w:val="22"/>
        </w:rPr>
        <w:t>monitoring</w:t>
      </w:r>
      <w:r>
        <w:rPr>
          <w:spacing w:val="-11"/>
          <w:sz w:val="22"/>
        </w:rPr>
        <w:t> </w:t>
      </w:r>
      <w:r>
        <w:rPr>
          <w:spacing w:val="-2"/>
          <w:sz w:val="22"/>
        </w:rPr>
        <w:t>and</w:t>
      </w:r>
      <w:r>
        <w:rPr>
          <w:spacing w:val="-12"/>
          <w:sz w:val="22"/>
        </w:rPr>
        <w:t> </w:t>
      </w:r>
      <w:r>
        <w:rPr>
          <w:spacing w:val="-2"/>
          <w:sz w:val="22"/>
        </w:rPr>
        <w:t>maintaining </w:t>
      </w:r>
      <w:r>
        <w:rPr>
          <w:spacing w:val="-4"/>
          <w:sz w:val="22"/>
        </w:rPr>
        <w:t>the</w:t>
      </w:r>
      <w:r>
        <w:rPr>
          <w:spacing w:val="-7"/>
          <w:sz w:val="22"/>
        </w:rPr>
        <w:t> </w:t>
      </w:r>
      <w:r>
        <w:rPr>
          <w:spacing w:val="-4"/>
          <w:sz w:val="22"/>
        </w:rPr>
        <w:t>physical</w:t>
      </w:r>
      <w:r>
        <w:rPr>
          <w:spacing w:val="-7"/>
          <w:sz w:val="22"/>
        </w:rPr>
        <w:t> </w:t>
      </w:r>
      <w:r>
        <w:rPr>
          <w:spacing w:val="-4"/>
          <w:sz w:val="22"/>
        </w:rPr>
        <w:t>infrastructure,</w:t>
      </w:r>
      <w:r>
        <w:rPr>
          <w:spacing w:val="-7"/>
          <w:sz w:val="22"/>
        </w:rPr>
        <w:t> </w:t>
      </w:r>
      <w:r>
        <w:rPr>
          <w:spacing w:val="-4"/>
          <w:sz w:val="22"/>
        </w:rPr>
        <w:t>especially</w:t>
      </w:r>
      <w:r>
        <w:rPr>
          <w:spacing w:val="-7"/>
          <w:sz w:val="22"/>
        </w:rPr>
        <w:t> </w:t>
      </w:r>
      <w:r>
        <w:rPr>
          <w:spacing w:val="-4"/>
          <w:sz w:val="22"/>
        </w:rPr>
        <w:t>buildings</w:t>
      </w:r>
    </w:p>
    <w:p>
      <w:pPr>
        <w:pStyle w:val="ListParagraph"/>
        <w:numPr>
          <w:ilvl w:val="3"/>
          <w:numId w:val="30"/>
        </w:numPr>
        <w:tabs>
          <w:tab w:pos="1780" w:val="left" w:leader="none"/>
        </w:tabs>
        <w:spacing w:line="266" w:lineRule="auto" w:before="0" w:after="0"/>
        <w:ind w:left="1780" w:right="0" w:hanging="320"/>
        <w:jc w:val="both"/>
        <w:rPr>
          <w:sz w:val="22"/>
        </w:rPr>
      </w:pPr>
      <w:r>
        <w:rPr>
          <w:spacing w:val="-6"/>
          <w:sz w:val="22"/>
        </w:rPr>
        <w:t>Sensitising</w:t>
      </w:r>
      <w:r>
        <w:rPr>
          <w:spacing w:val="-8"/>
          <w:sz w:val="22"/>
        </w:rPr>
        <w:t> </w:t>
      </w:r>
      <w:r>
        <w:rPr>
          <w:spacing w:val="-6"/>
          <w:sz w:val="22"/>
        </w:rPr>
        <w:t>the</w:t>
      </w:r>
      <w:r>
        <w:rPr>
          <w:spacing w:val="-8"/>
          <w:sz w:val="22"/>
        </w:rPr>
        <w:t> </w:t>
      </w:r>
      <w:r>
        <w:rPr>
          <w:spacing w:val="-6"/>
          <w:sz w:val="22"/>
        </w:rPr>
        <w:t>administration</w:t>
      </w:r>
      <w:r>
        <w:rPr>
          <w:spacing w:val="-8"/>
          <w:sz w:val="22"/>
        </w:rPr>
        <w:t> </w:t>
      </w:r>
      <w:r>
        <w:rPr>
          <w:spacing w:val="-6"/>
          <w:sz w:val="22"/>
        </w:rPr>
        <w:t>towards</w:t>
      </w:r>
      <w:r>
        <w:rPr>
          <w:spacing w:val="-7"/>
          <w:sz w:val="22"/>
        </w:rPr>
        <w:t> </w:t>
      </w:r>
      <w:r>
        <w:rPr>
          <w:spacing w:val="-6"/>
          <w:sz w:val="22"/>
        </w:rPr>
        <w:t>academic </w:t>
      </w:r>
      <w:r>
        <w:rPr>
          <w:sz w:val="22"/>
        </w:rPr>
        <w:t>freedom and the academic needs for a good research environment</w:t>
      </w:r>
    </w:p>
    <w:p>
      <w:pPr>
        <w:pStyle w:val="Heading6"/>
        <w:numPr>
          <w:ilvl w:val="2"/>
          <w:numId w:val="30"/>
        </w:numPr>
        <w:tabs>
          <w:tab w:pos="1404" w:val="left" w:leader="none"/>
          <w:tab w:pos="1406" w:val="left" w:leader="none"/>
        </w:tabs>
        <w:spacing w:line="182" w:lineRule="auto" w:before="244" w:after="0"/>
        <w:ind w:left="1406" w:right="414" w:hanging="327"/>
        <w:jc w:val="left"/>
      </w:pPr>
      <w:r>
        <w:rPr>
          <w:color w:val="2E614A"/>
          <w:w w:val="90"/>
        </w:rPr>
        <w:t>Enable research environments </w:t>
      </w:r>
      <w:r>
        <w:rPr>
          <w:color w:val="2E614A"/>
        </w:rPr>
        <w:t>in universities</w:t>
      </w:r>
    </w:p>
    <w:p>
      <w:pPr>
        <w:pStyle w:val="BodyText"/>
        <w:spacing w:line="266" w:lineRule="auto" w:before="302"/>
        <w:ind w:left="1079"/>
        <w:jc w:val="both"/>
      </w:pPr>
      <w:r>
        <w:rPr/>
        <w:t>Academic</w:t>
      </w:r>
      <w:r>
        <w:rPr>
          <w:spacing w:val="-11"/>
        </w:rPr>
        <w:t> </w:t>
      </w:r>
      <w:r>
        <w:rPr/>
        <w:t>reforms</w:t>
      </w:r>
      <w:r>
        <w:rPr>
          <w:spacing w:val="-11"/>
        </w:rPr>
        <w:t> </w:t>
      </w:r>
      <w:r>
        <w:rPr/>
        <w:t>and</w:t>
      </w:r>
      <w:r>
        <w:rPr>
          <w:spacing w:val="-11"/>
        </w:rPr>
        <w:t> </w:t>
      </w:r>
      <w:r>
        <w:rPr/>
        <w:t>better</w:t>
      </w:r>
      <w:r>
        <w:rPr>
          <w:spacing w:val="-11"/>
        </w:rPr>
        <w:t> </w:t>
      </w:r>
      <w:r>
        <w:rPr/>
        <w:t>infrastructure</w:t>
      </w:r>
      <w:r>
        <w:rPr>
          <w:spacing w:val="-11"/>
        </w:rPr>
        <w:t> </w:t>
      </w:r>
      <w:r>
        <w:rPr/>
        <w:t>should</w:t>
      </w:r>
      <w:r>
        <w:rPr>
          <w:spacing w:val="-11"/>
        </w:rPr>
        <w:t> </w:t>
      </w:r>
      <w:r>
        <w:rPr/>
        <w:t>go hand</w:t>
      </w:r>
      <w:r>
        <w:rPr>
          <w:spacing w:val="-8"/>
        </w:rPr>
        <w:t> </w:t>
      </w:r>
      <w:r>
        <w:rPr/>
        <w:t>in</w:t>
      </w:r>
      <w:r>
        <w:rPr>
          <w:spacing w:val="-8"/>
        </w:rPr>
        <w:t> </w:t>
      </w:r>
      <w:r>
        <w:rPr/>
        <w:t>hand</w:t>
      </w:r>
      <w:r>
        <w:rPr>
          <w:spacing w:val="-8"/>
        </w:rPr>
        <w:t> </w:t>
      </w:r>
      <w:r>
        <w:rPr/>
        <w:t>with</w:t>
      </w:r>
      <w:r>
        <w:rPr>
          <w:spacing w:val="-8"/>
        </w:rPr>
        <w:t> </w:t>
      </w:r>
      <w:r>
        <w:rPr/>
        <w:t>nurturing</w:t>
      </w:r>
      <w:r>
        <w:rPr>
          <w:spacing w:val="-8"/>
        </w:rPr>
        <w:t> </w:t>
      </w:r>
      <w:r>
        <w:rPr/>
        <w:t>and</w:t>
      </w:r>
      <w:r>
        <w:rPr>
          <w:spacing w:val="-8"/>
        </w:rPr>
        <w:t> </w:t>
      </w:r>
      <w:r>
        <w:rPr/>
        <w:t>sustaining</w:t>
      </w:r>
      <w:r>
        <w:rPr>
          <w:spacing w:val="-8"/>
        </w:rPr>
        <w:t> </w:t>
      </w:r>
      <w:r>
        <w:rPr/>
        <w:t>a</w:t>
      </w:r>
      <w:r>
        <w:rPr>
          <w:spacing w:val="-8"/>
        </w:rPr>
        <w:t> </w:t>
      </w:r>
      <w:r>
        <w:rPr/>
        <w:t>research environment. Some key enablers for this are:</w:t>
      </w:r>
    </w:p>
    <w:p>
      <w:pPr>
        <w:pStyle w:val="ListParagraph"/>
        <w:numPr>
          <w:ilvl w:val="3"/>
          <w:numId w:val="30"/>
        </w:numPr>
        <w:tabs>
          <w:tab w:pos="1779" w:val="left" w:leader="none"/>
        </w:tabs>
        <w:spacing w:line="266" w:lineRule="auto" w:before="0" w:after="0"/>
        <w:ind w:left="1779" w:right="0" w:hanging="320"/>
        <w:jc w:val="both"/>
        <w:rPr>
          <w:sz w:val="22"/>
        </w:rPr>
      </w:pPr>
      <w:r>
        <w:rPr>
          <w:spacing w:val="-4"/>
          <w:sz w:val="22"/>
        </w:rPr>
        <w:t>Mechanisms</w:t>
      </w:r>
      <w:r>
        <w:rPr>
          <w:spacing w:val="-7"/>
          <w:sz w:val="22"/>
        </w:rPr>
        <w:t> </w:t>
      </w:r>
      <w:r>
        <w:rPr>
          <w:spacing w:val="-4"/>
          <w:sz w:val="22"/>
        </w:rPr>
        <w:t>for</w:t>
      </w:r>
      <w:r>
        <w:rPr>
          <w:spacing w:val="-7"/>
          <w:sz w:val="22"/>
        </w:rPr>
        <w:t> </w:t>
      </w:r>
      <w:r>
        <w:rPr>
          <w:spacing w:val="-4"/>
          <w:sz w:val="22"/>
        </w:rPr>
        <w:t>greater</w:t>
      </w:r>
      <w:r>
        <w:rPr>
          <w:spacing w:val="-7"/>
          <w:sz w:val="22"/>
        </w:rPr>
        <w:t> </w:t>
      </w:r>
      <w:r>
        <w:rPr>
          <w:spacing w:val="-4"/>
          <w:sz w:val="22"/>
        </w:rPr>
        <w:t>academic</w:t>
      </w:r>
      <w:r>
        <w:rPr>
          <w:spacing w:val="-7"/>
          <w:sz w:val="22"/>
        </w:rPr>
        <w:t> </w:t>
      </w:r>
      <w:r>
        <w:rPr>
          <w:spacing w:val="-4"/>
          <w:sz w:val="22"/>
        </w:rPr>
        <w:t>co-operation </w:t>
      </w:r>
      <w:r>
        <w:rPr>
          <w:spacing w:val="-2"/>
          <w:sz w:val="22"/>
        </w:rPr>
        <w:t>between</w:t>
      </w:r>
      <w:r>
        <w:rPr>
          <w:spacing w:val="-4"/>
          <w:sz w:val="22"/>
        </w:rPr>
        <w:t> </w:t>
      </w:r>
      <w:r>
        <w:rPr>
          <w:spacing w:val="-2"/>
          <w:sz w:val="22"/>
        </w:rPr>
        <w:t>universities</w:t>
      </w:r>
      <w:r>
        <w:rPr>
          <w:spacing w:val="-4"/>
          <w:sz w:val="22"/>
        </w:rPr>
        <w:t> </w:t>
      </w:r>
      <w:r>
        <w:rPr>
          <w:spacing w:val="-2"/>
          <w:sz w:val="22"/>
        </w:rPr>
        <w:t>and</w:t>
      </w:r>
      <w:r>
        <w:rPr>
          <w:spacing w:val="-4"/>
          <w:sz w:val="22"/>
        </w:rPr>
        <w:t> </w:t>
      </w:r>
      <w:r>
        <w:rPr>
          <w:spacing w:val="-2"/>
          <w:sz w:val="22"/>
        </w:rPr>
        <w:t>research</w:t>
      </w:r>
      <w:r>
        <w:rPr>
          <w:spacing w:val="-4"/>
          <w:sz w:val="22"/>
        </w:rPr>
        <w:t> </w:t>
      </w:r>
      <w:r>
        <w:rPr>
          <w:spacing w:val="-2"/>
          <w:sz w:val="22"/>
        </w:rPr>
        <w:t>institutions; </w:t>
      </w:r>
      <w:r>
        <w:rPr>
          <w:sz w:val="22"/>
        </w:rPr>
        <w:t>in particular embedding research institutes </w:t>
      </w:r>
      <w:r>
        <w:rPr>
          <w:spacing w:val="-6"/>
          <w:sz w:val="22"/>
        </w:rPr>
        <w:t>(granting</w:t>
      </w:r>
      <w:r>
        <w:rPr>
          <w:spacing w:val="-10"/>
          <w:sz w:val="22"/>
        </w:rPr>
        <w:t> </w:t>
      </w:r>
      <w:r>
        <w:rPr>
          <w:spacing w:val="-6"/>
          <w:sz w:val="22"/>
        </w:rPr>
        <w:t>sufficient</w:t>
      </w:r>
      <w:r>
        <w:rPr>
          <w:spacing w:val="-8"/>
          <w:sz w:val="22"/>
        </w:rPr>
        <w:t> </w:t>
      </w:r>
      <w:r>
        <w:rPr>
          <w:spacing w:val="-6"/>
          <w:sz w:val="22"/>
        </w:rPr>
        <w:t>autonomy)</w:t>
      </w:r>
      <w:r>
        <w:rPr>
          <w:spacing w:val="-8"/>
          <w:sz w:val="22"/>
        </w:rPr>
        <w:t> </w:t>
      </w:r>
      <w:r>
        <w:rPr>
          <w:spacing w:val="-6"/>
          <w:sz w:val="22"/>
        </w:rPr>
        <w:t>within</w:t>
      </w:r>
      <w:r>
        <w:rPr>
          <w:spacing w:val="-7"/>
          <w:sz w:val="22"/>
        </w:rPr>
        <w:t> </w:t>
      </w:r>
      <w:r>
        <w:rPr>
          <w:spacing w:val="-6"/>
          <w:sz w:val="22"/>
        </w:rPr>
        <w:t>university </w:t>
      </w:r>
      <w:r>
        <w:rPr>
          <w:spacing w:val="-2"/>
          <w:sz w:val="22"/>
        </w:rPr>
        <w:t>campuses</w:t>
      </w:r>
    </w:p>
    <w:p>
      <w:pPr>
        <w:pStyle w:val="ListParagraph"/>
        <w:numPr>
          <w:ilvl w:val="3"/>
          <w:numId w:val="30"/>
        </w:numPr>
        <w:tabs>
          <w:tab w:pos="1779" w:val="left" w:leader="none"/>
        </w:tabs>
        <w:spacing w:line="266" w:lineRule="auto" w:before="0" w:after="0"/>
        <w:ind w:left="1779" w:right="0" w:hanging="320"/>
        <w:jc w:val="both"/>
        <w:rPr>
          <w:sz w:val="22"/>
        </w:rPr>
      </w:pPr>
      <w:r>
        <w:rPr>
          <w:spacing w:val="-6"/>
          <w:sz w:val="22"/>
        </w:rPr>
        <w:t>Providing</w:t>
      </w:r>
      <w:r>
        <w:rPr>
          <w:spacing w:val="-8"/>
          <w:sz w:val="22"/>
        </w:rPr>
        <w:t> </w:t>
      </w:r>
      <w:r>
        <w:rPr>
          <w:spacing w:val="-6"/>
          <w:sz w:val="22"/>
        </w:rPr>
        <w:t>access</w:t>
      </w:r>
      <w:r>
        <w:rPr>
          <w:spacing w:val="-8"/>
          <w:sz w:val="22"/>
        </w:rPr>
        <w:t> </w:t>
      </w:r>
      <w:r>
        <w:rPr>
          <w:spacing w:val="-6"/>
          <w:sz w:val="22"/>
        </w:rPr>
        <w:t>to</w:t>
      </w:r>
      <w:r>
        <w:rPr>
          <w:spacing w:val="-8"/>
          <w:sz w:val="22"/>
        </w:rPr>
        <w:t> </w:t>
      </w:r>
      <w:r>
        <w:rPr>
          <w:spacing w:val="-6"/>
          <w:sz w:val="22"/>
        </w:rPr>
        <w:t>digital</w:t>
      </w:r>
      <w:r>
        <w:rPr>
          <w:spacing w:val="-7"/>
          <w:sz w:val="22"/>
        </w:rPr>
        <w:t> </w:t>
      </w:r>
      <w:r>
        <w:rPr>
          <w:spacing w:val="-6"/>
          <w:sz w:val="22"/>
        </w:rPr>
        <w:t>media</w:t>
      </w:r>
      <w:r>
        <w:rPr>
          <w:spacing w:val="-8"/>
          <w:sz w:val="22"/>
        </w:rPr>
        <w:t> </w:t>
      </w:r>
      <w:r>
        <w:rPr>
          <w:spacing w:val="-6"/>
          <w:sz w:val="22"/>
        </w:rPr>
        <w:t>in</w:t>
      </w:r>
      <w:r>
        <w:rPr>
          <w:spacing w:val="-8"/>
          <w:sz w:val="22"/>
        </w:rPr>
        <w:t> </w:t>
      </w:r>
      <w:r>
        <w:rPr>
          <w:spacing w:val="-6"/>
          <w:sz w:val="22"/>
        </w:rPr>
        <w:t>universities, </w:t>
      </w:r>
      <w:r>
        <w:rPr>
          <w:sz w:val="22"/>
        </w:rPr>
        <w:t>in parallel with funds for better libraries and </w:t>
      </w:r>
      <w:r>
        <w:rPr>
          <w:spacing w:val="-2"/>
          <w:sz w:val="22"/>
        </w:rPr>
        <w:t>laboratories</w:t>
      </w:r>
    </w:p>
    <w:p>
      <w:pPr>
        <w:pStyle w:val="ListParagraph"/>
        <w:numPr>
          <w:ilvl w:val="3"/>
          <w:numId w:val="30"/>
        </w:numPr>
        <w:tabs>
          <w:tab w:pos="1779" w:val="left" w:leader="none"/>
        </w:tabs>
        <w:spacing w:line="266" w:lineRule="auto" w:before="0" w:after="0"/>
        <w:ind w:left="1779" w:right="0" w:hanging="320"/>
        <w:jc w:val="both"/>
        <w:rPr>
          <w:sz w:val="22"/>
        </w:rPr>
      </w:pPr>
      <w:r>
        <w:rPr>
          <w:sz w:val="22"/>
        </w:rPr>
        <w:t>Focused engagement towards making </w:t>
      </w:r>
      <w:r>
        <w:rPr>
          <w:spacing w:val="-2"/>
          <w:sz w:val="22"/>
        </w:rPr>
        <w:t>universities</w:t>
      </w:r>
      <w:r>
        <w:rPr>
          <w:spacing w:val="-12"/>
          <w:sz w:val="22"/>
        </w:rPr>
        <w:t> </w:t>
      </w:r>
      <w:r>
        <w:rPr>
          <w:spacing w:val="-2"/>
          <w:sz w:val="22"/>
        </w:rPr>
        <w:t>a</w:t>
      </w:r>
      <w:r>
        <w:rPr>
          <w:spacing w:val="-12"/>
          <w:sz w:val="22"/>
        </w:rPr>
        <w:t> </w:t>
      </w:r>
      <w:r>
        <w:rPr>
          <w:spacing w:val="-2"/>
          <w:sz w:val="22"/>
        </w:rPr>
        <w:t>natural</w:t>
      </w:r>
      <w:r>
        <w:rPr>
          <w:spacing w:val="-12"/>
          <w:sz w:val="22"/>
        </w:rPr>
        <w:t> </w:t>
      </w:r>
      <w:r>
        <w:rPr>
          <w:spacing w:val="-2"/>
          <w:sz w:val="22"/>
        </w:rPr>
        <w:t>home</w:t>
      </w:r>
      <w:r>
        <w:rPr>
          <w:spacing w:val="-11"/>
          <w:sz w:val="22"/>
        </w:rPr>
        <w:t> </w:t>
      </w:r>
      <w:r>
        <w:rPr>
          <w:spacing w:val="-2"/>
          <w:sz w:val="22"/>
        </w:rPr>
        <w:t>for</w:t>
      </w:r>
      <w:r>
        <w:rPr>
          <w:spacing w:val="-12"/>
          <w:sz w:val="22"/>
        </w:rPr>
        <w:t> </w:t>
      </w:r>
      <w:r>
        <w:rPr>
          <w:spacing w:val="-2"/>
          <w:sz w:val="22"/>
        </w:rPr>
        <w:t>research</w:t>
      </w:r>
      <w:r>
        <w:rPr>
          <w:spacing w:val="-12"/>
          <w:sz w:val="22"/>
        </w:rPr>
        <w:t> </w:t>
      </w:r>
      <w:r>
        <w:rPr>
          <w:spacing w:val="-2"/>
          <w:sz w:val="22"/>
        </w:rPr>
        <w:t>as</w:t>
      </w:r>
      <w:r>
        <w:rPr>
          <w:spacing w:val="-12"/>
          <w:sz w:val="22"/>
        </w:rPr>
        <w:t> </w:t>
      </w:r>
      <w:r>
        <w:rPr>
          <w:spacing w:val="-2"/>
          <w:sz w:val="22"/>
        </w:rPr>
        <w:t>well </w:t>
      </w:r>
      <w:r>
        <w:rPr>
          <w:sz w:val="22"/>
        </w:rPr>
        <w:t>as teaching</w:t>
      </w:r>
    </w:p>
    <w:p>
      <w:pPr>
        <w:pStyle w:val="Heading6"/>
        <w:numPr>
          <w:ilvl w:val="2"/>
          <w:numId w:val="30"/>
        </w:numPr>
        <w:tabs>
          <w:tab w:pos="1404" w:val="left" w:leader="none"/>
          <w:tab w:pos="1406" w:val="left" w:leader="none"/>
        </w:tabs>
        <w:spacing w:line="182" w:lineRule="auto" w:before="247" w:after="0"/>
        <w:ind w:left="1406" w:right="678" w:hanging="327"/>
        <w:jc w:val="left"/>
      </w:pPr>
      <w:r>
        <w:rPr>
          <w:color w:val="2E614A"/>
        </w:rPr>
        <w:t>Set</w:t>
      </w:r>
      <w:r>
        <w:rPr>
          <w:color w:val="2E614A"/>
          <w:spacing w:val="-15"/>
        </w:rPr>
        <w:t> </w:t>
      </w:r>
      <w:r>
        <w:rPr>
          <w:color w:val="2E614A"/>
        </w:rPr>
        <w:t>up</w:t>
      </w:r>
      <w:r>
        <w:rPr>
          <w:color w:val="2E614A"/>
          <w:spacing w:val="-15"/>
        </w:rPr>
        <w:t> </w:t>
      </w:r>
      <w:r>
        <w:rPr>
          <w:color w:val="2E614A"/>
        </w:rPr>
        <w:t>more</w:t>
      </w:r>
      <w:r>
        <w:rPr>
          <w:color w:val="2E614A"/>
          <w:spacing w:val="-15"/>
        </w:rPr>
        <w:t> </w:t>
      </w:r>
      <w:r>
        <w:rPr>
          <w:color w:val="2E614A"/>
        </w:rPr>
        <w:t>quality </w:t>
      </w:r>
      <w:r>
        <w:rPr>
          <w:color w:val="2E614A"/>
          <w:spacing w:val="-6"/>
        </w:rPr>
        <w:t>undergraduate</w:t>
      </w:r>
      <w:r>
        <w:rPr>
          <w:color w:val="2E614A"/>
          <w:spacing w:val="-9"/>
        </w:rPr>
        <w:t> </w:t>
      </w:r>
      <w:r>
        <w:rPr>
          <w:color w:val="2E614A"/>
          <w:spacing w:val="-6"/>
        </w:rPr>
        <w:t>teaching </w:t>
      </w:r>
      <w:r>
        <w:rPr>
          <w:color w:val="2E614A"/>
          <w:w w:val="90"/>
        </w:rPr>
        <w:t>institutions across </w:t>
      </w:r>
      <w:r>
        <w:rPr>
          <w:color w:val="2E614A"/>
          <w:w w:val="90"/>
        </w:rPr>
        <w:t>disciplines</w:t>
      </w:r>
    </w:p>
    <w:p>
      <w:pPr>
        <w:pStyle w:val="BodyText"/>
        <w:spacing w:line="266" w:lineRule="auto" w:before="303"/>
        <w:ind w:left="1079"/>
        <w:jc w:val="both"/>
      </w:pPr>
      <w:r>
        <w:rPr/>
        <w:t>Dedicated researchers involved in direct training </w:t>
      </w:r>
      <w:r>
        <w:rPr/>
        <w:t>of the</w:t>
      </w:r>
      <w:r>
        <w:rPr>
          <w:spacing w:val="-16"/>
        </w:rPr>
        <w:t> </w:t>
      </w:r>
      <w:r>
        <w:rPr/>
        <w:t>students</w:t>
      </w:r>
      <w:r>
        <w:rPr>
          <w:spacing w:val="-14"/>
        </w:rPr>
        <w:t> </w:t>
      </w:r>
      <w:r>
        <w:rPr/>
        <w:t>at</w:t>
      </w:r>
      <w:r>
        <w:rPr>
          <w:spacing w:val="-14"/>
        </w:rPr>
        <w:t> </w:t>
      </w:r>
      <w:r>
        <w:rPr/>
        <w:t>the</w:t>
      </w:r>
      <w:r>
        <w:rPr>
          <w:spacing w:val="-13"/>
        </w:rPr>
        <w:t> </w:t>
      </w:r>
      <w:r>
        <w:rPr/>
        <w:t>undergraduate</w:t>
      </w:r>
      <w:r>
        <w:rPr>
          <w:spacing w:val="-14"/>
        </w:rPr>
        <w:t> </w:t>
      </w:r>
      <w:r>
        <w:rPr/>
        <w:t>level</w:t>
      </w:r>
      <w:r>
        <w:rPr>
          <w:spacing w:val="-14"/>
        </w:rPr>
        <w:t> </w:t>
      </w:r>
      <w:r>
        <w:rPr/>
        <w:t>create</w:t>
      </w:r>
      <w:r>
        <w:rPr>
          <w:spacing w:val="-14"/>
        </w:rPr>
        <w:t> </w:t>
      </w:r>
      <w:r>
        <w:rPr/>
        <w:t>a</w:t>
      </w:r>
      <w:r>
        <w:rPr>
          <w:spacing w:val="-13"/>
        </w:rPr>
        <w:t> </w:t>
      </w:r>
      <w:r>
        <w:rPr/>
        <w:t>greater impact. Most of the universities or elite institutions</w:t>
      </w:r>
      <w:r>
        <w:rPr>
          <w:spacing w:val="40"/>
        </w:rPr>
        <w:t> </w:t>
      </w:r>
      <w:r>
        <w:rPr/>
        <w:t>in</w:t>
      </w:r>
      <w:r>
        <w:rPr>
          <w:spacing w:val="23"/>
        </w:rPr>
        <w:t> </w:t>
      </w:r>
      <w:r>
        <w:rPr/>
        <w:t>the</w:t>
      </w:r>
      <w:r>
        <w:rPr>
          <w:spacing w:val="23"/>
        </w:rPr>
        <w:t> </w:t>
      </w:r>
      <w:r>
        <w:rPr/>
        <w:t>country</w:t>
      </w:r>
      <w:r>
        <w:rPr>
          <w:spacing w:val="24"/>
        </w:rPr>
        <w:t> </w:t>
      </w:r>
      <w:r>
        <w:rPr/>
        <w:t>are</w:t>
      </w:r>
      <w:r>
        <w:rPr>
          <w:spacing w:val="23"/>
        </w:rPr>
        <w:t> </w:t>
      </w:r>
      <w:r>
        <w:rPr/>
        <w:t>currently</w:t>
      </w:r>
      <w:r>
        <w:rPr>
          <w:spacing w:val="23"/>
        </w:rPr>
        <w:t> </w:t>
      </w:r>
      <w:r>
        <w:rPr/>
        <w:t>involved</w:t>
      </w:r>
      <w:r>
        <w:rPr>
          <w:spacing w:val="24"/>
        </w:rPr>
        <w:t> </w:t>
      </w:r>
      <w:r>
        <w:rPr/>
        <w:t>in</w:t>
      </w:r>
      <w:r>
        <w:rPr>
          <w:spacing w:val="23"/>
        </w:rPr>
        <w:t> </w:t>
      </w:r>
      <w:r>
        <w:rPr/>
        <w:t>training</w:t>
      </w:r>
      <w:r>
        <w:rPr>
          <w:spacing w:val="23"/>
        </w:rPr>
        <w:t> </w:t>
      </w:r>
      <w:r>
        <w:rPr>
          <w:spacing w:val="-5"/>
        </w:rPr>
        <w:t>for</w:t>
      </w:r>
    </w:p>
    <w:p>
      <w:pPr>
        <w:pStyle w:val="BodyText"/>
        <w:spacing w:line="266" w:lineRule="auto" w:before="97"/>
        <w:ind w:left="319" w:right="1077"/>
        <w:jc w:val="both"/>
      </w:pPr>
      <w:r>
        <w:rPr/>
        <w:br w:type="column"/>
      </w:r>
      <w:r>
        <w:rPr/>
        <w:t>the Masters or Ph.D degrees. However, it is </w:t>
      </w:r>
      <w:r>
        <w:rPr/>
        <w:t>now widely</w:t>
      </w:r>
      <w:r>
        <w:rPr>
          <w:spacing w:val="-14"/>
        </w:rPr>
        <w:t> </w:t>
      </w:r>
      <w:r>
        <w:rPr/>
        <w:t>recognised</w:t>
      </w:r>
      <w:r>
        <w:rPr>
          <w:spacing w:val="-14"/>
        </w:rPr>
        <w:t> </w:t>
      </w:r>
      <w:r>
        <w:rPr/>
        <w:t>that</w:t>
      </w:r>
      <w:r>
        <w:rPr>
          <w:spacing w:val="-14"/>
        </w:rPr>
        <w:t> </w:t>
      </w:r>
      <w:r>
        <w:rPr/>
        <w:t>the</w:t>
      </w:r>
      <w:r>
        <w:rPr>
          <w:spacing w:val="-13"/>
        </w:rPr>
        <w:t> </w:t>
      </w:r>
      <w:r>
        <w:rPr/>
        <w:t>students</w:t>
      </w:r>
      <w:r>
        <w:rPr>
          <w:spacing w:val="-14"/>
        </w:rPr>
        <w:t> </w:t>
      </w:r>
      <w:r>
        <w:rPr/>
        <w:t>emerging</w:t>
      </w:r>
      <w:r>
        <w:rPr>
          <w:spacing w:val="-14"/>
        </w:rPr>
        <w:t> </w:t>
      </w:r>
      <w:r>
        <w:rPr/>
        <w:t>from</w:t>
      </w:r>
      <w:r>
        <w:rPr>
          <w:spacing w:val="-14"/>
        </w:rPr>
        <w:t> </w:t>
      </w:r>
      <w:r>
        <w:rPr/>
        <w:t>the </w:t>
      </w:r>
      <w:r>
        <w:rPr>
          <w:spacing w:val="-2"/>
        </w:rPr>
        <w:t>undergraduate</w:t>
      </w:r>
      <w:r>
        <w:rPr>
          <w:spacing w:val="-8"/>
        </w:rPr>
        <w:t> </w:t>
      </w:r>
      <w:r>
        <w:rPr>
          <w:spacing w:val="-2"/>
        </w:rPr>
        <w:t>programs</w:t>
      </w:r>
      <w:r>
        <w:rPr>
          <w:spacing w:val="-8"/>
        </w:rPr>
        <w:t> </w:t>
      </w:r>
      <w:r>
        <w:rPr>
          <w:spacing w:val="-2"/>
        </w:rPr>
        <w:t>are</w:t>
      </w:r>
      <w:r>
        <w:rPr>
          <w:spacing w:val="-8"/>
        </w:rPr>
        <w:t> </w:t>
      </w:r>
      <w:r>
        <w:rPr>
          <w:spacing w:val="-2"/>
        </w:rPr>
        <w:t>ill-prepared</w:t>
      </w:r>
      <w:r>
        <w:rPr>
          <w:spacing w:val="-8"/>
        </w:rPr>
        <w:t> </w:t>
      </w:r>
      <w:r>
        <w:rPr>
          <w:spacing w:val="-2"/>
        </w:rPr>
        <w:t>for</w:t>
      </w:r>
      <w:r>
        <w:rPr>
          <w:spacing w:val="-8"/>
        </w:rPr>
        <w:t> </w:t>
      </w:r>
      <w:r>
        <w:rPr>
          <w:spacing w:val="-2"/>
        </w:rPr>
        <w:t>a</w:t>
      </w:r>
      <w:r>
        <w:rPr>
          <w:spacing w:val="-8"/>
        </w:rPr>
        <w:t> </w:t>
      </w:r>
      <w:r>
        <w:rPr>
          <w:spacing w:val="-2"/>
        </w:rPr>
        <w:t>research </w:t>
      </w:r>
      <w:r>
        <w:rPr>
          <w:spacing w:val="-4"/>
        </w:rPr>
        <w:t>career.</w:t>
      </w:r>
      <w:r>
        <w:rPr>
          <w:spacing w:val="-15"/>
        </w:rPr>
        <w:t> </w:t>
      </w:r>
      <w:r>
        <w:rPr>
          <w:spacing w:val="-4"/>
        </w:rPr>
        <w:t>The</w:t>
      </w:r>
      <w:r>
        <w:rPr>
          <w:spacing w:val="-10"/>
        </w:rPr>
        <w:t> </w:t>
      </w:r>
      <w:r>
        <w:rPr>
          <w:spacing w:val="-4"/>
        </w:rPr>
        <w:t>following</w:t>
      </w:r>
      <w:r>
        <w:rPr>
          <w:spacing w:val="-10"/>
        </w:rPr>
        <w:t> </w:t>
      </w:r>
      <w:r>
        <w:rPr>
          <w:spacing w:val="-4"/>
        </w:rPr>
        <w:t>steps</w:t>
      </w:r>
      <w:r>
        <w:rPr>
          <w:spacing w:val="-10"/>
        </w:rPr>
        <w:t> </w:t>
      </w:r>
      <w:r>
        <w:rPr>
          <w:spacing w:val="-4"/>
        </w:rPr>
        <w:t>are</w:t>
      </w:r>
      <w:r>
        <w:rPr>
          <w:spacing w:val="-9"/>
        </w:rPr>
        <w:t> </w:t>
      </w:r>
      <w:r>
        <w:rPr>
          <w:spacing w:val="-4"/>
        </w:rPr>
        <w:t>proposed</w:t>
      </w:r>
      <w:r>
        <w:rPr>
          <w:spacing w:val="-10"/>
        </w:rPr>
        <w:t> </w:t>
      </w:r>
      <w:r>
        <w:rPr>
          <w:spacing w:val="-4"/>
        </w:rPr>
        <w:t>to</w:t>
      </w:r>
      <w:r>
        <w:rPr>
          <w:spacing w:val="-10"/>
        </w:rPr>
        <w:t> </w:t>
      </w:r>
      <w:r>
        <w:rPr>
          <w:spacing w:val="-4"/>
        </w:rPr>
        <w:t>address</w:t>
      </w:r>
      <w:r>
        <w:rPr>
          <w:spacing w:val="-10"/>
        </w:rPr>
        <w:t> </w:t>
      </w:r>
      <w:r>
        <w:rPr>
          <w:spacing w:val="-4"/>
        </w:rPr>
        <w:t>this:</w:t>
      </w:r>
    </w:p>
    <w:p>
      <w:pPr>
        <w:pStyle w:val="ListParagraph"/>
        <w:numPr>
          <w:ilvl w:val="0"/>
          <w:numId w:val="44"/>
        </w:numPr>
        <w:tabs>
          <w:tab w:pos="679" w:val="left" w:leader="none"/>
        </w:tabs>
        <w:spacing w:line="266" w:lineRule="auto" w:before="0" w:after="0"/>
        <w:ind w:left="679" w:right="1078" w:hanging="360"/>
        <w:jc w:val="both"/>
        <w:rPr>
          <w:sz w:val="22"/>
        </w:rPr>
      </w:pPr>
      <w:r>
        <w:rPr>
          <w:sz w:val="22"/>
        </w:rPr>
        <w:t>Introduction</w:t>
      </w:r>
      <w:r>
        <w:rPr>
          <w:spacing w:val="-9"/>
          <w:sz w:val="22"/>
        </w:rPr>
        <w:t> </w:t>
      </w:r>
      <w:r>
        <w:rPr>
          <w:sz w:val="22"/>
        </w:rPr>
        <w:t>of</w:t>
      </w:r>
      <w:r>
        <w:rPr>
          <w:spacing w:val="-9"/>
          <w:sz w:val="22"/>
        </w:rPr>
        <w:t> </w:t>
      </w:r>
      <w:r>
        <w:rPr>
          <w:sz w:val="22"/>
        </w:rPr>
        <w:t>well-planned</w:t>
      </w:r>
      <w:r>
        <w:rPr>
          <w:spacing w:val="-9"/>
          <w:sz w:val="22"/>
        </w:rPr>
        <w:t> </w:t>
      </w:r>
      <w:r>
        <w:rPr>
          <w:sz w:val="22"/>
        </w:rPr>
        <w:t>four-year</w:t>
      </w:r>
      <w:r>
        <w:rPr>
          <w:spacing w:val="-9"/>
          <w:sz w:val="22"/>
        </w:rPr>
        <w:t> </w:t>
      </w:r>
      <w:r>
        <w:rPr>
          <w:sz w:val="22"/>
        </w:rPr>
        <w:t>courses</w:t>
      </w:r>
      <w:r>
        <w:rPr>
          <w:spacing w:val="-9"/>
          <w:sz w:val="22"/>
        </w:rPr>
        <w:t> </w:t>
      </w:r>
      <w:r>
        <w:rPr>
          <w:sz w:val="22"/>
        </w:rPr>
        <w:t>to enable direct entry into Ph.D programs</w:t>
      </w:r>
    </w:p>
    <w:p>
      <w:pPr>
        <w:pStyle w:val="ListParagraph"/>
        <w:numPr>
          <w:ilvl w:val="0"/>
          <w:numId w:val="44"/>
        </w:numPr>
        <w:tabs>
          <w:tab w:pos="679" w:val="left" w:leader="none"/>
        </w:tabs>
        <w:spacing w:line="266" w:lineRule="auto" w:before="0" w:after="0"/>
        <w:ind w:left="679" w:right="1077" w:hanging="360"/>
        <w:jc w:val="both"/>
        <w:rPr>
          <w:sz w:val="22"/>
        </w:rPr>
      </w:pPr>
      <w:r>
        <w:rPr>
          <w:sz w:val="22"/>
        </w:rPr>
        <w:t>Encouragement of various measures to </w:t>
      </w:r>
      <w:r>
        <w:rPr>
          <w:sz w:val="22"/>
        </w:rPr>
        <w:t>ensure multiple sources of input of talented people into the academic profession</w:t>
      </w:r>
    </w:p>
    <w:p>
      <w:pPr>
        <w:pStyle w:val="ListParagraph"/>
        <w:numPr>
          <w:ilvl w:val="0"/>
          <w:numId w:val="44"/>
        </w:numPr>
        <w:tabs>
          <w:tab w:pos="678" w:val="left" w:leader="none"/>
        </w:tabs>
        <w:spacing w:line="251" w:lineRule="exact" w:before="0" w:after="0"/>
        <w:ind w:left="678" w:right="0" w:hanging="359"/>
        <w:jc w:val="both"/>
        <w:rPr>
          <w:sz w:val="22"/>
        </w:rPr>
      </w:pPr>
      <w:r>
        <w:rPr>
          <w:spacing w:val="-10"/>
          <w:sz w:val="22"/>
        </w:rPr>
        <w:t>Credit</w:t>
      </w:r>
      <w:r>
        <w:rPr>
          <w:spacing w:val="1"/>
          <w:sz w:val="22"/>
        </w:rPr>
        <w:t> </w:t>
      </w:r>
      <w:r>
        <w:rPr>
          <w:spacing w:val="-10"/>
          <w:sz w:val="22"/>
        </w:rPr>
        <w:t>portability</w:t>
      </w:r>
      <w:r>
        <w:rPr>
          <w:spacing w:val="1"/>
          <w:sz w:val="22"/>
        </w:rPr>
        <w:t> </w:t>
      </w:r>
      <w:r>
        <w:rPr>
          <w:spacing w:val="-10"/>
          <w:sz w:val="22"/>
        </w:rPr>
        <w:t>across</w:t>
      </w:r>
      <w:r>
        <w:rPr>
          <w:spacing w:val="1"/>
          <w:sz w:val="22"/>
        </w:rPr>
        <w:t> </w:t>
      </w:r>
      <w:r>
        <w:rPr>
          <w:spacing w:val="-10"/>
          <w:sz w:val="22"/>
        </w:rPr>
        <w:t>a</w:t>
      </w:r>
      <w:r>
        <w:rPr>
          <w:spacing w:val="1"/>
          <w:sz w:val="22"/>
        </w:rPr>
        <w:t> </w:t>
      </w:r>
      <w:r>
        <w:rPr>
          <w:spacing w:val="-10"/>
          <w:sz w:val="22"/>
        </w:rPr>
        <w:t>network</w:t>
      </w:r>
      <w:r>
        <w:rPr>
          <w:spacing w:val="1"/>
          <w:sz w:val="22"/>
        </w:rPr>
        <w:t> </w:t>
      </w:r>
      <w:r>
        <w:rPr>
          <w:spacing w:val="-10"/>
          <w:sz w:val="22"/>
        </w:rPr>
        <w:t>of</w:t>
      </w:r>
      <w:r>
        <w:rPr>
          <w:spacing w:val="1"/>
          <w:sz w:val="22"/>
        </w:rPr>
        <w:t> </w:t>
      </w:r>
      <w:r>
        <w:rPr>
          <w:spacing w:val="-10"/>
          <w:sz w:val="22"/>
        </w:rPr>
        <w:t>institutions</w:t>
      </w:r>
    </w:p>
    <w:p>
      <w:pPr>
        <w:pStyle w:val="BodyText"/>
        <w:spacing w:before="28"/>
      </w:pPr>
    </w:p>
    <w:p>
      <w:pPr>
        <w:pStyle w:val="Heading6"/>
        <w:numPr>
          <w:ilvl w:val="2"/>
          <w:numId w:val="30"/>
        </w:numPr>
        <w:tabs>
          <w:tab w:pos="643" w:val="left" w:leader="none"/>
          <w:tab w:pos="645" w:val="left" w:leader="none"/>
        </w:tabs>
        <w:spacing w:line="182" w:lineRule="auto" w:before="0" w:after="0"/>
        <w:ind w:left="645" w:right="1252" w:hanging="327"/>
        <w:jc w:val="left"/>
      </w:pPr>
      <w:r>
        <w:rPr>
          <w:color w:val="2E614A"/>
          <w:w w:val="90"/>
        </w:rPr>
        <w:t>Increase funding for education </w:t>
      </w:r>
      <w:r>
        <w:rPr>
          <w:color w:val="2E614A"/>
          <w:w w:val="90"/>
        </w:rPr>
        <w:t>at </w:t>
      </w:r>
      <w:r>
        <w:rPr>
          <w:color w:val="2E614A"/>
        </w:rPr>
        <w:t>all</w:t>
      </w:r>
      <w:r>
        <w:rPr>
          <w:color w:val="2E614A"/>
          <w:spacing w:val="-10"/>
        </w:rPr>
        <w:t> </w:t>
      </w:r>
      <w:r>
        <w:rPr>
          <w:color w:val="2E614A"/>
        </w:rPr>
        <w:t>levels</w:t>
      </w:r>
      <w:r>
        <w:rPr>
          <w:color w:val="2E614A"/>
          <w:spacing w:val="-10"/>
        </w:rPr>
        <w:t> </w:t>
      </w:r>
      <w:r>
        <w:rPr>
          <w:color w:val="2E614A"/>
        </w:rPr>
        <w:t>and</w:t>
      </w:r>
      <w:r>
        <w:rPr>
          <w:color w:val="2E614A"/>
          <w:spacing w:val="-10"/>
        </w:rPr>
        <w:t> </w:t>
      </w:r>
      <w:r>
        <w:rPr>
          <w:color w:val="2E614A"/>
        </w:rPr>
        <w:t>for</w:t>
      </w:r>
      <w:r>
        <w:rPr>
          <w:color w:val="2E614A"/>
          <w:spacing w:val="-10"/>
        </w:rPr>
        <w:t> </w:t>
      </w:r>
      <w:r>
        <w:rPr>
          <w:color w:val="2E614A"/>
        </w:rPr>
        <w:t>R&amp;D</w:t>
      </w:r>
    </w:p>
    <w:p>
      <w:pPr>
        <w:pStyle w:val="BodyText"/>
        <w:spacing w:line="266" w:lineRule="auto" w:before="302"/>
        <w:ind w:left="319" w:right="1077"/>
        <w:jc w:val="both"/>
      </w:pPr>
      <w:r>
        <w:rPr/>
        <w:t>Even in the developed countries, it is fully </w:t>
      </w:r>
      <w:r>
        <w:rPr/>
        <w:t>accepted that</w:t>
      </w:r>
      <w:r>
        <w:rPr>
          <w:spacing w:val="-2"/>
        </w:rPr>
        <w:t> </w:t>
      </w:r>
      <w:r>
        <w:rPr/>
        <w:t>long-term</w:t>
      </w:r>
      <w:r>
        <w:rPr>
          <w:spacing w:val="-2"/>
        </w:rPr>
        <w:t> </w:t>
      </w:r>
      <w:r>
        <w:rPr/>
        <w:t>investment</w:t>
      </w:r>
      <w:r>
        <w:rPr>
          <w:spacing w:val="-2"/>
        </w:rPr>
        <w:t> </w:t>
      </w:r>
      <w:r>
        <w:rPr/>
        <w:t>in</w:t>
      </w:r>
      <w:r>
        <w:rPr>
          <w:spacing w:val="-2"/>
        </w:rPr>
        <w:t> </w:t>
      </w:r>
      <w:r>
        <w:rPr/>
        <w:t>education</w:t>
      </w:r>
      <w:r>
        <w:rPr>
          <w:spacing w:val="-2"/>
        </w:rPr>
        <w:t> </w:t>
      </w:r>
      <w:r>
        <w:rPr/>
        <w:t>and</w:t>
      </w:r>
      <w:r>
        <w:rPr>
          <w:spacing w:val="-2"/>
        </w:rPr>
        <w:t> </w:t>
      </w:r>
      <w:r>
        <w:rPr/>
        <w:t>increased spending on R&amp;D is necessary to maintain the lead</w:t>
      </w:r>
      <w:r>
        <w:rPr>
          <w:spacing w:val="40"/>
        </w:rPr>
        <w:t> </w:t>
      </w:r>
      <w:r>
        <w:rPr/>
        <w:t>in</w:t>
      </w:r>
      <w:r>
        <w:rPr>
          <w:spacing w:val="-14"/>
        </w:rPr>
        <w:t> </w:t>
      </w:r>
      <w:r>
        <w:rPr/>
        <w:t>cutting-edge</w:t>
      </w:r>
      <w:r>
        <w:rPr>
          <w:spacing w:val="-14"/>
        </w:rPr>
        <w:t> </w:t>
      </w:r>
      <w:r>
        <w:rPr/>
        <w:t>research.</w:t>
      </w:r>
      <w:r>
        <w:rPr>
          <w:spacing w:val="-14"/>
        </w:rPr>
        <w:t> </w:t>
      </w:r>
      <w:r>
        <w:rPr/>
        <w:t>This</w:t>
      </w:r>
      <w:r>
        <w:rPr>
          <w:spacing w:val="-13"/>
        </w:rPr>
        <w:t> </w:t>
      </w:r>
      <w:r>
        <w:rPr/>
        <w:t>is</w:t>
      </w:r>
      <w:r>
        <w:rPr>
          <w:spacing w:val="-14"/>
        </w:rPr>
        <w:t> </w:t>
      </w:r>
      <w:r>
        <w:rPr/>
        <w:t>even</w:t>
      </w:r>
      <w:r>
        <w:rPr>
          <w:spacing w:val="-14"/>
        </w:rPr>
        <w:t> </w:t>
      </w:r>
      <w:r>
        <w:rPr/>
        <w:t>more</w:t>
      </w:r>
      <w:r>
        <w:rPr>
          <w:spacing w:val="-14"/>
        </w:rPr>
        <w:t> </w:t>
      </w:r>
      <w:r>
        <w:rPr/>
        <w:t>relevant</w:t>
      </w:r>
      <w:r>
        <w:rPr>
          <w:spacing w:val="-13"/>
        </w:rPr>
        <w:t> </w:t>
      </w:r>
      <w:r>
        <w:rPr/>
        <w:t>in India</w:t>
      </w:r>
      <w:r>
        <w:rPr>
          <w:spacing w:val="-9"/>
        </w:rPr>
        <w:t> </w:t>
      </w:r>
      <w:r>
        <w:rPr/>
        <w:t>today.</w:t>
      </w:r>
      <w:r>
        <w:rPr>
          <w:spacing w:val="-9"/>
        </w:rPr>
        <w:t> </w:t>
      </w:r>
      <w:r>
        <w:rPr/>
        <w:t>NKC</w:t>
      </w:r>
      <w:r>
        <w:rPr>
          <w:spacing w:val="-9"/>
        </w:rPr>
        <w:t> </w:t>
      </w:r>
      <w:r>
        <w:rPr/>
        <w:t>proposes</w:t>
      </w:r>
      <w:r>
        <w:rPr>
          <w:spacing w:val="-9"/>
        </w:rPr>
        <w:t> </w:t>
      </w:r>
      <w:r>
        <w:rPr/>
        <w:t>the</w:t>
      </w:r>
      <w:r>
        <w:rPr>
          <w:spacing w:val="-9"/>
        </w:rPr>
        <w:t> </w:t>
      </w:r>
      <w:r>
        <w:rPr/>
        <w:t>following</w:t>
      </w:r>
      <w:r>
        <w:rPr>
          <w:spacing w:val="-9"/>
        </w:rPr>
        <w:t> </w:t>
      </w:r>
      <w:r>
        <w:rPr/>
        <w:t>measures:-</w:t>
      </w:r>
    </w:p>
    <w:p>
      <w:pPr>
        <w:pStyle w:val="ListParagraph"/>
        <w:numPr>
          <w:ilvl w:val="3"/>
          <w:numId w:val="30"/>
        </w:numPr>
        <w:tabs>
          <w:tab w:pos="1019" w:val="left" w:leader="none"/>
        </w:tabs>
        <w:spacing w:line="266" w:lineRule="auto" w:before="0" w:after="0"/>
        <w:ind w:left="1019" w:right="1078" w:hanging="320"/>
        <w:jc w:val="both"/>
        <w:rPr>
          <w:sz w:val="22"/>
        </w:rPr>
      </w:pPr>
      <w:r>
        <w:rPr>
          <w:spacing w:val="-2"/>
          <w:sz w:val="22"/>
        </w:rPr>
        <w:t>Strengthening</w:t>
      </w:r>
      <w:r>
        <w:rPr>
          <w:spacing w:val="-8"/>
          <w:sz w:val="22"/>
        </w:rPr>
        <w:t> </w:t>
      </w:r>
      <w:r>
        <w:rPr>
          <w:spacing w:val="-2"/>
          <w:sz w:val="22"/>
        </w:rPr>
        <w:t>of</w:t>
      </w:r>
      <w:r>
        <w:rPr>
          <w:spacing w:val="-8"/>
          <w:sz w:val="22"/>
        </w:rPr>
        <w:t> </w:t>
      </w:r>
      <w:r>
        <w:rPr>
          <w:spacing w:val="-2"/>
          <w:sz w:val="22"/>
        </w:rPr>
        <w:t>education</w:t>
      </w:r>
      <w:r>
        <w:rPr>
          <w:spacing w:val="-8"/>
          <w:sz w:val="22"/>
        </w:rPr>
        <w:t> </w:t>
      </w:r>
      <w:r>
        <w:rPr>
          <w:spacing w:val="-2"/>
          <w:sz w:val="22"/>
        </w:rPr>
        <w:t>at</w:t>
      </w:r>
      <w:r>
        <w:rPr>
          <w:spacing w:val="-8"/>
          <w:sz w:val="22"/>
        </w:rPr>
        <w:t> </w:t>
      </w:r>
      <w:r>
        <w:rPr>
          <w:spacing w:val="-2"/>
          <w:sz w:val="22"/>
        </w:rPr>
        <w:t>the</w:t>
      </w:r>
      <w:r>
        <w:rPr>
          <w:spacing w:val="-8"/>
          <w:sz w:val="22"/>
        </w:rPr>
        <w:t> </w:t>
      </w:r>
      <w:r>
        <w:rPr>
          <w:spacing w:val="-2"/>
          <w:sz w:val="22"/>
        </w:rPr>
        <w:t>school</w:t>
      </w:r>
      <w:r>
        <w:rPr>
          <w:spacing w:val="-8"/>
          <w:sz w:val="22"/>
        </w:rPr>
        <w:t> </w:t>
      </w:r>
      <w:r>
        <w:rPr>
          <w:spacing w:val="-2"/>
          <w:sz w:val="22"/>
        </w:rPr>
        <w:t>level, </w:t>
      </w:r>
      <w:r>
        <w:rPr>
          <w:sz w:val="22"/>
        </w:rPr>
        <w:t>with particular focus on teacher training</w:t>
      </w:r>
    </w:p>
    <w:p>
      <w:pPr>
        <w:pStyle w:val="ListParagraph"/>
        <w:numPr>
          <w:ilvl w:val="3"/>
          <w:numId w:val="30"/>
        </w:numPr>
        <w:tabs>
          <w:tab w:pos="1019" w:val="left" w:leader="none"/>
        </w:tabs>
        <w:spacing w:line="266" w:lineRule="auto" w:before="0" w:after="0"/>
        <w:ind w:left="1019" w:right="1077" w:hanging="320"/>
        <w:jc w:val="both"/>
        <w:rPr>
          <w:sz w:val="22"/>
        </w:rPr>
      </w:pPr>
      <w:r>
        <w:rPr>
          <w:spacing w:val="-6"/>
          <w:sz w:val="22"/>
        </w:rPr>
        <w:t>Creation</w:t>
      </w:r>
      <w:r>
        <w:rPr>
          <w:spacing w:val="-8"/>
          <w:sz w:val="22"/>
        </w:rPr>
        <w:t> </w:t>
      </w:r>
      <w:r>
        <w:rPr>
          <w:spacing w:val="-6"/>
          <w:sz w:val="22"/>
        </w:rPr>
        <w:t>of</w:t>
      </w:r>
      <w:r>
        <w:rPr>
          <w:spacing w:val="-8"/>
          <w:sz w:val="22"/>
        </w:rPr>
        <w:t> </w:t>
      </w:r>
      <w:r>
        <w:rPr>
          <w:spacing w:val="-6"/>
          <w:sz w:val="22"/>
        </w:rPr>
        <w:t>effective</w:t>
      </w:r>
      <w:r>
        <w:rPr>
          <w:spacing w:val="-8"/>
          <w:sz w:val="22"/>
        </w:rPr>
        <w:t> </w:t>
      </w:r>
      <w:r>
        <w:rPr>
          <w:spacing w:val="-6"/>
          <w:sz w:val="22"/>
        </w:rPr>
        <w:t>monitoring</w:t>
      </w:r>
      <w:r>
        <w:rPr>
          <w:spacing w:val="-7"/>
          <w:sz w:val="22"/>
        </w:rPr>
        <w:t> </w:t>
      </w:r>
      <w:r>
        <w:rPr>
          <w:spacing w:val="-6"/>
          <w:sz w:val="22"/>
        </w:rPr>
        <w:t>and</w:t>
      </w:r>
      <w:r>
        <w:rPr>
          <w:spacing w:val="-8"/>
          <w:sz w:val="22"/>
        </w:rPr>
        <w:t> </w:t>
      </w:r>
      <w:r>
        <w:rPr>
          <w:spacing w:val="-6"/>
          <w:sz w:val="22"/>
        </w:rPr>
        <w:t>assessment </w:t>
      </w:r>
      <w:r>
        <w:rPr>
          <w:sz w:val="22"/>
        </w:rPr>
        <w:t>mechanisms, nimble enough to measure outcomes and adopt new strategies</w:t>
      </w:r>
    </w:p>
    <w:p>
      <w:pPr>
        <w:pStyle w:val="ListParagraph"/>
        <w:numPr>
          <w:ilvl w:val="3"/>
          <w:numId w:val="30"/>
        </w:numPr>
        <w:tabs>
          <w:tab w:pos="1019" w:val="left" w:leader="none"/>
        </w:tabs>
        <w:spacing w:line="266" w:lineRule="auto" w:before="0" w:after="0"/>
        <w:ind w:left="1019" w:right="1077" w:hanging="320"/>
        <w:jc w:val="both"/>
        <w:rPr>
          <w:sz w:val="22"/>
        </w:rPr>
      </w:pPr>
      <w:r>
        <w:rPr>
          <w:sz w:val="22"/>
        </w:rPr>
        <w:t>Consulting stakeholders in making </w:t>
      </w:r>
      <w:r>
        <w:rPr>
          <w:sz w:val="22"/>
        </w:rPr>
        <w:t>policy </w:t>
      </w:r>
      <w:r>
        <w:rPr>
          <w:spacing w:val="-2"/>
          <w:sz w:val="22"/>
        </w:rPr>
        <w:t>decisions</w:t>
      </w:r>
    </w:p>
    <w:p>
      <w:pPr>
        <w:pStyle w:val="Heading6"/>
        <w:numPr>
          <w:ilvl w:val="2"/>
          <w:numId w:val="30"/>
        </w:numPr>
        <w:tabs>
          <w:tab w:pos="643" w:val="left" w:leader="none"/>
          <w:tab w:pos="645" w:val="left" w:leader="none"/>
        </w:tabs>
        <w:spacing w:line="182" w:lineRule="auto" w:before="249" w:after="0"/>
        <w:ind w:left="645" w:right="1657" w:hanging="327"/>
        <w:jc w:val="left"/>
      </w:pPr>
      <w:r>
        <w:rPr>
          <w:color w:val="2E614A"/>
          <w:w w:val="90"/>
        </w:rPr>
        <w:t>Rejuvenate</w:t>
      </w:r>
      <w:r>
        <w:rPr>
          <w:color w:val="2E614A"/>
          <w:spacing w:val="-2"/>
          <w:w w:val="90"/>
        </w:rPr>
        <w:t> </w:t>
      </w:r>
      <w:r>
        <w:rPr>
          <w:color w:val="2E614A"/>
          <w:w w:val="90"/>
        </w:rPr>
        <w:t>doctoral</w:t>
      </w:r>
      <w:r>
        <w:rPr>
          <w:color w:val="2E614A"/>
          <w:spacing w:val="-2"/>
          <w:w w:val="90"/>
        </w:rPr>
        <w:t> </w:t>
      </w:r>
      <w:r>
        <w:rPr>
          <w:color w:val="2E614A"/>
          <w:w w:val="90"/>
        </w:rPr>
        <w:t>programs </w:t>
      </w:r>
      <w:r>
        <w:rPr>
          <w:color w:val="2E614A"/>
        </w:rPr>
        <w:t>across</w:t>
      </w:r>
      <w:r>
        <w:rPr>
          <w:color w:val="2E614A"/>
          <w:spacing w:val="-20"/>
        </w:rPr>
        <w:t> </w:t>
      </w:r>
      <w:r>
        <w:rPr>
          <w:color w:val="2E614A"/>
        </w:rPr>
        <w:t>disciplines</w:t>
      </w:r>
    </w:p>
    <w:p>
      <w:pPr>
        <w:pStyle w:val="BodyText"/>
        <w:spacing w:line="266" w:lineRule="auto" w:before="302"/>
        <w:ind w:left="319" w:right="1077"/>
        <w:jc w:val="both"/>
      </w:pPr>
      <w:r>
        <w:rPr/>
        <w:t>While the above recommendations are aimed </w:t>
      </w:r>
      <w:r>
        <w:rPr/>
        <w:t>at attracting potential doctoral students and enabling a </w:t>
      </w:r>
      <w:r>
        <w:rPr>
          <w:spacing w:val="-6"/>
        </w:rPr>
        <w:t>research environment, it is vital that prospective doctoral </w:t>
      </w:r>
      <w:r>
        <w:rPr>
          <w:spacing w:val="-2"/>
        </w:rPr>
        <w:t>students</w:t>
      </w:r>
      <w:r>
        <w:rPr>
          <w:spacing w:val="-12"/>
        </w:rPr>
        <w:t> </w:t>
      </w:r>
      <w:r>
        <w:rPr>
          <w:spacing w:val="-2"/>
        </w:rPr>
        <w:t>are</w:t>
      </w:r>
      <w:r>
        <w:rPr>
          <w:spacing w:val="-10"/>
        </w:rPr>
        <w:t> </w:t>
      </w:r>
      <w:r>
        <w:rPr>
          <w:spacing w:val="-2"/>
        </w:rPr>
        <w:t>chosen</w:t>
      </w:r>
      <w:r>
        <w:rPr>
          <w:spacing w:val="-10"/>
        </w:rPr>
        <w:t> </w:t>
      </w:r>
      <w:r>
        <w:rPr>
          <w:spacing w:val="-2"/>
        </w:rPr>
        <w:t>with</w:t>
      </w:r>
      <w:r>
        <w:rPr>
          <w:spacing w:val="-10"/>
        </w:rPr>
        <w:t> </w:t>
      </w:r>
      <w:r>
        <w:rPr>
          <w:spacing w:val="-2"/>
        </w:rPr>
        <w:t>sufficient</w:t>
      </w:r>
      <w:r>
        <w:rPr>
          <w:spacing w:val="-10"/>
        </w:rPr>
        <w:t> </w:t>
      </w:r>
      <w:r>
        <w:rPr>
          <w:spacing w:val="-2"/>
        </w:rPr>
        <w:t>care.</w:t>
      </w:r>
      <w:r>
        <w:rPr>
          <w:spacing w:val="-12"/>
        </w:rPr>
        <w:t> </w:t>
      </w:r>
      <w:r>
        <w:rPr>
          <w:spacing w:val="-2"/>
        </w:rPr>
        <w:t>The</w:t>
      </w:r>
      <w:r>
        <w:rPr>
          <w:spacing w:val="-9"/>
        </w:rPr>
        <w:t> </w:t>
      </w:r>
      <w:r>
        <w:rPr>
          <w:spacing w:val="-2"/>
        </w:rPr>
        <w:t>following </w:t>
      </w:r>
      <w:r>
        <w:rPr/>
        <w:t>measures</w:t>
      </w:r>
      <w:r>
        <w:rPr>
          <w:spacing w:val="-4"/>
        </w:rPr>
        <w:t> </w:t>
      </w:r>
      <w:r>
        <w:rPr/>
        <w:t>are</w:t>
      </w:r>
      <w:r>
        <w:rPr>
          <w:spacing w:val="-4"/>
        </w:rPr>
        <w:t> </w:t>
      </w:r>
      <w:r>
        <w:rPr/>
        <w:t>proposed</w:t>
      </w:r>
      <w:r>
        <w:rPr>
          <w:spacing w:val="-4"/>
        </w:rPr>
        <w:t> </w:t>
      </w:r>
      <w:r>
        <w:rPr/>
        <w:t>with</w:t>
      </w:r>
      <w:r>
        <w:rPr>
          <w:spacing w:val="-4"/>
        </w:rPr>
        <w:t> </w:t>
      </w:r>
      <w:r>
        <w:rPr/>
        <w:t>this</w:t>
      </w:r>
      <w:r>
        <w:rPr>
          <w:spacing w:val="-4"/>
        </w:rPr>
        <w:t> </w:t>
      </w:r>
      <w:r>
        <w:rPr/>
        <w:t>objective</w:t>
      </w:r>
      <w:r>
        <w:rPr>
          <w:spacing w:val="-4"/>
        </w:rPr>
        <w:t> </w:t>
      </w:r>
      <w:r>
        <w:rPr/>
        <w:t>in</w:t>
      </w:r>
      <w:r>
        <w:rPr>
          <w:spacing w:val="-4"/>
        </w:rPr>
        <w:t> </w:t>
      </w:r>
      <w:r>
        <w:rPr/>
        <w:t>mind:-</w:t>
      </w:r>
    </w:p>
    <w:p>
      <w:pPr>
        <w:pStyle w:val="ListParagraph"/>
        <w:numPr>
          <w:ilvl w:val="3"/>
          <w:numId w:val="30"/>
        </w:numPr>
        <w:tabs>
          <w:tab w:pos="1019" w:val="left" w:leader="none"/>
        </w:tabs>
        <w:spacing w:line="266" w:lineRule="auto" w:before="0" w:after="0"/>
        <w:ind w:left="1019" w:right="1078" w:hanging="320"/>
        <w:jc w:val="left"/>
        <w:rPr>
          <w:sz w:val="22"/>
        </w:rPr>
      </w:pPr>
      <w:r>
        <w:rPr>
          <w:spacing w:val="-2"/>
          <w:sz w:val="22"/>
        </w:rPr>
        <w:t>A</w:t>
      </w:r>
      <w:r>
        <w:rPr>
          <w:spacing w:val="-11"/>
          <w:sz w:val="22"/>
        </w:rPr>
        <w:t> </w:t>
      </w:r>
      <w:r>
        <w:rPr>
          <w:spacing w:val="-2"/>
          <w:sz w:val="22"/>
        </w:rPr>
        <w:t>review</w:t>
      </w:r>
      <w:r>
        <w:rPr>
          <w:spacing w:val="-11"/>
          <w:sz w:val="22"/>
        </w:rPr>
        <w:t> </w:t>
      </w:r>
      <w:r>
        <w:rPr>
          <w:spacing w:val="-2"/>
          <w:sz w:val="22"/>
        </w:rPr>
        <w:t>of</w:t>
      </w:r>
      <w:r>
        <w:rPr>
          <w:spacing w:val="-11"/>
          <w:sz w:val="22"/>
        </w:rPr>
        <w:t> </w:t>
      </w:r>
      <w:r>
        <w:rPr>
          <w:spacing w:val="-2"/>
          <w:sz w:val="22"/>
        </w:rPr>
        <w:t>the</w:t>
      </w:r>
      <w:r>
        <w:rPr>
          <w:spacing w:val="-11"/>
          <w:sz w:val="22"/>
        </w:rPr>
        <w:t> </w:t>
      </w:r>
      <w:r>
        <w:rPr>
          <w:spacing w:val="-2"/>
          <w:sz w:val="22"/>
        </w:rPr>
        <w:t>whole</w:t>
      </w:r>
      <w:r>
        <w:rPr>
          <w:spacing w:val="-11"/>
          <w:sz w:val="22"/>
        </w:rPr>
        <w:t> </w:t>
      </w:r>
      <w:r>
        <w:rPr>
          <w:spacing w:val="-2"/>
          <w:sz w:val="22"/>
        </w:rPr>
        <w:t>selection</w:t>
      </w:r>
      <w:r>
        <w:rPr>
          <w:spacing w:val="-11"/>
          <w:sz w:val="22"/>
        </w:rPr>
        <w:t> </w:t>
      </w:r>
      <w:r>
        <w:rPr>
          <w:spacing w:val="-2"/>
          <w:sz w:val="22"/>
        </w:rPr>
        <w:t>procedure</w:t>
      </w:r>
      <w:r>
        <w:rPr>
          <w:spacing w:val="-11"/>
          <w:sz w:val="22"/>
        </w:rPr>
        <w:t> </w:t>
      </w:r>
      <w:r>
        <w:rPr>
          <w:spacing w:val="-2"/>
          <w:sz w:val="22"/>
        </w:rPr>
        <w:t>and </w:t>
      </w:r>
      <w:r>
        <w:rPr>
          <w:sz w:val="22"/>
        </w:rPr>
        <w:t>monitoring process for graduate students</w:t>
      </w:r>
    </w:p>
    <w:p>
      <w:pPr>
        <w:pStyle w:val="ListParagraph"/>
        <w:numPr>
          <w:ilvl w:val="3"/>
          <w:numId w:val="30"/>
        </w:numPr>
        <w:tabs>
          <w:tab w:pos="1019" w:val="left" w:leader="none"/>
        </w:tabs>
        <w:spacing w:line="266" w:lineRule="auto" w:before="0" w:after="0"/>
        <w:ind w:left="1019" w:right="1077" w:hanging="320"/>
        <w:jc w:val="left"/>
        <w:rPr>
          <w:sz w:val="22"/>
        </w:rPr>
      </w:pPr>
      <w:r>
        <w:rPr>
          <w:spacing w:val="-2"/>
          <w:sz w:val="22"/>
        </w:rPr>
        <w:t>Multiple</w:t>
      </w:r>
      <w:r>
        <w:rPr>
          <w:spacing w:val="-12"/>
          <w:sz w:val="22"/>
        </w:rPr>
        <w:t> </w:t>
      </w:r>
      <w:r>
        <w:rPr>
          <w:spacing w:val="-2"/>
          <w:sz w:val="22"/>
        </w:rPr>
        <w:t>pathways</w:t>
      </w:r>
      <w:r>
        <w:rPr>
          <w:spacing w:val="-12"/>
          <w:sz w:val="22"/>
        </w:rPr>
        <w:t> </w:t>
      </w:r>
      <w:r>
        <w:rPr>
          <w:spacing w:val="-2"/>
          <w:sz w:val="22"/>
        </w:rPr>
        <w:t>for</w:t>
      </w:r>
      <w:r>
        <w:rPr>
          <w:spacing w:val="-12"/>
          <w:sz w:val="22"/>
        </w:rPr>
        <w:t> </w:t>
      </w:r>
      <w:r>
        <w:rPr>
          <w:spacing w:val="-2"/>
          <w:sz w:val="22"/>
        </w:rPr>
        <w:t>entry</w:t>
      </w:r>
      <w:r>
        <w:rPr>
          <w:spacing w:val="-11"/>
          <w:sz w:val="22"/>
        </w:rPr>
        <w:t> </w:t>
      </w:r>
      <w:r>
        <w:rPr>
          <w:spacing w:val="-2"/>
          <w:sz w:val="22"/>
        </w:rPr>
        <w:t>to</w:t>
      </w:r>
      <w:r>
        <w:rPr>
          <w:spacing w:val="-12"/>
          <w:sz w:val="22"/>
        </w:rPr>
        <w:t> </w:t>
      </w:r>
      <w:r>
        <w:rPr>
          <w:spacing w:val="-2"/>
          <w:sz w:val="22"/>
        </w:rPr>
        <w:t>a</w:t>
      </w:r>
      <w:r>
        <w:rPr>
          <w:spacing w:val="-12"/>
          <w:sz w:val="22"/>
        </w:rPr>
        <w:t> </w:t>
      </w:r>
      <w:r>
        <w:rPr>
          <w:spacing w:val="-2"/>
          <w:sz w:val="22"/>
        </w:rPr>
        <w:t>Ph.D</w:t>
      </w:r>
      <w:r>
        <w:rPr>
          <w:spacing w:val="-12"/>
          <w:sz w:val="22"/>
        </w:rPr>
        <w:t> </w:t>
      </w:r>
      <w:r>
        <w:rPr>
          <w:spacing w:val="-2"/>
          <w:sz w:val="22"/>
        </w:rPr>
        <w:t>program </w:t>
      </w:r>
      <w:r>
        <w:rPr>
          <w:sz w:val="22"/>
        </w:rPr>
        <w:t>while maintaining entry standards</w:t>
      </w:r>
    </w:p>
    <w:p>
      <w:pPr>
        <w:pStyle w:val="ListParagraph"/>
        <w:numPr>
          <w:ilvl w:val="3"/>
          <w:numId w:val="30"/>
        </w:numPr>
        <w:tabs>
          <w:tab w:pos="1019" w:val="left" w:leader="none"/>
        </w:tabs>
        <w:spacing w:line="266" w:lineRule="auto" w:before="0" w:after="0"/>
        <w:ind w:left="1019" w:right="1078" w:hanging="320"/>
        <w:jc w:val="left"/>
        <w:rPr>
          <w:sz w:val="22"/>
        </w:rPr>
      </w:pPr>
      <w:r>
        <w:rPr>
          <w:spacing w:val="-4"/>
          <w:sz w:val="22"/>
        </w:rPr>
        <w:t>Support</w:t>
      </w:r>
      <w:r>
        <w:rPr>
          <w:spacing w:val="-19"/>
          <w:sz w:val="22"/>
        </w:rPr>
        <w:t> </w:t>
      </w:r>
      <w:r>
        <w:rPr>
          <w:spacing w:val="-4"/>
          <w:sz w:val="22"/>
        </w:rPr>
        <w:t>for</w:t>
      </w:r>
      <w:r>
        <w:rPr>
          <w:spacing w:val="-19"/>
          <w:sz w:val="22"/>
        </w:rPr>
        <w:t> </w:t>
      </w:r>
      <w:r>
        <w:rPr>
          <w:spacing w:val="-4"/>
          <w:sz w:val="22"/>
        </w:rPr>
        <w:t>quality</w:t>
      </w:r>
      <w:r>
        <w:rPr>
          <w:spacing w:val="-19"/>
          <w:sz w:val="22"/>
        </w:rPr>
        <w:t> </w:t>
      </w:r>
      <w:r>
        <w:rPr>
          <w:spacing w:val="-4"/>
          <w:sz w:val="22"/>
        </w:rPr>
        <w:t>research</w:t>
      </w:r>
      <w:r>
        <w:rPr>
          <w:spacing w:val="-19"/>
          <w:sz w:val="22"/>
        </w:rPr>
        <w:t> </w:t>
      </w:r>
      <w:r>
        <w:rPr>
          <w:spacing w:val="-4"/>
          <w:sz w:val="22"/>
        </w:rPr>
        <w:t>in</w:t>
      </w:r>
      <w:r>
        <w:rPr>
          <w:spacing w:val="-19"/>
          <w:sz w:val="22"/>
        </w:rPr>
        <w:t> </w:t>
      </w:r>
      <w:r>
        <w:rPr>
          <w:spacing w:val="-4"/>
          <w:sz w:val="22"/>
        </w:rPr>
        <w:t>Arts,</w:t>
      </w:r>
      <w:r>
        <w:rPr>
          <w:spacing w:val="-19"/>
          <w:sz w:val="22"/>
        </w:rPr>
        <w:t> </w:t>
      </w:r>
      <w:r>
        <w:rPr>
          <w:spacing w:val="-4"/>
          <w:sz w:val="22"/>
        </w:rPr>
        <w:t>Humanities </w:t>
      </w:r>
      <w:r>
        <w:rPr>
          <w:sz w:val="22"/>
        </w:rPr>
        <w:t>and other areas</w:t>
      </w:r>
    </w:p>
    <w:p>
      <w:pPr>
        <w:pStyle w:val="ListParagraph"/>
        <w:numPr>
          <w:ilvl w:val="3"/>
          <w:numId w:val="30"/>
        </w:numPr>
        <w:tabs>
          <w:tab w:pos="1019" w:val="left" w:leader="none"/>
        </w:tabs>
        <w:spacing w:line="266" w:lineRule="auto" w:before="0" w:after="0"/>
        <w:ind w:left="1019" w:right="1077" w:hanging="320"/>
        <w:jc w:val="left"/>
        <w:rPr>
          <w:sz w:val="22"/>
        </w:rPr>
      </w:pPr>
      <w:r>
        <w:rPr>
          <w:sz w:val="22"/>
        </w:rPr>
        <w:t>Support</w:t>
      </w:r>
      <w:r>
        <w:rPr>
          <w:spacing w:val="15"/>
          <w:sz w:val="22"/>
        </w:rPr>
        <w:t> </w:t>
      </w:r>
      <w:r>
        <w:rPr>
          <w:sz w:val="22"/>
        </w:rPr>
        <w:t>and</w:t>
      </w:r>
      <w:r>
        <w:rPr>
          <w:spacing w:val="16"/>
          <w:sz w:val="22"/>
        </w:rPr>
        <w:t> </w:t>
      </w:r>
      <w:r>
        <w:rPr>
          <w:sz w:val="22"/>
        </w:rPr>
        <w:t>promotion</w:t>
      </w:r>
      <w:r>
        <w:rPr>
          <w:spacing w:val="16"/>
          <w:sz w:val="22"/>
        </w:rPr>
        <w:t> </w:t>
      </w:r>
      <w:r>
        <w:rPr>
          <w:sz w:val="22"/>
        </w:rPr>
        <w:t>of</w:t>
      </w:r>
      <w:r>
        <w:rPr>
          <w:spacing w:val="16"/>
          <w:sz w:val="22"/>
        </w:rPr>
        <w:t> </w:t>
      </w:r>
      <w:r>
        <w:rPr>
          <w:sz w:val="22"/>
        </w:rPr>
        <w:t>cross-disciplinary teaching and research programs</w:t>
      </w:r>
    </w:p>
    <w:p>
      <w:pPr>
        <w:pStyle w:val="ListParagraph"/>
        <w:numPr>
          <w:ilvl w:val="3"/>
          <w:numId w:val="30"/>
        </w:numPr>
        <w:tabs>
          <w:tab w:pos="1019" w:val="left" w:leader="none"/>
          <w:tab w:pos="1878" w:val="left" w:leader="none"/>
          <w:tab w:pos="2845" w:val="left" w:leader="none"/>
          <w:tab w:pos="3241" w:val="left" w:leader="none"/>
          <w:tab w:pos="4695" w:val="left" w:leader="none"/>
        </w:tabs>
        <w:spacing w:line="266" w:lineRule="auto" w:before="0" w:after="0"/>
        <w:ind w:left="1019" w:right="1078" w:hanging="320"/>
        <w:jc w:val="left"/>
        <w:rPr>
          <w:sz w:val="22"/>
        </w:rPr>
      </w:pPr>
      <w:r>
        <w:rPr>
          <w:spacing w:val="-2"/>
          <w:sz w:val="22"/>
        </w:rPr>
        <w:t>Greater</w:t>
      </w:r>
      <w:r>
        <w:rPr>
          <w:sz w:val="22"/>
        </w:rPr>
        <w:tab/>
      </w:r>
      <w:r>
        <w:rPr>
          <w:spacing w:val="-2"/>
          <w:sz w:val="22"/>
        </w:rPr>
        <w:t>exposure</w:t>
      </w:r>
      <w:r>
        <w:rPr>
          <w:sz w:val="22"/>
        </w:rPr>
        <w:tab/>
      </w:r>
      <w:r>
        <w:rPr>
          <w:spacing w:val="-6"/>
          <w:sz w:val="22"/>
        </w:rPr>
        <w:t>of</w:t>
      </w:r>
      <w:r>
        <w:rPr>
          <w:sz w:val="22"/>
        </w:rPr>
        <w:tab/>
      </w:r>
      <w:r>
        <w:rPr>
          <w:spacing w:val="-2"/>
          <w:sz w:val="22"/>
        </w:rPr>
        <w:t>undergraduate</w:t>
      </w:r>
      <w:r>
        <w:rPr>
          <w:sz w:val="22"/>
        </w:rPr>
        <w:tab/>
      </w:r>
      <w:r>
        <w:rPr>
          <w:spacing w:val="-4"/>
          <w:sz w:val="22"/>
        </w:rPr>
        <w:t>and </w:t>
      </w:r>
      <w:r>
        <w:rPr>
          <w:sz w:val="22"/>
        </w:rPr>
        <w:t>postgraduate</w:t>
      </w:r>
      <w:r>
        <w:rPr>
          <w:spacing w:val="-14"/>
          <w:sz w:val="22"/>
        </w:rPr>
        <w:t> </w:t>
      </w:r>
      <w:r>
        <w:rPr>
          <w:sz w:val="22"/>
        </w:rPr>
        <w:t>students</w:t>
      </w:r>
      <w:r>
        <w:rPr>
          <w:spacing w:val="-14"/>
          <w:sz w:val="22"/>
        </w:rPr>
        <w:t> </w:t>
      </w:r>
      <w:r>
        <w:rPr>
          <w:sz w:val="22"/>
        </w:rPr>
        <w:t>to</w:t>
      </w:r>
      <w:r>
        <w:rPr>
          <w:spacing w:val="-14"/>
          <w:sz w:val="22"/>
        </w:rPr>
        <w:t> </w:t>
      </w:r>
      <w:r>
        <w:rPr>
          <w:sz w:val="22"/>
        </w:rPr>
        <w:t>cutting</w:t>
      </w:r>
      <w:r>
        <w:rPr>
          <w:spacing w:val="-13"/>
          <w:sz w:val="22"/>
        </w:rPr>
        <w:t> </w:t>
      </w:r>
      <w:r>
        <w:rPr>
          <w:sz w:val="22"/>
        </w:rPr>
        <w:t>edge</w:t>
      </w:r>
      <w:r>
        <w:rPr>
          <w:spacing w:val="-14"/>
          <w:sz w:val="22"/>
        </w:rPr>
        <w:t> </w:t>
      </w:r>
      <w:r>
        <w:rPr>
          <w:sz w:val="22"/>
        </w:rPr>
        <w:t>research</w:t>
      </w:r>
    </w:p>
    <w:p>
      <w:pPr>
        <w:pStyle w:val="Heading6"/>
        <w:numPr>
          <w:ilvl w:val="2"/>
          <w:numId w:val="30"/>
        </w:numPr>
        <w:tabs>
          <w:tab w:pos="643" w:val="left" w:leader="none"/>
          <w:tab w:pos="645" w:val="left" w:leader="none"/>
        </w:tabs>
        <w:spacing w:line="182" w:lineRule="auto" w:before="246" w:after="0"/>
        <w:ind w:left="645" w:right="1575" w:hanging="327"/>
        <w:jc w:val="left"/>
      </w:pPr>
      <w:r>
        <w:rPr>
          <w:color w:val="2E614A"/>
          <w:spacing w:val="-4"/>
        </w:rPr>
        <w:t>Ensure</w:t>
      </w:r>
      <w:r>
        <w:rPr>
          <w:color w:val="2E614A"/>
          <w:spacing w:val="-16"/>
        </w:rPr>
        <w:t> </w:t>
      </w:r>
      <w:r>
        <w:rPr>
          <w:color w:val="2E614A"/>
          <w:spacing w:val="-4"/>
        </w:rPr>
        <w:t>quality</w:t>
      </w:r>
      <w:r>
        <w:rPr>
          <w:color w:val="2E614A"/>
          <w:spacing w:val="-16"/>
        </w:rPr>
        <w:t> </w:t>
      </w:r>
      <w:r>
        <w:rPr>
          <w:color w:val="2E614A"/>
          <w:spacing w:val="-4"/>
        </w:rPr>
        <w:t>of</w:t>
      </w:r>
      <w:r>
        <w:rPr>
          <w:color w:val="2E614A"/>
          <w:spacing w:val="-16"/>
        </w:rPr>
        <w:t> </w:t>
      </w:r>
      <w:r>
        <w:rPr>
          <w:color w:val="2E614A"/>
          <w:spacing w:val="-4"/>
        </w:rPr>
        <w:t>doctoral </w:t>
      </w:r>
      <w:r>
        <w:rPr>
          <w:color w:val="2E614A"/>
          <w:w w:val="90"/>
        </w:rPr>
        <w:t>work</w:t>
      </w:r>
      <w:r>
        <w:rPr>
          <w:color w:val="2E614A"/>
          <w:spacing w:val="-1"/>
          <w:w w:val="90"/>
        </w:rPr>
        <w:t> </w:t>
      </w:r>
      <w:r>
        <w:rPr>
          <w:color w:val="2E614A"/>
          <w:w w:val="90"/>
        </w:rPr>
        <w:t>and</w:t>
      </w:r>
      <w:r>
        <w:rPr>
          <w:color w:val="2E614A"/>
          <w:spacing w:val="-1"/>
          <w:w w:val="90"/>
        </w:rPr>
        <w:t> </w:t>
      </w:r>
      <w:r>
        <w:rPr>
          <w:color w:val="2E614A"/>
          <w:w w:val="90"/>
        </w:rPr>
        <w:t>academic</w:t>
      </w:r>
      <w:r>
        <w:rPr>
          <w:color w:val="2E614A"/>
          <w:spacing w:val="-1"/>
          <w:w w:val="90"/>
        </w:rPr>
        <w:t> </w:t>
      </w:r>
      <w:r>
        <w:rPr>
          <w:color w:val="2E614A"/>
          <w:w w:val="90"/>
        </w:rPr>
        <w:t>research</w:t>
      </w:r>
      <w:r>
        <w:rPr>
          <w:color w:val="2E614A"/>
          <w:spacing w:val="-1"/>
          <w:w w:val="90"/>
        </w:rPr>
        <w:t> </w:t>
      </w:r>
      <w:r>
        <w:rPr>
          <w:color w:val="2E614A"/>
          <w:w w:val="90"/>
        </w:rPr>
        <w:t>in </w:t>
      </w:r>
      <w:r>
        <w:rPr>
          <w:color w:val="2E614A"/>
          <w:spacing w:val="-2"/>
        </w:rPr>
        <w:t>institutions</w:t>
      </w:r>
    </w:p>
    <w:p>
      <w:pPr>
        <w:pStyle w:val="BodyText"/>
        <w:spacing w:line="266" w:lineRule="auto" w:before="303"/>
        <w:ind w:left="319" w:right="1077"/>
        <w:jc w:val="both"/>
      </w:pPr>
      <w:r>
        <w:rPr>
          <w:spacing w:val="-2"/>
        </w:rPr>
        <w:t>At</w:t>
      </w:r>
      <w:r>
        <w:rPr>
          <w:spacing w:val="-12"/>
        </w:rPr>
        <w:t> </w:t>
      </w:r>
      <w:r>
        <w:rPr>
          <w:spacing w:val="-2"/>
        </w:rPr>
        <w:t>the</w:t>
      </w:r>
      <w:r>
        <w:rPr>
          <w:spacing w:val="-12"/>
        </w:rPr>
        <w:t> </w:t>
      </w:r>
      <w:r>
        <w:rPr>
          <w:spacing w:val="-2"/>
        </w:rPr>
        <w:t>same</w:t>
      </w:r>
      <w:r>
        <w:rPr>
          <w:spacing w:val="-12"/>
        </w:rPr>
        <w:t> </w:t>
      </w:r>
      <w:r>
        <w:rPr>
          <w:spacing w:val="-2"/>
        </w:rPr>
        <w:t>time</w:t>
      </w:r>
      <w:r>
        <w:rPr>
          <w:spacing w:val="-11"/>
        </w:rPr>
        <w:t> </w:t>
      </w:r>
      <w:r>
        <w:rPr>
          <w:spacing w:val="-2"/>
        </w:rPr>
        <w:t>as</w:t>
      </w:r>
      <w:r>
        <w:rPr>
          <w:spacing w:val="-12"/>
        </w:rPr>
        <w:t> </w:t>
      </w:r>
      <w:r>
        <w:rPr>
          <w:spacing w:val="-2"/>
        </w:rPr>
        <w:t>striving</w:t>
      </w:r>
      <w:r>
        <w:rPr>
          <w:spacing w:val="-12"/>
        </w:rPr>
        <w:t> </w:t>
      </w:r>
      <w:r>
        <w:rPr>
          <w:spacing w:val="-2"/>
        </w:rPr>
        <w:t>for</w:t>
      </w:r>
      <w:r>
        <w:rPr>
          <w:spacing w:val="-12"/>
        </w:rPr>
        <w:t> </w:t>
      </w:r>
      <w:r>
        <w:rPr>
          <w:spacing w:val="-2"/>
        </w:rPr>
        <w:t>greater</w:t>
      </w:r>
      <w:r>
        <w:rPr>
          <w:spacing w:val="-11"/>
        </w:rPr>
        <w:t> </w:t>
      </w:r>
      <w:r>
        <w:rPr>
          <w:spacing w:val="-2"/>
        </w:rPr>
        <w:t>influx</w:t>
      </w:r>
      <w:r>
        <w:rPr>
          <w:spacing w:val="-12"/>
        </w:rPr>
        <w:t> </w:t>
      </w:r>
      <w:r>
        <w:rPr>
          <w:spacing w:val="-2"/>
        </w:rPr>
        <w:t>of</w:t>
      </w:r>
      <w:r>
        <w:rPr>
          <w:spacing w:val="-12"/>
        </w:rPr>
        <w:t> </w:t>
      </w:r>
      <w:r>
        <w:rPr>
          <w:spacing w:val="-2"/>
        </w:rPr>
        <w:t>people </w:t>
      </w:r>
      <w:r>
        <w:rPr/>
        <w:t>towards</w:t>
      </w:r>
      <w:r>
        <w:rPr>
          <w:spacing w:val="-14"/>
        </w:rPr>
        <w:t> </w:t>
      </w:r>
      <w:r>
        <w:rPr/>
        <w:t>research</w:t>
      </w:r>
      <w:r>
        <w:rPr>
          <w:spacing w:val="-14"/>
        </w:rPr>
        <w:t> </w:t>
      </w:r>
      <w:r>
        <w:rPr/>
        <w:t>careers,</w:t>
      </w:r>
      <w:r>
        <w:rPr>
          <w:spacing w:val="-14"/>
        </w:rPr>
        <w:t> </w:t>
      </w:r>
      <w:r>
        <w:rPr/>
        <w:t>institutions</w:t>
      </w:r>
      <w:r>
        <w:rPr>
          <w:spacing w:val="-13"/>
        </w:rPr>
        <w:t> </w:t>
      </w:r>
      <w:r>
        <w:rPr/>
        <w:t>must</w:t>
      </w:r>
      <w:r>
        <w:rPr>
          <w:spacing w:val="-14"/>
        </w:rPr>
        <w:t> </w:t>
      </w:r>
      <w:r>
        <w:rPr/>
        <w:t>ensure</w:t>
      </w:r>
      <w:r>
        <w:rPr>
          <w:spacing w:val="-14"/>
        </w:rPr>
        <w:t> </w:t>
      </w:r>
      <w:r>
        <w:rPr/>
        <w:t>that the</w:t>
      </w:r>
      <w:r>
        <w:rPr>
          <w:spacing w:val="-4"/>
        </w:rPr>
        <w:t> </w:t>
      </w:r>
      <w:r>
        <w:rPr/>
        <w:t>research</w:t>
      </w:r>
      <w:r>
        <w:rPr>
          <w:spacing w:val="-3"/>
        </w:rPr>
        <w:t> </w:t>
      </w:r>
      <w:r>
        <w:rPr/>
        <w:t>undertaken</w:t>
      </w:r>
      <w:r>
        <w:rPr>
          <w:spacing w:val="-4"/>
        </w:rPr>
        <w:t> </w:t>
      </w:r>
      <w:r>
        <w:rPr/>
        <w:t>matches</w:t>
      </w:r>
      <w:r>
        <w:rPr>
          <w:spacing w:val="-3"/>
        </w:rPr>
        <w:t> </w:t>
      </w:r>
      <w:r>
        <w:rPr/>
        <w:t>global</w:t>
      </w:r>
      <w:r>
        <w:rPr>
          <w:spacing w:val="-4"/>
        </w:rPr>
        <w:t> </w:t>
      </w:r>
      <w:r>
        <w:rPr/>
        <w:t>quality</w:t>
      </w:r>
      <w:r>
        <w:rPr>
          <w:spacing w:val="-3"/>
        </w:rPr>
        <w:t> </w:t>
      </w:r>
      <w:r>
        <w:rPr/>
        <w:t>in</w:t>
      </w:r>
      <w:r>
        <w:rPr>
          <w:spacing w:val="-4"/>
        </w:rPr>
        <w:t> </w:t>
      </w:r>
      <w:r>
        <w:rPr>
          <w:spacing w:val="-5"/>
        </w:rPr>
        <w:t>the</w:t>
      </w:r>
    </w:p>
    <w:p>
      <w:pPr>
        <w:spacing w:after="0" w:line="266" w:lineRule="auto"/>
        <w:jc w:val="both"/>
        <w:sectPr>
          <w:pgSz w:w="11910" w:h="16840"/>
          <w:pgMar w:header="0" w:footer="675" w:top="920" w:bottom="860" w:left="0" w:right="0"/>
          <w:cols w:num="2" w:equalWidth="0">
            <w:col w:w="5774" w:space="40"/>
            <w:col w:w="6096"/>
          </w:cols>
        </w:sectPr>
      </w:pPr>
    </w:p>
    <w:p>
      <w:pPr>
        <w:pStyle w:val="BodyText"/>
        <w:spacing w:line="266" w:lineRule="auto" w:before="77"/>
        <w:ind w:left="1080"/>
        <w:jc w:val="both"/>
      </w:pPr>
      <w:r>
        <w:rPr>
          <w:spacing w:val="-6"/>
        </w:rPr>
        <w:t>relevant field. In addition, the graduate programs </w:t>
      </w:r>
      <w:r>
        <w:rPr>
          <w:spacing w:val="-6"/>
        </w:rPr>
        <w:t>should </w:t>
      </w:r>
      <w:r>
        <w:rPr/>
        <w:t>be continually reviewed so as to make them vibrant, </w:t>
      </w:r>
      <w:r>
        <w:rPr>
          <w:spacing w:val="-4"/>
        </w:rPr>
        <w:t>challenging</w:t>
      </w:r>
      <w:r>
        <w:rPr>
          <w:spacing w:val="-6"/>
        </w:rPr>
        <w:t> </w:t>
      </w:r>
      <w:r>
        <w:rPr>
          <w:spacing w:val="-4"/>
        </w:rPr>
        <w:t>and</w:t>
      </w:r>
      <w:r>
        <w:rPr>
          <w:spacing w:val="-6"/>
        </w:rPr>
        <w:t> </w:t>
      </w:r>
      <w:r>
        <w:rPr>
          <w:spacing w:val="-4"/>
        </w:rPr>
        <w:t>internationally</w:t>
      </w:r>
      <w:r>
        <w:rPr>
          <w:spacing w:val="-6"/>
        </w:rPr>
        <w:t> </w:t>
      </w:r>
      <w:r>
        <w:rPr>
          <w:spacing w:val="-4"/>
        </w:rPr>
        <w:t>relevant.</w:t>
      </w:r>
      <w:r>
        <w:rPr>
          <w:spacing w:val="-6"/>
        </w:rPr>
        <w:t> </w:t>
      </w:r>
      <w:r>
        <w:rPr>
          <w:spacing w:val="-4"/>
        </w:rPr>
        <w:t>Here</w:t>
      </w:r>
      <w:r>
        <w:rPr>
          <w:spacing w:val="-6"/>
        </w:rPr>
        <w:t> </w:t>
      </w:r>
      <w:r>
        <w:rPr>
          <w:spacing w:val="-4"/>
        </w:rPr>
        <w:t>are</w:t>
      </w:r>
      <w:r>
        <w:rPr>
          <w:spacing w:val="-6"/>
        </w:rPr>
        <w:t> </w:t>
      </w:r>
      <w:r>
        <w:rPr>
          <w:spacing w:val="-4"/>
        </w:rPr>
        <w:t>some </w:t>
      </w:r>
      <w:r>
        <w:rPr/>
        <w:t>steps to be taken in this regard:</w:t>
      </w:r>
    </w:p>
    <w:p>
      <w:pPr>
        <w:pStyle w:val="ListParagraph"/>
        <w:numPr>
          <w:ilvl w:val="3"/>
          <w:numId w:val="30"/>
        </w:numPr>
        <w:tabs>
          <w:tab w:pos="1780" w:val="left" w:leader="none"/>
        </w:tabs>
        <w:spacing w:line="266" w:lineRule="auto" w:before="0" w:after="0"/>
        <w:ind w:left="1780" w:right="0" w:hanging="320"/>
        <w:jc w:val="both"/>
        <w:rPr>
          <w:sz w:val="22"/>
        </w:rPr>
      </w:pPr>
      <w:r>
        <w:rPr>
          <w:sz w:val="22"/>
        </w:rPr>
        <w:t>A preliminary vetting of the synopses of </w:t>
      </w:r>
      <w:r>
        <w:rPr>
          <w:sz w:val="22"/>
        </w:rPr>
        <w:t>the </w:t>
      </w:r>
      <w:r>
        <w:rPr>
          <w:w w:val="90"/>
          <w:sz w:val="22"/>
        </w:rPr>
        <w:t>theses followed by rigorous external examination </w:t>
      </w:r>
      <w:r>
        <w:rPr>
          <w:sz w:val="22"/>
        </w:rPr>
        <w:t>of doctoral theses</w:t>
      </w:r>
    </w:p>
    <w:p>
      <w:pPr>
        <w:pStyle w:val="ListParagraph"/>
        <w:numPr>
          <w:ilvl w:val="3"/>
          <w:numId w:val="30"/>
        </w:numPr>
        <w:tabs>
          <w:tab w:pos="1780" w:val="left" w:leader="none"/>
        </w:tabs>
        <w:spacing w:line="266" w:lineRule="auto" w:before="0" w:after="0"/>
        <w:ind w:left="1780" w:right="0" w:hanging="320"/>
        <w:jc w:val="both"/>
        <w:rPr>
          <w:sz w:val="22"/>
        </w:rPr>
      </w:pPr>
      <w:r>
        <w:rPr>
          <w:sz w:val="22"/>
        </w:rPr>
        <w:t>Broad funding for the organisation of </w:t>
      </w:r>
      <w:r>
        <w:rPr>
          <w:sz w:val="22"/>
        </w:rPr>
        <w:t>and participation in workshops, seminars and symposia, in India and overseas</w:t>
      </w:r>
    </w:p>
    <w:p>
      <w:pPr>
        <w:pStyle w:val="ListParagraph"/>
        <w:numPr>
          <w:ilvl w:val="3"/>
          <w:numId w:val="30"/>
        </w:numPr>
        <w:tabs>
          <w:tab w:pos="1780" w:val="left" w:leader="none"/>
        </w:tabs>
        <w:spacing w:line="266" w:lineRule="auto" w:before="0" w:after="0"/>
        <w:ind w:left="1780" w:right="0" w:hanging="320"/>
        <w:jc w:val="both"/>
        <w:rPr>
          <w:sz w:val="22"/>
        </w:rPr>
      </w:pPr>
      <w:r>
        <w:rPr>
          <w:sz w:val="22"/>
        </w:rPr>
        <w:t>Encouraging</w:t>
      </w:r>
      <w:r>
        <w:rPr>
          <w:spacing w:val="40"/>
          <w:sz w:val="22"/>
        </w:rPr>
        <w:t> </w:t>
      </w:r>
      <w:r>
        <w:rPr>
          <w:sz w:val="22"/>
        </w:rPr>
        <w:t>doctoral</w:t>
      </w:r>
      <w:r>
        <w:rPr>
          <w:spacing w:val="40"/>
          <w:sz w:val="22"/>
        </w:rPr>
        <w:t> </w:t>
      </w:r>
      <w:r>
        <w:rPr>
          <w:sz w:val="22"/>
        </w:rPr>
        <w:t>students</w:t>
      </w:r>
      <w:r>
        <w:rPr>
          <w:spacing w:val="40"/>
          <w:sz w:val="22"/>
        </w:rPr>
        <w:t> </w:t>
      </w:r>
      <w:r>
        <w:rPr>
          <w:sz w:val="22"/>
        </w:rPr>
        <w:t>to</w:t>
      </w:r>
      <w:r>
        <w:rPr>
          <w:spacing w:val="40"/>
          <w:sz w:val="22"/>
        </w:rPr>
        <w:t> </w:t>
      </w:r>
      <w:r>
        <w:rPr>
          <w:sz w:val="22"/>
        </w:rPr>
        <w:t>teach, with remuneration provided via Teaching </w:t>
      </w:r>
      <w:r>
        <w:rPr>
          <w:spacing w:val="-2"/>
          <w:sz w:val="22"/>
        </w:rPr>
        <w:t>Assistantships</w:t>
      </w:r>
    </w:p>
    <w:p>
      <w:pPr>
        <w:pStyle w:val="ListParagraph"/>
        <w:numPr>
          <w:ilvl w:val="3"/>
          <w:numId w:val="30"/>
        </w:numPr>
        <w:tabs>
          <w:tab w:pos="1780" w:val="left" w:leader="none"/>
        </w:tabs>
        <w:spacing w:line="266" w:lineRule="auto" w:before="0" w:after="0"/>
        <w:ind w:left="1780" w:right="0" w:hanging="320"/>
        <w:jc w:val="both"/>
        <w:rPr>
          <w:sz w:val="22"/>
        </w:rPr>
      </w:pPr>
      <w:r>
        <w:rPr>
          <w:w w:val="90"/>
          <w:sz w:val="22"/>
        </w:rPr>
        <w:t>Wider dissemination of research work, </w:t>
      </w:r>
      <w:r>
        <w:rPr>
          <w:w w:val="90"/>
          <w:sz w:val="22"/>
        </w:rPr>
        <w:t>especially </w:t>
      </w:r>
      <w:r>
        <w:rPr>
          <w:sz w:val="22"/>
        </w:rPr>
        <w:t>through current digital media in universities and research institutions</w:t>
      </w:r>
    </w:p>
    <w:p>
      <w:pPr>
        <w:pStyle w:val="Heading6"/>
        <w:numPr>
          <w:ilvl w:val="2"/>
          <w:numId w:val="30"/>
        </w:numPr>
        <w:tabs>
          <w:tab w:pos="1404" w:val="left" w:leader="none"/>
          <w:tab w:pos="1406" w:val="left" w:leader="none"/>
        </w:tabs>
        <w:spacing w:line="182" w:lineRule="auto" w:before="246" w:after="0"/>
        <w:ind w:left="1406" w:right="1098" w:hanging="327"/>
        <w:jc w:val="left"/>
      </w:pPr>
      <w:r>
        <w:rPr>
          <w:color w:val="2E614A"/>
          <w:w w:val="90"/>
        </w:rPr>
        <w:t>Enable vigorous </w:t>
      </w:r>
      <w:r>
        <w:rPr>
          <w:color w:val="2E614A"/>
          <w:w w:val="90"/>
        </w:rPr>
        <w:t>industry- </w:t>
      </w:r>
      <w:r>
        <w:rPr>
          <w:color w:val="2E614A"/>
          <w:spacing w:val="-2"/>
        </w:rPr>
        <w:t>academia</w:t>
      </w:r>
      <w:r>
        <w:rPr>
          <w:color w:val="2E614A"/>
          <w:spacing w:val="-18"/>
        </w:rPr>
        <w:t> </w:t>
      </w:r>
      <w:r>
        <w:rPr>
          <w:color w:val="2E614A"/>
          <w:spacing w:val="-2"/>
        </w:rPr>
        <w:t>interaction</w:t>
      </w:r>
    </w:p>
    <w:p>
      <w:pPr>
        <w:pStyle w:val="BodyText"/>
        <w:spacing w:line="266" w:lineRule="auto" w:before="302"/>
        <w:ind w:left="1080"/>
        <w:jc w:val="both"/>
      </w:pPr>
      <w:r>
        <w:rPr/>
        <w:t>In the modern context, there is a crying need for a healthy</w:t>
      </w:r>
      <w:r>
        <w:rPr>
          <w:spacing w:val="-14"/>
        </w:rPr>
        <w:t> </w:t>
      </w:r>
      <w:r>
        <w:rPr/>
        <w:t>and</w:t>
      </w:r>
      <w:r>
        <w:rPr>
          <w:spacing w:val="-14"/>
        </w:rPr>
        <w:t> </w:t>
      </w:r>
      <w:r>
        <w:rPr/>
        <w:t>enlightened</w:t>
      </w:r>
      <w:r>
        <w:rPr>
          <w:spacing w:val="-14"/>
        </w:rPr>
        <w:t> </w:t>
      </w:r>
      <w:r>
        <w:rPr/>
        <w:t>co-operation</w:t>
      </w:r>
      <w:r>
        <w:rPr>
          <w:spacing w:val="-13"/>
        </w:rPr>
        <w:t> </w:t>
      </w:r>
      <w:r>
        <w:rPr/>
        <w:t>between</w:t>
      </w:r>
      <w:r>
        <w:rPr>
          <w:spacing w:val="-14"/>
        </w:rPr>
        <w:t> </w:t>
      </w:r>
      <w:r>
        <w:rPr/>
        <w:t>private industry and academia, which replaces the existing feelings</w:t>
      </w:r>
      <w:r>
        <w:rPr>
          <w:spacing w:val="-6"/>
        </w:rPr>
        <w:t> </w:t>
      </w:r>
      <w:r>
        <w:rPr/>
        <w:t>of</w:t>
      </w:r>
      <w:r>
        <w:rPr>
          <w:spacing w:val="-6"/>
        </w:rPr>
        <w:t> </w:t>
      </w:r>
      <w:r>
        <w:rPr/>
        <w:t>doubt</w:t>
      </w:r>
      <w:r>
        <w:rPr>
          <w:spacing w:val="-6"/>
        </w:rPr>
        <w:t> </w:t>
      </w:r>
      <w:r>
        <w:rPr/>
        <w:t>and</w:t>
      </w:r>
      <w:r>
        <w:rPr>
          <w:spacing w:val="-6"/>
        </w:rPr>
        <w:t> </w:t>
      </w:r>
      <w:r>
        <w:rPr/>
        <w:t>mistrust.</w:t>
      </w:r>
      <w:r>
        <w:rPr>
          <w:spacing w:val="-8"/>
        </w:rPr>
        <w:t> </w:t>
      </w:r>
      <w:r>
        <w:rPr/>
        <w:t>While</w:t>
      </w:r>
      <w:r>
        <w:rPr>
          <w:spacing w:val="-6"/>
        </w:rPr>
        <w:t> </w:t>
      </w:r>
      <w:r>
        <w:rPr/>
        <w:t>industry</w:t>
      </w:r>
      <w:r>
        <w:rPr>
          <w:spacing w:val="-6"/>
        </w:rPr>
        <w:t> </w:t>
      </w:r>
      <w:r>
        <w:rPr/>
        <w:t>should recognise that support for education is beneficial, universities should take cognizance of the changing needs of private enterprise in planning new courses. This</w:t>
      </w:r>
      <w:r>
        <w:rPr>
          <w:spacing w:val="-10"/>
        </w:rPr>
        <w:t> </w:t>
      </w:r>
      <w:r>
        <w:rPr/>
        <w:t>could</w:t>
      </w:r>
      <w:r>
        <w:rPr>
          <w:spacing w:val="-10"/>
        </w:rPr>
        <w:t> </w:t>
      </w:r>
      <w:r>
        <w:rPr/>
        <w:t>be</w:t>
      </w:r>
      <w:r>
        <w:rPr>
          <w:spacing w:val="-10"/>
        </w:rPr>
        <w:t> </w:t>
      </w:r>
      <w:r>
        <w:rPr/>
        <w:t>achieved</w:t>
      </w:r>
      <w:r>
        <w:rPr>
          <w:spacing w:val="-10"/>
        </w:rPr>
        <w:t> </w:t>
      </w:r>
      <w:r>
        <w:rPr/>
        <w:t>by</w:t>
      </w:r>
      <w:r>
        <w:rPr>
          <w:spacing w:val="-10"/>
        </w:rPr>
        <w:t> </w:t>
      </w:r>
      <w:r>
        <w:rPr/>
        <w:t>the</w:t>
      </w:r>
      <w:r>
        <w:rPr>
          <w:spacing w:val="-10"/>
        </w:rPr>
        <w:t> </w:t>
      </w:r>
      <w:r>
        <w:rPr/>
        <w:t>following</w:t>
      </w:r>
      <w:r>
        <w:rPr>
          <w:spacing w:val="-10"/>
        </w:rPr>
        <w:t> </w:t>
      </w:r>
      <w:r>
        <w:rPr/>
        <w:t>measures:</w:t>
      </w:r>
    </w:p>
    <w:p>
      <w:pPr>
        <w:pStyle w:val="ListParagraph"/>
        <w:numPr>
          <w:ilvl w:val="3"/>
          <w:numId w:val="30"/>
        </w:numPr>
        <w:tabs>
          <w:tab w:pos="1780" w:val="left" w:leader="none"/>
        </w:tabs>
        <w:spacing w:line="266" w:lineRule="auto" w:before="15" w:after="0"/>
        <w:ind w:left="1780" w:right="0" w:hanging="320"/>
        <w:jc w:val="both"/>
        <w:rPr>
          <w:sz w:val="22"/>
        </w:rPr>
      </w:pPr>
      <w:r>
        <w:rPr>
          <w:sz w:val="22"/>
        </w:rPr>
        <w:t>A policy framework for meaningful </w:t>
      </w:r>
      <w:r>
        <w:rPr>
          <w:sz w:val="22"/>
        </w:rPr>
        <w:t>Public Private Partnership in universities, and </w:t>
      </w:r>
      <w:r>
        <w:rPr>
          <w:spacing w:val="-4"/>
          <w:sz w:val="22"/>
        </w:rPr>
        <w:t>concerted</w:t>
      </w:r>
      <w:r>
        <w:rPr>
          <w:spacing w:val="-8"/>
          <w:sz w:val="22"/>
        </w:rPr>
        <w:t> </w:t>
      </w:r>
      <w:r>
        <w:rPr>
          <w:spacing w:val="-4"/>
          <w:sz w:val="22"/>
        </w:rPr>
        <w:t>efforts</w:t>
      </w:r>
      <w:r>
        <w:rPr>
          <w:spacing w:val="-8"/>
          <w:sz w:val="22"/>
        </w:rPr>
        <w:t> </w:t>
      </w:r>
      <w:r>
        <w:rPr>
          <w:spacing w:val="-4"/>
          <w:sz w:val="22"/>
        </w:rPr>
        <w:t>to</w:t>
      </w:r>
      <w:r>
        <w:rPr>
          <w:spacing w:val="-8"/>
          <w:sz w:val="22"/>
        </w:rPr>
        <w:t> </w:t>
      </w:r>
      <w:r>
        <w:rPr>
          <w:spacing w:val="-4"/>
          <w:sz w:val="22"/>
        </w:rPr>
        <w:t>nurture</w:t>
      </w:r>
      <w:r>
        <w:rPr>
          <w:spacing w:val="-8"/>
          <w:sz w:val="22"/>
        </w:rPr>
        <w:t> </w:t>
      </w:r>
      <w:r>
        <w:rPr>
          <w:spacing w:val="-4"/>
          <w:sz w:val="22"/>
        </w:rPr>
        <w:t>Industry-Academia </w:t>
      </w:r>
      <w:r>
        <w:rPr>
          <w:spacing w:val="-2"/>
          <w:sz w:val="22"/>
        </w:rPr>
        <w:t>interactions</w:t>
      </w:r>
    </w:p>
    <w:p>
      <w:pPr>
        <w:pStyle w:val="ListParagraph"/>
        <w:numPr>
          <w:ilvl w:val="3"/>
          <w:numId w:val="30"/>
        </w:numPr>
        <w:tabs>
          <w:tab w:pos="1780" w:val="left" w:leader="none"/>
        </w:tabs>
        <w:spacing w:line="266" w:lineRule="auto" w:before="0" w:after="0"/>
        <w:ind w:left="1780" w:right="0" w:hanging="320"/>
        <w:jc w:val="both"/>
        <w:rPr>
          <w:sz w:val="22"/>
        </w:rPr>
      </w:pPr>
      <w:r>
        <w:rPr>
          <w:sz w:val="22"/>
        </w:rPr>
        <w:t>Encouraging</w:t>
      </w:r>
      <w:r>
        <w:rPr>
          <w:spacing w:val="-12"/>
          <w:sz w:val="22"/>
        </w:rPr>
        <w:t> </w:t>
      </w:r>
      <w:r>
        <w:rPr>
          <w:sz w:val="22"/>
        </w:rPr>
        <w:t>private</w:t>
      </w:r>
      <w:r>
        <w:rPr>
          <w:spacing w:val="-12"/>
          <w:sz w:val="22"/>
        </w:rPr>
        <w:t> </w:t>
      </w:r>
      <w:r>
        <w:rPr>
          <w:sz w:val="22"/>
        </w:rPr>
        <w:t>investment</w:t>
      </w:r>
      <w:r>
        <w:rPr>
          <w:spacing w:val="-12"/>
          <w:sz w:val="22"/>
        </w:rPr>
        <w:t> </w:t>
      </w:r>
      <w:r>
        <w:rPr>
          <w:sz w:val="22"/>
        </w:rPr>
        <w:t>in</w:t>
      </w:r>
      <w:r>
        <w:rPr>
          <w:spacing w:val="-12"/>
          <w:sz w:val="22"/>
        </w:rPr>
        <w:t> </w:t>
      </w:r>
      <w:r>
        <w:rPr>
          <w:sz w:val="22"/>
        </w:rPr>
        <w:t>education, </w:t>
      </w:r>
      <w:r>
        <w:rPr>
          <w:spacing w:val="-4"/>
          <w:sz w:val="22"/>
        </w:rPr>
        <w:t>research</w:t>
      </w:r>
      <w:r>
        <w:rPr>
          <w:spacing w:val="-10"/>
          <w:sz w:val="22"/>
        </w:rPr>
        <w:t> </w:t>
      </w:r>
      <w:r>
        <w:rPr>
          <w:spacing w:val="-4"/>
          <w:sz w:val="22"/>
        </w:rPr>
        <w:t>and</w:t>
      </w:r>
      <w:r>
        <w:rPr>
          <w:spacing w:val="-10"/>
          <w:sz w:val="22"/>
        </w:rPr>
        <w:t> </w:t>
      </w:r>
      <w:r>
        <w:rPr>
          <w:spacing w:val="-4"/>
          <w:sz w:val="22"/>
        </w:rPr>
        <w:t>innovation,</w:t>
      </w:r>
      <w:r>
        <w:rPr>
          <w:spacing w:val="-10"/>
          <w:sz w:val="22"/>
        </w:rPr>
        <w:t> </w:t>
      </w:r>
      <w:r>
        <w:rPr>
          <w:spacing w:val="-4"/>
          <w:sz w:val="22"/>
        </w:rPr>
        <w:t>backed</w:t>
      </w:r>
      <w:r>
        <w:rPr>
          <w:spacing w:val="-9"/>
          <w:sz w:val="22"/>
        </w:rPr>
        <w:t> </w:t>
      </w:r>
      <w:r>
        <w:rPr>
          <w:spacing w:val="-4"/>
          <w:sz w:val="22"/>
        </w:rPr>
        <w:t>by</w:t>
      </w:r>
      <w:r>
        <w:rPr>
          <w:spacing w:val="-10"/>
          <w:sz w:val="22"/>
        </w:rPr>
        <w:t> </w:t>
      </w:r>
      <w:r>
        <w:rPr>
          <w:spacing w:val="-4"/>
          <w:sz w:val="22"/>
        </w:rPr>
        <w:t>appropriate </w:t>
      </w:r>
      <w:r>
        <w:rPr>
          <w:sz w:val="22"/>
        </w:rPr>
        <w:t>taxation measures</w:t>
      </w:r>
    </w:p>
    <w:p>
      <w:pPr>
        <w:pStyle w:val="ListParagraph"/>
        <w:numPr>
          <w:ilvl w:val="3"/>
          <w:numId w:val="30"/>
        </w:numPr>
        <w:tabs>
          <w:tab w:pos="1780" w:val="left" w:leader="none"/>
        </w:tabs>
        <w:spacing w:line="266" w:lineRule="auto" w:before="0" w:after="0"/>
        <w:ind w:left="1780" w:right="0" w:hanging="320"/>
        <w:jc w:val="both"/>
        <w:rPr>
          <w:sz w:val="22"/>
        </w:rPr>
      </w:pPr>
      <w:r>
        <w:rPr>
          <w:sz w:val="22"/>
        </w:rPr>
        <w:t>Promoting collaboration between </w:t>
      </w:r>
      <w:r>
        <w:rPr>
          <w:sz w:val="22"/>
        </w:rPr>
        <w:t>research and development units within industry and </w:t>
      </w:r>
      <w:r>
        <w:rPr>
          <w:spacing w:val="-2"/>
          <w:sz w:val="22"/>
        </w:rPr>
        <w:t>universities</w:t>
      </w:r>
    </w:p>
    <w:p>
      <w:pPr>
        <w:pStyle w:val="Heading6"/>
        <w:numPr>
          <w:ilvl w:val="0"/>
          <w:numId w:val="27"/>
        </w:numPr>
        <w:tabs>
          <w:tab w:pos="794" w:val="left" w:leader="none"/>
        </w:tabs>
        <w:spacing w:line="240" w:lineRule="auto" w:before="57" w:after="0"/>
        <w:ind w:left="794" w:right="0" w:hanging="475"/>
        <w:jc w:val="left"/>
      </w:pPr>
      <w:r>
        <w:rPr>
          <w:b w:val="0"/>
        </w:rPr>
        <w:br w:type="column"/>
      </w:r>
      <w:r>
        <w:rPr>
          <w:color w:val="2E614A"/>
          <w:w w:val="90"/>
        </w:rPr>
        <w:t>Foster</w:t>
      </w:r>
      <w:r>
        <w:rPr>
          <w:color w:val="2E614A"/>
          <w:spacing w:val="-3"/>
          <w:w w:val="90"/>
        </w:rPr>
        <w:t> </w:t>
      </w:r>
      <w:r>
        <w:rPr>
          <w:color w:val="2E614A"/>
          <w:w w:val="90"/>
        </w:rPr>
        <w:t>a</w:t>
      </w:r>
      <w:r>
        <w:rPr>
          <w:color w:val="2E614A"/>
          <w:spacing w:val="-3"/>
          <w:w w:val="90"/>
        </w:rPr>
        <w:t> </w:t>
      </w:r>
      <w:r>
        <w:rPr>
          <w:color w:val="2E614A"/>
          <w:w w:val="90"/>
        </w:rPr>
        <w:t>global</w:t>
      </w:r>
      <w:r>
        <w:rPr>
          <w:color w:val="2E614A"/>
          <w:spacing w:val="-3"/>
          <w:w w:val="90"/>
        </w:rPr>
        <w:t> </w:t>
      </w:r>
      <w:r>
        <w:rPr>
          <w:color w:val="2E614A"/>
          <w:w w:val="90"/>
        </w:rPr>
        <w:t>outlook</w:t>
      </w:r>
      <w:r>
        <w:rPr>
          <w:color w:val="2E614A"/>
          <w:spacing w:val="-3"/>
          <w:w w:val="90"/>
        </w:rPr>
        <w:t> </w:t>
      </w:r>
      <w:r>
        <w:rPr>
          <w:color w:val="2E614A"/>
          <w:w w:val="90"/>
        </w:rPr>
        <w:t>in</w:t>
      </w:r>
      <w:r>
        <w:rPr>
          <w:color w:val="2E614A"/>
          <w:spacing w:val="-3"/>
          <w:w w:val="90"/>
        </w:rPr>
        <w:t> </w:t>
      </w:r>
      <w:r>
        <w:rPr>
          <w:color w:val="2E614A"/>
          <w:spacing w:val="-2"/>
          <w:w w:val="90"/>
        </w:rPr>
        <w:t>research</w:t>
      </w:r>
    </w:p>
    <w:p>
      <w:pPr>
        <w:pStyle w:val="BodyText"/>
        <w:spacing w:line="266" w:lineRule="auto" w:before="285"/>
        <w:ind w:left="319" w:right="1077"/>
        <w:jc w:val="both"/>
      </w:pPr>
      <w:r>
        <w:rPr/>
        <w:t>Research</w:t>
      </w:r>
      <w:r>
        <w:rPr>
          <w:spacing w:val="-12"/>
        </w:rPr>
        <w:t> </w:t>
      </w:r>
      <w:r>
        <w:rPr/>
        <w:t>is</w:t>
      </w:r>
      <w:r>
        <w:rPr>
          <w:spacing w:val="-12"/>
        </w:rPr>
        <w:t> </w:t>
      </w:r>
      <w:r>
        <w:rPr/>
        <w:t>increasingly</w:t>
      </w:r>
      <w:r>
        <w:rPr>
          <w:spacing w:val="-12"/>
        </w:rPr>
        <w:t> </w:t>
      </w:r>
      <w:r>
        <w:rPr/>
        <w:t>becoming</w:t>
      </w:r>
      <w:r>
        <w:rPr>
          <w:spacing w:val="-12"/>
        </w:rPr>
        <w:t> </w:t>
      </w:r>
      <w:r>
        <w:rPr/>
        <w:t>a</w:t>
      </w:r>
      <w:r>
        <w:rPr>
          <w:spacing w:val="-12"/>
        </w:rPr>
        <w:t> </w:t>
      </w:r>
      <w:r>
        <w:rPr/>
        <w:t>collective</w:t>
      </w:r>
      <w:r>
        <w:rPr>
          <w:spacing w:val="-12"/>
        </w:rPr>
        <w:t> </w:t>
      </w:r>
      <w:r>
        <w:rPr/>
        <w:t>global endeavour.</w:t>
      </w:r>
      <w:r>
        <w:rPr>
          <w:spacing w:val="-16"/>
        </w:rPr>
        <w:t> </w:t>
      </w:r>
      <w:r>
        <w:rPr/>
        <w:t>It</w:t>
      </w:r>
      <w:r>
        <w:rPr>
          <w:spacing w:val="-14"/>
        </w:rPr>
        <w:t> </w:t>
      </w:r>
      <w:r>
        <w:rPr/>
        <w:t>is</w:t>
      </w:r>
      <w:r>
        <w:rPr>
          <w:spacing w:val="-14"/>
        </w:rPr>
        <w:t> </w:t>
      </w:r>
      <w:r>
        <w:rPr/>
        <w:t>thus</w:t>
      </w:r>
      <w:r>
        <w:rPr>
          <w:spacing w:val="-13"/>
        </w:rPr>
        <w:t> </w:t>
      </w:r>
      <w:r>
        <w:rPr/>
        <w:t>necessary</w:t>
      </w:r>
      <w:r>
        <w:rPr>
          <w:spacing w:val="-14"/>
        </w:rPr>
        <w:t> </w:t>
      </w:r>
      <w:r>
        <w:rPr/>
        <w:t>to</w:t>
      </w:r>
      <w:r>
        <w:rPr>
          <w:spacing w:val="-14"/>
        </w:rPr>
        <w:t> </w:t>
      </w:r>
      <w:r>
        <w:rPr/>
        <w:t>harness</w:t>
      </w:r>
      <w:r>
        <w:rPr>
          <w:spacing w:val="-14"/>
        </w:rPr>
        <w:t> </w:t>
      </w:r>
      <w:r>
        <w:rPr/>
        <w:t>global</w:t>
      </w:r>
      <w:r>
        <w:rPr>
          <w:spacing w:val="-13"/>
        </w:rPr>
        <w:t> </w:t>
      </w:r>
      <w:r>
        <w:rPr/>
        <w:t>talent and expertise to develop capacity within the </w:t>
      </w:r>
      <w:r>
        <w:rPr/>
        <w:t>country. This is also essential if the nation is to remain a </w:t>
      </w:r>
      <w:r>
        <w:rPr>
          <w:spacing w:val="-2"/>
        </w:rPr>
        <w:t>participant</w:t>
      </w:r>
      <w:r>
        <w:rPr>
          <w:spacing w:val="-12"/>
        </w:rPr>
        <w:t> </w:t>
      </w:r>
      <w:r>
        <w:rPr>
          <w:spacing w:val="-2"/>
        </w:rPr>
        <w:t>in</w:t>
      </w:r>
      <w:r>
        <w:rPr>
          <w:spacing w:val="-11"/>
        </w:rPr>
        <w:t> </w:t>
      </w:r>
      <w:r>
        <w:rPr>
          <w:spacing w:val="-2"/>
        </w:rPr>
        <w:t>global</w:t>
      </w:r>
      <w:r>
        <w:rPr>
          <w:spacing w:val="-11"/>
        </w:rPr>
        <w:t> </w:t>
      </w:r>
      <w:r>
        <w:rPr>
          <w:spacing w:val="-2"/>
        </w:rPr>
        <w:t>cutting</w:t>
      </w:r>
      <w:r>
        <w:rPr>
          <w:spacing w:val="-11"/>
        </w:rPr>
        <w:t> </w:t>
      </w:r>
      <w:r>
        <w:rPr>
          <w:spacing w:val="-2"/>
        </w:rPr>
        <w:t>edge</w:t>
      </w:r>
      <w:r>
        <w:rPr>
          <w:spacing w:val="-11"/>
        </w:rPr>
        <w:t> </w:t>
      </w:r>
      <w:r>
        <w:rPr>
          <w:spacing w:val="-2"/>
        </w:rPr>
        <w:t>research.</w:t>
      </w:r>
      <w:r>
        <w:rPr>
          <w:spacing w:val="-12"/>
        </w:rPr>
        <w:t> </w:t>
      </w:r>
      <w:r>
        <w:rPr>
          <w:spacing w:val="-2"/>
        </w:rPr>
        <w:t>With</w:t>
      </w:r>
      <w:r>
        <w:rPr>
          <w:spacing w:val="-11"/>
        </w:rPr>
        <w:t> </w:t>
      </w:r>
      <w:r>
        <w:rPr>
          <w:spacing w:val="-2"/>
        </w:rPr>
        <w:t>this</w:t>
      </w:r>
      <w:r>
        <w:rPr>
          <w:spacing w:val="-11"/>
        </w:rPr>
        <w:t> </w:t>
      </w:r>
      <w:r>
        <w:rPr>
          <w:spacing w:val="-2"/>
        </w:rPr>
        <w:t>in </w:t>
      </w:r>
      <w:r>
        <w:rPr/>
        <w:t>view,</w:t>
      </w:r>
      <w:r>
        <w:rPr>
          <w:spacing w:val="-5"/>
        </w:rPr>
        <w:t> </w:t>
      </w:r>
      <w:r>
        <w:rPr/>
        <w:t>the</w:t>
      </w:r>
      <w:r>
        <w:rPr>
          <w:spacing w:val="-5"/>
        </w:rPr>
        <w:t> </w:t>
      </w:r>
      <w:r>
        <w:rPr/>
        <w:t>following</w:t>
      </w:r>
      <w:r>
        <w:rPr>
          <w:spacing w:val="-5"/>
        </w:rPr>
        <w:t> </w:t>
      </w:r>
      <w:r>
        <w:rPr/>
        <w:t>is</w:t>
      </w:r>
      <w:r>
        <w:rPr>
          <w:spacing w:val="-5"/>
        </w:rPr>
        <w:t> </w:t>
      </w:r>
      <w:r>
        <w:rPr/>
        <w:t>recommended:</w:t>
      </w:r>
    </w:p>
    <w:p>
      <w:pPr>
        <w:pStyle w:val="ListParagraph"/>
        <w:numPr>
          <w:ilvl w:val="0"/>
          <w:numId w:val="45"/>
        </w:numPr>
        <w:tabs>
          <w:tab w:pos="1019" w:val="left" w:leader="none"/>
        </w:tabs>
        <w:spacing w:line="266" w:lineRule="auto" w:before="0" w:after="0"/>
        <w:ind w:left="1019" w:right="1077" w:hanging="320"/>
        <w:jc w:val="both"/>
        <w:rPr>
          <w:sz w:val="22"/>
        </w:rPr>
      </w:pPr>
      <w:r>
        <w:rPr>
          <w:sz w:val="22"/>
        </w:rPr>
        <w:t>Encouraging NRI/PIO Scientists to </w:t>
      </w:r>
      <w:r>
        <w:rPr>
          <w:sz w:val="22"/>
        </w:rPr>
        <w:t>establish meaningful</w:t>
      </w:r>
      <w:r>
        <w:rPr>
          <w:spacing w:val="-10"/>
          <w:sz w:val="22"/>
        </w:rPr>
        <w:t> </w:t>
      </w:r>
      <w:r>
        <w:rPr>
          <w:sz w:val="22"/>
        </w:rPr>
        <w:t>links</w:t>
      </w:r>
      <w:r>
        <w:rPr>
          <w:spacing w:val="-10"/>
          <w:sz w:val="22"/>
        </w:rPr>
        <w:t> </w:t>
      </w:r>
      <w:r>
        <w:rPr>
          <w:sz w:val="22"/>
        </w:rPr>
        <w:t>with</w:t>
      </w:r>
      <w:r>
        <w:rPr>
          <w:spacing w:val="-10"/>
          <w:sz w:val="22"/>
        </w:rPr>
        <w:t> </w:t>
      </w:r>
      <w:r>
        <w:rPr>
          <w:sz w:val="22"/>
        </w:rPr>
        <w:t>Indian</w:t>
      </w:r>
      <w:r>
        <w:rPr>
          <w:spacing w:val="-10"/>
          <w:sz w:val="22"/>
        </w:rPr>
        <w:t> </w:t>
      </w:r>
      <w:r>
        <w:rPr>
          <w:sz w:val="22"/>
        </w:rPr>
        <w:t>institutions,</w:t>
      </w:r>
      <w:r>
        <w:rPr>
          <w:spacing w:val="-10"/>
          <w:sz w:val="22"/>
        </w:rPr>
        <w:t> </w:t>
      </w:r>
      <w:r>
        <w:rPr>
          <w:sz w:val="22"/>
        </w:rPr>
        <w:t>and </w:t>
      </w:r>
      <w:r>
        <w:rPr>
          <w:spacing w:val="-2"/>
          <w:sz w:val="22"/>
        </w:rPr>
        <w:t>participate</w:t>
      </w:r>
      <w:r>
        <w:rPr>
          <w:spacing w:val="-12"/>
          <w:sz w:val="22"/>
        </w:rPr>
        <w:t> </w:t>
      </w:r>
      <w:r>
        <w:rPr>
          <w:spacing w:val="-2"/>
          <w:sz w:val="22"/>
        </w:rPr>
        <w:t>in</w:t>
      </w:r>
      <w:r>
        <w:rPr>
          <w:spacing w:val="-12"/>
          <w:sz w:val="22"/>
        </w:rPr>
        <w:t> </w:t>
      </w:r>
      <w:r>
        <w:rPr>
          <w:spacing w:val="-2"/>
          <w:sz w:val="22"/>
        </w:rPr>
        <w:t>the</w:t>
      </w:r>
      <w:r>
        <w:rPr>
          <w:spacing w:val="-12"/>
          <w:sz w:val="22"/>
        </w:rPr>
        <w:t> </w:t>
      </w:r>
      <w:r>
        <w:rPr>
          <w:spacing w:val="-2"/>
          <w:sz w:val="22"/>
        </w:rPr>
        <w:t>academic</w:t>
      </w:r>
      <w:r>
        <w:rPr>
          <w:spacing w:val="-11"/>
          <w:sz w:val="22"/>
        </w:rPr>
        <w:t> </w:t>
      </w:r>
      <w:r>
        <w:rPr>
          <w:spacing w:val="-2"/>
          <w:sz w:val="22"/>
        </w:rPr>
        <w:t>development</w:t>
      </w:r>
      <w:r>
        <w:rPr>
          <w:spacing w:val="-12"/>
          <w:sz w:val="22"/>
        </w:rPr>
        <w:t> </w:t>
      </w:r>
      <w:r>
        <w:rPr>
          <w:spacing w:val="-2"/>
          <w:sz w:val="22"/>
        </w:rPr>
        <w:t>of</w:t>
      </w:r>
      <w:r>
        <w:rPr>
          <w:spacing w:val="-12"/>
          <w:sz w:val="22"/>
        </w:rPr>
        <w:t> </w:t>
      </w:r>
      <w:r>
        <w:rPr>
          <w:spacing w:val="-2"/>
          <w:sz w:val="22"/>
        </w:rPr>
        <w:t>the nation</w:t>
      </w:r>
    </w:p>
    <w:p>
      <w:pPr>
        <w:pStyle w:val="ListParagraph"/>
        <w:numPr>
          <w:ilvl w:val="0"/>
          <w:numId w:val="45"/>
        </w:numPr>
        <w:tabs>
          <w:tab w:pos="1019" w:val="left" w:leader="none"/>
        </w:tabs>
        <w:spacing w:line="266" w:lineRule="auto" w:before="0" w:after="0"/>
        <w:ind w:left="1019" w:right="1078" w:hanging="320"/>
        <w:jc w:val="both"/>
        <w:rPr>
          <w:sz w:val="22"/>
        </w:rPr>
      </w:pPr>
      <w:r>
        <w:rPr>
          <w:w w:val="90"/>
          <w:sz w:val="22"/>
        </w:rPr>
        <w:t>Creating</w:t>
      </w:r>
      <w:r>
        <w:rPr>
          <w:spacing w:val="-9"/>
          <w:w w:val="90"/>
          <w:sz w:val="22"/>
        </w:rPr>
        <w:t> </w:t>
      </w:r>
      <w:r>
        <w:rPr>
          <w:w w:val="90"/>
          <w:sz w:val="22"/>
        </w:rPr>
        <w:t>joint</w:t>
      </w:r>
      <w:r>
        <w:rPr>
          <w:spacing w:val="-8"/>
          <w:w w:val="90"/>
          <w:sz w:val="22"/>
        </w:rPr>
        <w:t> </w:t>
      </w:r>
      <w:r>
        <w:rPr>
          <w:w w:val="90"/>
          <w:sz w:val="22"/>
        </w:rPr>
        <w:t>Ph.D</w:t>
      </w:r>
      <w:r>
        <w:rPr>
          <w:spacing w:val="-8"/>
          <w:w w:val="90"/>
          <w:sz w:val="22"/>
        </w:rPr>
        <w:t> </w:t>
      </w:r>
      <w:r>
        <w:rPr>
          <w:w w:val="90"/>
          <w:sz w:val="22"/>
        </w:rPr>
        <w:t>programs</w:t>
      </w:r>
      <w:r>
        <w:rPr>
          <w:spacing w:val="-8"/>
          <w:w w:val="90"/>
          <w:sz w:val="22"/>
        </w:rPr>
        <w:t> </w:t>
      </w:r>
      <w:r>
        <w:rPr>
          <w:w w:val="90"/>
          <w:sz w:val="22"/>
        </w:rPr>
        <w:t>between</w:t>
      </w:r>
      <w:r>
        <w:rPr>
          <w:spacing w:val="-9"/>
          <w:w w:val="90"/>
          <w:sz w:val="22"/>
        </w:rPr>
        <w:t> </w:t>
      </w:r>
      <w:r>
        <w:rPr>
          <w:w w:val="90"/>
          <w:sz w:val="22"/>
        </w:rPr>
        <w:t>universities </w:t>
      </w:r>
      <w:r>
        <w:rPr>
          <w:sz w:val="22"/>
        </w:rPr>
        <w:t>both</w:t>
      </w:r>
      <w:r>
        <w:rPr>
          <w:spacing w:val="-11"/>
          <w:sz w:val="22"/>
        </w:rPr>
        <w:t> </w:t>
      </w:r>
      <w:r>
        <w:rPr>
          <w:sz w:val="22"/>
        </w:rPr>
        <w:t>within</w:t>
      </w:r>
      <w:r>
        <w:rPr>
          <w:spacing w:val="-11"/>
          <w:sz w:val="22"/>
        </w:rPr>
        <w:t> </w:t>
      </w:r>
      <w:r>
        <w:rPr>
          <w:sz w:val="22"/>
        </w:rPr>
        <w:t>and</w:t>
      </w:r>
      <w:r>
        <w:rPr>
          <w:spacing w:val="-11"/>
          <w:sz w:val="22"/>
        </w:rPr>
        <w:t> </w:t>
      </w:r>
      <w:r>
        <w:rPr>
          <w:sz w:val="22"/>
        </w:rPr>
        <w:t>outside</w:t>
      </w:r>
      <w:r>
        <w:rPr>
          <w:spacing w:val="-11"/>
          <w:sz w:val="22"/>
        </w:rPr>
        <w:t> </w:t>
      </w:r>
      <w:r>
        <w:rPr>
          <w:sz w:val="22"/>
        </w:rPr>
        <w:t>of</w:t>
      </w:r>
      <w:r>
        <w:rPr>
          <w:spacing w:val="-11"/>
          <w:sz w:val="22"/>
        </w:rPr>
        <w:t> </w:t>
      </w:r>
      <w:r>
        <w:rPr>
          <w:sz w:val="22"/>
        </w:rPr>
        <w:t>the</w:t>
      </w:r>
      <w:r>
        <w:rPr>
          <w:spacing w:val="-11"/>
          <w:sz w:val="22"/>
        </w:rPr>
        <w:t> </w:t>
      </w:r>
      <w:r>
        <w:rPr>
          <w:sz w:val="22"/>
        </w:rPr>
        <w:t>country</w:t>
      </w:r>
    </w:p>
    <w:p>
      <w:pPr>
        <w:pStyle w:val="ListParagraph"/>
        <w:numPr>
          <w:ilvl w:val="0"/>
          <w:numId w:val="45"/>
        </w:numPr>
        <w:tabs>
          <w:tab w:pos="1019" w:val="left" w:leader="none"/>
        </w:tabs>
        <w:spacing w:line="266" w:lineRule="auto" w:before="0" w:after="0"/>
        <w:ind w:left="1019" w:right="1077" w:hanging="320"/>
        <w:jc w:val="both"/>
        <w:rPr>
          <w:sz w:val="22"/>
        </w:rPr>
      </w:pPr>
      <w:r>
        <w:rPr>
          <w:sz w:val="22"/>
        </w:rPr>
        <w:t>Financial and administrative support </w:t>
      </w:r>
      <w:r>
        <w:rPr>
          <w:sz w:val="22"/>
        </w:rPr>
        <w:t>for international research collaborations</w:t>
      </w:r>
    </w:p>
    <w:p>
      <w:pPr>
        <w:pStyle w:val="ListParagraph"/>
        <w:numPr>
          <w:ilvl w:val="0"/>
          <w:numId w:val="45"/>
        </w:numPr>
        <w:tabs>
          <w:tab w:pos="1019" w:val="left" w:leader="none"/>
        </w:tabs>
        <w:spacing w:line="266" w:lineRule="auto" w:before="0" w:after="0"/>
        <w:ind w:left="1019" w:right="1077" w:hanging="320"/>
        <w:jc w:val="both"/>
        <w:rPr>
          <w:sz w:val="22"/>
        </w:rPr>
      </w:pPr>
      <w:r>
        <w:rPr>
          <w:sz w:val="22"/>
        </w:rPr>
        <w:t>Identifying</w:t>
      </w:r>
      <w:r>
        <w:rPr>
          <w:spacing w:val="-11"/>
          <w:sz w:val="22"/>
        </w:rPr>
        <w:t> </w:t>
      </w:r>
      <w:r>
        <w:rPr>
          <w:sz w:val="22"/>
        </w:rPr>
        <w:t>important</w:t>
      </w:r>
      <w:r>
        <w:rPr>
          <w:spacing w:val="-11"/>
          <w:sz w:val="22"/>
        </w:rPr>
        <w:t> </w:t>
      </w:r>
      <w:r>
        <w:rPr>
          <w:sz w:val="22"/>
        </w:rPr>
        <w:t>areas</w:t>
      </w:r>
      <w:r>
        <w:rPr>
          <w:spacing w:val="-11"/>
          <w:sz w:val="22"/>
        </w:rPr>
        <w:t> </w:t>
      </w:r>
      <w:r>
        <w:rPr>
          <w:sz w:val="22"/>
        </w:rPr>
        <w:t>of</w:t>
      </w:r>
      <w:r>
        <w:rPr>
          <w:spacing w:val="-11"/>
          <w:sz w:val="22"/>
        </w:rPr>
        <w:t> </w:t>
      </w:r>
      <w:r>
        <w:rPr>
          <w:sz w:val="22"/>
        </w:rPr>
        <w:t>research</w:t>
      </w:r>
      <w:r>
        <w:rPr>
          <w:spacing w:val="-11"/>
          <w:sz w:val="22"/>
        </w:rPr>
        <w:t> </w:t>
      </w:r>
      <w:r>
        <w:rPr>
          <w:sz w:val="22"/>
        </w:rPr>
        <w:t>where national</w:t>
      </w:r>
      <w:r>
        <w:rPr>
          <w:spacing w:val="40"/>
          <w:sz w:val="22"/>
        </w:rPr>
        <w:t> </w:t>
      </w:r>
      <w:r>
        <w:rPr>
          <w:sz w:val="22"/>
        </w:rPr>
        <w:t>expertise</w:t>
      </w:r>
      <w:r>
        <w:rPr>
          <w:spacing w:val="40"/>
          <w:sz w:val="22"/>
        </w:rPr>
        <w:t> </w:t>
      </w:r>
      <w:r>
        <w:rPr>
          <w:sz w:val="22"/>
        </w:rPr>
        <w:t>needs</w:t>
      </w:r>
      <w:r>
        <w:rPr>
          <w:spacing w:val="40"/>
          <w:sz w:val="22"/>
        </w:rPr>
        <w:t> </w:t>
      </w:r>
      <w:r>
        <w:rPr>
          <w:sz w:val="22"/>
        </w:rPr>
        <w:t>to</w:t>
      </w:r>
      <w:r>
        <w:rPr>
          <w:spacing w:val="40"/>
          <w:sz w:val="22"/>
        </w:rPr>
        <w:t> </w:t>
      </w:r>
      <w:r>
        <w:rPr>
          <w:sz w:val="22"/>
        </w:rPr>
        <w:t>be</w:t>
      </w:r>
      <w:r>
        <w:rPr>
          <w:spacing w:val="40"/>
          <w:sz w:val="22"/>
        </w:rPr>
        <w:t> </w:t>
      </w:r>
      <w:r>
        <w:rPr>
          <w:sz w:val="22"/>
        </w:rPr>
        <w:t>developed and initiating steps for funding and capacity </w:t>
      </w:r>
      <w:r>
        <w:rPr>
          <w:spacing w:val="-6"/>
          <w:sz w:val="22"/>
        </w:rPr>
        <w:t>building</w:t>
      </w:r>
      <w:r>
        <w:rPr>
          <w:spacing w:val="-8"/>
          <w:sz w:val="22"/>
        </w:rPr>
        <w:t> </w:t>
      </w:r>
      <w:r>
        <w:rPr>
          <w:spacing w:val="-6"/>
          <w:sz w:val="22"/>
        </w:rPr>
        <w:t>by</w:t>
      </w:r>
      <w:r>
        <w:rPr>
          <w:spacing w:val="-8"/>
          <w:sz w:val="22"/>
        </w:rPr>
        <w:t> </w:t>
      </w:r>
      <w:r>
        <w:rPr>
          <w:spacing w:val="-6"/>
          <w:sz w:val="22"/>
        </w:rPr>
        <w:t>way</w:t>
      </w:r>
      <w:r>
        <w:rPr>
          <w:spacing w:val="-8"/>
          <w:sz w:val="22"/>
        </w:rPr>
        <w:t> </w:t>
      </w:r>
      <w:r>
        <w:rPr>
          <w:spacing w:val="-6"/>
          <w:sz w:val="22"/>
        </w:rPr>
        <w:t>of</w:t>
      </w:r>
      <w:r>
        <w:rPr>
          <w:spacing w:val="-7"/>
          <w:sz w:val="22"/>
        </w:rPr>
        <w:t> </w:t>
      </w:r>
      <w:r>
        <w:rPr>
          <w:spacing w:val="-6"/>
          <w:sz w:val="22"/>
        </w:rPr>
        <w:t>collaborations,</w:t>
      </w:r>
      <w:r>
        <w:rPr>
          <w:spacing w:val="-8"/>
          <w:sz w:val="22"/>
        </w:rPr>
        <w:t> </w:t>
      </w:r>
      <w:r>
        <w:rPr>
          <w:spacing w:val="-6"/>
          <w:sz w:val="22"/>
        </w:rPr>
        <w:t>guest</w:t>
      </w:r>
      <w:r>
        <w:rPr>
          <w:spacing w:val="-8"/>
          <w:sz w:val="22"/>
        </w:rPr>
        <w:t> </w:t>
      </w:r>
      <w:r>
        <w:rPr>
          <w:spacing w:val="-6"/>
          <w:sz w:val="22"/>
        </w:rPr>
        <w:t>faculty, </w:t>
      </w:r>
      <w:r>
        <w:rPr>
          <w:sz w:val="22"/>
        </w:rPr>
        <w:t>pro-active hiring etc.</w:t>
      </w:r>
    </w:p>
    <w:p>
      <w:pPr>
        <w:pStyle w:val="BodyText"/>
        <w:spacing w:before="12"/>
      </w:pPr>
    </w:p>
    <w:p>
      <w:pPr>
        <w:pStyle w:val="BodyText"/>
        <w:spacing w:line="266" w:lineRule="auto"/>
        <w:ind w:left="319" w:right="1077"/>
        <w:jc w:val="both"/>
      </w:pPr>
      <w:r>
        <w:rPr/>
        <w:t>In conclusion, it must be recognised that investment in education and research produces a broad range of </w:t>
      </w:r>
      <w:r>
        <w:rPr>
          <w:spacing w:val="-8"/>
        </w:rPr>
        <w:t>dividends,</w:t>
      </w:r>
      <w:r>
        <w:rPr>
          <w:spacing w:val="-2"/>
        </w:rPr>
        <w:t> </w:t>
      </w:r>
      <w:r>
        <w:rPr>
          <w:spacing w:val="-8"/>
        </w:rPr>
        <w:t>both</w:t>
      </w:r>
      <w:r>
        <w:rPr>
          <w:spacing w:val="-2"/>
        </w:rPr>
        <w:t> </w:t>
      </w:r>
      <w:r>
        <w:rPr>
          <w:spacing w:val="-8"/>
        </w:rPr>
        <w:t>tangible</w:t>
      </w:r>
      <w:r>
        <w:rPr>
          <w:spacing w:val="-2"/>
        </w:rPr>
        <w:t> </w:t>
      </w:r>
      <w:r>
        <w:rPr>
          <w:spacing w:val="-8"/>
        </w:rPr>
        <w:t>and</w:t>
      </w:r>
      <w:r>
        <w:rPr>
          <w:spacing w:val="-2"/>
        </w:rPr>
        <w:t> </w:t>
      </w:r>
      <w:r>
        <w:rPr>
          <w:spacing w:val="-8"/>
        </w:rPr>
        <w:t>intangible.</w:t>
      </w:r>
      <w:r>
        <w:rPr>
          <w:spacing w:val="-2"/>
        </w:rPr>
        <w:t> </w:t>
      </w:r>
      <w:r>
        <w:rPr>
          <w:spacing w:val="-8"/>
        </w:rPr>
        <w:t>Our</w:t>
      </w:r>
      <w:r>
        <w:rPr>
          <w:spacing w:val="-2"/>
        </w:rPr>
        <w:t> </w:t>
      </w:r>
      <w:r>
        <w:rPr>
          <w:spacing w:val="-8"/>
        </w:rPr>
        <w:t>existing</w:t>
      </w:r>
      <w:r>
        <w:rPr>
          <w:spacing w:val="-2"/>
        </w:rPr>
        <w:t> </w:t>
      </w:r>
      <w:r>
        <w:rPr>
          <w:spacing w:val="-8"/>
        </w:rPr>
        <w:t>base in</w:t>
      </w:r>
      <w:r>
        <w:rPr>
          <w:spacing w:val="-6"/>
        </w:rPr>
        <w:t> </w:t>
      </w:r>
      <w:r>
        <w:rPr>
          <w:spacing w:val="-8"/>
        </w:rPr>
        <w:t>research</w:t>
      </w:r>
      <w:r>
        <w:rPr>
          <w:spacing w:val="-6"/>
        </w:rPr>
        <w:t> </w:t>
      </w:r>
      <w:r>
        <w:rPr>
          <w:spacing w:val="-8"/>
        </w:rPr>
        <w:t>needs</w:t>
      </w:r>
      <w:r>
        <w:rPr>
          <w:spacing w:val="-6"/>
        </w:rPr>
        <w:t> </w:t>
      </w:r>
      <w:r>
        <w:rPr>
          <w:spacing w:val="-8"/>
        </w:rPr>
        <w:t>to</w:t>
      </w:r>
      <w:r>
        <w:rPr>
          <w:spacing w:val="-5"/>
        </w:rPr>
        <w:t> </w:t>
      </w:r>
      <w:r>
        <w:rPr>
          <w:spacing w:val="-8"/>
        </w:rPr>
        <w:t>be</w:t>
      </w:r>
      <w:r>
        <w:rPr>
          <w:spacing w:val="-6"/>
        </w:rPr>
        <w:t> </w:t>
      </w:r>
      <w:r>
        <w:rPr>
          <w:spacing w:val="-8"/>
        </w:rPr>
        <w:t>urgently</w:t>
      </w:r>
      <w:r>
        <w:rPr>
          <w:spacing w:val="-6"/>
        </w:rPr>
        <w:t> </w:t>
      </w:r>
      <w:r>
        <w:rPr>
          <w:spacing w:val="-8"/>
        </w:rPr>
        <w:t>strengthened</w:t>
      </w:r>
      <w:r>
        <w:rPr>
          <w:spacing w:val="-6"/>
        </w:rPr>
        <w:t> </w:t>
      </w:r>
      <w:r>
        <w:rPr>
          <w:spacing w:val="-8"/>
        </w:rPr>
        <w:t>to</w:t>
      </w:r>
      <w:r>
        <w:rPr>
          <w:spacing w:val="-5"/>
        </w:rPr>
        <w:t> </w:t>
      </w:r>
      <w:r>
        <w:rPr>
          <w:spacing w:val="-8"/>
        </w:rPr>
        <w:t>arrest</w:t>
      </w:r>
      <w:r>
        <w:rPr>
          <w:spacing w:val="-6"/>
        </w:rPr>
        <w:t> </w:t>
      </w:r>
      <w:r>
        <w:rPr>
          <w:spacing w:val="-8"/>
        </w:rPr>
        <w:t>any further</w:t>
      </w:r>
      <w:r>
        <w:rPr>
          <w:spacing w:val="-6"/>
        </w:rPr>
        <w:t> </w:t>
      </w:r>
      <w:r>
        <w:rPr>
          <w:spacing w:val="-8"/>
        </w:rPr>
        <w:t>erosion.</w:t>
      </w:r>
      <w:r>
        <w:rPr>
          <w:spacing w:val="-6"/>
        </w:rPr>
        <w:t> </w:t>
      </w:r>
      <w:r>
        <w:rPr>
          <w:spacing w:val="-8"/>
        </w:rPr>
        <w:t>While</w:t>
      </w:r>
      <w:r>
        <w:rPr>
          <w:spacing w:val="-6"/>
        </w:rPr>
        <w:t> </w:t>
      </w:r>
      <w:r>
        <w:rPr>
          <w:spacing w:val="-8"/>
        </w:rPr>
        <w:t>the</w:t>
      </w:r>
      <w:r>
        <w:rPr>
          <w:spacing w:val="-5"/>
        </w:rPr>
        <w:t> </w:t>
      </w:r>
      <w:r>
        <w:rPr>
          <w:spacing w:val="-8"/>
        </w:rPr>
        <w:t>NKC</w:t>
      </w:r>
      <w:r>
        <w:rPr>
          <w:spacing w:val="-6"/>
        </w:rPr>
        <w:t> </w:t>
      </w:r>
      <w:r>
        <w:rPr>
          <w:spacing w:val="-8"/>
        </w:rPr>
        <w:t>welcomes</w:t>
      </w:r>
      <w:r>
        <w:rPr>
          <w:spacing w:val="-6"/>
        </w:rPr>
        <w:t> </w:t>
      </w:r>
      <w:r>
        <w:rPr>
          <w:spacing w:val="-8"/>
        </w:rPr>
        <w:t>the</w:t>
      </w:r>
      <w:r>
        <w:rPr>
          <w:spacing w:val="-6"/>
        </w:rPr>
        <w:t> </w:t>
      </w:r>
      <w:r>
        <w:rPr>
          <w:spacing w:val="-8"/>
        </w:rPr>
        <w:t>augmented </w:t>
      </w:r>
      <w:r>
        <w:rPr>
          <w:spacing w:val="-2"/>
          <w:w w:val="90"/>
        </w:rPr>
        <w:t>allocation for education in the Eleventh-Five</w:t>
      </w:r>
      <w:r>
        <w:rPr>
          <w:spacing w:val="-6"/>
          <w:w w:val="90"/>
        </w:rPr>
        <w:t> </w:t>
      </w:r>
      <w:r>
        <w:rPr>
          <w:spacing w:val="-2"/>
          <w:w w:val="90"/>
        </w:rPr>
        <w:t>Year Plan, it is </w:t>
      </w:r>
      <w:r>
        <w:rPr>
          <w:spacing w:val="-8"/>
        </w:rPr>
        <w:t>important</w:t>
      </w:r>
      <w:r>
        <w:rPr>
          <w:spacing w:val="-1"/>
        </w:rPr>
        <w:t> </w:t>
      </w:r>
      <w:r>
        <w:rPr>
          <w:spacing w:val="-8"/>
        </w:rPr>
        <w:t>that</w:t>
      </w:r>
      <w:r>
        <w:rPr>
          <w:spacing w:val="-1"/>
        </w:rPr>
        <w:t> </w:t>
      </w:r>
      <w:r>
        <w:rPr>
          <w:spacing w:val="-8"/>
        </w:rPr>
        <w:t>these</w:t>
      </w:r>
      <w:r>
        <w:rPr>
          <w:spacing w:val="-1"/>
        </w:rPr>
        <w:t> </w:t>
      </w:r>
      <w:r>
        <w:rPr>
          <w:spacing w:val="-8"/>
        </w:rPr>
        <w:t>funds</w:t>
      </w:r>
      <w:r>
        <w:rPr>
          <w:spacing w:val="-1"/>
        </w:rPr>
        <w:t> </w:t>
      </w:r>
      <w:r>
        <w:rPr>
          <w:spacing w:val="-8"/>
        </w:rPr>
        <w:t>are</w:t>
      </w:r>
      <w:r>
        <w:rPr>
          <w:spacing w:val="-1"/>
        </w:rPr>
        <w:t> </w:t>
      </w:r>
      <w:r>
        <w:rPr>
          <w:spacing w:val="-8"/>
        </w:rPr>
        <w:t>effectively</w:t>
      </w:r>
      <w:r>
        <w:rPr>
          <w:spacing w:val="-1"/>
        </w:rPr>
        <w:t> </w:t>
      </w:r>
      <w:r>
        <w:rPr>
          <w:spacing w:val="-8"/>
        </w:rPr>
        <w:t>utilised</w:t>
      </w:r>
      <w:r>
        <w:rPr>
          <w:spacing w:val="-1"/>
        </w:rPr>
        <w:t> </w:t>
      </w:r>
      <w:r>
        <w:rPr>
          <w:spacing w:val="-8"/>
        </w:rPr>
        <w:t>to</w:t>
      </w:r>
      <w:r>
        <w:rPr>
          <w:spacing w:val="-1"/>
        </w:rPr>
        <w:t> </w:t>
      </w:r>
      <w:r>
        <w:rPr>
          <w:spacing w:val="-8"/>
        </w:rPr>
        <w:t>make </w:t>
      </w:r>
      <w:r>
        <w:rPr>
          <w:spacing w:val="-6"/>
        </w:rPr>
        <w:t>a visible difference in our academic landscape. As a first </w:t>
      </w:r>
      <w:r>
        <w:rPr>
          <w:w w:val="90"/>
        </w:rPr>
        <w:t>step,</w:t>
      </w:r>
      <w:r>
        <w:rPr>
          <w:spacing w:val="-8"/>
          <w:w w:val="90"/>
        </w:rPr>
        <w:t> </w:t>
      </w:r>
      <w:r>
        <w:rPr>
          <w:w w:val="90"/>
        </w:rPr>
        <w:t>we</w:t>
      </w:r>
      <w:r>
        <w:rPr>
          <w:spacing w:val="-8"/>
          <w:w w:val="90"/>
        </w:rPr>
        <w:t> </w:t>
      </w:r>
      <w:r>
        <w:rPr>
          <w:w w:val="90"/>
        </w:rPr>
        <w:t>urge</w:t>
      </w:r>
      <w:r>
        <w:rPr>
          <w:spacing w:val="-8"/>
          <w:w w:val="90"/>
        </w:rPr>
        <w:t> </w:t>
      </w:r>
      <w:r>
        <w:rPr>
          <w:w w:val="90"/>
        </w:rPr>
        <w:t>the</w:t>
      </w:r>
      <w:r>
        <w:rPr>
          <w:spacing w:val="-8"/>
          <w:w w:val="90"/>
        </w:rPr>
        <w:t> </w:t>
      </w:r>
      <w:r>
        <w:rPr>
          <w:w w:val="90"/>
        </w:rPr>
        <w:t>government</w:t>
      </w:r>
      <w:r>
        <w:rPr>
          <w:spacing w:val="-8"/>
          <w:w w:val="90"/>
        </w:rPr>
        <w:t> </w:t>
      </w:r>
      <w:r>
        <w:rPr>
          <w:w w:val="90"/>
        </w:rPr>
        <w:t>to</w:t>
      </w:r>
      <w:r>
        <w:rPr>
          <w:spacing w:val="-8"/>
          <w:w w:val="90"/>
        </w:rPr>
        <w:t> </w:t>
      </w:r>
      <w:r>
        <w:rPr>
          <w:w w:val="90"/>
        </w:rPr>
        <w:t>set</w:t>
      </w:r>
      <w:r>
        <w:rPr>
          <w:spacing w:val="-8"/>
          <w:w w:val="90"/>
        </w:rPr>
        <w:t> </w:t>
      </w:r>
      <w:r>
        <w:rPr>
          <w:w w:val="90"/>
        </w:rPr>
        <w:t>itself</w:t>
      </w:r>
      <w:r>
        <w:rPr>
          <w:spacing w:val="-8"/>
          <w:w w:val="90"/>
        </w:rPr>
        <w:t> </w:t>
      </w:r>
      <w:r>
        <w:rPr>
          <w:w w:val="90"/>
        </w:rPr>
        <w:t>a</w:t>
      </w:r>
      <w:r>
        <w:rPr>
          <w:spacing w:val="-8"/>
          <w:w w:val="90"/>
        </w:rPr>
        <w:t> </w:t>
      </w:r>
      <w:r>
        <w:rPr>
          <w:w w:val="90"/>
        </w:rPr>
        <w:t>target</w:t>
      </w:r>
      <w:r>
        <w:rPr>
          <w:spacing w:val="-8"/>
          <w:w w:val="90"/>
        </w:rPr>
        <w:t> </w:t>
      </w:r>
      <w:r>
        <w:rPr>
          <w:w w:val="90"/>
        </w:rPr>
        <w:t>of</w:t>
      </w:r>
      <w:r>
        <w:rPr>
          <w:spacing w:val="-8"/>
          <w:w w:val="90"/>
        </w:rPr>
        <w:t> </w:t>
      </w:r>
      <w:r>
        <w:rPr>
          <w:w w:val="90"/>
        </w:rPr>
        <w:t>tripling </w:t>
      </w:r>
      <w:r>
        <w:rPr/>
        <w:t>the</w:t>
      </w:r>
      <w:r>
        <w:rPr>
          <w:spacing w:val="-16"/>
        </w:rPr>
        <w:t> </w:t>
      </w:r>
      <w:r>
        <w:rPr/>
        <w:t>existing</w:t>
      </w:r>
      <w:r>
        <w:rPr>
          <w:spacing w:val="-14"/>
        </w:rPr>
        <w:t> </w:t>
      </w:r>
      <w:r>
        <w:rPr/>
        <w:t>research</w:t>
      </w:r>
      <w:r>
        <w:rPr>
          <w:spacing w:val="-14"/>
        </w:rPr>
        <w:t> </w:t>
      </w:r>
      <w:r>
        <w:rPr/>
        <w:t>base</w:t>
      </w:r>
      <w:r>
        <w:rPr>
          <w:spacing w:val="-13"/>
        </w:rPr>
        <w:t> </w:t>
      </w:r>
      <w:r>
        <w:rPr/>
        <w:t>within</w:t>
      </w:r>
      <w:r>
        <w:rPr>
          <w:spacing w:val="-14"/>
        </w:rPr>
        <w:t> </w:t>
      </w:r>
      <w:r>
        <w:rPr/>
        <w:t>the</w:t>
      </w:r>
      <w:r>
        <w:rPr>
          <w:spacing w:val="-14"/>
        </w:rPr>
        <w:t> </w:t>
      </w:r>
      <w:r>
        <w:rPr/>
        <w:t>next</w:t>
      </w:r>
      <w:r>
        <w:rPr>
          <w:spacing w:val="-14"/>
        </w:rPr>
        <w:t> </w:t>
      </w:r>
      <w:r>
        <w:rPr/>
        <w:t>dozen</w:t>
      </w:r>
      <w:r>
        <w:rPr>
          <w:spacing w:val="-13"/>
        </w:rPr>
        <w:t> </w:t>
      </w:r>
      <w:r>
        <w:rPr/>
        <w:t>years, </w:t>
      </w:r>
      <w:r>
        <w:rPr>
          <w:spacing w:val="-2"/>
        </w:rPr>
        <w:t>and</w:t>
      </w:r>
      <w:r>
        <w:rPr>
          <w:spacing w:val="-8"/>
        </w:rPr>
        <w:t> </w:t>
      </w:r>
      <w:r>
        <w:rPr>
          <w:spacing w:val="-2"/>
        </w:rPr>
        <w:t>meaningfully</w:t>
      </w:r>
      <w:r>
        <w:rPr>
          <w:spacing w:val="-8"/>
        </w:rPr>
        <w:t> </w:t>
      </w:r>
      <w:r>
        <w:rPr>
          <w:spacing w:val="-2"/>
        </w:rPr>
        <w:t>work</w:t>
      </w:r>
      <w:r>
        <w:rPr>
          <w:spacing w:val="-8"/>
        </w:rPr>
        <w:t> </w:t>
      </w:r>
      <w:r>
        <w:rPr>
          <w:spacing w:val="-2"/>
        </w:rPr>
        <w:t>towards</w:t>
      </w:r>
      <w:r>
        <w:rPr>
          <w:spacing w:val="-8"/>
        </w:rPr>
        <w:t> </w:t>
      </w:r>
      <w:r>
        <w:rPr>
          <w:spacing w:val="-2"/>
        </w:rPr>
        <w:t>it.</w:t>
      </w:r>
      <w:r>
        <w:rPr>
          <w:spacing w:val="-8"/>
        </w:rPr>
        <w:t> </w:t>
      </w:r>
      <w:r>
        <w:rPr>
          <w:spacing w:val="-2"/>
        </w:rPr>
        <w:t>NKC</w:t>
      </w:r>
      <w:r>
        <w:rPr>
          <w:spacing w:val="-8"/>
        </w:rPr>
        <w:t> </w:t>
      </w:r>
      <w:r>
        <w:rPr>
          <w:spacing w:val="-2"/>
        </w:rPr>
        <w:t>strongly</w:t>
      </w:r>
      <w:r>
        <w:rPr>
          <w:spacing w:val="-8"/>
        </w:rPr>
        <w:t> </w:t>
      </w:r>
      <w:r>
        <w:rPr>
          <w:spacing w:val="-2"/>
        </w:rPr>
        <w:t>feels </w:t>
      </w:r>
      <w:r>
        <w:rPr>
          <w:spacing w:val="-6"/>
        </w:rPr>
        <w:t>that</w:t>
      </w:r>
      <w:r>
        <w:rPr>
          <w:spacing w:val="-10"/>
        </w:rPr>
        <w:t> </w:t>
      </w:r>
      <w:r>
        <w:rPr>
          <w:spacing w:val="-6"/>
        </w:rPr>
        <w:t>a</w:t>
      </w:r>
      <w:r>
        <w:rPr>
          <w:spacing w:val="-8"/>
        </w:rPr>
        <w:t> </w:t>
      </w:r>
      <w:r>
        <w:rPr>
          <w:spacing w:val="-6"/>
        </w:rPr>
        <w:t>mission</w:t>
      </w:r>
      <w:r>
        <w:rPr>
          <w:spacing w:val="-8"/>
        </w:rPr>
        <w:t> </w:t>
      </w:r>
      <w:r>
        <w:rPr>
          <w:spacing w:val="-6"/>
        </w:rPr>
        <w:t>oriented</w:t>
      </w:r>
      <w:r>
        <w:rPr>
          <w:spacing w:val="-7"/>
        </w:rPr>
        <w:t> </w:t>
      </w:r>
      <w:r>
        <w:rPr>
          <w:spacing w:val="-6"/>
        </w:rPr>
        <w:t>approach</w:t>
      </w:r>
      <w:r>
        <w:rPr>
          <w:spacing w:val="-8"/>
        </w:rPr>
        <w:t> </w:t>
      </w:r>
      <w:r>
        <w:rPr>
          <w:spacing w:val="-6"/>
        </w:rPr>
        <w:t>is</w:t>
      </w:r>
      <w:r>
        <w:rPr>
          <w:spacing w:val="-8"/>
        </w:rPr>
        <w:t> </w:t>
      </w:r>
      <w:r>
        <w:rPr>
          <w:spacing w:val="-6"/>
        </w:rPr>
        <w:t>necessary</w:t>
      </w:r>
      <w:r>
        <w:rPr>
          <w:spacing w:val="-8"/>
        </w:rPr>
        <w:t> </w:t>
      </w:r>
      <w:r>
        <w:rPr>
          <w:spacing w:val="-6"/>
        </w:rPr>
        <w:t>for</w:t>
      </w:r>
      <w:r>
        <w:rPr>
          <w:spacing w:val="-7"/>
        </w:rPr>
        <w:t> </w:t>
      </w:r>
      <w:r>
        <w:rPr>
          <w:spacing w:val="-6"/>
        </w:rPr>
        <w:t>creating </w:t>
      </w:r>
      <w:r>
        <w:rPr>
          <w:spacing w:val="-2"/>
        </w:rPr>
        <w:t>the</w:t>
      </w:r>
      <w:r>
        <w:rPr>
          <w:spacing w:val="-10"/>
        </w:rPr>
        <w:t> </w:t>
      </w:r>
      <w:r>
        <w:rPr>
          <w:spacing w:val="-2"/>
        </w:rPr>
        <w:t>required</w:t>
      </w:r>
      <w:r>
        <w:rPr>
          <w:spacing w:val="-10"/>
        </w:rPr>
        <w:t> </w:t>
      </w:r>
      <w:r>
        <w:rPr>
          <w:spacing w:val="-2"/>
        </w:rPr>
        <w:t>research</w:t>
      </w:r>
      <w:r>
        <w:rPr>
          <w:spacing w:val="-10"/>
        </w:rPr>
        <w:t> </w:t>
      </w:r>
      <w:r>
        <w:rPr>
          <w:spacing w:val="-2"/>
        </w:rPr>
        <w:t>ecosystem</w:t>
      </w:r>
      <w:r>
        <w:rPr>
          <w:spacing w:val="-10"/>
        </w:rPr>
        <w:t> </w:t>
      </w:r>
      <w:r>
        <w:rPr>
          <w:spacing w:val="-2"/>
        </w:rPr>
        <w:t>in</w:t>
      </w:r>
      <w:r>
        <w:rPr>
          <w:spacing w:val="-10"/>
        </w:rPr>
        <w:t> </w:t>
      </w:r>
      <w:r>
        <w:rPr>
          <w:spacing w:val="-2"/>
        </w:rPr>
        <w:t>the</w:t>
      </w:r>
      <w:r>
        <w:rPr>
          <w:spacing w:val="-10"/>
        </w:rPr>
        <w:t> </w:t>
      </w:r>
      <w:r>
        <w:rPr>
          <w:spacing w:val="-2"/>
        </w:rPr>
        <w:t>country.</w:t>
      </w:r>
      <w:r>
        <w:rPr>
          <w:spacing w:val="-10"/>
        </w:rPr>
        <w:t> </w:t>
      </w:r>
      <w:r>
        <w:rPr>
          <w:spacing w:val="-2"/>
        </w:rPr>
        <w:t>Hence, </w:t>
      </w:r>
      <w:r>
        <w:rPr>
          <w:spacing w:val="-4"/>
        </w:rPr>
        <w:t>a</w:t>
      </w:r>
      <w:r>
        <w:rPr>
          <w:spacing w:val="-8"/>
        </w:rPr>
        <w:t> </w:t>
      </w:r>
      <w:r>
        <w:rPr>
          <w:spacing w:val="-4"/>
        </w:rPr>
        <w:t>National</w:t>
      </w:r>
      <w:r>
        <w:rPr>
          <w:spacing w:val="-8"/>
        </w:rPr>
        <w:t> </w:t>
      </w:r>
      <w:r>
        <w:rPr>
          <w:spacing w:val="-4"/>
        </w:rPr>
        <w:t>Research</w:t>
      </w:r>
      <w:r>
        <w:rPr>
          <w:spacing w:val="-8"/>
        </w:rPr>
        <w:t> </w:t>
      </w:r>
      <w:r>
        <w:rPr>
          <w:spacing w:val="-4"/>
        </w:rPr>
        <w:t>Mission</w:t>
      </w:r>
      <w:r>
        <w:rPr>
          <w:spacing w:val="-8"/>
        </w:rPr>
        <w:t> </w:t>
      </w:r>
      <w:r>
        <w:rPr>
          <w:spacing w:val="-4"/>
        </w:rPr>
        <w:t>which</w:t>
      </w:r>
      <w:r>
        <w:rPr>
          <w:spacing w:val="-8"/>
        </w:rPr>
        <w:t> </w:t>
      </w:r>
      <w:r>
        <w:rPr>
          <w:spacing w:val="-4"/>
        </w:rPr>
        <w:t>can</w:t>
      </w:r>
      <w:r>
        <w:rPr>
          <w:spacing w:val="-8"/>
        </w:rPr>
        <w:t> </w:t>
      </w:r>
      <w:r>
        <w:rPr>
          <w:spacing w:val="-4"/>
        </w:rPr>
        <w:t>be</w:t>
      </w:r>
      <w:r>
        <w:rPr>
          <w:spacing w:val="-8"/>
        </w:rPr>
        <w:t> </w:t>
      </w:r>
      <w:r>
        <w:rPr>
          <w:spacing w:val="-4"/>
        </w:rPr>
        <w:t>spearheaded </w:t>
      </w:r>
      <w:r>
        <w:rPr>
          <w:spacing w:val="-2"/>
        </w:rPr>
        <w:t>by</w:t>
      </w:r>
      <w:r>
        <w:rPr>
          <w:spacing w:val="-6"/>
        </w:rPr>
        <w:t> </w:t>
      </w:r>
      <w:r>
        <w:rPr>
          <w:spacing w:val="-2"/>
        </w:rPr>
        <w:t>National</w:t>
      </w:r>
      <w:r>
        <w:rPr>
          <w:spacing w:val="-6"/>
        </w:rPr>
        <w:t> </w:t>
      </w:r>
      <w:r>
        <w:rPr>
          <w:spacing w:val="-2"/>
        </w:rPr>
        <w:t>Science</w:t>
      </w:r>
      <w:r>
        <w:rPr>
          <w:spacing w:val="-6"/>
        </w:rPr>
        <w:t> </w:t>
      </w:r>
      <w:r>
        <w:rPr>
          <w:spacing w:val="-2"/>
        </w:rPr>
        <w:t>and</w:t>
      </w:r>
      <w:r>
        <w:rPr>
          <w:spacing w:val="-6"/>
        </w:rPr>
        <w:t> </w:t>
      </w:r>
      <w:r>
        <w:rPr>
          <w:spacing w:val="-2"/>
        </w:rPr>
        <w:t>Engineering</w:t>
      </w:r>
      <w:r>
        <w:rPr>
          <w:spacing w:val="-6"/>
        </w:rPr>
        <w:t> </w:t>
      </w:r>
      <w:r>
        <w:rPr>
          <w:spacing w:val="-2"/>
        </w:rPr>
        <w:t>Research</w:t>
      </w:r>
      <w:r>
        <w:rPr>
          <w:spacing w:val="-6"/>
        </w:rPr>
        <w:t> </w:t>
      </w:r>
      <w:r>
        <w:rPr>
          <w:spacing w:val="-2"/>
        </w:rPr>
        <w:t>Board, </w:t>
      </w:r>
      <w:r>
        <w:rPr>
          <w:spacing w:val="-6"/>
        </w:rPr>
        <w:t>proposed in the current Five</w:t>
      </w:r>
      <w:r>
        <w:rPr>
          <w:spacing w:val="-9"/>
        </w:rPr>
        <w:t> </w:t>
      </w:r>
      <w:r>
        <w:rPr>
          <w:spacing w:val="-6"/>
        </w:rPr>
        <w:t>Year Plan is recommended.</w:t>
      </w:r>
    </w:p>
    <w:p>
      <w:pPr>
        <w:spacing w:after="0" w:line="266" w:lineRule="auto"/>
        <w:jc w:val="both"/>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spacing w:after="0"/>
        <w:rPr>
          <w:sz w:val="20"/>
        </w:rPr>
        <w:sectPr>
          <w:pgSz w:w="11910" w:h="16840"/>
          <w:pgMar w:header="0" w:footer="675" w:top="0" w:bottom="860" w:left="0" w:right="0"/>
        </w:sectPr>
      </w:pPr>
    </w:p>
    <w:p>
      <w:pPr>
        <w:pStyle w:val="BodyText"/>
        <w:spacing w:line="266" w:lineRule="auto" w:before="82"/>
        <w:ind w:left="1080" w:firstLine="686"/>
        <w:jc w:val="right"/>
      </w:pPr>
      <w:r>
        <w:rPr/>
        <mc:AlternateContent>
          <mc:Choice Requires="wps">
            <w:drawing>
              <wp:anchor distT="0" distB="0" distL="0" distR="0" allowOverlap="1" layoutInCell="1" locked="0" behindDoc="0" simplePos="0" relativeHeight="15775232">
                <wp:simplePos x="0" y="0"/>
                <wp:positionH relativeFrom="page">
                  <wp:posOffset>0</wp:posOffset>
                </wp:positionH>
                <wp:positionV relativeFrom="paragraph">
                  <wp:posOffset>-2277393</wp:posOffset>
                </wp:positionV>
                <wp:extent cx="7560309" cy="1752600"/>
                <wp:effectExtent l="0" t="0" r="0" b="0"/>
                <wp:wrapNone/>
                <wp:docPr id="932" name="Group 932"/>
                <wp:cNvGraphicFramePr>
                  <a:graphicFrameLocks/>
                </wp:cNvGraphicFramePr>
                <a:graphic>
                  <a:graphicData uri="http://schemas.microsoft.com/office/word/2010/wordprocessingGroup">
                    <wpg:wgp>
                      <wpg:cNvPr id="932" name="Group 932"/>
                      <wpg:cNvGrpSpPr/>
                      <wpg:grpSpPr>
                        <a:xfrm>
                          <a:off x="0" y="0"/>
                          <a:ext cx="7560309" cy="1752600"/>
                          <a:chExt cx="7560309" cy="1752600"/>
                        </a:xfrm>
                      </wpg:grpSpPr>
                      <pic:pic>
                        <pic:nvPicPr>
                          <pic:cNvPr id="933" name="Image 933"/>
                          <pic:cNvPicPr/>
                        </pic:nvPicPr>
                        <pic:blipFill>
                          <a:blip r:embed="rId612" cstate="print"/>
                          <a:stretch>
                            <a:fillRect/>
                          </a:stretch>
                        </pic:blipFill>
                        <pic:spPr>
                          <a:xfrm>
                            <a:off x="0" y="0"/>
                            <a:ext cx="7559999" cy="1752562"/>
                          </a:xfrm>
                          <a:prstGeom prst="rect">
                            <a:avLst/>
                          </a:prstGeom>
                        </pic:spPr>
                      </pic:pic>
                      <wps:wsp>
                        <wps:cNvPr id="934" name="Textbox 934"/>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Note </w:t>
                              </w:r>
                              <w:r>
                                <w:rPr>
                                  <w:rFonts w:ascii="Trebuchet MS"/>
                                  <w:b/>
                                  <w:color w:val="FFFFFF"/>
                                  <w:spacing w:val="-5"/>
                                  <w:sz w:val="68"/>
                                </w:rPr>
                                <w:t>on</w:t>
                              </w:r>
                            </w:p>
                            <w:p>
                              <w:pPr>
                                <w:spacing w:before="26"/>
                                <w:ind w:left="1080" w:right="0" w:firstLine="0"/>
                                <w:jc w:val="left"/>
                                <w:rPr>
                                  <w:rFonts w:ascii="Trebuchet MS"/>
                                  <w:b/>
                                  <w:sz w:val="68"/>
                                </w:rPr>
                              </w:pPr>
                              <w:r>
                                <w:rPr>
                                  <w:rFonts w:ascii="Trebuchet MS"/>
                                  <w:b/>
                                  <w:color w:val="FFFFFF"/>
                                  <w:sz w:val="68"/>
                                </w:rPr>
                                <w:t>More Quality </w:t>
                              </w:r>
                              <w:r>
                                <w:rPr>
                                  <w:rFonts w:ascii="Trebuchet MS"/>
                                  <w:b/>
                                  <w:color w:val="FFFFFF"/>
                                  <w:spacing w:val="-2"/>
                                  <w:sz w:val="68"/>
                                </w:rPr>
                                <w:t>Ph.Ds</w:t>
                              </w:r>
                            </w:p>
                          </w:txbxContent>
                        </wps:txbx>
                        <wps:bodyPr wrap="square" lIns="0" tIns="0" rIns="0" bIns="0" rtlCol="0">
                          <a:noAutofit/>
                        </wps:bodyPr>
                      </wps:wsp>
                    </wpg:wgp>
                  </a:graphicData>
                </a:graphic>
              </wp:anchor>
            </w:drawing>
          </mc:Choice>
          <mc:Fallback>
            <w:pict>
              <v:group style="position:absolute;margin-left:0pt;margin-top:-179.322311pt;width:595.3pt;height:138pt;mso-position-horizontal-relative:page;mso-position-vertical-relative:paragraph;z-index:15775232" id="docshapegroup925" coordorigin="0,-3586" coordsize="11906,2760">
                <v:shape style="position:absolute;left:0;top:-3587;width:11906;height:2760" type="#_x0000_t75" id="docshape926" stroked="false">
                  <v:imagedata r:id="rId612" o:title=""/>
                </v:shape>
                <v:shape style="position:absolute;left:0;top:-3587;width:11906;height:2760" type="#_x0000_t202" id="docshape927"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Note </w:t>
                        </w:r>
                        <w:r>
                          <w:rPr>
                            <w:rFonts w:ascii="Trebuchet MS"/>
                            <w:b/>
                            <w:color w:val="FFFFFF"/>
                            <w:spacing w:val="-5"/>
                            <w:sz w:val="68"/>
                          </w:rPr>
                          <w:t>on</w:t>
                        </w:r>
                      </w:p>
                      <w:p>
                        <w:pPr>
                          <w:spacing w:before="26"/>
                          <w:ind w:left="1080" w:right="0" w:firstLine="0"/>
                          <w:jc w:val="left"/>
                          <w:rPr>
                            <w:rFonts w:ascii="Trebuchet MS"/>
                            <w:b/>
                            <w:sz w:val="68"/>
                          </w:rPr>
                        </w:pPr>
                        <w:r>
                          <w:rPr>
                            <w:rFonts w:ascii="Trebuchet MS"/>
                            <w:b/>
                            <w:color w:val="FFFFFF"/>
                            <w:sz w:val="68"/>
                          </w:rPr>
                          <w:t>More Quality </w:t>
                        </w:r>
                        <w:r>
                          <w:rPr>
                            <w:rFonts w:ascii="Trebuchet MS"/>
                            <w:b/>
                            <w:color w:val="FFFFFF"/>
                            <w:spacing w:val="-2"/>
                            <w:sz w:val="68"/>
                          </w:rPr>
                          <w:t>Ph.Ds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52320">
                <wp:simplePos x="0" y="0"/>
                <wp:positionH relativeFrom="page">
                  <wp:posOffset>686227</wp:posOffset>
                </wp:positionH>
                <wp:positionV relativeFrom="paragraph">
                  <wp:posOffset>-36774</wp:posOffset>
                </wp:positionV>
                <wp:extent cx="436245" cy="757555"/>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436245" cy="757555"/>
                        </a:xfrm>
                        <a:prstGeom prst="rect">
                          <a:avLst/>
                        </a:prstGeom>
                      </wps:spPr>
                      <wps:txbx>
                        <w:txbxContent>
                          <w:p>
                            <w:pPr>
                              <w:spacing w:line="1135" w:lineRule="exact" w:before="0"/>
                              <w:ind w:left="0" w:right="0" w:firstLine="0"/>
                              <w:jc w:val="left"/>
                              <w:rPr>
                                <w:sz w:val="106"/>
                              </w:rPr>
                            </w:pPr>
                            <w:r>
                              <w:rPr>
                                <w:color w:val="9CBF3B"/>
                                <w:spacing w:val="-32"/>
                                <w:sz w:val="106"/>
                              </w:rPr>
                              <w:t>R</w:t>
                            </w:r>
                          </w:p>
                        </w:txbxContent>
                      </wps:txbx>
                      <wps:bodyPr wrap="square" lIns="0" tIns="0" rIns="0" bIns="0" rtlCol="0">
                        <a:noAutofit/>
                      </wps:bodyPr>
                    </wps:wsp>
                  </a:graphicData>
                </a:graphic>
              </wp:anchor>
            </w:drawing>
          </mc:Choice>
          <mc:Fallback>
            <w:pict>
              <v:shape style="position:absolute;margin-left:54.03368pt;margin-top:-2.8956pt;width:34.35pt;height:59.65pt;mso-position-horizontal-relative:page;mso-position-vertical-relative:paragraph;z-index:-23964160" type="#_x0000_t202" id="docshape928" filled="false" stroked="false">
                <v:textbox inset="0,0,0,0">
                  <w:txbxContent>
                    <w:p>
                      <w:pPr>
                        <w:spacing w:line="1135" w:lineRule="exact" w:before="0"/>
                        <w:ind w:left="0" w:right="0" w:firstLine="0"/>
                        <w:jc w:val="left"/>
                        <w:rPr>
                          <w:sz w:val="106"/>
                        </w:rPr>
                      </w:pPr>
                      <w:r>
                        <w:rPr>
                          <w:color w:val="9CBF3B"/>
                          <w:spacing w:val="-32"/>
                          <w:sz w:val="106"/>
                        </w:rPr>
                        <w:t>R</w:t>
                      </w:r>
                    </w:p>
                  </w:txbxContent>
                </v:textbox>
                <w10:wrap type="none"/>
              </v:shape>
            </w:pict>
          </mc:Fallback>
        </mc:AlternateContent>
      </w:r>
      <w:r>
        <w:rPr/>
        <w:t>esearch</w:t>
      </w:r>
      <w:r>
        <w:rPr>
          <w:spacing w:val="40"/>
        </w:rPr>
        <w:t> </w:t>
      </w:r>
      <w:r>
        <w:rPr/>
        <w:t>is</w:t>
      </w:r>
      <w:r>
        <w:rPr>
          <w:spacing w:val="40"/>
        </w:rPr>
        <w:t> </w:t>
      </w:r>
      <w:r>
        <w:rPr/>
        <w:t>an</w:t>
      </w:r>
      <w:r>
        <w:rPr>
          <w:spacing w:val="40"/>
        </w:rPr>
        <w:t> </w:t>
      </w:r>
      <w:r>
        <w:rPr/>
        <w:t>activity</w:t>
      </w:r>
      <w:r>
        <w:rPr>
          <w:spacing w:val="40"/>
        </w:rPr>
        <w:t> </w:t>
      </w:r>
      <w:r>
        <w:rPr/>
        <w:t>based</w:t>
      </w:r>
      <w:r>
        <w:rPr>
          <w:spacing w:val="40"/>
        </w:rPr>
        <w:t> </w:t>
      </w:r>
      <w:r>
        <w:rPr/>
        <w:t>on</w:t>
      </w:r>
      <w:r>
        <w:rPr>
          <w:spacing w:val="40"/>
        </w:rPr>
        <w:t> </w:t>
      </w:r>
      <w:r>
        <w:rPr/>
        <w:t>intellectual investigation</w:t>
      </w:r>
      <w:r>
        <w:rPr>
          <w:spacing w:val="-20"/>
        </w:rPr>
        <w:t> </w:t>
      </w:r>
      <w:r>
        <w:rPr/>
        <w:t>and</w:t>
      </w:r>
      <w:r>
        <w:rPr>
          <w:spacing w:val="-20"/>
        </w:rPr>
        <w:t> </w:t>
      </w:r>
      <w:r>
        <w:rPr/>
        <w:t>has</w:t>
      </w:r>
      <w:r>
        <w:rPr>
          <w:spacing w:val="-20"/>
        </w:rPr>
        <w:t> </w:t>
      </w:r>
      <w:r>
        <w:rPr/>
        <w:t>the</w:t>
      </w:r>
      <w:r>
        <w:rPr>
          <w:spacing w:val="-20"/>
        </w:rPr>
        <w:t> </w:t>
      </w:r>
      <w:r>
        <w:rPr/>
        <w:t>purpose</w:t>
      </w:r>
      <w:r>
        <w:rPr>
          <w:spacing w:val="-20"/>
        </w:rPr>
        <w:t> </w:t>
      </w:r>
      <w:r>
        <w:rPr/>
        <w:t>of</w:t>
      </w:r>
      <w:r>
        <w:rPr>
          <w:spacing w:val="-20"/>
        </w:rPr>
        <w:t> </w:t>
      </w:r>
      <w:r>
        <w:rPr/>
        <w:t>discovering, interpreting,</w:t>
      </w:r>
      <w:r>
        <w:rPr>
          <w:spacing w:val="-21"/>
        </w:rPr>
        <w:t> </w:t>
      </w:r>
      <w:r>
        <w:rPr/>
        <w:t>and</w:t>
      </w:r>
      <w:r>
        <w:rPr>
          <w:spacing w:val="-21"/>
        </w:rPr>
        <w:t> </w:t>
      </w:r>
      <w:r>
        <w:rPr/>
        <w:t>revising</w:t>
      </w:r>
      <w:r>
        <w:rPr>
          <w:spacing w:val="-21"/>
        </w:rPr>
        <w:t> </w:t>
      </w:r>
      <w:r>
        <w:rPr/>
        <w:t>human</w:t>
      </w:r>
      <w:r>
        <w:rPr>
          <w:spacing w:val="-21"/>
        </w:rPr>
        <w:t> </w:t>
      </w:r>
      <w:r>
        <w:rPr/>
        <w:t>knowledge</w:t>
      </w:r>
      <w:r>
        <w:rPr>
          <w:spacing w:val="-21"/>
        </w:rPr>
        <w:t> </w:t>
      </w:r>
      <w:r>
        <w:rPr/>
        <w:t>and </w:t>
      </w:r>
      <w:r>
        <w:rPr>
          <w:spacing w:val="-4"/>
        </w:rPr>
        <w:t>experience</w:t>
      </w:r>
      <w:r>
        <w:rPr>
          <w:spacing w:val="-9"/>
        </w:rPr>
        <w:t> </w:t>
      </w:r>
      <w:r>
        <w:rPr>
          <w:spacing w:val="-4"/>
        </w:rPr>
        <w:t>on</w:t>
      </w:r>
      <w:r>
        <w:rPr>
          <w:spacing w:val="-9"/>
        </w:rPr>
        <w:t> </w:t>
      </w:r>
      <w:r>
        <w:rPr>
          <w:spacing w:val="-4"/>
        </w:rPr>
        <w:t>various</w:t>
      </w:r>
      <w:r>
        <w:rPr>
          <w:spacing w:val="-9"/>
        </w:rPr>
        <w:t> </w:t>
      </w:r>
      <w:r>
        <w:rPr>
          <w:spacing w:val="-4"/>
        </w:rPr>
        <w:t>aspects</w:t>
      </w:r>
      <w:r>
        <w:rPr>
          <w:spacing w:val="-9"/>
        </w:rPr>
        <w:t> </w:t>
      </w:r>
      <w:r>
        <w:rPr>
          <w:spacing w:val="-4"/>
        </w:rPr>
        <w:t>of</w:t>
      </w:r>
      <w:r>
        <w:rPr>
          <w:spacing w:val="-9"/>
        </w:rPr>
        <w:t> </w:t>
      </w:r>
      <w:r>
        <w:rPr>
          <w:spacing w:val="-4"/>
        </w:rPr>
        <w:t>life.</w:t>
      </w:r>
      <w:r>
        <w:rPr>
          <w:spacing w:val="-9"/>
        </w:rPr>
        <w:t> </w:t>
      </w:r>
      <w:r>
        <w:rPr>
          <w:spacing w:val="-4"/>
        </w:rPr>
        <w:t>It</w:t>
      </w:r>
      <w:r>
        <w:rPr>
          <w:spacing w:val="-9"/>
        </w:rPr>
        <w:t> </w:t>
      </w:r>
      <w:r>
        <w:rPr>
          <w:spacing w:val="-4"/>
        </w:rPr>
        <w:t>is</w:t>
      </w:r>
      <w:r>
        <w:rPr>
          <w:spacing w:val="-9"/>
        </w:rPr>
        <w:t> </w:t>
      </w:r>
      <w:r>
        <w:rPr>
          <w:spacing w:val="-4"/>
        </w:rPr>
        <w:t>crucial</w:t>
      </w:r>
      <w:r>
        <w:rPr>
          <w:spacing w:val="-9"/>
        </w:rPr>
        <w:t> </w:t>
      </w:r>
      <w:r>
        <w:rPr>
          <w:spacing w:val="-4"/>
        </w:rPr>
        <w:t>for</w:t>
      </w:r>
      <w:r>
        <w:rPr>
          <w:spacing w:val="-9"/>
        </w:rPr>
        <w:t> </w:t>
      </w:r>
      <w:r>
        <w:rPr>
          <w:spacing w:val="-4"/>
        </w:rPr>
        <w:t>the </w:t>
      </w:r>
      <w:r>
        <w:rPr>
          <w:spacing w:val="-6"/>
        </w:rPr>
        <w:t>overall development of human society. As the economic </w:t>
      </w:r>
      <w:r>
        <w:rPr>
          <w:spacing w:val="-2"/>
        </w:rPr>
        <w:t>paradigm undergoes a change in the globalised world, </w:t>
      </w:r>
      <w:r>
        <w:rPr>
          <w:spacing w:val="-6"/>
        </w:rPr>
        <w:t>future economic progress will increasingly be a function </w:t>
      </w:r>
      <w:r>
        <w:rPr/>
        <w:t>of</w:t>
      </w:r>
      <w:r>
        <w:rPr>
          <w:spacing w:val="-14"/>
        </w:rPr>
        <w:t> </w:t>
      </w:r>
      <w:r>
        <w:rPr/>
        <w:t>the</w:t>
      </w:r>
      <w:r>
        <w:rPr>
          <w:spacing w:val="-14"/>
        </w:rPr>
        <w:t> </w:t>
      </w:r>
      <w:r>
        <w:rPr/>
        <w:t>intellectual</w:t>
      </w:r>
      <w:r>
        <w:rPr>
          <w:spacing w:val="-12"/>
        </w:rPr>
        <w:t> </w:t>
      </w:r>
      <w:r>
        <w:rPr/>
        <w:t>capital</w:t>
      </w:r>
      <w:r>
        <w:rPr>
          <w:spacing w:val="-12"/>
        </w:rPr>
        <w:t> </w:t>
      </w:r>
      <w:r>
        <w:rPr/>
        <w:t>that</w:t>
      </w:r>
      <w:r>
        <w:rPr>
          <w:spacing w:val="-12"/>
        </w:rPr>
        <w:t> </w:t>
      </w:r>
      <w:r>
        <w:rPr/>
        <w:t>a</w:t>
      </w:r>
      <w:r>
        <w:rPr>
          <w:spacing w:val="-12"/>
        </w:rPr>
        <w:t> </w:t>
      </w:r>
      <w:r>
        <w:rPr/>
        <w:t>nation</w:t>
      </w:r>
      <w:r>
        <w:rPr>
          <w:spacing w:val="-12"/>
        </w:rPr>
        <w:t> </w:t>
      </w:r>
      <w:r>
        <w:rPr/>
        <w:t>can</w:t>
      </w:r>
      <w:r>
        <w:rPr>
          <w:spacing w:val="-12"/>
        </w:rPr>
        <w:t> </w:t>
      </w:r>
      <w:r>
        <w:rPr/>
        <w:t>create.</w:t>
      </w:r>
      <w:r>
        <w:rPr>
          <w:spacing w:val="-14"/>
        </w:rPr>
        <w:t> </w:t>
      </w:r>
      <w:r>
        <w:rPr/>
        <w:t>This in</w:t>
      </w:r>
      <w:r>
        <w:rPr>
          <w:spacing w:val="10"/>
        </w:rPr>
        <w:t> </w:t>
      </w:r>
      <w:r>
        <w:rPr/>
        <w:t>turn</w:t>
      </w:r>
      <w:r>
        <w:rPr>
          <w:spacing w:val="10"/>
        </w:rPr>
        <w:t> </w:t>
      </w:r>
      <w:r>
        <w:rPr/>
        <w:t>depends</w:t>
      </w:r>
      <w:r>
        <w:rPr>
          <w:spacing w:val="10"/>
        </w:rPr>
        <w:t> </w:t>
      </w:r>
      <w:r>
        <w:rPr/>
        <w:t>crucially</w:t>
      </w:r>
      <w:r>
        <w:rPr>
          <w:spacing w:val="10"/>
        </w:rPr>
        <w:t> </w:t>
      </w:r>
      <w:r>
        <w:rPr/>
        <w:t>on</w:t>
      </w:r>
      <w:r>
        <w:rPr>
          <w:spacing w:val="10"/>
        </w:rPr>
        <w:t> </w:t>
      </w:r>
      <w:r>
        <w:rPr/>
        <w:t>the</w:t>
      </w:r>
      <w:r>
        <w:rPr>
          <w:spacing w:val="10"/>
        </w:rPr>
        <w:t> </w:t>
      </w:r>
      <w:r>
        <w:rPr/>
        <w:t>quality</w:t>
      </w:r>
      <w:r>
        <w:rPr>
          <w:spacing w:val="10"/>
        </w:rPr>
        <w:t> </w:t>
      </w:r>
      <w:r>
        <w:rPr/>
        <w:t>of</w:t>
      </w:r>
      <w:r>
        <w:rPr>
          <w:spacing w:val="10"/>
        </w:rPr>
        <w:t> </w:t>
      </w:r>
      <w:r>
        <w:rPr/>
        <w:t>academic research</w:t>
      </w:r>
      <w:r>
        <w:rPr>
          <w:spacing w:val="-3"/>
        </w:rPr>
        <w:t> </w:t>
      </w:r>
      <w:r>
        <w:rPr/>
        <w:t>that</w:t>
      </w:r>
      <w:r>
        <w:rPr>
          <w:spacing w:val="-3"/>
        </w:rPr>
        <w:t> </w:t>
      </w:r>
      <w:r>
        <w:rPr/>
        <w:t>is</w:t>
      </w:r>
      <w:r>
        <w:rPr>
          <w:spacing w:val="-3"/>
        </w:rPr>
        <w:t> </w:t>
      </w:r>
      <w:r>
        <w:rPr/>
        <w:t>done</w:t>
      </w:r>
      <w:r>
        <w:rPr>
          <w:spacing w:val="-3"/>
        </w:rPr>
        <w:t> </w:t>
      </w:r>
      <w:r>
        <w:rPr/>
        <w:t>in</w:t>
      </w:r>
      <w:r>
        <w:rPr>
          <w:spacing w:val="-3"/>
        </w:rPr>
        <w:t> </w:t>
      </w:r>
      <w:r>
        <w:rPr/>
        <w:t>the</w:t>
      </w:r>
      <w:r>
        <w:rPr>
          <w:spacing w:val="-3"/>
        </w:rPr>
        <w:t> </w:t>
      </w:r>
      <w:r>
        <w:rPr/>
        <w:t>nation.</w:t>
      </w:r>
      <w:r>
        <w:rPr>
          <w:spacing w:val="-11"/>
        </w:rPr>
        <w:t> </w:t>
      </w:r>
      <w:r>
        <w:rPr/>
        <w:t>Thus,</w:t>
      </w:r>
      <w:r>
        <w:rPr>
          <w:spacing w:val="-3"/>
        </w:rPr>
        <w:t> </w:t>
      </w:r>
      <w:r>
        <w:rPr/>
        <w:t>if</w:t>
      </w:r>
      <w:r>
        <w:rPr>
          <w:spacing w:val="-3"/>
        </w:rPr>
        <w:t> </w:t>
      </w:r>
      <w:r>
        <w:rPr/>
        <w:t>India</w:t>
      </w:r>
      <w:r>
        <w:rPr>
          <w:spacing w:val="-3"/>
        </w:rPr>
        <w:t> </w:t>
      </w:r>
      <w:r>
        <w:rPr/>
        <w:t>is</w:t>
      </w:r>
      <w:r>
        <w:rPr>
          <w:spacing w:val="-3"/>
        </w:rPr>
        <w:t> </w:t>
      </w:r>
      <w:r>
        <w:rPr/>
        <w:t>to </w:t>
      </w:r>
      <w:r>
        <w:rPr>
          <w:spacing w:val="-2"/>
        </w:rPr>
        <w:t>play</w:t>
      </w:r>
      <w:r>
        <w:rPr>
          <w:spacing w:val="8"/>
        </w:rPr>
        <w:t> </w:t>
      </w:r>
      <w:r>
        <w:rPr>
          <w:spacing w:val="-2"/>
        </w:rPr>
        <w:t>a</w:t>
      </w:r>
      <w:r>
        <w:rPr>
          <w:spacing w:val="8"/>
        </w:rPr>
        <w:t> </w:t>
      </w:r>
      <w:r>
        <w:rPr>
          <w:spacing w:val="-2"/>
        </w:rPr>
        <w:t>key</w:t>
      </w:r>
      <w:r>
        <w:rPr>
          <w:spacing w:val="8"/>
        </w:rPr>
        <w:t> </w:t>
      </w:r>
      <w:r>
        <w:rPr>
          <w:spacing w:val="-2"/>
        </w:rPr>
        <w:t>role</w:t>
      </w:r>
      <w:r>
        <w:rPr>
          <w:spacing w:val="8"/>
        </w:rPr>
        <w:t> </w:t>
      </w:r>
      <w:r>
        <w:rPr>
          <w:spacing w:val="-2"/>
        </w:rPr>
        <w:t>in</w:t>
      </w:r>
      <w:r>
        <w:rPr>
          <w:spacing w:val="8"/>
        </w:rPr>
        <w:t> </w:t>
      </w:r>
      <w:r>
        <w:rPr>
          <w:spacing w:val="-2"/>
        </w:rPr>
        <w:t>the</w:t>
      </w:r>
      <w:r>
        <w:rPr>
          <w:spacing w:val="8"/>
        </w:rPr>
        <w:t> </w:t>
      </w:r>
      <w:r>
        <w:rPr>
          <w:spacing w:val="-2"/>
        </w:rPr>
        <w:t>envisaged</w:t>
      </w:r>
      <w:r>
        <w:rPr>
          <w:spacing w:val="8"/>
        </w:rPr>
        <w:t> </w:t>
      </w:r>
      <w:r>
        <w:rPr>
          <w:spacing w:val="-2"/>
        </w:rPr>
        <w:t>knowledge</w:t>
      </w:r>
      <w:r>
        <w:rPr>
          <w:spacing w:val="8"/>
        </w:rPr>
        <w:t> </w:t>
      </w:r>
      <w:r>
        <w:rPr>
          <w:spacing w:val="-2"/>
        </w:rPr>
        <w:t>economy </w:t>
      </w:r>
      <w:r>
        <w:rPr/>
        <w:t>of</w:t>
      </w:r>
      <w:r>
        <w:rPr>
          <w:spacing w:val="40"/>
        </w:rPr>
        <w:t> </w:t>
      </w:r>
      <w:r>
        <w:rPr/>
        <w:t>the</w:t>
      </w:r>
      <w:r>
        <w:rPr>
          <w:spacing w:val="40"/>
        </w:rPr>
        <w:t> </w:t>
      </w:r>
      <w:r>
        <w:rPr/>
        <w:t>world,</w:t>
      </w:r>
      <w:r>
        <w:rPr>
          <w:spacing w:val="40"/>
        </w:rPr>
        <w:t> </w:t>
      </w:r>
      <w:r>
        <w:rPr/>
        <w:t>a</w:t>
      </w:r>
      <w:r>
        <w:rPr>
          <w:spacing w:val="40"/>
        </w:rPr>
        <w:t> </w:t>
      </w:r>
      <w:r>
        <w:rPr/>
        <w:t>significant</w:t>
      </w:r>
      <w:r>
        <w:rPr>
          <w:spacing w:val="40"/>
        </w:rPr>
        <w:t> </w:t>
      </w:r>
      <w:r>
        <w:rPr/>
        <w:t>investment</w:t>
      </w:r>
      <w:r>
        <w:rPr>
          <w:spacing w:val="40"/>
        </w:rPr>
        <w:t> </w:t>
      </w:r>
      <w:r>
        <w:rPr/>
        <w:t>in</w:t>
      </w:r>
      <w:r>
        <w:rPr>
          <w:spacing w:val="40"/>
        </w:rPr>
        <w:t> </w:t>
      </w:r>
      <w:r>
        <w:rPr/>
        <w:t>research, </w:t>
      </w:r>
      <w:r>
        <w:rPr>
          <w:spacing w:val="-2"/>
        </w:rPr>
        <w:t>accompanied by sustained vision and policy is vital to achieve a long term competitive advantage. While the </w:t>
      </w:r>
      <w:r>
        <w:rPr>
          <w:spacing w:val="-4"/>
        </w:rPr>
        <w:t>importance</w:t>
      </w:r>
      <w:r>
        <w:rPr>
          <w:spacing w:val="-7"/>
        </w:rPr>
        <w:t> </w:t>
      </w:r>
      <w:r>
        <w:rPr>
          <w:spacing w:val="-4"/>
        </w:rPr>
        <w:t>of</w:t>
      </w:r>
      <w:r>
        <w:rPr>
          <w:spacing w:val="-7"/>
        </w:rPr>
        <w:t> </w:t>
      </w:r>
      <w:r>
        <w:rPr>
          <w:spacing w:val="-4"/>
        </w:rPr>
        <w:t>research</w:t>
      </w:r>
      <w:r>
        <w:rPr>
          <w:spacing w:val="-7"/>
        </w:rPr>
        <w:t> </w:t>
      </w:r>
      <w:r>
        <w:rPr>
          <w:spacing w:val="-4"/>
        </w:rPr>
        <w:t>and</w:t>
      </w:r>
      <w:r>
        <w:rPr>
          <w:spacing w:val="-7"/>
        </w:rPr>
        <w:t> </w:t>
      </w:r>
      <w:r>
        <w:rPr>
          <w:spacing w:val="-4"/>
        </w:rPr>
        <w:t>development</w:t>
      </w:r>
      <w:r>
        <w:rPr>
          <w:spacing w:val="-7"/>
        </w:rPr>
        <w:t> </w:t>
      </w:r>
      <w:r>
        <w:rPr>
          <w:spacing w:val="-4"/>
        </w:rPr>
        <w:t>in</w:t>
      </w:r>
      <w:r>
        <w:rPr>
          <w:spacing w:val="-7"/>
        </w:rPr>
        <w:t> </w:t>
      </w:r>
      <w:r>
        <w:rPr>
          <w:spacing w:val="-4"/>
        </w:rPr>
        <w:t>science</w:t>
      </w:r>
      <w:r>
        <w:rPr>
          <w:spacing w:val="-7"/>
        </w:rPr>
        <w:t> </w:t>
      </w:r>
      <w:r>
        <w:rPr>
          <w:spacing w:val="-4"/>
        </w:rPr>
        <w:t>and technology</w:t>
      </w:r>
      <w:r>
        <w:rPr>
          <w:spacing w:val="-7"/>
        </w:rPr>
        <w:t> </w:t>
      </w:r>
      <w:r>
        <w:rPr>
          <w:spacing w:val="-4"/>
        </w:rPr>
        <w:t>is</w:t>
      </w:r>
      <w:r>
        <w:rPr>
          <w:spacing w:val="-7"/>
        </w:rPr>
        <w:t> </w:t>
      </w:r>
      <w:r>
        <w:rPr>
          <w:spacing w:val="-4"/>
        </w:rPr>
        <w:t>increasingly</w:t>
      </w:r>
      <w:r>
        <w:rPr>
          <w:spacing w:val="-7"/>
        </w:rPr>
        <w:t> </w:t>
      </w:r>
      <w:r>
        <w:rPr>
          <w:spacing w:val="-4"/>
        </w:rPr>
        <w:t>recognised,</w:t>
      </w:r>
      <w:r>
        <w:rPr>
          <w:spacing w:val="-7"/>
        </w:rPr>
        <w:t> </w:t>
      </w:r>
      <w:r>
        <w:rPr>
          <w:spacing w:val="-4"/>
        </w:rPr>
        <w:t>basic</w:t>
      </w:r>
      <w:r>
        <w:rPr>
          <w:spacing w:val="-7"/>
        </w:rPr>
        <w:t> </w:t>
      </w:r>
      <w:r>
        <w:rPr>
          <w:spacing w:val="-4"/>
        </w:rPr>
        <w:t>research</w:t>
      </w:r>
      <w:r>
        <w:rPr>
          <w:spacing w:val="-7"/>
        </w:rPr>
        <w:t> </w:t>
      </w:r>
      <w:r>
        <w:rPr>
          <w:spacing w:val="-4"/>
        </w:rPr>
        <w:t>in </w:t>
      </w:r>
      <w:r>
        <w:rPr>
          <w:spacing w:val="-2"/>
        </w:rPr>
        <w:t>many</w:t>
      </w:r>
      <w:r>
        <w:rPr/>
        <w:t> </w:t>
      </w:r>
      <w:r>
        <w:rPr>
          <w:spacing w:val="-2"/>
        </w:rPr>
        <w:t>other</w:t>
      </w:r>
      <w:r>
        <w:rPr/>
        <w:t> </w:t>
      </w:r>
      <w:r>
        <w:rPr>
          <w:spacing w:val="-2"/>
        </w:rPr>
        <w:t>areas</w:t>
      </w:r>
      <w:r>
        <w:rPr/>
        <w:t> </w:t>
      </w:r>
      <w:r>
        <w:rPr>
          <w:spacing w:val="-2"/>
        </w:rPr>
        <w:t>like</w:t>
      </w:r>
      <w:r>
        <w:rPr/>
        <w:t> </w:t>
      </w:r>
      <w:r>
        <w:rPr>
          <w:spacing w:val="-2"/>
        </w:rPr>
        <w:t>economics,</w:t>
      </w:r>
      <w:r>
        <w:rPr/>
        <w:t> </w:t>
      </w:r>
      <w:r>
        <w:rPr>
          <w:spacing w:val="-2"/>
        </w:rPr>
        <w:t>management,</w:t>
      </w:r>
      <w:r>
        <w:rPr/>
        <w:t> </w:t>
      </w:r>
      <w:r>
        <w:rPr>
          <w:spacing w:val="-2"/>
        </w:rPr>
        <w:t>social sciences,</w:t>
      </w:r>
      <w:r>
        <w:rPr>
          <w:spacing w:val="-3"/>
        </w:rPr>
        <w:t> </w:t>
      </w:r>
      <w:r>
        <w:rPr>
          <w:spacing w:val="-2"/>
        </w:rPr>
        <w:t>arts</w:t>
      </w:r>
      <w:r>
        <w:rPr>
          <w:spacing w:val="-3"/>
        </w:rPr>
        <w:t> </w:t>
      </w:r>
      <w:r>
        <w:rPr>
          <w:spacing w:val="-2"/>
        </w:rPr>
        <w:t>etc.</w:t>
      </w:r>
      <w:r>
        <w:rPr>
          <w:spacing w:val="-3"/>
        </w:rPr>
        <w:t> </w:t>
      </w:r>
      <w:r>
        <w:rPr>
          <w:spacing w:val="-2"/>
        </w:rPr>
        <w:t>play</w:t>
      </w:r>
      <w:r>
        <w:rPr>
          <w:spacing w:val="-3"/>
        </w:rPr>
        <w:t> </w:t>
      </w:r>
      <w:r>
        <w:rPr>
          <w:spacing w:val="-2"/>
        </w:rPr>
        <w:t>an</w:t>
      </w:r>
      <w:r>
        <w:rPr>
          <w:spacing w:val="-3"/>
        </w:rPr>
        <w:t> </w:t>
      </w:r>
      <w:r>
        <w:rPr>
          <w:spacing w:val="-2"/>
        </w:rPr>
        <w:t>equally</w:t>
      </w:r>
      <w:r>
        <w:rPr>
          <w:spacing w:val="-3"/>
        </w:rPr>
        <w:t> </w:t>
      </w:r>
      <w:r>
        <w:rPr>
          <w:spacing w:val="-2"/>
        </w:rPr>
        <w:t>important</w:t>
      </w:r>
      <w:r>
        <w:rPr>
          <w:spacing w:val="-3"/>
        </w:rPr>
        <w:t> </w:t>
      </w:r>
      <w:r>
        <w:rPr>
          <w:spacing w:val="-2"/>
        </w:rPr>
        <w:t>role</w:t>
      </w:r>
      <w:r>
        <w:rPr>
          <w:spacing w:val="-3"/>
        </w:rPr>
        <w:t> </w:t>
      </w:r>
      <w:r>
        <w:rPr>
          <w:spacing w:val="-2"/>
        </w:rPr>
        <w:t>in</w:t>
      </w:r>
      <w:r>
        <w:rPr>
          <w:spacing w:val="-3"/>
        </w:rPr>
        <w:t> </w:t>
      </w:r>
      <w:r>
        <w:rPr>
          <w:spacing w:val="-5"/>
        </w:rPr>
        <w:t>the</w:t>
      </w:r>
    </w:p>
    <w:p>
      <w:pPr>
        <w:pStyle w:val="BodyText"/>
        <w:spacing w:line="238" w:lineRule="exact"/>
        <w:ind w:left="1080"/>
        <w:jc w:val="both"/>
      </w:pPr>
      <w:r>
        <w:rPr>
          <w:spacing w:val="-6"/>
        </w:rPr>
        <w:t>overall</w:t>
      </w:r>
      <w:r>
        <w:rPr/>
        <w:t> </w:t>
      </w:r>
      <w:r>
        <w:rPr>
          <w:spacing w:val="-6"/>
        </w:rPr>
        <w:t>development</w:t>
      </w:r>
      <w:r>
        <w:rPr>
          <w:spacing w:val="1"/>
        </w:rPr>
        <w:t> </w:t>
      </w:r>
      <w:r>
        <w:rPr>
          <w:spacing w:val="-6"/>
        </w:rPr>
        <w:t>and</w:t>
      </w:r>
      <w:r>
        <w:rPr>
          <w:spacing w:val="1"/>
        </w:rPr>
        <w:t> </w:t>
      </w:r>
      <w:r>
        <w:rPr>
          <w:spacing w:val="-6"/>
        </w:rPr>
        <w:t>well-being</w:t>
      </w:r>
      <w:r>
        <w:rPr>
          <w:spacing w:val="1"/>
        </w:rPr>
        <w:t> </w:t>
      </w:r>
      <w:r>
        <w:rPr>
          <w:spacing w:val="-6"/>
        </w:rPr>
        <w:t>of</w:t>
      </w:r>
      <w:r>
        <w:rPr/>
        <w:t> </w:t>
      </w:r>
      <w:r>
        <w:rPr>
          <w:spacing w:val="-6"/>
        </w:rPr>
        <w:t>a</w:t>
      </w:r>
      <w:r>
        <w:rPr>
          <w:spacing w:val="1"/>
        </w:rPr>
        <w:t> </w:t>
      </w:r>
      <w:r>
        <w:rPr>
          <w:spacing w:val="-6"/>
        </w:rPr>
        <w:t>nation.</w:t>
      </w:r>
    </w:p>
    <w:p>
      <w:pPr>
        <w:pStyle w:val="BodyText"/>
        <w:spacing w:before="54"/>
      </w:pPr>
    </w:p>
    <w:p>
      <w:pPr>
        <w:pStyle w:val="BodyText"/>
        <w:spacing w:line="266" w:lineRule="auto"/>
        <w:ind w:left="1080"/>
        <w:jc w:val="both"/>
      </w:pPr>
      <w:r>
        <w:rPr/>
        <w:t>Historically, India has had an enviable standing </w:t>
      </w:r>
      <w:r>
        <w:rPr/>
        <w:t>in the world of research. However, the current situation is unsatisfactory across multiple dimensions, and the </w:t>
      </w:r>
      <w:r>
        <w:rPr>
          <w:spacing w:val="-6"/>
        </w:rPr>
        <w:t>reasons for this are manifold. An important factor which </w:t>
      </w:r>
      <w:r>
        <w:rPr/>
        <w:t>impacts the quality and quantum of research is the </w:t>
      </w:r>
      <w:r>
        <w:rPr>
          <w:spacing w:val="-6"/>
        </w:rPr>
        <w:t>scarcity of talented and dedicated manpower engaged in </w:t>
      </w:r>
      <w:r>
        <w:rPr>
          <w:spacing w:val="-2"/>
        </w:rPr>
        <w:t>research.</w:t>
      </w:r>
      <w:r>
        <w:rPr>
          <w:spacing w:val="-12"/>
        </w:rPr>
        <w:t> </w:t>
      </w:r>
      <w:r>
        <w:rPr>
          <w:spacing w:val="-2"/>
        </w:rPr>
        <w:t>We</w:t>
      </w:r>
      <w:r>
        <w:rPr>
          <w:spacing w:val="-12"/>
        </w:rPr>
        <w:t> </w:t>
      </w:r>
      <w:r>
        <w:rPr>
          <w:spacing w:val="-2"/>
        </w:rPr>
        <w:t>need</w:t>
      </w:r>
      <w:r>
        <w:rPr>
          <w:spacing w:val="-12"/>
        </w:rPr>
        <w:t> </w:t>
      </w:r>
      <w:r>
        <w:rPr>
          <w:spacing w:val="-2"/>
        </w:rPr>
        <w:t>qualified</w:t>
      </w:r>
      <w:r>
        <w:rPr>
          <w:spacing w:val="-11"/>
        </w:rPr>
        <w:t> </w:t>
      </w:r>
      <w:r>
        <w:rPr>
          <w:spacing w:val="-2"/>
        </w:rPr>
        <w:t>doctorates</w:t>
      </w:r>
      <w:r>
        <w:rPr>
          <w:spacing w:val="-12"/>
        </w:rPr>
        <w:t> </w:t>
      </w:r>
      <w:r>
        <w:rPr>
          <w:spacing w:val="-2"/>
        </w:rPr>
        <w:t>for</w:t>
      </w:r>
      <w:r>
        <w:rPr>
          <w:spacing w:val="-12"/>
        </w:rPr>
        <w:t> </w:t>
      </w:r>
      <w:r>
        <w:rPr>
          <w:spacing w:val="-2"/>
        </w:rPr>
        <w:t>our</w:t>
      </w:r>
      <w:r>
        <w:rPr>
          <w:spacing w:val="-12"/>
        </w:rPr>
        <w:t> </w:t>
      </w:r>
      <w:r>
        <w:rPr>
          <w:spacing w:val="-2"/>
        </w:rPr>
        <w:t>research </w:t>
      </w:r>
      <w:r>
        <w:rPr/>
        <w:t>laboratories, to teach and engage in research in our </w:t>
      </w:r>
      <w:r>
        <w:rPr>
          <w:spacing w:val="-2"/>
        </w:rPr>
        <w:t>universities</w:t>
      </w:r>
      <w:r>
        <w:rPr>
          <w:spacing w:val="-6"/>
        </w:rPr>
        <w:t> </w:t>
      </w:r>
      <w:r>
        <w:rPr>
          <w:spacing w:val="-2"/>
        </w:rPr>
        <w:t>and</w:t>
      </w:r>
      <w:r>
        <w:rPr>
          <w:spacing w:val="-6"/>
        </w:rPr>
        <w:t> </w:t>
      </w:r>
      <w:r>
        <w:rPr>
          <w:spacing w:val="-2"/>
        </w:rPr>
        <w:t>to</w:t>
      </w:r>
      <w:r>
        <w:rPr>
          <w:spacing w:val="-6"/>
        </w:rPr>
        <w:t> </w:t>
      </w:r>
      <w:r>
        <w:rPr>
          <w:spacing w:val="-2"/>
        </w:rPr>
        <w:t>work</w:t>
      </w:r>
      <w:r>
        <w:rPr>
          <w:spacing w:val="-6"/>
        </w:rPr>
        <w:t> </w:t>
      </w:r>
      <w:r>
        <w:rPr>
          <w:spacing w:val="-2"/>
        </w:rPr>
        <w:t>for</w:t>
      </w:r>
      <w:r>
        <w:rPr>
          <w:spacing w:val="-6"/>
        </w:rPr>
        <w:t> </w:t>
      </w:r>
      <w:r>
        <w:rPr>
          <w:spacing w:val="-2"/>
        </w:rPr>
        <w:t>research</w:t>
      </w:r>
      <w:r>
        <w:rPr>
          <w:spacing w:val="-6"/>
        </w:rPr>
        <w:t> </w:t>
      </w:r>
      <w:r>
        <w:rPr>
          <w:spacing w:val="-2"/>
        </w:rPr>
        <w:t>and</w:t>
      </w:r>
      <w:r>
        <w:rPr>
          <w:spacing w:val="-6"/>
        </w:rPr>
        <w:t> </w:t>
      </w:r>
      <w:r>
        <w:rPr>
          <w:spacing w:val="-2"/>
        </w:rPr>
        <w:t>development </w:t>
      </w:r>
      <w:r>
        <w:rPr>
          <w:spacing w:val="-4"/>
        </w:rPr>
        <w:t>in</w:t>
      </w:r>
      <w:r>
        <w:rPr>
          <w:spacing w:val="-10"/>
        </w:rPr>
        <w:t> </w:t>
      </w:r>
      <w:r>
        <w:rPr>
          <w:spacing w:val="-4"/>
        </w:rPr>
        <w:t>all</w:t>
      </w:r>
      <w:r>
        <w:rPr>
          <w:spacing w:val="-9"/>
        </w:rPr>
        <w:t> </w:t>
      </w:r>
      <w:r>
        <w:rPr>
          <w:spacing w:val="-4"/>
        </w:rPr>
        <w:t>sectors</w:t>
      </w:r>
      <w:r>
        <w:rPr>
          <w:spacing w:val="-6"/>
        </w:rPr>
        <w:t> </w:t>
      </w:r>
      <w:r>
        <w:rPr>
          <w:spacing w:val="-4"/>
        </w:rPr>
        <w:t>of</w:t>
      </w:r>
      <w:r>
        <w:rPr>
          <w:spacing w:val="-7"/>
        </w:rPr>
        <w:t> </w:t>
      </w:r>
      <w:r>
        <w:rPr>
          <w:spacing w:val="-4"/>
        </w:rPr>
        <w:t>the</w:t>
      </w:r>
      <w:r>
        <w:rPr>
          <w:spacing w:val="-7"/>
        </w:rPr>
        <w:t> </w:t>
      </w:r>
      <w:r>
        <w:rPr>
          <w:spacing w:val="-4"/>
        </w:rPr>
        <w:t>industry.</w:t>
      </w:r>
      <w:r>
        <w:rPr>
          <w:spacing w:val="-10"/>
        </w:rPr>
        <w:t> </w:t>
      </w:r>
      <w:r>
        <w:rPr>
          <w:spacing w:val="-4"/>
        </w:rPr>
        <w:t>The</w:t>
      </w:r>
      <w:r>
        <w:rPr>
          <w:spacing w:val="-7"/>
        </w:rPr>
        <w:t> </w:t>
      </w:r>
      <w:r>
        <w:rPr>
          <w:spacing w:val="-4"/>
        </w:rPr>
        <w:t>number</w:t>
      </w:r>
      <w:r>
        <w:rPr>
          <w:spacing w:val="-7"/>
        </w:rPr>
        <w:t> </w:t>
      </w:r>
      <w:r>
        <w:rPr>
          <w:spacing w:val="-4"/>
        </w:rPr>
        <w:t>of</w:t>
      </w:r>
      <w:r>
        <w:rPr>
          <w:spacing w:val="-7"/>
        </w:rPr>
        <w:t> </w:t>
      </w:r>
      <w:r>
        <w:rPr>
          <w:spacing w:val="-4"/>
        </w:rPr>
        <w:t>researchers </w:t>
      </w:r>
      <w:r>
        <w:rPr/>
        <w:t>in</w:t>
      </w:r>
      <w:r>
        <w:rPr>
          <w:spacing w:val="-1"/>
        </w:rPr>
        <w:t> </w:t>
      </w:r>
      <w:r>
        <w:rPr/>
        <w:t>India</w:t>
      </w:r>
      <w:r>
        <w:rPr>
          <w:spacing w:val="-1"/>
        </w:rPr>
        <w:t> </w:t>
      </w:r>
      <w:r>
        <w:rPr/>
        <w:t>was</w:t>
      </w:r>
      <w:r>
        <w:rPr>
          <w:spacing w:val="-1"/>
        </w:rPr>
        <w:t> </w:t>
      </w:r>
      <w:r>
        <w:rPr/>
        <w:t>112</w:t>
      </w:r>
      <w:r>
        <w:rPr>
          <w:spacing w:val="-1"/>
        </w:rPr>
        <w:t> </w:t>
      </w:r>
      <w:r>
        <w:rPr/>
        <w:t>per</w:t>
      </w:r>
      <w:r>
        <w:rPr>
          <w:spacing w:val="-1"/>
        </w:rPr>
        <w:t> </w:t>
      </w:r>
      <w:r>
        <w:rPr/>
        <w:t>million</w:t>
      </w:r>
      <w:r>
        <w:rPr>
          <w:spacing w:val="-1"/>
        </w:rPr>
        <w:t> </w:t>
      </w:r>
      <w:r>
        <w:rPr/>
        <w:t>inhabitants</w:t>
      </w:r>
      <w:r>
        <w:rPr>
          <w:spacing w:val="-1"/>
        </w:rPr>
        <w:t> </w:t>
      </w:r>
      <w:r>
        <w:rPr/>
        <w:t>compared</w:t>
      </w:r>
      <w:r>
        <w:rPr>
          <w:spacing w:val="-1"/>
        </w:rPr>
        <w:t> </w:t>
      </w:r>
      <w:r>
        <w:rPr/>
        <w:t>to 633</w:t>
      </w:r>
      <w:r>
        <w:rPr>
          <w:spacing w:val="-14"/>
        </w:rPr>
        <w:t> </w:t>
      </w:r>
      <w:r>
        <w:rPr/>
        <w:t>in</w:t>
      </w:r>
      <w:r>
        <w:rPr>
          <w:spacing w:val="-14"/>
        </w:rPr>
        <w:t> </w:t>
      </w:r>
      <w:r>
        <w:rPr/>
        <w:t>China</w:t>
      </w:r>
      <w:r>
        <w:rPr>
          <w:spacing w:val="-14"/>
        </w:rPr>
        <w:t> </w:t>
      </w:r>
      <w:r>
        <w:rPr/>
        <w:t>and</w:t>
      </w:r>
      <w:r>
        <w:rPr>
          <w:spacing w:val="-13"/>
        </w:rPr>
        <w:t> </w:t>
      </w:r>
      <w:r>
        <w:rPr/>
        <w:t>4374</w:t>
      </w:r>
      <w:r>
        <w:rPr>
          <w:spacing w:val="-14"/>
        </w:rPr>
        <w:t> </w:t>
      </w:r>
      <w:r>
        <w:rPr/>
        <w:t>in</w:t>
      </w:r>
      <w:r>
        <w:rPr>
          <w:spacing w:val="-14"/>
        </w:rPr>
        <w:t> </w:t>
      </w:r>
      <w:r>
        <w:rPr/>
        <w:t>USA</w:t>
      </w:r>
      <w:r>
        <w:rPr>
          <w:spacing w:val="-14"/>
        </w:rPr>
        <w:t> </w:t>
      </w:r>
      <w:r>
        <w:rPr/>
        <w:t>in</w:t>
      </w:r>
      <w:r>
        <w:rPr>
          <w:spacing w:val="-13"/>
        </w:rPr>
        <w:t> </w:t>
      </w:r>
      <w:r>
        <w:rPr/>
        <w:t>2002.</w:t>
      </w:r>
      <w:r>
        <w:rPr>
          <w:spacing w:val="-14"/>
        </w:rPr>
        <w:t> </w:t>
      </w:r>
      <w:r>
        <w:rPr/>
        <w:t>The</w:t>
      </w:r>
      <w:r>
        <w:rPr>
          <w:spacing w:val="-13"/>
        </w:rPr>
        <w:t> </w:t>
      </w:r>
      <w:r>
        <w:rPr/>
        <w:t>growth</w:t>
      </w:r>
      <w:r>
        <w:rPr>
          <w:spacing w:val="-13"/>
        </w:rPr>
        <w:t> </w:t>
      </w:r>
      <w:r>
        <w:rPr/>
        <w:t>in </w:t>
      </w:r>
      <w:r>
        <w:rPr>
          <w:spacing w:val="-4"/>
        </w:rPr>
        <w:t>the</w:t>
      </w:r>
      <w:r>
        <w:rPr>
          <w:spacing w:val="-9"/>
        </w:rPr>
        <w:t> </w:t>
      </w:r>
      <w:r>
        <w:rPr>
          <w:spacing w:val="-4"/>
        </w:rPr>
        <w:t>number</w:t>
      </w:r>
      <w:r>
        <w:rPr>
          <w:spacing w:val="-9"/>
        </w:rPr>
        <w:t> </w:t>
      </w:r>
      <w:r>
        <w:rPr>
          <w:spacing w:val="-4"/>
        </w:rPr>
        <w:t>of</w:t>
      </w:r>
      <w:r>
        <w:rPr>
          <w:spacing w:val="-9"/>
        </w:rPr>
        <w:t> </w:t>
      </w:r>
      <w:r>
        <w:rPr>
          <w:spacing w:val="-4"/>
        </w:rPr>
        <w:t>doctorates</w:t>
      </w:r>
      <w:r>
        <w:rPr>
          <w:spacing w:val="-9"/>
        </w:rPr>
        <w:t> </w:t>
      </w:r>
      <w:r>
        <w:rPr>
          <w:spacing w:val="-4"/>
        </w:rPr>
        <w:t>has</w:t>
      </w:r>
      <w:r>
        <w:rPr>
          <w:spacing w:val="-9"/>
        </w:rPr>
        <w:t> </w:t>
      </w:r>
      <w:r>
        <w:rPr>
          <w:spacing w:val="-4"/>
        </w:rPr>
        <w:t>been</w:t>
      </w:r>
      <w:r>
        <w:rPr>
          <w:spacing w:val="-9"/>
        </w:rPr>
        <w:t> </w:t>
      </w:r>
      <w:r>
        <w:rPr>
          <w:spacing w:val="-4"/>
        </w:rPr>
        <w:t>only</w:t>
      </w:r>
      <w:r>
        <w:rPr>
          <w:spacing w:val="-9"/>
        </w:rPr>
        <w:t> </w:t>
      </w:r>
      <w:r>
        <w:rPr>
          <w:spacing w:val="-4"/>
        </w:rPr>
        <w:t>a</w:t>
      </w:r>
      <w:r>
        <w:rPr>
          <w:spacing w:val="-9"/>
        </w:rPr>
        <w:t> </w:t>
      </w:r>
      <w:r>
        <w:rPr>
          <w:spacing w:val="-4"/>
        </w:rPr>
        <w:t>modest</w:t>
      </w:r>
      <w:r>
        <w:rPr>
          <w:spacing w:val="-9"/>
        </w:rPr>
        <w:t> </w:t>
      </w:r>
      <w:r>
        <w:rPr>
          <w:spacing w:val="-4"/>
        </w:rPr>
        <w:t>20</w:t>
      </w:r>
      <w:r>
        <w:rPr>
          <w:spacing w:val="-9"/>
        </w:rPr>
        <w:t> </w:t>
      </w:r>
      <w:r>
        <w:rPr>
          <w:spacing w:val="-4"/>
        </w:rPr>
        <w:t>per </w:t>
      </w:r>
      <w:r>
        <w:rPr/>
        <w:t>cent</w:t>
      </w:r>
      <w:r>
        <w:rPr>
          <w:spacing w:val="-14"/>
        </w:rPr>
        <w:t> </w:t>
      </w:r>
      <w:r>
        <w:rPr/>
        <w:t>in</w:t>
      </w:r>
      <w:r>
        <w:rPr>
          <w:spacing w:val="-13"/>
        </w:rPr>
        <w:t> </w:t>
      </w:r>
      <w:r>
        <w:rPr/>
        <w:t>India</w:t>
      </w:r>
      <w:r>
        <w:rPr>
          <w:spacing w:val="-14"/>
        </w:rPr>
        <w:t> </w:t>
      </w:r>
      <w:r>
        <w:rPr/>
        <w:t>from</w:t>
      </w:r>
      <w:r>
        <w:rPr>
          <w:spacing w:val="-13"/>
        </w:rPr>
        <w:t> </w:t>
      </w:r>
      <w:r>
        <w:rPr/>
        <w:t>1991-2001</w:t>
      </w:r>
      <w:r>
        <w:rPr>
          <w:spacing w:val="-14"/>
        </w:rPr>
        <w:t> </w:t>
      </w:r>
      <w:r>
        <w:rPr/>
        <w:t>compared</w:t>
      </w:r>
      <w:r>
        <w:rPr>
          <w:spacing w:val="-13"/>
        </w:rPr>
        <w:t> </w:t>
      </w:r>
      <w:r>
        <w:rPr/>
        <w:t>to</w:t>
      </w:r>
      <w:r>
        <w:rPr>
          <w:spacing w:val="-14"/>
        </w:rPr>
        <w:t> </w:t>
      </w:r>
      <w:r>
        <w:rPr/>
        <w:t>85</w:t>
      </w:r>
      <w:r>
        <w:rPr>
          <w:spacing w:val="-13"/>
        </w:rPr>
        <w:t> </w:t>
      </w:r>
      <w:r>
        <w:rPr/>
        <w:t>per</w:t>
      </w:r>
      <w:r>
        <w:rPr>
          <w:spacing w:val="-14"/>
        </w:rPr>
        <w:t> </w:t>
      </w:r>
      <w:r>
        <w:rPr/>
        <w:t>cent in</w:t>
      </w:r>
      <w:r>
        <w:rPr>
          <w:spacing w:val="-7"/>
        </w:rPr>
        <w:t> </w:t>
      </w:r>
      <w:r>
        <w:rPr/>
        <w:t>China</w:t>
      </w:r>
      <w:r>
        <w:rPr>
          <w:spacing w:val="-7"/>
        </w:rPr>
        <w:t> </w:t>
      </w:r>
      <w:r>
        <w:rPr/>
        <w:t>during</w:t>
      </w:r>
      <w:r>
        <w:rPr>
          <w:spacing w:val="-7"/>
        </w:rPr>
        <w:t> </w:t>
      </w:r>
      <w:r>
        <w:rPr/>
        <w:t>the</w:t>
      </w:r>
      <w:r>
        <w:rPr>
          <w:spacing w:val="-7"/>
        </w:rPr>
        <w:t> </w:t>
      </w:r>
      <w:r>
        <w:rPr/>
        <w:t>same</w:t>
      </w:r>
      <w:r>
        <w:rPr>
          <w:spacing w:val="-7"/>
        </w:rPr>
        <w:t> </w:t>
      </w:r>
      <w:r>
        <w:rPr/>
        <w:t>period.</w:t>
      </w:r>
      <w:r>
        <w:rPr>
          <w:position w:val="7"/>
          <w:sz w:val="13"/>
        </w:rPr>
        <w:t>1</w:t>
      </w:r>
      <w:r>
        <w:rPr>
          <w:spacing w:val="8"/>
          <w:position w:val="7"/>
          <w:sz w:val="13"/>
        </w:rPr>
        <w:t> </w:t>
      </w:r>
      <w:r>
        <w:rPr/>
        <w:t>The</w:t>
      </w:r>
      <w:r>
        <w:rPr>
          <w:spacing w:val="-7"/>
        </w:rPr>
        <w:t> </w:t>
      </w:r>
      <w:r>
        <w:rPr/>
        <w:t>current</w:t>
      </w:r>
      <w:r>
        <w:rPr>
          <w:spacing w:val="-7"/>
        </w:rPr>
        <w:t> </w:t>
      </w:r>
      <w:r>
        <w:rPr/>
        <w:t>state</w:t>
      </w:r>
      <w:r>
        <w:rPr>
          <w:spacing w:val="-7"/>
        </w:rPr>
        <w:t> </w:t>
      </w:r>
      <w:r>
        <w:rPr/>
        <w:t>of affairs</w:t>
      </w:r>
      <w:r>
        <w:rPr>
          <w:spacing w:val="-2"/>
        </w:rPr>
        <w:t> </w:t>
      </w:r>
      <w:r>
        <w:rPr/>
        <w:t>thus</w:t>
      </w:r>
      <w:r>
        <w:rPr>
          <w:spacing w:val="-2"/>
        </w:rPr>
        <w:t> </w:t>
      </w:r>
      <w:r>
        <w:rPr/>
        <w:t>requires</w:t>
      </w:r>
      <w:r>
        <w:rPr>
          <w:spacing w:val="-2"/>
        </w:rPr>
        <w:t> </w:t>
      </w:r>
      <w:r>
        <w:rPr/>
        <w:t>urgent</w:t>
      </w:r>
      <w:r>
        <w:rPr>
          <w:spacing w:val="-2"/>
        </w:rPr>
        <w:t> </w:t>
      </w:r>
      <w:r>
        <w:rPr/>
        <w:t>policy</w:t>
      </w:r>
      <w:r>
        <w:rPr>
          <w:spacing w:val="-2"/>
        </w:rPr>
        <w:t> </w:t>
      </w:r>
      <w:r>
        <w:rPr/>
        <w:t>intervention.</w:t>
      </w:r>
    </w:p>
    <w:p>
      <w:pPr>
        <w:pStyle w:val="BodyText"/>
        <w:spacing w:before="14"/>
      </w:pPr>
    </w:p>
    <w:p>
      <w:pPr>
        <w:pStyle w:val="BodyText"/>
        <w:spacing w:line="266" w:lineRule="auto"/>
        <w:ind w:left="1080"/>
        <w:jc w:val="both"/>
      </w:pPr>
      <w:r>
        <w:rPr/>
        <w:t>Research in any area requires continuous </w:t>
      </w:r>
      <w:r>
        <w:rPr/>
        <w:t>intellectual </w:t>
      </w:r>
      <w:r>
        <w:rPr>
          <w:spacing w:val="-2"/>
        </w:rPr>
        <w:t>engagement</w:t>
      </w:r>
      <w:r>
        <w:rPr>
          <w:spacing w:val="-14"/>
        </w:rPr>
        <w:t> </w:t>
      </w:r>
      <w:r>
        <w:rPr>
          <w:spacing w:val="-2"/>
        </w:rPr>
        <w:t>along</w:t>
      </w:r>
      <w:r>
        <w:rPr>
          <w:spacing w:val="-12"/>
        </w:rPr>
        <w:t> </w:t>
      </w:r>
      <w:r>
        <w:rPr>
          <w:spacing w:val="-2"/>
        </w:rPr>
        <w:t>with</w:t>
      </w:r>
      <w:r>
        <w:rPr>
          <w:spacing w:val="-12"/>
        </w:rPr>
        <w:t> </w:t>
      </w:r>
      <w:r>
        <w:rPr>
          <w:spacing w:val="-2"/>
        </w:rPr>
        <w:t>a</w:t>
      </w:r>
      <w:r>
        <w:rPr>
          <w:spacing w:val="-11"/>
        </w:rPr>
        <w:t> </w:t>
      </w:r>
      <w:r>
        <w:rPr>
          <w:spacing w:val="-2"/>
        </w:rPr>
        <w:t>passion</w:t>
      </w:r>
      <w:r>
        <w:rPr>
          <w:spacing w:val="-12"/>
        </w:rPr>
        <w:t> </w:t>
      </w:r>
      <w:r>
        <w:rPr>
          <w:spacing w:val="-2"/>
        </w:rPr>
        <w:t>for</w:t>
      </w:r>
      <w:r>
        <w:rPr>
          <w:spacing w:val="-12"/>
        </w:rPr>
        <w:t> </w:t>
      </w:r>
      <w:r>
        <w:rPr>
          <w:spacing w:val="-2"/>
        </w:rPr>
        <w:t>ideas</w:t>
      </w:r>
      <w:r>
        <w:rPr>
          <w:spacing w:val="-12"/>
        </w:rPr>
        <w:t> </w:t>
      </w:r>
      <w:r>
        <w:rPr>
          <w:spacing w:val="-2"/>
        </w:rPr>
        <w:t>and</w:t>
      </w:r>
      <w:r>
        <w:rPr>
          <w:spacing w:val="-11"/>
        </w:rPr>
        <w:t> </w:t>
      </w:r>
      <w:r>
        <w:rPr>
          <w:spacing w:val="-2"/>
        </w:rPr>
        <w:t>creative </w:t>
      </w:r>
      <w:r>
        <w:rPr/>
        <w:t>thinking. We thus need to create a system where these</w:t>
      </w:r>
      <w:r>
        <w:rPr>
          <w:spacing w:val="17"/>
        </w:rPr>
        <w:t> </w:t>
      </w:r>
      <w:r>
        <w:rPr/>
        <w:t>qualities</w:t>
      </w:r>
      <w:r>
        <w:rPr>
          <w:spacing w:val="18"/>
        </w:rPr>
        <w:t> </w:t>
      </w:r>
      <w:r>
        <w:rPr/>
        <w:t>are</w:t>
      </w:r>
      <w:r>
        <w:rPr>
          <w:spacing w:val="18"/>
        </w:rPr>
        <w:t> </w:t>
      </w:r>
      <w:r>
        <w:rPr/>
        <w:t>nurtured</w:t>
      </w:r>
      <w:r>
        <w:rPr>
          <w:spacing w:val="17"/>
        </w:rPr>
        <w:t> </w:t>
      </w:r>
      <w:r>
        <w:rPr/>
        <w:t>and</w:t>
      </w:r>
      <w:r>
        <w:rPr>
          <w:spacing w:val="18"/>
        </w:rPr>
        <w:t> </w:t>
      </w:r>
      <w:r>
        <w:rPr/>
        <w:t>encouraged,</w:t>
      </w:r>
      <w:r>
        <w:rPr>
          <w:spacing w:val="18"/>
        </w:rPr>
        <w:t> </w:t>
      </w:r>
      <w:r>
        <w:rPr>
          <w:spacing w:val="-2"/>
        </w:rPr>
        <w:t>thereby</w:t>
      </w:r>
    </w:p>
    <w:p>
      <w:pPr>
        <w:pStyle w:val="BodyText"/>
        <w:spacing w:line="266" w:lineRule="auto" w:before="82"/>
        <w:ind w:left="319" w:right="1077"/>
        <w:jc w:val="both"/>
      </w:pPr>
      <w:r>
        <w:rPr/>
        <w:br w:type="column"/>
      </w:r>
      <w:r>
        <w:rPr>
          <w:spacing w:val="-2"/>
        </w:rPr>
        <w:t>providing</w:t>
      </w:r>
      <w:r>
        <w:rPr>
          <w:spacing w:val="-12"/>
        </w:rPr>
        <w:t> </w:t>
      </w:r>
      <w:r>
        <w:rPr>
          <w:spacing w:val="-2"/>
        </w:rPr>
        <w:t>a</w:t>
      </w:r>
      <w:r>
        <w:rPr>
          <w:spacing w:val="-12"/>
        </w:rPr>
        <w:t> </w:t>
      </w:r>
      <w:r>
        <w:rPr>
          <w:spacing w:val="-2"/>
        </w:rPr>
        <w:t>pool</w:t>
      </w:r>
      <w:r>
        <w:rPr>
          <w:spacing w:val="-12"/>
        </w:rPr>
        <w:t> </w:t>
      </w:r>
      <w:r>
        <w:rPr>
          <w:spacing w:val="-2"/>
        </w:rPr>
        <w:t>of</w:t>
      </w:r>
      <w:r>
        <w:rPr>
          <w:spacing w:val="-11"/>
        </w:rPr>
        <w:t> </w:t>
      </w:r>
      <w:r>
        <w:rPr>
          <w:spacing w:val="-2"/>
        </w:rPr>
        <w:t>students</w:t>
      </w:r>
      <w:r>
        <w:rPr>
          <w:spacing w:val="-12"/>
        </w:rPr>
        <w:t> </w:t>
      </w:r>
      <w:r>
        <w:rPr>
          <w:spacing w:val="-2"/>
        </w:rPr>
        <w:t>wishing</w:t>
      </w:r>
      <w:r>
        <w:rPr>
          <w:spacing w:val="-12"/>
        </w:rPr>
        <w:t> </w:t>
      </w:r>
      <w:r>
        <w:rPr>
          <w:spacing w:val="-2"/>
        </w:rPr>
        <w:t>to</w:t>
      </w:r>
      <w:r>
        <w:rPr>
          <w:spacing w:val="-12"/>
        </w:rPr>
        <w:t> </w:t>
      </w:r>
      <w:r>
        <w:rPr>
          <w:spacing w:val="-2"/>
        </w:rPr>
        <w:t>pursue</w:t>
      </w:r>
      <w:r>
        <w:rPr>
          <w:spacing w:val="-11"/>
        </w:rPr>
        <w:t> </w:t>
      </w:r>
      <w:r>
        <w:rPr>
          <w:spacing w:val="-2"/>
        </w:rPr>
        <w:t>doctoral </w:t>
      </w:r>
      <w:r>
        <w:rPr/>
        <w:t>studies.</w:t>
      </w:r>
      <w:r>
        <w:rPr>
          <w:spacing w:val="-1"/>
        </w:rPr>
        <w:t> </w:t>
      </w:r>
      <w:r>
        <w:rPr/>
        <w:t>Simultaneously,</w:t>
      </w:r>
      <w:r>
        <w:rPr>
          <w:spacing w:val="-1"/>
        </w:rPr>
        <w:t> </w:t>
      </w:r>
      <w:r>
        <w:rPr/>
        <w:t>it</w:t>
      </w:r>
      <w:r>
        <w:rPr>
          <w:spacing w:val="-1"/>
        </w:rPr>
        <w:t> </w:t>
      </w:r>
      <w:r>
        <w:rPr/>
        <w:t>must</w:t>
      </w:r>
      <w:r>
        <w:rPr>
          <w:spacing w:val="-1"/>
        </w:rPr>
        <w:t> </w:t>
      </w:r>
      <w:r>
        <w:rPr/>
        <w:t>be</w:t>
      </w:r>
      <w:r>
        <w:rPr>
          <w:spacing w:val="-1"/>
        </w:rPr>
        <w:t> </w:t>
      </w:r>
      <w:r>
        <w:rPr/>
        <w:t>ensured</w:t>
      </w:r>
      <w:r>
        <w:rPr>
          <w:spacing w:val="-1"/>
        </w:rPr>
        <w:t> </w:t>
      </w:r>
      <w:r>
        <w:rPr/>
        <w:t>that</w:t>
      </w:r>
      <w:r>
        <w:rPr>
          <w:spacing w:val="-1"/>
        </w:rPr>
        <w:t> </w:t>
      </w:r>
      <w:r>
        <w:rPr/>
        <w:t>once </w:t>
      </w:r>
      <w:r>
        <w:rPr>
          <w:spacing w:val="-2"/>
        </w:rPr>
        <w:t>they</w:t>
      </w:r>
      <w:r>
        <w:rPr>
          <w:spacing w:val="-11"/>
        </w:rPr>
        <w:t> </w:t>
      </w:r>
      <w:r>
        <w:rPr>
          <w:spacing w:val="-2"/>
        </w:rPr>
        <w:t>acquire</w:t>
      </w:r>
      <w:r>
        <w:rPr>
          <w:spacing w:val="-11"/>
        </w:rPr>
        <w:t> </w:t>
      </w:r>
      <w:r>
        <w:rPr>
          <w:spacing w:val="-2"/>
        </w:rPr>
        <w:t>a</w:t>
      </w:r>
      <w:r>
        <w:rPr>
          <w:spacing w:val="-11"/>
        </w:rPr>
        <w:t> </w:t>
      </w:r>
      <w:r>
        <w:rPr>
          <w:spacing w:val="-2"/>
        </w:rPr>
        <w:t>Ph.D,</w:t>
      </w:r>
      <w:r>
        <w:rPr>
          <w:spacing w:val="-11"/>
        </w:rPr>
        <w:t> </w:t>
      </w:r>
      <w:r>
        <w:rPr>
          <w:spacing w:val="-2"/>
        </w:rPr>
        <w:t>further</w:t>
      </w:r>
      <w:r>
        <w:rPr>
          <w:spacing w:val="-11"/>
        </w:rPr>
        <w:t> </w:t>
      </w:r>
      <w:r>
        <w:rPr>
          <w:spacing w:val="-2"/>
        </w:rPr>
        <w:t>employment</w:t>
      </w:r>
      <w:r>
        <w:rPr>
          <w:spacing w:val="-11"/>
        </w:rPr>
        <w:t> </w:t>
      </w:r>
      <w:r>
        <w:rPr>
          <w:spacing w:val="-2"/>
        </w:rPr>
        <w:t>opportunities </w:t>
      </w:r>
      <w:r>
        <w:rPr/>
        <w:t>are</w:t>
      </w:r>
      <w:r>
        <w:rPr>
          <w:spacing w:val="-14"/>
        </w:rPr>
        <w:t> </w:t>
      </w:r>
      <w:r>
        <w:rPr/>
        <w:t>attractive.</w:t>
      </w:r>
      <w:r>
        <w:rPr>
          <w:spacing w:val="-14"/>
        </w:rPr>
        <w:t> </w:t>
      </w:r>
      <w:r>
        <w:rPr/>
        <w:t>This</w:t>
      </w:r>
      <w:r>
        <w:rPr>
          <w:spacing w:val="-14"/>
        </w:rPr>
        <w:t> </w:t>
      </w:r>
      <w:r>
        <w:rPr/>
        <w:t>is</w:t>
      </w:r>
      <w:r>
        <w:rPr>
          <w:spacing w:val="-13"/>
        </w:rPr>
        <w:t> </w:t>
      </w:r>
      <w:r>
        <w:rPr/>
        <w:t>essential</w:t>
      </w:r>
      <w:r>
        <w:rPr>
          <w:spacing w:val="-14"/>
        </w:rPr>
        <w:t> </w:t>
      </w:r>
      <w:r>
        <w:rPr/>
        <w:t>to</w:t>
      </w:r>
      <w:r>
        <w:rPr>
          <w:spacing w:val="-12"/>
        </w:rPr>
        <w:t> </w:t>
      </w:r>
      <w:r>
        <w:rPr/>
        <w:t>justify</w:t>
      </w:r>
      <w:r>
        <w:rPr>
          <w:spacing w:val="-13"/>
        </w:rPr>
        <w:t> </w:t>
      </w:r>
      <w:r>
        <w:rPr/>
        <w:t>the</w:t>
      </w:r>
      <w:r>
        <w:rPr>
          <w:spacing w:val="-13"/>
        </w:rPr>
        <w:t> </w:t>
      </w:r>
      <w:r>
        <w:rPr/>
        <w:t>amount</w:t>
      </w:r>
      <w:r>
        <w:rPr>
          <w:spacing w:val="-13"/>
        </w:rPr>
        <w:t> </w:t>
      </w:r>
      <w:r>
        <w:rPr/>
        <w:t>of </w:t>
      </w:r>
      <w:r>
        <w:rPr>
          <w:spacing w:val="-4"/>
        </w:rPr>
        <w:t>time</w:t>
      </w:r>
      <w:r>
        <w:rPr>
          <w:spacing w:val="-9"/>
        </w:rPr>
        <w:t> </w:t>
      </w:r>
      <w:r>
        <w:rPr>
          <w:spacing w:val="-4"/>
        </w:rPr>
        <w:t>and</w:t>
      </w:r>
      <w:r>
        <w:rPr>
          <w:spacing w:val="-9"/>
        </w:rPr>
        <w:t> </w:t>
      </w:r>
      <w:r>
        <w:rPr>
          <w:spacing w:val="-4"/>
        </w:rPr>
        <w:t>effort</w:t>
      </w:r>
      <w:r>
        <w:rPr>
          <w:spacing w:val="-9"/>
        </w:rPr>
        <w:t> </w:t>
      </w:r>
      <w:r>
        <w:rPr>
          <w:spacing w:val="-4"/>
        </w:rPr>
        <w:t>invested</w:t>
      </w:r>
      <w:r>
        <w:rPr>
          <w:spacing w:val="-9"/>
        </w:rPr>
        <w:t> </w:t>
      </w:r>
      <w:r>
        <w:rPr>
          <w:spacing w:val="-4"/>
        </w:rPr>
        <w:t>in</w:t>
      </w:r>
      <w:r>
        <w:rPr>
          <w:spacing w:val="-9"/>
        </w:rPr>
        <w:t> </w:t>
      </w:r>
      <w:r>
        <w:rPr>
          <w:spacing w:val="-4"/>
        </w:rPr>
        <w:t>doctoral</w:t>
      </w:r>
      <w:r>
        <w:rPr>
          <w:spacing w:val="-9"/>
        </w:rPr>
        <w:t> </w:t>
      </w:r>
      <w:r>
        <w:rPr>
          <w:spacing w:val="-4"/>
        </w:rPr>
        <w:t>research,</w:t>
      </w:r>
      <w:r>
        <w:rPr>
          <w:spacing w:val="-9"/>
        </w:rPr>
        <w:t> </w:t>
      </w:r>
      <w:r>
        <w:rPr>
          <w:spacing w:val="-4"/>
        </w:rPr>
        <w:t>even</w:t>
      </w:r>
      <w:r>
        <w:rPr>
          <w:spacing w:val="-9"/>
        </w:rPr>
        <w:t> </w:t>
      </w:r>
      <w:r>
        <w:rPr>
          <w:spacing w:val="-4"/>
        </w:rPr>
        <w:t>more </w:t>
      </w:r>
      <w:r>
        <w:rPr>
          <w:spacing w:val="-2"/>
        </w:rPr>
        <w:t>so</w:t>
      </w:r>
      <w:r>
        <w:rPr>
          <w:spacing w:val="-12"/>
        </w:rPr>
        <w:t> </w:t>
      </w:r>
      <w:r>
        <w:rPr>
          <w:spacing w:val="-2"/>
        </w:rPr>
        <w:t>in</w:t>
      </w:r>
      <w:r>
        <w:rPr>
          <w:spacing w:val="-12"/>
        </w:rPr>
        <w:t> </w:t>
      </w:r>
      <w:r>
        <w:rPr>
          <w:spacing w:val="-2"/>
        </w:rPr>
        <w:t>today’s</w:t>
      </w:r>
      <w:r>
        <w:rPr>
          <w:spacing w:val="-12"/>
        </w:rPr>
        <w:t> </w:t>
      </w:r>
      <w:r>
        <w:rPr>
          <w:spacing w:val="-2"/>
        </w:rPr>
        <w:t>modern</w:t>
      </w:r>
      <w:r>
        <w:rPr>
          <w:spacing w:val="-11"/>
        </w:rPr>
        <w:t> </w:t>
      </w:r>
      <w:r>
        <w:rPr>
          <w:spacing w:val="-2"/>
        </w:rPr>
        <w:t>world</w:t>
      </w:r>
      <w:r>
        <w:rPr>
          <w:spacing w:val="-12"/>
        </w:rPr>
        <w:t> </w:t>
      </w:r>
      <w:r>
        <w:rPr>
          <w:spacing w:val="-2"/>
        </w:rPr>
        <w:t>where</w:t>
      </w:r>
      <w:r>
        <w:rPr>
          <w:spacing w:val="-12"/>
        </w:rPr>
        <w:t> </w:t>
      </w:r>
      <w:r>
        <w:rPr>
          <w:spacing w:val="-2"/>
        </w:rPr>
        <w:t>there</w:t>
      </w:r>
      <w:r>
        <w:rPr>
          <w:spacing w:val="-12"/>
        </w:rPr>
        <w:t> </w:t>
      </w:r>
      <w:r>
        <w:rPr>
          <w:spacing w:val="-2"/>
        </w:rPr>
        <w:t>are</w:t>
      </w:r>
      <w:r>
        <w:rPr>
          <w:spacing w:val="-11"/>
        </w:rPr>
        <w:t> </w:t>
      </w:r>
      <w:r>
        <w:rPr>
          <w:spacing w:val="-2"/>
        </w:rPr>
        <w:t>many</w:t>
      </w:r>
      <w:r>
        <w:rPr>
          <w:spacing w:val="-12"/>
        </w:rPr>
        <w:t> </w:t>
      </w:r>
      <w:r>
        <w:rPr>
          <w:spacing w:val="-2"/>
        </w:rPr>
        <w:t>other </w:t>
      </w:r>
      <w:r>
        <w:rPr/>
        <w:t>seemingly easier and more lucrative career options. While achieving a critical mass of researchers in the country is important, it is necessary to ensure that quality standards are maintained at the same time.</w:t>
      </w:r>
    </w:p>
    <w:p>
      <w:pPr>
        <w:pStyle w:val="BodyText"/>
        <w:spacing w:before="19"/>
      </w:pPr>
    </w:p>
    <w:p>
      <w:pPr>
        <w:pStyle w:val="BodyText"/>
        <w:spacing w:line="266" w:lineRule="auto"/>
        <w:ind w:left="319" w:right="1077"/>
        <w:jc w:val="both"/>
      </w:pPr>
      <w:r>
        <w:rPr/>
        <w:t>With this objective, NKC initially conducted a </w:t>
      </w:r>
      <w:r>
        <w:rPr/>
        <w:t>wide </w:t>
      </w:r>
      <w:r>
        <w:rPr>
          <w:spacing w:val="-4"/>
        </w:rPr>
        <w:t>spread</w:t>
      </w:r>
      <w:r>
        <w:rPr>
          <w:spacing w:val="-9"/>
        </w:rPr>
        <w:t> </w:t>
      </w:r>
      <w:r>
        <w:rPr>
          <w:spacing w:val="-4"/>
        </w:rPr>
        <w:t>survey</w:t>
      </w:r>
      <w:r>
        <w:rPr>
          <w:spacing w:val="-9"/>
        </w:rPr>
        <w:t> </w:t>
      </w:r>
      <w:r>
        <w:rPr>
          <w:spacing w:val="-4"/>
        </w:rPr>
        <w:t>across</w:t>
      </w:r>
      <w:r>
        <w:rPr>
          <w:spacing w:val="-9"/>
        </w:rPr>
        <w:t> </w:t>
      </w:r>
      <w:r>
        <w:rPr>
          <w:spacing w:val="-4"/>
        </w:rPr>
        <w:t>the</w:t>
      </w:r>
      <w:r>
        <w:rPr>
          <w:spacing w:val="-9"/>
        </w:rPr>
        <w:t> </w:t>
      </w:r>
      <w:r>
        <w:rPr>
          <w:spacing w:val="-4"/>
        </w:rPr>
        <w:t>country</w:t>
      </w:r>
      <w:r>
        <w:rPr>
          <w:spacing w:val="-9"/>
        </w:rPr>
        <w:t> </w:t>
      </w:r>
      <w:r>
        <w:rPr>
          <w:spacing w:val="-4"/>
        </w:rPr>
        <w:t>and</w:t>
      </w:r>
      <w:r>
        <w:rPr>
          <w:spacing w:val="-9"/>
        </w:rPr>
        <w:t> </w:t>
      </w:r>
      <w:r>
        <w:rPr>
          <w:spacing w:val="-4"/>
        </w:rPr>
        <w:t>abroad.</w:t>
      </w:r>
      <w:r>
        <w:rPr>
          <w:spacing w:val="-9"/>
        </w:rPr>
        <w:t> </w:t>
      </w:r>
      <w:r>
        <w:rPr>
          <w:spacing w:val="-4"/>
        </w:rPr>
        <w:t>A</w:t>
      </w:r>
      <w:r>
        <w:rPr>
          <w:spacing w:val="-9"/>
        </w:rPr>
        <w:t> </w:t>
      </w:r>
      <w:r>
        <w:rPr>
          <w:spacing w:val="-4"/>
        </w:rPr>
        <w:t>detailed </w:t>
      </w:r>
      <w:r>
        <w:rPr>
          <w:spacing w:val="-2"/>
        </w:rPr>
        <w:t>questionnaire</w:t>
      </w:r>
      <w:r>
        <w:rPr>
          <w:spacing w:val="-10"/>
        </w:rPr>
        <w:t> </w:t>
      </w:r>
      <w:r>
        <w:rPr>
          <w:spacing w:val="-2"/>
        </w:rPr>
        <w:t>was</w:t>
      </w:r>
      <w:r>
        <w:rPr>
          <w:spacing w:val="-10"/>
        </w:rPr>
        <w:t> </w:t>
      </w:r>
      <w:r>
        <w:rPr>
          <w:spacing w:val="-2"/>
        </w:rPr>
        <w:t>sent</w:t>
      </w:r>
      <w:r>
        <w:rPr>
          <w:spacing w:val="-10"/>
        </w:rPr>
        <w:t> </w:t>
      </w:r>
      <w:r>
        <w:rPr>
          <w:spacing w:val="-2"/>
        </w:rPr>
        <w:t>to</w:t>
      </w:r>
      <w:r>
        <w:rPr>
          <w:spacing w:val="-10"/>
        </w:rPr>
        <w:t> </w:t>
      </w:r>
      <w:r>
        <w:rPr>
          <w:spacing w:val="-2"/>
        </w:rPr>
        <w:t>all</w:t>
      </w:r>
      <w:r>
        <w:rPr>
          <w:spacing w:val="-10"/>
        </w:rPr>
        <w:t> </w:t>
      </w:r>
      <w:r>
        <w:rPr>
          <w:spacing w:val="-2"/>
        </w:rPr>
        <w:t>the</w:t>
      </w:r>
      <w:r>
        <w:rPr>
          <w:spacing w:val="-10"/>
        </w:rPr>
        <w:t> </w:t>
      </w:r>
      <w:r>
        <w:rPr>
          <w:spacing w:val="-2"/>
        </w:rPr>
        <w:t>universities,</w:t>
      </w:r>
      <w:r>
        <w:rPr>
          <w:spacing w:val="-10"/>
        </w:rPr>
        <w:t> </w:t>
      </w:r>
      <w:r>
        <w:rPr>
          <w:spacing w:val="-2"/>
        </w:rPr>
        <w:t>academic </w:t>
      </w:r>
      <w:r>
        <w:rPr/>
        <w:t>and research institutions, government agencies, and </w:t>
      </w:r>
      <w:r>
        <w:rPr>
          <w:spacing w:val="-2"/>
        </w:rPr>
        <w:t>other</w:t>
      </w:r>
      <w:r>
        <w:rPr>
          <w:spacing w:val="-12"/>
        </w:rPr>
        <w:t> </w:t>
      </w:r>
      <w:r>
        <w:rPr>
          <w:spacing w:val="-2"/>
        </w:rPr>
        <w:t>stakeholders.</w:t>
      </w:r>
      <w:r>
        <w:rPr>
          <w:spacing w:val="-12"/>
        </w:rPr>
        <w:t> </w:t>
      </w:r>
      <w:r>
        <w:rPr>
          <w:spacing w:val="-2"/>
        </w:rPr>
        <w:t>More</w:t>
      </w:r>
      <w:r>
        <w:rPr>
          <w:spacing w:val="-12"/>
        </w:rPr>
        <w:t> </w:t>
      </w:r>
      <w:r>
        <w:rPr>
          <w:spacing w:val="-2"/>
        </w:rPr>
        <w:t>than</w:t>
      </w:r>
      <w:r>
        <w:rPr>
          <w:spacing w:val="-11"/>
        </w:rPr>
        <w:t> </w:t>
      </w:r>
      <w:r>
        <w:rPr>
          <w:spacing w:val="-2"/>
        </w:rPr>
        <w:t>250</w:t>
      </w:r>
      <w:r>
        <w:rPr>
          <w:spacing w:val="-12"/>
        </w:rPr>
        <w:t> </w:t>
      </w:r>
      <w:r>
        <w:rPr>
          <w:spacing w:val="-2"/>
        </w:rPr>
        <w:t>people</w:t>
      </w:r>
      <w:r>
        <w:rPr>
          <w:spacing w:val="-12"/>
        </w:rPr>
        <w:t> </w:t>
      </w:r>
      <w:r>
        <w:rPr>
          <w:spacing w:val="-2"/>
        </w:rPr>
        <w:t>responded</w:t>
      </w:r>
      <w:r>
        <w:rPr>
          <w:spacing w:val="-12"/>
        </w:rPr>
        <w:t> </w:t>
      </w:r>
      <w:r>
        <w:rPr>
          <w:spacing w:val="-2"/>
        </w:rPr>
        <w:t>to </w:t>
      </w:r>
      <w:r>
        <w:rPr/>
        <w:t>the</w:t>
      </w:r>
      <w:r>
        <w:rPr>
          <w:spacing w:val="-3"/>
        </w:rPr>
        <w:t> </w:t>
      </w:r>
      <w:r>
        <w:rPr/>
        <w:t>survey.</w:t>
      </w:r>
      <w:r>
        <w:rPr>
          <w:spacing w:val="-3"/>
        </w:rPr>
        <w:t> </w:t>
      </w:r>
      <w:r>
        <w:rPr/>
        <w:t>A</w:t>
      </w:r>
      <w:r>
        <w:rPr>
          <w:spacing w:val="-3"/>
        </w:rPr>
        <w:t> </w:t>
      </w:r>
      <w:r>
        <w:rPr/>
        <w:t>one</w:t>
      </w:r>
      <w:r>
        <w:rPr>
          <w:spacing w:val="-3"/>
        </w:rPr>
        <w:t> </w:t>
      </w:r>
      <w:r>
        <w:rPr/>
        <w:t>day</w:t>
      </w:r>
      <w:r>
        <w:rPr>
          <w:spacing w:val="-3"/>
        </w:rPr>
        <w:t> </w:t>
      </w:r>
      <w:r>
        <w:rPr/>
        <w:t>workshop</w:t>
      </w:r>
      <w:r>
        <w:rPr>
          <w:spacing w:val="-3"/>
        </w:rPr>
        <w:t> </w:t>
      </w:r>
      <w:r>
        <w:rPr/>
        <w:t>was</w:t>
      </w:r>
      <w:r>
        <w:rPr>
          <w:spacing w:val="-3"/>
        </w:rPr>
        <w:t> </w:t>
      </w:r>
      <w:r>
        <w:rPr/>
        <w:t>also</w:t>
      </w:r>
      <w:r>
        <w:rPr>
          <w:spacing w:val="-3"/>
        </w:rPr>
        <w:t> </w:t>
      </w:r>
      <w:r>
        <w:rPr/>
        <w:t>held</w:t>
      </w:r>
      <w:r>
        <w:rPr>
          <w:spacing w:val="-3"/>
        </w:rPr>
        <w:t> </w:t>
      </w:r>
      <w:r>
        <w:rPr/>
        <w:t>where </w:t>
      </w:r>
      <w:r>
        <w:rPr>
          <w:spacing w:val="-2"/>
        </w:rPr>
        <w:t>prominent</w:t>
      </w:r>
      <w:r>
        <w:rPr>
          <w:spacing w:val="-8"/>
        </w:rPr>
        <w:t> </w:t>
      </w:r>
      <w:r>
        <w:rPr>
          <w:spacing w:val="-2"/>
        </w:rPr>
        <w:t>members</w:t>
      </w:r>
      <w:r>
        <w:rPr>
          <w:spacing w:val="-8"/>
        </w:rPr>
        <w:t> </w:t>
      </w:r>
      <w:r>
        <w:rPr>
          <w:spacing w:val="-2"/>
        </w:rPr>
        <w:t>from</w:t>
      </w:r>
      <w:r>
        <w:rPr>
          <w:spacing w:val="-8"/>
        </w:rPr>
        <w:t> </w:t>
      </w:r>
      <w:r>
        <w:rPr>
          <w:spacing w:val="-2"/>
        </w:rPr>
        <w:t>diverse</w:t>
      </w:r>
      <w:r>
        <w:rPr>
          <w:spacing w:val="-8"/>
        </w:rPr>
        <w:t> </w:t>
      </w:r>
      <w:r>
        <w:rPr>
          <w:spacing w:val="-2"/>
        </w:rPr>
        <w:t>industries,</w:t>
      </w:r>
      <w:r>
        <w:rPr>
          <w:spacing w:val="-8"/>
        </w:rPr>
        <w:t> </w:t>
      </w:r>
      <w:r>
        <w:rPr>
          <w:spacing w:val="-2"/>
        </w:rPr>
        <w:t>academic </w:t>
      </w:r>
      <w:r>
        <w:rPr>
          <w:spacing w:val="-4"/>
        </w:rPr>
        <w:t>and research institutions and universities deliberated on </w:t>
      </w:r>
      <w:r>
        <w:rPr/>
        <w:t>these issues.</w:t>
      </w:r>
      <w:r>
        <w:rPr>
          <w:spacing w:val="-5"/>
        </w:rPr>
        <w:t> </w:t>
      </w:r>
      <w:r>
        <w:rPr/>
        <w:t>This note captures the main suggestions that evolved from these consultations. Some of the recommendations below have systemic linkages to the previous NKC recommendations in the areas of </w:t>
      </w:r>
      <w:r>
        <w:rPr>
          <w:spacing w:val="-4"/>
        </w:rPr>
        <w:t>education,</w:t>
      </w:r>
      <w:r>
        <w:rPr>
          <w:spacing w:val="-10"/>
        </w:rPr>
        <w:t> </w:t>
      </w:r>
      <w:r>
        <w:rPr>
          <w:spacing w:val="-4"/>
        </w:rPr>
        <w:t>entrepreneurship,</w:t>
      </w:r>
      <w:r>
        <w:rPr>
          <w:spacing w:val="-10"/>
        </w:rPr>
        <w:t> </w:t>
      </w:r>
      <w:r>
        <w:rPr>
          <w:spacing w:val="-4"/>
        </w:rPr>
        <w:t>intellectual</w:t>
      </w:r>
      <w:r>
        <w:rPr>
          <w:spacing w:val="-10"/>
        </w:rPr>
        <w:t> </w:t>
      </w:r>
      <w:r>
        <w:rPr>
          <w:spacing w:val="-4"/>
        </w:rPr>
        <w:t>property</w:t>
      </w:r>
      <w:r>
        <w:rPr>
          <w:spacing w:val="-9"/>
        </w:rPr>
        <w:t> </w:t>
      </w:r>
      <w:r>
        <w:rPr>
          <w:spacing w:val="-4"/>
        </w:rPr>
        <w:t>rights, </w:t>
      </w:r>
      <w:r>
        <w:rPr/>
        <w:t>knowledge</w:t>
      </w:r>
      <w:r>
        <w:rPr>
          <w:spacing w:val="-14"/>
        </w:rPr>
        <w:t> </w:t>
      </w:r>
      <w:r>
        <w:rPr/>
        <w:t>network</w:t>
      </w:r>
      <w:r>
        <w:rPr>
          <w:spacing w:val="-14"/>
        </w:rPr>
        <w:t> </w:t>
      </w:r>
      <w:r>
        <w:rPr/>
        <w:t>and</w:t>
      </w:r>
      <w:r>
        <w:rPr>
          <w:spacing w:val="-14"/>
        </w:rPr>
        <w:t> </w:t>
      </w:r>
      <w:r>
        <w:rPr/>
        <w:t>attracting</w:t>
      </w:r>
      <w:r>
        <w:rPr>
          <w:spacing w:val="-13"/>
        </w:rPr>
        <w:t> </w:t>
      </w:r>
      <w:r>
        <w:rPr/>
        <w:t>talented</w:t>
      </w:r>
      <w:r>
        <w:rPr>
          <w:spacing w:val="-14"/>
        </w:rPr>
        <w:t> </w:t>
      </w:r>
      <w:r>
        <w:rPr/>
        <w:t>students</w:t>
      </w:r>
      <w:r>
        <w:rPr>
          <w:spacing w:val="-14"/>
        </w:rPr>
        <w:t> </w:t>
      </w:r>
      <w:r>
        <w:rPr/>
        <w:t>to Maths and Science.</w:t>
      </w:r>
    </w:p>
    <w:p>
      <w:pPr>
        <w:pStyle w:val="Heading6"/>
        <w:spacing w:line="182" w:lineRule="auto" w:before="246"/>
        <w:ind w:left="1290" w:right="1075" w:hanging="972"/>
      </w:pPr>
      <w:r>
        <w:rPr>
          <w:color w:val="2E614A"/>
          <w:w w:val="90"/>
        </w:rPr>
        <w:t>Part A: Attracting potential </w:t>
      </w:r>
      <w:r>
        <w:rPr>
          <w:color w:val="2E614A"/>
          <w:w w:val="90"/>
        </w:rPr>
        <w:t>doctoral </w:t>
      </w:r>
      <w:r>
        <w:rPr>
          <w:color w:val="2E614A"/>
          <w:spacing w:val="-2"/>
        </w:rPr>
        <w:t>students</w:t>
      </w:r>
    </w:p>
    <w:p>
      <w:pPr>
        <w:pStyle w:val="BodyText"/>
        <w:spacing w:line="266" w:lineRule="auto" w:before="303"/>
        <w:ind w:left="319" w:right="1077"/>
        <w:jc w:val="both"/>
      </w:pPr>
      <w:r>
        <w:rPr/>
        <w:t>In</w:t>
      </w:r>
      <w:r>
        <w:rPr>
          <w:spacing w:val="-4"/>
        </w:rPr>
        <w:t> </w:t>
      </w:r>
      <w:r>
        <w:rPr/>
        <w:t>order</w:t>
      </w:r>
      <w:r>
        <w:rPr>
          <w:spacing w:val="-4"/>
        </w:rPr>
        <w:t> </w:t>
      </w:r>
      <w:r>
        <w:rPr/>
        <w:t>to</w:t>
      </w:r>
      <w:r>
        <w:rPr>
          <w:spacing w:val="-4"/>
        </w:rPr>
        <w:t> </w:t>
      </w:r>
      <w:r>
        <w:rPr/>
        <w:t>sustain</w:t>
      </w:r>
      <w:r>
        <w:rPr>
          <w:spacing w:val="-4"/>
        </w:rPr>
        <w:t> </w:t>
      </w:r>
      <w:r>
        <w:rPr/>
        <w:t>research</w:t>
      </w:r>
      <w:r>
        <w:rPr>
          <w:spacing w:val="-4"/>
        </w:rPr>
        <w:t> </w:t>
      </w:r>
      <w:r>
        <w:rPr/>
        <w:t>in</w:t>
      </w:r>
      <w:r>
        <w:rPr>
          <w:spacing w:val="-4"/>
        </w:rPr>
        <w:t> </w:t>
      </w:r>
      <w:r>
        <w:rPr/>
        <w:t>the</w:t>
      </w:r>
      <w:r>
        <w:rPr>
          <w:spacing w:val="-4"/>
        </w:rPr>
        <w:t> </w:t>
      </w:r>
      <w:r>
        <w:rPr/>
        <w:t>long</w:t>
      </w:r>
      <w:r>
        <w:rPr>
          <w:spacing w:val="-4"/>
        </w:rPr>
        <w:t> </w:t>
      </w:r>
      <w:r>
        <w:rPr/>
        <w:t>term</w:t>
      </w:r>
      <w:r>
        <w:rPr>
          <w:spacing w:val="-4"/>
        </w:rPr>
        <w:t> </w:t>
      </w:r>
      <w:r>
        <w:rPr/>
        <w:t>and</w:t>
      </w:r>
      <w:r>
        <w:rPr>
          <w:spacing w:val="-4"/>
        </w:rPr>
        <w:t> </w:t>
      </w:r>
      <w:r>
        <w:rPr/>
        <w:t>for</w:t>
      </w:r>
      <w:r>
        <w:rPr>
          <w:spacing w:val="-4"/>
        </w:rPr>
        <w:t> </w:t>
      </w:r>
      <w:r>
        <w:rPr/>
        <w:t>it to</w:t>
      </w:r>
      <w:r>
        <w:rPr>
          <w:spacing w:val="-5"/>
        </w:rPr>
        <w:t> </w:t>
      </w:r>
      <w:r>
        <w:rPr/>
        <w:t>flourish,</w:t>
      </w:r>
      <w:r>
        <w:rPr>
          <w:spacing w:val="-5"/>
        </w:rPr>
        <w:t> </w:t>
      </w:r>
      <w:r>
        <w:rPr/>
        <w:t>creating</w:t>
      </w:r>
      <w:r>
        <w:rPr>
          <w:spacing w:val="-5"/>
        </w:rPr>
        <w:t> </w:t>
      </w:r>
      <w:r>
        <w:rPr/>
        <w:t>a</w:t>
      </w:r>
      <w:r>
        <w:rPr>
          <w:spacing w:val="-5"/>
        </w:rPr>
        <w:t> </w:t>
      </w:r>
      <w:r>
        <w:rPr/>
        <w:t>critical</w:t>
      </w:r>
      <w:r>
        <w:rPr>
          <w:spacing w:val="-5"/>
        </w:rPr>
        <w:t> </w:t>
      </w:r>
      <w:r>
        <w:rPr/>
        <w:t>mass</w:t>
      </w:r>
      <w:r>
        <w:rPr>
          <w:spacing w:val="-5"/>
        </w:rPr>
        <w:t> </w:t>
      </w:r>
      <w:r>
        <w:rPr/>
        <w:t>of</w:t>
      </w:r>
      <w:r>
        <w:rPr>
          <w:spacing w:val="-5"/>
        </w:rPr>
        <w:t> </w:t>
      </w:r>
      <w:r>
        <w:rPr/>
        <w:t>researchers</w:t>
      </w:r>
      <w:r>
        <w:rPr>
          <w:spacing w:val="-5"/>
        </w:rPr>
        <w:t> </w:t>
      </w:r>
      <w:r>
        <w:rPr/>
        <w:t>and </w:t>
      </w:r>
      <w:r>
        <w:rPr>
          <w:spacing w:val="-4"/>
        </w:rPr>
        <w:t>academics</w:t>
      </w:r>
      <w:r>
        <w:rPr>
          <w:spacing w:val="-10"/>
        </w:rPr>
        <w:t> </w:t>
      </w:r>
      <w:r>
        <w:rPr>
          <w:spacing w:val="-4"/>
        </w:rPr>
        <w:t>is</w:t>
      </w:r>
      <w:r>
        <w:rPr>
          <w:spacing w:val="-10"/>
        </w:rPr>
        <w:t> </w:t>
      </w:r>
      <w:r>
        <w:rPr>
          <w:spacing w:val="-4"/>
        </w:rPr>
        <w:t>of</w:t>
      </w:r>
      <w:r>
        <w:rPr>
          <w:spacing w:val="-10"/>
        </w:rPr>
        <w:t> </w:t>
      </w:r>
      <w:r>
        <w:rPr>
          <w:spacing w:val="-4"/>
        </w:rPr>
        <w:t>the</w:t>
      </w:r>
      <w:r>
        <w:rPr>
          <w:spacing w:val="-9"/>
        </w:rPr>
        <w:t> </w:t>
      </w:r>
      <w:r>
        <w:rPr>
          <w:spacing w:val="-4"/>
        </w:rPr>
        <w:t>foremost</w:t>
      </w:r>
      <w:r>
        <w:rPr>
          <w:spacing w:val="-10"/>
        </w:rPr>
        <w:t> </w:t>
      </w:r>
      <w:r>
        <w:rPr>
          <w:spacing w:val="-4"/>
        </w:rPr>
        <w:t>importance.</w:t>
      </w:r>
      <w:r>
        <w:rPr>
          <w:spacing w:val="-10"/>
        </w:rPr>
        <w:t> </w:t>
      </w:r>
      <w:r>
        <w:rPr>
          <w:spacing w:val="-4"/>
        </w:rPr>
        <w:t>Serious</w:t>
      </w:r>
      <w:r>
        <w:rPr>
          <w:spacing w:val="-10"/>
        </w:rPr>
        <w:t> </w:t>
      </w:r>
      <w:r>
        <w:rPr>
          <w:spacing w:val="-4"/>
        </w:rPr>
        <w:t>policy interventions</w:t>
      </w:r>
      <w:r>
        <w:rPr>
          <w:spacing w:val="-7"/>
        </w:rPr>
        <w:t> </w:t>
      </w:r>
      <w:r>
        <w:rPr>
          <w:spacing w:val="-4"/>
        </w:rPr>
        <w:t>are</w:t>
      </w:r>
      <w:r>
        <w:rPr>
          <w:spacing w:val="-7"/>
        </w:rPr>
        <w:t> </w:t>
      </w:r>
      <w:r>
        <w:rPr>
          <w:spacing w:val="-4"/>
        </w:rPr>
        <w:t>required</w:t>
      </w:r>
      <w:r>
        <w:rPr>
          <w:spacing w:val="-7"/>
        </w:rPr>
        <w:t> </w:t>
      </w:r>
      <w:r>
        <w:rPr>
          <w:spacing w:val="-4"/>
        </w:rPr>
        <w:t>to</w:t>
      </w:r>
      <w:r>
        <w:rPr>
          <w:spacing w:val="-7"/>
        </w:rPr>
        <w:t> </w:t>
      </w:r>
      <w:r>
        <w:rPr>
          <w:spacing w:val="-4"/>
        </w:rPr>
        <w:t>ensure</w:t>
      </w:r>
      <w:r>
        <w:rPr>
          <w:spacing w:val="-7"/>
        </w:rPr>
        <w:t> </w:t>
      </w:r>
      <w:r>
        <w:rPr>
          <w:spacing w:val="-4"/>
        </w:rPr>
        <w:t>that</w:t>
      </w:r>
      <w:r>
        <w:rPr>
          <w:spacing w:val="-7"/>
        </w:rPr>
        <w:t> </w:t>
      </w:r>
      <w:r>
        <w:rPr>
          <w:spacing w:val="-4"/>
        </w:rPr>
        <w:t>this</w:t>
      </w:r>
      <w:r>
        <w:rPr>
          <w:spacing w:val="-7"/>
        </w:rPr>
        <w:t> </w:t>
      </w:r>
      <w:r>
        <w:rPr>
          <w:spacing w:val="-4"/>
        </w:rPr>
        <w:t>is</w:t>
      </w:r>
      <w:r>
        <w:rPr>
          <w:spacing w:val="-7"/>
        </w:rPr>
        <w:t> </w:t>
      </w:r>
      <w:r>
        <w:rPr>
          <w:spacing w:val="-4"/>
        </w:rPr>
        <w:t>achieved </w:t>
      </w:r>
      <w:r>
        <w:rPr/>
        <w:t>within a specified time frame in the country.</w:t>
      </w:r>
    </w:p>
    <w:p>
      <w:pPr>
        <w:pStyle w:val="BodyText"/>
      </w:pPr>
    </w:p>
    <w:p>
      <w:pPr>
        <w:pStyle w:val="Heading7"/>
        <w:spacing w:line="225" w:lineRule="auto"/>
        <w:ind w:right="1075"/>
      </w:pPr>
      <w:r>
        <w:rPr>
          <w:color w:val="2E614A"/>
          <w:w w:val="90"/>
        </w:rPr>
        <w:t>Recommendation 1: Create greater </w:t>
      </w:r>
      <w:r>
        <w:rPr>
          <w:color w:val="2E614A"/>
          <w:w w:val="90"/>
        </w:rPr>
        <w:t>awareness </w:t>
      </w:r>
      <w:r>
        <w:rPr>
          <w:color w:val="2E614A"/>
          <w:spacing w:val="-6"/>
        </w:rPr>
        <w:t>and acceptance towards pursuing teaching and</w:t>
      </w:r>
      <w:r>
        <w:rPr>
          <w:color w:val="2E614A"/>
          <w:spacing w:val="-11"/>
        </w:rPr>
        <w:t> </w:t>
      </w:r>
      <w:r>
        <w:rPr>
          <w:color w:val="2E614A"/>
          <w:spacing w:val="-6"/>
        </w:rPr>
        <w:t>research</w:t>
      </w:r>
      <w:r>
        <w:rPr>
          <w:color w:val="2E614A"/>
          <w:spacing w:val="-10"/>
        </w:rPr>
        <w:t> </w:t>
      </w:r>
      <w:r>
        <w:rPr>
          <w:color w:val="2E614A"/>
          <w:spacing w:val="-6"/>
        </w:rPr>
        <w:t>as</w:t>
      </w:r>
      <w:r>
        <w:rPr>
          <w:color w:val="2E614A"/>
          <w:spacing w:val="-10"/>
        </w:rPr>
        <w:t> </w:t>
      </w:r>
      <w:r>
        <w:rPr>
          <w:color w:val="2E614A"/>
          <w:spacing w:val="-6"/>
        </w:rPr>
        <w:t>a</w:t>
      </w:r>
      <w:r>
        <w:rPr>
          <w:color w:val="2E614A"/>
          <w:spacing w:val="-10"/>
        </w:rPr>
        <w:t> </w:t>
      </w:r>
      <w:r>
        <w:rPr>
          <w:color w:val="2E614A"/>
          <w:spacing w:val="-6"/>
        </w:rPr>
        <w:t>career,</w:t>
      </w:r>
      <w:r>
        <w:rPr>
          <w:color w:val="2E614A"/>
          <w:spacing w:val="-11"/>
        </w:rPr>
        <w:t> </w:t>
      </w:r>
      <w:r>
        <w:rPr>
          <w:color w:val="2E614A"/>
          <w:spacing w:val="-6"/>
        </w:rPr>
        <w:t>by</w:t>
      </w:r>
      <w:r>
        <w:rPr>
          <w:color w:val="2E614A"/>
          <w:spacing w:val="-10"/>
        </w:rPr>
        <w:t> </w:t>
      </w:r>
      <w:r>
        <w:rPr>
          <w:color w:val="2E614A"/>
          <w:spacing w:val="-6"/>
        </w:rPr>
        <w:t>communicating </w:t>
      </w:r>
      <w:r>
        <w:rPr>
          <w:color w:val="2E614A"/>
          <w:spacing w:val="-2"/>
        </w:rPr>
        <w:t>the</w:t>
      </w:r>
      <w:r>
        <w:rPr>
          <w:color w:val="2E614A"/>
          <w:spacing w:val="-11"/>
        </w:rPr>
        <w:t> </w:t>
      </w:r>
      <w:r>
        <w:rPr>
          <w:color w:val="2E614A"/>
          <w:spacing w:val="-2"/>
        </w:rPr>
        <w:t>opportunities</w:t>
      </w:r>
      <w:r>
        <w:rPr>
          <w:color w:val="2E614A"/>
          <w:spacing w:val="-11"/>
        </w:rPr>
        <w:t> </w:t>
      </w:r>
      <w:r>
        <w:rPr>
          <w:color w:val="2E614A"/>
          <w:spacing w:val="-2"/>
        </w:rPr>
        <w:t>and</w:t>
      </w:r>
      <w:r>
        <w:rPr>
          <w:color w:val="2E614A"/>
          <w:spacing w:val="-11"/>
        </w:rPr>
        <w:t> </w:t>
      </w:r>
      <w:r>
        <w:rPr>
          <w:color w:val="2E614A"/>
          <w:spacing w:val="-2"/>
        </w:rPr>
        <w:t>excitement</w:t>
      </w:r>
      <w:r>
        <w:rPr>
          <w:color w:val="2E614A"/>
          <w:spacing w:val="-11"/>
        </w:rPr>
        <w:t> </w:t>
      </w:r>
      <w:r>
        <w:rPr>
          <w:color w:val="2E614A"/>
          <w:spacing w:val="-2"/>
        </w:rPr>
        <w:t>at</w:t>
      </w:r>
      <w:r>
        <w:rPr>
          <w:color w:val="2E614A"/>
          <w:spacing w:val="-11"/>
        </w:rPr>
        <w:t> </w:t>
      </w:r>
      <w:r>
        <w:rPr>
          <w:color w:val="2E614A"/>
          <w:spacing w:val="-2"/>
        </w:rPr>
        <w:t>a </w:t>
      </w:r>
      <w:r>
        <w:rPr>
          <w:color w:val="2E614A"/>
        </w:rPr>
        <w:t>broader level</w:t>
      </w:r>
    </w:p>
    <w:p>
      <w:pPr>
        <w:spacing w:after="0" w:line="225" w:lineRule="auto"/>
        <w:sectPr>
          <w:type w:val="continuous"/>
          <w:pgSz w:w="11910" w:h="16840"/>
          <w:pgMar w:header="0" w:footer="675" w:top="1920" w:bottom="280" w:left="0" w:right="0"/>
          <w:cols w:num="2" w:equalWidth="0">
            <w:col w:w="5774" w:space="40"/>
            <w:col w:w="6096"/>
          </w:cols>
        </w:sectPr>
      </w:pPr>
    </w:p>
    <w:p>
      <w:pPr>
        <w:pStyle w:val="BodyText"/>
        <w:spacing w:before="92"/>
        <w:rPr>
          <w:b/>
          <w:sz w:val="20"/>
        </w:rPr>
      </w:pPr>
    </w:p>
    <w:p>
      <w:pPr>
        <w:pStyle w:val="BodyText"/>
        <w:spacing w:line="20" w:lineRule="exact"/>
        <w:ind w:left="1080"/>
        <w:rPr>
          <w:sz w:val="2"/>
        </w:rPr>
      </w:pPr>
      <w:r>
        <w:rPr>
          <w:sz w:val="2"/>
        </w:rPr>
        <mc:AlternateContent>
          <mc:Choice Requires="wps">
            <w:drawing>
              <wp:inline distT="0" distB="0" distL="0" distR="0">
                <wp:extent cx="2408555" cy="6350"/>
                <wp:effectExtent l="0" t="0" r="0" b="0"/>
                <wp:docPr id="936" name="Group 936"/>
                <wp:cNvGraphicFramePr>
                  <a:graphicFrameLocks/>
                </wp:cNvGraphicFramePr>
                <a:graphic>
                  <a:graphicData uri="http://schemas.microsoft.com/office/word/2010/wordprocessingGroup">
                    <wpg:wgp>
                      <wpg:cNvPr id="936" name="Group 936"/>
                      <wpg:cNvGrpSpPr/>
                      <wpg:grpSpPr>
                        <a:xfrm>
                          <a:off x="0" y="0"/>
                          <a:ext cx="2408555" cy="6350"/>
                          <a:chExt cx="2408555" cy="6350"/>
                        </a:xfrm>
                      </wpg:grpSpPr>
                      <wps:wsp>
                        <wps:cNvPr id="937" name="Graphic 937"/>
                        <wps:cNvSpPr/>
                        <wps:spPr>
                          <a:xfrm>
                            <a:off x="0" y="0"/>
                            <a:ext cx="2408555" cy="6350"/>
                          </a:xfrm>
                          <a:custGeom>
                            <a:avLst/>
                            <a:gdLst/>
                            <a:ahLst/>
                            <a:cxnLst/>
                            <a:rect l="l" t="t" r="r" b="b"/>
                            <a:pathLst>
                              <a:path w="2408555" h="6350">
                                <a:moveTo>
                                  <a:pt x="2408400" y="0"/>
                                </a:moveTo>
                                <a:lnTo>
                                  <a:pt x="0" y="0"/>
                                </a:lnTo>
                                <a:lnTo>
                                  <a:pt x="0" y="6349"/>
                                </a:lnTo>
                                <a:lnTo>
                                  <a:pt x="2408400" y="6349"/>
                                </a:lnTo>
                                <a:lnTo>
                                  <a:pt x="240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65pt;height:.5pt;mso-position-horizontal-relative:char;mso-position-vertical-relative:line" id="docshapegroup929" coordorigin="0,0" coordsize="3793,10">
                <v:rect style="position:absolute;left:0;top:0;width:3793;height:10" id="docshape930" filled="true" fillcolor="#000000" stroked="false">
                  <v:fill type="solid"/>
                </v:rect>
              </v:group>
            </w:pict>
          </mc:Fallback>
        </mc:AlternateContent>
      </w:r>
      <w:r>
        <w:rPr>
          <w:sz w:val="2"/>
        </w:rPr>
      </w:r>
    </w:p>
    <w:p>
      <w:pPr>
        <w:spacing w:before="65"/>
        <w:ind w:left="1080" w:right="0" w:firstLine="0"/>
        <w:jc w:val="left"/>
        <w:rPr>
          <w:sz w:val="18"/>
        </w:rPr>
      </w:pPr>
      <w:r>
        <w:rPr>
          <w:spacing w:val="-4"/>
          <w:position w:val="6"/>
          <w:sz w:val="10"/>
        </w:rPr>
        <w:t>1</w:t>
      </w:r>
      <w:r>
        <w:rPr>
          <w:spacing w:val="-2"/>
          <w:position w:val="6"/>
          <w:sz w:val="10"/>
        </w:rPr>
        <w:t> </w:t>
      </w:r>
      <w:r>
        <w:rPr>
          <w:spacing w:val="-4"/>
          <w:sz w:val="18"/>
        </w:rPr>
        <w:t>“Measures</w:t>
      </w:r>
      <w:r>
        <w:rPr>
          <w:spacing w:val="-6"/>
          <w:sz w:val="18"/>
        </w:rPr>
        <w:t> </w:t>
      </w:r>
      <w:r>
        <w:rPr>
          <w:spacing w:val="-4"/>
          <w:sz w:val="18"/>
        </w:rPr>
        <w:t>of</w:t>
      </w:r>
      <w:r>
        <w:rPr>
          <w:spacing w:val="-5"/>
          <w:sz w:val="18"/>
        </w:rPr>
        <w:t> </w:t>
      </w:r>
      <w:r>
        <w:rPr>
          <w:spacing w:val="-4"/>
          <w:sz w:val="18"/>
        </w:rPr>
        <w:t>Progress</w:t>
      </w:r>
      <w:r>
        <w:rPr>
          <w:spacing w:val="-5"/>
          <w:sz w:val="18"/>
        </w:rPr>
        <w:t> </w:t>
      </w:r>
      <w:r>
        <w:rPr>
          <w:spacing w:val="-4"/>
          <w:sz w:val="18"/>
        </w:rPr>
        <w:t>of</w:t>
      </w:r>
      <w:r>
        <w:rPr>
          <w:spacing w:val="-5"/>
          <w:sz w:val="18"/>
        </w:rPr>
        <w:t> </w:t>
      </w:r>
      <w:r>
        <w:rPr>
          <w:spacing w:val="-4"/>
          <w:sz w:val="18"/>
        </w:rPr>
        <w:t>Science</w:t>
      </w:r>
      <w:r>
        <w:rPr>
          <w:spacing w:val="-5"/>
          <w:sz w:val="18"/>
        </w:rPr>
        <w:t> </w:t>
      </w:r>
      <w:r>
        <w:rPr>
          <w:spacing w:val="-4"/>
          <w:sz w:val="18"/>
        </w:rPr>
        <w:t>in</w:t>
      </w:r>
      <w:r>
        <w:rPr>
          <w:spacing w:val="-5"/>
          <w:sz w:val="18"/>
        </w:rPr>
        <w:t> </w:t>
      </w:r>
      <w:r>
        <w:rPr>
          <w:spacing w:val="-4"/>
          <w:sz w:val="18"/>
        </w:rPr>
        <w:t>India”,</w:t>
      </w:r>
      <w:r>
        <w:rPr>
          <w:spacing w:val="-5"/>
          <w:sz w:val="18"/>
        </w:rPr>
        <w:t> </w:t>
      </w:r>
      <w:r>
        <w:rPr>
          <w:spacing w:val="-4"/>
          <w:sz w:val="18"/>
        </w:rPr>
        <w:t>Report</w:t>
      </w:r>
      <w:r>
        <w:rPr>
          <w:spacing w:val="-5"/>
          <w:sz w:val="18"/>
        </w:rPr>
        <w:t> </w:t>
      </w:r>
      <w:r>
        <w:rPr>
          <w:spacing w:val="-4"/>
          <w:sz w:val="18"/>
        </w:rPr>
        <w:t>by</w:t>
      </w:r>
      <w:r>
        <w:rPr>
          <w:spacing w:val="-6"/>
          <w:sz w:val="18"/>
        </w:rPr>
        <w:t> </w:t>
      </w:r>
      <w:r>
        <w:rPr>
          <w:spacing w:val="-4"/>
          <w:sz w:val="18"/>
        </w:rPr>
        <w:t>NISTADS</w:t>
      </w:r>
      <w:r>
        <w:rPr>
          <w:spacing w:val="-5"/>
          <w:sz w:val="18"/>
        </w:rPr>
        <w:t> </w:t>
      </w:r>
      <w:r>
        <w:rPr>
          <w:spacing w:val="-4"/>
          <w:sz w:val="18"/>
        </w:rPr>
        <w:t>2006</w:t>
      </w:r>
    </w:p>
    <w:p>
      <w:pPr>
        <w:spacing w:after="0"/>
        <w:jc w:val="left"/>
        <w:rPr>
          <w:sz w:val="18"/>
        </w:rPr>
        <w:sectPr>
          <w:type w:val="continuous"/>
          <w:pgSz w:w="11910" w:h="16840"/>
          <w:pgMar w:header="0" w:footer="675" w:top="1920" w:bottom="280" w:left="0" w:right="0"/>
        </w:sectPr>
      </w:pPr>
    </w:p>
    <w:p>
      <w:pPr>
        <w:pStyle w:val="BodyText"/>
        <w:spacing w:line="266" w:lineRule="auto" w:before="57"/>
        <w:ind w:left="1080"/>
        <w:jc w:val="both"/>
      </w:pPr>
      <w:r>
        <w:rPr>
          <w:b/>
        </w:rPr>
        <w:t>Issues: </w:t>
      </w:r>
      <w:r>
        <w:rPr/>
        <w:t>The Indian society at large, especially </w:t>
      </w:r>
      <w:r>
        <w:rPr/>
        <w:t>the younger</w:t>
      </w:r>
      <w:r>
        <w:rPr>
          <w:spacing w:val="-10"/>
        </w:rPr>
        <w:t> </w:t>
      </w:r>
      <w:r>
        <w:rPr/>
        <w:t>generation</w:t>
      </w:r>
      <w:r>
        <w:rPr>
          <w:spacing w:val="-8"/>
        </w:rPr>
        <w:t> </w:t>
      </w:r>
      <w:r>
        <w:rPr/>
        <w:t>is</w:t>
      </w:r>
      <w:r>
        <w:rPr>
          <w:spacing w:val="-8"/>
        </w:rPr>
        <w:t> </w:t>
      </w:r>
      <w:r>
        <w:rPr/>
        <w:t>not</w:t>
      </w:r>
      <w:r>
        <w:rPr>
          <w:spacing w:val="-8"/>
        </w:rPr>
        <w:t> </w:t>
      </w:r>
      <w:r>
        <w:rPr/>
        <w:t>well-informed</w:t>
      </w:r>
      <w:r>
        <w:rPr>
          <w:spacing w:val="-8"/>
        </w:rPr>
        <w:t> </w:t>
      </w:r>
      <w:r>
        <w:rPr/>
        <w:t>of</w:t>
      </w:r>
      <w:r>
        <w:rPr>
          <w:spacing w:val="-8"/>
        </w:rPr>
        <w:t> </w:t>
      </w:r>
      <w:r>
        <w:rPr/>
        <w:t>the</w:t>
      </w:r>
      <w:r>
        <w:rPr>
          <w:spacing w:val="-8"/>
        </w:rPr>
        <w:t> </w:t>
      </w:r>
      <w:r>
        <w:rPr/>
        <w:t>career opportunities,</w:t>
      </w:r>
      <w:r>
        <w:rPr>
          <w:spacing w:val="-12"/>
        </w:rPr>
        <w:t> </w:t>
      </w:r>
      <w:r>
        <w:rPr/>
        <w:t>excitement</w:t>
      </w:r>
      <w:r>
        <w:rPr>
          <w:spacing w:val="-12"/>
        </w:rPr>
        <w:t> </w:t>
      </w:r>
      <w:r>
        <w:rPr/>
        <w:t>and</w:t>
      </w:r>
      <w:r>
        <w:rPr>
          <w:spacing w:val="-12"/>
        </w:rPr>
        <w:t> </w:t>
      </w:r>
      <w:r>
        <w:rPr/>
        <w:t>freedom</w:t>
      </w:r>
      <w:r>
        <w:rPr>
          <w:spacing w:val="-12"/>
        </w:rPr>
        <w:t> </w:t>
      </w:r>
      <w:r>
        <w:rPr/>
        <w:t>that</w:t>
      </w:r>
      <w:r>
        <w:rPr>
          <w:spacing w:val="-12"/>
        </w:rPr>
        <w:t> </w:t>
      </w:r>
      <w:r>
        <w:rPr/>
        <w:t>a</w:t>
      </w:r>
      <w:r>
        <w:rPr>
          <w:spacing w:val="-12"/>
        </w:rPr>
        <w:t> </w:t>
      </w:r>
      <w:r>
        <w:rPr/>
        <w:t>research career offers. Consequently, the acceptance level for embarking</w:t>
      </w:r>
      <w:r>
        <w:rPr>
          <w:spacing w:val="-4"/>
        </w:rPr>
        <w:t> </w:t>
      </w:r>
      <w:r>
        <w:rPr/>
        <w:t>on</w:t>
      </w:r>
      <w:r>
        <w:rPr>
          <w:spacing w:val="-4"/>
        </w:rPr>
        <w:t> </w:t>
      </w:r>
      <w:r>
        <w:rPr/>
        <w:t>such</w:t>
      </w:r>
      <w:r>
        <w:rPr>
          <w:spacing w:val="-4"/>
        </w:rPr>
        <w:t> </w:t>
      </w:r>
      <w:r>
        <w:rPr/>
        <w:t>careers</w:t>
      </w:r>
      <w:r>
        <w:rPr>
          <w:spacing w:val="-4"/>
        </w:rPr>
        <w:t> </w:t>
      </w:r>
      <w:r>
        <w:rPr/>
        <w:t>is</w:t>
      </w:r>
      <w:r>
        <w:rPr>
          <w:spacing w:val="-4"/>
        </w:rPr>
        <w:t> </w:t>
      </w:r>
      <w:r>
        <w:rPr/>
        <w:t>rather</w:t>
      </w:r>
      <w:r>
        <w:rPr>
          <w:spacing w:val="-4"/>
        </w:rPr>
        <w:t> </w:t>
      </w:r>
      <w:r>
        <w:rPr/>
        <w:t>low.</w:t>
      </w:r>
    </w:p>
    <w:p>
      <w:pPr>
        <w:pStyle w:val="BodyText"/>
        <w:spacing w:before="23"/>
      </w:pPr>
    </w:p>
    <w:p>
      <w:pPr>
        <w:pStyle w:val="BodyText"/>
        <w:spacing w:line="266" w:lineRule="auto"/>
        <w:ind w:left="1080"/>
        <w:jc w:val="both"/>
      </w:pPr>
      <w:r>
        <w:rPr/>
        <w:t>Societal</w:t>
      </w:r>
      <w:r>
        <w:rPr>
          <w:spacing w:val="-1"/>
        </w:rPr>
        <w:t> </w:t>
      </w:r>
      <w:r>
        <w:rPr/>
        <w:t>pressure</w:t>
      </w:r>
      <w:r>
        <w:rPr>
          <w:spacing w:val="-1"/>
        </w:rPr>
        <w:t> </w:t>
      </w:r>
      <w:r>
        <w:rPr/>
        <w:t>affects</w:t>
      </w:r>
      <w:r>
        <w:rPr>
          <w:spacing w:val="-1"/>
        </w:rPr>
        <w:t> </w:t>
      </w:r>
      <w:r>
        <w:rPr/>
        <w:t>career</w:t>
      </w:r>
      <w:r>
        <w:rPr>
          <w:spacing w:val="-1"/>
        </w:rPr>
        <w:t> </w:t>
      </w:r>
      <w:r>
        <w:rPr/>
        <w:t>choices</w:t>
      </w:r>
      <w:r>
        <w:rPr>
          <w:spacing w:val="-1"/>
        </w:rPr>
        <w:t> </w:t>
      </w:r>
      <w:r>
        <w:rPr/>
        <w:t>significantly. A multi pronged approach needs to be adopted to bring</w:t>
      </w:r>
      <w:r>
        <w:rPr>
          <w:spacing w:val="-1"/>
        </w:rPr>
        <w:t> </w:t>
      </w:r>
      <w:r>
        <w:rPr/>
        <w:t>about</w:t>
      </w:r>
      <w:r>
        <w:rPr>
          <w:spacing w:val="-1"/>
        </w:rPr>
        <w:t> </w:t>
      </w:r>
      <w:r>
        <w:rPr/>
        <w:t>a</w:t>
      </w:r>
      <w:r>
        <w:rPr>
          <w:spacing w:val="-1"/>
        </w:rPr>
        <w:t> </w:t>
      </w:r>
      <w:r>
        <w:rPr/>
        <w:t>change</w:t>
      </w:r>
      <w:r>
        <w:rPr>
          <w:spacing w:val="-1"/>
        </w:rPr>
        <w:t> </w:t>
      </w:r>
      <w:r>
        <w:rPr/>
        <w:t>in</w:t>
      </w:r>
      <w:r>
        <w:rPr>
          <w:spacing w:val="-1"/>
        </w:rPr>
        <w:t> </w:t>
      </w:r>
      <w:r>
        <w:rPr/>
        <w:t>the</w:t>
      </w:r>
      <w:r>
        <w:rPr>
          <w:spacing w:val="-1"/>
        </w:rPr>
        <w:t> </w:t>
      </w:r>
      <w:r>
        <w:rPr/>
        <w:t>national</w:t>
      </w:r>
      <w:r>
        <w:rPr>
          <w:spacing w:val="-1"/>
        </w:rPr>
        <w:t> </w:t>
      </w:r>
      <w:r>
        <w:rPr/>
        <w:t>mindset</w:t>
      </w:r>
      <w:r>
        <w:rPr>
          <w:spacing w:val="-1"/>
        </w:rPr>
        <w:t> </w:t>
      </w:r>
      <w:r>
        <w:rPr/>
        <w:t>towards recognition and acceptance of a career in research. For</w:t>
      </w:r>
      <w:r>
        <w:rPr>
          <w:spacing w:val="-2"/>
        </w:rPr>
        <w:t> </w:t>
      </w:r>
      <w:r>
        <w:rPr/>
        <w:t>long</w:t>
      </w:r>
      <w:r>
        <w:rPr>
          <w:spacing w:val="-2"/>
        </w:rPr>
        <w:t> </w:t>
      </w:r>
      <w:r>
        <w:rPr/>
        <w:t>term</w:t>
      </w:r>
      <w:r>
        <w:rPr>
          <w:spacing w:val="-2"/>
        </w:rPr>
        <w:t> </w:t>
      </w:r>
      <w:r>
        <w:rPr/>
        <w:t>wealth</w:t>
      </w:r>
      <w:r>
        <w:rPr>
          <w:spacing w:val="-2"/>
        </w:rPr>
        <w:t> </w:t>
      </w:r>
      <w:r>
        <w:rPr/>
        <w:t>creation,</w:t>
      </w:r>
      <w:r>
        <w:rPr>
          <w:spacing w:val="-2"/>
        </w:rPr>
        <w:t> </w:t>
      </w:r>
      <w:r>
        <w:rPr/>
        <w:t>it</w:t>
      </w:r>
      <w:r>
        <w:rPr>
          <w:spacing w:val="-2"/>
        </w:rPr>
        <w:t> </w:t>
      </w:r>
      <w:r>
        <w:rPr/>
        <w:t>is</w:t>
      </w:r>
      <w:r>
        <w:rPr>
          <w:spacing w:val="-2"/>
        </w:rPr>
        <w:t> </w:t>
      </w:r>
      <w:r>
        <w:rPr/>
        <w:t>important</w:t>
      </w:r>
      <w:r>
        <w:rPr>
          <w:spacing w:val="-2"/>
        </w:rPr>
        <w:t> </w:t>
      </w:r>
      <w:r>
        <w:rPr/>
        <w:t>that</w:t>
      </w:r>
      <w:r>
        <w:rPr>
          <w:spacing w:val="-2"/>
        </w:rPr>
        <w:t> </w:t>
      </w:r>
      <w:r>
        <w:rPr/>
        <w:t>the nation</w:t>
      </w:r>
      <w:r>
        <w:rPr>
          <w:spacing w:val="-14"/>
        </w:rPr>
        <w:t> </w:t>
      </w:r>
      <w:r>
        <w:rPr/>
        <w:t>trains</w:t>
      </w:r>
      <w:r>
        <w:rPr>
          <w:spacing w:val="-14"/>
        </w:rPr>
        <w:t> </w:t>
      </w:r>
      <w:r>
        <w:rPr/>
        <w:t>academics,</w:t>
      </w:r>
      <w:r>
        <w:rPr>
          <w:spacing w:val="-14"/>
        </w:rPr>
        <w:t> </w:t>
      </w:r>
      <w:r>
        <w:rPr/>
        <w:t>scientists</w:t>
      </w:r>
      <w:r>
        <w:rPr>
          <w:spacing w:val="-13"/>
        </w:rPr>
        <w:t> </w:t>
      </w:r>
      <w:r>
        <w:rPr/>
        <w:t>and</w:t>
      </w:r>
      <w:r>
        <w:rPr>
          <w:spacing w:val="-14"/>
        </w:rPr>
        <w:t> </w:t>
      </w:r>
      <w:r>
        <w:rPr/>
        <w:t>teachers,</w:t>
      </w:r>
      <w:r>
        <w:rPr>
          <w:spacing w:val="-14"/>
        </w:rPr>
        <w:t> </w:t>
      </w:r>
      <w:r>
        <w:rPr/>
        <w:t>rather than bankers.</w:t>
      </w:r>
    </w:p>
    <w:p>
      <w:pPr>
        <w:pStyle w:val="Heading7"/>
        <w:spacing w:before="237"/>
        <w:ind w:left="1080"/>
      </w:pPr>
      <w:r>
        <w:rPr>
          <w:color w:val="2E614A"/>
          <w:spacing w:val="-2"/>
        </w:rPr>
        <w:t>Awareness</w:t>
      </w:r>
    </w:p>
    <w:p>
      <w:pPr>
        <w:pStyle w:val="BodyText"/>
        <w:spacing w:line="266" w:lineRule="auto" w:before="299"/>
        <w:ind w:left="1080"/>
        <w:jc w:val="both"/>
      </w:pPr>
      <w:r>
        <w:rPr>
          <w:b/>
        </w:rPr>
        <w:t>Media: </w:t>
      </w:r>
      <w:r>
        <w:rPr/>
        <w:t>The media has an important role to play </w:t>
      </w:r>
      <w:r>
        <w:rPr/>
        <w:t>in </w:t>
      </w:r>
      <w:r>
        <w:rPr>
          <w:spacing w:val="-2"/>
        </w:rPr>
        <w:t>bringing</w:t>
      </w:r>
      <w:r>
        <w:rPr>
          <w:spacing w:val="-9"/>
        </w:rPr>
        <w:t> </w:t>
      </w:r>
      <w:r>
        <w:rPr>
          <w:spacing w:val="-2"/>
        </w:rPr>
        <w:t>about</w:t>
      </w:r>
      <w:r>
        <w:rPr>
          <w:spacing w:val="-9"/>
        </w:rPr>
        <w:t> </w:t>
      </w:r>
      <w:r>
        <w:rPr>
          <w:spacing w:val="-2"/>
        </w:rPr>
        <w:t>a</w:t>
      </w:r>
      <w:r>
        <w:rPr>
          <w:spacing w:val="-9"/>
        </w:rPr>
        <w:t> </w:t>
      </w:r>
      <w:r>
        <w:rPr>
          <w:spacing w:val="-2"/>
        </w:rPr>
        <w:t>fundamental</w:t>
      </w:r>
      <w:r>
        <w:rPr>
          <w:spacing w:val="-9"/>
        </w:rPr>
        <w:t> </w:t>
      </w:r>
      <w:r>
        <w:rPr>
          <w:spacing w:val="-2"/>
        </w:rPr>
        <w:t>change</w:t>
      </w:r>
      <w:r>
        <w:rPr>
          <w:spacing w:val="-9"/>
        </w:rPr>
        <w:t> </w:t>
      </w:r>
      <w:r>
        <w:rPr>
          <w:spacing w:val="-2"/>
        </w:rPr>
        <w:t>in</w:t>
      </w:r>
      <w:r>
        <w:rPr>
          <w:spacing w:val="-9"/>
        </w:rPr>
        <w:t> </w:t>
      </w:r>
      <w:r>
        <w:rPr>
          <w:spacing w:val="-2"/>
        </w:rPr>
        <w:t>attitude</w:t>
      </w:r>
      <w:r>
        <w:rPr>
          <w:spacing w:val="-9"/>
        </w:rPr>
        <w:t> </w:t>
      </w:r>
      <w:r>
        <w:rPr>
          <w:spacing w:val="-2"/>
        </w:rPr>
        <w:t>and</w:t>
      </w:r>
      <w:r>
        <w:rPr>
          <w:spacing w:val="-9"/>
        </w:rPr>
        <w:t> </w:t>
      </w:r>
      <w:r>
        <w:rPr>
          <w:spacing w:val="-2"/>
        </w:rPr>
        <w:t>in </w:t>
      </w:r>
      <w:r>
        <w:rPr/>
        <w:t>the</w:t>
      </w:r>
      <w:r>
        <w:rPr>
          <w:spacing w:val="-9"/>
        </w:rPr>
        <w:t> </w:t>
      </w:r>
      <w:r>
        <w:rPr/>
        <w:t>nation’s</w:t>
      </w:r>
      <w:r>
        <w:rPr>
          <w:spacing w:val="-9"/>
        </w:rPr>
        <w:t> </w:t>
      </w:r>
      <w:r>
        <w:rPr/>
        <w:t>consciousness</w:t>
      </w:r>
      <w:r>
        <w:rPr>
          <w:spacing w:val="-9"/>
        </w:rPr>
        <w:t> </w:t>
      </w:r>
      <w:r>
        <w:rPr/>
        <w:t>on</w:t>
      </w:r>
      <w:r>
        <w:rPr>
          <w:spacing w:val="-9"/>
        </w:rPr>
        <w:t> </w:t>
      </w:r>
      <w:r>
        <w:rPr/>
        <w:t>this</w:t>
      </w:r>
      <w:r>
        <w:rPr>
          <w:spacing w:val="-9"/>
        </w:rPr>
        <w:t> </w:t>
      </w:r>
      <w:r>
        <w:rPr/>
        <w:t>issue.</w:t>
      </w:r>
    </w:p>
    <w:p>
      <w:pPr>
        <w:pStyle w:val="ListParagraph"/>
        <w:numPr>
          <w:ilvl w:val="1"/>
          <w:numId w:val="45"/>
        </w:numPr>
        <w:tabs>
          <w:tab w:pos="1439" w:val="left" w:leader="none"/>
        </w:tabs>
        <w:spacing w:line="266" w:lineRule="auto" w:before="0" w:after="0"/>
        <w:ind w:left="1439" w:right="0" w:hanging="360"/>
        <w:jc w:val="both"/>
        <w:rPr>
          <w:sz w:val="22"/>
        </w:rPr>
      </w:pPr>
      <w:r>
        <w:rPr>
          <w:sz w:val="22"/>
        </w:rPr>
        <w:t>Short and engaging television or radio </w:t>
      </w:r>
      <w:r>
        <w:rPr>
          <w:sz w:val="22"/>
        </w:rPr>
        <w:t>programs related to research can be aired at prime time.</w:t>
      </w:r>
    </w:p>
    <w:p>
      <w:pPr>
        <w:pStyle w:val="ListParagraph"/>
        <w:numPr>
          <w:ilvl w:val="1"/>
          <w:numId w:val="45"/>
        </w:numPr>
        <w:tabs>
          <w:tab w:pos="1439" w:val="left" w:leader="none"/>
        </w:tabs>
        <w:spacing w:line="266" w:lineRule="auto" w:before="0" w:after="0"/>
        <w:ind w:left="1439" w:right="0" w:hanging="360"/>
        <w:jc w:val="both"/>
        <w:rPr>
          <w:sz w:val="22"/>
        </w:rPr>
      </w:pPr>
      <w:r>
        <w:rPr>
          <w:spacing w:val="-10"/>
          <w:sz w:val="22"/>
        </w:rPr>
        <w:t>News</w:t>
      </w:r>
      <w:r>
        <w:rPr>
          <w:sz w:val="22"/>
        </w:rPr>
        <w:t> </w:t>
      </w:r>
      <w:r>
        <w:rPr>
          <w:spacing w:val="-10"/>
          <w:sz w:val="22"/>
        </w:rPr>
        <w:t>channels</w:t>
      </w:r>
      <w:r>
        <w:rPr>
          <w:sz w:val="22"/>
        </w:rPr>
        <w:t> </w:t>
      </w:r>
      <w:r>
        <w:rPr>
          <w:spacing w:val="-10"/>
          <w:sz w:val="22"/>
        </w:rPr>
        <w:t>should</w:t>
      </w:r>
      <w:r>
        <w:rPr>
          <w:sz w:val="22"/>
        </w:rPr>
        <w:t> </w:t>
      </w:r>
      <w:r>
        <w:rPr>
          <w:spacing w:val="-10"/>
          <w:sz w:val="22"/>
        </w:rPr>
        <w:t>highlight</w:t>
      </w:r>
      <w:r>
        <w:rPr>
          <w:sz w:val="22"/>
        </w:rPr>
        <w:t> </w:t>
      </w:r>
      <w:r>
        <w:rPr>
          <w:spacing w:val="-10"/>
          <w:sz w:val="22"/>
        </w:rPr>
        <w:t>and</w:t>
      </w:r>
      <w:r>
        <w:rPr>
          <w:sz w:val="22"/>
        </w:rPr>
        <w:t> </w:t>
      </w:r>
      <w:r>
        <w:rPr>
          <w:spacing w:val="-10"/>
          <w:sz w:val="22"/>
        </w:rPr>
        <w:t>publicise</w:t>
      </w:r>
      <w:r>
        <w:rPr>
          <w:sz w:val="22"/>
        </w:rPr>
        <w:t> </w:t>
      </w:r>
      <w:r>
        <w:rPr>
          <w:spacing w:val="-10"/>
          <w:sz w:val="22"/>
        </w:rPr>
        <w:t>various </w:t>
      </w:r>
      <w:r>
        <w:rPr>
          <w:spacing w:val="-4"/>
          <w:sz w:val="22"/>
        </w:rPr>
        <w:t>achievements of academics and other scientists.</w:t>
      </w:r>
    </w:p>
    <w:p>
      <w:pPr>
        <w:pStyle w:val="ListParagraph"/>
        <w:numPr>
          <w:ilvl w:val="1"/>
          <w:numId w:val="45"/>
        </w:numPr>
        <w:tabs>
          <w:tab w:pos="1439" w:val="left" w:leader="none"/>
        </w:tabs>
        <w:spacing w:line="266" w:lineRule="auto" w:before="0" w:after="0"/>
        <w:ind w:left="1439" w:right="0" w:hanging="360"/>
        <w:jc w:val="both"/>
        <w:rPr>
          <w:sz w:val="22"/>
        </w:rPr>
      </w:pPr>
      <w:r>
        <w:rPr>
          <w:w w:val="90"/>
          <w:sz w:val="22"/>
        </w:rPr>
        <w:t>Print and electronic media should be encouraged and </w:t>
      </w:r>
      <w:r>
        <w:rPr>
          <w:spacing w:val="-4"/>
          <w:sz w:val="22"/>
        </w:rPr>
        <w:t>incentivised</w:t>
      </w:r>
      <w:r>
        <w:rPr>
          <w:spacing w:val="-10"/>
          <w:sz w:val="22"/>
        </w:rPr>
        <w:t> </w:t>
      </w:r>
      <w:r>
        <w:rPr>
          <w:spacing w:val="-4"/>
          <w:sz w:val="22"/>
        </w:rPr>
        <w:t>towards</w:t>
      </w:r>
      <w:r>
        <w:rPr>
          <w:spacing w:val="-10"/>
          <w:sz w:val="22"/>
        </w:rPr>
        <w:t> </w:t>
      </w:r>
      <w:r>
        <w:rPr>
          <w:spacing w:val="-4"/>
          <w:sz w:val="22"/>
        </w:rPr>
        <w:t>promotion</w:t>
      </w:r>
      <w:r>
        <w:rPr>
          <w:spacing w:val="-10"/>
          <w:sz w:val="22"/>
        </w:rPr>
        <w:t> </w:t>
      </w:r>
      <w:r>
        <w:rPr>
          <w:spacing w:val="-4"/>
          <w:sz w:val="22"/>
        </w:rPr>
        <w:t>and</w:t>
      </w:r>
      <w:r>
        <w:rPr>
          <w:spacing w:val="-9"/>
          <w:sz w:val="22"/>
        </w:rPr>
        <w:t> </w:t>
      </w:r>
      <w:r>
        <w:rPr>
          <w:spacing w:val="-4"/>
          <w:sz w:val="22"/>
        </w:rPr>
        <w:t>engagement</w:t>
      </w:r>
      <w:r>
        <w:rPr>
          <w:spacing w:val="-10"/>
          <w:sz w:val="22"/>
        </w:rPr>
        <w:t> </w:t>
      </w:r>
      <w:r>
        <w:rPr>
          <w:spacing w:val="-4"/>
          <w:sz w:val="22"/>
        </w:rPr>
        <w:t>of </w:t>
      </w:r>
      <w:r>
        <w:rPr>
          <w:sz w:val="22"/>
        </w:rPr>
        <w:t>the intellect.</w:t>
      </w:r>
    </w:p>
    <w:p>
      <w:pPr>
        <w:pStyle w:val="BodyText"/>
        <w:spacing w:before="18"/>
      </w:pPr>
    </w:p>
    <w:p>
      <w:pPr>
        <w:pStyle w:val="BodyText"/>
        <w:spacing w:line="266" w:lineRule="auto"/>
        <w:ind w:left="1080"/>
        <w:jc w:val="both"/>
      </w:pPr>
      <w:r>
        <w:rPr>
          <w:spacing w:val="-4"/>
        </w:rPr>
        <w:t>There</w:t>
      </w:r>
      <w:r>
        <w:rPr>
          <w:spacing w:val="-12"/>
        </w:rPr>
        <w:t> </w:t>
      </w:r>
      <w:r>
        <w:rPr>
          <w:spacing w:val="-4"/>
        </w:rPr>
        <w:t>are</w:t>
      </w:r>
      <w:r>
        <w:rPr>
          <w:spacing w:val="-10"/>
        </w:rPr>
        <w:t> </w:t>
      </w:r>
      <w:r>
        <w:rPr>
          <w:spacing w:val="-4"/>
        </w:rPr>
        <w:t>various</w:t>
      </w:r>
      <w:r>
        <w:rPr>
          <w:spacing w:val="-10"/>
        </w:rPr>
        <w:t> </w:t>
      </w:r>
      <w:r>
        <w:rPr>
          <w:spacing w:val="-4"/>
        </w:rPr>
        <w:t>other</w:t>
      </w:r>
      <w:r>
        <w:rPr>
          <w:spacing w:val="-9"/>
        </w:rPr>
        <w:t> </w:t>
      </w:r>
      <w:r>
        <w:rPr>
          <w:spacing w:val="-4"/>
        </w:rPr>
        <w:t>means</w:t>
      </w:r>
      <w:r>
        <w:rPr>
          <w:spacing w:val="-10"/>
        </w:rPr>
        <w:t> </w:t>
      </w:r>
      <w:r>
        <w:rPr>
          <w:spacing w:val="-4"/>
        </w:rPr>
        <w:t>to</w:t>
      </w:r>
      <w:r>
        <w:rPr>
          <w:spacing w:val="-10"/>
        </w:rPr>
        <w:t> </w:t>
      </w:r>
      <w:r>
        <w:rPr>
          <w:spacing w:val="-4"/>
        </w:rPr>
        <w:t>increase</w:t>
      </w:r>
      <w:r>
        <w:rPr>
          <w:spacing w:val="-10"/>
        </w:rPr>
        <w:t> </w:t>
      </w:r>
      <w:r>
        <w:rPr>
          <w:spacing w:val="-4"/>
        </w:rPr>
        <w:t>the</w:t>
      </w:r>
      <w:r>
        <w:rPr>
          <w:spacing w:val="-9"/>
        </w:rPr>
        <w:t> </w:t>
      </w:r>
      <w:r>
        <w:rPr>
          <w:spacing w:val="-4"/>
        </w:rPr>
        <w:t>awareness </w:t>
      </w:r>
      <w:r>
        <w:rPr/>
        <w:t>of society at large:</w:t>
      </w:r>
    </w:p>
    <w:p>
      <w:pPr>
        <w:pStyle w:val="ListParagraph"/>
        <w:numPr>
          <w:ilvl w:val="1"/>
          <w:numId w:val="45"/>
        </w:numPr>
        <w:tabs>
          <w:tab w:pos="1439" w:val="left" w:leader="none"/>
        </w:tabs>
        <w:spacing w:line="266" w:lineRule="auto" w:before="0" w:after="0"/>
        <w:ind w:left="1439" w:right="0" w:hanging="360"/>
        <w:jc w:val="both"/>
        <w:rPr>
          <w:sz w:val="22"/>
        </w:rPr>
      </w:pPr>
      <w:r>
        <w:rPr>
          <w:sz w:val="22"/>
        </w:rPr>
        <w:t>Annual R&amp;D shows can be held, where </w:t>
      </w:r>
      <w:r>
        <w:rPr>
          <w:sz w:val="22"/>
        </w:rPr>
        <w:t>leading </w:t>
      </w:r>
      <w:r>
        <w:rPr>
          <w:spacing w:val="-2"/>
          <w:sz w:val="22"/>
        </w:rPr>
        <w:t>research</w:t>
      </w:r>
      <w:r>
        <w:rPr>
          <w:spacing w:val="-9"/>
          <w:sz w:val="22"/>
        </w:rPr>
        <w:t> </w:t>
      </w:r>
      <w:r>
        <w:rPr>
          <w:spacing w:val="-2"/>
          <w:sz w:val="22"/>
        </w:rPr>
        <w:t>institutes</w:t>
      </w:r>
      <w:r>
        <w:rPr>
          <w:spacing w:val="-9"/>
          <w:sz w:val="22"/>
        </w:rPr>
        <w:t> </w:t>
      </w:r>
      <w:r>
        <w:rPr>
          <w:spacing w:val="-2"/>
          <w:sz w:val="22"/>
        </w:rPr>
        <w:t>and</w:t>
      </w:r>
      <w:r>
        <w:rPr>
          <w:spacing w:val="-9"/>
          <w:sz w:val="22"/>
        </w:rPr>
        <w:t> </w:t>
      </w:r>
      <w:r>
        <w:rPr>
          <w:spacing w:val="-2"/>
          <w:sz w:val="22"/>
        </w:rPr>
        <w:t>companies</w:t>
      </w:r>
      <w:r>
        <w:rPr>
          <w:spacing w:val="-9"/>
          <w:sz w:val="22"/>
        </w:rPr>
        <w:t> </w:t>
      </w:r>
      <w:r>
        <w:rPr>
          <w:spacing w:val="-2"/>
          <w:sz w:val="22"/>
        </w:rPr>
        <w:t>interact</w:t>
      </w:r>
      <w:r>
        <w:rPr>
          <w:spacing w:val="-9"/>
          <w:sz w:val="22"/>
        </w:rPr>
        <w:t> </w:t>
      </w:r>
      <w:r>
        <w:rPr>
          <w:spacing w:val="-2"/>
          <w:sz w:val="22"/>
        </w:rPr>
        <w:t>with</w:t>
      </w:r>
      <w:r>
        <w:rPr>
          <w:spacing w:val="-9"/>
          <w:sz w:val="22"/>
        </w:rPr>
        <w:t> </w:t>
      </w:r>
      <w:r>
        <w:rPr>
          <w:spacing w:val="-2"/>
          <w:sz w:val="22"/>
        </w:rPr>
        <w:t>the </w:t>
      </w:r>
      <w:r>
        <w:rPr>
          <w:sz w:val="22"/>
        </w:rPr>
        <w:t>public,</w:t>
      </w:r>
      <w:r>
        <w:rPr>
          <w:spacing w:val="-3"/>
          <w:sz w:val="22"/>
        </w:rPr>
        <w:t> </w:t>
      </w:r>
      <w:r>
        <w:rPr>
          <w:sz w:val="22"/>
        </w:rPr>
        <w:t>thereby</w:t>
      </w:r>
      <w:r>
        <w:rPr>
          <w:spacing w:val="-3"/>
          <w:sz w:val="22"/>
        </w:rPr>
        <w:t> </w:t>
      </w:r>
      <w:r>
        <w:rPr>
          <w:sz w:val="22"/>
        </w:rPr>
        <w:t>providing</w:t>
      </w:r>
      <w:r>
        <w:rPr>
          <w:spacing w:val="-3"/>
          <w:sz w:val="22"/>
        </w:rPr>
        <w:t> </w:t>
      </w:r>
      <w:r>
        <w:rPr>
          <w:sz w:val="22"/>
        </w:rPr>
        <w:t>a</w:t>
      </w:r>
      <w:r>
        <w:rPr>
          <w:spacing w:val="-3"/>
          <w:sz w:val="22"/>
        </w:rPr>
        <w:t> </w:t>
      </w:r>
      <w:r>
        <w:rPr>
          <w:sz w:val="22"/>
        </w:rPr>
        <w:t>wider</w:t>
      </w:r>
      <w:r>
        <w:rPr>
          <w:spacing w:val="-3"/>
          <w:sz w:val="22"/>
        </w:rPr>
        <w:t> </w:t>
      </w:r>
      <w:r>
        <w:rPr>
          <w:sz w:val="22"/>
        </w:rPr>
        <w:t>exposure.</w:t>
      </w:r>
    </w:p>
    <w:p>
      <w:pPr>
        <w:pStyle w:val="ListParagraph"/>
        <w:numPr>
          <w:ilvl w:val="1"/>
          <w:numId w:val="45"/>
        </w:numPr>
        <w:tabs>
          <w:tab w:pos="1439" w:val="left" w:leader="none"/>
        </w:tabs>
        <w:spacing w:line="266" w:lineRule="auto" w:before="0" w:after="0"/>
        <w:ind w:left="1439" w:right="0" w:hanging="360"/>
        <w:jc w:val="both"/>
        <w:rPr>
          <w:sz w:val="22"/>
        </w:rPr>
      </w:pPr>
      <w:r>
        <w:rPr>
          <w:sz w:val="22"/>
        </w:rPr>
        <w:t>Museums, exhibitions and popular lectures </w:t>
      </w:r>
      <w:r>
        <w:rPr>
          <w:sz w:val="22"/>
        </w:rPr>
        <w:t>are other</w:t>
      </w:r>
      <w:r>
        <w:rPr>
          <w:spacing w:val="-8"/>
          <w:sz w:val="22"/>
        </w:rPr>
        <w:t> </w:t>
      </w:r>
      <w:r>
        <w:rPr>
          <w:sz w:val="22"/>
        </w:rPr>
        <w:t>avenues</w:t>
      </w:r>
      <w:r>
        <w:rPr>
          <w:spacing w:val="-8"/>
          <w:sz w:val="22"/>
        </w:rPr>
        <w:t> </w:t>
      </w:r>
      <w:r>
        <w:rPr>
          <w:sz w:val="22"/>
        </w:rPr>
        <w:t>through</w:t>
      </w:r>
      <w:r>
        <w:rPr>
          <w:spacing w:val="-8"/>
          <w:sz w:val="22"/>
        </w:rPr>
        <w:t> </w:t>
      </w:r>
      <w:r>
        <w:rPr>
          <w:sz w:val="22"/>
        </w:rPr>
        <w:t>which</w:t>
      </w:r>
      <w:r>
        <w:rPr>
          <w:spacing w:val="-8"/>
          <w:sz w:val="22"/>
        </w:rPr>
        <w:t> </w:t>
      </w:r>
      <w:r>
        <w:rPr>
          <w:sz w:val="22"/>
        </w:rPr>
        <w:t>public</w:t>
      </w:r>
      <w:r>
        <w:rPr>
          <w:spacing w:val="-8"/>
          <w:sz w:val="22"/>
        </w:rPr>
        <w:t> </w:t>
      </w:r>
      <w:r>
        <w:rPr>
          <w:sz w:val="22"/>
        </w:rPr>
        <w:t>attention</w:t>
      </w:r>
      <w:r>
        <w:rPr>
          <w:spacing w:val="-8"/>
          <w:sz w:val="22"/>
        </w:rPr>
        <w:t> </w:t>
      </w:r>
      <w:r>
        <w:rPr>
          <w:sz w:val="22"/>
        </w:rPr>
        <w:t>can </w:t>
      </w:r>
      <w:r>
        <w:rPr>
          <w:spacing w:val="-6"/>
          <w:sz w:val="22"/>
        </w:rPr>
        <w:t>be</w:t>
      </w:r>
      <w:r>
        <w:rPr>
          <w:spacing w:val="-8"/>
          <w:sz w:val="22"/>
        </w:rPr>
        <w:t> </w:t>
      </w:r>
      <w:r>
        <w:rPr>
          <w:spacing w:val="-6"/>
          <w:sz w:val="22"/>
        </w:rPr>
        <w:t>engaged.</w:t>
      </w:r>
      <w:r>
        <w:rPr>
          <w:spacing w:val="-8"/>
          <w:sz w:val="22"/>
        </w:rPr>
        <w:t> </w:t>
      </w:r>
      <w:r>
        <w:rPr>
          <w:spacing w:val="-6"/>
          <w:sz w:val="22"/>
        </w:rPr>
        <w:t>These</w:t>
      </w:r>
      <w:r>
        <w:rPr>
          <w:spacing w:val="-8"/>
          <w:sz w:val="22"/>
        </w:rPr>
        <w:t> </w:t>
      </w:r>
      <w:r>
        <w:rPr>
          <w:spacing w:val="-6"/>
          <w:sz w:val="22"/>
        </w:rPr>
        <w:t>should</w:t>
      </w:r>
      <w:r>
        <w:rPr>
          <w:spacing w:val="-7"/>
          <w:sz w:val="22"/>
        </w:rPr>
        <w:t> </w:t>
      </w:r>
      <w:r>
        <w:rPr>
          <w:spacing w:val="-6"/>
          <w:sz w:val="22"/>
        </w:rPr>
        <w:t>be</w:t>
      </w:r>
      <w:r>
        <w:rPr>
          <w:spacing w:val="-8"/>
          <w:sz w:val="22"/>
        </w:rPr>
        <w:t> </w:t>
      </w:r>
      <w:r>
        <w:rPr>
          <w:spacing w:val="-6"/>
          <w:sz w:val="22"/>
        </w:rPr>
        <w:t>encouraged</w:t>
      </w:r>
      <w:r>
        <w:rPr>
          <w:spacing w:val="-8"/>
          <w:sz w:val="22"/>
        </w:rPr>
        <w:t> </w:t>
      </w:r>
      <w:r>
        <w:rPr>
          <w:spacing w:val="-6"/>
          <w:sz w:val="22"/>
        </w:rPr>
        <w:t>at</w:t>
      </w:r>
      <w:r>
        <w:rPr>
          <w:spacing w:val="-7"/>
          <w:sz w:val="22"/>
        </w:rPr>
        <w:t> </w:t>
      </w:r>
      <w:r>
        <w:rPr>
          <w:spacing w:val="-6"/>
          <w:sz w:val="22"/>
        </w:rPr>
        <w:t>as many </w:t>
      </w:r>
      <w:r>
        <w:rPr>
          <w:sz w:val="22"/>
        </w:rPr>
        <w:t>places</w:t>
      </w:r>
      <w:r>
        <w:rPr>
          <w:spacing w:val="-11"/>
          <w:sz w:val="22"/>
        </w:rPr>
        <w:t> </w:t>
      </w:r>
      <w:r>
        <w:rPr>
          <w:sz w:val="22"/>
        </w:rPr>
        <w:t>as</w:t>
      </w:r>
      <w:r>
        <w:rPr>
          <w:spacing w:val="-11"/>
          <w:sz w:val="22"/>
        </w:rPr>
        <w:t> </w:t>
      </w:r>
      <w:r>
        <w:rPr>
          <w:sz w:val="22"/>
        </w:rPr>
        <w:t>possible.</w:t>
      </w:r>
      <w:r>
        <w:rPr>
          <w:spacing w:val="-11"/>
          <w:sz w:val="22"/>
        </w:rPr>
        <w:t> </w:t>
      </w:r>
      <w:r>
        <w:rPr>
          <w:sz w:val="22"/>
        </w:rPr>
        <w:t>For</w:t>
      </w:r>
      <w:r>
        <w:rPr>
          <w:spacing w:val="-11"/>
          <w:sz w:val="22"/>
        </w:rPr>
        <w:t> </w:t>
      </w:r>
      <w:r>
        <w:rPr>
          <w:sz w:val="22"/>
        </w:rPr>
        <w:t>this</w:t>
      </w:r>
      <w:r>
        <w:rPr>
          <w:spacing w:val="-11"/>
          <w:sz w:val="22"/>
        </w:rPr>
        <w:t> </w:t>
      </w:r>
      <w:r>
        <w:rPr>
          <w:sz w:val="22"/>
        </w:rPr>
        <w:t>purpose,</w:t>
      </w:r>
      <w:r>
        <w:rPr>
          <w:spacing w:val="-11"/>
          <w:sz w:val="22"/>
        </w:rPr>
        <w:t> </w:t>
      </w:r>
      <w:r>
        <w:rPr>
          <w:sz w:val="22"/>
        </w:rPr>
        <w:t>the</w:t>
      </w:r>
      <w:r>
        <w:rPr>
          <w:spacing w:val="-11"/>
          <w:sz w:val="22"/>
        </w:rPr>
        <w:t> </w:t>
      </w:r>
      <w:r>
        <w:rPr>
          <w:sz w:val="22"/>
        </w:rPr>
        <w:t>resources </w:t>
      </w:r>
      <w:r>
        <w:rPr>
          <w:spacing w:val="-6"/>
          <w:sz w:val="22"/>
        </w:rPr>
        <w:t>and infrastructure of various educational institutions </w:t>
      </w:r>
      <w:r>
        <w:rPr>
          <w:sz w:val="22"/>
        </w:rPr>
        <w:t>throughout the country should be used.</w:t>
      </w:r>
    </w:p>
    <w:p>
      <w:pPr>
        <w:pStyle w:val="ListParagraph"/>
        <w:numPr>
          <w:ilvl w:val="1"/>
          <w:numId w:val="45"/>
        </w:numPr>
        <w:tabs>
          <w:tab w:pos="1439" w:val="left" w:leader="none"/>
        </w:tabs>
        <w:spacing w:line="266" w:lineRule="auto" w:before="0" w:after="0"/>
        <w:ind w:left="1439" w:right="0" w:hanging="360"/>
        <w:jc w:val="both"/>
        <w:rPr>
          <w:sz w:val="22"/>
        </w:rPr>
      </w:pPr>
      <w:r>
        <w:rPr>
          <w:sz w:val="22"/>
        </w:rPr>
        <w:t>Academic societies</w:t>
      </w:r>
      <w:r>
        <w:rPr>
          <w:spacing w:val="-1"/>
          <w:sz w:val="22"/>
        </w:rPr>
        <w:t> </w:t>
      </w:r>
      <w:r>
        <w:rPr>
          <w:sz w:val="22"/>
        </w:rPr>
        <w:t>should be</w:t>
      </w:r>
      <w:r>
        <w:rPr>
          <w:spacing w:val="-1"/>
          <w:sz w:val="22"/>
        </w:rPr>
        <w:t> </w:t>
      </w:r>
      <w:r>
        <w:rPr>
          <w:sz w:val="22"/>
        </w:rPr>
        <w:t>generously </w:t>
      </w:r>
      <w:r>
        <w:rPr>
          <w:sz w:val="22"/>
        </w:rPr>
        <w:t>funded and</w:t>
      </w:r>
      <w:r>
        <w:rPr>
          <w:spacing w:val="-12"/>
          <w:sz w:val="22"/>
        </w:rPr>
        <w:t> </w:t>
      </w:r>
      <w:r>
        <w:rPr>
          <w:sz w:val="22"/>
        </w:rPr>
        <w:t>members</w:t>
      </w:r>
      <w:r>
        <w:rPr>
          <w:spacing w:val="-12"/>
          <w:sz w:val="22"/>
        </w:rPr>
        <w:t> </w:t>
      </w:r>
      <w:r>
        <w:rPr>
          <w:sz w:val="22"/>
        </w:rPr>
        <w:t>should</w:t>
      </w:r>
      <w:r>
        <w:rPr>
          <w:spacing w:val="-12"/>
          <w:sz w:val="22"/>
        </w:rPr>
        <w:t> </w:t>
      </w:r>
      <w:r>
        <w:rPr>
          <w:sz w:val="22"/>
        </w:rPr>
        <w:t>be</w:t>
      </w:r>
      <w:r>
        <w:rPr>
          <w:spacing w:val="-12"/>
          <w:sz w:val="22"/>
        </w:rPr>
        <w:t> </w:t>
      </w:r>
      <w:r>
        <w:rPr>
          <w:sz w:val="22"/>
        </w:rPr>
        <w:t>encouraged</w:t>
      </w:r>
      <w:r>
        <w:rPr>
          <w:spacing w:val="-12"/>
          <w:sz w:val="22"/>
        </w:rPr>
        <w:t> </w:t>
      </w:r>
      <w:r>
        <w:rPr>
          <w:sz w:val="22"/>
        </w:rPr>
        <w:t>to</w:t>
      </w:r>
      <w:r>
        <w:rPr>
          <w:spacing w:val="-12"/>
          <w:sz w:val="22"/>
        </w:rPr>
        <w:t> </w:t>
      </w:r>
      <w:r>
        <w:rPr>
          <w:sz w:val="22"/>
        </w:rPr>
        <w:t>participate in the outreach programs.</w:t>
      </w:r>
    </w:p>
    <w:p>
      <w:pPr>
        <w:pStyle w:val="ListParagraph"/>
        <w:numPr>
          <w:ilvl w:val="1"/>
          <w:numId w:val="45"/>
        </w:numPr>
        <w:tabs>
          <w:tab w:pos="1439" w:val="left" w:leader="none"/>
        </w:tabs>
        <w:spacing w:line="266" w:lineRule="auto" w:before="0" w:after="0"/>
        <w:ind w:left="1439" w:right="0" w:hanging="360"/>
        <w:jc w:val="both"/>
        <w:rPr>
          <w:sz w:val="22"/>
        </w:rPr>
      </w:pPr>
      <w:r>
        <w:rPr>
          <w:w w:val="90"/>
          <w:sz w:val="22"/>
        </w:rPr>
        <w:t>In schools and colleges, career awareness </w:t>
      </w:r>
      <w:r>
        <w:rPr>
          <w:w w:val="90"/>
          <w:sz w:val="22"/>
        </w:rPr>
        <w:t>workshops </w:t>
      </w:r>
      <w:r>
        <w:rPr>
          <w:sz w:val="22"/>
        </w:rPr>
        <w:t>and</w:t>
      </w:r>
      <w:r>
        <w:rPr>
          <w:spacing w:val="-14"/>
          <w:sz w:val="22"/>
        </w:rPr>
        <w:t> </w:t>
      </w:r>
      <w:r>
        <w:rPr>
          <w:sz w:val="22"/>
        </w:rPr>
        <w:t>seminars</w:t>
      </w:r>
      <w:r>
        <w:rPr>
          <w:spacing w:val="-14"/>
          <w:sz w:val="22"/>
        </w:rPr>
        <w:t> </w:t>
      </w:r>
      <w:r>
        <w:rPr>
          <w:sz w:val="22"/>
        </w:rPr>
        <w:t>highlighting</w:t>
      </w:r>
      <w:r>
        <w:rPr>
          <w:spacing w:val="-14"/>
          <w:sz w:val="22"/>
        </w:rPr>
        <w:t> </w:t>
      </w:r>
      <w:r>
        <w:rPr>
          <w:sz w:val="22"/>
        </w:rPr>
        <w:t>research</w:t>
      </w:r>
      <w:r>
        <w:rPr>
          <w:spacing w:val="-13"/>
          <w:sz w:val="22"/>
        </w:rPr>
        <w:t> </w:t>
      </w:r>
      <w:r>
        <w:rPr>
          <w:sz w:val="22"/>
        </w:rPr>
        <w:t>careers</w:t>
      </w:r>
      <w:r>
        <w:rPr>
          <w:spacing w:val="-14"/>
          <w:sz w:val="22"/>
        </w:rPr>
        <w:t> </w:t>
      </w:r>
      <w:r>
        <w:rPr>
          <w:sz w:val="22"/>
        </w:rPr>
        <w:t>should be held regularly.</w:t>
      </w:r>
    </w:p>
    <w:p>
      <w:pPr>
        <w:pStyle w:val="ListParagraph"/>
        <w:numPr>
          <w:ilvl w:val="1"/>
          <w:numId w:val="45"/>
        </w:numPr>
        <w:tabs>
          <w:tab w:pos="1439" w:val="left" w:leader="none"/>
        </w:tabs>
        <w:spacing w:line="266" w:lineRule="auto" w:before="0" w:after="0"/>
        <w:ind w:left="1439" w:right="0" w:hanging="360"/>
        <w:jc w:val="both"/>
        <w:rPr>
          <w:sz w:val="22"/>
        </w:rPr>
      </w:pPr>
      <w:r>
        <w:rPr>
          <w:sz w:val="22"/>
        </w:rPr>
        <w:t>Important academic events and visits of </w:t>
      </w:r>
      <w:r>
        <w:rPr>
          <w:sz w:val="22"/>
        </w:rPr>
        <w:t>reputed </w:t>
      </w:r>
      <w:r>
        <w:rPr>
          <w:spacing w:val="-4"/>
          <w:sz w:val="22"/>
        </w:rPr>
        <w:t>academics</w:t>
      </w:r>
      <w:r>
        <w:rPr>
          <w:spacing w:val="-7"/>
          <w:sz w:val="22"/>
        </w:rPr>
        <w:t> </w:t>
      </w:r>
      <w:r>
        <w:rPr>
          <w:spacing w:val="-4"/>
          <w:sz w:val="22"/>
        </w:rPr>
        <w:t>to</w:t>
      </w:r>
      <w:r>
        <w:rPr>
          <w:spacing w:val="-7"/>
          <w:sz w:val="22"/>
        </w:rPr>
        <w:t> </w:t>
      </w:r>
      <w:r>
        <w:rPr>
          <w:spacing w:val="-4"/>
          <w:sz w:val="22"/>
        </w:rPr>
        <w:t>India</w:t>
      </w:r>
      <w:r>
        <w:rPr>
          <w:spacing w:val="-7"/>
          <w:sz w:val="22"/>
        </w:rPr>
        <w:t> </w:t>
      </w:r>
      <w:r>
        <w:rPr>
          <w:spacing w:val="-4"/>
          <w:sz w:val="22"/>
        </w:rPr>
        <w:t>should</w:t>
      </w:r>
      <w:r>
        <w:rPr>
          <w:spacing w:val="-7"/>
          <w:sz w:val="22"/>
        </w:rPr>
        <w:t> </w:t>
      </w:r>
      <w:r>
        <w:rPr>
          <w:spacing w:val="-4"/>
          <w:sz w:val="22"/>
        </w:rPr>
        <w:t>be</w:t>
      </w:r>
      <w:r>
        <w:rPr>
          <w:spacing w:val="-7"/>
          <w:sz w:val="22"/>
        </w:rPr>
        <w:t> </w:t>
      </w:r>
      <w:r>
        <w:rPr>
          <w:spacing w:val="-4"/>
          <w:sz w:val="22"/>
        </w:rPr>
        <w:t>publicised</w:t>
      </w:r>
      <w:r>
        <w:rPr>
          <w:spacing w:val="-7"/>
          <w:sz w:val="22"/>
        </w:rPr>
        <w:t> </w:t>
      </w:r>
      <w:r>
        <w:rPr>
          <w:spacing w:val="-4"/>
          <w:sz w:val="22"/>
        </w:rPr>
        <w:t>and</w:t>
      </w:r>
      <w:r>
        <w:rPr>
          <w:spacing w:val="-7"/>
          <w:sz w:val="22"/>
        </w:rPr>
        <w:t> </w:t>
      </w:r>
      <w:r>
        <w:rPr>
          <w:spacing w:val="-4"/>
          <w:sz w:val="22"/>
        </w:rPr>
        <w:t>shared </w:t>
      </w:r>
      <w:r>
        <w:rPr>
          <w:sz w:val="22"/>
        </w:rPr>
        <w:t>with the entire educational community through the use of various channels.</w:t>
      </w:r>
      <w:r>
        <w:rPr>
          <w:spacing w:val="-6"/>
          <w:sz w:val="22"/>
        </w:rPr>
        <w:t> </w:t>
      </w:r>
      <w:r>
        <w:rPr>
          <w:sz w:val="22"/>
        </w:rPr>
        <w:t>This will help create enthusiasm</w:t>
      </w:r>
      <w:r>
        <w:rPr>
          <w:spacing w:val="-14"/>
          <w:sz w:val="22"/>
        </w:rPr>
        <w:t> </w:t>
      </w:r>
      <w:r>
        <w:rPr>
          <w:sz w:val="22"/>
        </w:rPr>
        <w:t>in</w:t>
      </w:r>
      <w:r>
        <w:rPr>
          <w:spacing w:val="-14"/>
          <w:sz w:val="22"/>
        </w:rPr>
        <w:t> </w:t>
      </w:r>
      <w:r>
        <w:rPr>
          <w:sz w:val="22"/>
        </w:rPr>
        <w:t>teachers,</w:t>
      </w:r>
      <w:r>
        <w:rPr>
          <w:spacing w:val="-14"/>
          <w:sz w:val="22"/>
        </w:rPr>
        <w:t> </w:t>
      </w:r>
      <w:r>
        <w:rPr>
          <w:sz w:val="22"/>
        </w:rPr>
        <w:t>students</w:t>
      </w:r>
      <w:r>
        <w:rPr>
          <w:spacing w:val="-13"/>
          <w:sz w:val="22"/>
        </w:rPr>
        <w:t> </w:t>
      </w:r>
      <w:r>
        <w:rPr>
          <w:sz w:val="22"/>
        </w:rPr>
        <w:t>and</w:t>
      </w:r>
      <w:r>
        <w:rPr>
          <w:spacing w:val="-14"/>
          <w:sz w:val="22"/>
        </w:rPr>
        <w:t> </w:t>
      </w:r>
      <w:r>
        <w:rPr>
          <w:sz w:val="22"/>
        </w:rPr>
        <w:t>also</w:t>
      </w:r>
      <w:r>
        <w:rPr>
          <w:spacing w:val="-14"/>
          <w:sz w:val="22"/>
        </w:rPr>
        <w:t> </w:t>
      </w:r>
      <w:r>
        <w:rPr>
          <w:sz w:val="22"/>
        </w:rPr>
        <w:t>acquaint society with academia.</w:t>
      </w:r>
    </w:p>
    <w:p>
      <w:pPr>
        <w:pStyle w:val="ListParagraph"/>
        <w:numPr>
          <w:ilvl w:val="1"/>
          <w:numId w:val="45"/>
        </w:numPr>
        <w:tabs>
          <w:tab w:pos="1439" w:val="left" w:leader="none"/>
        </w:tabs>
        <w:spacing w:line="266" w:lineRule="auto" w:before="0" w:after="0"/>
        <w:ind w:left="1439" w:right="0" w:hanging="360"/>
        <w:jc w:val="both"/>
        <w:rPr>
          <w:sz w:val="22"/>
        </w:rPr>
      </w:pPr>
      <w:r>
        <w:rPr>
          <w:sz w:val="22"/>
        </w:rPr>
        <w:t>Talent</w:t>
      </w:r>
      <w:r>
        <w:rPr>
          <w:spacing w:val="-3"/>
          <w:sz w:val="22"/>
        </w:rPr>
        <w:t> </w:t>
      </w:r>
      <w:r>
        <w:rPr>
          <w:sz w:val="22"/>
        </w:rPr>
        <w:t>residing</w:t>
      </w:r>
      <w:r>
        <w:rPr>
          <w:spacing w:val="-3"/>
          <w:sz w:val="22"/>
        </w:rPr>
        <w:t> </w:t>
      </w:r>
      <w:r>
        <w:rPr>
          <w:sz w:val="22"/>
        </w:rPr>
        <w:t>in</w:t>
      </w:r>
      <w:r>
        <w:rPr>
          <w:spacing w:val="-3"/>
          <w:sz w:val="22"/>
        </w:rPr>
        <w:t> </w:t>
      </w:r>
      <w:r>
        <w:rPr>
          <w:sz w:val="22"/>
        </w:rPr>
        <w:t>rural</w:t>
      </w:r>
      <w:r>
        <w:rPr>
          <w:spacing w:val="-3"/>
          <w:sz w:val="22"/>
        </w:rPr>
        <w:t> </w:t>
      </w:r>
      <w:r>
        <w:rPr>
          <w:sz w:val="22"/>
        </w:rPr>
        <w:t>areas</w:t>
      </w:r>
      <w:r>
        <w:rPr>
          <w:spacing w:val="-3"/>
          <w:sz w:val="22"/>
        </w:rPr>
        <w:t> </w:t>
      </w:r>
      <w:r>
        <w:rPr>
          <w:sz w:val="22"/>
        </w:rPr>
        <w:t>remains</w:t>
      </w:r>
      <w:r>
        <w:rPr>
          <w:spacing w:val="-3"/>
          <w:sz w:val="22"/>
        </w:rPr>
        <w:t> </w:t>
      </w:r>
      <w:r>
        <w:rPr>
          <w:sz w:val="22"/>
        </w:rPr>
        <w:t>completely untapped</w:t>
      </w:r>
      <w:r>
        <w:rPr>
          <w:spacing w:val="80"/>
          <w:sz w:val="22"/>
        </w:rPr>
        <w:t> </w:t>
      </w:r>
      <w:r>
        <w:rPr>
          <w:sz w:val="22"/>
        </w:rPr>
        <w:t>because</w:t>
      </w:r>
      <w:r>
        <w:rPr>
          <w:spacing w:val="80"/>
          <w:sz w:val="22"/>
        </w:rPr>
        <w:t> </w:t>
      </w:r>
      <w:r>
        <w:rPr>
          <w:sz w:val="22"/>
        </w:rPr>
        <w:t>of</w:t>
      </w:r>
      <w:r>
        <w:rPr>
          <w:spacing w:val="80"/>
          <w:sz w:val="22"/>
        </w:rPr>
        <w:t> </w:t>
      </w:r>
      <w:r>
        <w:rPr>
          <w:sz w:val="22"/>
        </w:rPr>
        <w:t>various</w:t>
      </w:r>
      <w:r>
        <w:rPr>
          <w:spacing w:val="80"/>
          <w:sz w:val="22"/>
        </w:rPr>
        <w:t> </w:t>
      </w:r>
      <w:r>
        <w:rPr>
          <w:sz w:val="22"/>
        </w:rPr>
        <w:t>reasons.</w:t>
      </w:r>
      <w:r>
        <w:rPr>
          <w:spacing w:val="80"/>
          <w:sz w:val="22"/>
        </w:rPr>
        <w:t> </w:t>
      </w:r>
      <w:r>
        <w:rPr>
          <w:sz w:val="22"/>
        </w:rPr>
        <w:t>Basic</w:t>
      </w:r>
    </w:p>
    <w:p>
      <w:pPr>
        <w:pStyle w:val="BodyText"/>
        <w:spacing w:line="266" w:lineRule="auto" w:before="57"/>
        <w:ind w:left="679" w:right="1077"/>
        <w:jc w:val="both"/>
      </w:pPr>
      <w:r>
        <w:rPr/>
        <w:br w:type="column"/>
      </w:r>
      <w:r>
        <w:rPr/>
        <w:t>education</w:t>
      </w:r>
      <w:r>
        <w:rPr>
          <w:spacing w:val="-2"/>
        </w:rPr>
        <w:t> </w:t>
      </w:r>
      <w:r>
        <w:rPr/>
        <w:t>and</w:t>
      </w:r>
      <w:r>
        <w:rPr>
          <w:spacing w:val="-2"/>
        </w:rPr>
        <w:t> </w:t>
      </w:r>
      <w:r>
        <w:rPr/>
        <w:t>learning</w:t>
      </w:r>
      <w:r>
        <w:rPr>
          <w:spacing w:val="-2"/>
        </w:rPr>
        <w:t> </w:t>
      </w:r>
      <w:r>
        <w:rPr/>
        <w:t>resource</w:t>
      </w:r>
      <w:r>
        <w:rPr>
          <w:spacing w:val="-2"/>
        </w:rPr>
        <w:t> </w:t>
      </w:r>
      <w:r>
        <w:rPr/>
        <w:t>materials</w:t>
      </w:r>
      <w:r>
        <w:rPr>
          <w:spacing w:val="-2"/>
        </w:rPr>
        <w:t> </w:t>
      </w:r>
      <w:r>
        <w:rPr/>
        <w:t>should be made available to all. At the same time, it is important that targeted initiatives be undertaken to identify talented students and to provide them with opportunities for greater exposure, learning and bridging language gaps.</w:t>
      </w:r>
    </w:p>
    <w:p>
      <w:pPr>
        <w:pStyle w:val="ListParagraph"/>
        <w:numPr>
          <w:ilvl w:val="0"/>
          <w:numId w:val="46"/>
        </w:numPr>
        <w:tabs>
          <w:tab w:pos="679" w:val="left" w:leader="none"/>
        </w:tabs>
        <w:spacing w:line="266" w:lineRule="auto" w:before="0" w:after="0"/>
        <w:ind w:left="679" w:right="1077" w:hanging="360"/>
        <w:jc w:val="both"/>
        <w:rPr>
          <w:sz w:val="22"/>
        </w:rPr>
      </w:pPr>
      <w:r>
        <w:rPr>
          <w:spacing w:val="-2"/>
          <w:sz w:val="22"/>
        </w:rPr>
        <w:t>Women</w:t>
      </w:r>
      <w:r>
        <w:rPr>
          <w:spacing w:val="-8"/>
          <w:sz w:val="22"/>
        </w:rPr>
        <w:t> </w:t>
      </w:r>
      <w:r>
        <w:rPr>
          <w:spacing w:val="-2"/>
          <w:sz w:val="22"/>
        </w:rPr>
        <w:t>and</w:t>
      </w:r>
      <w:r>
        <w:rPr>
          <w:spacing w:val="-8"/>
          <w:sz w:val="22"/>
        </w:rPr>
        <w:t> </w:t>
      </w:r>
      <w:r>
        <w:rPr>
          <w:spacing w:val="-2"/>
          <w:sz w:val="22"/>
        </w:rPr>
        <w:t>especially</w:t>
      </w:r>
      <w:r>
        <w:rPr>
          <w:spacing w:val="-8"/>
          <w:sz w:val="22"/>
        </w:rPr>
        <w:t> </w:t>
      </w:r>
      <w:r>
        <w:rPr>
          <w:spacing w:val="-2"/>
          <w:sz w:val="22"/>
        </w:rPr>
        <w:t>their</w:t>
      </w:r>
      <w:r>
        <w:rPr>
          <w:spacing w:val="-8"/>
          <w:sz w:val="22"/>
        </w:rPr>
        <w:t> </w:t>
      </w:r>
      <w:r>
        <w:rPr>
          <w:spacing w:val="-2"/>
          <w:sz w:val="22"/>
        </w:rPr>
        <w:t>parents</w:t>
      </w:r>
      <w:r>
        <w:rPr>
          <w:spacing w:val="-8"/>
          <w:sz w:val="22"/>
        </w:rPr>
        <w:t> </w:t>
      </w:r>
      <w:r>
        <w:rPr>
          <w:spacing w:val="-2"/>
          <w:sz w:val="22"/>
        </w:rPr>
        <w:t>must</w:t>
      </w:r>
      <w:r>
        <w:rPr>
          <w:spacing w:val="-8"/>
          <w:sz w:val="22"/>
        </w:rPr>
        <w:t> </w:t>
      </w:r>
      <w:r>
        <w:rPr>
          <w:spacing w:val="-2"/>
          <w:sz w:val="22"/>
        </w:rPr>
        <w:t>be</w:t>
      </w:r>
      <w:r>
        <w:rPr>
          <w:spacing w:val="-8"/>
          <w:sz w:val="22"/>
        </w:rPr>
        <w:t> </w:t>
      </w:r>
      <w:r>
        <w:rPr>
          <w:spacing w:val="-2"/>
          <w:sz w:val="22"/>
        </w:rPr>
        <w:t>made </w:t>
      </w:r>
      <w:r>
        <w:rPr>
          <w:spacing w:val="-2"/>
          <w:w w:val="90"/>
          <w:sz w:val="22"/>
        </w:rPr>
        <w:t>aware</w:t>
      </w:r>
      <w:r>
        <w:rPr>
          <w:spacing w:val="-7"/>
          <w:w w:val="90"/>
          <w:sz w:val="22"/>
        </w:rPr>
        <w:t> </w:t>
      </w:r>
      <w:r>
        <w:rPr>
          <w:spacing w:val="-2"/>
          <w:w w:val="90"/>
          <w:sz w:val="22"/>
        </w:rPr>
        <w:t>of</w:t>
      </w:r>
      <w:r>
        <w:rPr>
          <w:spacing w:val="-6"/>
          <w:w w:val="90"/>
          <w:sz w:val="22"/>
        </w:rPr>
        <w:t> </w:t>
      </w:r>
      <w:r>
        <w:rPr>
          <w:spacing w:val="-2"/>
          <w:w w:val="90"/>
          <w:sz w:val="22"/>
        </w:rPr>
        <w:t>the</w:t>
      </w:r>
      <w:r>
        <w:rPr>
          <w:spacing w:val="-6"/>
          <w:w w:val="90"/>
          <w:sz w:val="22"/>
        </w:rPr>
        <w:t> </w:t>
      </w:r>
      <w:r>
        <w:rPr>
          <w:spacing w:val="-2"/>
          <w:w w:val="90"/>
          <w:sz w:val="22"/>
        </w:rPr>
        <w:t>possibilities</w:t>
      </w:r>
      <w:r>
        <w:rPr>
          <w:spacing w:val="-6"/>
          <w:w w:val="90"/>
          <w:sz w:val="22"/>
        </w:rPr>
        <w:t> </w:t>
      </w:r>
      <w:r>
        <w:rPr>
          <w:spacing w:val="-2"/>
          <w:w w:val="90"/>
          <w:sz w:val="22"/>
        </w:rPr>
        <w:t>and</w:t>
      </w:r>
      <w:r>
        <w:rPr>
          <w:spacing w:val="-7"/>
          <w:w w:val="90"/>
          <w:sz w:val="22"/>
        </w:rPr>
        <w:t> </w:t>
      </w:r>
      <w:r>
        <w:rPr>
          <w:spacing w:val="-2"/>
          <w:w w:val="90"/>
          <w:sz w:val="22"/>
        </w:rPr>
        <w:t>flexibilities</w:t>
      </w:r>
      <w:r>
        <w:rPr>
          <w:spacing w:val="-6"/>
          <w:w w:val="90"/>
          <w:sz w:val="22"/>
        </w:rPr>
        <w:t> </w:t>
      </w:r>
      <w:r>
        <w:rPr>
          <w:spacing w:val="-2"/>
          <w:w w:val="90"/>
          <w:sz w:val="22"/>
        </w:rPr>
        <w:t>that</w:t>
      </w:r>
      <w:r>
        <w:rPr>
          <w:spacing w:val="-6"/>
          <w:w w:val="90"/>
          <w:sz w:val="22"/>
        </w:rPr>
        <w:t> </w:t>
      </w:r>
      <w:r>
        <w:rPr>
          <w:spacing w:val="-2"/>
          <w:w w:val="90"/>
          <w:sz w:val="22"/>
        </w:rPr>
        <w:t>a</w:t>
      </w:r>
      <w:r>
        <w:rPr>
          <w:spacing w:val="-6"/>
          <w:w w:val="90"/>
          <w:sz w:val="22"/>
        </w:rPr>
        <w:t> </w:t>
      </w:r>
      <w:r>
        <w:rPr>
          <w:spacing w:val="-2"/>
          <w:w w:val="90"/>
          <w:sz w:val="22"/>
        </w:rPr>
        <w:t>research </w:t>
      </w:r>
      <w:r>
        <w:rPr>
          <w:sz w:val="22"/>
        </w:rPr>
        <w:t>career offers, and should be encouraged through </w:t>
      </w:r>
      <w:r>
        <w:rPr>
          <w:spacing w:val="-4"/>
          <w:sz w:val="22"/>
        </w:rPr>
        <w:t>targeted</w:t>
      </w:r>
      <w:r>
        <w:rPr>
          <w:spacing w:val="-10"/>
          <w:sz w:val="22"/>
        </w:rPr>
        <w:t> </w:t>
      </w:r>
      <w:r>
        <w:rPr>
          <w:spacing w:val="-4"/>
          <w:sz w:val="22"/>
        </w:rPr>
        <w:t>initiatives</w:t>
      </w:r>
      <w:r>
        <w:rPr>
          <w:spacing w:val="-10"/>
          <w:sz w:val="22"/>
        </w:rPr>
        <w:t> </w:t>
      </w:r>
      <w:r>
        <w:rPr>
          <w:spacing w:val="-4"/>
          <w:sz w:val="22"/>
        </w:rPr>
        <w:t>towards</w:t>
      </w:r>
      <w:r>
        <w:rPr>
          <w:spacing w:val="-10"/>
          <w:sz w:val="22"/>
        </w:rPr>
        <w:t> </w:t>
      </w:r>
      <w:r>
        <w:rPr>
          <w:spacing w:val="-4"/>
          <w:sz w:val="22"/>
        </w:rPr>
        <w:t>such</w:t>
      </w:r>
      <w:r>
        <w:rPr>
          <w:spacing w:val="-9"/>
          <w:sz w:val="22"/>
        </w:rPr>
        <w:t> </w:t>
      </w:r>
      <w:r>
        <w:rPr>
          <w:spacing w:val="-4"/>
          <w:sz w:val="22"/>
        </w:rPr>
        <w:t>a</w:t>
      </w:r>
      <w:r>
        <w:rPr>
          <w:spacing w:val="-10"/>
          <w:sz w:val="22"/>
        </w:rPr>
        <w:t> </w:t>
      </w:r>
      <w:r>
        <w:rPr>
          <w:spacing w:val="-4"/>
          <w:sz w:val="22"/>
        </w:rPr>
        <w:t>career</w:t>
      </w:r>
      <w:r>
        <w:rPr>
          <w:spacing w:val="-10"/>
          <w:sz w:val="22"/>
        </w:rPr>
        <w:t> </w:t>
      </w:r>
      <w:r>
        <w:rPr>
          <w:spacing w:val="-4"/>
          <w:sz w:val="22"/>
        </w:rPr>
        <w:t>path.</w:t>
      </w:r>
    </w:p>
    <w:p>
      <w:pPr>
        <w:pStyle w:val="Heading7"/>
        <w:spacing w:before="235"/>
      </w:pPr>
      <w:r>
        <w:rPr>
          <w:color w:val="2E614A"/>
          <w:spacing w:val="-2"/>
        </w:rPr>
        <w:t>Acceptance</w:t>
      </w:r>
    </w:p>
    <w:p>
      <w:pPr>
        <w:pStyle w:val="BodyText"/>
        <w:spacing w:before="7"/>
        <w:rPr>
          <w:b/>
          <w:sz w:val="26"/>
        </w:rPr>
      </w:pPr>
    </w:p>
    <w:p>
      <w:pPr>
        <w:pStyle w:val="ListParagraph"/>
        <w:numPr>
          <w:ilvl w:val="0"/>
          <w:numId w:val="46"/>
        </w:numPr>
        <w:tabs>
          <w:tab w:pos="679" w:val="left" w:leader="none"/>
        </w:tabs>
        <w:spacing w:line="266" w:lineRule="auto" w:before="0" w:after="0"/>
        <w:ind w:left="679" w:right="1077" w:hanging="360"/>
        <w:jc w:val="both"/>
        <w:rPr>
          <w:sz w:val="22"/>
        </w:rPr>
      </w:pPr>
      <w:r>
        <w:rPr>
          <w:spacing w:val="-2"/>
          <w:sz w:val="22"/>
        </w:rPr>
        <w:t>Nobel</w:t>
      </w:r>
      <w:r>
        <w:rPr>
          <w:spacing w:val="-6"/>
          <w:sz w:val="22"/>
        </w:rPr>
        <w:t> </w:t>
      </w:r>
      <w:r>
        <w:rPr>
          <w:spacing w:val="-2"/>
          <w:sz w:val="22"/>
        </w:rPr>
        <w:t>Prize</w:t>
      </w:r>
      <w:r>
        <w:rPr>
          <w:spacing w:val="-6"/>
          <w:sz w:val="22"/>
        </w:rPr>
        <w:t> </w:t>
      </w:r>
      <w:r>
        <w:rPr>
          <w:spacing w:val="-2"/>
          <w:sz w:val="22"/>
        </w:rPr>
        <w:t>winners,</w:t>
      </w:r>
      <w:r>
        <w:rPr>
          <w:spacing w:val="-6"/>
          <w:sz w:val="22"/>
        </w:rPr>
        <w:t> </w:t>
      </w:r>
      <w:r>
        <w:rPr>
          <w:spacing w:val="-2"/>
          <w:sz w:val="22"/>
        </w:rPr>
        <w:t>reputed</w:t>
      </w:r>
      <w:r>
        <w:rPr>
          <w:spacing w:val="-6"/>
          <w:sz w:val="22"/>
        </w:rPr>
        <w:t> </w:t>
      </w:r>
      <w:r>
        <w:rPr>
          <w:spacing w:val="-2"/>
          <w:sz w:val="22"/>
        </w:rPr>
        <w:t>academics</w:t>
      </w:r>
      <w:r>
        <w:rPr>
          <w:spacing w:val="-6"/>
          <w:sz w:val="22"/>
        </w:rPr>
        <w:t> </w:t>
      </w:r>
      <w:r>
        <w:rPr>
          <w:spacing w:val="-2"/>
          <w:sz w:val="22"/>
        </w:rPr>
        <w:t>and</w:t>
      </w:r>
      <w:r>
        <w:rPr>
          <w:spacing w:val="-6"/>
          <w:sz w:val="22"/>
        </w:rPr>
        <w:t> </w:t>
      </w:r>
      <w:r>
        <w:rPr>
          <w:spacing w:val="-2"/>
          <w:sz w:val="22"/>
        </w:rPr>
        <w:t>other </w:t>
      </w:r>
      <w:r>
        <w:rPr>
          <w:spacing w:val="-6"/>
          <w:sz w:val="22"/>
        </w:rPr>
        <w:t>scientists should communicate and publicise the joy </w:t>
      </w:r>
      <w:r>
        <w:rPr>
          <w:sz w:val="22"/>
        </w:rPr>
        <w:t>and opportunities in a research career.</w:t>
      </w:r>
    </w:p>
    <w:p>
      <w:pPr>
        <w:pStyle w:val="ListParagraph"/>
        <w:numPr>
          <w:ilvl w:val="0"/>
          <w:numId w:val="46"/>
        </w:numPr>
        <w:tabs>
          <w:tab w:pos="679" w:val="left" w:leader="none"/>
        </w:tabs>
        <w:spacing w:line="266" w:lineRule="auto" w:before="0" w:after="0"/>
        <w:ind w:left="679" w:right="1077" w:hanging="360"/>
        <w:jc w:val="both"/>
        <w:rPr>
          <w:sz w:val="22"/>
        </w:rPr>
      </w:pPr>
      <w:r>
        <w:rPr>
          <w:sz w:val="22"/>
        </w:rPr>
        <w:t>School teachers play a very important role in orienting</w:t>
      </w:r>
      <w:r>
        <w:rPr>
          <w:spacing w:val="-1"/>
          <w:sz w:val="22"/>
        </w:rPr>
        <w:t> </w:t>
      </w:r>
      <w:r>
        <w:rPr>
          <w:sz w:val="22"/>
        </w:rPr>
        <w:t>students</w:t>
      </w:r>
      <w:r>
        <w:rPr>
          <w:spacing w:val="-1"/>
          <w:sz w:val="22"/>
        </w:rPr>
        <w:t> </w:t>
      </w:r>
      <w:r>
        <w:rPr>
          <w:sz w:val="22"/>
        </w:rPr>
        <w:t>as</w:t>
      </w:r>
      <w:r>
        <w:rPr>
          <w:spacing w:val="-1"/>
          <w:sz w:val="22"/>
        </w:rPr>
        <w:t> </w:t>
      </w:r>
      <w:r>
        <w:rPr>
          <w:sz w:val="22"/>
        </w:rPr>
        <w:t>well</w:t>
      </w:r>
      <w:r>
        <w:rPr>
          <w:spacing w:val="-1"/>
          <w:sz w:val="22"/>
        </w:rPr>
        <w:t> </w:t>
      </w:r>
      <w:r>
        <w:rPr>
          <w:sz w:val="22"/>
        </w:rPr>
        <w:t>as</w:t>
      </w:r>
      <w:r>
        <w:rPr>
          <w:spacing w:val="-1"/>
          <w:sz w:val="22"/>
        </w:rPr>
        <w:t> </w:t>
      </w:r>
      <w:r>
        <w:rPr>
          <w:sz w:val="22"/>
        </w:rPr>
        <w:t>their</w:t>
      </w:r>
      <w:r>
        <w:rPr>
          <w:spacing w:val="-1"/>
          <w:sz w:val="22"/>
        </w:rPr>
        <w:t> </w:t>
      </w:r>
      <w:r>
        <w:rPr>
          <w:sz w:val="22"/>
        </w:rPr>
        <w:t>parents.</w:t>
      </w:r>
      <w:r>
        <w:rPr>
          <w:spacing w:val="-1"/>
          <w:sz w:val="22"/>
        </w:rPr>
        <w:t> </w:t>
      </w:r>
      <w:r>
        <w:rPr>
          <w:sz w:val="22"/>
        </w:rPr>
        <w:t>Hence teachers should be trained and engaged in this </w:t>
      </w:r>
      <w:r>
        <w:rPr>
          <w:spacing w:val="-2"/>
          <w:sz w:val="22"/>
        </w:rPr>
        <w:t>endeavour.</w:t>
      </w:r>
      <w:r>
        <w:rPr>
          <w:spacing w:val="-11"/>
          <w:sz w:val="22"/>
        </w:rPr>
        <w:t> </w:t>
      </w:r>
      <w:r>
        <w:rPr>
          <w:spacing w:val="-2"/>
          <w:sz w:val="22"/>
        </w:rPr>
        <w:t>Parent-Teacher</w:t>
      </w:r>
      <w:r>
        <w:rPr>
          <w:spacing w:val="-11"/>
          <w:sz w:val="22"/>
        </w:rPr>
        <w:t> </w:t>
      </w:r>
      <w:r>
        <w:rPr>
          <w:spacing w:val="-2"/>
          <w:sz w:val="22"/>
        </w:rPr>
        <w:t>Associations</w:t>
      </w:r>
      <w:r>
        <w:rPr>
          <w:spacing w:val="-11"/>
          <w:sz w:val="22"/>
        </w:rPr>
        <w:t> </w:t>
      </w:r>
      <w:r>
        <w:rPr>
          <w:spacing w:val="-2"/>
          <w:sz w:val="22"/>
        </w:rPr>
        <w:t>provide</w:t>
      </w:r>
      <w:r>
        <w:rPr>
          <w:spacing w:val="-11"/>
          <w:sz w:val="22"/>
        </w:rPr>
        <w:t> </w:t>
      </w:r>
      <w:r>
        <w:rPr>
          <w:spacing w:val="-2"/>
          <w:sz w:val="22"/>
        </w:rPr>
        <w:t>a </w:t>
      </w:r>
      <w:r>
        <w:rPr>
          <w:sz w:val="22"/>
        </w:rPr>
        <w:t>platform</w:t>
      </w:r>
      <w:r>
        <w:rPr>
          <w:spacing w:val="-14"/>
          <w:sz w:val="22"/>
        </w:rPr>
        <w:t> </w:t>
      </w:r>
      <w:r>
        <w:rPr>
          <w:sz w:val="22"/>
        </w:rPr>
        <w:t>where</w:t>
      </w:r>
      <w:r>
        <w:rPr>
          <w:spacing w:val="-14"/>
          <w:sz w:val="22"/>
        </w:rPr>
        <w:t> </w:t>
      </w:r>
      <w:r>
        <w:rPr>
          <w:sz w:val="22"/>
        </w:rPr>
        <w:t>role</w:t>
      </w:r>
      <w:r>
        <w:rPr>
          <w:spacing w:val="-14"/>
          <w:sz w:val="22"/>
        </w:rPr>
        <w:t> </w:t>
      </w:r>
      <w:r>
        <w:rPr>
          <w:sz w:val="22"/>
        </w:rPr>
        <w:t>models</w:t>
      </w:r>
      <w:r>
        <w:rPr>
          <w:spacing w:val="-13"/>
          <w:sz w:val="22"/>
        </w:rPr>
        <w:t> </w:t>
      </w:r>
      <w:r>
        <w:rPr>
          <w:sz w:val="22"/>
        </w:rPr>
        <w:t>can</w:t>
      </w:r>
      <w:r>
        <w:rPr>
          <w:spacing w:val="-14"/>
          <w:sz w:val="22"/>
        </w:rPr>
        <w:t> </w:t>
      </w:r>
      <w:r>
        <w:rPr>
          <w:sz w:val="22"/>
        </w:rPr>
        <w:t>interact</w:t>
      </w:r>
      <w:r>
        <w:rPr>
          <w:spacing w:val="-14"/>
          <w:sz w:val="22"/>
        </w:rPr>
        <w:t> </w:t>
      </w:r>
      <w:r>
        <w:rPr>
          <w:sz w:val="22"/>
        </w:rPr>
        <w:t>with</w:t>
      </w:r>
      <w:r>
        <w:rPr>
          <w:spacing w:val="-14"/>
          <w:sz w:val="22"/>
        </w:rPr>
        <w:t> </w:t>
      </w:r>
      <w:r>
        <w:rPr>
          <w:sz w:val="22"/>
        </w:rPr>
        <w:t>both parents</w:t>
      </w:r>
      <w:r>
        <w:rPr>
          <w:spacing w:val="-14"/>
          <w:sz w:val="22"/>
        </w:rPr>
        <w:t> </w:t>
      </w:r>
      <w:r>
        <w:rPr>
          <w:sz w:val="22"/>
        </w:rPr>
        <w:t>and</w:t>
      </w:r>
      <w:r>
        <w:rPr>
          <w:spacing w:val="-14"/>
          <w:sz w:val="22"/>
        </w:rPr>
        <w:t> </w:t>
      </w:r>
      <w:r>
        <w:rPr>
          <w:sz w:val="22"/>
        </w:rPr>
        <w:t>teachers</w:t>
      </w:r>
      <w:r>
        <w:rPr>
          <w:spacing w:val="-14"/>
          <w:sz w:val="22"/>
        </w:rPr>
        <w:t> </w:t>
      </w:r>
      <w:r>
        <w:rPr>
          <w:sz w:val="22"/>
        </w:rPr>
        <w:t>at</w:t>
      </w:r>
      <w:r>
        <w:rPr>
          <w:spacing w:val="-13"/>
          <w:sz w:val="22"/>
        </w:rPr>
        <w:t> </w:t>
      </w:r>
      <w:r>
        <w:rPr>
          <w:sz w:val="22"/>
        </w:rPr>
        <w:t>the</w:t>
      </w:r>
      <w:r>
        <w:rPr>
          <w:spacing w:val="-14"/>
          <w:sz w:val="22"/>
        </w:rPr>
        <w:t> </w:t>
      </w:r>
      <w:r>
        <w:rPr>
          <w:sz w:val="22"/>
        </w:rPr>
        <w:t>same</w:t>
      </w:r>
      <w:r>
        <w:rPr>
          <w:spacing w:val="-14"/>
          <w:sz w:val="22"/>
        </w:rPr>
        <w:t> </w:t>
      </w:r>
      <w:r>
        <w:rPr>
          <w:sz w:val="22"/>
        </w:rPr>
        <w:t>time</w:t>
      </w:r>
      <w:r>
        <w:rPr>
          <w:spacing w:val="-14"/>
          <w:sz w:val="22"/>
        </w:rPr>
        <w:t> </w:t>
      </w:r>
      <w:r>
        <w:rPr>
          <w:sz w:val="22"/>
        </w:rPr>
        <w:t>and</w:t>
      </w:r>
      <w:r>
        <w:rPr>
          <w:spacing w:val="-13"/>
          <w:sz w:val="22"/>
        </w:rPr>
        <w:t> </w:t>
      </w:r>
      <w:r>
        <w:rPr>
          <w:sz w:val="22"/>
        </w:rPr>
        <w:t>increase their acceptance towards research.</w:t>
      </w:r>
    </w:p>
    <w:p>
      <w:pPr>
        <w:pStyle w:val="ListParagraph"/>
        <w:numPr>
          <w:ilvl w:val="0"/>
          <w:numId w:val="46"/>
        </w:numPr>
        <w:tabs>
          <w:tab w:pos="679" w:val="left" w:leader="none"/>
        </w:tabs>
        <w:spacing w:line="266" w:lineRule="auto" w:before="0" w:after="0"/>
        <w:ind w:left="679" w:right="1077" w:hanging="360"/>
        <w:jc w:val="both"/>
        <w:rPr>
          <w:sz w:val="22"/>
        </w:rPr>
      </w:pPr>
      <w:r>
        <w:rPr>
          <w:sz w:val="22"/>
        </w:rPr>
        <w:t>Open</w:t>
      </w:r>
      <w:r>
        <w:rPr>
          <w:spacing w:val="-14"/>
          <w:sz w:val="22"/>
        </w:rPr>
        <w:t> </w:t>
      </w:r>
      <w:r>
        <w:rPr>
          <w:sz w:val="22"/>
        </w:rPr>
        <w:t>competitions</w:t>
      </w:r>
      <w:r>
        <w:rPr>
          <w:spacing w:val="-14"/>
          <w:sz w:val="22"/>
        </w:rPr>
        <w:t> </w:t>
      </w:r>
      <w:r>
        <w:rPr>
          <w:sz w:val="22"/>
        </w:rPr>
        <w:t>and</w:t>
      </w:r>
      <w:r>
        <w:rPr>
          <w:spacing w:val="-14"/>
          <w:sz w:val="22"/>
        </w:rPr>
        <w:t> </w:t>
      </w:r>
      <w:r>
        <w:rPr>
          <w:sz w:val="22"/>
        </w:rPr>
        <w:t>projects</w:t>
      </w:r>
      <w:r>
        <w:rPr>
          <w:spacing w:val="-13"/>
          <w:sz w:val="22"/>
        </w:rPr>
        <w:t> </w:t>
      </w:r>
      <w:r>
        <w:rPr>
          <w:sz w:val="22"/>
        </w:rPr>
        <w:t>at</w:t>
      </w:r>
      <w:r>
        <w:rPr>
          <w:spacing w:val="-14"/>
          <w:sz w:val="22"/>
        </w:rPr>
        <w:t> </w:t>
      </w:r>
      <w:r>
        <w:rPr>
          <w:sz w:val="22"/>
        </w:rPr>
        <w:t>different</w:t>
      </w:r>
      <w:r>
        <w:rPr>
          <w:spacing w:val="-14"/>
          <w:sz w:val="22"/>
        </w:rPr>
        <w:t> </w:t>
      </w:r>
      <w:r>
        <w:rPr>
          <w:sz w:val="22"/>
        </w:rPr>
        <w:t>levels should</w:t>
      </w:r>
      <w:r>
        <w:rPr>
          <w:spacing w:val="-13"/>
          <w:sz w:val="22"/>
        </w:rPr>
        <w:t> </w:t>
      </w:r>
      <w:r>
        <w:rPr>
          <w:sz w:val="22"/>
        </w:rPr>
        <w:t>be</w:t>
      </w:r>
      <w:r>
        <w:rPr>
          <w:spacing w:val="-13"/>
          <w:sz w:val="22"/>
        </w:rPr>
        <w:t> </w:t>
      </w:r>
      <w:r>
        <w:rPr>
          <w:sz w:val="22"/>
        </w:rPr>
        <w:t>conceptualised,</w:t>
      </w:r>
      <w:r>
        <w:rPr>
          <w:spacing w:val="-13"/>
          <w:sz w:val="22"/>
        </w:rPr>
        <w:t> </w:t>
      </w:r>
      <w:r>
        <w:rPr>
          <w:sz w:val="22"/>
        </w:rPr>
        <w:t>encouraged</w:t>
      </w:r>
      <w:r>
        <w:rPr>
          <w:spacing w:val="-13"/>
          <w:sz w:val="22"/>
        </w:rPr>
        <w:t> </w:t>
      </w:r>
      <w:r>
        <w:rPr>
          <w:sz w:val="22"/>
        </w:rPr>
        <w:t>and</w:t>
      </w:r>
      <w:r>
        <w:rPr>
          <w:spacing w:val="-13"/>
          <w:sz w:val="22"/>
        </w:rPr>
        <w:t> </w:t>
      </w:r>
      <w:r>
        <w:rPr>
          <w:sz w:val="22"/>
        </w:rPr>
        <w:t>widely publicised. Industry can be involved in such </w:t>
      </w:r>
      <w:r>
        <w:rPr>
          <w:spacing w:val="-2"/>
          <w:sz w:val="22"/>
        </w:rPr>
        <w:t>activities.</w:t>
      </w:r>
    </w:p>
    <w:p>
      <w:pPr>
        <w:pStyle w:val="ListParagraph"/>
        <w:numPr>
          <w:ilvl w:val="0"/>
          <w:numId w:val="46"/>
        </w:numPr>
        <w:tabs>
          <w:tab w:pos="679" w:val="left" w:leader="none"/>
        </w:tabs>
        <w:spacing w:line="266" w:lineRule="auto" w:before="0" w:after="0"/>
        <w:ind w:left="679" w:right="1077" w:hanging="360"/>
        <w:jc w:val="both"/>
        <w:rPr>
          <w:sz w:val="22"/>
        </w:rPr>
      </w:pPr>
      <w:r>
        <w:rPr>
          <w:sz w:val="22"/>
        </w:rPr>
        <w:t>Recognising</w:t>
      </w:r>
      <w:r>
        <w:rPr>
          <w:spacing w:val="-3"/>
          <w:sz w:val="22"/>
        </w:rPr>
        <w:t> </w:t>
      </w:r>
      <w:r>
        <w:rPr>
          <w:sz w:val="22"/>
        </w:rPr>
        <w:t>good</w:t>
      </w:r>
      <w:r>
        <w:rPr>
          <w:spacing w:val="-3"/>
          <w:sz w:val="22"/>
        </w:rPr>
        <w:t> </w:t>
      </w:r>
      <w:r>
        <w:rPr>
          <w:sz w:val="22"/>
        </w:rPr>
        <w:t>research</w:t>
      </w:r>
      <w:r>
        <w:rPr>
          <w:spacing w:val="-3"/>
          <w:sz w:val="22"/>
        </w:rPr>
        <w:t> </w:t>
      </w:r>
      <w:r>
        <w:rPr>
          <w:sz w:val="22"/>
        </w:rPr>
        <w:t>work</w:t>
      </w:r>
      <w:r>
        <w:rPr>
          <w:spacing w:val="-3"/>
          <w:sz w:val="22"/>
        </w:rPr>
        <w:t> </w:t>
      </w:r>
      <w:r>
        <w:rPr>
          <w:sz w:val="22"/>
        </w:rPr>
        <w:t>is</w:t>
      </w:r>
      <w:r>
        <w:rPr>
          <w:spacing w:val="-3"/>
          <w:sz w:val="22"/>
        </w:rPr>
        <w:t> </w:t>
      </w:r>
      <w:r>
        <w:rPr>
          <w:sz w:val="22"/>
        </w:rPr>
        <w:t>important</w:t>
      </w:r>
      <w:r>
        <w:rPr>
          <w:spacing w:val="-3"/>
          <w:sz w:val="22"/>
        </w:rPr>
        <w:t> </w:t>
      </w:r>
      <w:r>
        <w:rPr>
          <w:sz w:val="22"/>
        </w:rPr>
        <w:t>for </w:t>
      </w:r>
      <w:r>
        <w:rPr>
          <w:w w:val="90"/>
          <w:sz w:val="22"/>
        </w:rPr>
        <w:t>two reasons. It gives a sense of pride to the researcher </w:t>
      </w:r>
      <w:r>
        <w:rPr>
          <w:spacing w:val="-2"/>
          <w:sz w:val="22"/>
        </w:rPr>
        <w:t>as</w:t>
      </w:r>
      <w:r>
        <w:rPr>
          <w:spacing w:val="-14"/>
          <w:sz w:val="22"/>
        </w:rPr>
        <w:t> </w:t>
      </w:r>
      <w:r>
        <w:rPr>
          <w:spacing w:val="-2"/>
          <w:sz w:val="22"/>
        </w:rPr>
        <w:t>well</w:t>
      </w:r>
      <w:r>
        <w:rPr>
          <w:spacing w:val="-12"/>
          <w:sz w:val="22"/>
        </w:rPr>
        <w:t> </w:t>
      </w:r>
      <w:r>
        <w:rPr>
          <w:spacing w:val="-2"/>
          <w:sz w:val="22"/>
        </w:rPr>
        <w:t>as</w:t>
      </w:r>
      <w:r>
        <w:rPr>
          <w:spacing w:val="-12"/>
          <w:sz w:val="22"/>
        </w:rPr>
        <w:t> </w:t>
      </w:r>
      <w:r>
        <w:rPr>
          <w:spacing w:val="-2"/>
          <w:sz w:val="22"/>
        </w:rPr>
        <w:t>encourages</w:t>
      </w:r>
      <w:r>
        <w:rPr>
          <w:spacing w:val="-11"/>
          <w:sz w:val="22"/>
        </w:rPr>
        <w:t> </w:t>
      </w:r>
      <w:r>
        <w:rPr>
          <w:spacing w:val="-2"/>
          <w:sz w:val="22"/>
        </w:rPr>
        <w:t>others</w:t>
      </w:r>
      <w:r>
        <w:rPr>
          <w:spacing w:val="-12"/>
          <w:sz w:val="22"/>
        </w:rPr>
        <w:t> </w:t>
      </w:r>
      <w:r>
        <w:rPr>
          <w:spacing w:val="-2"/>
          <w:sz w:val="22"/>
        </w:rPr>
        <w:t>to</w:t>
      </w:r>
      <w:r>
        <w:rPr>
          <w:spacing w:val="-12"/>
          <w:sz w:val="22"/>
        </w:rPr>
        <w:t> </w:t>
      </w:r>
      <w:r>
        <w:rPr>
          <w:spacing w:val="-2"/>
          <w:sz w:val="22"/>
        </w:rPr>
        <w:t>do</w:t>
      </w:r>
      <w:r>
        <w:rPr>
          <w:spacing w:val="-12"/>
          <w:sz w:val="22"/>
        </w:rPr>
        <w:t> </w:t>
      </w:r>
      <w:r>
        <w:rPr>
          <w:spacing w:val="-2"/>
          <w:sz w:val="22"/>
        </w:rPr>
        <w:t>research.</w:t>
      </w:r>
      <w:r>
        <w:rPr>
          <w:spacing w:val="-11"/>
          <w:sz w:val="22"/>
        </w:rPr>
        <w:t> </w:t>
      </w:r>
      <w:r>
        <w:rPr>
          <w:spacing w:val="-2"/>
          <w:sz w:val="22"/>
        </w:rPr>
        <w:t>Hence, </w:t>
      </w:r>
      <w:r>
        <w:rPr>
          <w:sz w:val="22"/>
        </w:rPr>
        <w:t>various means of recognition such as awards, </w:t>
      </w:r>
      <w:r>
        <w:rPr>
          <w:spacing w:val="-2"/>
          <w:sz w:val="22"/>
        </w:rPr>
        <w:t>felicitations,</w:t>
      </w:r>
      <w:r>
        <w:rPr>
          <w:spacing w:val="-14"/>
          <w:sz w:val="22"/>
        </w:rPr>
        <w:t> </w:t>
      </w:r>
      <w:r>
        <w:rPr>
          <w:spacing w:val="-2"/>
          <w:sz w:val="22"/>
        </w:rPr>
        <w:t>publicity</w:t>
      </w:r>
      <w:r>
        <w:rPr>
          <w:spacing w:val="-12"/>
          <w:sz w:val="22"/>
        </w:rPr>
        <w:t> </w:t>
      </w:r>
      <w:r>
        <w:rPr>
          <w:spacing w:val="-2"/>
          <w:sz w:val="22"/>
        </w:rPr>
        <w:t>etc.</w:t>
      </w:r>
      <w:r>
        <w:rPr>
          <w:spacing w:val="-12"/>
          <w:sz w:val="22"/>
        </w:rPr>
        <w:t> </w:t>
      </w:r>
      <w:r>
        <w:rPr>
          <w:spacing w:val="-2"/>
          <w:sz w:val="22"/>
        </w:rPr>
        <w:t>should</w:t>
      </w:r>
      <w:r>
        <w:rPr>
          <w:spacing w:val="-11"/>
          <w:sz w:val="22"/>
        </w:rPr>
        <w:t> </w:t>
      </w:r>
      <w:r>
        <w:rPr>
          <w:spacing w:val="-2"/>
          <w:sz w:val="22"/>
        </w:rPr>
        <w:t>be</w:t>
      </w:r>
      <w:r>
        <w:rPr>
          <w:spacing w:val="-12"/>
          <w:sz w:val="22"/>
        </w:rPr>
        <w:t> </w:t>
      </w:r>
      <w:r>
        <w:rPr>
          <w:spacing w:val="-2"/>
          <w:sz w:val="22"/>
        </w:rPr>
        <w:t>taken</w:t>
      </w:r>
      <w:r>
        <w:rPr>
          <w:spacing w:val="-12"/>
          <w:sz w:val="22"/>
        </w:rPr>
        <w:t> </w:t>
      </w:r>
      <w:r>
        <w:rPr>
          <w:spacing w:val="-2"/>
          <w:sz w:val="22"/>
        </w:rPr>
        <w:t>up</w:t>
      </w:r>
      <w:r>
        <w:rPr>
          <w:spacing w:val="-12"/>
          <w:sz w:val="22"/>
        </w:rPr>
        <w:t> </w:t>
      </w:r>
      <w:r>
        <w:rPr>
          <w:spacing w:val="-2"/>
          <w:sz w:val="22"/>
        </w:rPr>
        <w:t>at</w:t>
      </w:r>
      <w:r>
        <w:rPr>
          <w:spacing w:val="-11"/>
          <w:sz w:val="22"/>
        </w:rPr>
        <w:t> </w:t>
      </w:r>
      <w:r>
        <w:rPr>
          <w:spacing w:val="-2"/>
          <w:sz w:val="22"/>
        </w:rPr>
        <w:t>all levels.</w:t>
      </w:r>
    </w:p>
    <w:p>
      <w:pPr>
        <w:pStyle w:val="ListParagraph"/>
        <w:numPr>
          <w:ilvl w:val="0"/>
          <w:numId w:val="46"/>
        </w:numPr>
        <w:tabs>
          <w:tab w:pos="679" w:val="left" w:leader="none"/>
        </w:tabs>
        <w:spacing w:line="266" w:lineRule="auto" w:before="0" w:after="0"/>
        <w:ind w:left="679" w:right="1077" w:hanging="360"/>
        <w:jc w:val="both"/>
        <w:rPr>
          <w:sz w:val="22"/>
        </w:rPr>
      </w:pPr>
      <w:r>
        <w:rPr>
          <w:sz w:val="22"/>
        </w:rPr>
        <w:t>Higher learning, along with research </w:t>
      </w:r>
      <w:r>
        <w:rPr>
          <w:sz w:val="22"/>
        </w:rPr>
        <w:t>and </w:t>
      </w:r>
      <w:r>
        <w:rPr>
          <w:spacing w:val="-4"/>
          <w:sz w:val="22"/>
        </w:rPr>
        <w:t>innovation,</w:t>
      </w:r>
      <w:r>
        <w:rPr>
          <w:spacing w:val="-5"/>
          <w:sz w:val="22"/>
        </w:rPr>
        <w:t> </w:t>
      </w:r>
      <w:r>
        <w:rPr>
          <w:spacing w:val="-4"/>
          <w:sz w:val="22"/>
        </w:rPr>
        <w:t>plays</w:t>
      </w:r>
      <w:r>
        <w:rPr>
          <w:spacing w:val="-5"/>
          <w:sz w:val="22"/>
        </w:rPr>
        <w:t> </w:t>
      </w:r>
      <w:r>
        <w:rPr>
          <w:spacing w:val="-4"/>
          <w:sz w:val="22"/>
        </w:rPr>
        <w:t>an</w:t>
      </w:r>
      <w:r>
        <w:rPr>
          <w:spacing w:val="-5"/>
          <w:sz w:val="22"/>
        </w:rPr>
        <w:t> </w:t>
      </w:r>
      <w:r>
        <w:rPr>
          <w:spacing w:val="-4"/>
          <w:sz w:val="22"/>
        </w:rPr>
        <w:t>important</w:t>
      </w:r>
      <w:r>
        <w:rPr>
          <w:spacing w:val="-5"/>
          <w:sz w:val="22"/>
        </w:rPr>
        <w:t> </w:t>
      </w:r>
      <w:r>
        <w:rPr>
          <w:spacing w:val="-4"/>
          <w:sz w:val="22"/>
        </w:rPr>
        <w:t>role</w:t>
      </w:r>
      <w:r>
        <w:rPr>
          <w:spacing w:val="-5"/>
          <w:sz w:val="22"/>
        </w:rPr>
        <w:t> </w:t>
      </w:r>
      <w:r>
        <w:rPr>
          <w:spacing w:val="-4"/>
          <w:sz w:val="22"/>
        </w:rPr>
        <w:t>in</w:t>
      </w:r>
      <w:r>
        <w:rPr>
          <w:spacing w:val="-5"/>
          <w:sz w:val="22"/>
        </w:rPr>
        <w:t> </w:t>
      </w:r>
      <w:r>
        <w:rPr>
          <w:spacing w:val="-4"/>
          <w:sz w:val="22"/>
        </w:rPr>
        <w:t>development </w:t>
      </w:r>
      <w:r>
        <w:rPr>
          <w:sz w:val="22"/>
        </w:rPr>
        <w:t>of</w:t>
      </w:r>
      <w:r>
        <w:rPr>
          <w:spacing w:val="-16"/>
          <w:sz w:val="22"/>
        </w:rPr>
        <w:t> </w:t>
      </w:r>
      <w:r>
        <w:rPr>
          <w:sz w:val="22"/>
        </w:rPr>
        <w:t>knowledge</w:t>
      </w:r>
      <w:r>
        <w:rPr>
          <w:spacing w:val="-14"/>
          <w:sz w:val="22"/>
        </w:rPr>
        <w:t> </w:t>
      </w:r>
      <w:r>
        <w:rPr>
          <w:sz w:val="22"/>
        </w:rPr>
        <w:t>areas.</w:t>
      </w:r>
      <w:r>
        <w:rPr>
          <w:spacing w:val="-14"/>
          <w:sz w:val="22"/>
        </w:rPr>
        <w:t> </w:t>
      </w:r>
      <w:r>
        <w:rPr>
          <w:sz w:val="22"/>
        </w:rPr>
        <w:t>Its</w:t>
      </w:r>
      <w:r>
        <w:rPr>
          <w:spacing w:val="-13"/>
          <w:sz w:val="22"/>
        </w:rPr>
        <w:t> </w:t>
      </w:r>
      <w:r>
        <w:rPr>
          <w:sz w:val="22"/>
        </w:rPr>
        <w:t>impact</w:t>
      </w:r>
      <w:r>
        <w:rPr>
          <w:spacing w:val="-14"/>
          <w:sz w:val="22"/>
        </w:rPr>
        <w:t> </w:t>
      </w:r>
      <w:r>
        <w:rPr>
          <w:sz w:val="22"/>
        </w:rPr>
        <w:t>on</w:t>
      </w:r>
      <w:r>
        <w:rPr>
          <w:spacing w:val="-14"/>
          <w:sz w:val="22"/>
        </w:rPr>
        <w:t> </w:t>
      </w:r>
      <w:r>
        <w:rPr>
          <w:sz w:val="22"/>
        </w:rPr>
        <w:t>society</w:t>
      </w:r>
      <w:r>
        <w:rPr>
          <w:spacing w:val="-14"/>
          <w:sz w:val="22"/>
        </w:rPr>
        <w:t> </w:t>
      </w:r>
      <w:r>
        <w:rPr>
          <w:sz w:val="22"/>
        </w:rPr>
        <w:t>needs</w:t>
      </w:r>
      <w:r>
        <w:rPr>
          <w:spacing w:val="-13"/>
          <w:sz w:val="22"/>
        </w:rPr>
        <w:t> </w:t>
      </w:r>
      <w:r>
        <w:rPr>
          <w:sz w:val="22"/>
        </w:rPr>
        <w:t>to be publicised widely.</w:t>
      </w:r>
    </w:p>
    <w:p>
      <w:pPr>
        <w:pStyle w:val="ListParagraph"/>
        <w:numPr>
          <w:ilvl w:val="0"/>
          <w:numId w:val="46"/>
        </w:numPr>
        <w:tabs>
          <w:tab w:pos="679" w:val="left" w:leader="none"/>
        </w:tabs>
        <w:spacing w:line="266" w:lineRule="auto" w:before="0" w:after="0"/>
        <w:ind w:left="679" w:right="1077" w:hanging="360"/>
        <w:jc w:val="both"/>
        <w:rPr>
          <w:sz w:val="22"/>
        </w:rPr>
      </w:pPr>
      <w:r>
        <w:rPr>
          <w:sz w:val="22"/>
        </w:rPr>
        <w:t>Both</w:t>
      </w:r>
      <w:r>
        <w:rPr>
          <w:spacing w:val="40"/>
          <w:sz w:val="22"/>
        </w:rPr>
        <w:t> </w:t>
      </w:r>
      <w:r>
        <w:rPr>
          <w:sz w:val="22"/>
        </w:rPr>
        <w:t>the</w:t>
      </w:r>
      <w:r>
        <w:rPr>
          <w:spacing w:val="40"/>
          <w:sz w:val="22"/>
        </w:rPr>
        <w:t> </w:t>
      </w:r>
      <w:r>
        <w:rPr>
          <w:sz w:val="22"/>
        </w:rPr>
        <w:t>monetary</w:t>
      </w:r>
      <w:r>
        <w:rPr>
          <w:spacing w:val="40"/>
          <w:sz w:val="22"/>
        </w:rPr>
        <w:t> </w:t>
      </w:r>
      <w:r>
        <w:rPr>
          <w:sz w:val="22"/>
        </w:rPr>
        <w:t>and</w:t>
      </w:r>
      <w:r>
        <w:rPr>
          <w:spacing w:val="40"/>
          <w:sz w:val="22"/>
        </w:rPr>
        <w:t> </w:t>
      </w:r>
      <w:r>
        <w:rPr>
          <w:sz w:val="22"/>
        </w:rPr>
        <w:t>non-monetary</w:t>
      </w:r>
      <w:r>
        <w:rPr>
          <w:spacing w:val="40"/>
          <w:sz w:val="22"/>
        </w:rPr>
        <w:t> </w:t>
      </w:r>
      <w:r>
        <w:rPr>
          <w:sz w:val="22"/>
        </w:rPr>
        <w:t>aspects of</w:t>
      </w:r>
      <w:r>
        <w:rPr>
          <w:spacing w:val="-12"/>
          <w:sz w:val="22"/>
        </w:rPr>
        <w:t> </w:t>
      </w:r>
      <w:r>
        <w:rPr>
          <w:sz w:val="22"/>
        </w:rPr>
        <w:t>a</w:t>
      </w:r>
      <w:r>
        <w:rPr>
          <w:spacing w:val="-12"/>
          <w:sz w:val="22"/>
        </w:rPr>
        <w:t> </w:t>
      </w:r>
      <w:r>
        <w:rPr>
          <w:sz w:val="22"/>
        </w:rPr>
        <w:t>research</w:t>
      </w:r>
      <w:r>
        <w:rPr>
          <w:spacing w:val="-12"/>
          <w:sz w:val="22"/>
        </w:rPr>
        <w:t> </w:t>
      </w:r>
      <w:r>
        <w:rPr>
          <w:sz w:val="22"/>
        </w:rPr>
        <w:t>career,</w:t>
      </w:r>
      <w:r>
        <w:rPr>
          <w:spacing w:val="-12"/>
          <w:sz w:val="22"/>
        </w:rPr>
        <w:t> </w:t>
      </w:r>
      <w:r>
        <w:rPr>
          <w:sz w:val="22"/>
        </w:rPr>
        <w:t>especially</w:t>
      </w:r>
      <w:r>
        <w:rPr>
          <w:spacing w:val="-12"/>
          <w:sz w:val="22"/>
        </w:rPr>
        <w:t> </w:t>
      </w:r>
      <w:r>
        <w:rPr>
          <w:sz w:val="22"/>
        </w:rPr>
        <w:t>the</w:t>
      </w:r>
      <w:r>
        <w:rPr>
          <w:spacing w:val="-12"/>
          <w:sz w:val="22"/>
        </w:rPr>
        <w:t> </w:t>
      </w:r>
      <w:r>
        <w:rPr>
          <w:sz w:val="22"/>
        </w:rPr>
        <w:t>accompanying academic</w:t>
      </w:r>
      <w:r>
        <w:rPr>
          <w:spacing w:val="-5"/>
          <w:sz w:val="22"/>
        </w:rPr>
        <w:t> </w:t>
      </w:r>
      <w:r>
        <w:rPr>
          <w:sz w:val="22"/>
        </w:rPr>
        <w:t>freedom</w:t>
      </w:r>
      <w:r>
        <w:rPr>
          <w:spacing w:val="-5"/>
          <w:sz w:val="22"/>
        </w:rPr>
        <w:t> </w:t>
      </w:r>
      <w:r>
        <w:rPr>
          <w:sz w:val="22"/>
        </w:rPr>
        <w:t>and</w:t>
      </w:r>
      <w:r>
        <w:rPr>
          <w:spacing w:val="-5"/>
          <w:sz w:val="22"/>
        </w:rPr>
        <w:t> </w:t>
      </w:r>
      <w:r>
        <w:rPr>
          <w:sz w:val="22"/>
        </w:rPr>
        <w:t>the</w:t>
      </w:r>
      <w:r>
        <w:rPr>
          <w:spacing w:val="-5"/>
          <w:sz w:val="22"/>
        </w:rPr>
        <w:t> </w:t>
      </w:r>
      <w:r>
        <w:rPr>
          <w:sz w:val="22"/>
        </w:rPr>
        <w:t>international</w:t>
      </w:r>
      <w:r>
        <w:rPr>
          <w:spacing w:val="-5"/>
          <w:sz w:val="22"/>
        </w:rPr>
        <w:t> </w:t>
      </w:r>
      <w:r>
        <w:rPr>
          <w:sz w:val="22"/>
        </w:rPr>
        <w:t>nature</w:t>
      </w:r>
      <w:r>
        <w:rPr>
          <w:spacing w:val="-5"/>
          <w:sz w:val="22"/>
        </w:rPr>
        <w:t> </w:t>
      </w:r>
      <w:r>
        <w:rPr>
          <w:sz w:val="22"/>
        </w:rPr>
        <w:t>of research, should be communicated to students.</w:t>
      </w:r>
    </w:p>
    <w:p>
      <w:pPr>
        <w:pStyle w:val="Heading7"/>
        <w:spacing w:line="225" w:lineRule="auto" w:before="235"/>
        <w:ind w:right="1075"/>
      </w:pPr>
      <w:r>
        <w:rPr>
          <w:color w:val="2E614A"/>
          <w:spacing w:val="-8"/>
        </w:rPr>
        <w:t>Recommendation 2: Expose undergraduate </w:t>
      </w:r>
      <w:r>
        <w:rPr>
          <w:color w:val="2E614A"/>
          <w:spacing w:val="-2"/>
        </w:rPr>
        <w:t>and</w:t>
      </w:r>
      <w:r>
        <w:rPr>
          <w:color w:val="2E614A"/>
          <w:spacing w:val="-15"/>
        </w:rPr>
        <w:t> </w:t>
      </w:r>
      <w:r>
        <w:rPr>
          <w:color w:val="2E614A"/>
          <w:spacing w:val="-2"/>
        </w:rPr>
        <w:t>post</w:t>
      </w:r>
      <w:r>
        <w:rPr>
          <w:color w:val="2E614A"/>
          <w:spacing w:val="-14"/>
        </w:rPr>
        <w:t> </w:t>
      </w:r>
      <w:r>
        <w:rPr>
          <w:color w:val="2E614A"/>
          <w:spacing w:val="-2"/>
        </w:rPr>
        <w:t>graduate</w:t>
      </w:r>
      <w:r>
        <w:rPr>
          <w:color w:val="2E614A"/>
          <w:spacing w:val="-14"/>
        </w:rPr>
        <w:t> </w:t>
      </w:r>
      <w:r>
        <w:rPr>
          <w:color w:val="2E614A"/>
          <w:spacing w:val="-2"/>
        </w:rPr>
        <w:t>students</w:t>
      </w:r>
      <w:r>
        <w:rPr>
          <w:color w:val="2E614A"/>
          <w:spacing w:val="-14"/>
        </w:rPr>
        <w:t> </w:t>
      </w:r>
      <w:r>
        <w:rPr>
          <w:color w:val="2E614A"/>
          <w:spacing w:val="-2"/>
        </w:rPr>
        <w:t>to</w:t>
      </w:r>
      <w:r>
        <w:rPr>
          <w:color w:val="2E614A"/>
          <w:spacing w:val="-15"/>
        </w:rPr>
        <w:t> </w:t>
      </w:r>
      <w:r>
        <w:rPr>
          <w:color w:val="2E614A"/>
          <w:spacing w:val="-2"/>
        </w:rPr>
        <w:t>cutting</w:t>
      </w:r>
      <w:r>
        <w:rPr>
          <w:color w:val="2E614A"/>
          <w:spacing w:val="-14"/>
        </w:rPr>
        <w:t> </w:t>
      </w:r>
      <w:r>
        <w:rPr>
          <w:color w:val="2E614A"/>
          <w:spacing w:val="-2"/>
        </w:rPr>
        <w:t>edge </w:t>
      </w:r>
      <w:r>
        <w:rPr>
          <w:color w:val="2E614A"/>
          <w:w w:val="90"/>
        </w:rPr>
        <w:t>research and engage them in serious </w:t>
      </w:r>
      <w:r>
        <w:rPr>
          <w:color w:val="2E614A"/>
          <w:w w:val="90"/>
        </w:rPr>
        <w:t>research </w:t>
      </w:r>
      <w:r>
        <w:rPr>
          <w:color w:val="2E614A"/>
        </w:rPr>
        <w:t>wherever</w:t>
      </w:r>
      <w:r>
        <w:rPr>
          <w:color w:val="2E614A"/>
          <w:spacing w:val="-17"/>
        </w:rPr>
        <w:t> </w:t>
      </w:r>
      <w:r>
        <w:rPr>
          <w:color w:val="2E614A"/>
        </w:rPr>
        <w:t>possible</w:t>
      </w:r>
    </w:p>
    <w:p>
      <w:pPr>
        <w:pStyle w:val="BodyText"/>
        <w:spacing w:line="266" w:lineRule="auto" w:before="299"/>
        <w:ind w:left="319" w:right="1077"/>
        <w:jc w:val="both"/>
      </w:pPr>
      <w:r>
        <w:rPr>
          <w:b/>
        </w:rPr>
        <w:t>Issues: </w:t>
      </w:r>
      <w:r>
        <w:rPr/>
        <w:t>The major decision points where a </w:t>
      </w:r>
      <w:r>
        <w:rPr/>
        <w:t>student </w:t>
      </w:r>
      <w:r>
        <w:rPr>
          <w:spacing w:val="-2"/>
        </w:rPr>
        <w:t>decides</w:t>
      </w:r>
      <w:r>
        <w:rPr>
          <w:spacing w:val="-9"/>
        </w:rPr>
        <w:t> </w:t>
      </w:r>
      <w:r>
        <w:rPr>
          <w:spacing w:val="-2"/>
        </w:rPr>
        <w:t>to</w:t>
      </w:r>
      <w:r>
        <w:rPr>
          <w:spacing w:val="-9"/>
        </w:rPr>
        <w:t> </w:t>
      </w:r>
      <w:r>
        <w:rPr>
          <w:spacing w:val="-2"/>
        </w:rPr>
        <w:t>pursue</w:t>
      </w:r>
      <w:r>
        <w:rPr>
          <w:spacing w:val="-9"/>
        </w:rPr>
        <w:t> </w:t>
      </w:r>
      <w:r>
        <w:rPr>
          <w:spacing w:val="-2"/>
        </w:rPr>
        <w:t>doctoral</w:t>
      </w:r>
      <w:r>
        <w:rPr>
          <w:spacing w:val="-9"/>
        </w:rPr>
        <w:t> </w:t>
      </w:r>
      <w:r>
        <w:rPr>
          <w:spacing w:val="-2"/>
        </w:rPr>
        <w:t>studies</w:t>
      </w:r>
      <w:r>
        <w:rPr>
          <w:spacing w:val="-9"/>
        </w:rPr>
        <w:t> </w:t>
      </w:r>
      <w:r>
        <w:rPr>
          <w:spacing w:val="-2"/>
        </w:rPr>
        <w:t>are</w:t>
      </w:r>
      <w:r>
        <w:rPr>
          <w:spacing w:val="-9"/>
        </w:rPr>
        <w:t> </w:t>
      </w:r>
      <w:r>
        <w:rPr>
          <w:spacing w:val="-2"/>
        </w:rPr>
        <w:t>towards</w:t>
      </w:r>
      <w:r>
        <w:rPr>
          <w:spacing w:val="-9"/>
        </w:rPr>
        <w:t> </w:t>
      </w:r>
      <w:r>
        <w:rPr>
          <w:spacing w:val="-2"/>
        </w:rPr>
        <w:t>the</w:t>
      </w:r>
      <w:r>
        <w:rPr>
          <w:spacing w:val="-9"/>
        </w:rPr>
        <w:t> </w:t>
      </w:r>
      <w:r>
        <w:rPr>
          <w:spacing w:val="-2"/>
        </w:rPr>
        <w:t>final </w:t>
      </w:r>
      <w:r>
        <w:rPr/>
        <w:t>year</w:t>
      </w:r>
      <w:r>
        <w:rPr>
          <w:spacing w:val="-16"/>
        </w:rPr>
        <w:t> </w:t>
      </w:r>
      <w:r>
        <w:rPr/>
        <w:t>of</w:t>
      </w:r>
      <w:r>
        <w:rPr>
          <w:spacing w:val="-14"/>
        </w:rPr>
        <w:t> </w:t>
      </w:r>
      <w:r>
        <w:rPr/>
        <w:t>either</w:t>
      </w:r>
      <w:r>
        <w:rPr>
          <w:spacing w:val="-14"/>
        </w:rPr>
        <w:t> </w:t>
      </w:r>
      <w:r>
        <w:rPr/>
        <w:t>an</w:t>
      </w:r>
      <w:r>
        <w:rPr>
          <w:spacing w:val="-13"/>
        </w:rPr>
        <w:t> </w:t>
      </w:r>
      <w:r>
        <w:rPr/>
        <w:t>undergraduate</w:t>
      </w:r>
      <w:r>
        <w:rPr>
          <w:spacing w:val="-14"/>
        </w:rPr>
        <w:t> </w:t>
      </w:r>
      <w:r>
        <w:rPr/>
        <w:t>or</w:t>
      </w:r>
      <w:r>
        <w:rPr>
          <w:spacing w:val="-14"/>
        </w:rPr>
        <w:t> </w:t>
      </w:r>
      <w:r>
        <w:rPr/>
        <w:t>a</w:t>
      </w:r>
      <w:r>
        <w:rPr>
          <w:spacing w:val="-14"/>
        </w:rPr>
        <w:t> </w:t>
      </w:r>
      <w:r>
        <w:rPr/>
        <w:t>master’s</w:t>
      </w:r>
      <w:r>
        <w:rPr>
          <w:spacing w:val="-13"/>
        </w:rPr>
        <w:t> </w:t>
      </w:r>
      <w:r>
        <w:rPr/>
        <w:t>program. These students are often not well exposed to various research opportunities and hence remain untargeted.</w:t>
      </w:r>
    </w:p>
    <w:p>
      <w:pPr>
        <w:spacing w:after="0" w:line="266" w:lineRule="auto"/>
        <w:jc w:val="both"/>
        <w:sectPr>
          <w:pgSz w:w="11910" w:h="16840"/>
          <w:pgMar w:header="0" w:footer="675" w:top="960" w:bottom="860" w:left="0" w:right="0"/>
          <w:cols w:num="2" w:equalWidth="0">
            <w:col w:w="5774" w:space="40"/>
            <w:col w:w="6096"/>
          </w:cols>
        </w:sectPr>
      </w:pPr>
    </w:p>
    <w:p>
      <w:pPr>
        <w:pStyle w:val="ListParagraph"/>
        <w:numPr>
          <w:ilvl w:val="1"/>
          <w:numId w:val="47"/>
        </w:numPr>
        <w:tabs>
          <w:tab w:pos="1459" w:val="left" w:leader="none"/>
        </w:tabs>
        <w:spacing w:line="266" w:lineRule="auto" w:before="57" w:after="0"/>
        <w:ind w:left="1079" w:right="0" w:firstLine="0"/>
        <w:jc w:val="both"/>
        <w:rPr>
          <w:sz w:val="22"/>
        </w:rPr>
      </w:pPr>
      <w:r>
        <w:rPr>
          <w:b/>
          <w:spacing w:val="-4"/>
          <w:sz w:val="22"/>
        </w:rPr>
        <w:t>Undergraduate</w:t>
      </w:r>
      <w:r>
        <w:rPr>
          <w:b/>
          <w:spacing w:val="-6"/>
          <w:sz w:val="22"/>
        </w:rPr>
        <w:t> </w:t>
      </w:r>
      <w:r>
        <w:rPr>
          <w:b/>
          <w:spacing w:val="-4"/>
          <w:sz w:val="22"/>
        </w:rPr>
        <w:t>Research:</w:t>
      </w:r>
      <w:r>
        <w:rPr>
          <w:b/>
          <w:spacing w:val="-7"/>
          <w:sz w:val="22"/>
        </w:rPr>
        <w:t> </w:t>
      </w:r>
      <w:r>
        <w:rPr>
          <w:spacing w:val="-4"/>
          <w:sz w:val="22"/>
        </w:rPr>
        <w:t>A</w:t>
      </w:r>
      <w:r>
        <w:rPr>
          <w:spacing w:val="-7"/>
          <w:sz w:val="22"/>
        </w:rPr>
        <w:t> </w:t>
      </w:r>
      <w:r>
        <w:rPr>
          <w:spacing w:val="-4"/>
          <w:sz w:val="22"/>
        </w:rPr>
        <w:t>good</w:t>
      </w:r>
      <w:r>
        <w:rPr>
          <w:spacing w:val="-7"/>
          <w:sz w:val="22"/>
        </w:rPr>
        <w:t> </w:t>
      </w:r>
      <w:r>
        <w:rPr>
          <w:spacing w:val="-4"/>
          <w:sz w:val="22"/>
        </w:rPr>
        <w:t>undergraduate </w:t>
      </w:r>
      <w:r>
        <w:rPr>
          <w:sz w:val="22"/>
        </w:rPr>
        <w:t>teaching program is vital for grooming prospective students towards research. Currently, our education </w:t>
      </w:r>
      <w:r>
        <w:rPr>
          <w:spacing w:val="-4"/>
          <w:sz w:val="22"/>
        </w:rPr>
        <w:t>system remains largely unimaginative and monotonous with</w:t>
      </w:r>
      <w:r>
        <w:rPr>
          <w:spacing w:val="-9"/>
          <w:sz w:val="22"/>
        </w:rPr>
        <w:t> </w:t>
      </w:r>
      <w:r>
        <w:rPr>
          <w:spacing w:val="-4"/>
          <w:sz w:val="22"/>
        </w:rPr>
        <w:t>a</w:t>
      </w:r>
      <w:r>
        <w:rPr>
          <w:spacing w:val="-9"/>
          <w:sz w:val="22"/>
        </w:rPr>
        <w:t> </w:t>
      </w:r>
      <w:r>
        <w:rPr>
          <w:spacing w:val="-4"/>
          <w:sz w:val="22"/>
        </w:rPr>
        <w:t>stress</w:t>
      </w:r>
      <w:r>
        <w:rPr>
          <w:spacing w:val="-9"/>
          <w:sz w:val="22"/>
        </w:rPr>
        <w:t> </w:t>
      </w:r>
      <w:r>
        <w:rPr>
          <w:spacing w:val="-4"/>
          <w:sz w:val="22"/>
        </w:rPr>
        <w:t>on</w:t>
      </w:r>
      <w:r>
        <w:rPr>
          <w:spacing w:val="-9"/>
          <w:sz w:val="22"/>
        </w:rPr>
        <w:t> </w:t>
      </w:r>
      <w:r>
        <w:rPr>
          <w:spacing w:val="-4"/>
          <w:sz w:val="22"/>
        </w:rPr>
        <w:t>rote</w:t>
      </w:r>
      <w:r>
        <w:rPr>
          <w:spacing w:val="-9"/>
          <w:sz w:val="22"/>
        </w:rPr>
        <w:t> </w:t>
      </w:r>
      <w:r>
        <w:rPr>
          <w:spacing w:val="-4"/>
          <w:sz w:val="22"/>
        </w:rPr>
        <w:t>learning</w:t>
      </w:r>
      <w:r>
        <w:rPr>
          <w:spacing w:val="-9"/>
          <w:sz w:val="22"/>
        </w:rPr>
        <w:t> </w:t>
      </w:r>
      <w:r>
        <w:rPr>
          <w:spacing w:val="-4"/>
          <w:sz w:val="22"/>
        </w:rPr>
        <w:t>and</w:t>
      </w:r>
      <w:r>
        <w:rPr>
          <w:spacing w:val="-9"/>
          <w:sz w:val="22"/>
        </w:rPr>
        <w:t> </w:t>
      </w:r>
      <w:r>
        <w:rPr>
          <w:spacing w:val="-4"/>
          <w:sz w:val="22"/>
        </w:rPr>
        <w:t>with</w:t>
      </w:r>
      <w:r>
        <w:rPr>
          <w:spacing w:val="-9"/>
          <w:sz w:val="22"/>
        </w:rPr>
        <w:t> </w:t>
      </w:r>
      <w:r>
        <w:rPr>
          <w:spacing w:val="-4"/>
          <w:sz w:val="22"/>
        </w:rPr>
        <w:t>problems</w:t>
      </w:r>
      <w:r>
        <w:rPr>
          <w:spacing w:val="-9"/>
          <w:sz w:val="22"/>
        </w:rPr>
        <w:t> </w:t>
      </w:r>
      <w:r>
        <w:rPr>
          <w:spacing w:val="-4"/>
          <w:sz w:val="22"/>
        </w:rPr>
        <w:t>handed </w:t>
      </w:r>
      <w:r>
        <w:rPr>
          <w:spacing w:val="-6"/>
          <w:sz w:val="22"/>
        </w:rPr>
        <w:t>down to students.</w:t>
      </w:r>
      <w:r>
        <w:rPr>
          <w:spacing w:val="-8"/>
          <w:sz w:val="22"/>
        </w:rPr>
        <w:t> </w:t>
      </w:r>
      <w:r>
        <w:rPr>
          <w:spacing w:val="-6"/>
          <w:sz w:val="22"/>
        </w:rPr>
        <w:t>Wide-ranging reforms that encompass </w:t>
      </w:r>
      <w:r>
        <w:rPr>
          <w:sz w:val="22"/>
        </w:rPr>
        <w:t>pedagogy of teaching, curriculum and evaluation are a pre-requisite to nurture and encourage interested students towards a research path</w:t>
      </w:r>
      <w:r>
        <w:rPr>
          <w:position w:val="7"/>
          <w:sz w:val="13"/>
        </w:rPr>
        <w:t>2</w:t>
      </w:r>
      <w:r>
        <w:rPr>
          <w:sz w:val="22"/>
        </w:rPr>
        <w:t>.</w:t>
      </w:r>
    </w:p>
    <w:p>
      <w:pPr>
        <w:pStyle w:val="ListParagraph"/>
        <w:numPr>
          <w:ilvl w:val="2"/>
          <w:numId w:val="47"/>
        </w:numPr>
        <w:tabs>
          <w:tab w:pos="1439" w:val="left" w:leader="none"/>
        </w:tabs>
        <w:spacing w:line="266" w:lineRule="auto" w:before="0" w:after="0"/>
        <w:ind w:left="1439" w:right="0" w:hanging="360"/>
        <w:jc w:val="both"/>
        <w:rPr>
          <w:sz w:val="22"/>
        </w:rPr>
      </w:pPr>
      <w:r>
        <w:rPr>
          <w:sz w:val="22"/>
        </w:rPr>
        <w:t>Relevance</w:t>
      </w:r>
      <w:r>
        <w:rPr>
          <w:spacing w:val="-6"/>
          <w:sz w:val="22"/>
        </w:rPr>
        <w:t> </w:t>
      </w:r>
      <w:r>
        <w:rPr>
          <w:sz w:val="22"/>
        </w:rPr>
        <w:t>and</w:t>
      </w:r>
      <w:r>
        <w:rPr>
          <w:spacing w:val="-6"/>
          <w:sz w:val="22"/>
        </w:rPr>
        <w:t> </w:t>
      </w:r>
      <w:r>
        <w:rPr>
          <w:sz w:val="22"/>
        </w:rPr>
        <w:t>application</w:t>
      </w:r>
      <w:r>
        <w:rPr>
          <w:spacing w:val="-6"/>
          <w:sz w:val="22"/>
        </w:rPr>
        <w:t> </w:t>
      </w:r>
      <w:r>
        <w:rPr>
          <w:sz w:val="22"/>
        </w:rPr>
        <w:t>play</w:t>
      </w:r>
      <w:r>
        <w:rPr>
          <w:spacing w:val="-6"/>
          <w:sz w:val="22"/>
        </w:rPr>
        <w:t> </w:t>
      </w:r>
      <w:r>
        <w:rPr>
          <w:sz w:val="22"/>
        </w:rPr>
        <w:t>an</w:t>
      </w:r>
      <w:r>
        <w:rPr>
          <w:spacing w:val="-6"/>
          <w:sz w:val="22"/>
        </w:rPr>
        <w:t> </w:t>
      </w:r>
      <w:r>
        <w:rPr>
          <w:sz w:val="22"/>
        </w:rPr>
        <w:t>important</w:t>
      </w:r>
      <w:r>
        <w:rPr>
          <w:spacing w:val="-6"/>
          <w:sz w:val="22"/>
        </w:rPr>
        <w:t> </w:t>
      </w:r>
      <w:r>
        <w:rPr>
          <w:sz w:val="22"/>
        </w:rPr>
        <w:t>role in attracting applied researchers, while general abstraction and challenge attract theoretical researchers.</w:t>
      </w:r>
      <w:r>
        <w:rPr>
          <w:spacing w:val="-6"/>
          <w:sz w:val="22"/>
        </w:rPr>
        <w:t> </w:t>
      </w:r>
      <w:r>
        <w:rPr>
          <w:sz w:val="22"/>
        </w:rPr>
        <w:t>Taking</w:t>
      </w:r>
      <w:r>
        <w:rPr>
          <w:spacing w:val="-1"/>
          <w:sz w:val="22"/>
        </w:rPr>
        <w:t> </w:t>
      </w:r>
      <w:r>
        <w:rPr>
          <w:sz w:val="22"/>
        </w:rPr>
        <w:t>this</w:t>
      </w:r>
      <w:r>
        <w:rPr>
          <w:spacing w:val="-1"/>
          <w:sz w:val="22"/>
        </w:rPr>
        <w:t> </w:t>
      </w:r>
      <w:r>
        <w:rPr>
          <w:sz w:val="22"/>
        </w:rPr>
        <w:t>into</w:t>
      </w:r>
      <w:r>
        <w:rPr>
          <w:spacing w:val="-1"/>
          <w:sz w:val="22"/>
        </w:rPr>
        <w:t> </w:t>
      </w:r>
      <w:r>
        <w:rPr>
          <w:sz w:val="22"/>
        </w:rPr>
        <w:t>account,</w:t>
      </w:r>
      <w:r>
        <w:rPr>
          <w:spacing w:val="-1"/>
          <w:sz w:val="22"/>
        </w:rPr>
        <w:t> </w:t>
      </w:r>
      <w:r>
        <w:rPr>
          <w:sz w:val="22"/>
        </w:rPr>
        <w:t>a</w:t>
      </w:r>
      <w:r>
        <w:rPr>
          <w:spacing w:val="-1"/>
          <w:sz w:val="22"/>
        </w:rPr>
        <w:t> </w:t>
      </w:r>
      <w:r>
        <w:rPr>
          <w:sz w:val="22"/>
        </w:rPr>
        <w:t>judicious mix</w:t>
      </w:r>
      <w:r>
        <w:rPr>
          <w:spacing w:val="40"/>
          <w:sz w:val="22"/>
        </w:rPr>
        <w:t> </w:t>
      </w:r>
      <w:r>
        <w:rPr>
          <w:sz w:val="22"/>
        </w:rPr>
        <w:t>of</w:t>
      </w:r>
      <w:r>
        <w:rPr>
          <w:spacing w:val="40"/>
          <w:sz w:val="22"/>
        </w:rPr>
        <w:t> </w:t>
      </w:r>
      <w:r>
        <w:rPr>
          <w:sz w:val="22"/>
        </w:rPr>
        <w:t>projects</w:t>
      </w:r>
      <w:r>
        <w:rPr>
          <w:spacing w:val="40"/>
          <w:sz w:val="22"/>
        </w:rPr>
        <w:t> </w:t>
      </w:r>
      <w:r>
        <w:rPr>
          <w:sz w:val="22"/>
        </w:rPr>
        <w:t>and</w:t>
      </w:r>
      <w:r>
        <w:rPr>
          <w:spacing w:val="40"/>
          <w:sz w:val="22"/>
        </w:rPr>
        <w:t> </w:t>
      </w:r>
      <w:r>
        <w:rPr>
          <w:sz w:val="22"/>
        </w:rPr>
        <w:t>courses</w:t>
      </w:r>
      <w:r>
        <w:rPr>
          <w:spacing w:val="40"/>
          <w:sz w:val="22"/>
        </w:rPr>
        <w:t> </w:t>
      </w:r>
      <w:r>
        <w:rPr>
          <w:sz w:val="22"/>
        </w:rPr>
        <w:t>may</w:t>
      </w:r>
      <w:r>
        <w:rPr>
          <w:spacing w:val="40"/>
          <w:sz w:val="22"/>
        </w:rPr>
        <w:t> </w:t>
      </w:r>
      <w:r>
        <w:rPr>
          <w:sz w:val="22"/>
        </w:rPr>
        <w:t>be</w:t>
      </w:r>
      <w:r>
        <w:rPr>
          <w:spacing w:val="40"/>
          <w:sz w:val="22"/>
        </w:rPr>
        <w:t> </w:t>
      </w:r>
      <w:r>
        <w:rPr>
          <w:sz w:val="22"/>
        </w:rPr>
        <w:t>designed, of which one kind offers an exposure to real life problems from the industry, economy etc. and </w:t>
      </w:r>
      <w:r>
        <w:rPr>
          <w:spacing w:val="-4"/>
          <w:sz w:val="22"/>
        </w:rPr>
        <w:t>another imparts foundational training in theoretical </w:t>
      </w:r>
      <w:r>
        <w:rPr>
          <w:sz w:val="22"/>
        </w:rPr>
        <w:t>aspects of the subject.</w:t>
      </w:r>
    </w:p>
    <w:p>
      <w:pPr>
        <w:pStyle w:val="ListParagraph"/>
        <w:numPr>
          <w:ilvl w:val="2"/>
          <w:numId w:val="47"/>
        </w:numPr>
        <w:tabs>
          <w:tab w:pos="1439" w:val="left" w:leader="none"/>
        </w:tabs>
        <w:spacing w:line="266" w:lineRule="auto" w:before="0" w:after="0"/>
        <w:ind w:left="1439" w:right="0" w:hanging="360"/>
        <w:jc w:val="both"/>
        <w:rPr>
          <w:sz w:val="22"/>
        </w:rPr>
      </w:pPr>
      <w:r>
        <w:rPr>
          <w:spacing w:val="-2"/>
          <w:sz w:val="22"/>
        </w:rPr>
        <w:t>Courses</w:t>
      </w:r>
      <w:r>
        <w:rPr>
          <w:spacing w:val="-11"/>
          <w:sz w:val="22"/>
        </w:rPr>
        <w:t> </w:t>
      </w:r>
      <w:r>
        <w:rPr>
          <w:spacing w:val="-2"/>
          <w:sz w:val="22"/>
        </w:rPr>
        <w:t>that</w:t>
      </w:r>
      <w:r>
        <w:rPr>
          <w:spacing w:val="-11"/>
          <w:sz w:val="22"/>
        </w:rPr>
        <w:t> </w:t>
      </w:r>
      <w:r>
        <w:rPr>
          <w:spacing w:val="-2"/>
          <w:sz w:val="22"/>
        </w:rPr>
        <w:t>orient</w:t>
      </w:r>
      <w:r>
        <w:rPr>
          <w:spacing w:val="-11"/>
          <w:sz w:val="22"/>
        </w:rPr>
        <w:t> </w:t>
      </w:r>
      <w:r>
        <w:rPr>
          <w:spacing w:val="-2"/>
          <w:sz w:val="22"/>
        </w:rPr>
        <w:t>students</w:t>
      </w:r>
      <w:r>
        <w:rPr>
          <w:spacing w:val="-11"/>
          <w:sz w:val="22"/>
        </w:rPr>
        <w:t> </w:t>
      </w:r>
      <w:r>
        <w:rPr>
          <w:spacing w:val="-2"/>
          <w:sz w:val="22"/>
        </w:rPr>
        <w:t>towards</w:t>
      </w:r>
      <w:r>
        <w:rPr>
          <w:spacing w:val="-11"/>
          <w:sz w:val="22"/>
        </w:rPr>
        <w:t> </w:t>
      </w:r>
      <w:r>
        <w:rPr>
          <w:spacing w:val="-2"/>
          <w:sz w:val="22"/>
        </w:rPr>
        <w:t>research</w:t>
      </w:r>
      <w:r>
        <w:rPr>
          <w:spacing w:val="-11"/>
          <w:sz w:val="22"/>
        </w:rPr>
        <w:t> </w:t>
      </w:r>
      <w:r>
        <w:rPr>
          <w:spacing w:val="-2"/>
          <w:sz w:val="22"/>
        </w:rPr>
        <w:t>need </w:t>
      </w:r>
      <w:r>
        <w:rPr>
          <w:sz w:val="22"/>
        </w:rPr>
        <w:t>to be specifically designed and made part of the curriculum. An important component of these </w:t>
      </w:r>
      <w:r>
        <w:rPr>
          <w:spacing w:val="-6"/>
          <w:sz w:val="22"/>
        </w:rPr>
        <w:t>courses</w:t>
      </w:r>
      <w:r>
        <w:rPr>
          <w:spacing w:val="-8"/>
          <w:sz w:val="22"/>
        </w:rPr>
        <w:t> </w:t>
      </w:r>
      <w:r>
        <w:rPr>
          <w:spacing w:val="-6"/>
          <w:sz w:val="22"/>
        </w:rPr>
        <w:t>should</w:t>
      </w:r>
      <w:r>
        <w:rPr>
          <w:spacing w:val="-8"/>
          <w:sz w:val="22"/>
        </w:rPr>
        <w:t> </w:t>
      </w:r>
      <w:r>
        <w:rPr>
          <w:spacing w:val="-6"/>
          <w:sz w:val="22"/>
        </w:rPr>
        <w:t>impart</w:t>
      </w:r>
      <w:r>
        <w:rPr>
          <w:spacing w:val="-8"/>
          <w:sz w:val="22"/>
        </w:rPr>
        <w:t> </w:t>
      </w:r>
      <w:r>
        <w:rPr>
          <w:spacing w:val="-6"/>
          <w:sz w:val="22"/>
        </w:rPr>
        <w:t>knowledge</w:t>
      </w:r>
      <w:r>
        <w:rPr>
          <w:spacing w:val="-7"/>
          <w:sz w:val="22"/>
        </w:rPr>
        <w:t> </w:t>
      </w:r>
      <w:r>
        <w:rPr>
          <w:spacing w:val="-6"/>
          <w:sz w:val="22"/>
        </w:rPr>
        <w:t>on</w:t>
      </w:r>
      <w:r>
        <w:rPr>
          <w:spacing w:val="-8"/>
          <w:sz w:val="22"/>
        </w:rPr>
        <w:t> </w:t>
      </w:r>
      <w:r>
        <w:rPr>
          <w:spacing w:val="-6"/>
          <w:sz w:val="22"/>
        </w:rPr>
        <w:t>identifying</w:t>
      </w:r>
      <w:r>
        <w:rPr>
          <w:spacing w:val="-8"/>
          <w:sz w:val="22"/>
        </w:rPr>
        <w:t> </w:t>
      </w:r>
      <w:r>
        <w:rPr>
          <w:spacing w:val="-6"/>
          <w:sz w:val="22"/>
        </w:rPr>
        <w:t>and defining problems, various research methodologies, </w:t>
      </w:r>
      <w:r>
        <w:rPr>
          <w:sz w:val="22"/>
        </w:rPr>
        <w:t>analytic</w:t>
      </w:r>
      <w:r>
        <w:rPr>
          <w:spacing w:val="-14"/>
          <w:sz w:val="22"/>
        </w:rPr>
        <w:t> </w:t>
      </w:r>
      <w:r>
        <w:rPr>
          <w:sz w:val="22"/>
        </w:rPr>
        <w:t>methods</w:t>
      </w:r>
      <w:r>
        <w:rPr>
          <w:spacing w:val="-14"/>
          <w:sz w:val="22"/>
        </w:rPr>
        <w:t> </w:t>
      </w:r>
      <w:r>
        <w:rPr>
          <w:sz w:val="22"/>
        </w:rPr>
        <w:t>and</w:t>
      </w:r>
      <w:r>
        <w:rPr>
          <w:spacing w:val="-13"/>
          <w:sz w:val="22"/>
        </w:rPr>
        <w:t> </w:t>
      </w:r>
      <w:r>
        <w:rPr>
          <w:sz w:val="22"/>
        </w:rPr>
        <w:t>presentation.</w:t>
      </w:r>
      <w:r>
        <w:rPr>
          <w:spacing w:val="-14"/>
          <w:sz w:val="22"/>
        </w:rPr>
        <w:t> </w:t>
      </w:r>
      <w:r>
        <w:rPr>
          <w:sz w:val="22"/>
        </w:rPr>
        <w:t>Team</w:t>
      </w:r>
      <w:r>
        <w:rPr>
          <w:spacing w:val="-13"/>
          <w:sz w:val="22"/>
        </w:rPr>
        <w:t> </w:t>
      </w:r>
      <w:r>
        <w:rPr>
          <w:sz w:val="22"/>
        </w:rPr>
        <w:t>projects </w:t>
      </w:r>
      <w:r>
        <w:rPr>
          <w:spacing w:val="-8"/>
          <w:sz w:val="22"/>
        </w:rPr>
        <w:t>comprising</w:t>
      </w:r>
      <w:r>
        <w:rPr>
          <w:sz w:val="22"/>
        </w:rPr>
        <w:t> </w:t>
      </w:r>
      <w:r>
        <w:rPr>
          <w:spacing w:val="-8"/>
          <w:sz w:val="22"/>
        </w:rPr>
        <w:t>of</w:t>
      </w:r>
      <w:r>
        <w:rPr>
          <w:sz w:val="22"/>
        </w:rPr>
        <w:t> </w:t>
      </w:r>
      <w:r>
        <w:rPr>
          <w:spacing w:val="-8"/>
          <w:sz w:val="22"/>
        </w:rPr>
        <w:t>different</w:t>
      </w:r>
      <w:r>
        <w:rPr>
          <w:sz w:val="22"/>
        </w:rPr>
        <w:t> </w:t>
      </w:r>
      <w:r>
        <w:rPr>
          <w:spacing w:val="-8"/>
          <w:sz w:val="22"/>
        </w:rPr>
        <w:t>disciplines</w:t>
      </w:r>
      <w:r>
        <w:rPr>
          <w:sz w:val="22"/>
        </w:rPr>
        <w:t> </w:t>
      </w:r>
      <w:r>
        <w:rPr>
          <w:spacing w:val="-8"/>
          <w:sz w:val="22"/>
        </w:rPr>
        <w:t>can</w:t>
      </w:r>
      <w:r>
        <w:rPr>
          <w:sz w:val="22"/>
        </w:rPr>
        <w:t> </w:t>
      </w:r>
      <w:r>
        <w:rPr>
          <w:spacing w:val="-8"/>
          <w:sz w:val="22"/>
        </w:rPr>
        <w:t>be</w:t>
      </w:r>
      <w:r>
        <w:rPr>
          <w:sz w:val="22"/>
        </w:rPr>
        <w:t> </w:t>
      </w:r>
      <w:r>
        <w:rPr>
          <w:spacing w:val="-8"/>
          <w:sz w:val="22"/>
        </w:rPr>
        <w:t>introduced </w:t>
      </w:r>
      <w:r>
        <w:rPr>
          <w:sz w:val="22"/>
        </w:rPr>
        <w:t>as an optional course for students.</w:t>
      </w:r>
      <w:r>
        <w:rPr>
          <w:spacing w:val="-1"/>
          <w:sz w:val="22"/>
        </w:rPr>
        <w:t> </w:t>
      </w:r>
      <w:r>
        <w:rPr>
          <w:sz w:val="22"/>
        </w:rPr>
        <w:t>This could be combined</w:t>
      </w:r>
      <w:r>
        <w:rPr>
          <w:spacing w:val="-13"/>
          <w:sz w:val="22"/>
        </w:rPr>
        <w:t> </w:t>
      </w:r>
      <w:r>
        <w:rPr>
          <w:sz w:val="22"/>
        </w:rPr>
        <w:t>with</w:t>
      </w:r>
      <w:r>
        <w:rPr>
          <w:spacing w:val="-13"/>
          <w:sz w:val="22"/>
        </w:rPr>
        <w:t> </w:t>
      </w:r>
      <w:r>
        <w:rPr>
          <w:sz w:val="22"/>
        </w:rPr>
        <w:t>changes</w:t>
      </w:r>
      <w:r>
        <w:rPr>
          <w:spacing w:val="-13"/>
          <w:sz w:val="22"/>
        </w:rPr>
        <w:t> </w:t>
      </w:r>
      <w:r>
        <w:rPr>
          <w:sz w:val="22"/>
        </w:rPr>
        <w:t>in</w:t>
      </w:r>
      <w:r>
        <w:rPr>
          <w:spacing w:val="-13"/>
          <w:sz w:val="22"/>
        </w:rPr>
        <w:t> </w:t>
      </w:r>
      <w:r>
        <w:rPr>
          <w:sz w:val="22"/>
        </w:rPr>
        <w:t>syllabus</w:t>
      </w:r>
      <w:r>
        <w:rPr>
          <w:spacing w:val="-13"/>
          <w:sz w:val="22"/>
        </w:rPr>
        <w:t> </w:t>
      </w:r>
      <w:r>
        <w:rPr>
          <w:sz w:val="22"/>
        </w:rPr>
        <w:t>that</w:t>
      </w:r>
      <w:r>
        <w:rPr>
          <w:spacing w:val="-13"/>
          <w:sz w:val="22"/>
        </w:rPr>
        <w:t> </w:t>
      </w:r>
      <w:r>
        <w:rPr>
          <w:sz w:val="22"/>
        </w:rPr>
        <w:t>allow</w:t>
      </w:r>
      <w:r>
        <w:rPr>
          <w:spacing w:val="-13"/>
          <w:sz w:val="22"/>
        </w:rPr>
        <w:t> </w:t>
      </w:r>
      <w:r>
        <w:rPr>
          <w:sz w:val="22"/>
        </w:rPr>
        <w:t>one </w:t>
      </w:r>
      <w:r>
        <w:rPr>
          <w:spacing w:val="-2"/>
          <w:sz w:val="22"/>
        </w:rPr>
        <w:t>research-based</w:t>
      </w:r>
      <w:r>
        <w:rPr>
          <w:spacing w:val="-12"/>
          <w:sz w:val="22"/>
        </w:rPr>
        <w:t> </w:t>
      </w:r>
      <w:r>
        <w:rPr>
          <w:spacing w:val="-2"/>
          <w:sz w:val="22"/>
        </w:rPr>
        <w:t>course</w:t>
      </w:r>
      <w:r>
        <w:rPr>
          <w:spacing w:val="-12"/>
          <w:sz w:val="22"/>
        </w:rPr>
        <w:t> </w:t>
      </w:r>
      <w:r>
        <w:rPr>
          <w:spacing w:val="-2"/>
          <w:sz w:val="22"/>
        </w:rPr>
        <w:t>even</w:t>
      </w:r>
      <w:r>
        <w:rPr>
          <w:spacing w:val="-12"/>
          <w:sz w:val="22"/>
        </w:rPr>
        <w:t> </w:t>
      </w:r>
      <w:r>
        <w:rPr>
          <w:spacing w:val="-2"/>
          <w:sz w:val="22"/>
        </w:rPr>
        <w:t>at</w:t>
      </w:r>
      <w:r>
        <w:rPr>
          <w:spacing w:val="-11"/>
          <w:sz w:val="22"/>
        </w:rPr>
        <w:t> </w:t>
      </w:r>
      <w:r>
        <w:rPr>
          <w:spacing w:val="-2"/>
          <w:sz w:val="22"/>
        </w:rPr>
        <w:t>undergraduate</w:t>
      </w:r>
      <w:r>
        <w:rPr>
          <w:spacing w:val="-12"/>
          <w:sz w:val="22"/>
        </w:rPr>
        <w:t> </w:t>
      </w:r>
      <w:r>
        <w:rPr>
          <w:spacing w:val="-2"/>
          <w:sz w:val="22"/>
        </w:rPr>
        <w:t>level.</w:t>
      </w:r>
    </w:p>
    <w:p>
      <w:pPr>
        <w:pStyle w:val="ListParagraph"/>
        <w:numPr>
          <w:ilvl w:val="2"/>
          <w:numId w:val="47"/>
        </w:numPr>
        <w:tabs>
          <w:tab w:pos="1440" w:val="left" w:leader="none"/>
        </w:tabs>
        <w:spacing w:line="266" w:lineRule="auto" w:before="0" w:after="0"/>
        <w:ind w:left="1440" w:right="0" w:hanging="360"/>
        <w:jc w:val="both"/>
        <w:rPr>
          <w:sz w:val="22"/>
        </w:rPr>
      </w:pPr>
      <w:r>
        <w:rPr>
          <w:spacing w:val="-2"/>
          <w:sz w:val="22"/>
        </w:rPr>
        <w:t>Summer</w:t>
      </w:r>
      <w:r>
        <w:rPr>
          <w:spacing w:val="-11"/>
          <w:sz w:val="22"/>
        </w:rPr>
        <w:t> </w:t>
      </w:r>
      <w:r>
        <w:rPr>
          <w:spacing w:val="-2"/>
          <w:sz w:val="22"/>
        </w:rPr>
        <w:t>internships,</w:t>
      </w:r>
      <w:r>
        <w:rPr>
          <w:spacing w:val="-11"/>
          <w:sz w:val="22"/>
        </w:rPr>
        <w:t> </w:t>
      </w:r>
      <w:r>
        <w:rPr>
          <w:spacing w:val="-2"/>
          <w:sz w:val="22"/>
        </w:rPr>
        <w:t>summer</w:t>
      </w:r>
      <w:r>
        <w:rPr>
          <w:spacing w:val="-11"/>
          <w:sz w:val="22"/>
        </w:rPr>
        <w:t> </w:t>
      </w:r>
      <w:r>
        <w:rPr>
          <w:spacing w:val="-2"/>
          <w:sz w:val="22"/>
        </w:rPr>
        <w:t>schools,</w:t>
      </w:r>
      <w:r>
        <w:rPr>
          <w:spacing w:val="-11"/>
          <w:sz w:val="22"/>
        </w:rPr>
        <w:t> </w:t>
      </w:r>
      <w:r>
        <w:rPr>
          <w:spacing w:val="-2"/>
          <w:sz w:val="22"/>
        </w:rPr>
        <w:t>workshops, </w:t>
      </w:r>
      <w:r>
        <w:rPr>
          <w:sz w:val="22"/>
        </w:rPr>
        <w:t>competitions should all be encouraged. Exciting undergraduate research projects that can involve larger number of students should be rolled out. The</w:t>
      </w:r>
      <w:r>
        <w:rPr>
          <w:spacing w:val="-4"/>
          <w:sz w:val="22"/>
        </w:rPr>
        <w:t> </w:t>
      </w:r>
      <w:r>
        <w:rPr>
          <w:sz w:val="22"/>
        </w:rPr>
        <w:t>vacation</w:t>
      </w:r>
      <w:r>
        <w:rPr>
          <w:spacing w:val="-4"/>
          <w:sz w:val="22"/>
        </w:rPr>
        <w:t> </w:t>
      </w:r>
      <w:r>
        <w:rPr>
          <w:sz w:val="22"/>
        </w:rPr>
        <w:t>period</w:t>
      </w:r>
      <w:r>
        <w:rPr>
          <w:spacing w:val="-4"/>
          <w:sz w:val="22"/>
        </w:rPr>
        <w:t> </w:t>
      </w:r>
      <w:r>
        <w:rPr>
          <w:sz w:val="22"/>
        </w:rPr>
        <w:t>should</w:t>
      </w:r>
      <w:r>
        <w:rPr>
          <w:spacing w:val="-4"/>
          <w:sz w:val="22"/>
        </w:rPr>
        <w:t> </w:t>
      </w:r>
      <w:r>
        <w:rPr>
          <w:sz w:val="22"/>
        </w:rPr>
        <w:t>be</w:t>
      </w:r>
      <w:r>
        <w:rPr>
          <w:spacing w:val="-4"/>
          <w:sz w:val="22"/>
        </w:rPr>
        <w:t> </w:t>
      </w:r>
      <w:r>
        <w:rPr>
          <w:sz w:val="22"/>
        </w:rPr>
        <w:t>utilised</w:t>
      </w:r>
      <w:r>
        <w:rPr>
          <w:spacing w:val="-4"/>
          <w:sz w:val="22"/>
        </w:rPr>
        <w:t> </w:t>
      </w:r>
      <w:r>
        <w:rPr>
          <w:sz w:val="22"/>
        </w:rPr>
        <w:t>to</w:t>
      </w:r>
      <w:r>
        <w:rPr>
          <w:spacing w:val="-4"/>
          <w:sz w:val="22"/>
        </w:rPr>
        <w:t> </w:t>
      </w:r>
      <w:r>
        <w:rPr>
          <w:sz w:val="22"/>
        </w:rPr>
        <w:t>provide undergraduate students with a comprehensive </w:t>
      </w:r>
      <w:r>
        <w:rPr>
          <w:spacing w:val="-6"/>
          <w:sz w:val="22"/>
        </w:rPr>
        <w:t>training</w:t>
      </w:r>
      <w:r>
        <w:rPr>
          <w:spacing w:val="-8"/>
          <w:sz w:val="22"/>
        </w:rPr>
        <w:t> </w:t>
      </w:r>
      <w:r>
        <w:rPr>
          <w:spacing w:val="-6"/>
          <w:sz w:val="22"/>
        </w:rPr>
        <w:t>comprising</w:t>
      </w:r>
      <w:r>
        <w:rPr>
          <w:spacing w:val="-7"/>
          <w:sz w:val="22"/>
        </w:rPr>
        <w:t> </w:t>
      </w:r>
      <w:r>
        <w:rPr>
          <w:spacing w:val="-6"/>
          <w:sz w:val="22"/>
        </w:rPr>
        <w:t>of</w:t>
      </w:r>
      <w:r>
        <w:rPr>
          <w:spacing w:val="-8"/>
          <w:sz w:val="22"/>
        </w:rPr>
        <w:t> </w:t>
      </w:r>
      <w:r>
        <w:rPr>
          <w:spacing w:val="-6"/>
          <w:sz w:val="22"/>
        </w:rPr>
        <w:t>exposure</w:t>
      </w:r>
      <w:r>
        <w:rPr>
          <w:spacing w:val="-7"/>
          <w:sz w:val="22"/>
        </w:rPr>
        <w:t> </w:t>
      </w:r>
      <w:r>
        <w:rPr>
          <w:spacing w:val="-6"/>
          <w:sz w:val="22"/>
        </w:rPr>
        <w:t>to</w:t>
      </w:r>
      <w:r>
        <w:rPr>
          <w:spacing w:val="-8"/>
          <w:sz w:val="22"/>
        </w:rPr>
        <w:t> </w:t>
      </w:r>
      <w:r>
        <w:rPr>
          <w:spacing w:val="-6"/>
          <w:sz w:val="22"/>
        </w:rPr>
        <w:t>problems</w:t>
      </w:r>
      <w:r>
        <w:rPr>
          <w:spacing w:val="-7"/>
          <w:sz w:val="22"/>
        </w:rPr>
        <w:t> </w:t>
      </w:r>
      <w:r>
        <w:rPr>
          <w:spacing w:val="-6"/>
          <w:sz w:val="22"/>
        </w:rPr>
        <w:t>in</w:t>
      </w:r>
      <w:r>
        <w:rPr>
          <w:spacing w:val="-8"/>
          <w:sz w:val="22"/>
        </w:rPr>
        <w:t> </w:t>
      </w:r>
      <w:r>
        <w:rPr>
          <w:spacing w:val="-6"/>
          <w:sz w:val="22"/>
        </w:rPr>
        <w:t>rural </w:t>
      </w:r>
      <w:r>
        <w:rPr>
          <w:spacing w:val="-8"/>
          <w:sz w:val="22"/>
        </w:rPr>
        <w:t>areas,</w:t>
      </w:r>
      <w:r>
        <w:rPr>
          <w:spacing w:val="-6"/>
          <w:sz w:val="22"/>
        </w:rPr>
        <w:t> </w:t>
      </w:r>
      <w:r>
        <w:rPr>
          <w:spacing w:val="-8"/>
          <w:sz w:val="22"/>
        </w:rPr>
        <w:t>industrial</w:t>
      </w:r>
      <w:r>
        <w:rPr>
          <w:spacing w:val="-6"/>
          <w:sz w:val="22"/>
        </w:rPr>
        <w:t> </w:t>
      </w:r>
      <w:r>
        <w:rPr>
          <w:spacing w:val="-8"/>
          <w:sz w:val="22"/>
        </w:rPr>
        <w:t>training,</w:t>
      </w:r>
      <w:r>
        <w:rPr>
          <w:spacing w:val="-6"/>
          <w:sz w:val="22"/>
        </w:rPr>
        <w:t> </w:t>
      </w:r>
      <w:r>
        <w:rPr>
          <w:spacing w:val="-8"/>
          <w:sz w:val="22"/>
        </w:rPr>
        <w:t>research</w:t>
      </w:r>
      <w:r>
        <w:rPr>
          <w:spacing w:val="-5"/>
          <w:sz w:val="22"/>
        </w:rPr>
        <w:t> </w:t>
      </w:r>
      <w:r>
        <w:rPr>
          <w:spacing w:val="-8"/>
          <w:sz w:val="22"/>
        </w:rPr>
        <w:t>project</w:t>
      </w:r>
      <w:r>
        <w:rPr>
          <w:spacing w:val="-6"/>
          <w:sz w:val="22"/>
        </w:rPr>
        <w:t> </w:t>
      </w:r>
      <w:r>
        <w:rPr>
          <w:spacing w:val="-8"/>
          <w:sz w:val="22"/>
        </w:rPr>
        <w:t>in</w:t>
      </w:r>
      <w:r>
        <w:rPr>
          <w:spacing w:val="-6"/>
          <w:sz w:val="22"/>
        </w:rPr>
        <w:t> </w:t>
      </w:r>
      <w:r>
        <w:rPr>
          <w:spacing w:val="-8"/>
          <w:sz w:val="22"/>
        </w:rPr>
        <w:t>academic </w:t>
      </w:r>
      <w:r>
        <w:rPr>
          <w:sz w:val="22"/>
        </w:rPr>
        <w:t>or</w:t>
      </w:r>
      <w:r>
        <w:rPr>
          <w:spacing w:val="-14"/>
          <w:sz w:val="22"/>
        </w:rPr>
        <w:t> </w:t>
      </w:r>
      <w:r>
        <w:rPr>
          <w:sz w:val="22"/>
        </w:rPr>
        <w:t>research</w:t>
      </w:r>
      <w:r>
        <w:rPr>
          <w:spacing w:val="-14"/>
          <w:sz w:val="22"/>
        </w:rPr>
        <w:t> </w:t>
      </w:r>
      <w:r>
        <w:rPr>
          <w:sz w:val="22"/>
        </w:rPr>
        <w:t>institutions</w:t>
      </w:r>
      <w:r>
        <w:rPr>
          <w:spacing w:val="-14"/>
          <w:sz w:val="22"/>
        </w:rPr>
        <w:t> </w:t>
      </w:r>
      <w:r>
        <w:rPr>
          <w:sz w:val="22"/>
        </w:rPr>
        <w:t>and</w:t>
      </w:r>
      <w:r>
        <w:rPr>
          <w:spacing w:val="-13"/>
          <w:sz w:val="22"/>
        </w:rPr>
        <w:t> </w:t>
      </w:r>
      <w:r>
        <w:rPr>
          <w:sz w:val="22"/>
        </w:rPr>
        <w:t>an</w:t>
      </w:r>
      <w:r>
        <w:rPr>
          <w:spacing w:val="-14"/>
          <w:sz w:val="22"/>
        </w:rPr>
        <w:t> </w:t>
      </w:r>
      <w:r>
        <w:rPr>
          <w:sz w:val="22"/>
        </w:rPr>
        <w:t>exposure</w:t>
      </w:r>
      <w:r>
        <w:rPr>
          <w:spacing w:val="-14"/>
          <w:sz w:val="22"/>
        </w:rPr>
        <w:t> </w:t>
      </w:r>
      <w:r>
        <w:rPr>
          <w:sz w:val="22"/>
        </w:rPr>
        <w:t>to</w:t>
      </w:r>
      <w:r>
        <w:rPr>
          <w:spacing w:val="-14"/>
          <w:sz w:val="22"/>
        </w:rPr>
        <w:t> </w:t>
      </w:r>
      <w:r>
        <w:rPr>
          <w:sz w:val="22"/>
        </w:rPr>
        <w:t>foreign </w:t>
      </w:r>
      <w:r>
        <w:rPr>
          <w:spacing w:val="-8"/>
          <w:sz w:val="22"/>
        </w:rPr>
        <w:t>universities</w:t>
      </w:r>
      <w:r>
        <w:rPr>
          <w:spacing w:val="-1"/>
          <w:sz w:val="22"/>
        </w:rPr>
        <w:t> </w:t>
      </w:r>
      <w:r>
        <w:rPr>
          <w:spacing w:val="-8"/>
          <w:sz w:val="22"/>
        </w:rPr>
        <w:t>through</w:t>
      </w:r>
      <w:r>
        <w:rPr>
          <w:spacing w:val="-1"/>
          <w:sz w:val="22"/>
        </w:rPr>
        <w:t> </w:t>
      </w:r>
      <w:r>
        <w:rPr>
          <w:spacing w:val="-8"/>
          <w:sz w:val="22"/>
        </w:rPr>
        <w:t>various</w:t>
      </w:r>
      <w:r>
        <w:rPr>
          <w:spacing w:val="-1"/>
          <w:sz w:val="22"/>
        </w:rPr>
        <w:t> </w:t>
      </w:r>
      <w:r>
        <w:rPr>
          <w:spacing w:val="-8"/>
          <w:sz w:val="22"/>
        </w:rPr>
        <w:t>means</w:t>
      </w:r>
      <w:r>
        <w:rPr>
          <w:spacing w:val="-1"/>
          <w:sz w:val="22"/>
        </w:rPr>
        <w:t> </w:t>
      </w:r>
      <w:r>
        <w:rPr>
          <w:spacing w:val="-8"/>
          <w:sz w:val="22"/>
        </w:rPr>
        <w:t>such</w:t>
      </w:r>
      <w:r>
        <w:rPr>
          <w:spacing w:val="-1"/>
          <w:sz w:val="22"/>
        </w:rPr>
        <w:t> </w:t>
      </w:r>
      <w:r>
        <w:rPr>
          <w:spacing w:val="-8"/>
          <w:sz w:val="22"/>
        </w:rPr>
        <w:t>as</w:t>
      </w:r>
      <w:r>
        <w:rPr>
          <w:spacing w:val="-1"/>
          <w:sz w:val="22"/>
        </w:rPr>
        <w:t> </w:t>
      </w:r>
      <w:r>
        <w:rPr>
          <w:spacing w:val="-8"/>
          <w:sz w:val="22"/>
        </w:rPr>
        <w:t>exchange </w:t>
      </w:r>
      <w:r>
        <w:rPr>
          <w:sz w:val="22"/>
        </w:rPr>
        <w:t>programs. DST, ICSSR and other organisations </w:t>
      </w:r>
      <w:r>
        <w:rPr>
          <w:spacing w:val="-4"/>
          <w:sz w:val="22"/>
        </w:rPr>
        <w:t>can</w:t>
      </w:r>
      <w:r>
        <w:rPr>
          <w:spacing w:val="-6"/>
          <w:sz w:val="22"/>
        </w:rPr>
        <w:t> </w:t>
      </w:r>
      <w:r>
        <w:rPr>
          <w:spacing w:val="-4"/>
          <w:sz w:val="22"/>
        </w:rPr>
        <w:t>fund</w:t>
      </w:r>
      <w:r>
        <w:rPr>
          <w:spacing w:val="-6"/>
          <w:sz w:val="22"/>
        </w:rPr>
        <w:t> </w:t>
      </w:r>
      <w:r>
        <w:rPr>
          <w:spacing w:val="-4"/>
          <w:sz w:val="22"/>
        </w:rPr>
        <w:t>a</w:t>
      </w:r>
      <w:r>
        <w:rPr>
          <w:spacing w:val="-6"/>
          <w:sz w:val="22"/>
        </w:rPr>
        <w:t> </w:t>
      </w:r>
      <w:r>
        <w:rPr>
          <w:spacing w:val="-4"/>
          <w:sz w:val="22"/>
        </w:rPr>
        <w:t>program</w:t>
      </w:r>
      <w:r>
        <w:rPr>
          <w:spacing w:val="-6"/>
          <w:sz w:val="22"/>
        </w:rPr>
        <w:t> </w:t>
      </w:r>
      <w:r>
        <w:rPr>
          <w:spacing w:val="-4"/>
          <w:sz w:val="22"/>
        </w:rPr>
        <w:t>of</w:t>
      </w:r>
      <w:r>
        <w:rPr>
          <w:spacing w:val="-6"/>
          <w:sz w:val="22"/>
        </w:rPr>
        <w:t> </w:t>
      </w:r>
      <w:r>
        <w:rPr>
          <w:spacing w:val="-4"/>
          <w:sz w:val="22"/>
        </w:rPr>
        <w:t>small</w:t>
      </w:r>
      <w:r>
        <w:rPr>
          <w:spacing w:val="-6"/>
          <w:sz w:val="22"/>
        </w:rPr>
        <w:t> </w:t>
      </w:r>
      <w:r>
        <w:rPr>
          <w:spacing w:val="-4"/>
          <w:sz w:val="22"/>
        </w:rPr>
        <w:t>research</w:t>
      </w:r>
      <w:r>
        <w:rPr>
          <w:spacing w:val="-6"/>
          <w:sz w:val="22"/>
        </w:rPr>
        <w:t> </w:t>
      </w:r>
      <w:r>
        <w:rPr>
          <w:spacing w:val="-4"/>
          <w:sz w:val="22"/>
        </w:rPr>
        <w:t>projects</w:t>
      </w:r>
      <w:r>
        <w:rPr>
          <w:spacing w:val="-6"/>
          <w:sz w:val="22"/>
        </w:rPr>
        <w:t> </w:t>
      </w:r>
      <w:r>
        <w:rPr>
          <w:spacing w:val="-4"/>
          <w:sz w:val="22"/>
        </w:rPr>
        <w:t>to</w:t>
      </w:r>
      <w:r>
        <w:rPr>
          <w:spacing w:val="-6"/>
          <w:sz w:val="22"/>
        </w:rPr>
        <w:t> </w:t>
      </w:r>
      <w:r>
        <w:rPr>
          <w:spacing w:val="-4"/>
          <w:sz w:val="22"/>
        </w:rPr>
        <w:t>be </w:t>
      </w:r>
      <w:r>
        <w:rPr>
          <w:sz w:val="22"/>
        </w:rPr>
        <w:t>undertaken at undergraduate level, which would </w:t>
      </w:r>
      <w:r>
        <w:rPr>
          <w:spacing w:val="-4"/>
          <w:sz w:val="22"/>
        </w:rPr>
        <w:t>introduce</w:t>
      </w:r>
      <w:r>
        <w:rPr>
          <w:spacing w:val="-10"/>
          <w:sz w:val="22"/>
        </w:rPr>
        <w:t> </w:t>
      </w:r>
      <w:r>
        <w:rPr>
          <w:spacing w:val="-4"/>
          <w:sz w:val="22"/>
        </w:rPr>
        <w:t>students</w:t>
      </w:r>
      <w:r>
        <w:rPr>
          <w:spacing w:val="-10"/>
          <w:sz w:val="22"/>
        </w:rPr>
        <w:t> </w:t>
      </w:r>
      <w:r>
        <w:rPr>
          <w:spacing w:val="-4"/>
          <w:sz w:val="22"/>
        </w:rPr>
        <w:t>to</w:t>
      </w:r>
      <w:r>
        <w:rPr>
          <w:spacing w:val="-10"/>
          <w:sz w:val="22"/>
        </w:rPr>
        <w:t> </w:t>
      </w:r>
      <w:r>
        <w:rPr>
          <w:spacing w:val="-4"/>
          <w:sz w:val="22"/>
        </w:rPr>
        <w:t>the</w:t>
      </w:r>
      <w:r>
        <w:rPr>
          <w:spacing w:val="-9"/>
          <w:sz w:val="22"/>
        </w:rPr>
        <w:t> </w:t>
      </w:r>
      <w:r>
        <w:rPr>
          <w:spacing w:val="-4"/>
          <w:sz w:val="22"/>
        </w:rPr>
        <w:t>actual</w:t>
      </w:r>
      <w:r>
        <w:rPr>
          <w:spacing w:val="-10"/>
          <w:sz w:val="22"/>
        </w:rPr>
        <w:t> </w:t>
      </w:r>
      <w:r>
        <w:rPr>
          <w:spacing w:val="-4"/>
          <w:sz w:val="22"/>
        </w:rPr>
        <w:t>practice</w:t>
      </w:r>
      <w:r>
        <w:rPr>
          <w:spacing w:val="-10"/>
          <w:sz w:val="22"/>
        </w:rPr>
        <w:t> </w:t>
      </w:r>
      <w:r>
        <w:rPr>
          <w:spacing w:val="-4"/>
          <w:sz w:val="22"/>
        </w:rPr>
        <w:t>of</w:t>
      </w:r>
      <w:r>
        <w:rPr>
          <w:spacing w:val="-10"/>
          <w:sz w:val="22"/>
        </w:rPr>
        <w:t> </w:t>
      </w:r>
      <w:r>
        <w:rPr>
          <w:spacing w:val="-4"/>
          <w:sz w:val="22"/>
        </w:rPr>
        <w:t>research.</w:t>
      </w:r>
    </w:p>
    <w:p>
      <w:pPr>
        <w:pStyle w:val="ListParagraph"/>
        <w:numPr>
          <w:ilvl w:val="2"/>
          <w:numId w:val="47"/>
        </w:numPr>
        <w:tabs>
          <w:tab w:pos="1438" w:val="left" w:leader="none"/>
        </w:tabs>
        <w:spacing w:line="242" w:lineRule="exact" w:before="0" w:after="0"/>
        <w:ind w:left="1438" w:right="0" w:hanging="359"/>
        <w:jc w:val="both"/>
        <w:rPr>
          <w:sz w:val="22"/>
        </w:rPr>
      </w:pPr>
      <w:r>
        <w:rPr>
          <w:spacing w:val="-6"/>
          <w:sz w:val="22"/>
        </w:rPr>
        <w:t>Teachers need</w:t>
      </w:r>
      <w:r>
        <w:rPr>
          <w:spacing w:val="-5"/>
          <w:sz w:val="22"/>
        </w:rPr>
        <w:t> </w:t>
      </w:r>
      <w:r>
        <w:rPr>
          <w:spacing w:val="-6"/>
          <w:sz w:val="22"/>
        </w:rPr>
        <w:t>to be</w:t>
      </w:r>
      <w:r>
        <w:rPr>
          <w:spacing w:val="-5"/>
          <w:sz w:val="22"/>
        </w:rPr>
        <w:t> </w:t>
      </w:r>
      <w:r>
        <w:rPr>
          <w:spacing w:val="-6"/>
          <w:sz w:val="22"/>
        </w:rPr>
        <w:t>trained</w:t>
      </w:r>
      <w:r>
        <w:rPr>
          <w:spacing w:val="-5"/>
          <w:sz w:val="22"/>
        </w:rPr>
        <w:t> </w:t>
      </w:r>
      <w:r>
        <w:rPr>
          <w:spacing w:val="-6"/>
          <w:sz w:val="22"/>
        </w:rPr>
        <w:t>to promote</w:t>
      </w:r>
      <w:r>
        <w:rPr>
          <w:spacing w:val="-5"/>
          <w:sz w:val="22"/>
        </w:rPr>
        <w:t> </w:t>
      </w:r>
      <w:r>
        <w:rPr>
          <w:spacing w:val="-6"/>
          <w:sz w:val="22"/>
        </w:rPr>
        <w:t>research </w:t>
      </w:r>
      <w:r>
        <w:rPr>
          <w:spacing w:val="-6"/>
          <w:sz w:val="22"/>
        </w:rPr>
        <w:t>and</w:t>
      </w:r>
    </w:p>
    <w:p>
      <w:pPr>
        <w:pStyle w:val="BodyText"/>
        <w:spacing w:line="266" w:lineRule="auto" w:before="5"/>
        <w:ind w:left="1439"/>
        <w:jc w:val="both"/>
      </w:pPr>
      <w:r>
        <w:rPr>
          <w:spacing w:val="-4"/>
        </w:rPr>
        <w:t>should</w:t>
      </w:r>
      <w:r>
        <w:rPr>
          <w:spacing w:val="-5"/>
        </w:rPr>
        <w:t> </w:t>
      </w:r>
      <w:r>
        <w:rPr>
          <w:spacing w:val="-4"/>
        </w:rPr>
        <w:t>be</w:t>
      </w:r>
      <w:r>
        <w:rPr>
          <w:spacing w:val="-5"/>
        </w:rPr>
        <w:t> </w:t>
      </w:r>
      <w:r>
        <w:rPr>
          <w:spacing w:val="-4"/>
        </w:rPr>
        <w:t>incentivised</w:t>
      </w:r>
      <w:r>
        <w:rPr>
          <w:spacing w:val="-5"/>
        </w:rPr>
        <w:t> </w:t>
      </w:r>
      <w:r>
        <w:rPr>
          <w:spacing w:val="-4"/>
        </w:rPr>
        <w:t>to</w:t>
      </w:r>
      <w:r>
        <w:rPr>
          <w:spacing w:val="-5"/>
        </w:rPr>
        <w:t> </w:t>
      </w:r>
      <w:r>
        <w:rPr>
          <w:spacing w:val="-4"/>
        </w:rPr>
        <w:t>create</w:t>
      </w:r>
      <w:r>
        <w:rPr>
          <w:spacing w:val="-5"/>
        </w:rPr>
        <w:t> </w:t>
      </w:r>
      <w:r>
        <w:rPr>
          <w:spacing w:val="-4"/>
        </w:rPr>
        <w:t>innovative</w:t>
      </w:r>
      <w:r>
        <w:rPr>
          <w:spacing w:val="-5"/>
        </w:rPr>
        <w:t> </w:t>
      </w:r>
      <w:r>
        <w:rPr>
          <w:spacing w:val="-4"/>
        </w:rPr>
        <w:t>projects </w:t>
      </w:r>
      <w:r>
        <w:rPr/>
        <w:t>where undergrads can participate.</w:t>
      </w:r>
    </w:p>
    <w:p>
      <w:pPr>
        <w:pStyle w:val="ListParagraph"/>
        <w:numPr>
          <w:ilvl w:val="2"/>
          <w:numId w:val="47"/>
        </w:numPr>
        <w:tabs>
          <w:tab w:pos="1439" w:val="left" w:leader="none"/>
        </w:tabs>
        <w:spacing w:line="266" w:lineRule="auto" w:before="0" w:after="0"/>
        <w:ind w:left="1439" w:right="1" w:hanging="360"/>
        <w:jc w:val="both"/>
        <w:rPr>
          <w:sz w:val="22"/>
        </w:rPr>
      </w:pPr>
      <w:r>
        <w:rPr>
          <w:spacing w:val="-6"/>
          <w:sz w:val="22"/>
        </w:rPr>
        <w:t>Exposure to and acquaintance with frontier </w:t>
      </w:r>
      <w:r>
        <w:rPr>
          <w:spacing w:val="-6"/>
          <w:sz w:val="22"/>
        </w:rPr>
        <w:t>research </w:t>
      </w:r>
      <w:r>
        <w:rPr>
          <w:sz w:val="22"/>
        </w:rPr>
        <w:t>should be facilitated.</w:t>
      </w:r>
    </w:p>
    <w:p>
      <w:pPr>
        <w:pStyle w:val="BodyText"/>
        <w:spacing w:before="23"/>
      </w:pPr>
    </w:p>
    <w:p>
      <w:pPr>
        <w:pStyle w:val="BodyText"/>
        <w:tabs>
          <w:tab w:pos="1981" w:val="left" w:leader="none"/>
          <w:tab w:pos="3431" w:val="left" w:leader="none"/>
          <w:tab w:pos="4486" w:val="left" w:leader="none"/>
          <w:tab w:pos="5180" w:val="left" w:leader="none"/>
          <w:tab w:pos="5575" w:val="left" w:leader="none"/>
        </w:tabs>
        <w:spacing w:line="266" w:lineRule="auto" w:before="1"/>
        <w:ind w:left="1080"/>
      </w:pPr>
      <w:r>
        <w:rPr>
          <w:spacing w:val="-2"/>
        </w:rPr>
        <w:t>Overall,</w:t>
      </w:r>
      <w:r>
        <w:rPr/>
        <w:tab/>
      </w:r>
      <w:r>
        <w:rPr>
          <w:spacing w:val="-2"/>
        </w:rPr>
        <w:t>undergraduate</w:t>
      </w:r>
      <w:r>
        <w:rPr/>
        <w:tab/>
      </w:r>
      <w:r>
        <w:rPr>
          <w:spacing w:val="-2"/>
        </w:rPr>
        <w:t>education</w:t>
      </w:r>
      <w:r>
        <w:rPr/>
        <w:tab/>
      </w:r>
      <w:r>
        <w:rPr>
          <w:spacing w:val="-2"/>
        </w:rPr>
        <w:t>needs</w:t>
      </w:r>
      <w:r>
        <w:rPr/>
        <w:tab/>
      </w:r>
      <w:r>
        <w:rPr>
          <w:spacing w:val="-6"/>
        </w:rPr>
        <w:t>to</w:t>
      </w:r>
      <w:r>
        <w:rPr/>
        <w:tab/>
      </w:r>
      <w:r>
        <w:rPr>
          <w:spacing w:val="-10"/>
        </w:rPr>
        <w:t>be </w:t>
      </w:r>
      <w:r>
        <w:rPr/>
        <w:t>strengthened</w:t>
      </w:r>
      <w:r>
        <w:rPr>
          <w:spacing w:val="64"/>
        </w:rPr>
        <w:t> </w:t>
      </w:r>
      <w:r>
        <w:rPr/>
        <w:t>in</w:t>
      </w:r>
      <w:r>
        <w:rPr>
          <w:spacing w:val="64"/>
        </w:rPr>
        <w:t> </w:t>
      </w:r>
      <w:r>
        <w:rPr/>
        <w:t>the</w:t>
      </w:r>
      <w:r>
        <w:rPr>
          <w:spacing w:val="65"/>
        </w:rPr>
        <w:t> </w:t>
      </w:r>
      <w:r>
        <w:rPr/>
        <w:t>country.</w:t>
      </w:r>
      <w:r>
        <w:rPr>
          <w:spacing w:val="64"/>
        </w:rPr>
        <w:t> </w:t>
      </w:r>
      <w:r>
        <w:rPr/>
        <w:t>Creativity</w:t>
      </w:r>
      <w:r>
        <w:rPr>
          <w:spacing w:val="65"/>
        </w:rPr>
        <w:t> </w:t>
      </w:r>
      <w:r>
        <w:rPr/>
        <w:t>should</w:t>
      </w:r>
      <w:r>
        <w:rPr>
          <w:spacing w:val="64"/>
        </w:rPr>
        <w:t> </w:t>
      </w:r>
      <w:r>
        <w:rPr>
          <w:spacing w:val="-5"/>
        </w:rPr>
        <w:t>be</w:t>
      </w:r>
    </w:p>
    <w:p>
      <w:pPr>
        <w:pStyle w:val="BodyText"/>
        <w:spacing w:line="266" w:lineRule="auto" w:before="57"/>
        <w:ind w:left="319" w:right="1077"/>
        <w:jc w:val="both"/>
      </w:pPr>
      <w:r>
        <w:rPr/>
        <w:br w:type="column"/>
      </w:r>
      <w:r>
        <w:rPr/>
        <w:t>encouraged at all levels. A continuum of </w:t>
      </w:r>
      <w:r>
        <w:rPr/>
        <w:t>quality </w:t>
      </w:r>
      <w:r>
        <w:rPr>
          <w:w w:val="90"/>
        </w:rPr>
        <w:t>institutions from the undergraduate level in all disciplines </w:t>
      </w:r>
      <w:r>
        <w:rPr>
          <w:spacing w:val="-4"/>
        </w:rPr>
        <w:t>is required. Residential undergraduate programs should </w:t>
      </w:r>
      <w:r>
        <w:rPr/>
        <w:t>be increased.</w:t>
      </w:r>
    </w:p>
    <w:p>
      <w:pPr>
        <w:pStyle w:val="BodyText"/>
        <w:spacing w:before="24"/>
      </w:pPr>
    </w:p>
    <w:p>
      <w:pPr>
        <w:pStyle w:val="ListParagraph"/>
        <w:numPr>
          <w:ilvl w:val="1"/>
          <w:numId w:val="47"/>
        </w:numPr>
        <w:tabs>
          <w:tab w:pos="661" w:val="left" w:leader="none"/>
        </w:tabs>
        <w:spacing w:line="266" w:lineRule="auto" w:before="0" w:after="0"/>
        <w:ind w:left="319" w:right="1077" w:firstLine="0"/>
        <w:jc w:val="both"/>
        <w:rPr>
          <w:sz w:val="22"/>
        </w:rPr>
      </w:pPr>
      <w:r>
        <w:rPr>
          <w:b/>
          <w:w w:val="90"/>
          <w:sz w:val="22"/>
        </w:rPr>
        <w:t>Post graduate research and training: </w:t>
      </w:r>
      <w:r>
        <w:rPr>
          <w:w w:val="90"/>
          <w:sz w:val="22"/>
        </w:rPr>
        <w:t>To </w:t>
      </w:r>
      <w:r>
        <w:rPr>
          <w:w w:val="90"/>
          <w:sz w:val="22"/>
        </w:rPr>
        <w:t>encourage </w:t>
      </w:r>
      <w:r>
        <w:rPr>
          <w:sz w:val="22"/>
        </w:rPr>
        <w:t>research</w:t>
      </w:r>
      <w:r>
        <w:rPr>
          <w:spacing w:val="-14"/>
          <w:sz w:val="22"/>
        </w:rPr>
        <w:t> </w:t>
      </w:r>
      <w:r>
        <w:rPr>
          <w:sz w:val="22"/>
        </w:rPr>
        <w:t>and</w:t>
      </w:r>
      <w:r>
        <w:rPr>
          <w:spacing w:val="-14"/>
          <w:sz w:val="22"/>
        </w:rPr>
        <w:t> </w:t>
      </w:r>
      <w:r>
        <w:rPr>
          <w:sz w:val="22"/>
        </w:rPr>
        <w:t>innovation</w:t>
      </w:r>
      <w:r>
        <w:rPr>
          <w:spacing w:val="-14"/>
          <w:sz w:val="22"/>
        </w:rPr>
        <w:t> </w:t>
      </w:r>
      <w:r>
        <w:rPr>
          <w:sz w:val="22"/>
        </w:rPr>
        <w:t>at</w:t>
      </w:r>
      <w:r>
        <w:rPr>
          <w:spacing w:val="-13"/>
          <w:sz w:val="22"/>
        </w:rPr>
        <w:t> </w:t>
      </w:r>
      <w:r>
        <w:rPr>
          <w:sz w:val="22"/>
        </w:rPr>
        <w:t>post</w:t>
      </w:r>
      <w:r>
        <w:rPr>
          <w:spacing w:val="-14"/>
          <w:sz w:val="22"/>
        </w:rPr>
        <w:t> </w:t>
      </w:r>
      <w:r>
        <w:rPr>
          <w:sz w:val="22"/>
        </w:rPr>
        <w:t>graduate</w:t>
      </w:r>
      <w:r>
        <w:rPr>
          <w:spacing w:val="-14"/>
          <w:sz w:val="22"/>
        </w:rPr>
        <w:t> </w:t>
      </w:r>
      <w:r>
        <w:rPr>
          <w:sz w:val="22"/>
        </w:rPr>
        <w:t>level,</w:t>
      </w:r>
      <w:r>
        <w:rPr>
          <w:spacing w:val="-14"/>
          <w:sz w:val="22"/>
        </w:rPr>
        <w:t> </w:t>
      </w:r>
      <w:r>
        <w:rPr>
          <w:sz w:val="22"/>
        </w:rPr>
        <w:t>several measures can be undertaken.</w:t>
      </w:r>
    </w:p>
    <w:p>
      <w:pPr>
        <w:pStyle w:val="ListParagraph"/>
        <w:numPr>
          <w:ilvl w:val="2"/>
          <w:numId w:val="47"/>
        </w:numPr>
        <w:tabs>
          <w:tab w:pos="679" w:val="left" w:leader="none"/>
        </w:tabs>
        <w:spacing w:line="266" w:lineRule="auto" w:before="0" w:after="0"/>
        <w:ind w:left="679" w:right="1077" w:hanging="360"/>
        <w:jc w:val="both"/>
        <w:rPr>
          <w:sz w:val="22"/>
        </w:rPr>
      </w:pPr>
      <w:r>
        <w:rPr>
          <w:sz w:val="22"/>
        </w:rPr>
        <w:t>Post graduate students should be given </w:t>
      </w:r>
      <w:r>
        <w:rPr>
          <w:sz w:val="22"/>
        </w:rPr>
        <w:t>the opportunity of spending a semester at research </w:t>
      </w:r>
      <w:r>
        <w:rPr>
          <w:spacing w:val="-2"/>
          <w:sz w:val="22"/>
        </w:rPr>
        <w:t>labs</w:t>
      </w:r>
      <w:r>
        <w:rPr>
          <w:spacing w:val="-10"/>
          <w:sz w:val="22"/>
        </w:rPr>
        <w:t> </w:t>
      </w:r>
      <w:r>
        <w:rPr>
          <w:spacing w:val="-2"/>
          <w:sz w:val="22"/>
        </w:rPr>
        <w:t>or</w:t>
      </w:r>
      <w:r>
        <w:rPr>
          <w:spacing w:val="-10"/>
          <w:sz w:val="22"/>
        </w:rPr>
        <w:t> </w:t>
      </w:r>
      <w:r>
        <w:rPr>
          <w:spacing w:val="-2"/>
          <w:sz w:val="22"/>
        </w:rPr>
        <w:t>other</w:t>
      </w:r>
      <w:r>
        <w:rPr>
          <w:spacing w:val="-10"/>
          <w:sz w:val="22"/>
        </w:rPr>
        <w:t> </w:t>
      </w:r>
      <w:r>
        <w:rPr>
          <w:spacing w:val="-2"/>
          <w:sz w:val="22"/>
        </w:rPr>
        <w:t>Indian</w:t>
      </w:r>
      <w:r>
        <w:rPr>
          <w:spacing w:val="-10"/>
          <w:sz w:val="22"/>
        </w:rPr>
        <w:t> </w:t>
      </w:r>
      <w:r>
        <w:rPr>
          <w:spacing w:val="-2"/>
          <w:sz w:val="22"/>
        </w:rPr>
        <w:t>or</w:t>
      </w:r>
      <w:r>
        <w:rPr>
          <w:spacing w:val="-10"/>
          <w:sz w:val="22"/>
        </w:rPr>
        <w:t> </w:t>
      </w:r>
      <w:r>
        <w:rPr>
          <w:spacing w:val="-2"/>
          <w:sz w:val="22"/>
        </w:rPr>
        <w:t>foreign</w:t>
      </w:r>
      <w:r>
        <w:rPr>
          <w:spacing w:val="-10"/>
          <w:sz w:val="22"/>
        </w:rPr>
        <w:t> </w:t>
      </w:r>
      <w:r>
        <w:rPr>
          <w:spacing w:val="-2"/>
          <w:sz w:val="22"/>
        </w:rPr>
        <w:t>universities,</w:t>
      </w:r>
      <w:r>
        <w:rPr>
          <w:spacing w:val="-10"/>
          <w:sz w:val="22"/>
        </w:rPr>
        <w:t> </w:t>
      </w:r>
      <w:r>
        <w:rPr>
          <w:spacing w:val="-2"/>
          <w:sz w:val="22"/>
        </w:rPr>
        <w:t>outside </w:t>
      </w:r>
      <w:r>
        <w:rPr>
          <w:sz w:val="22"/>
        </w:rPr>
        <w:t>their own university to broaden exposure. The </w:t>
      </w:r>
      <w:r>
        <w:rPr>
          <w:spacing w:val="-6"/>
          <w:sz w:val="22"/>
        </w:rPr>
        <w:t>home universities should facilitate such exposure by </w:t>
      </w:r>
      <w:r>
        <w:rPr>
          <w:sz w:val="22"/>
        </w:rPr>
        <w:t>entering</w:t>
      </w:r>
      <w:r>
        <w:rPr>
          <w:spacing w:val="-11"/>
          <w:sz w:val="22"/>
        </w:rPr>
        <w:t> </w:t>
      </w:r>
      <w:r>
        <w:rPr>
          <w:sz w:val="22"/>
        </w:rPr>
        <w:t>into</w:t>
      </w:r>
      <w:r>
        <w:rPr>
          <w:spacing w:val="-11"/>
          <w:sz w:val="22"/>
        </w:rPr>
        <w:t> </w:t>
      </w:r>
      <w:r>
        <w:rPr>
          <w:sz w:val="22"/>
        </w:rPr>
        <w:t>alliances</w:t>
      </w:r>
      <w:r>
        <w:rPr>
          <w:spacing w:val="-11"/>
          <w:sz w:val="22"/>
        </w:rPr>
        <w:t> </w:t>
      </w:r>
      <w:r>
        <w:rPr>
          <w:sz w:val="22"/>
        </w:rPr>
        <w:t>with</w:t>
      </w:r>
      <w:r>
        <w:rPr>
          <w:spacing w:val="-11"/>
          <w:sz w:val="22"/>
        </w:rPr>
        <w:t> </w:t>
      </w:r>
      <w:r>
        <w:rPr>
          <w:sz w:val="22"/>
        </w:rPr>
        <w:t>other</w:t>
      </w:r>
      <w:r>
        <w:rPr>
          <w:spacing w:val="-11"/>
          <w:sz w:val="22"/>
        </w:rPr>
        <w:t> </w:t>
      </w:r>
      <w:r>
        <w:rPr>
          <w:sz w:val="22"/>
        </w:rPr>
        <w:t>well</w:t>
      </w:r>
      <w:r>
        <w:rPr>
          <w:spacing w:val="-11"/>
          <w:sz w:val="22"/>
        </w:rPr>
        <w:t> </w:t>
      </w:r>
      <w:r>
        <w:rPr>
          <w:sz w:val="22"/>
        </w:rPr>
        <w:t>established places</w:t>
      </w:r>
      <w:r>
        <w:rPr>
          <w:spacing w:val="-14"/>
          <w:sz w:val="22"/>
        </w:rPr>
        <w:t> </w:t>
      </w:r>
      <w:r>
        <w:rPr>
          <w:sz w:val="22"/>
        </w:rPr>
        <w:t>of</w:t>
      </w:r>
      <w:r>
        <w:rPr>
          <w:spacing w:val="-11"/>
          <w:sz w:val="22"/>
        </w:rPr>
        <w:t> </w:t>
      </w:r>
      <w:r>
        <w:rPr>
          <w:sz w:val="22"/>
        </w:rPr>
        <w:t>research.</w:t>
      </w:r>
      <w:r>
        <w:rPr>
          <w:spacing w:val="-14"/>
          <w:sz w:val="22"/>
        </w:rPr>
        <w:t> </w:t>
      </w:r>
      <w:r>
        <w:rPr>
          <w:sz w:val="22"/>
        </w:rPr>
        <w:t>The</w:t>
      </w:r>
      <w:r>
        <w:rPr>
          <w:spacing w:val="-11"/>
          <w:sz w:val="22"/>
        </w:rPr>
        <w:t> </w:t>
      </w:r>
      <w:r>
        <w:rPr>
          <w:sz w:val="22"/>
        </w:rPr>
        <w:t>BITS</w:t>
      </w:r>
      <w:r>
        <w:rPr>
          <w:spacing w:val="-11"/>
          <w:sz w:val="22"/>
        </w:rPr>
        <w:t> </w:t>
      </w:r>
      <w:r>
        <w:rPr>
          <w:sz w:val="22"/>
        </w:rPr>
        <w:t>Pilani</w:t>
      </w:r>
      <w:r>
        <w:rPr>
          <w:spacing w:val="-11"/>
          <w:sz w:val="22"/>
        </w:rPr>
        <w:t> </w:t>
      </w:r>
      <w:r>
        <w:rPr>
          <w:sz w:val="22"/>
        </w:rPr>
        <w:t>program</w:t>
      </w:r>
      <w:r>
        <w:rPr>
          <w:spacing w:val="-11"/>
          <w:sz w:val="22"/>
        </w:rPr>
        <w:t> </w:t>
      </w:r>
      <w:r>
        <w:rPr>
          <w:sz w:val="22"/>
        </w:rPr>
        <w:t>is</w:t>
      </w:r>
      <w:r>
        <w:rPr>
          <w:spacing w:val="-11"/>
          <w:sz w:val="22"/>
        </w:rPr>
        <w:t> </w:t>
      </w:r>
      <w:r>
        <w:rPr>
          <w:sz w:val="22"/>
        </w:rPr>
        <w:t>an excellent</w:t>
      </w:r>
      <w:r>
        <w:rPr>
          <w:spacing w:val="-4"/>
          <w:sz w:val="22"/>
        </w:rPr>
        <w:t> </w:t>
      </w:r>
      <w:r>
        <w:rPr>
          <w:sz w:val="22"/>
        </w:rPr>
        <w:t>example</w:t>
      </w:r>
      <w:r>
        <w:rPr>
          <w:spacing w:val="-4"/>
          <w:sz w:val="22"/>
        </w:rPr>
        <w:t> </w:t>
      </w:r>
      <w:r>
        <w:rPr>
          <w:sz w:val="22"/>
        </w:rPr>
        <w:t>of</w:t>
      </w:r>
      <w:r>
        <w:rPr>
          <w:spacing w:val="-4"/>
          <w:sz w:val="22"/>
        </w:rPr>
        <w:t> </w:t>
      </w:r>
      <w:r>
        <w:rPr>
          <w:sz w:val="22"/>
        </w:rPr>
        <w:t>such</w:t>
      </w:r>
      <w:r>
        <w:rPr>
          <w:spacing w:val="-4"/>
          <w:sz w:val="22"/>
        </w:rPr>
        <w:t> </w:t>
      </w:r>
      <w:r>
        <w:rPr>
          <w:sz w:val="22"/>
        </w:rPr>
        <w:t>an</w:t>
      </w:r>
      <w:r>
        <w:rPr>
          <w:spacing w:val="-4"/>
          <w:sz w:val="22"/>
        </w:rPr>
        <w:t> </w:t>
      </w:r>
      <w:r>
        <w:rPr>
          <w:sz w:val="22"/>
        </w:rPr>
        <w:t>initiative.</w:t>
      </w:r>
    </w:p>
    <w:p>
      <w:pPr>
        <w:pStyle w:val="ListParagraph"/>
        <w:numPr>
          <w:ilvl w:val="2"/>
          <w:numId w:val="47"/>
        </w:numPr>
        <w:tabs>
          <w:tab w:pos="679" w:val="left" w:leader="none"/>
        </w:tabs>
        <w:spacing w:line="266" w:lineRule="auto" w:before="0" w:after="0"/>
        <w:ind w:left="679" w:right="1077" w:hanging="360"/>
        <w:jc w:val="both"/>
        <w:rPr>
          <w:sz w:val="22"/>
        </w:rPr>
      </w:pPr>
      <w:r>
        <w:rPr>
          <w:sz w:val="22"/>
        </w:rPr>
        <w:t>Research projects which have the potential to </w:t>
      </w:r>
      <w:r>
        <w:rPr>
          <w:sz w:val="22"/>
        </w:rPr>
        <w:t>be </w:t>
      </w:r>
      <w:r>
        <w:rPr>
          <w:spacing w:val="-6"/>
          <w:sz w:val="22"/>
        </w:rPr>
        <w:t>extended as doctoral projects need to be encouraged at the post graduate level. Projects should be offered </w:t>
      </w:r>
      <w:r>
        <w:rPr>
          <w:spacing w:val="-4"/>
          <w:sz w:val="22"/>
        </w:rPr>
        <w:t>in emerging areas to retain student interest. Faculty must</w:t>
      </w:r>
      <w:r>
        <w:rPr>
          <w:spacing w:val="-12"/>
          <w:sz w:val="22"/>
        </w:rPr>
        <w:t> </w:t>
      </w:r>
      <w:r>
        <w:rPr>
          <w:spacing w:val="-4"/>
          <w:sz w:val="22"/>
        </w:rPr>
        <w:t>regularly</w:t>
      </w:r>
      <w:r>
        <w:rPr>
          <w:spacing w:val="-10"/>
          <w:sz w:val="22"/>
        </w:rPr>
        <w:t> </w:t>
      </w:r>
      <w:r>
        <w:rPr>
          <w:spacing w:val="-4"/>
          <w:sz w:val="22"/>
        </w:rPr>
        <w:t>update</w:t>
      </w:r>
      <w:r>
        <w:rPr>
          <w:spacing w:val="-10"/>
          <w:sz w:val="22"/>
        </w:rPr>
        <w:t> </w:t>
      </w:r>
      <w:r>
        <w:rPr>
          <w:spacing w:val="-4"/>
          <w:sz w:val="22"/>
        </w:rPr>
        <w:t>themselves</w:t>
      </w:r>
      <w:r>
        <w:rPr>
          <w:spacing w:val="-9"/>
          <w:sz w:val="22"/>
        </w:rPr>
        <w:t> </w:t>
      </w:r>
      <w:r>
        <w:rPr>
          <w:spacing w:val="-4"/>
          <w:sz w:val="22"/>
        </w:rPr>
        <w:t>to</w:t>
      </w:r>
      <w:r>
        <w:rPr>
          <w:spacing w:val="-10"/>
          <w:sz w:val="22"/>
        </w:rPr>
        <w:t> </w:t>
      </w:r>
      <w:r>
        <w:rPr>
          <w:spacing w:val="-4"/>
          <w:sz w:val="22"/>
        </w:rPr>
        <w:t>be</w:t>
      </w:r>
      <w:r>
        <w:rPr>
          <w:spacing w:val="-10"/>
          <w:sz w:val="22"/>
        </w:rPr>
        <w:t> </w:t>
      </w:r>
      <w:r>
        <w:rPr>
          <w:spacing w:val="-4"/>
          <w:sz w:val="22"/>
        </w:rPr>
        <w:t>in</w:t>
      </w:r>
      <w:r>
        <w:rPr>
          <w:spacing w:val="-10"/>
          <w:sz w:val="22"/>
        </w:rPr>
        <w:t> </w:t>
      </w:r>
      <w:r>
        <w:rPr>
          <w:spacing w:val="-4"/>
          <w:sz w:val="22"/>
        </w:rPr>
        <w:t>a</w:t>
      </w:r>
      <w:r>
        <w:rPr>
          <w:spacing w:val="-9"/>
          <w:sz w:val="22"/>
        </w:rPr>
        <w:t> </w:t>
      </w:r>
      <w:r>
        <w:rPr>
          <w:spacing w:val="-4"/>
          <w:sz w:val="22"/>
        </w:rPr>
        <w:t>position </w:t>
      </w:r>
      <w:r>
        <w:rPr>
          <w:sz w:val="22"/>
        </w:rPr>
        <w:t>to</w:t>
      </w:r>
      <w:r>
        <w:rPr>
          <w:spacing w:val="-10"/>
          <w:sz w:val="22"/>
        </w:rPr>
        <w:t> </w:t>
      </w:r>
      <w:r>
        <w:rPr>
          <w:sz w:val="22"/>
        </w:rPr>
        <w:t>guide</w:t>
      </w:r>
      <w:r>
        <w:rPr>
          <w:spacing w:val="-10"/>
          <w:sz w:val="22"/>
        </w:rPr>
        <w:t> </w:t>
      </w:r>
      <w:r>
        <w:rPr>
          <w:sz w:val="22"/>
        </w:rPr>
        <w:t>students.</w:t>
      </w:r>
      <w:r>
        <w:rPr>
          <w:spacing w:val="-10"/>
          <w:sz w:val="22"/>
        </w:rPr>
        <w:t> </w:t>
      </w:r>
      <w:r>
        <w:rPr>
          <w:sz w:val="22"/>
        </w:rPr>
        <w:t>Group</w:t>
      </w:r>
      <w:r>
        <w:rPr>
          <w:spacing w:val="-10"/>
          <w:sz w:val="22"/>
        </w:rPr>
        <w:t> </w:t>
      </w:r>
      <w:r>
        <w:rPr>
          <w:sz w:val="22"/>
        </w:rPr>
        <w:t>research</w:t>
      </w:r>
      <w:r>
        <w:rPr>
          <w:spacing w:val="-10"/>
          <w:sz w:val="22"/>
        </w:rPr>
        <w:t> </w:t>
      </w:r>
      <w:r>
        <w:rPr>
          <w:sz w:val="22"/>
        </w:rPr>
        <w:t>projects</w:t>
      </w:r>
      <w:r>
        <w:rPr>
          <w:spacing w:val="-10"/>
          <w:sz w:val="22"/>
        </w:rPr>
        <w:t> </w:t>
      </w:r>
      <w:r>
        <w:rPr>
          <w:sz w:val="22"/>
        </w:rPr>
        <w:t>among </w:t>
      </w:r>
      <w:r>
        <w:rPr>
          <w:spacing w:val="-4"/>
          <w:sz w:val="22"/>
        </w:rPr>
        <w:t>post</w:t>
      </w:r>
      <w:r>
        <w:rPr>
          <w:spacing w:val="-5"/>
          <w:sz w:val="22"/>
        </w:rPr>
        <w:t> </w:t>
      </w:r>
      <w:r>
        <w:rPr>
          <w:spacing w:val="-4"/>
          <w:sz w:val="22"/>
        </w:rPr>
        <w:t>graduate</w:t>
      </w:r>
      <w:r>
        <w:rPr>
          <w:spacing w:val="-5"/>
          <w:sz w:val="22"/>
        </w:rPr>
        <w:t> </w:t>
      </w:r>
      <w:r>
        <w:rPr>
          <w:spacing w:val="-4"/>
          <w:sz w:val="22"/>
        </w:rPr>
        <w:t>students</w:t>
      </w:r>
      <w:r>
        <w:rPr>
          <w:spacing w:val="-5"/>
          <w:sz w:val="22"/>
        </w:rPr>
        <w:t> </w:t>
      </w:r>
      <w:r>
        <w:rPr>
          <w:spacing w:val="-4"/>
          <w:sz w:val="22"/>
        </w:rPr>
        <w:t>will</w:t>
      </w:r>
      <w:r>
        <w:rPr>
          <w:spacing w:val="-5"/>
          <w:sz w:val="22"/>
        </w:rPr>
        <w:t> </w:t>
      </w:r>
      <w:r>
        <w:rPr>
          <w:spacing w:val="-4"/>
          <w:sz w:val="22"/>
        </w:rPr>
        <w:t>create</w:t>
      </w:r>
      <w:r>
        <w:rPr>
          <w:spacing w:val="-5"/>
          <w:sz w:val="22"/>
        </w:rPr>
        <w:t> </w:t>
      </w:r>
      <w:r>
        <w:rPr>
          <w:spacing w:val="-4"/>
          <w:sz w:val="22"/>
        </w:rPr>
        <w:t>more</w:t>
      </w:r>
      <w:r>
        <w:rPr>
          <w:spacing w:val="-5"/>
          <w:sz w:val="22"/>
        </w:rPr>
        <w:t> </w:t>
      </w:r>
      <w:r>
        <w:rPr>
          <w:spacing w:val="-4"/>
          <w:sz w:val="22"/>
        </w:rPr>
        <w:t>interest</w:t>
      </w:r>
      <w:r>
        <w:rPr>
          <w:spacing w:val="-5"/>
          <w:sz w:val="22"/>
        </w:rPr>
        <w:t> </w:t>
      </w:r>
      <w:r>
        <w:rPr>
          <w:spacing w:val="-4"/>
          <w:sz w:val="22"/>
        </w:rPr>
        <w:t>and </w:t>
      </w:r>
      <w:r>
        <w:rPr>
          <w:sz w:val="22"/>
        </w:rPr>
        <w:t>add enthusiasm towards research.</w:t>
      </w:r>
    </w:p>
    <w:p>
      <w:pPr>
        <w:pStyle w:val="ListParagraph"/>
        <w:numPr>
          <w:ilvl w:val="2"/>
          <w:numId w:val="47"/>
        </w:numPr>
        <w:tabs>
          <w:tab w:pos="679" w:val="left" w:leader="none"/>
        </w:tabs>
        <w:spacing w:line="266" w:lineRule="auto" w:before="0" w:after="0"/>
        <w:ind w:left="679" w:right="1077" w:hanging="360"/>
        <w:jc w:val="both"/>
        <w:rPr>
          <w:sz w:val="22"/>
        </w:rPr>
      </w:pPr>
      <w:r>
        <w:rPr>
          <w:sz w:val="22"/>
        </w:rPr>
        <w:t>Reduction of course load with a </w:t>
      </w:r>
      <w:r>
        <w:rPr>
          <w:sz w:val="22"/>
        </w:rPr>
        <w:t>corresponding </w:t>
      </w:r>
      <w:r>
        <w:rPr>
          <w:spacing w:val="-6"/>
          <w:sz w:val="22"/>
        </w:rPr>
        <w:t>increase</w:t>
      </w:r>
      <w:r>
        <w:rPr>
          <w:spacing w:val="-7"/>
          <w:sz w:val="22"/>
        </w:rPr>
        <w:t> </w:t>
      </w:r>
      <w:r>
        <w:rPr>
          <w:spacing w:val="-6"/>
          <w:sz w:val="22"/>
        </w:rPr>
        <w:t>in</w:t>
      </w:r>
      <w:r>
        <w:rPr>
          <w:spacing w:val="-7"/>
          <w:sz w:val="22"/>
        </w:rPr>
        <w:t> </w:t>
      </w:r>
      <w:r>
        <w:rPr>
          <w:spacing w:val="-6"/>
          <w:sz w:val="22"/>
        </w:rPr>
        <w:t>the</w:t>
      </w:r>
      <w:r>
        <w:rPr>
          <w:spacing w:val="-7"/>
          <w:sz w:val="22"/>
        </w:rPr>
        <w:t> </w:t>
      </w:r>
      <w:r>
        <w:rPr>
          <w:spacing w:val="-6"/>
          <w:sz w:val="22"/>
        </w:rPr>
        <w:t>research</w:t>
      </w:r>
      <w:r>
        <w:rPr>
          <w:spacing w:val="-7"/>
          <w:sz w:val="22"/>
        </w:rPr>
        <w:t> </w:t>
      </w:r>
      <w:r>
        <w:rPr>
          <w:spacing w:val="-6"/>
          <w:sz w:val="22"/>
        </w:rPr>
        <w:t>component</w:t>
      </w:r>
      <w:r>
        <w:rPr>
          <w:spacing w:val="-7"/>
          <w:sz w:val="22"/>
        </w:rPr>
        <w:t> </w:t>
      </w:r>
      <w:r>
        <w:rPr>
          <w:spacing w:val="-6"/>
          <w:sz w:val="22"/>
        </w:rPr>
        <w:t>for</w:t>
      </w:r>
      <w:r>
        <w:rPr>
          <w:spacing w:val="-7"/>
          <w:sz w:val="22"/>
        </w:rPr>
        <w:t> </w:t>
      </w:r>
      <w:r>
        <w:rPr>
          <w:spacing w:val="-6"/>
          <w:sz w:val="22"/>
        </w:rPr>
        <w:t>students</w:t>
      </w:r>
      <w:r>
        <w:rPr>
          <w:spacing w:val="-7"/>
          <w:sz w:val="22"/>
        </w:rPr>
        <w:t> </w:t>
      </w:r>
      <w:r>
        <w:rPr>
          <w:spacing w:val="-6"/>
          <w:sz w:val="22"/>
        </w:rPr>
        <w:t>who </w:t>
      </w:r>
      <w:r>
        <w:rPr>
          <w:sz w:val="22"/>
        </w:rPr>
        <w:t>show deep interest and commitment to research would incite potential doctoral students.</w:t>
      </w:r>
    </w:p>
    <w:p>
      <w:pPr>
        <w:pStyle w:val="ListParagraph"/>
        <w:numPr>
          <w:ilvl w:val="2"/>
          <w:numId w:val="47"/>
        </w:numPr>
        <w:tabs>
          <w:tab w:pos="679" w:val="left" w:leader="none"/>
        </w:tabs>
        <w:spacing w:line="266" w:lineRule="auto" w:before="0" w:after="0"/>
        <w:ind w:left="679" w:right="1077" w:hanging="360"/>
        <w:jc w:val="both"/>
        <w:rPr>
          <w:sz w:val="22"/>
        </w:rPr>
      </w:pPr>
      <w:r>
        <w:rPr>
          <w:sz w:val="22"/>
        </w:rPr>
        <w:t>Post-graduate courses in Social Sciences </w:t>
      </w:r>
      <w:r>
        <w:rPr>
          <w:sz w:val="22"/>
        </w:rPr>
        <w:t>and Humanities</w:t>
      </w:r>
      <w:r>
        <w:rPr>
          <w:spacing w:val="35"/>
          <w:sz w:val="22"/>
        </w:rPr>
        <w:t> </w:t>
      </w:r>
      <w:r>
        <w:rPr>
          <w:sz w:val="22"/>
        </w:rPr>
        <w:t>should</w:t>
      </w:r>
      <w:r>
        <w:rPr>
          <w:spacing w:val="35"/>
          <w:sz w:val="22"/>
        </w:rPr>
        <w:t> </w:t>
      </w:r>
      <w:r>
        <w:rPr>
          <w:sz w:val="22"/>
        </w:rPr>
        <w:t>have</w:t>
      </w:r>
      <w:r>
        <w:rPr>
          <w:spacing w:val="35"/>
          <w:sz w:val="22"/>
        </w:rPr>
        <w:t> </w:t>
      </w:r>
      <w:r>
        <w:rPr>
          <w:sz w:val="22"/>
        </w:rPr>
        <w:t>a</w:t>
      </w:r>
      <w:r>
        <w:rPr>
          <w:spacing w:val="35"/>
          <w:sz w:val="22"/>
        </w:rPr>
        <w:t> </w:t>
      </w:r>
      <w:r>
        <w:rPr>
          <w:sz w:val="22"/>
        </w:rPr>
        <w:t>component</w:t>
      </w:r>
      <w:r>
        <w:rPr>
          <w:spacing w:val="35"/>
          <w:sz w:val="22"/>
        </w:rPr>
        <w:t> </w:t>
      </w:r>
      <w:r>
        <w:rPr>
          <w:sz w:val="22"/>
        </w:rPr>
        <w:t>(perhaps a full course or paper) that requires either desk- </w:t>
      </w:r>
      <w:r>
        <w:rPr>
          <w:spacing w:val="-2"/>
          <w:sz w:val="22"/>
        </w:rPr>
        <w:t>based</w:t>
      </w:r>
      <w:r>
        <w:rPr>
          <w:spacing w:val="-12"/>
          <w:sz w:val="22"/>
        </w:rPr>
        <w:t> </w:t>
      </w:r>
      <w:r>
        <w:rPr>
          <w:spacing w:val="-2"/>
          <w:sz w:val="22"/>
        </w:rPr>
        <w:t>or</w:t>
      </w:r>
      <w:r>
        <w:rPr>
          <w:spacing w:val="-12"/>
          <w:sz w:val="22"/>
        </w:rPr>
        <w:t> </w:t>
      </w:r>
      <w:r>
        <w:rPr>
          <w:spacing w:val="-2"/>
          <w:sz w:val="22"/>
        </w:rPr>
        <w:t>field</w:t>
      </w:r>
      <w:r>
        <w:rPr>
          <w:spacing w:val="-11"/>
          <w:sz w:val="22"/>
        </w:rPr>
        <w:t> </w:t>
      </w:r>
      <w:r>
        <w:rPr>
          <w:spacing w:val="-2"/>
          <w:sz w:val="22"/>
        </w:rPr>
        <w:t>research,</w:t>
      </w:r>
      <w:r>
        <w:rPr>
          <w:spacing w:val="-12"/>
          <w:sz w:val="22"/>
        </w:rPr>
        <w:t> </w:t>
      </w:r>
      <w:r>
        <w:rPr>
          <w:spacing w:val="-2"/>
          <w:sz w:val="22"/>
        </w:rPr>
        <w:t>which</w:t>
      </w:r>
      <w:r>
        <w:rPr>
          <w:spacing w:val="-12"/>
          <w:sz w:val="22"/>
        </w:rPr>
        <w:t> </w:t>
      </w:r>
      <w:r>
        <w:rPr>
          <w:spacing w:val="-2"/>
          <w:sz w:val="22"/>
        </w:rPr>
        <w:t>could</w:t>
      </w:r>
      <w:r>
        <w:rPr>
          <w:spacing w:val="-11"/>
          <w:sz w:val="22"/>
        </w:rPr>
        <w:t> </w:t>
      </w:r>
      <w:r>
        <w:rPr>
          <w:spacing w:val="-2"/>
          <w:sz w:val="22"/>
        </w:rPr>
        <w:t>be</w:t>
      </w:r>
      <w:r>
        <w:rPr>
          <w:spacing w:val="-12"/>
          <w:sz w:val="22"/>
        </w:rPr>
        <w:t> </w:t>
      </w:r>
      <w:r>
        <w:rPr>
          <w:spacing w:val="-2"/>
          <w:sz w:val="22"/>
        </w:rPr>
        <w:t>an</w:t>
      </w:r>
      <w:r>
        <w:rPr>
          <w:spacing w:val="-12"/>
          <w:sz w:val="22"/>
        </w:rPr>
        <w:t> </w:t>
      </w:r>
      <w:r>
        <w:rPr>
          <w:spacing w:val="-2"/>
          <w:sz w:val="22"/>
        </w:rPr>
        <w:t>optional choice.</w:t>
      </w:r>
    </w:p>
    <w:p>
      <w:pPr>
        <w:pStyle w:val="ListParagraph"/>
        <w:numPr>
          <w:ilvl w:val="2"/>
          <w:numId w:val="47"/>
        </w:numPr>
        <w:tabs>
          <w:tab w:pos="679" w:val="left" w:leader="none"/>
        </w:tabs>
        <w:spacing w:line="266" w:lineRule="auto" w:before="0" w:after="0"/>
        <w:ind w:left="679" w:right="1077" w:hanging="360"/>
        <w:jc w:val="both"/>
        <w:rPr>
          <w:sz w:val="22"/>
        </w:rPr>
      </w:pPr>
      <w:r>
        <w:rPr>
          <w:sz w:val="22"/>
        </w:rPr>
        <w:t>All post-graduate departments should </w:t>
      </w:r>
      <w:r>
        <w:rPr>
          <w:sz w:val="22"/>
        </w:rPr>
        <w:t>organise and hold regular research seminars, and students should be encouraged to attend these. Programs </w:t>
      </w:r>
      <w:r>
        <w:rPr>
          <w:spacing w:val="-2"/>
          <w:sz w:val="22"/>
        </w:rPr>
        <w:t>that</w:t>
      </w:r>
      <w:r>
        <w:rPr>
          <w:spacing w:val="-10"/>
          <w:sz w:val="22"/>
        </w:rPr>
        <w:t> </w:t>
      </w:r>
      <w:r>
        <w:rPr>
          <w:spacing w:val="-2"/>
          <w:sz w:val="22"/>
        </w:rPr>
        <w:t>facilitate</w:t>
      </w:r>
      <w:r>
        <w:rPr>
          <w:spacing w:val="-10"/>
          <w:sz w:val="22"/>
        </w:rPr>
        <w:t> </w:t>
      </w:r>
      <w:r>
        <w:rPr>
          <w:spacing w:val="-2"/>
          <w:sz w:val="22"/>
        </w:rPr>
        <w:t>establishing</w:t>
      </w:r>
      <w:r>
        <w:rPr>
          <w:spacing w:val="-10"/>
          <w:sz w:val="22"/>
        </w:rPr>
        <w:t> </w:t>
      </w:r>
      <w:r>
        <w:rPr>
          <w:spacing w:val="-2"/>
          <w:sz w:val="22"/>
        </w:rPr>
        <w:t>links</w:t>
      </w:r>
      <w:r>
        <w:rPr>
          <w:spacing w:val="-10"/>
          <w:sz w:val="22"/>
        </w:rPr>
        <w:t> </w:t>
      </w:r>
      <w:r>
        <w:rPr>
          <w:spacing w:val="-2"/>
          <w:sz w:val="22"/>
        </w:rPr>
        <w:t>between</w:t>
      </w:r>
      <w:r>
        <w:rPr>
          <w:spacing w:val="-10"/>
          <w:sz w:val="22"/>
        </w:rPr>
        <w:t> </w:t>
      </w:r>
      <w:r>
        <w:rPr>
          <w:spacing w:val="-2"/>
          <w:sz w:val="22"/>
        </w:rPr>
        <w:t>interested post</w:t>
      </w:r>
      <w:r>
        <w:rPr>
          <w:spacing w:val="-12"/>
          <w:sz w:val="22"/>
        </w:rPr>
        <w:t> </w:t>
      </w:r>
      <w:r>
        <w:rPr>
          <w:spacing w:val="-2"/>
          <w:sz w:val="22"/>
        </w:rPr>
        <w:t>graduate</w:t>
      </w:r>
      <w:r>
        <w:rPr>
          <w:spacing w:val="-12"/>
          <w:sz w:val="22"/>
        </w:rPr>
        <w:t> </w:t>
      </w:r>
      <w:r>
        <w:rPr>
          <w:spacing w:val="-2"/>
          <w:sz w:val="22"/>
        </w:rPr>
        <w:t>students</w:t>
      </w:r>
      <w:r>
        <w:rPr>
          <w:spacing w:val="-12"/>
          <w:sz w:val="22"/>
        </w:rPr>
        <w:t> </w:t>
      </w:r>
      <w:r>
        <w:rPr>
          <w:spacing w:val="-2"/>
          <w:sz w:val="22"/>
        </w:rPr>
        <w:t>and</w:t>
      </w:r>
      <w:r>
        <w:rPr>
          <w:spacing w:val="-11"/>
          <w:sz w:val="22"/>
        </w:rPr>
        <w:t> </w:t>
      </w:r>
      <w:r>
        <w:rPr>
          <w:spacing w:val="-2"/>
          <w:sz w:val="22"/>
        </w:rPr>
        <w:t>their</w:t>
      </w:r>
      <w:r>
        <w:rPr>
          <w:spacing w:val="-12"/>
          <w:sz w:val="22"/>
        </w:rPr>
        <w:t> </w:t>
      </w:r>
      <w:r>
        <w:rPr>
          <w:spacing w:val="-2"/>
          <w:sz w:val="22"/>
        </w:rPr>
        <w:t>prospective</w:t>
      </w:r>
      <w:r>
        <w:rPr>
          <w:spacing w:val="-12"/>
          <w:sz w:val="22"/>
        </w:rPr>
        <w:t> </w:t>
      </w:r>
      <w:r>
        <w:rPr>
          <w:spacing w:val="-2"/>
          <w:sz w:val="22"/>
        </w:rPr>
        <w:t>guides </w:t>
      </w:r>
      <w:r>
        <w:rPr>
          <w:sz w:val="22"/>
        </w:rPr>
        <w:t>should be encouraged.</w:t>
      </w:r>
    </w:p>
    <w:p>
      <w:pPr>
        <w:pStyle w:val="ListParagraph"/>
        <w:numPr>
          <w:ilvl w:val="1"/>
          <w:numId w:val="47"/>
        </w:numPr>
        <w:tabs>
          <w:tab w:pos="715" w:val="left" w:leader="none"/>
        </w:tabs>
        <w:spacing w:line="266" w:lineRule="auto" w:before="253" w:after="0"/>
        <w:ind w:left="319" w:right="1077" w:firstLine="0"/>
        <w:jc w:val="both"/>
        <w:rPr>
          <w:sz w:val="22"/>
        </w:rPr>
      </w:pPr>
      <w:r>
        <w:rPr>
          <w:b/>
          <w:sz w:val="22"/>
        </w:rPr>
        <w:t>Integrated</w:t>
      </w:r>
      <w:r>
        <w:rPr>
          <w:b/>
          <w:spacing w:val="-14"/>
          <w:sz w:val="22"/>
        </w:rPr>
        <w:t> </w:t>
      </w:r>
      <w:r>
        <w:rPr>
          <w:b/>
          <w:sz w:val="22"/>
        </w:rPr>
        <w:t>doctoral</w:t>
      </w:r>
      <w:r>
        <w:rPr>
          <w:b/>
          <w:spacing w:val="-14"/>
          <w:sz w:val="22"/>
        </w:rPr>
        <w:t> </w:t>
      </w:r>
      <w:r>
        <w:rPr>
          <w:b/>
          <w:sz w:val="22"/>
        </w:rPr>
        <w:t>programs:</w:t>
      </w:r>
      <w:r>
        <w:rPr>
          <w:b/>
          <w:spacing w:val="-14"/>
          <w:sz w:val="22"/>
        </w:rPr>
        <w:t> </w:t>
      </w:r>
      <w:r>
        <w:rPr>
          <w:sz w:val="22"/>
        </w:rPr>
        <w:t>There</w:t>
      </w:r>
      <w:r>
        <w:rPr>
          <w:spacing w:val="-13"/>
          <w:sz w:val="22"/>
        </w:rPr>
        <w:t> </w:t>
      </w:r>
      <w:r>
        <w:rPr>
          <w:sz w:val="22"/>
        </w:rPr>
        <w:t>should</w:t>
      </w:r>
      <w:r>
        <w:rPr>
          <w:spacing w:val="-14"/>
          <w:sz w:val="22"/>
        </w:rPr>
        <w:t> </w:t>
      </w:r>
      <w:r>
        <w:rPr>
          <w:sz w:val="22"/>
        </w:rPr>
        <w:t>be flexibility of moving from undergraduate degree to a Ph.D</w:t>
      </w:r>
      <w:r>
        <w:rPr>
          <w:spacing w:val="-14"/>
          <w:sz w:val="22"/>
        </w:rPr>
        <w:t> </w:t>
      </w:r>
      <w:r>
        <w:rPr>
          <w:sz w:val="22"/>
        </w:rPr>
        <w:t>degree</w:t>
      </w:r>
      <w:r>
        <w:rPr>
          <w:spacing w:val="-14"/>
          <w:sz w:val="22"/>
        </w:rPr>
        <w:t> </w:t>
      </w:r>
      <w:r>
        <w:rPr>
          <w:sz w:val="22"/>
        </w:rPr>
        <w:t>when</w:t>
      </w:r>
      <w:r>
        <w:rPr>
          <w:spacing w:val="-14"/>
          <w:sz w:val="22"/>
        </w:rPr>
        <w:t> </w:t>
      </w:r>
      <w:r>
        <w:rPr>
          <w:sz w:val="22"/>
        </w:rPr>
        <w:t>substantial</w:t>
      </w:r>
      <w:r>
        <w:rPr>
          <w:spacing w:val="-13"/>
          <w:sz w:val="22"/>
        </w:rPr>
        <w:t> </w:t>
      </w:r>
      <w:r>
        <w:rPr>
          <w:sz w:val="22"/>
        </w:rPr>
        <w:t>interest</w:t>
      </w:r>
      <w:r>
        <w:rPr>
          <w:spacing w:val="-14"/>
          <w:sz w:val="22"/>
        </w:rPr>
        <w:t> </w:t>
      </w:r>
      <w:r>
        <w:rPr>
          <w:sz w:val="22"/>
        </w:rPr>
        <w:t>and</w:t>
      </w:r>
      <w:r>
        <w:rPr>
          <w:spacing w:val="-14"/>
          <w:sz w:val="22"/>
        </w:rPr>
        <w:t> </w:t>
      </w:r>
      <w:r>
        <w:rPr>
          <w:sz w:val="22"/>
        </w:rPr>
        <w:t>aptitude</w:t>
      </w:r>
      <w:r>
        <w:rPr>
          <w:spacing w:val="-14"/>
          <w:sz w:val="22"/>
        </w:rPr>
        <w:t> </w:t>
      </w:r>
      <w:r>
        <w:rPr>
          <w:sz w:val="22"/>
        </w:rPr>
        <w:t>for </w:t>
      </w:r>
      <w:r>
        <w:rPr>
          <w:spacing w:val="-8"/>
          <w:sz w:val="22"/>
        </w:rPr>
        <w:t>research</w:t>
      </w:r>
      <w:r>
        <w:rPr>
          <w:spacing w:val="-6"/>
          <w:sz w:val="22"/>
        </w:rPr>
        <w:t> </w:t>
      </w:r>
      <w:r>
        <w:rPr>
          <w:spacing w:val="-8"/>
          <w:sz w:val="22"/>
        </w:rPr>
        <w:t>has</w:t>
      </w:r>
      <w:r>
        <w:rPr>
          <w:spacing w:val="-6"/>
          <w:sz w:val="22"/>
        </w:rPr>
        <w:t> </w:t>
      </w:r>
      <w:r>
        <w:rPr>
          <w:spacing w:val="-8"/>
          <w:sz w:val="22"/>
        </w:rPr>
        <w:t>been</w:t>
      </w:r>
      <w:r>
        <w:rPr>
          <w:spacing w:val="-6"/>
          <w:sz w:val="22"/>
        </w:rPr>
        <w:t> </w:t>
      </w:r>
      <w:r>
        <w:rPr>
          <w:spacing w:val="-8"/>
          <w:sz w:val="22"/>
        </w:rPr>
        <w:t>shown</w:t>
      </w:r>
      <w:r>
        <w:rPr>
          <w:spacing w:val="-5"/>
          <w:sz w:val="22"/>
        </w:rPr>
        <w:t> </w:t>
      </w:r>
      <w:r>
        <w:rPr>
          <w:spacing w:val="-8"/>
          <w:sz w:val="22"/>
        </w:rPr>
        <w:t>at</w:t>
      </w:r>
      <w:r>
        <w:rPr>
          <w:spacing w:val="-6"/>
          <w:sz w:val="22"/>
        </w:rPr>
        <w:t> </w:t>
      </w:r>
      <w:r>
        <w:rPr>
          <w:spacing w:val="-8"/>
          <w:sz w:val="22"/>
        </w:rPr>
        <w:t>the</w:t>
      </w:r>
      <w:r>
        <w:rPr>
          <w:spacing w:val="-6"/>
          <w:sz w:val="22"/>
        </w:rPr>
        <w:t> </w:t>
      </w:r>
      <w:r>
        <w:rPr>
          <w:spacing w:val="-8"/>
          <w:sz w:val="22"/>
        </w:rPr>
        <w:t>undergraduate</w:t>
      </w:r>
      <w:r>
        <w:rPr>
          <w:spacing w:val="-6"/>
          <w:sz w:val="22"/>
        </w:rPr>
        <w:t> </w:t>
      </w:r>
      <w:r>
        <w:rPr>
          <w:spacing w:val="-8"/>
          <w:sz w:val="22"/>
        </w:rPr>
        <w:t>level</w:t>
      </w:r>
      <w:r>
        <w:rPr>
          <w:spacing w:val="-5"/>
          <w:sz w:val="22"/>
        </w:rPr>
        <w:t> </w:t>
      </w:r>
      <w:r>
        <w:rPr>
          <w:spacing w:val="-8"/>
          <w:sz w:val="22"/>
        </w:rPr>
        <w:t>by</w:t>
      </w:r>
      <w:r>
        <w:rPr>
          <w:spacing w:val="-6"/>
          <w:sz w:val="22"/>
        </w:rPr>
        <w:t> </w:t>
      </w:r>
      <w:r>
        <w:rPr>
          <w:spacing w:val="-8"/>
          <w:sz w:val="22"/>
        </w:rPr>
        <w:t>the </w:t>
      </w:r>
      <w:r>
        <w:rPr>
          <w:spacing w:val="-2"/>
          <w:sz w:val="22"/>
        </w:rPr>
        <w:t>student.</w:t>
      </w:r>
      <w:r>
        <w:rPr>
          <w:spacing w:val="-12"/>
          <w:sz w:val="22"/>
        </w:rPr>
        <w:t> </w:t>
      </w:r>
      <w:r>
        <w:rPr>
          <w:spacing w:val="-2"/>
          <w:sz w:val="22"/>
        </w:rPr>
        <w:t>S.N.</w:t>
      </w:r>
      <w:r>
        <w:rPr>
          <w:spacing w:val="-12"/>
          <w:sz w:val="22"/>
        </w:rPr>
        <w:t> </w:t>
      </w:r>
      <w:r>
        <w:rPr>
          <w:spacing w:val="-2"/>
          <w:sz w:val="22"/>
        </w:rPr>
        <w:t>Bose</w:t>
      </w:r>
      <w:r>
        <w:rPr>
          <w:spacing w:val="-12"/>
          <w:sz w:val="22"/>
        </w:rPr>
        <w:t> </w:t>
      </w:r>
      <w:r>
        <w:rPr>
          <w:spacing w:val="-2"/>
          <w:sz w:val="22"/>
        </w:rPr>
        <w:t>Centre</w:t>
      </w:r>
      <w:r>
        <w:rPr>
          <w:spacing w:val="-11"/>
          <w:sz w:val="22"/>
        </w:rPr>
        <w:t> </w:t>
      </w:r>
      <w:r>
        <w:rPr>
          <w:spacing w:val="-2"/>
          <w:sz w:val="22"/>
        </w:rPr>
        <w:t>for</w:t>
      </w:r>
      <w:r>
        <w:rPr>
          <w:spacing w:val="-12"/>
          <w:sz w:val="22"/>
        </w:rPr>
        <w:t> </w:t>
      </w:r>
      <w:r>
        <w:rPr>
          <w:spacing w:val="-2"/>
          <w:sz w:val="22"/>
        </w:rPr>
        <w:t>Basic</w:t>
      </w:r>
      <w:r>
        <w:rPr>
          <w:spacing w:val="-12"/>
          <w:sz w:val="22"/>
        </w:rPr>
        <w:t> </w:t>
      </w:r>
      <w:r>
        <w:rPr>
          <w:spacing w:val="-2"/>
          <w:sz w:val="22"/>
        </w:rPr>
        <w:t>Sciences</w:t>
      </w:r>
      <w:r>
        <w:rPr>
          <w:spacing w:val="-12"/>
          <w:sz w:val="22"/>
        </w:rPr>
        <w:t> </w:t>
      </w:r>
      <w:r>
        <w:rPr>
          <w:spacing w:val="-2"/>
          <w:sz w:val="22"/>
        </w:rPr>
        <w:t>runs</w:t>
      </w:r>
      <w:r>
        <w:rPr>
          <w:spacing w:val="-11"/>
          <w:sz w:val="22"/>
        </w:rPr>
        <w:t> </w:t>
      </w:r>
      <w:r>
        <w:rPr>
          <w:spacing w:val="-2"/>
          <w:sz w:val="22"/>
        </w:rPr>
        <w:t>such a</w:t>
      </w:r>
      <w:r>
        <w:rPr>
          <w:spacing w:val="-7"/>
          <w:sz w:val="22"/>
        </w:rPr>
        <w:t> </w:t>
      </w:r>
      <w:r>
        <w:rPr>
          <w:spacing w:val="-2"/>
          <w:sz w:val="22"/>
        </w:rPr>
        <w:t>program.</w:t>
      </w:r>
      <w:r>
        <w:rPr>
          <w:spacing w:val="-7"/>
          <w:sz w:val="22"/>
        </w:rPr>
        <w:t> </w:t>
      </w:r>
      <w:r>
        <w:rPr>
          <w:spacing w:val="-2"/>
          <w:sz w:val="22"/>
        </w:rPr>
        <w:t>An</w:t>
      </w:r>
      <w:r>
        <w:rPr>
          <w:spacing w:val="-7"/>
          <w:sz w:val="22"/>
        </w:rPr>
        <w:t> </w:t>
      </w:r>
      <w:r>
        <w:rPr>
          <w:spacing w:val="-2"/>
          <w:sz w:val="22"/>
        </w:rPr>
        <w:t>integrated</w:t>
      </w:r>
      <w:r>
        <w:rPr>
          <w:spacing w:val="-7"/>
          <w:sz w:val="22"/>
        </w:rPr>
        <w:t> </w:t>
      </w:r>
      <w:r>
        <w:rPr>
          <w:spacing w:val="-2"/>
          <w:sz w:val="22"/>
        </w:rPr>
        <w:t>program</w:t>
      </w:r>
      <w:r>
        <w:rPr>
          <w:spacing w:val="-7"/>
          <w:sz w:val="22"/>
        </w:rPr>
        <w:t> </w:t>
      </w:r>
      <w:r>
        <w:rPr>
          <w:spacing w:val="-2"/>
          <w:sz w:val="22"/>
        </w:rPr>
        <w:t>covering</w:t>
      </w:r>
      <w:r>
        <w:rPr>
          <w:spacing w:val="-7"/>
          <w:sz w:val="22"/>
        </w:rPr>
        <w:t> </w:t>
      </w:r>
      <w:r>
        <w:rPr>
          <w:spacing w:val="-2"/>
          <w:sz w:val="22"/>
        </w:rPr>
        <w:t>bachelors, </w:t>
      </w:r>
      <w:r>
        <w:rPr>
          <w:spacing w:val="-8"/>
          <w:sz w:val="22"/>
        </w:rPr>
        <w:t>masters and</w:t>
      </w:r>
      <w:r>
        <w:rPr>
          <w:spacing w:val="-6"/>
          <w:sz w:val="22"/>
        </w:rPr>
        <w:t> </w:t>
      </w:r>
      <w:r>
        <w:rPr>
          <w:spacing w:val="-8"/>
          <w:sz w:val="22"/>
        </w:rPr>
        <w:t>doctorate</w:t>
      </w:r>
      <w:r>
        <w:rPr>
          <w:spacing w:val="-6"/>
          <w:sz w:val="22"/>
        </w:rPr>
        <w:t> </w:t>
      </w:r>
      <w:r>
        <w:rPr>
          <w:spacing w:val="-8"/>
          <w:sz w:val="22"/>
        </w:rPr>
        <w:t>degrees</w:t>
      </w:r>
      <w:r>
        <w:rPr>
          <w:spacing w:val="-5"/>
          <w:sz w:val="22"/>
        </w:rPr>
        <w:t> </w:t>
      </w:r>
      <w:r>
        <w:rPr>
          <w:spacing w:val="-8"/>
          <w:sz w:val="22"/>
        </w:rPr>
        <w:t>with</w:t>
      </w:r>
      <w:r>
        <w:rPr>
          <w:spacing w:val="-6"/>
          <w:sz w:val="22"/>
        </w:rPr>
        <w:t> </w:t>
      </w:r>
      <w:r>
        <w:rPr>
          <w:spacing w:val="-8"/>
          <w:sz w:val="22"/>
        </w:rPr>
        <w:t>various</w:t>
      </w:r>
      <w:r>
        <w:rPr>
          <w:spacing w:val="-6"/>
          <w:sz w:val="22"/>
        </w:rPr>
        <w:t> </w:t>
      </w:r>
      <w:r>
        <w:rPr>
          <w:spacing w:val="-8"/>
          <w:sz w:val="22"/>
        </w:rPr>
        <w:t>exit</w:t>
      </w:r>
      <w:r>
        <w:rPr>
          <w:spacing w:val="-6"/>
          <w:sz w:val="22"/>
        </w:rPr>
        <w:t> </w:t>
      </w:r>
      <w:r>
        <w:rPr>
          <w:spacing w:val="-8"/>
          <w:sz w:val="22"/>
        </w:rPr>
        <w:t>points</w:t>
      </w:r>
      <w:r>
        <w:rPr>
          <w:spacing w:val="-5"/>
          <w:sz w:val="22"/>
        </w:rPr>
        <w:t> </w:t>
      </w:r>
      <w:r>
        <w:rPr>
          <w:spacing w:val="-8"/>
          <w:sz w:val="22"/>
        </w:rPr>
        <w:t>has </w:t>
      </w:r>
      <w:r>
        <w:rPr>
          <w:spacing w:val="-6"/>
          <w:sz w:val="22"/>
        </w:rPr>
        <w:t>multiple</w:t>
      </w:r>
      <w:r>
        <w:rPr>
          <w:spacing w:val="-7"/>
          <w:sz w:val="22"/>
        </w:rPr>
        <w:t> </w:t>
      </w:r>
      <w:r>
        <w:rPr>
          <w:spacing w:val="-6"/>
          <w:sz w:val="22"/>
        </w:rPr>
        <w:t>advantages.</w:t>
      </w:r>
      <w:r>
        <w:rPr>
          <w:spacing w:val="-7"/>
          <w:sz w:val="22"/>
        </w:rPr>
        <w:t> </w:t>
      </w:r>
      <w:r>
        <w:rPr>
          <w:spacing w:val="-6"/>
          <w:sz w:val="22"/>
        </w:rPr>
        <w:t>It</w:t>
      </w:r>
      <w:r>
        <w:rPr>
          <w:spacing w:val="-7"/>
          <w:sz w:val="22"/>
        </w:rPr>
        <w:t> </w:t>
      </w:r>
      <w:r>
        <w:rPr>
          <w:spacing w:val="-6"/>
          <w:sz w:val="22"/>
        </w:rPr>
        <w:t>will</w:t>
      </w:r>
      <w:r>
        <w:rPr>
          <w:spacing w:val="-7"/>
          <w:sz w:val="22"/>
        </w:rPr>
        <w:t> </w:t>
      </w:r>
      <w:r>
        <w:rPr>
          <w:spacing w:val="-6"/>
          <w:sz w:val="22"/>
        </w:rPr>
        <w:t>establish</w:t>
      </w:r>
      <w:r>
        <w:rPr>
          <w:spacing w:val="-7"/>
          <w:sz w:val="22"/>
        </w:rPr>
        <w:t> </w:t>
      </w:r>
      <w:r>
        <w:rPr>
          <w:spacing w:val="-6"/>
          <w:sz w:val="22"/>
        </w:rPr>
        <w:t>a</w:t>
      </w:r>
      <w:r>
        <w:rPr>
          <w:spacing w:val="-7"/>
          <w:sz w:val="22"/>
        </w:rPr>
        <w:t> </w:t>
      </w:r>
      <w:r>
        <w:rPr>
          <w:spacing w:val="-6"/>
          <w:sz w:val="22"/>
        </w:rPr>
        <w:t>vital</w:t>
      </w:r>
      <w:r>
        <w:rPr>
          <w:spacing w:val="-7"/>
          <w:sz w:val="22"/>
        </w:rPr>
        <w:t> </w:t>
      </w:r>
      <w:r>
        <w:rPr>
          <w:spacing w:val="-6"/>
          <w:sz w:val="22"/>
        </w:rPr>
        <w:t>link</w:t>
      </w:r>
      <w:r>
        <w:rPr>
          <w:spacing w:val="-7"/>
          <w:sz w:val="22"/>
        </w:rPr>
        <w:t> </w:t>
      </w:r>
      <w:r>
        <w:rPr>
          <w:spacing w:val="-6"/>
          <w:sz w:val="22"/>
        </w:rPr>
        <w:t>between </w:t>
      </w:r>
      <w:r>
        <w:rPr>
          <w:sz w:val="22"/>
        </w:rPr>
        <w:t>students at all levels. Networking among students at </w:t>
      </w:r>
      <w:r>
        <w:rPr>
          <w:spacing w:val="-4"/>
          <w:sz w:val="22"/>
        </w:rPr>
        <w:t>different levels will give rise to new ideas. It will bring</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before="43" w:after="1"/>
        <w:rPr>
          <w:sz w:val="20"/>
        </w:rPr>
      </w:pPr>
    </w:p>
    <w:p>
      <w:pPr>
        <w:pStyle w:val="BodyText"/>
        <w:spacing w:line="20" w:lineRule="exact"/>
        <w:ind w:left="1080"/>
        <w:rPr>
          <w:sz w:val="2"/>
        </w:rPr>
      </w:pPr>
      <w:r>
        <w:rPr>
          <w:sz w:val="2"/>
        </w:rPr>
        <mc:AlternateContent>
          <mc:Choice Requires="wps">
            <w:drawing>
              <wp:inline distT="0" distB="0" distL="0" distR="0">
                <wp:extent cx="2409190" cy="6350"/>
                <wp:effectExtent l="0" t="0" r="0" b="0"/>
                <wp:docPr id="938" name="Group 938"/>
                <wp:cNvGraphicFramePr>
                  <a:graphicFrameLocks/>
                </wp:cNvGraphicFramePr>
                <a:graphic>
                  <a:graphicData uri="http://schemas.microsoft.com/office/word/2010/wordprocessingGroup">
                    <wpg:wgp>
                      <wpg:cNvPr id="938" name="Group 938"/>
                      <wpg:cNvGrpSpPr/>
                      <wpg:grpSpPr>
                        <a:xfrm>
                          <a:off x="0" y="0"/>
                          <a:ext cx="2409190" cy="6350"/>
                          <a:chExt cx="2409190" cy="6350"/>
                        </a:xfrm>
                      </wpg:grpSpPr>
                      <wps:wsp>
                        <wps:cNvPr id="939" name="Graphic 939"/>
                        <wps:cNvSpPr/>
                        <wps:spPr>
                          <a:xfrm>
                            <a:off x="0" y="0"/>
                            <a:ext cx="2409190" cy="6350"/>
                          </a:xfrm>
                          <a:custGeom>
                            <a:avLst/>
                            <a:gdLst/>
                            <a:ahLst/>
                            <a:cxnLst/>
                            <a:rect l="l" t="t" r="r" b="b"/>
                            <a:pathLst>
                              <a:path w="2409190" h="6350">
                                <a:moveTo>
                                  <a:pt x="2408592" y="0"/>
                                </a:moveTo>
                                <a:lnTo>
                                  <a:pt x="0" y="0"/>
                                </a:lnTo>
                                <a:lnTo>
                                  <a:pt x="0" y="6349"/>
                                </a:lnTo>
                                <a:lnTo>
                                  <a:pt x="2408592" y="6349"/>
                                </a:lnTo>
                                <a:lnTo>
                                  <a:pt x="24085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7pt;height:.5pt;mso-position-horizontal-relative:char;mso-position-vertical-relative:line" id="docshapegroup931" coordorigin="0,0" coordsize="3794,10">
                <v:rect style="position:absolute;left:0;top:0;width:3794;height:10" id="docshape932" filled="true" fillcolor="#000000" stroked="false">
                  <v:fill type="solid"/>
                </v:rect>
              </v:group>
            </w:pict>
          </mc:Fallback>
        </mc:AlternateContent>
      </w:r>
      <w:r>
        <w:rPr>
          <w:sz w:val="2"/>
        </w:rPr>
      </w:r>
    </w:p>
    <w:p>
      <w:pPr>
        <w:spacing w:line="254" w:lineRule="auto" w:before="75"/>
        <w:ind w:left="1080" w:right="4604" w:firstLine="0"/>
        <w:jc w:val="left"/>
        <w:rPr>
          <w:sz w:val="18"/>
        </w:rPr>
      </w:pPr>
      <w:r>
        <w:rPr>
          <w:spacing w:val="-4"/>
          <w:position w:val="6"/>
          <w:sz w:val="10"/>
        </w:rPr>
        <w:t>2</w:t>
      </w:r>
      <w:r>
        <w:rPr>
          <w:spacing w:val="27"/>
          <w:position w:val="6"/>
          <w:sz w:val="10"/>
        </w:rPr>
        <w:t> </w:t>
      </w:r>
      <w:r>
        <w:rPr>
          <w:spacing w:val="-4"/>
          <w:sz w:val="18"/>
        </w:rPr>
        <w:t>See National Knowledge Commission’s recommendations on Higher </w:t>
      </w:r>
      <w:r>
        <w:rPr>
          <w:spacing w:val="-4"/>
          <w:sz w:val="18"/>
        </w:rPr>
        <w:t>Education, </w:t>
      </w:r>
      <w:hyperlink r:id="rId621">
        <w:r>
          <w:rPr>
            <w:spacing w:val="-2"/>
            <w:sz w:val="18"/>
          </w:rPr>
          <w:t>http://www.knowledgecommission.gov.in/recommendations/higher.asp</w:t>
        </w:r>
      </w:hyperlink>
    </w:p>
    <w:p>
      <w:pPr>
        <w:spacing w:after="0" w:line="254" w:lineRule="auto"/>
        <w:jc w:val="left"/>
        <w:rPr>
          <w:sz w:val="18"/>
        </w:rPr>
        <w:sectPr>
          <w:type w:val="continuous"/>
          <w:pgSz w:w="11910" w:h="16840"/>
          <w:pgMar w:header="0" w:footer="675" w:top="1920" w:bottom="280" w:left="0" w:right="0"/>
        </w:sectPr>
      </w:pPr>
    </w:p>
    <w:p>
      <w:pPr>
        <w:pStyle w:val="BodyText"/>
        <w:spacing w:line="266" w:lineRule="auto" w:before="57"/>
        <w:ind w:left="1080"/>
        <w:jc w:val="both"/>
      </w:pPr>
      <w:r>
        <w:rPr>
          <w:spacing w:val="-6"/>
        </w:rPr>
        <w:t>much</w:t>
      </w:r>
      <w:r>
        <w:rPr>
          <w:spacing w:val="-10"/>
        </w:rPr>
        <w:t> </w:t>
      </w:r>
      <w:r>
        <w:rPr>
          <w:spacing w:val="-6"/>
        </w:rPr>
        <w:t>needed</w:t>
      </w:r>
      <w:r>
        <w:rPr>
          <w:spacing w:val="-8"/>
        </w:rPr>
        <w:t> </w:t>
      </w:r>
      <w:r>
        <w:rPr>
          <w:spacing w:val="-6"/>
        </w:rPr>
        <w:t>fresh</w:t>
      </w:r>
      <w:r>
        <w:rPr>
          <w:spacing w:val="-8"/>
        </w:rPr>
        <w:t> </w:t>
      </w:r>
      <w:r>
        <w:rPr>
          <w:spacing w:val="-6"/>
        </w:rPr>
        <w:t>energy</w:t>
      </w:r>
      <w:r>
        <w:rPr>
          <w:spacing w:val="-7"/>
        </w:rPr>
        <w:t> </w:t>
      </w:r>
      <w:r>
        <w:rPr>
          <w:spacing w:val="-6"/>
        </w:rPr>
        <w:t>into</w:t>
      </w:r>
      <w:r>
        <w:rPr>
          <w:spacing w:val="-8"/>
        </w:rPr>
        <w:t> </w:t>
      </w:r>
      <w:r>
        <w:rPr>
          <w:spacing w:val="-6"/>
        </w:rPr>
        <w:t>research</w:t>
      </w:r>
      <w:r>
        <w:rPr>
          <w:spacing w:val="-8"/>
        </w:rPr>
        <w:t> </w:t>
      </w:r>
      <w:r>
        <w:rPr>
          <w:spacing w:val="-6"/>
        </w:rPr>
        <w:t>by</w:t>
      </w:r>
      <w:r>
        <w:rPr>
          <w:spacing w:val="-8"/>
        </w:rPr>
        <w:t> </w:t>
      </w:r>
      <w:r>
        <w:rPr>
          <w:spacing w:val="-6"/>
        </w:rPr>
        <w:t>exposure</w:t>
      </w:r>
      <w:r>
        <w:rPr>
          <w:spacing w:val="-7"/>
        </w:rPr>
        <w:t> </w:t>
      </w:r>
      <w:r>
        <w:rPr>
          <w:spacing w:val="-6"/>
        </w:rPr>
        <w:t>and </w:t>
      </w:r>
      <w:r>
        <w:rPr/>
        <w:t>induction</w:t>
      </w:r>
      <w:r>
        <w:rPr>
          <w:spacing w:val="-14"/>
        </w:rPr>
        <w:t> </w:t>
      </w:r>
      <w:r>
        <w:rPr/>
        <w:t>to</w:t>
      </w:r>
      <w:r>
        <w:rPr>
          <w:spacing w:val="-14"/>
        </w:rPr>
        <w:t> </w:t>
      </w:r>
      <w:r>
        <w:rPr/>
        <w:t>research</w:t>
      </w:r>
      <w:r>
        <w:rPr>
          <w:spacing w:val="-14"/>
        </w:rPr>
        <w:t> </w:t>
      </w:r>
      <w:r>
        <w:rPr/>
        <w:t>at</w:t>
      </w:r>
      <w:r>
        <w:rPr>
          <w:spacing w:val="-13"/>
        </w:rPr>
        <w:t> </w:t>
      </w:r>
      <w:r>
        <w:rPr/>
        <w:t>an</w:t>
      </w:r>
      <w:r>
        <w:rPr>
          <w:spacing w:val="-14"/>
        </w:rPr>
        <w:t> </w:t>
      </w:r>
      <w:r>
        <w:rPr/>
        <w:t>early</w:t>
      </w:r>
      <w:r>
        <w:rPr>
          <w:spacing w:val="-14"/>
        </w:rPr>
        <w:t> </w:t>
      </w:r>
      <w:r>
        <w:rPr/>
        <w:t>stage.</w:t>
      </w:r>
    </w:p>
    <w:p>
      <w:pPr>
        <w:pStyle w:val="BodyText"/>
        <w:spacing w:before="25"/>
      </w:pPr>
    </w:p>
    <w:p>
      <w:pPr>
        <w:pStyle w:val="BodyText"/>
        <w:spacing w:line="266" w:lineRule="auto" w:before="1"/>
        <w:ind w:left="1080"/>
        <w:jc w:val="both"/>
      </w:pPr>
      <w:r>
        <w:rPr/>
        <w:t>However, many precautions need to be taken </w:t>
      </w:r>
      <w:r>
        <w:rPr/>
        <w:t>while designing the integrated course, for instance</w:t>
      </w:r>
    </w:p>
    <w:p>
      <w:pPr>
        <w:pStyle w:val="ListParagraph"/>
        <w:numPr>
          <w:ilvl w:val="2"/>
          <w:numId w:val="47"/>
        </w:numPr>
        <w:tabs>
          <w:tab w:pos="1439" w:val="left" w:leader="none"/>
        </w:tabs>
        <w:spacing w:line="266" w:lineRule="auto" w:before="0" w:after="0"/>
        <w:ind w:left="1439" w:right="0" w:hanging="360"/>
        <w:jc w:val="both"/>
        <w:rPr>
          <w:sz w:val="22"/>
        </w:rPr>
      </w:pPr>
      <w:r>
        <w:rPr>
          <w:sz w:val="22"/>
        </w:rPr>
        <w:t>Curriculum must be planned well and subject </w:t>
      </w:r>
      <w:r>
        <w:rPr>
          <w:sz w:val="22"/>
        </w:rPr>
        <w:t>to periodic reviews. It should have a provision for multiple exchange semesters which will enable </w:t>
      </w:r>
      <w:r>
        <w:rPr>
          <w:spacing w:val="-2"/>
          <w:sz w:val="22"/>
        </w:rPr>
        <w:t>wider</w:t>
      </w:r>
      <w:r>
        <w:rPr>
          <w:spacing w:val="-12"/>
          <w:sz w:val="22"/>
        </w:rPr>
        <w:t> </w:t>
      </w:r>
      <w:r>
        <w:rPr>
          <w:spacing w:val="-2"/>
          <w:sz w:val="22"/>
        </w:rPr>
        <w:t>exposure,</w:t>
      </w:r>
      <w:r>
        <w:rPr>
          <w:spacing w:val="-12"/>
          <w:sz w:val="22"/>
        </w:rPr>
        <w:t> </w:t>
      </w:r>
      <w:r>
        <w:rPr>
          <w:spacing w:val="-2"/>
          <w:sz w:val="22"/>
        </w:rPr>
        <w:t>interaction</w:t>
      </w:r>
      <w:r>
        <w:rPr>
          <w:spacing w:val="-12"/>
          <w:sz w:val="22"/>
        </w:rPr>
        <w:t> </w:t>
      </w:r>
      <w:r>
        <w:rPr>
          <w:spacing w:val="-2"/>
          <w:sz w:val="22"/>
        </w:rPr>
        <w:t>and</w:t>
      </w:r>
      <w:r>
        <w:rPr>
          <w:spacing w:val="-11"/>
          <w:sz w:val="22"/>
        </w:rPr>
        <w:t> </w:t>
      </w:r>
      <w:r>
        <w:rPr>
          <w:spacing w:val="-2"/>
          <w:sz w:val="22"/>
        </w:rPr>
        <w:t>exchange</w:t>
      </w:r>
      <w:r>
        <w:rPr>
          <w:spacing w:val="-12"/>
          <w:sz w:val="22"/>
        </w:rPr>
        <w:t> </w:t>
      </w:r>
      <w:r>
        <w:rPr>
          <w:spacing w:val="-2"/>
          <w:sz w:val="22"/>
        </w:rPr>
        <w:t>of</w:t>
      </w:r>
      <w:r>
        <w:rPr>
          <w:spacing w:val="-12"/>
          <w:sz w:val="22"/>
        </w:rPr>
        <w:t> </w:t>
      </w:r>
      <w:r>
        <w:rPr>
          <w:spacing w:val="-2"/>
          <w:sz w:val="22"/>
        </w:rPr>
        <w:t>ideas.</w:t>
      </w:r>
    </w:p>
    <w:p>
      <w:pPr>
        <w:pStyle w:val="ListParagraph"/>
        <w:numPr>
          <w:ilvl w:val="2"/>
          <w:numId w:val="47"/>
        </w:numPr>
        <w:tabs>
          <w:tab w:pos="1440" w:val="left" w:leader="none"/>
        </w:tabs>
        <w:spacing w:line="266" w:lineRule="auto" w:before="0" w:after="0"/>
        <w:ind w:left="1440" w:right="1" w:hanging="360"/>
        <w:jc w:val="both"/>
        <w:rPr>
          <w:sz w:val="22"/>
        </w:rPr>
      </w:pPr>
      <w:r>
        <w:rPr>
          <w:sz w:val="22"/>
        </w:rPr>
        <w:t>Selection</w:t>
      </w:r>
      <w:r>
        <w:rPr>
          <w:spacing w:val="-14"/>
          <w:sz w:val="22"/>
        </w:rPr>
        <w:t> </w:t>
      </w:r>
      <w:r>
        <w:rPr>
          <w:sz w:val="22"/>
        </w:rPr>
        <w:t>procedure</w:t>
      </w:r>
      <w:r>
        <w:rPr>
          <w:spacing w:val="-14"/>
          <w:sz w:val="22"/>
        </w:rPr>
        <w:t> </w:t>
      </w:r>
      <w:r>
        <w:rPr>
          <w:sz w:val="22"/>
        </w:rPr>
        <w:t>should</w:t>
      </w:r>
      <w:r>
        <w:rPr>
          <w:spacing w:val="-14"/>
          <w:sz w:val="22"/>
        </w:rPr>
        <w:t> </w:t>
      </w:r>
      <w:r>
        <w:rPr>
          <w:sz w:val="22"/>
        </w:rPr>
        <w:t>take</w:t>
      </w:r>
      <w:r>
        <w:rPr>
          <w:spacing w:val="-13"/>
          <w:sz w:val="22"/>
        </w:rPr>
        <w:t> </w:t>
      </w:r>
      <w:r>
        <w:rPr>
          <w:sz w:val="22"/>
        </w:rPr>
        <w:t>research</w:t>
      </w:r>
      <w:r>
        <w:rPr>
          <w:spacing w:val="-14"/>
          <w:sz w:val="22"/>
        </w:rPr>
        <w:t> </w:t>
      </w:r>
      <w:r>
        <w:rPr>
          <w:sz w:val="22"/>
        </w:rPr>
        <w:t>aptitude into consideration.</w:t>
      </w:r>
    </w:p>
    <w:p>
      <w:pPr>
        <w:pStyle w:val="ListParagraph"/>
        <w:numPr>
          <w:ilvl w:val="2"/>
          <w:numId w:val="47"/>
        </w:numPr>
        <w:tabs>
          <w:tab w:pos="1439" w:val="left" w:leader="none"/>
        </w:tabs>
        <w:spacing w:line="266" w:lineRule="auto" w:before="0" w:after="0"/>
        <w:ind w:left="1439" w:right="0" w:hanging="360"/>
        <w:jc w:val="both"/>
        <w:rPr>
          <w:sz w:val="22"/>
        </w:rPr>
      </w:pPr>
      <w:r>
        <w:rPr>
          <w:spacing w:val="-6"/>
          <w:sz w:val="22"/>
        </w:rPr>
        <w:t>The</w:t>
      </w:r>
      <w:r>
        <w:rPr>
          <w:spacing w:val="-8"/>
          <w:sz w:val="22"/>
        </w:rPr>
        <w:t> </w:t>
      </w:r>
      <w:r>
        <w:rPr>
          <w:spacing w:val="-6"/>
          <w:sz w:val="22"/>
        </w:rPr>
        <w:t>program</w:t>
      </w:r>
      <w:r>
        <w:rPr>
          <w:spacing w:val="-8"/>
          <w:sz w:val="22"/>
        </w:rPr>
        <w:t> </w:t>
      </w:r>
      <w:r>
        <w:rPr>
          <w:spacing w:val="-6"/>
          <w:sz w:val="22"/>
        </w:rPr>
        <w:t>however</w:t>
      </w:r>
      <w:r>
        <w:rPr>
          <w:spacing w:val="-8"/>
          <w:sz w:val="22"/>
        </w:rPr>
        <w:t> </w:t>
      </w:r>
      <w:r>
        <w:rPr>
          <w:spacing w:val="-6"/>
          <w:sz w:val="22"/>
        </w:rPr>
        <w:t>should</w:t>
      </w:r>
      <w:r>
        <w:rPr>
          <w:spacing w:val="-7"/>
          <w:sz w:val="22"/>
        </w:rPr>
        <w:t> </w:t>
      </w:r>
      <w:r>
        <w:rPr>
          <w:spacing w:val="-6"/>
          <w:sz w:val="22"/>
        </w:rPr>
        <w:t>have</w:t>
      </w:r>
      <w:r>
        <w:rPr>
          <w:spacing w:val="-8"/>
          <w:sz w:val="22"/>
        </w:rPr>
        <w:t> </w:t>
      </w:r>
      <w:r>
        <w:rPr>
          <w:spacing w:val="-6"/>
          <w:sz w:val="22"/>
        </w:rPr>
        <w:t>multiple</w:t>
      </w:r>
      <w:r>
        <w:rPr>
          <w:spacing w:val="-8"/>
          <w:sz w:val="22"/>
        </w:rPr>
        <w:t> </w:t>
      </w:r>
      <w:r>
        <w:rPr>
          <w:spacing w:val="-6"/>
          <w:sz w:val="22"/>
        </w:rPr>
        <w:t>exit</w:t>
      </w:r>
      <w:r>
        <w:rPr>
          <w:spacing w:val="-8"/>
          <w:sz w:val="22"/>
        </w:rPr>
        <w:t> </w:t>
      </w:r>
      <w:r>
        <w:rPr>
          <w:spacing w:val="-6"/>
          <w:sz w:val="22"/>
        </w:rPr>
        <w:t>and </w:t>
      </w:r>
      <w:r>
        <w:rPr>
          <w:sz w:val="22"/>
        </w:rPr>
        <w:t>placement</w:t>
      </w:r>
      <w:r>
        <w:rPr>
          <w:spacing w:val="-13"/>
          <w:sz w:val="22"/>
        </w:rPr>
        <w:t> </w:t>
      </w:r>
      <w:r>
        <w:rPr>
          <w:sz w:val="22"/>
        </w:rPr>
        <w:t>opportunities.</w:t>
      </w:r>
      <w:r>
        <w:rPr>
          <w:spacing w:val="-14"/>
          <w:sz w:val="22"/>
        </w:rPr>
        <w:t> </w:t>
      </w:r>
      <w:r>
        <w:rPr>
          <w:sz w:val="22"/>
        </w:rPr>
        <w:t>There</w:t>
      </w:r>
      <w:r>
        <w:rPr>
          <w:spacing w:val="-10"/>
          <w:sz w:val="22"/>
        </w:rPr>
        <w:t> </w:t>
      </w:r>
      <w:r>
        <w:rPr>
          <w:sz w:val="22"/>
        </w:rPr>
        <w:t>should</w:t>
      </w:r>
      <w:r>
        <w:rPr>
          <w:spacing w:val="-10"/>
          <w:sz w:val="22"/>
        </w:rPr>
        <w:t> </w:t>
      </w:r>
      <w:r>
        <w:rPr>
          <w:sz w:val="22"/>
        </w:rPr>
        <w:t>be</w:t>
      </w:r>
      <w:r>
        <w:rPr>
          <w:spacing w:val="-10"/>
          <w:sz w:val="22"/>
        </w:rPr>
        <w:t> </w:t>
      </w:r>
      <w:r>
        <w:rPr>
          <w:sz w:val="22"/>
        </w:rPr>
        <w:t>enough </w:t>
      </w:r>
      <w:r>
        <w:rPr>
          <w:spacing w:val="-4"/>
          <w:sz w:val="22"/>
        </w:rPr>
        <w:t>flexibility provided to students so that while opting </w:t>
      </w:r>
      <w:r>
        <w:rPr>
          <w:sz w:val="22"/>
        </w:rPr>
        <w:t>for</w:t>
      </w:r>
      <w:r>
        <w:rPr>
          <w:spacing w:val="-7"/>
          <w:sz w:val="22"/>
        </w:rPr>
        <w:t> </w:t>
      </w:r>
      <w:r>
        <w:rPr>
          <w:sz w:val="22"/>
        </w:rPr>
        <w:t>an</w:t>
      </w:r>
      <w:r>
        <w:rPr>
          <w:spacing w:val="-7"/>
          <w:sz w:val="22"/>
        </w:rPr>
        <w:t> </w:t>
      </w:r>
      <w:r>
        <w:rPr>
          <w:sz w:val="22"/>
        </w:rPr>
        <w:t>integrated</w:t>
      </w:r>
      <w:r>
        <w:rPr>
          <w:spacing w:val="-7"/>
          <w:sz w:val="22"/>
        </w:rPr>
        <w:t> </w:t>
      </w:r>
      <w:r>
        <w:rPr>
          <w:sz w:val="22"/>
        </w:rPr>
        <w:t>course,</w:t>
      </w:r>
      <w:r>
        <w:rPr>
          <w:spacing w:val="-7"/>
          <w:sz w:val="22"/>
        </w:rPr>
        <w:t> </w:t>
      </w:r>
      <w:r>
        <w:rPr>
          <w:sz w:val="22"/>
        </w:rPr>
        <w:t>a</w:t>
      </w:r>
      <w:r>
        <w:rPr>
          <w:spacing w:val="-7"/>
          <w:sz w:val="22"/>
        </w:rPr>
        <w:t> </w:t>
      </w:r>
      <w:r>
        <w:rPr>
          <w:sz w:val="22"/>
        </w:rPr>
        <w:t>student</w:t>
      </w:r>
      <w:r>
        <w:rPr>
          <w:spacing w:val="-7"/>
          <w:sz w:val="22"/>
        </w:rPr>
        <w:t> </w:t>
      </w:r>
      <w:r>
        <w:rPr>
          <w:sz w:val="22"/>
        </w:rPr>
        <w:t>should</w:t>
      </w:r>
      <w:r>
        <w:rPr>
          <w:spacing w:val="-7"/>
          <w:sz w:val="22"/>
        </w:rPr>
        <w:t> </w:t>
      </w:r>
      <w:r>
        <w:rPr>
          <w:sz w:val="22"/>
        </w:rPr>
        <w:t>not</w:t>
      </w:r>
      <w:r>
        <w:rPr>
          <w:spacing w:val="-7"/>
          <w:sz w:val="22"/>
        </w:rPr>
        <w:t> </w:t>
      </w:r>
      <w:r>
        <w:rPr>
          <w:sz w:val="22"/>
        </w:rPr>
        <w:t>feel that</w:t>
      </w:r>
      <w:r>
        <w:rPr>
          <w:spacing w:val="-11"/>
          <w:sz w:val="22"/>
        </w:rPr>
        <w:t> </w:t>
      </w:r>
      <w:r>
        <w:rPr>
          <w:sz w:val="22"/>
        </w:rPr>
        <w:t>they</w:t>
      </w:r>
      <w:r>
        <w:rPr>
          <w:spacing w:val="-11"/>
          <w:sz w:val="22"/>
        </w:rPr>
        <w:t> </w:t>
      </w:r>
      <w:r>
        <w:rPr>
          <w:sz w:val="22"/>
        </w:rPr>
        <w:t>are</w:t>
      </w:r>
      <w:r>
        <w:rPr>
          <w:spacing w:val="-11"/>
          <w:sz w:val="22"/>
        </w:rPr>
        <w:t> </w:t>
      </w:r>
      <w:r>
        <w:rPr>
          <w:sz w:val="22"/>
        </w:rPr>
        <w:t>bonded</w:t>
      </w:r>
      <w:r>
        <w:rPr>
          <w:spacing w:val="-11"/>
          <w:sz w:val="22"/>
        </w:rPr>
        <w:t> </w:t>
      </w:r>
      <w:r>
        <w:rPr>
          <w:sz w:val="22"/>
        </w:rPr>
        <w:t>by</w:t>
      </w:r>
      <w:r>
        <w:rPr>
          <w:spacing w:val="-11"/>
          <w:sz w:val="22"/>
        </w:rPr>
        <w:t> </w:t>
      </w:r>
      <w:r>
        <w:rPr>
          <w:sz w:val="22"/>
        </w:rPr>
        <w:t>it</w:t>
      </w:r>
      <w:r>
        <w:rPr>
          <w:spacing w:val="-11"/>
          <w:sz w:val="22"/>
        </w:rPr>
        <w:t> </w:t>
      </w:r>
      <w:r>
        <w:rPr>
          <w:sz w:val="22"/>
        </w:rPr>
        <w:t>for</w:t>
      </w:r>
      <w:r>
        <w:rPr>
          <w:spacing w:val="-11"/>
          <w:sz w:val="22"/>
        </w:rPr>
        <w:t> </w:t>
      </w:r>
      <w:r>
        <w:rPr>
          <w:sz w:val="22"/>
        </w:rPr>
        <w:t>seven</w:t>
      </w:r>
      <w:r>
        <w:rPr>
          <w:spacing w:val="-11"/>
          <w:sz w:val="22"/>
        </w:rPr>
        <w:t> </w:t>
      </w:r>
      <w:r>
        <w:rPr>
          <w:sz w:val="22"/>
        </w:rPr>
        <w:t>to</w:t>
      </w:r>
      <w:r>
        <w:rPr>
          <w:spacing w:val="-11"/>
          <w:sz w:val="22"/>
        </w:rPr>
        <w:t> </w:t>
      </w:r>
      <w:r>
        <w:rPr>
          <w:sz w:val="22"/>
        </w:rPr>
        <w:t>eight</w:t>
      </w:r>
      <w:r>
        <w:rPr>
          <w:spacing w:val="-11"/>
          <w:sz w:val="22"/>
        </w:rPr>
        <w:t> </w:t>
      </w:r>
      <w:r>
        <w:rPr>
          <w:sz w:val="22"/>
        </w:rPr>
        <w:t>years.</w:t>
      </w:r>
    </w:p>
    <w:p>
      <w:pPr>
        <w:pStyle w:val="BodyText"/>
        <w:spacing w:before="16"/>
      </w:pPr>
    </w:p>
    <w:p>
      <w:pPr>
        <w:pStyle w:val="BodyText"/>
        <w:spacing w:line="266" w:lineRule="auto"/>
        <w:ind w:left="1079"/>
        <w:jc w:val="both"/>
      </w:pPr>
      <w:r>
        <w:rPr/>
        <w:t>In</w:t>
      </w:r>
      <w:r>
        <w:rPr>
          <w:spacing w:val="-13"/>
        </w:rPr>
        <w:t> </w:t>
      </w:r>
      <w:r>
        <w:rPr/>
        <w:t>view</w:t>
      </w:r>
      <w:r>
        <w:rPr>
          <w:spacing w:val="-13"/>
        </w:rPr>
        <w:t> </w:t>
      </w:r>
      <w:r>
        <w:rPr/>
        <w:t>of</w:t>
      </w:r>
      <w:r>
        <w:rPr>
          <w:spacing w:val="-13"/>
        </w:rPr>
        <w:t> </w:t>
      </w:r>
      <w:r>
        <w:rPr/>
        <w:t>all</w:t>
      </w:r>
      <w:r>
        <w:rPr>
          <w:spacing w:val="-13"/>
        </w:rPr>
        <w:t> </w:t>
      </w:r>
      <w:r>
        <w:rPr/>
        <w:t>these</w:t>
      </w:r>
      <w:r>
        <w:rPr>
          <w:spacing w:val="-13"/>
        </w:rPr>
        <w:t> </w:t>
      </w:r>
      <w:r>
        <w:rPr/>
        <w:t>requirements,</w:t>
      </w:r>
      <w:r>
        <w:rPr>
          <w:spacing w:val="-13"/>
        </w:rPr>
        <w:t> </w:t>
      </w:r>
      <w:r>
        <w:rPr/>
        <w:t>it</w:t>
      </w:r>
      <w:r>
        <w:rPr>
          <w:spacing w:val="-13"/>
        </w:rPr>
        <w:t> </w:t>
      </w:r>
      <w:r>
        <w:rPr/>
        <w:t>is</w:t>
      </w:r>
      <w:r>
        <w:rPr>
          <w:spacing w:val="-13"/>
        </w:rPr>
        <w:t> </w:t>
      </w:r>
      <w:r>
        <w:rPr/>
        <w:t>suggested</w:t>
      </w:r>
      <w:r>
        <w:rPr>
          <w:spacing w:val="-13"/>
        </w:rPr>
        <w:t> </w:t>
      </w:r>
      <w:r>
        <w:rPr/>
        <w:t>that</w:t>
      </w:r>
      <w:r>
        <w:rPr>
          <w:spacing w:val="-13"/>
        </w:rPr>
        <w:t> </w:t>
      </w:r>
      <w:r>
        <w:rPr/>
        <w:t>a restricted</w:t>
      </w:r>
      <w:r>
        <w:rPr>
          <w:spacing w:val="-5"/>
        </w:rPr>
        <w:t> </w:t>
      </w:r>
      <w:r>
        <w:rPr/>
        <w:t>pilot</w:t>
      </w:r>
      <w:r>
        <w:rPr>
          <w:spacing w:val="-5"/>
        </w:rPr>
        <w:t> </w:t>
      </w:r>
      <w:r>
        <w:rPr/>
        <w:t>be</w:t>
      </w:r>
      <w:r>
        <w:rPr>
          <w:spacing w:val="-5"/>
        </w:rPr>
        <w:t> </w:t>
      </w:r>
      <w:r>
        <w:rPr/>
        <w:t>launched</w:t>
      </w:r>
      <w:r>
        <w:rPr>
          <w:spacing w:val="-5"/>
        </w:rPr>
        <w:t> </w:t>
      </w:r>
      <w:r>
        <w:rPr/>
        <w:t>at</w:t>
      </w:r>
      <w:r>
        <w:rPr>
          <w:spacing w:val="-5"/>
        </w:rPr>
        <w:t> </w:t>
      </w:r>
      <w:r>
        <w:rPr/>
        <w:t>select</w:t>
      </w:r>
      <w:r>
        <w:rPr>
          <w:spacing w:val="-5"/>
        </w:rPr>
        <w:t> </w:t>
      </w:r>
      <w:r>
        <w:rPr/>
        <w:t>institutions.</w:t>
      </w:r>
      <w:r>
        <w:rPr>
          <w:spacing w:val="-11"/>
        </w:rPr>
        <w:t> </w:t>
      </w:r>
      <w:r>
        <w:rPr/>
        <w:t>This </w:t>
      </w:r>
      <w:r>
        <w:rPr>
          <w:spacing w:val="-4"/>
        </w:rPr>
        <w:t>program</w:t>
      </w:r>
      <w:r>
        <w:rPr>
          <w:spacing w:val="-6"/>
        </w:rPr>
        <w:t> </w:t>
      </w:r>
      <w:r>
        <w:rPr>
          <w:spacing w:val="-4"/>
        </w:rPr>
        <w:t>is</w:t>
      </w:r>
      <w:r>
        <w:rPr>
          <w:spacing w:val="-6"/>
        </w:rPr>
        <w:t> </w:t>
      </w:r>
      <w:r>
        <w:rPr>
          <w:spacing w:val="-4"/>
        </w:rPr>
        <w:t>especially</w:t>
      </w:r>
      <w:r>
        <w:rPr>
          <w:spacing w:val="-6"/>
        </w:rPr>
        <w:t> </w:t>
      </w:r>
      <w:r>
        <w:rPr>
          <w:spacing w:val="-4"/>
        </w:rPr>
        <w:t>directed</w:t>
      </w:r>
      <w:r>
        <w:rPr>
          <w:spacing w:val="-6"/>
        </w:rPr>
        <w:t> </w:t>
      </w:r>
      <w:r>
        <w:rPr>
          <w:spacing w:val="-4"/>
        </w:rPr>
        <w:t>towards</w:t>
      </w:r>
      <w:r>
        <w:rPr>
          <w:spacing w:val="-6"/>
        </w:rPr>
        <w:t> </w:t>
      </w:r>
      <w:r>
        <w:rPr>
          <w:spacing w:val="-4"/>
        </w:rPr>
        <w:t>science</w:t>
      </w:r>
      <w:r>
        <w:rPr>
          <w:spacing w:val="-6"/>
        </w:rPr>
        <w:t> </w:t>
      </w:r>
      <w:r>
        <w:rPr>
          <w:spacing w:val="-4"/>
        </w:rPr>
        <w:t>streams.</w:t>
      </w:r>
    </w:p>
    <w:p>
      <w:pPr>
        <w:pStyle w:val="BodyText"/>
        <w:spacing w:before="25"/>
      </w:pPr>
    </w:p>
    <w:p>
      <w:pPr>
        <w:pStyle w:val="ListParagraph"/>
        <w:numPr>
          <w:ilvl w:val="1"/>
          <w:numId w:val="47"/>
        </w:numPr>
        <w:tabs>
          <w:tab w:pos="1513" w:val="left" w:leader="none"/>
        </w:tabs>
        <w:spacing w:line="266" w:lineRule="auto" w:before="0" w:after="0"/>
        <w:ind w:left="1079" w:right="0" w:firstLine="0"/>
        <w:jc w:val="both"/>
        <w:rPr>
          <w:sz w:val="22"/>
        </w:rPr>
      </w:pPr>
      <w:r>
        <w:rPr>
          <w:b/>
          <w:sz w:val="22"/>
        </w:rPr>
        <w:t>Linking researchers at all levels: </w:t>
      </w:r>
      <w:r>
        <w:rPr>
          <w:sz w:val="22"/>
        </w:rPr>
        <w:t>Within </w:t>
      </w:r>
      <w:r>
        <w:rPr>
          <w:sz w:val="22"/>
        </w:rPr>
        <w:t>an </w:t>
      </w:r>
      <w:r>
        <w:rPr>
          <w:spacing w:val="-2"/>
          <w:sz w:val="22"/>
        </w:rPr>
        <w:t>institution,</w:t>
      </w:r>
      <w:r>
        <w:rPr>
          <w:spacing w:val="-9"/>
          <w:sz w:val="22"/>
        </w:rPr>
        <w:t> </w:t>
      </w:r>
      <w:r>
        <w:rPr>
          <w:spacing w:val="-2"/>
          <w:sz w:val="22"/>
        </w:rPr>
        <w:t>relations</w:t>
      </w:r>
      <w:r>
        <w:rPr>
          <w:spacing w:val="-9"/>
          <w:sz w:val="22"/>
        </w:rPr>
        <w:t> </w:t>
      </w:r>
      <w:r>
        <w:rPr>
          <w:spacing w:val="-2"/>
          <w:sz w:val="22"/>
        </w:rPr>
        <w:t>among</w:t>
      </w:r>
      <w:r>
        <w:rPr>
          <w:spacing w:val="-9"/>
          <w:sz w:val="22"/>
        </w:rPr>
        <w:t> </w:t>
      </w:r>
      <w:r>
        <w:rPr>
          <w:spacing w:val="-2"/>
          <w:sz w:val="22"/>
        </w:rPr>
        <w:t>different</w:t>
      </w:r>
      <w:r>
        <w:rPr>
          <w:spacing w:val="-9"/>
          <w:sz w:val="22"/>
        </w:rPr>
        <w:t> </w:t>
      </w:r>
      <w:r>
        <w:rPr>
          <w:spacing w:val="-2"/>
          <w:sz w:val="22"/>
        </w:rPr>
        <w:t>levels</w:t>
      </w:r>
      <w:r>
        <w:rPr>
          <w:spacing w:val="-9"/>
          <w:sz w:val="22"/>
        </w:rPr>
        <w:t> </w:t>
      </w:r>
      <w:r>
        <w:rPr>
          <w:spacing w:val="-2"/>
          <w:sz w:val="22"/>
        </w:rPr>
        <w:t>of</w:t>
      </w:r>
      <w:r>
        <w:rPr>
          <w:spacing w:val="-9"/>
          <w:sz w:val="22"/>
        </w:rPr>
        <w:t> </w:t>
      </w:r>
      <w:r>
        <w:rPr>
          <w:spacing w:val="-2"/>
          <w:sz w:val="22"/>
        </w:rPr>
        <w:t>students </w:t>
      </w:r>
      <w:r>
        <w:rPr>
          <w:sz w:val="22"/>
        </w:rPr>
        <w:t>(e.g. undergraduate, postgraduate and Ph.D) should be fostered. This could be achieved by judiciously </w:t>
      </w:r>
      <w:r>
        <w:rPr>
          <w:spacing w:val="-4"/>
          <w:sz w:val="22"/>
        </w:rPr>
        <w:t>mixing</w:t>
      </w:r>
      <w:r>
        <w:rPr>
          <w:spacing w:val="-9"/>
          <w:sz w:val="22"/>
        </w:rPr>
        <w:t> </w:t>
      </w:r>
      <w:r>
        <w:rPr>
          <w:spacing w:val="-4"/>
          <w:sz w:val="22"/>
        </w:rPr>
        <w:t>students</w:t>
      </w:r>
      <w:r>
        <w:rPr>
          <w:spacing w:val="-9"/>
          <w:sz w:val="22"/>
        </w:rPr>
        <w:t> </w:t>
      </w:r>
      <w:r>
        <w:rPr>
          <w:spacing w:val="-4"/>
          <w:sz w:val="22"/>
        </w:rPr>
        <w:t>in</w:t>
      </w:r>
      <w:r>
        <w:rPr>
          <w:spacing w:val="-9"/>
          <w:sz w:val="22"/>
        </w:rPr>
        <w:t> </w:t>
      </w:r>
      <w:r>
        <w:rPr>
          <w:spacing w:val="-4"/>
          <w:sz w:val="22"/>
        </w:rPr>
        <w:t>projects.</w:t>
      </w:r>
      <w:r>
        <w:rPr>
          <w:spacing w:val="-9"/>
          <w:sz w:val="22"/>
        </w:rPr>
        <w:t> </w:t>
      </w:r>
      <w:r>
        <w:rPr>
          <w:spacing w:val="-4"/>
          <w:sz w:val="22"/>
        </w:rPr>
        <w:t>Apart</w:t>
      </w:r>
      <w:r>
        <w:rPr>
          <w:spacing w:val="-9"/>
          <w:sz w:val="22"/>
        </w:rPr>
        <w:t> </w:t>
      </w:r>
      <w:r>
        <w:rPr>
          <w:spacing w:val="-4"/>
          <w:sz w:val="22"/>
        </w:rPr>
        <w:t>from</w:t>
      </w:r>
      <w:r>
        <w:rPr>
          <w:spacing w:val="-9"/>
          <w:sz w:val="22"/>
        </w:rPr>
        <w:t> </w:t>
      </w:r>
      <w:r>
        <w:rPr>
          <w:spacing w:val="-4"/>
          <w:sz w:val="22"/>
        </w:rPr>
        <w:t>facilitating</w:t>
      </w:r>
      <w:r>
        <w:rPr>
          <w:spacing w:val="-9"/>
          <w:sz w:val="22"/>
        </w:rPr>
        <w:t> </w:t>
      </w:r>
      <w:r>
        <w:rPr>
          <w:spacing w:val="-4"/>
          <w:sz w:val="22"/>
        </w:rPr>
        <w:t>peer </w:t>
      </w:r>
      <w:r>
        <w:rPr>
          <w:sz w:val="22"/>
        </w:rPr>
        <w:t>learning, it provides a learning platform for potential doctoral students.</w:t>
      </w:r>
    </w:p>
    <w:p>
      <w:pPr>
        <w:pStyle w:val="BodyText"/>
        <w:spacing w:before="21"/>
      </w:pPr>
    </w:p>
    <w:p>
      <w:pPr>
        <w:pStyle w:val="BodyText"/>
        <w:spacing w:line="266" w:lineRule="auto"/>
        <w:ind w:left="1080"/>
        <w:jc w:val="both"/>
      </w:pPr>
      <w:r>
        <w:rPr>
          <w:spacing w:val="-4"/>
        </w:rPr>
        <w:t>A</w:t>
      </w:r>
      <w:r>
        <w:rPr>
          <w:spacing w:val="-10"/>
        </w:rPr>
        <w:t> </w:t>
      </w:r>
      <w:r>
        <w:rPr>
          <w:spacing w:val="-4"/>
        </w:rPr>
        <w:t>comprehensive</w:t>
      </w:r>
      <w:r>
        <w:rPr>
          <w:spacing w:val="-10"/>
        </w:rPr>
        <w:t> </w:t>
      </w:r>
      <w:r>
        <w:rPr>
          <w:spacing w:val="-4"/>
        </w:rPr>
        <w:t>National</w:t>
      </w:r>
      <w:r>
        <w:rPr>
          <w:spacing w:val="-10"/>
        </w:rPr>
        <w:t> </w:t>
      </w:r>
      <w:r>
        <w:rPr>
          <w:spacing w:val="-4"/>
        </w:rPr>
        <w:t>Projects</w:t>
      </w:r>
      <w:r>
        <w:rPr>
          <w:spacing w:val="-9"/>
        </w:rPr>
        <w:t> </w:t>
      </w:r>
      <w:r>
        <w:rPr>
          <w:spacing w:val="-4"/>
        </w:rPr>
        <w:t>and</w:t>
      </w:r>
      <w:r>
        <w:rPr>
          <w:spacing w:val="-10"/>
        </w:rPr>
        <w:t> </w:t>
      </w:r>
      <w:r>
        <w:rPr>
          <w:spacing w:val="-4"/>
        </w:rPr>
        <w:t>Research</w:t>
      </w:r>
      <w:r>
        <w:rPr>
          <w:spacing w:val="-10"/>
        </w:rPr>
        <w:t> </w:t>
      </w:r>
      <w:r>
        <w:rPr>
          <w:spacing w:val="-4"/>
        </w:rPr>
        <w:t>portal is</w:t>
      </w:r>
      <w:r>
        <w:rPr>
          <w:spacing w:val="-10"/>
        </w:rPr>
        <w:t> </w:t>
      </w:r>
      <w:r>
        <w:rPr>
          <w:spacing w:val="-4"/>
        </w:rPr>
        <w:t>highly</w:t>
      </w:r>
      <w:r>
        <w:rPr>
          <w:spacing w:val="-10"/>
        </w:rPr>
        <w:t> </w:t>
      </w:r>
      <w:r>
        <w:rPr>
          <w:spacing w:val="-4"/>
        </w:rPr>
        <w:t>recommended.</w:t>
      </w:r>
      <w:r>
        <w:rPr>
          <w:spacing w:val="-10"/>
        </w:rPr>
        <w:t> </w:t>
      </w:r>
      <w:r>
        <w:rPr>
          <w:spacing w:val="-4"/>
        </w:rPr>
        <w:t>This</w:t>
      </w:r>
      <w:r>
        <w:rPr>
          <w:spacing w:val="-9"/>
        </w:rPr>
        <w:t> </w:t>
      </w:r>
      <w:r>
        <w:rPr>
          <w:spacing w:val="-4"/>
        </w:rPr>
        <w:t>is</w:t>
      </w:r>
      <w:r>
        <w:rPr>
          <w:spacing w:val="-10"/>
        </w:rPr>
        <w:t> </w:t>
      </w:r>
      <w:r>
        <w:rPr>
          <w:spacing w:val="-4"/>
        </w:rPr>
        <w:t>essential</w:t>
      </w:r>
      <w:r>
        <w:rPr>
          <w:spacing w:val="-10"/>
        </w:rPr>
        <w:t> </w:t>
      </w:r>
      <w:r>
        <w:rPr>
          <w:spacing w:val="-4"/>
        </w:rPr>
        <w:t>for</w:t>
      </w:r>
      <w:r>
        <w:rPr>
          <w:spacing w:val="-8"/>
        </w:rPr>
        <w:t> </w:t>
      </w:r>
      <w:r>
        <w:rPr>
          <w:spacing w:val="-4"/>
        </w:rPr>
        <w:t>connecting </w:t>
      </w:r>
      <w:r>
        <w:rPr>
          <w:w w:val="90"/>
        </w:rPr>
        <w:t>students</w:t>
      </w:r>
      <w:r>
        <w:rPr>
          <w:spacing w:val="-2"/>
          <w:w w:val="90"/>
        </w:rPr>
        <w:t> </w:t>
      </w:r>
      <w:r>
        <w:rPr>
          <w:w w:val="90"/>
        </w:rPr>
        <w:t>and</w:t>
      </w:r>
      <w:r>
        <w:rPr>
          <w:spacing w:val="-2"/>
          <w:w w:val="90"/>
        </w:rPr>
        <w:t> </w:t>
      </w:r>
      <w:r>
        <w:rPr>
          <w:w w:val="90"/>
        </w:rPr>
        <w:t>researchers</w:t>
      </w:r>
      <w:r>
        <w:rPr>
          <w:spacing w:val="-2"/>
          <w:w w:val="90"/>
        </w:rPr>
        <w:t> </w:t>
      </w:r>
      <w:r>
        <w:rPr>
          <w:w w:val="90"/>
        </w:rPr>
        <w:t>at</w:t>
      </w:r>
      <w:r>
        <w:rPr>
          <w:spacing w:val="-2"/>
          <w:w w:val="90"/>
        </w:rPr>
        <w:t> </w:t>
      </w:r>
      <w:r>
        <w:rPr>
          <w:w w:val="90"/>
        </w:rPr>
        <w:t>all</w:t>
      </w:r>
      <w:r>
        <w:rPr>
          <w:spacing w:val="-2"/>
          <w:w w:val="90"/>
        </w:rPr>
        <w:t> </w:t>
      </w:r>
      <w:r>
        <w:rPr>
          <w:w w:val="90"/>
        </w:rPr>
        <w:t>levels,</w:t>
      </w:r>
      <w:r>
        <w:rPr>
          <w:spacing w:val="-2"/>
          <w:w w:val="90"/>
        </w:rPr>
        <w:t> </w:t>
      </w:r>
      <w:r>
        <w:rPr>
          <w:w w:val="90"/>
        </w:rPr>
        <w:t>facilitating</w:t>
      </w:r>
      <w:r>
        <w:rPr>
          <w:spacing w:val="-2"/>
          <w:w w:val="90"/>
        </w:rPr>
        <w:t> </w:t>
      </w:r>
      <w:r>
        <w:rPr>
          <w:w w:val="90"/>
        </w:rPr>
        <w:t>formation </w:t>
      </w:r>
      <w:r>
        <w:rPr/>
        <w:t>of virtual peer groups, disseminating information </w:t>
      </w:r>
      <w:r>
        <w:rPr>
          <w:spacing w:val="-2"/>
        </w:rPr>
        <w:t>related</w:t>
      </w:r>
      <w:r>
        <w:rPr>
          <w:spacing w:val="-6"/>
        </w:rPr>
        <w:t> </w:t>
      </w:r>
      <w:r>
        <w:rPr>
          <w:spacing w:val="-2"/>
        </w:rPr>
        <w:t>to</w:t>
      </w:r>
      <w:r>
        <w:rPr>
          <w:spacing w:val="-6"/>
        </w:rPr>
        <w:t> </w:t>
      </w:r>
      <w:r>
        <w:rPr>
          <w:spacing w:val="-2"/>
        </w:rPr>
        <w:t>various</w:t>
      </w:r>
      <w:r>
        <w:rPr>
          <w:spacing w:val="-6"/>
        </w:rPr>
        <w:t> </w:t>
      </w:r>
      <w:r>
        <w:rPr>
          <w:spacing w:val="-2"/>
        </w:rPr>
        <w:t>projects</w:t>
      </w:r>
      <w:r>
        <w:rPr>
          <w:spacing w:val="-6"/>
        </w:rPr>
        <w:t> </w:t>
      </w:r>
      <w:r>
        <w:rPr>
          <w:spacing w:val="-2"/>
        </w:rPr>
        <w:t>and</w:t>
      </w:r>
      <w:r>
        <w:rPr>
          <w:spacing w:val="-6"/>
        </w:rPr>
        <w:t> </w:t>
      </w:r>
      <w:r>
        <w:rPr>
          <w:spacing w:val="-2"/>
        </w:rPr>
        <w:t>schemes,</w:t>
      </w:r>
      <w:r>
        <w:rPr>
          <w:spacing w:val="-6"/>
        </w:rPr>
        <w:t> </w:t>
      </w:r>
      <w:r>
        <w:rPr>
          <w:spacing w:val="-2"/>
        </w:rPr>
        <w:t>and</w:t>
      </w:r>
      <w:r>
        <w:rPr>
          <w:spacing w:val="-6"/>
        </w:rPr>
        <w:t> </w:t>
      </w:r>
      <w:r>
        <w:rPr>
          <w:spacing w:val="-2"/>
        </w:rPr>
        <w:t>providing </w:t>
      </w:r>
      <w:r>
        <w:rPr/>
        <w:t>information</w:t>
      </w:r>
      <w:r>
        <w:rPr>
          <w:spacing w:val="-1"/>
        </w:rPr>
        <w:t> </w:t>
      </w:r>
      <w:r>
        <w:rPr/>
        <w:t>of</w:t>
      </w:r>
      <w:r>
        <w:rPr>
          <w:spacing w:val="-1"/>
        </w:rPr>
        <w:t> </w:t>
      </w:r>
      <w:r>
        <w:rPr/>
        <w:t>various</w:t>
      </w:r>
      <w:r>
        <w:rPr>
          <w:spacing w:val="-1"/>
        </w:rPr>
        <w:t> </w:t>
      </w:r>
      <w:r>
        <w:rPr/>
        <w:t>positions</w:t>
      </w:r>
      <w:r>
        <w:rPr>
          <w:spacing w:val="-1"/>
        </w:rPr>
        <w:t> </w:t>
      </w:r>
      <w:r>
        <w:rPr/>
        <w:t>for</w:t>
      </w:r>
      <w:r>
        <w:rPr>
          <w:spacing w:val="-1"/>
        </w:rPr>
        <w:t> </w:t>
      </w:r>
      <w:r>
        <w:rPr/>
        <w:t>doctorates</w:t>
      </w:r>
      <w:r>
        <w:rPr>
          <w:spacing w:val="-1"/>
        </w:rPr>
        <w:t> </w:t>
      </w:r>
      <w:r>
        <w:rPr/>
        <w:t>etc.</w:t>
      </w:r>
    </w:p>
    <w:p>
      <w:pPr>
        <w:pStyle w:val="Heading7"/>
        <w:spacing w:line="225" w:lineRule="auto" w:before="252"/>
        <w:ind w:left="1080" w:right="91"/>
      </w:pPr>
      <w:r>
        <w:rPr>
          <w:color w:val="2E614A"/>
          <w:w w:val="90"/>
        </w:rPr>
        <w:t>Recommendation 3: Restructure </w:t>
      </w:r>
      <w:r>
        <w:rPr>
          <w:color w:val="2E614A"/>
          <w:w w:val="90"/>
        </w:rPr>
        <w:t>incentives </w:t>
      </w:r>
      <w:r>
        <w:rPr>
          <w:color w:val="2E614A"/>
          <w:spacing w:val="-6"/>
        </w:rPr>
        <w:t>for</w:t>
      </w:r>
      <w:r>
        <w:rPr>
          <w:color w:val="2E614A"/>
          <w:spacing w:val="-11"/>
        </w:rPr>
        <w:t> </w:t>
      </w:r>
      <w:r>
        <w:rPr>
          <w:color w:val="2E614A"/>
          <w:spacing w:val="-6"/>
        </w:rPr>
        <w:t>doctoral</w:t>
      </w:r>
      <w:r>
        <w:rPr>
          <w:color w:val="2E614A"/>
          <w:spacing w:val="-10"/>
        </w:rPr>
        <w:t> </w:t>
      </w:r>
      <w:r>
        <w:rPr>
          <w:color w:val="2E614A"/>
          <w:spacing w:val="-6"/>
        </w:rPr>
        <w:t>degree</w:t>
      </w:r>
      <w:r>
        <w:rPr>
          <w:color w:val="2E614A"/>
          <w:spacing w:val="-10"/>
        </w:rPr>
        <w:t> </w:t>
      </w:r>
      <w:r>
        <w:rPr>
          <w:color w:val="2E614A"/>
          <w:spacing w:val="-6"/>
        </w:rPr>
        <w:t>students</w:t>
      </w:r>
      <w:r>
        <w:rPr>
          <w:color w:val="2E614A"/>
          <w:spacing w:val="-10"/>
        </w:rPr>
        <w:t> </w:t>
      </w:r>
      <w:r>
        <w:rPr>
          <w:color w:val="2E614A"/>
          <w:spacing w:val="-6"/>
        </w:rPr>
        <w:t>to</w:t>
      </w:r>
      <w:r>
        <w:rPr>
          <w:color w:val="2E614A"/>
          <w:spacing w:val="-11"/>
        </w:rPr>
        <w:t> </w:t>
      </w:r>
      <w:r>
        <w:rPr>
          <w:color w:val="2E614A"/>
          <w:spacing w:val="-6"/>
        </w:rPr>
        <w:t>attract</w:t>
      </w:r>
      <w:r>
        <w:rPr>
          <w:color w:val="2E614A"/>
          <w:spacing w:val="-10"/>
        </w:rPr>
        <w:t> </w:t>
      </w:r>
      <w:r>
        <w:rPr>
          <w:color w:val="2E614A"/>
          <w:spacing w:val="-6"/>
        </w:rPr>
        <w:t>and </w:t>
      </w:r>
      <w:r>
        <w:rPr>
          <w:color w:val="2E614A"/>
        </w:rPr>
        <w:t>retain</w:t>
      </w:r>
      <w:r>
        <w:rPr>
          <w:color w:val="2E614A"/>
          <w:spacing w:val="-17"/>
        </w:rPr>
        <w:t> </w:t>
      </w:r>
      <w:r>
        <w:rPr>
          <w:color w:val="2E614A"/>
        </w:rPr>
        <w:t>them</w:t>
      </w:r>
      <w:r>
        <w:rPr>
          <w:color w:val="2E614A"/>
          <w:spacing w:val="-16"/>
        </w:rPr>
        <w:t> </w:t>
      </w:r>
      <w:r>
        <w:rPr>
          <w:color w:val="2E614A"/>
        </w:rPr>
        <w:t>in</w:t>
      </w:r>
      <w:r>
        <w:rPr>
          <w:color w:val="2E614A"/>
          <w:spacing w:val="-16"/>
        </w:rPr>
        <w:t> </w:t>
      </w:r>
      <w:r>
        <w:rPr>
          <w:color w:val="2E614A"/>
        </w:rPr>
        <w:t>research</w:t>
      </w:r>
    </w:p>
    <w:p>
      <w:pPr>
        <w:pStyle w:val="BodyText"/>
        <w:spacing w:before="1"/>
        <w:rPr>
          <w:b/>
          <w:sz w:val="26"/>
        </w:rPr>
      </w:pPr>
    </w:p>
    <w:p>
      <w:pPr>
        <w:pStyle w:val="BodyText"/>
        <w:spacing w:line="266" w:lineRule="auto"/>
        <w:ind w:left="1080"/>
        <w:jc w:val="both"/>
      </w:pPr>
      <w:r>
        <w:rPr>
          <w:b/>
          <w:spacing w:val="-6"/>
        </w:rPr>
        <w:t>Issues:</w:t>
      </w:r>
      <w:r>
        <w:rPr>
          <w:b/>
          <w:spacing w:val="-8"/>
        </w:rPr>
        <w:t> </w:t>
      </w:r>
      <w:r>
        <w:rPr>
          <w:spacing w:val="-6"/>
        </w:rPr>
        <w:t>The</w:t>
      </w:r>
      <w:r>
        <w:rPr>
          <w:spacing w:val="-8"/>
        </w:rPr>
        <w:t> </w:t>
      </w:r>
      <w:r>
        <w:rPr>
          <w:spacing w:val="-6"/>
        </w:rPr>
        <w:t>gamut</w:t>
      </w:r>
      <w:r>
        <w:rPr>
          <w:spacing w:val="-5"/>
        </w:rPr>
        <w:t> </w:t>
      </w:r>
      <w:r>
        <w:rPr>
          <w:spacing w:val="-6"/>
        </w:rPr>
        <w:t>of opportunities available to </w:t>
      </w:r>
      <w:r>
        <w:rPr>
          <w:spacing w:val="-6"/>
        </w:rPr>
        <w:t>graduate </w:t>
      </w:r>
      <w:r>
        <w:rPr/>
        <w:t>and</w:t>
      </w:r>
      <w:r>
        <w:rPr>
          <w:spacing w:val="-16"/>
        </w:rPr>
        <w:t> </w:t>
      </w:r>
      <w:r>
        <w:rPr/>
        <w:t>post</w:t>
      </w:r>
      <w:r>
        <w:rPr>
          <w:spacing w:val="-14"/>
        </w:rPr>
        <w:t> </w:t>
      </w:r>
      <w:r>
        <w:rPr/>
        <w:t>graduate</w:t>
      </w:r>
      <w:r>
        <w:rPr>
          <w:spacing w:val="-14"/>
        </w:rPr>
        <w:t> </w:t>
      </w:r>
      <w:r>
        <w:rPr/>
        <w:t>students</w:t>
      </w:r>
      <w:r>
        <w:rPr>
          <w:spacing w:val="-13"/>
        </w:rPr>
        <w:t> </w:t>
      </w:r>
      <w:r>
        <w:rPr/>
        <w:t>today</w:t>
      </w:r>
      <w:r>
        <w:rPr>
          <w:spacing w:val="-14"/>
        </w:rPr>
        <w:t> </w:t>
      </w:r>
      <w:r>
        <w:rPr/>
        <w:t>has</w:t>
      </w:r>
      <w:r>
        <w:rPr>
          <w:spacing w:val="-14"/>
        </w:rPr>
        <w:t> </w:t>
      </w:r>
      <w:r>
        <w:rPr/>
        <w:t>made</w:t>
      </w:r>
      <w:r>
        <w:rPr>
          <w:spacing w:val="-14"/>
        </w:rPr>
        <w:t> </w:t>
      </w:r>
      <w:r>
        <w:rPr/>
        <w:t>research</w:t>
      </w:r>
      <w:r>
        <w:rPr>
          <w:spacing w:val="-13"/>
        </w:rPr>
        <w:t> </w:t>
      </w:r>
      <w:r>
        <w:rPr/>
        <w:t>in </w:t>
      </w:r>
      <w:r>
        <w:rPr>
          <w:spacing w:val="-6"/>
        </w:rPr>
        <w:t>India an obvious secondary choice. Apart from financial </w:t>
      </w:r>
      <w:r>
        <w:rPr>
          <w:spacing w:val="-4"/>
        </w:rPr>
        <w:t>unattractiveness</w:t>
      </w:r>
      <w:r>
        <w:rPr>
          <w:spacing w:val="-10"/>
        </w:rPr>
        <w:t> </w:t>
      </w:r>
      <w:r>
        <w:rPr>
          <w:spacing w:val="-4"/>
        </w:rPr>
        <w:t>and</w:t>
      </w:r>
      <w:r>
        <w:rPr>
          <w:spacing w:val="-10"/>
        </w:rPr>
        <w:t> </w:t>
      </w:r>
      <w:r>
        <w:rPr>
          <w:spacing w:val="-4"/>
        </w:rPr>
        <w:t>substantial</w:t>
      </w:r>
      <w:r>
        <w:rPr>
          <w:spacing w:val="-10"/>
        </w:rPr>
        <w:t> </w:t>
      </w:r>
      <w:r>
        <w:rPr>
          <w:spacing w:val="-4"/>
        </w:rPr>
        <w:t>investment</w:t>
      </w:r>
      <w:r>
        <w:rPr>
          <w:spacing w:val="-9"/>
        </w:rPr>
        <w:t> </w:t>
      </w:r>
      <w:r>
        <w:rPr>
          <w:spacing w:val="-4"/>
        </w:rPr>
        <w:t>of</w:t>
      </w:r>
      <w:r>
        <w:rPr>
          <w:spacing w:val="-10"/>
        </w:rPr>
        <w:t> </w:t>
      </w:r>
      <w:r>
        <w:rPr>
          <w:spacing w:val="-4"/>
        </w:rPr>
        <w:t>the</w:t>
      </w:r>
      <w:r>
        <w:rPr>
          <w:spacing w:val="-10"/>
        </w:rPr>
        <w:t> </w:t>
      </w:r>
      <w:r>
        <w:rPr>
          <w:spacing w:val="-4"/>
        </w:rPr>
        <w:t>prime </w:t>
      </w:r>
      <w:r>
        <w:rPr>
          <w:spacing w:val="-6"/>
        </w:rPr>
        <w:t>years in their lives, there is a perceived lack of challenge </w:t>
      </w:r>
      <w:r>
        <w:rPr/>
        <w:t>as well as future career opportunities.</w:t>
      </w:r>
    </w:p>
    <w:p>
      <w:pPr>
        <w:pStyle w:val="BodyText"/>
        <w:spacing w:before="22"/>
      </w:pPr>
    </w:p>
    <w:p>
      <w:pPr>
        <w:pStyle w:val="ListParagraph"/>
        <w:numPr>
          <w:ilvl w:val="1"/>
          <w:numId w:val="48"/>
        </w:numPr>
        <w:tabs>
          <w:tab w:pos="1444" w:val="left" w:leader="none"/>
        </w:tabs>
        <w:spacing w:line="266" w:lineRule="auto" w:before="0" w:after="0"/>
        <w:ind w:left="1080" w:right="0" w:firstLine="0"/>
        <w:jc w:val="both"/>
        <w:rPr>
          <w:b/>
          <w:sz w:val="22"/>
        </w:rPr>
      </w:pPr>
      <w:r>
        <w:rPr>
          <w:b/>
          <w:sz w:val="22"/>
        </w:rPr>
        <w:t>Remuneration:</w:t>
      </w:r>
      <w:r>
        <w:rPr>
          <w:b/>
          <w:spacing w:val="-14"/>
          <w:sz w:val="22"/>
        </w:rPr>
        <w:t> </w:t>
      </w:r>
      <w:r>
        <w:rPr>
          <w:sz w:val="22"/>
        </w:rPr>
        <w:t>It</w:t>
      </w:r>
      <w:r>
        <w:rPr>
          <w:spacing w:val="-14"/>
          <w:sz w:val="22"/>
        </w:rPr>
        <w:t> </w:t>
      </w:r>
      <w:r>
        <w:rPr>
          <w:sz w:val="22"/>
        </w:rPr>
        <w:t>is</w:t>
      </w:r>
      <w:r>
        <w:rPr>
          <w:spacing w:val="-14"/>
          <w:sz w:val="22"/>
        </w:rPr>
        <w:t> </w:t>
      </w:r>
      <w:r>
        <w:rPr>
          <w:sz w:val="22"/>
        </w:rPr>
        <w:t>generally</w:t>
      </w:r>
      <w:r>
        <w:rPr>
          <w:spacing w:val="-13"/>
          <w:sz w:val="22"/>
        </w:rPr>
        <w:t> </w:t>
      </w:r>
      <w:r>
        <w:rPr>
          <w:sz w:val="22"/>
        </w:rPr>
        <w:t>true</w:t>
      </w:r>
      <w:r>
        <w:rPr>
          <w:spacing w:val="-14"/>
          <w:sz w:val="22"/>
        </w:rPr>
        <w:t> </w:t>
      </w:r>
      <w:r>
        <w:rPr>
          <w:sz w:val="22"/>
        </w:rPr>
        <w:t>that</w:t>
      </w:r>
      <w:r>
        <w:rPr>
          <w:spacing w:val="-14"/>
          <w:sz w:val="22"/>
        </w:rPr>
        <w:t> </w:t>
      </w:r>
      <w:r>
        <w:rPr>
          <w:sz w:val="22"/>
        </w:rPr>
        <w:t>interested and</w:t>
      </w:r>
      <w:r>
        <w:rPr>
          <w:spacing w:val="-13"/>
          <w:sz w:val="22"/>
        </w:rPr>
        <w:t> </w:t>
      </w:r>
      <w:r>
        <w:rPr>
          <w:sz w:val="22"/>
        </w:rPr>
        <w:t>talented</w:t>
      </w:r>
      <w:r>
        <w:rPr>
          <w:spacing w:val="-13"/>
          <w:sz w:val="22"/>
        </w:rPr>
        <w:t> </w:t>
      </w:r>
      <w:r>
        <w:rPr>
          <w:sz w:val="22"/>
        </w:rPr>
        <w:t>people</w:t>
      </w:r>
      <w:r>
        <w:rPr>
          <w:spacing w:val="-13"/>
          <w:sz w:val="22"/>
        </w:rPr>
        <w:t> </w:t>
      </w:r>
      <w:r>
        <w:rPr>
          <w:sz w:val="22"/>
        </w:rPr>
        <w:t>choose</w:t>
      </w:r>
      <w:r>
        <w:rPr>
          <w:spacing w:val="-13"/>
          <w:sz w:val="22"/>
        </w:rPr>
        <w:t> </w:t>
      </w:r>
      <w:r>
        <w:rPr>
          <w:sz w:val="22"/>
        </w:rPr>
        <w:t>to</w:t>
      </w:r>
      <w:r>
        <w:rPr>
          <w:spacing w:val="-13"/>
          <w:sz w:val="22"/>
        </w:rPr>
        <w:t> </w:t>
      </w:r>
      <w:r>
        <w:rPr>
          <w:sz w:val="22"/>
        </w:rPr>
        <w:t>pursue</w:t>
      </w:r>
      <w:r>
        <w:rPr>
          <w:spacing w:val="-13"/>
          <w:sz w:val="22"/>
        </w:rPr>
        <w:t> </w:t>
      </w:r>
      <w:r>
        <w:rPr>
          <w:sz w:val="22"/>
        </w:rPr>
        <w:t>doctoral</w:t>
      </w:r>
      <w:r>
        <w:rPr>
          <w:spacing w:val="-13"/>
          <w:sz w:val="22"/>
        </w:rPr>
        <w:t> </w:t>
      </w:r>
      <w:r>
        <w:rPr>
          <w:sz w:val="22"/>
        </w:rPr>
        <w:t>studies. They</w:t>
      </w:r>
      <w:r>
        <w:rPr>
          <w:spacing w:val="-5"/>
          <w:sz w:val="22"/>
        </w:rPr>
        <w:t> </w:t>
      </w:r>
      <w:r>
        <w:rPr>
          <w:sz w:val="22"/>
        </w:rPr>
        <w:t>could</w:t>
      </w:r>
      <w:r>
        <w:rPr>
          <w:spacing w:val="-5"/>
          <w:sz w:val="22"/>
        </w:rPr>
        <w:t> </w:t>
      </w:r>
      <w:r>
        <w:rPr>
          <w:sz w:val="22"/>
        </w:rPr>
        <w:t>have</w:t>
      </w:r>
      <w:r>
        <w:rPr>
          <w:spacing w:val="-5"/>
          <w:sz w:val="22"/>
        </w:rPr>
        <w:t> </w:t>
      </w:r>
      <w:r>
        <w:rPr>
          <w:sz w:val="22"/>
        </w:rPr>
        <w:t>easily</w:t>
      </w:r>
      <w:r>
        <w:rPr>
          <w:spacing w:val="-5"/>
          <w:sz w:val="22"/>
        </w:rPr>
        <w:t> </w:t>
      </w:r>
      <w:r>
        <w:rPr>
          <w:sz w:val="22"/>
        </w:rPr>
        <w:t>opted</w:t>
      </w:r>
      <w:r>
        <w:rPr>
          <w:spacing w:val="-5"/>
          <w:sz w:val="22"/>
        </w:rPr>
        <w:t> </w:t>
      </w:r>
      <w:r>
        <w:rPr>
          <w:sz w:val="22"/>
        </w:rPr>
        <w:t>for</w:t>
      </w:r>
      <w:r>
        <w:rPr>
          <w:spacing w:val="-5"/>
          <w:sz w:val="22"/>
        </w:rPr>
        <w:t> </w:t>
      </w:r>
      <w:r>
        <w:rPr>
          <w:sz w:val="22"/>
        </w:rPr>
        <w:t>better</w:t>
      </w:r>
      <w:r>
        <w:rPr>
          <w:spacing w:val="-5"/>
          <w:sz w:val="22"/>
        </w:rPr>
        <w:t> </w:t>
      </w:r>
      <w:r>
        <w:rPr>
          <w:sz w:val="22"/>
        </w:rPr>
        <w:t>paying</w:t>
      </w:r>
      <w:r>
        <w:rPr>
          <w:spacing w:val="-5"/>
          <w:sz w:val="22"/>
        </w:rPr>
        <w:t> </w:t>
      </w:r>
      <w:r>
        <w:rPr>
          <w:sz w:val="22"/>
        </w:rPr>
        <w:t>career </w:t>
      </w:r>
      <w:r>
        <w:rPr>
          <w:spacing w:val="-2"/>
          <w:sz w:val="22"/>
        </w:rPr>
        <w:t>options.</w:t>
      </w:r>
      <w:r>
        <w:rPr>
          <w:spacing w:val="-8"/>
          <w:sz w:val="22"/>
        </w:rPr>
        <w:t> </w:t>
      </w:r>
      <w:r>
        <w:rPr>
          <w:spacing w:val="-2"/>
          <w:sz w:val="22"/>
        </w:rPr>
        <w:t>Also,</w:t>
      </w:r>
      <w:r>
        <w:rPr>
          <w:spacing w:val="-8"/>
          <w:sz w:val="22"/>
        </w:rPr>
        <w:t> </w:t>
      </w:r>
      <w:r>
        <w:rPr>
          <w:spacing w:val="-2"/>
          <w:sz w:val="22"/>
        </w:rPr>
        <w:t>there</w:t>
      </w:r>
      <w:r>
        <w:rPr>
          <w:spacing w:val="-8"/>
          <w:sz w:val="22"/>
        </w:rPr>
        <w:t> </w:t>
      </w:r>
      <w:r>
        <w:rPr>
          <w:spacing w:val="-2"/>
          <w:sz w:val="22"/>
        </w:rPr>
        <w:t>are</w:t>
      </w:r>
      <w:r>
        <w:rPr>
          <w:spacing w:val="-8"/>
          <w:sz w:val="22"/>
        </w:rPr>
        <w:t> </w:t>
      </w:r>
      <w:r>
        <w:rPr>
          <w:spacing w:val="-2"/>
          <w:sz w:val="22"/>
        </w:rPr>
        <w:t>many</w:t>
      </w:r>
      <w:r>
        <w:rPr>
          <w:spacing w:val="-8"/>
          <w:sz w:val="22"/>
        </w:rPr>
        <w:t> </w:t>
      </w:r>
      <w:r>
        <w:rPr>
          <w:spacing w:val="-2"/>
          <w:sz w:val="22"/>
        </w:rPr>
        <w:t>more</w:t>
      </w:r>
      <w:r>
        <w:rPr>
          <w:spacing w:val="-8"/>
          <w:sz w:val="22"/>
        </w:rPr>
        <w:t> </w:t>
      </w:r>
      <w:r>
        <w:rPr>
          <w:spacing w:val="-2"/>
          <w:sz w:val="22"/>
        </w:rPr>
        <w:t>students</w:t>
      </w:r>
      <w:r>
        <w:rPr>
          <w:spacing w:val="-8"/>
          <w:sz w:val="22"/>
        </w:rPr>
        <w:t> </w:t>
      </w:r>
      <w:r>
        <w:rPr>
          <w:spacing w:val="-2"/>
          <w:sz w:val="22"/>
        </w:rPr>
        <w:t>whom</w:t>
      </w:r>
      <w:r>
        <w:rPr>
          <w:spacing w:val="-8"/>
          <w:sz w:val="22"/>
        </w:rPr>
        <w:t> </w:t>
      </w:r>
      <w:r>
        <w:rPr>
          <w:spacing w:val="-2"/>
          <w:sz w:val="22"/>
        </w:rPr>
        <w:t>the </w:t>
      </w:r>
      <w:r>
        <w:rPr>
          <w:spacing w:val="-6"/>
          <w:sz w:val="22"/>
        </w:rPr>
        <w:t>system fails to attract on account of remuneration issues.</w:t>
      </w:r>
    </w:p>
    <w:p>
      <w:pPr>
        <w:pStyle w:val="BodyText"/>
        <w:spacing w:line="266" w:lineRule="auto" w:before="57"/>
        <w:ind w:left="319" w:right="1078"/>
        <w:jc w:val="both"/>
      </w:pPr>
      <w:r>
        <w:rPr/>
        <w:br w:type="column"/>
      </w:r>
      <w:r>
        <w:rPr>
          <w:spacing w:val="-2"/>
        </w:rPr>
        <w:t>Thus</w:t>
      </w:r>
      <w:r>
        <w:rPr>
          <w:spacing w:val="-12"/>
        </w:rPr>
        <w:t> </w:t>
      </w:r>
      <w:r>
        <w:rPr>
          <w:spacing w:val="-2"/>
        </w:rPr>
        <w:t>it</w:t>
      </w:r>
      <w:r>
        <w:rPr>
          <w:spacing w:val="-12"/>
        </w:rPr>
        <w:t> </w:t>
      </w:r>
      <w:r>
        <w:rPr>
          <w:spacing w:val="-2"/>
        </w:rPr>
        <w:t>is</w:t>
      </w:r>
      <w:r>
        <w:rPr>
          <w:spacing w:val="-12"/>
        </w:rPr>
        <w:t> </w:t>
      </w:r>
      <w:r>
        <w:rPr>
          <w:spacing w:val="-2"/>
        </w:rPr>
        <w:t>important</w:t>
      </w:r>
      <w:r>
        <w:rPr>
          <w:spacing w:val="-11"/>
        </w:rPr>
        <w:t> </w:t>
      </w:r>
      <w:r>
        <w:rPr>
          <w:spacing w:val="-2"/>
        </w:rPr>
        <w:t>that</w:t>
      </w:r>
      <w:r>
        <w:rPr>
          <w:spacing w:val="-12"/>
        </w:rPr>
        <w:t> </w:t>
      </w:r>
      <w:r>
        <w:rPr>
          <w:spacing w:val="-2"/>
        </w:rPr>
        <w:t>while</w:t>
      </w:r>
      <w:r>
        <w:rPr>
          <w:spacing w:val="-12"/>
        </w:rPr>
        <w:t> </w:t>
      </w:r>
      <w:r>
        <w:rPr>
          <w:spacing w:val="-2"/>
        </w:rPr>
        <w:t>deciding</w:t>
      </w:r>
      <w:r>
        <w:rPr>
          <w:spacing w:val="-12"/>
        </w:rPr>
        <w:t> </w:t>
      </w:r>
      <w:r>
        <w:rPr>
          <w:spacing w:val="-2"/>
        </w:rPr>
        <w:t>remunerations, </w:t>
      </w:r>
      <w:r>
        <w:rPr/>
        <w:t>opportunity costs are factored in.</w:t>
      </w:r>
    </w:p>
    <w:p>
      <w:pPr>
        <w:pStyle w:val="ListParagraph"/>
        <w:numPr>
          <w:ilvl w:val="2"/>
          <w:numId w:val="47"/>
        </w:numPr>
        <w:tabs>
          <w:tab w:pos="679" w:val="left" w:leader="none"/>
        </w:tabs>
        <w:spacing w:line="266" w:lineRule="auto" w:before="0" w:after="0"/>
        <w:ind w:left="679" w:right="1077" w:hanging="360"/>
        <w:jc w:val="both"/>
        <w:rPr>
          <w:sz w:val="22"/>
        </w:rPr>
      </w:pPr>
      <w:r>
        <w:rPr>
          <w:sz w:val="22"/>
        </w:rPr>
        <w:t>There should be a regular upgradation of </w:t>
      </w:r>
      <w:r>
        <w:rPr>
          <w:sz w:val="22"/>
        </w:rPr>
        <w:t>the amount of fellowships offered for Ph.Ds, and in general</w:t>
      </w:r>
      <w:r>
        <w:rPr>
          <w:spacing w:val="-4"/>
          <w:sz w:val="22"/>
        </w:rPr>
        <w:t> </w:t>
      </w:r>
      <w:r>
        <w:rPr>
          <w:sz w:val="22"/>
        </w:rPr>
        <w:t>for</w:t>
      </w:r>
      <w:r>
        <w:rPr>
          <w:spacing w:val="-4"/>
          <w:sz w:val="22"/>
        </w:rPr>
        <w:t> </w:t>
      </w:r>
      <w:r>
        <w:rPr>
          <w:sz w:val="22"/>
        </w:rPr>
        <w:t>the</w:t>
      </w:r>
      <w:r>
        <w:rPr>
          <w:spacing w:val="-4"/>
          <w:sz w:val="22"/>
        </w:rPr>
        <w:t> </w:t>
      </w:r>
      <w:r>
        <w:rPr>
          <w:sz w:val="22"/>
        </w:rPr>
        <w:t>entire</w:t>
      </w:r>
      <w:r>
        <w:rPr>
          <w:spacing w:val="-4"/>
          <w:sz w:val="22"/>
        </w:rPr>
        <w:t> </w:t>
      </w:r>
      <w:r>
        <w:rPr>
          <w:sz w:val="22"/>
        </w:rPr>
        <w:t>academic</w:t>
      </w:r>
      <w:r>
        <w:rPr>
          <w:spacing w:val="-4"/>
          <w:sz w:val="22"/>
        </w:rPr>
        <w:t> </w:t>
      </w:r>
      <w:r>
        <w:rPr>
          <w:sz w:val="22"/>
        </w:rPr>
        <w:t>profession.</w:t>
      </w:r>
    </w:p>
    <w:p>
      <w:pPr>
        <w:pStyle w:val="ListParagraph"/>
        <w:numPr>
          <w:ilvl w:val="2"/>
          <w:numId w:val="47"/>
        </w:numPr>
        <w:tabs>
          <w:tab w:pos="679" w:val="left" w:leader="none"/>
        </w:tabs>
        <w:spacing w:line="266" w:lineRule="auto" w:before="0" w:after="0"/>
        <w:ind w:left="679" w:right="1077" w:hanging="360"/>
        <w:jc w:val="both"/>
        <w:rPr>
          <w:sz w:val="22"/>
        </w:rPr>
      </w:pPr>
      <w:r>
        <w:rPr>
          <w:sz w:val="22"/>
        </w:rPr>
        <w:t>Various</w:t>
      </w:r>
      <w:r>
        <w:rPr>
          <w:spacing w:val="-12"/>
          <w:sz w:val="22"/>
        </w:rPr>
        <w:t> </w:t>
      </w:r>
      <w:r>
        <w:rPr>
          <w:sz w:val="22"/>
        </w:rPr>
        <w:t>forms</w:t>
      </w:r>
      <w:r>
        <w:rPr>
          <w:spacing w:val="-12"/>
          <w:sz w:val="22"/>
        </w:rPr>
        <w:t> </w:t>
      </w:r>
      <w:r>
        <w:rPr>
          <w:sz w:val="22"/>
        </w:rPr>
        <w:t>of</w:t>
      </w:r>
      <w:r>
        <w:rPr>
          <w:spacing w:val="-12"/>
          <w:sz w:val="22"/>
        </w:rPr>
        <w:t> </w:t>
      </w:r>
      <w:r>
        <w:rPr>
          <w:sz w:val="22"/>
        </w:rPr>
        <w:t>additional</w:t>
      </w:r>
      <w:r>
        <w:rPr>
          <w:spacing w:val="-12"/>
          <w:sz w:val="22"/>
        </w:rPr>
        <w:t> </w:t>
      </w:r>
      <w:r>
        <w:rPr>
          <w:sz w:val="22"/>
        </w:rPr>
        <w:t>compensation</w:t>
      </w:r>
      <w:r>
        <w:rPr>
          <w:spacing w:val="-12"/>
          <w:sz w:val="22"/>
        </w:rPr>
        <w:t> </w:t>
      </w:r>
      <w:r>
        <w:rPr>
          <w:sz w:val="22"/>
        </w:rPr>
        <w:t>should be explored.</w:t>
      </w:r>
    </w:p>
    <w:p>
      <w:pPr>
        <w:pStyle w:val="ListParagraph"/>
        <w:numPr>
          <w:ilvl w:val="2"/>
          <w:numId w:val="47"/>
        </w:numPr>
        <w:tabs>
          <w:tab w:pos="679" w:val="left" w:leader="none"/>
        </w:tabs>
        <w:spacing w:line="266" w:lineRule="auto" w:before="0" w:after="0"/>
        <w:ind w:left="679" w:right="1077" w:hanging="360"/>
        <w:jc w:val="both"/>
        <w:rPr>
          <w:sz w:val="22"/>
        </w:rPr>
      </w:pPr>
      <w:r>
        <w:rPr>
          <w:sz w:val="22"/>
        </w:rPr>
        <w:t>Teaching assistantship to bright Ph.D </w:t>
      </w:r>
      <w:r>
        <w:rPr>
          <w:sz w:val="22"/>
        </w:rPr>
        <w:t>students should be provided to add to their earnings.</w:t>
      </w:r>
      <w:r>
        <w:rPr>
          <w:spacing w:val="-4"/>
          <w:sz w:val="22"/>
        </w:rPr>
        <w:t> </w:t>
      </w:r>
      <w:r>
        <w:rPr>
          <w:sz w:val="22"/>
        </w:rPr>
        <w:t>This would</w:t>
      </w:r>
      <w:r>
        <w:rPr>
          <w:spacing w:val="-5"/>
          <w:sz w:val="22"/>
        </w:rPr>
        <w:t> </w:t>
      </w:r>
      <w:r>
        <w:rPr>
          <w:sz w:val="22"/>
        </w:rPr>
        <w:t>also</w:t>
      </w:r>
      <w:r>
        <w:rPr>
          <w:spacing w:val="-5"/>
          <w:sz w:val="22"/>
        </w:rPr>
        <w:t> </w:t>
      </w:r>
      <w:r>
        <w:rPr>
          <w:sz w:val="22"/>
        </w:rPr>
        <w:t>have</w:t>
      </w:r>
      <w:r>
        <w:rPr>
          <w:spacing w:val="-5"/>
          <w:sz w:val="22"/>
        </w:rPr>
        <w:t> </w:t>
      </w:r>
      <w:r>
        <w:rPr>
          <w:sz w:val="22"/>
        </w:rPr>
        <w:t>the</w:t>
      </w:r>
      <w:r>
        <w:rPr>
          <w:spacing w:val="-5"/>
          <w:sz w:val="22"/>
        </w:rPr>
        <w:t> </w:t>
      </w:r>
      <w:r>
        <w:rPr>
          <w:sz w:val="22"/>
        </w:rPr>
        <w:t>additional</w:t>
      </w:r>
      <w:r>
        <w:rPr>
          <w:spacing w:val="-5"/>
          <w:sz w:val="22"/>
        </w:rPr>
        <w:t> </w:t>
      </w:r>
      <w:r>
        <w:rPr>
          <w:sz w:val="22"/>
        </w:rPr>
        <w:t>benefit</w:t>
      </w:r>
      <w:r>
        <w:rPr>
          <w:spacing w:val="-5"/>
          <w:sz w:val="22"/>
        </w:rPr>
        <w:t> </w:t>
      </w:r>
      <w:r>
        <w:rPr>
          <w:sz w:val="22"/>
        </w:rPr>
        <w:t>of</w:t>
      </w:r>
      <w:r>
        <w:rPr>
          <w:spacing w:val="-5"/>
          <w:sz w:val="22"/>
        </w:rPr>
        <w:t> </w:t>
      </w:r>
      <w:r>
        <w:rPr>
          <w:sz w:val="22"/>
        </w:rPr>
        <w:t>training and</w:t>
      </w:r>
      <w:r>
        <w:rPr>
          <w:spacing w:val="-5"/>
          <w:sz w:val="22"/>
        </w:rPr>
        <w:t> </w:t>
      </w:r>
      <w:r>
        <w:rPr>
          <w:sz w:val="22"/>
        </w:rPr>
        <w:t>preparing</w:t>
      </w:r>
      <w:r>
        <w:rPr>
          <w:spacing w:val="-5"/>
          <w:sz w:val="22"/>
        </w:rPr>
        <w:t> </w:t>
      </w:r>
      <w:r>
        <w:rPr>
          <w:sz w:val="22"/>
        </w:rPr>
        <w:t>them</w:t>
      </w:r>
      <w:r>
        <w:rPr>
          <w:spacing w:val="-5"/>
          <w:sz w:val="22"/>
        </w:rPr>
        <w:t> </w:t>
      </w:r>
      <w:r>
        <w:rPr>
          <w:sz w:val="22"/>
        </w:rPr>
        <w:t>for</w:t>
      </w:r>
      <w:r>
        <w:rPr>
          <w:spacing w:val="-5"/>
          <w:sz w:val="22"/>
        </w:rPr>
        <w:t> </w:t>
      </w:r>
      <w:r>
        <w:rPr>
          <w:sz w:val="22"/>
        </w:rPr>
        <w:t>a</w:t>
      </w:r>
      <w:r>
        <w:rPr>
          <w:spacing w:val="-5"/>
          <w:sz w:val="22"/>
        </w:rPr>
        <w:t> </w:t>
      </w:r>
      <w:r>
        <w:rPr>
          <w:sz w:val="22"/>
        </w:rPr>
        <w:t>career</w:t>
      </w:r>
      <w:r>
        <w:rPr>
          <w:spacing w:val="-5"/>
          <w:sz w:val="22"/>
        </w:rPr>
        <w:t> </w:t>
      </w:r>
      <w:r>
        <w:rPr>
          <w:sz w:val="22"/>
        </w:rPr>
        <w:t>in</w:t>
      </w:r>
      <w:r>
        <w:rPr>
          <w:spacing w:val="-5"/>
          <w:sz w:val="22"/>
        </w:rPr>
        <w:t> </w:t>
      </w:r>
      <w:r>
        <w:rPr>
          <w:sz w:val="22"/>
        </w:rPr>
        <w:t>academics</w:t>
      </w:r>
      <w:r>
        <w:rPr>
          <w:spacing w:val="-5"/>
          <w:sz w:val="22"/>
        </w:rPr>
        <w:t> </w:t>
      </w:r>
      <w:r>
        <w:rPr>
          <w:sz w:val="22"/>
        </w:rPr>
        <w:t>and teaching. This is vital considering the current serious</w:t>
      </w:r>
      <w:r>
        <w:rPr>
          <w:spacing w:val="-13"/>
          <w:sz w:val="22"/>
        </w:rPr>
        <w:t> </w:t>
      </w:r>
      <w:r>
        <w:rPr>
          <w:sz w:val="22"/>
        </w:rPr>
        <w:t>shortage</w:t>
      </w:r>
      <w:r>
        <w:rPr>
          <w:spacing w:val="-13"/>
          <w:sz w:val="22"/>
        </w:rPr>
        <w:t> </w:t>
      </w:r>
      <w:r>
        <w:rPr>
          <w:sz w:val="22"/>
        </w:rPr>
        <w:t>of</w:t>
      </w:r>
      <w:r>
        <w:rPr>
          <w:spacing w:val="-13"/>
          <w:sz w:val="22"/>
        </w:rPr>
        <w:t> </w:t>
      </w:r>
      <w:r>
        <w:rPr>
          <w:sz w:val="22"/>
        </w:rPr>
        <w:t>competent</w:t>
      </w:r>
      <w:r>
        <w:rPr>
          <w:spacing w:val="-13"/>
          <w:sz w:val="22"/>
        </w:rPr>
        <w:t> </w:t>
      </w:r>
      <w:r>
        <w:rPr>
          <w:sz w:val="22"/>
        </w:rPr>
        <w:t>faculty</w:t>
      </w:r>
      <w:r>
        <w:rPr>
          <w:spacing w:val="-13"/>
          <w:sz w:val="22"/>
        </w:rPr>
        <w:t> </w:t>
      </w:r>
      <w:r>
        <w:rPr>
          <w:sz w:val="22"/>
        </w:rPr>
        <w:t>being</w:t>
      </w:r>
      <w:r>
        <w:rPr>
          <w:spacing w:val="-13"/>
          <w:sz w:val="22"/>
        </w:rPr>
        <w:t> </w:t>
      </w:r>
      <w:r>
        <w:rPr>
          <w:sz w:val="22"/>
        </w:rPr>
        <w:t>faced by our institutions of learning.</w:t>
      </w:r>
    </w:p>
    <w:p>
      <w:pPr>
        <w:pStyle w:val="ListParagraph"/>
        <w:numPr>
          <w:ilvl w:val="2"/>
          <w:numId w:val="47"/>
        </w:numPr>
        <w:tabs>
          <w:tab w:pos="679" w:val="left" w:leader="none"/>
        </w:tabs>
        <w:spacing w:line="266" w:lineRule="auto" w:before="0" w:after="0"/>
        <w:ind w:left="679" w:right="1078" w:hanging="360"/>
        <w:jc w:val="both"/>
        <w:rPr>
          <w:sz w:val="22"/>
        </w:rPr>
      </w:pPr>
      <w:r>
        <w:rPr>
          <w:sz w:val="22"/>
        </w:rPr>
        <w:t>Other possible methods could include summer projects, summer internships in industry and involvement in organisational work as part of </w:t>
      </w:r>
      <w:r>
        <w:rPr>
          <w:spacing w:val="-2"/>
          <w:sz w:val="22"/>
        </w:rPr>
        <w:t>academics.</w:t>
      </w:r>
    </w:p>
    <w:p>
      <w:pPr>
        <w:pStyle w:val="ListParagraph"/>
        <w:numPr>
          <w:ilvl w:val="2"/>
          <w:numId w:val="47"/>
        </w:numPr>
        <w:tabs>
          <w:tab w:pos="679" w:val="left" w:leader="none"/>
        </w:tabs>
        <w:spacing w:line="266" w:lineRule="auto" w:before="0" w:after="0"/>
        <w:ind w:left="679" w:right="1077" w:hanging="360"/>
        <w:jc w:val="both"/>
        <w:rPr>
          <w:sz w:val="22"/>
        </w:rPr>
      </w:pPr>
      <w:r>
        <w:rPr>
          <w:spacing w:val="-2"/>
          <w:sz w:val="22"/>
        </w:rPr>
        <w:t>Subsidised</w:t>
      </w:r>
      <w:r>
        <w:rPr>
          <w:spacing w:val="-12"/>
          <w:sz w:val="22"/>
        </w:rPr>
        <w:t> </w:t>
      </w:r>
      <w:r>
        <w:rPr>
          <w:spacing w:val="-2"/>
          <w:sz w:val="22"/>
        </w:rPr>
        <w:t>health</w:t>
      </w:r>
      <w:r>
        <w:rPr>
          <w:spacing w:val="-12"/>
          <w:sz w:val="22"/>
        </w:rPr>
        <w:t> </w:t>
      </w:r>
      <w:r>
        <w:rPr>
          <w:spacing w:val="-2"/>
          <w:sz w:val="22"/>
        </w:rPr>
        <w:t>insurance,</w:t>
      </w:r>
      <w:r>
        <w:rPr>
          <w:spacing w:val="-12"/>
          <w:sz w:val="22"/>
        </w:rPr>
        <w:t> </w:t>
      </w:r>
      <w:r>
        <w:rPr>
          <w:spacing w:val="-2"/>
          <w:sz w:val="22"/>
        </w:rPr>
        <w:t>home</w:t>
      </w:r>
      <w:r>
        <w:rPr>
          <w:spacing w:val="-11"/>
          <w:sz w:val="22"/>
        </w:rPr>
        <w:t> </w:t>
      </w:r>
      <w:r>
        <w:rPr>
          <w:spacing w:val="-2"/>
          <w:sz w:val="22"/>
        </w:rPr>
        <w:t>loans</w:t>
      </w:r>
      <w:r>
        <w:rPr>
          <w:spacing w:val="-12"/>
          <w:sz w:val="22"/>
        </w:rPr>
        <w:t> </w:t>
      </w:r>
      <w:r>
        <w:rPr>
          <w:spacing w:val="-2"/>
          <w:sz w:val="22"/>
        </w:rPr>
        <w:t>etc.</w:t>
      </w:r>
      <w:r>
        <w:rPr>
          <w:spacing w:val="-12"/>
          <w:sz w:val="22"/>
        </w:rPr>
        <w:t> </w:t>
      </w:r>
      <w:r>
        <w:rPr>
          <w:spacing w:val="-2"/>
          <w:sz w:val="22"/>
        </w:rPr>
        <w:t>could </w:t>
      </w:r>
      <w:r>
        <w:rPr>
          <w:sz w:val="22"/>
        </w:rPr>
        <w:t>be looked at.</w:t>
      </w:r>
    </w:p>
    <w:p>
      <w:pPr>
        <w:pStyle w:val="ListParagraph"/>
        <w:numPr>
          <w:ilvl w:val="2"/>
          <w:numId w:val="47"/>
        </w:numPr>
        <w:tabs>
          <w:tab w:pos="678" w:val="left" w:leader="none"/>
        </w:tabs>
        <w:spacing w:line="251" w:lineRule="exact" w:before="0" w:after="0"/>
        <w:ind w:left="678" w:right="0" w:hanging="359"/>
        <w:jc w:val="both"/>
        <w:rPr>
          <w:sz w:val="22"/>
        </w:rPr>
      </w:pPr>
      <w:r>
        <w:rPr>
          <w:spacing w:val="-4"/>
          <w:sz w:val="22"/>
        </w:rPr>
        <w:t>Generous travel grants should</w:t>
      </w:r>
      <w:r>
        <w:rPr>
          <w:spacing w:val="-3"/>
          <w:sz w:val="22"/>
        </w:rPr>
        <w:t> </w:t>
      </w:r>
      <w:r>
        <w:rPr>
          <w:spacing w:val="-4"/>
          <w:sz w:val="22"/>
        </w:rPr>
        <w:t>be ensured.</w:t>
      </w:r>
    </w:p>
    <w:p>
      <w:pPr>
        <w:pStyle w:val="BodyText"/>
        <w:spacing w:before="40"/>
      </w:pPr>
    </w:p>
    <w:p>
      <w:pPr>
        <w:pStyle w:val="BodyText"/>
        <w:spacing w:line="266" w:lineRule="auto"/>
        <w:ind w:left="319" w:right="1077"/>
        <w:jc w:val="both"/>
      </w:pPr>
      <w:r>
        <w:rPr/>
        <w:t>A good placement office for Ph.Ds should be given priority in all universities and institutions. </w:t>
      </w:r>
      <w:r>
        <w:rPr/>
        <w:t>They should</w:t>
      </w:r>
      <w:r>
        <w:rPr>
          <w:spacing w:val="-14"/>
        </w:rPr>
        <w:t> </w:t>
      </w:r>
      <w:r>
        <w:rPr/>
        <w:t>have</w:t>
      </w:r>
      <w:r>
        <w:rPr>
          <w:spacing w:val="-14"/>
        </w:rPr>
        <w:t> </w:t>
      </w:r>
      <w:r>
        <w:rPr/>
        <w:t>tie-ups</w:t>
      </w:r>
      <w:r>
        <w:rPr>
          <w:spacing w:val="-14"/>
        </w:rPr>
        <w:t> </w:t>
      </w:r>
      <w:r>
        <w:rPr/>
        <w:t>with</w:t>
      </w:r>
      <w:r>
        <w:rPr>
          <w:spacing w:val="-13"/>
        </w:rPr>
        <w:t> </w:t>
      </w:r>
      <w:r>
        <w:rPr/>
        <w:t>various</w:t>
      </w:r>
      <w:r>
        <w:rPr>
          <w:spacing w:val="-14"/>
        </w:rPr>
        <w:t> </w:t>
      </w:r>
      <w:r>
        <w:rPr/>
        <w:t>universities,</w:t>
      </w:r>
      <w:r>
        <w:rPr>
          <w:spacing w:val="-14"/>
        </w:rPr>
        <w:t> </w:t>
      </w:r>
      <w:r>
        <w:rPr/>
        <w:t>research institutions, industries at the regional, national and international level.</w:t>
      </w:r>
    </w:p>
    <w:p>
      <w:pPr>
        <w:pStyle w:val="BodyText"/>
        <w:spacing w:before="23"/>
      </w:pPr>
    </w:p>
    <w:p>
      <w:pPr>
        <w:pStyle w:val="ListParagraph"/>
        <w:numPr>
          <w:ilvl w:val="1"/>
          <w:numId w:val="48"/>
        </w:numPr>
        <w:tabs>
          <w:tab w:pos="673" w:val="left" w:leader="none"/>
        </w:tabs>
        <w:spacing w:line="266" w:lineRule="auto" w:before="0" w:after="0"/>
        <w:ind w:left="319" w:right="1078" w:firstLine="0"/>
        <w:jc w:val="both"/>
        <w:rPr>
          <w:sz w:val="22"/>
        </w:rPr>
      </w:pPr>
      <w:r>
        <w:rPr>
          <w:b/>
          <w:spacing w:val="-4"/>
          <w:sz w:val="22"/>
        </w:rPr>
        <w:t>Entrepreneurship:</w:t>
      </w:r>
      <w:r>
        <w:rPr>
          <w:b/>
          <w:spacing w:val="-6"/>
          <w:sz w:val="22"/>
        </w:rPr>
        <w:t> </w:t>
      </w:r>
      <w:r>
        <w:rPr>
          <w:spacing w:val="-4"/>
          <w:sz w:val="22"/>
        </w:rPr>
        <w:t>More</w:t>
      </w:r>
      <w:r>
        <w:rPr>
          <w:spacing w:val="-6"/>
          <w:sz w:val="22"/>
        </w:rPr>
        <w:t> </w:t>
      </w:r>
      <w:r>
        <w:rPr>
          <w:spacing w:val="-4"/>
          <w:sz w:val="22"/>
        </w:rPr>
        <w:t>students</w:t>
      </w:r>
      <w:r>
        <w:rPr>
          <w:spacing w:val="-6"/>
          <w:sz w:val="22"/>
        </w:rPr>
        <w:t> </w:t>
      </w:r>
      <w:r>
        <w:rPr>
          <w:spacing w:val="-4"/>
          <w:sz w:val="22"/>
        </w:rPr>
        <w:t>can</w:t>
      </w:r>
      <w:r>
        <w:rPr>
          <w:spacing w:val="-6"/>
          <w:sz w:val="22"/>
        </w:rPr>
        <w:t> </w:t>
      </w:r>
      <w:r>
        <w:rPr>
          <w:spacing w:val="-4"/>
          <w:sz w:val="22"/>
        </w:rPr>
        <w:t>be</w:t>
      </w:r>
      <w:r>
        <w:rPr>
          <w:spacing w:val="-6"/>
          <w:sz w:val="22"/>
        </w:rPr>
        <w:t> </w:t>
      </w:r>
      <w:r>
        <w:rPr>
          <w:spacing w:val="-4"/>
          <w:sz w:val="22"/>
        </w:rPr>
        <w:t>attracted </w:t>
      </w:r>
      <w:r>
        <w:rPr>
          <w:sz w:val="22"/>
        </w:rPr>
        <w:t>to</w:t>
      </w:r>
      <w:r>
        <w:rPr>
          <w:spacing w:val="-16"/>
          <w:sz w:val="22"/>
        </w:rPr>
        <w:t> </w:t>
      </w:r>
      <w:r>
        <w:rPr>
          <w:sz w:val="22"/>
        </w:rPr>
        <w:t>doctoral</w:t>
      </w:r>
      <w:r>
        <w:rPr>
          <w:spacing w:val="-14"/>
          <w:sz w:val="22"/>
        </w:rPr>
        <w:t> </w:t>
      </w:r>
      <w:r>
        <w:rPr>
          <w:sz w:val="22"/>
        </w:rPr>
        <w:t>studies</w:t>
      </w:r>
      <w:r>
        <w:rPr>
          <w:spacing w:val="-14"/>
          <w:sz w:val="22"/>
        </w:rPr>
        <w:t> </w:t>
      </w:r>
      <w:r>
        <w:rPr>
          <w:sz w:val="22"/>
        </w:rPr>
        <w:t>by</w:t>
      </w:r>
      <w:r>
        <w:rPr>
          <w:spacing w:val="-13"/>
          <w:sz w:val="22"/>
        </w:rPr>
        <w:t> </w:t>
      </w:r>
      <w:r>
        <w:rPr>
          <w:sz w:val="22"/>
        </w:rPr>
        <w:t>providing</w:t>
      </w:r>
      <w:r>
        <w:rPr>
          <w:spacing w:val="-14"/>
          <w:sz w:val="22"/>
        </w:rPr>
        <w:t> </w:t>
      </w:r>
      <w:r>
        <w:rPr>
          <w:sz w:val="22"/>
        </w:rPr>
        <w:t>a</w:t>
      </w:r>
      <w:r>
        <w:rPr>
          <w:spacing w:val="-14"/>
          <w:sz w:val="22"/>
        </w:rPr>
        <w:t> </w:t>
      </w:r>
      <w:r>
        <w:rPr>
          <w:sz w:val="22"/>
        </w:rPr>
        <w:t>platform</w:t>
      </w:r>
      <w:r>
        <w:rPr>
          <w:spacing w:val="-14"/>
          <w:sz w:val="22"/>
        </w:rPr>
        <w:t> </w:t>
      </w:r>
      <w:r>
        <w:rPr>
          <w:sz w:val="22"/>
        </w:rPr>
        <w:t>where</w:t>
      </w:r>
      <w:r>
        <w:rPr>
          <w:spacing w:val="-13"/>
          <w:sz w:val="22"/>
        </w:rPr>
        <w:t> </w:t>
      </w:r>
      <w:r>
        <w:rPr>
          <w:sz w:val="22"/>
        </w:rPr>
        <w:t>they </w:t>
      </w:r>
      <w:r>
        <w:rPr>
          <w:spacing w:val="-4"/>
          <w:sz w:val="22"/>
        </w:rPr>
        <w:t>can</w:t>
      </w:r>
      <w:r>
        <w:rPr>
          <w:spacing w:val="-10"/>
          <w:sz w:val="22"/>
        </w:rPr>
        <w:t> </w:t>
      </w:r>
      <w:r>
        <w:rPr>
          <w:spacing w:val="-4"/>
          <w:sz w:val="22"/>
        </w:rPr>
        <w:t>convert</w:t>
      </w:r>
      <w:r>
        <w:rPr>
          <w:spacing w:val="-10"/>
          <w:sz w:val="22"/>
        </w:rPr>
        <w:t> </w:t>
      </w:r>
      <w:r>
        <w:rPr>
          <w:spacing w:val="-4"/>
          <w:sz w:val="22"/>
        </w:rPr>
        <w:t>their</w:t>
      </w:r>
      <w:r>
        <w:rPr>
          <w:spacing w:val="-10"/>
          <w:sz w:val="22"/>
        </w:rPr>
        <w:t> </w:t>
      </w:r>
      <w:r>
        <w:rPr>
          <w:spacing w:val="-4"/>
          <w:sz w:val="22"/>
        </w:rPr>
        <w:t>ideas</w:t>
      </w:r>
      <w:r>
        <w:rPr>
          <w:spacing w:val="-7"/>
          <w:sz w:val="22"/>
        </w:rPr>
        <w:t> </w:t>
      </w:r>
      <w:r>
        <w:rPr>
          <w:spacing w:val="-4"/>
          <w:sz w:val="22"/>
        </w:rPr>
        <w:t>or</w:t>
      </w:r>
      <w:r>
        <w:rPr>
          <w:spacing w:val="-8"/>
          <w:sz w:val="22"/>
        </w:rPr>
        <w:t> </w:t>
      </w:r>
      <w:r>
        <w:rPr>
          <w:spacing w:val="-4"/>
          <w:sz w:val="22"/>
        </w:rPr>
        <w:t>research</w:t>
      </w:r>
      <w:r>
        <w:rPr>
          <w:spacing w:val="-8"/>
          <w:sz w:val="22"/>
        </w:rPr>
        <w:t> </w:t>
      </w:r>
      <w:r>
        <w:rPr>
          <w:spacing w:val="-4"/>
          <w:sz w:val="22"/>
        </w:rPr>
        <w:t>into</w:t>
      </w:r>
      <w:r>
        <w:rPr>
          <w:spacing w:val="-8"/>
          <w:sz w:val="22"/>
        </w:rPr>
        <w:t> </w:t>
      </w:r>
      <w:r>
        <w:rPr>
          <w:spacing w:val="-4"/>
          <w:sz w:val="22"/>
        </w:rPr>
        <w:t>reality.</w:t>
      </w:r>
      <w:r>
        <w:rPr>
          <w:spacing w:val="-10"/>
          <w:sz w:val="22"/>
        </w:rPr>
        <w:t> </w:t>
      </w:r>
      <w:r>
        <w:rPr>
          <w:spacing w:val="-4"/>
          <w:sz w:val="22"/>
        </w:rPr>
        <w:t>To</w:t>
      </w:r>
      <w:r>
        <w:rPr>
          <w:spacing w:val="-8"/>
          <w:sz w:val="22"/>
        </w:rPr>
        <w:t> </w:t>
      </w:r>
      <w:r>
        <w:rPr>
          <w:spacing w:val="-4"/>
          <w:sz w:val="22"/>
        </w:rPr>
        <w:t>foster </w:t>
      </w:r>
      <w:r>
        <w:rPr>
          <w:sz w:val="22"/>
        </w:rPr>
        <w:t>such an environment,</w:t>
      </w:r>
    </w:p>
    <w:p>
      <w:pPr>
        <w:pStyle w:val="ListParagraph"/>
        <w:numPr>
          <w:ilvl w:val="2"/>
          <w:numId w:val="48"/>
        </w:numPr>
        <w:tabs>
          <w:tab w:pos="679" w:val="left" w:leader="none"/>
        </w:tabs>
        <w:spacing w:line="266" w:lineRule="auto" w:before="0" w:after="0"/>
        <w:ind w:left="679" w:right="1078" w:hanging="360"/>
        <w:jc w:val="left"/>
        <w:rPr>
          <w:sz w:val="22"/>
        </w:rPr>
      </w:pPr>
      <w:r>
        <w:rPr>
          <w:spacing w:val="-4"/>
          <w:sz w:val="22"/>
        </w:rPr>
        <w:t>Incubation</w:t>
      </w:r>
      <w:r>
        <w:rPr>
          <w:spacing w:val="-16"/>
          <w:sz w:val="22"/>
        </w:rPr>
        <w:t> </w:t>
      </w:r>
      <w:r>
        <w:rPr>
          <w:spacing w:val="-4"/>
          <w:sz w:val="22"/>
        </w:rPr>
        <w:t>centres</w:t>
      </w:r>
      <w:r>
        <w:rPr>
          <w:spacing w:val="-16"/>
          <w:sz w:val="22"/>
        </w:rPr>
        <w:t> </w:t>
      </w:r>
      <w:r>
        <w:rPr>
          <w:spacing w:val="-4"/>
          <w:sz w:val="22"/>
        </w:rPr>
        <w:t>must</w:t>
      </w:r>
      <w:r>
        <w:rPr>
          <w:spacing w:val="-16"/>
          <w:sz w:val="22"/>
        </w:rPr>
        <w:t> </w:t>
      </w:r>
      <w:r>
        <w:rPr>
          <w:spacing w:val="-4"/>
          <w:sz w:val="22"/>
        </w:rPr>
        <w:t>be</w:t>
      </w:r>
      <w:r>
        <w:rPr>
          <w:spacing w:val="-16"/>
          <w:sz w:val="22"/>
        </w:rPr>
        <w:t> </w:t>
      </w:r>
      <w:r>
        <w:rPr>
          <w:spacing w:val="-4"/>
          <w:sz w:val="22"/>
        </w:rPr>
        <w:t>facilitated</w:t>
      </w:r>
      <w:r>
        <w:rPr>
          <w:spacing w:val="-16"/>
          <w:sz w:val="22"/>
        </w:rPr>
        <w:t> </w:t>
      </w:r>
      <w:r>
        <w:rPr>
          <w:spacing w:val="-4"/>
          <w:sz w:val="22"/>
        </w:rPr>
        <w:t>and</w:t>
      </w:r>
      <w:r>
        <w:rPr>
          <w:spacing w:val="-16"/>
          <w:sz w:val="22"/>
        </w:rPr>
        <w:t> </w:t>
      </w:r>
      <w:r>
        <w:rPr>
          <w:spacing w:val="-4"/>
          <w:sz w:val="22"/>
        </w:rPr>
        <w:t>promoted </w:t>
      </w:r>
      <w:r>
        <w:rPr>
          <w:sz w:val="22"/>
        </w:rPr>
        <w:t>in academic institutions.</w:t>
      </w:r>
    </w:p>
    <w:p>
      <w:pPr>
        <w:pStyle w:val="ListParagraph"/>
        <w:numPr>
          <w:ilvl w:val="2"/>
          <w:numId w:val="48"/>
        </w:numPr>
        <w:tabs>
          <w:tab w:pos="679" w:val="left" w:leader="none"/>
        </w:tabs>
        <w:spacing w:line="251" w:lineRule="exact" w:before="0" w:after="0"/>
        <w:ind w:left="679" w:right="0" w:hanging="360"/>
        <w:jc w:val="left"/>
        <w:rPr>
          <w:sz w:val="22"/>
        </w:rPr>
      </w:pPr>
      <w:r>
        <w:rPr>
          <w:spacing w:val="-6"/>
          <w:sz w:val="22"/>
        </w:rPr>
        <w:t>Universities</w:t>
      </w:r>
      <w:r>
        <w:rPr>
          <w:spacing w:val="-1"/>
          <w:sz w:val="22"/>
        </w:rPr>
        <w:t> </w:t>
      </w:r>
      <w:r>
        <w:rPr>
          <w:spacing w:val="-6"/>
          <w:sz w:val="22"/>
        </w:rPr>
        <w:t>can</w:t>
      </w:r>
      <w:r>
        <w:rPr>
          <w:sz w:val="22"/>
        </w:rPr>
        <w:t> </w:t>
      </w:r>
      <w:r>
        <w:rPr>
          <w:spacing w:val="-6"/>
          <w:sz w:val="22"/>
        </w:rPr>
        <w:t>offer</w:t>
      </w:r>
      <w:r>
        <w:rPr>
          <w:sz w:val="22"/>
        </w:rPr>
        <w:t> </w:t>
      </w:r>
      <w:r>
        <w:rPr>
          <w:spacing w:val="-6"/>
          <w:sz w:val="22"/>
        </w:rPr>
        <w:t>courses</w:t>
      </w:r>
      <w:r>
        <w:rPr>
          <w:spacing w:val="-1"/>
          <w:sz w:val="22"/>
        </w:rPr>
        <w:t> </w:t>
      </w:r>
      <w:r>
        <w:rPr>
          <w:spacing w:val="-6"/>
          <w:sz w:val="22"/>
        </w:rPr>
        <w:t>on</w:t>
      </w:r>
      <w:r>
        <w:rPr>
          <w:sz w:val="22"/>
        </w:rPr>
        <w:t> </w:t>
      </w:r>
      <w:r>
        <w:rPr>
          <w:spacing w:val="-6"/>
          <w:sz w:val="22"/>
        </w:rPr>
        <w:t>Entrepreneurship.</w:t>
      </w:r>
    </w:p>
    <w:p>
      <w:pPr>
        <w:pStyle w:val="ListParagraph"/>
        <w:numPr>
          <w:ilvl w:val="2"/>
          <w:numId w:val="48"/>
        </w:numPr>
        <w:tabs>
          <w:tab w:pos="679" w:val="left" w:leader="none"/>
        </w:tabs>
        <w:spacing w:line="240" w:lineRule="auto" w:before="24" w:after="0"/>
        <w:ind w:left="679" w:right="0" w:hanging="360"/>
        <w:jc w:val="left"/>
        <w:rPr>
          <w:sz w:val="22"/>
        </w:rPr>
      </w:pPr>
      <w:r>
        <w:rPr>
          <w:spacing w:val="-6"/>
          <w:sz w:val="22"/>
        </w:rPr>
        <w:t>Mechanisms</w:t>
      </w:r>
      <w:r>
        <w:rPr>
          <w:spacing w:val="-5"/>
          <w:sz w:val="22"/>
        </w:rPr>
        <w:t> </w:t>
      </w:r>
      <w:r>
        <w:rPr>
          <w:spacing w:val="-6"/>
          <w:sz w:val="22"/>
        </w:rPr>
        <w:t>should</w:t>
      </w:r>
      <w:r>
        <w:rPr>
          <w:spacing w:val="-4"/>
          <w:sz w:val="22"/>
        </w:rPr>
        <w:t> </w:t>
      </w:r>
      <w:r>
        <w:rPr>
          <w:spacing w:val="-6"/>
          <w:sz w:val="22"/>
        </w:rPr>
        <w:t>be</w:t>
      </w:r>
      <w:r>
        <w:rPr>
          <w:spacing w:val="-4"/>
          <w:sz w:val="22"/>
        </w:rPr>
        <w:t> </w:t>
      </w:r>
      <w:r>
        <w:rPr>
          <w:spacing w:val="-6"/>
          <w:sz w:val="22"/>
        </w:rPr>
        <w:t>framed</w:t>
      </w:r>
      <w:r>
        <w:rPr>
          <w:spacing w:val="-4"/>
          <w:sz w:val="22"/>
        </w:rPr>
        <w:t> </w:t>
      </w:r>
      <w:r>
        <w:rPr>
          <w:spacing w:val="-6"/>
          <w:sz w:val="22"/>
        </w:rPr>
        <w:t>to</w:t>
      </w:r>
      <w:r>
        <w:rPr>
          <w:spacing w:val="-5"/>
          <w:sz w:val="22"/>
        </w:rPr>
        <w:t> </w:t>
      </w:r>
      <w:r>
        <w:rPr>
          <w:spacing w:val="-6"/>
          <w:sz w:val="22"/>
        </w:rPr>
        <w:t>support</w:t>
      </w:r>
      <w:r>
        <w:rPr>
          <w:spacing w:val="-4"/>
          <w:sz w:val="22"/>
        </w:rPr>
        <w:t> </w:t>
      </w:r>
      <w:r>
        <w:rPr>
          <w:spacing w:val="-6"/>
          <w:sz w:val="22"/>
        </w:rPr>
        <w:t>start-ups.</w:t>
      </w:r>
    </w:p>
    <w:p>
      <w:pPr>
        <w:pStyle w:val="BodyText"/>
        <w:spacing w:before="53"/>
      </w:pPr>
    </w:p>
    <w:p>
      <w:pPr>
        <w:pStyle w:val="BodyText"/>
        <w:spacing w:line="266" w:lineRule="auto" w:before="1"/>
        <w:ind w:left="319" w:right="1075"/>
      </w:pPr>
      <w:r>
        <w:rPr>
          <w:spacing w:val="-2"/>
        </w:rPr>
        <w:t>While application-oriented research is important, </w:t>
      </w:r>
      <w:r>
        <w:rPr>
          <w:spacing w:val="-2"/>
        </w:rPr>
        <w:t>care </w:t>
      </w:r>
      <w:r>
        <w:rPr/>
        <w:t>should however be taken to ensure that</w:t>
      </w:r>
    </w:p>
    <w:p>
      <w:pPr>
        <w:pStyle w:val="ListParagraph"/>
        <w:numPr>
          <w:ilvl w:val="2"/>
          <w:numId w:val="48"/>
        </w:numPr>
        <w:tabs>
          <w:tab w:pos="679" w:val="left" w:leader="none"/>
        </w:tabs>
        <w:spacing w:line="251" w:lineRule="exact" w:before="0" w:after="0"/>
        <w:ind w:left="679" w:right="0" w:hanging="360"/>
        <w:jc w:val="left"/>
        <w:rPr>
          <w:sz w:val="22"/>
        </w:rPr>
      </w:pPr>
      <w:r>
        <w:rPr>
          <w:spacing w:val="-8"/>
          <w:sz w:val="22"/>
        </w:rPr>
        <w:t>Traditional</w:t>
      </w:r>
      <w:r>
        <w:rPr>
          <w:spacing w:val="-5"/>
          <w:sz w:val="22"/>
        </w:rPr>
        <w:t> </w:t>
      </w:r>
      <w:r>
        <w:rPr>
          <w:spacing w:val="-8"/>
          <w:sz w:val="22"/>
        </w:rPr>
        <w:t>base</w:t>
      </w:r>
      <w:r>
        <w:rPr>
          <w:spacing w:val="-5"/>
          <w:sz w:val="22"/>
        </w:rPr>
        <w:t> </w:t>
      </w:r>
      <w:r>
        <w:rPr>
          <w:spacing w:val="-8"/>
          <w:sz w:val="22"/>
        </w:rPr>
        <w:t>of</w:t>
      </w:r>
      <w:r>
        <w:rPr>
          <w:spacing w:val="-5"/>
          <w:sz w:val="22"/>
        </w:rPr>
        <w:t> </w:t>
      </w:r>
      <w:r>
        <w:rPr>
          <w:spacing w:val="-8"/>
          <w:sz w:val="22"/>
        </w:rPr>
        <w:t>academic</w:t>
      </w:r>
      <w:r>
        <w:rPr>
          <w:spacing w:val="-5"/>
          <w:sz w:val="22"/>
        </w:rPr>
        <w:t> </w:t>
      </w:r>
      <w:r>
        <w:rPr>
          <w:spacing w:val="-8"/>
          <w:sz w:val="22"/>
        </w:rPr>
        <w:t>research</w:t>
      </w:r>
      <w:r>
        <w:rPr>
          <w:spacing w:val="-4"/>
          <w:sz w:val="22"/>
        </w:rPr>
        <w:t> </w:t>
      </w:r>
      <w:r>
        <w:rPr>
          <w:spacing w:val="-8"/>
          <w:sz w:val="22"/>
        </w:rPr>
        <w:t>is</w:t>
      </w:r>
      <w:r>
        <w:rPr>
          <w:spacing w:val="-5"/>
          <w:sz w:val="22"/>
        </w:rPr>
        <w:t> </w:t>
      </w:r>
      <w:r>
        <w:rPr>
          <w:spacing w:val="-8"/>
          <w:sz w:val="22"/>
        </w:rPr>
        <w:t>not</w:t>
      </w:r>
      <w:r>
        <w:rPr>
          <w:spacing w:val="-5"/>
          <w:sz w:val="22"/>
        </w:rPr>
        <w:t> </w:t>
      </w:r>
      <w:r>
        <w:rPr>
          <w:spacing w:val="-8"/>
          <w:sz w:val="22"/>
        </w:rPr>
        <w:t>eroded.</w:t>
      </w:r>
    </w:p>
    <w:p>
      <w:pPr>
        <w:pStyle w:val="ListParagraph"/>
        <w:numPr>
          <w:ilvl w:val="2"/>
          <w:numId w:val="48"/>
        </w:numPr>
        <w:tabs>
          <w:tab w:pos="679" w:val="left" w:leader="none"/>
        </w:tabs>
        <w:spacing w:line="240" w:lineRule="auto" w:before="27" w:after="0"/>
        <w:ind w:left="679" w:right="0" w:hanging="360"/>
        <w:jc w:val="left"/>
        <w:rPr>
          <w:sz w:val="22"/>
        </w:rPr>
      </w:pPr>
      <w:r>
        <w:rPr>
          <w:spacing w:val="-2"/>
          <w:w w:val="90"/>
          <w:sz w:val="22"/>
        </w:rPr>
        <w:t>Intellectual</w:t>
      </w:r>
      <w:r>
        <w:rPr>
          <w:spacing w:val="-8"/>
          <w:w w:val="90"/>
          <w:sz w:val="22"/>
        </w:rPr>
        <w:t> </w:t>
      </w:r>
      <w:r>
        <w:rPr>
          <w:spacing w:val="-2"/>
          <w:w w:val="90"/>
          <w:sz w:val="22"/>
        </w:rPr>
        <w:t>property</w:t>
      </w:r>
      <w:r>
        <w:rPr>
          <w:spacing w:val="-7"/>
          <w:w w:val="90"/>
          <w:sz w:val="22"/>
        </w:rPr>
        <w:t> </w:t>
      </w:r>
      <w:r>
        <w:rPr>
          <w:spacing w:val="-2"/>
          <w:w w:val="90"/>
          <w:sz w:val="22"/>
        </w:rPr>
        <w:t>of</w:t>
      </w:r>
      <w:r>
        <w:rPr>
          <w:spacing w:val="-7"/>
          <w:w w:val="90"/>
          <w:sz w:val="22"/>
        </w:rPr>
        <w:t> </w:t>
      </w:r>
      <w:r>
        <w:rPr>
          <w:spacing w:val="-2"/>
          <w:w w:val="90"/>
          <w:sz w:val="22"/>
        </w:rPr>
        <w:t>the</w:t>
      </w:r>
      <w:r>
        <w:rPr>
          <w:spacing w:val="-7"/>
          <w:w w:val="90"/>
          <w:sz w:val="22"/>
        </w:rPr>
        <w:t> </w:t>
      </w:r>
      <w:r>
        <w:rPr>
          <w:spacing w:val="-2"/>
          <w:w w:val="90"/>
          <w:sz w:val="22"/>
        </w:rPr>
        <w:t>university</w:t>
      </w:r>
      <w:r>
        <w:rPr>
          <w:spacing w:val="-7"/>
          <w:w w:val="90"/>
          <w:sz w:val="22"/>
        </w:rPr>
        <w:t> </w:t>
      </w:r>
      <w:r>
        <w:rPr>
          <w:spacing w:val="-2"/>
          <w:w w:val="90"/>
          <w:sz w:val="22"/>
        </w:rPr>
        <w:t>is</w:t>
      </w:r>
      <w:r>
        <w:rPr>
          <w:spacing w:val="-7"/>
          <w:w w:val="90"/>
          <w:sz w:val="22"/>
        </w:rPr>
        <w:t> </w:t>
      </w:r>
      <w:r>
        <w:rPr>
          <w:spacing w:val="-2"/>
          <w:w w:val="90"/>
          <w:sz w:val="22"/>
        </w:rPr>
        <w:t>well</w:t>
      </w:r>
      <w:r>
        <w:rPr>
          <w:spacing w:val="-7"/>
          <w:w w:val="90"/>
          <w:sz w:val="22"/>
        </w:rPr>
        <w:t> </w:t>
      </w:r>
      <w:r>
        <w:rPr>
          <w:spacing w:val="-2"/>
          <w:w w:val="90"/>
          <w:sz w:val="22"/>
        </w:rPr>
        <w:t>protected.</w:t>
      </w:r>
    </w:p>
    <w:p>
      <w:pPr>
        <w:pStyle w:val="ListParagraph"/>
        <w:numPr>
          <w:ilvl w:val="2"/>
          <w:numId w:val="48"/>
        </w:numPr>
        <w:tabs>
          <w:tab w:pos="679" w:val="left" w:leader="none"/>
        </w:tabs>
        <w:spacing w:line="266" w:lineRule="auto" w:before="27" w:after="0"/>
        <w:ind w:left="679" w:right="1078" w:hanging="360"/>
        <w:jc w:val="left"/>
        <w:rPr>
          <w:sz w:val="22"/>
        </w:rPr>
      </w:pPr>
      <w:r>
        <w:rPr>
          <w:sz w:val="22"/>
        </w:rPr>
        <w:t>Core values and requirements</w:t>
      </w:r>
      <w:r>
        <w:rPr>
          <w:spacing w:val="1"/>
          <w:sz w:val="22"/>
        </w:rPr>
        <w:t> </w:t>
      </w:r>
      <w:r>
        <w:rPr>
          <w:sz w:val="22"/>
        </w:rPr>
        <w:t>of research are </w:t>
      </w:r>
      <w:r>
        <w:rPr>
          <w:sz w:val="22"/>
        </w:rPr>
        <w:t>not </w:t>
      </w:r>
      <w:r>
        <w:rPr>
          <w:spacing w:val="-2"/>
          <w:sz w:val="22"/>
        </w:rPr>
        <w:t>diluted.</w:t>
      </w:r>
    </w:p>
    <w:p>
      <w:pPr>
        <w:pStyle w:val="BodyText"/>
        <w:spacing w:before="25"/>
      </w:pPr>
    </w:p>
    <w:p>
      <w:pPr>
        <w:pStyle w:val="ListParagraph"/>
        <w:numPr>
          <w:ilvl w:val="1"/>
          <w:numId w:val="48"/>
        </w:numPr>
        <w:tabs>
          <w:tab w:pos="697" w:val="left" w:leader="none"/>
        </w:tabs>
        <w:spacing w:line="266" w:lineRule="auto" w:before="0" w:after="0"/>
        <w:ind w:left="319" w:right="1077" w:firstLine="0"/>
        <w:jc w:val="both"/>
        <w:rPr>
          <w:b/>
          <w:sz w:val="22"/>
        </w:rPr>
      </w:pPr>
      <w:r>
        <w:rPr>
          <w:b/>
          <w:sz w:val="22"/>
        </w:rPr>
        <w:t>Joint</w:t>
      </w:r>
      <w:r>
        <w:rPr>
          <w:b/>
          <w:spacing w:val="-14"/>
          <w:sz w:val="22"/>
        </w:rPr>
        <w:t> </w:t>
      </w:r>
      <w:r>
        <w:rPr>
          <w:b/>
          <w:sz w:val="22"/>
        </w:rPr>
        <w:t>Ph.D</w:t>
      </w:r>
      <w:r>
        <w:rPr>
          <w:b/>
          <w:spacing w:val="-14"/>
          <w:sz w:val="22"/>
        </w:rPr>
        <w:t> </w:t>
      </w:r>
      <w:r>
        <w:rPr>
          <w:b/>
          <w:sz w:val="22"/>
        </w:rPr>
        <w:t>programs</w:t>
      </w:r>
      <w:r>
        <w:rPr>
          <w:b/>
          <w:spacing w:val="-14"/>
          <w:sz w:val="22"/>
        </w:rPr>
        <w:t> </w:t>
      </w:r>
      <w:r>
        <w:rPr>
          <w:b/>
          <w:sz w:val="22"/>
        </w:rPr>
        <w:t>with</w:t>
      </w:r>
      <w:r>
        <w:rPr>
          <w:b/>
          <w:spacing w:val="-13"/>
          <w:sz w:val="22"/>
        </w:rPr>
        <w:t> </w:t>
      </w:r>
      <w:r>
        <w:rPr>
          <w:b/>
          <w:sz w:val="22"/>
        </w:rPr>
        <w:t>industry:</w:t>
      </w:r>
      <w:r>
        <w:rPr>
          <w:b/>
          <w:spacing w:val="-14"/>
          <w:sz w:val="22"/>
        </w:rPr>
        <w:t> </w:t>
      </w:r>
      <w:r>
        <w:rPr>
          <w:sz w:val="22"/>
        </w:rPr>
        <w:t>To</w:t>
      </w:r>
      <w:r>
        <w:rPr>
          <w:spacing w:val="-14"/>
          <w:sz w:val="22"/>
        </w:rPr>
        <w:t> </w:t>
      </w:r>
      <w:r>
        <w:rPr>
          <w:sz w:val="22"/>
        </w:rPr>
        <w:t>address the</w:t>
      </w:r>
      <w:r>
        <w:rPr>
          <w:spacing w:val="-14"/>
          <w:sz w:val="22"/>
        </w:rPr>
        <w:t> </w:t>
      </w:r>
      <w:r>
        <w:rPr>
          <w:sz w:val="22"/>
        </w:rPr>
        <w:t>needs</w:t>
      </w:r>
      <w:r>
        <w:rPr>
          <w:spacing w:val="-14"/>
          <w:sz w:val="22"/>
        </w:rPr>
        <w:t> </w:t>
      </w:r>
      <w:r>
        <w:rPr>
          <w:sz w:val="22"/>
        </w:rPr>
        <w:t>of</w:t>
      </w:r>
      <w:r>
        <w:rPr>
          <w:spacing w:val="-14"/>
          <w:sz w:val="22"/>
        </w:rPr>
        <w:t> </w:t>
      </w:r>
      <w:r>
        <w:rPr>
          <w:sz w:val="22"/>
        </w:rPr>
        <w:t>people</w:t>
      </w:r>
      <w:r>
        <w:rPr>
          <w:spacing w:val="-13"/>
          <w:sz w:val="22"/>
        </w:rPr>
        <w:t> </w:t>
      </w:r>
      <w:r>
        <w:rPr>
          <w:sz w:val="22"/>
        </w:rPr>
        <w:t>from</w:t>
      </w:r>
      <w:r>
        <w:rPr>
          <w:spacing w:val="-14"/>
          <w:sz w:val="22"/>
        </w:rPr>
        <w:t> </w:t>
      </w:r>
      <w:r>
        <w:rPr>
          <w:sz w:val="22"/>
        </w:rPr>
        <w:t>industry</w:t>
      </w:r>
      <w:r>
        <w:rPr>
          <w:spacing w:val="-14"/>
          <w:sz w:val="22"/>
        </w:rPr>
        <w:t> </w:t>
      </w:r>
      <w:r>
        <w:rPr>
          <w:sz w:val="22"/>
        </w:rPr>
        <w:t>interested</w:t>
      </w:r>
      <w:r>
        <w:rPr>
          <w:spacing w:val="-14"/>
          <w:sz w:val="22"/>
        </w:rPr>
        <w:t> </w:t>
      </w:r>
      <w:r>
        <w:rPr>
          <w:sz w:val="22"/>
        </w:rPr>
        <w:t>in</w:t>
      </w:r>
      <w:r>
        <w:rPr>
          <w:spacing w:val="-13"/>
          <w:sz w:val="22"/>
        </w:rPr>
        <w:t> </w:t>
      </w:r>
      <w:r>
        <w:rPr>
          <w:sz w:val="22"/>
        </w:rPr>
        <w:t>doing</w:t>
      </w:r>
      <w:r>
        <w:rPr>
          <w:spacing w:val="-14"/>
          <w:sz w:val="22"/>
        </w:rPr>
        <w:t> </w:t>
      </w:r>
      <w:r>
        <w:rPr>
          <w:sz w:val="22"/>
        </w:rPr>
        <w:t>a Ph.D,</w:t>
      </w:r>
      <w:r>
        <w:rPr>
          <w:spacing w:val="-14"/>
          <w:sz w:val="22"/>
        </w:rPr>
        <w:t> </w:t>
      </w:r>
      <w:r>
        <w:rPr>
          <w:sz w:val="22"/>
        </w:rPr>
        <w:t>academic</w:t>
      </w:r>
      <w:r>
        <w:rPr>
          <w:spacing w:val="-14"/>
          <w:sz w:val="22"/>
        </w:rPr>
        <w:t> </w:t>
      </w:r>
      <w:r>
        <w:rPr>
          <w:sz w:val="22"/>
        </w:rPr>
        <w:t>institutes</w:t>
      </w:r>
      <w:r>
        <w:rPr>
          <w:spacing w:val="-14"/>
          <w:sz w:val="22"/>
        </w:rPr>
        <w:t> </w:t>
      </w:r>
      <w:r>
        <w:rPr>
          <w:sz w:val="22"/>
        </w:rPr>
        <w:t>should</w:t>
      </w:r>
      <w:r>
        <w:rPr>
          <w:spacing w:val="-13"/>
          <w:sz w:val="22"/>
        </w:rPr>
        <w:t> </w:t>
      </w:r>
      <w:r>
        <w:rPr>
          <w:sz w:val="22"/>
        </w:rPr>
        <w:t>focus</w:t>
      </w:r>
      <w:r>
        <w:rPr>
          <w:spacing w:val="-14"/>
          <w:sz w:val="22"/>
        </w:rPr>
        <w:t> </w:t>
      </w:r>
      <w:r>
        <w:rPr>
          <w:sz w:val="22"/>
        </w:rPr>
        <w:t>on</w:t>
      </w:r>
      <w:r>
        <w:rPr>
          <w:spacing w:val="-14"/>
          <w:sz w:val="22"/>
        </w:rPr>
        <w:t> </w:t>
      </w:r>
      <w:r>
        <w:rPr>
          <w:sz w:val="22"/>
        </w:rPr>
        <w:t>networking with industry and work out joint programs with interested companies. This will create a talent pool</w:t>
      </w:r>
      <w:r>
        <w:rPr>
          <w:spacing w:val="40"/>
          <w:sz w:val="22"/>
        </w:rPr>
        <w:t> </w:t>
      </w:r>
      <w:r>
        <w:rPr>
          <w:sz w:val="22"/>
        </w:rPr>
        <w:t>of researchers in industry. Consequently, research in </w:t>
      </w:r>
      <w:r>
        <w:rPr>
          <w:spacing w:val="-6"/>
          <w:sz w:val="22"/>
        </w:rPr>
        <w:t>private sector will get a boost, thereby creating attractive </w:t>
      </w:r>
      <w:r>
        <w:rPr>
          <w:sz w:val="22"/>
        </w:rPr>
        <w:t>job</w:t>
      </w:r>
      <w:r>
        <w:rPr>
          <w:spacing w:val="-14"/>
          <w:sz w:val="22"/>
        </w:rPr>
        <w:t> </w:t>
      </w:r>
      <w:r>
        <w:rPr>
          <w:sz w:val="22"/>
        </w:rPr>
        <w:t>opportunities</w:t>
      </w:r>
      <w:r>
        <w:rPr>
          <w:spacing w:val="-14"/>
          <w:sz w:val="22"/>
        </w:rPr>
        <w:t> </w:t>
      </w:r>
      <w:r>
        <w:rPr>
          <w:sz w:val="22"/>
        </w:rPr>
        <w:t>for</w:t>
      </w:r>
      <w:r>
        <w:rPr>
          <w:spacing w:val="-14"/>
          <w:sz w:val="22"/>
        </w:rPr>
        <w:t> </w:t>
      </w:r>
      <w:r>
        <w:rPr>
          <w:sz w:val="22"/>
        </w:rPr>
        <w:t>researchers</w:t>
      </w:r>
      <w:r>
        <w:rPr>
          <w:spacing w:val="-13"/>
          <w:sz w:val="22"/>
        </w:rPr>
        <w:t> </w:t>
      </w:r>
      <w:r>
        <w:rPr>
          <w:sz w:val="22"/>
        </w:rPr>
        <w:t>which,</w:t>
      </w:r>
      <w:r>
        <w:rPr>
          <w:spacing w:val="-14"/>
          <w:sz w:val="22"/>
        </w:rPr>
        <w:t> </w:t>
      </w:r>
      <w:r>
        <w:rPr>
          <w:sz w:val="22"/>
        </w:rPr>
        <w:t>in</w:t>
      </w:r>
      <w:r>
        <w:rPr>
          <w:spacing w:val="-14"/>
          <w:sz w:val="22"/>
        </w:rPr>
        <w:t> </w:t>
      </w:r>
      <w:r>
        <w:rPr>
          <w:sz w:val="22"/>
        </w:rPr>
        <w:t>turn,</w:t>
      </w:r>
      <w:r>
        <w:rPr>
          <w:spacing w:val="-14"/>
          <w:sz w:val="22"/>
        </w:rPr>
        <w:t> </w:t>
      </w:r>
      <w:r>
        <w:rPr>
          <w:sz w:val="22"/>
        </w:rPr>
        <w:t>might</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079" w:right="1"/>
        <w:jc w:val="both"/>
      </w:pPr>
      <w:r>
        <w:rPr/>
        <w:t>entice</w:t>
      </w:r>
      <w:r>
        <w:rPr>
          <w:spacing w:val="-4"/>
        </w:rPr>
        <w:t> </w:t>
      </w:r>
      <w:r>
        <w:rPr/>
        <w:t>many</w:t>
      </w:r>
      <w:r>
        <w:rPr>
          <w:spacing w:val="-4"/>
        </w:rPr>
        <w:t> </w:t>
      </w:r>
      <w:r>
        <w:rPr/>
        <w:t>students</w:t>
      </w:r>
      <w:r>
        <w:rPr>
          <w:spacing w:val="-4"/>
        </w:rPr>
        <w:t> </w:t>
      </w:r>
      <w:r>
        <w:rPr/>
        <w:t>to</w:t>
      </w:r>
      <w:r>
        <w:rPr>
          <w:spacing w:val="-4"/>
        </w:rPr>
        <w:t> </w:t>
      </w:r>
      <w:r>
        <w:rPr/>
        <w:t>enrol</w:t>
      </w:r>
      <w:r>
        <w:rPr>
          <w:spacing w:val="-4"/>
        </w:rPr>
        <w:t> </w:t>
      </w:r>
      <w:r>
        <w:rPr/>
        <w:t>in</w:t>
      </w:r>
      <w:r>
        <w:rPr>
          <w:spacing w:val="-4"/>
        </w:rPr>
        <w:t> </w:t>
      </w:r>
      <w:r>
        <w:rPr/>
        <w:t>a</w:t>
      </w:r>
      <w:r>
        <w:rPr>
          <w:spacing w:val="-4"/>
        </w:rPr>
        <w:t> </w:t>
      </w:r>
      <w:r>
        <w:rPr/>
        <w:t>doctorate</w:t>
      </w:r>
      <w:r>
        <w:rPr>
          <w:spacing w:val="-4"/>
        </w:rPr>
        <w:t> </w:t>
      </w:r>
      <w:r>
        <w:rPr/>
        <w:t>program. Thus, a virtual circle can be created.</w:t>
      </w:r>
    </w:p>
    <w:p>
      <w:pPr>
        <w:pStyle w:val="BodyText"/>
        <w:spacing w:before="25"/>
      </w:pPr>
    </w:p>
    <w:p>
      <w:pPr>
        <w:pStyle w:val="BodyText"/>
        <w:spacing w:line="266" w:lineRule="auto" w:before="1"/>
        <w:ind w:left="1079"/>
        <w:jc w:val="both"/>
      </w:pPr>
      <w:r>
        <w:rPr/>
        <w:t>The opportunity cost of pursuing a Ph.D is </w:t>
      </w:r>
      <w:r>
        <w:rPr/>
        <w:t>very significant for this target group. Hence, a favourable proposal needs to be designed which not only allows </w:t>
      </w:r>
      <w:r>
        <w:rPr>
          <w:spacing w:val="-2"/>
        </w:rPr>
        <w:t>but</w:t>
      </w:r>
      <w:r>
        <w:rPr>
          <w:spacing w:val="-12"/>
        </w:rPr>
        <w:t> </w:t>
      </w:r>
      <w:r>
        <w:rPr>
          <w:spacing w:val="-2"/>
        </w:rPr>
        <w:t>also</w:t>
      </w:r>
      <w:r>
        <w:rPr>
          <w:spacing w:val="-8"/>
        </w:rPr>
        <w:t> </w:t>
      </w:r>
      <w:r>
        <w:rPr>
          <w:spacing w:val="-2"/>
        </w:rPr>
        <w:t>encourages</w:t>
      </w:r>
      <w:r>
        <w:rPr>
          <w:spacing w:val="-8"/>
        </w:rPr>
        <w:t> </w:t>
      </w:r>
      <w:r>
        <w:rPr>
          <w:spacing w:val="-2"/>
        </w:rPr>
        <w:t>employees</w:t>
      </w:r>
      <w:r>
        <w:rPr>
          <w:spacing w:val="-8"/>
        </w:rPr>
        <w:t> </w:t>
      </w:r>
      <w:r>
        <w:rPr>
          <w:spacing w:val="-2"/>
        </w:rPr>
        <w:t>to</w:t>
      </w:r>
      <w:r>
        <w:rPr>
          <w:spacing w:val="-8"/>
        </w:rPr>
        <w:t> </w:t>
      </w:r>
      <w:r>
        <w:rPr>
          <w:spacing w:val="-2"/>
        </w:rPr>
        <w:t>go</w:t>
      </w:r>
      <w:r>
        <w:rPr>
          <w:spacing w:val="-8"/>
        </w:rPr>
        <w:t> </w:t>
      </w:r>
      <w:r>
        <w:rPr>
          <w:spacing w:val="-2"/>
        </w:rPr>
        <w:t>for</w:t>
      </w:r>
      <w:r>
        <w:rPr>
          <w:spacing w:val="-8"/>
        </w:rPr>
        <w:t> </w:t>
      </w:r>
      <w:r>
        <w:rPr>
          <w:spacing w:val="-2"/>
        </w:rPr>
        <w:t>a</w:t>
      </w:r>
      <w:r>
        <w:rPr>
          <w:spacing w:val="-8"/>
        </w:rPr>
        <w:t> </w:t>
      </w:r>
      <w:r>
        <w:rPr>
          <w:spacing w:val="-2"/>
        </w:rPr>
        <w:t>Ph.D.</w:t>
      </w:r>
      <w:r>
        <w:rPr>
          <w:spacing w:val="-12"/>
        </w:rPr>
        <w:t> </w:t>
      </w:r>
      <w:r>
        <w:rPr>
          <w:spacing w:val="-2"/>
        </w:rPr>
        <w:t>There </w:t>
      </w:r>
      <w:r>
        <w:rPr/>
        <w:t>should be Memorandum of Understanding (MoU) </w:t>
      </w:r>
      <w:r>
        <w:rPr>
          <w:spacing w:val="-4"/>
        </w:rPr>
        <w:t>between</w:t>
      </w:r>
      <w:r>
        <w:rPr>
          <w:spacing w:val="-10"/>
        </w:rPr>
        <w:t> </w:t>
      </w:r>
      <w:r>
        <w:rPr>
          <w:spacing w:val="-4"/>
        </w:rPr>
        <w:t>the partnering institution and the industry.</w:t>
      </w:r>
      <w:r>
        <w:rPr>
          <w:spacing w:val="-10"/>
        </w:rPr>
        <w:t> </w:t>
      </w:r>
      <w:r>
        <w:rPr>
          <w:spacing w:val="-4"/>
        </w:rPr>
        <w:t>The </w:t>
      </w:r>
      <w:r>
        <w:rPr/>
        <w:t>MoU</w:t>
      </w:r>
      <w:r>
        <w:rPr>
          <w:spacing w:val="-2"/>
        </w:rPr>
        <w:t> </w:t>
      </w:r>
      <w:r>
        <w:rPr/>
        <w:t>could</w:t>
      </w:r>
      <w:r>
        <w:rPr>
          <w:spacing w:val="-2"/>
        </w:rPr>
        <w:t> </w:t>
      </w:r>
      <w:r>
        <w:rPr/>
        <w:t>include</w:t>
      </w:r>
      <w:r>
        <w:rPr>
          <w:spacing w:val="-2"/>
        </w:rPr>
        <w:t> </w:t>
      </w:r>
      <w:r>
        <w:rPr/>
        <w:t>the</w:t>
      </w:r>
      <w:r>
        <w:rPr>
          <w:spacing w:val="-2"/>
        </w:rPr>
        <w:t> </w:t>
      </w:r>
      <w:r>
        <w:rPr/>
        <w:t>clause</w:t>
      </w:r>
      <w:r>
        <w:rPr>
          <w:spacing w:val="-2"/>
        </w:rPr>
        <w:t> </w:t>
      </w:r>
      <w:r>
        <w:rPr/>
        <w:t>that</w:t>
      </w:r>
      <w:r>
        <w:rPr>
          <w:spacing w:val="-2"/>
        </w:rPr>
        <w:t> </w:t>
      </w:r>
      <w:r>
        <w:rPr/>
        <w:t>the</w:t>
      </w:r>
      <w:r>
        <w:rPr>
          <w:spacing w:val="-2"/>
        </w:rPr>
        <w:t> </w:t>
      </w:r>
      <w:r>
        <w:rPr/>
        <w:t>company</w:t>
      </w:r>
      <w:r>
        <w:rPr>
          <w:spacing w:val="-2"/>
        </w:rPr>
        <w:t> </w:t>
      </w:r>
      <w:r>
        <w:rPr/>
        <w:t>pays </w:t>
      </w:r>
      <w:r>
        <w:rPr>
          <w:spacing w:val="-6"/>
        </w:rPr>
        <w:t>their</w:t>
      </w:r>
      <w:r>
        <w:rPr>
          <w:spacing w:val="-8"/>
        </w:rPr>
        <w:t> </w:t>
      </w:r>
      <w:r>
        <w:rPr>
          <w:spacing w:val="-6"/>
        </w:rPr>
        <w:t>salary</w:t>
      </w:r>
      <w:r>
        <w:rPr>
          <w:spacing w:val="-8"/>
        </w:rPr>
        <w:t> </w:t>
      </w:r>
      <w:r>
        <w:rPr>
          <w:spacing w:val="-6"/>
        </w:rPr>
        <w:t>during the period of Ph.D.</w:t>
      </w:r>
      <w:r>
        <w:rPr>
          <w:spacing w:val="-8"/>
        </w:rPr>
        <w:t> </w:t>
      </w:r>
      <w:r>
        <w:rPr>
          <w:spacing w:val="-6"/>
        </w:rPr>
        <w:t>The Reliance Life Sciences (RLS) model is noteworthy in this aspect. RLS </w:t>
      </w:r>
      <w:r>
        <w:rPr>
          <w:spacing w:val="-2"/>
        </w:rPr>
        <w:t>has</w:t>
      </w:r>
      <w:r>
        <w:rPr>
          <w:spacing w:val="-8"/>
        </w:rPr>
        <w:t> </w:t>
      </w:r>
      <w:r>
        <w:rPr>
          <w:spacing w:val="-2"/>
        </w:rPr>
        <w:t>a</w:t>
      </w:r>
      <w:r>
        <w:rPr>
          <w:spacing w:val="-8"/>
        </w:rPr>
        <w:t> </w:t>
      </w:r>
      <w:r>
        <w:rPr>
          <w:spacing w:val="-2"/>
        </w:rPr>
        <w:t>mechanism</w:t>
      </w:r>
      <w:r>
        <w:rPr>
          <w:spacing w:val="-8"/>
        </w:rPr>
        <w:t> </w:t>
      </w:r>
      <w:r>
        <w:rPr>
          <w:spacing w:val="-2"/>
        </w:rPr>
        <w:t>whereby</w:t>
      </w:r>
      <w:r>
        <w:rPr>
          <w:spacing w:val="-8"/>
        </w:rPr>
        <w:t> </w:t>
      </w:r>
      <w:r>
        <w:rPr>
          <w:spacing w:val="-2"/>
        </w:rPr>
        <w:t>its</w:t>
      </w:r>
      <w:r>
        <w:rPr>
          <w:spacing w:val="-8"/>
        </w:rPr>
        <w:t> </w:t>
      </w:r>
      <w:r>
        <w:rPr>
          <w:spacing w:val="-2"/>
        </w:rPr>
        <w:t>employees</w:t>
      </w:r>
      <w:r>
        <w:rPr>
          <w:spacing w:val="-8"/>
        </w:rPr>
        <w:t> </w:t>
      </w:r>
      <w:r>
        <w:rPr>
          <w:spacing w:val="-2"/>
        </w:rPr>
        <w:t>may</w:t>
      </w:r>
      <w:r>
        <w:rPr>
          <w:spacing w:val="-8"/>
        </w:rPr>
        <w:t> </w:t>
      </w:r>
      <w:r>
        <w:rPr>
          <w:spacing w:val="-2"/>
        </w:rPr>
        <w:t>pursue</w:t>
      </w:r>
      <w:r>
        <w:rPr>
          <w:spacing w:val="-8"/>
        </w:rPr>
        <w:t> </w:t>
      </w:r>
      <w:r>
        <w:rPr>
          <w:spacing w:val="-2"/>
        </w:rPr>
        <w:t>a </w:t>
      </w:r>
      <w:r>
        <w:rPr/>
        <w:t>doctorate degree at Mumbai University. BITS Pilani also runs a doctorate program for professionals. The </w:t>
      </w:r>
      <w:r>
        <w:rPr>
          <w:spacing w:val="-2"/>
        </w:rPr>
        <w:t>program</w:t>
      </w:r>
      <w:r>
        <w:rPr>
          <w:spacing w:val="-4"/>
        </w:rPr>
        <w:t> </w:t>
      </w:r>
      <w:r>
        <w:rPr>
          <w:spacing w:val="-2"/>
        </w:rPr>
        <w:t>has</w:t>
      </w:r>
      <w:r>
        <w:rPr>
          <w:spacing w:val="-4"/>
        </w:rPr>
        <w:t> </w:t>
      </w:r>
      <w:r>
        <w:rPr>
          <w:spacing w:val="-2"/>
        </w:rPr>
        <w:t>in-built</w:t>
      </w:r>
      <w:r>
        <w:rPr>
          <w:spacing w:val="-4"/>
        </w:rPr>
        <w:t> </w:t>
      </w:r>
      <w:r>
        <w:rPr>
          <w:spacing w:val="-2"/>
        </w:rPr>
        <w:t>flexibilities</w:t>
      </w:r>
      <w:r>
        <w:rPr>
          <w:spacing w:val="-4"/>
        </w:rPr>
        <w:t> </w:t>
      </w:r>
      <w:r>
        <w:rPr>
          <w:spacing w:val="-2"/>
        </w:rPr>
        <w:t>which</w:t>
      </w:r>
      <w:r>
        <w:rPr>
          <w:spacing w:val="-4"/>
        </w:rPr>
        <w:t> </w:t>
      </w:r>
      <w:r>
        <w:rPr>
          <w:spacing w:val="-2"/>
        </w:rPr>
        <w:t>attracts</w:t>
      </w:r>
      <w:r>
        <w:rPr>
          <w:spacing w:val="-4"/>
        </w:rPr>
        <w:t> </w:t>
      </w:r>
      <w:r>
        <w:rPr>
          <w:spacing w:val="-2"/>
        </w:rPr>
        <w:t>people </w:t>
      </w:r>
      <w:r>
        <w:rPr/>
        <w:t>from industry and simultaneously has a very strong scrutiny system to ensure quality Ph.Ds.</w:t>
      </w:r>
    </w:p>
    <w:p>
      <w:pPr>
        <w:pStyle w:val="BodyText"/>
        <w:spacing w:before="14"/>
      </w:pPr>
    </w:p>
    <w:p>
      <w:pPr>
        <w:pStyle w:val="BodyText"/>
        <w:spacing w:line="266" w:lineRule="auto" w:before="1"/>
        <w:ind w:left="1079"/>
        <w:jc w:val="both"/>
      </w:pPr>
      <w:r>
        <w:rPr/>
        <w:t>One important factor that should be kept in mind </w:t>
      </w:r>
      <w:r>
        <w:rPr/>
        <w:t>is that</w:t>
      </w:r>
      <w:r>
        <w:rPr>
          <w:spacing w:val="-5"/>
        </w:rPr>
        <w:t> </w:t>
      </w:r>
      <w:r>
        <w:rPr/>
        <w:t>academic</w:t>
      </w:r>
      <w:r>
        <w:rPr>
          <w:spacing w:val="-5"/>
        </w:rPr>
        <w:t> </w:t>
      </w:r>
      <w:r>
        <w:rPr/>
        <w:t>freedom</w:t>
      </w:r>
      <w:r>
        <w:rPr>
          <w:spacing w:val="-5"/>
        </w:rPr>
        <w:t> </w:t>
      </w:r>
      <w:r>
        <w:rPr/>
        <w:t>is</w:t>
      </w:r>
      <w:r>
        <w:rPr>
          <w:spacing w:val="-5"/>
        </w:rPr>
        <w:t> </w:t>
      </w:r>
      <w:r>
        <w:rPr/>
        <w:t>maintained</w:t>
      </w:r>
      <w:r>
        <w:rPr>
          <w:spacing w:val="-5"/>
        </w:rPr>
        <w:t> </w:t>
      </w:r>
      <w:r>
        <w:rPr/>
        <w:t>and</w:t>
      </w:r>
      <w:r>
        <w:rPr>
          <w:spacing w:val="-5"/>
        </w:rPr>
        <w:t> </w:t>
      </w:r>
      <w:r>
        <w:rPr/>
        <w:t>an</w:t>
      </w:r>
      <w:r>
        <w:rPr>
          <w:spacing w:val="-5"/>
        </w:rPr>
        <w:t> </w:t>
      </w:r>
      <w:r>
        <w:rPr/>
        <w:t>enabling </w:t>
      </w:r>
      <w:r>
        <w:rPr>
          <w:spacing w:val="-2"/>
        </w:rPr>
        <w:t>environment</w:t>
      </w:r>
      <w:r>
        <w:rPr>
          <w:spacing w:val="-12"/>
        </w:rPr>
        <w:t> </w:t>
      </w:r>
      <w:r>
        <w:rPr>
          <w:spacing w:val="-2"/>
        </w:rPr>
        <w:t>is</w:t>
      </w:r>
      <w:r>
        <w:rPr>
          <w:spacing w:val="-12"/>
        </w:rPr>
        <w:t> </w:t>
      </w:r>
      <w:r>
        <w:rPr>
          <w:spacing w:val="-2"/>
        </w:rPr>
        <w:t>created</w:t>
      </w:r>
      <w:r>
        <w:rPr>
          <w:spacing w:val="-12"/>
        </w:rPr>
        <w:t> </w:t>
      </w:r>
      <w:r>
        <w:rPr>
          <w:spacing w:val="-2"/>
        </w:rPr>
        <w:t>wherein</w:t>
      </w:r>
      <w:r>
        <w:rPr>
          <w:spacing w:val="-11"/>
        </w:rPr>
        <w:t> </w:t>
      </w:r>
      <w:r>
        <w:rPr>
          <w:spacing w:val="-2"/>
        </w:rPr>
        <w:t>prospective</w:t>
      </w:r>
      <w:r>
        <w:rPr>
          <w:spacing w:val="-12"/>
        </w:rPr>
        <w:t> </w:t>
      </w:r>
      <w:r>
        <w:rPr>
          <w:spacing w:val="-2"/>
        </w:rPr>
        <w:t>guides</w:t>
      </w:r>
      <w:r>
        <w:rPr>
          <w:spacing w:val="-12"/>
        </w:rPr>
        <w:t> </w:t>
      </w:r>
      <w:r>
        <w:rPr>
          <w:spacing w:val="-2"/>
        </w:rPr>
        <w:t>and </w:t>
      </w:r>
      <w:r>
        <w:rPr/>
        <w:t>doctoral students from industry can interact.</w:t>
      </w:r>
    </w:p>
    <w:p>
      <w:pPr>
        <w:pStyle w:val="BodyText"/>
        <w:spacing w:before="23"/>
      </w:pPr>
    </w:p>
    <w:p>
      <w:pPr>
        <w:pStyle w:val="BodyText"/>
        <w:spacing w:line="266" w:lineRule="auto"/>
        <w:ind w:left="1079"/>
        <w:jc w:val="both"/>
      </w:pPr>
      <w:r>
        <w:rPr/>
        <w:t>This</w:t>
      </w:r>
      <w:r>
        <w:rPr>
          <w:spacing w:val="-3"/>
        </w:rPr>
        <w:t> </w:t>
      </w:r>
      <w:r>
        <w:rPr/>
        <w:t>will</w:t>
      </w:r>
      <w:r>
        <w:rPr>
          <w:spacing w:val="-3"/>
        </w:rPr>
        <w:t> </w:t>
      </w:r>
      <w:r>
        <w:rPr/>
        <w:t>also</w:t>
      </w:r>
      <w:r>
        <w:rPr>
          <w:spacing w:val="-3"/>
        </w:rPr>
        <w:t> </w:t>
      </w:r>
      <w:r>
        <w:rPr/>
        <w:t>potentially</w:t>
      </w:r>
      <w:r>
        <w:rPr>
          <w:spacing w:val="-3"/>
        </w:rPr>
        <w:t> </w:t>
      </w:r>
      <w:r>
        <w:rPr/>
        <w:t>attract</w:t>
      </w:r>
      <w:r>
        <w:rPr>
          <w:spacing w:val="-3"/>
        </w:rPr>
        <w:t> </w:t>
      </w:r>
      <w:r>
        <w:rPr/>
        <w:t>those</w:t>
      </w:r>
      <w:r>
        <w:rPr>
          <w:spacing w:val="-3"/>
        </w:rPr>
        <w:t> </w:t>
      </w:r>
      <w:r>
        <w:rPr/>
        <w:t>bright</w:t>
      </w:r>
      <w:r>
        <w:rPr>
          <w:spacing w:val="-3"/>
        </w:rPr>
        <w:t> </w:t>
      </w:r>
      <w:r>
        <w:rPr/>
        <w:t>students who chose to work in industry because of attractive financial packages.</w:t>
      </w:r>
    </w:p>
    <w:p>
      <w:pPr>
        <w:pStyle w:val="BodyText"/>
        <w:spacing w:before="2"/>
      </w:pPr>
    </w:p>
    <w:p>
      <w:pPr>
        <w:pStyle w:val="Heading7"/>
        <w:spacing w:line="225" w:lineRule="auto"/>
        <w:ind w:left="1079"/>
      </w:pPr>
      <w:r>
        <w:rPr>
          <w:color w:val="2E614A"/>
          <w:spacing w:val="-6"/>
        </w:rPr>
        <w:t>Recommendation</w:t>
      </w:r>
      <w:r>
        <w:rPr>
          <w:color w:val="2E614A"/>
          <w:spacing w:val="-7"/>
        </w:rPr>
        <w:t> </w:t>
      </w:r>
      <w:r>
        <w:rPr>
          <w:color w:val="2E614A"/>
          <w:spacing w:val="-6"/>
        </w:rPr>
        <w:t>4:</w:t>
      </w:r>
      <w:r>
        <w:rPr>
          <w:color w:val="2E614A"/>
          <w:spacing w:val="-7"/>
        </w:rPr>
        <w:t> </w:t>
      </w:r>
      <w:r>
        <w:rPr>
          <w:color w:val="2E614A"/>
          <w:spacing w:val="-6"/>
        </w:rPr>
        <w:t>Create</w:t>
      </w:r>
      <w:r>
        <w:rPr>
          <w:color w:val="2E614A"/>
          <w:spacing w:val="-7"/>
        </w:rPr>
        <w:t> </w:t>
      </w:r>
      <w:r>
        <w:rPr>
          <w:color w:val="2E614A"/>
          <w:spacing w:val="-6"/>
        </w:rPr>
        <w:t>attractive</w:t>
      </w:r>
      <w:r>
        <w:rPr>
          <w:color w:val="2E614A"/>
          <w:spacing w:val="-7"/>
        </w:rPr>
        <w:t> </w:t>
      </w:r>
      <w:r>
        <w:rPr>
          <w:color w:val="2E614A"/>
          <w:spacing w:val="-6"/>
        </w:rPr>
        <w:t>post </w:t>
      </w:r>
      <w:r>
        <w:rPr>
          <w:color w:val="2E614A"/>
          <w:spacing w:val="-4"/>
        </w:rPr>
        <w:t>doctoral</w:t>
      </w:r>
      <w:r>
        <w:rPr>
          <w:color w:val="2E614A"/>
          <w:spacing w:val="-7"/>
        </w:rPr>
        <w:t> </w:t>
      </w:r>
      <w:r>
        <w:rPr>
          <w:color w:val="2E614A"/>
          <w:spacing w:val="-4"/>
        </w:rPr>
        <w:t>opportunities</w:t>
      </w:r>
      <w:r>
        <w:rPr>
          <w:color w:val="2E614A"/>
          <w:spacing w:val="-7"/>
        </w:rPr>
        <w:t> </w:t>
      </w:r>
      <w:r>
        <w:rPr>
          <w:color w:val="2E614A"/>
          <w:spacing w:val="-4"/>
        </w:rPr>
        <w:t>to</w:t>
      </w:r>
      <w:r>
        <w:rPr>
          <w:color w:val="2E614A"/>
          <w:spacing w:val="-7"/>
        </w:rPr>
        <w:t> </w:t>
      </w:r>
      <w:r>
        <w:rPr>
          <w:color w:val="2E614A"/>
          <w:spacing w:val="-4"/>
        </w:rPr>
        <w:t>provide</w:t>
      </w:r>
      <w:r>
        <w:rPr>
          <w:color w:val="2E614A"/>
          <w:spacing w:val="-7"/>
        </w:rPr>
        <w:t> </w:t>
      </w:r>
      <w:r>
        <w:rPr>
          <w:color w:val="2E614A"/>
          <w:spacing w:val="-4"/>
        </w:rPr>
        <w:t>fresh </w:t>
      </w:r>
      <w:r>
        <w:rPr>
          <w:color w:val="2E614A"/>
          <w:w w:val="90"/>
        </w:rPr>
        <w:t>doctorates with a valuable cross </w:t>
      </w:r>
      <w:r>
        <w:rPr>
          <w:color w:val="2E614A"/>
          <w:w w:val="90"/>
        </w:rPr>
        <w:t>disciplinary </w:t>
      </w:r>
      <w:r>
        <w:rPr>
          <w:color w:val="2E614A"/>
          <w:spacing w:val="-6"/>
        </w:rPr>
        <w:t>research and teaching experience</w:t>
      </w:r>
    </w:p>
    <w:p>
      <w:pPr>
        <w:pStyle w:val="BodyText"/>
        <w:spacing w:line="266" w:lineRule="auto" w:before="299"/>
        <w:ind w:left="1079"/>
        <w:jc w:val="both"/>
      </w:pPr>
      <w:r>
        <w:rPr>
          <w:b/>
          <w:spacing w:val="-2"/>
        </w:rPr>
        <w:t>Issues:</w:t>
      </w:r>
      <w:r>
        <w:rPr>
          <w:b/>
          <w:spacing w:val="-10"/>
        </w:rPr>
        <w:t> </w:t>
      </w:r>
      <w:r>
        <w:rPr>
          <w:spacing w:val="-2"/>
        </w:rPr>
        <w:t>Post</w:t>
      </w:r>
      <w:r>
        <w:rPr>
          <w:spacing w:val="-11"/>
        </w:rPr>
        <w:t> </w:t>
      </w:r>
      <w:r>
        <w:rPr>
          <w:spacing w:val="-2"/>
        </w:rPr>
        <w:t>doctoral</w:t>
      </w:r>
      <w:r>
        <w:rPr>
          <w:spacing w:val="-11"/>
        </w:rPr>
        <w:t> </w:t>
      </w:r>
      <w:r>
        <w:rPr>
          <w:spacing w:val="-2"/>
        </w:rPr>
        <w:t>opportunities</w:t>
      </w:r>
      <w:r>
        <w:rPr>
          <w:spacing w:val="-11"/>
        </w:rPr>
        <w:t> </w:t>
      </w:r>
      <w:r>
        <w:rPr>
          <w:spacing w:val="-2"/>
        </w:rPr>
        <w:t>in</w:t>
      </w:r>
      <w:r>
        <w:rPr>
          <w:spacing w:val="-11"/>
        </w:rPr>
        <w:t> </w:t>
      </w:r>
      <w:r>
        <w:rPr>
          <w:spacing w:val="-2"/>
        </w:rPr>
        <w:t>India</w:t>
      </w:r>
      <w:r>
        <w:rPr>
          <w:spacing w:val="-11"/>
        </w:rPr>
        <w:t> </w:t>
      </w:r>
      <w:r>
        <w:rPr>
          <w:spacing w:val="-2"/>
        </w:rPr>
        <w:t>and</w:t>
      </w:r>
      <w:r>
        <w:rPr>
          <w:spacing w:val="-11"/>
        </w:rPr>
        <w:t> </w:t>
      </w:r>
      <w:r>
        <w:rPr>
          <w:spacing w:val="-2"/>
        </w:rPr>
        <w:t>abroad </w:t>
      </w:r>
      <w:r>
        <w:rPr>
          <w:spacing w:val="-6"/>
        </w:rPr>
        <w:t>are</w:t>
      </w:r>
      <w:r>
        <w:rPr>
          <w:spacing w:val="-8"/>
        </w:rPr>
        <w:t> </w:t>
      </w:r>
      <w:r>
        <w:rPr>
          <w:spacing w:val="-6"/>
        </w:rPr>
        <w:t>limited.</w:t>
      </w:r>
      <w:r>
        <w:rPr>
          <w:spacing w:val="-8"/>
        </w:rPr>
        <w:t> </w:t>
      </w:r>
      <w:r>
        <w:rPr>
          <w:spacing w:val="-6"/>
        </w:rPr>
        <w:t>The</w:t>
      </w:r>
      <w:r>
        <w:rPr>
          <w:spacing w:val="-8"/>
        </w:rPr>
        <w:t> </w:t>
      </w:r>
      <w:r>
        <w:rPr>
          <w:spacing w:val="-6"/>
        </w:rPr>
        <w:t>opportunities</w:t>
      </w:r>
      <w:r>
        <w:rPr>
          <w:spacing w:val="-7"/>
        </w:rPr>
        <w:t> </w:t>
      </w:r>
      <w:r>
        <w:rPr>
          <w:spacing w:val="-6"/>
        </w:rPr>
        <w:t>existing</w:t>
      </w:r>
      <w:r>
        <w:rPr>
          <w:spacing w:val="-5"/>
        </w:rPr>
        <w:t> </w:t>
      </w:r>
      <w:r>
        <w:rPr>
          <w:spacing w:val="-6"/>
        </w:rPr>
        <w:t>in India right now do</w:t>
      </w:r>
      <w:r>
        <w:rPr>
          <w:spacing w:val="-7"/>
        </w:rPr>
        <w:t> </w:t>
      </w:r>
      <w:r>
        <w:rPr>
          <w:spacing w:val="-6"/>
        </w:rPr>
        <w:t>not</w:t>
      </w:r>
      <w:r>
        <w:rPr>
          <w:spacing w:val="-7"/>
        </w:rPr>
        <w:t> </w:t>
      </w:r>
      <w:r>
        <w:rPr>
          <w:spacing w:val="-6"/>
        </w:rPr>
        <w:t>stand</w:t>
      </w:r>
      <w:r>
        <w:rPr>
          <w:spacing w:val="-7"/>
        </w:rPr>
        <w:t> </w:t>
      </w:r>
      <w:r>
        <w:rPr>
          <w:spacing w:val="-6"/>
        </w:rPr>
        <w:t>any</w:t>
      </w:r>
      <w:r>
        <w:rPr>
          <w:spacing w:val="-7"/>
        </w:rPr>
        <w:t> </w:t>
      </w:r>
      <w:r>
        <w:rPr>
          <w:spacing w:val="-6"/>
        </w:rPr>
        <w:t>appeal</w:t>
      </w:r>
      <w:r>
        <w:rPr>
          <w:spacing w:val="-7"/>
        </w:rPr>
        <w:t> </w:t>
      </w:r>
      <w:r>
        <w:rPr>
          <w:spacing w:val="-6"/>
        </w:rPr>
        <w:t>against</w:t>
      </w:r>
      <w:r>
        <w:rPr>
          <w:spacing w:val="-7"/>
        </w:rPr>
        <w:t> </w:t>
      </w:r>
      <w:r>
        <w:rPr>
          <w:spacing w:val="-6"/>
        </w:rPr>
        <w:t>post</w:t>
      </w:r>
      <w:r>
        <w:rPr>
          <w:spacing w:val="-7"/>
        </w:rPr>
        <w:t> </w:t>
      </w:r>
      <w:r>
        <w:rPr>
          <w:spacing w:val="-6"/>
        </w:rPr>
        <w:t>doctoral</w:t>
      </w:r>
      <w:r>
        <w:rPr>
          <w:spacing w:val="-7"/>
        </w:rPr>
        <w:t> </w:t>
      </w:r>
      <w:r>
        <w:rPr>
          <w:spacing w:val="-6"/>
        </w:rPr>
        <w:t>offers</w:t>
      </w:r>
      <w:r>
        <w:rPr>
          <w:spacing w:val="-7"/>
        </w:rPr>
        <w:t> </w:t>
      </w:r>
      <w:r>
        <w:rPr>
          <w:spacing w:val="-6"/>
        </w:rPr>
        <w:t>from </w:t>
      </w:r>
      <w:r>
        <w:rPr/>
        <w:t>abroad. The brightest go abroad and tend to prolong </w:t>
      </w:r>
      <w:r>
        <w:rPr>
          <w:spacing w:val="-10"/>
        </w:rPr>
        <w:t>their</w:t>
      </w:r>
      <w:r>
        <w:rPr/>
        <w:t> </w:t>
      </w:r>
      <w:r>
        <w:rPr>
          <w:spacing w:val="-10"/>
        </w:rPr>
        <w:t>stay</w:t>
      </w:r>
      <w:r>
        <w:rPr/>
        <w:t> </w:t>
      </w:r>
      <w:r>
        <w:rPr>
          <w:spacing w:val="-10"/>
        </w:rPr>
        <w:t>as</w:t>
      </w:r>
      <w:r>
        <w:rPr/>
        <w:t> </w:t>
      </w:r>
      <w:r>
        <w:rPr>
          <w:spacing w:val="-10"/>
        </w:rPr>
        <w:t>far</w:t>
      </w:r>
      <w:r>
        <w:rPr/>
        <w:t> </w:t>
      </w:r>
      <w:r>
        <w:rPr>
          <w:spacing w:val="-10"/>
        </w:rPr>
        <w:t>as</w:t>
      </w:r>
      <w:r>
        <w:rPr/>
        <w:t> </w:t>
      </w:r>
      <w:r>
        <w:rPr>
          <w:spacing w:val="-10"/>
        </w:rPr>
        <w:t>possible.</w:t>
      </w:r>
      <w:r>
        <w:rPr/>
        <w:t> </w:t>
      </w:r>
      <w:r>
        <w:rPr>
          <w:spacing w:val="-10"/>
        </w:rPr>
        <w:t>Simultaneously,</w:t>
      </w:r>
      <w:r>
        <w:rPr/>
        <w:t> </w:t>
      </w:r>
      <w:r>
        <w:rPr>
          <w:spacing w:val="-10"/>
        </w:rPr>
        <w:t>there</w:t>
      </w:r>
      <w:r>
        <w:rPr/>
        <w:t> </w:t>
      </w:r>
      <w:r>
        <w:rPr>
          <w:spacing w:val="-10"/>
        </w:rPr>
        <w:t>is</w:t>
      </w:r>
      <w:r>
        <w:rPr/>
        <w:t> </w:t>
      </w:r>
      <w:r>
        <w:rPr>
          <w:spacing w:val="-10"/>
        </w:rPr>
        <w:t>a</w:t>
      </w:r>
      <w:r>
        <w:rPr/>
        <w:t> </w:t>
      </w:r>
      <w:r>
        <w:rPr>
          <w:spacing w:val="-10"/>
        </w:rPr>
        <w:t>lack </w:t>
      </w:r>
      <w:r>
        <w:rPr>
          <w:spacing w:val="-4"/>
        </w:rPr>
        <w:t>of</w:t>
      </w:r>
      <w:r>
        <w:rPr>
          <w:spacing w:val="-10"/>
        </w:rPr>
        <w:t> </w:t>
      </w:r>
      <w:r>
        <w:rPr>
          <w:spacing w:val="-4"/>
        </w:rPr>
        <w:t>synergy</w:t>
      </w:r>
      <w:r>
        <w:rPr>
          <w:spacing w:val="-10"/>
        </w:rPr>
        <w:t> </w:t>
      </w:r>
      <w:r>
        <w:rPr>
          <w:spacing w:val="-4"/>
        </w:rPr>
        <w:t>between</w:t>
      </w:r>
      <w:r>
        <w:rPr>
          <w:spacing w:val="-10"/>
        </w:rPr>
        <w:t> </w:t>
      </w:r>
      <w:r>
        <w:rPr>
          <w:spacing w:val="-4"/>
        </w:rPr>
        <w:t>research</w:t>
      </w:r>
      <w:r>
        <w:rPr>
          <w:spacing w:val="-9"/>
        </w:rPr>
        <w:t> </w:t>
      </w:r>
      <w:r>
        <w:rPr>
          <w:spacing w:val="-4"/>
        </w:rPr>
        <w:t>and</w:t>
      </w:r>
      <w:r>
        <w:rPr>
          <w:spacing w:val="-10"/>
        </w:rPr>
        <w:t> </w:t>
      </w:r>
      <w:r>
        <w:rPr>
          <w:spacing w:val="-4"/>
        </w:rPr>
        <w:t>teaching</w:t>
      </w:r>
      <w:r>
        <w:rPr>
          <w:spacing w:val="-10"/>
        </w:rPr>
        <w:t> </w:t>
      </w:r>
      <w:r>
        <w:rPr>
          <w:spacing w:val="-4"/>
        </w:rPr>
        <w:t>experience.</w:t>
      </w:r>
    </w:p>
    <w:p>
      <w:pPr>
        <w:pStyle w:val="BodyText"/>
        <w:spacing w:before="22"/>
      </w:pPr>
    </w:p>
    <w:p>
      <w:pPr>
        <w:pStyle w:val="BodyText"/>
        <w:spacing w:line="266" w:lineRule="auto"/>
        <w:ind w:left="1079"/>
        <w:jc w:val="both"/>
      </w:pPr>
      <w:r>
        <w:rPr>
          <w:spacing w:val="-2"/>
        </w:rPr>
        <w:t>This</w:t>
      </w:r>
      <w:r>
        <w:rPr>
          <w:spacing w:val="-9"/>
        </w:rPr>
        <w:t> </w:t>
      </w:r>
      <w:r>
        <w:rPr>
          <w:spacing w:val="-2"/>
        </w:rPr>
        <w:t>is</w:t>
      </w:r>
      <w:r>
        <w:rPr>
          <w:spacing w:val="-9"/>
        </w:rPr>
        <w:t> </w:t>
      </w:r>
      <w:r>
        <w:rPr>
          <w:spacing w:val="-2"/>
        </w:rPr>
        <w:t>an</w:t>
      </w:r>
      <w:r>
        <w:rPr>
          <w:spacing w:val="-9"/>
        </w:rPr>
        <w:t> </w:t>
      </w:r>
      <w:r>
        <w:rPr>
          <w:spacing w:val="-2"/>
        </w:rPr>
        <w:t>important</w:t>
      </w:r>
      <w:r>
        <w:rPr>
          <w:spacing w:val="-9"/>
        </w:rPr>
        <w:t> </w:t>
      </w:r>
      <w:r>
        <w:rPr>
          <w:spacing w:val="-2"/>
        </w:rPr>
        <w:t>stage</w:t>
      </w:r>
      <w:r>
        <w:rPr>
          <w:spacing w:val="-9"/>
        </w:rPr>
        <w:t> </w:t>
      </w:r>
      <w:r>
        <w:rPr>
          <w:spacing w:val="-2"/>
        </w:rPr>
        <w:t>where</w:t>
      </w:r>
      <w:r>
        <w:rPr>
          <w:spacing w:val="-9"/>
        </w:rPr>
        <w:t> </w:t>
      </w:r>
      <w:r>
        <w:rPr>
          <w:spacing w:val="-2"/>
        </w:rPr>
        <w:t>effective</w:t>
      </w:r>
      <w:r>
        <w:rPr>
          <w:spacing w:val="-9"/>
        </w:rPr>
        <w:t> </w:t>
      </w:r>
      <w:r>
        <w:rPr>
          <w:spacing w:val="-2"/>
        </w:rPr>
        <w:t>intervention </w:t>
      </w:r>
      <w:r>
        <w:rPr/>
        <w:t>should</w:t>
      </w:r>
      <w:r>
        <w:rPr>
          <w:spacing w:val="-14"/>
        </w:rPr>
        <w:t> </w:t>
      </w:r>
      <w:r>
        <w:rPr/>
        <w:t>be</w:t>
      </w:r>
      <w:r>
        <w:rPr>
          <w:spacing w:val="-14"/>
        </w:rPr>
        <w:t> </w:t>
      </w:r>
      <w:r>
        <w:rPr/>
        <w:t>made</w:t>
      </w:r>
      <w:r>
        <w:rPr>
          <w:spacing w:val="-14"/>
        </w:rPr>
        <w:t> </w:t>
      </w:r>
      <w:r>
        <w:rPr/>
        <w:t>to</w:t>
      </w:r>
      <w:r>
        <w:rPr>
          <w:spacing w:val="-13"/>
        </w:rPr>
        <w:t> </w:t>
      </w:r>
      <w:r>
        <w:rPr/>
        <w:t>broaden</w:t>
      </w:r>
      <w:r>
        <w:rPr>
          <w:spacing w:val="-14"/>
        </w:rPr>
        <w:t> </w:t>
      </w:r>
      <w:r>
        <w:rPr/>
        <w:t>our</w:t>
      </w:r>
      <w:r>
        <w:rPr>
          <w:spacing w:val="-14"/>
        </w:rPr>
        <w:t> </w:t>
      </w:r>
      <w:r>
        <w:rPr/>
        <w:t>academic</w:t>
      </w:r>
      <w:r>
        <w:rPr>
          <w:spacing w:val="-14"/>
        </w:rPr>
        <w:t> </w:t>
      </w:r>
      <w:r>
        <w:rPr/>
        <w:t>and</w:t>
      </w:r>
      <w:r>
        <w:rPr>
          <w:spacing w:val="-13"/>
        </w:rPr>
        <w:t> </w:t>
      </w:r>
      <w:r>
        <w:rPr/>
        <w:t>research base.</w:t>
      </w:r>
      <w:r>
        <w:rPr>
          <w:spacing w:val="-9"/>
        </w:rPr>
        <w:t> </w:t>
      </w:r>
      <w:r>
        <w:rPr/>
        <w:t>Therefore, it is vital to create</w:t>
      </w:r>
    </w:p>
    <w:p>
      <w:pPr>
        <w:pStyle w:val="ListParagraph"/>
        <w:numPr>
          <w:ilvl w:val="0"/>
          <w:numId w:val="49"/>
        </w:numPr>
        <w:tabs>
          <w:tab w:pos="1439" w:val="left" w:leader="none"/>
        </w:tabs>
        <w:spacing w:line="266" w:lineRule="auto" w:before="0" w:after="0"/>
        <w:ind w:left="1439" w:right="0" w:hanging="360"/>
        <w:jc w:val="both"/>
        <w:rPr>
          <w:sz w:val="22"/>
        </w:rPr>
      </w:pPr>
      <w:r>
        <w:rPr>
          <w:sz w:val="22"/>
        </w:rPr>
        <w:t>Dedicated</w:t>
      </w:r>
      <w:r>
        <w:rPr>
          <w:spacing w:val="-6"/>
          <w:sz w:val="22"/>
        </w:rPr>
        <w:t> </w:t>
      </w:r>
      <w:r>
        <w:rPr>
          <w:sz w:val="22"/>
        </w:rPr>
        <w:t>central</w:t>
      </w:r>
      <w:r>
        <w:rPr>
          <w:spacing w:val="-6"/>
          <w:sz w:val="22"/>
        </w:rPr>
        <w:t> </w:t>
      </w:r>
      <w:r>
        <w:rPr>
          <w:sz w:val="22"/>
        </w:rPr>
        <w:t>fund</w:t>
      </w:r>
      <w:r>
        <w:rPr>
          <w:spacing w:val="-6"/>
          <w:sz w:val="22"/>
        </w:rPr>
        <w:t> </w:t>
      </w:r>
      <w:r>
        <w:rPr>
          <w:sz w:val="22"/>
        </w:rPr>
        <w:t>for</w:t>
      </w:r>
      <w:r>
        <w:rPr>
          <w:spacing w:val="-6"/>
          <w:sz w:val="22"/>
        </w:rPr>
        <w:t> </w:t>
      </w:r>
      <w:r>
        <w:rPr>
          <w:sz w:val="22"/>
        </w:rPr>
        <w:t>Post</w:t>
      </w:r>
      <w:r>
        <w:rPr>
          <w:spacing w:val="-6"/>
          <w:sz w:val="22"/>
        </w:rPr>
        <w:t> </w:t>
      </w:r>
      <w:r>
        <w:rPr>
          <w:sz w:val="22"/>
        </w:rPr>
        <w:t>Doctoral</w:t>
      </w:r>
      <w:r>
        <w:rPr>
          <w:spacing w:val="-6"/>
          <w:sz w:val="22"/>
        </w:rPr>
        <w:t> </w:t>
      </w:r>
      <w:r>
        <w:rPr>
          <w:sz w:val="22"/>
        </w:rPr>
        <w:t>Fellows (PDFs)</w:t>
      </w:r>
      <w:r>
        <w:rPr>
          <w:spacing w:val="-14"/>
          <w:sz w:val="22"/>
        </w:rPr>
        <w:t> </w:t>
      </w:r>
      <w:r>
        <w:rPr>
          <w:sz w:val="22"/>
        </w:rPr>
        <w:t>so</w:t>
      </w:r>
      <w:r>
        <w:rPr>
          <w:spacing w:val="-14"/>
          <w:sz w:val="22"/>
        </w:rPr>
        <w:t> </w:t>
      </w:r>
      <w:r>
        <w:rPr>
          <w:sz w:val="22"/>
        </w:rPr>
        <w:t>that</w:t>
      </w:r>
      <w:r>
        <w:rPr>
          <w:spacing w:val="-14"/>
          <w:sz w:val="22"/>
        </w:rPr>
        <w:t> </w:t>
      </w:r>
      <w:r>
        <w:rPr>
          <w:sz w:val="22"/>
        </w:rPr>
        <w:t>senior</w:t>
      </w:r>
      <w:r>
        <w:rPr>
          <w:spacing w:val="-13"/>
          <w:sz w:val="22"/>
        </w:rPr>
        <w:t> </w:t>
      </w:r>
      <w:r>
        <w:rPr>
          <w:sz w:val="22"/>
        </w:rPr>
        <w:t>researchers</w:t>
      </w:r>
      <w:r>
        <w:rPr>
          <w:spacing w:val="-14"/>
          <w:sz w:val="22"/>
        </w:rPr>
        <w:t> </w:t>
      </w:r>
      <w:r>
        <w:rPr>
          <w:sz w:val="22"/>
        </w:rPr>
        <w:t>can</w:t>
      </w:r>
      <w:r>
        <w:rPr>
          <w:spacing w:val="-14"/>
          <w:sz w:val="22"/>
        </w:rPr>
        <w:t> </w:t>
      </w:r>
      <w:r>
        <w:rPr>
          <w:sz w:val="22"/>
        </w:rPr>
        <w:t>employ</w:t>
      </w:r>
      <w:r>
        <w:rPr>
          <w:spacing w:val="-14"/>
          <w:sz w:val="22"/>
        </w:rPr>
        <w:t> </w:t>
      </w:r>
      <w:r>
        <w:rPr>
          <w:sz w:val="22"/>
        </w:rPr>
        <w:t>post docs for their research projects.</w:t>
      </w:r>
    </w:p>
    <w:p>
      <w:pPr>
        <w:pStyle w:val="ListParagraph"/>
        <w:numPr>
          <w:ilvl w:val="0"/>
          <w:numId w:val="49"/>
        </w:numPr>
        <w:tabs>
          <w:tab w:pos="1439" w:val="left" w:leader="none"/>
        </w:tabs>
        <w:spacing w:line="266" w:lineRule="auto" w:before="0" w:after="0"/>
        <w:ind w:left="1439" w:right="0" w:hanging="360"/>
        <w:jc w:val="both"/>
        <w:rPr>
          <w:sz w:val="22"/>
        </w:rPr>
      </w:pPr>
      <w:r>
        <w:rPr>
          <w:spacing w:val="-4"/>
          <w:sz w:val="22"/>
        </w:rPr>
        <w:t>More</w:t>
      </w:r>
      <w:r>
        <w:rPr>
          <w:spacing w:val="-10"/>
          <w:sz w:val="22"/>
        </w:rPr>
        <w:t> </w:t>
      </w:r>
      <w:r>
        <w:rPr>
          <w:spacing w:val="-4"/>
          <w:sz w:val="22"/>
        </w:rPr>
        <w:t>flexible</w:t>
      </w:r>
      <w:r>
        <w:rPr>
          <w:spacing w:val="-10"/>
          <w:sz w:val="22"/>
        </w:rPr>
        <w:t> </w:t>
      </w:r>
      <w:r>
        <w:rPr>
          <w:spacing w:val="-4"/>
          <w:sz w:val="22"/>
        </w:rPr>
        <w:t>positions</w:t>
      </w:r>
      <w:r>
        <w:rPr>
          <w:spacing w:val="-10"/>
          <w:sz w:val="22"/>
        </w:rPr>
        <w:t> </w:t>
      </w:r>
      <w:r>
        <w:rPr>
          <w:spacing w:val="-4"/>
          <w:sz w:val="22"/>
        </w:rPr>
        <w:t>for</w:t>
      </w:r>
      <w:r>
        <w:rPr>
          <w:spacing w:val="-9"/>
          <w:sz w:val="22"/>
        </w:rPr>
        <w:t> </w:t>
      </w:r>
      <w:r>
        <w:rPr>
          <w:spacing w:val="-4"/>
          <w:sz w:val="22"/>
        </w:rPr>
        <w:t>researchers</w:t>
      </w:r>
      <w:r>
        <w:rPr>
          <w:spacing w:val="-10"/>
          <w:sz w:val="22"/>
        </w:rPr>
        <w:t> </w:t>
      </w:r>
      <w:r>
        <w:rPr>
          <w:spacing w:val="-4"/>
          <w:sz w:val="22"/>
        </w:rPr>
        <w:t>with</w:t>
      </w:r>
      <w:r>
        <w:rPr>
          <w:spacing w:val="-10"/>
          <w:sz w:val="22"/>
        </w:rPr>
        <w:t> </w:t>
      </w:r>
      <w:r>
        <w:rPr>
          <w:spacing w:val="-4"/>
          <w:sz w:val="22"/>
        </w:rPr>
        <w:t>various </w:t>
      </w:r>
      <w:r>
        <w:rPr>
          <w:w w:val="90"/>
          <w:sz w:val="22"/>
        </w:rPr>
        <w:t>institutions, centres of excellence, advanced </w:t>
      </w:r>
      <w:r>
        <w:rPr>
          <w:w w:val="90"/>
          <w:sz w:val="22"/>
        </w:rPr>
        <w:t>research </w:t>
      </w:r>
      <w:r>
        <w:rPr>
          <w:sz w:val="22"/>
        </w:rPr>
        <w:t>labs and industry.</w:t>
      </w:r>
    </w:p>
    <w:p>
      <w:pPr>
        <w:pStyle w:val="ListParagraph"/>
        <w:numPr>
          <w:ilvl w:val="0"/>
          <w:numId w:val="49"/>
        </w:numPr>
        <w:tabs>
          <w:tab w:pos="1439" w:val="left" w:leader="none"/>
        </w:tabs>
        <w:spacing w:line="266" w:lineRule="auto" w:before="0" w:after="0"/>
        <w:ind w:left="1439" w:right="0" w:hanging="360"/>
        <w:jc w:val="both"/>
        <w:rPr>
          <w:sz w:val="22"/>
        </w:rPr>
      </w:pPr>
      <w:r>
        <w:rPr>
          <w:sz w:val="22"/>
        </w:rPr>
        <w:t>A</w:t>
      </w:r>
      <w:r>
        <w:rPr>
          <w:spacing w:val="-1"/>
          <w:sz w:val="22"/>
        </w:rPr>
        <w:t> </w:t>
      </w:r>
      <w:r>
        <w:rPr>
          <w:sz w:val="22"/>
        </w:rPr>
        <w:t>large</w:t>
      </w:r>
      <w:r>
        <w:rPr>
          <w:spacing w:val="-1"/>
          <w:sz w:val="22"/>
        </w:rPr>
        <w:t> </w:t>
      </w:r>
      <w:r>
        <w:rPr>
          <w:sz w:val="22"/>
        </w:rPr>
        <w:t>pool</w:t>
      </w:r>
      <w:r>
        <w:rPr>
          <w:spacing w:val="-1"/>
          <w:sz w:val="22"/>
        </w:rPr>
        <w:t> </w:t>
      </w:r>
      <w:r>
        <w:rPr>
          <w:sz w:val="22"/>
        </w:rPr>
        <w:t>of</w:t>
      </w:r>
      <w:r>
        <w:rPr>
          <w:spacing w:val="-1"/>
          <w:sz w:val="22"/>
        </w:rPr>
        <w:t> </w:t>
      </w:r>
      <w:r>
        <w:rPr>
          <w:sz w:val="22"/>
        </w:rPr>
        <w:t>post</w:t>
      </w:r>
      <w:r>
        <w:rPr>
          <w:spacing w:val="-1"/>
          <w:sz w:val="22"/>
        </w:rPr>
        <w:t> </w:t>
      </w:r>
      <w:r>
        <w:rPr>
          <w:sz w:val="22"/>
        </w:rPr>
        <w:t>doctoral</w:t>
      </w:r>
      <w:r>
        <w:rPr>
          <w:spacing w:val="-1"/>
          <w:sz w:val="22"/>
        </w:rPr>
        <w:t> </w:t>
      </w:r>
      <w:r>
        <w:rPr>
          <w:sz w:val="22"/>
        </w:rPr>
        <w:t>fellows.</w:t>
      </w:r>
      <w:r>
        <w:rPr>
          <w:spacing w:val="-1"/>
          <w:sz w:val="22"/>
        </w:rPr>
        <w:t> </w:t>
      </w:r>
      <w:r>
        <w:rPr>
          <w:sz w:val="22"/>
        </w:rPr>
        <w:t>Projects</w:t>
      </w:r>
      <w:r>
        <w:rPr>
          <w:spacing w:val="-1"/>
          <w:sz w:val="22"/>
        </w:rPr>
        <w:t> </w:t>
      </w:r>
      <w:r>
        <w:rPr>
          <w:sz w:val="22"/>
        </w:rPr>
        <w:t>of </w:t>
      </w:r>
      <w:r>
        <w:rPr>
          <w:spacing w:val="-6"/>
          <w:sz w:val="22"/>
        </w:rPr>
        <w:t>national importance, faculty for teaching institutions </w:t>
      </w:r>
      <w:r>
        <w:rPr>
          <w:w w:val="90"/>
          <w:sz w:val="22"/>
        </w:rPr>
        <w:t>as</w:t>
      </w:r>
      <w:r>
        <w:rPr>
          <w:spacing w:val="-16"/>
          <w:w w:val="90"/>
          <w:sz w:val="22"/>
        </w:rPr>
        <w:t> </w:t>
      </w:r>
      <w:r>
        <w:rPr>
          <w:w w:val="90"/>
          <w:sz w:val="22"/>
        </w:rPr>
        <w:t>well</w:t>
      </w:r>
      <w:r>
        <w:rPr>
          <w:spacing w:val="-15"/>
          <w:w w:val="90"/>
          <w:sz w:val="22"/>
        </w:rPr>
        <w:t> </w:t>
      </w:r>
      <w:r>
        <w:rPr>
          <w:w w:val="90"/>
          <w:sz w:val="22"/>
        </w:rPr>
        <w:t>as</w:t>
      </w:r>
      <w:r>
        <w:rPr>
          <w:spacing w:val="-16"/>
          <w:w w:val="90"/>
          <w:sz w:val="22"/>
        </w:rPr>
        <w:t> </w:t>
      </w:r>
      <w:r>
        <w:rPr>
          <w:w w:val="90"/>
          <w:sz w:val="22"/>
        </w:rPr>
        <w:t>private</w:t>
      </w:r>
      <w:r>
        <w:rPr>
          <w:spacing w:val="-15"/>
          <w:w w:val="90"/>
          <w:sz w:val="22"/>
        </w:rPr>
        <w:t> </w:t>
      </w:r>
      <w:r>
        <w:rPr>
          <w:w w:val="90"/>
          <w:sz w:val="22"/>
        </w:rPr>
        <w:t>companies</w:t>
      </w:r>
      <w:r>
        <w:rPr>
          <w:spacing w:val="-16"/>
          <w:w w:val="90"/>
          <w:sz w:val="22"/>
        </w:rPr>
        <w:t> </w:t>
      </w:r>
      <w:r>
        <w:rPr>
          <w:w w:val="90"/>
          <w:sz w:val="22"/>
        </w:rPr>
        <w:t>can</w:t>
      </w:r>
      <w:r>
        <w:rPr>
          <w:spacing w:val="-15"/>
          <w:w w:val="90"/>
          <w:sz w:val="22"/>
        </w:rPr>
        <w:t> </w:t>
      </w:r>
      <w:r>
        <w:rPr>
          <w:w w:val="90"/>
          <w:sz w:val="22"/>
        </w:rPr>
        <w:t>choose</w:t>
      </w:r>
      <w:r>
        <w:rPr>
          <w:spacing w:val="-16"/>
          <w:w w:val="90"/>
          <w:sz w:val="22"/>
        </w:rPr>
        <w:t> </w:t>
      </w:r>
      <w:r>
        <w:rPr>
          <w:w w:val="90"/>
          <w:sz w:val="22"/>
        </w:rPr>
        <w:t>new</w:t>
      </w:r>
      <w:r>
        <w:rPr>
          <w:spacing w:val="-15"/>
          <w:w w:val="90"/>
          <w:sz w:val="22"/>
        </w:rPr>
        <w:t> </w:t>
      </w:r>
      <w:r>
        <w:rPr>
          <w:w w:val="90"/>
          <w:sz w:val="22"/>
        </w:rPr>
        <w:t>doctorates</w:t>
      </w:r>
    </w:p>
    <w:p>
      <w:pPr>
        <w:pStyle w:val="BodyText"/>
        <w:spacing w:line="266" w:lineRule="auto" w:before="57"/>
        <w:ind w:left="679" w:right="1077"/>
        <w:jc w:val="both"/>
      </w:pPr>
      <w:r>
        <w:rPr/>
        <w:br w:type="column"/>
      </w:r>
      <w:r>
        <w:rPr>
          <w:spacing w:val="-8"/>
        </w:rPr>
        <w:t>for</w:t>
      </w:r>
      <w:r>
        <w:rPr>
          <w:spacing w:val="-6"/>
        </w:rPr>
        <w:t> </w:t>
      </w:r>
      <w:r>
        <w:rPr>
          <w:spacing w:val="-8"/>
        </w:rPr>
        <w:t>temporary,</w:t>
      </w:r>
      <w:r>
        <w:rPr>
          <w:spacing w:val="-6"/>
        </w:rPr>
        <w:t> </w:t>
      </w:r>
      <w:r>
        <w:rPr>
          <w:spacing w:val="-8"/>
        </w:rPr>
        <w:t>yet</w:t>
      </w:r>
      <w:r>
        <w:rPr>
          <w:spacing w:val="-6"/>
        </w:rPr>
        <w:t> </w:t>
      </w:r>
      <w:r>
        <w:rPr>
          <w:spacing w:val="-8"/>
        </w:rPr>
        <w:t>financially</w:t>
      </w:r>
      <w:r>
        <w:rPr>
          <w:spacing w:val="-5"/>
        </w:rPr>
        <w:t> </w:t>
      </w:r>
      <w:r>
        <w:rPr>
          <w:spacing w:val="-8"/>
        </w:rPr>
        <w:t>very</w:t>
      </w:r>
      <w:r>
        <w:rPr>
          <w:spacing w:val="-6"/>
        </w:rPr>
        <w:t> </w:t>
      </w:r>
      <w:r>
        <w:rPr>
          <w:spacing w:val="-8"/>
        </w:rPr>
        <w:t>attractive</w:t>
      </w:r>
      <w:r>
        <w:rPr>
          <w:spacing w:val="-6"/>
        </w:rPr>
        <w:t> </w:t>
      </w:r>
      <w:r>
        <w:rPr>
          <w:spacing w:val="-8"/>
        </w:rPr>
        <w:t>positions </w:t>
      </w:r>
      <w:r>
        <w:rPr/>
        <w:t>from</w:t>
      </w:r>
      <w:r>
        <w:rPr>
          <w:spacing w:val="-14"/>
        </w:rPr>
        <w:t> </w:t>
      </w:r>
      <w:r>
        <w:rPr/>
        <w:t>such</w:t>
      </w:r>
      <w:r>
        <w:rPr>
          <w:spacing w:val="-14"/>
        </w:rPr>
        <w:t> </w:t>
      </w:r>
      <w:r>
        <w:rPr/>
        <w:t>a</w:t>
      </w:r>
      <w:r>
        <w:rPr>
          <w:spacing w:val="-14"/>
        </w:rPr>
        <w:t> </w:t>
      </w:r>
      <w:r>
        <w:rPr/>
        <w:t>pool.</w:t>
      </w:r>
      <w:r>
        <w:rPr>
          <w:spacing w:val="-13"/>
        </w:rPr>
        <w:t> </w:t>
      </w:r>
      <w:r>
        <w:rPr/>
        <w:t>Such</w:t>
      </w:r>
      <w:r>
        <w:rPr>
          <w:spacing w:val="-14"/>
        </w:rPr>
        <w:t> </w:t>
      </w:r>
      <w:r>
        <w:rPr/>
        <w:t>centralisation</w:t>
      </w:r>
      <w:r>
        <w:rPr>
          <w:spacing w:val="-14"/>
        </w:rPr>
        <w:t> </w:t>
      </w:r>
      <w:r>
        <w:rPr/>
        <w:t>of</w:t>
      </w:r>
      <w:r>
        <w:rPr>
          <w:spacing w:val="-14"/>
        </w:rPr>
        <w:t> </w:t>
      </w:r>
      <w:r>
        <w:rPr/>
        <w:t>resources will lead to better information dissemination and </w:t>
      </w:r>
      <w:r>
        <w:rPr>
          <w:spacing w:val="-2"/>
        </w:rPr>
        <w:t>effective</w:t>
      </w:r>
      <w:r>
        <w:rPr>
          <w:spacing w:val="-11"/>
        </w:rPr>
        <w:t> </w:t>
      </w:r>
      <w:r>
        <w:rPr>
          <w:spacing w:val="-2"/>
        </w:rPr>
        <w:t>resource</w:t>
      </w:r>
      <w:r>
        <w:rPr>
          <w:spacing w:val="-11"/>
        </w:rPr>
        <w:t> </w:t>
      </w:r>
      <w:r>
        <w:rPr>
          <w:spacing w:val="-2"/>
        </w:rPr>
        <w:t>sharing.</w:t>
      </w:r>
    </w:p>
    <w:p>
      <w:pPr>
        <w:pStyle w:val="BodyText"/>
        <w:spacing w:before="24"/>
      </w:pPr>
    </w:p>
    <w:p>
      <w:pPr>
        <w:pStyle w:val="BodyText"/>
        <w:spacing w:line="266" w:lineRule="auto"/>
        <w:ind w:left="319" w:right="1078"/>
        <w:jc w:val="both"/>
      </w:pPr>
      <w:r>
        <w:rPr>
          <w:spacing w:val="-4"/>
        </w:rPr>
        <w:t>Longer</w:t>
      </w:r>
      <w:r>
        <w:rPr>
          <w:spacing w:val="-10"/>
        </w:rPr>
        <w:t> </w:t>
      </w:r>
      <w:r>
        <w:rPr>
          <w:spacing w:val="-4"/>
        </w:rPr>
        <w:t>term</w:t>
      </w:r>
      <w:r>
        <w:rPr>
          <w:spacing w:val="-10"/>
        </w:rPr>
        <w:t> </w:t>
      </w:r>
      <w:r>
        <w:rPr>
          <w:spacing w:val="-4"/>
        </w:rPr>
        <w:t>offers</w:t>
      </w:r>
      <w:r>
        <w:rPr>
          <w:spacing w:val="-10"/>
        </w:rPr>
        <w:t> </w:t>
      </w:r>
      <w:r>
        <w:rPr>
          <w:spacing w:val="-4"/>
        </w:rPr>
        <w:t>could</w:t>
      </w:r>
      <w:r>
        <w:rPr>
          <w:spacing w:val="-9"/>
        </w:rPr>
        <w:t> </w:t>
      </w:r>
      <w:r>
        <w:rPr>
          <w:spacing w:val="-4"/>
        </w:rPr>
        <w:t>be</w:t>
      </w:r>
      <w:r>
        <w:rPr>
          <w:spacing w:val="-10"/>
        </w:rPr>
        <w:t> </w:t>
      </w:r>
      <w:r>
        <w:rPr>
          <w:spacing w:val="-4"/>
        </w:rPr>
        <w:t>made</w:t>
      </w:r>
      <w:r>
        <w:rPr>
          <w:spacing w:val="-10"/>
        </w:rPr>
        <w:t> </w:t>
      </w:r>
      <w:r>
        <w:rPr>
          <w:spacing w:val="-4"/>
        </w:rPr>
        <w:t>to</w:t>
      </w:r>
      <w:r>
        <w:rPr>
          <w:spacing w:val="-10"/>
        </w:rPr>
        <w:t> </w:t>
      </w:r>
      <w:r>
        <w:rPr>
          <w:spacing w:val="-4"/>
        </w:rPr>
        <w:t>PDFs</w:t>
      </w:r>
      <w:r>
        <w:rPr>
          <w:spacing w:val="-9"/>
        </w:rPr>
        <w:t> </w:t>
      </w:r>
      <w:r>
        <w:rPr>
          <w:spacing w:val="-4"/>
        </w:rPr>
        <w:t>by</w:t>
      </w:r>
      <w:r>
        <w:rPr>
          <w:spacing w:val="-10"/>
        </w:rPr>
        <w:t> </w:t>
      </w:r>
      <w:r>
        <w:rPr>
          <w:spacing w:val="-4"/>
        </w:rPr>
        <w:t>including </w:t>
      </w:r>
      <w:r>
        <w:rPr/>
        <w:t>teaching</w:t>
      </w:r>
      <w:r>
        <w:rPr>
          <w:spacing w:val="-9"/>
        </w:rPr>
        <w:t> </w:t>
      </w:r>
      <w:r>
        <w:rPr/>
        <w:t>as</w:t>
      </w:r>
      <w:r>
        <w:rPr>
          <w:spacing w:val="-9"/>
        </w:rPr>
        <w:t> </w:t>
      </w:r>
      <w:r>
        <w:rPr/>
        <w:t>a</w:t>
      </w:r>
      <w:r>
        <w:rPr>
          <w:spacing w:val="-9"/>
        </w:rPr>
        <w:t> </w:t>
      </w:r>
      <w:r>
        <w:rPr/>
        <w:t>vital</w:t>
      </w:r>
      <w:r>
        <w:rPr>
          <w:spacing w:val="-9"/>
        </w:rPr>
        <w:t> </w:t>
      </w:r>
      <w:r>
        <w:rPr/>
        <w:t>component.</w:t>
      </w:r>
      <w:r>
        <w:rPr>
          <w:spacing w:val="-9"/>
        </w:rPr>
        <w:t> </w:t>
      </w:r>
      <w:r>
        <w:rPr/>
        <w:t>In</w:t>
      </w:r>
      <w:r>
        <w:rPr>
          <w:spacing w:val="-9"/>
        </w:rPr>
        <w:t> </w:t>
      </w:r>
      <w:r>
        <w:rPr/>
        <w:t>many</w:t>
      </w:r>
      <w:r>
        <w:rPr>
          <w:spacing w:val="-9"/>
        </w:rPr>
        <w:t> </w:t>
      </w:r>
      <w:r>
        <w:rPr/>
        <w:t>universities,</w:t>
      </w:r>
      <w:r>
        <w:rPr>
          <w:spacing w:val="-9"/>
        </w:rPr>
        <w:t> </w:t>
      </w:r>
      <w:r>
        <w:rPr/>
        <w:t>a purely</w:t>
      </w:r>
      <w:r>
        <w:rPr>
          <w:spacing w:val="-5"/>
        </w:rPr>
        <w:t> </w:t>
      </w:r>
      <w:r>
        <w:rPr/>
        <w:t>post</w:t>
      </w:r>
      <w:r>
        <w:rPr>
          <w:spacing w:val="-5"/>
        </w:rPr>
        <w:t> </w:t>
      </w:r>
      <w:r>
        <w:rPr/>
        <w:t>doc</w:t>
      </w:r>
      <w:r>
        <w:rPr>
          <w:spacing w:val="-5"/>
        </w:rPr>
        <w:t> </w:t>
      </w:r>
      <w:r>
        <w:rPr/>
        <w:t>research</w:t>
      </w:r>
      <w:r>
        <w:rPr>
          <w:spacing w:val="-5"/>
        </w:rPr>
        <w:t> </w:t>
      </w:r>
      <w:r>
        <w:rPr/>
        <w:t>position</w:t>
      </w:r>
      <w:r>
        <w:rPr>
          <w:spacing w:val="-5"/>
        </w:rPr>
        <w:t> </w:t>
      </w:r>
      <w:r>
        <w:rPr/>
        <w:t>is</w:t>
      </w:r>
      <w:r>
        <w:rPr>
          <w:spacing w:val="-5"/>
        </w:rPr>
        <w:t> </w:t>
      </w:r>
      <w:r>
        <w:rPr/>
        <w:t>not</w:t>
      </w:r>
      <w:r>
        <w:rPr>
          <w:spacing w:val="-5"/>
        </w:rPr>
        <w:t> </w:t>
      </w:r>
      <w:r>
        <w:rPr/>
        <w:t>recognised</w:t>
      </w:r>
      <w:r>
        <w:rPr>
          <w:spacing w:val="-5"/>
        </w:rPr>
        <w:t> </w:t>
      </w:r>
      <w:r>
        <w:rPr/>
        <w:t>as </w:t>
      </w:r>
      <w:r>
        <w:rPr>
          <w:spacing w:val="-6"/>
        </w:rPr>
        <w:t>teaching experience while making faculty appointments.</w:t>
      </w:r>
    </w:p>
    <w:p>
      <w:pPr>
        <w:pStyle w:val="ListParagraph"/>
        <w:numPr>
          <w:ilvl w:val="2"/>
          <w:numId w:val="48"/>
        </w:numPr>
        <w:tabs>
          <w:tab w:pos="679" w:val="left" w:leader="none"/>
        </w:tabs>
        <w:spacing w:line="266" w:lineRule="auto" w:before="0" w:after="0"/>
        <w:ind w:left="679" w:right="1077" w:hanging="360"/>
        <w:jc w:val="both"/>
        <w:rPr>
          <w:sz w:val="22"/>
        </w:rPr>
      </w:pPr>
      <w:r>
        <w:rPr>
          <w:sz w:val="22"/>
        </w:rPr>
        <w:t>Effective utilisation of the PDFs in </w:t>
      </w:r>
      <w:r>
        <w:rPr>
          <w:sz w:val="22"/>
        </w:rPr>
        <w:t>universities should be facilitated by flexible and innovative appointment</w:t>
      </w:r>
      <w:r>
        <w:rPr>
          <w:spacing w:val="-3"/>
          <w:sz w:val="22"/>
        </w:rPr>
        <w:t> </w:t>
      </w:r>
      <w:r>
        <w:rPr>
          <w:sz w:val="22"/>
        </w:rPr>
        <w:t>modes.</w:t>
      </w:r>
      <w:r>
        <w:rPr>
          <w:spacing w:val="-10"/>
          <w:sz w:val="22"/>
        </w:rPr>
        <w:t> </w:t>
      </w:r>
      <w:r>
        <w:rPr>
          <w:sz w:val="22"/>
        </w:rPr>
        <w:t>This</w:t>
      </w:r>
      <w:r>
        <w:rPr>
          <w:spacing w:val="-3"/>
          <w:sz w:val="22"/>
        </w:rPr>
        <w:t> </w:t>
      </w:r>
      <w:r>
        <w:rPr>
          <w:sz w:val="22"/>
        </w:rPr>
        <w:t>can</w:t>
      </w:r>
      <w:r>
        <w:rPr>
          <w:spacing w:val="-3"/>
          <w:sz w:val="22"/>
        </w:rPr>
        <w:t> </w:t>
      </w:r>
      <w:r>
        <w:rPr>
          <w:sz w:val="22"/>
        </w:rPr>
        <w:t>provide</w:t>
      </w:r>
      <w:r>
        <w:rPr>
          <w:spacing w:val="-3"/>
          <w:sz w:val="22"/>
        </w:rPr>
        <w:t> </w:t>
      </w:r>
      <w:r>
        <w:rPr>
          <w:sz w:val="22"/>
        </w:rPr>
        <w:t>a</w:t>
      </w:r>
      <w:r>
        <w:rPr>
          <w:spacing w:val="-3"/>
          <w:sz w:val="22"/>
        </w:rPr>
        <w:t> </w:t>
      </w:r>
      <w:r>
        <w:rPr>
          <w:sz w:val="22"/>
        </w:rPr>
        <w:t>means</w:t>
      </w:r>
      <w:r>
        <w:rPr>
          <w:spacing w:val="-3"/>
          <w:sz w:val="22"/>
        </w:rPr>
        <w:t> </w:t>
      </w:r>
      <w:r>
        <w:rPr>
          <w:sz w:val="22"/>
        </w:rPr>
        <w:t>of </w:t>
      </w:r>
      <w:r>
        <w:rPr>
          <w:spacing w:val="-8"/>
          <w:sz w:val="22"/>
        </w:rPr>
        <w:t>upgrading</w:t>
      </w:r>
      <w:r>
        <w:rPr>
          <w:spacing w:val="-6"/>
          <w:sz w:val="22"/>
        </w:rPr>
        <w:t> </w:t>
      </w:r>
      <w:r>
        <w:rPr>
          <w:spacing w:val="-8"/>
          <w:sz w:val="22"/>
        </w:rPr>
        <w:t>university</w:t>
      </w:r>
      <w:r>
        <w:rPr>
          <w:spacing w:val="-6"/>
          <w:sz w:val="22"/>
        </w:rPr>
        <w:t> </w:t>
      </w:r>
      <w:r>
        <w:rPr>
          <w:spacing w:val="-8"/>
          <w:sz w:val="22"/>
        </w:rPr>
        <w:t>departments</w:t>
      </w:r>
      <w:r>
        <w:rPr>
          <w:spacing w:val="-6"/>
          <w:sz w:val="22"/>
        </w:rPr>
        <w:t> </w:t>
      </w:r>
      <w:r>
        <w:rPr>
          <w:spacing w:val="-8"/>
          <w:sz w:val="22"/>
        </w:rPr>
        <w:t>in</w:t>
      </w:r>
      <w:r>
        <w:rPr>
          <w:spacing w:val="-5"/>
          <w:sz w:val="22"/>
        </w:rPr>
        <w:t> </w:t>
      </w:r>
      <w:r>
        <w:rPr>
          <w:spacing w:val="-8"/>
          <w:sz w:val="22"/>
        </w:rPr>
        <w:t>general,</w:t>
      </w:r>
      <w:r>
        <w:rPr>
          <w:spacing w:val="-6"/>
          <w:sz w:val="22"/>
        </w:rPr>
        <w:t> </w:t>
      </w:r>
      <w:r>
        <w:rPr>
          <w:spacing w:val="-8"/>
          <w:sz w:val="22"/>
        </w:rPr>
        <w:t>and</w:t>
      </w:r>
      <w:r>
        <w:rPr>
          <w:spacing w:val="-6"/>
          <w:sz w:val="22"/>
        </w:rPr>
        <w:t> </w:t>
      </w:r>
      <w:r>
        <w:rPr>
          <w:spacing w:val="-8"/>
          <w:sz w:val="22"/>
        </w:rPr>
        <w:t>also addressing</w:t>
      </w:r>
      <w:r>
        <w:rPr>
          <w:sz w:val="22"/>
        </w:rPr>
        <w:t> </w:t>
      </w:r>
      <w:r>
        <w:rPr>
          <w:spacing w:val="-8"/>
          <w:sz w:val="22"/>
        </w:rPr>
        <w:t>the</w:t>
      </w:r>
      <w:r>
        <w:rPr>
          <w:sz w:val="22"/>
        </w:rPr>
        <w:t> </w:t>
      </w:r>
      <w:r>
        <w:rPr>
          <w:spacing w:val="-8"/>
          <w:sz w:val="22"/>
        </w:rPr>
        <w:t>faculty</w:t>
      </w:r>
      <w:r>
        <w:rPr>
          <w:sz w:val="22"/>
        </w:rPr>
        <w:t> </w:t>
      </w:r>
      <w:r>
        <w:rPr>
          <w:spacing w:val="-8"/>
          <w:sz w:val="22"/>
        </w:rPr>
        <w:t>shortage.</w:t>
      </w:r>
      <w:r>
        <w:rPr>
          <w:spacing w:val="-6"/>
          <w:sz w:val="22"/>
        </w:rPr>
        <w:t> </w:t>
      </w:r>
      <w:r>
        <w:rPr>
          <w:spacing w:val="-8"/>
          <w:sz w:val="22"/>
        </w:rPr>
        <w:t>Teaching</w:t>
      </w:r>
      <w:r>
        <w:rPr>
          <w:sz w:val="22"/>
        </w:rPr>
        <w:t> </w:t>
      </w:r>
      <w:r>
        <w:rPr>
          <w:spacing w:val="-8"/>
          <w:sz w:val="22"/>
        </w:rPr>
        <w:t>experience </w:t>
      </w:r>
      <w:r>
        <w:rPr>
          <w:sz w:val="22"/>
        </w:rPr>
        <w:t>will</w:t>
      </w:r>
      <w:r>
        <w:rPr>
          <w:spacing w:val="-11"/>
          <w:sz w:val="22"/>
        </w:rPr>
        <w:t> </w:t>
      </w:r>
      <w:r>
        <w:rPr>
          <w:sz w:val="22"/>
        </w:rPr>
        <w:t>also</w:t>
      </w:r>
      <w:r>
        <w:rPr>
          <w:spacing w:val="-11"/>
          <w:sz w:val="22"/>
        </w:rPr>
        <w:t> </w:t>
      </w:r>
      <w:r>
        <w:rPr>
          <w:sz w:val="22"/>
        </w:rPr>
        <w:t>increase</w:t>
      </w:r>
      <w:r>
        <w:rPr>
          <w:spacing w:val="-11"/>
          <w:sz w:val="22"/>
        </w:rPr>
        <w:t> </w:t>
      </w:r>
      <w:r>
        <w:rPr>
          <w:sz w:val="22"/>
        </w:rPr>
        <w:t>opportunities</w:t>
      </w:r>
      <w:r>
        <w:rPr>
          <w:spacing w:val="-11"/>
          <w:sz w:val="22"/>
        </w:rPr>
        <w:t> </w:t>
      </w:r>
      <w:r>
        <w:rPr>
          <w:sz w:val="22"/>
        </w:rPr>
        <w:t>of</w:t>
      </w:r>
      <w:r>
        <w:rPr>
          <w:spacing w:val="-11"/>
          <w:sz w:val="22"/>
        </w:rPr>
        <w:t> </w:t>
      </w:r>
      <w:r>
        <w:rPr>
          <w:sz w:val="22"/>
        </w:rPr>
        <w:t>employment</w:t>
      </w:r>
      <w:r>
        <w:rPr>
          <w:spacing w:val="-11"/>
          <w:sz w:val="22"/>
        </w:rPr>
        <w:t> </w:t>
      </w:r>
      <w:r>
        <w:rPr>
          <w:sz w:val="22"/>
        </w:rPr>
        <w:t>in </w:t>
      </w:r>
      <w:r>
        <w:rPr>
          <w:spacing w:val="-2"/>
          <w:sz w:val="22"/>
        </w:rPr>
        <w:t>universities</w:t>
      </w:r>
      <w:r>
        <w:rPr>
          <w:spacing w:val="-6"/>
          <w:sz w:val="22"/>
        </w:rPr>
        <w:t> </w:t>
      </w:r>
      <w:r>
        <w:rPr>
          <w:spacing w:val="-2"/>
          <w:sz w:val="22"/>
        </w:rPr>
        <w:t>after</w:t>
      </w:r>
      <w:r>
        <w:rPr>
          <w:spacing w:val="-6"/>
          <w:sz w:val="22"/>
        </w:rPr>
        <w:t> </w:t>
      </w:r>
      <w:r>
        <w:rPr>
          <w:spacing w:val="-2"/>
          <w:sz w:val="22"/>
        </w:rPr>
        <w:t>post</w:t>
      </w:r>
      <w:r>
        <w:rPr>
          <w:spacing w:val="-6"/>
          <w:sz w:val="22"/>
        </w:rPr>
        <w:t> </w:t>
      </w:r>
      <w:r>
        <w:rPr>
          <w:spacing w:val="-2"/>
          <w:sz w:val="22"/>
        </w:rPr>
        <w:t>doctoral</w:t>
      </w:r>
      <w:r>
        <w:rPr>
          <w:spacing w:val="-6"/>
          <w:sz w:val="22"/>
        </w:rPr>
        <w:t> </w:t>
      </w:r>
      <w:r>
        <w:rPr>
          <w:spacing w:val="-2"/>
          <w:sz w:val="22"/>
        </w:rPr>
        <w:t>work.</w:t>
      </w:r>
    </w:p>
    <w:p>
      <w:pPr>
        <w:pStyle w:val="ListParagraph"/>
        <w:numPr>
          <w:ilvl w:val="2"/>
          <w:numId w:val="48"/>
        </w:numPr>
        <w:tabs>
          <w:tab w:pos="679" w:val="left" w:leader="none"/>
        </w:tabs>
        <w:spacing w:line="266" w:lineRule="auto" w:before="0" w:after="0"/>
        <w:ind w:left="679" w:right="1077" w:hanging="360"/>
        <w:jc w:val="both"/>
        <w:rPr>
          <w:sz w:val="22"/>
        </w:rPr>
      </w:pPr>
      <w:r>
        <w:rPr>
          <w:spacing w:val="-2"/>
          <w:sz w:val="22"/>
        </w:rPr>
        <w:t>Mobility</w:t>
      </w:r>
      <w:r>
        <w:rPr>
          <w:spacing w:val="-11"/>
          <w:sz w:val="22"/>
        </w:rPr>
        <w:t> </w:t>
      </w:r>
      <w:r>
        <w:rPr>
          <w:spacing w:val="-2"/>
          <w:sz w:val="22"/>
        </w:rPr>
        <w:t>across</w:t>
      </w:r>
      <w:r>
        <w:rPr>
          <w:spacing w:val="-11"/>
          <w:sz w:val="22"/>
        </w:rPr>
        <w:t> </w:t>
      </w:r>
      <w:r>
        <w:rPr>
          <w:spacing w:val="-2"/>
          <w:sz w:val="22"/>
        </w:rPr>
        <w:t>organisations</w:t>
      </w:r>
      <w:r>
        <w:rPr>
          <w:spacing w:val="-11"/>
          <w:sz w:val="22"/>
        </w:rPr>
        <w:t> </w:t>
      </w:r>
      <w:r>
        <w:rPr>
          <w:spacing w:val="-2"/>
          <w:sz w:val="22"/>
        </w:rPr>
        <w:t>should</w:t>
      </w:r>
      <w:r>
        <w:rPr>
          <w:spacing w:val="-11"/>
          <w:sz w:val="22"/>
        </w:rPr>
        <w:t> </w:t>
      </w:r>
      <w:r>
        <w:rPr>
          <w:spacing w:val="-2"/>
          <w:sz w:val="22"/>
        </w:rPr>
        <w:t>be</w:t>
      </w:r>
      <w:r>
        <w:rPr>
          <w:spacing w:val="-11"/>
          <w:sz w:val="22"/>
        </w:rPr>
        <w:t> </w:t>
      </w:r>
      <w:r>
        <w:rPr>
          <w:spacing w:val="-2"/>
          <w:sz w:val="22"/>
        </w:rPr>
        <w:t>facilitated </w:t>
      </w:r>
      <w:r>
        <w:rPr>
          <w:sz w:val="22"/>
        </w:rPr>
        <w:t>during post-doc tenure. A group of five to six universities</w:t>
      </w:r>
      <w:r>
        <w:rPr>
          <w:spacing w:val="-7"/>
          <w:sz w:val="22"/>
        </w:rPr>
        <w:t> </w:t>
      </w:r>
      <w:r>
        <w:rPr>
          <w:sz w:val="22"/>
        </w:rPr>
        <w:t>can</w:t>
      </w:r>
      <w:r>
        <w:rPr>
          <w:spacing w:val="-7"/>
          <w:sz w:val="22"/>
        </w:rPr>
        <w:t> </w:t>
      </w:r>
      <w:r>
        <w:rPr>
          <w:sz w:val="22"/>
        </w:rPr>
        <w:t>be</w:t>
      </w:r>
      <w:r>
        <w:rPr>
          <w:spacing w:val="-7"/>
          <w:sz w:val="22"/>
        </w:rPr>
        <w:t> </w:t>
      </w:r>
      <w:r>
        <w:rPr>
          <w:sz w:val="22"/>
        </w:rPr>
        <w:t>formed</w:t>
      </w:r>
      <w:r>
        <w:rPr>
          <w:spacing w:val="-7"/>
          <w:sz w:val="22"/>
        </w:rPr>
        <w:t> </w:t>
      </w:r>
      <w:r>
        <w:rPr>
          <w:sz w:val="22"/>
        </w:rPr>
        <w:t>with</w:t>
      </w:r>
      <w:r>
        <w:rPr>
          <w:spacing w:val="-7"/>
          <w:sz w:val="22"/>
        </w:rPr>
        <w:t> </w:t>
      </w:r>
      <w:r>
        <w:rPr>
          <w:sz w:val="22"/>
        </w:rPr>
        <w:t>an</w:t>
      </w:r>
      <w:r>
        <w:rPr>
          <w:spacing w:val="-7"/>
          <w:sz w:val="22"/>
        </w:rPr>
        <w:t> </w:t>
      </w:r>
      <w:r>
        <w:rPr>
          <w:sz w:val="22"/>
        </w:rPr>
        <w:t>understanding that a Ph.D of one university can do a post doc</w:t>
      </w:r>
      <w:r>
        <w:rPr>
          <w:spacing w:val="80"/>
          <w:sz w:val="22"/>
        </w:rPr>
        <w:t> </w:t>
      </w:r>
      <w:r>
        <w:rPr>
          <w:sz w:val="22"/>
        </w:rPr>
        <w:t>at</w:t>
      </w:r>
      <w:r>
        <w:rPr>
          <w:spacing w:val="-8"/>
          <w:sz w:val="22"/>
        </w:rPr>
        <w:t> </w:t>
      </w:r>
      <w:r>
        <w:rPr>
          <w:sz w:val="22"/>
        </w:rPr>
        <w:t>another.</w:t>
      </w:r>
      <w:r>
        <w:rPr>
          <w:spacing w:val="-8"/>
          <w:sz w:val="22"/>
        </w:rPr>
        <w:t> </w:t>
      </w:r>
      <w:r>
        <w:rPr>
          <w:sz w:val="22"/>
        </w:rPr>
        <w:t>International</w:t>
      </w:r>
      <w:r>
        <w:rPr>
          <w:spacing w:val="-8"/>
          <w:sz w:val="22"/>
        </w:rPr>
        <w:t> </w:t>
      </w:r>
      <w:r>
        <w:rPr>
          <w:sz w:val="22"/>
        </w:rPr>
        <w:t>peer</w:t>
      </w:r>
      <w:r>
        <w:rPr>
          <w:spacing w:val="-8"/>
          <w:sz w:val="22"/>
        </w:rPr>
        <w:t> </w:t>
      </w:r>
      <w:r>
        <w:rPr>
          <w:sz w:val="22"/>
        </w:rPr>
        <w:t>review</w:t>
      </w:r>
      <w:r>
        <w:rPr>
          <w:spacing w:val="-8"/>
          <w:sz w:val="22"/>
        </w:rPr>
        <w:t> </w:t>
      </w:r>
      <w:r>
        <w:rPr>
          <w:sz w:val="22"/>
        </w:rPr>
        <w:t>mechanisms can</w:t>
      </w:r>
      <w:r>
        <w:rPr>
          <w:spacing w:val="-14"/>
          <w:sz w:val="22"/>
        </w:rPr>
        <w:t> </w:t>
      </w:r>
      <w:r>
        <w:rPr>
          <w:sz w:val="22"/>
        </w:rPr>
        <w:t>be</w:t>
      </w:r>
      <w:r>
        <w:rPr>
          <w:spacing w:val="-14"/>
          <w:sz w:val="22"/>
        </w:rPr>
        <w:t> </w:t>
      </w:r>
      <w:r>
        <w:rPr>
          <w:sz w:val="22"/>
        </w:rPr>
        <w:t>established</w:t>
      </w:r>
      <w:r>
        <w:rPr>
          <w:spacing w:val="-14"/>
          <w:sz w:val="22"/>
        </w:rPr>
        <w:t> </w:t>
      </w:r>
      <w:r>
        <w:rPr>
          <w:sz w:val="22"/>
        </w:rPr>
        <w:t>for</w:t>
      </w:r>
      <w:r>
        <w:rPr>
          <w:spacing w:val="-13"/>
          <w:sz w:val="22"/>
        </w:rPr>
        <w:t> </w:t>
      </w:r>
      <w:r>
        <w:rPr>
          <w:sz w:val="22"/>
        </w:rPr>
        <w:t>PDFs.</w:t>
      </w:r>
      <w:r>
        <w:rPr>
          <w:spacing w:val="-14"/>
          <w:sz w:val="22"/>
        </w:rPr>
        <w:t> </w:t>
      </w:r>
      <w:r>
        <w:rPr>
          <w:sz w:val="22"/>
        </w:rPr>
        <w:t>Overall,</w:t>
      </w:r>
      <w:r>
        <w:rPr>
          <w:spacing w:val="-14"/>
          <w:sz w:val="22"/>
        </w:rPr>
        <w:t> </w:t>
      </w:r>
      <w:r>
        <w:rPr>
          <w:sz w:val="22"/>
        </w:rPr>
        <w:t>this</w:t>
      </w:r>
      <w:r>
        <w:rPr>
          <w:spacing w:val="-14"/>
          <w:sz w:val="22"/>
        </w:rPr>
        <w:t> </w:t>
      </w:r>
      <w:r>
        <w:rPr>
          <w:sz w:val="22"/>
        </w:rPr>
        <w:t>calls</w:t>
      </w:r>
      <w:r>
        <w:rPr>
          <w:spacing w:val="-13"/>
          <w:sz w:val="22"/>
        </w:rPr>
        <w:t> </w:t>
      </w:r>
      <w:r>
        <w:rPr>
          <w:sz w:val="22"/>
        </w:rPr>
        <w:t>for </w:t>
      </w:r>
      <w:r>
        <w:rPr>
          <w:w w:val="90"/>
          <w:sz w:val="22"/>
        </w:rPr>
        <w:t>greater coordination among universities and research </w:t>
      </w:r>
      <w:r>
        <w:rPr>
          <w:sz w:val="22"/>
        </w:rPr>
        <w:t>institutes, better sharing of resources, and for convergence</w:t>
      </w:r>
      <w:r>
        <w:rPr>
          <w:spacing w:val="-14"/>
          <w:sz w:val="22"/>
        </w:rPr>
        <w:t> </w:t>
      </w:r>
      <w:r>
        <w:rPr>
          <w:sz w:val="22"/>
        </w:rPr>
        <w:t>of</w:t>
      </w:r>
      <w:r>
        <w:rPr>
          <w:spacing w:val="-14"/>
          <w:sz w:val="22"/>
        </w:rPr>
        <w:t> </w:t>
      </w:r>
      <w:r>
        <w:rPr>
          <w:sz w:val="22"/>
        </w:rPr>
        <w:t>teaching</w:t>
      </w:r>
      <w:r>
        <w:rPr>
          <w:spacing w:val="-14"/>
          <w:sz w:val="22"/>
        </w:rPr>
        <w:t> </w:t>
      </w:r>
      <w:r>
        <w:rPr>
          <w:sz w:val="22"/>
        </w:rPr>
        <w:t>and</w:t>
      </w:r>
      <w:r>
        <w:rPr>
          <w:spacing w:val="-13"/>
          <w:sz w:val="22"/>
        </w:rPr>
        <w:t> </w:t>
      </w:r>
      <w:r>
        <w:rPr>
          <w:sz w:val="22"/>
        </w:rPr>
        <w:t>research</w:t>
      </w:r>
      <w:r>
        <w:rPr>
          <w:spacing w:val="-14"/>
          <w:sz w:val="22"/>
        </w:rPr>
        <w:t> </w:t>
      </w:r>
      <w:r>
        <w:rPr>
          <w:sz w:val="22"/>
        </w:rPr>
        <w:t>experience.</w:t>
      </w:r>
    </w:p>
    <w:p>
      <w:pPr>
        <w:pStyle w:val="Heading6"/>
        <w:spacing w:before="171"/>
        <w:ind w:left="319" w:firstLine="0"/>
        <w:jc w:val="both"/>
      </w:pPr>
      <w:r>
        <w:rPr>
          <w:color w:val="2E614A"/>
          <w:w w:val="90"/>
        </w:rPr>
        <w:t>Part</w:t>
      </w:r>
      <w:r>
        <w:rPr>
          <w:color w:val="2E614A"/>
          <w:spacing w:val="-5"/>
          <w:w w:val="90"/>
        </w:rPr>
        <w:t> </w:t>
      </w:r>
      <w:r>
        <w:rPr>
          <w:color w:val="2E614A"/>
          <w:w w:val="90"/>
        </w:rPr>
        <w:t>B:</w:t>
      </w:r>
      <w:r>
        <w:rPr>
          <w:color w:val="2E614A"/>
          <w:spacing w:val="-5"/>
          <w:w w:val="90"/>
        </w:rPr>
        <w:t> </w:t>
      </w:r>
      <w:r>
        <w:rPr>
          <w:color w:val="2E614A"/>
          <w:spacing w:val="-2"/>
          <w:w w:val="90"/>
        </w:rPr>
        <w:t>Quality</w:t>
      </w:r>
    </w:p>
    <w:p>
      <w:pPr>
        <w:pStyle w:val="BodyText"/>
        <w:spacing w:line="266" w:lineRule="auto" w:before="285"/>
        <w:ind w:left="319" w:right="1077"/>
        <w:jc w:val="both"/>
      </w:pPr>
      <w:r>
        <w:rPr>
          <w:spacing w:val="-8"/>
        </w:rPr>
        <w:t>A</w:t>
      </w:r>
      <w:r>
        <w:rPr>
          <w:spacing w:val="-1"/>
        </w:rPr>
        <w:t> </w:t>
      </w:r>
      <w:r>
        <w:rPr>
          <w:spacing w:val="-8"/>
        </w:rPr>
        <w:t>quality</w:t>
      </w:r>
      <w:r>
        <w:rPr>
          <w:spacing w:val="-1"/>
        </w:rPr>
        <w:t> </w:t>
      </w:r>
      <w:r>
        <w:rPr>
          <w:spacing w:val="-8"/>
        </w:rPr>
        <w:t>degree</w:t>
      </w:r>
      <w:r>
        <w:rPr>
          <w:spacing w:val="-1"/>
        </w:rPr>
        <w:t> </w:t>
      </w:r>
      <w:r>
        <w:rPr>
          <w:spacing w:val="-8"/>
        </w:rPr>
        <w:t>which</w:t>
      </w:r>
      <w:r>
        <w:rPr>
          <w:spacing w:val="-1"/>
        </w:rPr>
        <w:t> </w:t>
      </w:r>
      <w:r>
        <w:rPr>
          <w:spacing w:val="-8"/>
        </w:rPr>
        <w:t>is</w:t>
      </w:r>
      <w:r>
        <w:rPr>
          <w:spacing w:val="-1"/>
        </w:rPr>
        <w:t> </w:t>
      </w:r>
      <w:r>
        <w:rPr>
          <w:spacing w:val="-8"/>
        </w:rPr>
        <w:t>universally</w:t>
      </w:r>
      <w:r>
        <w:rPr>
          <w:spacing w:val="-1"/>
        </w:rPr>
        <w:t> </w:t>
      </w:r>
      <w:r>
        <w:rPr>
          <w:spacing w:val="-8"/>
        </w:rPr>
        <w:t>recognised</w:t>
      </w:r>
      <w:r>
        <w:rPr>
          <w:spacing w:val="-1"/>
        </w:rPr>
        <w:t> </w:t>
      </w:r>
      <w:r>
        <w:rPr>
          <w:spacing w:val="-8"/>
        </w:rPr>
        <w:t>as</w:t>
      </w:r>
      <w:r>
        <w:rPr>
          <w:spacing w:val="-1"/>
        </w:rPr>
        <w:t> </w:t>
      </w:r>
      <w:r>
        <w:rPr>
          <w:spacing w:val="-8"/>
        </w:rPr>
        <w:t>such, </w:t>
      </w:r>
      <w:r>
        <w:rPr/>
        <w:t>and which is acquired after consistent hard work and application of mind both acts as a magnet to attract talented</w:t>
      </w:r>
      <w:r>
        <w:rPr>
          <w:spacing w:val="-4"/>
        </w:rPr>
        <w:t> </w:t>
      </w:r>
      <w:r>
        <w:rPr/>
        <w:t>students</w:t>
      </w:r>
      <w:r>
        <w:rPr>
          <w:spacing w:val="-4"/>
        </w:rPr>
        <w:t> </w:t>
      </w:r>
      <w:r>
        <w:rPr/>
        <w:t>and</w:t>
      </w:r>
      <w:r>
        <w:rPr>
          <w:spacing w:val="-5"/>
        </w:rPr>
        <w:t> </w:t>
      </w:r>
      <w:r>
        <w:rPr/>
        <w:t>inspires</w:t>
      </w:r>
      <w:r>
        <w:rPr>
          <w:spacing w:val="-5"/>
        </w:rPr>
        <w:t> </w:t>
      </w:r>
      <w:r>
        <w:rPr/>
        <w:t>awe</w:t>
      </w:r>
      <w:r>
        <w:rPr>
          <w:spacing w:val="-4"/>
        </w:rPr>
        <w:t> </w:t>
      </w:r>
      <w:r>
        <w:rPr/>
        <w:t>in</w:t>
      </w:r>
      <w:r>
        <w:rPr>
          <w:spacing w:val="-5"/>
        </w:rPr>
        <w:t> </w:t>
      </w:r>
      <w:r>
        <w:rPr/>
        <w:t>the</w:t>
      </w:r>
      <w:r>
        <w:rPr>
          <w:spacing w:val="-4"/>
        </w:rPr>
        <w:t> </w:t>
      </w:r>
      <w:r>
        <w:rPr/>
        <w:t>minds</w:t>
      </w:r>
      <w:r>
        <w:rPr>
          <w:spacing w:val="-4"/>
        </w:rPr>
        <w:t> </w:t>
      </w:r>
      <w:r>
        <w:rPr/>
        <w:t>of</w:t>
      </w:r>
      <w:r>
        <w:rPr>
          <w:spacing w:val="-5"/>
        </w:rPr>
        <w:t> </w:t>
      </w:r>
      <w:r>
        <w:rPr/>
        <w:t>the general public. It is therefore essential that doctoral programs in the country aspire to attain the highest </w:t>
      </w:r>
      <w:r>
        <w:rPr>
          <w:spacing w:val="-8"/>
        </w:rPr>
        <w:t>standards of</w:t>
      </w:r>
      <w:r>
        <w:rPr>
          <w:spacing w:val="-6"/>
        </w:rPr>
        <w:t> </w:t>
      </w:r>
      <w:r>
        <w:rPr>
          <w:spacing w:val="-8"/>
        </w:rPr>
        <w:t>excellence.</w:t>
      </w:r>
      <w:r>
        <w:rPr>
          <w:spacing w:val="-6"/>
        </w:rPr>
        <w:t> </w:t>
      </w:r>
      <w:r>
        <w:rPr>
          <w:spacing w:val="-8"/>
        </w:rPr>
        <w:t>At</w:t>
      </w:r>
      <w:r>
        <w:rPr>
          <w:spacing w:val="-5"/>
        </w:rPr>
        <w:t> </w:t>
      </w:r>
      <w:r>
        <w:rPr>
          <w:spacing w:val="-8"/>
        </w:rPr>
        <w:t>present,</w:t>
      </w:r>
      <w:r>
        <w:rPr>
          <w:spacing w:val="-6"/>
        </w:rPr>
        <w:t> </w:t>
      </w:r>
      <w:r>
        <w:rPr>
          <w:spacing w:val="-8"/>
        </w:rPr>
        <w:t>the</w:t>
      </w:r>
      <w:r>
        <w:rPr>
          <w:spacing w:val="-6"/>
        </w:rPr>
        <w:t> </w:t>
      </w:r>
      <w:r>
        <w:rPr>
          <w:spacing w:val="-8"/>
        </w:rPr>
        <w:t>quality</w:t>
      </w:r>
      <w:r>
        <w:rPr>
          <w:spacing w:val="-6"/>
        </w:rPr>
        <w:t> </w:t>
      </w:r>
      <w:r>
        <w:rPr>
          <w:spacing w:val="-8"/>
        </w:rPr>
        <w:t>of</w:t>
      </w:r>
      <w:r>
        <w:rPr>
          <w:spacing w:val="-5"/>
        </w:rPr>
        <w:t> </w:t>
      </w:r>
      <w:r>
        <w:rPr>
          <w:spacing w:val="-8"/>
        </w:rPr>
        <w:t>research </w:t>
      </w:r>
      <w:r>
        <w:rPr/>
        <w:t>output in the country is completely uneven across institutions.</w:t>
      </w:r>
      <w:r>
        <w:rPr>
          <w:spacing w:val="-16"/>
        </w:rPr>
        <w:t> </w:t>
      </w:r>
      <w:r>
        <w:rPr/>
        <w:t>While,</w:t>
      </w:r>
      <w:r>
        <w:rPr>
          <w:spacing w:val="-14"/>
        </w:rPr>
        <w:t> </w:t>
      </w:r>
      <w:r>
        <w:rPr/>
        <w:t>it</w:t>
      </w:r>
      <w:r>
        <w:rPr>
          <w:spacing w:val="-14"/>
        </w:rPr>
        <w:t> </w:t>
      </w:r>
      <w:r>
        <w:rPr/>
        <w:t>is</w:t>
      </w:r>
      <w:r>
        <w:rPr>
          <w:spacing w:val="-13"/>
        </w:rPr>
        <w:t> </w:t>
      </w:r>
      <w:r>
        <w:rPr/>
        <w:t>necessary</w:t>
      </w:r>
      <w:r>
        <w:rPr>
          <w:spacing w:val="-14"/>
        </w:rPr>
        <w:t> </w:t>
      </w:r>
      <w:r>
        <w:rPr/>
        <w:t>to</w:t>
      </w:r>
      <w:r>
        <w:rPr>
          <w:spacing w:val="-14"/>
        </w:rPr>
        <w:t> </w:t>
      </w:r>
      <w:r>
        <w:rPr/>
        <w:t>maintain</w:t>
      </w:r>
      <w:r>
        <w:rPr>
          <w:spacing w:val="-14"/>
        </w:rPr>
        <w:t> </w:t>
      </w:r>
      <w:r>
        <w:rPr/>
        <w:t>the</w:t>
      </w:r>
      <w:r>
        <w:rPr>
          <w:spacing w:val="-13"/>
        </w:rPr>
        <w:t> </w:t>
      </w:r>
      <w:r>
        <w:rPr/>
        <w:t>high </w:t>
      </w:r>
      <w:r>
        <w:rPr>
          <w:spacing w:val="-6"/>
        </w:rPr>
        <w:t>quality standards in elite institutions, it is simultaneously </w:t>
      </w:r>
      <w:r>
        <w:rPr/>
        <w:t>imperative</w:t>
      </w:r>
      <w:r>
        <w:rPr>
          <w:spacing w:val="-10"/>
        </w:rPr>
        <w:t> </w:t>
      </w:r>
      <w:r>
        <w:rPr/>
        <w:t>to</w:t>
      </w:r>
      <w:r>
        <w:rPr>
          <w:spacing w:val="-10"/>
        </w:rPr>
        <w:t> </w:t>
      </w:r>
      <w:r>
        <w:rPr/>
        <w:t>encourage</w:t>
      </w:r>
      <w:r>
        <w:rPr>
          <w:spacing w:val="-10"/>
        </w:rPr>
        <w:t> </w:t>
      </w:r>
      <w:r>
        <w:rPr/>
        <w:t>the</w:t>
      </w:r>
      <w:r>
        <w:rPr>
          <w:spacing w:val="-10"/>
        </w:rPr>
        <w:t> </w:t>
      </w:r>
      <w:r>
        <w:rPr/>
        <w:t>transition</w:t>
      </w:r>
      <w:r>
        <w:rPr>
          <w:spacing w:val="-10"/>
        </w:rPr>
        <w:t> </w:t>
      </w:r>
      <w:r>
        <w:rPr/>
        <w:t>to</w:t>
      </w:r>
      <w:r>
        <w:rPr>
          <w:spacing w:val="-10"/>
        </w:rPr>
        <w:t> </w:t>
      </w:r>
      <w:r>
        <w:rPr/>
        <w:t>cutting-edge research</w:t>
      </w:r>
      <w:r>
        <w:rPr>
          <w:spacing w:val="-1"/>
        </w:rPr>
        <w:t> </w:t>
      </w:r>
      <w:r>
        <w:rPr/>
        <w:t>in</w:t>
      </w:r>
      <w:r>
        <w:rPr>
          <w:spacing w:val="-1"/>
        </w:rPr>
        <w:t> </w:t>
      </w:r>
      <w:r>
        <w:rPr/>
        <w:t>others.</w:t>
      </w:r>
      <w:r>
        <w:rPr>
          <w:spacing w:val="-1"/>
        </w:rPr>
        <w:t> </w:t>
      </w:r>
      <w:r>
        <w:rPr/>
        <w:t>It</w:t>
      </w:r>
      <w:r>
        <w:rPr>
          <w:spacing w:val="-1"/>
        </w:rPr>
        <w:t> </w:t>
      </w:r>
      <w:r>
        <w:rPr/>
        <w:t>is</w:t>
      </w:r>
      <w:r>
        <w:rPr>
          <w:spacing w:val="-1"/>
        </w:rPr>
        <w:t> </w:t>
      </w:r>
      <w:r>
        <w:rPr/>
        <w:t>also</w:t>
      </w:r>
      <w:r>
        <w:rPr>
          <w:spacing w:val="-1"/>
        </w:rPr>
        <w:t> </w:t>
      </w:r>
      <w:r>
        <w:rPr/>
        <w:t>crucial</w:t>
      </w:r>
      <w:r>
        <w:rPr>
          <w:spacing w:val="-1"/>
        </w:rPr>
        <w:t> </w:t>
      </w:r>
      <w:r>
        <w:rPr/>
        <w:t>that</w:t>
      </w:r>
      <w:r>
        <w:rPr>
          <w:spacing w:val="-1"/>
        </w:rPr>
        <w:t> </w:t>
      </w:r>
      <w:r>
        <w:rPr/>
        <w:t>quality</w:t>
      </w:r>
      <w:r>
        <w:rPr>
          <w:spacing w:val="-1"/>
        </w:rPr>
        <w:t> </w:t>
      </w:r>
      <w:r>
        <w:rPr/>
        <w:t>in</w:t>
      </w:r>
      <w:r>
        <w:rPr>
          <w:spacing w:val="-1"/>
        </w:rPr>
        <w:t> </w:t>
      </w:r>
      <w:r>
        <w:rPr/>
        <w:t>the output</w:t>
      </w:r>
      <w:r>
        <w:rPr>
          <w:spacing w:val="-10"/>
        </w:rPr>
        <w:t> </w:t>
      </w:r>
      <w:r>
        <w:rPr/>
        <w:t>of</w:t>
      </w:r>
      <w:r>
        <w:rPr>
          <w:spacing w:val="-10"/>
        </w:rPr>
        <w:t> </w:t>
      </w:r>
      <w:r>
        <w:rPr/>
        <w:t>academic</w:t>
      </w:r>
      <w:r>
        <w:rPr>
          <w:spacing w:val="-10"/>
        </w:rPr>
        <w:t> </w:t>
      </w:r>
      <w:r>
        <w:rPr/>
        <w:t>research</w:t>
      </w:r>
      <w:r>
        <w:rPr>
          <w:spacing w:val="-10"/>
        </w:rPr>
        <w:t> </w:t>
      </w:r>
      <w:r>
        <w:rPr/>
        <w:t>is</w:t>
      </w:r>
      <w:r>
        <w:rPr>
          <w:spacing w:val="-10"/>
        </w:rPr>
        <w:t> </w:t>
      </w:r>
      <w:r>
        <w:rPr/>
        <w:t>ensured</w:t>
      </w:r>
      <w:r>
        <w:rPr>
          <w:spacing w:val="-10"/>
        </w:rPr>
        <w:t> </w:t>
      </w:r>
      <w:r>
        <w:rPr/>
        <w:t>by</w:t>
      </w:r>
      <w:r>
        <w:rPr>
          <w:spacing w:val="-10"/>
        </w:rPr>
        <w:t> </w:t>
      </w:r>
      <w:r>
        <w:rPr/>
        <w:t>a</w:t>
      </w:r>
      <w:r>
        <w:rPr>
          <w:spacing w:val="-10"/>
        </w:rPr>
        <w:t> </w:t>
      </w:r>
      <w:r>
        <w:rPr/>
        <w:t>variety</w:t>
      </w:r>
      <w:r>
        <w:rPr>
          <w:spacing w:val="-10"/>
        </w:rPr>
        <w:t> </w:t>
      </w:r>
      <w:r>
        <w:rPr/>
        <w:t>of </w:t>
      </w:r>
      <w:r>
        <w:rPr>
          <w:spacing w:val="-4"/>
        </w:rPr>
        <w:t>metrics</w:t>
      </w:r>
      <w:r>
        <w:rPr>
          <w:spacing w:val="-9"/>
        </w:rPr>
        <w:t> </w:t>
      </w:r>
      <w:r>
        <w:rPr>
          <w:spacing w:val="-4"/>
        </w:rPr>
        <w:t>like</w:t>
      </w:r>
      <w:r>
        <w:rPr>
          <w:spacing w:val="-9"/>
        </w:rPr>
        <w:t> </w:t>
      </w:r>
      <w:r>
        <w:rPr>
          <w:spacing w:val="-4"/>
        </w:rPr>
        <w:t>publications</w:t>
      </w:r>
      <w:r>
        <w:rPr>
          <w:spacing w:val="-9"/>
        </w:rPr>
        <w:t> </w:t>
      </w:r>
      <w:r>
        <w:rPr>
          <w:spacing w:val="-4"/>
        </w:rPr>
        <w:t>in</w:t>
      </w:r>
      <w:r>
        <w:rPr>
          <w:spacing w:val="-9"/>
        </w:rPr>
        <w:t> </w:t>
      </w:r>
      <w:r>
        <w:rPr>
          <w:spacing w:val="-4"/>
        </w:rPr>
        <w:t>peer-reviewed</w:t>
      </w:r>
      <w:r>
        <w:rPr>
          <w:spacing w:val="-9"/>
        </w:rPr>
        <w:t> </w:t>
      </w:r>
      <w:r>
        <w:rPr>
          <w:spacing w:val="-4"/>
        </w:rPr>
        <w:t>journals</w:t>
      </w:r>
      <w:r>
        <w:rPr>
          <w:spacing w:val="-9"/>
        </w:rPr>
        <w:t> </w:t>
      </w:r>
      <w:r>
        <w:rPr>
          <w:spacing w:val="-4"/>
        </w:rPr>
        <w:t>with </w:t>
      </w:r>
      <w:r>
        <w:rPr>
          <w:spacing w:val="-2"/>
        </w:rPr>
        <w:t>good</w:t>
      </w:r>
      <w:r>
        <w:rPr>
          <w:spacing w:val="-12"/>
        </w:rPr>
        <w:t> </w:t>
      </w:r>
      <w:r>
        <w:rPr>
          <w:spacing w:val="-2"/>
        </w:rPr>
        <w:t>impact</w:t>
      </w:r>
      <w:r>
        <w:rPr>
          <w:spacing w:val="-12"/>
        </w:rPr>
        <w:t> </w:t>
      </w:r>
      <w:r>
        <w:rPr>
          <w:spacing w:val="-2"/>
        </w:rPr>
        <w:t>factor,</w:t>
      </w:r>
      <w:r>
        <w:rPr>
          <w:spacing w:val="-12"/>
        </w:rPr>
        <w:t> </w:t>
      </w:r>
      <w:r>
        <w:rPr>
          <w:spacing w:val="-2"/>
        </w:rPr>
        <w:t>academic</w:t>
      </w:r>
      <w:r>
        <w:rPr>
          <w:spacing w:val="-11"/>
        </w:rPr>
        <w:t> </w:t>
      </w:r>
      <w:r>
        <w:rPr>
          <w:spacing w:val="-2"/>
        </w:rPr>
        <w:t>activities</w:t>
      </w:r>
      <w:r>
        <w:rPr>
          <w:spacing w:val="-12"/>
        </w:rPr>
        <w:t> </w:t>
      </w:r>
      <w:r>
        <w:rPr>
          <w:spacing w:val="-2"/>
        </w:rPr>
        <w:t>like</w:t>
      </w:r>
      <w:r>
        <w:rPr>
          <w:spacing w:val="-12"/>
        </w:rPr>
        <w:t> </w:t>
      </w:r>
      <w:r>
        <w:rPr>
          <w:spacing w:val="-2"/>
        </w:rPr>
        <w:t>workshops </w:t>
      </w:r>
      <w:r>
        <w:rPr>
          <w:spacing w:val="-8"/>
        </w:rPr>
        <w:t>and</w:t>
      </w:r>
      <w:r>
        <w:rPr>
          <w:spacing w:val="-14"/>
        </w:rPr>
        <w:t> </w:t>
      </w:r>
      <w:r>
        <w:rPr>
          <w:spacing w:val="-8"/>
        </w:rPr>
        <w:t>conferences,</w:t>
      </w:r>
      <w:r>
        <w:rPr>
          <w:spacing w:val="-14"/>
        </w:rPr>
        <w:t> </w:t>
      </w:r>
      <w:r>
        <w:rPr>
          <w:spacing w:val="-8"/>
        </w:rPr>
        <w:t>patents,</w:t>
      </w:r>
      <w:r>
        <w:rPr>
          <w:spacing w:val="-14"/>
        </w:rPr>
        <w:t> </w:t>
      </w:r>
      <w:r>
        <w:rPr>
          <w:spacing w:val="-8"/>
        </w:rPr>
        <w:t>technology</w:t>
      </w:r>
      <w:r>
        <w:rPr>
          <w:spacing w:val="-14"/>
        </w:rPr>
        <w:t> </w:t>
      </w:r>
      <w:r>
        <w:rPr>
          <w:spacing w:val="-8"/>
        </w:rPr>
        <w:t>transfer</w:t>
      </w:r>
      <w:r>
        <w:rPr>
          <w:spacing w:val="-14"/>
        </w:rPr>
        <w:t> </w:t>
      </w:r>
      <w:r>
        <w:rPr>
          <w:spacing w:val="-8"/>
        </w:rPr>
        <w:t>activities</w:t>
      </w:r>
      <w:r>
        <w:rPr>
          <w:spacing w:val="-14"/>
        </w:rPr>
        <w:t> </w:t>
      </w:r>
      <w:r>
        <w:rPr>
          <w:spacing w:val="-8"/>
        </w:rPr>
        <w:t>etc.</w:t>
      </w:r>
    </w:p>
    <w:p>
      <w:pPr>
        <w:pStyle w:val="Heading7"/>
        <w:spacing w:line="225" w:lineRule="auto" w:before="244"/>
        <w:ind w:right="1075"/>
      </w:pPr>
      <w:r>
        <w:rPr>
          <w:color w:val="2E614A"/>
          <w:spacing w:val="-4"/>
        </w:rPr>
        <w:t>Recommendation</w:t>
      </w:r>
      <w:r>
        <w:rPr>
          <w:color w:val="2E614A"/>
          <w:spacing w:val="-12"/>
        </w:rPr>
        <w:t> </w:t>
      </w:r>
      <w:r>
        <w:rPr>
          <w:color w:val="2E614A"/>
          <w:spacing w:val="-4"/>
        </w:rPr>
        <w:t>5:</w:t>
      </w:r>
      <w:r>
        <w:rPr>
          <w:color w:val="2E614A"/>
          <w:spacing w:val="-12"/>
        </w:rPr>
        <w:t> </w:t>
      </w:r>
      <w:r>
        <w:rPr>
          <w:color w:val="2E614A"/>
          <w:spacing w:val="-4"/>
        </w:rPr>
        <w:t>Rejuvenate</w:t>
      </w:r>
      <w:r>
        <w:rPr>
          <w:color w:val="2E614A"/>
          <w:spacing w:val="-12"/>
        </w:rPr>
        <w:t> </w:t>
      </w:r>
      <w:r>
        <w:rPr>
          <w:color w:val="2E614A"/>
          <w:spacing w:val="-4"/>
        </w:rPr>
        <w:t>the</w:t>
      </w:r>
      <w:r>
        <w:rPr>
          <w:color w:val="2E614A"/>
          <w:spacing w:val="-12"/>
        </w:rPr>
        <w:t> </w:t>
      </w:r>
      <w:r>
        <w:rPr>
          <w:color w:val="2E614A"/>
          <w:spacing w:val="-4"/>
        </w:rPr>
        <w:t>Ph.D </w:t>
      </w:r>
      <w:r>
        <w:rPr>
          <w:color w:val="2E614A"/>
          <w:w w:val="90"/>
        </w:rPr>
        <w:t>program and adhere to quality standards </w:t>
      </w:r>
      <w:r>
        <w:rPr>
          <w:color w:val="2E614A"/>
          <w:w w:val="90"/>
        </w:rPr>
        <w:t>to </w:t>
      </w:r>
      <w:r>
        <w:rPr>
          <w:color w:val="2E614A"/>
        </w:rPr>
        <w:t>attract</w:t>
      </w:r>
      <w:r>
        <w:rPr>
          <w:color w:val="2E614A"/>
          <w:spacing w:val="-17"/>
        </w:rPr>
        <w:t> </w:t>
      </w:r>
      <w:r>
        <w:rPr>
          <w:color w:val="2E614A"/>
        </w:rPr>
        <w:t>talented</w:t>
      </w:r>
      <w:r>
        <w:rPr>
          <w:color w:val="2E614A"/>
          <w:spacing w:val="-16"/>
        </w:rPr>
        <w:t> </w:t>
      </w:r>
      <w:r>
        <w:rPr>
          <w:color w:val="2E614A"/>
        </w:rPr>
        <w:t>students</w:t>
      </w:r>
    </w:p>
    <w:p>
      <w:pPr>
        <w:pStyle w:val="BodyText"/>
        <w:spacing w:before="1"/>
        <w:rPr>
          <w:b/>
          <w:sz w:val="26"/>
        </w:rPr>
      </w:pPr>
    </w:p>
    <w:p>
      <w:pPr>
        <w:pStyle w:val="BodyText"/>
        <w:spacing w:line="266" w:lineRule="auto"/>
        <w:ind w:left="319" w:right="1077"/>
        <w:jc w:val="both"/>
      </w:pPr>
      <w:r>
        <w:rPr>
          <w:b/>
          <w:spacing w:val="-4"/>
        </w:rPr>
        <w:t>Issues:</w:t>
      </w:r>
      <w:r>
        <w:rPr>
          <w:b/>
          <w:spacing w:val="-8"/>
        </w:rPr>
        <w:t> </w:t>
      </w:r>
      <w:r>
        <w:rPr>
          <w:spacing w:val="-4"/>
        </w:rPr>
        <w:t>Other</w:t>
      </w:r>
      <w:r>
        <w:rPr>
          <w:spacing w:val="-8"/>
        </w:rPr>
        <w:t> </w:t>
      </w:r>
      <w:r>
        <w:rPr>
          <w:spacing w:val="-4"/>
        </w:rPr>
        <w:t>than</w:t>
      </w:r>
      <w:r>
        <w:rPr>
          <w:spacing w:val="-8"/>
        </w:rPr>
        <w:t> </w:t>
      </w:r>
      <w:r>
        <w:rPr>
          <w:spacing w:val="-4"/>
        </w:rPr>
        <w:t>the</w:t>
      </w:r>
      <w:r>
        <w:rPr>
          <w:spacing w:val="-8"/>
        </w:rPr>
        <w:t> </w:t>
      </w:r>
      <w:r>
        <w:rPr>
          <w:spacing w:val="-4"/>
        </w:rPr>
        <w:t>financial</w:t>
      </w:r>
      <w:r>
        <w:rPr>
          <w:spacing w:val="-8"/>
        </w:rPr>
        <w:t> </w:t>
      </w:r>
      <w:r>
        <w:rPr>
          <w:spacing w:val="-4"/>
        </w:rPr>
        <w:t>benefits,</w:t>
      </w:r>
      <w:r>
        <w:rPr>
          <w:spacing w:val="-8"/>
        </w:rPr>
        <w:t> </w:t>
      </w:r>
      <w:r>
        <w:rPr>
          <w:spacing w:val="-4"/>
        </w:rPr>
        <w:t>a</w:t>
      </w:r>
      <w:r>
        <w:rPr>
          <w:spacing w:val="-8"/>
        </w:rPr>
        <w:t> </w:t>
      </w:r>
      <w:r>
        <w:rPr>
          <w:spacing w:val="-4"/>
        </w:rPr>
        <w:t>key</w:t>
      </w:r>
      <w:r>
        <w:rPr>
          <w:spacing w:val="-8"/>
        </w:rPr>
        <w:t> </w:t>
      </w:r>
      <w:r>
        <w:rPr>
          <w:spacing w:val="-4"/>
        </w:rPr>
        <w:t>deciding </w:t>
      </w:r>
      <w:r>
        <w:rPr/>
        <w:t>factor in making a career choice in academics is the </w:t>
      </w:r>
      <w:r>
        <w:rPr>
          <w:spacing w:val="-4"/>
        </w:rPr>
        <w:t>intellectual</w:t>
      </w:r>
      <w:r>
        <w:rPr>
          <w:spacing w:val="1"/>
        </w:rPr>
        <w:t> </w:t>
      </w:r>
      <w:r>
        <w:rPr>
          <w:spacing w:val="-4"/>
        </w:rPr>
        <w:t>satisfaction</w:t>
      </w:r>
      <w:r>
        <w:rPr>
          <w:spacing w:val="1"/>
        </w:rPr>
        <w:t> </w:t>
      </w:r>
      <w:r>
        <w:rPr>
          <w:spacing w:val="-4"/>
        </w:rPr>
        <w:t>that</w:t>
      </w:r>
      <w:r>
        <w:rPr>
          <w:spacing w:val="1"/>
        </w:rPr>
        <w:t> </w:t>
      </w:r>
      <w:r>
        <w:rPr>
          <w:spacing w:val="-4"/>
        </w:rPr>
        <w:t>one</w:t>
      </w:r>
      <w:r>
        <w:rPr>
          <w:spacing w:val="1"/>
        </w:rPr>
        <w:t> </w:t>
      </w:r>
      <w:r>
        <w:rPr>
          <w:spacing w:val="-4"/>
        </w:rPr>
        <w:t>expects.</w:t>
      </w:r>
      <w:r>
        <w:rPr>
          <w:spacing w:val="-5"/>
        </w:rPr>
        <w:t> </w:t>
      </w:r>
      <w:r>
        <w:rPr>
          <w:spacing w:val="-4"/>
        </w:rPr>
        <w:t>The</w:t>
      </w:r>
      <w:r>
        <w:rPr>
          <w:spacing w:val="1"/>
        </w:rPr>
        <w:t> </w:t>
      </w:r>
      <w:r>
        <w:rPr>
          <w:spacing w:val="-4"/>
        </w:rPr>
        <w:t>quality</w:t>
      </w:r>
      <w:r>
        <w:rPr>
          <w:spacing w:val="1"/>
        </w:rPr>
        <w:t> </w:t>
      </w:r>
      <w:r>
        <w:rPr>
          <w:spacing w:val="-5"/>
        </w:rPr>
        <w:t>of</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80"/>
      </w:pPr>
      <w:r>
        <w:rPr>
          <w:spacing w:val="-2"/>
        </w:rPr>
        <w:t>research</w:t>
      </w:r>
      <w:r>
        <w:rPr/>
        <w:t> </w:t>
      </w:r>
      <w:r>
        <w:rPr>
          <w:spacing w:val="-2"/>
        </w:rPr>
        <w:t>undertaken</w:t>
      </w:r>
      <w:r>
        <w:rPr>
          <w:spacing w:val="-1"/>
        </w:rPr>
        <w:t> </w:t>
      </w:r>
      <w:r>
        <w:rPr>
          <w:spacing w:val="-2"/>
        </w:rPr>
        <w:t>at</w:t>
      </w:r>
      <w:r>
        <w:rPr/>
        <w:t> </w:t>
      </w:r>
      <w:r>
        <w:rPr>
          <w:spacing w:val="-2"/>
        </w:rPr>
        <w:t>a</w:t>
      </w:r>
      <w:r>
        <w:rPr/>
        <w:t> </w:t>
      </w:r>
      <w:r>
        <w:rPr>
          <w:spacing w:val="-2"/>
        </w:rPr>
        <w:t>majority</w:t>
      </w:r>
      <w:r>
        <w:rPr>
          <w:spacing w:val="-1"/>
        </w:rPr>
        <w:t> </w:t>
      </w:r>
      <w:r>
        <w:rPr>
          <w:spacing w:val="-2"/>
        </w:rPr>
        <w:t>of</w:t>
      </w:r>
      <w:r>
        <w:rPr/>
        <w:t> </w:t>
      </w:r>
      <w:r>
        <w:rPr>
          <w:spacing w:val="-2"/>
        </w:rPr>
        <w:t>institutions</w:t>
      </w:r>
      <w:r>
        <w:rPr>
          <w:spacing w:val="-1"/>
        </w:rPr>
        <w:t> </w:t>
      </w:r>
      <w:r>
        <w:rPr>
          <w:spacing w:val="-2"/>
        </w:rPr>
        <w:t>in</w:t>
      </w:r>
      <w:r>
        <w:rPr/>
        <w:t> </w:t>
      </w:r>
      <w:r>
        <w:rPr>
          <w:spacing w:val="-2"/>
        </w:rPr>
        <w:t>the </w:t>
      </w:r>
      <w:r>
        <w:rPr>
          <w:spacing w:val="-10"/>
        </w:rPr>
        <w:t>country</w:t>
      </w:r>
      <w:r>
        <w:rPr/>
        <w:t> </w:t>
      </w:r>
      <w:r>
        <w:rPr>
          <w:spacing w:val="-10"/>
        </w:rPr>
        <w:t>is</w:t>
      </w:r>
      <w:r>
        <w:rPr/>
        <w:t> </w:t>
      </w:r>
      <w:r>
        <w:rPr>
          <w:spacing w:val="-10"/>
        </w:rPr>
        <w:t>however</w:t>
      </w:r>
      <w:r>
        <w:rPr/>
        <w:t> </w:t>
      </w:r>
      <w:r>
        <w:rPr>
          <w:spacing w:val="-10"/>
        </w:rPr>
        <w:t>so</w:t>
      </w:r>
      <w:r>
        <w:rPr/>
        <w:t> </w:t>
      </w:r>
      <w:r>
        <w:rPr>
          <w:spacing w:val="-10"/>
        </w:rPr>
        <w:t>low</w:t>
      </w:r>
      <w:r>
        <w:rPr/>
        <w:t> </w:t>
      </w:r>
      <w:r>
        <w:rPr>
          <w:spacing w:val="-10"/>
        </w:rPr>
        <w:t>that</w:t>
      </w:r>
      <w:r>
        <w:rPr/>
        <w:t> </w:t>
      </w:r>
      <w:r>
        <w:rPr>
          <w:spacing w:val="-10"/>
        </w:rPr>
        <w:t>it</w:t>
      </w:r>
      <w:r>
        <w:rPr/>
        <w:t> </w:t>
      </w:r>
      <w:r>
        <w:rPr>
          <w:spacing w:val="-10"/>
        </w:rPr>
        <w:t>deters</w:t>
      </w:r>
      <w:r>
        <w:rPr>
          <w:spacing w:val="1"/>
        </w:rPr>
        <w:t> </w:t>
      </w:r>
      <w:r>
        <w:rPr>
          <w:spacing w:val="-10"/>
        </w:rPr>
        <w:t>potential</w:t>
      </w:r>
      <w:r>
        <w:rPr/>
        <w:t> </w:t>
      </w:r>
      <w:r>
        <w:rPr>
          <w:spacing w:val="-10"/>
        </w:rPr>
        <w:t>students.</w:t>
      </w:r>
    </w:p>
    <w:p>
      <w:pPr>
        <w:pStyle w:val="BodyText"/>
        <w:spacing w:before="25"/>
      </w:pPr>
    </w:p>
    <w:p>
      <w:pPr>
        <w:pStyle w:val="ListParagraph"/>
        <w:numPr>
          <w:ilvl w:val="1"/>
          <w:numId w:val="50"/>
        </w:numPr>
        <w:tabs>
          <w:tab w:pos="1499" w:val="left" w:leader="none"/>
        </w:tabs>
        <w:spacing w:line="266" w:lineRule="auto" w:before="1" w:after="0"/>
        <w:ind w:left="1080" w:right="0" w:firstLine="0"/>
        <w:jc w:val="both"/>
        <w:rPr>
          <w:sz w:val="22"/>
        </w:rPr>
      </w:pPr>
      <w:r>
        <w:rPr>
          <w:b/>
          <w:sz w:val="22"/>
        </w:rPr>
        <w:t>Entry level screening: </w:t>
      </w:r>
      <w:r>
        <w:rPr>
          <w:sz w:val="22"/>
        </w:rPr>
        <w:t>Usually, an entry </w:t>
      </w:r>
      <w:r>
        <w:rPr>
          <w:sz w:val="22"/>
        </w:rPr>
        <w:t>level examination is conducted to ensure good quality of the</w:t>
      </w:r>
      <w:r>
        <w:rPr>
          <w:spacing w:val="-14"/>
          <w:sz w:val="22"/>
        </w:rPr>
        <w:t> </w:t>
      </w:r>
      <w:r>
        <w:rPr>
          <w:sz w:val="22"/>
        </w:rPr>
        <w:t>intake</w:t>
      </w:r>
      <w:r>
        <w:rPr>
          <w:spacing w:val="-14"/>
          <w:sz w:val="22"/>
        </w:rPr>
        <w:t> </w:t>
      </w:r>
      <w:r>
        <w:rPr>
          <w:sz w:val="22"/>
        </w:rPr>
        <w:t>of</w:t>
      </w:r>
      <w:r>
        <w:rPr>
          <w:spacing w:val="-14"/>
          <w:sz w:val="22"/>
        </w:rPr>
        <w:t> </w:t>
      </w:r>
      <w:r>
        <w:rPr>
          <w:sz w:val="22"/>
        </w:rPr>
        <w:t>doctoral</w:t>
      </w:r>
      <w:r>
        <w:rPr>
          <w:spacing w:val="-13"/>
          <w:sz w:val="22"/>
        </w:rPr>
        <w:t> </w:t>
      </w:r>
      <w:r>
        <w:rPr>
          <w:sz w:val="22"/>
        </w:rPr>
        <w:t>students.</w:t>
      </w:r>
      <w:r>
        <w:rPr>
          <w:spacing w:val="-14"/>
          <w:sz w:val="22"/>
        </w:rPr>
        <w:t> </w:t>
      </w:r>
      <w:r>
        <w:rPr>
          <w:sz w:val="22"/>
        </w:rPr>
        <w:t>A</w:t>
      </w:r>
      <w:r>
        <w:rPr>
          <w:spacing w:val="-14"/>
          <w:sz w:val="22"/>
        </w:rPr>
        <w:t> </w:t>
      </w:r>
      <w:r>
        <w:rPr>
          <w:sz w:val="22"/>
        </w:rPr>
        <w:t>prospective</w:t>
      </w:r>
      <w:r>
        <w:rPr>
          <w:spacing w:val="-14"/>
          <w:sz w:val="22"/>
        </w:rPr>
        <w:t> </w:t>
      </w:r>
      <w:r>
        <w:rPr>
          <w:sz w:val="22"/>
        </w:rPr>
        <w:t>doctoral </w:t>
      </w:r>
      <w:r>
        <w:rPr>
          <w:spacing w:val="-10"/>
          <w:sz w:val="22"/>
        </w:rPr>
        <w:t>student’s</w:t>
      </w:r>
      <w:r>
        <w:rPr>
          <w:spacing w:val="-4"/>
          <w:sz w:val="22"/>
        </w:rPr>
        <w:t> </w:t>
      </w:r>
      <w:r>
        <w:rPr>
          <w:spacing w:val="-10"/>
          <w:sz w:val="22"/>
        </w:rPr>
        <w:t>aptitude</w:t>
      </w:r>
      <w:r>
        <w:rPr>
          <w:spacing w:val="-4"/>
          <w:sz w:val="22"/>
        </w:rPr>
        <w:t> </w:t>
      </w:r>
      <w:r>
        <w:rPr>
          <w:spacing w:val="-10"/>
          <w:sz w:val="22"/>
        </w:rPr>
        <w:t>and</w:t>
      </w:r>
      <w:r>
        <w:rPr>
          <w:spacing w:val="-4"/>
          <w:sz w:val="22"/>
        </w:rPr>
        <w:t> </w:t>
      </w:r>
      <w:r>
        <w:rPr>
          <w:spacing w:val="-10"/>
          <w:sz w:val="22"/>
        </w:rPr>
        <w:t>attitude</w:t>
      </w:r>
      <w:r>
        <w:rPr>
          <w:spacing w:val="-3"/>
          <w:sz w:val="22"/>
        </w:rPr>
        <w:t> </w:t>
      </w:r>
      <w:r>
        <w:rPr>
          <w:spacing w:val="-10"/>
          <w:sz w:val="22"/>
        </w:rPr>
        <w:t>towards</w:t>
      </w:r>
      <w:r>
        <w:rPr>
          <w:spacing w:val="-4"/>
          <w:sz w:val="22"/>
        </w:rPr>
        <w:t> </w:t>
      </w:r>
      <w:r>
        <w:rPr>
          <w:spacing w:val="-10"/>
          <w:sz w:val="22"/>
        </w:rPr>
        <w:t>research</w:t>
      </w:r>
      <w:r>
        <w:rPr>
          <w:spacing w:val="-4"/>
          <w:sz w:val="22"/>
        </w:rPr>
        <w:t> </w:t>
      </w:r>
      <w:r>
        <w:rPr>
          <w:spacing w:val="-10"/>
          <w:sz w:val="22"/>
        </w:rPr>
        <w:t>should</w:t>
      </w:r>
      <w:r>
        <w:rPr>
          <w:spacing w:val="-4"/>
          <w:sz w:val="22"/>
        </w:rPr>
        <w:t> </w:t>
      </w:r>
      <w:r>
        <w:rPr>
          <w:spacing w:val="-10"/>
          <w:sz w:val="22"/>
        </w:rPr>
        <w:t>also be</w:t>
      </w:r>
      <w:r>
        <w:rPr>
          <w:sz w:val="22"/>
        </w:rPr>
        <w:t> </w:t>
      </w:r>
      <w:r>
        <w:rPr>
          <w:spacing w:val="-10"/>
          <w:sz w:val="22"/>
        </w:rPr>
        <w:t>considered</w:t>
      </w:r>
      <w:r>
        <w:rPr>
          <w:sz w:val="22"/>
        </w:rPr>
        <w:t> </w:t>
      </w:r>
      <w:r>
        <w:rPr>
          <w:spacing w:val="-10"/>
          <w:sz w:val="22"/>
        </w:rPr>
        <w:t>along</w:t>
      </w:r>
      <w:r>
        <w:rPr>
          <w:sz w:val="22"/>
        </w:rPr>
        <w:t> </w:t>
      </w:r>
      <w:r>
        <w:rPr>
          <w:spacing w:val="-10"/>
          <w:sz w:val="22"/>
        </w:rPr>
        <w:t>with</w:t>
      </w:r>
      <w:r>
        <w:rPr>
          <w:sz w:val="22"/>
        </w:rPr>
        <w:t> </w:t>
      </w:r>
      <w:r>
        <w:rPr>
          <w:spacing w:val="-10"/>
          <w:sz w:val="22"/>
        </w:rPr>
        <w:t>other</w:t>
      </w:r>
      <w:r>
        <w:rPr>
          <w:sz w:val="22"/>
        </w:rPr>
        <w:t> </w:t>
      </w:r>
      <w:r>
        <w:rPr>
          <w:spacing w:val="-10"/>
          <w:sz w:val="22"/>
        </w:rPr>
        <w:t>qualifications.</w:t>
      </w:r>
      <w:r>
        <w:rPr>
          <w:sz w:val="22"/>
        </w:rPr>
        <w:t> </w:t>
      </w:r>
      <w:r>
        <w:rPr>
          <w:spacing w:val="-10"/>
          <w:sz w:val="22"/>
        </w:rPr>
        <w:t>At</w:t>
      </w:r>
      <w:r>
        <w:rPr>
          <w:sz w:val="22"/>
        </w:rPr>
        <w:t> </w:t>
      </w:r>
      <w:r>
        <w:rPr>
          <w:spacing w:val="-10"/>
          <w:sz w:val="22"/>
        </w:rPr>
        <w:t>all</w:t>
      </w:r>
      <w:r>
        <w:rPr>
          <w:sz w:val="22"/>
        </w:rPr>
        <w:t> </w:t>
      </w:r>
      <w:r>
        <w:rPr>
          <w:spacing w:val="-10"/>
          <w:sz w:val="22"/>
        </w:rPr>
        <w:t>times, </w:t>
      </w:r>
      <w:r>
        <w:rPr>
          <w:spacing w:val="-8"/>
          <w:sz w:val="22"/>
        </w:rPr>
        <w:t>adherence to good standards at the entry level is essential.</w:t>
      </w:r>
    </w:p>
    <w:p>
      <w:pPr>
        <w:pStyle w:val="ListParagraph"/>
        <w:numPr>
          <w:ilvl w:val="2"/>
          <w:numId w:val="50"/>
        </w:numPr>
        <w:tabs>
          <w:tab w:pos="1440" w:val="left" w:leader="none"/>
        </w:tabs>
        <w:spacing w:line="266" w:lineRule="auto" w:before="0" w:after="0"/>
        <w:ind w:left="1440" w:right="0" w:hanging="360"/>
        <w:jc w:val="both"/>
        <w:rPr>
          <w:sz w:val="22"/>
        </w:rPr>
      </w:pPr>
      <w:r>
        <w:rPr>
          <w:sz w:val="22"/>
        </w:rPr>
        <w:t>Multiple</w:t>
      </w:r>
      <w:r>
        <w:rPr>
          <w:spacing w:val="-6"/>
          <w:sz w:val="22"/>
        </w:rPr>
        <w:t> </w:t>
      </w:r>
      <w:r>
        <w:rPr>
          <w:sz w:val="22"/>
        </w:rPr>
        <w:t>pathways</w:t>
      </w:r>
      <w:r>
        <w:rPr>
          <w:spacing w:val="-6"/>
          <w:sz w:val="22"/>
        </w:rPr>
        <w:t> </w:t>
      </w:r>
      <w:r>
        <w:rPr>
          <w:sz w:val="22"/>
        </w:rPr>
        <w:t>should</w:t>
      </w:r>
      <w:r>
        <w:rPr>
          <w:spacing w:val="-6"/>
          <w:sz w:val="22"/>
        </w:rPr>
        <w:t> </w:t>
      </w:r>
      <w:r>
        <w:rPr>
          <w:sz w:val="22"/>
        </w:rPr>
        <w:t>be</w:t>
      </w:r>
      <w:r>
        <w:rPr>
          <w:spacing w:val="-6"/>
          <w:sz w:val="22"/>
        </w:rPr>
        <w:t> </w:t>
      </w:r>
      <w:r>
        <w:rPr>
          <w:sz w:val="22"/>
        </w:rPr>
        <w:t>used</w:t>
      </w:r>
      <w:r>
        <w:rPr>
          <w:spacing w:val="-6"/>
          <w:sz w:val="22"/>
        </w:rPr>
        <w:t> </w:t>
      </w:r>
      <w:r>
        <w:rPr>
          <w:sz w:val="22"/>
        </w:rPr>
        <w:t>to</w:t>
      </w:r>
      <w:r>
        <w:rPr>
          <w:spacing w:val="-6"/>
          <w:sz w:val="22"/>
        </w:rPr>
        <w:t> </w:t>
      </w:r>
      <w:r>
        <w:rPr>
          <w:sz w:val="22"/>
        </w:rPr>
        <w:t>fill</w:t>
      </w:r>
      <w:r>
        <w:rPr>
          <w:spacing w:val="-6"/>
          <w:sz w:val="22"/>
        </w:rPr>
        <w:t> </w:t>
      </w:r>
      <w:r>
        <w:rPr>
          <w:sz w:val="22"/>
        </w:rPr>
        <w:t>research </w:t>
      </w:r>
      <w:r>
        <w:rPr>
          <w:spacing w:val="-2"/>
          <w:sz w:val="22"/>
        </w:rPr>
        <w:t>positions.</w:t>
      </w:r>
    </w:p>
    <w:p>
      <w:pPr>
        <w:pStyle w:val="ListParagraph"/>
        <w:numPr>
          <w:ilvl w:val="3"/>
          <w:numId w:val="50"/>
        </w:numPr>
        <w:tabs>
          <w:tab w:pos="1780" w:val="left" w:leader="none"/>
        </w:tabs>
        <w:spacing w:line="266" w:lineRule="auto" w:before="0" w:after="0"/>
        <w:ind w:left="1780" w:right="0" w:hanging="320"/>
        <w:jc w:val="both"/>
        <w:rPr>
          <w:sz w:val="22"/>
        </w:rPr>
      </w:pPr>
      <w:r>
        <w:rPr>
          <w:sz w:val="22"/>
        </w:rPr>
        <w:t>Flexibility</w:t>
      </w:r>
      <w:r>
        <w:rPr>
          <w:spacing w:val="-3"/>
          <w:sz w:val="22"/>
        </w:rPr>
        <w:t> </w:t>
      </w:r>
      <w:r>
        <w:rPr>
          <w:sz w:val="22"/>
        </w:rPr>
        <w:t>should</w:t>
      </w:r>
      <w:r>
        <w:rPr>
          <w:spacing w:val="-3"/>
          <w:sz w:val="22"/>
        </w:rPr>
        <w:t> </w:t>
      </w:r>
      <w:r>
        <w:rPr>
          <w:sz w:val="22"/>
        </w:rPr>
        <w:t>be</w:t>
      </w:r>
      <w:r>
        <w:rPr>
          <w:spacing w:val="-3"/>
          <w:sz w:val="22"/>
        </w:rPr>
        <w:t> </w:t>
      </w:r>
      <w:r>
        <w:rPr>
          <w:sz w:val="22"/>
        </w:rPr>
        <w:t>given</w:t>
      </w:r>
      <w:r>
        <w:rPr>
          <w:spacing w:val="-4"/>
          <w:sz w:val="22"/>
        </w:rPr>
        <w:t> </w:t>
      </w:r>
      <w:r>
        <w:rPr>
          <w:sz w:val="22"/>
        </w:rPr>
        <w:t>to</w:t>
      </w:r>
      <w:r>
        <w:rPr>
          <w:spacing w:val="-3"/>
          <w:sz w:val="22"/>
        </w:rPr>
        <w:t> </w:t>
      </w:r>
      <w:r>
        <w:rPr>
          <w:sz w:val="22"/>
        </w:rPr>
        <w:t>universities</w:t>
      </w:r>
      <w:r>
        <w:rPr>
          <w:spacing w:val="-3"/>
          <w:sz w:val="22"/>
        </w:rPr>
        <w:t> </w:t>
      </w:r>
      <w:r>
        <w:rPr>
          <w:sz w:val="22"/>
        </w:rPr>
        <w:t>for conducting their own entrance examinations.</w:t>
      </w:r>
    </w:p>
    <w:p>
      <w:pPr>
        <w:pStyle w:val="ListParagraph"/>
        <w:numPr>
          <w:ilvl w:val="3"/>
          <w:numId w:val="50"/>
        </w:numPr>
        <w:tabs>
          <w:tab w:pos="1780" w:val="left" w:leader="none"/>
        </w:tabs>
        <w:spacing w:line="266" w:lineRule="auto" w:before="0" w:after="0"/>
        <w:ind w:left="1780" w:right="0" w:hanging="320"/>
        <w:jc w:val="both"/>
        <w:rPr>
          <w:sz w:val="22"/>
        </w:rPr>
      </w:pPr>
      <w:r>
        <w:rPr>
          <w:sz w:val="22"/>
        </w:rPr>
        <w:t>A demonstrated research potential should </w:t>
      </w:r>
      <w:r>
        <w:rPr>
          <w:sz w:val="22"/>
        </w:rPr>
        <w:t>be given due consideration. If an applicant has published</w:t>
      </w:r>
      <w:r>
        <w:rPr>
          <w:spacing w:val="-10"/>
          <w:sz w:val="22"/>
        </w:rPr>
        <w:t> </w:t>
      </w:r>
      <w:r>
        <w:rPr>
          <w:sz w:val="22"/>
        </w:rPr>
        <w:t>a</w:t>
      </w:r>
      <w:r>
        <w:rPr>
          <w:spacing w:val="-10"/>
          <w:sz w:val="22"/>
        </w:rPr>
        <w:t> </w:t>
      </w:r>
      <w:r>
        <w:rPr>
          <w:sz w:val="22"/>
        </w:rPr>
        <w:t>good</w:t>
      </w:r>
      <w:r>
        <w:rPr>
          <w:spacing w:val="-10"/>
          <w:sz w:val="22"/>
        </w:rPr>
        <w:t> </w:t>
      </w:r>
      <w:r>
        <w:rPr>
          <w:sz w:val="22"/>
        </w:rPr>
        <w:t>quality</w:t>
      </w:r>
      <w:r>
        <w:rPr>
          <w:spacing w:val="-10"/>
          <w:sz w:val="22"/>
        </w:rPr>
        <w:t> </w:t>
      </w:r>
      <w:r>
        <w:rPr>
          <w:sz w:val="22"/>
        </w:rPr>
        <w:t>research</w:t>
      </w:r>
      <w:r>
        <w:rPr>
          <w:spacing w:val="-10"/>
          <w:sz w:val="22"/>
        </w:rPr>
        <w:t> </w:t>
      </w:r>
      <w:r>
        <w:rPr>
          <w:sz w:val="22"/>
        </w:rPr>
        <w:t>paper,</w:t>
      </w:r>
      <w:r>
        <w:rPr>
          <w:spacing w:val="-10"/>
          <w:sz w:val="22"/>
        </w:rPr>
        <w:t> </w:t>
      </w:r>
      <w:r>
        <w:rPr>
          <w:sz w:val="22"/>
        </w:rPr>
        <w:t>filed a patent etc, his/ her application should be accordingly considered.</w:t>
      </w:r>
    </w:p>
    <w:p>
      <w:pPr>
        <w:pStyle w:val="ListParagraph"/>
        <w:numPr>
          <w:ilvl w:val="3"/>
          <w:numId w:val="50"/>
        </w:numPr>
        <w:tabs>
          <w:tab w:pos="1780" w:val="left" w:leader="none"/>
        </w:tabs>
        <w:spacing w:line="266" w:lineRule="auto" w:before="0" w:after="0"/>
        <w:ind w:left="1780" w:right="0" w:hanging="320"/>
        <w:jc w:val="both"/>
        <w:rPr>
          <w:sz w:val="22"/>
        </w:rPr>
      </w:pPr>
      <w:r>
        <w:rPr>
          <w:sz w:val="22"/>
        </w:rPr>
        <w:t>For working professionals, who may find </w:t>
      </w:r>
      <w:r>
        <w:rPr>
          <w:sz w:val="22"/>
        </w:rPr>
        <w:t>it </w:t>
      </w:r>
      <w:r>
        <w:rPr>
          <w:spacing w:val="-6"/>
          <w:sz w:val="22"/>
        </w:rPr>
        <w:t>difficult to pass an entry level test, other flexible </w:t>
      </w:r>
      <w:r>
        <w:rPr>
          <w:sz w:val="22"/>
        </w:rPr>
        <w:t>methods</w:t>
      </w:r>
      <w:r>
        <w:rPr>
          <w:spacing w:val="-14"/>
          <w:sz w:val="22"/>
        </w:rPr>
        <w:t> </w:t>
      </w:r>
      <w:r>
        <w:rPr>
          <w:sz w:val="22"/>
        </w:rPr>
        <w:t>of</w:t>
      </w:r>
      <w:r>
        <w:rPr>
          <w:spacing w:val="-14"/>
          <w:sz w:val="22"/>
        </w:rPr>
        <w:t> </w:t>
      </w:r>
      <w:r>
        <w:rPr>
          <w:sz w:val="22"/>
        </w:rPr>
        <w:t>assessment</w:t>
      </w:r>
      <w:r>
        <w:rPr>
          <w:spacing w:val="-14"/>
          <w:sz w:val="22"/>
        </w:rPr>
        <w:t> </w:t>
      </w:r>
      <w:r>
        <w:rPr>
          <w:sz w:val="22"/>
        </w:rPr>
        <w:t>should</w:t>
      </w:r>
      <w:r>
        <w:rPr>
          <w:spacing w:val="-13"/>
          <w:sz w:val="22"/>
        </w:rPr>
        <w:t> </w:t>
      </w:r>
      <w:r>
        <w:rPr>
          <w:sz w:val="22"/>
        </w:rPr>
        <w:t>be</w:t>
      </w:r>
      <w:r>
        <w:rPr>
          <w:spacing w:val="-14"/>
          <w:sz w:val="22"/>
        </w:rPr>
        <w:t> </w:t>
      </w:r>
      <w:r>
        <w:rPr>
          <w:sz w:val="22"/>
        </w:rPr>
        <w:t>put</w:t>
      </w:r>
      <w:r>
        <w:rPr>
          <w:spacing w:val="-14"/>
          <w:sz w:val="22"/>
        </w:rPr>
        <w:t> </w:t>
      </w:r>
      <w:r>
        <w:rPr>
          <w:sz w:val="22"/>
        </w:rPr>
        <w:t>in</w:t>
      </w:r>
      <w:r>
        <w:rPr>
          <w:spacing w:val="-14"/>
          <w:sz w:val="22"/>
        </w:rPr>
        <w:t> </w:t>
      </w:r>
      <w:r>
        <w:rPr>
          <w:sz w:val="22"/>
        </w:rPr>
        <w:t>place.</w:t>
      </w:r>
    </w:p>
    <w:p>
      <w:pPr>
        <w:pStyle w:val="ListParagraph"/>
        <w:numPr>
          <w:ilvl w:val="3"/>
          <w:numId w:val="50"/>
        </w:numPr>
        <w:tabs>
          <w:tab w:pos="1780" w:val="left" w:leader="none"/>
        </w:tabs>
        <w:spacing w:line="266" w:lineRule="auto" w:before="0" w:after="0"/>
        <w:ind w:left="1780" w:right="0" w:hanging="320"/>
        <w:jc w:val="both"/>
        <w:rPr>
          <w:sz w:val="22"/>
        </w:rPr>
      </w:pPr>
      <w:r>
        <w:rPr>
          <w:sz w:val="22"/>
        </w:rPr>
        <w:t>Online testing of students should also </w:t>
      </w:r>
      <w:r>
        <w:rPr>
          <w:sz w:val="22"/>
        </w:rPr>
        <w:t>be worked out. This is particularly important to attract potential students from abroad.</w:t>
      </w:r>
    </w:p>
    <w:p>
      <w:pPr>
        <w:pStyle w:val="ListParagraph"/>
        <w:numPr>
          <w:ilvl w:val="2"/>
          <w:numId w:val="50"/>
        </w:numPr>
        <w:tabs>
          <w:tab w:pos="1439" w:val="left" w:leader="none"/>
        </w:tabs>
        <w:spacing w:line="251" w:lineRule="exact" w:before="0" w:after="0"/>
        <w:ind w:left="1439" w:right="0" w:hanging="359"/>
        <w:jc w:val="both"/>
        <w:rPr>
          <w:sz w:val="22"/>
        </w:rPr>
      </w:pPr>
      <w:r>
        <w:rPr>
          <w:spacing w:val="-2"/>
          <w:sz w:val="22"/>
        </w:rPr>
        <w:t>Examinations</w:t>
      </w:r>
    </w:p>
    <w:p>
      <w:pPr>
        <w:pStyle w:val="ListParagraph"/>
        <w:numPr>
          <w:ilvl w:val="3"/>
          <w:numId w:val="50"/>
        </w:numPr>
        <w:tabs>
          <w:tab w:pos="1780" w:val="left" w:leader="none"/>
        </w:tabs>
        <w:spacing w:line="266" w:lineRule="auto" w:before="12" w:after="0"/>
        <w:ind w:left="1780" w:right="0" w:hanging="320"/>
        <w:jc w:val="both"/>
        <w:rPr>
          <w:sz w:val="22"/>
        </w:rPr>
      </w:pPr>
      <w:r>
        <w:rPr>
          <w:spacing w:val="-6"/>
          <w:sz w:val="22"/>
        </w:rPr>
        <w:t>Testing aptitude for research should be made </w:t>
      </w:r>
      <w:r>
        <w:rPr>
          <w:spacing w:val="-6"/>
          <w:sz w:val="22"/>
        </w:rPr>
        <w:t>an integral</w:t>
      </w:r>
      <w:r>
        <w:rPr>
          <w:spacing w:val="-8"/>
          <w:sz w:val="22"/>
        </w:rPr>
        <w:t> </w:t>
      </w:r>
      <w:r>
        <w:rPr>
          <w:spacing w:val="-6"/>
          <w:sz w:val="22"/>
        </w:rPr>
        <w:t>part</w:t>
      </w:r>
      <w:r>
        <w:rPr>
          <w:spacing w:val="-8"/>
          <w:sz w:val="22"/>
        </w:rPr>
        <w:t> </w:t>
      </w:r>
      <w:r>
        <w:rPr>
          <w:spacing w:val="-6"/>
          <w:sz w:val="22"/>
        </w:rPr>
        <w:t>of</w:t>
      </w:r>
      <w:r>
        <w:rPr>
          <w:spacing w:val="-8"/>
          <w:sz w:val="22"/>
        </w:rPr>
        <w:t> </w:t>
      </w:r>
      <w:r>
        <w:rPr>
          <w:spacing w:val="-6"/>
          <w:sz w:val="22"/>
        </w:rPr>
        <w:t>the</w:t>
      </w:r>
      <w:r>
        <w:rPr>
          <w:spacing w:val="-7"/>
          <w:sz w:val="22"/>
        </w:rPr>
        <w:t> </w:t>
      </w:r>
      <w:r>
        <w:rPr>
          <w:spacing w:val="-6"/>
          <w:sz w:val="22"/>
        </w:rPr>
        <w:t>selection</w:t>
      </w:r>
      <w:r>
        <w:rPr>
          <w:spacing w:val="-8"/>
          <w:sz w:val="22"/>
        </w:rPr>
        <w:t> </w:t>
      </w:r>
      <w:r>
        <w:rPr>
          <w:spacing w:val="-6"/>
          <w:sz w:val="22"/>
        </w:rPr>
        <w:t>process.</w:t>
      </w:r>
      <w:r>
        <w:rPr>
          <w:spacing w:val="-8"/>
          <w:sz w:val="22"/>
        </w:rPr>
        <w:t> </w:t>
      </w:r>
      <w:r>
        <w:rPr>
          <w:spacing w:val="-6"/>
          <w:sz w:val="22"/>
        </w:rPr>
        <w:t>Apart</w:t>
      </w:r>
      <w:r>
        <w:rPr>
          <w:spacing w:val="-8"/>
          <w:sz w:val="22"/>
        </w:rPr>
        <w:t> </w:t>
      </w:r>
      <w:r>
        <w:rPr>
          <w:spacing w:val="-6"/>
          <w:sz w:val="22"/>
        </w:rPr>
        <w:t>from </w:t>
      </w:r>
      <w:r>
        <w:rPr>
          <w:spacing w:val="-4"/>
          <w:sz w:val="22"/>
        </w:rPr>
        <w:t>a</w:t>
      </w:r>
      <w:r>
        <w:rPr>
          <w:spacing w:val="-10"/>
          <w:sz w:val="22"/>
        </w:rPr>
        <w:t> </w:t>
      </w:r>
      <w:r>
        <w:rPr>
          <w:spacing w:val="-4"/>
          <w:sz w:val="22"/>
        </w:rPr>
        <w:t>written</w:t>
      </w:r>
      <w:r>
        <w:rPr>
          <w:spacing w:val="-10"/>
          <w:sz w:val="22"/>
        </w:rPr>
        <w:t> </w:t>
      </w:r>
      <w:r>
        <w:rPr>
          <w:spacing w:val="-4"/>
          <w:sz w:val="22"/>
        </w:rPr>
        <w:t>examination,</w:t>
      </w:r>
      <w:r>
        <w:rPr>
          <w:spacing w:val="-10"/>
          <w:sz w:val="22"/>
        </w:rPr>
        <w:t> </w:t>
      </w:r>
      <w:r>
        <w:rPr>
          <w:spacing w:val="-4"/>
          <w:sz w:val="22"/>
        </w:rPr>
        <w:t>a</w:t>
      </w:r>
      <w:r>
        <w:rPr>
          <w:spacing w:val="-9"/>
          <w:sz w:val="22"/>
        </w:rPr>
        <w:t> </w:t>
      </w:r>
      <w:r>
        <w:rPr>
          <w:spacing w:val="-4"/>
          <w:sz w:val="22"/>
        </w:rPr>
        <w:t>personal</w:t>
      </w:r>
      <w:r>
        <w:rPr>
          <w:spacing w:val="-10"/>
          <w:sz w:val="22"/>
        </w:rPr>
        <w:t> </w:t>
      </w:r>
      <w:r>
        <w:rPr>
          <w:spacing w:val="-4"/>
          <w:sz w:val="22"/>
        </w:rPr>
        <w:t>interview</w:t>
      </w:r>
      <w:r>
        <w:rPr>
          <w:spacing w:val="-10"/>
          <w:sz w:val="22"/>
        </w:rPr>
        <w:t> </w:t>
      </w:r>
      <w:r>
        <w:rPr>
          <w:spacing w:val="-4"/>
          <w:sz w:val="22"/>
        </w:rPr>
        <w:t>will </w:t>
      </w:r>
      <w:r>
        <w:rPr>
          <w:sz w:val="22"/>
        </w:rPr>
        <w:t>be greatly useful.</w:t>
      </w:r>
    </w:p>
    <w:p>
      <w:pPr>
        <w:pStyle w:val="ListParagraph"/>
        <w:numPr>
          <w:ilvl w:val="3"/>
          <w:numId w:val="50"/>
        </w:numPr>
        <w:tabs>
          <w:tab w:pos="1780" w:val="left" w:leader="none"/>
        </w:tabs>
        <w:spacing w:line="266" w:lineRule="auto" w:before="0" w:after="0"/>
        <w:ind w:left="1780" w:right="0" w:hanging="320"/>
        <w:jc w:val="both"/>
        <w:rPr>
          <w:sz w:val="22"/>
        </w:rPr>
      </w:pPr>
      <w:r>
        <w:rPr>
          <w:sz w:val="22"/>
        </w:rPr>
        <w:t>Syllabus and quality of the current </w:t>
      </w:r>
      <w:r>
        <w:rPr>
          <w:sz w:val="22"/>
        </w:rPr>
        <w:t>NET examination</w:t>
      </w:r>
      <w:r>
        <w:rPr>
          <w:spacing w:val="-7"/>
          <w:sz w:val="22"/>
        </w:rPr>
        <w:t> </w:t>
      </w:r>
      <w:r>
        <w:rPr>
          <w:sz w:val="22"/>
        </w:rPr>
        <w:t>needs</w:t>
      </w:r>
      <w:r>
        <w:rPr>
          <w:spacing w:val="-7"/>
          <w:sz w:val="22"/>
        </w:rPr>
        <w:t> </w:t>
      </w:r>
      <w:r>
        <w:rPr>
          <w:sz w:val="22"/>
        </w:rPr>
        <w:t>to</w:t>
      </w:r>
      <w:r>
        <w:rPr>
          <w:spacing w:val="-7"/>
          <w:sz w:val="22"/>
        </w:rPr>
        <w:t> </w:t>
      </w:r>
      <w:r>
        <w:rPr>
          <w:sz w:val="22"/>
        </w:rPr>
        <w:t>be</w:t>
      </w:r>
      <w:r>
        <w:rPr>
          <w:spacing w:val="-7"/>
          <w:sz w:val="22"/>
        </w:rPr>
        <w:t> </w:t>
      </w:r>
      <w:r>
        <w:rPr>
          <w:sz w:val="22"/>
        </w:rPr>
        <w:t>massively</w:t>
      </w:r>
      <w:r>
        <w:rPr>
          <w:spacing w:val="-7"/>
          <w:sz w:val="22"/>
        </w:rPr>
        <w:t> </w:t>
      </w:r>
      <w:r>
        <w:rPr>
          <w:sz w:val="22"/>
        </w:rPr>
        <w:t>reformed.</w:t>
      </w:r>
    </w:p>
    <w:p>
      <w:pPr>
        <w:pStyle w:val="ListParagraph"/>
        <w:numPr>
          <w:ilvl w:val="3"/>
          <w:numId w:val="50"/>
        </w:numPr>
        <w:tabs>
          <w:tab w:pos="1780" w:val="left" w:leader="none"/>
        </w:tabs>
        <w:spacing w:line="266" w:lineRule="auto" w:before="0" w:after="0"/>
        <w:ind w:left="1780" w:right="0" w:hanging="320"/>
        <w:jc w:val="both"/>
        <w:rPr>
          <w:sz w:val="22"/>
        </w:rPr>
      </w:pPr>
      <w:r>
        <w:rPr>
          <w:sz w:val="22"/>
        </w:rPr>
        <w:t>Unlimited</w:t>
      </w:r>
      <w:r>
        <w:rPr>
          <w:spacing w:val="-10"/>
          <w:sz w:val="22"/>
        </w:rPr>
        <w:t> </w:t>
      </w:r>
      <w:r>
        <w:rPr>
          <w:sz w:val="22"/>
        </w:rPr>
        <w:t>attempts</w:t>
      </w:r>
      <w:r>
        <w:rPr>
          <w:spacing w:val="-10"/>
          <w:sz w:val="22"/>
        </w:rPr>
        <w:t> </w:t>
      </w:r>
      <w:r>
        <w:rPr>
          <w:sz w:val="22"/>
        </w:rPr>
        <w:t>should</w:t>
      </w:r>
      <w:r>
        <w:rPr>
          <w:spacing w:val="-10"/>
          <w:sz w:val="22"/>
        </w:rPr>
        <w:t> </w:t>
      </w:r>
      <w:r>
        <w:rPr>
          <w:sz w:val="22"/>
        </w:rPr>
        <w:t>be</w:t>
      </w:r>
      <w:r>
        <w:rPr>
          <w:spacing w:val="-10"/>
          <w:sz w:val="22"/>
        </w:rPr>
        <w:t> </w:t>
      </w:r>
      <w:r>
        <w:rPr>
          <w:sz w:val="22"/>
        </w:rPr>
        <w:t>allowed</w:t>
      </w:r>
      <w:r>
        <w:rPr>
          <w:spacing w:val="-10"/>
          <w:sz w:val="22"/>
        </w:rPr>
        <w:t> </w:t>
      </w:r>
      <w:r>
        <w:rPr>
          <w:sz w:val="22"/>
        </w:rPr>
        <w:t>to</w:t>
      </w:r>
      <w:r>
        <w:rPr>
          <w:spacing w:val="-10"/>
          <w:sz w:val="22"/>
        </w:rPr>
        <w:t> </w:t>
      </w:r>
      <w:r>
        <w:rPr>
          <w:sz w:val="22"/>
        </w:rPr>
        <w:t>pass the qualifying examination.</w:t>
      </w:r>
    </w:p>
    <w:p>
      <w:pPr>
        <w:pStyle w:val="ListParagraph"/>
        <w:numPr>
          <w:ilvl w:val="3"/>
          <w:numId w:val="50"/>
        </w:numPr>
        <w:tabs>
          <w:tab w:pos="1780" w:val="left" w:leader="none"/>
        </w:tabs>
        <w:spacing w:line="266" w:lineRule="auto" w:before="0" w:after="0"/>
        <w:ind w:left="1780" w:right="0" w:hanging="320"/>
        <w:jc w:val="both"/>
        <w:rPr>
          <w:sz w:val="22"/>
        </w:rPr>
      </w:pPr>
      <w:r>
        <w:rPr>
          <w:sz w:val="22"/>
        </w:rPr>
        <w:t>As</w:t>
      </w:r>
      <w:r>
        <w:rPr>
          <w:spacing w:val="-14"/>
          <w:sz w:val="22"/>
        </w:rPr>
        <w:t> </w:t>
      </w:r>
      <w:r>
        <w:rPr>
          <w:sz w:val="22"/>
        </w:rPr>
        <w:t>the</w:t>
      </w:r>
      <w:r>
        <w:rPr>
          <w:spacing w:val="-14"/>
          <w:sz w:val="22"/>
        </w:rPr>
        <w:t> </w:t>
      </w:r>
      <w:r>
        <w:rPr>
          <w:sz w:val="22"/>
        </w:rPr>
        <w:t>borders</w:t>
      </w:r>
      <w:r>
        <w:rPr>
          <w:spacing w:val="-14"/>
          <w:sz w:val="22"/>
        </w:rPr>
        <w:t> </w:t>
      </w:r>
      <w:r>
        <w:rPr>
          <w:sz w:val="22"/>
        </w:rPr>
        <w:t>between</w:t>
      </w:r>
      <w:r>
        <w:rPr>
          <w:spacing w:val="-13"/>
          <w:sz w:val="22"/>
        </w:rPr>
        <w:t> </w:t>
      </w:r>
      <w:r>
        <w:rPr>
          <w:sz w:val="22"/>
        </w:rPr>
        <w:t>disciplines</w:t>
      </w:r>
      <w:r>
        <w:rPr>
          <w:spacing w:val="-14"/>
          <w:sz w:val="22"/>
        </w:rPr>
        <w:t> </w:t>
      </w:r>
      <w:r>
        <w:rPr>
          <w:sz w:val="22"/>
        </w:rPr>
        <w:t>are</w:t>
      </w:r>
      <w:r>
        <w:rPr>
          <w:spacing w:val="-14"/>
          <w:sz w:val="22"/>
        </w:rPr>
        <w:t> </w:t>
      </w:r>
      <w:r>
        <w:rPr>
          <w:sz w:val="22"/>
        </w:rPr>
        <w:t>getting </w:t>
      </w:r>
      <w:r>
        <w:rPr>
          <w:spacing w:val="-2"/>
          <w:sz w:val="22"/>
        </w:rPr>
        <w:t>increasingly</w:t>
      </w:r>
      <w:r>
        <w:rPr>
          <w:spacing w:val="-12"/>
          <w:sz w:val="22"/>
        </w:rPr>
        <w:t> </w:t>
      </w:r>
      <w:r>
        <w:rPr>
          <w:spacing w:val="-2"/>
          <w:sz w:val="22"/>
        </w:rPr>
        <w:t>blurred,</w:t>
      </w:r>
      <w:r>
        <w:rPr>
          <w:spacing w:val="-12"/>
          <w:sz w:val="22"/>
        </w:rPr>
        <w:t> </w:t>
      </w:r>
      <w:r>
        <w:rPr>
          <w:spacing w:val="-2"/>
          <w:sz w:val="22"/>
        </w:rPr>
        <w:t>it</w:t>
      </w:r>
      <w:r>
        <w:rPr>
          <w:spacing w:val="-12"/>
          <w:sz w:val="22"/>
        </w:rPr>
        <w:t> </w:t>
      </w:r>
      <w:r>
        <w:rPr>
          <w:spacing w:val="-2"/>
          <w:sz w:val="22"/>
        </w:rPr>
        <w:t>is</w:t>
      </w:r>
      <w:r>
        <w:rPr>
          <w:spacing w:val="-11"/>
          <w:sz w:val="22"/>
        </w:rPr>
        <w:t> </w:t>
      </w:r>
      <w:r>
        <w:rPr>
          <w:spacing w:val="-2"/>
          <w:sz w:val="22"/>
        </w:rPr>
        <w:t>important</w:t>
      </w:r>
      <w:r>
        <w:rPr>
          <w:spacing w:val="-12"/>
          <w:sz w:val="22"/>
        </w:rPr>
        <w:t> </w:t>
      </w:r>
      <w:r>
        <w:rPr>
          <w:spacing w:val="-2"/>
          <w:sz w:val="22"/>
        </w:rPr>
        <w:t>to</w:t>
      </w:r>
      <w:r>
        <w:rPr>
          <w:spacing w:val="-12"/>
          <w:sz w:val="22"/>
        </w:rPr>
        <w:t> </w:t>
      </w:r>
      <w:r>
        <w:rPr>
          <w:spacing w:val="-2"/>
          <w:sz w:val="22"/>
        </w:rPr>
        <w:t>examine </w:t>
      </w:r>
      <w:r>
        <w:rPr>
          <w:sz w:val="22"/>
        </w:rPr>
        <w:t>the</w:t>
      </w:r>
      <w:r>
        <w:rPr>
          <w:spacing w:val="-9"/>
          <w:sz w:val="22"/>
        </w:rPr>
        <w:t> </w:t>
      </w:r>
      <w:r>
        <w:rPr>
          <w:sz w:val="22"/>
        </w:rPr>
        <w:t>entry</w:t>
      </w:r>
      <w:r>
        <w:rPr>
          <w:spacing w:val="-9"/>
          <w:sz w:val="22"/>
        </w:rPr>
        <w:t> </w:t>
      </w:r>
      <w:r>
        <w:rPr>
          <w:sz w:val="22"/>
        </w:rPr>
        <w:t>requirements</w:t>
      </w:r>
      <w:r>
        <w:rPr>
          <w:spacing w:val="-9"/>
          <w:sz w:val="22"/>
        </w:rPr>
        <w:t> </w:t>
      </w:r>
      <w:r>
        <w:rPr>
          <w:sz w:val="22"/>
        </w:rPr>
        <w:t>for</w:t>
      </w:r>
      <w:r>
        <w:rPr>
          <w:spacing w:val="-9"/>
          <w:sz w:val="22"/>
        </w:rPr>
        <w:t> </w:t>
      </w:r>
      <w:r>
        <w:rPr>
          <w:sz w:val="22"/>
        </w:rPr>
        <w:t>lateral</w:t>
      </w:r>
      <w:r>
        <w:rPr>
          <w:spacing w:val="-9"/>
          <w:sz w:val="22"/>
        </w:rPr>
        <w:t> </w:t>
      </w:r>
      <w:r>
        <w:rPr>
          <w:sz w:val="22"/>
        </w:rPr>
        <w:t>entry</w:t>
      </w:r>
      <w:r>
        <w:rPr>
          <w:spacing w:val="-9"/>
          <w:sz w:val="22"/>
        </w:rPr>
        <w:t> </w:t>
      </w:r>
      <w:r>
        <w:rPr>
          <w:sz w:val="22"/>
        </w:rPr>
        <w:t>across </w:t>
      </w:r>
      <w:r>
        <w:rPr>
          <w:spacing w:val="-2"/>
          <w:sz w:val="22"/>
        </w:rPr>
        <w:t>disciplines.</w:t>
      </w:r>
    </w:p>
    <w:p>
      <w:pPr>
        <w:pStyle w:val="ListParagraph"/>
        <w:numPr>
          <w:ilvl w:val="2"/>
          <w:numId w:val="50"/>
        </w:numPr>
        <w:tabs>
          <w:tab w:pos="1439" w:val="left" w:leader="none"/>
        </w:tabs>
        <w:spacing w:line="266" w:lineRule="auto" w:before="0" w:after="0"/>
        <w:ind w:left="1439" w:right="0" w:hanging="360"/>
        <w:jc w:val="both"/>
        <w:rPr>
          <w:sz w:val="22"/>
        </w:rPr>
      </w:pPr>
      <w:r>
        <w:rPr>
          <w:sz w:val="22"/>
        </w:rPr>
        <w:t>Adequate care should be taken to ensure </w:t>
      </w:r>
      <w:r>
        <w:rPr>
          <w:sz w:val="22"/>
        </w:rPr>
        <w:t>that screening</w:t>
      </w:r>
      <w:r>
        <w:rPr>
          <w:spacing w:val="-2"/>
          <w:sz w:val="22"/>
        </w:rPr>
        <w:t> </w:t>
      </w:r>
      <w:r>
        <w:rPr>
          <w:sz w:val="22"/>
        </w:rPr>
        <w:t>methods</w:t>
      </w:r>
      <w:r>
        <w:rPr>
          <w:spacing w:val="-2"/>
          <w:sz w:val="22"/>
        </w:rPr>
        <w:t> </w:t>
      </w:r>
      <w:r>
        <w:rPr>
          <w:sz w:val="22"/>
        </w:rPr>
        <w:t>are</w:t>
      </w:r>
      <w:r>
        <w:rPr>
          <w:spacing w:val="-2"/>
          <w:sz w:val="22"/>
        </w:rPr>
        <w:t> </w:t>
      </w:r>
      <w:r>
        <w:rPr>
          <w:sz w:val="22"/>
        </w:rPr>
        <w:t>transparent</w:t>
      </w:r>
      <w:r>
        <w:rPr>
          <w:spacing w:val="-2"/>
          <w:sz w:val="22"/>
        </w:rPr>
        <w:t> </w:t>
      </w:r>
      <w:r>
        <w:rPr>
          <w:sz w:val="22"/>
        </w:rPr>
        <w:t>and</w:t>
      </w:r>
      <w:r>
        <w:rPr>
          <w:spacing w:val="-2"/>
          <w:sz w:val="22"/>
        </w:rPr>
        <w:t> </w:t>
      </w:r>
      <w:r>
        <w:rPr>
          <w:sz w:val="22"/>
        </w:rPr>
        <w:t>objective.</w:t>
      </w:r>
    </w:p>
    <w:p>
      <w:pPr>
        <w:pStyle w:val="BodyText"/>
        <w:spacing w:before="16"/>
      </w:pPr>
    </w:p>
    <w:p>
      <w:pPr>
        <w:pStyle w:val="ListParagraph"/>
        <w:numPr>
          <w:ilvl w:val="1"/>
          <w:numId w:val="50"/>
        </w:numPr>
        <w:tabs>
          <w:tab w:pos="1443" w:val="left" w:leader="none"/>
        </w:tabs>
        <w:spacing w:line="266" w:lineRule="auto" w:before="0" w:after="0"/>
        <w:ind w:left="1080" w:right="0" w:firstLine="0"/>
        <w:jc w:val="both"/>
        <w:rPr>
          <w:sz w:val="22"/>
        </w:rPr>
      </w:pPr>
      <w:r>
        <w:rPr>
          <w:b/>
          <w:sz w:val="22"/>
        </w:rPr>
        <w:t>Pre-Ph.D</w:t>
      </w:r>
      <w:r>
        <w:rPr>
          <w:b/>
          <w:spacing w:val="-7"/>
          <w:sz w:val="22"/>
        </w:rPr>
        <w:t> </w:t>
      </w:r>
      <w:r>
        <w:rPr>
          <w:b/>
          <w:sz w:val="22"/>
        </w:rPr>
        <w:t>courses:</w:t>
      </w:r>
      <w:r>
        <w:rPr>
          <w:b/>
          <w:spacing w:val="-7"/>
          <w:sz w:val="22"/>
        </w:rPr>
        <w:t> </w:t>
      </w:r>
      <w:r>
        <w:rPr>
          <w:sz w:val="22"/>
        </w:rPr>
        <w:t>It</w:t>
      </w:r>
      <w:r>
        <w:rPr>
          <w:spacing w:val="-7"/>
          <w:sz w:val="22"/>
        </w:rPr>
        <w:t> </w:t>
      </w:r>
      <w:r>
        <w:rPr>
          <w:sz w:val="22"/>
        </w:rPr>
        <w:t>is</w:t>
      </w:r>
      <w:r>
        <w:rPr>
          <w:spacing w:val="-7"/>
          <w:sz w:val="22"/>
        </w:rPr>
        <w:t> </w:t>
      </w:r>
      <w:r>
        <w:rPr>
          <w:sz w:val="22"/>
        </w:rPr>
        <w:t>important</w:t>
      </w:r>
      <w:r>
        <w:rPr>
          <w:spacing w:val="-7"/>
          <w:sz w:val="22"/>
        </w:rPr>
        <w:t> </w:t>
      </w:r>
      <w:r>
        <w:rPr>
          <w:sz w:val="22"/>
        </w:rPr>
        <w:t>to</w:t>
      </w:r>
      <w:r>
        <w:rPr>
          <w:spacing w:val="-7"/>
          <w:sz w:val="22"/>
        </w:rPr>
        <w:t> </w:t>
      </w:r>
      <w:r>
        <w:rPr>
          <w:sz w:val="22"/>
        </w:rPr>
        <w:t>identify</w:t>
      </w:r>
      <w:r>
        <w:rPr>
          <w:spacing w:val="-7"/>
          <w:sz w:val="22"/>
        </w:rPr>
        <w:t> </w:t>
      </w:r>
      <w:r>
        <w:rPr>
          <w:sz w:val="22"/>
        </w:rPr>
        <w:t>and bridge the gaps between the present and the required knowledge of a doctoral student. National Pre-Ph.D </w:t>
      </w:r>
      <w:r>
        <w:rPr>
          <w:spacing w:val="-2"/>
          <w:sz w:val="22"/>
        </w:rPr>
        <w:t>program:</w:t>
      </w:r>
      <w:r>
        <w:rPr>
          <w:spacing w:val="-8"/>
          <w:sz w:val="22"/>
        </w:rPr>
        <w:t> </w:t>
      </w:r>
      <w:r>
        <w:rPr>
          <w:spacing w:val="-2"/>
          <w:sz w:val="22"/>
        </w:rPr>
        <w:t>In</w:t>
      </w:r>
      <w:r>
        <w:rPr>
          <w:spacing w:val="-8"/>
          <w:sz w:val="22"/>
        </w:rPr>
        <w:t> </w:t>
      </w:r>
      <w:r>
        <w:rPr>
          <w:spacing w:val="-2"/>
          <w:sz w:val="22"/>
        </w:rPr>
        <w:t>order</w:t>
      </w:r>
      <w:r>
        <w:rPr>
          <w:spacing w:val="-8"/>
          <w:sz w:val="22"/>
        </w:rPr>
        <w:t> </w:t>
      </w:r>
      <w:r>
        <w:rPr>
          <w:spacing w:val="-2"/>
          <w:sz w:val="22"/>
        </w:rPr>
        <w:t>to</w:t>
      </w:r>
      <w:r>
        <w:rPr>
          <w:spacing w:val="-8"/>
          <w:sz w:val="22"/>
        </w:rPr>
        <w:t> </w:t>
      </w:r>
      <w:r>
        <w:rPr>
          <w:spacing w:val="-2"/>
          <w:sz w:val="22"/>
        </w:rPr>
        <w:t>utilise</w:t>
      </w:r>
      <w:r>
        <w:rPr>
          <w:spacing w:val="-8"/>
          <w:sz w:val="22"/>
        </w:rPr>
        <w:t> </w:t>
      </w:r>
      <w:r>
        <w:rPr>
          <w:spacing w:val="-2"/>
          <w:sz w:val="22"/>
        </w:rPr>
        <w:t>the</w:t>
      </w:r>
      <w:r>
        <w:rPr>
          <w:spacing w:val="-8"/>
          <w:sz w:val="22"/>
        </w:rPr>
        <w:t> </w:t>
      </w:r>
      <w:r>
        <w:rPr>
          <w:spacing w:val="-2"/>
          <w:sz w:val="22"/>
        </w:rPr>
        <w:t>limited</w:t>
      </w:r>
      <w:r>
        <w:rPr>
          <w:spacing w:val="-8"/>
          <w:sz w:val="22"/>
        </w:rPr>
        <w:t> </w:t>
      </w:r>
      <w:r>
        <w:rPr>
          <w:spacing w:val="-2"/>
          <w:sz w:val="22"/>
        </w:rPr>
        <w:t>pool</w:t>
      </w:r>
      <w:r>
        <w:rPr>
          <w:spacing w:val="-8"/>
          <w:sz w:val="22"/>
        </w:rPr>
        <w:t> </w:t>
      </w:r>
      <w:r>
        <w:rPr>
          <w:spacing w:val="-2"/>
          <w:sz w:val="22"/>
        </w:rPr>
        <w:t>of</w:t>
      </w:r>
      <w:r>
        <w:rPr>
          <w:spacing w:val="-8"/>
          <w:sz w:val="22"/>
        </w:rPr>
        <w:t> </w:t>
      </w:r>
      <w:r>
        <w:rPr>
          <w:spacing w:val="-2"/>
          <w:sz w:val="22"/>
        </w:rPr>
        <w:t>talented </w:t>
      </w:r>
      <w:r>
        <w:rPr>
          <w:spacing w:val="-8"/>
          <w:sz w:val="22"/>
        </w:rPr>
        <w:t>faculty,</w:t>
      </w:r>
      <w:r>
        <w:rPr>
          <w:spacing w:val="-2"/>
          <w:sz w:val="22"/>
        </w:rPr>
        <w:t> </w:t>
      </w:r>
      <w:r>
        <w:rPr>
          <w:spacing w:val="-8"/>
          <w:sz w:val="22"/>
        </w:rPr>
        <w:t>a</w:t>
      </w:r>
      <w:r>
        <w:rPr>
          <w:spacing w:val="-2"/>
          <w:sz w:val="22"/>
        </w:rPr>
        <w:t> </w:t>
      </w:r>
      <w:r>
        <w:rPr>
          <w:spacing w:val="-8"/>
          <w:sz w:val="22"/>
        </w:rPr>
        <w:t>national</w:t>
      </w:r>
      <w:r>
        <w:rPr>
          <w:spacing w:val="-2"/>
          <w:sz w:val="22"/>
        </w:rPr>
        <w:t> </w:t>
      </w:r>
      <w:r>
        <w:rPr>
          <w:spacing w:val="-8"/>
          <w:sz w:val="22"/>
        </w:rPr>
        <w:t>Pre-Ph.D</w:t>
      </w:r>
      <w:r>
        <w:rPr>
          <w:spacing w:val="-2"/>
          <w:sz w:val="22"/>
        </w:rPr>
        <w:t> </w:t>
      </w:r>
      <w:r>
        <w:rPr>
          <w:spacing w:val="-8"/>
          <w:sz w:val="22"/>
        </w:rPr>
        <w:t>program</w:t>
      </w:r>
      <w:r>
        <w:rPr>
          <w:spacing w:val="-2"/>
          <w:sz w:val="22"/>
        </w:rPr>
        <w:t> </w:t>
      </w:r>
      <w:r>
        <w:rPr>
          <w:spacing w:val="-8"/>
          <w:sz w:val="22"/>
        </w:rPr>
        <w:t>of</w:t>
      </w:r>
      <w:r>
        <w:rPr>
          <w:spacing w:val="-2"/>
          <w:sz w:val="22"/>
        </w:rPr>
        <w:t> </w:t>
      </w:r>
      <w:r>
        <w:rPr>
          <w:spacing w:val="-8"/>
          <w:sz w:val="22"/>
        </w:rPr>
        <w:t>suitable</w:t>
      </w:r>
      <w:r>
        <w:rPr>
          <w:spacing w:val="-2"/>
          <w:sz w:val="22"/>
        </w:rPr>
        <w:t> </w:t>
      </w:r>
      <w:r>
        <w:rPr>
          <w:spacing w:val="-8"/>
          <w:sz w:val="22"/>
        </w:rPr>
        <w:t>duration, </w:t>
      </w:r>
      <w:r>
        <w:rPr>
          <w:spacing w:val="-2"/>
          <w:sz w:val="22"/>
        </w:rPr>
        <w:t>run</w:t>
      </w:r>
      <w:r>
        <w:rPr>
          <w:spacing w:val="-12"/>
          <w:sz w:val="22"/>
        </w:rPr>
        <w:t> </w:t>
      </w:r>
      <w:r>
        <w:rPr>
          <w:spacing w:val="-2"/>
          <w:sz w:val="22"/>
        </w:rPr>
        <w:t>by</w:t>
      </w:r>
      <w:r>
        <w:rPr>
          <w:spacing w:val="-12"/>
          <w:sz w:val="22"/>
        </w:rPr>
        <w:t> </w:t>
      </w:r>
      <w:r>
        <w:rPr>
          <w:spacing w:val="-2"/>
          <w:sz w:val="22"/>
        </w:rPr>
        <w:t>major</w:t>
      </w:r>
      <w:r>
        <w:rPr>
          <w:spacing w:val="-12"/>
          <w:sz w:val="22"/>
        </w:rPr>
        <w:t> </w:t>
      </w:r>
      <w:r>
        <w:rPr>
          <w:spacing w:val="-2"/>
          <w:sz w:val="22"/>
        </w:rPr>
        <w:t>national</w:t>
      </w:r>
      <w:r>
        <w:rPr>
          <w:spacing w:val="-11"/>
          <w:sz w:val="22"/>
        </w:rPr>
        <w:t> </w:t>
      </w:r>
      <w:r>
        <w:rPr>
          <w:spacing w:val="-2"/>
          <w:sz w:val="22"/>
        </w:rPr>
        <w:t>institutions</w:t>
      </w:r>
      <w:r>
        <w:rPr>
          <w:spacing w:val="-12"/>
          <w:sz w:val="22"/>
        </w:rPr>
        <w:t> </w:t>
      </w:r>
      <w:r>
        <w:rPr>
          <w:spacing w:val="-2"/>
          <w:sz w:val="22"/>
        </w:rPr>
        <w:t>can</w:t>
      </w:r>
      <w:r>
        <w:rPr>
          <w:spacing w:val="-12"/>
          <w:sz w:val="22"/>
        </w:rPr>
        <w:t> </w:t>
      </w:r>
      <w:r>
        <w:rPr>
          <w:spacing w:val="-2"/>
          <w:sz w:val="22"/>
        </w:rPr>
        <w:t>be</w:t>
      </w:r>
      <w:r>
        <w:rPr>
          <w:spacing w:val="-12"/>
          <w:sz w:val="22"/>
        </w:rPr>
        <w:t> </w:t>
      </w:r>
      <w:r>
        <w:rPr>
          <w:spacing w:val="-2"/>
          <w:sz w:val="22"/>
        </w:rPr>
        <w:t>launched.</w:t>
      </w:r>
      <w:r>
        <w:rPr>
          <w:spacing w:val="-11"/>
          <w:sz w:val="22"/>
        </w:rPr>
        <w:t> </w:t>
      </w:r>
      <w:r>
        <w:rPr>
          <w:spacing w:val="-2"/>
          <w:sz w:val="22"/>
        </w:rPr>
        <w:t>The </w:t>
      </w:r>
      <w:r>
        <w:rPr>
          <w:sz w:val="22"/>
        </w:rPr>
        <w:t>program</w:t>
      </w:r>
      <w:r>
        <w:rPr>
          <w:spacing w:val="-3"/>
          <w:sz w:val="22"/>
        </w:rPr>
        <w:t> </w:t>
      </w:r>
      <w:r>
        <w:rPr>
          <w:sz w:val="22"/>
        </w:rPr>
        <w:t>would</w:t>
      </w:r>
      <w:r>
        <w:rPr>
          <w:spacing w:val="-3"/>
          <w:sz w:val="22"/>
        </w:rPr>
        <w:t> </w:t>
      </w:r>
      <w:r>
        <w:rPr>
          <w:sz w:val="22"/>
        </w:rPr>
        <w:t>help</w:t>
      </w:r>
      <w:r>
        <w:rPr>
          <w:spacing w:val="-3"/>
          <w:sz w:val="22"/>
        </w:rPr>
        <w:t> </w:t>
      </w:r>
      <w:r>
        <w:rPr>
          <w:sz w:val="22"/>
        </w:rPr>
        <w:t>in</w:t>
      </w:r>
      <w:r>
        <w:rPr>
          <w:spacing w:val="-3"/>
          <w:sz w:val="22"/>
        </w:rPr>
        <w:t> </w:t>
      </w:r>
      <w:r>
        <w:rPr>
          <w:sz w:val="22"/>
        </w:rPr>
        <w:t>broadening</w:t>
      </w:r>
      <w:r>
        <w:rPr>
          <w:spacing w:val="-3"/>
          <w:sz w:val="22"/>
        </w:rPr>
        <w:t> </w:t>
      </w:r>
      <w:r>
        <w:rPr>
          <w:sz w:val="22"/>
        </w:rPr>
        <w:t>the</w:t>
      </w:r>
      <w:r>
        <w:rPr>
          <w:spacing w:val="-3"/>
          <w:sz w:val="22"/>
        </w:rPr>
        <w:t> </w:t>
      </w:r>
      <w:r>
        <w:rPr>
          <w:sz w:val="22"/>
        </w:rPr>
        <w:t>perspective</w:t>
      </w:r>
      <w:r>
        <w:rPr>
          <w:spacing w:val="-3"/>
          <w:sz w:val="22"/>
        </w:rPr>
        <w:t> </w:t>
      </w:r>
      <w:r>
        <w:rPr>
          <w:sz w:val="22"/>
        </w:rPr>
        <w:t>of a</w:t>
      </w:r>
      <w:r>
        <w:rPr>
          <w:spacing w:val="-14"/>
          <w:sz w:val="22"/>
        </w:rPr>
        <w:t> </w:t>
      </w:r>
      <w:r>
        <w:rPr>
          <w:sz w:val="22"/>
        </w:rPr>
        <w:t>future</w:t>
      </w:r>
      <w:r>
        <w:rPr>
          <w:spacing w:val="-14"/>
          <w:sz w:val="22"/>
        </w:rPr>
        <w:t> </w:t>
      </w:r>
      <w:r>
        <w:rPr>
          <w:sz w:val="22"/>
        </w:rPr>
        <w:t>doctoral</w:t>
      </w:r>
      <w:r>
        <w:rPr>
          <w:spacing w:val="-14"/>
          <w:sz w:val="22"/>
        </w:rPr>
        <w:t> </w:t>
      </w:r>
      <w:r>
        <w:rPr>
          <w:sz w:val="22"/>
        </w:rPr>
        <w:t>student</w:t>
      </w:r>
      <w:r>
        <w:rPr>
          <w:spacing w:val="-13"/>
          <w:sz w:val="22"/>
        </w:rPr>
        <w:t> </w:t>
      </w:r>
      <w:r>
        <w:rPr>
          <w:sz w:val="22"/>
        </w:rPr>
        <w:t>and</w:t>
      </w:r>
      <w:r>
        <w:rPr>
          <w:spacing w:val="-14"/>
          <w:sz w:val="22"/>
        </w:rPr>
        <w:t> </w:t>
      </w:r>
      <w:r>
        <w:rPr>
          <w:sz w:val="22"/>
        </w:rPr>
        <w:t>also</w:t>
      </w:r>
      <w:r>
        <w:rPr>
          <w:spacing w:val="-14"/>
          <w:sz w:val="22"/>
        </w:rPr>
        <w:t> </w:t>
      </w:r>
      <w:r>
        <w:rPr>
          <w:sz w:val="22"/>
        </w:rPr>
        <w:t>increase</w:t>
      </w:r>
      <w:r>
        <w:rPr>
          <w:spacing w:val="-14"/>
          <w:sz w:val="22"/>
        </w:rPr>
        <w:t> </w:t>
      </w:r>
      <w:r>
        <w:rPr>
          <w:sz w:val="22"/>
        </w:rPr>
        <w:t>networking within the research community. The necessary </w:t>
      </w:r>
      <w:r>
        <w:rPr>
          <w:spacing w:val="-2"/>
          <w:sz w:val="22"/>
        </w:rPr>
        <w:t>infrastructure</w:t>
      </w:r>
      <w:r>
        <w:rPr>
          <w:spacing w:val="-12"/>
          <w:sz w:val="22"/>
        </w:rPr>
        <w:t> </w:t>
      </w:r>
      <w:r>
        <w:rPr>
          <w:spacing w:val="-2"/>
          <w:sz w:val="22"/>
        </w:rPr>
        <w:t>for</w:t>
      </w:r>
      <w:r>
        <w:rPr>
          <w:spacing w:val="-12"/>
          <w:sz w:val="22"/>
        </w:rPr>
        <w:t> </w:t>
      </w:r>
      <w:r>
        <w:rPr>
          <w:spacing w:val="-2"/>
          <w:sz w:val="22"/>
        </w:rPr>
        <w:t>such</w:t>
      </w:r>
      <w:r>
        <w:rPr>
          <w:spacing w:val="-11"/>
          <w:sz w:val="22"/>
        </w:rPr>
        <w:t> </w:t>
      </w:r>
      <w:r>
        <w:rPr>
          <w:spacing w:val="-2"/>
          <w:sz w:val="22"/>
        </w:rPr>
        <w:t>an</w:t>
      </w:r>
      <w:r>
        <w:rPr>
          <w:spacing w:val="-12"/>
          <w:sz w:val="22"/>
        </w:rPr>
        <w:t> </w:t>
      </w:r>
      <w:r>
        <w:rPr>
          <w:spacing w:val="-2"/>
          <w:sz w:val="22"/>
        </w:rPr>
        <w:t>initiative</w:t>
      </w:r>
      <w:r>
        <w:rPr>
          <w:spacing w:val="-12"/>
          <w:sz w:val="22"/>
        </w:rPr>
        <w:t> </w:t>
      </w:r>
      <w:r>
        <w:rPr>
          <w:spacing w:val="-2"/>
          <w:sz w:val="22"/>
        </w:rPr>
        <w:t>needs</w:t>
      </w:r>
      <w:r>
        <w:rPr>
          <w:spacing w:val="-11"/>
          <w:sz w:val="22"/>
        </w:rPr>
        <w:t> </w:t>
      </w:r>
      <w:r>
        <w:rPr>
          <w:spacing w:val="-2"/>
          <w:sz w:val="22"/>
        </w:rPr>
        <w:t>to</w:t>
      </w:r>
      <w:r>
        <w:rPr>
          <w:spacing w:val="-12"/>
          <w:sz w:val="22"/>
        </w:rPr>
        <w:t> </w:t>
      </w:r>
      <w:r>
        <w:rPr>
          <w:spacing w:val="-2"/>
          <w:sz w:val="22"/>
        </w:rPr>
        <w:t>be</w:t>
      </w:r>
      <w:r>
        <w:rPr>
          <w:spacing w:val="-12"/>
          <w:sz w:val="22"/>
        </w:rPr>
        <w:t> </w:t>
      </w:r>
      <w:r>
        <w:rPr>
          <w:spacing w:val="-2"/>
          <w:sz w:val="22"/>
        </w:rPr>
        <w:t>created.</w:t>
      </w:r>
    </w:p>
    <w:p>
      <w:pPr>
        <w:pStyle w:val="ListParagraph"/>
        <w:numPr>
          <w:ilvl w:val="2"/>
          <w:numId w:val="50"/>
        </w:numPr>
        <w:tabs>
          <w:tab w:pos="1439" w:val="left" w:leader="none"/>
        </w:tabs>
        <w:spacing w:line="266" w:lineRule="auto" w:before="0" w:after="0"/>
        <w:ind w:left="1439" w:right="0" w:hanging="360"/>
        <w:jc w:val="both"/>
        <w:rPr>
          <w:sz w:val="22"/>
        </w:rPr>
      </w:pPr>
      <w:r>
        <w:rPr>
          <w:spacing w:val="-2"/>
          <w:sz w:val="22"/>
        </w:rPr>
        <w:t>It</w:t>
      </w:r>
      <w:r>
        <w:rPr>
          <w:spacing w:val="-11"/>
          <w:sz w:val="22"/>
        </w:rPr>
        <w:t> </w:t>
      </w:r>
      <w:r>
        <w:rPr>
          <w:spacing w:val="-2"/>
          <w:sz w:val="22"/>
        </w:rPr>
        <w:t>should</w:t>
      </w:r>
      <w:r>
        <w:rPr>
          <w:spacing w:val="-11"/>
          <w:sz w:val="22"/>
        </w:rPr>
        <w:t> </w:t>
      </w:r>
      <w:r>
        <w:rPr>
          <w:spacing w:val="-2"/>
          <w:sz w:val="22"/>
        </w:rPr>
        <w:t>involve</w:t>
      </w:r>
      <w:r>
        <w:rPr>
          <w:spacing w:val="-11"/>
          <w:sz w:val="22"/>
        </w:rPr>
        <w:t> </w:t>
      </w:r>
      <w:r>
        <w:rPr>
          <w:spacing w:val="-2"/>
          <w:sz w:val="22"/>
        </w:rPr>
        <w:t>qualified</w:t>
      </w:r>
      <w:r>
        <w:rPr>
          <w:spacing w:val="-11"/>
          <w:sz w:val="22"/>
        </w:rPr>
        <w:t> </w:t>
      </w:r>
      <w:r>
        <w:rPr>
          <w:spacing w:val="-2"/>
          <w:sz w:val="22"/>
        </w:rPr>
        <w:t>researchers</w:t>
      </w:r>
      <w:r>
        <w:rPr>
          <w:spacing w:val="-11"/>
          <w:sz w:val="22"/>
        </w:rPr>
        <w:t> </w:t>
      </w:r>
      <w:r>
        <w:rPr>
          <w:spacing w:val="-2"/>
          <w:sz w:val="22"/>
        </w:rPr>
        <w:t>who</w:t>
      </w:r>
      <w:r>
        <w:rPr>
          <w:spacing w:val="-11"/>
          <w:sz w:val="22"/>
        </w:rPr>
        <w:t> </w:t>
      </w:r>
      <w:r>
        <w:rPr>
          <w:spacing w:val="-2"/>
          <w:sz w:val="22"/>
        </w:rPr>
        <w:t>should be</w:t>
      </w:r>
      <w:r>
        <w:rPr>
          <w:spacing w:val="-5"/>
          <w:sz w:val="22"/>
        </w:rPr>
        <w:t> </w:t>
      </w:r>
      <w:r>
        <w:rPr>
          <w:spacing w:val="-2"/>
          <w:sz w:val="22"/>
        </w:rPr>
        <w:t>sufficiently</w:t>
      </w:r>
      <w:r>
        <w:rPr>
          <w:spacing w:val="-5"/>
          <w:sz w:val="22"/>
        </w:rPr>
        <w:t> </w:t>
      </w:r>
      <w:r>
        <w:rPr>
          <w:spacing w:val="-2"/>
          <w:sz w:val="22"/>
        </w:rPr>
        <w:t>incentivised</w:t>
      </w:r>
      <w:r>
        <w:rPr>
          <w:spacing w:val="-5"/>
          <w:sz w:val="22"/>
        </w:rPr>
        <w:t> </w:t>
      </w:r>
      <w:r>
        <w:rPr>
          <w:spacing w:val="-2"/>
          <w:sz w:val="22"/>
        </w:rPr>
        <w:t>to</w:t>
      </w:r>
      <w:r>
        <w:rPr>
          <w:spacing w:val="-5"/>
          <w:sz w:val="22"/>
        </w:rPr>
        <w:t> </w:t>
      </w:r>
      <w:r>
        <w:rPr>
          <w:spacing w:val="-2"/>
          <w:sz w:val="22"/>
        </w:rPr>
        <w:t>teach</w:t>
      </w:r>
      <w:r>
        <w:rPr>
          <w:spacing w:val="-5"/>
          <w:sz w:val="22"/>
        </w:rPr>
        <w:t> </w:t>
      </w:r>
      <w:r>
        <w:rPr>
          <w:spacing w:val="-2"/>
          <w:sz w:val="22"/>
        </w:rPr>
        <w:t>in</w:t>
      </w:r>
      <w:r>
        <w:rPr>
          <w:spacing w:val="-5"/>
          <w:sz w:val="22"/>
        </w:rPr>
        <w:t> </w:t>
      </w:r>
      <w:r>
        <w:rPr>
          <w:spacing w:val="-2"/>
          <w:sz w:val="22"/>
        </w:rPr>
        <w:t>the</w:t>
      </w:r>
      <w:r>
        <w:rPr>
          <w:spacing w:val="-5"/>
          <w:sz w:val="22"/>
        </w:rPr>
        <w:t> </w:t>
      </w:r>
      <w:r>
        <w:rPr>
          <w:spacing w:val="-2"/>
          <w:sz w:val="22"/>
        </w:rPr>
        <w:t>training</w:t>
      </w:r>
    </w:p>
    <w:p>
      <w:pPr>
        <w:pStyle w:val="BodyText"/>
        <w:spacing w:line="266" w:lineRule="auto" w:before="57"/>
        <w:ind w:left="679" w:right="1077"/>
        <w:jc w:val="both"/>
      </w:pPr>
      <w:r>
        <w:rPr/>
        <w:br w:type="column"/>
      </w:r>
      <w:r>
        <w:rPr>
          <w:spacing w:val="-4"/>
        </w:rPr>
        <w:t>programs.</w:t>
      </w:r>
      <w:r>
        <w:rPr>
          <w:spacing w:val="-7"/>
        </w:rPr>
        <w:t> </w:t>
      </w:r>
      <w:r>
        <w:rPr>
          <w:spacing w:val="-4"/>
        </w:rPr>
        <w:t>Other</w:t>
      </w:r>
      <w:r>
        <w:rPr>
          <w:spacing w:val="-7"/>
        </w:rPr>
        <w:t> </w:t>
      </w:r>
      <w:r>
        <w:rPr>
          <w:spacing w:val="-4"/>
        </w:rPr>
        <w:t>distinguished</w:t>
      </w:r>
      <w:r>
        <w:rPr>
          <w:spacing w:val="-7"/>
        </w:rPr>
        <w:t> </w:t>
      </w:r>
      <w:r>
        <w:rPr>
          <w:spacing w:val="-4"/>
        </w:rPr>
        <w:t>speakers</w:t>
      </w:r>
      <w:r>
        <w:rPr>
          <w:spacing w:val="-7"/>
        </w:rPr>
        <w:t> </w:t>
      </w:r>
      <w:r>
        <w:rPr>
          <w:spacing w:val="-4"/>
        </w:rPr>
        <w:t>can</w:t>
      </w:r>
      <w:r>
        <w:rPr>
          <w:spacing w:val="-7"/>
        </w:rPr>
        <w:t> </w:t>
      </w:r>
      <w:r>
        <w:rPr>
          <w:spacing w:val="-4"/>
        </w:rPr>
        <w:t>also</w:t>
      </w:r>
      <w:r>
        <w:rPr>
          <w:spacing w:val="-7"/>
        </w:rPr>
        <w:t> </w:t>
      </w:r>
      <w:r>
        <w:rPr>
          <w:spacing w:val="-4"/>
        </w:rPr>
        <w:t>be </w:t>
      </w:r>
      <w:r>
        <w:rPr/>
        <w:t>invited for delivering lectures.</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Qualified applicants with a Pre-Ph.D degree </w:t>
      </w:r>
      <w:r>
        <w:rPr>
          <w:sz w:val="22"/>
        </w:rPr>
        <w:t>can return to their respective home institutions once their training is over.</w:t>
      </w:r>
    </w:p>
    <w:p>
      <w:pPr>
        <w:pStyle w:val="ListParagraph"/>
        <w:numPr>
          <w:ilvl w:val="0"/>
          <w:numId w:val="51"/>
        </w:numPr>
        <w:tabs>
          <w:tab w:pos="679" w:val="left" w:leader="none"/>
        </w:tabs>
        <w:spacing w:line="266" w:lineRule="auto" w:before="0" w:after="0"/>
        <w:ind w:left="679" w:right="1077" w:hanging="360"/>
        <w:jc w:val="both"/>
        <w:rPr>
          <w:sz w:val="22"/>
        </w:rPr>
      </w:pPr>
      <w:r>
        <w:rPr>
          <w:spacing w:val="-4"/>
          <w:sz w:val="22"/>
        </w:rPr>
        <w:t>The</w:t>
      </w:r>
      <w:r>
        <w:rPr>
          <w:spacing w:val="-6"/>
          <w:sz w:val="22"/>
        </w:rPr>
        <w:t> </w:t>
      </w:r>
      <w:r>
        <w:rPr>
          <w:spacing w:val="-4"/>
          <w:sz w:val="22"/>
        </w:rPr>
        <w:t>program</w:t>
      </w:r>
      <w:r>
        <w:rPr>
          <w:spacing w:val="-6"/>
          <w:sz w:val="22"/>
        </w:rPr>
        <w:t> </w:t>
      </w:r>
      <w:r>
        <w:rPr>
          <w:spacing w:val="-4"/>
          <w:sz w:val="22"/>
        </w:rPr>
        <w:t>should</w:t>
      </w:r>
      <w:r>
        <w:rPr>
          <w:spacing w:val="-6"/>
          <w:sz w:val="22"/>
        </w:rPr>
        <w:t> </w:t>
      </w:r>
      <w:r>
        <w:rPr>
          <w:spacing w:val="-4"/>
          <w:sz w:val="22"/>
        </w:rPr>
        <w:t>be</w:t>
      </w:r>
      <w:r>
        <w:rPr>
          <w:spacing w:val="-6"/>
          <w:sz w:val="22"/>
        </w:rPr>
        <w:t> </w:t>
      </w:r>
      <w:r>
        <w:rPr>
          <w:spacing w:val="-4"/>
          <w:sz w:val="22"/>
        </w:rPr>
        <w:t>tailored</w:t>
      </w:r>
      <w:r>
        <w:rPr>
          <w:spacing w:val="-6"/>
          <w:sz w:val="22"/>
        </w:rPr>
        <w:t> </w:t>
      </w:r>
      <w:r>
        <w:rPr>
          <w:spacing w:val="-4"/>
          <w:sz w:val="22"/>
        </w:rPr>
        <w:t>to</w:t>
      </w:r>
      <w:r>
        <w:rPr>
          <w:spacing w:val="-6"/>
          <w:sz w:val="22"/>
        </w:rPr>
        <w:t> </w:t>
      </w:r>
      <w:r>
        <w:rPr>
          <w:spacing w:val="-4"/>
          <w:sz w:val="22"/>
        </w:rPr>
        <w:t>cater</w:t>
      </w:r>
      <w:r>
        <w:rPr>
          <w:spacing w:val="-6"/>
          <w:sz w:val="22"/>
        </w:rPr>
        <w:t> </w:t>
      </w:r>
      <w:r>
        <w:rPr>
          <w:spacing w:val="-4"/>
          <w:sz w:val="22"/>
        </w:rPr>
        <w:t>to</w:t>
      </w:r>
      <w:r>
        <w:rPr>
          <w:spacing w:val="-6"/>
          <w:sz w:val="22"/>
        </w:rPr>
        <w:t> </w:t>
      </w:r>
      <w:r>
        <w:rPr>
          <w:spacing w:val="-4"/>
          <w:sz w:val="22"/>
        </w:rPr>
        <w:t>different </w:t>
      </w:r>
      <w:r>
        <w:rPr>
          <w:sz w:val="22"/>
        </w:rPr>
        <w:t>disciplines and should include a study of latest trends in particular streams. It should also train </w:t>
      </w:r>
      <w:r>
        <w:rPr>
          <w:spacing w:val="-4"/>
          <w:sz w:val="22"/>
        </w:rPr>
        <w:t>students in analytical skills, research </w:t>
      </w:r>
      <w:r>
        <w:rPr>
          <w:spacing w:val="-4"/>
          <w:sz w:val="22"/>
        </w:rPr>
        <w:t>methodology, </w:t>
      </w:r>
      <w:r>
        <w:rPr>
          <w:sz w:val="22"/>
        </w:rPr>
        <w:t>instrument use, dissertation writing etc.</w:t>
      </w:r>
    </w:p>
    <w:p>
      <w:pPr>
        <w:pStyle w:val="BodyText"/>
        <w:spacing w:before="19"/>
      </w:pPr>
    </w:p>
    <w:p>
      <w:pPr>
        <w:pStyle w:val="BodyText"/>
        <w:spacing w:line="266" w:lineRule="auto"/>
        <w:ind w:left="319" w:right="1077"/>
        <w:jc w:val="both"/>
      </w:pPr>
      <w:r>
        <w:rPr/>
        <w:t>For students registering for a Ph.D directly after </w:t>
      </w:r>
      <w:r>
        <w:rPr/>
        <w:t>a </w:t>
      </w:r>
      <w:r>
        <w:rPr>
          <w:spacing w:val="-8"/>
        </w:rPr>
        <w:t>bachelor’s</w:t>
      </w:r>
      <w:r>
        <w:rPr/>
        <w:t> </w:t>
      </w:r>
      <w:r>
        <w:rPr>
          <w:spacing w:val="-8"/>
        </w:rPr>
        <w:t>degree,</w:t>
      </w:r>
      <w:r>
        <w:rPr/>
        <w:t> </w:t>
      </w:r>
      <w:r>
        <w:rPr>
          <w:spacing w:val="-8"/>
        </w:rPr>
        <w:t>the</w:t>
      </w:r>
      <w:r>
        <w:rPr/>
        <w:t> </w:t>
      </w:r>
      <w:r>
        <w:rPr>
          <w:spacing w:val="-8"/>
        </w:rPr>
        <w:t>importance</w:t>
      </w:r>
      <w:r>
        <w:rPr/>
        <w:t> </w:t>
      </w:r>
      <w:r>
        <w:rPr>
          <w:spacing w:val="-8"/>
        </w:rPr>
        <w:t>of</w:t>
      </w:r>
      <w:r>
        <w:rPr/>
        <w:t> </w:t>
      </w:r>
      <w:r>
        <w:rPr>
          <w:spacing w:val="-8"/>
        </w:rPr>
        <w:t>a</w:t>
      </w:r>
      <w:r>
        <w:rPr/>
        <w:t> </w:t>
      </w:r>
      <w:r>
        <w:rPr>
          <w:spacing w:val="-8"/>
        </w:rPr>
        <w:t>Pre-Ph.D</w:t>
      </w:r>
      <w:r>
        <w:rPr/>
        <w:t> </w:t>
      </w:r>
      <w:r>
        <w:rPr>
          <w:spacing w:val="-8"/>
        </w:rPr>
        <w:t>program </w:t>
      </w:r>
      <w:r>
        <w:rPr/>
        <w:t>increases. It would not only impart students with necessary</w:t>
      </w:r>
      <w:r>
        <w:rPr>
          <w:spacing w:val="-6"/>
        </w:rPr>
        <w:t> </w:t>
      </w:r>
      <w:r>
        <w:rPr/>
        <w:t>background</w:t>
      </w:r>
      <w:r>
        <w:rPr>
          <w:spacing w:val="-6"/>
        </w:rPr>
        <w:t> </w:t>
      </w:r>
      <w:r>
        <w:rPr/>
        <w:t>training</w:t>
      </w:r>
      <w:r>
        <w:rPr>
          <w:spacing w:val="-6"/>
        </w:rPr>
        <w:t> </w:t>
      </w:r>
      <w:r>
        <w:rPr/>
        <w:t>but</w:t>
      </w:r>
      <w:r>
        <w:rPr>
          <w:spacing w:val="-6"/>
        </w:rPr>
        <w:t> </w:t>
      </w:r>
      <w:r>
        <w:rPr/>
        <w:t>also</w:t>
      </w:r>
      <w:r>
        <w:rPr>
          <w:spacing w:val="-6"/>
        </w:rPr>
        <w:t> </w:t>
      </w:r>
      <w:r>
        <w:rPr/>
        <w:t>examine</w:t>
      </w:r>
      <w:r>
        <w:rPr>
          <w:spacing w:val="-6"/>
        </w:rPr>
        <w:t> </w:t>
      </w:r>
      <w:r>
        <w:rPr/>
        <w:t>their research</w:t>
      </w:r>
      <w:r>
        <w:rPr>
          <w:spacing w:val="-10"/>
        </w:rPr>
        <w:t> </w:t>
      </w:r>
      <w:r>
        <w:rPr/>
        <w:t>aptitude.</w:t>
      </w:r>
      <w:r>
        <w:rPr>
          <w:spacing w:val="-10"/>
        </w:rPr>
        <w:t> </w:t>
      </w:r>
      <w:r>
        <w:rPr/>
        <w:t>In</w:t>
      </w:r>
      <w:r>
        <w:rPr>
          <w:spacing w:val="-10"/>
        </w:rPr>
        <w:t> </w:t>
      </w:r>
      <w:r>
        <w:rPr/>
        <w:t>an</w:t>
      </w:r>
      <w:r>
        <w:rPr>
          <w:spacing w:val="-10"/>
        </w:rPr>
        <w:t> </w:t>
      </w:r>
      <w:r>
        <w:rPr/>
        <w:t>integrated</w:t>
      </w:r>
      <w:r>
        <w:rPr>
          <w:spacing w:val="-10"/>
        </w:rPr>
        <w:t> </w:t>
      </w:r>
      <w:r>
        <w:rPr/>
        <w:t>doctorate</w:t>
      </w:r>
      <w:r>
        <w:rPr>
          <w:spacing w:val="-10"/>
        </w:rPr>
        <w:t> </w:t>
      </w:r>
      <w:r>
        <w:rPr/>
        <w:t>program, Pre-Ph.D</w:t>
      </w:r>
      <w:r>
        <w:rPr>
          <w:spacing w:val="-5"/>
        </w:rPr>
        <w:t> </w:t>
      </w:r>
      <w:r>
        <w:rPr/>
        <w:t>can</w:t>
      </w:r>
      <w:r>
        <w:rPr>
          <w:spacing w:val="-5"/>
        </w:rPr>
        <w:t> </w:t>
      </w:r>
      <w:r>
        <w:rPr/>
        <w:t>serve</w:t>
      </w:r>
      <w:r>
        <w:rPr>
          <w:spacing w:val="-5"/>
        </w:rPr>
        <w:t> </w:t>
      </w:r>
      <w:r>
        <w:rPr/>
        <w:t>as</w:t>
      </w:r>
      <w:r>
        <w:rPr>
          <w:spacing w:val="-5"/>
        </w:rPr>
        <w:t> </w:t>
      </w:r>
      <w:r>
        <w:rPr/>
        <w:t>one</w:t>
      </w:r>
      <w:r>
        <w:rPr>
          <w:spacing w:val="-5"/>
        </w:rPr>
        <w:t> </w:t>
      </w:r>
      <w:r>
        <w:rPr/>
        <w:t>of</w:t>
      </w:r>
      <w:r>
        <w:rPr>
          <w:spacing w:val="-5"/>
        </w:rPr>
        <w:t> </w:t>
      </w:r>
      <w:r>
        <w:rPr/>
        <w:t>the</w:t>
      </w:r>
      <w:r>
        <w:rPr>
          <w:spacing w:val="-5"/>
        </w:rPr>
        <w:t> </w:t>
      </w:r>
      <w:r>
        <w:rPr/>
        <w:t>exit</w:t>
      </w:r>
      <w:r>
        <w:rPr>
          <w:spacing w:val="-5"/>
        </w:rPr>
        <w:t> </w:t>
      </w:r>
      <w:r>
        <w:rPr/>
        <w:t>points.</w:t>
      </w:r>
      <w:r>
        <w:rPr>
          <w:spacing w:val="-13"/>
        </w:rPr>
        <w:t> </w:t>
      </w:r>
      <w:r>
        <w:rPr/>
        <w:t>The</w:t>
      </w:r>
      <w:r>
        <w:rPr>
          <w:spacing w:val="-5"/>
        </w:rPr>
        <w:t> </w:t>
      </w:r>
      <w:r>
        <w:rPr/>
        <w:t>Pre- Ph.D</w:t>
      </w:r>
      <w:r>
        <w:rPr>
          <w:spacing w:val="-4"/>
        </w:rPr>
        <w:t> </w:t>
      </w:r>
      <w:r>
        <w:rPr/>
        <w:t>degree</w:t>
      </w:r>
      <w:r>
        <w:rPr>
          <w:spacing w:val="-4"/>
        </w:rPr>
        <w:t> </w:t>
      </w:r>
      <w:r>
        <w:rPr/>
        <w:t>could</w:t>
      </w:r>
      <w:r>
        <w:rPr>
          <w:spacing w:val="-4"/>
        </w:rPr>
        <w:t> </w:t>
      </w:r>
      <w:r>
        <w:rPr/>
        <w:t>be</w:t>
      </w:r>
      <w:r>
        <w:rPr>
          <w:spacing w:val="-4"/>
        </w:rPr>
        <w:t> </w:t>
      </w:r>
      <w:r>
        <w:rPr/>
        <w:t>recognised</w:t>
      </w:r>
      <w:r>
        <w:rPr>
          <w:spacing w:val="-4"/>
        </w:rPr>
        <w:t> </w:t>
      </w:r>
      <w:r>
        <w:rPr/>
        <w:t>as</w:t>
      </w:r>
      <w:r>
        <w:rPr>
          <w:spacing w:val="-4"/>
        </w:rPr>
        <w:t> </w:t>
      </w:r>
      <w:r>
        <w:rPr/>
        <w:t>a</w:t>
      </w:r>
      <w:r>
        <w:rPr>
          <w:spacing w:val="-4"/>
        </w:rPr>
        <w:t> </w:t>
      </w:r>
      <w:r>
        <w:rPr/>
        <w:t>qualification</w:t>
      </w:r>
      <w:r>
        <w:rPr>
          <w:spacing w:val="-4"/>
        </w:rPr>
        <w:t> </w:t>
      </w:r>
      <w:r>
        <w:rPr/>
        <w:t>to teach undergraduate courses.</w:t>
      </w:r>
    </w:p>
    <w:p>
      <w:pPr>
        <w:pStyle w:val="BodyText"/>
        <w:spacing w:before="21"/>
      </w:pPr>
    </w:p>
    <w:p>
      <w:pPr>
        <w:pStyle w:val="BodyText"/>
        <w:spacing w:line="266" w:lineRule="auto"/>
        <w:ind w:left="319" w:right="1078"/>
        <w:jc w:val="both"/>
      </w:pPr>
      <w:r>
        <w:rPr>
          <w:spacing w:val="-6"/>
        </w:rPr>
        <w:t>R&amp;D laboratories can prepare teaching material for </w:t>
      </w:r>
      <w:r>
        <w:rPr>
          <w:spacing w:val="-6"/>
        </w:rPr>
        <w:t>Pre- Ph.D</w:t>
      </w:r>
      <w:r>
        <w:rPr>
          <w:spacing w:val="-8"/>
        </w:rPr>
        <w:t> </w:t>
      </w:r>
      <w:r>
        <w:rPr>
          <w:spacing w:val="-6"/>
        </w:rPr>
        <w:t>courses.</w:t>
      </w:r>
      <w:r>
        <w:rPr>
          <w:spacing w:val="-8"/>
        </w:rPr>
        <w:t> </w:t>
      </w:r>
      <w:r>
        <w:rPr>
          <w:spacing w:val="-6"/>
        </w:rPr>
        <w:t>Lecture</w:t>
      </w:r>
      <w:r>
        <w:rPr>
          <w:spacing w:val="-8"/>
        </w:rPr>
        <w:t> </w:t>
      </w:r>
      <w:r>
        <w:rPr>
          <w:spacing w:val="-6"/>
        </w:rPr>
        <w:t>notes</w:t>
      </w:r>
      <w:r>
        <w:rPr>
          <w:spacing w:val="-7"/>
        </w:rPr>
        <w:t> </w:t>
      </w:r>
      <w:r>
        <w:rPr>
          <w:spacing w:val="-6"/>
        </w:rPr>
        <w:t>should</w:t>
      </w:r>
      <w:r>
        <w:rPr>
          <w:spacing w:val="-8"/>
        </w:rPr>
        <w:t> </w:t>
      </w:r>
      <w:r>
        <w:rPr>
          <w:spacing w:val="-6"/>
        </w:rPr>
        <w:t>be</w:t>
      </w:r>
      <w:r>
        <w:rPr>
          <w:spacing w:val="-8"/>
        </w:rPr>
        <w:t> </w:t>
      </w:r>
      <w:r>
        <w:rPr>
          <w:spacing w:val="-6"/>
        </w:rPr>
        <w:t>made</w:t>
      </w:r>
      <w:r>
        <w:rPr>
          <w:spacing w:val="-8"/>
        </w:rPr>
        <w:t> </w:t>
      </w:r>
      <w:r>
        <w:rPr>
          <w:spacing w:val="-6"/>
        </w:rPr>
        <w:t>available</w:t>
      </w:r>
      <w:r>
        <w:rPr>
          <w:spacing w:val="-7"/>
        </w:rPr>
        <w:t> </w:t>
      </w:r>
      <w:r>
        <w:rPr>
          <w:spacing w:val="-6"/>
        </w:rPr>
        <w:t>on </w:t>
      </w:r>
      <w:r>
        <w:rPr>
          <w:spacing w:val="-2"/>
        </w:rPr>
        <w:t>the internet, thereby ensuring wider accessibility.</w:t>
      </w:r>
      <w:r>
        <w:rPr>
          <w:spacing w:val="-9"/>
        </w:rPr>
        <w:t> </w:t>
      </w:r>
      <w:r>
        <w:rPr>
          <w:spacing w:val="-2"/>
        </w:rPr>
        <w:t>This </w:t>
      </w:r>
      <w:r>
        <w:rPr/>
        <w:t>will also contribute towards greater access to quality educational material among students and faculty. At </w:t>
      </w:r>
      <w:r>
        <w:rPr>
          <w:spacing w:val="-4"/>
        </w:rPr>
        <w:t>the</w:t>
      </w:r>
      <w:r>
        <w:rPr>
          <w:spacing w:val="-12"/>
        </w:rPr>
        <w:t> </w:t>
      </w:r>
      <w:r>
        <w:rPr>
          <w:spacing w:val="-4"/>
        </w:rPr>
        <w:t>individual</w:t>
      </w:r>
      <w:r>
        <w:rPr>
          <w:spacing w:val="-10"/>
        </w:rPr>
        <w:t> </w:t>
      </w:r>
      <w:r>
        <w:rPr>
          <w:spacing w:val="-4"/>
        </w:rPr>
        <w:t>level,</w:t>
      </w:r>
      <w:r>
        <w:rPr>
          <w:spacing w:val="-10"/>
        </w:rPr>
        <w:t> </w:t>
      </w:r>
      <w:r>
        <w:rPr>
          <w:spacing w:val="-4"/>
        </w:rPr>
        <w:t>the</w:t>
      </w:r>
      <w:r>
        <w:rPr>
          <w:spacing w:val="-9"/>
        </w:rPr>
        <w:t> </w:t>
      </w:r>
      <w:r>
        <w:rPr>
          <w:spacing w:val="-4"/>
        </w:rPr>
        <w:t>guides</w:t>
      </w:r>
      <w:r>
        <w:rPr>
          <w:spacing w:val="-10"/>
        </w:rPr>
        <w:t> </w:t>
      </w:r>
      <w:r>
        <w:rPr>
          <w:spacing w:val="-4"/>
        </w:rPr>
        <w:t>must</w:t>
      </w:r>
      <w:r>
        <w:rPr>
          <w:spacing w:val="-10"/>
        </w:rPr>
        <w:t> </w:t>
      </w:r>
      <w:r>
        <w:rPr>
          <w:spacing w:val="-4"/>
        </w:rPr>
        <w:t>give</w:t>
      </w:r>
      <w:r>
        <w:rPr>
          <w:spacing w:val="-10"/>
        </w:rPr>
        <w:t> </w:t>
      </w:r>
      <w:r>
        <w:rPr>
          <w:spacing w:val="-4"/>
        </w:rPr>
        <w:t>sufficient</w:t>
      </w:r>
      <w:r>
        <w:rPr>
          <w:spacing w:val="-9"/>
        </w:rPr>
        <w:t> </w:t>
      </w:r>
      <w:r>
        <w:rPr>
          <w:spacing w:val="-4"/>
        </w:rPr>
        <w:t>self- </w:t>
      </w:r>
      <w:r>
        <w:rPr/>
        <w:t>study coursework to students.</w:t>
      </w:r>
    </w:p>
    <w:p>
      <w:pPr>
        <w:pStyle w:val="Heading7"/>
        <w:spacing w:line="225" w:lineRule="auto" w:before="251"/>
        <w:ind w:right="1075"/>
      </w:pPr>
      <w:r>
        <w:rPr>
          <w:color w:val="2E614A"/>
          <w:spacing w:val="-4"/>
        </w:rPr>
        <w:t>Recommendation</w:t>
      </w:r>
      <w:r>
        <w:rPr>
          <w:color w:val="2E614A"/>
          <w:spacing w:val="-6"/>
        </w:rPr>
        <w:t> </w:t>
      </w:r>
      <w:r>
        <w:rPr>
          <w:color w:val="2E614A"/>
          <w:spacing w:val="-4"/>
        </w:rPr>
        <w:t>6:</w:t>
      </w:r>
      <w:r>
        <w:rPr>
          <w:color w:val="2E614A"/>
          <w:spacing w:val="-6"/>
        </w:rPr>
        <w:t> </w:t>
      </w:r>
      <w:r>
        <w:rPr>
          <w:color w:val="2E614A"/>
          <w:spacing w:val="-4"/>
        </w:rPr>
        <w:t>Create</w:t>
      </w:r>
      <w:r>
        <w:rPr>
          <w:color w:val="2E614A"/>
          <w:spacing w:val="-6"/>
        </w:rPr>
        <w:t> </w:t>
      </w:r>
      <w:r>
        <w:rPr>
          <w:color w:val="2E614A"/>
          <w:spacing w:val="-4"/>
        </w:rPr>
        <w:t>effective monitoring</w:t>
      </w:r>
      <w:r>
        <w:rPr>
          <w:color w:val="2E614A"/>
          <w:spacing w:val="-5"/>
        </w:rPr>
        <w:t> </w:t>
      </w:r>
      <w:r>
        <w:rPr>
          <w:color w:val="2E614A"/>
          <w:spacing w:val="-4"/>
        </w:rPr>
        <w:t>and</w:t>
      </w:r>
      <w:r>
        <w:rPr>
          <w:color w:val="2E614A"/>
          <w:spacing w:val="-5"/>
        </w:rPr>
        <w:t> </w:t>
      </w:r>
      <w:r>
        <w:rPr>
          <w:color w:val="2E614A"/>
          <w:spacing w:val="-4"/>
        </w:rPr>
        <w:t>assessment</w:t>
      </w:r>
      <w:r>
        <w:rPr>
          <w:color w:val="2E614A"/>
          <w:spacing w:val="-5"/>
        </w:rPr>
        <w:t> </w:t>
      </w:r>
      <w:r>
        <w:rPr>
          <w:color w:val="2E614A"/>
          <w:spacing w:val="-4"/>
        </w:rPr>
        <w:t>mechanisms during</w:t>
      </w:r>
      <w:r>
        <w:rPr>
          <w:color w:val="2E614A"/>
          <w:spacing w:val="-13"/>
        </w:rPr>
        <w:t> </w:t>
      </w:r>
      <w:r>
        <w:rPr>
          <w:color w:val="2E614A"/>
          <w:spacing w:val="-4"/>
        </w:rPr>
        <w:t>the</w:t>
      </w:r>
      <w:r>
        <w:rPr>
          <w:color w:val="2E614A"/>
          <w:spacing w:val="-12"/>
        </w:rPr>
        <w:t> </w:t>
      </w:r>
      <w:r>
        <w:rPr>
          <w:color w:val="2E614A"/>
          <w:spacing w:val="-4"/>
        </w:rPr>
        <w:t>course</w:t>
      </w:r>
      <w:r>
        <w:rPr>
          <w:color w:val="2E614A"/>
          <w:spacing w:val="-12"/>
        </w:rPr>
        <w:t> </w:t>
      </w:r>
      <w:r>
        <w:rPr>
          <w:color w:val="2E614A"/>
          <w:spacing w:val="-4"/>
        </w:rPr>
        <w:t>of</w:t>
      </w:r>
      <w:r>
        <w:rPr>
          <w:color w:val="2E614A"/>
          <w:spacing w:val="-12"/>
        </w:rPr>
        <w:t> </w:t>
      </w:r>
      <w:r>
        <w:rPr>
          <w:color w:val="2E614A"/>
          <w:spacing w:val="-4"/>
        </w:rPr>
        <w:t>doctoral</w:t>
      </w:r>
      <w:r>
        <w:rPr>
          <w:color w:val="2E614A"/>
          <w:spacing w:val="-13"/>
        </w:rPr>
        <w:t> </w:t>
      </w:r>
      <w:r>
        <w:rPr>
          <w:color w:val="2E614A"/>
          <w:spacing w:val="-4"/>
        </w:rPr>
        <w:t>research</w:t>
      </w:r>
      <w:r>
        <w:rPr>
          <w:color w:val="2E614A"/>
          <w:spacing w:val="-12"/>
        </w:rPr>
        <w:t> </w:t>
      </w:r>
      <w:r>
        <w:rPr>
          <w:color w:val="2E614A"/>
          <w:spacing w:val="-4"/>
        </w:rPr>
        <w:t>and </w:t>
      </w:r>
      <w:r>
        <w:rPr>
          <w:color w:val="2E614A"/>
          <w:w w:val="90"/>
        </w:rPr>
        <w:t>encourage</w:t>
      </w:r>
      <w:r>
        <w:rPr>
          <w:color w:val="2E614A"/>
          <w:spacing w:val="14"/>
        </w:rPr>
        <w:t> </w:t>
      </w:r>
      <w:r>
        <w:rPr>
          <w:color w:val="2E614A"/>
          <w:w w:val="90"/>
        </w:rPr>
        <w:t>broader</w:t>
      </w:r>
      <w:r>
        <w:rPr>
          <w:color w:val="2E614A"/>
          <w:spacing w:val="15"/>
        </w:rPr>
        <w:t> </w:t>
      </w:r>
      <w:r>
        <w:rPr>
          <w:color w:val="2E614A"/>
          <w:w w:val="90"/>
        </w:rPr>
        <w:t>engagement</w:t>
      </w:r>
      <w:r>
        <w:rPr>
          <w:color w:val="2E614A"/>
          <w:spacing w:val="14"/>
        </w:rPr>
        <w:t> </w:t>
      </w:r>
      <w:r>
        <w:rPr>
          <w:color w:val="2E614A"/>
          <w:w w:val="90"/>
        </w:rPr>
        <w:t>with</w:t>
      </w:r>
      <w:r>
        <w:rPr>
          <w:color w:val="2E614A"/>
          <w:spacing w:val="15"/>
        </w:rPr>
        <w:t> </w:t>
      </w:r>
      <w:r>
        <w:rPr>
          <w:color w:val="2E614A"/>
          <w:spacing w:val="-5"/>
          <w:w w:val="90"/>
        </w:rPr>
        <w:t>research</w:t>
      </w:r>
    </w:p>
    <w:p>
      <w:pPr>
        <w:pStyle w:val="BodyText"/>
        <w:rPr>
          <w:b/>
          <w:sz w:val="26"/>
        </w:rPr>
      </w:pPr>
    </w:p>
    <w:p>
      <w:pPr>
        <w:pStyle w:val="BodyText"/>
        <w:spacing w:line="266" w:lineRule="auto"/>
        <w:ind w:left="319" w:right="1077"/>
        <w:jc w:val="both"/>
      </w:pPr>
      <w:r>
        <w:rPr>
          <w:b/>
          <w:w w:val="90"/>
        </w:rPr>
        <w:t>Issues: </w:t>
      </w:r>
      <w:r>
        <w:rPr>
          <w:w w:val="90"/>
        </w:rPr>
        <w:t>Research in India is carried out solely on the basis </w:t>
      </w:r>
      <w:r>
        <w:rPr/>
        <w:t>of</w:t>
      </w:r>
      <w:r>
        <w:rPr>
          <w:spacing w:val="-14"/>
        </w:rPr>
        <w:t> </w:t>
      </w:r>
      <w:r>
        <w:rPr/>
        <w:t>internal</w:t>
      </w:r>
      <w:r>
        <w:rPr>
          <w:spacing w:val="-14"/>
        </w:rPr>
        <w:t> </w:t>
      </w:r>
      <w:r>
        <w:rPr/>
        <w:t>motivation.</w:t>
      </w:r>
      <w:r>
        <w:rPr>
          <w:spacing w:val="-14"/>
        </w:rPr>
        <w:t> </w:t>
      </w:r>
      <w:r>
        <w:rPr/>
        <w:t>Effective</w:t>
      </w:r>
      <w:r>
        <w:rPr>
          <w:spacing w:val="-13"/>
        </w:rPr>
        <w:t> </w:t>
      </w:r>
      <w:r>
        <w:rPr/>
        <w:t>external</w:t>
      </w:r>
      <w:r>
        <w:rPr>
          <w:spacing w:val="-14"/>
        </w:rPr>
        <w:t> </w:t>
      </w:r>
      <w:r>
        <w:rPr/>
        <w:t>mechanisms </w:t>
      </w:r>
      <w:r>
        <w:rPr>
          <w:w w:val="90"/>
        </w:rPr>
        <w:t>which ensure good quality of research largely do not exist. </w:t>
      </w:r>
      <w:r>
        <w:rPr>
          <w:spacing w:val="-4"/>
        </w:rPr>
        <w:t>At</w:t>
      </w:r>
      <w:r>
        <w:rPr>
          <w:spacing w:val="-7"/>
        </w:rPr>
        <w:t> </w:t>
      </w:r>
      <w:r>
        <w:rPr>
          <w:spacing w:val="-4"/>
        </w:rPr>
        <w:t>the</w:t>
      </w:r>
      <w:r>
        <w:rPr>
          <w:spacing w:val="-7"/>
        </w:rPr>
        <w:t> </w:t>
      </w:r>
      <w:r>
        <w:rPr>
          <w:spacing w:val="-4"/>
        </w:rPr>
        <w:t>same</w:t>
      </w:r>
      <w:r>
        <w:rPr>
          <w:spacing w:val="-7"/>
        </w:rPr>
        <w:t> </w:t>
      </w:r>
      <w:r>
        <w:rPr>
          <w:spacing w:val="-4"/>
        </w:rPr>
        <w:t>time,</w:t>
      </w:r>
      <w:r>
        <w:rPr>
          <w:spacing w:val="-7"/>
        </w:rPr>
        <w:t> </w:t>
      </w:r>
      <w:r>
        <w:rPr>
          <w:spacing w:val="-4"/>
        </w:rPr>
        <w:t>there</w:t>
      </w:r>
      <w:r>
        <w:rPr>
          <w:spacing w:val="-7"/>
        </w:rPr>
        <w:t> </w:t>
      </w:r>
      <w:r>
        <w:rPr>
          <w:spacing w:val="-4"/>
        </w:rPr>
        <w:t>are</w:t>
      </w:r>
      <w:r>
        <w:rPr>
          <w:spacing w:val="-7"/>
        </w:rPr>
        <w:t> </w:t>
      </w:r>
      <w:r>
        <w:rPr>
          <w:spacing w:val="-4"/>
        </w:rPr>
        <w:t>no</w:t>
      </w:r>
      <w:r>
        <w:rPr>
          <w:spacing w:val="-7"/>
        </w:rPr>
        <w:t> </w:t>
      </w:r>
      <w:r>
        <w:rPr>
          <w:spacing w:val="-4"/>
        </w:rPr>
        <w:t>sufficient</w:t>
      </w:r>
      <w:r>
        <w:rPr>
          <w:spacing w:val="-7"/>
        </w:rPr>
        <w:t> </w:t>
      </w:r>
      <w:r>
        <w:rPr>
          <w:spacing w:val="-4"/>
        </w:rPr>
        <w:t>mechanisms</w:t>
      </w:r>
      <w:r>
        <w:rPr>
          <w:spacing w:val="-7"/>
        </w:rPr>
        <w:t> </w:t>
      </w:r>
      <w:r>
        <w:rPr>
          <w:spacing w:val="-4"/>
        </w:rPr>
        <w:t>to </w:t>
      </w:r>
      <w:r>
        <w:rPr/>
        <w:t>guarantee</w:t>
      </w:r>
      <w:r>
        <w:rPr>
          <w:spacing w:val="-3"/>
        </w:rPr>
        <w:t> </w:t>
      </w:r>
      <w:r>
        <w:rPr/>
        <w:t>broader</w:t>
      </w:r>
      <w:r>
        <w:rPr>
          <w:spacing w:val="-3"/>
        </w:rPr>
        <w:t> </w:t>
      </w:r>
      <w:r>
        <w:rPr/>
        <w:t>engagement</w:t>
      </w:r>
      <w:r>
        <w:rPr>
          <w:spacing w:val="-3"/>
        </w:rPr>
        <w:t> </w:t>
      </w:r>
      <w:r>
        <w:rPr/>
        <w:t>with</w:t>
      </w:r>
      <w:r>
        <w:rPr>
          <w:spacing w:val="-3"/>
        </w:rPr>
        <w:t> </w:t>
      </w:r>
      <w:r>
        <w:rPr/>
        <w:t>research.</w:t>
      </w:r>
    </w:p>
    <w:p>
      <w:pPr>
        <w:pStyle w:val="BodyText"/>
        <w:spacing w:before="23"/>
      </w:pPr>
    </w:p>
    <w:p>
      <w:pPr>
        <w:pStyle w:val="BodyText"/>
        <w:ind w:left="319"/>
      </w:pPr>
      <w:r>
        <w:rPr>
          <w:spacing w:val="-12"/>
        </w:rPr>
        <w:t>To ensure effective monitoring and assessment mechanisms:</w:t>
      </w:r>
    </w:p>
    <w:p>
      <w:pPr>
        <w:pStyle w:val="ListParagraph"/>
        <w:numPr>
          <w:ilvl w:val="0"/>
          <w:numId w:val="51"/>
        </w:numPr>
        <w:tabs>
          <w:tab w:pos="679" w:val="left" w:leader="none"/>
        </w:tabs>
        <w:spacing w:line="266" w:lineRule="auto" w:before="27" w:after="0"/>
        <w:ind w:left="679" w:right="1077" w:hanging="360"/>
        <w:jc w:val="both"/>
        <w:rPr>
          <w:sz w:val="22"/>
        </w:rPr>
      </w:pPr>
      <w:r>
        <w:rPr>
          <w:sz w:val="22"/>
        </w:rPr>
        <w:t>Students must be continuously monitored </w:t>
      </w:r>
      <w:r>
        <w:rPr>
          <w:sz w:val="22"/>
        </w:rPr>
        <w:t>and mentored to ensure that the research output is of </w:t>
      </w:r>
      <w:r>
        <w:rPr>
          <w:spacing w:val="-4"/>
          <w:sz w:val="22"/>
        </w:rPr>
        <w:t>requisite</w:t>
      </w:r>
      <w:r>
        <w:rPr>
          <w:spacing w:val="-6"/>
          <w:sz w:val="22"/>
        </w:rPr>
        <w:t> </w:t>
      </w:r>
      <w:r>
        <w:rPr>
          <w:spacing w:val="-4"/>
          <w:sz w:val="22"/>
        </w:rPr>
        <w:t>quality.</w:t>
      </w:r>
      <w:r>
        <w:rPr>
          <w:spacing w:val="-6"/>
          <w:sz w:val="22"/>
        </w:rPr>
        <w:t> </w:t>
      </w:r>
      <w:r>
        <w:rPr>
          <w:spacing w:val="-4"/>
          <w:sz w:val="22"/>
        </w:rPr>
        <w:t>Regular</w:t>
      </w:r>
      <w:r>
        <w:rPr>
          <w:spacing w:val="-6"/>
          <w:sz w:val="22"/>
        </w:rPr>
        <w:t> </w:t>
      </w:r>
      <w:r>
        <w:rPr>
          <w:spacing w:val="-4"/>
          <w:sz w:val="22"/>
        </w:rPr>
        <w:t>seminars</w:t>
      </w:r>
      <w:r>
        <w:rPr>
          <w:spacing w:val="-6"/>
          <w:sz w:val="22"/>
        </w:rPr>
        <w:t> </w:t>
      </w:r>
      <w:r>
        <w:rPr>
          <w:spacing w:val="-4"/>
          <w:sz w:val="22"/>
        </w:rPr>
        <w:t>by</w:t>
      </w:r>
      <w:r>
        <w:rPr>
          <w:spacing w:val="-6"/>
          <w:sz w:val="22"/>
        </w:rPr>
        <w:t> </w:t>
      </w:r>
      <w:r>
        <w:rPr>
          <w:spacing w:val="-4"/>
          <w:sz w:val="22"/>
        </w:rPr>
        <w:t>students</w:t>
      </w:r>
      <w:r>
        <w:rPr>
          <w:spacing w:val="-6"/>
          <w:sz w:val="22"/>
        </w:rPr>
        <w:t> </w:t>
      </w:r>
      <w:r>
        <w:rPr>
          <w:spacing w:val="-4"/>
          <w:sz w:val="22"/>
        </w:rPr>
        <w:t>will </w:t>
      </w:r>
      <w:r>
        <w:rPr>
          <w:sz w:val="22"/>
        </w:rPr>
        <w:t>ensure that the students adhere to their research </w:t>
      </w:r>
      <w:r>
        <w:rPr>
          <w:spacing w:val="-2"/>
          <w:sz w:val="22"/>
        </w:rPr>
        <w:t>work</w:t>
      </w:r>
      <w:r>
        <w:rPr>
          <w:spacing w:val="-12"/>
          <w:sz w:val="22"/>
        </w:rPr>
        <w:t> </w:t>
      </w:r>
      <w:r>
        <w:rPr>
          <w:spacing w:val="-2"/>
          <w:sz w:val="22"/>
        </w:rPr>
        <w:t>plan</w:t>
      </w:r>
      <w:r>
        <w:rPr>
          <w:spacing w:val="-12"/>
          <w:sz w:val="22"/>
        </w:rPr>
        <w:t> </w:t>
      </w:r>
      <w:r>
        <w:rPr>
          <w:spacing w:val="-2"/>
          <w:sz w:val="22"/>
        </w:rPr>
        <w:t>and</w:t>
      </w:r>
      <w:r>
        <w:rPr>
          <w:spacing w:val="-12"/>
          <w:sz w:val="22"/>
        </w:rPr>
        <w:t> </w:t>
      </w:r>
      <w:r>
        <w:rPr>
          <w:spacing w:val="-2"/>
          <w:sz w:val="22"/>
        </w:rPr>
        <w:t>show</w:t>
      </w:r>
      <w:r>
        <w:rPr>
          <w:spacing w:val="-11"/>
          <w:sz w:val="22"/>
        </w:rPr>
        <w:t> </w:t>
      </w:r>
      <w:r>
        <w:rPr>
          <w:spacing w:val="-2"/>
          <w:sz w:val="22"/>
        </w:rPr>
        <w:t>progress.</w:t>
      </w:r>
      <w:r>
        <w:rPr>
          <w:spacing w:val="-12"/>
          <w:sz w:val="22"/>
        </w:rPr>
        <w:t> </w:t>
      </w:r>
      <w:r>
        <w:rPr>
          <w:spacing w:val="-2"/>
          <w:sz w:val="22"/>
        </w:rPr>
        <w:t>Regular</w:t>
      </w:r>
      <w:r>
        <w:rPr>
          <w:spacing w:val="-12"/>
          <w:sz w:val="22"/>
        </w:rPr>
        <w:t> </w:t>
      </w:r>
      <w:r>
        <w:rPr>
          <w:spacing w:val="-2"/>
          <w:sz w:val="22"/>
        </w:rPr>
        <w:t>reporting</w:t>
      </w:r>
      <w:r>
        <w:rPr>
          <w:spacing w:val="-12"/>
          <w:sz w:val="22"/>
        </w:rPr>
        <w:t> </w:t>
      </w:r>
      <w:r>
        <w:rPr>
          <w:spacing w:val="-2"/>
          <w:sz w:val="22"/>
        </w:rPr>
        <w:t>in </w:t>
      </w:r>
      <w:r>
        <w:rPr>
          <w:sz w:val="22"/>
        </w:rPr>
        <w:t>lab</w:t>
      </w:r>
      <w:r>
        <w:rPr>
          <w:spacing w:val="-14"/>
          <w:sz w:val="22"/>
        </w:rPr>
        <w:t> </w:t>
      </w:r>
      <w:r>
        <w:rPr>
          <w:sz w:val="22"/>
        </w:rPr>
        <w:t>meetings</w:t>
      </w:r>
      <w:r>
        <w:rPr>
          <w:spacing w:val="-14"/>
          <w:sz w:val="22"/>
        </w:rPr>
        <w:t> </w:t>
      </w:r>
      <w:r>
        <w:rPr>
          <w:sz w:val="22"/>
        </w:rPr>
        <w:t>could</w:t>
      </w:r>
      <w:r>
        <w:rPr>
          <w:spacing w:val="-14"/>
          <w:sz w:val="22"/>
        </w:rPr>
        <w:t> </w:t>
      </w:r>
      <w:r>
        <w:rPr>
          <w:sz w:val="22"/>
        </w:rPr>
        <w:t>be</w:t>
      </w:r>
      <w:r>
        <w:rPr>
          <w:spacing w:val="-13"/>
          <w:sz w:val="22"/>
        </w:rPr>
        <w:t> </w:t>
      </w:r>
      <w:r>
        <w:rPr>
          <w:sz w:val="22"/>
        </w:rPr>
        <w:t>used</w:t>
      </w:r>
      <w:r>
        <w:rPr>
          <w:spacing w:val="-14"/>
          <w:sz w:val="22"/>
        </w:rPr>
        <w:t> </w:t>
      </w:r>
      <w:r>
        <w:rPr>
          <w:sz w:val="22"/>
        </w:rPr>
        <w:t>for</w:t>
      </w:r>
      <w:r>
        <w:rPr>
          <w:spacing w:val="-14"/>
          <w:sz w:val="22"/>
        </w:rPr>
        <w:t> </w:t>
      </w:r>
      <w:r>
        <w:rPr>
          <w:sz w:val="22"/>
        </w:rPr>
        <w:t>informal</w:t>
      </w:r>
      <w:r>
        <w:rPr>
          <w:spacing w:val="-14"/>
          <w:sz w:val="22"/>
        </w:rPr>
        <w:t> </w:t>
      </w:r>
      <w:r>
        <w:rPr>
          <w:sz w:val="22"/>
        </w:rPr>
        <w:t>feedback.</w:t>
      </w:r>
    </w:p>
    <w:p>
      <w:pPr>
        <w:pStyle w:val="ListParagraph"/>
        <w:numPr>
          <w:ilvl w:val="0"/>
          <w:numId w:val="51"/>
        </w:numPr>
        <w:tabs>
          <w:tab w:pos="679" w:val="left" w:leader="none"/>
        </w:tabs>
        <w:spacing w:line="266" w:lineRule="auto" w:before="0" w:after="0"/>
        <w:ind w:left="679" w:right="1077" w:hanging="360"/>
        <w:jc w:val="both"/>
        <w:rPr>
          <w:sz w:val="22"/>
        </w:rPr>
      </w:pPr>
      <w:r>
        <w:rPr>
          <w:spacing w:val="-4"/>
          <w:sz w:val="22"/>
        </w:rPr>
        <w:t>Experimental</w:t>
      </w:r>
      <w:r>
        <w:rPr>
          <w:spacing w:val="-10"/>
          <w:sz w:val="22"/>
        </w:rPr>
        <w:t> </w:t>
      </w:r>
      <w:r>
        <w:rPr>
          <w:spacing w:val="-4"/>
          <w:sz w:val="22"/>
        </w:rPr>
        <w:t>projects</w:t>
      </w:r>
      <w:r>
        <w:rPr>
          <w:spacing w:val="-10"/>
          <w:sz w:val="22"/>
        </w:rPr>
        <w:t> </w:t>
      </w:r>
      <w:r>
        <w:rPr>
          <w:spacing w:val="-4"/>
          <w:sz w:val="22"/>
        </w:rPr>
        <w:t>should</w:t>
      </w:r>
      <w:r>
        <w:rPr>
          <w:spacing w:val="-10"/>
          <w:sz w:val="22"/>
        </w:rPr>
        <w:t> </w:t>
      </w:r>
      <w:r>
        <w:rPr>
          <w:spacing w:val="-4"/>
          <w:sz w:val="22"/>
        </w:rPr>
        <w:t>be</w:t>
      </w:r>
      <w:r>
        <w:rPr>
          <w:spacing w:val="-9"/>
          <w:sz w:val="22"/>
        </w:rPr>
        <w:t> </w:t>
      </w:r>
      <w:r>
        <w:rPr>
          <w:spacing w:val="-4"/>
          <w:sz w:val="22"/>
        </w:rPr>
        <w:t>monitored</w:t>
      </w:r>
      <w:r>
        <w:rPr>
          <w:spacing w:val="-10"/>
          <w:sz w:val="22"/>
        </w:rPr>
        <w:t> </w:t>
      </w:r>
      <w:r>
        <w:rPr>
          <w:spacing w:val="-4"/>
          <w:sz w:val="22"/>
        </w:rPr>
        <w:t>through </w:t>
      </w:r>
      <w:r>
        <w:rPr>
          <w:sz w:val="22"/>
        </w:rPr>
        <w:t>a well maintained log book. The guide should insist and regularly check whether log books </w:t>
      </w:r>
      <w:r>
        <w:rPr>
          <w:sz w:val="22"/>
        </w:rPr>
        <w:t>are </w:t>
      </w:r>
      <w:r>
        <w:rPr>
          <w:spacing w:val="-2"/>
          <w:sz w:val="22"/>
        </w:rPr>
        <w:t>maintained.</w:t>
      </w:r>
    </w:p>
    <w:p>
      <w:pPr>
        <w:pStyle w:val="ListParagraph"/>
        <w:numPr>
          <w:ilvl w:val="0"/>
          <w:numId w:val="51"/>
        </w:numPr>
        <w:tabs>
          <w:tab w:pos="679" w:val="left" w:leader="none"/>
        </w:tabs>
        <w:spacing w:line="266" w:lineRule="auto" w:before="0" w:after="0"/>
        <w:ind w:left="679" w:right="1078" w:hanging="360"/>
        <w:jc w:val="both"/>
        <w:rPr>
          <w:sz w:val="22"/>
        </w:rPr>
      </w:pPr>
      <w:r>
        <w:rPr>
          <w:sz w:val="22"/>
        </w:rPr>
        <w:t>Independent</w:t>
      </w:r>
      <w:r>
        <w:rPr>
          <w:spacing w:val="-12"/>
          <w:sz w:val="22"/>
        </w:rPr>
        <w:t> </w:t>
      </w:r>
      <w:r>
        <w:rPr>
          <w:sz w:val="22"/>
        </w:rPr>
        <w:t>committees</w:t>
      </w:r>
      <w:r>
        <w:rPr>
          <w:spacing w:val="-12"/>
          <w:sz w:val="22"/>
        </w:rPr>
        <w:t> </w:t>
      </w:r>
      <w:r>
        <w:rPr>
          <w:sz w:val="22"/>
        </w:rPr>
        <w:t>can</w:t>
      </w:r>
      <w:r>
        <w:rPr>
          <w:spacing w:val="-12"/>
          <w:sz w:val="22"/>
        </w:rPr>
        <w:t> </w:t>
      </w:r>
      <w:r>
        <w:rPr>
          <w:sz w:val="22"/>
        </w:rPr>
        <w:t>also</w:t>
      </w:r>
      <w:r>
        <w:rPr>
          <w:spacing w:val="-12"/>
          <w:sz w:val="22"/>
        </w:rPr>
        <w:t> </w:t>
      </w:r>
      <w:r>
        <w:rPr>
          <w:sz w:val="22"/>
        </w:rPr>
        <w:t>be</w:t>
      </w:r>
      <w:r>
        <w:rPr>
          <w:spacing w:val="-12"/>
          <w:sz w:val="22"/>
        </w:rPr>
        <w:t> </w:t>
      </w:r>
      <w:r>
        <w:rPr>
          <w:sz w:val="22"/>
        </w:rPr>
        <w:t>set</w:t>
      </w:r>
      <w:r>
        <w:rPr>
          <w:spacing w:val="-12"/>
          <w:sz w:val="22"/>
        </w:rPr>
        <w:t> </w:t>
      </w:r>
      <w:r>
        <w:rPr>
          <w:sz w:val="22"/>
        </w:rPr>
        <w:t>up</w:t>
      </w:r>
      <w:r>
        <w:rPr>
          <w:spacing w:val="-12"/>
          <w:sz w:val="22"/>
        </w:rPr>
        <w:t> </w:t>
      </w:r>
      <w:r>
        <w:rPr>
          <w:sz w:val="22"/>
        </w:rPr>
        <w:t>before which</w:t>
      </w:r>
      <w:r>
        <w:rPr>
          <w:spacing w:val="36"/>
          <w:sz w:val="22"/>
        </w:rPr>
        <w:t> </w:t>
      </w:r>
      <w:r>
        <w:rPr>
          <w:sz w:val="22"/>
        </w:rPr>
        <w:t>the</w:t>
      </w:r>
      <w:r>
        <w:rPr>
          <w:spacing w:val="36"/>
          <w:sz w:val="22"/>
        </w:rPr>
        <w:t> </w:t>
      </w:r>
      <w:r>
        <w:rPr>
          <w:sz w:val="22"/>
        </w:rPr>
        <w:t>students</w:t>
      </w:r>
      <w:r>
        <w:rPr>
          <w:spacing w:val="36"/>
          <w:sz w:val="22"/>
        </w:rPr>
        <w:t> </w:t>
      </w:r>
      <w:r>
        <w:rPr>
          <w:sz w:val="22"/>
        </w:rPr>
        <w:t>make</w:t>
      </w:r>
      <w:r>
        <w:rPr>
          <w:spacing w:val="36"/>
          <w:sz w:val="22"/>
        </w:rPr>
        <w:t> </w:t>
      </w:r>
      <w:r>
        <w:rPr>
          <w:sz w:val="22"/>
        </w:rPr>
        <w:t>regular</w:t>
      </w:r>
      <w:r>
        <w:rPr>
          <w:spacing w:val="36"/>
          <w:sz w:val="22"/>
        </w:rPr>
        <w:t> </w:t>
      </w:r>
      <w:r>
        <w:rPr>
          <w:sz w:val="22"/>
        </w:rPr>
        <w:t>presentations.</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440"/>
        <w:jc w:val="both"/>
      </w:pPr>
      <w:r>
        <w:rPr>
          <w:spacing w:val="-2"/>
        </w:rPr>
        <w:t>Any</w:t>
      </w:r>
      <w:r>
        <w:rPr>
          <w:spacing w:val="-7"/>
        </w:rPr>
        <w:t> </w:t>
      </w:r>
      <w:r>
        <w:rPr>
          <w:spacing w:val="-2"/>
        </w:rPr>
        <w:t>such</w:t>
      </w:r>
      <w:r>
        <w:rPr>
          <w:spacing w:val="-7"/>
        </w:rPr>
        <w:t> </w:t>
      </w:r>
      <w:r>
        <w:rPr>
          <w:spacing w:val="-2"/>
        </w:rPr>
        <w:t>committee</w:t>
      </w:r>
      <w:r>
        <w:rPr>
          <w:spacing w:val="-7"/>
        </w:rPr>
        <w:t> </w:t>
      </w:r>
      <w:r>
        <w:rPr>
          <w:spacing w:val="-2"/>
        </w:rPr>
        <w:t>should</w:t>
      </w:r>
      <w:r>
        <w:rPr>
          <w:spacing w:val="-7"/>
        </w:rPr>
        <w:t> </w:t>
      </w:r>
      <w:r>
        <w:rPr>
          <w:spacing w:val="-2"/>
        </w:rPr>
        <w:t>provide</w:t>
      </w:r>
      <w:r>
        <w:rPr>
          <w:spacing w:val="-7"/>
        </w:rPr>
        <w:t> </w:t>
      </w:r>
      <w:r>
        <w:rPr>
          <w:spacing w:val="-2"/>
        </w:rPr>
        <w:t>feedback</w:t>
      </w:r>
      <w:r>
        <w:rPr>
          <w:spacing w:val="-7"/>
        </w:rPr>
        <w:t> </w:t>
      </w:r>
      <w:r>
        <w:rPr>
          <w:spacing w:val="-2"/>
        </w:rPr>
        <w:t>and </w:t>
      </w:r>
      <w:r>
        <w:rPr/>
        <w:t>counsel</w:t>
      </w:r>
      <w:r>
        <w:rPr>
          <w:spacing w:val="-4"/>
        </w:rPr>
        <w:t> </w:t>
      </w:r>
      <w:r>
        <w:rPr/>
        <w:t>the</w:t>
      </w:r>
      <w:r>
        <w:rPr>
          <w:spacing w:val="-4"/>
        </w:rPr>
        <w:t> </w:t>
      </w:r>
      <w:r>
        <w:rPr/>
        <w:t>doctoral</w:t>
      </w:r>
      <w:r>
        <w:rPr>
          <w:spacing w:val="-4"/>
        </w:rPr>
        <w:t> </w:t>
      </w:r>
      <w:r>
        <w:rPr/>
        <w:t>students.</w:t>
      </w:r>
      <w:r>
        <w:rPr>
          <w:spacing w:val="-4"/>
        </w:rPr>
        <w:t> </w:t>
      </w:r>
      <w:r>
        <w:rPr/>
        <w:t>External</w:t>
      </w:r>
      <w:r>
        <w:rPr>
          <w:spacing w:val="-4"/>
        </w:rPr>
        <w:t> </w:t>
      </w:r>
      <w:r>
        <w:rPr/>
        <w:t>co-guides </w:t>
      </w:r>
      <w:r>
        <w:rPr>
          <w:spacing w:val="-4"/>
        </w:rPr>
        <w:t>from</w:t>
      </w:r>
      <w:r>
        <w:rPr>
          <w:spacing w:val="-5"/>
        </w:rPr>
        <w:t> </w:t>
      </w:r>
      <w:r>
        <w:rPr>
          <w:spacing w:val="-4"/>
        </w:rPr>
        <w:t>industry/other</w:t>
      </w:r>
      <w:r>
        <w:rPr>
          <w:spacing w:val="-5"/>
        </w:rPr>
        <w:t> </w:t>
      </w:r>
      <w:r>
        <w:rPr>
          <w:spacing w:val="-4"/>
        </w:rPr>
        <w:t>institutes</w:t>
      </w:r>
      <w:r>
        <w:rPr>
          <w:spacing w:val="-5"/>
        </w:rPr>
        <w:t> </w:t>
      </w:r>
      <w:r>
        <w:rPr>
          <w:spacing w:val="-4"/>
        </w:rPr>
        <w:t>could</w:t>
      </w:r>
      <w:r>
        <w:rPr>
          <w:spacing w:val="-5"/>
        </w:rPr>
        <w:t> </w:t>
      </w:r>
      <w:r>
        <w:rPr>
          <w:spacing w:val="-4"/>
        </w:rPr>
        <w:t>facilitate</w:t>
      </w:r>
      <w:r>
        <w:rPr>
          <w:spacing w:val="-5"/>
        </w:rPr>
        <w:t> </w:t>
      </w:r>
      <w:r>
        <w:rPr>
          <w:spacing w:val="-4"/>
        </w:rPr>
        <w:t>a</w:t>
      </w:r>
      <w:r>
        <w:rPr>
          <w:spacing w:val="-5"/>
        </w:rPr>
        <w:t> </w:t>
      </w:r>
      <w:r>
        <w:rPr>
          <w:spacing w:val="-4"/>
        </w:rPr>
        <w:t>way </w:t>
      </w:r>
      <w:r>
        <w:rPr/>
        <w:t>to ensure better monitoring.</w:t>
      </w:r>
    </w:p>
    <w:p>
      <w:pPr>
        <w:pStyle w:val="ListParagraph"/>
        <w:numPr>
          <w:ilvl w:val="1"/>
          <w:numId w:val="51"/>
        </w:numPr>
        <w:tabs>
          <w:tab w:pos="1439" w:val="left" w:leader="none"/>
        </w:tabs>
        <w:spacing w:line="266" w:lineRule="auto" w:before="0" w:after="0"/>
        <w:ind w:left="1439" w:right="0" w:hanging="360"/>
        <w:jc w:val="both"/>
        <w:rPr>
          <w:sz w:val="22"/>
        </w:rPr>
      </w:pPr>
      <w:r>
        <w:rPr>
          <w:spacing w:val="-2"/>
          <w:sz w:val="22"/>
        </w:rPr>
        <w:t>Any</w:t>
      </w:r>
      <w:r>
        <w:rPr>
          <w:spacing w:val="-12"/>
          <w:sz w:val="22"/>
        </w:rPr>
        <w:t> </w:t>
      </w:r>
      <w:r>
        <w:rPr>
          <w:spacing w:val="-2"/>
          <w:sz w:val="22"/>
        </w:rPr>
        <w:t>mechanism</w:t>
      </w:r>
      <w:r>
        <w:rPr>
          <w:spacing w:val="-12"/>
          <w:sz w:val="22"/>
        </w:rPr>
        <w:t> </w:t>
      </w:r>
      <w:r>
        <w:rPr>
          <w:spacing w:val="-2"/>
          <w:sz w:val="22"/>
        </w:rPr>
        <w:t>used</w:t>
      </w:r>
      <w:r>
        <w:rPr>
          <w:spacing w:val="-12"/>
          <w:sz w:val="22"/>
        </w:rPr>
        <w:t> </w:t>
      </w:r>
      <w:r>
        <w:rPr>
          <w:spacing w:val="-2"/>
          <w:sz w:val="22"/>
        </w:rPr>
        <w:t>for</w:t>
      </w:r>
      <w:r>
        <w:rPr>
          <w:spacing w:val="-11"/>
          <w:sz w:val="22"/>
        </w:rPr>
        <w:t> </w:t>
      </w:r>
      <w:r>
        <w:rPr>
          <w:spacing w:val="-2"/>
          <w:sz w:val="22"/>
        </w:rPr>
        <w:t>monitoring</w:t>
      </w:r>
      <w:r>
        <w:rPr>
          <w:spacing w:val="-12"/>
          <w:sz w:val="22"/>
        </w:rPr>
        <w:t> </w:t>
      </w:r>
      <w:r>
        <w:rPr>
          <w:spacing w:val="-2"/>
          <w:sz w:val="22"/>
        </w:rPr>
        <w:t>should</w:t>
      </w:r>
      <w:r>
        <w:rPr>
          <w:spacing w:val="-12"/>
          <w:sz w:val="22"/>
        </w:rPr>
        <w:t> </w:t>
      </w:r>
      <w:r>
        <w:rPr>
          <w:spacing w:val="-2"/>
          <w:sz w:val="22"/>
        </w:rPr>
        <w:t>check </w:t>
      </w:r>
      <w:r>
        <w:rPr>
          <w:sz w:val="22"/>
        </w:rPr>
        <w:t>for possibilities of plagiarism. Further, to enable an overall healthy research environment, Ph.D students</w:t>
      </w:r>
      <w:r>
        <w:rPr>
          <w:spacing w:val="-1"/>
          <w:sz w:val="22"/>
        </w:rPr>
        <w:t> </w:t>
      </w:r>
      <w:r>
        <w:rPr>
          <w:sz w:val="22"/>
        </w:rPr>
        <w:t>should</w:t>
      </w:r>
      <w:r>
        <w:rPr>
          <w:spacing w:val="-1"/>
          <w:sz w:val="22"/>
        </w:rPr>
        <w:t> </w:t>
      </w:r>
      <w:r>
        <w:rPr>
          <w:sz w:val="22"/>
        </w:rPr>
        <w:t>be</w:t>
      </w:r>
      <w:r>
        <w:rPr>
          <w:spacing w:val="-1"/>
          <w:sz w:val="22"/>
        </w:rPr>
        <w:t> </w:t>
      </w:r>
      <w:r>
        <w:rPr>
          <w:sz w:val="22"/>
        </w:rPr>
        <w:t>taught</w:t>
      </w:r>
      <w:r>
        <w:rPr>
          <w:spacing w:val="-1"/>
          <w:sz w:val="22"/>
        </w:rPr>
        <w:t> </w:t>
      </w:r>
      <w:r>
        <w:rPr>
          <w:sz w:val="22"/>
        </w:rPr>
        <w:t>ethics</w:t>
      </w:r>
      <w:r>
        <w:rPr>
          <w:spacing w:val="-1"/>
          <w:sz w:val="22"/>
        </w:rPr>
        <w:t> </w:t>
      </w:r>
      <w:r>
        <w:rPr>
          <w:sz w:val="22"/>
        </w:rPr>
        <w:t>and</w:t>
      </w:r>
      <w:r>
        <w:rPr>
          <w:spacing w:val="-1"/>
          <w:sz w:val="22"/>
        </w:rPr>
        <w:t> </w:t>
      </w:r>
      <w:r>
        <w:rPr>
          <w:sz w:val="22"/>
        </w:rPr>
        <w:t>standards</w:t>
      </w:r>
      <w:r>
        <w:rPr>
          <w:spacing w:val="-1"/>
          <w:sz w:val="22"/>
        </w:rPr>
        <w:t> </w:t>
      </w:r>
      <w:r>
        <w:rPr>
          <w:sz w:val="22"/>
        </w:rPr>
        <w:t>of academic</w:t>
      </w:r>
      <w:r>
        <w:rPr>
          <w:spacing w:val="-1"/>
          <w:sz w:val="22"/>
        </w:rPr>
        <w:t> </w:t>
      </w:r>
      <w:r>
        <w:rPr>
          <w:sz w:val="22"/>
        </w:rPr>
        <w:t>research</w:t>
      </w:r>
      <w:r>
        <w:rPr>
          <w:spacing w:val="-1"/>
          <w:sz w:val="22"/>
        </w:rPr>
        <w:t> </w:t>
      </w:r>
      <w:r>
        <w:rPr>
          <w:sz w:val="22"/>
        </w:rPr>
        <w:t>as</w:t>
      </w:r>
      <w:r>
        <w:rPr>
          <w:spacing w:val="-1"/>
          <w:sz w:val="22"/>
        </w:rPr>
        <w:t> </w:t>
      </w:r>
      <w:r>
        <w:rPr>
          <w:sz w:val="22"/>
        </w:rPr>
        <w:t>part</w:t>
      </w:r>
      <w:r>
        <w:rPr>
          <w:spacing w:val="-1"/>
          <w:sz w:val="22"/>
        </w:rPr>
        <w:t> </w:t>
      </w:r>
      <w:r>
        <w:rPr>
          <w:sz w:val="22"/>
        </w:rPr>
        <w:t>of</w:t>
      </w:r>
      <w:r>
        <w:rPr>
          <w:spacing w:val="-1"/>
          <w:sz w:val="22"/>
        </w:rPr>
        <w:t> </w:t>
      </w:r>
      <w:r>
        <w:rPr>
          <w:sz w:val="22"/>
        </w:rPr>
        <w:t>curriculum.</w:t>
      </w:r>
    </w:p>
    <w:p>
      <w:pPr>
        <w:pStyle w:val="BodyText"/>
        <w:spacing w:before="20"/>
      </w:pPr>
    </w:p>
    <w:p>
      <w:pPr>
        <w:pStyle w:val="BodyText"/>
        <w:spacing w:line="266" w:lineRule="auto"/>
        <w:ind w:left="1079"/>
        <w:jc w:val="both"/>
      </w:pPr>
      <w:r>
        <w:rPr/>
        <w:t>Before</w:t>
      </w:r>
      <w:r>
        <w:rPr>
          <w:spacing w:val="-14"/>
        </w:rPr>
        <w:t> </w:t>
      </w:r>
      <w:r>
        <w:rPr/>
        <w:t>designing</w:t>
      </w:r>
      <w:r>
        <w:rPr>
          <w:spacing w:val="-14"/>
        </w:rPr>
        <w:t> </w:t>
      </w:r>
      <w:r>
        <w:rPr/>
        <w:t>any</w:t>
      </w:r>
      <w:r>
        <w:rPr>
          <w:spacing w:val="-14"/>
        </w:rPr>
        <w:t> </w:t>
      </w:r>
      <w:r>
        <w:rPr/>
        <w:t>new</w:t>
      </w:r>
      <w:r>
        <w:rPr>
          <w:spacing w:val="-13"/>
        </w:rPr>
        <w:t> </w:t>
      </w:r>
      <w:r>
        <w:rPr/>
        <w:t>monitoring</w:t>
      </w:r>
      <w:r>
        <w:rPr>
          <w:spacing w:val="-14"/>
        </w:rPr>
        <w:t> </w:t>
      </w:r>
      <w:r>
        <w:rPr/>
        <w:t>and</w:t>
      </w:r>
      <w:r>
        <w:rPr>
          <w:spacing w:val="-14"/>
        </w:rPr>
        <w:t> </w:t>
      </w:r>
      <w:r>
        <w:rPr/>
        <w:t>assessment </w:t>
      </w:r>
      <w:r>
        <w:rPr>
          <w:spacing w:val="-4"/>
        </w:rPr>
        <w:t>mechanisms,</w:t>
      </w:r>
      <w:r>
        <w:rPr>
          <w:spacing w:val="-8"/>
        </w:rPr>
        <w:t> </w:t>
      </w:r>
      <w:r>
        <w:rPr>
          <w:spacing w:val="-4"/>
        </w:rPr>
        <w:t>it</w:t>
      </w:r>
      <w:r>
        <w:rPr>
          <w:spacing w:val="-8"/>
        </w:rPr>
        <w:t> </w:t>
      </w:r>
      <w:r>
        <w:rPr>
          <w:spacing w:val="-4"/>
        </w:rPr>
        <w:t>is</w:t>
      </w:r>
      <w:r>
        <w:rPr>
          <w:spacing w:val="-8"/>
        </w:rPr>
        <w:t> </w:t>
      </w:r>
      <w:r>
        <w:rPr>
          <w:spacing w:val="-4"/>
        </w:rPr>
        <w:t>important</w:t>
      </w:r>
      <w:r>
        <w:rPr>
          <w:spacing w:val="-8"/>
        </w:rPr>
        <w:t> </w:t>
      </w:r>
      <w:r>
        <w:rPr>
          <w:spacing w:val="-4"/>
        </w:rPr>
        <w:t>to</w:t>
      </w:r>
      <w:r>
        <w:rPr>
          <w:spacing w:val="-8"/>
        </w:rPr>
        <w:t> </w:t>
      </w:r>
      <w:r>
        <w:rPr>
          <w:spacing w:val="-4"/>
        </w:rPr>
        <w:t>identify</w:t>
      </w:r>
      <w:r>
        <w:rPr>
          <w:spacing w:val="-8"/>
        </w:rPr>
        <w:t> </w:t>
      </w:r>
      <w:r>
        <w:rPr>
          <w:spacing w:val="-4"/>
        </w:rPr>
        <w:t>why</w:t>
      </w:r>
      <w:r>
        <w:rPr>
          <w:spacing w:val="-8"/>
        </w:rPr>
        <w:t> </w:t>
      </w:r>
      <w:r>
        <w:rPr>
          <w:spacing w:val="-4"/>
        </w:rPr>
        <w:t>the</w:t>
      </w:r>
      <w:r>
        <w:rPr>
          <w:spacing w:val="-8"/>
        </w:rPr>
        <w:t> </w:t>
      </w:r>
      <w:r>
        <w:rPr>
          <w:spacing w:val="-4"/>
        </w:rPr>
        <w:t>existing </w:t>
      </w:r>
      <w:r>
        <w:rPr/>
        <w:t>ones</w:t>
      </w:r>
      <w:r>
        <w:rPr>
          <w:spacing w:val="-14"/>
        </w:rPr>
        <w:t> </w:t>
      </w:r>
      <w:r>
        <w:rPr/>
        <w:t>have</w:t>
      </w:r>
      <w:r>
        <w:rPr>
          <w:spacing w:val="-14"/>
        </w:rPr>
        <w:t> </w:t>
      </w:r>
      <w:r>
        <w:rPr/>
        <w:t>failed</w:t>
      </w:r>
      <w:r>
        <w:rPr>
          <w:spacing w:val="-14"/>
        </w:rPr>
        <w:t> </w:t>
      </w:r>
      <w:r>
        <w:rPr/>
        <w:t>and</w:t>
      </w:r>
      <w:r>
        <w:rPr>
          <w:spacing w:val="-13"/>
        </w:rPr>
        <w:t> </w:t>
      </w:r>
      <w:r>
        <w:rPr/>
        <w:t>the</w:t>
      </w:r>
      <w:r>
        <w:rPr>
          <w:spacing w:val="-14"/>
        </w:rPr>
        <w:t> </w:t>
      </w:r>
      <w:r>
        <w:rPr/>
        <w:t>lessons</w:t>
      </w:r>
      <w:r>
        <w:rPr>
          <w:spacing w:val="-14"/>
        </w:rPr>
        <w:t> </w:t>
      </w:r>
      <w:r>
        <w:rPr/>
        <w:t>learnt</w:t>
      </w:r>
      <w:r>
        <w:rPr>
          <w:spacing w:val="-14"/>
        </w:rPr>
        <w:t> </w:t>
      </w:r>
      <w:r>
        <w:rPr/>
        <w:t>should</w:t>
      </w:r>
      <w:r>
        <w:rPr>
          <w:spacing w:val="-13"/>
        </w:rPr>
        <w:t> </w:t>
      </w:r>
      <w:r>
        <w:rPr/>
        <w:t>be</w:t>
      </w:r>
      <w:r>
        <w:rPr>
          <w:spacing w:val="-14"/>
        </w:rPr>
        <w:t> </w:t>
      </w:r>
      <w:r>
        <w:rPr/>
        <w:t>taken into account.</w:t>
      </w:r>
    </w:p>
    <w:p>
      <w:pPr>
        <w:pStyle w:val="BodyText"/>
        <w:spacing w:before="24"/>
      </w:pPr>
    </w:p>
    <w:p>
      <w:pPr>
        <w:pStyle w:val="BodyText"/>
        <w:ind w:left="1080"/>
        <w:jc w:val="both"/>
      </w:pPr>
      <w:r>
        <w:rPr>
          <w:spacing w:val="-4"/>
        </w:rPr>
        <w:t>To</w:t>
      </w:r>
      <w:r>
        <w:rPr>
          <w:spacing w:val="-2"/>
        </w:rPr>
        <w:t> </w:t>
      </w:r>
      <w:r>
        <w:rPr>
          <w:spacing w:val="-4"/>
        </w:rPr>
        <w:t>promote</w:t>
      </w:r>
      <w:r>
        <w:rPr>
          <w:spacing w:val="-1"/>
        </w:rPr>
        <w:t> </w:t>
      </w:r>
      <w:r>
        <w:rPr>
          <w:spacing w:val="-4"/>
        </w:rPr>
        <w:t>broader</w:t>
      </w:r>
      <w:r>
        <w:rPr>
          <w:spacing w:val="-1"/>
        </w:rPr>
        <w:t> </w:t>
      </w:r>
      <w:r>
        <w:rPr>
          <w:spacing w:val="-4"/>
        </w:rPr>
        <w:t>engagement</w:t>
      </w:r>
      <w:r>
        <w:rPr>
          <w:spacing w:val="-1"/>
        </w:rPr>
        <w:t> </w:t>
      </w:r>
      <w:r>
        <w:rPr>
          <w:spacing w:val="-4"/>
        </w:rPr>
        <w:t>with</w:t>
      </w:r>
      <w:r>
        <w:rPr>
          <w:spacing w:val="-1"/>
        </w:rPr>
        <w:t> </w:t>
      </w:r>
      <w:r>
        <w:rPr>
          <w:spacing w:val="-4"/>
        </w:rPr>
        <w:t>research:</w:t>
      </w:r>
    </w:p>
    <w:p>
      <w:pPr>
        <w:pStyle w:val="ListParagraph"/>
        <w:numPr>
          <w:ilvl w:val="1"/>
          <w:numId w:val="51"/>
        </w:numPr>
        <w:tabs>
          <w:tab w:pos="1439" w:val="left" w:leader="none"/>
        </w:tabs>
        <w:spacing w:line="266" w:lineRule="auto" w:before="27" w:after="0"/>
        <w:ind w:left="1439" w:right="0" w:hanging="360"/>
        <w:jc w:val="both"/>
        <w:rPr>
          <w:sz w:val="22"/>
        </w:rPr>
      </w:pPr>
      <w:r>
        <w:rPr>
          <w:sz w:val="22"/>
        </w:rPr>
        <w:t>Regular</w:t>
      </w:r>
      <w:r>
        <w:rPr>
          <w:spacing w:val="-13"/>
          <w:sz w:val="22"/>
        </w:rPr>
        <w:t> </w:t>
      </w:r>
      <w:r>
        <w:rPr>
          <w:sz w:val="22"/>
        </w:rPr>
        <w:t>interaction</w:t>
      </w:r>
      <w:r>
        <w:rPr>
          <w:spacing w:val="-13"/>
          <w:sz w:val="22"/>
        </w:rPr>
        <w:t> </w:t>
      </w:r>
      <w:r>
        <w:rPr>
          <w:sz w:val="22"/>
        </w:rPr>
        <w:t>among</w:t>
      </w:r>
      <w:r>
        <w:rPr>
          <w:spacing w:val="-13"/>
          <w:sz w:val="22"/>
        </w:rPr>
        <w:t> </w:t>
      </w:r>
      <w:r>
        <w:rPr>
          <w:sz w:val="22"/>
        </w:rPr>
        <w:t>the</w:t>
      </w:r>
      <w:r>
        <w:rPr>
          <w:spacing w:val="-13"/>
          <w:sz w:val="22"/>
        </w:rPr>
        <w:t> </w:t>
      </w:r>
      <w:r>
        <w:rPr>
          <w:sz w:val="22"/>
        </w:rPr>
        <w:t>researchers</w:t>
      </w:r>
      <w:r>
        <w:rPr>
          <w:spacing w:val="-13"/>
          <w:sz w:val="22"/>
        </w:rPr>
        <w:t> </w:t>
      </w:r>
      <w:r>
        <w:rPr>
          <w:sz w:val="22"/>
        </w:rPr>
        <w:t>should be facilitated through group meetings, research seminars</w:t>
      </w:r>
      <w:r>
        <w:rPr>
          <w:spacing w:val="-7"/>
          <w:sz w:val="22"/>
        </w:rPr>
        <w:t> </w:t>
      </w:r>
      <w:r>
        <w:rPr>
          <w:sz w:val="22"/>
        </w:rPr>
        <w:t>etc.</w:t>
      </w:r>
      <w:r>
        <w:rPr>
          <w:spacing w:val="-7"/>
          <w:sz w:val="22"/>
        </w:rPr>
        <w:t> </w:t>
      </w:r>
      <w:r>
        <w:rPr>
          <w:sz w:val="22"/>
        </w:rPr>
        <w:t>At</w:t>
      </w:r>
      <w:r>
        <w:rPr>
          <w:spacing w:val="-7"/>
          <w:sz w:val="22"/>
        </w:rPr>
        <w:t> </w:t>
      </w:r>
      <w:r>
        <w:rPr>
          <w:sz w:val="22"/>
        </w:rPr>
        <w:t>some</w:t>
      </w:r>
      <w:r>
        <w:rPr>
          <w:spacing w:val="-8"/>
          <w:sz w:val="22"/>
        </w:rPr>
        <w:t> </w:t>
      </w:r>
      <w:r>
        <w:rPr>
          <w:sz w:val="22"/>
        </w:rPr>
        <w:t>places,</w:t>
      </w:r>
      <w:r>
        <w:rPr>
          <w:spacing w:val="-7"/>
          <w:sz w:val="22"/>
        </w:rPr>
        <w:t> </w:t>
      </w:r>
      <w:r>
        <w:rPr>
          <w:sz w:val="22"/>
        </w:rPr>
        <w:t>lab</w:t>
      </w:r>
      <w:r>
        <w:rPr>
          <w:spacing w:val="-7"/>
          <w:sz w:val="22"/>
        </w:rPr>
        <w:t> </w:t>
      </w:r>
      <w:r>
        <w:rPr>
          <w:sz w:val="22"/>
        </w:rPr>
        <w:t>group</w:t>
      </w:r>
      <w:r>
        <w:rPr>
          <w:spacing w:val="-7"/>
          <w:sz w:val="22"/>
        </w:rPr>
        <w:t> </w:t>
      </w:r>
      <w:r>
        <w:rPr>
          <w:sz w:val="22"/>
        </w:rPr>
        <w:t>meetings </w:t>
      </w:r>
      <w:r>
        <w:rPr>
          <w:spacing w:val="-4"/>
          <w:sz w:val="22"/>
        </w:rPr>
        <w:t>are</w:t>
      </w:r>
      <w:r>
        <w:rPr>
          <w:spacing w:val="-6"/>
          <w:sz w:val="22"/>
        </w:rPr>
        <w:t> </w:t>
      </w:r>
      <w:r>
        <w:rPr>
          <w:spacing w:val="-4"/>
          <w:sz w:val="22"/>
        </w:rPr>
        <w:t>held</w:t>
      </w:r>
      <w:r>
        <w:rPr>
          <w:spacing w:val="-6"/>
          <w:sz w:val="22"/>
        </w:rPr>
        <w:t> </w:t>
      </w:r>
      <w:r>
        <w:rPr>
          <w:spacing w:val="-4"/>
          <w:sz w:val="22"/>
        </w:rPr>
        <w:t>every</w:t>
      </w:r>
      <w:r>
        <w:rPr>
          <w:spacing w:val="-6"/>
          <w:sz w:val="22"/>
        </w:rPr>
        <w:t> </w:t>
      </w:r>
      <w:r>
        <w:rPr>
          <w:spacing w:val="-4"/>
          <w:sz w:val="22"/>
        </w:rPr>
        <w:t>week</w:t>
      </w:r>
      <w:r>
        <w:rPr>
          <w:spacing w:val="-6"/>
          <w:sz w:val="22"/>
        </w:rPr>
        <w:t> </w:t>
      </w:r>
      <w:r>
        <w:rPr>
          <w:spacing w:val="-4"/>
          <w:sz w:val="22"/>
        </w:rPr>
        <w:t>in</w:t>
      </w:r>
      <w:r>
        <w:rPr>
          <w:spacing w:val="-6"/>
          <w:sz w:val="22"/>
        </w:rPr>
        <w:t> </w:t>
      </w:r>
      <w:r>
        <w:rPr>
          <w:spacing w:val="-4"/>
          <w:sz w:val="22"/>
        </w:rPr>
        <w:t>which</w:t>
      </w:r>
      <w:r>
        <w:rPr>
          <w:spacing w:val="-6"/>
          <w:sz w:val="22"/>
        </w:rPr>
        <w:t> </w:t>
      </w:r>
      <w:r>
        <w:rPr>
          <w:spacing w:val="-4"/>
          <w:sz w:val="22"/>
        </w:rPr>
        <w:t>each</w:t>
      </w:r>
      <w:r>
        <w:rPr>
          <w:spacing w:val="-6"/>
          <w:sz w:val="22"/>
        </w:rPr>
        <w:t> </w:t>
      </w:r>
      <w:r>
        <w:rPr>
          <w:spacing w:val="-4"/>
          <w:sz w:val="22"/>
        </w:rPr>
        <w:t>student</w:t>
      </w:r>
      <w:r>
        <w:rPr>
          <w:spacing w:val="-6"/>
          <w:sz w:val="22"/>
        </w:rPr>
        <w:t> </w:t>
      </w:r>
      <w:r>
        <w:rPr>
          <w:spacing w:val="-4"/>
          <w:sz w:val="22"/>
        </w:rPr>
        <w:t>presents </w:t>
      </w:r>
      <w:r>
        <w:rPr>
          <w:sz w:val="22"/>
        </w:rPr>
        <w:t>and</w:t>
      </w:r>
      <w:r>
        <w:rPr>
          <w:spacing w:val="-1"/>
          <w:sz w:val="22"/>
        </w:rPr>
        <w:t> </w:t>
      </w:r>
      <w:r>
        <w:rPr>
          <w:sz w:val="22"/>
        </w:rPr>
        <w:t>discusses</w:t>
      </w:r>
      <w:r>
        <w:rPr>
          <w:spacing w:val="-1"/>
          <w:sz w:val="22"/>
        </w:rPr>
        <w:t> </w:t>
      </w:r>
      <w:r>
        <w:rPr>
          <w:sz w:val="22"/>
        </w:rPr>
        <w:t>his/her</w:t>
      </w:r>
      <w:r>
        <w:rPr>
          <w:spacing w:val="-1"/>
          <w:sz w:val="22"/>
        </w:rPr>
        <w:t> </w:t>
      </w:r>
      <w:r>
        <w:rPr>
          <w:sz w:val="22"/>
        </w:rPr>
        <w:t>work</w:t>
      </w:r>
      <w:r>
        <w:rPr>
          <w:spacing w:val="-1"/>
          <w:sz w:val="22"/>
        </w:rPr>
        <w:t> </w:t>
      </w:r>
      <w:r>
        <w:rPr>
          <w:sz w:val="22"/>
        </w:rPr>
        <w:t>with</w:t>
      </w:r>
      <w:r>
        <w:rPr>
          <w:spacing w:val="-1"/>
          <w:sz w:val="22"/>
        </w:rPr>
        <w:t> </w:t>
      </w:r>
      <w:r>
        <w:rPr>
          <w:sz w:val="22"/>
        </w:rPr>
        <w:t>the</w:t>
      </w:r>
      <w:r>
        <w:rPr>
          <w:spacing w:val="-1"/>
          <w:sz w:val="22"/>
        </w:rPr>
        <w:t> </w:t>
      </w:r>
      <w:r>
        <w:rPr>
          <w:sz w:val="22"/>
        </w:rPr>
        <w:t>entire</w:t>
      </w:r>
      <w:r>
        <w:rPr>
          <w:spacing w:val="-1"/>
          <w:sz w:val="22"/>
        </w:rPr>
        <w:t> </w:t>
      </w:r>
      <w:r>
        <w:rPr>
          <w:sz w:val="22"/>
        </w:rPr>
        <w:t>group.</w:t>
      </w:r>
    </w:p>
    <w:p>
      <w:pPr>
        <w:pStyle w:val="ListParagraph"/>
        <w:numPr>
          <w:ilvl w:val="1"/>
          <w:numId w:val="51"/>
        </w:numPr>
        <w:tabs>
          <w:tab w:pos="1439" w:val="left" w:leader="none"/>
        </w:tabs>
        <w:spacing w:line="266" w:lineRule="auto" w:before="0" w:after="0"/>
        <w:ind w:left="1439" w:right="0" w:hanging="360"/>
        <w:jc w:val="both"/>
        <w:rPr>
          <w:sz w:val="22"/>
        </w:rPr>
      </w:pPr>
      <w:r>
        <w:rPr>
          <w:sz w:val="22"/>
        </w:rPr>
        <w:t>Wider</w:t>
      </w:r>
      <w:r>
        <w:rPr>
          <w:spacing w:val="80"/>
          <w:w w:val="150"/>
          <w:sz w:val="22"/>
        </w:rPr>
        <w:t> </w:t>
      </w:r>
      <w:r>
        <w:rPr>
          <w:sz w:val="22"/>
        </w:rPr>
        <w:t>exposure</w:t>
      </w:r>
      <w:r>
        <w:rPr>
          <w:spacing w:val="80"/>
          <w:w w:val="150"/>
          <w:sz w:val="22"/>
        </w:rPr>
        <w:t> </w:t>
      </w:r>
      <w:r>
        <w:rPr>
          <w:sz w:val="22"/>
        </w:rPr>
        <w:t>to</w:t>
      </w:r>
      <w:r>
        <w:rPr>
          <w:spacing w:val="80"/>
          <w:w w:val="150"/>
          <w:sz w:val="22"/>
        </w:rPr>
        <w:t> </w:t>
      </w:r>
      <w:r>
        <w:rPr>
          <w:sz w:val="22"/>
        </w:rPr>
        <w:t>research</w:t>
      </w:r>
      <w:r>
        <w:rPr>
          <w:spacing w:val="80"/>
          <w:w w:val="150"/>
          <w:sz w:val="22"/>
        </w:rPr>
        <w:t> </w:t>
      </w:r>
      <w:r>
        <w:rPr>
          <w:sz w:val="22"/>
        </w:rPr>
        <w:t>in</w:t>
      </w:r>
      <w:r>
        <w:rPr>
          <w:spacing w:val="80"/>
          <w:w w:val="150"/>
          <w:sz w:val="22"/>
        </w:rPr>
        <w:t> </w:t>
      </w:r>
      <w:r>
        <w:rPr>
          <w:sz w:val="22"/>
        </w:rPr>
        <w:t>the</w:t>
      </w:r>
      <w:r>
        <w:rPr>
          <w:spacing w:val="80"/>
          <w:w w:val="150"/>
          <w:sz w:val="22"/>
        </w:rPr>
        <w:t> </w:t>
      </w:r>
      <w:r>
        <w:rPr>
          <w:sz w:val="22"/>
        </w:rPr>
        <w:t>form</w:t>
      </w:r>
      <w:r>
        <w:rPr>
          <w:spacing w:val="80"/>
          <w:sz w:val="22"/>
        </w:rPr>
        <w:t> </w:t>
      </w:r>
      <w:r>
        <w:rPr>
          <w:sz w:val="22"/>
        </w:rPr>
        <w:t>of participation in international </w:t>
      </w:r>
      <w:r>
        <w:rPr>
          <w:sz w:val="22"/>
        </w:rPr>
        <w:t>conferences, workshops, seminars etc. will strengthen the </w:t>
      </w:r>
      <w:r>
        <w:rPr>
          <w:spacing w:val="-2"/>
          <w:sz w:val="22"/>
        </w:rPr>
        <w:t>student’s</w:t>
      </w:r>
      <w:r>
        <w:rPr>
          <w:spacing w:val="-9"/>
          <w:sz w:val="22"/>
        </w:rPr>
        <w:t> </w:t>
      </w:r>
      <w:r>
        <w:rPr>
          <w:spacing w:val="-2"/>
          <w:sz w:val="22"/>
        </w:rPr>
        <w:t>research</w:t>
      </w:r>
      <w:r>
        <w:rPr>
          <w:spacing w:val="-9"/>
          <w:sz w:val="22"/>
        </w:rPr>
        <w:t> </w:t>
      </w:r>
      <w:r>
        <w:rPr>
          <w:spacing w:val="-2"/>
          <w:sz w:val="22"/>
        </w:rPr>
        <w:t>base</w:t>
      </w:r>
      <w:r>
        <w:rPr>
          <w:spacing w:val="-9"/>
          <w:sz w:val="22"/>
        </w:rPr>
        <w:t> </w:t>
      </w:r>
      <w:r>
        <w:rPr>
          <w:spacing w:val="-2"/>
          <w:sz w:val="22"/>
        </w:rPr>
        <w:t>and</w:t>
      </w:r>
      <w:r>
        <w:rPr>
          <w:spacing w:val="-9"/>
          <w:sz w:val="22"/>
        </w:rPr>
        <w:t> </w:t>
      </w:r>
      <w:r>
        <w:rPr>
          <w:spacing w:val="-2"/>
          <w:sz w:val="22"/>
        </w:rPr>
        <w:t>should</w:t>
      </w:r>
      <w:r>
        <w:rPr>
          <w:spacing w:val="-9"/>
          <w:sz w:val="22"/>
        </w:rPr>
        <w:t> </w:t>
      </w:r>
      <w:r>
        <w:rPr>
          <w:spacing w:val="-2"/>
          <w:sz w:val="22"/>
        </w:rPr>
        <w:t>be</w:t>
      </w:r>
      <w:r>
        <w:rPr>
          <w:spacing w:val="-9"/>
          <w:sz w:val="22"/>
        </w:rPr>
        <w:t> </w:t>
      </w:r>
      <w:r>
        <w:rPr>
          <w:spacing w:val="-2"/>
          <w:sz w:val="22"/>
        </w:rPr>
        <w:t>encouraged.</w:t>
      </w:r>
    </w:p>
    <w:p>
      <w:pPr>
        <w:pStyle w:val="ListParagraph"/>
        <w:numPr>
          <w:ilvl w:val="1"/>
          <w:numId w:val="51"/>
        </w:numPr>
        <w:tabs>
          <w:tab w:pos="1440" w:val="left" w:leader="none"/>
        </w:tabs>
        <w:spacing w:line="266" w:lineRule="auto" w:before="0" w:after="0"/>
        <w:ind w:left="1440" w:right="0" w:hanging="360"/>
        <w:jc w:val="both"/>
        <w:rPr>
          <w:sz w:val="22"/>
        </w:rPr>
      </w:pPr>
      <w:r>
        <w:rPr>
          <w:spacing w:val="-2"/>
          <w:sz w:val="22"/>
        </w:rPr>
        <w:t>Journal</w:t>
      </w:r>
      <w:r>
        <w:rPr>
          <w:spacing w:val="-7"/>
          <w:sz w:val="22"/>
        </w:rPr>
        <w:t> </w:t>
      </w:r>
      <w:r>
        <w:rPr>
          <w:spacing w:val="-2"/>
          <w:sz w:val="22"/>
        </w:rPr>
        <w:t>clubs</w:t>
      </w:r>
      <w:r>
        <w:rPr>
          <w:spacing w:val="-7"/>
          <w:sz w:val="22"/>
        </w:rPr>
        <w:t> </w:t>
      </w:r>
      <w:r>
        <w:rPr>
          <w:spacing w:val="-2"/>
          <w:sz w:val="22"/>
        </w:rPr>
        <w:t>where</w:t>
      </w:r>
      <w:r>
        <w:rPr>
          <w:spacing w:val="-7"/>
          <w:sz w:val="22"/>
        </w:rPr>
        <w:t> </w:t>
      </w:r>
      <w:r>
        <w:rPr>
          <w:spacing w:val="-2"/>
          <w:sz w:val="22"/>
        </w:rPr>
        <w:t>students</w:t>
      </w:r>
      <w:r>
        <w:rPr>
          <w:spacing w:val="-7"/>
          <w:sz w:val="22"/>
        </w:rPr>
        <w:t> </w:t>
      </w:r>
      <w:r>
        <w:rPr>
          <w:spacing w:val="-2"/>
          <w:sz w:val="22"/>
        </w:rPr>
        <w:t>discuss</w:t>
      </w:r>
      <w:r>
        <w:rPr>
          <w:spacing w:val="-7"/>
          <w:sz w:val="22"/>
        </w:rPr>
        <w:t> </w:t>
      </w:r>
      <w:r>
        <w:rPr>
          <w:spacing w:val="-2"/>
          <w:sz w:val="22"/>
        </w:rPr>
        <w:t>articles</w:t>
      </w:r>
      <w:r>
        <w:rPr>
          <w:spacing w:val="-7"/>
          <w:sz w:val="22"/>
        </w:rPr>
        <w:t> </w:t>
      </w:r>
      <w:r>
        <w:rPr>
          <w:spacing w:val="-2"/>
          <w:sz w:val="22"/>
        </w:rPr>
        <w:t>other </w:t>
      </w:r>
      <w:r>
        <w:rPr>
          <w:sz w:val="22"/>
        </w:rPr>
        <w:t>than</w:t>
      </w:r>
      <w:r>
        <w:rPr>
          <w:spacing w:val="-14"/>
          <w:sz w:val="22"/>
        </w:rPr>
        <w:t> </w:t>
      </w:r>
      <w:r>
        <w:rPr>
          <w:sz w:val="22"/>
        </w:rPr>
        <w:t>those</w:t>
      </w:r>
      <w:r>
        <w:rPr>
          <w:spacing w:val="-14"/>
          <w:sz w:val="22"/>
        </w:rPr>
        <w:t> </w:t>
      </w:r>
      <w:r>
        <w:rPr>
          <w:sz w:val="22"/>
        </w:rPr>
        <w:t>in</w:t>
      </w:r>
      <w:r>
        <w:rPr>
          <w:spacing w:val="-14"/>
          <w:sz w:val="22"/>
        </w:rPr>
        <w:t> </w:t>
      </w:r>
      <w:r>
        <w:rPr>
          <w:sz w:val="22"/>
        </w:rPr>
        <w:t>their</w:t>
      </w:r>
      <w:r>
        <w:rPr>
          <w:spacing w:val="-13"/>
          <w:sz w:val="22"/>
        </w:rPr>
        <w:t> </w:t>
      </w:r>
      <w:r>
        <w:rPr>
          <w:sz w:val="22"/>
        </w:rPr>
        <w:t>own</w:t>
      </w:r>
      <w:r>
        <w:rPr>
          <w:spacing w:val="-14"/>
          <w:sz w:val="22"/>
        </w:rPr>
        <w:t> </w:t>
      </w:r>
      <w:r>
        <w:rPr>
          <w:sz w:val="22"/>
        </w:rPr>
        <w:t>areas</w:t>
      </w:r>
      <w:r>
        <w:rPr>
          <w:spacing w:val="-14"/>
          <w:sz w:val="22"/>
        </w:rPr>
        <w:t> </w:t>
      </w:r>
      <w:r>
        <w:rPr>
          <w:sz w:val="22"/>
        </w:rPr>
        <w:t>of</w:t>
      </w:r>
      <w:r>
        <w:rPr>
          <w:spacing w:val="-14"/>
          <w:sz w:val="22"/>
        </w:rPr>
        <w:t> </w:t>
      </w:r>
      <w:r>
        <w:rPr>
          <w:sz w:val="22"/>
        </w:rPr>
        <w:t>research</w:t>
      </w:r>
      <w:r>
        <w:rPr>
          <w:spacing w:val="-13"/>
          <w:sz w:val="22"/>
        </w:rPr>
        <w:t> </w:t>
      </w:r>
      <w:r>
        <w:rPr>
          <w:sz w:val="22"/>
        </w:rPr>
        <w:t>provide</w:t>
      </w:r>
      <w:r>
        <w:rPr>
          <w:spacing w:val="-14"/>
          <w:sz w:val="22"/>
        </w:rPr>
        <w:t> </w:t>
      </w:r>
      <w:r>
        <w:rPr>
          <w:sz w:val="22"/>
        </w:rPr>
        <w:t>a </w:t>
      </w:r>
      <w:r>
        <w:rPr>
          <w:spacing w:val="-4"/>
          <w:sz w:val="22"/>
        </w:rPr>
        <w:t>means</w:t>
      </w:r>
      <w:r>
        <w:rPr>
          <w:spacing w:val="-10"/>
          <w:sz w:val="22"/>
        </w:rPr>
        <w:t> </w:t>
      </w:r>
      <w:r>
        <w:rPr>
          <w:spacing w:val="-4"/>
          <w:sz w:val="22"/>
        </w:rPr>
        <w:t>to</w:t>
      </w:r>
      <w:r>
        <w:rPr>
          <w:spacing w:val="-10"/>
          <w:sz w:val="22"/>
        </w:rPr>
        <w:t> </w:t>
      </w:r>
      <w:r>
        <w:rPr>
          <w:spacing w:val="-4"/>
          <w:sz w:val="22"/>
        </w:rPr>
        <w:t>broaden</w:t>
      </w:r>
      <w:r>
        <w:rPr>
          <w:spacing w:val="-10"/>
          <w:sz w:val="22"/>
        </w:rPr>
        <w:t> </w:t>
      </w:r>
      <w:r>
        <w:rPr>
          <w:spacing w:val="-4"/>
          <w:sz w:val="22"/>
        </w:rPr>
        <w:t>the</w:t>
      </w:r>
      <w:r>
        <w:rPr>
          <w:spacing w:val="-9"/>
          <w:sz w:val="22"/>
        </w:rPr>
        <w:t> </w:t>
      </w:r>
      <w:r>
        <w:rPr>
          <w:spacing w:val="-4"/>
          <w:sz w:val="22"/>
        </w:rPr>
        <w:t>academic</w:t>
      </w:r>
      <w:r>
        <w:rPr>
          <w:spacing w:val="-10"/>
          <w:sz w:val="22"/>
        </w:rPr>
        <w:t> </w:t>
      </w:r>
      <w:r>
        <w:rPr>
          <w:spacing w:val="-4"/>
          <w:sz w:val="22"/>
        </w:rPr>
        <w:t>horizon</w:t>
      </w:r>
      <w:r>
        <w:rPr>
          <w:spacing w:val="-10"/>
          <w:sz w:val="22"/>
        </w:rPr>
        <w:t> </w:t>
      </w:r>
      <w:r>
        <w:rPr>
          <w:spacing w:val="-4"/>
          <w:sz w:val="22"/>
        </w:rPr>
        <w:t>of</w:t>
      </w:r>
      <w:r>
        <w:rPr>
          <w:spacing w:val="-10"/>
          <w:sz w:val="22"/>
        </w:rPr>
        <w:t> </w:t>
      </w:r>
      <w:r>
        <w:rPr>
          <w:spacing w:val="-4"/>
          <w:sz w:val="22"/>
        </w:rPr>
        <w:t>students.</w:t>
      </w:r>
    </w:p>
    <w:p>
      <w:pPr>
        <w:pStyle w:val="ListParagraph"/>
        <w:numPr>
          <w:ilvl w:val="1"/>
          <w:numId w:val="51"/>
        </w:numPr>
        <w:tabs>
          <w:tab w:pos="1439" w:val="left" w:leader="none"/>
        </w:tabs>
        <w:spacing w:line="266" w:lineRule="auto" w:before="0" w:after="0"/>
        <w:ind w:left="1439" w:right="0" w:hanging="360"/>
        <w:jc w:val="both"/>
        <w:rPr>
          <w:sz w:val="22"/>
        </w:rPr>
      </w:pPr>
      <w:r>
        <w:rPr>
          <w:sz w:val="22"/>
        </w:rPr>
        <w:t>Mentoring doctoral students for </w:t>
      </w:r>
      <w:r>
        <w:rPr>
          <w:sz w:val="22"/>
        </w:rPr>
        <w:t>meaningful participation by means of poster presentations </w:t>
      </w:r>
      <w:r>
        <w:rPr>
          <w:spacing w:val="-6"/>
          <w:sz w:val="22"/>
        </w:rPr>
        <w:t>(individually</w:t>
      </w:r>
      <w:r>
        <w:rPr>
          <w:spacing w:val="-8"/>
          <w:sz w:val="22"/>
        </w:rPr>
        <w:t> </w:t>
      </w:r>
      <w:r>
        <w:rPr>
          <w:spacing w:val="-6"/>
          <w:sz w:val="22"/>
        </w:rPr>
        <w:t>or</w:t>
      </w:r>
      <w:r>
        <w:rPr>
          <w:spacing w:val="-7"/>
          <w:sz w:val="22"/>
        </w:rPr>
        <w:t> </w:t>
      </w:r>
      <w:r>
        <w:rPr>
          <w:spacing w:val="-6"/>
          <w:sz w:val="22"/>
        </w:rPr>
        <w:t>in</w:t>
      </w:r>
      <w:r>
        <w:rPr>
          <w:spacing w:val="-8"/>
          <w:sz w:val="22"/>
        </w:rPr>
        <w:t> </w:t>
      </w:r>
      <w:r>
        <w:rPr>
          <w:spacing w:val="-6"/>
          <w:sz w:val="22"/>
        </w:rPr>
        <w:t>groups),</w:t>
      </w:r>
      <w:r>
        <w:rPr>
          <w:spacing w:val="-7"/>
          <w:sz w:val="22"/>
        </w:rPr>
        <w:t> </w:t>
      </w:r>
      <w:r>
        <w:rPr>
          <w:spacing w:val="-6"/>
          <w:sz w:val="22"/>
        </w:rPr>
        <w:t>group</w:t>
      </w:r>
      <w:r>
        <w:rPr>
          <w:spacing w:val="-8"/>
          <w:sz w:val="22"/>
        </w:rPr>
        <w:t> </w:t>
      </w:r>
      <w:r>
        <w:rPr>
          <w:spacing w:val="-6"/>
          <w:sz w:val="22"/>
        </w:rPr>
        <w:t>discussions</w:t>
      </w:r>
      <w:r>
        <w:rPr>
          <w:spacing w:val="-7"/>
          <w:sz w:val="22"/>
        </w:rPr>
        <w:t> </w:t>
      </w:r>
      <w:r>
        <w:rPr>
          <w:spacing w:val="-6"/>
          <w:sz w:val="22"/>
        </w:rPr>
        <w:t>would </w:t>
      </w:r>
      <w:r>
        <w:rPr>
          <w:sz w:val="22"/>
        </w:rPr>
        <w:t>provide further impetus in helping the students </w:t>
      </w:r>
      <w:r>
        <w:rPr>
          <w:spacing w:val="-2"/>
          <w:sz w:val="22"/>
        </w:rPr>
        <w:t>towards</w:t>
      </w:r>
      <w:r>
        <w:rPr>
          <w:spacing w:val="-12"/>
          <w:sz w:val="22"/>
        </w:rPr>
        <w:t> </w:t>
      </w:r>
      <w:r>
        <w:rPr>
          <w:spacing w:val="-2"/>
          <w:sz w:val="22"/>
        </w:rPr>
        <w:t>gaining</w:t>
      </w:r>
      <w:r>
        <w:rPr>
          <w:spacing w:val="-12"/>
          <w:sz w:val="22"/>
        </w:rPr>
        <w:t> </w:t>
      </w:r>
      <w:r>
        <w:rPr>
          <w:spacing w:val="-2"/>
          <w:sz w:val="22"/>
        </w:rPr>
        <w:t>confidence</w:t>
      </w:r>
      <w:r>
        <w:rPr>
          <w:spacing w:val="-12"/>
          <w:sz w:val="22"/>
        </w:rPr>
        <w:t> </w:t>
      </w:r>
      <w:r>
        <w:rPr>
          <w:spacing w:val="-2"/>
          <w:sz w:val="22"/>
        </w:rPr>
        <w:t>about</w:t>
      </w:r>
      <w:r>
        <w:rPr>
          <w:spacing w:val="-11"/>
          <w:sz w:val="22"/>
        </w:rPr>
        <w:t> </w:t>
      </w:r>
      <w:r>
        <w:rPr>
          <w:spacing w:val="-2"/>
          <w:sz w:val="22"/>
        </w:rPr>
        <w:t>their</w:t>
      </w:r>
      <w:r>
        <w:rPr>
          <w:spacing w:val="-12"/>
          <w:sz w:val="22"/>
        </w:rPr>
        <w:t> </w:t>
      </w:r>
      <w:r>
        <w:rPr>
          <w:spacing w:val="-2"/>
          <w:sz w:val="22"/>
        </w:rPr>
        <w:t>research.</w:t>
      </w:r>
      <w:r>
        <w:rPr>
          <w:spacing w:val="-12"/>
          <w:sz w:val="22"/>
        </w:rPr>
        <w:t> </w:t>
      </w:r>
      <w:r>
        <w:rPr>
          <w:spacing w:val="-2"/>
          <w:sz w:val="22"/>
        </w:rPr>
        <w:t>It </w:t>
      </w:r>
      <w:r>
        <w:rPr>
          <w:sz w:val="22"/>
        </w:rPr>
        <w:t>will</w:t>
      </w:r>
      <w:r>
        <w:rPr>
          <w:spacing w:val="-7"/>
          <w:sz w:val="22"/>
        </w:rPr>
        <w:t> </w:t>
      </w:r>
      <w:r>
        <w:rPr>
          <w:sz w:val="22"/>
        </w:rPr>
        <w:t>also</w:t>
      </w:r>
      <w:r>
        <w:rPr>
          <w:spacing w:val="-7"/>
          <w:sz w:val="22"/>
        </w:rPr>
        <w:t> </w:t>
      </w:r>
      <w:r>
        <w:rPr>
          <w:sz w:val="22"/>
        </w:rPr>
        <w:t>lead</w:t>
      </w:r>
      <w:r>
        <w:rPr>
          <w:spacing w:val="-7"/>
          <w:sz w:val="22"/>
        </w:rPr>
        <w:t> </w:t>
      </w:r>
      <w:r>
        <w:rPr>
          <w:sz w:val="22"/>
        </w:rPr>
        <w:t>to</w:t>
      </w:r>
      <w:r>
        <w:rPr>
          <w:spacing w:val="-7"/>
          <w:sz w:val="22"/>
        </w:rPr>
        <w:t> </w:t>
      </w:r>
      <w:r>
        <w:rPr>
          <w:sz w:val="22"/>
        </w:rPr>
        <w:t>a</w:t>
      </w:r>
      <w:r>
        <w:rPr>
          <w:spacing w:val="-7"/>
          <w:sz w:val="22"/>
        </w:rPr>
        <w:t> </w:t>
      </w:r>
      <w:r>
        <w:rPr>
          <w:sz w:val="22"/>
        </w:rPr>
        <w:t>larger</w:t>
      </w:r>
      <w:r>
        <w:rPr>
          <w:spacing w:val="-7"/>
          <w:sz w:val="22"/>
        </w:rPr>
        <w:t> </w:t>
      </w:r>
      <w:r>
        <w:rPr>
          <w:sz w:val="22"/>
        </w:rPr>
        <w:t>networking</w:t>
      </w:r>
      <w:r>
        <w:rPr>
          <w:spacing w:val="-7"/>
          <w:sz w:val="22"/>
        </w:rPr>
        <w:t> </w:t>
      </w:r>
      <w:r>
        <w:rPr>
          <w:sz w:val="22"/>
        </w:rPr>
        <w:t>among</w:t>
      </w:r>
      <w:r>
        <w:rPr>
          <w:spacing w:val="-7"/>
          <w:sz w:val="22"/>
        </w:rPr>
        <w:t> </w:t>
      </w:r>
      <w:r>
        <w:rPr>
          <w:sz w:val="22"/>
        </w:rPr>
        <w:t>peers </w:t>
      </w:r>
      <w:r>
        <w:rPr>
          <w:spacing w:val="-4"/>
          <w:sz w:val="22"/>
        </w:rPr>
        <w:t>and established researchers from around the world.</w:t>
      </w:r>
    </w:p>
    <w:p>
      <w:pPr>
        <w:pStyle w:val="Heading7"/>
        <w:spacing w:line="225" w:lineRule="auto" w:before="242"/>
        <w:ind w:left="1080"/>
      </w:pPr>
      <w:r>
        <w:rPr>
          <w:color w:val="2E614A"/>
          <w:spacing w:val="-2"/>
        </w:rPr>
        <w:t>Recommendation</w:t>
      </w:r>
      <w:r>
        <w:rPr>
          <w:color w:val="2E614A"/>
          <w:spacing w:val="-15"/>
        </w:rPr>
        <w:t> </w:t>
      </w:r>
      <w:r>
        <w:rPr>
          <w:color w:val="2E614A"/>
          <w:spacing w:val="-2"/>
        </w:rPr>
        <w:t>7:</w:t>
      </w:r>
      <w:r>
        <w:rPr>
          <w:color w:val="2E614A"/>
          <w:spacing w:val="-14"/>
        </w:rPr>
        <w:t> </w:t>
      </w:r>
      <w:r>
        <w:rPr>
          <w:color w:val="2E614A"/>
          <w:spacing w:val="-2"/>
        </w:rPr>
        <w:t>Comprehensive </w:t>
      </w:r>
      <w:r>
        <w:rPr>
          <w:color w:val="2E614A"/>
          <w:w w:val="90"/>
        </w:rPr>
        <w:t>assessment of doctoral thesis and </w:t>
      </w:r>
      <w:r>
        <w:rPr>
          <w:color w:val="2E614A"/>
          <w:w w:val="90"/>
        </w:rPr>
        <w:t>wider </w:t>
      </w:r>
      <w:r>
        <w:rPr>
          <w:color w:val="2E614A"/>
          <w:spacing w:val="-4"/>
        </w:rPr>
        <w:t>dissemination</w:t>
      </w:r>
      <w:r>
        <w:rPr>
          <w:color w:val="2E614A"/>
          <w:spacing w:val="-9"/>
        </w:rPr>
        <w:t> </w:t>
      </w:r>
      <w:r>
        <w:rPr>
          <w:color w:val="2E614A"/>
          <w:spacing w:val="-4"/>
        </w:rPr>
        <w:t>of</w:t>
      </w:r>
      <w:r>
        <w:rPr>
          <w:color w:val="2E614A"/>
          <w:spacing w:val="-9"/>
        </w:rPr>
        <w:t> </w:t>
      </w:r>
      <w:r>
        <w:rPr>
          <w:color w:val="2E614A"/>
          <w:spacing w:val="-4"/>
        </w:rPr>
        <w:t>research</w:t>
      </w:r>
      <w:r>
        <w:rPr>
          <w:color w:val="2E614A"/>
          <w:spacing w:val="-9"/>
        </w:rPr>
        <w:t> </w:t>
      </w:r>
      <w:r>
        <w:rPr>
          <w:color w:val="2E614A"/>
          <w:spacing w:val="-4"/>
        </w:rPr>
        <w:t>work</w:t>
      </w:r>
    </w:p>
    <w:p>
      <w:pPr>
        <w:pStyle w:val="BodyText"/>
        <w:rPr>
          <w:b/>
          <w:sz w:val="26"/>
        </w:rPr>
      </w:pPr>
    </w:p>
    <w:p>
      <w:pPr>
        <w:pStyle w:val="BodyText"/>
        <w:spacing w:line="266" w:lineRule="auto"/>
        <w:ind w:left="1080"/>
        <w:jc w:val="both"/>
      </w:pPr>
      <w:r>
        <w:rPr>
          <w:b/>
        </w:rPr>
        <w:t>Issues: </w:t>
      </w:r>
      <w:r>
        <w:rPr/>
        <w:t>Often there is no objective assessment </w:t>
      </w:r>
      <w:r>
        <w:rPr/>
        <w:t>of doctoral</w:t>
      </w:r>
      <w:r>
        <w:rPr>
          <w:spacing w:val="-5"/>
        </w:rPr>
        <w:t> </w:t>
      </w:r>
      <w:r>
        <w:rPr/>
        <w:t>thesis,</w:t>
      </w:r>
      <w:r>
        <w:rPr>
          <w:spacing w:val="-5"/>
        </w:rPr>
        <w:t> </w:t>
      </w:r>
      <w:r>
        <w:rPr/>
        <w:t>thus</w:t>
      </w:r>
      <w:r>
        <w:rPr>
          <w:spacing w:val="-5"/>
        </w:rPr>
        <w:t> </w:t>
      </w:r>
      <w:r>
        <w:rPr/>
        <w:t>leading</w:t>
      </w:r>
      <w:r>
        <w:rPr>
          <w:spacing w:val="-5"/>
        </w:rPr>
        <w:t> </w:t>
      </w:r>
      <w:r>
        <w:rPr/>
        <w:t>to</w:t>
      </w:r>
      <w:r>
        <w:rPr>
          <w:spacing w:val="-5"/>
        </w:rPr>
        <w:t> </w:t>
      </w:r>
      <w:r>
        <w:rPr/>
        <w:t>theses</w:t>
      </w:r>
      <w:r>
        <w:rPr>
          <w:spacing w:val="-5"/>
        </w:rPr>
        <w:t> </w:t>
      </w:r>
      <w:r>
        <w:rPr/>
        <w:t>of</w:t>
      </w:r>
      <w:r>
        <w:rPr>
          <w:spacing w:val="-5"/>
        </w:rPr>
        <w:t> </w:t>
      </w:r>
      <w:r>
        <w:rPr/>
        <w:t>poor</w:t>
      </w:r>
      <w:r>
        <w:rPr>
          <w:spacing w:val="-5"/>
        </w:rPr>
        <w:t> </w:t>
      </w:r>
      <w:r>
        <w:rPr/>
        <w:t>quality. The evaluation committee does not subject the thesis to</w:t>
      </w:r>
      <w:r>
        <w:rPr>
          <w:spacing w:val="-13"/>
        </w:rPr>
        <w:t> </w:t>
      </w:r>
      <w:r>
        <w:rPr/>
        <w:t>a</w:t>
      </w:r>
      <w:r>
        <w:rPr>
          <w:spacing w:val="-10"/>
        </w:rPr>
        <w:t> </w:t>
      </w:r>
      <w:r>
        <w:rPr/>
        <w:t>strict</w:t>
      </w:r>
      <w:r>
        <w:rPr>
          <w:spacing w:val="-10"/>
        </w:rPr>
        <w:t> </w:t>
      </w:r>
      <w:r>
        <w:rPr/>
        <w:t>scrutiny.</w:t>
      </w:r>
      <w:r>
        <w:rPr>
          <w:spacing w:val="-14"/>
        </w:rPr>
        <w:t> </w:t>
      </w:r>
      <w:r>
        <w:rPr/>
        <w:t>There</w:t>
      </w:r>
      <w:r>
        <w:rPr>
          <w:spacing w:val="-10"/>
        </w:rPr>
        <w:t> </w:t>
      </w:r>
      <w:r>
        <w:rPr/>
        <w:t>is</w:t>
      </w:r>
      <w:r>
        <w:rPr>
          <w:spacing w:val="-10"/>
        </w:rPr>
        <w:t> </w:t>
      </w:r>
      <w:r>
        <w:rPr/>
        <w:t>a</w:t>
      </w:r>
      <w:r>
        <w:rPr>
          <w:spacing w:val="-10"/>
        </w:rPr>
        <w:t> </w:t>
      </w:r>
      <w:r>
        <w:rPr/>
        <w:t>huge</w:t>
      </w:r>
      <w:r>
        <w:rPr>
          <w:spacing w:val="-10"/>
        </w:rPr>
        <w:t> </w:t>
      </w:r>
      <w:r>
        <w:rPr/>
        <w:t>problem</w:t>
      </w:r>
      <w:r>
        <w:rPr>
          <w:spacing w:val="-10"/>
        </w:rPr>
        <w:t> </w:t>
      </w:r>
      <w:r>
        <w:rPr/>
        <w:t>of</w:t>
      </w:r>
      <w:r>
        <w:rPr>
          <w:spacing w:val="-10"/>
        </w:rPr>
        <w:t> </w:t>
      </w:r>
      <w:r>
        <w:rPr/>
        <w:t>uneven quality across institutions, and this is particularly </w:t>
      </w:r>
      <w:r>
        <w:rPr>
          <w:spacing w:val="-2"/>
        </w:rPr>
        <w:t>marked</w:t>
      </w:r>
      <w:r>
        <w:rPr>
          <w:spacing w:val="-12"/>
        </w:rPr>
        <w:t> </w:t>
      </w:r>
      <w:r>
        <w:rPr>
          <w:spacing w:val="-2"/>
        </w:rPr>
        <w:t>in</w:t>
      </w:r>
      <w:r>
        <w:rPr>
          <w:spacing w:val="-11"/>
        </w:rPr>
        <w:t> </w:t>
      </w:r>
      <w:r>
        <w:rPr>
          <w:spacing w:val="-2"/>
        </w:rPr>
        <w:t>the</w:t>
      </w:r>
      <w:r>
        <w:rPr>
          <w:spacing w:val="-12"/>
        </w:rPr>
        <w:t> </w:t>
      </w:r>
      <w:r>
        <w:rPr>
          <w:spacing w:val="-2"/>
        </w:rPr>
        <w:t>Social</w:t>
      </w:r>
      <w:r>
        <w:rPr>
          <w:spacing w:val="-11"/>
        </w:rPr>
        <w:t> </w:t>
      </w:r>
      <w:r>
        <w:rPr>
          <w:spacing w:val="-2"/>
        </w:rPr>
        <w:t>Sciences</w:t>
      </w:r>
      <w:r>
        <w:rPr>
          <w:spacing w:val="-12"/>
        </w:rPr>
        <w:t> </w:t>
      </w:r>
      <w:r>
        <w:rPr>
          <w:spacing w:val="-2"/>
        </w:rPr>
        <w:t>and</w:t>
      </w:r>
      <w:r>
        <w:rPr>
          <w:spacing w:val="-11"/>
        </w:rPr>
        <w:t> </w:t>
      </w:r>
      <w:r>
        <w:rPr>
          <w:spacing w:val="-2"/>
        </w:rPr>
        <w:t>Humanities,</w:t>
      </w:r>
      <w:r>
        <w:rPr>
          <w:spacing w:val="-12"/>
        </w:rPr>
        <w:t> </w:t>
      </w:r>
      <w:r>
        <w:rPr>
          <w:spacing w:val="-2"/>
        </w:rPr>
        <w:t>even</w:t>
      </w:r>
      <w:r>
        <w:rPr>
          <w:spacing w:val="-11"/>
        </w:rPr>
        <w:t> </w:t>
      </w:r>
      <w:r>
        <w:rPr>
          <w:spacing w:val="-2"/>
        </w:rPr>
        <w:t>to the</w:t>
      </w:r>
      <w:r>
        <w:rPr>
          <w:spacing w:val="-9"/>
        </w:rPr>
        <w:t> </w:t>
      </w:r>
      <w:r>
        <w:rPr>
          <w:spacing w:val="-2"/>
        </w:rPr>
        <w:t>point</w:t>
      </w:r>
      <w:r>
        <w:rPr>
          <w:spacing w:val="-9"/>
        </w:rPr>
        <w:t> </w:t>
      </w:r>
      <w:r>
        <w:rPr>
          <w:spacing w:val="-2"/>
        </w:rPr>
        <w:t>where</w:t>
      </w:r>
      <w:r>
        <w:rPr>
          <w:spacing w:val="-9"/>
        </w:rPr>
        <w:t> </w:t>
      </w:r>
      <w:r>
        <w:rPr>
          <w:spacing w:val="-2"/>
        </w:rPr>
        <w:t>Ph.Ds</w:t>
      </w:r>
      <w:r>
        <w:rPr>
          <w:spacing w:val="-9"/>
        </w:rPr>
        <w:t> </w:t>
      </w:r>
      <w:r>
        <w:rPr>
          <w:spacing w:val="-2"/>
        </w:rPr>
        <w:t>can</w:t>
      </w:r>
      <w:r>
        <w:rPr>
          <w:spacing w:val="-9"/>
        </w:rPr>
        <w:t> </w:t>
      </w:r>
      <w:r>
        <w:rPr>
          <w:spacing w:val="-2"/>
        </w:rPr>
        <w:t>be</w:t>
      </w:r>
      <w:r>
        <w:rPr>
          <w:spacing w:val="-9"/>
        </w:rPr>
        <w:t> </w:t>
      </w:r>
      <w:r>
        <w:rPr>
          <w:spacing w:val="-2"/>
        </w:rPr>
        <w:t>“purchased”</w:t>
      </w:r>
      <w:r>
        <w:rPr>
          <w:spacing w:val="-9"/>
        </w:rPr>
        <w:t> </w:t>
      </w:r>
      <w:r>
        <w:rPr>
          <w:spacing w:val="-2"/>
        </w:rPr>
        <w:t>on</w:t>
      </w:r>
      <w:r>
        <w:rPr>
          <w:spacing w:val="-9"/>
        </w:rPr>
        <w:t> </w:t>
      </w:r>
      <w:r>
        <w:rPr>
          <w:spacing w:val="-2"/>
        </w:rPr>
        <w:t>the</w:t>
      </w:r>
      <w:r>
        <w:rPr>
          <w:spacing w:val="-9"/>
        </w:rPr>
        <w:t> </w:t>
      </w:r>
      <w:r>
        <w:rPr>
          <w:spacing w:val="-2"/>
        </w:rPr>
        <w:t>basis </w:t>
      </w:r>
      <w:r>
        <w:rPr/>
        <w:t>of minimal work in some places.</w:t>
      </w:r>
    </w:p>
    <w:p>
      <w:pPr>
        <w:pStyle w:val="BodyText"/>
        <w:spacing w:before="21"/>
      </w:pPr>
    </w:p>
    <w:p>
      <w:pPr>
        <w:pStyle w:val="BodyText"/>
        <w:spacing w:line="266" w:lineRule="auto"/>
        <w:ind w:left="1080"/>
        <w:jc w:val="both"/>
      </w:pPr>
      <w:r>
        <w:rPr/>
        <w:t>One</w:t>
      </w:r>
      <w:r>
        <w:rPr>
          <w:spacing w:val="40"/>
        </w:rPr>
        <w:t> </w:t>
      </w:r>
      <w:r>
        <w:rPr/>
        <w:t>of</w:t>
      </w:r>
      <w:r>
        <w:rPr>
          <w:spacing w:val="40"/>
        </w:rPr>
        <w:t> </w:t>
      </w:r>
      <w:r>
        <w:rPr/>
        <w:t>the</w:t>
      </w:r>
      <w:r>
        <w:rPr>
          <w:spacing w:val="40"/>
        </w:rPr>
        <w:t> </w:t>
      </w:r>
      <w:r>
        <w:rPr/>
        <w:t>fundamental</w:t>
      </w:r>
      <w:r>
        <w:rPr>
          <w:spacing w:val="40"/>
        </w:rPr>
        <w:t> </w:t>
      </w:r>
      <w:r>
        <w:rPr/>
        <w:t>requirements</w:t>
      </w:r>
      <w:r>
        <w:rPr>
          <w:spacing w:val="40"/>
        </w:rPr>
        <w:t> </w:t>
      </w:r>
      <w:r>
        <w:rPr/>
        <w:t>for</w:t>
      </w:r>
      <w:r>
        <w:rPr>
          <w:spacing w:val="40"/>
        </w:rPr>
        <w:t> </w:t>
      </w:r>
      <w:r>
        <w:rPr/>
        <w:t>running</w:t>
      </w:r>
      <w:r>
        <w:rPr>
          <w:spacing w:val="40"/>
        </w:rPr>
        <w:t> </w:t>
      </w:r>
      <w:r>
        <w:rPr/>
        <w:t>a</w:t>
      </w:r>
      <w:r>
        <w:rPr>
          <w:spacing w:val="-1"/>
        </w:rPr>
        <w:t> </w:t>
      </w:r>
      <w:r>
        <w:rPr/>
        <w:t>quality</w:t>
      </w:r>
      <w:r>
        <w:rPr>
          <w:spacing w:val="-1"/>
        </w:rPr>
        <w:t> </w:t>
      </w:r>
      <w:r>
        <w:rPr/>
        <w:t>doctoral</w:t>
      </w:r>
      <w:r>
        <w:rPr>
          <w:spacing w:val="-1"/>
        </w:rPr>
        <w:t> </w:t>
      </w:r>
      <w:r>
        <w:rPr/>
        <w:t>program</w:t>
      </w:r>
      <w:r>
        <w:rPr>
          <w:spacing w:val="-1"/>
        </w:rPr>
        <w:t> </w:t>
      </w:r>
      <w:r>
        <w:rPr/>
        <w:t>is</w:t>
      </w:r>
      <w:r>
        <w:rPr>
          <w:spacing w:val="-1"/>
        </w:rPr>
        <w:t> </w:t>
      </w:r>
      <w:r>
        <w:rPr/>
        <w:t>to</w:t>
      </w:r>
      <w:r>
        <w:rPr>
          <w:spacing w:val="-1"/>
        </w:rPr>
        <w:t> </w:t>
      </w:r>
      <w:r>
        <w:rPr/>
        <w:t>have</w:t>
      </w:r>
      <w:r>
        <w:rPr>
          <w:spacing w:val="-1"/>
        </w:rPr>
        <w:t> </w:t>
      </w:r>
      <w:r>
        <w:rPr/>
        <w:t>a</w:t>
      </w:r>
      <w:r>
        <w:rPr>
          <w:spacing w:val="-1"/>
        </w:rPr>
        <w:t> </w:t>
      </w:r>
      <w:r>
        <w:rPr/>
        <w:t>strong</w:t>
      </w:r>
      <w:r>
        <w:rPr>
          <w:spacing w:val="-1"/>
        </w:rPr>
        <w:t> </w:t>
      </w:r>
      <w:r>
        <w:rPr/>
        <w:t>faculty involved</w:t>
      </w:r>
      <w:r>
        <w:rPr>
          <w:spacing w:val="19"/>
        </w:rPr>
        <w:t> </w:t>
      </w:r>
      <w:r>
        <w:rPr/>
        <w:t>in</w:t>
      </w:r>
      <w:r>
        <w:rPr>
          <w:spacing w:val="19"/>
        </w:rPr>
        <w:t> </w:t>
      </w:r>
      <w:r>
        <w:rPr/>
        <w:t>front-line</w:t>
      </w:r>
      <w:r>
        <w:rPr>
          <w:spacing w:val="19"/>
        </w:rPr>
        <w:t> </w:t>
      </w:r>
      <w:r>
        <w:rPr/>
        <w:t>exciting</w:t>
      </w:r>
      <w:r>
        <w:rPr>
          <w:spacing w:val="20"/>
        </w:rPr>
        <w:t> </w:t>
      </w:r>
      <w:r>
        <w:rPr/>
        <w:t>research.</w:t>
      </w:r>
      <w:r>
        <w:rPr>
          <w:spacing w:val="19"/>
        </w:rPr>
        <w:t> </w:t>
      </w:r>
      <w:r>
        <w:rPr/>
        <w:t>It</w:t>
      </w:r>
      <w:r>
        <w:rPr>
          <w:spacing w:val="19"/>
        </w:rPr>
        <w:t> </w:t>
      </w:r>
      <w:r>
        <w:rPr/>
        <w:t>is</w:t>
      </w:r>
      <w:r>
        <w:rPr>
          <w:spacing w:val="19"/>
        </w:rPr>
        <w:t> </w:t>
      </w:r>
      <w:r>
        <w:rPr>
          <w:spacing w:val="-6"/>
        </w:rPr>
        <w:t>equally</w:t>
      </w:r>
    </w:p>
    <w:p>
      <w:pPr>
        <w:pStyle w:val="BodyText"/>
        <w:spacing w:line="266" w:lineRule="auto" w:before="57"/>
        <w:ind w:left="319" w:right="1077"/>
        <w:jc w:val="both"/>
      </w:pPr>
      <w:r>
        <w:rPr/>
        <w:br w:type="column"/>
      </w:r>
      <w:r>
        <w:rPr/>
        <w:t>important that reputed examiners are appointed </w:t>
      </w:r>
      <w:r>
        <w:rPr/>
        <w:t>to validate</w:t>
      </w:r>
      <w:r>
        <w:rPr>
          <w:spacing w:val="-2"/>
        </w:rPr>
        <w:t> </w:t>
      </w:r>
      <w:r>
        <w:rPr/>
        <w:t>the</w:t>
      </w:r>
      <w:r>
        <w:rPr>
          <w:spacing w:val="-2"/>
        </w:rPr>
        <w:t> </w:t>
      </w:r>
      <w:r>
        <w:rPr/>
        <w:t>quality</w:t>
      </w:r>
      <w:r>
        <w:rPr>
          <w:spacing w:val="-2"/>
        </w:rPr>
        <w:t> </w:t>
      </w:r>
      <w:r>
        <w:rPr/>
        <w:t>of</w:t>
      </w:r>
      <w:r>
        <w:rPr>
          <w:spacing w:val="-2"/>
        </w:rPr>
        <w:t> </w:t>
      </w:r>
      <w:r>
        <w:rPr/>
        <w:t>output</w:t>
      </w:r>
      <w:r>
        <w:rPr>
          <w:spacing w:val="-2"/>
        </w:rPr>
        <w:t> </w:t>
      </w:r>
      <w:r>
        <w:rPr/>
        <w:t>of</w:t>
      </w:r>
      <w:r>
        <w:rPr>
          <w:spacing w:val="-2"/>
        </w:rPr>
        <w:t> </w:t>
      </w:r>
      <w:r>
        <w:rPr/>
        <w:t>research</w:t>
      </w:r>
      <w:r>
        <w:rPr>
          <w:spacing w:val="-2"/>
        </w:rPr>
        <w:t> </w:t>
      </w:r>
      <w:r>
        <w:rPr/>
        <w:t>thesis.</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A</w:t>
      </w:r>
      <w:r>
        <w:rPr>
          <w:spacing w:val="-13"/>
          <w:sz w:val="22"/>
        </w:rPr>
        <w:t> </w:t>
      </w:r>
      <w:r>
        <w:rPr>
          <w:sz w:val="22"/>
        </w:rPr>
        <w:t>combination</w:t>
      </w:r>
      <w:r>
        <w:rPr>
          <w:spacing w:val="-13"/>
          <w:sz w:val="22"/>
        </w:rPr>
        <w:t> </w:t>
      </w:r>
      <w:r>
        <w:rPr>
          <w:sz w:val="22"/>
        </w:rPr>
        <w:t>of</w:t>
      </w:r>
      <w:r>
        <w:rPr>
          <w:spacing w:val="-13"/>
          <w:sz w:val="22"/>
        </w:rPr>
        <w:t> </w:t>
      </w:r>
      <w:r>
        <w:rPr>
          <w:sz w:val="22"/>
        </w:rPr>
        <w:t>internal</w:t>
      </w:r>
      <w:r>
        <w:rPr>
          <w:spacing w:val="-13"/>
          <w:sz w:val="22"/>
        </w:rPr>
        <w:t> </w:t>
      </w:r>
      <w:r>
        <w:rPr>
          <w:sz w:val="22"/>
        </w:rPr>
        <w:t>and</w:t>
      </w:r>
      <w:r>
        <w:rPr>
          <w:spacing w:val="-13"/>
          <w:sz w:val="22"/>
        </w:rPr>
        <w:t> </w:t>
      </w:r>
      <w:r>
        <w:rPr>
          <w:sz w:val="22"/>
        </w:rPr>
        <w:t>external</w:t>
      </w:r>
      <w:r>
        <w:rPr>
          <w:spacing w:val="-13"/>
          <w:sz w:val="22"/>
        </w:rPr>
        <w:t> </w:t>
      </w:r>
      <w:r>
        <w:rPr>
          <w:sz w:val="22"/>
        </w:rPr>
        <w:t>examiners should be used to make the system more robust. </w:t>
      </w:r>
      <w:r>
        <w:rPr>
          <w:spacing w:val="-4"/>
          <w:sz w:val="22"/>
        </w:rPr>
        <w:t>The</w:t>
      </w:r>
      <w:r>
        <w:rPr>
          <w:spacing w:val="-10"/>
          <w:sz w:val="22"/>
        </w:rPr>
        <w:t> </w:t>
      </w:r>
      <w:r>
        <w:rPr>
          <w:spacing w:val="-4"/>
          <w:sz w:val="22"/>
        </w:rPr>
        <w:t>names</w:t>
      </w:r>
      <w:r>
        <w:rPr>
          <w:spacing w:val="-10"/>
          <w:sz w:val="22"/>
        </w:rPr>
        <w:t> </w:t>
      </w:r>
      <w:r>
        <w:rPr>
          <w:spacing w:val="-4"/>
          <w:sz w:val="22"/>
        </w:rPr>
        <w:t>of</w:t>
      </w:r>
      <w:r>
        <w:rPr>
          <w:spacing w:val="-10"/>
          <w:sz w:val="22"/>
        </w:rPr>
        <w:t> </w:t>
      </w:r>
      <w:r>
        <w:rPr>
          <w:spacing w:val="-4"/>
          <w:sz w:val="22"/>
        </w:rPr>
        <w:t>members</w:t>
      </w:r>
      <w:r>
        <w:rPr>
          <w:spacing w:val="-9"/>
          <w:sz w:val="22"/>
        </w:rPr>
        <w:t> </w:t>
      </w:r>
      <w:r>
        <w:rPr>
          <w:spacing w:val="-4"/>
          <w:sz w:val="22"/>
        </w:rPr>
        <w:t>of</w:t>
      </w:r>
      <w:r>
        <w:rPr>
          <w:spacing w:val="-10"/>
          <w:sz w:val="22"/>
        </w:rPr>
        <w:t> </w:t>
      </w:r>
      <w:r>
        <w:rPr>
          <w:spacing w:val="-4"/>
          <w:sz w:val="22"/>
        </w:rPr>
        <w:t>the</w:t>
      </w:r>
      <w:r>
        <w:rPr>
          <w:spacing w:val="-10"/>
          <w:sz w:val="22"/>
        </w:rPr>
        <w:t> </w:t>
      </w:r>
      <w:r>
        <w:rPr>
          <w:spacing w:val="-4"/>
          <w:sz w:val="22"/>
        </w:rPr>
        <w:t>respective</w:t>
      </w:r>
      <w:r>
        <w:rPr>
          <w:spacing w:val="-10"/>
          <w:sz w:val="22"/>
        </w:rPr>
        <w:t> </w:t>
      </w:r>
      <w:r>
        <w:rPr>
          <w:spacing w:val="-4"/>
          <w:sz w:val="22"/>
        </w:rPr>
        <w:t>evaluation </w:t>
      </w:r>
      <w:r>
        <w:rPr>
          <w:sz w:val="22"/>
        </w:rPr>
        <w:t>committee should be attached to each approved thesis.</w:t>
      </w:r>
      <w:r>
        <w:rPr>
          <w:spacing w:val="-5"/>
          <w:sz w:val="22"/>
        </w:rPr>
        <w:t> </w:t>
      </w:r>
      <w:r>
        <w:rPr>
          <w:sz w:val="22"/>
        </w:rPr>
        <w:t>It</w:t>
      </w:r>
      <w:r>
        <w:rPr>
          <w:spacing w:val="-5"/>
          <w:sz w:val="22"/>
        </w:rPr>
        <w:t> </w:t>
      </w:r>
      <w:r>
        <w:rPr>
          <w:sz w:val="22"/>
        </w:rPr>
        <w:t>is</w:t>
      </w:r>
      <w:r>
        <w:rPr>
          <w:spacing w:val="-5"/>
          <w:sz w:val="22"/>
        </w:rPr>
        <w:t> </w:t>
      </w:r>
      <w:r>
        <w:rPr>
          <w:sz w:val="22"/>
        </w:rPr>
        <w:t>important</w:t>
      </w:r>
      <w:r>
        <w:rPr>
          <w:spacing w:val="-5"/>
          <w:sz w:val="22"/>
        </w:rPr>
        <w:t> </w:t>
      </w:r>
      <w:r>
        <w:rPr>
          <w:sz w:val="22"/>
        </w:rPr>
        <w:t>to</w:t>
      </w:r>
      <w:r>
        <w:rPr>
          <w:spacing w:val="-5"/>
          <w:sz w:val="22"/>
        </w:rPr>
        <w:t> </w:t>
      </w:r>
      <w:r>
        <w:rPr>
          <w:sz w:val="22"/>
        </w:rPr>
        <w:t>bring</w:t>
      </w:r>
      <w:r>
        <w:rPr>
          <w:spacing w:val="-5"/>
          <w:sz w:val="22"/>
        </w:rPr>
        <w:t> </w:t>
      </w:r>
      <w:r>
        <w:rPr>
          <w:sz w:val="22"/>
        </w:rPr>
        <w:t>transparency</w:t>
      </w:r>
      <w:r>
        <w:rPr>
          <w:spacing w:val="-5"/>
          <w:sz w:val="22"/>
        </w:rPr>
        <w:t> </w:t>
      </w:r>
      <w:r>
        <w:rPr>
          <w:sz w:val="22"/>
        </w:rPr>
        <w:t>in</w:t>
      </w:r>
      <w:r>
        <w:rPr>
          <w:spacing w:val="-5"/>
          <w:sz w:val="22"/>
        </w:rPr>
        <w:t> </w:t>
      </w:r>
      <w:r>
        <w:rPr>
          <w:sz w:val="22"/>
        </w:rPr>
        <w:t>the system and attention to quality.</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Open defence of thesis could be mandated. If </w:t>
      </w:r>
      <w:r>
        <w:rPr>
          <w:sz w:val="22"/>
        </w:rPr>
        <w:t>a student fails to defend his/her work suitably, a second defence can be planned after six months. Honourable exit options should be provided for doctoral students.</w:t>
      </w:r>
    </w:p>
    <w:p>
      <w:pPr>
        <w:pStyle w:val="ListParagraph"/>
        <w:numPr>
          <w:ilvl w:val="0"/>
          <w:numId w:val="51"/>
        </w:numPr>
        <w:tabs>
          <w:tab w:pos="679" w:val="left" w:leader="none"/>
        </w:tabs>
        <w:spacing w:line="266" w:lineRule="auto" w:before="0" w:after="0"/>
        <w:ind w:left="679" w:right="1078" w:hanging="360"/>
        <w:jc w:val="both"/>
        <w:rPr>
          <w:sz w:val="22"/>
        </w:rPr>
      </w:pPr>
      <w:r>
        <w:rPr>
          <w:sz w:val="22"/>
        </w:rPr>
        <w:t>Publications in quality research journals </w:t>
      </w:r>
      <w:r>
        <w:rPr>
          <w:sz w:val="22"/>
        </w:rPr>
        <w:t>should be</w:t>
      </w:r>
      <w:r>
        <w:rPr>
          <w:spacing w:val="-4"/>
          <w:sz w:val="22"/>
        </w:rPr>
        <w:t> </w:t>
      </w:r>
      <w:r>
        <w:rPr>
          <w:sz w:val="22"/>
        </w:rPr>
        <w:t>encouraged.</w:t>
      </w:r>
      <w:r>
        <w:rPr>
          <w:spacing w:val="-4"/>
          <w:sz w:val="22"/>
        </w:rPr>
        <w:t> </w:t>
      </w:r>
      <w:r>
        <w:rPr>
          <w:sz w:val="22"/>
        </w:rPr>
        <w:t>Open</w:t>
      </w:r>
      <w:r>
        <w:rPr>
          <w:spacing w:val="-4"/>
          <w:sz w:val="22"/>
        </w:rPr>
        <w:t> </w:t>
      </w:r>
      <w:r>
        <w:rPr>
          <w:sz w:val="22"/>
        </w:rPr>
        <w:t>peer</w:t>
      </w:r>
      <w:r>
        <w:rPr>
          <w:spacing w:val="-4"/>
          <w:sz w:val="22"/>
        </w:rPr>
        <w:t> </w:t>
      </w:r>
      <w:r>
        <w:rPr>
          <w:sz w:val="22"/>
        </w:rPr>
        <w:t>review</w:t>
      </w:r>
      <w:r>
        <w:rPr>
          <w:spacing w:val="-4"/>
          <w:sz w:val="22"/>
        </w:rPr>
        <w:t> </w:t>
      </w:r>
      <w:r>
        <w:rPr>
          <w:sz w:val="22"/>
        </w:rPr>
        <w:t>of</w:t>
      </w:r>
      <w:r>
        <w:rPr>
          <w:spacing w:val="-4"/>
          <w:sz w:val="22"/>
        </w:rPr>
        <w:t> </w:t>
      </w:r>
      <w:r>
        <w:rPr>
          <w:sz w:val="22"/>
        </w:rPr>
        <w:t>publications should be aimed at.</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Ph.D thesis should be uploaded on the </w:t>
      </w:r>
      <w:r>
        <w:rPr>
          <w:sz w:val="22"/>
        </w:rPr>
        <w:t>internet, preferably on the proposed National Research </w:t>
      </w:r>
      <w:r>
        <w:rPr>
          <w:spacing w:val="-6"/>
          <w:sz w:val="22"/>
        </w:rPr>
        <w:t>Portal.</w:t>
      </w:r>
      <w:r>
        <w:rPr>
          <w:spacing w:val="-8"/>
          <w:sz w:val="22"/>
        </w:rPr>
        <w:t> </w:t>
      </w:r>
      <w:r>
        <w:rPr>
          <w:spacing w:val="-6"/>
          <w:sz w:val="22"/>
        </w:rPr>
        <w:t>In</w:t>
      </w:r>
      <w:r>
        <w:rPr>
          <w:spacing w:val="-8"/>
          <w:sz w:val="22"/>
        </w:rPr>
        <w:t> </w:t>
      </w:r>
      <w:r>
        <w:rPr>
          <w:spacing w:val="-6"/>
          <w:sz w:val="22"/>
        </w:rPr>
        <w:t>any</w:t>
      </w:r>
      <w:r>
        <w:rPr>
          <w:spacing w:val="-8"/>
          <w:sz w:val="22"/>
        </w:rPr>
        <w:t> </w:t>
      </w:r>
      <w:r>
        <w:rPr>
          <w:spacing w:val="-6"/>
          <w:sz w:val="22"/>
        </w:rPr>
        <w:t>event,</w:t>
      </w:r>
      <w:r>
        <w:rPr>
          <w:spacing w:val="-7"/>
          <w:sz w:val="22"/>
        </w:rPr>
        <w:t> </w:t>
      </w:r>
      <w:r>
        <w:rPr>
          <w:spacing w:val="-6"/>
          <w:sz w:val="22"/>
        </w:rPr>
        <w:t>open</w:t>
      </w:r>
      <w:r>
        <w:rPr>
          <w:spacing w:val="-8"/>
          <w:sz w:val="22"/>
        </w:rPr>
        <w:t> </w:t>
      </w:r>
      <w:r>
        <w:rPr>
          <w:spacing w:val="-6"/>
          <w:sz w:val="22"/>
        </w:rPr>
        <w:t>and</w:t>
      </w:r>
      <w:r>
        <w:rPr>
          <w:spacing w:val="-8"/>
          <w:sz w:val="22"/>
        </w:rPr>
        <w:t> </w:t>
      </w:r>
      <w:r>
        <w:rPr>
          <w:spacing w:val="-6"/>
          <w:sz w:val="22"/>
        </w:rPr>
        <w:t>free</w:t>
      </w:r>
      <w:r>
        <w:rPr>
          <w:spacing w:val="-8"/>
          <w:sz w:val="22"/>
        </w:rPr>
        <w:t> </w:t>
      </w:r>
      <w:r>
        <w:rPr>
          <w:spacing w:val="-6"/>
          <w:sz w:val="22"/>
        </w:rPr>
        <w:t>access</w:t>
      </w:r>
      <w:r>
        <w:rPr>
          <w:spacing w:val="-7"/>
          <w:sz w:val="22"/>
        </w:rPr>
        <w:t> </w:t>
      </w:r>
      <w:r>
        <w:rPr>
          <w:spacing w:val="-6"/>
          <w:sz w:val="22"/>
        </w:rPr>
        <w:t>to</w:t>
      </w:r>
      <w:r>
        <w:rPr>
          <w:spacing w:val="-8"/>
          <w:sz w:val="22"/>
        </w:rPr>
        <w:t> </w:t>
      </w:r>
      <w:r>
        <w:rPr>
          <w:spacing w:val="-6"/>
          <w:sz w:val="22"/>
        </w:rPr>
        <w:t>research </w:t>
      </w:r>
      <w:r>
        <w:rPr>
          <w:spacing w:val="-4"/>
          <w:sz w:val="22"/>
        </w:rPr>
        <w:t>output</w:t>
      </w:r>
      <w:r>
        <w:rPr>
          <w:spacing w:val="-10"/>
          <w:sz w:val="22"/>
        </w:rPr>
        <w:t> </w:t>
      </w:r>
      <w:r>
        <w:rPr>
          <w:spacing w:val="-4"/>
          <w:sz w:val="22"/>
        </w:rPr>
        <w:t>in</w:t>
      </w:r>
      <w:r>
        <w:rPr>
          <w:spacing w:val="-10"/>
          <w:sz w:val="22"/>
        </w:rPr>
        <w:t> </w:t>
      </w:r>
      <w:r>
        <w:rPr>
          <w:spacing w:val="-4"/>
          <w:sz w:val="22"/>
        </w:rPr>
        <w:t>archives</w:t>
      </w:r>
      <w:r>
        <w:rPr>
          <w:spacing w:val="-10"/>
          <w:sz w:val="22"/>
        </w:rPr>
        <w:t> </w:t>
      </w:r>
      <w:r>
        <w:rPr>
          <w:spacing w:val="-4"/>
          <w:sz w:val="22"/>
        </w:rPr>
        <w:t>and</w:t>
      </w:r>
      <w:r>
        <w:rPr>
          <w:spacing w:val="-9"/>
          <w:sz w:val="22"/>
        </w:rPr>
        <w:t> </w:t>
      </w:r>
      <w:r>
        <w:rPr>
          <w:spacing w:val="-4"/>
          <w:sz w:val="22"/>
        </w:rPr>
        <w:t>other</w:t>
      </w:r>
      <w:r>
        <w:rPr>
          <w:spacing w:val="-10"/>
          <w:sz w:val="22"/>
        </w:rPr>
        <w:t> </w:t>
      </w:r>
      <w:r>
        <w:rPr>
          <w:spacing w:val="-4"/>
          <w:sz w:val="22"/>
        </w:rPr>
        <w:t>digital</w:t>
      </w:r>
      <w:r>
        <w:rPr>
          <w:spacing w:val="-10"/>
          <w:sz w:val="22"/>
        </w:rPr>
        <w:t> </w:t>
      </w:r>
      <w:r>
        <w:rPr>
          <w:spacing w:val="-4"/>
          <w:sz w:val="22"/>
        </w:rPr>
        <w:t>media</w:t>
      </w:r>
      <w:r>
        <w:rPr>
          <w:spacing w:val="-10"/>
          <w:sz w:val="22"/>
        </w:rPr>
        <w:t> </w:t>
      </w:r>
      <w:r>
        <w:rPr>
          <w:spacing w:val="-4"/>
          <w:sz w:val="22"/>
        </w:rPr>
        <w:t>resources </w:t>
      </w:r>
      <w:r>
        <w:rPr>
          <w:sz w:val="22"/>
        </w:rPr>
        <w:t>should be made mandatory.</w:t>
      </w:r>
    </w:p>
    <w:p>
      <w:pPr>
        <w:pStyle w:val="BodyText"/>
        <w:spacing w:before="10"/>
      </w:pPr>
    </w:p>
    <w:p>
      <w:pPr>
        <w:pStyle w:val="BodyText"/>
        <w:spacing w:line="266" w:lineRule="auto"/>
        <w:ind w:left="319" w:right="1077"/>
        <w:jc w:val="both"/>
      </w:pPr>
      <w:r>
        <w:rPr>
          <w:spacing w:val="-4"/>
        </w:rPr>
        <w:t>Alternative</w:t>
      </w:r>
      <w:r>
        <w:rPr>
          <w:spacing w:val="-10"/>
        </w:rPr>
        <w:t> </w:t>
      </w:r>
      <w:r>
        <w:rPr>
          <w:spacing w:val="-4"/>
        </w:rPr>
        <w:t>systems</w:t>
      </w:r>
      <w:r>
        <w:rPr>
          <w:spacing w:val="-10"/>
        </w:rPr>
        <w:t> </w:t>
      </w:r>
      <w:r>
        <w:rPr>
          <w:spacing w:val="-4"/>
        </w:rPr>
        <w:t>to</w:t>
      </w:r>
      <w:r>
        <w:rPr>
          <w:spacing w:val="-10"/>
        </w:rPr>
        <w:t> </w:t>
      </w:r>
      <w:r>
        <w:rPr>
          <w:spacing w:val="-4"/>
        </w:rPr>
        <w:t>grant</w:t>
      </w:r>
      <w:r>
        <w:rPr>
          <w:spacing w:val="-9"/>
        </w:rPr>
        <w:t> </w:t>
      </w:r>
      <w:r>
        <w:rPr>
          <w:spacing w:val="-4"/>
        </w:rPr>
        <w:t>a</w:t>
      </w:r>
      <w:r>
        <w:rPr>
          <w:spacing w:val="-10"/>
        </w:rPr>
        <w:t> </w:t>
      </w:r>
      <w:r>
        <w:rPr>
          <w:spacing w:val="-4"/>
        </w:rPr>
        <w:t>Ph.D</w:t>
      </w:r>
      <w:r>
        <w:rPr>
          <w:spacing w:val="-10"/>
        </w:rPr>
        <w:t> </w:t>
      </w:r>
      <w:r>
        <w:rPr>
          <w:spacing w:val="-4"/>
        </w:rPr>
        <w:t>can</w:t>
      </w:r>
      <w:r>
        <w:rPr>
          <w:spacing w:val="-10"/>
        </w:rPr>
        <w:t> </w:t>
      </w:r>
      <w:r>
        <w:rPr>
          <w:spacing w:val="-4"/>
        </w:rPr>
        <w:t>be</w:t>
      </w:r>
      <w:r>
        <w:rPr>
          <w:spacing w:val="-9"/>
        </w:rPr>
        <w:t> </w:t>
      </w:r>
      <w:r>
        <w:rPr>
          <w:spacing w:val="-4"/>
        </w:rPr>
        <w:t>explored.</w:t>
      </w:r>
      <w:r>
        <w:rPr>
          <w:spacing w:val="-10"/>
        </w:rPr>
        <w:t> </w:t>
      </w:r>
      <w:r>
        <w:rPr>
          <w:spacing w:val="-4"/>
        </w:rPr>
        <w:t>As </w:t>
      </w:r>
      <w:r>
        <w:rPr>
          <w:spacing w:val="-2"/>
        </w:rPr>
        <w:t>practised</w:t>
      </w:r>
      <w:r>
        <w:rPr>
          <w:spacing w:val="-12"/>
        </w:rPr>
        <w:t> </w:t>
      </w:r>
      <w:r>
        <w:rPr>
          <w:spacing w:val="-2"/>
        </w:rPr>
        <w:t>these</w:t>
      </w:r>
      <w:r>
        <w:rPr>
          <w:spacing w:val="-12"/>
        </w:rPr>
        <w:t> </w:t>
      </w:r>
      <w:r>
        <w:rPr>
          <w:spacing w:val="-2"/>
        </w:rPr>
        <w:t>days</w:t>
      </w:r>
      <w:r>
        <w:rPr>
          <w:spacing w:val="-12"/>
        </w:rPr>
        <w:t> </w:t>
      </w:r>
      <w:r>
        <w:rPr>
          <w:spacing w:val="-2"/>
        </w:rPr>
        <w:t>in</w:t>
      </w:r>
      <w:r>
        <w:rPr>
          <w:spacing w:val="-11"/>
        </w:rPr>
        <w:t> </w:t>
      </w:r>
      <w:r>
        <w:rPr>
          <w:spacing w:val="-2"/>
        </w:rPr>
        <w:t>Germany,</w:t>
      </w:r>
      <w:r>
        <w:rPr>
          <w:spacing w:val="-12"/>
        </w:rPr>
        <w:t> </w:t>
      </w:r>
      <w:r>
        <w:rPr>
          <w:spacing w:val="-2"/>
        </w:rPr>
        <w:t>five</w:t>
      </w:r>
      <w:r>
        <w:rPr>
          <w:spacing w:val="-12"/>
        </w:rPr>
        <w:t> </w:t>
      </w:r>
      <w:r>
        <w:rPr>
          <w:spacing w:val="-2"/>
        </w:rPr>
        <w:t>published</w:t>
      </w:r>
      <w:r>
        <w:rPr>
          <w:spacing w:val="-12"/>
        </w:rPr>
        <w:t> </w:t>
      </w:r>
      <w:r>
        <w:rPr>
          <w:spacing w:val="-2"/>
        </w:rPr>
        <w:t>papers </w:t>
      </w:r>
      <w:r>
        <w:rPr/>
        <w:t>in</w:t>
      </w:r>
      <w:r>
        <w:rPr>
          <w:spacing w:val="-14"/>
        </w:rPr>
        <w:t> </w:t>
      </w:r>
      <w:r>
        <w:rPr/>
        <w:t>peer</w:t>
      </w:r>
      <w:r>
        <w:rPr>
          <w:spacing w:val="-14"/>
        </w:rPr>
        <w:t> </w:t>
      </w:r>
      <w:r>
        <w:rPr/>
        <w:t>reviewed</w:t>
      </w:r>
      <w:r>
        <w:rPr>
          <w:spacing w:val="-14"/>
        </w:rPr>
        <w:t> </w:t>
      </w:r>
      <w:r>
        <w:rPr/>
        <w:t>journals</w:t>
      </w:r>
      <w:r>
        <w:rPr>
          <w:spacing w:val="-13"/>
        </w:rPr>
        <w:t> </w:t>
      </w:r>
      <w:r>
        <w:rPr/>
        <w:t>should</w:t>
      </w:r>
      <w:r>
        <w:rPr>
          <w:spacing w:val="-14"/>
        </w:rPr>
        <w:t> </w:t>
      </w:r>
      <w:r>
        <w:rPr/>
        <w:t>be</w:t>
      </w:r>
      <w:r>
        <w:rPr>
          <w:spacing w:val="-14"/>
        </w:rPr>
        <w:t> </w:t>
      </w:r>
      <w:r>
        <w:rPr/>
        <w:t>deemed</w:t>
      </w:r>
      <w:r>
        <w:rPr>
          <w:spacing w:val="-14"/>
        </w:rPr>
        <w:t> </w:t>
      </w:r>
      <w:r>
        <w:rPr/>
        <w:t>sufficient to</w:t>
      </w:r>
      <w:r>
        <w:rPr>
          <w:spacing w:val="-11"/>
        </w:rPr>
        <w:t> </w:t>
      </w:r>
      <w:r>
        <w:rPr/>
        <w:t>acquire</w:t>
      </w:r>
      <w:r>
        <w:rPr>
          <w:spacing w:val="-9"/>
        </w:rPr>
        <w:t> </w:t>
      </w:r>
      <w:r>
        <w:rPr/>
        <w:t>a</w:t>
      </w:r>
      <w:r>
        <w:rPr>
          <w:spacing w:val="-9"/>
        </w:rPr>
        <w:t> </w:t>
      </w:r>
      <w:r>
        <w:rPr/>
        <w:t>Ph.D.</w:t>
      </w:r>
      <w:r>
        <w:rPr>
          <w:spacing w:val="-14"/>
        </w:rPr>
        <w:t> </w:t>
      </w:r>
      <w:r>
        <w:rPr/>
        <w:t>This</w:t>
      </w:r>
      <w:r>
        <w:rPr>
          <w:spacing w:val="-9"/>
        </w:rPr>
        <w:t> </w:t>
      </w:r>
      <w:r>
        <w:rPr/>
        <w:t>does</w:t>
      </w:r>
      <w:r>
        <w:rPr>
          <w:spacing w:val="-9"/>
        </w:rPr>
        <w:t> </w:t>
      </w:r>
      <w:r>
        <w:rPr/>
        <w:t>not</w:t>
      </w:r>
      <w:r>
        <w:rPr>
          <w:spacing w:val="-9"/>
        </w:rPr>
        <w:t> </w:t>
      </w:r>
      <w:r>
        <w:rPr/>
        <w:t>stipulate</w:t>
      </w:r>
      <w:r>
        <w:rPr>
          <w:spacing w:val="-9"/>
        </w:rPr>
        <w:t> </w:t>
      </w:r>
      <w:r>
        <w:rPr/>
        <w:t>registration, </w:t>
      </w:r>
      <w:r>
        <w:rPr>
          <w:spacing w:val="-2"/>
        </w:rPr>
        <w:t>time</w:t>
      </w:r>
      <w:r>
        <w:rPr>
          <w:spacing w:val="-12"/>
        </w:rPr>
        <w:t> </w:t>
      </w:r>
      <w:r>
        <w:rPr>
          <w:spacing w:val="-2"/>
        </w:rPr>
        <w:t>limit</w:t>
      </w:r>
      <w:r>
        <w:rPr>
          <w:spacing w:val="-12"/>
        </w:rPr>
        <w:t> </w:t>
      </w:r>
      <w:r>
        <w:rPr>
          <w:spacing w:val="-2"/>
        </w:rPr>
        <w:t>or</w:t>
      </w:r>
      <w:r>
        <w:rPr>
          <w:spacing w:val="-12"/>
        </w:rPr>
        <w:t> </w:t>
      </w:r>
      <w:r>
        <w:rPr>
          <w:spacing w:val="-2"/>
        </w:rPr>
        <w:t>supervision.</w:t>
      </w:r>
      <w:r>
        <w:rPr>
          <w:spacing w:val="-11"/>
        </w:rPr>
        <w:t> </w:t>
      </w:r>
      <w:r>
        <w:rPr>
          <w:spacing w:val="-2"/>
        </w:rPr>
        <w:t>Such</w:t>
      </w:r>
      <w:r>
        <w:rPr>
          <w:spacing w:val="-12"/>
        </w:rPr>
        <w:t> </w:t>
      </w:r>
      <w:r>
        <w:rPr>
          <w:spacing w:val="-2"/>
        </w:rPr>
        <w:t>students</w:t>
      </w:r>
      <w:r>
        <w:rPr>
          <w:spacing w:val="-12"/>
        </w:rPr>
        <w:t> </w:t>
      </w:r>
      <w:r>
        <w:rPr>
          <w:spacing w:val="-2"/>
        </w:rPr>
        <w:t>should</w:t>
      </w:r>
      <w:r>
        <w:rPr>
          <w:spacing w:val="-12"/>
        </w:rPr>
        <w:t> </w:t>
      </w:r>
      <w:r>
        <w:rPr>
          <w:spacing w:val="-2"/>
        </w:rPr>
        <w:t>publish in</w:t>
      </w:r>
      <w:r>
        <w:rPr>
          <w:spacing w:val="-7"/>
        </w:rPr>
        <w:t> </w:t>
      </w:r>
      <w:r>
        <w:rPr>
          <w:spacing w:val="-2"/>
        </w:rPr>
        <w:t>reputed</w:t>
      </w:r>
      <w:r>
        <w:rPr>
          <w:spacing w:val="-7"/>
        </w:rPr>
        <w:t> </w:t>
      </w:r>
      <w:r>
        <w:rPr>
          <w:spacing w:val="-2"/>
        </w:rPr>
        <w:t>and</w:t>
      </w:r>
      <w:r>
        <w:rPr>
          <w:spacing w:val="-7"/>
        </w:rPr>
        <w:t> </w:t>
      </w:r>
      <w:r>
        <w:rPr>
          <w:spacing w:val="-2"/>
        </w:rPr>
        <w:t>internationally</w:t>
      </w:r>
      <w:r>
        <w:rPr>
          <w:spacing w:val="-7"/>
        </w:rPr>
        <w:t> </w:t>
      </w:r>
      <w:r>
        <w:rPr>
          <w:spacing w:val="-2"/>
        </w:rPr>
        <w:t>recognised</w:t>
      </w:r>
      <w:r>
        <w:rPr>
          <w:spacing w:val="-7"/>
        </w:rPr>
        <w:t> </w:t>
      </w:r>
      <w:r>
        <w:rPr>
          <w:spacing w:val="-2"/>
        </w:rPr>
        <w:t>journals,</w:t>
      </w:r>
      <w:r>
        <w:rPr>
          <w:spacing w:val="-7"/>
        </w:rPr>
        <w:t> </w:t>
      </w:r>
      <w:r>
        <w:rPr>
          <w:spacing w:val="-2"/>
        </w:rPr>
        <w:t>and </w:t>
      </w:r>
      <w:r>
        <w:rPr/>
        <w:t>these</w:t>
      </w:r>
      <w:r>
        <w:rPr>
          <w:spacing w:val="-3"/>
        </w:rPr>
        <w:t> </w:t>
      </w:r>
      <w:r>
        <w:rPr/>
        <w:t>papers</w:t>
      </w:r>
      <w:r>
        <w:rPr>
          <w:spacing w:val="-3"/>
        </w:rPr>
        <w:t> </w:t>
      </w:r>
      <w:r>
        <w:rPr/>
        <w:t>may</w:t>
      </w:r>
      <w:r>
        <w:rPr>
          <w:spacing w:val="-3"/>
        </w:rPr>
        <w:t> </w:t>
      </w:r>
      <w:r>
        <w:rPr/>
        <w:t>be</w:t>
      </w:r>
      <w:r>
        <w:rPr>
          <w:spacing w:val="-3"/>
        </w:rPr>
        <w:t> </w:t>
      </w:r>
      <w:r>
        <w:rPr/>
        <w:t>reviewed</w:t>
      </w:r>
      <w:r>
        <w:rPr>
          <w:spacing w:val="-3"/>
        </w:rPr>
        <w:t> </w:t>
      </w:r>
      <w:r>
        <w:rPr/>
        <w:t>collectively</w:t>
      </w:r>
      <w:r>
        <w:rPr>
          <w:spacing w:val="-3"/>
        </w:rPr>
        <w:t> </w:t>
      </w:r>
      <w:r>
        <w:rPr/>
        <w:t>by</w:t>
      </w:r>
      <w:r>
        <w:rPr>
          <w:spacing w:val="-3"/>
        </w:rPr>
        <w:t> </w:t>
      </w:r>
      <w:r>
        <w:rPr/>
        <w:t>a</w:t>
      </w:r>
      <w:r>
        <w:rPr>
          <w:spacing w:val="-3"/>
        </w:rPr>
        <w:t> </w:t>
      </w:r>
      <w:r>
        <w:rPr/>
        <w:t>panel of examiners (at least two from developed countries and two from India). If a minimum of three pass the standards test, Ph.D degree may be awarded to the </w:t>
      </w:r>
      <w:r>
        <w:rPr>
          <w:spacing w:val="-4"/>
        </w:rPr>
        <w:t>student</w:t>
      </w:r>
      <w:r>
        <w:rPr>
          <w:spacing w:val="-12"/>
        </w:rPr>
        <w:t> </w:t>
      </w:r>
      <w:r>
        <w:rPr>
          <w:spacing w:val="-4"/>
        </w:rPr>
        <w:t>and</w:t>
      </w:r>
      <w:r>
        <w:rPr>
          <w:spacing w:val="-10"/>
        </w:rPr>
        <w:t> </w:t>
      </w:r>
      <w:r>
        <w:rPr>
          <w:spacing w:val="-4"/>
        </w:rPr>
        <w:t>should</w:t>
      </w:r>
      <w:r>
        <w:rPr>
          <w:spacing w:val="-10"/>
        </w:rPr>
        <w:t> </w:t>
      </w:r>
      <w:r>
        <w:rPr>
          <w:spacing w:val="-4"/>
        </w:rPr>
        <w:t>be</w:t>
      </w:r>
      <w:r>
        <w:rPr>
          <w:spacing w:val="-9"/>
        </w:rPr>
        <w:t> </w:t>
      </w:r>
      <w:r>
        <w:rPr>
          <w:spacing w:val="-4"/>
        </w:rPr>
        <w:t>recognised</w:t>
      </w:r>
      <w:r>
        <w:rPr>
          <w:spacing w:val="-10"/>
        </w:rPr>
        <w:t> </w:t>
      </w:r>
      <w:r>
        <w:rPr>
          <w:spacing w:val="-4"/>
        </w:rPr>
        <w:t>in</w:t>
      </w:r>
      <w:r>
        <w:rPr>
          <w:spacing w:val="-10"/>
        </w:rPr>
        <w:t> </w:t>
      </w:r>
      <w:r>
        <w:rPr>
          <w:spacing w:val="-4"/>
        </w:rPr>
        <w:t>the</w:t>
      </w:r>
      <w:r>
        <w:rPr>
          <w:spacing w:val="-10"/>
        </w:rPr>
        <w:t> </w:t>
      </w:r>
      <w:r>
        <w:rPr>
          <w:spacing w:val="-4"/>
        </w:rPr>
        <w:t>existing</w:t>
      </w:r>
      <w:r>
        <w:rPr>
          <w:spacing w:val="-9"/>
        </w:rPr>
        <w:t> </w:t>
      </w:r>
      <w:r>
        <w:rPr>
          <w:spacing w:val="-4"/>
        </w:rPr>
        <w:t>system. </w:t>
      </w:r>
      <w:r>
        <w:rPr/>
        <w:t>Such innovative and alternative systems need to be explored and put into practice.</w:t>
      </w:r>
    </w:p>
    <w:p>
      <w:pPr>
        <w:pStyle w:val="Heading6"/>
        <w:spacing w:line="182" w:lineRule="auto" w:before="248"/>
        <w:ind w:left="1312" w:right="1075" w:hanging="993"/>
      </w:pPr>
      <w:r>
        <w:rPr>
          <w:color w:val="2E614A"/>
          <w:w w:val="90"/>
        </w:rPr>
        <w:t>Part</w:t>
      </w:r>
      <w:r>
        <w:rPr>
          <w:color w:val="2E614A"/>
          <w:spacing w:val="-6"/>
          <w:w w:val="90"/>
        </w:rPr>
        <w:t> </w:t>
      </w:r>
      <w:r>
        <w:rPr>
          <w:color w:val="2E614A"/>
          <w:w w:val="90"/>
        </w:rPr>
        <w:t>C:</w:t>
      </w:r>
      <w:r>
        <w:rPr>
          <w:color w:val="2E614A"/>
          <w:spacing w:val="-6"/>
          <w:w w:val="90"/>
        </w:rPr>
        <w:t> </w:t>
      </w:r>
      <w:r>
        <w:rPr>
          <w:color w:val="2E614A"/>
          <w:w w:val="90"/>
        </w:rPr>
        <w:t>Nurturing</w:t>
      </w:r>
      <w:r>
        <w:rPr>
          <w:color w:val="2E614A"/>
          <w:spacing w:val="-6"/>
          <w:w w:val="90"/>
        </w:rPr>
        <w:t> </w:t>
      </w:r>
      <w:r>
        <w:rPr>
          <w:color w:val="2E614A"/>
          <w:w w:val="90"/>
        </w:rPr>
        <w:t>a</w:t>
      </w:r>
      <w:r>
        <w:rPr>
          <w:color w:val="2E614A"/>
          <w:spacing w:val="-6"/>
          <w:w w:val="90"/>
        </w:rPr>
        <w:t> </w:t>
      </w:r>
      <w:r>
        <w:rPr>
          <w:color w:val="2E614A"/>
          <w:w w:val="90"/>
        </w:rPr>
        <w:t>research </w:t>
      </w:r>
      <w:r>
        <w:rPr>
          <w:color w:val="2E614A"/>
          <w:spacing w:val="-2"/>
        </w:rPr>
        <w:t>environment</w:t>
      </w:r>
    </w:p>
    <w:p>
      <w:pPr>
        <w:pStyle w:val="BodyText"/>
        <w:spacing w:line="266" w:lineRule="auto" w:before="303"/>
        <w:ind w:left="319" w:right="1077"/>
        <w:jc w:val="both"/>
      </w:pPr>
      <w:r>
        <w:rPr>
          <w:spacing w:val="-2"/>
        </w:rPr>
        <w:t>In</w:t>
      </w:r>
      <w:r>
        <w:rPr>
          <w:spacing w:val="-12"/>
        </w:rPr>
        <w:t> </w:t>
      </w:r>
      <w:r>
        <w:rPr>
          <w:spacing w:val="-2"/>
        </w:rPr>
        <w:t>order</w:t>
      </w:r>
      <w:r>
        <w:rPr>
          <w:spacing w:val="-12"/>
        </w:rPr>
        <w:t> </w:t>
      </w:r>
      <w:r>
        <w:rPr>
          <w:spacing w:val="-2"/>
        </w:rPr>
        <w:t>for</w:t>
      </w:r>
      <w:r>
        <w:rPr>
          <w:spacing w:val="-12"/>
        </w:rPr>
        <w:t> </w:t>
      </w:r>
      <w:r>
        <w:rPr>
          <w:spacing w:val="-2"/>
        </w:rPr>
        <w:t>research</w:t>
      </w:r>
      <w:r>
        <w:rPr>
          <w:spacing w:val="-11"/>
        </w:rPr>
        <w:t> </w:t>
      </w:r>
      <w:r>
        <w:rPr>
          <w:spacing w:val="-2"/>
        </w:rPr>
        <w:t>to</w:t>
      </w:r>
      <w:r>
        <w:rPr>
          <w:spacing w:val="-12"/>
        </w:rPr>
        <w:t> </w:t>
      </w:r>
      <w:r>
        <w:rPr>
          <w:spacing w:val="-2"/>
        </w:rPr>
        <w:t>flourish,</w:t>
      </w:r>
      <w:r>
        <w:rPr>
          <w:spacing w:val="-12"/>
        </w:rPr>
        <w:t> </w:t>
      </w:r>
      <w:r>
        <w:rPr>
          <w:spacing w:val="-2"/>
        </w:rPr>
        <w:t>it</w:t>
      </w:r>
      <w:r>
        <w:rPr>
          <w:spacing w:val="-12"/>
        </w:rPr>
        <w:t> </w:t>
      </w:r>
      <w:r>
        <w:rPr>
          <w:spacing w:val="-2"/>
        </w:rPr>
        <w:t>is</w:t>
      </w:r>
      <w:r>
        <w:rPr>
          <w:spacing w:val="-11"/>
        </w:rPr>
        <w:t> </w:t>
      </w:r>
      <w:r>
        <w:rPr>
          <w:spacing w:val="-2"/>
        </w:rPr>
        <w:t>vital</w:t>
      </w:r>
      <w:r>
        <w:rPr>
          <w:spacing w:val="-12"/>
        </w:rPr>
        <w:t> </w:t>
      </w:r>
      <w:r>
        <w:rPr>
          <w:spacing w:val="-2"/>
        </w:rPr>
        <w:t>that</w:t>
      </w:r>
      <w:r>
        <w:rPr>
          <w:spacing w:val="-12"/>
        </w:rPr>
        <w:t> </w:t>
      </w:r>
      <w:r>
        <w:rPr>
          <w:spacing w:val="-2"/>
        </w:rPr>
        <w:t>the</w:t>
      </w:r>
      <w:r>
        <w:rPr>
          <w:spacing w:val="-12"/>
        </w:rPr>
        <w:t> </w:t>
      </w:r>
      <w:r>
        <w:rPr>
          <w:spacing w:val="-2"/>
        </w:rPr>
        <w:t>entire </w:t>
      </w:r>
      <w:r>
        <w:rPr>
          <w:spacing w:val="-4"/>
        </w:rPr>
        <w:t>academic system be made more conducive and </w:t>
      </w:r>
      <w:r>
        <w:rPr>
          <w:spacing w:val="-4"/>
        </w:rPr>
        <w:t>vibrant. </w:t>
      </w:r>
      <w:r>
        <w:rPr>
          <w:spacing w:val="-6"/>
        </w:rPr>
        <w:t>Universities are the natural homes for academic research </w:t>
      </w:r>
      <w:r>
        <w:rPr/>
        <w:t>the world over, and it is vital that research culture be brought back to our universities. Other stakeholders like industry and government can play an important role in this endeavour.</w:t>
      </w:r>
    </w:p>
    <w:p>
      <w:pPr>
        <w:pStyle w:val="Heading7"/>
        <w:spacing w:line="225" w:lineRule="auto" w:before="251"/>
        <w:ind w:right="971"/>
      </w:pPr>
      <w:r>
        <w:rPr>
          <w:color w:val="2E614A"/>
          <w:w w:val="90"/>
        </w:rPr>
        <w:t>Recommendation 8: Enable university environment</w:t>
      </w:r>
      <w:r>
        <w:rPr>
          <w:color w:val="2E614A"/>
          <w:spacing w:val="17"/>
        </w:rPr>
        <w:t> </w:t>
      </w:r>
      <w:r>
        <w:rPr>
          <w:color w:val="2E614A"/>
          <w:w w:val="90"/>
        </w:rPr>
        <w:t>to</w:t>
      </w:r>
      <w:r>
        <w:rPr>
          <w:color w:val="2E614A"/>
          <w:spacing w:val="17"/>
        </w:rPr>
        <w:t> </w:t>
      </w:r>
      <w:r>
        <w:rPr>
          <w:color w:val="2E614A"/>
          <w:w w:val="90"/>
        </w:rPr>
        <w:t>produce</w:t>
      </w:r>
      <w:r>
        <w:rPr>
          <w:color w:val="2E614A"/>
          <w:spacing w:val="17"/>
        </w:rPr>
        <w:t> </w:t>
      </w:r>
      <w:r>
        <w:rPr>
          <w:color w:val="2E614A"/>
          <w:w w:val="90"/>
        </w:rPr>
        <w:t>quality</w:t>
      </w:r>
      <w:r>
        <w:rPr>
          <w:color w:val="2E614A"/>
          <w:spacing w:val="17"/>
        </w:rPr>
        <w:t> </w:t>
      </w:r>
      <w:r>
        <w:rPr>
          <w:color w:val="2E614A"/>
          <w:spacing w:val="-2"/>
          <w:w w:val="90"/>
        </w:rPr>
        <w:t>Ph.Ds</w:t>
      </w:r>
    </w:p>
    <w:p>
      <w:pPr>
        <w:pStyle w:val="BodyText"/>
        <w:spacing w:before="2"/>
        <w:rPr>
          <w:b/>
          <w:sz w:val="26"/>
        </w:rPr>
      </w:pPr>
    </w:p>
    <w:p>
      <w:pPr>
        <w:pStyle w:val="BodyText"/>
        <w:spacing w:line="266" w:lineRule="auto"/>
        <w:ind w:left="319" w:right="1075"/>
      </w:pPr>
      <w:r>
        <w:rPr>
          <w:b/>
          <w:spacing w:val="-2"/>
        </w:rPr>
        <w:t>Issues:</w:t>
      </w:r>
      <w:r>
        <w:rPr>
          <w:b/>
          <w:spacing w:val="23"/>
        </w:rPr>
        <w:t> </w:t>
      </w:r>
      <w:r>
        <w:rPr>
          <w:spacing w:val="-2"/>
        </w:rPr>
        <w:t>Various</w:t>
      </w:r>
      <w:r>
        <w:rPr>
          <w:spacing w:val="25"/>
        </w:rPr>
        <w:t> </w:t>
      </w:r>
      <w:r>
        <w:rPr>
          <w:spacing w:val="-2"/>
        </w:rPr>
        <w:t>compulsions</w:t>
      </w:r>
      <w:r>
        <w:rPr>
          <w:spacing w:val="25"/>
        </w:rPr>
        <w:t> </w:t>
      </w:r>
      <w:r>
        <w:rPr>
          <w:spacing w:val="-2"/>
        </w:rPr>
        <w:t>in</w:t>
      </w:r>
      <w:r>
        <w:rPr>
          <w:spacing w:val="25"/>
        </w:rPr>
        <w:t> </w:t>
      </w:r>
      <w:r>
        <w:rPr>
          <w:spacing w:val="-2"/>
        </w:rPr>
        <w:t>early</w:t>
      </w:r>
      <w:r>
        <w:rPr>
          <w:spacing w:val="25"/>
        </w:rPr>
        <w:t> </w:t>
      </w:r>
      <w:r>
        <w:rPr>
          <w:spacing w:val="-2"/>
        </w:rPr>
        <w:t>policy</w:t>
      </w:r>
      <w:r>
        <w:rPr>
          <w:spacing w:val="25"/>
        </w:rPr>
        <w:t> </w:t>
      </w:r>
      <w:r>
        <w:rPr>
          <w:spacing w:val="-2"/>
        </w:rPr>
        <w:t>making </w:t>
      </w:r>
      <w:r>
        <w:rPr/>
        <w:t>in</w:t>
      </w:r>
      <w:r>
        <w:rPr>
          <w:spacing w:val="14"/>
        </w:rPr>
        <w:t> </w:t>
      </w:r>
      <w:r>
        <w:rPr/>
        <w:t>the</w:t>
      </w:r>
      <w:r>
        <w:rPr>
          <w:spacing w:val="14"/>
        </w:rPr>
        <w:t> </w:t>
      </w:r>
      <w:r>
        <w:rPr/>
        <w:t>post-independent</w:t>
      </w:r>
      <w:r>
        <w:rPr>
          <w:spacing w:val="14"/>
        </w:rPr>
        <w:t> </w:t>
      </w:r>
      <w:r>
        <w:rPr/>
        <w:t>era</w:t>
      </w:r>
      <w:r>
        <w:rPr>
          <w:spacing w:val="14"/>
        </w:rPr>
        <w:t> </w:t>
      </w:r>
      <w:r>
        <w:rPr/>
        <w:t>led</w:t>
      </w:r>
      <w:r>
        <w:rPr>
          <w:spacing w:val="15"/>
        </w:rPr>
        <w:t> </w:t>
      </w:r>
      <w:r>
        <w:rPr/>
        <w:t>to</w:t>
      </w:r>
      <w:r>
        <w:rPr>
          <w:spacing w:val="14"/>
        </w:rPr>
        <w:t> </w:t>
      </w:r>
      <w:r>
        <w:rPr/>
        <w:t>a</w:t>
      </w:r>
      <w:r>
        <w:rPr>
          <w:spacing w:val="14"/>
        </w:rPr>
        <w:t> </w:t>
      </w:r>
      <w:r>
        <w:rPr/>
        <w:t>large</w:t>
      </w:r>
      <w:r>
        <w:rPr>
          <w:spacing w:val="14"/>
        </w:rPr>
        <w:t> </w:t>
      </w:r>
      <w:r>
        <w:rPr/>
        <w:t>number</w:t>
      </w:r>
      <w:r>
        <w:rPr>
          <w:spacing w:val="15"/>
        </w:rPr>
        <w:t> </w:t>
      </w:r>
      <w:r>
        <w:rPr>
          <w:spacing w:val="-5"/>
        </w:rPr>
        <w:t>of</w:t>
      </w:r>
    </w:p>
    <w:p>
      <w:pPr>
        <w:spacing w:after="0" w:line="266" w:lineRule="auto"/>
        <w:sectPr>
          <w:pgSz w:w="11910" w:h="16840"/>
          <w:pgMar w:header="0" w:footer="675" w:top="960" w:bottom="860" w:left="0" w:right="0"/>
          <w:cols w:num="2" w:equalWidth="0">
            <w:col w:w="5774" w:space="40"/>
            <w:col w:w="6096"/>
          </w:cols>
        </w:sectPr>
      </w:pPr>
    </w:p>
    <w:p>
      <w:pPr>
        <w:pStyle w:val="BodyText"/>
        <w:spacing w:line="266" w:lineRule="auto" w:before="97"/>
        <w:ind w:left="1080"/>
        <w:jc w:val="both"/>
      </w:pPr>
      <w:r>
        <w:rPr/>
        <w:t>stand-alone</w:t>
      </w:r>
      <w:r>
        <w:rPr>
          <w:spacing w:val="-2"/>
        </w:rPr>
        <w:t> </w:t>
      </w:r>
      <w:r>
        <w:rPr/>
        <w:t>research</w:t>
      </w:r>
      <w:r>
        <w:rPr>
          <w:spacing w:val="-2"/>
        </w:rPr>
        <w:t> </w:t>
      </w:r>
      <w:r>
        <w:rPr/>
        <w:t>institutes.</w:t>
      </w:r>
      <w:r>
        <w:rPr>
          <w:spacing w:val="-2"/>
        </w:rPr>
        <w:t> </w:t>
      </w:r>
      <w:r>
        <w:rPr/>
        <w:t>It</w:t>
      </w:r>
      <w:r>
        <w:rPr>
          <w:spacing w:val="-2"/>
        </w:rPr>
        <w:t> </w:t>
      </w:r>
      <w:r>
        <w:rPr/>
        <w:t>is</w:t>
      </w:r>
      <w:r>
        <w:rPr>
          <w:spacing w:val="-2"/>
        </w:rPr>
        <w:t> </w:t>
      </w:r>
      <w:r>
        <w:rPr/>
        <w:t>now</w:t>
      </w:r>
      <w:r>
        <w:rPr>
          <w:spacing w:val="-2"/>
        </w:rPr>
        <w:t> </w:t>
      </w:r>
      <w:r>
        <w:rPr/>
        <w:t>increasingly being recognised that separation of research and </w:t>
      </w:r>
      <w:r>
        <w:rPr>
          <w:spacing w:val="-4"/>
        </w:rPr>
        <w:t>teaching</w:t>
      </w:r>
      <w:r>
        <w:rPr>
          <w:spacing w:val="-10"/>
        </w:rPr>
        <w:t> </w:t>
      </w:r>
      <w:r>
        <w:rPr>
          <w:spacing w:val="-4"/>
        </w:rPr>
        <w:t>has</w:t>
      </w:r>
      <w:r>
        <w:rPr>
          <w:spacing w:val="-10"/>
        </w:rPr>
        <w:t> </w:t>
      </w:r>
      <w:r>
        <w:rPr>
          <w:spacing w:val="-4"/>
        </w:rPr>
        <w:t>been</w:t>
      </w:r>
      <w:r>
        <w:rPr>
          <w:spacing w:val="-10"/>
        </w:rPr>
        <w:t> </w:t>
      </w:r>
      <w:r>
        <w:rPr>
          <w:spacing w:val="-4"/>
        </w:rPr>
        <w:t>at</w:t>
      </w:r>
      <w:r>
        <w:rPr>
          <w:spacing w:val="-9"/>
        </w:rPr>
        <w:t> </w:t>
      </w:r>
      <w:r>
        <w:rPr>
          <w:spacing w:val="-4"/>
        </w:rPr>
        <w:t>the</w:t>
      </w:r>
      <w:r>
        <w:rPr>
          <w:spacing w:val="-10"/>
        </w:rPr>
        <w:t> </w:t>
      </w:r>
      <w:r>
        <w:rPr>
          <w:spacing w:val="-4"/>
        </w:rPr>
        <w:t>cost</w:t>
      </w:r>
      <w:r>
        <w:rPr>
          <w:spacing w:val="-10"/>
        </w:rPr>
        <w:t> </w:t>
      </w:r>
      <w:r>
        <w:rPr>
          <w:spacing w:val="-4"/>
        </w:rPr>
        <w:t>of</w:t>
      </w:r>
      <w:r>
        <w:rPr>
          <w:spacing w:val="-10"/>
        </w:rPr>
        <w:t> </w:t>
      </w:r>
      <w:r>
        <w:rPr>
          <w:spacing w:val="-4"/>
        </w:rPr>
        <w:t>creating</w:t>
      </w:r>
      <w:r>
        <w:rPr>
          <w:spacing w:val="-9"/>
        </w:rPr>
        <w:t> </w:t>
      </w:r>
      <w:r>
        <w:rPr>
          <w:spacing w:val="-4"/>
        </w:rPr>
        <w:t>a</w:t>
      </w:r>
      <w:r>
        <w:rPr>
          <w:spacing w:val="-10"/>
        </w:rPr>
        <w:t> </w:t>
      </w:r>
      <w:r>
        <w:rPr>
          <w:spacing w:val="-4"/>
        </w:rPr>
        <w:t>good</w:t>
      </w:r>
      <w:r>
        <w:rPr>
          <w:spacing w:val="-10"/>
        </w:rPr>
        <w:t> </w:t>
      </w:r>
      <w:r>
        <w:rPr>
          <w:spacing w:val="-4"/>
        </w:rPr>
        <w:t>research </w:t>
      </w:r>
      <w:r>
        <w:rPr>
          <w:spacing w:val="-2"/>
        </w:rPr>
        <w:t>environment</w:t>
      </w:r>
      <w:r>
        <w:rPr>
          <w:spacing w:val="-14"/>
        </w:rPr>
        <w:t> </w:t>
      </w:r>
      <w:r>
        <w:rPr>
          <w:spacing w:val="-2"/>
        </w:rPr>
        <w:t>in</w:t>
      </w:r>
      <w:r>
        <w:rPr>
          <w:spacing w:val="-12"/>
        </w:rPr>
        <w:t> </w:t>
      </w:r>
      <w:r>
        <w:rPr>
          <w:spacing w:val="-2"/>
        </w:rPr>
        <w:t>the</w:t>
      </w:r>
      <w:r>
        <w:rPr>
          <w:spacing w:val="-12"/>
        </w:rPr>
        <w:t> </w:t>
      </w:r>
      <w:r>
        <w:rPr>
          <w:spacing w:val="-2"/>
        </w:rPr>
        <w:t>universities.</w:t>
      </w:r>
      <w:r>
        <w:rPr>
          <w:spacing w:val="-11"/>
        </w:rPr>
        <w:t> </w:t>
      </w:r>
      <w:r>
        <w:rPr>
          <w:spacing w:val="-2"/>
        </w:rPr>
        <w:t>We</w:t>
      </w:r>
      <w:r>
        <w:rPr>
          <w:spacing w:val="-12"/>
        </w:rPr>
        <w:t> </w:t>
      </w:r>
      <w:r>
        <w:rPr>
          <w:spacing w:val="-2"/>
        </w:rPr>
        <w:t>have</w:t>
      </w:r>
      <w:r>
        <w:rPr>
          <w:spacing w:val="-12"/>
        </w:rPr>
        <w:t> </w:t>
      </w:r>
      <w:r>
        <w:rPr>
          <w:spacing w:val="-2"/>
        </w:rPr>
        <w:t>already</w:t>
      </w:r>
      <w:r>
        <w:rPr>
          <w:spacing w:val="-12"/>
        </w:rPr>
        <w:t> </w:t>
      </w:r>
      <w:r>
        <w:rPr>
          <w:spacing w:val="-2"/>
        </w:rPr>
        <w:t>lost</w:t>
      </w:r>
      <w:r>
        <w:rPr>
          <w:spacing w:val="-11"/>
        </w:rPr>
        <w:t> </w:t>
      </w:r>
      <w:r>
        <w:rPr>
          <w:spacing w:val="-2"/>
        </w:rPr>
        <w:t>a couple</w:t>
      </w:r>
      <w:r>
        <w:rPr>
          <w:spacing w:val="-8"/>
        </w:rPr>
        <w:t> </w:t>
      </w:r>
      <w:r>
        <w:rPr>
          <w:spacing w:val="-2"/>
        </w:rPr>
        <w:t>of</w:t>
      </w:r>
      <w:r>
        <w:rPr>
          <w:spacing w:val="-8"/>
        </w:rPr>
        <w:t> </w:t>
      </w:r>
      <w:r>
        <w:rPr>
          <w:spacing w:val="-2"/>
        </w:rPr>
        <w:t>generations</w:t>
      </w:r>
      <w:r>
        <w:rPr>
          <w:spacing w:val="-8"/>
        </w:rPr>
        <w:t> </w:t>
      </w:r>
      <w:r>
        <w:rPr>
          <w:spacing w:val="-2"/>
        </w:rPr>
        <w:t>of</w:t>
      </w:r>
      <w:r>
        <w:rPr>
          <w:spacing w:val="-8"/>
        </w:rPr>
        <w:t> </w:t>
      </w:r>
      <w:r>
        <w:rPr>
          <w:spacing w:val="-2"/>
        </w:rPr>
        <w:t>talent</w:t>
      </w:r>
      <w:r>
        <w:rPr>
          <w:spacing w:val="-8"/>
        </w:rPr>
        <w:t> </w:t>
      </w:r>
      <w:r>
        <w:rPr>
          <w:spacing w:val="-2"/>
        </w:rPr>
        <w:t>because</w:t>
      </w:r>
      <w:r>
        <w:rPr>
          <w:spacing w:val="-8"/>
        </w:rPr>
        <w:t> </w:t>
      </w:r>
      <w:r>
        <w:rPr>
          <w:spacing w:val="-2"/>
        </w:rPr>
        <w:t>of</w:t>
      </w:r>
      <w:r>
        <w:rPr>
          <w:spacing w:val="-8"/>
        </w:rPr>
        <w:t> </w:t>
      </w:r>
      <w:r>
        <w:rPr>
          <w:spacing w:val="-2"/>
        </w:rPr>
        <w:t>the</w:t>
      </w:r>
      <w:r>
        <w:rPr>
          <w:spacing w:val="-8"/>
        </w:rPr>
        <w:t> </w:t>
      </w:r>
      <w:r>
        <w:rPr>
          <w:spacing w:val="-2"/>
        </w:rPr>
        <w:t>resulting </w:t>
      </w:r>
      <w:r>
        <w:rPr/>
        <w:t>breakdown in the university system. The present academic environment in many universities remains largely</w:t>
      </w:r>
      <w:r>
        <w:rPr>
          <w:spacing w:val="-9"/>
        </w:rPr>
        <w:t> </w:t>
      </w:r>
      <w:r>
        <w:rPr/>
        <w:t>unattractive</w:t>
      </w:r>
      <w:r>
        <w:rPr>
          <w:spacing w:val="-9"/>
        </w:rPr>
        <w:t> </w:t>
      </w:r>
      <w:r>
        <w:rPr/>
        <w:t>for</w:t>
      </w:r>
      <w:r>
        <w:rPr>
          <w:spacing w:val="-9"/>
        </w:rPr>
        <w:t> </w:t>
      </w:r>
      <w:r>
        <w:rPr/>
        <w:t>researchers.</w:t>
      </w:r>
    </w:p>
    <w:p>
      <w:pPr>
        <w:pStyle w:val="BodyText"/>
        <w:spacing w:before="21"/>
      </w:pPr>
    </w:p>
    <w:p>
      <w:pPr>
        <w:pStyle w:val="ListParagraph"/>
        <w:numPr>
          <w:ilvl w:val="1"/>
          <w:numId w:val="52"/>
        </w:numPr>
        <w:tabs>
          <w:tab w:pos="1465" w:val="left" w:leader="none"/>
        </w:tabs>
        <w:spacing w:line="266" w:lineRule="auto" w:before="0" w:after="0"/>
        <w:ind w:left="1080" w:right="0" w:firstLine="0"/>
        <w:jc w:val="both"/>
        <w:rPr>
          <w:sz w:val="22"/>
        </w:rPr>
      </w:pPr>
      <w:r>
        <w:rPr>
          <w:b/>
          <w:spacing w:val="-4"/>
          <w:sz w:val="22"/>
        </w:rPr>
        <w:t>Facilitating</w:t>
      </w:r>
      <w:r>
        <w:rPr>
          <w:b/>
          <w:spacing w:val="-10"/>
          <w:sz w:val="22"/>
        </w:rPr>
        <w:t> </w:t>
      </w:r>
      <w:r>
        <w:rPr>
          <w:b/>
          <w:spacing w:val="-4"/>
          <w:sz w:val="22"/>
        </w:rPr>
        <w:t>research</w:t>
      </w:r>
      <w:r>
        <w:rPr>
          <w:b/>
          <w:spacing w:val="-9"/>
          <w:sz w:val="22"/>
        </w:rPr>
        <w:t> </w:t>
      </w:r>
      <w:r>
        <w:rPr>
          <w:b/>
          <w:spacing w:val="-4"/>
          <w:sz w:val="22"/>
        </w:rPr>
        <w:t>opportunities</w:t>
      </w:r>
      <w:r>
        <w:rPr>
          <w:b/>
          <w:spacing w:val="-10"/>
          <w:sz w:val="22"/>
        </w:rPr>
        <w:t> </w:t>
      </w:r>
      <w:r>
        <w:rPr>
          <w:b/>
          <w:spacing w:val="-4"/>
          <w:sz w:val="22"/>
        </w:rPr>
        <w:t>in</w:t>
      </w:r>
      <w:r>
        <w:rPr>
          <w:b/>
          <w:spacing w:val="-9"/>
          <w:sz w:val="22"/>
        </w:rPr>
        <w:t> </w:t>
      </w:r>
      <w:r>
        <w:rPr>
          <w:b/>
          <w:spacing w:val="-4"/>
          <w:sz w:val="22"/>
        </w:rPr>
        <w:t>university </w:t>
      </w:r>
      <w:r>
        <w:rPr>
          <w:b/>
          <w:spacing w:val="-2"/>
          <w:sz w:val="22"/>
        </w:rPr>
        <w:t>environment:</w:t>
      </w:r>
      <w:r>
        <w:rPr>
          <w:b/>
          <w:spacing w:val="-8"/>
          <w:sz w:val="22"/>
        </w:rPr>
        <w:t> </w:t>
      </w:r>
      <w:r>
        <w:rPr>
          <w:spacing w:val="-2"/>
          <w:sz w:val="22"/>
        </w:rPr>
        <w:t>University</w:t>
      </w:r>
      <w:r>
        <w:rPr>
          <w:spacing w:val="-8"/>
          <w:sz w:val="22"/>
        </w:rPr>
        <w:t> </w:t>
      </w:r>
      <w:r>
        <w:rPr>
          <w:spacing w:val="-2"/>
          <w:sz w:val="22"/>
        </w:rPr>
        <w:t>reforms</w:t>
      </w:r>
      <w:r>
        <w:rPr>
          <w:spacing w:val="-8"/>
          <w:sz w:val="22"/>
        </w:rPr>
        <w:t> </w:t>
      </w:r>
      <w:r>
        <w:rPr>
          <w:spacing w:val="-2"/>
          <w:sz w:val="22"/>
        </w:rPr>
        <w:t>are</w:t>
      </w:r>
      <w:r>
        <w:rPr>
          <w:spacing w:val="-8"/>
          <w:sz w:val="22"/>
        </w:rPr>
        <w:t> </w:t>
      </w:r>
      <w:r>
        <w:rPr>
          <w:spacing w:val="-2"/>
          <w:sz w:val="22"/>
        </w:rPr>
        <w:t>urgently</w:t>
      </w:r>
      <w:r>
        <w:rPr>
          <w:spacing w:val="-8"/>
          <w:sz w:val="22"/>
        </w:rPr>
        <w:t> </w:t>
      </w:r>
      <w:r>
        <w:rPr>
          <w:spacing w:val="-2"/>
          <w:sz w:val="22"/>
        </w:rPr>
        <w:t>needed and</w:t>
      </w:r>
      <w:r>
        <w:rPr>
          <w:spacing w:val="-10"/>
          <w:sz w:val="22"/>
        </w:rPr>
        <w:t> </w:t>
      </w:r>
      <w:r>
        <w:rPr>
          <w:spacing w:val="-2"/>
          <w:sz w:val="22"/>
        </w:rPr>
        <w:t>an</w:t>
      </w:r>
      <w:r>
        <w:rPr>
          <w:spacing w:val="-10"/>
          <w:sz w:val="22"/>
        </w:rPr>
        <w:t> </w:t>
      </w:r>
      <w:r>
        <w:rPr>
          <w:spacing w:val="-2"/>
          <w:sz w:val="22"/>
        </w:rPr>
        <w:t>integral</w:t>
      </w:r>
      <w:r>
        <w:rPr>
          <w:spacing w:val="-10"/>
          <w:sz w:val="22"/>
        </w:rPr>
        <w:t> </w:t>
      </w:r>
      <w:r>
        <w:rPr>
          <w:spacing w:val="-2"/>
          <w:sz w:val="22"/>
        </w:rPr>
        <w:t>part</w:t>
      </w:r>
      <w:r>
        <w:rPr>
          <w:spacing w:val="-10"/>
          <w:sz w:val="22"/>
        </w:rPr>
        <w:t> </w:t>
      </w:r>
      <w:r>
        <w:rPr>
          <w:spacing w:val="-2"/>
          <w:sz w:val="22"/>
        </w:rPr>
        <w:t>of</w:t>
      </w:r>
      <w:r>
        <w:rPr>
          <w:spacing w:val="-10"/>
          <w:sz w:val="22"/>
        </w:rPr>
        <w:t> </w:t>
      </w:r>
      <w:r>
        <w:rPr>
          <w:spacing w:val="-2"/>
          <w:sz w:val="22"/>
        </w:rPr>
        <w:t>this</w:t>
      </w:r>
      <w:r>
        <w:rPr>
          <w:spacing w:val="-10"/>
          <w:sz w:val="22"/>
        </w:rPr>
        <w:t> </w:t>
      </w:r>
      <w:r>
        <w:rPr>
          <w:spacing w:val="-2"/>
          <w:sz w:val="22"/>
        </w:rPr>
        <w:t>should</w:t>
      </w:r>
      <w:r>
        <w:rPr>
          <w:spacing w:val="-10"/>
          <w:sz w:val="22"/>
        </w:rPr>
        <w:t> </w:t>
      </w:r>
      <w:r>
        <w:rPr>
          <w:spacing w:val="-2"/>
          <w:sz w:val="22"/>
        </w:rPr>
        <w:t>be</w:t>
      </w:r>
      <w:r>
        <w:rPr>
          <w:spacing w:val="-10"/>
          <w:sz w:val="22"/>
        </w:rPr>
        <w:t> </w:t>
      </w:r>
      <w:r>
        <w:rPr>
          <w:spacing w:val="-2"/>
          <w:sz w:val="22"/>
        </w:rPr>
        <w:t>aimed</w:t>
      </w:r>
      <w:r>
        <w:rPr>
          <w:spacing w:val="-10"/>
          <w:sz w:val="22"/>
        </w:rPr>
        <w:t> </w:t>
      </w:r>
      <w:r>
        <w:rPr>
          <w:spacing w:val="-2"/>
          <w:sz w:val="22"/>
        </w:rPr>
        <w:t>at</w:t>
      </w:r>
      <w:r>
        <w:rPr>
          <w:spacing w:val="-10"/>
          <w:sz w:val="22"/>
        </w:rPr>
        <w:t> </w:t>
      </w:r>
      <w:r>
        <w:rPr>
          <w:spacing w:val="-2"/>
          <w:sz w:val="22"/>
        </w:rPr>
        <w:t>enabling </w:t>
      </w:r>
      <w:r>
        <w:rPr>
          <w:sz w:val="22"/>
        </w:rPr>
        <w:t>a research culture in universities. A vibrant research atmosphere in the universities will definitely attract more students towards research. The most essential </w:t>
      </w:r>
      <w:r>
        <w:rPr>
          <w:spacing w:val="-2"/>
          <w:sz w:val="22"/>
        </w:rPr>
        <w:t>enablers</w:t>
      </w:r>
      <w:r>
        <w:rPr>
          <w:spacing w:val="-6"/>
          <w:sz w:val="22"/>
        </w:rPr>
        <w:t> </w:t>
      </w:r>
      <w:r>
        <w:rPr>
          <w:spacing w:val="-2"/>
          <w:sz w:val="22"/>
        </w:rPr>
        <w:t>for</w:t>
      </w:r>
      <w:r>
        <w:rPr>
          <w:spacing w:val="-6"/>
          <w:sz w:val="22"/>
        </w:rPr>
        <w:t> </w:t>
      </w:r>
      <w:r>
        <w:rPr>
          <w:spacing w:val="-2"/>
          <w:sz w:val="22"/>
        </w:rPr>
        <w:t>such</w:t>
      </w:r>
      <w:r>
        <w:rPr>
          <w:spacing w:val="-6"/>
          <w:sz w:val="22"/>
        </w:rPr>
        <w:t> </w:t>
      </w:r>
      <w:r>
        <w:rPr>
          <w:spacing w:val="-2"/>
          <w:sz w:val="22"/>
        </w:rPr>
        <w:t>an</w:t>
      </w:r>
      <w:r>
        <w:rPr>
          <w:spacing w:val="-6"/>
          <w:sz w:val="22"/>
        </w:rPr>
        <w:t> </w:t>
      </w:r>
      <w:r>
        <w:rPr>
          <w:spacing w:val="-2"/>
          <w:sz w:val="22"/>
        </w:rPr>
        <w:t>environment</w:t>
      </w:r>
      <w:r>
        <w:rPr>
          <w:spacing w:val="-6"/>
          <w:sz w:val="22"/>
        </w:rPr>
        <w:t> </w:t>
      </w:r>
      <w:r>
        <w:rPr>
          <w:spacing w:val="-2"/>
          <w:sz w:val="22"/>
        </w:rPr>
        <w:t>include</w:t>
      </w:r>
      <w:r>
        <w:rPr>
          <w:spacing w:val="-6"/>
          <w:sz w:val="22"/>
        </w:rPr>
        <w:t> </w:t>
      </w:r>
      <w:r>
        <w:rPr>
          <w:spacing w:val="-2"/>
          <w:sz w:val="22"/>
        </w:rPr>
        <w:t>the</w:t>
      </w:r>
      <w:r>
        <w:rPr>
          <w:spacing w:val="-6"/>
          <w:sz w:val="22"/>
        </w:rPr>
        <w:t> </w:t>
      </w:r>
      <w:r>
        <w:rPr>
          <w:spacing w:val="-2"/>
          <w:sz w:val="22"/>
        </w:rPr>
        <w:t>presence of</w:t>
      </w:r>
      <w:r>
        <w:rPr>
          <w:spacing w:val="-12"/>
          <w:sz w:val="22"/>
        </w:rPr>
        <w:t> </w:t>
      </w:r>
      <w:r>
        <w:rPr>
          <w:spacing w:val="-2"/>
          <w:sz w:val="22"/>
        </w:rPr>
        <w:t>a</w:t>
      </w:r>
      <w:r>
        <w:rPr>
          <w:spacing w:val="-12"/>
          <w:sz w:val="22"/>
        </w:rPr>
        <w:t> </w:t>
      </w:r>
      <w:r>
        <w:rPr>
          <w:spacing w:val="-2"/>
          <w:sz w:val="22"/>
        </w:rPr>
        <w:t>facilitating</w:t>
      </w:r>
      <w:r>
        <w:rPr>
          <w:spacing w:val="-12"/>
          <w:sz w:val="22"/>
        </w:rPr>
        <w:t> </w:t>
      </w:r>
      <w:r>
        <w:rPr>
          <w:spacing w:val="-2"/>
          <w:sz w:val="22"/>
        </w:rPr>
        <w:t>administration,</w:t>
      </w:r>
      <w:r>
        <w:rPr>
          <w:spacing w:val="-11"/>
          <w:sz w:val="22"/>
        </w:rPr>
        <w:t> </w:t>
      </w:r>
      <w:r>
        <w:rPr>
          <w:spacing w:val="-2"/>
          <w:sz w:val="22"/>
        </w:rPr>
        <w:t>talented</w:t>
      </w:r>
      <w:r>
        <w:rPr>
          <w:spacing w:val="-12"/>
          <w:sz w:val="22"/>
        </w:rPr>
        <w:t> </w:t>
      </w:r>
      <w:r>
        <w:rPr>
          <w:spacing w:val="-2"/>
          <w:sz w:val="22"/>
        </w:rPr>
        <w:t>faculty</w:t>
      </w:r>
      <w:r>
        <w:rPr>
          <w:spacing w:val="-12"/>
          <w:sz w:val="22"/>
        </w:rPr>
        <w:t> </w:t>
      </w:r>
      <w:r>
        <w:rPr>
          <w:spacing w:val="-2"/>
          <w:sz w:val="22"/>
        </w:rPr>
        <w:t>and</w:t>
      </w:r>
      <w:r>
        <w:rPr>
          <w:spacing w:val="-12"/>
          <w:sz w:val="22"/>
        </w:rPr>
        <w:t> </w:t>
      </w:r>
      <w:r>
        <w:rPr>
          <w:spacing w:val="-2"/>
          <w:sz w:val="22"/>
        </w:rPr>
        <w:t>the </w:t>
      </w:r>
      <w:r>
        <w:rPr>
          <w:sz w:val="22"/>
        </w:rPr>
        <w:t>availability</w:t>
      </w:r>
      <w:r>
        <w:rPr>
          <w:spacing w:val="-14"/>
          <w:sz w:val="22"/>
        </w:rPr>
        <w:t> </w:t>
      </w:r>
      <w:r>
        <w:rPr>
          <w:sz w:val="22"/>
        </w:rPr>
        <w:t>of</w:t>
      </w:r>
      <w:r>
        <w:rPr>
          <w:spacing w:val="-14"/>
          <w:sz w:val="22"/>
        </w:rPr>
        <w:t> </w:t>
      </w:r>
      <w:r>
        <w:rPr>
          <w:sz w:val="22"/>
        </w:rPr>
        <w:t>adequate</w:t>
      </w:r>
      <w:r>
        <w:rPr>
          <w:spacing w:val="-14"/>
          <w:sz w:val="22"/>
        </w:rPr>
        <w:t> </w:t>
      </w:r>
      <w:r>
        <w:rPr>
          <w:sz w:val="22"/>
        </w:rPr>
        <w:t>research</w:t>
      </w:r>
      <w:r>
        <w:rPr>
          <w:spacing w:val="-13"/>
          <w:sz w:val="22"/>
        </w:rPr>
        <w:t> </w:t>
      </w:r>
      <w:r>
        <w:rPr>
          <w:sz w:val="22"/>
        </w:rPr>
        <w:t>facilities.</w:t>
      </w:r>
    </w:p>
    <w:p>
      <w:pPr>
        <w:pStyle w:val="BodyText"/>
        <w:spacing w:before="19"/>
      </w:pPr>
    </w:p>
    <w:p>
      <w:pPr>
        <w:pStyle w:val="BodyText"/>
        <w:spacing w:line="266" w:lineRule="auto" w:before="1"/>
        <w:ind w:left="1080"/>
        <w:jc w:val="both"/>
      </w:pPr>
      <w:r>
        <w:rPr>
          <w:b/>
        </w:rPr>
        <w:t>Conducive administration: </w:t>
      </w:r>
      <w:r>
        <w:rPr/>
        <w:t>Often </w:t>
      </w:r>
      <w:r>
        <w:rPr/>
        <w:t>university administration itself militates against creating </w:t>
      </w:r>
      <w:r>
        <w:rPr>
          <w:spacing w:val="-6"/>
        </w:rPr>
        <w:t>conditions</w:t>
      </w:r>
      <w:r>
        <w:rPr>
          <w:spacing w:val="-8"/>
        </w:rPr>
        <w:t> </w:t>
      </w:r>
      <w:r>
        <w:rPr>
          <w:spacing w:val="-6"/>
        </w:rPr>
        <w:t>conducive</w:t>
      </w:r>
      <w:r>
        <w:rPr>
          <w:spacing w:val="-8"/>
        </w:rPr>
        <w:t> </w:t>
      </w:r>
      <w:r>
        <w:rPr>
          <w:spacing w:val="-6"/>
        </w:rPr>
        <w:t>to</w:t>
      </w:r>
      <w:r>
        <w:rPr>
          <w:spacing w:val="-8"/>
        </w:rPr>
        <w:t> </w:t>
      </w:r>
      <w:r>
        <w:rPr>
          <w:spacing w:val="-6"/>
        </w:rPr>
        <w:t>research.</w:t>
      </w:r>
      <w:r>
        <w:rPr>
          <w:spacing w:val="-7"/>
        </w:rPr>
        <w:t> </w:t>
      </w:r>
      <w:r>
        <w:rPr>
          <w:spacing w:val="-6"/>
        </w:rPr>
        <w:t>This</w:t>
      </w:r>
      <w:r>
        <w:rPr>
          <w:spacing w:val="-8"/>
        </w:rPr>
        <w:t> </w:t>
      </w:r>
      <w:r>
        <w:rPr>
          <w:spacing w:val="-6"/>
        </w:rPr>
        <w:t>is</w:t>
      </w:r>
      <w:r>
        <w:rPr>
          <w:spacing w:val="-8"/>
        </w:rPr>
        <w:t> </w:t>
      </w:r>
      <w:r>
        <w:rPr>
          <w:spacing w:val="-6"/>
        </w:rPr>
        <w:t>largely</w:t>
      </w:r>
      <w:r>
        <w:rPr>
          <w:spacing w:val="-8"/>
        </w:rPr>
        <w:t> </w:t>
      </w:r>
      <w:r>
        <w:rPr>
          <w:spacing w:val="-6"/>
        </w:rPr>
        <w:t>because </w:t>
      </w:r>
      <w:r>
        <w:rPr/>
        <w:t>of the centralisation of decision-making, restrictions on</w:t>
      </w:r>
      <w:r>
        <w:rPr>
          <w:spacing w:val="-10"/>
        </w:rPr>
        <w:t> </w:t>
      </w:r>
      <w:r>
        <w:rPr/>
        <w:t>faculty</w:t>
      </w:r>
      <w:r>
        <w:rPr>
          <w:spacing w:val="-10"/>
        </w:rPr>
        <w:t> </w:t>
      </w:r>
      <w:r>
        <w:rPr/>
        <w:t>autonomy</w:t>
      </w:r>
      <w:r>
        <w:rPr>
          <w:spacing w:val="-10"/>
        </w:rPr>
        <w:t> </w:t>
      </w:r>
      <w:r>
        <w:rPr/>
        <w:t>and</w:t>
      </w:r>
      <w:r>
        <w:rPr>
          <w:spacing w:val="-10"/>
        </w:rPr>
        <w:t> </w:t>
      </w:r>
      <w:r>
        <w:rPr/>
        <w:t>imposition</w:t>
      </w:r>
      <w:r>
        <w:rPr>
          <w:spacing w:val="-10"/>
        </w:rPr>
        <w:t> </w:t>
      </w:r>
      <w:r>
        <w:rPr/>
        <w:t>of</w:t>
      </w:r>
      <w:r>
        <w:rPr>
          <w:spacing w:val="-10"/>
        </w:rPr>
        <w:t> </w:t>
      </w:r>
      <w:r>
        <w:rPr/>
        <w:t>rigid</w:t>
      </w:r>
      <w:r>
        <w:rPr>
          <w:spacing w:val="-10"/>
        </w:rPr>
        <w:t> </w:t>
      </w:r>
      <w:r>
        <w:rPr/>
        <w:t>financial </w:t>
      </w:r>
      <w:r>
        <w:rPr>
          <w:spacing w:val="-2"/>
        </w:rPr>
        <w:t>rules</w:t>
      </w:r>
      <w:r>
        <w:rPr>
          <w:spacing w:val="-12"/>
        </w:rPr>
        <w:t> </w:t>
      </w:r>
      <w:r>
        <w:rPr>
          <w:spacing w:val="-2"/>
        </w:rPr>
        <w:t>that</w:t>
      </w:r>
      <w:r>
        <w:rPr>
          <w:spacing w:val="-12"/>
        </w:rPr>
        <w:t> </w:t>
      </w:r>
      <w:r>
        <w:rPr>
          <w:spacing w:val="-2"/>
        </w:rPr>
        <w:t>makes</w:t>
      </w:r>
      <w:r>
        <w:rPr>
          <w:spacing w:val="-12"/>
        </w:rPr>
        <w:t> </w:t>
      </w:r>
      <w:r>
        <w:rPr>
          <w:spacing w:val="-2"/>
        </w:rPr>
        <w:t>“managing”</w:t>
      </w:r>
      <w:r>
        <w:rPr>
          <w:spacing w:val="-11"/>
        </w:rPr>
        <w:t> </w:t>
      </w:r>
      <w:r>
        <w:rPr>
          <w:spacing w:val="-2"/>
        </w:rPr>
        <w:t>projects</w:t>
      </w:r>
      <w:r>
        <w:rPr>
          <w:spacing w:val="-12"/>
        </w:rPr>
        <w:t> </w:t>
      </w:r>
      <w:r>
        <w:rPr>
          <w:spacing w:val="-2"/>
        </w:rPr>
        <w:t>very</w:t>
      </w:r>
      <w:r>
        <w:rPr>
          <w:spacing w:val="-12"/>
        </w:rPr>
        <w:t> </w:t>
      </w:r>
      <w:r>
        <w:rPr>
          <w:spacing w:val="-2"/>
        </w:rPr>
        <w:t>demanding. </w:t>
      </w:r>
      <w:r>
        <w:rPr/>
        <w:t>Administration</w:t>
      </w:r>
      <w:r>
        <w:rPr>
          <w:spacing w:val="-13"/>
        </w:rPr>
        <w:t> </w:t>
      </w:r>
      <w:r>
        <w:rPr/>
        <w:t>should</w:t>
      </w:r>
      <w:r>
        <w:rPr>
          <w:spacing w:val="-13"/>
        </w:rPr>
        <w:t> </w:t>
      </w:r>
      <w:r>
        <w:rPr/>
        <w:t>be</w:t>
      </w:r>
      <w:r>
        <w:rPr>
          <w:spacing w:val="-13"/>
        </w:rPr>
        <w:t> </w:t>
      </w:r>
      <w:r>
        <w:rPr/>
        <w:t>sensitive</w:t>
      </w:r>
      <w:r>
        <w:rPr>
          <w:spacing w:val="-13"/>
        </w:rPr>
        <w:t> </w:t>
      </w:r>
      <w:r>
        <w:rPr/>
        <w:t>to</w:t>
      </w:r>
      <w:r>
        <w:rPr>
          <w:spacing w:val="-13"/>
        </w:rPr>
        <w:t> </w:t>
      </w:r>
      <w:r>
        <w:rPr/>
        <w:t>academic</w:t>
      </w:r>
      <w:r>
        <w:rPr>
          <w:spacing w:val="-13"/>
        </w:rPr>
        <w:t> </w:t>
      </w:r>
      <w:r>
        <w:rPr/>
        <w:t>needs and should aim to encourage and help faculty to deliver better results. In order to enable a favourable administrative environment, it is essential to</w:t>
      </w:r>
    </w:p>
    <w:p>
      <w:pPr>
        <w:pStyle w:val="ListParagraph"/>
        <w:numPr>
          <w:ilvl w:val="2"/>
          <w:numId w:val="52"/>
        </w:numPr>
        <w:tabs>
          <w:tab w:pos="1439" w:val="left" w:leader="none"/>
        </w:tabs>
        <w:spacing w:line="266" w:lineRule="auto" w:before="0" w:after="0"/>
        <w:ind w:left="1439" w:right="0" w:hanging="360"/>
        <w:jc w:val="both"/>
        <w:rPr>
          <w:sz w:val="22"/>
        </w:rPr>
      </w:pPr>
      <w:r>
        <w:rPr>
          <w:spacing w:val="-2"/>
          <w:sz w:val="22"/>
        </w:rPr>
        <w:t>Ensure</w:t>
      </w:r>
      <w:r>
        <w:rPr>
          <w:spacing w:val="-11"/>
          <w:sz w:val="22"/>
        </w:rPr>
        <w:t> </w:t>
      </w:r>
      <w:r>
        <w:rPr>
          <w:spacing w:val="-2"/>
          <w:sz w:val="22"/>
        </w:rPr>
        <w:t>a</w:t>
      </w:r>
      <w:r>
        <w:rPr>
          <w:spacing w:val="-11"/>
          <w:sz w:val="22"/>
        </w:rPr>
        <w:t> </w:t>
      </w:r>
      <w:r>
        <w:rPr>
          <w:spacing w:val="-2"/>
          <w:sz w:val="22"/>
        </w:rPr>
        <w:t>capable</w:t>
      </w:r>
      <w:r>
        <w:rPr>
          <w:spacing w:val="-11"/>
          <w:sz w:val="22"/>
        </w:rPr>
        <w:t> </w:t>
      </w:r>
      <w:r>
        <w:rPr>
          <w:spacing w:val="-2"/>
          <w:sz w:val="22"/>
        </w:rPr>
        <w:t>administration</w:t>
      </w:r>
      <w:r>
        <w:rPr>
          <w:spacing w:val="-11"/>
          <w:sz w:val="22"/>
        </w:rPr>
        <w:t> </w:t>
      </w:r>
      <w:r>
        <w:rPr>
          <w:spacing w:val="-2"/>
          <w:sz w:val="22"/>
        </w:rPr>
        <w:t>headed</w:t>
      </w:r>
      <w:r>
        <w:rPr>
          <w:spacing w:val="-11"/>
          <w:sz w:val="22"/>
        </w:rPr>
        <w:t> </w:t>
      </w:r>
      <w:r>
        <w:rPr>
          <w:spacing w:val="-2"/>
          <w:sz w:val="22"/>
        </w:rPr>
        <w:t>by</w:t>
      </w:r>
      <w:r>
        <w:rPr>
          <w:spacing w:val="-11"/>
          <w:sz w:val="22"/>
        </w:rPr>
        <w:t> </w:t>
      </w:r>
      <w:r>
        <w:rPr>
          <w:spacing w:val="-2"/>
          <w:sz w:val="22"/>
        </w:rPr>
        <w:t>an</w:t>
      </w:r>
      <w:r>
        <w:rPr>
          <w:spacing w:val="-11"/>
          <w:sz w:val="22"/>
        </w:rPr>
        <w:t> </w:t>
      </w:r>
      <w:r>
        <w:rPr>
          <w:spacing w:val="-2"/>
          <w:sz w:val="22"/>
        </w:rPr>
        <w:t>able </w:t>
      </w:r>
      <w:r>
        <w:rPr>
          <w:sz w:val="22"/>
        </w:rPr>
        <w:t>Vice</w:t>
      </w:r>
      <w:r>
        <w:rPr>
          <w:spacing w:val="-14"/>
          <w:sz w:val="22"/>
        </w:rPr>
        <w:t> </w:t>
      </w:r>
      <w:r>
        <w:rPr>
          <w:sz w:val="22"/>
        </w:rPr>
        <w:t>Chancellor</w:t>
      </w:r>
      <w:r>
        <w:rPr>
          <w:spacing w:val="-14"/>
          <w:sz w:val="22"/>
        </w:rPr>
        <w:t> </w:t>
      </w:r>
      <w:r>
        <w:rPr>
          <w:sz w:val="22"/>
        </w:rPr>
        <w:t>and</w:t>
      </w:r>
      <w:r>
        <w:rPr>
          <w:spacing w:val="-14"/>
          <w:sz w:val="22"/>
        </w:rPr>
        <w:t> </w:t>
      </w:r>
      <w:r>
        <w:rPr>
          <w:sz w:val="22"/>
        </w:rPr>
        <w:t>Registrar.</w:t>
      </w:r>
    </w:p>
    <w:p>
      <w:pPr>
        <w:pStyle w:val="ListParagraph"/>
        <w:numPr>
          <w:ilvl w:val="2"/>
          <w:numId w:val="52"/>
        </w:numPr>
        <w:tabs>
          <w:tab w:pos="1439" w:val="left" w:leader="none"/>
        </w:tabs>
        <w:spacing w:line="266" w:lineRule="auto" w:before="0" w:after="0"/>
        <w:ind w:left="1439" w:right="1" w:hanging="360"/>
        <w:jc w:val="both"/>
        <w:rPr>
          <w:sz w:val="22"/>
        </w:rPr>
      </w:pPr>
      <w:r>
        <w:rPr>
          <w:spacing w:val="-4"/>
          <w:sz w:val="22"/>
        </w:rPr>
        <w:t>Grant autonomy in making recruitments to </w:t>
      </w:r>
      <w:r>
        <w:rPr>
          <w:spacing w:val="-4"/>
          <w:sz w:val="22"/>
        </w:rPr>
        <w:t>achieve </w:t>
      </w:r>
      <w:r>
        <w:rPr>
          <w:sz w:val="22"/>
        </w:rPr>
        <w:t>higher standards.</w:t>
      </w:r>
    </w:p>
    <w:p>
      <w:pPr>
        <w:pStyle w:val="ListParagraph"/>
        <w:numPr>
          <w:ilvl w:val="2"/>
          <w:numId w:val="52"/>
        </w:numPr>
        <w:tabs>
          <w:tab w:pos="1439" w:val="left" w:leader="none"/>
        </w:tabs>
        <w:spacing w:line="266" w:lineRule="auto" w:before="0" w:after="0"/>
        <w:ind w:left="1439" w:right="0" w:hanging="360"/>
        <w:jc w:val="both"/>
        <w:rPr>
          <w:sz w:val="22"/>
        </w:rPr>
      </w:pPr>
      <w:r>
        <w:rPr>
          <w:sz w:val="22"/>
        </w:rPr>
        <w:t>Undertake steps to completely eradicate </w:t>
      </w:r>
      <w:r>
        <w:rPr>
          <w:sz w:val="22"/>
        </w:rPr>
        <w:t>politics and inbreeding in the system.</w:t>
      </w:r>
    </w:p>
    <w:p>
      <w:pPr>
        <w:pStyle w:val="ListParagraph"/>
        <w:numPr>
          <w:ilvl w:val="2"/>
          <w:numId w:val="52"/>
        </w:numPr>
        <w:tabs>
          <w:tab w:pos="1439" w:val="left" w:leader="none"/>
        </w:tabs>
        <w:spacing w:line="266" w:lineRule="auto" w:before="0" w:after="0"/>
        <w:ind w:left="1439" w:right="0" w:hanging="360"/>
        <w:jc w:val="both"/>
        <w:rPr>
          <w:sz w:val="22"/>
        </w:rPr>
      </w:pPr>
      <w:r>
        <w:rPr>
          <w:sz w:val="22"/>
        </w:rPr>
        <w:t>Simplify bureaucratic procedures to make </w:t>
      </w:r>
      <w:r>
        <w:rPr>
          <w:sz w:val="22"/>
        </w:rPr>
        <w:t>the </w:t>
      </w:r>
      <w:r>
        <w:rPr>
          <w:spacing w:val="-2"/>
          <w:sz w:val="22"/>
        </w:rPr>
        <w:t>system</w:t>
      </w:r>
      <w:r>
        <w:rPr>
          <w:spacing w:val="-7"/>
          <w:sz w:val="22"/>
        </w:rPr>
        <w:t> </w:t>
      </w:r>
      <w:r>
        <w:rPr>
          <w:spacing w:val="-2"/>
          <w:sz w:val="22"/>
        </w:rPr>
        <w:t>more</w:t>
      </w:r>
      <w:r>
        <w:rPr>
          <w:spacing w:val="-7"/>
          <w:sz w:val="22"/>
        </w:rPr>
        <w:t> </w:t>
      </w:r>
      <w:r>
        <w:rPr>
          <w:spacing w:val="-2"/>
          <w:sz w:val="22"/>
        </w:rPr>
        <w:t>responsive,</w:t>
      </w:r>
      <w:r>
        <w:rPr>
          <w:spacing w:val="-7"/>
          <w:sz w:val="22"/>
        </w:rPr>
        <w:t> </w:t>
      </w:r>
      <w:r>
        <w:rPr>
          <w:spacing w:val="-2"/>
          <w:sz w:val="22"/>
        </w:rPr>
        <w:t>transparent</w:t>
      </w:r>
      <w:r>
        <w:rPr>
          <w:spacing w:val="-7"/>
          <w:sz w:val="22"/>
        </w:rPr>
        <w:t> </w:t>
      </w:r>
      <w:r>
        <w:rPr>
          <w:spacing w:val="-2"/>
          <w:sz w:val="22"/>
        </w:rPr>
        <w:t>and</w:t>
      </w:r>
      <w:r>
        <w:rPr>
          <w:spacing w:val="-7"/>
          <w:sz w:val="22"/>
        </w:rPr>
        <w:t> </w:t>
      </w:r>
      <w:r>
        <w:rPr>
          <w:spacing w:val="-2"/>
          <w:sz w:val="22"/>
        </w:rPr>
        <w:t>efficient.</w:t>
      </w:r>
    </w:p>
    <w:p>
      <w:pPr>
        <w:pStyle w:val="ListParagraph"/>
        <w:numPr>
          <w:ilvl w:val="2"/>
          <w:numId w:val="52"/>
        </w:numPr>
        <w:tabs>
          <w:tab w:pos="1439" w:val="left" w:leader="none"/>
        </w:tabs>
        <w:spacing w:line="266" w:lineRule="auto" w:before="0" w:after="0"/>
        <w:ind w:left="1439" w:right="0" w:hanging="360"/>
        <w:jc w:val="both"/>
        <w:rPr>
          <w:sz w:val="22"/>
        </w:rPr>
      </w:pPr>
      <w:r>
        <w:rPr>
          <w:sz w:val="22"/>
        </w:rPr>
        <w:t>Provide technical help or guidance to potential university researchers for writing grant </w:t>
      </w:r>
      <w:r>
        <w:rPr>
          <w:spacing w:val="-2"/>
          <w:sz w:val="22"/>
        </w:rPr>
        <w:t>applications.</w:t>
      </w:r>
    </w:p>
    <w:p>
      <w:pPr>
        <w:pStyle w:val="BodyText"/>
        <w:spacing w:before="9"/>
      </w:pPr>
    </w:p>
    <w:p>
      <w:pPr>
        <w:pStyle w:val="BodyText"/>
        <w:spacing w:line="266" w:lineRule="auto" w:before="1"/>
        <w:ind w:left="1080"/>
        <w:jc w:val="both"/>
      </w:pPr>
      <w:r>
        <w:rPr>
          <w:b/>
        </w:rPr>
        <w:t>Collaboration</w:t>
      </w:r>
      <w:r>
        <w:rPr>
          <w:b/>
          <w:spacing w:val="-14"/>
        </w:rPr>
        <w:t> </w:t>
      </w:r>
      <w:r>
        <w:rPr>
          <w:b/>
        </w:rPr>
        <w:t>for</w:t>
      </w:r>
      <w:r>
        <w:rPr>
          <w:b/>
          <w:spacing w:val="-14"/>
        </w:rPr>
        <w:t> </w:t>
      </w:r>
      <w:r>
        <w:rPr>
          <w:b/>
        </w:rPr>
        <w:t>sharing</w:t>
      </w:r>
      <w:r>
        <w:rPr>
          <w:b/>
          <w:spacing w:val="-14"/>
        </w:rPr>
        <w:t> </w:t>
      </w:r>
      <w:r>
        <w:rPr>
          <w:b/>
        </w:rPr>
        <w:t>resources</w:t>
      </w:r>
      <w:r>
        <w:rPr>
          <w:b/>
          <w:spacing w:val="-13"/>
        </w:rPr>
        <w:t> </w:t>
      </w:r>
      <w:r>
        <w:rPr>
          <w:b/>
        </w:rPr>
        <w:t>and</w:t>
      </w:r>
      <w:r>
        <w:rPr>
          <w:b/>
          <w:spacing w:val="-14"/>
        </w:rPr>
        <w:t> </w:t>
      </w:r>
      <w:r>
        <w:rPr>
          <w:b/>
        </w:rPr>
        <w:t>expertise: </w:t>
      </w:r>
      <w:r>
        <w:rPr/>
        <w:t>It is vital to provide researchers with the required infrastructure to carry out their research work. Universities should be given adequate funds for upgrading</w:t>
      </w:r>
      <w:r>
        <w:rPr>
          <w:spacing w:val="-10"/>
        </w:rPr>
        <w:t> </w:t>
      </w:r>
      <w:r>
        <w:rPr/>
        <w:t>infrastructure.</w:t>
      </w:r>
      <w:r>
        <w:rPr>
          <w:spacing w:val="-10"/>
        </w:rPr>
        <w:t> </w:t>
      </w:r>
      <w:r>
        <w:rPr/>
        <w:t>Often,</w:t>
      </w:r>
      <w:r>
        <w:rPr>
          <w:spacing w:val="-10"/>
        </w:rPr>
        <w:t> </w:t>
      </w:r>
      <w:r>
        <w:rPr/>
        <w:t>the</w:t>
      </w:r>
      <w:r>
        <w:rPr>
          <w:spacing w:val="-10"/>
        </w:rPr>
        <w:t> </w:t>
      </w:r>
      <w:r>
        <w:rPr/>
        <w:t>lack</w:t>
      </w:r>
      <w:r>
        <w:rPr>
          <w:spacing w:val="-10"/>
        </w:rPr>
        <w:t> </w:t>
      </w:r>
      <w:r>
        <w:rPr/>
        <w:t>of</w:t>
      </w:r>
      <w:r>
        <w:rPr>
          <w:spacing w:val="-10"/>
        </w:rPr>
        <w:t> </w:t>
      </w:r>
      <w:r>
        <w:rPr/>
        <w:t>funds</w:t>
      </w:r>
      <w:r>
        <w:rPr>
          <w:spacing w:val="-10"/>
        </w:rPr>
        <w:t> </w:t>
      </w:r>
      <w:r>
        <w:rPr/>
        <w:t>acts </w:t>
      </w:r>
      <w:r>
        <w:rPr>
          <w:spacing w:val="-6"/>
        </w:rPr>
        <w:t>as a hurdle in building and maintaining capital-intensive </w:t>
      </w:r>
      <w:r>
        <w:rPr/>
        <w:t>infrastructure. Hence, sharing of infrastructure with joint responsibility of maintenance among institutes should</w:t>
      </w:r>
      <w:r>
        <w:rPr>
          <w:spacing w:val="-3"/>
        </w:rPr>
        <w:t> </w:t>
      </w:r>
      <w:r>
        <w:rPr/>
        <w:t>be</w:t>
      </w:r>
      <w:r>
        <w:rPr>
          <w:spacing w:val="-3"/>
        </w:rPr>
        <w:t> </w:t>
      </w:r>
      <w:r>
        <w:rPr/>
        <w:t>greatly</w:t>
      </w:r>
      <w:r>
        <w:rPr>
          <w:spacing w:val="-3"/>
        </w:rPr>
        <w:t> </w:t>
      </w:r>
      <w:r>
        <w:rPr/>
        <w:t>encouraged.</w:t>
      </w:r>
      <w:r>
        <w:rPr>
          <w:spacing w:val="-3"/>
        </w:rPr>
        <w:t> </w:t>
      </w:r>
      <w:r>
        <w:rPr/>
        <w:t>For</w:t>
      </w:r>
      <w:r>
        <w:rPr>
          <w:spacing w:val="-3"/>
        </w:rPr>
        <w:t> </w:t>
      </w:r>
      <w:r>
        <w:rPr/>
        <w:t>better,</w:t>
      </w:r>
      <w:r>
        <w:rPr>
          <w:spacing w:val="-3"/>
        </w:rPr>
        <w:t> </w:t>
      </w:r>
      <w:r>
        <w:rPr/>
        <w:t>meaningful </w:t>
      </w:r>
      <w:r>
        <w:rPr>
          <w:spacing w:val="-2"/>
        </w:rPr>
        <w:t>sharing</w:t>
      </w:r>
      <w:r>
        <w:rPr>
          <w:spacing w:val="-12"/>
        </w:rPr>
        <w:t> </w:t>
      </w:r>
      <w:r>
        <w:rPr>
          <w:spacing w:val="-2"/>
        </w:rPr>
        <w:t>of</w:t>
      </w:r>
      <w:r>
        <w:rPr>
          <w:spacing w:val="-12"/>
        </w:rPr>
        <w:t> </w:t>
      </w:r>
      <w:r>
        <w:rPr>
          <w:spacing w:val="-2"/>
        </w:rPr>
        <w:t>physical</w:t>
      </w:r>
      <w:r>
        <w:rPr>
          <w:spacing w:val="-12"/>
        </w:rPr>
        <w:t> </w:t>
      </w:r>
      <w:r>
        <w:rPr>
          <w:spacing w:val="-2"/>
        </w:rPr>
        <w:t>as</w:t>
      </w:r>
      <w:r>
        <w:rPr>
          <w:spacing w:val="-11"/>
        </w:rPr>
        <w:t> </w:t>
      </w:r>
      <w:r>
        <w:rPr>
          <w:spacing w:val="-2"/>
        </w:rPr>
        <w:t>well</w:t>
      </w:r>
      <w:r>
        <w:rPr>
          <w:spacing w:val="-12"/>
        </w:rPr>
        <w:t> </w:t>
      </w:r>
      <w:r>
        <w:rPr>
          <w:spacing w:val="-2"/>
        </w:rPr>
        <w:t>as</w:t>
      </w:r>
      <w:r>
        <w:rPr>
          <w:spacing w:val="-12"/>
        </w:rPr>
        <w:t> </w:t>
      </w:r>
      <w:r>
        <w:rPr>
          <w:spacing w:val="-2"/>
        </w:rPr>
        <w:t>intellectual</w:t>
      </w:r>
      <w:r>
        <w:rPr>
          <w:spacing w:val="-12"/>
        </w:rPr>
        <w:t> </w:t>
      </w:r>
      <w:r>
        <w:rPr>
          <w:spacing w:val="-2"/>
        </w:rPr>
        <w:t>infrastructure </w:t>
      </w:r>
      <w:r>
        <w:rPr/>
        <w:t>among institutions,</w:t>
      </w:r>
    </w:p>
    <w:p>
      <w:pPr>
        <w:pStyle w:val="ListParagraph"/>
        <w:numPr>
          <w:ilvl w:val="0"/>
          <w:numId w:val="51"/>
        </w:numPr>
        <w:tabs>
          <w:tab w:pos="679" w:val="left" w:leader="none"/>
        </w:tabs>
        <w:spacing w:line="266" w:lineRule="auto" w:before="60" w:after="0"/>
        <w:ind w:left="679" w:right="1077" w:hanging="360"/>
        <w:jc w:val="both"/>
        <w:rPr>
          <w:sz w:val="22"/>
        </w:rPr>
      </w:pPr>
      <w:r>
        <w:rPr/>
        <w:br w:type="column"/>
      </w:r>
      <w:r>
        <w:rPr>
          <w:spacing w:val="-4"/>
          <w:sz w:val="22"/>
        </w:rPr>
        <w:t>Collaboration</w:t>
      </w:r>
      <w:r>
        <w:rPr>
          <w:spacing w:val="-10"/>
          <w:sz w:val="22"/>
        </w:rPr>
        <w:t> </w:t>
      </w:r>
      <w:r>
        <w:rPr>
          <w:spacing w:val="-4"/>
          <w:sz w:val="22"/>
        </w:rPr>
        <w:t>should</w:t>
      </w:r>
      <w:r>
        <w:rPr>
          <w:spacing w:val="-10"/>
          <w:sz w:val="22"/>
        </w:rPr>
        <w:t> </w:t>
      </w:r>
      <w:r>
        <w:rPr>
          <w:spacing w:val="-4"/>
          <w:sz w:val="22"/>
        </w:rPr>
        <w:t>be</w:t>
      </w:r>
      <w:r>
        <w:rPr>
          <w:spacing w:val="-10"/>
          <w:sz w:val="22"/>
        </w:rPr>
        <w:t> </w:t>
      </w:r>
      <w:r>
        <w:rPr>
          <w:spacing w:val="-4"/>
          <w:sz w:val="22"/>
        </w:rPr>
        <w:t>formalised</w:t>
      </w:r>
      <w:r>
        <w:rPr>
          <w:spacing w:val="-9"/>
          <w:sz w:val="22"/>
        </w:rPr>
        <w:t> </w:t>
      </w:r>
      <w:r>
        <w:rPr>
          <w:spacing w:val="-4"/>
          <w:sz w:val="22"/>
        </w:rPr>
        <w:t>by</w:t>
      </w:r>
      <w:r>
        <w:rPr>
          <w:spacing w:val="-10"/>
          <w:sz w:val="22"/>
        </w:rPr>
        <w:t> </w:t>
      </w:r>
      <w:r>
        <w:rPr>
          <w:spacing w:val="-4"/>
          <w:sz w:val="22"/>
        </w:rPr>
        <w:t>entering</w:t>
      </w:r>
      <w:r>
        <w:rPr>
          <w:spacing w:val="-10"/>
          <w:sz w:val="22"/>
        </w:rPr>
        <w:t> </w:t>
      </w:r>
      <w:r>
        <w:rPr>
          <w:spacing w:val="-4"/>
          <w:sz w:val="22"/>
        </w:rPr>
        <w:t>into </w:t>
      </w:r>
      <w:r>
        <w:rPr>
          <w:sz w:val="22"/>
        </w:rPr>
        <w:t>alliances,</w:t>
      </w:r>
      <w:r>
        <w:rPr>
          <w:spacing w:val="-14"/>
          <w:sz w:val="22"/>
        </w:rPr>
        <w:t> </w:t>
      </w:r>
      <w:r>
        <w:rPr>
          <w:sz w:val="22"/>
        </w:rPr>
        <w:t>signing</w:t>
      </w:r>
      <w:r>
        <w:rPr>
          <w:spacing w:val="-14"/>
          <w:sz w:val="22"/>
        </w:rPr>
        <w:t> </w:t>
      </w:r>
      <w:r>
        <w:rPr>
          <w:sz w:val="22"/>
        </w:rPr>
        <w:t>MoUs</w:t>
      </w:r>
      <w:r>
        <w:rPr>
          <w:spacing w:val="-14"/>
          <w:sz w:val="22"/>
        </w:rPr>
        <w:t> </w:t>
      </w:r>
      <w:r>
        <w:rPr>
          <w:sz w:val="22"/>
        </w:rPr>
        <w:t>etc.</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New</w:t>
      </w:r>
      <w:r>
        <w:rPr>
          <w:spacing w:val="-14"/>
          <w:sz w:val="22"/>
        </w:rPr>
        <w:t> </w:t>
      </w:r>
      <w:r>
        <w:rPr>
          <w:sz w:val="22"/>
        </w:rPr>
        <w:t>research</w:t>
      </w:r>
      <w:r>
        <w:rPr>
          <w:spacing w:val="-14"/>
          <w:sz w:val="22"/>
        </w:rPr>
        <w:t> </w:t>
      </w:r>
      <w:r>
        <w:rPr>
          <w:sz w:val="22"/>
        </w:rPr>
        <w:t>and</w:t>
      </w:r>
      <w:r>
        <w:rPr>
          <w:spacing w:val="-14"/>
          <w:sz w:val="22"/>
        </w:rPr>
        <w:t> </w:t>
      </w:r>
      <w:r>
        <w:rPr>
          <w:sz w:val="22"/>
        </w:rPr>
        <w:t>academic</w:t>
      </w:r>
      <w:r>
        <w:rPr>
          <w:spacing w:val="-13"/>
          <w:sz w:val="22"/>
        </w:rPr>
        <w:t> </w:t>
      </w:r>
      <w:r>
        <w:rPr>
          <w:sz w:val="22"/>
        </w:rPr>
        <w:t>institutions</w:t>
      </w:r>
      <w:r>
        <w:rPr>
          <w:spacing w:val="-14"/>
          <w:sz w:val="22"/>
        </w:rPr>
        <w:t> </w:t>
      </w:r>
      <w:r>
        <w:rPr>
          <w:sz w:val="22"/>
        </w:rPr>
        <w:t>should</w:t>
      </w:r>
      <w:r>
        <w:rPr>
          <w:spacing w:val="-14"/>
          <w:sz w:val="22"/>
        </w:rPr>
        <w:t> </w:t>
      </w:r>
      <w:r>
        <w:rPr>
          <w:sz w:val="22"/>
        </w:rPr>
        <w:t>be co-located</w:t>
      </w:r>
      <w:r>
        <w:rPr>
          <w:spacing w:val="-14"/>
          <w:sz w:val="22"/>
        </w:rPr>
        <w:t> </w:t>
      </w:r>
      <w:r>
        <w:rPr>
          <w:sz w:val="22"/>
        </w:rPr>
        <w:t>as</w:t>
      </w:r>
      <w:r>
        <w:rPr>
          <w:spacing w:val="-14"/>
          <w:sz w:val="22"/>
        </w:rPr>
        <w:t> </w:t>
      </w:r>
      <w:r>
        <w:rPr>
          <w:sz w:val="22"/>
        </w:rPr>
        <w:t>much</w:t>
      </w:r>
      <w:r>
        <w:rPr>
          <w:spacing w:val="-14"/>
          <w:sz w:val="22"/>
        </w:rPr>
        <w:t> </w:t>
      </w:r>
      <w:r>
        <w:rPr>
          <w:sz w:val="22"/>
        </w:rPr>
        <w:t>as</w:t>
      </w:r>
      <w:r>
        <w:rPr>
          <w:spacing w:val="-13"/>
          <w:sz w:val="22"/>
        </w:rPr>
        <w:t> </w:t>
      </w:r>
      <w:r>
        <w:rPr>
          <w:sz w:val="22"/>
        </w:rPr>
        <w:t>possible.</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Library</w:t>
      </w:r>
      <w:r>
        <w:rPr>
          <w:spacing w:val="-14"/>
          <w:sz w:val="22"/>
        </w:rPr>
        <w:t> </w:t>
      </w:r>
      <w:r>
        <w:rPr>
          <w:sz w:val="22"/>
        </w:rPr>
        <w:t>facilities,</w:t>
      </w:r>
      <w:r>
        <w:rPr>
          <w:spacing w:val="-14"/>
          <w:sz w:val="22"/>
        </w:rPr>
        <w:t> </w:t>
      </w:r>
      <w:r>
        <w:rPr>
          <w:sz w:val="22"/>
        </w:rPr>
        <w:t>access</w:t>
      </w:r>
      <w:r>
        <w:rPr>
          <w:spacing w:val="-14"/>
          <w:sz w:val="22"/>
        </w:rPr>
        <w:t> </w:t>
      </w:r>
      <w:r>
        <w:rPr>
          <w:sz w:val="22"/>
        </w:rPr>
        <w:t>to</w:t>
      </w:r>
      <w:r>
        <w:rPr>
          <w:spacing w:val="-13"/>
          <w:sz w:val="22"/>
        </w:rPr>
        <w:t> </w:t>
      </w:r>
      <w:r>
        <w:rPr>
          <w:sz w:val="22"/>
        </w:rPr>
        <w:t>journals</w:t>
      </w:r>
      <w:r>
        <w:rPr>
          <w:spacing w:val="-14"/>
          <w:sz w:val="22"/>
        </w:rPr>
        <w:t> </w:t>
      </w:r>
      <w:r>
        <w:rPr>
          <w:sz w:val="22"/>
        </w:rPr>
        <w:t>electronically etc. should be provided freely. The upcoming </w:t>
      </w:r>
      <w:r>
        <w:rPr>
          <w:spacing w:val="-2"/>
          <w:sz w:val="22"/>
        </w:rPr>
        <w:t>National</w:t>
      </w:r>
      <w:r>
        <w:rPr>
          <w:spacing w:val="-12"/>
          <w:sz w:val="22"/>
        </w:rPr>
        <w:t> </w:t>
      </w:r>
      <w:r>
        <w:rPr>
          <w:spacing w:val="-2"/>
          <w:sz w:val="22"/>
        </w:rPr>
        <w:t>Knowledge</w:t>
      </w:r>
      <w:r>
        <w:rPr>
          <w:spacing w:val="-12"/>
          <w:sz w:val="22"/>
        </w:rPr>
        <w:t> </w:t>
      </w:r>
      <w:r>
        <w:rPr>
          <w:spacing w:val="-2"/>
          <w:sz w:val="22"/>
        </w:rPr>
        <w:t>Network</w:t>
      </w:r>
      <w:r>
        <w:rPr>
          <w:spacing w:val="-12"/>
          <w:sz w:val="22"/>
        </w:rPr>
        <w:t> </w:t>
      </w:r>
      <w:r>
        <w:rPr>
          <w:spacing w:val="-2"/>
          <w:sz w:val="22"/>
        </w:rPr>
        <w:t>should</w:t>
      </w:r>
      <w:r>
        <w:rPr>
          <w:spacing w:val="-11"/>
          <w:sz w:val="22"/>
        </w:rPr>
        <w:t> </w:t>
      </w:r>
      <w:r>
        <w:rPr>
          <w:spacing w:val="-2"/>
          <w:sz w:val="22"/>
        </w:rPr>
        <w:t>be</w:t>
      </w:r>
      <w:r>
        <w:rPr>
          <w:spacing w:val="-12"/>
          <w:sz w:val="22"/>
        </w:rPr>
        <w:t> </w:t>
      </w:r>
      <w:r>
        <w:rPr>
          <w:spacing w:val="-2"/>
          <w:sz w:val="22"/>
        </w:rPr>
        <w:t>leveraged </w:t>
      </w:r>
      <w:r>
        <w:rPr>
          <w:sz w:val="22"/>
        </w:rPr>
        <w:t>for this purpose.</w:t>
      </w:r>
    </w:p>
    <w:p>
      <w:pPr>
        <w:pStyle w:val="ListParagraph"/>
        <w:numPr>
          <w:ilvl w:val="0"/>
          <w:numId w:val="51"/>
        </w:numPr>
        <w:tabs>
          <w:tab w:pos="679" w:val="left" w:leader="none"/>
        </w:tabs>
        <w:spacing w:line="266" w:lineRule="auto" w:before="0" w:after="0"/>
        <w:ind w:left="679" w:right="1077" w:hanging="360"/>
        <w:jc w:val="both"/>
        <w:rPr>
          <w:sz w:val="22"/>
        </w:rPr>
      </w:pPr>
      <w:r>
        <w:rPr>
          <w:spacing w:val="-2"/>
          <w:sz w:val="22"/>
        </w:rPr>
        <w:t>Top</w:t>
      </w:r>
      <w:r>
        <w:rPr>
          <w:spacing w:val="-12"/>
          <w:sz w:val="22"/>
        </w:rPr>
        <w:t> </w:t>
      </w:r>
      <w:r>
        <w:rPr>
          <w:spacing w:val="-2"/>
          <w:sz w:val="22"/>
        </w:rPr>
        <w:t>down</w:t>
      </w:r>
      <w:r>
        <w:rPr>
          <w:spacing w:val="-12"/>
          <w:sz w:val="22"/>
        </w:rPr>
        <w:t> </w:t>
      </w:r>
      <w:r>
        <w:rPr>
          <w:spacing w:val="-2"/>
          <w:sz w:val="22"/>
        </w:rPr>
        <w:t>systemic</w:t>
      </w:r>
      <w:r>
        <w:rPr>
          <w:spacing w:val="-12"/>
          <w:sz w:val="22"/>
        </w:rPr>
        <w:t> </w:t>
      </w:r>
      <w:r>
        <w:rPr>
          <w:spacing w:val="-2"/>
          <w:sz w:val="22"/>
        </w:rPr>
        <w:t>linkages</w:t>
      </w:r>
      <w:r>
        <w:rPr>
          <w:spacing w:val="-11"/>
          <w:sz w:val="22"/>
        </w:rPr>
        <w:t> </w:t>
      </w:r>
      <w:r>
        <w:rPr>
          <w:spacing w:val="-2"/>
          <w:sz w:val="22"/>
        </w:rPr>
        <w:t>from</w:t>
      </w:r>
      <w:r>
        <w:rPr>
          <w:spacing w:val="-12"/>
          <w:sz w:val="22"/>
        </w:rPr>
        <w:t> </w:t>
      </w:r>
      <w:r>
        <w:rPr>
          <w:spacing w:val="-2"/>
          <w:sz w:val="22"/>
        </w:rPr>
        <w:t>elite</w:t>
      </w:r>
      <w:r>
        <w:rPr>
          <w:spacing w:val="-12"/>
          <w:sz w:val="22"/>
        </w:rPr>
        <w:t> </w:t>
      </w:r>
      <w:r>
        <w:rPr>
          <w:spacing w:val="-2"/>
          <w:sz w:val="22"/>
        </w:rPr>
        <w:t>institutions </w:t>
      </w:r>
      <w:r>
        <w:rPr>
          <w:spacing w:val="-4"/>
          <w:sz w:val="22"/>
        </w:rPr>
        <w:t>to</w:t>
      </w:r>
      <w:r>
        <w:rPr>
          <w:spacing w:val="-10"/>
          <w:sz w:val="22"/>
        </w:rPr>
        <w:t> </w:t>
      </w:r>
      <w:r>
        <w:rPr>
          <w:spacing w:val="-4"/>
          <w:sz w:val="22"/>
        </w:rPr>
        <w:t>universities</w:t>
      </w:r>
      <w:r>
        <w:rPr>
          <w:spacing w:val="-10"/>
          <w:sz w:val="22"/>
        </w:rPr>
        <w:t> </w:t>
      </w:r>
      <w:r>
        <w:rPr>
          <w:spacing w:val="-4"/>
          <w:sz w:val="22"/>
        </w:rPr>
        <w:t>and</w:t>
      </w:r>
      <w:r>
        <w:rPr>
          <w:spacing w:val="-10"/>
          <w:sz w:val="22"/>
        </w:rPr>
        <w:t> </w:t>
      </w:r>
      <w:r>
        <w:rPr>
          <w:spacing w:val="-4"/>
          <w:sz w:val="22"/>
        </w:rPr>
        <w:t>to</w:t>
      </w:r>
      <w:r>
        <w:rPr>
          <w:spacing w:val="-9"/>
          <w:sz w:val="22"/>
        </w:rPr>
        <w:t> </w:t>
      </w:r>
      <w:r>
        <w:rPr>
          <w:spacing w:val="-4"/>
          <w:sz w:val="22"/>
        </w:rPr>
        <w:t>colleges</w:t>
      </w:r>
      <w:r>
        <w:rPr>
          <w:spacing w:val="-10"/>
          <w:sz w:val="22"/>
        </w:rPr>
        <w:t> </w:t>
      </w:r>
      <w:r>
        <w:rPr>
          <w:spacing w:val="-4"/>
          <w:sz w:val="22"/>
        </w:rPr>
        <w:t>should</w:t>
      </w:r>
      <w:r>
        <w:rPr>
          <w:spacing w:val="-10"/>
          <w:sz w:val="22"/>
        </w:rPr>
        <w:t> </w:t>
      </w:r>
      <w:r>
        <w:rPr>
          <w:spacing w:val="-4"/>
          <w:sz w:val="22"/>
        </w:rPr>
        <w:t>be</w:t>
      </w:r>
      <w:r>
        <w:rPr>
          <w:spacing w:val="-10"/>
          <w:sz w:val="22"/>
        </w:rPr>
        <w:t> </w:t>
      </w:r>
      <w:r>
        <w:rPr>
          <w:spacing w:val="-4"/>
          <w:sz w:val="22"/>
        </w:rPr>
        <w:t>established </w:t>
      </w:r>
      <w:r>
        <w:rPr>
          <w:sz w:val="22"/>
        </w:rPr>
        <w:t>and encouraged to ensure capacity building.</w:t>
      </w:r>
    </w:p>
    <w:p>
      <w:pPr>
        <w:pStyle w:val="ListParagraph"/>
        <w:numPr>
          <w:ilvl w:val="0"/>
          <w:numId w:val="51"/>
        </w:numPr>
        <w:tabs>
          <w:tab w:pos="679" w:val="left" w:leader="none"/>
        </w:tabs>
        <w:spacing w:line="266" w:lineRule="auto" w:before="0" w:after="0"/>
        <w:ind w:left="679" w:right="1077" w:hanging="360"/>
        <w:jc w:val="both"/>
        <w:rPr>
          <w:sz w:val="22"/>
        </w:rPr>
      </w:pPr>
      <w:r>
        <w:rPr>
          <w:spacing w:val="-2"/>
          <w:sz w:val="22"/>
        </w:rPr>
        <w:t>Joint</w:t>
      </w:r>
      <w:r>
        <w:rPr>
          <w:spacing w:val="-8"/>
          <w:sz w:val="22"/>
        </w:rPr>
        <w:t> </w:t>
      </w:r>
      <w:r>
        <w:rPr>
          <w:spacing w:val="-2"/>
          <w:sz w:val="22"/>
        </w:rPr>
        <w:t>doctoral</w:t>
      </w:r>
      <w:r>
        <w:rPr>
          <w:spacing w:val="-8"/>
          <w:sz w:val="22"/>
        </w:rPr>
        <w:t> </w:t>
      </w:r>
      <w:r>
        <w:rPr>
          <w:spacing w:val="-2"/>
          <w:sz w:val="22"/>
        </w:rPr>
        <w:t>research</w:t>
      </w:r>
      <w:r>
        <w:rPr>
          <w:spacing w:val="-8"/>
          <w:sz w:val="22"/>
        </w:rPr>
        <w:t> </w:t>
      </w:r>
      <w:r>
        <w:rPr>
          <w:spacing w:val="-2"/>
          <w:sz w:val="22"/>
        </w:rPr>
        <w:t>where</w:t>
      </w:r>
      <w:r>
        <w:rPr>
          <w:spacing w:val="-8"/>
          <w:sz w:val="22"/>
        </w:rPr>
        <w:t> </w:t>
      </w:r>
      <w:r>
        <w:rPr>
          <w:spacing w:val="-2"/>
          <w:sz w:val="22"/>
        </w:rPr>
        <w:t>students</w:t>
      </w:r>
      <w:r>
        <w:rPr>
          <w:spacing w:val="-8"/>
          <w:sz w:val="22"/>
        </w:rPr>
        <w:t> </w:t>
      </w:r>
      <w:r>
        <w:rPr>
          <w:spacing w:val="-2"/>
          <w:sz w:val="22"/>
        </w:rPr>
        <w:t>are</w:t>
      </w:r>
      <w:r>
        <w:rPr>
          <w:spacing w:val="-8"/>
          <w:sz w:val="22"/>
        </w:rPr>
        <w:t> </w:t>
      </w:r>
      <w:r>
        <w:rPr>
          <w:spacing w:val="-2"/>
          <w:sz w:val="22"/>
        </w:rPr>
        <w:t>allowed </w:t>
      </w:r>
      <w:r>
        <w:rPr>
          <w:spacing w:val="-4"/>
          <w:sz w:val="22"/>
        </w:rPr>
        <w:t>to</w:t>
      </w:r>
      <w:r>
        <w:rPr>
          <w:spacing w:val="-8"/>
          <w:sz w:val="22"/>
        </w:rPr>
        <w:t> </w:t>
      </w:r>
      <w:r>
        <w:rPr>
          <w:spacing w:val="-4"/>
          <w:sz w:val="22"/>
        </w:rPr>
        <w:t>select</w:t>
      </w:r>
      <w:r>
        <w:rPr>
          <w:spacing w:val="-8"/>
          <w:sz w:val="22"/>
        </w:rPr>
        <w:t> </w:t>
      </w:r>
      <w:r>
        <w:rPr>
          <w:spacing w:val="-4"/>
          <w:sz w:val="22"/>
        </w:rPr>
        <w:t>guide</w:t>
      </w:r>
      <w:r>
        <w:rPr>
          <w:spacing w:val="-8"/>
          <w:sz w:val="22"/>
        </w:rPr>
        <w:t> </w:t>
      </w:r>
      <w:r>
        <w:rPr>
          <w:spacing w:val="-4"/>
          <w:sz w:val="22"/>
        </w:rPr>
        <w:t>and</w:t>
      </w:r>
      <w:r>
        <w:rPr>
          <w:spacing w:val="-8"/>
          <w:sz w:val="22"/>
        </w:rPr>
        <w:t> </w:t>
      </w:r>
      <w:r>
        <w:rPr>
          <w:spacing w:val="-4"/>
          <w:sz w:val="22"/>
        </w:rPr>
        <w:t>co-guides</w:t>
      </w:r>
      <w:r>
        <w:rPr>
          <w:spacing w:val="-8"/>
          <w:sz w:val="22"/>
        </w:rPr>
        <w:t> </w:t>
      </w:r>
      <w:r>
        <w:rPr>
          <w:spacing w:val="-4"/>
          <w:sz w:val="22"/>
        </w:rPr>
        <w:t>from</w:t>
      </w:r>
      <w:r>
        <w:rPr>
          <w:spacing w:val="-8"/>
          <w:sz w:val="22"/>
        </w:rPr>
        <w:t> </w:t>
      </w:r>
      <w:r>
        <w:rPr>
          <w:spacing w:val="-4"/>
          <w:sz w:val="22"/>
        </w:rPr>
        <w:t>across</w:t>
      </w:r>
      <w:r>
        <w:rPr>
          <w:spacing w:val="-8"/>
          <w:sz w:val="22"/>
        </w:rPr>
        <w:t> </w:t>
      </w:r>
      <w:r>
        <w:rPr>
          <w:spacing w:val="-4"/>
          <w:sz w:val="22"/>
        </w:rPr>
        <w:t>academic </w:t>
      </w:r>
      <w:r>
        <w:rPr>
          <w:sz w:val="22"/>
        </w:rPr>
        <w:t>and research institutions should be undertaken.</w:t>
      </w:r>
    </w:p>
    <w:p>
      <w:pPr>
        <w:pStyle w:val="ListParagraph"/>
        <w:numPr>
          <w:ilvl w:val="0"/>
          <w:numId w:val="51"/>
        </w:numPr>
        <w:tabs>
          <w:tab w:pos="679" w:val="left" w:leader="none"/>
        </w:tabs>
        <w:spacing w:line="266" w:lineRule="auto" w:before="0" w:after="0"/>
        <w:ind w:left="679" w:right="1078" w:hanging="360"/>
        <w:jc w:val="both"/>
        <w:rPr>
          <w:sz w:val="22"/>
        </w:rPr>
      </w:pPr>
      <w:r>
        <w:rPr>
          <w:sz w:val="22"/>
        </w:rPr>
        <w:t>Research institutes can allocate sub-projects </w:t>
      </w:r>
      <w:r>
        <w:rPr>
          <w:sz w:val="22"/>
        </w:rPr>
        <w:t>to universities to begin with.</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Inter-disciplinary projects involving </w:t>
      </w:r>
      <w:r>
        <w:rPr>
          <w:sz w:val="22"/>
        </w:rPr>
        <w:t>multiple agencies should be explored.</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UGC should promote conferences with industry </w:t>
      </w:r>
      <w:r>
        <w:rPr>
          <w:spacing w:val="-4"/>
          <w:sz w:val="22"/>
        </w:rPr>
        <w:t>and</w:t>
      </w:r>
      <w:r>
        <w:rPr>
          <w:spacing w:val="-10"/>
          <w:sz w:val="22"/>
        </w:rPr>
        <w:t> </w:t>
      </w:r>
      <w:r>
        <w:rPr>
          <w:spacing w:val="-4"/>
          <w:sz w:val="22"/>
        </w:rPr>
        <w:t>research</w:t>
      </w:r>
      <w:r>
        <w:rPr>
          <w:spacing w:val="-10"/>
          <w:sz w:val="22"/>
        </w:rPr>
        <w:t> </w:t>
      </w:r>
      <w:r>
        <w:rPr>
          <w:spacing w:val="-4"/>
          <w:sz w:val="22"/>
        </w:rPr>
        <w:t>institutes</w:t>
      </w:r>
      <w:r>
        <w:rPr>
          <w:spacing w:val="-10"/>
          <w:sz w:val="22"/>
        </w:rPr>
        <w:t> </w:t>
      </w:r>
      <w:r>
        <w:rPr>
          <w:spacing w:val="-4"/>
          <w:sz w:val="22"/>
        </w:rPr>
        <w:t>to</w:t>
      </w:r>
      <w:r>
        <w:rPr>
          <w:spacing w:val="-9"/>
          <w:sz w:val="22"/>
        </w:rPr>
        <w:t> </w:t>
      </w:r>
      <w:r>
        <w:rPr>
          <w:spacing w:val="-4"/>
          <w:sz w:val="22"/>
        </w:rPr>
        <w:t>enable</w:t>
      </w:r>
      <w:r>
        <w:rPr>
          <w:spacing w:val="-10"/>
          <w:sz w:val="22"/>
        </w:rPr>
        <w:t> </w:t>
      </w:r>
      <w:r>
        <w:rPr>
          <w:spacing w:val="-4"/>
          <w:sz w:val="22"/>
        </w:rPr>
        <w:t>conversion</w:t>
      </w:r>
      <w:r>
        <w:rPr>
          <w:spacing w:val="-10"/>
          <w:sz w:val="22"/>
        </w:rPr>
        <w:t> </w:t>
      </w:r>
      <w:r>
        <w:rPr>
          <w:spacing w:val="-4"/>
          <w:sz w:val="22"/>
        </w:rPr>
        <w:t>of</w:t>
      </w:r>
      <w:r>
        <w:rPr>
          <w:spacing w:val="-10"/>
          <w:sz w:val="22"/>
        </w:rPr>
        <w:t> </w:t>
      </w:r>
      <w:r>
        <w:rPr>
          <w:spacing w:val="-4"/>
          <w:sz w:val="22"/>
        </w:rPr>
        <w:t>ideas </w:t>
      </w:r>
      <w:r>
        <w:rPr>
          <w:sz w:val="22"/>
        </w:rPr>
        <w:t>into research to be implemented at universities.</w:t>
      </w:r>
    </w:p>
    <w:p>
      <w:pPr>
        <w:pStyle w:val="BodyText"/>
        <w:spacing w:before="10"/>
      </w:pPr>
    </w:p>
    <w:p>
      <w:pPr>
        <w:pStyle w:val="BodyText"/>
        <w:spacing w:line="266" w:lineRule="auto"/>
        <w:ind w:left="319" w:right="1077"/>
        <w:jc w:val="both"/>
      </w:pPr>
      <w:r>
        <w:rPr>
          <w:b/>
          <w:w w:val="90"/>
        </w:rPr>
        <w:t>Revamp of Laboratories: </w:t>
      </w:r>
      <w:r>
        <w:rPr>
          <w:w w:val="90"/>
        </w:rPr>
        <w:t>An inseparable part of </w:t>
      </w:r>
      <w:r>
        <w:rPr>
          <w:w w:val="90"/>
        </w:rPr>
        <w:t>research </w:t>
      </w:r>
      <w:r>
        <w:rPr>
          <w:spacing w:val="-8"/>
        </w:rPr>
        <w:t>and teaching</w:t>
      </w:r>
      <w:r>
        <w:rPr>
          <w:spacing w:val="-6"/>
        </w:rPr>
        <w:t> </w:t>
      </w:r>
      <w:r>
        <w:rPr>
          <w:spacing w:val="-8"/>
        </w:rPr>
        <w:t>in</w:t>
      </w:r>
      <w:r>
        <w:rPr>
          <w:spacing w:val="-6"/>
        </w:rPr>
        <w:t> </w:t>
      </w:r>
      <w:r>
        <w:rPr>
          <w:spacing w:val="-8"/>
        </w:rPr>
        <w:t>Science</w:t>
      </w:r>
      <w:r>
        <w:rPr>
          <w:spacing w:val="-5"/>
        </w:rPr>
        <w:t> </w:t>
      </w:r>
      <w:r>
        <w:rPr>
          <w:spacing w:val="-8"/>
        </w:rPr>
        <w:t>and</w:t>
      </w:r>
      <w:r>
        <w:rPr>
          <w:spacing w:val="-6"/>
        </w:rPr>
        <w:t> </w:t>
      </w:r>
      <w:r>
        <w:rPr>
          <w:spacing w:val="-8"/>
        </w:rPr>
        <w:t>Technology</w:t>
      </w:r>
      <w:r>
        <w:rPr>
          <w:spacing w:val="-6"/>
        </w:rPr>
        <w:t> </w:t>
      </w:r>
      <w:r>
        <w:rPr>
          <w:spacing w:val="-8"/>
        </w:rPr>
        <w:t>is</w:t>
      </w:r>
      <w:r>
        <w:rPr>
          <w:spacing w:val="-6"/>
        </w:rPr>
        <w:t> </w:t>
      </w:r>
      <w:r>
        <w:rPr>
          <w:spacing w:val="-8"/>
        </w:rPr>
        <w:t>the</w:t>
      </w:r>
      <w:r>
        <w:rPr>
          <w:spacing w:val="-5"/>
        </w:rPr>
        <w:t> </w:t>
      </w:r>
      <w:r>
        <w:rPr>
          <w:spacing w:val="-8"/>
        </w:rPr>
        <w:t>laboratory. </w:t>
      </w:r>
      <w:r>
        <w:rPr>
          <w:spacing w:val="-4"/>
        </w:rPr>
        <w:t>Laboratories</w:t>
      </w:r>
      <w:r>
        <w:rPr>
          <w:spacing w:val="-9"/>
        </w:rPr>
        <w:t> </w:t>
      </w:r>
      <w:r>
        <w:rPr>
          <w:spacing w:val="-4"/>
        </w:rPr>
        <w:t>play</w:t>
      </w:r>
      <w:r>
        <w:rPr>
          <w:spacing w:val="-9"/>
        </w:rPr>
        <w:t> </w:t>
      </w:r>
      <w:r>
        <w:rPr>
          <w:spacing w:val="-4"/>
        </w:rPr>
        <w:t>an</w:t>
      </w:r>
      <w:r>
        <w:rPr>
          <w:spacing w:val="-5"/>
        </w:rPr>
        <w:t> </w:t>
      </w:r>
      <w:r>
        <w:rPr>
          <w:spacing w:val="-4"/>
        </w:rPr>
        <w:t>important</w:t>
      </w:r>
      <w:r>
        <w:rPr>
          <w:spacing w:val="-5"/>
        </w:rPr>
        <w:t> </w:t>
      </w:r>
      <w:r>
        <w:rPr>
          <w:spacing w:val="-4"/>
        </w:rPr>
        <w:t>role</w:t>
      </w:r>
      <w:r>
        <w:rPr>
          <w:spacing w:val="-5"/>
        </w:rPr>
        <w:t> </w:t>
      </w:r>
      <w:r>
        <w:rPr>
          <w:spacing w:val="-4"/>
        </w:rPr>
        <w:t>in</w:t>
      </w:r>
      <w:r>
        <w:rPr>
          <w:spacing w:val="-5"/>
        </w:rPr>
        <w:t> </w:t>
      </w:r>
      <w:r>
        <w:rPr>
          <w:spacing w:val="-4"/>
        </w:rPr>
        <w:t>creating</w:t>
      </w:r>
      <w:r>
        <w:rPr>
          <w:spacing w:val="-5"/>
        </w:rPr>
        <w:t> </w:t>
      </w:r>
      <w:r>
        <w:rPr>
          <w:spacing w:val="-4"/>
        </w:rPr>
        <w:t>research </w:t>
      </w:r>
      <w:r>
        <w:rPr/>
        <w:t>attitudes,</w:t>
      </w:r>
      <w:r>
        <w:rPr>
          <w:spacing w:val="-13"/>
        </w:rPr>
        <w:t> </w:t>
      </w:r>
      <w:r>
        <w:rPr/>
        <w:t>arousing</w:t>
      </w:r>
      <w:r>
        <w:rPr>
          <w:spacing w:val="-11"/>
        </w:rPr>
        <w:t> </w:t>
      </w:r>
      <w:r>
        <w:rPr/>
        <w:t>interest</w:t>
      </w:r>
      <w:r>
        <w:rPr>
          <w:spacing w:val="-11"/>
        </w:rPr>
        <w:t> </w:t>
      </w:r>
      <w:r>
        <w:rPr/>
        <w:t>and</w:t>
      </w:r>
      <w:r>
        <w:rPr>
          <w:spacing w:val="-11"/>
        </w:rPr>
        <w:t> </w:t>
      </w:r>
      <w:r>
        <w:rPr/>
        <w:t>curiosity.</w:t>
      </w:r>
      <w:r>
        <w:rPr>
          <w:spacing w:val="-14"/>
        </w:rPr>
        <w:t> </w:t>
      </w:r>
      <w:r>
        <w:rPr/>
        <w:t>They</w:t>
      </w:r>
      <w:r>
        <w:rPr>
          <w:spacing w:val="-11"/>
        </w:rPr>
        <w:t> </w:t>
      </w:r>
      <w:r>
        <w:rPr/>
        <w:t>help</w:t>
      </w:r>
      <w:r>
        <w:rPr>
          <w:spacing w:val="-9"/>
        </w:rPr>
        <w:t> </w:t>
      </w:r>
      <w:r>
        <w:rPr/>
        <w:t>in </w:t>
      </w:r>
      <w:r>
        <w:rPr>
          <w:spacing w:val="-6"/>
        </w:rPr>
        <w:t>gaining</w:t>
      </w:r>
      <w:r>
        <w:rPr>
          <w:spacing w:val="-8"/>
        </w:rPr>
        <w:t> </w:t>
      </w:r>
      <w:r>
        <w:rPr>
          <w:spacing w:val="-6"/>
        </w:rPr>
        <w:t>experience</w:t>
      </w:r>
      <w:r>
        <w:rPr>
          <w:spacing w:val="-8"/>
        </w:rPr>
        <w:t> </w:t>
      </w:r>
      <w:r>
        <w:rPr>
          <w:spacing w:val="-6"/>
        </w:rPr>
        <w:t>in</w:t>
      </w:r>
      <w:r>
        <w:rPr>
          <w:spacing w:val="-8"/>
        </w:rPr>
        <w:t> </w:t>
      </w:r>
      <w:r>
        <w:rPr>
          <w:spacing w:val="-6"/>
        </w:rPr>
        <w:t>scientific</w:t>
      </w:r>
      <w:r>
        <w:rPr>
          <w:spacing w:val="-7"/>
        </w:rPr>
        <w:t> </w:t>
      </w:r>
      <w:r>
        <w:rPr>
          <w:spacing w:val="-6"/>
        </w:rPr>
        <w:t>methods</w:t>
      </w:r>
      <w:r>
        <w:rPr>
          <w:spacing w:val="-8"/>
        </w:rPr>
        <w:t> </w:t>
      </w:r>
      <w:r>
        <w:rPr>
          <w:spacing w:val="-6"/>
        </w:rPr>
        <w:t>and</w:t>
      </w:r>
      <w:r>
        <w:rPr>
          <w:spacing w:val="-8"/>
        </w:rPr>
        <w:t> </w:t>
      </w:r>
      <w:r>
        <w:rPr>
          <w:spacing w:val="-6"/>
        </w:rPr>
        <w:t>learning</w:t>
      </w:r>
      <w:r>
        <w:rPr>
          <w:spacing w:val="-8"/>
        </w:rPr>
        <w:t> </w:t>
      </w:r>
      <w:r>
        <w:rPr>
          <w:spacing w:val="-6"/>
        </w:rPr>
        <w:t>the </w:t>
      </w:r>
      <w:r>
        <w:rPr>
          <w:spacing w:val="-2"/>
        </w:rPr>
        <w:t>process</w:t>
      </w:r>
      <w:r>
        <w:rPr>
          <w:spacing w:val="-12"/>
        </w:rPr>
        <w:t> </w:t>
      </w:r>
      <w:r>
        <w:rPr>
          <w:spacing w:val="-2"/>
        </w:rPr>
        <w:t>of</w:t>
      </w:r>
      <w:r>
        <w:rPr>
          <w:spacing w:val="-12"/>
        </w:rPr>
        <w:t> </w:t>
      </w:r>
      <w:r>
        <w:rPr>
          <w:spacing w:val="-2"/>
        </w:rPr>
        <w:t>scientific</w:t>
      </w:r>
      <w:r>
        <w:rPr>
          <w:spacing w:val="-11"/>
        </w:rPr>
        <w:t> </w:t>
      </w:r>
      <w:r>
        <w:rPr>
          <w:spacing w:val="-2"/>
        </w:rPr>
        <w:t>enquiry.</w:t>
      </w:r>
      <w:r>
        <w:rPr>
          <w:spacing w:val="-9"/>
        </w:rPr>
        <w:t> </w:t>
      </w:r>
      <w:r>
        <w:rPr>
          <w:spacing w:val="-2"/>
        </w:rPr>
        <w:t>Given</w:t>
      </w:r>
      <w:r>
        <w:rPr>
          <w:spacing w:val="-9"/>
        </w:rPr>
        <w:t> </w:t>
      </w:r>
      <w:r>
        <w:rPr>
          <w:spacing w:val="-2"/>
        </w:rPr>
        <w:t>the</w:t>
      </w:r>
      <w:r>
        <w:rPr>
          <w:spacing w:val="-9"/>
        </w:rPr>
        <w:t> </w:t>
      </w:r>
      <w:r>
        <w:rPr>
          <w:spacing w:val="-2"/>
        </w:rPr>
        <w:t>current</w:t>
      </w:r>
      <w:r>
        <w:rPr>
          <w:spacing w:val="-9"/>
        </w:rPr>
        <w:t> </w:t>
      </w:r>
      <w:r>
        <w:rPr>
          <w:spacing w:val="-2"/>
        </w:rPr>
        <w:t>state</w:t>
      </w:r>
      <w:r>
        <w:rPr>
          <w:spacing w:val="-9"/>
        </w:rPr>
        <w:t> </w:t>
      </w:r>
      <w:r>
        <w:rPr>
          <w:spacing w:val="-2"/>
        </w:rPr>
        <w:t>of affairs,</w:t>
      </w:r>
      <w:r>
        <w:rPr>
          <w:spacing w:val="-7"/>
        </w:rPr>
        <w:t> </w:t>
      </w:r>
      <w:r>
        <w:rPr>
          <w:spacing w:val="-2"/>
        </w:rPr>
        <w:t>there</w:t>
      </w:r>
      <w:r>
        <w:rPr>
          <w:spacing w:val="-7"/>
        </w:rPr>
        <w:t> </w:t>
      </w:r>
      <w:r>
        <w:rPr>
          <w:spacing w:val="-2"/>
        </w:rPr>
        <w:t>is</w:t>
      </w:r>
      <w:r>
        <w:rPr>
          <w:spacing w:val="-7"/>
        </w:rPr>
        <w:t> </w:t>
      </w:r>
      <w:r>
        <w:rPr>
          <w:spacing w:val="-2"/>
        </w:rPr>
        <w:t>an</w:t>
      </w:r>
      <w:r>
        <w:rPr>
          <w:spacing w:val="-7"/>
        </w:rPr>
        <w:t> </w:t>
      </w:r>
      <w:r>
        <w:rPr>
          <w:spacing w:val="-2"/>
        </w:rPr>
        <w:t>urgent</w:t>
      </w:r>
      <w:r>
        <w:rPr>
          <w:spacing w:val="-7"/>
        </w:rPr>
        <w:t> </w:t>
      </w:r>
      <w:r>
        <w:rPr>
          <w:spacing w:val="-2"/>
        </w:rPr>
        <w:t>need</w:t>
      </w:r>
      <w:r>
        <w:rPr>
          <w:spacing w:val="-7"/>
        </w:rPr>
        <w:t> </w:t>
      </w:r>
      <w:r>
        <w:rPr>
          <w:spacing w:val="-2"/>
        </w:rPr>
        <w:t>to</w:t>
      </w:r>
      <w:r>
        <w:rPr>
          <w:spacing w:val="-7"/>
        </w:rPr>
        <w:t> </w:t>
      </w:r>
      <w:r>
        <w:rPr>
          <w:spacing w:val="-2"/>
        </w:rPr>
        <w:t>begin</w:t>
      </w:r>
      <w:r>
        <w:rPr>
          <w:spacing w:val="-7"/>
        </w:rPr>
        <w:t> </w:t>
      </w:r>
      <w:r>
        <w:rPr>
          <w:spacing w:val="-2"/>
        </w:rPr>
        <w:t>an</w:t>
      </w:r>
      <w:r>
        <w:rPr>
          <w:spacing w:val="-7"/>
        </w:rPr>
        <w:t> </w:t>
      </w:r>
      <w:r>
        <w:rPr>
          <w:spacing w:val="-2"/>
        </w:rPr>
        <w:t>intervention </w:t>
      </w:r>
      <w:r>
        <w:rPr/>
        <w:t>aimed at addressing the quality issue in laboratory training.</w:t>
      </w:r>
      <w:r>
        <w:rPr>
          <w:spacing w:val="-14"/>
        </w:rPr>
        <w:t> </w:t>
      </w:r>
      <w:r>
        <w:rPr/>
        <w:t>It</w:t>
      </w:r>
      <w:r>
        <w:rPr>
          <w:spacing w:val="-14"/>
        </w:rPr>
        <w:t> </w:t>
      </w:r>
      <w:r>
        <w:rPr/>
        <w:t>is</w:t>
      </w:r>
      <w:r>
        <w:rPr>
          <w:spacing w:val="-14"/>
        </w:rPr>
        <w:t> </w:t>
      </w:r>
      <w:r>
        <w:rPr/>
        <w:t>important</w:t>
      </w:r>
      <w:r>
        <w:rPr>
          <w:spacing w:val="-13"/>
        </w:rPr>
        <w:t> </w:t>
      </w:r>
      <w:r>
        <w:rPr/>
        <w:t>that</w:t>
      </w:r>
      <w:r>
        <w:rPr>
          <w:spacing w:val="-14"/>
        </w:rPr>
        <w:t> </w:t>
      </w:r>
      <w:r>
        <w:rPr/>
        <w:t>even</w:t>
      </w:r>
      <w:r>
        <w:rPr>
          <w:spacing w:val="-14"/>
        </w:rPr>
        <w:t> </w:t>
      </w:r>
      <w:r>
        <w:rPr/>
        <w:t>schools</w:t>
      </w:r>
      <w:r>
        <w:rPr>
          <w:spacing w:val="-14"/>
        </w:rPr>
        <w:t> </w:t>
      </w:r>
      <w:r>
        <w:rPr/>
        <w:t>are</w:t>
      </w:r>
      <w:r>
        <w:rPr>
          <w:spacing w:val="-13"/>
        </w:rPr>
        <w:t> </w:t>
      </w:r>
      <w:r>
        <w:rPr/>
        <w:t>provided </w:t>
      </w:r>
      <w:r>
        <w:rPr>
          <w:spacing w:val="-2"/>
        </w:rPr>
        <w:t>with</w:t>
      </w:r>
      <w:r>
        <w:rPr>
          <w:spacing w:val="-10"/>
        </w:rPr>
        <w:t> </w:t>
      </w:r>
      <w:r>
        <w:rPr>
          <w:spacing w:val="-2"/>
        </w:rPr>
        <w:t>good</w:t>
      </w:r>
      <w:r>
        <w:rPr>
          <w:spacing w:val="-10"/>
        </w:rPr>
        <w:t> </w:t>
      </w:r>
      <w:r>
        <w:rPr>
          <w:spacing w:val="-2"/>
        </w:rPr>
        <w:t>laboratories</w:t>
      </w:r>
      <w:r>
        <w:rPr>
          <w:spacing w:val="-10"/>
        </w:rPr>
        <w:t> </w:t>
      </w:r>
      <w:r>
        <w:rPr>
          <w:spacing w:val="-2"/>
        </w:rPr>
        <w:t>and</w:t>
      </w:r>
      <w:r>
        <w:rPr>
          <w:spacing w:val="-10"/>
        </w:rPr>
        <w:t> </w:t>
      </w:r>
      <w:r>
        <w:rPr>
          <w:spacing w:val="-2"/>
        </w:rPr>
        <w:t>specific</w:t>
      </w:r>
      <w:r>
        <w:rPr>
          <w:spacing w:val="-10"/>
        </w:rPr>
        <w:t> </w:t>
      </w:r>
      <w:r>
        <w:rPr>
          <w:spacing w:val="-2"/>
        </w:rPr>
        <w:t>attention</w:t>
      </w:r>
      <w:r>
        <w:rPr>
          <w:spacing w:val="-10"/>
        </w:rPr>
        <w:t> </w:t>
      </w:r>
      <w:r>
        <w:rPr>
          <w:spacing w:val="-2"/>
        </w:rPr>
        <w:t>should</w:t>
      </w:r>
      <w:r>
        <w:rPr>
          <w:spacing w:val="-10"/>
        </w:rPr>
        <w:t> </w:t>
      </w:r>
      <w:r>
        <w:rPr>
          <w:spacing w:val="-2"/>
        </w:rPr>
        <w:t>be </w:t>
      </w:r>
      <w:r>
        <w:rPr/>
        <w:t>paid to lab training at the undergraduate level.</w:t>
      </w:r>
    </w:p>
    <w:p>
      <w:pPr>
        <w:pStyle w:val="BodyText"/>
        <w:spacing w:before="18"/>
      </w:pPr>
    </w:p>
    <w:p>
      <w:pPr>
        <w:pStyle w:val="BodyText"/>
        <w:spacing w:line="266" w:lineRule="auto"/>
        <w:ind w:left="319" w:right="1077"/>
        <w:jc w:val="both"/>
      </w:pPr>
      <w:r>
        <w:rPr/>
        <w:t>A</w:t>
      </w:r>
      <w:r>
        <w:rPr>
          <w:spacing w:val="40"/>
        </w:rPr>
        <w:t> </w:t>
      </w:r>
      <w:r>
        <w:rPr/>
        <w:t>major</w:t>
      </w:r>
      <w:r>
        <w:rPr>
          <w:spacing w:val="40"/>
        </w:rPr>
        <w:t> </w:t>
      </w:r>
      <w:r>
        <w:rPr/>
        <w:t>problem</w:t>
      </w:r>
      <w:r>
        <w:rPr>
          <w:spacing w:val="40"/>
        </w:rPr>
        <w:t> </w:t>
      </w:r>
      <w:r>
        <w:rPr/>
        <w:t>with</w:t>
      </w:r>
      <w:r>
        <w:rPr>
          <w:spacing w:val="40"/>
        </w:rPr>
        <w:t> </w:t>
      </w:r>
      <w:r>
        <w:rPr/>
        <w:t>all</w:t>
      </w:r>
      <w:r>
        <w:rPr>
          <w:spacing w:val="40"/>
        </w:rPr>
        <w:t> </w:t>
      </w:r>
      <w:r>
        <w:rPr/>
        <w:t>laboratory</w:t>
      </w:r>
      <w:r>
        <w:rPr>
          <w:spacing w:val="40"/>
        </w:rPr>
        <w:t> </w:t>
      </w:r>
      <w:r>
        <w:rPr/>
        <w:t>experiments is that they do not attempt to challenge the student sufficiently and the whole exercise is conducted at a </w:t>
      </w:r>
      <w:r>
        <w:rPr>
          <w:spacing w:val="-4"/>
        </w:rPr>
        <w:t>very</w:t>
      </w:r>
      <w:r>
        <w:rPr>
          <w:spacing w:val="-10"/>
        </w:rPr>
        <w:t> </w:t>
      </w:r>
      <w:r>
        <w:rPr>
          <w:spacing w:val="-4"/>
        </w:rPr>
        <w:t>rudimentary</w:t>
      </w:r>
      <w:r>
        <w:rPr>
          <w:spacing w:val="-10"/>
        </w:rPr>
        <w:t> </w:t>
      </w:r>
      <w:r>
        <w:rPr>
          <w:spacing w:val="-4"/>
        </w:rPr>
        <w:t>level.</w:t>
      </w:r>
      <w:r>
        <w:rPr>
          <w:spacing w:val="-10"/>
        </w:rPr>
        <w:t> </w:t>
      </w:r>
      <w:r>
        <w:rPr>
          <w:spacing w:val="-4"/>
        </w:rPr>
        <w:t>Vital</w:t>
      </w:r>
      <w:r>
        <w:rPr>
          <w:spacing w:val="-9"/>
        </w:rPr>
        <w:t> </w:t>
      </w:r>
      <w:r>
        <w:rPr>
          <w:spacing w:val="-4"/>
        </w:rPr>
        <w:t>aspects</w:t>
      </w:r>
      <w:r>
        <w:rPr>
          <w:spacing w:val="-10"/>
        </w:rPr>
        <w:t> </w:t>
      </w:r>
      <w:r>
        <w:rPr>
          <w:spacing w:val="-4"/>
        </w:rPr>
        <w:t>of</w:t>
      </w:r>
      <w:r>
        <w:rPr>
          <w:spacing w:val="-10"/>
        </w:rPr>
        <w:t> </w:t>
      </w:r>
      <w:r>
        <w:rPr>
          <w:spacing w:val="-4"/>
        </w:rPr>
        <w:t>experiments</w:t>
      </w:r>
      <w:r>
        <w:rPr>
          <w:spacing w:val="-10"/>
        </w:rPr>
        <w:t> </w:t>
      </w:r>
      <w:r>
        <w:rPr>
          <w:spacing w:val="-4"/>
        </w:rPr>
        <w:t>are not</w:t>
      </w:r>
      <w:r>
        <w:rPr>
          <w:spacing w:val="-10"/>
        </w:rPr>
        <w:t> </w:t>
      </w:r>
      <w:r>
        <w:rPr>
          <w:spacing w:val="-4"/>
        </w:rPr>
        <w:t>highlighted</w:t>
      </w:r>
      <w:r>
        <w:rPr>
          <w:spacing w:val="-10"/>
        </w:rPr>
        <w:t> </w:t>
      </w:r>
      <w:r>
        <w:rPr>
          <w:spacing w:val="-4"/>
        </w:rPr>
        <w:t>for</w:t>
      </w:r>
      <w:r>
        <w:rPr>
          <w:spacing w:val="-6"/>
        </w:rPr>
        <w:t> </w:t>
      </w:r>
      <w:r>
        <w:rPr>
          <w:spacing w:val="-4"/>
        </w:rPr>
        <w:t>the</w:t>
      </w:r>
      <w:r>
        <w:rPr>
          <w:spacing w:val="-6"/>
        </w:rPr>
        <w:t> </w:t>
      </w:r>
      <w:r>
        <w:rPr>
          <w:spacing w:val="-4"/>
        </w:rPr>
        <w:t>students.</w:t>
      </w:r>
      <w:r>
        <w:rPr>
          <w:spacing w:val="-10"/>
        </w:rPr>
        <w:t> </w:t>
      </w:r>
      <w:r>
        <w:rPr>
          <w:spacing w:val="-4"/>
        </w:rPr>
        <w:t>The</w:t>
      </w:r>
      <w:r>
        <w:rPr>
          <w:spacing w:val="-6"/>
        </w:rPr>
        <w:t> </w:t>
      </w:r>
      <w:r>
        <w:rPr>
          <w:spacing w:val="-4"/>
        </w:rPr>
        <w:t>student</w:t>
      </w:r>
      <w:r>
        <w:rPr>
          <w:spacing w:val="-6"/>
        </w:rPr>
        <w:t> </w:t>
      </w:r>
      <w:r>
        <w:rPr>
          <w:spacing w:val="-4"/>
        </w:rPr>
        <w:t>is</w:t>
      </w:r>
      <w:r>
        <w:rPr>
          <w:spacing w:val="-6"/>
        </w:rPr>
        <w:t> </w:t>
      </w:r>
      <w:r>
        <w:rPr>
          <w:spacing w:val="-4"/>
        </w:rPr>
        <w:t>typically </w:t>
      </w:r>
      <w:r>
        <w:rPr>
          <w:spacing w:val="-2"/>
        </w:rPr>
        <w:t>not</w:t>
      </w:r>
      <w:r>
        <w:rPr>
          <w:spacing w:val="-8"/>
        </w:rPr>
        <w:t> </w:t>
      </w:r>
      <w:r>
        <w:rPr>
          <w:spacing w:val="-2"/>
        </w:rPr>
        <w:t>involved</w:t>
      </w:r>
      <w:r>
        <w:rPr>
          <w:spacing w:val="-8"/>
        </w:rPr>
        <w:t> </w:t>
      </w:r>
      <w:r>
        <w:rPr>
          <w:spacing w:val="-2"/>
        </w:rPr>
        <w:t>in</w:t>
      </w:r>
      <w:r>
        <w:rPr>
          <w:spacing w:val="-8"/>
        </w:rPr>
        <w:t> </w:t>
      </w:r>
      <w:r>
        <w:rPr>
          <w:spacing w:val="-2"/>
        </w:rPr>
        <w:t>important</w:t>
      </w:r>
      <w:r>
        <w:rPr>
          <w:spacing w:val="-8"/>
        </w:rPr>
        <w:t> </w:t>
      </w:r>
      <w:r>
        <w:rPr>
          <w:spacing w:val="-2"/>
        </w:rPr>
        <w:t>areas</w:t>
      </w:r>
      <w:r>
        <w:rPr>
          <w:spacing w:val="-8"/>
        </w:rPr>
        <w:t> </w:t>
      </w:r>
      <w:r>
        <w:rPr>
          <w:spacing w:val="-2"/>
        </w:rPr>
        <w:t>of</w:t>
      </w:r>
      <w:r>
        <w:rPr>
          <w:spacing w:val="-8"/>
        </w:rPr>
        <w:t> </w:t>
      </w:r>
      <w:r>
        <w:rPr>
          <w:spacing w:val="-2"/>
        </w:rPr>
        <w:t>the</w:t>
      </w:r>
      <w:r>
        <w:rPr>
          <w:spacing w:val="-8"/>
        </w:rPr>
        <w:t> </w:t>
      </w:r>
      <w:r>
        <w:rPr>
          <w:spacing w:val="-2"/>
        </w:rPr>
        <w:t>experiment</w:t>
      </w:r>
      <w:r>
        <w:rPr>
          <w:spacing w:val="-8"/>
        </w:rPr>
        <w:t> </w:t>
      </w:r>
      <w:r>
        <w:rPr>
          <w:spacing w:val="-2"/>
        </w:rPr>
        <w:t>such </w:t>
      </w:r>
      <w:r>
        <w:rPr/>
        <w:t>as</w:t>
      </w:r>
      <w:r>
        <w:rPr>
          <w:spacing w:val="-12"/>
        </w:rPr>
        <w:t> </w:t>
      </w:r>
      <w:r>
        <w:rPr/>
        <w:t>designing</w:t>
      </w:r>
      <w:r>
        <w:rPr>
          <w:spacing w:val="-12"/>
        </w:rPr>
        <w:t> </w:t>
      </w:r>
      <w:r>
        <w:rPr/>
        <w:t>or</w:t>
      </w:r>
      <w:r>
        <w:rPr>
          <w:spacing w:val="-12"/>
        </w:rPr>
        <w:t> </w:t>
      </w:r>
      <w:r>
        <w:rPr/>
        <w:t>selecting</w:t>
      </w:r>
      <w:r>
        <w:rPr>
          <w:spacing w:val="-12"/>
        </w:rPr>
        <w:t> </w:t>
      </w:r>
      <w:r>
        <w:rPr/>
        <w:t>the</w:t>
      </w:r>
      <w:r>
        <w:rPr>
          <w:spacing w:val="-12"/>
        </w:rPr>
        <w:t> </w:t>
      </w:r>
      <w:r>
        <w:rPr/>
        <w:t>apparatus,</w:t>
      </w:r>
      <w:r>
        <w:rPr>
          <w:spacing w:val="-12"/>
        </w:rPr>
        <w:t> </w:t>
      </w:r>
      <w:r>
        <w:rPr/>
        <w:t>deciding</w:t>
      </w:r>
      <w:r>
        <w:rPr>
          <w:spacing w:val="-12"/>
        </w:rPr>
        <w:t> </w:t>
      </w:r>
      <w:r>
        <w:rPr/>
        <w:t>what </w:t>
      </w:r>
      <w:r>
        <w:rPr>
          <w:spacing w:val="-2"/>
        </w:rPr>
        <w:t>measurements</w:t>
      </w:r>
      <w:r>
        <w:rPr>
          <w:spacing w:val="-14"/>
        </w:rPr>
        <w:t> </w:t>
      </w:r>
      <w:r>
        <w:rPr>
          <w:spacing w:val="-2"/>
        </w:rPr>
        <w:t>need</w:t>
      </w:r>
      <w:r>
        <w:rPr>
          <w:spacing w:val="-12"/>
        </w:rPr>
        <w:t> </w:t>
      </w:r>
      <w:r>
        <w:rPr>
          <w:spacing w:val="-2"/>
        </w:rPr>
        <w:t>to</w:t>
      </w:r>
      <w:r>
        <w:rPr>
          <w:spacing w:val="-12"/>
        </w:rPr>
        <w:t> </w:t>
      </w:r>
      <w:r>
        <w:rPr>
          <w:spacing w:val="-2"/>
        </w:rPr>
        <w:t>be</w:t>
      </w:r>
      <w:r>
        <w:rPr>
          <w:spacing w:val="-11"/>
        </w:rPr>
        <w:t> </w:t>
      </w:r>
      <w:r>
        <w:rPr>
          <w:spacing w:val="-2"/>
        </w:rPr>
        <w:t>taken,</w:t>
      </w:r>
      <w:r>
        <w:rPr>
          <w:spacing w:val="-12"/>
        </w:rPr>
        <w:t> </w:t>
      </w:r>
      <w:r>
        <w:rPr>
          <w:spacing w:val="-2"/>
        </w:rPr>
        <w:t>or</w:t>
      </w:r>
      <w:r>
        <w:rPr>
          <w:spacing w:val="-12"/>
        </w:rPr>
        <w:t> </w:t>
      </w:r>
      <w:r>
        <w:rPr>
          <w:spacing w:val="-2"/>
        </w:rPr>
        <w:t>what</w:t>
      </w:r>
      <w:r>
        <w:rPr>
          <w:spacing w:val="-12"/>
        </w:rPr>
        <w:t> </w:t>
      </w:r>
      <w:r>
        <w:rPr>
          <w:spacing w:val="-2"/>
        </w:rPr>
        <w:t>variables</w:t>
      </w:r>
      <w:r>
        <w:rPr>
          <w:spacing w:val="-11"/>
        </w:rPr>
        <w:t> </w:t>
      </w:r>
      <w:r>
        <w:rPr>
          <w:spacing w:val="-2"/>
        </w:rPr>
        <w:t>need </w:t>
      </w:r>
      <w:r>
        <w:rPr/>
        <w:t>to</w:t>
      </w:r>
      <w:r>
        <w:rPr>
          <w:spacing w:val="-5"/>
        </w:rPr>
        <w:t> </w:t>
      </w:r>
      <w:r>
        <w:rPr/>
        <w:t>be</w:t>
      </w:r>
      <w:r>
        <w:rPr>
          <w:spacing w:val="-5"/>
        </w:rPr>
        <w:t> </w:t>
      </w:r>
      <w:r>
        <w:rPr/>
        <w:t>controlled.</w:t>
      </w:r>
      <w:r>
        <w:rPr>
          <w:spacing w:val="-5"/>
        </w:rPr>
        <w:t> </w:t>
      </w:r>
      <w:r>
        <w:rPr/>
        <w:t>Students</w:t>
      </w:r>
      <w:r>
        <w:rPr>
          <w:spacing w:val="-5"/>
        </w:rPr>
        <w:t> </w:t>
      </w:r>
      <w:r>
        <w:rPr/>
        <w:t>are</w:t>
      </w:r>
      <w:r>
        <w:rPr>
          <w:spacing w:val="-5"/>
        </w:rPr>
        <w:t> </w:t>
      </w:r>
      <w:r>
        <w:rPr/>
        <w:t>given</w:t>
      </w:r>
      <w:r>
        <w:rPr>
          <w:spacing w:val="-5"/>
        </w:rPr>
        <w:t> </w:t>
      </w:r>
      <w:r>
        <w:rPr/>
        <w:t>no</w:t>
      </w:r>
      <w:r>
        <w:rPr>
          <w:spacing w:val="-5"/>
        </w:rPr>
        <w:t> </w:t>
      </w:r>
      <w:r>
        <w:rPr/>
        <w:t>opportunity</w:t>
      </w:r>
      <w:r>
        <w:rPr>
          <w:spacing w:val="-5"/>
        </w:rPr>
        <w:t> </w:t>
      </w:r>
      <w:r>
        <w:rPr/>
        <w:t>to think for themselves. Laboratory courses thus need a complete revamp.</w:t>
      </w:r>
    </w:p>
    <w:p>
      <w:pPr>
        <w:pStyle w:val="ListParagraph"/>
        <w:numPr>
          <w:ilvl w:val="0"/>
          <w:numId w:val="51"/>
        </w:numPr>
        <w:tabs>
          <w:tab w:pos="679" w:val="left" w:leader="none"/>
        </w:tabs>
        <w:spacing w:line="266" w:lineRule="auto" w:before="0" w:after="0"/>
        <w:ind w:left="679" w:right="1077" w:hanging="360"/>
        <w:jc w:val="both"/>
        <w:rPr>
          <w:sz w:val="22"/>
        </w:rPr>
      </w:pPr>
      <w:r>
        <w:rPr>
          <w:spacing w:val="-6"/>
          <w:sz w:val="22"/>
        </w:rPr>
        <w:t>There</w:t>
      </w:r>
      <w:r>
        <w:rPr>
          <w:spacing w:val="-8"/>
          <w:sz w:val="22"/>
        </w:rPr>
        <w:t> </w:t>
      </w:r>
      <w:r>
        <w:rPr>
          <w:spacing w:val="-6"/>
          <w:sz w:val="22"/>
        </w:rPr>
        <w:t>is</w:t>
      </w:r>
      <w:r>
        <w:rPr>
          <w:spacing w:val="-8"/>
          <w:sz w:val="22"/>
        </w:rPr>
        <w:t> </w:t>
      </w:r>
      <w:r>
        <w:rPr>
          <w:spacing w:val="-6"/>
          <w:sz w:val="22"/>
        </w:rPr>
        <w:t>a</w:t>
      </w:r>
      <w:r>
        <w:rPr>
          <w:spacing w:val="-8"/>
          <w:sz w:val="22"/>
        </w:rPr>
        <w:t> </w:t>
      </w:r>
      <w:r>
        <w:rPr>
          <w:spacing w:val="-6"/>
          <w:sz w:val="22"/>
        </w:rPr>
        <w:t>need</w:t>
      </w:r>
      <w:r>
        <w:rPr>
          <w:spacing w:val="-7"/>
          <w:sz w:val="22"/>
        </w:rPr>
        <w:t> </w:t>
      </w:r>
      <w:r>
        <w:rPr>
          <w:spacing w:val="-6"/>
          <w:sz w:val="22"/>
        </w:rPr>
        <w:t>to</w:t>
      </w:r>
      <w:r>
        <w:rPr>
          <w:spacing w:val="-8"/>
          <w:sz w:val="22"/>
        </w:rPr>
        <w:t> </w:t>
      </w:r>
      <w:r>
        <w:rPr>
          <w:spacing w:val="-6"/>
          <w:sz w:val="22"/>
        </w:rPr>
        <w:t>redefine</w:t>
      </w:r>
      <w:r>
        <w:rPr>
          <w:spacing w:val="-8"/>
          <w:sz w:val="22"/>
        </w:rPr>
        <w:t> </w:t>
      </w:r>
      <w:r>
        <w:rPr>
          <w:spacing w:val="-6"/>
          <w:sz w:val="22"/>
        </w:rPr>
        <w:t>the</w:t>
      </w:r>
      <w:r>
        <w:rPr>
          <w:spacing w:val="-8"/>
          <w:sz w:val="22"/>
        </w:rPr>
        <w:t> </w:t>
      </w:r>
      <w:r>
        <w:rPr>
          <w:spacing w:val="-6"/>
          <w:sz w:val="22"/>
        </w:rPr>
        <w:t>objectives</w:t>
      </w:r>
      <w:r>
        <w:rPr>
          <w:spacing w:val="-7"/>
          <w:sz w:val="22"/>
        </w:rPr>
        <w:t> </w:t>
      </w:r>
      <w:r>
        <w:rPr>
          <w:spacing w:val="-6"/>
          <w:sz w:val="22"/>
        </w:rPr>
        <w:t>with</w:t>
      </w:r>
      <w:r>
        <w:rPr>
          <w:spacing w:val="-8"/>
          <w:sz w:val="22"/>
        </w:rPr>
        <w:t> </w:t>
      </w:r>
      <w:r>
        <w:rPr>
          <w:spacing w:val="-6"/>
          <w:sz w:val="22"/>
        </w:rPr>
        <w:t>which </w:t>
      </w:r>
      <w:r>
        <w:rPr>
          <w:sz w:val="22"/>
        </w:rPr>
        <w:t>experiments</w:t>
      </w:r>
      <w:r>
        <w:rPr>
          <w:spacing w:val="-9"/>
          <w:sz w:val="22"/>
        </w:rPr>
        <w:t> </w:t>
      </w:r>
      <w:r>
        <w:rPr>
          <w:sz w:val="22"/>
        </w:rPr>
        <w:t>in</w:t>
      </w:r>
      <w:r>
        <w:rPr>
          <w:spacing w:val="-9"/>
          <w:sz w:val="22"/>
        </w:rPr>
        <w:t> </w:t>
      </w:r>
      <w:r>
        <w:rPr>
          <w:sz w:val="22"/>
        </w:rPr>
        <w:t>a</w:t>
      </w:r>
      <w:r>
        <w:rPr>
          <w:spacing w:val="-9"/>
          <w:sz w:val="22"/>
        </w:rPr>
        <w:t> </w:t>
      </w:r>
      <w:r>
        <w:rPr>
          <w:sz w:val="22"/>
        </w:rPr>
        <w:t>lab</w:t>
      </w:r>
      <w:r>
        <w:rPr>
          <w:spacing w:val="-9"/>
          <w:sz w:val="22"/>
        </w:rPr>
        <w:t> </w:t>
      </w:r>
      <w:r>
        <w:rPr>
          <w:sz w:val="22"/>
        </w:rPr>
        <w:t>are</w:t>
      </w:r>
      <w:r>
        <w:rPr>
          <w:spacing w:val="-9"/>
          <w:sz w:val="22"/>
        </w:rPr>
        <w:t> </w:t>
      </w:r>
      <w:r>
        <w:rPr>
          <w:sz w:val="22"/>
        </w:rPr>
        <w:t>performed,</w:t>
      </w:r>
      <w:r>
        <w:rPr>
          <w:spacing w:val="-9"/>
          <w:sz w:val="22"/>
        </w:rPr>
        <w:t> </w:t>
      </w:r>
      <w:r>
        <w:rPr>
          <w:sz w:val="22"/>
        </w:rPr>
        <w:t>so</w:t>
      </w:r>
      <w:r>
        <w:rPr>
          <w:spacing w:val="-9"/>
          <w:sz w:val="22"/>
        </w:rPr>
        <w:t> </w:t>
      </w:r>
      <w:r>
        <w:rPr>
          <w:sz w:val="22"/>
        </w:rPr>
        <w:t>as</w:t>
      </w:r>
      <w:r>
        <w:rPr>
          <w:spacing w:val="-9"/>
          <w:sz w:val="22"/>
        </w:rPr>
        <w:t> </w:t>
      </w:r>
      <w:r>
        <w:rPr>
          <w:sz w:val="22"/>
        </w:rPr>
        <w:t>to</w:t>
      </w:r>
      <w:r>
        <w:rPr>
          <w:spacing w:val="-9"/>
          <w:sz w:val="22"/>
        </w:rPr>
        <w:t> </w:t>
      </w:r>
      <w:r>
        <w:rPr>
          <w:sz w:val="22"/>
        </w:rPr>
        <w:t>make the</w:t>
      </w:r>
      <w:r>
        <w:rPr>
          <w:spacing w:val="-7"/>
          <w:sz w:val="22"/>
        </w:rPr>
        <w:t> </w:t>
      </w:r>
      <w:r>
        <w:rPr>
          <w:sz w:val="22"/>
        </w:rPr>
        <w:t>laboratory</w:t>
      </w:r>
      <w:r>
        <w:rPr>
          <w:spacing w:val="-7"/>
          <w:sz w:val="22"/>
        </w:rPr>
        <w:t> </w:t>
      </w:r>
      <w:r>
        <w:rPr>
          <w:sz w:val="22"/>
        </w:rPr>
        <w:t>training</w:t>
      </w:r>
      <w:r>
        <w:rPr>
          <w:spacing w:val="-7"/>
          <w:sz w:val="22"/>
        </w:rPr>
        <w:t> </w:t>
      </w:r>
      <w:r>
        <w:rPr>
          <w:sz w:val="22"/>
        </w:rPr>
        <w:t>more</w:t>
      </w:r>
      <w:r>
        <w:rPr>
          <w:spacing w:val="-7"/>
          <w:sz w:val="22"/>
        </w:rPr>
        <w:t> </w:t>
      </w:r>
      <w:r>
        <w:rPr>
          <w:sz w:val="22"/>
        </w:rPr>
        <w:t>concept</w:t>
      </w:r>
      <w:r>
        <w:rPr>
          <w:spacing w:val="-7"/>
          <w:sz w:val="22"/>
        </w:rPr>
        <w:t> </w:t>
      </w:r>
      <w:r>
        <w:rPr>
          <w:sz w:val="22"/>
        </w:rPr>
        <w:t>based</w:t>
      </w:r>
      <w:r>
        <w:rPr>
          <w:spacing w:val="-7"/>
          <w:sz w:val="22"/>
        </w:rPr>
        <w:t> </w:t>
      </w:r>
      <w:r>
        <w:rPr>
          <w:sz w:val="22"/>
        </w:rPr>
        <w:t>rather than ‘result based’.</w:t>
      </w:r>
    </w:p>
    <w:p>
      <w:pPr>
        <w:pStyle w:val="ListParagraph"/>
        <w:numPr>
          <w:ilvl w:val="0"/>
          <w:numId w:val="51"/>
        </w:numPr>
        <w:tabs>
          <w:tab w:pos="679" w:val="left" w:leader="none"/>
        </w:tabs>
        <w:spacing w:line="266" w:lineRule="auto" w:before="0" w:after="0"/>
        <w:ind w:left="679" w:right="1077" w:hanging="360"/>
        <w:jc w:val="both"/>
        <w:rPr>
          <w:sz w:val="22"/>
        </w:rPr>
      </w:pPr>
      <w:r>
        <w:rPr>
          <w:sz w:val="22"/>
        </w:rPr>
        <w:t>It</w:t>
      </w:r>
      <w:r>
        <w:rPr>
          <w:spacing w:val="-12"/>
          <w:sz w:val="22"/>
        </w:rPr>
        <w:t> </w:t>
      </w:r>
      <w:r>
        <w:rPr>
          <w:sz w:val="22"/>
        </w:rPr>
        <w:t>should</w:t>
      </w:r>
      <w:r>
        <w:rPr>
          <w:spacing w:val="-12"/>
          <w:sz w:val="22"/>
        </w:rPr>
        <w:t> </w:t>
      </w:r>
      <w:r>
        <w:rPr>
          <w:sz w:val="22"/>
        </w:rPr>
        <w:t>lay</w:t>
      </w:r>
      <w:r>
        <w:rPr>
          <w:spacing w:val="-12"/>
          <w:sz w:val="22"/>
        </w:rPr>
        <w:t> </w:t>
      </w:r>
      <w:r>
        <w:rPr>
          <w:sz w:val="22"/>
        </w:rPr>
        <w:t>emphasis</w:t>
      </w:r>
      <w:r>
        <w:rPr>
          <w:spacing w:val="-12"/>
          <w:sz w:val="22"/>
        </w:rPr>
        <w:t> </w:t>
      </w:r>
      <w:r>
        <w:rPr>
          <w:sz w:val="22"/>
        </w:rPr>
        <w:t>on</w:t>
      </w:r>
      <w:r>
        <w:rPr>
          <w:spacing w:val="-12"/>
          <w:sz w:val="22"/>
        </w:rPr>
        <w:t> </w:t>
      </w:r>
      <w:r>
        <w:rPr>
          <w:sz w:val="22"/>
        </w:rPr>
        <w:t>a</w:t>
      </w:r>
      <w:r>
        <w:rPr>
          <w:spacing w:val="-12"/>
          <w:sz w:val="22"/>
        </w:rPr>
        <w:t> </w:t>
      </w:r>
      <w:r>
        <w:rPr>
          <w:sz w:val="22"/>
        </w:rPr>
        <w:t>student’s</w:t>
      </w:r>
      <w:r>
        <w:rPr>
          <w:spacing w:val="-12"/>
          <w:sz w:val="22"/>
        </w:rPr>
        <w:t> </w:t>
      </w:r>
      <w:r>
        <w:rPr>
          <w:sz w:val="22"/>
        </w:rPr>
        <w:t>contribution to planning, execution and analysis of the </w:t>
      </w:r>
      <w:r>
        <w:rPr>
          <w:spacing w:val="-2"/>
          <w:sz w:val="22"/>
        </w:rPr>
        <w:t>experiment.</w:t>
      </w:r>
    </w:p>
    <w:p>
      <w:pPr>
        <w:spacing w:after="0" w:line="266" w:lineRule="auto"/>
        <w:jc w:val="both"/>
        <w:rPr>
          <w:sz w:val="22"/>
        </w:rPr>
        <w:sectPr>
          <w:pgSz w:w="11910" w:h="16840"/>
          <w:pgMar w:header="0" w:footer="675" w:top="920" w:bottom="860" w:left="0" w:right="0"/>
          <w:cols w:num="2" w:equalWidth="0">
            <w:col w:w="5774" w:space="40"/>
            <w:col w:w="6096"/>
          </w:cols>
        </w:sectPr>
      </w:pPr>
    </w:p>
    <w:p>
      <w:pPr>
        <w:pStyle w:val="ListParagraph"/>
        <w:numPr>
          <w:ilvl w:val="1"/>
          <w:numId w:val="51"/>
        </w:numPr>
        <w:tabs>
          <w:tab w:pos="1439" w:val="left" w:leader="none"/>
        </w:tabs>
        <w:spacing w:line="266" w:lineRule="auto" w:before="57" w:after="0"/>
        <w:ind w:left="1439" w:right="0" w:hanging="360"/>
        <w:jc w:val="both"/>
        <w:rPr>
          <w:sz w:val="22"/>
        </w:rPr>
      </w:pPr>
      <w:r>
        <w:rPr>
          <w:sz w:val="22"/>
        </w:rPr>
        <w:t>Error</w:t>
      </w:r>
      <w:r>
        <w:rPr>
          <w:spacing w:val="-1"/>
          <w:sz w:val="22"/>
        </w:rPr>
        <w:t> </w:t>
      </w:r>
      <w:r>
        <w:rPr>
          <w:sz w:val="22"/>
        </w:rPr>
        <w:t>analysis,</w:t>
      </w:r>
      <w:r>
        <w:rPr>
          <w:spacing w:val="-1"/>
          <w:sz w:val="22"/>
        </w:rPr>
        <w:t> </w:t>
      </w:r>
      <w:r>
        <w:rPr>
          <w:sz w:val="22"/>
        </w:rPr>
        <w:t>up</w:t>
      </w:r>
      <w:r>
        <w:rPr>
          <w:spacing w:val="-1"/>
          <w:sz w:val="22"/>
        </w:rPr>
        <w:t> </w:t>
      </w:r>
      <w:r>
        <w:rPr>
          <w:sz w:val="22"/>
        </w:rPr>
        <w:t>to</w:t>
      </w:r>
      <w:r>
        <w:rPr>
          <w:spacing w:val="-1"/>
          <w:sz w:val="22"/>
        </w:rPr>
        <w:t> </w:t>
      </w:r>
      <w:r>
        <w:rPr>
          <w:sz w:val="22"/>
        </w:rPr>
        <w:t>and</w:t>
      </w:r>
      <w:r>
        <w:rPr>
          <w:spacing w:val="-1"/>
          <w:sz w:val="22"/>
        </w:rPr>
        <w:t> </w:t>
      </w:r>
      <w:r>
        <w:rPr>
          <w:sz w:val="22"/>
        </w:rPr>
        <w:t>including</w:t>
      </w:r>
      <w:r>
        <w:rPr>
          <w:spacing w:val="-1"/>
          <w:sz w:val="22"/>
        </w:rPr>
        <w:t> </w:t>
      </w:r>
      <w:r>
        <w:rPr>
          <w:sz w:val="22"/>
        </w:rPr>
        <w:t>calculation</w:t>
      </w:r>
      <w:r>
        <w:rPr>
          <w:spacing w:val="-1"/>
          <w:sz w:val="22"/>
        </w:rPr>
        <w:t> </w:t>
      </w:r>
      <w:r>
        <w:rPr>
          <w:sz w:val="22"/>
        </w:rPr>
        <w:t>of </w:t>
      </w:r>
      <w:r>
        <w:rPr>
          <w:spacing w:val="-2"/>
          <w:sz w:val="22"/>
        </w:rPr>
        <w:t>error</w:t>
      </w:r>
      <w:r>
        <w:rPr>
          <w:spacing w:val="-11"/>
          <w:sz w:val="22"/>
        </w:rPr>
        <w:t> </w:t>
      </w:r>
      <w:r>
        <w:rPr>
          <w:spacing w:val="-2"/>
          <w:sz w:val="22"/>
        </w:rPr>
        <w:t>bars</w:t>
      </w:r>
      <w:r>
        <w:rPr>
          <w:spacing w:val="-11"/>
          <w:sz w:val="22"/>
        </w:rPr>
        <w:t> </w:t>
      </w:r>
      <w:r>
        <w:rPr>
          <w:spacing w:val="-2"/>
          <w:sz w:val="22"/>
        </w:rPr>
        <w:t>should</w:t>
      </w:r>
      <w:r>
        <w:rPr>
          <w:spacing w:val="-11"/>
          <w:sz w:val="22"/>
        </w:rPr>
        <w:t> </w:t>
      </w:r>
      <w:r>
        <w:rPr>
          <w:spacing w:val="-2"/>
          <w:sz w:val="22"/>
        </w:rPr>
        <w:t>be</w:t>
      </w:r>
      <w:r>
        <w:rPr>
          <w:spacing w:val="-11"/>
          <w:sz w:val="22"/>
        </w:rPr>
        <w:t> </w:t>
      </w:r>
      <w:r>
        <w:rPr>
          <w:spacing w:val="-2"/>
          <w:sz w:val="22"/>
        </w:rPr>
        <w:t>essential</w:t>
      </w:r>
      <w:r>
        <w:rPr>
          <w:spacing w:val="-11"/>
          <w:sz w:val="22"/>
        </w:rPr>
        <w:t> </w:t>
      </w:r>
      <w:r>
        <w:rPr>
          <w:spacing w:val="-2"/>
          <w:sz w:val="22"/>
        </w:rPr>
        <w:t>requirement</w:t>
      </w:r>
      <w:r>
        <w:rPr>
          <w:spacing w:val="-11"/>
          <w:sz w:val="22"/>
        </w:rPr>
        <w:t> </w:t>
      </w:r>
      <w:r>
        <w:rPr>
          <w:spacing w:val="-2"/>
          <w:sz w:val="22"/>
        </w:rPr>
        <w:t>for</w:t>
      </w:r>
      <w:r>
        <w:rPr>
          <w:spacing w:val="-11"/>
          <w:sz w:val="22"/>
        </w:rPr>
        <w:t> </w:t>
      </w:r>
      <w:r>
        <w:rPr>
          <w:spacing w:val="-2"/>
          <w:sz w:val="22"/>
        </w:rPr>
        <w:t>each experiment.</w:t>
      </w:r>
    </w:p>
    <w:p>
      <w:pPr>
        <w:pStyle w:val="ListParagraph"/>
        <w:numPr>
          <w:ilvl w:val="1"/>
          <w:numId w:val="51"/>
        </w:numPr>
        <w:tabs>
          <w:tab w:pos="1439" w:val="left" w:leader="none"/>
        </w:tabs>
        <w:spacing w:line="266" w:lineRule="auto" w:before="0" w:after="0"/>
        <w:ind w:left="1439" w:right="0" w:hanging="360"/>
        <w:jc w:val="both"/>
        <w:rPr>
          <w:sz w:val="22"/>
        </w:rPr>
      </w:pPr>
      <w:r>
        <w:rPr>
          <w:sz w:val="22"/>
        </w:rPr>
        <w:t>Training</w:t>
      </w:r>
      <w:r>
        <w:rPr>
          <w:spacing w:val="-1"/>
          <w:sz w:val="22"/>
        </w:rPr>
        <w:t> </w:t>
      </w:r>
      <w:r>
        <w:rPr>
          <w:sz w:val="22"/>
        </w:rPr>
        <w:t>should</w:t>
      </w:r>
      <w:r>
        <w:rPr>
          <w:spacing w:val="-1"/>
          <w:sz w:val="22"/>
        </w:rPr>
        <w:t> </w:t>
      </w:r>
      <w:r>
        <w:rPr>
          <w:sz w:val="22"/>
        </w:rPr>
        <w:t>include</w:t>
      </w:r>
      <w:r>
        <w:rPr>
          <w:spacing w:val="-1"/>
          <w:sz w:val="22"/>
        </w:rPr>
        <w:t> </w:t>
      </w:r>
      <w:r>
        <w:rPr>
          <w:sz w:val="22"/>
        </w:rPr>
        <w:t>maintaining</w:t>
      </w:r>
      <w:r>
        <w:rPr>
          <w:spacing w:val="-1"/>
          <w:sz w:val="22"/>
        </w:rPr>
        <w:t> </w:t>
      </w:r>
      <w:r>
        <w:rPr>
          <w:sz w:val="22"/>
        </w:rPr>
        <w:t>lab</w:t>
      </w:r>
      <w:r>
        <w:rPr>
          <w:spacing w:val="-1"/>
          <w:sz w:val="22"/>
        </w:rPr>
        <w:t> </w:t>
      </w:r>
      <w:r>
        <w:rPr>
          <w:sz w:val="22"/>
        </w:rPr>
        <w:t>journals and technical communication skills.</w:t>
      </w:r>
    </w:p>
    <w:p>
      <w:pPr>
        <w:pStyle w:val="BodyText"/>
        <w:spacing w:before="23"/>
      </w:pPr>
    </w:p>
    <w:p>
      <w:pPr>
        <w:pStyle w:val="BodyText"/>
        <w:spacing w:line="266" w:lineRule="auto"/>
        <w:ind w:left="1079"/>
      </w:pPr>
      <w:r>
        <w:rPr/>
        <w:t>This</w:t>
      </w:r>
      <w:r>
        <w:rPr>
          <w:spacing w:val="-5"/>
        </w:rPr>
        <w:t> </w:t>
      </w:r>
      <w:r>
        <w:rPr/>
        <w:t>will</w:t>
      </w:r>
      <w:r>
        <w:rPr>
          <w:spacing w:val="-5"/>
        </w:rPr>
        <w:t> </w:t>
      </w:r>
      <w:r>
        <w:rPr/>
        <w:t>help</w:t>
      </w:r>
      <w:r>
        <w:rPr>
          <w:spacing w:val="-5"/>
        </w:rPr>
        <w:t> </w:t>
      </w:r>
      <w:r>
        <w:rPr/>
        <w:t>in</w:t>
      </w:r>
      <w:r>
        <w:rPr>
          <w:spacing w:val="-5"/>
        </w:rPr>
        <w:t> </w:t>
      </w:r>
      <w:r>
        <w:rPr/>
        <w:t>guiding</w:t>
      </w:r>
      <w:r>
        <w:rPr>
          <w:spacing w:val="-5"/>
        </w:rPr>
        <w:t> </w:t>
      </w:r>
      <w:r>
        <w:rPr/>
        <w:t>the</w:t>
      </w:r>
      <w:r>
        <w:rPr>
          <w:spacing w:val="-5"/>
        </w:rPr>
        <w:t> </w:t>
      </w:r>
      <w:r>
        <w:rPr/>
        <w:t>talent</w:t>
      </w:r>
      <w:r>
        <w:rPr>
          <w:spacing w:val="-5"/>
        </w:rPr>
        <w:t> </w:t>
      </w:r>
      <w:r>
        <w:rPr/>
        <w:t>towards</w:t>
      </w:r>
      <w:r>
        <w:rPr>
          <w:spacing w:val="-5"/>
        </w:rPr>
        <w:t> </w:t>
      </w:r>
      <w:r>
        <w:rPr/>
        <w:t>hard-core experimental sciences.</w:t>
      </w:r>
    </w:p>
    <w:p>
      <w:pPr>
        <w:pStyle w:val="BodyText"/>
        <w:spacing w:before="25"/>
      </w:pPr>
    </w:p>
    <w:p>
      <w:pPr>
        <w:pStyle w:val="ListParagraph"/>
        <w:numPr>
          <w:ilvl w:val="1"/>
          <w:numId w:val="52"/>
        </w:numPr>
        <w:tabs>
          <w:tab w:pos="1461" w:val="left" w:leader="none"/>
        </w:tabs>
        <w:spacing w:line="266" w:lineRule="auto" w:before="1" w:after="0"/>
        <w:ind w:left="1079" w:right="0" w:firstLine="0"/>
        <w:jc w:val="both"/>
        <w:rPr>
          <w:sz w:val="22"/>
        </w:rPr>
      </w:pPr>
      <w:r>
        <w:rPr>
          <w:b/>
          <w:sz w:val="22"/>
        </w:rPr>
        <w:t>Changes</w:t>
      </w:r>
      <w:r>
        <w:rPr>
          <w:b/>
          <w:spacing w:val="-11"/>
          <w:sz w:val="22"/>
        </w:rPr>
        <w:t> </w:t>
      </w:r>
      <w:r>
        <w:rPr>
          <w:b/>
          <w:sz w:val="22"/>
        </w:rPr>
        <w:t>in</w:t>
      </w:r>
      <w:r>
        <w:rPr>
          <w:b/>
          <w:spacing w:val="-11"/>
          <w:sz w:val="22"/>
        </w:rPr>
        <w:t> </w:t>
      </w:r>
      <w:r>
        <w:rPr>
          <w:b/>
          <w:sz w:val="22"/>
        </w:rPr>
        <w:t>the</w:t>
      </w:r>
      <w:r>
        <w:rPr>
          <w:b/>
          <w:spacing w:val="-11"/>
          <w:sz w:val="22"/>
        </w:rPr>
        <w:t> </w:t>
      </w:r>
      <w:r>
        <w:rPr>
          <w:b/>
          <w:sz w:val="22"/>
        </w:rPr>
        <w:t>university</w:t>
      </w:r>
      <w:r>
        <w:rPr>
          <w:b/>
          <w:spacing w:val="-11"/>
          <w:sz w:val="22"/>
        </w:rPr>
        <w:t> </w:t>
      </w:r>
      <w:r>
        <w:rPr>
          <w:b/>
          <w:sz w:val="22"/>
        </w:rPr>
        <w:t>system</w:t>
      </w:r>
      <w:r>
        <w:rPr>
          <w:b/>
          <w:spacing w:val="-11"/>
          <w:sz w:val="22"/>
        </w:rPr>
        <w:t> </w:t>
      </w:r>
      <w:r>
        <w:rPr>
          <w:b/>
          <w:sz w:val="22"/>
        </w:rPr>
        <w:t>to</w:t>
      </w:r>
      <w:r>
        <w:rPr>
          <w:b/>
          <w:spacing w:val="-11"/>
          <w:sz w:val="22"/>
        </w:rPr>
        <w:t> </w:t>
      </w:r>
      <w:r>
        <w:rPr>
          <w:b/>
          <w:sz w:val="22"/>
        </w:rPr>
        <w:t>encourage research and good teaching: </w:t>
      </w:r>
      <w:r>
        <w:rPr>
          <w:sz w:val="22"/>
        </w:rPr>
        <w:t>Both teaching and research</w:t>
      </w:r>
      <w:r>
        <w:rPr>
          <w:spacing w:val="-11"/>
          <w:sz w:val="22"/>
        </w:rPr>
        <w:t> </w:t>
      </w:r>
      <w:r>
        <w:rPr>
          <w:sz w:val="22"/>
        </w:rPr>
        <w:t>should</w:t>
      </w:r>
      <w:r>
        <w:rPr>
          <w:spacing w:val="-11"/>
          <w:sz w:val="22"/>
        </w:rPr>
        <w:t> </w:t>
      </w:r>
      <w:r>
        <w:rPr>
          <w:sz w:val="22"/>
        </w:rPr>
        <w:t>be</w:t>
      </w:r>
      <w:r>
        <w:rPr>
          <w:spacing w:val="-11"/>
          <w:sz w:val="22"/>
        </w:rPr>
        <w:t> </w:t>
      </w:r>
      <w:r>
        <w:rPr>
          <w:sz w:val="22"/>
        </w:rPr>
        <w:t>promoted</w:t>
      </w:r>
      <w:r>
        <w:rPr>
          <w:spacing w:val="-11"/>
          <w:sz w:val="22"/>
        </w:rPr>
        <w:t> </w:t>
      </w:r>
      <w:r>
        <w:rPr>
          <w:sz w:val="22"/>
        </w:rPr>
        <w:t>by</w:t>
      </w:r>
      <w:r>
        <w:rPr>
          <w:spacing w:val="-11"/>
          <w:sz w:val="22"/>
        </w:rPr>
        <w:t> </w:t>
      </w:r>
      <w:r>
        <w:rPr>
          <w:sz w:val="22"/>
        </w:rPr>
        <w:t>creating</w:t>
      </w:r>
      <w:r>
        <w:rPr>
          <w:spacing w:val="-11"/>
          <w:sz w:val="22"/>
        </w:rPr>
        <w:t> </w:t>
      </w:r>
      <w:r>
        <w:rPr>
          <w:sz w:val="22"/>
        </w:rPr>
        <w:t>mechanisms which provide freedom, encourage innovation, and </w:t>
      </w:r>
      <w:r>
        <w:rPr>
          <w:spacing w:val="-2"/>
          <w:sz w:val="22"/>
        </w:rPr>
        <w:t>recognise</w:t>
      </w:r>
      <w:r>
        <w:rPr>
          <w:spacing w:val="-9"/>
          <w:sz w:val="22"/>
        </w:rPr>
        <w:t> </w:t>
      </w:r>
      <w:r>
        <w:rPr>
          <w:spacing w:val="-2"/>
          <w:sz w:val="22"/>
        </w:rPr>
        <w:t>and</w:t>
      </w:r>
      <w:r>
        <w:rPr>
          <w:spacing w:val="-9"/>
          <w:sz w:val="22"/>
        </w:rPr>
        <w:t> </w:t>
      </w:r>
      <w:r>
        <w:rPr>
          <w:spacing w:val="-2"/>
          <w:sz w:val="22"/>
        </w:rPr>
        <w:t>reward</w:t>
      </w:r>
      <w:r>
        <w:rPr>
          <w:spacing w:val="-9"/>
          <w:sz w:val="22"/>
        </w:rPr>
        <w:t> </w:t>
      </w:r>
      <w:r>
        <w:rPr>
          <w:spacing w:val="-2"/>
          <w:sz w:val="22"/>
        </w:rPr>
        <w:t>good</w:t>
      </w:r>
      <w:r>
        <w:rPr>
          <w:spacing w:val="-9"/>
          <w:sz w:val="22"/>
        </w:rPr>
        <w:t> </w:t>
      </w:r>
      <w:r>
        <w:rPr>
          <w:spacing w:val="-2"/>
          <w:sz w:val="22"/>
        </w:rPr>
        <w:t>work.</w:t>
      </w:r>
      <w:r>
        <w:rPr>
          <w:spacing w:val="-9"/>
          <w:sz w:val="22"/>
        </w:rPr>
        <w:t> </w:t>
      </w:r>
      <w:r>
        <w:rPr>
          <w:spacing w:val="-2"/>
          <w:sz w:val="22"/>
        </w:rPr>
        <w:t>Good</w:t>
      </w:r>
      <w:r>
        <w:rPr>
          <w:spacing w:val="-9"/>
          <w:sz w:val="22"/>
        </w:rPr>
        <w:t> </w:t>
      </w:r>
      <w:r>
        <w:rPr>
          <w:spacing w:val="-2"/>
          <w:sz w:val="22"/>
        </w:rPr>
        <w:t>teaching</w:t>
      </w:r>
      <w:r>
        <w:rPr>
          <w:spacing w:val="-9"/>
          <w:sz w:val="22"/>
        </w:rPr>
        <w:t> </w:t>
      </w:r>
      <w:r>
        <w:rPr>
          <w:spacing w:val="-2"/>
          <w:sz w:val="22"/>
        </w:rPr>
        <w:t>plays </w:t>
      </w:r>
      <w:r>
        <w:rPr>
          <w:sz w:val="22"/>
        </w:rPr>
        <w:t>an</w:t>
      </w:r>
      <w:r>
        <w:rPr>
          <w:spacing w:val="-16"/>
          <w:sz w:val="22"/>
        </w:rPr>
        <w:t> </w:t>
      </w:r>
      <w:r>
        <w:rPr>
          <w:sz w:val="22"/>
        </w:rPr>
        <w:t>important</w:t>
      </w:r>
      <w:r>
        <w:rPr>
          <w:spacing w:val="-14"/>
          <w:sz w:val="22"/>
        </w:rPr>
        <w:t> </w:t>
      </w:r>
      <w:r>
        <w:rPr>
          <w:sz w:val="22"/>
        </w:rPr>
        <w:t>role</w:t>
      </w:r>
      <w:r>
        <w:rPr>
          <w:spacing w:val="-14"/>
          <w:sz w:val="22"/>
        </w:rPr>
        <w:t> </w:t>
      </w:r>
      <w:r>
        <w:rPr>
          <w:sz w:val="22"/>
        </w:rPr>
        <w:t>in</w:t>
      </w:r>
      <w:r>
        <w:rPr>
          <w:spacing w:val="-13"/>
          <w:sz w:val="22"/>
        </w:rPr>
        <w:t> </w:t>
      </w:r>
      <w:r>
        <w:rPr>
          <w:sz w:val="22"/>
        </w:rPr>
        <w:t>encouraging</w:t>
      </w:r>
      <w:r>
        <w:rPr>
          <w:spacing w:val="-14"/>
          <w:sz w:val="22"/>
        </w:rPr>
        <w:t> </w:t>
      </w:r>
      <w:r>
        <w:rPr>
          <w:sz w:val="22"/>
        </w:rPr>
        <w:t>students</w:t>
      </w:r>
      <w:r>
        <w:rPr>
          <w:spacing w:val="-14"/>
          <w:sz w:val="22"/>
        </w:rPr>
        <w:t> </w:t>
      </w:r>
      <w:r>
        <w:rPr>
          <w:sz w:val="22"/>
        </w:rPr>
        <w:t>to</w:t>
      </w:r>
      <w:r>
        <w:rPr>
          <w:spacing w:val="-14"/>
          <w:sz w:val="22"/>
        </w:rPr>
        <w:t> </w:t>
      </w:r>
      <w:r>
        <w:rPr>
          <w:sz w:val="22"/>
        </w:rPr>
        <w:t>pursue</w:t>
      </w:r>
      <w:r>
        <w:rPr>
          <w:spacing w:val="-13"/>
          <w:sz w:val="22"/>
        </w:rPr>
        <w:t> </w:t>
      </w:r>
      <w:r>
        <w:rPr>
          <w:sz w:val="22"/>
        </w:rPr>
        <w:t>an academic</w:t>
      </w:r>
      <w:r>
        <w:rPr>
          <w:spacing w:val="-14"/>
          <w:sz w:val="22"/>
        </w:rPr>
        <w:t> </w:t>
      </w:r>
      <w:r>
        <w:rPr>
          <w:sz w:val="22"/>
        </w:rPr>
        <w:t>career</w:t>
      </w:r>
      <w:r>
        <w:rPr>
          <w:spacing w:val="-14"/>
          <w:sz w:val="22"/>
        </w:rPr>
        <w:t> </w:t>
      </w:r>
      <w:r>
        <w:rPr>
          <w:sz w:val="22"/>
        </w:rPr>
        <w:t>and</w:t>
      </w:r>
      <w:r>
        <w:rPr>
          <w:spacing w:val="-14"/>
          <w:sz w:val="22"/>
        </w:rPr>
        <w:t> </w:t>
      </w:r>
      <w:r>
        <w:rPr>
          <w:sz w:val="22"/>
        </w:rPr>
        <w:t>this</w:t>
      </w:r>
      <w:r>
        <w:rPr>
          <w:spacing w:val="-13"/>
          <w:sz w:val="22"/>
        </w:rPr>
        <w:t> </w:t>
      </w:r>
      <w:r>
        <w:rPr>
          <w:sz w:val="22"/>
        </w:rPr>
        <w:t>aspect</w:t>
      </w:r>
      <w:r>
        <w:rPr>
          <w:spacing w:val="-14"/>
          <w:sz w:val="22"/>
        </w:rPr>
        <w:t> </w:t>
      </w:r>
      <w:r>
        <w:rPr>
          <w:sz w:val="22"/>
        </w:rPr>
        <w:t>is</w:t>
      </w:r>
      <w:r>
        <w:rPr>
          <w:spacing w:val="-14"/>
          <w:sz w:val="22"/>
        </w:rPr>
        <w:t> </w:t>
      </w:r>
      <w:r>
        <w:rPr>
          <w:sz w:val="22"/>
        </w:rPr>
        <w:t>often</w:t>
      </w:r>
      <w:r>
        <w:rPr>
          <w:spacing w:val="-14"/>
          <w:sz w:val="22"/>
        </w:rPr>
        <w:t> </w:t>
      </w:r>
      <w:r>
        <w:rPr>
          <w:sz w:val="22"/>
        </w:rPr>
        <w:t>unrecognised.</w:t>
      </w:r>
    </w:p>
    <w:p>
      <w:pPr>
        <w:pStyle w:val="ListParagraph"/>
        <w:numPr>
          <w:ilvl w:val="2"/>
          <w:numId w:val="52"/>
        </w:numPr>
        <w:tabs>
          <w:tab w:pos="1439" w:val="left" w:leader="none"/>
        </w:tabs>
        <w:spacing w:line="266" w:lineRule="auto" w:before="0" w:after="0"/>
        <w:ind w:left="1439" w:right="0" w:hanging="360"/>
        <w:jc w:val="both"/>
        <w:rPr>
          <w:sz w:val="22"/>
        </w:rPr>
      </w:pPr>
      <w:r>
        <w:rPr>
          <w:sz w:val="22"/>
        </w:rPr>
        <w:t>Faculty should have sufficient resources to carry </w:t>
      </w:r>
      <w:r>
        <w:rPr>
          <w:spacing w:val="-4"/>
          <w:sz w:val="22"/>
        </w:rPr>
        <w:t>out</w:t>
      </w:r>
      <w:r>
        <w:rPr>
          <w:spacing w:val="-10"/>
          <w:sz w:val="22"/>
        </w:rPr>
        <w:t> </w:t>
      </w:r>
      <w:r>
        <w:rPr>
          <w:spacing w:val="-4"/>
          <w:sz w:val="22"/>
        </w:rPr>
        <w:t>research</w:t>
      </w:r>
      <w:r>
        <w:rPr>
          <w:spacing w:val="-8"/>
          <w:sz w:val="22"/>
        </w:rPr>
        <w:t> </w:t>
      </w:r>
      <w:r>
        <w:rPr>
          <w:spacing w:val="-4"/>
          <w:sz w:val="22"/>
        </w:rPr>
        <w:t>as</w:t>
      </w:r>
      <w:r>
        <w:rPr>
          <w:spacing w:val="-7"/>
          <w:sz w:val="22"/>
        </w:rPr>
        <w:t> </w:t>
      </w:r>
      <w:r>
        <w:rPr>
          <w:spacing w:val="-4"/>
          <w:sz w:val="22"/>
        </w:rPr>
        <w:t>well</w:t>
      </w:r>
      <w:r>
        <w:rPr>
          <w:spacing w:val="-7"/>
          <w:sz w:val="22"/>
        </w:rPr>
        <w:t> </w:t>
      </w:r>
      <w:r>
        <w:rPr>
          <w:spacing w:val="-4"/>
          <w:sz w:val="22"/>
        </w:rPr>
        <w:t>as</w:t>
      </w:r>
      <w:r>
        <w:rPr>
          <w:spacing w:val="-7"/>
          <w:sz w:val="22"/>
        </w:rPr>
        <w:t> </w:t>
      </w:r>
      <w:r>
        <w:rPr>
          <w:spacing w:val="-4"/>
          <w:sz w:val="22"/>
        </w:rPr>
        <w:t>teaching</w:t>
      </w:r>
      <w:r>
        <w:rPr>
          <w:spacing w:val="-7"/>
          <w:sz w:val="22"/>
        </w:rPr>
        <w:t> </w:t>
      </w:r>
      <w:r>
        <w:rPr>
          <w:spacing w:val="-4"/>
          <w:sz w:val="22"/>
        </w:rPr>
        <w:t>activities.</w:t>
      </w:r>
      <w:r>
        <w:rPr>
          <w:spacing w:val="-10"/>
          <w:sz w:val="22"/>
        </w:rPr>
        <w:t> </w:t>
      </w:r>
      <w:r>
        <w:rPr>
          <w:spacing w:val="-4"/>
          <w:sz w:val="22"/>
        </w:rPr>
        <w:t>Teachers </w:t>
      </w:r>
      <w:r>
        <w:rPr>
          <w:spacing w:val="-6"/>
          <w:sz w:val="22"/>
        </w:rPr>
        <w:t>should</w:t>
      </w:r>
      <w:r>
        <w:rPr>
          <w:spacing w:val="-8"/>
          <w:sz w:val="22"/>
        </w:rPr>
        <w:t> </w:t>
      </w:r>
      <w:r>
        <w:rPr>
          <w:spacing w:val="-6"/>
          <w:sz w:val="22"/>
        </w:rPr>
        <w:t>be</w:t>
      </w:r>
      <w:r>
        <w:rPr>
          <w:spacing w:val="-8"/>
          <w:sz w:val="22"/>
        </w:rPr>
        <w:t> </w:t>
      </w:r>
      <w:r>
        <w:rPr>
          <w:spacing w:val="-6"/>
          <w:sz w:val="22"/>
        </w:rPr>
        <w:t>especially</w:t>
      </w:r>
      <w:r>
        <w:rPr>
          <w:spacing w:val="-8"/>
          <w:sz w:val="22"/>
        </w:rPr>
        <w:t> </w:t>
      </w:r>
      <w:r>
        <w:rPr>
          <w:spacing w:val="-6"/>
          <w:sz w:val="22"/>
        </w:rPr>
        <w:t>encouraged</w:t>
      </w:r>
      <w:r>
        <w:rPr>
          <w:spacing w:val="-7"/>
          <w:sz w:val="22"/>
        </w:rPr>
        <w:t> </w:t>
      </w:r>
      <w:r>
        <w:rPr>
          <w:spacing w:val="-6"/>
          <w:sz w:val="22"/>
        </w:rPr>
        <w:t>to</w:t>
      </w:r>
      <w:r>
        <w:rPr>
          <w:spacing w:val="-8"/>
          <w:sz w:val="22"/>
        </w:rPr>
        <w:t> </w:t>
      </w:r>
      <w:r>
        <w:rPr>
          <w:spacing w:val="-6"/>
          <w:sz w:val="22"/>
        </w:rPr>
        <w:t>create</w:t>
      </w:r>
      <w:r>
        <w:rPr>
          <w:spacing w:val="-8"/>
          <w:sz w:val="22"/>
        </w:rPr>
        <w:t> </w:t>
      </w:r>
      <w:r>
        <w:rPr>
          <w:spacing w:val="-6"/>
          <w:sz w:val="22"/>
        </w:rPr>
        <w:t>innovative </w:t>
      </w:r>
      <w:r>
        <w:rPr>
          <w:sz w:val="22"/>
        </w:rPr>
        <w:t>teaching material and for providing wide-spread </w:t>
      </w:r>
      <w:r>
        <w:rPr>
          <w:spacing w:val="-2"/>
          <w:sz w:val="22"/>
        </w:rPr>
        <w:t>access.</w:t>
      </w:r>
    </w:p>
    <w:p>
      <w:pPr>
        <w:pStyle w:val="ListParagraph"/>
        <w:numPr>
          <w:ilvl w:val="2"/>
          <w:numId w:val="52"/>
        </w:numPr>
        <w:tabs>
          <w:tab w:pos="1439" w:val="left" w:leader="none"/>
        </w:tabs>
        <w:spacing w:line="266" w:lineRule="auto" w:before="0" w:after="0"/>
        <w:ind w:left="1439" w:right="0" w:hanging="360"/>
        <w:jc w:val="both"/>
        <w:rPr>
          <w:sz w:val="22"/>
        </w:rPr>
      </w:pPr>
      <w:r>
        <w:rPr>
          <w:spacing w:val="-6"/>
          <w:sz w:val="22"/>
        </w:rPr>
        <w:t>Good working conditions are absolutely essential </w:t>
      </w:r>
      <w:r>
        <w:rPr>
          <w:spacing w:val="-6"/>
          <w:sz w:val="22"/>
        </w:rPr>
        <w:t>in </w:t>
      </w:r>
      <w:r>
        <w:rPr>
          <w:sz w:val="22"/>
        </w:rPr>
        <w:t>creating a vibrant academic environment.</w:t>
      </w:r>
    </w:p>
    <w:p>
      <w:pPr>
        <w:pStyle w:val="ListParagraph"/>
        <w:numPr>
          <w:ilvl w:val="2"/>
          <w:numId w:val="52"/>
        </w:numPr>
        <w:tabs>
          <w:tab w:pos="1439" w:val="left" w:leader="none"/>
        </w:tabs>
        <w:spacing w:line="266" w:lineRule="auto" w:before="0" w:after="0"/>
        <w:ind w:left="1439" w:right="0" w:hanging="360"/>
        <w:jc w:val="both"/>
        <w:rPr>
          <w:sz w:val="22"/>
        </w:rPr>
      </w:pPr>
      <w:r>
        <w:rPr>
          <w:sz w:val="22"/>
        </w:rPr>
        <w:t>Free flow of researchers between industry and academia</w:t>
      </w:r>
      <w:r>
        <w:rPr>
          <w:spacing w:val="-11"/>
          <w:sz w:val="22"/>
        </w:rPr>
        <w:t> </w:t>
      </w:r>
      <w:r>
        <w:rPr>
          <w:sz w:val="22"/>
        </w:rPr>
        <w:t>should</w:t>
      </w:r>
      <w:r>
        <w:rPr>
          <w:spacing w:val="-11"/>
          <w:sz w:val="22"/>
        </w:rPr>
        <w:t> </w:t>
      </w:r>
      <w:r>
        <w:rPr>
          <w:sz w:val="22"/>
        </w:rPr>
        <w:t>be</w:t>
      </w:r>
      <w:r>
        <w:rPr>
          <w:spacing w:val="-11"/>
          <w:sz w:val="22"/>
        </w:rPr>
        <w:t> </w:t>
      </w:r>
      <w:r>
        <w:rPr>
          <w:sz w:val="22"/>
        </w:rPr>
        <w:t>initiated.</w:t>
      </w:r>
      <w:r>
        <w:rPr>
          <w:spacing w:val="-11"/>
          <w:sz w:val="22"/>
        </w:rPr>
        <w:t> </w:t>
      </w:r>
      <w:r>
        <w:rPr>
          <w:sz w:val="22"/>
        </w:rPr>
        <w:t>Sabbaticals</w:t>
      </w:r>
      <w:r>
        <w:rPr>
          <w:spacing w:val="-11"/>
          <w:sz w:val="22"/>
        </w:rPr>
        <w:t> </w:t>
      </w:r>
      <w:r>
        <w:rPr>
          <w:sz w:val="22"/>
        </w:rPr>
        <w:t>to</w:t>
      </w:r>
      <w:r>
        <w:rPr>
          <w:spacing w:val="-11"/>
          <w:sz w:val="22"/>
        </w:rPr>
        <w:t> </w:t>
      </w:r>
      <w:r>
        <w:rPr>
          <w:sz w:val="22"/>
        </w:rPr>
        <w:t>work in industry for academicians and vice versa for </w:t>
      </w:r>
      <w:r>
        <w:rPr>
          <w:spacing w:val="-2"/>
          <w:sz w:val="22"/>
        </w:rPr>
        <w:t>industry</w:t>
      </w:r>
      <w:r>
        <w:rPr>
          <w:spacing w:val="-12"/>
          <w:sz w:val="22"/>
        </w:rPr>
        <w:t> </w:t>
      </w:r>
      <w:r>
        <w:rPr>
          <w:spacing w:val="-2"/>
          <w:sz w:val="22"/>
        </w:rPr>
        <w:t>employees</w:t>
      </w:r>
      <w:r>
        <w:rPr>
          <w:spacing w:val="-12"/>
          <w:sz w:val="22"/>
        </w:rPr>
        <w:t> </w:t>
      </w:r>
      <w:r>
        <w:rPr>
          <w:spacing w:val="-2"/>
          <w:sz w:val="22"/>
        </w:rPr>
        <w:t>should</w:t>
      </w:r>
      <w:r>
        <w:rPr>
          <w:spacing w:val="-12"/>
          <w:sz w:val="22"/>
        </w:rPr>
        <w:t> </w:t>
      </w:r>
      <w:r>
        <w:rPr>
          <w:spacing w:val="-2"/>
          <w:sz w:val="22"/>
        </w:rPr>
        <w:t>be</w:t>
      </w:r>
      <w:r>
        <w:rPr>
          <w:spacing w:val="-11"/>
          <w:sz w:val="22"/>
        </w:rPr>
        <w:t> </w:t>
      </w:r>
      <w:r>
        <w:rPr>
          <w:spacing w:val="-2"/>
          <w:sz w:val="22"/>
        </w:rPr>
        <w:t>instituted.</w:t>
      </w:r>
      <w:r>
        <w:rPr>
          <w:spacing w:val="-12"/>
          <w:sz w:val="22"/>
        </w:rPr>
        <w:t> </w:t>
      </w:r>
      <w:r>
        <w:rPr>
          <w:spacing w:val="-2"/>
          <w:sz w:val="22"/>
        </w:rPr>
        <w:t>Sufficient provisions</w:t>
      </w:r>
      <w:r>
        <w:rPr>
          <w:spacing w:val="-12"/>
          <w:sz w:val="22"/>
        </w:rPr>
        <w:t> </w:t>
      </w:r>
      <w:r>
        <w:rPr>
          <w:spacing w:val="-2"/>
          <w:sz w:val="22"/>
        </w:rPr>
        <w:t>should</w:t>
      </w:r>
      <w:r>
        <w:rPr>
          <w:spacing w:val="-12"/>
          <w:sz w:val="22"/>
        </w:rPr>
        <w:t> </w:t>
      </w:r>
      <w:r>
        <w:rPr>
          <w:spacing w:val="-2"/>
          <w:sz w:val="22"/>
        </w:rPr>
        <w:t>be</w:t>
      </w:r>
      <w:r>
        <w:rPr>
          <w:spacing w:val="-12"/>
          <w:sz w:val="22"/>
        </w:rPr>
        <w:t> </w:t>
      </w:r>
      <w:r>
        <w:rPr>
          <w:spacing w:val="-2"/>
          <w:sz w:val="22"/>
        </w:rPr>
        <w:t>made</w:t>
      </w:r>
      <w:r>
        <w:rPr>
          <w:spacing w:val="-11"/>
          <w:sz w:val="22"/>
        </w:rPr>
        <w:t> </w:t>
      </w:r>
      <w:r>
        <w:rPr>
          <w:spacing w:val="-2"/>
          <w:sz w:val="22"/>
        </w:rPr>
        <w:t>for</w:t>
      </w:r>
      <w:r>
        <w:rPr>
          <w:spacing w:val="-12"/>
          <w:sz w:val="22"/>
        </w:rPr>
        <w:t> </w:t>
      </w:r>
      <w:r>
        <w:rPr>
          <w:spacing w:val="-2"/>
          <w:sz w:val="22"/>
        </w:rPr>
        <w:t>granting</w:t>
      </w:r>
      <w:r>
        <w:rPr>
          <w:spacing w:val="-12"/>
          <w:sz w:val="22"/>
        </w:rPr>
        <w:t> </w:t>
      </w:r>
      <w:r>
        <w:rPr>
          <w:spacing w:val="-2"/>
          <w:sz w:val="22"/>
        </w:rPr>
        <w:t>sabbaticals </w:t>
      </w:r>
      <w:r>
        <w:rPr>
          <w:sz w:val="22"/>
        </w:rPr>
        <w:t>to faculty for undertaking research.</w:t>
      </w:r>
    </w:p>
    <w:p>
      <w:pPr>
        <w:pStyle w:val="ListParagraph"/>
        <w:numPr>
          <w:ilvl w:val="2"/>
          <w:numId w:val="52"/>
        </w:numPr>
        <w:tabs>
          <w:tab w:pos="1439" w:val="left" w:leader="none"/>
        </w:tabs>
        <w:spacing w:line="266" w:lineRule="auto" w:before="0" w:after="0"/>
        <w:ind w:left="1439" w:right="0" w:hanging="360"/>
        <w:jc w:val="both"/>
        <w:rPr>
          <w:sz w:val="22"/>
        </w:rPr>
      </w:pPr>
      <w:r>
        <w:rPr>
          <w:sz w:val="22"/>
        </w:rPr>
        <w:t>Liberal</w:t>
      </w:r>
      <w:r>
        <w:rPr>
          <w:spacing w:val="-1"/>
          <w:sz w:val="22"/>
        </w:rPr>
        <w:t> </w:t>
      </w:r>
      <w:r>
        <w:rPr>
          <w:sz w:val="22"/>
        </w:rPr>
        <w:t>rules</w:t>
      </w:r>
      <w:r>
        <w:rPr>
          <w:spacing w:val="-1"/>
          <w:sz w:val="22"/>
        </w:rPr>
        <w:t> </w:t>
      </w:r>
      <w:r>
        <w:rPr>
          <w:sz w:val="22"/>
        </w:rPr>
        <w:t>should</w:t>
      </w:r>
      <w:r>
        <w:rPr>
          <w:spacing w:val="-1"/>
          <w:sz w:val="22"/>
        </w:rPr>
        <w:t> </w:t>
      </w:r>
      <w:r>
        <w:rPr>
          <w:sz w:val="22"/>
        </w:rPr>
        <w:t>be</w:t>
      </w:r>
      <w:r>
        <w:rPr>
          <w:spacing w:val="-1"/>
          <w:sz w:val="22"/>
        </w:rPr>
        <w:t> </w:t>
      </w:r>
      <w:r>
        <w:rPr>
          <w:sz w:val="22"/>
        </w:rPr>
        <w:t>looked</w:t>
      </w:r>
      <w:r>
        <w:rPr>
          <w:spacing w:val="-1"/>
          <w:sz w:val="22"/>
        </w:rPr>
        <w:t> </w:t>
      </w:r>
      <w:r>
        <w:rPr>
          <w:sz w:val="22"/>
        </w:rPr>
        <w:t>into</w:t>
      </w:r>
      <w:r>
        <w:rPr>
          <w:spacing w:val="-1"/>
          <w:sz w:val="22"/>
        </w:rPr>
        <w:t> </w:t>
      </w:r>
      <w:r>
        <w:rPr>
          <w:sz w:val="22"/>
        </w:rPr>
        <w:t>for</w:t>
      </w:r>
      <w:r>
        <w:rPr>
          <w:spacing w:val="-1"/>
          <w:sz w:val="22"/>
        </w:rPr>
        <w:t> </w:t>
      </w:r>
      <w:r>
        <w:rPr>
          <w:sz w:val="22"/>
        </w:rPr>
        <w:t>providing faculty members with the flexibility to hold dual appointments between R&amp;D institutions and </w:t>
      </w:r>
      <w:r>
        <w:rPr>
          <w:spacing w:val="-2"/>
          <w:sz w:val="22"/>
        </w:rPr>
        <w:t>universities.</w:t>
      </w:r>
    </w:p>
    <w:p>
      <w:pPr>
        <w:pStyle w:val="ListParagraph"/>
        <w:numPr>
          <w:ilvl w:val="2"/>
          <w:numId w:val="52"/>
        </w:numPr>
        <w:tabs>
          <w:tab w:pos="1439" w:val="left" w:leader="none"/>
        </w:tabs>
        <w:spacing w:line="266" w:lineRule="auto" w:before="0" w:after="0"/>
        <w:ind w:left="1439" w:right="0" w:hanging="360"/>
        <w:jc w:val="both"/>
        <w:rPr>
          <w:sz w:val="22"/>
        </w:rPr>
      </w:pPr>
      <w:r>
        <w:rPr>
          <w:sz w:val="22"/>
        </w:rPr>
        <w:t>Flexibility in extramurally funded projects </w:t>
      </w:r>
      <w:r>
        <w:rPr>
          <w:sz w:val="22"/>
        </w:rPr>
        <w:t>to university</w:t>
      </w:r>
      <w:r>
        <w:rPr>
          <w:spacing w:val="-4"/>
          <w:sz w:val="22"/>
        </w:rPr>
        <w:t> </w:t>
      </w:r>
      <w:r>
        <w:rPr>
          <w:sz w:val="22"/>
        </w:rPr>
        <w:t>based</w:t>
      </w:r>
      <w:r>
        <w:rPr>
          <w:spacing w:val="-4"/>
          <w:sz w:val="22"/>
        </w:rPr>
        <w:t> </w:t>
      </w:r>
      <w:r>
        <w:rPr>
          <w:sz w:val="22"/>
        </w:rPr>
        <w:t>investigators</w:t>
      </w:r>
      <w:r>
        <w:rPr>
          <w:spacing w:val="-4"/>
          <w:sz w:val="22"/>
        </w:rPr>
        <w:t> </w:t>
      </w:r>
      <w:r>
        <w:rPr>
          <w:sz w:val="22"/>
        </w:rPr>
        <w:t>should</w:t>
      </w:r>
      <w:r>
        <w:rPr>
          <w:spacing w:val="-4"/>
          <w:sz w:val="22"/>
        </w:rPr>
        <w:t> </w:t>
      </w:r>
      <w:r>
        <w:rPr>
          <w:sz w:val="22"/>
        </w:rPr>
        <w:t>be</w:t>
      </w:r>
      <w:r>
        <w:rPr>
          <w:spacing w:val="-4"/>
          <w:sz w:val="22"/>
        </w:rPr>
        <w:t> </w:t>
      </w:r>
      <w:r>
        <w:rPr>
          <w:sz w:val="22"/>
        </w:rPr>
        <w:t>given</w:t>
      </w:r>
      <w:r>
        <w:rPr>
          <w:spacing w:val="-4"/>
          <w:sz w:val="22"/>
        </w:rPr>
        <w:t> </w:t>
      </w:r>
      <w:r>
        <w:rPr>
          <w:sz w:val="22"/>
        </w:rPr>
        <w:t>so </w:t>
      </w:r>
      <w:r>
        <w:rPr>
          <w:spacing w:val="-2"/>
          <w:sz w:val="22"/>
        </w:rPr>
        <w:t>that</w:t>
      </w:r>
      <w:r>
        <w:rPr>
          <w:spacing w:val="-6"/>
          <w:sz w:val="22"/>
        </w:rPr>
        <w:t> </w:t>
      </w:r>
      <w:r>
        <w:rPr>
          <w:spacing w:val="-2"/>
          <w:sz w:val="22"/>
        </w:rPr>
        <w:t>they</w:t>
      </w:r>
      <w:r>
        <w:rPr>
          <w:spacing w:val="-6"/>
          <w:sz w:val="22"/>
        </w:rPr>
        <w:t> </w:t>
      </w:r>
      <w:r>
        <w:rPr>
          <w:spacing w:val="-2"/>
          <w:sz w:val="22"/>
        </w:rPr>
        <w:t>can</w:t>
      </w:r>
      <w:r>
        <w:rPr>
          <w:spacing w:val="-6"/>
          <w:sz w:val="22"/>
        </w:rPr>
        <w:t> </w:t>
      </w:r>
      <w:r>
        <w:rPr>
          <w:spacing w:val="-2"/>
          <w:sz w:val="22"/>
        </w:rPr>
        <w:t>travel</w:t>
      </w:r>
      <w:r>
        <w:rPr>
          <w:spacing w:val="-6"/>
          <w:sz w:val="22"/>
        </w:rPr>
        <w:t> </w:t>
      </w:r>
      <w:r>
        <w:rPr>
          <w:spacing w:val="-2"/>
          <w:sz w:val="22"/>
        </w:rPr>
        <w:t>and</w:t>
      </w:r>
      <w:r>
        <w:rPr>
          <w:spacing w:val="-6"/>
          <w:sz w:val="22"/>
        </w:rPr>
        <w:t> </w:t>
      </w:r>
      <w:r>
        <w:rPr>
          <w:spacing w:val="-2"/>
          <w:sz w:val="22"/>
        </w:rPr>
        <w:t>participate</w:t>
      </w:r>
      <w:r>
        <w:rPr>
          <w:spacing w:val="-6"/>
          <w:sz w:val="22"/>
        </w:rPr>
        <w:t> </w:t>
      </w:r>
      <w:r>
        <w:rPr>
          <w:spacing w:val="-2"/>
          <w:sz w:val="22"/>
        </w:rPr>
        <w:t>in</w:t>
      </w:r>
      <w:r>
        <w:rPr>
          <w:spacing w:val="-6"/>
          <w:sz w:val="22"/>
        </w:rPr>
        <w:t> </w:t>
      </w:r>
      <w:r>
        <w:rPr>
          <w:spacing w:val="-2"/>
          <w:sz w:val="22"/>
        </w:rPr>
        <w:t>international meetings/workshops.</w:t>
      </w:r>
    </w:p>
    <w:p>
      <w:pPr>
        <w:pStyle w:val="ListParagraph"/>
        <w:numPr>
          <w:ilvl w:val="2"/>
          <w:numId w:val="52"/>
        </w:numPr>
        <w:tabs>
          <w:tab w:pos="1439" w:val="left" w:leader="none"/>
        </w:tabs>
        <w:spacing w:line="266" w:lineRule="auto" w:before="0" w:after="0"/>
        <w:ind w:left="1439" w:right="0" w:hanging="360"/>
        <w:jc w:val="both"/>
        <w:rPr>
          <w:sz w:val="22"/>
        </w:rPr>
      </w:pPr>
      <w:r>
        <w:rPr>
          <w:spacing w:val="-4"/>
          <w:sz w:val="22"/>
        </w:rPr>
        <w:t>There</w:t>
      </w:r>
      <w:r>
        <w:rPr>
          <w:spacing w:val="-6"/>
          <w:sz w:val="22"/>
        </w:rPr>
        <w:t> </w:t>
      </w:r>
      <w:r>
        <w:rPr>
          <w:spacing w:val="-4"/>
          <w:sz w:val="22"/>
        </w:rPr>
        <w:t>should</w:t>
      </w:r>
      <w:r>
        <w:rPr>
          <w:spacing w:val="-6"/>
          <w:sz w:val="22"/>
        </w:rPr>
        <w:t> </w:t>
      </w:r>
      <w:r>
        <w:rPr>
          <w:spacing w:val="-4"/>
          <w:sz w:val="22"/>
        </w:rPr>
        <w:t>be</w:t>
      </w:r>
      <w:r>
        <w:rPr>
          <w:spacing w:val="-6"/>
          <w:sz w:val="22"/>
        </w:rPr>
        <w:t> </w:t>
      </w:r>
      <w:r>
        <w:rPr>
          <w:spacing w:val="-4"/>
          <w:sz w:val="22"/>
        </w:rPr>
        <w:t>provisions</w:t>
      </w:r>
      <w:r>
        <w:rPr>
          <w:spacing w:val="-6"/>
          <w:sz w:val="22"/>
        </w:rPr>
        <w:t> </w:t>
      </w:r>
      <w:r>
        <w:rPr>
          <w:spacing w:val="-4"/>
          <w:sz w:val="22"/>
        </w:rPr>
        <w:t>for</w:t>
      </w:r>
      <w:r>
        <w:rPr>
          <w:spacing w:val="-6"/>
          <w:sz w:val="22"/>
        </w:rPr>
        <w:t> </w:t>
      </w:r>
      <w:r>
        <w:rPr>
          <w:spacing w:val="-4"/>
          <w:sz w:val="22"/>
        </w:rPr>
        <w:t>mentoring</w:t>
      </w:r>
      <w:r>
        <w:rPr>
          <w:spacing w:val="-6"/>
          <w:sz w:val="22"/>
        </w:rPr>
        <w:t> </w:t>
      </w:r>
      <w:r>
        <w:rPr>
          <w:spacing w:val="-4"/>
          <w:sz w:val="22"/>
        </w:rPr>
        <w:t>of</w:t>
      </w:r>
      <w:r>
        <w:rPr>
          <w:spacing w:val="-6"/>
          <w:sz w:val="22"/>
        </w:rPr>
        <w:t> </w:t>
      </w:r>
      <w:r>
        <w:rPr>
          <w:spacing w:val="-4"/>
          <w:sz w:val="22"/>
        </w:rPr>
        <w:t>young </w:t>
      </w:r>
      <w:r>
        <w:rPr>
          <w:sz w:val="22"/>
        </w:rPr>
        <w:t>faculty by established scientists which involves spending brief period at the mentor’s laboratory/ </w:t>
      </w:r>
      <w:r>
        <w:rPr>
          <w:spacing w:val="-2"/>
          <w:sz w:val="22"/>
        </w:rPr>
        <w:t>institute.</w:t>
      </w:r>
    </w:p>
    <w:p>
      <w:pPr>
        <w:pStyle w:val="ListParagraph"/>
        <w:numPr>
          <w:ilvl w:val="2"/>
          <w:numId w:val="52"/>
        </w:numPr>
        <w:tabs>
          <w:tab w:pos="1439" w:val="left" w:leader="none"/>
        </w:tabs>
        <w:spacing w:line="266" w:lineRule="auto" w:before="0" w:after="0"/>
        <w:ind w:left="1439" w:right="0" w:hanging="360"/>
        <w:jc w:val="both"/>
        <w:rPr>
          <w:sz w:val="22"/>
        </w:rPr>
      </w:pPr>
      <w:r>
        <w:rPr>
          <w:sz w:val="22"/>
        </w:rPr>
        <w:t>To incentivise research, performance </w:t>
      </w:r>
      <w:r>
        <w:rPr>
          <w:sz w:val="22"/>
        </w:rPr>
        <w:t>appraisal for</w:t>
      </w:r>
      <w:r>
        <w:rPr>
          <w:spacing w:val="-8"/>
          <w:sz w:val="22"/>
        </w:rPr>
        <w:t> </w:t>
      </w:r>
      <w:r>
        <w:rPr>
          <w:sz w:val="22"/>
        </w:rPr>
        <w:t>promotions</w:t>
      </w:r>
      <w:r>
        <w:rPr>
          <w:spacing w:val="-8"/>
          <w:sz w:val="22"/>
        </w:rPr>
        <w:t> </w:t>
      </w:r>
      <w:r>
        <w:rPr>
          <w:sz w:val="22"/>
        </w:rPr>
        <w:t>should</w:t>
      </w:r>
      <w:r>
        <w:rPr>
          <w:spacing w:val="-8"/>
          <w:sz w:val="22"/>
        </w:rPr>
        <w:t> </w:t>
      </w:r>
      <w:r>
        <w:rPr>
          <w:sz w:val="22"/>
        </w:rPr>
        <w:t>give</w:t>
      </w:r>
      <w:r>
        <w:rPr>
          <w:spacing w:val="-8"/>
          <w:sz w:val="22"/>
        </w:rPr>
        <w:t> </w:t>
      </w:r>
      <w:r>
        <w:rPr>
          <w:sz w:val="22"/>
        </w:rPr>
        <w:t>a</w:t>
      </w:r>
      <w:r>
        <w:rPr>
          <w:spacing w:val="-8"/>
          <w:sz w:val="22"/>
        </w:rPr>
        <w:t> </w:t>
      </w:r>
      <w:r>
        <w:rPr>
          <w:sz w:val="22"/>
        </w:rPr>
        <w:t>higher</w:t>
      </w:r>
      <w:r>
        <w:rPr>
          <w:spacing w:val="-8"/>
          <w:sz w:val="22"/>
        </w:rPr>
        <w:t> </w:t>
      </w:r>
      <w:r>
        <w:rPr>
          <w:sz w:val="22"/>
        </w:rPr>
        <w:t>weightage</w:t>
      </w:r>
      <w:r>
        <w:rPr>
          <w:spacing w:val="-8"/>
          <w:sz w:val="22"/>
        </w:rPr>
        <w:t> </w:t>
      </w:r>
      <w:r>
        <w:rPr>
          <w:sz w:val="22"/>
        </w:rPr>
        <w:t>to </w:t>
      </w:r>
      <w:r>
        <w:rPr>
          <w:spacing w:val="-2"/>
          <w:sz w:val="22"/>
        </w:rPr>
        <w:t>research.</w:t>
      </w:r>
    </w:p>
    <w:p>
      <w:pPr>
        <w:pStyle w:val="ListParagraph"/>
        <w:numPr>
          <w:ilvl w:val="2"/>
          <w:numId w:val="52"/>
        </w:numPr>
        <w:tabs>
          <w:tab w:pos="1439" w:val="left" w:leader="none"/>
        </w:tabs>
        <w:spacing w:line="266" w:lineRule="auto" w:before="0" w:after="0"/>
        <w:ind w:left="1439" w:right="1" w:hanging="360"/>
        <w:jc w:val="both"/>
        <w:rPr>
          <w:sz w:val="22"/>
        </w:rPr>
      </w:pPr>
      <w:r>
        <w:rPr>
          <w:sz w:val="22"/>
        </w:rPr>
        <w:t>A component of funding should be used </w:t>
      </w:r>
      <w:r>
        <w:rPr>
          <w:sz w:val="22"/>
        </w:rPr>
        <w:t>for rewarding</w:t>
      </w:r>
      <w:r>
        <w:rPr>
          <w:spacing w:val="-8"/>
          <w:sz w:val="22"/>
        </w:rPr>
        <w:t> </w:t>
      </w:r>
      <w:r>
        <w:rPr>
          <w:sz w:val="22"/>
        </w:rPr>
        <w:t>good</w:t>
      </w:r>
      <w:r>
        <w:rPr>
          <w:spacing w:val="-8"/>
          <w:sz w:val="22"/>
        </w:rPr>
        <w:t> </w:t>
      </w:r>
      <w:r>
        <w:rPr>
          <w:sz w:val="22"/>
        </w:rPr>
        <w:t>teachers</w:t>
      </w:r>
      <w:r>
        <w:rPr>
          <w:spacing w:val="-8"/>
          <w:sz w:val="22"/>
        </w:rPr>
        <w:t> </w:t>
      </w:r>
      <w:r>
        <w:rPr>
          <w:sz w:val="22"/>
        </w:rPr>
        <w:t>and</w:t>
      </w:r>
      <w:r>
        <w:rPr>
          <w:spacing w:val="-8"/>
          <w:sz w:val="22"/>
        </w:rPr>
        <w:t> </w:t>
      </w:r>
      <w:r>
        <w:rPr>
          <w:sz w:val="22"/>
        </w:rPr>
        <w:t>researchers.</w:t>
      </w:r>
    </w:p>
    <w:p>
      <w:pPr>
        <w:pStyle w:val="ListParagraph"/>
        <w:numPr>
          <w:ilvl w:val="2"/>
          <w:numId w:val="52"/>
        </w:numPr>
        <w:tabs>
          <w:tab w:pos="1439" w:val="left" w:leader="none"/>
        </w:tabs>
        <w:spacing w:line="266" w:lineRule="auto" w:before="0" w:after="0"/>
        <w:ind w:left="1439" w:right="0" w:hanging="360"/>
        <w:jc w:val="both"/>
        <w:rPr>
          <w:sz w:val="22"/>
        </w:rPr>
      </w:pPr>
      <w:r>
        <w:rPr>
          <w:sz w:val="22"/>
        </w:rPr>
        <w:t>Separate research wing in universities could </w:t>
      </w:r>
      <w:r>
        <w:rPr>
          <w:sz w:val="22"/>
        </w:rPr>
        <w:t>be developed with as few bureaucratic hurdles as </w:t>
      </w:r>
      <w:r>
        <w:rPr>
          <w:spacing w:val="-6"/>
          <w:sz w:val="22"/>
        </w:rPr>
        <w:t>possible. Group recruitment with a specific mandate </w:t>
      </w:r>
      <w:r>
        <w:rPr>
          <w:sz w:val="22"/>
        </w:rPr>
        <w:t>of</w:t>
      </w:r>
      <w:r>
        <w:rPr>
          <w:spacing w:val="-9"/>
          <w:sz w:val="22"/>
        </w:rPr>
        <w:t> </w:t>
      </w:r>
      <w:r>
        <w:rPr>
          <w:sz w:val="22"/>
        </w:rPr>
        <w:t>developing</w:t>
      </w:r>
      <w:r>
        <w:rPr>
          <w:spacing w:val="-9"/>
          <w:sz w:val="22"/>
        </w:rPr>
        <w:t> </w:t>
      </w:r>
      <w:r>
        <w:rPr>
          <w:sz w:val="22"/>
        </w:rPr>
        <w:t>frontier</w:t>
      </w:r>
      <w:r>
        <w:rPr>
          <w:spacing w:val="-9"/>
          <w:sz w:val="22"/>
        </w:rPr>
        <w:t> </w:t>
      </w:r>
      <w:r>
        <w:rPr>
          <w:sz w:val="22"/>
        </w:rPr>
        <w:t>areas</w:t>
      </w:r>
      <w:r>
        <w:rPr>
          <w:spacing w:val="-9"/>
          <w:sz w:val="22"/>
        </w:rPr>
        <w:t> </w:t>
      </w:r>
      <w:r>
        <w:rPr>
          <w:sz w:val="22"/>
        </w:rPr>
        <w:t>in</w:t>
      </w:r>
      <w:r>
        <w:rPr>
          <w:spacing w:val="-9"/>
          <w:sz w:val="22"/>
        </w:rPr>
        <w:t> </w:t>
      </w:r>
      <w:r>
        <w:rPr>
          <w:sz w:val="22"/>
        </w:rPr>
        <w:t>research</w:t>
      </w:r>
      <w:r>
        <w:rPr>
          <w:spacing w:val="-9"/>
          <w:sz w:val="22"/>
        </w:rPr>
        <w:t> </w:t>
      </w:r>
      <w:r>
        <w:rPr>
          <w:sz w:val="22"/>
        </w:rPr>
        <w:t>should</w:t>
      </w:r>
      <w:r>
        <w:rPr>
          <w:spacing w:val="-9"/>
          <w:sz w:val="22"/>
        </w:rPr>
        <w:t> </w:t>
      </w:r>
      <w:r>
        <w:rPr>
          <w:sz w:val="22"/>
        </w:rPr>
        <w:t>be </w:t>
      </w:r>
      <w:r>
        <w:rPr>
          <w:spacing w:val="-2"/>
          <w:sz w:val="22"/>
        </w:rPr>
        <w:t>explored.</w:t>
      </w:r>
    </w:p>
    <w:p>
      <w:pPr>
        <w:pStyle w:val="BodyText"/>
        <w:spacing w:line="266" w:lineRule="auto" w:before="57"/>
        <w:ind w:left="319" w:right="1078"/>
        <w:jc w:val="both"/>
      </w:pPr>
      <w:r>
        <w:rPr/>
        <w:br w:type="column"/>
      </w:r>
      <w:r>
        <w:rPr/>
        <w:t>Flexibility</w:t>
      </w:r>
      <w:r>
        <w:rPr>
          <w:spacing w:val="-2"/>
        </w:rPr>
        <w:t> </w:t>
      </w:r>
      <w:r>
        <w:rPr/>
        <w:t>should</w:t>
      </w:r>
      <w:r>
        <w:rPr>
          <w:spacing w:val="-2"/>
        </w:rPr>
        <w:t> </w:t>
      </w:r>
      <w:r>
        <w:rPr/>
        <w:t>be</w:t>
      </w:r>
      <w:r>
        <w:rPr>
          <w:spacing w:val="-2"/>
        </w:rPr>
        <w:t> </w:t>
      </w:r>
      <w:r>
        <w:rPr/>
        <w:t>accompanied</w:t>
      </w:r>
      <w:r>
        <w:rPr>
          <w:spacing w:val="-2"/>
        </w:rPr>
        <w:t> </w:t>
      </w:r>
      <w:r>
        <w:rPr/>
        <w:t>with</w:t>
      </w:r>
      <w:r>
        <w:rPr>
          <w:spacing w:val="-2"/>
        </w:rPr>
        <w:t> </w:t>
      </w:r>
      <w:r>
        <w:rPr/>
        <w:t>a</w:t>
      </w:r>
      <w:r>
        <w:rPr>
          <w:spacing w:val="-2"/>
        </w:rPr>
        <w:t> </w:t>
      </w:r>
      <w:r>
        <w:rPr/>
        <w:t>component of accountability, the norms of which should be periodically reviewed.</w:t>
      </w:r>
    </w:p>
    <w:p>
      <w:pPr>
        <w:pStyle w:val="BodyText"/>
        <w:spacing w:before="25"/>
      </w:pPr>
    </w:p>
    <w:p>
      <w:pPr>
        <w:pStyle w:val="ListParagraph"/>
        <w:numPr>
          <w:ilvl w:val="1"/>
          <w:numId w:val="52"/>
        </w:numPr>
        <w:tabs>
          <w:tab w:pos="710" w:val="left" w:leader="none"/>
        </w:tabs>
        <w:spacing w:line="266" w:lineRule="auto" w:before="0" w:after="0"/>
        <w:ind w:left="319" w:right="1077" w:firstLine="0"/>
        <w:jc w:val="both"/>
        <w:rPr>
          <w:sz w:val="22"/>
        </w:rPr>
      </w:pPr>
      <w:r>
        <w:rPr>
          <w:b/>
          <w:sz w:val="22"/>
        </w:rPr>
        <w:t>Reduction of teaching load: </w:t>
      </w:r>
      <w:r>
        <w:rPr>
          <w:sz w:val="22"/>
        </w:rPr>
        <w:t>There is a serious shortage of faculty across institutions. Further, with</w:t>
      </w:r>
      <w:r>
        <w:rPr>
          <w:spacing w:val="80"/>
          <w:sz w:val="22"/>
        </w:rPr>
        <w:t> </w:t>
      </w:r>
      <w:r>
        <w:rPr>
          <w:sz w:val="22"/>
        </w:rPr>
        <w:t>a large number of teaching posts in colleges </w:t>
      </w:r>
      <w:r>
        <w:rPr>
          <w:sz w:val="22"/>
        </w:rPr>
        <w:t>and </w:t>
      </w:r>
      <w:r>
        <w:rPr>
          <w:w w:val="90"/>
          <w:sz w:val="22"/>
        </w:rPr>
        <w:t>universities remaining vacant, there is severe stress on the </w:t>
      </w:r>
      <w:r>
        <w:rPr>
          <w:spacing w:val="-2"/>
          <w:sz w:val="22"/>
        </w:rPr>
        <w:t>existing</w:t>
      </w:r>
      <w:r>
        <w:rPr>
          <w:spacing w:val="-7"/>
          <w:sz w:val="22"/>
        </w:rPr>
        <w:t> </w:t>
      </w:r>
      <w:r>
        <w:rPr>
          <w:spacing w:val="-2"/>
          <w:sz w:val="22"/>
        </w:rPr>
        <w:t>faculty.</w:t>
      </w:r>
      <w:r>
        <w:rPr>
          <w:spacing w:val="-7"/>
          <w:sz w:val="22"/>
        </w:rPr>
        <w:t> </w:t>
      </w:r>
      <w:r>
        <w:rPr>
          <w:spacing w:val="-2"/>
          <w:sz w:val="22"/>
        </w:rPr>
        <w:t>Also,</w:t>
      </w:r>
      <w:r>
        <w:rPr>
          <w:spacing w:val="-7"/>
          <w:sz w:val="22"/>
        </w:rPr>
        <w:t> </w:t>
      </w:r>
      <w:r>
        <w:rPr>
          <w:spacing w:val="-2"/>
          <w:sz w:val="22"/>
        </w:rPr>
        <w:t>in</w:t>
      </w:r>
      <w:r>
        <w:rPr>
          <w:spacing w:val="-7"/>
          <w:sz w:val="22"/>
        </w:rPr>
        <w:t> </w:t>
      </w:r>
      <w:r>
        <w:rPr>
          <w:spacing w:val="-2"/>
          <w:sz w:val="22"/>
        </w:rPr>
        <w:t>the</w:t>
      </w:r>
      <w:r>
        <w:rPr>
          <w:spacing w:val="-7"/>
          <w:sz w:val="22"/>
        </w:rPr>
        <w:t> </w:t>
      </w:r>
      <w:r>
        <w:rPr>
          <w:spacing w:val="-2"/>
          <w:sz w:val="22"/>
        </w:rPr>
        <w:t>current</w:t>
      </w:r>
      <w:r>
        <w:rPr>
          <w:spacing w:val="-7"/>
          <w:sz w:val="22"/>
        </w:rPr>
        <w:t> </w:t>
      </w:r>
      <w:r>
        <w:rPr>
          <w:spacing w:val="-2"/>
          <w:sz w:val="22"/>
        </w:rPr>
        <w:t>system,</w:t>
      </w:r>
      <w:r>
        <w:rPr>
          <w:spacing w:val="-7"/>
          <w:sz w:val="22"/>
        </w:rPr>
        <w:t> </w:t>
      </w:r>
      <w:r>
        <w:rPr>
          <w:spacing w:val="-2"/>
          <w:sz w:val="22"/>
        </w:rPr>
        <w:t>the</w:t>
      </w:r>
      <w:r>
        <w:rPr>
          <w:spacing w:val="-7"/>
          <w:sz w:val="22"/>
        </w:rPr>
        <w:t> </w:t>
      </w:r>
      <w:r>
        <w:rPr>
          <w:spacing w:val="-2"/>
          <w:sz w:val="22"/>
        </w:rPr>
        <w:t>whole </w:t>
      </w:r>
      <w:r>
        <w:rPr>
          <w:sz w:val="22"/>
        </w:rPr>
        <w:t>profession</w:t>
      </w:r>
      <w:r>
        <w:rPr>
          <w:spacing w:val="-2"/>
          <w:sz w:val="22"/>
        </w:rPr>
        <w:t> </w:t>
      </w:r>
      <w:r>
        <w:rPr>
          <w:sz w:val="22"/>
        </w:rPr>
        <w:t>of</w:t>
      </w:r>
      <w:r>
        <w:rPr>
          <w:spacing w:val="-2"/>
          <w:sz w:val="22"/>
        </w:rPr>
        <w:t> </w:t>
      </w:r>
      <w:r>
        <w:rPr>
          <w:sz w:val="22"/>
        </w:rPr>
        <w:t>teaching</w:t>
      </w:r>
      <w:r>
        <w:rPr>
          <w:spacing w:val="-2"/>
          <w:sz w:val="22"/>
        </w:rPr>
        <w:t> </w:t>
      </w:r>
      <w:r>
        <w:rPr>
          <w:sz w:val="22"/>
        </w:rPr>
        <w:t>has</w:t>
      </w:r>
      <w:r>
        <w:rPr>
          <w:spacing w:val="-2"/>
          <w:sz w:val="22"/>
        </w:rPr>
        <w:t> </w:t>
      </w:r>
      <w:r>
        <w:rPr>
          <w:sz w:val="22"/>
        </w:rPr>
        <w:t>been</w:t>
      </w:r>
      <w:r>
        <w:rPr>
          <w:spacing w:val="-2"/>
          <w:sz w:val="22"/>
        </w:rPr>
        <w:t> </w:t>
      </w:r>
      <w:r>
        <w:rPr>
          <w:sz w:val="22"/>
        </w:rPr>
        <w:t>severely</w:t>
      </w:r>
      <w:r>
        <w:rPr>
          <w:spacing w:val="-2"/>
          <w:sz w:val="22"/>
        </w:rPr>
        <w:t> </w:t>
      </w:r>
      <w:r>
        <w:rPr>
          <w:sz w:val="22"/>
        </w:rPr>
        <w:t>undermined with</w:t>
      </w:r>
      <w:r>
        <w:rPr>
          <w:spacing w:val="-14"/>
          <w:sz w:val="22"/>
        </w:rPr>
        <w:t> </w:t>
      </w:r>
      <w:r>
        <w:rPr>
          <w:sz w:val="22"/>
        </w:rPr>
        <w:t>contract</w:t>
      </w:r>
      <w:r>
        <w:rPr>
          <w:spacing w:val="-14"/>
          <w:sz w:val="22"/>
        </w:rPr>
        <w:t> </w:t>
      </w:r>
      <w:r>
        <w:rPr>
          <w:sz w:val="22"/>
        </w:rPr>
        <w:t>teaching</w:t>
      </w:r>
      <w:r>
        <w:rPr>
          <w:spacing w:val="-14"/>
          <w:sz w:val="22"/>
        </w:rPr>
        <w:t> </w:t>
      </w:r>
      <w:r>
        <w:rPr>
          <w:sz w:val="22"/>
        </w:rPr>
        <w:t>in</w:t>
      </w:r>
      <w:r>
        <w:rPr>
          <w:spacing w:val="-13"/>
          <w:sz w:val="22"/>
        </w:rPr>
        <w:t> </w:t>
      </w:r>
      <w:r>
        <w:rPr>
          <w:sz w:val="22"/>
        </w:rPr>
        <w:t>colleges</w:t>
      </w:r>
      <w:r>
        <w:rPr>
          <w:spacing w:val="-14"/>
          <w:sz w:val="22"/>
        </w:rPr>
        <w:t> </w:t>
      </w:r>
      <w:r>
        <w:rPr>
          <w:sz w:val="22"/>
        </w:rPr>
        <w:t>becoming</w:t>
      </w:r>
      <w:r>
        <w:rPr>
          <w:spacing w:val="-14"/>
          <w:sz w:val="22"/>
        </w:rPr>
        <w:t> </w:t>
      </w:r>
      <w:r>
        <w:rPr>
          <w:sz w:val="22"/>
        </w:rPr>
        <w:t>more</w:t>
      </w:r>
      <w:r>
        <w:rPr>
          <w:spacing w:val="-14"/>
          <w:sz w:val="22"/>
        </w:rPr>
        <w:t> </w:t>
      </w:r>
      <w:r>
        <w:rPr>
          <w:sz w:val="22"/>
        </w:rPr>
        <w:t>and more</w:t>
      </w:r>
      <w:r>
        <w:rPr>
          <w:spacing w:val="-14"/>
          <w:sz w:val="22"/>
        </w:rPr>
        <w:t> </w:t>
      </w:r>
      <w:r>
        <w:rPr>
          <w:sz w:val="22"/>
        </w:rPr>
        <w:t>acceptable.</w:t>
      </w:r>
      <w:r>
        <w:rPr>
          <w:spacing w:val="-14"/>
          <w:sz w:val="22"/>
        </w:rPr>
        <w:t> </w:t>
      </w:r>
      <w:r>
        <w:rPr>
          <w:sz w:val="22"/>
        </w:rPr>
        <w:t>Teachers</w:t>
      </w:r>
      <w:r>
        <w:rPr>
          <w:spacing w:val="-14"/>
          <w:sz w:val="22"/>
        </w:rPr>
        <w:t> </w:t>
      </w:r>
      <w:r>
        <w:rPr>
          <w:sz w:val="22"/>
        </w:rPr>
        <w:t>have</w:t>
      </w:r>
      <w:r>
        <w:rPr>
          <w:spacing w:val="-13"/>
          <w:sz w:val="22"/>
        </w:rPr>
        <w:t> </w:t>
      </w:r>
      <w:r>
        <w:rPr>
          <w:sz w:val="22"/>
        </w:rPr>
        <w:t>no</w:t>
      </w:r>
      <w:r>
        <w:rPr>
          <w:spacing w:val="-14"/>
          <w:sz w:val="22"/>
        </w:rPr>
        <w:t> </w:t>
      </w:r>
      <w:r>
        <w:rPr>
          <w:sz w:val="22"/>
        </w:rPr>
        <w:t>time</w:t>
      </w:r>
      <w:r>
        <w:rPr>
          <w:spacing w:val="-14"/>
          <w:sz w:val="22"/>
        </w:rPr>
        <w:t> </w:t>
      </w:r>
      <w:r>
        <w:rPr>
          <w:sz w:val="22"/>
        </w:rPr>
        <w:t>or</w:t>
      </w:r>
      <w:r>
        <w:rPr>
          <w:spacing w:val="-14"/>
          <w:sz w:val="22"/>
        </w:rPr>
        <w:t> </w:t>
      </w:r>
      <w:r>
        <w:rPr>
          <w:sz w:val="22"/>
        </w:rPr>
        <w:t>inclination </w:t>
      </w:r>
      <w:r>
        <w:rPr>
          <w:spacing w:val="-2"/>
          <w:sz w:val="22"/>
        </w:rPr>
        <w:t>to</w:t>
      </w:r>
      <w:r>
        <w:rPr>
          <w:spacing w:val="-9"/>
          <w:sz w:val="22"/>
        </w:rPr>
        <w:t> </w:t>
      </w:r>
      <w:r>
        <w:rPr>
          <w:spacing w:val="-2"/>
          <w:sz w:val="22"/>
        </w:rPr>
        <w:t>participate</w:t>
      </w:r>
      <w:r>
        <w:rPr>
          <w:spacing w:val="-9"/>
          <w:sz w:val="22"/>
        </w:rPr>
        <w:t> </w:t>
      </w:r>
      <w:r>
        <w:rPr>
          <w:spacing w:val="-2"/>
          <w:sz w:val="22"/>
        </w:rPr>
        <w:t>in</w:t>
      </w:r>
      <w:r>
        <w:rPr>
          <w:spacing w:val="-9"/>
          <w:sz w:val="22"/>
        </w:rPr>
        <w:t> </w:t>
      </w:r>
      <w:r>
        <w:rPr>
          <w:spacing w:val="-2"/>
          <w:sz w:val="22"/>
        </w:rPr>
        <w:t>anything</w:t>
      </w:r>
      <w:r>
        <w:rPr>
          <w:spacing w:val="-9"/>
          <w:sz w:val="22"/>
        </w:rPr>
        <w:t> </w:t>
      </w:r>
      <w:r>
        <w:rPr>
          <w:spacing w:val="-2"/>
          <w:sz w:val="22"/>
        </w:rPr>
        <w:t>innovative</w:t>
      </w:r>
      <w:r>
        <w:rPr>
          <w:spacing w:val="-9"/>
          <w:sz w:val="22"/>
        </w:rPr>
        <w:t> </w:t>
      </w:r>
      <w:r>
        <w:rPr>
          <w:spacing w:val="-2"/>
          <w:sz w:val="22"/>
        </w:rPr>
        <w:t>which</w:t>
      </w:r>
      <w:r>
        <w:rPr>
          <w:spacing w:val="-9"/>
          <w:sz w:val="22"/>
        </w:rPr>
        <w:t> </w:t>
      </w:r>
      <w:r>
        <w:rPr>
          <w:spacing w:val="-2"/>
          <w:sz w:val="22"/>
        </w:rPr>
        <w:t>has</w:t>
      </w:r>
      <w:r>
        <w:rPr>
          <w:spacing w:val="-9"/>
          <w:sz w:val="22"/>
        </w:rPr>
        <w:t> </w:t>
      </w:r>
      <w:r>
        <w:rPr>
          <w:spacing w:val="-2"/>
          <w:sz w:val="22"/>
        </w:rPr>
        <w:t>led</w:t>
      </w:r>
      <w:r>
        <w:rPr>
          <w:spacing w:val="-9"/>
          <w:sz w:val="22"/>
        </w:rPr>
        <w:t> </w:t>
      </w:r>
      <w:r>
        <w:rPr>
          <w:spacing w:val="-2"/>
          <w:sz w:val="22"/>
        </w:rPr>
        <w:t>to</w:t>
      </w:r>
      <w:r>
        <w:rPr>
          <w:spacing w:val="-9"/>
          <w:sz w:val="22"/>
        </w:rPr>
        <w:t> </w:t>
      </w:r>
      <w:r>
        <w:rPr>
          <w:spacing w:val="-2"/>
          <w:sz w:val="22"/>
        </w:rPr>
        <w:t>a </w:t>
      </w:r>
      <w:r>
        <w:rPr>
          <w:spacing w:val="-8"/>
          <w:sz w:val="22"/>
        </w:rPr>
        <w:t>lack</w:t>
      </w:r>
      <w:r>
        <w:rPr>
          <w:spacing w:val="-1"/>
          <w:sz w:val="22"/>
        </w:rPr>
        <w:t> </w:t>
      </w:r>
      <w:r>
        <w:rPr>
          <w:spacing w:val="-8"/>
          <w:sz w:val="22"/>
        </w:rPr>
        <w:t>of</w:t>
      </w:r>
      <w:r>
        <w:rPr>
          <w:spacing w:val="-1"/>
          <w:sz w:val="22"/>
        </w:rPr>
        <w:t> </w:t>
      </w:r>
      <w:r>
        <w:rPr>
          <w:spacing w:val="-8"/>
          <w:sz w:val="22"/>
        </w:rPr>
        <w:t>involvement</w:t>
      </w:r>
      <w:r>
        <w:rPr>
          <w:spacing w:val="-1"/>
          <w:sz w:val="22"/>
        </w:rPr>
        <w:t> </w:t>
      </w:r>
      <w:r>
        <w:rPr>
          <w:spacing w:val="-8"/>
          <w:sz w:val="22"/>
        </w:rPr>
        <w:t>and</w:t>
      </w:r>
      <w:r>
        <w:rPr>
          <w:spacing w:val="-1"/>
          <w:sz w:val="22"/>
        </w:rPr>
        <w:t> </w:t>
      </w:r>
      <w:r>
        <w:rPr>
          <w:spacing w:val="-8"/>
          <w:sz w:val="22"/>
        </w:rPr>
        <w:t>enthusiasm</w:t>
      </w:r>
      <w:r>
        <w:rPr>
          <w:spacing w:val="-1"/>
          <w:sz w:val="22"/>
        </w:rPr>
        <w:t> </w:t>
      </w:r>
      <w:r>
        <w:rPr>
          <w:spacing w:val="-8"/>
          <w:sz w:val="22"/>
        </w:rPr>
        <w:t>in</w:t>
      </w:r>
      <w:r>
        <w:rPr>
          <w:spacing w:val="-1"/>
          <w:sz w:val="22"/>
        </w:rPr>
        <w:t> </w:t>
      </w:r>
      <w:r>
        <w:rPr>
          <w:spacing w:val="-8"/>
          <w:sz w:val="22"/>
        </w:rPr>
        <w:t>the</w:t>
      </w:r>
      <w:r>
        <w:rPr>
          <w:spacing w:val="-1"/>
          <w:sz w:val="22"/>
        </w:rPr>
        <w:t> </w:t>
      </w:r>
      <w:r>
        <w:rPr>
          <w:spacing w:val="-8"/>
          <w:sz w:val="22"/>
        </w:rPr>
        <w:t>whole</w:t>
      </w:r>
      <w:r>
        <w:rPr>
          <w:spacing w:val="-1"/>
          <w:sz w:val="22"/>
        </w:rPr>
        <w:t> </w:t>
      </w:r>
      <w:r>
        <w:rPr>
          <w:spacing w:val="-8"/>
          <w:sz w:val="22"/>
        </w:rPr>
        <w:t>system, </w:t>
      </w:r>
      <w:r>
        <w:rPr>
          <w:sz w:val="22"/>
        </w:rPr>
        <w:t>thereby</w:t>
      </w:r>
      <w:r>
        <w:rPr>
          <w:spacing w:val="-16"/>
          <w:sz w:val="22"/>
        </w:rPr>
        <w:t> </w:t>
      </w:r>
      <w:r>
        <w:rPr>
          <w:sz w:val="22"/>
        </w:rPr>
        <w:t>leading</w:t>
      </w:r>
      <w:r>
        <w:rPr>
          <w:spacing w:val="-14"/>
          <w:sz w:val="22"/>
        </w:rPr>
        <w:t> </w:t>
      </w:r>
      <w:r>
        <w:rPr>
          <w:sz w:val="22"/>
        </w:rPr>
        <w:t>to</w:t>
      </w:r>
      <w:r>
        <w:rPr>
          <w:spacing w:val="-14"/>
          <w:sz w:val="22"/>
        </w:rPr>
        <w:t> </w:t>
      </w:r>
      <w:r>
        <w:rPr>
          <w:sz w:val="22"/>
        </w:rPr>
        <w:t>gradual</w:t>
      </w:r>
      <w:r>
        <w:rPr>
          <w:spacing w:val="-13"/>
          <w:sz w:val="22"/>
        </w:rPr>
        <w:t> </w:t>
      </w:r>
      <w:r>
        <w:rPr>
          <w:sz w:val="22"/>
        </w:rPr>
        <w:t>decay</w:t>
      </w:r>
      <w:r>
        <w:rPr>
          <w:spacing w:val="-14"/>
          <w:sz w:val="22"/>
        </w:rPr>
        <w:t> </w:t>
      </w:r>
      <w:r>
        <w:rPr>
          <w:sz w:val="22"/>
        </w:rPr>
        <w:t>and</w:t>
      </w:r>
      <w:r>
        <w:rPr>
          <w:spacing w:val="-14"/>
          <w:sz w:val="22"/>
        </w:rPr>
        <w:t> </w:t>
      </w:r>
      <w:r>
        <w:rPr>
          <w:sz w:val="22"/>
        </w:rPr>
        <w:t>degradation.</w:t>
      </w:r>
      <w:r>
        <w:rPr>
          <w:spacing w:val="-14"/>
          <w:sz w:val="22"/>
        </w:rPr>
        <w:t> </w:t>
      </w:r>
      <w:r>
        <w:rPr>
          <w:sz w:val="22"/>
        </w:rPr>
        <w:t>It</w:t>
      </w:r>
      <w:r>
        <w:rPr>
          <w:spacing w:val="-13"/>
          <w:sz w:val="22"/>
        </w:rPr>
        <w:t> </w:t>
      </w:r>
      <w:r>
        <w:rPr>
          <w:sz w:val="22"/>
        </w:rPr>
        <w:t>is crucial</w:t>
      </w:r>
      <w:r>
        <w:rPr>
          <w:spacing w:val="-6"/>
          <w:sz w:val="22"/>
        </w:rPr>
        <w:t> </w:t>
      </w:r>
      <w:r>
        <w:rPr>
          <w:sz w:val="22"/>
        </w:rPr>
        <w:t>that</w:t>
      </w:r>
      <w:r>
        <w:rPr>
          <w:spacing w:val="-6"/>
          <w:sz w:val="22"/>
        </w:rPr>
        <w:t> </w:t>
      </w:r>
      <w:r>
        <w:rPr>
          <w:sz w:val="22"/>
        </w:rPr>
        <w:t>these</w:t>
      </w:r>
      <w:r>
        <w:rPr>
          <w:spacing w:val="-6"/>
          <w:sz w:val="22"/>
        </w:rPr>
        <w:t> </w:t>
      </w:r>
      <w:r>
        <w:rPr>
          <w:sz w:val="22"/>
        </w:rPr>
        <w:t>issues</w:t>
      </w:r>
      <w:r>
        <w:rPr>
          <w:spacing w:val="-6"/>
          <w:sz w:val="22"/>
        </w:rPr>
        <w:t> </w:t>
      </w:r>
      <w:r>
        <w:rPr>
          <w:sz w:val="22"/>
        </w:rPr>
        <w:t>are</w:t>
      </w:r>
      <w:r>
        <w:rPr>
          <w:spacing w:val="-6"/>
          <w:sz w:val="22"/>
        </w:rPr>
        <w:t> </w:t>
      </w:r>
      <w:r>
        <w:rPr>
          <w:sz w:val="22"/>
        </w:rPr>
        <w:t>addressed</w:t>
      </w:r>
      <w:r>
        <w:rPr>
          <w:spacing w:val="-6"/>
          <w:sz w:val="22"/>
        </w:rPr>
        <w:t> </w:t>
      </w:r>
      <w:r>
        <w:rPr>
          <w:sz w:val="22"/>
        </w:rPr>
        <w:t>and</w:t>
      </w:r>
      <w:r>
        <w:rPr>
          <w:spacing w:val="-6"/>
          <w:sz w:val="22"/>
        </w:rPr>
        <w:t> </w:t>
      </w:r>
      <w:r>
        <w:rPr>
          <w:sz w:val="22"/>
        </w:rPr>
        <w:t>acted</w:t>
      </w:r>
      <w:r>
        <w:rPr>
          <w:spacing w:val="-6"/>
          <w:sz w:val="22"/>
        </w:rPr>
        <w:t> </w:t>
      </w:r>
      <w:r>
        <w:rPr>
          <w:sz w:val="22"/>
        </w:rPr>
        <w:t>upon with the utmost sense of urgency.</w:t>
      </w:r>
    </w:p>
    <w:p>
      <w:pPr>
        <w:pStyle w:val="BodyText"/>
        <w:spacing w:before="16"/>
      </w:pPr>
    </w:p>
    <w:p>
      <w:pPr>
        <w:pStyle w:val="BodyText"/>
        <w:spacing w:line="266" w:lineRule="auto"/>
        <w:ind w:left="319" w:right="1078"/>
        <w:jc w:val="both"/>
      </w:pPr>
      <w:r>
        <w:rPr>
          <w:spacing w:val="-4"/>
        </w:rPr>
        <w:t>Some</w:t>
      </w:r>
      <w:r>
        <w:rPr>
          <w:spacing w:val="-6"/>
        </w:rPr>
        <w:t> </w:t>
      </w:r>
      <w:r>
        <w:rPr>
          <w:spacing w:val="-4"/>
        </w:rPr>
        <w:t>steps</w:t>
      </w:r>
      <w:r>
        <w:rPr>
          <w:spacing w:val="-6"/>
        </w:rPr>
        <w:t> </w:t>
      </w:r>
      <w:r>
        <w:rPr>
          <w:spacing w:val="-4"/>
        </w:rPr>
        <w:t>that</w:t>
      </w:r>
      <w:r>
        <w:rPr>
          <w:spacing w:val="-6"/>
        </w:rPr>
        <w:t> </w:t>
      </w:r>
      <w:r>
        <w:rPr>
          <w:spacing w:val="-4"/>
        </w:rPr>
        <w:t>could</w:t>
      </w:r>
      <w:r>
        <w:rPr>
          <w:spacing w:val="-6"/>
        </w:rPr>
        <w:t> </w:t>
      </w:r>
      <w:r>
        <w:rPr>
          <w:spacing w:val="-4"/>
        </w:rPr>
        <w:t>be</w:t>
      </w:r>
      <w:r>
        <w:rPr>
          <w:spacing w:val="-6"/>
        </w:rPr>
        <w:t> </w:t>
      </w:r>
      <w:r>
        <w:rPr>
          <w:spacing w:val="-4"/>
        </w:rPr>
        <w:t>undertaken</w:t>
      </w:r>
      <w:r>
        <w:rPr>
          <w:spacing w:val="-6"/>
        </w:rPr>
        <w:t> </w:t>
      </w:r>
      <w:r>
        <w:rPr>
          <w:spacing w:val="-4"/>
        </w:rPr>
        <w:t>to</w:t>
      </w:r>
      <w:r>
        <w:rPr>
          <w:spacing w:val="-6"/>
        </w:rPr>
        <w:t> </w:t>
      </w:r>
      <w:r>
        <w:rPr>
          <w:spacing w:val="-4"/>
        </w:rPr>
        <w:t>reduce</w:t>
      </w:r>
      <w:r>
        <w:rPr>
          <w:spacing w:val="-6"/>
        </w:rPr>
        <w:t> </w:t>
      </w:r>
      <w:r>
        <w:rPr>
          <w:spacing w:val="-4"/>
        </w:rPr>
        <w:t>teaching </w:t>
      </w:r>
      <w:r>
        <w:rPr/>
        <w:t>load are:</w:t>
      </w:r>
    </w:p>
    <w:p>
      <w:pPr>
        <w:pStyle w:val="ListParagraph"/>
        <w:numPr>
          <w:ilvl w:val="2"/>
          <w:numId w:val="52"/>
        </w:numPr>
        <w:tabs>
          <w:tab w:pos="679" w:val="left" w:leader="none"/>
        </w:tabs>
        <w:spacing w:line="266" w:lineRule="auto" w:before="0" w:after="0"/>
        <w:ind w:left="679" w:right="1077" w:hanging="360"/>
        <w:jc w:val="both"/>
        <w:rPr>
          <w:sz w:val="22"/>
        </w:rPr>
      </w:pPr>
      <w:r>
        <w:rPr>
          <w:sz w:val="22"/>
        </w:rPr>
        <w:t>Duplicity</w:t>
      </w:r>
      <w:r>
        <w:rPr>
          <w:spacing w:val="-14"/>
          <w:sz w:val="22"/>
        </w:rPr>
        <w:t> </w:t>
      </w:r>
      <w:r>
        <w:rPr>
          <w:sz w:val="22"/>
        </w:rPr>
        <w:t>of</w:t>
      </w:r>
      <w:r>
        <w:rPr>
          <w:spacing w:val="-14"/>
          <w:sz w:val="22"/>
        </w:rPr>
        <w:t> </w:t>
      </w:r>
      <w:r>
        <w:rPr>
          <w:sz w:val="22"/>
        </w:rPr>
        <w:t>courses</w:t>
      </w:r>
      <w:r>
        <w:rPr>
          <w:spacing w:val="-14"/>
          <w:sz w:val="22"/>
        </w:rPr>
        <w:t> </w:t>
      </w:r>
      <w:r>
        <w:rPr>
          <w:sz w:val="22"/>
        </w:rPr>
        <w:t>should</w:t>
      </w:r>
      <w:r>
        <w:rPr>
          <w:spacing w:val="-13"/>
          <w:sz w:val="22"/>
        </w:rPr>
        <w:t> </w:t>
      </w:r>
      <w:r>
        <w:rPr>
          <w:sz w:val="22"/>
        </w:rPr>
        <w:t>be</w:t>
      </w:r>
      <w:r>
        <w:rPr>
          <w:spacing w:val="-14"/>
          <w:sz w:val="22"/>
        </w:rPr>
        <w:t> </w:t>
      </w:r>
      <w:r>
        <w:rPr>
          <w:sz w:val="22"/>
        </w:rPr>
        <w:t>avoided.</w:t>
      </w:r>
      <w:r>
        <w:rPr>
          <w:spacing w:val="-14"/>
          <w:sz w:val="22"/>
        </w:rPr>
        <w:t> </w:t>
      </w:r>
      <w:r>
        <w:rPr>
          <w:sz w:val="22"/>
        </w:rPr>
        <w:t>This</w:t>
      </w:r>
      <w:r>
        <w:rPr>
          <w:spacing w:val="-14"/>
          <w:sz w:val="22"/>
        </w:rPr>
        <w:t> </w:t>
      </w:r>
      <w:r>
        <w:rPr>
          <w:sz w:val="22"/>
        </w:rPr>
        <w:t>calls for greater interdepartmental collaboration at the level of individual institution. Inter-institutional </w:t>
      </w:r>
      <w:r>
        <w:rPr>
          <w:spacing w:val="-2"/>
          <w:sz w:val="22"/>
        </w:rPr>
        <w:t>collaboration</w:t>
      </w:r>
      <w:r>
        <w:rPr>
          <w:spacing w:val="-12"/>
          <w:sz w:val="22"/>
        </w:rPr>
        <w:t> </w:t>
      </w:r>
      <w:r>
        <w:rPr>
          <w:spacing w:val="-2"/>
          <w:sz w:val="22"/>
        </w:rPr>
        <w:t>to</w:t>
      </w:r>
      <w:r>
        <w:rPr>
          <w:spacing w:val="-8"/>
          <w:sz w:val="22"/>
        </w:rPr>
        <w:t> </w:t>
      </w:r>
      <w:r>
        <w:rPr>
          <w:spacing w:val="-2"/>
          <w:sz w:val="22"/>
        </w:rPr>
        <w:t>offer</w:t>
      </w:r>
      <w:r>
        <w:rPr>
          <w:spacing w:val="-8"/>
          <w:sz w:val="22"/>
        </w:rPr>
        <w:t> </w:t>
      </w:r>
      <w:r>
        <w:rPr>
          <w:spacing w:val="-2"/>
          <w:sz w:val="22"/>
        </w:rPr>
        <w:t>common</w:t>
      </w:r>
      <w:r>
        <w:rPr>
          <w:spacing w:val="-8"/>
          <w:sz w:val="22"/>
        </w:rPr>
        <w:t> </w:t>
      </w:r>
      <w:r>
        <w:rPr>
          <w:spacing w:val="-2"/>
          <w:sz w:val="22"/>
        </w:rPr>
        <w:t>courses</w:t>
      </w:r>
      <w:r>
        <w:rPr>
          <w:spacing w:val="-8"/>
          <w:sz w:val="22"/>
        </w:rPr>
        <w:t> </w:t>
      </w:r>
      <w:r>
        <w:rPr>
          <w:spacing w:val="-2"/>
          <w:sz w:val="22"/>
        </w:rPr>
        <w:t>can</w:t>
      </w:r>
      <w:r>
        <w:rPr>
          <w:spacing w:val="-8"/>
          <w:sz w:val="22"/>
        </w:rPr>
        <w:t> </w:t>
      </w:r>
      <w:r>
        <w:rPr>
          <w:spacing w:val="-2"/>
          <w:sz w:val="22"/>
        </w:rPr>
        <w:t>also</w:t>
      </w:r>
      <w:r>
        <w:rPr>
          <w:spacing w:val="-8"/>
          <w:sz w:val="22"/>
        </w:rPr>
        <w:t> </w:t>
      </w:r>
      <w:r>
        <w:rPr>
          <w:spacing w:val="-2"/>
          <w:sz w:val="22"/>
        </w:rPr>
        <w:t>be </w:t>
      </w:r>
      <w:r>
        <w:rPr>
          <w:sz w:val="22"/>
        </w:rPr>
        <w:t>worked out by means of sharing credit.</w:t>
      </w:r>
    </w:p>
    <w:p>
      <w:pPr>
        <w:pStyle w:val="ListParagraph"/>
        <w:numPr>
          <w:ilvl w:val="2"/>
          <w:numId w:val="52"/>
        </w:numPr>
        <w:tabs>
          <w:tab w:pos="679" w:val="left" w:leader="none"/>
        </w:tabs>
        <w:spacing w:line="266" w:lineRule="auto" w:before="0" w:after="0"/>
        <w:ind w:left="679" w:right="1077" w:hanging="360"/>
        <w:jc w:val="both"/>
        <w:rPr>
          <w:sz w:val="22"/>
        </w:rPr>
      </w:pPr>
      <w:r>
        <w:rPr>
          <w:spacing w:val="-4"/>
          <w:sz w:val="22"/>
        </w:rPr>
        <w:t>Lectures</w:t>
      </w:r>
      <w:r>
        <w:rPr>
          <w:spacing w:val="-8"/>
          <w:sz w:val="22"/>
        </w:rPr>
        <w:t> </w:t>
      </w:r>
      <w:r>
        <w:rPr>
          <w:spacing w:val="-4"/>
          <w:sz w:val="22"/>
        </w:rPr>
        <w:t>can</w:t>
      </w:r>
      <w:r>
        <w:rPr>
          <w:spacing w:val="-8"/>
          <w:sz w:val="22"/>
        </w:rPr>
        <w:t> </w:t>
      </w:r>
      <w:r>
        <w:rPr>
          <w:spacing w:val="-4"/>
          <w:sz w:val="22"/>
        </w:rPr>
        <w:t>be</w:t>
      </w:r>
      <w:r>
        <w:rPr>
          <w:spacing w:val="-8"/>
          <w:sz w:val="22"/>
        </w:rPr>
        <w:t> </w:t>
      </w:r>
      <w:r>
        <w:rPr>
          <w:spacing w:val="-4"/>
          <w:sz w:val="22"/>
        </w:rPr>
        <w:t>delivered</w:t>
      </w:r>
      <w:r>
        <w:rPr>
          <w:spacing w:val="-8"/>
          <w:sz w:val="22"/>
        </w:rPr>
        <w:t> </w:t>
      </w:r>
      <w:r>
        <w:rPr>
          <w:spacing w:val="-4"/>
          <w:sz w:val="22"/>
        </w:rPr>
        <w:t>to</w:t>
      </w:r>
      <w:r>
        <w:rPr>
          <w:spacing w:val="-8"/>
          <w:sz w:val="22"/>
        </w:rPr>
        <w:t> </w:t>
      </w:r>
      <w:r>
        <w:rPr>
          <w:spacing w:val="-4"/>
          <w:sz w:val="22"/>
        </w:rPr>
        <w:t>a</w:t>
      </w:r>
      <w:r>
        <w:rPr>
          <w:spacing w:val="-8"/>
          <w:sz w:val="22"/>
        </w:rPr>
        <w:t> </w:t>
      </w:r>
      <w:r>
        <w:rPr>
          <w:spacing w:val="-4"/>
          <w:sz w:val="22"/>
        </w:rPr>
        <w:t>large</w:t>
      </w:r>
      <w:r>
        <w:rPr>
          <w:spacing w:val="-8"/>
          <w:sz w:val="22"/>
        </w:rPr>
        <w:t> </w:t>
      </w:r>
      <w:r>
        <w:rPr>
          <w:spacing w:val="-4"/>
          <w:sz w:val="22"/>
        </w:rPr>
        <w:t>class</w:t>
      </w:r>
      <w:r>
        <w:rPr>
          <w:spacing w:val="-8"/>
          <w:sz w:val="22"/>
        </w:rPr>
        <w:t> </w:t>
      </w:r>
      <w:r>
        <w:rPr>
          <w:spacing w:val="-4"/>
          <w:sz w:val="22"/>
        </w:rPr>
        <w:t>combined </w:t>
      </w:r>
      <w:r>
        <w:rPr>
          <w:sz w:val="22"/>
        </w:rPr>
        <w:t>with tutorial sessions in smaller batches of </w:t>
      </w:r>
      <w:r>
        <w:rPr>
          <w:spacing w:val="-2"/>
          <w:sz w:val="22"/>
        </w:rPr>
        <w:t>students.</w:t>
      </w:r>
    </w:p>
    <w:p>
      <w:pPr>
        <w:pStyle w:val="ListParagraph"/>
        <w:numPr>
          <w:ilvl w:val="2"/>
          <w:numId w:val="52"/>
        </w:numPr>
        <w:tabs>
          <w:tab w:pos="679" w:val="left" w:leader="none"/>
        </w:tabs>
        <w:spacing w:line="266" w:lineRule="auto" w:before="0" w:after="0"/>
        <w:ind w:left="679" w:right="1077" w:hanging="360"/>
        <w:jc w:val="both"/>
        <w:rPr>
          <w:sz w:val="22"/>
        </w:rPr>
      </w:pPr>
      <w:r>
        <w:rPr>
          <w:sz w:val="22"/>
        </w:rPr>
        <w:t>Positions</w:t>
      </w:r>
      <w:r>
        <w:rPr>
          <w:spacing w:val="-5"/>
          <w:sz w:val="22"/>
        </w:rPr>
        <w:t> </w:t>
      </w:r>
      <w:r>
        <w:rPr>
          <w:sz w:val="22"/>
        </w:rPr>
        <w:t>of</w:t>
      </w:r>
      <w:r>
        <w:rPr>
          <w:spacing w:val="-5"/>
          <w:sz w:val="22"/>
        </w:rPr>
        <w:t> </w:t>
      </w:r>
      <w:r>
        <w:rPr>
          <w:sz w:val="22"/>
        </w:rPr>
        <w:t>Adjunct</w:t>
      </w:r>
      <w:r>
        <w:rPr>
          <w:spacing w:val="-5"/>
          <w:sz w:val="22"/>
        </w:rPr>
        <w:t> </w:t>
      </w:r>
      <w:r>
        <w:rPr>
          <w:sz w:val="22"/>
        </w:rPr>
        <w:t>Faculty</w:t>
      </w:r>
      <w:r>
        <w:rPr>
          <w:spacing w:val="-5"/>
          <w:sz w:val="22"/>
        </w:rPr>
        <w:t> </w:t>
      </w:r>
      <w:r>
        <w:rPr>
          <w:sz w:val="22"/>
        </w:rPr>
        <w:t>must</w:t>
      </w:r>
      <w:r>
        <w:rPr>
          <w:spacing w:val="-5"/>
          <w:sz w:val="22"/>
        </w:rPr>
        <w:t> </w:t>
      </w:r>
      <w:r>
        <w:rPr>
          <w:sz w:val="22"/>
        </w:rPr>
        <w:t>be</w:t>
      </w:r>
      <w:r>
        <w:rPr>
          <w:spacing w:val="-5"/>
          <w:sz w:val="22"/>
        </w:rPr>
        <w:t> </w:t>
      </w:r>
      <w:r>
        <w:rPr>
          <w:sz w:val="22"/>
        </w:rPr>
        <w:t>created</w:t>
      </w:r>
      <w:r>
        <w:rPr>
          <w:spacing w:val="-5"/>
          <w:sz w:val="22"/>
        </w:rPr>
        <w:t> </w:t>
      </w:r>
      <w:r>
        <w:rPr>
          <w:sz w:val="22"/>
        </w:rPr>
        <w:t>and strengthened. People from research institutes, </w:t>
      </w:r>
      <w:r>
        <w:rPr>
          <w:spacing w:val="-2"/>
          <w:sz w:val="22"/>
        </w:rPr>
        <w:t>industry,</w:t>
      </w:r>
      <w:r>
        <w:rPr>
          <w:spacing w:val="-14"/>
          <w:sz w:val="22"/>
        </w:rPr>
        <w:t> </w:t>
      </w:r>
      <w:r>
        <w:rPr>
          <w:spacing w:val="-2"/>
          <w:sz w:val="22"/>
        </w:rPr>
        <w:t>abroad</w:t>
      </w:r>
      <w:r>
        <w:rPr>
          <w:spacing w:val="-12"/>
          <w:sz w:val="22"/>
        </w:rPr>
        <w:t> </w:t>
      </w:r>
      <w:r>
        <w:rPr>
          <w:spacing w:val="-2"/>
          <w:sz w:val="22"/>
        </w:rPr>
        <w:t>etc.</w:t>
      </w:r>
      <w:r>
        <w:rPr>
          <w:spacing w:val="-12"/>
          <w:sz w:val="22"/>
        </w:rPr>
        <w:t> </w:t>
      </w:r>
      <w:r>
        <w:rPr>
          <w:spacing w:val="-2"/>
          <w:sz w:val="22"/>
        </w:rPr>
        <w:t>should</w:t>
      </w:r>
      <w:r>
        <w:rPr>
          <w:spacing w:val="-11"/>
          <w:sz w:val="22"/>
        </w:rPr>
        <w:t> </w:t>
      </w:r>
      <w:r>
        <w:rPr>
          <w:spacing w:val="-2"/>
          <w:sz w:val="22"/>
        </w:rPr>
        <w:t>be</w:t>
      </w:r>
      <w:r>
        <w:rPr>
          <w:spacing w:val="-12"/>
          <w:sz w:val="22"/>
        </w:rPr>
        <w:t> </w:t>
      </w:r>
      <w:r>
        <w:rPr>
          <w:spacing w:val="-2"/>
          <w:sz w:val="22"/>
        </w:rPr>
        <w:t>invited</w:t>
      </w:r>
      <w:r>
        <w:rPr>
          <w:spacing w:val="-12"/>
          <w:sz w:val="22"/>
        </w:rPr>
        <w:t> </w:t>
      </w:r>
      <w:r>
        <w:rPr>
          <w:spacing w:val="-2"/>
          <w:sz w:val="22"/>
        </w:rPr>
        <w:t>to</w:t>
      </w:r>
      <w:r>
        <w:rPr>
          <w:spacing w:val="-12"/>
          <w:sz w:val="22"/>
        </w:rPr>
        <w:t> </w:t>
      </w:r>
      <w:r>
        <w:rPr>
          <w:spacing w:val="-2"/>
          <w:sz w:val="22"/>
        </w:rPr>
        <w:t>teach</w:t>
      </w:r>
      <w:r>
        <w:rPr>
          <w:spacing w:val="-11"/>
          <w:sz w:val="22"/>
        </w:rPr>
        <w:t> </w:t>
      </w:r>
      <w:r>
        <w:rPr>
          <w:spacing w:val="-2"/>
          <w:sz w:val="22"/>
        </w:rPr>
        <w:t>few </w:t>
      </w:r>
      <w:r>
        <w:rPr>
          <w:w w:val="90"/>
          <w:sz w:val="22"/>
        </w:rPr>
        <w:t>courses every semester. Services of retired professors can also be used.</w:t>
      </w:r>
      <w:r>
        <w:rPr>
          <w:spacing w:val="-9"/>
          <w:w w:val="90"/>
          <w:sz w:val="22"/>
        </w:rPr>
        <w:t> </w:t>
      </w:r>
      <w:r>
        <w:rPr>
          <w:w w:val="90"/>
          <w:sz w:val="22"/>
        </w:rPr>
        <w:t>This will also bring in much needed </w:t>
      </w:r>
      <w:r>
        <w:rPr>
          <w:sz w:val="22"/>
        </w:rPr>
        <w:t>fresh inputs from outside into the university.</w:t>
      </w:r>
    </w:p>
    <w:p>
      <w:pPr>
        <w:pStyle w:val="ListParagraph"/>
        <w:numPr>
          <w:ilvl w:val="2"/>
          <w:numId w:val="52"/>
        </w:numPr>
        <w:tabs>
          <w:tab w:pos="679" w:val="left" w:leader="none"/>
        </w:tabs>
        <w:spacing w:line="266" w:lineRule="auto" w:before="0" w:after="0"/>
        <w:ind w:left="679" w:right="1077" w:hanging="360"/>
        <w:jc w:val="both"/>
        <w:rPr>
          <w:sz w:val="22"/>
        </w:rPr>
      </w:pPr>
      <w:r>
        <w:rPr>
          <w:sz w:val="22"/>
        </w:rPr>
        <w:t>PDFs and Ph.D students should be </w:t>
      </w:r>
      <w:r>
        <w:rPr>
          <w:sz w:val="22"/>
        </w:rPr>
        <w:t>effectively utilised in teaching or teaching assistantships. </w:t>
      </w:r>
      <w:r>
        <w:rPr>
          <w:spacing w:val="-4"/>
          <w:sz w:val="22"/>
        </w:rPr>
        <w:t>Specially,</w:t>
      </w:r>
      <w:r>
        <w:rPr>
          <w:spacing w:val="-10"/>
          <w:sz w:val="22"/>
        </w:rPr>
        <w:t> </w:t>
      </w:r>
      <w:r>
        <w:rPr>
          <w:spacing w:val="-4"/>
          <w:sz w:val="22"/>
        </w:rPr>
        <w:t>bright</w:t>
      </w:r>
      <w:r>
        <w:rPr>
          <w:spacing w:val="-10"/>
          <w:sz w:val="22"/>
        </w:rPr>
        <w:t> </w:t>
      </w:r>
      <w:r>
        <w:rPr>
          <w:spacing w:val="-4"/>
          <w:sz w:val="22"/>
        </w:rPr>
        <w:t>students</w:t>
      </w:r>
      <w:r>
        <w:rPr>
          <w:spacing w:val="-10"/>
          <w:sz w:val="22"/>
        </w:rPr>
        <w:t> </w:t>
      </w:r>
      <w:r>
        <w:rPr>
          <w:spacing w:val="-4"/>
          <w:sz w:val="22"/>
        </w:rPr>
        <w:t>should</w:t>
      </w:r>
      <w:r>
        <w:rPr>
          <w:spacing w:val="-9"/>
          <w:sz w:val="22"/>
        </w:rPr>
        <w:t> </w:t>
      </w:r>
      <w:r>
        <w:rPr>
          <w:spacing w:val="-4"/>
          <w:sz w:val="22"/>
        </w:rPr>
        <w:t>be</w:t>
      </w:r>
      <w:r>
        <w:rPr>
          <w:spacing w:val="-10"/>
          <w:sz w:val="22"/>
        </w:rPr>
        <w:t> </w:t>
      </w:r>
      <w:r>
        <w:rPr>
          <w:spacing w:val="-4"/>
          <w:sz w:val="22"/>
        </w:rPr>
        <w:t>allowed</w:t>
      </w:r>
      <w:r>
        <w:rPr>
          <w:spacing w:val="-10"/>
          <w:sz w:val="22"/>
        </w:rPr>
        <w:t> </w:t>
      </w:r>
      <w:r>
        <w:rPr>
          <w:spacing w:val="-4"/>
          <w:sz w:val="22"/>
        </w:rPr>
        <w:t>as</w:t>
      </w:r>
      <w:r>
        <w:rPr>
          <w:spacing w:val="-10"/>
          <w:sz w:val="22"/>
        </w:rPr>
        <w:t> </w:t>
      </w:r>
      <w:r>
        <w:rPr>
          <w:spacing w:val="-4"/>
          <w:sz w:val="22"/>
        </w:rPr>
        <w:t>well </w:t>
      </w:r>
      <w:r>
        <w:rPr>
          <w:sz w:val="22"/>
        </w:rPr>
        <w:t>as</w:t>
      </w:r>
      <w:r>
        <w:rPr>
          <w:spacing w:val="-2"/>
          <w:sz w:val="22"/>
        </w:rPr>
        <w:t> </w:t>
      </w:r>
      <w:r>
        <w:rPr>
          <w:sz w:val="22"/>
        </w:rPr>
        <w:t>encouraged</w:t>
      </w:r>
      <w:r>
        <w:rPr>
          <w:spacing w:val="-2"/>
          <w:sz w:val="22"/>
        </w:rPr>
        <w:t> </w:t>
      </w:r>
      <w:r>
        <w:rPr>
          <w:sz w:val="22"/>
        </w:rPr>
        <w:t>to</w:t>
      </w:r>
      <w:r>
        <w:rPr>
          <w:spacing w:val="-2"/>
          <w:sz w:val="22"/>
        </w:rPr>
        <w:t> </w:t>
      </w:r>
      <w:r>
        <w:rPr>
          <w:sz w:val="22"/>
        </w:rPr>
        <w:t>teach</w:t>
      </w:r>
      <w:r>
        <w:rPr>
          <w:spacing w:val="-2"/>
          <w:sz w:val="22"/>
        </w:rPr>
        <w:t> </w:t>
      </w:r>
      <w:r>
        <w:rPr>
          <w:sz w:val="22"/>
        </w:rPr>
        <w:t>junior</w:t>
      </w:r>
      <w:r>
        <w:rPr>
          <w:spacing w:val="-2"/>
          <w:sz w:val="22"/>
        </w:rPr>
        <w:t> </w:t>
      </w:r>
      <w:r>
        <w:rPr>
          <w:sz w:val="22"/>
        </w:rPr>
        <w:t>classes.</w:t>
      </w:r>
    </w:p>
    <w:p>
      <w:pPr>
        <w:pStyle w:val="ListParagraph"/>
        <w:numPr>
          <w:ilvl w:val="2"/>
          <w:numId w:val="52"/>
        </w:numPr>
        <w:tabs>
          <w:tab w:pos="679" w:val="left" w:leader="none"/>
        </w:tabs>
        <w:spacing w:line="266" w:lineRule="auto" w:before="0" w:after="0"/>
        <w:ind w:left="679" w:right="1077" w:hanging="360"/>
        <w:jc w:val="both"/>
        <w:rPr>
          <w:sz w:val="22"/>
        </w:rPr>
      </w:pPr>
      <w:r>
        <w:rPr>
          <w:sz w:val="22"/>
        </w:rPr>
        <w:t>ICT should be used extensively for </w:t>
      </w:r>
      <w:r>
        <w:rPr>
          <w:sz w:val="22"/>
        </w:rPr>
        <w:t>teaching wherever appropriate. This will give access to quality</w:t>
      </w:r>
      <w:r>
        <w:rPr>
          <w:spacing w:val="-3"/>
          <w:sz w:val="22"/>
        </w:rPr>
        <w:t> </w:t>
      </w:r>
      <w:r>
        <w:rPr>
          <w:sz w:val="22"/>
        </w:rPr>
        <w:t>educational</w:t>
      </w:r>
      <w:r>
        <w:rPr>
          <w:spacing w:val="-3"/>
          <w:sz w:val="22"/>
        </w:rPr>
        <w:t> </w:t>
      </w:r>
      <w:r>
        <w:rPr>
          <w:sz w:val="22"/>
        </w:rPr>
        <w:t>material</w:t>
      </w:r>
      <w:r>
        <w:rPr>
          <w:spacing w:val="-3"/>
          <w:sz w:val="22"/>
        </w:rPr>
        <w:t> </w:t>
      </w:r>
      <w:r>
        <w:rPr>
          <w:sz w:val="22"/>
        </w:rPr>
        <w:t>to</w:t>
      </w:r>
      <w:r>
        <w:rPr>
          <w:spacing w:val="-3"/>
          <w:sz w:val="22"/>
        </w:rPr>
        <w:t> </w:t>
      </w:r>
      <w:r>
        <w:rPr>
          <w:sz w:val="22"/>
        </w:rPr>
        <w:t>a</w:t>
      </w:r>
      <w:r>
        <w:rPr>
          <w:spacing w:val="-3"/>
          <w:sz w:val="22"/>
        </w:rPr>
        <w:t> </w:t>
      </w:r>
      <w:r>
        <w:rPr>
          <w:sz w:val="22"/>
        </w:rPr>
        <w:t>larger</w:t>
      </w:r>
      <w:r>
        <w:rPr>
          <w:spacing w:val="-3"/>
          <w:sz w:val="22"/>
        </w:rPr>
        <w:t> </w:t>
      </w:r>
      <w:r>
        <w:rPr>
          <w:sz w:val="22"/>
        </w:rPr>
        <w:t>section</w:t>
      </w:r>
      <w:r>
        <w:rPr>
          <w:spacing w:val="-3"/>
          <w:sz w:val="22"/>
        </w:rPr>
        <w:t> </w:t>
      </w:r>
      <w:r>
        <w:rPr>
          <w:sz w:val="22"/>
        </w:rPr>
        <w:t>of the student community.</w:t>
      </w:r>
    </w:p>
    <w:p>
      <w:pPr>
        <w:pStyle w:val="ListParagraph"/>
        <w:numPr>
          <w:ilvl w:val="2"/>
          <w:numId w:val="52"/>
        </w:numPr>
        <w:tabs>
          <w:tab w:pos="679" w:val="left" w:leader="none"/>
        </w:tabs>
        <w:spacing w:line="266" w:lineRule="auto" w:before="0" w:after="0"/>
        <w:ind w:left="679" w:right="1077" w:hanging="360"/>
        <w:jc w:val="both"/>
        <w:rPr>
          <w:sz w:val="22"/>
        </w:rPr>
      </w:pPr>
      <w:r>
        <w:rPr>
          <w:spacing w:val="-2"/>
          <w:sz w:val="22"/>
        </w:rPr>
        <w:t>Issues</w:t>
      </w:r>
      <w:r>
        <w:rPr>
          <w:spacing w:val="-7"/>
          <w:sz w:val="22"/>
        </w:rPr>
        <w:t> </w:t>
      </w:r>
      <w:r>
        <w:rPr>
          <w:spacing w:val="-2"/>
          <w:sz w:val="22"/>
        </w:rPr>
        <w:t>regarding</w:t>
      </w:r>
      <w:r>
        <w:rPr>
          <w:spacing w:val="-7"/>
          <w:sz w:val="22"/>
        </w:rPr>
        <w:t> </w:t>
      </w:r>
      <w:r>
        <w:rPr>
          <w:spacing w:val="-2"/>
          <w:sz w:val="22"/>
        </w:rPr>
        <w:t>new</w:t>
      </w:r>
      <w:r>
        <w:rPr>
          <w:spacing w:val="-7"/>
          <w:sz w:val="22"/>
        </w:rPr>
        <w:t> </w:t>
      </w:r>
      <w:r>
        <w:rPr>
          <w:spacing w:val="-2"/>
          <w:sz w:val="22"/>
        </w:rPr>
        <w:t>recruitment</w:t>
      </w:r>
      <w:r>
        <w:rPr>
          <w:spacing w:val="-7"/>
          <w:sz w:val="22"/>
        </w:rPr>
        <w:t> </w:t>
      </w:r>
      <w:r>
        <w:rPr>
          <w:spacing w:val="-2"/>
          <w:sz w:val="22"/>
        </w:rPr>
        <w:t>should</w:t>
      </w:r>
      <w:r>
        <w:rPr>
          <w:spacing w:val="-7"/>
          <w:sz w:val="22"/>
        </w:rPr>
        <w:t> </w:t>
      </w:r>
      <w:r>
        <w:rPr>
          <w:spacing w:val="-2"/>
          <w:sz w:val="22"/>
        </w:rPr>
        <w:t>be</w:t>
      </w:r>
      <w:r>
        <w:rPr>
          <w:spacing w:val="-7"/>
          <w:sz w:val="22"/>
        </w:rPr>
        <w:t> </w:t>
      </w:r>
      <w:r>
        <w:rPr>
          <w:spacing w:val="-2"/>
          <w:sz w:val="22"/>
        </w:rPr>
        <w:t>sorted </w:t>
      </w:r>
      <w:r>
        <w:rPr>
          <w:sz w:val="22"/>
        </w:rPr>
        <w:t>out and new appointments should be made </w:t>
      </w:r>
      <w:r>
        <w:rPr>
          <w:sz w:val="22"/>
        </w:rPr>
        <w:t>as soon</w:t>
      </w:r>
      <w:r>
        <w:rPr>
          <w:spacing w:val="-9"/>
          <w:sz w:val="22"/>
        </w:rPr>
        <w:t> </w:t>
      </w:r>
      <w:r>
        <w:rPr>
          <w:sz w:val="22"/>
        </w:rPr>
        <w:t>as</w:t>
      </w:r>
      <w:r>
        <w:rPr>
          <w:spacing w:val="-9"/>
          <w:sz w:val="22"/>
        </w:rPr>
        <w:t> </w:t>
      </w:r>
      <w:r>
        <w:rPr>
          <w:sz w:val="22"/>
        </w:rPr>
        <w:t>possible.</w:t>
      </w:r>
      <w:r>
        <w:rPr>
          <w:spacing w:val="-9"/>
          <w:sz w:val="22"/>
        </w:rPr>
        <w:t> </w:t>
      </w:r>
      <w:r>
        <w:rPr>
          <w:sz w:val="22"/>
        </w:rPr>
        <w:t>Adequate</w:t>
      </w:r>
      <w:r>
        <w:rPr>
          <w:spacing w:val="-9"/>
          <w:sz w:val="22"/>
        </w:rPr>
        <w:t> </w:t>
      </w:r>
      <w:r>
        <w:rPr>
          <w:sz w:val="22"/>
        </w:rPr>
        <w:t>facilities</w:t>
      </w:r>
      <w:r>
        <w:rPr>
          <w:spacing w:val="-9"/>
          <w:sz w:val="22"/>
        </w:rPr>
        <w:t> </w:t>
      </w:r>
      <w:r>
        <w:rPr>
          <w:sz w:val="22"/>
        </w:rPr>
        <w:t>for</w:t>
      </w:r>
      <w:r>
        <w:rPr>
          <w:spacing w:val="-9"/>
          <w:sz w:val="22"/>
        </w:rPr>
        <w:t> </w:t>
      </w:r>
      <w:r>
        <w:rPr>
          <w:sz w:val="22"/>
        </w:rPr>
        <w:t>research, </w:t>
      </w:r>
      <w:r>
        <w:rPr>
          <w:spacing w:val="-2"/>
          <w:sz w:val="22"/>
        </w:rPr>
        <w:t>seed</w:t>
      </w:r>
      <w:r>
        <w:rPr>
          <w:spacing w:val="-8"/>
          <w:sz w:val="22"/>
        </w:rPr>
        <w:t> </w:t>
      </w:r>
      <w:r>
        <w:rPr>
          <w:spacing w:val="-2"/>
          <w:sz w:val="22"/>
        </w:rPr>
        <w:t>money,</w:t>
      </w:r>
      <w:r>
        <w:rPr>
          <w:spacing w:val="-8"/>
          <w:sz w:val="22"/>
        </w:rPr>
        <w:t> </w:t>
      </w:r>
      <w:r>
        <w:rPr>
          <w:spacing w:val="-2"/>
          <w:sz w:val="22"/>
        </w:rPr>
        <w:t>housing</w:t>
      </w:r>
      <w:r>
        <w:rPr>
          <w:spacing w:val="-8"/>
          <w:sz w:val="22"/>
        </w:rPr>
        <w:t> </w:t>
      </w:r>
      <w:r>
        <w:rPr>
          <w:spacing w:val="-2"/>
          <w:sz w:val="22"/>
        </w:rPr>
        <w:t>and</w:t>
      </w:r>
      <w:r>
        <w:rPr>
          <w:spacing w:val="-8"/>
          <w:sz w:val="22"/>
        </w:rPr>
        <w:t> </w:t>
      </w:r>
      <w:r>
        <w:rPr>
          <w:spacing w:val="-2"/>
          <w:sz w:val="22"/>
        </w:rPr>
        <w:t>incentives</w:t>
      </w:r>
      <w:r>
        <w:rPr>
          <w:spacing w:val="-8"/>
          <w:sz w:val="22"/>
        </w:rPr>
        <w:t> </w:t>
      </w:r>
      <w:r>
        <w:rPr>
          <w:spacing w:val="-2"/>
          <w:sz w:val="22"/>
        </w:rPr>
        <w:t>for</w:t>
      </w:r>
      <w:r>
        <w:rPr>
          <w:spacing w:val="-8"/>
          <w:sz w:val="22"/>
        </w:rPr>
        <w:t> </w:t>
      </w:r>
      <w:r>
        <w:rPr>
          <w:spacing w:val="-2"/>
          <w:sz w:val="22"/>
        </w:rPr>
        <w:t>sponsored </w:t>
      </w:r>
      <w:r>
        <w:rPr>
          <w:sz w:val="22"/>
        </w:rPr>
        <w:t>research</w:t>
      </w:r>
      <w:r>
        <w:rPr>
          <w:spacing w:val="-7"/>
          <w:sz w:val="22"/>
        </w:rPr>
        <w:t> </w:t>
      </w:r>
      <w:r>
        <w:rPr>
          <w:sz w:val="22"/>
        </w:rPr>
        <w:t>should</w:t>
      </w:r>
      <w:r>
        <w:rPr>
          <w:spacing w:val="-7"/>
          <w:sz w:val="22"/>
        </w:rPr>
        <w:t> </w:t>
      </w:r>
      <w:r>
        <w:rPr>
          <w:sz w:val="22"/>
        </w:rPr>
        <w:t>be</w:t>
      </w:r>
      <w:r>
        <w:rPr>
          <w:spacing w:val="-7"/>
          <w:sz w:val="22"/>
        </w:rPr>
        <w:t> </w:t>
      </w:r>
      <w:r>
        <w:rPr>
          <w:sz w:val="22"/>
        </w:rPr>
        <w:t>offered</w:t>
      </w:r>
      <w:r>
        <w:rPr>
          <w:spacing w:val="-7"/>
          <w:sz w:val="22"/>
        </w:rPr>
        <w:t> </w:t>
      </w:r>
      <w:r>
        <w:rPr>
          <w:sz w:val="22"/>
        </w:rPr>
        <w:t>to</w:t>
      </w:r>
      <w:r>
        <w:rPr>
          <w:spacing w:val="-7"/>
          <w:sz w:val="22"/>
        </w:rPr>
        <w:t> </w:t>
      </w:r>
      <w:r>
        <w:rPr>
          <w:sz w:val="22"/>
        </w:rPr>
        <w:t>attract</w:t>
      </w:r>
      <w:r>
        <w:rPr>
          <w:spacing w:val="-7"/>
          <w:sz w:val="22"/>
        </w:rPr>
        <w:t> </w:t>
      </w:r>
      <w:r>
        <w:rPr>
          <w:sz w:val="22"/>
        </w:rPr>
        <w:t>new</w:t>
      </w:r>
      <w:r>
        <w:rPr>
          <w:spacing w:val="-7"/>
          <w:sz w:val="22"/>
        </w:rPr>
        <w:t> </w:t>
      </w:r>
      <w:r>
        <w:rPr>
          <w:sz w:val="22"/>
        </w:rPr>
        <w:t>faculty.</w:t>
      </w:r>
    </w:p>
    <w:p>
      <w:pPr>
        <w:pStyle w:val="BodyText"/>
        <w:spacing w:before="4"/>
      </w:pPr>
    </w:p>
    <w:p>
      <w:pPr>
        <w:pStyle w:val="ListParagraph"/>
        <w:numPr>
          <w:ilvl w:val="1"/>
          <w:numId w:val="52"/>
        </w:numPr>
        <w:tabs>
          <w:tab w:pos="699" w:val="left" w:leader="none"/>
        </w:tabs>
        <w:spacing w:line="266" w:lineRule="auto" w:before="0" w:after="0"/>
        <w:ind w:left="319" w:right="1077" w:firstLine="0"/>
        <w:jc w:val="both"/>
        <w:rPr>
          <w:sz w:val="22"/>
        </w:rPr>
      </w:pPr>
      <w:r>
        <w:rPr>
          <w:b/>
          <w:spacing w:val="-2"/>
          <w:sz w:val="22"/>
        </w:rPr>
        <w:t>Data</w:t>
      </w:r>
      <w:r>
        <w:rPr>
          <w:b/>
          <w:spacing w:val="-5"/>
          <w:sz w:val="22"/>
        </w:rPr>
        <w:t> </w:t>
      </w:r>
      <w:r>
        <w:rPr>
          <w:b/>
          <w:spacing w:val="-2"/>
          <w:sz w:val="22"/>
        </w:rPr>
        <w:t>collection,</w:t>
      </w:r>
      <w:r>
        <w:rPr>
          <w:b/>
          <w:spacing w:val="-5"/>
          <w:sz w:val="22"/>
        </w:rPr>
        <w:t> </w:t>
      </w:r>
      <w:r>
        <w:rPr>
          <w:b/>
          <w:spacing w:val="-2"/>
          <w:sz w:val="22"/>
        </w:rPr>
        <w:t>organisation</w:t>
      </w:r>
      <w:r>
        <w:rPr>
          <w:b/>
          <w:spacing w:val="-5"/>
          <w:sz w:val="22"/>
        </w:rPr>
        <w:t> </w:t>
      </w:r>
      <w:r>
        <w:rPr>
          <w:b/>
          <w:spacing w:val="-2"/>
          <w:sz w:val="22"/>
        </w:rPr>
        <w:t>and</w:t>
      </w:r>
      <w:r>
        <w:rPr>
          <w:b/>
          <w:spacing w:val="-5"/>
          <w:sz w:val="22"/>
        </w:rPr>
        <w:t> </w:t>
      </w:r>
      <w:r>
        <w:rPr>
          <w:b/>
          <w:spacing w:val="-2"/>
          <w:sz w:val="22"/>
        </w:rPr>
        <w:t>access:</w:t>
      </w:r>
      <w:r>
        <w:rPr>
          <w:b/>
          <w:spacing w:val="-8"/>
          <w:sz w:val="22"/>
        </w:rPr>
        <w:t> </w:t>
      </w:r>
      <w:r>
        <w:rPr>
          <w:spacing w:val="-2"/>
          <w:sz w:val="22"/>
        </w:rPr>
        <w:t>While </w:t>
      </w:r>
      <w:r>
        <w:rPr>
          <w:spacing w:val="-4"/>
          <w:sz w:val="22"/>
        </w:rPr>
        <w:t>there</w:t>
      </w:r>
      <w:r>
        <w:rPr>
          <w:spacing w:val="-6"/>
          <w:sz w:val="22"/>
        </w:rPr>
        <w:t> </w:t>
      </w:r>
      <w:r>
        <w:rPr>
          <w:spacing w:val="-4"/>
          <w:sz w:val="22"/>
        </w:rPr>
        <w:t>are</w:t>
      </w:r>
      <w:r>
        <w:rPr>
          <w:spacing w:val="-6"/>
          <w:sz w:val="22"/>
        </w:rPr>
        <w:t> </w:t>
      </w:r>
      <w:r>
        <w:rPr>
          <w:spacing w:val="-4"/>
          <w:sz w:val="22"/>
        </w:rPr>
        <w:t>numerous</w:t>
      </w:r>
      <w:r>
        <w:rPr>
          <w:spacing w:val="-6"/>
          <w:sz w:val="22"/>
        </w:rPr>
        <w:t> </w:t>
      </w:r>
      <w:r>
        <w:rPr>
          <w:spacing w:val="-4"/>
          <w:sz w:val="22"/>
        </w:rPr>
        <w:t>agencies</w:t>
      </w:r>
      <w:r>
        <w:rPr>
          <w:spacing w:val="-6"/>
          <w:sz w:val="22"/>
        </w:rPr>
        <w:t> </w:t>
      </w:r>
      <w:r>
        <w:rPr>
          <w:spacing w:val="-4"/>
          <w:sz w:val="22"/>
        </w:rPr>
        <w:t>involved</w:t>
      </w:r>
      <w:r>
        <w:rPr>
          <w:spacing w:val="-6"/>
          <w:sz w:val="22"/>
        </w:rPr>
        <w:t> </w:t>
      </w:r>
      <w:r>
        <w:rPr>
          <w:spacing w:val="-4"/>
          <w:sz w:val="22"/>
        </w:rPr>
        <w:t>in</w:t>
      </w:r>
      <w:r>
        <w:rPr>
          <w:spacing w:val="-6"/>
          <w:sz w:val="22"/>
        </w:rPr>
        <w:t> </w:t>
      </w:r>
      <w:r>
        <w:rPr>
          <w:spacing w:val="-4"/>
          <w:sz w:val="22"/>
        </w:rPr>
        <w:t>data</w:t>
      </w:r>
      <w:r>
        <w:rPr>
          <w:spacing w:val="-6"/>
          <w:sz w:val="22"/>
        </w:rPr>
        <w:t> </w:t>
      </w:r>
      <w:r>
        <w:rPr>
          <w:spacing w:val="-4"/>
          <w:sz w:val="22"/>
        </w:rPr>
        <w:t>collection </w:t>
      </w:r>
      <w:r>
        <w:rPr>
          <w:sz w:val="22"/>
        </w:rPr>
        <w:t>related</w:t>
      </w:r>
      <w:r>
        <w:rPr>
          <w:spacing w:val="15"/>
          <w:sz w:val="22"/>
        </w:rPr>
        <w:t> </w:t>
      </w:r>
      <w:r>
        <w:rPr>
          <w:sz w:val="22"/>
        </w:rPr>
        <w:t>to</w:t>
      </w:r>
      <w:r>
        <w:rPr>
          <w:spacing w:val="15"/>
          <w:sz w:val="22"/>
        </w:rPr>
        <w:t> </w:t>
      </w:r>
      <w:r>
        <w:rPr>
          <w:sz w:val="22"/>
        </w:rPr>
        <w:t>different</w:t>
      </w:r>
      <w:r>
        <w:rPr>
          <w:spacing w:val="15"/>
          <w:sz w:val="22"/>
        </w:rPr>
        <w:t> </w:t>
      </w:r>
      <w:r>
        <w:rPr>
          <w:sz w:val="22"/>
        </w:rPr>
        <w:t>aspects</w:t>
      </w:r>
      <w:r>
        <w:rPr>
          <w:spacing w:val="15"/>
          <w:sz w:val="22"/>
        </w:rPr>
        <w:t> </w:t>
      </w:r>
      <w:r>
        <w:rPr>
          <w:sz w:val="22"/>
        </w:rPr>
        <w:t>of</w:t>
      </w:r>
      <w:r>
        <w:rPr>
          <w:spacing w:val="15"/>
          <w:sz w:val="22"/>
        </w:rPr>
        <w:t> </w:t>
      </w:r>
      <w:r>
        <w:rPr>
          <w:sz w:val="22"/>
        </w:rPr>
        <w:t>Higher</w:t>
      </w:r>
      <w:r>
        <w:rPr>
          <w:spacing w:val="15"/>
          <w:sz w:val="22"/>
        </w:rPr>
        <w:t> </w:t>
      </w:r>
      <w:r>
        <w:rPr>
          <w:sz w:val="22"/>
        </w:rPr>
        <w:t>Education</w:t>
      </w:r>
      <w:r>
        <w:rPr>
          <w:spacing w:val="15"/>
          <w:sz w:val="22"/>
        </w:rPr>
        <w:t> </w:t>
      </w:r>
      <w:r>
        <w:rPr>
          <w:sz w:val="22"/>
        </w:rPr>
        <w:t>and</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080"/>
        <w:jc w:val="both"/>
      </w:pPr>
      <w:r>
        <w:rPr/>
        <w:t>Research,</w:t>
      </w:r>
      <w:r>
        <w:rPr>
          <w:spacing w:val="-14"/>
        </w:rPr>
        <w:t> </w:t>
      </w:r>
      <w:r>
        <w:rPr/>
        <w:t>the</w:t>
      </w:r>
      <w:r>
        <w:rPr>
          <w:spacing w:val="-14"/>
        </w:rPr>
        <w:t> </w:t>
      </w:r>
      <w:r>
        <w:rPr/>
        <w:t>organisation</w:t>
      </w:r>
      <w:r>
        <w:rPr>
          <w:spacing w:val="-14"/>
        </w:rPr>
        <w:t> </w:t>
      </w:r>
      <w:r>
        <w:rPr/>
        <w:t>of,</w:t>
      </w:r>
      <w:r>
        <w:rPr>
          <w:spacing w:val="-13"/>
        </w:rPr>
        <w:t> </w:t>
      </w:r>
      <w:r>
        <w:rPr/>
        <w:t>and</w:t>
      </w:r>
      <w:r>
        <w:rPr>
          <w:spacing w:val="-14"/>
        </w:rPr>
        <w:t> </w:t>
      </w:r>
      <w:r>
        <w:rPr/>
        <w:t>access</w:t>
      </w:r>
      <w:r>
        <w:rPr>
          <w:spacing w:val="-14"/>
        </w:rPr>
        <w:t> </w:t>
      </w:r>
      <w:r>
        <w:rPr/>
        <w:t>to</w:t>
      </w:r>
      <w:r>
        <w:rPr>
          <w:spacing w:val="-14"/>
        </w:rPr>
        <w:t> </w:t>
      </w:r>
      <w:r>
        <w:rPr/>
        <w:t>these</w:t>
      </w:r>
      <w:r>
        <w:rPr>
          <w:spacing w:val="-13"/>
        </w:rPr>
        <w:t> </w:t>
      </w:r>
      <w:r>
        <w:rPr/>
        <w:t>data </w:t>
      </w:r>
      <w:r>
        <w:rPr>
          <w:spacing w:val="-6"/>
        </w:rPr>
        <w:t>remain</w:t>
      </w:r>
      <w:r>
        <w:rPr>
          <w:spacing w:val="-8"/>
        </w:rPr>
        <w:t> </w:t>
      </w:r>
      <w:r>
        <w:rPr>
          <w:spacing w:val="-6"/>
        </w:rPr>
        <w:t>largely</w:t>
      </w:r>
      <w:r>
        <w:rPr>
          <w:spacing w:val="-8"/>
        </w:rPr>
        <w:t> </w:t>
      </w:r>
      <w:r>
        <w:rPr>
          <w:spacing w:val="-6"/>
        </w:rPr>
        <w:t>nebulous</w:t>
      </w:r>
      <w:r>
        <w:rPr>
          <w:spacing w:val="-8"/>
        </w:rPr>
        <w:t> </w:t>
      </w:r>
      <w:r>
        <w:rPr>
          <w:spacing w:val="-6"/>
        </w:rPr>
        <w:t>and</w:t>
      </w:r>
      <w:r>
        <w:rPr>
          <w:spacing w:val="-7"/>
        </w:rPr>
        <w:t> </w:t>
      </w:r>
      <w:r>
        <w:rPr>
          <w:spacing w:val="-6"/>
        </w:rPr>
        <w:t>inaccessible.</w:t>
      </w:r>
      <w:r>
        <w:rPr>
          <w:spacing w:val="-8"/>
        </w:rPr>
        <w:t> </w:t>
      </w:r>
      <w:r>
        <w:rPr>
          <w:spacing w:val="-6"/>
        </w:rPr>
        <w:t>This</w:t>
      </w:r>
      <w:r>
        <w:rPr>
          <w:spacing w:val="-8"/>
        </w:rPr>
        <w:t> </w:t>
      </w:r>
      <w:r>
        <w:rPr>
          <w:spacing w:val="-6"/>
        </w:rPr>
        <w:t>should</w:t>
      </w:r>
      <w:r>
        <w:rPr>
          <w:spacing w:val="-8"/>
        </w:rPr>
        <w:t> </w:t>
      </w:r>
      <w:r>
        <w:rPr>
          <w:spacing w:val="-6"/>
        </w:rPr>
        <w:t>be </w:t>
      </w:r>
      <w:r>
        <w:rPr>
          <w:spacing w:val="-2"/>
        </w:rPr>
        <w:t>rectified.</w:t>
      </w:r>
      <w:r>
        <w:rPr>
          <w:spacing w:val="-10"/>
        </w:rPr>
        <w:t> </w:t>
      </w:r>
      <w:r>
        <w:rPr>
          <w:spacing w:val="-2"/>
        </w:rPr>
        <w:t>It</w:t>
      </w:r>
      <w:r>
        <w:rPr>
          <w:spacing w:val="-10"/>
        </w:rPr>
        <w:t> </w:t>
      </w:r>
      <w:r>
        <w:rPr>
          <w:spacing w:val="-2"/>
        </w:rPr>
        <w:t>is</w:t>
      </w:r>
      <w:r>
        <w:rPr>
          <w:spacing w:val="-10"/>
        </w:rPr>
        <w:t> </w:t>
      </w:r>
      <w:r>
        <w:rPr>
          <w:spacing w:val="-2"/>
        </w:rPr>
        <w:t>important</w:t>
      </w:r>
      <w:r>
        <w:rPr>
          <w:spacing w:val="-10"/>
        </w:rPr>
        <w:t> </w:t>
      </w:r>
      <w:r>
        <w:rPr>
          <w:spacing w:val="-2"/>
        </w:rPr>
        <w:t>to</w:t>
      </w:r>
      <w:r>
        <w:rPr>
          <w:spacing w:val="-10"/>
        </w:rPr>
        <w:t> </w:t>
      </w:r>
      <w:r>
        <w:rPr>
          <w:spacing w:val="-2"/>
        </w:rPr>
        <w:t>recognise</w:t>
      </w:r>
      <w:r>
        <w:rPr>
          <w:spacing w:val="-10"/>
        </w:rPr>
        <w:t> </w:t>
      </w:r>
      <w:r>
        <w:rPr>
          <w:spacing w:val="-2"/>
        </w:rPr>
        <w:t>that</w:t>
      </w:r>
      <w:r>
        <w:rPr>
          <w:spacing w:val="-10"/>
        </w:rPr>
        <w:t> </w:t>
      </w:r>
      <w:r>
        <w:rPr>
          <w:spacing w:val="-2"/>
        </w:rPr>
        <w:t>such</w:t>
      </w:r>
      <w:r>
        <w:rPr>
          <w:spacing w:val="-10"/>
        </w:rPr>
        <w:t> </w:t>
      </w:r>
      <w:r>
        <w:rPr>
          <w:spacing w:val="-2"/>
        </w:rPr>
        <w:t>data</w:t>
      </w:r>
      <w:r>
        <w:rPr>
          <w:spacing w:val="-10"/>
        </w:rPr>
        <w:t> </w:t>
      </w:r>
      <w:r>
        <w:rPr>
          <w:spacing w:val="-2"/>
        </w:rPr>
        <w:t>can </w:t>
      </w:r>
      <w:r>
        <w:rPr/>
        <w:t>play</w:t>
      </w:r>
      <w:r>
        <w:rPr>
          <w:spacing w:val="-10"/>
        </w:rPr>
        <w:t> </w:t>
      </w:r>
      <w:r>
        <w:rPr/>
        <w:t>a</w:t>
      </w:r>
      <w:r>
        <w:rPr>
          <w:spacing w:val="-10"/>
        </w:rPr>
        <w:t> </w:t>
      </w:r>
      <w:r>
        <w:rPr/>
        <w:t>vital</w:t>
      </w:r>
      <w:r>
        <w:rPr>
          <w:spacing w:val="-10"/>
        </w:rPr>
        <w:t> </w:t>
      </w:r>
      <w:r>
        <w:rPr/>
        <w:t>role</w:t>
      </w:r>
      <w:r>
        <w:rPr>
          <w:spacing w:val="-10"/>
        </w:rPr>
        <w:t> </w:t>
      </w:r>
      <w:r>
        <w:rPr/>
        <w:t>in</w:t>
      </w:r>
      <w:r>
        <w:rPr>
          <w:spacing w:val="-10"/>
        </w:rPr>
        <w:t> </w:t>
      </w:r>
      <w:r>
        <w:rPr/>
        <w:t>policy</w:t>
      </w:r>
      <w:r>
        <w:rPr>
          <w:spacing w:val="-10"/>
        </w:rPr>
        <w:t> </w:t>
      </w:r>
      <w:r>
        <w:rPr/>
        <w:t>issues,</w:t>
      </w:r>
      <w:r>
        <w:rPr>
          <w:spacing w:val="-10"/>
        </w:rPr>
        <w:t> </w:t>
      </w:r>
      <w:r>
        <w:rPr/>
        <w:t>funding,</w:t>
      </w:r>
      <w:r>
        <w:rPr>
          <w:spacing w:val="-10"/>
        </w:rPr>
        <w:t> </w:t>
      </w:r>
      <w:r>
        <w:rPr/>
        <w:t>reforms</w:t>
      </w:r>
      <w:r>
        <w:rPr>
          <w:spacing w:val="-10"/>
        </w:rPr>
        <w:t> </w:t>
      </w:r>
      <w:r>
        <w:rPr/>
        <w:t>etc. </w:t>
      </w:r>
      <w:r>
        <w:rPr>
          <w:spacing w:val="-2"/>
        </w:rPr>
        <w:t>Data</w:t>
      </w:r>
      <w:r>
        <w:rPr>
          <w:spacing w:val="-4"/>
        </w:rPr>
        <w:t> </w:t>
      </w:r>
      <w:r>
        <w:rPr>
          <w:spacing w:val="-2"/>
        </w:rPr>
        <w:t>collected</w:t>
      </w:r>
      <w:r>
        <w:rPr>
          <w:spacing w:val="-4"/>
        </w:rPr>
        <w:t> </w:t>
      </w:r>
      <w:r>
        <w:rPr>
          <w:spacing w:val="-2"/>
        </w:rPr>
        <w:t>should</w:t>
      </w:r>
      <w:r>
        <w:rPr>
          <w:spacing w:val="-4"/>
        </w:rPr>
        <w:t> </w:t>
      </w:r>
      <w:r>
        <w:rPr>
          <w:spacing w:val="-2"/>
        </w:rPr>
        <w:t>be</w:t>
      </w:r>
      <w:r>
        <w:rPr>
          <w:spacing w:val="-4"/>
        </w:rPr>
        <w:t> </w:t>
      </w:r>
      <w:r>
        <w:rPr>
          <w:spacing w:val="-2"/>
        </w:rPr>
        <w:t>cogently</w:t>
      </w:r>
      <w:r>
        <w:rPr>
          <w:spacing w:val="-4"/>
        </w:rPr>
        <w:t> </w:t>
      </w:r>
      <w:r>
        <w:rPr>
          <w:spacing w:val="-2"/>
        </w:rPr>
        <w:t>organised,</w:t>
      </w:r>
      <w:r>
        <w:rPr>
          <w:spacing w:val="-4"/>
        </w:rPr>
        <w:t> </w:t>
      </w:r>
      <w:r>
        <w:rPr>
          <w:spacing w:val="-2"/>
        </w:rPr>
        <w:t>analysed </w:t>
      </w:r>
      <w:r>
        <w:rPr/>
        <w:t>and</w:t>
      </w:r>
      <w:r>
        <w:rPr>
          <w:spacing w:val="-14"/>
        </w:rPr>
        <w:t> </w:t>
      </w:r>
      <w:r>
        <w:rPr/>
        <w:t>made</w:t>
      </w:r>
      <w:r>
        <w:rPr>
          <w:spacing w:val="-14"/>
        </w:rPr>
        <w:t> </w:t>
      </w:r>
      <w:r>
        <w:rPr/>
        <w:t>accessible</w:t>
      </w:r>
      <w:r>
        <w:rPr>
          <w:spacing w:val="-14"/>
        </w:rPr>
        <w:t> </w:t>
      </w:r>
      <w:r>
        <w:rPr/>
        <w:t>to</w:t>
      </w:r>
      <w:r>
        <w:rPr>
          <w:spacing w:val="-13"/>
        </w:rPr>
        <w:t> </w:t>
      </w:r>
      <w:r>
        <w:rPr/>
        <w:t>a</w:t>
      </w:r>
      <w:r>
        <w:rPr>
          <w:spacing w:val="-14"/>
        </w:rPr>
        <w:t> </w:t>
      </w:r>
      <w:r>
        <w:rPr/>
        <w:t>wide</w:t>
      </w:r>
      <w:r>
        <w:rPr>
          <w:spacing w:val="-14"/>
        </w:rPr>
        <w:t> </w:t>
      </w:r>
      <w:r>
        <w:rPr/>
        <w:t>section</w:t>
      </w:r>
      <w:r>
        <w:rPr>
          <w:spacing w:val="-14"/>
        </w:rPr>
        <w:t> </w:t>
      </w:r>
      <w:r>
        <w:rPr/>
        <w:t>of</w:t>
      </w:r>
      <w:r>
        <w:rPr>
          <w:spacing w:val="-13"/>
        </w:rPr>
        <w:t> </w:t>
      </w:r>
      <w:r>
        <w:rPr/>
        <w:t>stakeholders. </w:t>
      </w:r>
      <w:r>
        <w:rPr>
          <w:spacing w:val="-2"/>
        </w:rPr>
        <w:t>We</w:t>
      </w:r>
      <w:r>
        <w:rPr>
          <w:spacing w:val="-8"/>
        </w:rPr>
        <w:t> </w:t>
      </w:r>
      <w:r>
        <w:rPr>
          <w:spacing w:val="-2"/>
        </w:rPr>
        <w:t>also</w:t>
      </w:r>
      <w:r>
        <w:rPr>
          <w:spacing w:val="-8"/>
        </w:rPr>
        <w:t> </w:t>
      </w:r>
      <w:r>
        <w:rPr>
          <w:spacing w:val="-2"/>
        </w:rPr>
        <w:t>emphasise</w:t>
      </w:r>
      <w:r>
        <w:rPr>
          <w:spacing w:val="-8"/>
        </w:rPr>
        <w:t> </w:t>
      </w:r>
      <w:r>
        <w:rPr>
          <w:spacing w:val="-2"/>
        </w:rPr>
        <w:t>that</w:t>
      </w:r>
      <w:r>
        <w:rPr>
          <w:spacing w:val="-8"/>
        </w:rPr>
        <w:t> </w:t>
      </w:r>
      <w:r>
        <w:rPr>
          <w:spacing w:val="-2"/>
        </w:rPr>
        <w:t>there</w:t>
      </w:r>
      <w:r>
        <w:rPr>
          <w:spacing w:val="-8"/>
        </w:rPr>
        <w:t> </w:t>
      </w:r>
      <w:r>
        <w:rPr>
          <w:spacing w:val="-2"/>
        </w:rPr>
        <w:t>should</w:t>
      </w:r>
      <w:r>
        <w:rPr>
          <w:spacing w:val="-8"/>
        </w:rPr>
        <w:t> </w:t>
      </w:r>
      <w:r>
        <w:rPr>
          <w:spacing w:val="-2"/>
        </w:rPr>
        <w:t>be</w:t>
      </w:r>
      <w:r>
        <w:rPr>
          <w:spacing w:val="-8"/>
        </w:rPr>
        <w:t> </w:t>
      </w:r>
      <w:r>
        <w:rPr>
          <w:spacing w:val="-2"/>
        </w:rPr>
        <w:t>strong,</w:t>
      </w:r>
      <w:r>
        <w:rPr>
          <w:spacing w:val="-8"/>
        </w:rPr>
        <w:t> </w:t>
      </w:r>
      <w:r>
        <w:rPr>
          <w:spacing w:val="-2"/>
        </w:rPr>
        <w:t>vibrant </w:t>
      </w:r>
      <w:r>
        <w:rPr>
          <w:spacing w:val="-6"/>
        </w:rPr>
        <w:t>and</w:t>
      </w:r>
      <w:r>
        <w:rPr>
          <w:spacing w:val="-8"/>
        </w:rPr>
        <w:t> </w:t>
      </w:r>
      <w:r>
        <w:rPr>
          <w:spacing w:val="-6"/>
        </w:rPr>
        <w:t>systematic</w:t>
      </w:r>
      <w:r>
        <w:rPr>
          <w:spacing w:val="-8"/>
        </w:rPr>
        <w:t> </w:t>
      </w:r>
      <w:r>
        <w:rPr>
          <w:spacing w:val="-6"/>
        </w:rPr>
        <w:t>linkages</w:t>
      </w:r>
      <w:r>
        <w:rPr>
          <w:spacing w:val="-8"/>
        </w:rPr>
        <w:t> </w:t>
      </w:r>
      <w:r>
        <w:rPr>
          <w:spacing w:val="-6"/>
        </w:rPr>
        <w:t>in</w:t>
      </w:r>
      <w:r>
        <w:rPr>
          <w:spacing w:val="-7"/>
        </w:rPr>
        <w:t> </w:t>
      </w:r>
      <w:r>
        <w:rPr>
          <w:spacing w:val="-6"/>
        </w:rPr>
        <w:t>place</w:t>
      </w:r>
      <w:r>
        <w:rPr>
          <w:spacing w:val="-8"/>
        </w:rPr>
        <w:t> </w:t>
      </w:r>
      <w:r>
        <w:rPr>
          <w:spacing w:val="-6"/>
        </w:rPr>
        <w:t>between</w:t>
      </w:r>
      <w:r>
        <w:rPr>
          <w:spacing w:val="-8"/>
        </w:rPr>
        <w:t> </w:t>
      </w:r>
      <w:r>
        <w:rPr>
          <w:spacing w:val="-6"/>
        </w:rPr>
        <w:t>institutions</w:t>
      </w:r>
      <w:r>
        <w:rPr>
          <w:spacing w:val="-8"/>
        </w:rPr>
        <w:t> </w:t>
      </w:r>
      <w:r>
        <w:rPr>
          <w:spacing w:val="-6"/>
        </w:rPr>
        <w:t>like </w:t>
      </w:r>
      <w:r>
        <w:rPr/>
        <w:t>NISTADS,</w:t>
      </w:r>
      <w:r>
        <w:rPr>
          <w:spacing w:val="-14"/>
        </w:rPr>
        <w:t> </w:t>
      </w:r>
      <w:r>
        <w:rPr/>
        <w:t>NUEPA</w:t>
      </w:r>
      <w:r>
        <w:rPr>
          <w:spacing w:val="-14"/>
        </w:rPr>
        <w:t> </w:t>
      </w:r>
      <w:r>
        <w:rPr/>
        <w:t>and</w:t>
      </w:r>
      <w:r>
        <w:rPr>
          <w:spacing w:val="-14"/>
        </w:rPr>
        <w:t> </w:t>
      </w:r>
      <w:r>
        <w:rPr/>
        <w:t>the</w:t>
      </w:r>
      <w:r>
        <w:rPr>
          <w:spacing w:val="-13"/>
        </w:rPr>
        <w:t> </w:t>
      </w:r>
      <w:r>
        <w:rPr/>
        <w:t>actual</w:t>
      </w:r>
      <w:r>
        <w:rPr>
          <w:spacing w:val="-14"/>
        </w:rPr>
        <w:t> </w:t>
      </w:r>
      <w:r>
        <w:rPr/>
        <w:t>stakeholders</w:t>
      </w:r>
      <w:r>
        <w:rPr>
          <w:spacing w:val="-14"/>
        </w:rPr>
        <w:t> </w:t>
      </w:r>
      <w:r>
        <w:rPr/>
        <w:t>in</w:t>
      </w:r>
      <w:r>
        <w:rPr>
          <w:spacing w:val="-14"/>
        </w:rPr>
        <w:t> </w:t>
      </w:r>
      <w:r>
        <w:rPr/>
        <w:t>the system</w:t>
      </w:r>
      <w:r>
        <w:rPr>
          <w:spacing w:val="-11"/>
        </w:rPr>
        <w:t> </w:t>
      </w:r>
      <w:r>
        <w:rPr/>
        <w:t>that</w:t>
      </w:r>
      <w:r>
        <w:rPr>
          <w:spacing w:val="-11"/>
        </w:rPr>
        <w:t> </w:t>
      </w:r>
      <w:r>
        <w:rPr/>
        <w:t>these</w:t>
      </w:r>
      <w:r>
        <w:rPr>
          <w:spacing w:val="-11"/>
        </w:rPr>
        <w:t> </w:t>
      </w:r>
      <w:r>
        <w:rPr/>
        <w:t>institutions</w:t>
      </w:r>
      <w:r>
        <w:rPr>
          <w:spacing w:val="-11"/>
        </w:rPr>
        <w:t> </w:t>
      </w:r>
      <w:r>
        <w:rPr/>
        <w:t>are</w:t>
      </w:r>
      <w:r>
        <w:rPr>
          <w:spacing w:val="-11"/>
        </w:rPr>
        <w:t> </w:t>
      </w:r>
      <w:r>
        <w:rPr/>
        <w:t>supposed</w:t>
      </w:r>
      <w:r>
        <w:rPr>
          <w:spacing w:val="-11"/>
        </w:rPr>
        <w:t> </w:t>
      </w:r>
      <w:r>
        <w:rPr/>
        <w:t>to</w:t>
      </w:r>
      <w:r>
        <w:rPr>
          <w:spacing w:val="-11"/>
        </w:rPr>
        <w:t> </w:t>
      </w:r>
      <w:r>
        <w:rPr/>
        <w:t>address. Just as the modern knowledge system necessitates continuous knowledge upgradation of the academic and scientific personnel, it also necessitates that the university administration be continually exposed to best management and administration practices in the </w:t>
      </w:r>
      <w:r>
        <w:rPr>
          <w:spacing w:val="-2"/>
        </w:rPr>
        <w:t>university</w:t>
      </w:r>
      <w:r>
        <w:rPr>
          <w:spacing w:val="-14"/>
        </w:rPr>
        <w:t> </w:t>
      </w:r>
      <w:r>
        <w:rPr>
          <w:spacing w:val="-2"/>
        </w:rPr>
        <w:t>systems</w:t>
      </w:r>
      <w:r>
        <w:rPr>
          <w:spacing w:val="-12"/>
        </w:rPr>
        <w:t> </w:t>
      </w:r>
      <w:r>
        <w:rPr>
          <w:spacing w:val="-2"/>
        </w:rPr>
        <w:t>around</w:t>
      </w:r>
      <w:r>
        <w:rPr>
          <w:spacing w:val="-12"/>
        </w:rPr>
        <w:t> </w:t>
      </w:r>
      <w:r>
        <w:rPr>
          <w:spacing w:val="-2"/>
        </w:rPr>
        <w:t>the</w:t>
      </w:r>
      <w:r>
        <w:rPr>
          <w:spacing w:val="-11"/>
        </w:rPr>
        <w:t> </w:t>
      </w:r>
      <w:r>
        <w:rPr>
          <w:spacing w:val="-2"/>
        </w:rPr>
        <w:t>world.</w:t>
      </w:r>
      <w:r>
        <w:rPr>
          <w:spacing w:val="-12"/>
        </w:rPr>
        <w:t> </w:t>
      </w:r>
      <w:r>
        <w:rPr>
          <w:spacing w:val="-2"/>
        </w:rPr>
        <w:t>It</w:t>
      </w:r>
      <w:r>
        <w:rPr>
          <w:spacing w:val="-12"/>
        </w:rPr>
        <w:t> </w:t>
      </w:r>
      <w:r>
        <w:rPr>
          <w:spacing w:val="-2"/>
        </w:rPr>
        <w:t>is</w:t>
      </w:r>
      <w:r>
        <w:rPr>
          <w:spacing w:val="-12"/>
        </w:rPr>
        <w:t> </w:t>
      </w:r>
      <w:r>
        <w:rPr>
          <w:spacing w:val="-2"/>
        </w:rPr>
        <w:t>thus</w:t>
      </w:r>
      <w:r>
        <w:rPr>
          <w:spacing w:val="-11"/>
        </w:rPr>
        <w:t> </w:t>
      </w:r>
      <w:r>
        <w:rPr>
          <w:spacing w:val="-2"/>
        </w:rPr>
        <w:t>essential </w:t>
      </w:r>
      <w:r>
        <w:rPr/>
        <w:t>to</w:t>
      </w:r>
      <w:r>
        <w:rPr>
          <w:spacing w:val="-14"/>
        </w:rPr>
        <w:t> </w:t>
      </w:r>
      <w:r>
        <w:rPr/>
        <w:t>create</w:t>
      </w:r>
      <w:r>
        <w:rPr>
          <w:spacing w:val="-14"/>
        </w:rPr>
        <w:t> </w:t>
      </w:r>
      <w:r>
        <w:rPr/>
        <w:t>a</w:t>
      </w:r>
      <w:r>
        <w:rPr>
          <w:spacing w:val="-14"/>
        </w:rPr>
        <w:t> </w:t>
      </w:r>
      <w:r>
        <w:rPr/>
        <w:t>vibrant</w:t>
      </w:r>
      <w:r>
        <w:rPr>
          <w:spacing w:val="-13"/>
        </w:rPr>
        <w:t> </w:t>
      </w:r>
      <w:r>
        <w:rPr/>
        <w:t>and</w:t>
      </w:r>
      <w:r>
        <w:rPr>
          <w:spacing w:val="-14"/>
        </w:rPr>
        <w:t> </w:t>
      </w:r>
      <w:r>
        <w:rPr/>
        <w:t>pro-active</w:t>
      </w:r>
      <w:r>
        <w:rPr>
          <w:spacing w:val="-14"/>
        </w:rPr>
        <w:t> </w:t>
      </w:r>
      <w:r>
        <w:rPr/>
        <w:t>platform</w:t>
      </w:r>
      <w:r>
        <w:rPr>
          <w:spacing w:val="-14"/>
        </w:rPr>
        <w:t> </w:t>
      </w:r>
      <w:r>
        <w:rPr/>
        <w:t>for</w:t>
      </w:r>
      <w:r>
        <w:rPr>
          <w:spacing w:val="-13"/>
        </w:rPr>
        <w:t> </w:t>
      </w:r>
      <w:r>
        <w:rPr/>
        <w:t>the</w:t>
      </w:r>
      <w:r>
        <w:rPr>
          <w:spacing w:val="-14"/>
        </w:rPr>
        <w:t> </w:t>
      </w:r>
      <w:r>
        <w:rPr/>
        <w:t>skill and</w:t>
      </w:r>
      <w:r>
        <w:rPr>
          <w:spacing w:val="-14"/>
        </w:rPr>
        <w:t> </w:t>
      </w:r>
      <w:r>
        <w:rPr/>
        <w:t>human</w:t>
      </w:r>
      <w:r>
        <w:rPr>
          <w:spacing w:val="-14"/>
        </w:rPr>
        <w:t> </w:t>
      </w:r>
      <w:r>
        <w:rPr/>
        <w:t>resource</w:t>
      </w:r>
      <w:r>
        <w:rPr>
          <w:spacing w:val="-14"/>
        </w:rPr>
        <w:t> </w:t>
      </w:r>
      <w:r>
        <w:rPr/>
        <w:t>upgradation</w:t>
      </w:r>
      <w:r>
        <w:rPr>
          <w:spacing w:val="-13"/>
        </w:rPr>
        <w:t> </w:t>
      </w:r>
      <w:r>
        <w:rPr/>
        <w:t>of</w:t>
      </w:r>
      <w:r>
        <w:rPr>
          <w:spacing w:val="-14"/>
        </w:rPr>
        <w:t> </w:t>
      </w:r>
      <w:r>
        <w:rPr/>
        <w:t>the</w:t>
      </w:r>
      <w:r>
        <w:rPr>
          <w:spacing w:val="-14"/>
        </w:rPr>
        <w:t> </w:t>
      </w:r>
      <w:r>
        <w:rPr/>
        <w:t>administration </w:t>
      </w:r>
      <w:r>
        <w:rPr>
          <w:spacing w:val="-2"/>
        </w:rPr>
        <w:t>personnel.</w:t>
      </w:r>
    </w:p>
    <w:p>
      <w:pPr>
        <w:pStyle w:val="Heading7"/>
        <w:spacing w:line="225" w:lineRule="auto" w:before="242"/>
        <w:ind w:left="1080"/>
      </w:pPr>
      <w:r>
        <w:rPr>
          <w:color w:val="2E614A"/>
          <w:w w:val="90"/>
        </w:rPr>
        <w:t>Recommendation 9: Foster </w:t>
      </w:r>
      <w:r>
        <w:rPr>
          <w:color w:val="2E614A"/>
          <w:w w:val="90"/>
        </w:rPr>
        <w:t>inter-disciplinary </w:t>
      </w:r>
      <w:r>
        <w:rPr>
          <w:color w:val="2E614A"/>
          <w:spacing w:val="-8"/>
        </w:rPr>
        <w:t>research, translational research and</w:t>
      </w:r>
    </w:p>
    <w:p>
      <w:pPr>
        <w:spacing w:line="225" w:lineRule="auto" w:before="0"/>
        <w:ind w:left="1080" w:right="0" w:firstLine="0"/>
        <w:jc w:val="left"/>
        <w:rPr>
          <w:b/>
          <w:sz w:val="26"/>
        </w:rPr>
      </w:pPr>
      <w:r>
        <w:rPr>
          <w:b/>
          <w:color w:val="2E614A"/>
          <w:w w:val="90"/>
          <w:sz w:val="26"/>
        </w:rPr>
        <w:t>basic research in social sciences, arts </w:t>
      </w:r>
      <w:r>
        <w:rPr>
          <w:b/>
          <w:color w:val="2E614A"/>
          <w:w w:val="90"/>
          <w:sz w:val="26"/>
        </w:rPr>
        <w:t>and </w:t>
      </w:r>
      <w:r>
        <w:rPr>
          <w:b/>
          <w:color w:val="2E614A"/>
          <w:spacing w:val="-2"/>
          <w:sz w:val="26"/>
        </w:rPr>
        <w:t>humanities</w:t>
      </w:r>
    </w:p>
    <w:p>
      <w:pPr>
        <w:pStyle w:val="BodyText"/>
        <w:rPr>
          <w:b/>
          <w:sz w:val="26"/>
        </w:rPr>
      </w:pPr>
    </w:p>
    <w:p>
      <w:pPr>
        <w:pStyle w:val="BodyText"/>
        <w:spacing w:line="266" w:lineRule="auto"/>
        <w:ind w:left="1080"/>
        <w:jc w:val="both"/>
      </w:pPr>
      <w:r>
        <w:rPr>
          <w:b/>
        </w:rPr>
        <w:t>Issues: </w:t>
      </w:r>
      <w:r>
        <w:rPr/>
        <w:t>New interdisciplinary areas of research </w:t>
      </w:r>
      <w:r>
        <w:rPr/>
        <w:t>are emerging rapidly in the global context and these are not</w:t>
      </w:r>
      <w:r>
        <w:rPr>
          <w:spacing w:val="40"/>
        </w:rPr>
        <w:t> </w:t>
      </w:r>
      <w:r>
        <w:rPr/>
        <w:t>adequately</w:t>
      </w:r>
      <w:r>
        <w:rPr>
          <w:spacing w:val="40"/>
        </w:rPr>
        <w:t> </w:t>
      </w:r>
      <w:r>
        <w:rPr/>
        <w:t>represented</w:t>
      </w:r>
      <w:r>
        <w:rPr>
          <w:spacing w:val="40"/>
        </w:rPr>
        <w:t> </w:t>
      </w:r>
      <w:r>
        <w:rPr/>
        <w:t>in</w:t>
      </w:r>
      <w:r>
        <w:rPr>
          <w:spacing w:val="40"/>
        </w:rPr>
        <w:t> </w:t>
      </w:r>
      <w:r>
        <w:rPr/>
        <w:t>the</w:t>
      </w:r>
      <w:r>
        <w:rPr>
          <w:spacing w:val="40"/>
        </w:rPr>
        <w:t> </w:t>
      </w:r>
      <w:r>
        <w:rPr/>
        <w:t>country.</w:t>
      </w:r>
      <w:r>
        <w:rPr>
          <w:spacing w:val="40"/>
        </w:rPr>
        <w:t> </w:t>
      </w:r>
      <w:r>
        <w:rPr/>
        <w:t>Almost in all important professional streams like medicine, engineering,</w:t>
      </w:r>
      <w:r>
        <w:rPr>
          <w:spacing w:val="40"/>
        </w:rPr>
        <w:t> </w:t>
      </w:r>
      <w:r>
        <w:rPr/>
        <w:t>management,</w:t>
      </w:r>
      <w:r>
        <w:rPr>
          <w:spacing w:val="40"/>
        </w:rPr>
        <w:t> </w:t>
      </w:r>
      <w:r>
        <w:rPr/>
        <w:t>law</w:t>
      </w:r>
      <w:r>
        <w:rPr>
          <w:spacing w:val="40"/>
        </w:rPr>
        <w:t> </w:t>
      </w:r>
      <w:r>
        <w:rPr/>
        <w:t>etc,</w:t>
      </w:r>
      <w:r>
        <w:rPr>
          <w:spacing w:val="40"/>
        </w:rPr>
        <w:t> </w:t>
      </w:r>
      <w:r>
        <w:rPr/>
        <w:t>actual</w:t>
      </w:r>
      <w:r>
        <w:rPr>
          <w:spacing w:val="40"/>
        </w:rPr>
        <w:t> </w:t>
      </w:r>
      <w:r>
        <w:rPr/>
        <w:t>practice is divorced from research. Despite the tremendous diversity, rich history and cultural heritage, credible </w:t>
      </w:r>
      <w:r>
        <w:rPr>
          <w:spacing w:val="-6"/>
        </w:rPr>
        <w:t>basic</w:t>
      </w:r>
      <w:r>
        <w:rPr>
          <w:spacing w:val="-8"/>
        </w:rPr>
        <w:t> </w:t>
      </w:r>
      <w:r>
        <w:rPr>
          <w:spacing w:val="-6"/>
        </w:rPr>
        <w:t>research</w:t>
      </w:r>
      <w:r>
        <w:rPr>
          <w:spacing w:val="-8"/>
        </w:rPr>
        <w:t> </w:t>
      </w:r>
      <w:r>
        <w:rPr>
          <w:spacing w:val="-6"/>
        </w:rPr>
        <w:t>in</w:t>
      </w:r>
      <w:r>
        <w:rPr>
          <w:spacing w:val="-8"/>
        </w:rPr>
        <w:t> </w:t>
      </w:r>
      <w:r>
        <w:rPr>
          <w:spacing w:val="-6"/>
        </w:rPr>
        <w:t>the</w:t>
      </w:r>
      <w:r>
        <w:rPr>
          <w:spacing w:val="-7"/>
        </w:rPr>
        <w:t> </w:t>
      </w:r>
      <w:r>
        <w:rPr>
          <w:spacing w:val="-6"/>
        </w:rPr>
        <w:t>social</w:t>
      </w:r>
      <w:r>
        <w:rPr>
          <w:spacing w:val="-8"/>
        </w:rPr>
        <w:t> </w:t>
      </w:r>
      <w:r>
        <w:rPr>
          <w:spacing w:val="-6"/>
        </w:rPr>
        <w:t>sciences</w:t>
      </w:r>
      <w:r>
        <w:rPr>
          <w:spacing w:val="-8"/>
        </w:rPr>
        <w:t> </w:t>
      </w:r>
      <w:r>
        <w:rPr>
          <w:spacing w:val="-6"/>
        </w:rPr>
        <w:t>is</w:t>
      </w:r>
      <w:r>
        <w:rPr>
          <w:spacing w:val="-8"/>
        </w:rPr>
        <w:t> </w:t>
      </w:r>
      <w:r>
        <w:rPr>
          <w:spacing w:val="-6"/>
        </w:rPr>
        <w:t>conspicuous</w:t>
      </w:r>
      <w:r>
        <w:rPr>
          <w:spacing w:val="-7"/>
        </w:rPr>
        <w:t> </w:t>
      </w:r>
      <w:r>
        <w:rPr>
          <w:spacing w:val="-6"/>
        </w:rPr>
        <w:t>by</w:t>
      </w:r>
      <w:r>
        <w:rPr>
          <w:spacing w:val="-8"/>
        </w:rPr>
        <w:t> </w:t>
      </w:r>
      <w:r>
        <w:rPr>
          <w:spacing w:val="-6"/>
        </w:rPr>
        <w:t>its </w:t>
      </w:r>
      <w:r>
        <w:rPr/>
        <w:t>absence in most universities.</w:t>
      </w:r>
    </w:p>
    <w:p>
      <w:pPr>
        <w:pStyle w:val="BodyText"/>
        <w:spacing w:before="19"/>
      </w:pPr>
    </w:p>
    <w:p>
      <w:pPr>
        <w:pStyle w:val="BodyText"/>
        <w:spacing w:line="266" w:lineRule="auto"/>
        <w:ind w:left="1080"/>
        <w:jc w:val="both"/>
      </w:pPr>
      <w:r>
        <w:rPr>
          <w:spacing w:val="-4"/>
        </w:rPr>
        <w:t>The</w:t>
      </w:r>
      <w:r>
        <w:rPr>
          <w:spacing w:val="-7"/>
        </w:rPr>
        <w:t> </w:t>
      </w:r>
      <w:r>
        <w:rPr>
          <w:spacing w:val="-4"/>
        </w:rPr>
        <w:t>face</w:t>
      </w:r>
      <w:r>
        <w:rPr>
          <w:spacing w:val="-7"/>
        </w:rPr>
        <w:t> </w:t>
      </w:r>
      <w:r>
        <w:rPr>
          <w:spacing w:val="-4"/>
        </w:rPr>
        <w:t>of</w:t>
      </w:r>
      <w:r>
        <w:rPr>
          <w:spacing w:val="-7"/>
        </w:rPr>
        <w:t> </w:t>
      </w:r>
      <w:r>
        <w:rPr>
          <w:spacing w:val="-4"/>
        </w:rPr>
        <w:t>sciences,</w:t>
      </w:r>
      <w:r>
        <w:rPr>
          <w:spacing w:val="-7"/>
        </w:rPr>
        <w:t> </w:t>
      </w:r>
      <w:r>
        <w:rPr>
          <w:spacing w:val="-4"/>
        </w:rPr>
        <w:t>or</w:t>
      </w:r>
      <w:r>
        <w:rPr>
          <w:spacing w:val="-7"/>
        </w:rPr>
        <w:t> </w:t>
      </w:r>
      <w:r>
        <w:rPr>
          <w:spacing w:val="-4"/>
        </w:rPr>
        <w:t>for</w:t>
      </w:r>
      <w:r>
        <w:rPr>
          <w:spacing w:val="-7"/>
        </w:rPr>
        <w:t> </w:t>
      </w:r>
      <w:r>
        <w:rPr>
          <w:spacing w:val="-4"/>
        </w:rPr>
        <w:t>that</w:t>
      </w:r>
      <w:r>
        <w:rPr>
          <w:spacing w:val="-7"/>
        </w:rPr>
        <w:t> </w:t>
      </w:r>
      <w:r>
        <w:rPr>
          <w:spacing w:val="-4"/>
        </w:rPr>
        <w:t>matter,</w:t>
      </w:r>
      <w:r>
        <w:rPr>
          <w:spacing w:val="-7"/>
        </w:rPr>
        <w:t> </w:t>
      </w:r>
      <w:r>
        <w:rPr>
          <w:spacing w:val="-4"/>
        </w:rPr>
        <w:t>every</w:t>
      </w:r>
      <w:r>
        <w:rPr>
          <w:spacing w:val="-7"/>
        </w:rPr>
        <w:t> </w:t>
      </w:r>
      <w:r>
        <w:rPr>
          <w:spacing w:val="-4"/>
        </w:rPr>
        <w:t>discipline </w:t>
      </w:r>
      <w:r>
        <w:rPr/>
        <w:t>today, is changing rapidly. Conventional boundaries between different streams are fast disappearing. Interdisciplinary</w:t>
      </w:r>
      <w:r>
        <w:rPr>
          <w:spacing w:val="80"/>
        </w:rPr>
        <w:t> </w:t>
      </w:r>
      <w:r>
        <w:rPr/>
        <w:t>projects</w:t>
      </w:r>
      <w:r>
        <w:rPr>
          <w:spacing w:val="80"/>
        </w:rPr>
        <w:t> </w:t>
      </w:r>
      <w:r>
        <w:rPr/>
        <w:t>and</w:t>
      </w:r>
      <w:r>
        <w:rPr>
          <w:spacing w:val="80"/>
        </w:rPr>
        <w:t> </w:t>
      </w:r>
      <w:r>
        <w:rPr/>
        <w:t>doctoral</w:t>
      </w:r>
      <w:r>
        <w:rPr>
          <w:spacing w:val="80"/>
        </w:rPr>
        <w:t> </w:t>
      </w:r>
      <w:r>
        <w:rPr/>
        <w:t>programs in interdisciplinary areas need to be encouraged to propel research in emerging areas. To facilitate this, interdisciplinary faculty options may be created. Interdisciplinary guide and co-guide combinations should be permitted for guidance towards a doctoral thesis. Generous funding should be provided to encourage research in new areas. Appropriate </w:t>
      </w:r>
      <w:r>
        <w:rPr>
          <w:spacing w:val="-4"/>
        </w:rPr>
        <w:t>modification</w:t>
      </w:r>
      <w:r>
        <w:rPr>
          <w:spacing w:val="-10"/>
        </w:rPr>
        <w:t> </w:t>
      </w:r>
      <w:r>
        <w:rPr>
          <w:spacing w:val="-4"/>
        </w:rPr>
        <w:t>of</w:t>
      </w:r>
      <w:r>
        <w:rPr>
          <w:spacing w:val="-10"/>
        </w:rPr>
        <w:t> </w:t>
      </w:r>
      <w:r>
        <w:rPr>
          <w:spacing w:val="-4"/>
        </w:rPr>
        <w:t>entry</w:t>
      </w:r>
      <w:r>
        <w:rPr>
          <w:spacing w:val="-10"/>
        </w:rPr>
        <w:t> </w:t>
      </w:r>
      <w:r>
        <w:rPr>
          <w:spacing w:val="-4"/>
        </w:rPr>
        <w:t>barriers</w:t>
      </w:r>
      <w:r>
        <w:rPr>
          <w:spacing w:val="-9"/>
        </w:rPr>
        <w:t> </w:t>
      </w:r>
      <w:r>
        <w:rPr>
          <w:spacing w:val="-4"/>
        </w:rPr>
        <w:t>to</w:t>
      </w:r>
      <w:r>
        <w:rPr>
          <w:spacing w:val="-10"/>
        </w:rPr>
        <w:t> </w:t>
      </w:r>
      <w:r>
        <w:rPr>
          <w:spacing w:val="-4"/>
        </w:rPr>
        <w:t>such</w:t>
      </w:r>
      <w:r>
        <w:rPr>
          <w:spacing w:val="-10"/>
        </w:rPr>
        <w:t> </w:t>
      </w:r>
      <w:r>
        <w:rPr>
          <w:spacing w:val="-4"/>
        </w:rPr>
        <w:t>doctoral</w:t>
      </w:r>
      <w:r>
        <w:rPr>
          <w:spacing w:val="-10"/>
        </w:rPr>
        <w:t> </w:t>
      </w:r>
      <w:r>
        <w:rPr>
          <w:spacing w:val="-4"/>
        </w:rPr>
        <w:t>programs </w:t>
      </w:r>
      <w:r>
        <w:rPr/>
        <w:t>should be looked into.</w:t>
      </w:r>
    </w:p>
    <w:p>
      <w:pPr>
        <w:pStyle w:val="BodyText"/>
        <w:spacing w:before="17"/>
      </w:pPr>
    </w:p>
    <w:p>
      <w:pPr>
        <w:pStyle w:val="BodyText"/>
        <w:spacing w:line="266" w:lineRule="auto"/>
        <w:ind w:left="1080"/>
        <w:jc w:val="both"/>
      </w:pPr>
      <w:r>
        <w:rPr>
          <w:spacing w:val="-6"/>
        </w:rPr>
        <w:t>Translational</w:t>
      </w:r>
      <w:r>
        <w:rPr>
          <w:spacing w:val="-7"/>
        </w:rPr>
        <w:t> </w:t>
      </w:r>
      <w:r>
        <w:rPr>
          <w:spacing w:val="-6"/>
        </w:rPr>
        <w:t>research,</w:t>
      </w:r>
      <w:r>
        <w:rPr>
          <w:spacing w:val="-7"/>
        </w:rPr>
        <w:t> </w:t>
      </w:r>
      <w:r>
        <w:rPr>
          <w:spacing w:val="-6"/>
        </w:rPr>
        <w:t>especially</w:t>
      </w:r>
      <w:r>
        <w:rPr>
          <w:spacing w:val="-7"/>
        </w:rPr>
        <w:t> </w:t>
      </w:r>
      <w:r>
        <w:rPr>
          <w:spacing w:val="-6"/>
        </w:rPr>
        <w:t>in</w:t>
      </w:r>
      <w:r>
        <w:rPr>
          <w:spacing w:val="-7"/>
        </w:rPr>
        <w:t> </w:t>
      </w:r>
      <w:r>
        <w:rPr>
          <w:spacing w:val="-6"/>
        </w:rPr>
        <w:t>the</w:t>
      </w:r>
      <w:r>
        <w:rPr>
          <w:spacing w:val="-7"/>
        </w:rPr>
        <w:t> </w:t>
      </w:r>
      <w:r>
        <w:rPr>
          <w:spacing w:val="-6"/>
        </w:rPr>
        <w:t>area</w:t>
      </w:r>
      <w:r>
        <w:rPr>
          <w:spacing w:val="-7"/>
        </w:rPr>
        <w:t> </w:t>
      </w:r>
      <w:r>
        <w:rPr>
          <w:spacing w:val="-6"/>
        </w:rPr>
        <w:t>of</w:t>
      </w:r>
      <w:r>
        <w:rPr>
          <w:spacing w:val="-7"/>
        </w:rPr>
        <w:t> </w:t>
      </w:r>
      <w:r>
        <w:rPr>
          <w:spacing w:val="-6"/>
        </w:rPr>
        <w:t>medicine </w:t>
      </w:r>
      <w:r>
        <w:rPr/>
        <w:t>and engineering is largely absent in the academic </w:t>
      </w:r>
      <w:r>
        <w:rPr>
          <w:spacing w:val="-2"/>
        </w:rPr>
        <w:t>landscape.</w:t>
      </w:r>
      <w:r>
        <w:rPr>
          <w:spacing w:val="12"/>
        </w:rPr>
        <w:t> </w:t>
      </w:r>
      <w:r>
        <w:rPr>
          <w:spacing w:val="-2"/>
        </w:rPr>
        <w:t>As</w:t>
      </w:r>
      <w:r>
        <w:rPr>
          <w:spacing w:val="12"/>
        </w:rPr>
        <w:t> </w:t>
      </w:r>
      <w:r>
        <w:rPr>
          <w:spacing w:val="-2"/>
        </w:rPr>
        <w:t>a</w:t>
      </w:r>
      <w:r>
        <w:rPr>
          <w:spacing w:val="13"/>
        </w:rPr>
        <w:t> </w:t>
      </w:r>
      <w:r>
        <w:rPr>
          <w:spacing w:val="-2"/>
        </w:rPr>
        <w:t>specific</w:t>
      </w:r>
      <w:r>
        <w:rPr>
          <w:spacing w:val="12"/>
        </w:rPr>
        <w:t> </w:t>
      </w:r>
      <w:r>
        <w:rPr>
          <w:spacing w:val="-2"/>
        </w:rPr>
        <w:t>example,</w:t>
      </w:r>
      <w:r>
        <w:rPr>
          <w:spacing w:val="13"/>
        </w:rPr>
        <w:t> </w:t>
      </w:r>
      <w:r>
        <w:rPr>
          <w:spacing w:val="-2"/>
        </w:rPr>
        <w:t>Medical</w:t>
      </w:r>
      <w:r>
        <w:rPr>
          <w:spacing w:val="12"/>
        </w:rPr>
        <w:t> </w:t>
      </w:r>
      <w:r>
        <w:rPr>
          <w:spacing w:val="-2"/>
        </w:rPr>
        <w:t>Education</w:t>
      </w:r>
    </w:p>
    <w:p>
      <w:pPr>
        <w:pStyle w:val="BodyText"/>
        <w:spacing w:line="266" w:lineRule="auto" w:before="57"/>
        <w:ind w:left="319" w:right="1077"/>
        <w:jc w:val="both"/>
      </w:pPr>
      <w:r>
        <w:rPr/>
        <w:br w:type="column"/>
      </w:r>
      <w:r>
        <w:rPr/>
        <w:t>and Research lack in innovation due to the </w:t>
      </w:r>
      <w:r>
        <w:rPr/>
        <w:t>present lacunae in the education system.</w:t>
      </w:r>
      <w:r>
        <w:rPr>
          <w:spacing w:val="-2"/>
        </w:rPr>
        <w:t> </w:t>
      </w:r>
      <w:r>
        <w:rPr/>
        <w:t>This field is largely service</w:t>
      </w:r>
      <w:r>
        <w:rPr>
          <w:spacing w:val="-10"/>
        </w:rPr>
        <w:t> </w:t>
      </w:r>
      <w:r>
        <w:rPr/>
        <w:t>oriented</w:t>
      </w:r>
      <w:r>
        <w:rPr>
          <w:spacing w:val="-10"/>
        </w:rPr>
        <w:t> </w:t>
      </w:r>
      <w:r>
        <w:rPr/>
        <w:t>with</w:t>
      </w:r>
      <w:r>
        <w:rPr>
          <w:spacing w:val="-10"/>
        </w:rPr>
        <w:t> </w:t>
      </w:r>
      <w:r>
        <w:rPr/>
        <w:t>less</w:t>
      </w:r>
      <w:r>
        <w:rPr>
          <w:spacing w:val="-10"/>
        </w:rPr>
        <w:t> </w:t>
      </w:r>
      <w:r>
        <w:rPr/>
        <w:t>or</w:t>
      </w:r>
      <w:r>
        <w:rPr>
          <w:spacing w:val="-10"/>
        </w:rPr>
        <w:t> </w:t>
      </w:r>
      <w:r>
        <w:rPr/>
        <w:t>no</w:t>
      </w:r>
      <w:r>
        <w:rPr>
          <w:spacing w:val="-10"/>
        </w:rPr>
        <w:t> </w:t>
      </w:r>
      <w:r>
        <w:rPr/>
        <w:t>emphasis</w:t>
      </w:r>
      <w:r>
        <w:rPr>
          <w:spacing w:val="-10"/>
        </w:rPr>
        <w:t> </w:t>
      </w:r>
      <w:r>
        <w:rPr/>
        <w:t>on</w:t>
      </w:r>
      <w:r>
        <w:rPr>
          <w:spacing w:val="-10"/>
        </w:rPr>
        <w:t> </w:t>
      </w:r>
      <w:r>
        <w:rPr/>
        <w:t>research, reasoning</w:t>
      </w:r>
      <w:r>
        <w:rPr>
          <w:spacing w:val="34"/>
        </w:rPr>
        <w:t> </w:t>
      </w:r>
      <w:r>
        <w:rPr/>
        <w:t>and</w:t>
      </w:r>
      <w:r>
        <w:rPr>
          <w:spacing w:val="34"/>
        </w:rPr>
        <w:t> </w:t>
      </w:r>
      <w:r>
        <w:rPr/>
        <w:t>rigour.</w:t>
      </w:r>
      <w:r>
        <w:rPr>
          <w:spacing w:val="34"/>
        </w:rPr>
        <w:t> </w:t>
      </w:r>
      <w:r>
        <w:rPr/>
        <w:t>In</w:t>
      </w:r>
      <w:r>
        <w:rPr>
          <w:spacing w:val="34"/>
        </w:rPr>
        <w:t> </w:t>
      </w:r>
      <w:r>
        <w:rPr/>
        <w:t>order</w:t>
      </w:r>
      <w:r>
        <w:rPr>
          <w:spacing w:val="34"/>
        </w:rPr>
        <w:t> </w:t>
      </w:r>
      <w:r>
        <w:rPr/>
        <w:t>to</w:t>
      </w:r>
      <w:r>
        <w:rPr>
          <w:spacing w:val="34"/>
        </w:rPr>
        <w:t> </w:t>
      </w:r>
      <w:r>
        <w:rPr/>
        <w:t>drive</w:t>
      </w:r>
      <w:r>
        <w:rPr>
          <w:spacing w:val="34"/>
        </w:rPr>
        <w:t> </w:t>
      </w:r>
      <w:r>
        <w:rPr/>
        <w:t>innovation, it is imperative that a medical education straddling programs from diverse disciplines such as clinical, epidemiological, laboratory, pure sciences (physics, </w:t>
      </w:r>
      <w:r>
        <w:rPr>
          <w:spacing w:val="-4"/>
        </w:rPr>
        <w:t>statistics, optics, medical chemistry, organic chemistry, </w:t>
      </w:r>
      <w:r>
        <w:rPr>
          <w:spacing w:val="-6"/>
        </w:rPr>
        <w:t>cell biology, biochemistry) be rolled out in front-ranking institutions.</w:t>
      </w:r>
      <w:r>
        <w:rPr>
          <w:spacing w:val="-2"/>
        </w:rPr>
        <w:t> </w:t>
      </w:r>
      <w:r>
        <w:rPr>
          <w:spacing w:val="-6"/>
        </w:rPr>
        <w:t>An</w:t>
      </w:r>
      <w:r>
        <w:rPr>
          <w:spacing w:val="-2"/>
        </w:rPr>
        <w:t> </w:t>
      </w:r>
      <w:r>
        <w:rPr>
          <w:spacing w:val="-6"/>
        </w:rPr>
        <w:t>option</w:t>
      </w:r>
      <w:r>
        <w:rPr>
          <w:spacing w:val="-2"/>
        </w:rPr>
        <w:t> </w:t>
      </w:r>
      <w:r>
        <w:rPr>
          <w:spacing w:val="-6"/>
        </w:rPr>
        <w:t>of having</w:t>
      </w:r>
      <w:r>
        <w:rPr>
          <w:spacing w:val="-7"/>
        </w:rPr>
        <w:t> </w:t>
      </w:r>
      <w:r>
        <w:rPr>
          <w:spacing w:val="-6"/>
        </w:rPr>
        <w:t>a</w:t>
      </w:r>
      <w:r>
        <w:rPr>
          <w:spacing w:val="-7"/>
        </w:rPr>
        <w:t> </w:t>
      </w:r>
      <w:r>
        <w:rPr>
          <w:spacing w:val="-6"/>
        </w:rPr>
        <w:t>component</w:t>
      </w:r>
      <w:r>
        <w:rPr>
          <w:spacing w:val="-7"/>
        </w:rPr>
        <w:t> </w:t>
      </w:r>
      <w:r>
        <w:rPr>
          <w:spacing w:val="-6"/>
        </w:rPr>
        <w:t>of</w:t>
      </w:r>
      <w:r>
        <w:rPr>
          <w:spacing w:val="-7"/>
        </w:rPr>
        <w:t> </w:t>
      </w:r>
      <w:r>
        <w:rPr>
          <w:spacing w:val="-6"/>
        </w:rPr>
        <w:t>clinical research in Ph.D programs in the natural sciences should be</w:t>
      </w:r>
      <w:r>
        <w:rPr>
          <w:spacing w:val="-8"/>
        </w:rPr>
        <w:t> </w:t>
      </w:r>
      <w:r>
        <w:rPr>
          <w:spacing w:val="-6"/>
        </w:rPr>
        <w:t>introduced.</w:t>
      </w:r>
      <w:r>
        <w:rPr>
          <w:spacing w:val="-8"/>
        </w:rPr>
        <w:t> </w:t>
      </w:r>
      <w:r>
        <w:rPr>
          <w:spacing w:val="-6"/>
        </w:rPr>
        <w:t>This</w:t>
      </w:r>
      <w:r>
        <w:rPr>
          <w:spacing w:val="-8"/>
        </w:rPr>
        <w:t> </w:t>
      </w:r>
      <w:r>
        <w:rPr>
          <w:spacing w:val="-6"/>
        </w:rPr>
        <w:t>will</w:t>
      </w:r>
      <w:r>
        <w:rPr>
          <w:spacing w:val="-7"/>
        </w:rPr>
        <w:t> </w:t>
      </w:r>
      <w:r>
        <w:rPr>
          <w:spacing w:val="-6"/>
        </w:rPr>
        <w:t>require</w:t>
      </w:r>
      <w:r>
        <w:rPr>
          <w:spacing w:val="-8"/>
        </w:rPr>
        <w:t> </w:t>
      </w:r>
      <w:r>
        <w:rPr>
          <w:spacing w:val="-6"/>
        </w:rPr>
        <w:t>co-mentoring</w:t>
      </w:r>
      <w:r>
        <w:rPr>
          <w:spacing w:val="-8"/>
        </w:rPr>
        <w:t> </w:t>
      </w:r>
      <w:r>
        <w:rPr>
          <w:spacing w:val="-6"/>
        </w:rPr>
        <w:t>of</w:t>
      </w:r>
      <w:r>
        <w:rPr>
          <w:spacing w:val="-8"/>
        </w:rPr>
        <w:t> </w:t>
      </w:r>
      <w:r>
        <w:rPr>
          <w:spacing w:val="-6"/>
        </w:rPr>
        <w:t>students </w:t>
      </w:r>
      <w:r>
        <w:rPr>
          <w:w w:val="90"/>
        </w:rPr>
        <w:t>by</w:t>
      </w:r>
      <w:r>
        <w:rPr>
          <w:spacing w:val="-3"/>
          <w:w w:val="90"/>
        </w:rPr>
        <w:t> </w:t>
      </w:r>
      <w:r>
        <w:rPr>
          <w:w w:val="90"/>
        </w:rPr>
        <w:t>faculty</w:t>
      </w:r>
      <w:r>
        <w:rPr>
          <w:spacing w:val="-3"/>
          <w:w w:val="90"/>
        </w:rPr>
        <w:t> </w:t>
      </w:r>
      <w:r>
        <w:rPr>
          <w:w w:val="90"/>
        </w:rPr>
        <w:t>drawn</w:t>
      </w:r>
      <w:r>
        <w:rPr>
          <w:spacing w:val="-3"/>
          <w:w w:val="90"/>
        </w:rPr>
        <w:t> </w:t>
      </w:r>
      <w:r>
        <w:rPr>
          <w:w w:val="90"/>
        </w:rPr>
        <w:t>both</w:t>
      </w:r>
      <w:r>
        <w:rPr>
          <w:spacing w:val="-3"/>
          <w:w w:val="90"/>
        </w:rPr>
        <w:t> </w:t>
      </w:r>
      <w:r>
        <w:rPr>
          <w:w w:val="90"/>
        </w:rPr>
        <w:t>from</w:t>
      </w:r>
      <w:r>
        <w:rPr>
          <w:spacing w:val="-3"/>
          <w:w w:val="90"/>
        </w:rPr>
        <w:t> </w:t>
      </w:r>
      <w:r>
        <w:rPr>
          <w:w w:val="90"/>
        </w:rPr>
        <w:t>a</w:t>
      </w:r>
      <w:r>
        <w:rPr>
          <w:spacing w:val="-3"/>
          <w:w w:val="90"/>
        </w:rPr>
        <w:t> </w:t>
      </w:r>
      <w:r>
        <w:rPr>
          <w:w w:val="90"/>
        </w:rPr>
        <w:t>surgical/clinical/para-clinical </w:t>
      </w:r>
      <w:r>
        <w:rPr>
          <w:spacing w:val="-6"/>
        </w:rPr>
        <w:t>pool and basic biology/physical/engineering sciences. In </w:t>
      </w:r>
      <w:r>
        <w:rPr>
          <w:spacing w:val="-4"/>
        </w:rPr>
        <w:t>general,</w:t>
      </w:r>
      <w:r>
        <w:rPr>
          <w:spacing w:val="-10"/>
        </w:rPr>
        <w:t> </w:t>
      </w:r>
      <w:r>
        <w:rPr>
          <w:spacing w:val="-4"/>
        </w:rPr>
        <w:t>translational</w:t>
      </w:r>
      <w:r>
        <w:rPr>
          <w:spacing w:val="-10"/>
        </w:rPr>
        <w:t> </w:t>
      </w:r>
      <w:r>
        <w:rPr>
          <w:spacing w:val="-4"/>
        </w:rPr>
        <w:t>research</w:t>
      </w:r>
      <w:r>
        <w:rPr>
          <w:spacing w:val="-10"/>
        </w:rPr>
        <w:t> </w:t>
      </w:r>
      <w:r>
        <w:rPr>
          <w:spacing w:val="-4"/>
        </w:rPr>
        <w:t>linking</w:t>
      </w:r>
      <w:r>
        <w:rPr>
          <w:spacing w:val="-9"/>
        </w:rPr>
        <w:t> </w:t>
      </w:r>
      <w:r>
        <w:rPr>
          <w:spacing w:val="-4"/>
        </w:rPr>
        <w:t>practice,</w:t>
      </w:r>
      <w:r>
        <w:rPr>
          <w:spacing w:val="-10"/>
        </w:rPr>
        <w:t> </w:t>
      </w:r>
      <w:r>
        <w:rPr>
          <w:spacing w:val="-4"/>
        </w:rPr>
        <w:t>field</w:t>
      </w:r>
      <w:r>
        <w:rPr>
          <w:spacing w:val="-10"/>
        </w:rPr>
        <w:t> </w:t>
      </w:r>
      <w:r>
        <w:rPr>
          <w:spacing w:val="-4"/>
        </w:rPr>
        <w:t>and lab work should be generously funded and encouraged. </w:t>
      </w:r>
      <w:r>
        <w:rPr/>
        <w:t>The existing regulatory structures make this highly </w:t>
      </w:r>
      <w:r>
        <w:rPr>
          <w:spacing w:val="-2"/>
        </w:rPr>
        <w:t>difficult</w:t>
      </w:r>
      <w:r>
        <w:rPr>
          <w:spacing w:val="-5"/>
        </w:rPr>
        <w:t> </w:t>
      </w:r>
      <w:r>
        <w:rPr>
          <w:spacing w:val="-2"/>
        </w:rPr>
        <w:t>and</w:t>
      </w:r>
      <w:r>
        <w:rPr>
          <w:spacing w:val="-5"/>
        </w:rPr>
        <w:t> </w:t>
      </w:r>
      <w:r>
        <w:rPr>
          <w:spacing w:val="-2"/>
        </w:rPr>
        <w:t>this</w:t>
      </w:r>
      <w:r>
        <w:rPr>
          <w:spacing w:val="-5"/>
        </w:rPr>
        <w:t> </w:t>
      </w:r>
      <w:r>
        <w:rPr>
          <w:spacing w:val="-2"/>
        </w:rPr>
        <w:t>needs</w:t>
      </w:r>
      <w:r>
        <w:rPr>
          <w:spacing w:val="-5"/>
        </w:rPr>
        <w:t> </w:t>
      </w:r>
      <w:r>
        <w:rPr>
          <w:spacing w:val="-2"/>
        </w:rPr>
        <w:t>serious</w:t>
      </w:r>
      <w:r>
        <w:rPr>
          <w:spacing w:val="-5"/>
        </w:rPr>
        <w:t> </w:t>
      </w:r>
      <w:r>
        <w:rPr>
          <w:spacing w:val="-2"/>
        </w:rPr>
        <w:t>intervention.</w:t>
      </w:r>
    </w:p>
    <w:p>
      <w:pPr>
        <w:pStyle w:val="BodyText"/>
        <w:spacing w:before="13"/>
      </w:pPr>
    </w:p>
    <w:p>
      <w:pPr>
        <w:pStyle w:val="BodyText"/>
        <w:spacing w:line="266" w:lineRule="auto"/>
        <w:ind w:left="319" w:right="1077"/>
        <w:jc w:val="both"/>
      </w:pPr>
      <w:r>
        <w:rPr/>
        <w:t>The</w:t>
      </w:r>
      <w:r>
        <w:rPr>
          <w:spacing w:val="-3"/>
        </w:rPr>
        <w:t> </w:t>
      </w:r>
      <w:r>
        <w:rPr/>
        <w:t>training</w:t>
      </w:r>
      <w:r>
        <w:rPr>
          <w:spacing w:val="-3"/>
        </w:rPr>
        <w:t> </w:t>
      </w:r>
      <w:r>
        <w:rPr/>
        <w:t>in</w:t>
      </w:r>
      <w:r>
        <w:rPr>
          <w:spacing w:val="-3"/>
        </w:rPr>
        <w:t> </w:t>
      </w:r>
      <w:r>
        <w:rPr/>
        <w:t>the</w:t>
      </w:r>
      <w:r>
        <w:rPr>
          <w:spacing w:val="-3"/>
        </w:rPr>
        <w:t> </w:t>
      </w:r>
      <w:r>
        <w:rPr/>
        <w:t>humanities</w:t>
      </w:r>
      <w:r>
        <w:rPr>
          <w:spacing w:val="-3"/>
        </w:rPr>
        <w:t> </w:t>
      </w:r>
      <w:r>
        <w:rPr/>
        <w:t>has</w:t>
      </w:r>
      <w:r>
        <w:rPr>
          <w:spacing w:val="-3"/>
        </w:rPr>
        <w:t> </w:t>
      </w:r>
      <w:r>
        <w:rPr/>
        <w:t>to</w:t>
      </w:r>
      <w:r>
        <w:rPr>
          <w:spacing w:val="-3"/>
        </w:rPr>
        <w:t> </w:t>
      </w:r>
      <w:r>
        <w:rPr/>
        <w:t>be</w:t>
      </w:r>
      <w:r>
        <w:rPr>
          <w:spacing w:val="-3"/>
        </w:rPr>
        <w:t> </w:t>
      </w:r>
      <w:r>
        <w:rPr/>
        <w:t>reformulated so as to provide a sound, but preliminary, theoretical classical</w:t>
      </w:r>
      <w:r>
        <w:rPr>
          <w:spacing w:val="-14"/>
        </w:rPr>
        <w:t> </w:t>
      </w:r>
      <w:r>
        <w:rPr/>
        <w:t>foundation</w:t>
      </w:r>
      <w:r>
        <w:rPr>
          <w:spacing w:val="-13"/>
        </w:rPr>
        <w:t> </w:t>
      </w:r>
      <w:r>
        <w:rPr/>
        <w:t>which</w:t>
      </w:r>
      <w:r>
        <w:rPr>
          <w:spacing w:val="-14"/>
        </w:rPr>
        <w:t> </w:t>
      </w:r>
      <w:r>
        <w:rPr/>
        <w:t>is</w:t>
      </w:r>
      <w:r>
        <w:rPr>
          <w:spacing w:val="-13"/>
        </w:rPr>
        <w:t> </w:t>
      </w:r>
      <w:r>
        <w:rPr/>
        <w:t>in</w:t>
      </w:r>
      <w:r>
        <w:rPr>
          <w:spacing w:val="-14"/>
        </w:rPr>
        <w:t> </w:t>
      </w:r>
      <w:r>
        <w:rPr/>
        <w:t>the</w:t>
      </w:r>
      <w:r>
        <w:rPr>
          <w:spacing w:val="-13"/>
        </w:rPr>
        <w:t> </w:t>
      </w:r>
      <w:r>
        <w:rPr/>
        <w:t>end</w:t>
      </w:r>
      <w:r>
        <w:rPr>
          <w:spacing w:val="-14"/>
        </w:rPr>
        <w:t> </w:t>
      </w:r>
      <w:r>
        <w:rPr/>
        <w:t>solidly</w:t>
      </w:r>
      <w:r>
        <w:rPr>
          <w:spacing w:val="-13"/>
        </w:rPr>
        <w:t> </w:t>
      </w:r>
      <w:r>
        <w:rPr/>
        <w:t>geared </w:t>
      </w:r>
      <w:r>
        <w:rPr>
          <w:spacing w:val="-2"/>
        </w:rPr>
        <w:t>towards</w:t>
      </w:r>
      <w:r>
        <w:rPr>
          <w:spacing w:val="-12"/>
        </w:rPr>
        <w:t> </w:t>
      </w:r>
      <w:r>
        <w:rPr>
          <w:spacing w:val="-2"/>
        </w:rPr>
        <w:t>training</w:t>
      </w:r>
      <w:r>
        <w:rPr>
          <w:spacing w:val="-12"/>
        </w:rPr>
        <w:t> </w:t>
      </w:r>
      <w:r>
        <w:rPr>
          <w:spacing w:val="-2"/>
        </w:rPr>
        <w:t>the</w:t>
      </w:r>
      <w:r>
        <w:rPr>
          <w:spacing w:val="-12"/>
        </w:rPr>
        <w:t> </w:t>
      </w:r>
      <w:r>
        <w:rPr>
          <w:spacing w:val="-2"/>
        </w:rPr>
        <w:t>student</w:t>
      </w:r>
      <w:r>
        <w:rPr>
          <w:spacing w:val="-11"/>
        </w:rPr>
        <w:t> </w:t>
      </w:r>
      <w:r>
        <w:rPr>
          <w:spacing w:val="-2"/>
        </w:rPr>
        <w:t>to</w:t>
      </w:r>
      <w:r>
        <w:rPr>
          <w:spacing w:val="-12"/>
        </w:rPr>
        <w:t> </w:t>
      </w:r>
      <w:r>
        <w:rPr>
          <w:spacing w:val="-2"/>
        </w:rPr>
        <w:t>understand</w:t>
      </w:r>
      <w:r>
        <w:rPr>
          <w:spacing w:val="-12"/>
        </w:rPr>
        <w:t> </w:t>
      </w:r>
      <w:r>
        <w:rPr>
          <w:spacing w:val="-2"/>
        </w:rPr>
        <w:t>social</w:t>
      </w:r>
      <w:r>
        <w:rPr>
          <w:spacing w:val="-12"/>
        </w:rPr>
        <w:t> </w:t>
      </w:r>
      <w:r>
        <w:rPr>
          <w:spacing w:val="-2"/>
        </w:rPr>
        <w:t>life</w:t>
      </w:r>
      <w:r>
        <w:rPr>
          <w:spacing w:val="-11"/>
        </w:rPr>
        <w:t> </w:t>
      </w:r>
      <w:r>
        <w:rPr>
          <w:spacing w:val="-2"/>
        </w:rPr>
        <w:t>as </w:t>
      </w:r>
      <w:r>
        <w:rPr/>
        <w:t>it</w:t>
      </w:r>
      <w:r>
        <w:rPr>
          <w:spacing w:val="-7"/>
        </w:rPr>
        <w:t> </w:t>
      </w:r>
      <w:r>
        <w:rPr/>
        <w:t>actually</w:t>
      </w:r>
      <w:r>
        <w:rPr>
          <w:spacing w:val="-7"/>
        </w:rPr>
        <w:t> </w:t>
      </w:r>
      <w:r>
        <w:rPr/>
        <w:t>is.</w:t>
      </w:r>
      <w:r>
        <w:rPr>
          <w:spacing w:val="-7"/>
        </w:rPr>
        <w:t> </w:t>
      </w:r>
      <w:r>
        <w:rPr/>
        <w:t>It</w:t>
      </w:r>
      <w:r>
        <w:rPr>
          <w:spacing w:val="-7"/>
        </w:rPr>
        <w:t> </w:t>
      </w:r>
      <w:r>
        <w:rPr/>
        <w:t>should</w:t>
      </w:r>
      <w:r>
        <w:rPr>
          <w:spacing w:val="-7"/>
        </w:rPr>
        <w:t> </w:t>
      </w:r>
      <w:r>
        <w:rPr/>
        <w:t>equip</w:t>
      </w:r>
      <w:r>
        <w:rPr>
          <w:spacing w:val="-7"/>
        </w:rPr>
        <w:t> </w:t>
      </w:r>
      <w:r>
        <w:rPr/>
        <w:t>him/her</w:t>
      </w:r>
      <w:r>
        <w:rPr>
          <w:spacing w:val="-7"/>
        </w:rPr>
        <w:t> </w:t>
      </w:r>
      <w:r>
        <w:rPr/>
        <w:t>to</w:t>
      </w:r>
      <w:r>
        <w:rPr>
          <w:spacing w:val="-7"/>
        </w:rPr>
        <w:t> </w:t>
      </w:r>
      <w:r>
        <w:rPr/>
        <w:t>tackle</w:t>
      </w:r>
      <w:r>
        <w:rPr>
          <w:spacing w:val="-7"/>
        </w:rPr>
        <w:t> </w:t>
      </w:r>
      <w:r>
        <w:rPr/>
        <w:t>its</w:t>
      </w:r>
      <w:r>
        <w:rPr>
          <w:spacing w:val="-7"/>
        </w:rPr>
        <w:t> </w:t>
      </w:r>
      <w:r>
        <w:rPr/>
        <w:t>vast range of problems in their full magnitude, reinforced by solid and practical training in the field. Integrated courses which allow for a creative and imaginative </w:t>
      </w:r>
      <w:r>
        <w:rPr>
          <w:spacing w:val="-4"/>
        </w:rPr>
        <w:t>choice</w:t>
      </w:r>
      <w:r>
        <w:rPr>
          <w:spacing w:val="-9"/>
        </w:rPr>
        <w:t> </w:t>
      </w:r>
      <w:r>
        <w:rPr>
          <w:spacing w:val="-4"/>
        </w:rPr>
        <w:t>of</w:t>
      </w:r>
      <w:r>
        <w:rPr>
          <w:spacing w:val="-5"/>
        </w:rPr>
        <w:t> </w:t>
      </w:r>
      <w:r>
        <w:rPr>
          <w:spacing w:val="-4"/>
        </w:rPr>
        <w:t>subjects</w:t>
      </w:r>
      <w:r>
        <w:rPr>
          <w:spacing w:val="-5"/>
        </w:rPr>
        <w:t> </w:t>
      </w:r>
      <w:r>
        <w:rPr>
          <w:spacing w:val="-4"/>
        </w:rPr>
        <w:t>should</w:t>
      </w:r>
      <w:r>
        <w:rPr>
          <w:spacing w:val="-5"/>
        </w:rPr>
        <w:t> </w:t>
      </w:r>
      <w:r>
        <w:rPr>
          <w:spacing w:val="-4"/>
        </w:rPr>
        <w:t>be</w:t>
      </w:r>
      <w:r>
        <w:rPr>
          <w:spacing w:val="-5"/>
        </w:rPr>
        <w:t> </w:t>
      </w:r>
      <w:r>
        <w:rPr>
          <w:spacing w:val="-4"/>
        </w:rPr>
        <w:t>designed.</w:t>
      </w:r>
      <w:r>
        <w:rPr>
          <w:spacing w:val="-10"/>
        </w:rPr>
        <w:t> </w:t>
      </w:r>
      <w:r>
        <w:rPr>
          <w:spacing w:val="-4"/>
        </w:rPr>
        <w:t>There</w:t>
      </w:r>
      <w:r>
        <w:rPr>
          <w:spacing w:val="-5"/>
        </w:rPr>
        <w:t> </w:t>
      </w:r>
      <w:r>
        <w:rPr>
          <w:spacing w:val="-4"/>
        </w:rPr>
        <w:t>could</w:t>
      </w:r>
      <w:r>
        <w:rPr>
          <w:spacing w:val="-5"/>
        </w:rPr>
        <w:t> </w:t>
      </w:r>
      <w:r>
        <w:rPr>
          <w:spacing w:val="-4"/>
        </w:rPr>
        <w:t>also </w:t>
      </w:r>
      <w:r>
        <w:rPr/>
        <w:t>be a component of Management Education within</w:t>
      </w:r>
      <w:r>
        <w:rPr>
          <w:spacing w:val="40"/>
        </w:rPr>
        <w:t> </w:t>
      </w:r>
      <w:r>
        <w:rPr/>
        <w:t>the Humanities stream. Integrated Masters programs in the Humanities that initiate a congruence of many components ranging from communication skills, traditional</w:t>
      </w:r>
      <w:r>
        <w:rPr>
          <w:spacing w:val="-2"/>
        </w:rPr>
        <w:t> </w:t>
      </w:r>
      <w:r>
        <w:rPr/>
        <w:t>knowledge</w:t>
      </w:r>
      <w:r>
        <w:rPr>
          <w:spacing w:val="-2"/>
        </w:rPr>
        <w:t> </w:t>
      </w:r>
      <w:r>
        <w:rPr/>
        <w:t>systems</w:t>
      </w:r>
      <w:r>
        <w:rPr>
          <w:spacing w:val="-2"/>
        </w:rPr>
        <w:t> </w:t>
      </w:r>
      <w:r>
        <w:rPr/>
        <w:t>and</w:t>
      </w:r>
      <w:r>
        <w:rPr>
          <w:spacing w:val="-2"/>
        </w:rPr>
        <w:t> </w:t>
      </w:r>
      <w:r>
        <w:rPr/>
        <w:t>practices,</w:t>
      </w:r>
      <w:r>
        <w:rPr>
          <w:spacing w:val="-2"/>
        </w:rPr>
        <w:t> </w:t>
      </w:r>
      <w:r>
        <w:rPr/>
        <w:t>disaster management, community life, local government, </w:t>
      </w:r>
      <w:r>
        <w:rPr>
          <w:spacing w:val="-6"/>
        </w:rPr>
        <w:t>international diplomacy, governance and conflict, public </w:t>
      </w:r>
      <w:r>
        <w:rPr/>
        <w:t>administration</w:t>
      </w:r>
      <w:r>
        <w:rPr>
          <w:spacing w:val="-11"/>
        </w:rPr>
        <w:t> </w:t>
      </w:r>
      <w:r>
        <w:rPr/>
        <w:t>and</w:t>
      </w:r>
      <w:r>
        <w:rPr>
          <w:spacing w:val="-10"/>
        </w:rPr>
        <w:t> </w:t>
      </w:r>
      <w:r>
        <w:rPr/>
        <w:t>beyond</w:t>
      </w:r>
      <w:r>
        <w:rPr>
          <w:spacing w:val="-10"/>
        </w:rPr>
        <w:t> </w:t>
      </w:r>
      <w:r>
        <w:rPr/>
        <w:t>should</w:t>
      </w:r>
      <w:r>
        <w:rPr>
          <w:spacing w:val="-10"/>
        </w:rPr>
        <w:t> </w:t>
      </w:r>
      <w:r>
        <w:rPr/>
        <w:t>be</w:t>
      </w:r>
      <w:r>
        <w:rPr>
          <w:spacing w:val="-10"/>
        </w:rPr>
        <w:t> </w:t>
      </w:r>
      <w:r>
        <w:rPr/>
        <w:t>designed.</w:t>
      </w:r>
      <w:r>
        <w:rPr>
          <w:spacing w:val="-14"/>
        </w:rPr>
        <w:t> </w:t>
      </w:r>
      <w:r>
        <w:rPr/>
        <w:t>These </w:t>
      </w:r>
      <w:r>
        <w:rPr>
          <w:spacing w:val="-8"/>
        </w:rPr>
        <w:t>courses could</w:t>
      </w:r>
      <w:r>
        <w:rPr>
          <w:spacing w:val="-6"/>
        </w:rPr>
        <w:t> </w:t>
      </w:r>
      <w:r>
        <w:rPr>
          <w:spacing w:val="-8"/>
        </w:rPr>
        <w:t>also</w:t>
      </w:r>
      <w:r>
        <w:rPr>
          <w:spacing w:val="-6"/>
        </w:rPr>
        <w:t> </w:t>
      </w:r>
      <w:r>
        <w:rPr>
          <w:spacing w:val="-8"/>
        </w:rPr>
        <w:t>be</w:t>
      </w:r>
      <w:r>
        <w:rPr>
          <w:spacing w:val="-5"/>
        </w:rPr>
        <w:t> </w:t>
      </w:r>
      <w:r>
        <w:rPr>
          <w:spacing w:val="-8"/>
        </w:rPr>
        <w:t>made</w:t>
      </w:r>
      <w:r>
        <w:rPr>
          <w:spacing w:val="-6"/>
        </w:rPr>
        <w:t> </w:t>
      </w:r>
      <w:r>
        <w:rPr>
          <w:spacing w:val="-8"/>
        </w:rPr>
        <w:t>open</w:t>
      </w:r>
      <w:r>
        <w:rPr>
          <w:spacing w:val="-6"/>
        </w:rPr>
        <w:t> </w:t>
      </w:r>
      <w:r>
        <w:rPr>
          <w:spacing w:val="-8"/>
        </w:rPr>
        <w:t>to</w:t>
      </w:r>
      <w:r>
        <w:rPr>
          <w:spacing w:val="-6"/>
        </w:rPr>
        <w:t> </w:t>
      </w:r>
      <w:r>
        <w:rPr>
          <w:spacing w:val="-8"/>
        </w:rPr>
        <w:t>international</w:t>
      </w:r>
      <w:r>
        <w:rPr>
          <w:spacing w:val="-5"/>
        </w:rPr>
        <w:t> </w:t>
      </w:r>
      <w:r>
        <w:rPr>
          <w:spacing w:val="-8"/>
        </w:rPr>
        <w:t>students, </w:t>
      </w:r>
      <w:r>
        <w:rPr>
          <w:w w:val="90"/>
        </w:rPr>
        <w:t>especially from the developing world. The courses should </w:t>
      </w:r>
      <w:r>
        <w:rPr>
          <w:spacing w:val="-4"/>
        </w:rPr>
        <w:t>relentlessly</w:t>
      </w:r>
      <w:r>
        <w:rPr>
          <w:spacing w:val="-7"/>
        </w:rPr>
        <w:t> </w:t>
      </w:r>
      <w:r>
        <w:rPr>
          <w:spacing w:val="-4"/>
        </w:rPr>
        <w:t>focus</w:t>
      </w:r>
      <w:r>
        <w:rPr>
          <w:spacing w:val="-7"/>
        </w:rPr>
        <w:t> </w:t>
      </w:r>
      <w:r>
        <w:rPr>
          <w:spacing w:val="-4"/>
        </w:rPr>
        <w:t>on</w:t>
      </w:r>
      <w:r>
        <w:rPr>
          <w:spacing w:val="-7"/>
        </w:rPr>
        <w:t> </w:t>
      </w:r>
      <w:r>
        <w:rPr>
          <w:spacing w:val="-4"/>
        </w:rPr>
        <w:t>the</w:t>
      </w:r>
      <w:r>
        <w:rPr>
          <w:spacing w:val="-7"/>
        </w:rPr>
        <w:t> </w:t>
      </w:r>
      <w:r>
        <w:rPr>
          <w:spacing w:val="-4"/>
        </w:rPr>
        <w:t>centrality</w:t>
      </w:r>
      <w:r>
        <w:rPr>
          <w:spacing w:val="-7"/>
        </w:rPr>
        <w:t> </w:t>
      </w:r>
      <w:r>
        <w:rPr>
          <w:spacing w:val="-4"/>
        </w:rPr>
        <w:t>of</w:t>
      </w:r>
      <w:r>
        <w:rPr>
          <w:spacing w:val="-7"/>
        </w:rPr>
        <w:t> </w:t>
      </w:r>
      <w:r>
        <w:rPr>
          <w:spacing w:val="-4"/>
        </w:rPr>
        <w:t>human</w:t>
      </w:r>
      <w:r>
        <w:rPr>
          <w:spacing w:val="-7"/>
        </w:rPr>
        <w:t> </w:t>
      </w:r>
      <w:r>
        <w:rPr>
          <w:spacing w:val="-4"/>
        </w:rPr>
        <w:t>living,</w:t>
      </w:r>
      <w:r>
        <w:rPr>
          <w:spacing w:val="-7"/>
        </w:rPr>
        <w:t> </w:t>
      </w:r>
      <w:r>
        <w:rPr>
          <w:spacing w:val="-4"/>
        </w:rPr>
        <w:t>and </w:t>
      </w:r>
      <w:r>
        <w:rPr/>
        <w:t>represent</w:t>
      </w:r>
      <w:r>
        <w:rPr>
          <w:spacing w:val="-14"/>
        </w:rPr>
        <w:t> </w:t>
      </w:r>
      <w:r>
        <w:rPr/>
        <w:t>a</w:t>
      </w:r>
      <w:r>
        <w:rPr>
          <w:spacing w:val="-14"/>
        </w:rPr>
        <w:t> </w:t>
      </w:r>
      <w:r>
        <w:rPr/>
        <w:t>thorough</w:t>
      </w:r>
      <w:r>
        <w:rPr>
          <w:spacing w:val="-14"/>
        </w:rPr>
        <w:t> </w:t>
      </w:r>
      <w:r>
        <w:rPr/>
        <w:t>amalgam</w:t>
      </w:r>
      <w:r>
        <w:rPr>
          <w:spacing w:val="-13"/>
        </w:rPr>
        <w:t> </w:t>
      </w:r>
      <w:r>
        <w:rPr/>
        <w:t>of</w:t>
      </w:r>
      <w:r>
        <w:rPr>
          <w:spacing w:val="-14"/>
        </w:rPr>
        <w:t> </w:t>
      </w:r>
      <w:r>
        <w:rPr/>
        <w:t>its</w:t>
      </w:r>
      <w:r>
        <w:rPr>
          <w:spacing w:val="-14"/>
        </w:rPr>
        <w:t> </w:t>
      </w:r>
      <w:r>
        <w:rPr/>
        <w:t>constituents,</w:t>
      </w:r>
      <w:r>
        <w:rPr>
          <w:spacing w:val="-14"/>
        </w:rPr>
        <w:t> </w:t>
      </w:r>
      <w:r>
        <w:rPr/>
        <w:t>with the</w:t>
      </w:r>
      <w:r>
        <w:rPr>
          <w:spacing w:val="-5"/>
        </w:rPr>
        <w:t> </w:t>
      </w:r>
      <w:r>
        <w:rPr/>
        <w:t>first</w:t>
      </w:r>
      <w:r>
        <w:rPr>
          <w:spacing w:val="-5"/>
        </w:rPr>
        <w:t> </w:t>
      </w:r>
      <w:r>
        <w:rPr/>
        <w:t>two</w:t>
      </w:r>
      <w:r>
        <w:rPr>
          <w:spacing w:val="-5"/>
        </w:rPr>
        <w:t> </w:t>
      </w:r>
      <w:r>
        <w:rPr/>
        <w:t>years</w:t>
      </w:r>
      <w:r>
        <w:rPr>
          <w:spacing w:val="-5"/>
        </w:rPr>
        <w:t> </w:t>
      </w:r>
      <w:r>
        <w:rPr/>
        <w:t>devoted</w:t>
      </w:r>
      <w:r>
        <w:rPr>
          <w:spacing w:val="-5"/>
        </w:rPr>
        <w:t> </w:t>
      </w:r>
      <w:r>
        <w:rPr/>
        <w:t>to</w:t>
      </w:r>
      <w:r>
        <w:rPr>
          <w:spacing w:val="-5"/>
        </w:rPr>
        <w:t> </w:t>
      </w:r>
      <w:r>
        <w:rPr/>
        <w:t>theoretical</w:t>
      </w:r>
      <w:r>
        <w:rPr>
          <w:spacing w:val="-5"/>
        </w:rPr>
        <w:t> </w:t>
      </w:r>
      <w:r>
        <w:rPr/>
        <w:t>foundations, the next two years to applied aspects, and the final </w:t>
      </w:r>
      <w:r>
        <w:rPr>
          <w:spacing w:val="-2"/>
        </w:rPr>
        <w:t>year</w:t>
      </w:r>
      <w:r>
        <w:rPr>
          <w:spacing w:val="-11"/>
        </w:rPr>
        <w:t> </w:t>
      </w:r>
      <w:r>
        <w:rPr>
          <w:spacing w:val="-2"/>
        </w:rPr>
        <w:t>to</w:t>
      </w:r>
      <w:r>
        <w:rPr>
          <w:spacing w:val="-11"/>
        </w:rPr>
        <w:t> </w:t>
      </w:r>
      <w:r>
        <w:rPr>
          <w:spacing w:val="-2"/>
        </w:rPr>
        <w:t>practical</w:t>
      </w:r>
      <w:r>
        <w:rPr>
          <w:spacing w:val="-11"/>
        </w:rPr>
        <w:t> </w:t>
      </w:r>
      <w:r>
        <w:rPr>
          <w:spacing w:val="-2"/>
        </w:rPr>
        <w:t>field</w:t>
      </w:r>
      <w:r>
        <w:rPr>
          <w:spacing w:val="-11"/>
        </w:rPr>
        <w:t> </w:t>
      </w:r>
      <w:r>
        <w:rPr>
          <w:spacing w:val="-2"/>
        </w:rPr>
        <w:t>work.</w:t>
      </w:r>
      <w:r>
        <w:rPr>
          <w:spacing w:val="-11"/>
        </w:rPr>
        <w:t> </w:t>
      </w:r>
      <w:r>
        <w:rPr>
          <w:spacing w:val="-2"/>
        </w:rPr>
        <w:t>Such</w:t>
      </w:r>
      <w:r>
        <w:rPr>
          <w:spacing w:val="-11"/>
        </w:rPr>
        <w:t> </w:t>
      </w:r>
      <w:r>
        <w:rPr>
          <w:spacing w:val="-2"/>
        </w:rPr>
        <w:t>programs</w:t>
      </w:r>
      <w:r>
        <w:rPr>
          <w:spacing w:val="-11"/>
        </w:rPr>
        <w:t> </w:t>
      </w:r>
      <w:r>
        <w:rPr>
          <w:spacing w:val="-2"/>
        </w:rPr>
        <w:t>would</w:t>
      </w:r>
      <w:r>
        <w:rPr>
          <w:spacing w:val="-11"/>
        </w:rPr>
        <w:t> </w:t>
      </w:r>
      <w:r>
        <w:rPr>
          <w:spacing w:val="-2"/>
        </w:rPr>
        <w:t>also </w:t>
      </w:r>
      <w:r>
        <w:rPr/>
        <w:t>improve</w:t>
      </w:r>
      <w:r>
        <w:rPr>
          <w:spacing w:val="-3"/>
        </w:rPr>
        <w:t> </w:t>
      </w:r>
      <w:r>
        <w:rPr/>
        <w:t>the</w:t>
      </w:r>
      <w:r>
        <w:rPr>
          <w:spacing w:val="-3"/>
        </w:rPr>
        <w:t> </w:t>
      </w:r>
      <w:r>
        <w:rPr/>
        <w:t>quality</w:t>
      </w:r>
      <w:r>
        <w:rPr>
          <w:spacing w:val="-3"/>
        </w:rPr>
        <w:t> </w:t>
      </w:r>
      <w:r>
        <w:rPr/>
        <w:t>of</w:t>
      </w:r>
      <w:r>
        <w:rPr>
          <w:spacing w:val="-3"/>
        </w:rPr>
        <w:t> </w:t>
      </w:r>
      <w:r>
        <w:rPr/>
        <w:t>work</w:t>
      </w:r>
      <w:r>
        <w:rPr>
          <w:spacing w:val="-3"/>
        </w:rPr>
        <w:t> </w:t>
      </w:r>
      <w:r>
        <w:rPr/>
        <w:t>at</w:t>
      </w:r>
      <w:r>
        <w:rPr>
          <w:spacing w:val="-3"/>
        </w:rPr>
        <w:t> </w:t>
      </w:r>
      <w:r>
        <w:rPr/>
        <w:t>the</w:t>
      </w:r>
      <w:r>
        <w:rPr>
          <w:spacing w:val="-3"/>
        </w:rPr>
        <w:t> </w:t>
      </w:r>
      <w:r>
        <w:rPr/>
        <w:t>doctoral</w:t>
      </w:r>
      <w:r>
        <w:rPr>
          <w:spacing w:val="-3"/>
        </w:rPr>
        <w:t> </w:t>
      </w:r>
      <w:r>
        <w:rPr/>
        <w:t>level.</w:t>
      </w:r>
    </w:p>
    <w:p>
      <w:pPr>
        <w:pStyle w:val="BodyText"/>
        <w:spacing w:before="7"/>
      </w:pPr>
    </w:p>
    <w:p>
      <w:pPr>
        <w:pStyle w:val="BodyText"/>
        <w:spacing w:line="266" w:lineRule="auto"/>
        <w:ind w:left="319" w:right="1077"/>
        <w:jc w:val="both"/>
      </w:pPr>
      <w:r>
        <w:rPr/>
        <w:t>Industries probably do not have a tangible stake in </w:t>
      </w:r>
      <w:r>
        <w:rPr>
          <w:spacing w:val="-2"/>
        </w:rPr>
        <w:t>funding</w:t>
      </w:r>
      <w:r>
        <w:rPr>
          <w:spacing w:val="-12"/>
        </w:rPr>
        <w:t> </w:t>
      </w:r>
      <w:r>
        <w:rPr>
          <w:spacing w:val="-2"/>
        </w:rPr>
        <w:t>basic</w:t>
      </w:r>
      <w:r>
        <w:rPr>
          <w:spacing w:val="-12"/>
        </w:rPr>
        <w:t> </w:t>
      </w:r>
      <w:r>
        <w:rPr>
          <w:spacing w:val="-2"/>
        </w:rPr>
        <w:t>research</w:t>
      </w:r>
      <w:r>
        <w:rPr>
          <w:spacing w:val="-12"/>
        </w:rPr>
        <w:t> </w:t>
      </w:r>
      <w:r>
        <w:rPr>
          <w:spacing w:val="-2"/>
        </w:rPr>
        <w:t>in</w:t>
      </w:r>
      <w:r>
        <w:rPr>
          <w:spacing w:val="-11"/>
        </w:rPr>
        <w:t> </w:t>
      </w:r>
      <w:r>
        <w:rPr>
          <w:spacing w:val="-2"/>
        </w:rPr>
        <w:t>social</w:t>
      </w:r>
      <w:r>
        <w:rPr>
          <w:spacing w:val="-12"/>
        </w:rPr>
        <w:t> </w:t>
      </w:r>
      <w:r>
        <w:rPr>
          <w:spacing w:val="-2"/>
        </w:rPr>
        <w:t>sciences.</w:t>
      </w:r>
      <w:r>
        <w:rPr>
          <w:spacing w:val="-12"/>
        </w:rPr>
        <w:t> </w:t>
      </w:r>
      <w:r>
        <w:rPr>
          <w:spacing w:val="-2"/>
        </w:rPr>
        <w:t>Hence</w:t>
      </w:r>
      <w:r>
        <w:rPr>
          <w:spacing w:val="-12"/>
        </w:rPr>
        <w:t> </w:t>
      </w:r>
      <w:r>
        <w:rPr>
          <w:spacing w:val="-2"/>
        </w:rPr>
        <w:t>public </w:t>
      </w:r>
      <w:r>
        <w:rPr/>
        <w:t>funding is vital to ensure research and progress in these areas. It should be recognised that knowledge in these areas contributes directly to the wellbeing of society</w:t>
      </w:r>
      <w:r>
        <w:rPr>
          <w:spacing w:val="-14"/>
        </w:rPr>
        <w:t> </w:t>
      </w:r>
      <w:r>
        <w:rPr/>
        <w:t>and</w:t>
      </w:r>
      <w:r>
        <w:rPr>
          <w:spacing w:val="-14"/>
        </w:rPr>
        <w:t> </w:t>
      </w:r>
      <w:r>
        <w:rPr/>
        <w:t>also</w:t>
      </w:r>
      <w:r>
        <w:rPr>
          <w:spacing w:val="-14"/>
        </w:rPr>
        <w:t> </w:t>
      </w:r>
      <w:r>
        <w:rPr/>
        <w:t>in</w:t>
      </w:r>
      <w:r>
        <w:rPr>
          <w:spacing w:val="-13"/>
        </w:rPr>
        <w:t> </w:t>
      </w:r>
      <w:r>
        <w:rPr/>
        <w:t>nurturing</w:t>
      </w:r>
      <w:r>
        <w:rPr>
          <w:spacing w:val="-14"/>
        </w:rPr>
        <w:t> </w:t>
      </w:r>
      <w:r>
        <w:rPr/>
        <w:t>a</w:t>
      </w:r>
      <w:r>
        <w:rPr>
          <w:spacing w:val="-14"/>
        </w:rPr>
        <w:t> </w:t>
      </w:r>
      <w:r>
        <w:rPr/>
        <w:t>sense</w:t>
      </w:r>
      <w:r>
        <w:rPr>
          <w:spacing w:val="-14"/>
        </w:rPr>
        <w:t> </w:t>
      </w:r>
      <w:r>
        <w:rPr/>
        <w:t>of</w:t>
      </w:r>
      <w:r>
        <w:rPr>
          <w:spacing w:val="-13"/>
        </w:rPr>
        <w:t> </w:t>
      </w:r>
      <w:r>
        <w:rPr/>
        <w:t>pride</w:t>
      </w:r>
      <w:r>
        <w:rPr>
          <w:spacing w:val="-14"/>
        </w:rPr>
        <w:t> </w:t>
      </w:r>
      <w:r>
        <w:rPr/>
        <w:t>about</w:t>
      </w:r>
      <w:r>
        <w:rPr>
          <w:spacing w:val="-14"/>
        </w:rPr>
        <w:t> </w:t>
      </w:r>
      <w:r>
        <w:rPr/>
        <w:t>our cultural heritage.</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line="266" w:lineRule="auto" w:before="57"/>
        <w:ind w:left="1079"/>
        <w:jc w:val="both"/>
      </w:pPr>
      <w:r>
        <w:rPr>
          <w:spacing w:val="-6"/>
        </w:rPr>
        <w:t>Overall, undergraduate and postgraduate courses </w:t>
      </w:r>
      <w:r>
        <w:rPr>
          <w:spacing w:val="-6"/>
        </w:rPr>
        <w:t>should </w:t>
      </w:r>
      <w:r>
        <w:rPr/>
        <w:t>offer a wider bouquet of subjects within a credit and semester system.</w:t>
      </w:r>
    </w:p>
    <w:p>
      <w:pPr>
        <w:pStyle w:val="BodyText"/>
        <w:spacing w:before="2"/>
      </w:pPr>
    </w:p>
    <w:p>
      <w:pPr>
        <w:pStyle w:val="Heading7"/>
        <w:spacing w:line="225" w:lineRule="auto"/>
        <w:ind w:left="1079"/>
      </w:pPr>
      <w:r>
        <w:rPr>
          <w:color w:val="2E614A"/>
          <w:spacing w:val="-10"/>
        </w:rPr>
        <w:t>Recommendation</w:t>
      </w:r>
      <w:r>
        <w:rPr>
          <w:color w:val="2E614A"/>
        </w:rPr>
        <w:t> </w:t>
      </w:r>
      <w:r>
        <w:rPr>
          <w:color w:val="2E614A"/>
          <w:spacing w:val="-10"/>
        </w:rPr>
        <w:t>10:</w:t>
      </w:r>
      <w:r>
        <w:rPr>
          <w:color w:val="2E614A"/>
        </w:rPr>
        <w:t> </w:t>
      </w:r>
      <w:r>
        <w:rPr>
          <w:color w:val="2E614A"/>
          <w:spacing w:val="-10"/>
        </w:rPr>
        <w:t>Promote</w:t>
      </w:r>
      <w:r>
        <w:rPr>
          <w:color w:val="2E614A"/>
        </w:rPr>
        <w:t> </w:t>
      </w:r>
      <w:r>
        <w:rPr>
          <w:color w:val="2E614A"/>
          <w:spacing w:val="-10"/>
        </w:rPr>
        <w:t>excellence</w:t>
      </w:r>
      <w:r>
        <w:rPr>
          <w:color w:val="2E614A"/>
        </w:rPr>
        <w:t> </w:t>
      </w:r>
      <w:r>
        <w:rPr>
          <w:color w:val="2E614A"/>
          <w:spacing w:val="-10"/>
        </w:rPr>
        <w:t>at </w:t>
      </w:r>
      <w:r>
        <w:rPr>
          <w:color w:val="2E614A"/>
          <w:spacing w:val="-4"/>
        </w:rPr>
        <w:t>research</w:t>
      </w:r>
      <w:r>
        <w:rPr>
          <w:color w:val="2E614A"/>
          <w:spacing w:val="-13"/>
        </w:rPr>
        <w:t> </w:t>
      </w:r>
      <w:r>
        <w:rPr>
          <w:color w:val="2E614A"/>
          <w:spacing w:val="-4"/>
        </w:rPr>
        <w:t>institutes</w:t>
      </w:r>
      <w:r>
        <w:rPr>
          <w:color w:val="2E614A"/>
          <w:spacing w:val="-12"/>
        </w:rPr>
        <w:t> </w:t>
      </w:r>
      <w:r>
        <w:rPr>
          <w:color w:val="2E614A"/>
          <w:spacing w:val="-4"/>
        </w:rPr>
        <w:t>and</w:t>
      </w:r>
      <w:r>
        <w:rPr>
          <w:color w:val="2E614A"/>
          <w:spacing w:val="-12"/>
        </w:rPr>
        <w:t> </w:t>
      </w:r>
      <w:r>
        <w:rPr>
          <w:color w:val="2E614A"/>
          <w:spacing w:val="-4"/>
        </w:rPr>
        <w:t>universities</w:t>
      </w:r>
    </w:p>
    <w:p>
      <w:pPr>
        <w:pStyle w:val="BodyText"/>
        <w:spacing w:before="2"/>
        <w:rPr>
          <w:b/>
          <w:sz w:val="26"/>
        </w:rPr>
      </w:pPr>
    </w:p>
    <w:p>
      <w:pPr>
        <w:pStyle w:val="BodyText"/>
        <w:spacing w:line="266" w:lineRule="auto"/>
        <w:ind w:left="1079"/>
        <w:jc w:val="both"/>
      </w:pPr>
      <w:r>
        <w:rPr>
          <w:b/>
          <w:spacing w:val="-2"/>
        </w:rPr>
        <w:t>Issues:</w:t>
      </w:r>
      <w:r>
        <w:rPr>
          <w:b/>
          <w:spacing w:val="-12"/>
        </w:rPr>
        <w:t> </w:t>
      </w:r>
      <w:r>
        <w:rPr>
          <w:spacing w:val="-2"/>
        </w:rPr>
        <w:t>Research</w:t>
      </w:r>
      <w:r>
        <w:rPr>
          <w:spacing w:val="-12"/>
        </w:rPr>
        <w:t> </w:t>
      </w:r>
      <w:r>
        <w:rPr>
          <w:spacing w:val="-2"/>
        </w:rPr>
        <w:t>institutions</w:t>
      </w:r>
      <w:r>
        <w:rPr>
          <w:spacing w:val="-12"/>
        </w:rPr>
        <w:t> </w:t>
      </w:r>
      <w:r>
        <w:rPr>
          <w:spacing w:val="-2"/>
        </w:rPr>
        <w:t>have</w:t>
      </w:r>
      <w:r>
        <w:rPr>
          <w:spacing w:val="-11"/>
        </w:rPr>
        <w:t> </w:t>
      </w:r>
      <w:r>
        <w:rPr>
          <w:spacing w:val="-2"/>
        </w:rPr>
        <w:t>maintained</w:t>
      </w:r>
      <w:r>
        <w:rPr>
          <w:spacing w:val="-12"/>
        </w:rPr>
        <w:t> </w:t>
      </w:r>
      <w:r>
        <w:rPr>
          <w:spacing w:val="-2"/>
        </w:rPr>
        <w:t>a</w:t>
      </w:r>
      <w:r>
        <w:rPr>
          <w:spacing w:val="-12"/>
        </w:rPr>
        <w:t> </w:t>
      </w:r>
      <w:r>
        <w:rPr>
          <w:spacing w:val="-2"/>
        </w:rPr>
        <w:t>lead</w:t>
      </w:r>
      <w:r>
        <w:rPr>
          <w:spacing w:val="-12"/>
        </w:rPr>
        <w:t> </w:t>
      </w:r>
      <w:r>
        <w:rPr>
          <w:spacing w:val="-2"/>
        </w:rPr>
        <w:t>in </w:t>
      </w:r>
      <w:r>
        <w:rPr/>
        <w:t>research</w:t>
      </w:r>
      <w:r>
        <w:rPr>
          <w:spacing w:val="-12"/>
        </w:rPr>
        <w:t> </w:t>
      </w:r>
      <w:r>
        <w:rPr/>
        <w:t>activities</w:t>
      </w:r>
      <w:r>
        <w:rPr>
          <w:spacing w:val="-12"/>
        </w:rPr>
        <w:t> </w:t>
      </w:r>
      <w:r>
        <w:rPr/>
        <w:t>in</w:t>
      </w:r>
      <w:r>
        <w:rPr>
          <w:spacing w:val="-12"/>
        </w:rPr>
        <w:t> </w:t>
      </w:r>
      <w:r>
        <w:rPr/>
        <w:t>the</w:t>
      </w:r>
      <w:r>
        <w:rPr>
          <w:spacing w:val="-12"/>
        </w:rPr>
        <w:t> </w:t>
      </w:r>
      <w:r>
        <w:rPr/>
        <w:t>country.</w:t>
      </w:r>
      <w:r>
        <w:rPr>
          <w:spacing w:val="-12"/>
        </w:rPr>
        <w:t> </w:t>
      </w:r>
      <w:r>
        <w:rPr/>
        <w:t>However,</w:t>
      </w:r>
      <w:r>
        <w:rPr>
          <w:spacing w:val="-12"/>
        </w:rPr>
        <w:t> </w:t>
      </w:r>
      <w:r>
        <w:rPr/>
        <w:t>they</w:t>
      </w:r>
      <w:r>
        <w:rPr>
          <w:spacing w:val="-12"/>
        </w:rPr>
        <w:t> </w:t>
      </w:r>
      <w:r>
        <w:rPr/>
        <w:t>need to</w:t>
      </w:r>
      <w:r>
        <w:rPr>
          <w:spacing w:val="-14"/>
        </w:rPr>
        <w:t> </w:t>
      </w:r>
      <w:r>
        <w:rPr/>
        <w:t>play</w:t>
      </w:r>
      <w:r>
        <w:rPr>
          <w:spacing w:val="-14"/>
        </w:rPr>
        <w:t> </w:t>
      </w:r>
      <w:r>
        <w:rPr/>
        <w:t>a</w:t>
      </w:r>
      <w:r>
        <w:rPr>
          <w:spacing w:val="-14"/>
        </w:rPr>
        <w:t> </w:t>
      </w:r>
      <w:r>
        <w:rPr/>
        <w:t>larger</w:t>
      </w:r>
      <w:r>
        <w:rPr>
          <w:spacing w:val="-13"/>
        </w:rPr>
        <w:t> </w:t>
      </w:r>
      <w:r>
        <w:rPr/>
        <w:t>role</w:t>
      </w:r>
      <w:r>
        <w:rPr>
          <w:spacing w:val="-14"/>
        </w:rPr>
        <w:t> </w:t>
      </w:r>
      <w:r>
        <w:rPr/>
        <w:t>in</w:t>
      </w:r>
      <w:r>
        <w:rPr>
          <w:spacing w:val="-14"/>
        </w:rPr>
        <w:t> </w:t>
      </w:r>
      <w:r>
        <w:rPr/>
        <w:t>academic</w:t>
      </w:r>
      <w:r>
        <w:rPr>
          <w:spacing w:val="-14"/>
        </w:rPr>
        <w:t> </w:t>
      </w:r>
      <w:r>
        <w:rPr/>
        <w:t>activities</w:t>
      </w:r>
      <w:r>
        <w:rPr>
          <w:spacing w:val="-13"/>
        </w:rPr>
        <w:t> </w:t>
      </w:r>
      <w:r>
        <w:rPr/>
        <w:t>by</w:t>
      </w:r>
      <w:r>
        <w:rPr>
          <w:spacing w:val="-14"/>
        </w:rPr>
        <w:t> </w:t>
      </w:r>
      <w:r>
        <w:rPr/>
        <w:t>means</w:t>
      </w:r>
      <w:r>
        <w:rPr>
          <w:spacing w:val="-14"/>
        </w:rPr>
        <w:t> </w:t>
      </w:r>
      <w:r>
        <w:rPr/>
        <w:t>of linkages with universities etc.</w:t>
      </w:r>
    </w:p>
    <w:p>
      <w:pPr>
        <w:pStyle w:val="BodyText"/>
        <w:spacing w:before="23"/>
      </w:pPr>
    </w:p>
    <w:p>
      <w:pPr>
        <w:pStyle w:val="ListParagraph"/>
        <w:numPr>
          <w:ilvl w:val="1"/>
          <w:numId w:val="27"/>
        </w:numPr>
        <w:tabs>
          <w:tab w:pos="1546" w:val="left" w:leader="none"/>
        </w:tabs>
        <w:spacing w:line="266" w:lineRule="auto" w:before="1" w:after="0"/>
        <w:ind w:left="1079" w:right="0" w:firstLine="0"/>
        <w:jc w:val="both"/>
        <w:rPr>
          <w:sz w:val="22"/>
        </w:rPr>
      </w:pPr>
      <w:r>
        <w:rPr>
          <w:b/>
          <w:spacing w:val="-4"/>
          <w:sz w:val="22"/>
        </w:rPr>
        <w:t>Research Institutes: </w:t>
      </w:r>
      <w:r>
        <w:rPr>
          <w:spacing w:val="-4"/>
          <w:sz w:val="22"/>
        </w:rPr>
        <w:t>To promote better </w:t>
      </w:r>
      <w:r>
        <w:rPr>
          <w:spacing w:val="-4"/>
          <w:sz w:val="22"/>
        </w:rPr>
        <w:t>managed </w:t>
      </w:r>
      <w:r>
        <w:rPr>
          <w:sz w:val="22"/>
        </w:rPr>
        <w:t>institutions, it is essential to groom leaders who can take the institutions forward. Governance of the institution should be based on democratic principles. Wider feedback from scientists at all levels should</w:t>
      </w:r>
      <w:r>
        <w:rPr>
          <w:spacing w:val="40"/>
          <w:sz w:val="22"/>
        </w:rPr>
        <w:t> </w:t>
      </w:r>
      <w:r>
        <w:rPr>
          <w:sz w:val="22"/>
        </w:rPr>
        <w:t>be taken. An independent Board of Governors with respectable</w:t>
      </w:r>
      <w:r>
        <w:rPr>
          <w:spacing w:val="-11"/>
          <w:sz w:val="22"/>
        </w:rPr>
        <w:t> </w:t>
      </w:r>
      <w:r>
        <w:rPr>
          <w:sz w:val="22"/>
        </w:rPr>
        <w:t>members</w:t>
      </w:r>
      <w:r>
        <w:rPr>
          <w:spacing w:val="-11"/>
          <w:sz w:val="22"/>
        </w:rPr>
        <w:t> </w:t>
      </w:r>
      <w:r>
        <w:rPr>
          <w:sz w:val="22"/>
        </w:rPr>
        <w:t>from</w:t>
      </w:r>
      <w:r>
        <w:rPr>
          <w:spacing w:val="-11"/>
          <w:sz w:val="22"/>
        </w:rPr>
        <w:t> </w:t>
      </w:r>
      <w:r>
        <w:rPr>
          <w:sz w:val="22"/>
        </w:rPr>
        <w:t>academia</w:t>
      </w:r>
      <w:r>
        <w:rPr>
          <w:spacing w:val="-11"/>
          <w:sz w:val="22"/>
        </w:rPr>
        <w:t> </w:t>
      </w:r>
      <w:r>
        <w:rPr>
          <w:sz w:val="22"/>
        </w:rPr>
        <w:t>and</w:t>
      </w:r>
      <w:r>
        <w:rPr>
          <w:spacing w:val="-11"/>
          <w:sz w:val="22"/>
        </w:rPr>
        <w:t> </w:t>
      </w:r>
      <w:r>
        <w:rPr>
          <w:sz w:val="22"/>
        </w:rPr>
        <w:t>civil</w:t>
      </w:r>
      <w:r>
        <w:rPr>
          <w:spacing w:val="-11"/>
          <w:sz w:val="22"/>
        </w:rPr>
        <w:t> </w:t>
      </w:r>
      <w:r>
        <w:rPr>
          <w:sz w:val="22"/>
        </w:rPr>
        <w:t>society </w:t>
      </w:r>
      <w:r>
        <w:rPr>
          <w:spacing w:val="-4"/>
          <w:sz w:val="22"/>
        </w:rPr>
        <w:t>should</w:t>
      </w:r>
      <w:r>
        <w:rPr>
          <w:spacing w:val="-10"/>
          <w:sz w:val="22"/>
        </w:rPr>
        <w:t> </w:t>
      </w:r>
      <w:r>
        <w:rPr>
          <w:spacing w:val="-4"/>
          <w:sz w:val="22"/>
        </w:rPr>
        <w:t>be</w:t>
      </w:r>
      <w:r>
        <w:rPr>
          <w:spacing w:val="-5"/>
          <w:sz w:val="22"/>
        </w:rPr>
        <w:t> </w:t>
      </w:r>
      <w:r>
        <w:rPr>
          <w:spacing w:val="-4"/>
          <w:sz w:val="22"/>
        </w:rPr>
        <w:t>constituted</w:t>
      </w:r>
      <w:r>
        <w:rPr>
          <w:spacing w:val="-5"/>
          <w:sz w:val="22"/>
        </w:rPr>
        <w:t> </w:t>
      </w:r>
      <w:r>
        <w:rPr>
          <w:spacing w:val="-4"/>
          <w:sz w:val="22"/>
        </w:rPr>
        <w:t>for</w:t>
      </w:r>
      <w:r>
        <w:rPr>
          <w:spacing w:val="-5"/>
          <w:sz w:val="22"/>
        </w:rPr>
        <w:t> </w:t>
      </w:r>
      <w:r>
        <w:rPr>
          <w:spacing w:val="-4"/>
          <w:sz w:val="22"/>
        </w:rPr>
        <w:t>each</w:t>
      </w:r>
      <w:r>
        <w:rPr>
          <w:spacing w:val="-5"/>
          <w:sz w:val="22"/>
        </w:rPr>
        <w:t> </w:t>
      </w:r>
      <w:r>
        <w:rPr>
          <w:spacing w:val="-4"/>
          <w:sz w:val="22"/>
        </w:rPr>
        <w:t>institution.</w:t>
      </w:r>
      <w:r>
        <w:rPr>
          <w:spacing w:val="-10"/>
          <w:sz w:val="22"/>
        </w:rPr>
        <w:t> </w:t>
      </w:r>
      <w:r>
        <w:rPr>
          <w:spacing w:val="-4"/>
          <w:sz w:val="22"/>
        </w:rPr>
        <w:t>Transparency </w:t>
      </w:r>
      <w:r>
        <w:rPr>
          <w:sz w:val="22"/>
        </w:rPr>
        <w:t>in recruitment of faculty members is necessary and </w:t>
      </w:r>
      <w:r>
        <w:rPr>
          <w:spacing w:val="-2"/>
          <w:sz w:val="22"/>
        </w:rPr>
        <w:t>promotions</w:t>
      </w:r>
      <w:r>
        <w:rPr>
          <w:spacing w:val="-9"/>
          <w:sz w:val="22"/>
        </w:rPr>
        <w:t> </w:t>
      </w:r>
      <w:r>
        <w:rPr>
          <w:spacing w:val="-2"/>
          <w:sz w:val="22"/>
        </w:rPr>
        <w:t>based</w:t>
      </w:r>
      <w:r>
        <w:rPr>
          <w:spacing w:val="-9"/>
          <w:sz w:val="22"/>
        </w:rPr>
        <w:t> </w:t>
      </w:r>
      <w:r>
        <w:rPr>
          <w:spacing w:val="-2"/>
          <w:sz w:val="22"/>
        </w:rPr>
        <w:t>on</w:t>
      </w:r>
      <w:r>
        <w:rPr>
          <w:spacing w:val="-9"/>
          <w:sz w:val="22"/>
        </w:rPr>
        <w:t> </w:t>
      </w:r>
      <w:r>
        <w:rPr>
          <w:spacing w:val="-2"/>
          <w:sz w:val="22"/>
        </w:rPr>
        <w:t>appraisals</w:t>
      </w:r>
      <w:r>
        <w:rPr>
          <w:spacing w:val="-9"/>
          <w:sz w:val="22"/>
        </w:rPr>
        <w:t> </w:t>
      </w:r>
      <w:r>
        <w:rPr>
          <w:spacing w:val="-2"/>
          <w:sz w:val="22"/>
        </w:rPr>
        <w:t>should</w:t>
      </w:r>
      <w:r>
        <w:rPr>
          <w:spacing w:val="-9"/>
          <w:sz w:val="22"/>
        </w:rPr>
        <w:t> </w:t>
      </w:r>
      <w:r>
        <w:rPr>
          <w:spacing w:val="-2"/>
          <w:sz w:val="22"/>
        </w:rPr>
        <w:t>be</w:t>
      </w:r>
      <w:r>
        <w:rPr>
          <w:spacing w:val="-9"/>
          <w:sz w:val="22"/>
        </w:rPr>
        <w:t> </w:t>
      </w:r>
      <w:r>
        <w:rPr>
          <w:spacing w:val="-2"/>
          <w:sz w:val="22"/>
        </w:rPr>
        <w:t>encouraged. </w:t>
      </w:r>
      <w:r>
        <w:rPr>
          <w:spacing w:val="-4"/>
          <w:sz w:val="22"/>
        </w:rPr>
        <w:t>An efficient administration totally devoid of corruption </w:t>
      </w:r>
      <w:r>
        <w:rPr>
          <w:sz w:val="22"/>
        </w:rPr>
        <w:t>should be put in place.</w:t>
      </w:r>
    </w:p>
    <w:p>
      <w:pPr>
        <w:pStyle w:val="BodyText"/>
        <w:spacing w:before="17"/>
      </w:pPr>
    </w:p>
    <w:p>
      <w:pPr>
        <w:pStyle w:val="BodyText"/>
        <w:spacing w:line="266" w:lineRule="auto"/>
        <w:ind w:left="1079"/>
        <w:jc w:val="both"/>
      </w:pPr>
      <w:r>
        <w:rPr>
          <w:spacing w:val="-4"/>
        </w:rPr>
        <w:t>The</w:t>
      </w:r>
      <w:r>
        <w:rPr>
          <w:spacing w:val="-5"/>
        </w:rPr>
        <w:t> </w:t>
      </w:r>
      <w:r>
        <w:rPr>
          <w:spacing w:val="-4"/>
        </w:rPr>
        <w:t>research</w:t>
      </w:r>
      <w:r>
        <w:rPr>
          <w:spacing w:val="-5"/>
        </w:rPr>
        <w:t> </w:t>
      </w:r>
      <w:r>
        <w:rPr>
          <w:spacing w:val="-4"/>
        </w:rPr>
        <w:t>institute</w:t>
      </w:r>
      <w:r>
        <w:rPr>
          <w:spacing w:val="-5"/>
        </w:rPr>
        <w:t> </w:t>
      </w:r>
      <w:r>
        <w:rPr>
          <w:spacing w:val="-4"/>
        </w:rPr>
        <w:t>should</w:t>
      </w:r>
      <w:r>
        <w:rPr>
          <w:spacing w:val="-5"/>
        </w:rPr>
        <w:t> </w:t>
      </w:r>
      <w:r>
        <w:rPr>
          <w:spacing w:val="-4"/>
        </w:rPr>
        <w:t>be</w:t>
      </w:r>
      <w:r>
        <w:rPr>
          <w:spacing w:val="-5"/>
        </w:rPr>
        <w:t> </w:t>
      </w:r>
      <w:r>
        <w:rPr>
          <w:spacing w:val="-4"/>
        </w:rPr>
        <w:t>nimble</w:t>
      </w:r>
      <w:r>
        <w:rPr>
          <w:spacing w:val="-5"/>
        </w:rPr>
        <w:t> </w:t>
      </w:r>
      <w:r>
        <w:rPr>
          <w:spacing w:val="-4"/>
        </w:rPr>
        <w:t>and</w:t>
      </w:r>
      <w:r>
        <w:rPr>
          <w:spacing w:val="-5"/>
        </w:rPr>
        <w:t> </w:t>
      </w:r>
      <w:r>
        <w:rPr>
          <w:spacing w:val="-4"/>
        </w:rPr>
        <w:t>dynamic</w:t>
      </w:r>
      <w:r>
        <w:rPr>
          <w:spacing w:val="-5"/>
        </w:rPr>
        <w:t> </w:t>
      </w:r>
      <w:r>
        <w:rPr>
          <w:spacing w:val="-4"/>
        </w:rPr>
        <w:t>in </w:t>
      </w:r>
      <w:r>
        <w:rPr>
          <w:spacing w:val="-6"/>
        </w:rPr>
        <w:t>developing new areas</w:t>
      </w:r>
      <w:r>
        <w:rPr>
          <w:spacing w:val="-7"/>
        </w:rPr>
        <w:t> </w:t>
      </w:r>
      <w:r>
        <w:rPr>
          <w:spacing w:val="-6"/>
        </w:rPr>
        <w:t>of research. Industrial</w:t>
      </w:r>
      <w:r>
        <w:rPr>
          <w:spacing w:val="-7"/>
        </w:rPr>
        <w:t> </w:t>
      </w:r>
      <w:r>
        <w:rPr>
          <w:spacing w:val="-6"/>
        </w:rPr>
        <w:t>consultancy </w:t>
      </w:r>
      <w:r>
        <w:rPr/>
        <w:t>group should be developed in application research based institutes. This will bring in funds, ideas and </w:t>
      </w:r>
      <w:r>
        <w:rPr>
          <w:spacing w:val="-2"/>
        </w:rPr>
        <w:t>much</w:t>
      </w:r>
      <w:r>
        <w:rPr>
          <w:spacing w:val="-10"/>
        </w:rPr>
        <w:t> </w:t>
      </w:r>
      <w:r>
        <w:rPr>
          <w:spacing w:val="-2"/>
        </w:rPr>
        <w:t>needed</w:t>
      </w:r>
      <w:r>
        <w:rPr>
          <w:spacing w:val="-10"/>
        </w:rPr>
        <w:t> </w:t>
      </w:r>
      <w:r>
        <w:rPr>
          <w:spacing w:val="-2"/>
        </w:rPr>
        <w:t>efficiency</w:t>
      </w:r>
      <w:r>
        <w:rPr>
          <w:spacing w:val="-10"/>
        </w:rPr>
        <w:t> </w:t>
      </w:r>
      <w:r>
        <w:rPr>
          <w:spacing w:val="-2"/>
        </w:rPr>
        <w:t>in</w:t>
      </w:r>
      <w:r>
        <w:rPr>
          <w:spacing w:val="-10"/>
        </w:rPr>
        <w:t> </w:t>
      </w:r>
      <w:r>
        <w:rPr>
          <w:spacing w:val="-2"/>
        </w:rPr>
        <w:t>the</w:t>
      </w:r>
      <w:r>
        <w:rPr>
          <w:spacing w:val="-10"/>
        </w:rPr>
        <w:t> </w:t>
      </w:r>
      <w:r>
        <w:rPr>
          <w:spacing w:val="-2"/>
        </w:rPr>
        <w:t>system.</w:t>
      </w:r>
      <w:r>
        <w:rPr>
          <w:spacing w:val="-10"/>
        </w:rPr>
        <w:t> </w:t>
      </w:r>
      <w:r>
        <w:rPr>
          <w:spacing w:val="-2"/>
        </w:rPr>
        <w:t>Better</w:t>
      </w:r>
      <w:r>
        <w:rPr>
          <w:spacing w:val="-10"/>
        </w:rPr>
        <w:t> </w:t>
      </w:r>
      <w:r>
        <w:rPr>
          <w:spacing w:val="-2"/>
        </w:rPr>
        <w:t>managed </w:t>
      </w:r>
      <w:r>
        <w:rPr/>
        <w:t>institutes should be encouraged to lead and mentor others. Research institutes should be encouraged to work with universities.</w:t>
      </w:r>
    </w:p>
    <w:p>
      <w:pPr>
        <w:pStyle w:val="BodyText"/>
        <w:spacing w:before="20"/>
      </w:pPr>
    </w:p>
    <w:p>
      <w:pPr>
        <w:pStyle w:val="BodyText"/>
        <w:spacing w:line="266" w:lineRule="auto"/>
        <w:ind w:left="1079"/>
        <w:jc w:val="both"/>
      </w:pPr>
      <w:r>
        <w:rPr/>
        <w:t>The interaction between research laboratories and universities</w:t>
      </w:r>
      <w:r>
        <w:rPr>
          <w:spacing w:val="-14"/>
        </w:rPr>
        <w:t> </w:t>
      </w:r>
      <w:r>
        <w:rPr/>
        <w:t>should</w:t>
      </w:r>
      <w:r>
        <w:rPr>
          <w:spacing w:val="-14"/>
        </w:rPr>
        <w:t> </w:t>
      </w:r>
      <w:r>
        <w:rPr/>
        <w:t>be</w:t>
      </w:r>
      <w:r>
        <w:rPr>
          <w:spacing w:val="-13"/>
        </w:rPr>
        <w:t> </w:t>
      </w:r>
      <w:r>
        <w:rPr/>
        <w:t>institutionalised.</w:t>
      </w:r>
      <w:r>
        <w:rPr>
          <w:spacing w:val="-14"/>
        </w:rPr>
        <w:t> </w:t>
      </w:r>
      <w:r>
        <w:rPr/>
        <w:t>It</w:t>
      </w:r>
      <w:r>
        <w:rPr>
          <w:spacing w:val="-14"/>
        </w:rPr>
        <w:t> </w:t>
      </w:r>
      <w:r>
        <w:rPr/>
        <w:t>is</w:t>
      </w:r>
      <w:r>
        <w:rPr>
          <w:spacing w:val="-13"/>
        </w:rPr>
        <w:t> </w:t>
      </w:r>
      <w:r>
        <w:rPr/>
        <w:t>important to work towards aggregating research institutes and universities rather than creating new stand-alone research institutes. Possible ways of doing this are to convert research institutes into small-sized research universities, aggregating various CSIR research labs under a common university system whose strengths </w:t>
      </w:r>
      <w:r>
        <w:rPr>
          <w:spacing w:val="-2"/>
        </w:rPr>
        <w:t>are</w:t>
      </w:r>
      <w:r>
        <w:rPr>
          <w:spacing w:val="-12"/>
        </w:rPr>
        <w:t> </w:t>
      </w:r>
      <w:r>
        <w:rPr>
          <w:spacing w:val="-2"/>
        </w:rPr>
        <w:t>interdisciplinary</w:t>
      </w:r>
      <w:r>
        <w:rPr>
          <w:spacing w:val="-12"/>
        </w:rPr>
        <w:t> </w:t>
      </w:r>
      <w:r>
        <w:rPr>
          <w:spacing w:val="-2"/>
        </w:rPr>
        <w:t>teaching</w:t>
      </w:r>
      <w:r>
        <w:rPr>
          <w:spacing w:val="-12"/>
        </w:rPr>
        <w:t> </w:t>
      </w:r>
      <w:r>
        <w:rPr>
          <w:spacing w:val="-2"/>
        </w:rPr>
        <w:t>and</w:t>
      </w:r>
      <w:r>
        <w:rPr>
          <w:spacing w:val="-11"/>
        </w:rPr>
        <w:t> </w:t>
      </w:r>
      <w:r>
        <w:rPr>
          <w:spacing w:val="-2"/>
        </w:rPr>
        <w:t>research,</w:t>
      </w:r>
      <w:r>
        <w:rPr>
          <w:spacing w:val="-12"/>
        </w:rPr>
        <w:t> </w:t>
      </w:r>
      <w:r>
        <w:rPr>
          <w:spacing w:val="-2"/>
        </w:rPr>
        <w:t>co-location </w:t>
      </w:r>
      <w:r>
        <w:rPr/>
        <w:t>of</w:t>
      </w:r>
      <w:r>
        <w:rPr>
          <w:spacing w:val="40"/>
        </w:rPr>
        <w:t> </w:t>
      </w:r>
      <w:r>
        <w:rPr/>
        <w:t>teaching</w:t>
      </w:r>
      <w:r>
        <w:rPr>
          <w:spacing w:val="40"/>
        </w:rPr>
        <w:t> </w:t>
      </w:r>
      <w:r>
        <w:rPr/>
        <w:t>institutions</w:t>
      </w:r>
      <w:r>
        <w:rPr>
          <w:spacing w:val="40"/>
        </w:rPr>
        <w:t> </w:t>
      </w:r>
      <w:r>
        <w:rPr/>
        <w:t>and</w:t>
      </w:r>
      <w:r>
        <w:rPr>
          <w:spacing w:val="40"/>
        </w:rPr>
        <w:t> </w:t>
      </w:r>
      <w:r>
        <w:rPr/>
        <w:t>research</w:t>
      </w:r>
      <w:r>
        <w:rPr>
          <w:spacing w:val="40"/>
        </w:rPr>
        <w:t> </w:t>
      </w:r>
      <w:r>
        <w:rPr/>
        <w:t>institutions,</w:t>
      </w:r>
      <w:r>
        <w:rPr>
          <w:spacing w:val="40"/>
        </w:rPr>
        <w:t> </w:t>
      </w:r>
      <w:r>
        <w:rPr/>
        <w:t>as between IISER and NCL in Pune. Some research institutes</w:t>
      </w:r>
      <w:r>
        <w:rPr>
          <w:spacing w:val="80"/>
        </w:rPr>
        <w:t> </w:t>
      </w:r>
      <w:r>
        <w:rPr/>
        <w:t>which</w:t>
      </w:r>
      <w:r>
        <w:rPr>
          <w:spacing w:val="80"/>
        </w:rPr>
        <w:t> </w:t>
      </w:r>
      <w:r>
        <w:rPr/>
        <w:t>have</w:t>
      </w:r>
      <w:r>
        <w:rPr>
          <w:spacing w:val="80"/>
        </w:rPr>
        <w:t> </w:t>
      </w:r>
      <w:r>
        <w:rPr/>
        <w:t>outlived</w:t>
      </w:r>
      <w:r>
        <w:rPr>
          <w:spacing w:val="80"/>
        </w:rPr>
        <w:t> </w:t>
      </w:r>
      <w:r>
        <w:rPr/>
        <w:t>their</w:t>
      </w:r>
      <w:r>
        <w:rPr>
          <w:spacing w:val="80"/>
        </w:rPr>
        <w:t> </w:t>
      </w:r>
      <w:r>
        <w:rPr/>
        <w:t>utility</w:t>
      </w:r>
      <w:r>
        <w:rPr>
          <w:spacing w:val="80"/>
        </w:rPr>
        <w:t> </w:t>
      </w:r>
      <w:r>
        <w:rPr/>
        <w:t>can be absorbed in regular universities. This will also </w:t>
      </w:r>
      <w:r>
        <w:rPr>
          <w:spacing w:val="-2"/>
        </w:rPr>
        <w:t>give</w:t>
      </w:r>
      <w:r>
        <w:rPr>
          <w:spacing w:val="-9"/>
        </w:rPr>
        <w:t> </w:t>
      </w:r>
      <w:r>
        <w:rPr>
          <w:spacing w:val="-2"/>
        </w:rPr>
        <w:t>much</w:t>
      </w:r>
      <w:r>
        <w:rPr>
          <w:spacing w:val="-9"/>
        </w:rPr>
        <w:t> </w:t>
      </w:r>
      <w:r>
        <w:rPr>
          <w:spacing w:val="-2"/>
        </w:rPr>
        <w:t>needed</w:t>
      </w:r>
      <w:r>
        <w:rPr>
          <w:spacing w:val="-9"/>
        </w:rPr>
        <w:t> </w:t>
      </w:r>
      <w:r>
        <w:rPr>
          <w:spacing w:val="-2"/>
        </w:rPr>
        <w:t>access</w:t>
      </w:r>
      <w:r>
        <w:rPr>
          <w:spacing w:val="-9"/>
        </w:rPr>
        <w:t> </w:t>
      </w:r>
      <w:r>
        <w:rPr>
          <w:spacing w:val="-2"/>
        </w:rPr>
        <w:t>to</w:t>
      </w:r>
      <w:r>
        <w:rPr>
          <w:spacing w:val="-9"/>
        </w:rPr>
        <w:t> </w:t>
      </w:r>
      <w:r>
        <w:rPr>
          <w:spacing w:val="-2"/>
        </w:rPr>
        <w:t>quality</w:t>
      </w:r>
      <w:r>
        <w:rPr>
          <w:spacing w:val="-9"/>
        </w:rPr>
        <w:t> </w:t>
      </w:r>
      <w:r>
        <w:rPr>
          <w:spacing w:val="-2"/>
        </w:rPr>
        <w:t>research</w:t>
      </w:r>
      <w:r>
        <w:rPr>
          <w:spacing w:val="-9"/>
        </w:rPr>
        <w:t> </w:t>
      </w:r>
      <w:r>
        <w:rPr>
          <w:spacing w:val="-2"/>
        </w:rPr>
        <w:t>personnel </w:t>
      </w:r>
      <w:r>
        <w:rPr/>
        <w:t>at universities.</w:t>
      </w:r>
    </w:p>
    <w:p>
      <w:pPr>
        <w:pStyle w:val="ListParagraph"/>
        <w:numPr>
          <w:ilvl w:val="1"/>
          <w:numId w:val="27"/>
        </w:numPr>
        <w:tabs>
          <w:tab w:pos="847" w:val="left" w:leader="none"/>
        </w:tabs>
        <w:spacing w:line="266" w:lineRule="auto" w:before="57" w:after="0"/>
        <w:ind w:left="319" w:right="1077" w:firstLine="0"/>
        <w:jc w:val="both"/>
        <w:rPr>
          <w:sz w:val="22"/>
        </w:rPr>
      </w:pPr>
      <w:r>
        <w:rPr/>
        <w:br w:type="column"/>
      </w:r>
      <w:r>
        <w:rPr>
          <w:b/>
          <w:sz w:val="22"/>
        </w:rPr>
        <w:t>Periodical reviews: </w:t>
      </w:r>
      <w:r>
        <w:rPr>
          <w:sz w:val="22"/>
        </w:rPr>
        <w:t>A good periodical review </w:t>
      </w:r>
      <w:r>
        <w:rPr>
          <w:spacing w:val="-2"/>
          <w:sz w:val="22"/>
        </w:rPr>
        <w:t>system</w:t>
      </w:r>
      <w:r>
        <w:rPr>
          <w:spacing w:val="-10"/>
          <w:sz w:val="22"/>
        </w:rPr>
        <w:t> </w:t>
      </w:r>
      <w:r>
        <w:rPr>
          <w:spacing w:val="-2"/>
          <w:sz w:val="22"/>
        </w:rPr>
        <w:t>of</w:t>
      </w:r>
      <w:r>
        <w:rPr>
          <w:spacing w:val="-10"/>
          <w:sz w:val="22"/>
        </w:rPr>
        <w:t> </w:t>
      </w:r>
      <w:r>
        <w:rPr>
          <w:spacing w:val="-2"/>
          <w:sz w:val="22"/>
        </w:rPr>
        <w:t>departments</w:t>
      </w:r>
      <w:r>
        <w:rPr>
          <w:spacing w:val="-10"/>
          <w:sz w:val="22"/>
        </w:rPr>
        <w:t> </w:t>
      </w:r>
      <w:r>
        <w:rPr>
          <w:spacing w:val="-2"/>
          <w:sz w:val="22"/>
        </w:rPr>
        <w:t>to</w:t>
      </w:r>
      <w:r>
        <w:rPr>
          <w:spacing w:val="-10"/>
          <w:sz w:val="22"/>
        </w:rPr>
        <w:t> </w:t>
      </w:r>
      <w:r>
        <w:rPr>
          <w:spacing w:val="-2"/>
          <w:sz w:val="22"/>
        </w:rPr>
        <w:t>support</w:t>
      </w:r>
      <w:r>
        <w:rPr>
          <w:spacing w:val="-10"/>
          <w:sz w:val="22"/>
        </w:rPr>
        <w:t> </w:t>
      </w:r>
      <w:r>
        <w:rPr>
          <w:spacing w:val="-2"/>
          <w:sz w:val="22"/>
        </w:rPr>
        <w:t>centres</w:t>
      </w:r>
      <w:r>
        <w:rPr>
          <w:spacing w:val="-10"/>
          <w:sz w:val="22"/>
        </w:rPr>
        <w:t> </w:t>
      </w:r>
      <w:r>
        <w:rPr>
          <w:spacing w:val="-2"/>
          <w:sz w:val="22"/>
        </w:rPr>
        <w:t>of</w:t>
      </w:r>
      <w:r>
        <w:rPr>
          <w:spacing w:val="-10"/>
          <w:sz w:val="22"/>
        </w:rPr>
        <w:t> </w:t>
      </w:r>
      <w:r>
        <w:rPr>
          <w:spacing w:val="-2"/>
          <w:sz w:val="22"/>
        </w:rPr>
        <w:t>excellence </w:t>
      </w:r>
      <w:r>
        <w:rPr>
          <w:sz w:val="22"/>
        </w:rPr>
        <w:t>can</w:t>
      </w:r>
      <w:r>
        <w:rPr>
          <w:spacing w:val="-12"/>
          <w:sz w:val="22"/>
        </w:rPr>
        <w:t> </w:t>
      </w:r>
      <w:r>
        <w:rPr>
          <w:sz w:val="22"/>
        </w:rPr>
        <w:t>be</w:t>
      </w:r>
      <w:r>
        <w:rPr>
          <w:spacing w:val="-12"/>
          <w:sz w:val="22"/>
        </w:rPr>
        <w:t> </w:t>
      </w:r>
      <w:r>
        <w:rPr>
          <w:sz w:val="22"/>
        </w:rPr>
        <w:t>undertaken</w:t>
      </w:r>
      <w:r>
        <w:rPr>
          <w:spacing w:val="-12"/>
          <w:sz w:val="22"/>
        </w:rPr>
        <w:t> </w:t>
      </w:r>
      <w:r>
        <w:rPr>
          <w:sz w:val="22"/>
        </w:rPr>
        <w:t>through</w:t>
      </w:r>
      <w:r>
        <w:rPr>
          <w:spacing w:val="-12"/>
          <w:sz w:val="22"/>
        </w:rPr>
        <w:t> </w:t>
      </w:r>
      <w:r>
        <w:rPr>
          <w:sz w:val="22"/>
        </w:rPr>
        <w:t>independent</w:t>
      </w:r>
      <w:r>
        <w:rPr>
          <w:spacing w:val="-12"/>
          <w:sz w:val="22"/>
        </w:rPr>
        <w:t> </w:t>
      </w:r>
      <w:r>
        <w:rPr>
          <w:sz w:val="22"/>
        </w:rPr>
        <w:t>accreditation, out</w:t>
      </w:r>
      <w:r>
        <w:rPr>
          <w:spacing w:val="-3"/>
          <w:sz w:val="22"/>
        </w:rPr>
        <w:t> </w:t>
      </w:r>
      <w:r>
        <w:rPr>
          <w:sz w:val="22"/>
        </w:rPr>
        <w:t>of</w:t>
      </w:r>
      <w:r>
        <w:rPr>
          <w:spacing w:val="-3"/>
          <w:sz w:val="22"/>
        </w:rPr>
        <w:t> </w:t>
      </w:r>
      <w:r>
        <w:rPr>
          <w:sz w:val="22"/>
        </w:rPr>
        <w:t>turn</w:t>
      </w:r>
      <w:r>
        <w:rPr>
          <w:spacing w:val="-3"/>
          <w:sz w:val="22"/>
        </w:rPr>
        <w:t> </w:t>
      </w:r>
      <w:r>
        <w:rPr>
          <w:sz w:val="22"/>
        </w:rPr>
        <w:t>rewards,</w:t>
      </w:r>
      <w:r>
        <w:rPr>
          <w:spacing w:val="-3"/>
          <w:sz w:val="22"/>
        </w:rPr>
        <w:t> </w:t>
      </w:r>
      <w:r>
        <w:rPr>
          <w:sz w:val="22"/>
        </w:rPr>
        <w:t>and</w:t>
      </w:r>
      <w:r>
        <w:rPr>
          <w:spacing w:val="-3"/>
          <w:sz w:val="22"/>
        </w:rPr>
        <w:t> </w:t>
      </w:r>
      <w:r>
        <w:rPr>
          <w:sz w:val="22"/>
        </w:rPr>
        <w:t>conditional</w:t>
      </w:r>
      <w:r>
        <w:rPr>
          <w:spacing w:val="-3"/>
          <w:sz w:val="22"/>
        </w:rPr>
        <w:t> </w:t>
      </w:r>
      <w:r>
        <w:rPr>
          <w:sz w:val="22"/>
        </w:rPr>
        <w:t>grants.</w:t>
      </w:r>
      <w:r>
        <w:rPr>
          <w:spacing w:val="-3"/>
          <w:sz w:val="22"/>
        </w:rPr>
        <w:t> </w:t>
      </w:r>
      <w:r>
        <w:rPr>
          <w:sz w:val="22"/>
        </w:rPr>
        <w:t>Advisory committee of Alumni can be constituted for internal review of the departments.</w:t>
      </w:r>
    </w:p>
    <w:p>
      <w:pPr>
        <w:pStyle w:val="BodyText"/>
        <w:spacing w:before="22"/>
      </w:pPr>
    </w:p>
    <w:p>
      <w:pPr>
        <w:pStyle w:val="BodyText"/>
        <w:spacing w:line="266" w:lineRule="auto"/>
        <w:ind w:left="319" w:right="1077"/>
        <w:jc w:val="both"/>
      </w:pPr>
      <w:r>
        <w:rPr>
          <w:spacing w:val="-4"/>
        </w:rPr>
        <w:t>Ph.D</w:t>
      </w:r>
      <w:r>
        <w:rPr>
          <w:spacing w:val="-7"/>
        </w:rPr>
        <w:t> </w:t>
      </w:r>
      <w:r>
        <w:rPr>
          <w:spacing w:val="-4"/>
        </w:rPr>
        <w:t>thesis,</w:t>
      </w:r>
      <w:r>
        <w:rPr>
          <w:spacing w:val="-7"/>
        </w:rPr>
        <w:t> </w:t>
      </w:r>
      <w:r>
        <w:rPr>
          <w:spacing w:val="-4"/>
        </w:rPr>
        <w:t>publications,</w:t>
      </w:r>
      <w:r>
        <w:rPr>
          <w:spacing w:val="-7"/>
        </w:rPr>
        <w:t> </w:t>
      </w:r>
      <w:r>
        <w:rPr>
          <w:spacing w:val="-4"/>
        </w:rPr>
        <w:t>patents,</w:t>
      </w:r>
      <w:r>
        <w:rPr>
          <w:spacing w:val="-7"/>
        </w:rPr>
        <w:t> </w:t>
      </w:r>
      <w:r>
        <w:rPr>
          <w:spacing w:val="-4"/>
        </w:rPr>
        <w:t>commercialisation</w:t>
      </w:r>
      <w:r>
        <w:rPr>
          <w:spacing w:val="-7"/>
        </w:rPr>
        <w:t> </w:t>
      </w:r>
      <w:r>
        <w:rPr>
          <w:spacing w:val="-4"/>
        </w:rPr>
        <w:t>of </w:t>
      </w:r>
      <w:r>
        <w:rPr>
          <w:spacing w:val="-6"/>
        </w:rPr>
        <w:t>research and peer review can be included as measures of performance</w:t>
      </w:r>
      <w:r>
        <w:rPr>
          <w:spacing w:val="-8"/>
        </w:rPr>
        <w:t> </w:t>
      </w:r>
      <w:r>
        <w:rPr>
          <w:spacing w:val="-6"/>
        </w:rPr>
        <w:t>review.</w:t>
      </w:r>
      <w:r>
        <w:rPr>
          <w:spacing w:val="-7"/>
        </w:rPr>
        <w:t> </w:t>
      </w:r>
      <w:r>
        <w:rPr>
          <w:spacing w:val="-6"/>
        </w:rPr>
        <w:t>Quality</w:t>
      </w:r>
      <w:r>
        <w:rPr>
          <w:spacing w:val="-7"/>
        </w:rPr>
        <w:t> </w:t>
      </w:r>
      <w:r>
        <w:rPr>
          <w:spacing w:val="-6"/>
        </w:rPr>
        <w:t>of</w:t>
      </w:r>
      <w:r>
        <w:rPr>
          <w:spacing w:val="-8"/>
        </w:rPr>
        <w:t> </w:t>
      </w:r>
      <w:r>
        <w:rPr>
          <w:spacing w:val="-6"/>
        </w:rPr>
        <w:t>faculty</w:t>
      </w:r>
      <w:r>
        <w:rPr>
          <w:spacing w:val="-8"/>
        </w:rPr>
        <w:t> </w:t>
      </w:r>
      <w:r>
        <w:rPr>
          <w:spacing w:val="-6"/>
        </w:rPr>
        <w:t>should</w:t>
      </w:r>
      <w:r>
        <w:rPr>
          <w:spacing w:val="-7"/>
        </w:rPr>
        <w:t> </w:t>
      </w:r>
      <w:r>
        <w:rPr>
          <w:spacing w:val="-6"/>
        </w:rPr>
        <w:t>be</w:t>
      </w:r>
      <w:r>
        <w:rPr>
          <w:spacing w:val="-7"/>
        </w:rPr>
        <w:t> </w:t>
      </w:r>
      <w:r>
        <w:rPr>
          <w:spacing w:val="-6"/>
        </w:rPr>
        <w:t>strictly </w:t>
      </w:r>
      <w:r>
        <w:rPr>
          <w:spacing w:val="-2"/>
        </w:rPr>
        <w:t>monitored.</w:t>
      </w:r>
    </w:p>
    <w:p>
      <w:pPr>
        <w:pStyle w:val="BodyText"/>
        <w:spacing w:before="1"/>
      </w:pPr>
    </w:p>
    <w:p>
      <w:pPr>
        <w:pStyle w:val="Heading7"/>
        <w:spacing w:line="225" w:lineRule="auto"/>
        <w:ind w:right="1174"/>
      </w:pPr>
      <w:r>
        <w:rPr>
          <w:color w:val="2E614A"/>
          <w:w w:val="90"/>
        </w:rPr>
        <w:t>Recommendation 11: Establish more </w:t>
      </w:r>
      <w:r>
        <w:rPr>
          <w:color w:val="2E614A"/>
          <w:w w:val="90"/>
        </w:rPr>
        <w:t>centres </w:t>
      </w:r>
      <w:r>
        <w:rPr>
          <w:color w:val="2E614A"/>
          <w:spacing w:val="-4"/>
        </w:rPr>
        <w:t>of</w:t>
      </w:r>
      <w:r>
        <w:rPr>
          <w:color w:val="2E614A"/>
          <w:spacing w:val="-13"/>
        </w:rPr>
        <w:t> </w:t>
      </w:r>
      <w:r>
        <w:rPr>
          <w:color w:val="2E614A"/>
          <w:spacing w:val="-4"/>
        </w:rPr>
        <w:t>excellence</w:t>
      </w:r>
      <w:r>
        <w:rPr>
          <w:color w:val="2E614A"/>
          <w:spacing w:val="-12"/>
        </w:rPr>
        <w:t> </w:t>
      </w:r>
      <w:r>
        <w:rPr>
          <w:color w:val="2E614A"/>
          <w:spacing w:val="-4"/>
        </w:rPr>
        <w:t>for</w:t>
      </w:r>
      <w:r>
        <w:rPr>
          <w:color w:val="2E614A"/>
          <w:spacing w:val="-12"/>
        </w:rPr>
        <w:t> </w:t>
      </w:r>
      <w:r>
        <w:rPr>
          <w:color w:val="2E614A"/>
          <w:spacing w:val="-4"/>
        </w:rPr>
        <w:t>research</w:t>
      </w:r>
      <w:r>
        <w:rPr>
          <w:color w:val="2E614A"/>
          <w:spacing w:val="-12"/>
        </w:rPr>
        <w:t> </w:t>
      </w:r>
      <w:r>
        <w:rPr>
          <w:color w:val="2E614A"/>
          <w:spacing w:val="-4"/>
        </w:rPr>
        <w:t>and</w:t>
      </w:r>
      <w:r>
        <w:rPr>
          <w:color w:val="2E614A"/>
          <w:spacing w:val="-13"/>
        </w:rPr>
        <w:t> </w:t>
      </w:r>
      <w:r>
        <w:rPr>
          <w:color w:val="2E614A"/>
          <w:spacing w:val="-4"/>
        </w:rPr>
        <w:t>teaching </w:t>
      </w:r>
      <w:r>
        <w:rPr>
          <w:color w:val="2E614A"/>
          <w:spacing w:val="-6"/>
        </w:rPr>
        <w:t>from the undergraduate level for different </w:t>
      </w:r>
      <w:r>
        <w:rPr>
          <w:color w:val="2E614A"/>
          <w:spacing w:val="-2"/>
        </w:rPr>
        <w:t>disciplines</w:t>
      </w:r>
      <w:r>
        <w:rPr>
          <w:color w:val="2E614A"/>
          <w:spacing w:val="-13"/>
        </w:rPr>
        <w:t> </w:t>
      </w:r>
      <w:r>
        <w:rPr>
          <w:color w:val="2E614A"/>
          <w:spacing w:val="-2"/>
        </w:rPr>
        <w:t>across</w:t>
      </w:r>
      <w:r>
        <w:rPr>
          <w:color w:val="2E614A"/>
          <w:spacing w:val="-13"/>
        </w:rPr>
        <w:t> </w:t>
      </w:r>
      <w:r>
        <w:rPr>
          <w:color w:val="2E614A"/>
          <w:spacing w:val="-2"/>
        </w:rPr>
        <w:t>the</w:t>
      </w:r>
      <w:r>
        <w:rPr>
          <w:color w:val="2E614A"/>
          <w:spacing w:val="-13"/>
        </w:rPr>
        <w:t> </w:t>
      </w:r>
      <w:r>
        <w:rPr>
          <w:color w:val="2E614A"/>
          <w:spacing w:val="-2"/>
        </w:rPr>
        <w:t>country</w:t>
      </w:r>
    </w:p>
    <w:p>
      <w:pPr>
        <w:pStyle w:val="BodyText"/>
        <w:rPr>
          <w:b/>
          <w:sz w:val="26"/>
        </w:rPr>
      </w:pPr>
    </w:p>
    <w:p>
      <w:pPr>
        <w:pStyle w:val="BodyText"/>
        <w:spacing w:line="266" w:lineRule="auto"/>
        <w:ind w:left="319" w:right="1077"/>
        <w:jc w:val="both"/>
      </w:pPr>
      <w:r>
        <w:rPr>
          <w:b/>
          <w:spacing w:val="-4"/>
        </w:rPr>
        <w:t>Issues:</w:t>
      </w:r>
      <w:r>
        <w:rPr>
          <w:b/>
          <w:spacing w:val="-10"/>
        </w:rPr>
        <w:t> </w:t>
      </w:r>
      <w:r>
        <w:rPr>
          <w:spacing w:val="-4"/>
        </w:rPr>
        <w:t>There</w:t>
      </w:r>
      <w:r>
        <w:rPr>
          <w:spacing w:val="-8"/>
        </w:rPr>
        <w:t> </w:t>
      </w:r>
      <w:r>
        <w:rPr>
          <w:spacing w:val="-4"/>
        </w:rPr>
        <w:t>is</w:t>
      </w:r>
      <w:r>
        <w:rPr>
          <w:spacing w:val="-5"/>
        </w:rPr>
        <w:t> </w:t>
      </w:r>
      <w:r>
        <w:rPr>
          <w:spacing w:val="-4"/>
        </w:rPr>
        <w:t>a</w:t>
      </w:r>
      <w:r>
        <w:rPr>
          <w:spacing w:val="-5"/>
        </w:rPr>
        <w:t> </w:t>
      </w:r>
      <w:r>
        <w:rPr>
          <w:spacing w:val="-4"/>
        </w:rPr>
        <w:t>serious</w:t>
      </w:r>
      <w:r>
        <w:rPr>
          <w:spacing w:val="-5"/>
        </w:rPr>
        <w:t> </w:t>
      </w:r>
      <w:r>
        <w:rPr>
          <w:spacing w:val="-4"/>
        </w:rPr>
        <w:t>shortage</w:t>
      </w:r>
      <w:r>
        <w:rPr>
          <w:spacing w:val="-5"/>
        </w:rPr>
        <w:t> </w:t>
      </w:r>
      <w:r>
        <w:rPr>
          <w:spacing w:val="-4"/>
        </w:rPr>
        <w:t>of</w:t>
      </w:r>
      <w:r>
        <w:rPr>
          <w:spacing w:val="-5"/>
        </w:rPr>
        <w:t> </w:t>
      </w:r>
      <w:r>
        <w:rPr>
          <w:spacing w:val="-4"/>
        </w:rPr>
        <w:t>institutions</w:t>
      </w:r>
      <w:r>
        <w:rPr>
          <w:spacing w:val="-5"/>
        </w:rPr>
        <w:t> </w:t>
      </w:r>
      <w:r>
        <w:rPr>
          <w:spacing w:val="-4"/>
        </w:rPr>
        <w:t>which </w:t>
      </w:r>
      <w:r>
        <w:rPr>
          <w:spacing w:val="-2"/>
        </w:rPr>
        <w:t>provide</w:t>
      </w:r>
      <w:r>
        <w:rPr>
          <w:spacing w:val="-12"/>
        </w:rPr>
        <w:t> </w:t>
      </w:r>
      <w:r>
        <w:rPr>
          <w:spacing w:val="-2"/>
        </w:rPr>
        <w:t>both</w:t>
      </w:r>
      <w:r>
        <w:rPr>
          <w:spacing w:val="-12"/>
        </w:rPr>
        <w:t> </w:t>
      </w:r>
      <w:r>
        <w:rPr>
          <w:spacing w:val="-2"/>
        </w:rPr>
        <w:t>good</w:t>
      </w:r>
      <w:r>
        <w:rPr>
          <w:spacing w:val="-12"/>
        </w:rPr>
        <w:t> </w:t>
      </w:r>
      <w:r>
        <w:rPr>
          <w:spacing w:val="-2"/>
        </w:rPr>
        <w:t>undergraduate</w:t>
      </w:r>
      <w:r>
        <w:rPr>
          <w:spacing w:val="-11"/>
        </w:rPr>
        <w:t> </w:t>
      </w:r>
      <w:r>
        <w:rPr>
          <w:spacing w:val="-2"/>
        </w:rPr>
        <w:t>training</w:t>
      </w:r>
      <w:r>
        <w:rPr>
          <w:spacing w:val="-12"/>
        </w:rPr>
        <w:t> </w:t>
      </w:r>
      <w:r>
        <w:rPr>
          <w:spacing w:val="-2"/>
        </w:rPr>
        <w:t>and</w:t>
      </w:r>
      <w:r>
        <w:rPr>
          <w:spacing w:val="-12"/>
        </w:rPr>
        <w:t> </w:t>
      </w:r>
      <w:r>
        <w:rPr>
          <w:spacing w:val="-2"/>
        </w:rPr>
        <w:t>research environment.</w:t>
      </w:r>
      <w:r>
        <w:rPr>
          <w:spacing w:val="-10"/>
        </w:rPr>
        <w:t> </w:t>
      </w:r>
      <w:r>
        <w:rPr>
          <w:spacing w:val="-2"/>
        </w:rPr>
        <w:t>Currently,</w:t>
      </w:r>
      <w:r>
        <w:rPr>
          <w:spacing w:val="-10"/>
        </w:rPr>
        <w:t> </w:t>
      </w:r>
      <w:r>
        <w:rPr>
          <w:spacing w:val="-2"/>
        </w:rPr>
        <w:t>in</w:t>
      </w:r>
      <w:r>
        <w:rPr>
          <w:spacing w:val="-10"/>
        </w:rPr>
        <w:t> </w:t>
      </w:r>
      <w:r>
        <w:rPr>
          <w:spacing w:val="-2"/>
        </w:rPr>
        <w:t>most</w:t>
      </w:r>
      <w:r>
        <w:rPr>
          <w:spacing w:val="-10"/>
        </w:rPr>
        <w:t> </w:t>
      </w:r>
      <w:r>
        <w:rPr>
          <w:spacing w:val="-2"/>
        </w:rPr>
        <w:t>of</w:t>
      </w:r>
      <w:r>
        <w:rPr>
          <w:spacing w:val="-10"/>
        </w:rPr>
        <w:t> </w:t>
      </w:r>
      <w:r>
        <w:rPr>
          <w:spacing w:val="-2"/>
        </w:rPr>
        <w:t>the</w:t>
      </w:r>
      <w:r>
        <w:rPr>
          <w:spacing w:val="-10"/>
        </w:rPr>
        <w:t> </w:t>
      </w:r>
      <w:r>
        <w:rPr>
          <w:spacing w:val="-2"/>
        </w:rPr>
        <w:t>existing</w:t>
      </w:r>
      <w:r>
        <w:rPr>
          <w:spacing w:val="-10"/>
        </w:rPr>
        <w:t> </w:t>
      </w:r>
      <w:r>
        <w:rPr>
          <w:spacing w:val="-2"/>
        </w:rPr>
        <w:t>centres </w:t>
      </w:r>
      <w:r>
        <w:rPr>
          <w:spacing w:val="-4"/>
        </w:rPr>
        <w:t>of</w:t>
      </w:r>
      <w:r>
        <w:rPr>
          <w:spacing w:val="-10"/>
        </w:rPr>
        <w:t> </w:t>
      </w:r>
      <w:r>
        <w:rPr>
          <w:spacing w:val="-4"/>
        </w:rPr>
        <w:t>excellence</w:t>
      </w:r>
      <w:r>
        <w:rPr>
          <w:spacing w:val="-10"/>
        </w:rPr>
        <w:t> </w:t>
      </w:r>
      <w:r>
        <w:rPr>
          <w:spacing w:val="-4"/>
        </w:rPr>
        <w:t>where</w:t>
      </w:r>
      <w:r>
        <w:rPr>
          <w:spacing w:val="-10"/>
        </w:rPr>
        <w:t> </w:t>
      </w:r>
      <w:r>
        <w:rPr>
          <w:spacing w:val="-4"/>
        </w:rPr>
        <w:t>doctoral</w:t>
      </w:r>
      <w:r>
        <w:rPr>
          <w:spacing w:val="-9"/>
        </w:rPr>
        <w:t> </w:t>
      </w:r>
      <w:r>
        <w:rPr>
          <w:spacing w:val="-4"/>
        </w:rPr>
        <w:t>studies</w:t>
      </w:r>
      <w:r>
        <w:rPr>
          <w:spacing w:val="-10"/>
        </w:rPr>
        <w:t> </w:t>
      </w:r>
      <w:r>
        <w:rPr>
          <w:spacing w:val="-4"/>
        </w:rPr>
        <w:t>are</w:t>
      </w:r>
      <w:r>
        <w:rPr>
          <w:spacing w:val="-10"/>
        </w:rPr>
        <w:t> </w:t>
      </w:r>
      <w:r>
        <w:rPr>
          <w:spacing w:val="-4"/>
        </w:rPr>
        <w:t>undertaken,</w:t>
      </w:r>
      <w:r>
        <w:rPr>
          <w:spacing w:val="-10"/>
        </w:rPr>
        <w:t> </w:t>
      </w:r>
      <w:r>
        <w:rPr>
          <w:spacing w:val="-4"/>
        </w:rPr>
        <w:t>the </w:t>
      </w:r>
      <w:r>
        <w:rPr/>
        <w:t>focus</w:t>
      </w:r>
      <w:r>
        <w:rPr>
          <w:spacing w:val="-2"/>
        </w:rPr>
        <w:t> </w:t>
      </w:r>
      <w:r>
        <w:rPr/>
        <w:t>is</w:t>
      </w:r>
      <w:r>
        <w:rPr>
          <w:spacing w:val="-2"/>
        </w:rPr>
        <w:t> </w:t>
      </w:r>
      <w:r>
        <w:rPr/>
        <w:t>largely</w:t>
      </w:r>
      <w:r>
        <w:rPr>
          <w:spacing w:val="-2"/>
        </w:rPr>
        <w:t> </w:t>
      </w:r>
      <w:r>
        <w:rPr/>
        <w:t>on</w:t>
      </w:r>
      <w:r>
        <w:rPr>
          <w:spacing w:val="-2"/>
        </w:rPr>
        <w:t> </w:t>
      </w:r>
      <w:r>
        <w:rPr/>
        <w:t>the</w:t>
      </w:r>
      <w:r>
        <w:rPr>
          <w:spacing w:val="-2"/>
        </w:rPr>
        <w:t> </w:t>
      </w:r>
      <w:r>
        <w:rPr/>
        <w:t>Ph.D</w:t>
      </w:r>
      <w:r>
        <w:rPr>
          <w:spacing w:val="-2"/>
        </w:rPr>
        <w:t> </w:t>
      </w:r>
      <w:r>
        <w:rPr/>
        <w:t>and/or</w:t>
      </w:r>
      <w:r>
        <w:rPr>
          <w:spacing w:val="-2"/>
        </w:rPr>
        <w:t> </w:t>
      </w:r>
      <w:r>
        <w:rPr/>
        <w:t>Masters</w:t>
      </w:r>
      <w:r>
        <w:rPr>
          <w:spacing w:val="-2"/>
        </w:rPr>
        <w:t> </w:t>
      </w:r>
      <w:r>
        <w:rPr/>
        <w:t>program.</w:t>
      </w:r>
    </w:p>
    <w:p>
      <w:pPr>
        <w:pStyle w:val="BodyText"/>
        <w:spacing w:before="23"/>
      </w:pPr>
    </w:p>
    <w:p>
      <w:pPr>
        <w:pStyle w:val="BodyText"/>
        <w:spacing w:line="266" w:lineRule="auto"/>
        <w:ind w:left="319" w:right="1077"/>
        <w:jc w:val="both"/>
      </w:pPr>
      <w:r>
        <w:rPr/>
        <w:t>Sound training at the undergraduate level is vital </w:t>
      </w:r>
      <w:r>
        <w:rPr/>
        <w:t>for </w:t>
      </w:r>
      <w:r>
        <w:rPr>
          <w:w w:val="90"/>
        </w:rPr>
        <w:t>students wishing to embark on an academic career. Often, </w:t>
      </w:r>
      <w:r>
        <w:rPr>
          <w:spacing w:val="-4"/>
        </w:rPr>
        <w:t>students</w:t>
      </w:r>
      <w:r>
        <w:rPr>
          <w:spacing w:val="-7"/>
        </w:rPr>
        <w:t> </w:t>
      </w:r>
      <w:r>
        <w:rPr>
          <w:spacing w:val="-4"/>
        </w:rPr>
        <w:t>entering</w:t>
      </w:r>
      <w:r>
        <w:rPr>
          <w:spacing w:val="-7"/>
        </w:rPr>
        <w:t> </w:t>
      </w:r>
      <w:r>
        <w:rPr>
          <w:spacing w:val="-4"/>
        </w:rPr>
        <w:t>a</w:t>
      </w:r>
      <w:r>
        <w:rPr>
          <w:spacing w:val="-7"/>
        </w:rPr>
        <w:t> </w:t>
      </w:r>
      <w:r>
        <w:rPr>
          <w:spacing w:val="-4"/>
        </w:rPr>
        <w:t>doctoral</w:t>
      </w:r>
      <w:r>
        <w:rPr>
          <w:spacing w:val="-7"/>
        </w:rPr>
        <w:t> </w:t>
      </w:r>
      <w:r>
        <w:rPr>
          <w:spacing w:val="-4"/>
        </w:rPr>
        <w:t>program</w:t>
      </w:r>
      <w:r>
        <w:rPr>
          <w:spacing w:val="-7"/>
        </w:rPr>
        <w:t> </w:t>
      </w:r>
      <w:r>
        <w:rPr>
          <w:spacing w:val="-4"/>
        </w:rPr>
        <w:t>at</w:t>
      </w:r>
      <w:r>
        <w:rPr>
          <w:spacing w:val="-7"/>
        </w:rPr>
        <w:t> </w:t>
      </w:r>
      <w:r>
        <w:rPr>
          <w:spacing w:val="-4"/>
        </w:rPr>
        <w:t>elite</w:t>
      </w:r>
      <w:r>
        <w:rPr>
          <w:spacing w:val="-7"/>
        </w:rPr>
        <w:t> </w:t>
      </w:r>
      <w:r>
        <w:rPr>
          <w:spacing w:val="-4"/>
        </w:rPr>
        <w:t>institutions </w:t>
      </w:r>
      <w:r>
        <w:rPr>
          <w:spacing w:val="-6"/>
        </w:rPr>
        <w:t>are</w:t>
      </w:r>
      <w:r>
        <w:rPr>
          <w:spacing w:val="-7"/>
        </w:rPr>
        <w:t> </w:t>
      </w:r>
      <w:r>
        <w:rPr>
          <w:spacing w:val="-6"/>
        </w:rPr>
        <w:t>found</w:t>
      </w:r>
      <w:r>
        <w:rPr>
          <w:spacing w:val="-7"/>
        </w:rPr>
        <w:t> </w:t>
      </w:r>
      <w:r>
        <w:rPr>
          <w:spacing w:val="-6"/>
        </w:rPr>
        <w:t>to</w:t>
      </w:r>
      <w:r>
        <w:rPr>
          <w:spacing w:val="-7"/>
        </w:rPr>
        <w:t> </w:t>
      </w:r>
      <w:r>
        <w:rPr>
          <w:spacing w:val="-6"/>
        </w:rPr>
        <w:t>have</w:t>
      </w:r>
      <w:r>
        <w:rPr>
          <w:spacing w:val="-7"/>
        </w:rPr>
        <w:t> </w:t>
      </w:r>
      <w:r>
        <w:rPr>
          <w:spacing w:val="-6"/>
        </w:rPr>
        <w:t>an</w:t>
      </w:r>
      <w:r>
        <w:rPr>
          <w:spacing w:val="-7"/>
        </w:rPr>
        <w:t> </w:t>
      </w:r>
      <w:r>
        <w:rPr>
          <w:spacing w:val="-6"/>
        </w:rPr>
        <w:t>inadequate</w:t>
      </w:r>
      <w:r>
        <w:rPr>
          <w:spacing w:val="-7"/>
        </w:rPr>
        <w:t> </w:t>
      </w:r>
      <w:r>
        <w:rPr>
          <w:spacing w:val="-6"/>
        </w:rPr>
        <w:t>background</w:t>
      </w:r>
      <w:r>
        <w:rPr>
          <w:spacing w:val="-7"/>
        </w:rPr>
        <w:t> </w:t>
      </w:r>
      <w:r>
        <w:rPr>
          <w:spacing w:val="-6"/>
        </w:rPr>
        <w:t>for</w:t>
      </w:r>
      <w:r>
        <w:rPr>
          <w:spacing w:val="-7"/>
        </w:rPr>
        <w:t> </w:t>
      </w:r>
      <w:r>
        <w:rPr>
          <w:spacing w:val="-6"/>
        </w:rPr>
        <w:t>research </w:t>
      </w:r>
      <w:r>
        <w:rPr>
          <w:spacing w:val="-2"/>
        </w:rPr>
        <w:t>even</w:t>
      </w:r>
      <w:r>
        <w:rPr>
          <w:spacing w:val="-11"/>
        </w:rPr>
        <w:t> </w:t>
      </w:r>
      <w:r>
        <w:rPr>
          <w:spacing w:val="-2"/>
        </w:rPr>
        <w:t>after</w:t>
      </w:r>
      <w:r>
        <w:rPr>
          <w:spacing w:val="-11"/>
        </w:rPr>
        <w:t> </w:t>
      </w:r>
      <w:r>
        <w:rPr>
          <w:spacing w:val="-2"/>
        </w:rPr>
        <w:t>having</w:t>
      </w:r>
      <w:r>
        <w:rPr>
          <w:spacing w:val="-11"/>
        </w:rPr>
        <w:t> </w:t>
      </w:r>
      <w:r>
        <w:rPr>
          <w:spacing w:val="-2"/>
        </w:rPr>
        <w:t>completed</w:t>
      </w:r>
      <w:r>
        <w:rPr>
          <w:spacing w:val="-11"/>
        </w:rPr>
        <w:t> </w:t>
      </w:r>
      <w:r>
        <w:rPr>
          <w:spacing w:val="-2"/>
        </w:rPr>
        <w:t>a</w:t>
      </w:r>
      <w:r>
        <w:rPr>
          <w:spacing w:val="-11"/>
        </w:rPr>
        <w:t> </w:t>
      </w:r>
      <w:r>
        <w:rPr>
          <w:spacing w:val="-2"/>
        </w:rPr>
        <w:t>Master’s</w:t>
      </w:r>
      <w:r>
        <w:rPr>
          <w:spacing w:val="-11"/>
        </w:rPr>
        <w:t> </w:t>
      </w:r>
      <w:r>
        <w:rPr>
          <w:spacing w:val="-2"/>
        </w:rPr>
        <w:t>degree.</w:t>
      </w:r>
      <w:r>
        <w:rPr>
          <w:spacing w:val="-11"/>
        </w:rPr>
        <w:t> </w:t>
      </w:r>
      <w:r>
        <w:rPr>
          <w:spacing w:val="-2"/>
        </w:rPr>
        <w:t>A</w:t>
      </w:r>
      <w:r>
        <w:rPr>
          <w:spacing w:val="-11"/>
        </w:rPr>
        <w:t> </w:t>
      </w:r>
      <w:r>
        <w:rPr>
          <w:spacing w:val="-2"/>
        </w:rPr>
        <w:t>high quality</w:t>
      </w:r>
      <w:r>
        <w:rPr>
          <w:spacing w:val="-12"/>
        </w:rPr>
        <w:t> </w:t>
      </w:r>
      <w:r>
        <w:rPr>
          <w:spacing w:val="-2"/>
        </w:rPr>
        <w:t>four</w:t>
      </w:r>
      <w:r>
        <w:rPr>
          <w:spacing w:val="-12"/>
        </w:rPr>
        <w:t> </w:t>
      </w:r>
      <w:r>
        <w:rPr>
          <w:spacing w:val="-2"/>
        </w:rPr>
        <w:t>year</w:t>
      </w:r>
      <w:r>
        <w:rPr>
          <w:spacing w:val="-11"/>
        </w:rPr>
        <w:t> </w:t>
      </w:r>
      <w:r>
        <w:rPr>
          <w:spacing w:val="-2"/>
        </w:rPr>
        <w:t>program</w:t>
      </w:r>
      <w:r>
        <w:rPr>
          <w:spacing w:val="-12"/>
        </w:rPr>
        <w:t> </w:t>
      </w:r>
      <w:r>
        <w:rPr>
          <w:spacing w:val="-2"/>
        </w:rPr>
        <w:t>should</w:t>
      </w:r>
      <w:r>
        <w:rPr>
          <w:spacing w:val="-12"/>
        </w:rPr>
        <w:t> </w:t>
      </w:r>
      <w:r>
        <w:rPr>
          <w:spacing w:val="-2"/>
        </w:rPr>
        <w:t>be</w:t>
      </w:r>
      <w:r>
        <w:rPr>
          <w:spacing w:val="-11"/>
        </w:rPr>
        <w:t> </w:t>
      </w:r>
      <w:r>
        <w:rPr>
          <w:spacing w:val="-2"/>
        </w:rPr>
        <w:t>rolled</w:t>
      </w:r>
      <w:r>
        <w:rPr>
          <w:spacing w:val="-12"/>
        </w:rPr>
        <w:t> </w:t>
      </w:r>
      <w:r>
        <w:rPr>
          <w:spacing w:val="-2"/>
        </w:rPr>
        <w:t>out</w:t>
      </w:r>
      <w:r>
        <w:rPr>
          <w:spacing w:val="-12"/>
        </w:rPr>
        <w:t> </w:t>
      </w:r>
      <w:r>
        <w:rPr>
          <w:spacing w:val="-2"/>
        </w:rPr>
        <w:t>in</w:t>
      </w:r>
      <w:r>
        <w:rPr>
          <w:spacing w:val="-11"/>
        </w:rPr>
        <w:t> </w:t>
      </w:r>
      <w:r>
        <w:rPr>
          <w:spacing w:val="-2"/>
        </w:rPr>
        <w:t>select </w:t>
      </w:r>
      <w:r>
        <w:rPr/>
        <w:t>institutions</w:t>
      </w:r>
      <w:r>
        <w:rPr>
          <w:position w:val="7"/>
          <w:sz w:val="13"/>
        </w:rPr>
        <w:t>3</w:t>
      </w:r>
      <w:r>
        <w:rPr>
          <w:spacing w:val="29"/>
          <w:position w:val="7"/>
          <w:sz w:val="13"/>
        </w:rPr>
        <w:t> </w:t>
      </w:r>
      <w:r>
        <w:rPr/>
        <w:t>which will enable direct entry to a Ph.D program, thereby effectively reducing the total time </w:t>
      </w:r>
      <w:r>
        <w:rPr>
          <w:spacing w:val="-6"/>
        </w:rPr>
        <w:t>spent on doctoral study. A new system of research based </w:t>
      </w:r>
      <w:r>
        <w:rPr>
          <w:spacing w:val="-4"/>
        </w:rPr>
        <w:t>universities starting at the undergraduate level focusing </w:t>
      </w:r>
      <w:r>
        <w:rPr/>
        <w:t>both</w:t>
      </w:r>
      <w:r>
        <w:rPr>
          <w:spacing w:val="-11"/>
        </w:rPr>
        <w:t> </w:t>
      </w:r>
      <w:r>
        <w:rPr/>
        <w:t>on</w:t>
      </w:r>
      <w:r>
        <w:rPr>
          <w:spacing w:val="-12"/>
        </w:rPr>
        <w:t> </w:t>
      </w:r>
      <w:r>
        <w:rPr/>
        <w:t>teaching</w:t>
      </w:r>
      <w:r>
        <w:rPr>
          <w:spacing w:val="-13"/>
        </w:rPr>
        <w:t> </w:t>
      </w:r>
      <w:r>
        <w:rPr/>
        <w:t>and</w:t>
      </w:r>
      <w:r>
        <w:rPr>
          <w:spacing w:val="-13"/>
        </w:rPr>
        <w:t> </w:t>
      </w:r>
      <w:r>
        <w:rPr/>
        <w:t>research</w:t>
      </w:r>
      <w:r>
        <w:rPr>
          <w:spacing w:val="-13"/>
        </w:rPr>
        <w:t> </w:t>
      </w:r>
      <w:r>
        <w:rPr/>
        <w:t>is</w:t>
      </w:r>
      <w:r>
        <w:rPr>
          <w:spacing w:val="-13"/>
        </w:rPr>
        <w:t> </w:t>
      </w:r>
      <w:r>
        <w:rPr/>
        <w:t>essential</w:t>
      </w:r>
      <w:r>
        <w:rPr>
          <w:spacing w:val="-13"/>
        </w:rPr>
        <w:t> </w:t>
      </w:r>
      <w:r>
        <w:rPr/>
        <w:t>to</w:t>
      </w:r>
      <w:r>
        <w:rPr>
          <w:spacing w:val="-13"/>
        </w:rPr>
        <w:t> </w:t>
      </w:r>
      <w:r>
        <w:rPr/>
        <w:t>create</w:t>
      </w:r>
      <w:r>
        <w:rPr>
          <w:spacing w:val="-13"/>
        </w:rPr>
        <w:t> </w:t>
      </w:r>
      <w:r>
        <w:rPr/>
        <w:t>the </w:t>
      </w:r>
      <w:r>
        <w:rPr>
          <w:spacing w:val="-2"/>
        </w:rPr>
        <w:t>right</w:t>
      </w:r>
      <w:r>
        <w:rPr>
          <w:spacing w:val="-9"/>
        </w:rPr>
        <w:t> </w:t>
      </w:r>
      <w:r>
        <w:rPr>
          <w:spacing w:val="-2"/>
        </w:rPr>
        <w:t>environment</w:t>
      </w:r>
      <w:r>
        <w:rPr>
          <w:spacing w:val="-9"/>
        </w:rPr>
        <w:t> </w:t>
      </w:r>
      <w:r>
        <w:rPr>
          <w:spacing w:val="-2"/>
        </w:rPr>
        <w:t>needed</w:t>
      </w:r>
      <w:r>
        <w:rPr>
          <w:spacing w:val="-9"/>
        </w:rPr>
        <w:t> </w:t>
      </w:r>
      <w:r>
        <w:rPr>
          <w:spacing w:val="-2"/>
        </w:rPr>
        <w:t>to</w:t>
      </w:r>
      <w:r>
        <w:rPr>
          <w:spacing w:val="-9"/>
        </w:rPr>
        <w:t> </w:t>
      </w:r>
      <w:r>
        <w:rPr>
          <w:spacing w:val="-2"/>
        </w:rPr>
        <w:t>nurture</w:t>
      </w:r>
      <w:r>
        <w:rPr>
          <w:spacing w:val="-9"/>
        </w:rPr>
        <w:t> </w:t>
      </w:r>
      <w:r>
        <w:rPr>
          <w:spacing w:val="-2"/>
        </w:rPr>
        <w:t>research.</w:t>
      </w:r>
      <w:r>
        <w:rPr>
          <w:spacing w:val="-9"/>
        </w:rPr>
        <w:t> </w:t>
      </w:r>
      <w:r>
        <w:rPr>
          <w:spacing w:val="-2"/>
        </w:rPr>
        <w:t>Existing </w:t>
      </w:r>
      <w:r>
        <w:rPr>
          <w:spacing w:val="-8"/>
        </w:rPr>
        <w:t>universities</w:t>
      </w:r>
      <w:r>
        <w:rPr>
          <w:spacing w:val="-4"/>
        </w:rPr>
        <w:t> </w:t>
      </w:r>
      <w:r>
        <w:rPr>
          <w:spacing w:val="-8"/>
        </w:rPr>
        <w:t>or</w:t>
      </w:r>
      <w:r>
        <w:rPr>
          <w:spacing w:val="-4"/>
        </w:rPr>
        <w:t> </w:t>
      </w:r>
      <w:r>
        <w:rPr>
          <w:spacing w:val="-8"/>
        </w:rPr>
        <w:t>research</w:t>
      </w:r>
      <w:r>
        <w:rPr>
          <w:spacing w:val="-4"/>
        </w:rPr>
        <w:t> </w:t>
      </w:r>
      <w:r>
        <w:rPr>
          <w:spacing w:val="-8"/>
        </w:rPr>
        <w:t>institutes</w:t>
      </w:r>
      <w:r>
        <w:rPr>
          <w:spacing w:val="-4"/>
        </w:rPr>
        <w:t> </w:t>
      </w:r>
      <w:r>
        <w:rPr>
          <w:spacing w:val="-8"/>
        </w:rPr>
        <w:t>may</w:t>
      </w:r>
      <w:r>
        <w:rPr>
          <w:spacing w:val="-4"/>
        </w:rPr>
        <w:t> </w:t>
      </w:r>
      <w:r>
        <w:rPr>
          <w:spacing w:val="-8"/>
        </w:rPr>
        <w:t>be</w:t>
      </w:r>
      <w:r>
        <w:rPr>
          <w:spacing w:val="-4"/>
        </w:rPr>
        <w:t> </w:t>
      </w:r>
      <w:r>
        <w:rPr>
          <w:spacing w:val="-8"/>
        </w:rPr>
        <w:t>transformed</w:t>
      </w:r>
      <w:r>
        <w:rPr>
          <w:spacing w:val="-4"/>
        </w:rPr>
        <w:t> </w:t>
      </w:r>
      <w:r>
        <w:rPr>
          <w:spacing w:val="-8"/>
        </w:rPr>
        <w:t>into a</w:t>
      </w:r>
      <w:r>
        <w:rPr/>
        <w:t> </w:t>
      </w:r>
      <w:r>
        <w:rPr>
          <w:spacing w:val="-8"/>
        </w:rPr>
        <w:t>smaller</w:t>
      </w:r>
      <w:r>
        <w:rPr/>
        <w:t> </w:t>
      </w:r>
      <w:r>
        <w:rPr>
          <w:spacing w:val="-8"/>
        </w:rPr>
        <w:t>research</w:t>
      </w:r>
      <w:r>
        <w:rPr/>
        <w:t> </w:t>
      </w:r>
      <w:r>
        <w:rPr>
          <w:spacing w:val="-8"/>
        </w:rPr>
        <w:t>based</w:t>
      </w:r>
      <w:r>
        <w:rPr/>
        <w:t> </w:t>
      </w:r>
      <w:r>
        <w:rPr>
          <w:spacing w:val="-8"/>
        </w:rPr>
        <w:t>universities.</w:t>
      </w:r>
      <w:r>
        <w:rPr/>
        <w:t> </w:t>
      </w:r>
      <w:r>
        <w:rPr>
          <w:spacing w:val="-8"/>
        </w:rPr>
        <w:t>Smaller</w:t>
      </w:r>
      <w:r>
        <w:rPr/>
        <w:t> </w:t>
      </w:r>
      <w:r>
        <w:rPr>
          <w:spacing w:val="-8"/>
        </w:rPr>
        <w:t>universities ease</w:t>
      </w:r>
      <w:r>
        <w:rPr/>
        <w:t> </w:t>
      </w:r>
      <w:r>
        <w:rPr>
          <w:spacing w:val="-8"/>
        </w:rPr>
        <w:t>administrative</w:t>
      </w:r>
      <w:r>
        <w:rPr/>
        <w:t> </w:t>
      </w:r>
      <w:r>
        <w:rPr>
          <w:spacing w:val="-8"/>
        </w:rPr>
        <w:t>hurdles.</w:t>
      </w:r>
      <w:r>
        <w:rPr/>
        <w:t> </w:t>
      </w:r>
      <w:r>
        <w:rPr>
          <w:spacing w:val="-8"/>
        </w:rPr>
        <w:t>Universities</w:t>
      </w:r>
      <w:r>
        <w:rPr/>
        <w:t> </w:t>
      </w:r>
      <w:r>
        <w:rPr>
          <w:spacing w:val="-8"/>
        </w:rPr>
        <w:t>without</w:t>
      </w:r>
      <w:r>
        <w:rPr/>
        <w:t> </w:t>
      </w:r>
      <w:r>
        <w:rPr>
          <w:spacing w:val="-8"/>
        </w:rPr>
        <w:t>attached </w:t>
      </w:r>
      <w:r>
        <w:rPr/>
        <w:t>colleges have a higher chance of developing a good </w:t>
      </w:r>
      <w:r>
        <w:rPr>
          <w:spacing w:val="-2"/>
        </w:rPr>
        <w:t>research</w:t>
      </w:r>
      <w:r>
        <w:rPr>
          <w:spacing w:val="-12"/>
        </w:rPr>
        <w:t> </w:t>
      </w:r>
      <w:r>
        <w:rPr>
          <w:spacing w:val="-2"/>
        </w:rPr>
        <w:t>culture.</w:t>
      </w:r>
      <w:r>
        <w:rPr>
          <w:spacing w:val="-12"/>
        </w:rPr>
        <w:t> </w:t>
      </w:r>
      <w:r>
        <w:rPr>
          <w:spacing w:val="-2"/>
        </w:rPr>
        <w:t>Excellent</w:t>
      </w:r>
      <w:r>
        <w:rPr>
          <w:spacing w:val="-12"/>
        </w:rPr>
        <w:t> </w:t>
      </w:r>
      <w:r>
        <w:rPr>
          <w:spacing w:val="-2"/>
        </w:rPr>
        <w:t>resources</w:t>
      </w:r>
      <w:r>
        <w:rPr>
          <w:spacing w:val="-11"/>
        </w:rPr>
        <w:t> </w:t>
      </w:r>
      <w:r>
        <w:rPr>
          <w:spacing w:val="-2"/>
        </w:rPr>
        <w:t>and</w:t>
      </w:r>
      <w:r>
        <w:rPr>
          <w:spacing w:val="-12"/>
        </w:rPr>
        <w:t> </w:t>
      </w:r>
      <w:r>
        <w:rPr>
          <w:spacing w:val="-2"/>
        </w:rPr>
        <w:t>infrastructure </w:t>
      </w:r>
      <w:r>
        <w:rPr/>
        <w:t>should be created. Also, adequate communication </w:t>
      </w:r>
      <w:r>
        <w:rPr>
          <w:spacing w:val="-6"/>
        </w:rPr>
        <w:t>channels should be established with existing universities </w:t>
      </w:r>
      <w:r>
        <w:rPr/>
        <w:t>to provide holistic (broad based) education. The Government</w:t>
      </w:r>
      <w:r>
        <w:rPr>
          <w:spacing w:val="-2"/>
        </w:rPr>
        <w:t> </w:t>
      </w:r>
      <w:r>
        <w:rPr/>
        <w:t>has</w:t>
      </w:r>
      <w:r>
        <w:rPr>
          <w:spacing w:val="-2"/>
        </w:rPr>
        <w:t> </w:t>
      </w:r>
      <w:r>
        <w:rPr/>
        <w:t>taken</w:t>
      </w:r>
      <w:r>
        <w:rPr>
          <w:spacing w:val="-2"/>
        </w:rPr>
        <w:t> </w:t>
      </w:r>
      <w:r>
        <w:rPr/>
        <w:t>a</w:t>
      </w:r>
      <w:r>
        <w:rPr>
          <w:spacing w:val="-2"/>
        </w:rPr>
        <w:t> </w:t>
      </w:r>
      <w:r>
        <w:rPr/>
        <w:t>step</w:t>
      </w:r>
      <w:r>
        <w:rPr>
          <w:spacing w:val="-2"/>
        </w:rPr>
        <w:t> </w:t>
      </w:r>
      <w:r>
        <w:rPr/>
        <w:t>in</w:t>
      </w:r>
      <w:r>
        <w:rPr>
          <w:spacing w:val="-2"/>
        </w:rPr>
        <w:t> </w:t>
      </w:r>
      <w:r>
        <w:rPr/>
        <w:t>the</w:t>
      </w:r>
      <w:r>
        <w:rPr>
          <w:spacing w:val="-2"/>
        </w:rPr>
        <w:t> </w:t>
      </w:r>
      <w:r>
        <w:rPr/>
        <w:t>right</w:t>
      </w:r>
      <w:r>
        <w:rPr>
          <w:spacing w:val="-2"/>
        </w:rPr>
        <w:t> </w:t>
      </w:r>
      <w:r>
        <w:rPr/>
        <w:t>direction</w:t>
      </w:r>
      <w:r>
        <w:rPr>
          <w:spacing w:val="-2"/>
        </w:rPr>
        <w:t> </w:t>
      </w:r>
      <w:r>
        <w:rPr/>
        <w:t>by starting Indian Institutions of Science Education and Research</w:t>
      </w:r>
      <w:r>
        <w:rPr>
          <w:spacing w:val="-2"/>
        </w:rPr>
        <w:t> </w:t>
      </w:r>
      <w:r>
        <w:rPr/>
        <w:t>(IISERs)</w:t>
      </w:r>
      <w:r>
        <w:rPr>
          <w:spacing w:val="-2"/>
        </w:rPr>
        <w:t> </w:t>
      </w:r>
      <w:r>
        <w:rPr/>
        <w:t>in</w:t>
      </w:r>
      <w:r>
        <w:rPr>
          <w:spacing w:val="-2"/>
        </w:rPr>
        <w:t> </w:t>
      </w:r>
      <w:r>
        <w:rPr/>
        <w:t>the</w:t>
      </w:r>
      <w:r>
        <w:rPr>
          <w:spacing w:val="-2"/>
        </w:rPr>
        <w:t> </w:t>
      </w:r>
      <w:r>
        <w:rPr/>
        <w:t>field</w:t>
      </w:r>
      <w:r>
        <w:rPr>
          <w:spacing w:val="-2"/>
        </w:rPr>
        <w:t> </w:t>
      </w:r>
      <w:r>
        <w:rPr/>
        <w:t>of</w:t>
      </w:r>
      <w:r>
        <w:rPr>
          <w:spacing w:val="-2"/>
        </w:rPr>
        <w:t> </w:t>
      </w:r>
      <w:r>
        <w:rPr/>
        <w:t>sciences.</w:t>
      </w:r>
      <w:r>
        <w:rPr>
          <w:spacing w:val="-2"/>
        </w:rPr>
        <w:t> </w:t>
      </w:r>
      <w:r>
        <w:rPr/>
        <w:t>Corporate </w:t>
      </w:r>
      <w:r>
        <w:rPr>
          <w:spacing w:val="-2"/>
        </w:rPr>
        <w:t>houses</w:t>
      </w:r>
      <w:r>
        <w:rPr>
          <w:spacing w:val="-12"/>
        </w:rPr>
        <w:t> </w:t>
      </w:r>
      <w:r>
        <w:rPr>
          <w:spacing w:val="-2"/>
        </w:rPr>
        <w:t>could</w:t>
      </w:r>
      <w:r>
        <w:rPr>
          <w:spacing w:val="-12"/>
        </w:rPr>
        <w:t> </w:t>
      </w:r>
      <w:r>
        <w:rPr>
          <w:spacing w:val="-2"/>
        </w:rPr>
        <w:t>be</w:t>
      </w:r>
      <w:r>
        <w:rPr>
          <w:spacing w:val="-12"/>
        </w:rPr>
        <w:t> </w:t>
      </w:r>
      <w:r>
        <w:rPr>
          <w:spacing w:val="-2"/>
        </w:rPr>
        <w:t>involved</w:t>
      </w:r>
      <w:r>
        <w:rPr>
          <w:spacing w:val="-11"/>
        </w:rPr>
        <w:t> </w:t>
      </w:r>
      <w:r>
        <w:rPr>
          <w:spacing w:val="-2"/>
        </w:rPr>
        <w:t>in</w:t>
      </w:r>
      <w:r>
        <w:rPr>
          <w:spacing w:val="-12"/>
        </w:rPr>
        <w:t> </w:t>
      </w:r>
      <w:r>
        <w:rPr>
          <w:spacing w:val="-2"/>
        </w:rPr>
        <w:t>starting</w:t>
      </w:r>
      <w:r>
        <w:rPr>
          <w:spacing w:val="-12"/>
        </w:rPr>
        <w:t> </w:t>
      </w:r>
      <w:r>
        <w:rPr>
          <w:spacing w:val="-2"/>
        </w:rPr>
        <w:t>some</w:t>
      </w:r>
      <w:r>
        <w:rPr>
          <w:spacing w:val="-12"/>
        </w:rPr>
        <w:t> </w:t>
      </w:r>
      <w:r>
        <w:rPr>
          <w:spacing w:val="-2"/>
        </w:rPr>
        <w:t>of</w:t>
      </w:r>
      <w:r>
        <w:rPr>
          <w:spacing w:val="-11"/>
        </w:rPr>
        <w:t> </w:t>
      </w:r>
      <w:r>
        <w:rPr>
          <w:spacing w:val="-2"/>
        </w:rPr>
        <w:t>these</w:t>
      </w:r>
      <w:r>
        <w:rPr>
          <w:spacing w:val="-12"/>
        </w:rPr>
        <w:t> </w:t>
      </w:r>
      <w:r>
        <w:rPr>
          <w:spacing w:val="-2"/>
        </w:rPr>
        <w:t>new </w:t>
      </w:r>
      <w:r>
        <w:rPr>
          <w:spacing w:val="-6"/>
        </w:rPr>
        <w:t>universities. Research universities for thrust areas can be </w:t>
      </w:r>
      <w:r>
        <w:rPr/>
        <w:t>created in public-private partnership mode.</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before="50"/>
        <w:rPr>
          <w:sz w:val="20"/>
        </w:rPr>
      </w:pPr>
    </w:p>
    <w:p>
      <w:pPr>
        <w:pStyle w:val="BodyText"/>
        <w:spacing w:line="20" w:lineRule="exact"/>
        <w:ind w:left="1080"/>
        <w:rPr>
          <w:sz w:val="2"/>
        </w:rPr>
      </w:pPr>
      <w:r>
        <w:rPr>
          <w:sz w:val="2"/>
        </w:rPr>
        <mc:AlternateContent>
          <mc:Choice Requires="wps">
            <w:drawing>
              <wp:inline distT="0" distB="0" distL="0" distR="0">
                <wp:extent cx="2408555" cy="6350"/>
                <wp:effectExtent l="0" t="0" r="0" b="0"/>
                <wp:docPr id="940" name="Group 940"/>
                <wp:cNvGraphicFramePr>
                  <a:graphicFrameLocks/>
                </wp:cNvGraphicFramePr>
                <a:graphic>
                  <a:graphicData uri="http://schemas.microsoft.com/office/word/2010/wordprocessingGroup">
                    <wpg:wgp>
                      <wpg:cNvPr id="940" name="Group 940"/>
                      <wpg:cNvGrpSpPr/>
                      <wpg:grpSpPr>
                        <a:xfrm>
                          <a:off x="0" y="0"/>
                          <a:ext cx="2408555" cy="6350"/>
                          <a:chExt cx="2408555" cy="6350"/>
                        </a:xfrm>
                      </wpg:grpSpPr>
                      <wps:wsp>
                        <wps:cNvPr id="941" name="Graphic 941"/>
                        <wps:cNvSpPr/>
                        <wps:spPr>
                          <a:xfrm>
                            <a:off x="0" y="0"/>
                            <a:ext cx="2408555" cy="6350"/>
                          </a:xfrm>
                          <a:custGeom>
                            <a:avLst/>
                            <a:gdLst/>
                            <a:ahLst/>
                            <a:cxnLst/>
                            <a:rect l="l" t="t" r="r" b="b"/>
                            <a:pathLst>
                              <a:path w="2408555" h="6350">
                                <a:moveTo>
                                  <a:pt x="2408400" y="0"/>
                                </a:moveTo>
                                <a:lnTo>
                                  <a:pt x="0" y="0"/>
                                </a:lnTo>
                                <a:lnTo>
                                  <a:pt x="0" y="6350"/>
                                </a:lnTo>
                                <a:lnTo>
                                  <a:pt x="2408400" y="6350"/>
                                </a:lnTo>
                                <a:lnTo>
                                  <a:pt x="240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65pt;height:.5pt;mso-position-horizontal-relative:char;mso-position-vertical-relative:line" id="docshapegroup933" coordorigin="0,0" coordsize="3793,10">
                <v:rect style="position:absolute;left:0;top:0;width:3793;height:10" id="docshape934" filled="true" fillcolor="#000000" stroked="false">
                  <v:fill type="solid"/>
                </v:rect>
              </v:group>
            </w:pict>
          </mc:Fallback>
        </mc:AlternateContent>
      </w:r>
      <w:r>
        <w:rPr>
          <w:sz w:val="2"/>
        </w:rPr>
      </w:r>
    </w:p>
    <w:p>
      <w:pPr>
        <w:spacing w:line="254" w:lineRule="auto" w:before="108"/>
        <w:ind w:left="1079" w:right="0" w:firstLine="0"/>
        <w:jc w:val="left"/>
        <w:rPr>
          <w:sz w:val="18"/>
        </w:rPr>
      </w:pPr>
      <w:r>
        <w:rPr>
          <w:spacing w:val="-4"/>
          <w:position w:val="6"/>
          <w:sz w:val="10"/>
        </w:rPr>
        <w:t>3</w:t>
      </w:r>
      <w:r>
        <w:rPr>
          <w:spacing w:val="-1"/>
          <w:position w:val="6"/>
          <w:sz w:val="10"/>
        </w:rPr>
        <w:t> </w:t>
      </w:r>
      <w:r>
        <w:rPr>
          <w:spacing w:val="-4"/>
          <w:sz w:val="18"/>
        </w:rPr>
        <w:t>See NKC’s Publication on “Attracting More</w:t>
      </w:r>
      <w:r>
        <w:rPr>
          <w:spacing w:val="-9"/>
          <w:sz w:val="18"/>
        </w:rPr>
        <w:t> </w:t>
      </w:r>
      <w:r>
        <w:rPr>
          <w:spacing w:val="-4"/>
          <w:sz w:val="18"/>
        </w:rPr>
        <w:t>Talented Students to Maths and Science”, Pages 9 and 22, </w:t>
      </w:r>
      <w:hyperlink r:id="rId622">
        <w:r>
          <w:rPr>
            <w:spacing w:val="-2"/>
            <w:sz w:val="18"/>
          </w:rPr>
          <w:t>http://www.knowledgecommission.gov.in/downloads/documents/nkc_maths.pdf</w:t>
        </w:r>
      </w:hyperlink>
    </w:p>
    <w:p>
      <w:pPr>
        <w:spacing w:after="0" w:line="254" w:lineRule="auto"/>
        <w:jc w:val="left"/>
        <w:rPr>
          <w:sz w:val="18"/>
        </w:rPr>
        <w:sectPr>
          <w:type w:val="continuous"/>
          <w:pgSz w:w="11910" w:h="16840"/>
          <w:pgMar w:header="0" w:footer="675" w:top="1920" w:bottom="280" w:left="0" w:right="0"/>
        </w:sectPr>
      </w:pPr>
    </w:p>
    <w:p>
      <w:pPr>
        <w:pStyle w:val="BodyText"/>
        <w:spacing w:line="266" w:lineRule="auto" w:before="57"/>
        <w:ind w:left="1080"/>
        <w:jc w:val="both"/>
      </w:pPr>
      <w:r>
        <w:rPr/>
        <w:t>However, some caution needs to be observed while setting up new research universities.</w:t>
      </w:r>
    </w:p>
    <w:p>
      <w:pPr>
        <w:pStyle w:val="ListParagraph"/>
        <w:numPr>
          <w:ilvl w:val="0"/>
          <w:numId w:val="53"/>
        </w:numPr>
        <w:tabs>
          <w:tab w:pos="1440" w:val="left" w:leader="none"/>
        </w:tabs>
        <w:spacing w:line="266" w:lineRule="auto" w:before="0" w:after="0"/>
        <w:ind w:left="1440" w:right="1" w:hanging="360"/>
        <w:jc w:val="both"/>
        <w:rPr>
          <w:sz w:val="22"/>
        </w:rPr>
      </w:pPr>
      <w:r>
        <w:rPr>
          <w:sz w:val="22"/>
        </w:rPr>
        <w:t>An</w:t>
      </w:r>
      <w:r>
        <w:rPr>
          <w:spacing w:val="-9"/>
          <w:sz w:val="22"/>
        </w:rPr>
        <w:t> </w:t>
      </w:r>
      <w:r>
        <w:rPr>
          <w:sz w:val="22"/>
        </w:rPr>
        <w:t>able</w:t>
      </w:r>
      <w:r>
        <w:rPr>
          <w:spacing w:val="-9"/>
          <w:sz w:val="22"/>
        </w:rPr>
        <w:t> </w:t>
      </w:r>
      <w:r>
        <w:rPr>
          <w:sz w:val="22"/>
        </w:rPr>
        <w:t>director</w:t>
      </w:r>
      <w:r>
        <w:rPr>
          <w:spacing w:val="-9"/>
          <w:sz w:val="22"/>
        </w:rPr>
        <w:t> </w:t>
      </w:r>
      <w:r>
        <w:rPr>
          <w:sz w:val="22"/>
        </w:rPr>
        <w:t>is</w:t>
      </w:r>
      <w:r>
        <w:rPr>
          <w:spacing w:val="-9"/>
          <w:sz w:val="22"/>
        </w:rPr>
        <w:t> </w:t>
      </w:r>
      <w:r>
        <w:rPr>
          <w:sz w:val="22"/>
        </w:rPr>
        <w:t>essential</w:t>
      </w:r>
      <w:r>
        <w:rPr>
          <w:spacing w:val="-9"/>
          <w:sz w:val="22"/>
        </w:rPr>
        <w:t> </w:t>
      </w:r>
      <w:r>
        <w:rPr>
          <w:sz w:val="22"/>
        </w:rPr>
        <w:t>for</w:t>
      </w:r>
      <w:r>
        <w:rPr>
          <w:spacing w:val="-9"/>
          <w:sz w:val="22"/>
        </w:rPr>
        <w:t> </w:t>
      </w:r>
      <w:r>
        <w:rPr>
          <w:sz w:val="22"/>
        </w:rPr>
        <w:t>developing</w:t>
      </w:r>
      <w:r>
        <w:rPr>
          <w:spacing w:val="-9"/>
          <w:sz w:val="22"/>
        </w:rPr>
        <w:t> </w:t>
      </w:r>
      <w:r>
        <w:rPr>
          <w:sz w:val="22"/>
        </w:rPr>
        <w:t>a</w:t>
      </w:r>
      <w:r>
        <w:rPr>
          <w:spacing w:val="-9"/>
          <w:sz w:val="22"/>
        </w:rPr>
        <w:t> </w:t>
      </w:r>
      <w:r>
        <w:rPr>
          <w:sz w:val="22"/>
        </w:rPr>
        <w:t>new </w:t>
      </w:r>
      <w:r>
        <w:rPr>
          <w:spacing w:val="-2"/>
          <w:sz w:val="22"/>
        </w:rPr>
        <w:t>institute.</w:t>
      </w:r>
    </w:p>
    <w:p>
      <w:pPr>
        <w:pStyle w:val="ListParagraph"/>
        <w:numPr>
          <w:ilvl w:val="0"/>
          <w:numId w:val="53"/>
        </w:numPr>
        <w:tabs>
          <w:tab w:pos="1439" w:val="left" w:leader="none"/>
        </w:tabs>
        <w:spacing w:line="266" w:lineRule="auto" w:before="0" w:after="0"/>
        <w:ind w:left="1439" w:right="0" w:hanging="360"/>
        <w:jc w:val="both"/>
        <w:rPr>
          <w:sz w:val="22"/>
        </w:rPr>
      </w:pPr>
      <w:r>
        <w:rPr>
          <w:sz w:val="22"/>
        </w:rPr>
        <w:t>These universities should not become </w:t>
      </w:r>
      <w:r>
        <w:rPr>
          <w:sz w:val="22"/>
        </w:rPr>
        <w:t>isolated islands of excellence.</w:t>
      </w:r>
    </w:p>
    <w:p>
      <w:pPr>
        <w:pStyle w:val="ListParagraph"/>
        <w:numPr>
          <w:ilvl w:val="0"/>
          <w:numId w:val="53"/>
        </w:numPr>
        <w:tabs>
          <w:tab w:pos="1439" w:val="left" w:leader="none"/>
        </w:tabs>
        <w:spacing w:line="266" w:lineRule="auto" w:before="0" w:after="0"/>
        <w:ind w:left="1439" w:right="0" w:hanging="360"/>
        <w:jc w:val="both"/>
        <w:rPr>
          <w:sz w:val="22"/>
        </w:rPr>
      </w:pPr>
      <w:r>
        <w:rPr>
          <w:sz w:val="22"/>
        </w:rPr>
        <w:t>Faculty will remain the most serious issue in </w:t>
      </w:r>
      <w:r>
        <w:rPr>
          <w:spacing w:val="-2"/>
          <w:sz w:val="22"/>
        </w:rPr>
        <w:t>expansion</w:t>
      </w:r>
      <w:r>
        <w:rPr>
          <w:spacing w:val="-12"/>
          <w:sz w:val="22"/>
        </w:rPr>
        <w:t> </w:t>
      </w:r>
      <w:r>
        <w:rPr>
          <w:spacing w:val="-2"/>
          <w:sz w:val="22"/>
        </w:rPr>
        <w:t>and</w:t>
      </w:r>
      <w:r>
        <w:rPr>
          <w:spacing w:val="-12"/>
          <w:sz w:val="22"/>
        </w:rPr>
        <w:t> </w:t>
      </w:r>
      <w:r>
        <w:rPr>
          <w:spacing w:val="-2"/>
          <w:sz w:val="22"/>
        </w:rPr>
        <w:t>appropriate</w:t>
      </w:r>
      <w:r>
        <w:rPr>
          <w:spacing w:val="-12"/>
          <w:sz w:val="22"/>
        </w:rPr>
        <w:t> </w:t>
      </w:r>
      <w:r>
        <w:rPr>
          <w:spacing w:val="-2"/>
          <w:sz w:val="22"/>
        </w:rPr>
        <w:t>steps</w:t>
      </w:r>
      <w:r>
        <w:rPr>
          <w:spacing w:val="-11"/>
          <w:sz w:val="22"/>
        </w:rPr>
        <w:t> </w:t>
      </w:r>
      <w:r>
        <w:rPr>
          <w:spacing w:val="-2"/>
          <w:sz w:val="22"/>
        </w:rPr>
        <w:t>should</w:t>
      </w:r>
      <w:r>
        <w:rPr>
          <w:spacing w:val="-12"/>
          <w:sz w:val="22"/>
        </w:rPr>
        <w:t> </w:t>
      </w:r>
      <w:r>
        <w:rPr>
          <w:spacing w:val="-2"/>
          <w:sz w:val="22"/>
        </w:rPr>
        <w:t>be</w:t>
      </w:r>
      <w:r>
        <w:rPr>
          <w:spacing w:val="-12"/>
          <w:sz w:val="22"/>
        </w:rPr>
        <w:t> </w:t>
      </w:r>
      <w:r>
        <w:rPr>
          <w:spacing w:val="-2"/>
          <w:sz w:val="22"/>
        </w:rPr>
        <w:t>taken</w:t>
      </w:r>
      <w:r>
        <w:rPr>
          <w:spacing w:val="-12"/>
          <w:sz w:val="22"/>
        </w:rPr>
        <w:t> </w:t>
      </w:r>
      <w:r>
        <w:rPr>
          <w:spacing w:val="-2"/>
          <w:sz w:val="22"/>
        </w:rPr>
        <w:t>in </w:t>
      </w:r>
      <w:r>
        <w:rPr>
          <w:sz w:val="22"/>
        </w:rPr>
        <w:t>this direction.</w:t>
      </w:r>
    </w:p>
    <w:p>
      <w:pPr>
        <w:pStyle w:val="ListParagraph"/>
        <w:numPr>
          <w:ilvl w:val="0"/>
          <w:numId w:val="53"/>
        </w:numPr>
        <w:tabs>
          <w:tab w:pos="1439" w:val="left" w:leader="none"/>
        </w:tabs>
        <w:spacing w:line="266" w:lineRule="auto" w:before="0" w:after="0"/>
        <w:ind w:left="1439" w:right="0" w:hanging="360"/>
        <w:jc w:val="both"/>
        <w:rPr>
          <w:sz w:val="22"/>
        </w:rPr>
      </w:pPr>
      <w:r>
        <w:rPr>
          <w:sz w:val="22"/>
        </w:rPr>
        <w:t>Serious investigations into the existing </w:t>
      </w:r>
      <w:r>
        <w:rPr>
          <w:sz w:val="22"/>
        </w:rPr>
        <w:t>system should</w:t>
      </w:r>
      <w:r>
        <w:rPr>
          <w:spacing w:val="-10"/>
          <w:sz w:val="22"/>
        </w:rPr>
        <w:t> </w:t>
      </w:r>
      <w:r>
        <w:rPr>
          <w:sz w:val="22"/>
        </w:rPr>
        <w:t>be</w:t>
      </w:r>
      <w:r>
        <w:rPr>
          <w:spacing w:val="-10"/>
          <w:sz w:val="22"/>
        </w:rPr>
        <w:t> </w:t>
      </w:r>
      <w:r>
        <w:rPr>
          <w:sz w:val="22"/>
        </w:rPr>
        <w:t>undertaken</w:t>
      </w:r>
      <w:r>
        <w:rPr>
          <w:spacing w:val="-10"/>
          <w:sz w:val="22"/>
        </w:rPr>
        <w:t> </w:t>
      </w:r>
      <w:r>
        <w:rPr>
          <w:sz w:val="22"/>
        </w:rPr>
        <w:t>in</w:t>
      </w:r>
      <w:r>
        <w:rPr>
          <w:spacing w:val="-10"/>
          <w:sz w:val="22"/>
        </w:rPr>
        <w:t> </w:t>
      </w:r>
      <w:r>
        <w:rPr>
          <w:sz w:val="22"/>
        </w:rPr>
        <w:t>order</w:t>
      </w:r>
      <w:r>
        <w:rPr>
          <w:spacing w:val="-10"/>
          <w:sz w:val="22"/>
        </w:rPr>
        <w:t> </w:t>
      </w:r>
      <w:r>
        <w:rPr>
          <w:sz w:val="22"/>
        </w:rPr>
        <w:t>to</w:t>
      </w:r>
      <w:r>
        <w:rPr>
          <w:spacing w:val="-10"/>
          <w:sz w:val="22"/>
        </w:rPr>
        <w:t> </w:t>
      </w:r>
      <w:r>
        <w:rPr>
          <w:sz w:val="22"/>
        </w:rPr>
        <w:t>identify</w:t>
      </w:r>
      <w:r>
        <w:rPr>
          <w:spacing w:val="-10"/>
          <w:sz w:val="22"/>
        </w:rPr>
        <w:t> </w:t>
      </w:r>
      <w:r>
        <w:rPr>
          <w:sz w:val="22"/>
        </w:rPr>
        <w:t>the</w:t>
      </w:r>
      <w:r>
        <w:rPr>
          <w:spacing w:val="-10"/>
          <w:sz w:val="22"/>
        </w:rPr>
        <w:t> </w:t>
      </w:r>
      <w:r>
        <w:rPr>
          <w:sz w:val="22"/>
        </w:rPr>
        <w:t>gaps and to ensure that mistakes are not repeated.</w:t>
      </w:r>
    </w:p>
    <w:p>
      <w:pPr>
        <w:pStyle w:val="BodyText"/>
        <w:spacing w:before="17"/>
      </w:pPr>
    </w:p>
    <w:p>
      <w:pPr>
        <w:pStyle w:val="BodyText"/>
        <w:spacing w:line="266" w:lineRule="auto" w:before="1"/>
        <w:ind w:left="1079"/>
        <w:jc w:val="both"/>
      </w:pPr>
      <w:r>
        <w:rPr>
          <w:spacing w:val="-4"/>
        </w:rPr>
        <w:t>Simultaneously, a comprehensive process of repair </w:t>
      </w:r>
      <w:r>
        <w:rPr>
          <w:spacing w:val="-4"/>
        </w:rPr>
        <w:t>and </w:t>
      </w:r>
      <w:r>
        <w:rPr/>
        <w:t>reforms</w:t>
      </w:r>
      <w:r>
        <w:rPr>
          <w:spacing w:val="-14"/>
        </w:rPr>
        <w:t> </w:t>
      </w:r>
      <w:r>
        <w:rPr/>
        <w:t>within</w:t>
      </w:r>
      <w:r>
        <w:rPr>
          <w:spacing w:val="-14"/>
        </w:rPr>
        <w:t> </w:t>
      </w:r>
      <w:r>
        <w:rPr/>
        <w:t>the</w:t>
      </w:r>
      <w:r>
        <w:rPr>
          <w:spacing w:val="-14"/>
        </w:rPr>
        <w:t> </w:t>
      </w:r>
      <w:r>
        <w:rPr/>
        <w:t>existing</w:t>
      </w:r>
      <w:r>
        <w:rPr>
          <w:spacing w:val="-13"/>
        </w:rPr>
        <w:t> </w:t>
      </w:r>
      <w:r>
        <w:rPr/>
        <w:t>system</w:t>
      </w:r>
      <w:r>
        <w:rPr>
          <w:spacing w:val="-14"/>
        </w:rPr>
        <w:t> </w:t>
      </w:r>
      <w:r>
        <w:rPr/>
        <w:t>should</w:t>
      </w:r>
      <w:r>
        <w:rPr>
          <w:spacing w:val="-14"/>
        </w:rPr>
        <w:t> </w:t>
      </w:r>
      <w:r>
        <w:rPr/>
        <w:t>be</w:t>
      </w:r>
      <w:r>
        <w:rPr>
          <w:spacing w:val="-14"/>
        </w:rPr>
        <w:t> </w:t>
      </w:r>
      <w:r>
        <w:rPr/>
        <w:t>initiated. This can take the initial form of identifying select departments/colleges/universities</w:t>
      </w:r>
      <w:r>
        <w:rPr>
          <w:spacing w:val="-4"/>
        </w:rPr>
        <w:t> </w:t>
      </w:r>
      <w:r>
        <w:rPr/>
        <w:t>with</w:t>
      </w:r>
      <w:r>
        <w:rPr>
          <w:spacing w:val="-4"/>
        </w:rPr>
        <w:t> </w:t>
      </w:r>
      <w:r>
        <w:rPr/>
        <w:t>a</w:t>
      </w:r>
      <w:r>
        <w:rPr>
          <w:spacing w:val="-4"/>
        </w:rPr>
        <w:t> </w:t>
      </w:r>
      <w:r>
        <w:rPr/>
        <w:t>potential</w:t>
      </w:r>
      <w:r>
        <w:rPr>
          <w:spacing w:val="-4"/>
        </w:rPr>
        <w:t> </w:t>
      </w:r>
      <w:r>
        <w:rPr/>
        <w:t>for substantial</w:t>
      </w:r>
      <w:r>
        <w:rPr>
          <w:spacing w:val="-14"/>
        </w:rPr>
        <w:t> </w:t>
      </w:r>
      <w:r>
        <w:rPr/>
        <w:t>improvement.</w:t>
      </w:r>
      <w:r>
        <w:rPr>
          <w:spacing w:val="-14"/>
        </w:rPr>
        <w:t> </w:t>
      </w:r>
      <w:r>
        <w:rPr/>
        <w:t>Funds</w:t>
      </w:r>
      <w:r>
        <w:rPr>
          <w:spacing w:val="-13"/>
        </w:rPr>
        <w:t> </w:t>
      </w:r>
      <w:r>
        <w:rPr/>
        <w:t>should</w:t>
      </w:r>
      <w:r>
        <w:rPr>
          <w:spacing w:val="-14"/>
        </w:rPr>
        <w:t> </w:t>
      </w:r>
      <w:r>
        <w:rPr/>
        <w:t>be</w:t>
      </w:r>
      <w:r>
        <w:rPr>
          <w:spacing w:val="-14"/>
        </w:rPr>
        <w:t> </w:t>
      </w:r>
      <w:r>
        <w:rPr/>
        <w:t>invested</w:t>
      </w:r>
      <w:r>
        <w:rPr>
          <w:spacing w:val="-13"/>
        </w:rPr>
        <w:t> </w:t>
      </w:r>
      <w:r>
        <w:rPr/>
        <w:t>in upgrading</w:t>
      </w:r>
      <w:r>
        <w:rPr>
          <w:spacing w:val="-9"/>
        </w:rPr>
        <w:t> </w:t>
      </w:r>
      <w:r>
        <w:rPr/>
        <w:t>and</w:t>
      </w:r>
      <w:r>
        <w:rPr>
          <w:spacing w:val="-9"/>
        </w:rPr>
        <w:t> </w:t>
      </w:r>
      <w:r>
        <w:rPr/>
        <w:t>monitoring</w:t>
      </w:r>
      <w:r>
        <w:rPr>
          <w:spacing w:val="-9"/>
        </w:rPr>
        <w:t> </w:t>
      </w:r>
      <w:r>
        <w:rPr/>
        <w:t>the</w:t>
      </w:r>
      <w:r>
        <w:rPr>
          <w:spacing w:val="-9"/>
        </w:rPr>
        <w:t> </w:t>
      </w:r>
      <w:r>
        <w:rPr/>
        <w:t>progress</w:t>
      </w:r>
      <w:r>
        <w:rPr>
          <w:spacing w:val="-9"/>
        </w:rPr>
        <w:t> </w:t>
      </w:r>
      <w:r>
        <w:rPr/>
        <w:t>of</w:t>
      </w:r>
      <w:r>
        <w:rPr>
          <w:spacing w:val="-9"/>
        </w:rPr>
        <w:t> </w:t>
      </w:r>
      <w:r>
        <w:rPr/>
        <w:t>these.</w:t>
      </w:r>
      <w:r>
        <w:rPr>
          <w:spacing w:val="-11"/>
        </w:rPr>
        <w:t> </w:t>
      </w:r>
      <w:r>
        <w:rPr/>
        <w:t>Vital </w:t>
      </w:r>
      <w:r>
        <w:rPr>
          <w:spacing w:val="-4"/>
        </w:rPr>
        <w:t>components</w:t>
      </w:r>
      <w:r>
        <w:rPr>
          <w:spacing w:val="-8"/>
        </w:rPr>
        <w:t> </w:t>
      </w:r>
      <w:r>
        <w:rPr>
          <w:spacing w:val="-4"/>
        </w:rPr>
        <w:t>of</w:t>
      </w:r>
      <w:r>
        <w:rPr>
          <w:spacing w:val="-8"/>
        </w:rPr>
        <w:t> </w:t>
      </w:r>
      <w:r>
        <w:rPr>
          <w:spacing w:val="-4"/>
        </w:rPr>
        <w:t>this</w:t>
      </w:r>
      <w:r>
        <w:rPr>
          <w:spacing w:val="-8"/>
        </w:rPr>
        <w:t> </w:t>
      </w:r>
      <w:r>
        <w:rPr>
          <w:spacing w:val="-4"/>
        </w:rPr>
        <w:t>exercise</w:t>
      </w:r>
      <w:r>
        <w:rPr>
          <w:spacing w:val="-8"/>
        </w:rPr>
        <w:t> </w:t>
      </w:r>
      <w:r>
        <w:rPr>
          <w:spacing w:val="-4"/>
        </w:rPr>
        <w:t>are</w:t>
      </w:r>
      <w:r>
        <w:rPr>
          <w:spacing w:val="-8"/>
        </w:rPr>
        <w:t> </w:t>
      </w:r>
      <w:r>
        <w:rPr>
          <w:spacing w:val="-4"/>
        </w:rPr>
        <w:t>transparency,</w:t>
      </w:r>
      <w:r>
        <w:rPr>
          <w:spacing w:val="-8"/>
        </w:rPr>
        <w:t> </w:t>
      </w:r>
      <w:r>
        <w:rPr>
          <w:spacing w:val="-4"/>
        </w:rPr>
        <w:t>academic </w:t>
      </w:r>
      <w:r>
        <w:rPr/>
        <w:t>autonomy</w:t>
      </w:r>
      <w:r>
        <w:rPr>
          <w:spacing w:val="-6"/>
        </w:rPr>
        <w:t> </w:t>
      </w:r>
      <w:r>
        <w:rPr/>
        <w:t>and</w:t>
      </w:r>
      <w:r>
        <w:rPr>
          <w:spacing w:val="-6"/>
        </w:rPr>
        <w:t> </w:t>
      </w:r>
      <w:r>
        <w:rPr/>
        <w:t>establishment</w:t>
      </w:r>
      <w:r>
        <w:rPr>
          <w:spacing w:val="-6"/>
        </w:rPr>
        <w:t> </w:t>
      </w:r>
      <w:r>
        <w:rPr/>
        <w:t>of</w:t>
      </w:r>
      <w:r>
        <w:rPr>
          <w:spacing w:val="-6"/>
        </w:rPr>
        <w:t> </w:t>
      </w:r>
      <w:r>
        <w:rPr/>
        <w:t>systematic</w:t>
      </w:r>
      <w:r>
        <w:rPr>
          <w:spacing w:val="-6"/>
        </w:rPr>
        <w:t> </w:t>
      </w:r>
      <w:r>
        <w:rPr/>
        <w:t>linkages.</w:t>
      </w:r>
    </w:p>
    <w:p>
      <w:pPr>
        <w:pStyle w:val="BodyText"/>
        <w:spacing w:before="20"/>
      </w:pPr>
    </w:p>
    <w:p>
      <w:pPr>
        <w:pStyle w:val="BodyText"/>
        <w:spacing w:line="266" w:lineRule="auto"/>
        <w:ind w:left="1080"/>
        <w:jc w:val="both"/>
      </w:pPr>
      <w:r>
        <w:rPr>
          <w:w w:val="90"/>
        </w:rPr>
        <w:t>Colleges within universities which are engaged in </w:t>
      </w:r>
      <w:r>
        <w:rPr>
          <w:w w:val="90"/>
        </w:rPr>
        <w:t>quality </w:t>
      </w:r>
      <w:r>
        <w:rPr/>
        <w:t>teaching and research projects should be encouraged and supported with free access to funds, investment of infrastructure, more academic and administrative autonomy.</w:t>
      </w:r>
      <w:r>
        <w:rPr>
          <w:spacing w:val="-1"/>
        </w:rPr>
        <w:t> </w:t>
      </w:r>
      <w:r>
        <w:rPr/>
        <w:t>A</w:t>
      </w:r>
      <w:r>
        <w:rPr>
          <w:spacing w:val="-1"/>
        </w:rPr>
        <w:t> </w:t>
      </w:r>
      <w:r>
        <w:rPr/>
        <w:t>useful</w:t>
      </w:r>
      <w:r>
        <w:rPr>
          <w:spacing w:val="-1"/>
        </w:rPr>
        <w:t> </w:t>
      </w:r>
      <w:r>
        <w:rPr/>
        <w:t>metric</w:t>
      </w:r>
      <w:r>
        <w:rPr>
          <w:spacing w:val="-1"/>
        </w:rPr>
        <w:t> </w:t>
      </w:r>
      <w:r>
        <w:rPr/>
        <w:t>for</w:t>
      </w:r>
      <w:r>
        <w:rPr>
          <w:spacing w:val="-1"/>
        </w:rPr>
        <w:t> </w:t>
      </w:r>
      <w:r>
        <w:rPr/>
        <w:t>evaluation</w:t>
      </w:r>
      <w:r>
        <w:rPr>
          <w:spacing w:val="-1"/>
        </w:rPr>
        <w:t> </w:t>
      </w:r>
      <w:r>
        <w:rPr/>
        <w:t>of</w:t>
      </w:r>
      <w:r>
        <w:rPr>
          <w:spacing w:val="-1"/>
        </w:rPr>
        <w:t> </w:t>
      </w:r>
      <w:r>
        <w:rPr/>
        <w:t>colleges could</w:t>
      </w:r>
      <w:r>
        <w:rPr>
          <w:spacing w:val="-4"/>
        </w:rPr>
        <w:t> </w:t>
      </w:r>
      <w:r>
        <w:rPr/>
        <w:t>be</w:t>
      </w:r>
      <w:r>
        <w:rPr>
          <w:spacing w:val="-4"/>
        </w:rPr>
        <w:t> </w:t>
      </w:r>
      <w:r>
        <w:rPr/>
        <w:t>the</w:t>
      </w:r>
      <w:r>
        <w:rPr>
          <w:spacing w:val="-4"/>
        </w:rPr>
        <w:t> </w:t>
      </w:r>
      <w:r>
        <w:rPr/>
        <w:t>placement</w:t>
      </w:r>
      <w:r>
        <w:rPr>
          <w:spacing w:val="-4"/>
        </w:rPr>
        <w:t> </w:t>
      </w:r>
      <w:r>
        <w:rPr/>
        <w:t>of</w:t>
      </w:r>
      <w:r>
        <w:rPr>
          <w:spacing w:val="-4"/>
        </w:rPr>
        <w:t> </w:t>
      </w:r>
      <w:r>
        <w:rPr/>
        <w:t>its</w:t>
      </w:r>
      <w:r>
        <w:rPr>
          <w:spacing w:val="-4"/>
        </w:rPr>
        <w:t> </w:t>
      </w:r>
      <w:r>
        <w:rPr/>
        <w:t>students</w:t>
      </w:r>
      <w:r>
        <w:rPr>
          <w:spacing w:val="-4"/>
        </w:rPr>
        <w:t> </w:t>
      </w:r>
      <w:r>
        <w:rPr/>
        <w:t>at</w:t>
      </w:r>
      <w:r>
        <w:rPr>
          <w:spacing w:val="-4"/>
        </w:rPr>
        <w:t> </w:t>
      </w:r>
      <w:r>
        <w:rPr/>
        <w:t>research</w:t>
      </w:r>
      <w:r>
        <w:rPr>
          <w:spacing w:val="-4"/>
        </w:rPr>
        <w:t> </w:t>
      </w:r>
      <w:r>
        <w:rPr/>
        <w:t>and </w:t>
      </w:r>
      <w:r>
        <w:rPr>
          <w:spacing w:val="-4"/>
        </w:rPr>
        <w:t>academic</w:t>
      </w:r>
      <w:r>
        <w:rPr>
          <w:spacing w:val="-6"/>
        </w:rPr>
        <w:t> </w:t>
      </w:r>
      <w:r>
        <w:rPr>
          <w:spacing w:val="-4"/>
        </w:rPr>
        <w:t>institutions</w:t>
      </w:r>
      <w:r>
        <w:rPr>
          <w:spacing w:val="-6"/>
        </w:rPr>
        <w:t> </w:t>
      </w:r>
      <w:r>
        <w:rPr>
          <w:spacing w:val="-4"/>
        </w:rPr>
        <w:t>within</w:t>
      </w:r>
      <w:r>
        <w:rPr>
          <w:spacing w:val="-6"/>
        </w:rPr>
        <w:t> </w:t>
      </w:r>
      <w:r>
        <w:rPr>
          <w:spacing w:val="-4"/>
        </w:rPr>
        <w:t>and</w:t>
      </w:r>
      <w:r>
        <w:rPr>
          <w:spacing w:val="-6"/>
        </w:rPr>
        <w:t> </w:t>
      </w:r>
      <w:r>
        <w:rPr>
          <w:spacing w:val="-4"/>
        </w:rPr>
        <w:t>outside</w:t>
      </w:r>
      <w:r>
        <w:rPr>
          <w:spacing w:val="-6"/>
        </w:rPr>
        <w:t> </w:t>
      </w:r>
      <w:r>
        <w:rPr>
          <w:spacing w:val="-4"/>
        </w:rPr>
        <w:t>of</w:t>
      </w:r>
      <w:r>
        <w:rPr>
          <w:spacing w:val="-6"/>
        </w:rPr>
        <w:t> </w:t>
      </w:r>
      <w:r>
        <w:rPr>
          <w:spacing w:val="-4"/>
        </w:rPr>
        <w:t>the</w:t>
      </w:r>
      <w:r>
        <w:rPr>
          <w:spacing w:val="-6"/>
        </w:rPr>
        <w:t> </w:t>
      </w:r>
      <w:r>
        <w:rPr>
          <w:spacing w:val="-4"/>
        </w:rPr>
        <w:t>country. On</w:t>
      </w:r>
      <w:r>
        <w:rPr>
          <w:spacing w:val="-7"/>
        </w:rPr>
        <w:t> </w:t>
      </w:r>
      <w:r>
        <w:rPr>
          <w:spacing w:val="-4"/>
        </w:rPr>
        <w:t>the</w:t>
      </w:r>
      <w:r>
        <w:rPr>
          <w:spacing w:val="-7"/>
        </w:rPr>
        <w:t> </w:t>
      </w:r>
      <w:r>
        <w:rPr>
          <w:spacing w:val="-4"/>
        </w:rPr>
        <w:t>whole,</w:t>
      </w:r>
      <w:r>
        <w:rPr>
          <w:spacing w:val="-7"/>
        </w:rPr>
        <w:t> </w:t>
      </w:r>
      <w:r>
        <w:rPr>
          <w:spacing w:val="-4"/>
        </w:rPr>
        <w:t>there</w:t>
      </w:r>
      <w:r>
        <w:rPr>
          <w:spacing w:val="-7"/>
        </w:rPr>
        <w:t> </w:t>
      </w:r>
      <w:r>
        <w:rPr>
          <w:spacing w:val="-4"/>
        </w:rPr>
        <w:t>should</w:t>
      </w:r>
      <w:r>
        <w:rPr>
          <w:spacing w:val="-7"/>
        </w:rPr>
        <w:t> </w:t>
      </w:r>
      <w:r>
        <w:rPr>
          <w:spacing w:val="-4"/>
        </w:rPr>
        <w:t>be</w:t>
      </w:r>
      <w:r>
        <w:rPr>
          <w:spacing w:val="-7"/>
        </w:rPr>
        <w:t> </w:t>
      </w:r>
      <w:r>
        <w:rPr>
          <w:spacing w:val="-4"/>
        </w:rPr>
        <w:t>an</w:t>
      </w:r>
      <w:r>
        <w:rPr>
          <w:spacing w:val="-7"/>
        </w:rPr>
        <w:t> </w:t>
      </w:r>
      <w:r>
        <w:rPr>
          <w:spacing w:val="-4"/>
        </w:rPr>
        <w:t>overall</w:t>
      </w:r>
      <w:r>
        <w:rPr>
          <w:spacing w:val="-7"/>
        </w:rPr>
        <w:t> </w:t>
      </w:r>
      <w:r>
        <w:rPr>
          <w:spacing w:val="-4"/>
        </w:rPr>
        <w:t>empowerment </w:t>
      </w:r>
      <w:r>
        <w:rPr>
          <w:spacing w:val="-2"/>
        </w:rPr>
        <w:t>of</w:t>
      </w:r>
      <w:r>
        <w:rPr>
          <w:spacing w:val="-12"/>
        </w:rPr>
        <w:t> </w:t>
      </w:r>
      <w:r>
        <w:rPr>
          <w:spacing w:val="-2"/>
        </w:rPr>
        <w:t>colleges</w:t>
      </w:r>
      <w:r>
        <w:rPr>
          <w:spacing w:val="-12"/>
        </w:rPr>
        <w:t> </w:t>
      </w:r>
      <w:r>
        <w:rPr>
          <w:spacing w:val="-2"/>
        </w:rPr>
        <w:t>providing</w:t>
      </w:r>
      <w:r>
        <w:rPr>
          <w:spacing w:val="-12"/>
        </w:rPr>
        <w:t> </w:t>
      </w:r>
      <w:r>
        <w:rPr>
          <w:spacing w:val="-2"/>
        </w:rPr>
        <w:t>quality</w:t>
      </w:r>
      <w:r>
        <w:rPr>
          <w:spacing w:val="-11"/>
        </w:rPr>
        <w:t> </w:t>
      </w:r>
      <w:r>
        <w:rPr>
          <w:spacing w:val="-2"/>
        </w:rPr>
        <w:t>undergraduate</w:t>
      </w:r>
      <w:r>
        <w:rPr>
          <w:spacing w:val="-12"/>
        </w:rPr>
        <w:t> </w:t>
      </w:r>
      <w:r>
        <w:rPr>
          <w:spacing w:val="-2"/>
        </w:rPr>
        <w:t>education.</w:t>
      </w:r>
    </w:p>
    <w:p>
      <w:pPr>
        <w:pStyle w:val="Heading7"/>
        <w:spacing w:line="225" w:lineRule="auto" w:before="250"/>
        <w:ind w:left="1080"/>
      </w:pPr>
      <w:r>
        <w:rPr>
          <w:color w:val="2E614A"/>
          <w:spacing w:val="-4"/>
        </w:rPr>
        <w:t>Recommendation</w:t>
      </w:r>
      <w:r>
        <w:rPr>
          <w:color w:val="2E614A"/>
          <w:spacing w:val="-12"/>
        </w:rPr>
        <w:t> </w:t>
      </w:r>
      <w:r>
        <w:rPr>
          <w:color w:val="2E614A"/>
          <w:spacing w:val="-4"/>
        </w:rPr>
        <w:t>12:</w:t>
      </w:r>
      <w:r>
        <w:rPr>
          <w:color w:val="2E614A"/>
          <w:spacing w:val="-12"/>
        </w:rPr>
        <w:t> </w:t>
      </w:r>
      <w:r>
        <w:rPr>
          <w:color w:val="2E614A"/>
          <w:spacing w:val="-4"/>
        </w:rPr>
        <w:t>Augment</w:t>
      </w:r>
      <w:r>
        <w:rPr>
          <w:color w:val="2E614A"/>
          <w:spacing w:val="-12"/>
        </w:rPr>
        <w:t> </w:t>
      </w:r>
      <w:r>
        <w:rPr>
          <w:color w:val="2E614A"/>
          <w:spacing w:val="-4"/>
        </w:rPr>
        <w:t>available sources</w:t>
      </w:r>
      <w:r>
        <w:rPr>
          <w:color w:val="2E614A"/>
          <w:spacing w:val="-13"/>
        </w:rPr>
        <w:t> </w:t>
      </w:r>
      <w:r>
        <w:rPr>
          <w:color w:val="2E614A"/>
          <w:spacing w:val="-4"/>
        </w:rPr>
        <w:t>of</w:t>
      </w:r>
      <w:r>
        <w:rPr>
          <w:color w:val="2E614A"/>
          <w:spacing w:val="-12"/>
        </w:rPr>
        <w:t> </w:t>
      </w:r>
      <w:r>
        <w:rPr>
          <w:color w:val="2E614A"/>
          <w:spacing w:val="-4"/>
        </w:rPr>
        <w:t>funding,</w:t>
      </w:r>
      <w:r>
        <w:rPr>
          <w:color w:val="2E614A"/>
          <w:spacing w:val="-12"/>
        </w:rPr>
        <w:t> </w:t>
      </w:r>
      <w:r>
        <w:rPr>
          <w:color w:val="2E614A"/>
          <w:spacing w:val="-4"/>
        </w:rPr>
        <w:t>optimise</w:t>
      </w:r>
      <w:r>
        <w:rPr>
          <w:color w:val="2E614A"/>
          <w:spacing w:val="-12"/>
        </w:rPr>
        <w:t> </w:t>
      </w:r>
      <w:r>
        <w:rPr>
          <w:color w:val="2E614A"/>
          <w:spacing w:val="-4"/>
        </w:rPr>
        <w:t>allocation</w:t>
      </w:r>
      <w:r>
        <w:rPr>
          <w:color w:val="2E614A"/>
          <w:spacing w:val="-13"/>
        </w:rPr>
        <w:t> </w:t>
      </w:r>
      <w:r>
        <w:rPr>
          <w:color w:val="2E614A"/>
          <w:spacing w:val="-4"/>
        </w:rPr>
        <w:t>and </w:t>
      </w:r>
      <w:r>
        <w:rPr>
          <w:color w:val="2E614A"/>
          <w:w w:val="90"/>
        </w:rPr>
        <w:t>provide</w:t>
      </w:r>
      <w:r>
        <w:rPr>
          <w:color w:val="2E614A"/>
          <w:spacing w:val="-6"/>
        </w:rPr>
        <w:t> </w:t>
      </w:r>
      <w:r>
        <w:rPr>
          <w:color w:val="2E614A"/>
          <w:w w:val="90"/>
        </w:rPr>
        <w:t>greater</w:t>
      </w:r>
      <w:r>
        <w:rPr>
          <w:color w:val="2E614A"/>
          <w:spacing w:val="-5"/>
        </w:rPr>
        <w:t> </w:t>
      </w:r>
      <w:r>
        <w:rPr>
          <w:color w:val="2E614A"/>
          <w:w w:val="90"/>
        </w:rPr>
        <w:t>flexibility</w:t>
      </w:r>
      <w:r>
        <w:rPr>
          <w:color w:val="2E614A"/>
          <w:spacing w:val="-6"/>
        </w:rPr>
        <w:t> </w:t>
      </w:r>
      <w:r>
        <w:rPr>
          <w:color w:val="2E614A"/>
          <w:w w:val="90"/>
        </w:rPr>
        <w:t>towards</w:t>
      </w:r>
      <w:r>
        <w:rPr>
          <w:color w:val="2E614A"/>
          <w:spacing w:val="-5"/>
        </w:rPr>
        <w:t> </w:t>
      </w:r>
      <w:r>
        <w:rPr>
          <w:color w:val="2E614A"/>
          <w:spacing w:val="-2"/>
          <w:w w:val="90"/>
        </w:rPr>
        <w:t>utilisation</w:t>
      </w:r>
    </w:p>
    <w:p>
      <w:pPr>
        <w:pStyle w:val="BodyText"/>
        <w:spacing w:before="1"/>
        <w:rPr>
          <w:b/>
          <w:sz w:val="26"/>
        </w:rPr>
      </w:pPr>
    </w:p>
    <w:p>
      <w:pPr>
        <w:pStyle w:val="BodyText"/>
        <w:spacing w:line="266" w:lineRule="auto"/>
        <w:ind w:left="1080"/>
        <w:jc w:val="both"/>
      </w:pPr>
      <w:r>
        <w:rPr>
          <w:b/>
          <w:w w:val="90"/>
        </w:rPr>
        <w:t>Issues: </w:t>
      </w:r>
      <w:r>
        <w:rPr>
          <w:w w:val="90"/>
        </w:rPr>
        <w:t>Funding remains a key issue in facilitating </w:t>
      </w:r>
      <w:r>
        <w:rPr>
          <w:w w:val="90"/>
        </w:rPr>
        <w:t>quality </w:t>
      </w:r>
      <w:r>
        <w:rPr>
          <w:spacing w:val="-6"/>
        </w:rPr>
        <w:t>research</w:t>
      </w:r>
      <w:r>
        <w:rPr>
          <w:spacing w:val="-8"/>
        </w:rPr>
        <w:t> </w:t>
      </w:r>
      <w:r>
        <w:rPr>
          <w:spacing w:val="-6"/>
        </w:rPr>
        <w:t>in</w:t>
      </w:r>
      <w:r>
        <w:rPr>
          <w:spacing w:val="-8"/>
        </w:rPr>
        <w:t> </w:t>
      </w:r>
      <w:r>
        <w:rPr>
          <w:spacing w:val="-6"/>
        </w:rPr>
        <w:t>most</w:t>
      </w:r>
      <w:r>
        <w:rPr>
          <w:spacing w:val="-8"/>
        </w:rPr>
        <w:t> </w:t>
      </w:r>
      <w:r>
        <w:rPr>
          <w:spacing w:val="-6"/>
        </w:rPr>
        <w:t>universities.</w:t>
      </w:r>
      <w:r>
        <w:rPr>
          <w:spacing w:val="-7"/>
        </w:rPr>
        <w:t> </w:t>
      </w:r>
      <w:r>
        <w:rPr>
          <w:spacing w:val="-6"/>
        </w:rPr>
        <w:t>The</w:t>
      </w:r>
      <w:r>
        <w:rPr>
          <w:spacing w:val="-8"/>
        </w:rPr>
        <w:t> </w:t>
      </w:r>
      <w:r>
        <w:rPr>
          <w:spacing w:val="-6"/>
        </w:rPr>
        <w:t>low</w:t>
      </w:r>
      <w:r>
        <w:rPr>
          <w:spacing w:val="-8"/>
        </w:rPr>
        <w:t> </w:t>
      </w:r>
      <w:r>
        <w:rPr>
          <w:spacing w:val="-6"/>
        </w:rPr>
        <w:t>quantum</w:t>
      </w:r>
      <w:r>
        <w:rPr>
          <w:spacing w:val="-8"/>
        </w:rPr>
        <w:t> </w:t>
      </w:r>
      <w:r>
        <w:rPr>
          <w:spacing w:val="-6"/>
        </w:rPr>
        <w:t>of</w:t>
      </w:r>
      <w:r>
        <w:rPr>
          <w:spacing w:val="-7"/>
        </w:rPr>
        <w:t> </w:t>
      </w:r>
      <w:r>
        <w:rPr>
          <w:spacing w:val="-6"/>
        </w:rPr>
        <w:t>funds, </w:t>
      </w:r>
      <w:r>
        <w:rPr>
          <w:spacing w:val="-4"/>
        </w:rPr>
        <w:t>the</w:t>
      </w:r>
      <w:r>
        <w:rPr>
          <w:spacing w:val="-9"/>
        </w:rPr>
        <w:t> </w:t>
      </w:r>
      <w:r>
        <w:rPr>
          <w:spacing w:val="-4"/>
        </w:rPr>
        <w:t>cumbersome</w:t>
      </w:r>
      <w:r>
        <w:rPr>
          <w:spacing w:val="-9"/>
        </w:rPr>
        <w:t> </w:t>
      </w:r>
      <w:r>
        <w:rPr>
          <w:spacing w:val="-4"/>
        </w:rPr>
        <w:t>process</w:t>
      </w:r>
      <w:r>
        <w:rPr>
          <w:spacing w:val="-9"/>
        </w:rPr>
        <w:t> </w:t>
      </w:r>
      <w:r>
        <w:rPr>
          <w:spacing w:val="-4"/>
        </w:rPr>
        <w:t>of</w:t>
      </w:r>
      <w:r>
        <w:rPr>
          <w:spacing w:val="-9"/>
        </w:rPr>
        <w:t> </w:t>
      </w:r>
      <w:r>
        <w:rPr>
          <w:spacing w:val="-4"/>
        </w:rPr>
        <w:t>acquiring</w:t>
      </w:r>
      <w:r>
        <w:rPr>
          <w:spacing w:val="-9"/>
        </w:rPr>
        <w:t> </w:t>
      </w:r>
      <w:r>
        <w:rPr>
          <w:spacing w:val="-4"/>
        </w:rPr>
        <w:t>them</w:t>
      </w:r>
      <w:r>
        <w:rPr>
          <w:spacing w:val="-9"/>
        </w:rPr>
        <w:t> </w:t>
      </w:r>
      <w:r>
        <w:rPr>
          <w:spacing w:val="-4"/>
        </w:rPr>
        <w:t>and</w:t>
      </w:r>
      <w:r>
        <w:rPr>
          <w:spacing w:val="-9"/>
        </w:rPr>
        <w:t> </w:t>
      </w:r>
      <w:r>
        <w:rPr>
          <w:spacing w:val="-4"/>
        </w:rPr>
        <w:t>the</w:t>
      </w:r>
      <w:r>
        <w:rPr>
          <w:spacing w:val="-9"/>
        </w:rPr>
        <w:t> </w:t>
      </w:r>
      <w:r>
        <w:rPr>
          <w:spacing w:val="-4"/>
        </w:rPr>
        <w:t>lack </w:t>
      </w:r>
      <w:r>
        <w:rPr/>
        <w:t>of fund raising capabilities in the university/faculty members</w:t>
      </w:r>
      <w:r>
        <w:rPr>
          <w:spacing w:val="-14"/>
        </w:rPr>
        <w:t> </w:t>
      </w:r>
      <w:r>
        <w:rPr/>
        <w:t>have</w:t>
      </w:r>
      <w:r>
        <w:rPr>
          <w:spacing w:val="-14"/>
        </w:rPr>
        <w:t> </w:t>
      </w:r>
      <w:r>
        <w:rPr/>
        <w:t>severely</w:t>
      </w:r>
      <w:r>
        <w:rPr>
          <w:spacing w:val="-14"/>
        </w:rPr>
        <w:t> </w:t>
      </w:r>
      <w:r>
        <w:rPr/>
        <w:t>hampered</w:t>
      </w:r>
      <w:r>
        <w:rPr>
          <w:spacing w:val="-13"/>
        </w:rPr>
        <w:t> </w:t>
      </w:r>
      <w:r>
        <w:rPr/>
        <w:t>growth</w:t>
      </w:r>
      <w:r>
        <w:rPr>
          <w:spacing w:val="-14"/>
        </w:rPr>
        <w:t> </w:t>
      </w:r>
      <w:r>
        <w:rPr/>
        <w:t>of</w:t>
      </w:r>
      <w:r>
        <w:rPr>
          <w:spacing w:val="-14"/>
        </w:rPr>
        <w:t> </w:t>
      </w:r>
      <w:r>
        <w:rPr/>
        <w:t>research.</w:t>
      </w:r>
    </w:p>
    <w:p>
      <w:pPr>
        <w:pStyle w:val="BodyText"/>
        <w:spacing w:before="22"/>
      </w:pPr>
    </w:p>
    <w:p>
      <w:pPr>
        <w:pStyle w:val="BodyText"/>
        <w:spacing w:line="266" w:lineRule="auto" w:before="1"/>
        <w:ind w:left="1080" w:right="1"/>
        <w:jc w:val="both"/>
      </w:pPr>
      <w:r>
        <w:rPr/>
        <w:t>Concerted efforts are needed in funding </w:t>
      </w:r>
      <w:r>
        <w:rPr/>
        <w:t>research. Various</w:t>
      </w:r>
      <w:r>
        <w:rPr>
          <w:spacing w:val="-7"/>
        </w:rPr>
        <w:t> </w:t>
      </w:r>
      <w:r>
        <w:rPr/>
        <w:t>sources</w:t>
      </w:r>
      <w:r>
        <w:rPr>
          <w:spacing w:val="-7"/>
        </w:rPr>
        <w:t> </w:t>
      </w:r>
      <w:r>
        <w:rPr/>
        <w:t>of</w:t>
      </w:r>
      <w:r>
        <w:rPr>
          <w:spacing w:val="-7"/>
        </w:rPr>
        <w:t> </w:t>
      </w:r>
      <w:r>
        <w:rPr/>
        <w:t>funding</w:t>
      </w:r>
      <w:r>
        <w:rPr>
          <w:spacing w:val="-7"/>
        </w:rPr>
        <w:t> </w:t>
      </w:r>
      <w:r>
        <w:rPr/>
        <w:t>should</w:t>
      </w:r>
      <w:r>
        <w:rPr>
          <w:spacing w:val="-7"/>
        </w:rPr>
        <w:t> </w:t>
      </w:r>
      <w:r>
        <w:rPr/>
        <w:t>thus</w:t>
      </w:r>
      <w:r>
        <w:rPr>
          <w:spacing w:val="-7"/>
        </w:rPr>
        <w:t> </w:t>
      </w:r>
      <w:r>
        <w:rPr/>
        <w:t>be</w:t>
      </w:r>
      <w:r>
        <w:rPr>
          <w:spacing w:val="-7"/>
        </w:rPr>
        <w:t> </w:t>
      </w:r>
      <w:r>
        <w:rPr/>
        <w:t>explored.</w:t>
      </w:r>
    </w:p>
    <w:p>
      <w:pPr>
        <w:pStyle w:val="ListParagraph"/>
        <w:numPr>
          <w:ilvl w:val="0"/>
          <w:numId w:val="53"/>
        </w:numPr>
        <w:tabs>
          <w:tab w:pos="1439" w:val="left" w:leader="none"/>
        </w:tabs>
        <w:spacing w:line="266" w:lineRule="auto" w:before="0" w:after="0"/>
        <w:ind w:left="1439" w:right="0" w:hanging="360"/>
        <w:jc w:val="both"/>
        <w:rPr>
          <w:sz w:val="22"/>
        </w:rPr>
      </w:pPr>
      <w:r>
        <w:rPr>
          <w:w w:val="90"/>
          <w:sz w:val="22"/>
        </w:rPr>
        <w:t>Large scale public funding is necessary for </w:t>
      </w:r>
      <w:r>
        <w:rPr>
          <w:w w:val="90"/>
          <w:sz w:val="22"/>
        </w:rPr>
        <w:t>nationally </w:t>
      </w:r>
      <w:r>
        <w:rPr>
          <w:sz w:val="22"/>
        </w:rPr>
        <w:t>relevant research projects.</w:t>
      </w:r>
    </w:p>
    <w:p>
      <w:pPr>
        <w:pStyle w:val="ListParagraph"/>
        <w:numPr>
          <w:ilvl w:val="0"/>
          <w:numId w:val="53"/>
        </w:numPr>
        <w:tabs>
          <w:tab w:pos="1439" w:val="left" w:leader="none"/>
        </w:tabs>
        <w:spacing w:line="266" w:lineRule="auto" w:before="0" w:after="0"/>
        <w:ind w:left="1439" w:right="0" w:hanging="360"/>
        <w:jc w:val="both"/>
        <w:rPr>
          <w:sz w:val="22"/>
        </w:rPr>
      </w:pPr>
      <w:r>
        <w:rPr>
          <w:sz w:val="22"/>
        </w:rPr>
        <w:t>Recruiting companies should contribute </w:t>
      </w:r>
      <w:r>
        <w:rPr>
          <w:sz w:val="22"/>
        </w:rPr>
        <w:t>towards university research funds. Industries should be </w:t>
      </w:r>
      <w:r>
        <w:rPr>
          <w:spacing w:val="-2"/>
          <w:sz w:val="22"/>
        </w:rPr>
        <w:t>encouraged</w:t>
      </w:r>
      <w:r>
        <w:rPr>
          <w:spacing w:val="-12"/>
          <w:sz w:val="22"/>
        </w:rPr>
        <w:t> </w:t>
      </w:r>
      <w:r>
        <w:rPr>
          <w:spacing w:val="-2"/>
          <w:sz w:val="22"/>
        </w:rPr>
        <w:t>to</w:t>
      </w:r>
      <w:r>
        <w:rPr>
          <w:spacing w:val="-11"/>
          <w:sz w:val="22"/>
        </w:rPr>
        <w:t> </w:t>
      </w:r>
      <w:r>
        <w:rPr>
          <w:spacing w:val="-2"/>
          <w:sz w:val="22"/>
        </w:rPr>
        <w:t>sponsor</w:t>
      </w:r>
      <w:r>
        <w:rPr>
          <w:spacing w:val="-11"/>
          <w:sz w:val="22"/>
        </w:rPr>
        <w:t> </w:t>
      </w:r>
      <w:r>
        <w:rPr>
          <w:spacing w:val="-2"/>
          <w:sz w:val="22"/>
        </w:rPr>
        <w:t>and</w:t>
      </w:r>
      <w:r>
        <w:rPr>
          <w:spacing w:val="-11"/>
          <w:sz w:val="22"/>
        </w:rPr>
        <w:t> </w:t>
      </w:r>
      <w:r>
        <w:rPr>
          <w:spacing w:val="-2"/>
          <w:sz w:val="22"/>
        </w:rPr>
        <w:t>collaborate</w:t>
      </w:r>
      <w:r>
        <w:rPr>
          <w:spacing w:val="-12"/>
          <w:sz w:val="22"/>
        </w:rPr>
        <w:t> </w:t>
      </w:r>
      <w:r>
        <w:rPr>
          <w:spacing w:val="-2"/>
          <w:sz w:val="22"/>
        </w:rPr>
        <w:t>on</w:t>
      </w:r>
      <w:r>
        <w:rPr>
          <w:spacing w:val="-11"/>
          <w:sz w:val="22"/>
        </w:rPr>
        <w:t> </w:t>
      </w:r>
      <w:r>
        <w:rPr>
          <w:spacing w:val="-2"/>
          <w:sz w:val="22"/>
        </w:rPr>
        <w:t>research </w:t>
      </w:r>
      <w:r>
        <w:rPr>
          <w:sz w:val="22"/>
        </w:rPr>
        <w:t>projects. Laboratories named after sponsoring companies can be established. Also, Sponsored Chairs</w:t>
      </w:r>
      <w:r>
        <w:rPr>
          <w:spacing w:val="34"/>
          <w:sz w:val="22"/>
        </w:rPr>
        <w:t> </w:t>
      </w:r>
      <w:r>
        <w:rPr>
          <w:sz w:val="22"/>
        </w:rPr>
        <w:t>by</w:t>
      </w:r>
      <w:r>
        <w:rPr>
          <w:spacing w:val="34"/>
          <w:sz w:val="22"/>
        </w:rPr>
        <w:t> </w:t>
      </w:r>
      <w:r>
        <w:rPr>
          <w:sz w:val="22"/>
        </w:rPr>
        <w:t>industry</w:t>
      </w:r>
      <w:r>
        <w:rPr>
          <w:spacing w:val="34"/>
          <w:sz w:val="22"/>
        </w:rPr>
        <w:t> </w:t>
      </w:r>
      <w:r>
        <w:rPr>
          <w:sz w:val="22"/>
        </w:rPr>
        <w:t>can</w:t>
      </w:r>
      <w:r>
        <w:rPr>
          <w:spacing w:val="34"/>
          <w:sz w:val="22"/>
        </w:rPr>
        <w:t> </w:t>
      </w:r>
      <w:r>
        <w:rPr>
          <w:sz w:val="22"/>
        </w:rPr>
        <w:t>increase</w:t>
      </w:r>
      <w:r>
        <w:rPr>
          <w:spacing w:val="34"/>
          <w:sz w:val="22"/>
        </w:rPr>
        <w:t> </w:t>
      </w:r>
      <w:r>
        <w:rPr>
          <w:sz w:val="22"/>
        </w:rPr>
        <w:t>the</w:t>
      </w:r>
      <w:r>
        <w:rPr>
          <w:spacing w:val="34"/>
          <w:sz w:val="22"/>
        </w:rPr>
        <w:t> </w:t>
      </w:r>
      <w:r>
        <w:rPr>
          <w:sz w:val="22"/>
        </w:rPr>
        <w:t>number</w:t>
      </w:r>
      <w:r>
        <w:rPr>
          <w:spacing w:val="34"/>
          <w:sz w:val="22"/>
        </w:rPr>
        <w:t> </w:t>
      </w:r>
      <w:r>
        <w:rPr>
          <w:sz w:val="22"/>
        </w:rPr>
        <w:t>of</w:t>
      </w:r>
    </w:p>
    <w:p>
      <w:pPr>
        <w:pStyle w:val="BodyText"/>
        <w:spacing w:line="266" w:lineRule="auto" w:before="57"/>
        <w:ind w:left="679" w:right="1078"/>
        <w:jc w:val="both"/>
      </w:pPr>
      <w:r>
        <w:rPr/>
        <w:br w:type="column"/>
      </w:r>
      <w:r>
        <w:rPr>
          <w:spacing w:val="-2"/>
        </w:rPr>
        <w:t>faculty</w:t>
      </w:r>
      <w:r>
        <w:rPr>
          <w:spacing w:val="-12"/>
        </w:rPr>
        <w:t> </w:t>
      </w:r>
      <w:r>
        <w:rPr>
          <w:spacing w:val="-2"/>
        </w:rPr>
        <w:t>and</w:t>
      </w:r>
      <w:r>
        <w:rPr>
          <w:spacing w:val="-12"/>
        </w:rPr>
        <w:t> </w:t>
      </w:r>
      <w:r>
        <w:rPr>
          <w:spacing w:val="-2"/>
        </w:rPr>
        <w:t>researchers</w:t>
      </w:r>
      <w:r>
        <w:rPr>
          <w:spacing w:val="-12"/>
        </w:rPr>
        <w:t> </w:t>
      </w:r>
      <w:r>
        <w:rPr>
          <w:spacing w:val="-2"/>
        </w:rPr>
        <w:t>without</w:t>
      </w:r>
      <w:r>
        <w:rPr>
          <w:spacing w:val="-11"/>
        </w:rPr>
        <w:t> </w:t>
      </w:r>
      <w:r>
        <w:rPr>
          <w:spacing w:val="-2"/>
        </w:rPr>
        <w:t>any</w:t>
      </w:r>
      <w:r>
        <w:rPr>
          <w:spacing w:val="-12"/>
        </w:rPr>
        <w:t> </w:t>
      </w:r>
      <w:r>
        <w:rPr>
          <w:spacing w:val="-2"/>
        </w:rPr>
        <w:t>additional</w:t>
      </w:r>
      <w:r>
        <w:rPr>
          <w:spacing w:val="-12"/>
        </w:rPr>
        <w:t> </w:t>
      </w:r>
      <w:r>
        <w:rPr>
          <w:spacing w:val="-2"/>
        </w:rPr>
        <w:t>cost </w:t>
      </w:r>
      <w:r>
        <w:rPr/>
        <w:t>to the university.</w:t>
      </w:r>
    </w:p>
    <w:p>
      <w:pPr>
        <w:pStyle w:val="ListParagraph"/>
        <w:numPr>
          <w:ilvl w:val="2"/>
          <w:numId w:val="27"/>
        </w:numPr>
        <w:tabs>
          <w:tab w:pos="679" w:val="left" w:leader="none"/>
        </w:tabs>
        <w:spacing w:line="266" w:lineRule="auto" w:before="0" w:after="0"/>
        <w:ind w:left="679" w:right="1077" w:hanging="360"/>
        <w:jc w:val="both"/>
        <w:rPr>
          <w:sz w:val="22"/>
        </w:rPr>
      </w:pPr>
      <w:r>
        <w:rPr>
          <w:spacing w:val="-2"/>
          <w:sz w:val="22"/>
        </w:rPr>
        <w:t>Universities</w:t>
      </w:r>
      <w:r>
        <w:rPr>
          <w:spacing w:val="-10"/>
          <w:sz w:val="22"/>
        </w:rPr>
        <w:t> </w:t>
      </w:r>
      <w:r>
        <w:rPr>
          <w:spacing w:val="-2"/>
          <w:sz w:val="22"/>
        </w:rPr>
        <w:t>should</w:t>
      </w:r>
      <w:r>
        <w:rPr>
          <w:spacing w:val="-10"/>
          <w:sz w:val="22"/>
        </w:rPr>
        <w:t> </w:t>
      </w:r>
      <w:r>
        <w:rPr>
          <w:spacing w:val="-2"/>
          <w:sz w:val="22"/>
        </w:rPr>
        <w:t>formulate</w:t>
      </w:r>
      <w:r>
        <w:rPr>
          <w:spacing w:val="-10"/>
          <w:sz w:val="22"/>
        </w:rPr>
        <w:t> </w:t>
      </w:r>
      <w:r>
        <w:rPr>
          <w:spacing w:val="-2"/>
          <w:sz w:val="22"/>
        </w:rPr>
        <w:t>strategies</w:t>
      </w:r>
      <w:r>
        <w:rPr>
          <w:spacing w:val="-10"/>
          <w:sz w:val="22"/>
        </w:rPr>
        <w:t> </w:t>
      </w:r>
      <w:r>
        <w:rPr>
          <w:spacing w:val="-2"/>
          <w:sz w:val="22"/>
        </w:rPr>
        <w:t>to</w:t>
      </w:r>
      <w:r>
        <w:rPr>
          <w:spacing w:val="-10"/>
          <w:sz w:val="22"/>
        </w:rPr>
        <w:t> </w:t>
      </w:r>
      <w:r>
        <w:rPr>
          <w:spacing w:val="-2"/>
          <w:sz w:val="22"/>
        </w:rPr>
        <w:t>convert </w:t>
      </w:r>
      <w:r>
        <w:rPr>
          <w:spacing w:val="-6"/>
          <w:sz w:val="22"/>
        </w:rPr>
        <w:t>research findings into commercial applications, thus generating funds. Alternate means like consultancy, </w:t>
      </w:r>
      <w:r>
        <w:rPr>
          <w:spacing w:val="-4"/>
          <w:sz w:val="22"/>
        </w:rPr>
        <w:t>online</w:t>
      </w:r>
      <w:r>
        <w:rPr>
          <w:spacing w:val="-9"/>
          <w:sz w:val="22"/>
        </w:rPr>
        <w:t> </w:t>
      </w:r>
      <w:r>
        <w:rPr>
          <w:spacing w:val="-4"/>
          <w:sz w:val="22"/>
        </w:rPr>
        <w:t>courses</w:t>
      </w:r>
      <w:r>
        <w:rPr>
          <w:spacing w:val="-9"/>
          <w:sz w:val="22"/>
        </w:rPr>
        <w:t> </w:t>
      </w:r>
      <w:r>
        <w:rPr>
          <w:spacing w:val="-4"/>
          <w:sz w:val="22"/>
        </w:rPr>
        <w:t>etc.</w:t>
      </w:r>
      <w:r>
        <w:rPr>
          <w:spacing w:val="-9"/>
          <w:sz w:val="22"/>
        </w:rPr>
        <w:t> </w:t>
      </w:r>
      <w:r>
        <w:rPr>
          <w:spacing w:val="-4"/>
          <w:sz w:val="22"/>
        </w:rPr>
        <w:t>should</w:t>
      </w:r>
      <w:r>
        <w:rPr>
          <w:spacing w:val="-9"/>
          <w:sz w:val="22"/>
        </w:rPr>
        <w:t> </w:t>
      </w:r>
      <w:r>
        <w:rPr>
          <w:spacing w:val="-4"/>
          <w:sz w:val="22"/>
        </w:rPr>
        <w:t>be</w:t>
      </w:r>
      <w:r>
        <w:rPr>
          <w:spacing w:val="-9"/>
          <w:sz w:val="22"/>
        </w:rPr>
        <w:t> </w:t>
      </w:r>
      <w:r>
        <w:rPr>
          <w:spacing w:val="-4"/>
          <w:sz w:val="22"/>
        </w:rPr>
        <w:t>explored.</w:t>
      </w:r>
      <w:r>
        <w:rPr>
          <w:spacing w:val="-9"/>
          <w:sz w:val="22"/>
        </w:rPr>
        <w:t> </w:t>
      </w:r>
      <w:r>
        <w:rPr>
          <w:spacing w:val="-4"/>
          <w:sz w:val="22"/>
        </w:rPr>
        <w:t>Universities should also establish and leverage alumni network.</w:t>
      </w:r>
    </w:p>
    <w:p>
      <w:pPr>
        <w:pStyle w:val="ListParagraph"/>
        <w:numPr>
          <w:ilvl w:val="2"/>
          <w:numId w:val="27"/>
        </w:numPr>
        <w:tabs>
          <w:tab w:pos="679" w:val="left" w:leader="none"/>
        </w:tabs>
        <w:spacing w:line="266" w:lineRule="auto" w:before="0" w:after="0"/>
        <w:ind w:left="679" w:right="1077" w:hanging="360"/>
        <w:jc w:val="both"/>
        <w:rPr>
          <w:sz w:val="22"/>
        </w:rPr>
      </w:pPr>
      <w:r>
        <w:rPr>
          <w:sz w:val="22"/>
        </w:rPr>
        <w:t>Government</w:t>
      </w:r>
      <w:r>
        <w:rPr>
          <w:spacing w:val="-10"/>
          <w:sz w:val="22"/>
        </w:rPr>
        <w:t> </w:t>
      </w:r>
      <w:r>
        <w:rPr>
          <w:sz w:val="22"/>
        </w:rPr>
        <w:t>funding</w:t>
      </w:r>
      <w:r>
        <w:rPr>
          <w:spacing w:val="-10"/>
          <w:sz w:val="22"/>
        </w:rPr>
        <w:t> </w:t>
      </w:r>
      <w:r>
        <w:rPr>
          <w:sz w:val="22"/>
        </w:rPr>
        <w:t>agencies</w:t>
      </w:r>
      <w:r>
        <w:rPr>
          <w:spacing w:val="-10"/>
          <w:sz w:val="22"/>
        </w:rPr>
        <w:t> </w:t>
      </w:r>
      <w:r>
        <w:rPr>
          <w:sz w:val="22"/>
        </w:rPr>
        <w:t>should</w:t>
      </w:r>
      <w:r>
        <w:rPr>
          <w:spacing w:val="-10"/>
          <w:sz w:val="22"/>
        </w:rPr>
        <w:t> </w:t>
      </w:r>
      <w:r>
        <w:rPr>
          <w:sz w:val="22"/>
        </w:rPr>
        <w:t>proactively encourage and guide faculty members from </w:t>
      </w:r>
      <w:r>
        <w:rPr>
          <w:spacing w:val="-4"/>
          <w:sz w:val="22"/>
        </w:rPr>
        <w:t>universities</w:t>
      </w:r>
      <w:r>
        <w:rPr>
          <w:spacing w:val="-6"/>
          <w:sz w:val="22"/>
        </w:rPr>
        <w:t> </w:t>
      </w:r>
      <w:r>
        <w:rPr>
          <w:spacing w:val="-4"/>
          <w:sz w:val="22"/>
        </w:rPr>
        <w:t>to</w:t>
      </w:r>
      <w:r>
        <w:rPr>
          <w:spacing w:val="-6"/>
          <w:sz w:val="22"/>
        </w:rPr>
        <w:t> </w:t>
      </w:r>
      <w:r>
        <w:rPr>
          <w:spacing w:val="-4"/>
          <w:sz w:val="22"/>
        </w:rPr>
        <w:t>submit</w:t>
      </w:r>
      <w:r>
        <w:rPr>
          <w:spacing w:val="-6"/>
          <w:sz w:val="22"/>
        </w:rPr>
        <w:t> </w:t>
      </w:r>
      <w:r>
        <w:rPr>
          <w:spacing w:val="-4"/>
          <w:sz w:val="22"/>
        </w:rPr>
        <w:t>research</w:t>
      </w:r>
      <w:r>
        <w:rPr>
          <w:spacing w:val="-6"/>
          <w:sz w:val="22"/>
        </w:rPr>
        <w:t> </w:t>
      </w:r>
      <w:r>
        <w:rPr>
          <w:spacing w:val="-4"/>
          <w:sz w:val="22"/>
        </w:rPr>
        <w:t>proposals.</w:t>
      </w:r>
      <w:r>
        <w:rPr>
          <w:spacing w:val="-6"/>
          <w:sz w:val="22"/>
        </w:rPr>
        <w:t> </w:t>
      </w:r>
      <w:r>
        <w:rPr>
          <w:spacing w:val="-4"/>
          <w:sz w:val="22"/>
        </w:rPr>
        <w:t>A</w:t>
      </w:r>
      <w:r>
        <w:rPr>
          <w:spacing w:val="-6"/>
          <w:sz w:val="22"/>
        </w:rPr>
        <w:t> </w:t>
      </w:r>
      <w:r>
        <w:rPr>
          <w:spacing w:val="-4"/>
          <w:sz w:val="22"/>
        </w:rPr>
        <w:t>system </w:t>
      </w:r>
      <w:r>
        <w:rPr>
          <w:sz w:val="22"/>
        </w:rPr>
        <w:t>of</w:t>
      </w:r>
      <w:r>
        <w:rPr>
          <w:spacing w:val="-10"/>
          <w:sz w:val="22"/>
        </w:rPr>
        <w:t> </w:t>
      </w:r>
      <w:r>
        <w:rPr>
          <w:sz w:val="22"/>
        </w:rPr>
        <w:t>open</w:t>
      </w:r>
      <w:r>
        <w:rPr>
          <w:spacing w:val="-10"/>
          <w:sz w:val="22"/>
        </w:rPr>
        <w:t> </w:t>
      </w:r>
      <w:r>
        <w:rPr>
          <w:sz w:val="22"/>
        </w:rPr>
        <w:t>competition</w:t>
      </w:r>
      <w:r>
        <w:rPr>
          <w:spacing w:val="-10"/>
          <w:sz w:val="22"/>
        </w:rPr>
        <w:t> </w:t>
      </w:r>
      <w:r>
        <w:rPr>
          <w:sz w:val="22"/>
        </w:rPr>
        <w:t>for</w:t>
      </w:r>
      <w:r>
        <w:rPr>
          <w:spacing w:val="-10"/>
          <w:sz w:val="22"/>
        </w:rPr>
        <w:t> </w:t>
      </w:r>
      <w:r>
        <w:rPr>
          <w:sz w:val="22"/>
        </w:rPr>
        <w:t>research</w:t>
      </w:r>
      <w:r>
        <w:rPr>
          <w:spacing w:val="-10"/>
          <w:sz w:val="22"/>
        </w:rPr>
        <w:t> </w:t>
      </w:r>
      <w:r>
        <w:rPr>
          <w:sz w:val="22"/>
        </w:rPr>
        <w:t>grants</w:t>
      </w:r>
      <w:r>
        <w:rPr>
          <w:spacing w:val="-10"/>
          <w:sz w:val="22"/>
        </w:rPr>
        <w:t> </w:t>
      </w:r>
      <w:r>
        <w:rPr>
          <w:sz w:val="22"/>
        </w:rPr>
        <w:t>should</w:t>
      </w:r>
      <w:r>
        <w:rPr>
          <w:spacing w:val="-10"/>
          <w:sz w:val="22"/>
        </w:rPr>
        <w:t> </w:t>
      </w:r>
      <w:r>
        <w:rPr>
          <w:sz w:val="22"/>
        </w:rPr>
        <w:t>be </w:t>
      </w:r>
      <w:r>
        <w:rPr>
          <w:spacing w:val="-2"/>
          <w:sz w:val="22"/>
        </w:rPr>
        <w:t>developed.</w:t>
      </w:r>
    </w:p>
    <w:p>
      <w:pPr>
        <w:pStyle w:val="ListParagraph"/>
        <w:numPr>
          <w:ilvl w:val="2"/>
          <w:numId w:val="27"/>
        </w:numPr>
        <w:tabs>
          <w:tab w:pos="679" w:val="left" w:leader="none"/>
        </w:tabs>
        <w:spacing w:line="266" w:lineRule="auto" w:before="0" w:after="0"/>
        <w:ind w:left="679" w:right="1078" w:hanging="360"/>
        <w:jc w:val="both"/>
        <w:rPr>
          <w:sz w:val="22"/>
        </w:rPr>
      </w:pPr>
      <w:r>
        <w:rPr>
          <w:sz w:val="22"/>
        </w:rPr>
        <w:t>Collaborative funding between countries </w:t>
      </w:r>
      <w:r>
        <w:rPr>
          <w:sz w:val="22"/>
        </w:rPr>
        <w:t>and universities should be encouraged.</w:t>
      </w:r>
    </w:p>
    <w:p>
      <w:pPr>
        <w:pStyle w:val="BodyText"/>
        <w:spacing w:before="16"/>
      </w:pPr>
    </w:p>
    <w:p>
      <w:pPr>
        <w:pStyle w:val="BodyText"/>
        <w:spacing w:line="266" w:lineRule="auto"/>
        <w:ind w:left="319" w:right="1077"/>
        <w:jc w:val="both"/>
      </w:pPr>
      <w:r>
        <w:rPr>
          <w:spacing w:val="-4"/>
        </w:rPr>
        <w:t>To</w:t>
      </w:r>
      <w:r>
        <w:rPr>
          <w:spacing w:val="-12"/>
        </w:rPr>
        <w:t> </w:t>
      </w:r>
      <w:r>
        <w:rPr>
          <w:spacing w:val="-4"/>
        </w:rPr>
        <w:t>increase</w:t>
      </w:r>
      <w:r>
        <w:rPr>
          <w:spacing w:val="-10"/>
        </w:rPr>
        <w:t> </w:t>
      </w:r>
      <w:r>
        <w:rPr>
          <w:spacing w:val="-4"/>
        </w:rPr>
        <w:t>research</w:t>
      </w:r>
      <w:r>
        <w:rPr>
          <w:spacing w:val="-10"/>
        </w:rPr>
        <w:t> </w:t>
      </w:r>
      <w:r>
        <w:rPr>
          <w:spacing w:val="-4"/>
        </w:rPr>
        <w:t>funding</w:t>
      </w:r>
      <w:r>
        <w:rPr>
          <w:spacing w:val="-9"/>
        </w:rPr>
        <w:t> </w:t>
      </w:r>
      <w:r>
        <w:rPr>
          <w:spacing w:val="-4"/>
        </w:rPr>
        <w:t>in</w:t>
      </w:r>
      <w:r>
        <w:rPr>
          <w:spacing w:val="-10"/>
        </w:rPr>
        <w:t> </w:t>
      </w:r>
      <w:r>
        <w:rPr>
          <w:spacing w:val="-4"/>
        </w:rPr>
        <w:t>the</w:t>
      </w:r>
      <w:r>
        <w:rPr>
          <w:spacing w:val="-10"/>
        </w:rPr>
        <w:t> </w:t>
      </w:r>
      <w:r>
        <w:rPr>
          <w:spacing w:val="-4"/>
        </w:rPr>
        <w:t>longer</w:t>
      </w:r>
      <w:r>
        <w:rPr>
          <w:spacing w:val="-10"/>
        </w:rPr>
        <w:t> </w:t>
      </w:r>
      <w:r>
        <w:rPr>
          <w:spacing w:val="-4"/>
        </w:rPr>
        <w:t>term,</w:t>
      </w:r>
      <w:r>
        <w:rPr>
          <w:spacing w:val="-9"/>
        </w:rPr>
        <w:t> </w:t>
      </w:r>
      <w:r>
        <w:rPr>
          <w:spacing w:val="-4"/>
        </w:rPr>
        <w:t>alumni/ corporate</w:t>
      </w:r>
      <w:r>
        <w:rPr>
          <w:spacing w:val="-9"/>
        </w:rPr>
        <w:t> </w:t>
      </w:r>
      <w:r>
        <w:rPr>
          <w:spacing w:val="-4"/>
        </w:rPr>
        <w:t>fellowships</w:t>
      </w:r>
      <w:r>
        <w:rPr>
          <w:spacing w:val="-9"/>
        </w:rPr>
        <w:t> </w:t>
      </w:r>
      <w:r>
        <w:rPr>
          <w:spacing w:val="-4"/>
        </w:rPr>
        <w:t>should</w:t>
      </w:r>
      <w:r>
        <w:rPr>
          <w:spacing w:val="-9"/>
        </w:rPr>
        <w:t> </w:t>
      </w:r>
      <w:r>
        <w:rPr>
          <w:spacing w:val="-4"/>
        </w:rPr>
        <w:t>be</w:t>
      </w:r>
      <w:r>
        <w:rPr>
          <w:spacing w:val="-9"/>
        </w:rPr>
        <w:t> </w:t>
      </w:r>
      <w:r>
        <w:rPr>
          <w:spacing w:val="-4"/>
        </w:rPr>
        <w:t>looked</w:t>
      </w:r>
      <w:r>
        <w:rPr>
          <w:spacing w:val="-9"/>
        </w:rPr>
        <w:t> </w:t>
      </w:r>
      <w:r>
        <w:rPr>
          <w:spacing w:val="-4"/>
        </w:rPr>
        <w:t>at.</w:t>
      </w:r>
      <w:r>
        <w:rPr>
          <w:spacing w:val="-9"/>
        </w:rPr>
        <w:t> </w:t>
      </w:r>
      <w:r>
        <w:rPr>
          <w:spacing w:val="-4"/>
        </w:rPr>
        <w:t>For</w:t>
      </w:r>
      <w:r>
        <w:rPr>
          <w:spacing w:val="-9"/>
        </w:rPr>
        <w:t> </w:t>
      </w:r>
      <w:r>
        <w:rPr>
          <w:spacing w:val="-4"/>
        </w:rPr>
        <w:t>instance, NASSCOM</w:t>
      </w:r>
      <w:r>
        <w:rPr>
          <w:spacing w:val="-7"/>
        </w:rPr>
        <w:t> </w:t>
      </w:r>
      <w:r>
        <w:rPr>
          <w:spacing w:val="-4"/>
        </w:rPr>
        <w:t>has</w:t>
      </w:r>
      <w:r>
        <w:rPr>
          <w:spacing w:val="-7"/>
        </w:rPr>
        <w:t> </w:t>
      </w:r>
      <w:r>
        <w:rPr>
          <w:spacing w:val="-4"/>
        </w:rPr>
        <w:t>developed</w:t>
      </w:r>
      <w:r>
        <w:rPr>
          <w:spacing w:val="-7"/>
        </w:rPr>
        <w:t> </w:t>
      </w:r>
      <w:r>
        <w:rPr>
          <w:spacing w:val="-4"/>
        </w:rPr>
        <w:t>a</w:t>
      </w:r>
      <w:r>
        <w:rPr>
          <w:spacing w:val="-7"/>
        </w:rPr>
        <w:t> </w:t>
      </w:r>
      <w:r>
        <w:rPr>
          <w:spacing w:val="-4"/>
        </w:rPr>
        <w:t>Public</w:t>
      </w:r>
      <w:r>
        <w:rPr>
          <w:spacing w:val="-7"/>
        </w:rPr>
        <w:t> </w:t>
      </w:r>
      <w:r>
        <w:rPr>
          <w:spacing w:val="-4"/>
        </w:rPr>
        <w:t>Private</w:t>
      </w:r>
      <w:r>
        <w:rPr>
          <w:spacing w:val="-7"/>
        </w:rPr>
        <w:t> </w:t>
      </w:r>
      <w:r>
        <w:rPr>
          <w:spacing w:val="-4"/>
        </w:rPr>
        <w:t>Partnership </w:t>
      </w:r>
      <w:r>
        <w:rPr>
          <w:spacing w:val="-2"/>
        </w:rPr>
        <w:t>framework</w:t>
      </w:r>
      <w:r>
        <w:rPr>
          <w:spacing w:val="-12"/>
        </w:rPr>
        <w:t> </w:t>
      </w:r>
      <w:r>
        <w:rPr>
          <w:spacing w:val="-2"/>
        </w:rPr>
        <w:t>under</w:t>
      </w:r>
      <w:r>
        <w:rPr>
          <w:spacing w:val="-12"/>
        </w:rPr>
        <w:t> </w:t>
      </w:r>
      <w:r>
        <w:rPr>
          <w:spacing w:val="-2"/>
        </w:rPr>
        <w:t>which</w:t>
      </w:r>
      <w:r>
        <w:rPr>
          <w:spacing w:val="-12"/>
        </w:rPr>
        <w:t> </w:t>
      </w:r>
      <w:r>
        <w:rPr>
          <w:spacing w:val="-2"/>
        </w:rPr>
        <w:t>fellowships</w:t>
      </w:r>
      <w:r>
        <w:rPr>
          <w:spacing w:val="-11"/>
        </w:rPr>
        <w:t> </w:t>
      </w:r>
      <w:r>
        <w:rPr>
          <w:spacing w:val="-2"/>
        </w:rPr>
        <w:t>could</w:t>
      </w:r>
      <w:r>
        <w:rPr>
          <w:spacing w:val="-12"/>
        </w:rPr>
        <w:t> </w:t>
      </w:r>
      <w:r>
        <w:rPr>
          <w:spacing w:val="-2"/>
        </w:rPr>
        <w:t>be</w:t>
      </w:r>
      <w:r>
        <w:rPr>
          <w:spacing w:val="-12"/>
        </w:rPr>
        <w:t> </w:t>
      </w:r>
      <w:r>
        <w:rPr>
          <w:spacing w:val="-2"/>
        </w:rPr>
        <w:t>provided </w:t>
      </w:r>
      <w:r>
        <w:rPr/>
        <w:t>to</w:t>
      </w:r>
      <w:r>
        <w:rPr>
          <w:spacing w:val="-7"/>
        </w:rPr>
        <w:t> </w:t>
      </w:r>
      <w:r>
        <w:rPr/>
        <w:t>students.</w:t>
      </w:r>
      <w:r>
        <w:rPr>
          <w:spacing w:val="-7"/>
        </w:rPr>
        <w:t> </w:t>
      </w:r>
      <w:r>
        <w:rPr/>
        <w:t>Collaboration</w:t>
      </w:r>
      <w:r>
        <w:rPr>
          <w:spacing w:val="-7"/>
        </w:rPr>
        <w:t> </w:t>
      </w:r>
      <w:r>
        <w:rPr/>
        <w:t>with</w:t>
      </w:r>
      <w:r>
        <w:rPr>
          <w:spacing w:val="-7"/>
        </w:rPr>
        <w:t> </w:t>
      </w:r>
      <w:r>
        <w:rPr/>
        <w:t>foreign</w:t>
      </w:r>
      <w:r>
        <w:rPr>
          <w:spacing w:val="-7"/>
        </w:rPr>
        <w:t> </w:t>
      </w:r>
      <w:r>
        <w:rPr/>
        <w:t>universities</w:t>
      </w:r>
      <w:r>
        <w:rPr>
          <w:spacing w:val="-7"/>
        </w:rPr>
        <w:t> </w:t>
      </w:r>
      <w:r>
        <w:rPr/>
        <w:t>in which students and co-guides get a chance to attend foreign</w:t>
      </w:r>
      <w:r>
        <w:rPr>
          <w:spacing w:val="-13"/>
        </w:rPr>
        <w:t> </w:t>
      </w:r>
      <w:r>
        <w:rPr/>
        <w:t>universities</w:t>
      </w:r>
      <w:r>
        <w:rPr>
          <w:spacing w:val="-13"/>
        </w:rPr>
        <w:t> </w:t>
      </w:r>
      <w:r>
        <w:rPr/>
        <w:t>has</w:t>
      </w:r>
      <w:r>
        <w:rPr>
          <w:spacing w:val="-13"/>
        </w:rPr>
        <w:t> </w:t>
      </w:r>
      <w:r>
        <w:rPr/>
        <w:t>been</w:t>
      </w:r>
      <w:r>
        <w:rPr>
          <w:spacing w:val="-13"/>
        </w:rPr>
        <w:t> </w:t>
      </w:r>
      <w:r>
        <w:rPr/>
        <w:t>worked</w:t>
      </w:r>
      <w:r>
        <w:rPr>
          <w:spacing w:val="-13"/>
        </w:rPr>
        <w:t> </w:t>
      </w:r>
      <w:r>
        <w:rPr/>
        <w:t>out</w:t>
      </w:r>
      <w:r>
        <w:rPr>
          <w:spacing w:val="-13"/>
        </w:rPr>
        <w:t> </w:t>
      </w:r>
      <w:r>
        <w:rPr/>
        <w:t>as</w:t>
      </w:r>
      <w:r>
        <w:rPr>
          <w:spacing w:val="-13"/>
        </w:rPr>
        <w:t> </w:t>
      </w:r>
      <w:r>
        <w:rPr/>
        <w:t>part</w:t>
      </w:r>
      <w:r>
        <w:rPr>
          <w:spacing w:val="-13"/>
        </w:rPr>
        <w:t> </w:t>
      </w:r>
      <w:r>
        <w:rPr/>
        <w:t>of</w:t>
      </w:r>
      <w:r>
        <w:rPr>
          <w:spacing w:val="-13"/>
        </w:rPr>
        <w:t> </w:t>
      </w:r>
      <w:r>
        <w:rPr/>
        <w:t>the </w:t>
      </w:r>
      <w:r>
        <w:rPr>
          <w:spacing w:val="-6"/>
        </w:rPr>
        <w:t>initiative. Academia should evolve strategies to increase such funding avenues substantially. Such initiatives also </w:t>
      </w:r>
      <w:r>
        <w:rPr/>
        <w:t>have</w:t>
      </w:r>
      <w:r>
        <w:rPr>
          <w:spacing w:val="-14"/>
        </w:rPr>
        <w:t> </w:t>
      </w:r>
      <w:r>
        <w:rPr/>
        <w:t>the</w:t>
      </w:r>
      <w:r>
        <w:rPr>
          <w:spacing w:val="-14"/>
        </w:rPr>
        <w:t> </w:t>
      </w:r>
      <w:r>
        <w:rPr/>
        <w:t>merit</w:t>
      </w:r>
      <w:r>
        <w:rPr>
          <w:spacing w:val="-14"/>
        </w:rPr>
        <w:t> </w:t>
      </w:r>
      <w:r>
        <w:rPr/>
        <w:t>of</w:t>
      </w:r>
      <w:r>
        <w:rPr>
          <w:spacing w:val="-13"/>
        </w:rPr>
        <w:t> </w:t>
      </w:r>
      <w:r>
        <w:rPr/>
        <w:t>wider</w:t>
      </w:r>
      <w:r>
        <w:rPr>
          <w:spacing w:val="-14"/>
        </w:rPr>
        <w:t> </w:t>
      </w:r>
      <w:r>
        <w:rPr/>
        <w:t>industry</w:t>
      </w:r>
      <w:r>
        <w:rPr>
          <w:spacing w:val="-14"/>
        </w:rPr>
        <w:t> </w:t>
      </w:r>
      <w:r>
        <w:rPr/>
        <w:t>academia</w:t>
      </w:r>
      <w:r>
        <w:rPr>
          <w:spacing w:val="-14"/>
        </w:rPr>
        <w:t> </w:t>
      </w:r>
      <w:r>
        <w:rPr/>
        <w:t>interaction.</w:t>
      </w:r>
    </w:p>
    <w:p>
      <w:pPr>
        <w:pStyle w:val="BodyText"/>
        <w:spacing w:before="19"/>
      </w:pPr>
    </w:p>
    <w:p>
      <w:pPr>
        <w:pStyle w:val="BodyText"/>
        <w:spacing w:line="266" w:lineRule="auto"/>
        <w:ind w:left="319" w:right="1077"/>
        <w:jc w:val="both"/>
      </w:pPr>
      <w:r>
        <w:rPr>
          <w:spacing w:val="-2"/>
        </w:rPr>
        <w:t>Primarily</w:t>
      </w:r>
      <w:r>
        <w:rPr>
          <w:spacing w:val="-12"/>
        </w:rPr>
        <w:t> </w:t>
      </w:r>
      <w:r>
        <w:rPr>
          <w:spacing w:val="-2"/>
        </w:rPr>
        <w:t>however,</w:t>
      </w:r>
      <w:r>
        <w:rPr>
          <w:spacing w:val="-12"/>
        </w:rPr>
        <w:t> </w:t>
      </w:r>
      <w:r>
        <w:rPr>
          <w:spacing w:val="-2"/>
        </w:rPr>
        <w:t>professional</w:t>
      </w:r>
      <w:r>
        <w:rPr>
          <w:spacing w:val="-12"/>
        </w:rPr>
        <w:t> </w:t>
      </w:r>
      <w:r>
        <w:rPr>
          <w:spacing w:val="-2"/>
        </w:rPr>
        <w:t>financial</w:t>
      </w:r>
      <w:r>
        <w:rPr>
          <w:spacing w:val="-11"/>
        </w:rPr>
        <w:t> </w:t>
      </w:r>
      <w:r>
        <w:rPr>
          <w:spacing w:val="-2"/>
        </w:rPr>
        <w:t>management </w:t>
      </w:r>
      <w:r>
        <w:rPr/>
        <w:t>is needed at universities. There should be </w:t>
      </w:r>
      <w:r>
        <w:rPr/>
        <w:t>in-built </w:t>
      </w:r>
      <w:r>
        <w:rPr>
          <w:spacing w:val="-4"/>
        </w:rPr>
        <w:t>flexibility</w:t>
      </w:r>
      <w:r>
        <w:rPr>
          <w:spacing w:val="-10"/>
        </w:rPr>
        <w:t> </w:t>
      </w:r>
      <w:r>
        <w:rPr>
          <w:spacing w:val="-4"/>
        </w:rPr>
        <w:t>and</w:t>
      </w:r>
      <w:r>
        <w:rPr>
          <w:spacing w:val="-10"/>
        </w:rPr>
        <w:t> </w:t>
      </w:r>
      <w:r>
        <w:rPr>
          <w:spacing w:val="-4"/>
        </w:rPr>
        <w:t>lenient</w:t>
      </w:r>
      <w:r>
        <w:rPr>
          <w:spacing w:val="-9"/>
        </w:rPr>
        <w:t> </w:t>
      </w:r>
      <w:r>
        <w:rPr>
          <w:spacing w:val="-4"/>
        </w:rPr>
        <w:t>guidelines</w:t>
      </w:r>
      <w:r>
        <w:rPr>
          <w:spacing w:val="-10"/>
        </w:rPr>
        <w:t> </w:t>
      </w:r>
      <w:r>
        <w:rPr>
          <w:spacing w:val="-4"/>
        </w:rPr>
        <w:t>for</w:t>
      </w:r>
      <w:r>
        <w:rPr>
          <w:spacing w:val="-10"/>
        </w:rPr>
        <w:t> </w:t>
      </w:r>
      <w:r>
        <w:rPr>
          <w:spacing w:val="-4"/>
        </w:rPr>
        <w:t>utilisation</w:t>
      </w:r>
      <w:r>
        <w:rPr>
          <w:spacing w:val="-9"/>
        </w:rPr>
        <w:t> </w:t>
      </w:r>
      <w:r>
        <w:rPr>
          <w:spacing w:val="-4"/>
        </w:rPr>
        <w:t>of</w:t>
      </w:r>
      <w:r>
        <w:rPr>
          <w:spacing w:val="-10"/>
        </w:rPr>
        <w:t> </w:t>
      </w:r>
      <w:r>
        <w:rPr>
          <w:spacing w:val="-4"/>
        </w:rPr>
        <w:t>funds. It</w:t>
      </w:r>
      <w:r>
        <w:rPr>
          <w:spacing w:val="-9"/>
        </w:rPr>
        <w:t> </w:t>
      </w:r>
      <w:r>
        <w:rPr>
          <w:spacing w:val="-4"/>
        </w:rPr>
        <w:t>is</w:t>
      </w:r>
      <w:r>
        <w:rPr>
          <w:spacing w:val="-9"/>
        </w:rPr>
        <w:t> </w:t>
      </w:r>
      <w:r>
        <w:rPr>
          <w:spacing w:val="-4"/>
        </w:rPr>
        <w:t>also</w:t>
      </w:r>
      <w:r>
        <w:rPr>
          <w:spacing w:val="-9"/>
        </w:rPr>
        <w:t> </w:t>
      </w:r>
      <w:r>
        <w:rPr>
          <w:spacing w:val="-4"/>
        </w:rPr>
        <w:t>important</w:t>
      </w:r>
      <w:r>
        <w:rPr>
          <w:spacing w:val="-9"/>
        </w:rPr>
        <w:t> </w:t>
      </w:r>
      <w:r>
        <w:rPr>
          <w:spacing w:val="-4"/>
        </w:rPr>
        <w:t>that</w:t>
      </w:r>
      <w:r>
        <w:rPr>
          <w:spacing w:val="-9"/>
        </w:rPr>
        <w:t> </w:t>
      </w:r>
      <w:r>
        <w:rPr>
          <w:spacing w:val="-4"/>
        </w:rPr>
        <w:t>faculty</w:t>
      </w:r>
      <w:r>
        <w:rPr>
          <w:spacing w:val="-9"/>
        </w:rPr>
        <w:t> </w:t>
      </w:r>
      <w:r>
        <w:rPr>
          <w:spacing w:val="-4"/>
        </w:rPr>
        <w:t>in</w:t>
      </w:r>
      <w:r>
        <w:rPr>
          <w:spacing w:val="-9"/>
        </w:rPr>
        <w:t> </w:t>
      </w:r>
      <w:r>
        <w:rPr>
          <w:spacing w:val="-4"/>
        </w:rPr>
        <w:t>research</w:t>
      </w:r>
      <w:r>
        <w:rPr>
          <w:spacing w:val="-9"/>
        </w:rPr>
        <w:t> </w:t>
      </w:r>
      <w:r>
        <w:rPr>
          <w:spacing w:val="-4"/>
        </w:rPr>
        <w:t>institutes</w:t>
      </w:r>
      <w:r>
        <w:rPr>
          <w:spacing w:val="-9"/>
        </w:rPr>
        <w:t> </w:t>
      </w:r>
      <w:r>
        <w:rPr>
          <w:spacing w:val="-4"/>
        </w:rPr>
        <w:t>and </w:t>
      </w:r>
      <w:r>
        <w:rPr/>
        <w:t>universities are trained in the utilisation of funds.</w:t>
      </w:r>
    </w:p>
    <w:p>
      <w:pPr>
        <w:pStyle w:val="BodyText"/>
      </w:pPr>
    </w:p>
    <w:p>
      <w:pPr>
        <w:pStyle w:val="Heading7"/>
        <w:spacing w:line="225" w:lineRule="auto"/>
        <w:ind w:right="971"/>
      </w:pPr>
      <w:r>
        <w:rPr>
          <w:color w:val="2E614A"/>
          <w:w w:val="90"/>
        </w:rPr>
        <w:t>Recommendation 13: Encourage </w:t>
      </w:r>
      <w:r>
        <w:rPr>
          <w:color w:val="2E614A"/>
          <w:w w:val="90"/>
        </w:rPr>
        <w:t>private </w:t>
      </w:r>
      <w:r>
        <w:rPr>
          <w:color w:val="2E614A"/>
          <w:spacing w:val="-4"/>
        </w:rPr>
        <w:t>participation</w:t>
      </w:r>
      <w:r>
        <w:rPr>
          <w:color w:val="2E614A"/>
          <w:spacing w:val="-13"/>
        </w:rPr>
        <w:t> </w:t>
      </w:r>
      <w:r>
        <w:rPr>
          <w:color w:val="2E614A"/>
          <w:spacing w:val="-4"/>
        </w:rPr>
        <w:t>in</w:t>
      </w:r>
      <w:r>
        <w:rPr>
          <w:color w:val="2E614A"/>
          <w:spacing w:val="-12"/>
        </w:rPr>
        <w:t> </w:t>
      </w:r>
      <w:r>
        <w:rPr>
          <w:color w:val="2E614A"/>
          <w:spacing w:val="-4"/>
        </w:rPr>
        <w:t>research</w:t>
      </w:r>
      <w:r>
        <w:rPr>
          <w:color w:val="2E614A"/>
          <w:spacing w:val="-12"/>
        </w:rPr>
        <w:t> </w:t>
      </w:r>
      <w:r>
        <w:rPr>
          <w:color w:val="2E614A"/>
          <w:spacing w:val="-4"/>
        </w:rPr>
        <w:t>activities</w:t>
      </w:r>
      <w:r>
        <w:rPr>
          <w:color w:val="2E614A"/>
          <w:spacing w:val="-12"/>
        </w:rPr>
        <w:t> </w:t>
      </w:r>
      <w:r>
        <w:rPr>
          <w:color w:val="2E614A"/>
          <w:spacing w:val="-4"/>
        </w:rPr>
        <w:t>by </w:t>
      </w:r>
      <w:r>
        <w:rPr>
          <w:color w:val="2E614A"/>
          <w:w w:val="90"/>
        </w:rPr>
        <w:t>fostering industry-academia interaction</w:t>
      </w:r>
    </w:p>
    <w:p>
      <w:pPr>
        <w:pStyle w:val="BodyText"/>
        <w:spacing w:before="1"/>
        <w:rPr>
          <w:b/>
          <w:sz w:val="26"/>
        </w:rPr>
      </w:pPr>
    </w:p>
    <w:p>
      <w:pPr>
        <w:pStyle w:val="BodyText"/>
        <w:spacing w:line="266" w:lineRule="auto"/>
        <w:ind w:left="319" w:right="1077"/>
        <w:jc w:val="both"/>
      </w:pPr>
      <w:r>
        <w:rPr>
          <w:b/>
        </w:rPr>
        <w:t>Issues: </w:t>
      </w:r>
      <w:r>
        <w:rPr/>
        <w:t>The two worlds, academy and industry, </w:t>
      </w:r>
      <w:r>
        <w:rPr/>
        <w:t>are </w:t>
      </w:r>
      <w:r>
        <w:rPr>
          <w:w w:val="90"/>
        </w:rPr>
        <w:t>viewed as divergent, because of perceived vested interests, </w:t>
      </w:r>
      <w:r>
        <w:rPr/>
        <w:t>which often leads to mistrust.</w:t>
      </w:r>
    </w:p>
    <w:p>
      <w:pPr>
        <w:pStyle w:val="BodyText"/>
        <w:spacing w:before="24"/>
      </w:pPr>
    </w:p>
    <w:p>
      <w:pPr>
        <w:pStyle w:val="BodyText"/>
        <w:spacing w:line="266" w:lineRule="auto"/>
        <w:ind w:left="319" w:right="1077"/>
        <w:jc w:val="both"/>
      </w:pPr>
      <w:r>
        <w:rPr/>
        <w:t>It is important that there is a change in this </w:t>
      </w:r>
      <w:r>
        <w:rPr/>
        <w:t>mindset </w:t>
      </w:r>
      <w:r>
        <w:rPr>
          <w:spacing w:val="-4"/>
        </w:rPr>
        <w:t>and that new ways of establishing and institutionalising </w:t>
      </w:r>
      <w:r>
        <w:rPr>
          <w:spacing w:val="-2"/>
        </w:rPr>
        <w:t>permanent</w:t>
      </w:r>
      <w:r>
        <w:rPr>
          <w:spacing w:val="-9"/>
        </w:rPr>
        <w:t> </w:t>
      </w:r>
      <w:r>
        <w:rPr>
          <w:spacing w:val="-2"/>
        </w:rPr>
        <w:t>linkages</w:t>
      </w:r>
      <w:r>
        <w:rPr>
          <w:spacing w:val="-7"/>
        </w:rPr>
        <w:t> </w:t>
      </w:r>
      <w:r>
        <w:rPr>
          <w:spacing w:val="-2"/>
        </w:rPr>
        <w:t>are</w:t>
      </w:r>
      <w:r>
        <w:rPr>
          <w:spacing w:val="-7"/>
        </w:rPr>
        <w:t> </w:t>
      </w:r>
      <w:r>
        <w:rPr>
          <w:spacing w:val="-2"/>
        </w:rPr>
        <w:t>explored.</w:t>
      </w:r>
      <w:r>
        <w:rPr>
          <w:spacing w:val="-12"/>
        </w:rPr>
        <w:t> </w:t>
      </w:r>
      <w:r>
        <w:rPr>
          <w:spacing w:val="-2"/>
        </w:rPr>
        <w:t>The</w:t>
      </w:r>
      <w:r>
        <w:rPr>
          <w:spacing w:val="-7"/>
        </w:rPr>
        <w:t> </w:t>
      </w:r>
      <w:r>
        <w:rPr>
          <w:spacing w:val="-2"/>
        </w:rPr>
        <w:t>value</w:t>
      </w:r>
      <w:r>
        <w:rPr>
          <w:spacing w:val="-7"/>
        </w:rPr>
        <w:t> </w:t>
      </w:r>
      <w:r>
        <w:rPr>
          <w:spacing w:val="-2"/>
        </w:rPr>
        <w:t>of</w:t>
      </w:r>
      <w:r>
        <w:rPr>
          <w:spacing w:val="-7"/>
        </w:rPr>
        <w:t> </w:t>
      </w:r>
      <w:r>
        <w:rPr>
          <w:spacing w:val="-2"/>
        </w:rPr>
        <w:t>domain </w:t>
      </w:r>
      <w:r>
        <w:rPr/>
        <w:t>knowledge expertise is bound to increase as the </w:t>
      </w:r>
      <w:r>
        <w:rPr>
          <w:spacing w:val="-2"/>
        </w:rPr>
        <w:t>economy</w:t>
      </w:r>
      <w:r>
        <w:rPr>
          <w:spacing w:val="-7"/>
        </w:rPr>
        <w:t> </w:t>
      </w:r>
      <w:r>
        <w:rPr>
          <w:spacing w:val="-2"/>
        </w:rPr>
        <w:t>matures</w:t>
      </w:r>
      <w:r>
        <w:rPr>
          <w:spacing w:val="-7"/>
        </w:rPr>
        <w:t> </w:t>
      </w:r>
      <w:r>
        <w:rPr>
          <w:spacing w:val="-2"/>
        </w:rPr>
        <w:t>and</w:t>
      </w:r>
      <w:r>
        <w:rPr>
          <w:spacing w:val="-7"/>
        </w:rPr>
        <w:t> </w:t>
      </w:r>
      <w:r>
        <w:rPr>
          <w:spacing w:val="-2"/>
        </w:rPr>
        <w:t>knowledge</w:t>
      </w:r>
      <w:r>
        <w:rPr>
          <w:spacing w:val="-7"/>
        </w:rPr>
        <w:t> </w:t>
      </w:r>
      <w:r>
        <w:rPr>
          <w:spacing w:val="-2"/>
        </w:rPr>
        <w:t>gets</w:t>
      </w:r>
      <w:r>
        <w:rPr>
          <w:spacing w:val="-7"/>
        </w:rPr>
        <w:t> </w:t>
      </w:r>
      <w:r>
        <w:rPr>
          <w:spacing w:val="-2"/>
        </w:rPr>
        <w:t>integrated</w:t>
      </w:r>
      <w:r>
        <w:rPr>
          <w:spacing w:val="-7"/>
        </w:rPr>
        <w:t> </w:t>
      </w:r>
      <w:r>
        <w:rPr>
          <w:spacing w:val="-2"/>
        </w:rPr>
        <w:t>as</w:t>
      </w:r>
      <w:r>
        <w:rPr>
          <w:spacing w:val="-7"/>
        </w:rPr>
        <w:t> </w:t>
      </w:r>
      <w:r>
        <w:rPr>
          <w:spacing w:val="-2"/>
        </w:rPr>
        <w:t>an important</w:t>
      </w:r>
      <w:r>
        <w:rPr>
          <w:spacing w:val="-8"/>
        </w:rPr>
        <w:t> </w:t>
      </w:r>
      <w:r>
        <w:rPr>
          <w:spacing w:val="-2"/>
        </w:rPr>
        <w:t>component</w:t>
      </w:r>
      <w:r>
        <w:rPr>
          <w:spacing w:val="-8"/>
        </w:rPr>
        <w:t> </w:t>
      </w:r>
      <w:r>
        <w:rPr>
          <w:spacing w:val="-2"/>
        </w:rPr>
        <w:t>of</w:t>
      </w:r>
      <w:r>
        <w:rPr>
          <w:spacing w:val="-8"/>
        </w:rPr>
        <w:t> </w:t>
      </w:r>
      <w:r>
        <w:rPr>
          <w:spacing w:val="-2"/>
        </w:rPr>
        <w:t>the</w:t>
      </w:r>
      <w:r>
        <w:rPr>
          <w:spacing w:val="-8"/>
        </w:rPr>
        <w:t> </w:t>
      </w:r>
      <w:r>
        <w:rPr>
          <w:spacing w:val="-2"/>
        </w:rPr>
        <w:t>economy.</w:t>
      </w:r>
      <w:r>
        <w:rPr>
          <w:spacing w:val="-8"/>
        </w:rPr>
        <w:t> </w:t>
      </w:r>
      <w:r>
        <w:rPr>
          <w:spacing w:val="-2"/>
        </w:rPr>
        <w:t>Industry</w:t>
      </w:r>
      <w:r>
        <w:rPr>
          <w:spacing w:val="-8"/>
        </w:rPr>
        <w:t> </w:t>
      </w:r>
      <w:r>
        <w:rPr>
          <w:spacing w:val="-2"/>
        </w:rPr>
        <w:t>should </w:t>
      </w:r>
      <w:r>
        <w:rPr/>
        <w:t>take cognizance of this and should support doctoral </w:t>
      </w:r>
      <w:r>
        <w:rPr>
          <w:spacing w:val="-4"/>
        </w:rPr>
        <w:t>programs</w:t>
      </w:r>
      <w:r>
        <w:rPr>
          <w:spacing w:val="-10"/>
        </w:rPr>
        <w:t> </w:t>
      </w:r>
      <w:r>
        <w:rPr>
          <w:spacing w:val="-4"/>
        </w:rPr>
        <w:t>in</w:t>
      </w:r>
      <w:r>
        <w:rPr>
          <w:spacing w:val="-10"/>
        </w:rPr>
        <w:t> </w:t>
      </w:r>
      <w:r>
        <w:rPr>
          <w:spacing w:val="-4"/>
        </w:rPr>
        <w:t>both</w:t>
      </w:r>
      <w:r>
        <w:rPr>
          <w:spacing w:val="-10"/>
        </w:rPr>
        <w:t> </w:t>
      </w:r>
      <w:r>
        <w:rPr>
          <w:spacing w:val="-4"/>
        </w:rPr>
        <w:t>basic</w:t>
      </w:r>
      <w:r>
        <w:rPr>
          <w:spacing w:val="-9"/>
        </w:rPr>
        <w:t> </w:t>
      </w:r>
      <w:r>
        <w:rPr>
          <w:spacing w:val="-4"/>
        </w:rPr>
        <w:t>and</w:t>
      </w:r>
      <w:r>
        <w:rPr>
          <w:spacing w:val="-10"/>
        </w:rPr>
        <w:t> </w:t>
      </w:r>
      <w:r>
        <w:rPr>
          <w:spacing w:val="-4"/>
        </w:rPr>
        <w:t>applied</w:t>
      </w:r>
      <w:r>
        <w:rPr>
          <w:spacing w:val="-10"/>
        </w:rPr>
        <w:t> </w:t>
      </w:r>
      <w:r>
        <w:rPr>
          <w:spacing w:val="-4"/>
        </w:rPr>
        <w:t>research</w:t>
      </w:r>
      <w:r>
        <w:rPr>
          <w:spacing w:val="-10"/>
        </w:rPr>
        <w:t> </w:t>
      </w:r>
      <w:r>
        <w:rPr>
          <w:spacing w:val="-4"/>
        </w:rPr>
        <w:t>disciplines. </w:t>
      </w:r>
      <w:r>
        <w:rPr/>
        <w:t>Further, social sciences can contribute to innovation </w:t>
      </w:r>
      <w:r>
        <w:rPr>
          <w:spacing w:val="-2"/>
        </w:rPr>
        <w:t>in</w:t>
      </w:r>
      <w:r>
        <w:rPr>
          <w:spacing w:val="-9"/>
        </w:rPr>
        <w:t> </w:t>
      </w:r>
      <w:r>
        <w:rPr>
          <w:spacing w:val="-2"/>
        </w:rPr>
        <w:t>business</w:t>
      </w:r>
      <w:r>
        <w:rPr>
          <w:spacing w:val="-9"/>
        </w:rPr>
        <w:t> </w:t>
      </w:r>
      <w:r>
        <w:rPr>
          <w:spacing w:val="-2"/>
        </w:rPr>
        <w:t>processes,</w:t>
      </w:r>
      <w:r>
        <w:rPr>
          <w:spacing w:val="-9"/>
        </w:rPr>
        <w:t> </w:t>
      </w:r>
      <w:r>
        <w:rPr>
          <w:spacing w:val="-2"/>
        </w:rPr>
        <w:t>and</w:t>
      </w:r>
      <w:r>
        <w:rPr>
          <w:spacing w:val="-9"/>
        </w:rPr>
        <w:t> </w:t>
      </w:r>
      <w:r>
        <w:rPr>
          <w:spacing w:val="-2"/>
        </w:rPr>
        <w:t>in</w:t>
      </w:r>
      <w:r>
        <w:rPr>
          <w:spacing w:val="-9"/>
        </w:rPr>
        <w:t> </w:t>
      </w:r>
      <w:r>
        <w:rPr>
          <w:spacing w:val="-2"/>
        </w:rPr>
        <w:t>the</w:t>
      </w:r>
      <w:r>
        <w:rPr>
          <w:spacing w:val="-9"/>
        </w:rPr>
        <w:t> </w:t>
      </w:r>
      <w:r>
        <w:rPr>
          <w:spacing w:val="-2"/>
        </w:rPr>
        <w:t>overall</w:t>
      </w:r>
      <w:r>
        <w:rPr>
          <w:spacing w:val="-9"/>
        </w:rPr>
        <w:t> </w:t>
      </w:r>
      <w:r>
        <w:rPr>
          <w:spacing w:val="-2"/>
        </w:rPr>
        <w:t>understanding </w:t>
      </w:r>
      <w:r>
        <w:rPr/>
        <w:t>and</w:t>
      </w:r>
      <w:r>
        <w:rPr>
          <w:spacing w:val="-14"/>
        </w:rPr>
        <w:t> </w:t>
      </w:r>
      <w:r>
        <w:rPr/>
        <w:t>progress</w:t>
      </w:r>
      <w:r>
        <w:rPr>
          <w:spacing w:val="-14"/>
        </w:rPr>
        <w:t> </w:t>
      </w:r>
      <w:r>
        <w:rPr/>
        <w:t>of</w:t>
      </w:r>
      <w:r>
        <w:rPr>
          <w:spacing w:val="-14"/>
        </w:rPr>
        <w:t> </w:t>
      </w:r>
      <w:r>
        <w:rPr/>
        <w:t>the</w:t>
      </w:r>
      <w:r>
        <w:rPr>
          <w:spacing w:val="-13"/>
        </w:rPr>
        <w:t> </w:t>
      </w:r>
      <w:r>
        <w:rPr/>
        <w:t>society.</w:t>
      </w:r>
      <w:r>
        <w:rPr>
          <w:spacing w:val="-14"/>
        </w:rPr>
        <w:t> </w:t>
      </w:r>
      <w:r>
        <w:rPr/>
        <w:t>Industry</w:t>
      </w:r>
      <w:r>
        <w:rPr>
          <w:spacing w:val="-14"/>
        </w:rPr>
        <w:t> </w:t>
      </w:r>
      <w:r>
        <w:rPr/>
        <w:t>can</w:t>
      </w:r>
      <w:r>
        <w:rPr>
          <w:spacing w:val="-14"/>
        </w:rPr>
        <w:t> </w:t>
      </w:r>
      <w:r>
        <w:rPr/>
        <w:t>participate</w:t>
      </w:r>
      <w:r>
        <w:rPr>
          <w:spacing w:val="-13"/>
        </w:rPr>
        <w:t> </w:t>
      </w:r>
      <w:r>
        <w:rPr/>
        <w:t>in academic</w:t>
      </w:r>
      <w:r>
        <w:rPr>
          <w:spacing w:val="-9"/>
        </w:rPr>
        <w:t> </w:t>
      </w:r>
      <w:r>
        <w:rPr/>
        <w:t>research</w:t>
      </w:r>
      <w:r>
        <w:rPr>
          <w:spacing w:val="-9"/>
        </w:rPr>
        <w:t> </w:t>
      </w:r>
      <w:r>
        <w:rPr/>
        <w:t>activities</w:t>
      </w:r>
      <w:r>
        <w:rPr>
          <w:spacing w:val="-9"/>
        </w:rPr>
        <w:t> </w:t>
      </w:r>
      <w:r>
        <w:rPr/>
        <w:t>by:</w:t>
      </w:r>
    </w:p>
    <w:p>
      <w:pPr>
        <w:spacing w:after="0" w:line="266" w:lineRule="auto"/>
        <w:jc w:val="both"/>
        <w:sectPr>
          <w:pgSz w:w="11910" w:h="16840"/>
          <w:pgMar w:header="0" w:footer="675" w:top="960" w:bottom="860" w:left="0" w:right="0"/>
          <w:cols w:num="2" w:equalWidth="0">
            <w:col w:w="5774" w:space="40"/>
            <w:col w:w="6096"/>
          </w:cols>
        </w:sectPr>
      </w:pPr>
    </w:p>
    <w:p>
      <w:pPr>
        <w:pStyle w:val="ListParagraph"/>
        <w:numPr>
          <w:ilvl w:val="3"/>
          <w:numId w:val="27"/>
        </w:numPr>
        <w:tabs>
          <w:tab w:pos="1438" w:val="left" w:leader="none"/>
        </w:tabs>
        <w:spacing w:line="240" w:lineRule="auto" w:before="60" w:after="0"/>
        <w:ind w:left="1438" w:right="0" w:hanging="359"/>
        <w:jc w:val="both"/>
        <w:rPr>
          <w:sz w:val="22"/>
        </w:rPr>
      </w:pPr>
      <w:r>
        <w:rPr>
          <w:spacing w:val="-4"/>
          <w:sz w:val="22"/>
        </w:rPr>
        <w:t>Investing</w:t>
      </w:r>
      <w:r>
        <w:rPr>
          <w:spacing w:val="2"/>
          <w:sz w:val="22"/>
        </w:rPr>
        <w:t> </w:t>
      </w:r>
      <w:r>
        <w:rPr>
          <w:spacing w:val="-4"/>
          <w:sz w:val="22"/>
        </w:rPr>
        <w:t>in</w:t>
      </w:r>
      <w:r>
        <w:rPr>
          <w:spacing w:val="3"/>
          <w:sz w:val="22"/>
        </w:rPr>
        <w:t> </w:t>
      </w:r>
      <w:r>
        <w:rPr>
          <w:spacing w:val="-4"/>
          <w:sz w:val="22"/>
        </w:rPr>
        <w:t>infrastructure</w:t>
      </w:r>
      <w:r>
        <w:rPr>
          <w:spacing w:val="3"/>
          <w:sz w:val="22"/>
        </w:rPr>
        <w:t> </w:t>
      </w:r>
      <w:r>
        <w:rPr>
          <w:spacing w:val="-4"/>
          <w:sz w:val="22"/>
        </w:rPr>
        <w:t>building.</w:t>
      </w:r>
    </w:p>
    <w:p>
      <w:pPr>
        <w:pStyle w:val="ListParagraph"/>
        <w:numPr>
          <w:ilvl w:val="3"/>
          <w:numId w:val="27"/>
        </w:numPr>
        <w:tabs>
          <w:tab w:pos="1438" w:val="left" w:leader="none"/>
        </w:tabs>
        <w:spacing w:line="240" w:lineRule="auto" w:before="27" w:after="0"/>
        <w:ind w:left="1438" w:right="0" w:hanging="359"/>
        <w:jc w:val="both"/>
        <w:rPr>
          <w:sz w:val="22"/>
        </w:rPr>
      </w:pPr>
      <w:r>
        <w:rPr>
          <w:spacing w:val="-2"/>
          <w:sz w:val="22"/>
        </w:rPr>
        <w:t>Inviting</w:t>
      </w:r>
      <w:r>
        <w:rPr>
          <w:spacing w:val="-9"/>
          <w:sz w:val="22"/>
        </w:rPr>
        <w:t> </w:t>
      </w:r>
      <w:r>
        <w:rPr>
          <w:spacing w:val="-2"/>
          <w:sz w:val="22"/>
        </w:rPr>
        <w:t>students</w:t>
      </w:r>
      <w:r>
        <w:rPr>
          <w:spacing w:val="-8"/>
          <w:sz w:val="22"/>
        </w:rPr>
        <w:t> </w:t>
      </w:r>
      <w:r>
        <w:rPr>
          <w:spacing w:val="-2"/>
          <w:sz w:val="22"/>
        </w:rPr>
        <w:t>to</w:t>
      </w:r>
      <w:r>
        <w:rPr>
          <w:spacing w:val="-8"/>
          <w:sz w:val="22"/>
        </w:rPr>
        <w:t> </w:t>
      </w:r>
      <w:r>
        <w:rPr>
          <w:spacing w:val="-2"/>
          <w:sz w:val="22"/>
        </w:rPr>
        <w:t>spend</w:t>
      </w:r>
      <w:r>
        <w:rPr>
          <w:spacing w:val="-8"/>
          <w:sz w:val="22"/>
        </w:rPr>
        <w:t> </w:t>
      </w:r>
      <w:r>
        <w:rPr>
          <w:spacing w:val="-2"/>
          <w:sz w:val="22"/>
        </w:rPr>
        <w:t>a</w:t>
      </w:r>
      <w:r>
        <w:rPr>
          <w:spacing w:val="-8"/>
          <w:sz w:val="22"/>
        </w:rPr>
        <w:t> </w:t>
      </w:r>
      <w:r>
        <w:rPr>
          <w:spacing w:val="-2"/>
          <w:sz w:val="22"/>
        </w:rPr>
        <w:t>semester</w:t>
      </w:r>
      <w:r>
        <w:rPr>
          <w:spacing w:val="-8"/>
          <w:sz w:val="22"/>
        </w:rPr>
        <w:t> </w:t>
      </w:r>
      <w:r>
        <w:rPr>
          <w:spacing w:val="-2"/>
          <w:sz w:val="22"/>
        </w:rPr>
        <w:t>in</w:t>
      </w:r>
      <w:r>
        <w:rPr>
          <w:spacing w:val="-8"/>
          <w:sz w:val="22"/>
        </w:rPr>
        <w:t> </w:t>
      </w:r>
      <w:r>
        <w:rPr>
          <w:spacing w:val="-2"/>
          <w:sz w:val="22"/>
        </w:rPr>
        <w:t>industry.</w:t>
      </w:r>
    </w:p>
    <w:p>
      <w:pPr>
        <w:pStyle w:val="ListParagraph"/>
        <w:numPr>
          <w:ilvl w:val="3"/>
          <w:numId w:val="27"/>
        </w:numPr>
        <w:tabs>
          <w:tab w:pos="1439" w:val="left" w:leader="none"/>
        </w:tabs>
        <w:spacing w:line="266" w:lineRule="auto" w:before="27" w:after="0"/>
        <w:ind w:left="1439" w:right="1" w:hanging="360"/>
        <w:jc w:val="both"/>
        <w:rPr>
          <w:sz w:val="22"/>
        </w:rPr>
      </w:pPr>
      <w:r>
        <w:rPr>
          <w:sz w:val="22"/>
        </w:rPr>
        <w:t>Allowing people from industry to take </w:t>
      </w:r>
      <w:r>
        <w:rPr>
          <w:sz w:val="22"/>
        </w:rPr>
        <w:t>special lectures in universities.</w:t>
      </w:r>
    </w:p>
    <w:p>
      <w:pPr>
        <w:pStyle w:val="ListParagraph"/>
        <w:numPr>
          <w:ilvl w:val="3"/>
          <w:numId w:val="27"/>
        </w:numPr>
        <w:tabs>
          <w:tab w:pos="1439" w:val="left" w:leader="none"/>
        </w:tabs>
        <w:spacing w:line="266" w:lineRule="auto" w:before="0" w:after="0"/>
        <w:ind w:left="1439" w:right="0" w:hanging="360"/>
        <w:jc w:val="both"/>
        <w:rPr>
          <w:sz w:val="22"/>
        </w:rPr>
      </w:pPr>
      <w:r>
        <w:rPr>
          <w:sz w:val="22"/>
        </w:rPr>
        <w:t>Getting involved in monitoring and </w:t>
      </w:r>
      <w:r>
        <w:rPr>
          <w:sz w:val="22"/>
        </w:rPr>
        <w:t>updating </w:t>
      </w:r>
      <w:r>
        <w:rPr>
          <w:spacing w:val="-2"/>
          <w:sz w:val="22"/>
        </w:rPr>
        <w:t>curriculum.</w:t>
      </w:r>
    </w:p>
    <w:p>
      <w:pPr>
        <w:pStyle w:val="ListParagraph"/>
        <w:numPr>
          <w:ilvl w:val="3"/>
          <w:numId w:val="27"/>
        </w:numPr>
        <w:tabs>
          <w:tab w:pos="1439" w:val="left" w:leader="none"/>
        </w:tabs>
        <w:spacing w:line="266" w:lineRule="auto" w:before="0" w:after="0"/>
        <w:ind w:left="1439" w:right="0" w:hanging="360"/>
        <w:jc w:val="both"/>
        <w:rPr>
          <w:sz w:val="22"/>
        </w:rPr>
      </w:pPr>
      <w:r>
        <w:rPr>
          <w:sz w:val="22"/>
        </w:rPr>
        <w:t>Offering research projects to people in academia </w:t>
      </w:r>
      <w:r>
        <w:rPr>
          <w:spacing w:val="-8"/>
          <w:sz w:val="22"/>
        </w:rPr>
        <w:t>either alone or by collaborating with other industries.</w:t>
      </w:r>
    </w:p>
    <w:p>
      <w:pPr>
        <w:pStyle w:val="ListParagraph"/>
        <w:numPr>
          <w:ilvl w:val="3"/>
          <w:numId w:val="27"/>
        </w:numPr>
        <w:tabs>
          <w:tab w:pos="1439" w:val="left" w:leader="none"/>
        </w:tabs>
        <w:spacing w:line="266" w:lineRule="auto" w:before="0" w:after="0"/>
        <w:ind w:left="1439" w:right="0" w:hanging="360"/>
        <w:jc w:val="both"/>
        <w:rPr>
          <w:sz w:val="22"/>
        </w:rPr>
      </w:pPr>
      <w:r>
        <w:rPr>
          <w:sz w:val="22"/>
        </w:rPr>
        <w:t>Conducting or participating in science </w:t>
      </w:r>
      <w:r>
        <w:rPr>
          <w:sz w:val="22"/>
        </w:rPr>
        <w:t>fairs, </w:t>
      </w:r>
      <w:r>
        <w:rPr>
          <w:spacing w:val="-2"/>
          <w:sz w:val="22"/>
        </w:rPr>
        <w:t>seminars,</w:t>
      </w:r>
      <w:r>
        <w:rPr>
          <w:spacing w:val="-10"/>
          <w:sz w:val="22"/>
        </w:rPr>
        <w:t> </w:t>
      </w:r>
      <w:r>
        <w:rPr>
          <w:spacing w:val="-2"/>
          <w:sz w:val="22"/>
        </w:rPr>
        <w:t>workshops</w:t>
      </w:r>
      <w:r>
        <w:rPr>
          <w:spacing w:val="-10"/>
          <w:sz w:val="22"/>
        </w:rPr>
        <w:t> </w:t>
      </w:r>
      <w:r>
        <w:rPr>
          <w:spacing w:val="-2"/>
          <w:sz w:val="22"/>
        </w:rPr>
        <w:t>and</w:t>
      </w:r>
      <w:r>
        <w:rPr>
          <w:spacing w:val="-10"/>
          <w:sz w:val="22"/>
        </w:rPr>
        <w:t> </w:t>
      </w:r>
      <w:r>
        <w:rPr>
          <w:spacing w:val="-2"/>
          <w:sz w:val="22"/>
        </w:rPr>
        <w:t>popularisation</w:t>
      </w:r>
      <w:r>
        <w:rPr>
          <w:spacing w:val="-10"/>
          <w:sz w:val="22"/>
        </w:rPr>
        <w:t> </w:t>
      </w:r>
      <w:r>
        <w:rPr>
          <w:spacing w:val="-2"/>
          <w:sz w:val="22"/>
        </w:rPr>
        <w:t>programs </w:t>
      </w:r>
      <w:r>
        <w:rPr>
          <w:spacing w:val="-4"/>
          <w:sz w:val="22"/>
        </w:rPr>
        <w:t>etc.</w:t>
      </w:r>
    </w:p>
    <w:p>
      <w:pPr>
        <w:pStyle w:val="ListParagraph"/>
        <w:numPr>
          <w:ilvl w:val="3"/>
          <w:numId w:val="27"/>
        </w:numPr>
        <w:tabs>
          <w:tab w:pos="1439" w:val="left" w:leader="none"/>
        </w:tabs>
        <w:spacing w:line="266" w:lineRule="auto" w:before="0" w:after="0"/>
        <w:ind w:left="1439" w:right="0" w:hanging="360"/>
        <w:jc w:val="both"/>
        <w:rPr>
          <w:sz w:val="22"/>
        </w:rPr>
      </w:pPr>
      <w:r>
        <w:rPr>
          <w:spacing w:val="-2"/>
          <w:sz w:val="22"/>
        </w:rPr>
        <w:t>Sponsoring</w:t>
      </w:r>
      <w:r>
        <w:rPr>
          <w:spacing w:val="-8"/>
          <w:sz w:val="22"/>
        </w:rPr>
        <w:t> </w:t>
      </w:r>
      <w:r>
        <w:rPr>
          <w:spacing w:val="-2"/>
          <w:sz w:val="22"/>
        </w:rPr>
        <w:t>research</w:t>
      </w:r>
      <w:r>
        <w:rPr>
          <w:spacing w:val="-8"/>
          <w:sz w:val="22"/>
        </w:rPr>
        <w:t> </w:t>
      </w:r>
      <w:r>
        <w:rPr>
          <w:spacing w:val="-2"/>
          <w:sz w:val="22"/>
        </w:rPr>
        <w:t>in</w:t>
      </w:r>
      <w:r>
        <w:rPr>
          <w:spacing w:val="-8"/>
          <w:sz w:val="22"/>
        </w:rPr>
        <w:t> </w:t>
      </w:r>
      <w:r>
        <w:rPr>
          <w:spacing w:val="-2"/>
          <w:sz w:val="22"/>
        </w:rPr>
        <w:t>universities</w:t>
      </w:r>
      <w:r>
        <w:rPr>
          <w:spacing w:val="-8"/>
          <w:sz w:val="22"/>
        </w:rPr>
        <w:t> </w:t>
      </w:r>
      <w:r>
        <w:rPr>
          <w:spacing w:val="-2"/>
          <w:sz w:val="22"/>
        </w:rPr>
        <w:t>directly.</w:t>
      </w:r>
      <w:r>
        <w:rPr>
          <w:spacing w:val="-8"/>
          <w:sz w:val="22"/>
        </w:rPr>
        <w:t> </w:t>
      </w:r>
      <w:r>
        <w:rPr>
          <w:spacing w:val="-2"/>
          <w:sz w:val="22"/>
        </w:rPr>
        <w:t>As</w:t>
      </w:r>
      <w:r>
        <w:rPr>
          <w:spacing w:val="-8"/>
          <w:sz w:val="22"/>
        </w:rPr>
        <w:t> </w:t>
      </w:r>
      <w:r>
        <w:rPr>
          <w:spacing w:val="-2"/>
          <w:sz w:val="22"/>
        </w:rPr>
        <w:t>an </w:t>
      </w:r>
      <w:r>
        <w:rPr>
          <w:spacing w:val="-4"/>
          <w:sz w:val="22"/>
        </w:rPr>
        <w:t>example,</w:t>
      </w:r>
      <w:r>
        <w:rPr>
          <w:spacing w:val="-10"/>
          <w:sz w:val="22"/>
        </w:rPr>
        <w:t> </w:t>
      </w:r>
      <w:r>
        <w:rPr>
          <w:spacing w:val="-4"/>
          <w:sz w:val="22"/>
        </w:rPr>
        <w:t>TCS</w:t>
      </w:r>
      <w:r>
        <w:rPr>
          <w:spacing w:val="-10"/>
          <w:sz w:val="22"/>
        </w:rPr>
        <w:t> </w:t>
      </w:r>
      <w:r>
        <w:rPr>
          <w:spacing w:val="-4"/>
          <w:sz w:val="22"/>
        </w:rPr>
        <w:t>sponsors</w:t>
      </w:r>
      <w:r>
        <w:rPr>
          <w:spacing w:val="-10"/>
          <w:sz w:val="22"/>
        </w:rPr>
        <w:t> </w:t>
      </w:r>
      <w:r>
        <w:rPr>
          <w:spacing w:val="-4"/>
          <w:sz w:val="22"/>
        </w:rPr>
        <w:t>research</w:t>
      </w:r>
      <w:r>
        <w:rPr>
          <w:spacing w:val="-9"/>
          <w:sz w:val="22"/>
        </w:rPr>
        <w:t> </w:t>
      </w:r>
      <w:r>
        <w:rPr>
          <w:spacing w:val="-4"/>
          <w:sz w:val="22"/>
        </w:rPr>
        <w:t>projects</w:t>
      </w:r>
      <w:r>
        <w:rPr>
          <w:spacing w:val="-10"/>
          <w:sz w:val="22"/>
        </w:rPr>
        <w:t> </w:t>
      </w:r>
      <w:r>
        <w:rPr>
          <w:spacing w:val="-4"/>
          <w:sz w:val="22"/>
        </w:rPr>
        <w:t>in</w:t>
      </w:r>
      <w:r>
        <w:rPr>
          <w:spacing w:val="-10"/>
          <w:sz w:val="22"/>
        </w:rPr>
        <w:t> </w:t>
      </w:r>
      <w:r>
        <w:rPr>
          <w:spacing w:val="-4"/>
          <w:sz w:val="22"/>
        </w:rPr>
        <w:t>various </w:t>
      </w:r>
      <w:r>
        <w:rPr>
          <w:sz w:val="22"/>
        </w:rPr>
        <w:t>colleges</w:t>
      </w:r>
      <w:r>
        <w:rPr>
          <w:spacing w:val="-4"/>
          <w:sz w:val="22"/>
        </w:rPr>
        <w:t> </w:t>
      </w:r>
      <w:r>
        <w:rPr>
          <w:sz w:val="22"/>
        </w:rPr>
        <w:t>instead</w:t>
      </w:r>
      <w:r>
        <w:rPr>
          <w:spacing w:val="-4"/>
          <w:sz w:val="22"/>
        </w:rPr>
        <w:t> </w:t>
      </w:r>
      <w:r>
        <w:rPr>
          <w:sz w:val="22"/>
        </w:rPr>
        <w:t>of</w:t>
      </w:r>
      <w:r>
        <w:rPr>
          <w:spacing w:val="-4"/>
          <w:sz w:val="22"/>
        </w:rPr>
        <w:t> </w:t>
      </w:r>
      <w:r>
        <w:rPr>
          <w:sz w:val="22"/>
        </w:rPr>
        <w:t>giving</w:t>
      </w:r>
      <w:r>
        <w:rPr>
          <w:spacing w:val="-4"/>
          <w:sz w:val="22"/>
        </w:rPr>
        <w:t> </w:t>
      </w:r>
      <w:r>
        <w:rPr>
          <w:sz w:val="22"/>
        </w:rPr>
        <w:t>one</w:t>
      </w:r>
      <w:r>
        <w:rPr>
          <w:spacing w:val="-4"/>
          <w:sz w:val="22"/>
        </w:rPr>
        <w:t> </w:t>
      </w:r>
      <w:r>
        <w:rPr>
          <w:sz w:val="22"/>
        </w:rPr>
        <w:t>time</w:t>
      </w:r>
      <w:r>
        <w:rPr>
          <w:spacing w:val="-4"/>
          <w:sz w:val="22"/>
        </w:rPr>
        <w:t> </w:t>
      </w:r>
      <w:r>
        <w:rPr>
          <w:sz w:val="22"/>
        </w:rPr>
        <w:t>infrastructure grant. This ensures more than just monetary support and leads to healthier interaction.</w:t>
      </w:r>
    </w:p>
    <w:p>
      <w:pPr>
        <w:pStyle w:val="BodyText"/>
        <w:spacing w:before="15"/>
      </w:pPr>
    </w:p>
    <w:p>
      <w:pPr>
        <w:pStyle w:val="BodyText"/>
        <w:spacing w:line="266" w:lineRule="auto" w:before="1"/>
        <w:ind w:left="1079"/>
        <w:jc w:val="both"/>
      </w:pPr>
      <w:r>
        <w:rPr/>
        <w:t>At the same time, academia should open its doors </w:t>
      </w:r>
      <w:r>
        <w:rPr/>
        <w:t>to industry.</w:t>
      </w:r>
      <w:r>
        <w:rPr>
          <w:spacing w:val="-6"/>
        </w:rPr>
        <w:t> </w:t>
      </w:r>
      <w:r>
        <w:rPr/>
        <w:t>Lateral</w:t>
      </w:r>
      <w:r>
        <w:rPr>
          <w:spacing w:val="-6"/>
        </w:rPr>
        <w:t> </w:t>
      </w:r>
      <w:r>
        <w:rPr/>
        <w:t>entry</w:t>
      </w:r>
      <w:r>
        <w:rPr>
          <w:spacing w:val="-6"/>
        </w:rPr>
        <w:t> </w:t>
      </w:r>
      <w:r>
        <w:rPr/>
        <w:t>provision</w:t>
      </w:r>
      <w:r>
        <w:rPr>
          <w:spacing w:val="-6"/>
        </w:rPr>
        <w:t> </w:t>
      </w:r>
      <w:r>
        <w:rPr/>
        <w:t>should</w:t>
      </w:r>
      <w:r>
        <w:rPr>
          <w:spacing w:val="-6"/>
        </w:rPr>
        <w:t> </w:t>
      </w:r>
      <w:r>
        <w:rPr/>
        <w:t>be</w:t>
      </w:r>
      <w:r>
        <w:rPr>
          <w:spacing w:val="-6"/>
        </w:rPr>
        <w:t> </w:t>
      </w:r>
      <w:r>
        <w:rPr/>
        <w:t>facilitated </w:t>
      </w:r>
      <w:r>
        <w:rPr>
          <w:spacing w:val="-2"/>
        </w:rPr>
        <w:t>for</w:t>
      </w:r>
      <w:r>
        <w:rPr>
          <w:spacing w:val="-7"/>
        </w:rPr>
        <w:t> </w:t>
      </w:r>
      <w:r>
        <w:rPr>
          <w:spacing w:val="-2"/>
        </w:rPr>
        <w:t>those</w:t>
      </w:r>
      <w:r>
        <w:rPr>
          <w:spacing w:val="-7"/>
        </w:rPr>
        <w:t> </w:t>
      </w:r>
      <w:r>
        <w:rPr>
          <w:spacing w:val="-2"/>
        </w:rPr>
        <w:t>interested</w:t>
      </w:r>
      <w:r>
        <w:rPr>
          <w:spacing w:val="-7"/>
        </w:rPr>
        <w:t> </w:t>
      </w:r>
      <w:r>
        <w:rPr>
          <w:spacing w:val="-2"/>
        </w:rPr>
        <w:t>in</w:t>
      </w:r>
      <w:r>
        <w:rPr>
          <w:spacing w:val="-7"/>
        </w:rPr>
        <w:t> </w:t>
      </w:r>
      <w:r>
        <w:rPr>
          <w:spacing w:val="-2"/>
        </w:rPr>
        <w:t>academics</w:t>
      </w:r>
      <w:r>
        <w:rPr>
          <w:spacing w:val="-7"/>
        </w:rPr>
        <w:t> </w:t>
      </w:r>
      <w:r>
        <w:rPr>
          <w:spacing w:val="-2"/>
        </w:rPr>
        <w:t>with</w:t>
      </w:r>
      <w:r>
        <w:rPr>
          <w:spacing w:val="-7"/>
        </w:rPr>
        <w:t> </w:t>
      </w:r>
      <w:r>
        <w:rPr>
          <w:spacing w:val="-2"/>
        </w:rPr>
        <w:t>a</w:t>
      </w:r>
      <w:r>
        <w:rPr>
          <w:spacing w:val="-7"/>
        </w:rPr>
        <w:t> </w:t>
      </w:r>
      <w:r>
        <w:rPr>
          <w:spacing w:val="-2"/>
        </w:rPr>
        <w:t>background</w:t>
      </w:r>
      <w:r>
        <w:rPr>
          <w:spacing w:val="-7"/>
        </w:rPr>
        <w:t> </w:t>
      </w:r>
      <w:r>
        <w:rPr>
          <w:spacing w:val="-2"/>
        </w:rPr>
        <w:t>in </w:t>
      </w:r>
      <w:r>
        <w:rPr/>
        <w:t>industry.</w:t>
      </w:r>
      <w:r>
        <w:rPr>
          <w:spacing w:val="-14"/>
        </w:rPr>
        <w:t> </w:t>
      </w:r>
      <w:r>
        <w:rPr/>
        <w:t>It</w:t>
      </w:r>
      <w:r>
        <w:rPr>
          <w:spacing w:val="-14"/>
        </w:rPr>
        <w:t> </w:t>
      </w:r>
      <w:r>
        <w:rPr/>
        <w:t>should</w:t>
      </w:r>
      <w:r>
        <w:rPr>
          <w:spacing w:val="-14"/>
        </w:rPr>
        <w:t> </w:t>
      </w:r>
      <w:r>
        <w:rPr/>
        <w:t>also</w:t>
      </w:r>
      <w:r>
        <w:rPr>
          <w:spacing w:val="-13"/>
        </w:rPr>
        <w:t> </w:t>
      </w:r>
      <w:r>
        <w:rPr/>
        <w:t>facilitate</w:t>
      </w:r>
      <w:r>
        <w:rPr>
          <w:spacing w:val="-14"/>
        </w:rPr>
        <w:t> </w:t>
      </w:r>
      <w:r>
        <w:rPr/>
        <w:t>continuing</w:t>
      </w:r>
      <w:r>
        <w:rPr>
          <w:spacing w:val="-14"/>
        </w:rPr>
        <w:t> </w:t>
      </w:r>
      <w:r>
        <w:rPr/>
        <w:t>education </w:t>
      </w:r>
      <w:r>
        <w:rPr>
          <w:spacing w:val="-6"/>
        </w:rPr>
        <w:t>of industry employees by designing and delivering short </w:t>
      </w:r>
      <w:r>
        <w:rPr>
          <w:spacing w:val="-8"/>
        </w:rPr>
        <w:t>courses.</w:t>
      </w:r>
      <w:r>
        <w:rPr/>
        <w:t> </w:t>
      </w:r>
      <w:r>
        <w:rPr>
          <w:spacing w:val="-8"/>
        </w:rPr>
        <w:t>Appropriate</w:t>
      </w:r>
      <w:r>
        <w:rPr/>
        <w:t> </w:t>
      </w:r>
      <w:r>
        <w:rPr>
          <w:spacing w:val="-8"/>
        </w:rPr>
        <w:t>methodologies</w:t>
      </w:r>
      <w:r>
        <w:rPr/>
        <w:t> </w:t>
      </w:r>
      <w:r>
        <w:rPr>
          <w:spacing w:val="-8"/>
        </w:rPr>
        <w:t>should</w:t>
      </w:r>
      <w:r>
        <w:rPr/>
        <w:t> </w:t>
      </w:r>
      <w:r>
        <w:rPr>
          <w:spacing w:val="-8"/>
        </w:rPr>
        <w:t>be</w:t>
      </w:r>
      <w:r>
        <w:rPr/>
        <w:t> </w:t>
      </w:r>
      <w:r>
        <w:rPr>
          <w:spacing w:val="-8"/>
        </w:rPr>
        <w:t>developed </w:t>
      </w:r>
      <w:r>
        <w:rPr/>
        <w:t>to carry out all collaborative efforts. It is essential to clarify issues such as sharing of intellectual property </w:t>
      </w:r>
      <w:r>
        <w:rPr>
          <w:spacing w:val="-2"/>
        </w:rPr>
        <w:t>rights. Industry associations must facilitate interaction </w:t>
      </w:r>
      <w:r>
        <w:rPr/>
        <w:t>and collaborations between industry and academia.</w:t>
      </w:r>
    </w:p>
    <w:p>
      <w:pPr>
        <w:pStyle w:val="BodyText"/>
        <w:spacing w:before="18"/>
      </w:pPr>
    </w:p>
    <w:p>
      <w:pPr>
        <w:pStyle w:val="BodyText"/>
        <w:spacing w:line="266" w:lineRule="auto" w:before="1"/>
        <w:ind w:left="1079"/>
        <w:jc w:val="both"/>
      </w:pPr>
      <w:r>
        <w:rPr/>
        <w:t>A</w:t>
      </w:r>
      <w:r>
        <w:rPr>
          <w:spacing w:val="-1"/>
        </w:rPr>
        <w:t> </w:t>
      </w:r>
      <w:r>
        <w:rPr/>
        <w:t>culture</w:t>
      </w:r>
      <w:r>
        <w:rPr>
          <w:spacing w:val="-1"/>
        </w:rPr>
        <w:t> </w:t>
      </w:r>
      <w:r>
        <w:rPr/>
        <w:t>of</w:t>
      </w:r>
      <w:r>
        <w:rPr>
          <w:spacing w:val="-1"/>
        </w:rPr>
        <w:t> </w:t>
      </w:r>
      <w:r>
        <w:rPr/>
        <w:t>research</w:t>
      </w:r>
      <w:r>
        <w:rPr>
          <w:spacing w:val="-1"/>
        </w:rPr>
        <w:t> </w:t>
      </w:r>
      <w:r>
        <w:rPr/>
        <w:t>in</w:t>
      </w:r>
      <w:r>
        <w:rPr>
          <w:spacing w:val="-1"/>
        </w:rPr>
        <w:t> </w:t>
      </w:r>
      <w:r>
        <w:rPr/>
        <w:t>the</w:t>
      </w:r>
      <w:r>
        <w:rPr>
          <w:spacing w:val="-1"/>
        </w:rPr>
        <w:t> </w:t>
      </w:r>
      <w:r>
        <w:rPr/>
        <w:t>private</w:t>
      </w:r>
      <w:r>
        <w:rPr>
          <w:spacing w:val="-1"/>
        </w:rPr>
        <w:t> </w:t>
      </w:r>
      <w:r>
        <w:rPr/>
        <w:t>sector</w:t>
      </w:r>
      <w:r>
        <w:rPr>
          <w:spacing w:val="-1"/>
        </w:rPr>
        <w:t> </w:t>
      </w:r>
      <w:r>
        <w:rPr/>
        <w:t>is</w:t>
      </w:r>
      <w:r>
        <w:rPr>
          <w:spacing w:val="-1"/>
        </w:rPr>
        <w:t> </w:t>
      </w:r>
      <w:r>
        <w:rPr/>
        <w:t>essential to</w:t>
      </w:r>
      <w:r>
        <w:rPr>
          <w:spacing w:val="-12"/>
        </w:rPr>
        <w:t> </w:t>
      </w:r>
      <w:r>
        <w:rPr/>
        <w:t>develop</w:t>
      </w:r>
      <w:r>
        <w:rPr>
          <w:spacing w:val="-12"/>
        </w:rPr>
        <w:t> </w:t>
      </w:r>
      <w:r>
        <w:rPr/>
        <w:t>more</w:t>
      </w:r>
      <w:r>
        <w:rPr>
          <w:spacing w:val="-12"/>
        </w:rPr>
        <w:t> </w:t>
      </w:r>
      <w:r>
        <w:rPr/>
        <w:t>prospects</w:t>
      </w:r>
      <w:r>
        <w:rPr>
          <w:spacing w:val="-12"/>
        </w:rPr>
        <w:t> </w:t>
      </w:r>
      <w:r>
        <w:rPr/>
        <w:t>for</w:t>
      </w:r>
      <w:r>
        <w:rPr>
          <w:spacing w:val="-12"/>
        </w:rPr>
        <w:t> </w:t>
      </w:r>
      <w:r>
        <w:rPr/>
        <w:t>doctorates</w:t>
      </w:r>
      <w:r>
        <w:rPr>
          <w:spacing w:val="-12"/>
        </w:rPr>
        <w:t> </w:t>
      </w:r>
      <w:r>
        <w:rPr/>
        <w:t>and</w:t>
      </w:r>
      <w:r>
        <w:rPr>
          <w:spacing w:val="-12"/>
        </w:rPr>
        <w:t> </w:t>
      </w:r>
      <w:r>
        <w:rPr/>
        <w:t>increase efficiency and diversity in the system. To encourage </w:t>
      </w:r>
      <w:r>
        <w:rPr>
          <w:spacing w:val="-4"/>
        </w:rPr>
        <w:t>Indian</w:t>
      </w:r>
      <w:r>
        <w:rPr>
          <w:spacing w:val="-9"/>
        </w:rPr>
        <w:t> </w:t>
      </w:r>
      <w:r>
        <w:rPr>
          <w:spacing w:val="-4"/>
        </w:rPr>
        <w:t>as</w:t>
      </w:r>
      <w:r>
        <w:rPr>
          <w:spacing w:val="-9"/>
        </w:rPr>
        <w:t> </w:t>
      </w:r>
      <w:r>
        <w:rPr>
          <w:spacing w:val="-4"/>
        </w:rPr>
        <w:t>well</w:t>
      </w:r>
      <w:r>
        <w:rPr>
          <w:spacing w:val="-9"/>
        </w:rPr>
        <w:t> </w:t>
      </w:r>
      <w:r>
        <w:rPr>
          <w:spacing w:val="-4"/>
        </w:rPr>
        <w:t>as</w:t>
      </w:r>
      <w:r>
        <w:rPr>
          <w:spacing w:val="-9"/>
        </w:rPr>
        <w:t> </w:t>
      </w:r>
      <w:r>
        <w:rPr>
          <w:spacing w:val="-4"/>
        </w:rPr>
        <w:t>foreign</w:t>
      </w:r>
      <w:r>
        <w:rPr>
          <w:spacing w:val="-9"/>
        </w:rPr>
        <w:t> </w:t>
      </w:r>
      <w:r>
        <w:rPr>
          <w:spacing w:val="-4"/>
        </w:rPr>
        <w:t>industries</w:t>
      </w:r>
      <w:r>
        <w:rPr>
          <w:spacing w:val="-9"/>
        </w:rPr>
        <w:t> </w:t>
      </w:r>
      <w:r>
        <w:rPr>
          <w:spacing w:val="-4"/>
        </w:rPr>
        <w:t>to</w:t>
      </w:r>
      <w:r>
        <w:rPr>
          <w:spacing w:val="-9"/>
        </w:rPr>
        <w:t> </w:t>
      </w:r>
      <w:r>
        <w:rPr>
          <w:spacing w:val="-4"/>
        </w:rPr>
        <w:t>carry</w:t>
      </w:r>
      <w:r>
        <w:rPr>
          <w:spacing w:val="-9"/>
        </w:rPr>
        <w:t> </w:t>
      </w:r>
      <w:r>
        <w:rPr>
          <w:spacing w:val="-4"/>
        </w:rPr>
        <w:t>out</w:t>
      </w:r>
      <w:r>
        <w:rPr>
          <w:spacing w:val="-9"/>
        </w:rPr>
        <w:t> </w:t>
      </w:r>
      <w:r>
        <w:rPr>
          <w:spacing w:val="-4"/>
        </w:rPr>
        <w:t>research </w:t>
      </w:r>
      <w:r>
        <w:rPr/>
        <w:t>activities in the country,</w:t>
      </w:r>
    </w:p>
    <w:p>
      <w:pPr>
        <w:pStyle w:val="ListParagraph"/>
        <w:numPr>
          <w:ilvl w:val="3"/>
          <w:numId w:val="27"/>
        </w:numPr>
        <w:tabs>
          <w:tab w:pos="1439" w:val="left" w:leader="none"/>
        </w:tabs>
        <w:spacing w:line="266" w:lineRule="auto" w:before="0" w:after="0"/>
        <w:ind w:left="1439" w:right="1" w:hanging="360"/>
        <w:jc w:val="both"/>
        <w:rPr>
          <w:sz w:val="22"/>
        </w:rPr>
      </w:pPr>
      <w:r>
        <w:rPr>
          <w:sz w:val="22"/>
        </w:rPr>
        <w:t>Industry</w:t>
      </w:r>
      <w:r>
        <w:rPr>
          <w:spacing w:val="-10"/>
          <w:sz w:val="22"/>
        </w:rPr>
        <w:t> </w:t>
      </w:r>
      <w:r>
        <w:rPr>
          <w:sz w:val="22"/>
        </w:rPr>
        <w:t>should</w:t>
      </w:r>
      <w:r>
        <w:rPr>
          <w:spacing w:val="-10"/>
          <w:sz w:val="22"/>
        </w:rPr>
        <w:t> </w:t>
      </w:r>
      <w:r>
        <w:rPr>
          <w:sz w:val="22"/>
        </w:rPr>
        <w:t>be</w:t>
      </w:r>
      <w:r>
        <w:rPr>
          <w:spacing w:val="-10"/>
          <w:sz w:val="22"/>
        </w:rPr>
        <w:t> </w:t>
      </w:r>
      <w:r>
        <w:rPr>
          <w:sz w:val="22"/>
        </w:rPr>
        <w:t>incentivised</w:t>
      </w:r>
      <w:r>
        <w:rPr>
          <w:spacing w:val="-10"/>
          <w:sz w:val="22"/>
        </w:rPr>
        <w:t> </w:t>
      </w:r>
      <w:r>
        <w:rPr>
          <w:sz w:val="22"/>
        </w:rPr>
        <w:t>to</w:t>
      </w:r>
      <w:r>
        <w:rPr>
          <w:spacing w:val="-10"/>
          <w:sz w:val="22"/>
        </w:rPr>
        <w:t> </w:t>
      </w:r>
      <w:r>
        <w:rPr>
          <w:sz w:val="22"/>
        </w:rPr>
        <w:t>use</w:t>
      </w:r>
      <w:r>
        <w:rPr>
          <w:spacing w:val="-10"/>
          <w:sz w:val="22"/>
        </w:rPr>
        <w:t> </w:t>
      </w:r>
      <w:r>
        <w:rPr>
          <w:sz w:val="22"/>
        </w:rPr>
        <w:t>indigenous </w:t>
      </w:r>
      <w:r>
        <w:rPr>
          <w:spacing w:val="-2"/>
          <w:sz w:val="22"/>
        </w:rPr>
        <w:t>technology.</w:t>
      </w:r>
    </w:p>
    <w:p>
      <w:pPr>
        <w:pStyle w:val="ListParagraph"/>
        <w:numPr>
          <w:ilvl w:val="3"/>
          <w:numId w:val="27"/>
        </w:numPr>
        <w:tabs>
          <w:tab w:pos="1439" w:val="left" w:leader="none"/>
        </w:tabs>
        <w:spacing w:line="266" w:lineRule="auto" w:before="0" w:after="0"/>
        <w:ind w:left="1439" w:right="0" w:hanging="360"/>
        <w:jc w:val="both"/>
        <w:rPr>
          <w:sz w:val="22"/>
        </w:rPr>
      </w:pPr>
      <w:r>
        <w:rPr>
          <w:sz w:val="22"/>
        </w:rPr>
        <w:t>New science and technology parks in the private sector should provide research and </w:t>
      </w:r>
      <w:r>
        <w:rPr>
          <w:sz w:val="22"/>
        </w:rPr>
        <w:t>development facilities</w:t>
      </w:r>
      <w:r>
        <w:rPr>
          <w:spacing w:val="-12"/>
          <w:sz w:val="22"/>
        </w:rPr>
        <w:t> </w:t>
      </w:r>
      <w:r>
        <w:rPr>
          <w:sz w:val="22"/>
        </w:rPr>
        <w:t>at</w:t>
      </w:r>
      <w:r>
        <w:rPr>
          <w:spacing w:val="-12"/>
          <w:sz w:val="22"/>
        </w:rPr>
        <w:t> </w:t>
      </w:r>
      <w:r>
        <w:rPr>
          <w:sz w:val="22"/>
        </w:rPr>
        <w:t>subsidised</w:t>
      </w:r>
      <w:r>
        <w:rPr>
          <w:spacing w:val="-12"/>
          <w:sz w:val="22"/>
        </w:rPr>
        <w:t> </w:t>
      </w:r>
      <w:r>
        <w:rPr>
          <w:sz w:val="22"/>
        </w:rPr>
        <w:t>rates</w:t>
      </w:r>
      <w:r>
        <w:rPr>
          <w:spacing w:val="-12"/>
          <w:sz w:val="22"/>
        </w:rPr>
        <w:t> </w:t>
      </w:r>
      <w:r>
        <w:rPr>
          <w:sz w:val="22"/>
        </w:rPr>
        <w:t>for</w:t>
      </w:r>
      <w:r>
        <w:rPr>
          <w:spacing w:val="-12"/>
          <w:sz w:val="22"/>
        </w:rPr>
        <w:t> </w:t>
      </w:r>
      <w:r>
        <w:rPr>
          <w:sz w:val="22"/>
        </w:rPr>
        <w:t>all</w:t>
      </w:r>
      <w:r>
        <w:rPr>
          <w:spacing w:val="-12"/>
          <w:sz w:val="22"/>
        </w:rPr>
        <w:t> </w:t>
      </w:r>
      <w:r>
        <w:rPr>
          <w:sz w:val="22"/>
        </w:rPr>
        <w:t>companies.</w:t>
      </w:r>
    </w:p>
    <w:p>
      <w:pPr>
        <w:pStyle w:val="ListParagraph"/>
        <w:numPr>
          <w:ilvl w:val="3"/>
          <w:numId w:val="27"/>
        </w:numPr>
        <w:tabs>
          <w:tab w:pos="1439" w:val="left" w:leader="none"/>
        </w:tabs>
        <w:spacing w:line="266" w:lineRule="auto" w:before="0" w:after="0"/>
        <w:ind w:left="1439" w:right="0" w:hanging="360"/>
        <w:jc w:val="both"/>
        <w:rPr>
          <w:sz w:val="22"/>
        </w:rPr>
      </w:pPr>
      <w:r>
        <w:rPr>
          <w:sz w:val="22"/>
        </w:rPr>
        <w:t>Knowledge hubs should be created in each </w:t>
      </w:r>
      <w:r>
        <w:rPr>
          <w:sz w:val="22"/>
        </w:rPr>
        <w:t>state, </w:t>
      </w:r>
      <w:r>
        <w:rPr>
          <w:spacing w:val="-4"/>
          <w:sz w:val="22"/>
        </w:rPr>
        <w:t>which</w:t>
      </w:r>
      <w:r>
        <w:rPr>
          <w:spacing w:val="-8"/>
          <w:sz w:val="22"/>
        </w:rPr>
        <w:t> </w:t>
      </w:r>
      <w:r>
        <w:rPr>
          <w:spacing w:val="-4"/>
          <w:sz w:val="22"/>
        </w:rPr>
        <w:t>should</w:t>
      </w:r>
      <w:r>
        <w:rPr>
          <w:spacing w:val="-8"/>
          <w:sz w:val="22"/>
        </w:rPr>
        <w:t> </w:t>
      </w:r>
      <w:r>
        <w:rPr>
          <w:spacing w:val="-4"/>
          <w:sz w:val="22"/>
        </w:rPr>
        <w:t>provide</w:t>
      </w:r>
      <w:r>
        <w:rPr>
          <w:spacing w:val="-8"/>
          <w:sz w:val="22"/>
        </w:rPr>
        <w:t> </w:t>
      </w:r>
      <w:r>
        <w:rPr>
          <w:spacing w:val="-4"/>
          <w:sz w:val="22"/>
        </w:rPr>
        <w:t>space</w:t>
      </w:r>
      <w:r>
        <w:rPr>
          <w:spacing w:val="-8"/>
          <w:sz w:val="22"/>
        </w:rPr>
        <w:t> </w:t>
      </w:r>
      <w:r>
        <w:rPr>
          <w:spacing w:val="-4"/>
          <w:sz w:val="22"/>
        </w:rPr>
        <w:t>and</w:t>
      </w:r>
      <w:r>
        <w:rPr>
          <w:spacing w:val="-8"/>
          <w:sz w:val="22"/>
        </w:rPr>
        <w:t> </w:t>
      </w:r>
      <w:r>
        <w:rPr>
          <w:spacing w:val="-4"/>
          <w:sz w:val="22"/>
        </w:rPr>
        <w:t>other</w:t>
      </w:r>
      <w:r>
        <w:rPr>
          <w:spacing w:val="-8"/>
          <w:sz w:val="22"/>
        </w:rPr>
        <w:t> </w:t>
      </w:r>
      <w:r>
        <w:rPr>
          <w:spacing w:val="-4"/>
          <w:sz w:val="22"/>
        </w:rPr>
        <w:t>facilities</w:t>
      </w:r>
      <w:r>
        <w:rPr>
          <w:spacing w:val="-8"/>
          <w:sz w:val="22"/>
        </w:rPr>
        <w:t> </w:t>
      </w:r>
      <w:r>
        <w:rPr>
          <w:spacing w:val="-4"/>
          <w:sz w:val="22"/>
        </w:rPr>
        <w:t>like </w:t>
      </w:r>
      <w:r>
        <w:rPr>
          <w:sz w:val="22"/>
        </w:rPr>
        <w:t>patent cell, entrepreneurship cell. Multinational companies which aim at creating large research </w:t>
      </w:r>
      <w:r>
        <w:rPr>
          <w:spacing w:val="-2"/>
          <w:sz w:val="22"/>
        </w:rPr>
        <w:t>centres</w:t>
      </w:r>
      <w:r>
        <w:rPr>
          <w:spacing w:val="-11"/>
          <w:sz w:val="22"/>
        </w:rPr>
        <w:t> </w:t>
      </w:r>
      <w:r>
        <w:rPr>
          <w:spacing w:val="-2"/>
          <w:sz w:val="22"/>
        </w:rPr>
        <w:t>in</w:t>
      </w:r>
      <w:r>
        <w:rPr>
          <w:spacing w:val="-11"/>
          <w:sz w:val="22"/>
        </w:rPr>
        <w:t> </w:t>
      </w:r>
      <w:r>
        <w:rPr>
          <w:spacing w:val="-2"/>
          <w:sz w:val="22"/>
        </w:rPr>
        <w:t>India</w:t>
      </w:r>
      <w:r>
        <w:rPr>
          <w:spacing w:val="-11"/>
          <w:sz w:val="22"/>
        </w:rPr>
        <w:t> </w:t>
      </w:r>
      <w:r>
        <w:rPr>
          <w:spacing w:val="-2"/>
          <w:sz w:val="22"/>
        </w:rPr>
        <w:t>can</w:t>
      </w:r>
      <w:r>
        <w:rPr>
          <w:spacing w:val="-11"/>
          <w:sz w:val="22"/>
        </w:rPr>
        <w:t> </w:t>
      </w:r>
      <w:r>
        <w:rPr>
          <w:spacing w:val="-2"/>
          <w:sz w:val="22"/>
        </w:rPr>
        <w:t>pilot</w:t>
      </w:r>
      <w:r>
        <w:rPr>
          <w:spacing w:val="-11"/>
          <w:sz w:val="22"/>
        </w:rPr>
        <w:t> </w:t>
      </w:r>
      <w:r>
        <w:rPr>
          <w:spacing w:val="-2"/>
          <w:sz w:val="22"/>
        </w:rPr>
        <w:t>launch</w:t>
      </w:r>
      <w:r>
        <w:rPr>
          <w:spacing w:val="-11"/>
          <w:sz w:val="22"/>
        </w:rPr>
        <w:t> </w:t>
      </w:r>
      <w:r>
        <w:rPr>
          <w:spacing w:val="-2"/>
          <w:sz w:val="22"/>
        </w:rPr>
        <w:t>their</w:t>
      </w:r>
      <w:r>
        <w:rPr>
          <w:spacing w:val="-11"/>
          <w:sz w:val="22"/>
        </w:rPr>
        <w:t> </w:t>
      </w:r>
      <w:r>
        <w:rPr>
          <w:spacing w:val="-2"/>
          <w:sz w:val="22"/>
        </w:rPr>
        <w:t>operations</w:t>
      </w:r>
      <w:r>
        <w:rPr>
          <w:spacing w:val="-11"/>
          <w:sz w:val="22"/>
        </w:rPr>
        <w:t> </w:t>
      </w:r>
      <w:r>
        <w:rPr>
          <w:spacing w:val="-2"/>
          <w:sz w:val="22"/>
        </w:rPr>
        <w:t>in </w:t>
      </w:r>
      <w:r>
        <w:rPr>
          <w:spacing w:val="-6"/>
          <w:sz w:val="22"/>
        </w:rPr>
        <w:t>the knowledge hubs. Knowledge hubs will facilitate </w:t>
      </w:r>
      <w:r>
        <w:rPr>
          <w:sz w:val="22"/>
        </w:rPr>
        <w:t>market</w:t>
      </w:r>
      <w:r>
        <w:rPr>
          <w:spacing w:val="-14"/>
          <w:sz w:val="22"/>
        </w:rPr>
        <w:t> </w:t>
      </w:r>
      <w:r>
        <w:rPr>
          <w:sz w:val="22"/>
        </w:rPr>
        <w:t>driven</w:t>
      </w:r>
      <w:r>
        <w:rPr>
          <w:spacing w:val="-14"/>
          <w:sz w:val="22"/>
        </w:rPr>
        <w:t> </w:t>
      </w:r>
      <w:r>
        <w:rPr>
          <w:sz w:val="22"/>
        </w:rPr>
        <w:t>research</w:t>
      </w:r>
      <w:r>
        <w:rPr>
          <w:spacing w:val="-13"/>
          <w:sz w:val="22"/>
        </w:rPr>
        <w:t> </w:t>
      </w:r>
      <w:r>
        <w:rPr>
          <w:sz w:val="22"/>
        </w:rPr>
        <w:t>and</w:t>
      </w:r>
      <w:r>
        <w:rPr>
          <w:spacing w:val="-14"/>
          <w:sz w:val="22"/>
        </w:rPr>
        <w:t> </w:t>
      </w:r>
      <w:r>
        <w:rPr>
          <w:sz w:val="22"/>
        </w:rPr>
        <w:t>product</w:t>
      </w:r>
      <w:r>
        <w:rPr>
          <w:spacing w:val="-14"/>
          <w:sz w:val="22"/>
        </w:rPr>
        <w:t> </w:t>
      </w:r>
      <w:r>
        <w:rPr>
          <w:sz w:val="22"/>
        </w:rPr>
        <w:t>development.</w:t>
      </w:r>
    </w:p>
    <w:p>
      <w:pPr>
        <w:pStyle w:val="Heading6"/>
        <w:spacing w:line="182" w:lineRule="auto" w:before="244"/>
        <w:ind w:left="2101" w:hanging="1022"/>
      </w:pPr>
      <w:r>
        <w:rPr>
          <w:color w:val="2E614A"/>
          <w:spacing w:val="-10"/>
        </w:rPr>
        <w:t>Part D: Fostering a global outlook </w:t>
      </w:r>
      <w:r>
        <w:rPr>
          <w:color w:val="2E614A"/>
          <w:spacing w:val="-10"/>
        </w:rPr>
        <w:t>in </w:t>
      </w:r>
      <w:r>
        <w:rPr>
          <w:color w:val="2E614A"/>
          <w:spacing w:val="-2"/>
        </w:rPr>
        <w:t>research</w:t>
      </w:r>
    </w:p>
    <w:p>
      <w:pPr>
        <w:pStyle w:val="BodyText"/>
        <w:spacing w:line="266" w:lineRule="auto" w:before="302"/>
        <w:ind w:left="1079"/>
        <w:jc w:val="both"/>
      </w:pPr>
      <w:r>
        <w:rPr/>
        <w:t>Research</w:t>
      </w:r>
      <w:r>
        <w:rPr>
          <w:spacing w:val="-16"/>
        </w:rPr>
        <w:t> </w:t>
      </w:r>
      <w:r>
        <w:rPr/>
        <w:t>as</w:t>
      </w:r>
      <w:r>
        <w:rPr>
          <w:spacing w:val="-14"/>
        </w:rPr>
        <w:t> </w:t>
      </w:r>
      <w:r>
        <w:rPr/>
        <w:t>an</w:t>
      </w:r>
      <w:r>
        <w:rPr>
          <w:spacing w:val="-14"/>
        </w:rPr>
        <w:t> </w:t>
      </w:r>
      <w:r>
        <w:rPr/>
        <w:t>activity</w:t>
      </w:r>
      <w:r>
        <w:rPr>
          <w:spacing w:val="-13"/>
        </w:rPr>
        <w:t> </w:t>
      </w:r>
      <w:r>
        <w:rPr/>
        <w:t>requires</w:t>
      </w:r>
      <w:r>
        <w:rPr>
          <w:spacing w:val="-14"/>
        </w:rPr>
        <w:t> </w:t>
      </w:r>
      <w:r>
        <w:rPr/>
        <w:t>exchange</w:t>
      </w:r>
      <w:r>
        <w:rPr>
          <w:spacing w:val="-14"/>
        </w:rPr>
        <w:t> </w:t>
      </w:r>
      <w:r>
        <w:rPr/>
        <w:t>of</w:t>
      </w:r>
      <w:r>
        <w:rPr>
          <w:spacing w:val="-14"/>
        </w:rPr>
        <w:t> </w:t>
      </w:r>
      <w:r>
        <w:rPr/>
        <w:t>ideas</w:t>
      </w:r>
      <w:r>
        <w:rPr>
          <w:spacing w:val="-13"/>
        </w:rPr>
        <w:t> </w:t>
      </w:r>
      <w:r>
        <w:rPr/>
        <w:t>and sharing of knowledge at a broader level. In today’s </w:t>
      </w:r>
      <w:r>
        <w:rPr>
          <w:spacing w:val="-2"/>
        </w:rPr>
        <w:t>globalising</w:t>
      </w:r>
      <w:r>
        <w:rPr>
          <w:spacing w:val="-1"/>
        </w:rPr>
        <w:t> </w:t>
      </w:r>
      <w:r>
        <w:rPr>
          <w:spacing w:val="-2"/>
        </w:rPr>
        <w:t>world,</w:t>
      </w:r>
      <w:r>
        <w:rPr/>
        <w:t> </w:t>
      </w:r>
      <w:r>
        <w:rPr>
          <w:spacing w:val="-2"/>
        </w:rPr>
        <w:t>there</w:t>
      </w:r>
      <w:r>
        <w:rPr/>
        <w:t> </w:t>
      </w:r>
      <w:r>
        <w:rPr>
          <w:spacing w:val="-2"/>
        </w:rPr>
        <w:t>is</w:t>
      </w:r>
      <w:r>
        <w:rPr/>
        <w:t> </w:t>
      </w:r>
      <w:r>
        <w:rPr>
          <w:spacing w:val="-2"/>
        </w:rPr>
        <w:t>a</w:t>
      </w:r>
      <w:r>
        <w:rPr/>
        <w:t> </w:t>
      </w:r>
      <w:r>
        <w:rPr>
          <w:spacing w:val="-2"/>
        </w:rPr>
        <w:t>pressing</w:t>
      </w:r>
      <w:r>
        <w:rPr/>
        <w:t> </w:t>
      </w:r>
      <w:r>
        <w:rPr>
          <w:spacing w:val="-2"/>
        </w:rPr>
        <w:t>need</w:t>
      </w:r>
      <w:r>
        <w:rPr/>
        <w:t> </w:t>
      </w:r>
      <w:r>
        <w:rPr>
          <w:spacing w:val="-2"/>
        </w:rPr>
        <w:t>for</w:t>
      </w:r>
      <w:r>
        <w:rPr/>
        <w:t> </w:t>
      </w:r>
      <w:r>
        <w:rPr>
          <w:spacing w:val="-2"/>
        </w:rPr>
        <w:t>India</w:t>
      </w:r>
      <w:r>
        <w:rPr/>
        <w:t> </w:t>
      </w:r>
      <w:r>
        <w:rPr>
          <w:spacing w:val="-5"/>
        </w:rPr>
        <w:t>to</w:t>
      </w:r>
    </w:p>
    <w:p>
      <w:pPr>
        <w:pStyle w:val="BodyText"/>
        <w:spacing w:line="266" w:lineRule="auto" w:before="97"/>
        <w:ind w:left="319" w:right="1078"/>
      </w:pPr>
      <w:r>
        <w:rPr/>
        <w:br w:type="column"/>
      </w:r>
      <w:r>
        <w:rPr/>
        <w:t>provide</w:t>
      </w:r>
      <w:r>
        <w:rPr>
          <w:spacing w:val="-11"/>
        </w:rPr>
        <w:t> </w:t>
      </w:r>
      <w:r>
        <w:rPr/>
        <w:t>its</w:t>
      </w:r>
      <w:r>
        <w:rPr>
          <w:spacing w:val="-11"/>
        </w:rPr>
        <w:t> </w:t>
      </w:r>
      <w:r>
        <w:rPr/>
        <w:t>students</w:t>
      </w:r>
      <w:r>
        <w:rPr>
          <w:spacing w:val="-11"/>
        </w:rPr>
        <w:t> </w:t>
      </w:r>
      <w:r>
        <w:rPr/>
        <w:t>and</w:t>
      </w:r>
      <w:r>
        <w:rPr>
          <w:spacing w:val="-11"/>
        </w:rPr>
        <w:t> </w:t>
      </w:r>
      <w:r>
        <w:rPr/>
        <w:t>faculty</w:t>
      </w:r>
      <w:r>
        <w:rPr>
          <w:spacing w:val="-11"/>
        </w:rPr>
        <w:t> </w:t>
      </w:r>
      <w:r>
        <w:rPr/>
        <w:t>with</w:t>
      </w:r>
      <w:r>
        <w:rPr>
          <w:spacing w:val="-11"/>
        </w:rPr>
        <w:t> </w:t>
      </w:r>
      <w:r>
        <w:rPr/>
        <w:t>international</w:t>
      </w:r>
      <w:r>
        <w:rPr>
          <w:spacing w:val="-11"/>
        </w:rPr>
        <w:t> </w:t>
      </w:r>
      <w:r>
        <w:rPr/>
        <w:t>and multi-cultural exposure.</w:t>
      </w:r>
    </w:p>
    <w:p>
      <w:pPr>
        <w:pStyle w:val="BodyText"/>
        <w:spacing w:before="3"/>
      </w:pPr>
    </w:p>
    <w:p>
      <w:pPr>
        <w:pStyle w:val="Heading7"/>
        <w:spacing w:line="225" w:lineRule="auto"/>
        <w:ind w:right="1811"/>
      </w:pPr>
      <w:r>
        <w:rPr>
          <w:color w:val="2E614A"/>
        </w:rPr>
        <w:t>Recommendation</w:t>
      </w:r>
      <w:r>
        <w:rPr>
          <w:color w:val="2E614A"/>
          <w:spacing w:val="-17"/>
        </w:rPr>
        <w:t> </w:t>
      </w:r>
      <w:r>
        <w:rPr>
          <w:color w:val="2E614A"/>
        </w:rPr>
        <w:t>14:</w:t>
      </w:r>
      <w:r>
        <w:rPr>
          <w:color w:val="2E614A"/>
          <w:spacing w:val="-16"/>
        </w:rPr>
        <w:t> </w:t>
      </w:r>
      <w:r>
        <w:rPr>
          <w:color w:val="2E614A"/>
        </w:rPr>
        <w:t>Attract</w:t>
      </w:r>
      <w:r>
        <w:rPr>
          <w:color w:val="2E614A"/>
          <w:spacing w:val="-16"/>
        </w:rPr>
        <w:t> </w:t>
      </w:r>
      <w:r>
        <w:rPr>
          <w:color w:val="2E614A"/>
        </w:rPr>
        <w:t>NRI/ </w:t>
      </w:r>
      <w:r>
        <w:rPr>
          <w:color w:val="2E614A"/>
          <w:w w:val="90"/>
        </w:rPr>
        <w:t>PIO Scientists by providing </w:t>
      </w:r>
      <w:r>
        <w:rPr>
          <w:color w:val="2E614A"/>
          <w:w w:val="90"/>
        </w:rPr>
        <w:t>attractive </w:t>
      </w:r>
      <w:r>
        <w:rPr>
          <w:color w:val="2E614A"/>
        </w:rPr>
        <w:t>opportunities</w:t>
      </w:r>
      <w:r>
        <w:rPr>
          <w:color w:val="2E614A"/>
          <w:spacing w:val="-10"/>
        </w:rPr>
        <w:t> </w:t>
      </w:r>
      <w:r>
        <w:rPr>
          <w:color w:val="2E614A"/>
        </w:rPr>
        <w:t>in</w:t>
      </w:r>
      <w:r>
        <w:rPr>
          <w:color w:val="2E614A"/>
          <w:spacing w:val="-10"/>
        </w:rPr>
        <w:t> </w:t>
      </w:r>
      <w:r>
        <w:rPr>
          <w:color w:val="2E614A"/>
        </w:rPr>
        <w:t>the</w:t>
      </w:r>
      <w:r>
        <w:rPr>
          <w:color w:val="2E614A"/>
          <w:spacing w:val="-10"/>
        </w:rPr>
        <w:t> </w:t>
      </w:r>
      <w:r>
        <w:rPr>
          <w:color w:val="2E614A"/>
        </w:rPr>
        <w:t>country</w:t>
      </w:r>
    </w:p>
    <w:p>
      <w:pPr>
        <w:pStyle w:val="BodyText"/>
        <w:rPr>
          <w:b/>
          <w:sz w:val="26"/>
        </w:rPr>
      </w:pPr>
    </w:p>
    <w:p>
      <w:pPr>
        <w:pStyle w:val="BodyText"/>
        <w:spacing w:line="266" w:lineRule="auto" w:before="1"/>
        <w:ind w:left="319" w:right="1077"/>
        <w:jc w:val="both"/>
      </w:pPr>
      <w:r>
        <w:rPr>
          <w:b/>
        </w:rPr>
        <w:t>Issues: </w:t>
      </w:r>
      <w:r>
        <w:rPr/>
        <w:t>Researchers often leave India for a </w:t>
      </w:r>
      <w:r>
        <w:rPr/>
        <w:t>better </w:t>
      </w:r>
      <w:r>
        <w:rPr>
          <w:spacing w:val="-6"/>
        </w:rPr>
        <w:t>environment that offers variety of choices, opportunities </w:t>
      </w:r>
      <w:r>
        <w:rPr>
          <w:w w:val="90"/>
        </w:rPr>
        <w:t>and intellectual freedom. Such researchers find it difficult </w:t>
      </w:r>
      <w:r>
        <w:rPr>
          <w:spacing w:val="-6"/>
        </w:rPr>
        <w:t>to return back because of the absence of an enabling and </w:t>
      </w:r>
      <w:r>
        <w:rPr/>
        <w:t>nurturing system in the country.</w:t>
      </w:r>
    </w:p>
    <w:p>
      <w:pPr>
        <w:pStyle w:val="BodyText"/>
        <w:spacing w:before="22"/>
      </w:pPr>
    </w:p>
    <w:p>
      <w:pPr>
        <w:spacing w:line="266" w:lineRule="auto" w:before="0"/>
        <w:ind w:left="319" w:right="1077" w:firstLine="0"/>
        <w:jc w:val="both"/>
        <w:rPr>
          <w:sz w:val="22"/>
        </w:rPr>
      </w:pPr>
      <w:r>
        <w:rPr>
          <w:b/>
          <w:spacing w:val="-6"/>
          <w:sz w:val="22"/>
        </w:rPr>
        <w:t>Provide flexibility in the system:</w:t>
      </w:r>
      <w:r>
        <w:rPr>
          <w:b/>
          <w:spacing w:val="-7"/>
          <w:sz w:val="22"/>
        </w:rPr>
        <w:t> </w:t>
      </w:r>
      <w:r>
        <w:rPr>
          <w:spacing w:val="-6"/>
          <w:sz w:val="22"/>
        </w:rPr>
        <w:t>Currently,</w:t>
      </w:r>
      <w:r>
        <w:rPr>
          <w:spacing w:val="-7"/>
          <w:sz w:val="22"/>
        </w:rPr>
        <w:t> </w:t>
      </w:r>
      <w:r>
        <w:rPr>
          <w:spacing w:val="-6"/>
          <w:sz w:val="22"/>
        </w:rPr>
        <w:t>the</w:t>
      </w:r>
      <w:r>
        <w:rPr>
          <w:spacing w:val="-7"/>
          <w:sz w:val="22"/>
        </w:rPr>
        <w:t> </w:t>
      </w:r>
      <w:r>
        <w:rPr>
          <w:spacing w:val="-6"/>
          <w:sz w:val="22"/>
        </w:rPr>
        <w:t>rigidity </w:t>
      </w:r>
      <w:r>
        <w:rPr>
          <w:sz w:val="22"/>
        </w:rPr>
        <w:t>of entry in the university system repels the scientists who might otherwise consider coming back to India.</w:t>
      </w:r>
    </w:p>
    <w:p>
      <w:pPr>
        <w:pStyle w:val="ListParagraph"/>
        <w:numPr>
          <w:ilvl w:val="2"/>
          <w:numId w:val="27"/>
        </w:numPr>
        <w:tabs>
          <w:tab w:pos="679" w:val="left" w:leader="none"/>
        </w:tabs>
        <w:spacing w:line="266" w:lineRule="auto" w:before="0" w:after="0"/>
        <w:ind w:left="679" w:right="1077" w:hanging="360"/>
        <w:jc w:val="both"/>
        <w:rPr>
          <w:sz w:val="22"/>
        </w:rPr>
      </w:pPr>
      <w:r>
        <w:rPr>
          <w:w w:val="90"/>
          <w:sz w:val="22"/>
        </w:rPr>
        <w:t>The</w:t>
      </w:r>
      <w:r>
        <w:rPr>
          <w:spacing w:val="-11"/>
          <w:w w:val="90"/>
          <w:sz w:val="22"/>
        </w:rPr>
        <w:t> </w:t>
      </w:r>
      <w:r>
        <w:rPr>
          <w:w w:val="90"/>
          <w:sz w:val="22"/>
        </w:rPr>
        <w:t>system</w:t>
      </w:r>
      <w:r>
        <w:rPr>
          <w:spacing w:val="-8"/>
          <w:w w:val="90"/>
          <w:sz w:val="22"/>
        </w:rPr>
        <w:t> </w:t>
      </w:r>
      <w:r>
        <w:rPr>
          <w:w w:val="90"/>
          <w:sz w:val="22"/>
        </w:rPr>
        <w:t>should</w:t>
      </w:r>
      <w:r>
        <w:rPr>
          <w:spacing w:val="-8"/>
          <w:w w:val="90"/>
          <w:sz w:val="22"/>
        </w:rPr>
        <w:t> </w:t>
      </w:r>
      <w:r>
        <w:rPr>
          <w:w w:val="90"/>
          <w:sz w:val="22"/>
        </w:rPr>
        <w:t>be</w:t>
      </w:r>
      <w:r>
        <w:rPr>
          <w:spacing w:val="-8"/>
          <w:w w:val="90"/>
          <w:sz w:val="22"/>
        </w:rPr>
        <w:t> </w:t>
      </w:r>
      <w:r>
        <w:rPr>
          <w:w w:val="90"/>
          <w:sz w:val="22"/>
        </w:rPr>
        <w:t>made</w:t>
      </w:r>
      <w:r>
        <w:rPr>
          <w:spacing w:val="-9"/>
          <w:w w:val="90"/>
          <w:sz w:val="22"/>
        </w:rPr>
        <w:t> </w:t>
      </w:r>
      <w:r>
        <w:rPr>
          <w:w w:val="90"/>
          <w:sz w:val="22"/>
        </w:rPr>
        <w:t>more</w:t>
      </w:r>
      <w:r>
        <w:rPr>
          <w:spacing w:val="-8"/>
          <w:w w:val="90"/>
          <w:sz w:val="22"/>
        </w:rPr>
        <w:t> </w:t>
      </w:r>
      <w:r>
        <w:rPr>
          <w:w w:val="90"/>
          <w:sz w:val="22"/>
        </w:rPr>
        <w:t>flexible</w:t>
      </w:r>
      <w:r>
        <w:rPr>
          <w:spacing w:val="-8"/>
          <w:w w:val="90"/>
          <w:sz w:val="22"/>
        </w:rPr>
        <w:t> </w:t>
      </w:r>
      <w:r>
        <w:rPr>
          <w:w w:val="90"/>
          <w:sz w:val="22"/>
        </w:rPr>
        <w:t>to</w:t>
      </w:r>
      <w:r>
        <w:rPr>
          <w:spacing w:val="-8"/>
          <w:w w:val="90"/>
          <w:sz w:val="22"/>
        </w:rPr>
        <w:t> </w:t>
      </w:r>
      <w:r>
        <w:rPr>
          <w:w w:val="90"/>
          <w:sz w:val="22"/>
        </w:rPr>
        <w:t>encourage </w:t>
      </w:r>
      <w:r>
        <w:rPr>
          <w:sz w:val="22"/>
        </w:rPr>
        <w:t>talent at all levels. Respect for talent rather than </w:t>
      </w:r>
      <w:r>
        <w:rPr>
          <w:spacing w:val="-8"/>
          <w:sz w:val="22"/>
        </w:rPr>
        <w:t>“seniority”</w:t>
      </w:r>
      <w:r>
        <w:rPr>
          <w:spacing w:val="-2"/>
          <w:sz w:val="22"/>
        </w:rPr>
        <w:t> </w:t>
      </w:r>
      <w:r>
        <w:rPr>
          <w:spacing w:val="-8"/>
          <w:sz w:val="22"/>
        </w:rPr>
        <w:t>should</w:t>
      </w:r>
      <w:r>
        <w:rPr>
          <w:sz w:val="22"/>
        </w:rPr>
        <w:t> </w:t>
      </w:r>
      <w:r>
        <w:rPr>
          <w:spacing w:val="-8"/>
          <w:sz w:val="22"/>
        </w:rPr>
        <w:t>be</w:t>
      </w:r>
      <w:r>
        <w:rPr>
          <w:sz w:val="22"/>
        </w:rPr>
        <w:t> </w:t>
      </w:r>
      <w:r>
        <w:rPr>
          <w:spacing w:val="-8"/>
          <w:sz w:val="22"/>
        </w:rPr>
        <w:t>built</w:t>
      </w:r>
      <w:r>
        <w:rPr>
          <w:sz w:val="22"/>
        </w:rPr>
        <w:t> </w:t>
      </w:r>
      <w:r>
        <w:rPr>
          <w:spacing w:val="-8"/>
          <w:sz w:val="22"/>
        </w:rPr>
        <w:t>into</w:t>
      </w:r>
      <w:r>
        <w:rPr>
          <w:sz w:val="22"/>
        </w:rPr>
        <w:t> </w:t>
      </w:r>
      <w:r>
        <w:rPr>
          <w:spacing w:val="-8"/>
          <w:sz w:val="22"/>
        </w:rPr>
        <w:t>the</w:t>
      </w:r>
      <w:r>
        <w:rPr>
          <w:sz w:val="22"/>
        </w:rPr>
        <w:t> </w:t>
      </w:r>
      <w:r>
        <w:rPr>
          <w:spacing w:val="-8"/>
          <w:sz w:val="22"/>
        </w:rPr>
        <w:t>system.</w:t>
      </w:r>
      <w:r>
        <w:rPr>
          <w:spacing w:val="-6"/>
          <w:sz w:val="22"/>
        </w:rPr>
        <w:t> </w:t>
      </w:r>
      <w:r>
        <w:rPr>
          <w:spacing w:val="-8"/>
          <w:sz w:val="22"/>
        </w:rPr>
        <w:t>To</w:t>
      </w:r>
      <w:r>
        <w:rPr>
          <w:sz w:val="22"/>
        </w:rPr>
        <w:t> </w:t>
      </w:r>
      <w:r>
        <w:rPr>
          <w:spacing w:val="-8"/>
          <w:sz w:val="22"/>
        </w:rPr>
        <w:t>attract </w:t>
      </w:r>
      <w:r>
        <w:rPr>
          <w:spacing w:val="-2"/>
          <w:sz w:val="22"/>
        </w:rPr>
        <w:t>the</w:t>
      </w:r>
      <w:r>
        <w:rPr>
          <w:spacing w:val="-12"/>
          <w:sz w:val="22"/>
        </w:rPr>
        <w:t> </w:t>
      </w:r>
      <w:r>
        <w:rPr>
          <w:spacing w:val="-2"/>
          <w:sz w:val="22"/>
        </w:rPr>
        <w:t>best</w:t>
      </w:r>
      <w:r>
        <w:rPr>
          <w:spacing w:val="-12"/>
          <w:sz w:val="22"/>
        </w:rPr>
        <w:t> </w:t>
      </w:r>
      <w:r>
        <w:rPr>
          <w:spacing w:val="-2"/>
          <w:sz w:val="22"/>
        </w:rPr>
        <w:t>people,</w:t>
      </w:r>
      <w:r>
        <w:rPr>
          <w:spacing w:val="-12"/>
          <w:sz w:val="22"/>
        </w:rPr>
        <w:t> </w:t>
      </w:r>
      <w:r>
        <w:rPr>
          <w:spacing w:val="-2"/>
          <w:sz w:val="22"/>
        </w:rPr>
        <w:t>it</w:t>
      </w:r>
      <w:r>
        <w:rPr>
          <w:spacing w:val="-11"/>
          <w:sz w:val="22"/>
        </w:rPr>
        <w:t> </w:t>
      </w:r>
      <w:r>
        <w:rPr>
          <w:spacing w:val="-2"/>
          <w:sz w:val="22"/>
        </w:rPr>
        <w:t>becomes</w:t>
      </w:r>
      <w:r>
        <w:rPr>
          <w:spacing w:val="-12"/>
          <w:sz w:val="22"/>
        </w:rPr>
        <w:t> </w:t>
      </w:r>
      <w:r>
        <w:rPr>
          <w:spacing w:val="-2"/>
          <w:sz w:val="22"/>
        </w:rPr>
        <w:t>important</w:t>
      </w:r>
      <w:r>
        <w:rPr>
          <w:spacing w:val="-12"/>
          <w:sz w:val="22"/>
        </w:rPr>
        <w:t> </w:t>
      </w:r>
      <w:r>
        <w:rPr>
          <w:spacing w:val="-2"/>
          <w:sz w:val="22"/>
        </w:rPr>
        <w:t>to</w:t>
      </w:r>
      <w:r>
        <w:rPr>
          <w:spacing w:val="-12"/>
          <w:sz w:val="22"/>
        </w:rPr>
        <w:t> </w:t>
      </w:r>
      <w:r>
        <w:rPr>
          <w:spacing w:val="-2"/>
          <w:sz w:val="22"/>
        </w:rPr>
        <w:t>offer</w:t>
      </w:r>
      <w:r>
        <w:rPr>
          <w:spacing w:val="-11"/>
          <w:sz w:val="22"/>
        </w:rPr>
        <w:t> </w:t>
      </w:r>
      <w:r>
        <w:rPr>
          <w:spacing w:val="-2"/>
          <w:sz w:val="22"/>
        </w:rPr>
        <w:t>them </w:t>
      </w:r>
      <w:r>
        <w:rPr>
          <w:spacing w:val="-8"/>
          <w:sz w:val="22"/>
        </w:rPr>
        <w:t>positions</w:t>
      </w:r>
      <w:r>
        <w:rPr>
          <w:spacing w:val="-4"/>
          <w:sz w:val="22"/>
        </w:rPr>
        <w:t> </w:t>
      </w:r>
      <w:r>
        <w:rPr>
          <w:spacing w:val="-8"/>
          <w:sz w:val="22"/>
        </w:rPr>
        <w:t>that</w:t>
      </w:r>
      <w:r>
        <w:rPr>
          <w:spacing w:val="-4"/>
          <w:sz w:val="22"/>
        </w:rPr>
        <w:t> </w:t>
      </w:r>
      <w:r>
        <w:rPr>
          <w:spacing w:val="-8"/>
          <w:sz w:val="22"/>
        </w:rPr>
        <w:t>are</w:t>
      </w:r>
      <w:r>
        <w:rPr>
          <w:spacing w:val="-4"/>
          <w:sz w:val="22"/>
        </w:rPr>
        <w:t> </w:t>
      </w:r>
      <w:r>
        <w:rPr>
          <w:spacing w:val="-8"/>
          <w:sz w:val="22"/>
        </w:rPr>
        <w:t>professionally</w:t>
      </w:r>
      <w:r>
        <w:rPr>
          <w:spacing w:val="-4"/>
          <w:sz w:val="22"/>
        </w:rPr>
        <w:t> </w:t>
      </w:r>
      <w:r>
        <w:rPr>
          <w:spacing w:val="-8"/>
          <w:sz w:val="22"/>
        </w:rPr>
        <w:t>better</w:t>
      </w:r>
      <w:r>
        <w:rPr>
          <w:spacing w:val="-4"/>
          <w:sz w:val="22"/>
        </w:rPr>
        <w:t> </w:t>
      </w:r>
      <w:r>
        <w:rPr>
          <w:spacing w:val="-8"/>
          <w:sz w:val="22"/>
        </w:rPr>
        <w:t>than</w:t>
      </w:r>
      <w:r>
        <w:rPr>
          <w:spacing w:val="-4"/>
          <w:sz w:val="22"/>
        </w:rPr>
        <w:t> </w:t>
      </w:r>
      <w:r>
        <w:rPr>
          <w:spacing w:val="-8"/>
          <w:sz w:val="22"/>
        </w:rPr>
        <w:t>what</w:t>
      </w:r>
      <w:r>
        <w:rPr>
          <w:spacing w:val="-4"/>
          <w:sz w:val="22"/>
        </w:rPr>
        <w:t> </w:t>
      </w:r>
      <w:r>
        <w:rPr>
          <w:spacing w:val="-8"/>
          <w:sz w:val="22"/>
        </w:rPr>
        <w:t>they </w:t>
      </w:r>
      <w:r>
        <w:rPr>
          <w:spacing w:val="-4"/>
          <w:sz w:val="22"/>
        </w:rPr>
        <w:t>currently</w:t>
      </w:r>
      <w:r>
        <w:rPr>
          <w:spacing w:val="-7"/>
          <w:sz w:val="22"/>
        </w:rPr>
        <w:t> </w:t>
      </w:r>
      <w:r>
        <w:rPr>
          <w:spacing w:val="-4"/>
          <w:sz w:val="22"/>
        </w:rPr>
        <w:t>have</w:t>
      </w:r>
      <w:r>
        <w:rPr>
          <w:spacing w:val="-7"/>
          <w:sz w:val="22"/>
        </w:rPr>
        <w:t> </w:t>
      </w:r>
      <w:r>
        <w:rPr>
          <w:spacing w:val="-4"/>
          <w:sz w:val="22"/>
        </w:rPr>
        <w:t>in</w:t>
      </w:r>
      <w:r>
        <w:rPr>
          <w:spacing w:val="-7"/>
          <w:sz w:val="22"/>
        </w:rPr>
        <w:t> </w:t>
      </w:r>
      <w:r>
        <w:rPr>
          <w:spacing w:val="-4"/>
          <w:sz w:val="22"/>
        </w:rPr>
        <w:t>their</w:t>
      </w:r>
      <w:r>
        <w:rPr>
          <w:spacing w:val="-7"/>
          <w:sz w:val="22"/>
        </w:rPr>
        <w:t> </w:t>
      </w:r>
      <w:r>
        <w:rPr>
          <w:spacing w:val="-4"/>
          <w:sz w:val="22"/>
        </w:rPr>
        <w:t>country</w:t>
      </w:r>
      <w:r>
        <w:rPr>
          <w:spacing w:val="-7"/>
          <w:sz w:val="22"/>
        </w:rPr>
        <w:t> </w:t>
      </w:r>
      <w:r>
        <w:rPr>
          <w:spacing w:val="-4"/>
          <w:sz w:val="22"/>
        </w:rPr>
        <w:t>of</w:t>
      </w:r>
      <w:r>
        <w:rPr>
          <w:spacing w:val="-7"/>
          <w:sz w:val="22"/>
        </w:rPr>
        <w:t> </w:t>
      </w:r>
      <w:r>
        <w:rPr>
          <w:spacing w:val="-4"/>
          <w:sz w:val="22"/>
        </w:rPr>
        <w:t>residence.</w:t>
      </w:r>
    </w:p>
    <w:p>
      <w:pPr>
        <w:pStyle w:val="ListParagraph"/>
        <w:numPr>
          <w:ilvl w:val="2"/>
          <w:numId w:val="27"/>
        </w:numPr>
        <w:tabs>
          <w:tab w:pos="679" w:val="left" w:leader="none"/>
        </w:tabs>
        <w:spacing w:line="266" w:lineRule="auto" w:before="0" w:after="0"/>
        <w:ind w:left="679" w:right="1077" w:hanging="360"/>
        <w:jc w:val="both"/>
        <w:rPr>
          <w:sz w:val="22"/>
        </w:rPr>
      </w:pPr>
      <w:r>
        <w:rPr>
          <w:spacing w:val="-4"/>
          <w:sz w:val="22"/>
        </w:rPr>
        <w:t>Positions</w:t>
      </w:r>
      <w:r>
        <w:rPr>
          <w:spacing w:val="-10"/>
          <w:sz w:val="22"/>
        </w:rPr>
        <w:t> </w:t>
      </w:r>
      <w:r>
        <w:rPr>
          <w:spacing w:val="-4"/>
          <w:sz w:val="22"/>
        </w:rPr>
        <w:t>of</w:t>
      </w:r>
      <w:r>
        <w:rPr>
          <w:spacing w:val="-10"/>
          <w:sz w:val="22"/>
        </w:rPr>
        <w:t> </w:t>
      </w:r>
      <w:r>
        <w:rPr>
          <w:spacing w:val="-4"/>
          <w:sz w:val="22"/>
        </w:rPr>
        <w:t>Research</w:t>
      </w:r>
      <w:r>
        <w:rPr>
          <w:spacing w:val="-10"/>
          <w:sz w:val="22"/>
        </w:rPr>
        <w:t> </w:t>
      </w:r>
      <w:r>
        <w:rPr>
          <w:spacing w:val="-4"/>
          <w:sz w:val="22"/>
        </w:rPr>
        <w:t>Professors</w:t>
      </w:r>
      <w:r>
        <w:rPr>
          <w:spacing w:val="-9"/>
          <w:sz w:val="22"/>
        </w:rPr>
        <w:t> </w:t>
      </w:r>
      <w:r>
        <w:rPr>
          <w:spacing w:val="-4"/>
          <w:sz w:val="22"/>
        </w:rPr>
        <w:t>with</w:t>
      </w:r>
      <w:r>
        <w:rPr>
          <w:spacing w:val="-10"/>
          <w:sz w:val="22"/>
        </w:rPr>
        <w:t> </w:t>
      </w:r>
      <w:r>
        <w:rPr>
          <w:spacing w:val="-4"/>
          <w:sz w:val="22"/>
        </w:rPr>
        <w:t>advancement capability</w:t>
      </w:r>
      <w:r>
        <w:rPr>
          <w:spacing w:val="-9"/>
          <w:sz w:val="22"/>
        </w:rPr>
        <w:t> </w:t>
      </w:r>
      <w:r>
        <w:rPr>
          <w:spacing w:val="-4"/>
          <w:sz w:val="22"/>
        </w:rPr>
        <w:t>based</w:t>
      </w:r>
      <w:r>
        <w:rPr>
          <w:spacing w:val="-9"/>
          <w:sz w:val="22"/>
        </w:rPr>
        <w:t> </w:t>
      </w:r>
      <w:r>
        <w:rPr>
          <w:spacing w:val="-4"/>
          <w:sz w:val="22"/>
        </w:rPr>
        <w:t>on</w:t>
      </w:r>
      <w:r>
        <w:rPr>
          <w:spacing w:val="-9"/>
          <w:sz w:val="22"/>
        </w:rPr>
        <w:t> </w:t>
      </w:r>
      <w:r>
        <w:rPr>
          <w:spacing w:val="-4"/>
          <w:sz w:val="22"/>
        </w:rPr>
        <w:t>research</w:t>
      </w:r>
      <w:r>
        <w:rPr>
          <w:spacing w:val="-9"/>
          <w:sz w:val="22"/>
        </w:rPr>
        <w:t> </w:t>
      </w:r>
      <w:r>
        <w:rPr>
          <w:spacing w:val="-4"/>
          <w:sz w:val="22"/>
        </w:rPr>
        <w:t>excellence</w:t>
      </w:r>
      <w:r>
        <w:rPr>
          <w:spacing w:val="-9"/>
          <w:sz w:val="22"/>
        </w:rPr>
        <w:t> </w:t>
      </w:r>
      <w:r>
        <w:rPr>
          <w:spacing w:val="-4"/>
          <w:sz w:val="22"/>
        </w:rPr>
        <w:t>and</w:t>
      </w:r>
      <w:r>
        <w:rPr>
          <w:spacing w:val="-9"/>
          <w:sz w:val="22"/>
        </w:rPr>
        <w:t> </w:t>
      </w:r>
      <w:r>
        <w:rPr>
          <w:spacing w:val="-4"/>
          <w:sz w:val="22"/>
        </w:rPr>
        <w:t>not</w:t>
      </w:r>
      <w:r>
        <w:rPr>
          <w:spacing w:val="-9"/>
          <w:sz w:val="22"/>
        </w:rPr>
        <w:t> </w:t>
      </w:r>
      <w:r>
        <w:rPr>
          <w:spacing w:val="-4"/>
          <w:sz w:val="22"/>
        </w:rPr>
        <w:t>age </w:t>
      </w:r>
      <w:r>
        <w:rPr>
          <w:spacing w:val="-6"/>
          <w:sz w:val="22"/>
        </w:rPr>
        <w:t>should be created.</w:t>
      </w:r>
      <w:r>
        <w:rPr>
          <w:spacing w:val="-8"/>
          <w:sz w:val="22"/>
        </w:rPr>
        <w:t> </w:t>
      </w:r>
      <w:r>
        <w:rPr>
          <w:spacing w:val="-6"/>
          <w:sz w:val="22"/>
        </w:rPr>
        <w:t>Young scientists should get equal </w:t>
      </w:r>
      <w:r>
        <w:rPr>
          <w:sz w:val="22"/>
        </w:rPr>
        <w:t>independence as their senior counterparts.</w:t>
      </w:r>
    </w:p>
    <w:p>
      <w:pPr>
        <w:pStyle w:val="ListParagraph"/>
        <w:numPr>
          <w:ilvl w:val="2"/>
          <w:numId w:val="27"/>
        </w:numPr>
        <w:tabs>
          <w:tab w:pos="679" w:val="left" w:leader="none"/>
        </w:tabs>
        <w:spacing w:line="266" w:lineRule="auto" w:before="0" w:after="0"/>
        <w:ind w:left="679" w:right="1077" w:hanging="360"/>
        <w:jc w:val="both"/>
        <w:rPr>
          <w:sz w:val="22"/>
        </w:rPr>
      </w:pPr>
      <w:r>
        <w:rPr>
          <w:sz w:val="22"/>
        </w:rPr>
        <w:t>Adjunct positions in industry and </w:t>
      </w:r>
      <w:r>
        <w:rPr>
          <w:sz w:val="22"/>
        </w:rPr>
        <w:t>research laboratories</w:t>
      </w:r>
      <w:r>
        <w:rPr>
          <w:spacing w:val="-1"/>
          <w:sz w:val="22"/>
        </w:rPr>
        <w:t> </w:t>
      </w:r>
      <w:r>
        <w:rPr>
          <w:sz w:val="22"/>
        </w:rPr>
        <w:t>should</w:t>
      </w:r>
      <w:r>
        <w:rPr>
          <w:spacing w:val="-1"/>
          <w:sz w:val="22"/>
        </w:rPr>
        <w:t> </w:t>
      </w:r>
      <w:r>
        <w:rPr>
          <w:sz w:val="22"/>
        </w:rPr>
        <w:t>be</w:t>
      </w:r>
      <w:r>
        <w:rPr>
          <w:spacing w:val="-1"/>
          <w:sz w:val="22"/>
        </w:rPr>
        <w:t> </w:t>
      </w:r>
      <w:r>
        <w:rPr>
          <w:sz w:val="22"/>
        </w:rPr>
        <w:t>created</w:t>
      </w:r>
      <w:r>
        <w:rPr>
          <w:spacing w:val="-1"/>
          <w:sz w:val="22"/>
        </w:rPr>
        <w:t> </w:t>
      </w:r>
      <w:r>
        <w:rPr>
          <w:sz w:val="22"/>
        </w:rPr>
        <w:t>for</w:t>
      </w:r>
      <w:r>
        <w:rPr>
          <w:spacing w:val="-1"/>
          <w:sz w:val="22"/>
        </w:rPr>
        <w:t> </w:t>
      </w:r>
      <w:r>
        <w:rPr>
          <w:sz w:val="22"/>
        </w:rPr>
        <w:t>inviting</w:t>
      </w:r>
      <w:r>
        <w:rPr>
          <w:spacing w:val="-1"/>
          <w:sz w:val="22"/>
        </w:rPr>
        <w:t> </w:t>
      </w:r>
      <w:r>
        <w:rPr>
          <w:sz w:val="22"/>
        </w:rPr>
        <w:t>NRIs.</w:t>
      </w:r>
    </w:p>
    <w:p>
      <w:pPr>
        <w:pStyle w:val="ListParagraph"/>
        <w:numPr>
          <w:ilvl w:val="2"/>
          <w:numId w:val="27"/>
        </w:numPr>
        <w:tabs>
          <w:tab w:pos="679" w:val="left" w:leader="none"/>
        </w:tabs>
        <w:spacing w:line="266" w:lineRule="auto" w:before="0" w:after="0"/>
        <w:ind w:left="679" w:right="1077" w:hanging="360"/>
        <w:jc w:val="both"/>
        <w:rPr>
          <w:sz w:val="22"/>
        </w:rPr>
      </w:pPr>
      <w:r>
        <w:rPr>
          <w:spacing w:val="-6"/>
          <w:sz w:val="22"/>
        </w:rPr>
        <w:t>Institutional mechanisms should be created to </w:t>
      </w:r>
      <w:r>
        <w:rPr>
          <w:spacing w:val="-6"/>
          <w:sz w:val="22"/>
        </w:rPr>
        <w:t>allow </w:t>
      </w:r>
      <w:r>
        <w:rPr>
          <w:sz w:val="22"/>
        </w:rPr>
        <w:t>scholars to go back and forth and to freely invite other researchers and collaborators. In case, the </w:t>
      </w:r>
      <w:r>
        <w:rPr>
          <w:spacing w:val="-4"/>
          <w:sz w:val="22"/>
        </w:rPr>
        <w:t>scientist returns back, he/she should be encouraged to</w:t>
      </w:r>
      <w:r>
        <w:rPr>
          <w:spacing w:val="-9"/>
          <w:sz w:val="22"/>
        </w:rPr>
        <w:t> </w:t>
      </w:r>
      <w:r>
        <w:rPr>
          <w:spacing w:val="-4"/>
          <w:sz w:val="22"/>
        </w:rPr>
        <w:t>continue</w:t>
      </w:r>
      <w:r>
        <w:rPr>
          <w:spacing w:val="-9"/>
          <w:sz w:val="22"/>
        </w:rPr>
        <w:t> </w:t>
      </w:r>
      <w:r>
        <w:rPr>
          <w:spacing w:val="-4"/>
          <w:sz w:val="22"/>
        </w:rPr>
        <w:t>to</w:t>
      </w:r>
      <w:r>
        <w:rPr>
          <w:spacing w:val="-9"/>
          <w:sz w:val="22"/>
        </w:rPr>
        <w:t> </w:t>
      </w:r>
      <w:r>
        <w:rPr>
          <w:spacing w:val="-4"/>
          <w:sz w:val="22"/>
        </w:rPr>
        <w:t>maintain</w:t>
      </w:r>
      <w:r>
        <w:rPr>
          <w:spacing w:val="-9"/>
          <w:sz w:val="22"/>
        </w:rPr>
        <w:t> </w:t>
      </w:r>
      <w:r>
        <w:rPr>
          <w:spacing w:val="-4"/>
          <w:sz w:val="22"/>
        </w:rPr>
        <w:t>contact</w:t>
      </w:r>
      <w:r>
        <w:rPr>
          <w:spacing w:val="-9"/>
          <w:sz w:val="22"/>
        </w:rPr>
        <w:t> </w:t>
      </w:r>
      <w:r>
        <w:rPr>
          <w:spacing w:val="-4"/>
          <w:sz w:val="22"/>
        </w:rPr>
        <w:t>with</w:t>
      </w:r>
      <w:r>
        <w:rPr>
          <w:spacing w:val="-9"/>
          <w:sz w:val="22"/>
        </w:rPr>
        <w:t> </w:t>
      </w:r>
      <w:r>
        <w:rPr>
          <w:spacing w:val="-4"/>
          <w:sz w:val="22"/>
        </w:rPr>
        <w:t>the</w:t>
      </w:r>
      <w:r>
        <w:rPr>
          <w:spacing w:val="-9"/>
          <w:sz w:val="22"/>
        </w:rPr>
        <w:t> </w:t>
      </w:r>
      <w:r>
        <w:rPr>
          <w:spacing w:val="-4"/>
          <w:sz w:val="22"/>
        </w:rPr>
        <w:t>researchers </w:t>
      </w:r>
      <w:r>
        <w:rPr>
          <w:sz w:val="22"/>
        </w:rPr>
        <w:t>in the lab and guide them.</w:t>
      </w:r>
    </w:p>
    <w:p>
      <w:pPr>
        <w:pStyle w:val="ListParagraph"/>
        <w:numPr>
          <w:ilvl w:val="2"/>
          <w:numId w:val="27"/>
        </w:numPr>
        <w:tabs>
          <w:tab w:pos="679" w:val="left" w:leader="none"/>
        </w:tabs>
        <w:spacing w:line="266" w:lineRule="auto" w:before="0" w:after="0"/>
        <w:ind w:left="679" w:right="1077" w:hanging="360"/>
        <w:jc w:val="both"/>
        <w:rPr>
          <w:sz w:val="22"/>
        </w:rPr>
      </w:pPr>
      <w:r>
        <w:rPr>
          <w:sz w:val="22"/>
        </w:rPr>
        <w:t>The system should also enable appointment </w:t>
      </w:r>
      <w:r>
        <w:rPr>
          <w:sz w:val="22"/>
        </w:rPr>
        <w:t>at the level of Director, Dean, Vice-Chancellors, and Technical/Scientific advisors to Union and/ or State Government. At the same time, there should be effective monitoring mechanisms to </w:t>
      </w:r>
      <w:r>
        <w:rPr>
          <w:spacing w:val="-4"/>
          <w:sz w:val="22"/>
        </w:rPr>
        <w:t>ensure</w:t>
      </w:r>
      <w:r>
        <w:rPr>
          <w:spacing w:val="-10"/>
          <w:sz w:val="22"/>
        </w:rPr>
        <w:t> </w:t>
      </w:r>
      <w:r>
        <w:rPr>
          <w:spacing w:val="-4"/>
          <w:sz w:val="22"/>
        </w:rPr>
        <w:t>accountability</w:t>
      </w:r>
      <w:r>
        <w:rPr>
          <w:spacing w:val="-10"/>
          <w:sz w:val="22"/>
        </w:rPr>
        <w:t> </w:t>
      </w:r>
      <w:r>
        <w:rPr>
          <w:spacing w:val="-4"/>
          <w:sz w:val="22"/>
        </w:rPr>
        <w:t>and</w:t>
      </w:r>
      <w:r>
        <w:rPr>
          <w:spacing w:val="-10"/>
          <w:sz w:val="22"/>
        </w:rPr>
        <w:t> </w:t>
      </w:r>
      <w:r>
        <w:rPr>
          <w:spacing w:val="-4"/>
          <w:sz w:val="22"/>
        </w:rPr>
        <w:t>to</w:t>
      </w:r>
      <w:r>
        <w:rPr>
          <w:spacing w:val="-9"/>
          <w:sz w:val="22"/>
        </w:rPr>
        <w:t> </w:t>
      </w:r>
      <w:r>
        <w:rPr>
          <w:spacing w:val="-4"/>
          <w:sz w:val="22"/>
        </w:rPr>
        <w:t>prevent</w:t>
      </w:r>
      <w:r>
        <w:rPr>
          <w:spacing w:val="-10"/>
          <w:sz w:val="22"/>
        </w:rPr>
        <w:t> </w:t>
      </w:r>
      <w:r>
        <w:rPr>
          <w:spacing w:val="-4"/>
          <w:sz w:val="22"/>
        </w:rPr>
        <w:t>misuse</w:t>
      </w:r>
      <w:r>
        <w:rPr>
          <w:spacing w:val="-10"/>
          <w:sz w:val="22"/>
        </w:rPr>
        <w:t> </w:t>
      </w:r>
      <w:r>
        <w:rPr>
          <w:spacing w:val="-4"/>
          <w:sz w:val="22"/>
        </w:rPr>
        <w:t>of</w:t>
      </w:r>
      <w:r>
        <w:rPr>
          <w:spacing w:val="-10"/>
          <w:sz w:val="22"/>
        </w:rPr>
        <w:t> </w:t>
      </w:r>
      <w:r>
        <w:rPr>
          <w:spacing w:val="-4"/>
          <w:sz w:val="22"/>
        </w:rPr>
        <w:t>such </w:t>
      </w:r>
      <w:r>
        <w:rPr>
          <w:spacing w:val="-2"/>
          <w:sz w:val="22"/>
        </w:rPr>
        <w:t>positions.</w:t>
      </w:r>
    </w:p>
    <w:p>
      <w:pPr>
        <w:pStyle w:val="BodyText"/>
        <w:spacing w:before="5"/>
      </w:pPr>
    </w:p>
    <w:p>
      <w:pPr>
        <w:pStyle w:val="BodyText"/>
        <w:spacing w:line="266" w:lineRule="auto"/>
        <w:ind w:left="319" w:right="1077"/>
        <w:jc w:val="both"/>
      </w:pPr>
      <w:r>
        <w:rPr>
          <w:spacing w:val="-4"/>
        </w:rPr>
        <w:t>Offer</w:t>
      </w:r>
      <w:r>
        <w:rPr>
          <w:spacing w:val="-10"/>
        </w:rPr>
        <w:t> </w:t>
      </w:r>
      <w:r>
        <w:rPr>
          <w:spacing w:val="-4"/>
        </w:rPr>
        <w:t>more</w:t>
      </w:r>
      <w:r>
        <w:rPr>
          <w:spacing w:val="-10"/>
        </w:rPr>
        <w:t> </w:t>
      </w:r>
      <w:r>
        <w:rPr>
          <w:spacing w:val="-4"/>
        </w:rPr>
        <w:t>resources</w:t>
      </w:r>
      <w:r>
        <w:rPr>
          <w:spacing w:val="-10"/>
        </w:rPr>
        <w:t> </w:t>
      </w:r>
      <w:r>
        <w:rPr>
          <w:spacing w:val="-4"/>
        </w:rPr>
        <w:t>and</w:t>
      </w:r>
      <w:r>
        <w:rPr>
          <w:spacing w:val="-9"/>
        </w:rPr>
        <w:t> </w:t>
      </w:r>
      <w:r>
        <w:rPr>
          <w:spacing w:val="-4"/>
        </w:rPr>
        <w:t>create</w:t>
      </w:r>
      <w:r>
        <w:rPr>
          <w:spacing w:val="-10"/>
        </w:rPr>
        <w:t> </w:t>
      </w:r>
      <w:r>
        <w:rPr>
          <w:spacing w:val="-4"/>
        </w:rPr>
        <w:t>nurturing</w:t>
      </w:r>
      <w:r>
        <w:rPr>
          <w:spacing w:val="-10"/>
        </w:rPr>
        <w:t> </w:t>
      </w:r>
      <w:r>
        <w:rPr>
          <w:spacing w:val="-4"/>
        </w:rPr>
        <w:t>environment: </w:t>
      </w:r>
      <w:r>
        <w:rPr/>
        <w:t>Creating a challenging and </w:t>
      </w:r>
      <w:r>
        <w:rPr/>
        <w:t>excellence-oriented environment</w:t>
      </w:r>
      <w:r>
        <w:rPr>
          <w:spacing w:val="-3"/>
        </w:rPr>
        <w:t> </w:t>
      </w:r>
      <w:r>
        <w:rPr/>
        <w:t>with</w:t>
      </w:r>
      <w:r>
        <w:rPr>
          <w:spacing w:val="-3"/>
        </w:rPr>
        <w:t> </w:t>
      </w:r>
      <w:r>
        <w:rPr/>
        <w:t>appropriate</w:t>
      </w:r>
      <w:r>
        <w:rPr>
          <w:spacing w:val="-3"/>
        </w:rPr>
        <w:t> </w:t>
      </w:r>
      <w:r>
        <w:rPr/>
        <w:t>resources</w:t>
      </w:r>
      <w:r>
        <w:rPr>
          <w:spacing w:val="-3"/>
        </w:rPr>
        <w:t> </w:t>
      </w:r>
      <w:r>
        <w:rPr/>
        <w:t>is</w:t>
      </w:r>
      <w:r>
        <w:rPr>
          <w:spacing w:val="-3"/>
        </w:rPr>
        <w:t> </w:t>
      </w:r>
      <w:r>
        <w:rPr/>
        <w:t>vital.</w:t>
      </w:r>
    </w:p>
    <w:p>
      <w:pPr>
        <w:pStyle w:val="ListParagraph"/>
        <w:numPr>
          <w:ilvl w:val="2"/>
          <w:numId w:val="27"/>
        </w:numPr>
        <w:tabs>
          <w:tab w:pos="679" w:val="left" w:leader="none"/>
        </w:tabs>
        <w:spacing w:line="266" w:lineRule="auto" w:before="0" w:after="0"/>
        <w:ind w:left="679" w:right="1077" w:hanging="360"/>
        <w:jc w:val="both"/>
        <w:rPr>
          <w:sz w:val="22"/>
        </w:rPr>
      </w:pPr>
      <w:r>
        <w:rPr>
          <w:spacing w:val="-2"/>
          <w:sz w:val="22"/>
        </w:rPr>
        <w:t>Substantial</w:t>
      </w:r>
      <w:r>
        <w:rPr>
          <w:spacing w:val="-8"/>
          <w:sz w:val="22"/>
        </w:rPr>
        <w:t> </w:t>
      </w:r>
      <w:r>
        <w:rPr>
          <w:spacing w:val="-2"/>
          <w:sz w:val="22"/>
        </w:rPr>
        <w:t>amounts</w:t>
      </w:r>
      <w:r>
        <w:rPr>
          <w:spacing w:val="-8"/>
          <w:sz w:val="22"/>
        </w:rPr>
        <w:t> </w:t>
      </w:r>
      <w:r>
        <w:rPr>
          <w:spacing w:val="-2"/>
          <w:sz w:val="22"/>
        </w:rPr>
        <w:t>of</w:t>
      </w:r>
      <w:r>
        <w:rPr>
          <w:spacing w:val="-8"/>
          <w:sz w:val="22"/>
        </w:rPr>
        <w:t> </w:t>
      </w:r>
      <w:r>
        <w:rPr>
          <w:spacing w:val="-2"/>
          <w:sz w:val="22"/>
        </w:rPr>
        <w:t>“start-up</w:t>
      </w:r>
      <w:r>
        <w:rPr>
          <w:spacing w:val="-8"/>
          <w:sz w:val="22"/>
        </w:rPr>
        <w:t> </w:t>
      </w:r>
      <w:r>
        <w:rPr>
          <w:spacing w:val="-2"/>
          <w:sz w:val="22"/>
        </w:rPr>
        <w:t>funds”</w:t>
      </w:r>
      <w:r>
        <w:rPr>
          <w:spacing w:val="-8"/>
          <w:sz w:val="22"/>
        </w:rPr>
        <w:t> </w:t>
      </w:r>
      <w:r>
        <w:rPr>
          <w:spacing w:val="-2"/>
          <w:sz w:val="22"/>
        </w:rPr>
        <w:t>for</w:t>
      </w:r>
      <w:r>
        <w:rPr>
          <w:spacing w:val="-8"/>
          <w:sz w:val="22"/>
        </w:rPr>
        <w:t> </w:t>
      </w:r>
      <w:r>
        <w:rPr>
          <w:spacing w:val="-2"/>
          <w:sz w:val="22"/>
        </w:rPr>
        <w:t>setting up</w:t>
      </w:r>
      <w:r>
        <w:rPr>
          <w:spacing w:val="-10"/>
          <w:sz w:val="22"/>
        </w:rPr>
        <w:t> </w:t>
      </w:r>
      <w:r>
        <w:rPr>
          <w:spacing w:val="-2"/>
          <w:sz w:val="22"/>
        </w:rPr>
        <w:t>labs</w:t>
      </w:r>
      <w:r>
        <w:rPr>
          <w:spacing w:val="-10"/>
          <w:sz w:val="22"/>
        </w:rPr>
        <w:t> </w:t>
      </w:r>
      <w:r>
        <w:rPr>
          <w:spacing w:val="-2"/>
          <w:sz w:val="22"/>
        </w:rPr>
        <w:t>and</w:t>
      </w:r>
      <w:r>
        <w:rPr>
          <w:spacing w:val="-10"/>
          <w:sz w:val="22"/>
        </w:rPr>
        <w:t> </w:t>
      </w:r>
      <w:r>
        <w:rPr>
          <w:spacing w:val="-2"/>
          <w:sz w:val="22"/>
        </w:rPr>
        <w:t>hiring</w:t>
      </w:r>
      <w:r>
        <w:rPr>
          <w:spacing w:val="-10"/>
          <w:sz w:val="22"/>
        </w:rPr>
        <w:t> </w:t>
      </w:r>
      <w:r>
        <w:rPr>
          <w:spacing w:val="-2"/>
          <w:sz w:val="22"/>
        </w:rPr>
        <w:t>post</w:t>
      </w:r>
      <w:r>
        <w:rPr>
          <w:spacing w:val="-10"/>
          <w:sz w:val="22"/>
        </w:rPr>
        <w:t> </w:t>
      </w:r>
      <w:r>
        <w:rPr>
          <w:spacing w:val="-2"/>
          <w:sz w:val="22"/>
        </w:rPr>
        <w:t>doctoral</w:t>
      </w:r>
      <w:r>
        <w:rPr>
          <w:spacing w:val="-10"/>
          <w:sz w:val="22"/>
        </w:rPr>
        <w:t> </w:t>
      </w:r>
      <w:r>
        <w:rPr>
          <w:spacing w:val="-2"/>
          <w:sz w:val="22"/>
        </w:rPr>
        <w:t>students</w:t>
      </w:r>
      <w:r>
        <w:rPr>
          <w:spacing w:val="-10"/>
          <w:sz w:val="22"/>
        </w:rPr>
        <w:t> </w:t>
      </w:r>
      <w:r>
        <w:rPr>
          <w:spacing w:val="-2"/>
          <w:sz w:val="22"/>
        </w:rPr>
        <w:t>should</w:t>
      </w:r>
      <w:r>
        <w:rPr>
          <w:spacing w:val="-10"/>
          <w:sz w:val="22"/>
        </w:rPr>
        <w:t> </w:t>
      </w:r>
      <w:r>
        <w:rPr>
          <w:spacing w:val="-2"/>
          <w:sz w:val="22"/>
        </w:rPr>
        <w:t>be made</w:t>
      </w:r>
      <w:r>
        <w:rPr>
          <w:spacing w:val="-4"/>
          <w:sz w:val="22"/>
        </w:rPr>
        <w:t> </w:t>
      </w:r>
      <w:r>
        <w:rPr>
          <w:spacing w:val="-2"/>
          <w:sz w:val="22"/>
        </w:rPr>
        <w:t>available</w:t>
      </w:r>
      <w:r>
        <w:rPr>
          <w:spacing w:val="-4"/>
          <w:sz w:val="22"/>
        </w:rPr>
        <w:t> </w:t>
      </w:r>
      <w:r>
        <w:rPr>
          <w:spacing w:val="-2"/>
          <w:sz w:val="22"/>
        </w:rPr>
        <w:t>to</w:t>
      </w:r>
      <w:r>
        <w:rPr>
          <w:spacing w:val="-4"/>
          <w:sz w:val="22"/>
        </w:rPr>
        <w:t> </w:t>
      </w:r>
      <w:r>
        <w:rPr>
          <w:spacing w:val="-2"/>
          <w:sz w:val="22"/>
        </w:rPr>
        <w:t>the</w:t>
      </w:r>
      <w:r>
        <w:rPr>
          <w:spacing w:val="-4"/>
          <w:sz w:val="22"/>
        </w:rPr>
        <w:t> </w:t>
      </w:r>
      <w:r>
        <w:rPr>
          <w:spacing w:val="-2"/>
          <w:sz w:val="22"/>
        </w:rPr>
        <w:t>researchers.</w:t>
      </w:r>
      <w:r>
        <w:rPr>
          <w:spacing w:val="-10"/>
          <w:sz w:val="22"/>
        </w:rPr>
        <w:t> </w:t>
      </w:r>
      <w:r>
        <w:rPr>
          <w:spacing w:val="-2"/>
          <w:sz w:val="22"/>
        </w:rPr>
        <w:t>The</w:t>
      </w:r>
      <w:r>
        <w:rPr>
          <w:spacing w:val="-4"/>
          <w:sz w:val="22"/>
        </w:rPr>
        <w:t> </w:t>
      </w:r>
      <w:r>
        <w:rPr>
          <w:spacing w:val="-2"/>
          <w:sz w:val="22"/>
        </w:rPr>
        <w:t>researchers </w:t>
      </w:r>
      <w:r>
        <w:rPr>
          <w:sz w:val="22"/>
        </w:rPr>
        <w:t>should also be given freedom to generate their own funds.</w:t>
      </w:r>
    </w:p>
    <w:p>
      <w:pPr>
        <w:pStyle w:val="ListParagraph"/>
        <w:numPr>
          <w:ilvl w:val="2"/>
          <w:numId w:val="27"/>
        </w:numPr>
        <w:tabs>
          <w:tab w:pos="679" w:val="left" w:leader="none"/>
        </w:tabs>
        <w:spacing w:line="266" w:lineRule="auto" w:before="0" w:after="0"/>
        <w:ind w:left="679" w:right="1077" w:hanging="360"/>
        <w:jc w:val="both"/>
        <w:rPr>
          <w:sz w:val="22"/>
        </w:rPr>
      </w:pPr>
      <w:r>
        <w:rPr>
          <w:sz w:val="22"/>
        </w:rPr>
        <w:t>A congenial environment to foster </w:t>
      </w:r>
      <w:r>
        <w:rPr>
          <w:sz w:val="22"/>
        </w:rPr>
        <w:t>independent thinking</w:t>
      </w:r>
      <w:r>
        <w:rPr>
          <w:spacing w:val="40"/>
          <w:sz w:val="22"/>
        </w:rPr>
        <w:t> </w:t>
      </w:r>
      <w:r>
        <w:rPr>
          <w:sz w:val="22"/>
        </w:rPr>
        <w:t>and</w:t>
      </w:r>
      <w:r>
        <w:rPr>
          <w:spacing w:val="40"/>
          <w:sz w:val="22"/>
        </w:rPr>
        <w:t> </w:t>
      </w:r>
      <w:r>
        <w:rPr>
          <w:sz w:val="22"/>
        </w:rPr>
        <w:t>working</w:t>
      </w:r>
      <w:r>
        <w:rPr>
          <w:spacing w:val="40"/>
          <w:sz w:val="22"/>
        </w:rPr>
        <w:t> </w:t>
      </w:r>
      <w:r>
        <w:rPr>
          <w:sz w:val="22"/>
        </w:rPr>
        <w:t>is</w:t>
      </w:r>
      <w:r>
        <w:rPr>
          <w:spacing w:val="40"/>
          <w:sz w:val="22"/>
        </w:rPr>
        <w:t> </w:t>
      </w:r>
      <w:r>
        <w:rPr>
          <w:sz w:val="22"/>
        </w:rPr>
        <w:t>a</w:t>
      </w:r>
      <w:r>
        <w:rPr>
          <w:spacing w:val="40"/>
          <w:sz w:val="22"/>
        </w:rPr>
        <w:t> </w:t>
      </w:r>
      <w:r>
        <w:rPr>
          <w:sz w:val="22"/>
        </w:rPr>
        <w:t>must.</w:t>
      </w:r>
      <w:r>
        <w:rPr>
          <w:spacing w:val="36"/>
          <w:sz w:val="22"/>
        </w:rPr>
        <w:t> </w:t>
      </w:r>
      <w:r>
        <w:rPr>
          <w:sz w:val="22"/>
        </w:rPr>
        <w:t>This</w:t>
      </w:r>
      <w:r>
        <w:rPr>
          <w:spacing w:val="40"/>
          <w:sz w:val="22"/>
        </w:rPr>
        <w:t> </w:t>
      </w:r>
      <w:r>
        <w:rPr>
          <w:sz w:val="22"/>
        </w:rPr>
        <w:t>requires</w:t>
      </w:r>
    </w:p>
    <w:p>
      <w:pPr>
        <w:spacing w:after="0" w:line="266" w:lineRule="auto"/>
        <w:jc w:val="both"/>
        <w:rPr>
          <w:sz w:val="22"/>
        </w:rPr>
        <w:sectPr>
          <w:pgSz w:w="11910" w:h="16840"/>
          <w:pgMar w:header="0" w:footer="675" w:top="920" w:bottom="860" w:left="0" w:right="0"/>
          <w:cols w:num="2" w:equalWidth="0">
            <w:col w:w="5774" w:space="40"/>
            <w:col w:w="6096"/>
          </w:cols>
        </w:sectPr>
      </w:pPr>
    </w:p>
    <w:p>
      <w:pPr>
        <w:pStyle w:val="BodyText"/>
        <w:spacing w:line="266" w:lineRule="auto" w:before="57"/>
        <w:ind w:left="1440"/>
        <w:jc w:val="both"/>
      </w:pPr>
      <w:r>
        <w:rPr/>
        <w:t>providing facilitating administration as well </w:t>
      </w:r>
      <w:r>
        <w:rPr/>
        <w:t>as maintaining best standards in research.</w:t>
      </w:r>
    </w:p>
    <w:p>
      <w:pPr>
        <w:pStyle w:val="BodyText"/>
        <w:spacing w:before="3"/>
      </w:pPr>
    </w:p>
    <w:p>
      <w:pPr>
        <w:pStyle w:val="Heading7"/>
        <w:spacing w:line="225" w:lineRule="auto"/>
        <w:ind w:left="1080"/>
      </w:pPr>
      <w:r>
        <w:rPr>
          <w:color w:val="2E614A"/>
          <w:spacing w:val="-2"/>
        </w:rPr>
        <w:t>Recommendation</w:t>
      </w:r>
      <w:r>
        <w:rPr>
          <w:color w:val="2E614A"/>
          <w:spacing w:val="-15"/>
        </w:rPr>
        <w:t> </w:t>
      </w:r>
      <w:r>
        <w:rPr>
          <w:color w:val="2E614A"/>
          <w:spacing w:val="-2"/>
        </w:rPr>
        <w:t>15:</w:t>
      </w:r>
      <w:r>
        <w:rPr>
          <w:color w:val="2E614A"/>
          <w:spacing w:val="-14"/>
        </w:rPr>
        <w:t> </w:t>
      </w:r>
      <w:r>
        <w:rPr>
          <w:color w:val="2E614A"/>
          <w:spacing w:val="-2"/>
        </w:rPr>
        <w:t>Formalise </w:t>
      </w:r>
      <w:r>
        <w:rPr>
          <w:color w:val="2E614A"/>
          <w:spacing w:val="-8"/>
        </w:rPr>
        <w:t>collaboration with foreign institutions </w:t>
      </w:r>
      <w:r>
        <w:rPr>
          <w:color w:val="2E614A"/>
          <w:spacing w:val="-8"/>
        </w:rPr>
        <w:t>and </w:t>
      </w:r>
      <w:r>
        <w:rPr>
          <w:color w:val="2E614A"/>
          <w:spacing w:val="-2"/>
        </w:rPr>
        <w:t>researchers</w:t>
      </w:r>
    </w:p>
    <w:p>
      <w:pPr>
        <w:pStyle w:val="BodyText"/>
        <w:rPr>
          <w:b/>
          <w:sz w:val="26"/>
        </w:rPr>
      </w:pPr>
    </w:p>
    <w:p>
      <w:pPr>
        <w:pStyle w:val="BodyText"/>
        <w:spacing w:line="266" w:lineRule="auto" w:before="1"/>
        <w:ind w:left="1080"/>
        <w:jc w:val="both"/>
      </w:pPr>
      <w:r>
        <w:rPr>
          <w:b/>
          <w:spacing w:val="-6"/>
        </w:rPr>
        <w:t>Issues:</w:t>
      </w:r>
      <w:r>
        <w:rPr>
          <w:b/>
          <w:spacing w:val="-8"/>
        </w:rPr>
        <w:t> </w:t>
      </w:r>
      <w:r>
        <w:rPr>
          <w:spacing w:val="-6"/>
        </w:rPr>
        <w:t>Failure</w:t>
      </w:r>
      <w:r>
        <w:rPr>
          <w:spacing w:val="-7"/>
        </w:rPr>
        <w:t> </w:t>
      </w:r>
      <w:r>
        <w:rPr>
          <w:spacing w:val="-6"/>
        </w:rPr>
        <w:t>to</w:t>
      </w:r>
      <w:r>
        <w:rPr>
          <w:spacing w:val="-8"/>
        </w:rPr>
        <w:t> </w:t>
      </w:r>
      <w:r>
        <w:rPr>
          <w:spacing w:val="-6"/>
        </w:rPr>
        <w:t>attract</w:t>
      </w:r>
      <w:r>
        <w:rPr>
          <w:spacing w:val="-7"/>
        </w:rPr>
        <w:t> </w:t>
      </w:r>
      <w:r>
        <w:rPr>
          <w:spacing w:val="-6"/>
        </w:rPr>
        <w:t>foreign</w:t>
      </w:r>
      <w:r>
        <w:rPr>
          <w:spacing w:val="-8"/>
        </w:rPr>
        <w:t> </w:t>
      </w:r>
      <w:r>
        <w:rPr>
          <w:spacing w:val="-6"/>
        </w:rPr>
        <w:t>students</w:t>
      </w:r>
      <w:r>
        <w:rPr>
          <w:spacing w:val="-7"/>
        </w:rPr>
        <w:t> </w:t>
      </w:r>
      <w:r>
        <w:rPr>
          <w:spacing w:val="-6"/>
        </w:rPr>
        <w:t>and</w:t>
      </w:r>
      <w:r>
        <w:rPr>
          <w:spacing w:val="-8"/>
        </w:rPr>
        <w:t> </w:t>
      </w:r>
      <w:r>
        <w:rPr>
          <w:spacing w:val="-6"/>
        </w:rPr>
        <w:t>collaborate </w:t>
      </w:r>
      <w:r>
        <w:rPr/>
        <w:t>with</w:t>
      </w:r>
      <w:r>
        <w:rPr>
          <w:spacing w:val="-10"/>
        </w:rPr>
        <w:t> </w:t>
      </w:r>
      <w:r>
        <w:rPr/>
        <w:t>foreign</w:t>
      </w:r>
      <w:r>
        <w:rPr>
          <w:spacing w:val="-10"/>
        </w:rPr>
        <w:t> </w:t>
      </w:r>
      <w:r>
        <w:rPr/>
        <w:t>universities</w:t>
      </w:r>
      <w:r>
        <w:rPr>
          <w:spacing w:val="-10"/>
        </w:rPr>
        <w:t> </w:t>
      </w:r>
      <w:r>
        <w:rPr/>
        <w:t>and</w:t>
      </w:r>
      <w:r>
        <w:rPr>
          <w:spacing w:val="-10"/>
        </w:rPr>
        <w:t> </w:t>
      </w:r>
      <w:r>
        <w:rPr/>
        <w:t>researchers</w:t>
      </w:r>
      <w:r>
        <w:rPr>
          <w:spacing w:val="-10"/>
        </w:rPr>
        <w:t> </w:t>
      </w:r>
      <w:r>
        <w:rPr/>
        <w:t>has</w:t>
      </w:r>
      <w:r>
        <w:rPr>
          <w:spacing w:val="-10"/>
        </w:rPr>
        <w:t> </w:t>
      </w:r>
      <w:r>
        <w:rPr/>
        <w:t>led</w:t>
      </w:r>
      <w:r>
        <w:rPr>
          <w:spacing w:val="-10"/>
        </w:rPr>
        <w:t> </w:t>
      </w:r>
      <w:r>
        <w:rPr/>
        <w:t>to</w:t>
      </w:r>
      <w:r>
        <w:rPr>
          <w:spacing w:val="-10"/>
        </w:rPr>
        <w:t> </w:t>
      </w:r>
      <w:r>
        <w:rPr/>
        <w:t>an </w:t>
      </w:r>
      <w:r>
        <w:rPr>
          <w:spacing w:val="-4"/>
        </w:rPr>
        <w:t>absence</w:t>
      </w:r>
      <w:r>
        <w:rPr>
          <w:spacing w:val="-8"/>
        </w:rPr>
        <w:t> </w:t>
      </w:r>
      <w:r>
        <w:rPr>
          <w:spacing w:val="-4"/>
        </w:rPr>
        <w:t>of</w:t>
      </w:r>
      <w:r>
        <w:rPr>
          <w:spacing w:val="-8"/>
        </w:rPr>
        <w:t> </w:t>
      </w:r>
      <w:r>
        <w:rPr>
          <w:spacing w:val="-4"/>
        </w:rPr>
        <w:t>multi-cultural</w:t>
      </w:r>
      <w:r>
        <w:rPr>
          <w:spacing w:val="-8"/>
        </w:rPr>
        <w:t> </w:t>
      </w:r>
      <w:r>
        <w:rPr>
          <w:spacing w:val="-4"/>
        </w:rPr>
        <w:t>and</w:t>
      </w:r>
      <w:r>
        <w:rPr>
          <w:spacing w:val="-8"/>
        </w:rPr>
        <w:t> </w:t>
      </w:r>
      <w:r>
        <w:rPr>
          <w:spacing w:val="-4"/>
        </w:rPr>
        <w:t>international</w:t>
      </w:r>
      <w:r>
        <w:rPr>
          <w:spacing w:val="-8"/>
        </w:rPr>
        <w:t> </w:t>
      </w:r>
      <w:r>
        <w:rPr>
          <w:spacing w:val="-4"/>
        </w:rPr>
        <w:t>exposure</w:t>
      </w:r>
      <w:r>
        <w:rPr>
          <w:spacing w:val="-8"/>
        </w:rPr>
        <w:t> </w:t>
      </w:r>
      <w:r>
        <w:rPr>
          <w:spacing w:val="-4"/>
        </w:rPr>
        <w:t>for </w:t>
      </w:r>
      <w:r>
        <w:rPr/>
        <w:t>both Indian students and faculty.</w:t>
      </w:r>
    </w:p>
    <w:p>
      <w:pPr>
        <w:pStyle w:val="BodyText"/>
        <w:spacing w:before="23"/>
      </w:pPr>
    </w:p>
    <w:p>
      <w:pPr>
        <w:pStyle w:val="BodyText"/>
        <w:spacing w:line="266" w:lineRule="auto"/>
        <w:ind w:left="1080"/>
        <w:jc w:val="both"/>
      </w:pPr>
      <w:r>
        <w:rPr/>
        <w:t>Collaborative</w:t>
      </w:r>
      <w:r>
        <w:rPr>
          <w:spacing w:val="-2"/>
        </w:rPr>
        <w:t> </w:t>
      </w:r>
      <w:r>
        <w:rPr/>
        <w:t>programs</w:t>
      </w:r>
      <w:r>
        <w:rPr>
          <w:spacing w:val="-2"/>
        </w:rPr>
        <w:t> </w:t>
      </w:r>
      <w:r>
        <w:rPr/>
        <w:t>with</w:t>
      </w:r>
      <w:r>
        <w:rPr>
          <w:spacing w:val="-2"/>
        </w:rPr>
        <w:t> </w:t>
      </w:r>
      <w:r>
        <w:rPr/>
        <w:t>foreign</w:t>
      </w:r>
      <w:r>
        <w:rPr>
          <w:spacing w:val="-2"/>
        </w:rPr>
        <w:t> </w:t>
      </w:r>
      <w:r>
        <w:rPr/>
        <w:t>universities</w:t>
      </w:r>
      <w:r>
        <w:rPr>
          <w:spacing w:val="-2"/>
        </w:rPr>
        <w:t> </w:t>
      </w:r>
      <w:r>
        <w:rPr/>
        <w:t>and </w:t>
      </w:r>
      <w:r>
        <w:rPr>
          <w:spacing w:val="-4"/>
        </w:rPr>
        <w:t>research</w:t>
      </w:r>
      <w:r>
        <w:rPr>
          <w:spacing w:val="-10"/>
        </w:rPr>
        <w:t> </w:t>
      </w:r>
      <w:r>
        <w:rPr>
          <w:spacing w:val="-4"/>
        </w:rPr>
        <w:t>institutions</w:t>
      </w:r>
      <w:r>
        <w:rPr>
          <w:spacing w:val="-10"/>
        </w:rPr>
        <w:t> </w:t>
      </w:r>
      <w:r>
        <w:rPr>
          <w:spacing w:val="-4"/>
        </w:rPr>
        <w:t>will</w:t>
      </w:r>
      <w:r>
        <w:rPr>
          <w:spacing w:val="-10"/>
        </w:rPr>
        <w:t> </w:t>
      </w:r>
      <w:r>
        <w:rPr>
          <w:spacing w:val="-4"/>
        </w:rPr>
        <w:t>encourage</w:t>
      </w:r>
      <w:r>
        <w:rPr>
          <w:spacing w:val="-9"/>
        </w:rPr>
        <w:t> </w:t>
      </w:r>
      <w:r>
        <w:rPr>
          <w:spacing w:val="-4"/>
        </w:rPr>
        <w:t>faculty</w:t>
      </w:r>
      <w:r>
        <w:rPr>
          <w:spacing w:val="-10"/>
        </w:rPr>
        <w:t> </w:t>
      </w:r>
      <w:r>
        <w:rPr>
          <w:spacing w:val="-4"/>
        </w:rPr>
        <w:t>and</w:t>
      </w:r>
      <w:r>
        <w:rPr>
          <w:spacing w:val="-10"/>
        </w:rPr>
        <w:t> </w:t>
      </w:r>
      <w:r>
        <w:rPr>
          <w:spacing w:val="-4"/>
        </w:rPr>
        <w:t>students </w:t>
      </w:r>
      <w:r>
        <w:rPr/>
        <w:t>to learn and exchange ideas and practices on latest </w:t>
      </w:r>
      <w:r>
        <w:rPr>
          <w:spacing w:val="-2"/>
        </w:rPr>
        <w:t>developments.</w:t>
      </w:r>
    </w:p>
    <w:p>
      <w:pPr>
        <w:pStyle w:val="ListParagraph"/>
        <w:numPr>
          <w:ilvl w:val="3"/>
          <w:numId w:val="27"/>
        </w:numPr>
        <w:tabs>
          <w:tab w:pos="1439" w:val="left" w:leader="none"/>
        </w:tabs>
        <w:spacing w:line="266" w:lineRule="auto" w:before="0" w:after="0"/>
        <w:ind w:left="1439" w:right="0" w:hanging="360"/>
        <w:jc w:val="both"/>
        <w:rPr>
          <w:sz w:val="22"/>
        </w:rPr>
      </w:pPr>
      <w:r>
        <w:rPr>
          <w:sz w:val="22"/>
        </w:rPr>
        <w:t>Indian scientists should be given generous travel </w:t>
      </w:r>
      <w:r>
        <w:rPr>
          <w:spacing w:val="-2"/>
          <w:sz w:val="22"/>
        </w:rPr>
        <w:t>grants</w:t>
      </w:r>
      <w:r>
        <w:rPr>
          <w:spacing w:val="-11"/>
          <w:sz w:val="22"/>
        </w:rPr>
        <w:t> </w:t>
      </w:r>
      <w:r>
        <w:rPr>
          <w:spacing w:val="-2"/>
          <w:sz w:val="22"/>
        </w:rPr>
        <w:t>to</w:t>
      </w:r>
      <w:r>
        <w:rPr>
          <w:spacing w:val="-11"/>
          <w:sz w:val="22"/>
        </w:rPr>
        <w:t> </w:t>
      </w:r>
      <w:r>
        <w:rPr>
          <w:spacing w:val="-2"/>
          <w:sz w:val="22"/>
        </w:rPr>
        <w:t>attend</w:t>
      </w:r>
      <w:r>
        <w:rPr>
          <w:spacing w:val="-11"/>
          <w:sz w:val="22"/>
        </w:rPr>
        <w:t> </w:t>
      </w:r>
      <w:r>
        <w:rPr>
          <w:spacing w:val="-2"/>
          <w:sz w:val="22"/>
        </w:rPr>
        <w:t>international</w:t>
      </w:r>
      <w:r>
        <w:rPr>
          <w:spacing w:val="-11"/>
          <w:sz w:val="22"/>
        </w:rPr>
        <w:t> </w:t>
      </w:r>
      <w:r>
        <w:rPr>
          <w:spacing w:val="-2"/>
          <w:sz w:val="22"/>
        </w:rPr>
        <w:t>conferences.</w:t>
      </w:r>
      <w:r>
        <w:rPr>
          <w:spacing w:val="-11"/>
          <w:sz w:val="22"/>
        </w:rPr>
        <w:t> </w:t>
      </w:r>
      <w:r>
        <w:rPr>
          <w:spacing w:val="-2"/>
          <w:sz w:val="22"/>
        </w:rPr>
        <w:t>Further, they</w:t>
      </w:r>
      <w:r>
        <w:rPr>
          <w:spacing w:val="-8"/>
          <w:sz w:val="22"/>
        </w:rPr>
        <w:t> </w:t>
      </w:r>
      <w:r>
        <w:rPr>
          <w:spacing w:val="-2"/>
          <w:sz w:val="22"/>
        </w:rPr>
        <w:t>should</w:t>
      </w:r>
      <w:r>
        <w:rPr>
          <w:spacing w:val="-8"/>
          <w:sz w:val="22"/>
        </w:rPr>
        <w:t> </w:t>
      </w:r>
      <w:r>
        <w:rPr>
          <w:spacing w:val="-2"/>
          <w:sz w:val="22"/>
        </w:rPr>
        <w:t>be</w:t>
      </w:r>
      <w:r>
        <w:rPr>
          <w:spacing w:val="-8"/>
          <w:sz w:val="22"/>
        </w:rPr>
        <w:t> </w:t>
      </w:r>
      <w:r>
        <w:rPr>
          <w:spacing w:val="-2"/>
          <w:sz w:val="22"/>
        </w:rPr>
        <w:t>given</w:t>
      </w:r>
      <w:r>
        <w:rPr>
          <w:spacing w:val="-8"/>
          <w:sz w:val="22"/>
        </w:rPr>
        <w:t> </w:t>
      </w:r>
      <w:r>
        <w:rPr>
          <w:spacing w:val="-2"/>
          <w:sz w:val="22"/>
        </w:rPr>
        <w:t>adequate</w:t>
      </w:r>
      <w:r>
        <w:rPr>
          <w:spacing w:val="-8"/>
          <w:sz w:val="22"/>
        </w:rPr>
        <w:t> </w:t>
      </w:r>
      <w:r>
        <w:rPr>
          <w:spacing w:val="-2"/>
          <w:sz w:val="22"/>
        </w:rPr>
        <w:t>and</w:t>
      </w:r>
      <w:r>
        <w:rPr>
          <w:spacing w:val="-8"/>
          <w:sz w:val="22"/>
        </w:rPr>
        <w:t> </w:t>
      </w:r>
      <w:r>
        <w:rPr>
          <w:spacing w:val="-2"/>
          <w:sz w:val="22"/>
        </w:rPr>
        <w:t>comprehensive </w:t>
      </w:r>
      <w:r>
        <w:rPr>
          <w:sz w:val="22"/>
        </w:rPr>
        <w:t>support to organise international meetings.</w:t>
      </w:r>
    </w:p>
    <w:p>
      <w:pPr>
        <w:pStyle w:val="ListParagraph"/>
        <w:numPr>
          <w:ilvl w:val="3"/>
          <w:numId w:val="27"/>
        </w:numPr>
        <w:tabs>
          <w:tab w:pos="1440" w:val="left" w:leader="none"/>
        </w:tabs>
        <w:spacing w:line="266" w:lineRule="auto" w:before="0" w:after="0"/>
        <w:ind w:left="1440" w:right="0" w:hanging="360"/>
        <w:jc w:val="both"/>
        <w:rPr>
          <w:sz w:val="22"/>
        </w:rPr>
      </w:pPr>
      <w:r>
        <w:rPr>
          <w:sz w:val="22"/>
        </w:rPr>
        <w:t>Visa</w:t>
      </w:r>
      <w:r>
        <w:rPr>
          <w:spacing w:val="-14"/>
          <w:sz w:val="22"/>
        </w:rPr>
        <w:t> </w:t>
      </w:r>
      <w:r>
        <w:rPr>
          <w:sz w:val="22"/>
        </w:rPr>
        <w:t>procedures</w:t>
      </w:r>
      <w:r>
        <w:rPr>
          <w:spacing w:val="-14"/>
          <w:sz w:val="22"/>
        </w:rPr>
        <w:t> </w:t>
      </w:r>
      <w:r>
        <w:rPr>
          <w:sz w:val="22"/>
        </w:rPr>
        <w:t>for</w:t>
      </w:r>
      <w:r>
        <w:rPr>
          <w:spacing w:val="-14"/>
          <w:sz w:val="22"/>
        </w:rPr>
        <w:t> </w:t>
      </w:r>
      <w:r>
        <w:rPr>
          <w:sz w:val="22"/>
        </w:rPr>
        <w:t>research</w:t>
      </w:r>
      <w:r>
        <w:rPr>
          <w:spacing w:val="-13"/>
          <w:sz w:val="22"/>
        </w:rPr>
        <w:t> </w:t>
      </w:r>
      <w:r>
        <w:rPr>
          <w:sz w:val="22"/>
        </w:rPr>
        <w:t>exchanges</w:t>
      </w:r>
      <w:r>
        <w:rPr>
          <w:spacing w:val="-14"/>
          <w:sz w:val="22"/>
        </w:rPr>
        <w:t> </w:t>
      </w:r>
      <w:r>
        <w:rPr>
          <w:sz w:val="22"/>
        </w:rPr>
        <w:t>should</w:t>
      </w:r>
      <w:r>
        <w:rPr>
          <w:spacing w:val="-14"/>
          <w:sz w:val="22"/>
        </w:rPr>
        <w:t> </w:t>
      </w:r>
      <w:r>
        <w:rPr>
          <w:sz w:val="22"/>
        </w:rPr>
        <w:t>be simplified.</w:t>
      </w:r>
      <w:r>
        <w:rPr>
          <w:spacing w:val="-9"/>
          <w:sz w:val="22"/>
        </w:rPr>
        <w:t> </w:t>
      </w:r>
      <w:r>
        <w:rPr>
          <w:sz w:val="22"/>
        </w:rPr>
        <w:t>Just</w:t>
      </w:r>
      <w:r>
        <w:rPr>
          <w:spacing w:val="-9"/>
          <w:sz w:val="22"/>
        </w:rPr>
        <w:t> </w:t>
      </w:r>
      <w:r>
        <w:rPr>
          <w:sz w:val="22"/>
        </w:rPr>
        <w:t>as</w:t>
      </w:r>
      <w:r>
        <w:rPr>
          <w:spacing w:val="-9"/>
          <w:sz w:val="22"/>
        </w:rPr>
        <w:t> </w:t>
      </w:r>
      <w:r>
        <w:rPr>
          <w:sz w:val="22"/>
        </w:rPr>
        <w:t>credible</w:t>
      </w:r>
      <w:r>
        <w:rPr>
          <w:spacing w:val="-9"/>
          <w:sz w:val="22"/>
        </w:rPr>
        <w:t> </w:t>
      </w:r>
      <w:r>
        <w:rPr>
          <w:sz w:val="22"/>
        </w:rPr>
        <w:t>business</w:t>
      </w:r>
      <w:r>
        <w:rPr>
          <w:spacing w:val="-9"/>
          <w:sz w:val="22"/>
        </w:rPr>
        <w:t> </w:t>
      </w:r>
      <w:r>
        <w:rPr>
          <w:sz w:val="22"/>
        </w:rPr>
        <w:t>travellers</w:t>
      </w:r>
      <w:r>
        <w:rPr>
          <w:spacing w:val="-9"/>
          <w:sz w:val="22"/>
        </w:rPr>
        <w:t> </w:t>
      </w:r>
      <w:r>
        <w:rPr>
          <w:sz w:val="22"/>
        </w:rPr>
        <w:t>are granted multiple entry visas valid over a longer period,</w:t>
      </w:r>
      <w:r>
        <w:rPr>
          <w:spacing w:val="-14"/>
          <w:sz w:val="22"/>
        </w:rPr>
        <w:t> </w:t>
      </w:r>
      <w:r>
        <w:rPr>
          <w:sz w:val="22"/>
        </w:rPr>
        <w:t>similar</w:t>
      </w:r>
      <w:r>
        <w:rPr>
          <w:spacing w:val="-13"/>
          <w:sz w:val="22"/>
        </w:rPr>
        <w:t> </w:t>
      </w:r>
      <w:r>
        <w:rPr>
          <w:sz w:val="22"/>
        </w:rPr>
        <w:t>facilities</w:t>
      </w:r>
      <w:r>
        <w:rPr>
          <w:spacing w:val="-14"/>
          <w:sz w:val="22"/>
        </w:rPr>
        <w:t> </w:t>
      </w:r>
      <w:r>
        <w:rPr>
          <w:sz w:val="22"/>
        </w:rPr>
        <w:t>for</w:t>
      </w:r>
      <w:r>
        <w:rPr>
          <w:spacing w:val="-13"/>
          <w:sz w:val="22"/>
        </w:rPr>
        <w:t> </w:t>
      </w:r>
      <w:r>
        <w:rPr>
          <w:sz w:val="22"/>
        </w:rPr>
        <w:t>scientific</w:t>
      </w:r>
      <w:r>
        <w:rPr>
          <w:spacing w:val="-14"/>
          <w:sz w:val="22"/>
        </w:rPr>
        <w:t> </w:t>
      </w:r>
      <w:r>
        <w:rPr>
          <w:sz w:val="22"/>
        </w:rPr>
        <w:t>visas</w:t>
      </w:r>
      <w:r>
        <w:rPr>
          <w:spacing w:val="-13"/>
          <w:sz w:val="22"/>
        </w:rPr>
        <w:t> </w:t>
      </w:r>
      <w:r>
        <w:rPr>
          <w:sz w:val="22"/>
        </w:rPr>
        <w:t>can</w:t>
      </w:r>
      <w:r>
        <w:rPr>
          <w:spacing w:val="-14"/>
          <w:sz w:val="22"/>
        </w:rPr>
        <w:t> </w:t>
      </w:r>
      <w:r>
        <w:rPr>
          <w:sz w:val="22"/>
        </w:rPr>
        <w:t>be looked into. The post of Academic Attachés in various consulates should be created and filled. They can play an important role in facilitating scientific exchanges between countries. In addition, this will also provide an alternative employment avenue for people with a research background. Multiple entry provision for</w:t>
      </w:r>
      <w:r>
        <w:rPr>
          <w:spacing w:val="80"/>
          <w:sz w:val="22"/>
        </w:rPr>
        <w:t> </w:t>
      </w:r>
      <w:r>
        <w:rPr>
          <w:sz w:val="22"/>
        </w:rPr>
        <w:t>foreign researchers would also benefit frequent collaboration by considerable reduction in the hassles of obtaining visas.</w:t>
      </w:r>
    </w:p>
    <w:p>
      <w:pPr>
        <w:pStyle w:val="ListParagraph"/>
        <w:numPr>
          <w:ilvl w:val="3"/>
          <w:numId w:val="27"/>
        </w:numPr>
        <w:tabs>
          <w:tab w:pos="1439" w:val="left" w:leader="none"/>
        </w:tabs>
        <w:spacing w:line="242" w:lineRule="exact" w:before="0" w:after="0"/>
        <w:ind w:left="1439" w:right="0" w:hanging="359"/>
        <w:jc w:val="both"/>
        <w:rPr>
          <w:sz w:val="22"/>
        </w:rPr>
      </w:pPr>
      <w:r>
        <w:rPr>
          <w:w w:val="90"/>
          <w:sz w:val="22"/>
        </w:rPr>
        <w:t>Joint</w:t>
      </w:r>
      <w:r>
        <w:rPr>
          <w:spacing w:val="7"/>
          <w:sz w:val="22"/>
        </w:rPr>
        <w:t> </w:t>
      </w:r>
      <w:r>
        <w:rPr>
          <w:w w:val="90"/>
          <w:sz w:val="22"/>
        </w:rPr>
        <w:t>supervision</w:t>
      </w:r>
      <w:r>
        <w:rPr>
          <w:spacing w:val="7"/>
          <w:sz w:val="22"/>
        </w:rPr>
        <w:t> </w:t>
      </w:r>
      <w:r>
        <w:rPr>
          <w:w w:val="90"/>
          <w:sz w:val="22"/>
        </w:rPr>
        <w:t>of</w:t>
      </w:r>
      <w:r>
        <w:rPr>
          <w:spacing w:val="8"/>
          <w:sz w:val="22"/>
        </w:rPr>
        <w:t> </w:t>
      </w:r>
      <w:r>
        <w:rPr>
          <w:w w:val="90"/>
          <w:sz w:val="22"/>
        </w:rPr>
        <w:t>doctoral</w:t>
      </w:r>
      <w:r>
        <w:rPr>
          <w:spacing w:val="7"/>
          <w:sz w:val="22"/>
        </w:rPr>
        <w:t> </w:t>
      </w:r>
      <w:r>
        <w:rPr>
          <w:w w:val="90"/>
          <w:sz w:val="22"/>
        </w:rPr>
        <w:t>thesis</w:t>
      </w:r>
      <w:r>
        <w:rPr>
          <w:spacing w:val="8"/>
          <w:sz w:val="22"/>
        </w:rPr>
        <w:t> </w:t>
      </w:r>
      <w:r>
        <w:rPr>
          <w:w w:val="90"/>
          <w:sz w:val="22"/>
        </w:rPr>
        <w:t>is</w:t>
      </w:r>
      <w:r>
        <w:rPr>
          <w:spacing w:val="7"/>
          <w:sz w:val="22"/>
        </w:rPr>
        <w:t> </w:t>
      </w:r>
      <w:r>
        <w:rPr>
          <w:w w:val="90"/>
          <w:sz w:val="22"/>
        </w:rPr>
        <w:t>one</w:t>
      </w:r>
      <w:r>
        <w:rPr>
          <w:spacing w:val="8"/>
          <w:sz w:val="22"/>
        </w:rPr>
        <w:t> </w:t>
      </w:r>
      <w:r>
        <w:rPr>
          <w:w w:val="90"/>
          <w:sz w:val="22"/>
        </w:rPr>
        <w:t>area</w:t>
      </w:r>
      <w:r>
        <w:rPr>
          <w:spacing w:val="7"/>
          <w:sz w:val="22"/>
        </w:rPr>
        <w:t> </w:t>
      </w:r>
      <w:r>
        <w:rPr>
          <w:spacing w:val="-4"/>
          <w:w w:val="90"/>
          <w:sz w:val="22"/>
        </w:rPr>
        <w:t>where</w:t>
      </w:r>
    </w:p>
    <w:p>
      <w:pPr>
        <w:pStyle w:val="BodyText"/>
        <w:spacing w:line="266" w:lineRule="auto" w:before="21"/>
        <w:ind w:left="1439"/>
        <w:jc w:val="both"/>
      </w:pPr>
      <w:r>
        <w:rPr/>
        <w:t>co-operation should be\ promoted. Length </w:t>
      </w:r>
      <w:r>
        <w:rPr/>
        <w:t>and type</w:t>
      </w:r>
      <w:r>
        <w:rPr>
          <w:spacing w:val="-13"/>
        </w:rPr>
        <w:t> </w:t>
      </w:r>
      <w:r>
        <w:rPr/>
        <w:t>of</w:t>
      </w:r>
      <w:r>
        <w:rPr>
          <w:spacing w:val="-13"/>
        </w:rPr>
        <w:t> </w:t>
      </w:r>
      <w:r>
        <w:rPr/>
        <w:t>exchange</w:t>
      </w:r>
      <w:r>
        <w:rPr>
          <w:spacing w:val="-13"/>
        </w:rPr>
        <w:t> </w:t>
      </w:r>
      <w:r>
        <w:rPr/>
        <w:t>programs</w:t>
      </w:r>
      <w:r>
        <w:rPr>
          <w:spacing w:val="-13"/>
        </w:rPr>
        <w:t> </w:t>
      </w:r>
      <w:r>
        <w:rPr/>
        <w:t>should</w:t>
      </w:r>
      <w:r>
        <w:rPr>
          <w:spacing w:val="-13"/>
        </w:rPr>
        <w:t> </w:t>
      </w:r>
      <w:r>
        <w:rPr/>
        <w:t>be</w:t>
      </w:r>
      <w:r>
        <w:rPr>
          <w:spacing w:val="-13"/>
        </w:rPr>
        <w:t> </w:t>
      </w:r>
      <w:r>
        <w:rPr/>
        <w:t>so</w:t>
      </w:r>
      <w:r>
        <w:rPr>
          <w:spacing w:val="-13"/>
        </w:rPr>
        <w:t> </w:t>
      </w:r>
      <w:r>
        <w:rPr/>
        <w:t>designed that our faculty as well as research students gain adequate benefits.</w:t>
      </w:r>
    </w:p>
    <w:p>
      <w:pPr>
        <w:pStyle w:val="ListParagraph"/>
        <w:numPr>
          <w:ilvl w:val="3"/>
          <w:numId w:val="27"/>
        </w:numPr>
        <w:tabs>
          <w:tab w:pos="1439" w:val="left" w:leader="none"/>
        </w:tabs>
        <w:spacing w:line="266" w:lineRule="auto" w:before="0" w:after="0"/>
        <w:ind w:left="1439" w:right="0" w:hanging="360"/>
        <w:jc w:val="both"/>
        <w:rPr>
          <w:sz w:val="22"/>
        </w:rPr>
      </w:pPr>
      <w:r>
        <w:rPr>
          <w:sz w:val="22"/>
        </w:rPr>
        <w:t>Other forms of collaboration which could </w:t>
      </w:r>
      <w:r>
        <w:rPr>
          <w:sz w:val="22"/>
        </w:rPr>
        <w:t>be looked at are joint degree programs with foreign </w:t>
      </w:r>
      <w:r>
        <w:rPr>
          <w:spacing w:val="-2"/>
          <w:sz w:val="22"/>
        </w:rPr>
        <w:t>universities.</w:t>
      </w:r>
    </w:p>
    <w:p>
      <w:pPr>
        <w:pStyle w:val="ListParagraph"/>
        <w:numPr>
          <w:ilvl w:val="3"/>
          <w:numId w:val="27"/>
        </w:numPr>
        <w:tabs>
          <w:tab w:pos="1439" w:val="left" w:leader="none"/>
        </w:tabs>
        <w:spacing w:line="266" w:lineRule="auto" w:before="0" w:after="0"/>
        <w:ind w:left="1439" w:right="0" w:hanging="360"/>
        <w:jc w:val="both"/>
        <w:rPr>
          <w:sz w:val="22"/>
        </w:rPr>
      </w:pPr>
      <w:r>
        <w:rPr>
          <w:sz w:val="22"/>
        </w:rPr>
        <w:t>Initiatives should be taken to invite faculty </w:t>
      </w:r>
      <w:r>
        <w:rPr>
          <w:sz w:val="22"/>
        </w:rPr>
        <w:t>from abroad</w:t>
      </w:r>
      <w:r>
        <w:rPr>
          <w:spacing w:val="-1"/>
          <w:sz w:val="22"/>
        </w:rPr>
        <w:t> </w:t>
      </w:r>
      <w:r>
        <w:rPr>
          <w:sz w:val="22"/>
        </w:rPr>
        <w:t>to</w:t>
      </w:r>
      <w:r>
        <w:rPr>
          <w:spacing w:val="-1"/>
          <w:sz w:val="22"/>
        </w:rPr>
        <w:t> </w:t>
      </w:r>
      <w:r>
        <w:rPr>
          <w:sz w:val="22"/>
        </w:rPr>
        <w:t>not</w:t>
      </w:r>
      <w:r>
        <w:rPr>
          <w:spacing w:val="-1"/>
          <w:sz w:val="22"/>
        </w:rPr>
        <w:t> </w:t>
      </w:r>
      <w:r>
        <w:rPr>
          <w:sz w:val="22"/>
        </w:rPr>
        <w:t>only</w:t>
      </w:r>
      <w:r>
        <w:rPr>
          <w:spacing w:val="-1"/>
          <w:sz w:val="22"/>
        </w:rPr>
        <w:t> </w:t>
      </w:r>
      <w:r>
        <w:rPr>
          <w:sz w:val="22"/>
        </w:rPr>
        <w:t>give</w:t>
      </w:r>
      <w:r>
        <w:rPr>
          <w:spacing w:val="-1"/>
          <w:sz w:val="22"/>
        </w:rPr>
        <w:t> </w:t>
      </w:r>
      <w:r>
        <w:rPr>
          <w:sz w:val="22"/>
        </w:rPr>
        <w:t>special</w:t>
      </w:r>
      <w:r>
        <w:rPr>
          <w:spacing w:val="-1"/>
          <w:sz w:val="22"/>
        </w:rPr>
        <w:t> </w:t>
      </w:r>
      <w:r>
        <w:rPr>
          <w:sz w:val="22"/>
        </w:rPr>
        <w:t>guest</w:t>
      </w:r>
      <w:r>
        <w:rPr>
          <w:spacing w:val="-1"/>
          <w:sz w:val="22"/>
        </w:rPr>
        <w:t> </w:t>
      </w:r>
      <w:r>
        <w:rPr>
          <w:sz w:val="22"/>
        </w:rPr>
        <w:t>lectures</w:t>
      </w:r>
      <w:r>
        <w:rPr>
          <w:spacing w:val="-1"/>
          <w:sz w:val="22"/>
        </w:rPr>
        <w:t> </w:t>
      </w:r>
      <w:r>
        <w:rPr>
          <w:sz w:val="22"/>
        </w:rPr>
        <w:t>but also teach partial or full courses.</w:t>
      </w:r>
    </w:p>
    <w:p>
      <w:pPr>
        <w:pStyle w:val="ListParagraph"/>
        <w:numPr>
          <w:ilvl w:val="3"/>
          <w:numId w:val="27"/>
        </w:numPr>
        <w:tabs>
          <w:tab w:pos="1439" w:val="left" w:leader="none"/>
        </w:tabs>
        <w:spacing w:line="266" w:lineRule="auto" w:before="0" w:after="0"/>
        <w:ind w:left="1439" w:right="0" w:hanging="360"/>
        <w:jc w:val="both"/>
        <w:rPr>
          <w:sz w:val="22"/>
        </w:rPr>
      </w:pPr>
      <w:r>
        <w:rPr>
          <w:sz w:val="22"/>
        </w:rPr>
        <w:t>A public/private non-profit corporation </w:t>
      </w:r>
      <w:r>
        <w:rPr>
          <w:sz w:val="22"/>
        </w:rPr>
        <w:t>like Carnegie, Ford and Rhodes Scholarships of high brand value can be created to pay for faculty </w:t>
      </w:r>
      <w:r>
        <w:rPr>
          <w:w w:val="90"/>
          <w:sz w:val="22"/>
        </w:rPr>
        <w:t>exchanges from both industry and research institutes. </w:t>
      </w:r>
      <w:r>
        <w:rPr>
          <w:spacing w:val="-2"/>
          <w:sz w:val="22"/>
        </w:rPr>
        <w:t>Individuals</w:t>
      </w:r>
      <w:r>
        <w:rPr>
          <w:spacing w:val="-12"/>
          <w:sz w:val="22"/>
        </w:rPr>
        <w:t> </w:t>
      </w:r>
      <w:r>
        <w:rPr>
          <w:spacing w:val="-2"/>
          <w:sz w:val="22"/>
        </w:rPr>
        <w:t>who</w:t>
      </w:r>
      <w:r>
        <w:rPr>
          <w:spacing w:val="-11"/>
          <w:sz w:val="22"/>
        </w:rPr>
        <w:t> </w:t>
      </w:r>
      <w:r>
        <w:rPr>
          <w:spacing w:val="-2"/>
          <w:sz w:val="22"/>
        </w:rPr>
        <w:t>are</w:t>
      </w:r>
      <w:r>
        <w:rPr>
          <w:spacing w:val="-11"/>
          <w:sz w:val="22"/>
        </w:rPr>
        <w:t> </w:t>
      </w:r>
      <w:r>
        <w:rPr>
          <w:spacing w:val="-2"/>
          <w:sz w:val="22"/>
        </w:rPr>
        <w:t>capable</w:t>
      </w:r>
      <w:r>
        <w:rPr>
          <w:spacing w:val="-11"/>
          <w:sz w:val="22"/>
        </w:rPr>
        <w:t> </w:t>
      </w:r>
      <w:r>
        <w:rPr>
          <w:spacing w:val="-2"/>
          <w:sz w:val="22"/>
        </w:rPr>
        <w:t>of</w:t>
      </w:r>
      <w:r>
        <w:rPr>
          <w:spacing w:val="-11"/>
          <w:sz w:val="22"/>
        </w:rPr>
        <w:t> </w:t>
      </w:r>
      <w:r>
        <w:rPr>
          <w:spacing w:val="-2"/>
          <w:sz w:val="22"/>
        </w:rPr>
        <w:t>mobilising</w:t>
      </w:r>
      <w:r>
        <w:rPr>
          <w:spacing w:val="-12"/>
          <w:sz w:val="22"/>
        </w:rPr>
        <w:t> </w:t>
      </w:r>
      <w:r>
        <w:rPr>
          <w:spacing w:val="-2"/>
          <w:sz w:val="22"/>
        </w:rPr>
        <w:t>funding</w:t>
      </w:r>
    </w:p>
    <w:p>
      <w:pPr>
        <w:pStyle w:val="BodyText"/>
        <w:spacing w:line="266" w:lineRule="auto" w:before="57"/>
        <w:ind w:left="679" w:right="1078"/>
        <w:jc w:val="both"/>
      </w:pPr>
      <w:r>
        <w:rPr/>
        <w:br w:type="column"/>
      </w:r>
      <w:r>
        <w:rPr>
          <w:spacing w:val="-2"/>
        </w:rPr>
        <w:t>for</w:t>
      </w:r>
      <w:r>
        <w:rPr>
          <w:spacing w:val="-14"/>
        </w:rPr>
        <w:t> </w:t>
      </w:r>
      <w:r>
        <w:rPr>
          <w:spacing w:val="-2"/>
        </w:rPr>
        <w:t>such</w:t>
      </w:r>
      <w:r>
        <w:rPr>
          <w:spacing w:val="-12"/>
        </w:rPr>
        <w:t> </w:t>
      </w:r>
      <w:r>
        <w:rPr>
          <w:spacing w:val="-2"/>
        </w:rPr>
        <w:t>corporations</w:t>
      </w:r>
      <w:r>
        <w:rPr>
          <w:spacing w:val="-12"/>
        </w:rPr>
        <w:t> </w:t>
      </w:r>
      <w:r>
        <w:rPr>
          <w:spacing w:val="-2"/>
        </w:rPr>
        <w:t>could</w:t>
      </w:r>
      <w:r>
        <w:rPr>
          <w:spacing w:val="-11"/>
        </w:rPr>
        <w:t> </w:t>
      </w:r>
      <w:r>
        <w:rPr>
          <w:spacing w:val="-2"/>
        </w:rPr>
        <w:t>be</w:t>
      </w:r>
      <w:r>
        <w:rPr>
          <w:spacing w:val="-12"/>
        </w:rPr>
        <w:t> </w:t>
      </w:r>
      <w:r>
        <w:rPr>
          <w:spacing w:val="-2"/>
        </w:rPr>
        <w:t>chosen</w:t>
      </w:r>
      <w:r>
        <w:rPr>
          <w:spacing w:val="-12"/>
        </w:rPr>
        <w:t> </w:t>
      </w:r>
      <w:r>
        <w:rPr>
          <w:spacing w:val="-2"/>
        </w:rPr>
        <w:t>to</w:t>
      </w:r>
      <w:r>
        <w:rPr>
          <w:spacing w:val="-12"/>
        </w:rPr>
        <w:t> </w:t>
      </w:r>
      <w:r>
        <w:rPr>
          <w:spacing w:val="-2"/>
        </w:rPr>
        <w:t>head</w:t>
      </w:r>
      <w:r>
        <w:rPr>
          <w:spacing w:val="-11"/>
        </w:rPr>
        <w:t> </w:t>
      </w:r>
      <w:r>
        <w:rPr>
          <w:spacing w:val="-2"/>
        </w:rPr>
        <w:t>such institutions.</w:t>
      </w:r>
    </w:p>
    <w:p>
      <w:pPr>
        <w:pStyle w:val="ListParagraph"/>
        <w:numPr>
          <w:ilvl w:val="2"/>
          <w:numId w:val="27"/>
        </w:numPr>
        <w:tabs>
          <w:tab w:pos="679" w:val="left" w:leader="none"/>
        </w:tabs>
        <w:spacing w:line="266" w:lineRule="auto" w:before="0" w:after="0"/>
        <w:ind w:left="679" w:right="1077" w:hanging="360"/>
        <w:jc w:val="both"/>
        <w:rPr>
          <w:sz w:val="22"/>
        </w:rPr>
      </w:pPr>
      <w:r>
        <w:rPr>
          <w:spacing w:val="-2"/>
          <w:sz w:val="22"/>
        </w:rPr>
        <w:t>Indian</w:t>
      </w:r>
      <w:r>
        <w:rPr>
          <w:spacing w:val="-12"/>
          <w:sz w:val="22"/>
        </w:rPr>
        <w:t> </w:t>
      </w:r>
      <w:r>
        <w:rPr>
          <w:spacing w:val="-2"/>
          <w:sz w:val="22"/>
        </w:rPr>
        <w:t>Institutions</w:t>
      </w:r>
      <w:r>
        <w:rPr>
          <w:spacing w:val="-12"/>
          <w:sz w:val="22"/>
        </w:rPr>
        <w:t> </w:t>
      </w:r>
      <w:r>
        <w:rPr>
          <w:spacing w:val="-2"/>
          <w:sz w:val="22"/>
        </w:rPr>
        <w:t>should</w:t>
      </w:r>
      <w:r>
        <w:rPr>
          <w:spacing w:val="-12"/>
          <w:sz w:val="22"/>
        </w:rPr>
        <w:t> </w:t>
      </w:r>
      <w:r>
        <w:rPr>
          <w:spacing w:val="-2"/>
          <w:sz w:val="22"/>
        </w:rPr>
        <w:t>tap</w:t>
      </w:r>
      <w:r>
        <w:rPr>
          <w:spacing w:val="-11"/>
          <w:sz w:val="22"/>
        </w:rPr>
        <w:t> </w:t>
      </w:r>
      <w:r>
        <w:rPr>
          <w:spacing w:val="-2"/>
          <w:sz w:val="22"/>
        </w:rPr>
        <w:t>the</w:t>
      </w:r>
      <w:r>
        <w:rPr>
          <w:spacing w:val="-12"/>
          <w:sz w:val="22"/>
        </w:rPr>
        <w:t> </w:t>
      </w:r>
      <w:r>
        <w:rPr>
          <w:spacing w:val="-2"/>
          <w:sz w:val="22"/>
        </w:rPr>
        <w:t>benefits</w:t>
      </w:r>
      <w:r>
        <w:rPr>
          <w:spacing w:val="-12"/>
          <w:sz w:val="22"/>
        </w:rPr>
        <w:t> </w:t>
      </w:r>
      <w:r>
        <w:rPr>
          <w:spacing w:val="-2"/>
          <w:sz w:val="22"/>
        </w:rPr>
        <w:t>of</w:t>
      </w:r>
      <w:r>
        <w:rPr>
          <w:spacing w:val="-12"/>
          <w:sz w:val="22"/>
        </w:rPr>
        <w:t> </w:t>
      </w:r>
      <w:r>
        <w:rPr>
          <w:spacing w:val="-2"/>
          <w:sz w:val="22"/>
        </w:rPr>
        <w:t>multi- </w:t>
      </w:r>
      <w:r>
        <w:rPr>
          <w:sz w:val="22"/>
        </w:rPr>
        <w:t>institution networks by participating in the </w:t>
      </w:r>
      <w:r>
        <w:rPr>
          <w:sz w:val="22"/>
        </w:rPr>
        <w:t>good </w:t>
      </w:r>
      <w:r>
        <w:rPr>
          <w:spacing w:val="-6"/>
          <w:sz w:val="22"/>
        </w:rPr>
        <w:t>ones that already exist or by creating such platforms </w:t>
      </w:r>
      <w:r>
        <w:rPr>
          <w:spacing w:val="-4"/>
          <w:sz w:val="22"/>
        </w:rPr>
        <w:t>themselves.</w:t>
      </w:r>
      <w:r>
        <w:rPr>
          <w:spacing w:val="-8"/>
          <w:sz w:val="22"/>
        </w:rPr>
        <w:t> </w:t>
      </w:r>
      <w:r>
        <w:rPr>
          <w:spacing w:val="-4"/>
          <w:sz w:val="22"/>
        </w:rPr>
        <w:t>The McDonnell International Scholars Academy</w:t>
      </w:r>
      <w:r>
        <w:rPr>
          <w:spacing w:val="-10"/>
          <w:sz w:val="22"/>
        </w:rPr>
        <w:t> </w:t>
      </w:r>
      <w:r>
        <w:rPr>
          <w:spacing w:val="-4"/>
          <w:sz w:val="22"/>
        </w:rPr>
        <w:t>and</w:t>
      </w:r>
      <w:r>
        <w:rPr>
          <w:spacing w:val="-10"/>
          <w:sz w:val="22"/>
        </w:rPr>
        <w:t> </w:t>
      </w:r>
      <w:r>
        <w:rPr>
          <w:spacing w:val="-4"/>
          <w:sz w:val="22"/>
        </w:rPr>
        <w:t>McDonnell</w:t>
      </w:r>
      <w:r>
        <w:rPr>
          <w:spacing w:val="-10"/>
          <w:sz w:val="22"/>
        </w:rPr>
        <w:t> </w:t>
      </w:r>
      <w:r>
        <w:rPr>
          <w:spacing w:val="-4"/>
          <w:sz w:val="22"/>
        </w:rPr>
        <w:t>Academy</w:t>
      </w:r>
      <w:r>
        <w:rPr>
          <w:spacing w:val="-9"/>
          <w:sz w:val="22"/>
        </w:rPr>
        <w:t> </w:t>
      </w:r>
      <w:r>
        <w:rPr>
          <w:spacing w:val="-4"/>
          <w:sz w:val="22"/>
        </w:rPr>
        <w:t>Global</w:t>
      </w:r>
      <w:r>
        <w:rPr>
          <w:spacing w:val="-10"/>
          <w:sz w:val="22"/>
        </w:rPr>
        <w:t> </w:t>
      </w:r>
      <w:r>
        <w:rPr>
          <w:spacing w:val="-4"/>
          <w:sz w:val="22"/>
        </w:rPr>
        <w:t>Energy </w:t>
      </w:r>
      <w:r>
        <w:rPr>
          <w:sz w:val="22"/>
        </w:rPr>
        <w:t>and Environmental Partnership at Washington University in St. Louis are examples of such networks. The two academies collaborate with select universities from across the world. They provide opportunities to the partners to interact, discuss,</w:t>
      </w:r>
      <w:r>
        <w:rPr>
          <w:spacing w:val="-6"/>
          <w:sz w:val="22"/>
        </w:rPr>
        <w:t> </w:t>
      </w:r>
      <w:r>
        <w:rPr>
          <w:sz w:val="22"/>
        </w:rPr>
        <w:t>and</w:t>
      </w:r>
      <w:r>
        <w:rPr>
          <w:spacing w:val="-6"/>
          <w:sz w:val="22"/>
        </w:rPr>
        <w:t> </w:t>
      </w:r>
      <w:r>
        <w:rPr>
          <w:sz w:val="22"/>
        </w:rPr>
        <w:t>learn</w:t>
      </w:r>
      <w:r>
        <w:rPr>
          <w:spacing w:val="-6"/>
          <w:sz w:val="22"/>
        </w:rPr>
        <w:t> </w:t>
      </w:r>
      <w:r>
        <w:rPr>
          <w:sz w:val="22"/>
        </w:rPr>
        <w:t>from</w:t>
      </w:r>
      <w:r>
        <w:rPr>
          <w:spacing w:val="-6"/>
          <w:sz w:val="22"/>
        </w:rPr>
        <w:t> </w:t>
      </w:r>
      <w:r>
        <w:rPr>
          <w:sz w:val="22"/>
        </w:rPr>
        <w:t>each</w:t>
      </w:r>
      <w:r>
        <w:rPr>
          <w:spacing w:val="-6"/>
          <w:sz w:val="22"/>
        </w:rPr>
        <w:t> </w:t>
      </w:r>
      <w:r>
        <w:rPr>
          <w:sz w:val="22"/>
        </w:rPr>
        <w:t>other</w:t>
      </w:r>
      <w:r>
        <w:rPr>
          <w:spacing w:val="-6"/>
          <w:sz w:val="22"/>
        </w:rPr>
        <w:t> </w:t>
      </w:r>
      <w:r>
        <w:rPr>
          <w:sz w:val="22"/>
        </w:rPr>
        <w:t>by</w:t>
      </w:r>
      <w:r>
        <w:rPr>
          <w:spacing w:val="-6"/>
          <w:sz w:val="22"/>
        </w:rPr>
        <w:t> </w:t>
      </w:r>
      <w:r>
        <w:rPr>
          <w:sz w:val="22"/>
        </w:rPr>
        <w:t>working</w:t>
      </w:r>
      <w:r>
        <w:rPr>
          <w:spacing w:val="-6"/>
          <w:sz w:val="22"/>
        </w:rPr>
        <w:t> </w:t>
      </w:r>
      <w:r>
        <w:rPr>
          <w:sz w:val="22"/>
        </w:rPr>
        <w:t>on collaborative projects.</w:t>
      </w:r>
    </w:p>
    <w:p>
      <w:pPr>
        <w:pStyle w:val="BodyText"/>
        <w:spacing w:before="16"/>
      </w:pPr>
    </w:p>
    <w:p>
      <w:pPr>
        <w:pStyle w:val="BodyText"/>
        <w:spacing w:line="266" w:lineRule="auto"/>
        <w:ind w:left="319" w:right="1077"/>
        <w:jc w:val="both"/>
      </w:pPr>
      <w:r>
        <w:rPr/>
        <w:t>Many</w:t>
      </w:r>
      <w:r>
        <w:rPr>
          <w:spacing w:val="-6"/>
        </w:rPr>
        <w:t> </w:t>
      </w:r>
      <w:r>
        <w:rPr/>
        <w:t>funding</w:t>
      </w:r>
      <w:r>
        <w:rPr>
          <w:spacing w:val="-6"/>
        </w:rPr>
        <w:t> </w:t>
      </w:r>
      <w:r>
        <w:rPr/>
        <w:t>agencies</w:t>
      </w:r>
      <w:r>
        <w:rPr>
          <w:spacing w:val="-6"/>
        </w:rPr>
        <w:t> </w:t>
      </w:r>
      <w:r>
        <w:rPr/>
        <w:t>from</w:t>
      </w:r>
      <w:r>
        <w:rPr>
          <w:spacing w:val="-6"/>
        </w:rPr>
        <w:t> </w:t>
      </w:r>
      <w:r>
        <w:rPr/>
        <w:t>the</w:t>
      </w:r>
      <w:r>
        <w:rPr>
          <w:spacing w:val="-6"/>
        </w:rPr>
        <w:t> </w:t>
      </w:r>
      <w:r>
        <w:rPr/>
        <w:t>developed</w:t>
      </w:r>
      <w:r>
        <w:rPr>
          <w:spacing w:val="-6"/>
        </w:rPr>
        <w:t> </w:t>
      </w:r>
      <w:r>
        <w:rPr/>
        <w:t>countries </w:t>
      </w:r>
      <w:r>
        <w:rPr>
          <w:spacing w:val="-2"/>
        </w:rPr>
        <w:t>are</w:t>
      </w:r>
      <w:r>
        <w:rPr>
          <w:spacing w:val="-7"/>
        </w:rPr>
        <w:t> </w:t>
      </w:r>
      <w:r>
        <w:rPr>
          <w:spacing w:val="-2"/>
        </w:rPr>
        <w:t>conscious</w:t>
      </w:r>
      <w:r>
        <w:rPr>
          <w:spacing w:val="-7"/>
        </w:rPr>
        <w:t> </w:t>
      </w:r>
      <w:r>
        <w:rPr>
          <w:spacing w:val="-2"/>
        </w:rPr>
        <w:t>of</w:t>
      </w:r>
      <w:r>
        <w:rPr>
          <w:spacing w:val="-7"/>
        </w:rPr>
        <w:t> </w:t>
      </w:r>
      <w:r>
        <w:rPr>
          <w:spacing w:val="-2"/>
        </w:rPr>
        <w:t>the</w:t>
      </w:r>
      <w:r>
        <w:rPr>
          <w:spacing w:val="-7"/>
        </w:rPr>
        <w:t> </w:t>
      </w:r>
      <w:r>
        <w:rPr>
          <w:spacing w:val="-2"/>
        </w:rPr>
        <w:t>demographic</w:t>
      </w:r>
      <w:r>
        <w:rPr>
          <w:spacing w:val="-7"/>
        </w:rPr>
        <w:t> </w:t>
      </w:r>
      <w:r>
        <w:rPr>
          <w:spacing w:val="-2"/>
        </w:rPr>
        <w:t>advantage</w:t>
      </w:r>
      <w:r>
        <w:rPr>
          <w:spacing w:val="-7"/>
        </w:rPr>
        <w:t> </w:t>
      </w:r>
      <w:r>
        <w:rPr>
          <w:spacing w:val="-2"/>
        </w:rPr>
        <w:t>that</w:t>
      </w:r>
      <w:r>
        <w:rPr>
          <w:spacing w:val="-7"/>
        </w:rPr>
        <w:t> </w:t>
      </w:r>
      <w:r>
        <w:rPr>
          <w:spacing w:val="-2"/>
        </w:rPr>
        <w:t>India </w:t>
      </w:r>
      <w:r>
        <w:rPr/>
        <w:t>has</w:t>
      </w:r>
      <w:r>
        <w:rPr>
          <w:spacing w:val="40"/>
        </w:rPr>
        <w:t> </w:t>
      </w:r>
      <w:r>
        <w:rPr/>
        <w:t>and</w:t>
      </w:r>
      <w:r>
        <w:rPr>
          <w:spacing w:val="40"/>
        </w:rPr>
        <w:t> </w:t>
      </w:r>
      <w:r>
        <w:rPr/>
        <w:t>are</w:t>
      </w:r>
      <w:r>
        <w:rPr>
          <w:spacing w:val="40"/>
        </w:rPr>
        <w:t> </w:t>
      </w:r>
      <w:r>
        <w:rPr/>
        <w:t>keen</w:t>
      </w:r>
      <w:r>
        <w:rPr>
          <w:spacing w:val="40"/>
        </w:rPr>
        <w:t> </w:t>
      </w:r>
      <w:r>
        <w:rPr/>
        <w:t>to</w:t>
      </w:r>
      <w:r>
        <w:rPr>
          <w:spacing w:val="40"/>
        </w:rPr>
        <w:t> </w:t>
      </w:r>
      <w:r>
        <w:rPr/>
        <w:t>participate</w:t>
      </w:r>
      <w:r>
        <w:rPr>
          <w:spacing w:val="40"/>
        </w:rPr>
        <w:t> </w:t>
      </w:r>
      <w:r>
        <w:rPr/>
        <w:t>in</w:t>
      </w:r>
      <w:r>
        <w:rPr>
          <w:spacing w:val="40"/>
        </w:rPr>
        <w:t> </w:t>
      </w:r>
      <w:r>
        <w:rPr/>
        <w:t>joint</w:t>
      </w:r>
      <w:r>
        <w:rPr>
          <w:spacing w:val="40"/>
        </w:rPr>
        <w:t> </w:t>
      </w:r>
      <w:r>
        <w:rPr/>
        <w:t>initiatives in research, training etc. Funding and collaborative opportunities</w:t>
      </w:r>
      <w:r>
        <w:rPr>
          <w:spacing w:val="-14"/>
        </w:rPr>
        <w:t> </w:t>
      </w:r>
      <w:r>
        <w:rPr/>
        <w:t>for</w:t>
      </w:r>
      <w:r>
        <w:rPr>
          <w:spacing w:val="-14"/>
        </w:rPr>
        <w:t> </w:t>
      </w:r>
      <w:r>
        <w:rPr/>
        <w:t>the</w:t>
      </w:r>
      <w:r>
        <w:rPr>
          <w:spacing w:val="-14"/>
        </w:rPr>
        <w:t> </w:t>
      </w:r>
      <w:r>
        <w:rPr/>
        <w:t>younger</w:t>
      </w:r>
      <w:r>
        <w:rPr>
          <w:spacing w:val="-13"/>
        </w:rPr>
        <w:t> </w:t>
      </w:r>
      <w:r>
        <w:rPr/>
        <w:t>people</w:t>
      </w:r>
      <w:r>
        <w:rPr>
          <w:spacing w:val="-14"/>
        </w:rPr>
        <w:t> </w:t>
      </w:r>
      <w:r>
        <w:rPr/>
        <w:t>should</w:t>
      </w:r>
      <w:r>
        <w:rPr>
          <w:spacing w:val="-14"/>
        </w:rPr>
        <w:t> </w:t>
      </w:r>
      <w:r>
        <w:rPr/>
        <w:t>be</w:t>
      </w:r>
      <w:r>
        <w:rPr>
          <w:spacing w:val="-14"/>
        </w:rPr>
        <w:t> </w:t>
      </w:r>
      <w:r>
        <w:rPr/>
        <w:t>widely </w:t>
      </w:r>
      <w:r>
        <w:rPr>
          <w:spacing w:val="-2"/>
        </w:rPr>
        <w:t>publicised</w:t>
      </w:r>
      <w:r>
        <w:rPr>
          <w:spacing w:val="-10"/>
        </w:rPr>
        <w:t> </w:t>
      </w:r>
      <w:r>
        <w:rPr>
          <w:spacing w:val="-2"/>
        </w:rPr>
        <w:t>and</w:t>
      </w:r>
      <w:r>
        <w:rPr>
          <w:spacing w:val="-10"/>
        </w:rPr>
        <w:t> </w:t>
      </w:r>
      <w:r>
        <w:rPr>
          <w:spacing w:val="-2"/>
        </w:rPr>
        <w:t>national</w:t>
      </w:r>
      <w:r>
        <w:rPr>
          <w:spacing w:val="-10"/>
        </w:rPr>
        <w:t> </w:t>
      </w:r>
      <w:r>
        <w:rPr>
          <w:spacing w:val="-2"/>
        </w:rPr>
        <w:t>funding</w:t>
      </w:r>
      <w:r>
        <w:rPr>
          <w:spacing w:val="-10"/>
        </w:rPr>
        <w:t> </w:t>
      </w:r>
      <w:r>
        <w:rPr>
          <w:spacing w:val="-2"/>
        </w:rPr>
        <w:t>agencies</w:t>
      </w:r>
      <w:r>
        <w:rPr>
          <w:spacing w:val="-10"/>
        </w:rPr>
        <w:t> </w:t>
      </w:r>
      <w:r>
        <w:rPr>
          <w:spacing w:val="-2"/>
        </w:rPr>
        <w:t>should</w:t>
      </w:r>
      <w:r>
        <w:rPr>
          <w:spacing w:val="-10"/>
        </w:rPr>
        <w:t> </w:t>
      </w:r>
      <w:r>
        <w:rPr>
          <w:spacing w:val="-2"/>
        </w:rPr>
        <w:t>play</w:t>
      </w:r>
      <w:r>
        <w:rPr>
          <w:spacing w:val="-10"/>
        </w:rPr>
        <w:t> </w:t>
      </w:r>
      <w:r>
        <w:rPr>
          <w:spacing w:val="-2"/>
        </w:rPr>
        <w:t>a </w:t>
      </w:r>
      <w:r>
        <w:rPr>
          <w:spacing w:val="-4"/>
        </w:rPr>
        <w:t>pro-active role in directly linking up scientists and such </w:t>
      </w:r>
      <w:r>
        <w:rPr>
          <w:spacing w:val="-2"/>
        </w:rPr>
        <w:t>diverse</w:t>
      </w:r>
      <w:r>
        <w:rPr>
          <w:spacing w:val="-2"/>
        </w:rPr>
        <w:t> international</w:t>
      </w:r>
      <w:r>
        <w:rPr>
          <w:spacing w:val="-2"/>
        </w:rPr>
        <w:t> funding</w:t>
      </w:r>
      <w:r>
        <w:rPr>
          <w:spacing w:val="-2"/>
        </w:rPr>
        <w:t> agencies.</w:t>
      </w:r>
      <w:r>
        <w:rPr>
          <w:spacing w:val="-2"/>
        </w:rPr>
        <w:t> Collaborations </w:t>
      </w:r>
      <w:r>
        <w:rPr>
          <w:spacing w:val="-6"/>
        </w:rPr>
        <w:t>should</w:t>
      </w:r>
      <w:r>
        <w:rPr>
          <w:spacing w:val="-8"/>
        </w:rPr>
        <w:t> </w:t>
      </w:r>
      <w:r>
        <w:rPr>
          <w:spacing w:val="-6"/>
        </w:rPr>
        <w:t>be</w:t>
      </w:r>
      <w:r>
        <w:rPr>
          <w:spacing w:val="-7"/>
        </w:rPr>
        <w:t> </w:t>
      </w:r>
      <w:r>
        <w:rPr>
          <w:spacing w:val="-6"/>
        </w:rPr>
        <w:t>based</w:t>
      </w:r>
      <w:r>
        <w:rPr>
          <w:spacing w:val="-8"/>
        </w:rPr>
        <w:t> </w:t>
      </w:r>
      <w:r>
        <w:rPr>
          <w:spacing w:val="-6"/>
        </w:rPr>
        <w:t>on</w:t>
      </w:r>
      <w:r>
        <w:rPr>
          <w:spacing w:val="-7"/>
        </w:rPr>
        <w:t> </w:t>
      </w:r>
      <w:r>
        <w:rPr>
          <w:spacing w:val="-6"/>
        </w:rPr>
        <w:t>win-win</w:t>
      </w:r>
      <w:r>
        <w:rPr>
          <w:spacing w:val="-8"/>
        </w:rPr>
        <w:t> </w:t>
      </w:r>
      <w:r>
        <w:rPr>
          <w:spacing w:val="-6"/>
        </w:rPr>
        <w:t>models</w:t>
      </w:r>
      <w:r>
        <w:rPr>
          <w:spacing w:val="-7"/>
        </w:rPr>
        <w:t> </w:t>
      </w:r>
      <w:r>
        <w:rPr>
          <w:spacing w:val="-6"/>
        </w:rPr>
        <w:t>and</w:t>
      </w:r>
      <w:r>
        <w:rPr>
          <w:spacing w:val="-8"/>
        </w:rPr>
        <w:t> </w:t>
      </w:r>
      <w:r>
        <w:rPr>
          <w:spacing w:val="-6"/>
        </w:rPr>
        <w:t>should</w:t>
      </w:r>
      <w:r>
        <w:rPr>
          <w:spacing w:val="-7"/>
        </w:rPr>
        <w:t> </w:t>
      </w:r>
      <w:r>
        <w:rPr>
          <w:spacing w:val="-6"/>
        </w:rPr>
        <w:t>facilitate </w:t>
      </w:r>
      <w:r>
        <w:rPr/>
        <w:t>a</w:t>
      </w:r>
      <w:r>
        <w:rPr>
          <w:spacing w:val="-3"/>
        </w:rPr>
        <w:t> </w:t>
      </w:r>
      <w:r>
        <w:rPr/>
        <w:t>need-based,</w:t>
      </w:r>
      <w:r>
        <w:rPr>
          <w:spacing w:val="-3"/>
        </w:rPr>
        <w:t> </w:t>
      </w:r>
      <w:r>
        <w:rPr/>
        <w:t>two</w:t>
      </w:r>
      <w:r>
        <w:rPr>
          <w:spacing w:val="-3"/>
        </w:rPr>
        <w:t> </w:t>
      </w:r>
      <w:r>
        <w:rPr/>
        <w:t>way</w:t>
      </w:r>
      <w:r>
        <w:rPr>
          <w:spacing w:val="-3"/>
        </w:rPr>
        <w:t> </w:t>
      </w:r>
      <w:r>
        <w:rPr/>
        <w:t>flow</w:t>
      </w:r>
      <w:r>
        <w:rPr>
          <w:spacing w:val="-3"/>
        </w:rPr>
        <w:t> </w:t>
      </w:r>
      <w:r>
        <w:rPr/>
        <w:t>of</w:t>
      </w:r>
      <w:r>
        <w:rPr>
          <w:spacing w:val="-3"/>
        </w:rPr>
        <w:t> </w:t>
      </w:r>
      <w:r>
        <w:rPr/>
        <w:t>knowledge.</w:t>
      </w:r>
      <w:r>
        <w:rPr>
          <w:spacing w:val="-3"/>
        </w:rPr>
        <w:t> </w:t>
      </w:r>
      <w:r>
        <w:rPr/>
        <w:t>One</w:t>
      </w:r>
      <w:r>
        <w:rPr>
          <w:spacing w:val="-3"/>
        </w:rPr>
        <w:t> </w:t>
      </w:r>
      <w:r>
        <w:rPr/>
        <w:t>must also ensure the following:</w:t>
      </w:r>
    </w:p>
    <w:p>
      <w:pPr>
        <w:pStyle w:val="ListParagraph"/>
        <w:numPr>
          <w:ilvl w:val="2"/>
          <w:numId w:val="27"/>
        </w:numPr>
        <w:tabs>
          <w:tab w:pos="679" w:val="left" w:leader="none"/>
        </w:tabs>
        <w:spacing w:line="244" w:lineRule="exact" w:before="0" w:after="0"/>
        <w:ind w:left="679" w:right="0" w:hanging="360"/>
        <w:jc w:val="left"/>
        <w:rPr>
          <w:sz w:val="22"/>
        </w:rPr>
      </w:pPr>
      <w:r>
        <w:rPr>
          <w:spacing w:val="-4"/>
          <w:sz w:val="22"/>
        </w:rPr>
        <w:t>Intellectual</w:t>
      </w:r>
      <w:r>
        <w:rPr>
          <w:spacing w:val="-7"/>
          <w:sz w:val="22"/>
        </w:rPr>
        <w:t> </w:t>
      </w:r>
      <w:r>
        <w:rPr>
          <w:spacing w:val="-4"/>
          <w:sz w:val="22"/>
        </w:rPr>
        <w:t>property</w:t>
      </w:r>
      <w:r>
        <w:rPr>
          <w:spacing w:val="-7"/>
          <w:sz w:val="22"/>
        </w:rPr>
        <w:t> </w:t>
      </w:r>
      <w:r>
        <w:rPr>
          <w:spacing w:val="-4"/>
          <w:sz w:val="22"/>
        </w:rPr>
        <w:t>is</w:t>
      </w:r>
      <w:r>
        <w:rPr>
          <w:spacing w:val="-6"/>
          <w:sz w:val="22"/>
        </w:rPr>
        <w:t> </w:t>
      </w:r>
      <w:r>
        <w:rPr>
          <w:spacing w:val="-4"/>
          <w:sz w:val="22"/>
        </w:rPr>
        <w:t>well-protected.</w:t>
      </w:r>
    </w:p>
    <w:p>
      <w:pPr>
        <w:pStyle w:val="ListParagraph"/>
        <w:numPr>
          <w:ilvl w:val="2"/>
          <w:numId w:val="27"/>
        </w:numPr>
        <w:tabs>
          <w:tab w:pos="679" w:val="left" w:leader="none"/>
        </w:tabs>
        <w:spacing w:line="266" w:lineRule="auto" w:before="27" w:after="0"/>
        <w:ind w:left="679" w:right="1077" w:hanging="360"/>
        <w:jc w:val="left"/>
        <w:rPr>
          <w:sz w:val="22"/>
        </w:rPr>
      </w:pPr>
      <w:r>
        <w:rPr>
          <w:spacing w:val="-2"/>
          <w:sz w:val="22"/>
        </w:rPr>
        <w:t>Collaborations</w:t>
      </w:r>
      <w:r>
        <w:rPr>
          <w:spacing w:val="-12"/>
          <w:sz w:val="22"/>
        </w:rPr>
        <w:t> </w:t>
      </w:r>
      <w:r>
        <w:rPr>
          <w:spacing w:val="-2"/>
          <w:sz w:val="22"/>
        </w:rPr>
        <w:t>are</w:t>
      </w:r>
      <w:r>
        <w:rPr>
          <w:spacing w:val="-12"/>
          <w:sz w:val="22"/>
        </w:rPr>
        <w:t> </w:t>
      </w:r>
      <w:r>
        <w:rPr>
          <w:spacing w:val="-2"/>
          <w:sz w:val="22"/>
        </w:rPr>
        <w:t>based</w:t>
      </w:r>
      <w:r>
        <w:rPr>
          <w:spacing w:val="-12"/>
          <w:sz w:val="22"/>
        </w:rPr>
        <w:t> </w:t>
      </w:r>
      <w:r>
        <w:rPr>
          <w:spacing w:val="-2"/>
          <w:sz w:val="22"/>
        </w:rPr>
        <w:t>on</w:t>
      </w:r>
      <w:r>
        <w:rPr>
          <w:spacing w:val="-11"/>
          <w:sz w:val="22"/>
        </w:rPr>
        <w:t> </w:t>
      </w:r>
      <w:r>
        <w:rPr>
          <w:spacing w:val="-2"/>
          <w:sz w:val="22"/>
        </w:rPr>
        <w:t>synergy</w:t>
      </w:r>
      <w:r>
        <w:rPr>
          <w:spacing w:val="-12"/>
          <w:sz w:val="22"/>
        </w:rPr>
        <w:t> </w:t>
      </w:r>
      <w:r>
        <w:rPr>
          <w:spacing w:val="-2"/>
          <w:sz w:val="22"/>
        </w:rPr>
        <w:t>and</w:t>
      </w:r>
      <w:r>
        <w:rPr>
          <w:spacing w:val="-12"/>
          <w:sz w:val="22"/>
        </w:rPr>
        <w:t> </w:t>
      </w:r>
      <w:r>
        <w:rPr>
          <w:spacing w:val="-2"/>
          <w:sz w:val="22"/>
        </w:rPr>
        <w:t>not</w:t>
      </w:r>
      <w:r>
        <w:rPr>
          <w:spacing w:val="-12"/>
          <w:sz w:val="22"/>
        </w:rPr>
        <w:t> </w:t>
      </w:r>
      <w:r>
        <w:rPr>
          <w:spacing w:val="-2"/>
          <w:sz w:val="22"/>
        </w:rPr>
        <w:t>brand </w:t>
      </w:r>
      <w:r>
        <w:rPr>
          <w:sz w:val="22"/>
        </w:rPr>
        <w:t>name alone.</w:t>
      </w:r>
    </w:p>
    <w:p>
      <w:pPr>
        <w:pStyle w:val="ListParagraph"/>
        <w:numPr>
          <w:ilvl w:val="2"/>
          <w:numId w:val="27"/>
        </w:numPr>
        <w:tabs>
          <w:tab w:pos="679" w:val="left" w:leader="none"/>
        </w:tabs>
        <w:spacing w:line="266" w:lineRule="auto" w:before="0" w:after="0"/>
        <w:ind w:left="679" w:right="1078" w:hanging="360"/>
        <w:jc w:val="left"/>
        <w:rPr>
          <w:sz w:val="22"/>
        </w:rPr>
      </w:pPr>
      <w:r>
        <w:rPr>
          <w:sz w:val="22"/>
        </w:rPr>
        <w:t>Students</w:t>
      </w:r>
      <w:r>
        <w:rPr>
          <w:spacing w:val="10"/>
          <w:sz w:val="22"/>
        </w:rPr>
        <w:t> </w:t>
      </w:r>
      <w:r>
        <w:rPr>
          <w:sz w:val="22"/>
        </w:rPr>
        <w:t>are</w:t>
      </w:r>
      <w:r>
        <w:rPr>
          <w:spacing w:val="10"/>
          <w:sz w:val="22"/>
        </w:rPr>
        <w:t> </w:t>
      </w:r>
      <w:r>
        <w:rPr>
          <w:sz w:val="22"/>
        </w:rPr>
        <w:t>not</w:t>
      </w:r>
      <w:r>
        <w:rPr>
          <w:spacing w:val="10"/>
          <w:sz w:val="22"/>
        </w:rPr>
        <w:t> </w:t>
      </w:r>
      <w:r>
        <w:rPr>
          <w:sz w:val="22"/>
        </w:rPr>
        <w:t>just</w:t>
      </w:r>
      <w:r>
        <w:rPr>
          <w:spacing w:val="10"/>
          <w:sz w:val="22"/>
        </w:rPr>
        <w:t> </w:t>
      </w:r>
      <w:r>
        <w:rPr>
          <w:sz w:val="22"/>
        </w:rPr>
        <w:t>made</w:t>
      </w:r>
      <w:r>
        <w:rPr>
          <w:spacing w:val="10"/>
          <w:sz w:val="22"/>
        </w:rPr>
        <w:t> </w:t>
      </w:r>
      <w:r>
        <w:rPr>
          <w:sz w:val="22"/>
        </w:rPr>
        <w:t>to</w:t>
      </w:r>
      <w:r>
        <w:rPr>
          <w:spacing w:val="10"/>
          <w:sz w:val="22"/>
        </w:rPr>
        <w:t> </w:t>
      </w:r>
      <w:r>
        <w:rPr>
          <w:sz w:val="22"/>
        </w:rPr>
        <w:t>do</w:t>
      </w:r>
      <w:r>
        <w:rPr>
          <w:spacing w:val="10"/>
          <w:sz w:val="22"/>
        </w:rPr>
        <w:t> </w:t>
      </w:r>
      <w:r>
        <w:rPr>
          <w:sz w:val="22"/>
        </w:rPr>
        <w:t>repetitive</w:t>
      </w:r>
      <w:r>
        <w:rPr>
          <w:spacing w:val="10"/>
          <w:sz w:val="22"/>
        </w:rPr>
        <w:t> </w:t>
      </w:r>
      <w:r>
        <w:rPr>
          <w:sz w:val="22"/>
        </w:rPr>
        <w:t>work without</w:t>
      </w:r>
      <w:r>
        <w:rPr>
          <w:spacing w:val="-5"/>
          <w:sz w:val="22"/>
        </w:rPr>
        <w:t> </w:t>
      </w:r>
      <w:r>
        <w:rPr>
          <w:sz w:val="22"/>
        </w:rPr>
        <w:t>any</w:t>
      </w:r>
      <w:r>
        <w:rPr>
          <w:spacing w:val="-5"/>
          <w:sz w:val="22"/>
        </w:rPr>
        <w:t> </w:t>
      </w:r>
      <w:r>
        <w:rPr>
          <w:sz w:val="22"/>
        </w:rPr>
        <w:t>meaningful</w:t>
      </w:r>
      <w:r>
        <w:rPr>
          <w:spacing w:val="-5"/>
          <w:sz w:val="22"/>
        </w:rPr>
        <w:t> </w:t>
      </w:r>
      <w:r>
        <w:rPr>
          <w:sz w:val="22"/>
        </w:rPr>
        <w:t>exchange</w:t>
      </w:r>
      <w:r>
        <w:rPr>
          <w:spacing w:val="-5"/>
          <w:sz w:val="22"/>
        </w:rPr>
        <w:t> </w:t>
      </w:r>
      <w:r>
        <w:rPr>
          <w:sz w:val="22"/>
        </w:rPr>
        <w:t>of</w:t>
      </w:r>
      <w:r>
        <w:rPr>
          <w:spacing w:val="-5"/>
          <w:sz w:val="22"/>
        </w:rPr>
        <w:t> </w:t>
      </w:r>
      <w:r>
        <w:rPr>
          <w:sz w:val="22"/>
        </w:rPr>
        <w:t>knowledge.</w:t>
      </w:r>
    </w:p>
    <w:p>
      <w:pPr>
        <w:pStyle w:val="ListParagraph"/>
        <w:numPr>
          <w:ilvl w:val="2"/>
          <w:numId w:val="27"/>
        </w:numPr>
        <w:tabs>
          <w:tab w:pos="679" w:val="left" w:leader="none"/>
        </w:tabs>
        <w:spacing w:line="266" w:lineRule="auto" w:before="0" w:after="0"/>
        <w:ind w:left="679" w:right="1078" w:hanging="360"/>
        <w:jc w:val="left"/>
        <w:rPr>
          <w:sz w:val="22"/>
        </w:rPr>
      </w:pPr>
      <w:r>
        <w:rPr>
          <w:spacing w:val="-2"/>
          <w:sz w:val="22"/>
        </w:rPr>
        <w:t>Students</w:t>
      </w:r>
      <w:r>
        <w:rPr>
          <w:spacing w:val="-9"/>
          <w:sz w:val="22"/>
        </w:rPr>
        <w:t> </w:t>
      </w:r>
      <w:r>
        <w:rPr>
          <w:spacing w:val="-2"/>
          <w:sz w:val="22"/>
        </w:rPr>
        <w:t>spend</w:t>
      </w:r>
      <w:r>
        <w:rPr>
          <w:spacing w:val="-9"/>
          <w:sz w:val="22"/>
        </w:rPr>
        <w:t> </w:t>
      </w:r>
      <w:r>
        <w:rPr>
          <w:spacing w:val="-2"/>
          <w:sz w:val="22"/>
        </w:rPr>
        <w:t>considerable</w:t>
      </w:r>
      <w:r>
        <w:rPr>
          <w:spacing w:val="-9"/>
          <w:sz w:val="22"/>
        </w:rPr>
        <w:t> </w:t>
      </w:r>
      <w:r>
        <w:rPr>
          <w:spacing w:val="-2"/>
          <w:sz w:val="22"/>
        </w:rPr>
        <w:t>amount</w:t>
      </w:r>
      <w:r>
        <w:rPr>
          <w:spacing w:val="-9"/>
          <w:sz w:val="22"/>
        </w:rPr>
        <w:t> </w:t>
      </w:r>
      <w:r>
        <w:rPr>
          <w:spacing w:val="-2"/>
          <w:sz w:val="22"/>
        </w:rPr>
        <w:t>of</w:t>
      </w:r>
      <w:r>
        <w:rPr>
          <w:spacing w:val="-9"/>
          <w:sz w:val="22"/>
        </w:rPr>
        <w:t> </w:t>
      </w:r>
      <w:r>
        <w:rPr>
          <w:spacing w:val="-2"/>
          <w:sz w:val="22"/>
        </w:rPr>
        <w:t>time</w:t>
      </w:r>
      <w:r>
        <w:rPr>
          <w:spacing w:val="-9"/>
          <w:sz w:val="22"/>
        </w:rPr>
        <w:t> </w:t>
      </w:r>
      <w:r>
        <w:rPr>
          <w:spacing w:val="-2"/>
          <w:sz w:val="22"/>
        </w:rPr>
        <w:t>in</w:t>
      </w:r>
      <w:r>
        <w:rPr>
          <w:spacing w:val="-9"/>
          <w:sz w:val="22"/>
        </w:rPr>
        <w:t> </w:t>
      </w:r>
      <w:r>
        <w:rPr>
          <w:spacing w:val="-2"/>
          <w:sz w:val="22"/>
        </w:rPr>
        <w:t>the </w:t>
      </w:r>
      <w:r>
        <w:rPr>
          <w:sz w:val="22"/>
        </w:rPr>
        <w:t>home institutions.</w:t>
      </w:r>
    </w:p>
    <w:p>
      <w:pPr>
        <w:pStyle w:val="BodyText"/>
        <w:spacing w:before="22"/>
      </w:pPr>
    </w:p>
    <w:p>
      <w:pPr>
        <w:pStyle w:val="BodyText"/>
        <w:spacing w:line="266" w:lineRule="auto"/>
        <w:ind w:left="319" w:right="1077"/>
        <w:jc w:val="both"/>
      </w:pPr>
      <w:r>
        <w:rPr>
          <w:w w:val="90"/>
        </w:rPr>
        <w:t>To conclude, excellent infrastructure, favourable </w:t>
      </w:r>
      <w:r>
        <w:rPr>
          <w:w w:val="90"/>
        </w:rPr>
        <w:t>research </w:t>
      </w:r>
      <w:r>
        <w:rPr>
          <w:spacing w:val="-2"/>
        </w:rPr>
        <w:t>environment,</w:t>
      </w:r>
      <w:r>
        <w:rPr>
          <w:spacing w:val="-10"/>
        </w:rPr>
        <w:t> </w:t>
      </w:r>
      <w:r>
        <w:rPr>
          <w:spacing w:val="-2"/>
        </w:rPr>
        <w:t>reforms</w:t>
      </w:r>
      <w:r>
        <w:rPr>
          <w:spacing w:val="-10"/>
        </w:rPr>
        <w:t> </w:t>
      </w:r>
      <w:r>
        <w:rPr>
          <w:spacing w:val="-2"/>
        </w:rPr>
        <w:t>in</w:t>
      </w:r>
      <w:r>
        <w:rPr>
          <w:spacing w:val="-10"/>
        </w:rPr>
        <w:t> </w:t>
      </w:r>
      <w:r>
        <w:rPr>
          <w:spacing w:val="-2"/>
        </w:rPr>
        <w:t>Higher</w:t>
      </w:r>
      <w:r>
        <w:rPr>
          <w:spacing w:val="-10"/>
        </w:rPr>
        <w:t> </w:t>
      </w:r>
      <w:r>
        <w:rPr>
          <w:spacing w:val="-2"/>
        </w:rPr>
        <w:t>Education</w:t>
      </w:r>
      <w:r>
        <w:rPr>
          <w:spacing w:val="-10"/>
        </w:rPr>
        <w:t> </w:t>
      </w:r>
      <w:r>
        <w:rPr>
          <w:spacing w:val="-2"/>
        </w:rPr>
        <w:t>-</w:t>
      </w:r>
      <w:r>
        <w:rPr>
          <w:spacing w:val="-10"/>
        </w:rPr>
        <w:t> </w:t>
      </w:r>
      <w:r>
        <w:rPr>
          <w:spacing w:val="-2"/>
        </w:rPr>
        <w:t>especially </w:t>
      </w:r>
      <w:r>
        <w:rPr/>
        <w:t>university reforms - and increased funding with sustained</w:t>
      </w:r>
      <w:r>
        <w:rPr>
          <w:spacing w:val="-9"/>
        </w:rPr>
        <w:t> </w:t>
      </w:r>
      <w:r>
        <w:rPr/>
        <w:t>investment</w:t>
      </w:r>
      <w:r>
        <w:rPr>
          <w:spacing w:val="-9"/>
        </w:rPr>
        <w:t> </w:t>
      </w:r>
      <w:r>
        <w:rPr/>
        <w:t>are</w:t>
      </w:r>
      <w:r>
        <w:rPr>
          <w:spacing w:val="-9"/>
        </w:rPr>
        <w:t> </w:t>
      </w:r>
      <w:r>
        <w:rPr/>
        <w:t>all</w:t>
      </w:r>
      <w:r>
        <w:rPr>
          <w:spacing w:val="-9"/>
        </w:rPr>
        <w:t> </w:t>
      </w:r>
      <w:r>
        <w:rPr/>
        <w:t>needed</w:t>
      </w:r>
      <w:r>
        <w:rPr>
          <w:spacing w:val="-9"/>
        </w:rPr>
        <w:t> </w:t>
      </w:r>
      <w:r>
        <w:rPr/>
        <w:t>to</w:t>
      </w:r>
      <w:r>
        <w:rPr>
          <w:spacing w:val="-9"/>
        </w:rPr>
        <w:t> </w:t>
      </w:r>
      <w:r>
        <w:rPr/>
        <w:t>attract</w:t>
      </w:r>
      <w:r>
        <w:rPr>
          <w:spacing w:val="-9"/>
        </w:rPr>
        <w:t> </w:t>
      </w:r>
      <w:r>
        <w:rPr/>
        <w:t>students </w:t>
      </w:r>
      <w:r>
        <w:rPr>
          <w:spacing w:val="-2"/>
        </w:rPr>
        <w:t>to</w:t>
      </w:r>
      <w:r>
        <w:rPr>
          <w:spacing w:val="-9"/>
        </w:rPr>
        <w:t> </w:t>
      </w:r>
      <w:r>
        <w:rPr>
          <w:spacing w:val="-2"/>
        </w:rPr>
        <w:t>doctoral</w:t>
      </w:r>
      <w:r>
        <w:rPr>
          <w:spacing w:val="-9"/>
        </w:rPr>
        <w:t> </w:t>
      </w:r>
      <w:r>
        <w:rPr>
          <w:spacing w:val="-2"/>
        </w:rPr>
        <w:t>programs.</w:t>
      </w:r>
      <w:r>
        <w:rPr>
          <w:spacing w:val="-9"/>
        </w:rPr>
        <w:t> </w:t>
      </w:r>
      <w:r>
        <w:rPr>
          <w:spacing w:val="-2"/>
        </w:rPr>
        <w:t>In</w:t>
      </w:r>
      <w:r>
        <w:rPr>
          <w:spacing w:val="-9"/>
        </w:rPr>
        <w:t> </w:t>
      </w:r>
      <w:r>
        <w:rPr>
          <w:spacing w:val="-2"/>
        </w:rPr>
        <w:t>this</w:t>
      </w:r>
      <w:r>
        <w:rPr>
          <w:spacing w:val="-9"/>
        </w:rPr>
        <w:t> </w:t>
      </w:r>
      <w:r>
        <w:rPr>
          <w:spacing w:val="-2"/>
        </w:rPr>
        <w:t>context,</w:t>
      </w:r>
      <w:r>
        <w:rPr>
          <w:spacing w:val="-9"/>
        </w:rPr>
        <w:t> </w:t>
      </w:r>
      <w:r>
        <w:rPr>
          <w:spacing w:val="-2"/>
        </w:rPr>
        <w:t>there</w:t>
      </w:r>
      <w:r>
        <w:rPr>
          <w:spacing w:val="-9"/>
        </w:rPr>
        <w:t> </w:t>
      </w:r>
      <w:r>
        <w:rPr>
          <w:spacing w:val="-2"/>
        </w:rPr>
        <w:t>is</w:t>
      </w:r>
      <w:r>
        <w:rPr>
          <w:spacing w:val="-9"/>
        </w:rPr>
        <w:t> </w:t>
      </w:r>
      <w:r>
        <w:rPr>
          <w:spacing w:val="-2"/>
        </w:rPr>
        <w:t>an</w:t>
      </w:r>
      <w:r>
        <w:rPr>
          <w:spacing w:val="-9"/>
        </w:rPr>
        <w:t> </w:t>
      </w:r>
      <w:r>
        <w:rPr>
          <w:spacing w:val="-2"/>
        </w:rPr>
        <w:t>urgent need</w:t>
      </w:r>
      <w:r>
        <w:rPr>
          <w:spacing w:val="-12"/>
        </w:rPr>
        <w:t> </w:t>
      </w:r>
      <w:r>
        <w:rPr>
          <w:spacing w:val="-2"/>
        </w:rPr>
        <w:t>to</w:t>
      </w:r>
      <w:r>
        <w:rPr>
          <w:spacing w:val="-12"/>
        </w:rPr>
        <w:t> </w:t>
      </w:r>
      <w:r>
        <w:rPr>
          <w:spacing w:val="-2"/>
        </w:rPr>
        <w:t>give</w:t>
      </w:r>
      <w:r>
        <w:rPr>
          <w:spacing w:val="-12"/>
        </w:rPr>
        <w:t> </w:t>
      </w:r>
      <w:r>
        <w:rPr>
          <w:spacing w:val="-2"/>
        </w:rPr>
        <w:t>special</w:t>
      </w:r>
      <w:r>
        <w:rPr>
          <w:spacing w:val="-11"/>
        </w:rPr>
        <w:t> </w:t>
      </w:r>
      <w:r>
        <w:rPr>
          <w:spacing w:val="-2"/>
        </w:rPr>
        <w:t>attention</w:t>
      </w:r>
      <w:r>
        <w:rPr>
          <w:spacing w:val="-12"/>
        </w:rPr>
        <w:t> </w:t>
      </w:r>
      <w:r>
        <w:rPr>
          <w:spacing w:val="-2"/>
        </w:rPr>
        <w:t>to</w:t>
      </w:r>
      <w:r>
        <w:rPr>
          <w:spacing w:val="-12"/>
        </w:rPr>
        <w:t> </w:t>
      </w:r>
      <w:r>
        <w:rPr>
          <w:spacing w:val="-2"/>
        </w:rPr>
        <w:t>the</w:t>
      </w:r>
      <w:r>
        <w:rPr>
          <w:spacing w:val="-12"/>
        </w:rPr>
        <w:t> </w:t>
      </w:r>
      <w:r>
        <w:rPr>
          <w:spacing w:val="-2"/>
        </w:rPr>
        <w:t>dire</w:t>
      </w:r>
      <w:r>
        <w:rPr>
          <w:spacing w:val="-11"/>
        </w:rPr>
        <w:t> </w:t>
      </w:r>
      <w:r>
        <w:rPr>
          <w:spacing w:val="-2"/>
        </w:rPr>
        <w:t>situation</w:t>
      </w:r>
      <w:r>
        <w:rPr>
          <w:spacing w:val="-12"/>
        </w:rPr>
        <w:t> </w:t>
      </w:r>
      <w:r>
        <w:rPr>
          <w:spacing w:val="-2"/>
        </w:rPr>
        <w:t>of</w:t>
      </w:r>
      <w:r>
        <w:rPr>
          <w:spacing w:val="-12"/>
        </w:rPr>
        <w:t> </w:t>
      </w:r>
      <w:r>
        <w:rPr>
          <w:spacing w:val="-2"/>
        </w:rPr>
        <w:t>the </w:t>
      </w:r>
      <w:r>
        <w:rPr/>
        <w:t>lack</w:t>
      </w:r>
      <w:r>
        <w:rPr>
          <w:spacing w:val="-8"/>
        </w:rPr>
        <w:t> </w:t>
      </w:r>
      <w:r>
        <w:rPr/>
        <w:t>of</w:t>
      </w:r>
      <w:r>
        <w:rPr>
          <w:spacing w:val="-8"/>
        </w:rPr>
        <w:t> </w:t>
      </w:r>
      <w:r>
        <w:rPr/>
        <w:t>qualified</w:t>
      </w:r>
      <w:r>
        <w:rPr>
          <w:spacing w:val="-8"/>
        </w:rPr>
        <w:t> </w:t>
      </w:r>
      <w:r>
        <w:rPr/>
        <w:t>faculty,</w:t>
      </w:r>
      <w:r>
        <w:rPr>
          <w:spacing w:val="-8"/>
        </w:rPr>
        <w:t> </w:t>
      </w:r>
      <w:r>
        <w:rPr/>
        <w:t>and</w:t>
      </w:r>
      <w:r>
        <w:rPr>
          <w:spacing w:val="-8"/>
        </w:rPr>
        <w:t> </w:t>
      </w:r>
      <w:r>
        <w:rPr/>
        <w:t>to</w:t>
      </w:r>
      <w:r>
        <w:rPr>
          <w:spacing w:val="-8"/>
        </w:rPr>
        <w:t> </w:t>
      </w:r>
      <w:r>
        <w:rPr/>
        <w:t>overall</w:t>
      </w:r>
      <w:r>
        <w:rPr>
          <w:spacing w:val="-8"/>
        </w:rPr>
        <w:t> </w:t>
      </w:r>
      <w:r>
        <w:rPr/>
        <w:t>spark</w:t>
      </w:r>
      <w:r>
        <w:rPr>
          <w:spacing w:val="-8"/>
        </w:rPr>
        <w:t> </w:t>
      </w:r>
      <w:r>
        <w:rPr/>
        <w:t>national </w:t>
      </w:r>
      <w:r>
        <w:rPr>
          <w:spacing w:val="-4"/>
        </w:rPr>
        <w:t>interest</w:t>
      </w:r>
      <w:r>
        <w:rPr>
          <w:spacing w:val="-6"/>
        </w:rPr>
        <w:t> </w:t>
      </w:r>
      <w:r>
        <w:rPr>
          <w:spacing w:val="-4"/>
        </w:rPr>
        <w:t>and</w:t>
      </w:r>
      <w:r>
        <w:rPr>
          <w:spacing w:val="-6"/>
        </w:rPr>
        <w:t> </w:t>
      </w:r>
      <w:r>
        <w:rPr>
          <w:spacing w:val="-4"/>
        </w:rPr>
        <w:t>attention</w:t>
      </w:r>
      <w:r>
        <w:rPr>
          <w:spacing w:val="-6"/>
        </w:rPr>
        <w:t> </w:t>
      </w:r>
      <w:r>
        <w:rPr>
          <w:spacing w:val="-4"/>
        </w:rPr>
        <w:t>towards</w:t>
      </w:r>
      <w:r>
        <w:rPr>
          <w:spacing w:val="-6"/>
        </w:rPr>
        <w:t> </w:t>
      </w:r>
      <w:r>
        <w:rPr>
          <w:spacing w:val="-4"/>
        </w:rPr>
        <w:t>academics.</w:t>
      </w:r>
      <w:r>
        <w:rPr>
          <w:spacing w:val="-6"/>
        </w:rPr>
        <w:t> </w:t>
      </w:r>
      <w:r>
        <w:rPr>
          <w:spacing w:val="-4"/>
        </w:rPr>
        <w:t>Any</w:t>
      </w:r>
      <w:r>
        <w:rPr>
          <w:spacing w:val="-6"/>
        </w:rPr>
        <w:t> </w:t>
      </w:r>
      <w:r>
        <w:rPr>
          <w:spacing w:val="-4"/>
        </w:rPr>
        <w:t>initiative or</w:t>
      </w:r>
      <w:r>
        <w:rPr>
          <w:spacing w:val="-12"/>
        </w:rPr>
        <w:t> </w:t>
      </w:r>
      <w:r>
        <w:rPr>
          <w:spacing w:val="-4"/>
        </w:rPr>
        <w:t>investment</w:t>
      </w:r>
      <w:r>
        <w:rPr>
          <w:spacing w:val="-10"/>
        </w:rPr>
        <w:t> </w:t>
      </w:r>
      <w:r>
        <w:rPr>
          <w:spacing w:val="-4"/>
        </w:rPr>
        <w:t>in</w:t>
      </w:r>
      <w:r>
        <w:rPr>
          <w:spacing w:val="-10"/>
        </w:rPr>
        <w:t> </w:t>
      </w:r>
      <w:r>
        <w:rPr>
          <w:spacing w:val="-4"/>
        </w:rPr>
        <w:t>this</w:t>
      </w:r>
      <w:r>
        <w:rPr>
          <w:spacing w:val="-9"/>
        </w:rPr>
        <w:t> </w:t>
      </w:r>
      <w:r>
        <w:rPr>
          <w:spacing w:val="-4"/>
        </w:rPr>
        <w:t>direction</w:t>
      </w:r>
      <w:r>
        <w:rPr>
          <w:spacing w:val="-10"/>
        </w:rPr>
        <w:t> </w:t>
      </w:r>
      <w:r>
        <w:rPr>
          <w:spacing w:val="-4"/>
        </w:rPr>
        <w:t>may</w:t>
      </w:r>
      <w:r>
        <w:rPr>
          <w:spacing w:val="-10"/>
        </w:rPr>
        <w:t> </w:t>
      </w:r>
      <w:r>
        <w:rPr>
          <w:spacing w:val="-4"/>
        </w:rPr>
        <w:t>not</w:t>
      </w:r>
      <w:r>
        <w:rPr>
          <w:spacing w:val="-10"/>
        </w:rPr>
        <w:t> </w:t>
      </w:r>
      <w:r>
        <w:rPr>
          <w:spacing w:val="-4"/>
        </w:rPr>
        <w:t>produce</w:t>
      </w:r>
      <w:r>
        <w:rPr>
          <w:spacing w:val="-9"/>
        </w:rPr>
        <w:t> </w:t>
      </w:r>
      <w:r>
        <w:rPr>
          <w:spacing w:val="-4"/>
        </w:rPr>
        <w:t>tangible </w:t>
      </w:r>
      <w:r>
        <w:rPr/>
        <w:t>results</w:t>
      </w:r>
      <w:r>
        <w:rPr>
          <w:spacing w:val="-14"/>
        </w:rPr>
        <w:t> </w:t>
      </w:r>
      <w:r>
        <w:rPr/>
        <w:t>in</w:t>
      </w:r>
      <w:r>
        <w:rPr>
          <w:spacing w:val="-13"/>
        </w:rPr>
        <w:t> </w:t>
      </w:r>
      <w:r>
        <w:rPr/>
        <w:t>the</w:t>
      </w:r>
      <w:r>
        <w:rPr>
          <w:spacing w:val="-14"/>
        </w:rPr>
        <w:t> </w:t>
      </w:r>
      <w:r>
        <w:rPr/>
        <w:t>short</w:t>
      </w:r>
      <w:r>
        <w:rPr>
          <w:spacing w:val="-13"/>
        </w:rPr>
        <w:t> </w:t>
      </w:r>
      <w:r>
        <w:rPr/>
        <w:t>term.</w:t>
      </w:r>
      <w:r>
        <w:rPr>
          <w:spacing w:val="-14"/>
        </w:rPr>
        <w:t> </w:t>
      </w:r>
      <w:r>
        <w:rPr/>
        <w:t>However,</w:t>
      </w:r>
      <w:r>
        <w:rPr>
          <w:spacing w:val="-13"/>
        </w:rPr>
        <w:t> </w:t>
      </w:r>
      <w:r>
        <w:rPr/>
        <w:t>given</w:t>
      </w:r>
      <w:r>
        <w:rPr>
          <w:spacing w:val="-14"/>
        </w:rPr>
        <w:t> </w:t>
      </w:r>
      <w:r>
        <w:rPr/>
        <w:t>the</w:t>
      </w:r>
      <w:r>
        <w:rPr>
          <w:spacing w:val="-13"/>
        </w:rPr>
        <w:t> </w:t>
      </w:r>
      <w:r>
        <w:rPr/>
        <w:t>enormity of the problem, further procrastination will only lead to greater damage of the system which will render future</w:t>
      </w:r>
      <w:r>
        <w:rPr>
          <w:spacing w:val="-7"/>
        </w:rPr>
        <w:t> </w:t>
      </w:r>
      <w:r>
        <w:rPr/>
        <w:t>repairs</w:t>
      </w:r>
      <w:r>
        <w:rPr>
          <w:spacing w:val="-7"/>
        </w:rPr>
        <w:t> </w:t>
      </w:r>
      <w:r>
        <w:rPr/>
        <w:t>vastly</w:t>
      </w:r>
      <w:r>
        <w:rPr>
          <w:spacing w:val="-7"/>
        </w:rPr>
        <w:t> </w:t>
      </w:r>
      <w:r>
        <w:rPr/>
        <w:t>more</w:t>
      </w:r>
      <w:r>
        <w:rPr>
          <w:spacing w:val="-7"/>
        </w:rPr>
        <w:t> </w:t>
      </w:r>
      <w:r>
        <w:rPr/>
        <w:t>expensive,</w:t>
      </w:r>
      <w:r>
        <w:rPr>
          <w:spacing w:val="-7"/>
        </w:rPr>
        <w:t> </w:t>
      </w:r>
      <w:r>
        <w:rPr/>
        <w:t>both</w:t>
      </w:r>
      <w:r>
        <w:rPr>
          <w:spacing w:val="-7"/>
        </w:rPr>
        <w:t> </w:t>
      </w:r>
      <w:r>
        <w:rPr/>
        <w:t>financially and academically. Hence it is imperative that the </w:t>
      </w:r>
      <w:r>
        <w:rPr>
          <w:spacing w:val="-2"/>
        </w:rPr>
        <w:t>Government</w:t>
      </w:r>
      <w:r>
        <w:rPr>
          <w:spacing w:val="-7"/>
        </w:rPr>
        <w:t> </w:t>
      </w:r>
      <w:r>
        <w:rPr>
          <w:spacing w:val="-2"/>
        </w:rPr>
        <w:t>acts</w:t>
      </w:r>
      <w:r>
        <w:rPr>
          <w:spacing w:val="-7"/>
        </w:rPr>
        <w:t> </w:t>
      </w:r>
      <w:r>
        <w:rPr>
          <w:spacing w:val="-2"/>
        </w:rPr>
        <w:t>with</w:t>
      </w:r>
      <w:r>
        <w:rPr>
          <w:spacing w:val="-7"/>
        </w:rPr>
        <w:t> </w:t>
      </w:r>
      <w:r>
        <w:rPr>
          <w:spacing w:val="-2"/>
        </w:rPr>
        <w:t>a</w:t>
      </w:r>
      <w:r>
        <w:rPr>
          <w:spacing w:val="-7"/>
        </w:rPr>
        <w:t> </w:t>
      </w:r>
      <w:r>
        <w:rPr>
          <w:spacing w:val="-2"/>
        </w:rPr>
        <w:t>sense</w:t>
      </w:r>
      <w:r>
        <w:rPr>
          <w:spacing w:val="-7"/>
        </w:rPr>
        <w:t> </w:t>
      </w:r>
      <w:r>
        <w:rPr>
          <w:spacing w:val="-2"/>
        </w:rPr>
        <w:t>of</w:t>
      </w:r>
      <w:r>
        <w:rPr>
          <w:spacing w:val="-7"/>
        </w:rPr>
        <w:t> </w:t>
      </w:r>
      <w:r>
        <w:rPr>
          <w:spacing w:val="-2"/>
        </w:rPr>
        <w:t>urgency</w:t>
      </w:r>
      <w:r>
        <w:rPr>
          <w:spacing w:val="-7"/>
        </w:rPr>
        <w:t> </w:t>
      </w:r>
      <w:r>
        <w:rPr>
          <w:spacing w:val="-2"/>
        </w:rPr>
        <w:t>and</w:t>
      </w:r>
      <w:r>
        <w:rPr>
          <w:spacing w:val="-7"/>
        </w:rPr>
        <w:t> </w:t>
      </w:r>
      <w:r>
        <w:rPr>
          <w:spacing w:val="-2"/>
        </w:rPr>
        <w:t>embarks </w:t>
      </w:r>
      <w:r>
        <w:rPr/>
        <w:t>on the remedial path immediately.</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before="4"/>
        <w:rPr>
          <w:sz w:val="17"/>
        </w:rPr>
      </w:pPr>
    </w:p>
    <w:p>
      <w:pPr>
        <w:spacing w:after="0"/>
        <w:rPr>
          <w:sz w:val="17"/>
        </w:rPr>
        <w:sectPr>
          <w:footerReference w:type="even" r:id="rId623"/>
          <w:pgSz w:w="11910" w:h="16840"/>
          <w:pgMar w:header="0" w:footer="0" w:top="1920" w:bottom="280" w:left="0" w:right="0"/>
        </w:sectPr>
      </w:pPr>
    </w:p>
    <w:p>
      <w:pPr>
        <w:pStyle w:val="Heading2"/>
        <w:spacing w:line="211" w:lineRule="auto"/>
      </w:pPr>
      <w:r>
        <w:rPr/>
        <mc:AlternateContent>
          <mc:Choice Requires="wps">
            <w:drawing>
              <wp:anchor distT="0" distB="0" distL="0" distR="0" allowOverlap="1" layoutInCell="1" locked="0" behindDoc="1" simplePos="0" relativeHeight="479353856">
                <wp:simplePos x="0" y="0"/>
                <wp:positionH relativeFrom="page">
                  <wp:posOffset>0</wp:posOffset>
                </wp:positionH>
                <wp:positionV relativeFrom="page">
                  <wp:posOffset>38</wp:posOffset>
                </wp:positionV>
                <wp:extent cx="7560309" cy="10692130"/>
                <wp:effectExtent l="0" t="0" r="0" b="0"/>
                <wp:wrapNone/>
                <wp:docPr id="942" name="Group 942"/>
                <wp:cNvGraphicFramePr>
                  <a:graphicFrameLocks/>
                </wp:cNvGraphicFramePr>
                <a:graphic>
                  <a:graphicData uri="http://schemas.microsoft.com/office/word/2010/wordprocessingGroup">
                    <wpg:wgp>
                      <wpg:cNvPr id="942" name="Group 942"/>
                      <wpg:cNvGrpSpPr/>
                      <wpg:grpSpPr>
                        <a:xfrm>
                          <a:off x="0" y="0"/>
                          <a:ext cx="7560309" cy="10692130"/>
                          <a:chExt cx="7560309" cy="10692130"/>
                        </a:xfrm>
                      </wpg:grpSpPr>
                      <pic:pic>
                        <pic:nvPicPr>
                          <pic:cNvPr id="943" name="Image 943"/>
                          <pic:cNvPicPr/>
                        </pic:nvPicPr>
                        <pic:blipFill>
                          <a:blip r:embed="rId614" cstate="print"/>
                          <a:stretch>
                            <a:fillRect/>
                          </a:stretch>
                        </pic:blipFill>
                        <pic:spPr>
                          <a:xfrm>
                            <a:off x="0" y="0"/>
                            <a:ext cx="7559999" cy="10691964"/>
                          </a:xfrm>
                          <a:prstGeom prst="rect">
                            <a:avLst/>
                          </a:prstGeom>
                        </pic:spPr>
                      </pic:pic>
                      <pic:pic>
                        <pic:nvPicPr>
                          <pic:cNvPr id="944" name="Image 944"/>
                          <pic:cNvPicPr/>
                        </pic:nvPicPr>
                        <pic:blipFill>
                          <a:blip r:embed="rId625" cstate="print"/>
                          <a:stretch>
                            <a:fillRect/>
                          </a:stretch>
                        </pic:blipFill>
                        <pic:spPr>
                          <a:xfrm>
                            <a:off x="0" y="3631475"/>
                            <a:ext cx="7559999" cy="7060488"/>
                          </a:xfrm>
                          <a:prstGeom prst="rect">
                            <a:avLst/>
                          </a:prstGeom>
                        </pic:spPr>
                      </pic:pic>
                    </wpg:wgp>
                  </a:graphicData>
                </a:graphic>
              </wp:anchor>
            </w:drawing>
          </mc:Choice>
          <mc:Fallback>
            <w:pict>
              <v:group style="position:absolute;margin-left:0pt;margin-top:.003055pt;width:595.3pt;height:841.9pt;mso-position-horizontal-relative:page;mso-position-vertical-relative:page;z-index:-23962624" id="docshapegroup935" coordorigin="0,0" coordsize="11906,16838">
                <v:shape style="position:absolute;left:0;top:0;width:11906;height:16838" type="#_x0000_t75" id="docshape936" stroked="false">
                  <v:imagedata r:id="rId614" o:title=""/>
                </v:shape>
                <v:shape style="position:absolute;left:0;top:5718;width:11906;height:11119" type="#_x0000_t75" id="docshape937" stroked="false">
                  <v:imagedata r:id="rId625" o:title=""/>
                </v:shape>
                <w10:wrap type="none"/>
              </v:group>
            </w:pict>
          </mc:Fallback>
        </mc:AlternateContent>
      </w:r>
      <w:r>
        <w:rPr>
          <w:color w:val="E3C626"/>
        </w:rPr>
        <w:t>Creation</w:t>
      </w:r>
      <w:r>
        <w:rPr>
          <w:color w:val="E3C626"/>
          <w:spacing w:val="-36"/>
        </w:rPr>
        <w:t> </w:t>
      </w:r>
      <w:r>
        <w:rPr>
          <w:color w:val="E3C626"/>
        </w:rPr>
        <w:t>of </w:t>
      </w:r>
      <w:r>
        <w:rPr>
          <w:color w:val="E3C626"/>
          <w:spacing w:val="-2"/>
        </w:rPr>
        <w:t>Knowledge</w:t>
      </w:r>
    </w:p>
    <w:p>
      <w:pPr>
        <w:pStyle w:val="BodyText"/>
        <w:spacing w:before="67"/>
        <w:rPr>
          <w:rFonts w:ascii="Trebuchet MS"/>
          <w:b/>
          <w:sz w:val="32"/>
        </w:rPr>
      </w:pPr>
    </w:p>
    <w:p>
      <w:pPr>
        <w:spacing w:line="417" w:lineRule="auto" w:before="1"/>
        <w:ind w:left="2025" w:right="3595" w:firstLine="0"/>
        <w:jc w:val="left"/>
        <w:rPr>
          <w:sz w:val="32"/>
        </w:rPr>
      </w:pPr>
      <w:r>
        <w:rPr>
          <w:spacing w:val="-6"/>
          <w:sz w:val="32"/>
        </w:rPr>
        <w:t>National</w:t>
      </w:r>
      <w:r>
        <w:rPr>
          <w:spacing w:val="-11"/>
          <w:sz w:val="32"/>
        </w:rPr>
        <w:t> </w:t>
      </w:r>
      <w:r>
        <w:rPr>
          <w:spacing w:val="-6"/>
          <w:sz w:val="32"/>
        </w:rPr>
        <w:t>Science</w:t>
      </w:r>
      <w:r>
        <w:rPr>
          <w:spacing w:val="-11"/>
          <w:sz w:val="32"/>
        </w:rPr>
        <w:t> </w:t>
      </w:r>
      <w:r>
        <w:rPr>
          <w:spacing w:val="-6"/>
          <w:sz w:val="32"/>
        </w:rPr>
        <w:t>and</w:t>
      </w:r>
      <w:r>
        <w:rPr>
          <w:spacing w:val="-11"/>
          <w:sz w:val="32"/>
        </w:rPr>
        <w:t> </w:t>
      </w:r>
      <w:r>
        <w:rPr>
          <w:spacing w:val="-6"/>
          <w:sz w:val="32"/>
        </w:rPr>
        <w:t>Social</w:t>
      </w:r>
      <w:r>
        <w:rPr>
          <w:spacing w:val="-11"/>
          <w:sz w:val="32"/>
        </w:rPr>
        <w:t> </w:t>
      </w:r>
      <w:r>
        <w:rPr>
          <w:spacing w:val="-6"/>
          <w:sz w:val="32"/>
        </w:rPr>
        <w:t>Science</w:t>
      </w:r>
      <w:r>
        <w:rPr>
          <w:spacing w:val="-11"/>
          <w:sz w:val="32"/>
        </w:rPr>
        <w:t> </w:t>
      </w:r>
      <w:r>
        <w:rPr>
          <w:spacing w:val="-6"/>
          <w:sz w:val="32"/>
        </w:rPr>
        <w:t>Foundation </w:t>
      </w:r>
      <w:r>
        <w:rPr>
          <w:spacing w:val="-2"/>
          <w:sz w:val="32"/>
        </w:rPr>
        <w:t>Legal</w:t>
      </w:r>
      <w:r>
        <w:rPr>
          <w:spacing w:val="-15"/>
          <w:sz w:val="32"/>
        </w:rPr>
        <w:t> </w:t>
      </w:r>
      <w:r>
        <w:rPr>
          <w:spacing w:val="-2"/>
          <w:sz w:val="32"/>
        </w:rPr>
        <w:t>Framework</w:t>
      </w:r>
      <w:r>
        <w:rPr>
          <w:spacing w:val="-15"/>
          <w:sz w:val="32"/>
        </w:rPr>
        <w:t> </w:t>
      </w:r>
      <w:r>
        <w:rPr>
          <w:spacing w:val="-2"/>
          <w:sz w:val="32"/>
        </w:rPr>
        <w:t>for</w:t>
      </w:r>
      <w:r>
        <w:rPr>
          <w:spacing w:val="-15"/>
          <w:sz w:val="32"/>
        </w:rPr>
        <w:t> </w:t>
      </w:r>
      <w:r>
        <w:rPr>
          <w:spacing w:val="-2"/>
          <w:sz w:val="32"/>
        </w:rPr>
        <w:t>Public</w:t>
      </w:r>
      <w:r>
        <w:rPr>
          <w:spacing w:val="-15"/>
          <w:sz w:val="32"/>
        </w:rPr>
        <w:t> </w:t>
      </w:r>
      <w:r>
        <w:rPr>
          <w:spacing w:val="-2"/>
          <w:sz w:val="32"/>
        </w:rPr>
        <w:t>Funded</w:t>
      </w:r>
      <w:r>
        <w:rPr>
          <w:spacing w:val="-15"/>
          <w:sz w:val="32"/>
        </w:rPr>
        <w:t> </w:t>
      </w:r>
      <w:r>
        <w:rPr>
          <w:spacing w:val="-2"/>
          <w:sz w:val="32"/>
        </w:rPr>
        <w:t>Research </w:t>
      </w:r>
      <w:r>
        <w:rPr>
          <w:sz w:val="32"/>
        </w:rPr>
        <w:t>Intellectual Property Rights (IPR)</w:t>
      </w:r>
    </w:p>
    <w:p>
      <w:pPr>
        <w:spacing w:line="417" w:lineRule="auto" w:before="0"/>
        <w:ind w:left="2025" w:right="7725" w:firstLine="0"/>
        <w:jc w:val="left"/>
        <w:rPr>
          <w:sz w:val="32"/>
        </w:rPr>
      </w:pPr>
      <w:r>
        <w:rPr>
          <w:spacing w:val="-2"/>
          <w:sz w:val="32"/>
        </w:rPr>
        <w:t>Innovation </w:t>
      </w:r>
      <w:r>
        <w:rPr>
          <w:spacing w:val="-4"/>
          <w:sz w:val="32"/>
        </w:rPr>
        <w:t>Entrepreneurship</w:t>
      </w:r>
    </w:p>
    <w:p>
      <w:pPr>
        <w:spacing w:after="0" w:line="417" w:lineRule="auto"/>
        <w:jc w:val="left"/>
        <w:rPr>
          <w:sz w:val="32"/>
        </w:rPr>
        <w:sectPr>
          <w:footerReference w:type="default" r:id="rId624"/>
          <w:pgSz w:w="11910" w:h="16840"/>
          <w:pgMar w:header="0" w:footer="0" w:top="1920" w:bottom="280" w:left="0" w:right="0"/>
        </w:sectPr>
      </w:pPr>
    </w:p>
    <w:p>
      <w:pPr>
        <w:pStyle w:val="BodyText"/>
        <w:spacing w:before="4"/>
        <w:rPr>
          <w:sz w:val="17"/>
        </w:rPr>
      </w:pPr>
    </w:p>
    <w:p>
      <w:pPr>
        <w:spacing w:after="0"/>
        <w:rPr>
          <w:sz w:val="17"/>
        </w:rPr>
        <w:sectPr>
          <w:footerReference w:type="even" r:id="rId626"/>
          <w:pgSz w:w="11910" w:h="16840"/>
          <w:pgMar w:header="0" w:footer="0"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p>
    <w:p>
      <w:pPr>
        <w:spacing w:after="0"/>
        <w:rPr>
          <w:sz w:val="20"/>
        </w:rPr>
        <w:sectPr>
          <w:footerReference w:type="default" r:id="rId627"/>
          <w:footerReference w:type="even" r:id="rId628"/>
          <w:pgSz w:w="11910" w:h="16840"/>
          <w:pgMar w:header="0" w:footer="675" w:top="0" w:bottom="860" w:left="0" w:right="0"/>
          <w:pgNumType w:start="131"/>
        </w:sectPr>
      </w:pPr>
    </w:p>
    <w:p>
      <w:pPr>
        <w:pStyle w:val="BodyText"/>
        <w:spacing w:line="266" w:lineRule="auto" w:before="83"/>
        <w:ind w:left="1079" w:firstLine="343"/>
        <w:jc w:val="right"/>
      </w:pPr>
      <w:r>
        <w:rPr/>
        <mc:AlternateContent>
          <mc:Choice Requires="wps">
            <w:drawing>
              <wp:anchor distT="0" distB="0" distL="0" distR="0" allowOverlap="1" layoutInCell="1" locked="0" behindDoc="0" simplePos="0" relativeHeight="15777792">
                <wp:simplePos x="0" y="0"/>
                <wp:positionH relativeFrom="page">
                  <wp:posOffset>0</wp:posOffset>
                </wp:positionH>
                <wp:positionV relativeFrom="paragraph">
                  <wp:posOffset>-2286283</wp:posOffset>
                </wp:positionV>
                <wp:extent cx="7560309" cy="1752600"/>
                <wp:effectExtent l="0" t="0" r="0" b="0"/>
                <wp:wrapNone/>
                <wp:docPr id="954" name="Group 954"/>
                <wp:cNvGraphicFramePr>
                  <a:graphicFrameLocks/>
                </wp:cNvGraphicFramePr>
                <a:graphic>
                  <a:graphicData uri="http://schemas.microsoft.com/office/word/2010/wordprocessingGroup">
                    <wpg:wgp>
                      <wpg:cNvPr id="954" name="Group 954"/>
                      <wpg:cNvGrpSpPr/>
                      <wpg:grpSpPr>
                        <a:xfrm>
                          <a:off x="0" y="0"/>
                          <a:ext cx="7560309" cy="1752600"/>
                          <a:chExt cx="7560309" cy="1752600"/>
                        </a:xfrm>
                      </wpg:grpSpPr>
                      <pic:pic>
                        <pic:nvPicPr>
                          <pic:cNvPr id="955" name="Image 955"/>
                          <pic:cNvPicPr/>
                        </pic:nvPicPr>
                        <pic:blipFill>
                          <a:blip r:embed="rId11" cstate="print"/>
                          <a:stretch>
                            <a:fillRect/>
                          </a:stretch>
                        </pic:blipFill>
                        <pic:spPr>
                          <a:xfrm>
                            <a:off x="0" y="0"/>
                            <a:ext cx="7559999" cy="1752562"/>
                          </a:xfrm>
                          <a:prstGeom prst="rect">
                            <a:avLst/>
                          </a:prstGeom>
                        </pic:spPr>
                      </pic:pic>
                      <wps:wsp>
                        <wps:cNvPr id="956" name="Textbox 956"/>
                        <wps:cNvSpPr txBox="1"/>
                        <wps:spPr>
                          <a:xfrm>
                            <a:off x="685800" y="598688"/>
                            <a:ext cx="5530215"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National</w:t>
                              </w:r>
                              <w:r>
                                <w:rPr>
                                  <w:rFonts w:ascii="Trebuchet MS"/>
                                  <w:b/>
                                  <w:color w:val="FFFFFF"/>
                                  <w:spacing w:val="-3"/>
                                  <w:sz w:val="68"/>
                                </w:rPr>
                                <w:t> </w:t>
                              </w:r>
                              <w:r>
                                <w:rPr>
                                  <w:rFonts w:ascii="Trebuchet MS"/>
                                  <w:b/>
                                  <w:color w:val="FFFFFF"/>
                                  <w:sz w:val="68"/>
                                </w:rPr>
                                <w:t>Science and </w:t>
                              </w:r>
                              <w:r>
                                <w:rPr>
                                  <w:rFonts w:ascii="Trebuchet MS"/>
                                  <w:b/>
                                  <w:color w:val="FFFFFF"/>
                                  <w:spacing w:val="-2"/>
                                  <w:sz w:val="68"/>
                                </w:rPr>
                                <w:t>Social</w:t>
                              </w:r>
                            </w:p>
                          </w:txbxContent>
                        </wps:txbx>
                        <wps:bodyPr wrap="square" lIns="0" tIns="0" rIns="0" bIns="0" rtlCol="0">
                          <a:noAutofit/>
                        </wps:bodyPr>
                      </wps:wsp>
                      <wps:wsp>
                        <wps:cNvPr id="957" name="Textbox 957"/>
                        <wps:cNvSpPr txBox="1"/>
                        <wps:spPr>
                          <a:xfrm>
                            <a:off x="685800" y="1116848"/>
                            <a:ext cx="3951604"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Science </w:t>
                              </w:r>
                              <w:r>
                                <w:rPr>
                                  <w:rFonts w:ascii="Trebuchet MS"/>
                                  <w:b/>
                                  <w:color w:val="FFFFFF"/>
                                  <w:spacing w:val="-4"/>
                                  <w:sz w:val="68"/>
                                </w:rPr>
                                <w:t>Foundation</w:t>
                              </w:r>
                            </w:p>
                          </w:txbxContent>
                        </wps:txbx>
                        <wps:bodyPr wrap="square" lIns="0" tIns="0" rIns="0" bIns="0" rtlCol="0">
                          <a:noAutofit/>
                        </wps:bodyPr>
                      </wps:wsp>
                      <wps:wsp>
                        <wps:cNvPr id="958" name="Textbox 958"/>
                        <wps:cNvSpPr txBox="1"/>
                        <wps:spPr>
                          <a:xfrm>
                            <a:off x="5762481" y="1499375"/>
                            <a:ext cx="1124585" cy="158750"/>
                          </a:xfrm>
                          <a:prstGeom prst="rect">
                            <a:avLst/>
                          </a:prstGeom>
                        </wps:spPr>
                        <wps:txbx>
                          <w:txbxContent>
                            <w:p>
                              <w:pPr>
                                <w:spacing w:line="238" w:lineRule="exact" w:before="0"/>
                                <w:ind w:left="0" w:right="0" w:firstLine="0"/>
                                <w:jc w:val="left"/>
                                <w:rPr>
                                  <w:b/>
                                  <w:sz w:val="22"/>
                                </w:rPr>
                              </w:pPr>
                              <w:r>
                                <w:rPr>
                                  <w:b/>
                                  <w:color w:val="FFFFFF"/>
                                  <w:spacing w:val="-6"/>
                                  <w:sz w:val="22"/>
                                </w:rPr>
                                <w:t>November</w:t>
                              </w:r>
                              <w:r>
                                <w:rPr>
                                  <w:b/>
                                  <w:color w:val="FFFFFF"/>
                                  <w:spacing w:val="-2"/>
                                  <w:sz w:val="22"/>
                                </w:rPr>
                                <w:t> </w:t>
                              </w:r>
                              <w:r>
                                <w:rPr>
                                  <w:b/>
                                  <w:color w:val="FFFFFF"/>
                                  <w:spacing w:val="-6"/>
                                  <w:sz w:val="22"/>
                                </w:rPr>
                                <w:t>28,</w:t>
                              </w:r>
                              <w:r>
                                <w:rPr>
                                  <w:b/>
                                  <w:color w:val="FFFFFF"/>
                                  <w:spacing w:val="-2"/>
                                  <w:sz w:val="22"/>
                                </w:rPr>
                                <w:t> </w:t>
                              </w:r>
                              <w:r>
                                <w:rPr>
                                  <w:b/>
                                  <w:color w:val="FFFFFF"/>
                                  <w:spacing w:val="-6"/>
                                  <w:sz w:val="22"/>
                                </w:rPr>
                                <w:t>2006</w:t>
                              </w:r>
                            </w:p>
                          </w:txbxContent>
                        </wps:txbx>
                        <wps:bodyPr wrap="square" lIns="0" tIns="0" rIns="0" bIns="0" rtlCol="0">
                          <a:noAutofit/>
                        </wps:bodyPr>
                      </wps:wsp>
                    </wpg:wgp>
                  </a:graphicData>
                </a:graphic>
              </wp:anchor>
            </w:drawing>
          </mc:Choice>
          <mc:Fallback>
            <w:pict>
              <v:group style="position:absolute;margin-left:0pt;margin-top:-180.022308pt;width:595.3pt;height:138pt;mso-position-horizontal-relative:page;mso-position-vertical-relative:paragraph;z-index:15777792" id="docshapegroup947" coordorigin="0,-3600" coordsize="11906,2760">
                <v:shape style="position:absolute;left:0;top:-3601;width:11906;height:2760" type="#_x0000_t75" id="docshape948" stroked="false">
                  <v:imagedata r:id="rId11" o:title=""/>
                </v:shape>
                <v:shape style="position:absolute;left:1080;top:-2658;width:8709;height:790" type="#_x0000_t202" id="docshape949" filled="false" stroked="false">
                  <v:textbox inset="0,0,0,0">
                    <w:txbxContent>
                      <w:p>
                        <w:pPr>
                          <w:spacing w:before="0"/>
                          <w:ind w:left="0" w:right="0" w:firstLine="0"/>
                          <w:jc w:val="left"/>
                          <w:rPr>
                            <w:rFonts w:ascii="Trebuchet MS"/>
                            <w:b/>
                            <w:sz w:val="68"/>
                          </w:rPr>
                        </w:pPr>
                        <w:r>
                          <w:rPr>
                            <w:rFonts w:ascii="Trebuchet MS"/>
                            <w:b/>
                            <w:color w:val="FFFFFF"/>
                            <w:sz w:val="68"/>
                          </w:rPr>
                          <w:t>National</w:t>
                        </w:r>
                        <w:r>
                          <w:rPr>
                            <w:rFonts w:ascii="Trebuchet MS"/>
                            <w:b/>
                            <w:color w:val="FFFFFF"/>
                            <w:spacing w:val="-3"/>
                            <w:sz w:val="68"/>
                          </w:rPr>
                          <w:t> </w:t>
                        </w:r>
                        <w:r>
                          <w:rPr>
                            <w:rFonts w:ascii="Trebuchet MS"/>
                            <w:b/>
                            <w:color w:val="FFFFFF"/>
                            <w:sz w:val="68"/>
                          </w:rPr>
                          <w:t>Science and </w:t>
                        </w:r>
                        <w:r>
                          <w:rPr>
                            <w:rFonts w:ascii="Trebuchet MS"/>
                            <w:b/>
                            <w:color w:val="FFFFFF"/>
                            <w:spacing w:val="-2"/>
                            <w:sz w:val="68"/>
                          </w:rPr>
                          <w:t>Social</w:t>
                        </w:r>
                      </w:p>
                    </w:txbxContent>
                  </v:textbox>
                  <w10:wrap type="none"/>
                </v:shape>
                <v:shape style="position:absolute;left:1080;top:-1842;width:6223;height:790" type="#_x0000_t202" id="docshape950" filled="false" stroked="false">
                  <v:textbox inset="0,0,0,0">
                    <w:txbxContent>
                      <w:p>
                        <w:pPr>
                          <w:spacing w:before="0"/>
                          <w:ind w:left="0" w:right="0" w:firstLine="0"/>
                          <w:jc w:val="left"/>
                          <w:rPr>
                            <w:rFonts w:ascii="Trebuchet MS"/>
                            <w:b/>
                            <w:sz w:val="68"/>
                          </w:rPr>
                        </w:pPr>
                        <w:r>
                          <w:rPr>
                            <w:rFonts w:ascii="Trebuchet MS"/>
                            <w:b/>
                            <w:color w:val="FFFFFF"/>
                            <w:sz w:val="68"/>
                          </w:rPr>
                          <w:t>Science </w:t>
                        </w:r>
                        <w:r>
                          <w:rPr>
                            <w:rFonts w:ascii="Trebuchet MS"/>
                            <w:b/>
                            <w:color w:val="FFFFFF"/>
                            <w:spacing w:val="-4"/>
                            <w:sz w:val="68"/>
                          </w:rPr>
                          <w:t>Foundation</w:t>
                        </w:r>
                      </w:p>
                    </w:txbxContent>
                  </v:textbox>
                  <w10:wrap type="none"/>
                </v:shape>
                <v:shape style="position:absolute;left:9074;top:-1240;width:1771;height:250" type="#_x0000_t202" id="docshape951" filled="false" stroked="false">
                  <v:textbox inset="0,0,0,0">
                    <w:txbxContent>
                      <w:p>
                        <w:pPr>
                          <w:spacing w:line="238" w:lineRule="exact" w:before="0"/>
                          <w:ind w:left="0" w:right="0" w:firstLine="0"/>
                          <w:jc w:val="left"/>
                          <w:rPr>
                            <w:b/>
                            <w:sz w:val="22"/>
                          </w:rPr>
                        </w:pPr>
                        <w:r>
                          <w:rPr>
                            <w:b/>
                            <w:color w:val="FFFFFF"/>
                            <w:spacing w:val="-6"/>
                            <w:sz w:val="22"/>
                          </w:rPr>
                          <w:t>November</w:t>
                        </w:r>
                        <w:r>
                          <w:rPr>
                            <w:b/>
                            <w:color w:val="FFFFFF"/>
                            <w:spacing w:val="-2"/>
                            <w:sz w:val="22"/>
                          </w:rPr>
                          <w:t> </w:t>
                        </w:r>
                        <w:r>
                          <w:rPr>
                            <w:b/>
                            <w:color w:val="FFFFFF"/>
                            <w:spacing w:val="-6"/>
                            <w:sz w:val="22"/>
                          </w:rPr>
                          <w:t>28,</w:t>
                        </w:r>
                        <w:r>
                          <w:rPr>
                            <w:b/>
                            <w:color w:val="FFFFFF"/>
                            <w:spacing w:val="-2"/>
                            <w:sz w:val="22"/>
                          </w:rPr>
                          <w:t> </w:t>
                        </w:r>
                        <w:r>
                          <w:rPr>
                            <w:b/>
                            <w:color w:val="FFFFFF"/>
                            <w:spacing w:val="-6"/>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54880">
                <wp:simplePos x="0" y="0"/>
                <wp:positionH relativeFrom="page">
                  <wp:posOffset>685799</wp:posOffset>
                </wp:positionH>
                <wp:positionV relativeFrom="paragraph">
                  <wp:posOffset>-36663</wp:posOffset>
                </wp:positionV>
                <wp:extent cx="228600" cy="757555"/>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228600" cy="757555"/>
                        </a:xfrm>
                        <a:prstGeom prst="rect">
                          <a:avLst/>
                        </a:prstGeom>
                      </wps:spPr>
                      <wps:txbx>
                        <w:txbxContent>
                          <w:p>
                            <w:pPr>
                              <w:spacing w:line="1135" w:lineRule="exact" w:before="0"/>
                              <w:ind w:left="0" w:right="0" w:firstLine="0"/>
                              <w:jc w:val="left"/>
                              <w:rPr>
                                <w:sz w:val="106"/>
                              </w:rPr>
                            </w:pPr>
                            <w:r>
                              <w:rPr>
                                <w:color w:val="9CBF3B"/>
                                <w:spacing w:val="-10"/>
                                <w:sz w:val="106"/>
                              </w:rPr>
                              <w:t>I</w:t>
                            </w:r>
                          </w:p>
                        </w:txbxContent>
                      </wps:txbx>
                      <wps:bodyPr wrap="square" lIns="0" tIns="0" rIns="0" bIns="0" rtlCol="0">
                        <a:noAutofit/>
                      </wps:bodyPr>
                    </wps:wsp>
                  </a:graphicData>
                </a:graphic>
              </wp:anchor>
            </w:drawing>
          </mc:Choice>
          <mc:Fallback>
            <w:pict>
              <v:shape style="position:absolute;margin-left:53.999981pt;margin-top:-2.88692pt;width:18pt;height:59.65pt;mso-position-horizontal-relative:page;mso-position-vertical-relative:paragraph;z-index:-23961600" type="#_x0000_t202" id="docshape952" filled="false" stroked="false">
                <v:textbox inset="0,0,0,0">
                  <w:txbxContent>
                    <w:p>
                      <w:pPr>
                        <w:spacing w:line="1135" w:lineRule="exact" w:before="0"/>
                        <w:ind w:left="0" w:right="0" w:firstLine="0"/>
                        <w:jc w:val="left"/>
                        <w:rPr>
                          <w:sz w:val="106"/>
                        </w:rPr>
                      </w:pPr>
                      <w:r>
                        <w:rPr>
                          <w:color w:val="9CBF3B"/>
                          <w:spacing w:val="-10"/>
                          <w:sz w:val="106"/>
                        </w:rPr>
                        <w:t>I</w:t>
                      </w:r>
                    </w:p>
                  </w:txbxContent>
                </v:textbox>
                <w10:wrap type="none"/>
              </v:shape>
            </w:pict>
          </mc:Fallback>
        </mc:AlternateContent>
      </w:r>
      <w:r>
        <w:rPr>
          <w:spacing w:val="-6"/>
        </w:rPr>
        <w:t>ndian scientists made significant contributions to the </w:t>
      </w:r>
      <w:r>
        <w:rPr>
          <w:spacing w:val="-2"/>
        </w:rPr>
        <w:t>advancement</w:t>
      </w:r>
      <w:r>
        <w:rPr>
          <w:spacing w:val="-10"/>
        </w:rPr>
        <w:t> </w:t>
      </w:r>
      <w:r>
        <w:rPr>
          <w:spacing w:val="-2"/>
        </w:rPr>
        <w:t>of</w:t>
      </w:r>
      <w:r>
        <w:rPr>
          <w:spacing w:val="-10"/>
        </w:rPr>
        <w:t> </w:t>
      </w:r>
      <w:r>
        <w:rPr>
          <w:spacing w:val="-2"/>
        </w:rPr>
        <w:t>science</w:t>
      </w:r>
      <w:r>
        <w:rPr>
          <w:spacing w:val="-10"/>
        </w:rPr>
        <w:t> </w:t>
      </w:r>
      <w:r>
        <w:rPr>
          <w:spacing w:val="-2"/>
        </w:rPr>
        <w:t>and</w:t>
      </w:r>
      <w:r>
        <w:rPr>
          <w:spacing w:val="-10"/>
        </w:rPr>
        <w:t> </w:t>
      </w:r>
      <w:r>
        <w:rPr>
          <w:spacing w:val="-2"/>
        </w:rPr>
        <w:t>technology</w:t>
      </w:r>
      <w:r>
        <w:rPr>
          <w:spacing w:val="-10"/>
        </w:rPr>
        <w:t> </w:t>
      </w:r>
      <w:r>
        <w:rPr>
          <w:spacing w:val="-2"/>
        </w:rPr>
        <w:t>in</w:t>
      </w:r>
      <w:r>
        <w:rPr>
          <w:spacing w:val="-10"/>
        </w:rPr>
        <w:t> </w:t>
      </w:r>
      <w:r>
        <w:rPr>
          <w:spacing w:val="-2"/>
        </w:rPr>
        <w:t>the</w:t>
      </w:r>
      <w:r>
        <w:rPr>
          <w:spacing w:val="-10"/>
        </w:rPr>
        <w:t> </w:t>
      </w:r>
      <w:r>
        <w:rPr>
          <w:spacing w:val="-2"/>
        </w:rPr>
        <w:t>1950s</w:t>
      </w:r>
      <w:r>
        <w:rPr>
          <w:spacing w:val="-2"/>
        </w:rPr>
        <w:t> </w:t>
      </w:r>
      <w:r>
        <w:rPr/>
        <w:t>and</w:t>
      </w:r>
      <w:r>
        <w:rPr>
          <w:spacing w:val="13"/>
        </w:rPr>
        <w:t> </w:t>
      </w:r>
      <w:r>
        <w:rPr/>
        <w:t>60s. This</w:t>
      </w:r>
      <w:r>
        <w:rPr>
          <w:spacing w:val="13"/>
        </w:rPr>
        <w:t> </w:t>
      </w:r>
      <w:r>
        <w:rPr/>
        <w:t>was</w:t>
      </w:r>
      <w:r>
        <w:rPr>
          <w:spacing w:val="13"/>
        </w:rPr>
        <w:t> </w:t>
      </w:r>
      <w:r>
        <w:rPr/>
        <w:t>possible</w:t>
      </w:r>
      <w:r>
        <w:rPr>
          <w:spacing w:val="13"/>
        </w:rPr>
        <w:t> </w:t>
      </w:r>
      <w:r>
        <w:rPr/>
        <w:t>because</w:t>
      </w:r>
      <w:r>
        <w:rPr>
          <w:spacing w:val="13"/>
        </w:rPr>
        <w:t> </w:t>
      </w:r>
      <w:r>
        <w:rPr/>
        <w:t>of</w:t>
      </w:r>
      <w:r>
        <w:rPr>
          <w:spacing w:val="13"/>
        </w:rPr>
        <w:t> </w:t>
      </w:r>
      <w:r>
        <w:rPr/>
        <w:t>the</w:t>
      </w:r>
      <w:r>
        <w:rPr>
          <w:spacing w:val="13"/>
        </w:rPr>
        <w:t> </w:t>
      </w:r>
      <w:r>
        <w:rPr/>
        <w:t>support </w:t>
      </w:r>
      <w:r>
        <w:rPr>
          <w:spacing w:val="-10"/>
        </w:rPr>
        <w:t>successive governments extended to science education and </w:t>
      </w:r>
      <w:r>
        <w:rPr>
          <w:spacing w:val="-8"/>
        </w:rPr>
        <w:t>research.</w:t>
      </w:r>
      <w:r>
        <w:rPr>
          <w:spacing w:val="-17"/>
        </w:rPr>
        <w:t> </w:t>
      </w:r>
      <w:r>
        <w:rPr>
          <w:spacing w:val="-8"/>
        </w:rPr>
        <w:t>Numerous</w:t>
      </w:r>
      <w:r>
        <w:rPr>
          <w:spacing w:val="-17"/>
        </w:rPr>
        <w:t> </w:t>
      </w:r>
      <w:r>
        <w:rPr>
          <w:spacing w:val="-8"/>
        </w:rPr>
        <w:t>research</w:t>
      </w:r>
      <w:r>
        <w:rPr>
          <w:spacing w:val="-17"/>
        </w:rPr>
        <w:t> </w:t>
      </w:r>
      <w:r>
        <w:rPr>
          <w:spacing w:val="-8"/>
        </w:rPr>
        <w:t>and</w:t>
      </w:r>
      <w:r>
        <w:rPr>
          <w:spacing w:val="-17"/>
        </w:rPr>
        <w:t> </w:t>
      </w:r>
      <w:r>
        <w:rPr>
          <w:spacing w:val="-8"/>
        </w:rPr>
        <w:t>development</w:t>
      </w:r>
      <w:r>
        <w:rPr>
          <w:spacing w:val="-17"/>
        </w:rPr>
        <w:t> </w:t>
      </w:r>
      <w:r>
        <w:rPr>
          <w:spacing w:val="-8"/>
        </w:rPr>
        <w:t>institutions </w:t>
      </w:r>
      <w:r>
        <w:rPr>
          <w:spacing w:val="-4"/>
        </w:rPr>
        <w:t>were</w:t>
      </w:r>
      <w:r>
        <w:rPr>
          <w:spacing w:val="2"/>
        </w:rPr>
        <w:t> </w:t>
      </w:r>
      <w:r>
        <w:rPr>
          <w:spacing w:val="-4"/>
        </w:rPr>
        <w:t>established</w:t>
      </w:r>
      <w:r>
        <w:rPr>
          <w:spacing w:val="2"/>
        </w:rPr>
        <w:t> </w:t>
      </w:r>
      <w:r>
        <w:rPr>
          <w:spacing w:val="-4"/>
        </w:rPr>
        <w:t>across</w:t>
      </w:r>
      <w:r>
        <w:rPr>
          <w:spacing w:val="2"/>
        </w:rPr>
        <w:t> </w:t>
      </w:r>
      <w:r>
        <w:rPr>
          <w:spacing w:val="-4"/>
        </w:rPr>
        <w:t>the</w:t>
      </w:r>
      <w:r>
        <w:rPr>
          <w:spacing w:val="2"/>
        </w:rPr>
        <w:t> </w:t>
      </w:r>
      <w:r>
        <w:rPr>
          <w:spacing w:val="-4"/>
        </w:rPr>
        <w:t>country.</w:t>
      </w:r>
      <w:r>
        <w:rPr>
          <w:spacing w:val="3"/>
        </w:rPr>
        <w:t> </w:t>
      </w:r>
      <w:r>
        <w:rPr>
          <w:spacing w:val="-4"/>
        </w:rPr>
        <w:t>However,</w:t>
      </w:r>
      <w:r>
        <w:rPr>
          <w:spacing w:val="2"/>
        </w:rPr>
        <w:t> </w:t>
      </w:r>
      <w:r>
        <w:rPr>
          <w:spacing w:val="-4"/>
        </w:rPr>
        <w:t>over</w:t>
      </w:r>
      <w:r>
        <w:rPr>
          <w:spacing w:val="2"/>
        </w:rPr>
        <w:t> </w:t>
      </w:r>
      <w:r>
        <w:rPr>
          <w:spacing w:val="-4"/>
        </w:rPr>
        <w:t>the </w:t>
      </w:r>
      <w:r>
        <w:rPr>
          <w:spacing w:val="-6"/>
        </w:rPr>
        <w:t>years,</w:t>
      </w:r>
      <w:r>
        <w:rPr>
          <w:spacing w:val="-18"/>
        </w:rPr>
        <w:t> </w:t>
      </w:r>
      <w:r>
        <w:rPr>
          <w:spacing w:val="-6"/>
        </w:rPr>
        <w:t>in</w:t>
      </w:r>
      <w:r>
        <w:rPr>
          <w:spacing w:val="-18"/>
        </w:rPr>
        <w:t> </w:t>
      </w:r>
      <w:r>
        <w:rPr>
          <w:spacing w:val="-6"/>
        </w:rPr>
        <w:t>spite</w:t>
      </w:r>
      <w:r>
        <w:rPr>
          <w:spacing w:val="-18"/>
        </w:rPr>
        <w:t> </w:t>
      </w:r>
      <w:r>
        <w:rPr>
          <w:spacing w:val="-6"/>
        </w:rPr>
        <w:t>of</w:t>
      </w:r>
      <w:r>
        <w:rPr>
          <w:spacing w:val="-18"/>
        </w:rPr>
        <w:t> </w:t>
      </w:r>
      <w:r>
        <w:rPr>
          <w:spacing w:val="-6"/>
        </w:rPr>
        <w:t>continuing</w:t>
      </w:r>
      <w:r>
        <w:rPr>
          <w:spacing w:val="-18"/>
        </w:rPr>
        <w:t> </w:t>
      </w:r>
      <w:r>
        <w:rPr>
          <w:spacing w:val="-6"/>
        </w:rPr>
        <w:t>government</w:t>
      </w:r>
      <w:r>
        <w:rPr>
          <w:spacing w:val="-18"/>
        </w:rPr>
        <w:t> </w:t>
      </w:r>
      <w:r>
        <w:rPr>
          <w:spacing w:val="-6"/>
        </w:rPr>
        <w:t>support,</w:t>
      </w:r>
      <w:r>
        <w:rPr>
          <w:spacing w:val="-18"/>
        </w:rPr>
        <w:t> </w:t>
      </w:r>
      <w:r>
        <w:rPr>
          <w:spacing w:val="-6"/>
        </w:rPr>
        <w:t>both</w:t>
      </w:r>
      <w:r>
        <w:rPr>
          <w:spacing w:val="-18"/>
        </w:rPr>
        <w:t> </w:t>
      </w:r>
      <w:r>
        <w:rPr>
          <w:spacing w:val="-6"/>
        </w:rPr>
        <w:t>the quality</w:t>
      </w:r>
      <w:r>
        <w:rPr>
          <w:spacing w:val="-13"/>
        </w:rPr>
        <w:t> </w:t>
      </w:r>
      <w:r>
        <w:rPr>
          <w:spacing w:val="-6"/>
        </w:rPr>
        <w:t>and</w:t>
      </w:r>
      <w:r>
        <w:rPr>
          <w:spacing w:val="-13"/>
        </w:rPr>
        <w:t> </w:t>
      </w:r>
      <w:r>
        <w:rPr>
          <w:spacing w:val="-6"/>
        </w:rPr>
        <w:t>quantity</w:t>
      </w:r>
      <w:r>
        <w:rPr>
          <w:spacing w:val="-13"/>
        </w:rPr>
        <w:t> </w:t>
      </w:r>
      <w:r>
        <w:rPr>
          <w:spacing w:val="-6"/>
        </w:rPr>
        <w:t>of</w:t>
      </w:r>
      <w:r>
        <w:rPr>
          <w:spacing w:val="-13"/>
        </w:rPr>
        <w:t> </w:t>
      </w:r>
      <w:r>
        <w:rPr>
          <w:spacing w:val="-6"/>
        </w:rPr>
        <w:t>the</w:t>
      </w:r>
      <w:r>
        <w:rPr>
          <w:spacing w:val="-13"/>
        </w:rPr>
        <w:t> </w:t>
      </w:r>
      <w:r>
        <w:rPr>
          <w:spacing w:val="-6"/>
        </w:rPr>
        <w:t>research</w:t>
      </w:r>
      <w:r>
        <w:rPr>
          <w:spacing w:val="-13"/>
        </w:rPr>
        <w:t> </w:t>
      </w:r>
      <w:r>
        <w:rPr>
          <w:spacing w:val="-6"/>
        </w:rPr>
        <w:t>output</w:t>
      </w:r>
      <w:r>
        <w:rPr>
          <w:spacing w:val="-13"/>
        </w:rPr>
        <w:t> </w:t>
      </w:r>
      <w:r>
        <w:rPr>
          <w:spacing w:val="-6"/>
        </w:rPr>
        <w:t>from</w:t>
      </w:r>
      <w:r>
        <w:rPr>
          <w:spacing w:val="-13"/>
        </w:rPr>
        <w:t> </w:t>
      </w:r>
      <w:r>
        <w:rPr>
          <w:spacing w:val="-6"/>
        </w:rPr>
        <w:t>India</w:t>
      </w:r>
      <w:r>
        <w:rPr>
          <w:spacing w:val="-13"/>
        </w:rPr>
        <w:t> </w:t>
      </w:r>
      <w:r>
        <w:rPr>
          <w:spacing w:val="-6"/>
        </w:rPr>
        <w:t>has </w:t>
      </w:r>
      <w:r>
        <w:rPr>
          <w:spacing w:val="-8"/>
        </w:rPr>
        <w:t>been on</w:t>
      </w:r>
      <w:r>
        <w:rPr>
          <w:spacing w:val="-7"/>
        </w:rPr>
        <w:t> </w:t>
      </w:r>
      <w:r>
        <w:rPr>
          <w:spacing w:val="-8"/>
        </w:rPr>
        <w:t>the</w:t>
      </w:r>
      <w:r>
        <w:rPr>
          <w:spacing w:val="-7"/>
        </w:rPr>
        <w:t> </w:t>
      </w:r>
      <w:r>
        <w:rPr>
          <w:spacing w:val="-8"/>
        </w:rPr>
        <w:t>decline.</w:t>
      </w:r>
      <w:r>
        <w:rPr>
          <w:spacing w:val="-7"/>
        </w:rPr>
        <w:t> </w:t>
      </w:r>
      <w:r>
        <w:rPr>
          <w:spacing w:val="-8"/>
        </w:rPr>
        <w:t>It</w:t>
      </w:r>
      <w:r>
        <w:rPr>
          <w:spacing w:val="-7"/>
        </w:rPr>
        <w:t> </w:t>
      </w:r>
      <w:r>
        <w:rPr>
          <w:spacing w:val="-8"/>
        </w:rPr>
        <w:t>is</w:t>
      </w:r>
      <w:r>
        <w:rPr>
          <w:spacing w:val="-7"/>
        </w:rPr>
        <w:t> </w:t>
      </w:r>
      <w:r>
        <w:rPr>
          <w:spacing w:val="-8"/>
        </w:rPr>
        <w:t>necessary</w:t>
      </w:r>
      <w:r>
        <w:rPr>
          <w:spacing w:val="-7"/>
        </w:rPr>
        <w:t> </w:t>
      </w:r>
      <w:r>
        <w:rPr>
          <w:spacing w:val="-8"/>
        </w:rPr>
        <w:t>to</w:t>
      </w:r>
      <w:r>
        <w:rPr>
          <w:spacing w:val="-7"/>
        </w:rPr>
        <w:t> </w:t>
      </w:r>
      <w:r>
        <w:rPr>
          <w:spacing w:val="-8"/>
        </w:rPr>
        <w:t>examine</w:t>
      </w:r>
      <w:r>
        <w:rPr>
          <w:spacing w:val="-7"/>
        </w:rPr>
        <w:t> </w:t>
      </w:r>
      <w:r>
        <w:rPr>
          <w:spacing w:val="-8"/>
        </w:rPr>
        <w:t>the</w:t>
      </w:r>
      <w:r>
        <w:rPr>
          <w:spacing w:val="-7"/>
        </w:rPr>
        <w:t> </w:t>
      </w:r>
      <w:r>
        <w:rPr>
          <w:spacing w:val="-8"/>
        </w:rPr>
        <w:t>reasons</w:t>
      </w:r>
    </w:p>
    <w:p>
      <w:pPr>
        <w:pStyle w:val="BodyText"/>
        <w:spacing w:line="246" w:lineRule="exact"/>
        <w:ind w:left="1079"/>
        <w:jc w:val="both"/>
      </w:pPr>
      <w:r>
        <w:rPr>
          <w:spacing w:val="-8"/>
        </w:rPr>
        <w:t>for</w:t>
      </w:r>
      <w:r>
        <w:rPr>
          <w:spacing w:val="-1"/>
        </w:rPr>
        <w:t> </w:t>
      </w:r>
      <w:r>
        <w:rPr>
          <w:spacing w:val="-8"/>
        </w:rPr>
        <w:t>this</w:t>
      </w:r>
      <w:r>
        <w:rPr>
          <w:spacing w:val="-1"/>
        </w:rPr>
        <w:t> </w:t>
      </w:r>
      <w:r>
        <w:rPr>
          <w:spacing w:val="-8"/>
        </w:rPr>
        <w:t>decline</w:t>
      </w:r>
      <w:r>
        <w:rPr>
          <w:spacing w:val="-1"/>
        </w:rPr>
        <w:t> </w:t>
      </w:r>
      <w:r>
        <w:rPr>
          <w:spacing w:val="-8"/>
        </w:rPr>
        <w:t>and</w:t>
      </w:r>
      <w:r>
        <w:rPr>
          <w:spacing w:val="-1"/>
        </w:rPr>
        <w:t> </w:t>
      </w:r>
      <w:r>
        <w:rPr>
          <w:spacing w:val="-8"/>
        </w:rPr>
        <w:t>implement</w:t>
      </w:r>
      <w:r>
        <w:rPr>
          <w:spacing w:val="-1"/>
        </w:rPr>
        <w:t> </w:t>
      </w:r>
      <w:r>
        <w:rPr>
          <w:spacing w:val="-8"/>
        </w:rPr>
        <w:t>remedial</w:t>
      </w:r>
      <w:r>
        <w:rPr>
          <w:spacing w:val="-1"/>
        </w:rPr>
        <w:t> </w:t>
      </w:r>
      <w:r>
        <w:rPr>
          <w:spacing w:val="-8"/>
        </w:rPr>
        <w:t>measures.</w:t>
      </w:r>
    </w:p>
    <w:p>
      <w:pPr>
        <w:pStyle w:val="BodyText"/>
        <w:spacing w:before="53"/>
      </w:pPr>
    </w:p>
    <w:p>
      <w:pPr>
        <w:pStyle w:val="BodyText"/>
        <w:spacing w:line="266" w:lineRule="auto" w:before="1"/>
        <w:ind w:left="1079"/>
        <w:jc w:val="both"/>
      </w:pPr>
      <w:r>
        <w:rPr/>
        <w:t>One widening realisation of the last few decades </w:t>
      </w:r>
      <w:r>
        <w:rPr/>
        <w:t>has </w:t>
      </w:r>
      <w:r>
        <w:rPr>
          <w:spacing w:val="-4"/>
        </w:rPr>
        <w:t>been</w:t>
      </w:r>
      <w:r>
        <w:rPr>
          <w:spacing w:val="-7"/>
        </w:rPr>
        <w:t> </w:t>
      </w:r>
      <w:r>
        <w:rPr>
          <w:spacing w:val="-4"/>
        </w:rPr>
        <w:t>that</w:t>
      </w:r>
      <w:r>
        <w:rPr>
          <w:spacing w:val="-7"/>
        </w:rPr>
        <w:t> </w:t>
      </w:r>
      <w:r>
        <w:rPr>
          <w:spacing w:val="-4"/>
        </w:rPr>
        <w:t>knowledge</w:t>
      </w:r>
      <w:r>
        <w:rPr>
          <w:spacing w:val="-7"/>
        </w:rPr>
        <w:t> </w:t>
      </w:r>
      <w:r>
        <w:rPr>
          <w:spacing w:val="-4"/>
        </w:rPr>
        <w:t>is</w:t>
      </w:r>
      <w:r>
        <w:rPr>
          <w:spacing w:val="-7"/>
        </w:rPr>
        <w:t> </w:t>
      </w:r>
      <w:r>
        <w:rPr>
          <w:spacing w:val="-4"/>
        </w:rPr>
        <w:t>a</w:t>
      </w:r>
      <w:r>
        <w:rPr>
          <w:spacing w:val="-7"/>
        </w:rPr>
        <w:t> </w:t>
      </w:r>
      <w:r>
        <w:rPr>
          <w:spacing w:val="-4"/>
        </w:rPr>
        <w:t>continuum</w:t>
      </w:r>
      <w:r>
        <w:rPr>
          <w:spacing w:val="-7"/>
        </w:rPr>
        <w:t> </w:t>
      </w:r>
      <w:r>
        <w:rPr>
          <w:spacing w:val="-4"/>
        </w:rPr>
        <w:t>and</w:t>
      </w:r>
      <w:r>
        <w:rPr>
          <w:spacing w:val="-7"/>
        </w:rPr>
        <w:t> </w:t>
      </w:r>
      <w:r>
        <w:rPr>
          <w:spacing w:val="-4"/>
        </w:rPr>
        <w:t>the</w:t>
      </w:r>
      <w:r>
        <w:rPr>
          <w:spacing w:val="-7"/>
        </w:rPr>
        <w:t> </w:t>
      </w:r>
      <w:r>
        <w:rPr>
          <w:spacing w:val="-4"/>
        </w:rPr>
        <w:t>boundaries between disciplines are increasingly becoming blurred, </w:t>
      </w:r>
      <w:r>
        <w:rPr/>
        <w:t>tenuous and indefinable.</w:t>
      </w:r>
    </w:p>
    <w:p>
      <w:pPr>
        <w:pStyle w:val="BodyText"/>
        <w:spacing w:before="23"/>
      </w:pPr>
    </w:p>
    <w:p>
      <w:pPr>
        <w:pStyle w:val="BodyText"/>
        <w:spacing w:line="266" w:lineRule="auto"/>
        <w:ind w:left="1079"/>
        <w:jc w:val="both"/>
      </w:pPr>
      <w:r>
        <w:rPr/>
        <w:t>The following major causes for the current crisis </w:t>
      </w:r>
      <w:r>
        <w:rPr/>
        <w:t>in Indian research deserve attention:</w:t>
      </w:r>
    </w:p>
    <w:p>
      <w:pPr>
        <w:pStyle w:val="ListParagraph"/>
        <w:numPr>
          <w:ilvl w:val="0"/>
          <w:numId w:val="54"/>
        </w:numPr>
        <w:tabs>
          <w:tab w:pos="1439" w:val="left" w:leader="none"/>
        </w:tabs>
        <w:spacing w:line="266" w:lineRule="auto" w:before="0" w:after="0"/>
        <w:ind w:left="1439" w:right="0" w:hanging="360"/>
        <w:jc w:val="both"/>
        <w:rPr>
          <w:sz w:val="22"/>
        </w:rPr>
      </w:pPr>
      <w:r>
        <w:rPr>
          <w:b/>
          <w:sz w:val="22"/>
        </w:rPr>
        <w:t>Lack of interaction: </w:t>
      </w:r>
      <w:r>
        <w:rPr>
          <w:sz w:val="22"/>
        </w:rPr>
        <w:t>There is very </w:t>
      </w:r>
      <w:r>
        <w:rPr>
          <w:sz w:val="22"/>
        </w:rPr>
        <w:t>rigid </w:t>
      </w:r>
      <w:r>
        <w:rPr>
          <w:spacing w:val="-6"/>
          <w:sz w:val="22"/>
        </w:rPr>
        <w:t>compartmentalisation of natural and social sciences; </w:t>
      </w:r>
      <w:r>
        <w:rPr>
          <w:sz w:val="22"/>
        </w:rPr>
        <w:t>as</w:t>
      </w:r>
      <w:r>
        <w:rPr>
          <w:spacing w:val="-11"/>
          <w:sz w:val="22"/>
        </w:rPr>
        <w:t> </w:t>
      </w:r>
      <w:r>
        <w:rPr>
          <w:sz w:val="22"/>
        </w:rPr>
        <w:t>a</w:t>
      </w:r>
      <w:r>
        <w:rPr>
          <w:spacing w:val="-11"/>
          <w:sz w:val="22"/>
        </w:rPr>
        <w:t> </w:t>
      </w:r>
      <w:r>
        <w:rPr>
          <w:sz w:val="22"/>
        </w:rPr>
        <w:t>result,</w:t>
      </w:r>
      <w:r>
        <w:rPr>
          <w:spacing w:val="-11"/>
          <w:sz w:val="22"/>
        </w:rPr>
        <w:t> </w:t>
      </w:r>
      <w:r>
        <w:rPr>
          <w:sz w:val="22"/>
        </w:rPr>
        <w:t>there</w:t>
      </w:r>
      <w:r>
        <w:rPr>
          <w:spacing w:val="-11"/>
          <w:sz w:val="22"/>
        </w:rPr>
        <w:t> </w:t>
      </w:r>
      <w:r>
        <w:rPr>
          <w:sz w:val="22"/>
        </w:rPr>
        <w:t>is</w:t>
      </w:r>
      <w:r>
        <w:rPr>
          <w:spacing w:val="-11"/>
          <w:sz w:val="22"/>
        </w:rPr>
        <w:t> </w:t>
      </w:r>
      <w:r>
        <w:rPr>
          <w:sz w:val="22"/>
        </w:rPr>
        <w:t>little</w:t>
      </w:r>
      <w:r>
        <w:rPr>
          <w:spacing w:val="-11"/>
          <w:sz w:val="22"/>
        </w:rPr>
        <w:t> </w:t>
      </w:r>
      <w:r>
        <w:rPr>
          <w:sz w:val="22"/>
        </w:rPr>
        <w:t>or</w:t>
      </w:r>
      <w:r>
        <w:rPr>
          <w:spacing w:val="-11"/>
          <w:sz w:val="22"/>
        </w:rPr>
        <w:t> </w:t>
      </w:r>
      <w:r>
        <w:rPr>
          <w:sz w:val="22"/>
        </w:rPr>
        <w:t>no</w:t>
      </w:r>
      <w:r>
        <w:rPr>
          <w:spacing w:val="-11"/>
          <w:sz w:val="22"/>
        </w:rPr>
        <w:t> </w:t>
      </w:r>
      <w:r>
        <w:rPr>
          <w:sz w:val="22"/>
        </w:rPr>
        <w:t>interaction</w:t>
      </w:r>
      <w:r>
        <w:rPr>
          <w:spacing w:val="-11"/>
          <w:sz w:val="22"/>
        </w:rPr>
        <w:t> </w:t>
      </w:r>
      <w:r>
        <w:rPr>
          <w:sz w:val="22"/>
        </w:rPr>
        <w:t>between </w:t>
      </w:r>
      <w:r>
        <w:rPr>
          <w:spacing w:val="-2"/>
          <w:sz w:val="22"/>
        </w:rPr>
        <w:t>researchers</w:t>
      </w:r>
      <w:r>
        <w:rPr>
          <w:spacing w:val="-11"/>
          <w:sz w:val="22"/>
        </w:rPr>
        <w:t> </w:t>
      </w:r>
      <w:r>
        <w:rPr>
          <w:spacing w:val="-2"/>
          <w:sz w:val="22"/>
        </w:rPr>
        <w:t>in</w:t>
      </w:r>
      <w:r>
        <w:rPr>
          <w:spacing w:val="-12"/>
          <w:sz w:val="22"/>
        </w:rPr>
        <w:t> </w:t>
      </w:r>
      <w:r>
        <w:rPr>
          <w:spacing w:val="-2"/>
          <w:sz w:val="22"/>
        </w:rPr>
        <w:t>natural</w:t>
      </w:r>
      <w:r>
        <w:rPr>
          <w:spacing w:val="-11"/>
          <w:sz w:val="22"/>
        </w:rPr>
        <w:t> </w:t>
      </w:r>
      <w:r>
        <w:rPr>
          <w:spacing w:val="-2"/>
          <w:sz w:val="22"/>
        </w:rPr>
        <w:t>sciences</w:t>
      </w:r>
      <w:r>
        <w:rPr>
          <w:spacing w:val="-11"/>
          <w:sz w:val="22"/>
        </w:rPr>
        <w:t> </w:t>
      </w:r>
      <w:r>
        <w:rPr>
          <w:spacing w:val="-2"/>
          <w:sz w:val="22"/>
        </w:rPr>
        <w:t>and</w:t>
      </w:r>
      <w:r>
        <w:rPr>
          <w:spacing w:val="-12"/>
          <w:sz w:val="22"/>
        </w:rPr>
        <w:t> </w:t>
      </w:r>
      <w:r>
        <w:rPr>
          <w:spacing w:val="-2"/>
          <w:sz w:val="22"/>
        </w:rPr>
        <w:t>social</w:t>
      </w:r>
      <w:r>
        <w:rPr>
          <w:spacing w:val="-11"/>
          <w:sz w:val="22"/>
        </w:rPr>
        <w:t> </w:t>
      </w:r>
      <w:r>
        <w:rPr>
          <w:spacing w:val="-2"/>
          <w:sz w:val="22"/>
        </w:rPr>
        <w:t>sciences.</w:t>
      </w:r>
    </w:p>
    <w:p>
      <w:pPr>
        <w:pStyle w:val="ListParagraph"/>
        <w:numPr>
          <w:ilvl w:val="0"/>
          <w:numId w:val="54"/>
        </w:numPr>
        <w:tabs>
          <w:tab w:pos="1439" w:val="left" w:leader="none"/>
        </w:tabs>
        <w:spacing w:line="266" w:lineRule="auto" w:before="0" w:after="0"/>
        <w:ind w:left="1439" w:right="0" w:hanging="360"/>
        <w:jc w:val="both"/>
        <w:rPr>
          <w:sz w:val="22"/>
        </w:rPr>
      </w:pPr>
      <w:r>
        <w:rPr>
          <w:b/>
          <w:spacing w:val="-4"/>
          <w:sz w:val="22"/>
        </w:rPr>
        <w:t>Lack</w:t>
      </w:r>
      <w:r>
        <w:rPr>
          <w:b/>
          <w:spacing w:val="-6"/>
          <w:sz w:val="22"/>
        </w:rPr>
        <w:t> </w:t>
      </w:r>
      <w:r>
        <w:rPr>
          <w:b/>
          <w:spacing w:val="-4"/>
          <w:sz w:val="22"/>
        </w:rPr>
        <w:t>of</w:t>
      </w:r>
      <w:r>
        <w:rPr>
          <w:b/>
          <w:spacing w:val="-6"/>
          <w:sz w:val="22"/>
        </w:rPr>
        <w:t> </w:t>
      </w:r>
      <w:r>
        <w:rPr>
          <w:b/>
          <w:spacing w:val="-4"/>
          <w:sz w:val="22"/>
        </w:rPr>
        <w:t>long-term</w:t>
      </w:r>
      <w:r>
        <w:rPr>
          <w:b/>
          <w:spacing w:val="-6"/>
          <w:sz w:val="22"/>
        </w:rPr>
        <w:t> </w:t>
      </w:r>
      <w:r>
        <w:rPr>
          <w:b/>
          <w:spacing w:val="-4"/>
          <w:sz w:val="22"/>
        </w:rPr>
        <w:t>vision:</w:t>
      </w:r>
      <w:r>
        <w:rPr>
          <w:b/>
          <w:spacing w:val="-7"/>
          <w:sz w:val="22"/>
        </w:rPr>
        <w:t> </w:t>
      </w:r>
      <w:r>
        <w:rPr>
          <w:spacing w:val="-4"/>
          <w:sz w:val="22"/>
        </w:rPr>
        <w:t>Research</w:t>
      </w:r>
      <w:r>
        <w:rPr>
          <w:spacing w:val="-7"/>
          <w:sz w:val="22"/>
        </w:rPr>
        <w:t> </w:t>
      </w:r>
      <w:r>
        <w:rPr>
          <w:spacing w:val="-4"/>
          <w:sz w:val="22"/>
        </w:rPr>
        <w:t>topics</w:t>
      </w:r>
      <w:r>
        <w:rPr>
          <w:spacing w:val="-7"/>
          <w:sz w:val="22"/>
        </w:rPr>
        <w:t> </w:t>
      </w:r>
      <w:r>
        <w:rPr>
          <w:spacing w:val="-4"/>
          <w:sz w:val="22"/>
        </w:rPr>
        <w:t>of</w:t>
      </w:r>
      <w:r>
        <w:rPr>
          <w:spacing w:val="-7"/>
          <w:sz w:val="22"/>
        </w:rPr>
        <w:t> </w:t>
      </w:r>
      <w:r>
        <w:rPr>
          <w:spacing w:val="-4"/>
          <w:sz w:val="22"/>
        </w:rPr>
        <w:t>long </w:t>
      </w:r>
      <w:r>
        <w:rPr>
          <w:sz w:val="22"/>
        </w:rPr>
        <w:t>term relevance and importance are not taken up as support tends to be for the duration of three to five years because of our planning process.</w:t>
      </w:r>
    </w:p>
    <w:p>
      <w:pPr>
        <w:pStyle w:val="ListParagraph"/>
        <w:numPr>
          <w:ilvl w:val="0"/>
          <w:numId w:val="54"/>
        </w:numPr>
        <w:tabs>
          <w:tab w:pos="1439" w:val="left" w:leader="none"/>
        </w:tabs>
        <w:spacing w:line="266" w:lineRule="auto" w:before="0" w:after="0"/>
        <w:ind w:left="1439" w:right="0" w:hanging="360"/>
        <w:jc w:val="both"/>
        <w:rPr>
          <w:sz w:val="22"/>
        </w:rPr>
      </w:pPr>
      <w:r>
        <w:rPr>
          <w:b/>
          <w:spacing w:val="-4"/>
          <w:sz w:val="22"/>
        </w:rPr>
        <w:t>Lack</w:t>
      </w:r>
      <w:r>
        <w:rPr>
          <w:b/>
          <w:spacing w:val="-4"/>
          <w:sz w:val="22"/>
        </w:rPr>
        <w:t> of</w:t>
      </w:r>
      <w:r>
        <w:rPr>
          <w:b/>
          <w:spacing w:val="-4"/>
          <w:sz w:val="22"/>
        </w:rPr>
        <w:t> differential</w:t>
      </w:r>
      <w:r>
        <w:rPr>
          <w:b/>
          <w:spacing w:val="-4"/>
          <w:sz w:val="22"/>
        </w:rPr>
        <w:t> remuneration:</w:t>
      </w:r>
      <w:r>
        <w:rPr>
          <w:b/>
          <w:spacing w:val="-8"/>
          <w:sz w:val="22"/>
        </w:rPr>
        <w:t> </w:t>
      </w:r>
      <w:r>
        <w:rPr>
          <w:spacing w:val="-4"/>
          <w:sz w:val="22"/>
        </w:rPr>
        <w:t>The</w:t>
      </w:r>
      <w:r>
        <w:rPr>
          <w:spacing w:val="-4"/>
          <w:sz w:val="22"/>
        </w:rPr>
        <w:t> </w:t>
      </w:r>
      <w:r>
        <w:rPr>
          <w:spacing w:val="-4"/>
          <w:sz w:val="22"/>
        </w:rPr>
        <w:t>principle </w:t>
      </w:r>
      <w:r>
        <w:rPr>
          <w:spacing w:val="-2"/>
          <w:sz w:val="22"/>
        </w:rPr>
        <w:t>of</w:t>
      </w:r>
      <w:r>
        <w:rPr>
          <w:spacing w:val="-12"/>
          <w:sz w:val="22"/>
        </w:rPr>
        <w:t> </w:t>
      </w:r>
      <w:r>
        <w:rPr>
          <w:spacing w:val="-2"/>
          <w:sz w:val="22"/>
        </w:rPr>
        <w:t>differential</w:t>
      </w:r>
      <w:r>
        <w:rPr>
          <w:spacing w:val="-12"/>
          <w:sz w:val="22"/>
        </w:rPr>
        <w:t> </w:t>
      </w:r>
      <w:r>
        <w:rPr>
          <w:spacing w:val="-2"/>
          <w:sz w:val="22"/>
        </w:rPr>
        <w:t>remuneration</w:t>
      </w:r>
      <w:r>
        <w:rPr>
          <w:spacing w:val="-12"/>
          <w:sz w:val="22"/>
        </w:rPr>
        <w:t> </w:t>
      </w:r>
      <w:r>
        <w:rPr>
          <w:spacing w:val="-2"/>
          <w:sz w:val="22"/>
        </w:rPr>
        <w:t>based</w:t>
      </w:r>
      <w:r>
        <w:rPr>
          <w:spacing w:val="-11"/>
          <w:sz w:val="22"/>
        </w:rPr>
        <w:t> </w:t>
      </w:r>
      <w:r>
        <w:rPr>
          <w:spacing w:val="-2"/>
          <w:sz w:val="22"/>
        </w:rPr>
        <w:t>on</w:t>
      </w:r>
      <w:r>
        <w:rPr>
          <w:spacing w:val="-12"/>
          <w:sz w:val="22"/>
        </w:rPr>
        <w:t> </w:t>
      </w:r>
      <w:r>
        <w:rPr>
          <w:spacing w:val="-2"/>
          <w:sz w:val="22"/>
        </w:rPr>
        <w:t>performance </w:t>
      </w:r>
      <w:r>
        <w:rPr>
          <w:sz w:val="22"/>
        </w:rPr>
        <w:t>and output is not followed to reward those who perform well and chastise those who do not.</w:t>
      </w:r>
    </w:p>
    <w:p>
      <w:pPr>
        <w:pStyle w:val="ListParagraph"/>
        <w:numPr>
          <w:ilvl w:val="0"/>
          <w:numId w:val="54"/>
        </w:numPr>
        <w:tabs>
          <w:tab w:pos="1439" w:val="left" w:leader="none"/>
        </w:tabs>
        <w:spacing w:line="266" w:lineRule="auto" w:before="0" w:after="0"/>
        <w:ind w:left="1439" w:right="0" w:hanging="360"/>
        <w:jc w:val="both"/>
        <w:rPr>
          <w:sz w:val="22"/>
        </w:rPr>
      </w:pPr>
      <w:r>
        <w:rPr>
          <w:b/>
          <w:sz w:val="22"/>
        </w:rPr>
        <w:t>Lack of scientific methods: </w:t>
      </w:r>
      <w:r>
        <w:rPr>
          <w:sz w:val="22"/>
        </w:rPr>
        <w:t>Current teaching </w:t>
      </w:r>
      <w:r>
        <w:rPr>
          <w:w w:val="90"/>
          <w:sz w:val="22"/>
        </w:rPr>
        <w:t>methodologies at school, college and university levels </w:t>
      </w:r>
      <w:r>
        <w:rPr>
          <w:spacing w:val="-2"/>
          <w:sz w:val="22"/>
        </w:rPr>
        <w:t>do</w:t>
      </w:r>
      <w:r>
        <w:rPr>
          <w:spacing w:val="-11"/>
          <w:sz w:val="22"/>
        </w:rPr>
        <w:t> </w:t>
      </w:r>
      <w:r>
        <w:rPr>
          <w:spacing w:val="-2"/>
          <w:sz w:val="22"/>
        </w:rPr>
        <w:t>not</w:t>
      </w:r>
      <w:r>
        <w:rPr>
          <w:spacing w:val="-11"/>
          <w:sz w:val="22"/>
        </w:rPr>
        <w:t> </w:t>
      </w:r>
      <w:r>
        <w:rPr>
          <w:spacing w:val="-2"/>
          <w:sz w:val="22"/>
        </w:rPr>
        <w:t>inculcate</w:t>
      </w:r>
      <w:r>
        <w:rPr>
          <w:spacing w:val="-11"/>
          <w:sz w:val="22"/>
        </w:rPr>
        <w:t> </w:t>
      </w:r>
      <w:r>
        <w:rPr>
          <w:spacing w:val="-2"/>
          <w:sz w:val="22"/>
        </w:rPr>
        <w:t>a</w:t>
      </w:r>
      <w:r>
        <w:rPr>
          <w:spacing w:val="-11"/>
          <w:sz w:val="22"/>
        </w:rPr>
        <w:t> </w:t>
      </w:r>
      <w:r>
        <w:rPr>
          <w:spacing w:val="-2"/>
          <w:sz w:val="22"/>
        </w:rPr>
        <w:t>scientific</w:t>
      </w:r>
      <w:r>
        <w:rPr>
          <w:spacing w:val="-11"/>
          <w:sz w:val="22"/>
        </w:rPr>
        <w:t> </w:t>
      </w:r>
      <w:r>
        <w:rPr>
          <w:spacing w:val="-2"/>
          <w:sz w:val="22"/>
        </w:rPr>
        <w:t>temper</w:t>
      </w:r>
      <w:r>
        <w:rPr>
          <w:spacing w:val="-11"/>
          <w:sz w:val="22"/>
        </w:rPr>
        <w:t> </w:t>
      </w:r>
      <w:r>
        <w:rPr>
          <w:spacing w:val="-2"/>
          <w:sz w:val="22"/>
        </w:rPr>
        <w:t>in</w:t>
      </w:r>
      <w:r>
        <w:rPr>
          <w:spacing w:val="-11"/>
          <w:sz w:val="22"/>
        </w:rPr>
        <w:t> </w:t>
      </w:r>
      <w:r>
        <w:rPr>
          <w:spacing w:val="-2"/>
          <w:sz w:val="22"/>
        </w:rPr>
        <w:t>the</w:t>
      </w:r>
      <w:r>
        <w:rPr>
          <w:spacing w:val="-11"/>
          <w:sz w:val="22"/>
        </w:rPr>
        <w:t> </w:t>
      </w:r>
      <w:r>
        <w:rPr>
          <w:spacing w:val="-2"/>
          <w:sz w:val="22"/>
        </w:rPr>
        <w:t>students.</w:t>
      </w:r>
    </w:p>
    <w:p>
      <w:pPr>
        <w:pStyle w:val="BodyText"/>
        <w:spacing w:before="13"/>
      </w:pPr>
    </w:p>
    <w:p>
      <w:pPr>
        <w:pStyle w:val="BodyText"/>
        <w:spacing w:line="266" w:lineRule="auto" w:before="1"/>
        <w:ind w:left="1079"/>
        <w:jc w:val="both"/>
      </w:pPr>
      <w:r>
        <w:rPr/>
        <w:t>NKC</w:t>
      </w:r>
      <w:r>
        <w:rPr>
          <w:spacing w:val="-2"/>
        </w:rPr>
        <w:t> </w:t>
      </w:r>
      <w:r>
        <w:rPr/>
        <w:t>is</w:t>
      </w:r>
      <w:r>
        <w:rPr>
          <w:spacing w:val="-2"/>
        </w:rPr>
        <w:t> </w:t>
      </w:r>
      <w:r>
        <w:rPr/>
        <w:t>aware</w:t>
      </w:r>
      <w:r>
        <w:rPr>
          <w:spacing w:val="-2"/>
        </w:rPr>
        <w:t> </w:t>
      </w:r>
      <w:r>
        <w:rPr/>
        <w:t>that</w:t>
      </w:r>
      <w:r>
        <w:rPr>
          <w:spacing w:val="-2"/>
        </w:rPr>
        <w:t> </w:t>
      </w:r>
      <w:r>
        <w:rPr/>
        <w:t>the</w:t>
      </w:r>
      <w:r>
        <w:rPr>
          <w:spacing w:val="-2"/>
        </w:rPr>
        <w:t> </w:t>
      </w:r>
      <w:r>
        <w:rPr/>
        <w:t>Science</w:t>
      </w:r>
      <w:r>
        <w:rPr>
          <w:spacing w:val="-2"/>
        </w:rPr>
        <w:t> </w:t>
      </w:r>
      <w:r>
        <w:rPr/>
        <w:t>Advisory</w:t>
      </w:r>
      <w:r>
        <w:rPr>
          <w:spacing w:val="-2"/>
        </w:rPr>
        <w:t> </w:t>
      </w:r>
      <w:r>
        <w:rPr/>
        <w:t>Council</w:t>
      </w:r>
      <w:r>
        <w:rPr>
          <w:spacing w:val="-2"/>
        </w:rPr>
        <w:t> </w:t>
      </w:r>
      <w:r>
        <w:rPr/>
        <w:t>has recently suggested the establishment of a National </w:t>
      </w:r>
      <w:r>
        <w:rPr>
          <w:spacing w:val="-2"/>
        </w:rPr>
        <w:t>Science</w:t>
      </w:r>
      <w:r>
        <w:rPr>
          <w:spacing w:val="-11"/>
        </w:rPr>
        <w:t> </w:t>
      </w:r>
      <w:r>
        <w:rPr>
          <w:spacing w:val="-2"/>
        </w:rPr>
        <w:t>Foundation</w:t>
      </w:r>
      <w:r>
        <w:rPr>
          <w:spacing w:val="-11"/>
        </w:rPr>
        <w:t> </w:t>
      </w:r>
      <w:r>
        <w:rPr>
          <w:spacing w:val="-2"/>
        </w:rPr>
        <w:t>to</w:t>
      </w:r>
      <w:r>
        <w:rPr>
          <w:spacing w:val="-11"/>
        </w:rPr>
        <w:t> </w:t>
      </w:r>
      <w:r>
        <w:rPr>
          <w:spacing w:val="-2"/>
        </w:rPr>
        <w:t>address</w:t>
      </w:r>
      <w:r>
        <w:rPr>
          <w:spacing w:val="-11"/>
        </w:rPr>
        <w:t> </w:t>
      </w:r>
      <w:r>
        <w:rPr>
          <w:spacing w:val="-2"/>
        </w:rPr>
        <w:t>some</w:t>
      </w:r>
      <w:r>
        <w:rPr>
          <w:spacing w:val="-11"/>
        </w:rPr>
        <w:t> </w:t>
      </w:r>
      <w:r>
        <w:rPr>
          <w:spacing w:val="-2"/>
        </w:rPr>
        <w:t>of</w:t>
      </w:r>
      <w:r>
        <w:rPr>
          <w:spacing w:val="-11"/>
        </w:rPr>
        <w:t> </w:t>
      </w:r>
      <w:r>
        <w:rPr>
          <w:spacing w:val="-2"/>
        </w:rPr>
        <w:t>these</w:t>
      </w:r>
      <w:r>
        <w:rPr>
          <w:spacing w:val="-11"/>
        </w:rPr>
        <w:t> </w:t>
      </w:r>
      <w:r>
        <w:rPr>
          <w:spacing w:val="-2"/>
        </w:rPr>
        <w:t>and</w:t>
      </w:r>
      <w:r>
        <w:rPr>
          <w:spacing w:val="-11"/>
        </w:rPr>
        <w:t> </w:t>
      </w:r>
      <w:r>
        <w:rPr>
          <w:spacing w:val="-2"/>
        </w:rPr>
        <w:t>other </w:t>
      </w:r>
      <w:r>
        <w:rPr>
          <w:spacing w:val="-4"/>
        </w:rPr>
        <w:t>issues confronting research. It supports this suggestion, </w:t>
      </w:r>
      <w:r>
        <w:rPr/>
        <w:t>with some modifications that will make the solution more comprehensive and practicable.</w:t>
      </w:r>
    </w:p>
    <w:p>
      <w:pPr>
        <w:pStyle w:val="BodyText"/>
        <w:spacing w:before="22"/>
      </w:pPr>
    </w:p>
    <w:p>
      <w:pPr>
        <w:pStyle w:val="BodyText"/>
        <w:spacing w:line="266" w:lineRule="auto"/>
        <w:ind w:left="1079"/>
        <w:jc w:val="both"/>
      </w:pPr>
      <w:r>
        <w:rPr/>
        <w:t>NKC</w:t>
      </w:r>
      <w:r>
        <w:rPr>
          <w:spacing w:val="-14"/>
        </w:rPr>
        <w:t> </w:t>
      </w:r>
      <w:r>
        <w:rPr/>
        <w:t>feels</w:t>
      </w:r>
      <w:r>
        <w:rPr>
          <w:spacing w:val="-14"/>
        </w:rPr>
        <w:t> </w:t>
      </w:r>
      <w:r>
        <w:rPr/>
        <w:t>that</w:t>
      </w:r>
      <w:r>
        <w:rPr>
          <w:spacing w:val="-14"/>
        </w:rPr>
        <w:t> </w:t>
      </w:r>
      <w:r>
        <w:rPr/>
        <w:t>in</w:t>
      </w:r>
      <w:r>
        <w:rPr>
          <w:spacing w:val="-13"/>
        </w:rPr>
        <w:t> </w:t>
      </w:r>
      <w:r>
        <w:rPr/>
        <w:t>view</w:t>
      </w:r>
      <w:r>
        <w:rPr>
          <w:spacing w:val="-14"/>
        </w:rPr>
        <w:t> </w:t>
      </w:r>
      <w:r>
        <w:rPr/>
        <w:t>of</w:t>
      </w:r>
      <w:r>
        <w:rPr>
          <w:spacing w:val="-14"/>
        </w:rPr>
        <w:t> </w:t>
      </w:r>
      <w:r>
        <w:rPr/>
        <w:t>the</w:t>
      </w:r>
      <w:r>
        <w:rPr>
          <w:spacing w:val="-14"/>
        </w:rPr>
        <w:t> </w:t>
      </w:r>
      <w:r>
        <w:rPr/>
        <w:t>disappearing</w:t>
      </w:r>
      <w:r>
        <w:rPr>
          <w:spacing w:val="-13"/>
        </w:rPr>
        <w:t> </w:t>
      </w:r>
      <w:r>
        <w:rPr/>
        <w:t>boundaries </w:t>
      </w:r>
      <w:r>
        <w:rPr>
          <w:w w:val="90"/>
        </w:rPr>
        <w:t>between</w:t>
      </w:r>
      <w:r>
        <w:rPr>
          <w:spacing w:val="2"/>
        </w:rPr>
        <w:t> </w:t>
      </w:r>
      <w:r>
        <w:rPr>
          <w:w w:val="90"/>
        </w:rPr>
        <w:t>various</w:t>
      </w:r>
      <w:r>
        <w:rPr>
          <w:spacing w:val="3"/>
        </w:rPr>
        <w:t> </w:t>
      </w:r>
      <w:r>
        <w:rPr>
          <w:w w:val="90"/>
        </w:rPr>
        <w:t>disciplines</w:t>
      </w:r>
      <w:r>
        <w:rPr>
          <w:spacing w:val="3"/>
        </w:rPr>
        <w:t> </w:t>
      </w:r>
      <w:r>
        <w:rPr>
          <w:w w:val="90"/>
        </w:rPr>
        <w:t>of</w:t>
      </w:r>
      <w:r>
        <w:rPr>
          <w:spacing w:val="2"/>
        </w:rPr>
        <w:t> </w:t>
      </w:r>
      <w:r>
        <w:rPr>
          <w:w w:val="90"/>
        </w:rPr>
        <w:t>knowledge</w:t>
      </w:r>
      <w:r>
        <w:rPr>
          <w:spacing w:val="3"/>
        </w:rPr>
        <w:t> </w:t>
      </w:r>
      <w:r>
        <w:rPr>
          <w:w w:val="90"/>
        </w:rPr>
        <w:t>and</w:t>
      </w:r>
      <w:r>
        <w:rPr>
          <w:spacing w:val="3"/>
        </w:rPr>
        <w:t> </w:t>
      </w:r>
      <w:r>
        <w:rPr>
          <w:spacing w:val="-2"/>
          <w:w w:val="90"/>
        </w:rPr>
        <w:t>knowledge</w:t>
      </w:r>
    </w:p>
    <w:p>
      <w:pPr>
        <w:pStyle w:val="BodyText"/>
        <w:spacing w:line="266" w:lineRule="auto" w:before="82"/>
        <w:ind w:left="319" w:right="1077"/>
        <w:jc w:val="both"/>
      </w:pPr>
      <w:r>
        <w:rPr/>
        <w:br w:type="column"/>
      </w:r>
      <w:r>
        <w:rPr>
          <w:spacing w:val="-4"/>
        </w:rPr>
        <w:t>emerging</w:t>
      </w:r>
      <w:r>
        <w:rPr>
          <w:spacing w:val="-10"/>
        </w:rPr>
        <w:t> </w:t>
      </w:r>
      <w:r>
        <w:rPr>
          <w:spacing w:val="-4"/>
        </w:rPr>
        <w:t>as</w:t>
      </w:r>
      <w:r>
        <w:rPr>
          <w:spacing w:val="-10"/>
        </w:rPr>
        <w:t> </w:t>
      </w:r>
      <w:r>
        <w:rPr>
          <w:spacing w:val="-4"/>
        </w:rPr>
        <w:t>a</w:t>
      </w:r>
      <w:r>
        <w:rPr>
          <w:spacing w:val="-10"/>
        </w:rPr>
        <w:t> </w:t>
      </w:r>
      <w:r>
        <w:rPr>
          <w:spacing w:val="-4"/>
        </w:rPr>
        <w:t>continuum,</w:t>
      </w:r>
      <w:r>
        <w:rPr>
          <w:spacing w:val="-9"/>
        </w:rPr>
        <w:t> </w:t>
      </w:r>
      <w:r>
        <w:rPr>
          <w:spacing w:val="-4"/>
        </w:rPr>
        <w:t>India</w:t>
      </w:r>
      <w:r>
        <w:rPr>
          <w:spacing w:val="-10"/>
        </w:rPr>
        <w:t> </w:t>
      </w:r>
      <w:r>
        <w:rPr>
          <w:spacing w:val="-4"/>
        </w:rPr>
        <w:t>should</w:t>
      </w:r>
      <w:r>
        <w:rPr>
          <w:spacing w:val="-10"/>
        </w:rPr>
        <w:t> </w:t>
      </w:r>
      <w:r>
        <w:rPr>
          <w:spacing w:val="-4"/>
        </w:rPr>
        <w:t>set</w:t>
      </w:r>
      <w:r>
        <w:rPr>
          <w:spacing w:val="-10"/>
        </w:rPr>
        <w:t> </w:t>
      </w:r>
      <w:r>
        <w:rPr>
          <w:spacing w:val="-4"/>
        </w:rPr>
        <w:t>up</w:t>
      </w:r>
      <w:r>
        <w:rPr>
          <w:spacing w:val="-9"/>
        </w:rPr>
        <w:t> </w:t>
      </w:r>
      <w:r>
        <w:rPr>
          <w:spacing w:val="-4"/>
        </w:rPr>
        <w:t>a</w:t>
      </w:r>
      <w:r>
        <w:rPr>
          <w:spacing w:val="-10"/>
        </w:rPr>
        <w:t> </w:t>
      </w:r>
      <w:r>
        <w:rPr>
          <w:spacing w:val="-4"/>
        </w:rPr>
        <w:t>National Science</w:t>
      </w:r>
      <w:r>
        <w:rPr>
          <w:spacing w:val="-10"/>
        </w:rPr>
        <w:t> </w:t>
      </w:r>
      <w:r>
        <w:rPr>
          <w:spacing w:val="-4"/>
        </w:rPr>
        <w:t>and</w:t>
      </w:r>
      <w:r>
        <w:rPr>
          <w:spacing w:val="-10"/>
        </w:rPr>
        <w:t> </w:t>
      </w:r>
      <w:r>
        <w:rPr>
          <w:spacing w:val="-4"/>
        </w:rPr>
        <w:t>Social</w:t>
      </w:r>
      <w:r>
        <w:rPr>
          <w:spacing w:val="-10"/>
        </w:rPr>
        <w:t> </w:t>
      </w:r>
      <w:r>
        <w:rPr>
          <w:spacing w:val="-4"/>
        </w:rPr>
        <w:t>Science</w:t>
      </w:r>
      <w:r>
        <w:rPr>
          <w:spacing w:val="-9"/>
        </w:rPr>
        <w:t> </w:t>
      </w:r>
      <w:r>
        <w:rPr>
          <w:spacing w:val="-4"/>
        </w:rPr>
        <w:t>Foundation</w:t>
      </w:r>
      <w:r>
        <w:rPr>
          <w:spacing w:val="-10"/>
        </w:rPr>
        <w:t> </w:t>
      </w:r>
      <w:r>
        <w:rPr>
          <w:spacing w:val="-4"/>
        </w:rPr>
        <w:t>(NSSSF)</w:t>
      </w:r>
      <w:r>
        <w:rPr>
          <w:spacing w:val="-10"/>
        </w:rPr>
        <w:t> </w:t>
      </w:r>
      <w:r>
        <w:rPr>
          <w:spacing w:val="-4"/>
        </w:rPr>
        <w:t>which </w:t>
      </w:r>
      <w:r>
        <w:rPr/>
        <w:t>will</w:t>
      </w:r>
      <w:r>
        <w:rPr>
          <w:spacing w:val="-7"/>
        </w:rPr>
        <w:t> </w:t>
      </w:r>
      <w:r>
        <w:rPr/>
        <w:t>look</w:t>
      </w:r>
      <w:r>
        <w:rPr>
          <w:spacing w:val="-7"/>
        </w:rPr>
        <w:t> </w:t>
      </w:r>
      <w:r>
        <w:rPr/>
        <w:t>at</w:t>
      </w:r>
      <w:r>
        <w:rPr>
          <w:spacing w:val="-7"/>
        </w:rPr>
        <w:t> </w:t>
      </w:r>
      <w:r>
        <w:rPr/>
        <w:t>all</w:t>
      </w:r>
      <w:r>
        <w:rPr>
          <w:spacing w:val="-7"/>
        </w:rPr>
        <w:t> </w:t>
      </w:r>
      <w:r>
        <w:rPr/>
        <w:t>knowledge</w:t>
      </w:r>
      <w:r>
        <w:rPr>
          <w:spacing w:val="-7"/>
        </w:rPr>
        <w:t> </w:t>
      </w:r>
      <w:r>
        <w:rPr/>
        <w:t>as</w:t>
      </w:r>
      <w:r>
        <w:rPr>
          <w:spacing w:val="-7"/>
        </w:rPr>
        <w:t> </w:t>
      </w:r>
      <w:r>
        <w:rPr/>
        <w:t>one</w:t>
      </w:r>
      <w:r>
        <w:rPr>
          <w:spacing w:val="-7"/>
        </w:rPr>
        <w:t> </w:t>
      </w:r>
      <w:r>
        <w:rPr/>
        <w:t>seamless</w:t>
      </w:r>
      <w:r>
        <w:rPr>
          <w:spacing w:val="-7"/>
        </w:rPr>
        <w:t> </w:t>
      </w:r>
      <w:r>
        <w:rPr/>
        <w:t>entity.</w:t>
      </w:r>
      <w:r>
        <w:rPr>
          <w:spacing w:val="-9"/>
        </w:rPr>
        <w:t> </w:t>
      </w:r>
      <w:r>
        <w:rPr/>
        <w:t>We will</w:t>
      </w:r>
      <w:r>
        <w:rPr>
          <w:spacing w:val="-1"/>
        </w:rPr>
        <w:t> </w:t>
      </w:r>
      <w:r>
        <w:rPr/>
        <w:t>be</w:t>
      </w:r>
      <w:r>
        <w:rPr>
          <w:spacing w:val="-1"/>
        </w:rPr>
        <w:t> </w:t>
      </w:r>
      <w:r>
        <w:rPr/>
        <w:t>the</w:t>
      </w:r>
      <w:r>
        <w:rPr>
          <w:spacing w:val="-1"/>
        </w:rPr>
        <w:t> </w:t>
      </w:r>
      <w:r>
        <w:rPr/>
        <w:t>first</w:t>
      </w:r>
      <w:r>
        <w:rPr>
          <w:spacing w:val="-1"/>
        </w:rPr>
        <w:t> </w:t>
      </w:r>
      <w:r>
        <w:rPr/>
        <w:t>country</w:t>
      </w:r>
      <w:r>
        <w:rPr>
          <w:spacing w:val="-1"/>
        </w:rPr>
        <w:t> </w:t>
      </w:r>
      <w:r>
        <w:rPr/>
        <w:t>to</w:t>
      </w:r>
      <w:r>
        <w:rPr>
          <w:spacing w:val="-1"/>
        </w:rPr>
        <w:t> </w:t>
      </w:r>
      <w:r>
        <w:rPr/>
        <w:t>set</w:t>
      </w:r>
      <w:r>
        <w:rPr>
          <w:spacing w:val="-1"/>
        </w:rPr>
        <w:t> </w:t>
      </w:r>
      <w:r>
        <w:rPr/>
        <w:t>up</w:t>
      </w:r>
      <w:r>
        <w:rPr>
          <w:spacing w:val="-1"/>
        </w:rPr>
        <w:t> </w:t>
      </w:r>
      <w:r>
        <w:rPr/>
        <w:t>such</w:t>
      </w:r>
      <w:r>
        <w:rPr>
          <w:spacing w:val="-1"/>
        </w:rPr>
        <w:t> </w:t>
      </w:r>
      <w:r>
        <w:rPr/>
        <w:t>an</w:t>
      </w:r>
      <w:r>
        <w:rPr>
          <w:spacing w:val="-1"/>
        </w:rPr>
        <w:t> </w:t>
      </w:r>
      <w:r>
        <w:rPr/>
        <w:t>avant</w:t>
      </w:r>
      <w:r>
        <w:rPr>
          <w:spacing w:val="-1"/>
        </w:rPr>
        <w:t> </w:t>
      </w:r>
      <w:r>
        <w:rPr/>
        <w:t>garde organisation</w:t>
      </w:r>
      <w:r>
        <w:rPr>
          <w:spacing w:val="-14"/>
        </w:rPr>
        <w:t> </w:t>
      </w:r>
      <w:r>
        <w:rPr/>
        <w:t>–</w:t>
      </w:r>
      <w:r>
        <w:rPr>
          <w:spacing w:val="-13"/>
        </w:rPr>
        <w:t> </w:t>
      </w:r>
      <w:r>
        <w:rPr/>
        <w:t>and</w:t>
      </w:r>
      <w:r>
        <w:rPr>
          <w:spacing w:val="-14"/>
        </w:rPr>
        <w:t> </w:t>
      </w:r>
      <w:r>
        <w:rPr/>
        <w:t>rightfully</w:t>
      </w:r>
      <w:r>
        <w:rPr>
          <w:spacing w:val="-14"/>
        </w:rPr>
        <w:t> </w:t>
      </w:r>
      <w:r>
        <w:rPr/>
        <w:t>so,</w:t>
      </w:r>
      <w:r>
        <w:rPr>
          <w:spacing w:val="-13"/>
        </w:rPr>
        <w:t> </w:t>
      </w:r>
      <w:r>
        <w:rPr/>
        <w:t>given</w:t>
      </w:r>
      <w:r>
        <w:rPr>
          <w:spacing w:val="-14"/>
        </w:rPr>
        <w:t> </w:t>
      </w:r>
      <w:r>
        <w:rPr/>
        <w:t>our</w:t>
      </w:r>
      <w:r>
        <w:rPr>
          <w:spacing w:val="-13"/>
        </w:rPr>
        <w:t> </w:t>
      </w:r>
      <w:r>
        <w:rPr/>
        <w:t>5,000</w:t>
      </w:r>
      <w:r>
        <w:rPr>
          <w:spacing w:val="-14"/>
        </w:rPr>
        <w:t> </w:t>
      </w:r>
      <w:r>
        <w:rPr/>
        <w:t>year- old tradition of broad-based knowledge.</w:t>
      </w:r>
    </w:p>
    <w:p>
      <w:pPr>
        <w:pStyle w:val="BodyText"/>
        <w:spacing w:before="22"/>
      </w:pPr>
    </w:p>
    <w:p>
      <w:pPr>
        <w:pStyle w:val="BodyText"/>
        <w:ind w:left="319"/>
        <w:jc w:val="both"/>
      </w:pPr>
      <w:r>
        <w:rPr>
          <w:spacing w:val="-4"/>
        </w:rPr>
        <w:t>The</w:t>
      </w:r>
      <w:r>
        <w:rPr>
          <w:spacing w:val="-7"/>
        </w:rPr>
        <w:t> </w:t>
      </w:r>
      <w:r>
        <w:rPr>
          <w:spacing w:val="-4"/>
        </w:rPr>
        <w:t>objectives</w:t>
      </w:r>
      <w:r>
        <w:rPr>
          <w:spacing w:val="-7"/>
        </w:rPr>
        <w:t> </w:t>
      </w:r>
      <w:r>
        <w:rPr>
          <w:spacing w:val="-4"/>
        </w:rPr>
        <w:t>of</w:t>
      </w:r>
      <w:r>
        <w:rPr>
          <w:spacing w:val="-6"/>
        </w:rPr>
        <w:t> </w:t>
      </w:r>
      <w:r>
        <w:rPr>
          <w:spacing w:val="-4"/>
        </w:rPr>
        <w:t>the</w:t>
      </w:r>
      <w:r>
        <w:rPr>
          <w:spacing w:val="-7"/>
        </w:rPr>
        <w:t> </w:t>
      </w:r>
      <w:r>
        <w:rPr>
          <w:spacing w:val="-4"/>
        </w:rPr>
        <w:t>proposed</w:t>
      </w:r>
      <w:r>
        <w:rPr>
          <w:spacing w:val="-7"/>
        </w:rPr>
        <w:t> </w:t>
      </w:r>
      <w:r>
        <w:rPr>
          <w:spacing w:val="-4"/>
        </w:rPr>
        <w:t>NSSSF</w:t>
      </w:r>
      <w:r>
        <w:rPr>
          <w:spacing w:val="-6"/>
        </w:rPr>
        <w:t> </w:t>
      </w:r>
      <w:r>
        <w:rPr>
          <w:spacing w:val="-4"/>
        </w:rPr>
        <w:t>will</w:t>
      </w:r>
      <w:r>
        <w:rPr>
          <w:spacing w:val="-7"/>
        </w:rPr>
        <w:t> </w:t>
      </w:r>
      <w:r>
        <w:rPr>
          <w:spacing w:val="-4"/>
        </w:rPr>
        <w:t>be</w:t>
      </w:r>
      <w:r>
        <w:rPr>
          <w:spacing w:val="-7"/>
        </w:rPr>
        <w:t> </w:t>
      </w:r>
      <w:r>
        <w:rPr>
          <w:spacing w:val="-5"/>
        </w:rPr>
        <w:t>to:</w:t>
      </w:r>
    </w:p>
    <w:p>
      <w:pPr>
        <w:pStyle w:val="ListParagraph"/>
        <w:numPr>
          <w:ilvl w:val="0"/>
          <w:numId w:val="55"/>
        </w:numPr>
        <w:tabs>
          <w:tab w:pos="679" w:val="left" w:leader="none"/>
        </w:tabs>
        <w:spacing w:line="266" w:lineRule="auto" w:before="27" w:after="0"/>
        <w:ind w:left="679" w:right="1077" w:hanging="360"/>
        <w:jc w:val="both"/>
        <w:rPr>
          <w:sz w:val="22"/>
        </w:rPr>
      </w:pPr>
      <w:r>
        <w:rPr>
          <w:spacing w:val="-2"/>
          <w:sz w:val="22"/>
        </w:rPr>
        <w:t>Suggest</w:t>
      </w:r>
      <w:r>
        <w:rPr>
          <w:spacing w:val="-10"/>
          <w:sz w:val="22"/>
        </w:rPr>
        <w:t> </w:t>
      </w:r>
      <w:r>
        <w:rPr>
          <w:spacing w:val="-2"/>
          <w:sz w:val="22"/>
        </w:rPr>
        <w:t>policy</w:t>
      </w:r>
      <w:r>
        <w:rPr>
          <w:spacing w:val="-10"/>
          <w:sz w:val="22"/>
        </w:rPr>
        <w:t> </w:t>
      </w:r>
      <w:r>
        <w:rPr>
          <w:spacing w:val="-2"/>
          <w:sz w:val="22"/>
        </w:rPr>
        <w:t>initiatives</w:t>
      </w:r>
      <w:r>
        <w:rPr>
          <w:spacing w:val="-10"/>
          <w:sz w:val="22"/>
        </w:rPr>
        <w:t> </w:t>
      </w:r>
      <w:r>
        <w:rPr>
          <w:spacing w:val="-2"/>
          <w:sz w:val="22"/>
        </w:rPr>
        <w:t>to</w:t>
      </w:r>
      <w:r>
        <w:rPr>
          <w:spacing w:val="-10"/>
          <w:sz w:val="22"/>
        </w:rPr>
        <w:t> </w:t>
      </w:r>
      <w:r>
        <w:rPr>
          <w:spacing w:val="-2"/>
          <w:sz w:val="22"/>
        </w:rPr>
        <w:t>make</w:t>
      </w:r>
      <w:r>
        <w:rPr>
          <w:spacing w:val="-10"/>
          <w:sz w:val="22"/>
        </w:rPr>
        <w:t> </w:t>
      </w:r>
      <w:r>
        <w:rPr>
          <w:spacing w:val="-2"/>
          <w:sz w:val="22"/>
        </w:rPr>
        <w:t>India</w:t>
      </w:r>
      <w:r>
        <w:rPr>
          <w:spacing w:val="-10"/>
          <w:sz w:val="22"/>
        </w:rPr>
        <w:t> </w:t>
      </w:r>
      <w:r>
        <w:rPr>
          <w:spacing w:val="-2"/>
          <w:sz w:val="22"/>
        </w:rPr>
        <w:t>a</w:t>
      </w:r>
      <w:r>
        <w:rPr>
          <w:spacing w:val="-10"/>
          <w:sz w:val="22"/>
        </w:rPr>
        <w:t> </w:t>
      </w:r>
      <w:r>
        <w:rPr>
          <w:spacing w:val="-2"/>
          <w:sz w:val="22"/>
        </w:rPr>
        <w:t>leader</w:t>
      </w:r>
      <w:r>
        <w:rPr>
          <w:spacing w:val="-10"/>
          <w:sz w:val="22"/>
        </w:rPr>
        <w:t> </w:t>
      </w:r>
      <w:r>
        <w:rPr>
          <w:spacing w:val="-2"/>
          <w:sz w:val="22"/>
        </w:rPr>
        <w:t>in </w:t>
      </w:r>
      <w:r>
        <w:rPr>
          <w:sz w:val="22"/>
        </w:rPr>
        <w:t>the</w:t>
      </w:r>
      <w:r>
        <w:rPr>
          <w:spacing w:val="-14"/>
          <w:sz w:val="22"/>
        </w:rPr>
        <w:t> </w:t>
      </w:r>
      <w:r>
        <w:rPr>
          <w:sz w:val="22"/>
        </w:rPr>
        <w:t>creation</w:t>
      </w:r>
      <w:r>
        <w:rPr>
          <w:spacing w:val="-14"/>
          <w:sz w:val="22"/>
        </w:rPr>
        <w:t> </w:t>
      </w:r>
      <w:r>
        <w:rPr>
          <w:sz w:val="22"/>
        </w:rPr>
        <w:t>and</w:t>
      </w:r>
      <w:r>
        <w:rPr>
          <w:spacing w:val="-14"/>
          <w:sz w:val="22"/>
        </w:rPr>
        <w:t> </w:t>
      </w:r>
      <w:r>
        <w:rPr>
          <w:sz w:val="22"/>
        </w:rPr>
        <w:t>use</w:t>
      </w:r>
      <w:r>
        <w:rPr>
          <w:spacing w:val="-13"/>
          <w:sz w:val="22"/>
        </w:rPr>
        <w:t> </w:t>
      </w:r>
      <w:r>
        <w:rPr>
          <w:sz w:val="22"/>
        </w:rPr>
        <w:t>of</w:t>
      </w:r>
      <w:r>
        <w:rPr>
          <w:spacing w:val="-14"/>
          <w:sz w:val="22"/>
        </w:rPr>
        <w:t> </w:t>
      </w:r>
      <w:r>
        <w:rPr>
          <w:sz w:val="22"/>
        </w:rPr>
        <w:t>new</w:t>
      </w:r>
      <w:r>
        <w:rPr>
          <w:spacing w:val="-14"/>
          <w:sz w:val="22"/>
        </w:rPr>
        <w:t> </w:t>
      </w:r>
      <w:r>
        <w:rPr>
          <w:sz w:val="22"/>
        </w:rPr>
        <w:t>knowledge</w:t>
      </w:r>
      <w:r>
        <w:rPr>
          <w:spacing w:val="-14"/>
          <w:sz w:val="22"/>
        </w:rPr>
        <w:t> </w:t>
      </w:r>
      <w:r>
        <w:rPr>
          <w:sz w:val="22"/>
        </w:rPr>
        <w:t>in</w:t>
      </w:r>
      <w:r>
        <w:rPr>
          <w:spacing w:val="-13"/>
          <w:sz w:val="22"/>
        </w:rPr>
        <w:t> </w:t>
      </w:r>
      <w:r>
        <w:rPr>
          <w:sz w:val="22"/>
        </w:rPr>
        <w:t>all</w:t>
      </w:r>
      <w:r>
        <w:rPr>
          <w:spacing w:val="-14"/>
          <w:sz w:val="22"/>
        </w:rPr>
        <w:t> </w:t>
      </w:r>
      <w:r>
        <w:rPr>
          <w:sz w:val="22"/>
        </w:rPr>
        <w:t>areas </w:t>
      </w:r>
      <w:r>
        <w:rPr>
          <w:spacing w:val="-2"/>
          <w:sz w:val="22"/>
        </w:rPr>
        <w:t>of</w:t>
      </w:r>
      <w:r>
        <w:rPr>
          <w:spacing w:val="-11"/>
          <w:sz w:val="22"/>
        </w:rPr>
        <w:t> </w:t>
      </w:r>
      <w:r>
        <w:rPr>
          <w:spacing w:val="-2"/>
          <w:sz w:val="22"/>
        </w:rPr>
        <w:t>natural,</w:t>
      </w:r>
      <w:r>
        <w:rPr>
          <w:spacing w:val="-11"/>
          <w:sz w:val="22"/>
        </w:rPr>
        <w:t> </w:t>
      </w:r>
      <w:r>
        <w:rPr>
          <w:spacing w:val="-2"/>
          <w:sz w:val="22"/>
        </w:rPr>
        <w:t>physical,</w:t>
      </w:r>
      <w:r>
        <w:rPr>
          <w:spacing w:val="-11"/>
          <w:sz w:val="22"/>
        </w:rPr>
        <w:t> </w:t>
      </w:r>
      <w:r>
        <w:rPr>
          <w:spacing w:val="-2"/>
          <w:sz w:val="22"/>
        </w:rPr>
        <w:t>agricultural,</w:t>
      </w:r>
      <w:r>
        <w:rPr>
          <w:spacing w:val="-11"/>
          <w:sz w:val="22"/>
        </w:rPr>
        <w:t> </w:t>
      </w:r>
      <w:r>
        <w:rPr>
          <w:spacing w:val="-2"/>
          <w:sz w:val="22"/>
        </w:rPr>
        <w:t>health,</w:t>
      </w:r>
      <w:r>
        <w:rPr>
          <w:spacing w:val="-11"/>
          <w:sz w:val="22"/>
        </w:rPr>
        <w:t> </w:t>
      </w:r>
      <w:r>
        <w:rPr>
          <w:spacing w:val="-2"/>
          <w:sz w:val="22"/>
        </w:rPr>
        <w:t>and</w:t>
      </w:r>
      <w:r>
        <w:rPr>
          <w:spacing w:val="-11"/>
          <w:sz w:val="22"/>
        </w:rPr>
        <w:t> </w:t>
      </w:r>
      <w:r>
        <w:rPr>
          <w:spacing w:val="-2"/>
          <w:sz w:val="22"/>
        </w:rPr>
        <w:t>social </w:t>
      </w:r>
      <w:r>
        <w:rPr>
          <w:sz w:val="22"/>
        </w:rPr>
        <w:t>sciences,</w:t>
      </w:r>
      <w:r>
        <w:rPr>
          <w:spacing w:val="-4"/>
          <w:sz w:val="22"/>
        </w:rPr>
        <w:t> </w:t>
      </w:r>
      <w:r>
        <w:rPr>
          <w:sz w:val="22"/>
        </w:rPr>
        <w:t>with</w:t>
      </w:r>
      <w:r>
        <w:rPr>
          <w:spacing w:val="-4"/>
          <w:sz w:val="22"/>
        </w:rPr>
        <w:t> </w:t>
      </w:r>
      <w:r>
        <w:rPr>
          <w:sz w:val="22"/>
        </w:rPr>
        <w:t>emphasis</w:t>
      </w:r>
      <w:r>
        <w:rPr>
          <w:spacing w:val="-4"/>
          <w:sz w:val="22"/>
        </w:rPr>
        <w:t> </w:t>
      </w:r>
      <w:r>
        <w:rPr>
          <w:sz w:val="22"/>
        </w:rPr>
        <w:t>on</w:t>
      </w:r>
      <w:r>
        <w:rPr>
          <w:spacing w:val="-4"/>
          <w:sz w:val="22"/>
        </w:rPr>
        <w:t> </w:t>
      </w:r>
      <w:r>
        <w:rPr>
          <w:sz w:val="22"/>
        </w:rPr>
        <w:t>those</w:t>
      </w:r>
      <w:r>
        <w:rPr>
          <w:spacing w:val="-4"/>
          <w:sz w:val="22"/>
        </w:rPr>
        <w:t> </w:t>
      </w:r>
      <w:r>
        <w:rPr>
          <w:sz w:val="22"/>
        </w:rPr>
        <w:t>areas</w:t>
      </w:r>
      <w:r>
        <w:rPr>
          <w:spacing w:val="-4"/>
          <w:sz w:val="22"/>
        </w:rPr>
        <w:t> </w:t>
      </w:r>
      <w:r>
        <w:rPr>
          <w:sz w:val="22"/>
        </w:rPr>
        <w:t>which</w:t>
      </w:r>
      <w:r>
        <w:rPr>
          <w:spacing w:val="-4"/>
          <w:sz w:val="22"/>
        </w:rPr>
        <w:t> </w:t>
      </w:r>
      <w:r>
        <w:rPr>
          <w:sz w:val="22"/>
        </w:rPr>
        <w:t>cut across traditional disciplines;</w:t>
      </w:r>
    </w:p>
    <w:p>
      <w:pPr>
        <w:pStyle w:val="ListParagraph"/>
        <w:numPr>
          <w:ilvl w:val="0"/>
          <w:numId w:val="55"/>
        </w:numPr>
        <w:tabs>
          <w:tab w:pos="679" w:val="left" w:leader="none"/>
        </w:tabs>
        <w:spacing w:line="266" w:lineRule="auto" w:before="0" w:after="0"/>
        <w:ind w:left="679" w:right="1078" w:hanging="360"/>
        <w:jc w:val="both"/>
        <w:rPr>
          <w:sz w:val="22"/>
        </w:rPr>
      </w:pPr>
      <w:r>
        <w:rPr>
          <w:spacing w:val="-2"/>
          <w:sz w:val="22"/>
        </w:rPr>
        <w:t>Ensure</w:t>
      </w:r>
      <w:r>
        <w:rPr>
          <w:spacing w:val="-7"/>
          <w:sz w:val="22"/>
        </w:rPr>
        <w:t> </w:t>
      </w:r>
      <w:r>
        <w:rPr>
          <w:spacing w:val="-2"/>
          <w:sz w:val="22"/>
        </w:rPr>
        <w:t>that</w:t>
      </w:r>
      <w:r>
        <w:rPr>
          <w:spacing w:val="-7"/>
          <w:sz w:val="22"/>
        </w:rPr>
        <w:t> </w:t>
      </w:r>
      <w:r>
        <w:rPr>
          <w:spacing w:val="-2"/>
          <w:sz w:val="22"/>
        </w:rPr>
        <w:t>science</w:t>
      </w:r>
      <w:r>
        <w:rPr>
          <w:spacing w:val="-7"/>
          <w:sz w:val="22"/>
        </w:rPr>
        <w:t> </w:t>
      </w:r>
      <w:r>
        <w:rPr>
          <w:spacing w:val="-2"/>
          <w:sz w:val="22"/>
        </w:rPr>
        <w:t>and</w:t>
      </w:r>
      <w:r>
        <w:rPr>
          <w:spacing w:val="-7"/>
          <w:sz w:val="22"/>
        </w:rPr>
        <w:t> </w:t>
      </w:r>
      <w:r>
        <w:rPr>
          <w:spacing w:val="-2"/>
          <w:sz w:val="22"/>
        </w:rPr>
        <w:t>technology</w:t>
      </w:r>
      <w:r>
        <w:rPr>
          <w:spacing w:val="-7"/>
          <w:sz w:val="22"/>
        </w:rPr>
        <w:t> </w:t>
      </w:r>
      <w:r>
        <w:rPr>
          <w:spacing w:val="-2"/>
          <w:sz w:val="22"/>
        </w:rPr>
        <w:t>are</w:t>
      </w:r>
      <w:r>
        <w:rPr>
          <w:spacing w:val="-7"/>
          <w:sz w:val="22"/>
        </w:rPr>
        <w:t> </w:t>
      </w:r>
      <w:r>
        <w:rPr>
          <w:spacing w:val="-2"/>
          <w:sz w:val="22"/>
        </w:rPr>
        <w:t>maximally </w:t>
      </w:r>
      <w:r>
        <w:rPr>
          <w:sz w:val="22"/>
        </w:rPr>
        <w:t>used for betterment of the lives of our people;</w:t>
      </w:r>
    </w:p>
    <w:p>
      <w:pPr>
        <w:pStyle w:val="ListParagraph"/>
        <w:numPr>
          <w:ilvl w:val="0"/>
          <w:numId w:val="55"/>
        </w:numPr>
        <w:tabs>
          <w:tab w:pos="678" w:val="left" w:leader="none"/>
        </w:tabs>
        <w:spacing w:line="251" w:lineRule="exact" w:before="0" w:after="0"/>
        <w:ind w:left="678" w:right="0" w:hanging="359"/>
        <w:jc w:val="both"/>
        <w:rPr>
          <w:sz w:val="22"/>
        </w:rPr>
      </w:pPr>
      <w:r>
        <w:rPr>
          <w:spacing w:val="-6"/>
          <w:sz w:val="22"/>
        </w:rPr>
        <w:t>Develop</w:t>
      </w:r>
      <w:r>
        <w:rPr>
          <w:spacing w:val="-2"/>
          <w:sz w:val="22"/>
        </w:rPr>
        <w:t> </w:t>
      </w:r>
      <w:r>
        <w:rPr>
          <w:spacing w:val="-6"/>
          <w:sz w:val="22"/>
        </w:rPr>
        <w:t>a</w:t>
      </w:r>
      <w:r>
        <w:rPr>
          <w:spacing w:val="-1"/>
          <w:sz w:val="22"/>
        </w:rPr>
        <w:t> </w:t>
      </w:r>
      <w:r>
        <w:rPr>
          <w:spacing w:val="-6"/>
          <w:sz w:val="22"/>
        </w:rPr>
        <w:t>scientific</w:t>
      </w:r>
      <w:r>
        <w:rPr>
          <w:spacing w:val="-2"/>
          <w:sz w:val="22"/>
        </w:rPr>
        <w:t> </w:t>
      </w:r>
      <w:r>
        <w:rPr>
          <w:spacing w:val="-6"/>
          <w:sz w:val="22"/>
        </w:rPr>
        <w:t>temper</w:t>
      </w:r>
    </w:p>
    <w:p>
      <w:pPr>
        <w:pStyle w:val="BodyText"/>
        <w:spacing w:before="50"/>
      </w:pPr>
    </w:p>
    <w:p>
      <w:pPr>
        <w:pStyle w:val="BodyText"/>
        <w:spacing w:line="266" w:lineRule="auto"/>
        <w:ind w:left="319" w:right="1077"/>
        <w:jc w:val="both"/>
      </w:pPr>
      <w:r>
        <w:rPr/>
        <w:t>The</w:t>
      </w:r>
      <w:r>
        <w:rPr>
          <w:spacing w:val="-1"/>
        </w:rPr>
        <w:t> </w:t>
      </w:r>
      <w:r>
        <w:rPr/>
        <w:t>Governing</w:t>
      </w:r>
      <w:r>
        <w:rPr>
          <w:spacing w:val="-1"/>
        </w:rPr>
        <w:t> </w:t>
      </w:r>
      <w:r>
        <w:rPr/>
        <w:t>Board</w:t>
      </w:r>
      <w:r>
        <w:rPr>
          <w:spacing w:val="-1"/>
        </w:rPr>
        <w:t> </w:t>
      </w:r>
      <w:r>
        <w:rPr/>
        <w:t>of</w:t>
      </w:r>
      <w:r>
        <w:rPr>
          <w:spacing w:val="-1"/>
        </w:rPr>
        <w:t> </w:t>
      </w:r>
      <w:r>
        <w:rPr/>
        <w:t>the</w:t>
      </w:r>
      <w:r>
        <w:rPr>
          <w:spacing w:val="-1"/>
        </w:rPr>
        <w:t> </w:t>
      </w:r>
      <w:r>
        <w:rPr/>
        <w:t>Foundation</w:t>
      </w:r>
      <w:r>
        <w:rPr>
          <w:spacing w:val="-1"/>
        </w:rPr>
        <w:t> </w:t>
      </w:r>
      <w:r>
        <w:rPr/>
        <w:t>should</w:t>
      </w:r>
      <w:r>
        <w:rPr>
          <w:spacing w:val="-1"/>
        </w:rPr>
        <w:t> </w:t>
      </w:r>
      <w:r>
        <w:rPr/>
        <w:t>have a</w:t>
      </w:r>
      <w:r>
        <w:rPr>
          <w:spacing w:val="-14"/>
        </w:rPr>
        <w:t> </w:t>
      </w:r>
      <w:r>
        <w:rPr/>
        <w:t>Chairman,</w:t>
      </w:r>
      <w:r>
        <w:rPr>
          <w:spacing w:val="-14"/>
        </w:rPr>
        <w:t> </w:t>
      </w:r>
      <w:r>
        <w:rPr/>
        <w:t>a</w:t>
      </w:r>
      <w:r>
        <w:rPr>
          <w:spacing w:val="-14"/>
        </w:rPr>
        <w:t> </w:t>
      </w:r>
      <w:r>
        <w:rPr/>
        <w:t>Vice-Chairman</w:t>
      </w:r>
      <w:r>
        <w:rPr>
          <w:spacing w:val="-13"/>
        </w:rPr>
        <w:t> </w:t>
      </w:r>
      <w:r>
        <w:rPr/>
        <w:t>and</w:t>
      </w:r>
      <w:r>
        <w:rPr>
          <w:spacing w:val="-14"/>
        </w:rPr>
        <w:t> </w:t>
      </w:r>
      <w:r>
        <w:rPr/>
        <w:t>8-10</w:t>
      </w:r>
      <w:r>
        <w:rPr>
          <w:spacing w:val="-14"/>
        </w:rPr>
        <w:t> </w:t>
      </w:r>
      <w:r>
        <w:rPr/>
        <w:t>members.</w:t>
      </w:r>
      <w:r>
        <w:rPr>
          <w:spacing w:val="-14"/>
        </w:rPr>
        <w:t> </w:t>
      </w:r>
      <w:r>
        <w:rPr/>
        <w:t>The Chairmanship and Vice-Chairmanship of the NSSSF </w:t>
      </w:r>
      <w:r>
        <w:rPr>
          <w:spacing w:val="-10"/>
        </w:rPr>
        <w:t>should</w:t>
      </w:r>
      <w:r>
        <w:rPr/>
        <w:t> </w:t>
      </w:r>
      <w:r>
        <w:rPr>
          <w:spacing w:val="-10"/>
        </w:rPr>
        <w:t>rotate</w:t>
      </w:r>
      <w:r>
        <w:rPr/>
        <w:t> </w:t>
      </w:r>
      <w:r>
        <w:rPr>
          <w:spacing w:val="-10"/>
        </w:rPr>
        <w:t>between</w:t>
      </w:r>
      <w:r>
        <w:rPr/>
        <w:t> </w:t>
      </w:r>
      <w:r>
        <w:rPr>
          <w:spacing w:val="-10"/>
        </w:rPr>
        <w:t>the</w:t>
      </w:r>
      <w:r>
        <w:rPr/>
        <w:t> </w:t>
      </w:r>
      <w:r>
        <w:rPr>
          <w:spacing w:val="-10"/>
        </w:rPr>
        <w:t>sciences</w:t>
      </w:r>
      <w:r>
        <w:rPr/>
        <w:t> </w:t>
      </w:r>
      <w:r>
        <w:rPr>
          <w:spacing w:val="-10"/>
        </w:rPr>
        <w:t>and</w:t>
      </w:r>
      <w:r>
        <w:rPr/>
        <w:t> </w:t>
      </w:r>
      <w:r>
        <w:rPr>
          <w:spacing w:val="-10"/>
        </w:rPr>
        <w:t>the</w:t>
      </w:r>
      <w:r>
        <w:rPr/>
        <w:t> </w:t>
      </w:r>
      <w:r>
        <w:rPr>
          <w:spacing w:val="-10"/>
        </w:rPr>
        <w:t>social</w:t>
      </w:r>
      <w:r>
        <w:rPr/>
        <w:t> </w:t>
      </w:r>
      <w:r>
        <w:rPr>
          <w:spacing w:val="-10"/>
        </w:rPr>
        <w:t>sciences, </w:t>
      </w:r>
      <w:r>
        <w:rPr>
          <w:spacing w:val="-2"/>
        </w:rPr>
        <w:t>ensuring</w:t>
      </w:r>
      <w:r>
        <w:rPr>
          <w:spacing w:val="-9"/>
        </w:rPr>
        <w:t> </w:t>
      </w:r>
      <w:r>
        <w:rPr>
          <w:spacing w:val="-2"/>
        </w:rPr>
        <w:t>that</w:t>
      </w:r>
      <w:r>
        <w:rPr>
          <w:spacing w:val="-9"/>
        </w:rPr>
        <w:t> </w:t>
      </w:r>
      <w:r>
        <w:rPr>
          <w:spacing w:val="-2"/>
        </w:rPr>
        <w:t>if</w:t>
      </w:r>
      <w:r>
        <w:rPr>
          <w:spacing w:val="-9"/>
        </w:rPr>
        <w:t> </w:t>
      </w:r>
      <w:r>
        <w:rPr>
          <w:spacing w:val="-2"/>
        </w:rPr>
        <w:t>the</w:t>
      </w:r>
      <w:r>
        <w:rPr>
          <w:spacing w:val="-9"/>
        </w:rPr>
        <w:t> </w:t>
      </w:r>
      <w:r>
        <w:rPr>
          <w:spacing w:val="-2"/>
        </w:rPr>
        <w:t>Chairperson</w:t>
      </w:r>
      <w:r>
        <w:rPr>
          <w:spacing w:val="-9"/>
        </w:rPr>
        <w:t> </w:t>
      </w:r>
      <w:r>
        <w:rPr>
          <w:spacing w:val="-2"/>
        </w:rPr>
        <w:t>is</w:t>
      </w:r>
      <w:r>
        <w:rPr>
          <w:spacing w:val="-9"/>
        </w:rPr>
        <w:t> </w:t>
      </w:r>
      <w:r>
        <w:rPr>
          <w:spacing w:val="-2"/>
        </w:rPr>
        <w:t>a</w:t>
      </w:r>
      <w:r>
        <w:rPr>
          <w:spacing w:val="-9"/>
        </w:rPr>
        <w:t> </w:t>
      </w:r>
      <w:r>
        <w:rPr>
          <w:spacing w:val="-2"/>
        </w:rPr>
        <w:t>scientist,</w:t>
      </w:r>
      <w:r>
        <w:rPr>
          <w:spacing w:val="-9"/>
        </w:rPr>
        <w:t> </w:t>
      </w:r>
      <w:r>
        <w:rPr>
          <w:spacing w:val="-2"/>
        </w:rPr>
        <w:t>the</w:t>
      </w:r>
      <w:r>
        <w:rPr>
          <w:spacing w:val="-11"/>
        </w:rPr>
        <w:t> </w:t>
      </w:r>
      <w:r>
        <w:rPr>
          <w:spacing w:val="-2"/>
        </w:rPr>
        <w:t>Vice- </w:t>
      </w:r>
      <w:r>
        <w:rPr>
          <w:spacing w:val="-4"/>
        </w:rPr>
        <w:t>Chairperson</w:t>
      </w:r>
      <w:r>
        <w:rPr>
          <w:spacing w:val="-9"/>
        </w:rPr>
        <w:t> </w:t>
      </w:r>
      <w:r>
        <w:rPr>
          <w:spacing w:val="-4"/>
        </w:rPr>
        <w:t>should</w:t>
      </w:r>
      <w:r>
        <w:rPr>
          <w:spacing w:val="-9"/>
        </w:rPr>
        <w:t> </w:t>
      </w:r>
      <w:r>
        <w:rPr>
          <w:spacing w:val="-4"/>
        </w:rPr>
        <w:t>be</w:t>
      </w:r>
      <w:r>
        <w:rPr>
          <w:spacing w:val="-9"/>
        </w:rPr>
        <w:t> </w:t>
      </w:r>
      <w:r>
        <w:rPr>
          <w:spacing w:val="-4"/>
        </w:rPr>
        <w:t>a</w:t>
      </w:r>
      <w:r>
        <w:rPr>
          <w:spacing w:val="-9"/>
        </w:rPr>
        <w:t> </w:t>
      </w:r>
      <w:r>
        <w:rPr>
          <w:spacing w:val="-4"/>
        </w:rPr>
        <w:t>social</w:t>
      </w:r>
      <w:r>
        <w:rPr>
          <w:spacing w:val="-9"/>
        </w:rPr>
        <w:t> </w:t>
      </w:r>
      <w:r>
        <w:rPr>
          <w:spacing w:val="-4"/>
        </w:rPr>
        <w:t>scientist,</w:t>
      </w:r>
      <w:r>
        <w:rPr>
          <w:spacing w:val="-9"/>
        </w:rPr>
        <w:t> </w:t>
      </w:r>
      <w:r>
        <w:rPr>
          <w:spacing w:val="-4"/>
        </w:rPr>
        <w:t>and</w:t>
      </w:r>
      <w:r>
        <w:rPr>
          <w:spacing w:val="-9"/>
        </w:rPr>
        <w:t> </w:t>
      </w:r>
      <w:r>
        <w:rPr>
          <w:spacing w:val="-4"/>
        </w:rPr>
        <w:t>vice-versa.</w:t>
      </w:r>
    </w:p>
    <w:p>
      <w:pPr>
        <w:pStyle w:val="BodyText"/>
        <w:spacing w:before="22"/>
      </w:pPr>
    </w:p>
    <w:p>
      <w:pPr>
        <w:pStyle w:val="BodyText"/>
        <w:spacing w:line="266" w:lineRule="auto" w:before="1"/>
        <w:ind w:left="319" w:right="1077"/>
        <w:jc w:val="both"/>
      </w:pPr>
      <w:r>
        <w:rPr/>
        <w:t>The Chairman, Vice-Chairman and members of </w:t>
      </w:r>
      <w:r>
        <w:rPr/>
        <w:t>the Governing Board should be appointed by the Prime Minister</w:t>
      </w:r>
      <w:r>
        <w:rPr>
          <w:spacing w:val="-6"/>
        </w:rPr>
        <w:t> </w:t>
      </w:r>
      <w:r>
        <w:rPr/>
        <w:t>and</w:t>
      </w:r>
      <w:r>
        <w:rPr>
          <w:spacing w:val="-6"/>
        </w:rPr>
        <w:t> </w:t>
      </w:r>
      <w:r>
        <w:rPr/>
        <w:t>should</w:t>
      </w:r>
      <w:r>
        <w:rPr>
          <w:spacing w:val="-6"/>
        </w:rPr>
        <w:t> </w:t>
      </w:r>
      <w:r>
        <w:rPr/>
        <w:t>satisfy</w:t>
      </w:r>
      <w:r>
        <w:rPr>
          <w:spacing w:val="-6"/>
        </w:rPr>
        <w:t> </w:t>
      </w:r>
      <w:r>
        <w:rPr/>
        <w:t>the</w:t>
      </w:r>
      <w:r>
        <w:rPr>
          <w:spacing w:val="-6"/>
        </w:rPr>
        <w:t> </w:t>
      </w:r>
      <w:r>
        <w:rPr/>
        <w:t>following</w:t>
      </w:r>
      <w:r>
        <w:rPr>
          <w:spacing w:val="-6"/>
        </w:rPr>
        <w:t> </w:t>
      </w:r>
      <w:r>
        <w:rPr/>
        <w:t>criteria:</w:t>
      </w:r>
    </w:p>
    <w:p>
      <w:pPr>
        <w:pStyle w:val="ListParagraph"/>
        <w:numPr>
          <w:ilvl w:val="0"/>
          <w:numId w:val="56"/>
        </w:numPr>
        <w:tabs>
          <w:tab w:pos="678" w:val="left" w:leader="none"/>
        </w:tabs>
        <w:spacing w:line="251" w:lineRule="exact" w:before="0" w:after="0"/>
        <w:ind w:left="678" w:right="0" w:hanging="359"/>
        <w:jc w:val="both"/>
        <w:rPr>
          <w:sz w:val="22"/>
        </w:rPr>
      </w:pPr>
      <w:r>
        <w:rPr>
          <w:spacing w:val="-6"/>
          <w:sz w:val="22"/>
        </w:rPr>
        <w:t>High</w:t>
      </w:r>
      <w:r>
        <w:rPr>
          <w:spacing w:val="-1"/>
          <w:sz w:val="22"/>
        </w:rPr>
        <w:t> </w:t>
      </w:r>
      <w:r>
        <w:rPr>
          <w:spacing w:val="-6"/>
          <w:sz w:val="22"/>
        </w:rPr>
        <w:t>level</w:t>
      </w:r>
      <w:r>
        <w:rPr>
          <w:spacing w:val="-1"/>
          <w:sz w:val="22"/>
        </w:rPr>
        <w:t> </w:t>
      </w:r>
      <w:r>
        <w:rPr>
          <w:spacing w:val="-6"/>
          <w:sz w:val="22"/>
        </w:rPr>
        <w:t>of</w:t>
      </w:r>
      <w:r>
        <w:rPr>
          <w:spacing w:val="-1"/>
          <w:sz w:val="22"/>
        </w:rPr>
        <w:t> </w:t>
      </w:r>
      <w:r>
        <w:rPr>
          <w:spacing w:val="-6"/>
          <w:sz w:val="22"/>
        </w:rPr>
        <w:t>professional</w:t>
      </w:r>
      <w:r>
        <w:rPr>
          <w:spacing w:val="-1"/>
          <w:sz w:val="22"/>
        </w:rPr>
        <w:t> </w:t>
      </w:r>
      <w:r>
        <w:rPr>
          <w:spacing w:val="-6"/>
          <w:sz w:val="22"/>
        </w:rPr>
        <w:t>competence.</w:t>
      </w:r>
    </w:p>
    <w:p>
      <w:pPr>
        <w:pStyle w:val="ListParagraph"/>
        <w:numPr>
          <w:ilvl w:val="0"/>
          <w:numId w:val="56"/>
        </w:numPr>
        <w:tabs>
          <w:tab w:pos="678" w:val="left" w:leader="none"/>
        </w:tabs>
        <w:spacing w:line="240" w:lineRule="auto" w:before="27" w:after="0"/>
        <w:ind w:left="678" w:right="0" w:hanging="359"/>
        <w:jc w:val="both"/>
        <w:rPr>
          <w:sz w:val="22"/>
        </w:rPr>
      </w:pPr>
      <w:r>
        <w:rPr>
          <w:sz w:val="22"/>
        </w:rPr>
        <w:t>High</w:t>
      </w:r>
      <w:r>
        <w:rPr>
          <w:spacing w:val="-12"/>
          <w:sz w:val="22"/>
        </w:rPr>
        <w:t> </w:t>
      </w:r>
      <w:r>
        <w:rPr>
          <w:sz w:val="22"/>
        </w:rPr>
        <w:t>national</w:t>
      </w:r>
      <w:r>
        <w:rPr>
          <w:spacing w:val="-12"/>
          <w:sz w:val="22"/>
        </w:rPr>
        <w:t> </w:t>
      </w:r>
      <w:r>
        <w:rPr>
          <w:sz w:val="22"/>
        </w:rPr>
        <w:t>and</w:t>
      </w:r>
      <w:r>
        <w:rPr>
          <w:spacing w:val="-12"/>
          <w:sz w:val="22"/>
        </w:rPr>
        <w:t> </w:t>
      </w:r>
      <w:r>
        <w:rPr>
          <w:sz w:val="22"/>
        </w:rPr>
        <w:t>international</w:t>
      </w:r>
      <w:r>
        <w:rPr>
          <w:spacing w:val="-12"/>
          <w:sz w:val="22"/>
        </w:rPr>
        <w:t> </w:t>
      </w:r>
      <w:r>
        <w:rPr>
          <w:spacing w:val="-2"/>
          <w:sz w:val="22"/>
        </w:rPr>
        <w:t>reputation.</w:t>
      </w:r>
    </w:p>
    <w:p>
      <w:pPr>
        <w:pStyle w:val="ListParagraph"/>
        <w:numPr>
          <w:ilvl w:val="0"/>
          <w:numId w:val="56"/>
        </w:numPr>
        <w:tabs>
          <w:tab w:pos="679" w:val="left" w:leader="none"/>
        </w:tabs>
        <w:spacing w:line="266" w:lineRule="auto" w:before="27" w:after="0"/>
        <w:ind w:left="679" w:right="1077" w:hanging="360"/>
        <w:jc w:val="both"/>
        <w:rPr>
          <w:sz w:val="22"/>
        </w:rPr>
      </w:pPr>
      <w:r>
        <w:rPr>
          <w:spacing w:val="-4"/>
          <w:sz w:val="22"/>
        </w:rPr>
        <w:t>Professional</w:t>
      </w:r>
      <w:r>
        <w:rPr>
          <w:spacing w:val="-10"/>
          <w:sz w:val="22"/>
        </w:rPr>
        <w:t> </w:t>
      </w:r>
      <w:r>
        <w:rPr>
          <w:spacing w:val="-4"/>
          <w:sz w:val="22"/>
        </w:rPr>
        <w:t>and</w:t>
      </w:r>
      <w:r>
        <w:rPr>
          <w:spacing w:val="-10"/>
          <w:sz w:val="22"/>
        </w:rPr>
        <w:t> </w:t>
      </w:r>
      <w:r>
        <w:rPr>
          <w:spacing w:val="-4"/>
          <w:sz w:val="22"/>
        </w:rPr>
        <w:t>personal</w:t>
      </w:r>
      <w:r>
        <w:rPr>
          <w:spacing w:val="-10"/>
          <w:sz w:val="22"/>
        </w:rPr>
        <w:t> </w:t>
      </w:r>
      <w:r>
        <w:rPr>
          <w:spacing w:val="-4"/>
          <w:sz w:val="22"/>
        </w:rPr>
        <w:t>integrity</w:t>
      </w:r>
      <w:r>
        <w:rPr>
          <w:spacing w:val="-9"/>
          <w:sz w:val="22"/>
        </w:rPr>
        <w:t> </w:t>
      </w:r>
      <w:r>
        <w:rPr>
          <w:spacing w:val="-4"/>
          <w:sz w:val="22"/>
        </w:rPr>
        <w:t>and</w:t>
      </w:r>
      <w:r>
        <w:rPr>
          <w:spacing w:val="-10"/>
          <w:sz w:val="22"/>
        </w:rPr>
        <w:t> </w:t>
      </w:r>
      <w:r>
        <w:rPr>
          <w:spacing w:val="-4"/>
          <w:sz w:val="22"/>
        </w:rPr>
        <w:t>honesty</w:t>
      </w:r>
      <w:r>
        <w:rPr>
          <w:spacing w:val="-10"/>
          <w:sz w:val="22"/>
        </w:rPr>
        <w:t> </w:t>
      </w:r>
      <w:r>
        <w:rPr>
          <w:spacing w:val="-4"/>
          <w:sz w:val="22"/>
        </w:rPr>
        <w:t>that </w:t>
      </w:r>
      <w:r>
        <w:rPr>
          <w:sz w:val="22"/>
        </w:rPr>
        <w:t>are beyond reproach.</w:t>
      </w:r>
    </w:p>
    <w:p>
      <w:pPr>
        <w:pStyle w:val="ListParagraph"/>
        <w:numPr>
          <w:ilvl w:val="0"/>
          <w:numId w:val="56"/>
        </w:numPr>
        <w:tabs>
          <w:tab w:pos="678" w:val="left" w:leader="none"/>
        </w:tabs>
        <w:spacing w:line="251" w:lineRule="exact" w:before="0" w:after="0"/>
        <w:ind w:left="678" w:right="0" w:hanging="359"/>
        <w:jc w:val="both"/>
        <w:rPr>
          <w:sz w:val="22"/>
        </w:rPr>
      </w:pPr>
      <w:r>
        <w:rPr>
          <w:spacing w:val="-6"/>
          <w:sz w:val="22"/>
        </w:rPr>
        <w:t>Evidence</w:t>
      </w:r>
      <w:r>
        <w:rPr>
          <w:spacing w:val="-3"/>
          <w:sz w:val="22"/>
        </w:rPr>
        <w:t> </w:t>
      </w:r>
      <w:r>
        <w:rPr>
          <w:spacing w:val="-6"/>
          <w:sz w:val="22"/>
        </w:rPr>
        <w:t>of</w:t>
      </w:r>
      <w:r>
        <w:rPr>
          <w:spacing w:val="-3"/>
          <w:sz w:val="22"/>
        </w:rPr>
        <w:t> </w:t>
      </w:r>
      <w:r>
        <w:rPr>
          <w:spacing w:val="-6"/>
          <w:sz w:val="22"/>
        </w:rPr>
        <w:t>absence</w:t>
      </w:r>
      <w:r>
        <w:rPr>
          <w:spacing w:val="-3"/>
          <w:sz w:val="22"/>
        </w:rPr>
        <w:t> </w:t>
      </w:r>
      <w:r>
        <w:rPr>
          <w:spacing w:val="-6"/>
          <w:sz w:val="22"/>
        </w:rPr>
        <w:t>of</w:t>
      </w:r>
      <w:r>
        <w:rPr>
          <w:spacing w:val="-2"/>
          <w:sz w:val="22"/>
        </w:rPr>
        <w:t> </w:t>
      </w:r>
      <w:r>
        <w:rPr>
          <w:spacing w:val="-6"/>
          <w:sz w:val="22"/>
        </w:rPr>
        <w:t>any</w:t>
      </w:r>
      <w:r>
        <w:rPr>
          <w:spacing w:val="-3"/>
          <w:sz w:val="22"/>
        </w:rPr>
        <w:t> </w:t>
      </w:r>
      <w:r>
        <w:rPr>
          <w:spacing w:val="-6"/>
          <w:sz w:val="22"/>
        </w:rPr>
        <w:t>bias</w:t>
      </w:r>
      <w:r>
        <w:rPr>
          <w:spacing w:val="-3"/>
          <w:sz w:val="22"/>
        </w:rPr>
        <w:t> </w:t>
      </w:r>
      <w:r>
        <w:rPr>
          <w:spacing w:val="-6"/>
          <w:sz w:val="22"/>
        </w:rPr>
        <w:t>or</w:t>
      </w:r>
      <w:r>
        <w:rPr>
          <w:spacing w:val="-3"/>
          <w:sz w:val="22"/>
        </w:rPr>
        <w:t> </w:t>
      </w:r>
      <w:r>
        <w:rPr>
          <w:spacing w:val="-6"/>
          <w:sz w:val="22"/>
        </w:rPr>
        <w:t>prejudice.</w:t>
      </w:r>
    </w:p>
    <w:p>
      <w:pPr>
        <w:pStyle w:val="ListParagraph"/>
        <w:numPr>
          <w:ilvl w:val="0"/>
          <w:numId w:val="56"/>
        </w:numPr>
        <w:tabs>
          <w:tab w:pos="679" w:val="left" w:leader="none"/>
        </w:tabs>
        <w:spacing w:line="266" w:lineRule="auto" w:before="27" w:after="0"/>
        <w:ind w:left="679" w:right="1077" w:hanging="360"/>
        <w:jc w:val="left"/>
        <w:rPr>
          <w:sz w:val="22"/>
        </w:rPr>
      </w:pPr>
      <w:r>
        <w:rPr>
          <w:spacing w:val="-4"/>
          <w:sz w:val="22"/>
        </w:rPr>
        <w:t>A</w:t>
      </w:r>
      <w:r>
        <w:rPr>
          <w:spacing w:val="-10"/>
          <w:sz w:val="22"/>
        </w:rPr>
        <w:t> </w:t>
      </w:r>
      <w:r>
        <w:rPr>
          <w:spacing w:val="-4"/>
          <w:sz w:val="22"/>
        </w:rPr>
        <w:t>strong</w:t>
      </w:r>
      <w:r>
        <w:rPr>
          <w:spacing w:val="-10"/>
          <w:sz w:val="22"/>
        </w:rPr>
        <w:t> </w:t>
      </w:r>
      <w:r>
        <w:rPr>
          <w:spacing w:val="-4"/>
          <w:sz w:val="22"/>
        </w:rPr>
        <w:t>social</w:t>
      </w:r>
      <w:r>
        <w:rPr>
          <w:spacing w:val="-10"/>
          <w:sz w:val="22"/>
        </w:rPr>
        <w:t> </w:t>
      </w:r>
      <w:r>
        <w:rPr>
          <w:spacing w:val="-4"/>
          <w:sz w:val="22"/>
        </w:rPr>
        <w:t>commitment,</w:t>
      </w:r>
      <w:r>
        <w:rPr>
          <w:spacing w:val="-9"/>
          <w:sz w:val="22"/>
        </w:rPr>
        <w:t> </w:t>
      </w:r>
      <w:r>
        <w:rPr>
          <w:spacing w:val="-4"/>
          <w:sz w:val="22"/>
        </w:rPr>
        <w:t>loyalty</w:t>
      </w:r>
      <w:r>
        <w:rPr>
          <w:spacing w:val="-10"/>
          <w:sz w:val="22"/>
        </w:rPr>
        <w:t> </w:t>
      </w:r>
      <w:r>
        <w:rPr>
          <w:spacing w:val="-4"/>
          <w:sz w:val="22"/>
        </w:rPr>
        <w:t>to</w:t>
      </w:r>
      <w:r>
        <w:rPr>
          <w:spacing w:val="-10"/>
          <w:sz w:val="22"/>
        </w:rPr>
        <w:t> </w:t>
      </w:r>
      <w:r>
        <w:rPr>
          <w:spacing w:val="-4"/>
          <w:sz w:val="22"/>
        </w:rPr>
        <w:t>the</w:t>
      </w:r>
      <w:r>
        <w:rPr>
          <w:spacing w:val="-10"/>
          <w:sz w:val="22"/>
        </w:rPr>
        <w:t> </w:t>
      </w:r>
      <w:r>
        <w:rPr>
          <w:spacing w:val="-4"/>
          <w:sz w:val="22"/>
        </w:rPr>
        <w:t>country, </w:t>
      </w:r>
      <w:r>
        <w:rPr>
          <w:sz w:val="22"/>
        </w:rPr>
        <w:t>and concern for others.</w:t>
      </w:r>
    </w:p>
    <w:p>
      <w:pPr>
        <w:pStyle w:val="ListParagraph"/>
        <w:numPr>
          <w:ilvl w:val="0"/>
          <w:numId w:val="56"/>
        </w:numPr>
        <w:tabs>
          <w:tab w:pos="679" w:val="left" w:leader="none"/>
        </w:tabs>
        <w:spacing w:line="266" w:lineRule="auto" w:before="0" w:after="0"/>
        <w:ind w:left="679" w:right="1078" w:hanging="360"/>
        <w:jc w:val="left"/>
        <w:rPr>
          <w:sz w:val="22"/>
        </w:rPr>
      </w:pPr>
      <w:r>
        <w:rPr>
          <w:spacing w:val="-2"/>
          <w:sz w:val="22"/>
        </w:rPr>
        <w:t>Commitment</w:t>
      </w:r>
      <w:r>
        <w:rPr>
          <w:sz w:val="22"/>
        </w:rPr>
        <w:t> </w:t>
      </w:r>
      <w:r>
        <w:rPr>
          <w:spacing w:val="-2"/>
          <w:sz w:val="22"/>
        </w:rPr>
        <w:t>to</w:t>
      </w:r>
      <w:r>
        <w:rPr>
          <w:sz w:val="22"/>
        </w:rPr>
        <w:t> </w:t>
      </w:r>
      <w:r>
        <w:rPr>
          <w:spacing w:val="-2"/>
          <w:sz w:val="22"/>
        </w:rPr>
        <w:t>social,</w:t>
      </w:r>
      <w:r>
        <w:rPr>
          <w:sz w:val="22"/>
        </w:rPr>
        <w:t> </w:t>
      </w:r>
      <w:r>
        <w:rPr>
          <w:spacing w:val="-2"/>
          <w:sz w:val="22"/>
        </w:rPr>
        <w:t>professional</w:t>
      </w:r>
      <w:r>
        <w:rPr>
          <w:sz w:val="22"/>
        </w:rPr>
        <w:t> </w:t>
      </w:r>
      <w:r>
        <w:rPr>
          <w:spacing w:val="-2"/>
          <w:sz w:val="22"/>
        </w:rPr>
        <w:t>and</w:t>
      </w:r>
      <w:r>
        <w:rPr>
          <w:sz w:val="22"/>
        </w:rPr>
        <w:t> </w:t>
      </w:r>
      <w:r>
        <w:rPr>
          <w:spacing w:val="-2"/>
          <w:sz w:val="22"/>
        </w:rPr>
        <w:t>financial accountability.</w:t>
      </w:r>
    </w:p>
    <w:p>
      <w:pPr>
        <w:pStyle w:val="ListParagraph"/>
        <w:numPr>
          <w:ilvl w:val="0"/>
          <w:numId w:val="56"/>
        </w:numPr>
        <w:tabs>
          <w:tab w:pos="679" w:val="left" w:leader="none"/>
        </w:tabs>
        <w:spacing w:line="251" w:lineRule="exact" w:before="0" w:after="0"/>
        <w:ind w:left="679" w:right="0" w:hanging="360"/>
        <w:jc w:val="left"/>
        <w:rPr>
          <w:sz w:val="22"/>
        </w:rPr>
      </w:pPr>
      <w:r>
        <w:rPr>
          <w:spacing w:val="-6"/>
          <w:sz w:val="22"/>
        </w:rPr>
        <w:t>Someone</w:t>
      </w:r>
      <w:r>
        <w:rPr>
          <w:spacing w:val="-5"/>
          <w:sz w:val="22"/>
        </w:rPr>
        <w:t> </w:t>
      </w:r>
      <w:r>
        <w:rPr>
          <w:spacing w:val="-6"/>
          <w:sz w:val="22"/>
        </w:rPr>
        <w:t>who</w:t>
      </w:r>
      <w:r>
        <w:rPr>
          <w:spacing w:val="-5"/>
          <w:sz w:val="22"/>
        </w:rPr>
        <w:t> </w:t>
      </w:r>
      <w:r>
        <w:rPr>
          <w:spacing w:val="-6"/>
          <w:sz w:val="22"/>
        </w:rPr>
        <w:t>combines</w:t>
      </w:r>
      <w:r>
        <w:rPr>
          <w:spacing w:val="-5"/>
          <w:sz w:val="22"/>
        </w:rPr>
        <w:t> </w:t>
      </w:r>
      <w:r>
        <w:rPr>
          <w:spacing w:val="-6"/>
          <w:sz w:val="22"/>
        </w:rPr>
        <w:t>erudition</w:t>
      </w:r>
      <w:r>
        <w:rPr>
          <w:spacing w:val="-5"/>
          <w:sz w:val="22"/>
        </w:rPr>
        <w:t> </w:t>
      </w:r>
      <w:r>
        <w:rPr>
          <w:spacing w:val="-6"/>
          <w:sz w:val="22"/>
        </w:rPr>
        <w:t>with</w:t>
      </w:r>
      <w:r>
        <w:rPr>
          <w:spacing w:val="-5"/>
          <w:sz w:val="22"/>
        </w:rPr>
        <w:t> </w:t>
      </w:r>
      <w:r>
        <w:rPr>
          <w:spacing w:val="-6"/>
          <w:sz w:val="22"/>
        </w:rPr>
        <w:t>articulation.</w:t>
      </w:r>
    </w:p>
    <w:p>
      <w:pPr>
        <w:pStyle w:val="ListParagraph"/>
        <w:numPr>
          <w:ilvl w:val="0"/>
          <w:numId w:val="56"/>
        </w:numPr>
        <w:tabs>
          <w:tab w:pos="679" w:val="left" w:leader="none"/>
        </w:tabs>
        <w:spacing w:line="240" w:lineRule="auto" w:before="25" w:after="0"/>
        <w:ind w:left="679" w:right="0" w:hanging="360"/>
        <w:jc w:val="left"/>
        <w:rPr>
          <w:sz w:val="22"/>
        </w:rPr>
      </w:pPr>
      <w:r>
        <w:rPr>
          <w:spacing w:val="-4"/>
          <w:sz w:val="22"/>
        </w:rPr>
        <w:t>Courage of</w:t>
      </w:r>
      <w:r>
        <w:rPr>
          <w:spacing w:val="-3"/>
          <w:sz w:val="22"/>
        </w:rPr>
        <w:t> </w:t>
      </w:r>
      <w:r>
        <w:rPr>
          <w:spacing w:val="-4"/>
          <w:sz w:val="22"/>
        </w:rPr>
        <w:t>convictions.</w:t>
      </w:r>
    </w:p>
    <w:p>
      <w:pPr>
        <w:pStyle w:val="ListParagraph"/>
        <w:numPr>
          <w:ilvl w:val="0"/>
          <w:numId w:val="56"/>
        </w:numPr>
        <w:tabs>
          <w:tab w:pos="679" w:val="left" w:leader="none"/>
        </w:tabs>
        <w:spacing w:line="266" w:lineRule="auto" w:before="27" w:after="0"/>
        <w:ind w:left="679" w:right="1077" w:hanging="360"/>
        <w:jc w:val="left"/>
        <w:rPr>
          <w:sz w:val="22"/>
        </w:rPr>
      </w:pPr>
      <w:r>
        <w:rPr>
          <w:spacing w:val="-4"/>
          <w:sz w:val="22"/>
        </w:rPr>
        <w:t>Ability</w:t>
      </w:r>
      <w:r>
        <w:rPr>
          <w:spacing w:val="-9"/>
          <w:sz w:val="22"/>
        </w:rPr>
        <w:t> </w:t>
      </w:r>
      <w:r>
        <w:rPr>
          <w:spacing w:val="-4"/>
          <w:sz w:val="22"/>
        </w:rPr>
        <w:t>to</w:t>
      </w:r>
      <w:r>
        <w:rPr>
          <w:spacing w:val="-9"/>
          <w:sz w:val="22"/>
        </w:rPr>
        <w:t> </w:t>
      </w:r>
      <w:r>
        <w:rPr>
          <w:spacing w:val="-4"/>
          <w:sz w:val="22"/>
        </w:rPr>
        <w:t>listen</w:t>
      </w:r>
      <w:r>
        <w:rPr>
          <w:spacing w:val="-9"/>
          <w:sz w:val="22"/>
        </w:rPr>
        <w:t> </w:t>
      </w:r>
      <w:r>
        <w:rPr>
          <w:spacing w:val="-4"/>
          <w:sz w:val="22"/>
        </w:rPr>
        <w:t>to</w:t>
      </w:r>
      <w:r>
        <w:rPr>
          <w:spacing w:val="-9"/>
          <w:sz w:val="22"/>
        </w:rPr>
        <w:t> </w:t>
      </w:r>
      <w:r>
        <w:rPr>
          <w:spacing w:val="-4"/>
          <w:sz w:val="22"/>
        </w:rPr>
        <w:t>other</w:t>
      </w:r>
      <w:r>
        <w:rPr>
          <w:spacing w:val="-9"/>
          <w:sz w:val="22"/>
        </w:rPr>
        <w:t> </w:t>
      </w:r>
      <w:r>
        <w:rPr>
          <w:spacing w:val="-4"/>
          <w:sz w:val="22"/>
        </w:rPr>
        <w:t>people’s</w:t>
      </w:r>
      <w:r>
        <w:rPr>
          <w:spacing w:val="-9"/>
          <w:sz w:val="22"/>
        </w:rPr>
        <w:t> </w:t>
      </w:r>
      <w:r>
        <w:rPr>
          <w:spacing w:val="-4"/>
          <w:sz w:val="22"/>
        </w:rPr>
        <w:t>views</w:t>
      </w:r>
      <w:r>
        <w:rPr>
          <w:spacing w:val="-9"/>
          <w:sz w:val="22"/>
        </w:rPr>
        <w:t> </w:t>
      </w:r>
      <w:r>
        <w:rPr>
          <w:spacing w:val="-4"/>
          <w:sz w:val="22"/>
        </w:rPr>
        <w:t>and</w:t>
      </w:r>
      <w:r>
        <w:rPr>
          <w:spacing w:val="-9"/>
          <w:sz w:val="22"/>
        </w:rPr>
        <w:t> </w:t>
      </w:r>
      <w:r>
        <w:rPr>
          <w:spacing w:val="-4"/>
          <w:sz w:val="22"/>
        </w:rPr>
        <w:t>modify </w:t>
      </w:r>
      <w:r>
        <w:rPr>
          <w:sz w:val="22"/>
        </w:rPr>
        <w:t>one’s own if reason demands that.</w:t>
      </w:r>
    </w:p>
    <w:p>
      <w:pPr>
        <w:pStyle w:val="BodyText"/>
        <w:spacing w:before="25"/>
      </w:pPr>
    </w:p>
    <w:p>
      <w:pPr>
        <w:pStyle w:val="BodyText"/>
        <w:spacing w:line="266" w:lineRule="auto"/>
        <w:ind w:left="319" w:right="1078"/>
        <w:jc w:val="both"/>
      </w:pPr>
      <w:r>
        <w:rPr/>
        <w:t>The</w:t>
      </w:r>
      <w:r>
        <w:rPr>
          <w:spacing w:val="-9"/>
        </w:rPr>
        <w:t> </w:t>
      </w:r>
      <w:r>
        <w:rPr/>
        <w:t>budget</w:t>
      </w:r>
      <w:r>
        <w:rPr>
          <w:spacing w:val="-9"/>
        </w:rPr>
        <w:t> </w:t>
      </w:r>
      <w:r>
        <w:rPr/>
        <w:t>of</w:t>
      </w:r>
      <w:r>
        <w:rPr>
          <w:spacing w:val="-9"/>
        </w:rPr>
        <w:t> </w:t>
      </w:r>
      <w:r>
        <w:rPr/>
        <w:t>the</w:t>
      </w:r>
      <w:r>
        <w:rPr>
          <w:spacing w:val="-9"/>
        </w:rPr>
        <w:t> </w:t>
      </w:r>
      <w:r>
        <w:rPr/>
        <w:t>NSSSF</w:t>
      </w:r>
      <w:r>
        <w:rPr>
          <w:spacing w:val="-9"/>
        </w:rPr>
        <w:t> </w:t>
      </w:r>
      <w:r>
        <w:rPr/>
        <w:t>should</w:t>
      </w:r>
      <w:r>
        <w:rPr>
          <w:spacing w:val="-9"/>
        </w:rPr>
        <w:t> </w:t>
      </w:r>
      <w:r>
        <w:rPr/>
        <w:t>be</w:t>
      </w:r>
      <w:r>
        <w:rPr>
          <w:spacing w:val="-9"/>
        </w:rPr>
        <w:t> </w:t>
      </w:r>
      <w:r>
        <w:rPr/>
        <w:t>Rs</w:t>
      </w:r>
      <w:r>
        <w:rPr>
          <w:spacing w:val="-9"/>
        </w:rPr>
        <w:t> </w:t>
      </w:r>
      <w:r>
        <w:rPr/>
        <w:t>1,250</w:t>
      </w:r>
      <w:r>
        <w:rPr>
          <w:spacing w:val="-9"/>
        </w:rPr>
        <w:t> </w:t>
      </w:r>
      <w:r>
        <w:rPr/>
        <w:t>crores</w:t>
      </w:r>
      <w:r>
        <w:rPr>
          <w:spacing w:val="-9"/>
        </w:rPr>
        <w:t> </w:t>
      </w:r>
      <w:r>
        <w:rPr/>
        <w:t>a year;</w:t>
      </w:r>
      <w:r>
        <w:rPr>
          <w:spacing w:val="-10"/>
        </w:rPr>
        <w:t> </w:t>
      </w:r>
      <w:r>
        <w:rPr/>
        <w:t>which</w:t>
      </w:r>
      <w:r>
        <w:rPr>
          <w:spacing w:val="-9"/>
        </w:rPr>
        <w:t> </w:t>
      </w:r>
      <w:r>
        <w:rPr/>
        <w:t>will</w:t>
      </w:r>
      <w:r>
        <w:rPr>
          <w:spacing w:val="-10"/>
        </w:rPr>
        <w:t> </w:t>
      </w:r>
      <w:r>
        <w:rPr/>
        <w:t>allow</w:t>
      </w:r>
      <w:r>
        <w:rPr>
          <w:spacing w:val="-9"/>
        </w:rPr>
        <w:t> </w:t>
      </w:r>
      <w:r>
        <w:rPr/>
        <w:t>it</w:t>
      </w:r>
      <w:r>
        <w:rPr>
          <w:spacing w:val="-10"/>
        </w:rPr>
        <w:t> </w:t>
      </w:r>
      <w:r>
        <w:rPr/>
        <w:t>to</w:t>
      </w:r>
      <w:r>
        <w:rPr>
          <w:spacing w:val="-9"/>
        </w:rPr>
        <w:t> </w:t>
      </w:r>
      <w:r>
        <w:rPr/>
        <w:t>fund</w:t>
      </w:r>
      <w:r>
        <w:rPr>
          <w:spacing w:val="-9"/>
        </w:rPr>
        <w:t> </w:t>
      </w:r>
      <w:r>
        <w:rPr/>
        <w:t>between</w:t>
      </w:r>
      <w:r>
        <w:rPr>
          <w:spacing w:val="-10"/>
        </w:rPr>
        <w:t> </w:t>
      </w:r>
      <w:r>
        <w:rPr/>
        <w:t>200</w:t>
      </w:r>
      <w:r>
        <w:rPr>
          <w:spacing w:val="-9"/>
        </w:rPr>
        <w:t> </w:t>
      </w:r>
      <w:r>
        <w:rPr/>
        <w:t>and</w:t>
      </w:r>
      <w:r>
        <w:rPr>
          <w:spacing w:val="-10"/>
        </w:rPr>
        <w:t> </w:t>
      </w:r>
      <w:r>
        <w:rPr>
          <w:spacing w:val="-5"/>
        </w:rPr>
        <w:t>400</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spacing w:val="-6"/>
        </w:rPr>
        <w:t>outstanding, long-term (5-10 years), extremely </w:t>
      </w:r>
      <w:r>
        <w:rPr>
          <w:spacing w:val="-6"/>
        </w:rPr>
        <w:t>carefully </w:t>
      </w:r>
      <w:r>
        <w:rPr>
          <w:spacing w:val="-4"/>
        </w:rPr>
        <w:t>selected</w:t>
      </w:r>
      <w:r>
        <w:rPr>
          <w:spacing w:val="-10"/>
        </w:rPr>
        <w:t> </w:t>
      </w:r>
      <w:r>
        <w:rPr>
          <w:spacing w:val="-4"/>
        </w:rPr>
        <w:t>projects</w:t>
      </w:r>
      <w:r>
        <w:rPr>
          <w:spacing w:val="-9"/>
        </w:rPr>
        <w:t> </w:t>
      </w:r>
      <w:r>
        <w:rPr>
          <w:spacing w:val="-4"/>
        </w:rPr>
        <w:t>that</w:t>
      </w:r>
      <w:r>
        <w:rPr>
          <w:spacing w:val="-10"/>
        </w:rPr>
        <w:t> </w:t>
      </w:r>
      <w:r>
        <w:rPr>
          <w:spacing w:val="-4"/>
        </w:rPr>
        <w:t>have</w:t>
      </w:r>
      <w:r>
        <w:rPr>
          <w:spacing w:val="-9"/>
        </w:rPr>
        <w:t> </w:t>
      </w:r>
      <w:r>
        <w:rPr>
          <w:spacing w:val="-4"/>
        </w:rPr>
        <w:t>the</w:t>
      </w:r>
      <w:r>
        <w:rPr>
          <w:spacing w:val="-10"/>
        </w:rPr>
        <w:t> </w:t>
      </w:r>
      <w:r>
        <w:rPr>
          <w:spacing w:val="-4"/>
        </w:rPr>
        <w:t>potential</w:t>
      </w:r>
      <w:r>
        <w:rPr>
          <w:spacing w:val="-9"/>
        </w:rPr>
        <w:t> </w:t>
      </w:r>
      <w:r>
        <w:rPr>
          <w:spacing w:val="-4"/>
        </w:rPr>
        <w:t>of</w:t>
      </w:r>
      <w:r>
        <w:rPr>
          <w:spacing w:val="-10"/>
        </w:rPr>
        <w:t> </w:t>
      </w:r>
      <w:r>
        <w:rPr>
          <w:spacing w:val="-4"/>
        </w:rPr>
        <w:t>making</w:t>
      </w:r>
      <w:r>
        <w:rPr>
          <w:spacing w:val="-9"/>
        </w:rPr>
        <w:t> </w:t>
      </w:r>
      <w:r>
        <w:rPr>
          <w:spacing w:val="-4"/>
        </w:rPr>
        <w:t>India a</w:t>
      </w:r>
      <w:r>
        <w:rPr>
          <w:spacing w:val="-10"/>
        </w:rPr>
        <w:t> </w:t>
      </w:r>
      <w:r>
        <w:rPr>
          <w:spacing w:val="-4"/>
        </w:rPr>
        <w:t>leader.</w:t>
      </w:r>
      <w:r>
        <w:rPr>
          <w:spacing w:val="-10"/>
        </w:rPr>
        <w:t> </w:t>
      </w:r>
      <w:r>
        <w:rPr>
          <w:spacing w:val="-4"/>
        </w:rPr>
        <w:t>We</w:t>
      </w:r>
      <w:r>
        <w:rPr>
          <w:spacing w:val="-10"/>
        </w:rPr>
        <w:t> </w:t>
      </w:r>
      <w:r>
        <w:rPr>
          <w:spacing w:val="-4"/>
        </w:rPr>
        <w:t>should</w:t>
      </w:r>
      <w:r>
        <w:rPr>
          <w:spacing w:val="-9"/>
        </w:rPr>
        <w:t> </w:t>
      </w:r>
      <w:r>
        <w:rPr>
          <w:spacing w:val="-4"/>
        </w:rPr>
        <w:t>expect</w:t>
      </w:r>
      <w:r>
        <w:rPr>
          <w:spacing w:val="-10"/>
        </w:rPr>
        <w:t> </w:t>
      </w:r>
      <w:r>
        <w:rPr>
          <w:spacing w:val="-4"/>
        </w:rPr>
        <w:t>at</w:t>
      </w:r>
      <w:r>
        <w:rPr>
          <w:spacing w:val="-10"/>
        </w:rPr>
        <w:t> </w:t>
      </w:r>
      <w:r>
        <w:rPr>
          <w:spacing w:val="-4"/>
        </w:rPr>
        <w:t>least</w:t>
      </w:r>
      <w:r>
        <w:rPr>
          <w:spacing w:val="-10"/>
        </w:rPr>
        <w:t> </w:t>
      </w:r>
      <w:r>
        <w:rPr>
          <w:spacing w:val="-4"/>
        </w:rPr>
        <w:t>a</w:t>
      </w:r>
      <w:r>
        <w:rPr>
          <w:spacing w:val="-9"/>
        </w:rPr>
        <w:t> </w:t>
      </w:r>
      <w:r>
        <w:rPr>
          <w:spacing w:val="-4"/>
        </w:rPr>
        <w:t>20</w:t>
      </w:r>
      <w:r>
        <w:rPr>
          <w:spacing w:val="-10"/>
        </w:rPr>
        <w:t> </w:t>
      </w:r>
      <w:r>
        <w:rPr>
          <w:spacing w:val="-4"/>
        </w:rPr>
        <w:t>per</w:t>
      </w:r>
      <w:r>
        <w:rPr>
          <w:spacing w:val="-10"/>
        </w:rPr>
        <w:t> </w:t>
      </w:r>
      <w:r>
        <w:rPr>
          <w:spacing w:val="-4"/>
        </w:rPr>
        <w:t>cent</w:t>
      </w:r>
      <w:r>
        <w:rPr>
          <w:spacing w:val="-10"/>
        </w:rPr>
        <w:t> </w:t>
      </w:r>
      <w:r>
        <w:rPr>
          <w:spacing w:val="-4"/>
        </w:rPr>
        <w:t>success </w:t>
      </w:r>
      <w:r>
        <w:rPr/>
        <w:t>rate.</w:t>
      </w:r>
      <w:r>
        <w:rPr>
          <w:spacing w:val="-13"/>
        </w:rPr>
        <w:t> </w:t>
      </w:r>
      <w:r>
        <w:rPr/>
        <w:t>The</w:t>
      </w:r>
      <w:r>
        <w:rPr>
          <w:spacing w:val="-7"/>
        </w:rPr>
        <w:t> </w:t>
      </w:r>
      <w:r>
        <w:rPr/>
        <w:t>NSSSF</w:t>
      </w:r>
      <w:r>
        <w:rPr>
          <w:spacing w:val="-7"/>
        </w:rPr>
        <w:t> </w:t>
      </w:r>
      <w:r>
        <w:rPr/>
        <w:t>should</w:t>
      </w:r>
      <w:r>
        <w:rPr>
          <w:spacing w:val="-7"/>
        </w:rPr>
        <w:t> </w:t>
      </w:r>
      <w:r>
        <w:rPr/>
        <w:t>work</w:t>
      </w:r>
      <w:r>
        <w:rPr>
          <w:spacing w:val="-7"/>
        </w:rPr>
        <w:t> </w:t>
      </w:r>
      <w:r>
        <w:rPr/>
        <w:t>towards</w:t>
      </w:r>
      <w:r>
        <w:rPr>
          <w:spacing w:val="-7"/>
        </w:rPr>
        <w:t> </w:t>
      </w:r>
      <w:r>
        <w:rPr/>
        <w:t>having</w:t>
      </w:r>
      <w:r>
        <w:rPr>
          <w:spacing w:val="-7"/>
        </w:rPr>
        <w:t> </w:t>
      </w:r>
      <w:r>
        <w:rPr/>
        <w:t>at</w:t>
      </w:r>
      <w:r>
        <w:rPr>
          <w:spacing w:val="-7"/>
        </w:rPr>
        <w:t> </w:t>
      </w:r>
      <w:r>
        <w:rPr/>
        <w:t>least three to four Indian scientists and/or social scientists </w:t>
      </w:r>
      <w:r>
        <w:rPr>
          <w:spacing w:val="-2"/>
        </w:rPr>
        <w:t>produce</w:t>
      </w:r>
      <w:r>
        <w:rPr>
          <w:spacing w:val="-10"/>
        </w:rPr>
        <w:t> </w:t>
      </w:r>
      <w:r>
        <w:rPr>
          <w:spacing w:val="-2"/>
        </w:rPr>
        <w:t>work</w:t>
      </w:r>
      <w:r>
        <w:rPr>
          <w:spacing w:val="-10"/>
        </w:rPr>
        <w:t> </w:t>
      </w:r>
      <w:r>
        <w:rPr>
          <w:spacing w:val="-2"/>
        </w:rPr>
        <w:t>in</w:t>
      </w:r>
      <w:r>
        <w:rPr>
          <w:spacing w:val="-10"/>
        </w:rPr>
        <w:t> </w:t>
      </w:r>
      <w:r>
        <w:rPr>
          <w:spacing w:val="-2"/>
        </w:rPr>
        <w:t>six</w:t>
      </w:r>
      <w:r>
        <w:rPr>
          <w:spacing w:val="-10"/>
        </w:rPr>
        <w:t> </w:t>
      </w:r>
      <w:r>
        <w:rPr>
          <w:spacing w:val="-2"/>
        </w:rPr>
        <w:t>years</w:t>
      </w:r>
      <w:r>
        <w:rPr>
          <w:spacing w:val="-10"/>
        </w:rPr>
        <w:t> </w:t>
      </w:r>
      <w:r>
        <w:rPr>
          <w:spacing w:val="-2"/>
        </w:rPr>
        <w:t>which</w:t>
      </w:r>
      <w:r>
        <w:rPr>
          <w:spacing w:val="-10"/>
        </w:rPr>
        <w:t> </w:t>
      </w:r>
      <w:r>
        <w:rPr>
          <w:spacing w:val="-2"/>
        </w:rPr>
        <w:t>should</w:t>
      </w:r>
      <w:r>
        <w:rPr>
          <w:spacing w:val="-10"/>
        </w:rPr>
        <w:t> </w:t>
      </w:r>
      <w:r>
        <w:rPr>
          <w:spacing w:val="-2"/>
        </w:rPr>
        <w:t>be</w:t>
      </w:r>
      <w:r>
        <w:rPr>
          <w:spacing w:val="-10"/>
        </w:rPr>
        <w:t> </w:t>
      </w:r>
      <w:r>
        <w:rPr>
          <w:spacing w:val="-2"/>
        </w:rPr>
        <w:t>worthy</w:t>
      </w:r>
      <w:r>
        <w:rPr>
          <w:spacing w:val="-10"/>
        </w:rPr>
        <w:t> </w:t>
      </w:r>
      <w:r>
        <w:rPr>
          <w:spacing w:val="-2"/>
        </w:rPr>
        <w:t>of</w:t>
      </w:r>
      <w:r>
        <w:rPr>
          <w:spacing w:val="-10"/>
        </w:rPr>
        <w:t> </w:t>
      </w:r>
      <w:r>
        <w:rPr>
          <w:spacing w:val="-2"/>
        </w:rPr>
        <w:t>a </w:t>
      </w:r>
      <w:r>
        <w:rPr>
          <w:spacing w:val="-6"/>
        </w:rPr>
        <w:t>Nobel</w:t>
      </w:r>
      <w:r>
        <w:rPr>
          <w:spacing w:val="-8"/>
        </w:rPr>
        <w:t> </w:t>
      </w:r>
      <w:r>
        <w:rPr>
          <w:spacing w:val="-6"/>
        </w:rPr>
        <w:t>Prize.</w:t>
      </w:r>
      <w:r>
        <w:rPr>
          <w:spacing w:val="-8"/>
        </w:rPr>
        <w:t> </w:t>
      </w:r>
      <w:r>
        <w:rPr>
          <w:spacing w:val="-6"/>
        </w:rPr>
        <w:t>The</w:t>
      </w:r>
      <w:r>
        <w:rPr>
          <w:spacing w:val="-8"/>
        </w:rPr>
        <w:t> </w:t>
      </w:r>
      <w:r>
        <w:rPr>
          <w:spacing w:val="-6"/>
        </w:rPr>
        <w:t>NSSSF will set up a worldwide review </w:t>
      </w:r>
      <w:r>
        <w:rPr>
          <w:w w:val="90"/>
        </w:rPr>
        <w:t>system involving some of the best known scholars around </w:t>
      </w:r>
      <w:r>
        <w:rPr/>
        <w:t>the</w:t>
      </w:r>
      <w:r>
        <w:rPr>
          <w:spacing w:val="-6"/>
        </w:rPr>
        <w:t> </w:t>
      </w:r>
      <w:r>
        <w:rPr/>
        <w:t>world</w:t>
      </w:r>
      <w:r>
        <w:rPr>
          <w:spacing w:val="-6"/>
        </w:rPr>
        <w:t> </w:t>
      </w:r>
      <w:r>
        <w:rPr/>
        <w:t>for</w:t>
      </w:r>
      <w:r>
        <w:rPr>
          <w:spacing w:val="-6"/>
        </w:rPr>
        <w:t> </w:t>
      </w:r>
      <w:r>
        <w:rPr/>
        <w:t>approval</w:t>
      </w:r>
      <w:r>
        <w:rPr>
          <w:spacing w:val="-6"/>
        </w:rPr>
        <w:t> </w:t>
      </w:r>
      <w:r>
        <w:rPr/>
        <w:t>of</w:t>
      </w:r>
      <w:r>
        <w:rPr>
          <w:spacing w:val="-6"/>
        </w:rPr>
        <w:t> </w:t>
      </w:r>
      <w:r>
        <w:rPr/>
        <w:t>the</w:t>
      </w:r>
      <w:r>
        <w:rPr>
          <w:spacing w:val="-6"/>
        </w:rPr>
        <w:t> </w:t>
      </w:r>
      <w:r>
        <w:rPr/>
        <w:t>projects</w:t>
      </w:r>
      <w:r>
        <w:rPr>
          <w:spacing w:val="-6"/>
        </w:rPr>
        <w:t> </w:t>
      </w:r>
      <w:r>
        <w:rPr/>
        <w:t>that</w:t>
      </w:r>
      <w:r>
        <w:rPr>
          <w:spacing w:val="-6"/>
        </w:rPr>
        <w:t> </w:t>
      </w:r>
      <w:r>
        <w:rPr/>
        <w:t>it</w:t>
      </w:r>
      <w:r>
        <w:rPr>
          <w:spacing w:val="-6"/>
        </w:rPr>
        <w:t> </w:t>
      </w:r>
      <w:r>
        <w:rPr/>
        <w:t>supports. </w:t>
      </w:r>
      <w:r>
        <w:rPr>
          <w:spacing w:val="-4"/>
        </w:rPr>
        <w:t>The</w:t>
      </w:r>
      <w:r>
        <w:rPr>
          <w:spacing w:val="-6"/>
        </w:rPr>
        <w:t> </w:t>
      </w:r>
      <w:r>
        <w:rPr>
          <w:spacing w:val="-4"/>
        </w:rPr>
        <w:t>project-funding</w:t>
      </w:r>
      <w:r>
        <w:rPr>
          <w:spacing w:val="-6"/>
        </w:rPr>
        <w:t> </w:t>
      </w:r>
      <w:r>
        <w:rPr>
          <w:spacing w:val="-4"/>
        </w:rPr>
        <w:t>activity</w:t>
      </w:r>
      <w:r>
        <w:rPr>
          <w:spacing w:val="-6"/>
        </w:rPr>
        <w:t> </w:t>
      </w:r>
      <w:r>
        <w:rPr>
          <w:spacing w:val="-4"/>
        </w:rPr>
        <w:t>will,</w:t>
      </w:r>
      <w:r>
        <w:rPr>
          <w:spacing w:val="-6"/>
        </w:rPr>
        <w:t> </w:t>
      </w:r>
      <w:r>
        <w:rPr>
          <w:spacing w:val="-4"/>
        </w:rPr>
        <w:t>however,</w:t>
      </w:r>
      <w:r>
        <w:rPr>
          <w:spacing w:val="-6"/>
        </w:rPr>
        <w:t> </w:t>
      </w:r>
      <w:r>
        <w:rPr>
          <w:spacing w:val="-4"/>
        </w:rPr>
        <w:t>be</w:t>
      </w:r>
      <w:r>
        <w:rPr>
          <w:spacing w:val="-6"/>
        </w:rPr>
        <w:t> </w:t>
      </w:r>
      <w:r>
        <w:rPr>
          <w:spacing w:val="-4"/>
        </w:rPr>
        <w:t>only</w:t>
      </w:r>
      <w:r>
        <w:rPr>
          <w:spacing w:val="-6"/>
        </w:rPr>
        <w:t> </w:t>
      </w:r>
      <w:r>
        <w:rPr>
          <w:spacing w:val="-4"/>
        </w:rPr>
        <w:t>one </w:t>
      </w:r>
      <w:r>
        <w:rPr/>
        <w:t>(though</w:t>
      </w:r>
      <w:r>
        <w:rPr>
          <w:spacing w:val="-4"/>
        </w:rPr>
        <w:t> </w:t>
      </w:r>
      <w:r>
        <w:rPr/>
        <w:t>a</w:t>
      </w:r>
      <w:r>
        <w:rPr>
          <w:spacing w:val="-4"/>
        </w:rPr>
        <w:t> </w:t>
      </w:r>
      <w:r>
        <w:rPr/>
        <w:t>major</w:t>
      </w:r>
      <w:r>
        <w:rPr>
          <w:spacing w:val="-4"/>
        </w:rPr>
        <w:t> </w:t>
      </w:r>
      <w:r>
        <w:rPr/>
        <w:t>one)</w:t>
      </w:r>
      <w:r>
        <w:rPr>
          <w:spacing w:val="-4"/>
        </w:rPr>
        <w:t> </w:t>
      </w:r>
      <w:r>
        <w:rPr/>
        <w:t>of</w:t>
      </w:r>
      <w:r>
        <w:rPr>
          <w:spacing w:val="-4"/>
        </w:rPr>
        <w:t> </w:t>
      </w:r>
      <w:r>
        <w:rPr/>
        <w:t>the</w:t>
      </w:r>
      <w:r>
        <w:rPr>
          <w:spacing w:val="-4"/>
        </w:rPr>
        <w:t> </w:t>
      </w:r>
      <w:r>
        <w:rPr/>
        <w:t>activities</w:t>
      </w:r>
      <w:r>
        <w:rPr>
          <w:spacing w:val="-4"/>
        </w:rPr>
        <w:t> </w:t>
      </w:r>
      <w:r>
        <w:rPr/>
        <w:t>of</w:t>
      </w:r>
      <w:r>
        <w:rPr>
          <w:spacing w:val="-4"/>
        </w:rPr>
        <w:t> </w:t>
      </w:r>
      <w:r>
        <w:rPr/>
        <w:t>the</w:t>
      </w:r>
      <w:r>
        <w:rPr>
          <w:spacing w:val="-4"/>
        </w:rPr>
        <w:t> </w:t>
      </w:r>
      <w:r>
        <w:rPr/>
        <w:t>NSSSF.</w:t>
      </w:r>
    </w:p>
    <w:p>
      <w:pPr>
        <w:pStyle w:val="BodyText"/>
        <w:spacing w:before="18"/>
      </w:pPr>
    </w:p>
    <w:p>
      <w:pPr>
        <w:pStyle w:val="BodyText"/>
        <w:spacing w:line="266" w:lineRule="auto"/>
        <w:ind w:left="1080" w:right="1"/>
        <w:jc w:val="both"/>
      </w:pPr>
      <w:r>
        <w:rPr>
          <w:spacing w:val="-2"/>
        </w:rPr>
        <w:t>Some</w:t>
      </w:r>
      <w:r>
        <w:rPr>
          <w:spacing w:val="-7"/>
        </w:rPr>
        <w:t> </w:t>
      </w:r>
      <w:r>
        <w:rPr>
          <w:spacing w:val="-2"/>
        </w:rPr>
        <w:t>of</w:t>
      </w:r>
      <w:r>
        <w:rPr>
          <w:spacing w:val="-7"/>
        </w:rPr>
        <w:t> </w:t>
      </w:r>
      <w:r>
        <w:rPr>
          <w:spacing w:val="-2"/>
        </w:rPr>
        <w:t>the</w:t>
      </w:r>
      <w:r>
        <w:rPr>
          <w:spacing w:val="-7"/>
        </w:rPr>
        <w:t> </w:t>
      </w:r>
      <w:r>
        <w:rPr>
          <w:spacing w:val="-2"/>
        </w:rPr>
        <w:t>major</w:t>
      </w:r>
      <w:r>
        <w:rPr>
          <w:spacing w:val="-7"/>
        </w:rPr>
        <w:t> </w:t>
      </w:r>
      <w:r>
        <w:rPr>
          <w:spacing w:val="-2"/>
        </w:rPr>
        <w:t>activities</w:t>
      </w:r>
      <w:r>
        <w:rPr>
          <w:spacing w:val="-7"/>
        </w:rPr>
        <w:t> </w:t>
      </w:r>
      <w:r>
        <w:rPr>
          <w:spacing w:val="-2"/>
        </w:rPr>
        <w:t>and</w:t>
      </w:r>
      <w:r>
        <w:rPr>
          <w:spacing w:val="-7"/>
        </w:rPr>
        <w:t> </w:t>
      </w:r>
      <w:r>
        <w:rPr>
          <w:spacing w:val="-2"/>
        </w:rPr>
        <w:t>responsibilities</w:t>
      </w:r>
      <w:r>
        <w:rPr>
          <w:spacing w:val="-7"/>
        </w:rPr>
        <w:t> </w:t>
      </w:r>
      <w:r>
        <w:rPr>
          <w:spacing w:val="-2"/>
        </w:rPr>
        <w:t>of</w:t>
      </w:r>
      <w:r>
        <w:rPr>
          <w:spacing w:val="-7"/>
        </w:rPr>
        <w:t> </w:t>
      </w:r>
      <w:r>
        <w:rPr>
          <w:spacing w:val="-2"/>
        </w:rPr>
        <w:t>the </w:t>
      </w:r>
      <w:r>
        <w:rPr/>
        <w:t>NSSSF will be to:</w:t>
      </w:r>
    </w:p>
    <w:p>
      <w:pPr>
        <w:pStyle w:val="ListParagraph"/>
        <w:numPr>
          <w:ilvl w:val="1"/>
          <w:numId w:val="56"/>
        </w:numPr>
        <w:tabs>
          <w:tab w:pos="1439" w:val="left" w:leader="none"/>
        </w:tabs>
        <w:spacing w:line="266" w:lineRule="auto" w:before="0" w:after="0"/>
        <w:ind w:left="1439" w:right="0" w:hanging="360"/>
        <w:jc w:val="both"/>
        <w:rPr>
          <w:sz w:val="22"/>
        </w:rPr>
      </w:pPr>
      <w:r>
        <w:rPr>
          <w:spacing w:val="-2"/>
          <w:sz w:val="22"/>
        </w:rPr>
        <w:t>Identify</w:t>
      </w:r>
      <w:r>
        <w:rPr>
          <w:spacing w:val="-8"/>
          <w:sz w:val="22"/>
        </w:rPr>
        <w:t> </w:t>
      </w:r>
      <w:r>
        <w:rPr>
          <w:spacing w:val="-2"/>
          <w:sz w:val="22"/>
        </w:rPr>
        <w:t>major</w:t>
      </w:r>
      <w:r>
        <w:rPr>
          <w:spacing w:val="-8"/>
          <w:sz w:val="22"/>
        </w:rPr>
        <w:t> </w:t>
      </w:r>
      <w:r>
        <w:rPr>
          <w:spacing w:val="-2"/>
          <w:sz w:val="22"/>
        </w:rPr>
        <w:t>unsolved</w:t>
      </w:r>
      <w:r>
        <w:rPr>
          <w:spacing w:val="-8"/>
          <w:sz w:val="22"/>
        </w:rPr>
        <w:t> </w:t>
      </w:r>
      <w:r>
        <w:rPr>
          <w:spacing w:val="-2"/>
          <w:sz w:val="22"/>
        </w:rPr>
        <w:t>problems</w:t>
      </w:r>
      <w:r>
        <w:rPr>
          <w:spacing w:val="-8"/>
          <w:sz w:val="22"/>
        </w:rPr>
        <w:t> </w:t>
      </w:r>
      <w:r>
        <w:rPr>
          <w:spacing w:val="-2"/>
          <w:sz w:val="22"/>
        </w:rPr>
        <w:t>in</w:t>
      </w:r>
      <w:r>
        <w:rPr>
          <w:spacing w:val="-8"/>
          <w:sz w:val="22"/>
        </w:rPr>
        <w:t> </w:t>
      </w:r>
      <w:r>
        <w:rPr>
          <w:spacing w:val="-2"/>
          <w:sz w:val="22"/>
        </w:rPr>
        <w:t>various</w:t>
      </w:r>
      <w:r>
        <w:rPr>
          <w:spacing w:val="-8"/>
          <w:sz w:val="22"/>
        </w:rPr>
        <w:t> </w:t>
      </w:r>
      <w:r>
        <w:rPr>
          <w:spacing w:val="-2"/>
          <w:sz w:val="22"/>
        </w:rPr>
        <w:t>areas </w:t>
      </w:r>
      <w:r>
        <w:rPr>
          <w:sz w:val="22"/>
        </w:rPr>
        <w:t>of science and social sciences and individuals, groups</w:t>
      </w:r>
      <w:r>
        <w:rPr>
          <w:spacing w:val="-4"/>
          <w:sz w:val="22"/>
        </w:rPr>
        <w:t> </w:t>
      </w:r>
      <w:r>
        <w:rPr>
          <w:sz w:val="22"/>
        </w:rPr>
        <w:t>and/or</w:t>
      </w:r>
      <w:r>
        <w:rPr>
          <w:spacing w:val="-4"/>
          <w:sz w:val="22"/>
        </w:rPr>
        <w:t> </w:t>
      </w:r>
      <w:r>
        <w:rPr>
          <w:sz w:val="22"/>
        </w:rPr>
        <w:t>institutions</w:t>
      </w:r>
      <w:r>
        <w:rPr>
          <w:spacing w:val="-4"/>
          <w:sz w:val="22"/>
        </w:rPr>
        <w:t> </w:t>
      </w:r>
      <w:r>
        <w:rPr>
          <w:sz w:val="22"/>
        </w:rPr>
        <w:t>who</w:t>
      </w:r>
      <w:r>
        <w:rPr>
          <w:spacing w:val="-4"/>
          <w:sz w:val="22"/>
        </w:rPr>
        <w:t> </w:t>
      </w:r>
      <w:r>
        <w:rPr>
          <w:sz w:val="22"/>
        </w:rPr>
        <w:t>can</w:t>
      </w:r>
      <w:r>
        <w:rPr>
          <w:spacing w:val="-4"/>
          <w:sz w:val="22"/>
        </w:rPr>
        <w:t> </w:t>
      </w:r>
      <w:r>
        <w:rPr>
          <w:sz w:val="22"/>
        </w:rPr>
        <w:t>work</w:t>
      </w:r>
      <w:r>
        <w:rPr>
          <w:spacing w:val="-4"/>
          <w:sz w:val="22"/>
        </w:rPr>
        <w:t> </w:t>
      </w:r>
      <w:r>
        <w:rPr>
          <w:sz w:val="22"/>
        </w:rPr>
        <w:t>on</w:t>
      </w:r>
      <w:r>
        <w:rPr>
          <w:spacing w:val="-4"/>
          <w:sz w:val="22"/>
        </w:rPr>
        <w:t> </w:t>
      </w:r>
      <w:r>
        <w:rPr>
          <w:sz w:val="22"/>
        </w:rPr>
        <w:t>them to provide India leadership.</w:t>
      </w:r>
    </w:p>
    <w:p>
      <w:pPr>
        <w:pStyle w:val="ListParagraph"/>
        <w:numPr>
          <w:ilvl w:val="1"/>
          <w:numId w:val="56"/>
        </w:numPr>
        <w:tabs>
          <w:tab w:pos="1439" w:val="left" w:leader="none"/>
        </w:tabs>
        <w:spacing w:line="266" w:lineRule="auto" w:before="0" w:after="0"/>
        <w:ind w:left="1439" w:right="0" w:hanging="360"/>
        <w:jc w:val="both"/>
        <w:rPr>
          <w:sz w:val="22"/>
        </w:rPr>
      </w:pPr>
      <w:r>
        <w:rPr>
          <w:sz w:val="22"/>
        </w:rPr>
        <w:t>Identify</w:t>
      </w:r>
      <w:r>
        <w:rPr>
          <w:spacing w:val="-1"/>
          <w:sz w:val="22"/>
        </w:rPr>
        <w:t> </w:t>
      </w:r>
      <w:r>
        <w:rPr>
          <w:sz w:val="22"/>
        </w:rPr>
        <w:t>and</w:t>
      </w:r>
      <w:r>
        <w:rPr>
          <w:spacing w:val="-1"/>
          <w:sz w:val="22"/>
        </w:rPr>
        <w:t> </w:t>
      </w:r>
      <w:r>
        <w:rPr>
          <w:sz w:val="22"/>
        </w:rPr>
        <w:t>set</w:t>
      </w:r>
      <w:r>
        <w:rPr>
          <w:spacing w:val="-1"/>
          <w:sz w:val="22"/>
        </w:rPr>
        <w:t> </w:t>
      </w:r>
      <w:r>
        <w:rPr>
          <w:sz w:val="22"/>
        </w:rPr>
        <w:t>up</w:t>
      </w:r>
      <w:r>
        <w:rPr>
          <w:spacing w:val="-1"/>
          <w:sz w:val="22"/>
        </w:rPr>
        <w:t> </w:t>
      </w:r>
      <w:r>
        <w:rPr>
          <w:sz w:val="22"/>
        </w:rPr>
        <w:t>studies</w:t>
      </w:r>
      <w:r>
        <w:rPr>
          <w:spacing w:val="-1"/>
          <w:sz w:val="22"/>
        </w:rPr>
        <w:t> </w:t>
      </w:r>
      <w:r>
        <w:rPr>
          <w:sz w:val="22"/>
        </w:rPr>
        <w:t>on</w:t>
      </w:r>
      <w:r>
        <w:rPr>
          <w:spacing w:val="-1"/>
          <w:sz w:val="22"/>
        </w:rPr>
        <w:t> </w:t>
      </w:r>
      <w:r>
        <w:rPr>
          <w:sz w:val="22"/>
        </w:rPr>
        <w:t>(a)</w:t>
      </w:r>
      <w:r>
        <w:rPr>
          <w:spacing w:val="-1"/>
          <w:sz w:val="22"/>
        </w:rPr>
        <w:t> </w:t>
      </w:r>
      <w:r>
        <w:rPr>
          <w:sz w:val="22"/>
        </w:rPr>
        <w:t>relationships</w:t>
      </w:r>
      <w:r>
        <w:rPr>
          <w:spacing w:val="-1"/>
          <w:sz w:val="22"/>
        </w:rPr>
        <w:t> </w:t>
      </w:r>
      <w:r>
        <w:rPr>
          <w:sz w:val="22"/>
        </w:rPr>
        <w:t>of </w:t>
      </w:r>
      <w:r>
        <w:rPr>
          <w:spacing w:val="-2"/>
          <w:sz w:val="22"/>
        </w:rPr>
        <w:t>science</w:t>
      </w:r>
      <w:r>
        <w:rPr>
          <w:spacing w:val="-9"/>
          <w:sz w:val="22"/>
        </w:rPr>
        <w:t> </w:t>
      </w:r>
      <w:r>
        <w:rPr>
          <w:spacing w:val="-2"/>
          <w:sz w:val="22"/>
        </w:rPr>
        <w:t>with</w:t>
      </w:r>
      <w:r>
        <w:rPr>
          <w:spacing w:val="-9"/>
          <w:sz w:val="22"/>
        </w:rPr>
        <w:t> </w:t>
      </w:r>
      <w:r>
        <w:rPr>
          <w:spacing w:val="-2"/>
          <w:sz w:val="22"/>
        </w:rPr>
        <w:t>other</w:t>
      </w:r>
      <w:r>
        <w:rPr>
          <w:spacing w:val="-9"/>
          <w:sz w:val="22"/>
        </w:rPr>
        <w:t> </w:t>
      </w:r>
      <w:r>
        <w:rPr>
          <w:spacing w:val="-2"/>
          <w:sz w:val="22"/>
        </w:rPr>
        <w:t>areas</w:t>
      </w:r>
      <w:r>
        <w:rPr>
          <w:spacing w:val="-9"/>
          <w:sz w:val="22"/>
        </w:rPr>
        <w:t> </w:t>
      </w:r>
      <w:r>
        <w:rPr>
          <w:spacing w:val="-2"/>
          <w:sz w:val="22"/>
        </w:rPr>
        <w:t>of</w:t>
      </w:r>
      <w:r>
        <w:rPr>
          <w:spacing w:val="-9"/>
          <w:sz w:val="22"/>
        </w:rPr>
        <w:t> </w:t>
      </w:r>
      <w:r>
        <w:rPr>
          <w:spacing w:val="-2"/>
          <w:sz w:val="22"/>
        </w:rPr>
        <w:t>human</w:t>
      </w:r>
      <w:r>
        <w:rPr>
          <w:spacing w:val="-9"/>
          <w:sz w:val="22"/>
        </w:rPr>
        <w:t> </w:t>
      </w:r>
      <w:r>
        <w:rPr>
          <w:spacing w:val="-2"/>
          <w:sz w:val="22"/>
        </w:rPr>
        <w:t>concern</w:t>
      </w:r>
      <w:r>
        <w:rPr>
          <w:spacing w:val="-9"/>
          <w:sz w:val="22"/>
        </w:rPr>
        <w:t> </w:t>
      </w:r>
      <w:r>
        <w:rPr>
          <w:spacing w:val="-2"/>
          <w:sz w:val="22"/>
        </w:rPr>
        <w:t>such</w:t>
      </w:r>
      <w:r>
        <w:rPr>
          <w:spacing w:val="-9"/>
          <w:sz w:val="22"/>
        </w:rPr>
        <w:t> </w:t>
      </w:r>
      <w:r>
        <w:rPr>
          <w:spacing w:val="-2"/>
          <w:sz w:val="22"/>
        </w:rPr>
        <w:t>as </w:t>
      </w:r>
      <w:r>
        <w:rPr>
          <w:sz w:val="22"/>
        </w:rPr>
        <w:t>economics, sociology, politics, art and literature, and</w:t>
      </w:r>
      <w:r>
        <w:rPr>
          <w:spacing w:val="-14"/>
          <w:sz w:val="22"/>
        </w:rPr>
        <w:t> </w:t>
      </w:r>
      <w:r>
        <w:rPr>
          <w:sz w:val="22"/>
        </w:rPr>
        <w:t>vice</w:t>
      </w:r>
      <w:r>
        <w:rPr>
          <w:spacing w:val="-14"/>
          <w:sz w:val="22"/>
        </w:rPr>
        <w:t> </w:t>
      </w:r>
      <w:r>
        <w:rPr>
          <w:sz w:val="22"/>
        </w:rPr>
        <w:t>versa,</w:t>
      </w:r>
      <w:r>
        <w:rPr>
          <w:spacing w:val="-14"/>
          <w:sz w:val="22"/>
        </w:rPr>
        <w:t> </w:t>
      </w:r>
      <w:r>
        <w:rPr>
          <w:sz w:val="22"/>
        </w:rPr>
        <w:t>and</w:t>
      </w:r>
      <w:r>
        <w:rPr>
          <w:spacing w:val="-13"/>
          <w:sz w:val="22"/>
        </w:rPr>
        <w:t> </w:t>
      </w:r>
      <w:r>
        <w:rPr>
          <w:sz w:val="22"/>
        </w:rPr>
        <w:t>(b)</w:t>
      </w:r>
      <w:r>
        <w:rPr>
          <w:spacing w:val="-14"/>
          <w:sz w:val="22"/>
        </w:rPr>
        <w:t> </w:t>
      </w:r>
      <w:r>
        <w:rPr>
          <w:sz w:val="22"/>
        </w:rPr>
        <w:t>social,</w:t>
      </w:r>
      <w:r>
        <w:rPr>
          <w:spacing w:val="-14"/>
          <w:sz w:val="22"/>
        </w:rPr>
        <w:t> </w:t>
      </w:r>
      <w:r>
        <w:rPr>
          <w:sz w:val="22"/>
        </w:rPr>
        <w:t>economic,</w:t>
      </w:r>
      <w:r>
        <w:rPr>
          <w:spacing w:val="-14"/>
          <w:sz w:val="22"/>
        </w:rPr>
        <w:t> </w:t>
      </w:r>
      <w:r>
        <w:rPr>
          <w:sz w:val="22"/>
        </w:rPr>
        <w:t>political, </w:t>
      </w:r>
      <w:r>
        <w:rPr>
          <w:spacing w:val="-4"/>
          <w:sz w:val="22"/>
        </w:rPr>
        <w:t>legal,</w:t>
      </w:r>
      <w:r>
        <w:rPr>
          <w:spacing w:val="-9"/>
          <w:sz w:val="22"/>
        </w:rPr>
        <w:t> </w:t>
      </w:r>
      <w:r>
        <w:rPr>
          <w:spacing w:val="-4"/>
          <w:sz w:val="22"/>
        </w:rPr>
        <w:t>moral</w:t>
      </w:r>
      <w:r>
        <w:rPr>
          <w:spacing w:val="-9"/>
          <w:sz w:val="22"/>
        </w:rPr>
        <w:t> </w:t>
      </w:r>
      <w:r>
        <w:rPr>
          <w:spacing w:val="-4"/>
          <w:sz w:val="22"/>
        </w:rPr>
        <w:t>and</w:t>
      </w:r>
      <w:r>
        <w:rPr>
          <w:spacing w:val="-9"/>
          <w:sz w:val="22"/>
        </w:rPr>
        <w:t> </w:t>
      </w:r>
      <w:r>
        <w:rPr>
          <w:spacing w:val="-4"/>
          <w:sz w:val="22"/>
        </w:rPr>
        <w:t>ethical</w:t>
      </w:r>
      <w:r>
        <w:rPr>
          <w:spacing w:val="-9"/>
          <w:sz w:val="22"/>
        </w:rPr>
        <w:t> </w:t>
      </w:r>
      <w:r>
        <w:rPr>
          <w:spacing w:val="-4"/>
          <w:sz w:val="22"/>
        </w:rPr>
        <w:t>implications</w:t>
      </w:r>
      <w:r>
        <w:rPr>
          <w:spacing w:val="-9"/>
          <w:sz w:val="22"/>
        </w:rPr>
        <w:t> </w:t>
      </w:r>
      <w:r>
        <w:rPr>
          <w:spacing w:val="-4"/>
          <w:sz w:val="22"/>
        </w:rPr>
        <w:t>of</w:t>
      </w:r>
      <w:r>
        <w:rPr>
          <w:spacing w:val="-9"/>
          <w:sz w:val="22"/>
        </w:rPr>
        <w:t> </w:t>
      </w:r>
      <w:r>
        <w:rPr>
          <w:spacing w:val="-4"/>
          <w:sz w:val="22"/>
        </w:rPr>
        <w:t>advances</w:t>
      </w:r>
      <w:r>
        <w:rPr>
          <w:spacing w:val="-9"/>
          <w:sz w:val="22"/>
        </w:rPr>
        <w:t> </w:t>
      </w:r>
      <w:r>
        <w:rPr>
          <w:spacing w:val="-4"/>
          <w:sz w:val="22"/>
        </w:rPr>
        <w:t>in </w:t>
      </w:r>
      <w:r>
        <w:rPr>
          <w:sz w:val="22"/>
        </w:rPr>
        <w:t>science and technology.</w:t>
      </w:r>
    </w:p>
    <w:p>
      <w:pPr>
        <w:pStyle w:val="ListParagraph"/>
        <w:numPr>
          <w:ilvl w:val="1"/>
          <w:numId w:val="56"/>
        </w:numPr>
        <w:tabs>
          <w:tab w:pos="1439" w:val="left" w:leader="none"/>
        </w:tabs>
        <w:spacing w:line="266" w:lineRule="auto" w:before="0" w:after="0"/>
        <w:ind w:left="1439" w:right="0" w:hanging="360"/>
        <w:jc w:val="both"/>
        <w:rPr>
          <w:sz w:val="22"/>
        </w:rPr>
      </w:pPr>
      <w:r>
        <w:rPr>
          <w:sz w:val="22"/>
        </w:rPr>
        <w:t>Identify and set up studies on </w:t>
      </w:r>
      <w:r>
        <w:rPr>
          <w:sz w:val="22"/>
        </w:rPr>
        <w:t>futuristic interdisciplinary areas in real time.</w:t>
      </w:r>
    </w:p>
    <w:p>
      <w:pPr>
        <w:pStyle w:val="ListParagraph"/>
        <w:numPr>
          <w:ilvl w:val="1"/>
          <w:numId w:val="56"/>
        </w:numPr>
        <w:tabs>
          <w:tab w:pos="1439" w:val="left" w:leader="none"/>
        </w:tabs>
        <w:spacing w:line="266" w:lineRule="auto" w:before="0" w:after="0"/>
        <w:ind w:left="1439" w:right="0" w:hanging="360"/>
        <w:jc w:val="both"/>
        <w:rPr>
          <w:sz w:val="22"/>
        </w:rPr>
      </w:pPr>
      <w:r>
        <w:rPr>
          <w:sz w:val="22"/>
        </w:rPr>
        <w:t>Recommend steps that would help inculcate </w:t>
      </w:r>
      <w:r>
        <w:rPr>
          <w:sz w:val="22"/>
        </w:rPr>
        <w:t>a </w:t>
      </w:r>
      <w:r>
        <w:rPr>
          <w:spacing w:val="-4"/>
          <w:sz w:val="22"/>
        </w:rPr>
        <w:t>scientific</w:t>
      </w:r>
      <w:r>
        <w:rPr>
          <w:spacing w:val="-8"/>
          <w:sz w:val="22"/>
        </w:rPr>
        <w:t> </w:t>
      </w:r>
      <w:r>
        <w:rPr>
          <w:spacing w:val="-4"/>
          <w:sz w:val="22"/>
        </w:rPr>
        <w:t>temper</w:t>
      </w:r>
      <w:r>
        <w:rPr>
          <w:spacing w:val="-9"/>
          <w:sz w:val="22"/>
        </w:rPr>
        <w:t> </w:t>
      </w:r>
      <w:r>
        <w:rPr>
          <w:spacing w:val="-4"/>
          <w:sz w:val="22"/>
        </w:rPr>
        <w:t>amongst</w:t>
      </w:r>
      <w:r>
        <w:rPr>
          <w:spacing w:val="-8"/>
          <w:sz w:val="22"/>
        </w:rPr>
        <w:t> </w:t>
      </w:r>
      <w:r>
        <w:rPr>
          <w:spacing w:val="-4"/>
          <w:sz w:val="22"/>
        </w:rPr>
        <w:t>the</w:t>
      </w:r>
      <w:r>
        <w:rPr>
          <w:spacing w:val="-9"/>
          <w:sz w:val="22"/>
        </w:rPr>
        <w:t> </w:t>
      </w:r>
      <w:r>
        <w:rPr>
          <w:spacing w:val="-4"/>
          <w:sz w:val="22"/>
        </w:rPr>
        <w:t>people</w:t>
      </w:r>
      <w:r>
        <w:rPr>
          <w:spacing w:val="-8"/>
          <w:sz w:val="22"/>
        </w:rPr>
        <w:t> </w:t>
      </w:r>
      <w:r>
        <w:rPr>
          <w:spacing w:val="-4"/>
          <w:sz w:val="22"/>
        </w:rPr>
        <w:t>of</w:t>
      </w:r>
      <w:r>
        <w:rPr>
          <w:spacing w:val="-9"/>
          <w:sz w:val="22"/>
        </w:rPr>
        <w:t> </w:t>
      </w:r>
      <w:r>
        <w:rPr>
          <w:spacing w:val="-4"/>
          <w:sz w:val="22"/>
        </w:rPr>
        <w:t>the</w:t>
      </w:r>
      <w:r>
        <w:rPr>
          <w:spacing w:val="-8"/>
          <w:sz w:val="22"/>
        </w:rPr>
        <w:t> </w:t>
      </w:r>
      <w:r>
        <w:rPr>
          <w:spacing w:val="-4"/>
          <w:sz w:val="22"/>
        </w:rPr>
        <w:t>country </w:t>
      </w:r>
      <w:r>
        <w:rPr>
          <w:sz w:val="22"/>
        </w:rPr>
        <w:t>as envisioned in the constitution.</w:t>
      </w:r>
    </w:p>
    <w:p>
      <w:pPr>
        <w:pStyle w:val="ListParagraph"/>
        <w:numPr>
          <w:ilvl w:val="1"/>
          <w:numId w:val="56"/>
        </w:numPr>
        <w:tabs>
          <w:tab w:pos="1439" w:val="left" w:leader="none"/>
        </w:tabs>
        <w:spacing w:line="266" w:lineRule="auto" w:before="0" w:after="0"/>
        <w:ind w:left="1439" w:right="0" w:hanging="360"/>
        <w:jc w:val="both"/>
        <w:rPr>
          <w:sz w:val="22"/>
        </w:rPr>
      </w:pPr>
      <w:r>
        <w:rPr>
          <w:spacing w:val="-2"/>
          <w:sz w:val="22"/>
        </w:rPr>
        <w:t>Help</w:t>
      </w:r>
      <w:r>
        <w:rPr>
          <w:spacing w:val="-10"/>
          <w:sz w:val="22"/>
        </w:rPr>
        <w:t> </w:t>
      </w:r>
      <w:r>
        <w:rPr>
          <w:spacing w:val="-2"/>
          <w:sz w:val="22"/>
        </w:rPr>
        <w:t>the</w:t>
      </w:r>
      <w:r>
        <w:rPr>
          <w:spacing w:val="-10"/>
          <w:sz w:val="22"/>
        </w:rPr>
        <w:t> </w:t>
      </w:r>
      <w:r>
        <w:rPr>
          <w:spacing w:val="-2"/>
          <w:sz w:val="22"/>
        </w:rPr>
        <w:t>Government</w:t>
      </w:r>
      <w:r>
        <w:rPr>
          <w:spacing w:val="-10"/>
          <w:sz w:val="22"/>
        </w:rPr>
        <w:t> </w:t>
      </w:r>
      <w:r>
        <w:rPr>
          <w:spacing w:val="-2"/>
          <w:sz w:val="22"/>
        </w:rPr>
        <w:t>to</w:t>
      </w:r>
      <w:r>
        <w:rPr>
          <w:spacing w:val="-10"/>
          <w:sz w:val="22"/>
        </w:rPr>
        <w:t> </w:t>
      </w:r>
      <w:r>
        <w:rPr>
          <w:spacing w:val="-2"/>
          <w:sz w:val="22"/>
        </w:rPr>
        <w:t>set</w:t>
      </w:r>
      <w:r>
        <w:rPr>
          <w:spacing w:val="-10"/>
          <w:sz w:val="22"/>
        </w:rPr>
        <w:t> </w:t>
      </w:r>
      <w:r>
        <w:rPr>
          <w:spacing w:val="-2"/>
          <w:sz w:val="22"/>
        </w:rPr>
        <w:t>up</w:t>
      </w:r>
      <w:r>
        <w:rPr>
          <w:spacing w:val="-10"/>
          <w:sz w:val="22"/>
        </w:rPr>
        <w:t> </w:t>
      </w:r>
      <w:r>
        <w:rPr>
          <w:spacing w:val="-2"/>
          <w:sz w:val="22"/>
        </w:rPr>
        <w:t>systems</w:t>
      </w:r>
      <w:r>
        <w:rPr>
          <w:spacing w:val="-10"/>
          <w:sz w:val="22"/>
        </w:rPr>
        <w:t> </w:t>
      </w:r>
      <w:r>
        <w:rPr>
          <w:spacing w:val="-2"/>
          <w:sz w:val="22"/>
        </w:rPr>
        <w:t>that</w:t>
      </w:r>
      <w:r>
        <w:rPr>
          <w:spacing w:val="-10"/>
          <w:sz w:val="22"/>
        </w:rPr>
        <w:t> </w:t>
      </w:r>
      <w:r>
        <w:rPr>
          <w:spacing w:val="-2"/>
          <w:sz w:val="22"/>
        </w:rPr>
        <w:t>would </w:t>
      </w:r>
      <w:r>
        <w:rPr>
          <w:spacing w:val="-4"/>
          <w:sz w:val="22"/>
        </w:rPr>
        <w:t>remove</w:t>
      </w:r>
      <w:r>
        <w:rPr>
          <w:spacing w:val="-10"/>
          <w:sz w:val="22"/>
        </w:rPr>
        <w:t> </w:t>
      </w:r>
      <w:r>
        <w:rPr>
          <w:spacing w:val="-4"/>
          <w:sz w:val="22"/>
        </w:rPr>
        <w:t>bureaucratic</w:t>
      </w:r>
      <w:r>
        <w:rPr>
          <w:spacing w:val="-10"/>
          <w:sz w:val="22"/>
        </w:rPr>
        <w:t> </w:t>
      </w:r>
      <w:r>
        <w:rPr>
          <w:spacing w:val="-4"/>
          <w:sz w:val="22"/>
        </w:rPr>
        <w:t>hurdles,</w:t>
      </w:r>
      <w:r>
        <w:rPr>
          <w:spacing w:val="-9"/>
          <w:sz w:val="22"/>
        </w:rPr>
        <w:t> </w:t>
      </w:r>
      <w:r>
        <w:rPr>
          <w:spacing w:val="-4"/>
          <w:sz w:val="22"/>
        </w:rPr>
        <w:t>increase</w:t>
      </w:r>
      <w:r>
        <w:rPr>
          <w:spacing w:val="-10"/>
          <w:sz w:val="22"/>
        </w:rPr>
        <w:t> </w:t>
      </w:r>
      <w:r>
        <w:rPr>
          <w:spacing w:val="-4"/>
          <w:sz w:val="22"/>
        </w:rPr>
        <w:t>professional, </w:t>
      </w:r>
      <w:r>
        <w:rPr>
          <w:sz w:val="22"/>
        </w:rPr>
        <w:t>social</w:t>
      </w:r>
      <w:r>
        <w:rPr>
          <w:spacing w:val="-10"/>
          <w:sz w:val="22"/>
        </w:rPr>
        <w:t> </w:t>
      </w:r>
      <w:r>
        <w:rPr>
          <w:sz w:val="22"/>
        </w:rPr>
        <w:t>and</w:t>
      </w:r>
      <w:r>
        <w:rPr>
          <w:spacing w:val="-10"/>
          <w:sz w:val="22"/>
        </w:rPr>
        <w:t> </w:t>
      </w:r>
      <w:r>
        <w:rPr>
          <w:sz w:val="22"/>
        </w:rPr>
        <w:t>financial</w:t>
      </w:r>
      <w:r>
        <w:rPr>
          <w:spacing w:val="-10"/>
          <w:sz w:val="22"/>
        </w:rPr>
        <w:t> </w:t>
      </w:r>
      <w:r>
        <w:rPr>
          <w:sz w:val="22"/>
        </w:rPr>
        <w:t>accountability;</w:t>
      </w:r>
      <w:r>
        <w:rPr>
          <w:spacing w:val="-10"/>
          <w:sz w:val="22"/>
        </w:rPr>
        <w:t> </w:t>
      </w:r>
      <w:r>
        <w:rPr>
          <w:sz w:val="22"/>
        </w:rPr>
        <w:t>and</w:t>
      </w:r>
      <w:r>
        <w:rPr>
          <w:spacing w:val="-10"/>
          <w:sz w:val="22"/>
        </w:rPr>
        <w:t> </w:t>
      </w:r>
      <w:r>
        <w:rPr>
          <w:sz w:val="22"/>
        </w:rPr>
        <w:t>recognise </w:t>
      </w:r>
      <w:r>
        <w:rPr>
          <w:spacing w:val="-2"/>
          <w:sz w:val="22"/>
        </w:rPr>
        <w:t>that</w:t>
      </w:r>
      <w:r>
        <w:rPr>
          <w:spacing w:val="-14"/>
          <w:sz w:val="22"/>
        </w:rPr>
        <w:t> </w:t>
      </w:r>
      <w:r>
        <w:rPr>
          <w:spacing w:val="-2"/>
          <w:sz w:val="22"/>
        </w:rPr>
        <w:t>creativity</w:t>
      </w:r>
      <w:r>
        <w:rPr>
          <w:spacing w:val="-12"/>
          <w:sz w:val="22"/>
        </w:rPr>
        <w:t> </w:t>
      </w:r>
      <w:r>
        <w:rPr>
          <w:spacing w:val="-2"/>
          <w:sz w:val="22"/>
        </w:rPr>
        <w:t>in</w:t>
      </w:r>
      <w:r>
        <w:rPr>
          <w:spacing w:val="-12"/>
          <w:sz w:val="22"/>
        </w:rPr>
        <w:t> </w:t>
      </w:r>
      <w:r>
        <w:rPr>
          <w:spacing w:val="-2"/>
          <w:sz w:val="22"/>
        </w:rPr>
        <w:t>science</w:t>
      </w:r>
      <w:r>
        <w:rPr>
          <w:spacing w:val="-11"/>
          <w:sz w:val="22"/>
        </w:rPr>
        <w:t> </w:t>
      </w:r>
      <w:r>
        <w:rPr>
          <w:spacing w:val="-2"/>
          <w:sz w:val="22"/>
        </w:rPr>
        <w:t>and</w:t>
      </w:r>
      <w:r>
        <w:rPr>
          <w:spacing w:val="-12"/>
          <w:sz w:val="22"/>
        </w:rPr>
        <w:t> </w:t>
      </w:r>
      <w:r>
        <w:rPr>
          <w:spacing w:val="-2"/>
          <w:sz w:val="22"/>
        </w:rPr>
        <w:t>social</w:t>
      </w:r>
      <w:r>
        <w:rPr>
          <w:spacing w:val="-12"/>
          <w:sz w:val="22"/>
        </w:rPr>
        <w:t> </w:t>
      </w:r>
      <w:r>
        <w:rPr>
          <w:spacing w:val="-2"/>
          <w:sz w:val="22"/>
        </w:rPr>
        <w:t>sciences</w:t>
      </w:r>
      <w:r>
        <w:rPr>
          <w:spacing w:val="-12"/>
          <w:sz w:val="22"/>
        </w:rPr>
        <w:t> </w:t>
      </w:r>
      <w:r>
        <w:rPr>
          <w:spacing w:val="-2"/>
          <w:sz w:val="22"/>
        </w:rPr>
        <w:t>like</w:t>
      </w:r>
      <w:r>
        <w:rPr>
          <w:spacing w:val="-11"/>
          <w:sz w:val="22"/>
        </w:rPr>
        <w:t> </w:t>
      </w:r>
      <w:r>
        <w:rPr>
          <w:spacing w:val="-2"/>
          <w:sz w:val="22"/>
        </w:rPr>
        <w:t>in </w:t>
      </w:r>
      <w:r>
        <w:rPr>
          <w:sz w:val="22"/>
        </w:rPr>
        <w:t>all</w:t>
      </w:r>
      <w:r>
        <w:rPr>
          <w:spacing w:val="-13"/>
          <w:sz w:val="22"/>
        </w:rPr>
        <w:t> </w:t>
      </w:r>
      <w:r>
        <w:rPr>
          <w:sz w:val="22"/>
        </w:rPr>
        <w:t>creative</w:t>
      </w:r>
      <w:r>
        <w:rPr>
          <w:spacing w:val="-13"/>
          <w:sz w:val="22"/>
        </w:rPr>
        <w:t> </w:t>
      </w:r>
      <w:r>
        <w:rPr>
          <w:sz w:val="22"/>
        </w:rPr>
        <w:t>endeavors</w:t>
      </w:r>
      <w:r>
        <w:rPr>
          <w:spacing w:val="-13"/>
          <w:sz w:val="22"/>
        </w:rPr>
        <w:t> </w:t>
      </w:r>
      <w:r>
        <w:rPr>
          <w:sz w:val="22"/>
        </w:rPr>
        <w:t>is</w:t>
      </w:r>
      <w:r>
        <w:rPr>
          <w:spacing w:val="-13"/>
          <w:sz w:val="22"/>
        </w:rPr>
        <w:t> </w:t>
      </w:r>
      <w:r>
        <w:rPr>
          <w:sz w:val="22"/>
        </w:rPr>
        <w:t>non-hierarchical.</w:t>
      </w:r>
    </w:p>
    <w:p>
      <w:pPr>
        <w:pStyle w:val="ListParagraph"/>
        <w:numPr>
          <w:ilvl w:val="1"/>
          <w:numId w:val="56"/>
        </w:numPr>
        <w:tabs>
          <w:tab w:pos="1439" w:val="left" w:leader="none"/>
        </w:tabs>
        <w:spacing w:line="266" w:lineRule="auto" w:before="0" w:after="0"/>
        <w:ind w:left="1439" w:right="0" w:hanging="360"/>
        <w:jc w:val="both"/>
        <w:rPr>
          <w:sz w:val="22"/>
        </w:rPr>
      </w:pPr>
      <w:r>
        <w:rPr>
          <w:sz w:val="22"/>
        </w:rPr>
        <w:t>Identify</w:t>
      </w:r>
      <w:r>
        <w:rPr>
          <w:spacing w:val="-6"/>
          <w:sz w:val="22"/>
        </w:rPr>
        <w:t> </w:t>
      </w:r>
      <w:r>
        <w:rPr>
          <w:sz w:val="22"/>
        </w:rPr>
        <w:t>and</w:t>
      </w:r>
      <w:r>
        <w:rPr>
          <w:spacing w:val="-6"/>
          <w:sz w:val="22"/>
        </w:rPr>
        <w:t> </w:t>
      </w:r>
      <w:r>
        <w:rPr>
          <w:sz w:val="22"/>
        </w:rPr>
        <w:t>set</w:t>
      </w:r>
      <w:r>
        <w:rPr>
          <w:spacing w:val="-6"/>
          <w:sz w:val="22"/>
        </w:rPr>
        <w:t> </w:t>
      </w:r>
      <w:r>
        <w:rPr>
          <w:sz w:val="22"/>
        </w:rPr>
        <w:t>up</w:t>
      </w:r>
      <w:r>
        <w:rPr>
          <w:spacing w:val="-6"/>
          <w:sz w:val="22"/>
        </w:rPr>
        <w:t> </w:t>
      </w:r>
      <w:r>
        <w:rPr>
          <w:sz w:val="22"/>
        </w:rPr>
        <w:t>studies</w:t>
      </w:r>
      <w:r>
        <w:rPr>
          <w:spacing w:val="-6"/>
          <w:sz w:val="22"/>
        </w:rPr>
        <w:t> </w:t>
      </w:r>
      <w:r>
        <w:rPr>
          <w:sz w:val="22"/>
        </w:rPr>
        <w:t>to</w:t>
      </w:r>
      <w:r>
        <w:rPr>
          <w:spacing w:val="-6"/>
          <w:sz w:val="22"/>
        </w:rPr>
        <w:t> </w:t>
      </w:r>
      <w:r>
        <w:rPr>
          <w:sz w:val="22"/>
        </w:rPr>
        <w:t>find</w:t>
      </w:r>
      <w:r>
        <w:rPr>
          <w:spacing w:val="-6"/>
          <w:sz w:val="22"/>
        </w:rPr>
        <w:t> </w:t>
      </w:r>
      <w:r>
        <w:rPr>
          <w:sz w:val="22"/>
        </w:rPr>
        <w:t>solutions</w:t>
      </w:r>
      <w:r>
        <w:rPr>
          <w:spacing w:val="-6"/>
          <w:sz w:val="22"/>
        </w:rPr>
        <w:t> </w:t>
      </w:r>
      <w:r>
        <w:rPr>
          <w:sz w:val="22"/>
        </w:rPr>
        <w:t>to</w:t>
      </w:r>
      <w:r>
        <w:rPr>
          <w:spacing w:val="-6"/>
          <w:sz w:val="22"/>
        </w:rPr>
        <w:t> </w:t>
      </w:r>
      <w:r>
        <w:rPr>
          <w:sz w:val="22"/>
        </w:rPr>
        <w:t>the problems of the poor and the underprivileged by </w:t>
      </w:r>
      <w:r>
        <w:rPr>
          <w:spacing w:val="-4"/>
          <w:sz w:val="22"/>
        </w:rPr>
        <w:t>translating</w:t>
      </w:r>
      <w:r>
        <w:rPr>
          <w:spacing w:val="-5"/>
          <w:sz w:val="22"/>
        </w:rPr>
        <w:t> </w:t>
      </w:r>
      <w:r>
        <w:rPr>
          <w:spacing w:val="-4"/>
          <w:sz w:val="22"/>
        </w:rPr>
        <w:t>the</w:t>
      </w:r>
      <w:r>
        <w:rPr>
          <w:spacing w:val="-5"/>
          <w:sz w:val="22"/>
        </w:rPr>
        <w:t> </w:t>
      </w:r>
      <w:r>
        <w:rPr>
          <w:spacing w:val="-4"/>
          <w:sz w:val="22"/>
        </w:rPr>
        <w:t>advances</w:t>
      </w:r>
      <w:r>
        <w:rPr>
          <w:spacing w:val="-5"/>
          <w:sz w:val="22"/>
        </w:rPr>
        <w:t> </w:t>
      </w:r>
      <w:r>
        <w:rPr>
          <w:spacing w:val="-4"/>
          <w:sz w:val="22"/>
        </w:rPr>
        <w:t>in</w:t>
      </w:r>
      <w:r>
        <w:rPr>
          <w:spacing w:val="-5"/>
          <w:sz w:val="22"/>
        </w:rPr>
        <w:t> </w:t>
      </w:r>
      <w:r>
        <w:rPr>
          <w:spacing w:val="-4"/>
          <w:sz w:val="22"/>
        </w:rPr>
        <w:t>science</w:t>
      </w:r>
      <w:r>
        <w:rPr>
          <w:spacing w:val="-5"/>
          <w:sz w:val="22"/>
        </w:rPr>
        <w:t> </w:t>
      </w:r>
      <w:r>
        <w:rPr>
          <w:spacing w:val="-4"/>
          <w:sz w:val="22"/>
        </w:rPr>
        <w:t>and</w:t>
      </w:r>
      <w:r>
        <w:rPr>
          <w:spacing w:val="-5"/>
          <w:sz w:val="22"/>
        </w:rPr>
        <w:t> </w:t>
      </w:r>
      <w:r>
        <w:rPr>
          <w:spacing w:val="-4"/>
          <w:sz w:val="22"/>
        </w:rPr>
        <w:t>technology.</w:t>
      </w:r>
    </w:p>
    <w:p>
      <w:pPr>
        <w:pStyle w:val="ListParagraph"/>
        <w:numPr>
          <w:ilvl w:val="1"/>
          <w:numId w:val="56"/>
        </w:numPr>
        <w:tabs>
          <w:tab w:pos="1439" w:val="left" w:leader="none"/>
        </w:tabs>
        <w:spacing w:line="266" w:lineRule="auto" w:before="0" w:after="0"/>
        <w:ind w:left="1439" w:right="0" w:hanging="360"/>
        <w:jc w:val="both"/>
        <w:rPr>
          <w:sz w:val="22"/>
        </w:rPr>
      </w:pPr>
      <w:r>
        <w:rPr>
          <w:spacing w:val="-6"/>
          <w:sz w:val="22"/>
        </w:rPr>
        <w:t>Recommend strategies (scientific, technological </w:t>
      </w:r>
      <w:r>
        <w:rPr>
          <w:spacing w:val="-6"/>
          <w:sz w:val="22"/>
        </w:rPr>
        <w:t>and </w:t>
      </w:r>
      <w:r>
        <w:rPr>
          <w:sz w:val="22"/>
        </w:rPr>
        <w:t>social)</w:t>
      </w:r>
      <w:r>
        <w:rPr>
          <w:spacing w:val="-14"/>
          <w:sz w:val="22"/>
        </w:rPr>
        <w:t> </w:t>
      </w:r>
      <w:r>
        <w:rPr>
          <w:sz w:val="22"/>
        </w:rPr>
        <w:t>that</w:t>
      </w:r>
      <w:r>
        <w:rPr>
          <w:spacing w:val="-14"/>
          <w:sz w:val="22"/>
        </w:rPr>
        <w:t> </w:t>
      </w:r>
      <w:r>
        <w:rPr>
          <w:sz w:val="22"/>
        </w:rPr>
        <w:t>would</w:t>
      </w:r>
      <w:r>
        <w:rPr>
          <w:spacing w:val="-14"/>
          <w:sz w:val="22"/>
        </w:rPr>
        <w:t> </w:t>
      </w:r>
      <w:r>
        <w:rPr>
          <w:sz w:val="22"/>
        </w:rPr>
        <w:t>provide</w:t>
      </w:r>
      <w:r>
        <w:rPr>
          <w:spacing w:val="-13"/>
          <w:sz w:val="22"/>
        </w:rPr>
        <w:t> </w:t>
      </w:r>
      <w:r>
        <w:rPr>
          <w:sz w:val="22"/>
        </w:rPr>
        <w:t>additional</w:t>
      </w:r>
      <w:r>
        <w:rPr>
          <w:spacing w:val="-14"/>
          <w:sz w:val="22"/>
        </w:rPr>
        <w:t> </w:t>
      </w:r>
      <w:r>
        <w:rPr>
          <w:sz w:val="22"/>
        </w:rPr>
        <w:t>employment in</w:t>
      </w:r>
      <w:r>
        <w:rPr>
          <w:spacing w:val="-10"/>
          <w:sz w:val="22"/>
        </w:rPr>
        <w:t> </w:t>
      </w:r>
      <w:r>
        <w:rPr>
          <w:sz w:val="22"/>
        </w:rPr>
        <w:t>the</w:t>
      </w:r>
      <w:r>
        <w:rPr>
          <w:spacing w:val="-10"/>
          <w:sz w:val="22"/>
        </w:rPr>
        <w:t> </w:t>
      </w:r>
      <w:r>
        <w:rPr>
          <w:sz w:val="22"/>
        </w:rPr>
        <w:t>rural</w:t>
      </w:r>
      <w:r>
        <w:rPr>
          <w:spacing w:val="-10"/>
          <w:sz w:val="22"/>
        </w:rPr>
        <w:t> </w:t>
      </w:r>
      <w:r>
        <w:rPr>
          <w:sz w:val="22"/>
        </w:rPr>
        <w:t>sector</w:t>
      </w:r>
      <w:r>
        <w:rPr>
          <w:spacing w:val="-10"/>
          <w:sz w:val="22"/>
        </w:rPr>
        <w:t> </w:t>
      </w:r>
      <w:r>
        <w:rPr>
          <w:sz w:val="22"/>
        </w:rPr>
        <w:t>and</w:t>
      </w:r>
      <w:r>
        <w:rPr>
          <w:spacing w:val="-10"/>
          <w:sz w:val="22"/>
        </w:rPr>
        <w:t> </w:t>
      </w:r>
      <w:r>
        <w:rPr>
          <w:sz w:val="22"/>
        </w:rPr>
        <w:t>help</w:t>
      </w:r>
      <w:r>
        <w:rPr>
          <w:spacing w:val="-10"/>
          <w:sz w:val="22"/>
        </w:rPr>
        <w:t> </w:t>
      </w:r>
      <w:r>
        <w:rPr>
          <w:sz w:val="22"/>
        </w:rPr>
        <w:t>set</w:t>
      </w:r>
      <w:r>
        <w:rPr>
          <w:spacing w:val="-10"/>
          <w:sz w:val="22"/>
        </w:rPr>
        <w:t> </w:t>
      </w:r>
      <w:r>
        <w:rPr>
          <w:sz w:val="22"/>
        </w:rPr>
        <w:t>up</w:t>
      </w:r>
      <w:r>
        <w:rPr>
          <w:spacing w:val="-10"/>
          <w:sz w:val="22"/>
        </w:rPr>
        <w:t> </w:t>
      </w:r>
      <w:r>
        <w:rPr>
          <w:sz w:val="22"/>
        </w:rPr>
        <w:t>mechanisms</w:t>
      </w:r>
      <w:r>
        <w:rPr>
          <w:spacing w:val="-10"/>
          <w:sz w:val="22"/>
        </w:rPr>
        <w:t> </w:t>
      </w:r>
      <w:r>
        <w:rPr>
          <w:sz w:val="22"/>
        </w:rPr>
        <w:t>for their implementation with the co-operation of Government, industry and NGOs.</w:t>
      </w:r>
    </w:p>
    <w:p>
      <w:pPr>
        <w:pStyle w:val="ListParagraph"/>
        <w:numPr>
          <w:ilvl w:val="0"/>
          <w:numId w:val="56"/>
        </w:numPr>
        <w:tabs>
          <w:tab w:pos="679" w:val="left" w:leader="none"/>
        </w:tabs>
        <w:spacing w:line="266" w:lineRule="auto" w:before="86" w:after="0"/>
        <w:ind w:left="679" w:right="1078" w:hanging="360"/>
        <w:jc w:val="both"/>
        <w:rPr>
          <w:sz w:val="22"/>
        </w:rPr>
      </w:pPr>
      <w:r>
        <w:rPr/>
        <w:br w:type="column"/>
      </w:r>
      <w:r>
        <w:rPr>
          <w:sz w:val="22"/>
        </w:rPr>
        <w:t>Recommend steps for optimising the use of </w:t>
      </w:r>
      <w:r>
        <w:rPr>
          <w:sz w:val="22"/>
        </w:rPr>
        <w:t>our natural</w:t>
      </w:r>
      <w:r>
        <w:rPr>
          <w:spacing w:val="-7"/>
          <w:sz w:val="22"/>
        </w:rPr>
        <w:t> </w:t>
      </w:r>
      <w:r>
        <w:rPr>
          <w:sz w:val="22"/>
        </w:rPr>
        <w:t>resources</w:t>
      </w:r>
      <w:r>
        <w:rPr>
          <w:spacing w:val="-7"/>
          <w:sz w:val="22"/>
        </w:rPr>
        <w:t> </w:t>
      </w:r>
      <w:r>
        <w:rPr>
          <w:sz w:val="22"/>
        </w:rPr>
        <w:t>(including</w:t>
      </w:r>
      <w:r>
        <w:rPr>
          <w:spacing w:val="-7"/>
          <w:sz w:val="22"/>
        </w:rPr>
        <w:t> </w:t>
      </w:r>
      <w:r>
        <w:rPr>
          <w:sz w:val="22"/>
        </w:rPr>
        <w:t>marine</w:t>
      </w:r>
      <w:r>
        <w:rPr>
          <w:spacing w:val="-7"/>
          <w:sz w:val="22"/>
        </w:rPr>
        <w:t> </w:t>
      </w:r>
      <w:r>
        <w:rPr>
          <w:sz w:val="22"/>
        </w:rPr>
        <w:t>resources).</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Help set up systems for documentation, standardisation where necessary, validation and use of our traditional knowledge. Ensure that the custodians and providers of such knowledge and </w:t>
      </w:r>
      <w:r>
        <w:rPr>
          <w:spacing w:val="-2"/>
          <w:sz w:val="22"/>
        </w:rPr>
        <w:t>wisdom</w:t>
      </w:r>
      <w:r>
        <w:rPr>
          <w:spacing w:val="-8"/>
          <w:sz w:val="22"/>
        </w:rPr>
        <w:t> </w:t>
      </w:r>
      <w:r>
        <w:rPr>
          <w:spacing w:val="-2"/>
          <w:sz w:val="22"/>
        </w:rPr>
        <w:t>are</w:t>
      </w:r>
      <w:r>
        <w:rPr>
          <w:spacing w:val="-8"/>
          <w:sz w:val="22"/>
        </w:rPr>
        <w:t> </w:t>
      </w:r>
      <w:r>
        <w:rPr>
          <w:spacing w:val="-2"/>
          <w:sz w:val="22"/>
        </w:rPr>
        <w:t>identified,</w:t>
      </w:r>
      <w:r>
        <w:rPr>
          <w:spacing w:val="-8"/>
          <w:sz w:val="22"/>
        </w:rPr>
        <w:t> </w:t>
      </w:r>
      <w:r>
        <w:rPr>
          <w:spacing w:val="-2"/>
          <w:sz w:val="22"/>
        </w:rPr>
        <w:t>are</w:t>
      </w:r>
      <w:r>
        <w:rPr>
          <w:spacing w:val="-8"/>
          <w:sz w:val="22"/>
        </w:rPr>
        <w:t> </w:t>
      </w:r>
      <w:r>
        <w:rPr>
          <w:spacing w:val="-2"/>
          <w:sz w:val="22"/>
        </w:rPr>
        <w:t>involved</w:t>
      </w:r>
      <w:r>
        <w:rPr>
          <w:spacing w:val="-8"/>
          <w:sz w:val="22"/>
        </w:rPr>
        <w:t> </w:t>
      </w:r>
      <w:r>
        <w:rPr>
          <w:spacing w:val="-2"/>
          <w:sz w:val="22"/>
        </w:rPr>
        <w:t>in</w:t>
      </w:r>
      <w:r>
        <w:rPr>
          <w:spacing w:val="-8"/>
          <w:sz w:val="22"/>
        </w:rPr>
        <w:t> </w:t>
      </w:r>
      <w:r>
        <w:rPr>
          <w:spacing w:val="-2"/>
          <w:sz w:val="22"/>
        </w:rPr>
        <w:t>the</w:t>
      </w:r>
      <w:r>
        <w:rPr>
          <w:spacing w:val="-8"/>
          <w:sz w:val="22"/>
        </w:rPr>
        <w:t> </w:t>
      </w:r>
      <w:r>
        <w:rPr>
          <w:spacing w:val="-2"/>
          <w:sz w:val="22"/>
        </w:rPr>
        <w:t>process, </w:t>
      </w:r>
      <w:r>
        <w:rPr>
          <w:sz w:val="22"/>
        </w:rPr>
        <w:t>and share benefits accruing from the use of such </w:t>
      </w:r>
      <w:r>
        <w:rPr>
          <w:spacing w:val="-2"/>
          <w:sz w:val="22"/>
        </w:rPr>
        <w:t>knowledge.</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Set up policies for international co-operation </w:t>
      </w:r>
      <w:r>
        <w:rPr>
          <w:sz w:val="22"/>
        </w:rPr>
        <w:t>in science</w:t>
      </w:r>
      <w:r>
        <w:rPr>
          <w:spacing w:val="-4"/>
          <w:sz w:val="22"/>
        </w:rPr>
        <w:t> </w:t>
      </w:r>
      <w:r>
        <w:rPr>
          <w:sz w:val="22"/>
        </w:rPr>
        <w:t>and</w:t>
      </w:r>
      <w:r>
        <w:rPr>
          <w:spacing w:val="-4"/>
          <w:sz w:val="22"/>
        </w:rPr>
        <w:t> </w:t>
      </w:r>
      <w:r>
        <w:rPr>
          <w:sz w:val="22"/>
        </w:rPr>
        <w:t>social</w:t>
      </w:r>
      <w:r>
        <w:rPr>
          <w:spacing w:val="-4"/>
          <w:sz w:val="22"/>
        </w:rPr>
        <w:t> </w:t>
      </w:r>
      <w:r>
        <w:rPr>
          <w:sz w:val="22"/>
        </w:rPr>
        <w:t>sciences.</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Serve as a platform for the coming together of </w:t>
      </w:r>
      <w:r>
        <w:rPr>
          <w:spacing w:val="-4"/>
          <w:sz w:val="22"/>
        </w:rPr>
        <w:t>various departments, organisations and agencies of </w:t>
      </w:r>
      <w:r>
        <w:rPr>
          <w:sz w:val="22"/>
        </w:rPr>
        <w:t>the</w:t>
      </w:r>
      <w:r>
        <w:rPr>
          <w:spacing w:val="-14"/>
          <w:sz w:val="22"/>
        </w:rPr>
        <w:t> </w:t>
      </w:r>
      <w:r>
        <w:rPr>
          <w:sz w:val="22"/>
        </w:rPr>
        <w:t>Government</w:t>
      </w:r>
      <w:r>
        <w:rPr>
          <w:spacing w:val="-14"/>
          <w:sz w:val="22"/>
        </w:rPr>
        <w:t> </w:t>
      </w:r>
      <w:r>
        <w:rPr>
          <w:sz w:val="22"/>
        </w:rPr>
        <w:t>that</w:t>
      </w:r>
      <w:r>
        <w:rPr>
          <w:spacing w:val="-14"/>
          <w:sz w:val="22"/>
        </w:rPr>
        <w:t> </w:t>
      </w:r>
      <w:r>
        <w:rPr>
          <w:sz w:val="22"/>
        </w:rPr>
        <w:t>are</w:t>
      </w:r>
      <w:r>
        <w:rPr>
          <w:spacing w:val="-13"/>
          <w:sz w:val="22"/>
        </w:rPr>
        <w:t> </w:t>
      </w:r>
      <w:r>
        <w:rPr>
          <w:sz w:val="22"/>
        </w:rPr>
        <w:t>concerned</w:t>
      </w:r>
      <w:r>
        <w:rPr>
          <w:spacing w:val="-14"/>
          <w:sz w:val="22"/>
        </w:rPr>
        <w:t> </w:t>
      </w:r>
      <w:r>
        <w:rPr>
          <w:sz w:val="22"/>
        </w:rPr>
        <w:t>with</w:t>
      </w:r>
      <w:r>
        <w:rPr>
          <w:spacing w:val="-14"/>
          <w:sz w:val="22"/>
        </w:rPr>
        <w:t> </w:t>
      </w:r>
      <w:r>
        <w:rPr>
          <w:sz w:val="22"/>
        </w:rPr>
        <w:t>scientific </w:t>
      </w:r>
      <w:r>
        <w:rPr>
          <w:spacing w:val="-10"/>
          <w:sz w:val="22"/>
        </w:rPr>
        <w:t>and</w:t>
      </w:r>
      <w:r>
        <w:rPr>
          <w:sz w:val="22"/>
        </w:rPr>
        <w:t> </w:t>
      </w:r>
      <w:r>
        <w:rPr>
          <w:spacing w:val="-10"/>
          <w:sz w:val="22"/>
        </w:rPr>
        <w:t>social</w:t>
      </w:r>
      <w:r>
        <w:rPr>
          <w:sz w:val="22"/>
        </w:rPr>
        <w:t> </w:t>
      </w:r>
      <w:r>
        <w:rPr>
          <w:spacing w:val="-10"/>
          <w:sz w:val="22"/>
        </w:rPr>
        <w:t>science</w:t>
      </w:r>
      <w:r>
        <w:rPr>
          <w:sz w:val="22"/>
        </w:rPr>
        <w:t> </w:t>
      </w:r>
      <w:r>
        <w:rPr>
          <w:spacing w:val="-10"/>
          <w:sz w:val="22"/>
        </w:rPr>
        <w:t>research</w:t>
      </w:r>
      <w:r>
        <w:rPr>
          <w:sz w:val="22"/>
        </w:rPr>
        <w:t> </w:t>
      </w:r>
      <w:r>
        <w:rPr>
          <w:spacing w:val="-10"/>
          <w:sz w:val="22"/>
        </w:rPr>
        <w:t>and</w:t>
      </w:r>
      <w:r>
        <w:rPr>
          <w:sz w:val="22"/>
        </w:rPr>
        <w:t> </w:t>
      </w:r>
      <w:r>
        <w:rPr>
          <w:spacing w:val="-10"/>
          <w:sz w:val="22"/>
        </w:rPr>
        <w:t>related</w:t>
      </w:r>
      <w:r>
        <w:rPr>
          <w:sz w:val="22"/>
        </w:rPr>
        <w:t> </w:t>
      </w:r>
      <w:r>
        <w:rPr>
          <w:spacing w:val="-10"/>
          <w:sz w:val="22"/>
        </w:rPr>
        <w:t>developmental </w:t>
      </w:r>
      <w:r>
        <w:rPr>
          <w:spacing w:val="-6"/>
          <w:sz w:val="22"/>
        </w:rPr>
        <w:t>work, to optimally utilise their collective knowledge </w:t>
      </w:r>
      <w:r>
        <w:rPr>
          <w:sz w:val="22"/>
        </w:rPr>
        <w:t>and capabilities.</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Set up a mechanism for close </w:t>
      </w:r>
      <w:r>
        <w:rPr>
          <w:sz w:val="22"/>
        </w:rPr>
        <w:t>interaction</w:t>
      </w:r>
      <w:r>
        <w:rPr>
          <w:spacing w:val="40"/>
          <w:sz w:val="22"/>
        </w:rPr>
        <w:t> </w:t>
      </w:r>
      <w:r>
        <w:rPr>
          <w:sz w:val="22"/>
        </w:rPr>
        <w:t>between</w:t>
      </w:r>
      <w:r>
        <w:rPr>
          <w:spacing w:val="-14"/>
          <w:sz w:val="22"/>
        </w:rPr>
        <w:t> </w:t>
      </w:r>
      <w:r>
        <w:rPr>
          <w:sz w:val="22"/>
        </w:rPr>
        <w:t>state-funded</w:t>
      </w:r>
      <w:r>
        <w:rPr>
          <w:spacing w:val="-14"/>
          <w:sz w:val="22"/>
        </w:rPr>
        <w:t> </w:t>
      </w:r>
      <w:r>
        <w:rPr>
          <w:sz w:val="22"/>
        </w:rPr>
        <w:t>scientific</w:t>
      </w:r>
      <w:r>
        <w:rPr>
          <w:spacing w:val="-14"/>
          <w:sz w:val="22"/>
        </w:rPr>
        <w:t> </w:t>
      </w:r>
      <w:r>
        <w:rPr>
          <w:sz w:val="22"/>
        </w:rPr>
        <w:t>and</w:t>
      </w:r>
      <w:r>
        <w:rPr>
          <w:spacing w:val="-13"/>
          <w:sz w:val="22"/>
        </w:rPr>
        <w:t> </w:t>
      </w:r>
      <w:r>
        <w:rPr>
          <w:sz w:val="22"/>
        </w:rPr>
        <w:t>social</w:t>
      </w:r>
      <w:r>
        <w:rPr>
          <w:spacing w:val="-14"/>
          <w:sz w:val="22"/>
        </w:rPr>
        <w:t> </w:t>
      </w:r>
      <w:r>
        <w:rPr>
          <w:sz w:val="22"/>
        </w:rPr>
        <w:t>science organisations, private sector and responsible and effective NGOs.</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Set</w:t>
      </w:r>
      <w:r>
        <w:rPr>
          <w:spacing w:val="-14"/>
          <w:sz w:val="22"/>
        </w:rPr>
        <w:t> </w:t>
      </w:r>
      <w:r>
        <w:rPr>
          <w:sz w:val="22"/>
        </w:rPr>
        <w:t>up</w:t>
      </w:r>
      <w:r>
        <w:rPr>
          <w:spacing w:val="-14"/>
          <w:sz w:val="22"/>
        </w:rPr>
        <w:t> </w:t>
      </w:r>
      <w:r>
        <w:rPr>
          <w:sz w:val="22"/>
        </w:rPr>
        <w:t>a</w:t>
      </w:r>
      <w:r>
        <w:rPr>
          <w:spacing w:val="-14"/>
          <w:sz w:val="22"/>
        </w:rPr>
        <w:t> </w:t>
      </w:r>
      <w:r>
        <w:rPr>
          <w:sz w:val="22"/>
        </w:rPr>
        <w:t>system</w:t>
      </w:r>
      <w:r>
        <w:rPr>
          <w:spacing w:val="-13"/>
          <w:sz w:val="22"/>
        </w:rPr>
        <w:t> </w:t>
      </w:r>
      <w:r>
        <w:rPr>
          <w:sz w:val="22"/>
        </w:rPr>
        <w:t>that</w:t>
      </w:r>
      <w:r>
        <w:rPr>
          <w:spacing w:val="-14"/>
          <w:sz w:val="22"/>
        </w:rPr>
        <w:t> </w:t>
      </w:r>
      <w:r>
        <w:rPr>
          <w:sz w:val="22"/>
        </w:rPr>
        <w:t>would</w:t>
      </w:r>
      <w:r>
        <w:rPr>
          <w:spacing w:val="-14"/>
          <w:sz w:val="22"/>
        </w:rPr>
        <w:t> </w:t>
      </w:r>
      <w:r>
        <w:rPr>
          <w:sz w:val="22"/>
        </w:rPr>
        <w:t>ensure</w:t>
      </w:r>
      <w:r>
        <w:rPr>
          <w:spacing w:val="-14"/>
          <w:sz w:val="22"/>
        </w:rPr>
        <w:t> </w:t>
      </w:r>
      <w:r>
        <w:rPr>
          <w:sz w:val="22"/>
        </w:rPr>
        <w:t>that</w:t>
      </w:r>
      <w:r>
        <w:rPr>
          <w:spacing w:val="-13"/>
          <w:sz w:val="22"/>
        </w:rPr>
        <w:t> </w:t>
      </w:r>
      <w:r>
        <w:rPr>
          <w:sz w:val="22"/>
        </w:rPr>
        <w:t>appropriate credit comes to India, the Indian institutions </w:t>
      </w:r>
      <w:r>
        <w:rPr>
          <w:sz w:val="22"/>
        </w:rPr>
        <w:t>and the</w:t>
      </w:r>
      <w:r>
        <w:rPr>
          <w:spacing w:val="-3"/>
          <w:sz w:val="22"/>
        </w:rPr>
        <w:t> </w:t>
      </w:r>
      <w:r>
        <w:rPr>
          <w:sz w:val="22"/>
        </w:rPr>
        <w:t>Indian</w:t>
      </w:r>
      <w:r>
        <w:rPr>
          <w:spacing w:val="-3"/>
          <w:sz w:val="22"/>
        </w:rPr>
        <w:t> </w:t>
      </w:r>
      <w:r>
        <w:rPr>
          <w:sz w:val="22"/>
        </w:rPr>
        <w:t>scientists</w:t>
      </w:r>
      <w:r>
        <w:rPr>
          <w:spacing w:val="-3"/>
          <w:sz w:val="22"/>
        </w:rPr>
        <w:t> </w:t>
      </w:r>
      <w:r>
        <w:rPr>
          <w:sz w:val="22"/>
        </w:rPr>
        <w:t>and</w:t>
      </w:r>
      <w:r>
        <w:rPr>
          <w:spacing w:val="-3"/>
          <w:sz w:val="22"/>
        </w:rPr>
        <w:t> </w:t>
      </w:r>
      <w:r>
        <w:rPr>
          <w:sz w:val="22"/>
        </w:rPr>
        <w:t>social</w:t>
      </w:r>
      <w:r>
        <w:rPr>
          <w:spacing w:val="-3"/>
          <w:sz w:val="22"/>
        </w:rPr>
        <w:t> </w:t>
      </w:r>
      <w:r>
        <w:rPr>
          <w:sz w:val="22"/>
        </w:rPr>
        <w:t>scientists</w:t>
      </w:r>
      <w:r>
        <w:rPr>
          <w:spacing w:val="-3"/>
          <w:sz w:val="22"/>
        </w:rPr>
        <w:t> </w:t>
      </w:r>
      <w:r>
        <w:rPr>
          <w:sz w:val="22"/>
        </w:rPr>
        <w:t>for</w:t>
      </w:r>
      <w:r>
        <w:rPr>
          <w:spacing w:val="-3"/>
          <w:sz w:val="22"/>
        </w:rPr>
        <w:t> </w:t>
      </w:r>
      <w:r>
        <w:rPr>
          <w:sz w:val="22"/>
        </w:rPr>
        <w:t>their work, and that their work is duly publicised in and</w:t>
      </w:r>
      <w:r>
        <w:rPr>
          <w:spacing w:val="-10"/>
          <w:sz w:val="22"/>
        </w:rPr>
        <w:t> </w:t>
      </w:r>
      <w:r>
        <w:rPr>
          <w:sz w:val="22"/>
        </w:rPr>
        <w:t>outside</w:t>
      </w:r>
      <w:r>
        <w:rPr>
          <w:spacing w:val="-10"/>
          <w:sz w:val="22"/>
        </w:rPr>
        <w:t> </w:t>
      </w:r>
      <w:r>
        <w:rPr>
          <w:sz w:val="22"/>
        </w:rPr>
        <w:t>India</w:t>
      </w:r>
      <w:r>
        <w:rPr>
          <w:spacing w:val="-10"/>
          <w:sz w:val="22"/>
        </w:rPr>
        <w:t> </w:t>
      </w:r>
      <w:r>
        <w:rPr>
          <w:sz w:val="22"/>
        </w:rPr>
        <w:t>(e.g.</w:t>
      </w:r>
      <w:r>
        <w:rPr>
          <w:spacing w:val="-10"/>
          <w:sz w:val="22"/>
        </w:rPr>
        <w:t> </w:t>
      </w:r>
      <w:r>
        <w:rPr>
          <w:sz w:val="22"/>
        </w:rPr>
        <w:t>through</w:t>
      </w:r>
      <w:r>
        <w:rPr>
          <w:spacing w:val="-10"/>
          <w:sz w:val="22"/>
        </w:rPr>
        <w:t> </w:t>
      </w:r>
      <w:r>
        <w:rPr>
          <w:sz w:val="22"/>
        </w:rPr>
        <w:t>our</w:t>
      </w:r>
      <w:r>
        <w:rPr>
          <w:spacing w:val="-10"/>
          <w:sz w:val="22"/>
        </w:rPr>
        <w:t> </w:t>
      </w:r>
      <w:r>
        <w:rPr>
          <w:sz w:val="22"/>
        </w:rPr>
        <w:t>embassies</w:t>
      </w:r>
      <w:r>
        <w:rPr>
          <w:spacing w:val="-10"/>
          <w:sz w:val="22"/>
        </w:rPr>
        <w:t> </w:t>
      </w:r>
      <w:r>
        <w:rPr>
          <w:sz w:val="22"/>
        </w:rPr>
        <w:t>and </w:t>
      </w:r>
      <w:r>
        <w:rPr>
          <w:spacing w:val="-2"/>
          <w:sz w:val="22"/>
        </w:rPr>
        <w:t>missions).</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Formulate</w:t>
      </w:r>
      <w:r>
        <w:rPr>
          <w:spacing w:val="-14"/>
          <w:sz w:val="22"/>
        </w:rPr>
        <w:t> </w:t>
      </w:r>
      <w:r>
        <w:rPr>
          <w:sz w:val="22"/>
        </w:rPr>
        <w:t>ethical</w:t>
      </w:r>
      <w:r>
        <w:rPr>
          <w:spacing w:val="-14"/>
          <w:sz w:val="22"/>
        </w:rPr>
        <w:t> </w:t>
      </w:r>
      <w:r>
        <w:rPr>
          <w:sz w:val="22"/>
        </w:rPr>
        <w:t>guidelines</w:t>
      </w:r>
      <w:r>
        <w:rPr>
          <w:spacing w:val="-14"/>
          <w:sz w:val="22"/>
        </w:rPr>
        <w:t> </w:t>
      </w:r>
      <w:r>
        <w:rPr>
          <w:sz w:val="22"/>
        </w:rPr>
        <w:t>for</w:t>
      </w:r>
      <w:r>
        <w:rPr>
          <w:spacing w:val="-13"/>
          <w:sz w:val="22"/>
        </w:rPr>
        <w:t> </w:t>
      </w:r>
      <w:r>
        <w:rPr>
          <w:sz w:val="22"/>
        </w:rPr>
        <w:t>administration</w:t>
      </w:r>
      <w:r>
        <w:rPr>
          <w:spacing w:val="-14"/>
          <w:sz w:val="22"/>
        </w:rPr>
        <w:t> </w:t>
      </w:r>
      <w:r>
        <w:rPr>
          <w:sz w:val="22"/>
        </w:rPr>
        <w:t>of </w:t>
      </w:r>
      <w:r>
        <w:rPr>
          <w:spacing w:val="-6"/>
          <w:sz w:val="22"/>
        </w:rPr>
        <w:t>science,</w:t>
      </w:r>
      <w:r>
        <w:rPr>
          <w:spacing w:val="-6"/>
          <w:sz w:val="22"/>
        </w:rPr>
        <w:t> doing</w:t>
      </w:r>
      <w:r>
        <w:rPr>
          <w:spacing w:val="-6"/>
          <w:sz w:val="22"/>
        </w:rPr>
        <w:t> science,</w:t>
      </w:r>
      <w:r>
        <w:rPr>
          <w:spacing w:val="-6"/>
          <w:sz w:val="22"/>
        </w:rPr>
        <w:t> communicating</w:t>
      </w:r>
      <w:r>
        <w:rPr>
          <w:spacing w:val="-6"/>
          <w:sz w:val="22"/>
        </w:rPr>
        <w:t> science,</w:t>
      </w:r>
      <w:r>
        <w:rPr>
          <w:spacing w:val="-6"/>
          <w:sz w:val="22"/>
        </w:rPr>
        <w:t> and </w:t>
      </w:r>
      <w:r>
        <w:rPr>
          <w:spacing w:val="-12"/>
          <w:sz w:val="22"/>
        </w:rPr>
        <w:t>using</w:t>
      </w:r>
      <w:r>
        <w:rPr>
          <w:sz w:val="22"/>
        </w:rPr>
        <w:t> </w:t>
      </w:r>
      <w:r>
        <w:rPr>
          <w:spacing w:val="-12"/>
          <w:sz w:val="22"/>
        </w:rPr>
        <w:t>science;</w:t>
      </w:r>
      <w:r>
        <w:rPr>
          <w:sz w:val="22"/>
        </w:rPr>
        <w:t> </w:t>
      </w:r>
      <w:r>
        <w:rPr>
          <w:spacing w:val="-12"/>
          <w:sz w:val="22"/>
        </w:rPr>
        <w:t>and</w:t>
      </w:r>
      <w:r>
        <w:rPr>
          <w:sz w:val="22"/>
        </w:rPr>
        <w:t> </w:t>
      </w:r>
      <w:r>
        <w:rPr>
          <w:spacing w:val="-12"/>
          <w:sz w:val="22"/>
        </w:rPr>
        <w:t>a</w:t>
      </w:r>
      <w:r>
        <w:rPr>
          <w:sz w:val="22"/>
        </w:rPr>
        <w:t> </w:t>
      </w:r>
      <w:r>
        <w:rPr>
          <w:spacing w:val="-12"/>
          <w:sz w:val="22"/>
        </w:rPr>
        <w:t>system</w:t>
      </w:r>
      <w:r>
        <w:rPr>
          <w:sz w:val="22"/>
        </w:rPr>
        <w:t> </w:t>
      </w:r>
      <w:r>
        <w:rPr>
          <w:spacing w:val="-12"/>
          <w:sz w:val="22"/>
        </w:rPr>
        <w:t>of</w:t>
      </w:r>
      <w:r>
        <w:rPr>
          <w:sz w:val="22"/>
        </w:rPr>
        <w:t> </w:t>
      </w:r>
      <w:r>
        <w:rPr>
          <w:spacing w:val="-12"/>
          <w:sz w:val="22"/>
        </w:rPr>
        <w:t>punishment</w:t>
      </w:r>
      <w:r>
        <w:rPr>
          <w:sz w:val="22"/>
        </w:rPr>
        <w:t> </w:t>
      </w:r>
      <w:r>
        <w:rPr>
          <w:spacing w:val="-12"/>
          <w:sz w:val="22"/>
        </w:rPr>
        <w:t>when</w:t>
      </w:r>
      <w:r>
        <w:rPr>
          <w:sz w:val="22"/>
        </w:rPr>
        <w:t> </w:t>
      </w:r>
      <w:r>
        <w:rPr>
          <w:spacing w:val="-12"/>
          <w:sz w:val="22"/>
        </w:rPr>
        <w:t>those </w:t>
      </w:r>
      <w:r>
        <w:rPr>
          <w:spacing w:val="-10"/>
          <w:sz w:val="22"/>
        </w:rPr>
        <w:t>guidelines</w:t>
      </w:r>
      <w:r>
        <w:rPr>
          <w:spacing w:val="-1"/>
          <w:sz w:val="22"/>
        </w:rPr>
        <w:t> </w:t>
      </w:r>
      <w:r>
        <w:rPr>
          <w:spacing w:val="-10"/>
          <w:sz w:val="22"/>
        </w:rPr>
        <w:t>are</w:t>
      </w:r>
      <w:r>
        <w:rPr>
          <w:spacing w:val="-1"/>
          <w:sz w:val="22"/>
        </w:rPr>
        <w:t> </w:t>
      </w:r>
      <w:r>
        <w:rPr>
          <w:spacing w:val="-10"/>
          <w:sz w:val="22"/>
        </w:rPr>
        <w:t>compromised.</w:t>
      </w:r>
      <w:r>
        <w:rPr>
          <w:spacing w:val="-1"/>
          <w:sz w:val="22"/>
        </w:rPr>
        <w:t> </w:t>
      </w:r>
      <w:r>
        <w:rPr>
          <w:spacing w:val="-10"/>
          <w:sz w:val="22"/>
        </w:rPr>
        <w:t>Set</w:t>
      </w:r>
      <w:r>
        <w:rPr>
          <w:spacing w:val="-1"/>
          <w:sz w:val="22"/>
        </w:rPr>
        <w:t> </w:t>
      </w:r>
      <w:r>
        <w:rPr>
          <w:spacing w:val="-10"/>
          <w:sz w:val="22"/>
        </w:rPr>
        <w:t>up</w:t>
      </w:r>
      <w:r>
        <w:rPr>
          <w:spacing w:val="-1"/>
          <w:sz w:val="22"/>
        </w:rPr>
        <w:t> </w:t>
      </w:r>
      <w:r>
        <w:rPr>
          <w:spacing w:val="-10"/>
          <w:sz w:val="22"/>
        </w:rPr>
        <w:t>similar</w:t>
      </w:r>
      <w:r>
        <w:rPr>
          <w:spacing w:val="-1"/>
          <w:sz w:val="22"/>
        </w:rPr>
        <w:t> </w:t>
      </w:r>
      <w:r>
        <w:rPr>
          <w:spacing w:val="-10"/>
          <w:sz w:val="22"/>
        </w:rPr>
        <w:t>guidelines </w:t>
      </w:r>
      <w:r>
        <w:rPr>
          <w:spacing w:val="-2"/>
          <w:sz w:val="22"/>
        </w:rPr>
        <w:t>for</w:t>
      </w:r>
      <w:r>
        <w:rPr>
          <w:spacing w:val="-12"/>
          <w:sz w:val="22"/>
        </w:rPr>
        <w:t> </w:t>
      </w:r>
      <w:r>
        <w:rPr>
          <w:spacing w:val="-2"/>
          <w:sz w:val="22"/>
        </w:rPr>
        <w:t>social</w:t>
      </w:r>
      <w:r>
        <w:rPr>
          <w:spacing w:val="-12"/>
          <w:sz w:val="22"/>
        </w:rPr>
        <w:t> </w:t>
      </w:r>
      <w:r>
        <w:rPr>
          <w:spacing w:val="-2"/>
          <w:sz w:val="22"/>
        </w:rPr>
        <w:t>sciences.</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Recommend setting up of new organisations </w:t>
      </w:r>
      <w:r>
        <w:rPr>
          <w:sz w:val="22"/>
        </w:rPr>
        <w:t>or </w:t>
      </w:r>
      <w:r>
        <w:rPr>
          <w:spacing w:val="-6"/>
          <w:sz w:val="22"/>
        </w:rPr>
        <w:t>institutions</w:t>
      </w:r>
      <w:r>
        <w:rPr>
          <w:spacing w:val="-8"/>
          <w:sz w:val="22"/>
        </w:rPr>
        <w:t> </w:t>
      </w:r>
      <w:r>
        <w:rPr>
          <w:spacing w:val="-6"/>
          <w:sz w:val="22"/>
        </w:rPr>
        <w:t>that</w:t>
      </w:r>
      <w:r>
        <w:rPr>
          <w:spacing w:val="-8"/>
          <w:sz w:val="22"/>
        </w:rPr>
        <w:t> </w:t>
      </w:r>
      <w:r>
        <w:rPr>
          <w:spacing w:val="-6"/>
          <w:sz w:val="22"/>
        </w:rPr>
        <w:t>would</w:t>
      </w:r>
      <w:r>
        <w:rPr>
          <w:spacing w:val="-8"/>
          <w:sz w:val="22"/>
        </w:rPr>
        <w:t> </w:t>
      </w:r>
      <w:r>
        <w:rPr>
          <w:spacing w:val="-6"/>
          <w:sz w:val="22"/>
        </w:rPr>
        <w:t>help</w:t>
      </w:r>
      <w:r>
        <w:rPr>
          <w:spacing w:val="-7"/>
          <w:sz w:val="22"/>
        </w:rPr>
        <w:t> </w:t>
      </w:r>
      <w:r>
        <w:rPr>
          <w:spacing w:val="-6"/>
          <w:sz w:val="22"/>
        </w:rPr>
        <w:t>advance</w:t>
      </w:r>
      <w:r>
        <w:rPr>
          <w:spacing w:val="-8"/>
          <w:sz w:val="22"/>
        </w:rPr>
        <w:t> </w:t>
      </w:r>
      <w:r>
        <w:rPr>
          <w:spacing w:val="-6"/>
          <w:sz w:val="22"/>
        </w:rPr>
        <w:t>these</w:t>
      </w:r>
      <w:r>
        <w:rPr>
          <w:spacing w:val="-8"/>
          <w:sz w:val="22"/>
        </w:rPr>
        <w:t> </w:t>
      </w:r>
      <w:r>
        <w:rPr>
          <w:spacing w:val="-6"/>
          <w:sz w:val="22"/>
        </w:rPr>
        <w:t>objectives </w:t>
      </w:r>
      <w:r>
        <w:rPr>
          <w:sz w:val="22"/>
        </w:rPr>
        <w:t>and close down existing institutions which have outlived their utility or are not functioning </w:t>
      </w:r>
      <w:r>
        <w:rPr>
          <w:spacing w:val="-2"/>
          <w:sz w:val="22"/>
        </w:rPr>
        <w:t>satisfactorily.</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Prepare and present to the Government of India, periodic</w:t>
      </w:r>
      <w:r>
        <w:rPr>
          <w:spacing w:val="-4"/>
          <w:sz w:val="22"/>
        </w:rPr>
        <w:t> </w:t>
      </w:r>
      <w:r>
        <w:rPr>
          <w:sz w:val="22"/>
        </w:rPr>
        <w:t>reports</w:t>
      </w:r>
      <w:r>
        <w:rPr>
          <w:spacing w:val="-4"/>
          <w:sz w:val="22"/>
        </w:rPr>
        <w:t> </w:t>
      </w:r>
      <w:r>
        <w:rPr>
          <w:sz w:val="22"/>
        </w:rPr>
        <w:t>on</w:t>
      </w:r>
      <w:r>
        <w:rPr>
          <w:spacing w:val="-4"/>
          <w:sz w:val="22"/>
        </w:rPr>
        <w:t> </w:t>
      </w:r>
      <w:r>
        <w:rPr>
          <w:sz w:val="22"/>
        </w:rPr>
        <w:t>the</w:t>
      </w:r>
      <w:r>
        <w:rPr>
          <w:spacing w:val="-4"/>
          <w:sz w:val="22"/>
        </w:rPr>
        <w:t> </w:t>
      </w:r>
      <w:r>
        <w:rPr>
          <w:sz w:val="22"/>
        </w:rPr>
        <w:t>state</w:t>
      </w:r>
      <w:r>
        <w:rPr>
          <w:spacing w:val="-4"/>
          <w:sz w:val="22"/>
        </w:rPr>
        <w:t> </w:t>
      </w:r>
      <w:r>
        <w:rPr>
          <w:sz w:val="22"/>
        </w:rPr>
        <w:t>of</w:t>
      </w:r>
      <w:r>
        <w:rPr>
          <w:spacing w:val="-4"/>
          <w:sz w:val="22"/>
        </w:rPr>
        <w:t> </w:t>
      </w:r>
      <w:r>
        <w:rPr>
          <w:sz w:val="22"/>
        </w:rPr>
        <w:t>science</w:t>
      </w:r>
      <w:r>
        <w:rPr>
          <w:spacing w:val="-4"/>
          <w:sz w:val="22"/>
        </w:rPr>
        <w:t> </w:t>
      </w:r>
      <w:r>
        <w:rPr>
          <w:sz w:val="22"/>
        </w:rPr>
        <w:t>and</w:t>
      </w:r>
      <w:r>
        <w:rPr>
          <w:spacing w:val="-4"/>
          <w:sz w:val="22"/>
        </w:rPr>
        <w:t> </w:t>
      </w:r>
      <w:r>
        <w:rPr>
          <w:sz w:val="22"/>
        </w:rPr>
        <w:t>social </w:t>
      </w:r>
      <w:r>
        <w:rPr>
          <w:spacing w:val="-2"/>
          <w:sz w:val="22"/>
        </w:rPr>
        <w:t>sciences</w:t>
      </w:r>
      <w:r>
        <w:rPr>
          <w:spacing w:val="-10"/>
          <w:sz w:val="22"/>
        </w:rPr>
        <w:t> </w:t>
      </w:r>
      <w:r>
        <w:rPr>
          <w:spacing w:val="-2"/>
          <w:sz w:val="22"/>
        </w:rPr>
        <w:t>in</w:t>
      </w:r>
      <w:r>
        <w:rPr>
          <w:spacing w:val="-10"/>
          <w:sz w:val="22"/>
        </w:rPr>
        <w:t> </w:t>
      </w:r>
      <w:r>
        <w:rPr>
          <w:spacing w:val="-2"/>
          <w:sz w:val="22"/>
        </w:rPr>
        <w:t>India</w:t>
      </w:r>
      <w:r>
        <w:rPr>
          <w:spacing w:val="-10"/>
          <w:sz w:val="22"/>
        </w:rPr>
        <w:t> </w:t>
      </w:r>
      <w:r>
        <w:rPr>
          <w:spacing w:val="-2"/>
          <w:sz w:val="22"/>
        </w:rPr>
        <w:t>in</w:t>
      </w:r>
      <w:r>
        <w:rPr>
          <w:spacing w:val="-10"/>
          <w:sz w:val="22"/>
        </w:rPr>
        <w:t> </w:t>
      </w:r>
      <w:r>
        <w:rPr>
          <w:spacing w:val="-2"/>
          <w:sz w:val="22"/>
        </w:rPr>
        <w:t>the</w:t>
      </w:r>
      <w:r>
        <w:rPr>
          <w:spacing w:val="-10"/>
          <w:sz w:val="22"/>
        </w:rPr>
        <w:t> </w:t>
      </w:r>
      <w:r>
        <w:rPr>
          <w:spacing w:val="-2"/>
          <w:sz w:val="22"/>
        </w:rPr>
        <w:t>global</w:t>
      </w:r>
      <w:r>
        <w:rPr>
          <w:spacing w:val="-10"/>
          <w:sz w:val="22"/>
        </w:rPr>
        <w:t> </w:t>
      </w:r>
      <w:r>
        <w:rPr>
          <w:spacing w:val="-2"/>
          <w:sz w:val="22"/>
        </w:rPr>
        <w:t>context,</w:t>
      </w:r>
      <w:r>
        <w:rPr>
          <w:spacing w:val="-10"/>
          <w:sz w:val="22"/>
        </w:rPr>
        <w:t> </w:t>
      </w:r>
      <w:r>
        <w:rPr>
          <w:spacing w:val="-2"/>
          <w:sz w:val="22"/>
        </w:rPr>
        <w:t>and</w:t>
      </w:r>
      <w:r>
        <w:rPr>
          <w:spacing w:val="-10"/>
          <w:sz w:val="22"/>
        </w:rPr>
        <w:t> </w:t>
      </w:r>
      <w:r>
        <w:rPr>
          <w:spacing w:val="-2"/>
          <w:sz w:val="22"/>
        </w:rPr>
        <w:t>suggest </w:t>
      </w:r>
      <w:r>
        <w:rPr>
          <w:sz w:val="22"/>
        </w:rPr>
        <w:t>steps that may be taken to improve it.</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spacing w:before="120"/>
        <w:rPr>
          <w:sz w:val="20"/>
        </w:rPr>
      </w:pPr>
    </w:p>
    <w:p>
      <w:pPr>
        <w:spacing w:after="0"/>
        <w:rPr>
          <w:sz w:val="20"/>
        </w:rPr>
        <w:sectPr>
          <w:pgSz w:w="11910" w:h="16840"/>
          <w:pgMar w:header="0" w:footer="675" w:top="0" w:bottom="860" w:left="0" w:right="0"/>
        </w:sectPr>
      </w:pPr>
    </w:p>
    <w:p>
      <w:pPr>
        <w:pStyle w:val="Heading3"/>
        <w:spacing w:line="247" w:lineRule="auto" w:before="101"/>
      </w:pPr>
      <w:r>
        <w:rPr/>
        <w:drawing>
          <wp:anchor distT="0" distB="0" distL="0" distR="0" allowOverlap="1" layoutInCell="1" locked="0" behindDoc="1" simplePos="0" relativeHeight="479355392">
            <wp:simplePos x="0" y="0"/>
            <wp:positionH relativeFrom="page">
              <wp:posOffset>0</wp:posOffset>
            </wp:positionH>
            <wp:positionV relativeFrom="paragraph">
              <wp:posOffset>-525577</wp:posOffset>
            </wp:positionV>
            <wp:extent cx="7559999" cy="1752562"/>
            <wp:effectExtent l="0" t="0" r="0" b="0"/>
            <wp:wrapNone/>
            <wp:docPr id="960" name="Image 960"/>
            <wp:cNvGraphicFramePr>
              <a:graphicFrameLocks/>
            </wp:cNvGraphicFramePr>
            <a:graphic>
              <a:graphicData uri="http://schemas.openxmlformats.org/drawingml/2006/picture">
                <pic:pic>
                  <pic:nvPicPr>
                    <pic:cNvPr id="960" name="Image 960"/>
                    <pic:cNvPicPr/>
                  </pic:nvPicPr>
                  <pic:blipFill>
                    <a:blip r:embed="rId11" cstate="print"/>
                    <a:stretch>
                      <a:fillRect/>
                    </a:stretch>
                  </pic:blipFill>
                  <pic:spPr>
                    <a:xfrm>
                      <a:off x="0" y="0"/>
                      <a:ext cx="7559999" cy="1752562"/>
                    </a:xfrm>
                    <a:prstGeom prst="rect">
                      <a:avLst/>
                    </a:prstGeom>
                  </pic:spPr>
                </pic:pic>
              </a:graphicData>
            </a:graphic>
          </wp:anchor>
        </w:drawing>
      </w:r>
      <w:r>
        <w:rPr>
          <w:color w:val="FFFFFF"/>
        </w:rPr>
        <w:t>Legal Framework for Public</w:t>
      </w:r>
      <w:r>
        <w:rPr>
          <w:color w:val="FFFFFF"/>
          <w:spacing w:val="-35"/>
        </w:rPr>
        <w:t> </w:t>
      </w:r>
      <w:r>
        <w:rPr>
          <w:color w:val="FFFFFF"/>
        </w:rPr>
        <w:t>Funded</w:t>
      </w:r>
      <w:r>
        <w:rPr>
          <w:color w:val="FFFFFF"/>
          <w:spacing w:val="-35"/>
        </w:rPr>
        <w:t> </w:t>
      </w:r>
      <w:r>
        <w:rPr>
          <w:color w:val="FFFFFF"/>
        </w:rPr>
        <w:t>Research</w:t>
      </w:r>
    </w:p>
    <w:p>
      <w:pPr>
        <w:spacing w:line="240" w:lineRule="auto" w:before="0"/>
        <w:rPr>
          <w:rFonts w:ascii="Trebuchet MS"/>
          <w:b/>
          <w:sz w:val="22"/>
        </w:rPr>
      </w:pPr>
      <w:r>
        <w:rPr/>
        <w:br w:type="column"/>
      </w:r>
      <w:r>
        <w:rPr>
          <w:rFonts w:ascii="Trebuchet MS"/>
          <w:b/>
          <w:sz w:val="22"/>
        </w:rPr>
      </w: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231"/>
        <w:rPr>
          <w:rFonts w:ascii="Trebuchet MS"/>
          <w:b/>
        </w:rPr>
      </w:pPr>
    </w:p>
    <w:p>
      <w:pPr>
        <w:pStyle w:val="BodyText"/>
        <w:ind w:left="629"/>
      </w:pPr>
      <w:r>
        <w:rPr>
          <w:color w:val="FFFFFF"/>
          <w:spacing w:val="-2"/>
        </w:rPr>
        <w:t>January</w:t>
      </w:r>
      <w:r>
        <w:rPr>
          <w:color w:val="FFFFFF"/>
          <w:spacing w:val="-10"/>
        </w:rPr>
        <w:t> </w:t>
      </w:r>
      <w:r>
        <w:rPr>
          <w:color w:val="FFFFFF"/>
          <w:spacing w:val="-2"/>
        </w:rPr>
        <w:t>16,</w:t>
      </w:r>
      <w:r>
        <w:rPr>
          <w:color w:val="FFFFFF"/>
          <w:spacing w:val="-9"/>
        </w:rPr>
        <w:t> </w:t>
      </w:r>
      <w:r>
        <w:rPr>
          <w:color w:val="FFFFFF"/>
          <w:spacing w:val="-4"/>
        </w:rPr>
        <w:t>2007</w:t>
      </w:r>
    </w:p>
    <w:p>
      <w:pPr>
        <w:spacing w:after="0"/>
        <w:sectPr>
          <w:type w:val="continuous"/>
          <w:pgSz w:w="11910" w:h="16840"/>
          <w:pgMar w:header="0" w:footer="675" w:top="1920" w:bottom="280" w:left="0" w:right="0"/>
          <w:cols w:num="2" w:equalWidth="0">
            <w:col w:w="8683" w:space="40"/>
            <w:col w:w="3187"/>
          </w:cols>
        </w:sectPr>
      </w:pPr>
    </w:p>
    <w:p>
      <w:pPr>
        <w:pStyle w:val="BodyText"/>
        <w:rPr>
          <w:sz w:val="20"/>
        </w:rPr>
      </w:pPr>
    </w:p>
    <w:p>
      <w:pPr>
        <w:pStyle w:val="BodyText"/>
        <w:rPr>
          <w:sz w:val="20"/>
        </w:rPr>
      </w:pPr>
    </w:p>
    <w:p>
      <w:pPr>
        <w:pStyle w:val="BodyText"/>
        <w:rPr>
          <w:sz w:val="20"/>
        </w:rPr>
      </w:pPr>
    </w:p>
    <w:p>
      <w:pPr>
        <w:pStyle w:val="BodyText"/>
        <w:spacing w:before="92"/>
        <w:rPr>
          <w:sz w:val="20"/>
        </w:rPr>
      </w:pPr>
    </w:p>
    <w:p>
      <w:pPr>
        <w:spacing w:after="0"/>
        <w:rPr>
          <w:sz w:val="20"/>
        </w:rPr>
        <w:sectPr>
          <w:type w:val="continuous"/>
          <w:pgSz w:w="11910" w:h="16840"/>
          <w:pgMar w:header="0" w:footer="675" w:top="1920" w:bottom="280" w:left="0" w:right="0"/>
        </w:sectPr>
      </w:pPr>
    </w:p>
    <w:p>
      <w:pPr>
        <w:pStyle w:val="BodyText"/>
        <w:spacing w:line="266" w:lineRule="auto" w:before="82"/>
        <w:ind w:left="1782"/>
        <w:jc w:val="both"/>
      </w:pPr>
      <w:r>
        <w:rPr/>
        <mc:AlternateContent>
          <mc:Choice Requires="wps">
            <w:drawing>
              <wp:anchor distT="0" distB="0" distL="0" distR="0" allowOverlap="1" layoutInCell="1" locked="0" behindDoc="1" simplePos="0" relativeHeight="479355904">
                <wp:simplePos x="0" y="0"/>
                <wp:positionH relativeFrom="page">
                  <wp:posOffset>685800</wp:posOffset>
                </wp:positionH>
                <wp:positionV relativeFrom="paragraph">
                  <wp:posOffset>-36905</wp:posOffset>
                </wp:positionV>
                <wp:extent cx="446405" cy="757555"/>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4pt;margin-top:-2.905963pt;width:35.15pt;height:59.65pt;mso-position-horizontal-relative:page;mso-position-vertical-relative:paragraph;z-index:-23960576" type="#_x0000_t202" id="docshape953"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National Knowledge Commission </w:t>
      </w:r>
      <w:r>
        <w:rPr/>
        <w:t>while deliberating on issues related to the creation </w:t>
      </w:r>
      <w:r>
        <w:rPr>
          <w:spacing w:val="-2"/>
        </w:rPr>
        <w:t>and</w:t>
      </w:r>
      <w:r>
        <w:rPr>
          <w:spacing w:val="24"/>
        </w:rPr>
        <w:t> </w:t>
      </w:r>
      <w:r>
        <w:rPr>
          <w:spacing w:val="-2"/>
        </w:rPr>
        <w:t>application</w:t>
      </w:r>
      <w:r>
        <w:rPr>
          <w:spacing w:val="24"/>
        </w:rPr>
        <w:t> </w:t>
      </w:r>
      <w:r>
        <w:rPr>
          <w:spacing w:val="-2"/>
        </w:rPr>
        <w:t>of</w:t>
      </w:r>
      <w:r>
        <w:rPr>
          <w:spacing w:val="24"/>
        </w:rPr>
        <w:t> </w:t>
      </w:r>
      <w:r>
        <w:rPr>
          <w:spacing w:val="-2"/>
        </w:rPr>
        <w:t>knowledge</w:t>
      </w:r>
      <w:r>
        <w:rPr>
          <w:spacing w:val="24"/>
        </w:rPr>
        <w:t> </w:t>
      </w:r>
      <w:r>
        <w:rPr>
          <w:spacing w:val="-2"/>
        </w:rPr>
        <w:t>recognises</w:t>
      </w:r>
      <w:r>
        <w:rPr>
          <w:spacing w:val="24"/>
        </w:rPr>
        <w:t> </w:t>
      </w:r>
      <w:r>
        <w:rPr>
          <w:spacing w:val="-5"/>
        </w:rPr>
        <w:t>the</w:t>
      </w:r>
    </w:p>
    <w:p>
      <w:pPr>
        <w:pStyle w:val="BodyText"/>
        <w:spacing w:line="266" w:lineRule="auto"/>
        <w:ind w:left="1080"/>
        <w:jc w:val="both"/>
      </w:pPr>
      <w:r>
        <w:rPr>
          <w:spacing w:val="-4"/>
        </w:rPr>
        <w:t>need</w:t>
      </w:r>
      <w:r>
        <w:rPr>
          <w:spacing w:val="-10"/>
        </w:rPr>
        <w:t> </w:t>
      </w:r>
      <w:r>
        <w:rPr>
          <w:spacing w:val="-4"/>
        </w:rPr>
        <w:t>to</w:t>
      </w:r>
      <w:r>
        <w:rPr>
          <w:spacing w:val="-10"/>
        </w:rPr>
        <w:t> </w:t>
      </w:r>
      <w:r>
        <w:rPr>
          <w:spacing w:val="-4"/>
        </w:rPr>
        <w:t>provide</w:t>
      </w:r>
      <w:r>
        <w:rPr>
          <w:spacing w:val="-10"/>
        </w:rPr>
        <w:t> </w:t>
      </w:r>
      <w:r>
        <w:rPr>
          <w:spacing w:val="-4"/>
        </w:rPr>
        <w:t>impetus</w:t>
      </w:r>
      <w:r>
        <w:rPr>
          <w:spacing w:val="-9"/>
        </w:rPr>
        <w:t> </w:t>
      </w:r>
      <w:r>
        <w:rPr>
          <w:spacing w:val="-4"/>
        </w:rPr>
        <w:t>to</w:t>
      </w:r>
      <w:r>
        <w:rPr>
          <w:spacing w:val="-10"/>
        </w:rPr>
        <w:t> </w:t>
      </w:r>
      <w:r>
        <w:rPr>
          <w:spacing w:val="-4"/>
        </w:rPr>
        <w:t>government</w:t>
      </w:r>
      <w:r>
        <w:rPr>
          <w:spacing w:val="-10"/>
        </w:rPr>
        <w:t> </w:t>
      </w:r>
      <w:r>
        <w:rPr>
          <w:spacing w:val="-4"/>
        </w:rPr>
        <w:t>funded</w:t>
      </w:r>
      <w:r>
        <w:rPr>
          <w:spacing w:val="-10"/>
        </w:rPr>
        <w:t> </w:t>
      </w:r>
      <w:r>
        <w:rPr>
          <w:spacing w:val="-4"/>
        </w:rPr>
        <w:t>research </w:t>
      </w:r>
      <w:r>
        <w:rPr>
          <w:spacing w:val="-2"/>
        </w:rPr>
        <w:t>and</w:t>
      </w:r>
      <w:r>
        <w:rPr>
          <w:spacing w:val="-14"/>
        </w:rPr>
        <w:t> </w:t>
      </w:r>
      <w:r>
        <w:rPr>
          <w:spacing w:val="-2"/>
        </w:rPr>
        <w:t>to</w:t>
      </w:r>
      <w:r>
        <w:rPr>
          <w:spacing w:val="-12"/>
        </w:rPr>
        <w:t> </w:t>
      </w:r>
      <w:r>
        <w:rPr>
          <w:spacing w:val="-2"/>
        </w:rPr>
        <w:t>translate</w:t>
      </w:r>
      <w:r>
        <w:rPr>
          <w:spacing w:val="-12"/>
        </w:rPr>
        <w:t> </w:t>
      </w:r>
      <w:r>
        <w:rPr>
          <w:spacing w:val="-2"/>
        </w:rPr>
        <w:t>this</w:t>
      </w:r>
      <w:r>
        <w:rPr>
          <w:spacing w:val="-11"/>
        </w:rPr>
        <w:t> </w:t>
      </w:r>
      <w:r>
        <w:rPr>
          <w:spacing w:val="-2"/>
        </w:rPr>
        <w:t>knowledge</w:t>
      </w:r>
      <w:r>
        <w:rPr>
          <w:spacing w:val="-12"/>
        </w:rPr>
        <w:t> </w:t>
      </w:r>
      <w:r>
        <w:rPr>
          <w:spacing w:val="-2"/>
        </w:rPr>
        <w:t>into</w:t>
      </w:r>
      <w:r>
        <w:rPr>
          <w:spacing w:val="-12"/>
        </w:rPr>
        <w:t> </w:t>
      </w:r>
      <w:r>
        <w:rPr>
          <w:spacing w:val="-2"/>
        </w:rPr>
        <w:t>relevant</w:t>
      </w:r>
      <w:r>
        <w:rPr>
          <w:spacing w:val="-12"/>
        </w:rPr>
        <w:t> </w:t>
      </w:r>
      <w:r>
        <w:rPr>
          <w:spacing w:val="-2"/>
        </w:rPr>
        <w:t>and</w:t>
      </w:r>
      <w:r>
        <w:rPr>
          <w:spacing w:val="-11"/>
        </w:rPr>
        <w:t> </w:t>
      </w:r>
      <w:r>
        <w:rPr>
          <w:spacing w:val="-2"/>
        </w:rPr>
        <w:t>useful </w:t>
      </w:r>
      <w:r>
        <w:rPr/>
        <w:t>applications to benefit the widest cross-section of people.</w:t>
      </w:r>
      <w:r>
        <w:rPr>
          <w:spacing w:val="-14"/>
        </w:rPr>
        <w:t> </w:t>
      </w:r>
      <w:r>
        <w:rPr/>
        <w:t>NKC’s</w:t>
      </w:r>
      <w:r>
        <w:rPr>
          <w:spacing w:val="-14"/>
        </w:rPr>
        <w:t> </w:t>
      </w:r>
      <w:r>
        <w:rPr/>
        <w:t>consultation</w:t>
      </w:r>
      <w:r>
        <w:rPr>
          <w:spacing w:val="-14"/>
        </w:rPr>
        <w:t> </w:t>
      </w:r>
      <w:r>
        <w:rPr/>
        <w:t>with</w:t>
      </w:r>
      <w:r>
        <w:rPr>
          <w:spacing w:val="-13"/>
        </w:rPr>
        <w:t> </w:t>
      </w:r>
      <w:r>
        <w:rPr/>
        <w:t>diverse</w:t>
      </w:r>
      <w:r>
        <w:rPr>
          <w:spacing w:val="-14"/>
        </w:rPr>
        <w:t> </w:t>
      </w:r>
      <w:r>
        <w:rPr/>
        <w:t>stakeholders has</w:t>
      </w:r>
      <w:r>
        <w:rPr>
          <w:spacing w:val="-5"/>
        </w:rPr>
        <w:t> </w:t>
      </w:r>
      <w:r>
        <w:rPr/>
        <w:t>revealed</w:t>
      </w:r>
      <w:r>
        <w:rPr>
          <w:spacing w:val="-5"/>
        </w:rPr>
        <w:t> </w:t>
      </w:r>
      <w:r>
        <w:rPr/>
        <w:t>that</w:t>
      </w:r>
      <w:r>
        <w:rPr>
          <w:spacing w:val="-5"/>
        </w:rPr>
        <w:t> </w:t>
      </w:r>
      <w:r>
        <w:rPr/>
        <w:t>there</w:t>
      </w:r>
      <w:r>
        <w:rPr>
          <w:spacing w:val="-5"/>
        </w:rPr>
        <w:t> </w:t>
      </w:r>
      <w:r>
        <w:rPr/>
        <w:t>is</w:t>
      </w:r>
      <w:r>
        <w:rPr>
          <w:spacing w:val="-5"/>
        </w:rPr>
        <w:t> </w:t>
      </w:r>
      <w:r>
        <w:rPr/>
        <w:t>a</w:t>
      </w:r>
      <w:r>
        <w:rPr>
          <w:spacing w:val="-5"/>
        </w:rPr>
        <w:t> </w:t>
      </w:r>
      <w:r>
        <w:rPr/>
        <w:t>need</w:t>
      </w:r>
      <w:r>
        <w:rPr>
          <w:spacing w:val="-5"/>
        </w:rPr>
        <w:t> </w:t>
      </w:r>
      <w:r>
        <w:rPr/>
        <w:t>to</w:t>
      </w:r>
      <w:r>
        <w:rPr>
          <w:spacing w:val="-5"/>
        </w:rPr>
        <w:t> </w:t>
      </w:r>
      <w:r>
        <w:rPr/>
        <w:t>provide</w:t>
      </w:r>
      <w:r>
        <w:rPr>
          <w:spacing w:val="-5"/>
        </w:rPr>
        <w:t> </w:t>
      </w:r>
      <w:r>
        <w:rPr/>
        <w:t>incentives to</w:t>
      </w:r>
      <w:r>
        <w:rPr>
          <w:spacing w:val="-2"/>
        </w:rPr>
        <w:t> </w:t>
      </w:r>
      <w:r>
        <w:rPr/>
        <w:t>increase</w:t>
      </w:r>
      <w:r>
        <w:rPr>
          <w:spacing w:val="-2"/>
        </w:rPr>
        <w:t> </w:t>
      </w:r>
      <w:r>
        <w:rPr/>
        <w:t>innovations,</w:t>
      </w:r>
      <w:r>
        <w:rPr>
          <w:spacing w:val="-2"/>
        </w:rPr>
        <w:t> </w:t>
      </w:r>
      <w:r>
        <w:rPr/>
        <w:t>collaborations,</w:t>
      </w:r>
      <w:r>
        <w:rPr>
          <w:spacing w:val="-2"/>
        </w:rPr>
        <w:t> </w:t>
      </w:r>
      <w:r>
        <w:rPr/>
        <w:t>licensing</w:t>
      </w:r>
      <w:r>
        <w:rPr>
          <w:spacing w:val="-2"/>
        </w:rPr>
        <w:t> </w:t>
      </w:r>
      <w:r>
        <w:rPr/>
        <w:t>and </w:t>
      </w:r>
      <w:r>
        <w:rPr>
          <w:spacing w:val="-2"/>
        </w:rPr>
        <w:t>commercialisation.</w:t>
      </w:r>
    </w:p>
    <w:p>
      <w:pPr>
        <w:pStyle w:val="BodyText"/>
        <w:spacing w:before="19"/>
      </w:pPr>
    </w:p>
    <w:p>
      <w:pPr>
        <w:pStyle w:val="BodyText"/>
        <w:spacing w:line="266" w:lineRule="auto"/>
        <w:ind w:left="1080"/>
        <w:jc w:val="both"/>
      </w:pPr>
      <w:r>
        <w:rPr/>
        <w:t>It is therefore recommended to enact legislation </w:t>
      </w:r>
      <w:r>
        <w:rPr/>
        <w:t>that creates</w:t>
      </w:r>
      <w:r>
        <w:rPr>
          <w:spacing w:val="-14"/>
        </w:rPr>
        <w:t> </w:t>
      </w:r>
      <w:r>
        <w:rPr/>
        <w:t>a</w:t>
      </w:r>
      <w:r>
        <w:rPr>
          <w:spacing w:val="-14"/>
        </w:rPr>
        <w:t> </w:t>
      </w:r>
      <w:r>
        <w:rPr/>
        <w:t>uniform</w:t>
      </w:r>
      <w:r>
        <w:rPr>
          <w:spacing w:val="-14"/>
        </w:rPr>
        <w:t> </w:t>
      </w:r>
      <w:r>
        <w:rPr/>
        <w:t>legal</w:t>
      </w:r>
      <w:r>
        <w:rPr>
          <w:spacing w:val="-13"/>
        </w:rPr>
        <w:t> </w:t>
      </w:r>
      <w:r>
        <w:rPr/>
        <w:t>framework</w:t>
      </w:r>
      <w:r>
        <w:rPr>
          <w:spacing w:val="-14"/>
        </w:rPr>
        <w:t> </w:t>
      </w:r>
      <w:r>
        <w:rPr/>
        <w:t>for</w:t>
      </w:r>
      <w:r>
        <w:rPr>
          <w:spacing w:val="-14"/>
        </w:rPr>
        <w:t> </w:t>
      </w:r>
      <w:r>
        <w:rPr/>
        <w:t>the</w:t>
      </w:r>
      <w:r>
        <w:rPr>
          <w:spacing w:val="-14"/>
        </w:rPr>
        <w:t> </w:t>
      </w:r>
      <w:r>
        <w:rPr/>
        <w:t>government funded research and gives universities and research </w:t>
      </w:r>
      <w:r>
        <w:rPr>
          <w:spacing w:val="-4"/>
        </w:rPr>
        <w:t>institutions</w:t>
      </w:r>
      <w:r>
        <w:rPr>
          <w:spacing w:val="-10"/>
        </w:rPr>
        <w:t> </w:t>
      </w:r>
      <w:r>
        <w:rPr>
          <w:spacing w:val="-4"/>
        </w:rPr>
        <w:t>ownership</w:t>
      </w:r>
      <w:r>
        <w:rPr>
          <w:spacing w:val="-10"/>
        </w:rPr>
        <w:t> </w:t>
      </w:r>
      <w:r>
        <w:rPr>
          <w:spacing w:val="-4"/>
        </w:rPr>
        <w:t>and</w:t>
      </w:r>
      <w:r>
        <w:rPr>
          <w:spacing w:val="-10"/>
        </w:rPr>
        <w:t> </w:t>
      </w:r>
      <w:r>
        <w:rPr>
          <w:spacing w:val="-4"/>
        </w:rPr>
        <w:t>patent</w:t>
      </w:r>
      <w:r>
        <w:rPr>
          <w:spacing w:val="-9"/>
        </w:rPr>
        <w:t> </w:t>
      </w:r>
      <w:r>
        <w:rPr>
          <w:spacing w:val="-4"/>
        </w:rPr>
        <w:t>rights.</w:t>
      </w:r>
      <w:r>
        <w:rPr>
          <w:spacing w:val="-10"/>
        </w:rPr>
        <w:t> </w:t>
      </w:r>
      <w:r>
        <w:rPr>
          <w:spacing w:val="-4"/>
        </w:rPr>
        <w:t>This</w:t>
      </w:r>
      <w:r>
        <w:rPr>
          <w:spacing w:val="-10"/>
        </w:rPr>
        <w:t> </w:t>
      </w:r>
      <w:r>
        <w:rPr>
          <w:spacing w:val="-4"/>
        </w:rPr>
        <w:t>will</w:t>
      </w:r>
      <w:r>
        <w:rPr>
          <w:spacing w:val="-10"/>
        </w:rPr>
        <w:t> </w:t>
      </w:r>
      <w:r>
        <w:rPr>
          <w:spacing w:val="-4"/>
        </w:rPr>
        <w:t>create </w:t>
      </w:r>
      <w:r>
        <w:rPr/>
        <w:t>an enabling environment for them to commercialise </w:t>
      </w:r>
      <w:r>
        <w:rPr>
          <w:spacing w:val="-2"/>
        </w:rPr>
        <w:t>such</w:t>
      </w:r>
      <w:r>
        <w:rPr>
          <w:spacing w:val="-10"/>
        </w:rPr>
        <w:t> </w:t>
      </w:r>
      <w:r>
        <w:rPr>
          <w:spacing w:val="-2"/>
        </w:rPr>
        <w:t>inventions</w:t>
      </w:r>
      <w:r>
        <w:rPr>
          <w:spacing w:val="-10"/>
        </w:rPr>
        <w:t> </w:t>
      </w:r>
      <w:r>
        <w:rPr>
          <w:spacing w:val="-2"/>
        </w:rPr>
        <w:t>through</w:t>
      </w:r>
      <w:r>
        <w:rPr>
          <w:spacing w:val="-10"/>
        </w:rPr>
        <w:t> </w:t>
      </w:r>
      <w:r>
        <w:rPr>
          <w:spacing w:val="-2"/>
        </w:rPr>
        <w:t>licensing</w:t>
      </w:r>
      <w:r>
        <w:rPr>
          <w:spacing w:val="-10"/>
        </w:rPr>
        <w:t> </w:t>
      </w:r>
      <w:r>
        <w:rPr>
          <w:spacing w:val="-2"/>
        </w:rPr>
        <w:t>arrangements</w:t>
      </w:r>
      <w:r>
        <w:rPr>
          <w:spacing w:val="-10"/>
        </w:rPr>
        <w:t> </w:t>
      </w:r>
      <w:r>
        <w:rPr>
          <w:spacing w:val="-2"/>
        </w:rPr>
        <w:t>where </w:t>
      </w:r>
      <w:r>
        <w:rPr/>
        <w:t>inventors</w:t>
      </w:r>
      <w:r>
        <w:rPr>
          <w:spacing w:val="-3"/>
        </w:rPr>
        <w:t> </w:t>
      </w:r>
      <w:r>
        <w:rPr/>
        <w:t>would</w:t>
      </w:r>
      <w:r>
        <w:rPr>
          <w:spacing w:val="-3"/>
        </w:rPr>
        <w:t> </w:t>
      </w:r>
      <w:r>
        <w:rPr/>
        <w:t>also</w:t>
      </w:r>
      <w:r>
        <w:rPr>
          <w:spacing w:val="-3"/>
        </w:rPr>
        <w:t> </w:t>
      </w:r>
      <w:r>
        <w:rPr/>
        <w:t>be</w:t>
      </w:r>
      <w:r>
        <w:rPr>
          <w:spacing w:val="-3"/>
        </w:rPr>
        <w:t> </w:t>
      </w:r>
      <w:r>
        <w:rPr/>
        <w:t>allowed</w:t>
      </w:r>
      <w:r>
        <w:rPr>
          <w:spacing w:val="-3"/>
        </w:rPr>
        <w:t> </w:t>
      </w:r>
      <w:r>
        <w:rPr/>
        <w:t>to</w:t>
      </w:r>
      <w:r>
        <w:rPr>
          <w:spacing w:val="-3"/>
        </w:rPr>
        <w:t> </w:t>
      </w:r>
      <w:r>
        <w:rPr/>
        <w:t>receive</w:t>
      </w:r>
      <w:r>
        <w:rPr>
          <w:spacing w:val="-3"/>
        </w:rPr>
        <w:t> </w:t>
      </w:r>
      <w:r>
        <w:rPr/>
        <w:t>a</w:t>
      </w:r>
      <w:r>
        <w:rPr>
          <w:spacing w:val="-3"/>
        </w:rPr>
        <w:t> </w:t>
      </w:r>
      <w:r>
        <w:rPr/>
        <w:t>share</w:t>
      </w:r>
      <w:r>
        <w:rPr>
          <w:spacing w:val="-3"/>
        </w:rPr>
        <w:t> </w:t>
      </w:r>
      <w:r>
        <w:rPr/>
        <w:t>of </w:t>
      </w:r>
      <w:r>
        <w:rPr>
          <w:spacing w:val="-4"/>
        </w:rPr>
        <w:t>the</w:t>
      </w:r>
      <w:r>
        <w:rPr>
          <w:spacing w:val="-7"/>
        </w:rPr>
        <w:t> </w:t>
      </w:r>
      <w:r>
        <w:rPr>
          <w:spacing w:val="-4"/>
        </w:rPr>
        <w:t>royalty.</w:t>
      </w:r>
      <w:r>
        <w:rPr>
          <w:spacing w:val="-7"/>
        </w:rPr>
        <w:t> </w:t>
      </w:r>
      <w:r>
        <w:rPr>
          <w:spacing w:val="-4"/>
        </w:rPr>
        <w:t>Conferring</w:t>
      </w:r>
      <w:r>
        <w:rPr>
          <w:spacing w:val="-7"/>
        </w:rPr>
        <w:t> </w:t>
      </w:r>
      <w:r>
        <w:rPr>
          <w:spacing w:val="-4"/>
        </w:rPr>
        <w:t>ownership</w:t>
      </w:r>
      <w:r>
        <w:rPr>
          <w:spacing w:val="-7"/>
        </w:rPr>
        <w:t> </w:t>
      </w:r>
      <w:r>
        <w:rPr>
          <w:spacing w:val="-4"/>
        </w:rPr>
        <w:t>rights</w:t>
      </w:r>
      <w:r>
        <w:rPr>
          <w:spacing w:val="-7"/>
        </w:rPr>
        <w:t> </w:t>
      </w:r>
      <w:r>
        <w:rPr>
          <w:spacing w:val="-4"/>
        </w:rPr>
        <w:t>on</w:t>
      </w:r>
      <w:r>
        <w:rPr>
          <w:spacing w:val="-7"/>
        </w:rPr>
        <w:t> </w:t>
      </w:r>
      <w:r>
        <w:rPr>
          <w:spacing w:val="-4"/>
        </w:rPr>
        <w:t>universities </w:t>
      </w:r>
      <w:r>
        <w:rPr>
          <w:spacing w:val="-2"/>
        </w:rPr>
        <w:t>and</w:t>
      </w:r>
      <w:r>
        <w:rPr>
          <w:spacing w:val="-11"/>
        </w:rPr>
        <w:t> </w:t>
      </w:r>
      <w:r>
        <w:rPr>
          <w:spacing w:val="-2"/>
        </w:rPr>
        <w:t>linking</w:t>
      </w:r>
      <w:r>
        <w:rPr>
          <w:spacing w:val="-11"/>
        </w:rPr>
        <w:t> </w:t>
      </w:r>
      <w:r>
        <w:rPr>
          <w:spacing w:val="-2"/>
        </w:rPr>
        <w:t>such</w:t>
      </w:r>
      <w:r>
        <w:rPr>
          <w:spacing w:val="-11"/>
        </w:rPr>
        <w:t> </w:t>
      </w:r>
      <w:r>
        <w:rPr>
          <w:spacing w:val="-2"/>
        </w:rPr>
        <w:t>ownership</w:t>
      </w:r>
      <w:r>
        <w:rPr>
          <w:spacing w:val="-11"/>
        </w:rPr>
        <w:t> </w:t>
      </w:r>
      <w:r>
        <w:rPr>
          <w:spacing w:val="-2"/>
        </w:rPr>
        <w:t>with</w:t>
      </w:r>
      <w:r>
        <w:rPr>
          <w:spacing w:val="-11"/>
        </w:rPr>
        <w:t> </w:t>
      </w:r>
      <w:r>
        <w:rPr>
          <w:spacing w:val="-2"/>
        </w:rPr>
        <w:t>the</w:t>
      </w:r>
      <w:r>
        <w:rPr>
          <w:spacing w:val="-11"/>
        </w:rPr>
        <w:t> </w:t>
      </w:r>
      <w:r>
        <w:rPr>
          <w:spacing w:val="-2"/>
        </w:rPr>
        <w:t>patent</w:t>
      </w:r>
      <w:r>
        <w:rPr>
          <w:spacing w:val="-11"/>
        </w:rPr>
        <w:t> </w:t>
      </w:r>
      <w:r>
        <w:rPr>
          <w:spacing w:val="-2"/>
        </w:rPr>
        <w:t>system</w:t>
      </w:r>
      <w:r>
        <w:rPr>
          <w:spacing w:val="-11"/>
        </w:rPr>
        <w:t> </w:t>
      </w:r>
      <w:r>
        <w:rPr>
          <w:spacing w:val="-2"/>
        </w:rPr>
        <w:t>and </w:t>
      </w:r>
      <w:r>
        <w:rPr/>
        <w:t>the</w:t>
      </w:r>
      <w:r>
        <w:rPr>
          <w:spacing w:val="-4"/>
        </w:rPr>
        <w:t> </w:t>
      </w:r>
      <w:r>
        <w:rPr/>
        <w:t>market,</w:t>
      </w:r>
      <w:r>
        <w:rPr>
          <w:spacing w:val="-4"/>
        </w:rPr>
        <w:t> </w:t>
      </w:r>
      <w:r>
        <w:rPr/>
        <w:t>will</w:t>
      </w:r>
      <w:r>
        <w:rPr>
          <w:spacing w:val="-4"/>
        </w:rPr>
        <w:t> </w:t>
      </w:r>
      <w:r>
        <w:rPr/>
        <w:t>make</w:t>
      </w:r>
      <w:r>
        <w:rPr>
          <w:spacing w:val="-4"/>
        </w:rPr>
        <w:t> </w:t>
      </w:r>
      <w:r>
        <w:rPr/>
        <w:t>research</w:t>
      </w:r>
      <w:r>
        <w:rPr>
          <w:spacing w:val="-4"/>
        </w:rPr>
        <w:t> </w:t>
      </w:r>
      <w:r>
        <w:rPr/>
        <w:t>more</w:t>
      </w:r>
      <w:r>
        <w:rPr>
          <w:spacing w:val="-4"/>
        </w:rPr>
        <w:t> </w:t>
      </w:r>
      <w:r>
        <w:rPr/>
        <w:t>attractive</w:t>
      </w:r>
      <w:r>
        <w:rPr>
          <w:spacing w:val="-4"/>
        </w:rPr>
        <w:t> </w:t>
      </w:r>
      <w:r>
        <w:rPr/>
        <w:t>and</w:t>
      </w:r>
      <w:r>
        <w:rPr>
          <w:spacing w:val="-4"/>
        </w:rPr>
        <w:t> </w:t>
      </w:r>
      <w:r>
        <w:rPr/>
        <w:t>in </w:t>
      </w:r>
      <w:r>
        <w:rPr>
          <w:spacing w:val="-2"/>
        </w:rPr>
        <w:t>the</w:t>
      </w:r>
      <w:r>
        <w:rPr>
          <w:spacing w:val="-12"/>
        </w:rPr>
        <w:t> </w:t>
      </w:r>
      <w:r>
        <w:rPr>
          <w:spacing w:val="-2"/>
        </w:rPr>
        <w:t>process</w:t>
      </w:r>
      <w:r>
        <w:rPr>
          <w:spacing w:val="-12"/>
        </w:rPr>
        <w:t> </w:t>
      </w:r>
      <w:r>
        <w:rPr>
          <w:spacing w:val="-2"/>
        </w:rPr>
        <w:t>bring</w:t>
      </w:r>
      <w:r>
        <w:rPr>
          <w:spacing w:val="-12"/>
        </w:rPr>
        <w:t> </w:t>
      </w:r>
      <w:r>
        <w:rPr>
          <w:spacing w:val="-2"/>
        </w:rPr>
        <w:t>about</w:t>
      </w:r>
      <w:r>
        <w:rPr>
          <w:spacing w:val="-11"/>
        </w:rPr>
        <w:t> </w:t>
      </w:r>
      <w:r>
        <w:rPr>
          <w:spacing w:val="-2"/>
        </w:rPr>
        <w:t>a</w:t>
      </w:r>
      <w:r>
        <w:rPr>
          <w:spacing w:val="-12"/>
        </w:rPr>
        <w:t> </w:t>
      </w:r>
      <w:r>
        <w:rPr>
          <w:spacing w:val="-2"/>
        </w:rPr>
        <w:t>radical</w:t>
      </w:r>
      <w:r>
        <w:rPr>
          <w:spacing w:val="-12"/>
        </w:rPr>
        <w:t> </w:t>
      </w:r>
      <w:r>
        <w:rPr>
          <w:spacing w:val="-2"/>
        </w:rPr>
        <w:t>change</w:t>
      </w:r>
      <w:r>
        <w:rPr>
          <w:spacing w:val="-12"/>
        </w:rPr>
        <w:t> </w:t>
      </w:r>
      <w:r>
        <w:rPr>
          <w:spacing w:val="-2"/>
        </w:rPr>
        <w:t>in</w:t>
      </w:r>
      <w:r>
        <w:rPr>
          <w:spacing w:val="-11"/>
        </w:rPr>
        <w:t> </w:t>
      </w:r>
      <w:r>
        <w:rPr>
          <w:spacing w:val="-2"/>
        </w:rPr>
        <w:t>the</w:t>
      </w:r>
      <w:r>
        <w:rPr>
          <w:spacing w:val="-12"/>
        </w:rPr>
        <w:t> </w:t>
      </w:r>
      <w:r>
        <w:rPr>
          <w:spacing w:val="-2"/>
        </w:rPr>
        <w:t>research </w:t>
      </w:r>
      <w:r>
        <w:rPr/>
        <w:t>landscape in India. The proposed enactment could also</w:t>
      </w:r>
      <w:r>
        <w:rPr>
          <w:spacing w:val="-9"/>
        </w:rPr>
        <w:t> </w:t>
      </w:r>
      <w:r>
        <w:rPr/>
        <w:t>incorporate</w:t>
      </w:r>
      <w:r>
        <w:rPr>
          <w:spacing w:val="-9"/>
        </w:rPr>
        <w:t> </w:t>
      </w:r>
      <w:r>
        <w:rPr/>
        <w:t>important</w:t>
      </w:r>
      <w:r>
        <w:rPr>
          <w:spacing w:val="-9"/>
        </w:rPr>
        <w:t> </w:t>
      </w:r>
      <w:r>
        <w:rPr/>
        <w:t>safeguards</w:t>
      </w:r>
      <w:r>
        <w:rPr>
          <w:spacing w:val="-9"/>
        </w:rPr>
        <w:t> </w:t>
      </w:r>
      <w:r>
        <w:rPr/>
        <w:t>for</w:t>
      </w:r>
      <w:r>
        <w:rPr>
          <w:spacing w:val="-9"/>
        </w:rPr>
        <w:t> </w:t>
      </w:r>
      <w:r>
        <w:rPr/>
        <w:t>exceptional circumstances where the government could be given ‘march in rights’ to protect the public good.</w:t>
      </w:r>
    </w:p>
    <w:p>
      <w:pPr>
        <w:pStyle w:val="BodyText"/>
        <w:spacing w:before="15"/>
      </w:pPr>
    </w:p>
    <w:p>
      <w:pPr>
        <w:pStyle w:val="BodyText"/>
        <w:spacing w:line="266" w:lineRule="auto"/>
        <w:ind w:left="1080"/>
        <w:jc w:val="both"/>
      </w:pPr>
      <w:r>
        <w:rPr/>
        <w:t>Uniformity of policy for inventions generated out </w:t>
      </w:r>
      <w:r>
        <w:rPr/>
        <w:t>of </w:t>
      </w:r>
      <w:r>
        <w:rPr>
          <w:spacing w:val="-2"/>
        </w:rPr>
        <w:t>government-funded</w:t>
      </w:r>
      <w:r>
        <w:rPr>
          <w:spacing w:val="-12"/>
        </w:rPr>
        <w:t> </w:t>
      </w:r>
      <w:r>
        <w:rPr>
          <w:spacing w:val="-2"/>
        </w:rPr>
        <w:t>research</w:t>
      </w:r>
      <w:r>
        <w:rPr>
          <w:spacing w:val="-12"/>
        </w:rPr>
        <w:t> </w:t>
      </w:r>
      <w:r>
        <w:rPr>
          <w:spacing w:val="-2"/>
        </w:rPr>
        <w:t>will</w:t>
      </w:r>
      <w:r>
        <w:rPr>
          <w:spacing w:val="-12"/>
        </w:rPr>
        <w:t> </w:t>
      </w:r>
      <w:r>
        <w:rPr>
          <w:spacing w:val="-2"/>
        </w:rPr>
        <w:t>provide</w:t>
      </w:r>
      <w:r>
        <w:rPr>
          <w:spacing w:val="-11"/>
        </w:rPr>
        <w:t> </w:t>
      </w:r>
      <w:r>
        <w:rPr>
          <w:spacing w:val="-2"/>
        </w:rPr>
        <w:t>incentives</w:t>
      </w:r>
      <w:r>
        <w:rPr>
          <w:spacing w:val="-12"/>
        </w:rPr>
        <w:t> </w:t>
      </w:r>
      <w:r>
        <w:rPr>
          <w:spacing w:val="-2"/>
        </w:rPr>
        <w:t>to </w:t>
      </w:r>
      <w:r>
        <w:rPr/>
        <w:t>various</w:t>
      </w:r>
      <w:r>
        <w:rPr>
          <w:spacing w:val="-13"/>
        </w:rPr>
        <w:t> </w:t>
      </w:r>
      <w:r>
        <w:rPr/>
        <w:t>stakeholders</w:t>
      </w:r>
      <w:r>
        <w:rPr>
          <w:spacing w:val="-13"/>
        </w:rPr>
        <w:t> </w:t>
      </w:r>
      <w:r>
        <w:rPr/>
        <w:t>as</w:t>
      </w:r>
      <w:r>
        <w:rPr>
          <w:spacing w:val="-13"/>
        </w:rPr>
        <w:t> </w:t>
      </w:r>
      <w:r>
        <w:rPr/>
        <w:t>follows:</w:t>
      </w:r>
    </w:p>
    <w:p>
      <w:pPr>
        <w:pStyle w:val="ListParagraph"/>
        <w:numPr>
          <w:ilvl w:val="0"/>
          <w:numId w:val="57"/>
        </w:numPr>
        <w:tabs>
          <w:tab w:pos="1440" w:val="left" w:leader="none"/>
        </w:tabs>
        <w:spacing w:line="266" w:lineRule="auto" w:before="0" w:after="0"/>
        <w:ind w:left="1440" w:right="0" w:hanging="360"/>
        <w:jc w:val="both"/>
        <w:rPr>
          <w:sz w:val="22"/>
        </w:rPr>
      </w:pPr>
      <w:r>
        <w:rPr>
          <w:b/>
          <w:spacing w:val="-8"/>
          <w:sz w:val="22"/>
        </w:rPr>
        <w:t>Government:</w:t>
      </w:r>
      <w:r>
        <w:rPr>
          <w:b/>
          <w:spacing w:val="-6"/>
          <w:sz w:val="22"/>
        </w:rPr>
        <w:t> </w:t>
      </w:r>
      <w:r>
        <w:rPr>
          <w:spacing w:val="-8"/>
          <w:sz w:val="22"/>
        </w:rPr>
        <w:t>The</w:t>
      </w:r>
      <w:r>
        <w:rPr>
          <w:spacing w:val="-6"/>
          <w:sz w:val="22"/>
        </w:rPr>
        <w:t> </w:t>
      </w:r>
      <w:r>
        <w:rPr>
          <w:spacing w:val="-8"/>
          <w:sz w:val="22"/>
        </w:rPr>
        <w:t>government</w:t>
      </w:r>
      <w:r>
        <w:rPr>
          <w:spacing w:val="-5"/>
          <w:sz w:val="22"/>
        </w:rPr>
        <w:t> </w:t>
      </w:r>
      <w:r>
        <w:rPr>
          <w:spacing w:val="-8"/>
          <w:sz w:val="22"/>
        </w:rPr>
        <w:t>could</w:t>
      </w:r>
      <w:r>
        <w:rPr>
          <w:sz w:val="22"/>
        </w:rPr>
        <w:t> </w:t>
      </w:r>
      <w:r>
        <w:rPr>
          <w:spacing w:val="-8"/>
          <w:sz w:val="22"/>
        </w:rPr>
        <w:t>retain</w:t>
      </w:r>
      <w:r>
        <w:rPr>
          <w:spacing w:val="-1"/>
          <w:sz w:val="22"/>
        </w:rPr>
        <w:t> </w:t>
      </w:r>
      <w:r>
        <w:rPr>
          <w:spacing w:val="-8"/>
          <w:sz w:val="22"/>
        </w:rPr>
        <w:t>the</w:t>
      </w:r>
      <w:r>
        <w:rPr>
          <w:spacing w:val="-1"/>
          <w:sz w:val="22"/>
        </w:rPr>
        <w:t> </w:t>
      </w:r>
      <w:r>
        <w:rPr>
          <w:spacing w:val="-8"/>
          <w:sz w:val="22"/>
        </w:rPr>
        <w:t>right </w:t>
      </w:r>
      <w:r>
        <w:rPr>
          <w:sz w:val="22"/>
        </w:rPr>
        <w:t>to a non-exclusive, non-transferable, irrevocable </w:t>
      </w:r>
      <w:r>
        <w:rPr>
          <w:spacing w:val="-4"/>
          <w:sz w:val="22"/>
        </w:rPr>
        <w:t>paid</w:t>
      </w:r>
      <w:r>
        <w:rPr>
          <w:spacing w:val="-8"/>
          <w:sz w:val="22"/>
        </w:rPr>
        <w:t> </w:t>
      </w:r>
      <w:r>
        <w:rPr>
          <w:spacing w:val="-4"/>
          <w:sz w:val="22"/>
        </w:rPr>
        <w:t>up</w:t>
      </w:r>
      <w:r>
        <w:rPr>
          <w:spacing w:val="-8"/>
          <w:sz w:val="22"/>
        </w:rPr>
        <w:t> </w:t>
      </w:r>
      <w:r>
        <w:rPr>
          <w:spacing w:val="-4"/>
          <w:sz w:val="22"/>
        </w:rPr>
        <w:t>license</w:t>
      </w:r>
      <w:r>
        <w:rPr>
          <w:spacing w:val="-8"/>
          <w:sz w:val="22"/>
        </w:rPr>
        <w:t> </w:t>
      </w:r>
      <w:r>
        <w:rPr>
          <w:spacing w:val="-4"/>
          <w:sz w:val="22"/>
        </w:rPr>
        <w:t>to</w:t>
      </w:r>
      <w:r>
        <w:rPr>
          <w:spacing w:val="-8"/>
          <w:sz w:val="22"/>
        </w:rPr>
        <w:t> </w:t>
      </w:r>
      <w:r>
        <w:rPr>
          <w:spacing w:val="-4"/>
          <w:sz w:val="22"/>
        </w:rPr>
        <w:t>practice</w:t>
      </w:r>
      <w:r>
        <w:rPr>
          <w:spacing w:val="-8"/>
          <w:sz w:val="22"/>
        </w:rPr>
        <w:t> </w:t>
      </w:r>
      <w:r>
        <w:rPr>
          <w:spacing w:val="-4"/>
          <w:sz w:val="22"/>
        </w:rPr>
        <w:t>the</w:t>
      </w:r>
      <w:r>
        <w:rPr>
          <w:spacing w:val="-8"/>
          <w:sz w:val="22"/>
        </w:rPr>
        <w:t> </w:t>
      </w:r>
      <w:r>
        <w:rPr>
          <w:spacing w:val="-4"/>
          <w:sz w:val="22"/>
        </w:rPr>
        <w:t>invention</w:t>
      </w:r>
      <w:r>
        <w:rPr>
          <w:spacing w:val="-8"/>
          <w:sz w:val="22"/>
        </w:rPr>
        <w:t> </w:t>
      </w:r>
      <w:r>
        <w:rPr>
          <w:spacing w:val="-4"/>
          <w:sz w:val="22"/>
        </w:rPr>
        <w:t>throughout </w:t>
      </w:r>
      <w:r>
        <w:rPr>
          <w:spacing w:val="-2"/>
          <w:sz w:val="22"/>
        </w:rPr>
        <w:t>the</w:t>
      </w:r>
      <w:r>
        <w:rPr>
          <w:spacing w:val="-10"/>
          <w:sz w:val="22"/>
        </w:rPr>
        <w:t> </w:t>
      </w:r>
      <w:r>
        <w:rPr>
          <w:spacing w:val="-2"/>
          <w:sz w:val="22"/>
        </w:rPr>
        <w:t>world.</w:t>
      </w:r>
      <w:r>
        <w:rPr>
          <w:spacing w:val="-10"/>
          <w:sz w:val="22"/>
        </w:rPr>
        <w:t> </w:t>
      </w:r>
      <w:r>
        <w:rPr>
          <w:spacing w:val="-2"/>
          <w:sz w:val="22"/>
        </w:rPr>
        <w:t>It</w:t>
      </w:r>
      <w:r>
        <w:rPr>
          <w:spacing w:val="-10"/>
          <w:sz w:val="22"/>
        </w:rPr>
        <w:t> </w:t>
      </w:r>
      <w:r>
        <w:rPr>
          <w:spacing w:val="-2"/>
          <w:sz w:val="22"/>
        </w:rPr>
        <w:t>could</w:t>
      </w:r>
      <w:r>
        <w:rPr>
          <w:spacing w:val="-10"/>
          <w:sz w:val="22"/>
        </w:rPr>
        <w:t> </w:t>
      </w:r>
      <w:r>
        <w:rPr>
          <w:spacing w:val="-2"/>
          <w:sz w:val="22"/>
        </w:rPr>
        <w:t>also</w:t>
      </w:r>
      <w:r>
        <w:rPr>
          <w:spacing w:val="-10"/>
          <w:sz w:val="22"/>
        </w:rPr>
        <w:t> </w:t>
      </w:r>
      <w:r>
        <w:rPr>
          <w:spacing w:val="-2"/>
          <w:sz w:val="22"/>
        </w:rPr>
        <w:t>have</w:t>
      </w:r>
      <w:r>
        <w:rPr>
          <w:spacing w:val="-10"/>
          <w:sz w:val="22"/>
        </w:rPr>
        <w:t> </w:t>
      </w:r>
      <w:r>
        <w:rPr>
          <w:spacing w:val="-2"/>
          <w:sz w:val="22"/>
        </w:rPr>
        <w:t>the</w:t>
      </w:r>
      <w:r>
        <w:rPr>
          <w:spacing w:val="-10"/>
          <w:sz w:val="22"/>
        </w:rPr>
        <w:t> </w:t>
      </w:r>
      <w:r>
        <w:rPr>
          <w:spacing w:val="-2"/>
          <w:sz w:val="22"/>
        </w:rPr>
        <w:t>responsibility</w:t>
      </w:r>
      <w:r>
        <w:rPr>
          <w:spacing w:val="-10"/>
          <w:sz w:val="22"/>
        </w:rPr>
        <w:t> </w:t>
      </w:r>
      <w:r>
        <w:rPr>
          <w:spacing w:val="-2"/>
          <w:sz w:val="22"/>
        </w:rPr>
        <w:t>and power</w:t>
      </w:r>
      <w:r>
        <w:rPr>
          <w:spacing w:val="-8"/>
          <w:sz w:val="22"/>
        </w:rPr>
        <w:t> </w:t>
      </w:r>
      <w:r>
        <w:rPr>
          <w:spacing w:val="-2"/>
          <w:sz w:val="22"/>
        </w:rPr>
        <w:t>to</w:t>
      </w:r>
      <w:r>
        <w:rPr>
          <w:spacing w:val="-8"/>
          <w:sz w:val="22"/>
        </w:rPr>
        <w:t> </w:t>
      </w:r>
      <w:r>
        <w:rPr>
          <w:spacing w:val="-2"/>
          <w:sz w:val="22"/>
        </w:rPr>
        <w:t>monitor</w:t>
      </w:r>
      <w:r>
        <w:rPr>
          <w:spacing w:val="-8"/>
          <w:sz w:val="22"/>
        </w:rPr>
        <w:t> </w:t>
      </w:r>
      <w:r>
        <w:rPr>
          <w:spacing w:val="-2"/>
          <w:sz w:val="22"/>
        </w:rPr>
        <w:t>the</w:t>
      </w:r>
      <w:r>
        <w:rPr>
          <w:spacing w:val="-8"/>
          <w:sz w:val="22"/>
        </w:rPr>
        <w:t> </w:t>
      </w:r>
      <w:r>
        <w:rPr>
          <w:spacing w:val="-2"/>
          <w:sz w:val="22"/>
        </w:rPr>
        <w:t>implementation</w:t>
      </w:r>
      <w:r>
        <w:rPr>
          <w:spacing w:val="-8"/>
          <w:sz w:val="22"/>
        </w:rPr>
        <w:t> </w:t>
      </w:r>
      <w:r>
        <w:rPr>
          <w:spacing w:val="-2"/>
          <w:sz w:val="22"/>
        </w:rPr>
        <w:t>of</w:t>
      </w:r>
      <w:r>
        <w:rPr>
          <w:spacing w:val="-8"/>
          <w:sz w:val="22"/>
        </w:rPr>
        <w:t> </w:t>
      </w:r>
      <w:r>
        <w:rPr>
          <w:spacing w:val="-2"/>
          <w:sz w:val="22"/>
        </w:rPr>
        <w:t>the</w:t>
      </w:r>
      <w:r>
        <w:rPr>
          <w:spacing w:val="-8"/>
          <w:sz w:val="22"/>
        </w:rPr>
        <w:t> </w:t>
      </w:r>
      <w:r>
        <w:rPr>
          <w:spacing w:val="-2"/>
          <w:sz w:val="22"/>
        </w:rPr>
        <w:t>act</w:t>
      </w:r>
      <w:r>
        <w:rPr>
          <w:spacing w:val="-8"/>
          <w:sz w:val="22"/>
        </w:rPr>
        <w:t> </w:t>
      </w:r>
      <w:r>
        <w:rPr>
          <w:spacing w:val="-2"/>
          <w:sz w:val="22"/>
        </w:rPr>
        <w:t>by </w:t>
      </w:r>
      <w:r>
        <w:rPr>
          <w:spacing w:val="-4"/>
          <w:sz w:val="22"/>
        </w:rPr>
        <w:t>a</w:t>
      </w:r>
      <w:r>
        <w:rPr>
          <w:spacing w:val="-9"/>
          <w:sz w:val="22"/>
        </w:rPr>
        <w:t> </w:t>
      </w:r>
      <w:r>
        <w:rPr>
          <w:spacing w:val="-4"/>
          <w:sz w:val="22"/>
        </w:rPr>
        <w:t>provision</w:t>
      </w:r>
      <w:r>
        <w:rPr>
          <w:spacing w:val="-9"/>
          <w:sz w:val="22"/>
        </w:rPr>
        <w:t> </w:t>
      </w:r>
      <w:r>
        <w:rPr>
          <w:spacing w:val="-4"/>
          <w:sz w:val="22"/>
        </w:rPr>
        <w:t>that</w:t>
      </w:r>
      <w:r>
        <w:rPr>
          <w:spacing w:val="-9"/>
          <w:sz w:val="22"/>
        </w:rPr>
        <w:t> </w:t>
      </w:r>
      <w:r>
        <w:rPr>
          <w:spacing w:val="-4"/>
          <w:sz w:val="22"/>
        </w:rPr>
        <w:t>requires</w:t>
      </w:r>
      <w:r>
        <w:rPr>
          <w:spacing w:val="-9"/>
          <w:sz w:val="22"/>
        </w:rPr>
        <w:t> </w:t>
      </w:r>
      <w:r>
        <w:rPr>
          <w:spacing w:val="-4"/>
          <w:sz w:val="22"/>
        </w:rPr>
        <w:t>concerned</w:t>
      </w:r>
      <w:r>
        <w:rPr>
          <w:spacing w:val="-9"/>
          <w:sz w:val="22"/>
        </w:rPr>
        <w:t> </w:t>
      </w:r>
      <w:r>
        <w:rPr>
          <w:spacing w:val="-4"/>
          <w:sz w:val="22"/>
        </w:rPr>
        <w:t>parties</w:t>
      </w:r>
      <w:r>
        <w:rPr>
          <w:spacing w:val="-9"/>
          <w:sz w:val="22"/>
        </w:rPr>
        <w:t> </w:t>
      </w:r>
      <w:r>
        <w:rPr>
          <w:spacing w:val="-4"/>
          <w:sz w:val="22"/>
        </w:rPr>
        <w:t>to</w:t>
      </w:r>
      <w:r>
        <w:rPr>
          <w:spacing w:val="-9"/>
          <w:sz w:val="22"/>
        </w:rPr>
        <w:t> </w:t>
      </w:r>
      <w:r>
        <w:rPr>
          <w:spacing w:val="-4"/>
          <w:sz w:val="22"/>
        </w:rPr>
        <w:t>report </w:t>
      </w:r>
      <w:r>
        <w:rPr>
          <w:sz w:val="22"/>
        </w:rPr>
        <w:t>to the government on an annual basis on matters </w:t>
      </w:r>
      <w:r>
        <w:rPr>
          <w:spacing w:val="-2"/>
          <w:sz w:val="22"/>
        </w:rPr>
        <w:t>pertaining</w:t>
      </w:r>
      <w:r>
        <w:rPr>
          <w:spacing w:val="-6"/>
          <w:sz w:val="22"/>
        </w:rPr>
        <w:t> </w:t>
      </w:r>
      <w:r>
        <w:rPr>
          <w:spacing w:val="-2"/>
          <w:sz w:val="22"/>
        </w:rPr>
        <w:t>to</w:t>
      </w:r>
      <w:r>
        <w:rPr>
          <w:spacing w:val="-6"/>
          <w:sz w:val="22"/>
        </w:rPr>
        <w:t> </w:t>
      </w:r>
      <w:r>
        <w:rPr>
          <w:spacing w:val="-2"/>
          <w:sz w:val="22"/>
        </w:rPr>
        <w:t>utilisation</w:t>
      </w:r>
      <w:r>
        <w:rPr>
          <w:spacing w:val="-6"/>
          <w:sz w:val="22"/>
        </w:rPr>
        <w:t> </w:t>
      </w:r>
      <w:r>
        <w:rPr>
          <w:spacing w:val="-2"/>
          <w:sz w:val="22"/>
        </w:rPr>
        <w:t>of</w:t>
      </w:r>
      <w:r>
        <w:rPr>
          <w:spacing w:val="-6"/>
          <w:sz w:val="22"/>
        </w:rPr>
        <w:t> </w:t>
      </w:r>
      <w:r>
        <w:rPr>
          <w:spacing w:val="-2"/>
          <w:sz w:val="22"/>
        </w:rPr>
        <w:t>the</w:t>
      </w:r>
      <w:r>
        <w:rPr>
          <w:spacing w:val="-6"/>
          <w:sz w:val="22"/>
        </w:rPr>
        <w:t> </w:t>
      </w:r>
      <w:r>
        <w:rPr>
          <w:spacing w:val="-2"/>
          <w:sz w:val="22"/>
        </w:rPr>
        <w:t>invention.</w:t>
      </w:r>
      <w:r>
        <w:rPr>
          <w:spacing w:val="-6"/>
          <w:sz w:val="22"/>
        </w:rPr>
        <w:t> </w:t>
      </w:r>
      <w:r>
        <w:rPr>
          <w:spacing w:val="-2"/>
          <w:sz w:val="22"/>
        </w:rPr>
        <w:t>Since</w:t>
      </w:r>
      <w:r>
        <w:rPr>
          <w:spacing w:val="-6"/>
          <w:sz w:val="22"/>
        </w:rPr>
        <w:t> </w:t>
      </w:r>
      <w:r>
        <w:rPr>
          <w:spacing w:val="-2"/>
          <w:sz w:val="22"/>
        </w:rPr>
        <w:t>the </w:t>
      </w:r>
      <w:r>
        <w:rPr>
          <w:sz w:val="22"/>
        </w:rPr>
        <w:t>patent applications would be filed and owned by </w:t>
      </w:r>
      <w:r>
        <w:rPr>
          <w:spacing w:val="-2"/>
          <w:sz w:val="22"/>
        </w:rPr>
        <w:t>the</w:t>
      </w:r>
      <w:r>
        <w:rPr>
          <w:spacing w:val="-6"/>
          <w:sz w:val="22"/>
        </w:rPr>
        <w:t> </w:t>
      </w:r>
      <w:r>
        <w:rPr>
          <w:spacing w:val="-2"/>
          <w:sz w:val="22"/>
        </w:rPr>
        <w:t>relevant</w:t>
      </w:r>
      <w:r>
        <w:rPr>
          <w:spacing w:val="-6"/>
          <w:sz w:val="22"/>
        </w:rPr>
        <w:t> </w:t>
      </w:r>
      <w:r>
        <w:rPr>
          <w:spacing w:val="-2"/>
          <w:sz w:val="22"/>
        </w:rPr>
        <w:t>institutions,</w:t>
      </w:r>
      <w:r>
        <w:rPr>
          <w:spacing w:val="-6"/>
          <w:sz w:val="22"/>
        </w:rPr>
        <w:t> </w:t>
      </w:r>
      <w:r>
        <w:rPr>
          <w:spacing w:val="-2"/>
          <w:sz w:val="22"/>
        </w:rPr>
        <w:t>the</w:t>
      </w:r>
      <w:r>
        <w:rPr>
          <w:spacing w:val="-6"/>
          <w:sz w:val="22"/>
        </w:rPr>
        <w:t> </w:t>
      </w:r>
      <w:r>
        <w:rPr>
          <w:spacing w:val="-2"/>
          <w:sz w:val="22"/>
        </w:rPr>
        <w:t>government</w:t>
      </w:r>
      <w:r>
        <w:rPr>
          <w:spacing w:val="-6"/>
          <w:sz w:val="22"/>
        </w:rPr>
        <w:t> </w:t>
      </w:r>
      <w:r>
        <w:rPr>
          <w:spacing w:val="-2"/>
          <w:sz w:val="22"/>
        </w:rPr>
        <w:t>would</w:t>
      </w:r>
      <w:r>
        <w:rPr>
          <w:spacing w:val="-6"/>
          <w:sz w:val="22"/>
        </w:rPr>
        <w:t> </w:t>
      </w:r>
      <w:r>
        <w:rPr>
          <w:spacing w:val="-2"/>
          <w:sz w:val="22"/>
        </w:rPr>
        <w:t>be </w:t>
      </w:r>
      <w:r>
        <w:rPr>
          <w:spacing w:val="-4"/>
          <w:sz w:val="22"/>
        </w:rPr>
        <w:t>spared</w:t>
      </w:r>
      <w:r>
        <w:rPr>
          <w:spacing w:val="-8"/>
          <w:sz w:val="22"/>
        </w:rPr>
        <w:t> </w:t>
      </w:r>
      <w:r>
        <w:rPr>
          <w:spacing w:val="-4"/>
          <w:sz w:val="22"/>
        </w:rPr>
        <w:t>from</w:t>
      </w:r>
      <w:r>
        <w:rPr>
          <w:spacing w:val="-8"/>
          <w:sz w:val="22"/>
        </w:rPr>
        <w:t> </w:t>
      </w:r>
      <w:r>
        <w:rPr>
          <w:spacing w:val="-4"/>
          <w:sz w:val="22"/>
        </w:rPr>
        <w:t>bearing</w:t>
      </w:r>
      <w:r>
        <w:rPr>
          <w:spacing w:val="-8"/>
          <w:sz w:val="22"/>
        </w:rPr>
        <w:t> </w:t>
      </w:r>
      <w:r>
        <w:rPr>
          <w:spacing w:val="-4"/>
          <w:sz w:val="22"/>
        </w:rPr>
        <w:t>the</w:t>
      </w:r>
      <w:r>
        <w:rPr>
          <w:spacing w:val="-8"/>
          <w:sz w:val="22"/>
        </w:rPr>
        <w:t> </w:t>
      </w:r>
      <w:r>
        <w:rPr>
          <w:spacing w:val="-4"/>
          <w:sz w:val="22"/>
        </w:rPr>
        <w:t>costs</w:t>
      </w:r>
      <w:r>
        <w:rPr>
          <w:spacing w:val="-8"/>
          <w:sz w:val="22"/>
        </w:rPr>
        <w:t> </w:t>
      </w:r>
      <w:r>
        <w:rPr>
          <w:spacing w:val="-4"/>
          <w:sz w:val="22"/>
        </w:rPr>
        <w:t>of</w:t>
      </w:r>
      <w:r>
        <w:rPr>
          <w:spacing w:val="-8"/>
          <w:sz w:val="22"/>
        </w:rPr>
        <w:t> </w:t>
      </w:r>
      <w:r>
        <w:rPr>
          <w:spacing w:val="-4"/>
          <w:sz w:val="22"/>
        </w:rPr>
        <w:t>filing</w:t>
      </w:r>
      <w:r>
        <w:rPr>
          <w:spacing w:val="-8"/>
          <w:sz w:val="22"/>
        </w:rPr>
        <w:t> </w:t>
      </w:r>
      <w:r>
        <w:rPr>
          <w:spacing w:val="-4"/>
          <w:sz w:val="22"/>
        </w:rPr>
        <w:t>applications. </w:t>
      </w:r>
      <w:r>
        <w:rPr>
          <w:sz w:val="22"/>
        </w:rPr>
        <w:t>The government could also be given the right to own</w:t>
      </w:r>
      <w:r>
        <w:rPr>
          <w:spacing w:val="34"/>
          <w:sz w:val="22"/>
        </w:rPr>
        <w:t> </w:t>
      </w:r>
      <w:r>
        <w:rPr>
          <w:sz w:val="22"/>
        </w:rPr>
        <w:t>the</w:t>
      </w:r>
      <w:r>
        <w:rPr>
          <w:spacing w:val="35"/>
          <w:sz w:val="22"/>
        </w:rPr>
        <w:t> </w:t>
      </w:r>
      <w:r>
        <w:rPr>
          <w:sz w:val="22"/>
        </w:rPr>
        <w:t>invention</w:t>
      </w:r>
      <w:r>
        <w:rPr>
          <w:spacing w:val="35"/>
          <w:sz w:val="22"/>
        </w:rPr>
        <w:t> </w:t>
      </w:r>
      <w:r>
        <w:rPr>
          <w:sz w:val="22"/>
        </w:rPr>
        <w:t>where</w:t>
      </w:r>
      <w:r>
        <w:rPr>
          <w:spacing w:val="34"/>
          <w:sz w:val="22"/>
        </w:rPr>
        <w:t> </w:t>
      </w:r>
      <w:r>
        <w:rPr>
          <w:sz w:val="22"/>
        </w:rPr>
        <w:t>the</w:t>
      </w:r>
      <w:r>
        <w:rPr>
          <w:spacing w:val="35"/>
          <w:sz w:val="22"/>
        </w:rPr>
        <w:t> </w:t>
      </w:r>
      <w:r>
        <w:rPr>
          <w:sz w:val="22"/>
        </w:rPr>
        <w:t>party</w:t>
      </w:r>
      <w:r>
        <w:rPr>
          <w:spacing w:val="35"/>
          <w:sz w:val="22"/>
        </w:rPr>
        <w:t> </w:t>
      </w:r>
      <w:r>
        <w:rPr>
          <w:sz w:val="22"/>
        </w:rPr>
        <w:t>decides</w:t>
      </w:r>
      <w:r>
        <w:rPr>
          <w:spacing w:val="35"/>
          <w:sz w:val="22"/>
        </w:rPr>
        <w:t> </w:t>
      </w:r>
      <w:r>
        <w:rPr>
          <w:spacing w:val="-5"/>
          <w:sz w:val="22"/>
        </w:rPr>
        <w:t>not</w:t>
      </w:r>
    </w:p>
    <w:p>
      <w:pPr>
        <w:pStyle w:val="BodyText"/>
        <w:spacing w:line="266" w:lineRule="auto" w:before="82"/>
        <w:ind w:left="679" w:right="1077"/>
        <w:jc w:val="both"/>
      </w:pPr>
      <w:r>
        <w:rPr/>
        <w:br w:type="column"/>
      </w:r>
      <w:r>
        <w:rPr/>
        <w:t>to retain title or fails to file the requisite </w:t>
      </w:r>
      <w:r>
        <w:rPr/>
        <w:t>patent application.</w:t>
      </w:r>
      <w:r>
        <w:rPr>
          <w:spacing w:val="-13"/>
        </w:rPr>
        <w:t> </w:t>
      </w:r>
      <w:r>
        <w:rPr/>
        <w:t>Finally,</w:t>
      </w:r>
      <w:r>
        <w:rPr>
          <w:spacing w:val="-13"/>
        </w:rPr>
        <w:t> </w:t>
      </w:r>
      <w:r>
        <w:rPr/>
        <w:t>‘march</w:t>
      </w:r>
      <w:r>
        <w:rPr>
          <w:spacing w:val="-13"/>
        </w:rPr>
        <w:t> </w:t>
      </w:r>
      <w:r>
        <w:rPr/>
        <w:t>in</w:t>
      </w:r>
      <w:r>
        <w:rPr>
          <w:spacing w:val="-13"/>
        </w:rPr>
        <w:t> </w:t>
      </w:r>
      <w:r>
        <w:rPr/>
        <w:t>rights’</w:t>
      </w:r>
      <w:r>
        <w:rPr>
          <w:spacing w:val="-13"/>
        </w:rPr>
        <w:t> </w:t>
      </w:r>
      <w:r>
        <w:rPr/>
        <w:t>accorded</w:t>
      </w:r>
      <w:r>
        <w:rPr>
          <w:spacing w:val="-13"/>
        </w:rPr>
        <w:t> </w:t>
      </w:r>
      <w:r>
        <w:rPr/>
        <w:t>to the</w:t>
      </w:r>
      <w:r>
        <w:rPr>
          <w:spacing w:val="-13"/>
        </w:rPr>
        <w:t> </w:t>
      </w:r>
      <w:r>
        <w:rPr/>
        <w:t>government</w:t>
      </w:r>
      <w:r>
        <w:rPr>
          <w:spacing w:val="-13"/>
        </w:rPr>
        <w:t> </w:t>
      </w:r>
      <w:r>
        <w:rPr/>
        <w:t>in</w:t>
      </w:r>
      <w:r>
        <w:rPr>
          <w:spacing w:val="-13"/>
        </w:rPr>
        <w:t> </w:t>
      </w:r>
      <w:r>
        <w:rPr/>
        <w:t>certain</w:t>
      </w:r>
      <w:r>
        <w:rPr>
          <w:spacing w:val="-13"/>
        </w:rPr>
        <w:t> </w:t>
      </w:r>
      <w:r>
        <w:rPr/>
        <w:t>situations</w:t>
      </w:r>
      <w:r>
        <w:rPr>
          <w:spacing w:val="-13"/>
        </w:rPr>
        <w:t> </w:t>
      </w:r>
      <w:r>
        <w:rPr/>
        <w:t>involving</w:t>
      </w:r>
      <w:r>
        <w:rPr>
          <w:spacing w:val="-13"/>
        </w:rPr>
        <w:t> </w:t>
      </w:r>
      <w:r>
        <w:rPr/>
        <w:t>the </w:t>
      </w:r>
      <w:r>
        <w:rPr>
          <w:spacing w:val="-4"/>
        </w:rPr>
        <w:t>public</w:t>
      </w:r>
      <w:r>
        <w:rPr>
          <w:spacing w:val="-10"/>
        </w:rPr>
        <w:t> </w:t>
      </w:r>
      <w:r>
        <w:rPr>
          <w:spacing w:val="-4"/>
        </w:rPr>
        <w:t>good</w:t>
      </w:r>
      <w:r>
        <w:rPr>
          <w:spacing w:val="-10"/>
        </w:rPr>
        <w:t> </w:t>
      </w:r>
      <w:r>
        <w:rPr>
          <w:spacing w:val="-4"/>
        </w:rPr>
        <w:t>as</w:t>
      </w:r>
      <w:r>
        <w:rPr>
          <w:spacing w:val="-10"/>
        </w:rPr>
        <w:t> </w:t>
      </w:r>
      <w:r>
        <w:rPr>
          <w:spacing w:val="-4"/>
        </w:rPr>
        <w:t>well</w:t>
      </w:r>
      <w:r>
        <w:rPr>
          <w:spacing w:val="-9"/>
        </w:rPr>
        <w:t> </w:t>
      </w:r>
      <w:r>
        <w:rPr>
          <w:spacing w:val="-4"/>
        </w:rPr>
        <w:t>as</w:t>
      </w:r>
      <w:r>
        <w:rPr>
          <w:spacing w:val="-10"/>
        </w:rPr>
        <w:t> </w:t>
      </w:r>
      <w:r>
        <w:rPr>
          <w:spacing w:val="-4"/>
        </w:rPr>
        <w:t>exceptions</w:t>
      </w:r>
      <w:r>
        <w:rPr>
          <w:spacing w:val="-10"/>
        </w:rPr>
        <w:t> </w:t>
      </w:r>
      <w:r>
        <w:rPr>
          <w:spacing w:val="-4"/>
        </w:rPr>
        <w:t>for</w:t>
      </w:r>
      <w:r>
        <w:rPr>
          <w:spacing w:val="-10"/>
        </w:rPr>
        <w:t> </w:t>
      </w:r>
      <w:r>
        <w:rPr>
          <w:spacing w:val="-4"/>
        </w:rPr>
        <w:t>circumstances </w:t>
      </w:r>
      <w:r>
        <w:rPr>
          <w:spacing w:val="-2"/>
        </w:rPr>
        <w:t>involving,</w:t>
      </w:r>
      <w:r>
        <w:rPr>
          <w:spacing w:val="-10"/>
        </w:rPr>
        <w:t> </w:t>
      </w:r>
      <w:r>
        <w:rPr>
          <w:i/>
          <w:spacing w:val="-2"/>
        </w:rPr>
        <w:t>inter</w:t>
      </w:r>
      <w:r>
        <w:rPr>
          <w:i/>
          <w:spacing w:val="-10"/>
        </w:rPr>
        <w:t> </w:t>
      </w:r>
      <w:r>
        <w:rPr>
          <w:i/>
          <w:spacing w:val="-2"/>
        </w:rPr>
        <w:t>alia</w:t>
      </w:r>
      <w:r>
        <w:rPr>
          <w:spacing w:val="-2"/>
        </w:rPr>
        <w:t>,</w:t>
      </w:r>
      <w:r>
        <w:rPr>
          <w:spacing w:val="-10"/>
        </w:rPr>
        <w:t> </w:t>
      </w:r>
      <w:r>
        <w:rPr>
          <w:spacing w:val="-2"/>
        </w:rPr>
        <w:t>national</w:t>
      </w:r>
      <w:r>
        <w:rPr>
          <w:spacing w:val="-10"/>
        </w:rPr>
        <w:t> </w:t>
      </w:r>
      <w:r>
        <w:rPr>
          <w:spacing w:val="-2"/>
        </w:rPr>
        <w:t>security</w:t>
      </w:r>
      <w:r>
        <w:rPr>
          <w:spacing w:val="-10"/>
        </w:rPr>
        <w:t> </w:t>
      </w:r>
      <w:r>
        <w:rPr>
          <w:spacing w:val="-2"/>
        </w:rPr>
        <w:t>and</w:t>
      </w:r>
      <w:r>
        <w:rPr>
          <w:spacing w:val="-10"/>
        </w:rPr>
        <w:t> </w:t>
      </w:r>
      <w:r>
        <w:rPr>
          <w:spacing w:val="-2"/>
        </w:rPr>
        <w:t>defence imperatives</w:t>
      </w:r>
      <w:r>
        <w:rPr>
          <w:spacing w:val="-10"/>
        </w:rPr>
        <w:t> </w:t>
      </w:r>
      <w:r>
        <w:rPr>
          <w:spacing w:val="-2"/>
        </w:rPr>
        <w:t>would</w:t>
      </w:r>
      <w:r>
        <w:rPr>
          <w:spacing w:val="-10"/>
        </w:rPr>
        <w:t> </w:t>
      </w:r>
      <w:r>
        <w:rPr>
          <w:spacing w:val="-2"/>
        </w:rPr>
        <w:t>help</w:t>
      </w:r>
      <w:r>
        <w:rPr>
          <w:spacing w:val="-10"/>
        </w:rPr>
        <w:t> </w:t>
      </w:r>
      <w:r>
        <w:rPr>
          <w:spacing w:val="-2"/>
        </w:rPr>
        <w:t>assuage</w:t>
      </w:r>
      <w:r>
        <w:rPr>
          <w:spacing w:val="-10"/>
        </w:rPr>
        <w:t> </w:t>
      </w:r>
      <w:r>
        <w:rPr>
          <w:spacing w:val="-2"/>
        </w:rPr>
        <w:t>fears</w:t>
      </w:r>
      <w:r>
        <w:rPr>
          <w:spacing w:val="-10"/>
        </w:rPr>
        <w:t> </w:t>
      </w:r>
      <w:r>
        <w:rPr>
          <w:spacing w:val="-2"/>
        </w:rPr>
        <w:t>on</w:t>
      </w:r>
      <w:r>
        <w:rPr>
          <w:spacing w:val="-10"/>
        </w:rPr>
        <w:t> </w:t>
      </w:r>
      <w:r>
        <w:rPr>
          <w:spacing w:val="-2"/>
        </w:rPr>
        <w:t>the</w:t>
      </w:r>
      <w:r>
        <w:rPr>
          <w:spacing w:val="-10"/>
        </w:rPr>
        <w:t> </w:t>
      </w:r>
      <w:r>
        <w:rPr>
          <w:spacing w:val="-2"/>
        </w:rPr>
        <w:t>same.</w:t>
      </w:r>
    </w:p>
    <w:p>
      <w:pPr>
        <w:pStyle w:val="ListParagraph"/>
        <w:numPr>
          <w:ilvl w:val="0"/>
          <w:numId w:val="56"/>
        </w:numPr>
        <w:tabs>
          <w:tab w:pos="679" w:val="left" w:leader="none"/>
        </w:tabs>
        <w:spacing w:line="266" w:lineRule="auto" w:before="0" w:after="0"/>
        <w:ind w:left="679" w:right="1077" w:hanging="360"/>
        <w:jc w:val="both"/>
        <w:rPr>
          <w:sz w:val="22"/>
        </w:rPr>
      </w:pPr>
      <w:r>
        <w:rPr>
          <w:rFonts w:ascii="Cambria" w:hAnsi="Cambria"/>
          <w:b/>
          <w:sz w:val="22"/>
        </w:rPr>
        <w:t>U</w:t>
      </w:r>
      <w:r>
        <w:rPr>
          <w:b/>
          <w:sz w:val="22"/>
        </w:rPr>
        <w:t>niversities</w:t>
      </w:r>
      <w:r>
        <w:rPr>
          <w:rFonts w:ascii="Cambria" w:hAnsi="Cambria"/>
          <w:b/>
          <w:sz w:val="22"/>
        </w:rPr>
        <w:t>/R&amp;D</w:t>
      </w:r>
      <w:r>
        <w:rPr>
          <w:b/>
          <w:sz w:val="22"/>
        </w:rPr>
        <w:t>:</w:t>
      </w:r>
      <w:r>
        <w:rPr>
          <w:b/>
          <w:spacing w:val="-11"/>
          <w:sz w:val="22"/>
        </w:rPr>
        <w:t> </w:t>
      </w:r>
      <w:r>
        <w:rPr>
          <w:sz w:val="22"/>
        </w:rPr>
        <w:t>For</w:t>
      </w:r>
      <w:r>
        <w:rPr>
          <w:spacing w:val="-11"/>
          <w:sz w:val="22"/>
        </w:rPr>
        <w:t> </w:t>
      </w:r>
      <w:r>
        <w:rPr>
          <w:sz w:val="22"/>
        </w:rPr>
        <w:t>universities</w:t>
      </w:r>
      <w:r>
        <w:rPr>
          <w:spacing w:val="-11"/>
          <w:sz w:val="22"/>
        </w:rPr>
        <w:t> </w:t>
      </w:r>
      <w:r>
        <w:rPr>
          <w:sz w:val="22"/>
        </w:rPr>
        <w:t>and</w:t>
      </w:r>
      <w:r>
        <w:rPr>
          <w:spacing w:val="-11"/>
          <w:sz w:val="22"/>
        </w:rPr>
        <w:t> </w:t>
      </w:r>
      <w:r>
        <w:rPr>
          <w:sz w:val="22"/>
        </w:rPr>
        <w:t>research institutions, revenue generating incentives lie </w:t>
      </w:r>
      <w:r>
        <w:rPr>
          <w:sz w:val="22"/>
        </w:rPr>
        <w:t>in ownership and control over the fruits of research generated out of government funds. This should encourage filing patents in their own name and entering into commercialisation processes with </w:t>
      </w:r>
      <w:r>
        <w:rPr>
          <w:spacing w:val="-4"/>
          <w:sz w:val="22"/>
        </w:rPr>
        <w:t>industry.</w:t>
      </w:r>
      <w:r>
        <w:rPr>
          <w:spacing w:val="-9"/>
          <w:sz w:val="22"/>
        </w:rPr>
        <w:t> </w:t>
      </w:r>
      <w:r>
        <w:rPr>
          <w:spacing w:val="-4"/>
          <w:sz w:val="22"/>
        </w:rPr>
        <w:t>Further,</w:t>
      </w:r>
      <w:r>
        <w:rPr>
          <w:spacing w:val="-9"/>
          <w:sz w:val="22"/>
        </w:rPr>
        <w:t> </w:t>
      </w:r>
      <w:r>
        <w:rPr>
          <w:spacing w:val="-4"/>
          <w:sz w:val="22"/>
        </w:rPr>
        <w:t>theinventor,</w:t>
      </w:r>
      <w:r>
        <w:rPr>
          <w:spacing w:val="-9"/>
          <w:sz w:val="22"/>
        </w:rPr>
        <w:t> </w:t>
      </w:r>
      <w:r>
        <w:rPr>
          <w:spacing w:val="-4"/>
          <w:sz w:val="22"/>
        </w:rPr>
        <w:t>throughprofitsharing </w:t>
      </w:r>
      <w:r>
        <w:rPr>
          <w:spacing w:val="-2"/>
          <w:sz w:val="22"/>
        </w:rPr>
        <w:t>of</w:t>
      </w:r>
      <w:r>
        <w:rPr>
          <w:spacing w:val="-12"/>
          <w:sz w:val="22"/>
        </w:rPr>
        <w:t> </w:t>
      </w:r>
      <w:r>
        <w:rPr>
          <w:spacing w:val="-2"/>
          <w:sz w:val="22"/>
        </w:rPr>
        <w:t>royalties</w:t>
      </w:r>
      <w:r>
        <w:rPr>
          <w:spacing w:val="-12"/>
          <w:sz w:val="22"/>
        </w:rPr>
        <w:t> </w:t>
      </w:r>
      <w:r>
        <w:rPr>
          <w:spacing w:val="-2"/>
          <w:sz w:val="22"/>
        </w:rPr>
        <w:t>from</w:t>
      </w:r>
      <w:r>
        <w:rPr>
          <w:spacing w:val="-12"/>
          <w:sz w:val="22"/>
        </w:rPr>
        <w:t> </w:t>
      </w:r>
      <w:r>
        <w:rPr>
          <w:spacing w:val="-2"/>
          <w:sz w:val="22"/>
        </w:rPr>
        <w:t>licenses,</w:t>
      </w:r>
      <w:r>
        <w:rPr>
          <w:spacing w:val="-11"/>
          <w:sz w:val="22"/>
        </w:rPr>
        <w:t> </w:t>
      </w:r>
      <w:r>
        <w:rPr>
          <w:spacing w:val="-2"/>
          <w:sz w:val="22"/>
        </w:rPr>
        <w:t>would</w:t>
      </w:r>
      <w:r>
        <w:rPr>
          <w:spacing w:val="-12"/>
          <w:sz w:val="22"/>
        </w:rPr>
        <w:t> </w:t>
      </w:r>
      <w:r>
        <w:rPr>
          <w:spacing w:val="-2"/>
          <w:sz w:val="22"/>
        </w:rPr>
        <w:t>also</w:t>
      </w:r>
      <w:r>
        <w:rPr>
          <w:spacing w:val="-12"/>
          <w:sz w:val="22"/>
        </w:rPr>
        <w:t> </w:t>
      </w:r>
      <w:r>
        <w:rPr>
          <w:spacing w:val="-2"/>
          <w:sz w:val="22"/>
        </w:rPr>
        <w:t>get</w:t>
      </w:r>
      <w:r>
        <w:rPr>
          <w:spacing w:val="-12"/>
          <w:sz w:val="22"/>
        </w:rPr>
        <w:t> </w:t>
      </w:r>
      <w:r>
        <w:rPr>
          <w:spacing w:val="-2"/>
          <w:sz w:val="22"/>
        </w:rPr>
        <w:t>rewarded </w:t>
      </w:r>
      <w:r>
        <w:rPr>
          <w:sz w:val="22"/>
        </w:rPr>
        <w:t>accordingly. The proposed enactment could also </w:t>
      </w:r>
      <w:r>
        <w:rPr>
          <w:spacing w:val="-2"/>
          <w:sz w:val="22"/>
        </w:rPr>
        <w:t>provide</w:t>
      </w:r>
      <w:r>
        <w:rPr>
          <w:spacing w:val="-11"/>
          <w:sz w:val="22"/>
        </w:rPr>
        <w:t> </w:t>
      </w:r>
      <w:r>
        <w:rPr>
          <w:spacing w:val="-2"/>
          <w:sz w:val="22"/>
        </w:rPr>
        <w:t>that</w:t>
      </w:r>
      <w:r>
        <w:rPr>
          <w:spacing w:val="-11"/>
          <w:sz w:val="22"/>
        </w:rPr>
        <w:t> </w:t>
      </w:r>
      <w:r>
        <w:rPr>
          <w:spacing w:val="-2"/>
          <w:sz w:val="22"/>
        </w:rPr>
        <w:t>the</w:t>
      </w:r>
      <w:r>
        <w:rPr>
          <w:spacing w:val="-11"/>
          <w:sz w:val="22"/>
        </w:rPr>
        <w:t> </w:t>
      </w:r>
      <w:r>
        <w:rPr>
          <w:spacing w:val="-2"/>
          <w:sz w:val="22"/>
        </w:rPr>
        <w:t>balance</w:t>
      </w:r>
      <w:r>
        <w:rPr>
          <w:spacing w:val="-11"/>
          <w:sz w:val="22"/>
        </w:rPr>
        <w:t> </w:t>
      </w:r>
      <w:r>
        <w:rPr>
          <w:spacing w:val="-2"/>
          <w:sz w:val="22"/>
        </w:rPr>
        <w:t>of</w:t>
      </w:r>
      <w:r>
        <w:rPr>
          <w:spacing w:val="-11"/>
          <w:sz w:val="22"/>
        </w:rPr>
        <w:t> </w:t>
      </w:r>
      <w:r>
        <w:rPr>
          <w:spacing w:val="-2"/>
          <w:sz w:val="22"/>
        </w:rPr>
        <w:t>any</w:t>
      </w:r>
      <w:r>
        <w:rPr>
          <w:spacing w:val="-11"/>
          <w:sz w:val="22"/>
        </w:rPr>
        <w:t> </w:t>
      </w:r>
      <w:r>
        <w:rPr>
          <w:spacing w:val="-2"/>
          <w:sz w:val="22"/>
        </w:rPr>
        <w:t>royalties</w:t>
      </w:r>
      <w:r>
        <w:rPr>
          <w:spacing w:val="-11"/>
          <w:sz w:val="22"/>
        </w:rPr>
        <w:t> </w:t>
      </w:r>
      <w:r>
        <w:rPr>
          <w:spacing w:val="-2"/>
          <w:sz w:val="22"/>
        </w:rPr>
        <w:t>or</w:t>
      </w:r>
      <w:r>
        <w:rPr>
          <w:spacing w:val="-11"/>
          <w:sz w:val="22"/>
        </w:rPr>
        <w:t> </w:t>
      </w:r>
      <w:r>
        <w:rPr>
          <w:spacing w:val="-2"/>
          <w:sz w:val="22"/>
        </w:rPr>
        <w:t>income </w:t>
      </w:r>
      <w:r>
        <w:rPr>
          <w:spacing w:val="-6"/>
          <w:sz w:val="22"/>
        </w:rPr>
        <w:t>earned</w:t>
      </w:r>
      <w:r>
        <w:rPr>
          <w:spacing w:val="-7"/>
          <w:sz w:val="22"/>
        </w:rPr>
        <w:t> </w:t>
      </w:r>
      <w:r>
        <w:rPr>
          <w:spacing w:val="-6"/>
          <w:sz w:val="22"/>
        </w:rPr>
        <w:t>after</w:t>
      </w:r>
      <w:r>
        <w:rPr>
          <w:spacing w:val="-7"/>
          <w:sz w:val="22"/>
        </w:rPr>
        <w:t> </w:t>
      </w:r>
      <w:r>
        <w:rPr>
          <w:spacing w:val="-6"/>
          <w:sz w:val="22"/>
        </w:rPr>
        <w:t>payment</w:t>
      </w:r>
      <w:r>
        <w:rPr>
          <w:spacing w:val="-7"/>
          <w:sz w:val="22"/>
        </w:rPr>
        <w:t> </w:t>
      </w:r>
      <w:r>
        <w:rPr>
          <w:spacing w:val="-6"/>
          <w:sz w:val="22"/>
        </w:rPr>
        <w:t>of</w:t>
      </w:r>
      <w:r>
        <w:rPr>
          <w:spacing w:val="-7"/>
          <w:sz w:val="22"/>
        </w:rPr>
        <w:t> </w:t>
      </w:r>
      <w:r>
        <w:rPr>
          <w:spacing w:val="-6"/>
          <w:sz w:val="22"/>
        </w:rPr>
        <w:t>expenses,</w:t>
      </w:r>
      <w:r>
        <w:rPr>
          <w:spacing w:val="-7"/>
          <w:sz w:val="22"/>
        </w:rPr>
        <w:t> </w:t>
      </w:r>
      <w:r>
        <w:rPr>
          <w:spacing w:val="-6"/>
          <w:sz w:val="22"/>
        </w:rPr>
        <w:t>be</w:t>
      </w:r>
      <w:r>
        <w:rPr>
          <w:spacing w:val="-7"/>
          <w:sz w:val="22"/>
        </w:rPr>
        <w:t> </w:t>
      </w:r>
      <w:r>
        <w:rPr>
          <w:spacing w:val="-6"/>
          <w:sz w:val="22"/>
        </w:rPr>
        <w:t>ploughed</w:t>
      </w:r>
      <w:r>
        <w:rPr>
          <w:spacing w:val="-7"/>
          <w:sz w:val="22"/>
        </w:rPr>
        <w:t> </w:t>
      </w:r>
      <w:r>
        <w:rPr>
          <w:spacing w:val="-6"/>
          <w:sz w:val="22"/>
        </w:rPr>
        <w:t>back </w:t>
      </w:r>
      <w:r>
        <w:rPr>
          <w:sz w:val="22"/>
        </w:rPr>
        <w:t>for scientific research and education.</w:t>
      </w:r>
    </w:p>
    <w:p>
      <w:pPr>
        <w:pStyle w:val="ListParagraph"/>
        <w:numPr>
          <w:ilvl w:val="0"/>
          <w:numId w:val="56"/>
        </w:numPr>
        <w:tabs>
          <w:tab w:pos="678" w:val="left" w:leader="none"/>
        </w:tabs>
        <w:spacing w:line="241" w:lineRule="exact" w:before="0" w:after="0"/>
        <w:ind w:left="678" w:right="0" w:hanging="359"/>
        <w:jc w:val="both"/>
        <w:rPr>
          <w:sz w:val="22"/>
        </w:rPr>
      </w:pPr>
      <w:r>
        <w:rPr>
          <w:b/>
          <w:spacing w:val="-6"/>
          <w:sz w:val="22"/>
        </w:rPr>
        <w:t>Industry:</w:t>
      </w:r>
      <w:r>
        <w:rPr>
          <w:b/>
          <w:spacing w:val="-4"/>
          <w:sz w:val="22"/>
        </w:rPr>
        <w:t> </w:t>
      </w:r>
      <w:r>
        <w:rPr>
          <w:spacing w:val="-6"/>
          <w:sz w:val="22"/>
        </w:rPr>
        <w:t>A</w:t>
      </w:r>
      <w:r>
        <w:rPr>
          <w:spacing w:val="-3"/>
          <w:sz w:val="22"/>
        </w:rPr>
        <w:t> </w:t>
      </w:r>
      <w:r>
        <w:rPr>
          <w:spacing w:val="-6"/>
          <w:sz w:val="22"/>
        </w:rPr>
        <w:t>higher</w:t>
      </w:r>
      <w:r>
        <w:rPr>
          <w:spacing w:val="-4"/>
          <w:sz w:val="22"/>
        </w:rPr>
        <w:t> </w:t>
      </w:r>
      <w:r>
        <w:rPr>
          <w:spacing w:val="-6"/>
          <w:sz w:val="22"/>
        </w:rPr>
        <w:t>degree</w:t>
      </w:r>
      <w:r>
        <w:rPr>
          <w:spacing w:val="-3"/>
          <w:sz w:val="22"/>
        </w:rPr>
        <w:t> </w:t>
      </w:r>
      <w:r>
        <w:rPr>
          <w:spacing w:val="-6"/>
          <w:sz w:val="22"/>
        </w:rPr>
        <w:t>of</w:t>
      </w:r>
      <w:r>
        <w:rPr>
          <w:spacing w:val="-3"/>
          <w:sz w:val="22"/>
        </w:rPr>
        <w:t> </w:t>
      </w:r>
      <w:r>
        <w:rPr>
          <w:spacing w:val="-6"/>
          <w:sz w:val="22"/>
        </w:rPr>
        <w:t>industry</w:t>
      </w:r>
      <w:r>
        <w:rPr>
          <w:spacing w:val="-4"/>
          <w:sz w:val="22"/>
        </w:rPr>
        <w:t> </w:t>
      </w:r>
      <w:r>
        <w:rPr>
          <w:spacing w:val="-6"/>
          <w:sz w:val="22"/>
        </w:rPr>
        <w:t>participation</w:t>
      </w:r>
    </w:p>
    <w:p>
      <w:pPr>
        <w:pStyle w:val="BodyText"/>
        <w:spacing w:line="266" w:lineRule="auto" w:before="19"/>
        <w:ind w:left="679" w:right="1078"/>
        <w:jc w:val="both"/>
      </w:pPr>
      <w:r>
        <w:rPr/>
        <w:t>in</w:t>
      </w:r>
      <w:r>
        <w:rPr>
          <w:spacing w:val="-13"/>
        </w:rPr>
        <w:t> </w:t>
      </w:r>
      <w:r>
        <w:rPr/>
        <w:t>university</w:t>
      </w:r>
      <w:r>
        <w:rPr>
          <w:spacing w:val="-13"/>
        </w:rPr>
        <w:t> </w:t>
      </w:r>
      <w:r>
        <w:rPr/>
        <w:t>research</w:t>
      </w:r>
      <w:r>
        <w:rPr>
          <w:spacing w:val="-13"/>
        </w:rPr>
        <w:t> </w:t>
      </w:r>
      <w:r>
        <w:rPr/>
        <w:t>will</w:t>
      </w:r>
      <w:r>
        <w:rPr>
          <w:spacing w:val="-13"/>
        </w:rPr>
        <w:t> </w:t>
      </w:r>
      <w:r>
        <w:rPr/>
        <w:t>result</w:t>
      </w:r>
      <w:r>
        <w:rPr>
          <w:spacing w:val="-13"/>
        </w:rPr>
        <w:t> </w:t>
      </w:r>
      <w:r>
        <w:rPr/>
        <w:t>due</w:t>
      </w:r>
      <w:r>
        <w:rPr>
          <w:spacing w:val="-13"/>
        </w:rPr>
        <w:t> </w:t>
      </w:r>
      <w:r>
        <w:rPr/>
        <w:t>to</w:t>
      </w:r>
      <w:r>
        <w:rPr>
          <w:spacing w:val="-13"/>
        </w:rPr>
        <w:t> </w:t>
      </w:r>
      <w:r>
        <w:rPr/>
        <w:t>clear</w:t>
      </w:r>
      <w:r>
        <w:rPr>
          <w:spacing w:val="-13"/>
        </w:rPr>
        <w:t> </w:t>
      </w:r>
      <w:r>
        <w:rPr/>
        <w:t>legal title, a uniform legal regime for all government funded research, commercial gain through </w:t>
      </w:r>
      <w:r>
        <w:rPr>
          <w:spacing w:val="-4"/>
        </w:rPr>
        <w:t>collaborative arrangements, opportunities to obtain </w:t>
      </w:r>
      <w:r>
        <w:rPr>
          <w:spacing w:val="-6"/>
        </w:rPr>
        <w:t>exclusive licenses and new businesses opportunities </w:t>
      </w:r>
      <w:r>
        <w:rPr/>
        <w:t>for the new inventions.</w:t>
      </w:r>
    </w:p>
    <w:p>
      <w:pPr>
        <w:pStyle w:val="ListParagraph"/>
        <w:numPr>
          <w:ilvl w:val="0"/>
          <w:numId w:val="56"/>
        </w:numPr>
        <w:tabs>
          <w:tab w:pos="679" w:val="left" w:leader="none"/>
        </w:tabs>
        <w:spacing w:line="266" w:lineRule="auto" w:before="0" w:after="0"/>
        <w:ind w:left="679" w:right="1077" w:hanging="360"/>
        <w:jc w:val="both"/>
        <w:rPr>
          <w:sz w:val="22"/>
        </w:rPr>
      </w:pPr>
      <w:r>
        <w:rPr>
          <w:b/>
          <w:sz w:val="22"/>
        </w:rPr>
        <w:t>People: </w:t>
      </w:r>
      <w:r>
        <w:rPr>
          <w:sz w:val="22"/>
        </w:rPr>
        <w:t>Finally, the taxpayer, whose </w:t>
      </w:r>
      <w:r>
        <w:rPr>
          <w:sz w:val="22"/>
        </w:rPr>
        <w:t>resources are used in government funding of research, will also get the benefit of inventions, in the form of </w:t>
      </w:r>
      <w:r>
        <w:rPr>
          <w:spacing w:val="-6"/>
          <w:sz w:val="22"/>
        </w:rPr>
        <w:t>products and services once they are commercialised </w:t>
      </w:r>
      <w:r>
        <w:rPr>
          <w:sz w:val="22"/>
        </w:rPr>
        <w:t>and made available in the market.</w:t>
      </w:r>
    </w:p>
    <w:p>
      <w:pPr>
        <w:pStyle w:val="BodyText"/>
        <w:spacing w:before="18"/>
      </w:pPr>
    </w:p>
    <w:p>
      <w:pPr>
        <w:pStyle w:val="BodyText"/>
        <w:spacing w:line="266" w:lineRule="auto"/>
        <w:ind w:left="319" w:right="1078"/>
        <w:jc w:val="both"/>
      </w:pPr>
      <w:r>
        <w:rPr/>
        <w:t>Issues that need special attention in drafting </w:t>
      </w:r>
      <w:r>
        <w:rPr/>
        <w:t>the proposed legislation are:</w:t>
      </w:r>
    </w:p>
    <w:p>
      <w:pPr>
        <w:pStyle w:val="ListParagraph"/>
        <w:numPr>
          <w:ilvl w:val="0"/>
          <w:numId w:val="56"/>
        </w:numPr>
        <w:tabs>
          <w:tab w:pos="679" w:val="left" w:leader="none"/>
        </w:tabs>
        <w:spacing w:line="266" w:lineRule="auto" w:before="0" w:after="0"/>
        <w:ind w:left="679" w:right="1077" w:hanging="360"/>
        <w:jc w:val="both"/>
        <w:rPr>
          <w:sz w:val="22"/>
        </w:rPr>
      </w:pPr>
      <w:r>
        <w:rPr>
          <w:sz w:val="22"/>
        </w:rPr>
        <w:t>Calculating</w:t>
      </w:r>
      <w:r>
        <w:rPr>
          <w:spacing w:val="-14"/>
          <w:sz w:val="22"/>
        </w:rPr>
        <w:t> </w:t>
      </w:r>
      <w:r>
        <w:rPr>
          <w:sz w:val="22"/>
        </w:rPr>
        <w:t>exact</w:t>
      </w:r>
      <w:r>
        <w:rPr>
          <w:spacing w:val="-13"/>
          <w:sz w:val="22"/>
        </w:rPr>
        <w:t> </w:t>
      </w:r>
      <w:r>
        <w:rPr>
          <w:sz w:val="22"/>
        </w:rPr>
        <w:t>ratios</w:t>
      </w:r>
      <w:r>
        <w:rPr>
          <w:spacing w:val="-14"/>
          <w:sz w:val="22"/>
        </w:rPr>
        <w:t> </w:t>
      </w:r>
      <w:r>
        <w:rPr>
          <w:sz w:val="22"/>
        </w:rPr>
        <w:t>in</w:t>
      </w:r>
      <w:r>
        <w:rPr>
          <w:spacing w:val="-13"/>
          <w:sz w:val="22"/>
        </w:rPr>
        <w:t> </w:t>
      </w:r>
      <w:r>
        <w:rPr>
          <w:sz w:val="22"/>
        </w:rPr>
        <w:t>which</w:t>
      </w:r>
      <w:r>
        <w:rPr>
          <w:spacing w:val="-14"/>
          <w:sz w:val="22"/>
        </w:rPr>
        <w:t> </w:t>
      </w:r>
      <w:r>
        <w:rPr>
          <w:sz w:val="22"/>
        </w:rPr>
        <w:t>revenues</w:t>
      </w:r>
      <w:r>
        <w:rPr>
          <w:spacing w:val="-13"/>
          <w:sz w:val="22"/>
        </w:rPr>
        <w:t> </w:t>
      </w:r>
      <w:r>
        <w:rPr>
          <w:sz w:val="22"/>
        </w:rPr>
        <w:t>will</w:t>
      </w:r>
      <w:r>
        <w:rPr>
          <w:spacing w:val="-14"/>
          <w:sz w:val="22"/>
        </w:rPr>
        <w:t> </w:t>
      </w:r>
      <w:r>
        <w:rPr>
          <w:sz w:val="22"/>
        </w:rPr>
        <w:t>be </w:t>
      </w:r>
      <w:r>
        <w:rPr>
          <w:spacing w:val="-8"/>
          <w:sz w:val="22"/>
        </w:rPr>
        <w:t>divided</w:t>
      </w:r>
      <w:r>
        <w:rPr>
          <w:spacing w:val="-2"/>
          <w:sz w:val="22"/>
        </w:rPr>
        <w:t> </w:t>
      </w:r>
      <w:r>
        <w:rPr>
          <w:spacing w:val="-8"/>
          <w:sz w:val="22"/>
        </w:rPr>
        <w:t>and</w:t>
      </w:r>
      <w:r>
        <w:rPr>
          <w:spacing w:val="-2"/>
          <w:sz w:val="22"/>
        </w:rPr>
        <w:t> </w:t>
      </w:r>
      <w:r>
        <w:rPr>
          <w:spacing w:val="-8"/>
          <w:sz w:val="22"/>
        </w:rPr>
        <w:t>the</w:t>
      </w:r>
      <w:r>
        <w:rPr>
          <w:spacing w:val="-2"/>
          <w:sz w:val="22"/>
        </w:rPr>
        <w:t> </w:t>
      </w:r>
      <w:r>
        <w:rPr>
          <w:spacing w:val="-8"/>
          <w:sz w:val="22"/>
        </w:rPr>
        <w:t>percentage</w:t>
      </w:r>
      <w:r>
        <w:rPr>
          <w:spacing w:val="-2"/>
          <w:sz w:val="22"/>
        </w:rPr>
        <w:t> </w:t>
      </w:r>
      <w:r>
        <w:rPr>
          <w:spacing w:val="-8"/>
          <w:sz w:val="22"/>
        </w:rPr>
        <w:t>made</w:t>
      </w:r>
      <w:r>
        <w:rPr>
          <w:spacing w:val="-2"/>
          <w:sz w:val="22"/>
        </w:rPr>
        <w:t> </w:t>
      </w:r>
      <w:r>
        <w:rPr>
          <w:spacing w:val="-8"/>
          <w:sz w:val="22"/>
        </w:rPr>
        <w:t>available</w:t>
      </w:r>
      <w:r>
        <w:rPr>
          <w:spacing w:val="-2"/>
          <w:sz w:val="22"/>
        </w:rPr>
        <w:t> </w:t>
      </w:r>
      <w:r>
        <w:rPr>
          <w:spacing w:val="-8"/>
          <w:sz w:val="22"/>
        </w:rPr>
        <w:t>to</w:t>
      </w:r>
      <w:r>
        <w:rPr>
          <w:spacing w:val="-2"/>
          <w:sz w:val="22"/>
        </w:rPr>
        <w:t> </w:t>
      </w:r>
      <w:r>
        <w:rPr>
          <w:spacing w:val="-8"/>
          <w:sz w:val="22"/>
        </w:rPr>
        <w:t>various </w:t>
      </w:r>
      <w:r>
        <w:rPr>
          <w:spacing w:val="-4"/>
          <w:sz w:val="22"/>
        </w:rPr>
        <w:t>stakeholders including the actual inventor</w:t>
      </w:r>
    </w:p>
    <w:p>
      <w:pPr>
        <w:pStyle w:val="ListParagraph"/>
        <w:numPr>
          <w:ilvl w:val="0"/>
          <w:numId w:val="56"/>
        </w:numPr>
        <w:tabs>
          <w:tab w:pos="679" w:val="left" w:leader="none"/>
        </w:tabs>
        <w:spacing w:line="266" w:lineRule="auto" w:before="0" w:after="0"/>
        <w:ind w:left="679" w:right="1078" w:hanging="360"/>
        <w:jc w:val="both"/>
        <w:rPr>
          <w:sz w:val="22"/>
        </w:rPr>
      </w:pPr>
      <w:r>
        <w:rPr>
          <w:sz w:val="22"/>
        </w:rPr>
        <w:t>Understanding national security </w:t>
      </w:r>
      <w:r>
        <w:rPr>
          <w:sz w:val="22"/>
        </w:rPr>
        <w:t>implications </w:t>
      </w:r>
      <w:r>
        <w:rPr>
          <w:spacing w:val="-4"/>
          <w:sz w:val="22"/>
        </w:rPr>
        <w:t>where</w:t>
      </w:r>
      <w:r>
        <w:rPr>
          <w:spacing w:val="-10"/>
          <w:sz w:val="22"/>
        </w:rPr>
        <w:t> </w:t>
      </w:r>
      <w:r>
        <w:rPr>
          <w:spacing w:val="-4"/>
          <w:sz w:val="22"/>
        </w:rPr>
        <w:t>they</w:t>
      </w:r>
      <w:r>
        <w:rPr>
          <w:spacing w:val="-10"/>
          <w:sz w:val="22"/>
        </w:rPr>
        <w:t> </w:t>
      </w:r>
      <w:r>
        <w:rPr>
          <w:spacing w:val="-4"/>
          <w:sz w:val="22"/>
        </w:rPr>
        <w:t>arise</w:t>
      </w:r>
      <w:r>
        <w:rPr>
          <w:spacing w:val="-9"/>
          <w:sz w:val="22"/>
        </w:rPr>
        <w:t> </w:t>
      </w:r>
      <w:r>
        <w:rPr>
          <w:spacing w:val="-4"/>
          <w:sz w:val="22"/>
        </w:rPr>
        <w:t>and</w:t>
      </w:r>
      <w:r>
        <w:rPr>
          <w:spacing w:val="-10"/>
          <w:sz w:val="22"/>
        </w:rPr>
        <w:t> </w:t>
      </w:r>
      <w:r>
        <w:rPr>
          <w:spacing w:val="-4"/>
          <w:sz w:val="22"/>
        </w:rPr>
        <w:t>carving</w:t>
      </w:r>
      <w:r>
        <w:rPr>
          <w:spacing w:val="-10"/>
          <w:sz w:val="22"/>
        </w:rPr>
        <w:t> </w:t>
      </w:r>
      <w:r>
        <w:rPr>
          <w:spacing w:val="-4"/>
          <w:sz w:val="22"/>
        </w:rPr>
        <w:t>out</w:t>
      </w:r>
      <w:r>
        <w:rPr>
          <w:spacing w:val="-9"/>
          <w:sz w:val="22"/>
        </w:rPr>
        <w:t> </w:t>
      </w:r>
      <w:r>
        <w:rPr>
          <w:spacing w:val="-4"/>
          <w:sz w:val="22"/>
        </w:rPr>
        <w:t>exceptions</w:t>
      </w:r>
      <w:r>
        <w:rPr>
          <w:spacing w:val="-10"/>
          <w:sz w:val="22"/>
        </w:rPr>
        <w:t> </w:t>
      </w:r>
      <w:r>
        <w:rPr>
          <w:spacing w:val="-4"/>
          <w:sz w:val="22"/>
        </w:rPr>
        <w:t>in</w:t>
      </w:r>
      <w:r>
        <w:rPr>
          <w:spacing w:val="-10"/>
          <w:sz w:val="22"/>
        </w:rPr>
        <w:t> </w:t>
      </w:r>
      <w:r>
        <w:rPr>
          <w:spacing w:val="-4"/>
          <w:sz w:val="22"/>
        </w:rPr>
        <w:t>such </w:t>
      </w:r>
      <w:r>
        <w:rPr>
          <w:spacing w:val="-2"/>
          <w:sz w:val="22"/>
        </w:rPr>
        <w:t>situations</w:t>
      </w:r>
    </w:p>
    <w:p>
      <w:pPr>
        <w:pStyle w:val="ListParagraph"/>
        <w:numPr>
          <w:ilvl w:val="0"/>
          <w:numId w:val="56"/>
        </w:numPr>
        <w:tabs>
          <w:tab w:pos="679" w:val="left" w:leader="none"/>
        </w:tabs>
        <w:spacing w:line="266" w:lineRule="auto" w:before="0" w:after="0"/>
        <w:ind w:left="679" w:right="1078" w:hanging="360"/>
        <w:jc w:val="both"/>
        <w:rPr>
          <w:sz w:val="22"/>
        </w:rPr>
      </w:pPr>
      <w:r>
        <w:rPr>
          <w:sz w:val="22"/>
        </w:rPr>
        <w:t>Identifying</w:t>
      </w:r>
      <w:r>
        <w:rPr>
          <w:spacing w:val="-8"/>
          <w:sz w:val="22"/>
        </w:rPr>
        <w:t> </w:t>
      </w:r>
      <w:r>
        <w:rPr>
          <w:sz w:val="22"/>
        </w:rPr>
        <w:t>specific</w:t>
      </w:r>
      <w:r>
        <w:rPr>
          <w:spacing w:val="-8"/>
          <w:sz w:val="22"/>
        </w:rPr>
        <w:t> </w:t>
      </w:r>
      <w:r>
        <w:rPr>
          <w:sz w:val="22"/>
        </w:rPr>
        <w:t>guidelines,</w:t>
      </w:r>
      <w:r>
        <w:rPr>
          <w:spacing w:val="-8"/>
          <w:sz w:val="22"/>
        </w:rPr>
        <w:t> </w:t>
      </w:r>
      <w:r>
        <w:rPr>
          <w:sz w:val="22"/>
        </w:rPr>
        <w:t>rules</w:t>
      </w:r>
      <w:r>
        <w:rPr>
          <w:spacing w:val="-8"/>
          <w:sz w:val="22"/>
        </w:rPr>
        <w:t> </w:t>
      </w:r>
      <w:r>
        <w:rPr>
          <w:sz w:val="22"/>
        </w:rPr>
        <w:t>and</w:t>
      </w:r>
      <w:r>
        <w:rPr>
          <w:spacing w:val="-8"/>
          <w:sz w:val="22"/>
        </w:rPr>
        <w:t> </w:t>
      </w:r>
      <w:r>
        <w:rPr>
          <w:sz w:val="22"/>
        </w:rPr>
        <w:t>existing provisions of laws that need to be overridden to bring</w:t>
      </w:r>
      <w:r>
        <w:rPr>
          <w:spacing w:val="-12"/>
          <w:sz w:val="22"/>
        </w:rPr>
        <w:t> </w:t>
      </w:r>
      <w:r>
        <w:rPr>
          <w:sz w:val="22"/>
        </w:rPr>
        <w:t>a</w:t>
      </w:r>
      <w:r>
        <w:rPr>
          <w:spacing w:val="-12"/>
          <w:sz w:val="22"/>
        </w:rPr>
        <w:t> </w:t>
      </w:r>
      <w:r>
        <w:rPr>
          <w:sz w:val="22"/>
        </w:rPr>
        <w:t>uniform</w:t>
      </w:r>
      <w:r>
        <w:rPr>
          <w:spacing w:val="-12"/>
          <w:sz w:val="22"/>
        </w:rPr>
        <w:t> </w:t>
      </w:r>
      <w:r>
        <w:rPr>
          <w:sz w:val="22"/>
        </w:rPr>
        <w:t>legislation</w:t>
      </w:r>
      <w:r>
        <w:rPr>
          <w:spacing w:val="-12"/>
          <w:sz w:val="22"/>
        </w:rPr>
        <w:t> </w:t>
      </w:r>
      <w:r>
        <w:rPr>
          <w:sz w:val="22"/>
        </w:rPr>
        <w:t>in</w:t>
      </w:r>
      <w:r>
        <w:rPr>
          <w:spacing w:val="-12"/>
          <w:sz w:val="22"/>
        </w:rPr>
        <w:t> </w:t>
      </w:r>
      <w:r>
        <w:rPr>
          <w:sz w:val="22"/>
        </w:rPr>
        <w:t>place</w:t>
      </w:r>
      <w:r>
        <w:rPr>
          <w:spacing w:val="-12"/>
          <w:sz w:val="22"/>
        </w:rPr>
        <w:t> </w:t>
      </w:r>
      <w:r>
        <w:rPr>
          <w:sz w:val="22"/>
        </w:rPr>
        <w:t>for</w:t>
      </w:r>
      <w:r>
        <w:rPr>
          <w:spacing w:val="-12"/>
          <w:sz w:val="22"/>
        </w:rPr>
        <w:t> </w:t>
      </w:r>
      <w:r>
        <w:rPr>
          <w:sz w:val="22"/>
        </w:rPr>
        <w:t>inventions arising out of government funded research</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ListParagraph"/>
        <w:numPr>
          <w:ilvl w:val="1"/>
          <w:numId w:val="56"/>
        </w:numPr>
        <w:tabs>
          <w:tab w:pos="1439" w:val="left" w:leader="none"/>
        </w:tabs>
        <w:spacing w:line="266" w:lineRule="auto" w:before="68" w:after="0"/>
        <w:ind w:left="1439" w:right="0" w:hanging="360"/>
        <w:jc w:val="both"/>
        <w:rPr>
          <w:sz w:val="22"/>
        </w:rPr>
      </w:pPr>
      <w:r>
        <w:rPr>
          <w:spacing w:val="-2"/>
          <w:sz w:val="22"/>
        </w:rPr>
        <w:t>Establishing</w:t>
      </w:r>
      <w:r>
        <w:rPr>
          <w:spacing w:val="-12"/>
          <w:sz w:val="22"/>
        </w:rPr>
        <w:t> </w:t>
      </w:r>
      <w:r>
        <w:rPr>
          <w:spacing w:val="-2"/>
          <w:sz w:val="22"/>
        </w:rPr>
        <w:t>the</w:t>
      </w:r>
      <w:r>
        <w:rPr>
          <w:spacing w:val="-12"/>
          <w:sz w:val="22"/>
        </w:rPr>
        <w:t> </w:t>
      </w:r>
      <w:r>
        <w:rPr>
          <w:spacing w:val="-2"/>
          <w:sz w:val="22"/>
        </w:rPr>
        <w:t>precise</w:t>
      </w:r>
      <w:r>
        <w:rPr>
          <w:spacing w:val="-12"/>
          <w:sz w:val="22"/>
        </w:rPr>
        <w:t> </w:t>
      </w:r>
      <w:r>
        <w:rPr>
          <w:spacing w:val="-2"/>
          <w:sz w:val="22"/>
        </w:rPr>
        <w:t>nature</w:t>
      </w:r>
      <w:r>
        <w:rPr>
          <w:spacing w:val="-11"/>
          <w:sz w:val="22"/>
        </w:rPr>
        <w:t> </w:t>
      </w:r>
      <w:r>
        <w:rPr>
          <w:spacing w:val="-2"/>
          <w:sz w:val="22"/>
        </w:rPr>
        <w:t>of</w:t>
      </w:r>
      <w:r>
        <w:rPr>
          <w:spacing w:val="-12"/>
          <w:sz w:val="22"/>
        </w:rPr>
        <w:t> </w:t>
      </w:r>
      <w:r>
        <w:rPr>
          <w:spacing w:val="-2"/>
          <w:sz w:val="22"/>
        </w:rPr>
        <w:t>various</w:t>
      </w:r>
      <w:r>
        <w:rPr>
          <w:spacing w:val="-12"/>
          <w:sz w:val="22"/>
        </w:rPr>
        <w:t> </w:t>
      </w:r>
      <w:r>
        <w:rPr>
          <w:spacing w:val="-2"/>
          <w:sz w:val="22"/>
        </w:rPr>
        <w:t>licensing </w:t>
      </w:r>
      <w:r>
        <w:rPr>
          <w:sz w:val="22"/>
        </w:rPr>
        <w:t>arrangements</w:t>
      </w:r>
      <w:r>
        <w:rPr>
          <w:spacing w:val="-8"/>
          <w:sz w:val="22"/>
        </w:rPr>
        <w:t> </w:t>
      </w:r>
      <w:r>
        <w:rPr>
          <w:sz w:val="22"/>
        </w:rPr>
        <w:t>as</w:t>
      </w:r>
      <w:r>
        <w:rPr>
          <w:spacing w:val="-8"/>
          <w:sz w:val="22"/>
        </w:rPr>
        <w:t> </w:t>
      </w:r>
      <w:r>
        <w:rPr>
          <w:sz w:val="22"/>
        </w:rPr>
        <w:t>well</w:t>
      </w:r>
      <w:r>
        <w:rPr>
          <w:spacing w:val="-8"/>
          <w:sz w:val="22"/>
        </w:rPr>
        <w:t> </w:t>
      </w:r>
      <w:r>
        <w:rPr>
          <w:sz w:val="22"/>
        </w:rPr>
        <w:t>as</w:t>
      </w:r>
      <w:r>
        <w:rPr>
          <w:spacing w:val="-8"/>
          <w:sz w:val="22"/>
        </w:rPr>
        <w:t> </w:t>
      </w:r>
      <w:r>
        <w:rPr>
          <w:sz w:val="22"/>
        </w:rPr>
        <w:t>conditions</w:t>
      </w:r>
      <w:r>
        <w:rPr>
          <w:spacing w:val="-8"/>
          <w:sz w:val="22"/>
        </w:rPr>
        <w:t> </w:t>
      </w:r>
      <w:r>
        <w:rPr>
          <w:sz w:val="22"/>
        </w:rPr>
        <w:t>governing</w:t>
      </w:r>
      <w:r>
        <w:rPr>
          <w:spacing w:val="-8"/>
          <w:sz w:val="22"/>
        </w:rPr>
        <w:t> </w:t>
      </w:r>
      <w:r>
        <w:rPr>
          <w:sz w:val="22"/>
        </w:rPr>
        <w:t>the </w:t>
      </w:r>
      <w:r>
        <w:rPr>
          <w:spacing w:val="-2"/>
          <w:sz w:val="22"/>
        </w:rPr>
        <w:t>grant</w:t>
      </w:r>
      <w:r>
        <w:rPr>
          <w:spacing w:val="-6"/>
          <w:sz w:val="22"/>
        </w:rPr>
        <w:t> </w:t>
      </w:r>
      <w:r>
        <w:rPr>
          <w:spacing w:val="-2"/>
          <w:sz w:val="22"/>
        </w:rPr>
        <w:t>of</w:t>
      </w:r>
      <w:r>
        <w:rPr>
          <w:spacing w:val="-6"/>
          <w:sz w:val="22"/>
        </w:rPr>
        <w:t> </w:t>
      </w:r>
      <w:r>
        <w:rPr>
          <w:spacing w:val="-2"/>
          <w:sz w:val="22"/>
        </w:rPr>
        <w:t>exclusive</w:t>
      </w:r>
      <w:r>
        <w:rPr>
          <w:spacing w:val="-6"/>
          <w:sz w:val="22"/>
        </w:rPr>
        <w:t> </w:t>
      </w:r>
      <w:r>
        <w:rPr>
          <w:spacing w:val="-2"/>
          <w:sz w:val="22"/>
        </w:rPr>
        <w:t>licenses</w:t>
      </w:r>
      <w:r>
        <w:rPr>
          <w:spacing w:val="-6"/>
          <w:sz w:val="22"/>
        </w:rPr>
        <w:t> </w:t>
      </w:r>
      <w:r>
        <w:rPr>
          <w:spacing w:val="-2"/>
          <w:sz w:val="22"/>
        </w:rPr>
        <w:t>where</w:t>
      </w:r>
      <w:r>
        <w:rPr>
          <w:spacing w:val="-6"/>
          <w:sz w:val="22"/>
        </w:rPr>
        <w:t> </w:t>
      </w:r>
      <w:r>
        <w:rPr>
          <w:spacing w:val="-2"/>
          <w:sz w:val="22"/>
        </w:rPr>
        <w:t>applicable</w:t>
      </w:r>
    </w:p>
    <w:p>
      <w:pPr>
        <w:pStyle w:val="ListParagraph"/>
        <w:numPr>
          <w:ilvl w:val="1"/>
          <w:numId w:val="56"/>
        </w:numPr>
        <w:tabs>
          <w:tab w:pos="1439" w:val="left" w:leader="none"/>
        </w:tabs>
        <w:spacing w:line="266" w:lineRule="auto" w:before="0" w:after="0"/>
        <w:ind w:left="1439" w:right="0" w:hanging="360"/>
        <w:jc w:val="both"/>
        <w:rPr>
          <w:sz w:val="22"/>
        </w:rPr>
      </w:pPr>
      <w:r>
        <w:rPr>
          <w:sz w:val="22"/>
        </w:rPr>
        <w:t>Clarifying situations requiring the invocation </w:t>
      </w:r>
      <w:r>
        <w:rPr>
          <w:sz w:val="22"/>
        </w:rPr>
        <w:t>of ‘march</w:t>
      </w:r>
      <w:r>
        <w:rPr>
          <w:spacing w:val="-14"/>
          <w:sz w:val="22"/>
        </w:rPr>
        <w:t> </w:t>
      </w:r>
      <w:r>
        <w:rPr>
          <w:sz w:val="22"/>
        </w:rPr>
        <w:t>in</w:t>
      </w:r>
      <w:r>
        <w:rPr>
          <w:spacing w:val="-14"/>
          <w:sz w:val="22"/>
        </w:rPr>
        <w:t> </w:t>
      </w:r>
      <w:r>
        <w:rPr>
          <w:sz w:val="22"/>
        </w:rPr>
        <w:t>rights’</w:t>
      </w:r>
      <w:r>
        <w:rPr>
          <w:spacing w:val="-14"/>
          <w:sz w:val="22"/>
        </w:rPr>
        <w:t> </w:t>
      </w:r>
      <w:r>
        <w:rPr>
          <w:sz w:val="22"/>
        </w:rPr>
        <w:t>for</w:t>
      </w:r>
      <w:r>
        <w:rPr>
          <w:spacing w:val="-13"/>
          <w:sz w:val="22"/>
        </w:rPr>
        <w:t> </w:t>
      </w:r>
      <w:r>
        <w:rPr>
          <w:sz w:val="22"/>
        </w:rPr>
        <w:t>government</w:t>
      </w:r>
      <w:r>
        <w:rPr>
          <w:spacing w:val="-14"/>
          <w:sz w:val="22"/>
        </w:rPr>
        <w:t> </w:t>
      </w:r>
      <w:r>
        <w:rPr>
          <w:sz w:val="22"/>
        </w:rPr>
        <w:t>intervention</w:t>
      </w:r>
      <w:r>
        <w:rPr>
          <w:spacing w:val="-14"/>
          <w:sz w:val="22"/>
        </w:rPr>
        <w:t> </w:t>
      </w:r>
      <w:r>
        <w:rPr>
          <w:sz w:val="22"/>
        </w:rPr>
        <w:t>and </w:t>
      </w:r>
      <w:r>
        <w:rPr>
          <w:spacing w:val="-4"/>
          <w:sz w:val="22"/>
        </w:rPr>
        <w:t>clarification</w:t>
      </w:r>
      <w:r>
        <w:rPr>
          <w:spacing w:val="-6"/>
          <w:sz w:val="22"/>
        </w:rPr>
        <w:t> </w:t>
      </w:r>
      <w:r>
        <w:rPr>
          <w:spacing w:val="-4"/>
          <w:sz w:val="22"/>
        </w:rPr>
        <w:t>of</w:t>
      </w:r>
      <w:r>
        <w:rPr>
          <w:spacing w:val="-6"/>
          <w:sz w:val="22"/>
        </w:rPr>
        <w:t> </w:t>
      </w:r>
      <w:r>
        <w:rPr>
          <w:spacing w:val="-4"/>
          <w:sz w:val="22"/>
        </w:rPr>
        <w:t>exceptional</w:t>
      </w:r>
      <w:r>
        <w:rPr>
          <w:spacing w:val="-6"/>
          <w:sz w:val="22"/>
        </w:rPr>
        <w:t> </w:t>
      </w:r>
      <w:r>
        <w:rPr>
          <w:spacing w:val="-4"/>
          <w:sz w:val="22"/>
        </w:rPr>
        <w:t>situations</w:t>
      </w:r>
      <w:r>
        <w:rPr>
          <w:spacing w:val="-6"/>
          <w:sz w:val="22"/>
        </w:rPr>
        <w:t> </w:t>
      </w:r>
      <w:r>
        <w:rPr>
          <w:spacing w:val="-4"/>
          <w:sz w:val="22"/>
        </w:rPr>
        <w:t>to</w:t>
      </w:r>
      <w:r>
        <w:rPr>
          <w:spacing w:val="-6"/>
          <w:sz w:val="22"/>
        </w:rPr>
        <w:t> </w:t>
      </w:r>
      <w:r>
        <w:rPr>
          <w:spacing w:val="-4"/>
          <w:sz w:val="22"/>
        </w:rPr>
        <w:t>the</w:t>
      </w:r>
      <w:r>
        <w:rPr>
          <w:spacing w:val="-6"/>
          <w:sz w:val="22"/>
        </w:rPr>
        <w:t> </w:t>
      </w:r>
      <w:r>
        <w:rPr>
          <w:spacing w:val="-4"/>
          <w:sz w:val="22"/>
        </w:rPr>
        <w:t>general </w:t>
      </w:r>
      <w:r>
        <w:rPr>
          <w:sz w:val="22"/>
        </w:rPr>
        <w:t>right of ownership</w:t>
      </w:r>
    </w:p>
    <w:p>
      <w:pPr>
        <w:pStyle w:val="ListParagraph"/>
        <w:numPr>
          <w:ilvl w:val="1"/>
          <w:numId w:val="56"/>
        </w:numPr>
        <w:tabs>
          <w:tab w:pos="1439" w:val="left" w:leader="none"/>
        </w:tabs>
        <w:spacing w:line="266" w:lineRule="auto" w:before="0" w:after="0"/>
        <w:ind w:left="1439" w:right="0" w:hanging="360"/>
        <w:jc w:val="both"/>
        <w:rPr>
          <w:sz w:val="22"/>
        </w:rPr>
      </w:pPr>
      <w:r>
        <w:rPr>
          <w:sz w:val="22"/>
        </w:rPr>
        <w:t>Determining whether plant varieties come </w:t>
      </w:r>
      <w:r>
        <w:rPr>
          <w:sz w:val="22"/>
        </w:rPr>
        <w:t>under the scope of ‘inventions’ in light of India’s own </w:t>
      </w:r>
      <w:r>
        <w:rPr>
          <w:spacing w:val="-4"/>
          <w:sz w:val="22"/>
        </w:rPr>
        <w:t>patent and plant varieties, legislation and analysing </w:t>
      </w:r>
      <w:r>
        <w:rPr>
          <w:sz w:val="22"/>
        </w:rPr>
        <w:t>the relationships between the proposed act and India’s own patent and plant varieties acts</w:t>
      </w:r>
    </w:p>
    <w:p>
      <w:pPr>
        <w:pStyle w:val="BodyText"/>
        <w:spacing w:before="17"/>
      </w:pPr>
    </w:p>
    <w:p>
      <w:pPr>
        <w:pStyle w:val="BodyText"/>
        <w:spacing w:line="266" w:lineRule="auto" w:before="1"/>
        <w:ind w:left="1079"/>
        <w:jc w:val="both"/>
      </w:pPr>
      <w:r>
        <w:rPr/>
        <w:t>There</w:t>
      </w:r>
      <w:r>
        <w:rPr>
          <w:spacing w:val="40"/>
        </w:rPr>
        <w:t> </w:t>
      </w:r>
      <w:r>
        <w:rPr/>
        <w:t>are</w:t>
      </w:r>
      <w:r>
        <w:rPr>
          <w:spacing w:val="40"/>
        </w:rPr>
        <w:t> </w:t>
      </w:r>
      <w:r>
        <w:rPr/>
        <w:t>precedents</w:t>
      </w:r>
      <w:r>
        <w:rPr>
          <w:spacing w:val="40"/>
        </w:rPr>
        <w:t> </w:t>
      </w:r>
      <w:r>
        <w:rPr/>
        <w:t>for</w:t>
      </w:r>
      <w:r>
        <w:rPr>
          <w:spacing w:val="40"/>
        </w:rPr>
        <w:t> </w:t>
      </w:r>
      <w:r>
        <w:rPr/>
        <w:t>such</w:t>
      </w:r>
      <w:r>
        <w:rPr>
          <w:spacing w:val="40"/>
        </w:rPr>
        <w:t> </w:t>
      </w:r>
      <w:r>
        <w:rPr/>
        <w:t>legislation</w:t>
      </w:r>
      <w:r>
        <w:rPr>
          <w:spacing w:val="40"/>
        </w:rPr>
        <w:t> </w:t>
      </w:r>
      <w:r>
        <w:rPr/>
        <w:t>such</w:t>
      </w:r>
      <w:r>
        <w:rPr>
          <w:spacing w:val="40"/>
        </w:rPr>
        <w:t> </w:t>
      </w:r>
      <w:r>
        <w:rPr/>
        <w:t>as the American enactment entitled the Patent and Trademark Law Amendments Act, enacted in 1980 and commonly known as the Bayh-Dole Act. It is perhaps significant to note that in the United States, before</w:t>
      </w:r>
      <w:r>
        <w:rPr>
          <w:spacing w:val="-2"/>
        </w:rPr>
        <w:t> </w:t>
      </w:r>
      <w:r>
        <w:rPr/>
        <w:t>the</w:t>
      </w:r>
      <w:r>
        <w:rPr>
          <w:spacing w:val="-2"/>
        </w:rPr>
        <w:t> </w:t>
      </w:r>
      <w:r>
        <w:rPr/>
        <w:t>Bayh-Dole</w:t>
      </w:r>
      <w:r>
        <w:rPr>
          <w:spacing w:val="-2"/>
        </w:rPr>
        <w:t> </w:t>
      </w:r>
      <w:r>
        <w:rPr/>
        <w:t>Act</w:t>
      </w:r>
      <w:r>
        <w:rPr>
          <w:spacing w:val="-2"/>
        </w:rPr>
        <w:t> </w:t>
      </w:r>
      <w:r>
        <w:rPr/>
        <w:t>was</w:t>
      </w:r>
      <w:r>
        <w:rPr>
          <w:spacing w:val="-2"/>
        </w:rPr>
        <w:t> </w:t>
      </w:r>
      <w:r>
        <w:rPr/>
        <w:t>enacted,</w:t>
      </w:r>
      <w:r>
        <w:rPr>
          <w:spacing w:val="-2"/>
        </w:rPr>
        <w:t> </w:t>
      </w:r>
      <w:r>
        <w:rPr/>
        <w:t>the</w:t>
      </w:r>
      <w:r>
        <w:rPr>
          <w:spacing w:val="-2"/>
        </w:rPr>
        <w:t> </w:t>
      </w:r>
      <w:r>
        <w:rPr/>
        <w:t>country’s federal</w:t>
      </w:r>
      <w:r>
        <w:rPr>
          <w:spacing w:val="53"/>
        </w:rPr>
        <w:t> </w:t>
      </w:r>
      <w:r>
        <w:rPr/>
        <w:t>agencies</w:t>
      </w:r>
      <w:r>
        <w:rPr>
          <w:spacing w:val="53"/>
        </w:rPr>
        <w:t> </w:t>
      </w:r>
      <w:r>
        <w:rPr/>
        <w:t>owned</w:t>
      </w:r>
      <w:r>
        <w:rPr>
          <w:spacing w:val="53"/>
        </w:rPr>
        <w:t> </w:t>
      </w:r>
      <w:r>
        <w:rPr/>
        <w:t>about</w:t>
      </w:r>
      <w:r>
        <w:rPr>
          <w:spacing w:val="53"/>
        </w:rPr>
        <w:t> </w:t>
      </w:r>
      <w:r>
        <w:rPr/>
        <w:t>28,000</w:t>
      </w:r>
      <w:r>
        <w:rPr>
          <w:spacing w:val="53"/>
        </w:rPr>
        <w:t> </w:t>
      </w:r>
      <w:r>
        <w:rPr/>
        <w:t>patents,</w:t>
      </w:r>
      <w:r>
        <w:rPr>
          <w:spacing w:val="53"/>
        </w:rPr>
        <w:t> </w:t>
      </w:r>
      <w:r>
        <w:rPr>
          <w:spacing w:val="-5"/>
        </w:rPr>
        <w:t>out</w:t>
      </w:r>
    </w:p>
    <w:p>
      <w:pPr>
        <w:pStyle w:val="BodyText"/>
        <w:spacing w:line="266" w:lineRule="auto" w:before="77"/>
        <w:ind w:left="319" w:right="1077"/>
        <w:jc w:val="both"/>
      </w:pPr>
      <w:r>
        <w:rPr/>
        <w:br w:type="column"/>
      </w:r>
      <w:r>
        <w:rPr/>
        <w:t>of</w:t>
      </w:r>
      <w:r>
        <w:rPr>
          <w:spacing w:val="28"/>
        </w:rPr>
        <w:t> </w:t>
      </w:r>
      <w:r>
        <w:rPr/>
        <w:t>which</w:t>
      </w:r>
      <w:r>
        <w:rPr>
          <w:spacing w:val="28"/>
        </w:rPr>
        <w:t> </w:t>
      </w:r>
      <w:r>
        <w:rPr/>
        <w:t>only</w:t>
      </w:r>
      <w:r>
        <w:rPr>
          <w:spacing w:val="28"/>
        </w:rPr>
        <w:t> </w:t>
      </w:r>
      <w:r>
        <w:rPr/>
        <w:t>5</w:t>
      </w:r>
      <w:r>
        <w:rPr>
          <w:spacing w:val="28"/>
        </w:rPr>
        <w:t> </w:t>
      </w:r>
      <w:r>
        <w:rPr/>
        <w:t>per</w:t>
      </w:r>
      <w:r>
        <w:rPr>
          <w:spacing w:val="28"/>
        </w:rPr>
        <w:t> </w:t>
      </w:r>
      <w:r>
        <w:rPr/>
        <w:t>cent</w:t>
      </w:r>
      <w:r>
        <w:rPr>
          <w:spacing w:val="28"/>
        </w:rPr>
        <w:t> </w:t>
      </w:r>
      <w:r>
        <w:rPr/>
        <w:t>were</w:t>
      </w:r>
      <w:r>
        <w:rPr>
          <w:spacing w:val="28"/>
        </w:rPr>
        <w:t> </w:t>
      </w:r>
      <w:r>
        <w:rPr/>
        <w:t>licensed</w:t>
      </w:r>
      <w:r>
        <w:rPr>
          <w:spacing w:val="28"/>
        </w:rPr>
        <w:t> </w:t>
      </w:r>
      <w:r>
        <w:rPr/>
        <w:t>to</w:t>
      </w:r>
      <w:r>
        <w:rPr>
          <w:spacing w:val="28"/>
        </w:rPr>
        <w:t> </w:t>
      </w:r>
      <w:r>
        <w:rPr/>
        <w:t>industry to develop commercial products. Subsequent to the enactment of the said act, there has been a massive rise</w:t>
      </w:r>
      <w:r>
        <w:rPr>
          <w:spacing w:val="36"/>
        </w:rPr>
        <w:t> </w:t>
      </w:r>
      <w:r>
        <w:rPr/>
        <w:t>in</w:t>
      </w:r>
      <w:r>
        <w:rPr>
          <w:spacing w:val="36"/>
        </w:rPr>
        <w:t> </w:t>
      </w:r>
      <w:r>
        <w:rPr/>
        <w:t>the</w:t>
      </w:r>
      <w:r>
        <w:rPr>
          <w:spacing w:val="36"/>
        </w:rPr>
        <w:t> </w:t>
      </w:r>
      <w:r>
        <w:rPr/>
        <w:t>number</w:t>
      </w:r>
      <w:r>
        <w:rPr>
          <w:spacing w:val="36"/>
        </w:rPr>
        <w:t> </w:t>
      </w:r>
      <w:r>
        <w:rPr/>
        <w:t>of</w:t>
      </w:r>
      <w:r>
        <w:rPr>
          <w:spacing w:val="36"/>
        </w:rPr>
        <w:t> </w:t>
      </w:r>
      <w:r>
        <w:rPr/>
        <w:t>patents</w:t>
      </w:r>
      <w:r>
        <w:rPr>
          <w:spacing w:val="36"/>
        </w:rPr>
        <w:t> </w:t>
      </w:r>
      <w:r>
        <w:rPr/>
        <w:t>filed</w:t>
      </w:r>
      <w:r>
        <w:rPr>
          <w:spacing w:val="36"/>
        </w:rPr>
        <w:t> </w:t>
      </w:r>
      <w:r>
        <w:rPr/>
        <w:t>by</w:t>
      </w:r>
      <w:r>
        <w:rPr>
          <w:spacing w:val="36"/>
        </w:rPr>
        <w:t> </w:t>
      </w:r>
      <w:r>
        <w:rPr/>
        <w:t>and</w:t>
      </w:r>
      <w:r>
        <w:rPr>
          <w:spacing w:val="36"/>
        </w:rPr>
        <w:t> </w:t>
      </w:r>
      <w:r>
        <w:rPr/>
        <w:t>granted to universities, the number of universities involved</w:t>
      </w:r>
      <w:r>
        <w:rPr>
          <w:spacing w:val="40"/>
        </w:rPr>
        <w:t> </w:t>
      </w:r>
      <w:r>
        <w:rPr/>
        <w:t>in patenting and licensing of inventions and in the number of new companies that have been set up on the basis of new inventions licensed by universities. There</w:t>
      </w:r>
      <w:r>
        <w:rPr>
          <w:spacing w:val="-8"/>
        </w:rPr>
        <w:t> </w:t>
      </w:r>
      <w:r>
        <w:rPr/>
        <w:t>have</w:t>
      </w:r>
      <w:r>
        <w:rPr>
          <w:spacing w:val="-8"/>
        </w:rPr>
        <w:t> </w:t>
      </w:r>
      <w:r>
        <w:rPr/>
        <w:t>also</w:t>
      </w:r>
      <w:r>
        <w:rPr>
          <w:spacing w:val="-8"/>
        </w:rPr>
        <w:t> </w:t>
      </w:r>
      <w:r>
        <w:rPr/>
        <w:t>been</w:t>
      </w:r>
      <w:r>
        <w:rPr>
          <w:spacing w:val="-8"/>
        </w:rPr>
        <w:t> </w:t>
      </w:r>
      <w:r>
        <w:rPr/>
        <w:t>innovative</w:t>
      </w:r>
      <w:r>
        <w:rPr>
          <w:spacing w:val="-8"/>
        </w:rPr>
        <w:t> </w:t>
      </w:r>
      <w:r>
        <w:rPr/>
        <w:t>breakthroughs</w:t>
      </w:r>
      <w:r>
        <w:rPr>
          <w:spacing w:val="-8"/>
        </w:rPr>
        <w:t> </w:t>
      </w:r>
      <w:r>
        <w:rPr/>
        <w:t>in</w:t>
      </w:r>
      <w:r>
        <w:rPr>
          <w:spacing w:val="-8"/>
        </w:rPr>
        <w:t> </w:t>
      </w:r>
      <w:r>
        <w:rPr/>
        <w:t>the </w:t>
      </w:r>
      <w:r>
        <w:rPr>
          <w:spacing w:val="-2"/>
        </w:rPr>
        <w:t>form</w:t>
      </w:r>
      <w:r>
        <w:rPr>
          <w:spacing w:val="-12"/>
        </w:rPr>
        <w:t> </w:t>
      </w:r>
      <w:r>
        <w:rPr>
          <w:spacing w:val="-2"/>
        </w:rPr>
        <w:t>of</w:t>
      </w:r>
      <w:r>
        <w:rPr>
          <w:spacing w:val="-12"/>
        </w:rPr>
        <w:t> </w:t>
      </w:r>
      <w:r>
        <w:rPr>
          <w:spacing w:val="-2"/>
        </w:rPr>
        <w:t>inventions,</w:t>
      </w:r>
      <w:r>
        <w:rPr>
          <w:spacing w:val="-12"/>
        </w:rPr>
        <w:t> </w:t>
      </w:r>
      <w:r>
        <w:rPr>
          <w:spacing w:val="-2"/>
        </w:rPr>
        <w:t>technologies</w:t>
      </w:r>
      <w:r>
        <w:rPr>
          <w:spacing w:val="-11"/>
        </w:rPr>
        <w:t> </w:t>
      </w:r>
      <w:r>
        <w:rPr>
          <w:spacing w:val="-2"/>
        </w:rPr>
        <w:t>and</w:t>
      </w:r>
      <w:r>
        <w:rPr>
          <w:spacing w:val="-12"/>
        </w:rPr>
        <w:t> </w:t>
      </w:r>
      <w:r>
        <w:rPr>
          <w:spacing w:val="-2"/>
        </w:rPr>
        <w:t>processes,</w:t>
      </w:r>
      <w:r>
        <w:rPr>
          <w:spacing w:val="-12"/>
        </w:rPr>
        <w:t> </w:t>
      </w:r>
      <w:r>
        <w:rPr>
          <w:spacing w:val="-2"/>
        </w:rPr>
        <w:t>arising </w:t>
      </w:r>
      <w:r>
        <w:rPr/>
        <w:t>from</w:t>
      </w:r>
      <w:r>
        <w:rPr>
          <w:spacing w:val="-14"/>
        </w:rPr>
        <w:t> </w:t>
      </w:r>
      <w:r>
        <w:rPr/>
        <w:t>university</w:t>
      </w:r>
      <w:r>
        <w:rPr>
          <w:spacing w:val="-13"/>
        </w:rPr>
        <w:t> </w:t>
      </w:r>
      <w:r>
        <w:rPr/>
        <w:t>research.</w:t>
      </w:r>
      <w:r>
        <w:rPr>
          <w:spacing w:val="-14"/>
        </w:rPr>
        <w:t> </w:t>
      </w:r>
      <w:r>
        <w:rPr/>
        <w:t>Economic</w:t>
      </w:r>
      <w:r>
        <w:rPr>
          <w:spacing w:val="-13"/>
        </w:rPr>
        <w:t> </w:t>
      </w:r>
      <w:r>
        <w:rPr/>
        <w:t>activity</w:t>
      </w:r>
      <w:r>
        <w:rPr>
          <w:spacing w:val="-14"/>
        </w:rPr>
        <w:t> </w:t>
      </w:r>
      <w:r>
        <w:rPr/>
        <w:t>of</w:t>
      </w:r>
      <w:r>
        <w:rPr>
          <w:spacing w:val="-13"/>
        </w:rPr>
        <w:t> </w:t>
      </w:r>
      <w:r>
        <w:rPr/>
        <w:t>a</w:t>
      </w:r>
      <w:r>
        <w:rPr>
          <w:spacing w:val="-14"/>
        </w:rPr>
        <w:t> </w:t>
      </w:r>
      <w:r>
        <w:rPr/>
        <w:t>scale running into billions of dollars has been generated, further creating new jobs in the economy.</w:t>
      </w:r>
    </w:p>
    <w:p>
      <w:pPr>
        <w:pStyle w:val="BodyText"/>
        <w:spacing w:before="17"/>
      </w:pPr>
    </w:p>
    <w:p>
      <w:pPr>
        <w:pStyle w:val="BodyText"/>
        <w:spacing w:line="266" w:lineRule="auto"/>
        <w:ind w:left="319" w:right="1077"/>
        <w:jc w:val="both"/>
      </w:pPr>
      <w:r>
        <w:rPr/>
        <w:t>In NKC’s view, introduction of legislation </w:t>
      </w:r>
      <w:r>
        <w:rPr/>
        <w:t>generally along the lines of the Bayh-Dole Act, while keeping in</w:t>
      </w:r>
      <w:r>
        <w:rPr>
          <w:spacing w:val="-5"/>
        </w:rPr>
        <w:t> </w:t>
      </w:r>
      <w:r>
        <w:rPr/>
        <w:t>mind</w:t>
      </w:r>
      <w:r>
        <w:rPr>
          <w:spacing w:val="-5"/>
        </w:rPr>
        <w:t> </w:t>
      </w:r>
      <w:r>
        <w:rPr/>
        <w:t>India’s</w:t>
      </w:r>
      <w:r>
        <w:rPr>
          <w:spacing w:val="-5"/>
        </w:rPr>
        <w:t> </w:t>
      </w:r>
      <w:r>
        <w:rPr/>
        <w:t>specific</w:t>
      </w:r>
      <w:r>
        <w:rPr>
          <w:spacing w:val="-5"/>
        </w:rPr>
        <w:t> </w:t>
      </w:r>
      <w:r>
        <w:rPr/>
        <w:t>interests,</w:t>
      </w:r>
      <w:r>
        <w:rPr>
          <w:spacing w:val="-5"/>
        </w:rPr>
        <w:t> </w:t>
      </w:r>
      <w:r>
        <w:rPr/>
        <w:t>is</w:t>
      </w:r>
      <w:r>
        <w:rPr>
          <w:spacing w:val="-5"/>
        </w:rPr>
        <w:t> </w:t>
      </w:r>
      <w:r>
        <w:rPr/>
        <w:t>necessary</w:t>
      </w:r>
      <w:r>
        <w:rPr>
          <w:spacing w:val="-5"/>
        </w:rPr>
        <w:t> </w:t>
      </w:r>
      <w:r>
        <w:rPr/>
        <w:t>to</w:t>
      </w:r>
      <w:r>
        <w:rPr>
          <w:spacing w:val="-5"/>
        </w:rPr>
        <w:t> </w:t>
      </w:r>
      <w:r>
        <w:rPr/>
        <w:t>help scientific research develop far reaching innovations, generate employment and function as a vehicle of significant economic growth.</w:t>
      </w:r>
    </w:p>
    <w:p>
      <w:pPr>
        <w:spacing w:after="0" w:line="266" w:lineRule="auto"/>
        <w:jc w:val="both"/>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spacing w:before="135"/>
        <w:rPr>
          <w:sz w:val="20"/>
        </w:rPr>
      </w:pPr>
    </w:p>
    <w:p>
      <w:pPr>
        <w:spacing w:after="0"/>
        <w:rPr>
          <w:sz w:val="20"/>
        </w:rPr>
        <w:sectPr>
          <w:pgSz w:w="11910" w:h="16840"/>
          <w:pgMar w:header="0" w:footer="675" w:top="0" w:bottom="860" w:left="0" w:right="0"/>
        </w:sectPr>
      </w:pPr>
    </w:p>
    <w:p>
      <w:pPr>
        <w:pStyle w:val="Heading3"/>
        <w:spacing w:line="247" w:lineRule="auto"/>
        <w:ind w:right="-5"/>
      </w:pPr>
      <w:r>
        <w:rPr/>
        <w:drawing>
          <wp:anchor distT="0" distB="0" distL="0" distR="0" allowOverlap="1" layoutInCell="1" locked="0" behindDoc="1" simplePos="0" relativeHeight="479356416">
            <wp:simplePos x="0" y="0"/>
            <wp:positionH relativeFrom="page">
              <wp:posOffset>0</wp:posOffset>
            </wp:positionH>
            <wp:positionV relativeFrom="paragraph">
              <wp:posOffset>-535102</wp:posOffset>
            </wp:positionV>
            <wp:extent cx="7559999" cy="1752562"/>
            <wp:effectExtent l="0" t="0" r="0" b="0"/>
            <wp:wrapNone/>
            <wp:docPr id="962" name="Image 962"/>
            <wp:cNvGraphicFramePr>
              <a:graphicFrameLocks/>
            </wp:cNvGraphicFramePr>
            <a:graphic>
              <a:graphicData uri="http://schemas.openxmlformats.org/drawingml/2006/picture">
                <pic:pic>
                  <pic:nvPicPr>
                    <pic:cNvPr id="962" name="Image 962"/>
                    <pic:cNvPicPr/>
                  </pic:nvPicPr>
                  <pic:blipFill>
                    <a:blip r:embed="rId11" cstate="print"/>
                    <a:stretch>
                      <a:fillRect/>
                    </a:stretch>
                  </pic:blipFill>
                  <pic:spPr>
                    <a:xfrm>
                      <a:off x="0" y="0"/>
                      <a:ext cx="7559999" cy="1752562"/>
                    </a:xfrm>
                    <a:prstGeom prst="rect">
                      <a:avLst/>
                    </a:prstGeom>
                  </pic:spPr>
                </pic:pic>
              </a:graphicData>
            </a:graphic>
          </wp:anchor>
        </w:drawing>
      </w:r>
      <w:r>
        <w:rPr>
          <w:color w:val="FFFFFF"/>
          <w:spacing w:val="-2"/>
        </w:rPr>
        <w:t>Intellectual </w:t>
      </w:r>
      <w:r>
        <w:rPr>
          <w:color w:val="FFFFFF"/>
        </w:rPr>
        <w:t>Property </w:t>
      </w:r>
      <w:r>
        <w:rPr>
          <w:color w:val="FFFFFF"/>
          <w:spacing w:val="-2"/>
        </w:rPr>
        <w:t>Rights</w:t>
      </w:r>
    </w:p>
    <w:p>
      <w:pPr>
        <w:pStyle w:val="BodyText"/>
        <w:spacing w:before="324"/>
        <w:rPr>
          <w:rFonts w:ascii="Trebuchet MS"/>
          <w:b/>
          <w:sz w:val="68"/>
        </w:rPr>
      </w:pPr>
    </w:p>
    <w:p>
      <w:pPr>
        <w:pStyle w:val="BodyText"/>
        <w:spacing w:line="266" w:lineRule="auto"/>
        <w:ind w:left="1743" w:right="222"/>
        <w:jc w:val="both"/>
      </w:pPr>
      <w:r>
        <w:rPr/>
        <mc:AlternateContent>
          <mc:Choice Requires="wps">
            <w:drawing>
              <wp:anchor distT="0" distB="0" distL="0" distR="0" allowOverlap="1" layoutInCell="1" locked="0" behindDoc="1" simplePos="0" relativeHeight="479356928">
                <wp:simplePos x="0" y="0"/>
                <wp:positionH relativeFrom="page">
                  <wp:posOffset>685800</wp:posOffset>
                </wp:positionH>
                <wp:positionV relativeFrom="paragraph">
                  <wp:posOffset>-89099</wp:posOffset>
                </wp:positionV>
                <wp:extent cx="421640" cy="757555"/>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421640" cy="757555"/>
                        </a:xfrm>
                        <a:prstGeom prst="rect">
                          <a:avLst/>
                        </a:prstGeom>
                      </wps:spPr>
                      <wps:txbx>
                        <w:txbxContent>
                          <w:p>
                            <w:pPr>
                              <w:spacing w:line="1135" w:lineRule="exact" w:before="0"/>
                              <w:ind w:left="0" w:right="0" w:firstLine="0"/>
                              <w:jc w:val="left"/>
                              <w:rPr>
                                <w:sz w:val="106"/>
                              </w:rPr>
                            </w:pPr>
                            <w:r>
                              <w:rPr>
                                <w:color w:val="9CBF3B"/>
                                <w:spacing w:val="-10"/>
                                <w:w w:val="85"/>
                                <w:sz w:val="106"/>
                              </w:rPr>
                              <w:t>A</w:t>
                            </w:r>
                          </w:p>
                        </w:txbxContent>
                      </wps:txbx>
                      <wps:bodyPr wrap="square" lIns="0" tIns="0" rIns="0" bIns="0" rtlCol="0">
                        <a:noAutofit/>
                      </wps:bodyPr>
                    </wps:wsp>
                  </a:graphicData>
                </a:graphic>
              </wp:anchor>
            </w:drawing>
          </mc:Choice>
          <mc:Fallback>
            <w:pict>
              <v:shape style="position:absolute;margin-left:54pt;margin-top:-7.015717pt;width:33.2pt;height:59.65pt;mso-position-horizontal-relative:page;mso-position-vertical-relative:paragraph;z-index:-23959552" type="#_x0000_t202" id="docshape954" filled="false" stroked="false">
                <v:textbox inset="0,0,0,0">
                  <w:txbxContent>
                    <w:p>
                      <w:pPr>
                        <w:spacing w:line="1135" w:lineRule="exact" w:before="0"/>
                        <w:ind w:left="0" w:right="0" w:firstLine="0"/>
                        <w:jc w:val="left"/>
                        <w:rPr>
                          <w:sz w:val="106"/>
                        </w:rPr>
                      </w:pPr>
                      <w:r>
                        <w:rPr>
                          <w:color w:val="9CBF3B"/>
                          <w:spacing w:val="-10"/>
                          <w:w w:val="85"/>
                          <w:sz w:val="106"/>
                        </w:rPr>
                        <w:t>A</w:t>
                      </w:r>
                    </w:p>
                  </w:txbxContent>
                </v:textbox>
                <w10:wrap type="none"/>
              </v:shape>
            </w:pict>
          </mc:Fallback>
        </mc:AlternateContent>
      </w:r>
      <w:r>
        <w:rPr/>
        <w:t>nation’s future and its ability to compete </w:t>
      </w:r>
      <w:r>
        <w:rPr/>
        <w:t>in the global market depend greatly on how it generates</w:t>
      </w:r>
      <w:r>
        <w:rPr>
          <w:spacing w:val="17"/>
        </w:rPr>
        <w:t> </w:t>
      </w:r>
      <w:r>
        <w:rPr/>
        <w:t>new</w:t>
      </w:r>
      <w:r>
        <w:rPr>
          <w:spacing w:val="17"/>
        </w:rPr>
        <w:t> </w:t>
      </w:r>
      <w:r>
        <w:rPr/>
        <w:t>ideas</w:t>
      </w:r>
      <w:r>
        <w:rPr>
          <w:spacing w:val="17"/>
        </w:rPr>
        <w:t> </w:t>
      </w:r>
      <w:r>
        <w:rPr/>
        <w:t>and</w:t>
      </w:r>
      <w:r>
        <w:rPr>
          <w:spacing w:val="17"/>
        </w:rPr>
        <w:t> </w:t>
      </w:r>
      <w:r>
        <w:rPr/>
        <w:t>innovates</w:t>
      </w:r>
      <w:r>
        <w:rPr>
          <w:spacing w:val="17"/>
        </w:rPr>
        <w:t> </w:t>
      </w:r>
      <w:r>
        <w:rPr/>
        <w:t>in</w:t>
      </w:r>
      <w:r>
        <w:rPr>
          <w:spacing w:val="17"/>
        </w:rPr>
        <w:t> </w:t>
      </w:r>
      <w:r>
        <w:rPr>
          <w:spacing w:val="-7"/>
        </w:rPr>
        <w:t>science</w:t>
      </w:r>
    </w:p>
    <w:p>
      <w:pPr>
        <w:pStyle w:val="BodyText"/>
        <w:spacing w:line="266" w:lineRule="auto"/>
        <w:ind w:left="1080" w:right="221"/>
        <w:jc w:val="both"/>
      </w:pPr>
      <w:r>
        <w:rPr/>
        <w:t>and technology. Intellectual Property creation and </w:t>
      </w:r>
      <w:r>
        <w:rPr>
          <w:spacing w:val="-4"/>
        </w:rPr>
        <w:t>protection are critical issues in global knowledge based </w:t>
      </w:r>
      <w:r>
        <w:rPr/>
        <w:t>competition. Countries like China, Japan and </w:t>
      </w:r>
      <w:r>
        <w:rPr/>
        <w:t>Korea have improved their respective IPR systems through intense capacity building efforts, with a view to </w:t>
      </w:r>
      <w:r>
        <w:rPr>
          <w:spacing w:val="-2"/>
        </w:rPr>
        <w:t>achieving</w:t>
      </w:r>
      <w:r>
        <w:rPr>
          <w:spacing w:val="-12"/>
        </w:rPr>
        <w:t> </w:t>
      </w:r>
      <w:r>
        <w:rPr>
          <w:spacing w:val="-2"/>
        </w:rPr>
        <w:t>greater</w:t>
      </w:r>
      <w:r>
        <w:rPr>
          <w:spacing w:val="-12"/>
        </w:rPr>
        <w:t> </w:t>
      </w:r>
      <w:r>
        <w:rPr>
          <w:spacing w:val="-2"/>
        </w:rPr>
        <w:t>innovation.</w:t>
      </w:r>
      <w:r>
        <w:rPr>
          <w:spacing w:val="-12"/>
        </w:rPr>
        <w:t> </w:t>
      </w:r>
      <w:r>
        <w:rPr>
          <w:spacing w:val="-2"/>
        </w:rPr>
        <w:t>It</w:t>
      </w:r>
      <w:r>
        <w:rPr>
          <w:spacing w:val="-11"/>
        </w:rPr>
        <w:t> </w:t>
      </w:r>
      <w:r>
        <w:rPr>
          <w:spacing w:val="-2"/>
        </w:rPr>
        <w:t>has</w:t>
      </w:r>
      <w:r>
        <w:rPr>
          <w:spacing w:val="-12"/>
        </w:rPr>
        <w:t> </w:t>
      </w:r>
      <w:r>
        <w:rPr>
          <w:spacing w:val="-2"/>
        </w:rPr>
        <w:t>become</w:t>
      </w:r>
      <w:r>
        <w:rPr>
          <w:spacing w:val="-12"/>
        </w:rPr>
        <w:t> </w:t>
      </w:r>
      <w:r>
        <w:rPr>
          <w:spacing w:val="-2"/>
        </w:rPr>
        <w:t>imperative </w:t>
      </w:r>
      <w:r>
        <w:rPr/>
        <w:t>for</w:t>
      </w:r>
      <w:r>
        <w:rPr>
          <w:spacing w:val="-8"/>
        </w:rPr>
        <w:t> </w:t>
      </w:r>
      <w:r>
        <w:rPr/>
        <w:t>India</w:t>
      </w:r>
      <w:r>
        <w:rPr>
          <w:spacing w:val="-6"/>
        </w:rPr>
        <w:t> </w:t>
      </w:r>
      <w:r>
        <w:rPr/>
        <w:t>to</w:t>
      </w:r>
      <w:r>
        <w:rPr>
          <w:spacing w:val="-6"/>
        </w:rPr>
        <w:t> </w:t>
      </w:r>
      <w:r>
        <w:rPr/>
        <w:t>scale</w:t>
      </w:r>
      <w:r>
        <w:rPr>
          <w:spacing w:val="-6"/>
        </w:rPr>
        <w:t> </w:t>
      </w:r>
      <w:r>
        <w:rPr/>
        <w:t>up</w:t>
      </w:r>
      <w:r>
        <w:rPr>
          <w:spacing w:val="-6"/>
        </w:rPr>
        <w:t> </w:t>
      </w:r>
      <w:r>
        <w:rPr/>
        <w:t>efforts</w:t>
      </w:r>
      <w:r>
        <w:rPr>
          <w:spacing w:val="-6"/>
        </w:rPr>
        <w:t> </w:t>
      </w:r>
      <w:r>
        <w:rPr/>
        <w:t>to</w:t>
      </w:r>
      <w:r>
        <w:rPr>
          <w:spacing w:val="-6"/>
        </w:rPr>
        <w:t> </w:t>
      </w:r>
      <w:r>
        <w:rPr/>
        <w:t>build</w:t>
      </w:r>
      <w:r>
        <w:rPr>
          <w:spacing w:val="-6"/>
        </w:rPr>
        <w:t> </w:t>
      </w:r>
      <w:r>
        <w:rPr/>
        <w:t>a</w:t>
      </w:r>
      <w:r>
        <w:rPr>
          <w:spacing w:val="-6"/>
        </w:rPr>
        <w:t> </w:t>
      </w:r>
      <w:r>
        <w:rPr/>
        <w:t>world</w:t>
      </w:r>
      <w:r>
        <w:rPr>
          <w:spacing w:val="-6"/>
        </w:rPr>
        <w:t> </w:t>
      </w:r>
      <w:r>
        <w:rPr/>
        <w:t>class</w:t>
      </w:r>
      <w:r>
        <w:rPr>
          <w:spacing w:val="-6"/>
        </w:rPr>
        <w:t> </w:t>
      </w:r>
      <w:r>
        <w:rPr/>
        <w:t>IPR infrastructure and ensure that IPR is used in the best </w:t>
      </w:r>
      <w:r>
        <w:rPr>
          <w:spacing w:val="-4"/>
        </w:rPr>
        <w:t>national</w:t>
      </w:r>
      <w:r>
        <w:rPr>
          <w:spacing w:val="-10"/>
        </w:rPr>
        <w:t> </w:t>
      </w:r>
      <w:r>
        <w:rPr>
          <w:spacing w:val="-4"/>
        </w:rPr>
        <w:t>interest</w:t>
      </w:r>
      <w:r>
        <w:rPr>
          <w:spacing w:val="-10"/>
        </w:rPr>
        <w:t> </w:t>
      </w:r>
      <w:r>
        <w:rPr>
          <w:spacing w:val="-4"/>
        </w:rPr>
        <w:t>for</w:t>
      </w:r>
      <w:r>
        <w:rPr>
          <w:spacing w:val="-10"/>
        </w:rPr>
        <w:t> </w:t>
      </w:r>
      <w:r>
        <w:rPr>
          <w:spacing w:val="-4"/>
        </w:rPr>
        <w:t>more</w:t>
      </w:r>
      <w:r>
        <w:rPr>
          <w:spacing w:val="-9"/>
        </w:rPr>
        <w:t> </w:t>
      </w:r>
      <w:r>
        <w:rPr>
          <w:spacing w:val="-4"/>
        </w:rPr>
        <w:t>extensive</w:t>
      </w:r>
      <w:r>
        <w:rPr>
          <w:spacing w:val="-10"/>
        </w:rPr>
        <w:t> </w:t>
      </w:r>
      <w:r>
        <w:rPr>
          <w:spacing w:val="-4"/>
        </w:rPr>
        <w:t>innovative</w:t>
      </w:r>
      <w:r>
        <w:rPr>
          <w:spacing w:val="-10"/>
        </w:rPr>
        <w:t> </w:t>
      </w:r>
      <w:r>
        <w:rPr>
          <w:spacing w:val="-4"/>
        </w:rPr>
        <w:t>research, </w:t>
      </w:r>
      <w:r>
        <w:rPr/>
        <w:t>technology transfer, wealth creation and overall benefit of society. NKC’s consultations with various </w:t>
      </w:r>
      <w:r>
        <w:rPr>
          <w:spacing w:val="-6"/>
        </w:rPr>
        <w:t>stakeholders have helped to identify some key areas that will facilitate such systemic reform. Some of these areas </w:t>
      </w:r>
      <w:r>
        <w:rPr/>
        <w:t>involve</w:t>
      </w:r>
      <w:r>
        <w:rPr>
          <w:spacing w:val="-16"/>
        </w:rPr>
        <w:t> </w:t>
      </w:r>
      <w:r>
        <w:rPr/>
        <w:t>the</w:t>
      </w:r>
      <w:r>
        <w:rPr>
          <w:spacing w:val="-14"/>
        </w:rPr>
        <w:t> </w:t>
      </w:r>
      <w:r>
        <w:rPr/>
        <w:t>granting</w:t>
      </w:r>
      <w:r>
        <w:rPr>
          <w:spacing w:val="-14"/>
        </w:rPr>
        <w:t> </w:t>
      </w:r>
      <w:r>
        <w:rPr/>
        <w:t>of</w:t>
      </w:r>
      <w:r>
        <w:rPr>
          <w:spacing w:val="-13"/>
        </w:rPr>
        <w:t> </w:t>
      </w:r>
      <w:r>
        <w:rPr/>
        <w:t>product</w:t>
      </w:r>
      <w:r>
        <w:rPr>
          <w:spacing w:val="-14"/>
        </w:rPr>
        <w:t> </w:t>
      </w:r>
      <w:r>
        <w:rPr/>
        <w:t>and</w:t>
      </w:r>
      <w:r>
        <w:rPr>
          <w:spacing w:val="-14"/>
        </w:rPr>
        <w:t> </w:t>
      </w:r>
      <w:r>
        <w:rPr/>
        <w:t>process</w:t>
      </w:r>
      <w:r>
        <w:rPr>
          <w:spacing w:val="-14"/>
        </w:rPr>
        <w:t> </w:t>
      </w:r>
      <w:r>
        <w:rPr/>
        <w:t>patents,</w:t>
      </w:r>
      <w:r>
        <w:rPr>
          <w:spacing w:val="-13"/>
        </w:rPr>
        <w:t> </w:t>
      </w:r>
      <w:r>
        <w:rPr/>
        <w:t>in which both the configuration of the state mechanism for patent examination and the systematisation of a </w:t>
      </w:r>
      <w:r>
        <w:rPr>
          <w:spacing w:val="-2"/>
        </w:rPr>
        <w:t>substantive</w:t>
      </w:r>
      <w:r>
        <w:rPr>
          <w:spacing w:val="-4"/>
        </w:rPr>
        <w:t> </w:t>
      </w:r>
      <w:r>
        <w:rPr>
          <w:spacing w:val="-2"/>
        </w:rPr>
        <w:t>perspective</w:t>
      </w:r>
      <w:r>
        <w:rPr>
          <w:spacing w:val="-4"/>
        </w:rPr>
        <w:t> </w:t>
      </w:r>
      <w:r>
        <w:rPr>
          <w:spacing w:val="-2"/>
        </w:rPr>
        <w:t>of</w:t>
      </w:r>
      <w:r>
        <w:rPr>
          <w:spacing w:val="-4"/>
        </w:rPr>
        <w:t> </w:t>
      </w:r>
      <w:r>
        <w:rPr>
          <w:spacing w:val="-2"/>
        </w:rPr>
        <w:t>patent</w:t>
      </w:r>
      <w:r>
        <w:rPr>
          <w:spacing w:val="-4"/>
        </w:rPr>
        <w:t> </w:t>
      </w:r>
      <w:r>
        <w:rPr>
          <w:spacing w:val="-2"/>
        </w:rPr>
        <w:t>examination</w:t>
      </w:r>
      <w:r>
        <w:rPr>
          <w:spacing w:val="-4"/>
        </w:rPr>
        <w:t> </w:t>
      </w:r>
      <w:r>
        <w:rPr>
          <w:spacing w:val="-2"/>
        </w:rPr>
        <w:t>keeping </w:t>
      </w:r>
      <w:r>
        <w:rPr/>
        <w:t>both treaty obligations and national interests in mind </w:t>
      </w:r>
      <w:r>
        <w:rPr>
          <w:spacing w:val="-6"/>
        </w:rPr>
        <w:t>are crucial issues. Other critical areas involve alternative </w:t>
      </w:r>
      <w:r>
        <w:rPr/>
        <w:t>non-patent modalities for the creation and sharing of </w:t>
      </w:r>
      <w:r>
        <w:rPr>
          <w:spacing w:val="-6"/>
        </w:rPr>
        <w:t>knowledge and inventions. Below, one area, namely, the </w:t>
      </w:r>
      <w:r>
        <w:rPr/>
        <w:t>configuration</w:t>
      </w:r>
      <w:r>
        <w:rPr>
          <w:spacing w:val="-5"/>
        </w:rPr>
        <w:t> </w:t>
      </w:r>
      <w:r>
        <w:rPr/>
        <w:t>of</w:t>
      </w:r>
      <w:r>
        <w:rPr>
          <w:spacing w:val="-5"/>
        </w:rPr>
        <w:t> </w:t>
      </w:r>
      <w:r>
        <w:rPr/>
        <w:t>the</w:t>
      </w:r>
      <w:r>
        <w:rPr>
          <w:spacing w:val="-5"/>
        </w:rPr>
        <w:t> </w:t>
      </w:r>
      <w:r>
        <w:rPr/>
        <w:t>patent</w:t>
      </w:r>
      <w:r>
        <w:rPr>
          <w:spacing w:val="-5"/>
        </w:rPr>
        <w:t> </w:t>
      </w:r>
      <w:r>
        <w:rPr/>
        <w:t>examination</w:t>
      </w:r>
      <w:r>
        <w:rPr>
          <w:spacing w:val="-5"/>
        </w:rPr>
        <w:t> </w:t>
      </w:r>
      <w:r>
        <w:rPr/>
        <w:t>mechanisms, is discussed, with some reference to allied issues in patent utilisation.</w:t>
      </w:r>
    </w:p>
    <w:p>
      <w:pPr>
        <w:pStyle w:val="BodyText"/>
        <w:spacing w:before="32"/>
      </w:pPr>
    </w:p>
    <w:p>
      <w:pPr>
        <w:pStyle w:val="Heading6"/>
        <w:numPr>
          <w:ilvl w:val="0"/>
          <w:numId w:val="58"/>
        </w:numPr>
        <w:tabs>
          <w:tab w:pos="1484" w:val="left" w:leader="none"/>
        </w:tabs>
        <w:spacing w:line="240" w:lineRule="auto" w:before="0" w:after="0"/>
        <w:ind w:left="1484" w:right="0" w:hanging="404"/>
        <w:jc w:val="left"/>
      </w:pPr>
      <w:r>
        <w:rPr>
          <w:color w:val="2E614A"/>
          <w:spacing w:val="-10"/>
        </w:rPr>
        <w:t>Modernisation</w:t>
      </w:r>
      <w:r>
        <w:rPr>
          <w:color w:val="2E614A"/>
          <w:spacing w:val="-6"/>
        </w:rPr>
        <w:t> </w:t>
      </w:r>
      <w:r>
        <w:rPr>
          <w:color w:val="2E614A"/>
          <w:spacing w:val="-10"/>
        </w:rPr>
        <w:t>of</w:t>
      </w:r>
      <w:r>
        <w:rPr>
          <w:color w:val="2E614A"/>
          <w:spacing w:val="-6"/>
        </w:rPr>
        <w:t> </w:t>
      </w:r>
      <w:r>
        <w:rPr>
          <w:color w:val="2E614A"/>
          <w:spacing w:val="-10"/>
        </w:rPr>
        <w:t>IP</w:t>
      </w:r>
      <w:r>
        <w:rPr>
          <w:color w:val="2E614A"/>
          <w:spacing w:val="-5"/>
        </w:rPr>
        <w:t> </w:t>
      </w:r>
      <w:r>
        <w:rPr>
          <w:color w:val="2E614A"/>
          <w:spacing w:val="-10"/>
        </w:rPr>
        <w:t>Offices</w:t>
      </w:r>
    </w:p>
    <w:p>
      <w:pPr>
        <w:pStyle w:val="ListParagraph"/>
        <w:numPr>
          <w:ilvl w:val="1"/>
          <w:numId w:val="58"/>
        </w:numPr>
        <w:tabs>
          <w:tab w:pos="1439" w:val="left" w:leader="none"/>
        </w:tabs>
        <w:spacing w:line="266" w:lineRule="auto" w:before="221" w:after="0"/>
        <w:ind w:left="1439" w:right="221" w:hanging="360"/>
        <w:jc w:val="both"/>
        <w:rPr>
          <w:sz w:val="22"/>
        </w:rPr>
      </w:pPr>
      <w:r>
        <w:rPr>
          <w:sz w:val="22"/>
        </w:rPr>
        <w:t>The processes in the IP offices need to </w:t>
      </w:r>
      <w:r>
        <w:rPr>
          <w:sz w:val="22"/>
        </w:rPr>
        <w:t>become </w:t>
      </w:r>
      <w:r>
        <w:rPr>
          <w:spacing w:val="-4"/>
          <w:sz w:val="22"/>
        </w:rPr>
        <w:t>more</w:t>
      </w:r>
      <w:r>
        <w:rPr>
          <w:spacing w:val="-10"/>
          <w:sz w:val="22"/>
        </w:rPr>
        <w:t> </w:t>
      </w:r>
      <w:r>
        <w:rPr>
          <w:spacing w:val="-4"/>
          <w:sz w:val="22"/>
        </w:rPr>
        <w:t>accessible</w:t>
      </w:r>
      <w:r>
        <w:rPr>
          <w:spacing w:val="-10"/>
          <w:sz w:val="22"/>
        </w:rPr>
        <w:t> </w:t>
      </w:r>
      <w:r>
        <w:rPr>
          <w:spacing w:val="-4"/>
          <w:sz w:val="22"/>
        </w:rPr>
        <w:t>and</w:t>
      </w:r>
      <w:r>
        <w:rPr>
          <w:spacing w:val="-10"/>
          <w:sz w:val="22"/>
        </w:rPr>
        <w:t> </w:t>
      </w:r>
      <w:r>
        <w:rPr>
          <w:spacing w:val="-4"/>
          <w:sz w:val="22"/>
        </w:rPr>
        <w:t>user</w:t>
      </w:r>
      <w:r>
        <w:rPr>
          <w:spacing w:val="-9"/>
          <w:sz w:val="22"/>
        </w:rPr>
        <w:t> </w:t>
      </w:r>
      <w:r>
        <w:rPr>
          <w:spacing w:val="-4"/>
          <w:sz w:val="22"/>
        </w:rPr>
        <w:t>friendly</w:t>
      </w:r>
      <w:r>
        <w:rPr>
          <w:spacing w:val="-10"/>
          <w:sz w:val="22"/>
        </w:rPr>
        <w:t> </w:t>
      </w:r>
      <w:r>
        <w:rPr>
          <w:spacing w:val="-4"/>
          <w:sz w:val="22"/>
        </w:rPr>
        <w:t>and</w:t>
      </w:r>
      <w:r>
        <w:rPr>
          <w:spacing w:val="-10"/>
          <w:sz w:val="22"/>
        </w:rPr>
        <w:t> </w:t>
      </w:r>
      <w:r>
        <w:rPr>
          <w:spacing w:val="-4"/>
          <w:sz w:val="22"/>
        </w:rPr>
        <w:t>therefore,</w:t>
      </w:r>
      <w:r>
        <w:rPr>
          <w:spacing w:val="-10"/>
          <w:sz w:val="22"/>
        </w:rPr>
        <w:t> </w:t>
      </w:r>
      <w:r>
        <w:rPr>
          <w:spacing w:val="-4"/>
          <w:sz w:val="22"/>
        </w:rPr>
        <w:t>the </w:t>
      </w:r>
      <w:r>
        <w:rPr>
          <w:sz w:val="22"/>
        </w:rPr>
        <w:t>ultimate objective of all efforts to modernise the </w:t>
      </w:r>
      <w:r>
        <w:rPr>
          <w:w w:val="90"/>
          <w:sz w:val="22"/>
        </w:rPr>
        <w:t>patent offices must be to facilitate more transparency </w:t>
      </w:r>
      <w:r>
        <w:rPr>
          <w:sz w:val="22"/>
        </w:rPr>
        <w:t>and</w:t>
      </w:r>
      <w:r>
        <w:rPr>
          <w:spacing w:val="-12"/>
          <w:sz w:val="22"/>
        </w:rPr>
        <w:t> </w:t>
      </w:r>
      <w:r>
        <w:rPr>
          <w:sz w:val="22"/>
        </w:rPr>
        <w:t>procedural</w:t>
      </w:r>
      <w:r>
        <w:rPr>
          <w:spacing w:val="-13"/>
          <w:sz w:val="22"/>
        </w:rPr>
        <w:t> </w:t>
      </w:r>
      <w:r>
        <w:rPr>
          <w:sz w:val="22"/>
        </w:rPr>
        <w:t>ease</w:t>
      </w:r>
      <w:r>
        <w:rPr>
          <w:spacing w:val="-12"/>
          <w:sz w:val="22"/>
        </w:rPr>
        <w:t> </w:t>
      </w:r>
      <w:r>
        <w:rPr>
          <w:sz w:val="22"/>
        </w:rPr>
        <w:t>for</w:t>
      </w:r>
      <w:r>
        <w:rPr>
          <w:spacing w:val="-12"/>
          <w:sz w:val="22"/>
        </w:rPr>
        <w:t> </w:t>
      </w:r>
      <w:r>
        <w:rPr>
          <w:sz w:val="22"/>
        </w:rPr>
        <w:t>the</w:t>
      </w:r>
      <w:r>
        <w:rPr>
          <w:spacing w:val="-12"/>
          <w:sz w:val="22"/>
        </w:rPr>
        <w:t> </w:t>
      </w:r>
      <w:r>
        <w:rPr>
          <w:sz w:val="22"/>
        </w:rPr>
        <w:t>inventor</w:t>
      </w:r>
      <w:r>
        <w:rPr>
          <w:spacing w:val="-12"/>
          <w:sz w:val="22"/>
        </w:rPr>
        <w:t> </w:t>
      </w:r>
      <w:r>
        <w:rPr>
          <w:sz w:val="22"/>
        </w:rPr>
        <w:t>as</w:t>
      </w:r>
      <w:r>
        <w:rPr>
          <w:spacing w:val="-12"/>
          <w:sz w:val="22"/>
        </w:rPr>
        <w:t> </w:t>
      </w:r>
      <w:r>
        <w:rPr>
          <w:sz w:val="22"/>
        </w:rPr>
        <w:t>well</w:t>
      </w:r>
      <w:r>
        <w:rPr>
          <w:spacing w:val="-12"/>
          <w:sz w:val="22"/>
        </w:rPr>
        <w:t> </w:t>
      </w:r>
      <w:r>
        <w:rPr>
          <w:sz w:val="22"/>
        </w:rPr>
        <w:t>as</w:t>
      </w:r>
      <w:r>
        <w:rPr>
          <w:spacing w:val="-12"/>
          <w:sz w:val="22"/>
        </w:rPr>
        <w:t> </w:t>
      </w:r>
      <w:r>
        <w:rPr>
          <w:sz w:val="22"/>
        </w:rPr>
        <w:t>the common man. NKC is aware of the initiatives proposed by the Ministry of Commerce and </w:t>
      </w:r>
      <w:r>
        <w:rPr>
          <w:spacing w:val="-6"/>
          <w:sz w:val="22"/>
        </w:rPr>
        <w:t>Industry</w:t>
      </w:r>
      <w:r>
        <w:rPr>
          <w:spacing w:val="-7"/>
          <w:sz w:val="22"/>
        </w:rPr>
        <w:t> </w:t>
      </w:r>
      <w:r>
        <w:rPr>
          <w:spacing w:val="-6"/>
          <w:sz w:val="22"/>
        </w:rPr>
        <w:t>in</w:t>
      </w:r>
      <w:r>
        <w:rPr>
          <w:spacing w:val="-7"/>
          <w:sz w:val="22"/>
        </w:rPr>
        <w:t> </w:t>
      </w:r>
      <w:r>
        <w:rPr>
          <w:spacing w:val="-6"/>
          <w:sz w:val="22"/>
        </w:rPr>
        <w:t>this</w:t>
      </w:r>
      <w:r>
        <w:rPr>
          <w:spacing w:val="-7"/>
          <w:sz w:val="22"/>
        </w:rPr>
        <w:t> </w:t>
      </w:r>
      <w:r>
        <w:rPr>
          <w:spacing w:val="-6"/>
          <w:sz w:val="22"/>
        </w:rPr>
        <w:t>regard,</w:t>
      </w:r>
      <w:r>
        <w:rPr>
          <w:spacing w:val="-7"/>
          <w:sz w:val="22"/>
        </w:rPr>
        <w:t> </w:t>
      </w:r>
      <w:r>
        <w:rPr>
          <w:spacing w:val="-6"/>
          <w:sz w:val="22"/>
        </w:rPr>
        <w:t>especially</w:t>
      </w:r>
      <w:r>
        <w:rPr>
          <w:spacing w:val="-7"/>
          <w:sz w:val="22"/>
        </w:rPr>
        <w:t> </w:t>
      </w:r>
      <w:r>
        <w:rPr>
          <w:spacing w:val="-6"/>
          <w:sz w:val="22"/>
        </w:rPr>
        <w:t>those</w:t>
      </w:r>
      <w:r>
        <w:rPr>
          <w:spacing w:val="-7"/>
          <w:sz w:val="22"/>
        </w:rPr>
        <w:t> </w:t>
      </w:r>
      <w:r>
        <w:rPr>
          <w:spacing w:val="-6"/>
          <w:sz w:val="22"/>
        </w:rPr>
        <w:t>pertaining</w:t>
      </w:r>
      <w:r>
        <w:rPr>
          <w:spacing w:val="-7"/>
          <w:sz w:val="22"/>
        </w:rPr>
        <w:t> </w:t>
      </w:r>
      <w:r>
        <w:rPr>
          <w:spacing w:val="-6"/>
          <w:sz w:val="22"/>
        </w:rPr>
        <w:t>to </w:t>
      </w:r>
      <w:r>
        <w:rPr>
          <w:sz w:val="22"/>
        </w:rPr>
        <w:t>modernisation</w:t>
      </w:r>
      <w:r>
        <w:rPr>
          <w:spacing w:val="-8"/>
          <w:sz w:val="22"/>
        </w:rPr>
        <w:t> </w:t>
      </w:r>
      <w:r>
        <w:rPr>
          <w:sz w:val="22"/>
        </w:rPr>
        <w:t>of</w:t>
      </w:r>
      <w:r>
        <w:rPr>
          <w:spacing w:val="-8"/>
          <w:sz w:val="22"/>
        </w:rPr>
        <w:t> </w:t>
      </w:r>
      <w:r>
        <w:rPr>
          <w:sz w:val="22"/>
        </w:rPr>
        <w:t>infrastructure,</w:t>
      </w:r>
      <w:r>
        <w:rPr>
          <w:spacing w:val="-8"/>
          <w:sz w:val="22"/>
        </w:rPr>
        <w:t> </w:t>
      </w:r>
      <w:r>
        <w:rPr>
          <w:sz w:val="22"/>
        </w:rPr>
        <w:t>computerisation, </w:t>
      </w:r>
      <w:r>
        <w:rPr>
          <w:spacing w:val="-2"/>
          <w:sz w:val="22"/>
        </w:rPr>
        <w:t>digitisation,</w:t>
      </w:r>
      <w:r>
        <w:rPr>
          <w:spacing w:val="-2"/>
          <w:sz w:val="22"/>
        </w:rPr>
        <w:t> e-filing,</w:t>
      </w:r>
      <w:r>
        <w:rPr>
          <w:spacing w:val="-2"/>
          <w:sz w:val="22"/>
        </w:rPr>
        <w:t> re-engineering</w:t>
      </w:r>
      <w:r>
        <w:rPr>
          <w:spacing w:val="-2"/>
          <w:sz w:val="22"/>
        </w:rPr>
        <w:t> of</w:t>
      </w:r>
      <w:r>
        <w:rPr>
          <w:spacing w:val="-2"/>
          <w:sz w:val="22"/>
        </w:rPr>
        <w:t> procedures </w:t>
      </w:r>
      <w:r>
        <w:rPr>
          <w:sz w:val="22"/>
        </w:rPr>
        <w:t>with information technology integration, human resource development, efficiency, transparency of</w:t>
      </w:r>
      <w:r>
        <w:rPr>
          <w:spacing w:val="77"/>
          <w:sz w:val="22"/>
        </w:rPr>
        <w:t> </w:t>
      </w:r>
      <w:r>
        <w:rPr>
          <w:sz w:val="22"/>
        </w:rPr>
        <w:t>procedures</w:t>
      </w:r>
      <w:r>
        <w:rPr>
          <w:spacing w:val="78"/>
          <w:sz w:val="22"/>
        </w:rPr>
        <w:t> </w:t>
      </w:r>
      <w:r>
        <w:rPr>
          <w:sz w:val="22"/>
        </w:rPr>
        <w:t>and</w:t>
      </w:r>
      <w:r>
        <w:rPr>
          <w:spacing w:val="77"/>
          <w:sz w:val="22"/>
        </w:rPr>
        <w:t> </w:t>
      </w:r>
      <w:r>
        <w:rPr>
          <w:sz w:val="22"/>
        </w:rPr>
        <w:t>creation</w:t>
      </w:r>
      <w:r>
        <w:rPr>
          <w:spacing w:val="78"/>
          <w:sz w:val="22"/>
        </w:rPr>
        <w:t> </w:t>
      </w:r>
      <w:r>
        <w:rPr>
          <w:sz w:val="22"/>
        </w:rPr>
        <w:t>of</w:t>
      </w:r>
      <w:r>
        <w:rPr>
          <w:spacing w:val="77"/>
          <w:sz w:val="22"/>
        </w:rPr>
        <w:t> </w:t>
      </w:r>
      <w:r>
        <w:rPr>
          <w:sz w:val="22"/>
        </w:rPr>
        <w:t>an</w:t>
      </w:r>
      <w:r>
        <w:rPr>
          <w:spacing w:val="78"/>
          <w:sz w:val="22"/>
        </w:rPr>
        <w:t> </w:t>
      </w:r>
      <w:r>
        <w:rPr>
          <w:spacing w:val="-2"/>
          <w:sz w:val="22"/>
        </w:rPr>
        <w:t>operational</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spacing w:before="4"/>
      </w:pPr>
    </w:p>
    <w:p>
      <w:pPr>
        <w:spacing w:before="0"/>
        <w:ind w:left="3228" w:right="0" w:firstLine="0"/>
        <w:jc w:val="left"/>
        <w:rPr>
          <w:b/>
          <w:sz w:val="22"/>
        </w:rPr>
      </w:pPr>
      <w:r>
        <w:rPr>
          <w:b/>
          <w:color w:val="FFFFFF"/>
          <w:spacing w:val="-4"/>
          <w:sz w:val="22"/>
        </w:rPr>
        <w:t>October</w:t>
      </w:r>
      <w:r>
        <w:rPr>
          <w:b/>
          <w:color w:val="FFFFFF"/>
          <w:spacing w:val="-6"/>
          <w:sz w:val="22"/>
        </w:rPr>
        <w:t> </w:t>
      </w:r>
      <w:r>
        <w:rPr>
          <w:b/>
          <w:color w:val="FFFFFF"/>
          <w:spacing w:val="-4"/>
          <w:sz w:val="22"/>
        </w:rPr>
        <w:t>15,</w:t>
      </w:r>
      <w:r>
        <w:rPr>
          <w:b/>
          <w:color w:val="FFFFFF"/>
          <w:spacing w:val="-5"/>
          <w:sz w:val="22"/>
        </w:rPr>
        <w:t> </w:t>
      </w:r>
      <w:r>
        <w:rPr>
          <w:b/>
          <w:color w:val="FFFFFF"/>
          <w:spacing w:val="-4"/>
          <w:sz w:val="22"/>
        </w:rPr>
        <w:t>2007</w:t>
      </w:r>
    </w:p>
    <w:p>
      <w:pPr>
        <w:pStyle w:val="BodyText"/>
        <w:rPr>
          <w:b/>
        </w:rPr>
      </w:pPr>
    </w:p>
    <w:p>
      <w:pPr>
        <w:pStyle w:val="BodyText"/>
        <w:rPr>
          <w:b/>
        </w:rPr>
      </w:pPr>
    </w:p>
    <w:p>
      <w:pPr>
        <w:pStyle w:val="BodyText"/>
        <w:rPr>
          <w:b/>
        </w:rPr>
      </w:pPr>
    </w:p>
    <w:p>
      <w:pPr>
        <w:pStyle w:val="BodyText"/>
        <w:spacing w:before="53"/>
        <w:rPr>
          <w:b/>
        </w:rPr>
      </w:pPr>
    </w:p>
    <w:p>
      <w:pPr>
        <w:pStyle w:val="BodyText"/>
        <w:spacing w:line="266" w:lineRule="auto"/>
        <w:ind w:left="455" w:right="1077"/>
        <w:jc w:val="both"/>
      </w:pPr>
      <w:r>
        <w:rPr/>
        <w:t>environment of global standards. The need to </w:t>
      </w:r>
      <w:r>
        <w:rPr/>
        <w:t>be sensitive to the needs of the everyday citizen is </w:t>
      </w:r>
      <w:r>
        <w:rPr>
          <w:spacing w:val="-6"/>
        </w:rPr>
        <w:t>crucial</w:t>
      </w:r>
      <w:r>
        <w:rPr>
          <w:spacing w:val="-8"/>
        </w:rPr>
        <w:t> </w:t>
      </w:r>
      <w:r>
        <w:rPr>
          <w:spacing w:val="-6"/>
        </w:rPr>
        <w:t>if</w:t>
      </w:r>
      <w:r>
        <w:rPr>
          <w:spacing w:val="-8"/>
        </w:rPr>
        <w:t> </w:t>
      </w:r>
      <w:r>
        <w:rPr>
          <w:spacing w:val="-6"/>
        </w:rPr>
        <w:t>the</w:t>
      </w:r>
      <w:r>
        <w:rPr>
          <w:spacing w:val="-8"/>
        </w:rPr>
        <w:t> </w:t>
      </w:r>
      <w:r>
        <w:rPr>
          <w:spacing w:val="-6"/>
        </w:rPr>
        <w:t>IP</w:t>
      </w:r>
      <w:r>
        <w:rPr>
          <w:spacing w:val="-7"/>
        </w:rPr>
        <w:t> </w:t>
      </w:r>
      <w:r>
        <w:rPr>
          <w:spacing w:val="-6"/>
        </w:rPr>
        <w:t>offices</w:t>
      </w:r>
      <w:r>
        <w:rPr>
          <w:spacing w:val="-8"/>
        </w:rPr>
        <w:t> </w:t>
      </w:r>
      <w:r>
        <w:rPr>
          <w:spacing w:val="-6"/>
        </w:rPr>
        <w:t>have</w:t>
      </w:r>
      <w:r>
        <w:rPr>
          <w:spacing w:val="-8"/>
        </w:rPr>
        <w:t> </w:t>
      </w:r>
      <w:r>
        <w:rPr>
          <w:spacing w:val="-6"/>
        </w:rPr>
        <w:t>to</w:t>
      </w:r>
      <w:r>
        <w:rPr>
          <w:spacing w:val="-8"/>
        </w:rPr>
        <w:t> </w:t>
      </w:r>
      <w:r>
        <w:rPr>
          <w:spacing w:val="-6"/>
        </w:rPr>
        <w:t>transform</w:t>
      </w:r>
      <w:r>
        <w:rPr>
          <w:spacing w:val="-7"/>
        </w:rPr>
        <w:t> </w:t>
      </w:r>
      <w:r>
        <w:rPr>
          <w:spacing w:val="-6"/>
        </w:rPr>
        <w:t>themselves </w:t>
      </w:r>
      <w:r>
        <w:rPr>
          <w:spacing w:val="-2"/>
        </w:rPr>
        <w:t>into</w:t>
      </w:r>
      <w:r>
        <w:rPr>
          <w:spacing w:val="-12"/>
        </w:rPr>
        <w:t> </w:t>
      </w:r>
      <w:r>
        <w:rPr>
          <w:spacing w:val="-2"/>
        </w:rPr>
        <w:t>service</w:t>
      </w:r>
      <w:r>
        <w:rPr>
          <w:spacing w:val="-12"/>
        </w:rPr>
        <w:t> </w:t>
      </w:r>
      <w:r>
        <w:rPr>
          <w:spacing w:val="-2"/>
        </w:rPr>
        <w:t>providers</w:t>
      </w:r>
      <w:r>
        <w:rPr>
          <w:spacing w:val="-12"/>
        </w:rPr>
        <w:t> </w:t>
      </w:r>
      <w:r>
        <w:rPr>
          <w:spacing w:val="-2"/>
        </w:rPr>
        <w:t>delivering</w:t>
      </w:r>
      <w:r>
        <w:rPr>
          <w:spacing w:val="-11"/>
        </w:rPr>
        <w:t> </w:t>
      </w:r>
      <w:r>
        <w:rPr>
          <w:spacing w:val="-2"/>
        </w:rPr>
        <w:t>solutions</w:t>
      </w:r>
      <w:r>
        <w:rPr>
          <w:spacing w:val="-12"/>
        </w:rPr>
        <w:t> </w:t>
      </w:r>
      <w:r>
        <w:rPr>
          <w:spacing w:val="-2"/>
        </w:rPr>
        <w:t>with</w:t>
      </w:r>
      <w:r>
        <w:rPr>
          <w:spacing w:val="-12"/>
        </w:rPr>
        <w:t> </w:t>
      </w:r>
      <w:r>
        <w:rPr>
          <w:spacing w:val="-2"/>
        </w:rPr>
        <w:t>the </w:t>
      </w:r>
      <w:r>
        <w:rPr>
          <w:spacing w:val="-4"/>
        </w:rPr>
        <w:t>greatest</w:t>
      </w:r>
      <w:r>
        <w:rPr>
          <w:spacing w:val="-7"/>
        </w:rPr>
        <w:t> </w:t>
      </w:r>
      <w:r>
        <w:rPr>
          <w:spacing w:val="-4"/>
        </w:rPr>
        <w:t>efficiency</w:t>
      </w:r>
      <w:r>
        <w:rPr>
          <w:spacing w:val="-7"/>
        </w:rPr>
        <w:t> </w:t>
      </w:r>
      <w:r>
        <w:rPr>
          <w:spacing w:val="-4"/>
        </w:rPr>
        <w:t>and</w:t>
      </w:r>
      <w:r>
        <w:rPr>
          <w:spacing w:val="-7"/>
        </w:rPr>
        <w:t> </w:t>
      </w:r>
      <w:r>
        <w:rPr>
          <w:spacing w:val="-4"/>
        </w:rPr>
        <w:t>highest</w:t>
      </w:r>
      <w:r>
        <w:rPr>
          <w:spacing w:val="-7"/>
        </w:rPr>
        <w:t> </w:t>
      </w:r>
      <w:r>
        <w:rPr>
          <w:spacing w:val="-4"/>
        </w:rPr>
        <w:t>quality</w:t>
      </w:r>
      <w:r>
        <w:rPr>
          <w:spacing w:val="-7"/>
        </w:rPr>
        <w:t> </w:t>
      </w:r>
      <w:r>
        <w:rPr>
          <w:spacing w:val="-4"/>
        </w:rPr>
        <w:t>standards.</w:t>
      </w:r>
      <w:r>
        <w:rPr>
          <w:spacing w:val="-7"/>
        </w:rPr>
        <w:t> </w:t>
      </w:r>
      <w:r>
        <w:rPr>
          <w:spacing w:val="-4"/>
        </w:rPr>
        <w:t>In </w:t>
      </w:r>
      <w:r>
        <w:rPr/>
        <w:t>this</w:t>
      </w:r>
      <w:r>
        <w:rPr>
          <w:spacing w:val="-14"/>
        </w:rPr>
        <w:t> </w:t>
      </w:r>
      <w:r>
        <w:rPr/>
        <w:t>respect,</w:t>
      </w:r>
      <w:r>
        <w:rPr>
          <w:spacing w:val="-14"/>
        </w:rPr>
        <w:t> </w:t>
      </w:r>
      <w:r>
        <w:rPr/>
        <w:t>some</w:t>
      </w:r>
      <w:r>
        <w:rPr>
          <w:spacing w:val="-14"/>
        </w:rPr>
        <w:t> </w:t>
      </w:r>
      <w:r>
        <w:rPr/>
        <w:t>suggestions</w:t>
      </w:r>
      <w:r>
        <w:rPr>
          <w:spacing w:val="-13"/>
        </w:rPr>
        <w:t> </w:t>
      </w:r>
      <w:r>
        <w:rPr/>
        <w:t>are</w:t>
      </w:r>
      <w:r>
        <w:rPr>
          <w:spacing w:val="-14"/>
        </w:rPr>
        <w:t> </w:t>
      </w:r>
      <w:r>
        <w:rPr/>
        <w:t>as</w:t>
      </w:r>
      <w:r>
        <w:rPr>
          <w:spacing w:val="-14"/>
        </w:rPr>
        <w:t> </w:t>
      </w:r>
      <w:r>
        <w:rPr/>
        <w:t>follows:</w:t>
      </w:r>
    </w:p>
    <w:p>
      <w:pPr>
        <w:pStyle w:val="ListParagraph"/>
        <w:numPr>
          <w:ilvl w:val="0"/>
          <w:numId w:val="59"/>
        </w:numPr>
        <w:tabs>
          <w:tab w:pos="455" w:val="left" w:leader="none"/>
        </w:tabs>
        <w:spacing w:line="266" w:lineRule="auto" w:before="0" w:after="0"/>
        <w:ind w:left="455" w:right="1077" w:hanging="360"/>
        <w:jc w:val="both"/>
        <w:rPr>
          <w:sz w:val="22"/>
        </w:rPr>
      </w:pPr>
      <w:r>
        <w:rPr>
          <w:sz w:val="22"/>
        </w:rPr>
        <w:t>The patent offices must be adequately </w:t>
      </w:r>
      <w:r>
        <w:rPr>
          <w:sz w:val="22"/>
        </w:rPr>
        <w:t>e-enabled in</w:t>
      </w:r>
      <w:r>
        <w:rPr>
          <w:spacing w:val="-7"/>
          <w:sz w:val="22"/>
        </w:rPr>
        <w:t> </w:t>
      </w:r>
      <w:r>
        <w:rPr>
          <w:sz w:val="22"/>
        </w:rPr>
        <w:t>real</w:t>
      </w:r>
      <w:r>
        <w:rPr>
          <w:spacing w:val="-7"/>
          <w:sz w:val="22"/>
        </w:rPr>
        <w:t> </w:t>
      </w:r>
      <w:r>
        <w:rPr>
          <w:sz w:val="22"/>
        </w:rPr>
        <w:t>time</w:t>
      </w:r>
      <w:r>
        <w:rPr>
          <w:spacing w:val="-7"/>
          <w:sz w:val="22"/>
        </w:rPr>
        <w:t> </w:t>
      </w:r>
      <w:r>
        <w:rPr>
          <w:sz w:val="22"/>
        </w:rPr>
        <w:t>with</w:t>
      </w:r>
      <w:r>
        <w:rPr>
          <w:spacing w:val="-7"/>
          <w:sz w:val="22"/>
        </w:rPr>
        <w:t> </w:t>
      </w:r>
      <w:r>
        <w:rPr>
          <w:sz w:val="22"/>
        </w:rPr>
        <w:t>adequate</w:t>
      </w:r>
      <w:r>
        <w:rPr>
          <w:spacing w:val="-7"/>
          <w:sz w:val="22"/>
        </w:rPr>
        <w:t> </w:t>
      </w:r>
      <w:r>
        <w:rPr>
          <w:sz w:val="22"/>
        </w:rPr>
        <w:t>search</w:t>
      </w:r>
      <w:r>
        <w:rPr>
          <w:spacing w:val="-7"/>
          <w:sz w:val="22"/>
        </w:rPr>
        <w:t> </w:t>
      </w:r>
      <w:r>
        <w:rPr>
          <w:sz w:val="22"/>
        </w:rPr>
        <w:t>facilities</w:t>
      </w:r>
      <w:r>
        <w:rPr>
          <w:spacing w:val="-7"/>
          <w:sz w:val="22"/>
        </w:rPr>
        <w:t> </w:t>
      </w:r>
      <w:r>
        <w:rPr>
          <w:sz w:val="22"/>
        </w:rPr>
        <w:t>so</w:t>
      </w:r>
      <w:r>
        <w:rPr>
          <w:spacing w:val="-7"/>
          <w:sz w:val="22"/>
        </w:rPr>
        <w:t> </w:t>
      </w:r>
      <w:r>
        <w:rPr>
          <w:sz w:val="22"/>
        </w:rPr>
        <w:t>that all its transactions are transparent and publicly </w:t>
      </w:r>
      <w:r>
        <w:rPr>
          <w:spacing w:val="-2"/>
          <w:sz w:val="22"/>
        </w:rPr>
        <w:t>accessible.</w:t>
      </w:r>
    </w:p>
    <w:p>
      <w:pPr>
        <w:pStyle w:val="ListParagraph"/>
        <w:numPr>
          <w:ilvl w:val="0"/>
          <w:numId w:val="59"/>
        </w:numPr>
        <w:tabs>
          <w:tab w:pos="455" w:val="left" w:leader="none"/>
        </w:tabs>
        <w:spacing w:line="266" w:lineRule="auto" w:before="0" w:after="0"/>
        <w:ind w:left="455" w:right="1077" w:hanging="360"/>
        <w:jc w:val="both"/>
        <w:rPr>
          <w:sz w:val="22"/>
        </w:rPr>
      </w:pPr>
      <w:r>
        <w:rPr>
          <w:sz w:val="22"/>
        </w:rPr>
        <w:t>The examination procedures, practices </w:t>
      </w:r>
      <w:r>
        <w:rPr>
          <w:sz w:val="22"/>
        </w:rPr>
        <w:t>and decisions in the IP offices should be streamlined and consistent</w:t>
      </w:r>
    </w:p>
    <w:p>
      <w:pPr>
        <w:pStyle w:val="ListParagraph"/>
        <w:numPr>
          <w:ilvl w:val="0"/>
          <w:numId w:val="59"/>
        </w:numPr>
        <w:tabs>
          <w:tab w:pos="455" w:val="left" w:leader="none"/>
        </w:tabs>
        <w:spacing w:line="266" w:lineRule="auto" w:before="0" w:after="0"/>
        <w:ind w:left="455" w:right="1077" w:hanging="360"/>
        <w:jc w:val="both"/>
        <w:rPr>
          <w:sz w:val="22"/>
        </w:rPr>
      </w:pPr>
      <w:r>
        <w:rPr>
          <w:spacing w:val="-6"/>
          <w:sz w:val="22"/>
        </w:rPr>
        <w:t>A new detailed and clear manual of the examination </w:t>
      </w:r>
      <w:r>
        <w:rPr>
          <w:sz w:val="22"/>
        </w:rPr>
        <w:t>procedure and practice, accompanied by full </w:t>
      </w:r>
      <w:r>
        <w:rPr>
          <w:sz w:val="22"/>
        </w:rPr>
        <w:t>text versions</w:t>
      </w:r>
      <w:r>
        <w:rPr>
          <w:spacing w:val="-10"/>
          <w:sz w:val="22"/>
        </w:rPr>
        <w:t> </w:t>
      </w:r>
      <w:r>
        <w:rPr>
          <w:sz w:val="22"/>
        </w:rPr>
        <w:t>of</w:t>
      </w:r>
      <w:r>
        <w:rPr>
          <w:spacing w:val="-10"/>
          <w:sz w:val="22"/>
        </w:rPr>
        <w:t> </w:t>
      </w:r>
      <w:r>
        <w:rPr>
          <w:sz w:val="22"/>
        </w:rPr>
        <w:t>all</w:t>
      </w:r>
      <w:r>
        <w:rPr>
          <w:spacing w:val="-10"/>
          <w:sz w:val="22"/>
        </w:rPr>
        <w:t> </w:t>
      </w:r>
      <w:r>
        <w:rPr>
          <w:sz w:val="22"/>
        </w:rPr>
        <w:t>the</w:t>
      </w:r>
      <w:r>
        <w:rPr>
          <w:spacing w:val="-10"/>
          <w:sz w:val="22"/>
        </w:rPr>
        <w:t> </w:t>
      </w:r>
      <w:r>
        <w:rPr>
          <w:sz w:val="22"/>
        </w:rPr>
        <w:t>relevant</w:t>
      </w:r>
      <w:r>
        <w:rPr>
          <w:spacing w:val="-10"/>
          <w:sz w:val="22"/>
        </w:rPr>
        <w:t> </w:t>
      </w:r>
      <w:r>
        <w:rPr>
          <w:sz w:val="22"/>
        </w:rPr>
        <w:t>IP</w:t>
      </w:r>
      <w:r>
        <w:rPr>
          <w:spacing w:val="-10"/>
          <w:sz w:val="22"/>
        </w:rPr>
        <w:t> </w:t>
      </w:r>
      <w:r>
        <w:rPr>
          <w:sz w:val="22"/>
        </w:rPr>
        <w:t>laws</w:t>
      </w:r>
      <w:r>
        <w:rPr>
          <w:spacing w:val="-10"/>
          <w:sz w:val="22"/>
        </w:rPr>
        <w:t> </w:t>
      </w:r>
      <w:r>
        <w:rPr>
          <w:sz w:val="22"/>
        </w:rPr>
        <w:t>of</w:t>
      </w:r>
      <w:r>
        <w:rPr>
          <w:spacing w:val="-10"/>
          <w:sz w:val="22"/>
        </w:rPr>
        <w:t> </w:t>
      </w:r>
      <w:r>
        <w:rPr>
          <w:sz w:val="22"/>
        </w:rPr>
        <w:t>the</w:t>
      </w:r>
      <w:r>
        <w:rPr>
          <w:spacing w:val="-10"/>
          <w:sz w:val="22"/>
        </w:rPr>
        <w:t> </w:t>
      </w:r>
      <w:r>
        <w:rPr>
          <w:sz w:val="22"/>
        </w:rPr>
        <w:t>country, should</w:t>
      </w:r>
      <w:r>
        <w:rPr>
          <w:spacing w:val="-10"/>
          <w:sz w:val="22"/>
        </w:rPr>
        <w:t> </w:t>
      </w:r>
      <w:r>
        <w:rPr>
          <w:sz w:val="22"/>
        </w:rPr>
        <w:t>be</w:t>
      </w:r>
      <w:r>
        <w:rPr>
          <w:spacing w:val="-10"/>
          <w:sz w:val="22"/>
        </w:rPr>
        <w:t> </w:t>
      </w:r>
      <w:r>
        <w:rPr>
          <w:sz w:val="22"/>
        </w:rPr>
        <w:t>created,</w:t>
      </w:r>
      <w:r>
        <w:rPr>
          <w:spacing w:val="-10"/>
          <w:sz w:val="22"/>
        </w:rPr>
        <w:t> </w:t>
      </w:r>
      <w:r>
        <w:rPr>
          <w:sz w:val="22"/>
        </w:rPr>
        <w:t>periodically</w:t>
      </w:r>
      <w:r>
        <w:rPr>
          <w:spacing w:val="-10"/>
          <w:sz w:val="22"/>
        </w:rPr>
        <w:t> </w:t>
      </w:r>
      <w:r>
        <w:rPr>
          <w:sz w:val="22"/>
        </w:rPr>
        <w:t>updated</w:t>
      </w:r>
      <w:r>
        <w:rPr>
          <w:spacing w:val="-10"/>
          <w:sz w:val="22"/>
        </w:rPr>
        <w:t> </w:t>
      </w:r>
      <w:r>
        <w:rPr>
          <w:sz w:val="22"/>
        </w:rPr>
        <w:t>and</w:t>
      </w:r>
      <w:r>
        <w:rPr>
          <w:spacing w:val="-10"/>
          <w:sz w:val="22"/>
        </w:rPr>
        <w:t> </w:t>
      </w:r>
      <w:r>
        <w:rPr>
          <w:sz w:val="22"/>
        </w:rPr>
        <w:t>made available to the public, in soft and hard copy. </w:t>
      </w:r>
      <w:r>
        <w:rPr>
          <w:spacing w:val="-4"/>
          <w:sz w:val="22"/>
        </w:rPr>
        <w:t>Interested stakeholders, particularly including civil </w:t>
      </w:r>
      <w:r>
        <w:rPr>
          <w:spacing w:val="-8"/>
          <w:sz w:val="22"/>
        </w:rPr>
        <w:t>society</w:t>
      </w:r>
      <w:r>
        <w:rPr>
          <w:spacing w:val="-2"/>
          <w:sz w:val="22"/>
        </w:rPr>
        <w:t> </w:t>
      </w:r>
      <w:r>
        <w:rPr>
          <w:spacing w:val="-8"/>
          <w:sz w:val="22"/>
        </w:rPr>
        <w:t>as</w:t>
      </w:r>
      <w:r>
        <w:rPr>
          <w:spacing w:val="-2"/>
          <w:sz w:val="22"/>
        </w:rPr>
        <w:t> </w:t>
      </w:r>
      <w:r>
        <w:rPr>
          <w:spacing w:val="-8"/>
          <w:sz w:val="22"/>
        </w:rPr>
        <w:t>the</w:t>
      </w:r>
      <w:r>
        <w:rPr>
          <w:spacing w:val="-2"/>
          <w:sz w:val="22"/>
        </w:rPr>
        <w:t> </w:t>
      </w:r>
      <w:r>
        <w:rPr>
          <w:spacing w:val="-8"/>
          <w:sz w:val="22"/>
        </w:rPr>
        <w:t>major</w:t>
      </w:r>
      <w:r>
        <w:rPr>
          <w:spacing w:val="-2"/>
          <w:sz w:val="22"/>
        </w:rPr>
        <w:t> </w:t>
      </w:r>
      <w:r>
        <w:rPr>
          <w:spacing w:val="-8"/>
          <w:sz w:val="22"/>
        </w:rPr>
        <w:t>stakeholder,</w:t>
      </w:r>
      <w:r>
        <w:rPr>
          <w:spacing w:val="-2"/>
          <w:sz w:val="22"/>
        </w:rPr>
        <w:t> </w:t>
      </w:r>
      <w:r>
        <w:rPr>
          <w:spacing w:val="-8"/>
          <w:sz w:val="22"/>
        </w:rPr>
        <w:t>must</w:t>
      </w:r>
      <w:r>
        <w:rPr>
          <w:spacing w:val="-2"/>
          <w:sz w:val="22"/>
        </w:rPr>
        <w:t> </w:t>
      </w:r>
      <w:r>
        <w:rPr>
          <w:spacing w:val="-8"/>
          <w:sz w:val="22"/>
        </w:rPr>
        <w:t>be</w:t>
      </w:r>
      <w:r>
        <w:rPr>
          <w:spacing w:val="-2"/>
          <w:sz w:val="22"/>
        </w:rPr>
        <w:t> </w:t>
      </w:r>
      <w:r>
        <w:rPr>
          <w:spacing w:val="-8"/>
          <w:sz w:val="22"/>
        </w:rPr>
        <w:t>involved</w:t>
      </w:r>
      <w:r>
        <w:rPr>
          <w:spacing w:val="-2"/>
          <w:sz w:val="22"/>
        </w:rPr>
        <w:t> </w:t>
      </w:r>
      <w:r>
        <w:rPr>
          <w:spacing w:val="-8"/>
          <w:sz w:val="22"/>
        </w:rPr>
        <w:t>in </w:t>
      </w:r>
      <w:r>
        <w:rPr>
          <w:sz w:val="22"/>
        </w:rPr>
        <w:t>its</w:t>
      </w:r>
      <w:r>
        <w:rPr>
          <w:spacing w:val="-14"/>
          <w:sz w:val="22"/>
        </w:rPr>
        <w:t> </w:t>
      </w:r>
      <w:r>
        <w:rPr>
          <w:sz w:val="22"/>
        </w:rPr>
        <w:t>preparation</w:t>
      </w:r>
      <w:r>
        <w:rPr>
          <w:spacing w:val="-14"/>
          <w:sz w:val="22"/>
        </w:rPr>
        <w:t> </w:t>
      </w:r>
      <w:r>
        <w:rPr>
          <w:sz w:val="22"/>
        </w:rPr>
        <w:t>This</w:t>
      </w:r>
      <w:r>
        <w:rPr>
          <w:spacing w:val="-14"/>
          <w:sz w:val="22"/>
        </w:rPr>
        <w:t> </w:t>
      </w:r>
      <w:r>
        <w:rPr>
          <w:sz w:val="22"/>
        </w:rPr>
        <w:t>is</w:t>
      </w:r>
      <w:r>
        <w:rPr>
          <w:spacing w:val="-13"/>
          <w:sz w:val="22"/>
        </w:rPr>
        <w:t> </w:t>
      </w:r>
      <w:r>
        <w:rPr>
          <w:sz w:val="22"/>
        </w:rPr>
        <w:t>particularly</w:t>
      </w:r>
      <w:r>
        <w:rPr>
          <w:spacing w:val="-14"/>
          <w:sz w:val="22"/>
        </w:rPr>
        <w:t> </w:t>
      </w:r>
      <w:r>
        <w:rPr>
          <w:sz w:val="22"/>
        </w:rPr>
        <w:t>important</w:t>
      </w:r>
      <w:r>
        <w:rPr>
          <w:spacing w:val="-14"/>
          <w:sz w:val="22"/>
        </w:rPr>
        <w:t> </w:t>
      </w:r>
      <w:r>
        <w:rPr>
          <w:sz w:val="22"/>
        </w:rPr>
        <w:t>since new Indian patent examination procedures will need</w:t>
      </w:r>
      <w:r>
        <w:rPr>
          <w:spacing w:val="-14"/>
          <w:sz w:val="22"/>
        </w:rPr>
        <w:t> </w:t>
      </w:r>
      <w:r>
        <w:rPr>
          <w:sz w:val="22"/>
        </w:rPr>
        <w:t>to</w:t>
      </w:r>
      <w:r>
        <w:rPr>
          <w:spacing w:val="-14"/>
          <w:sz w:val="22"/>
        </w:rPr>
        <w:t> </w:t>
      </w:r>
      <w:r>
        <w:rPr>
          <w:sz w:val="22"/>
        </w:rPr>
        <w:t>be</w:t>
      </w:r>
      <w:r>
        <w:rPr>
          <w:spacing w:val="-14"/>
          <w:sz w:val="22"/>
        </w:rPr>
        <w:t> </w:t>
      </w:r>
      <w:r>
        <w:rPr>
          <w:sz w:val="22"/>
        </w:rPr>
        <w:t>devised</w:t>
      </w:r>
      <w:r>
        <w:rPr>
          <w:spacing w:val="-13"/>
          <w:sz w:val="22"/>
        </w:rPr>
        <w:t> </w:t>
      </w:r>
      <w:r>
        <w:rPr>
          <w:sz w:val="22"/>
        </w:rPr>
        <w:t>keeping</w:t>
      </w:r>
      <w:r>
        <w:rPr>
          <w:spacing w:val="-14"/>
          <w:sz w:val="22"/>
        </w:rPr>
        <w:t> </w:t>
      </w:r>
      <w:r>
        <w:rPr>
          <w:sz w:val="22"/>
        </w:rPr>
        <w:t>both</w:t>
      </w:r>
      <w:r>
        <w:rPr>
          <w:spacing w:val="-14"/>
          <w:sz w:val="22"/>
        </w:rPr>
        <w:t> </w:t>
      </w:r>
      <w:r>
        <w:rPr>
          <w:sz w:val="22"/>
        </w:rPr>
        <w:t>treaty</w:t>
      </w:r>
      <w:r>
        <w:rPr>
          <w:spacing w:val="-14"/>
          <w:sz w:val="22"/>
        </w:rPr>
        <w:t> </w:t>
      </w:r>
      <w:r>
        <w:rPr>
          <w:sz w:val="22"/>
        </w:rPr>
        <w:t>obligations and</w:t>
      </w:r>
      <w:r>
        <w:rPr>
          <w:spacing w:val="-8"/>
          <w:sz w:val="22"/>
        </w:rPr>
        <w:t> </w:t>
      </w:r>
      <w:r>
        <w:rPr>
          <w:sz w:val="22"/>
        </w:rPr>
        <w:t>national</w:t>
      </w:r>
      <w:r>
        <w:rPr>
          <w:spacing w:val="-8"/>
          <w:sz w:val="22"/>
        </w:rPr>
        <w:t> </w:t>
      </w:r>
      <w:r>
        <w:rPr>
          <w:sz w:val="22"/>
        </w:rPr>
        <w:t>interests</w:t>
      </w:r>
      <w:r>
        <w:rPr>
          <w:spacing w:val="-8"/>
          <w:sz w:val="22"/>
        </w:rPr>
        <w:t> </w:t>
      </w:r>
      <w:r>
        <w:rPr>
          <w:sz w:val="22"/>
        </w:rPr>
        <w:t>in</w:t>
      </w:r>
      <w:r>
        <w:rPr>
          <w:spacing w:val="-8"/>
          <w:sz w:val="22"/>
        </w:rPr>
        <w:t> </w:t>
      </w:r>
      <w:r>
        <w:rPr>
          <w:sz w:val="22"/>
        </w:rPr>
        <w:t>mind,</w:t>
      </w:r>
      <w:r>
        <w:rPr>
          <w:spacing w:val="-8"/>
          <w:sz w:val="22"/>
        </w:rPr>
        <w:t> </w:t>
      </w:r>
      <w:r>
        <w:rPr>
          <w:sz w:val="22"/>
        </w:rPr>
        <w:t>and</w:t>
      </w:r>
      <w:r>
        <w:rPr>
          <w:spacing w:val="-8"/>
          <w:sz w:val="22"/>
        </w:rPr>
        <w:t> </w:t>
      </w:r>
      <w:r>
        <w:rPr>
          <w:sz w:val="22"/>
        </w:rPr>
        <w:t>the</w:t>
      </w:r>
      <w:r>
        <w:rPr>
          <w:spacing w:val="-8"/>
          <w:sz w:val="22"/>
        </w:rPr>
        <w:t> </w:t>
      </w:r>
      <w:r>
        <w:rPr>
          <w:sz w:val="22"/>
        </w:rPr>
        <w:t>creation</w:t>
      </w:r>
      <w:r>
        <w:rPr>
          <w:spacing w:val="-8"/>
          <w:sz w:val="22"/>
        </w:rPr>
        <w:t> </w:t>
      </w:r>
      <w:r>
        <w:rPr>
          <w:sz w:val="22"/>
        </w:rPr>
        <w:t>of </w:t>
      </w:r>
      <w:r>
        <w:rPr>
          <w:spacing w:val="-4"/>
          <w:sz w:val="22"/>
        </w:rPr>
        <w:t>an</w:t>
      </w:r>
      <w:r>
        <w:rPr>
          <w:spacing w:val="-10"/>
          <w:sz w:val="22"/>
        </w:rPr>
        <w:t> </w:t>
      </w:r>
      <w:r>
        <w:rPr>
          <w:spacing w:val="-4"/>
          <w:sz w:val="22"/>
        </w:rPr>
        <w:t>adversarial</w:t>
      </w:r>
      <w:r>
        <w:rPr>
          <w:spacing w:val="-10"/>
          <w:sz w:val="22"/>
        </w:rPr>
        <w:t> </w:t>
      </w:r>
      <w:r>
        <w:rPr>
          <w:spacing w:val="-4"/>
          <w:sz w:val="22"/>
        </w:rPr>
        <w:t>process</w:t>
      </w:r>
      <w:r>
        <w:rPr>
          <w:spacing w:val="-10"/>
          <w:sz w:val="22"/>
        </w:rPr>
        <w:t> </w:t>
      </w:r>
      <w:r>
        <w:rPr>
          <w:spacing w:val="-4"/>
          <w:sz w:val="22"/>
        </w:rPr>
        <w:t>of</w:t>
      </w:r>
      <w:r>
        <w:rPr>
          <w:spacing w:val="-9"/>
          <w:sz w:val="22"/>
        </w:rPr>
        <w:t> </w:t>
      </w:r>
      <w:r>
        <w:rPr>
          <w:spacing w:val="-4"/>
          <w:sz w:val="22"/>
        </w:rPr>
        <w:t>patent</w:t>
      </w:r>
      <w:r>
        <w:rPr>
          <w:spacing w:val="-10"/>
          <w:sz w:val="22"/>
        </w:rPr>
        <w:t> </w:t>
      </w:r>
      <w:r>
        <w:rPr>
          <w:spacing w:val="-4"/>
          <w:sz w:val="22"/>
        </w:rPr>
        <w:t>examination</w:t>
      </w:r>
      <w:r>
        <w:rPr>
          <w:spacing w:val="-10"/>
          <w:sz w:val="22"/>
        </w:rPr>
        <w:t> </w:t>
      </w:r>
      <w:r>
        <w:rPr>
          <w:spacing w:val="-4"/>
          <w:sz w:val="22"/>
        </w:rPr>
        <w:t>will</w:t>
      </w:r>
      <w:r>
        <w:rPr>
          <w:spacing w:val="-10"/>
          <w:sz w:val="22"/>
        </w:rPr>
        <w:t> </w:t>
      </w:r>
      <w:r>
        <w:rPr>
          <w:spacing w:val="-4"/>
          <w:sz w:val="22"/>
        </w:rPr>
        <w:t>be </w:t>
      </w:r>
      <w:r>
        <w:rPr>
          <w:sz w:val="22"/>
        </w:rPr>
        <w:t>crucial in these procedures.</w:t>
      </w:r>
    </w:p>
    <w:p>
      <w:pPr>
        <w:pStyle w:val="ListParagraph"/>
        <w:numPr>
          <w:ilvl w:val="0"/>
          <w:numId w:val="59"/>
        </w:numPr>
        <w:tabs>
          <w:tab w:pos="455" w:val="left" w:leader="none"/>
        </w:tabs>
        <w:spacing w:line="266" w:lineRule="auto" w:before="0" w:after="0"/>
        <w:ind w:left="455" w:right="1077" w:hanging="360"/>
        <w:jc w:val="both"/>
        <w:rPr>
          <w:sz w:val="22"/>
        </w:rPr>
      </w:pPr>
      <w:r>
        <w:rPr>
          <w:sz w:val="22"/>
        </w:rPr>
        <w:t>There must be an educational section for public awareness</w:t>
      </w:r>
      <w:r>
        <w:rPr>
          <w:spacing w:val="-16"/>
          <w:sz w:val="22"/>
        </w:rPr>
        <w:t> </w:t>
      </w:r>
      <w:r>
        <w:rPr>
          <w:sz w:val="22"/>
        </w:rPr>
        <w:t>on</w:t>
      </w:r>
      <w:r>
        <w:rPr>
          <w:spacing w:val="-14"/>
          <w:sz w:val="22"/>
        </w:rPr>
        <w:t> </w:t>
      </w:r>
      <w:r>
        <w:rPr>
          <w:sz w:val="22"/>
        </w:rPr>
        <w:t>IP</w:t>
      </w:r>
      <w:r>
        <w:rPr>
          <w:spacing w:val="-14"/>
          <w:sz w:val="22"/>
        </w:rPr>
        <w:t> </w:t>
      </w:r>
      <w:r>
        <w:rPr>
          <w:sz w:val="22"/>
        </w:rPr>
        <w:t>(including</w:t>
      </w:r>
      <w:r>
        <w:rPr>
          <w:spacing w:val="-13"/>
          <w:sz w:val="22"/>
        </w:rPr>
        <w:t> </w:t>
      </w:r>
      <w:r>
        <w:rPr>
          <w:sz w:val="22"/>
        </w:rPr>
        <w:t>the</w:t>
      </w:r>
      <w:r>
        <w:rPr>
          <w:spacing w:val="-14"/>
          <w:sz w:val="22"/>
        </w:rPr>
        <w:t> </w:t>
      </w:r>
      <w:r>
        <w:rPr>
          <w:sz w:val="22"/>
        </w:rPr>
        <w:t>current</w:t>
      </w:r>
      <w:r>
        <w:rPr>
          <w:spacing w:val="-14"/>
          <w:sz w:val="22"/>
        </w:rPr>
        <w:t> </w:t>
      </w:r>
      <w:r>
        <w:rPr>
          <w:sz w:val="22"/>
        </w:rPr>
        <w:t>status</w:t>
      </w:r>
      <w:r>
        <w:rPr>
          <w:spacing w:val="-14"/>
          <w:sz w:val="22"/>
        </w:rPr>
        <w:t> </w:t>
      </w:r>
      <w:r>
        <w:rPr>
          <w:sz w:val="22"/>
        </w:rPr>
        <w:t>of</w:t>
      </w:r>
      <w:r>
        <w:rPr>
          <w:spacing w:val="-13"/>
          <w:sz w:val="22"/>
        </w:rPr>
        <w:t> </w:t>
      </w:r>
      <w:r>
        <w:rPr>
          <w:sz w:val="22"/>
        </w:rPr>
        <w:t>IP </w:t>
      </w:r>
      <w:r>
        <w:rPr>
          <w:spacing w:val="-2"/>
          <w:sz w:val="22"/>
        </w:rPr>
        <w:t>law</w:t>
      </w:r>
      <w:r>
        <w:rPr>
          <w:spacing w:val="-12"/>
          <w:sz w:val="22"/>
        </w:rPr>
        <w:t> </w:t>
      </w:r>
      <w:r>
        <w:rPr>
          <w:spacing w:val="-2"/>
          <w:sz w:val="22"/>
        </w:rPr>
        <w:t>on</w:t>
      </w:r>
      <w:r>
        <w:rPr>
          <w:spacing w:val="-12"/>
          <w:sz w:val="22"/>
        </w:rPr>
        <w:t> </w:t>
      </w:r>
      <w:r>
        <w:rPr>
          <w:spacing w:val="-2"/>
          <w:sz w:val="22"/>
        </w:rPr>
        <w:t>various</w:t>
      </w:r>
      <w:r>
        <w:rPr>
          <w:spacing w:val="-12"/>
          <w:sz w:val="22"/>
        </w:rPr>
        <w:t> </w:t>
      </w:r>
      <w:r>
        <w:rPr>
          <w:spacing w:val="-2"/>
          <w:sz w:val="22"/>
        </w:rPr>
        <w:t>topics)</w:t>
      </w:r>
      <w:r>
        <w:rPr>
          <w:spacing w:val="-11"/>
          <w:sz w:val="22"/>
        </w:rPr>
        <w:t> </w:t>
      </w:r>
      <w:r>
        <w:rPr>
          <w:spacing w:val="-2"/>
          <w:sz w:val="22"/>
        </w:rPr>
        <w:t>made</w:t>
      </w:r>
      <w:r>
        <w:rPr>
          <w:spacing w:val="-12"/>
          <w:sz w:val="22"/>
        </w:rPr>
        <w:t> </w:t>
      </w:r>
      <w:r>
        <w:rPr>
          <w:spacing w:val="-2"/>
          <w:sz w:val="22"/>
        </w:rPr>
        <w:t>available</w:t>
      </w:r>
      <w:r>
        <w:rPr>
          <w:spacing w:val="-12"/>
          <w:sz w:val="22"/>
        </w:rPr>
        <w:t> </w:t>
      </w:r>
      <w:r>
        <w:rPr>
          <w:spacing w:val="-2"/>
          <w:sz w:val="22"/>
        </w:rPr>
        <w:t>in</w:t>
      </w:r>
      <w:r>
        <w:rPr>
          <w:spacing w:val="-12"/>
          <w:sz w:val="22"/>
        </w:rPr>
        <w:t> </w:t>
      </w:r>
      <w:r>
        <w:rPr>
          <w:spacing w:val="-2"/>
          <w:sz w:val="22"/>
        </w:rPr>
        <w:t>the</w:t>
      </w:r>
      <w:r>
        <w:rPr>
          <w:spacing w:val="-11"/>
          <w:sz w:val="22"/>
        </w:rPr>
        <w:t> </w:t>
      </w:r>
      <w:r>
        <w:rPr>
          <w:spacing w:val="-2"/>
          <w:sz w:val="22"/>
        </w:rPr>
        <w:t>public domain</w:t>
      </w:r>
      <w:r>
        <w:rPr>
          <w:spacing w:val="-12"/>
          <w:sz w:val="22"/>
        </w:rPr>
        <w:t> </w:t>
      </w:r>
      <w:r>
        <w:rPr>
          <w:spacing w:val="-2"/>
          <w:sz w:val="22"/>
        </w:rPr>
        <w:t>in</w:t>
      </w:r>
      <w:r>
        <w:rPr>
          <w:spacing w:val="-12"/>
          <w:sz w:val="22"/>
        </w:rPr>
        <w:t> </w:t>
      </w:r>
      <w:r>
        <w:rPr>
          <w:spacing w:val="-2"/>
          <w:sz w:val="22"/>
        </w:rPr>
        <w:t>all</w:t>
      </w:r>
      <w:r>
        <w:rPr>
          <w:spacing w:val="-12"/>
          <w:sz w:val="22"/>
        </w:rPr>
        <w:t> </w:t>
      </w:r>
      <w:r>
        <w:rPr>
          <w:spacing w:val="-2"/>
          <w:sz w:val="22"/>
        </w:rPr>
        <w:t>official</w:t>
      </w:r>
      <w:r>
        <w:rPr>
          <w:spacing w:val="-11"/>
          <w:sz w:val="22"/>
        </w:rPr>
        <w:t> </w:t>
      </w:r>
      <w:r>
        <w:rPr>
          <w:spacing w:val="-2"/>
          <w:sz w:val="22"/>
        </w:rPr>
        <w:t>languages</w:t>
      </w:r>
      <w:r>
        <w:rPr>
          <w:spacing w:val="-12"/>
          <w:sz w:val="22"/>
        </w:rPr>
        <w:t> </w:t>
      </w:r>
      <w:r>
        <w:rPr>
          <w:spacing w:val="-2"/>
          <w:sz w:val="22"/>
        </w:rPr>
        <w:t>of</w:t>
      </w:r>
      <w:r>
        <w:rPr>
          <w:spacing w:val="-12"/>
          <w:sz w:val="22"/>
        </w:rPr>
        <w:t> </w:t>
      </w:r>
      <w:r>
        <w:rPr>
          <w:spacing w:val="-2"/>
          <w:sz w:val="22"/>
        </w:rPr>
        <w:t>the</w:t>
      </w:r>
      <w:r>
        <w:rPr>
          <w:spacing w:val="-12"/>
          <w:sz w:val="22"/>
        </w:rPr>
        <w:t> </w:t>
      </w:r>
      <w:r>
        <w:rPr>
          <w:spacing w:val="-2"/>
          <w:sz w:val="22"/>
        </w:rPr>
        <w:t>country.</w:t>
      </w:r>
    </w:p>
    <w:p>
      <w:pPr>
        <w:pStyle w:val="ListParagraph"/>
        <w:numPr>
          <w:ilvl w:val="0"/>
          <w:numId w:val="59"/>
        </w:numPr>
        <w:tabs>
          <w:tab w:pos="455" w:val="left" w:leader="none"/>
        </w:tabs>
        <w:spacing w:line="266" w:lineRule="auto" w:before="0" w:after="0"/>
        <w:ind w:left="455" w:right="1077" w:hanging="360"/>
        <w:jc w:val="both"/>
        <w:rPr>
          <w:sz w:val="22"/>
        </w:rPr>
      </w:pPr>
      <w:r>
        <w:rPr>
          <w:sz w:val="22"/>
        </w:rPr>
        <w:t>The patent granting procedure must </w:t>
      </w:r>
      <w:r>
        <w:rPr>
          <w:sz w:val="22"/>
        </w:rPr>
        <w:t>involve adequate</w:t>
      </w:r>
      <w:r>
        <w:rPr>
          <w:spacing w:val="-11"/>
          <w:sz w:val="22"/>
        </w:rPr>
        <w:t> </w:t>
      </w:r>
      <w:r>
        <w:rPr>
          <w:sz w:val="22"/>
        </w:rPr>
        <w:t>web</w:t>
      </w:r>
      <w:r>
        <w:rPr>
          <w:spacing w:val="-11"/>
          <w:sz w:val="22"/>
        </w:rPr>
        <w:t> </w:t>
      </w:r>
      <w:r>
        <w:rPr>
          <w:sz w:val="22"/>
        </w:rPr>
        <w:t>based</w:t>
      </w:r>
      <w:r>
        <w:rPr>
          <w:spacing w:val="-11"/>
          <w:sz w:val="22"/>
        </w:rPr>
        <w:t> </w:t>
      </w:r>
      <w:r>
        <w:rPr>
          <w:sz w:val="22"/>
        </w:rPr>
        <w:t>notification</w:t>
      </w:r>
      <w:r>
        <w:rPr>
          <w:spacing w:val="-11"/>
          <w:sz w:val="22"/>
        </w:rPr>
        <w:t> </w:t>
      </w:r>
      <w:r>
        <w:rPr>
          <w:sz w:val="22"/>
        </w:rPr>
        <w:t>of</w:t>
      </w:r>
      <w:r>
        <w:rPr>
          <w:spacing w:val="-11"/>
          <w:sz w:val="22"/>
        </w:rPr>
        <w:t> </w:t>
      </w:r>
      <w:r>
        <w:rPr>
          <w:sz w:val="22"/>
        </w:rPr>
        <w:t>an</w:t>
      </w:r>
      <w:r>
        <w:rPr>
          <w:spacing w:val="-11"/>
          <w:sz w:val="22"/>
        </w:rPr>
        <w:t> </w:t>
      </w:r>
      <w:r>
        <w:rPr>
          <w:sz w:val="22"/>
        </w:rPr>
        <w:t>application </w:t>
      </w:r>
      <w:r>
        <w:rPr>
          <w:spacing w:val="-4"/>
          <w:sz w:val="22"/>
        </w:rPr>
        <w:t>with</w:t>
      </w:r>
      <w:r>
        <w:rPr>
          <w:spacing w:val="-5"/>
          <w:sz w:val="22"/>
        </w:rPr>
        <w:t> </w:t>
      </w:r>
      <w:r>
        <w:rPr>
          <w:spacing w:val="-4"/>
          <w:sz w:val="22"/>
        </w:rPr>
        <w:t>complete</w:t>
      </w:r>
      <w:r>
        <w:rPr>
          <w:spacing w:val="-5"/>
          <w:sz w:val="22"/>
        </w:rPr>
        <w:t> </w:t>
      </w:r>
      <w:r>
        <w:rPr>
          <w:spacing w:val="-4"/>
          <w:sz w:val="22"/>
        </w:rPr>
        <w:t>details</w:t>
      </w:r>
      <w:r>
        <w:rPr>
          <w:spacing w:val="-5"/>
          <w:sz w:val="22"/>
        </w:rPr>
        <w:t> </w:t>
      </w:r>
      <w:r>
        <w:rPr>
          <w:spacing w:val="-4"/>
          <w:sz w:val="22"/>
        </w:rPr>
        <w:t>to</w:t>
      </w:r>
      <w:r>
        <w:rPr>
          <w:spacing w:val="-5"/>
          <w:sz w:val="22"/>
        </w:rPr>
        <w:t> </w:t>
      </w:r>
      <w:r>
        <w:rPr>
          <w:spacing w:val="-4"/>
          <w:sz w:val="22"/>
        </w:rPr>
        <w:t>give</w:t>
      </w:r>
      <w:r>
        <w:rPr>
          <w:spacing w:val="-5"/>
          <w:sz w:val="22"/>
        </w:rPr>
        <w:t> </w:t>
      </w:r>
      <w:r>
        <w:rPr>
          <w:spacing w:val="-4"/>
          <w:sz w:val="22"/>
        </w:rPr>
        <w:t>sufficient</w:t>
      </w:r>
      <w:r>
        <w:rPr>
          <w:spacing w:val="-5"/>
          <w:sz w:val="22"/>
        </w:rPr>
        <w:t> </w:t>
      </w:r>
      <w:r>
        <w:rPr>
          <w:spacing w:val="-4"/>
          <w:sz w:val="22"/>
        </w:rPr>
        <w:t>opportunity </w:t>
      </w:r>
      <w:r>
        <w:rPr>
          <w:sz w:val="22"/>
        </w:rPr>
        <w:t>for any pre-grant objections to be filed. It is </w:t>
      </w:r>
      <w:r>
        <w:rPr>
          <w:spacing w:val="-6"/>
          <w:sz w:val="22"/>
        </w:rPr>
        <w:t>particularly essential to provide e-access in real time </w:t>
      </w:r>
      <w:r>
        <w:rPr>
          <w:spacing w:val="-4"/>
          <w:sz w:val="22"/>
        </w:rPr>
        <w:t>to</w:t>
      </w:r>
      <w:r>
        <w:rPr>
          <w:spacing w:val="-10"/>
          <w:sz w:val="22"/>
        </w:rPr>
        <w:t> </w:t>
      </w:r>
      <w:r>
        <w:rPr>
          <w:spacing w:val="-4"/>
          <w:sz w:val="22"/>
        </w:rPr>
        <w:t>all</w:t>
      </w:r>
      <w:r>
        <w:rPr>
          <w:spacing w:val="-10"/>
          <w:sz w:val="22"/>
        </w:rPr>
        <w:t> </w:t>
      </w:r>
      <w:r>
        <w:rPr>
          <w:spacing w:val="-4"/>
          <w:sz w:val="22"/>
        </w:rPr>
        <w:t>steps</w:t>
      </w:r>
      <w:r>
        <w:rPr>
          <w:spacing w:val="-10"/>
          <w:sz w:val="22"/>
        </w:rPr>
        <w:t> </w:t>
      </w:r>
      <w:r>
        <w:rPr>
          <w:spacing w:val="-4"/>
          <w:sz w:val="22"/>
        </w:rPr>
        <w:t>of</w:t>
      </w:r>
      <w:r>
        <w:rPr>
          <w:spacing w:val="-9"/>
          <w:sz w:val="22"/>
        </w:rPr>
        <w:t> </w:t>
      </w:r>
      <w:r>
        <w:rPr>
          <w:spacing w:val="-4"/>
          <w:sz w:val="22"/>
        </w:rPr>
        <w:t>a</w:t>
      </w:r>
      <w:r>
        <w:rPr>
          <w:spacing w:val="-10"/>
          <w:sz w:val="22"/>
        </w:rPr>
        <w:t> </w:t>
      </w:r>
      <w:r>
        <w:rPr>
          <w:spacing w:val="-4"/>
          <w:sz w:val="22"/>
        </w:rPr>
        <w:t>patent</w:t>
      </w:r>
      <w:r>
        <w:rPr>
          <w:spacing w:val="-10"/>
          <w:sz w:val="22"/>
        </w:rPr>
        <w:t> </w:t>
      </w:r>
      <w:r>
        <w:rPr>
          <w:spacing w:val="-4"/>
          <w:sz w:val="22"/>
        </w:rPr>
        <w:t>application,</w:t>
      </w:r>
      <w:r>
        <w:rPr>
          <w:spacing w:val="-10"/>
          <w:sz w:val="22"/>
        </w:rPr>
        <w:t> </w:t>
      </w:r>
      <w:r>
        <w:rPr>
          <w:spacing w:val="-4"/>
          <w:sz w:val="22"/>
        </w:rPr>
        <w:t>from</w:t>
      </w:r>
      <w:r>
        <w:rPr>
          <w:spacing w:val="-9"/>
          <w:sz w:val="22"/>
        </w:rPr>
        <w:t> </w:t>
      </w:r>
      <w:r>
        <w:rPr>
          <w:spacing w:val="-4"/>
          <w:sz w:val="22"/>
        </w:rPr>
        <w:t>the</w:t>
      </w:r>
      <w:r>
        <w:rPr>
          <w:spacing w:val="-10"/>
          <w:sz w:val="22"/>
        </w:rPr>
        <w:t> </w:t>
      </w:r>
      <w:r>
        <w:rPr>
          <w:spacing w:val="-4"/>
          <w:sz w:val="22"/>
        </w:rPr>
        <w:t>detailed </w:t>
      </w:r>
      <w:r>
        <w:rPr>
          <w:spacing w:val="-6"/>
          <w:sz w:val="22"/>
        </w:rPr>
        <w:t>patent description, examination reports at each stage </w:t>
      </w:r>
      <w:r>
        <w:rPr>
          <w:sz w:val="22"/>
        </w:rPr>
        <w:t>and</w:t>
      </w:r>
      <w:r>
        <w:rPr>
          <w:spacing w:val="-4"/>
          <w:sz w:val="22"/>
        </w:rPr>
        <w:t> </w:t>
      </w:r>
      <w:r>
        <w:rPr>
          <w:sz w:val="22"/>
        </w:rPr>
        <w:t>all</w:t>
      </w:r>
      <w:r>
        <w:rPr>
          <w:spacing w:val="-4"/>
          <w:sz w:val="22"/>
        </w:rPr>
        <w:t> </w:t>
      </w:r>
      <w:r>
        <w:rPr>
          <w:sz w:val="22"/>
        </w:rPr>
        <w:t>amendments</w:t>
      </w:r>
      <w:r>
        <w:rPr>
          <w:spacing w:val="-4"/>
          <w:sz w:val="22"/>
        </w:rPr>
        <w:t> </w:t>
      </w:r>
      <w:r>
        <w:rPr>
          <w:sz w:val="22"/>
        </w:rPr>
        <w:t>introduced</w:t>
      </w:r>
      <w:r>
        <w:rPr>
          <w:spacing w:val="-4"/>
          <w:sz w:val="22"/>
        </w:rPr>
        <w:t> </w:t>
      </w:r>
      <w:r>
        <w:rPr>
          <w:sz w:val="22"/>
        </w:rPr>
        <w:t>at</w:t>
      </w:r>
      <w:r>
        <w:rPr>
          <w:spacing w:val="-4"/>
          <w:sz w:val="22"/>
        </w:rPr>
        <w:t> </w:t>
      </w:r>
      <w:r>
        <w:rPr>
          <w:sz w:val="22"/>
        </w:rPr>
        <w:t>various</w:t>
      </w:r>
      <w:r>
        <w:rPr>
          <w:spacing w:val="-4"/>
          <w:sz w:val="22"/>
        </w:rPr>
        <w:t> </w:t>
      </w:r>
      <w:r>
        <w:rPr>
          <w:sz w:val="22"/>
        </w:rPr>
        <w:t>points, in order to maintain complete transparency.</w:t>
      </w:r>
    </w:p>
    <w:p>
      <w:pPr>
        <w:pStyle w:val="ListParagraph"/>
        <w:numPr>
          <w:ilvl w:val="0"/>
          <w:numId w:val="59"/>
        </w:numPr>
        <w:tabs>
          <w:tab w:pos="455" w:val="left" w:leader="none"/>
        </w:tabs>
        <w:spacing w:line="266" w:lineRule="auto" w:before="3" w:after="0"/>
        <w:ind w:left="455" w:right="1077" w:hanging="360"/>
        <w:jc w:val="both"/>
        <w:rPr>
          <w:sz w:val="22"/>
        </w:rPr>
      </w:pPr>
      <w:r>
        <w:rPr>
          <w:sz w:val="22"/>
        </w:rPr>
        <w:t>There</w:t>
      </w:r>
      <w:r>
        <w:rPr>
          <w:spacing w:val="-3"/>
          <w:sz w:val="22"/>
        </w:rPr>
        <w:t> </w:t>
      </w:r>
      <w:r>
        <w:rPr>
          <w:sz w:val="22"/>
        </w:rPr>
        <w:t>is</w:t>
      </w:r>
      <w:r>
        <w:rPr>
          <w:spacing w:val="-3"/>
          <w:sz w:val="22"/>
        </w:rPr>
        <w:t> </w:t>
      </w:r>
      <w:r>
        <w:rPr>
          <w:sz w:val="22"/>
        </w:rPr>
        <w:t>urgent</w:t>
      </w:r>
      <w:r>
        <w:rPr>
          <w:spacing w:val="-3"/>
          <w:sz w:val="22"/>
        </w:rPr>
        <w:t> </w:t>
      </w:r>
      <w:r>
        <w:rPr>
          <w:sz w:val="22"/>
        </w:rPr>
        <w:t>need</w:t>
      </w:r>
      <w:r>
        <w:rPr>
          <w:spacing w:val="-3"/>
          <w:sz w:val="22"/>
        </w:rPr>
        <w:t> </w:t>
      </w:r>
      <w:r>
        <w:rPr>
          <w:sz w:val="22"/>
        </w:rPr>
        <w:t>to</w:t>
      </w:r>
      <w:r>
        <w:rPr>
          <w:spacing w:val="-3"/>
          <w:sz w:val="22"/>
        </w:rPr>
        <w:t> </w:t>
      </w:r>
      <w:r>
        <w:rPr>
          <w:sz w:val="22"/>
        </w:rPr>
        <w:t>develop</w:t>
      </w:r>
      <w:r>
        <w:rPr>
          <w:spacing w:val="-3"/>
          <w:sz w:val="22"/>
        </w:rPr>
        <w:t> </w:t>
      </w:r>
      <w:r>
        <w:rPr>
          <w:sz w:val="22"/>
        </w:rPr>
        <w:t>a</w:t>
      </w:r>
      <w:r>
        <w:rPr>
          <w:spacing w:val="-3"/>
          <w:sz w:val="22"/>
        </w:rPr>
        <w:t> </w:t>
      </w:r>
      <w:r>
        <w:rPr>
          <w:sz w:val="22"/>
        </w:rPr>
        <w:t>comprehensive </w:t>
      </w:r>
      <w:r>
        <w:rPr>
          <w:spacing w:val="-2"/>
          <w:sz w:val="22"/>
        </w:rPr>
        <w:t>patent</w:t>
      </w:r>
      <w:r>
        <w:rPr>
          <w:spacing w:val="-12"/>
          <w:sz w:val="22"/>
        </w:rPr>
        <w:t> </w:t>
      </w:r>
      <w:r>
        <w:rPr>
          <w:spacing w:val="-2"/>
          <w:sz w:val="22"/>
        </w:rPr>
        <w:t>database</w:t>
      </w:r>
      <w:r>
        <w:rPr>
          <w:spacing w:val="-12"/>
          <w:sz w:val="22"/>
        </w:rPr>
        <w:t> </w:t>
      </w:r>
      <w:r>
        <w:rPr>
          <w:spacing w:val="-2"/>
          <w:sz w:val="22"/>
        </w:rPr>
        <w:t>that</w:t>
      </w:r>
      <w:r>
        <w:rPr>
          <w:spacing w:val="-12"/>
          <w:sz w:val="22"/>
        </w:rPr>
        <w:t> </w:t>
      </w:r>
      <w:r>
        <w:rPr>
          <w:spacing w:val="-2"/>
          <w:sz w:val="22"/>
        </w:rPr>
        <w:t>provides</w:t>
      </w:r>
      <w:r>
        <w:rPr>
          <w:spacing w:val="-11"/>
          <w:sz w:val="22"/>
        </w:rPr>
        <w:t> </w:t>
      </w:r>
      <w:r>
        <w:rPr>
          <w:spacing w:val="-2"/>
          <w:sz w:val="22"/>
        </w:rPr>
        <w:t>the</w:t>
      </w:r>
      <w:r>
        <w:rPr>
          <w:spacing w:val="-12"/>
          <w:sz w:val="22"/>
        </w:rPr>
        <w:t> </w:t>
      </w:r>
      <w:r>
        <w:rPr>
          <w:spacing w:val="-2"/>
          <w:sz w:val="22"/>
        </w:rPr>
        <w:t>latest</w:t>
      </w:r>
      <w:r>
        <w:rPr>
          <w:spacing w:val="-12"/>
          <w:sz w:val="22"/>
        </w:rPr>
        <w:t> </w:t>
      </w:r>
      <w:r>
        <w:rPr>
          <w:spacing w:val="-2"/>
          <w:sz w:val="22"/>
        </w:rPr>
        <w:t>information </w:t>
      </w:r>
      <w:r>
        <w:rPr>
          <w:sz w:val="22"/>
        </w:rPr>
        <w:t>on patents, including patent applications and decisions</w:t>
      </w:r>
      <w:r>
        <w:rPr>
          <w:spacing w:val="40"/>
          <w:sz w:val="22"/>
        </w:rPr>
        <w:t> </w:t>
      </w:r>
      <w:r>
        <w:rPr>
          <w:sz w:val="22"/>
        </w:rPr>
        <w:t>of</w:t>
      </w:r>
      <w:r>
        <w:rPr>
          <w:spacing w:val="40"/>
          <w:sz w:val="22"/>
        </w:rPr>
        <w:t> </w:t>
      </w:r>
      <w:r>
        <w:rPr>
          <w:sz w:val="22"/>
        </w:rPr>
        <w:t>patent</w:t>
      </w:r>
      <w:r>
        <w:rPr>
          <w:spacing w:val="40"/>
          <w:sz w:val="22"/>
        </w:rPr>
        <w:t> </w:t>
      </w:r>
      <w:r>
        <w:rPr>
          <w:sz w:val="22"/>
        </w:rPr>
        <w:t>offices.</w:t>
      </w:r>
      <w:r>
        <w:rPr>
          <w:spacing w:val="40"/>
          <w:sz w:val="22"/>
        </w:rPr>
        <w:t> </w:t>
      </w:r>
      <w:r>
        <w:rPr>
          <w:sz w:val="22"/>
        </w:rPr>
        <w:t>At</w:t>
      </w:r>
      <w:r>
        <w:rPr>
          <w:spacing w:val="40"/>
          <w:sz w:val="22"/>
        </w:rPr>
        <w:t> </w:t>
      </w:r>
      <w:r>
        <w:rPr>
          <w:sz w:val="22"/>
        </w:rPr>
        <w:t>the</w:t>
      </w:r>
      <w:r>
        <w:rPr>
          <w:spacing w:val="40"/>
          <w:sz w:val="22"/>
        </w:rPr>
        <w:t> </w:t>
      </w:r>
      <w:r>
        <w:rPr>
          <w:sz w:val="22"/>
        </w:rPr>
        <w:t>same</w:t>
      </w:r>
      <w:r>
        <w:rPr>
          <w:spacing w:val="40"/>
          <w:sz w:val="22"/>
        </w:rPr>
        <w:t> </w:t>
      </w:r>
      <w:r>
        <w:rPr>
          <w:sz w:val="22"/>
        </w:rPr>
        <w:t>time,</w:t>
      </w:r>
    </w:p>
    <w:p>
      <w:pPr>
        <w:spacing w:after="0" w:line="266" w:lineRule="auto"/>
        <w:jc w:val="both"/>
        <w:rPr>
          <w:sz w:val="22"/>
        </w:rPr>
        <w:sectPr>
          <w:type w:val="continuous"/>
          <w:pgSz w:w="11910" w:h="16840"/>
          <w:pgMar w:header="0" w:footer="675" w:top="1920" w:bottom="280" w:left="0" w:right="0"/>
          <w:cols w:num="2" w:equalWidth="0">
            <w:col w:w="5998" w:space="40"/>
            <w:col w:w="5872"/>
          </w:cols>
        </w:sectPr>
      </w:pPr>
    </w:p>
    <w:p>
      <w:pPr>
        <w:pStyle w:val="BodyText"/>
        <w:spacing w:line="266" w:lineRule="auto" w:before="57"/>
        <w:ind w:left="1440"/>
        <w:jc w:val="both"/>
      </w:pPr>
      <w:r>
        <w:rPr/>
        <w:t>the patent offices must have access to </w:t>
      </w:r>
      <w:r>
        <w:rPr/>
        <w:t>relevant international databases and search engines, including databases with prior art literature.</w:t>
      </w:r>
    </w:p>
    <w:p>
      <w:pPr>
        <w:pStyle w:val="ListParagraph"/>
        <w:numPr>
          <w:ilvl w:val="1"/>
          <w:numId w:val="59"/>
        </w:numPr>
        <w:tabs>
          <w:tab w:pos="1439" w:val="left" w:leader="none"/>
        </w:tabs>
        <w:spacing w:line="266" w:lineRule="auto" w:before="4" w:after="0"/>
        <w:ind w:left="1439" w:right="0" w:hanging="360"/>
        <w:jc w:val="both"/>
        <w:rPr>
          <w:sz w:val="22"/>
        </w:rPr>
      </w:pPr>
      <w:r>
        <w:rPr>
          <w:sz w:val="22"/>
        </w:rPr>
        <w:t>To achieve the best global standards in </w:t>
      </w:r>
      <w:r>
        <w:rPr>
          <w:sz w:val="22"/>
        </w:rPr>
        <w:t>quality and access, the IP offices should aim to become International Search Authority (ISA) and International</w:t>
      </w:r>
      <w:r>
        <w:rPr>
          <w:spacing w:val="-5"/>
          <w:sz w:val="22"/>
        </w:rPr>
        <w:t> </w:t>
      </w:r>
      <w:r>
        <w:rPr>
          <w:sz w:val="22"/>
        </w:rPr>
        <w:t>Preliminary</w:t>
      </w:r>
      <w:r>
        <w:rPr>
          <w:spacing w:val="-5"/>
          <w:sz w:val="22"/>
        </w:rPr>
        <w:t> </w:t>
      </w:r>
      <w:r>
        <w:rPr>
          <w:sz w:val="22"/>
        </w:rPr>
        <w:t>Examination</w:t>
      </w:r>
      <w:r>
        <w:rPr>
          <w:spacing w:val="-5"/>
          <w:sz w:val="22"/>
        </w:rPr>
        <w:t> </w:t>
      </w:r>
      <w:r>
        <w:rPr>
          <w:sz w:val="22"/>
        </w:rPr>
        <w:t>Authority (IPEA)</w:t>
      </w:r>
      <w:r>
        <w:rPr>
          <w:spacing w:val="40"/>
          <w:sz w:val="22"/>
        </w:rPr>
        <w:t> </w:t>
      </w:r>
      <w:r>
        <w:rPr>
          <w:sz w:val="22"/>
        </w:rPr>
        <w:t>under</w:t>
      </w:r>
      <w:r>
        <w:rPr>
          <w:spacing w:val="40"/>
          <w:sz w:val="22"/>
        </w:rPr>
        <w:t> </w:t>
      </w:r>
      <w:r>
        <w:rPr>
          <w:sz w:val="22"/>
        </w:rPr>
        <w:t>the</w:t>
      </w:r>
      <w:r>
        <w:rPr>
          <w:spacing w:val="40"/>
          <w:sz w:val="22"/>
        </w:rPr>
        <w:t> </w:t>
      </w:r>
      <w:r>
        <w:rPr>
          <w:sz w:val="22"/>
        </w:rPr>
        <w:t>PCT</w:t>
      </w:r>
      <w:r>
        <w:rPr>
          <w:spacing w:val="40"/>
          <w:sz w:val="22"/>
        </w:rPr>
        <w:t> </w:t>
      </w:r>
      <w:r>
        <w:rPr>
          <w:sz w:val="22"/>
        </w:rPr>
        <w:t>and</w:t>
      </w:r>
      <w:r>
        <w:rPr>
          <w:spacing w:val="40"/>
          <w:sz w:val="22"/>
        </w:rPr>
        <w:t> </w:t>
      </w:r>
      <w:r>
        <w:rPr>
          <w:sz w:val="22"/>
        </w:rPr>
        <w:t>to</w:t>
      </w:r>
      <w:r>
        <w:rPr>
          <w:spacing w:val="40"/>
          <w:sz w:val="22"/>
        </w:rPr>
        <w:t> </w:t>
      </w:r>
      <w:r>
        <w:rPr>
          <w:sz w:val="22"/>
        </w:rPr>
        <w:t>this</w:t>
      </w:r>
      <w:r>
        <w:rPr>
          <w:spacing w:val="40"/>
          <w:sz w:val="22"/>
        </w:rPr>
        <w:t> </w:t>
      </w:r>
      <w:r>
        <w:rPr>
          <w:sz w:val="22"/>
        </w:rPr>
        <w:t>end,</w:t>
      </w:r>
      <w:r>
        <w:rPr>
          <w:spacing w:val="40"/>
          <w:sz w:val="22"/>
        </w:rPr>
        <w:t> </w:t>
      </w:r>
      <w:r>
        <w:rPr>
          <w:sz w:val="22"/>
        </w:rPr>
        <w:t>aim</w:t>
      </w:r>
      <w:r>
        <w:rPr>
          <w:spacing w:val="80"/>
          <w:sz w:val="22"/>
        </w:rPr>
        <w:t> </w:t>
      </w:r>
      <w:r>
        <w:rPr>
          <w:sz w:val="22"/>
        </w:rPr>
        <w:t>to conform to the PCT standards in respect of possession</w:t>
      </w:r>
      <w:r>
        <w:rPr>
          <w:spacing w:val="-12"/>
          <w:sz w:val="22"/>
        </w:rPr>
        <w:t> </w:t>
      </w:r>
      <w:r>
        <w:rPr>
          <w:sz w:val="22"/>
        </w:rPr>
        <w:t>or</w:t>
      </w:r>
      <w:r>
        <w:rPr>
          <w:spacing w:val="-12"/>
          <w:sz w:val="22"/>
        </w:rPr>
        <w:t> </w:t>
      </w:r>
      <w:r>
        <w:rPr>
          <w:sz w:val="22"/>
        </w:rPr>
        <w:t>access</w:t>
      </w:r>
      <w:r>
        <w:rPr>
          <w:spacing w:val="-12"/>
          <w:sz w:val="22"/>
        </w:rPr>
        <w:t> </w:t>
      </w:r>
      <w:r>
        <w:rPr>
          <w:sz w:val="22"/>
        </w:rPr>
        <w:t>to</w:t>
      </w:r>
      <w:r>
        <w:rPr>
          <w:spacing w:val="-12"/>
          <w:sz w:val="22"/>
        </w:rPr>
        <w:t> </w:t>
      </w:r>
      <w:r>
        <w:rPr>
          <w:sz w:val="22"/>
        </w:rPr>
        <w:t>minimum</w:t>
      </w:r>
      <w:r>
        <w:rPr>
          <w:spacing w:val="-12"/>
          <w:sz w:val="22"/>
        </w:rPr>
        <w:t> </w:t>
      </w:r>
      <w:r>
        <w:rPr>
          <w:sz w:val="22"/>
        </w:rPr>
        <w:t>documentation, </w:t>
      </w:r>
      <w:r>
        <w:rPr>
          <w:spacing w:val="-2"/>
          <w:sz w:val="22"/>
        </w:rPr>
        <w:t>number</w:t>
      </w:r>
      <w:r>
        <w:rPr>
          <w:spacing w:val="-12"/>
          <w:sz w:val="22"/>
        </w:rPr>
        <w:t> </w:t>
      </w:r>
      <w:r>
        <w:rPr>
          <w:spacing w:val="-2"/>
          <w:sz w:val="22"/>
        </w:rPr>
        <w:t>of</w:t>
      </w:r>
      <w:r>
        <w:rPr>
          <w:spacing w:val="-12"/>
          <w:sz w:val="22"/>
        </w:rPr>
        <w:t> </w:t>
      </w:r>
      <w:r>
        <w:rPr>
          <w:spacing w:val="-2"/>
          <w:sz w:val="22"/>
        </w:rPr>
        <w:t>administrative</w:t>
      </w:r>
      <w:r>
        <w:rPr>
          <w:spacing w:val="-12"/>
          <w:sz w:val="22"/>
        </w:rPr>
        <w:t> </w:t>
      </w:r>
      <w:r>
        <w:rPr>
          <w:spacing w:val="-2"/>
          <w:sz w:val="22"/>
        </w:rPr>
        <w:t>and</w:t>
      </w:r>
      <w:r>
        <w:rPr>
          <w:spacing w:val="-11"/>
          <w:sz w:val="22"/>
        </w:rPr>
        <w:t> </w:t>
      </w:r>
      <w:r>
        <w:rPr>
          <w:spacing w:val="-2"/>
          <w:sz w:val="22"/>
        </w:rPr>
        <w:t>technically</w:t>
      </w:r>
      <w:r>
        <w:rPr>
          <w:spacing w:val="-12"/>
          <w:sz w:val="22"/>
        </w:rPr>
        <w:t> </w:t>
      </w:r>
      <w:r>
        <w:rPr>
          <w:spacing w:val="-2"/>
          <w:sz w:val="22"/>
        </w:rPr>
        <w:t>qualified </w:t>
      </w:r>
      <w:r>
        <w:rPr>
          <w:sz w:val="22"/>
        </w:rPr>
        <w:t>staff and IT support systems.</w:t>
      </w:r>
    </w:p>
    <w:p>
      <w:pPr>
        <w:pStyle w:val="ListParagraph"/>
        <w:numPr>
          <w:ilvl w:val="1"/>
          <w:numId w:val="59"/>
        </w:numPr>
        <w:tabs>
          <w:tab w:pos="1439" w:val="left" w:leader="none"/>
        </w:tabs>
        <w:spacing w:line="266" w:lineRule="auto" w:before="11" w:after="0"/>
        <w:ind w:left="1439" w:right="1" w:hanging="360"/>
        <w:jc w:val="both"/>
        <w:rPr>
          <w:sz w:val="22"/>
        </w:rPr>
      </w:pPr>
      <w:r>
        <w:rPr>
          <w:spacing w:val="-4"/>
          <w:sz w:val="22"/>
        </w:rPr>
        <w:t>Efforts</w:t>
      </w:r>
      <w:r>
        <w:rPr>
          <w:spacing w:val="-10"/>
          <w:sz w:val="22"/>
        </w:rPr>
        <w:t> </w:t>
      </w:r>
      <w:r>
        <w:rPr>
          <w:spacing w:val="-4"/>
          <w:sz w:val="22"/>
        </w:rPr>
        <w:t>should</w:t>
      </w:r>
      <w:r>
        <w:rPr>
          <w:spacing w:val="-10"/>
          <w:sz w:val="22"/>
        </w:rPr>
        <w:t> </w:t>
      </w:r>
      <w:r>
        <w:rPr>
          <w:spacing w:val="-4"/>
          <w:sz w:val="22"/>
        </w:rPr>
        <w:t>also</w:t>
      </w:r>
      <w:r>
        <w:rPr>
          <w:spacing w:val="-10"/>
          <w:sz w:val="22"/>
        </w:rPr>
        <w:t> </w:t>
      </w:r>
      <w:r>
        <w:rPr>
          <w:spacing w:val="-4"/>
          <w:sz w:val="22"/>
        </w:rPr>
        <w:t>be</w:t>
      </w:r>
      <w:r>
        <w:rPr>
          <w:spacing w:val="-9"/>
          <w:sz w:val="22"/>
        </w:rPr>
        <w:t> </w:t>
      </w:r>
      <w:r>
        <w:rPr>
          <w:spacing w:val="-4"/>
          <w:sz w:val="22"/>
        </w:rPr>
        <w:t>made</w:t>
      </w:r>
      <w:r>
        <w:rPr>
          <w:spacing w:val="-10"/>
          <w:sz w:val="22"/>
        </w:rPr>
        <w:t> </w:t>
      </w:r>
      <w:r>
        <w:rPr>
          <w:spacing w:val="-4"/>
          <w:sz w:val="22"/>
        </w:rPr>
        <w:t>to</w:t>
      </w:r>
      <w:r>
        <w:rPr>
          <w:spacing w:val="-10"/>
          <w:sz w:val="22"/>
        </w:rPr>
        <w:t> </w:t>
      </w:r>
      <w:r>
        <w:rPr>
          <w:spacing w:val="-4"/>
          <w:sz w:val="22"/>
        </w:rPr>
        <w:t>develop</w:t>
      </w:r>
      <w:r>
        <w:rPr>
          <w:spacing w:val="-10"/>
          <w:sz w:val="22"/>
        </w:rPr>
        <w:t> </w:t>
      </w:r>
      <w:r>
        <w:rPr>
          <w:spacing w:val="-4"/>
          <w:sz w:val="22"/>
        </w:rPr>
        <w:t>quantifiable </w:t>
      </w:r>
      <w:r>
        <w:rPr>
          <w:sz w:val="22"/>
        </w:rPr>
        <w:t>indices for measuring, monitoring and managing quality and efficiency.</w:t>
      </w:r>
    </w:p>
    <w:p>
      <w:pPr>
        <w:pStyle w:val="ListParagraph"/>
        <w:numPr>
          <w:ilvl w:val="1"/>
          <w:numId w:val="59"/>
        </w:numPr>
        <w:tabs>
          <w:tab w:pos="1439" w:val="left" w:leader="none"/>
        </w:tabs>
        <w:spacing w:line="266" w:lineRule="auto" w:before="3" w:after="0"/>
        <w:ind w:left="1439" w:right="0" w:hanging="360"/>
        <w:jc w:val="both"/>
        <w:rPr>
          <w:sz w:val="22"/>
        </w:rPr>
      </w:pPr>
      <w:r>
        <w:rPr>
          <w:sz w:val="22"/>
        </w:rPr>
        <w:t>To</w:t>
      </w:r>
      <w:r>
        <w:rPr>
          <w:spacing w:val="-6"/>
          <w:sz w:val="22"/>
        </w:rPr>
        <w:t> </w:t>
      </w:r>
      <w:r>
        <w:rPr>
          <w:sz w:val="22"/>
        </w:rPr>
        <w:t>ensure</w:t>
      </w:r>
      <w:r>
        <w:rPr>
          <w:spacing w:val="-6"/>
          <w:sz w:val="22"/>
        </w:rPr>
        <w:t> </w:t>
      </w:r>
      <w:r>
        <w:rPr>
          <w:sz w:val="22"/>
        </w:rPr>
        <w:t>that</w:t>
      </w:r>
      <w:r>
        <w:rPr>
          <w:spacing w:val="-6"/>
          <w:sz w:val="22"/>
        </w:rPr>
        <w:t> </w:t>
      </w:r>
      <w:r>
        <w:rPr>
          <w:sz w:val="22"/>
        </w:rPr>
        <w:t>the</w:t>
      </w:r>
      <w:r>
        <w:rPr>
          <w:spacing w:val="-6"/>
          <w:sz w:val="22"/>
        </w:rPr>
        <w:t> </w:t>
      </w:r>
      <w:r>
        <w:rPr>
          <w:sz w:val="22"/>
        </w:rPr>
        <w:t>services</w:t>
      </w:r>
      <w:r>
        <w:rPr>
          <w:spacing w:val="-6"/>
          <w:sz w:val="22"/>
        </w:rPr>
        <w:t> </w:t>
      </w:r>
      <w:r>
        <w:rPr>
          <w:sz w:val="22"/>
        </w:rPr>
        <w:t>of</w:t>
      </w:r>
      <w:r>
        <w:rPr>
          <w:spacing w:val="-6"/>
          <w:sz w:val="22"/>
        </w:rPr>
        <w:t> </w:t>
      </w:r>
      <w:r>
        <w:rPr>
          <w:sz w:val="22"/>
        </w:rPr>
        <w:t>the</w:t>
      </w:r>
      <w:r>
        <w:rPr>
          <w:spacing w:val="-6"/>
          <w:sz w:val="22"/>
        </w:rPr>
        <w:t> </w:t>
      </w:r>
      <w:r>
        <w:rPr>
          <w:sz w:val="22"/>
        </w:rPr>
        <w:t>IP</w:t>
      </w:r>
      <w:r>
        <w:rPr>
          <w:spacing w:val="-6"/>
          <w:sz w:val="22"/>
        </w:rPr>
        <w:t> </w:t>
      </w:r>
      <w:r>
        <w:rPr>
          <w:sz w:val="22"/>
        </w:rPr>
        <w:t>offices</w:t>
      </w:r>
      <w:r>
        <w:rPr>
          <w:spacing w:val="-6"/>
          <w:sz w:val="22"/>
        </w:rPr>
        <w:t> </w:t>
      </w:r>
      <w:r>
        <w:rPr>
          <w:sz w:val="22"/>
        </w:rPr>
        <w:t>reach </w:t>
      </w:r>
      <w:r>
        <w:rPr>
          <w:spacing w:val="-2"/>
          <w:sz w:val="22"/>
        </w:rPr>
        <w:t>the</w:t>
      </w:r>
      <w:r>
        <w:rPr>
          <w:spacing w:val="-11"/>
          <w:sz w:val="22"/>
        </w:rPr>
        <w:t> </w:t>
      </w:r>
      <w:r>
        <w:rPr>
          <w:spacing w:val="-2"/>
          <w:sz w:val="22"/>
        </w:rPr>
        <w:t>common</w:t>
      </w:r>
      <w:r>
        <w:rPr>
          <w:spacing w:val="-11"/>
          <w:sz w:val="22"/>
        </w:rPr>
        <w:t> </w:t>
      </w:r>
      <w:r>
        <w:rPr>
          <w:spacing w:val="-2"/>
          <w:sz w:val="22"/>
        </w:rPr>
        <w:t>people</w:t>
      </w:r>
      <w:r>
        <w:rPr>
          <w:spacing w:val="-11"/>
          <w:sz w:val="22"/>
        </w:rPr>
        <w:t> </w:t>
      </w:r>
      <w:r>
        <w:rPr>
          <w:spacing w:val="-2"/>
          <w:sz w:val="22"/>
        </w:rPr>
        <w:t>engaged</w:t>
      </w:r>
      <w:r>
        <w:rPr>
          <w:spacing w:val="-11"/>
          <w:sz w:val="22"/>
        </w:rPr>
        <w:t> </w:t>
      </w:r>
      <w:r>
        <w:rPr>
          <w:spacing w:val="-2"/>
          <w:sz w:val="22"/>
        </w:rPr>
        <w:t>in</w:t>
      </w:r>
      <w:r>
        <w:rPr>
          <w:spacing w:val="-11"/>
          <w:sz w:val="22"/>
        </w:rPr>
        <w:t> </w:t>
      </w:r>
      <w:r>
        <w:rPr>
          <w:spacing w:val="-2"/>
          <w:sz w:val="22"/>
        </w:rPr>
        <w:t>rural</w:t>
      </w:r>
      <w:r>
        <w:rPr>
          <w:spacing w:val="-11"/>
          <w:sz w:val="22"/>
        </w:rPr>
        <w:t> </w:t>
      </w:r>
      <w:r>
        <w:rPr>
          <w:spacing w:val="-2"/>
          <w:sz w:val="22"/>
        </w:rPr>
        <w:t>technologies, </w:t>
      </w:r>
      <w:r>
        <w:rPr>
          <w:sz w:val="22"/>
        </w:rPr>
        <w:t>artisanry, crafts and traditional knowledge, there should be special schemes and establishments in </w:t>
      </w:r>
      <w:r>
        <w:rPr>
          <w:spacing w:val="-2"/>
          <w:sz w:val="22"/>
        </w:rPr>
        <w:t>the</w:t>
      </w:r>
      <w:r>
        <w:rPr>
          <w:spacing w:val="-10"/>
          <w:sz w:val="22"/>
        </w:rPr>
        <w:t> </w:t>
      </w:r>
      <w:r>
        <w:rPr>
          <w:spacing w:val="-2"/>
          <w:sz w:val="22"/>
        </w:rPr>
        <w:t>patent</w:t>
      </w:r>
      <w:r>
        <w:rPr>
          <w:spacing w:val="-10"/>
          <w:sz w:val="22"/>
        </w:rPr>
        <w:t> </w:t>
      </w:r>
      <w:r>
        <w:rPr>
          <w:spacing w:val="-2"/>
          <w:sz w:val="22"/>
        </w:rPr>
        <w:t>offices</w:t>
      </w:r>
      <w:r>
        <w:rPr>
          <w:spacing w:val="-10"/>
          <w:sz w:val="22"/>
        </w:rPr>
        <w:t> </w:t>
      </w:r>
      <w:r>
        <w:rPr>
          <w:spacing w:val="-2"/>
          <w:sz w:val="22"/>
        </w:rPr>
        <w:t>to</w:t>
      </w:r>
      <w:r>
        <w:rPr>
          <w:spacing w:val="-10"/>
          <w:sz w:val="22"/>
        </w:rPr>
        <w:t> </w:t>
      </w:r>
      <w:r>
        <w:rPr>
          <w:spacing w:val="-2"/>
          <w:sz w:val="22"/>
        </w:rPr>
        <w:t>deal</w:t>
      </w:r>
      <w:r>
        <w:rPr>
          <w:spacing w:val="-10"/>
          <w:sz w:val="22"/>
        </w:rPr>
        <w:t> </w:t>
      </w:r>
      <w:r>
        <w:rPr>
          <w:spacing w:val="-2"/>
          <w:sz w:val="22"/>
        </w:rPr>
        <w:t>with</w:t>
      </w:r>
      <w:r>
        <w:rPr>
          <w:spacing w:val="-10"/>
          <w:sz w:val="22"/>
        </w:rPr>
        <w:t> </w:t>
      </w:r>
      <w:r>
        <w:rPr>
          <w:spacing w:val="-2"/>
          <w:sz w:val="22"/>
        </w:rPr>
        <w:t>claims</w:t>
      </w:r>
      <w:r>
        <w:rPr>
          <w:spacing w:val="-10"/>
          <w:sz w:val="22"/>
        </w:rPr>
        <w:t> </w:t>
      </w:r>
      <w:r>
        <w:rPr>
          <w:spacing w:val="-2"/>
          <w:sz w:val="22"/>
        </w:rPr>
        <w:t>involving</w:t>
      </w:r>
      <w:r>
        <w:rPr>
          <w:spacing w:val="-10"/>
          <w:sz w:val="22"/>
        </w:rPr>
        <w:t> </w:t>
      </w:r>
      <w:r>
        <w:rPr>
          <w:spacing w:val="-2"/>
          <w:sz w:val="22"/>
        </w:rPr>
        <w:t>the </w:t>
      </w:r>
      <w:r>
        <w:rPr>
          <w:sz w:val="22"/>
        </w:rPr>
        <w:t>creation and protection of traditional knowledge in</w:t>
      </w:r>
      <w:r>
        <w:rPr>
          <w:spacing w:val="-3"/>
          <w:sz w:val="22"/>
        </w:rPr>
        <w:t> </w:t>
      </w:r>
      <w:r>
        <w:rPr>
          <w:sz w:val="22"/>
        </w:rPr>
        <w:t>its</w:t>
      </w:r>
      <w:r>
        <w:rPr>
          <w:spacing w:val="-3"/>
          <w:sz w:val="22"/>
        </w:rPr>
        <w:t> </w:t>
      </w:r>
      <w:r>
        <w:rPr>
          <w:sz w:val="22"/>
        </w:rPr>
        <w:t>various</w:t>
      </w:r>
      <w:r>
        <w:rPr>
          <w:spacing w:val="-3"/>
          <w:sz w:val="22"/>
        </w:rPr>
        <w:t> </w:t>
      </w:r>
      <w:r>
        <w:rPr>
          <w:sz w:val="22"/>
        </w:rPr>
        <w:t>forms.</w:t>
      </w:r>
      <w:r>
        <w:rPr>
          <w:spacing w:val="-3"/>
          <w:sz w:val="22"/>
        </w:rPr>
        <w:t> </w:t>
      </w:r>
      <w:r>
        <w:rPr>
          <w:sz w:val="22"/>
        </w:rPr>
        <w:t>Since</w:t>
      </w:r>
      <w:r>
        <w:rPr>
          <w:spacing w:val="-3"/>
          <w:sz w:val="22"/>
        </w:rPr>
        <w:t> </w:t>
      </w:r>
      <w:r>
        <w:rPr>
          <w:sz w:val="22"/>
        </w:rPr>
        <w:t>ensuring</w:t>
      </w:r>
      <w:r>
        <w:rPr>
          <w:spacing w:val="-3"/>
          <w:sz w:val="22"/>
        </w:rPr>
        <w:t> </w:t>
      </w:r>
      <w:r>
        <w:rPr>
          <w:sz w:val="22"/>
        </w:rPr>
        <w:t>effective</w:t>
      </w:r>
      <w:r>
        <w:rPr>
          <w:spacing w:val="-3"/>
          <w:sz w:val="22"/>
        </w:rPr>
        <w:t> </w:t>
      </w:r>
      <w:r>
        <w:rPr>
          <w:sz w:val="22"/>
        </w:rPr>
        <w:t>and </w:t>
      </w:r>
      <w:r>
        <w:rPr>
          <w:spacing w:val="-4"/>
          <w:sz w:val="22"/>
        </w:rPr>
        <w:t>competent</w:t>
      </w:r>
      <w:r>
        <w:rPr>
          <w:spacing w:val="-5"/>
          <w:sz w:val="22"/>
        </w:rPr>
        <w:t> </w:t>
      </w:r>
      <w:r>
        <w:rPr>
          <w:spacing w:val="-4"/>
          <w:sz w:val="22"/>
        </w:rPr>
        <w:t>legal</w:t>
      </w:r>
      <w:r>
        <w:rPr>
          <w:spacing w:val="-5"/>
          <w:sz w:val="22"/>
        </w:rPr>
        <w:t> </w:t>
      </w:r>
      <w:r>
        <w:rPr>
          <w:spacing w:val="-4"/>
          <w:sz w:val="22"/>
        </w:rPr>
        <w:t>representation</w:t>
      </w:r>
      <w:r>
        <w:rPr>
          <w:spacing w:val="-5"/>
          <w:sz w:val="22"/>
        </w:rPr>
        <w:t> </w:t>
      </w:r>
      <w:r>
        <w:rPr>
          <w:spacing w:val="-4"/>
          <w:sz w:val="22"/>
        </w:rPr>
        <w:t>is</w:t>
      </w:r>
      <w:r>
        <w:rPr>
          <w:spacing w:val="-5"/>
          <w:sz w:val="22"/>
        </w:rPr>
        <w:t> </w:t>
      </w:r>
      <w:r>
        <w:rPr>
          <w:spacing w:val="-4"/>
          <w:sz w:val="22"/>
        </w:rPr>
        <w:t>a</w:t>
      </w:r>
      <w:r>
        <w:rPr>
          <w:spacing w:val="-5"/>
          <w:sz w:val="22"/>
        </w:rPr>
        <w:t> </w:t>
      </w:r>
      <w:r>
        <w:rPr>
          <w:spacing w:val="-4"/>
          <w:sz w:val="22"/>
        </w:rPr>
        <w:t>critical</w:t>
      </w:r>
      <w:r>
        <w:rPr>
          <w:spacing w:val="-5"/>
          <w:sz w:val="22"/>
        </w:rPr>
        <w:t> </w:t>
      </w:r>
      <w:r>
        <w:rPr>
          <w:spacing w:val="-4"/>
          <w:sz w:val="22"/>
        </w:rPr>
        <w:t>problem </w:t>
      </w:r>
      <w:r>
        <w:rPr>
          <w:spacing w:val="-6"/>
          <w:sz w:val="22"/>
        </w:rPr>
        <w:t>for</w:t>
      </w:r>
      <w:r>
        <w:rPr>
          <w:spacing w:val="-8"/>
          <w:sz w:val="22"/>
        </w:rPr>
        <w:t> </w:t>
      </w:r>
      <w:r>
        <w:rPr>
          <w:spacing w:val="-6"/>
          <w:sz w:val="22"/>
        </w:rPr>
        <w:t>such</w:t>
      </w:r>
      <w:r>
        <w:rPr>
          <w:spacing w:val="-8"/>
          <w:sz w:val="22"/>
        </w:rPr>
        <w:t> </w:t>
      </w:r>
      <w:r>
        <w:rPr>
          <w:spacing w:val="-6"/>
          <w:sz w:val="22"/>
        </w:rPr>
        <w:t>groups,</w:t>
      </w:r>
      <w:r>
        <w:rPr>
          <w:spacing w:val="-8"/>
          <w:sz w:val="22"/>
        </w:rPr>
        <w:t> </w:t>
      </w:r>
      <w:r>
        <w:rPr>
          <w:spacing w:val="-6"/>
          <w:sz w:val="22"/>
        </w:rPr>
        <w:t>mechanisms</w:t>
      </w:r>
      <w:r>
        <w:rPr>
          <w:spacing w:val="-7"/>
          <w:sz w:val="22"/>
        </w:rPr>
        <w:t> </w:t>
      </w:r>
      <w:r>
        <w:rPr>
          <w:spacing w:val="-6"/>
          <w:sz w:val="22"/>
        </w:rPr>
        <w:t>should</w:t>
      </w:r>
      <w:r>
        <w:rPr>
          <w:spacing w:val="-8"/>
          <w:sz w:val="22"/>
        </w:rPr>
        <w:t> </w:t>
      </w:r>
      <w:r>
        <w:rPr>
          <w:spacing w:val="-6"/>
          <w:sz w:val="22"/>
        </w:rPr>
        <w:t>be</w:t>
      </w:r>
      <w:r>
        <w:rPr>
          <w:spacing w:val="-8"/>
          <w:sz w:val="22"/>
        </w:rPr>
        <w:t> </w:t>
      </w:r>
      <w:r>
        <w:rPr>
          <w:spacing w:val="-6"/>
          <w:sz w:val="22"/>
        </w:rPr>
        <w:t>evolved</w:t>
      </w:r>
      <w:r>
        <w:rPr>
          <w:spacing w:val="-8"/>
          <w:sz w:val="22"/>
        </w:rPr>
        <w:t> </w:t>
      </w:r>
      <w:r>
        <w:rPr>
          <w:spacing w:val="-6"/>
          <w:sz w:val="22"/>
        </w:rPr>
        <w:t>that </w:t>
      </w:r>
      <w:r>
        <w:rPr>
          <w:sz w:val="22"/>
        </w:rPr>
        <w:t>incentivise</w:t>
      </w:r>
      <w:r>
        <w:rPr>
          <w:spacing w:val="-4"/>
          <w:sz w:val="22"/>
        </w:rPr>
        <w:t> </w:t>
      </w:r>
      <w:r>
        <w:rPr>
          <w:sz w:val="22"/>
        </w:rPr>
        <w:t>such</w:t>
      </w:r>
      <w:r>
        <w:rPr>
          <w:spacing w:val="-4"/>
          <w:sz w:val="22"/>
        </w:rPr>
        <w:t> </w:t>
      </w:r>
      <w:r>
        <w:rPr>
          <w:sz w:val="22"/>
        </w:rPr>
        <w:t>representation</w:t>
      </w:r>
      <w:r>
        <w:rPr>
          <w:spacing w:val="-4"/>
          <w:sz w:val="22"/>
        </w:rPr>
        <w:t> </w:t>
      </w:r>
      <w:r>
        <w:rPr>
          <w:sz w:val="22"/>
        </w:rPr>
        <w:t>by</w:t>
      </w:r>
      <w:r>
        <w:rPr>
          <w:spacing w:val="-4"/>
          <w:sz w:val="22"/>
        </w:rPr>
        <w:t> </w:t>
      </w:r>
      <w:r>
        <w:rPr>
          <w:sz w:val="22"/>
        </w:rPr>
        <w:t>the</w:t>
      </w:r>
      <w:r>
        <w:rPr>
          <w:spacing w:val="-4"/>
          <w:sz w:val="22"/>
        </w:rPr>
        <w:t> </w:t>
      </w:r>
      <w:r>
        <w:rPr>
          <w:sz w:val="22"/>
        </w:rPr>
        <w:t>best</w:t>
      </w:r>
      <w:r>
        <w:rPr>
          <w:spacing w:val="-4"/>
          <w:sz w:val="22"/>
        </w:rPr>
        <w:t> </w:t>
      </w:r>
      <w:r>
        <w:rPr>
          <w:sz w:val="22"/>
        </w:rPr>
        <w:t>patent lawyers in the country.</w:t>
      </w:r>
    </w:p>
    <w:p>
      <w:pPr>
        <w:pStyle w:val="ListParagraph"/>
        <w:numPr>
          <w:ilvl w:val="1"/>
          <w:numId w:val="59"/>
        </w:numPr>
        <w:tabs>
          <w:tab w:pos="1439" w:val="left" w:leader="none"/>
        </w:tabs>
        <w:spacing w:line="266" w:lineRule="auto" w:before="0" w:after="0"/>
        <w:ind w:left="1439" w:right="0" w:hanging="360"/>
        <w:jc w:val="both"/>
        <w:rPr>
          <w:sz w:val="22"/>
        </w:rPr>
      </w:pPr>
      <w:r>
        <w:rPr>
          <w:sz w:val="22"/>
        </w:rPr>
        <w:t>For</w:t>
      </w:r>
      <w:r>
        <w:rPr>
          <w:spacing w:val="-13"/>
          <w:sz w:val="22"/>
        </w:rPr>
        <w:t> </w:t>
      </w:r>
      <w:r>
        <w:rPr>
          <w:sz w:val="22"/>
        </w:rPr>
        <w:t>each</w:t>
      </w:r>
      <w:r>
        <w:rPr>
          <w:spacing w:val="-13"/>
          <w:sz w:val="22"/>
        </w:rPr>
        <w:t> </w:t>
      </w:r>
      <w:r>
        <w:rPr>
          <w:sz w:val="22"/>
        </w:rPr>
        <w:t>sector</w:t>
      </w:r>
      <w:r>
        <w:rPr>
          <w:spacing w:val="-13"/>
          <w:sz w:val="22"/>
        </w:rPr>
        <w:t> </w:t>
      </w:r>
      <w:r>
        <w:rPr>
          <w:sz w:val="22"/>
        </w:rPr>
        <w:t>of</w:t>
      </w:r>
      <w:r>
        <w:rPr>
          <w:spacing w:val="-13"/>
          <w:sz w:val="22"/>
        </w:rPr>
        <w:t> </w:t>
      </w:r>
      <w:r>
        <w:rPr>
          <w:sz w:val="22"/>
        </w:rPr>
        <w:t>highly</w:t>
      </w:r>
      <w:r>
        <w:rPr>
          <w:spacing w:val="-13"/>
          <w:sz w:val="22"/>
        </w:rPr>
        <w:t> </w:t>
      </w:r>
      <w:r>
        <w:rPr>
          <w:sz w:val="22"/>
        </w:rPr>
        <w:t>technical</w:t>
      </w:r>
      <w:r>
        <w:rPr>
          <w:spacing w:val="-13"/>
          <w:sz w:val="22"/>
        </w:rPr>
        <w:t> </w:t>
      </w:r>
      <w:r>
        <w:rPr>
          <w:sz w:val="22"/>
        </w:rPr>
        <w:t>patents,</w:t>
      </w:r>
      <w:r>
        <w:rPr>
          <w:spacing w:val="-13"/>
          <w:sz w:val="22"/>
        </w:rPr>
        <w:t> </w:t>
      </w:r>
      <w:r>
        <w:rPr>
          <w:sz w:val="22"/>
        </w:rPr>
        <w:t>it</w:t>
      </w:r>
      <w:r>
        <w:rPr>
          <w:spacing w:val="-13"/>
          <w:sz w:val="22"/>
        </w:rPr>
        <w:t> </w:t>
      </w:r>
      <w:r>
        <w:rPr>
          <w:sz w:val="22"/>
        </w:rPr>
        <w:t>may be necessary to constitute specific empowered committees of experts as part of the patent </w:t>
      </w:r>
      <w:r>
        <w:rPr>
          <w:spacing w:val="-2"/>
          <w:sz w:val="22"/>
        </w:rPr>
        <w:t>evaluation</w:t>
      </w:r>
      <w:r>
        <w:rPr>
          <w:spacing w:val="-12"/>
          <w:sz w:val="22"/>
        </w:rPr>
        <w:t> </w:t>
      </w:r>
      <w:r>
        <w:rPr>
          <w:spacing w:val="-2"/>
          <w:sz w:val="22"/>
        </w:rPr>
        <w:t>process</w:t>
      </w:r>
      <w:r>
        <w:rPr>
          <w:spacing w:val="-11"/>
          <w:sz w:val="22"/>
        </w:rPr>
        <w:t> </w:t>
      </w:r>
      <w:r>
        <w:rPr>
          <w:spacing w:val="-2"/>
          <w:sz w:val="22"/>
        </w:rPr>
        <w:t>in</w:t>
      </w:r>
      <w:r>
        <w:rPr>
          <w:spacing w:val="-12"/>
          <w:sz w:val="22"/>
        </w:rPr>
        <w:t> </w:t>
      </w:r>
      <w:r>
        <w:rPr>
          <w:spacing w:val="-2"/>
          <w:sz w:val="22"/>
        </w:rPr>
        <w:t>the</w:t>
      </w:r>
      <w:r>
        <w:rPr>
          <w:spacing w:val="-11"/>
          <w:sz w:val="22"/>
        </w:rPr>
        <w:t> </w:t>
      </w:r>
      <w:r>
        <w:rPr>
          <w:spacing w:val="-2"/>
          <w:sz w:val="22"/>
        </w:rPr>
        <w:t>patent</w:t>
      </w:r>
      <w:r>
        <w:rPr>
          <w:spacing w:val="-12"/>
          <w:sz w:val="22"/>
        </w:rPr>
        <w:t> </w:t>
      </w:r>
      <w:r>
        <w:rPr>
          <w:spacing w:val="-2"/>
          <w:sz w:val="22"/>
        </w:rPr>
        <w:t>office</w:t>
      </w:r>
      <w:r>
        <w:rPr>
          <w:spacing w:val="-11"/>
          <w:sz w:val="22"/>
        </w:rPr>
        <w:t> </w:t>
      </w:r>
      <w:r>
        <w:rPr>
          <w:spacing w:val="-2"/>
          <w:sz w:val="22"/>
        </w:rPr>
        <w:t>to</w:t>
      </w:r>
      <w:r>
        <w:rPr>
          <w:spacing w:val="-12"/>
          <w:sz w:val="22"/>
        </w:rPr>
        <w:t> </w:t>
      </w:r>
      <w:r>
        <w:rPr>
          <w:spacing w:val="-2"/>
          <w:sz w:val="22"/>
        </w:rPr>
        <w:t>decide</w:t>
      </w:r>
      <w:r>
        <w:rPr>
          <w:spacing w:val="-11"/>
          <w:sz w:val="22"/>
        </w:rPr>
        <w:t> </w:t>
      </w:r>
      <w:r>
        <w:rPr>
          <w:spacing w:val="-2"/>
          <w:sz w:val="22"/>
        </w:rPr>
        <w:t>on </w:t>
      </w:r>
      <w:r>
        <w:rPr>
          <w:sz w:val="22"/>
        </w:rPr>
        <w:t>the</w:t>
      </w:r>
      <w:r>
        <w:rPr>
          <w:spacing w:val="-2"/>
          <w:sz w:val="22"/>
        </w:rPr>
        <w:t> </w:t>
      </w:r>
      <w:r>
        <w:rPr>
          <w:sz w:val="22"/>
        </w:rPr>
        <w:t>suitability</w:t>
      </w:r>
      <w:r>
        <w:rPr>
          <w:spacing w:val="-1"/>
          <w:sz w:val="22"/>
        </w:rPr>
        <w:t> </w:t>
      </w:r>
      <w:r>
        <w:rPr>
          <w:sz w:val="22"/>
        </w:rPr>
        <w:t>of</w:t>
      </w:r>
      <w:r>
        <w:rPr>
          <w:spacing w:val="-1"/>
          <w:sz w:val="22"/>
        </w:rPr>
        <w:t> </w:t>
      </w:r>
      <w:r>
        <w:rPr>
          <w:sz w:val="22"/>
        </w:rPr>
        <w:t>granting</w:t>
      </w:r>
      <w:r>
        <w:rPr>
          <w:spacing w:val="-2"/>
          <w:sz w:val="22"/>
        </w:rPr>
        <w:t> </w:t>
      </w:r>
      <w:r>
        <w:rPr>
          <w:sz w:val="22"/>
        </w:rPr>
        <w:t>a</w:t>
      </w:r>
      <w:r>
        <w:rPr>
          <w:spacing w:val="-2"/>
          <w:sz w:val="22"/>
        </w:rPr>
        <w:t> </w:t>
      </w:r>
      <w:r>
        <w:rPr>
          <w:sz w:val="22"/>
        </w:rPr>
        <w:t>patent,</w:t>
      </w:r>
      <w:r>
        <w:rPr>
          <w:spacing w:val="-2"/>
          <w:sz w:val="22"/>
        </w:rPr>
        <w:t> </w:t>
      </w:r>
      <w:r>
        <w:rPr>
          <w:sz w:val="22"/>
        </w:rPr>
        <w:t>in</w:t>
      </w:r>
      <w:r>
        <w:rPr>
          <w:spacing w:val="-2"/>
          <w:sz w:val="22"/>
        </w:rPr>
        <w:t> </w:t>
      </w:r>
      <w:r>
        <w:rPr>
          <w:sz w:val="22"/>
        </w:rPr>
        <w:t>accordance with</w:t>
      </w:r>
      <w:r>
        <w:rPr>
          <w:spacing w:val="-4"/>
          <w:sz w:val="22"/>
        </w:rPr>
        <w:t> </w:t>
      </w:r>
      <w:r>
        <w:rPr>
          <w:sz w:val="22"/>
        </w:rPr>
        <w:t>the</w:t>
      </w:r>
      <w:r>
        <w:rPr>
          <w:spacing w:val="-4"/>
          <w:sz w:val="22"/>
        </w:rPr>
        <w:t> </w:t>
      </w:r>
      <w:r>
        <w:rPr>
          <w:sz w:val="22"/>
        </w:rPr>
        <w:t>provisions</w:t>
      </w:r>
      <w:r>
        <w:rPr>
          <w:spacing w:val="-4"/>
          <w:sz w:val="22"/>
        </w:rPr>
        <w:t> </w:t>
      </w:r>
      <w:r>
        <w:rPr>
          <w:sz w:val="22"/>
        </w:rPr>
        <w:t>of</w:t>
      </w:r>
      <w:r>
        <w:rPr>
          <w:spacing w:val="-4"/>
          <w:sz w:val="22"/>
        </w:rPr>
        <w:t> </w:t>
      </w:r>
      <w:r>
        <w:rPr>
          <w:sz w:val="22"/>
        </w:rPr>
        <w:t>the</w:t>
      </w:r>
      <w:r>
        <w:rPr>
          <w:spacing w:val="-4"/>
          <w:sz w:val="22"/>
        </w:rPr>
        <w:t> </w:t>
      </w:r>
      <w:r>
        <w:rPr>
          <w:sz w:val="22"/>
        </w:rPr>
        <w:t>law.</w:t>
      </w:r>
      <w:r>
        <w:rPr>
          <w:spacing w:val="-10"/>
          <w:sz w:val="22"/>
        </w:rPr>
        <w:t> </w:t>
      </w:r>
      <w:r>
        <w:rPr>
          <w:sz w:val="22"/>
        </w:rPr>
        <w:t>These</w:t>
      </w:r>
      <w:r>
        <w:rPr>
          <w:spacing w:val="-4"/>
          <w:sz w:val="22"/>
        </w:rPr>
        <w:t> </w:t>
      </w:r>
      <w:r>
        <w:rPr>
          <w:sz w:val="22"/>
        </w:rPr>
        <w:t>committees must adhere to strict time bound procedures of </w:t>
      </w:r>
      <w:r>
        <w:rPr>
          <w:spacing w:val="-4"/>
          <w:sz w:val="22"/>
        </w:rPr>
        <w:t>examination</w:t>
      </w:r>
      <w:r>
        <w:rPr>
          <w:spacing w:val="-5"/>
          <w:sz w:val="22"/>
        </w:rPr>
        <w:t> </w:t>
      </w:r>
      <w:r>
        <w:rPr>
          <w:spacing w:val="-4"/>
          <w:sz w:val="22"/>
        </w:rPr>
        <w:t>and</w:t>
      </w:r>
      <w:r>
        <w:rPr>
          <w:spacing w:val="-5"/>
          <w:sz w:val="22"/>
        </w:rPr>
        <w:t> </w:t>
      </w:r>
      <w:r>
        <w:rPr>
          <w:spacing w:val="-4"/>
          <w:sz w:val="22"/>
        </w:rPr>
        <w:t>sufficient</w:t>
      </w:r>
      <w:r>
        <w:rPr>
          <w:spacing w:val="-5"/>
          <w:sz w:val="22"/>
        </w:rPr>
        <w:t> </w:t>
      </w:r>
      <w:r>
        <w:rPr>
          <w:spacing w:val="-4"/>
          <w:sz w:val="22"/>
        </w:rPr>
        <w:t>safeguards</w:t>
      </w:r>
      <w:r>
        <w:rPr>
          <w:spacing w:val="-5"/>
          <w:sz w:val="22"/>
        </w:rPr>
        <w:t> </w:t>
      </w:r>
      <w:r>
        <w:rPr>
          <w:spacing w:val="-4"/>
          <w:sz w:val="22"/>
        </w:rPr>
        <w:t>must</w:t>
      </w:r>
      <w:r>
        <w:rPr>
          <w:spacing w:val="-5"/>
          <w:sz w:val="22"/>
        </w:rPr>
        <w:t> </w:t>
      </w:r>
      <w:r>
        <w:rPr>
          <w:spacing w:val="-4"/>
          <w:sz w:val="22"/>
        </w:rPr>
        <w:t>also</w:t>
      </w:r>
      <w:r>
        <w:rPr>
          <w:spacing w:val="-5"/>
          <w:sz w:val="22"/>
        </w:rPr>
        <w:t> </w:t>
      </w:r>
      <w:r>
        <w:rPr>
          <w:spacing w:val="-4"/>
          <w:sz w:val="22"/>
        </w:rPr>
        <w:t>be </w:t>
      </w:r>
      <w:r>
        <w:rPr>
          <w:sz w:val="22"/>
        </w:rPr>
        <w:t>maintained to ensure confidentiality and prevent any</w:t>
      </w:r>
      <w:r>
        <w:rPr>
          <w:spacing w:val="-9"/>
          <w:sz w:val="22"/>
        </w:rPr>
        <w:t> </w:t>
      </w:r>
      <w:r>
        <w:rPr>
          <w:sz w:val="22"/>
        </w:rPr>
        <w:t>subversion</w:t>
      </w:r>
      <w:r>
        <w:rPr>
          <w:spacing w:val="-9"/>
          <w:sz w:val="22"/>
        </w:rPr>
        <w:t> </w:t>
      </w:r>
      <w:r>
        <w:rPr>
          <w:sz w:val="22"/>
        </w:rPr>
        <w:t>of</w:t>
      </w:r>
      <w:r>
        <w:rPr>
          <w:spacing w:val="-9"/>
          <w:sz w:val="22"/>
        </w:rPr>
        <w:t> </w:t>
      </w:r>
      <w:r>
        <w:rPr>
          <w:sz w:val="22"/>
        </w:rPr>
        <w:t>the</w:t>
      </w:r>
      <w:r>
        <w:rPr>
          <w:spacing w:val="-9"/>
          <w:sz w:val="22"/>
        </w:rPr>
        <w:t> </w:t>
      </w:r>
      <w:r>
        <w:rPr>
          <w:sz w:val="22"/>
        </w:rPr>
        <w:t>process.</w:t>
      </w:r>
    </w:p>
    <w:p>
      <w:pPr>
        <w:pStyle w:val="Heading6"/>
        <w:numPr>
          <w:ilvl w:val="0"/>
          <w:numId w:val="58"/>
        </w:numPr>
        <w:tabs>
          <w:tab w:pos="1484" w:val="left" w:leader="none"/>
        </w:tabs>
        <w:spacing w:line="208" w:lineRule="auto" w:before="247" w:after="0"/>
        <w:ind w:left="1484" w:right="156" w:hanging="405"/>
        <w:jc w:val="left"/>
      </w:pPr>
      <w:r>
        <w:rPr>
          <w:color w:val="2E614A"/>
          <w:w w:val="90"/>
        </w:rPr>
        <w:t>Incentive Mechanisms to </w:t>
      </w:r>
      <w:r>
        <w:rPr>
          <w:color w:val="2E614A"/>
          <w:w w:val="90"/>
        </w:rPr>
        <w:t>Attract </w:t>
      </w:r>
      <w:r>
        <w:rPr>
          <w:color w:val="2E614A"/>
          <w:spacing w:val="-2"/>
        </w:rPr>
        <w:t>and</w:t>
      </w:r>
      <w:r>
        <w:rPr>
          <w:color w:val="2E614A"/>
          <w:spacing w:val="-18"/>
        </w:rPr>
        <w:t> </w:t>
      </w:r>
      <w:r>
        <w:rPr>
          <w:color w:val="2E614A"/>
          <w:spacing w:val="-2"/>
        </w:rPr>
        <w:t>Retain</w:t>
      </w:r>
      <w:r>
        <w:rPr>
          <w:color w:val="2E614A"/>
          <w:spacing w:val="-18"/>
        </w:rPr>
        <w:t> </w:t>
      </w:r>
      <w:r>
        <w:rPr>
          <w:color w:val="2E614A"/>
          <w:spacing w:val="-2"/>
        </w:rPr>
        <w:t>Quality</w:t>
      </w:r>
      <w:r>
        <w:rPr>
          <w:color w:val="2E614A"/>
          <w:spacing w:val="-18"/>
        </w:rPr>
        <w:t> </w:t>
      </w:r>
      <w:r>
        <w:rPr>
          <w:color w:val="2E614A"/>
          <w:spacing w:val="-2"/>
        </w:rPr>
        <w:t>Talent</w:t>
      </w:r>
    </w:p>
    <w:p>
      <w:pPr>
        <w:pStyle w:val="ListParagraph"/>
        <w:numPr>
          <w:ilvl w:val="1"/>
          <w:numId w:val="58"/>
        </w:numPr>
        <w:tabs>
          <w:tab w:pos="1439" w:val="left" w:leader="none"/>
        </w:tabs>
        <w:spacing w:line="266" w:lineRule="auto" w:before="284" w:after="0"/>
        <w:ind w:left="1439" w:right="0" w:hanging="360"/>
        <w:jc w:val="both"/>
        <w:rPr>
          <w:sz w:val="22"/>
        </w:rPr>
      </w:pPr>
      <w:r>
        <w:rPr>
          <w:sz w:val="22"/>
        </w:rPr>
        <w:t>An incentive driven system of human </w:t>
      </w:r>
      <w:r>
        <w:rPr>
          <w:sz w:val="22"/>
        </w:rPr>
        <w:t>resources </w:t>
      </w:r>
      <w:r>
        <w:rPr>
          <w:spacing w:val="-2"/>
          <w:sz w:val="22"/>
        </w:rPr>
        <w:t>management,</w:t>
      </w:r>
      <w:r>
        <w:rPr>
          <w:spacing w:val="-10"/>
          <w:sz w:val="22"/>
        </w:rPr>
        <w:t> </w:t>
      </w:r>
      <w:r>
        <w:rPr>
          <w:spacing w:val="-2"/>
          <w:sz w:val="22"/>
        </w:rPr>
        <w:t>including</w:t>
      </w:r>
      <w:r>
        <w:rPr>
          <w:spacing w:val="-10"/>
          <w:sz w:val="22"/>
        </w:rPr>
        <w:t> </w:t>
      </w:r>
      <w:r>
        <w:rPr>
          <w:spacing w:val="-2"/>
          <w:sz w:val="22"/>
        </w:rPr>
        <w:t>fast</w:t>
      </w:r>
      <w:r>
        <w:rPr>
          <w:spacing w:val="-10"/>
          <w:sz w:val="22"/>
        </w:rPr>
        <w:t> </w:t>
      </w:r>
      <w:r>
        <w:rPr>
          <w:spacing w:val="-2"/>
          <w:sz w:val="22"/>
        </w:rPr>
        <w:t>track</w:t>
      </w:r>
      <w:r>
        <w:rPr>
          <w:spacing w:val="-10"/>
          <w:sz w:val="22"/>
        </w:rPr>
        <w:t> </w:t>
      </w:r>
      <w:r>
        <w:rPr>
          <w:spacing w:val="-2"/>
          <w:sz w:val="22"/>
        </w:rPr>
        <w:t>career</w:t>
      </w:r>
      <w:r>
        <w:rPr>
          <w:spacing w:val="-10"/>
          <w:sz w:val="22"/>
        </w:rPr>
        <w:t> </w:t>
      </w:r>
      <w:r>
        <w:rPr>
          <w:spacing w:val="-2"/>
          <w:sz w:val="22"/>
        </w:rPr>
        <w:t>structures </w:t>
      </w:r>
      <w:r>
        <w:rPr>
          <w:sz w:val="22"/>
        </w:rPr>
        <w:t>for</w:t>
      </w:r>
      <w:r>
        <w:rPr>
          <w:spacing w:val="-14"/>
          <w:sz w:val="22"/>
        </w:rPr>
        <w:t> </w:t>
      </w:r>
      <w:r>
        <w:rPr>
          <w:sz w:val="22"/>
        </w:rPr>
        <w:t>deserving</w:t>
      </w:r>
      <w:r>
        <w:rPr>
          <w:spacing w:val="-14"/>
          <w:sz w:val="22"/>
        </w:rPr>
        <w:t> </w:t>
      </w:r>
      <w:r>
        <w:rPr>
          <w:sz w:val="22"/>
        </w:rPr>
        <w:t>staff</w:t>
      </w:r>
      <w:r>
        <w:rPr>
          <w:spacing w:val="-14"/>
          <w:sz w:val="22"/>
        </w:rPr>
        <w:t> </w:t>
      </w:r>
      <w:r>
        <w:rPr>
          <w:sz w:val="22"/>
        </w:rPr>
        <w:t>should</w:t>
      </w:r>
      <w:r>
        <w:rPr>
          <w:spacing w:val="-13"/>
          <w:sz w:val="22"/>
        </w:rPr>
        <w:t> </w:t>
      </w:r>
      <w:r>
        <w:rPr>
          <w:sz w:val="22"/>
        </w:rPr>
        <w:t>be</w:t>
      </w:r>
      <w:r>
        <w:rPr>
          <w:spacing w:val="-14"/>
          <w:sz w:val="22"/>
        </w:rPr>
        <w:t> </w:t>
      </w:r>
      <w:r>
        <w:rPr>
          <w:sz w:val="22"/>
        </w:rPr>
        <w:t>developed</w:t>
      </w:r>
      <w:r>
        <w:rPr>
          <w:spacing w:val="-14"/>
          <w:sz w:val="22"/>
        </w:rPr>
        <w:t> </w:t>
      </w:r>
      <w:r>
        <w:rPr>
          <w:sz w:val="22"/>
        </w:rPr>
        <w:t>within</w:t>
      </w:r>
      <w:r>
        <w:rPr>
          <w:spacing w:val="-14"/>
          <w:sz w:val="22"/>
        </w:rPr>
        <w:t> </w:t>
      </w:r>
      <w:r>
        <w:rPr>
          <w:sz w:val="22"/>
        </w:rPr>
        <w:t>the </w:t>
      </w:r>
      <w:r>
        <w:rPr>
          <w:spacing w:val="-4"/>
          <w:sz w:val="22"/>
        </w:rPr>
        <w:t>IP</w:t>
      </w:r>
      <w:r>
        <w:rPr>
          <w:spacing w:val="-10"/>
          <w:sz w:val="22"/>
        </w:rPr>
        <w:t> </w:t>
      </w:r>
      <w:r>
        <w:rPr>
          <w:spacing w:val="-4"/>
          <w:sz w:val="22"/>
        </w:rPr>
        <w:t>offices</w:t>
      </w:r>
      <w:r>
        <w:rPr>
          <w:spacing w:val="-10"/>
          <w:sz w:val="22"/>
        </w:rPr>
        <w:t> </w:t>
      </w:r>
      <w:r>
        <w:rPr>
          <w:spacing w:val="-4"/>
          <w:sz w:val="22"/>
        </w:rPr>
        <w:t>to</w:t>
      </w:r>
      <w:r>
        <w:rPr>
          <w:spacing w:val="-9"/>
          <w:sz w:val="22"/>
        </w:rPr>
        <w:t> </w:t>
      </w:r>
      <w:r>
        <w:rPr>
          <w:spacing w:val="-4"/>
          <w:sz w:val="22"/>
        </w:rPr>
        <w:t>attract</w:t>
      </w:r>
      <w:r>
        <w:rPr>
          <w:spacing w:val="-10"/>
          <w:sz w:val="22"/>
        </w:rPr>
        <w:t> </w:t>
      </w:r>
      <w:r>
        <w:rPr>
          <w:spacing w:val="-4"/>
          <w:sz w:val="22"/>
        </w:rPr>
        <w:t>and</w:t>
      </w:r>
      <w:r>
        <w:rPr>
          <w:spacing w:val="-10"/>
          <w:sz w:val="22"/>
        </w:rPr>
        <w:t> </w:t>
      </w:r>
      <w:r>
        <w:rPr>
          <w:spacing w:val="-4"/>
          <w:sz w:val="22"/>
        </w:rPr>
        <w:t>retain</w:t>
      </w:r>
      <w:r>
        <w:rPr>
          <w:spacing w:val="-9"/>
          <w:sz w:val="22"/>
        </w:rPr>
        <w:t> </w:t>
      </w:r>
      <w:r>
        <w:rPr>
          <w:spacing w:val="-4"/>
          <w:sz w:val="22"/>
        </w:rPr>
        <w:t>competent</w:t>
      </w:r>
      <w:r>
        <w:rPr>
          <w:spacing w:val="-10"/>
          <w:sz w:val="22"/>
        </w:rPr>
        <w:t> </w:t>
      </w:r>
      <w:r>
        <w:rPr>
          <w:spacing w:val="-4"/>
          <w:sz w:val="22"/>
        </w:rPr>
        <w:t>personnel. </w:t>
      </w:r>
      <w:r>
        <w:rPr>
          <w:sz w:val="22"/>
        </w:rPr>
        <w:t>As the IP Offices will be competing with the private industry to attract qualified scientists and engineers,</w:t>
      </w:r>
      <w:r>
        <w:rPr>
          <w:spacing w:val="-7"/>
          <w:sz w:val="22"/>
        </w:rPr>
        <w:t> </w:t>
      </w:r>
      <w:r>
        <w:rPr>
          <w:sz w:val="22"/>
        </w:rPr>
        <w:t>they</w:t>
      </w:r>
      <w:r>
        <w:rPr>
          <w:spacing w:val="-7"/>
          <w:sz w:val="22"/>
        </w:rPr>
        <w:t> </w:t>
      </w:r>
      <w:r>
        <w:rPr>
          <w:sz w:val="22"/>
        </w:rPr>
        <w:t>will</w:t>
      </w:r>
      <w:r>
        <w:rPr>
          <w:spacing w:val="-7"/>
          <w:sz w:val="22"/>
        </w:rPr>
        <w:t> </w:t>
      </w:r>
      <w:r>
        <w:rPr>
          <w:sz w:val="22"/>
        </w:rPr>
        <w:t>need</w:t>
      </w:r>
      <w:r>
        <w:rPr>
          <w:spacing w:val="-7"/>
          <w:sz w:val="22"/>
        </w:rPr>
        <w:t> </w:t>
      </w:r>
      <w:r>
        <w:rPr>
          <w:sz w:val="22"/>
        </w:rPr>
        <w:t>to</w:t>
      </w:r>
      <w:r>
        <w:rPr>
          <w:spacing w:val="-7"/>
          <w:sz w:val="22"/>
        </w:rPr>
        <w:t> </w:t>
      </w:r>
      <w:r>
        <w:rPr>
          <w:sz w:val="22"/>
        </w:rPr>
        <w:t>reach</w:t>
      </w:r>
      <w:r>
        <w:rPr>
          <w:spacing w:val="-7"/>
          <w:sz w:val="22"/>
        </w:rPr>
        <w:t> </w:t>
      </w:r>
      <w:r>
        <w:rPr>
          <w:sz w:val="22"/>
        </w:rPr>
        <w:t>out</w:t>
      </w:r>
      <w:r>
        <w:rPr>
          <w:spacing w:val="-7"/>
          <w:sz w:val="22"/>
        </w:rPr>
        <w:t> </w:t>
      </w:r>
      <w:r>
        <w:rPr>
          <w:sz w:val="22"/>
        </w:rPr>
        <w:t>proactively to institutions of eminence. Candidates applying for</w:t>
      </w:r>
      <w:r>
        <w:rPr>
          <w:spacing w:val="-14"/>
          <w:sz w:val="22"/>
        </w:rPr>
        <w:t> </w:t>
      </w:r>
      <w:r>
        <w:rPr>
          <w:sz w:val="22"/>
        </w:rPr>
        <w:t>the</w:t>
      </w:r>
      <w:r>
        <w:rPr>
          <w:spacing w:val="-14"/>
          <w:sz w:val="22"/>
        </w:rPr>
        <w:t> </w:t>
      </w:r>
      <w:r>
        <w:rPr>
          <w:sz w:val="22"/>
        </w:rPr>
        <w:t>post</w:t>
      </w:r>
      <w:r>
        <w:rPr>
          <w:spacing w:val="-14"/>
          <w:sz w:val="22"/>
        </w:rPr>
        <w:t> </w:t>
      </w:r>
      <w:r>
        <w:rPr>
          <w:sz w:val="22"/>
        </w:rPr>
        <w:t>of</w:t>
      </w:r>
      <w:r>
        <w:rPr>
          <w:spacing w:val="-13"/>
          <w:sz w:val="22"/>
        </w:rPr>
        <w:t> </w:t>
      </w:r>
      <w:r>
        <w:rPr>
          <w:sz w:val="22"/>
        </w:rPr>
        <w:t>a</w:t>
      </w:r>
      <w:r>
        <w:rPr>
          <w:spacing w:val="-14"/>
          <w:sz w:val="22"/>
        </w:rPr>
        <w:t> </w:t>
      </w:r>
      <w:r>
        <w:rPr>
          <w:sz w:val="22"/>
        </w:rPr>
        <w:t>patent</w:t>
      </w:r>
      <w:r>
        <w:rPr>
          <w:spacing w:val="-14"/>
          <w:sz w:val="22"/>
        </w:rPr>
        <w:t> </w:t>
      </w:r>
      <w:r>
        <w:rPr>
          <w:sz w:val="22"/>
        </w:rPr>
        <w:t>examiner</w:t>
      </w:r>
      <w:r>
        <w:rPr>
          <w:spacing w:val="-14"/>
          <w:sz w:val="22"/>
        </w:rPr>
        <w:t> </w:t>
      </w:r>
      <w:r>
        <w:rPr>
          <w:sz w:val="22"/>
        </w:rPr>
        <w:t>must</w:t>
      </w:r>
      <w:r>
        <w:rPr>
          <w:spacing w:val="-13"/>
          <w:sz w:val="22"/>
        </w:rPr>
        <w:t> </w:t>
      </w:r>
      <w:r>
        <w:rPr>
          <w:sz w:val="22"/>
        </w:rPr>
        <w:t>be</w:t>
      </w:r>
      <w:r>
        <w:rPr>
          <w:spacing w:val="-14"/>
          <w:sz w:val="22"/>
        </w:rPr>
        <w:t> </w:t>
      </w:r>
      <w:r>
        <w:rPr>
          <w:sz w:val="22"/>
        </w:rPr>
        <w:t>tested</w:t>
      </w:r>
      <w:r>
        <w:rPr>
          <w:spacing w:val="-14"/>
          <w:sz w:val="22"/>
        </w:rPr>
        <w:t> </w:t>
      </w:r>
      <w:r>
        <w:rPr>
          <w:sz w:val="22"/>
        </w:rPr>
        <w:t>on </w:t>
      </w:r>
      <w:r>
        <w:rPr>
          <w:spacing w:val="-2"/>
          <w:sz w:val="22"/>
        </w:rPr>
        <w:t>a</w:t>
      </w:r>
      <w:r>
        <w:rPr>
          <w:spacing w:val="-12"/>
          <w:sz w:val="22"/>
        </w:rPr>
        <w:t> </w:t>
      </w:r>
      <w:r>
        <w:rPr>
          <w:spacing w:val="-2"/>
          <w:sz w:val="22"/>
        </w:rPr>
        <w:t>combination</w:t>
      </w:r>
      <w:r>
        <w:rPr>
          <w:spacing w:val="-12"/>
          <w:sz w:val="22"/>
        </w:rPr>
        <w:t> </w:t>
      </w:r>
      <w:r>
        <w:rPr>
          <w:spacing w:val="-2"/>
          <w:sz w:val="22"/>
        </w:rPr>
        <w:t>of</w:t>
      </w:r>
      <w:r>
        <w:rPr>
          <w:spacing w:val="-12"/>
          <w:sz w:val="22"/>
        </w:rPr>
        <w:t> </w:t>
      </w:r>
      <w:r>
        <w:rPr>
          <w:spacing w:val="-2"/>
          <w:sz w:val="22"/>
        </w:rPr>
        <w:t>skills,</w:t>
      </w:r>
      <w:r>
        <w:rPr>
          <w:spacing w:val="-11"/>
          <w:sz w:val="22"/>
        </w:rPr>
        <w:t> </w:t>
      </w:r>
      <w:r>
        <w:rPr>
          <w:spacing w:val="-2"/>
          <w:sz w:val="22"/>
        </w:rPr>
        <w:t>such</w:t>
      </w:r>
      <w:r>
        <w:rPr>
          <w:spacing w:val="-12"/>
          <w:sz w:val="22"/>
        </w:rPr>
        <w:t> </w:t>
      </w:r>
      <w:r>
        <w:rPr>
          <w:spacing w:val="-2"/>
          <w:sz w:val="22"/>
        </w:rPr>
        <w:t>as</w:t>
      </w:r>
      <w:r>
        <w:rPr>
          <w:spacing w:val="-12"/>
          <w:sz w:val="22"/>
        </w:rPr>
        <w:t> </w:t>
      </w:r>
      <w:r>
        <w:rPr>
          <w:spacing w:val="-2"/>
          <w:sz w:val="22"/>
        </w:rPr>
        <w:t>scientific/technical </w:t>
      </w:r>
      <w:r>
        <w:rPr>
          <w:spacing w:val="-6"/>
          <w:sz w:val="22"/>
        </w:rPr>
        <w:t>knowledge,</w:t>
      </w:r>
      <w:r>
        <w:rPr>
          <w:spacing w:val="-8"/>
          <w:sz w:val="22"/>
        </w:rPr>
        <w:t> </w:t>
      </w:r>
      <w:r>
        <w:rPr>
          <w:spacing w:val="-6"/>
          <w:sz w:val="22"/>
        </w:rPr>
        <w:t>practical</w:t>
      </w:r>
      <w:r>
        <w:rPr>
          <w:spacing w:val="-8"/>
          <w:sz w:val="22"/>
        </w:rPr>
        <w:t> </w:t>
      </w:r>
      <w:r>
        <w:rPr>
          <w:spacing w:val="-6"/>
          <w:sz w:val="22"/>
        </w:rPr>
        <w:t>experience</w:t>
      </w:r>
      <w:r>
        <w:rPr>
          <w:spacing w:val="-8"/>
          <w:sz w:val="22"/>
        </w:rPr>
        <w:t> </w:t>
      </w:r>
      <w:r>
        <w:rPr>
          <w:spacing w:val="-6"/>
          <w:sz w:val="22"/>
        </w:rPr>
        <w:t>of</w:t>
      </w:r>
      <w:r>
        <w:rPr>
          <w:spacing w:val="-7"/>
          <w:sz w:val="22"/>
        </w:rPr>
        <w:t> </w:t>
      </w:r>
      <w:r>
        <w:rPr>
          <w:spacing w:val="-6"/>
          <w:sz w:val="22"/>
        </w:rPr>
        <w:t>such</w:t>
      </w:r>
      <w:r>
        <w:rPr>
          <w:spacing w:val="-8"/>
          <w:sz w:val="22"/>
        </w:rPr>
        <w:t> </w:t>
      </w:r>
      <w:r>
        <w:rPr>
          <w:spacing w:val="-6"/>
          <w:sz w:val="22"/>
        </w:rPr>
        <w:t>knowledge, </w:t>
      </w:r>
      <w:r>
        <w:rPr>
          <w:sz w:val="22"/>
        </w:rPr>
        <w:t>critical</w:t>
      </w:r>
      <w:r>
        <w:rPr>
          <w:spacing w:val="4"/>
          <w:sz w:val="22"/>
        </w:rPr>
        <w:t> </w:t>
      </w:r>
      <w:r>
        <w:rPr>
          <w:sz w:val="22"/>
        </w:rPr>
        <w:t>analysis,</w:t>
      </w:r>
      <w:r>
        <w:rPr>
          <w:spacing w:val="5"/>
          <w:sz w:val="22"/>
        </w:rPr>
        <w:t> </w:t>
      </w:r>
      <w:r>
        <w:rPr>
          <w:sz w:val="22"/>
        </w:rPr>
        <w:t>written</w:t>
      </w:r>
      <w:r>
        <w:rPr>
          <w:spacing w:val="5"/>
          <w:sz w:val="22"/>
        </w:rPr>
        <w:t> </w:t>
      </w:r>
      <w:r>
        <w:rPr>
          <w:sz w:val="22"/>
        </w:rPr>
        <w:t>and</w:t>
      </w:r>
      <w:r>
        <w:rPr>
          <w:spacing w:val="5"/>
          <w:sz w:val="22"/>
        </w:rPr>
        <w:t> </w:t>
      </w:r>
      <w:r>
        <w:rPr>
          <w:sz w:val="22"/>
        </w:rPr>
        <w:t>oral</w:t>
      </w:r>
      <w:r>
        <w:rPr>
          <w:spacing w:val="5"/>
          <w:sz w:val="22"/>
        </w:rPr>
        <w:t> </w:t>
      </w:r>
      <w:r>
        <w:rPr>
          <w:sz w:val="22"/>
        </w:rPr>
        <w:t>communication</w:t>
      </w:r>
    </w:p>
    <w:p>
      <w:pPr>
        <w:pStyle w:val="BodyText"/>
        <w:spacing w:line="266" w:lineRule="auto" w:before="57"/>
        <w:ind w:left="679" w:right="1077"/>
        <w:jc w:val="both"/>
      </w:pPr>
      <w:r>
        <w:rPr/>
        <w:br w:type="column"/>
      </w:r>
      <w:r>
        <w:rPr/>
        <w:t>skills</w:t>
      </w:r>
      <w:r>
        <w:rPr>
          <w:spacing w:val="-3"/>
        </w:rPr>
        <w:t> </w:t>
      </w:r>
      <w:r>
        <w:rPr/>
        <w:t>and</w:t>
      </w:r>
      <w:r>
        <w:rPr>
          <w:spacing w:val="-3"/>
        </w:rPr>
        <w:t> </w:t>
      </w:r>
      <w:r>
        <w:rPr/>
        <w:t>problem</w:t>
      </w:r>
      <w:r>
        <w:rPr>
          <w:spacing w:val="-3"/>
        </w:rPr>
        <w:t> </w:t>
      </w:r>
      <w:r>
        <w:rPr/>
        <w:t>solving.</w:t>
      </w:r>
      <w:r>
        <w:rPr>
          <w:spacing w:val="-3"/>
        </w:rPr>
        <w:t> </w:t>
      </w:r>
      <w:r>
        <w:rPr/>
        <w:t>Further,</w:t>
      </w:r>
      <w:r>
        <w:rPr>
          <w:spacing w:val="-3"/>
        </w:rPr>
        <w:t> </w:t>
      </w:r>
      <w:r>
        <w:rPr/>
        <w:t>to</w:t>
      </w:r>
      <w:r>
        <w:rPr>
          <w:spacing w:val="-3"/>
        </w:rPr>
        <w:t> </w:t>
      </w:r>
      <w:r>
        <w:rPr/>
        <w:t>ensure</w:t>
      </w:r>
      <w:r>
        <w:rPr>
          <w:spacing w:val="-3"/>
        </w:rPr>
        <w:t> </w:t>
      </w:r>
      <w:r>
        <w:rPr/>
        <w:t>the availability</w:t>
      </w:r>
      <w:r>
        <w:rPr>
          <w:spacing w:val="-7"/>
        </w:rPr>
        <w:t> </w:t>
      </w:r>
      <w:r>
        <w:rPr/>
        <w:t>of</w:t>
      </w:r>
      <w:r>
        <w:rPr>
          <w:spacing w:val="-7"/>
        </w:rPr>
        <w:t> </w:t>
      </w:r>
      <w:r>
        <w:rPr/>
        <w:t>trained</w:t>
      </w:r>
      <w:r>
        <w:rPr>
          <w:spacing w:val="-7"/>
        </w:rPr>
        <w:t> </w:t>
      </w:r>
      <w:r>
        <w:rPr/>
        <w:t>personnel</w:t>
      </w:r>
      <w:r>
        <w:rPr>
          <w:spacing w:val="-7"/>
        </w:rPr>
        <w:t> </w:t>
      </w:r>
      <w:r>
        <w:rPr/>
        <w:t>in</w:t>
      </w:r>
      <w:r>
        <w:rPr>
          <w:spacing w:val="-7"/>
        </w:rPr>
        <w:t> </w:t>
      </w:r>
      <w:r>
        <w:rPr/>
        <w:t>all</w:t>
      </w:r>
      <w:r>
        <w:rPr>
          <w:spacing w:val="-7"/>
        </w:rPr>
        <w:t> </w:t>
      </w:r>
      <w:r>
        <w:rPr/>
        <w:t>technology sectors,</w:t>
      </w:r>
      <w:r>
        <w:rPr>
          <w:spacing w:val="-14"/>
        </w:rPr>
        <w:t> </w:t>
      </w:r>
      <w:r>
        <w:rPr/>
        <w:t>the</w:t>
      </w:r>
      <w:r>
        <w:rPr>
          <w:spacing w:val="-14"/>
        </w:rPr>
        <w:t> </w:t>
      </w:r>
      <w:r>
        <w:rPr/>
        <w:t>appointment</w:t>
      </w:r>
      <w:r>
        <w:rPr>
          <w:spacing w:val="-14"/>
        </w:rPr>
        <w:t> </w:t>
      </w:r>
      <w:r>
        <w:rPr/>
        <w:t>of</w:t>
      </w:r>
      <w:r>
        <w:rPr>
          <w:spacing w:val="-13"/>
        </w:rPr>
        <w:t> </w:t>
      </w:r>
      <w:r>
        <w:rPr/>
        <w:t>such</w:t>
      </w:r>
      <w:r>
        <w:rPr>
          <w:spacing w:val="-14"/>
        </w:rPr>
        <w:t> </w:t>
      </w:r>
      <w:r>
        <w:rPr/>
        <w:t>personnel</w:t>
      </w:r>
      <w:r>
        <w:rPr>
          <w:spacing w:val="-14"/>
        </w:rPr>
        <w:t> </w:t>
      </w:r>
      <w:r>
        <w:rPr/>
        <w:t>should be done periodically in a manner that ensures </w:t>
      </w:r>
      <w:r>
        <w:rPr>
          <w:spacing w:val="-4"/>
        </w:rPr>
        <w:t>adequate</w:t>
      </w:r>
      <w:r>
        <w:rPr>
          <w:spacing w:val="-10"/>
        </w:rPr>
        <w:t> </w:t>
      </w:r>
      <w:r>
        <w:rPr>
          <w:spacing w:val="-4"/>
        </w:rPr>
        <w:t>proportional</w:t>
      </w:r>
      <w:r>
        <w:rPr>
          <w:spacing w:val="-10"/>
        </w:rPr>
        <w:t> </w:t>
      </w:r>
      <w:r>
        <w:rPr>
          <w:spacing w:val="-4"/>
        </w:rPr>
        <w:t>representation</w:t>
      </w:r>
      <w:r>
        <w:rPr>
          <w:spacing w:val="-10"/>
        </w:rPr>
        <w:t> </w:t>
      </w:r>
      <w:r>
        <w:rPr>
          <w:spacing w:val="-4"/>
        </w:rPr>
        <w:t>of</w:t>
      </w:r>
      <w:r>
        <w:rPr>
          <w:spacing w:val="-9"/>
        </w:rPr>
        <w:t> </w:t>
      </w:r>
      <w:r>
        <w:rPr>
          <w:spacing w:val="-4"/>
        </w:rPr>
        <w:t>each</w:t>
      </w:r>
      <w:r>
        <w:rPr>
          <w:spacing w:val="-10"/>
        </w:rPr>
        <w:t> </w:t>
      </w:r>
      <w:r>
        <w:rPr>
          <w:spacing w:val="-4"/>
        </w:rPr>
        <w:t>sector, </w:t>
      </w:r>
      <w:r>
        <w:rPr/>
        <w:t>by considering as an illustrative benchmark, the volume</w:t>
      </w:r>
      <w:r>
        <w:rPr>
          <w:spacing w:val="-1"/>
        </w:rPr>
        <w:t> </w:t>
      </w:r>
      <w:r>
        <w:rPr/>
        <w:t>of</w:t>
      </w:r>
      <w:r>
        <w:rPr>
          <w:spacing w:val="-1"/>
        </w:rPr>
        <w:t> </w:t>
      </w:r>
      <w:r>
        <w:rPr/>
        <w:t>applications</w:t>
      </w:r>
      <w:r>
        <w:rPr>
          <w:spacing w:val="-1"/>
        </w:rPr>
        <w:t> </w:t>
      </w:r>
      <w:r>
        <w:rPr/>
        <w:t>and</w:t>
      </w:r>
      <w:r>
        <w:rPr>
          <w:spacing w:val="-1"/>
        </w:rPr>
        <w:t> </w:t>
      </w:r>
      <w:r>
        <w:rPr/>
        <w:t>grants</w:t>
      </w:r>
      <w:r>
        <w:rPr>
          <w:spacing w:val="-1"/>
        </w:rPr>
        <w:t> </w:t>
      </w:r>
      <w:r>
        <w:rPr/>
        <w:t>in</w:t>
      </w:r>
      <w:r>
        <w:rPr>
          <w:spacing w:val="-1"/>
        </w:rPr>
        <w:t> </w:t>
      </w:r>
      <w:r>
        <w:rPr/>
        <w:t>the</w:t>
      </w:r>
      <w:r>
        <w:rPr>
          <w:spacing w:val="-1"/>
        </w:rPr>
        <w:t> </w:t>
      </w:r>
      <w:r>
        <w:rPr/>
        <w:t>sector.</w:t>
      </w:r>
    </w:p>
    <w:p>
      <w:pPr>
        <w:pStyle w:val="BodyText"/>
        <w:spacing w:before="22"/>
      </w:pPr>
    </w:p>
    <w:p>
      <w:pPr>
        <w:pStyle w:val="ListParagraph"/>
        <w:numPr>
          <w:ilvl w:val="1"/>
          <w:numId w:val="58"/>
        </w:numPr>
        <w:tabs>
          <w:tab w:pos="679" w:val="left" w:leader="none"/>
        </w:tabs>
        <w:spacing w:line="266" w:lineRule="auto" w:before="0" w:after="0"/>
        <w:ind w:left="679" w:right="1077" w:hanging="360"/>
        <w:jc w:val="both"/>
        <w:rPr>
          <w:sz w:val="22"/>
        </w:rPr>
      </w:pPr>
      <w:r>
        <w:rPr>
          <w:sz w:val="22"/>
        </w:rPr>
        <w:t>In order to deal with the existing problem of </w:t>
      </w:r>
      <w:r>
        <w:rPr>
          <w:spacing w:val="-4"/>
          <w:sz w:val="22"/>
        </w:rPr>
        <w:t>attrition of trained examiners to </w:t>
      </w:r>
      <w:r>
        <w:rPr>
          <w:spacing w:val="-4"/>
          <w:sz w:val="22"/>
        </w:rPr>
        <w:t>scientific/technical </w:t>
      </w:r>
      <w:r>
        <w:rPr>
          <w:sz w:val="22"/>
        </w:rPr>
        <w:t>institutions and the private sector, Flexible </w:t>
      </w:r>
      <w:r>
        <w:rPr>
          <w:spacing w:val="-4"/>
          <w:sz w:val="22"/>
        </w:rPr>
        <w:t>Complementing</w:t>
      </w:r>
      <w:r>
        <w:rPr>
          <w:spacing w:val="-9"/>
          <w:sz w:val="22"/>
        </w:rPr>
        <w:t> </w:t>
      </w:r>
      <w:r>
        <w:rPr>
          <w:spacing w:val="-4"/>
          <w:sz w:val="22"/>
        </w:rPr>
        <w:t>Scheme</w:t>
      </w:r>
      <w:r>
        <w:rPr>
          <w:spacing w:val="-9"/>
          <w:sz w:val="22"/>
        </w:rPr>
        <w:t> </w:t>
      </w:r>
      <w:r>
        <w:rPr>
          <w:spacing w:val="-4"/>
          <w:sz w:val="22"/>
        </w:rPr>
        <w:t>which</w:t>
      </w:r>
      <w:r>
        <w:rPr>
          <w:spacing w:val="-9"/>
          <w:sz w:val="22"/>
        </w:rPr>
        <w:t> </w:t>
      </w:r>
      <w:r>
        <w:rPr>
          <w:spacing w:val="-4"/>
          <w:sz w:val="22"/>
        </w:rPr>
        <w:t>has</w:t>
      </w:r>
      <w:r>
        <w:rPr>
          <w:spacing w:val="-9"/>
          <w:sz w:val="22"/>
        </w:rPr>
        <w:t> </w:t>
      </w:r>
      <w:r>
        <w:rPr>
          <w:spacing w:val="-4"/>
          <w:sz w:val="22"/>
        </w:rPr>
        <w:t>been</w:t>
      </w:r>
      <w:r>
        <w:rPr>
          <w:spacing w:val="-9"/>
          <w:sz w:val="22"/>
        </w:rPr>
        <w:t> </w:t>
      </w:r>
      <w:r>
        <w:rPr>
          <w:spacing w:val="-4"/>
          <w:sz w:val="22"/>
        </w:rPr>
        <w:t>applied</w:t>
      </w:r>
      <w:r>
        <w:rPr>
          <w:spacing w:val="-9"/>
          <w:sz w:val="22"/>
        </w:rPr>
        <w:t> </w:t>
      </w:r>
      <w:r>
        <w:rPr>
          <w:spacing w:val="-4"/>
          <w:sz w:val="22"/>
        </w:rPr>
        <w:t>to </w:t>
      </w:r>
      <w:r>
        <w:rPr>
          <w:w w:val="90"/>
          <w:sz w:val="22"/>
        </w:rPr>
        <w:t>scientific</w:t>
      </w:r>
      <w:r>
        <w:rPr>
          <w:spacing w:val="-6"/>
          <w:w w:val="90"/>
          <w:sz w:val="22"/>
        </w:rPr>
        <w:t> </w:t>
      </w:r>
      <w:r>
        <w:rPr>
          <w:w w:val="90"/>
          <w:sz w:val="22"/>
        </w:rPr>
        <w:t>and</w:t>
      </w:r>
      <w:r>
        <w:rPr>
          <w:spacing w:val="-6"/>
          <w:w w:val="90"/>
          <w:sz w:val="22"/>
        </w:rPr>
        <w:t> </w:t>
      </w:r>
      <w:r>
        <w:rPr>
          <w:w w:val="90"/>
          <w:sz w:val="22"/>
        </w:rPr>
        <w:t>technical</w:t>
      </w:r>
      <w:r>
        <w:rPr>
          <w:spacing w:val="-6"/>
          <w:w w:val="90"/>
          <w:sz w:val="22"/>
        </w:rPr>
        <w:t> </w:t>
      </w:r>
      <w:r>
        <w:rPr>
          <w:w w:val="90"/>
          <w:sz w:val="22"/>
        </w:rPr>
        <w:t>group</w:t>
      </w:r>
      <w:r>
        <w:rPr>
          <w:spacing w:val="-6"/>
          <w:w w:val="90"/>
          <w:sz w:val="22"/>
        </w:rPr>
        <w:t> </w:t>
      </w:r>
      <w:r>
        <w:rPr>
          <w:w w:val="90"/>
          <w:sz w:val="22"/>
        </w:rPr>
        <w:t>“A”</w:t>
      </w:r>
      <w:r>
        <w:rPr>
          <w:spacing w:val="-6"/>
          <w:w w:val="90"/>
          <w:sz w:val="22"/>
        </w:rPr>
        <w:t> </w:t>
      </w:r>
      <w:r>
        <w:rPr>
          <w:w w:val="90"/>
          <w:sz w:val="22"/>
        </w:rPr>
        <w:t>posts</w:t>
      </w:r>
      <w:r>
        <w:rPr>
          <w:spacing w:val="-6"/>
          <w:w w:val="90"/>
          <w:sz w:val="22"/>
        </w:rPr>
        <w:t> </w:t>
      </w:r>
      <w:r>
        <w:rPr>
          <w:w w:val="90"/>
          <w:sz w:val="22"/>
        </w:rPr>
        <w:t>should</w:t>
      </w:r>
      <w:r>
        <w:rPr>
          <w:spacing w:val="-6"/>
          <w:w w:val="90"/>
          <w:sz w:val="22"/>
        </w:rPr>
        <w:t> </w:t>
      </w:r>
      <w:r>
        <w:rPr>
          <w:w w:val="90"/>
          <w:sz w:val="22"/>
        </w:rPr>
        <w:t>also</w:t>
      </w:r>
      <w:r>
        <w:rPr>
          <w:spacing w:val="-6"/>
          <w:w w:val="90"/>
          <w:sz w:val="22"/>
        </w:rPr>
        <w:t> </w:t>
      </w:r>
      <w:r>
        <w:rPr>
          <w:w w:val="90"/>
          <w:sz w:val="22"/>
        </w:rPr>
        <w:t>be </w:t>
      </w:r>
      <w:r>
        <w:rPr>
          <w:spacing w:val="-6"/>
          <w:sz w:val="22"/>
        </w:rPr>
        <w:t>implemented</w:t>
      </w:r>
      <w:r>
        <w:rPr>
          <w:spacing w:val="-8"/>
          <w:sz w:val="22"/>
        </w:rPr>
        <w:t> </w:t>
      </w:r>
      <w:r>
        <w:rPr>
          <w:spacing w:val="-6"/>
          <w:sz w:val="22"/>
        </w:rPr>
        <w:t>for</w:t>
      </w:r>
      <w:r>
        <w:rPr>
          <w:spacing w:val="-8"/>
          <w:sz w:val="22"/>
        </w:rPr>
        <w:t> </w:t>
      </w:r>
      <w:r>
        <w:rPr>
          <w:spacing w:val="-6"/>
          <w:sz w:val="22"/>
        </w:rPr>
        <w:t>the</w:t>
      </w:r>
      <w:r>
        <w:rPr>
          <w:spacing w:val="-8"/>
          <w:sz w:val="22"/>
        </w:rPr>
        <w:t> </w:t>
      </w:r>
      <w:r>
        <w:rPr>
          <w:spacing w:val="-6"/>
          <w:sz w:val="22"/>
        </w:rPr>
        <w:t>technical</w:t>
      </w:r>
      <w:r>
        <w:rPr>
          <w:spacing w:val="-7"/>
          <w:sz w:val="22"/>
        </w:rPr>
        <w:t> </w:t>
      </w:r>
      <w:r>
        <w:rPr>
          <w:spacing w:val="-6"/>
          <w:sz w:val="22"/>
        </w:rPr>
        <w:t>staff</w:t>
      </w:r>
      <w:r>
        <w:rPr>
          <w:spacing w:val="-8"/>
          <w:sz w:val="22"/>
        </w:rPr>
        <w:t> </w:t>
      </w:r>
      <w:r>
        <w:rPr>
          <w:spacing w:val="-6"/>
          <w:sz w:val="22"/>
        </w:rPr>
        <w:t>of</w:t>
      </w:r>
      <w:r>
        <w:rPr>
          <w:spacing w:val="-8"/>
          <w:sz w:val="22"/>
        </w:rPr>
        <w:t> </w:t>
      </w:r>
      <w:r>
        <w:rPr>
          <w:spacing w:val="-6"/>
          <w:sz w:val="22"/>
        </w:rPr>
        <w:t>the</w:t>
      </w:r>
      <w:r>
        <w:rPr>
          <w:spacing w:val="-8"/>
          <w:sz w:val="22"/>
        </w:rPr>
        <w:t> </w:t>
      </w:r>
      <w:r>
        <w:rPr>
          <w:spacing w:val="-6"/>
          <w:sz w:val="22"/>
        </w:rPr>
        <w:t>IP</w:t>
      </w:r>
      <w:r>
        <w:rPr>
          <w:spacing w:val="-7"/>
          <w:sz w:val="22"/>
        </w:rPr>
        <w:t> </w:t>
      </w:r>
      <w:r>
        <w:rPr>
          <w:spacing w:val="-6"/>
          <w:sz w:val="22"/>
        </w:rPr>
        <w:t>Offices. </w:t>
      </w:r>
      <w:r>
        <w:rPr>
          <w:spacing w:val="-4"/>
          <w:sz w:val="22"/>
        </w:rPr>
        <w:t>Furthermore,</w:t>
      </w:r>
      <w:r>
        <w:rPr>
          <w:spacing w:val="-10"/>
          <w:sz w:val="22"/>
        </w:rPr>
        <w:t> </w:t>
      </w:r>
      <w:r>
        <w:rPr>
          <w:spacing w:val="-4"/>
          <w:sz w:val="22"/>
        </w:rPr>
        <w:t>pay</w:t>
      </w:r>
      <w:r>
        <w:rPr>
          <w:spacing w:val="-10"/>
          <w:sz w:val="22"/>
        </w:rPr>
        <w:t> </w:t>
      </w:r>
      <w:r>
        <w:rPr>
          <w:spacing w:val="-4"/>
          <w:sz w:val="22"/>
        </w:rPr>
        <w:t>scales</w:t>
      </w:r>
      <w:r>
        <w:rPr>
          <w:spacing w:val="-10"/>
          <w:sz w:val="22"/>
        </w:rPr>
        <w:t> </w:t>
      </w:r>
      <w:r>
        <w:rPr>
          <w:spacing w:val="-4"/>
          <w:sz w:val="22"/>
        </w:rPr>
        <w:t>of</w:t>
      </w:r>
      <w:r>
        <w:rPr>
          <w:spacing w:val="-9"/>
          <w:sz w:val="22"/>
        </w:rPr>
        <w:t> </w:t>
      </w:r>
      <w:r>
        <w:rPr>
          <w:spacing w:val="-4"/>
          <w:sz w:val="22"/>
        </w:rPr>
        <w:t>patent</w:t>
      </w:r>
      <w:r>
        <w:rPr>
          <w:spacing w:val="-10"/>
          <w:sz w:val="22"/>
        </w:rPr>
        <w:t> </w:t>
      </w:r>
      <w:r>
        <w:rPr>
          <w:spacing w:val="-4"/>
          <w:sz w:val="22"/>
        </w:rPr>
        <w:t>examiners</w:t>
      </w:r>
      <w:r>
        <w:rPr>
          <w:spacing w:val="-10"/>
          <w:sz w:val="22"/>
        </w:rPr>
        <w:t> </w:t>
      </w:r>
      <w:r>
        <w:rPr>
          <w:spacing w:val="-4"/>
          <w:sz w:val="22"/>
        </w:rPr>
        <w:t>should </w:t>
      </w:r>
      <w:r>
        <w:rPr>
          <w:sz w:val="22"/>
        </w:rPr>
        <w:t>be increased for those who successfully undergo </w:t>
      </w:r>
      <w:r>
        <w:rPr>
          <w:spacing w:val="-6"/>
          <w:sz w:val="22"/>
        </w:rPr>
        <w:t>IPR training. Additionally, a fast track career should </w:t>
      </w:r>
      <w:r>
        <w:rPr>
          <w:spacing w:val="-4"/>
          <w:sz w:val="22"/>
        </w:rPr>
        <w:t>be</w:t>
      </w:r>
      <w:r>
        <w:rPr>
          <w:spacing w:val="-10"/>
          <w:sz w:val="22"/>
        </w:rPr>
        <w:t> </w:t>
      </w:r>
      <w:r>
        <w:rPr>
          <w:spacing w:val="-4"/>
          <w:sz w:val="22"/>
        </w:rPr>
        <w:t>provided</w:t>
      </w:r>
      <w:r>
        <w:rPr>
          <w:spacing w:val="-10"/>
          <w:sz w:val="22"/>
        </w:rPr>
        <w:t> </w:t>
      </w:r>
      <w:r>
        <w:rPr>
          <w:spacing w:val="-4"/>
          <w:sz w:val="22"/>
        </w:rPr>
        <w:t>to</w:t>
      </w:r>
      <w:r>
        <w:rPr>
          <w:spacing w:val="-10"/>
          <w:sz w:val="22"/>
        </w:rPr>
        <w:t> </w:t>
      </w:r>
      <w:r>
        <w:rPr>
          <w:spacing w:val="-4"/>
          <w:sz w:val="22"/>
        </w:rPr>
        <w:t>examiners</w:t>
      </w:r>
      <w:r>
        <w:rPr>
          <w:spacing w:val="-9"/>
          <w:sz w:val="22"/>
        </w:rPr>
        <w:t> </w:t>
      </w:r>
      <w:r>
        <w:rPr>
          <w:spacing w:val="-4"/>
          <w:sz w:val="22"/>
        </w:rPr>
        <w:t>who</w:t>
      </w:r>
      <w:r>
        <w:rPr>
          <w:spacing w:val="-10"/>
          <w:sz w:val="22"/>
        </w:rPr>
        <w:t> </w:t>
      </w:r>
      <w:r>
        <w:rPr>
          <w:spacing w:val="-4"/>
          <w:sz w:val="22"/>
        </w:rPr>
        <w:t>consistently</w:t>
      </w:r>
      <w:r>
        <w:rPr>
          <w:spacing w:val="-10"/>
          <w:sz w:val="22"/>
        </w:rPr>
        <w:t> </w:t>
      </w:r>
      <w:r>
        <w:rPr>
          <w:spacing w:val="-4"/>
          <w:sz w:val="22"/>
        </w:rPr>
        <w:t>perform </w:t>
      </w:r>
      <w:r>
        <w:rPr>
          <w:sz w:val="22"/>
        </w:rPr>
        <w:t>exceptionally better than average. To this end, a transparent annual confidential reporting system </w:t>
      </w:r>
      <w:r>
        <w:rPr>
          <w:spacing w:val="-4"/>
          <w:sz w:val="22"/>
        </w:rPr>
        <w:t>should</w:t>
      </w:r>
      <w:r>
        <w:rPr>
          <w:spacing w:val="-10"/>
          <w:sz w:val="22"/>
        </w:rPr>
        <w:t> </w:t>
      </w:r>
      <w:r>
        <w:rPr>
          <w:spacing w:val="-4"/>
          <w:sz w:val="22"/>
        </w:rPr>
        <w:t>be</w:t>
      </w:r>
      <w:r>
        <w:rPr>
          <w:spacing w:val="-10"/>
          <w:sz w:val="22"/>
        </w:rPr>
        <w:t> </w:t>
      </w:r>
      <w:r>
        <w:rPr>
          <w:spacing w:val="-4"/>
          <w:sz w:val="22"/>
        </w:rPr>
        <w:t>introduced.</w:t>
      </w:r>
      <w:r>
        <w:rPr>
          <w:spacing w:val="-9"/>
          <w:sz w:val="22"/>
        </w:rPr>
        <w:t> </w:t>
      </w:r>
      <w:r>
        <w:rPr>
          <w:spacing w:val="-4"/>
          <w:sz w:val="22"/>
        </w:rPr>
        <w:t>In</w:t>
      </w:r>
      <w:r>
        <w:rPr>
          <w:spacing w:val="-10"/>
          <w:sz w:val="22"/>
        </w:rPr>
        <w:t> </w:t>
      </w:r>
      <w:r>
        <w:rPr>
          <w:spacing w:val="-4"/>
          <w:sz w:val="22"/>
        </w:rPr>
        <w:t>this</w:t>
      </w:r>
      <w:r>
        <w:rPr>
          <w:spacing w:val="-10"/>
          <w:sz w:val="22"/>
        </w:rPr>
        <w:t> </w:t>
      </w:r>
      <w:r>
        <w:rPr>
          <w:spacing w:val="-4"/>
          <w:sz w:val="22"/>
        </w:rPr>
        <w:t>context,</w:t>
      </w:r>
      <w:r>
        <w:rPr>
          <w:spacing w:val="-9"/>
          <w:sz w:val="22"/>
        </w:rPr>
        <w:t> </w:t>
      </w:r>
      <w:r>
        <w:rPr>
          <w:spacing w:val="-4"/>
          <w:sz w:val="22"/>
        </w:rPr>
        <w:t>it</w:t>
      </w:r>
      <w:r>
        <w:rPr>
          <w:spacing w:val="-10"/>
          <w:sz w:val="22"/>
        </w:rPr>
        <w:t> </w:t>
      </w:r>
      <w:r>
        <w:rPr>
          <w:spacing w:val="-4"/>
          <w:sz w:val="22"/>
        </w:rPr>
        <w:t>is</w:t>
      </w:r>
      <w:r>
        <w:rPr>
          <w:spacing w:val="-10"/>
          <w:sz w:val="22"/>
        </w:rPr>
        <w:t> </w:t>
      </w:r>
      <w:r>
        <w:rPr>
          <w:spacing w:val="-4"/>
          <w:sz w:val="22"/>
        </w:rPr>
        <w:t>important that</w:t>
      </w:r>
      <w:r>
        <w:rPr>
          <w:spacing w:val="-10"/>
          <w:sz w:val="22"/>
        </w:rPr>
        <w:t> </w:t>
      </w:r>
      <w:r>
        <w:rPr>
          <w:spacing w:val="-4"/>
          <w:sz w:val="22"/>
        </w:rPr>
        <w:t>performance</w:t>
      </w:r>
      <w:r>
        <w:rPr>
          <w:spacing w:val="-10"/>
          <w:sz w:val="22"/>
        </w:rPr>
        <w:t> </w:t>
      </w:r>
      <w:r>
        <w:rPr>
          <w:spacing w:val="-4"/>
          <w:sz w:val="22"/>
        </w:rPr>
        <w:t>in</w:t>
      </w:r>
      <w:r>
        <w:rPr>
          <w:spacing w:val="-10"/>
          <w:sz w:val="22"/>
        </w:rPr>
        <w:t> </w:t>
      </w:r>
      <w:r>
        <w:rPr>
          <w:spacing w:val="-4"/>
          <w:sz w:val="22"/>
        </w:rPr>
        <w:t>IP</w:t>
      </w:r>
      <w:r>
        <w:rPr>
          <w:spacing w:val="-9"/>
          <w:sz w:val="22"/>
        </w:rPr>
        <w:t> </w:t>
      </w:r>
      <w:r>
        <w:rPr>
          <w:spacing w:val="-4"/>
          <w:sz w:val="22"/>
        </w:rPr>
        <w:t>offices</w:t>
      </w:r>
      <w:r>
        <w:rPr>
          <w:spacing w:val="-10"/>
          <w:sz w:val="22"/>
        </w:rPr>
        <w:t> </w:t>
      </w:r>
      <w:r>
        <w:rPr>
          <w:spacing w:val="-4"/>
          <w:sz w:val="22"/>
        </w:rPr>
        <w:t>must</w:t>
      </w:r>
      <w:r>
        <w:rPr>
          <w:spacing w:val="-10"/>
          <w:sz w:val="22"/>
        </w:rPr>
        <w:t> </w:t>
      </w:r>
      <w:r>
        <w:rPr>
          <w:spacing w:val="-4"/>
          <w:sz w:val="22"/>
        </w:rPr>
        <w:t>be</w:t>
      </w:r>
      <w:r>
        <w:rPr>
          <w:spacing w:val="-10"/>
          <w:sz w:val="22"/>
        </w:rPr>
        <w:t> </w:t>
      </w:r>
      <w:r>
        <w:rPr>
          <w:spacing w:val="-4"/>
          <w:sz w:val="22"/>
        </w:rPr>
        <w:t>measured</w:t>
      </w:r>
      <w:r>
        <w:rPr>
          <w:spacing w:val="-9"/>
          <w:sz w:val="22"/>
        </w:rPr>
        <w:t> </w:t>
      </w:r>
      <w:r>
        <w:rPr>
          <w:spacing w:val="-4"/>
          <w:sz w:val="22"/>
        </w:rPr>
        <w:t>on </w:t>
      </w:r>
      <w:r>
        <w:rPr>
          <w:sz w:val="22"/>
        </w:rPr>
        <w:t>the basis of turnaround time for applications and </w:t>
      </w:r>
      <w:r>
        <w:rPr>
          <w:spacing w:val="-4"/>
          <w:sz w:val="22"/>
        </w:rPr>
        <w:t>decisions</w:t>
      </w:r>
      <w:r>
        <w:rPr>
          <w:spacing w:val="-8"/>
          <w:sz w:val="22"/>
        </w:rPr>
        <w:t> </w:t>
      </w:r>
      <w:r>
        <w:rPr>
          <w:spacing w:val="-4"/>
          <w:sz w:val="22"/>
        </w:rPr>
        <w:t>as</w:t>
      </w:r>
      <w:r>
        <w:rPr>
          <w:spacing w:val="-8"/>
          <w:sz w:val="22"/>
        </w:rPr>
        <w:t> </w:t>
      </w:r>
      <w:r>
        <w:rPr>
          <w:spacing w:val="-4"/>
          <w:sz w:val="22"/>
        </w:rPr>
        <w:t>well</w:t>
      </w:r>
      <w:r>
        <w:rPr>
          <w:spacing w:val="-8"/>
          <w:sz w:val="22"/>
        </w:rPr>
        <w:t> </w:t>
      </w:r>
      <w:r>
        <w:rPr>
          <w:spacing w:val="-4"/>
          <w:sz w:val="22"/>
        </w:rPr>
        <w:t>as</w:t>
      </w:r>
      <w:r>
        <w:rPr>
          <w:spacing w:val="-8"/>
          <w:sz w:val="22"/>
        </w:rPr>
        <w:t> </w:t>
      </w:r>
      <w:r>
        <w:rPr>
          <w:spacing w:val="-4"/>
          <w:sz w:val="22"/>
        </w:rPr>
        <w:t>the</w:t>
      </w:r>
      <w:r>
        <w:rPr>
          <w:spacing w:val="-8"/>
          <w:sz w:val="22"/>
        </w:rPr>
        <w:t> </w:t>
      </w:r>
      <w:r>
        <w:rPr>
          <w:spacing w:val="-4"/>
          <w:sz w:val="22"/>
        </w:rPr>
        <w:t>sustainability</w:t>
      </w:r>
      <w:r>
        <w:rPr>
          <w:spacing w:val="-8"/>
          <w:sz w:val="22"/>
        </w:rPr>
        <w:t> </w:t>
      </w:r>
      <w:r>
        <w:rPr>
          <w:spacing w:val="-4"/>
          <w:sz w:val="22"/>
        </w:rPr>
        <w:t>and</w:t>
      </w:r>
      <w:r>
        <w:rPr>
          <w:spacing w:val="-8"/>
          <w:sz w:val="22"/>
        </w:rPr>
        <w:t> </w:t>
      </w:r>
      <w:r>
        <w:rPr>
          <w:spacing w:val="-4"/>
          <w:sz w:val="22"/>
        </w:rPr>
        <w:t>tenability </w:t>
      </w:r>
      <w:r>
        <w:rPr>
          <w:sz w:val="22"/>
        </w:rPr>
        <w:t>of</w:t>
      </w:r>
      <w:r>
        <w:rPr>
          <w:spacing w:val="-4"/>
          <w:sz w:val="22"/>
        </w:rPr>
        <w:t> </w:t>
      </w:r>
      <w:r>
        <w:rPr>
          <w:sz w:val="22"/>
        </w:rPr>
        <w:t>the</w:t>
      </w:r>
      <w:r>
        <w:rPr>
          <w:spacing w:val="-4"/>
          <w:sz w:val="22"/>
        </w:rPr>
        <w:t> </w:t>
      </w:r>
      <w:r>
        <w:rPr>
          <w:sz w:val="22"/>
        </w:rPr>
        <w:t>decisions</w:t>
      </w:r>
      <w:r>
        <w:rPr>
          <w:spacing w:val="-4"/>
          <w:sz w:val="22"/>
        </w:rPr>
        <w:t> </w:t>
      </w:r>
      <w:r>
        <w:rPr>
          <w:sz w:val="22"/>
        </w:rPr>
        <w:t>made,</w:t>
      </w:r>
      <w:r>
        <w:rPr>
          <w:spacing w:val="-4"/>
          <w:sz w:val="22"/>
        </w:rPr>
        <w:t> </w:t>
      </w:r>
      <w:r>
        <w:rPr>
          <w:sz w:val="22"/>
        </w:rPr>
        <w:t>and</w:t>
      </w:r>
      <w:r>
        <w:rPr>
          <w:spacing w:val="-4"/>
          <w:sz w:val="22"/>
        </w:rPr>
        <w:t> </w:t>
      </w:r>
      <w:r>
        <w:rPr>
          <w:sz w:val="22"/>
        </w:rPr>
        <w:t>not</w:t>
      </w:r>
      <w:r>
        <w:rPr>
          <w:spacing w:val="-4"/>
          <w:sz w:val="22"/>
        </w:rPr>
        <w:t> </w:t>
      </w:r>
      <w:r>
        <w:rPr>
          <w:sz w:val="22"/>
        </w:rPr>
        <w:t>on</w:t>
      </w:r>
      <w:r>
        <w:rPr>
          <w:spacing w:val="-4"/>
          <w:sz w:val="22"/>
        </w:rPr>
        <w:t> </w:t>
      </w:r>
      <w:r>
        <w:rPr>
          <w:sz w:val="22"/>
        </w:rPr>
        <w:t>the</w:t>
      </w:r>
      <w:r>
        <w:rPr>
          <w:spacing w:val="-4"/>
          <w:sz w:val="22"/>
        </w:rPr>
        <w:t> </w:t>
      </w:r>
      <w:r>
        <w:rPr>
          <w:sz w:val="22"/>
        </w:rPr>
        <w:t>basis</w:t>
      </w:r>
      <w:r>
        <w:rPr>
          <w:spacing w:val="-4"/>
          <w:sz w:val="22"/>
        </w:rPr>
        <w:t> </w:t>
      </w:r>
      <w:r>
        <w:rPr>
          <w:sz w:val="22"/>
        </w:rPr>
        <w:t>of</w:t>
      </w:r>
      <w:r>
        <w:rPr>
          <w:spacing w:val="-4"/>
          <w:sz w:val="22"/>
        </w:rPr>
        <w:t> </w:t>
      </w:r>
      <w:r>
        <w:rPr>
          <w:sz w:val="22"/>
        </w:rPr>
        <w:t>the rate</w:t>
      </w:r>
      <w:r>
        <w:rPr>
          <w:spacing w:val="-1"/>
          <w:sz w:val="22"/>
        </w:rPr>
        <w:t> </w:t>
      </w:r>
      <w:r>
        <w:rPr>
          <w:sz w:val="22"/>
        </w:rPr>
        <w:t>of</w:t>
      </w:r>
      <w:r>
        <w:rPr>
          <w:spacing w:val="-1"/>
          <w:sz w:val="22"/>
        </w:rPr>
        <w:t> </w:t>
      </w:r>
      <w:r>
        <w:rPr>
          <w:sz w:val="22"/>
        </w:rPr>
        <w:t>rejection/acceptance</w:t>
      </w:r>
      <w:r>
        <w:rPr>
          <w:spacing w:val="-1"/>
          <w:sz w:val="22"/>
        </w:rPr>
        <w:t> </w:t>
      </w:r>
      <w:r>
        <w:rPr>
          <w:sz w:val="22"/>
        </w:rPr>
        <w:t>of</w:t>
      </w:r>
      <w:r>
        <w:rPr>
          <w:spacing w:val="-1"/>
          <w:sz w:val="22"/>
        </w:rPr>
        <w:t> </w:t>
      </w:r>
      <w:r>
        <w:rPr>
          <w:sz w:val="22"/>
        </w:rPr>
        <w:t>applications.</w:t>
      </w:r>
    </w:p>
    <w:p>
      <w:pPr>
        <w:pStyle w:val="BodyText"/>
        <w:spacing w:before="41"/>
      </w:pPr>
    </w:p>
    <w:p>
      <w:pPr>
        <w:pStyle w:val="Heading6"/>
        <w:numPr>
          <w:ilvl w:val="0"/>
          <w:numId w:val="58"/>
        </w:numPr>
        <w:tabs>
          <w:tab w:pos="733" w:val="left" w:leader="none"/>
          <w:tab w:pos="735" w:val="left" w:leader="none"/>
        </w:tabs>
        <w:spacing w:line="208" w:lineRule="auto" w:before="0" w:after="0"/>
        <w:ind w:left="735" w:right="1328" w:hanging="417"/>
        <w:jc w:val="left"/>
      </w:pPr>
      <w:r>
        <w:rPr>
          <w:color w:val="2E614A"/>
          <w:w w:val="90"/>
        </w:rPr>
        <w:t>Training and Human </w:t>
      </w:r>
      <w:r>
        <w:rPr>
          <w:color w:val="2E614A"/>
          <w:w w:val="90"/>
        </w:rPr>
        <w:t>Resources </w:t>
      </w:r>
      <w:r>
        <w:rPr>
          <w:color w:val="2E614A"/>
        </w:rPr>
        <w:t>Development</w:t>
      </w:r>
      <w:r>
        <w:rPr>
          <w:color w:val="2E614A"/>
          <w:spacing w:val="-18"/>
        </w:rPr>
        <w:t> </w:t>
      </w:r>
      <w:r>
        <w:rPr>
          <w:color w:val="2E614A"/>
        </w:rPr>
        <w:t>for</w:t>
      </w:r>
      <w:r>
        <w:rPr>
          <w:color w:val="2E614A"/>
          <w:spacing w:val="-18"/>
        </w:rPr>
        <w:t> </w:t>
      </w:r>
      <w:r>
        <w:rPr>
          <w:color w:val="2E614A"/>
        </w:rPr>
        <w:t>IP</w:t>
      </w:r>
      <w:r>
        <w:rPr>
          <w:color w:val="2E614A"/>
          <w:spacing w:val="-18"/>
        </w:rPr>
        <w:t> </w:t>
      </w:r>
      <w:r>
        <w:rPr>
          <w:color w:val="2E614A"/>
        </w:rPr>
        <w:t>Offices</w:t>
      </w:r>
    </w:p>
    <w:p>
      <w:pPr>
        <w:pStyle w:val="ListParagraph"/>
        <w:numPr>
          <w:ilvl w:val="1"/>
          <w:numId w:val="58"/>
        </w:numPr>
        <w:tabs>
          <w:tab w:pos="677" w:val="left" w:leader="none"/>
          <w:tab w:pos="679" w:val="left" w:leader="none"/>
        </w:tabs>
        <w:spacing w:line="266" w:lineRule="auto" w:before="284" w:after="0"/>
        <w:ind w:left="679" w:right="1077" w:hanging="360"/>
        <w:jc w:val="both"/>
        <w:rPr>
          <w:sz w:val="22"/>
        </w:rPr>
      </w:pPr>
      <w:r>
        <w:rPr>
          <w:spacing w:val="-4"/>
          <w:sz w:val="22"/>
        </w:rPr>
        <w:t>There</w:t>
      </w:r>
      <w:r>
        <w:rPr>
          <w:spacing w:val="-8"/>
          <w:sz w:val="22"/>
        </w:rPr>
        <w:t> </w:t>
      </w:r>
      <w:r>
        <w:rPr>
          <w:spacing w:val="-4"/>
          <w:sz w:val="22"/>
        </w:rPr>
        <w:t>is</w:t>
      </w:r>
      <w:r>
        <w:rPr>
          <w:spacing w:val="-8"/>
          <w:sz w:val="22"/>
        </w:rPr>
        <w:t> </w:t>
      </w:r>
      <w:r>
        <w:rPr>
          <w:spacing w:val="-4"/>
          <w:sz w:val="22"/>
        </w:rPr>
        <w:t>need</w:t>
      </w:r>
      <w:r>
        <w:rPr>
          <w:spacing w:val="-8"/>
          <w:sz w:val="22"/>
        </w:rPr>
        <w:t> </w:t>
      </w:r>
      <w:r>
        <w:rPr>
          <w:spacing w:val="-4"/>
          <w:sz w:val="22"/>
        </w:rPr>
        <w:t>to</w:t>
      </w:r>
      <w:r>
        <w:rPr>
          <w:spacing w:val="-8"/>
          <w:sz w:val="22"/>
        </w:rPr>
        <w:t> </w:t>
      </w:r>
      <w:r>
        <w:rPr>
          <w:spacing w:val="-4"/>
          <w:sz w:val="22"/>
        </w:rPr>
        <w:t>intensify</w:t>
      </w:r>
      <w:r>
        <w:rPr>
          <w:spacing w:val="-8"/>
          <w:sz w:val="22"/>
        </w:rPr>
        <w:t> </w:t>
      </w:r>
      <w:r>
        <w:rPr>
          <w:spacing w:val="-4"/>
          <w:sz w:val="22"/>
        </w:rPr>
        <w:t>IPR</w:t>
      </w:r>
      <w:r>
        <w:rPr>
          <w:spacing w:val="-8"/>
          <w:sz w:val="22"/>
        </w:rPr>
        <w:t> </w:t>
      </w:r>
      <w:r>
        <w:rPr>
          <w:spacing w:val="-4"/>
          <w:sz w:val="22"/>
        </w:rPr>
        <w:t>training</w:t>
      </w:r>
      <w:r>
        <w:rPr>
          <w:spacing w:val="-8"/>
          <w:sz w:val="22"/>
        </w:rPr>
        <w:t> </w:t>
      </w:r>
      <w:r>
        <w:rPr>
          <w:spacing w:val="-4"/>
          <w:sz w:val="22"/>
        </w:rPr>
        <w:t>efforts</w:t>
      </w:r>
      <w:r>
        <w:rPr>
          <w:spacing w:val="-8"/>
          <w:sz w:val="22"/>
        </w:rPr>
        <w:t> </w:t>
      </w:r>
      <w:r>
        <w:rPr>
          <w:spacing w:val="-4"/>
          <w:sz w:val="22"/>
        </w:rPr>
        <w:t>in</w:t>
      </w:r>
      <w:r>
        <w:rPr>
          <w:spacing w:val="-8"/>
          <w:sz w:val="22"/>
        </w:rPr>
        <w:t> </w:t>
      </w:r>
      <w:r>
        <w:rPr>
          <w:spacing w:val="-4"/>
          <w:sz w:val="22"/>
        </w:rPr>
        <w:t>the </w:t>
      </w:r>
      <w:r>
        <w:rPr>
          <w:spacing w:val="-8"/>
          <w:sz w:val="22"/>
        </w:rPr>
        <w:t>IP</w:t>
      </w:r>
      <w:r>
        <w:rPr>
          <w:spacing w:val="-6"/>
          <w:sz w:val="22"/>
        </w:rPr>
        <w:t> </w:t>
      </w:r>
      <w:r>
        <w:rPr>
          <w:spacing w:val="-8"/>
          <w:sz w:val="22"/>
        </w:rPr>
        <w:t>Offices</w:t>
      </w:r>
      <w:r>
        <w:rPr>
          <w:spacing w:val="-6"/>
          <w:sz w:val="22"/>
        </w:rPr>
        <w:t> </w:t>
      </w:r>
      <w:r>
        <w:rPr>
          <w:spacing w:val="-8"/>
          <w:sz w:val="22"/>
        </w:rPr>
        <w:t>and</w:t>
      </w:r>
      <w:r>
        <w:rPr>
          <w:spacing w:val="-4"/>
          <w:sz w:val="22"/>
        </w:rPr>
        <w:t> </w:t>
      </w:r>
      <w:r>
        <w:rPr>
          <w:spacing w:val="-8"/>
          <w:sz w:val="22"/>
        </w:rPr>
        <w:t>Intellectual</w:t>
      </w:r>
      <w:r>
        <w:rPr>
          <w:spacing w:val="-2"/>
          <w:sz w:val="22"/>
        </w:rPr>
        <w:t> </w:t>
      </w:r>
      <w:r>
        <w:rPr>
          <w:spacing w:val="-8"/>
          <w:sz w:val="22"/>
        </w:rPr>
        <w:t>Property</w:t>
      </w:r>
      <w:r>
        <w:rPr>
          <w:spacing w:val="-6"/>
          <w:sz w:val="22"/>
        </w:rPr>
        <w:t> </w:t>
      </w:r>
      <w:r>
        <w:rPr>
          <w:spacing w:val="-8"/>
          <w:sz w:val="22"/>
        </w:rPr>
        <w:t>Training</w:t>
      </w:r>
      <w:r>
        <w:rPr>
          <w:spacing w:val="-2"/>
          <w:sz w:val="22"/>
        </w:rPr>
        <w:t> </w:t>
      </w:r>
      <w:r>
        <w:rPr>
          <w:spacing w:val="-8"/>
          <w:sz w:val="22"/>
        </w:rPr>
        <w:t>Institute </w:t>
      </w:r>
      <w:r>
        <w:rPr>
          <w:sz w:val="22"/>
        </w:rPr>
        <w:t>(IPTI),</w:t>
      </w:r>
      <w:r>
        <w:rPr>
          <w:spacing w:val="-14"/>
          <w:sz w:val="22"/>
        </w:rPr>
        <w:t> </w:t>
      </w:r>
      <w:r>
        <w:rPr>
          <w:sz w:val="22"/>
        </w:rPr>
        <w:t>including</w:t>
      </w:r>
      <w:r>
        <w:rPr>
          <w:spacing w:val="-14"/>
          <w:sz w:val="22"/>
        </w:rPr>
        <w:t> </w:t>
      </w:r>
      <w:r>
        <w:rPr>
          <w:sz w:val="22"/>
        </w:rPr>
        <w:t>induction</w:t>
      </w:r>
      <w:r>
        <w:rPr>
          <w:spacing w:val="-14"/>
          <w:sz w:val="22"/>
        </w:rPr>
        <w:t> </w:t>
      </w:r>
      <w:r>
        <w:rPr>
          <w:sz w:val="22"/>
        </w:rPr>
        <w:t>sessions</w:t>
      </w:r>
      <w:r>
        <w:rPr>
          <w:spacing w:val="-13"/>
          <w:sz w:val="22"/>
        </w:rPr>
        <w:t> </w:t>
      </w:r>
      <w:r>
        <w:rPr>
          <w:sz w:val="22"/>
        </w:rPr>
        <w:t>for</w:t>
      </w:r>
      <w:r>
        <w:rPr>
          <w:spacing w:val="-14"/>
          <w:sz w:val="22"/>
        </w:rPr>
        <w:t> </w:t>
      </w:r>
      <w:r>
        <w:rPr>
          <w:sz w:val="22"/>
        </w:rPr>
        <w:t>new</w:t>
      </w:r>
      <w:r>
        <w:rPr>
          <w:spacing w:val="-14"/>
          <w:sz w:val="22"/>
        </w:rPr>
        <w:t> </w:t>
      </w:r>
      <w:r>
        <w:rPr>
          <w:sz w:val="22"/>
        </w:rPr>
        <w:t>staff, mid</w:t>
      </w:r>
      <w:r>
        <w:rPr>
          <w:spacing w:val="-12"/>
          <w:sz w:val="22"/>
        </w:rPr>
        <w:t> </w:t>
      </w:r>
      <w:r>
        <w:rPr>
          <w:sz w:val="22"/>
        </w:rPr>
        <w:t>career</w:t>
      </w:r>
      <w:r>
        <w:rPr>
          <w:spacing w:val="-12"/>
          <w:sz w:val="22"/>
        </w:rPr>
        <w:t> </w:t>
      </w:r>
      <w:r>
        <w:rPr>
          <w:sz w:val="22"/>
        </w:rPr>
        <w:t>courses</w:t>
      </w:r>
      <w:r>
        <w:rPr>
          <w:spacing w:val="-12"/>
          <w:sz w:val="22"/>
        </w:rPr>
        <w:t> </w:t>
      </w:r>
      <w:r>
        <w:rPr>
          <w:sz w:val="22"/>
        </w:rPr>
        <w:t>and</w:t>
      </w:r>
      <w:r>
        <w:rPr>
          <w:spacing w:val="-12"/>
          <w:sz w:val="22"/>
        </w:rPr>
        <w:t> </w:t>
      </w:r>
      <w:r>
        <w:rPr>
          <w:sz w:val="22"/>
        </w:rPr>
        <w:t>regular</w:t>
      </w:r>
      <w:r>
        <w:rPr>
          <w:spacing w:val="-12"/>
          <w:sz w:val="22"/>
        </w:rPr>
        <w:t> </w:t>
      </w:r>
      <w:r>
        <w:rPr>
          <w:sz w:val="22"/>
        </w:rPr>
        <w:t>exposure</w:t>
      </w:r>
      <w:r>
        <w:rPr>
          <w:spacing w:val="-12"/>
          <w:sz w:val="22"/>
        </w:rPr>
        <w:t> </w:t>
      </w:r>
      <w:r>
        <w:rPr>
          <w:sz w:val="22"/>
        </w:rPr>
        <w:t>to</w:t>
      </w:r>
      <w:r>
        <w:rPr>
          <w:spacing w:val="-12"/>
          <w:sz w:val="22"/>
        </w:rPr>
        <w:t> </w:t>
      </w:r>
      <w:r>
        <w:rPr>
          <w:sz w:val="22"/>
        </w:rPr>
        <w:t>global best</w:t>
      </w:r>
      <w:r>
        <w:rPr>
          <w:spacing w:val="-14"/>
          <w:sz w:val="22"/>
        </w:rPr>
        <w:t> </w:t>
      </w:r>
      <w:r>
        <w:rPr>
          <w:sz w:val="22"/>
        </w:rPr>
        <w:t>practices</w:t>
      </w:r>
      <w:r>
        <w:rPr>
          <w:spacing w:val="-14"/>
          <w:sz w:val="22"/>
        </w:rPr>
        <w:t> </w:t>
      </w:r>
      <w:r>
        <w:rPr>
          <w:sz w:val="22"/>
        </w:rPr>
        <w:t>in</w:t>
      </w:r>
      <w:r>
        <w:rPr>
          <w:spacing w:val="-14"/>
          <w:sz w:val="22"/>
        </w:rPr>
        <w:t> </w:t>
      </w:r>
      <w:r>
        <w:rPr>
          <w:sz w:val="22"/>
        </w:rPr>
        <w:t>IPR,</w:t>
      </w:r>
      <w:r>
        <w:rPr>
          <w:spacing w:val="-13"/>
          <w:sz w:val="22"/>
        </w:rPr>
        <w:t> </w:t>
      </w:r>
      <w:r>
        <w:rPr>
          <w:sz w:val="22"/>
        </w:rPr>
        <w:t>wherever</w:t>
      </w:r>
      <w:r>
        <w:rPr>
          <w:spacing w:val="-14"/>
          <w:sz w:val="22"/>
        </w:rPr>
        <w:t> </w:t>
      </w:r>
      <w:r>
        <w:rPr>
          <w:sz w:val="22"/>
        </w:rPr>
        <w:t>available,</w:t>
      </w:r>
      <w:r>
        <w:rPr>
          <w:spacing w:val="-14"/>
          <w:sz w:val="22"/>
        </w:rPr>
        <w:t> </w:t>
      </w:r>
      <w:r>
        <w:rPr>
          <w:sz w:val="22"/>
        </w:rPr>
        <w:t>keeping in mind the best national interest. At the same time,</w:t>
      </w:r>
      <w:r>
        <w:rPr>
          <w:spacing w:val="-14"/>
          <w:sz w:val="22"/>
        </w:rPr>
        <w:t> </w:t>
      </w:r>
      <w:r>
        <w:rPr>
          <w:sz w:val="22"/>
        </w:rPr>
        <w:t>there</w:t>
      </w:r>
      <w:r>
        <w:rPr>
          <w:spacing w:val="-14"/>
          <w:sz w:val="22"/>
        </w:rPr>
        <w:t> </w:t>
      </w:r>
      <w:r>
        <w:rPr>
          <w:sz w:val="22"/>
        </w:rPr>
        <w:t>must</w:t>
      </w:r>
      <w:r>
        <w:rPr>
          <w:spacing w:val="-13"/>
          <w:sz w:val="22"/>
        </w:rPr>
        <w:t> </w:t>
      </w:r>
      <w:r>
        <w:rPr>
          <w:sz w:val="22"/>
        </w:rPr>
        <w:t>be</w:t>
      </w:r>
      <w:r>
        <w:rPr>
          <w:spacing w:val="-14"/>
          <w:sz w:val="22"/>
        </w:rPr>
        <w:t> </w:t>
      </w:r>
      <w:r>
        <w:rPr>
          <w:sz w:val="22"/>
        </w:rPr>
        <w:t>relevant</w:t>
      </w:r>
      <w:r>
        <w:rPr>
          <w:spacing w:val="-14"/>
          <w:sz w:val="22"/>
        </w:rPr>
        <w:t> </w:t>
      </w:r>
      <w:r>
        <w:rPr>
          <w:sz w:val="22"/>
        </w:rPr>
        <w:t>safeguard</w:t>
      </w:r>
      <w:r>
        <w:rPr>
          <w:spacing w:val="-13"/>
          <w:sz w:val="22"/>
        </w:rPr>
        <w:t> </w:t>
      </w:r>
      <w:r>
        <w:rPr>
          <w:sz w:val="22"/>
        </w:rPr>
        <w:t>procedures </w:t>
      </w:r>
      <w:r>
        <w:rPr>
          <w:spacing w:val="-4"/>
          <w:sz w:val="22"/>
        </w:rPr>
        <w:t>in</w:t>
      </w:r>
      <w:r>
        <w:rPr>
          <w:spacing w:val="-6"/>
          <w:sz w:val="22"/>
        </w:rPr>
        <w:t> </w:t>
      </w:r>
      <w:r>
        <w:rPr>
          <w:spacing w:val="-4"/>
          <w:sz w:val="22"/>
        </w:rPr>
        <w:t>place</w:t>
      </w:r>
      <w:r>
        <w:rPr>
          <w:spacing w:val="-6"/>
          <w:sz w:val="22"/>
        </w:rPr>
        <w:t> </w:t>
      </w:r>
      <w:r>
        <w:rPr>
          <w:spacing w:val="-4"/>
          <w:sz w:val="22"/>
        </w:rPr>
        <w:t>to</w:t>
      </w:r>
      <w:r>
        <w:rPr>
          <w:spacing w:val="-6"/>
          <w:sz w:val="22"/>
        </w:rPr>
        <w:t> </w:t>
      </w:r>
      <w:r>
        <w:rPr>
          <w:spacing w:val="-4"/>
          <w:sz w:val="22"/>
        </w:rPr>
        <w:t>avoid</w:t>
      </w:r>
      <w:r>
        <w:rPr>
          <w:spacing w:val="-6"/>
          <w:sz w:val="22"/>
        </w:rPr>
        <w:t> </w:t>
      </w:r>
      <w:r>
        <w:rPr>
          <w:spacing w:val="-4"/>
          <w:sz w:val="22"/>
        </w:rPr>
        <w:t>potential</w:t>
      </w:r>
      <w:r>
        <w:rPr>
          <w:spacing w:val="-6"/>
          <w:sz w:val="22"/>
        </w:rPr>
        <w:t> </w:t>
      </w:r>
      <w:r>
        <w:rPr>
          <w:spacing w:val="-4"/>
          <w:sz w:val="22"/>
        </w:rPr>
        <w:t>conflict</w:t>
      </w:r>
      <w:r>
        <w:rPr>
          <w:spacing w:val="-6"/>
          <w:sz w:val="22"/>
        </w:rPr>
        <w:t> </w:t>
      </w:r>
      <w:r>
        <w:rPr>
          <w:spacing w:val="-4"/>
          <w:sz w:val="22"/>
        </w:rPr>
        <w:t>of</w:t>
      </w:r>
      <w:r>
        <w:rPr>
          <w:spacing w:val="-6"/>
          <w:sz w:val="22"/>
        </w:rPr>
        <w:t> </w:t>
      </w:r>
      <w:r>
        <w:rPr>
          <w:spacing w:val="-4"/>
          <w:sz w:val="22"/>
        </w:rPr>
        <w:t>interest</w:t>
      </w:r>
      <w:r>
        <w:rPr>
          <w:spacing w:val="-6"/>
          <w:sz w:val="22"/>
        </w:rPr>
        <w:t> </w:t>
      </w:r>
      <w:r>
        <w:rPr>
          <w:spacing w:val="-4"/>
          <w:sz w:val="22"/>
        </w:rPr>
        <w:t>issues </w:t>
      </w:r>
      <w:r>
        <w:rPr>
          <w:spacing w:val="-2"/>
          <w:sz w:val="22"/>
        </w:rPr>
        <w:t>between</w:t>
      </w:r>
      <w:r>
        <w:rPr>
          <w:spacing w:val="-8"/>
          <w:sz w:val="22"/>
        </w:rPr>
        <w:t> </w:t>
      </w:r>
      <w:r>
        <w:rPr>
          <w:spacing w:val="-2"/>
          <w:sz w:val="22"/>
        </w:rPr>
        <w:t>trainer</w:t>
      </w:r>
      <w:r>
        <w:rPr>
          <w:spacing w:val="-7"/>
          <w:sz w:val="22"/>
        </w:rPr>
        <w:t> </w:t>
      </w:r>
      <w:r>
        <w:rPr>
          <w:spacing w:val="-2"/>
          <w:sz w:val="22"/>
        </w:rPr>
        <w:t>and</w:t>
      </w:r>
      <w:r>
        <w:rPr>
          <w:spacing w:val="-7"/>
          <w:sz w:val="22"/>
        </w:rPr>
        <w:t> </w:t>
      </w:r>
      <w:r>
        <w:rPr>
          <w:spacing w:val="-2"/>
          <w:sz w:val="22"/>
        </w:rPr>
        <w:t>trainee.</w:t>
      </w:r>
      <w:r>
        <w:rPr>
          <w:spacing w:val="-12"/>
          <w:sz w:val="22"/>
        </w:rPr>
        <w:t> </w:t>
      </w:r>
      <w:r>
        <w:rPr>
          <w:spacing w:val="-2"/>
          <w:sz w:val="22"/>
        </w:rPr>
        <w:t>The</w:t>
      </w:r>
      <w:r>
        <w:rPr>
          <w:spacing w:val="-6"/>
          <w:sz w:val="22"/>
        </w:rPr>
        <w:t> </w:t>
      </w:r>
      <w:r>
        <w:rPr>
          <w:spacing w:val="-2"/>
          <w:sz w:val="22"/>
        </w:rPr>
        <w:t>overriding</w:t>
      </w:r>
      <w:r>
        <w:rPr>
          <w:spacing w:val="-7"/>
          <w:sz w:val="22"/>
        </w:rPr>
        <w:t> </w:t>
      </w:r>
      <w:r>
        <w:rPr>
          <w:spacing w:val="-2"/>
          <w:sz w:val="22"/>
        </w:rPr>
        <w:t>aim</w:t>
      </w:r>
      <w:r>
        <w:rPr>
          <w:spacing w:val="-7"/>
          <w:sz w:val="22"/>
        </w:rPr>
        <w:t> </w:t>
      </w:r>
      <w:r>
        <w:rPr>
          <w:spacing w:val="-2"/>
          <w:sz w:val="22"/>
        </w:rPr>
        <w:t>of </w:t>
      </w:r>
      <w:r>
        <w:rPr>
          <w:sz w:val="22"/>
        </w:rPr>
        <w:t>IPR training is to ensure legal and technological competence</w:t>
      </w:r>
      <w:r>
        <w:rPr>
          <w:spacing w:val="-7"/>
          <w:sz w:val="22"/>
        </w:rPr>
        <w:t> </w:t>
      </w:r>
      <w:r>
        <w:rPr>
          <w:sz w:val="22"/>
        </w:rPr>
        <w:t>consistent</w:t>
      </w:r>
      <w:r>
        <w:rPr>
          <w:spacing w:val="-7"/>
          <w:sz w:val="22"/>
        </w:rPr>
        <w:t> </w:t>
      </w:r>
      <w:r>
        <w:rPr>
          <w:sz w:val="22"/>
        </w:rPr>
        <w:t>with</w:t>
      </w:r>
      <w:r>
        <w:rPr>
          <w:spacing w:val="-7"/>
          <w:sz w:val="22"/>
        </w:rPr>
        <w:t> </w:t>
      </w:r>
      <w:r>
        <w:rPr>
          <w:sz w:val="22"/>
        </w:rPr>
        <w:t>the</w:t>
      </w:r>
      <w:r>
        <w:rPr>
          <w:spacing w:val="-7"/>
          <w:sz w:val="22"/>
        </w:rPr>
        <w:t> </w:t>
      </w:r>
      <w:r>
        <w:rPr>
          <w:sz w:val="22"/>
        </w:rPr>
        <w:t>best</w:t>
      </w:r>
      <w:r>
        <w:rPr>
          <w:spacing w:val="-7"/>
          <w:sz w:val="22"/>
        </w:rPr>
        <w:t> </w:t>
      </w:r>
      <w:r>
        <w:rPr>
          <w:sz w:val="22"/>
        </w:rPr>
        <w:t>international standards.</w:t>
      </w:r>
      <w:r>
        <w:rPr>
          <w:spacing w:val="-3"/>
          <w:sz w:val="22"/>
        </w:rPr>
        <w:t> </w:t>
      </w:r>
      <w:r>
        <w:rPr>
          <w:sz w:val="22"/>
        </w:rPr>
        <w:t>For</w:t>
      </w:r>
      <w:r>
        <w:rPr>
          <w:spacing w:val="-3"/>
          <w:sz w:val="22"/>
        </w:rPr>
        <w:t> </w:t>
      </w:r>
      <w:r>
        <w:rPr>
          <w:sz w:val="22"/>
        </w:rPr>
        <w:t>training</w:t>
      </w:r>
      <w:r>
        <w:rPr>
          <w:spacing w:val="-3"/>
          <w:sz w:val="22"/>
        </w:rPr>
        <w:t> </w:t>
      </w:r>
      <w:r>
        <w:rPr>
          <w:sz w:val="22"/>
        </w:rPr>
        <w:t>of</w:t>
      </w:r>
      <w:r>
        <w:rPr>
          <w:spacing w:val="-3"/>
          <w:sz w:val="22"/>
        </w:rPr>
        <w:t> </w:t>
      </w:r>
      <w:r>
        <w:rPr>
          <w:sz w:val="22"/>
        </w:rPr>
        <w:t>IP</w:t>
      </w:r>
      <w:r>
        <w:rPr>
          <w:spacing w:val="-3"/>
          <w:sz w:val="22"/>
        </w:rPr>
        <w:t> </w:t>
      </w:r>
      <w:r>
        <w:rPr>
          <w:sz w:val="22"/>
        </w:rPr>
        <w:t>Office</w:t>
      </w:r>
      <w:r>
        <w:rPr>
          <w:spacing w:val="-3"/>
          <w:sz w:val="22"/>
        </w:rPr>
        <w:t> </w:t>
      </w:r>
      <w:r>
        <w:rPr>
          <w:sz w:val="22"/>
        </w:rPr>
        <w:t>personnel,</w:t>
      </w:r>
      <w:r>
        <w:rPr>
          <w:spacing w:val="-3"/>
          <w:sz w:val="22"/>
        </w:rPr>
        <w:t> </w:t>
      </w:r>
      <w:r>
        <w:rPr>
          <w:sz w:val="22"/>
        </w:rPr>
        <w:t>an in-house Professional Development </w:t>
      </w:r>
      <w:r>
        <w:rPr>
          <w:sz w:val="22"/>
        </w:rPr>
        <w:t>Committee (PDC) should also be formed. The PDC should identify training requirements of the IP Offices and collaborate with IPTI to impart up-to-date</w:t>
      </w:r>
      <w:r>
        <w:rPr>
          <w:spacing w:val="80"/>
          <w:sz w:val="22"/>
        </w:rPr>
        <w:t> </w:t>
      </w:r>
      <w:r>
        <w:rPr>
          <w:sz w:val="22"/>
        </w:rPr>
        <w:t>IP training. Steps could also be taken to invite Indian</w:t>
      </w:r>
      <w:r>
        <w:rPr>
          <w:spacing w:val="-2"/>
          <w:sz w:val="22"/>
        </w:rPr>
        <w:t> </w:t>
      </w:r>
      <w:r>
        <w:rPr>
          <w:sz w:val="22"/>
        </w:rPr>
        <w:t>scientists</w:t>
      </w:r>
      <w:r>
        <w:rPr>
          <w:spacing w:val="-2"/>
          <w:sz w:val="22"/>
        </w:rPr>
        <w:t> </w:t>
      </w:r>
      <w:r>
        <w:rPr>
          <w:sz w:val="22"/>
        </w:rPr>
        <w:t>located</w:t>
      </w:r>
      <w:r>
        <w:rPr>
          <w:spacing w:val="-2"/>
          <w:sz w:val="22"/>
        </w:rPr>
        <w:t> </w:t>
      </w:r>
      <w:r>
        <w:rPr>
          <w:sz w:val="22"/>
        </w:rPr>
        <w:t>in</w:t>
      </w:r>
      <w:r>
        <w:rPr>
          <w:spacing w:val="-2"/>
          <w:sz w:val="22"/>
        </w:rPr>
        <w:t> </w:t>
      </w:r>
      <w:r>
        <w:rPr>
          <w:sz w:val="22"/>
        </w:rPr>
        <w:t>India</w:t>
      </w:r>
      <w:r>
        <w:rPr>
          <w:spacing w:val="-2"/>
          <w:sz w:val="22"/>
        </w:rPr>
        <w:t> </w:t>
      </w:r>
      <w:r>
        <w:rPr>
          <w:sz w:val="22"/>
        </w:rPr>
        <w:t>and</w:t>
      </w:r>
      <w:r>
        <w:rPr>
          <w:spacing w:val="-2"/>
          <w:sz w:val="22"/>
        </w:rPr>
        <w:t> </w:t>
      </w:r>
      <w:r>
        <w:rPr>
          <w:sz w:val="22"/>
        </w:rPr>
        <w:t>abroad</w:t>
      </w:r>
      <w:r>
        <w:rPr>
          <w:spacing w:val="-2"/>
          <w:sz w:val="22"/>
        </w:rPr>
        <w:t> </w:t>
      </w:r>
      <w:r>
        <w:rPr>
          <w:sz w:val="22"/>
        </w:rPr>
        <w:t>who </w:t>
      </w:r>
      <w:r>
        <w:rPr>
          <w:spacing w:val="-4"/>
          <w:sz w:val="22"/>
        </w:rPr>
        <w:t>have</w:t>
      </w:r>
      <w:r>
        <w:rPr>
          <w:spacing w:val="-6"/>
          <w:sz w:val="22"/>
        </w:rPr>
        <w:t> </w:t>
      </w:r>
      <w:r>
        <w:rPr>
          <w:spacing w:val="-4"/>
          <w:sz w:val="22"/>
        </w:rPr>
        <w:t>experience</w:t>
      </w:r>
      <w:r>
        <w:rPr>
          <w:spacing w:val="-6"/>
          <w:sz w:val="22"/>
        </w:rPr>
        <w:t> </w:t>
      </w:r>
      <w:r>
        <w:rPr>
          <w:spacing w:val="-4"/>
          <w:sz w:val="22"/>
        </w:rPr>
        <w:t>in</w:t>
      </w:r>
      <w:r>
        <w:rPr>
          <w:spacing w:val="-6"/>
          <w:sz w:val="22"/>
        </w:rPr>
        <w:t> </w:t>
      </w:r>
      <w:r>
        <w:rPr>
          <w:spacing w:val="-4"/>
          <w:sz w:val="22"/>
        </w:rPr>
        <w:t>patent</w:t>
      </w:r>
      <w:r>
        <w:rPr>
          <w:spacing w:val="-6"/>
          <w:sz w:val="22"/>
        </w:rPr>
        <w:t> </w:t>
      </w:r>
      <w:r>
        <w:rPr>
          <w:spacing w:val="-4"/>
          <w:sz w:val="22"/>
        </w:rPr>
        <w:t>examination</w:t>
      </w:r>
      <w:r>
        <w:rPr>
          <w:spacing w:val="-6"/>
          <w:sz w:val="22"/>
        </w:rPr>
        <w:t> </w:t>
      </w:r>
      <w:r>
        <w:rPr>
          <w:spacing w:val="-4"/>
          <w:sz w:val="22"/>
        </w:rPr>
        <w:t>processes</w:t>
      </w:r>
      <w:r>
        <w:rPr>
          <w:spacing w:val="-6"/>
          <w:sz w:val="22"/>
        </w:rPr>
        <w:t> </w:t>
      </w:r>
      <w:r>
        <w:rPr>
          <w:spacing w:val="-4"/>
          <w:sz w:val="22"/>
        </w:rPr>
        <w:t>to </w:t>
      </w:r>
      <w:r>
        <w:rPr>
          <w:spacing w:val="-2"/>
          <w:sz w:val="22"/>
        </w:rPr>
        <w:t>participate</w:t>
      </w:r>
      <w:r>
        <w:rPr>
          <w:spacing w:val="-12"/>
          <w:sz w:val="22"/>
        </w:rPr>
        <w:t> </w:t>
      </w:r>
      <w:r>
        <w:rPr>
          <w:spacing w:val="-2"/>
          <w:sz w:val="22"/>
        </w:rPr>
        <w:t>in</w:t>
      </w:r>
      <w:r>
        <w:rPr>
          <w:spacing w:val="-12"/>
          <w:sz w:val="22"/>
        </w:rPr>
        <w:t> </w:t>
      </w:r>
      <w:r>
        <w:rPr>
          <w:spacing w:val="-2"/>
          <w:sz w:val="22"/>
        </w:rPr>
        <w:t>training</w:t>
      </w:r>
      <w:r>
        <w:rPr>
          <w:spacing w:val="-12"/>
          <w:sz w:val="22"/>
        </w:rPr>
        <w:t> </w:t>
      </w:r>
      <w:r>
        <w:rPr>
          <w:spacing w:val="-2"/>
          <w:sz w:val="22"/>
        </w:rPr>
        <w:t>initiatives</w:t>
      </w:r>
      <w:r>
        <w:rPr>
          <w:spacing w:val="-11"/>
          <w:sz w:val="22"/>
        </w:rPr>
        <w:t> </w:t>
      </w:r>
      <w:r>
        <w:rPr>
          <w:spacing w:val="-2"/>
          <w:sz w:val="22"/>
        </w:rPr>
        <w:t>with</w:t>
      </w:r>
      <w:r>
        <w:rPr>
          <w:spacing w:val="-12"/>
          <w:sz w:val="22"/>
        </w:rPr>
        <w:t> </w:t>
      </w:r>
      <w:r>
        <w:rPr>
          <w:spacing w:val="-2"/>
          <w:sz w:val="22"/>
        </w:rPr>
        <w:t>Indian</w:t>
      </w:r>
      <w:r>
        <w:rPr>
          <w:spacing w:val="-12"/>
          <w:sz w:val="22"/>
        </w:rPr>
        <w:t> </w:t>
      </w:r>
      <w:r>
        <w:rPr>
          <w:spacing w:val="-2"/>
          <w:sz w:val="22"/>
        </w:rPr>
        <w:t>patent </w:t>
      </w:r>
      <w:r>
        <w:rPr>
          <w:sz w:val="22"/>
        </w:rPr>
        <w:t>examiners. However, in-country expertise must </w:t>
      </w:r>
      <w:r>
        <w:rPr>
          <w:spacing w:val="-2"/>
          <w:sz w:val="22"/>
        </w:rPr>
        <w:t>be</w:t>
      </w:r>
      <w:r>
        <w:rPr>
          <w:spacing w:val="5"/>
          <w:sz w:val="22"/>
        </w:rPr>
        <w:t> </w:t>
      </w:r>
      <w:r>
        <w:rPr>
          <w:spacing w:val="-2"/>
          <w:sz w:val="22"/>
        </w:rPr>
        <w:t>urgently</w:t>
      </w:r>
      <w:r>
        <w:rPr>
          <w:spacing w:val="5"/>
          <w:sz w:val="22"/>
        </w:rPr>
        <w:t> </w:t>
      </w:r>
      <w:r>
        <w:rPr>
          <w:spacing w:val="-2"/>
          <w:sz w:val="22"/>
        </w:rPr>
        <w:t>developed</w:t>
      </w:r>
      <w:r>
        <w:rPr>
          <w:spacing w:val="6"/>
          <w:sz w:val="22"/>
        </w:rPr>
        <w:t> </w:t>
      </w:r>
      <w:r>
        <w:rPr>
          <w:spacing w:val="-2"/>
          <w:sz w:val="22"/>
        </w:rPr>
        <w:t>for</w:t>
      </w:r>
      <w:r>
        <w:rPr>
          <w:spacing w:val="5"/>
          <w:sz w:val="22"/>
        </w:rPr>
        <w:t> </w:t>
      </w:r>
      <w:r>
        <w:rPr>
          <w:spacing w:val="-2"/>
          <w:sz w:val="22"/>
        </w:rPr>
        <w:t>training</w:t>
      </w:r>
      <w:r>
        <w:rPr>
          <w:spacing w:val="6"/>
          <w:sz w:val="22"/>
        </w:rPr>
        <w:t> </w:t>
      </w:r>
      <w:r>
        <w:rPr>
          <w:spacing w:val="-2"/>
          <w:sz w:val="22"/>
        </w:rPr>
        <w:t>and</w:t>
      </w:r>
      <w:r>
        <w:rPr>
          <w:spacing w:val="5"/>
          <w:sz w:val="22"/>
        </w:rPr>
        <w:t> </w:t>
      </w:r>
      <w:r>
        <w:rPr>
          <w:spacing w:val="-2"/>
          <w:sz w:val="22"/>
        </w:rPr>
        <w:t>sensitising</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440"/>
        <w:jc w:val="both"/>
      </w:pPr>
      <w:r>
        <w:rPr>
          <w:spacing w:val="-2"/>
        </w:rPr>
        <w:t>IP</w:t>
      </w:r>
      <w:r>
        <w:rPr>
          <w:spacing w:val="-12"/>
        </w:rPr>
        <w:t> </w:t>
      </w:r>
      <w:r>
        <w:rPr>
          <w:spacing w:val="-2"/>
        </w:rPr>
        <w:t>regulatory</w:t>
      </w:r>
      <w:r>
        <w:rPr>
          <w:spacing w:val="-12"/>
        </w:rPr>
        <w:t> </w:t>
      </w:r>
      <w:r>
        <w:rPr>
          <w:spacing w:val="-2"/>
        </w:rPr>
        <w:t>staff</w:t>
      </w:r>
      <w:r>
        <w:rPr>
          <w:spacing w:val="-11"/>
        </w:rPr>
        <w:t> </w:t>
      </w:r>
      <w:r>
        <w:rPr>
          <w:spacing w:val="-2"/>
        </w:rPr>
        <w:t>in</w:t>
      </w:r>
      <w:r>
        <w:rPr>
          <w:spacing w:val="-12"/>
        </w:rPr>
        <w:t> </w:t>
      </w:r>
      <w:r>
        <w:rPr>
          <w:spacing w:val="-2"/>
        </w:rPr>
        <w:t>the</w:t>
      </w:r>
      <w:r>
        <w:rPr>
          <w:spacing w:val="-12"/>
        </w:rPr>
        <w:t> </w:t>
      </w:r>
      <w:r>
        <w:rPr>
          <w:spacing w:val="-2"/>
        </w:rPr>
        <w:t>new</w:t>
      </w:r>
      <w:r>
        <w:rPr>
          <w:spacing w:val="-11"/>
        </w:rPr>
        <w:t> </w:t>
      </w:r>
      <w:r>
        <w:rPr>
          <w:spacing w:val="-2"/>
        </w:rPr>
        <w:t>India-specific</w:t>
      </w:r>
      <w:r>
        <w:rPr>
          <w:spacing w:val="-12"/>
        </w:rPr>
        <w:t> </w:t>
      </w:r>
      <w:r>
        <w:rPr>
          <w:spacing w:val="-2"/>
        </w:rPr>
        <w:t>treaty- compliant</w:t>
      </w:r>
      <w:r>
        <w:rPr>
          <w:spacing w:val="-8"/>
        </w:rPr>
        <w:t> </w:t>
      </w:r>
      <w:r>
        <w:rPr>
          <w:spacing w:val="-2"/>
        </w:rPr>
        <w:t>patent</w:t>
      </w:r>
      <w:r>
        <w:rPr>
          <w:spacing w:val="-8"/>
        </w:rPr>
        <w:t> </w:t>
      </w:r>
      <w:r>
        <w:rPr>
          <w:spacing w:val="-2"/>
        </w:rPr>
        <w:t>examination</w:t>
      </w:r>
      <w:r>
        <w:rPr>
          <w:spacing w:val="-8"/>
        </w:rPr>
        <w:t> </w:t>
      </w:r>
      <w:r>
        <w:rPr>
          <w:spacing w:val="-2"/>
        </w:rPr>
        <w:t>procedures</w:t>
      </w:r>
      <w:r>
        <w:rPr>
          <w:spacing w:val="-8"/>
        </w:rPr>
        <w:t> </w:t>
      </w:r>
      <w:r>
        <w:rPr>
          <w:spacing w:val="-2"/>
        </w:rPr>
        <w:t>that</w:t>
      </w:r>
      <w:r>
        <w:rPr>
          <w:spacing w:val="-8"/>
        </w:rPr>
        <w:t> </w:t>
      </w:r>
      <w:r>
        <w:rPr>
          <w:spacing w:val="-2"/>
        </w:rPr>
        <w:t>will </w:t>
      </w:r>
      <w:r>
        <w:rPr/>
        <w:t>be</w:t>
      </w:r>
      <w:r>
        <w:rPr>
          <w:spacing w:val="-12"/>
        </w:rPr>
        <w:t> </w:t>
      </w:r>
      <w:r>
        <w:rPr/>
        <w:t>required</w:t>
      </w:r>
      <w:r>
        <w:rPr>
          <w:spacing w:val="-12"/>
        </w:rPr>
        <w:t> </w:t>
      </w:r>
      <w:r>
        <w:rPr/>
        <w:t>for</w:t>
      </w:r>
      <w:r>
        <w:rPr>
          <w:spacing w:val="-12"/>
        </w:rPr>
        <w:t> </w:t>
      </w:r>
      <w:r>
        <w:rPr/>
        <w:t>the</w:t>
      </w:r>
      <w:r>
        <w:rPr>
          <w:spacing w:val="-12"/>
        </w:rPr>
        <w:t> </w:t>
      </w:r>
      <w:r>
        <w:rPr/>
        <w:t>new</w:t>
      </w:r>
      <w:r>
        <w:rPr>
          <w:spacing w:val="-12"/>
        </w:rPr>
        <w:t> </w:t>
      </w:r>
      <w:r>
        <w:rPr/>
        <w:t>IP</w:t>
      </w:r>
      <w:r>
        <w:rPr>
          <w:spacing w:val="-12"/>
        </w:rPr>
        <w:t> </w:t>
      </w:r>
      <w:r>
        <w:rPr/>
        <w:t>offices.</w:t>
      </w:r>
    </w:p>
    <w:p>
      <w:pPr>
        <w:pStyle w:val="BodyText"/>
        <w:spacing w:before="25"/>
      </w:pPr>
    </w:p>
    <w:p>
      <w:pPr>
        <w:pStyle w:val="ListParagraph"/>
        <w:numPr>
          <w:ilvl w:val="1"/>
          <w:numId w:val="58"/>
        </w:numPr>
        <w:tabs>
          <w:tab w:pos="1438" w:val="left" w:leader="none"/>
          <w:tab w:pos="1440" w:val="left" w:leader="none"/>
        </w:tabs>
        <w:spacing w:line="266" w:lineRule="auto" w:before="0" w:after="0"/>
        <w:ind w:left="1440" w:right="0" w:hanging="360"/>
        <w:jc w:val="both"/>
        <w:rPr>
          <w:sz w:val="22"/>
        </w:rPr>
      </w:pPr>
      <w:r>
        <w:rPr>
          <w:sz w:val="22"/>
        </w:rPr>
        <w:t>The IPTI should, with active involvement from stakeholders,</w:t>
      </w:r>
      <w:r>
        <w:rPr>
          <w:spacing w:val="-14"/>
          <w:sz w:val="22"/>
        </w:rPr>
        <w:t> </w:t>
      </w:r>
      <w:r>
        <w:rPr>
          <w:sz w:val="22"/>
        </w:rPr>
        <w:t>prepare</w:t>
      </w:r>
      <w:r>
        <w:rPr>
          <w:spacing w:val="-14"/>
          <w:sz w:val="22"/>
        </w:rPr>
        <w:t> </w:t>
      </w:r>
      <w:r>
        <w:rPr>
          <w:sz w:val="22"/>
        </w:rPr>
        <w:t>a</w:t>
      </w:r>
      <w:r>
        <w:rPr>
          <w:spacing w:val="-14"/>
          <w:sz w:val="22"/>
        </w:rPr>
        <w:t> </w:t>
      </w:r>
      <w:r>
        <w:rPr>
          <w:sz w:val="22"/>
        </w:rPr>
        <w:t>comprehensive</w:t>
      </w:r>
      <w:r>
        <w:rPr>
          <w:spacing w:val="-13"/>
          <w:sz w:val="22"/>
        </w:rPr>
        <w:t> </w:t>
      </w:r>
      <w:r>
        <w:rPr>
          <w:sz w:val="22"/>
        </w:rPr>
        <w:t>induction- training course for new patent examiners on </w:t>
      </w:r>
      <w:r>
        <w:rPr>
          <w:spacing w:val="-4"/>
          <w:sz w:val="22"/>
        </w:rPr>
        <w:t>various</w:t>
      </w:r>
      <w:r>
        <w:rPr>
          <w:spacing w:val="-8"/>
          <w:sz w:val="22"/>
        </w:rPr>
        <w:t> </w:t>
      </w:r>
      <w:r>
        <w:rPr>
          <w:spacing w:val="-4"/>
          <w:sz w:val="22"/>
        </w:rPr>
        <w:t>IP</w:t>
      </w:r>
      <w:r>
        <w:rPr>
          <w:spacing w:val="-8"/>
          <w:sz w:val="22"/>
        </w:rPr>
        <w:t> </w:t>
      </w:r>
      <w:r>
        <w:rPr>
          <w:spacing w:val="-4"/>
          <w:sz w:val="22"/>
        </w:rPr>
        <w:t>topics</w:t>
      </w:r>
      <w:r>
        <w:rPr>
          <w:spacing w:val="-8"/>
          <w:sz w:val="22"/>
        </w:rPr>
        <w:t> </w:t>
      </w:r>
      <w:r>
        <w:rPr>
          <w:spacing w:val="-4"/>
          <w:sz w:val="22"/>
        </w:rPr>
        <w:t>such</w:t>
      </w:r>
      <w:r>
        <w:rPr>
          <w:spacing w:val="-8"/>
          <w:sz w:val="22"/>
        </w:rPr>
        <w:t> </w:t>
      </w:r>
      <w:r>
        <w:rPr>
          <w:spacing w:val="-4"/>
          <w:sz w:val="22"/>
        </w:rPr>
        <w:t>as</w:t>
      </w:r>
      <w:r>
        <w:rPr>
          <w:spacing w:val="-8"/>
          <w:sz w:val="22"/>
        </w:rPr>
        <w:t> </w:t>
      </w:r>
      <w:r>
        <w:rPr>
          <w:spacing w:val="-4"/>
          <w:sz w:val="22"/>
        </w:rPr>
        <w:t>patent</w:t>
      </w:r>
      <w:r>
        <w:rPr>
          <w:spacing w:val="-8"/>
          <w:sz w:val="22"/>
        </w:rPr>
        <w:t> </w:t>
      </w:r>
      <w:r>
        <w:rPr>
          <w:spacing w:val="-4"/>
          <w:sz w:val="22"/>
        </w:rPr>
        <w:t>searches</w:t>
      </w:r>
      <w:r>
        <w:rPr>
          <w:spacing w:val="-8"/>
          <w:sz w:val="22"/>
        </w:rPr>
        <w:t> </w:t>
      </w:r>
      <w:r>
        <w:rPr>
          <w:spacing w:val="-4"/>
          <w:sz w:val="22"/>
        </w:rPr>
        <w:t>(including </w:t>
      </w:r>
      <w:r>
        <w:rPr>
          <w:spacing w:val="-2"/>
          <w:sz w:val="22"/>
        </w:rPr>
        <w:t>international</w:t>
      </w:r>
      <w:r>
        <w:rPr>
          <w:spacing w:val="-2"/>
          <w:sz w:val="22"/>
        </w:rPr>
        <w:t> databases),</w:t>
      </w:r>
      <w:r>
        <w:rPr>
          <w:spacing w:val="-2"/>
          <w:sz w:val="22"/>
        </w:rPr>
        <w:t> substantive</w:t>
      </w:r>
      <w:r>
        <w:rPr>
          <w:spacing w:val="-2"/>
          <w:sz w:val="22"/>
        </w:rPr>
        <w:t> requirements </w:t>
      </w:r>
      <w:r>
        <w:rPr>
          <w:sz w:val="22"/>
        </w:rPr>
        <w:t>for patentability of an application, examination procedure as well as drafting of objections to the </w:t>
      </w:r>
      <w:r>
        <w:rPr>
          <w:spacing w:val="-2"/>
          <w:sz w:val="22"/>
        </w:rPr>
        <w:t>grant</w:t>
      </w:r>
      <w:r>
        <w:rPr>
          <w:spacing w:val="-12"/>
          <w:sz w:val="22"/>
        </w:rPr>
        <w:t> </w:t>
      </w:r>
      <w:r>
        <w:rPr>
          <w:spacing w:val="-2"/>
          <w:sz w:val="22"/>
        </w:rPr>
        <w:t>of</w:t>
      </w:r>
      <w:r>
        <w:rPr>
          <w:spacing w:val="-12"/>
          <w:sz w:val="22"/>
        </w:rPr>
        <w:t> </w:t>
      </w:r>
      <w:r>
        <w:rPr>
          <w:spacing w:val="-2"/>
          <w:sz w:val="22"/>
        </w:rPr>
        <w:t>a</w:t>
      </w:r>
      <w:r>
        <w:rPr>
          <w:spacing w:val="-12"/>
          <w:sz w:val="22"/>
        </w:rPr>
        <w:t> </w:t>
      </w:r>
      <w:r>
        <w:rPr>
          <w:spacing w:val="-2"/>
          <w:sz w:val="22"/>
        </w:rPr>
        <w:t>patent,</w:t>
      </w:r>
      <w:r>
        <w:rPr>
          <w:spacing w:val="-11"/>
          <w:sz w:val="22"/>
        </w:rPr>
        <w:t> </w:t>
      </w:r>
      <w:r>
        <w:rPr>
          <w:spacing w:val="-2"/>
          <w:sz w:val="22"/>
        </w:rPr>
        <w:t>where</w:t>
      </w:r>
      <w:r>
        <w:rPr>
          <w:spacing w:val="-12"/>
          <w:sz w:val="22"/>
        </w:rPr>
        <w:t> </w:t>
      </w:r>
      <w:r>
        <w:rPr>
          <w:spacing w:val="-2"/>
          <w:sz w:val="22"/>
        </w:rPr>
        <w:t>a</w:t>
      </w:r>
      <w:r>
        <w:rPr>
          <w:spacing w:val="-12"/>
          <w:sz w:val="22"/>
        </w:rPr>
        <w:t> </w:t>
      </w:r>
      <w:r>
        <w:rPr>
          <w:spacing w:val="-2"/>
          <w:sz w:val="22"/>
        </w:rPr>
        <w:t>list</w:t>
      </w:r>
      <w:r>
        <w:rPr>
          <w:spacing w:val="-12"/>
          <w:sz w:val="22"/>
        </w:rPr>
        <w:t> </w:t>
      </w:r>
      <w:r>
        <w:rPr>
          <w:spacing w:val="-2"/>
          <w:sz w:val="22"/>
        </w:rPr>
        <w:t>of</w:t>
      </w:r>
      <w:r>
        <w:rPr>
          <w:spacing w:val="-11"/>
          <w:sz w:val="22"/>
        </w:rPr>
        <w:t> </w:t>
      </w:r>
      <w:r>
        <w:rPr>
          <w:spacing w:val="-2"/>
          <w:sz w:val="22"/>
        </w:rPr>
        <w:t>standard</w:t>
      </w:r>
      <w:r>
        <w:rPr>
          <w:spacing w:val="-12"/>
          <w:sz w:val="22"/>
        </w:rPr>
        <w:t> </w:t>
      </w:r>
      <w:r>
        <w:rPr>
          <w:spacing w:val="-2"/>
          <w:sz w:val="22"/>
        </w:rPr>
        <w:t>clauses</w:t>
      </w:r>
      <w:r>
        <w:rPr>
          <w:spacing w:val="-12"/>
          <w:sz w:val="22"/>
        </w:rPr>
        <w:t> </w:t>
      </w:r>
      <w:r>
        <w:rPr>
          <w:spacing w:val="-2"/>
          <w:sz w:val="22"/>
        </w:rPr>
        <w:t>of </w:t>
      </w:r>
      <w:r>
        <w:rPr>
          <w:spacing w:val="-4"/>
          <w:sz w:val="22"/>
        </w:rPr>
        <w:t>objections</w:t>
      </w:r>
      <w:r>
        <w:rPr>
          <w:spacing w:val="-10"/>
          <w:sz w:val="22"/>
        </w:rPr>
        <w:t> </w:t>
      </w:r>
      <w:r>
        <w:rPr>
          <w:spacing w:val="-4"/>
          <w:sz w:val="22"/>
        </w:rPr>
        <w:t>could</w:t>
      </w:r>
      <w:r>
        <w:rPr>
          <w:spacing w:val="-10"/>
          <w:sz w:val="22"/>
        </w:rPr>
        <w:t> </w:t>
      </w:r>
      <w:r>
        <w:rPr>
          <w:spacing w:val="-4"/>
          <w:sz w:val="22"/>
        </w:rPr>
        <w:t>be</w:t>
      </w:r>
      <w:r>
        <w:rPr>
          <w:spacing w:val="-10"/>
          <w:sz w:val="22"/>
        </w:rPr>
        <w:t> </w:t>
      </w:r>
      <w:r>
        <w:rPr>
          <w:spacing w:val="-4"/>
          <w:sz w:val="22"/>
        </w:rPr>
        <w:t>developed.</w:t>
      </w:r>
      <w:r>
        <w:rPr>
          <w:spacing w:val="-9"/>
          <w:sz w:val="22"/>
        </w:rPr>
        <w:t> </w:t>
      </w:r>
      <w:r>
        <w:rPr>
          <w:spacing w:val="-4"/>
          <w:sz w:val="22"/>
        </w:rPr>
        <w:t>Such</w:t>
      </w:r>
      <w:r>
        <w:rPr>
          <w:spacing w:val="-10"/>
          <w:sz w:val="22"/>
        </w:rPr>
        <w:t> </w:t>
      </w:r>
      <w:r>
        <w:rPr>
          <w:spacing w:val="-4"/>
          <w:sz w:val="22"/>
        </w:rPr>
        <w:t>a</w:t>
      </w:r>
      <w:r>
        <w:rPr>
          <w:spacing w:val="-10"/>
          <w:sz w:val="22"/>
        </w:rPr>
        <w:t> </w:t>
      </w:r>
      <w:r>
        <w:rPr>
          <w:spacing w:val="-4"/>
          <w:sz w:val="22"/>
        </w:rPr>
        <w:t>course</w:t>
      </w:r>
      <w:r>
        <w:rPr>
          <w:spacing w:val="-10"/>
          <w:sz w:val="22"/>
        </w:rPr>
        <w:t> </w:t>
      </w:r>
      <w:r>
        <w:rPr>
          <w:spacing w:val="-4"/>
          <w:sz w:val="22"/>
        </w:rPr>
        <w:t>could </w:t>
      </w:r>
      <w:r>
        <w:rPr>
          <w:sz w:val="22"/>
        </w:rPr>
        <w:t>be of duration of three/six months. The course </w:t>
      </w:r>
      <w:r>
        <w:rPr>
          <w:spacing w:val="-2"/>
          <w:sz w:val="22"/>
        </w:rPr>
        <w:t>material</w:t>
      </w:r>
      <w:r>
        <w:rPr>
          <w:spacing w:val="-12"/>
          <w:sz w:val="22"/>
        </w:rPr>
        <w:t> </w:t>
      </w:r>
      <w:r>
        <w:rPr>
          <w:spacing w:val="-2"/>
          <w:sz w:val="22"/>
        </w:rPr>
        <w:t>should</w:t>
      </w:r>
      <w:r>
        <w:rPr>
          <w:spacing w:val="-12"/>
          <w:sz w:val="22"/>
        </w:rPr>
        <w:t> </w:t>
      </w:r>
      <w:r>
        <w:rPr>
          <w:spacing w:val="-2"/>
          <w:sz w:val="22"/>
        </w:rPr>
        <w:t>be</w:t>
      </w:r>
      <w:r>
        <w:rPr>
          <w:spacing w:val="-12"/>
          <w:sz w:val="22"/>
        </w:rPr>
        <w:t> </w:t>
      </w:r>
      <w:r>
        <w:rPr>
          <w:spacing w:val="-2"/>
          <w:sz w:val="22"/>
        </w:rPr>
        <w:t>standardised</w:t>
      </w:r>
      <w:r>
        <w:rPr>
          <w:spacing w:val="-11"/>
          <w:sz w:val="22"/>
        </w:rPr>
        <w:t> </w:t>
      </w:r>
      <w:r>
        <w:rPr>
          <w:spacing w:val="-2"/>
          <w:sz w:val="22"/>
        </w:rPr>
        <w:t>and</w:t>
      </w:r>
      <w:r>
        <w:rPr>
          <w:spacing w:val="-12"/>
          <w:sz w:val="22"/>
        </w:rPr>
        <w:t> </w:t>
      </w:r>
      <w:r>
        <w:rPr>
          <w:spacing w:val="-2"/>
          <w:sz w:val="22"/>
        </w:rPr>
        <w:t>could</w:t>
      </w:r>
      <w:r>
        <w:rPr>
          <w:spacing w:val="-12"/>
          <w:sz w:val="22"/>
        </w:rPr>
        <w:t> </w:t>
      </w:r>
      <w:r>
        <w:rPr>
          <w:spacing w:val="-2"/>
          <w:sz w:val="22"/>
        </w:rPr>
        <w:t>be</w:t>
      </w:r>
      <w:r>
        <w:rPr>
          <w:spacing w:val="-12"/>
          <w:sz w:val="22"/>
        </w:rPr>
        <w:t> </w:t>
      </w:r>
      <w:r>
        <w:rPr>
          <w:spacing w:val="-2"/>
          <w:sz w:val="22"/>
        </w:rPr>
        <w:t>made </w:t>
      </w:r>
      <w:r>
        <w:rPr>
          <w:spacing w:val="-6"/>
          <w:sz w:val="22"/>
        </w:rPr>
        <w:t>available</w:t>
      </w:r>
      <w:r>
        <w:rPr>
          <w:spacing w:val="-8"/>
          <w:sz w:val="22"/>
        </w:rPr>
        <w:t> </w:t>
      </w:r>
      <w:r>
        <w:rPr>
          <w:spacing w:val="-6"/>
          <w:sz w:val="22"/>
        </w:rPr>
        <w:t>on</w:t>
      </w:r>
      <w:r>
        <w:rPr>
          <w:spacing w:val="-8"/>
          <w:sz w:val="22"/>
        </w:rPr>
        <w:t> </w:t>
      </w:r>
      <w:r>
        <w:rPr>
          <w:spacing w:val="-6"/>
          <w:sz w:val="22"/>
        </w:rPr>
        <w:t>the</w:t>
      </w:r>
      <w:r>
        <w:rPr>
          <w:spacing w:val="-8"/>
          <w:sz w:val="22"/>
        </w:rPr>
        <w:t> </w:t>
      </w:r>
      <w:r>
        <w:rPr>
          <w:spacing w:val="-6"/>
          <w:sz w:val="22"/>
        </w:rPr>
        <w:t>Intranet.</w:t>
      </w:r>
      <w:r>
        <w:rPr>
          <w:spacing w:val="-7"/>
          <w:sz w:val="22"/>
        </w:rPr>
        <w:t> </w:t>
      </w:r>
      <w:r>
        <w:rPr>
          <w:spacing w:val="-6"/>
          <w:sz w:val="22"/>
        </w:rPr>
        <w:t>Once</w:t>
      </w:r>
      <w:r>
        <w:rPr>
          <w:spacing w:val="-8"/>
          <w:sz w:val="22"/>
        </w:rPr>
        <w:t> </w:t>
      </w:r>
      <w:r>
        <w:rPr>
          <w:spacing w:val="-6"/>
          <w:sz w:val="22"/>
        </w:rPr>
        <w:t>again,</w:t>
      </w:r>
      <w:r>
        <w:rPr>
          <w:spacing w:val="-8"/>
          <w:sz w:val="22"/>
        </w:rPr>
        <w:t> </w:t>
      </w:r>
      <w:r>
        <w:rPr>
          <w:spacing w:val="-6"/>
          <w:sz w:val="22"/>
        </w:rPr>
        <w:t>procedures</w:t>
      </w:r>
      <w:r>
        <w:rPr>
          <w:spacing w:val="-8"/>
          <w:sz w:val="22"/>
        </w:rPr>
        <w:t> </w:t>
      </w:r>
      <w:r>
        <w:rPr>
          <w:spacing w:val="-6"/>
          <w:sz w:val="22"/>
        </w:rPr>
        <w:t>for </w:t>
      </w:r>
      <w:r>
        <w:rPr>
          <w:spacing w:val="-4"/>
          <w:sz w:val="22"/>
        </w:rPr>
        <w:t>maintaining</w:t>
      </w:r>
      <w:r>
        <w:rPr>
          <w:spacing w:val="-10"/>
          <w:sz w:val="22"/>
        </w:rPr>
        <w:t> </w:t>
      </w:r>
      <w:r>
        <w:rPr>
          <w:spacing w:val="-4"/>
          <w:sz w:val="22"/>
        </w:rPr>
        <w:t>the</w:t>
      </w:r>
      <w:r>
        <w:rPr>
          <w:spacing w:val="-10"/>
          <w:sz w:val="22"/>
        </w:rPr>
        <w:t> </w:t>
      </w:r>
      <w:r>
        <w:rPr>
          <w:spacing w:val="-4"/>
          <w:sz w:val="22"/>
        </w:rPr>
        <w:t>adversarial</w:t>
      </w:r>
      <w:r>
        <w:rPr>
          <w:spacing w:val="-10"/>
          <w:sz w:val="22"/>
        </w:rPr>
        <w:t> </w:t>
      </w:r>
      <w:r>
        <w:rPr>
          <w:spacing w:val="-4"/>
          <w:sz w:val="22"/>
        </w:rPr>
        <w:t>nature</w:t>
      </w:r>
      <w:r>
        <w:rPr>
          <w:spacing w:val="-9"/>
          <w:sz w:val="22"/>
        </w:rPr>
        <w:t> </w:t>
      </w:r>
      <w:r>
        <w:rPr>
          <w:spacing w:val="-4"/>
          <w:sz w:val="22"/>
        </w:rPr>
        <w:t>of</w:t>
      </w:r>
      <w:r>
        <w:rPr>
          <w:spacing w:val="-10"/>
          <w:sz w:val="22"/>
        </w:rPr>
        <w:t> </w:t>
      </w:r>
      <w:r>
        <w:rPr>
          <w:spacing w:val="-4"/>
          <w:sz w:val="22"/>
        </w:rPr>
        <w:t>the</w:t>
      </w:r>
      <w:r>
        <w:rPr>
          <w:spacing w:val="-10"/>
          <w:sz w:val="22"/>
        </w:rPr>
        <w:t> </w:t>
      </w:r>
      <w:r>
        <w:rPr>
          <w:spacing w:val="-4"/>
          <w:sz w:val="22"/>
        </w:rPr>
        <w:t>new</w:t>
      </w:r>
      <w:r>
        <w:rPr>
          <w:spacing w:val="-10"/>
          <w:sz w:val="22"/>
        </w:rPr>
        <w:t> </w:t>
      </w:r>
      <w:r>
        <w:rPr>
          <w:spacing w:val="-4"/>
          <w:sz w:val="22"/>
        </w:rPr>
        <w:t>India- </w:t>
      </w:r>
      <w:r>
        <w:rPr>
          <w:spacing w:val="-6"/>
          <w:sz w:val="22"/>
        </w:rPr>
        <w:t>specific</w:t>
      </w:r>
      <w:r>
        <w:rPr>
          <w:spacing w:val="-10"/>
          <w:sz w:val="22"/>
        </w:rPr>
        <w:t> </w:t>
      </w:r>
      <w:r>
        <w:rPr>
          <w:spacing w:val="-6"/>
          <w:sz w:val="22"/>
        </w:rPr>
        <w:t>treaty-compliant</w:t>
      </w:r>
      <w:r>
        <w:rPr>
          <w:spacing w:val="-8"/>
          <w:sz w:val="22"/>
        </w:rPr>
        <w:t> </w:t>
      </w:r>
      <w:r>
        <w:rPr>
          <w:spacing w:val="-6"/>
          <w:sz w:val="22"/>
        </w:rPr>
        <w:t>patent</w:t>
      </w:r>
      <w:r>
        <w:rPr>
          <w:spacing w:val="-8"/>
          <w:sz w:val="22"/>
        </w:rPr>
        <w:t> </w:t>
      </w:r>
      <w:r>
        <w:rPr>
          <w:spacing w:val="-6"/>
          <w:sz w:val="22"/>
        </w:rPr>
        <w:t>examination</w:t>
      </w:r>
      <w:r>
        <w:rPr>
          <w:spacing w:val="-7"/>
          <w:sz w:val="22"/>
        </w:rPr>
        <w:t> </w:t>
      </w:r>
      <w:r>
        <w:rPr>
          <w:spacing w:val="-6"/>
          <w:sz w:val="22"/>
        </w:rPr>
        <w:t>process </w:t>
      </w:r>
      <w:r>
        <w:rPr>
          <w:sz w:val="22"/>
        </w:rPr>
        <w:t>must</w:t>
      </w:r>
      <w:r>
        <w:rPr>
          <w:spacing w:val="-13"/>
          <w:sz w:val="22"/>
        </w:rPr>
        <w:t> </w:t>
      </w:r>
      <w:r>
        <w:rPr>
          <w:sz w:val="22"/>
        </w:rPr>
        <w:t>form</w:t>
      </w:r>
      <w:r>
        <w:rPr>
          <w:spacing w:val="-13"/>
          <w:sz w:val="22"/>
        </w:rPr>
        <w:t> </w:t>
      </w:r>
      <w:r>
        <w:rPr>
          <w:sz w:val="22"/>
        </w:rPr>
        <w:t>a</w:t>
      </w:r>
      <w:r>
        <w:rPr>
          <w:spacing w:val="-13"/>
          <w:sz w:val="22"/>
        </w:rPr>
        <w:t> </w:t>
      </w:r>
      <w:r>
        <w:rPr>
          <w:sz w:val="22"/>
        </w:rPr>
        <w:t>major</w:t>
      </w:r>
      <w:r>
        <w:rPr>
          <w:spacing w:val="-13"/>
          <w:sz w:val="22"/>
        </w:rPr>
        <w:t> </w:t>
      </w:r>
      <w:r>
        <w:rPr>
          <w:sz w:val="22"/>
        </w:rPr>
        <w:t>component</w:t>
      </w:r>
      <w:r>
        <w:rPr>
          <w:spacing w:val="-13"/>
          <w:sz w:val="22"/>
        </w:rPr>
        <w:t> </w:t>
      </w:r>
      <w:r>
        <w:rPr>
          <w:sz w:val="22"/>
        </w:rPr>
        <w:t>of</w:t>
      </w:r>
      <w:r>
        <w:rPr>
          <w:spacing w:val="-13"/>
          <w:sz w:val="22"/>
        </w:rPr>
        <w:t> </w:t>
      </w:r>
      <w:r>
        <w:rPr>
          <w:sz w:val="22"/>
        </w:rPr>
        <w:t>these</w:t>
      </w:r>
      <w:r>
        <w:rPr>
          <w:spacing w:val="-13"/>
          <w:sz w:val="22"/>
        </w:rPr>
        <w:t> </w:t>
      </w:r>
      <w:r>
        <w:rPr>
          <w:sz w:val="22"/>
        </w:rPr>
        <w:t>programs.</w:t>
      </w:r>
    </w:p>
    <w:p>
      <w:pPr>
        <w:pStyle w:val="BodyText"/>
        <w:spacing w:before="15"/>
      </w:pPr>
    </w:p>
    <w:p>
      <w:pPr>
        <w:pStyle w:val="BodyText"/>
        <w:spacing w:line="266" w:lineRule="auto"/>
        <w:ind w:left="1080"/>
        <w:jc w:val="both"/>
      </w:pPr>
      <w:r>
        <w:rPr/>
        <w:t>After the completion of the </w:t>
      </w:r>
      <w:r>
        <w:rPr/>
        <w:t>induction-training program, a senior patent examiner could be assigned to each examiner as a training officer who would act as a mentor by supervising work, providing further </w:t>
      </w:r>
      <w:r>
        <w:rPr>
          <w:spacing w:val="-6"/>
        </w:rPr>
        <w:t>training on a case-by-case basis and eventually reporting </w:t>
      </w:r>
      <w:r>
        <w:rPr/>
        <w:t>on</w:t>
      </w:r>
      <w:r>
        <w:rPr>
          <w:spacing w:val="-3"/>
        </w:rPr>
        <w:t> </w:t>
      </w:r>
      <w:r>
        <w:rPr/>
        <w:t>the</w:t>
      </w:r>
      <w:r>
        <w:rPr>
          <w:spacing w:val="-3"/>
        </w:rPr>
        <w:t> </w:t>
      </w:r>
      <w:r>
        <w:rPr/>
        <w:t>work</w:t>
      </w:r>
      <w:r>
        <w:rPr>
          <w:spacing w:val="-3"/>
        </w:rPr>
        <w:t> </w:t>
      </w:r>
      <w:r>
        <w:rPr/>
        <w:t>of</w:t>
      </w:r>
      <w:r>
        <w:rPr>
          <w:spacing w:val="-3"/>
        </w:rPr>
        <w:t> </w:t>
      </w:r>
      <w:r>
        <w:rPr/>
        <w:t>the</w:t>
      </w:r>
      <w:r>
        <w:rPr>
          <w:spacing w:val="-3"/>
        </w:rPr>
        <w:t> </w:t>
      </w:r>
      <w:r>
        <w:rPr/>
        <w:t>examiner.</w:t>
      </w:r>
      <w:r>
        <w:rPr>
          <w:spacing w:val="-3"/>
        </w:rPr>
        <w:t> </w:t>
      </w:r>
      <w:r>
        <w:rPr/>
        <w:t>Such</w:t>
      </w:r>
      <w:r>
        <w:rPr>
          <w:spacing w:val="-3"/>
        </w:rPr>
        <w:t> </w:t>
      </w:r>
      <w:r>
        <w:rPr/>
        <w:t>training</w:t>
      </w:r>
      <w:r>
        <w:rPr>
          <w:spacing w:val="-3"/>
        </w:rPr>
        <w:t> </w:t>
      </w:r>
      <w:r>
        <w:rPr/>
        <w:t>could</w:t>
      </w:r>
      <w:r>
        <w:rPr>
          <w:spacing w:val="-3"/>
        </w:rPr>
        <w:t> </w:t>
      </w:r>
      <w:r>
        <w:rPr/>
        <w:t>last for</w:t>
      </w:r>
      <w:r>
        <w:rPr>
          <w:spacing w:val="-14"/>
        </w:rPr>
        <w:t> </w:t>
      </w:r>
      <w:r>
        <w:rPr/>
        <w:t>a</w:t>
      </w:r>
      <w:r>
        <w:rPr>
          <w:spacing w:val="-14"/>
        </w:rPr>
        <w:t> </w:t>
      </w:r>
      <w:r>
        <w:rPr/>
        <w:t>period</w:t>
      </w:r>
      <w:r>
        <w:rPr>
          <w:spacing w:val="-14"/>
        </w:rPr>
        <w:t> </w:t>
      </w:r>
      <w:r>
        <w:rPr/>
        <w:t>of</w:t>
      </w:r>
      <w:r>
        <w:rPr>
          <w:spacing w:val="-13"/>
        </w:rPr>
        <w:t> </w:t>
      </w:r>
      <w:r>
        <w:rPr/>
        <w:t>about</w:t>
      </w:r>
      <w:r>
        <w:rPr>
          <w:spacing w:val="-13"/>
        </w:rPr>
        <w:t> </w:t>
      </w:r>
      <w:r>
        <w:rPr/>
        <w:t>six</w:t>
      </w:r>
      <w:r>
        <w:rPr>
          <w:spacing w:val="-13"/>
        </w:rPr>
        <w:t> </w:t>
      </w:r>
      <w:r>
        <w:rPr/>
        <w:t>months.</w:t>
      </w:r>
      <w:r>
        <w:rPr>
          <w:spacing w:val="-14"/>
        </w:rPr>
        <w:t> </w:t>
      </w:r>
      <w:r>
        <w:rPr/>
        <w:t>The</w:t>
      </w:r>
      <w:r>
        <w:rPr>
          <w:spacing w:val="-13"/>
        </w:rPr>
        <w:t> </w:t>
      </w:r>
      <w:r>
        <w:rPr/>
        <w:t>IPTI</w:t>
      </w:r>
      <w:r>
        <w:rPr>
          <w:spacing w:val="-13"/>
        </w:rPr>
        <w:t> </w:t>
      </w:r>
      <w:r>
        <w:rPr/>
        <w:t>should</w:t>
      </w:r>
      <w:r>
        <w:rPr>
          <w:spacing w:val="-13"/>
        </w:rPr>
        <w:t> </w:t>
      </w:r>
      <w:r>
        <w:rPr/>
        <w:t>also provide advanced level courses in examination and international</w:t>
      </w:r>
      <w:r>
        <w:rPr>
          <w:spacing w:val="-7"/>
        </w:rPr>
        <w:t> </w:t>
      </w:r>
      <w:r>
        <w:rPr/>
        <w:t>IPR</w:t>
      </w:r>
      <w:r>
        <w:rPr>
          <w:spacing w:val="-7"/>
        </w:rPr>
        <w:t> </w:t>
      </w:r>
      <w:r>
        <w:rPr/>
        <w:t>issues</w:t>
      </w:r>
      <w:r>
        <w:rPr>
          <w:spacing w:val="-7"/>
        </w:rPr>
        <w:t> </w:t>
      </w:r>
      <w:r>
        <w:rPr/>
        <w:t>after</w:t>
      </w:r>
      <w:r>
        <w:rPr>
          <w:spacing w:val="-7"/>
        </w:rPr>
        <w:t> </w:t>
      </w:r>
      <w:r>
        <w:rPr/>
        <w:t>about</w:t>
      </w:r>
      <w:r>
        <w:rPr>
          <w:spacing w:val="-7"/>
        </w:rPr>
        <w:t> </w:t>
      </w:r>
      <w:r>
        <w:rPr/>
        <w:t>a</w:t>
      </w:r>
      <w:r>
        <w:rPr>
          <w:spacing w:val="-7"/>
        </w:rPr>
        <w:t> </w:t>
      </w:r>
      <w:r>
        <w:rPr/>
        <w:t>year</w:t>
      </w:r>
      <w:r>
        <w:rPr>
          <w:spacing w:val="-7"/>
        </w:rPr>
        <w:t> </w:t>
      </w:r>
      <w:r>
        <w:rPr/>
        <w:t>to</w:t>
      </w:r>
      <w:r>
        <w:rPr>
          <w:spacing w:val="-7"/>
        </w:rPr>
        <w:t> </w:t>
      </w:r>
      <w:r>
        <w:rPr/>
        <w:t>eighteen months,</w:t>
      </w:r>
      <w:r>
        <w:rPr>
          <w:spacing w:val="-14"/>
        </w:rPr>
        <w:t> </w:t>
      </w:r>
      <w:r>
        <w:rPr/>
        <w:t>including</w:t>
      </w:r>
      <w:r>
        <w:rPr>
          <w:spacing w:val="-14"/>
        </w:rPr>
        <w:t> </w:t>
      </w:r>
      <w:r>
        <w:rPr/>
        <w:t>courses</w:t>
      </w:r>
      <w:r>
        <w:rPr>
          <w:spacing w:val="-14"/>
        </w:rPr>
        <w:t> </w:t>
      </w:r>
      <w:r>
        <w:rPr/>
        <w:t>on</w:t>
      </w:r>
      <w:r>
        <w:rPr>
          <w:spacing w:val="-13"/>
        </w:rPr>
        <w:t> </w:t>
      </w:r>
      <w:r>
        <w:rPr/>
        <w:t>pre-grant</w:t>
      </w:r>
      <w:r>
        <w:rPr>
          <w:spacing w:val="-14"/>
        </w:rPr>
        <w:t> </w:t>
      </w:r>
      <w:r>
        <w:rPr/>
        <w:t>and</w:t>
      </w:r>
      <w:r>
        <w:rPr>
          <w:spacing w:val="-14"/>
        </w:rPr>
        <w:t> </w:t>
      </w:r>
      <w:r>
        <w:rPr/>
        <w:t>post-grant opposition procedures.</w:t>
      </w:r>
    </w:p>
    <w:p>
      <w:pPr>
        <w:pStyle w:val="BodyText"/>
        <w:spacing w:before="18"/>
      </w:pPr>
    </w:p>
    <w:p>
      <w:pPr>
        <w:pStyle w:val="BodyText"/>
        <w:spacing w:line="266" w:lineRule="auto"/>
        <w:ind w:left="1080"/>
        <w:jc w:val="both"/>
      </w:pPr>
      <w:r>
        <w:rPr>
          <w:spacing w:val="-4"/>
        </w:rPr>
        <w:t>The</w:t>
      </w:r>
      <w:r>
        <w:rPr>
          <w:spacing w:val="-10"/>
        </w:rPr>
        <w:t> </w:t>
      </w:r>
      <w:r>
        <w:rPr>
          <w:spacing w:val="-4"/>
        </w:rPr>
        <w:t>IPTI</w:t>
      </w:r>
      <w:r>
        <w:rPr>
          <w:spacing w:val="-10"/>
        </w:rPr>
        <w:t> </w:t>
      </w:r>
      <w:r>
        <w:rPr>
          <w:spacing w:val="-4"/>
        </w:rPr>
        <w:t>should</w:t>
      </w:r>
      <w:r>
        <w:rPr>
          <w:spacing w:val="-10"/>
        </w:rPr>
        <w:t> </w:t>
      </w:r>
      <w:r>
        <w:rPr>
          <w:spacing w:val="-4"/>
        </w:rPr>
        <w:t>also</w:t>
      </w:r>
      <w:r>
        <w:rPr>
          <w:spacing w:val="-9"/>
        </w:rPr>
        <w:t> </w:t>
      </w:r>
      <w:r>
        <w:rPr>
          <w:spacing w:val="-4"/>
        </w:rPr>
        <w:t>collaborate</w:t>
      </w:r>
      <w:r>
        <w:rPr>
          <w:spacing w:val="-10"/>
        </w:rPr>
        <w:t> </w:t>
      </w:r>
      <w:r>
        <w:rPr>
          <w:spacing w:val="-4"/>
        </w:rPr>
        <w:t>with</w:t>
      </w:r>
      <w:r>
        <w:rPr>
          <w:spacing w:val="-10"/>
        </w:rPr>
        <w:t> </w:t>
      </w:r>
      <w:r>
        <w:rPr>
          <w:spacing w:val="-4"/>
        </w:rPr>
        <w:t>legal</w:t>
      </w:r>
      <w:r>
        <w:rPr>
          <w:spacing w:val="-10"/>
        </w:rPr>
        <w:t> </w:t>
      </w:r>
      <w:r>
        <w:rPr>
          <w:spacing w:val="-4"/>
        </w:rPr>
        <w:t>associations </w:t>
      </w:r>
      <w:r>
        <w:rPr/>
        <w:t>and</w:t>
      </w:r>
      <w:r>
        <w:rPr>
          <w:spacing w:val="-3"/>
        </w:rPr>
        <w:t> </w:t>
      </w:r>
      <w:r>
        <w:rPr/>
        <w:t>organisations</w:t>
      </w:r>
      <w:r>
        <w:rPr>
          <w:spacing w:val="-3"/>
        </w:rPr>
        <w:t> </w:t>
      </w:r>
      <w:r>
        <w:rPr/>
        <w:t>to</w:t>
      </w:r>
      <w:r>
        <w:rPr>
          <w:spacing w:val="-3"/>
        </w:rPr>
        <w:t> </w:t>
      </w:r>
      <w:r>
        <w:rPr/>
        <w:t>set</w:t>
      </w:r>
      <w:r>
        <w:rPr>
          <w:spacing w:val="-3"/>
        </w:rPr>
        <w:t> </w:t>
      </w:r>
      <w:r>
        <w:rPr/>
        <w:t>up</w:t>
      </w:r>
      <w:r>
        <w:rPr>
          <w:spacing w:val="-3"/>
        </w:rPr>
        <w:t> </w:t>
      </w:r>
      <w:r>
        <w:rPr/>
        <w:t>specialised</w:t>
      </w:r>
      <w:r>
        <w:rPr>
          <w:spacing w:val="-3"/>
        </w:rPr>
        <w:t> </w:t>
      </w:r>
      <w:r>
        <w:rPr/>
        <w:t>certificate</w:t>
      </w:r>
      <w:r>
        <w:rPr>
          <w:spacing w:val="-3"/>
        </w:rPr>
        <w:t> </w:t>
      </w:r>
      <w:r>
        <w:rPr/>
        <w:t>and </w:t>
      </w:r>
      <w:r>
        <w:rPr>
          <w:w w:val="90"/>
        </w:rPr>
        <w:t>diploma courses in IPR and hold qualifying examinations </w:t>
      </w:r>
      <w:r>
        <w:rPr/>
        <w:t>for</w:t>
      </w:r>
      <w:r>
        <w:rPr>
          <w:spacing w:val="-5"/>
        </w:rPr>
        <w:t> </w:t>
      </w:r>
      <w:r>
        <w:rPr/>
        <w:t>a</w:t>
      </w:r>
      <w:r>
        <w:rPr>
          <w:spacing w:val="-5"/>
        </w:rPr>
        <w:t> </w:t>
      </w:r>
      <w:r>
        <w:rPr/>
        <w:t>patent</w:t>
      </w:r>
      <w:r>
        <w:rPr>
          <w:spacing w:val="-5"/>
        </w:rPr>
        <w:t> </w:t>
      </w:r>
      <w:r>
        <w:rPr/>
        <w:t>attorney</w:t>
      </w:r>
      <w:r>
        <w:rPr>
          <w:spacing w:val="-5"/>
        </w:rPr>
        <w:t> </w:t>
      </w:r>
      <w:r>
        <w:rPr/>
        <w:t>to</w:t>
      </w:r>
      <w:r>
        <w:rPr>
          <w:spacing w:val="-5"/>
        </w:rPr>
        <w:t> </w:t>
      </w:r>
      <w:r>
        <w:rPr/>
        <w:t>act</w:t>
      </w:r>
      <w:r>
        <w:rPr>
          <w:spacing w:val="-5"/>
        </w:rPr>
        <w:t> </w:t>
      </w:r>
      <w:r>
        <w:rPr/>
        <w:t>before</w:t>
      </w:r>
      <w:r>
        <w:rPr>
          <w:spacing w:val="-5"/>
        </w:rPr>
        <w:t> </w:t>
      </w:r>
      <w:r>
        <w:rPr/>
        <w:t>the</w:t>
      </w:r>
      <w:r>
        <w:rPr>
          <w:spacing w:val="-5"/>
        </w:rPr>
        <w:t> </w:t>
      </w:r>
      <w:r>
        <w:rPr/>
        <w:t>IP</w:t>
      </w:r>
      <w:r>
        <w:rPr>
          <w:spacing w:val="-5"/>
        </w:rPr>
        <w:t> </w:t>
      </w:r>
      <w:r>
        <w:rPr/>
        <w:t>Offices.</w:t>
      </w:r>
      <w:r>
        <w:rPr>
          <w:spacing w:val="-13"/>
        </w:rPr>
        <w:t> </w:t>
      </w:r>
      <w:r>
        <w:rPr/>
        <w:t>This would ensure that highest professional standards are maintained. Appropriate public private partnerships (PPPs)</w:t>
      </w:r>
      <w:r>
        <w:rPr>
          <w:spacing w:val="-6"/>
        </w:rPr>
        <w:t> </w:t>
      </w:r>
      <w:r>
        <w:rPr/>
        <w:t>could</w:t>
      </w:r>
      <w:r>
        <w:rPr>
          <w:spacing w:val="-6"/>
        </w:rPr>
        <w:t> </w:t>
      </w:r>
      <w:r>
        <w:rPr/>
        <w:t>also</w:t>
      </w:r>
      <w:r>
        <w:rPr>
          <w:spacing w:val="-6"/>
        </w:rPr>
        <w:t> </w:t>
      </w:r>
      <w:r>
        <w:rPr/>
        <w:t>be</w:t>
      </w:r>
      <w:r>
        <w:rPr>
          <w:spacing w:val="-6"/>
        </w:rPr>
        <w:t> </w:t>
      </w:r>
      <w:r>
        <w:rPr/>
        <w:t>evolved</w:t>
      </w:r>
      <w:r>
        <w:rPr>
          <w:spacing w:val="-6"/>
        </w:rPr>
        <w:t> </w:t>
      </w:r>
      <w:r>
        <w:rPr/>
        <w:t>for</w:t>
      </w:r>
      <w:r>
        <w:rPr>
          <w:spacing w:val="-6"/>
        </w:rPr>
        <w:t> </w:t>
      </w:r>
      <w:r>
        <w:rPr/>
        <w:t>this</w:t>
      </w:r>
      <w:r>
        <w:rPr>
          <w:spacing w:val="-6"/>
        </w:rPr>
        <w:t> </w:t>
      </w:r>
      <w:r>
        <w:rPr/>
        <w:t>purpose.</w:t>
      </w:r>
    </w:p>
    <w:p>
      <w:pPr>
        <w:pStyle w:val="BodyText"/>
        <w:spacing w:before="87"/>
      </w:pPr>
    </w:p>
    <w:p>
      <w:pPr>
        <w:pStyle w:val="Heading6"/>
        <w:numPr>
          <w:ilvl w:val="0"/>
          <w:numId w:val="58"/>
        </w:numPr>
        <w:tabs>
          <w:tab w:pos="1484" w:val="left" w:leader="none"/>
        </w:tabs>
        <w:spacing w:line="208" w:lineRule="auto" w:before="0" w:after="0"/>
        <w:ind w:left="1484" w:right="55" w:hanging="405"/>
        <w:jc w:val="both"/>
      </w:pPr>
      <w:r>
        <w:rPr>
          <w:color w:val="2E614A"/>
          <w:spacing w:val="-10"/>
        </w:rPr>
        <w:t>IPR Education and </w:t>
      </w:r>
      <w:r>
        <w:rPr>
          <w:color w:val="2E614A"/>
          <w:spacing w:val="-10"/>
        </w:rPr>
        <w:t>Development </w:t>
      </w:r>
      <w:r>
        <w:rPr>
          <w:color w:val="2E614A"/>
        </w:rPr>
        <w:t>of IPR Cells</w:t>
      </w:r>
    </w:p>
    <w:p>
      <w:pPr>
        <w:pStyle w:val="ListParagraph"/>
        <w:numPr>
          <w:ilvl w:val="1"/>
          <w:numId w:val="58"/>
        </w:numPr>
        <w:tabs>
          <w:tab w:pos="1439" w:val="left" w:leader="none"/>
        </w:tabs>
        <w:spacing w:line="266" w:lineRule="auto" w:before="294" w:after="0"/>
        <w:ind w:left="1439" w:right="0" w:hanging="360"/>
        <w:jc w:val="both"/>
        <w:rPr>
          <w:sz w:val="22"/>
        </w:rPr>
      </w:pPr>
      <w:r>
        <w:rPr>
          <w:sz w:val="22"/>
        </w:rPr>
        <w:t>Educational efforts on IPR must go beyond the </w:t>
      </w:r>
      <w:r>
        <w:rPr>
          <w:spacing w:val="-2"/>
          <w:sz w:val="22"/>
        </w:rPr>
        <w:t>IP</w:t>
      </w:r>
      <w:r>
        <w:rPr>
          <w:spacing w:val="-9"/>
          <w:sz w:val="22"/>
        </w:rPr>
        <w:t> </w:t>
      </w:r>
      <w:r>
        <w:rPr>
          <w:spacing w:val="-2"/>
          <w:sz w:val="22"/>
        </w:rPr>
        <w:t>offices</w:t>
      </w:r>
      <w:r>
        <w:rPr>
          <w:spacing w:val="-9"/>
          <w:sz w:val="22"/>
        </w:rPr>
        <w:t> </w:t>
      </w:r>
      <w:r>
        <w:rPr>
          <w:spacing w:val="-2"/>
          <w:sz w:val="22"/>
        </w:rPr>
        <w:t>and</w:t>
      </w:r>
      <w:r>
        <w:rPr>
          <w:spacing w:val="-9"/>
          <w:sz w:val="22"/>
        </w:rPr>
        <w:t> </w:t>
      </w:r>
      <w:r>
        <w:rPr>
          <w:spacing w:val="-2"/>
          <w:sz w:val="22"/>
        </w:rPr>
        <w:t>reach</w:t>
      </w:r>
      <w:r>
        <w:rPr>
          <w:spacing w:val="-9"/>
          <w:sz w:val="22"/>
        </w:rPr>
        <w:t> </w:t>
      </w:r>
      <w:r>
        <w:rPr>
          <w:spacing w:val="-2"/>
          <w:sz w:val="22"/>
        </w:rPr>
        <w:t>out</w:t>
      </w:r>
      <w:r>
        <w:rPr>
          <w:spacing w:val="-9"/>
          <w:sz w:val="22"/>
        </w:rPr>
        <w:t> </w:t>
      </w:r>
      <w:r>
        <w:rPr>
          <w:spacing w:val="-2"/>
          <w:sz w:val="22"/>
        </w:rPr>
        <w:t>to</w:t>
      </w:r>
      <w:r>
        <w:rPr>
          <w:spacing w:val="-9"/>
          <w:sz w:val="22"/>
        </w:rPr>
        <w:t> </w:t>
      </w:r>
      <w:r>
        <w:rPr>
          <w:spacing w:val="-2"/>
          <w:sz w:val="22"/>
        </w:rPr>
        <w:t>scientists</w:t>
      </w:r>
      <w:r>
        <w:rPr>
          <w:spacing w:val="-9"/>
          <w:sz w:val="22"/>
        </w:rPr>
        <w:t> </w:t>
      </w:r>
      <w:r>
        <w:rPr>
          <w:spacing w:val="-2"/>
          <w:sz w:val="22"/>
        </w:rPr>
        <w:t>and</w:t>
      </w:r>
      <w:r>
        <w:rPr>
          <w:spacing w:val="-9"/>
          <w:sz w:val="22"/>
        </w:rPr>
        <w:t> </w:t>
      </w:r>
      <w:r>
        <w:rPr>
          <w:spacing w:val="-2"/>
          <w:sz w:val="22"/>
        </w:rPr>
        <w:t>engineers </w:t>
      </w:r>
      <w:r>
        <w:rPr>
          <w:w w:val="90"/>
          <w:sz w:val="22"/>
        </w:rPr>
        <w:t>working in national research institutes, universities, </w:t>
      </w:r>
      <w:r>
        <w:rPr>
          <w:sz w:val="22"/>
        </w:rPr>
        <w:t>industry, the Bar, as well as to researchers and </w:t>
      </w:r>
      <w:r>
        <w:rPr>
          <w:spacing w:val="-2"/>
          <w:sz w:val="22"/>
        </w:rPr>
        <w:t>students,</w:t>
      </w:r>
      <w:r>
        <w:rPr>
          <w:spacing w:val="-11"/>
          <w:sz w:val="22"/>
        </w:rPr>
        <w:t> </w:t>
      </w:r>
      <w:r>
        <w:rPr>
          <w:spacing w:val="-2"/>
          <w:sz w:val="22"/>
        </w:rPr>
        <w:t>not</w:t>
      </w:r>
      <w:r>
        <w:rPr>
          <w:spacing w:val="-11"/>
          <w:sz w:val="22"/>
        </w:rPr>
        <w:t> </w:t>
      </w:r>
      <w:r>
        <w:rPr>
          <w:spacing w:val="-2"/>
          <w:sz w:val="22"/>
        </w:rPr>
        <w:t>just</w:t>
      </w:r>
      <w:r>
        <w:rPr>
          <w:spacing w:val="-11"/>
          <w:sz w:val="22"/>
        </w:rPr>
        <w:t> </w:t>
      </w:r>
      <w:r>
        <w:rPr>
          <w:spacing w:val="-2"/>
          <w:sz w:val="22"/>
        </w:rPr>
        <w:t>in</w:t>
      </w:r>
      <w:r>
        <w:rPr>
          <w:spacing w:val="-11"/>
          <w:sz w:val="22"/>
        </w:rPr>
        <w:t> </w:t>
      </w:r>
      <w:r>
        <w:rPr>
          <w:spacing w:val="-2"/>
          <w:sz w:val="22"/>
        </w:rPr>
        <w:t>the</w:t>
      </w:r>
      <w:r>
        <w:rPr>
          <w:spacing w:val="-11"/>
          <w:sz w:val="22"/>
        </w:rPr>
        <w:t> </w:t>
      </w:r>
      <w:r>
        <w:rPr>
          <w:spacing w:val="-2"/>
          <w:sz w:val="22"/>
        </w:rPr>
        <w:t>metropolitan</w:t>
      </w:r>
      <w:r>
        <w:rPr>
          <w:spacing w:val="-11"/>
          <w:sz w:val="22"/>
        </w:rPr>
        <w:t> </w:t>
      </w:r>
      <w:r>
        <w:rPr>
          <w:spacing w:val="-2"/>
          <w:sz w:val="22"/>
        </w:rPr>
        <w:t>areas</w:t>
      </w:r>
      <w:r>
        <w:rPr>
          <w:spacing w:val="-11"/>
          <w:sz w:val="22"/>
        </w:rPr>
        <w:t> </w:t>
      </w:r>
      <w:r>
        <w:rPr>
          <w:spacing w:val="-2"/>
          <w:sz w:val="22"/>
        </w:rPr>
        <w:t>but</w:t>
      </w:r>
      <w:r>
        <w:rPr>
          <w:spacing w:val="-11"/>
          <w:sz w:val="22"/>
        </w:rPr>
        <w:t> </w:t>
      </w:r>
      <w:r>
        <w:rPr>
          <w:spacing w:val="-2"/>
          <w:sz w:val="22"/>
        </w:rPr>
        <w:t>also in</w:t>
      </w:r>
      <w:r>
        <w:rPr>
          <w:spacing w:val="-11"/>
          <w:sz w:val="22"/>
        </w:rPr>
        <w:t> </w:t>
      </w:r>
      <w:r>
        <w:rPr>
          <w:spacing w:val="-2"/>
          <w:sz w:val="22"/>
        </w:rPr>
        <w:t>the</w:t>
      </w:r>
      <w:r>
        <w:rPr>
          <w:spacing w:val="-11"/>
          <w:sz w:val="22"/>
        </w:rPr>
        <w:t> </w:t>
      </w:r>
      <w:r>
        <w:rPr>
          <w:spacing w:val="-2"/>
          <w:sz w:val="22"/>
        </w:rPr>
        <w:t>smaller</w:t>
      </w:r>
      <w:r>
        <w:rPr>
          <w:spacing w:val="-11"/>
          <w:sz w:val="22"/>
        </w:rPr>
        <w:t> </w:t>
      </w:r>
      <w:r>
        <w:rPr>
          <w:spacing w:val="-2"/>
          <w:sz w:val="22"/>
        </w:rPr>
        <w:t>towns</w:t>
      </w:r>
      <w:r>
        <w:rPr>
          <w:spacing w:val="-11"/>
          <w:sz w:val="22"/>
        </w:rPr>
        <w:t> </w:t>
      </w:r>
      <w:r>
        <w:rPr>
          <w:spacing w:val="-2"/>
          <w:sz w:val="22"/>
        </w:rPr>
        <w:t>and</w:t>
      </w:r>
      <w:r>
        <w:rPr>
          <w:spacing w:val="-11"/>
          <w:sz w:val="22"/>
        </w:rPr>
        <w:t> </w:t>
      </w:r>
      <w:r>
        <w:rPr>
          <w:spacing w:val="-2"/>
          <w:sz w:val="22"/>
        </w:rPr>
        <w:t>rural</w:t>
      </w:r>
      <w:r>
        <w:rPr>
          <w:spacing w:val="-11"/>
          <w:sz w:val="22"/>
        </w:rPr>
        <w:t> </w:t>
      </w:r>
      <w:r>
        <w:rPr>
          <w:spacing w:val="-2"/>
          <w:sz w:val="22"/>
        </w:rPr>
        <w:t>areas</w:t>
      </w:r>
      <w:r>
        <w:rPr>
          <w:spacing w:val="-11"/>
          <w:sz w:val="22"/>
        </w:rPr>
        <w:t> </w:t>
      </w:r>
      <w:r>
        <w:rPr>
          <w:spacing w:val="-2"/>
          <w:sz w:val="22"/>
        </w:rPr>
        <w:t>of</w:t>
      </w:r>
      <w:r>
        <w:rPr>
          <w:spacing w:val="-11"/>
          <w:sz w:val="22"/>
        </w:rPr>
        <w:t> </w:t>
      </w:r>
      <w:r>
        <w:rPr>
          <w:spacing w:val="-2"/>
          <w:sz w:val="22"/>
        </w:rPr>
        <w:t>the</w:t>
      </w:r>
      <w:r>
        <w:rPr>
          <w:spacing w:val="-11"/>
          <w:sz w:val="22"/>
        </w:rPr>
        <w:t> </w:t>
      </w:r>
      <w:r>
        <w:rPr>
          <w:spacing w:val="-2"/>
          <w:sz w:val="22"/>
        </w:rPr>
        <w:t>country. </w:t>
      </w:r>
      <w:r>
        <w:rPr>
          <w:sz w:val="22"/>
        </w:rPr>
        <w:t>Law schools throughout the country must </w:t>
      </w:r>
      <w:r>
        <w:rPr>
          <w:sz w:val="22"/>
        </w:rPr>
        <w:t>also </w:t>
      </w:r>
      <w:r>
        <w:rPr>
          <w:spacing w:val="-4"/>
          <w:sz w:val="22"/>
        </w:rPr>
        <w:t>design</w:t>
      </w:r>
      <w:r>
        <w:rPr>
          <w:spacing w:val="-10"/>
          <w:sz w:val="22"/>
        </w:rPr>
        <w:t> </w:t>
      </w:r>
      <w:r>
        <w:rPr>
          <w:spacing w:val="-4"/>
          <w:sz w:val="22"/>
        </w:rPr>
        <w:t>specialised</w:t>
      </w:r>
      <w:r>
        <w:rPr>
          <w:spacing w:val="-10"/>
          <w:sz w:val="22"/>
        </w:rPr>
        <w:t> </w:t>
      </w:r>
      <w:r>
        <w:rPr>
          <w:spacing w:val="-4"/>
          <w:sz w:val="22"/>
        </w:rPr>
        <w:t>up-to-date</w:t>
      </w:r>
      <w:r>
        <w:rPr>
          <w:spacing w:val="-10"/>
          <w:sz w:val="22"/>
        </w:rPr>
        <w:t> </w:t>
      </w:r>
      <w:r>
        <w:rPr>
          <w:spacing w:val="-4"/>
          <w:sz w:val="22"/>
        </w:rPr>
        <w:t>courses</w:t>
      </w:r>
      <w:r>
        <w:rPr>
          <w:spacing w:val="-9"/>
          <w:sz w:val="22"/>
        </w:rPr>
        <w:t> </w:t>
      </w:r>
      <w:r>
        <w:rPr>
          <w:spacing w:val="-4"/>
          <w:sz w:val="22"/>
        </w:rPr>
        <w:t>and</w:t>
      </w:r>
      <w:r>
        <w:rPr>
          <w:spacing w:val="-10"/>
          <w:sz w:val="22"/>
        </w:rPr>
        <w:t> </w:t>
      </w:r>
      <w:r>
        <w:rPr>
          <w:spacing w:val="-4"/>
          <w:sz w:val="22"/>
        </w:rPr>
        <w:t>programs </w:t>
      </w:r>
      <w:r>
        <w:rPr>
          <w:sz w:val="22"/>
        </w:rPr>
        <w:t>on IPR and the process of creating faculty chairs</w:t>
      </w:r>
    </w:p>
    <w:p>
      <w:pPr>
        <w:pStyle w:val="BodyText"/>
        <w:spacing w:line="266" w:lineRule="auto" w:before="57"/>
        <w:ind w:left="679" w:right="1077"/>
        <w:jc w:val="both"/>
      </w:pPr>
      <w:r>
        <w:rPr/>
        <w:br w:type="column"/>
      </w:r>
      <w:r>
        <w:rPr/>
        <w:t>on the subject must also be intensified through better incentives for academia. Business schools also need to incorporate IPR dimensions in their </w:t>
      </w:r>
      <w:r>
        <w:rPr>
          <w:spacing w:val="-2"/>
        </w:rPr>
        <w:t>curricula.</w:t>
      </w:r>
    </w:p>
    <w:p>
      <w:pPr>
        <w:pStyle w:val="BodyText"/>
        <w:spacing w:before="24"/>
      </w:pPr>
    </w:p>
    <w:p>
      <w:pPr>
        <w:pStyle w:val="ListParagraph"/>
        <w:numPr>
          <w:ilvl w:val="1"/>
          <w:numId w:val="58"/>
        </w:numPr>
        <w:tabs>
          <w:tab w:pos="679" w:val="left" w:leader="none"/>
        </w:tabs>
        <w:spacing w:line="266" w:lineRule="auto" w:before="0" w:after="0"/>
        <w:ind w:left="679" w:right="1077" w:hanging="360"/>
        <w:jc w:val="both"/>
        <w:rPr>
          <w:sz w:val="22"/>
        </w:rPr>
      </w:pPr>
      <w:r>
        <w:rPr>
          <w:sz w:val="22"/>
        </w:rPr>
        <w:t>There</w:t>
      </w:r>
      <w:r>
        <w:rPr>
          <w:spacing w:val="-10"/>
          <w:sz w:val="22"/>
        </w:rPr>
        <w:t> </w:t>
      </w:r>
      <w:r>
        <w:rPr>
          <w:sz w:val="22"/>
        </w:rPr>
        <w:t>is</w:t>
      </w:r>
      <w:r>
        <w:rPr>
          <w:spacing w:val="-10"/>
          <w:sz w:val="22"/>
        </w:rPr>
        <w:t> </w:t>
      </w:r>
      <w:r>
        <w:rPr>
          <w:sz w:val="22"/>
        </w:rPr>
        <w:t>also</w:t>
      </w:r>
      <w:r>
        <w:rPr>
          <w:spacing w:val="-10"/>
          <w:sz w:val="22"/>
        </w:rPr>
        <w:t> </w:t>
      </w:r>
      <w:r>
        <w:rPr>
          <w:sz w:val="22"/>
        </w:rPr>
        <w:t>an</w:t>
      </w:r>
      <w:r>
        <w:rPr>
          <w:spacing w:val="-10"/>
          <w:sz w:val="22"/>
        </w:rPr>
        <w:t> </w:t>
      </w:r>
      <w:r>
        <w:rPr>
          <w:sz w:val="22"/>
        </w:rPr>
        <w:t>urgent</w:t>
      </w:r>
      <w:r>
        <w:rPr>
          <w:spacing w:val="-10"/>
          <w:sz w:val="22"/>
        </w:rPr>
        <w:t> </w:t>
      </w:r>
      <w:r>
        <w:rPr>
          <w:sz w:val="22"/>
        </w:rPr>
        <w:t>need</w:t>
      </w:r>
      <w:r>
        <w:rPr>
          <w:spacing w:val="-10"/>
          <w:sz w:val="22"/>
        </w:rPr>
        <w:t> </w:t>
      </w:r>
      <w:r>
        <w:rPr>
          <w:sz w:val="22"/>
        </w:rPr>
        <w:t>to</w:t>
      </w:r>
      <w:r>
        <w:rPr>
          <w:spacing w:val="-10"/>
          <w:sz w:val="22"/>
        </w:rPr>
        <w:t> </w:t>
      </w:r>
      <w:r>
        <w:rPr>
          <w:sz w:val="22"/>
        </w:rPr>
        <w:t>set</w:t>
      </w:r>
      <w:r>
        <w:rPr>
          <w:spacing w:val="-10"/>
          <w:sz w:val="22"/>
        </w:rPr>
        <w:t> </w:t>
      </w:r>
      <w:r>
        <w:rPr>
          <w:sz w:val="22"/>
        </w:rPr>
        <w:t>up</w:t>
      </w:r>
      <w:r>
        <w:rPr>
          <w:spacing w:val="-10"/>
          <w:sz w:val="22"/>
        </w:rPr>
        <w:t> </w:t>
      </w:r>
      <w:r>
        <w:rPr>
          <w:sz w:val="22"/>
        </w:rPr>
        <w:t>IPR</w:t>
      </w:r>
      <w:r>
        <w:rPr>
          <w:spacing w:val="-10"/>
          <w:sz w:val="22"/>
        </w:rPr>
        <w:t> </w:t>
      </w:r>
      <w:r>
        <w:rPr>
          <w:sz w:val="22"/>
        </w:rPr>
        <w:t>Cells</w:t>
      </w:r>
      <w:r>
        <w:rPr>
          <w:spacing w:val="-10"/>
          <w:sz w:val="22"/>
        </w:rPr>
        <w:t> </w:t>
      </w:r>
      <w:r>
        <w:rPr>
          <w:sz w:val="22"/>
        </w:rPr>
        <w:t>in major</w:t>
      </w:r>
      <w:r>
        <w:rPr>
          <w:spacing w:val="-14"/>
          <w:sz w:val="22"/>
        </w:rPr>
        <w:t> </w:t>
      </w:r>
      <w:r>
        <w:rPr>
          <w:sz w:val="22"/>
        </w:rPr>
        <w:t>scientific</w:t>
      </w:r>
      <w:r>
        <w:rPr>
          <w:spacing w:val="-14"/>
          <w:sz w:val="22"/>
        </w:rPr>
        <w:t> </w:t>
      </w:r>
      <w:r>
        <w:rPr>
          <w:sz w:val="22"/>
        </w:rPr>
        <w:t>and</w:t>
      </w:r>
      <w:r>
        <w:rPr>
          <w:spacing w:val="-14"/>
          <w:sz w:val="22"/>
        </w:rPr>
        <w:t> </w:t>
      </w:r>
      <w:r>
        <w:rPr>
          <w:sz w:val="22"/>
        </w:rPr>
        <w:t>educational</w:t>
      </w:r>
      <w:r>
        <w:rPr>
          <w:spacing w:val="-13"/>
          <w:sz w:val="22"/>
        </w:rPr>
        <w:t> </w:t>
      </w:r>
      <w:r>
        <w:rPr>
          <w:sz w:val="22"/>
        </w:rPr>
        <w:t>institutions</w:t>
      </w:r>
      <w:r>
        <w:rPr>
          <w:spacing w:val="-14"/>
          <w:sz w:val="22"/>
        </w:rPr>
        <w:t> </w:t>
      </w:r>
      <w:r>
        <w:rPr>
          <w:sz w:val="22"/>
        </w:rPr>
        <w:t>in</w:t>
      </w:r>
      <w:r>
        <w:rPr>
          <w:spacing w:val="-14"/>
          <w:sz w:val="22"/>
        </w:rPr>
        <w:t> </w:t>
      </w:r>
      <w:r>
        <w:rPr>
          <w:sz w:val="22"/>
        </w:rPr>
        <w:t>the country with trained staff, competent in the law and technical aspects of relevant disciplines.</w:t>
      </w:r>
    </w:p>
    <w:p>
      <w:pPr>
        <w:pStyle w:val="BodyText"/>
        <w:spacing w:before="9"/>
      </w:pPr>
    </w:p>
    <w:p>
      <w:pPr>
        <w:pStyle w:val="Heading6"/>
        <w:numPr>
          <w:ilvl w:val="0"/>
          <w:numId w:val="58"/>
        </w:numPr>
        <w:tabs>
          <w:tab w:pos="724" w:val="left" w:leader="none"/>
        </w:tabs>
        <w:spacing w:line="208" w:lineRule="auto" w:before="0" w:after="0"/>
        <w:ind w:left="724" w:right="1770" w:hanging="405"/>
        <w:jc w:val="left"/>
      </w:pPr>
      <w:r>
        <w:rPr>
          <w:color w:val="2E614A"/>
        </w:rPr>
        <w:t>Establishment</w:t>
      </w:r>
      <w:r>
        <w:rPr>
          <w:color w:val="2E614A"/>
          <w:spacing w:val="-17"/>
        </w:rPr>
        <w:t> </w:t>
      </w:r>
      <w:r>
        <w:rPr>
          <w:color w:val="2E614A"/>
        </w:rPr>
        <w:t>of</w:t>
      </w:r>
      <w:r>
        <w:rPr>
          <w:color w:val="2E614A"/>
          <w:spacing w:val="-17"/>
        </w:rPr>
        <w:t> </w:t>
      </w:r>
      <w:r>
        <w:rPr>
          <w:color w:val="2E614A"/>
        </w:rPr>
        <w:t>A</w:t>
      </w:r>
      <w:r>
        <w:rPr>
          <w:color w:val="2E614A"/>
          <w:spacing w:val="-17"/>
        </w:rPr>
        <w:t> </w:t>
      </w:r>
      <w:r>
        <w:rPr>
          <w:color w:val="2E614A"/>
        </w:rPr>
        <w:t>New </w:t>
      </w:r>
      <w:r>
        <w:rPr>
          <w:color w:val="2E614A"/>
          <w:spacing w:val="-10"/>
        </w:rPr>
        <w:t>Institution</w:t>
      </w:r>
      <w:r>
        <w:rPr>
          <w:color w:val="2E614A"/>
          <w:spacing w:val="-7"/>
        </w:rPr>
        <w:t> </w:t>
      </w:r>
      <w:r>
        <w:rPr>
          <w:color w:val="2E614A"/>
          <w:spacing w:val="-10"/>
        </w:rPr>
        <w:t>for</w:t>
      </w:r>
      <w:r>
        <w:rPr>
          <w:color w:val="2E614A"/>
          <w:spacing w:val="-7"/>
        </w:rPr>
        <w:t> </w:t>
      </w:r>
      <w:r>
        <w:rPr>
          <w:color w:val="2E614A"/>
          <w:spacing w:val="-10"/>
        </w:rPr>
        <w:t>Cutting </w:t>
      </w:r>
      <w:r>
        <w:rPr>
          <w:color w:val="2E614A"/>
          <w:spacing w:val="-10"/>
        </w:rPr>
        <w:t>Edge </w:t>
      </w:r>
      <w:r>
        <w:rPr>
          <w:color w:val="2E614A"/>
        </w:rPr>
        <w:t>Policy</w:t>
      </w:r>
      <w:r>
        <w:rPr>
          <w:color w:val="2E614A"/>
          <w:spacing w:val="-20"/>
        </w:rPr>
        <w:t> </w:t>
      </w:r>
      <w:r>
        <w:rPr>
          <w:color w:val="2E614A"/>
        </w:rPr>
        <w:t>Expertise</w:t>
      </w:r>
    </w:p>
    <w:p>
      <w:pPr>
        <w:pStyle w:val="ListParagraph"/>
        <w:numPr>
          <w:ilvl w:val="1"/>
          <w:numId w:val="58"/>
        </w:numPr>
        <w:tabs>
          <w:tab w:pos="679" w:val="left" w:leader="none"/>
        </w:tabs>
        <w:spacing w:line="266" w:lineRule="auto" w:before="195" w:after="0"/>
        <w:ind w:left="679" w:right="1077" w:hanging="360"/>
        <w:jc w:val="both"/>
        <w:rPr>
          <w:sz w:val="22"/>
        </w:rPr>
      </w:pPr>
      <w:r>
        <w:rPr>
          <w:sz w:val="22"/>
        </w:rPr>
        <w:t>The sheer complexity and scale of IPR </w:t>
      </w:r>
      <w:r>
        <w:rPr>
          <w:sz w:val="22"/>
        </w:rPr>
        <w:t>capacity </w:t>
      </w:r>
      <w:r>
        <w:rPr>
          <w:spacing w:val="-2"/>
          <w:sz w:val="22"/>
        </w:rPr>
        <w:t>building</w:t>
      </w:r>
      <w:r>
        <w:rPr>
          <w:spacing w:val="-12"/>
          <w:sz w:val="22"/>
        </w:rPr>
        <w:t> </w:t>
      </w:r>
      <w:r>
        <w:rPr>
          <w:spacing w:val="-2"/>
          <w:sz w:val="22"/>
        </w:rPr>
        <w:t>for</w:t>
      </w:r>
      <w:r>
        <w:rPr>
          <w:spacing w:val="-12"/>
          <w:sz w:val="22"/>
        </w:rPr>
        <w:t> </w:t>
      </w:r>
      <w:r>
        <w:rPr>
          <w:spacing w:val="-2"/>
          <w:sz w:val="22"/>
        </w:rPr>
        <w:t>the</w:t>
      </w:r>
      <w:r>
        <w:rPr>
          <w:spacing w:val="-12"/>
          <w:sz w:val="22"/>
        </w:rPr>
        <w:t> </w:t>
      </w:r>
      <w:r>
        <w:rPr>
          <w:spacing w:val="-2"/>
          <w:sz w:val="22"/>
        </w:rPr>
        <w:t>21</w:t>
      </w:r>
      <w:r>
        <w:rPr>
          <w:spacing w:val="-2"/>
          <w:position w:val="7"/>
          <w:sz w:val="13"/>
        </w:rPr>
        <w:t>st</w:t>
      </w:r>
      <w:r>
        <w:rPr>
          <w:spacing w:val="-6"/>
          <w:position w:val="7"/>
          <w:sz w:val="13"/>
        </w:rPr>
        <w:t> </w:t>
      </w:r>
      <w:r>
        <w:rPr>
          <w:spacing w:val="-2"/>
          <w:sz w:val="22"/>
        </w:rPr>
        <w:t>century</w:t>
      </w:r>
      <w:r>
        <w:rPr>
          <w:spacing w:val="-12"/>
          <w:sz w:val="22"/>
        </w:rPr>
        <w:t> </w:t>
      </w:r>
      <w:r>
        <w:rPr>
          <w:spacing w:val="-2"/>
          <w:sz w:val="22"/>
        </w:rPr>
        <w:t>require</w:t>
      </w:r>
      <w:r>
        <w:rPr>
          <w:spacing w:val="-11"/>
          <w:sz w:val="22"/>
        </w:rPr>
        <w:t> </w:t>
      </w:r>
      <w:r>
        <w:rPr>
          <w:spacing w:val="-2"/>
          <w:sz w:val="22"/>
        </w:rPr>
        <w:t>an</w:t>
      </w:r>
      <w:r>
        <w:rPr>
          <w:spacing w:val="-12"/>
          <w:sz w:val="22"/>
        </w:rPr>
        <w:t> </w:t>
      </w:r>
      <w:r>
        <w:rPr>
          <w:spacing w:val="-2"/>
          <w:sz w:val="22"/>
        </w:rPr>
        <w:t>independent </w:t>
      </w:r>
      <w:r>
        <w:rPr>
          <w:sz w:val="22"/>
        </w:rPr>
        <w:t>world-class institute exclusively devoted to the field of IP. Once established, a National Institute of Intellectual Property Management (NIIPM), located in New Delhi, would be responsible for imparting training on a regular basis to various stakeholders, conducting cutting edge research</w:t>
      </w:r>
      <w:r>
        <w:rPr>
          <w:i/>
          <w:sz w:val="22"/>
        </w:rPr>
        <w:t>, </w:t>
      </w:r>
      <w:r>
        <w:rPr>
          <w:spacing w:val="-4"/>
          <w:sz w:val="22"/>
        </w:rPr>
        <w:t>serving</w:t>
      </w:r>
      <w:r>
        <w:rPr>
          <w:spacing w:val="-7"/>
          <w:sz w:val="22"/>
        </w:rPr>
        <w:t> </w:t>
      </w:r>
      <w:r>
        <w:rPr>
          <w:spacing w:val="-4"/>
          <w:sz w:val="22"/>
        </w:rPr>
        <w:t>as</w:t>
      </w:r>
      <w:r>
        <w:rPr>
          <w:spacing w:val="-7"/>
          <w:sz w:val="22"/>
        </w:rPr>
        <w:t> </w:t>
      </w:r>
      <w:r>
        <w:rPr>
          <w:spacing w:val="-4"/>
          <w:sz w:val="22"/>
        </w:rPr>
        <w:t>a</w:t>
      </w:r>
      <w:r>
        <w:rPr>
          <w:spacing w:val="-7"/>
          <w:sz w:val="22"/>
        </w:rPr>
        <w:t> </w:t>
      </w:r>
      <w:r>
        <w:rPr>
          <w:spacing w:val="-4"/>
          <w:sz w:val="22"/>
        </w:rPr>
        <w:t>think</w:t>
      </w:r>
      <w:r>
        <w:rPr>
          <w:spacing w:val="-7"/>
          <w:sz w:val="22"/>
        </w:rPr>
        <w:t> </w:t>
      </w:r>
      <w:r>
        <w:rPr>
          <w:spacing w:val="-4"/>
          <w:sz w:val="22"/>
        </w:rPr>
        <w:t>tank</w:t>
      </w:r>
      <w:r>
        <w:rPr>
          <w:spacing w:val="-7"/>
          <w:sz w:val="22"/>
        </w:rPr>
        <w:t> </w:t>
      </w:r>
      <w:r>
        <w:rPr>
          <w:spacing w:val="-4"/>
          <w:sz w:val="22"/>
        </w:rPr>
        <w:t>to</w:t>
      </w:r>
      <w:r>
        <w:rPr>
          <w:spacing w:val="-7"/>
          <w:sz w:val="22"/>
        </w:rPr>
        <w:t> </w:t>
      </w:r>
      <w:r>
        <w:rPr>
          <w:spacing w:val="-4"/>
          <w:sz w:val="22"/>
        </w:rPr>
        <w:t>advise</w:t>
      </w:r>
      <w:r>
        <w:rPr>
          <w:spacing w:val="-7"/>
          <w:sz w:val="22"/>
        </w:rPr>
        <w:t> </w:t>
      </w:r>
      <w:r>
        <w:rPr>
          <w:spacing w:val="-4"/>
          <w:sz w:val="22"/>
        </w:rPr>
        <w:t>the</w:t>
      </w:r>
      <w:r>
        <w:rPr>
          <w:spacing w:val="-7"/>
          <w:sz w:val="22"/>
        </w:rPr>
        <w:t> </w:t>
      </w:r>
      <w:r>
        <w:rPr>
          <w:spacing w:val="-4"/>
          <w:sz w:val="22"/>
        </w:rPr>
        <w:t>government</w:t>
      </w:r>
      <w:r>
        <w:rPr>
          <w:spacing w:val="-7"/>
          <w:sz w:val="22"/>
        </w:rPr>
        <w:t> </w:t>
      </w:r>
      <w:r>
        <w:rPr>
          <w:spacing w:val="-4"/>
          <w:sz w:val="22"/>
        </w:rPr>
        <w:t>on </w:t>
      </w:r>
      <w:r>
        <w:rPr>
          <w:spacing w:val="-2"/>
          <w:sz w:val="22"/>
        </w:rPr>
        <w:t>IPR</w:t>
      </w:r>
      <w:r>
        <w:rPr>
          <w:spacing w:val="-7"/>
          <w:sz w:val="22"/>
        </w:rPr>
        <w:t> </w:t>
      </w:r>
      <w:r>
        <w:rPr>
          <w:spacing w:val="-2"/>
          <w:sz w:val="22"/>
        </w:rPr>
        <w:t>issues</w:t>
      </w:r>
      <w:r>
        <w:rPr>
          <w:spacing w:val="-7"/>
          <w:sz w:val="22"/>
        </w:rPr>
        <w:t> </w:t>
      </w:r>
      <w:r>
        <w:rPr>
          <w:spacing w:val="-2"/>
          <w:sz w:val="22"/>
        </w:rPr>
        <w:t>as</w:t>
      </w:r>
      <w:r>
        <w:rPr>
          <w:spacing w:val="-7"/>
          <w:sz w:val="22"/>
        </w:rPr>
        <w:t> </w:t>
      </w:r>
      <w:r>
        <w:rPr>
          <w:spacing w:val="-2"/>
          <w:sz w:val="22"/>
        </w:rPr>
        <w:t>well</w:t>
      </w:r>
      <w:r>
        <w:rPr>
          <w:spacing w:val="-7"/>
          <w:sz w:val="22"/>
        </w:rPr>
        <w:t> </w:t>
      </w:r>
      <w:r>
        <w:rPr>
          <w:spacing w:val="-2"/>
          <w:sz w:val="22"/>
        </w:rPr>
        <w:t>as</w:t>
      </w:r>
      <w:r>
        <w:rPr>
          <w:spacing w:val="-7"/>
          <w:sz w:val="22"/>
        </w:rPr>
        <w:t> </w:t>
      </w:r>
      <w:r>
        <w:rPr>
          <w:spacing w:val="-2"/>
          <w:sz w:val="22"/>
        </w:rPr>
        <w:t>conducting</w:t>
      </w:r>
      <w:r>
        <w:rPr>
          <w:spacing w:val="-7"/>
          <w:sz w:val="22"/>
        </w:rPr>
        <w:t> </w:t>
      </w:r>
      <w:r>
        <w:rPr>
          <w:spacing w:val="-2"/>
          <w:sz w:val="22"/>
        </w:rPr>
        <w:t>public</w:t>
      </w:r>
      <w:r>
        <w:rPr>
          <w:spacing w:val="-7"/>
          <w:sz w:val="22"/>
        </w:rPr>
        <w:t> </w:t>
      </w:r>
      <w:r>
        <w:rPr>
          <w:spacing w:val="-2"/>
          <w:sz w:val="22"/>
        </w:rPr>
        <w:t>awareness </w:t>
      </w:r>
      <w:r>
        <w:rPr>
          <w:sz w:val="22"/>
        </w:rPr>
        <w:t>on IPR. Crucial parameters to set up the NIIPM include the establishment of an infrastructure of international standards, development of human resource</w:t>
      </w:r>
      <w:r>
        <w:rPr>
          <w:spacing w:val="-12"/>
          <w:sz w:val="22"/>
        </w:rPr>
        <w:t> </w:t>
      </w:r>
      <w:r>
        <w:rPr>
          <w:sz w:val="22"/>
        </w:rPr>
        <w:t>expertise</w:t>
      </w:r>
      <w:r>
        <w:rPr>
          <w:spacing w:val="-12"/>
          <w:sz w:val="22"/>
        </w:rPr>
        <w:t> </w:t>
      </w:r>
      <w:r>
        <w:rPr>
          <w:sz w:val="22"/>
        </w:rPr>
        <w:t>and</w:t>
      </w:r>
      <w:r>
        <w:rPr>
          <w:spacing w:val="-12"/>
          <w:sz w:val="22"/>
        </w:rPr>
        <w:t> </w:t>
      </w:r>
      <w:r>
        <w:rPr>
          <w:sz w:val="22"/>
        </w:rPr>
        <w:t>aspects</w:t>
      </w:r>
      <w:r>
        <w:rPr>
          <w:spacing w:val="-12"/>
          <w:sz w:val="22"/>
        </w:rPr>
        <w:t> </w:t>
      </w:r>
      <w:r>
        <w:rPr>
          <w:sz w:val="22"/>
        </w:rPr>
        <w:t>relating</w:t>
      </w:r>
      <w:r>
        <w:rPr>
          <w:spacing w:val="-12"/>
          <w:sz w:val="22"/>
        </w:rPr>
        <w:t> </w:t>
      </w:r>
      <w:r>
        <w:rPr>
          <w:sz w:val="22"/>
        </w:rPr>
        <w:t>to</w:t>
      </w:r>
      <w:r>
        <w:rPr>
          <w:spacing w:val="-12"/>
          <w:sz w:val="22"/>
        </w:rPr>
        <w:t> </w:t>
      </w:r>
      <w:r>
        <w:rPr>
          <w:sz w:val="22"/>
        </w:rPr>
        <w:t>finance. Initially, the NIIPM could be funded by the central government. Gradually through public </w:t>
      </w:r>
      <w:r>
        <w:rPr>
          <w:spacing w:val="-2"/>
          <w:sz w:val="22"/>
        </w:rPr>
        <w:t>private</w:t>
      </w:r>
      <w:r>
        <w:rPr>
          <w:spacing w:val="-8"/>
          <w:sz w:val="22"/>
        </w:rPr>
        <w:t> </w:t>
      </w:r>
      <w:r>
        <w:rPr>
          <w:spacing w:val="-2"/>
          <w:sz w:val="22"/>
        </w:rPr>
        <w:t>partnerships</w:t>
      </w:r>
      <w:r>
        <w:rPr>
          <w:spacing w:val="-8"/>
          <w:sz w:val="22"/>
        </w:rPr>
        <w:t> </w:t>
      </w:r>
      <w:r>
        <w:rPr>
          <w:spacing w:val="-2"/>
          <w:sz w:val="22"/>
        </w:rPr>
        <w:t>and</w:t>
      </w:r>
      <w:r>
        <w:rPr>
          <w:spacing w:val="-8"/>
          <w:sz w:val="22"/>
        </w:rPr>
        <w:t> </w:t>
      </w:r>
      <w:r>
        <w:rPr>
          <w:spacing w:val="-2"/>
          <w:sz w:val="22"/>
        </w:rPr>
        <w:t>other</w:t>
      </w:r>
      <w:r>
        <w:rPr>
          <w:spacing w:val="-8"/>
          <w:sz w:val="22"/>
        </w:rPr>
        <w:t> </w:t>
      </w:r>
      <w:r>
        <w:rPr>
          <w:spacing w:val="-2"/>
          <w:sz w:val="22"/>
        </w:rPr>
        <w:t>innovative</w:t>
      </w:r>
      <w:r>
        <w:rPr>
          <w:spacing w:val="-8"/>
          <w:sz w:val="22"/>
        </w:rPr>
        <w:t> </w:t>
      </w:r>
      <w:r>
        <w:rPr>
          <w:spacing w:val="-2"/>
          <w:sz w:val="22"/>
        </w:rPr>
        <w:t>financial </w:t>
      </w:r>
      <w:r>
        <w:rPr>
          <w:sz w:val="22"/>
        </w:rPr>
        <w:t>mechanisms,</w:t>
      </w:r>
      <w:r>
        <w:rPr>
          <w:spacing w:val="-10"/>
          <w:sz w:val="22"/>
        </w:rPr>
        <w:t> </w:t>
      </w:r>
      <w:r>
        <w:rPr>
          <w:sz w:val="22"/>
        </w:rPr>
        <w:t>the</w:t>
      </w:r>
      <w:r>
        <w:rPr>
          <w:spacing w:val="-10"/>
          <w:sz w:val="22"/>
        </w:rPr>
        <w:t> </w:t>
      </w:r>
      <w:r>
        <w:rPr>
          <w:sz w:val="22"/>
        </w:rPr>
        <w:t>revenue</w:t>
      </w:r>
      <w:r>
        <w:rPr>
          <w:spacing w:val="-10"/>
          <w:sz w:val="22"/>
        </w:rPr>
        <w:t> </w:t>
      </w:r>
      <w:r>
        <w:rPr>
          <w:sz w:val="22"/>
        </w:rPr>
        <w:t>generated</w:t>
      </w:r>
      <w:r>
        <w:rPr>
          <w:spacing w:val="-10"/>
          <w:sz w:val="22"/>
        </w:rPr>
        <w:t> </w:t>
      </w:r>
      <w:r>
        <w:rPr>
          <w:sz w:val="22"/>
        </w:rPr>
        <w:t>from</w:t>
      </w:r>
      <w:r>
        <w:rPr>
          <w:spacing w:val="-10"/>
          <w:sz w:val="22"/>
        </w:rPr>
        <w:t> </w:t>
      </w:r>
      <w:r>
        <w:rPr>
          <w:sz w:val="22"/>
        </w:rPr>
        <w:t>training </w:t>
      </w:r>
      <w:r>
        <w:rPr>
          <w:spacing w:val="-4"/>
          <w:sz w:val="22"/>
        </w:rPr>
        <w:t>programs</w:t>
      </w:r>
      <w:r>
        <w:rPr>
          <w:spacing w:val="-5"/>
          <w:sz w:val="22"/>
        </w:rPr>
        <w:t> </w:t>
      </w:r>
      <w:r>
        <w:rPr>
          <w:spacing w:val="-4"/>
          <w:sz w:val="22"/>
        </w:rPr>
        <w:t>would aim at ensuring self-sufficiency in </w:t>
      </w:r>
      <w:r>
        <w:rPr>
          <w:sz w:val="22"/>
        </w:rPr>
        <w:t>the long run. The mandate of such an institution </w:t>
      </w:r>
      <w:r>
        <w:rPr>
          <w:spacing w:val="-6"/>
          <w:sz w:val="22"/>
        </w:rPr>
        <w:t>must</w:t>
      </w:r>
      <w:r>
        <w:rPr>
          <w:spacing w:val="-8"/>
          <w:sz w:val="22"/>
        </w:rPr>
        <w:t> </w:t>
      </w:r>
      <w:r>
        <w:rPr>
          <w:spacing w:val="-6"/>
          <w:sz w:val="22"/>
        </w:rPr>
        <w:t>involve</w:t>
      </w:r>
      <w:r>
        <w:rPr>
          <w:spacing w:val="-8"/>
          <w:sz w:val="22"/>
        </w:rPr>
        <w:t> </w:t>
      </w:r>
      <w:r>
        <w:rPr>
          <w:spacing w:val="-6"/>
          <w:sz w:val="22"/>
        </w:rPr>
        <w:t>policy</w:t>
      </w:r>
      <w:r>
        <w:rPr>
          <w:spacing w:val="-8"/>
          <w:sz w:val="22"/>
        </w:rPr>
        <w:t> </w:t>
      </w:r>
      <w:r>
        <w:rPr>
          <w:spacing w:val="-6"/>
          <w:sz w:val="22"/>
        </w:rPr>
        <w:t>research</w:t>
      </w:r>
      <w:r>
        <w:rPr>
          <w:spacing w:val="-7"/>
          <w:sz w:val="22"/>
        </w:rPr>
        <w:t> </w:t>
      </w:r>
      <w:r>
        <w:rPr>
          <w:spacing w:val="-6"/>
          <w:sz w:val="22"/>
        </w:rPr>
        <w:t>on</w:t>
      </w:r>
      <w:r>
        <w:rPr>
          <w:spacing w:val="-8"/>
          <w:sz w:val="22"/>
        </w:rPr>
        <w:t> </w:t>
      </w:r>
      <w:r>
        <w:rPr>
          <w:spacing w:val="-6"/>
          <w:sz w:val="22"/>
        </w:rPr>
        <w:t>the</w:t>
      </w:r>
      <w:r>
        <w:rPr>
          <w:spacing w:val="-8"/>
          <w:sz w:val="22"/>
        </w:rPr>
        <w:t> </w:t>
      </w:r>
      <w:r>
        <w:rPr>
          <w:spacing w:val="-6"/>
          <w:sz w:val="22"/>
        </w:rPr>
        <w:t>procedures</w:t>
      </w:r>
      <w:r>
        <w:rPr>
          <w:spacing w:val="-8"/>
          <w:sz w:val="22"/>
        </w:rPr>
        <w:t> </w:t>
      </w:r>
      <w:r>
        <w:rPr>
          <w:spacing w:val="-6"/>
          <w:sz w:val="22"/>
        </w:rPr>
        <w:t>to</w:t>
      </w:r>
      <w:r>
        <w:rPr>
          <w:spacing w:val="-7"/>
          <w:sz w:val="22"/>
        </w:rPr>
        <w:t> </w:t>
      </w:r>
      <w:r>
        <w:rPr>
          <w:spacing w:val="-6"/>
          <w:sz w:val="22"/>
        </w:rPr>
        <w:t>be adopted for patent examination so as to yield crucial input</w:t>
      </w:r>
      <w:r>
        <w:rPr>
          <w:spacing w:val="-8"/>
          <w:sz w:val="22"/>
        </w:rPr>
        <w:t> </w:t>
      </w:r>
      <w:r>
        <w:rPr>
          <w:spacing w:val="-6"/>
          <w:sz w:val="22"/>
        </w:rPr>
        <w:t>for</w:t>
      </w:r>
      <w:r>
        <w:rPr>
          <w:spacing w:val="-8"/>
          <w:sz w:val="22"/>
        </w:rPr>
        <w:t> </w:t>
      </w:r>
      <w:r>
        <w:rPr>
          <w:spacing w:val="-6"/>
          <w:sz w:val="22"/>
        </w:rPr>
        <w:t>periodic</w:t>
      </w:r>
      <w:r>
        <w:rPr>
          <w:spacing w:val="-8"/>
          <w:sz w:val="22"/>
        </w:rPr>
        <w:t> </w:t>
      </w:r>
      <w:r>
        <w:rPr>
          <w:spacing w:val="-6"/>
          <w:sz w:val="22"/>
        </w:rPr>
        <w:t>revision</w:t>
      </w:r>
      <w:r>
        <w:rPr>
          <w:spacing w:val="-7"/>
          <w:sz w:val="22"/>
        </w:rPr>
        <w:t> </w:t>
      </w:r>
      <w:r>
        <w:rPr>
          <w:spacing w:val="-6"/>
          <w:sz w:val="22"/>
        </w:rPr>
        <w:t>of</w:t>
      </w:r>
      <w:r>
        <w:rPr>
          <w:spacing w:val="-8"/>
          <w:sz w:val="22"/>
        </w:rPr>
        <w:t> </w:t>
      </w:r>
      <w:r>
        <w:rPr>
          <w:spacing w:val="-6"/>
          <w:sz w:val="22"/>
        </w:rPr>
        <w:t>these</w:t>
      </w:r>
      <w:r>
        <w:rPr>
          <w:spacing w:val="-8"/>
          <w:sz w:val="22"/>
        </w:rPr>
        <w:t> </w:t>
      </w:r>
      <w:r>
        <w:rPr>
          <w:spacing w:val="-6"/>
          <w:sz w:val="22"/>
        </w:rPr>
        <w:t>procedures.</w:t>
      </w:r>
      <w:r>
        <w:rPr>
          <w:spacing w:val="-8"/>
          <w:sz w:val="22"/>
        </w:rPr>
        <w:t> </w:t>
      </w:r>
      <w:r>
        <w:rPr>
          <w:spacing w:val="-6"/>
          <w:sz w:val="22"/>
        </w:rPr>
        <w:t>Also, </w:t>
      </w:r>
      <w:r>
        <w:rPr>
          <w:spacing w:val="-4"/>
          <w:sz w:val="22"/>
        </w:rPr>
        <w:t>this</w:t>
      </w:r>
      <w:r>
        <w:rPr>
          <w:spacing w:val="-7"/>
          <w:sz w:val="22"/>
        </w:rPr>
        <w:t> </w:t>
      </w:r>
      <w:r>
        <w:rPr>
          <w:spacing w:val="-4"/>
          <w:sz w:val="22"/>
        </w:rPr>
        <w:t>mandate</w:t>
      </w:r>
      <w:r>
        <w:rPr>
          <w:spacing w:val="-7"/>
          <w:sz w:val="22"/>
        </w:rPr>
        <w:t> </w:t>
      </w:r>
      <w:r>
        <w:rPr>
          <w:spacing w:val="-4"/>
          <w:sz w:val="22"/>
        </w:rPr>
        <w:t>must</w:t>
      </w:r>
      <w:r>
        <w:rPr>
          <w:spacing w:val="-7"/>
          <w:sz w:val="22"/>
        </w:rPr>
        <w:t> </w:t>
      </w:r>
      <w:r>
        <w:rPr>
          <w:spacing w:val="-4"/>
          <w:sz w:val="22"/>
        </w:rPr>
        <w:t>transcend</w:t>
      </w:r>
      <w:r>
        <w:rPr>
          <w:spacing w:val="-7"/>
          <w:sz w:val="22"/>
        </w:rPr>
        <w:t> </w:t>
      </w:r>
      <w:r>
        <w:rPr>
          <w:spacing w:val="-4"/>
          <w:sz w:val="22"/>
        </w:rPr>
        <w:t>the</w:t>
      </w:r>
      <w:r>
        <w:rPr>
          <w:spacing w:val="-7"/>
          <w:sz w:val="22"/>
        </w:rPr>
        <w:t> </w:t>
      </w:r>
      <w:r>
        <w:rPr>
          <w:spacing w:val="-4"/>
          <w:sz w:val="22"/>
        </w:rPr>
        <w:t>limited</w:t>
      </w:r>
      <w:r>
        <w:rPr>
          <w:spacing w:val="-7"/>
          <w:sz w:val="22"/>
        </w:rPr>
        <w:t> </w:t>
      </w:r>
      <w:r>
        <w:rPr>
          <w:spacing w:val="-4"/>
          <w:sz w:val="22"/>
        </w:rPr>
        <w:t>purview</w:t>
      </w:r>
      <w:r>
        <w:rPr>
          <w:spacing w:val="-7"/>
          <w:sz w:val="22"/>
        </w:rPr>
        <w:t> </w:t>
      </w:r>
      <w:r>
        <w:rPr>
          <w:spacing w:val="-4"/>
          <w:sz w:val="22"/>
        </w:rPr>
        <w:t>of the</w:t>
      </w:r>
      <w:r>
        <w:rPr>
          <w:spacing w:val="-5"/>
          <w:sz w:val="22"/>
        </w:rPr>
        <w:t> </w:t>
      </w:r>
      <w:r>
        <w:rPr>
          <w:spacing w:val="-4"/>
          <w:sz w:val="22"/>
        </w:rPr>
        <w:t>patent-oriented</w:t>
      </w:r>
      <w:r>
        <w:rPr>
          <w:spacing w:val="-5"/>
          <w:sz w:val="22"/>
        </w:rPr>
        <w:t> </w:t>
      </w:r>
      <w:r>
        <w:rPr>
          <w:spacing w:val="-4"/>
          <w:sz w:val="22"/>
        </w:rPr>
        <w:t>process</w:t>
      </w:r>
      <w:r>
        <w:rPr>
          <w:spacing w:val="-5"/>
          <w:sz w:val="22"/>
        </w:rPr>
        <w:t> </w:t>
      </w:r>
      <w:r>
        <w:rPr>
          <w:spacing w:val="-4"/>
          <w:sz w:val="22"/>
        </w:rPr>
        <w:t>for</w:t>
      </w:r>
      <w:r>
        <w:rPr>
          <w:spacing w:val="-5"/>
          <w:sz w:val="22"/>
        </w:rPr>
        <w:t> </w:t>
      </w:r>
      <w:r>
        <w:rPr>
          <w:spacing w:val="-4"/>
          <w:sz w:val="22"/>
        </w:rPr>
        <w:t>intellectual</w:t>
      </w:r>
      <w:r>
        <w:rPr>
          <w:spacing w:val="-5"/>
          <w:sz w:val="22"/>
        </w:rPr>
        <w:t> </w:t>
      </w:r>
      <w:r>
        <w:rPr>
          <w:spacing w:val="-4"/>
          <w:sz w:val="22"/>
        </w:rPr>
        <w:t>property </w:t>
      </w:r>
      <w:r>
        <w:rPr>
          <w:spacing w:val="-6"/>
          <w:sz w:val="22"/>
        </w:rPr>
        <w:t>management and must address itself innovatively to systematic exploration of other modalities for social </w:t>
      </w:r>
      <w:r>
        <w:rPr>
          <w:sz w:val="22"/>
        </w:rPr>
        <w:t>utilisation of knowledge and inventions through structures such as copyrights and commons.</w:t>
      </w:r>
    </w:p>
    <w:p>
      <w:pPr>
        <w:pStyle w:val="BodyText"/>
        <w:spacing w:before="78"/>
      </w:pPr>
    </w:p>
    <w:p>
      <w:pPr>
        <w:pStyle w:val="Heading6"/>
        <w:numPr>
          <w:ilvl w:val="0"/>
          <w:numId w:val="58"/>
        </w:numPr>
        <w:tabs>
          <w:tab w:pos="724" w:val="left" w:leader="none"/>
        </w:tabs>
        <w:spacing w:line="208" w:lineRule="auto" w:before="1" w:after="0"/>
        <w:ind w:left="724" w:right="1336" w:hanging="405"/>
        <w:jc w:val="left"/>
      </w:pPr>
      <w:r>
        <w:rPr>
          <w:color w:val="2E614A"/>
          <w:spacing w:val="-4"/>
        </w:rPr>
        <w:t>IPR</w:t>
      </w:r>
      <w:r>
        <w:rPr>
          <w:color w:val="2E614A"/>
          <w:spacing w:val="-16"/>
        </w:rPr>
        <w:t> </w:t>
      </w:r>
      <w:r>
        <w:rPr>
          <w:color w:val="2E614A"/>
          <w:spacing w:val="-4"/>
        </w:rPr>
        <w:t>Tribunal,</w:t>
      </w:r>
      <w:r>
        <w:rPr>
          <w:color w:val="2E614A"/>
          <w:spacing w:val="-16"/>
        </w:rPr>
        <w:t> </w:t>
      </w:r>
      <w:r>
        <w:rPr>
          <w:color w:val="2E614A"/>
          <w:spacing w:val="-4"/>
        </w:rPr>
        <w:t>Special</w:t>
      </w:r>
      <w:r>
        <w:rPr>
          <w:color w:val="2E614A"/>
          <w:spacing w:val="-16"/>
        </w:rPr>
        <w:t> </w:t>
      </w:r>
      <w:r>
        <w:rPr>
          <w:color w:val="2E614A"/>
          <w:spacing w:val="-4"/>
        </w:rPr>
        <w:t>Rules</w:t>
      </w:r>
      <w:r>
        <w:rPr>
          <w:color w:val="2E614A"/>
          <w:spacing w:val="-16"/>
        </w:rPr>
        <w:t> </w:t>
      </w:r>
      <w:r>
        <w:rPr>
          <w:color w:val="2E614A"/>
          <w:spacing w:val="-4"/>
        </w:rPr>
        <w:t>of </w:t>
      </w:r>
      <w:r>
        <w:rPr>
          <w:color w:val="2E614A"/>
          <w:w w:val="90"/>
        </w:rPr>
        <w:t>Procedure</w:t>
      </w:r>
      <w:r>
        <w:rPr>
          <w:color w:val="2E614A"/>
          <w:spacing w:val="-12"/>
          <w:w w:val="90"/>
        </w:rPr>
        <w:t> </w:t>
      </w:r>
      <w:r>
        <w:rPr>
          <w:color w:val="2E614A"/>
          <w:w w:val="90"/>
        </w:rPr>
        <w:t>and</w:t>
      </w:r>
      <w:r>
        <w:rPr>
          <w:color w:val="2E614A"/>
          <w:spacing w:val="-12"/>
          <w:w w:val="90"/>
        </w:rPr>
        <w:t> </w:t>
      </w:r>
      <w:r>
        <w:rPr>
          <w:color w:val="2E614A"/>
          <w:w w:val="90"/>
        </w:rPr>
        <w:t>Judicial</w:t>
      </w:r>
      <w:r>
        <w:rPr>
          <w:color w:val="2E614A"/>
          <w:spacing w:val="-5"/>
          <w:w w:val="90"/>
        </w:rPr>
        <w:t> </w:t>
      </w:r>
      <w:r>
        <w:rPr>
          <w:color w:val="2E614A"/>
          <w:w w:val="90"/>
        </w:rPr>
        <w:t>Training</w:t>
      </w:r>
    </w:p>
    <w:p>
      <w:pPr>
        <w:pStyle w:val="ListParagraph"/>
        <w:numPr>
          <w:ilvl w:val="1"/>
          <w:numId w:val="58"/>
        </w:numPr>
        <w:tabs>
          <w:tab w:pos="679" w:val="left" w:leader="none"/>
        </w:tabs>
        <w:spacing w:line="266" w:lineRule="auto" w:before="294" w:after="0"/>
        <w:ind w:left="679" w:right="1077" w:hanging="360"/>
        <w:jc w:val="both"/>
        <w:rPr>
          <w:sz w:val="22"/>
        </w:rPr>
      </w:pPr>
      <w:r>
        <w:rPr>
          <w:spacing w:val="-4"/>
          <w:sz w:val="22"/>
        </w:rPr>
        <w:t>Efficient</w:t>
      </w:r>
      <w:r>
        <w:rPr>
          <w:spacing w:val="-5"/>
          <w:sz w:val="22"/>
        </w:rPr>
        <w:t> </w:t>
      </w:r>
      <w:r>
        <w:rPr>
          <w:spacing w:val="-4"/>
          <w:sz w:val="22"/>
        </w:rPr>
        <w:t>enforcement</w:t>
      </w:r>
      <w:r>
        <w:rPr>
          <w:spacing w:val="-5"/>
          <w:sz w:val="22"/>
        </w:rPr>
        <w:t> </w:t>
      </w:r>
      <w:r>
        <w:rPr>
          <w:spacing w:val="-4"/>
          <w:sz w:val="22"/>
        </w:rPr>
        <w:t>is</w:t>
      </w:r>
      <w:r>
        <w:rPr>
          <w:spacing w:val="-5"/>
          <w:sz w:val="22"/>
        </w:rPr>
        <w:t> </w:t>
      </w:r>
      <w:r>
        <w:rPr>
          <w:spacing w:val="-4"/>
          <w:sz w:val="22"/>
        </w:rPr>
        <w:t>an</w:t>
      </w:r>
      <w:r>
        <w:rPr>
          <w:spacing w:val="-5"/>
          <w:sz w:val="22"/>
        </w:rPr>
        <w:t> </w:t>
      </w:r>
      <w:r>
        <w:rPr>
          <w:spacing w:val="-4"/>
          <w:sz w:val="22"/>
        </w:rPr>
        <w:t>indispensable</w:t>
      </w:r>
      <w:r>
        <w:rPr>
          <w:spacing w:val="-5"/>
          <w:sz w:val="22"/>
        </w:rPr>
        <w:t> </w:t>
      </w:r>
      <w:r>
        <w:rPr>
          <w:spacing w:val="-4"/>
          <w:sz w:val="22"/>
        </w:rPr>
        <w:t>facet</w:t>
      </w:r>
      <w:r>
        <w:rPr>
          <w:spacing w:val="-5"/>
          <w:sz w:val="22"/>
        </w:rPr>
        <w:t> </w:t>
      </w:r>
      <w:r>
        <w:rPr>
          <w:spacing w:val="-4"/>
          <w:sz w:val="22"/>
        </w:rPr>
        <w:t>of</w:t>
      </w:r>
      <w:r>
        <w:rPr>
          <w:spacing w:val="-5"/>
          <w:sz w:val="22"/>
        </w:rPr>
        <w:t> </w:t>
      </w:r>
      <w:r>
        <w:rPr>
          <w:spacing w:val="-4"/>
          <w:sz w:val="22"/>
        </w:rPr>
        <w:t>a </w:t>
      </w:r>
      <w:r>
        <w:rPr>
          <w:spacing w:val="-6"/>
          <w:sz w:val="22"/>
        </w:rPr>
        <w:t>strong</w:t>
      </w:r>
      <w:r>
        <w:rPr>
          <w:spacing w:val="-8"/>
          <w:sz w:val="22"/>
        </w:rPr>
        <w:t> </w:t>
      </w:r>
      <w:r>
        <w:rPr>
          <w:spacing w:val="-6"/>
          <w:sz w:val="22"/>
        </w:rPr>
        <w:t>IPR</w:t>
      </w:r>
      <w:r>
        <w:rPr>
          <w:spacing w:val="-8"/>
          <w:sz w:val="22"/>
        </w:rPr>
        <w:t> </w:t>
      </w:r>
      <w:r>
        <w:rPr>
          <w:spacing w:val="-6"/>
          <w:sz w:val="22"/>
        </w:rPr>
        <w:t>regime.</w:t>
      </w:r>
      <w:r>
        <w:rPr>
          <w:spacing w:val="-8"/>
          <w:sz w:val="22"/>
        </w:rPr>
        <w:t> </w:t>
      </w:r>
      <w:r>
        <w:rPr>
          <w:spacing w:val="-6"/>
          <w:sz w:val="22"/>
        </w:rPr>
        <w:t>IPR</w:t>
      </w:r>
      <w:r>
        <w:rPr>
          <w:spacing w:val="-7"/>
          <w:sz w:val="22"/>
        </w:rPr>
        <w:t> </w:t>
      </w:r>
      <w:r>
        <w:rPr>
          <w:spacing w:val="-6"/>
          <w:sz w:val="22"/>
        </w:rPr>
        <w:t>has</w:t>
      </w:r>
      <w:r>
        <w:rPr>
          <w:spacing w:val="-8"/>
          <w:sz w:val="22"/>
        </w:rPr>
        <w:t> </w:t>
      </w:r>
      <w:r>
        <w:rPr>
          <w:spacing w:val="-6"/>
          <w:sz w:val="22"/>
        </w:rPr>
        <w:t>emerged</w:t>
      </w:r>
      <w:r>
        <w:rPr>
          <w:spacing w:val="-8"/>
          <w:sz w:val="22"/>
        </w:rPr>
        <w:t> </w:t>
      </w:r>
      <w:r>
        <w:rPr>
          <w:spacing w:val="-6"/>
          <w:sz w:val="22"/>
        </w:rPr>
        <w:t>as</w:t>
      </w:r>
      <w:r>
        <w:rPr>
          <w:spacing w:val="-8"/>
          <w:sz w:val="22"/>
        </w:rPr>
        <w:t> </w:t>
      </w:r>
      <w:r>
        <w:rPr>
          <w:spacing w:val="-6"/>
          <w:sz w:val="22"/>
        </w:rPr>
        <w:t>a</w:t>
      </w:r>
      <w:r>
        <w:rPr>
          <w:spacing w:val="-7"/>
          <w:sz w:val="22"/>
        </w:rPr>
        <w:t> </w:t>
      </w:r>
      <w:r>
        <w:rPr>
          <w:spacing w:val="-6"/>
          <w:sz w:val="22"/>
        </w:rPr>
        <w:t>specialised area</w:t>
      </w:r>
      <w:r>
        <w:rPr>
          <w:spacing w:val="-7"/>
          <w:sz w:val="22"/>
        </w:rPr>
        <w:t> </w:t>
      </w:r>
      <w:r>
        <w:rPr>
          <w:spacing w:val="-6"/>
          <w:sz w:val="22"/>
        </w:rPr>
        <w:t>within</w:t>
      </w:r>
      <w:r>
        <w:rPr>
          <w:spacing w:val="-7"/>
          <w:sz w:val="22"/>
        </w:rPr>
        <w:t> </w:t>
      </w:r>
      <w:r>
        <w:rPr>
          <w:spacing w:val="-6"/>
          <w:sz w:val="22"/>
        </w:rPr>
        <w:t>law</w:t>
      </w:r>
      <w:r>
        <w:rPr>
          <w:spacing w:val="-7"/>
          <w:sz w:val="22"/>
        </w:rPr>
        <w:t> </w:t>
      </w:r>
      <w:r>
        <w:rPr>
          <w:spacing w:val="-6"/>
          <w:sz w:val="22"/>
        </w:rPr>
        <w:t>with</w:t>
      </w:r>
      <w:r>
        <w:rPr>
          <w:spacing w:val="-7"/>
          <w:sz w:val="22"/>
        </w:rPr>
        <w:t> </w:t>
      </w:r>
      <w:r>
        <w:rPr>
          <w:spacing w:val="-6"/>
          <w:sz w:val="22"/>
        </w:rPr>
        <w:t>urgent</w:t>
      </w:r>
      <w:r>
        <w:rPr>
          <w:spacing w:val="-7"/>
          <w:sz w:val="22"/>
        </w:rPr>
        <w:t> </w:t>
      </w:r>
      <w:r>
        <w:rPr>
          <w:spacing w:val="-6"/>
          <w:sz w:val="22"/>
        </w:rPr>
        <w:t>demands</w:t>
      </w:r>
      <w:r>
        <w:rPr>
          <w:spacing w:val="-7"/>
          <w:sz w:val="22"/>
        </w:rPr>
        <w:t> </w:t>
      </w:r>
      <w:r>
        <w:rPr>
          <w:spacing w:val="-6"/>
          <w:sz w:val="22"/>
        </w:rPr>
        <w:t>for</w:t>
      </w:r>
      <w:r>
        <w:rPr>
          <w:spacing w:val="-7"/>
          <w:sz w:val="22"/>
        </w:rPr>
        <w:t> </w:t>
      </w:r>
      <w:r>
        <w:rPr>
          <w:spacing w:val="-6"/>
          <w:sz w:val="22"/>
        </w:rPr>
        <w:t>speedy</w:t>
      </w:r>
      <w:r>
        <w:rPr>
          <w:spacing w:val="-7"/>
          <w:sz w:val="22"/>
        </w:rPr>
        <w:t> </w:t>
      </w:r>
      <w:r>
        <w:rPr>
          <w:spacing w:val="-6"/>
          <w:sz w:val="22"/>
        </w:rPr>
        <w:t>and </w:t>
      </w:r>
      <w:r>
        <w:rPr>
          <w:spacing w:val="-4"/>
          <w:sz w:val="22"/>
        </w:rPr>
        <w:t>efficient</w:t>
      </w:r>
      <w:r>
        <w:rPr>
          <w:spacing w:val="-5"/>
          <w:sz w:val="22"/>
        </w:rPr>
        <w:t> </w:t>
      </w:r>
      <w:r>
        <w:rPr>
          <w:spacing w:val="-4"/>
          <w:sz w:val="22"/>
        </w:rPr>
        <w:t>disposal</w:t>
      </w:r>
      <w:r>
        <w:rPr>
          <w:spacing w:val="-5"/>
          <w:sz w:val="22"/>
        </w:rPr>
        <w:t> </w:t>
      </w:r>
      <w:r>
        <w:rPr>
          <w:spacing w:val="-4"/>
          <w:sz w:val="22"/>
        </w:rPr>
        <w:t>of</w:t>
      </w:r>
      <w:r>
        <w:rPr>
          <w:spacing w:val="-5"/>
          <w:sz w:val="22"/>
        </w:rPr>
        <w:t> </w:t>
      </w:r>
      <w:r>
        <w:rPr>
          <w:spacing w:val="-4"/>
          <w:sz w:val="22"/>
        </w:rPr>
        <w:t>cases.</w:t>
      </w:r>
      <w:r>
        <w:rPr>
          <w:spacing w:val="-5"/>
          <w:sz w:val="22"/>
        </w:rPr>
        <w:t> </w:t>
      </w:r>
      <w:r>
        <w:rPr>
          <w:spacing w:val="-4"/>
          <w:sz w:val="22"/>
        </w:rPr>
        <w:t>It</w:t>
      </w:r>
      <w:r>
        <w:rPr>
          <w:spacing w:val="-5"/>
          <w:sz w:val="22"/>
        </w:rPr>
        <w:t> </w:t>
      </w:r>
      <w:r>
        <w:rPr>
          <w:spacing w:val="-4"/>
          <w:sz w:val="22"/>
        </w:rPr>
        <w:t>has</w:t>
      </w:r>
      <w:r>
        <w:rPr>
          <w:spacing w:val="-5"/>
          <w:sz w:val="22"/>
        </w:rPr>
        <w:t> </w:t>
      </w:r>
      <w:r>
        <w:rPr>
          <w:spacing w:val="-4"/>
          <w:sz w:val="22"/>
        </w:rPr>
        <w:t>become</w:t>
      </w:r>
      <w:r>
        <w:rPr>
          <w:spacing w:val="-5"/>
          <w:sz w:val="22"/>
        </w:rPr>
        <w:t> </w:t>
      </w:r>
      <w:r>
        <w:rPr>
          <w:spacing w:val="-4"/>
          <w:sz w:val="22"/>
        </w:rPr>
        <w:t>necessary </w:t>
      </w:r>
      <w:r>
        <w:rPr>
          <w:sz w:val="22"/>
        </w:rPr>
        <w:t>to</w:t>
      </w:r>
      <w:r>
        <w:rPr>
          <w:spacing w:val="40"/>
          <w:sz w:val="22"/>
        </w:rPr>
        <w:t> </w:t>
      </w:r>
      <w:r>
        <w:rPr>
          <w:sz w:val="22"/>
        </w:rPr>
        <w:t>create</w:t>
      </w:r>
      <w:r>
        <w:rPr>
          <w:spacing w:val="40"/>
          <w:sz w:val="22"/>
        </w:rPr>
        <w:t> </w:t>
      </w:r>
      <w:r>
        <w:rPr>
          <w:sz w:val="22"/>
        </w:rPr>
        <w:t>a</w:t>
      </w:r>
      <w:r>
        <w:rPr>
          <w:spacing w:val="40"/>
          <w:sz w:val="22"/>
        </w:rPr>
        <w:t> </w:t>
      </w:r>
      <w:r>
        <w:rPr>
          <w:sz w:val="22"/>
        </w:rPr>
        <w:t>separate</w:t>
      </w:r>
      <w:r>
        <w:rPr>
          <w:spacing w:val="40"/>
          <w:sz w:val="22"/>
        </w:rPr>
        <w:t> </w:t>
      </w:r>
      <w:r>
        <w:rPr>
          <w:sz w:val="22"/>
        </w:rPr>
        <w:t>tribunal</w:t>
      </w:r>
      <w:r>
        <w:rPr>
          <w:spacing w:val="40"/>
          <w:sz w:val="22"/>
        </w:rPr>
        <w:t> </w:t>
      </w:r>
      <w:r>
        <w:rPr>
          <w:sz w:val="22"/>
        </w:rPr>
        <w:t>with</w:t>
      </w:r>
      <w:r>
        <w:rPr>
          <w:spacing w:val="40"/>
          <w:sz w:val="22"/>
        </w:rPr>
        <w:t> </w:t>
      </w:r>
      <w:r>
        <w:rPr>
          <w:sz w:val="22"/>
        </w:rPr>
        <w:t>jurisdiction</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440"/>
        <w:jc w:val="both"/>
      </w:pPr>
      <w:r>
        <w:rPr/>
        <w:t>over disputes in all aspects of IPR and develop </w:t>
      </w:r>
      <w:r>
        <w:rPr/>
        <w:t>a pool of competent judges who are trained in the legal as well as the technical aspects of IPR.</w:t>
      </w:r>
      <w:r>
        <w:rPr>
          <w:spacing w:val="-6"/>
        </w:rPr>
        <w:t> </w:t>
      </w:r>
      <w:r>
        <w:rPr/>
        <w:t>The IPR</w:t>
      </w:r>
      <w:r>
        <w:rPr>
          <w:spacing w:val="-9"/>
        </w:rPr>
        <w:t> </w:t>
      </w:r>
      <w:r>
        <w:rPr/>
        <w:t>Tribunal</w:t>
      </w:r>
      <w:r>
        <w:rPr>
          <w:spacing w:val="-2"/>
        </w:rPr>
        <w:t> </w:t>
      </w:r>
      <w:r>
        <w:rPr/>
        <w:t>should</w:t>
      </w:r>
      <w:r>
        <w:rPr>
          <w:spacing w:val="-2"/>
        </w:rPr>
        <w:t> </w:t>
      </w:r>
      <w:r>
        <w:rPr/>
        <w:t>be</w:t>
      </w:r>
      <w:r>
        <w:rPr>
          <w:spacing w:val="-2"/>
        </w:rPr>
        <w:t> </w:t>
      </w:r>
      <w:r>
        <w:rPr/>
        <w:t>designed</w:t>
      </w:r>
      <w:r>
        <w:rPr>
          <w:spacing w:val="-2"/>
        </w:rPr>
        <w:t> </w:t>
      </w:r>
      <w:r>
        <w:rPr/>
        <w:t>to</w:t>
      </w:r>
      <w:r>
        <w:rPr>
          <w:spacing w:val="-2"/>
        </w:rPr>
        <w:t> </w:t>
      </w:r>
      <w:r>
        <w:rPr/>
        <w:t>deal</w:t>
      </w:r>
      <w:r>
        <w:rPr>
          <w:spacing w:val="-2"/>
        </w:rPr>
        <w:t> </w:t>
      </w:r>
      <w:r>
        <w:rPr/>
        <w:t>with</w:t>
      </w:r>
      <w:r>
        <w:rPr>
          <w:spacing w:val="-2"/>
        </w:rPr>
        <w:t> </w:t>
      </w:r>
      <w:r>
        <w:rPr/>
        <w:t>the appeals</w:t>
      </w:r>
      <w:r>
        <w:rPr>
          <w:spacing w:val="-16"/>
        </w:rPr>
        <w:t> </w:t>
      </w:r>
      <w:r>
        <w:rPr/>
        <w:t>arising</w:t>
      </w:r>
      <w:r>
        <w:rPr>
          <w:spacing w:val="-14"/>
        </w:rPr>
        <w:t> </w:t>
      </w:r>
      <w:r>
        <w:rPr/>
        <w:t>from</w:t>
      </w:r>
      <w:r>
        <w:rPr>
          <w:spacing w:val="-14"/>
        </w:rPr>
        <w:t> </w:t>
      </w:r>
      <w:r>
        <w:rPr/>
        <w:t>the</w:t>
      </w:r>
      <w:r>
        <w:rPr>
          <w:spacing w:val="-13"/>
        </w:rPr>
        <w:t> </w:t>
      </w:r>
      <w:r>
        <w:rPr/>
        <w:t>decisions</w:t>
      </w:r>
      <w:r>
        <w:rPr>
          <w:spacing w:val="-14"/>
        </w:rPr>
        <w:t> </w:t>
      </w:r>
      <w:r>
        <w:rPr/>
        <w:t>of</w:t>
      </w:r>
      <w:r>
        <w:rPr>
          <w:spacing w:val="-14"/>
        </w:rPr>
        <w:t> </w:t>
      </w:r>
      <w:r>
        <w:rPr/>
        <w:t>IP</w:t>
      </w:r>
      <w:r>
        <w:rPr>
          <w:spacing w:val="-14"/>
        </w:rPr>
        <w:t> </w:t>
      </w:r>
      <w:r>
        <w:rPr/>
        <w:t>offices.</w:t>
      </w:r>
      <w:r>
        <w:rPr>
          <w:spacing w:val="-13"/>
        </w:rPr>
        <w:t> </w:t>
      </w:r>
      <w:r>
        <w:rPr/>
        <w:t>In </w:t>
      </w:r>
      <w:r>
        <w:rPr>
          <w:spacing w:val="-2"/>
        </w:rPr>
        <w:t>case</w:t>
      </w:r>
      <w:r>
        <w:rPr>
          <w:spacing w:val="-9"/>
        </w:rPr>
        <w:t> </w:t>
      </w:r>
      <w:r>
        <w:rPr>
          <w:spacing w:val="-2"/>
        </w:rPr>
        <w:t>of</w:t>
      </w:r>
      <w:r>
        <w:rPr>
          <w:spacing w:val="-9"/>
        </w:rPr>
        <w:t> </w:t>
      </w:r>
      <w:r>
        <w:rPr>
          <w:spacing w:val="-2"/>
        </w:rPr>
        <w:t>appeals</w:t>
      </w:r>
      <w:r>
        <w:rPr>
          <w:spacing w:val="-9"/>
        </w:rPr>
        <w:t> </w:t>
      </w:r>
      <w:r>
        <w:rPr>
          <w:spacing w:val="-2"/>
        </w:rPr>
        <w:t>where</w:t>
      </w:r>
      <w:r>
        <w:rPr>
          <w:spacing w:val="-9"/>
        </w:rPr>
        <w:t> </w:t>
      </w:r>
      <w:r>
        <w:rPr>
          <w:spacing w:val="-2"/>
        </w:rPr>
        <w:t>issues</w:t>
      </w:r>
      <w:r>
        <w:rPr>
          <w:spacing w:val="-9"/>
        </w:rPr>
        <w:t> </w:t>
      </w:r>
      <w:r>
        <w:rPr>
          <w:spacing w:val="-2"/>
        </w:rPr>
        <w:t>to</w:t>
      </w:r>
      <w:r>
        <w:rPr>
          <w:spacing w:val="-9"/>
        </w:rPr>
        <w:t> </w:t>
      </w:r>
      <w:r>
        <w:rPr>
          <w:spacing w:val="-2"/>
        </w:rPr>
        <w:t>be</w:t>
      </w:r>
      <w:r>
        <w:rPr>
          <w:spacing w:val="-9"/>
        </w:rPr>
        <w:t> </w:t>
      </w:r>
      <w:r>
        <w:rPr>
          <w:spacing w:val="-2"/>
        </w:rPr>
        <w:t>decided</w:t>
      </w:r>
      <w:r>
        <w:rPr>
          <w:spacing w:val="-9"/>
        </w:rPr>
        <w:t> </w:t>
      </w:r>
      <w:r>
        <w:rPr>
          <w:spacing w:val="-2"/>
        </w:rPr>
        <w:t>involve </w:t>
      </w:r>
      <w:r>
        <w:rPr>
          <w:spacing w:val="-4"/>
        </w:rPr>
        <w:t>technical</w:t>
      </w:r>
      <w:r>
        <w:rPr>
          <w:spacing w:val="-10"/>
        </w:rPr>
        <w:t> </w:t>
      </w:r>
      <w:r>
        <w:rPr>
          <w:spacing w:val="-4"/>
        </w:rPr>
        <w:t>considerations,</w:t>
      </w:r>
      <w:r>
        <w:rPr>
          <w:spacing w:val="-10"/>
        </w:rPr>
        <w:t> </w:t>
      </w:r>
      <w:r>
        <w:rPr>
          <w:spacing w:val="-4"/>
        </w:rPr>
        <w:t>the</w:t>
      </w:r>
      <w:r>
        <w:rPr>
          <w:spacing w:val="-10"/>
        </w:rPr>
        <w:t> </w:t>
      </w:r>
      <w:r>
        <w:rPr>
          <w:spacing w:val="-4"/>
        </w:rPr>
        <w:t>tribunal</w:t>
      </w:r>
      <w:r>
        <w:rPr>
          <w:spacing w:val="-9"/>
        </w:rPr>
        <w:t> </w:t>
      </w:r>
      <w:r>
        <w:rPr>
          <w:spacing w:val="-4"/>
        </w:rPr>
        <w:t>should</w:t>
      </w:r>
      <w:r>
        <w:rPr>
          <w:spacing w:val="-10"/>
        </w:rPr>
        <w:t> </w:t>
      </w:r>
      <w:r>
        <w:rPr>
          <w:spacing w:val="-4"/>
        </w:rPr>
        <w:t>consist </w:t>
      </w:r>
      <w:r>
        <w:rPr/>
        <w:t>of</w:t>
      </w:r>
      <w:r>
        <w:rPr>
          <w:spacing w:val="-12"/>
        </w:rPr>
        <w:t> </w:t>
      </w:r>
      <w:r>
        <w:rPr/>
        <w:t>three</w:t>
      </w:r>
      <w:r>
        <w:rPr>
          <w:spacing w:val="-12"/>
        </w:rPr>
        <w:t> </w:t>
      </w:r>
      <w:r>
        <w:rPr/>
        <w:t>judges</w:t>
      </w:r>
      <w:r>
        <w:rPr>
          <w:spacing w:val="-12"/>
        </w:rPr>
        <w:t> </w:t>
      </w:r>
      <w:r>
        <w:rPr/>
        <w:t>having</w:t>
      </w:r>
      <w:r>
        <w:rPr>
          <w:spacing w:val="-12"/>
        </w:rPr>
        <w:t> </w:t>
      </w:r>
      <w:r>
        <w:rPr/>
        <w:t>considerable</w:t>
      </w:r>
      <w:r>
        <w:rPr>
          <w:spacing w:val="-12"/>
        </w:rPr>
        <w:t> </w:t>
      </w:r>
      <w:r>
        <w:rPr/>
        <w:t>experience</w:t>
      </w:r>
      <w:r>
        <w:rPr>
          <w:spacing w:val="-12"/>
        </w:rPr>
        <w:t> </w:t>
      </w:r>
      <w:r>
        <w:rPr/>
        <w:t>in </w:t>
      </w:r>
      <w:r>
        <w:rPr>
          <w:spacing w:val="-2"/>
        </w:rPr>
        <w:t>law,</w:t>
      </w:r>
      <w:r>
        <w:rPr>
          <w:spacing w:val="-12"/>
        </w:rPr>
        <w:t> </w:t>
      </w:r>
      <w:r>
        <w:rPr>
          <w:spacing w:val="-2"/>
        </w:rPr>
        <w:t>where</w:t>
      </w:r>
      <w:r>
        <w:rPr>
          <w:spacing w:val="-12"/>
        </w:rPr>
        <w:t> </w:t>
      </w:r>
      <w:r>
        <w:rPr>
          <w:spacing w:val="-2"/>
        </w:rPr>
        <w:t>at</w:t>
      </w:r>
      <w:r>
        <w:rPr>
          <w:spacing w:val="-12"/>
        </w:rPr>
        <w:t> </w:t>
      </w:r>
      <w:r>
        <w:rPr>
          <w:spacing w:val="-2"/>
        </w:rPr>
        <w:t>least</w:t>
      </w:r>
      <w:r>
        <w:rPr>
          <w:spacing w:val="-11"/>
        </w:rPr>
        <w:t> </w:t>
      </w:r>
      <w:r>
        <w:rPr>
          <w:spacing w:val="-2"/>
        </w:rPr>
        <w:t>two</w:t>
      </w:r>
      <w:r>
        <w:rPr>
          <w:spacing w:val="-12"/>
        </w:rPr>
        <w:t> </w:t>
      </w:r>
      <w:r>
        <w:rPr>
          <w:spacing w:val="-2"/>
        </w:rPr>
        <w:t>of</w:t>
      </w:r>
      <w:r>
        <w:rPr>
          <w:spacing w:val="-12"/>
        </w:rPr>
        <w:t> </w:t>
      </w:r>
      <w:r>
        <w:rPr>
          <w:spacing w:val="-2"/>
        </w:rPr>
        <w:t>them</w:t>
      </w:r>
      <w:r>
        <w:rPr>
          <w:spacing w:val="-12"/>
        </w:rPr>
        <w:t> </w:t>
      </w:r>
      <w:r>
        <w:rPr>
          <w:spacing w:val="-2"/>
        </w:rPr>
        <w:t>also</w:t>
      </w:r>
      <w:r>
        <w:rPr>
          <w:spacing w:val="-11"/>
        </w:rPr>
        <w:t> </w:t>
      </w:r>
      <w:r>
        <w:rPr>
          <w:spacing w:val="-2"/>
        </w:rPr>
        <w:t>have</w:t>
      </w:r>
      <w:r>
        <w:rPr>
          <w:spacing w:val="-12"/>
        </w:rPr>
        <w:t> </w:t>
      </w:r>
      <w:r>
        <w:rPr>
          <w:spacing w:val="-2"/>
        </w:rPr>
        <w:t>technical qualifications.</w:t>
      </w:r>
    </w:p>
    <w:p>
      <w:pPr>
        <w:pStyle w:val="BodyText"/>
        <w:spacing w:before="27"/>
      </w:pPr>
    </w:p>
    <w:p>
      <w:pPr>
        <w:pStyle w:val="ListParagraph"/>
        <w:numPr>
          <w:ilvl w:val="1"/>
          <w:numId w:val="58"/>
        </w:numPr>
        <w:tabs>
          <w:tab w:pos="1440" w:val="left" w:leader="none"/>
        </w:tabs>
        <w:spacing w:line="266" w:lineRule="auto" w:before="0" w:after="0"/>
        <w:ind w:left="1440" w:right="0" w:hanging="360"/>
        <w:jc w:val="both"/>
        <w:rPr>
          <w:sz w:val="22"/>
        </w:rPr>
      </w:pPr>
      <w:r>
        <w:rPr>
          <w:sz w:val="22"/>
        </w:rPr>
        <w:t>To avoid undue delays and legal </w:t>
      </w:r>
      <w:r>
        <w:rPr>
          <w:sz w:val="22"/>
        </w:rPr>
        <w:t>uncertainties, </w:t>
      </w:r>
      <w:r>
        <w:rPr>
          <w:spacing w:val="-6"/>
          <w:sz w:val="22"/>
        </w:rPr>
        <w:t>detailed and streamlined procedures with fixed time </w:t>
      </w:r>
      <w:r>
        <w:rPr>
          <w:sz w:val="22"/>
        </w:rPr>
        <w:t>limits</w:t>
      </w:r>
      <w:r>
        <w:rPr>
          <w:spacing w:val="-4"/>
          <w:sz w:val="22"/>
        </w:rPr>
        <w:t> </w:t>
      </w:r>
      <w:r>
        <w:rPr>
          <w:sz w:val="22"/>
        </w:rPr>
        <w:t>should</w:t>
      </w:r>
      <w:r>
        <w:rPr>
          <w:spacing w:val="-4"/>
          <w:sz w:val="22"/>
        </w:rPr>
        <w:t> </w:t>
      </w:r>
      <w:r>
        <w:rPr>
          <w:sz w:val="22"/>
        </w:rPr>
        <w:t>be</w:t>
      </w:r>
      <w:r>
        <w:rPr>
          <w:spacing w:val="-4"/>
          <w:sz w:val="22"/>
        </w:rPr>
        <w:t> </w:t>
      </w:r>
      <w:r>
        <w:rPr>
          <w:sz w:val="22"/>
        </w:rPr>
        <w:t>chalked</w:t>
      </w:r>
      <w:r>
        <w:rPr>
          <w:spacing w:val="-4"/>
          <w:sz w:val="22"/>
        </w:rPr>
        <w:t> </w:t>
      </w:r>
      <w:r>
        <w:rPr>
          <w:sz w:val="22"/>
        </w:rPr>
        <w:t>out</w:t>
      </w:r>
      <w:r>
        <w:rPr>
          <w:spacing w:val="-4"/>
          <w:sz w:val="22"/>
        </w:rPr>
        <w:t> </w:t>
      </w:r>
      <w:r>
        <w:rPr>
          <w:sz w:val="22"/>
        </w:rPr>
        <w:t>for</w:t>
      </w:r>
      <w:r>
        <w:rPr>
          <w:spacing w:val="-4"/>
          <w:sz w:val="22"/>
        </w:rPr>
        <w:t> </w:t>
      </w:r>
      <w:r>
        <w:rPr>
          <w:sz w:val="22"/>
        </w:rPr>
        <w:t>the</w:t>
      </w:r>
      <w:r>
        <w:rPr>
          <w:spacing w:val="-4"/>
          <w:sz w:val="22"/>
        </w:rPr>
        <w:t> </w:t>
      </w:r>
      <w:r>
        <w:rPr>
          <w:sz w:val="22"/>
        </w:rPr>
        <w:t>IPR</w:t>
      </w:r>
      <w:r>
        <w:rPr>
          <w:spacing w:val="-11"/>
          <w:sz w:val="22"/>
        </w:rPr>
        <w:t> </w:t>
      </w:r>
      <w:r>
        <w:rPr>
          <w:sz w:val="22"/>
        </w:rPr>
        <w:t>Tribunal after consultations with stakeholders, including civil</w:t>
      </w:r>
      <w:r>
        <w:rPr>
          <w:spacing w:val="-14"/>
          <w:sz w:val="22"/>
        </w:rPr>
        <w:t> </w:t>
      </w:r>
      <w:r>
        <w:rPr>
          <w:sz w:val="22"/>
        </w:rPr>
        <w:t>society.</w:t>
      </w:r>
      <w:r>
        <w:rPr>
          <w:spacing w:val="-14"/>
          <w:sz w:val="22"/>
        </w:rPr>
        <w:t> </w:t>
      </w:r>
      <w:r>
        <w:rPr>
          <w:sz w:val="22"/>
        </w:rPr>
        <w:t>There</w:t>
      </w:r>
      <w:r>
        <w:rPr>
          <w:spacing w:val="-14"/>
          <w:sz w:val="22"/>
        </w:rPr>
        <w:t> </w:t>
      </w:r>
      <w:r>
        <w:rPr>
          <w:sz w:val="22"/>
        </w:rPr>
        <w:t>should</w:t>
      </w:r>
      <w:r>
        <w:rPr>
          <w:spacing w:val="-13"/>
          <w:sz w:val="22"/>
        </w:rPr>
        <w:t> </w:t>
      </w:r>
      <w:r>
        <w:rPr>
          <w:sz w:val="22"/>
        </w:rPr>
        <w:t>be</w:t>
      </w:r>
      <w:r>
        <w:rPr>
          <w:spacing w:val="-14"/>
          <w:sz w:val="22"/>
        </w:rPr>
        <w:t> </w:t>
      </w:r>
      <w:r>
        <w:rPr>
          <w:sz w:val="22"/>
        </w:rPr>
        <w:t>a</w:t>
      </w:r>
      <w:r>
        <w:rPr>
          <w:spacing w:val="-14"/>
          <w:sz w:val="22"/>
        </w:rPr>
        <w:t> </w:t>
      </w:r>
      <w:r>
        <w:rPr>
          <w:sz w:val="22"/>
        </w:rPr>
        <w:t>strict</w:t>
      </w:r>
      <w:r>
        <w:rPr>
          <w:spacing w:val="-14"/>
          <w:sz w:val="22"/>
        </w:rPr>
        <w:t> </w:t>
      </w:r>
      <w:r>
        <w:rPr>
          <w:sz w:val="22"/>
        </w:rPr>
        <w:t>adherence</w:t>
      </w:r>
      <w:r>
        <w:rPr>
          <w:spacing w:val="-13"/>
          <w:sz w:val="22"/>
        </w:rPr>
        <w:t> </w:t>
      </w:r>
      <w:r>
        <w:rPr>
          <w:sz w:val="22"/>
        </w:rPr>
        <w:t>to these procedures.</w:t>
      </w:r>
    </w:p>
    <w:p>
      <w:pPr>
        <w:pStyle w:val="BodyText"/>
        <w:spacing w:before="30"/>
      </w:pPr>
    </w:p>
    <w:p>
      <w:pPr>
        <w:pStyle w:val="ListParagraph"/>
        <w:numPr>
          <w:ilvl w:val="1"/>
          <w:numId w:val="58"/>
        </w:numPr>
        <w:tabs>
          <w:tab w:pos="1440" w:val="left" w:leader="none"/>
        </w:tabs>
        <w:spacing w:line="266" w:lineRule="auto" w:before="1" w:after="0"/>
        <w:ind w:left="1440" w:right="0" w:hanging="360"/>
        <w:jc w:val="both"/>
        <w:rPr>
          <w:sz w:val="22"/>
        </w:rPr>
      </w:pPr>
      <w:r>
        <w:rPr>
          <w:spacing w:val="-4"/>
          <w:sz w:val="22"/>
        </w:rPr>
        <w:t>Training</w:t>
      </w:r>
      <w:r>
        <w:rPr>
          <w:spacing w:val="-6"/>
          <w:sz w:val="22"/>
        </w:rPr>
        <w:t> </w:t>
      </w:r>
      <w:r>
        <w:rPr>
          <w:spacing w:val="-4"/>
          <w:sz w:val="22"/>
        </w:rPr>
        <w:t>of</w:t>
      </w:r>
      <w:r>
        <w:rPr>
          <w:spacing w:val="-6"/>
          <w:sz w:val="22"/>
        </w:rPr>
        <w:t> </w:t>
      </w:r>
      <w:r>
        <w:rPr>
          <w:spacing w:val="-4"/>
          <w:sz w:val="22"/>
        </w:rPr>
        <w:t>the</w:t>
      </w:r>
      <w:r>
        <w:rPr>
          <w:spacing w:val="-6"/>
          <w:sz w:val="22"/>
        </w:rPr>
        <w:t> </w:t>
      </w:r>
      <w:r>
        <w:rPr>
          <w:spacing w:val="-4"/>
          <w:sz w:val="22"/>
        </w:rPr>
        <w:t>judiciary</w:t>
      </w:r>
      <w:r>
        <w:rPr>
          <w:spacing w:val="-6"/>
          <w:sz w:val="22"/>
        </w:rPr>
        <w:t> </w:t>
      </w:r>
      <w:r>
        <w:rPr>
          <w:spacing w:val="-4"/>
          <w:sz w:val="22"/>
        </w:rPr>
        <w:t>in</w:t>
      </w:r>
      <w:r>
        <w:rPr>
          <w:spacing w:val="-6"/>
          <w:sz w:val="22"/>
        </w:rPr>
        <w:t> </w:t>
      </w:r>
      <w:r>
        <w:rPr>
          <w:spacing w:val="-4"/>
          <w:sz w:val="22"/>
        </w:rPr>
        <w:t>IPR</w:t>
      </w:r>
      <w:r>
        <w:rPr>
          <w:spacing w:val="-6"/>
          <w:sz w:val="22"/>
        </w:rPr>
        <w:t> </w:t>
      </w:r>
      <w:r>
        <w:rPr>
          <w:spacing w:val="-4"/>
          <w:sz w:val="22"/>
        </w:rPr>
        <w:t>needs</w:t>
      </w:r>
      <w:r>
        <w:rPr>
          <w:spacing w:val="-6"/>
          <w:sz w:val="22"/>
        </w:rPr>
        <w:t> </w:t>
      </w:r>
      <w:r>
        <w:rPr>
          <w:spacing w:val="-4"/>
          <w:sz w:val="22"/>
        </w:rPr>
        <w:t>to</w:t>
      </w:r>
      <w:r>
        <w:rPr>
          <w:spacing w:val="-6"/>
          <w:sz w:val="22"/>
        </w:rPr>
        <w:t> </w:t>
      </w:r>
      <w:r>
        <w:rPr>
          <w:spacing w:val="-4"/>
          <w:sz w:val="22"/>
        </w:rPr>
        <w:t>be</w:t>
      </w:r>
      <w:r>
        <w:rPr>
          <w:spacing w:val="-6"/>
          <w:sz w:val="22"/>
        </w:rPr>
        <w:t> </w:t>
      </w:r>
      <w:r>
        <w:rPr>
          <w:spacing w:val="-4"/>
          <w:sz w:val="22"/>
        </w:rPr>
        <w:t>viewed </w:t>
      </w:r>
      <w:r>
        <w:rPr>
          <w:spacing w:val="-6"/>
          <w:sz w:val="22"/>
        </w:rPr>
        <w:t>as an essential IPR enforcement issue.</w:t>
      </w:r>
      <w:r>
        <w:rPr>
          <w:spacing w:val="-8"/>
          <w:sz w:val="22"/>
        </w:rPr>
        <w:t> </w:t>
      </w:r>
      <w:r>
        <w:rPr>
          <w:spacing w:val="-6"/>
          <w:sz w:val="22"/>
        </w:rPr>
        <w:t>The </w:t>
      </w:r>
      <w:r>
        <w:rPr>
          <w:spacing w:val="-6"/>
          <w:sz w:val="22"/>
        </w:rPr>
        <w:t>National </w:t>
      </w:r>
      <w:r>
        <w:rPr>
          <w:sz w:val="22"/>
        </w:rPr>
        <w:t>Judicial Academy is already engaged in training judges</w:t>
      </w:r>
      <w:r>
        <w:rPr>
          <w:spacing w:val="-1"/>
          <w:sz w:val="22"/>
        </w:rPr>
        <w:t> </w:t>
      </w:r>
      <w:r>
        <w:rPr>
          <w:sz w:val="22"/>
        </w:rPr>
        <w:t>on</w:t>
      </w:r>
      <w:r>
        <w:rPr>
          <w:spacing w:val="-1"/>
          <w:sz w:val="22"/>
        </w:rPr>
        <w:t> </w:t>
      </w:r>
      <w:r>
        <w:rPr>
          <w:sz w:val="22"/>
        </w:rPr>
        <w:t>a</w:t>
      </w:r>
      <w:r>
        <w:rPr>
          <w:spacing w:val="-1"/>
          <w:sz w:val="22"/>
        </w:rPr>
        <w:t> </w:t>
      </w:r>
      <w:r>
        <w:rPr>
          <w:sz w:val="22"/>
        </w:rPr>
        <w:t>variety</w:t>
      </w:r>
      <w:r>
        <w:rPr>
          <w:spacing w:val="-1"/>
          <w:sz w:val="22"/>
        </w:rPr>
        <w:t> </w:t>
      </w:r>
      <w:r>
        <w:rPr>
          <w:sz w:val="22"/>
        </w:rPr>
        <w:t>of</w:t>
      </w:r>
      <w:r>
        <w:rPr>
          <w:spacing w:val="-1"/>
          <w:sz w:val="22"/>
        </w:rPr>
        <w:t> </w:t>
      </w:r>
      <w:r>
        <w:rPr>
          <w:sz w:val="22"/>
        </w:rPr>
        <w:t>areas,</w:t>
      </w:r>
      <w:r>
        <w:rPr>
          <w:spacing w:val="-1"/>
          <w:sz w:val="22"/>
        </w:rPr>
        <w:t> </w:t>
      </w:r>
      <w:r>
        <w:rPr>
          <w:sz w:val="22"/>
        </w:rPr>
        <w:t>including</w:t>
      </w:r>
      <w:r>
        <w:rPr>
          <w:spacing w:val="-1"/>
          <w:sz w:val="22"/>
        </w:rPr>
        <w:t> </w:t>
      </w:r>
      <w:r>
        <w:rPr>
          <w:sz w:val="22"/>
        </w:rPr>
        <w:t>IPR.</w:t>
      </w:r>
      <w:r>
        <w:rPr>
          <w:spacing w:val="-1"/>
          <w:sz w:val="22"/>
        </w:rPr>
        <w:t> </w:t>
      </w:r>
      <w:r>
        <w:rPr>
          <w:sz w:val="22"/>
        </w:rPr>
        <w:t>Such training efforts have to be intensified and the </w:t>
      </w:r>
      <w:r>
        <w:rPr>
          <w:spacing w:val="-2"/>
          <w:sz w:val="22"/>
        </w:rPr>
        <w:t>establishment</w:t>
      </w:r>
      <w:r>
        <w:rPr>
          <w:spacing w:val="-11"/>
          <w:sz w:val="22"/>
        </w:rPr>
        <w:t> </w:t>
      </w:r>
      <w:r>
        <w:rPr>
          <w:spacing w:val="-2"/>
          <w:sz w:val="22"/>
        </w:rPr>
        <w:t>of</w:t>
      </w:r>
      <w:r>
        <w:rPr>
          <w:spacing w:val="-11"/>
          <w:sz w:val="22"/>
        </w:rPr>
        <w:t> </w:t>
      </w:r>
      <w:r>
        <w:rPr>
          <w:spacing w:val="-2"/>
          <w:sz w:val="22"/>
        </w:rPr>
        <w:t>the</w:t>
      </w:r>
      <w:r>
        <w:rPr>
          <w:spacing w:val="-11"/>
          <w:sz w:val="22"/>
        </w:rPr>
        <w:t> </w:t>
      </w:r>
      <w:r>
        <w:rPr>
          <w:spacing w:val="-2"/>
          <w:sz w:val="22"/>
        </w:rPr>
        <w:t>NIIPM</w:t>
      </w:r>
      <w:r>
        <w:rPr>
          <w:spacing w:val="-11"/>
          <w:sz w:val="22"/>
        </w:rPr>
        <w:t> </w:t>
      </w:r>
      <w:r>
        <w:rPr>
          <w:spacing w:val="-2"/>
          <w:sz w:val="22"/>
        </w:rPr>
        <w:t>would</w:t>
      </w:r>
      <w:r>
        <w:rPr>
          <w:spacing w:val="-11"/>
          <w:sz w:val="22"/>
        </w:rPr>
        <w:t> </w:t>
      </w:r>
      <w:r>
        <w:rPr>
          <w:spacing w:val="-2"/>
          <w:sz w:val="22"/>
        </w:rPr>
        <w:t>be</w:t>
      </w:r>
      <w:r>
        <w:rPr>
          <w:spacing w:val="-11"/>
          <w:sz w:val="22"/>
        </w:rPr>
        <w:t> </w:t>
      </w:r>
      <w:r>
        <w:rPr>
          <w:spacing w:val="-2"/>
          <w:sz w:val="22"/>
        </w:rPr>
        <w:t>a</w:t>
      </w:r>
      <w:r>
        <w:rPr>
          <w:spacing w:val="-11"/>
          <w:sz w:val="22"/>
        </w:rPr>
        <w:t> </w:t>
      </w:r>
      <w:r>
        <w:rPr>
          <w:spacing w:val="-2"/>
          <w:sz w:val="22"/>
        </w:rPr>
        <w:t>significant </w:t>
      </w:r>
      <w:r>
        <w:rPr>
          <w:sz w:val="22"/>
        </w:rPr>
        <w:t>step in this regard.</w:t>
      </w:r>
    </w:p>
    <w:p>
      <w:pPr>
        <w:pStyle w:val="BodyText"/>
        <w:spacing w:before="6"/>
      </w:pPr>
    </w:p>
    <w:p>
      <w:pPr>
        <w:pStyle w:val="Heading6"/>
        <w:numPr>
          <w:ilvl w:val="0"/>
          <w:numId w:val="58"/>
        </w:numPr>
        <w:tabs>
          <w:tab w:pos="1484" w:val="left" w:leader="none"/>
        </w:tabs>
        <w:spacing w:line="208" w:lineRule="auto" w:before="0" w:after="0"/>
        <w:ind w:left="1484" w:right="199" w:hanging="405"/>
        <w:jc w:val="left"/>
      </w:pPr>
      <w:r>
        <w:rPr>
          <w:color w:val="2E614A"/>
          <w:spacing w:val="-2"/>
        </w:rPr>
        <w:t>Protection</w:t>
      </w:r>
      <w:r>
        <w:rPr>
          <w:color w:val="2E614A"/>
          <w:spacing w:val="-18"/>
        </w:rPr>
        <w:t> </w:t>
      </w:r>
      <w:r>
        <w:rPr>
          <w:color w:val="2E614A"/>
          <w:spacing w:val="-2"/>
        </w:rPr>
        <w:t>of</w:t>
      </w:r>
      <w:r>
        <w:rPr>
          <w:color w:val="2E614A"/>
          <w:spacing w:val="-18"/>
        </w:rPr>
        <w:t> </w:t>
      </w:r>
      <w:r>
        <w:rPr>
          <w:color w:val="2E614A"/>
          <w:spacing w:val="-2"/>
        </w:rPr>
        <w:t>Traditional </w:t>
      </w:r>
      <w:r>
        <w:rPr>
          <w:color w:val="2E614A"/>
        </w:rPr>
        <w:t>Knowledge</w:t>
      </w:r>
      <w:r>
        <w:rPr>
          <w:color w:val="2E614A"/>
          <w:spacing w:val="-20"/>
        </w:rPr>
        <w:t> </w:t>
      </w:r>
      <w:r>
        <w:rPr>
          <w:color w:val="2E614A"/>
        </w:rPr>
        <w:t>(TK)</w:t>
      </w:r>
      <w:r>
        <w:rPr>
          <w:color w:val="2E614A"/>
          <w:spacing w:val="-20"/>
        </w:rPr>
        <w:t> </w:t>
      </w:r>
      <w:r>
        <w:rPr>
          <w:color w:val="2E614A"/>
        </w:rPr>
        <w:t>through </w:t>
      </w:r>
      <w:r>
        <w:rPr>
          <w:color w:val="2E614A"/>
          <w:spacing w:val="-4"/>
        </w:rPr>
        <w:t>Traditional</w:t>
      </w:r>
      <w:r>
        <w:rPr>
          <w:color w:val="2E614A"/>
          <w:spacing w:val="-16"/>
        </w:rPr>
        <w:t> </w:t>
      </w:r>
      <w:r>
        <w:rPr>
          <w:color w:val="2E614A"/>
          <w:spacing w:val="-4"/>
        </w:rPr>
        <w:t>Knowledge</w:t>
      </w:r>
      <w:r>
        <w:rPr>
          <w:color w:val="2E614A"/>
          <w:spacing w:val="-16"/>
        </w:rPr>
        <w:t> </w:t>
      </w:r>
      <w:r>
        <w:rPr>
          <w:color w:val="2E614A"/>
          <w:spacing w:val="-4"/>
        </w:rPr>
        <w:t>Digital </w:t>
      </w:r>
      <w:r>
        <w:rPr>
          <w:color w:val="2E614A"/>
          <w:w w:val="90"/>
        </w:rPr>
        <w:t>Library (TKDL) and </w:t>
      </w:r>
      <w:r>
        <w:rPr>
          <w:color w:val="2E614A"/>
          <w:w w:val="90"/>
        </w:rPr>
        <w:t>Promoting </w:t>
      </w:r>
      <w:r>
        <w:rPr>
          <w:color w:val="2E614A"/>
          <w:spacing w:val="-6"/>
        </w:rPr>
        <w:t>Incentives</w:t>
      </w:r>
      <w:r>
        <w:rPr>
          <w:color w:val="2E614A"/>
          <w:spacing w:val="-14"/>
        </w:rPr>
        <w:t> </w:t>
      </w:r>
      <w:r>
        <w:rPr>
          <w:color w:val="2E614A"/>
          <w:spacing w:val="-6"/>
        </w:rPr>
        <w:t>for</w:t>
      </w:r>
      <w:r>
        <w:rPr>
          <w:color w:val="2E614A"/>
          <w:spacing w:val="-14"/>
        </w:rPr>
        <w:t> </w:t>
      </w:r>
      <w:r>
        <w:rPr>
          <w:color w:val="2E614A"/>
          <w:spacing w:val="-6"/>
        </w:rPr>
        <w:t>Wealth</w:t>
      </w:r>
      <w:r>
        <w:rPr>
          <w:color w:val="2E614A"/>
          <w:spacing w:val="-12"/>
        </w:rPr>
        <w:t> </w:t>
      </w:r>
      <w:r>
        <w:rPr>
          <w:color w:val="2E614A"/>
          <w:spacing w:val="-6"/>
        </w:rPr>
        <w:t>Creation </w:t>
      </w:r>
      <w:r>
        <w:rPr>
          <w:color w:val="2E614A"/>
        </w:rPr>
        <w:t>from TK</w:t>
      </w:r>
    </w:p>
    <w:p>
      <w:pPr>
        <w:pStyle w:val="ListParagraph"/>
        <w:numPr>
          <w:ilvl w:val="1"/>
          <w:numId w:val="58"/>
        </w:numPr>
        <w:tabs>
          <w:tab w:pos="1439" w:val="left" w:leader="none"/>
        </w:tabs>
        <w:spacing w:line="266" w:lineRule="auto" w:before="194" w:after="0"/>
        <w:ind w:left="1439" w:right="0" w:hanging="360"/>
        <w:jc w:val="both"/>
        <w:rPr>
          <w:sz w:val="22"/>
        </w:rPr>
      </w:pPr>
      <w:r>
        <w:rPr>
          <w:spacing w:val="-2"/>
          <w:sz w:val="22"/>
        </w:rPr>
        <w:t>The</w:t>
      </w:r>
      <w:r>
        <w:rPr>
          <w:spacing w:val="-12"/>
          <w:sz w:val="22"/>
        </w:rPr>
        <w:t> </w:t>
      </w:r>
      <w:r>
        <w:rPr>
          <w:spacing w:val="-2"/>
          <w:sz w:val="22"/>
        </w:rPr>
        <w:t>creation</w:t>
      </w:r>
      <w:r>
        <w:rPr>
          <w:spacing w:val="-11"/>
          <w:sz w:val="22"/>
        </w:rPr>
        <w:t> </w:t>
      </w:r>
      <w:r>
        <w:rPr>
          <w:spacing w:val="-2"/>
          <w:sz w:val="22"/>
        </w:rPr>
        <w:t>of</w:t>
      </w:r>
      <w:r>
        <w:rPr>
          <w:spacing w:val="-9"/>
          <w:sz w:val="22"/>
        </w:rPr>
        <w:t> </w:t>
      </w:r>
      <w:r>
        <w:rPr>
          <w:spacing w:val="-2"/>
          <w:sz w:val="22"/>
        </w:rPr>
        <w:t>the</w:t>
      </w:r>
      <w:r>
        <w:rPr>
          <w:spacing w:val="-12"/>
          <w:sz w:val="22"/>
        </w:rPr>
        <w:t> </w:t>
      </w:r>
      <w:r>
        <w:rPr>
          <w:spacing w:val="-2"/>
          <w:sz w:val="22"/>
        </w:rPr>
        <w:t>TKDL</w:t>
      </w:r>
      <w:r>
        <w:rPr>
          <w:spacing w:val="-9"/>
          <w:sz w:val="22"/>
        </w:rPr>
        <w:t> </w:t>
      </w:r>
      <w:r>
        <w:rPr>
          <w:spacing w:val="-2"/>
          <w:sz w:val="22"/>
        </w:rPr>
        <w:t>database</w:t>
      </w:r>
      <w:r>
        <w:rPr>
          <w:spacing w:val="-10"/>
          <w:sz w:val="22"/>
        </w:rPr>
        <w:t> </w:t>
      </w:r>
      <w:r>
        <w:rPr>
          <w:spacing w:val="-2"/>
          <w:sz w:val="22"/>
        </w:rPr>
        <w:t>is</w:t>
      </w:r>
      <w:r>
        <w:rPr>
          <w:spacing w:val="-10"/>
          <w:sz w:val="22"/>
        </w:rPr>
        <w:t> </w:t>
      </w:r>
      <w:r>
        <w:rPr>
          <w:spacing w:val="-2"/>
          <w:sz w:val="22"/>
        </w:rPr>
        <w:t>a</w:t>
      </w:r>
      <w:r>
        <w:rPr>
          <w:spacing w:val="-10"/>
          <w:sz w:val="22"/>
        </w:rPr>
        <w:t> </w:t>
      </w:r>
      <w:r>
        <w:rPr>
          <w:spacing w:val="-2"/>
          <w:sz w:val="22"/>
        </w:rPr>
        <w:t>significant effort</w:t>
      </w:r>
      <w:r>
        <w:rPr>
          <w:spacing w:val="-5"/>
          <w:sz w:val="22"/>
        </w:rPr>
        <w:t> </w:t>
      </w:r>
      <w:r>
        <w:rPr>
          <w:spacing w:val="-2"/>
          <w:sz w:val="22"/>
        </w:rPr>
        <w:t>to</w:t>
      </w:r>
      <w:r>
        <w:rPr>
          <w:spacing w:val="-5"/>
          <w:sz w:val="22"/>
        </w:rPr>
        <w:t> </w:t>
      </w:r>
      <w:r>
        <w:rPr>
          <w:spacing w:val="-2"/>
          <w:sz w:val="22"/>
        </w:rPr>
        <w:t>codify</w:t>
      </w:r>
      <w:r>
        <w:rPr>
          <w:spacing w:val="-5"/>
          <w:sz w:val="22"/>
        </w:rPr>
        <w:t> </w:t>
      </w:r>
      <w:r>
        <w:rPr>
          <w:spacing w:val="-2"/>
          <w:sz w:val="22"/>
        </w:rPr>
        <w:t>and</w:t>
      </w:r>
      <w:r>
        <w:rPr>
          <w:spacing w:val="-5"/>
          <w:sz w:val="22"/>
        </w:rPr>
        <w:t> </w:t>
      </w:r>
      <w:r>
        <w:rPr>
          <w:spacing w:val="-2"/>
          <w:sz w:val="22"/>
        </w:rPr>
        <w:t>classify</w:t>
      </w:r>
      <w:r>
        <w:rPr>
          <w:spacing w:val="-5"/>
          <w:sz w:val="22"/>
        </w:rPr>
        <w:t> </w:t>
      </w:r>
      <w:r>
        <w:rPr>
          <w:spacing w:val="-2"/>
          <w:sz w:val="22"/>
        </w:rPr>
        <w:t>traditional</w:t>
      </w:r>
      <w:r>
        <w:rPr>
          <w:spacing w:val="-5"/>
          <w:sz w:val="22"/>
        </w:rPr>
        <w:t> </w:t>
      </w:r>
      <w:r>
        <w:rPr>
          <w:spacing w:val="-2"/>
          <w:sz w:val="22"/>
        </w:rPr>
        <w:t>knowledge </w:t>
      </w:r>
      <w:r>
        <w:rPr>
          <w:spacing w:val="-6"/>
          <w:sz w:val="22"/>
        </w:rPr>
        <w:t>of the country.</w:t>
      </w:r>
      <w:r>
        <w:rPr>
          <w:spacing w:val="-7"/>
          <w:sz w:val="22"/>
        </w:rPr>
        <w:t> </w:t>
      </w:r>
      <w:r>
        <w:rPr>
          <w:spacing w:val="-6"/>
          <w:sz w:val="22"/>
        </w:rPr>
        <w:t>While there is increasing recognition </w:t>
      </w:r>
      <w:r>
        <w:rPr>
          <w:sz w:val="22"/>
        </w:rPr>
        <w:t>of the important role of the TKDL to prevent misappropriation</w:t>
      </w:r>
      <w:r>
        <w:rPr>
          <w:spacing w:val="-2"/>
          <w:sz w:val="22"/>
        </w:rPr>
        <w:t> </w:t>
      </w:r>
      <w:r>
        <w:rPr>
          <w:sz w:val="22"/>
        </w:rPr>
        <w:t>and</w:t>
      </w:r>
      <w:r>
        <w:rPr>
          <w:spacing w:val="-2"/>
          <w:sz w:val="22"/>
        </w:rPr>
        <w:t> </w:t>
      </w:r>
      <w:r>
        <w:rPr>
          <w:sz w:val="22"/>
        </w:rPr>
        <w:t>grant</w:t>
      </w:r>
      <w:r>
        <w:rPr>
          <w:spacing w:val="-2"/>
          <w:sz w:val="22"/>
        </w:rPr>
        <w:t> </w:t>
      </w:r>
      <w:r>
        <w:rPr>
          <w:sz w:val="22"/>
        </w:rPr>
        <w:t>of</w:t>
      </w:r>
      <w:r>
        <w:rPr>
          <w:spacing w:val="-2"/>
          <w:sz w:val="22"/>
        </w:rPr>
        <w:t> </w:t>
      </w:r>
      <w:r>
        <w:rPr>
          <w:sz w:val="22"/>
        </w:rPr>
        <w:t>‘wrong</w:t>
      </w:r>
      <w:r>
        <w:rPr>
          <w:spacing w:val="-2"/>
          <w:sz w:val="22"/>
        </w:rPr>
        <w:t> </w:t>
      </w:r>
      <w:r>
        <w:rPr>
          <w:sz w:val="22"/>
        </w:rPr>
        <w:t>patents’</w:t>
      </w:r>
      <w:r>
        <w:rPr>
          <w:spacing w:val="-2"/>
          <w:sz w:val="22"/>
        </w:rPr>
        <w:t> </w:t>
      </w:r>
      <w:r>
        <w:rPr>
          <w:sz w:val="22"/>
        </w:rPr>
        <w:t>as well as to provide incentives for innovation and </w:t>
      </w:r>
      <w:r>
        <w:rPr>
          <w:spacing w:val="-2"/>
          <w:sz w:val="22"/>
        </w:rPr>
        <w:t>wealth</w:t>
      </w:r>
      <w:r>
        <w:rPr>
          <w:spacing w:val="-14"/>
          <w:sz w:val="22"/>
        </w:rPr>
        <w:t> </w:t>
      </w:r>
      <w:r>
        <w:rPr>
          <w:spacing w:val="-2"/>
          <w:sz w:val="22"/>
        </w:rPr>
        <w:t>creation,</w:t>
      </w:r>
      <w:r>
        <w:rPr>
          <w:spacing w:val="-12"/>
          <w:sz w:val="22"/>
        </w:rPr>
        <w:t> </w:t>
      </w:r>
      <w:r>
        <w:rPr>
          <w:spacing w:val="-2"/>
          <w:sz w:val="22"/>
        </w:rPr>
        <w:t>the</w:t>
      </w:r>
      <w:r>
        <w:rPr>
          <w:spacing w:val="-12"/>
          <w:sz w:val="22"/>
        </w:rPr>
        <w:t> </w:t>
      </w:r>
      <w:r>
        <w:rPr>
          <w:spacing w:val="-2"/>
          <w:sz w:val="22"/>
        </w:rPr>
        <w:t>key</w:t>
      </w:r>
      <w:r>
        <w:rPr>
          <w:spacing w:val="-11"/>
          <w:sz w:val="22"/>
        </w:rPr>
        <w:t> </w:t>
      </w:r>
      <w:r>
        <w:rPr>
          <w:spacing w:val="-2"/>
          <w:sz w:val="22"/>
        </w:rPr>
        <w:t>challenge</w:t>
      </w:r>
      <w:r>
        <w:rPr>
          <w:spacing w:val="-12"/>
          <w:sz w:val="22"/>
        </w:rPr>
        <w:t> </w:t>
      </w:r>
      <w:r>
        <w:rPr>
          <w:spacing w:val="-2"/>
          <w:sz w:val="22"/>
        </w:rPr>
        <w:t>here</w:t>
      </w:r>
      <w:r>
        <w:rPr>
          <w:spacing w:val="-12"/>
          <w:sz w:val="22"/>
        </w:rPr>
        <w:t> </w:t>
      </w:r>
      <w:r>
        <w:rPr>
          <w:spacing w:val="-2"/>
          <w:sz w:val="22"/>
        </w:rPr>
        <w:t>is</w:t>
      </w:r>
      <w:r>
        <w:rPr>
          <w:spacing w:val="-12"/>
          <w:sz w:val="22"/>
        </w:rPr>
        <w:t> </w:t>
      </w:r>
      <w:r>
        <w:rPr>
          <w:spacing w:val="-2"/>
          <w:sz w:val="22"/>
        </w:rPr>
        <w:t>to</w:t>
      </w:r>
      <w:r>
        <w:rPr>
          <w:spacing w:val="-11"/>
          <w:sz w:val="22"/>
        </w:rPr>
        <w:t> </w:t>
      </w:r>
      <w:r>
        <w:rPr>
          <w:spacing w:val="-2"/>
          <w:sz w:val="22"/>
        </w:rPr>
        <w:t>ensure its</w:t>
      </w:r>
      <w:r>
        <w:rPr>
          <w:spacing w:val="-7"/>
          <w:sz w:val="22"/>
        </w:rPr>
        <w:t> </w:t>
      </w:r>
      <w:r>
        <w:rPr>
          <w:spacing w:val="-2"/>
          <w:sz w:val="22"/>
        </w:rPr>
        <w:t>effective</w:t>
      </w:r>
      <w:r>
        <w:rPr>
          <w:spacing w:val="-7"/>
          <w:sz w:val="22"/>
        </w:rPr>
        <w:t> </w:t>
      </w:r>
      <w:r>
        <w:rPr>
          <w:spacing w:val="-2"/>
          <w:sz w:val="22"/>
        </w:rPr>
        <w:t>utilisation</w:t>
      </w:r>
      <w:r>
        <w:rPr>
          <w:spacing w:val="-7"/>
          <w:sz w:val="22"/>
        </w:rPr>
        <w:t> </w:t>
      </w:r>
      <w:r>
        <w:rPr>
          <w:spacing w:val="-2"/>
          <w:sz w:val="22"/>
        </w:rPr>
        <w:t>to</w:t>
      </w:r>
      <w:r>
        <w:rPr>
          <w:spacing w:val="-7"/>
          <w:sz w:val="22"/>
        </w:rPr>
        <w:t> </w:t>
      </w:r>
      <w:r>
        <w:rPr>
          <w:spacing w:val="-2"/>
          <w:sz w:val="22"/>
        </w:rPr>
        <w:t>achieve</w:t>
      </w:r>
      <w:r>
        <w:rPr>
          <w:spacing w:val="-7"/>
          <w:sz w:val="22"/>
        </w:rPr>
        <w:t> </w:t>
      </w:r>
      <w:r>
        <w:rPr>
          <w:spacing w:val="-2"/>
          <w:sz w:val="22"/>
        </w:rPr>
        <w:t>these</w:t>
      </w:r>
      <w:r>
        <w:rPr>
          <w:spacing w:val="-7"/>
          <w:sz w:val="22"/>
        </w:rPr>
        <w:t> </w:t>
      </w:r>
      <w:r>
        <w:rPr>
          <w:spacing w:val="-2"/>
          <w:sz w:val="22"/>
        </w:rPr>
        <w:t>objectives.</w:t>
      </w:r>
    </w:p>
    <w:p>
      <w:pPr>
        <w:pStyle w:val="BodyText"/>
        <w:spacing w:before="20"/>
      </w:pPr>
    </w:p>
    <w:p>
      <w:pPr>
        <w:pStyle w:val="ListParagraph"/>
        <w:numPr>
          <w:ilvl w:val="1"/>
          <w:numId w:val="58"/>
        </w:numPr>
        <w:tabs>
          <w:tab w:pos="1439" w:val="left" w:leader="none"/>
        </w:tabs>
        <w:spacing w:line="266" w:lineRule="auto" w:before="1" w:after="0"/>
        <w:ind w:left="1439" w:right="0" w:hanging="360"/>
        <w:jc w:val="both"/>
        <w:rPr>
          <w:sz w:val="22"/>
        </w:rPr>
      </w:pPr>
      <w:r>
        <w:rPr>
          <w:sz w:val="22"/>
        </w:rPr>
        <w:t>The Government of India has also already taken steps to allow access of the TKDL database </w:t>
      </w:r>
      <w:r>
        <w:rPr>
          <w:sz w:val="22"/>
        </w:rPr>
        <w:t>to some international patent offices under non- disclosure agreements for the purpose of search and examination. Steps need to be taken for the use</w:t>
      </w:r>
      <w:r>
        <w:rPr>
          <w:spacing w:val="-14"/>
          <w:sz w:val="22"/>
        </w:rPr>
        <w:t> </w:t>
      </w:r>
      <w:r>
        <w:rPr>
          <w:sz w:val="22"/>
        </w:rPr>
        <w:t>and</w:t>
      </w:r>
      <w:r>
        <w:rPr>
          <w:spacing w:val="-14"/>
          <w:sz w:val="22"/>
        </w:rPr>
        <w:t> </w:t>
      </w:r>
      <w:r>
        <w:rPr>
          <w:sz w:val="22"/>
        </w:rPr>
        <w:t>incorporation</w:t>
      </w:r>
      <w:r>
        <w:rPr>
          <w:spacing w:val="-14"/>
          <w:sz w:val="22"/>
        </w:rPr>
        <w:t> </w:t>
      </w:r>
      <w:r>
        <w:rPr>
          <w:sz w:val="22"/>
        </w:rPr>
        <w:t>of</w:t>
      </w:r>
      <w:r>
        <w:rPr>
          <w:spacing w:val="-13"/>
          <w:sz w:val="22"/>
        </w:rPr>
        <w:t> </w:t>
      </w:r>
      <w:r>
        <w:rPr>
          <w:sz w:val="22"/>
        </w:rPr>
        <w:t>TKDL</w:t>
      </w:r>
      <w:r>
        <w:rPr>
          <w:spacing w:val="-14"/>
          <w:sz w:val="22"/>
        </w:rPr>
        <w:t> </w:t>
      </w:r>
      <w:r>
        <w:rPr>
          <w:sz w:val="22"/>
        </w:rPr>
        <w:t>into</w:t>
      </w:r>
      <w:r>
        <w:rPr>
          <w:spacing w:val="-14"/>
          <w:sz w:val="22"/>
        </w:rPr>
        <w:t> </w:t>
      </w:r>
      <w:r>
        <w:rPr>
          <w:sz w:val="22"/>
        </w:rPr>
        <w:t>the</w:t>
      </w:r>
      <w:r>
        <w:rPr>
          <w:spacing w:val="-14"/>
          <w:sz w:val="22"/>
        </w:rPr>
        <w:t> </w:t>
      </w:r>
      <w:r>
        <w:rPr>
          <w:sz w:val="22"/>
        </w:rPr>
        <w:t>minimum search documentation lists of International Search</w:t>
      </w:r>
      <w:r>
        <w:rPr>
          <w:spacing w:val="80"/>
          <w:sz w:val="22"/>
        </w:rPr>
        <w:t> </w:t>
      </w:r>
      <w:r>
        <w:rPr>
          <w:sz w:val="22"/>
        </w:rPr>
        <w:t>Authorities</w:t>
      </w:r>
      <w:r>
        <w:rPr>
          <w:spacing w:val="80"/>
          <w:sz w:val="22"/>
        </w:rPr>
        <w:t> </w:t>
      </w:r>
      <w:r>
        <w:rPr>
          <w:sz w:val="22"/>
        </w:rPr>
        <w:t>and</w:t>
      </w:r>
      <w:r>
        <w:rPr>
          <w:spacing w:val="80"/>
          <w:sz w:val="22"/>
        </w:rPr>
        <w:t> </w:t>
      </w:r>
      <w:r>
        <w:rPr>
          <w:sz w:val="22"/>
        </w:rPr>
        <w:t>other</w:t>
      </w:r>
      <w:r>
        <w:rPr>
          <w:spacing w:val="80"/>
          <w:sz w:val="22"/>
        </w:rPr>
        <w:t> </w:t>
      </w:r>
      <w:r>
        <w:rPr>
          <w:sz w:val="22"/>
        </w:rPr>
        <w:t>patent</w:t>
      </w:r>
      <w:r>
        <w:rPr>
          <w:spacing w:val="80"/>
          <w:sz w:val="22"/>
        </w:rPr>
        <w:t> </w:t>
      </w:r>
      <w:r>
        <w:rPr>
          <w:sz w:val="22"/>
        </w:rPr>
        <w:t>offices,</w:t>
      </w:r>
    </w:p>
    <w:p>
      <w:pPr>
        <w:pStyle w:val="BodyText"/>
        <w:spacing w:line="266" w:lineRule="auto" w:before="57"/>
        <w:ind w:left="679" w:right="1077"/>
        <w:jc w:val="both"/>
      </w:pPr>
      <w:r>
        <w:rPr/>
        <w:br w:type="column"/>
      </w:r>
      <w:r>
        <w:rPr/>
        <w:t>while processing patent applications. Further, </w:t>
      </w:r>
      <w:r>
        <w:rPr/>
        <w:t>to prevent misappropriation and to facilitate more transparency, it is also necessary to disclose and </w:t>
      </w:r>
      <w:r>
        <w:rPr>
          <w:spacing w:val="-4"/>
        </w:rPr>
        <w:t>declare</w:t>
      </w:r>
      <w:r>
        <w:rPr>
          <w:spacing w:val="-6"/>
        </w:rPr>
        <w:t> </w:t>
      </w:r>
      <w:r>
        <w:rPr>
          <w:spacing w:val="-4"/>
        </w:rPr>
        <w:t>all</w:t>
      </w:r>
      <w:r>
        <w:rPr>
          <w:spacing w:val="-6"/>
        </w:rPr>
        <w:t> </w:t>
      </w:r>
      <w:r>
        <w:rPr>
          <w:spacing w:val="-4"/>
        </w:rPr>
        <w:t>pertinent</w:t>
      </w:r>
      <w:r>
        <w:rPr>
          <w:spacing w:val="-6"/>
        </w:rPr>
        <w:t> </w:t>
      </w:r>
      <w:r>
        <w:rPr>
          <w:spacing w:val="-4"/>
        </w:rPr>
        <w:t>sources</w:t>
      </w:r>
      <w:r>
        <w:rPr>
          <w:spacing w:val="-6"/>
        </w:rPr>
        <w:t> </w:t>
      </w:r>
      <w:r>
        <w:rPr>
          <w:spacing w:val="-4"/>
        </w:rPr>
        <w:t>of</w:t>
      </w:r>
      <w:r>
        <w:rPr>
          <w:spacing w:val="-6"/>
        </w:rPr>
        <w:t> </w:t>
      </w:r>
      <w:r>
        <w:rPr>
          <w:spacing w:val="-4"/>
        </w:rPr>
        <w:t>information</w:t>
      </w:r>
      <w:r>
        <w:rPr>
          <w:spacing w:val="-6"/>
        </w:rPr>
        <w:t> </w:t>
      </w:r>
      <w:r>
        <w:rPr>
          <w:spacing w:val="-4"/>
        </w:rPr>
        <w:t>relating </w:t>
      </w:r>
      <w:r>
        <w:rPr/>
        <w:t>to TK in patent applications.</w:t>
      </w:r>
    </w:p>
    <w:p>
      <w:pPr>
        <w:pStyle w:val="BodyText"/>
        <w:spacing w:before="23"/>
      </w:pPr>
    </w:p>
    <w:p>
      <w:pPr>
        <w:pStyle w:val="ListParagraph"/>
        <w:numPr>
          <w:ilvl w:val="1"/>
          <w:numId w:val="58"/>
        </w:numPr>
        <w:tabs>
          <w:tab w:pos="677" w:val="left" w:leader="none"/>
          <w:tab w:pos="679" w:val="left" w:leader="none"/>
        </w:tabs>
        <w:spacing w:line="266" w:lineRule="auto" w:before="0" w:after="0"/>
        <w:ind w:left="679" w:right="1077" w:hanging="360"/>
        <w:jc w:val="both"/>
        <w:rPr>
          <w:sz w:val="22"/>
        </w:rPr>
      </w:pPr>
      <w:r>
        <w:rPr>
          <w:sz w:val="22"/>
        </w:rPr>
        <w:t>To</w:t>
      </w:r>
      <w:r>
        <w:rPr>
          <w:spacing w:val="-14"/>
          <w:sz w:val="22"/>
        </w:rPr>
        <w:t> </w:t>
      </w:r>
      <w:r>
        <w:rPr>
          <w:sz w:val="22"/>
        </w:rPr>
        <w:t>create</w:t>
      </w:r>
      <w:r>
        <w:rPr>
          <w:spacing w:val="-14"/>
          <w:sz w:val="22"/>
        </w:rPr>
        <w:t> </w:t>
      </w:r>
      <w:r>
        <w:rPr>
          <w:sz w:val="22"/>
        </w:rPr>
        <w:t>incentives</w:t>
      </w:r>
      <w:r>
        <w:rPr>
          <w:spacing w:val="-14"/>
          <w:sz w:val="22"/>
        </w:rPr>
        <w:t> </w:t>
      </w:r>
      <w:r>
        <w:rPr>
          <w:sz w:val="22"/>
        </w:rPr>
        <w:t>for</w:t>
      </w:r>
      <w:r>
        <w:rPr>
          <w:spacing w:val="-13"/>
          <w:sz w:val="22"/>
        </w:rPr>
        <w:t> </w:t>
      </w:r>
      <w:r>
        <w:rPr>
          <w:sz w:val="22"/>
        </w:rPr>
        <w:t>commercialisation</w:t>
      </w:r>
      <w:r>
        <w:rPr>
          <w:spacing w:val="-14"/>
          <w:sz w:val="22"/>
        </w:rPr>
        <w:t> </w:t>
      </w:r>
      <w:r>
        <w:rPr>
          <w:sz w:val="22"/>
        </w:rPr>
        <w:t>of</w:t>
      </w:r>
      <w:r>
        <w:rPr>
          <w:spacing w:val="-14"/>
          <w:sz w:val="22"/>
        </w:rPr>
        <w:t> </w:t>
      </w:r>
      <w:r>
        <w:rPr>
          <w:sz w:val="22"/>
        </w:rPr>
        <w:t>TK, </w:t>
      </w:r>
      <w:r>
        <w:rPr>
          <w:spacing w:val="-6"/>
          <w:sz w:val="22"/>
        </w:rPr>
        <w:t>companies</w:t>
      </w:r>
      <w:r>
        <w:rPr>
          <w:spacing w:val="-8"/>
          <w:sz w:val="22"/>
        </w:rPr>
        <w:t> </w:t>
      </w:r>
      <w:r>
        <w:rPr>
          <w:spacing w:val="-6"/>
          <w:sz w:val="22"/>
        </w:rPr>
        <w:t>should</w:t>
      </w:r>
      <w:r>
        <w:rPr>
          <w:spacing w:val="-2"/>
          <w:sz w:val="22"/>
        </w:rPr>
        <w:t> </w:t>
      </w:r>
      <w:r>
        <w:rPr>
          <w:spacing w:val="-6"/>
          <w:sz w:val="22"/>
        </w:rPr>
        <w:t>be able to access the</w:t>
      </w:r>
      <w:r>
        <w:rPr>
          <w:spacing w:val="-8"/>
          <w:sz w:val="22"/>
        </w:rPr>
        <w:t> </w:t>
      </w:r>
      <w:r>
        <w:rPr>
          <w:spacing w:val="-6"/>
          <w:sz w:val="22"/>
        </w:rPr>
        <w:t>TKDL upon </w:t>
      </w:r>
      <w:r>
        <w:rPr>
          <w:sz w:val="22"/>
        </w:rPr>
        <w:t>payment of adequate user fees and subject to the condition</w:t>
      </w:r>
      <w:r>
        <w:rPr>
          <w:spacing w:val="-14"/>
          <w:sz w:val="22"/>
        </w:rPr>
        <w:t> </w:t>
      </w:r>
      <w:r>
        <w:rPr>
          <w:sz w:val="22"/>
        </w:rPr>
        <w:t>that</w:t>
      </w:r>
      <w:r>
        <w:rPr>
          <w:spacing w:val="-11"/>
          <w:sz w:val="22"/>
        </w:rPr>
        <w:t> </w:t>
      </w:r>
      <w:r>
        <w:rPr>
          <w:sz w:val="22"/>
        </w:rPr>
        <w:t>inventions</w:t>
      </w:r>
      <w:r>
        <w:rPr>
          <w:spacing w:val="-11"/>
          <w:sz w:val="22"/>
        </w:rPr>
        <w:t> </w:t>
      </w:r>
      <w:r>
        <w:rPr>
          <w:sz w:val="22"/>
        </w:rPr>
        <w:t>arising</w:t>
      </w:r>
      <w:r>
        <w:rPr>
          <w:spacing w:val="-11"/>
          <w:sz w:val="22"/>
        </w:rPr>
        <w:t> </w:t>
      </w:r>
      <w:r>
        <w:rPr>
          <w:sz w:val="22"/>
        </w:rPr>
        <w:t>out</w:t>
      </w:r>
      <w:r>
        <w:rPr>
          <w:spacing w:val="-11"/>
          <w:sz w:val="22"/>
        </w:rPr>
        <w:t> </w:t>
      </w:r>
      <w:r>
        <w:rPr>
          <w:sz w:val="22"/>
        </w:rPr>
        <w:t>of</w:t>
      </w:r>
      <w:r>
        <w:rPr>
          <w:spacing w:val="-11"/>
          <w:sz w:val="22"/>
        </w:rPr>
        <w:t> </w:t>
      </w:r>
      <w:r>
        <w:rPr>
          <w:sz w:val="22"/>
        </w:rPr>
        <w:t>the</w:t>
      </w:r>
      <w:r>
        <w:rPr>
          <w:spacing w:val="-14"/>
          <w:sz w:val="22"/>
        </w:rPr>
        <w:t> </w:t>
      </w:r>
      <w:r>
        <w:rPr>
          <w:sz w:val="22"/>
        </w:rPr>
        <w:t>TKDL </w:t>
      </w:r>
      <w:r>
        <w:rPr>
          <w:spacing w:val="-4"/>
          <w:sz w:val="22"/>
        </w:rPr>
        <w:t>would</w:t>
      </w:r>
      <w:r>
        <w:rPr>
          <w:spacing w:val="-10"/>
          <w:sz w:val="22"/>
        </w:rPr>
        <w:t> </w:t>
      </w:r>
      <w:r>
        <w:rPr>
          <w:spacing w:val="-4"/>
          <w:sz w:val="22"/>
        </w:rPr>
        <w:t>require</w:t>
      </w:r>
      <w:r>
        <w:rPr>
          <w:spacing w:val="-10"/>
          <w:sz w:val="22"/>
        </w:rPr>
        <w:t> </w:t>
      </w:r>
      <w:r>
        <w:rPr>
          <w:spacing w:val="-4"/>
          <w:sz w:val="22"/>
        </w:rPr>
        <w:t>royalty</w:t>
      </w:r>
      <w:r>
        <w:rPr>
          <w:spacing w:val="-10"/>
          <w:sz w:val="22"/>
        </w:rPr>
        <w:t> </w:t>
      </w:r>
      <w:r>
        <w:rPr>
          <w:spacing w:val="-4"/>
          <w:sz w:val="22"/>
        </w:rPr>
        <w:t>sharing</w:t>
      </w:r>
      <w:r>
        <w:rPr>
          <w:spacing w:val="-9"/>
          <w:sz w:val="22"/>
        </w:rPr>
        <w:t> </w:t>
      </w:r>
      <w:r>
        <w:rPr>
          <w:spacing w:val="-4"/>
          <w:sz w:val="22"/>
        </w:rPr>
        <w:t>with</w:t>
      </w:r>
      <w:r>
        <w:rPr>
          <w:spacing w:val="-10"/>
          <w:sz w:val="22"/>
        </w:rPr>
        <w:t> </w:t>
      </w:r>
      <w:r>
        <w:rPr>
          <w:spacing w:val="-4"/>
          <w:sz w:val="22"/>
        </w:rPr>
        <w:t>the</w:t>
      </w:r>
      <w:r>
        <w:rPr>
          <w:spacing w:val="-10"/>
          <w:sz w:val="22"/>
        </w:rPr>
        <w:t> </w:t>
      </w:r>
      <w:r>
        <w:rPr>
          <w:spacing w:val="-4"/>
          <w:sz w:val="22"/>
        </w:rPr>
        <w:t>government. </w:t>
      </w:r>
      <w:r>
        <w:rPr>
          <w:sz w:val="22"/>
        </w:rPr>
        <w:t>The government should also take active steps to </w:t>
      </w:r>
      <w:r>
        <w:rPr>
          <w:spacing w:val="-4"/>
          <w:sz w:val="22"/>
        </w:rPr>
        <w:t>encourage</w:t>
      </w:r>
      <w:r>
        <w:rPr>
          <w:spacing w:val="-10"/>
          <w:sz w:val="22"/>
        </w:rPr>
        <w:t> </w:t>
      </w:r>
      <w:r>
        <w:rPr>
          <w:spacing w:val="-4"/>
          <w:sz w:val="22"/>
        </w:rPr>
        <w:t>investments</w:t>
      </w:r>
      <w:r>
        <w:rPr>
          <w:spacing w:val="-10"/>
          <w:sz w:val="22"/>
        </w:rPr>
        <w:t> </w:t>
      </w:r>
      <w:r>
        <w:rPr>
          <w:spacing w:val="-4"/>
          <w:sz w:val="22"/>
        </w:rPr>
        <w:t>in</w:t>
      </w:r>
      <w:r>
        <w:rPr>
          <w:spacing w:val="-10"/>
          <w:sz w:val="22"/>
        </w:rPr>
        <w:t> </w:t>
      </w:r>
      <w:r>
        <w:rPr>
          <w:spacing w:val="-4"/>
          <w:sz w:val="22"/>
        </w:rPr>
        <w:t>TK</w:t>
      </w:r>
      <w:r>
        <w:rPr>
          <w:spacing w:val="-9"/>
          <w:sz w:val="22"/>
        </w:rPr>
        <w:t> </w:t>
      </w:r>
      <w:r>
        <w:rPr>
          <w:spacing w:val="-4"/>
          <w:sz w:val="22"/>
        </w:rPr>
        <w:t>through</w:t>
      </w:r>
      <w:r>
        <w:rPr>
          <w:spacing w:val="-10"/>
          <w:sz w:val="22"/>
        </w:rPr>
        <w:t> </w:t>
      </w:r>
      <w:r>
        <w:rPr>
          <w:spacing w:val="-4"/>
          <w:sz w:val="22"/>
        </w:rPr>
        <w:t>collaborative </w:t>
      </w:r>
      <w:r>
        <w:rPr>
          <w:sz w:val="22"/>
        </w:rPr>
        <w:t>efforts</w:t>
      </w:r>
      <w:r>
        <w:rPr>
          <w:spacing w:val="-8"/>
          <w:sz w:val="22"/>
        </w:rPr>
        <w:t> </w:t>
      </w:r>
      <w:r>
        <w:rPr>
          <w:sz w:val="22"/>
        </w:rPr>
        <w:t>with</w:t>
      </w:r>
      <w:r>
        <w:rPr>
          <w:spacing w:val="-8"/>
          <w:sz w:val="22"/>
        </w:rPr>
        <w:t> </w:t>
      </w:r>
      <w:r>
        <w:rPr>
          <w:sz w:val="22"/>
        </w:rPr>
        <w:t>industry</w:t>
      </w:r>
      <w:r>
        <w:rPr>
          <w:spacing w:val="-8"/>
          <w:sz w:val="22"/>
        </w:rPr>
        <w:t> </w:t>
      </w:r>
      <w:r>
        <w:rPr>
          <w:sz w:val="22"/>
        </w:rPr>
        <w:t>and</w:t>
      </w:r>
      <w:r>
        <w:rPr>
          <w:spacing w:val="-8"/>
          <w:sz w:val="22"/>
        </w:rPr>
        <w:t> </w:t>
      </w:r>
      <w:r>
        <w:rPr>
          <w:sz w:val="22"/>
        </w:rPr>
        <w:t>civil</w:t>
      </w:r>
      <w:r>
        <w:rPr>
          <w:spacing w:val="-8"/>
          <w:sz w:val="22"/>
        </w:rPr>
        <w:t> </w:t>
      </w:r>
      <w:r>
        <w:rPr>
          <w:sz w:val="22"/>
        </w:rPr>
        <w:t>society.</w:t>
      </w:r>
      <w:r>
        <w:rPr>
          <w:spacing w:val="-8"/>
          <w:sz w:val="22"/>
        </w:rPr>
        <w:t> </w:t>
      </w:r>
      <w:r>
        <w:rPr>
          <w:sz w:val="22"/>
        </w:rPr>
        <w:t>Innovative financial mechanisms should be evolved so that the revenue generated by the government from </w:t>
      </w:r>
      <w:r>
        <w:rPr>
          <w:spacing w:val="-8"/>
          <w:sz w:val="22"/>
        </w:rPr>
        <w:t>commercialisation</w:t>
      </w:r>
      <w:r>
        <w:rPr>
          <w:spacing w:val="-5"/>
          <w:sz w:val="22"/>
        </w:rPr>
        <w:t> </w:t>
      </w:r>
      <w:r>
        <w:rPr>
          <w:spacing w:val="-8"/>
          <w:sz w:val="22"/>
        </w:rPr>
        <w:t>of</w:t>
      </w:r>
      <w:r>
        <w:rPr>
          <w:spacing w:val="-6"/>
          <w:sz w:val="22"/>
        </w:rPr>
        <w:t> </w:t>
      </w:r>
      <w:r>
        <w:rPr>
          <w:spacing w:val="-8"/>
          <w:sz w:val="22"/>
        </w:rPr>
        <w:t>TKDL</w:t>
      </w:r>
      <w:r>
        <w:rPr>
          <w:sz w:val="22"/>
        </w:rPr>
        <w:t> </w:t>
      </w:r>
      <w:r>
        <w:rPr>
          <w:spacing w:val="-8"/>
          <w:sz w:val="22"/>
        </w:rPr>
        <w:t>and</w:t>
      </w:r>
      <w:r>
        <w:rPr>
          <w:sz w:val="22"/>
        </w:rPr>
        <w:t> </w:t>
      </w:r>
      <w:r>
        <w:rPr>
          <w:spacing w:val="-8"/>
          <w:sz w:val="22"/>
        </w:rPr>
        <w:t>other</w:t>
      </w:r>
      <w:r>
        <w:rPr>
          <w:sz w:val="22"/>
        </w:rPr>
        <w:t> </w:t>
      </w:r>
      <w:r>
        <w:rPr>
          <w:spacing w:val="-8"/>
          <w:sz w:val="22"/>
        </w:rPr>
        <w:t>commercially </w:t>
      </w:r>
      <w:r>
        <w:rPr>
          <w:sz w:val="22"/>
        </w:rPr>
        <w:t>synergistic initiatives is used to create a TK </w:t>
      </w:r>
      <w:r>
        <w:rPr>
          <w:spacing w:val="-6"/>
          <w:sz w:val="22"/>
        </w:rPr>
        <w:t>Development</w:t>
      </w:r>
      <w:r>
        <w:rPr>
          <w:spacing w:val="-8"/>
          <w:sz w:val="22"/>
        </w:rPr>
        <w:t> </w:t>
      </w:r>
      <w:r>
        <w:rPr>
          <w:spacing w:val="-6"/>
          <w:sz w:val="22"/>
        </w:rPr>
        <w:t>Fund.</w:t>
      </w:r>
      <w:r>
        <w:rPr>
          <w:spacing w:val="-8"/>
          <w:sz w:val="22"/>
        </w:rPr>
        <w:t> </w:t>
      </w:r>
      <w:r>
        <w:rPr>
          <w:spacing w:val="-6"/>
          <w:sz w:val="22"/>
        </w:rPr>
        <w:t>The</w:t>
      </w:r>
      <w:r>
        <w:rPr>
          <w:spacing w:val="-8"/>
          <w:sz w:val="22"/>
        </w:rPr>
        <w:t> </w:t>
      </w:r>
      <w:r>
        <w:rPr>
          <w:spacing w:val="-6"/>
          <w:sz w:val="22"/>
        </w:rPr>
        <w:t>proceeds</w:t>
      </w:r>
      <w:r>
        <w:rPr>
          <w:spacing w:val="-7"/>
          <w:sz w:val="22"/>
        </w:rPr>
        <w:t> </w:t>
      </w:r>
      <w:r>
        <w:rPr>
          <w:spacing w:val="-6"/>
          <w:sz w:val="22"/>
        </w:rPr>
        <w:t>of</w:t>
      </w:r>
      <w:r>
        <w:rPr>
          <w:spacing w:val="-8"/>
          <w:sz w:val="22"/>
        </w:rPr>
        <w:t> </w:t>
      </w:r>
      <w:r>
        <w:rPr>
          <w:spacing w:val="-6"/>
          <w:sz w:val="22"/>
        </w:rPr>
        <w:t>the</w:t>
      </w:r>
      <w:r>
        <w:rPr>
          <w:spacing w:val="-8"/>
          <w:sz w:val="22"/>
        </w:rPr>
        <w:t> </w:t>
      </w:r>
      <w:r>
        <w:rPr>
          <w:spacing w:val="-6"/>
          <w:sz w:val="22"/>
        </w:rPr>
        <w:t>fund</w:t>
      </w:r>
      <w:r>
        <w:rPr>
          <w:spacing w:val="-8"/>
          <w:sz w:val="22"/>
        </w:rPr>
        <w:t> </w:t>
      </w:r>
      <w:r>
        <w:rPr>
          <w:spacing w:val="-6"/>
          <w:sz w:val="22"/>
        </w:rPr>
        <w:t>would </w:t>
      </w:r>
      <w:r>
        <w:rPr>
          <w:spacing w:val="-4"/>
          <w:sz w:val="22"/>
        </w:rPr>
        <w:t>be</w:t>
      </w:r>
      <w:r>
        <w:rPr>
          <w:spacing w:val="-10"/>
          <w:sz w:val="22"/>
        </w:rPr>
        <w:t> </w:t>
      </w:r>
      <w:r>
        <w:rPr>
          <w:spacing w:val="-4"/>
          <w:sz w:val="22"/>
        </w:rPr>
        <w:t>used</w:t>
      </w:r>
      <w:r>
        <w:rPr>
          <w:spacing w:val="-10"/>
          <w:sz w:val="22"/>
        </w:rPr>
        <w:t> </w:t>
      </w:r>
      <w:r>
        <w:rPr>
          <w:spacing w:val="-4"/>
          <w:sz w:val="22"/>
        </w:rPr>
        <w:t>to</w:t>
      </w:r>
      <w:r>
        <w:rPr>
          <w:spacing w:val="-10"/>
          <w:sz w:val="22"/>
        </w:rPr>
        <w:t> </w:t>
      </w:r>
      <w:r>
        <w:rPr>
          <w:spacing w:val="-4"/>
          <w:sz w:val="22"/>
        </w:rPr>
        <w:t>conserve</w:t>
      </w:r>
      <w:r>
        <w:rPr>
          <w:spacing w:val="-9"/>
          <w:sz w:val="22"/>
        </w:rPr>
        <w:t> </w:t>
      </w:r>
      <w:r>
        <w:rPr>
          <w:spacing w:val="-4"/>
          <w:sz w:val="22"/>
        </w:rPr>
        <w:t>TK</w:t>
      </w:r>
      <w:r>
        <w:rPr>
          <w:spacing w:val="-10"/>
          <w:sz w:val="22"/>
        </w:rPr>
        <w:t> </w:t>
      </w:r>
      <w:r>
        <w:rPr>
          <w:spacing w:val="-4"/>
          <w:sz w:val="22"/>
        </w:rPr>
        <w:t>generally,</w:t>
      </w:r>
      <w:r>
        <w:rPr>
          <w:spacing w:val="-10"/>
          <w:sz w:val="22"/>
        </w:rPr>
        <w:t> </w:t>
      </w:r>
      <w:r>
        <w:rPr>
          <w:spacing w:val="-4"/>
          <w:sz w:val="22"/>
        </w:rPr>
        <w:t>conduct</w:t>
      </w:r>
      <w:r>
        <w:rPr>
          <w:spacing w:val="-10"/>
          <w:sz w:val="22"/>
        </w:rPr>
        <w:t> </w:t>
      </w:r>
      <w:r>
        <w:rPr>
          <w:spacing w:val="-4"/>
          <w:sz w:val="22"/>
        </w:rPr>
        <w:t>research on</w:t>
      </w:r>
      <w:r>
        <w:rPr>
          <w:spacing w:val="-10"/>
          <w:sz w:val="22"/>
        </w:rPr>
        <w:t> </w:t>
      </w:r>
      <w:r>
        <w:rPr>
          <w:spacing w:val="-4"/>
          <w:sz w:val="22"/>
        </w:rPr>
        <w:t>TK,</w:t>
      </w:r>
      <w:r>
        <w:rPr>
          <w:spacing w:val="-10"/>
          <w:sz w:val="22"/>
        </w:rPr>
        <w:t> </w:t>
      </w:r>
      <w:r>
        <w:rPr>
          <w:spacing w:val="-4"/>
          <w:sz w:val="22"/>
        </w:rPr>
        <w:t>expand</w:t>
      </w:r>
      <w:r>
        <w:rPr>
          <w:spacing w:val="-9"/>
          <w:sz w:val="22"/>
        </w:rPr>
        <w:t> </w:t>
      </w:r>
      <w:r>
        <w:rPr>
          <w:spacing w:val="-4"/>
          <w:sz w:val="22"/>
        </w:rPr>
        <w:t>the</w:t>
      </w:r>
      <w:r>
        <w:rPr>
          <w:spacing w:val="-10"/>
          <w:sz w:val="22"/>
        </w:rPr>
        <w:t> </w:t>
      </w:r>
      <w:r>
        <w:rPr>
          <w:spacing w:val="-4"/>
          <w:sz w:val="22"/>
        </w:rPr>
        <w:t>TKDL</w:t>
      </w:r>
      <w:r>
        <w:rPr>
          <w:spacing w:val="-5"/>
          <w:sz w:val="22"/>
        </w:rPr>
        <w:t> </w:t>
      </w:r>
      <w:r>
        <w:rPr>
          <w:spacing w:val="-4"/>
          <w:sz w:val="22"/>
        </w:rPr>
        <w:t>and</w:t>
      </w:r>
      <w:r>
        <w:rPr>
          <w:spacing w:val="-5"/>
          <w:sz w:val="22"/>
        </w:rPr>
        <w:t> </w:t>
      </w:r>
      <w:r>
        <w:rPr>
          <w:spacing w:val="-4"/>
          <w:sz w:val="22"/>
        </w:rPr>
        <w:t>benefit</w:t>
      </w:r>
      <w:r>
        <w:rPr>
          <w:spacing w:val="-5"/>
          <w:sz w:val="22"/>
        </w:rPr>
        <w:t> </w:t>
      </w:r>
      <w:r>
        <w:rPr>
          <w:spacing w:val="-4"/>
          <w:sz w:val="22"/>
        </w:rPr>
        <w:t>communities </w:t>
      </w:r>
      <w:r>
        <w:rPr>
          <w:sz w:val="22"/>
        </w:rPr>
        <w:t>that</w:t>
      </w:r>
      <w:r>
        <w:rPr>
          <w:spacing w:val="-5"/>
          <w:sz w:val="22"/>
        </w:rPr>
        <w:t> </w:t>
      </w:r>
      <w:r>
        <w:rPr>
          <w:sz w:val="22"/>
        </w:rPr>
        <w:t>have</w:t>
      </w:r>
      <w:r>
        <w:rPr>
          <w:spacing w:val="-5"/>
          <w:sz w:val="22"/>
        </w:rPr>
        <w:t> </w:t>
      </w:r>
      <w:r>
        <w:rPr>
          <w:sz w:val="22"/>
        </w:rPr>
        <w:t>contributed</w:t>
      </w:r>
      <w:r>
        <w:rPr>
          <w:spacing w:val="-5"/>
          <w:sz w:val="22"/>
        </w:rPr>
        <w:t> </w:t>
      </w:r>
      <w:r>
        <w:rPr>
          <w:sz w:val="22"/>
        </w:rPr>
        <w:t>to</w:t>
      </w:r>
      <w:r>
        <w:rPr>
          <w:spacing w:val="-5"/>
          <w:sz w:val="22"/>
        </w:rPr>
        <w:t> </w:t>
      </w:r>
      <w:r>
        <w:rPr>
          <w:sz w:val="22"/>
        </w:rPr>
        <w:t>the</w:t>
      </w:r>
      <w:r>
        <w:rPr>
          <w:spacing w:val="-5"/>
          <w:sz w:val="22"/>
        </w:rPr>
        <w:t> </w:t>
      </w:r>
      <w:r>
        <w:rPr>
          <w:sz w:val="22"/>
        </w:rPr>
        <w:t>creation</w:t>
      </w:r>
      <w:r>
        <w:rPr>
          <w:spacing w:val="-5"/>
          <w:sz w:val="22"/>
        </w:rPr>
        <w:t> </w:t>
      </w:r>
      <w:r>
        <w:rPr>
          <w:sz w:val="22"/>
        </w:rPr>
        <w:t>of</w:t>
      </w:r>
      <w:r>
        <w:rPr>
          <w:spacing w:val="-15"/>
          <w:sz w:val="22"/>
        </w:rPr>
        <w:t> </w:t>
      </w:r>
      <w:r>
        <w:rPr>
          <w:sz w:val="22"/>
        </w:rPr>
        <w:t>TK.</w:t>
      </w:r>
    </w:p>
    <w:p>
      <w:pPr>
        <w:pStyle w:val="BodyText"/>
      </w:pPr>
    </w:p>
    <w:p>
      <w:pPr>
        <w:pStyle w:val="Heading6"/>
        <w:numPr>
          <w:ilvl w:val="0"/>
          <w:numId w:val="58"/>
        </w:numPr>
        <w:tabs>
          <w:tab w:pos="724" w:val="left" w:leader="none"/>
        </w:tabs>
        <w:spacing w:line="208" w:lineRule="auto" w:before="0" w:after="0"/>
        <w:ind w:left="724" w:right="2001" w:hanging="405"/>
        <w:jc w:val="left"/>
      </w:pPr>
      <w:r>
        <w:rPr>
          <w:color w:val="2E614A"/>
          <w:spacing w:val="-12"/>
        </w:rPr>
        <w:t>IP</w:t>
      </w:r>
      <w:r>
        <w:rPr>
          <w:color w:val="2E614A"/>
          <w:spacing w:val="-8"/>
        </w:rPr>
        <w:t> </w:t>
      </w:r>
      <w:r>
        <w:rPr>
          <w:color w:val="2E614A"/>
          <w:spacing w:val="-12"/>
        </w:rPr>
        <w:t>and</w:t>
      </w:r>
      <w:r>
        <w:rPr>
          <w:color w:val="2E614A"/>
          <w:spacing w:val="-8"/>
        </w:rPr>
        <w:t> </w:t>
      </w:r>
      <w:r>
        <w:rPr>
          <w:color w:val="2E614A"/>
          <w:spacing w:val="-12"/>
        </w:rPr>
        <w:t>Small</w:t>
      </w:r>
      <w:r>
        <w:rPr>
          <w:color w:val="2E614A"/>
          <w:spacing w:val="-8"/>
        </w:rPr>
        <w:t> </w:t>
      </w:r>
      <w:r>
        <w:rPr>
          <w:color w:val="2E614A"/>
          <w:spacing w:val="-12"/>
        </w:rPr>
        <w:t>and</w:t>
      </w:r>
      <w:r>
        <w:rPr>
          <w:color w:val="2E614A"/>
          <w:spacing w:val="-8"/>
        </w:rPr>
        <w:t> </w:t>
      </w:r>
      <w:r>
        <w:rPr>
          <w:color w:val="2E614A"/>
          <w:spacing w:val="-12"/>
        </w:rPr>
        <w:t>Medium </w:t>
      </w:r>
      <w:r>
        <w:rPr>
          <w:color w:val="2E614A"/>
          <w:spacing w:val="-4"/>
        </w:rPr>
        <w:t>Enterprises</w:t>
      </w:r>
      <w:r>
        <w:rPr>
          <w:color w:val="2E614A"/>
          <w:spacing w:val="-15"/>
        </w:rPr>
        <w:t> </w:t>
      </w:r>
      <w:r>
        <w:rPr>
          <w:color w:val="2E614A"/>
          <w:spacing w:val="-4"/>
        </w:rPr>
        <w:t>(SMEs)</w:t>
      </w:r>
    </w:p>
    <w:p>
      <w:pPr>
        <w:pStyle w:val="ListParagraph"/>
        <w:numPr>
          <w:ilvl w:val="1"/>
          <w:numId w:val="58"/>
        </w:numPr>
        <w:tabs>
          <w:tab w:pos="679" w:val="left" w:leader="none"/>
        </w:tabs>
        <w:spacing w:line="266" w:lineRule="auto" w:before="294" w:after="0"/>
        <w:ind w:left="679" w:right="1077" w:hanging="360"/>
        <w:jc w:val="both"/>
        <w:rPr>
          <w:sz w:val="22"/>
        </w:rPr>
      </w:pPr>
      <w:r>
        <w:rPr>
          <w:sz w:val="22"/>
        </w:rPr>
        <w:t>It</w:t>
      </w:r>
      <w:r>
        <w:rPr>
          <w:spacing w:val="-1"/>
          <w:sz w:val="22"/>
        </w:rPr>
        <w:t> </w:t>
      </w:r>
      <w:r>
        <w:rPr>
          <w:sz w:val="22"/>
        </w:rPr>
        <w:t>is</w:t>
      </w:r>
      <w:r>
        <w:rPr>
          <w:spacing w:val="-1"/>
          <w:sz w:val="22"/>
        </w:rPr>
        <w:t> </w:t>
      </w:r>
      <w:r>
        <w:rPr>
          <w:sz w:val="22"/>
        </w:rPr>
        <w:t>crucial</w:t>
      </w:r>
      <w:r>
        <w:rPr>
          <w:spacing w:val="-1"/>
          <w:sz w:val="22"/>
        </w:rPr>
        <w:t> </w:t>
      </w:r>
      <w:r>
        <w:rPr>
          <w:sz w:val="22"/>
        </w:rPr>
        <w:t>at</w:t>
      </w:r>
      <w:r>
        <w:rPr>
          <w:spacing w:val="-1"/>
          <w:sz w:val="22"/>
        </w:rPr>
        <w:t> </w:t>
      </w:r>
      <w:r>
        <w:rPr>
          <w:sz w:val="22"/>
        </w:rPr>
        <w:t>the</w:t>
      </w:r>
      <w:r>
        <w:rPr>
          <w:spacing w:val="-1"/>
          <w:sz w:val="22"/>
        </w:rPr>
        <w:t> </w:t>
      </w:r>
      <w:r>
        <w:rPr>
          <w:sz w:val="22"/>
        </w:rPr>
        <w:t>governmental</w:t>
      </w:r>
      <w:r>
        <w:rPr>
          <w:spacing w:val="-1"/>
          <w:sz w:val="22"/>
        </w:rPr>
        <w:t> </w:t>
      </w:r>
      <w:r>
        <w:rPr>
          <w:sz w:val="22"/>
        </w:rPr>
        <w:t>level</w:t>
      </w:r>
      <w:r>
        <w:rPr>
          <w:spacing w:val="-1"/>
          <w:sz w:val="22"/>
        </w:rPr>
        <w:t> </w:t>
      </w:r>
      <w:r>
        <w:rPr>
          <w:sz w:val="22"/>
        </w:rPr>
        <w:t>to</w:t>
      </w:r>
      <w:r>
        <w:rPr>
          <w:spacing w:val="-1"/>
          <w:sz w:val="22"/>
        </w:rPr>
        <w:t> </w:t>
      </w:r>
      <w:r>
        <w:rPr>
          <w:sz w:val="22"/>
        </w:rPr>
        <w:t>invest</w:t>
      </w:r>
      <w:r>
        <w:rPr>
          <w:spacing w:val="-1"/>
          <w:sz w:val="22"/>
        </w:rPr>
        <w:t> </w:t>
      </w:r>
      <w:r>
        <w:rPr>
          <w:sz w:val="22"/>
        </w:rPr>
        <w:t>in the IP needs of SMEs.</w:t>
      </w:r>
      <w:r>
        <w:rPr>
          <w:spacing w:val="-1"/>
          <w:sz w:val="22"/>
        </w:rPr>
        <w:t> </w:t>
      </w:r>
      <w:r>
        <w:rPr>
          <w:sz w:val="22"/>
        </w:rPr>
        <w:t>There is need to facilitate </w:t>
      </w:r>
      <w:r>
        <w:rPr>
          <w:spacing w:val="-6"/>
          <w:sz w:val="22"/>
        </w:rPr>
        <w:t>better awareness on the strategic aspects of </w:t>
      </w:r>
      <w:r>
        <w:rPr>
          <w:spacing w:val="-6"/>
          <w:sz w:val="22"/>
        </w:rPr>
        <w:t>creating, </w:t>
      </w:r>
      <w:r>
        <w:rPr>
          <w:spacing w:val="-2"/>
          <w:sz w:val="22"/>
        </w:rPr>
        <w:t>managing,</w:t>
      </w:r>
      <w:r>
        <w:rPr>
          <w:spacing w:val="-14"/>
          <w:sz w:val="22"/>
        </w:rPr>
        <w:t> </w:t>
      </w:r>
      <w:r>
        <w:rPr>
          <w:spacing w:val="-2"/>
          <w:sz w:val="22"/>
        </w:rPr>
        <w:t>protecting</w:t>
      </w:r>
      <w:r>
        <w:rPr>
          <w:spacing w:val="-12"/>
          <w:sz w:val="22"/>
        </w:rPr>
        <w:t> </w:t>
      </w:r>
      <w:r>
        <w:rPr>
          <w:spacing w:val="-2"/>
          <w:sz w:val="22"/>
        </w:rPr>
        <w:t>and</w:t>
      </w:r>
      <w:r>
        <w:rPr>
          <w:spacing w:val="-12"/>
          <w:sz w:val="22"/>
        </w:rPr>
        <w:t> </w:t>
      </w:r>
      <w:r>
        <w:rPr>
          <w:spacing w:val="-2"/>
          <w:sz w:val="22"/>
        </w:rPr>
        <w:t>leveraging</w:t>
      </w:r>
      <w:r>
        <w:rPr>
          <w:spacing w:val="-11"/>
          <w:sz w:val="22"/>
        </w:rPr>
        <w:t> </w:t>
      </w:r>
      <w:r>
        <w:rPr>
          <w:spacing w:val="-2"/>
          <w:sz w:val="22"/>
        </w:rPr>
        <w:t>IP</w:t>
      </w:r>
      <w:r>
        <w:rPr>
          <w:spacing w:val="-12"/>
          <w:sz w:val="22"/>
        </w:rPr>
        <w:t> </w:t>
      </w:r>
      <w:r>
        <w:rPr>
          <w:spacing w:val="-2"/>
          <w:sz w:val="22"/>
        </w:rPr>
        <w:t>as</w:t>
      </w:r>
      <w:r>
        <w:rPr>
          <w:spacing w:val="-12"/>
          <w:sz w:val="22"/>
        </w:rPr>
        <w:t> </w:t>
      </w:r>
      <w:r>
        <w:rPr>
          <w:spacing w:val="-2"/>
          <w:sz w:val="22"/>
        </w:rPr>
        <w:t>a</w:t>
      </w:r>
      <w:r>
        <w:rPr>
          <w:spacing w:val="-12"/>
          <w:sz w:val="22"/>
        </w:rPr>
        <w:t> </w:t>
      </w:r>
      <w:r>
        <w:rPr>
          <w:spacing w:val="-2"/>
          <w:sz w:val="22"/>
        </w:rPr>
        <w:t>tool</w:t>
      </w:r>
      <w:r>
        <w:rPr>
          <w:spacing w:val="-11"/>
          <w:sz w:val="22"/>
        </w:rPr>
        <w:t> </w:t>
      </w:r>
      <w:r>
        <w:rPr>
          <w:spacing w:val="-2"/>
          <w:sz w:val="22"/>
        </w:rPr>
        <w:t>to </w:t>
      </w:r>
      <w:r>
        <w:rPr>
          <w:sz w:val="22"/>
        </w:rPr>
        <w:t>further business opportunities and enable wealth </w:t>
      </w:r>
      <w:r>
        <w:rPr>
          <w:w w:val="90"/>
          <w:sz w:val="22"/>
        </w:rPr>
        <w:t>creation. SMEs are emerging as crucial players in the </w:t>
      </w:r>
      <w:r>
        <w:rPr>
          <w:spacing w:val="-4"/>
          <w:sz w:val="22"/>
        </w:rPr>
        <w:t>global</w:t>
      </w:r>
      <w:r>
        <w:rPr>
          <w:spacing w:val="-10"/>
          <w:sz w:val="22"/>
        </w:rPr>
        <w:t> </w:t>
      </w:r>
      <w:r>
        <w:rPr>
          <w:spacing w:val="-4"/>
          <w:sz w:val="22"/>
        </w:rPr>
        <w:t>knowledge</w:t>
      </w:r>
      <w:r>
        <w:rPr>
          <w:spacing w:val="-10"/>
          <w:sz w:val="22"/>
        </w:rPr>
        <w:t> </w:t>
      </w:r>
      <w:r>
        <w:rPr>
          <w:spacing w:val="-4"/>
          <w:sz w:val="22"/>
        </w:rPr>
        <w:t>economy</w:t>
      </w:r>
      <w:r>
        <w:rPr>
          <w:spacing w:val="-10"/>
          <w:sz w:val="22"/>
        </w:rPr>
        <w:t> </w:t>
      </w:r>
      <w:r>
        <w:rPr>
          <w:spacing w:val="-4"/>
          <w:sz w:val="22"/>
        </w:rPr>
        <w:t>and</w:t>
      </w:r>
      <w:r>
        <w:rPr>
          <w:spacing w:val="-9"/>
          <w:sz w:val="22"/>
        </w:rPr>
        <w:t> </w:t>
      </w:r>
      <w:r>
        <w:rPr>
          <w:spacing w:val="-4"/>
          <w:sz w:val="22"/>
        </w:rPr>
        <w:t>unlike</w:t>
      </w:r>
      <w:r>
        <w:rPr>
          <w:spacing w:val="-10"/>
          <w:sz w:val="22"/>
        </w:rPr>
        <w:t> </w:t>
      </w:r>
      <w:r>
        <w:rPr>
          <w:spacing w:val="-4"/>
          <w:sz w:val="22"/>
        </w:rPr>
        <w:t>larger</w:t>
      </w:r>
      <w:r>
        <w:rPr>
          <w:spacing w:val="-10"/>
          <w:sz w:val="22"/>
        </w:rPr>
        <w:t> </w:t>
      </w:r>
      <w:r>
        <w:rPr>
          <w:spacing w:val="-4"/>
          <w:sz w:val="22"/>
        </w:rPr>
        <w:t>firms, </w:t>
      </w:r>
      <w:r>
        <w:rPr>
          <w:spacing w:val="-2"/>
          <w:sz w:val="22"/>
        </w:rPr>
        <w:t>they</w:t>
      </w:r>
      <w:r>
        <w:rPr>
          <w:spacing w:val="-12"/>
          <w:sz w:val="22"/>
        </w:rPr>
        <w:t> </w:t>
      </w:r>
      <w:r>
        <w:rPr>
          <w:spacing w:val="-2"/>
          <w:sz w:val="22"/>
        </w:rPr>
        <w:t>may</w:t>
      </w:r>
      <w:r>
        <w:rPr>
          <w:spacing w:val="-12"/>
          <w:sz w:val="22"/>
        </w:rPr>
        <w:t> </w:t>
      </w:r>
      <w:r>
        <w:rPr>
          <w:spacing w:val="-2"/>
          <w:sz w:val="22"/>
        </w:rPr>
        <w:t>not</w:t>
      </w:r>
      <w:r>
        <w:rPr>
          <w:spacing w:val="-12"/>
          <w:sz w:val="22"/>
        </w:rPr>
        <w:t> </w:t>
      </w:r>
      <w:r>
        <w:rPr>
          <w:spacing w:val="-2"/>
          <w:sz w:val="22"/>
        </w:rPr>
        <w:t>have</w:t>
      </w:r>
      <w:r>
        <w:rPr>
          <w:spacing w:val="-11"/>
          <w:sz w:val="22"/>
        </w:rPr>
        <w:t> </w:t>
      </w:r>
      <w:r>
        <w:rPr>
          <w:spacing w:val="-2"/>
          <w:sz w:val="22"/>
        </w:rPr>
        <w:t>the</w:t>
      </w:r>
      <w:r>
        <w:rPr>
          <w:spacing w:val="-12"/>
          <w:sz w:val="22"/>
        </w:rPr>
        <w:t> </w:t>
      </w:r>
      <w:r>
        <w:rPr>
          <w:spacing w:val="-2"/>
          <w:sz w:val="22"/>
        </w:rPr>
        <w:t>necessary</w:t>
      </w:r>
      <w:r>
        <w:rPr>
          <w:spacing w:val="-12"/>
          <w:sz w:val="22"/>
        </w:rPr>
        <w:t> </w:t>
      </w:r>
      <w:r>
        <w:rPr>
          <w:spacing w:val="-2"/>
          <w:sz w:val="22"/>
        </w:rPr>
        <w:t>resources</w:t>
      </w:r>
      <w:r>
        <w:rPr>
          <w:spacing w:val="-12"/>
          <w:sz w:val="22"/>
        </w:rPr>
        <w:t> </w:t>
      </w:r>
      <w:r>
        <w:rPr>
          <w:spacing w:val="-2"/>
          <w:sz w:val="22"/>
        </w:rPr>
        <w:t>to</w:t>
      </w:r>
      <w:r>
        <w:rPr>
          <w:spacing w:val="-11"/>
          <w:sz w:val="22"/>
        </w:rPr>
        <w:t> </w:t>
      </w:r>
      <w:r>
        <w:rPr>
          <w:spacing w:val="-2"/>
          <w:sz w:val="22"/>
        </w:rPr>
        <w:t>make </w:t>
      </w:r>
      <w:r>
        <w:rPr>
          <w:sz w:val="22"/>
        </w:rPr>
        <w:t>the</w:t>
      </w:r>
      <w:r>
        <w:rPr>
          <w:spacing w:val="-13"/>
          <w:sz w:val="22"/>
        </w:rPr>
        <w:t> </w:t>
      </w:r>
      <w:r>
        <w:rPr>
          <w:sz w:val="22"/>
        </w:rPr>
        <w:t>best</w:t>
      </w:r>
      <w:r>
        <w:rPr>
          <w:spacing w:val="-13"/>
          <w:sz w:val="22"/>
        </w:rPr>
        <w:t> </w:t>
      </w:r>
      <w:r>
        <w:rPr>
          <w:sz w:val="22"/>
        </w:rPr>
        <w:t>use</w:t>
      </w:r>
      <w:r>
        <w:rPr>
          <w:spacing w:val="-13"/>
          <w:sz w:val="22"/>
        </w:rPr>
        <w:t> </w:t>
      </w:r>
      <w:r>
        <w:rPr>
          <w:sz w:val="22"/>
        </w:rPr>
        <w:t>of</w:t>
      </w:r>
      <w:r>
        <w:rPr>
          <w:spacing w:val="-13"/>
          <w:sz w:val="22"/>
        </w:rPr>
        <w:t> </w:t>
      </w:r>
      <w:r>
        <w:rPr>
          <w:sz w:val="22"/>
        </w:rPr>
        <w:t>IP.</w:t>
      </w:r>
      <w:r>
        <w:rPr>
          <w:spacing w:val="-13"/>
          <w:sz w:val="22"/>
        </w:rPr>
        <w:t> </w:t>
      </w:r>
      <w:r>
        <w:rPr>
          <w:sz w:val="22"/>
        </w:rPr>
        <w:t>In</w:t>
      </w:r>
      <w:r>
        <w:rPr>
          <w:spacing w:val="-13"/>
          <w:sz w:val="22"/>
        </w:rPr>
        <w:t> </w:t>
      </w:r>
      <w:r>
        <w:rPr>
          <w:sz w:val="22"/>
        </w:rPr>
        <w:t>this</w:t>
      </w:r>
      <w:r>
        <w:rPr>
          <w:spacing w:val="-13"/>
          <w:sz w:val="22"/>
        </w:rPr>
        <w:t> </w:t>
      </w:r>
      <w:r>
        <w:rPr>
          <w:sz w:val="22"/>
        </w:rPr>
        <w:t>context,</w:t>
      </w:r>
      <w:r>
        <w:rPr>
          <w:spacing w:val="-13"/>
          <w:sz w:val="22"/>
        </w:rPr>
        <w:t> </w:t>
      </w:r>
      <w:r>
        <w:rPr>
          <w:sz w:val="22"/>
        </w:rPr>
        <w:t>it</w:t>
      </w:r>
      <w:r>
        <w:rPr>
          <w:spacing w:val="-13"/>
          <w:sz w:val="22"/>
        </w:rPr>
        <w:t> </w:t>
      </w:r>
      <w:r>
        <w:rPr>
          <w:sz w:val="22"/>
        </w:rPr>
        <w:t>is</w:t>
      </w:r>
      <w:r>
        <w:rPr>
          <w:spacing w:val="-13"/>
          <w:sz w:val="22"/>
        </w:rPr>
        <w:t> </w:t>
      </w:r>
      <w:r>
        <w:rPr>
          <w:sz w:val="22"/>
        </w:rPr>
        <w:t>essential</w:t>
      </w:r>
      <w:r>
        <w:rPr>
          <w:spacing w:val="-13"/>
          <w:sz w:val="22"/>
        </w:rPr>
        <w:t> </w:t>
      </w:r>
      <w:r>
        <w:rPr>
          <w:sz w:val="22"/>
        </w:rPr>
        <w:t>for </w:t>
      </w:r>
      <w:r>
        <w:rPr>
          <w:spacing w:val="-4"/>
          <w:sz w:val="22"/>
        </w:rPr>
        <w:t>special</w:t>
      </w:r>
      <w:r>
        <w:rPr>
          <w:spacing w:val="-10"/>
          <w:sz w:val="22"/>
        </w:rPr>
        <w:t> </w:t>
      </w:r>
      <w:r>
        <w:rPr>
          <w:spacing w:val="-4"/>
          <w:sz w:val="22"/>
        </w:rPr>
        <w:t>awareness</w:t>
      </w:r>
      <w:r>
        <w:rPr>
          <w:spacing w:val="-10"/>
          <w:sz w:val="22"/>
        </w:rPr>
        <w:t> </w:t>
      </w:r>
      <w:r>
        <w:rPr>
          <w:spacing w:val="-4"/>
          <w:sz w:val="22"/>
        </w:rPr>
        <w:t>campaigns</w:t>
      </w:r>
      <w:r>
        <w:rPr>
          <w:spacing w:val="-10"/>
          <w:sz w:val="22"/>
        </w:rPr>
        <w:t> </w:t>
      </w:r>
      <w:r>
        <w:rPr>
          <w:spacing w:val="-4"/>
          <w:sz w:val="22"/>
        </w:rPr>
        <w:t>for</w:t>
      </w:r>
      <w:r>
        <w:rPr>
          <w:spacing w:val="-9"/>
          <w:sz w:val="22"/>
        </w:rPr>
        <w:t> </w:t>
      </w:r>
      <w:r>
        <w:rPr>
          <w:spacing w:val="-4"/>
          <w:sz w:val="22"/>
        </w:rPr>
        <w:t>SMEs</w:t>
      </w:r>
      <w:r>
        <w:rPr>
          <w:spacing w:val="-10"/>
          <w:sz w:val="22"/>
        </w:rPr>
        <w:t> </w:t>
      </w:r>
      <w:r>
        <w:rPr>
          <w:spacing w:val="-4"/>
          <w:sz w:val="22"/>
        </w:rPr>
        <w:t>so</w:t>
      </w:r>
      <w:r>
        <w:rPr>
          <w:spacing w:val="-10"/>
          <w:sz w:val="22"/>
        </w:rPr>
        <w:t> </w:t>
      </w:r>
      <w:r>
        <w:rPr>
          <w:spacing w:val="-4"/>
          <w:sz w:val="22"/>
        </w:rPr>
        <w:t>that</w:t>
      </w:r>
      <w:r>
        <w:rPr>
          <w:spacing w:val="-10"/>
          <w:sz w:val="22"/>
        </w:rPr>
        <w:t> </w:t>
      </w:r>
      <w:r>
        <w:rPr>
          <w:spacing w:val="-4"/>
          <w:sz w:val="22"/>
        </w:rPr>
        <w:t>they </w:t>
      </w:r>
      <w:r>
        <w:rPr>
          <w:spacing w:val="-2"/>
          <w:sz w:val="22"/>
        </w:rPr>
        <w:t>are</w:t>
      </w:r>
      <w:r>
        <w:rPr>
          <w:spacing w:val="-12"/>
          <w:sz w:val="22"/>
        </w:rPr>
        <w:t> </w:t>
      </w:r>
      <w:r>
        <w:rPr>
          <w:spacing w:val="-2"/>
          <w:sz w:val="22"/>
        </w:rPr>
        <w:t>made</w:t>
      </w:r>
      <w:r>
        <w:rPr>
          <w:spacing w:val="-12"/>
          <w:sz w:val="22"/>
        </w:rPr>
        <w:t> </w:t>
      </w:r>
      <w:r>
        <w:rPr>
          <w:spacing w:val="-2"/>
          <w:sz w:val="22"/>
        </w:rPr>
        <w:t>fully</w:t>
      </w:r>
      <w:r>
        <w:rPr>
          <w:spacing w:val="-12"/>
          <w:sz w:val="22"/>
        </w:rPr>
        <w:t> </w:t>
      </w:r>
      <w:r>
        <w:rPr>
          <w:spacing w:val="-2"/>
          <w:sz w:val="22"/>
        </w:rPr>
        <w:t>aware</w:t>
      </w:r>
      <w:r>
        <w:rPr>
          <w:spacing w:val="-11"/>
          <w:sz w:val="22"/>
        </w:rPr>
        <w:t> </w:t>
      </w:r>
      <w:r>
        <w:rPr>
          <w:spacing w:val="-2"/>
          <w:sz w:val="22"/>
        </w:rPr>
        <w:t>of</w:t>
      </w:r>
      <w:r>
        <w:rPr>
          <w:spacing w:val="-12"/>
          <w:sz w:val="22"/>
        </w:rPr>
        <w:t> </w:t>
      </w:r>
      <w:r>
        <w:rPr>
          <w:spacing w:val="-2"/>
          <w:sz w:val="22"/>
        </w:rPr>
        <w:t>the</w:t>
      </w:r>
      <w:r>
        <w:rPr>
          <w:spacing w:val="-12"/>
          <w:sz w:val="22"/>
        </w:rPr>
        <w:t> </w:t>
      </w:r>
      <w:r>
        <w:rPr>
          <w:spacing w:val="-2"/>
          <w:sz w:val="22"/>
        </w:rPr>
        <w:t>various</w:t>
      </w:r>
      <w:r>
        <w:rPr>
          <w:spacing w:val="-12"/>
          <w:sz w:val="22"/>
        </w:rPr>
        <w:t> </w:t>
      </w:r>
      <w:r>
        <w:rPr>
          <w:spacing w:val="-2"/>
          <w:sz w:val="22"/>
        </w:rPr>
        <w:t>implications</w:t>
      </w:r>
      <w:r>
        <w:rPr>
          <w:spacing w:val="-11"/>
          <w:sz w:val="22"/>
        </w:rPr>
        <w:t> </w:t>
      </w:r>
      <w:r>
        <w:rPr>
          <w:spacing w:val="-2"/>
          <w:sz w:val="22"/>
        </w:rPr>
        <w:t>of </w:t>
      </w:r>
      <w:r>
        <w:rPr>
          <w:sz w:val="22"/>
        </w:rPr>
        <w:t>IP and optimally translates such understandings into</w:t>
      </w:r>
      <w:r>
        <w:rPr>
          <w:spacing w:val="-4"/>
          <w:sz w:val="22"/>
        </w:rPr>
        <w:t> </w:t>
      </w:r>
      <w:r>
        <w:rPr>
          <w:sz w:val="22"/>
        </w:rPr>
        <w:t>their</w:t>
      </w:r>
      <w:r>
        <w:rPr>
          <w:spacing w:val="-4"/>
          <w:sz w:val="22"/>
        </w:rPr>
        <w:t> </w:t>
      </w:r>
      <w:r>
        <w:rPr>
          <w:sz w:val="22"/>
        </w:rPr>
        <w:t>everyday</w:t>
      </w:r>
      <w:r>
        <w:rPr>
          <w:spacing w:val="-4"/>
          <w:sz w:val="22"/>
        </w:rPr>
        <w:t> </w:t>
      </w:r>
      <w:r>
        <w:rPr>
          <w:sz w:val="22"/>
        </w:rPr>
        <w:t>business</w:t>
      </w:r>
      <w:r>
        <w:rPr>
          <w:spacing w:val="-4"/>
          <w:sz w:val="22"/>
        </w:rPr>
        <w:t> </w:t>
      </w:r>
      <w:r>
        <w:rPr>
          <w:sz w:val="22"/>
        </w:rPr>
        <w:t>practices.</w:t>
      </w:r>
    </w:p>
    <w:p>
      <w:pPr>
        <w:pStyle w:val="BodyText"/>
        <w:spacing w:before="2"/>
      </w:pPr>
    </w:p>
    <w:p>
      <w:pPr>
        <w:pStyle w:val="Heading6"/>
        <w:numPr>
          <w:ilvl w:val="0"/>
          <w:numId w:val="58"/>
        </w:numPr>
        <w:tabs>
          <w:tab w:pos="724" w:val="left" w:leader="none"/>
        </w:tabs>
        <w:spacing w:line="208" w:lineRule="auto" w:before="0" w:after="0"/>
        <w:ind w:left="724" w:right="1411" w:hanging="405"/>
        <w:jc w:val="left"/>
      </w:pPr>
      <w:r>
        <w:rPr>
          <w:color w:val="2E614A"/>
          <w:spacing w:val="-10"/>
        </w:rPr>
        <w:t>Global Technology </w:t>
      </w:r>
      <w:r>
        <w:rPr>
          <w:color w:val="2E614A"/>
          <w:spacing w:val="-10"/>
        </w:rPr>
        <w:t>Acquisition </w:t>
      </w:r>
      <w:r>
        <w:rPr>
          <w:color w:val="2E614A"/>
          <w:spacing w:val="-4"/>
        </w:rPr>
        <w:t>Fund</w:t>
      </w:r>
    </w:p>
    <w:p>
      <w:pPr>
        <w:pStyle w:val="ListParagraph"/>
        <w:numPr>
          <w:ilvl w:val="1"/>
          <w:numId w:val="58"/>
        </w:numPr>
        <w:tabs>
          <w:tab w:pos="679" w:val="left" w:leader="none"/>
        </w:tabs>
        <w:spacing w:line="266" w:lineRule="auto" w:before="294" w:after="0"/>
        <w:ind w:left="679" w:right="1077" w:hanging="360"/>
        <w:jc w:val="both"/>
        <w:rPr>
          <w:sz w:val="22"/>
        </w:rPr>
      </w:pPr>
      <w:r>
        <w:rPr>
          <w:sz w:val="22"/>
        </w:rPr>
        <w:t>The</w:t>
      </w:r>
      <w:r>
        <w:rPr>
          <w:spacing w:val="-9"/>
          <w:sz w:val="22"/>
        </w:rPr>
        <w:t> </w:t>
      </w:r>
      <w:r>
        <w:rPr>
          <w:sz w:val="22"/>
        </w:rPr>
        <w:t>strategic</w:t>
      </w:r>
      <w:r>
        <w:rPr>
          <w:spacing w:val="-9"/>
          <w:sz w:val="22"/>
        </w:rPr>
        <w:t> </w:t>
      </w:r>
      <w:r>
        <w:rPr>
          <w:sz w:val="22"/>
        </w:rPr>
        <w:t>positioning</w:t>
      </w:r>
      <w:r>
        <w:rPr>
          <w:spacing w:val="-9"/>
          <w:sz w:val="22"/>
        </w:rPr>
        <w:t> </w:t>
      </w:r>
      <w:r>
        <w:rPr>
          <w:sz w:val="22"/>
        </w:rPr>
        <w:t>of</w:t>
      </w:r>
      <w:r>
        <w:rPr>
          <w:spacing w:val="-9"/>
          <w:sz w:val="22"/>
        </w:rPr>
        <w:t> </w:t>
      </w:r>
      <w:r>
        <w:rPr>
          <w:sz w:val="22"/>
        </w:rPr>
        <w:t>India</w:t>
      </w:r>
      <w:r>
        <w:rPr>
          <w:spacing w:val="-9"/>
          <w:sz w:val="22"/>
        </w:rPr>
        <w:t> </w:t>
      </w:r>
      <w:r>
        <w:rPr>
          <w:sz w:val="22"/>
        </w:rPr>
        <w:t>as</w:t>
      </w:r>
      <w:r>
        <w:rPr>
          <w:spacing w:val="-9"/>
          <w:sz w:val="22"/>
        </w:rPr>
        <w:t> </w:t>
      </w:r>
      <w:r>
        <w:rPr>
          <w:sz w:val="22"/>
        </w:rPr>
        <w:t>a</w:t>
      </w:r>
      <w:r>
        <w:rPr>
          <w:spacing w:val="-9"/>
          <w:sz w:val="22"/>
        </w:rPr>
        <w:t> </w:t>
      </w:r>
      <w:r>
        <w:rPr>
          <w:sz w:val="22"/>
        </w:rPr>
        <w:t>technology superpower will depend not just on development </w:t>
      </w:r>
      <w:r>
        <w:rPr>
          <w:spacing w:val="-2"/>
          <w:sz w:val="22"/>
        </w:rPr>
        <w:t>indigenous</w:t>
      </w:r>
      <w:r>
        <w:rPr>
          <w:spacing w:val="-11"/>
          <w:sz w:val="22"/>
        </w:rPr>
        <w:t> </w:t>
      </w:r>
      <w:r>
        <w:rPr>
          <w:spacing w:val="-2"/>
          <w:sz w:val="22"/>
        </w:rPr>
        <w:t>technological</w:t>
      </w:r>
      <w:r>
        <w:rPr>
          <w:spacing w:val="-11"/>
          <w:sz w:val="22"/>
        </w:rPr>
        <w:t> </w:t>
      </w:r>
      <w:r>
        <w:rPr>
          <w:spacing w:val="-2"/>
          <w:sz w:val="22"/>
        </w:rPr>
        <w:t>expertise,</w:t>
      </w:r>
      <w:r>
        <w:rPr>
          <w:spacing w:val="-11"/>
          <w:sz w:val="22"/>
        </w:rPr>
        <w:t> </w:t>
      </w:r>
      <w:r>
        <w:rPr>
          <w:spacing w:val="-2"/>
          <w:sz w:val="22"/>
        </w:rPr>
        <w:t>but</w:t>
      </w:r>
      <w:r>
        <w:rPr>
          <w:spacing w:val="-11"/>
          <w:sz w:val="22"/>
        </w:rPr>
        <w:t> </w:t>
      </w:r>
      <w:r>
        <w:rPr>
          <w:spacing w:val="-2"/>
          <w:sz w:val="22"/>
        </w:rPr>
        <w:t>also</w:t>
      </w:r>
      <w:r>
        <w:rPr>
          <w:spacing w:val="-11"/>
          <w:sz w:val="22"/>
        </w:rPr>
        <w:t> </w:t>
      </w:r>
      <w:r>
        <w:rPr>
          <w:spacing w:val="-2"/>
          <w:sz w:val="22"/>
        </w:rPr>
        <w:t>on</w:t>
      </w:r>
      <w:r>
        <w:rPr>
          <w:spacing w:val="-11"/>
          <w:sz w:val="22"/>
        </w:rPr>
        <w:t> </w:t>
      </w:r>
      <w:r>
        <w:rPr>
          <w:spacing w:val="-2"/>
          <w:sz w:val="22"/>
        </w:rPr>
        <w:t>the </w:t>
      </w:r>
      <w:r>
        <w:rPr>
          <w:w w:val="90"/>
          <w:sz w:val="22"/>
        </w:rPr>
        <w:t>ability to make crucial technology acquisitions in the </w:t>
      </w:r>
      <w:r>
        <w:rPr>
          <w:spacing w:val="-4"/>
          <w:sz w:val="22"/>
        </w:rPr>
        <w:t>global</w:t>
      </w:r>
      <w:r>
        <w:rPr>
          <w:spacing w:val="-10"/>
          <w:sz w:val="22"/>
        </w:rPr>
        <w:t> </w:t>
      </w:r>
      <w:r>
        <w:rPr>
          <w:spacing w:val="-4"/>
          <w:sz w:val="22"/>
        </w:rPr>
        <w:t>market.</w:t>
      </w:r>
      <w:r>
        <w:rPr>
          <w:spacing w:val="-10"/>
          <w:sz w:val="22"/>
        </w:rPr>
        <w:t> </w:t>
      </w:r>
      <w:r>
        <w:rPr>
          <w:spacing w:val="-4"/>
          <w:sz w:val="22"/>
        </w:rPr>
        <w:t>Countries</w:t>
      </w:r>
      <w:r>
        <w:rPr>
          <w:spacing w:val="-10"/>
          <w:sz w:val="22"/>
        </w:rPr>
        <w:t> </w:t>
      </w:r>
      <w:r>
        <w:rPr>
          <w:spacing w:val="-4"/>
          <w:sz w:val="22"/>
        </w:rPr>
        <w:t>like</w:t>
      </w:r>
      <w:r>
        <w:rPr>
          <w:spacing w:val="-9"/>
          <w:sz w:val="22"/>
        </w:rPr>
        <w:t> </w:t>
      </w:r>
      <w:r>
        <w:rPr>
          <w:spacing w:val="-4"/>
          <w:sz w:val="22"/>
        </w:rPr>
        <w:t>Japan</w:t>
      </w:r>
      <w:r>
        <w:rPr>
          <w:spacing w:val="-10"/>
          <w:sz w:val="22"/>
        </w:rPr>
        <w:t> </w:t>
      </w:r>
      <w:r>
        <w:rPr>
          <w:spacing w:val="-4"/>
          <w:sz w:val="22"/>
        </w:rPr>
        <w:t>and</w:t>
      </w:r>
      <w:r>
        <w:rPr>
          <w:spacing w:val="-10"/>
          <w:sz w:val="22"/>
        </w:rPr>
        <w:t> </w:t>
      </w:r>
      <w:r>
        <w:rPr>
          <w:spacing w:val="-4"/>
          <w:sz w:val="22"/>
        </w:rPr>
        <w:t>Korea</w:t>
      </w:r>
      <w:r>
        <w:rPr>
          <w:spacing w:val="-10"/>
          <w:sz w:val="22"/>
        </w:rPr>
        <w:t> </w:t>
      </w:r>
      <w:r>
        <w:rPr>
          <w:spacing w:val="-4"/>
          <w:sz w:val="22"/>
        </w:rPr>
        <w:t>have </w:t>
      </w:r>
      <w:r>
        <w:rPr>
          <w:spacing w:val="-2"/>
          <w:sz w:val="22"/>
        </w:rPr>
        <w:t>successfully</w:t>
      </w:r>
      <w:r>
        <w:rPr>
          <w:spacing w:val="-12"/>
          <w:sz w:val="22"/>
        </w:rPr>
        <w:t> </w:t>
      </w:r>
      <w:r>
        <w:rPr>
          <w:spacing w:val="-2"/>
          <w:sz w:val="22"/>
        </w:rPr>
        <w:t>used</w:t>
      </w:r>
      <w:r>
        <w:rPr>
          <w:spacing w:val="-12"/>
          <w:sz w:val="22"/>
        </w:rPr>
        <w:t> </w:t>
      </w:r>
      <w:r>
        <w:rPr>
          <w:spacing w:val="-2"/>
          <w:sz w:val="22"/>
        </w:rPr>
        <w:t>such</w:t>
      </w:r>
      <w:r>
        <w:rPr>
          <w:spacing w:val="-12"/>
          <w:sz w:val="22"/>
        </w:rPr>
        <w:t> </w:t>
      </w:r>
      <w:r>
        <w:rPr>
          <w:spacing w:val="-2"/>
          <w:sz w:val="22"/>
        </w:rPr>
        <w:t>acquisitions</w:t>
      </w:r>
      <w:r>
        <w:rPr>
          <w:spacing w:val="-11"/>
          <w:sz w:val="22"/>
        </w:rPr>
        <w:t> </w:t>
      </w:r>
      <w:r>
        <w:rPr>
          <w:spacing w:val="-2"/>
          <w:sz w:val="22"/>
        </w:rPr>
        <w:t>to</w:t>
      </w:r>
      <w:r>
        <w:rPr>
          <w:spacing w:val="-12"/>
          <w:sz w:val="22"/>
        </w:rPr>
        <w:t> </w:t>
      </w:r>
      <w:r>
        <w:rPr>
          <w:spacing w:val="-2"/>
          <w:sz w:val="22"/>
        </w:rPr>
        <w:t>expand</w:t>
      </w:r>
      <w:r>
        <w:rPr>
          <w:spacing w:val="-12"/>
          <w:sz w:val="22"/>
        </w:rPr>
        <w:t> </w:t>
      </w:r>
      <w:r>
        <w:rPr>
          <w:spacing w:val="-2"/>
          <w:sz w:val="22"/>
        </w:rPr>
        <w:t>their </w:t>
      </w:r>
      <w:r>
        <w:rPr>
          <w:spacing w:val="-4"/>
          <w:sz w:val="22"/>
        </w:rPr>
        <w:t>IP</w:t>
      </w:r>
      <w:r>
        <w:rPr>
          <w:spacing w:val="-7"/>
          <w:sz w:val="22"/>
        </w:rPr>
        <w:t> </w:t>
      </w:r>
      <w:r>
        <w:rPr>
          <w:spacing w:val="-4"/>
          <w:sz w:val="22"/>
        </w:rPr>
        <w:t>portfolio</w:t>
      </w:r>
      <w:r>
        <w:rPr>
          <w:spacing w:val="-7"/>
          <w:sz w:val="22"/>
        </w:rPr>
        <w:t> </w:t>
      </w:r>
      <w:r>
        <w:rPr>
          <w:spacing w:val="-4"/>
          <w:sz w:val="22"/>
        </w:rPr>
        <w:t>and</w:t>
      </w:r>
      <w:r>
        <w:rPr>
          <w:spacing w:val="-7"/>
          <w:sz w:val="22"/>
        </w:rPr>
        <w:t> </w:t>
      </w:r>
      <w:r>
        <w:rPr>
          <w:spacing w:val="-4"/>
          <w:sz w:val="22"/>
        </w:rPr>
        <w:t>some</w:t>
      </w:r>
      <w:r>
        <w:rPr>
          <w:spacing w:val="-7"/>
          <w:sz w:val="22"/>
        </w:rPr>
        <w:t> </w:t>
      </w:r>
      <w:r>
        <w:rPr>
          <w:spacing w:val="-4"/>
          <w:sz w:val="22"/>
        </w:rPr>
        <w:t>Indian</w:t>
      </w:r>
      <w:r>
        <w:rPr>
          <w:spacing w:val="-7"/>
          <w:sz w:val="22"/>
        </w:rPr>
        <w:t> </w:t>
      </w:r>
      <w:r>
        <w:rPr>
          <w:spacing w:val="-4"/>
          <w:sz w:val="22"/>
        </w:rPr>
        <w:t>companies,</w:t>
      </w:r>
      <w:r>
        <w:rPr>
          <w:spacing w:val="-7"/>
          <w:sz w:val="22"/>
        </w:rPr>
        <w:t> </w:t>
      </w:r>
      <w:r>
        <w:rPr>
          <w:spacing w:val="-4"/>
          <w:sz w:val="22"/>
        </w:rPr>
        <w:t>especially</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77"/>
        <w:ind w:left="1440"/>
        <w:jc w:val="both"/>
      </w:pPr>
      <w:r>
        <w:rPr/>
        <w:t>in the pharmaceuticals and biotech sectors, </w:t>
      </w:r>
      <w:r>
        <w:rPr/>
        <w:t>have </w:t>
      </w:r>
      <w:r>
        <w:rPr>
          <w:spacing w:val="-8"/>
        </w:rPr>
        <w:t>already</w:t>
      </w:r>
      <w:r>
        <w:rPr>
          <w:spacing w:val="-3"/>
        </w:rPr>
        <w:t> </w:t>
      </w:r>
      <w:r>
        <w:rPr>
          <w:spacing w:val="-8"/>
        </w:rPr>
        <w:t>been</w:t>
      </w:r>
      <w:r>
        <w:rPr>
          <w:spacing w:val="-3"/>
        </w:rPr>
        <w:t> </w:t>
      </w:r>
      <w:r>
        <w:rPr>
          <w:spacing w:val="-8"/>
        </w:rPr>
        <w:t>engaged</w:t>
      </w:r>
      <w:r>
        <w:rPr>
          <w:spacing w:val="-3"/>
        </w:rPr>
        <w:t> </w:t>
      </w:r>
      <w:r>
        <w:rPr>
          <w:spacing w:val="-8"/>
        </w:rPr>
        <w:t>in</w:t>
      </w:r>
      <w:r>
        <w:rPr>
          <w:spacing w:val="-3"/>
        </w:rPr>
        <w:t> </w:t>
      </w:r>
      <w:r>
        <w:rPr>
          <w:spacing w:val="-8"/>
        </w:rPr>
        <w:t>such</w:t>
      </w:r>
      <w:r>
        <w:rPr>
          <w:spacing w:val="-3"/>
        </w:rPr>
        <w:t> </w:t>
      </w:r>
      <w:r>
        <w:rPr>
          <w:spacing w:val="-8"/>
        </w:rPr>
        <w:t>acquisitions.</w:t>
      </w:r>
      <w:r>
        <w:rPr>
          <w:spacing w:val="-3"/>
        </w:rPr>
        <w:t> </w:t>
      </w:r>
      <w:r>
        <w:rPr>
          <w:spacing w:val="-8"/>
        </w:rPr>
        <w:t>However, </w:t>
      </w:r>
      <w:r>
        <w:rPr/>
        <w:t>such</w:t>
      </w:r>
      <w:r>
        <w:rPr>
          <w:spacing w:val="-14"/>
        </w:rPr>
        <w:t> </w:t>
      </w:r>
      <w:r>
        <w:rPr/>
        <w:t>examples</w:t>
      </w:r>
      <w:r>
        <w:rPr>
          <w:spacing w:val="-14"/>
        </w:rPr>
        <w:t> </w:t>
      </w:r>
      <w:r>
        <w:rPr/>
        <w:t>are</w:t>
      </w:r>
      <w:r>
        <w:rPr>
          <w:spacing w:val="-14"/>
        </w:rPr>
        <w:t> </w:t>
      </w:r>
      <w:r>
        <w:rPr/>
        <w:t>sporadic</w:t>
      </w:r>
      <w:r>
        <w:rPr>
          <w:spacing w:val="-13"/>
        </w:rPr>
        <w:t> </w:t>
      </w:r>
      <w:r>
        <w:rPr/>
        <w:t>and</w:t>
      </w:r>
      <w:r>
        <w:rPr>
          <w:spacing w:val="-14"/>
        </w:rPr>
        <w:t> </w:t>
      </w:r>
      <w:r>
        <w:rPr/>
        <w:t>there</w:t>
      </w:r>
      <w:r>
        <w:rPr>
          <w:spacing w:val="-14"/>
        </w:rPr>
        <w:t> </w:t>
      </w:r>
      <w:r>
        <w:rPr/>
        <w:t>is</w:t>
      </w:r>
      <w:r>
        <w:rPr>
          <w:spacing w:val="-14"/>
        </w:rPr>
        <w:t> </w:t>
      </w:r>
      <w:r>
        <w:rPr/>
        <w:t>need</w:t>
      </w:r>
      <w:r>
        <w:rPr>
          <w:spacing w:val="-13"/>
        </w:rPr>
        <w:t> </w:t>
      </w:r>
      <w:r>
        <w:rPr/>
        <w:t>for</w:t>
      </w:r>
      <w:r>
        <w:rPr>
          <w:spacing w:val="-14"/>
        </w:rPr>
        <w:t> </w:t>
      </w:r>
      <w:r>
        <w:rPr/>
        <w:t>a national strategy on technology acquisition, with the</w:t>
      </w:r>
      <w:r>
        <w:rPr>
          <w:spacing w:val="-16"/>
        </w:rPr>
        <w:t> </w:t>
      </w:r>
      <w:r>
        <w:rPr/>
        <w:t>aim</w:t>
      </w:r>
      <w:r>
        <w:rPr>
          <w:spacing w:val="-14"/>
        </w:rPr>
        <w:t> </w:t>
      </w:r>
      <w:r>
        <w:rPr/>
        <w:t>of</w:t>
      </w:r>
      <w:r>
        <w:rPr>
          <w:spacing w:val="-14"/>
        </w:rPr>
        <w:t> </w:t>
      </w:r>
      <w:r>
        <w:rPr/>
        <w:t>leapfrogging</w:t>
      </w:r>
      <w:r>
        <w:rPr>
          <w:spacing w:val="-13"/>
        </w:rPr>
        <w:t> </w:t>
      </w:r>
      <w:r>
        <w:rPr/>
        <w:t>our</w:t>
      </w:r>
      <w:r>
        <w:rPr>
          <w:spacing w:val="-14"/>
        </w:rPr>
        <w:t> </w:t>
      </w:r>
      <w:r>
        <w:rPr/>
        <w:t>expertise</w:t>
      </w:r>
      <w:r>
        <w:rPr>
          <w:spacing w:val="-14"/>
        </w:rPr>
        <w:t> </w:t>
      </w:r>
      <w:r>
        <w:rPr/>
        <w:t>in</w:t>
      </w:r>
      <w:r>
        <w:rPr>
          <w:spacing w:val="-14"/>
        </w:rPr>
        <w:t> </w:t>
      </w:r>
      <w:r>
        <w:rPr/>
        <w:t>key</w:t>
      </w:r>
      <w:r>
        <w:rPr>
          <w:spacing w:val="-13"/>
        </w:rPr>
        <w:t> </w:t>
      </w:r>
      <w:r>
        <w:rPr/>
        <w:t>areas. </w:t>
      </w:r>
      <w:r>
        <w:rPr>
          <w:spacing w:val="-4"/>
        </w:rPr>
        <w:t>A</w:t>
      </w:r>
      <w:r>
        <w:rPr>
          <w:spacing w:val="-10"/>
        </w:rPr>
        <w:t> </w:t>
      </w:r>
      <w:r>
        <w:rPr>
          <w:spacing w:val="-4"/>
        </w:rPr>
        <w:t>Global</w:t>
      </w:r>
      <w:r>
        <w:rPr>
          <w:spacing w:val="-10"/>
        </w:rPr>
        <w:t> </w:t>
      </w:r>
      <w:r>
        <w:rPr>
          <w:spacing w:val="-4"/>
        </w:rPr>
        <w:t>Technology</w:t>
      </w:r>
      <w:r>
        <w:rPr>
          <w:spacing w:val="-10"/>
        </w:rPr>
        <w:t> </w:t>
      </w:r>
      <w:r>
        <w:rPr>
          <w:spacing w:val="-4"/>
        </w:rPr>
        <w:t>Acquisition</w:t>
      </w:r>
      <w:r>
        <w:rPr>
          <w:spacing w:val="-9"/>
        </w:rPr>
        <w:t> </w:t>
      </w:r>
      <w:r>
        <w:rPr>
          <w:spacing w:val="-4"/>
        </w:rPr>
        <w:t>Fund,</w:t>
      </w:r>
      <w:r>
        <w:rPr>
          <w:spacing w:val="-10"/>
        </w:rPr>
        <w:t> </w:t>
      </w:r>
      <w:r>
        <w:rPr>
          <w:spacing w:val="-4"/>
        </w:rPr>
        <w:t>created</w:t>
      </w:r>
      <w:r>
        <w:rPr>
          <w:spacing w:val="-10"/>
        </w:rPr>
        <w:t> </w:t>
      </w:r>
      <w:r>
        <w:rPr>
          <w:spacing w:val="-4"/>
        </w:rPr>
        <w:t>by </w:t>
      </w:r>
      <w:r>
        <w:rPr>
          <w:spacing w:val="-2"/>
        </w:rPr>
        <w:t>the</w:t>
      </w:r>
      <w:r>
        <w:rPr>
          <w:spacing w:val="-8"/>
        </w:rPr>
        <w:t> </w:t>
      </w:r>
      <w:r>
        <w:rPr>
          <w:spacing w:val="-2"/>
        </w:rPr>
        <w:t>central</w:t>
      </w:r>
      <w:r>
        <w:rPr>
          <w:spacing w:val="-8"/>
        </w:rPr>
        <w:t> </w:t>
      </w:r>
      <w:r>
        <w:rPr>
          <w:spacing w:val="-2"/>
        </w:rPr>
        <w:t>government,</w:t>
      </w:r>
      <w:r>
        <w:rPr>
          <w:spacing w:val="-8"/>
        </w:rPr>
        <w:t> </w:t>
      </w:r>
      <w:r>
        <w:rPr>
          <w:spacing w:val="-2"/>
        </w:rPr>
        <w:t>could</w:t>
      </w:r>
      <w:r>
        <w:rPr>
          <w:spacing w:val="-8"/>
        </w:rPr>
        <w:t> </w:t>
      </w:r>
      <w:r>
        <w:rPr>
          <w:spacing w:val="-2"/>
        </w:rPr>
        <w:t>be</w:t>
      </w:r>
      <w:r>
        <w:rPr>
          <w:spacing w:val="-8"/>
        </w:rPr>
        <w:t> </w:t>
      </w:r>
      <w:r>
        <w:rPr>
          <w:spacing w:val="-2"/>
        </w:rPr>
        <w:t>a</w:t>
      </w:r>
      <w:r>
        <w:rPr>
          <w:spacing w:val="-8"/>
        </w:rPr>
        <w:t> </w:t>
      </w:r>
      <w:r>
        <w:rPr>
          <w:spacing w:val="-2"/>
        </w:rPr>
        <w:t>significant</w:t>
      </w:r>
      <w:r>
        <w:rPr>
          <w:spacing w:val="-8"/>
        </w:rPr>
        <w:t> </w:t>
      </w:r>
      <w:r>
        <w:rPr>
          <w:spacing w:val="-2"/>
        </w:rPr>
        <w:t>step </w:t>
      </w:r>
      <w:r>
        <w:rPr>
          <w:spacing w:val="-4"/>
        </w:rPr>
        <w:t>forward in facilitating such acquisitions, especially </w:t>
      </w:r>
      <w:r>
        <w:rPr/>
        <w:t>for the SMEs. The funds could be parked with a financial institution or a special purpose vehicle (SPV)</w:t>
      </w:r>
      <w:r>
        <w:rPr>
          <w:spacing w:val="-1"/>
        </w:rPr>
        <w:t> </w:t>
      </w:r>
      <w:r>
        <w:rPr/>
        <w:t>could</w:t>
      </w:r>
      <w:r>
        <w:rPr>
          <w:spacing w:val="-1"/>
        </w:rPr>
        <w:t> </w:t>
      </w:r>
      <w:r>
        <w:rPr/>
        <w:t>be</w:t>
      </w:r>
      <w:r>
        <w:rPr>
          <w:spacing w:val="-1"/>
        </w:rPr>
        <w:t> </w:t>
      </w:r>
      <w:r>
        <w:rPr/>
        <w:t>created</w:t>
      </w:r>
      <w:r>
        <w:rPr>
          <w:spacing w:val="-1"/>
        </w:rPr>
        <w:t> </w:t>
      </w:r>
      <w:r>
        <w:rPr/>
        <w:t>to</w:t>
      </w:r>
      <w:r>
        <w:rPr>
          <w:spacing w:val="-1"/>
        </w:rPr>
        <w:t> </w:t>
      </w:r>
      <w:r>
        <w:rPr/>
        <w:t>manage</w:t>
      </w:r>
      <w:r>
        <w:rPr>
          <w:spacing w:val="-1"/>
        </w:rPr>
        <w:t> </w:t>
      </w:r>
      <w:r>
        <w:rPr/>
        <w:t>the</w:t>
      </w:r>
      <w:r>
        <w:rPr>
          <w:spacing w:val="-1"/>
        </w:rPr>
        <w:t> </w:t>
      </w:r>
      <w:r>
        <w:rPr/>
        <w:t>fund,</w:t>
      </w:r>
      <w:r>
        <w:rPr>
          <w:spacing w:val="-1"/>
        </w:rPr>
        <w:t> </w:t>
      </w:r>
      <w:r>
        <w:rPr/>
        <w:t>with members of industry and S&amp;T invited as board </w:t>
      </w:r>
      <w:r>
        <w:rPr>
          <w:spacing w:val="-4"/>
        </w:rPr>
        <w:t>members.</w:t>
      </w:r>
      <w:r>
        <w:rPr>
          <w:spacing w:val="-10"/>
        </w:rPr>
        <w:t> </w:t>
      </w:r>
      <w:r>
        <w:rPr>
          <w:spacing w:val="-4"/>
        </w:rPr>
        <w:t>Relevant</w:t>
      </w:r>
      <w:r>
        <w:rPr>
          <w:spacing w:val="-10"/>
        </w:rPr>
        <w:t> </w:t>
      </w:r>
      <w:r>
        <w:rPr>
          <w:spacing w:val="-4"/>
        </w:rPr>
        <w:t>financial</w:t>
      </w:r>
      <w:r>
        <w:rPr>
          <w:spacing w:val="-10"/>
        </w:rPr>
        <w:t> </w:t>
      </w:r>
      <w:r>
        <w:rPr>
          <w:spacing w:val="-4"/>
        </w:rPr>
        <w:t>instruments,</w:t>
      </w:r>
      <w:r>
        <w:rPr>
          <w:spacing w:val="-9"/>
        </w:rPr>
        <w:t> </w:t>
      </w:r>
      <w:r>
        <w:rPr>
          <w:spacing w:val="-4"/>
        </w:rPr>
        <w:t>including </w:t>
      </w:r>
      <w:r>
        <w:rPr/>
        <w:t>support in the form of loans and equity, could</w:t>
      </w:r>
      <w:r>
        <w:rPr>
          <w:spacing w:val="80"/>
          <w:w w:val="150"/>
        </w:rPr>
        <w:t> </w:t>
      </w:r>
      <w:r>
        <w:rPr/>
        <w:t>be evolved, for such technology intensive </w:t>
      </w:r>
      <w:r>
        <w:rPr>
          <w:spacing w:val="-2"/>
        </w:rPr>
        <w:t>acquisition.</w:t>
      </w:r>
    </w:p>
    <w:p>
      <w:pPr>
        <w:pStyle w:val="Heading6"/>
        <w:numPr>
          <w:ilvl w:val="0"/>
          <w:numId w:val="58"/>
        </w:numPr>
        <w:tabs>
          <w:tab w:pos="887" w:val="left" w:leader="none"/>
        </w:tabs>
        <w:spacing w:line="240" w:lineRule="auto" w:before="57" w:after="0"/>
        <w:ind w:left="887" w:right="0" w:hanging="568"/>
        <w:jc w:val="left"/>
      </w:pPr>
      <w:r>
        <w:rPr>
          <w:b w:val="0"/>
        </w:rPr>
        <w:br w:type="column"/>
      </w:r>
      <w:r>
        <w:rPr>
          <w:color w:val="2E614A"/>
          <w:spacing w:val="-8"/>
        </w:rPr>
        <w:t>IPR</w:t>
      </w:r>
      <w:r>
        <w:rPr>
          <w:color w:val="2E614A"/>
          <w:spacing w:val="-12"/>
        </w:rPr>
        <w:t> </w:t>
      </w:r>
      <w:r>
        <w:rPr>
          <w:color w:val="2E614A"/>
          <w:spacing w:val="-8"/>
        </w:rPr>
        <w:t>and</w:t>
      </w:r>
      <w:r>
        <w:rPr>
          <w:color w:val="2E614A"/>
          <w:spacing w:val="-12"/>
        </w:rPr>
        <w:t> </w:t>
      </w:r>
      <w:r>
        <w:rPr>
          <w:color w:val="2E614A"/>
          <w:spacing w:val="-8"/>
        </w:rPr>
        <w:t>New</w:t>
      </w:r>
      <w:r>
        <w:rPr>
          <w:color w:val="2E614A"/>
          <w:spacing w:val="-3"/>
        </w:rPr>
        <w:t> </w:t>
      </w:r>
      <w:r>
        <w:rPr>
          <w:color w:val="2E614A"/>
          <w:spacing w:val="-8"/>
        </w:rPr>
        <w:t>Technologies</w:t>
      </w:r>
    </w:p>
    <w:p>
      <w:pPr>
        <w:pStyle w:val="ListParagraph"/>
        <w:numPr>
          <w:ilvl w:val="1"/>
          <w:numId w:val="58"/>
        </w:numPr>
        <w:tabs>
          <w:tab w:pos="799" w:val="left" w:leader="none"/>
        </w:tabs>
        <w:spacing w:line="266" w:lineRule="auto" w:before="185" w:after="0"/>
        <w:ind w:left="799" w:right="1077" w:hanging="480"/>
        <w:jc w:val="both"/>
        <w:rPr>
          <w:sz w:val="22"/>
        </w:rPr>
      </w:pPr>
      <w:r>
        <w:rPr>
          <w:sz w:val="22"/>
        </w:rPr>
        <w:t>It has become imperative for technical institutions, scientists, examiners and other relevant stakeholders to be fully aware of the IPR dimensions of new and rapidly changing technologies, especially in ICT, biotechnology, nano-technology, electronics, engineering, bio- informatics</w:t>
      </w:r>
      <w:r>
        <w:rPr>
          <w:spacing w:val="-14"/>
          <w:sz w:val="22"/>
        </w:rPr>
        <w:t> </w:t>
      </w:r>
      <w:r>
        <w:rPr>
          <w:sz w:val="22"/>
        </w:rPr>
        <w:t>etc.</w:t>
      </w:r>
      <w:r>
        <w:rPr>
          <w:spacing w:val="-14"/>
          <w:sz w:val="22"/>
        </w:rPr>
        <w:t> </w:t>
      </w:r>
      <w:r>
        <w:rPr>
          <w:sz w:val="22"/>
        </w:rPr>
        <w:t>There</w:t>
      </w:r>
      <w:r>
        <w:rPr>
          <w:spacing w:val="-14"/>
          <w:sz w:val="22"/>
        </w:rPr>
        <w:t> </w:t>
      </w:r>
      <w:r>
        <w:rPr>
          <w:sz w:val="22"/>
        </w:rPr>
        <w:t>is</w:t>
      </w:r>
      <w:r>
        <w:rPr>
          <w:spacing w:val="-13"/>
          <w:sz w:val="22"/>
        </w:rPr>
        <w:t> </w:t>
      </w:r>
      <w:r>
        <w:rPr>
          <w:sz w:val="22"/>
        </w:rPr>
        <w:t>therefore,</w:t>
      </w:r>
      <w:r>
        <w:rPr>
          <w:spacing w:val="-12"/>
          <w:sz w:val="22"/>
        </w:rPr>
        <w:t> </w:t>
      </w:r>
      <w:r>
        <w:rPr>
          <w:sz w:val="22"/>
        </w:rPr>
        <w:t>need</w:t>
      </w:r>
      <w:r>
        <w:rPr>
          <w:spacing w:val="-12"/>
          <w:sz w:val="22"/>
        </w:rPr>
        <w:t> </w:t>
      </w:r>
      <w:r>
        <w:rPr>
          <w:sz w:val="22"/>
        </w:rPr>
        <w:t>for</w:t>
      </w:r>
      <w:r>
        <w:rPr>
          <w:spacing w:val="-12"/>
          <w:sz w:val="22"/>
        </w:rPr>
        <w:t> </w:t>
      </w:r>
      <w:r>
        <w:rPr>
          <w:sz w:val="22"/>
        </w:rPr>
        <w:t>high powered expert bodies that can help identify IPR issues arising out of each of such areas, with a view to evolving necessary IPR policies that would optimally foster greater global competitiveness for Indian industry as well as ensure faster innovation, wealth creation and overall development.</w:t>
      </w:r>
    </w:p>
    <w:p>
      <w:pPr>
        <w:spacing w:after="0" w:line="266" w:lineRule="auto"/>
        <w:jc w:val="both"/>
        <w:rPr>
          <w:sz w:val="22"/>
        </w:rPr>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4"/>
        <w:rPr>
          <w:sz w:val="20"/>
        </w:rPr>
      </w:pPr>
    </w:p>
    <w:p>
      <w:pPr>
        <w:spacing w:after="0"/>
        <w:rPr>
          <w:sz w:val="20"/>
        </w:rPr>
        <w:sectPr>
          <w:pgSz w:w="11910" w:h="16840"/>
          <w:pgMar w:header="0" w:footer="675" w:top="0" w:bottom="860" w:left="0" w:right="0"/>
        </w:sectPr>
      </w:pPr>
    </w:p>
    <w:p>
      <w:pPr>
        <w:pStyle w:val="BodyText"/>
        <w:spacing w:line="266" w:lineRule="auto" w:before="82"/>
        <w:ind w:left="1782"/>
        <w:jc w:val="both"/>
      </w:pPr>
      <w:r>
        <w:rPr/>
        <mc:AlternateContent>
          <mc:Choice Requires="wps">
            <w:drawing>
              <wp:anchor distT="0" distB="0" distL="0" distR="0" allowOverlap="1" layoutInCell="1" locked="0" behindDoc="0" simplePos="0" relativeHeight="15781376">
                <wp:simplePos x="0" y="0"/>
                <wp:positionH relativeFrom="page">
                  <wp:posOffset>0</wp:posOffset>
                </wp:positionH>
                <wp:positionV relativeFrom="paragraph">
                  <wp:posOffset>-2286918</wp:posOffset>
                </wp:positionV>
                <wp:extent cx="7560309" cy="1752600"/>
                <wp:effectExtent l="0" t="0" r="0" b="0"/>
                <wp:wrapNone/>
                <wp:docPr id="964" name="Group 964"/>
                <wp:cNvGraphicFramePr>
                  <a:graphicFrameLocks/>
                </wp:cNvGraphicFramePr>
                <a:graphic>
                  <a:graphicData uri="http://schemas.microsoft.com/office/word/2010/wordprocessingGroup">
                    <wpg:wgp>
                      <wpg:cNvPr id="964" name="Group 964"/>
                      <wpg:cNvGrpSpPr/>
                      <wpg:grpSpPr>
                        <a:xfrm>
                          <a:off x="0" y="0"/>
                          <a:ext cx="7560309" cy="1752600"/>
                          <a:chExt cx="7560309" cy="1752600"/>
                        </a:xfrm>
                      </wpg:grpSpPr>
                      <pic:pic>
                        <pic:nvPicPr>
                          <pic:cNvPr id="965" name="Image 965"/>
                          <pic:cNvPicPr/>
                        </pic:nvPicPr>
                        <pic:blipFill>
                          <a:blip r:embed="rId612" cstate="print"/>
                          <a:stretch>
                            <a:fillRect/>
                          </a:stretch>
                        </pic:blipFill>
                        <pic:spPr>
                          <a:xfrm>
                            <a:off x="0" y="0"/>
                            <a:ext cx="7559999" cy="1752562"/>
                          </a:xfrm>
                          <a:prstGeom prst="rect">
                            <a:avLst/>
                          </a:prstGeom>
                        </pic:spPr>
                      </pic:pic>
                      <wps:wsp>
                        <wps:cNvPr id="966" name="Textbox 966"/>
                        <wps:cNvSpPr txBox="1"/>
                        <wps:spPr>
                          <a:xfrm>
                            <a:off x="685800" y="598688"/>
                            <a:ext cx="2143125" cy="501650"/>
                          </a:xfrm>
                          <a:prstGeom prst="rect">
                            <a:avLst/>
                          </a:prstGeom>
                        </wps:spPr>
                        <wps:txbx>
                          <w:txbxContent>
                            <w:p>
                              <w:pPr>
                                <w:spacing w:before="0"/>
                                <w:ind w:left="0" w:right="0" w:firstLine="0"/>
                                <w:jc w:val="left"/>
                                <w:rPr>
                                  <w:rFonts w:ascii="Trebuchet MS"/>
                                  <w:b/>
                                  <w:sz w:val="68"/>
                                </w:rPr>
                              </w:pPr>
                              <w:r>
                                <w:rPr>
                                  <w:rFonts w:ascii="Trebuchet MS"/>
                                  <w:b/>
                                  <w:color w:val="FFFFFF"/>
                                  <w:spacing w:val="-2"/>
                                  <w:sz w:val="68"/>
                                </w:rPr>
                                <w:t>Innovation</w:t>
                              </w:r>
                            </w:p>
                          </w:txbxContent>
                        </wps:txbx>
                        <wps:bodyPr wrap="square" lIns="0" tIns="0" rIns="0" bIns="0" rtlCol="0">
                          <a:noAutofit/>
                        </wps:bodyPr>
                      </wps:wsp>
                      <wps:wsp>
                        <wps:cNvPr id="967" name="Textbox 967"/>
                        <wps:cNvSpPr txBox="1"/>
                        <wps:spPr>
                          <a:xfrm>
                            <a:off x="6209791" y="1496650"/>
                            <a:ext cx="677545" cy="156845"/>
                          </a:xfrm>
                          <a:prstGeom prst="rect">
                            <a:avLst/>
                          </a:prstGeom>
                        </wps:spPr>
                        <wps:txbx>
                          <w:txbxContent>
                            <w:p>
                              <w:pPr>
                                <w:spacing w:line="235" w:lineRule="exact" w:before="0"/>
                                <w:ind w:left="0" w:right="0" w:firstLine="0"/>
                                <w:jc w:val="left"/>
                                <w:rPr>
                                  <w:sz w:val="22"/>
                                </w:rPr>
                              </w:pPr>
                              <w:r>
                                <w:rPr>
                                  <w:color w:val="FFFFFF"/>
                                  <w:spacing w:val="-4"/>
                                  <w:sz w:val="22"/>
                                </w:rPr>
                                <w:t>July</w:t>
                              </w:r>
                              <w:r>
                                <w:rPr>
                                  <w:color w:val="FFFFFF"/>
                                  <w:spacing w:val="-7"/>
                                  <w:sz w:val="22"/>
                                </w:rPr>
                                <w:t> </w:t>
                              </w:r>
                              <w:r>
                                <w:rPr>
                                  <w:color w:val="FFFFFF"/>
                                  <w:spacing w:val="-4"/>
                                  <w:sz w:val="22"/>
                                </w:rPr>
                                <w:t>4,</w:t>
                              </w:r>
                              <w:r>
                                <w:rPr>
                                  <w:color w:val="FFFFFF"/>
                                  <w:spacing w:val="-7"/>
                                  <w:sz w:val="22"/>
                                </w:rPr>
                                <w:t> </w:t>
                              </w:r>
                              <w:r>
                                <w:rPr>
                                  <w:color w:val="FFFFFF"/>
                                  <w:spacing w:val="-4"/>
                                  <w:sz w:val="22"/>
                                </w:rPr>
                                <w:t>2007</w:t>
                              </w:r>
                            </w:p>
                          </w:txbxContent>
                        </wps:txbx>
                        <wps:bodyPr wrap="square" lIns="0" tIns="0" rIns="0" bIns="0" rtlCol="0">
                          <a:noAutofit/>
                        </wps:bodyPr>
                      </wps:wsp>
                    </wpg:wgp>
                  </a:graphicData>
                </a:graphic>
              </wp:anchor>
            </w:drawing>
          </mc:Choice>
          <mc:Fallback>
            <w:pict>
              <v:group style="position:absolute;margin-left:0pt;margin-top:-180.072311pt;width:595.3pt;height:138pt;mso-position-horizontal-relative:page;mso-position-vertical-relative:paragraph;z-index:15781376" id="docshapegroup955" coordorigin="0,-3601" coordsize="11906,2760">
                <v:shape style="position:absolute;left:0;top:-3602;width:11906;height:2760" type="#_x0000_t75" id="docshape956" stroked="false">
                  <v:imagedata r:id="rId612" o:title=""/>
                </v:shape>
                <v:shape style="position:absolute;left:1080;top:-2659;width:3375;height:790" type="#_x0000_t202" id="docshape957" filled="false" stroked="false">
                  <v:textbox inset="0,0,0,0">
                    <w:txbxContent>
                      <w:p>
                        <w:pPr>
                          <w:spacing w:before="0"/>
                          <w:ind w:left="0" w:right="0" w:firstLine="0"/>
                          <w:jc w:val="left"/>
                          <w:rPr>
                            <w:rFonts w:ascii="Trebuchet MS"/>
                            <w:b/>
                            <w:sz w:val="68"/>
                          </w:rPr>
                        </w:pPr>
                        <w:r>
                          <w:rPr>
                            <w:rFonts w:ascii="Trebuchet MS"/>
                            <w:b/>
                            <w:color w:val="FFFFFF"/>
                            <w:spacing w:val="-2"/>
                            <w:sz w:val="68"/>
                          </w:rPr>
                          <w:t>Innovation</w:t>
                        </w:r>
                      </w:p>
                    </w:txbxContent>
                  </v:textbox>
                  <w10:wrap type="none"/>
                </v:shape>
                <v:shape style="position:absolute;left:9779;top:-1245;width:1067;height:247" type="#_x0000_t202" id="docshape958" filled="false" stroked="false">
                  <v:textbox inset="0,0,0,0">
                    <w:txbxContent>
                      <w:p>
                        <w:pPr>
                          <w:spacing w:line="235" w:lineRule="exact" w:before="0"/>
                          <w:ind w:left="0" w:right="0" w:firstLine="0"/>
                          <w:jc w:val="left"/>
                          <w:rPr>
                            <w:sz w:val="22"/>
                          </w:rPr>
                        </w:pPr>
                        <w:r>
                          <w:rPr>
                            <w:color w:val="FFFFFF"/>
                            <w:spacing w:val="-4"/>
                            <w:sz w:val="22"/>
                          </w:rPr>
                          <w:t>July</w:t>
                        </w:r>
                        <w:r>
                          <w:rPr>
                            <w:color w:val="FFFFFF"/>
                            <w:spacing w:val="-7"/>
                            <w:sz w:val="22"/>
                          </w:rPr>
                          <w:t> </w:t>
                        </w:r>
                        <w:r>
                          <w:rPr>
                            <w:color w:val="FFFFFF"/>
                            <w:spacing w:val="-4"/>
                            <w:sz w:val="22"/>
                          </w:rPr>
                          <w:t>4,</w:t>
                        </w:r>
                        <w:r>
                          <w:rPr>
                            <w:color w:val="FFFFFF"/>
                            <w:spacing w:val="-7"/>
                            <w:sz w:val="22"/>
                          </w:rPr>
                          <w:t> </w:t>
                        </w:r>
                        <w:r>
                          <w:rPr>
                            <w:color w:val="FFFFFF"/>
                            <w:spacing w:val="-4"/>
                            <w:sz w:val="22"/>
                          </w:rPr>
                          <w:t>2007</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58464">
                <wp:simplePos x="0" y="0"/>
                <wp:positionH relativeFrom="page">
                  <wp:posOffset>685799</wp:posOffset>
                </wp:positionH>
                <wp:positionV relativeFrom="paragraph">
                  <wp:posOffset>-37298</wp:posOffset>
                </wp:positionV>
                <wp:extent cx="446405" cy="757555"/>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69pt;margin-top:-2.93692pt;width:35.15pt;height:59.65pt;mso-position-horizontal-relative:page;mso-position-vertical-relative:paragraph;z-index:-23958016" type="#_x0000_t202" id="docshape959"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spacing w:val="-4"/>
        </w:rPr>
        <w:t>he</w:t>
      </w:r>
      <w:r>
        <w:rPr>
          <w:spacing w:val="-10"/>
        </w:rPr>
        <w:t> </w:t>
      </w:r>
      <w:r>
        <w:rPr>
          <w:spacing w:val="-4"/>
        </w:rPr>
        <w:t>National</w:t>
      </w:r>
      <w:r>
        <w:rPr>
          <w:spacing w:val="-10"/>
        </w:rPr>
        <w:t> </w:t>
      </w:r>
      <w:r>
        <w:rPr>
          <w:spacing w:val="-4"/>
        </w:rPr>
        <w:t>Knowledge</w:t>
      </w:r>
      <w:r>
        <w:rPr>
          <w:spacing w:val="-10"/>
        </w:rPr>
        <w:t> </w:t>
      </w:r>
      <w:r>
        <w:rPr>
          <w:spacing w:val="-4"/>
        </w:rPr>
        <w:t>Commission</w:t>
      </w:r>
      <w:r>
        <w:rPr>
          <w:spacing w:val="-9"/>
        </w:rPr>
        <w:t> </w:t>
      </w:r>
      <w:r>
        <w:rPr>
          <w:spacing w:val="-4"/>
        </w:rPr>
        <w:t>identified </w:t>
      </w:r>
      <w:r>
        <w:rPr/>
        <w:t>the</w:t>
      </w:r>
      <w:r>
        <w:rPr>
          <w:spacing w:val="-14"/>
        </w:rPr>
        <w:t> </w:t>
      </w:r>
      <w:r>
        <w:rPr/>
        <w:t>role</w:t>
      </w:r>
      <w:r>
        <w:rPr>
          <w:spacing w:val="-14"/>
        </w:rPr>
        <w:t> </w:t>
      </w:r>
      <w:r>
        <w:rPr/>
        <w:t>of</w:t>
      </w:r>
      <w:r>
        <w:rPr>
          <w:spacing w:val="-14"/>
        </w:rPr>
        <w:t> </w:t>
      </w:r>
      <w:r>
        <w:rPr/>
        <w:t>innovation</w:t>
      </w:r>
      <w:r>
        <w:rPr>
          <w:spacing w:val="-13"/>
        </w:rPr>
        <w:t> </w:t>
      </w:r>
      <w:r>
        <w:rPr/>
        <w:t>as</w:t>
      </w:r>
      <w:r>
        <w:rPr>
          <w:spacing w:val="-14"/>
        </w:rPr>
        <w:t> </w:t>
      </w:r>
      <w:r>
        <w:rPr/>
        <w:t>one</w:t>
      </w:r>
      <w:r>
        <w:rPr>
          <w:spacing w:val="-14"/>
        </w:rPr>
        <w:t> </w:t>
      </w:r>
      <w:r>
        <w:rPr/>
        <w:t>of</w:t>
      </w:r>
      <w:r>
        <w:rPr>
          <w:spacing w:val="-14"/>
        </w:rPr>
        <w:t> </w:t>
      </w:r>
      <w:r>
        <w:rPr/>
        <w:t>the</w:t>
      </w:r>
      <w:r>
        <w:rPr>
          <w:spacing w:val="-13"/>
        </w:rPr>
        <w:t> </w:t>
      </w:r>
      <w:r>
        <w:rPr/>
        <w:t>key</w:t>
      </w:r>
      <w:r>
        <w:rPr>
          <w:spacing w:val="-14"/>
        </w:rPr>
        <w:t> </w:t>
      </w:r>
      <w:r>
        <w:rPr/>
        <w:t>factors in</w:t>
      </w:r>
      <w:r>
        <w:rPr>
          <w:spacing w:val="58"/>
        </w:rPr>
        <w:t> </w:t>
      </w:r>
      <w:r>
        <w:rPr/>
        <w:t>India’s</w:t>
      </w:r>
      <w:r>
        <w:rPr>
          <w:spacing w:val="59"/>
        </w:rPr>
        <w:t> </w:t>
      </w:r>
      <w:r>
        <w:rPr/>
        <w:t>economic</w:t>
      </w:r>
      <w:r>
        <w:rPr>
          <w:spacing w:val="59"/>
        </w:rPr>
        <w:t> </w:t>
      </w:r>
      <w:r>
        <w:rPr/>
        <w:t>growth.</w:t>
      </w:r>
      <w:r>
        <w:rPr>
          <w:spacing w:val="59"/>
        </w:rPr>
        <w:t> </w:t>
      </w:r>
      <w:r>
        <w:rPr/>
        <w:t>Innovation</w:t>
      </w:r>
      <w:r>
        <w:rPr>
          <w:spacing w:val="59"/>
        </w:rPr>
        <w:t> </w:t>
      </w:r>
      <w:r>
        <w:rPr>
          <w:spacing w:val="-5"/>
        </w:rPr>
        <w:t>is</w:t>
      </w:r>
    </w:p>
    <w:p>
      <w:pPr>
        <w:pStyle w:val="BodyText"/>
        <w:spacing w:line="266" w:lineRule="auto"/>
        <w:ind w:left="1080"/>
        <w:jc w:val="both"/>
      </w:pPr>
      <w:r>
        <w:rPr/>
        <w:t>a process to achieve measurable value </w:t>
      </w:r>
      <w:r>
        <w:rPr/>
        <w:t>enhancement</w:t>
      </w:r>
      <w:r>
        <w:rPr/>
        <w:t> in any commercial activity, through introduction </w:t>
      </w:r>
      <w:r>
        <w:rPr/>
        <w:t>of</w:t>
      </w:r>
      <w:r>
        <w:rPr/>
        <w:t> new or improved goods, services, operational </w:t>
      </w:r>
      <w:r>
        <w:rPr/>
        <w:t>and</w:t>
      </w:r>
      <w:r>
        <w:rPr/>
        <w:t> organisational processes. It is a significant factor </w:t>
      </w:r>
      <w:r>
        <w:rPr/>
        <w:t>in facilitating competitiveness, improvement in </w:t>
      </w:r>
      <w:r>
        <w:rPr/>
        <w:t>market</w:t>
      </w:r>
      <w:r>
        <w:rPr/>
        <w:t> share</w:t>
      </w:r>
      <w:r>
        <w:rPr>
          <w:spacing w:val="-5"/>
        </w:rPr>
        <w:t> </w:t>
      </w:r>
      <w:r>
        <w:rPr/>
        <w:t>and</w:t>
      </w:r>
      <w:r>
        <w:rPr>
          <w:spacing w:val="-5"/>
        </w:rPr>
        <w:t> </w:t>
      </w:r>
      <w:r>
        <w:rPr/>
        <w:t>quality</w:t>
      </w:r>
      <w:r>
        <w:rPr>
          <w:spacing w:val="-5"/>
        </w:rPr>
        <w:t> </w:t>
      </w:r>
      <w:r>
        <w:rPr/>
        <w:t>as</w:t>
      </w:r>
      <w:r>
        <w:rPr>
          <w:spacing w:val="-5"/>
        </w:rPr>
        <w:t> </w:t>
      </w:r>
      <w:r>
        <w:rPr/>
        <w:t>well</w:t>
      </w:r>
      <w:r>
        <w:rPr>
          <w:spacing w:val="-5"/>
        </w:rPr>
        <w:t> </w:t>
      </w:r>
      <w:r>
        <w:rPr/>
        <w:t>as</w:t>
      </w:r>
      <w:r>
        <w:rPr>
          <w:spacing w:val="-5"/>
        </w:rPr>
        <w:t> </w:t>
      </w:r>
      <w:r>
        <w:rPr/>
        <w:t>reduction</w:t>
      </w:r>
      <w:r>
        <w:rPr>
          <w:spacing w:val="-5"/>
        </w:rPr>
        <w:t> </w:t>
      </w:r>
      <w:r>
        <w:rPr/>
        <w:t>in</w:t>
      </w:r>
      <w:r>
        <w:rPr>
          <w:spacing w:val="-5"/>
        </w:rPr>
        <w:t> </w:t>
      </w:r>
      <w:r>
        <w:rPr/>
        <w:t>costs.</w:t>
      </w:r>
    </w:p>
    <w:p>
      <w:pPr>
        <w:pStyle w:val="BodyText"/>
        <w:spacing w:before="19"/>
      </w:pPr>
    </w:p>
    <w:p>
      <w:pPr>
        <w:pStyle w:val="BodyText"/>
        <w:spacing w:line="266" w:lineRule="auto"/>
        <w:ind w:left="1080"/>
        <w:jc w:val="both"/>
      </w:pPr>
      <w:r>
        <w:rPr>
          <w:spacing w:val="-6"/>
        </w:rPr>
        <w:t>NKC</w:t>
      </w:r>
      <w:r>
        <w:rPr>
          <w:spacing w:val="-8"/>
        </w:rPr>
        <w:t> </w:t>
      </w:r>
      <w:r>
        <w:rPr>
          <w:spacing w:val="-6"/>
        </w:rPr>
        <w:t>conducted</w:t>
      </w:r>
      <w:r>
        <w:rPr>
          <w:spacing w:val="-7"/>
        </w:rPr>
        <w:t> </w:t>
      </w:r>
      <w:r>
        <w:rPr>
          <w:spacing w:val="-6"/>
        </w:rPr>
        <w:t>a</w:t>
      </w:r>
      <w:r>
        <w:rPr>
          <w:spacing w:val="-8"/>
        </w:rPr>
        <w:t> </w:t>
      </w:r>
      <w:r>
        <w:rPr>
          <w:spacing w:val="-6"/>
        </w:rPr>
        <w:t>nationwide</w:t>
      </w:r>
      <w:r>
        <w:rPr>
          <w:spacing w:val="-7"/>
        </w:rPr>
        <w:t> </w:t>
      </w:r>
      <w:r>
        <w:rPr>
          <w:spacing w:val="-6"/>
        </w:rPr>
        <w:t>survey</w:t>
      </w:r>
      <w:r>
        <w:rPr>
          <w:spacing w:val="-8"/>
        </w:rPr>
        <w:t> </w:t>
      </w:r>
      <w:r>
        <w:rPr>
          <w:spacing w:val="-6"/>
        </w:rPr>
        <w:t>among</w:t>
      </w:r>
      <w:r>
        <w:rPr>
          <w:spacing w:val="-7"/>
        </w:rPr>
        <w:t> </w:t>
      </w:r>
      <w:r>
        <w:rPr>
          <w:spacing w:val="-6"/>
        </w:rPr>
        <w:t>large</w:t>
      </w:r>
      <w:r>
        <w:rPr>
          <w:spacing w:val="-8"/>
        </w:rPr>
        <w:t> </w:t>
      </w:r>
      <w:r>
        <w:rPr>
          <w:spacing w:val="-6"/>
        </w:rPr>
        <w:t>firms, </w:t>
      </w:r>
      <w:r>
        <w:rPr>
          <w:w w:val="90"/>
        </w:rPr>
        <w:t>as</w:t>
      </w:r>
      <w:r>
        <w:rPr>
          <w:spacing w:val="-4"/>
          <w:w w:val="90"/>
        </w:rPr>
        <w:t> </w:t>
      </w:r>
      <w:r>
        <w:rPr>
          <w:w w:val="90"/>
        </w:rPr>
        <w:t>well</w:t>
      </w:r>
      <w:r>
        <w:rPr>
          <w:spacing w:val="-4"/>
          <w:w w:val="90"/>
        </w:rPr>
        <w:t> </w:t>
      </w:r>
      <w:r>
        <w:rPr>
          <w:w w:val="90"/>
        </w:rPr>
        <w:t>as</w:t>
      </w:r>
      <w:r>
        <w:rPr>
          <w:spacing w:val="-4"/>
          <w:w w:val="90"/>
        </w:rPr>
        <w:t> </w:t>
      </w:r>
      <w:r>
        <w:rPr>
          <w:w w:val="90"/>
        </w:rPr>
        <w:t>small</w:t>
      </w:r>
      <w:r>
        <w:rPr>
          <w:spacing w:val="-4"/>
          <w:w w:val="90"/>
        </w:rPr>
        <w:t> </w:t>
      </w:r>
      <w:r>
        <w:rPr>
          <w:w w:val="90"/>
        </w:rPr>
        <w:t>and</w:t>
      </w:r>
      <w:r>
        <w:rPr>
          <w:spacing w:val="-4"/>
          <w:w w:val="90"/>
        </w:rPr>
        <w:t> </w:t>
      </w:r>
      <w:r>
        <w:rPr>
          <w:w w:val="90"/>
        </w:rPr>
        <w:t>medium</w:t>
      </w:r>
      <w:r>
        <w:rPr>
          <w:spacing w:val="-4"/>
          <w:w w:val="90"/>
        </w:rPr>
        <w:t> </w:t>
      </w:r>
      <w:r>
        <w:rPr>
          <w:w w:val="90"/>
        </w:rPr>
        <w:t>enterprises</w:t>
      </w:r>
      <w:r>
        <w:rPr>
          <w:spacing w:val="-4"/>
          <w:w w:val="90"/>
        </w:rPr>
        <w:t> </w:t>
      </w:r>
      <w:r>
        <w:rPr>
          <w:w w:val="90"/>
        </w:rPr>
        <w:t>to</w:t>
      </w:r>
      <w:r>
        <w:rPr>
          <w:spacing w:val="-4"/>
          <w:w w:val="90"/>
        </w:rPr>
        <w:t> </w:t>
      </w:r>
      <w:r>
        <w:rPr>
          <w:w w:val="90"/>
        </w:rPr>
        <w:t>explore</w:t>
      </w:r>
      <w:r>
        <w:rPr>
          <w:spacing w:val="-4"/>
          <w:w w:val="90"/>
        </w:rPr>
        <w:t> </w:t>
      </w:r>
      <w:r>
        <w:rPr>
          <w:w w:val="90"/>
        </w:rPr>
        <w:t>the</w:t>
      </w:r>
      <w:r>
        <w:rPr>
          <w:spacing w:val="-4"/>
          <w:w w:val="90"/>
        </w:rPr>
        <w:t> </w:t>
      </w:r>
      <w:r>
        <w:rPr>
          <w:w w:val="90"/>
        </w:rPr>
        <w:t>role </w:t>
      </w:r>
      <w:r>
        <w:rPr>
          <w:spacing w:val="-4"/>
        </w:rPr>
        <w:t>being</w:t>
      </w:r>
      <w:r>
        <w:rPr>
          <w:spacing w:val="-10"/>
        </w:rPr>
        <w:t> </w:t>
      </w:r>
      <w:r>
        <w:rPr>
          <w:spacing w:val="-4"/>
        </w:rPr>
        <w:t>played</w:t>
      </w:r>
      <w:r>
        <w:rPr>
          <w:spacing w:val="-10"/>
        </w:rPr>
        <w:t> </w:t>
      </w:r>
      <w:r>
        <w:rPr>
          <w:spacing w:val="-4"/>
        </w:rPr>
        <w:t>by</w:t>
      </w:r>
      <w:r>
        <w:rPr>
          <w:spacing w:val="-10"/>
        </w:rPr>
        <w:t> </w:t>
      </w:r>
      <w:r>
        <w:rPr>
          <w:spacing w:val="-4"/>
        </w:rPr>
        <w:t>innovation</w:t>
      </w:r>
      <w:r>
        <w:rPr>
          <w:spacing w:val="-9"/>
        </w:rPr>
        <w:t> </w:t>
      </w:r>
      <w:r>
        <w:rPr>
          <w:spacing w:val="-4"/>
        </w:rPr>
        <w:t>in</w:t>
      </w:r>
      <w:r>
        <w:rPr>
          <w:spacing w:val="-10"/>
        </w:rPr>
        <w:t> </w:t>
      </w:r>
      <w:r>
        <w:rPr>
          <w:spacing w:val="-4"/>
        </w:rPr>
        <w:t>fuelling</w:t>
      </w:r>
      <w:r>
        <w:rPr>
          <w:spacing w:val="-10"/>
        </w:rPr>
        <w:t> </w:t>
      </w:r>
      <w:r>
        <w:rPr>
          <w:spacing w:val="-4"/>
        </w:rPr>
        <w:t>India’s</w:t>
      </w:r>
      <w:r>
        <w:rPr>
          <w:spacing w:val="-10"/>
        </w:rPr>
        <w:t> </w:t>
      </w:r>
      <w:r>
        <w:rPr>
          <w:spacing w:val="-4"/>
        </w:rPr>
        <w:t>economic </w:t>
      </w:r>
      <w:r>
        <w:rPr>
          <w:spacing w:val="-12"/>
        </w:rPr>
        <w:t>growth.</w:t>
      </w:r>
      <w:r>
        <w:rPr>
          <w:spacing w:val="-2"/>
        </w:rPr>
        <w:t> </w:t>
      </w:r>
      <w:r>
        <w:rPr>
          <w:spacing w:val="-12"/>
        </w:rPr>
        <w:t>The</w:t>
      </w:r>
      <w:r>
        <w:rPr>
          <w:spacing w:val="-2"/>
        </w:rPr>
        <w:t> </w:t>
      </w:r>
      <w:r>
        <w:rPr>
          <w:spacing w:val="-12"/>
        </w:rPr>
        <w:t>NKC</w:t>
      </w:r>
      <w:r>
        <w:rPr/>
        <w:t> </w:t>
      </w:r>
      <w:r>
        <w:rPr>
          <w:spacing w:val="-12"/>
        </w:rPr>
        <w:t>Survey</w:t>
      </w:r>
      <w:r>
        <w:rPr>
          <w:spacing w:val="-12"/>
          <w:position w:val="7"/>
          <w:sz w:val="13"/>
        </w:rPr>
        <w:t>1</w:t>
      </w:r>
      <w:r>
        <w:rPr>
          <w:spacing w:val="29"/>
          <w:position w:val="7"/>
          <w:sz w:val="13"/>
        </w:rPr>
        <w:t> </w:t>
      </w:r>
      <w:r>
        <w:rPr>
          <w:spacing w:val="-12"/>
        </w:rPr>
        <w:t>reveals</w:t>
      </w:r>
      <w:r>
        <w:rPr/>
        <w:t> </w:t>
      </w:r>
      <w:r>
        <w:rPr>
          <w:spacing w:val="-12"/>
        </w:rPr>
        <w:t>that</w:t>
      </w:r>
      <w:r>
        <w:rPr/>
        <w:t> </w:t>
      </w:r>
      <w:r>
        <w:rPr>
          <w:spacing w:val="-12"/>
        </w:rPr>
        <w:t>Innovation</w:t>
      </w:r>
      <w:r>
        <w:rPr/>
        <w:t> </w:t>
      </w:r>
      <w:r>
        <w:rPr>
          <w:spacing w:val="-12"/>
        </w:rPr>
        <w:t>Intensity </w:t>
      </w:r>
      <w:r>
        <w:rPr/>
        <w:t>(i.e.</w:t>
      </w:r>
      <w:r>
        <w:rPr>
          <w:spacing w:val="-12"/>
        </w:rPr>
        <w:t> </w:t>
      </w:r>
      <w:r>
        <w:rPr/>
        <w:t>the</w:t>
      </w:r>
      <w:r>
        <w:rPr>
          <w:spacing w:val="-12"/>
        </w:rPr>
        <w:t> </w:t>
      </w:r>
      <w:r>
        <w:rPr/>
        <w:t>percentage</w:t>
      </w:r>
      <w:r>
        <w:rPr>
          <w:spacing w:val="-12"/>
        </w:rPr>
        <w:t> </w:t>
      </w:r>
      <w:r>
        <w:rPr/>
        <w:t>of</w:t>
      </w:r>
      <w:r>
        <w:rPr>
          <w:spacing w:val="-12"/>
        </w:rPr>
        <w:t> </w:t>
      </w:r>
      <w:r>
        <w:rPr/>
        <w:t>revenue</w:t>
      </w:r>
      <w:r>
        <w:rPr>
          <w:spacing w:val="-12"/>
        </w:rPr>
        <w:t> </w:t>
      </w:r>
      <w:r>
        <w:rPr/>
        <w:t>derived</w:t>
      </w:r>
      <w:r>
        <w:rPr>
          <w:spacing w:val="-12"/>
        </w:rPr>
        <w:t> </w:t>
      </w:r>
      <w:r>
        <w:rPr/>
        <w:t>from</w:t>
      </w:r>
      <w:r>
        <w:rPr>
          <w:spacing w:val="-12"/>
        </w:rPr>
        <w:t> </w:t>
      </w:r>
      <w:r>
        <w:rPr/>
        <w:t>products/ </w:t>
      </w:r>
      <w:r>
        <w:rPr>
          <w:spacing w:val="-8"/>
        </w:rPr>
        <w:t>services</w:t>
      </w:r>
      <w:r>
        <w:rPr>
          <w:spacing w:val="-4"/>
        </w:rPr>
        <w:t> </w:t>
      </w:r>
      <w:r>
        <w:rPr>
          <w:spacing w:val="-8"/>
        </w:rPr>
        <w:t>which</w:t>
      </w:r>
      <w:r>
        <w:rPr>
          <w:spacing w:val="-4"/>
        </w:rPr>
        <w:t> </w:t>
      </w:r>
      <w:r>
        <w:rPr>
          <w:spacing w:val="-8"/>
        </w:rPr>
        <w:t>are</w:t>
      </w:r>
      <w:r>
        <w:rPr>
          <w:spacing w:val="-4"/>
        </w:rPr>
        <w:t> </w:t>
      </w:r>
      <w:r>
        <w:rPr>
          <w:spacing w:val="-8"/>
        </w:rPr>
        <w:t>less</w:t>
      </w:r>
      <w:r>
        <w:rPr>
          <w:spacing w:val="-4"/>
        </w:rPr>
        <w:t> </w:t>
      </w:r>
      <w:r>
        <w:rPr>
          <w:spacing w:val="-8"/>
        </w:rPr>
        <w:t>than</w:t>
      </w:r>
      <w:r>
        <w:rPr>
          <w:spacing w:val="-4"/>
        </w:rPr>
        <w:t> </w:t>
      </w:r>
      <w:r>
        <w:rPr>
          <w:spacing w:val="-8"/>
        </w:rPr>
        <w:t>3</w:t>
      </w:r>
      <w:r>
        <w:rPr>
          <w:spacing w:val="-4"/>
        </w:rPr>
        <w:t> </w:t>
      </w:r>
      <w:r>
        <w:rPr>
          <w:spacing w:val="-8"/>
        </w:rPr>
        <w:t>years</w:t>
      </w:r>
      <w:r>
        <w:rPr>
          <w:spacing w:val="-4"/>
        </w:rPr>
        <w:t> </w:t>
      </w:r>
      <w:r>
        <w:rPr>
          <w:spacing w:val="-8"/>
        </w:rPr>
        <w:t>old)</w:t>
      </w:r>
      <w:r>
        <w:rPr>
          <w:spacing w:val="-4"/>
        </w:rPr>
        <w:t> </w:t>
      </w:r>
      <w:r>
        <w:rPr>
          <w:spacing w:val="-8"/>
        </w:rPr>
        <w:t>has</w:t>
      </w:r>
      <w:r>
        <w:rPr>
          <w:spacing w:val="-4"/>
        </w:rPr>
        <w:t> </w:t>
      </w:r>
      <w:r>
        <w:rPr>
          <w:spacing w:val="-8"/>
        </w:rPr>
        <w:t>increased</w:t>
      </w:r>
      <w:r>
        <w:rPr>
          <w:spacing w:val="-4"/>
        </w:rPr>
        <w:t> </w:t>
      </w:r>
      <w:r>
        <w:rPr>
          <w:spacing w:val="-8"/>
        </w:rPr>
        <w:t>for </w:t>
      </w:r>
      <w:r>
        <w:rPr>
          <w:spacing w:val="-6"/>
        </w:rPr>
        <w:t>large</w:t>
      </w:r>
      <w:r>
        <w:rPr>
          <w:spacing w:val="-8"/>
        </w:rPr>
        <w:t> </w:t>
      </w:r>
      <w:r>
        <w:rPr>
          <w:spacing w:val="-6"/>
        </w:rPr>
        <w:t>firms</w:t>
      </w:r>
      <w:r>
        <w:rPr>
          <w:spacing w:val="-8"/>
        </w:rPr>
        <w:t> </w:t>
      </w:r>
      <w:r>
        <w:rPr>
          <w:spacing w:val="-6"/>
        </w:rPr>
        <w:t>as</w:t>
      </w:r>
      <w:r>
        <w:rPr>
          <w:spacing w:val="-8"/>
        </w:rPr>
        <w:t> </w:t>
      </w:r>
      <w:r>
        <w:rPr>
          <w:spacing w:val="-6"/>
        </w:rPr>
        <w:t>well</w:t>
      </w:r>
      <w:r>
        <w:rPr>
          <w:spacing w:val="-7"/>
        </w:rPr>
        <w:t> </w:t>
      </w:r>
      <w:r>
        <w:rPr>
          <w:spacing w:val="-6"/>
        </w:rPr>
        <w:t>as</w:t>
      </w:r>
      <w:r>
        <w:rPr>
          <w:spacing w:val="-8"/>
        </w:rPr>
        <w:t> </w:t>
      </w:r>
      <w:r>
        <w:rPr>
          <w:spacing w:val="-6"/>
        </w:rPr>
        <w:t>small</w:t>
      </w:r>
      <w:r>
        <w:rPr>
          <w:spacing w:val="-8"/>
        </w:rPr>
        <w:t> </w:t>
      </w:r>
      <w:r>
        <w:rPr>
          <w:spacing w:val="-6"/>
        </w:rPr>
        <w:t>and</w:t>
      </w:r>
      <w:r>
        <w:rPr>
          <w:spacing w:val="-8"/>
        </w:rPr>
        <w:t> </w:t>
      </w:r>
      <w:r>
        <w:rPr>
          <w:spacing w:val="-6"/>
        </w:rPr>
        <w:t>medium</w:t>
      </w:r>
      <w:r>
        <w:rPr>
          <w:spacing w:val="-7"/>
        </w:rPr>
        <w:t> </w:t>
      </w:r>
      <w:r>
        <w:rPr>
          <w:spacing w:val="-6"/>
        </w:rPr>
        <w:t>enterprises.</w:t>
      </w:r>
      <w:r>
        <w:rPr>
          <w:spacing w:val="-8"/>
        </w:rPr>
        <w:t> </w:t>
      </w:r>
      <w:r>
        <w:rPr>
          <w:spacing w:val="-6"/>
        </w:rPr>
        <w:t>The strategic prioritisation of innovation as a factor critical to </w:t>
      </w:r>
      <w:r>
        <w:rPr>
          <w:spacing w:val="-8"/>
        </w:rPr>
        <w:t>growth</w:t>
      </w:r>
      <w:r>
        <w:rPr/>
        <w:t> </w:t>
      </w:r>
      <w:r>
        <w:rPr>
          <w:spacing w:val="-8"/>
        </w:rPr>
        <w:t>and</w:t>
      </w:r>
      <w:r>
        <w:rPr/>
        <w:t> </w:t>
      </w:r>
      <w:r>
        <w:rPr>
          <w:spacing w:val="-8"/>
        </w:rPr>
        <w:t>competitiveness</w:t>
      </w:r>
      <w:r>
        <w:rPr/>
        <w:t> </w:t>
      </w:r>
      <w:r>
        <w:rPr>
          <w:spacing w:val="-8"/>
        </w:rPr>
        <w:t>has</w:t>
      </w:r>
      <w:r>
        <w:rPr/>
        <w:t> </w:t>
      </w:r>
      <w:r>
        <w:rPr>
          <w:spacing w:val="-8"/>
        </w:rPr>
        <w:t>also</w:t>
      </w:r>
      <w:r>
        <w:rPr/>
        <w:t> </w:t>
      </w:r>
      <w:r>
        <w:rPr>
          <w:spacing w:val="-8"/>
        </w:rPr>
        <w:t>achieved</w:t>
      </w:r>
      <w:r>
        <w:rPr/>
        <w:t> </w:t>
      </w:r>
      <w:r>
        <w:rPr>
          <w:spacing w:val="-8"/>
        </w:rPr>
        <w:t>significant </w:t>
      </w:r>
      <w:r>
        <w:rPr/>
        <w:t>prominence</w:t>
      </w:r>
      <w:r>
        <w:rPr>
          <w:spacing w:val="-1"/>
        </w:rPr>
        <w:t> </w:t>
      </w:r>
      <w:r>
        <w:rPr/>
        <w:t>since</w:t>
      </w:r>
      <w:r>
        <w:rPr>
          <w:spacing w:val="-1"/>
        </w:rPr>
        <w:t> </w:t>
      </w:r>
      <w:r>
        <w:rPr/>
        <w:t>the</w:t>
      </w:r>
      <w:r>
        <w:rPr>
          <w:spacing w:val="-1"/>
        </w:rPr>
        <w:t> </w:t>
      </w:r>
      <w:r>
        <w:rPr/>
        <w:t>start</w:t>
      </w:r>
      <w:r>
        <w:rPr>
          <w:spacing w:val="-1"/>
        </w:rPr>
        <w:t> </w:t>
      </w:r>
      <w:r>
        <w:rPr/>
        <w:t>of</w:t>
      </w:r>
      <w:r>
        <w:rPr>
          <w:spacing w:val="-1"/>
        </w:rPr>
        <w:t> </w:t>
      </w:r>
      <w:r>
        <w:rPr/>
        <w:t>economic</w:t>
      </w:r>
      <w:r>
        <w:rPr>
          <w:spacing w:val="-1"/>
        </w:rPr>
        <w:t> </w:t>
      </w:r>
      <w:r>
        <w:rPr/>
        <w:t>liberalisation in India. The NKC Survey further highlights crucial </w:t>
      </w:r>
      <w:r>
        <w:rPr>
          <w:spacing w:val="-8"/>
        </w:rPr>
        <w:t>parameters</w:t>
      </w:r>
      <w:r>
        <w:rPr>
          <w:spacing w:val="-2"/>
        </w:rPr>
        <w:t> </w:t>
      </w:r>
      <w:r>
        <w:rPr>
          <w:spacing w:val="-8"/>
        </w:rPr>
        <w:t>at</w:t>
      </w:r>
      <w:r>
        <w:rPr>
          <w:spacing w:val="-2"/>
        </w:rPr>
        <w:t> </w:t>
      </w:r>
      <w:r>
        <w:rPr>
          <w:spacing w:val="-8"/>
        </w:rPr>
        <w:t>the</w:t>
      </w:r>
      <w:r>
        <w:rPr>
          <w:spacing w:val="-2"/>
        </w:rPr>
        <w:t> </w:t>
      </w:r>
      <w:r>
        <w:rPr>
          <w:spacing w:val="-8"/>
        </w:rPr>
        <w:t>firm</w:t>
      </w:r>
      <w:r>
        <w:rPr>
          <w:spacing w:val="-2"/>
        </w:rPr>
        <w:t> </w:t>
      </w:r>
      <w:r>
        <w:rPr>
          <w:spacing w:val="-8"/>
        </w:rPr>
        <w:t>level</w:t>
      </w:r>
      <w:r>
        <w:rPr>
          <w:spacing w:val="-2"/>
        </w:rPr>
        <w:t> </w:t>
      </w:r>
      <w:r>
        <w:rPr>
          <w:spacing w:val="-8"/>
        </w:rPr>
        <w:t>that</w:t>
      </w:r>
      <w:r>
        <w:rPr>
          <w:spacing w:val="-2"/>
        </w:rPr>
        <w:t> </w:t>
      </w:r>
      <w:r>
        <w:rPr>
          <w:spacing w:val="-8"/>
        </w:rPr>
        <w:t>have</w:t>
      </w:r>
      <w:r>
        <w:rPr>
          <w:spacing w:val="-2"/>
        </w:rPr>
        <w:t> </w:t>
      </w:r>
      <w:r>
        <w:rPr>
          <w:spacing w:val="-8"/>
        </w:rPr>
        <w:t>enabled</w:t>
      </w:r>
      <w:r>
        <w:rPr>
          <w:spacing w:val="-2"/>
        </w:rPr>
        <w:t> </w:t>
      </w:r>
      <w:r>
        <w:rPr>
          <w:spacing w:val="-8"/>
        </w:rPr>
        <w:t>some</w:t>
      </w:r>
      <w:r>
        <w:rPr>
          <w:spacing w:val="-2"/>
        </w:rPr>
        <w:t> </w:t>
      </w:r>
      <w:r>
        <w:rPr>
          <w:spacing w:val="-8"/>
        </w:rPr>
        <w:t>firms </w:t>
      </w:r>
      <w:r>
        <w:rPr>
          <w:spacing w:val="-2"/>
        </w:rPr>
        <w:t>to</w:t>
      </w:r>
      <w:r>
        <w:rPr>
          <w:spacing w:val="-11"/>
        </w:rPr>
        <w:t> </w:t>
      </w:r>
      <w:r>
        <w:rPr>
          <w:spacing w:val="-2"/>
        </w:rPr>
        <w:t>be</w:t>
      </w:r>
      <w:r>
        <w:rPr>
          <w:spacing w:val="-10"/>
        </w:rPr>
        <w:t> </w:t>
      </w:r>
      <w:r>
        <w:rPr>
          <w:spacing w:val="-2"/>
        </w:rPr>
        <w:t>more</w:t>
      </w:r>
      <w:r>
        <w:rPr>
          <w:spacing w:val="-11"/>
        </w:rPr>
        <w:t> </w:t>
      </w:r>
      <w:r>
        <w:rPr>
          <w:spacing w:val="-2"/>
        </w:rPr>
        <w:t>innovative</w:t>
      </w:r>
      <w:r>
        <w:rPr>
          <w:spacing w:val="-10"/>
        </w:rPr>
        <w:t> </w:t>
      </w:r>
      <w:r>
        <w:rPr>
          <w:spacing w:val="-2"/>
        </w:rPr>
        <w:t>than</w:t>
      </w:r>
      <w:r>
        <w:rPr>
          <w:spacing w:val="-10"/>
        </w:rPr>
        <w:t> </w:t>
      </w:r>
      <w:r>
        <w:rPr>
          <w:spacing w:val="-2"/>
        </w:rPr>
        <w:t>others,</w:t>
      </w:r>
      <w:r>
        <w:rPr>
          <w:spacing w:val="-11"/>
        </w:rPr>
        <w:t> </w:t>
      </w:r>
      <w:r>
        <w:rPr>
          <w:spacing w:val="-2"/>
        </w:rPr>
        <w:t>including</w:t>
      </w:r>
      <w:r>
        <w:rPr>
          <w:spacing w:val="-10"/>
        </w:rPr>
        <w:t> </w:t>
      </w:r>
      <w:r>
        <w:rPr>
          <w:spacing w:val="-2"/>
        </w:rPr>
        <w:t>the</w:t>
      </w:r>
      <w:r>
        <w:rPr>
          <w:spacing w:val="-10"/>
        </w:rPr>
        <w:t> </w:t>
      </w:r>
      <w:r>
        <w:rPr>
          <w:spacing w:val="-2"/>
        </w:rPr>
        <w:t>role</w:t>
      </w:r>
      <w:r>
        <w:rPr>
          <w:spacing w:val="-11"/>
        </w:rPr>
        <w:t> </w:t>
      </w:r>
      <w:r>
        <w:rPr>
          <w:spacing w:val="-5"/>
        </w:rPr>
        <w:t>of</w:t>
      </w:r>
    </w:p>
    <w:p>
      <w:pPr>
        <w:pStyle w:val="BodyText"/>
        <w:spacing w:line="266" w:lineRule="auto" w:before="82"/>
        <w:ind w:left="319" w:right="1077"/>
        <w:jc w:val="both"/>
      </w:pPr>
      <w:r>
        <w:rPr/>
        <w:br w:type="column"/>
      </w:r>
      <w:r>
        <w:rPr>
          <w:spacing w:val="-4"/>
        </w:rPr>
        <w:t>structural frameworks and processes. It is expected that </w:t>
      </w:r>
      <w:r>
        <w:rPr>
          <w:w w:val="90"/>
        </w:rPr>
        <w:t>dissemination</w:t>
      </w:r>
      <w:r>
        <w:rPr>
          <w:spacing w:val="-5"/>
          <w:w w:val="90"/>
        </w:rPr>
        <w:t> </w:t>
      </w:r>
      <w:r>
        <w:rPr>
          <w:w w:val="90"/>
        </w:rPr>
        <w:t>of</w:t>
      </w:r>
      <w:r>
        <w:rPr>
          <w:spacing w:val="-5"/>
          <w:w w:val="90"/>
        </w:rPr>
        <w:t> </w:t>
      </w:r>
      <w:r>
        <w:rPr>
          <w:w w:val="90"/>
        </w:rPr>
        <w:t>the</w:t>
      </w:r>
      <w:r>
        <w:rPr>
          <w:spacing w:val="-5"/>
          <w:w w:val="90"/>
        </w:rPr>
        <w:t> </w:t>
      </w:r>
      <w:r>
        <w:rPr>
          <w:w w:val="90"/>
        </w:rPr>
        <w:t>survey</w:t>
      </w:r>
      <w:r>
        <w:rPr>
          <w:spacing w:val="-5"/>
          <w:w w:val="90"/>
        </w:rPr>
        <w:t> </w:t>
      </w:r>
      <w:r>
        <w:rPr>
          <w:w w:val="90"/>
        </w:rPr>
        <w:t>results</w:t>
      </w:r>
      <w:r>
        <w:rPr>
          <w:spacing w:val="-5"/>
          <w:w w:val="90"/>
        </w:rPr>
        <w:t> </w:t>
      </w:r>
      <w:r>
        <w:rPr>
          <w:w w:val="90"/>
        </w:rPr>
        <w:t>across</w:t>
      </w:r>
      <w:r>
        <w:rPr>
          <w:spacing w:val="-5"/>
          <w:w w:val="90"/>
        </w:rPr>
        <w:t> </w:t>
      </w:r>
      <w:r>
        <w:rPr>
          <w:w w:val="90"/>
        </w:rPr>
        <w:t>India’s</w:t>
      </w:r>
      <w:r>
        <w:rPr>
          <w:spacing w:val="-5"/>
          <w:w w:val="90"/>
        </w:rPr>
        <w:t> </w:t>
      </w:r>
      <w:r>
        <w:rPr>
          <w:w w:val="90"/>
        </w:rPr>
        <w:t>industrial </w:t>
      </w:r>
      <w:r>
        <w:rPr/>
        <w:t>spectrum</w:t>
      </w:r>
      <w:r>
        <w:rPr>
          <w:spacing w:val="-3"/>
        </w:rPr>
        <w:t> </w:t>
      </w:r>
      <w:r>
        <w:rPr/>
        <w:t>will</w:t>
      </w:r>
      <w:r>
        <w:rPr>
          <w:spacing w:val="-3"/>
        </w:rPr>
        <w:t> </w:t>
      </w:r>
      <w:r>
        <w:rPr/>
        <w:t>highlight</w:t>
      </w:r>
      <w:r>
        <w:rPr>
          <w:spacing w:val="-3"/>
        </w:rPr>
        <w:t> </w:t>
      </w:r>
      <w:r>
        <w:rPr/>
        <w:t>best</w:t>
      </w:r>
      <w:r>
        <w:rPr>
          <w:spacing w:val="-3"/>
        </w:rPr>
        <w:t> </w:t>
      </w:r>
      <w:r>
        <w:rPr/>
        <w:t>practices</w:t>
      </w:r>
      <w:r>
        <w:rPr>
          <w:spacing w:val="-3"/>
        </w:rPr>
        <w:t> </w:t>
      </w:r>
      <w:r>
        <w:rPr/>
        <w:t>in</w:t>
      </w:r>
      <w:r>
        <w:rPr>
          <w:spacing w:val="-3"/>
        </w:rPr>
        <w:t> </w:t>
      </w:r>
      <w:r>
        <w:rPr/>
        <w:t>industry</w:t>
      </w:r>
      <w:r>
        <w:rPr>
          <w:spacing w:val="-3"/>
        </w:rPr>
        <w:t> </w:t>
      </w:r>
      <w:r>
        <w:rPr/>
        <w:t>and </w:t>
      </w:r>
      <w:r>
        <w:rPr>
          <w:spacing w:val="-4"/>
        </w:rPr>
        <w:t>thereby</w:t>
      </w:r>
      <w:r>
        <w:rPr>
          <w:spacing w:val="-7"/>
        </w:rPr>
        <w:t> </w:t>
      </w:r>
      <w:r>
        <w:rPr>
          <w:spacing w:val="-4"/>
        </w:rPr>
        <w:t>also</w:t>
      </w:r>
      <w:r>
        <w:rPr>
          <w:spacing w:val="-7"/>
        </w:rPr>
        <w:t> </w:t>
      </w:r>
      <w:r>
        <w:rPr>
          <w:spacing w:val="-4"/>
        </w:rPr>
        <w:t>generate</w:t>
      </w:r>
      <w:r>
        <w:rPr>
          <w:spacing w:val="-7"/>
        </w:rPr>
        <w:t> </w:t>
      </w:r>
      <w:r>
        <w:rPr>
          <w:spacing w:val="-4"/>
        </w:rPr>
        <w:t>catalytic</w:t>
      </w:r>
      <w:r>
        <w:rPr>
          <w:spacing w:val="-7"/>
        </w:rPr>
        <w:t> </w:t>
      </w:r>
      <w:r>
        <w:rPr>
          <w:spacing w:val="-4"/>
        </w:rPr>
        <w:t>impact</w:t>
      </w:r>
      <w:r>
        <w:rPr>
          <w:spacing w:val="-7"/>
        </w:rPr>
        <w:t> </w:t>
      </w:r>
      <w:r>
        <w:rPr>
          <w:spacing w:val="-4"/>
        </w:rPr>
        <w:t>on</w:t>
      </w:r>
      <w:r>
        <w:rPr>
          <w:spacing w:val="-7"/>
        </w:rPr>
        <w:t> </w:t>
      </w:r>
      <w:r>
        <w:rPr>
          <w:spacing w:val="-4"/>
        </w:rPr>
        <w:t>a</w:t>
      </w:r>
      <w:r>
        <w:rPr>
          <w:spacing w:val="-7"/>
        </w:rPr>
        <w:t> </w:t>
      </w:r>
      <w:r>
        <w:rPr>
          <w:spacing w:val="-4"/>
        </w:rPr>
        <w:t>wider</w:t>
      </w:r>
      <w:r>
        <w:rPr>
          <w:spacing w:val="-7"/>
        </w:rPr>
        <w:t> </w:t>
      </w:r>
      <w:r>
        <w:rPr>
          <w:spacing w:val="-4"/>
        </w:rPr>
        <w:t>scale.</w:t>
      </w:r>
    </w:p>
    <w:p>
      <w:pPr>
        <w:pStyle w:val="BodyText"/>
        <w:spacing w:before="23"/>
      </w:pPr>
    </w:p>
    <w:p>
      <w:pPr>
        <w:pStyle w:val="BodyText"/>
        <w:spacing w:line="266" w:lineRule="auto"/>
        <w:ind w:left="319" w:right="1077"/>
        <w:jc w:val="both"/>
      </w:pPr>
      <w:r>
        <w:rPr/>
        <w:t>However, it is pertinent to point out that the </w:t>
      </w:r>
      <w:r>
        <w:rPr/>
        <w:t>most critical</w:t>
      </w:r>
      <w:r>
        <w:rPr>
          <w:spacing w:val="-4"/>
        </w:rPr>
        <w:t> </w:t>
      </w:r>
      <w:r>
        <w:rPr/>
        <w:t>external</w:t>
      </w:r>
      <w:r>
        <w:rPr>
          <w:spacing w:val="-4"/>
        </w:rPr>
        <w:t> </w:t>
      </w:r>
      <w:r>
        <w:rPr/>
        <w:t>barrier</w:t>
      </w:r>
      <w:r>
        <w:rPr>
          <w:spacing w:val="-4"/>
        </w:rPr>
        <w:t> </w:t>
      </w:r>
      <w:r>
        <w:rPr/>
        <w:t>for</w:t>
      </w:r>
      <w:r>
        <w:rPr>
          <w:spacing w:val="-4"/>
        </w:rPr>
        <w:t> </w:t>
      </w:r>
      <w:r>
        <w:rPr/>
        <w:t>both</w:t>
      </w:r>
      <w:r>
        <w:rPr>
          <w:spacing w:val="-4"/>
        </w:rPr>
        <w:t> </w:t>
      </w:r>
      <w:r>
        <w:rPr/>
        <w:t>large</w:t>
      </w:r>
      <w:r>
        <w:rPr>
          <w:spacing w:val="-4"/>
        </w:rPr>
        <w:t> </w:t>
      </w:r>
      <w:r>
        <w:rPr/>
        <w:t>firms</w:t>
      </w:r>
      <w:r>
        <w:rPr>
          <w:spacing w:val="-4"/>
        </w:rPr>
        <w:t> </w:t>
      </w:r>
      <w:r>
        <w:rPr/>
        <w:t>and</w:t>
      </w:r>
      <w:r>
        <w:rPr>
          <w:spacing w:val="-4"/>
        </w:rPr>
        <w:t> </w:t>
      </w:r>
      <w:r>
        <w:rPr/>
        <w:t>small and</w:t>
      </w:r>
      <w:r>
        <w:rPr>
          <w:spacing w:val="-14"/>
        </w:rPr>
        <w:t> </w:t>
      </w:r>
      <w:r>
        <w:rPr/>
        <w:t>medium</w:t>
      </w:r>
      <w:r>
        <w:rPr>
          <w:spacing w:val="-13"/>
        </w:rPr>
        <w:t> </w:t>
      </w:r>
      <w:r>
        <w:rPr/>
        <w:t>enterprises</w:t>
      </w:r>
      <w:r>
        <w:rPr>
          <w:spacing w:val="-14"/>
        </w:rPr>
        <w:t> </w:t>
      </w:r>
      <w:r>
        <w:rPr/>
        <w:t>is</w:t>
      </w:r>
      <w:r>
        <w:rPr>
          <w:spacing w:val="-13"/>
        </w:rPr>
        <w:t> </w:t>
      </w:r>
      <w:r>
        <w:rPr/>
        <w:t>skill</w:t>
      </w:r>
      <w:r>
        <w:rPr>
          <w:spacing w:val="-14"/>
        </w:rPr>
        <w:t> </w:t>
      </w:r>
      <w:r>
        <w:rPr/>
        <w:t>shortage</w:t>
      </w:r>
      <w:r>
        <w:rPr>
          <w:spacing w:val="-13"/>
        </w:rPr>
        <w:t> </w:t>
      </w:r>
      <w:r>
        <w:rPr/>
        <w:t>arising</w:t>
      </w:r>
      <w:r>
        <w:rPr>
          <w:spacing w:val="-14"/>
        </w:rPr>
        <w:t> </w:t>
      </w:r>
      <w:r>
        <w:rPr/>
        <w:t>out</w:t>
      </w:r>
      <w:r>
        <w:rPr>
          <w:spacing w:val="-13"/>
        </w:rPr>
        <w:t> </w:t>
      </w:r>
      <w:r>
        <w:rPr/>
        <w:t>of lack of emphasis on industrial innovation, problem- solving,</w:t>
      </w:r>
      <w:r>
        <w:rPr>
          <w:spacing w:val="-7"/>
        </w:rPr>
        <w:t> </w:t>
      </w:r>
      <w:r>
        <w:rPr/>
        <w:t>design,</w:t>
      </w:r>
      <w:r>
        <w:rPr>
          <w:spacing w:val="-7"/>
        </w:rPr>
        <w:t> </w:t>
      </w:r>
      <w:r>
        <w:rPr/>
        <w:t>experimentation</w:t>
      </w:r>
      <w:r>
        <w:rPr>
          <w:spacing w:val="-7"/>
        </w:rPr>
        <w:t> </w:t>
      </w:r>
      <w:r>
        <w:rPr/>
        <w:t>etc.</w:t>
      </w:r>
      <w:r>
        <w:rPr>
          <w:spacing w:val="-7"/>
        </w:rPr>
        <w:t> </w:t>
      </w:r>
      <w:r>
        <w:rPr/>
        <w:t>in</w:t>
      </w:r>
      <w:r>
        <w:rPr>
          <w:spacing w:val="-7"/>
        </w:rPr>
        <w:t> </w:t>
      </w:r>
      <w:r>
        <w:rPr/>
        <w:t>the</w:t>
      </w:r>
      <w:r>
        <w:rPr>
          <w:spacing w:val="-7"/>
        </w:rPr>
        <w:t> </w:t>
      </w:r>
      <w:r>
        <w:rPr/>
        <w:t>education curricula. There is also need for more effective collaboration</w:t>
      </w:r>
      <w:r>
        <w:rPr>
          <w:spacing w:val="-14"/>
        </w:rPr>
        <w:t> </w:t>
      </w:r>
      <w:r>
        <w:rPr/>
        <w:t>between</w:t>
      </w:r>
      <w:r>
        <w:rPr>
          <w:spacing w:val="-14"/>
        </w:rPr>
        <w:t> </w:t>
      </w:r>
      <w:r>
        <w:rPr/>
        <w:t>industry,</w:t>
      </w:r>
      <w:r>
        <w:rPr>
          <w:spacing w:val="-14"/>
        </w:rPr>
        <w:t> </w:t>
      </w:r>
      <w:r>
        <w:rPr/>
        <w:t>universities</w:t>
      </w:r>
      <w:r>
        <w:rPr>
          <w:spacing w:val="-13"/>
        </w:rPr>
        <w:t> </w:t>
      </w:r>
      <w:r>
        <w:rPr/>
        <w:t>and</w:t>
      </w:r>
      <w:r>
        <w:rPr>
          <w:spacing w:val="-14"/>
        </w:rPr>
        <w:t> </w:t>
      </w:r>
      <w:r>
        <w:rPr/>
        <w:t>R&amp;D </w:t>
      </w:r>
      <w:r>
        <w:rPr>
          <w:spacing w:val="-2"/>
        </w:rPr>
        <w:t>institutions.</w:t>
      </w:r>
      <w:r>
        <w:rPr>
          <w:spacing w:val="-7"/>
        </w:rPr>
        <w:t> </w:t>
      </w:r>
      <w:r>
        <w:rPr>
          <w:spacing w:val="-2"/>
        </w:rPr>
        <w:t>Systematic</w:t>
      </w:r>
      <w:r>
        <w:rPr>
          <w:spacing w:val="-7"/>
        </w:rPr>
        <w:t> </w:t>
      </w:r>
      <w:r>
        <w:rPr>
          <w:spacing w:val="-2"/>
        </w:rPr>
        <w:t>reform</w:t>
      </w:r>
      <w:r>
        <w:rPr>
          <w:spacing w:val="-7"/>
        </w:rPr>
        <w:t> </w:t>
      </w:r>
      <w:r>
        <w:rPr>
          <w:spacing w:val="-2"/>
        </w:rPr>
        <w:t>of</w:t>
      </w:r>
      <w:r>
        <w:rPr>
          <w:spacing w:val="-7"/>
        </w:rPr>
        <w:t> </w:t>
      </w:r>
      <w:r>
        <w:rPr>
          <w:spacing w:val="-2"/>
        </w:rPr>
        <w:t>the</w:t>
      </w:r>
      <w:r>
        <w:rPr>
          <w:spacing w:val="-7"/>
        </w:rPr>
        <w:t> </w:t>
      </w:r>
      <w:r>
        <w:rPr>
          <w:spacing w:val="-2"/>
        </w:rPr>
        <w:t>higher</w:t>
      </w:r>
      <w:r>
        <w:rPr>
          <w:spacing w:val="-7"/>
        </w:rPr>
        <w:t> </w:t>
      </w:r>
      <w:r>
        <w:rPr>
          <w:spacing w:val="-2"/>
        </w:rPr>
        <w:t>education </w:t>
      </w:r>
      <w:r>
        <w:rPr/>
        <w:t>system (including skill based marketable vocational education)</w:t>
      </w:r>
      <w:r>
        <w:rPr>
          <w:spacing w:val="-14"/>
        </w:rPr>
        <w:t> </w:t>
      </w:r>
      <w:r>
        <w:rPr/>
        <w:t>in</w:t>
      </w:r>
      <w:r>
        <w:rPr>
          <w:spacing w:val="-13"/>
        </w:rPr>
        <w:t> </w:t>
      </w:r>
      <w:r>
        <w:rPr/>
        <w:t>India</w:t>
      </w:r>
      <w:r>
        <w:rPr>
          <w:spacing w:val="-14"/>
        </w:rPr>
        <w:t> </w:t>
      </w:r>
      <w:r>
        <w:rPr/>
        <w:t>is</w:t>
      </w:r>
      <w:r>
        <w:rPr>
          <w:spacing w:val="-13"/>
        </w:rPr>
        <w:t> </w:t>
      </w:r>
      <w:r>
        <w:rPr/>
        <w:t>essential</w:t>
      </w:r>
      <w:r>
        <w:rPr>
          <w:spacing w:val="-14"/>
        </w:rPr>
        <w:t> </w:t>
      </w:r>
      <w:r>
        <w:rPr/>
        <w:t>to</w:t>
      </w:r>
      <w:r>
        <w:rPr>
          <w:spacing w:val="-13"/>
        </w:rPr>
        <w:t> </w:t>
      </w:r>
      <w:r>
        <w:rPr/>
        <w:t>develop</w:t>
      </w:r>
      <w:r>
        <w:rPr>
          <w:spacing w:val="-14"/>
        </w:rPr>
        <w:t> </w:t>
      </w:r>
      <w:r>
        <w:rPr/>
        <w:t>the</w:t>
      </w:r>
      <w:r>
        <w:rPr>
          <w:spacing w:val="-13"/>
        </w:rPr>
        <w:t> </w:t>
      </w:r>
      <w:r>
        <w:rPr/>
        <w:t>required </w:t>
      </w:r>
      <w:r>
        <w:rPr>
          <w:spacing w:val="-6"/>
        </w:rPr>
        <w:t>intellectual</w:t>
      </w:r>
      <w:r>
        <w:rPr>
          <w:spacing w:val="-8"/>
        </w:rPr>
        <w:t> </w:t>
      </w:r>
      <w:r>
        <w:rPr>
          <w:spacing w:val="-6"/>
        </w:rPr>
        <w:t>capital</w:t>
      </w:r>
      <w:r>
        <w:rPr>
          <w:spacing w:val="-8"/>
        </w:rPr>
        <w:t> </w:t>
      </w:r>
      <w:r>
        <w:rPr>
          <w:spacing w:val="-6"/>
        </w:rPr>
        <w:t>as</w:t>
      </w:r>
      <w:r>
        <w:rPr>
          <w:spacing w:val="-8"/>
        </w:rPr>
        <w:t> </w:t>
      </w:r>
      <w:r>
        <w:rPr>
          <w:spacing w:val="-6"/>
        </w:rPr>
        <w:t>well</w:t>
      </w:r>
      <w:r>
        <w:rPr>
          <w:spacing w:val="-7"/>
        </w:rPr>
        <w:t> </w:t>
      </w:r>
      <w:r>
        <w:rPr>
          <w:spacing w:val="-6"/>
        </w:rPr>
        <w:t>as</w:t>
      </w:r>
      <w:r>
        <w:rPr>
          <w:spacing w:val="-8"/>
        </w:rPr>
        <w:t> </w:t>
      </w:r>
      <w:r>
        <w:rPr>
          <w:spacing w:val="-6"/>
        </w:rPr>
        <w:t>generate</w:t>
      </w:r>
      <w:r>
        <w:rPr>
          <w:spacing w:val="-8"/>
        </w:rPr>
        <w:t> </w:t>
      </w:r>
      <w:r>
        <w:rPr>
          <w:spacing w:val="-6"/>
        </w:rPr>
        <w:t>effective</w:t>
      </w:r>
      <w:r>
        <w:rPr>
          <w:spacing w:val="-8"/>
        </w:rPr>
        <w:t> </w:t>
      </w:r>
      <w:r>
        <w:rPr>
          <w:spacing w:val="-6"/>
        </w:rPr>
        <w:t>synergies </w:t>
      </w:r>
      <w:r>
        <w:rPr/>
        <w:t>among</w:t>
      </w:r>
      <w:r>
        <w:rPr>
          <w:spacing w:val="-9"/>
        </w:rPr>
        <w:t> </w:t>
      </w:r>
      <w:r>
        <w:rPr/>
        <w:t>industry,</w:t>
      </w:r>
      <w:r>
        <w:rPr>
          <w:spacing w:val="-9"/>
        </w:rPr>
        <w:t> </w:t>
      </w:r>
      <w:r>
        <w:rPr/>
        <w:t>government,</w:t>
      </w:r>
      <w:r>
        <w:rPr>
          <w:spacing w:val="-9"/>
        </w:rPr>
        <w:t> </w:t>
      </w:r>
      <w:r>
        <w:rPr/>
        <w:t>the</w:t>
      </w:r>
      <w:r>
        <w:rPr>
          <w:spacing w:val="-9"/>
        </w:rPr>
        <w:t> </w:t>
      </w:r>
      <w:r>
        <w:rPr/>
        <w:t>educational</w:t>
      </w:r>
      <w:r>
        <w:rPr>
          <w:spacing w:val="-9"/>
        </w:rPr>
        <w:t> </w:t>
      </w:r>
      <w:r>
        <w:rPr/>
        <w:t>system, </w:t>
      </w:r>
      <w:r>
        <w:rPr>
          <w:spacing w:val="-2"/>
        </w:rPr>
        <w:t>the</w:t>
      </w:r>
      <w:r>
        <w:rPr>
          <w:spacing w:val="-12"/>
        </w:rPr>
        <w:t> </w:t>
      </w:r>
      <w:r>
        <w:rPr>
          <w:spacing w:val="-2"/>
        </w:rPr>
        <w:t>R&amp;D</w:t>
      </w:r>
      <w:r>
        <w:rPr>
          <w:spacing w:val="-12"/>
        </w:rPr>
        <w:t> </w:t>
      </w:r>
      <w:r>
        <w:rPr>
          <w:spacing w:val="-2"/>
        </w:rPr>
        <w:t>environment</w:t>
      </w:r>
      <w:r>
        <w:rPr>
          <w:spacing w:val="-12"/>
        </w:rPr>
        <w:t> </w:t>
      </w:r>
      <w:r>
        <w:rPr>
          <w:spacing w:val="-2"/>
        </w:rPr>
        <w:t>and</w:t>
      </w:r>
      <w:r>
        <w:rPr>
          <w:spacing w:val="-11"/>
        </w:rPr>
        <w:t> </w:t>
      </w:r>
      <w:r>
        <w:rPr>
          <w:spacing w:val="-2"/>
        </w:rPr>
        <w:t>the</w:t>
      </w:r>
      <w:r>
        <w:rPr>
          <w:spacing w:val="-12"/>
        </w:rPr>
        <w:t> </w:t>
      </w:r>
      <w:r>
        <w:rPr>
          <w:spacing w:val="-2"/>
        </w:rPr>
        <w:t>consumer.</w:t>
      </w:r>
      <w:r>
        <w:rPr>
          <w:spacing w:val="-12"/>
        </w:rPr>
        <w:t> </w:t>
      </w:r>
      <w:r>
        <w:rPr>
          <w:spacing w:val="-2"/>
        </w:rPr>
        <w:t>Innovation</w:t>
      </w:r>
      <w:r>
        <w:rPr>
          <w:spacing w:val="-12"/>
        </w:rPr>
        <w:t> </w:t>
      </w:r>
      <w:r>
        <w:rPr>
          <w:spacing w:val="-2"/>
        </w:rPr>
        <w:t>is a</w:t>
      </w:r>
      <w:r>
        <w:rPr>
          <w:spacing w:val="-12"/>
        </w:rPr>
        <w:t> </w:t>
      </w:r>
      <w:r>
        <w:rPr>
          <w:spacing w:val="-2"/>
        </w:rPr>
        <w:t>complex</w:t>
      </w:r>
      <w:r>
        <w:rPr>
          <w:spacing w:val="-12"/>
        </w:rPr>
        <w:t> </w:t>
      </w:r>
      <w:r>
        <w:rPr>
          <w:spacing w:val="-2"/>
        </w:rPr>
        <w:t>activity</w:t>
      </w:r>
      <w:r>
        <w:rPr>
          <w:spacing w:val="-11"/>
        </w:rPr>
        <w:t> </w:t>
      </w:r>
      <w:r>
        <w:rPr>
          <w:spacing w:val="-2"/>
        </w:rPr>
        <w:t>that</w:t>
      </w:r>
      <w:r>
        <w:rPr>
          <w:spacing w:val="-12"/>
        </w:rPr>
        <w:t> </w:t>
      </w:r>
      <w:r>
        <w:rPr>
          <w:spacing w:val="-2"/>
        </w:rPr>
        <w:t>requires</w:t>
      </w:r>
      <w:r>
        <w:rPr>
          <w:spacing w:val="-12"/>
        </w:rPr>
        <w:t> </w:t>
      </w:r>
      <w:r>
        <w:rPr>
          <w:spacing w:val="-2"/>
        </w:rPr>
        <w:t>widespread</w:t>
      </w:r>
      <w:r>
        <w:rPr>
          <w:spacing w:val="-11"/>
        </w:rPr>
        <w:t> </w:t>
      </w:r>
      <w:r>
        <w:rPr>
          <w:spacing w:val="-2"/>
        </w:rPr>
        <w:t>interaction </w:t>
      </w:r>
      <w:r>
        <w:rPr/>
        <w:t>across the entire economy, from the grassroots to the large firm level.</w:t>
      </w:r>
      <w:r>
        <w:rPr>
          <w:spacing w:val="-14"/>
        </w:rPr>
        <w:t> </w:t>
      </w:r>
      <w:r>
        <w:rPr/>
        <w:t>NKC recommends a comprehensive campaign</w:t>
      </w:r>
      <w:r>
        <w:rPr>
          <w:spacing w:val="-13"/>
        </w:rPr>
        <w:t> </w:t>
      </w:r>
      <w:r>
        <w:rPr/>
        <w:t>to</w:t>
      </w:r>
      <w:r>
        <w:rPr>
          <w:spacing w:val="-13"/>
        </w:rPr>
        <w:t> </w:t>
      </w:r>
      <w:r>
        <w:rPr/>
        <w:t>address</w:t>
      </w:r>
      <w:r>
        <w:rPr>
          <w:spacing w:val="-13"/>
        </w:rPr>
        <w:t> </w:t>
      </w:r>
      <w:r>
        <w:rPr/>
        <w:t>these</w:t>
      </w:r>
      <w:r>
        <w:rPr>
          <w:spacing w:val="-13"/>
        </w:rPr>
        <w:t> </w:t>
      </w:r>
      <w:r>
        <w:rPr/>
        <w:t>issues</w:t>
      </w:r>
      <w:r>
        <w:rPr>
          <w:spacing w:val="-13"/>
        </w:rPr>
        <w:t> </w:t>
      </w:r>
      <w:r>
        <w:rPr/>
        <w:t>and</w:t>
      </w:r>
      <w:r>
        <w:rPr>
          <w:spacing w:val="-13"/>
        </w:rPr>
        <w:t> </w:t>
      </w:r>
      <w:r>
        <w:rPr/>
        <w:t>to</w:t>
      </w:r>
      <w:r>
        <w:rPr>
          <w:spacing w:val="-13"/>
        </w:rPr>
        <w:t> </w:t>
      </w:r>
      <w:r>
        <w:rPr/>
        <w:t>spur</w:t>
      </w:r>
      <w:r>
        <w:rPr>
          <w:spacing w:val="-13"/>
        </w:rPr>
        <w:t> </w:t>
      </w:r>
      <w:r>
        <w:rPr/>
        <w:t>efforts</w:t>
      </w:r>
      <w:r>
        <w:rPr>
          <w:spacing w:val="-13"/>
        </w:rPr>
        <w:t> </w:t>
      </w:r>
      <w:r>
        <w:rPr/>
        <w:t>to make India a global leader in innovation.</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7"/>
        <w:rPr>
          <w:sz w:val="20"/>
        </w:rPr>
      </w:pPr>
    </w:p>
    <w:p>
      <w:pPr>
        <w:pStyle w:val="BodyText"/>
        <w:spacing w:line="20" w:lineRule="exact"/>
        <w:ind w:left="1080"/>
        <w:rPr>
          <w:sz w:val="2"/>
        </w:rPr>
      </w:pPr>
      <w:r>
        <w:rPr>
          <w:sz w:val="2"/>
        </w:rPr>
        <mc:AlternateContent>
          <mc:Choice Requires="wps">
            <w:drawing>
              <wp:inline distT="0" distB="0" distL="0" distR="0">
                <wp:extent cx="2408555" cy="6350"/>
                <wp:effectExtent l="0" t="0" r="0" b="0"/>
                <wp:docPr id="969" name="Group 969"/>
                <wp:cNvGraphicFramePr>
                  <a:graphicFrameLocks/>
                </wp:cNvGraphicFramePr>
                <a:graphic>
                  <a:graphicData uri="http://schemas.microsoft.com/office/word/2010/wordprocessingGroup">
                    <wpg:wgp>
                      <wpg:cNvPr id="969" name="Group 969"/>
                      <wpg:cNvGrpSpPr/>
                      <wpg:grpSpPr>
                        <a:xfrm>
                          <a:off x="0" y="0"/>
                          <a:ext cx="2408555" cy="6350"/>
                          <a:chExt cx="2408555" cy="6350"/>
                        </a:xfrm>
                      </wpg:grpSpPr>
                      <wps:wsp>
                        <wps:cNvPr id="970" name="Graphic 970"/>
                        <wps:cNvSpPr/>
                        <wps:spPr>
                          <a:xfrm>
                            <a:off x="0" y="0"/>
                            <a:ext cx="2408555" cy="6350"/>
                          </a:xfrm>
                          <a:custGeom>
                            <a:avLst/>
                            <a:gdLst/>
                            <a:ahLst/>
                            <a:cxnLst/>
                            <a:rect l="l" t="t" r="r" b="b"/>
                            <a:pathLst>
                              <a:path w="2408555" h="6350">
                                <a:moveTo>
                                  <a:pt x="2408400" y="0"/>
                                </a:moveTo>
                                <a:lnTo>
                                  <a:pt x="0" y="0"/>
                                </a:lnTo>
                                <a:lnTo>
                                  <a:pt x="0" y="6349"/>
                                </a:lnTo>
                                <a:lnTo>
                                  <a:pt x="2408400" y="6349"/>
                                </a:lnTo>
                                <a:lnTo>
                                  <a:pt x="240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9.65pt;height:.5pt;mso-position-horizontal-relative:char;mso-position-vertical-relative:line" id="docshapegroup960" coordorigin="0,0" coordsize="3793,10">
                <v:rect style="position:absolute;left:0;top:0;width:3793;height:10" id="docshape961" filled="true" fillcolor="#000000" stroked="false">
                  <v:fill type="solid"/>
                </v:rect>
              </v:group>
            </w:pict>
          </mc:Fallback>
        </mc:AlternateContent>
      </w:r>
      <w:r>
        <w:rPr>
          <w:sz w:val="2"/>
        </w:rPr>
      </w:r>
    </w:p>
    <w:p>
      <w:pPr>
        <w:spacing w:before="65"/>
        <w:ind w:left="1079" w:right="0" w:firstLine="0"/>
        <w:jc w:val="left"/>
        <w:rPr>
          <w:sz w:val="18"/>
        </w:rPr>
      </w:pPr>
      <w:r>
        <w:rPr>
          <w:spacing w:val="-2"/>
          <w:position w:val="6"/>
          <w:sz w:val="10"/>
        </w:rPr>
        <w:t>1</w:t>
      </w:r>
      <w:r>
        <w:rPr>
          <w:spacing w:val="4"/>
          <w:position w:val="6"/>
          <w:sz w:val="10"/>
        </w:rPr>
        <w:t> </w:t>
      </w:r>
      <w:r>
        <w:rPr>
          <w:spacing w:val="-2"/>
          <w:sz w:val="18"/>
        </w:rPr>
        <w:t>For</w:t>
      </w:r>
      <w:r>
        <w:rPr>
          <w:spacing w:val="-9"/>
          <w:sz w:val="18"/>
        </w:rPr>
        <w:t> </w:t>
      </w:r>
      <w:r>
        <w:rPr>
          <w:spacing w:val="-2"/>
          <w:sz w:val="18"/>
        </w:rPr>
        <w:t>details,</w:t>
      </w:r>
      <w:r>
        <w:rPr>
          <w:spacing w:val="-9"/>
          <w:sz w:val="18"/>
        </w:rPr>
        <w:t> </w:t>
      </w:r>
      <w:r>
        <w:rPr>
          <w:spacing w:val="-2"/>
          <w:sz w:val="18"/>
        </w:rPr>
        <w:t>see</w:t>
      </w:r>
      <w:r>
        <w:rPr>
          <w:spacing w:val="-9"/>
          <w:sz w:val="18"/>
        </w:rPr>
        <w:t> </w:t>
      </w:r>
      <w:hyperlink r:id="rId629">
        <w:r>
          <w:rPr>
            <w:spacing w:val="-2"/>
            <w:sz w:val="18"/>
          </w:rPr>
          <w:t>http://knowledgecommission.gov.in/downloads/documents/NKC_Innovation.pdf</w:t>
        </w:r>
      </w:hyperlink>
    </w:p>
    <w:p>
      <w:pPr>
        <w:spacing w:after="0"/>
        <w:jc w:val="left"/>
        <w:rPr>
          <w:sz w:val="18"/>
        </w:rPr>
        <w:sectPr>
          <w:type w:val="continuous"/>
          <w:pgSz w:w="11910" w:h="16840"/>
          <w:pgMar w:header="0" w:footer="675"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4"/>
        <w:rPr>
          <w:sz w:val="20"/>
        </w:rPr>
      </w:pPr>
    </w:p>
    <w:p>
      <w:pPr>
        <w:spacing w:after="0"/>
        <w:rPr>
          <w:sz w:val="20"/>
        </w:rPr>
        <w:sectPr>
          <w:pgSz w:w="11910" w:h="16840"/>
          <w:pgMar w:header="0" w:footer="675" w:top="0" w:bottom="860" w:left="0" w:right="0"/>
        </w:sectPr>
      </w:pPr>
    </w:p>
    <w:p>
      <w:pPr>
        <w:pStyle w:val="BodyText"/>
        <w:spacing w:line="266" w:lineRule="auto" w:before="82"/>
        <w:ind w:left="1772"/>
        <w:jc w:val="both"/>
      </w:pPr>
      <w:r>
        <w:rPr/>
        <mc:AlternateContent>
          <mc:Choice Requires="wps">
            <w:drawing>
              <wp:anchor distT="0" distB="0" distL="0" distR="0" allowOverlap="1" layoutInCell="1" locked="0" behindDoc="0" simplePos="0" relativeHeight="15782400">
                <wp:simplePos x="0" y="0"/>
                <wp:positionH relativeFrom="page">
                  <wp:posOffset>0</wp:posOffset>
                </wp:positionH>
                <wp:positionV relativeFrom="paragraph">
                  <wp:posOffset>-2286918</wp:posOffset>
                </wp:positionV>
                <wp:extent cx="7560309" cy="1752600"/>
                <wp:effectExtent l="0" t="0" r="0" b="0"/>
                <wp:wrapNone/>
                <wp:docPr id="971" name="Group 971"/>
                <wp:cNvGraphicFramePr>
                  <a:graphicFrameLocks/>
                </wp:cNvGraphicFramePr>
                <a:graphic>
                  <a:graphicData uri="http://schemas.microsoft.com/office/word/2010/wordprocessingGroup">
                    <wpg:wgp>
                      <wpg:cNvPr id="971" name="Group 971"/>
                      <wpg:cNvGrpSpPr/>
                      <wpg:grpSpPr>
                        <a:xfrm>
                          <a:off x="0" y="0"/>
                          <a:ext cx="7560309" cy="1752600"/>
                          <a:chExt cx="7560309" cy="1752600"/>
                        </a:xfrm>
                      </wpg:grpSpPr>
                      <pic:pic>
                        <pic:nvPicPr>
                          <pic:cNvPr id="972" name="Image 972"/>
                          <pic:cNvPicPr/>
                        </pic:nvPicPr>
                        <pic:blipFill>
                          <a:blip r:embed="rId11" cstate="print"/>
                          <a:stretch>
                            <a:fillRect/>
                          </a:stretch>
                        </pic:blipFill>
                        <pic:spPr>
                          <a:xfrm>
                            <a:off x="0" y="0"/>
                            <a:ext cx="7559999" cy="1752562"/>
                          </a:xfrm>
                          <a:prstGeom prst="rect">
                            <a:avLst/>
                          </a:prstGeom>
                        </pic:spPr>
                      </pic:pic>
                      <wps:wsp>
                        <wps:cNvPr id="973" name="Textbox 973"/>
                        <wps:cNvSpPr txBox="1"/>
                        <wps:spPr>
                          <a:xfrm>
                            <a:off x="685800" y="598688"/>
                            <a:ext cx="3569970" cy="501650"/>
                          </a:xfrm>
                          <a:prstGeom prst="rect">
                            <a:avLst/>
                          </a:prstGeom>
                        </wps:spPr>
                        <wps:txbx>
                          <w:txbxContent>
                            <w:p>
                              <w:pPr>
                                <w:spacing w:before="0"/>
                                <w:ind w:left="0" w:right="0" w:firstLine="0"/>
                                <w:jc w:val="left"/>
                                <w:rPr>
                                  <w:rFonts w:ascii="Trebuchet MS"/>
                                  <w:b/>
                                  <w:sz w:val="68"/>
                                </w:rPr>
                              </w:pPr>
                              <w:r>
                                <w:rPr>
                                  <w:rFonts w:ascii="Trebuchet MS"/>
                                  <w:b/>
                                  <w:color w:val="FFFFFF"/>
                                  <w:spacing w:val="-2"/>
                                  <w:sz w:val="68"/>
                                </w:rPr>
                                <w:t>Entrepreneurship</w:t>
                              </w:r>
                            </w:p>
                          </w:txbxContent>
                        </wps:txbx>
                        <wps:bodyPr wrap="square" lIns="0" tIns="0" rIns="0" bIns="0" rtlCol="0">
                          <a:noAutofit/>
                        </wps:bodyPr>
                      </wps:wsp>
                      <wps:wsp>
                        <wps:cNvPr id="974" name="Textbox 974"/>
                        <wps:cNvSpPr txBox="1"/>
                        <wps:spPr>
                          <a:xfrm>
                            <a:off x="6176821" y="1496650"/>
                            <a:ext cx="710565" cy="156845"/>
                          </a:xfrm>
                          <a:prstGeom prst="rect">
                            <a:avLst/>
                          </a:prstGeom>
                        </wps:spPr>
                        <wps:txbx>
                          <w:txbxContent>
                            <w:p>
                              <w:pPr>
                                <w:spacing w:line="235" w:lineRule="exact" w:before="0"/>
                                <w:ind w:left="0" w:right="0" w:firstLine="0"/>
                                <w:jc w:val="left"/>
                                <w:rPr>
                                  <w:sz w:val="22"/>
                                </w:rPr>
                              </w:pPr>
                              <w:r>
                                <w:rPr>
                                  <w:color w:val="FFFFFF"/>
                                  <w:sz w:val="22"/>
                                </w:rPr>
                                <w:t>June</w:t>
                              </w:r>
                              <w:r>
                                <w:rPr>
                                  <w:color w:val="FFFFFF"/>
                                  <w:spacing w:val="-11"/>
                                  <w:sz w:val="22"/>
                                </w:rPr>
                                <w:t> </w:t>
                              </w:r>
                              <w:r>
                                <w:rPr>
                                  <w:color w:val="FFFFFF"/>
                                  <w:sz w:val="22"/>
                                </w:rPr>
                                <w:t>5,</w:t>
                              </w:r>
                              <w:r>
                                <w:rPr>
                                  <w:color w:val="FFFFFF"/>
                                  <w:spacing w:val="-11"/>
                                  <w:sz w:val="22"/>
                                </w:rPr>
                                <w:t> </w:t>
                              </w:r>
                              <w:r>
                                <w:rPr>
                                  <w:color w:val="FFFFFF"/>
                                  <w:spacing w:val="-4"/>
                                  <w:sz w:val="22"/>
                                </w:rPr>
                                <w:t>2008</w:t>
                              </w:r>
                            </w:p>
                          </w:txbxContent>
                        </wps:txbx>
                        <wps:bodyPr wrap="square" lIns="0" tIns="0" rIns="0" bIns="0" rtlCol="0">
                          <a:noAutofit/>
                        </wps:bodyPr>
                      </wps:wsp>
                    </wpg:wgp>
                  </a:graphicData>
                </a:graphic>
              </wp:anchor>
            </w:drawing>
          </mc:Choice>
          <mc:Fallback>
            <w:pict>
              <v:group style="position:absolute;margin-left:0pt;margin-top:-180.072311pt;width:595.3pt;height:138pt;mso-position-horizontal-relative:page;mso-position-vertical-relative:paragraph;z-index:15782400" id="docshapegroup962" coordorigin="0,-3601" coordsize="11906,2760">
                <v:shape style="position:absolute;left:0;top:-3602;width:11906;height:2760" type="#_x0000_t75" id="docshape963" stroked="false">
                  <v:imagedata r:id="rId11" o:title=""/>
                </v:shape>
                <v:shape style="position:absolute;left:1080;top:-2659;width:5622;height:790" type="#_x0000_t202" id="docshape964" filled="false" stroked="false">
                  <v:textbox inset="0,0,0,0">
                    <w:txbxContent>
                      <w:p>
                        <w:pPr>
                          <w:spacing w:before="0"/>
                          <w:ind w:left="0" w:right="0" w:firstLine="0"/>
                          <w:jc w:val="left"/>
                          <w:rPr>
                            <w:rFonts w:ascii="Trebuchet MS"/>
                            <w:b/>
                            <w:sz w:val="68"/>
                          </w:rPr>
                        </w:pPr>
                        <w:r>
                          <w:rPr>
                            <w:rFonts w:ascii="Trebuchet MS"/>
                            <w:b/>
                            <w:color w:val="FFFFFF"/>
                            <w:spacing w:val="-2"/>
                            <w:sz w:val="68"/>
                          </w:rPr>
                          <w:t>Entrepreneurship</w:t>
                        </w:r>
                      </w:p>
                    </w:txbxContent>
                  </v:textbox>
                  <w10:wrap type="none"/>
                </v:shape>
                <v:shape style="position:absolute;left:9727;top:-1245;width:1119;height:247" type="#_x0000_t202" id="docshape965" filled="false" stroked="false">
                  <v:textbox inset="0,0,0,0">
                    <w:txbxContent>
                      <w:p>
                        <w:pPr>
                          <w:spacing w:line="235" w:lineRule="exact" w:before="0"/>
                          <w:ind w:left="0" w:right="0" w:firstLine="0"/>
                          <w:jc w:val="left"/>
                          <w:rPr>
                            <w:sz w:val="22"/>
                          </w:rPr>
                        </w:pPr>
                        <w:r>
                          <w:rPr>
                            <w:color w:val="FFFFFF"/>
                            <w:sz w:val="22"/>
                          </w:rPr>
                          <w:t>June</w:t>
                        </w:r>
                        <w:r>
                          <w:rPr>
                            <w:color w:val="FFFFFF"/>
                            <w:spacing w:val="-11"/>
                            <w:sz w:val="22"/>
                          </w:rPr>
                          <w:t> </w:t>
                        </w:r>
                        <w:r>
                          <w:rPr>
                            <w:color w:val="FFFFFF"/>
                            <w:sz w:val="22"/>
                          </w:rPr>
                          <w:t>5,</w:t>
                        </w:r>
                        <w:r>
                          <w:rPr>
                            <w:color w:val="FFFFFF"/>
                            <w:spacing w:val="-11"/>
                            <w:sz w:val="22"/>
                          </w:rPr>
                          <w:t> </w:t>
                        </w:r>
                        <w:r>
                          <w:rPr>
                            <w:color w:val="FFFFFF"/>
                            <w:spacing w:val="-4"/>
                            <w:sz w:val="22"/>
                          </w:rPr>
                          <w:t>2008</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59488">
                <wp:simplePos x="0" y="0"/>
                <wp:positionH relativeFrom="page">
                  <wp:posOffset>685799</wp:posOffset>
                </wp:positionH>
                <wp:positionV relativeFrom="paragraph">
                  <wp:posOffset>-37298</wp:posOffset>
                </wp:positionV>
                <wp:extent cx="446405" cy="757555"/>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93692pt;width:35.15pt;height:59.65pt;mso-position-horizontal-relative:page;mso-position-vertical-relative:paragraph;z-index:-23956992" type="#_x0000_t202" id="docshape966"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spacing w:val="-6"/>
        </w:rPr>
        <w:t>he</w:t>
      </w:r>
      <w:r>
        <w:rPr>
          <w:spacing w:val="-10"/>
        </w:rPr>
        <w:t> </w:t>
      </w:r>
      <w:r>
        <w:rPr>
          <w:spacing w:val="-6"/>
        </w:rPr>
        <w:t>National</w:t>
      </w:r>
      <w:r>
        <w:rPr>
          <w:spacing w:val="-8"/>
        </w:rPr>
        <w:t> </w:t>
      </w:r>
      <w:r>
        <w:rPr>
          <w:spacing w:val="-6"/>
        </w:rPr>
        <w:t>Knowledge</w:t>
      </w:r>
      <w:r>
        <w:rPr>
          <w:spacing w:val="-8"/>
        </w:rPr>
        <w:t> </w:t>
      </w:r>
      <w:r>
        <w:rPr>
          <w:spacing w:val="-6"/>
        </w:rPr>
        <w:t>Commission</w:t>
      </w:r>
      <w:r>
        <w:rPr>
          <w:spacing w:val="-7"/>
        </w:rPr>
        <w:t> </w:t>
      </w:r>
      <w:r>
        <w:rPr>
          <w:spacing w:val="-6"/>
        </w:rPr>
        <w:t>recognises </w:t>
      </w:r>
      <w:r>
        <w:rPr/>
        <w:t>the growing significance and visible impact of</w:t>
      </w:r>
      <w:r>
        <w:rPr>
          <w:spacing w:val="66"/>
        </w:rPr>
        <w:t>  </w:t>
      </w:r>
      <w:r>
        <w:rPr/>
        <w:t>Entrepreneurship</w:t>
      </w:r>
      <w:r>
        <w:rPr>
          <w:spacing w:val="66"/>
        </w:rPr>
        <w:t>  </w:t>
      </w:r>
      <w:r>
        <w:rPr/>
        <w:t>on</w:t>
      </w:r>
      <w:r>
        <w:rPr>
          <w:spacing w:val="67"/>
        </w:rPr>
        <w:t>  </w:t>
      </w:r>
      <w:r>
        <w:rPr/>
        <w:t>wealth-</w:t>
      </w:r>
      <w:r>
        <w:rPr>
          <w:spacing w:val="-4"/>
        </w:rPr>
        <w:t>creation</w:t>
      </w:r>
    </w:p>
    <w:p>
      <w:pPr>
        <w:pStyle w:val="BodyText"/>
        <w:spacing w:line="266" w:lineRule="auto"/>
        <w:ind w:left="1079"/>
        <w:jc w:val="both"/>
      </w:pPr>
      <w:r>
        <w:rPr/>
        <w:t>and employment-generation in India. Considering</w:t>
      </w:r>
      <w:r>
        <w:rPr>
          <w:spacing w:val="80"/>
        </w:rPr>
        <w:t> </w:t>
      </w:r>
      <w:r>
        <w:rPr/>
        <w:t>its importance, NKC has undertaken a study on </w:t>
      </w:r>
      <w:r>
        <w:rPr>
          <w:spacing w:val="-4"/>
        </w:rPr>
        <w:t>Entrepreneurship to explore factors that have promoted Entrepreneurship</w:t>
      </w:r>
      <w:r>
        <w:rPr>
          <w:spacing w:val="-6"/>
        </w:rPr>
        <w:t> </w:t>
      </w:r>
      <w:r>
        <w:rPr>
          <w:spacing w:val="-4"/>
        </w:rPr>
        <w:t>in</w:t>
      </w:r>
      <w:r>
        <w:rPr>
          <w:spacing w:val="-6"/>
        </w:rPr>
        <w:t> </w:t>
      </w:r>
      <w:r>
        <w:rPr>
          <w:spacing w:val="-4"/>
        </w:rPr>
        <w:t>India</w:t>
      </w:r>
      <w:r>
        <w:rPr>
          <w:spacing w:val="-6"/>
        </w:rPr>
        <w:t> </w:t>
      </w:r>
      <w:r>
        <w:rPr>
          <w:spacing w:val="-4"/>
        </w:rPr>
        <w:t>as</w:t>
      </w:r>
      <w:r>
        <w:rPr>
          <w:spacing w:val="-6"/>
        </w:rPr>
        <w:t> </w:t>
      </w:r>
      <w:r>
        <w:rPr>
          <w:spacing w:val="-4"/>
        </w:rPr>
        <w:t>well</w:t>
      </w:r>
      <w:r>
        <w:rPr>
          <w:spacing w:val="-6"/>
        </w:rPr>
        <w:t> </w:t>
      </w:r>
      <w:r>
        <w:rPr>
          <w:spacing w:val="-4"/>
        </w:rPr>
        <w:t>as</w:t>
      </w:r>
      <w:r>
        <w:rPr>
          <w:spacing w:val="-6"/>
        </w:rPr>
        <w:t> </w:t>
      </w:r>
      <w:r>
        <w:rPr>
          <w:spacing w:val="-4"/>
        </w:rPr>
        <w:t>others</w:t>
      </w:r>
      <w:r>
        <w:rPr>
          <w:spacing w:val="-6"/>
        </w:rPr>
        <w:t> </w:t>
      </w:r>
      <w:r>
        <w:rPr>
          <w:spacing w:val="-4"/>
        </w:rPr>
        <w:t>which</w:t>
      </w:r>
      <w:r>
        <w:rPr>
          <w:spacing w:val="-6"/>
        </w:rPr>
        <w:t> </w:t>
      </w:r>
      <w:r>
        <w:rPr>
          <w:spacing w:val="-4"/>
        </w:rPr>
        <w:t>could </w:t>
      </w:r>
      <w:r>
        <w:rPr>
          <w:spacing w:val="-2"/>
        </w:rPr>
        <w:t>further</w:t>
      </w:r>
      <w:r>
        <w:rPr>
          <w:spacing w:val="-9"/>
        </w:rPr>
        <w:t> </w:t>
      </w:r>
      <w:r>
        <w:rPr>
          <w:spacing w:val="-2"/>
        </w:rPr>
        <w:t>encourage</w:t>
      </w:r>
      <w:r>
        <w:rPr>
          <w:spacing w:val="-9"/>
        </w:rPr>
        <w:t> </w:t>
      </w:r>
      <w:r>
        <w:rPr>
          <w:spacing w:val="-2"/>
        </w:rPr>
        <w:t>and</w:t>
      </w:r>
      <w:r>
        <w:rPr>
          <w:spacing w:val="-9"/>
        </w:rPr>
        <w:t> </w:t>
      </w:r>
      <w:r>
        <w:rPr>
          <w:spacing w:val="-2"/>
        </w:rPr>
        <w:t>facilitate</w:t>
      </w:r>
      <w:r>
        <w:rPr>
          <w:spacing w:val="-9"/>
        </w:rPr>
        <w:t> </w:t>
      </w:r>
      <w:r>
        <w:rPr>
          <w:spacing w:val="-2"/>
        </w:rPr>
        <w:t>even</w:t>
      </w:r>
      <w:r>
        <w:rPr>
          <w:spacing w:val="-9"/>
        </w:rPr>
        <w:t> </w:t>
      </w:r>
      <w:r>
        <w:rPr>
          <w:spacing w:val="-2"/>
        </w:rPr>
        <w:t>greater</w:t>
      </w:r>
      <w:r>
        <w:rPr>
          <w:spacing w:val="-9"/>
        </w:rPr>
        <w:t> </w:t>
      </w:r>
      <w:r>
        <w:rPr>
          <w:spacing w:val="-2"/>
        </w:rPr>
        <w:t>growth</w:t>
      </w:r>
      <w:r>
        <w:rPr>
          <w:spacing w:val="-9"/>
        </w:rPr>
        <w:t> </w:t>
      </w:r>
      <w:r>
        <w:rPr>
          <w:spacing w:val="-2"/>
        </w:rPr>
        <w:t>of </w:t>
      </w:r>
      <w:r>
        <w:rPr>
          <w:spacing w:val="-8"/>
        </w:rPr>
        <w:t>Entrepreneurship</w:t>
      </w:r>
      <w:r>
        <w:rPr>
          <w:spacing w:val="-6"/>
        </w:rPr>
        <w:t> </w:t>
      </w:r>
      <w:r>
        <w:rPr>
          <w:spacing w:val="-8"/>
        </w:rPr>
        <w:t>in</w:t>
      </w:r>
      <w:r>
        <w:rPr>
          <w:spacing w:val="-4"/>
        </w:rPr>
        <w:t> </w:t>
      </w:r>
      <w:r>
        <w:rPr>
          <w:spacing w:val="-8"/>
        </w:rPr>
        <w:t>the</w:t>
      </w:r>
      <w:r>
        <w:rPr/>
        <w:t> </w:t>
      </w:r>
      <w:r>
        <w:rPr>
          <w:spacing w:val="-8"/>
        </w:rPr>
        <w:t>country.</w:t>
      </w:r>
      <w:r>
        <w:rPr>
          <w:spacing w:val="-6"/>
        </w:rPr>
        <w:t> </w:t>
      </w:r>
      <w:r>
        <w:rPr>
          <w:spacing w:val="-8"/>
        </w:rPr>
        <w:t>This</w:t>
      </w:r>
      <w:r>
        <w:rPr/>
        <w:t> </w:t>
      </w:r>
      <w:r>
        <w:rPr>
          <w:spacing w:val="-8"/>
        </w:rPr>
        <w:t>report</w:t>
      </w:r>
      <w:r>
        <w:rPr/>
        <w:t> </w:t>
      </w:r>
      <w:r>
        <w:rPr>
          <w:spacing w:val="-8"/>
        </w:rPr>
        <w:t>compliments earlier</w:t>
      </w:r>
      <w:r>
        <w:rPr/>
        <w:t> </w:t>
      </w:r>
      <w:r>
        <w:rPr>
          <w:spacing w:val="-8"/>
        </w:rPr>
        <w:t>NKC</w:t>
      </w:r>
      <w:r>
        <w:rPr/>
        <w:t> </w:t>
      </w:r>
      <w:r>
        <w:rPr>
          <w:spacing w:val="-8"/>
        </w:rPr>
        <w:t>studies</w:t>
      </w:r>
      <w:r>
        <w:rPr/>
        <w:t> </w:t>
      </w:r>
      <w:r>
        <w:rPr>
          <w:spacing w:val="-8"/>
        </w:rPr>
        <w:t>and</w:t>
      </w:r>
      <w:r>
        <w:rPr/>
        <w:t> </w:t>
      </w:r>
      <w:r>
        <w:rPr>
          <w:spacing w:val="-8"/>
        </w:rPr>
        <w:t>recommendations</w:t>
      </w:r>
      <w:r>
        <w:rPr/>
        <w:t> </w:t>
      </w:r>
      <w:r>
        <w:rPr>
          <w:spacing w:val="-8"/>
        </w:rPr>
        <w:t>on</w:t>
      </w:r>
      <w:r>
        <w:rPr/>
        <w:t> </w:t>
      </w:r>
      <w:r>
        <w:rPr>
          <w:spacing w:val="-8"/>
        </w:rPr>
        <w:t>Innovation </w:t>
      </w:r>
      <w:r>
        <w:rPr>
          <w:spacing w:val="-6"/>
        </w:rPr>
        <w:t>and</w:t>
      </w:r>
      <w:r>
        <w:rPr>
          <w:spacing w:val="-8"/>
        </w:rPr>
        <w:t> </w:t>
      </w:r>
      <w:r>
        <w:rPr>
          <w:spacing w:val="-6"/>
        </w:rPr>
        <w:t>Vocational</w:t>
      </w:r>
      <w:r>
        <w:rPr>
          <w:spacing w:val="-8"/>
        </w:rPr>
        <w:t> </w:t>
      </w:r>
      <w:r>
        <w:rPr>
          <w:spacing w:val="-6"/>
        </w:rPr>
        <w:t>Education</w:t>
      </w:r>
      <w:r>
        <w:rPr>
          <w:spacing w:val="-8"/>
        </w:rPr>
        <w:t> </w:t>
      </w:r>
      <w:r>
        <w:rPr>
          <w:spacing w:val="-6"/>
        </w:rPr>
        <w:t>and</w:t>
      </w:r>
      <w:r>
        <w:rPr>
          <w:spacing w:val="-7"/>
        </w:rPr>
        <w:t> </w:t>
      </w:r>
      <w:r>
        <w:rPr>
          <w:spacing w:val="-6"/>
        </w:rPr>
        <w:t>Training.</w:t>
      </w:r>
      <w:r>
        <w:rPr>
          <w:spacing w:val="-8"/>
        </w:rPr>
        <w:t> </w:t>
      </w:r>
      <w:r>
        <w:rPr>
          <w:spacing w:val="-6"/>
        </w:rPr>
        <w:t>The</w:t>
      </w:r>
      <w:r>
        <w:rPr>
          <w:spacing w:val="-7"/>
        </w:rPr>
        <w:t> </w:t>
      </w:r>
      <w:r>
        <w:rPr>
          <w:spacing w:val="-6"/>
        </w:rPr>
        <w:t>NKC</w:t>
      </w:r>
      <w:r>
        <w:rPr>
          <w:spacing w:val="-3"/>
        </w:rPr>
        <w:t> </w:t>
      </w:r>
      <w:r>
        <w:rPr>
          <w:spacing w:val="-6"/>
        </w:rPr>
        <w:t>study </w:t>
      </w:r>
      <w:r>
        <w:rPr>
          <w:spacing w:val="-4"/>
        </w:rPr>
        <w:t>has</w:t>
      </w:r>
      <w:r>
        <w:rPr>
          <w:spacing w:val="-8"/>
        </w:rPr>
        <w:t> </w:t>
      </w:r>
      <w:r>
        <w:rPr>
          <w:spacing w:val="-4"/>
        </w:rPr>
        <w:t>found</w:t>
      </w:r>
      <w:r>
        <w:rPr>
          <w:spacing w:val="-8"/>
        </w:rPr>
        <w:t> </w:t>
      </w:r>
      <w:r>
        <w:rPr>
          <w:spacing w:val="-4"/>
        </w:rPr>
        <w:t>that</w:t>
      </w:r>
      <w:r>
        <w:rPr>
          <w:spacing w:val="-8"/>
        </w:rPr>
        <w:t> </w:t>
      </w:r>
      <w:r>
        <w:rPr>
          <w:spacing w:val="-4"/>
        </w:rPr>
        <w:t>Entrepreneurship</w:t>
      </w:r>
      <w:r>
        <w:rPr>
          <w:spacing w:val="-8"/>
        </w:rPr>
        <w:t> </w:t>
      </w:r>
      <w:r>
        <w:rPr>
          <w:spacing w:val="-4"/>
        </w:rPr>
        <w:t>flourishes</w:t>
      </w:r>
      <w:r>
        <w:rPr>
          <w:spacing w:val="-8"/>
        </w:rPr>
        <w:t> </w:t>
      </w:r>
      <w:r>
        <w:rPr>
          <w:spacing w:val="-4"/>
        </w:rPr>
        <w:t>as</w:t>
      </w:r>
      <w:r>
        <w:rPr>
          <w:spacing w:val="-8"/>
        </w:rPr>
        <w:t> </w:t>
      </w:r>
      <w:r>
        <w:rPr>
          <w:spacing w:val="-4"/>
        </w:rPr>
        <w:t>a</w:t>
      </w:r>
      <w:r>
        <w:rPr>
          <w:spacing w:val="-8"/>
        </w:rPr>
        <w:t> </w:t>
      </w:r>
      <w:r>
        <w:rPr>
          <w:spacing w:val="-4"/>
        </w:rPr>
        <w:t>result</w:t>
      </w:r>
      <w:r>
        <w:rPr>
          <w:spacing w:val="-8"/>
        </w:rPr>
        <w:t> </w:t>
      </w:r>
      <w:r>
        <w:rPr>
          <w:spacing w:val="-4"/>
        </w:rPr>
        <w:t>of </w:t>
      </w:r>
      <w:r>
        <w:rPr>
          <w:spacing w:val="-8"/>
        </w:rPr>
        <w:t>a</w:t>
      </w:r>
      <w:r>
        <w:rPr>
          <w:spacing w:val="-6"/>
        </w:rPr>
        <w:t> </w:t>
      </w:r>
      <w:r>
        <w:rPr>
          <w:spacing w:val="-8"/>
        </w:rPr>
        <w:t>combined</w:t>
      </w:r>
      <w:r>
        <w:rPr>
          <w:spacing w:val="-6"/>
        </w:rPr>
        <w:t> </w:t>
      </w:r>
      <w:r>
        <w:rPr>
          <w:spacing w:val="-8"/>
        </w:rPr>
        <w:t>input</w:t>
      </w:r>
      <w:r>
        <w:rPr>
          <w:spacing w:val="-6"/>
        </w:rPr>
        <w:t> </w:t>
      </w:r>
      <w:r>
        <w:rPr>
          <w:spacing w:val="-8"/>
        </w:rPr>
        <w:t>of</w:t>
      </w:r>
      <w:r>
        <w:rPr>
          <w:spacing w:val="-5"/>
        </w:rPr>
        <w:t> </w:t>
      </w:r>
      <w:r>
        <w:rPr>
          <w:spacing w:val="-8"/>
        </w:rPr>
        <w:t>some</w:t>
      </w:r>
      <w:r>
        <w:rPr>
          <w:spacing w:val="-6"/>
        </w:rPr>
        <w:t> </w:t>
      </w:r>
      <w:r>
        <w:rPr>
          <w:spacing w:val="-8"/>
        </w:rPr>
        <w:t>key</w:t>
      </w:r>
      <w:r>
        <w:rPr>
          <w:spacing w:val="-6"/>
        </w:rPr>
        <w:t> </w:t>
      </w:r>
      <w:r>
        <w:rPr>
          <w:spacing w:val="-8"/>
        </w:rPr>
        <w:t>‘triggers’,</w:t>
      </w:r>
      <w:r>
        <w:rPr>
          <w:spacing w:val="-6"/>
        </w:rPr>
        <w:t> </w:t>
      </w:r>
      <w:r>
        <w:rPr>
          <w:spacing w:val="-8"/>
        </w:rPr>
        <w:t>such</w:t>
      </w:r>
      <w:r>
        <w:rPr>
          <w:spacing w:val="-5"/>
        </w:rPr>
        <w:t> </w:t>
      </w:r>
      <w:r>
        <w:rPr>
          <w:spacing w:val="-8"/>
        </w:rPr>
        <w:t>as</w:t>
      </w:r>
      <w:r>
        <w:rPr>
          <w:spacing w:val="-6"/>
        </w:rPr>
        <w:t> </w:t>
      </w:r>
      <w:r>
        <w:rPr>
          <w:spacing w:val="-8"/>
        </w:rPr>
        <w:t>a</w:t>
      </w:r>
      <w:r>
        <w:rPr>
          <w:spacing w:val="-6"/>
        </w:rPr>
        <w:t> </w:t>
      </w:r>
      <w:r>
        <w:rPr>
          <w:spacing w:val="-8"/>
        </w:rPr>
        <w:t>helpful </w:t>
      </w:r>
      <w:r>
        <w:rPr/>
        <w:t>business environment, access to early-stage finance, </w:t>
      </w:r>
      <w:r>
        <w:rPr>
          <w:spacing w:val="-6"/>
        </w:rPr>
        <w:t>education,</w:t>
      </w:r>
      <w:r>
        <w:rPr>
          <w:spacing w:val="-8"/>
        </w:rPr>
        <w:t> </w:t>
      </w:r>
      <w:r>
        <w:rPr>
          <w:spacing w:val="-6"/>
        </w:rPr>
        <w:t>individual</w:t>
      </w:r>
      <w:r>
        <w:rPr>
          <w:spacing w:val="-8"/>
        </w:rPr>
        <w:t> </w:t>
      </w:r>
      <w:r>
        <w:rPr>
          <w:spacing w:val="-6"/>
        </w:rPr>
        <w:t>motivation</w:t>
      </w:r>
      <w:r>
        <w:rPr>
          <w:spacing w:val="-8"/>
        </w:rPr>
        <w:t> </w:t>
      </w:r>
      <w:r>
        <w:rPr>
          <w:spacing w:val="-6"/>
        </w:rPr>
        <w:t>and</w:t>
      </w:r>
      <w:r>
        <w:rPr>
          <w:spacing w:val="-7"/>
        </w:rPr>
        <w:t> </w:t>
      </w:r>
      <w:r>
        <w:rPr>
          <w:spacing w:val="-6"/>
        </w:rPr>
        <w:t>some</w:t>
      </w:r>
      <w:r>
        <w:rPr>
          <w:spacing w:val="-8"/>
        </w:rPr>
        <w:t> </w:t>
      </w:r>
      <w:r>
        <w:rPr>
          <w:spacing w:val="-6"/>
        </w:rPr>
        <w:t>socio-cultural </w:t>
      </w:r>
      <w:r>
        <w:rPr/>
        <w:t>factors.</w:t>
      </w:r>
      <w:r>
        <w:rPr>
          <w:spacing w:val="-12"/>
        </w:rPr>
        <w:t> </w:t>
      </w:r>
      <w:r>
        <w:rPr/>
        <w:t>To</w:t>
      </w:r>
      <w:r>
        <w:rPr>
          <w:spacing w:val="-7"/>
        </w:rPr>
        <w:t> </w:t>
      </w:r>
      <w:r>
        <w:rPr/>
        <w:t>accelerate</w:t>
      </w:r>
      <w:r>
        <w:rPr>
          <w:spacing w:val="-7"/>
        </w:rPr>
        <w:t> </w:t>
      </w:r>
      <w:r>
        <w:rPr/>
        <w:t>the</w:t>
      </w:r>
      <w:r>
        <w:rPr>
          <w:spacing w:val="-7"/>
        </w:rPr>
        <w:t> </w:t>
      </w:r>
      <w:r>
        <w:rPr/>
        <w:t>growth</w:t>
      </w:r>
      <w:r>
        <w:rPr>
          <w:spacing w:val="-7"/>
        </w:rPr>
        <w:t> </w:t>
      </w:r>
      <w:r>
        <w:rPr/>
        <w:t>of</w:t>
      </w:r>
      <w:r>
        <w:rPr>
          <w:spacing w:val="-7"/>
        </w:rPr>
        <w:t> </w:t>
      </w:r>
      <w:r>
        <w:rPr/>
        <w:t>Entrepreneurship in the country would require the support of multiple stakeholders such as the government, the financial </w:t>
      </w:r>
      <w:r>
        <w:rPr>
          <w:spacing w:val="-6"/>
        </w:rPr>
        <w:t>institutions,</w:t>
      </w:r>
      <w:r>
        <w:rPr>
          <w:spacing w:val="-7"/>
        </w:rPr>
        <w:t> </w:t>
      </w:r>
      <w:r>
        <w:rPr>
          <w:spacing w:val="-6"/>
        </w:rPr>
        <w:t>educational</w:t>
      </w:r>
      <w:r>
        <w:rPr>
          <w:spacing w:val="-7"/>
        </w:rPr>
        <w:t> </w:t>
      </w:r>
      <w:r>
        <w:rPr>
          <w:spacing w:val="-6"/>
        </w:rPr>
        <w:t>institutions,</w:t>
      </w:r>
      <w:r>
        <w:rPr>
          <w:spacing w:val="-7"/>
        </w:rPr>
        <w:t> </w:t>
      </w:r>
      <w:r>
        <w:rPr>
          <w:spacing w:val="-6"/>
        </w:rPr>
        <w:t>incubator</w:t>
      </w:r>
      <w:r>
        <w:rPr>
          <w:spacing w:val="-7"/>
        </w:rPr>
        <w:t> </w:t>
      </w:r>
      <w:r>
        <w:rPr>
          <w:spacing w:val="-6"/>
        </w:rPr>
        <w:t>providers, </w:t>
      </w:r>
      <w:r>
        <w:rPr/>
        <w:t>chambers</w:t>
      </w:r>
      <w:r>
        <w:rPr>
          <w:spacing w:val="-14"/>
        </w:rPr>
        <w:t> </w:t>
      </w:r>
      <w:r>
        <w:rPr/>
        <w:t>of</w:t>
      </w:r>
      <w:r>
        <w:rPr>
          <w:spacing w:val="-14"/>
        </w:rPr>
        <w:t> </w:t>
      </w:r>
      <w:r>
        <w:rPr/>
        <w:t>commerce,</w:t>
      </w:r>
      <w:r>
        <w:rPr>
          <w:spacing w:val="-14"/>
        </w:rPr>
        <w:t> </w:t>
      </w:r>
      <w:r>
        <w:rPr/>
        <w:t>entrepreneurial</w:t>
      </w:r>
      <w:r>
        <w:rPr>
          <w:spacing w:val="-13"/>
        </w:rPr>
        <w:t> </w:t>
      </w:r>
      <w:r>
        <w:rPr/>
        <w:t>networks</w:t>
      </w:r>
      <w:r>
        <w:rPr>
          <w:spacing w:val="-14"/>
        </w:rPr>
        <w:t> </w:t>
      </w:r>
      <w:r>
        <w:rPr/>
        <w:t>and </w:t>
      </w:r>
      <w:r>
        <w:rPr>
          <w:spacing w:val="-6"/>
        </w:rPr>
        <w:t>associations as well as family and the larger community.</w:t>
      </w:r>
    </w:p>
    <w:p>
      <w:pPr>
        <w:pStyle w:val="BodyText"/>
        <w:spacing w:before="9"/>
      </w:pPr>
    </w:p>
    <w:p>
      <w:pPr>
        <w:pStyle w:val="BodyText"/>
        <w:spacing w:line="266" w:lineRule="auto" w:before="1"/>
        <w:ind w:left="1079"/>
        <w:jc w:val="both"/>
      </w:pPr>
      <w:r>
        <w:rPr>
          <w:spacing w:val="-6"/>
        </w:rPr>
        <w:t>Based</w:t>
      </w:r>
      <w:r>
        <w:rPr>
          <w:spacing w:val="-8"/>
        </w:rPr>
        <w:t> </w:t>
      </w:r>
      <w:r>
        <w:rPr>
          <w:spacing w:val="-6"/>
        </w:rPr>
        <w:t>on</w:t>
      </w:r>
      <w:r>
        <w:rPr>
          <w:spacing w:val="-8"/>
        </w:rPr>
        <w:t> </w:t>
      </w:r>
      <w:r>
        <w:rPr>
          <w:spacing w:val="-6"/>
        </w:rPr>
        <w:t>the</w:t>
      </w:r>
      <w:r>
        <w:rPr>
          <w:spacing w:val="-8"/>
        </w:rPr>
        <w:t> </w:t>
      </w:r>
      <w:r>
        <w:rPr>
          <w:spacing w:val="-6"/>
        </w:rPr>
        <w:t>NKC</w:t>
      </w:r>
      <w:r>
        <w:rPr>
          <w:spacing w:val="-7"/>
        </w:rPr>
        <w:t> </w:t>
      </w:r>
      <w:r>
        <w:rPr>
          <w:spacing w:val="-6"/>
        </w:rPr>
        <w:t>study,</w:t>
      </w:r>
      <w:r>
        <w:rPr>
          <w:spacing w:val="-8"/>
        </w:rPr>
        <w:t> </w:t>
      </w:r>
      <w:r>
        <w:rPr>
          <w:spacing w:val="-6"/>
        </w:rPr>
        <w:t>some</w:t>
      </w:r>
      <w:r>
        <w:rPr>
          <w:spacing w:val="-8"/>
        </w:rPr>
        <w:t> </w:t>
      </w:r>
      <w:r>
        <w:rPr>
          <w:spacing w:val="-6"/>
        </w:rPr>
        <w:t>policy</w:t>
      </w:r>
      <w:r>
        <w:rPr>
          <w:spacing w:val="-8"/>
        </w:rPr>
        <w:t> </w:t>
      </w:r>
      <w:r>
        <w:rPr>
          <w:spacing w:val="-6"/>
        </w:rPr>
        <w:t>recommendations </w:t>
      </w:r>
      <w:r>
        <w:rPr/>
        <w:t>to</w:t>
      </w:r>
      <w:r>
        <w:rPr>
          <w:spacing w:val="-4"/>
        </w:rPr>
        <w:t> </w:t>
      </w:r>
      <w:r>
        <w:rPr/>
        <w:t>further</w:t>
      </w:r>
      <w:r>
        <w:rPr>
          <w:spacing w:val="-4"/>
        </w:rPr>
        <w:t> </w:t>
      </w:r>
      <w:r>
        <w:rPr/>
        <w:t>enhance</w:t>
      </w:r>
      <w:r>
        <w:rPr>
          <w:spacing w:val="-4"/>
        </w:rPr>
        <w:t> </w:t>
      </w:r>
      <w:r>
        <w:rPr/>
        <w:t>Entrepreneurship</w:t>
      </w:r>
      <w:r>
        <w:rPr>
          <w:spacing w:val="-4"/>
        </w:rPr>
        <w:t> </w:t>
      </w:r>
      <w:r>
        <w:rPr/>
        <w:t>are</w:t>
      </w:r>
      <w:r>
        <w:rPr>
          <w:spacing w:val="-4"/>
        </w:rPr>
        <w:t> </w:t>
      </w:r>
      <w:r>
        <w:rPr/>
        <w:t>as</w:t>
      </w:r>
      <w:r>
        <w:rPr>
          <w:spacing w:val="-4"/>
        </w:rPr>
        <w:t> </w:t>
      </w:r>
      <w:r>
        <w:rPr/>
        <w:t>follows:</w:t>
      </w:r>
    </w:p>
    <w:p>
      <w:pPr>
        <w:pStyle w:val="Heading6"/>
        <w:numPr>
          <w:ilvl w:val="0"/>
          <w:numId w:val="60"/>
        </w:numPr>
        <w:tabs>
          <w:tab w:pos="1404" w:val="left" w:leader="none"/>
        </w:tabs>
        <w:spacing w:line="240" w:lineRule="auto" w:before="225" w:after="0"/>
        <w:ind w:left="1404" w:right="0" w:hanging="325"/>
        <w:jc w:val="both"/>
      </w:pPr>
      <w:r>
        <w:rPr>
          <w:color w:val="2E614A"/>
          <w:w w:val="90"/>
        </w:rPr>
        <w:t>Supportive</w:t>
      </w:r>
      <w:r>
        <w:rPr>
          <w:color w:val="2E614A"/>
          <w:spacing w:val="18"/>
        </w:rPr>
        <w:t> </w:t>
      </w:r>
      <w:r>
        <w:rPr>
          <w:color w:val="2E614A"/>
          <w:w w:val="90"/>
        </w:rPr>
        <w:t>Business</w:t>
      </w:r>
      <w:r>
        <w:rPr>
          <w:color w:val="2E614A"/>
          <w:spacing w:val="18"/>
        </w:rPr>
        <w:t> </w:t>
      </w:r>
      <w:r>
        <w:rPr>
          <w:color w:val="2E614A"/>
          <w:spacing w:val="-2"/>
          <w:w w:val="90"/>
        </w:rPr>
        <w:t>Environment</w:t>
      </w:r>
    </w:p>
    <w:p>
      <w:pPr>
        <w:pStyle w:val="BodyText"/>
        <w:spacing w:line="266" w:lineRule="auto" w:before="285"/>
        <w:ind w:left="1079"/>
        <w:jc w:val="both"/>
      </w:pPr>
      <w:r>
        <w:rPr/>
        <w:t>Make it easier to conduct business by </w:t>
      </w:r>
      <w:r>
        <w:rPr/>
        <w:t>consolidating </w:t>
      </w:r>
      <w:r>
        <w:rPr>
          <w:spacing w:val="-4"/>
        </w:rPr>
        <w:t>and</w:t>
      </w:r>
      <w:r>
        <w:rPr>
          <w:spacing w:val="-10"/>
        </w:rPr>
        <w:t> </w:t>
      </w:r>
      <w:r>
        <w:rPr>
          <w:spacing w:val="-4"/>
        </w:rPr>
        <w:t>simplifying</w:t>
      </w:r>
      <w:r>
        <w:rPr>
          <w:spacing w:val="-10"/>
        </w:rPr>
        <w:t> </w:t>
      </w:r>
      <w:r>
        <w:rPr>
          <w:spacing w:val="-4"/>
        </w:rPr>
        <w:t>processes,</w:t>
      </w:r>
      <w:r>
        <w:rPr>
          <w:spacing w:val="-10"/>
        </w:rPr>
        <w:t> </w:t>
      </w:r>
      <w:r>
        <w:rPr>
          <w:spacing w:val="-4"/>
        </w:rPr>
        <w:t>improving</w:t>
      </w:r>
      <w:r>
        <w:rPr>
          <w:spacing w:val="-9"/>
        </w:rPr>
        <w:t> </w:t>
      </w:r>
      <w:r>
        <w:rPr>
          <w:spacing w:val="-4"/>
        </w:rPr>
        <w:t>delivery</w:t>
      </w:r>
      <w:r>
        <w:rPr>
          <w:spacing w:val="-10"/>
        </w:rPr>
        <w:t> </w:t>
      </w:r>
      <w:r>
        <w:rPr>
          <w:spacing w:val="-4"/>
        </w:rPr>
        <w:t>time</w:t>
      </w:r>
      <w:r>
        <w:rPr>
          <w:spacing w:val="-10"/>
        </w:rPr>
        <w:t> </w:t>
      </w:r>
      <w:r>
        <w:rPr>
          <w:spacing w:val="-4"/>
        </w:rPr>
        <w:t>and </w:t>
      </w:r>
      <w:r>
        <w:rPr/>
        <w:t>curbing corrupt practices. In particular, prioritise the MCA-21 project and ensure the following:</w:t>
      </w:r>
    </w:p>
    <w:p>
      <w:pPr>
        <w:pStyle w:val="ListParagraph"/>
        <w:numPr>
          <w:ilvl w:val="1"/>
          <w:numId w:val="60"/>
        </w:numPr>
        <w:tabs>
          <w:tab w:pos="1438" w:val="left" w:leader="none"/>
        </w:tabs>
        <w:spacing w:line="250" w:lineRule="exact" w:before="0" w:after="0"/>
        <w:ind w:left="1438" w:right="0" w:hanging="359"/>
        <w:jc w:val="both"/>
        <w:rPr>
          <w:sz w:val="22"/>
        </w:rPr>
      </w:pPr>
      <w:r>
        <w:rPr>
          <w:spacing w:val="-6"/>
          <w:sz w:val="22"/>
        </w:rPr>
        <w:t>Make</w:t>
      </w:r>
      <w:r>
        <w:rPr>
          <w:spacing w:val="2"/>
          <w:sz w:val="22"/>
        </w:rPr>
        <w:t> </w:t>
      </w:r>
      <w:r>
        <w:rPr>
          <w:spacing w:val="-6"/>
          <w:sz w:val="22"/>
        </w:rPr>
        <w:t>Single</w:t>
      </w:r>
      <w:r>
        <w:rPr>
          <w:spacing w:val="-1"/>
          <w:sz w:val="22"/>
        </w:rPr>
        <w:t> </w:t>
      </w:r>
      <w:r>
        <w:rPr>
          <w:spacing w:val="-6"/>
          <w:sz w:val="22"/>
        </w:rPr>
        <w:t>Window</w:t>
      </w:r>
      <w:r>
        <w:rPr>
          <w:spacing w:val="2"/>
          <w:sz w:val="22"/>
        </w:rPr>
        <w:t> </w:t>
      </w:r>
      <w:r>
        <w:rPr>
          <w:spacing w:val="-6"/>
          <w:sz w:val="22"/>
        </w:rPr>
        <w:t>Clearance</w:t>
      </w:r>
      <w:r>
        <w:rPr>
          <w:spacing w:val="3"/>
          <w:sz w:val="22"/>
        </w:rPr>
        <w:t> </w:t>
      </w:r>
      <w:r>
        <w:rPr>
          <w:spacing w:val="-6"/>
          <w:sz w:val="22"/>
        </w:rPr>
        <w:t>meaningful.</w:t>
      </w:r>
    </w:p>
    <w:p>
      <w:pPr>
        <w:pStyle w:val="ListParagraph"/>
        <w:numPr>
          <w:ilvl w:val="1"/>
          <w:numId w:val="60"/>
        </w:numPr>
        <w:tabs>
          <w:tab w:pos="1439" w:val="left" w:leader="none"/>
        </w:tabs>
        <w:spacing w:line="266" w:lineRule="auto" w:before="27" w:after="0"/>
        <w:ind w:left="1439" w:right="0" w:hanging="360"/>
        <w:jc w:val="both"/>
        <w:rPr>
          <w:sz w:val="22"/>
        </w:rPr>
      </w:pPr>
      <w:r>
        <w:rPr>
          <w:sz w:val="22"/>
        </w:rPr>
        <w:t>Introduce a Single Composite Application </w:t>
      </w:r>
      <w:r>
        <w:rPr>
          <w:sz w:val="22"/>
        </w:rPr>
        <w:t>Form for all clearances.</w:t>
      </w:r>
    </w:p>
    <w:p>
      <w:pPr>
        <w:pStyle w:val="ListParagraph"/>
        <w:numPr>
          <w:ilvl w:val="1"/>
          <w:numId w:val="60"/>
        </w:numPr>
        <w:tabs>
          <w:tab w:pos="1439" w:val="left" w:leader="none"/>
        </w:tabs>
        <w:spacing w:line="266" w:lineRule="auto" w:before="0" w:after="0"/>
        <w:ind w:left="1439" w:right="0" w:hanging="360"/>
        <w:jc w:val="both"/>
        <w:rPr>
          <w:sz w:val="22"/>
        </w:rPr>
      </w:pPr>
      <w:r>
        <w:rPr>
          <w:sz w:val="22"/>
        </w:rPr>
        <w:t>Introduce</w:t>
      </w:r>
      <w:r>
        <w:rPr>
          <w:spacing w:val="-4"/>
          <w:sz w:val="22"/>
        </w:rPr>
        <w:t> </w:t>
      </w:r>
      <w:r>
        <w:rPr>
          <w:sz w:val="22"/>
        </w:rPr>
        <w:t>a</w:t>
      </w:r>
      <w:r>
        <w:rPr>
          <w:spacing w:val="-4"/>
          <w:sz w:val="22"/>
        </w:rPr>
        <w:t> </w:t>
      </w:r>
      <w:r>
        <w:rPr>
          <w:sz w:val="22"/>
        </w:rPr>
        <w:t>Single</w:t>
      </w:r>
      <w:r>
        <w:rPr>
          <w:spacing w:val="-4"/>
          <w:sz w:val="22"/>
        </w:rPr>
        <w:t> </w:t>
      </w:r>
      <w:r>
        <w:rPr>
          <w:sz w:val="22"/>
        </w:rPr>
        <w:t>Unique</w:t>
      </w:r>
      <w:r>
        <w:rPr>
          <w:spacing w:val="-4"/>
          <w:sz w:val="22"/>
        </w:rPr>
        <w:t> </w:t>
      </w:r>
      <w:r>
        <w:rPr>
          <w:sz w:val="22"/>
        </w:rPr>
        <w:t>Company</w:t>
      </w:r>
      <w:r>
        <w:rPr>
          <w:spacing w:val="-4"/>
          <w:sz w:val="22"/>
        </w:rPr>
        <w:t> </w:t>
      </w:r>
      <w:r>
        <w:rPr>
          <w:sz w:val="22"/>
        </w:rPr>
        <w:t>Number</w:t>
      </w:r>
      <w:r>
        <w:rPr>
          <w:spacing w:val="-4"/>
          <w:sz w:val="22"/>
        </w:rPr>
        <w:t> </w:t>
      </w:r>
      <w:r>
        <w:rPr>
          <w:sz w:val="22"/>
        </w:rPr>
        <w:t>for company,</w:t>
      </w:r>
      <w:r>
        <w:rPr>
          <w:spacing w:val="-11"/>
          <w:sz w:val="22"/>
        </w:rPr>
        <w:t> </w:t>
      </w:r>
      <w:r>
        <w:rPr>
          <w:sz w:val="22"/>
        </w:rPr>
        <w:t>tax</w:t>
      </w:r>
      <w:r>
        <w:rPr>
          <w:spacing w:val="-11"/>
          <w:sz w:val="22"/>
        </w:rPr>
        <w:t> </w:t>
      </w:r>
      <w:r>
        <w:rPr>
          <w:sz w:val="22"/>
        </w:rPr>
        <w:t>and</w:t>
      </w:r>
      <w:r>
        <w:rPr>
          <w:spacing w:val="-11"/>
          <w:sz w:val="22"/>
        </w:rPr>
        <w:t> </w:t>
      </w:r>
      <w:r>
        <w:rPr>
          <w:sz w:val="22"/>
        </w:rPr>
        <w:t>social</w:t>
      </w:r>
      <w:r>
        <w:rPr>
          <w:spacing w:val="-11"/>
          <w:sz w:val="22"/>
        </w:rPr>
        <w:t> </w:t>
      </w:r>
      <w:r>
        <w:rPr>
          <w:sz w:val="22"/>
        </w:rPr>
        <w:t>security</w:t>
      </w:r>
      <w:r>
        <w:rPr>
          <w:spacing w:val="-11"/>
          <w:sz w:val="22"/>
        </w:rPr>
        <w:t> </w:t>
      </w:r>
      <w:r>
        <w:rPr>
          <w:sz w:val="22"/>
        </w:rPr>
        <w:t>registrations.</w:t>
      </w:r>
    </w:p>
    <w:p>
      <w:pPr>
        <w:pStyle w:val="Heading6"/>
        <w:numPr>
          <w:ilvl w:val="0"/>
          <w:numId w:val="60"/>
        </w:numPr>
        <w:tabs>
          <w:tab w:pos="1404" w:val="left" w:leader="none"/>
        </w:tabs>
        <w:spacing w:line="240" w:lineRule="auto" w:before="223" w:after="0"/>
        <w:ind w:left="1404" w:right="0" w:hanging="325"/>
        <w:jc w:val="both"/>
      </w:pPr>
      <w:r>
        <w:rPr>
          <w:color w:val="2E614A"/>
          <w:spacing w:val="-8"/>
        </w:rPr>
        <w:t>New</w:t>
      </w:r>
      <w:r>
        <w:rPr>
          <w:color w:val="2E614A"/>
          <w:spacing w:val="1"/>
        </w:rPr>
        <w:t> </w:t>
      </w:r>
      <w:r>
        <w:rPr>
          <w:color w:val="2E614A"/>
          <w:spacing w:val="-8"/>
        </w:rPr>
        <w:t>Institutional</w:t>
      </w:r>
      <w:r>
        <w:rPr>
          <w:color w:val="2E614A"/>
          <w:spacing w:val="1"/>
        </w:rPr>
        <w:t> </w:t>
      </w:r>
      <w:r>
        <w:rPr>
          <w:color w:val="2E614A"/>
          <w:spacing w:val="-8"/>
        </w:rPr>
        <w:t>Mechanisms</w:t>
      </w:r>
    </w:p>
    <w:p>
      <w:pPr>
        <w:pStyle w:val="ListParagraph"/>
        <w:numPr>
          <w:ilvl w:val="1"/>
          <w:numId w:val="60"/>
        </w:numPr>
        <w:tabs>
          <w:tab w:pos="1439" w:val="left" w:leader="none"/>
        </w:tabs>
        <w:spacing w:line="266" w:lineRule="auto" w:before="276" w:after="0"/>
        <w:ind w:left="1439" w:right="0" w:hanging="360"/>
        <w:jc w:val="both"/>
        <w:rPr>
          <w:sz w:val="22"/>
        </w:rPr>
      </w:pPr>
      <w:r>
        <w:rPr>
          <w:spacing w:val="-2"/>
          <w:sz w:val="22"/>
        </w:rPr>
        <w:t>Set</w:t>
      </w:r>
      <w:r>
        <w:rPr>
          <w:spacing w:val="-8"/>
          <w:sz w:val="22"/>
        </w:rPr>
        <w:t> </w:t>
      </w:r>
      <w:r>
        <w:rPr>
          <w:spacing w:val="-2"/>
          <w:sz w:val="22"/>
        </w:rPr>
        <w:t>up</w:t>
      </w:r>
      <w:r>
        <w:rPr>
          <w:spacing w:val="-8"/>
          <w:sz w:val="22"/>
        </w:rPr>
        <w:t> </w:t>
      </w:r>
      <w:r>
        <w:rPr>
          <w:spacing w:val="-2"/>
          <w:sz w:val="22"/>
        </w:rPr>
        <w:t>commercial</w:t>
      </w:r>
      <w:r>
        <w:rPr>
          <w:spacing w:val="-8"/>
          <w:sz w:val="22"/>
        </w:rPr>
        <w:t> </w:t>
      </w:r>
      <w:r>
        <w:rPr>
          <w:spacing w:val="-2"/>
          <w:sz w:val="22"/>
        </w:rPr>
        <w:t>courts</w:t>
      </w:r>
      <w:r>
        <w:rPr>
          <w:spacing w:val="-8"/>
          <w:sz w:val="22"/>
        </w:rPr>
        <w:t> </w:t>
      </w:r>
      <w:r>
        <w:rPr>
          <w:spacing w:val="-2"/>
          <w:sz w:val="22"/>
        </w:rPr>
        <w:t>to</w:t>
      </w:r>
      <w:r>
        <w:rPr>
          <w:spacing w:val="-8"/>
          <w:sz w:val="22"/>
        </w:rPr>
        <w:t> </w:t>
      </w:r>
      <w:r>
        <w:rPr>
          <w:spacing w:val="-2"/>
          <w:sz w:val="22"/>
        </w:rPr>
        <w:t>deal</w:t>
      </w:r>
      <w:r>
        <w:rPr>
          <w:spacing w:val="-8"/>
          <w:sz w:val="22"/>
        </w:rPr>
        <w:t> </w:t>
      </w:r>
      <w:r>
        <w:rPr>
          <w:spacing w:val="-2"/>
          <w:sz w:val="22"/>
        </w:rPr>
        <w:t>with</w:t>
      </w:r>
      <w:r>
        <w:rPr>
          <w:spacing w:val="-8"/>
          <w:sz w:val="22"/>
        </w:rPr>
        <w:t> </w:t>
      </w:r>
      <w:r>
        <w:rPr>
          <w:spacing w:val="-2"/>
          <w:sz w:val="22"/>
        </w:rPr>
        <w:t>commercial </w:t>
      </w:r>
      <w:r>
        <w:rPr>
          <w:sz w:val="22"/>
        </w:rPr>
        <w:t>disputes and to speed up contract enforcement.</w:t>
      </w:r>
    </w:p>
    <w:p>
      <w:pPr>
        <w:pStyle w:val="ListParagraph"/>
        <w:numPr>
          <w:ilvl w:val="1"/>
          <w:numId w:val="60"/>
        </w:numPr>
        <w:tabs>
          <w:tab w:pos="1440" w:val="left" w:leader="none"/>
        </w:tabs>
        <w:spacing w:line="266" w:lineRule="auto" w:before="0" w:after="0"/>
        <w:ind w:left="1440" w:right="0" w:hanging="360"/>
        <w:jc w:val="both"/>
        <w:rPr>
          <w:sz w:val="22"/>
        </w:rPr>
      </w:pPr>
      <w:r>
        <w:rPr>
          <w:sz w:val="22"/>
        </w:rPr>
        <w:t>Introduce Limited Liability Partnerships (LLPs) in</w:t>
      </w:r>
      <w:r>
        <w:rPr>
          <w:spacing w:val="40"/>
          <w:sz w:val="22"/>
        </w:rPr>
        <w:t> </w:t>
      </w:r>
      <w:r>
        <w:rPr>
          <w:sz w:val="22"/>
        </w:rPr>
        <w:t>order</w:t>
      </w:r>
      <w:r>
        <w:rPr>
          <w:spacing w:val="40"/>
          <w:sz w:val="22"/>
        </w:rPr>
        <w:t> </w:t>
      </w:r>
      <w:r>
        <w:rPr>
          <w:sz w:val="22"/>
        </w:rPr>
        <w:t>to</w:t>
      </w:r>
      <w:r>
        <w:rPr>
          <w:spacing w:val="40"/>
          <w:sz w:val="22"/>
        </w:rPr>
        <w:t> </w:t>
      </w:r>
      <w:r>
        <w:rPr>
          <w:sz w:val="22"/>
        </w:rPr>
        <w:t>ensure</w:t>
      </w:r>
      <w:r>
        <w:rPr>
          <w:spacing w:val="40"/>
          <w:sz w:val="22"/>
        </w:rPr>
        <w:t> </w:t>
      </w:r>
      <w:r>
        <w:rPr>
          <w:sz w:val="22"/>
        </w:rPr>
        <w:t>flexibility</w:t>
      </w:r>
      <w:r>
        <w:rPr>
          <w:spacing w:val="40"/>
          <w:sz w:val="22"/>
        </w:rPr>
        <w:t> </w:t>
      </w:r>
      <w:r>
        <w:rPr>
          <w:sz w:val="22"/>
        </w:rPr>
        <w:t>and</w:t>
      </w:r>
      <w:r>
        <w:rPr>
          <w:spacing w:val="40"/>
          <w:sz w:val="22"/>
        </w:rPr>
        <w:t> </w:t>
      </w:r>
      <w:r>
        <w:rPr>
          <w:sz w:val="22"/>
        </w:rPr>
        <w:t>low</w:t>
      </w:r>
      <w:r>
        <w:rPr>
          <w:spacing w:val="40"/>
          <w:sz w:val="22"/>
        </w:rPr>
        <w:t> </w:t>
      </w:r>
      <w:r>
        <w:rPr>
          <w:sz w:val="22"/>
        </w:rPr>
        <w:t>cost</w:t>
      </w:r>
      <w:r>
        <w:rPr>
          <w:spacing w:val="40"/>
          <w:sz w:val="22"/>
        </w:rPr>
        <w:t> </w:t>
      </w:r>
      <w:r>
        <w:rPr>
          <w:sz w:val="22"/>
        </w:rPr>
        <w:t>of</w:t>
      </w:r>
    </w:p>
    <w:p>
      <w:pPr>
        <w:pStyle w:val="BodyText"/>
        <w:spacing w:before="82"/>
        <w:ind w:left="679"/>
      </w:pPr>
      <w:r>
        <w:rPr/>
        <w:br w:type="column"/>
      </w:r>
      <w:r>
        <w:rPr/>
        <w:t>operation</w:t>
      </w:r>
      <w:r>
        <w:rPr>
          <w:spacing w:val="5"/>
        </w:rPr>
        <w:t> </w:t>
      </w:r>
      <w:r>
        <w:rPr/>
        <w:t>while</w:t>
      </w:r>
      <w:r>
        <w:rPr>
          <w:spacing w:val="6"/>
        </w:rPr>
        <w:t> </w:t>
      </w:r>
      <w:r>
        <w:rPr/>
        <w:t>limiting</w:t>
      </w:r>
      <w:r>
        <w:rPr>
          <w:spacing w:val="5"/>
        </w:rPr>
        <w:t> </w:t>
      </w:r>
      <w:r>
        <w:rPr/>
        <w:t>personal</w:t>
      </w:r>
      <w:r>
        <w:rPr>
          <w:spacing w:val="6"/>
        </w:rPr>
        <w:t> </w:t>
      </w:r>
      <w:r>
        <w:rPr>
          <w:spacing w:val="-2"/>
        </w:rPr>
        <w:t>liability.</w:t>
      </w:r>
    </w:p>
    <w:p>
      <w:pPr>
        <w:pStyle w:val="ListParagraph"/>
        <w:numPr>
          <w:ilvl w:val="0"/>
          <w:numId w:val="61"/>
        </w:numPr>
        <w:tabs>
          <w:tab w:pos="679" w:val="left" w:leader="none"/>
        </w:tabs>
        <w:spacing w:line="266" w:lineRule="auto" w:before="27" w:after="0"/>
        <w:ind w:left="679" w:right="1077" w:hanging="360"/>
        <w:jc w:val="both"/>
        <w:rPr>
          <w:sz w:val="22"/>
        </w:rPr>
      </w:pPr>
      <w:r>
        <w:rPr>
          <w:sz w:val="22"/>
        </w:rPr>
        <w:t>Establish</w:t>
      </w:r>
      <w:r>
        <w:rPr>
          <w:spacing w:val="-1"/>
          <w:sz w:val="22"/>
        </w:rPr>
        <w:t> </w:t>
      </w:r>
      <w:r>
        <w:rPr>
          <w:sz w:val="22"/>
        </w:rPr>
        <w:t>a</w:t>
      </w:r>
      <w:r>
        <w:rPr>
          <w:spacing w:val="-1"/>
          <w:sz w:val="22"/>
        </w:rPr>
        <w:t> </w:t>
      </w:r>
      <w:r>
        <w:rPr>
          <w:sz w:val="22"/>
        </w:rPr>
        <w:t>Global</w:t>
      </w:r>
      <w:r>
        <w:rPr>
          <w:spacing w:val="-6"/>
          <w:sz w:val="22"/>
        </w:rPr>
        <w:t> </w:t>
      </w:r>
      <w:r>
        <w:rPr>
          <w:sz w:val="22"/>
        </w:rPr>
        <w:t>Technology</w:t>
      </w:r>
      <w:r>
        <w:rPr>
          <w:spacing w:val="-1"/>
          <w:sz w:val="22"/>
        </w:rPr>
        <w:t> </w:t>
      </w:r>
      <w:r>
        <w:rPr>
          <w:sz w:val="22"/>
        </w:rPr>
        <w:t>Acquisition</w:t>
      </w:r>
      <w:r>
        <w:rPr>
          <w:spacing w:val="-1"/>
          <w:sz w:val="22"/>
        </w:rPr>
        <w:t> </w:t>
      </w:r>
      <w:r>
        <w:rPr>
          <w:sz w:val="22"/>
        </w:rPr>
        <w:t>Fund for Intellectual Property (IP).</w:t>
      </w:r>
    </w:p>
    <w:p>
      <w:pPr>
        <w:pStyle w:val="BodyText"/>
        <w:spacing w:before="61"/>
      </w:pPr>
    </w:p>
    <w:p>
      <w:pPr>
        <w:pStyle w:val="Heading6"/>
        <w:numPr>
          <w:ilvl w:val="0"/>
          <w:numId w:val="60"/>
        </w:numPr>
        <w:tabs>
          <w:tab w:pos="644" w:val="left" w:leader="none"/>
        </w:tabs>
        <w:spacing w:line="240" w:lineRule="auto" w:before="1" w:after="0"/>
        <w:ind w:left="644" w:right="0" w:hanging="325"/>
        <w:jc w:val="left"/>
      </w:pPr>
      <w:r>
        <w:rPr>
          <w:color w:val="2E614A"/>
          <w:w w:val="90"/>
        </w:rPr>
        <w:t>Facilitate</w:t>
      </w:r>
      <w:r>
        <w:rPr>
          <w:color w:val="2E614A"/>
          <w:spacing w:val="17"/>
        </w:rPr>
        <w:t> </w:t>
      </w:r>
      <w:r>
        <w:rPr>
          <w:color w:val="2E614A"/>
          <w:w w:val="90"/>
        </w:rPr>
        <w:t>Information</w:t>
      </w:r>
      <w:r>
        <w:rPr>
          <w:color w:val="2E614A"/>
          <w:spacing w:val="17"/>
        </w:rPr>
        <w:t> </w:t>
      </w:r>
      <w:r>
        <w:rPr>
          <w:color w:val="2E614A"/>
          <w:spacing w:val="-2"/>
          <w:w w:val="90"/>
        </w:rPr>
        <w:t>Flows</w:t>
      </w:r>
    </w:p>
    <w:p>
      <w:pPr>
        <w:pStyle w:val="ListParagraph"/>
        <w:numPr>
          <w:ilvl w:val="1"/>
          <w:numId w:val="60"/>
        </w:numPr>
        <w:tabs>
          <w:tab w:pos="679" w:val="left" w:leader="none"/>
        </w:tabs>
        <w:spacing w:line="266" w:lineRule="auto" w:before="285" w:after="0"/>
        <w:ind w:left="679" w:right="1077" w:hanging="360"/>
        <w:jc w:val="both"/>
        <w:rPr>
          <w:sz w:val="22"/>
        </w:rPr>
      </w:pPr>
      <w:r>
        <w:rPr>
          <w:sz w:val="22"/>
        </w:rPr>
        <w:t>Create ‘one stop shops’, web based portals </w:t>
      </w:r>
      <w:r>
        <w:rPr>
          <w:sz w:val="22"/>
        </w:rPr>
        <w:t>and information handbooks for entrepreneurs. (NKC proposes</w:t>
      </w:r>
      <w:r>
        <w:rPr>
          <w:spacing w:val="-14"/>
          <w:sz w:val="22"/>
        </w:rPr>
        <w:t> </w:t>
      </w:r>
      <w:r>
        <w:rPr>
          <w:sz w:val="22"/>
        </w:rPr>
        <w:t>to</w:t>
      </w:r>
      <w:r>
        <w:rPr>
          <w:spacing w:val="-14"/>
          <w:sz w:val="22"/>
        </w:rPr>
        <w:t> </w:t>
      </w:r>
      <w:r>
        <w:rPr>
          <w:sz w:val="22"/>
        </w:rPr>
        <w:t>set</w:t>
      </w:r>
      <w:r>
        <w:rPr>
          <w:spacing w:val="-14"/>
          <w:sz w:val="22"/>
        </w:rPr>
        <w:t> </w:t>
      </w:r>
      <w:r>
        <w:rPr>
          <w:sz w:val="22"/>
        </w:rPr>
        <w:t>up</w:t>
      </w:r>
      <w:r>
        <w:rPr>
          <w:spacing w:val="-13"/>
          <w:sz w:val="22"/>
        </w:rPr>
        <w:t> </w:t>
      </w:r>
      <w:r>
        <w:rPr>
          <w:sz w:val="22"/>
        </w:rPr>
        <w:t>an</w:t>
      </w:r>
      <w:r>
        <w:rPr>
          <w:spacing w:val="-14"/>
          <w:sz w:val="22"/>
        </w:rPr>
        <w:t> </w:t>
      </w:r>
      <w:r>
        <w:rPr>
          <w:sz w:val="22"/>
        </w:rPr>
        <w:t>all</w:t>
      </w:r>
      <w:r>
        <w:rPr>
          <w:spacing w:val="-14"/>
          <w:sz w:val="22"/>
        </w:rPr>
        <w:t> </w:t>
      </w:r>
      <w:r>
        <w:rPr>
          <w:sz w:val="22"/>
        </w:rPr>
        <w:t>encompassing</w:t>
      </w:r>
      <w:r>
        <w:rPr>
          <w:spacing w:val="-14"/>
          <w:sz w:val="22"/>
        </w:rPr>
        <w:t> </w:t>
      </w:r>
      <w:r>
        <w:rPr>
          <w:sz w:val="22"/>
        </w:rPr>
        <w:t>website</w:t>
      </w:r>
      <w:r>
        <w:rPr>
          <w:spacing w:val="-13"/>
          <w:sz w:val="22"/>
        </w:rPr>
        <w:t> </w:t>
      </w:r>
      <w:r>
        <w:rPr>
          <w:sz w:val="22"/>
        </w:rPr>
        <w:t>on Entrepreneurship as a one-stop portal.)</w:t>
      </w:r>
    </w:p>
    <w:p>
      <w:pPr>
        <w:pStyle w:val="ListParagraph"/>
        <w:numPr>
          <w:ilvl w:val="1"/>
          <w:numId w:val="60"/>
        </w:numPr>
        <w:tabs>
          <w:tab w:pos="679" w:val="left" w:leader="none"/>
        </w:tabs>
        <w:spacing w:line="266" w:lineRule="auto" w:before="0" w:after="0"/>
        <w:ind w:left="679" w:right="1077" w:hanging="360"/>
        <w:jc w:val="both"/>
        <w:rPr>
          <w:sz w:val="22"/>
        </w:rPr>
      </w:pPr>
      <w:r>
        <w:rPr>
          <w:spacing w:val="-4"/>
          <w:sz w:val="22"/>
        </w:rPr>
        <w:t>Widely</w:t>
      </w:r>
      <w:r>
        <w:rPr>
          <w:spacing w:val="-10"/>
          <w:sz w:val="22"/>
        </w:rPr>
        <w:t> </w:t>
      </w:r>
      <w:r>
        <w:rPr>
          <w:spacing w:val="-4"/>
          <w:sz w:val="22"/>
        </w:rPr>
        <w:t>publicise</w:t>
      </w:r>
      <w:r>
        <w:rPr>
          <w:spacing w:val="-10"/>
          <w:sz w:val="22"/>
        </w:rPr>
        <w:t> </w:t>
      </w:r>
      <w:r>
        <w:rPr>
          <w:spacing w:val="-4"/>
          <w:sz w:val="22"/>
        </w:rPr>
        <w:t>risk</w:t>
      </w:r>
      <w:r>
        <w:rPr>
          <w:spacing w:val="-10"/>
          <w:sz w:val="22"/>
        </w:rPr>
        <w:t> </w:t>
      </w:r>
      <w:r>
        <w:rPr>
          <w:spacing w:val="-4"/>
          <w:sz w:val="22"/>
        </w:rPr>
        <w:t>management</w:t>
      </w:r>
      <w:r>
        <w:rPr>
          <w:spacing w:val="-9"/>
          <w:sz w:val="22"/>
        </w:rPr>
        <w:t> </w:t>
      </w:r>
      <w:r>
        <w:rPr>
          <w:spacing w:val="-4"/>
          <w:sz w:val="22"/>
        </w:rPr>
        <w:t>tools</w:t>
      </w:r>
      <w:r>
        <w:rPr>
          <w:spacing w:val="-10"/>
          <w:sz w:val="22"/>
        </w:rPr>
        <w:t> </w:t>
      </w:r>
      <w:r>
        <w:rPr>
          <w:spacing w:val="-4"/>
          <w:sz w:val="22"/>
        </w:rPr>
        <w:t>such</w:t>
      </w:r>
      <w:r>
        <w:rPr>
          <w:spacing w:val="-10"/>
          <w:sz w:val="22"/>
        </w:rPr>
        <w:t> </w:t>
      </w:r>
      <w:r>
        <w:rPr>
          <w:spacing w:val="-4"/>
          <w:sz w:val="22"/>
        </w:rPr>
        <w:t>as</w:t>
      </w:r>
      <w:r>
        <w:rPr>
          <w:spacing w:val="-10"/>
          <w:sz w:val="22"/>
        </w:rPr>
        <w:t> </w:t>
      </w:r>
      <w:r>
        <w:rPr>
          <w:spacing w:val="-4"/>
          <w:sz w:val="22"/>
        </w:rPr>
        <w:t>the </w:t>
      </w:r>
      <w:r>
        <w:rPr>
          <w:sz w:val="22"/>
        </w:rPr>
        <w:t>SME</w:t>
      </w:r>
      <w:r>
        <w:rPr>
          <w:spacing w:val="-13"/>
          <w:sz w:val="22"/>
        </w:rPr>
        <w:t> </w:t>
      </w:r>
      <w:r>
        <w:rPr>
          <w:sz w:val="22"/>
        </w:rPr>
        <w:t>Rating</w:t>
      </w:r>
      <w:r>
        <w:rPr>
          <w:spacing w:val="-13"/>
          <w:sz w:val="22"/>
        </w:rPr>
        <w:t> </w:t>
      </w:r>
      <w:r>
        <w:rPr>
          <w:sz w:val="22"/>
        </w:rPr>
        <w:t>Agency</w:t>
      </w:r>
      <w:r>
        <w:rPr>
          <w:spacing w:val="-13"/>
          <w:sz w:val="22"/>
        </w:rPr>
        <w:t> </w:t>
      </w:r>
      <w:r>
        <w:rPr>
          <w:sz w:val="22"/>
        </w:rPr>
        <w:t>(SMERA),</w:t>
      </w:r>
      <w:r>
        <w:rPr>
          <w:spacing w:val="-13"/>
          <w:sz w:val="22"/>
        </w:rPr>
        <w:t> </w:t>
      </w:r>
      <w:r>
        <w:rPr>
          <w:sz w:val="22"/>
        </w:rPr>
        <w:t>Credit</w:t>
      </w:r>
      <w:r>
        <w:rPr>
          <w:spacing w:val="-13"/>
          <w:sz w:val="22"/>
        </w:rPr>
        <w:t> </w:t>
      </w:r>
      <w:r>
        <w:rPr>
          <w:sz w:val="22"/>
        </w:rPr>
        <w:t>Appraisal </w:t>
      </w:r>
      <w:r>
        <w:rPr>
          <w:spacing w:val="-2"/>
          <w:sz w:val="22"/>
        </w:rPr>
        <w:t>and</w:t>
      </w:r>
      <w:r>
        <w:rPr>
          <w:spacing w:val="-12"/>
          <w:sz w:val="22"/>
        </w:rPr>
        <w:t> </w:t>
      </w:r>
      <w:r>
        <w:rPr>
          <w:spacing w:val="-2"/>
          <w:sz w:val="22"/>
        </w:rPr>
        <w:t>Rating</w:t>
      </w:r>
      <w:r>
        <w:rPr>
          <w:spacing w:val="-12"/>
          <w:sz w:val="22"/>
        </w:rPr>
        <w:t> </w:t>
      </w:r>
      <w:r>
        <w:rPr>
          <w:spacing w:val="-2"/>
          <w:sz w:val="22"/>
        </w:rPr>
        <w:t>Tool</w:t>
      </w:r>
      <w:r>
        <w:rPr>
          <w:spacing w:val="-12"/>
          <w:sz w:val="22"/>
        </w:rPr>
        <w:t> </w:t>
      </w:r>
      <w:r>
        <w:rPr>
          <w:spacing w:val="-2"/>
          <w:sz w:val="22"/>
        </w:rPr>
        <w:t>(CART),</w:t>
      </w:r>
      <w:r>
        <w:rPr>
          <w:spacing w:val="-11"/>
          <w:sz w:val="22"/>
        </w:rPr>
        <w:t> </w:t>
      </w:r>
      <w:r>
        <w:rPr>
          <w:spacing w:val="-2"/>
          <w:sz w:val="22"/>
        </w:rPr>
        <w:t>Risk</w:t>
      </w:r>
      <w:r>
        <w:rPr>
          <w:spacing w:val="-12"/>
          <w:sz w:val="22"/>
        </w:rPr>
        <w:t> </w:t>
      </w:r>
      <w:r>
        <w:rPr>
          <w:spacing w:val="-2"/>
          <w:sz w:val="22"/>
        </w:rPr>
        <w:t>Assessment</w:t>
      </w:r>
      <w:r>
        <w:rPr>
          <w:spacing w:val="-12"/>
          <w:sz w:val="22"/>
        </w:rPr>
        <w:t> </w:t>
      </w:r>
      <w:r>
        <w:rPr>
          <w:spacing w:val="-2"/>
          <w:sz w:val="22"/>
        </w:rPr>
        <w:t>Model </w:t>
      </w:r>
      <w:r>
        <w:rPr>
          <w:spacing w:val="-8"/>
          <w:sz w:val="22"/>
        </w:rPr>
        <w:t>(RAM)</w:t>
      </w:r>
      <w:r>
        <w:rPr>
          <w:spacing w:val="-6"/>
          <w:sz w:val="22"/>
        </w:rPr>
        <w:t> </w:t>
      </w:r>
      <w:r>
        <w:rPr>
          <w:spacing w:val="-8"/>
          <w:sz w:val="22"/>
        </w:rPr>
        <w:t>and</w:t>
      </w:r>
      <w:r>
        <w:rPr>
          <w:spacing w:val="-6"/>
          <w:sz w:val="22"/>
        </w:rPr>
        <w:t> </w:t>
      </w:r>
      <w:r>
        <w:rPr>
          <w:spacing w:val="-8"/>
          <w:sz w:val="22"/>
        </w:rPr>
        <w:t>improving</w:t>
      </w:r>
      <w:r>
        <w:rPr>
          <w:spacing w:val="-6"/>
          <w:sz w:val="22"/>
        </w:rPr>
        <w:t> </w:t>
      </w:r>
      <w:r>
        <w:rPr>
          <w:spacing w:val="-8"/>
          <w:sz w:val="22"/>
        </w:rPr>
        <w:t>information</w:t>
      </w:r>
      <w:r>
        <w:rPr>
          <w:spacing w:val="-5"/>
          <w:sz w:val="22"/>
        </w:rPr>
        <w:t> </w:t>
      </w:r>
      <w:r>
        <w:rPr>
          <w:spacing w:val="-8"/>
          <w:sz w:val="22"/>
        </w:rPr>
        <w:t>flows</w:t>
      </w:r>
      <w:r>
        <w:rPr>
          <w:spacing w:val="-6"/>
          <w:sz w:val="22"/>
        </w:rPr>
        <w:t> </w:t>
      </w:r>
      <w:r>
        <w:rPr>
          <w:spacing w:val="-8"/>
          <w:sz w:val="22"/>
        </w:rPr>
        <w:t>through</w:t>
      </w:r>
      <w:r>
        <w:rPr>
          <w:spacing w:val="-6"/>
          <w:sz w:val="22"/>
        </w:rPr>
        <w:t> </w:t>
      </w:r>
      <w:r>
        <w:rPr>
          <w:spacing w:val="-8"/>
          <w:sz w:val="22"/>
        </w:rPr>
        <w:t>the </w:t>
      </w:r>
      <w:r>
        <w:rPr>
          <w:spacing w:val="-2"/>
          <w:sz w:val="22"/>
        </w:rPr>
        <w:t>Credit</w:t>
      </w:r>
      <w:r>
        <w:rPr>
          <w:spacing w:val="-10"/>
          <w:sz w:val="22"/>
        </w:rPr>
        <w:t> </w:t>
      </w:r>
      <w:r>
        <w:rPr>
          <w:spacing w:val="-2"/>
          <w:sz w:val="22"/>
        </w:rPr>
        <w:t>Information</w:t>
      </w:r>
      <w:r>
        <w:rPr>
          <w:spacing w:val="-10"/>
          <w:sz w:val="22"/>
        </w:rPr>
        <w:t> </w:t>
      </w:r>
      <w:r>
        <w:rPr>
          <w:spacing w:val="-2"/>
          <w:sz w:val="22"/>
        </w:rPr>
        <w:t>Bureau</w:t>
      </w:r>
      <w:r>
        <w:rPr>
          <w:spacing w:val="-10"/>
          <w:sz w:val="22"/>
        </w:rPr>
        <w:t> </w:t>
      </w:r>
      <w:r>
        <w:rPr>
          <w:spacing w:val="-2"/>
          <w:sz w:val="22"/>
        </w:rPr>
        <w:t>India</w:t>
      </w:r>
      <w:r>
        <w:rPr>
          <w:spacing w:val="-10"/>
          <w:sz w:val="22"/>
        </w:rPr>
        <w:t> </w:t>
      </w:r>
      <w:r>
        <w:rPr>
          <w:spacing w:val="-2"/>
          <w:sz w:val="22"/>
        </w:rPr>
        <w:t>Limited</w:t>
      </w:r>
      <w:r>
        <w:rPr>
          <w:spacing w:val="-10"/>
          <w:sz w:val="22"/>
        </w:rPr>
        <w:t> </w:t>
      </w:r>
      <w:r>
        <w:rPr>
          <w:spacing w:val="-2"/>
          <w:sz w:val="22"/>
        </w:rPr>
        <w:t>(CIBIL).</w:t>
      </w:r>
    </w:p>
    <w:p>
      <w:pPr>
        <w:pStyle w:val="ListParagraph"/>
        <w:numPr>
          <w:ilvl w:val="1"/>
          <w:numId w:val="60"/>
        </w:numPr>
        <w:tabs>
          <w:tab w:pos="679" w:val="left" w:leader="none"/>
        </w:tabs>
        <w:spacing w:line="266" w:lineRule="auto" w:before="0" w:after="0"/>
        <w:ind w:left="679" w:right="1077" w:hanging="360"/>
        <w:jc w:val="both"/>
        <w:rPr>
          <w:sz w:val="22"/>
        </w:rPr>
      </w:pPr>
      <w:r>
        <w:rPr>
          <w:sz w:val="22"/>
        </w:rPr>
        <w:t>Increase</w:t>
      </w:r>
      <w:r>
        <w:rPr>
          <w:spacing w:val="-5"/>
          <w:sz w:val="22"/>
        </w:rPr>
        <w:t> </w:t>
      </w:r>
      <w:r>
        <w:rPr>
          <w:sz w:val="22"/>
        </w:rPr>
        <w:t>awareness</w:t>
      </w:r>
      <w:r>
        <w:rPr>
          <w:spacing w:val="-5"/>
          <w:sz w:val="22"/>
        </w:rPr>
        <w:t> </w:t>
      </w:r>
      <w:r>
        <w:rPr>
          <w:sz w:val="22"/>
        </w:rPr>
        <w:t>of</w:t>
      </w:r>
      <w:r>
        <w:rPr>
          <w:spacing w:val="-5"/>
          <w:sz w:val="22"/>
        </w:rPr>
        <w:t> </w:t>
      </w:r>
      <w:r>
        <w:rPr>
          <w:sz w:val="22"/>
        </w:rPr>
        <w:t>the</w:t>
      </w:r>
      <w:r>
        <w:rPr>
          <w:spacing w:val="-5"/>
          <w:sz w:val="22"/>
        </w:rPr>
        <w:t> </w:t>
      </w:r>
      <w:r>
        <w:rPr>
          <w:sz w:val="22"/>
        </w:rPr>
        <w:t>Credit</w:t>
      </w:r>
      <w:r>
        <w:rPr>
          <w:spacing w:val="-5"/>
          <w:sz w:val="22"/>
        </w:rPr>
        <w:t> </w:t>
      </w:r>
      <w:r>
        <w:rPr>
          <w:sz w:val="22"/>
        </w:rPr>
        <w:t>Guarantee</w:t>
      </w:r>
      <w:r>
        <w:rPr>
          <w:spacing w:val="-5"/>
          <w:sz w:val="22"/>
        </w:rPr>
        <w:t> </w:t>
      </w:r>
      <w:r>
        <w:rPr>
          <w:sz w:val="22"/>
        </w:rPr>
        <w:t>Fund </w:t>
      </w:r>
      <w:r>
        <w:rPr>
          <w:spacing w:val="-6"/>
          <w:sz w:val="22"/>
        </w:rPr>
        <w:t>Trust</w:t>
      </w:r>
      <w:r>
        <w:rPr>
          <w:spacing w:val="-7"/>
          <w:sz w:val="22"/>
        </w:rPr>
        <w:t> </w:t>
      </w:r>
      <w:r>
        <w:rPr>
          <w:spacing w:val="-6"/>
          <w:sz w:val="22"/>
        </w:rPr>
        <w:t>Scheme</w:t>
      </w:r>
      <w:r>
        <w:rPr>
          <w:spacing w:val="-7"/>
          <w:sz w:val="22"/>
        </w:rPr>
        <w:t> </w:t>
      </w:r>
      <w:r>
        <w:rPr>
          <w:spacing w:val="-6"/>
          <w:sz w:val="22"/>
        </w:rPr>
        <w:t>(CGTSI).</w:t>
      </w:r>
      <w:r>
        <w:rPr>
          <w:spacing w:val="-7"/>
          <w:sz w:val="22"/>
        </w:rPr>
        <w:t> </w:t>
      </w:r>
      <w:r>
        <w:rPr>
          <w:spacing w:val="-6"/>
          <w:sz w:val="22"/>
        </w:rPr>
        <w:t>Ensure</w:t>
      </w:r>
      <w:r>
        <w:rPr>
          <w:spacing w:val="-7"/>
          <w:sz w:val="22"/>
        </w:rPr>
        <w:t> </w:t>
      </w:r>
      <w:r>
        <w:rPr>
          <w:spacing w:val="-6"/>
          <w:sz w:val="22"/>
        </w:rPr>
        <w:t>visibility</w:t>
      </w:r>
      <w:r>
        <w:rPr>
          <w:spacing w:val="-7"/>
          <w:sz w:val="22"/>
        </w:rPr>
        <w:t> </w:t>
      </w:r>
      <w:r>
        <w:rPr>
          <w:spacing w:val="-6"/>
          <w:sz w:val="22"/>
        </w:rPr>
        <w:t>and</w:t>
      </w:r>
      <w:r>
        <w:rPr>
          <w:spacing w:val="-7"/>
          <w:sz w:val="22"/>
        </w:rPr>
        <w:t> </w:t>
      </w:r>
      <w:r>
        <w:rPr>
          <w:spacing w:val="-6"/>
          <w:sz w:val="22"/>
        </w:rPr>
        <w:t>access </w:t>
      </w:r>
      <w:r>
        <w:rPr>
          <w:sz w:val="22"/>
        </w:rPr>
        <w:t>of</w:t>
      </w:r>
      <w:r>
        <w:rPr>
          <w:spacing w:val="-3"/>
          <w:sz w:val="22"/>
        </w:rPr>
        <w:t> </w:t>
      </w:r>
      <w:r>
        <w:rPr>
          <w:sz w:val="22"/>
        </w:rPr>
        <w:t>the</w:t>
      </w:r>
      <w:r>
        <w:rPr>
          <w:spacing w:val="-3"/>
          <w:sz w:val="22"/>
        </w:rPr>
        <w:t> </w:t>
      </w:r>
      <w:r>
        <w:rPr>
          <w:sz w:val="22"/>
        </w:rPr>
        <w:t>‘Central</w:t>
      </w:r>
      <w:r>
        <w:rPr>
          <w:spacing w:val="-3"/>
          <w:sz w:val="22"/>
        </w:rPr>
        <w:t> </w:t>
      </w:r>
      <w:r>
        <w:rPr>
          <w:sz w:val="22"/>
        </w:rPr>
        <w:t>Plan</w:t>
      </w:r>
      <w:r>
        <w:rPr>
          <w:spacing w:val="-3"/>
          <w:sz w:val="22"/>
        </w:rPr>
        <w:t> </w:t>
      </w:r>
      <w:r>
        <w:rPr>
          <w:sz w:val="22"/>
        </w:rPr>
        <w:t>Scheme</w:t>
      </w:r>
      <w:r>
        <w:rPr>
          <w:spacing w:val="-3"/>
          <w:sz w:val="22"/>
        </w:rPr>
        <w:t> </w:t>
      </w:r>
      <w:r>
        <w:rPr>
          <w:sz w:val="22"/>
        </w:rPr>
        <w:t>Monitoring</w:t>
      </w:r>
      <w:r>
        <w:rPr>
          <w:spacing w:val="-3"/>
          <w:sz w:val="22"/>
        </w:rPr>
        <w:t> </w:t>
      </w:r>
      <w:r>
        <w:rPr>
          <w:sz w:val="22"/>
        </w:rPr>
        <w:t>System’ (CPSMS),</w:t>
      </w:r>
      <w:r>
        <w:rPr>
          <w:spacing w:val="-11"/>
          <w:sz w:val="22"/>
        </w:rPr>
        <w:t> </w:t>
      </w:r>
      <w:r>
        <w:rPr>
          <w:sz w:val="22"/>
        </w:rPr>
        <w:t>which</w:t>
      </w:r>
      <w:r>
        <w:rPr>
          <w:spacing w:val="-11"/>
          <w:sz w:val="22"/>
        </w:rPr>
        <w:t> </w:t>
      </w:r>
      <w:r>
        <w:rPr>
          <w:sz w:val="22"/>
        </w:rPr>
        <w:t>has</w:t>
      </w:r>
      <w:r>
        <w:rPr>
          <w:spacing w:val="-11"/>
          <w:sz w:val="22"/>
        </w:rPr>
        <w:t> </w:t>
      </w:r>
      <w:r>
        <w:rPr>
          <w:sz w:val="22"/>
        </w:rPr>
        <w:t>been</w:t>
      </w:r>
      <w:r>
        <w:rPr>
          <w:spacing w:val="-11"/>
          <w:sz w:val="22"/>
        </w:rPr>
        <w:t> </w:t>
      </w:r>
      <w:r>
        <w:rPr>
          <w:sz w:val="22"/>
        </w:rPr>
        <w:t>proposed</w:t>
      </w:r>
      <w:r>
        <w:rPr>
          <w:spacing w:val="-11"/>
          <w:sz w:val="22"/>
        </w:rPr>
        <w:t> </w:t>
      </w:r>
      <w:r>
        <w:rPr>
          <w:sz w:val="22"/>
        </w:rPr>
        <w:t>in</w:t>
      </w:r>
      <w:r>
        <w:rPr>
          <w:spacing w:val="-11"/>
          <w:sz w:val="22"/>
        </w:rPr>
        <w:t> </w:t>
      </w:r>
      <w:r>
        <w:rPr>
          <w:sz w:val="22"/>
        </w:rPr>
        <w:t>the</w:t>
      </w:r>
      <w:r>
        <w:rPr>
          <w:spacing w:val="-11"/>
          <w:sz w:val="22"/>
        </w:rPr>
        <w:t> </w:t>
      </w:r>
      <w:r>
        <w:rPr>
          <w:sz w:val="22"/>
        </w:rPr>
        <w:t>annual budget for the year 2008-09.</w:t>
      </w:r>
    </w:p>
    <w:p>
      <w:pPr>
        <w:pStyle w:val="BodyText"/>
        <w:spacing w:before="5"/>
      </w:pPr>
    </w:p>
    <w:p>
      <w:pPr>
        <w:pStyle w:val="Heading6"/>
        <w:numPr>
          <w:ilvl w:val="0"/>
          <w:numId w:val="60"/>
        </w:numPr>
        <w:tabs>
          <w:tab w:pos="644" w:val="left" w:leader="none"/>
        </w:tabs>
        <w:spacing w:line="240" w:lineRule="auto" w:before="1" w:after="0"/>
        <w:ind w:left="644" w:right="0" w:hanging="325"/>
        <w:jc w:val="left"/>
      </w:pPr>
      <w:r>
        <w:rPr>
          <w:color w:val="2E614A"/>
          <w:w w:val="90"/>
        </w:rPr>
        <w:t>Access</w:t>
      </w:r>
      <w:r>
        <w:rPr>
          <w:color w:val="2E614A"/>
          <w:spacing w:val="-8"/>
        </w:rPr>
        <w:t> </w:t>
      </w:r>
      <w:r>
        <w:rPr>
          <w:color w:val="2E614A"/>
          <w:w w:val="90"/>
        </w:rPr>
        <w:t>to</w:t>
      </w:r>
      <w:r>
        <w:rPr>
          <w:color w:val="2E614A"/>
          <w:spacing w:val="-7"/>
        </w:rPr>
        <w:t> </w:t>
      </w:r>
      <w:r>
        <w:rPr>
          <w:color w:val="2E614A"/>
          <w:w w:val="90"/>
        </w:rPr>
        <w:t>Early</w:t>
      </w:r>
      <w:r>
        <w:rPr>
          <w:color w:val="2E614A"/>
          <w:spacing w:val="-7"/>
        </w:rPr>
        <w:t> </w:t>
      </w:r>
      <w:r>
        <w:rPr>
          <w:color w:val="2E614A"/>
          <w:w w:val="90"/>
        </w:rPr>
        <w:t>Stage</w:t>
      </w:r>
      <w:r>
        <w:rPr>
          <w:color w:val="2E614A"/>
          <w:spacing w:val="-8"/>
        </w:rPr>
        <w:t> </w:t>
      </w:r>
      <w:r>
        <w:rPr>
          <w:color w:val="2E614A"/>
          <w:spacing w:val="-2"/>
          <w:w w:val="90"/>
        </w:rPr>
        <w:t>Finance</w:t>
      </w:r>
    </w:p>
    <w:p>
      <w:pPr>
        <w:pStyle w:val="BodyText"/>
        <w:spacing w:line="266" w:lineRule="auto" w:before="285"/>
        <w:ind w:left="319" w:right="1077"/>
        <w:jc w:val="both"/>
      </w:pPr>
      <w:r>
        <w:rPr>
          <w:spacing w:val="-4"/>
        </w:rPr>
        <w:t>Banks,</w:t>
      </w:r>
      <w:r>
        <w:rPr>
          <w:spacing w:val="-10"/>
        </w:rPr>
        <w:t> </w:t>
      </w:r>
      <w:r>
        <w:rPr>
          <w:spacing w:val="-4"/>
        </w:rPr>
        <w:t>Venture</w:t>
      </w:r>
      <w:r>
        <w:rPr>
          <w:spacing w:val="-10"/>
        </w:rPr>
        <w:t> </w:t>
      </w:r>
      <w:r>
        <w:rPr>
          <w:spacing w:val="-4"/>
        </w:rPr>
        <w:t>Capitalists,</w:t>
      </w:r>
      <w:r>
        <w:rPr>
          <w:spacing w:val="-10"/>
        </w:rPr>
        <w:t> </w:t>
      </w:r>
      <w:r>
        <w:rPr>
          <w:spacing w:val="-4"/>
        </w:rPr>
        <w:t>Angel</w:t>
      </w:r>
      <w:r>
        <w:rPr>
          <w:spacing w:val="-9"/>
        </w:rPr>
        <w:t> </w:t>
      </w:r>
      <w:r>
        <w:rPr>
          <w:spacing w:val="-4"/>
        </w:rPr>
        <w:t>Investors</w:t>
      </w:r>
      <w:r>
        <w:rPr>
          <w:spacing w:val="-10"/>
        </w:rPr>
        <w:t> </w:t>
      </w:r>
      <w:r>
        <w:rPr>
          <w:spacing w:val="-4"/>
        </w:rPr>
        <w:t>etc.</w:t>
      </w:r>
      <w:r>
        <w:rPr>
          <w:spacing w:val="-10"/>
        </w:rPr>
        <w:t> </w:t>
      </w:r>
      <w:r>
        <w:rPr>
          <w:spacing w:val="-4"/>
        </w:rPr>
        <w:t>need</w:t>
      </w:r>
      <w:r>
        <w:rPr>
          <w:spacing w:val="-10"/>
        </w:rPr>
        <w:t> </w:t>
      </w:r>
      <w:r>
        <w:rPr>
          <w:spacing w:val="-4"/>
        </w:rPr>
        <w:t>to </w:t>
      </w:r>
      <w:r>
        <w:rPr>
          <w:spacing w:val="-6"/>
        </w:rPr>
        <w:t>be</w:t>
      </w:r>
      <w:r>
        <w:rPr>
          <w:spacing w:val="-8"/>
        </w:rPr>
        <w:t> </w:t>
      </w:r>
      <w:r>
        <w:rPr>
          <w:spacing w:val="-6"/>
        </w:rPr>
        <w:t>more</w:t>
      </w:r>
      <w:r>
        <w:rPr>
          <w:spacing w:val="-8"/>
        </w:rPr>
        <w:t> </w:t>
      </w:r>
      <w:r>
        <w:rPr>
          <w:spacing w:val="-6"/>
        </w:rPr>
        <w:t>proactive</w:t>
      </w:r>
      <w:r>
        <w:rPr>
          <w:spacing w:val="-8"/>
        </w:rPr>
        <w:t> </w:t>
      </w:r>
      <w:r>
        <w:rPr>
          <w:spacing w:val="-6"/>
        </w:rPr>
        <w:t>in</w:t>
      </w:r>
      <w:r>
        <w:rPr>
          <w:spacing w:val="-7"/>
        </w:rPr>
        <w:t> </w:t>
      </w:r>
      <w:r>
        <w:rPr>
          <w:spacing w:val="-6"/>
        </w:rPr>
        <w:t>assessing</w:t>
      </w:r>
      <w:r>
        <w:rPr>
          <w:spacing w:val="-8"/>
        </w:rPr>
        <w:t> </w:t>
      </w:r>
      <w:r>
        <w:rPr>
          <w:spacing w:val="-6"/>
        </w:rPr>
        <w:t>the</w:t>
      </w:r>
      <w:r>
        <w:rPr>
          <w:spacing w:val="-8"/>
        </w:rPr>
        <w:t> </w:t>
      </w:r>
      <w:r>
        <w:rPr>
          <w:spacing w:val="-6"/>
        </w:rPr>
        <w:t>business</w:t>
      </w:r>
      <w:r>
        <w:rPr>
          <w:spacing w:val="-8"/>
        </w:rPr>
        <w:t> </w:t>
      </w:r>
      <w:r>
        <w:rPr>
          <w:spacing w:val="-6"/>
        </w:rPr>
        <w:t>opportunities </w:t>
      </w:r>
      <w:r>
        <w:rPr/>
        <w:t>generated by Indian entrepreneurs.</w:t>
      </w:r>
    </w:p>
    <w:p>
      <w:pPr>
        <w:pStyle w:val="Heading6"/>
        <w:numPr>
          <w:ilvl w:val="0"/>
          <w:numId w:val="60"/>
        </w:numPr>
        <w:tabs>
          <w:tab w:pos="624" w:val="left" w:leader="none"/>
        </w:tabs>
        <w:spacing w:line="240" w:lineRule="auto" w:before="224" w:after="0"/>
        <w:ind w:left="624" w:right="0" w:hanging="305"/>
        <w:jc w:val="left"/>
      </w:pPr>
      <w:r>
        <w:rPr>
          <w:color w:val="2E614A"/>
          <w:spacing w:val="-4"/>
          <w:w w:val="90"/>
        </w:rPr>
        <w:t>Incentives</w:t>
      </w:r>
      <w:r>
        <w:rPr>
          <w:color w:val="2E614A"/>
          <w:spacing w:val="-8"/>
          <w:w w:val="90"/>
        </w:rPr>
        <w:t> </w:t>
      </w:r>
      <w:r>
        <w:rPr>
          <w:color w:val="2E614A"/>
          <w:spacing w:val="-4"/>
          <w:w w:val="90"/>
        </w:rPr>
        <w:t>for</w:t>
      </w:r>
      <w:r>
        <w:rPr>
          <w:color w:val="2E614A"/>
          <w:spacing w:val="-8"/>
          <w:w w:val="90"/>
        </w:rPr>
        <w:t> </w:t>
      </w:r>
      <w:r>
        <w:rPr>
          <w:color w:val="2E614A"/>
          <w:spacing w:val="-4"/>
          <w:w w:val="90"/>
        </w:rPr>
        <w:t>Seed</w:t>
      </w:r>
      <w:r>
        <w:rPr>
          <w:color w:val="2E614A"/>
          <w:spacing w:val="-8"/>
          <w:w w:val="90"/>
        </w:rPr>
        <w:t> </w:t>
      </w:r>
      <w:r>
        <w:rPr>
          <w:color w:val="2E614A"/>
          <w:spacing w:val="-4"/>
          <w:w w:val="90"/>
        </w:rPr>
        <w:t>Capital</w:t>
      </w:r>
      <w:r>
        <w:rPr>
          <w:color w:val="2E614A"/>
          <w:spacing w:val="-7"/>
          <w:w w:val="90"/>
        </w:rPr>
        <w:t> </w:t>
      </w:r>
      <w:r>
        <w:rPr>
          <w:color w:val="2E614A"/>
          <w:spacing w:val="-4"/>
          <w:w w:val="90"/>
        </w:rPr>
        <w:t>Funding</w:t>
      </w:r>
    </w:p>
    <w:p>
      <w:pPr>
        <w:pStyle w:val="ListParagraph"/>
        <w:numPr>
          <w:ilvl w:val="1"/>
          <w:numId w:val="60"/>
        </w:numPr>
        <w:tabs>
          <w:tab w:pos="679" w:val="left" w:leader="none"/>
        </w:tabs>
        <w:spacing w:line="266" w:lineRule="auto" w:before="285" w:after="0"/>
        <w:ind w:left="679" w:right="1078" w:hanging="360"/>
        <w:jc w:val="both"/>
        <w:rPr>
          <w:sz w:val="22"/>
        </w:rPr>
      </w:pPr>
      <w:r>
        <w:rPr>
          <w:w w:val="90"/>
          <w:sz w:val="22"/>
        </w:rPr>
        <w:t>Establish a secondary market for smaller companies, which provides exit options to the seed stage </w:t>
      </w:r>
      <w:r>
        <w:rPr>
          <w:w w:val="90"/>
          <w:sz w:val="22"/>
        </w:rPr>
        <w:t>investor </w:t>
      </w:r>
      <w:r>
        <w:rPr>
          <w:sz w:val="22"/>
        </w:rPr>
        <w:t>and value addition for the entrepreneur.</w:t>
      </w:r>
    </w:p>
    <w:p>
      <w:pPr>
        <w:pStyle w:val="ListParagraph"/>
        <w:numPr>
          <w:ilvl w:val="1"/>
          <w:numId w:val="60"/>
        </w:numPr>
        <w:tabs>
          <w:tab w:pos="679" w:val="left" w:leader="none"/>
        </w:tabs>
        <w:spacing w:line="266" w:lineRule="auto" w:before="0" w:after="0"/>
        <w:ind w:left="679" w:right="1077" w:hanging="360"/>
        <w:jc w:val="both"/>
        <w:rPr>
          <w:sz w:val="22"/>
        </w:rPr>
      </w:pPr>
      <w:r>
        <w:rPr>
          <w:sz w:val="22"/>
        </w:rPr>
        <w:t>Create new instruments and institutions </w:t>
      </w:r>
      <w:r>
        <w:rPr>
          <w:sz w:val="22"/>
        </w:rPr>
        <w:t>for</w:t>
      </w:r>
      <w:r>
        <w:rPr>
          <w:spacing w:val="80"/>
          <w:sz w:val="22"/>
        </w:rPr>
        <w:t> </w:t>
      </w:r>
      <w:r>
        <w:rPr>
          <w:sz w:val="22"/>
        </w:rPr>
        <w:t>start-up</w:t>
      </w:r>
      <w:r>
        <w:rPr>
          <w:spacing w:val="-2"/>
          <w:sz w:val="22"/>
        </w:rPr>
        <w:t> </w:t>
      </w:r>
      <w:r>
        <w:rPr>
          <w:sz w:val="22"/>
        </w:rPr>
        <w:t>funding,</w:t>
      </w:r>
      <w:r>
        <w:rPr>
          <w:spacing w:val="-2"/>
          <w:sz w:val="22"/>
        </w:rPr>
        <w:t> </w:t>
      </w:r>
      <w:r>
        <w:rPr>
          <w:sz w:val="22"/>
        </w:rPr>
        <w:t>involving</w:t>
      </w:r>
      <w:r>
        <w:rPr>
          <w:spacing w:val="-2"/>
          <w:sz w:val="22"/>
        </w:rPr>
        <w:t> </w:t>
      </w:r>
      <w:r>
        <w:rPr>
          <w:sz w:val="22"/>
        </w:rPr>
        <w:t>multiple</w:t>
      </w:r>
      <w:r>
        <w:rPr>
          <w:spacing w:val="-2"/>
          <w:sz w:val="22"/>
        </w:rPr>
        <w:t> </w:t>
      </w:r>
      <w:r>
        <w:rPr>
          <w:sz w:val="22"/>
        </w:rPr>
        <w:t>stakeholders (public and private).</w:t>
      </w:r>
    </w:p>
    <w:p>
      <w:pPr>
        <w:pStyle w:val="BodyText"/>
        <w:spacing w:before="39"/>
      </w:pPr>
    </w:p>
    <w:p>
      <w:pPr>
        <w:pStyle w:val="Heading6"/>
        <w:numPr>
          <w:ilvl w:val="0"/>
          <w:numId w:val="60"/>
        </w:numPr>
        <w:tabs>
          <w:tab w:pos="643" w:val="left" w:leader="none"/>
          <w:tab w:pos="645" w:val="left" w:leader="none"/>
        </w:tabs>
        <w:spacing w:line="196" w:lineRule="auto" w:before="0" w:after="0"/>
        <w:ind w:left="645" w:right="2444" w:hanging="327"/>
        <w:jc w:val="left"/>
      </w:pPr>
      <w:r>
        <w:rPr>
          <w:color w:val="2E614A"/>
          <w:w w:val="90"/>
        </w:rPr>
        <w:t>Business Incubation </w:t>
      </w:r>
      <w:r>
        <w:rPr>
          <w:color w:val="2E614A"/>
          <w:w w:val="90"/>
        </w:rPr>
        <w:t>for </w:t>
      </w:r>
      <w:r>
        <w:rPr>
          <w:color w:val="2E614A"/>
          <w:spacing w:val="-6"/>
        </w:rPr>
        <w:t>Entrepreneurs</w:t>
      </w:r>
      <w:r>
        <w:rPr>
          <w:color w:val="2E614A"/>
          <w:spacing w:val="-14"/>
        </w:rPr>
        <w:t> </w:t>
      </w:r>
      <w:r>
        <w:rPr>
          <w:color w:val="2E614A"/>
          <w:spacing w:val="-6"/>
        </w:rPr>
        <w:t>(BIE)</w:t>
      </w:r>
    </w:p>
    <w:p>
      <w:pPr>
        <w:pStyle w:val="BodyText"/>
        <w:spacing w:line="266" w:lineRule="auto" w:before="296"/>
        <w:ind w:left="319" w:right="1077"/>
        <w:jc w:val="both"/>
      </w:pPr>
      <w:r>
        <w:rPr/>
        <w:t>Develop</w:t>
      </w:r>
      <w:r>
        <w:rPr>
          <w:spacing w:val="-12"/>
        </w:rPr>
        <w:t> </w:t>
      </w:r>
      <w:r>
        <w:rPr/>
        <w:t>and</w:t>
      </w:r>
      <w:r>
        <w:rPr>
          <w:spacing w:val="-12"/>
        </w:rPr>
        <w:t> </w:t>
      </w:r>
      <w:r>
        <w:rPr/>
        <w:t>put</w:t>
      </w:r>
      <w:r>
        <w:rPr>
          <w:spacing w:val="-12"/>
        </w:rPr>
        <w:t> </w:t>
      </w:r>
      <w:r>
        <w:rPr/>
        <w:t>in</w:t>
      </w:r>
      <w:r>
        <w:rPr>
          <w:spacing w:val="-12"/>
        </w:rPr>
        <w:t> </w:t>
      </w:r>
      <w:r>
        <w:rPr/>
        <w:t>place</w:t>
      </w:r>
      <w:r>
        <w:rPr>
          <w:spacing w:val="-12"/>
        </w:rPr>
        <w:t> </w:t>
      </w:r>
      <w:r>
        <w:rPr/>
        <w:t>a</w:t>
      </w:r>
      <w:r>
        <w:rPr>
          <w:spacing w:val="-12"/>
        </w:rPr>
        <w:t> </w:t>
      </w:r>
      <w:r>
        <w:rPr/>
        <w:t>comprehensive</w:t>
      </w:r>
      <w:r>
        <w:rPr>
          <w:spacing w:val="-12"/>
        </w:rPr>
        <w:t> </w:t>
      </w:r>
      <w:r>
        <w:rPr/>
        <w:t>BIE</w:t>
      </w:r>
      <w:r>
        <w:rPr>
          <w:spacing w:val="-12"/>
        </w:rPr>
        <w:t> </w:t>
      </w:r>
      <w:r>
        <w:rPr/>
        <w:t>policy </w:t>
      </w:r>
      <w:r>
        <w:rPr>
          <w:spacing w:val="-6"/>
        </w:rPr>
        <w:t>to increase quantity, enhance quality and increase access </w:t>
      </w:r>
      <w:r>
        <w:rPr/>
        <w:t>to financing.</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60"/>
        </w:numPr>
        <w:tabs>
          <w:tab w:pos="1405" w:val="left" w:leader="none"/>
        </w:tabs>
        <w:spacing w:line="240" w:lineRule="auto" w:before="57" w:after="0"/>
        <w:ind w:left="1405" w:right="0" w:hanging="325"/>
        <w:jc w:val="left"/>
      </w:pPr>
      <w:r>
        <w:rPr>
          <w:color w:val="2E614A"/>
          <w:w w:val="90"/>
        </w:rPr>
        <w:t>Industry-Academia</w:t>
      </w:r>
      <w:r>
        <w:rPr>
          <w:color w:val="2E614A"/>
          <w:spacing w:val="2"/>
        </w:rPr>
        <w:t> </w:t>
      </w:r>
      <w:r>
        <w:rPr>
          <w:color w:val="2E614A"/>
          <w:spacing w:val="-2"/>
          <w:w w:val="90"/>
        </w:rPr>
        <w:t>Synergies</w:t>
      </w:r>
    </w:p>
    <w:p>
      <w:pPr>
        <w:pStyle w:val="ListParagraph"/>
        <w:numPr>
          <w:ilvl w:val="1"/>
          <w:numId w:val="60"/>
        </w:numPr>
        <w:tabs>
          <w:tab w:pos="1439" w:val="left" w:leader="none"/>
        </w:tabs>
        <w:spacing w:line="266" w:lineRule="auto" w:before="285" w:after="0"/>
        <w:ind w:left="1439" w:right="0" w:hanging="360"/>
        <w:jc w:val="both"/>
        <w:rPr>
          <w:sz w:val="22"/>
        </w:rPr>
      </w:pPr>
      <w:r>
        <w:rPr>
          <w:sz w:val="22"/>
        </w:rPr>
        <w:t>Enact a uniform legislation for publicly </w:t>
      </w:r>
      <w:r>
        <w:rPr>
          <w:sz w:val="22"/>
        </w:rPr>
        <w:t>funded </w:t>
      </w:r>
      <w:r>
        <w:rPr>
          <w:spacing w:val="-4"/>
          <w:sz w:val="22"/>
        </w:rPr>
        <w:t>research</w:t>
      </w:r>
      <w:r>
        <w:rPr>
          <w:spacing w:val="-7"/>
          <w:sz w:val="22"/>
        </w:rPr>
        <w:t> </w:t>
      </w:r>
      <w:r>
        <w:rPr>
          <w:spacing w:val="-4"/>
          <w:sz w:val="22"/>
        </w:rPr>
        <w:t>which</w:t>
      </w:r>
      <w:r>
        <w:rPr>
          <w:spacing w:val="-7"/>
          <w:sz w:val="22"/>
        </w:rPr>
        <w:t> </w:t>
      </w:r>
      <w:r>
        <w:rPr>
          <w:spacing w:val="-4"/>
          <w:sz w:val="22"/>
        </w:rPr>
        <w:t>would</w:t>
      </w:r>
      <w:r>
        <w:rPr>
          <w:spacing w:val="-7"/>
          <w:sz w:val="22"/>
        </w:rPr>
        <w:t> </w:t>
      </w:r>
      <w:r>
        <w:rPr>
          <w:spacing w:val="-4"/>
          <w:sz w:val="22"/>
        </w:rPr>
        <w:t>grant</w:t>
      </w:r>
      <w:r>
        <w:rPr>
          <w:spacing w:val="-7"/>
          <w:sz w:val="22"/>
        </w:rPr>
        <w:t> </w:t>
      </w:r>
      <w:r>
        <w:rPr>
          <w:spacing w:val="-4"/>
          <w:sz w:val="22"/>
        </w:rPr>
        <w:t>IP</w:t>
      </w:r>
      <w:r>
        <w:rPr>
          <w:spacing w:val="-7"/>
          <w:sz w:val="22"/>
        </w:rPr>
        <w:t> </w:t>
      </w:r>
      <w:r>
        <w:rPr>
          <w:spacing w:val="-4"/>
          <w:sz w:val="22"/>
        </w:rPr>
        <w:t>rights</w:t>
      </w:r>
      <w:r>
        <w:rPr>
          <w:spacing w:val="-7"/>
          <w:sz w:val="22"/>
        </w:rPr>
        <w:t> </w:t>
      </w:r>
      <w:r>
        <w:rPr>
          <w:spacing w:val="-4"/>
          <w:sz w:val="22"/>
        </w:rPr>
        <w:t>for</w:t>
      </w:r>
      <w:r>
        <w:rPr>
          <w:spacing w:val="-7"/>
          <w:sz w:val="22"/>
        </w:rPr>
        <w:t> </w:t>
      </w:r>
      <w:r>
        <w:rPr>
          <w:spacing w:val="-4"/>
          <w:sz w:val="22"/>
        </w:rPr>
        <w:t>successful </w:t>
      </w:r>
      <w:r>
        <w:rPr>
          <w:sz w:val="22"/>
        </w:rPr>
        <w:t>results</w:t>
      </w:r>
      <w:r>
        <w:rPr>
          <w:spacing w:val="-14"/>
          <w:sz w:val="22"/>
        </w:rPr>
        <w:t> </w:t>
      </w:r>
      <w:r>
        <w:rPr>
          <w:sz w:val="22"/>
        </w:rPr>
        <w:t>of</w:t>
      </w:r>
      <w:r>
        <w:rPr>
          <w:spacing w:val="-14"/>
          <w:sz w:val="22"/>
        </w:rPr>
        <w:t> </w:t>
      </w:r>
      <w:r>
        <w:rPr>
          <w:sz w:val="22"/>
        </w:rPr>
        <w:t>research</w:t>
      </w:r>
      <w:r>
        <w:rPr>
          <w:spacing w:val="-14"/>
          <w:sz w:val="22"/>
        </w:rPr>
        <w:t> </w:t>
      </w:r>
      <w:r>
        <w:rPr>
          <w:sz w:val="22"/>
        </w:rPr>
        <w:t>to</w:t>
      </w:r>
      <w:r>
        <w:rPr>
          <w:spacing w:val="-13"/>
          <w:sz w:val="22"/>
        </w:rPr>
        <w:t> </w:t>
      </w:r>
      <w:r>
        <w:rPr>
          <w:sz w:val="22"/>
        </w:rPr>
        <w:t>universities/research</w:t>
      </w:r>
      <w:r>
        <w:rPr>
          <w:spacing w:val="-14"/>
          <w:sz w:val="22"/>
        </w:rPr>
        <w:t> </w:t>
      </w:r>
      <w:r>
        <w:rPr>
          <w:sz w:val="22"/>
        </w:rPr>
        <w:t>centres and also entitle the inventor to a share of the royalties from commercialisation.</w:t>
      </w:r>
    </w:p>
    <w:p>
      <w:pPr>
        <w:pStyle w:val="ListParagraph"/>
        <w:numPr>
          <w:ilvl w:val="1"/>
          <w:numId w:val="60"/>
        </w:numPr>
        <w:tabs>
          <w:tab w:pos="1439" w:val="left" w:leader="none"/>
        </w:tabs>
        <w:spacing w:line="266" w:lineRule="auto" w:before="0" w:after="0"/>
        <w:ind w:left="1439" w:right="0" w:hanging="360"/>
        <w:jc w:val="both"/>
        <w:rPr>
          <w:sz w:val="22"/>
        </w:rPr>
      </w:pPr>
      <w:r>
        <w:rPr>
          <w:sz w:val="22"/>
        </w:rPr>
        <w:t>Enable Ph.Ds/researchers to set up </w:t>
      </w:r>
      <w:r>
        <w:rPr>
          <w:sz w:val="22"/>
        </w:rPr>
        <w:t>commercial </w:t>
      </w:r>
      <w:r>
        <w:rPr>
          <w:spacing w:val="-6"/>
          <w:sz w:val="22"/>
        </w:rPr>
        <w:t>entities</w:t>
      </w:r>
      <w:r>
        <w:rPr>
          <w:spacing w:val="-8"/>
          <w:sz w:val="22"/>
        </w:rPr>
        <w:t> </w:t>
      </w:r>
      <w:r>
        <w:rPr>
          <w:spacing w:val="-6"/>
          <w:sz w:val="22"/>
        </w:rPr>
        <w:t>while</w:t>
      </w:r>
      <w:r>
        <w:rPr>
          <w:spacing w:val="-8"/>
          <w:sz w:val="22"/>
        </w:rPr>
        <w:t> </w:t>
      </w:r>
      <w:r>
        <w:rPr>
          <w:spacing w:val="-6"/>
          <w:sz w:val="22"/>
        </w:rPr>
        <w:t>engaged</w:t>
      </w:r>
      <w:r>
        <w:rPr>
          <w:spacing w:val="-8"/>
          <w:sz w:val="22"/>
        </w:rPr>
        <w:t> </w:t>
      </w:r>
      <w:r>
        <w:rPr>
          <w:spacing w:val="-6"/>
          <w:sz w:val="22"/>
        </w:rPr>
        <w:t>in</w:t>
      </w:r>
      <w:r>
        <w:rPr>
          <w:spacing w:val="-7"/>
          <w:sz w:val="22"/>
        </w:rPr>
        <w:t> </w:t>
      </w:r>
      <w:r>
        <w:rPr>
          <w:spacing w:val="-6"/>
          <w:sz w:val="22"/>
        </w:rPr>
        <w:t>universities</w:t>
      </w:r>
      <w:r>
        <w:rPr>
          <w:spacing w:val="-8"/>
          <w:sz w:val="22"/>
        </w:rPr>
        <w:t> </w:t>
      </w:r>
      <w:r>
        <w:rPr>
          <w:spacing w:val="-6"/>
          <w:sz w:val="22"/>
        </w:rPr>
        <w:t>or</w:t>
      </w:r>
      <w:r>
        <w:rPr>
          <w:spacing w:val="-8"/>
          <w:sz w:val="22"/>
        </w:rPr>
        <w:t> </w:t>
      </w:r>
      <w:r>
        <w:rPr>
          <w:spacing w:val="-6"/>
          <w:sz w:val="22"/>
        </w:rPr>
        <w:t>professional </w:t>
      </w:r>
      <w:r>
        <w:rPr>
          <w:sz w:val="22"/>
        </w:rPr>
        <w:t>employment, as well as encourage universities/ research organisations to establish commercial enterprises based on their new inventions.</w:t>
      </w:r>
    </w:p>
    <w:p>
      <w:pPr>
        <w:pStyle w:val="Heading6"/>
        <w:numPr>
          <w:ilvl w:val="0"/>
          <w:numId w:val="60"/>
        </w:numPr>
        <w:tabs>
          <w:tab w:pos="1405" w:val="left" w:leader="none"/>
        </w:tabs>
        <w:spacing w:line="240" w:lineRule="auto" w:before="219" w:after="0"/>
        <w:ind w:left="1405" w:right="0" w:hanging="325"/>
        <w:jc w:val="left"/>
      </w:pPr>
      <w:r>
        <w:rPr>
          <w:color w:val="2E614A"/>
          <w:w w:val="90"/>
        </w:rPr>
        <w:t>Entrepreneurship</w:t>
      </w:r>
      <w:r>
        <w:rPr>
          <w:color w:val="2E614A"/>
          <w:spacing w:val="-12"/>
          <w:w w:val="90"/>
        </w:rPr>
        <w:t> </w:t>
      </w:r>
      <w:r>
        <w:rPr>
          <w:color w:val="2E614A"/>
          <w:spacing w:val="-2"/>
        </w:rPr>
        <w:t>Education</w:t>
      </w:r>
    </w:p>
    <w:p>
      <w:pPr>
        <w:pStyle w:val="BodyText"/>
        <w:spacing w:line="266" w:lineRule="auto" w:before="285"/>
        <w:ind w:left="1080"/>
        <w:jc w:val="both"/>
      </w:pPr>
      <w:r>
        <w:rPr/>
        <w:t>Make Entrepreneurship a core subject in </w:t>
      </w:r>
      <w:r>
        <w:rPr/>
        <w:t>business </w:t>
      </w:r>
      <w:r>
        <w:rPr>
          <w:spacing w:val="-6"/>
        </w:rPr>
        <w:t>schools</w:t>
      </w:r>
      <w:r>
        <w:rPr>
          <w:spacing w:val="-8"/>
        </w:rPr>
        <w:t> </w:t>
      </w:r>
      <w:r>
        <w:rPr>
          <w:spacing w:val="-6"/>
        </w:rPr>
        <w:t>and</w:t>
      </w:r>
      <w:r>
        <w:rPr>
          <w:spacing w:val="-8"/>
        </w:rPr>
        <w:t> </w:t>
      </w:r>
      <w:r>
        <w:rPr>
          <w:spacing w:val="-6"/>
        </w:rPr>
        <w:t>explore</w:t>
      </w:r>
      <w:r>
        <w:rPr>
          <w:spacing w:val="-8"/>
        </w:rPr>
        <w:t> </w:t>
      </w:r>
      <w:r>
        <w:rPr>
          <w:spacing w:val="-6"/>
        </w:rPr>
        <w:t>possibilities</w:t>
      </w:r>
      <w:r>
        <w:rPr>
          <w:spacing w:val="-7"/>
        </w:rPr>
        <w:t> </w:t>
      </w:r>
      <w:r>
        <w:rPr>
          <w:spacing w:val="-6"/>
        </w:rPr>
        <w:t>of</w:t>
      </w:r>
      <w:r>
        <w:rPr>
          <w:spacing w:val="-8"/>
        </w:rPr>
        <w:t> </w:t>
      </w:r>
      <w:r>
        <w:rPr>
          <w:spacing w:val="-6"/>
        </w:rPr>
        <w:t>setting</w:t>
      </w:r>
      <w:r>
        <w:rPr>
          <w:spacing w:val="-8"/>
        </w:rPr>
        <w:t> </w:t>
      </w:r>
      <w:r>
        <w:rPr>
          <w:spacing w:val="-6"/>
        </w:rPr>
        <w:t>up</w:t>
      </w:r>
      <w:r>
        <w:rPr>
          <w:spacing w:val="-8"/>
        </w:rPr>
        <w:t> </w:t>
      </w:r>
      <w:r>
        <w:rPr>
          <w:spacing w:val="-6"/>
        </w:rPr>
        <w:t>specialised </w:t>
      </w:r>
      <w:r>
        <w:rPr/>
        <w:t>entrepreneurship schools at the under-graduate and post-graduate levels.</w:t>
      </w:r>
    </w:p>
    <w:p>
      <w:pPr>
        <w:pStyle w:val="BodyText"/>
        <w:spacing w:before="9"/>
      </w:pPr>
    </w:p>
    <w:p>
      <w:pPr>
        <w:pStyle w:val="Heading6"/>
        <w:numPr>
          <w:ilvl w:val="0"/>
          <w:numId w:val="60"/>
        </w:numPr>
        <w:tabs>
          <w:tab w:pos="1382" w:val="left" w:leader="none"/>
          <w:tab w:pos="1385" w:val="left" w:leader="none"/>
        </w:tabs>
        <w:spacing w:line="208" w:lineRule="auto" w:before="1" w:after="0"/>
        <w:ind w:left="1385" w:right="56" w:hanging="306"/>
        <w:jc w:val="left"/>
      </w:pPr>
      <w:r>
        <w:rPr>
          <w:color w:val="2E614A"/>
          <w:w w:val="90"/>
        </w:rPr>
        <w:t>Vocational</w:t>
      </w:r>
      <w:r>
        <w:rPr>
          <w:color w:val="2E614A"/>
          <w:spacing w:val="-14"/>
          <w:w w:val="90"/>
        </w:rPr>
        <w:t> </w:t>
      </w:r>
      <w:r>
        <w:rPr>
          <w:color w:val="2E614A"/>
          <w:w w:val="90"/>
        </w:rPr>
        <w:t>Education</w:t>
      </w:r>
      <w:r>
        <w:rPr>
          <w:color w:val="2E614A"/>
          <w:spacing w:val="-12"/>
          <w:w w:val="90"/>
        </w:rPr>
        <w:t> </w:t>
      </w:r>
      <w:r>
        <w:rPr>
          <w:color w:val="2E614A"/>
          <w:w w:val="90"/>
        </w:rPr>
        <w:t>and</w:t>
      </w:r>
      <w:r>
        <w:rPr>
          <w:color w:val="2E614A"/>
          <w:spacing w:val="-12"/>
          <w:w w:val="90"/>
        </w:rPr>
        <w:t> </w:t>
      </w:r>
      <w:r>
        <w:rPr>
          <w:color w:val="2E614A"/>
          <w:w w:val="90"/>
        </w:rPr>
        <w:t>Training </w:t>
      </w:r>
      <w:r>
        <w:rPr>
          <w:color w:val="2E614A"/>
          <w:spacing w:val="-4"/>
        </w:rPr>
        <w:t>(VET)/Skill</w:t>
      </w:r>
      <w:r>
        <w:rPr>
          <w:color w:val="2E614A"/>
          <w:spacing w:val="-16"/>
        </w:rPr>
        <w:t> </w:t>
      </w:r>
      <w:r>
        <w:rPr>
          <w:color w:val="2E614A"/>
          <w:spacing w:val="-4"/>
        </w:rPr>
        <w:t>Development</w:t>
      </w:r>
    </w:p>
    <w:p>
      <w:pPr>
        <w:pStyle w:val="BodyText"/>
        <w:spacing w:before="294"/>
        <w:ind w:left="1080"/>
      </w:pPr>
      <w:r>
        <w:rPr>
          <w:spacing w:val="-4"/>
        </w:rPr>
        <w:t>Modernise</w:t>
      </w:r>
      <w:r>
        <w:rPr>
          <w:spacing w:val="-7"/>
        </w:rPr>
        <w:t> </w:t>
      </w:r>
      <w:r>
        <w:rPr>
          <w:spacing w:val="-4"/>
        </w:rPr>
        <w:t>VET</w:t>
      </w:r>
      <w:r>
        <w:rPr>
          <w:spacing w:val="-3"/>
        </w:rPr>
        <w:t> </w:t>
      </w:r>
      <w:r>
        <w:rPr>
          <w:spacing w:val="-4"/>
        </w:rPr>
        <w:t>by</w:t>
      </w:r>
      <w:r>
        <w:rPr>
          <w:spacing w:val="-3"/>
        </w:rPr>
        <w:t> </w:t>
      </w:r>
      <w:r>
        <w:rPr>
          <w:spacing w:val="-4"/>
        </w:rPr>
        <w:t>formalising:</w:t>
      </w:r>
    </w:p>
    <w:p>
      <w:pPr>
        <w:pStyle w:val="ListParagraph"/>
        <w:numPr>
          <w:ilvl w:val="1"/>
          <w:numId w:val="60"/>
        </w:numPr>
        <w:tabs>
          <w:tab w:pos="1780" w:val="left" w:leader="none"/>
        </w:tabs>
        <w:spacing w:line="240" w:lineRule="auto" w:before="27" w:after="0"/>
        <w:ind w:left="1780" w:right="0" w:hanging="320"/>
        <w:jc w:val="left"/>
        <w:rPr>
          <w:sz w:val="22"/>
        </w:rPr>
      </w:pPr>
      <w:r>
        <w:rPr>
          <w:spacing w:val="-4"/>
          <w:sz w:val="22"/>
        </w:rPr>
        <w:t>Performance</w:t>
      </w:r>
      <w:r>
        <w:rPr>
          <w:spacing w:val="-3"/>
          <w:sz w:val="22"/>
        </w:rPr>
        <w:t> </w:t>
      </w:r>
      <w:r>
        <w:rPr>
          <w:spacing w:val="-4"/>
          <w:sz w:val="22"/>
        </w:rPr>
        <w:t>based</w:t>
      </w:r>
      <w:r>
        <w:rPr>
          <w:spacing w:val="-3"/>
          <w:sz w:val="22"/>
        </w:rPr>
        <w:t> </w:t>
      </w:r>
      <w:r>
        <w:rPr>
          <w:spacing w:val="-4"/>
          <w:sz w:val="22"/>
        </w:rPr>
        <w:t>training</w:t>
      </w:r>
      <w:r>
        <w:rPr>
          <w:spacing w:val="-3"/>
          <w:sz w:val="22"/>
        </w:rPr>
        <w:t> </w:t>
      </w:r>
      <w:r>
        <w:rPr>
          <w:spacing w:val="-4"/>
          <w:sz w:val="22"/>
        </w:rPr>
        <w:t>and</w:t>
      </w:r>
      <w:r>
        <w:rPr>
          <w:spacing w:val="-2"/>
          <w:sz w:val="22"/>
        </w:rPr>
        <w:t> </w:t>
      </w:r>
      <w:r>
        <w:rPr>
          <w:spacing w:val="-4"/>
          <w:sz w:val="22"/>
        </w:rPr>
        <w:t>assessment</w:t>
      </w:r>
    </w:p>
    <w:p>
      <w:pPr>
        <w:pStyle w:val="ListParagraph"/>
        <w:numPr>
          <w:ilvl w:val="1"/>
          <w:numId w:val="60"/>
        </w:numPr>
        <w:tabs>
          <w:tab w:pos="1780" w:val="left" w:leader="none"/>
        </w:tabs>
        <w:spacing w:line="240" w:lineRule="auto" w:before="27" w:after="0"/>
        <w:ind w:left="1780" w:right="0" w:hanging="320"/>
        <w:jc w:val="left"/>
        <w:rPr>
          <w:sz w:val="22"/>
        </w:rPr>
      </w:pPr>
      <w:r>
        <w:rPr>
          <w:spacing w:val="-6"/>
          <w:sz w:val="22"/>
        </w:rPr>
        <w:t>Innovative</w:t>
      </w:r>
      <w:r>
        <w:rPr>
          <w:spacing w:val="-3"/>
          <w:sz w:val="22"/>
        </w:rPr>
        <w:t> </w:t>
      </w:r>
      <w:r>
        <w:rPr>
          <w:spacing w:val="-6"/>
          <w:sz w:val="22"/>
        </w:rPr>
        <w:t>delivery</w:t>
      </w:r>
      <w:r>
        <w:rPr>
          <w:spacing w:val="-3"/>
          <w:sz w:val="22"/>
        </w:rPr>
        <w:t> </w:t>
      </w:r>
      <w:r>
        <w:rPr>
          <w:spacing w:val="-6"/>
          <w:sz w:val="22"/>
        </w:rPr>
        <w:t>models</w:t>
      </w:r>
    </w:p>
    <w:p>
      <w:pPr>
        <w:pStyle w:val="ListParagraph"/>
        <w:numPr>
          <w:ilvl w:val="2"/>
          <w:numId w:val="60"/>
        </w:numPr>
        <w:tabs>
          <w:tab w:pos="1019" w:val="left" w:leader="none"/>
        </w:tabs>
        <w:spacing w:line="240" w:lineRule="auto" w:before="77" w:after="0"/>
        <w:ind w:left="1019" w:right="0" w:hanging="320"/>
        <w:jc w:val="left"/>
        <w:rPr>
          <w:sz w:val="22"/>
        </w:rPr>
      </w:pPr>
      <w:r>
        <w:rPr/>
        <w:br w:type="column"/>
      </w:r>
      <w:r>
        <w:rPr>
          <w:spacing w:val="-4"/>
          <w:sz w:val="22"/>
        </w:rPr>
        <w:t>Incentives to</w:t>
      </w:r>
      <w:r>
        <w:rPr>
          <w:spacing w:val="-3"/>
          <w:sz w:val="22"/>
        </w:rPr>
        <w:t> </w:t>
      </w:r>
      <w:r>
        <w:rPr>
          <w:spacing w:val="-4"/>
          <w:sz w:val="22"/>
        </w:rPr>
        <w:t>states</w:t>
      </w:r>
    </w:p>
    <w:p>
      <w:pPr>
        <w:pStyle w:val="ListParagraph"/>
        <w:numPr>
          <w:ilvl w:val="2"/>
          <w:numId w:val="60"/>
        </w:numPr>
        <w:tabs>
          <w:tab w:pos="1019" w:val="left" w:leader="none"/>
        </w:tabs>
        <w:spacing w:line="240" w:lineRule="auto" w:before="49" w:after="0"/>
        <w:ind w:left="1019" w:right="0" w:hanging="320"/>
        <w:jc w:val="left"/>
        <w:rPr>
          <w:sz w:val="22"/>
        </w:rPr>
      </w:pPr>
      <w:r>
        <w:rPr>
          <w:spacing w:val="-10"/>
          <w:sz w:val="22"/>
        </w:rPr>
        <w:t>Skills</w:t>
      </w:r>
      <w:r>
        <w:rPr>
          <w:spacing w:val="-5"/>
          <w:sz w:val="22"/>
        </w:rPr>
        <w:t> </w:t>
      </w:r>
      <w:r>
        <w:rPr>
          <w:spacing w:val="-10"/>
          <w:sz w:val="22"/>
        </w:rPr>
        <w:t>in</w:t>
      </w:r>
      <w:r>
        <w:rPr>
          <w:spacing w:val="-4"/>
          <w:sz w:val="22"/>
        </w:rPr>
        <w:t> </w:t>
      </w:r>
      <w:r>
        <w:rPr>
          <w:spacing w:val="-10"/>
          <w:sz w:val="22"/>
        </w:rPr>
        <w:t>spoken</w:t>
      </w:r>
      <w:r>
        <w:rPr>
          <w:spacing w:val="-4"/>
          <w:sz w:val="22"/>
        </w:rPr>
        <w:t> </w:t>
      </w:r>
      <w:r>
        <w:rPr>
          <w:spacing w:val="-10"/>
          <w:sz w:val="22"/>
        </w:rPr>
        <w:t>and</w:t>
      </w:r>
      <w:r>
        <w:rPr>
          <w:spacing w:val="-4"/>
          <w:sz w:val="22"/>
        </w:rPr>
        <w:t> </w:t>
      </w:r>
      <w:r>
        <w:rPr>
          <w:spacing w:val="-10"/>
          <w:sz w:val="22"/>
        </w:rPr>
        <w:t>written</w:t>
      </w:r>
      <w:r>
        <w:rPr>
          <w:spacing w:val="-5"/>
          <w:sz w:val="22"/>
        </w:rPr>
        <w:t> </w:t>
      </w:r>
      <w:r>
        <w:rPr>
          <w:spacing w:val="-10"/>
          <w:sz w:val="22"/>
        </w:rPr>
        <w:t>English</w:t>
      </w:r>
      <w:r>
        <w:rPr>
          <w:spacing w:val="-4"/>
          <w:sz w:val="22"/>
        </w:rPr>
        <w:t> </w:t>
      </w:r>
      <w:r>
        <w:rPr>
          <w:spacing w:val="-10"/>
          <w:sz w:val="22"/>
        </w:rPr>
        <w:t>as</w:t>
      </w:r>
      <w:r>
        <w:rPr>
          <w:spacing w:val="-4"/>
          <w:sz w:val="22"/>
        </w:rPr>
        <w:t> </w:t>
      </w:r>
      <w:r>
        <w:rPr>
          <w:spacing w:val="-10"/>
          <w:sz w:val="22"/>
        </w:rPr>
        <w:t>a</w:t>
      </w:r>
      <w:r>
        <w:rPr>
          <w:spacing w:val="-4"/>
          <w:sz w:val="22"/>
        </w:rPr>
        <w:t> </w:t>
      </w:r>
      <w:r>
        <w:rPr>
          <w:spacing w:val="-10"/>
          <w:sz w:val="22"/>
        </w:rPr>
        <w:t>priority</w:t>
      </w:r>
    </w:p>
    <w:p>
      <w:pPr>
        <w:pStyle w:val="ListParagraph"/>
        <w:numPr>
          <w:ilvl w:val="2"/>
          <w:numId w:val="60"/>
        </w:numPr>
        <w:tabs>
          <w:tab w:pos="1019" w:val="left" w:leader="none"/>
        </w:tabs>
        <w:spacing w:line="240" w:lineRule="auto" w:before="49" w:after="0"/>
        <w:ind w:left="1019" w:right="0" w:hanging="320"/>
        <w:jc w:val="left"/>
        <w:rPr>
          <w:sz w:val="22"/>
        </w:rPr>
      </w:pPr>
      <w:r>
        <w:rPr>
          <w:spacing w:val="-10"/>
          <w:sz w:val="22"/>
        </w:rPr>
        <w:t>A</w:t>
      </w:r>
      <w:r>
        <w:rPr>
          <w:spacing w:val="5"/>
          <w:sz w:val="22"/>
        </w:rPr>
        <w:t> </w:t>
      </w:r>
      <w:r>
        <w:rPr>
          <w:spacing w:val="-10"/>
          <w:sz w:val="22"/>
        </w:rPr>
        <w:t>transparent</w:t>
      </w:r>
      <w:r>
        <w:rPr>
          <w:spacing w:val="5"/>
          <w:sz w:val="22"/>
        </w:rPr>
        <w:t> </w:t>
      </w:r>
      <w:r>
        <w:rPr>
          <w:spacing w:val="-10"/>
          <w:sz w:val="22"/>
        </w:rPr>
        <w:t>industry</w:t>
      </w:r>
      <w:r>
        <w:rPr>
          <w:spacing w:val="5"/>
          <w:sz w:val="22"/>
        </w:rPr>
        <w:t> </w:t>
      </w:r>
      <w:r>
        <w:rPr>
          <w:spacing w:val="-10"/>
          <w:sz w:val="22"/>
        </w:rPr>
        <w:t>based</w:t>
      </w:r>
      <w:r>
        <w:rPr>
          <w:spacing w:val="6"/>
          <w:sz w:val="22"/>
        </w:rPr>
        <w:t> </w:t>
      </w:r>
      <w:r>
        <w:rPr>
          <w:spacing w:val="-10"/>
          <w:sz w:val="22"/>
        </w:rPr>
        <w:t>certification</w:t>
      </w:r>
      <w:r>
        <w:rPr>
          <w:spacing w:val="5"/>
          <w:sz w:val="22"/>
        </w:rPr>
        <w:t> </w:t>
      </w:r>
      <w:r>
        <w:rPr>
          <w:spacing w:val="-10"/>
          <w:sz w:val="22"/>
        </w:rPr>
        <w:t>system</w:t>
      </w:r>
    </w:p>
    <w:p>
      <w:pPr>
        <w:pStyle w:val="ListParagraph"/>
        <w:numPr>
          <w:ilvl w:val="2"/>
          <w:numId w:val="60"/>
        </w:numPr>
        <w:tabs>
          <w:tab w:pos="1019" w:val="left" w:leader="none"/>
        </w:tabs>
        <w:spacing w:line="240" w:lineRule="auto" w:before="48" w:after="0"/>
        <w:ind w:left="1019" w:right="0" w:hanging="320"/>
        <w:jc w:val="left"/>
        <w:rPr>
          <w:sz w:val="22"/>
        </w:rPr>
      </w:pPr>
      <w:r>
        <w:rPr>
          <w:spacing w:val="-10"/>
          <w:sz w:val="22"/>
        </w:rPr>
        <w:t>A</w:t>
      </w:r>
      <w:r>
        <w:rPr>
          <w:spacing w:val="-1"/>
          <w:sz w:val="22"/>
        </w:rPr>
        <w:t> </w:t>
      </w:r>
      <w:r>
        <w:rPr>
          <w:spacing w:val="-10"/>
          <w:sz w:val="22"/>
        </w:rPr>
        <w:t>transparent</w:t>
      </w:r>
      <w:r>
        <w:rPr>
          <w:sz w:val="22"/>
        </w:rPr>
        <w:t> </w:t>
      </w:r>
      <w:r>
        <w:rPr>
          <w:spacing w:val="-10"/>
          <w:sz w:val="22"/>
        </w:rPr>
        <w:t>rating</w:t>
      </w:r>
      <w:r>
        <w:rPr>
          <w:sz w:val="22"/>
        </w:rPr>
        <w:t> </w:t>
      </w:r>
      <w:r>
        <w:rPr>
          <w:spacing w:val="-10"/>
          <w:sz w:val="22"/>
        </w:rPr>
        <w:t>system</w:t>
      </w:r>
      <w:r>
        <w:rPr>
          <w:spacing w:val="-1"/>
          <w:sz w:val="22"/>
        </w:rPr>
        <w:t> </w:t>
      </w:r>
      <w:r>
        <w:rPr>
          <w:spacing w:val="-10"/>
          <w:sz w:val="22"/>
        </w:rPr>
        <w:t>for</w:t>
      </w:r>
      <w:r>
        <w:rPr>
          <w:spacing w:val="-5"/>
          <w:sz w:val="22"/>
        </w:rPr>
        <w:t> </w:t>
      </w:r>
      <w:r>
        <w:rPr>
          <w:spacing w:val="-10"/>
          <w:sz w:val="22"/>
        </w:rPr>
        <w:t>VET</w:t>
      </w:r>
      <w:r>
        <w:rPr>
          <w:sz w:val="22"/>
        </w:rPr>
        <w:t> </w:t>
      </w:r>
      <w:r>
        <w:rPr>
          <w:spacing w:val="-10"/>
          <w:sz w:val="22"/>
        </w:rPr>
        <w:t>institutions</w:t>
      </w:r>
    </w:p>
    <w:p>
      <w:pPr>
        <w:pStyle w:val="BodyText"/>
        <w:spacing w:before="40"/>
      </w:pPr>
    </w:p>
    <w:p>
      <w:pPr>
        <w:pStyle w:val="Heading6"/>
        <w:numPr>
          <w:ilvl w:val="0"/>
          <w:numId w:val="60"/>
        </w:numPr>
        <w:tabs>
          <w:tab w:pos="809" w:val="left" w:leader="none"/>
        </w:tabs>
        <w:spacing w:line="208" w:lineRule="auto" w:before="0" w:after="0"/>
        <w:ind w:left="809" w:right="1858" w:hanging="490"/>
        <w:jc w:val="left"/>
      </w:pPr>
      <w:r>
        <w:rPr>
          <w:color w:val="2E614A"/>
          <w:w w:val="90"/>
        </w:rPr>
        <w:t>Promoting </w:t>
      </w:r>
      <w:r>
        <w:rPr>
          <w:color w:val="2E614A"/>
          <w:w w:val="90"/>
        </w:rPr>
        <w:t>Entrepreneurial </w:t>
      </w:r>
      <w:r>
        <w:rPr>
          <w:color w:val="2E614A"/>
          <w:spacing w:val="-2"/>
        </w:rPr>
        <w:t>Culture</w:t>
      </w:r>
    </w:p>
    <w:p>
      <w:pPr>
        <w:pStyle w:val="ListParagraph"/>
        <w:numPr>
          <w:ilvl w:val="1"/>
          <w:numId w:val="60"/>
        </w:numPr>
        <w:tabs>
          <w:tab w:pos="679" w:val="left" w:leader="none"/>
        </w:tabs>
        <w:spacing w:line="266" w:lineRule="auto" w:before="294" w:after="0"/>
        <w:ind w:left="679" w:right="1077" w:hanging="360"/>
        <w:jc w:val="both"/>
        <w:rPr>
          <w:sz w:val="22"/>
        </w:rPr>
      </w:pPr>
      <w:r>
        <w:rPr>
          <w:sz w:val="22"/>
        </w:rPr>
        <w:t>Reward and recognise successful entrepreneurs ranging from the local to the national level and formally recognise entrepreneurial networks and </w:t>
      </w:r>
      <w:r>
        <w:rPr>
          <w:spacing w:val="-2"/>
          <w:sz w:val="22"/>
        </w:rPr>
        <w:t>associations.</w:t>
      </w:r>
    </w:p>
    <w:p>
      <w:pPr>
        <w:pStyle w:val="BodyText"/>
        <w:spacing w:before="24"/>
      </w:pPr>
    </w:p>
    <w:p>
      <w:pPr>
        <w:pStyle w:val="BodyText"/>
        <w:spacing w:line="266" w:lineRule="auto"/>
        <w:ind w:left="319" w:right="1077"/>
        <w:jc w:val="both"/>
      </w:pPr>
      <w:r>
        <w:rPr>
          <w:spacing w:val="-2"/>
        </w:rPr>
        <w:t>The</w:t>
      </w:r>
      <w:r>
        <w:rPr>
          <w:spacing w:val="-12"/>
        </w:rPr>
        <w:t> </w:t>
      </w:r>
      <w:r>
        <w:rPr>
          <w:spacing w:val="-2"/>
        </w:rPr>
        <w:t>Report</w:t>
      </w:r>
      <w:r>
        <w:rPr>
          <w:spacing w:val="-12"/>
        </w:rPr>
        <w:t> </w:t>
      </w:r>
      <w:r>
        <w:rPr>
          <w:spacing w:val="-2"/>
        </w:rPr>
        <w:t>on</w:t>
      </w:r>
      <w:r>
        <w:rPr>
          <w:spacing w:val="-12"/>
        </w:rPr>
        <w:t> </w:t>
      </w:r>
      <w:r>
        <w:rPr>
          <w:spacing w:val="-2"/>
        </w:rPr>
        <w:t>Entrepreneurship</w:t>
      </w:r>
      <w:r>
        <w:rPr>
          <w:spacing w:val="-11"/>
        </w:rPr>
        <w:t> </w:t>
      </w:r>
      <w:r>
        <w:rPr>
          <w:spacing w:val="-2"/>
        </w:rPr>
        <w:t>has</w:t>
      </w:r>
      <w:r>
        <w:rPr>
          <w:spacing w:val="-12"/>
        </w:rPr>
        <w:t> </w:t>
      </w:r>
      <w:r>
        <w:rPr>
          <w:spacing w:val="-2"/>
        </w:rPr>
        <w:t>concluded</w:t>
      </w:r>
      <w:r>
        <w:rPr>
          <w:spacing w:val="-12"/>
        </w:rPr>
        <w:t> </w:t>
      </w:r>
      <w:r>
        <w:rPr>
          <w:spacing w:val="-2"/>
        </w:rPr>
        <w:t>that</w:t>
      </w:r>
      <w:r>
        <w:rPr>
          <w:spacing w:val="-12"/>
        </w:rPr>
        <w:t> </w:t>
      </w:r>
      <w:r>
        <w:rPr>
          <w:spacing w:val="-2"/>
        </w:rPr>
        <w:t>the aforesaid</w:t>
      </w:r>
      <w:r>
        <w:rPr>
          <w:spacing w:val="-8"/>
        </w:rPr>
        <w:t> </w:t>
      </w:r>
      <w:r>
        <w:rPr>
          <w:spacing w:val="-2"/>
        </w:rPr>
        <w:t>recommendations</w:t>
      </w:r>
      <w:r>
        <w:rPr>
          <w:spacing w:val="-8"/>
        </w:rPr>
        <w:t> </w:t>
      </w:r>
      <w:r>
        <w:rPr>
          <w:spacing w:val="-2"/>
        </w:rPr>
        <w:t>are</w:t>
      </w:r>
      <w:r>
        <w:rPr>
          <w:spacing w:val="-8"/>
        </w:rPr>
        <w:t> </w:t>
      </w:r>
      <w:r>
        <w:rPr>
          <w:spacing w:val="-2"/>
        </w:rPr>
        <w:t>critical</w:t>
      </w:r>
      <w:r>
        <w:rPr>
          <w:spacing w:val="-8"/>
        </w:rPr>
        <w:t> </w:t>
      </w:r>
      <w:r>
        <w:rPr>
          <w:spacing w:val="-2"/>
        </w:rPr>
        <w:t>to</w:t>
      </w:r>
      <w:r>
        <w:rPr>
          <w:spacing w:val="-8"/>
        </w:rPr>
        <w:t> </w:t>
      </w:r>
      <w:r>
        <w:rPr>
          <w:spacing w:val="-2"/>
        </w:rPr>
        <w:t>significantly </w:t>
      </w:r>
      <w:r>
        <w:rPr/>
        <w:t>enhance</w:t>
      </w:r>
      <w:r>
        <w:rPr>
          <w:spacing w:val="-14"/>
        </w:rPr>
        <w:t> </w:t>
      </w:r>
      <w:r>
        <w:rPr/>
        <w:t>Entrepreneurship</w:t>
      </w:r>
      <w:r>
        <w:rPr>
          <w:spacing w:val="-14"/>
        </w:rPr>
        <w:t> </w:t>
      </w:r>
      <w:r>
        <w:rPr/>
        <w:t>in</w:t>
      </w:r>
      <w:r>
        <w:rPr>
          <w:spacing w:val="-14"/>
        </w:rPr>
        <w:t> </w:t>
      </w:r>
      <w:r>
        <w:rPr/>
        <w:t>the</w:t>
      </w:r>
      <w:r>
        <w:rPr>
          <w:spacing w:val="-13"/>
        </w:rPr>
        <w:t> </w:t>
      </w:r>
      <w:r>
        <w:rPr/>
        <w:t>country</w:t>
      </w:r>
      <w:r>
        <w:rPr>
          <w:spacing w:val="-14"/>
        </w:rPr>
        <w:t> </w:t>
      </w:r>
      <w:r>
        <w:rPr/>
        <w:t>and</w:t>
      </w:r>
      <w:r>
        <w:rPr>
          <w:spacing w:val="-14"/>
        </w:rPr>
        <w:t> </w:t>
      </w:r>
      <w:r>
        <w:rPr/>
        <w:t>the</w:t>
      </w:r>
      <w:r>
        <w:rPr>
          <w:spacing w:val="-14"/>
        </w:rPr>
        <w:t> </w:t>
      </w:r>
      <w:r>
        <w:rPr/>
        <w:t>NKC </w:t>
      </w:r>
      <w:r>
        <w:rPr>
          <w:spacing w:val="-6"/>
        </w:rPr>
        <w:t>looks</w:t>
      </w:r>
      <w:r>
        <w:rPr>
          <w:spacing w:val="-7"/>
        </w:rPr>
        <w:t> </w:t>
      </w:r>
      <w:r>
        <w:rPr>
          <w:spacing w:val="-6"/>
        </w:rPr>
        <w:t>forward</w:t>
      </w:r>
      <w:r>
        <w:rPr>
          <w:spacing w:val="-7"/>
        </w:rPr>
        <w:t> </w:t>
      </w:r>
      <w:r>
        <w:rPr>
          <w:spacing w:val="-6"/>
        </w:rPr>
        <w:t>to</w:t>
      </w:r>
      <w:r>
        <w:rPr>
          <w:spacing w:val="-7"/>
        </w:rPr>
        <w:t> </w:t>
      </w:r>
      <w:r>
        <w:rPr>
          <w:spacing w:val="-6"/>
        </w:rPr>
        <w:t>being</w:t>
      </w:r>
      <w:r>
        <w:rPr>
          <w:spacing w:val="-7"/>
        </w:rPr>
        <w:t> </w:t>
      </w:r>
      <w:r>
        <w:rPr>
          <w:spacing w:val="-6"/>
        </w:rPr>
        <w:t>involved</w:t>
      </w:r>
      <w:r>
        <w:rPr>
          <w:spacing w:val="-7"/>
        </w:rPr>
        <w:t> </w:t>
      </w:r>
      <w:r>
        <w:rPr>
          <w:spacing w:val="-6"/>
        </w:rPr>
        <w:t>in</w:t>
      </w:r>
      <w:r>
        <w:rPr>
          <w:spacing w:val="-7"/>
        </w:rPr>
        <w:t> </w:t>
      </w:r>
      <w:r>
        <w:rPr>
          <w:spacing w:val="-6"/>
        </w:rPr>
        <w:t>their</w:t>
      </w:r>
      <w:r>
        <w:rPr>
          <w:spacing w:val="-7"/>
        </w:rPr>
        <w:t> </w:t>
      </w:r>
      <w:r>
        <w:rPr>
          <w:spacing w:val="-6"/>
        </w:rPr>
        <w:t>implementation, </w:t>
      </w:r>
      <w:r>
        <w:rPr/>
        <w:t>as may be appropriate.</w:t>
      </w:r>
    </w:p>
    <w:p>
      <w:pPr>
        <w:spacing w:after="0" w:line="266" w:lineRule="auto"/>
        <w:jc w:val="both"/>
        <w:sectPr>
          <w:pgSz w:w="11910" w:h="16840"/>
          <w:pgMar w:header="0" w:footer="675" w:top="940" w:bottom="860" w:left="0" w:right="0"/>
          <w:cols w:num="2" w:equalWidth="0">
            <w:col w:w="5774" w:space="40"/>
            <w:col w:w="6096"/>
          </w:cols>
        </w:sectPr>
      </w:pPr>
    </w:p>
    <w:p>
      <w:pPr>
        <w:pStyle w:val="Heading2"/>
        <w:spacing w:line="211" w:lineRule="auto"/>
        <w:ind w:right="0"/>
      </w:pPr>
      <w:r>
        <w:rPr/>
        <mc:AlternateContent>
          <mc:Choice Requires="wps">
            <w:drawing>
              <wp:anchor distT="0" distB="0" distL="0" distR="0" allowOverlap="1" layoutInCell="1" locked="0" behindDoc="1" simplePos="0" relativeHeight="479360000">
                <wp:simplePos x="0" y="0"/>
                <wp:positionH relativeFrom="page">
                  <wp:posOffset>0</wp:posOffset>
                </wp:positionH>
                <wp:positionV relativeFrom="page">
                  <wp:posOffset>38</wp:posOffset>
                </wp:positionV>
                <wp:extent cx="7560309" cy="10692130"/>
                <wp:effectExtent l="0" t="0" r="0" b="0"/>
                <wp:wrapNone/>
                <wp:docPr id="976" name="Group 976"/>
                <wp:cNvGraphicFramePr>
                  <a:graphicFrameLocks/>
                </wp:cNvGraphicFramePr>
                <a:graphic>
                  <a:graphicData uri="http://schemas.microsoft.com/office/word/2010/wordprocessingGroup">
                    <wpg:wgp>
                      <wpg:cNvPr id="976" name="Group 976"/>
                      <wpg:cNvGrpSpPr/>
                      <wpg:grpSpPr>
                        <a:xfrm>
                          <a:off x="0" y="0"/>
                          <a:ext cx="7560309" cy="10692130"/>
                          <a:chExt cx="7560309" cy="10692130"/>
                        </a:xfrm>
                      </wpg:grpSpPr>
                      <pic:pic>
                        <pic:nvPicPr>
                          <pic:cNvPr id="977" name="Image 977"/>
                          <pic:cNvPicPr/>
                        </pic:nvPicPr>
                        <pic:blipFill>
                          <a:blip r:embed="rId614" cstate="print"/>
                          <a:stretch>
                            <a:fillRect/>
                          </a:stretch>
                        </pic:blipFill>
                        <pic:spPr>
                          <a:xfrm>
                            <a:off x="0" y="0"/>
                            <a:ext cx="7559999" cy="10691964"/>
                          </a:xfrm>
                          <a:prstGeom prst="rect">
                            <a:avLst/>
                          </a:prstGeom>
                        </pic:spPr>
                      </pic:pic>
                      <pic:pic>
                        <pic:nvPicPr>
                          <pic:cNvPr id="978" name="Image 978"/>
                          <pic:cNvPicPr/>
                        </pic:nvPicPr>
                        <pic:blipFill>
                          <a:blip r:embed="rId631" cstate="print"/>
                          <a:stretch>
                            <a:fillRect/>
                          </a:stretch>
                        </pic:blipFill>
                        <pic:spPr>
                          <a:xfrm>
                            <a:off x="24346" y="3629025"/>
                            <a:ext cx="7535653" cy="7062939"/>
                          </a:xfrm>
                          <a:prstGeom prst="rect">
                            <a:avLst/>
                          </a:prstGeom>
                        </pic:spPr>
                      </pic:pic>
                    </wpg:wgp>
                  </a:graphicData>
                </a:graphic>
              </wp:anchor>
            </w:drawing>
          </mc:Choice>
          <mc:Fallback>
            <w:pict>
              <v:group style="position:absolute;margin-left:0pt;margin-top:.003055pt;width:595.3pt;height:841.9pt;mso-position-horizontal-relative:page;mso-position-vertical-relative:page;z-index:-23956480" id="docshapegroup967" coordorigin="0,0" coordsize="11906,16838">
                <v:shape style="position:absolute;left:0;top:0;width:11906;height:16838" type="#_x0000_t75" id="docshape968" stroked="false">
                  <v:imagedata r:id="rId614" o:title=""/>
                </v:shape>
                <v:shape style="position:absolute;left:38;top:5715;width:11868;height:11123" type="#_x0000_t75" id="docshape969" stroked="false">
                  <v:imagedata r:id="rId631" o:title=""/>
                </v:shape>
                <w10:wrap type="none"/>
              </v:group>
            </w:pict>
          </mc:Fallback>
        </mc:AlternateContent>
      </w:r>
      <w:r>
        <w:rPr>
          <w:color w:val="E3C626"/>
          <w:spacing w:val="-2"/>
        </w:rPr>
        <w:t>Knowledge Applications</w:t>
      </w:r>
    </w:p>
    <w:p>
      <w:pPr>
        <w:pStyle w:val="BodyText"/>
        <w:spacing w:before="67"/>
        <w:rPr>
          <w:rFonts w:ascii="Trebuchet MS"/>
          <w:b/>
          <w:sz w:val="32"/>
        </w:rPr>
      </w:pPr>
    </w:p>
    <w:p>
      <w:pPr>
        <w:spacing w:line="417" w:lineRule="auto" w:before="1"/>
        <w:ind w:left="2025" w:right="5496" w:firstLine="0"/>
        <w:jc w:val="left"/>
        <w:rPr>
          <w:sz w:val="32"/>
        </w:rPr>
      </w:pPr>
      <w:r>
        <w:rPr>
          <w:spacing w:val="-6"/>
          <w:sz w:val="32"/>
        </w:rPr>
        <w:t>Traditional</w:t>
      </w:r>
      <w:r>
        <w:rPr>
          <w:spacing w:val="-16"/>
          <w:sz w:val="32"/>
        </w:rPr>
        <w:t> </w:t>
      </w:r>
      <w:r>
        <w:rPr>
          <w:spacing w:val="-6"/>
          <w:sz w:val="32"/>
        </w:rPr>
        <w:t>Health</w:t>
      </w:r>
      <w:r>
        <w:rPr>
          <w:spacing w:val="-14"/>
          <w:sz w:val="32"/>
        </w:rPr>
        <w:t> </w:t>
      </w:r>
      <w:r>
        <w:rPr>
          <w:spacing w:val="-6"/>
          <w:sz w:val="32"/>
        </w:rPr>
        <w:t>Systems </w:t>
      </w:r>
      <w:r>
        <w:rPr>
          <w:spacing w:val="-2"/>
          <w:sz w:val="32"/>
        </w:rPr>
        <w:t>Agriculture</w:t>
      </w:r>
    </w:p>
    <w:p>
      <w:pPr>
        <w:spacing w:line="367" w:lineRule="exact" w:before="0"/>
        <w:ind w:left="2025" w:right="0" w:firstLine="0"/>
        <w:jc w:val="left"/>
        <w:rPr>
          <w:sz w:val="32"/>
        </w:rPr>
      </w:pPr>
      <w:r>
        <w:rPr>
          <w:spacing w:val="-2"/>
          <w:sz w:val="32"/>
        </w:rPr>
        <w:t>Enhancing</w:t>
      </w:r>
      <w:r>
        <w:rPr>
          <w:spacing w:val="-12"/>
          <w:sz w:val="32"/>
        </w:rPr>
        <w:t> </w:t>
      </w:r>
      <w:r>
        <w:rPr>
          <w:spacing w:val="-2"/>
          <w:sz w:val="32"/>
        </w:rPr>
        <w:t>Quality</w:t>
      </w:r>
      <w:r>
        <w:rPr>
          <w:spacing w:val="-11"/>
          <w:sz w:val="32"/>
        </w:rPr>
        <w:t> </w:t>
      </w:r>
      <w:r>
        <w:rPr>
          <w:spacing w:val="-2"/>
          <w:sz w:val="32"/>
        </w:rPr>
        <w:t>of</w:t>
      </w:r>
      <w:r>
        <w:rPr>
          <w:spacing w:val="-11"/>
          <w:sz w:val="32"/>
        </w:rPr>
        <w:t> </w:t>
      </w:r>
      <w:r>
        <w:rPr>
          <w:spacing w:val="-4"/>
          <w:sz w:val="32"/>
        </w:rPr>
        <w:t>Life</w:t>
      </w:r>
    </w:p>
    <w:p>
      <w:pPr>
        <w:spacing w:after="0" w:line="367" w:lineRule="exact"/>
        <w:jc w:val="left"/>
        <w:rPr>
          <w:sz w:val="32"/>
        </w:rPr>
        <w:sectPr>
          <w:footerReference w:type="default" r:id="rId630"/>
          <w:pgSz w:w="11910" w:h="16840"/>
          <w:pgMar w:header="0" w:footer="0" w:top="1920" w:bottom="280" w:left="0" w:right="0"/>
        </w:sectPr>
      </w:pPr>
    </w:p>
    <w:p>
      <w:pPr>
        <w:pStyle w:val="BodyText"/>
        <w:spacing w:before="4"/>
        <w:rPr>
          <w:sz w:val="17"/>
        </w:rPr>
      </w:pPr>
    </w:p>
    <w:p>
      <w:pPr>
        <w:spacing w:after="0"/>
        <w:rPr>
          <w:sz w:val="17"/>
        </w:rPr>
        <w:sectPr>
          <w:footerReference w:type="even" r:id="rId632"/>
          <w:pgSz w:w="11910" w:h="16840"/>
          <w:pgMar w:header="0" w:footer="0" w:top="1920" w:bottom="280" w:left="0" w:right="0"/>
        </w:sectPr>
      </w:pPr>
    </w:p>
    <w:p>
      <w:pPr>
        <w:pStyle w:val="BodyText"/>
        <w:rPr>
          <w:sz w:val="20"/>
        </w:rPr>
      </w:pPr>
    </w:p>
    <w:p>
      <w:pPr>
        <w:pStyle w:val="BodyText"/>
        <w:rPr>
          <w:sz w:val="20"/>
        </w:rPr>
      </w:pPr>
    </w:p>
    <w:p>
      <w:pPr>
        <w:pStyle w:val="BodyText"/>
        <w:spacing w:before="135"/>
        <w:rPr>
          <w:sz w:val="20"/>
        </w:rPr>
      </w:pPr>
    </w:p>
    <w:p>
      <w:pPr>
        <w:spacing w:after="0"/>
        <w:rPr>
          <w:sz w:val="20"/>
        </w:rPr>
        <w:sectPr>
          <w:footerReference w:type="default" r:id="rId633"/>
          <w:footerReference w:type="even" r:id="rId634"/>
          <w:pgSz w:w="11910" w:h="16840"/>
          <w:pgMar w:header="0" w:footer="675" w:top="0" w:bottom="860" w:left="0" w:right="0"/>
          <w:pgNumType w:start="145"/>
        </w:sectPr>
      </w:pPr>
    </w:p>
    <w:p>
      <w:pPr>
        <w:pStyle w:val="Heading3"/>
        <w:spacing w:line="247" w:lineRule="auto"/>
        <w:ind w:right="-3"/>
      </w:pPr>
      <w:r>
        <w:rPr/>
        <w:drawing>
          <wp:anchor distT="0" distB="0" distL="0" distR="0" allowOverlap="1" layoutInCell="1" locked="0" behindDoc="1" simplePos="0" relativeHeight="479360512">
            <wp:simplePos x="0" y="0"/>
            <wp:positionH relativeFrom="page">
              <wp:posOffset>0</wp:posOffset>
            </wp:positionH>
            <wp:positionV relativeFrom="paragraph">
              <wp:posOffset>-535102</wp:posOffset>
            </wp:positionV>
            <wp:extent cx="7559999" cy="1752562"/>
            <wp:effectExtent l="0" t="0" r="0" b="0"/>
            <wp:wrapNone/>
            <wp:docPr id="988" name="Image 988"/>
            <wp:cNvGraphicFramePr>
              <a:graphicFrameLocks/>
            </wp:cNvGraphicFramePr>
            <a:graphic>
              <a:graphicData uri="http://schemas.openxmlformats.org/drawingml/2006/picture">
                <pic:pic>
                  <pic:nvPicPr>
                    <pic:cNvPr id="988" name="Image 988"/>
                    <pic:cNvPicPr/>
                  </pic:nvPicPr>
                  <pic:blipFill>
                    <a:blip r:embed="rId11" cstate="print"/>
                    <a:stretch>
                      <a:fillRect/>
                    </a:stretch>
                  </pic:blipFill>
                  <pic:spPr>
                    <a:xfrm>
                      <a:off x="0" y="0"/>
                      <a:ext cx="7559999" cy="1752562"/>
                    </a:xfrm>
                    <a:prstGeom prst="rect">
                      <a:avLst/>
                    </a:prstGeom>
                  </pic:spPr>
                </pic:pic>
              </a:graphicData>
            </a:graphic>
          </wp:anchor>
        </w:drawing>
      </w:r>
      <w:r>
        <w:rPr>
          <w:color w:val="FFFFFF"/>
          <w:spacing w:val="-2"/>
        </w:rPr>
        <w:t>Traditional </w:t>
      </w:r>
      <w:r>
        <w:rPr>
          <w:color w:val="FFFFFF"/>
        </w:rPr>
        <w:t>Health</w:t>
      </w:r>
      <w:r>
        <w:rPr>
          <w:color w:val="FFFFFF"/>
          <w:spacing w:val="-1"/>
        </w:rPr>
        <w:t> </w:t>
      </w:r>
      <w:r>
        <w:rPr>
          <w:color w:val="FFFFFF"/>
          <w:spacing w:val="-2"/>
        </w:rPr>
        <w:t>Systems</w:t>
      </w:r>
    </w:p>
    <w:p>
      <w:pPr>
        <w:pStyle w:val="BodyText"/>
        <w:spacing w:before="324"/>
        <w:rPr>
          <w:rFonts w:ascii="Trebuchet MS"/>
          <w:b/>
          <w:sz w:val="68"/>
        </w:rPr>
      </w:pPr>
    </w:p>
    <w:p>
      <w:pPr>
        <w:pStyle w:val="BodyText"/>
        <w:spacing w:line="266" w:lineRule="auto"/>
        <w:ind w:left="1793" w:right="144"/>
        <w:jc w:val="both"/>
      </w:pPr>
      <w:r>
        <w:rPr/>
        <mc:AlternateContent>
          <mc:Choice Requires="wps">
            <w:drawing>
              <wp:anchor distT="0" distB="0" distL="0" distR="0" allowOverlap="1" layoutInCell="1" locked="0" behindDoc="1" simplePos="0" relativeHeight="479361024">
                <wp:simplePos x="0" y="0"/>
                <wp:positionH relativeFrom="page">
                  <wp:posOffset>685799</wp:posOffset>
                </wp:positionH>
                <wp:positionV relativeFrom="paragraph">
                  <wp:posOffset>-88930</wp:posOffset>
                </wp:positionV>
                <wp:extent cx="446405" cy="757555"/>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7.002407pt;width:35.15pt;height:59.65pt;mso-position-horizontal-relative:page;mso-position-vertical-relative:paragraph;z-index:-23955456" type="#_x0000_t202" id="docshape979"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current global health sector </w:t>
      </w:r>
      <w:r>
        <w:rPr/>
        <w:t>trends</w:t>
      </w:r>
      <w:r>
        <w:rPr>
          <w:spacing w:val="80"/>
        </w:rPr>
        <w:t> </w:t>
      </w:r>
      <w:r>
        <w:rPr/>
        <w:t>suggest that medical pluralism, to which Indian</w:t>
      </w:r>
      <w:r>
        <w:rPr>
          <w:spacing w:val="45"/>
        </w:rPr>
        <w:t>  </w:t>
      </w:r>
      <w:r>
        <w:rPr/>
        <w:t>traditional</w:t>
      </w:r>
      <w:r>
        <w:rPr>
          <w:spacing w:val="46"/>
        </w:rPr>
        <w:t>  </w:t>
      </w:r>
      <w:r>
        <w:rPr/>
        <w:t>medical</w:t>
      </w:r>
      <w:r>
        <w:rPr>
          <w:spacing w:val="45"/>
        </w:rPr>
        <w:t>  </w:t>
      </w:r>
      <w:r>
        <w:rPr/>
        <w:t>systems</w:t>
      </w:r>
      <w:r>
        <w:rPr>
          <w:spacing w:val="46"/>
        </w:rPr>
        <w:t>  </w:t>
      </w:r>
      <w:r>
        <w:rPr>
          <w:spacing w:val="-5"/>
        </w:rPr>
        <w:t>can</w:t>
      </w:r>
    </w:p>
    <w:p>
      <w:pPr>
        <w:pStyle w:val="BodyText"/>
        <w:spacing w:line="266" w:lineRule="auto"/>
        <w:ind w:left="1080" w:right="143"/>
        <w:jc w:val="both"/>
      </w:pPr>
      <w:r>
        <w:rPr/>
        <w:t>contribute critical components, will shape the future of healthcare. This shift from singularity to plurality is taking place because it is becoming increasingly evident that no single source of health science has</w:t>
      </w:r>
      <w:r>
        <w:rPr>
          <w:spacing w:val="40"/>
        </w:rPr>
        <w:t> </w:t>
      </w:r>
      <w:r>
        <w:rPr/>
        <w:t>the capacity to contribute solutions to all of society’s health needs. India has a comparative advantage and can be a world leader in the era of medical pluralism because it has strong foundations in evidence-based biomedical</w:t>
      </w:r>
      <w:r>
        <w:rPr>
          <w:spacing w:val="-9"/>
        </w:rPr>
        <w:t> </w:t>
      </w:r>
      <w:r>
        <w:rPr/>
        <w:t>sciences</w:t>
      </w:r>
      <w:r>
        <w:rPr>
          <w:spacing w:val="-9"/>
        </w:rPr>
        <w:t> </w:t>
      </w:r>
      <w:r>
        <w:rPr/>
        <w:t>as</w:t>
      </w:r>
      <w:r>
        <w:rPr>
          <w:spacing w:val="-9"/>
        </w:rPr>
        <w:t> </w:t>
      </w:r>
      <w:r>
        <w:rPr/>
        <w:t>well</w:t>
      </w:r>
      <w:r>
        <w:rPr>
          <w:spacing w:val="-9"/>
        </w:rPr>
        <w:t> </w:t>
      </w:r>
      <w:r>
        <w:rPr/>
        <w:t>as</w:t>
      </w:r>
      <w:r>
        <w:rPr>
          <w:spacing w:val="-9"/>
        </w:rPr>
        <w:t> </w:t>
      </w:r>
      <w:r>
        <w:rPr/>
        <w:t>an</w:t>
      </w:r>
      <w:r>
        <w:rPr>
          <w:spacing w:val="-9"/>
        </w:rPr>
        <w:t> </w:t>
      </w:r>
      <w:r>
        <w:rPr/>
        <w:t>immensely</w:t>
      </w:r>
      <w:r>
        <w:rPr>
          <w:spacing w:val="-9"/>
        </w:rPr>
        <w:t> </w:t>
      </w:r>
      <w:r>
        <w:rPr/>
        <w:t>rich</w:t>
      </w:r>
      <w:r>
        <w:rPr>
          <w:spacing w:val="-9"/>
        </w:rPr>
        <w:t> </w:t>
      </w:r>
      <w:r>
        <w:rPr/>
        <w:t>and complex</w:t>
      </w:r>
      <w:r>
        <w:rPr>
          <w:spacing w:val="-3"/>
        </w:rPr>
        <w:t> </w:t>
      </w:r>
      <w:r>
        <w:rPr/>
        <w:t>indigenous</w:t>
      </w:r>
      <w:r>
        <w:rPr>
          <w:spacing w:val="-3"/>
        </w:rPr>
        <w:t> </w:t>
      </w:r>
      <w:r>
        <w:rPr/>
        <w:t>medical</w:t>
      </w:r>
      <w:r>
        <w:rPr>
          <w:spacing w:val="-3"/>
        </w:rPr>
        <w:t> </w:t>
      </w:r>
      <w:r>
        <w:rPr/>
        <w:t>heritage</w:t>
      </w:r>
      <w:r>
        <w:rPr>
          <w:spacing w:val="-3"/>
        </w:rPr>
        <w:t> </w:t>
      </w:r>
      <w:r>
        <w:rPr/>
        <w:t>of</w:t>
      </w:r>
      <w:r>
        <w:rPr>
          <w:spacing w:val="-3"/>
        </w:rPr>
        <w:t> </w:t>
      </w:r>
      <w:r>
        <w:rPr/>
        <w:t>its</w:t>
      </w:r>
      <w:r>
        <w:rPr>
          <w:spacing w:val="-3"/>
        </w:rPr>
        <w:t> </w:t>
      </w:r>
      <w:r>
        <w:rPr/>
        <w:t>own.</w:t>
      </w:r>
      <w:r>
        <w:rPr>
          <w:spacing w:val="-10"/>
        </w:rPr>
        <w:t> </w:t>
      </w:r>
      <w:r>
        <w:rPr/>
        <w:t>The Government has already undertaken and encouraged several initiatives in the area of traditional medicine within the country including establishment of the Department</w:t>
      </w:r>
      <w:r>
        <w:rPr>
          <w:spacing w:val="-6"/>
        </w:rPr>
        <w:t> </w:t>
      </w:r>
      <w:r>
        <w:rPr/>
        <w:t>of</w:t>
      </w:r>
      <w:r>
        <w:rPr>
          <w:spacing w:val="-6"/>
        </w:rPr>
        <w:t> </w:t>
      </w:r>
      <w:r>
        <w:rPr/>
        <w:t>AYUSH</w:t>
      </w:r>
      <w:r>
        <w:rPr>
          <w:spacing w:val="-6"/>
        </w:rPr>
        <w:t> </w:t>
      </w:r>
      <w:r>
        <w:rPr/>
        <w:t>in</w:t>
      </w:r>
      <w:r>
        <w:rPr>
          <w:spacing w:val="-6"/>
        </w:rPr>
        <w:t> </w:t>
      </w:r>
      <w:r>
        <w:rPr/>
        <w:t>the</w:t>
      </w:r>
      <w:r>
        <w:rPr>
          <w:spacing w:val="-6"/>
        </w:rPr>
        <w:t> </w:t>
      </w:r>
      <w:r>
        <w:rPr/>
        <w:t>Ministry</w:t>
      </w:r>
      <w:r>
        <w:rPr>
          <w:spacing w:val="-6"/>
        </w:rPr>
        <w:t> </w:t>
      </w:r>
      <w:r>
        <w:rPr/>
        <w:t>of</w:t>
      </w:r>
      <w:r>
        <w:rPr>
          <w:spacing w:val="-6"/>
        </w:rPr>
        <w:t> </w:t>
      </w:r>
      <w:r>
        <w:rPr/>
        <w:t>Health</w:t>
      </w:r>
      <w:r>
        <w:rPr>
          <w:spacing w:val="-6"/>
        </w:rPr>
        <w:t> </w:t>
      </w:r>
      <w:r>
        <w:rPr/>
        <w:t>and </w:t>
      </w:r>
      <w:r>
        <w:rPr>
          <w:spacing w:val="-2"/>
        </w:rPr>
        <w:t>creating</w:t>
      </w:r>
      <w:r>
        <w:rPr>
          <w:spacing w:val="-10"/>
        </w:rPr>
        <w:t> </w:t>
      </w:r>
      <w:r>
        <w:rPr>
          <w:spacing w:val="-2"/>
        </w:rPr>
        <w:t>support</w:t>
      </w:r>
      <w:r>
        <w:rPr>
          <w:spacing w:val="-10"/>
        </w:rPr>
        <w:t> </w:t>
      </w:r>
      <w:r>
        <w:rPr>
          <w:spacing w:val="-2"/>
        </w:rPr>
        <w:t>programs</w:t>
      </w:r>
      <w:r>
        <w:rPr>
          <w:spacing w:val="-10"/>
        </w:rPr>
        <w:t> </w:t>
      </w:r>
      <w:r>
        <w:rPr>
          <w:spacing w:val="-2"/>
        </w:rPr>
        <w:t>in</w:t>
      </w:r>
      <w:r>
        <w:rPr>
          <w:spacing w:val="-10"/>
        </w:rPr>
        <w:t> </w:t>
      </w:r>
      <w:r>
        <w:rPr>
          <w:spacing w:val="-2"/>
        </w:rPr>
        <w:t>S&amp;T</w:t>
      </w:r>
      <w:r>
        <w:rPr>
          <w:spacing w:val="-10"/>
        </w:rPr>
        <w:t> </w:t>
      </w:r>
      <w:r>
        <w:rPr>
          <w:spacing w:val="-2"/>
        </w:rPr>
        <w:t>agencies</w:t>
      </w:r>
      <w:r>
        <w:rPr>
          <w:spacing w:val="-10"/>
        </w:rPr>
        <w:t> </w:t>
      </w:r>
      <w:r>
        <w:rPr>
          <w:spacing w:val="-2"/>
        </w:rPr>
        <w:t>like</w:t>
      </w:r>
      <w:r>
        <w:rPr>
          <w:spacing w:val="-10"/>
        </w:rPr>
        <w:t> </w:t>
      </w:r>
      <w:r>
        <w:rPr>
          <w:spacing w:val="-2"/>
        </w:rPr>
        <w:t>CSIR, </w:t>
      </w:r>
      <w:r>
        <w:rPr/>
        <w:t>ICMR, DBT &amp; DST. To accelerate this momentum, the National Knowledge Commission consulted extensively with diverse stakeholders within the related fields and also constituted a Working Group of researchers, private sector representatives and policy-makers. NKC recommendations on strategies to promote the knowledge systems of traditional medicine are as follows:</w:t>
      </w:r>
    </w:p>
    <w:p>
      <w:pPr>
        <w:pStyle w:val="Heading6"/>
        <w:numPr>
          <w:ilvl w:val="0"/>
          <w:numId w:val="62"/>
        </w:numPr>
        <w:tabs>
          <w:tab w:pos="1417" w:val="left" w:leader="none"/>
        </w:tabs>
        <w:spacing w:line="196" w:lineRule="auto" w:before="240" w:after="0"/>
        <w:ind w:left="1417" w:right="412" w:hanging="338"/>
        <w:jc w:val="left"/>
      </w:pPr>
      <w:r>
        <w:rPr>
          <w:color w:val="2E614A"/>
          <w:w w:val="90"/>
        </w:rPr>
        <w:t>Transform Traditional </w:t>
      </w:r>
      <w:r>
        <w:rPr>
          <w:color w:val="2E614A"/>
          <w:w w:val="90"/>
        </w:rPr>
        <w:t>Medicine </w:t>
      </w:r>
      <w:r>
        <w:rPr>
          <w:color w:val="2E614A"/>
          <w:spacing w:val="-2"/>
        </w:rPr>
        <w:t>Education</w:t>
      </w:r>
    </w:p>
    <w:p>
      <w:pPr>
        <w:pStyle w:val="BodyText"/>
        <w:spacing w:line="266" w:lineRule="auto" w:before="196"/>
        <w:ind w:left="1079" w:right="143"/>
        <w:jc w:val="both"/>
      </w:pPr>
      <w:r>
        <w:rPr/>
        <w:t>The quality of and access to education in traditional medicine in the country needs urgent improvement. There are currently 450 poorly endowed colleges (undergraduate and post-graduate) admitting around 25,000</w:t>
      </w:r>
      <w:r>
        <w:rPr>
          <w:spacing w:val="-9"/>
        </w:rPr>
        <w:t> </w:t>
      </w:r>
      <w:r>
        <w:rPr/>
        <w:t>students</w:t>
      </w:r>
      <w:r>
        <w:rPr>
          <w:spacing w:val="-9"/>
        </w:rPr>
        <w:t> </w:t>
      </w:r>
      <w:r>
        <w:rPr/>
        <w:t>in</w:t>
      </w:r>
      <w:r>
        <w:rPr>
          <w:spacing w:val="-9"/>
        </w:rPr>
        <w:t> </w:t>
      </w:r>
      <w:r>
        <w:rPr/>
        <w:t>the</w:t>
      </w:r>
      <w:r>
        <w:rPr>
          <w:spacing w:val="-9"/>
        </w:rPr>
        <w:t> </w:t>
      </w:r>
      <w:r>
        <w:rPr/>
        <w:t>country.</w:t>
      </w:r>
      <w:r>
        <w:rPr>
          <w:spacing w:val="-14"/>
        </w:rPr>
        <w:t> </w:t>
      </w:r>
      <w:r>
        <w:rPr/>
        <w:t>These</w:t>
      </w:r>
      <w:r>
        <w:rPr>
          <w:spacing w:val="-8"/>
        </w:rPr>
        <w:t> </w:t>
      </w:r>
      <w:r>
        <w:rPr/>
        <w:t>colleges</w:t>
      </w:r>
      <w:r>
        <w:rPr>
          <w:spacing w:val="-9"/>
        </w:rPr>
        <w:t> </w:t>
      </w:r>
      <w:r>
        <w:rPr/>
        <w:t>are</w:t>
      </w:r>
      <w:r>
        <w:rPr>
          <w:spacing w:val="-9"/>
        </w:rPr>
        <w:t> </w:t>
      </w:r>
      <w:r>
        <w:rPr/>
        <w:t>not </w:t>
      </w:r>
      <w:r>
        <w:rPr>
          <w:spacing w:val="-6"/>
        </w:rPr>
        <w:t>training students to play leadership roles in the emerging </w:t>
      </w:r>
      <w:r>
        <w:rPr>
          <w:spacing w:val="-8"/>
        </w:rPr>
        <w:t>era</w:t>
      </w:r>
      <w:r>
        <w:rPr>
          <w:spacing w:val="-6"/>
        </w:rPr>
        <w:t> </w:t>
      </w:r>
      <w:r>
        <w:rPr>
          <w:spacing w:val="-8"/>
        </w:rPr>
        <w:t>of</w:t>
      </w:r>
      <w:r>
        <w:rPr>
          <w:spacing w:val="-6"/>
        </w:rPr>
        <w:t> </w:t>
      </w:r>
      <w:r>
        <w:rPr>
          <w:spacing w:val="-8"/>
        </w:rPr>
        <w:t>medical</w:t>
      </w:r>
      <w:r>
        <w:rPr>
          <w:spacing w:val="-6"/>
        </w:rPr>
        <w:t> </w:t>
      </w:r>
      <w:r>
        <w:rPr>
          <w:spacing w:val="-8"/>
        </w:rPr>
        <w:t>pluralism.</w:t>
      </w:r>
      <w:r>
        <w:rPr>
          <w:spacing w:val="-5"/>
        </w:rPr>
        <w:t> </w:t>
      </w:r>
      <w:r>
        <w:rPr>
          <w:spacing w:val="-8"/>
        </w:rPr>
        <w:t>The</w:t>
      </w:r>
      <w:r>
        <w:rPr>
          <w:spacing w:val="-6"/>
        </w:rPr>
        <w:t> </w:t>
      </w:r>
      <w:r>
        <w:rPr>
          <w:spacing w:val="-8"/>
        </w:rPr>
        <w:t>major</w:t>
      </w:r>
      <w:r>
        <w:rPr>
          <w:spacing w:val="-6"/>
        </w:rPr>
        <w:t> </w:t>
      </w:r>
      <w:r>
        <w:rPr>
          <w:spacing w:val="-8"/>
        </w:rPr>
        <w:t>reason</w:t>
      </w:r>
      <w:r>
        <w:rPr>
          <w:spacing w:val="-6"/>
        </w:rPr>
        <w:t> </w:t>
      </w:r>
      <w:r>
        <w:rPr>
          <w:spacing w:val="-8"/>
        </w:rPr>
        <w:t>for</w:t>
      </w:r>
      <w:r>
        <w:rPr>
          <w:spacing w:val="-5"/>
        </w:rPr>
        <w:t> </w:t>
      </w:r>
      <w:r>
        <w:rPr>
          <w:spacing w:val="-8"/>
        </w:rPr>
        <w:t>this</w:t>
      </w:r>
      <w:r>
        <w:rPr>
          <w:spacing w:val="-6"/>
        </w:rPr>
        <w:t> </w:t>
      </w:r>
      <w:r>
        <w:rPr>
          <w:spacing w:val="-8"/>
        </w:rPr>
        <w:t>lacuna </w:t>
      </w:r>
      <w:r>
        <w:rPr>
          <w:spacing w:val="-2"/>
        </w:rPr>
        <w:t>is</w:t>
      </w:r>
      <w:r>
        <w:rPr>
          <w:spacing w:val="-12"/>
        </w:rPr>
        <w:t> </w:t>
      </w:r>
      <w:r>
        <w:rPr>
          <w:spacing w:val="-2"/>
        </w:rPr>
        <w:t>that</w:t>
      </w:r>
      <w:r>
        <w:rPr>
          <w:spacing w:val="-12"/>
        </w:rPr>
        <w:t> </w:t>
      </w:r>
      <w:r>
        <w:rPr>
          <w:spacing w:val="-2"/>
        </w:rPr>
        <w:t>education</w:t>
      </w:r>
      <w:r>
        <w:rPr>
          <w:spacing w:val="-12"/>
        </w:rPr>
        <w:t> </w:t>
      </w:r>
      <w:r>
        <w:rPr>
          <w:spacing w:val="-2"/>
        </w:rPr>
        <w:t>in</w:t>
      </w:r>
      <w:r>
        <w:rPr>
          <w:spacing w:val="-11"/>
        </w:rPr>
        <w:t> </w:t>
      </w:r>
      <w:r>
        <w:rPr>
          <w:spacing w:val="-2"/>
        </w:rPr>
        <w:t>traditional</w:t>
      </w:r>
      <w:r>
        <w:rPr>
          <w:spacing w:val="-12"/>
        </w:rPr>
        <w:t> </w:t>
      </w:r>
      <w:r>
        <w:rPr>
          <w:spacing w:val="-2"/>
        </w:rPr>
        <w:t>medicine</w:t>
      </w:r>
      <w:r>
        <w:rPr>
          <w:spacing w:val="-12"/>
        </w:rPr>
        <w:t> </w:t>
      </w:r>
      <w:r>
        <w:rPr>
          <w:spacing w:val="-2"/>
        </w:rPr>
        <w:t>fails</w:t>
      </w:r>
      <w:r>
        <w:rPr>
          <w:spacing w:val="-12"/>
        </w:rPr>
        <w:t> </w:t>
      </w:r>
      <w:r>
        <w:rPr>
          <w:spacing w:val="-2"/>
        </w:rPr>
        <w:t>to</w:t>
      </w:r>
      <w:r>
        <w:rPr>
          <w:spacing w:val="-11"/>
        </w:rPr>
        <w:t> </w:t>
      </w:r>
      <w:r>
        <w:rPr>
          <w:spacing w:val="-2"/>
        </w:rPr>
        <w:t>provide </w:t>
      </w:r>
      <w:r>
        <w:rPr>
          <w:spacing w:val="-8"/>
        </w:rPr>
        <w:t>the</w:t>
      </w:r>
      <w:r>
        <w:rPr/>
        <w:t> </w:t>
      </w:r>
      <w:r>
        <w:rPr>
          <w:spacing w:val="-8"/>
        </w:rPr>
        <w:t>transformational</w:t>
      </w:r>
      <w:r>
        <w:rPr/>
        <w:t> </w:t>
      </w:r>
      <w:r>
        <w:rPr>
          <w:spacing w:val="-8"/>
        </w:rPr>
        <w:t>catalysis</w:t>
      </w:r>
      <w:r>
        <w:rPr/>
        <w:t> </w:t>
      </w:r>
      <w:r>
        <w:rPr>
          <w:spacing w:val="-8"/>
        </w:rPr>
        <w:t>necessary</w:t>
      </w:r>
      <w:r>
        <w:rPr/>
        <w:t> </w:t>
      </w:r>
      <w:r>
        <w:rPr>
          <w:spacing w:val="-8"/>
        </w:rPr>
        <w:t>to</w:t>
      </w:r>
      <w:r>
        <w:rPr/>
        <w:t> </w:t>
      </w:r>
      <w:r>
        <w:rPr>
          <w:spacing w:val="-8"/>
        </w:rPr>
        <w:t>link</w:t>
      </w:r>
      <w:r>
        <w:rPr/>
        <w:t> </w:t>
      </w:r>
      <w:r>
        <w:rPr>
          <w:spacing w:val="-8"/>
        </w:rPr>
        <w:t>traditional </w:t>
      </w:r>
      <w:r>
        <w:rPr>
          <w:spacing w:val="-2"/>
        </w:rPr>
        <w:t>medical</w:t>
      </w:r>
      <w:r>
        <w:rPr>
          <w:spacing w:val="-12"/>
        </w:rPr>
        <w:t> </w:t>
      </w:r>
      <w:r>
        <w:rPr>
          <w:spacing w:val="-2"/>
        </w:rPr>
        <w:t>system</w:t>
      </w:r>
      <w:r>
        <w:rPr>
          <w:spacing w:val="-12"/>
        </w:rPr>
        <w:t> </w:t>
      </w:r>
      <w:r>
        <w:rPr>
          <w:spacing w:val="-2"/>
        </w:rPr>
        <w:t>sources</w:t>
      </w:r>
      <w:r>
        <w:rPr>
          <w:spacing w:val="-12"/>
        </w:rPr>
        <w:t> </w:t>
      </w:r>
      <w:r>
        <w:rPr>
          <w:spacing w:val="-2"/>
        </w:rPr>
        <w:t>to</w:t>
      </w:r>
      <w:r>
        <w:rPr>
          <w:spacing w:val="-11"/>
        </w:rPr>
        <w:t> </w:t>
      </w:r>
      <w:r>
        <w:rPr>
          <w:spacing w:val="-2"/>
        </w:rPr>
        <w:t>evidence-based</w:t>
      </w:r>
      <w:r>
        <w:rPr>
          <w:spacing w:val="-12"/>
        </w:rPr>
        <w:t> </w:t>
      </w:r>
      <w:r>
        <w:rPr>
          <w:spacing w:val="-2"/>
        </w:rPr>
        <w:t>approaches. This</w:t>
      </w:r>
      <w:r>
        <w:rPr>
          <w:spacing w:val="1"/>
        </w:rPr>
        <w:t> </w:t>
      </w:r>
      <w:r>
        <w:rPr>
          <w:spacing w:val="-2"/>
        </w:rPr>
        <w:t>has</w:t>
      </w:r>
      <w:r>
        <w:rPr>
          <w:spacing w:val="1"/>
        </w:rPr>
        <w:t> </w:t>
      </w:r>
      <w:r>
        <w:rPr>
          <w:spacing w:val="-2"/>
        </w:rPr>
        <w:t>led</w:t>
      </w:r>
      <w:r>
        <w:rPr>
          <w:spacing w:val="1"/>
        </w:rPr>
        <w:t> </w:t>
      </w:r>
      <w:r>
        <w:rPr>
          <w:spacing w:val="-2"/>
        </w:rPr>
        <w:t>to</w:t>
      </w:r>
      <w:r>
        <w:rPr>
          <w:spacing w:val="1"/>
        </w:rPr>
        <w:t> </w:t>
      </w:r>
      <w:r>
        <w:rPr>
          <w:spacing w:val="-2"/>
        </w:rPr>
        <w:t>isolation</w:t>
      </w:r>
      <w:r>
        <w:rPr>
          <w:spacing w:val="1"/>
        </w:rPr>
        <w:t> </w:t>
      </w:r>
      <w:r>
        <w:rPr>
          <w:spacing w:val="-2"/>
        </w:rPr>
        <w:t>of</w:t>
      </w:r>
      <w:r>
        <w:rPr>
          <w:spacing w:val="2"/>
        </w:rPr>
        <w:t> </w:t>
      </w:r>
      <w:r>
        <w:rPr>
          <w:spacing w:val="-2"/>
        </w:rPr>
        <w:t>such</w:t>
      </w:r>
      <w:r>
        <w:rPr>
          <w:spacing w:val="1"/>
        </w:rPr>
        <w:t> </w:t>
      </w:r>
      <w:r>
        <w:rPr>
          <w:spacing w:val="-2"/>
        </w:rPr>
        <w:t>education</w:t>
      </w:r>
      <w:r>
        <w:rPr>
          <w:spacing w:val="1"/>
        </w:rPr>
        <w:t> </w:t>
      </w:r>
      <w:r>
        <w:rPr>
          <w:spacing w:val="-2"/>
        </w:rPr>
        <w:t>and</w:t>
      </w:r>
      <w:r>
        <w:rPr>
          <w:spacing w:val="1"/>
        </w:rPr>
        <w:t> </w:t>
      </w:r>
      <w:r>
        <w:rPr>
          <w:spacing w:val="-2"/>
        </w:rPr>
        <w:t>lack</w:t>
      </w:r>
      <w:r>
        <w:rPr>
          <w:spacing w:val="1"/>
        </w:rPr>
        <w:t> </w:t>
      </w:r>
      <w:r>
        <w:rPr>
          <w:spacing w:val="-5"/>
        </w:rPr>
        <w:t>of</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spacing w:before="200"/>
      </w:pPr>
    </w:p>
    <w:p>
      <w:pPr>
        <w:pStyle w:val="BodyText"/>
        <w:ind w:left="3165"/>
      </w:pPr>
      <w:r>
        <w:rPr>
          <w:color w:val="FFFFFF"/>
          <w:spacing w:val="-2"/>
        </w:rPr>
        <w:t>December</w:t>
      </w:r>
      <w:r>
        <w:rPr>
          <w:color w:val="FFFFFF"/>
          <w:spacing w:val="-6"/>
        </w:rPr>
        <w:t> </w:t>
      </w:r>
      <w:r>
        <w:rPr>
          <w:color w:val="FFFFFF"/>
          <w:spacing w:val="-2"/>
        </w:rPr>
        <w:t>12,</w:t>
      </w:r>
      <w:r>
        <w:rPr>
          <w:color w:val="FFFFFF"/>
          <w:spacing w:val="-6"/>
        </w:rPr>
        <w:t> </w:t>
      </w:r>
      <w:r>
        <w:rPr>
          <w:color w:val="FFFFFF"/>
          <w:spacing w:val="-4"/>
        </w:rPr>
        <w:t>2007</w:t>
      </w:r>
    </w:p>
    <w:p>
      <w:pPr>
        <w:pStyle w:val="BodyText"/>
      </w:pPr>
    </w:p>
    <w:p>
      <w:pPr>
        <w:pStyle w:val="BodyText"/>
      </w:pPr>
    </w:p>
    <w:p>
      <w:pPr>
        <w:pStyle w:val="BodyText"/>
      </w:pPr>
    </w:p>
    <w:p>
      <w:pPr>
        <w:pStyle w:val="BodyText"/>
        <w:spacing w:before="110"/>
      </w:pPr>
    </w:p>
    <w:p>
      <w:pPr>
        <w:pStyle w:val="BodyText"/>
        <w:spacing w:line="266" w:lineRule="auto" w:before="1"/>
        <w:ind w:left="173" w:right="1077"/>
        <w:jc w:val="both"/>
      </w:pPr>
      <w:r>
        <w:rPr/>
        <w:t>its pluralistic integration into mainstream evidence- </w:t>
      </w:r>
      <w:r>
        <w:rPr>
          <w:spacing w:val="-2"/>
        </w:rPr>
        <w:t>based</w:t>
      </w:r>
      <w:r>
        <w:rPr>
          <w:spacing w:val="-5"/>
        </w:rPr>
        <w:t> </w:t>
      </w:r>
      <w:r>
        <w:rPr>
          <w:spacing w:val="-2"/>
        </w:rPr>
        <w:t>medicine</w:t>
      </w:r>
      <w:r>
        <w:rPr>
          <w:spacing w:val="-5"/>
        </w:rPr>
        <w:t> </w:t>
      </w:r>
      <w:r>
        <w:rPr>
          <w:spacing w:val="-2"/>
        </w:rPr>
        <w:t>education,</w:t>
      </w:r>
      <w:r>
        <w:rPr>
          <w:spacing w:val="-5"/>
        </w:rPr>
        <w:t> </w:t>
      </w:r>
      <w:r>
        <w:rPr>
          <w:spacing w:val="-2"/>
        </w:rPr>
        <w:t>which</w:t>
      </w:r>
      <w:r>
        <w:rPr>
          <w:spacing w:val="-5"/>
        </w:rPr>
        <w:t> </w:t>
      </w:r>
      <w:r>
        <w:rPr>
          <w:spacing w:val="-2"/>
        </w:rPr>
        <w:t>is</w:t>
      </w:r>
      <w:r>
        <w:rPr>
          <w:spacing w:val="-5"/>
        </w:rPr>
        <w:t> </w:t>
      </w:r>
      <w:r>
        <w:rPr>
          <w:spacing w:val="-2"/>
        </w:rPr>
        <w:t>essential</w:t>
      </w:r>
      <w:r>
        <w:rPr>
          <w:spacing w:val="-5"/>
        </w:rPr>
        <w:t> </w:t>
      </w:r>
      <w:r>
        <w:rPr>
          <w:spacing w:val="-2"/>
        </w:rPr>
        <w:t>if</w:t>
      </w:r>
      <w:r>
        <w:rPr>
          <w:spacing w:val="-5"/>
        </w:rPr>
        <w:t> </w:t>
      </w:r>
      <w:r>
        <w:rPr>
          <w:spacing w:val="-2"/>
        </w:rPr>
        <w:t>India’s </w:t>
      </w:r>
      <w:r>
        <w:rPr>
          <w:spacing w:val="-4"/>
        </w:rPr>
        <w:t>traditional</w:t>
      </w:r>
      <w:r>
        <w:rPr>
          <w:spacing w:val="-10"/>
        </w:rPr>
        <w:t> </w:t>
      </w:r>
      <w:r>
        <w:rPr>
          <w:spacing w:val="-4"/>
        </w:rPr>
        <w:t>medical</w:t>
      </w:r>
      <w:r>
        <w:rPr>
          <w:spacing w:val="-10"/>
        </w:rPr>
        <w:t> </w:t>
      </w:r>
      <w:r>
        <w:rPr>
          <w:spacing w:val="-4"/>
        </w:rPr>
        <w:t>heritage</w:t>
      </w:r>
      <w:r>
        <w:rPr>
          <w:spacing w:val="-10"/>
        </w:rPr>
        <w:t> </w:t>
      </w:r>
      <w:r>
        <w:rPr>
          <w:spacing w:val="-4"/>
        </w:rPr>
        <w:t>is</w:t>
      </w:r>
      <w:r>
        <w:rPr>
          <w:spacing w:val="-9"/>
        </w:rPr>
        <w:t> </w:t>
      </w:r>
      <w:r>
        <w:rPr>
          <w:spacing w:val="-4"/>
        </w:rPr>
        <w:t>to</w:t>
      </w:r>
      <w:r>
        <w:rPr>
          <w:spacing w:val="-10"/>
        </w:rPr>
        <w:t> </w:t>
      </w:r>
      <w:r>
        <w:rPr>
          <w:spacing w:val="-4"/>
        </w:rPr>
        <w:t>find</w:t>
      </w:r>
      <w:r>
        <w:rPr>
          <w:spacing w:val="-10"/>
        </w:rPr>
        <w:t> </w:t>
      </w:r>
      <w:r>
        <w:rPr>
          <w:spacing w:val="-4"/>
        </w:rPr>
        <w:t>its</w:t>
      </w:r>
      <w:r>
        <w:rPr>
          <w:spacing w:val="-10"/>
        </w:rPr>
        <w:t> </w:t>
      </w:r>
      <w:r>
        <w:rPr>
          <w:spacing w:val="-4"/>
        </w:rPr>
        <w:t>rightful</w:t>
      </w:r>
      <w:r>
        <w:rPr>
          <w:spacing w:val="-9"/>
        </w:rPr>
        <w:t> </w:t>
      </w:r>
      <w:r>
        <w:rPr>
          <w:spacing w:val="-4"/>
        </w:rPr>
        <w:t>place</w:t>
      </w:r>
      <w:r>
        <w:rPr>
          <w:spacing w:val="-10"/>
        </w:rPr>
        <w:t> </w:t>
      </w:r>
      <w:r>
        <w:rPr>
          <w:spacing w:val="-4"/>
        </w:rPr>
        <w:t>in </w:t>
      </w:r>
      <w:r>
        <w:rPr/>
        <w:t>global</w:t>
      </w:r>
      <w:r>
        <w:rPr>
          <w:spacing w:val="-10"/>
        </w:rPr>
        <w:t> </w:t>
      </w:r>
      <w:r>
        <w:rPr/>
        <w:t>medical</w:t>
      </w:r>
      <w:r>
        <w:rPr>
          <w:spacing w:val="-10"/>
        </w:rPr>
        <w:t> </w:t>
      </w:r>
      <w:r>
        <w:rPr/>
        <w:t>pluralism.</w:t>
      </w:r>
    </w:p>
    <w:p>
      <w:pPr>
        <w:pStyle w:val="BodyText"/>
        <w:spacing w:before="23"/>
      </w:pPr>
    </w:p>
    <w:p>
      <w:pPr>
        <w:pStyle w:val="BodyText"/>
        <w:spacing w:line="266" w:lineRule="auto"/>
        <w:ind w:left="173" w:right="1077"/>
        <w:jc w:val="both"/>
      </w:pPr>
      <w:r>
        <w:rPr/>
        <w:t>It is recommended that efforts be made to introduce </w:t>
      </w:r>
      <w:r>
        <w:rPr>
          <w:spacing w:val="-4"/>
        </w:rPr>
        <w:t>evidence-based approaches into the current educational </w:t>
      </w:r>
      <w:r>
        <w:rPr/>
        <w:t>framework, possibly through institutions of the standard</w:t>
      </w:r>
      <w:r>
        <w:rPr>
          <w:spacing w:val="-9"/>
        </w:rPr>
        <w:t> </w:t>
      </w:r>
      <w:r>
        <w:rPr/>
        <w:t>of</w:t>
      </w:r>
      <w:r>
        <w:rPr>
          <w:spacing w:val="-9"/>
        </w:rPr>
        <w:t> </w:t>
      </w:r>
      <w:r>
        <w:rPr/>
        <w:t>IISc,</w:t>
      </w:r>
      <w:r>
        <w:rPr>
          <w:spacing w:val="-9"/>
        </w:rPr>
        <w:t> </w:t>
      </w:r>
      <w:r>
        <w:rPr/>
        <w:t>IITs</w:t>
      </w:r>
      <w:r>
        <w:rPr>
          <w:spacing w:val="-9"/>
        </w:rPr>
        <w:t> </w:t>
      </w:r>
      <w:r>
        <w:rPr/>
        <w:t>and</w:t>
      </w:r>
      <w:r>
        <w:rPr>
          <w:spacing w:val="-9"/>
        </w:rPr>
        <w:t> </w:t>
      </w:r>
      <w:r>
        <w:rPr/>
        <w:t>AIIMS</w:t>
      </w:r>
      <w:r>
        <w:rPr>
          <w:spacing w:val="-9"/>
        </w:rPr>
        <w:t> </w:t>
      </w:r>
      <w:r>
        <w:rPr/>
        <w:t>with</w:t>
      </w:r>
      <w:r>
        <w:rPr>
          <w:spacing w:val="-9"/>
        </w:rPr>
        <w:t> </w:t>
      </w:r>
      <w:r>
        <w:rPr/>
        <w:t>commensurate financial outlays.</w:t>
      </w:r>
    </w:p>
    <w:p>
      <w:pPr>
        <w:pStyle w:val="BodyText"/>
        <w:spacing w:before="1"/>
      </w:pPr>
    </w:p>
    <w:p>
      <w:pPr>
        <w:pStyle w:val="Heading6"/>
        <w:numPr>
          <w:ilvl w:val="0"/>
          <w:numId w:val="62"/>
        </w:numPr>
        <w:tabs>
          <w:tab w:pos="497" w:val="left" w:leader="none"/>
          <w:tab w:pos="499" w:val="left" w:leader="none"/>
        </w:tabs>
        <w:spacing w:line="182" w:lineRule="auto" w:before="1" w:after="0"/>
        <w:ind w:left="499" w:right="1990" w:hanging="327"/>
        <w:jc w:val="left"/>
      </w:pPr>
      <w:r>
        <w:rPr>
          <w:color w:val="2E614A"/>
          <w:spacing w:val="-4"/>
        </w:rPr>
        <w:t>Strengthen</w:t>
      </w:r>
      <w:r>
        <w:rPr>
          <w:color w:val="2E614A"/>
          <w:spacing w:val="-16"/>
        </w:rPr>
        <w:t> </w:t>
      </w:r>
      <w:r>
        <w:rPr>
          <w:color w:val="2E614A"/>
          <w:spacing w:val="-4"/>
        </w:rPr>
        <w:t>Research</w:t>
      </w:r>
      <w:r>
        <w:rPr>
          <w:color w:val="2E614A"/>
          <w:spacing w:val="-16"/>
        </w:rPr>
        <w:t> </w:t>
      </w:r>
      <w:r>
        <w:rPr>
          <w:color w:val="2E614A"/>
          <w:spacing w:val="-4"/>
        </w:rPr>
        <w:t>on </w:t>
      </w:r>
      <w:r>
        <w:rPr>
          <w:color w:val="2E614A"/>
          <w:w w:val="90"/>
        </w:rPr>
        <w:t>Traditional Health </w:t>
      </w:r>
      <w:r>
        <w:rPr>
          <w:color w:val="2E614A"/>
          <w:w w:val="90"/>
        </w:rPr>
        <w:t>Systems</w:t>
      </w:r>
    </w:p>
    <w:p>
      <w:pPr>
        <w:pStyle w:val="BodyText"/>
        <w:spacing w:line="266" w:lineRule="auto" w:before="274"/>
        <w:ind w:left="173" w:right="1077"/>
        <w:jc w:val="both"/>
      </w:pPr>
      <w:r>
        <w:rPr>
          <w:spacing w:val="-2"/>
        </w:rPr>
        <w:t>Investments</w:t>
      </w:r>
      <w:r>
        <w:rPr>
          <w:spacing w:val="-12"/>
        </w:rPr>
        <w:t> </w:t>
      </w:r>
      <w:r>
        <w:rPr>
          <w:spacing w:val="-2"/>
        </w:rPr>
        <w:t>in</w:t>
      </w:r>
      <w:r>
        <w:rPr>
          <w:spacing w:val="-12"/>
        </w:rPr>
        <w:t> </w:t>
      </w:r>
      <w:r>
        <w:rPr>
          <w:spacing w:val="-2"/>
        </w:rPr>
        <w:t>research</w:t>
      </w:r>
      <w:r>
        <w:rPr>
          <w:spacing w:val="-12"/>
        </w:rPr>
        <w:t> </w:t>
      </w:r>
      <w:r>
        <w:rPr>
          <w:spacing w:val="-2"/>
        </w:rPr>
        <w:t>and</w:t>
      </w:r>
      <w:r>
        <w:rPr>
          <w:spacing w:val="-11"/>
        </w:rPr>
        <w:t> </w:t>
      </w:r>
      <w:r>
        <w:rPr>
          <w:spacing w:val="-2"/>
        </w:rPr>
        <w:t>development</w:t>
      </w:r>
      <w:r>
        <w:rPr>
          <w:spacing w:val="-12"/>
        </w:rPr>
        <w:t> </w:t>
      </w:r>
      <w:r>
        <w:rPr>
          <w:spacing w:val="-2"/>
        </w:rPr>
        <w:t>of</w:t>
      </w:r>
      <w:r>
        <w:rPr>
          <w:spacing w:val="-12"/>
        </w:rPr>
        <w:t> </w:t>
      </w:r>
      <w:r>
        <w:rPr>
          <w:spacing w:val="-2"/>
        </w:rPr>
        <w:t>traditional </w:t>
      </w:r>
      <w:r>
        <w:rPr>
          <w:w w:val="90"/>
        </w:rPr>
        <w:t>medicine have been sub-critical and fragmented resulting </w:t>
      </w:r>
      <w:r>
        <w:rPr>
          <w:spacing w:val="-4"/>
        </w:rPr>
        <w:t>in</w:t>
      </w:r>
      <w:r>
        <w:rPr>
          <w:spacing w:val="-5"/>
        </w:rPr>
        <w:t> </w:t>
      </w:r>
      <w:r>
        <w:rPr>
          <w:spacing w:val="-4"/>
        </w:rPr>
        <w:t>scarcity of evidence about the efficacy of</w:t>
      </w:r>
      <w:r>
        <w:rPr>
          <w:spacing w:val="-10"/>
        </w:rPr>
        <w:t> </w:t>
      </w:r>
      <w:r>
        <w:rPr>
          <w:spacing w:val="-4"/>
        </w:rPr>
        <w:t>Traditional </w:t>
      </w:r>
      <w:r>
        <w:rPr/>
        <w:t>Health System (THS). In addition, these efforts have </w:t>
      </w:r>
      <w:r>
        <w:rPr>
          <w:spacing w:val="-2"/>
        </w:rPr>
        <w:t>also</w:t>
      </w:r>
      <w:r>
        <w:rPr>
          <w:spacing w:val="-12"/>
        </w:rPr>
        <w:t> </w:t>
      </w:r>
      <w:r>
        <w:rPr>
          <w:spacing w:val="-2"/>
        </w:rPr>
        <w:t>been</w:t>
      </w:r>
      <w:r>
        <w:rPr>
          <w:spacing w:val="-12"/>
        </w:rPr>
        <w:t> </w:t>
      </w:r>
      <w:r>
        <w:rPr>
          <w:spacing w:val="-2"/>
        </w:rPr>
        <w:t>frequently</w:t>
      </w:r>
      <w:r>
        <w:rPr>
          <w:spacing w:val="-12"/>
        </w:rPr>
        <w:t> </w:t>
      </w:r>
      <w:r>
        <w:rPr>
          <w:spacing w:val="-2"/>
        </w:rPr>
        <w:t>characterised</w:t>
      </w:r>
      <w:r>
        <w:rPr>
          <w:spacing w:val="-11"/>
        </w:rPr>
        <w:t> </w:t>
      </w:r>
      <w:r>
        <w:rPr>
          <w:spacing w:val="-2"/>
        </w:rPr>
        <w:t>by</w:t>
      </w:r>
      <w:r>
        <w:rPr>
          <w:spacing w:val="-12"/>
        </w:rPr>
        <w:t> </w:t>
      </w:r>
      <w:r>
        <w:rPr>
          <w:spacing w:val="-2"/>
        </w:rPr>
        <w:t>a</w:t>
      </w:r>
      <w:r>
        <w:rPr>
          <w:spacing w:val="-12"/>
        </w:rPr>
        <w:t> </w:t>
      </w:r>
      <w:r>
        <w:rPr>
          <w:spacing w:val="-2"/>
        </w:rPr>
        <w:t>lack</w:t>
      </w:r>
      <w:r>
        <w:rPr>
          <w:spacing w:val="-12"/>
        </w:rPr>
        <w:t> </w:t>
      </w:r>
      <w:r>
        <w:rPr>
          <w:spacing w:val="-2"/>
        </w:rPr>
        <w:t>of</w:t>
      </w:r>
      <w:r>
        <w:rPr>
          <w:spacing w:val="-11"/>
        </w:rPr>
        <w:t> </w:t>
      </w:r>
      <w:r>
        <w:rPr>
          <w:spacing w:val="-2"/>
        </w:rPr>
        <w:t>rigorous </w:t>
      </w:r>
      <w:r>
        <w:rPr/>
        <w:t>evidence-based</w:t>
      </w:r>
      <w:r>
        <w:rPr>
          <w:spacing w:val="-8"/>
        </w:rPr>
        <w:t> </w:t>
      </w:r>
      <w:r>
        <w:rPr/>
        <w:t>approaches.</w:t>
      </w:r>
      <w:r>
        <w:rPr>
          <w:spacing w:val="-13"/>
        </w:rPr>
        <w:t> </w:t>
      </w:r>
      <w:r>
        <w:rPr/>
        <w:t>There</w:t>
      </w:r>
      <w:r>
        <w:rPr>
          <w:spacing w:val="-8"/>
        </w:rPr>
        <w:t> </w:t>
      </w:r>
      <w:r>
        <w:rPr/>
        <w:t>has</w:t>
      </w:r>
      <w:r>
        <w:rPr>
          <w:spacing w:val="-8"/>
        </w:rPr>
        <w:t> </w:t>
      </w:r>
      <w:r>
        <w:rPr/>
        <w:t>also</w:t>
      </w:r>
      <w:r>
        <w:rPr>
          <w:spacing w:val="-8"/>
        </w:rPr>
        <w:t> </w:t>
      </w:r>
      <w:r>
        <w:rPr/>
        <w:t>been</w:t>
      </w:r>
      <w:r>
        <w:rPr>
          <w:spacing w:val="-8"/>
        </w:rPr>
        <w:t> </w:t>
      </w:r>
      <w:r>
        <w:rPr/>
        <w:t>little </w:t>
      </w:r>
      <w:r>
        <w:rPr>
          <w:spacing w:val="-6"/>
        </w:rPr>
        <w:t>appreciation of the role that social science research must </w:t>
      </w:r>
      <w:r>
        <w:rPr>
          <w:w w:val="90"/>
        </w:rPr>
        <w:t>play in comprehending the variety of societal perceptions </w:t>
      </w:r>
      <w:r>
        <w:rPr>
          <w:spacing w:val="-2"/>
        </w:rPr>
        <w:t>and</w:t>
      </w:r>
      <w:r>
        <w:rPr>
          <w:spacing w:val="-7"/>
        </w:rPr>
        <w:t> </w:t>
      </w:r>
      <w:r>
        <w:rPr>
          <w:spacing w:val="-2"/>
        </w:rPr>
        <w:t>responses</w:t>
      </w:r>
      <w:r>
        <w:rPr>
          <w:spacing w:val="-7"/>
        </w:rPr>
        <w:t> </w:t>
      </w:r>
      <w:r>
        <w:rPr>
          <w:spacing w:val="-2"/>
        </w:rPr>
        <w:t>so</w:t>
      </w:r>
      <w:r>
        <w:rPr>
          <w:spacing w:val="-7"/>
        </w:rPr>
        <w:t> </w:t>
      </w:r>
      <w:r>
        <w:rPr>
          <w:spacing w:val="-2"/>
        </w:rPr>
        <w:t>critical</w:t>
      </w:r>
      <w:r>
        <w:rPr>
          <w:spacing w:val="-7"/>
        </w:rPr>
        <w:t> </w:t>
      </w:r>
      <w:r>
        <w:rPr>
          <w:spacing w:val="-2"/>
        </w:rPr>
        <w:t>to</w:t>
      </w:r>
      <w:r>
        <w:rPr>
          <w:spacing w:val="-7"/>
        </w:rPr>
        <w:t> </w:t>
      </w:r>
      <w:r>
        <w:rPr>
          <w:spacing w:val="-2"/>
        </w:rPr>
        <w:t>ideas</w:t>
      </w:r>
      <w:r>
        <w:rPr>
          <w:spacing w:val="-7"/>
        </w:rPr>
        <w:t> </w:t>
      </w:r>
      <w:r>
        <w:rPr>
          <w:spacing w:val="-2"/>
        </w:rPr>
        <w:t>of</w:t>
      </w:r>
      <w:r>
        <w:rPr>
          <w:spacing w:val="-7"/>
        </w:rPr>
        <w:t> </w:t>
      </w:r>
      <w:r>
        <w:rPr>
          <w:spacing w:val="-2"/>
        </w:rPr>
        <w:t>medical</w:t>
      </w:r>
      <w:r>
        <w:rPr>
          <w:spacing w:val="-7"/>
        </w:rPr>
        <w:t> </w:t>
      </w:r>
      <w:r>
        <w:rPr>
          <w:spacing w:val="-2"/>
        </w:rPr>
        <w:t>pluralism. </w:t>
      </w:r>
      <w:r>
        <w:rPr>
          <w:spacing w:val="-6"/>
        </w:rPr>
        <w:t>There is a need to urgently establish a network of world- </w:t>
      </w:r>
      <w:r>
        <w:rPr>
          <w:spacing w:val="-4"/>
        </w:rPr>
        <w:t>class</w:t>
      </w:r>
      <w:r>
        <w:rPr>
          <w:spacing w:val="-7"/>
        </w:rPr>
        <w:t> </w:t>
      </w:r>
      <w:r>
        <w:rPr>
          <w:spacing w:val="-4"/>
        </w:rPr>
        <w:t>research</w:t>
      </w:r>
      <w:r>
        <w:rPr>
          <w:spacing w:val="-7"/>
        </w:rPr>
        <w:t> </w:t>
      </w:r>
      <w:r>
        <w:rPr>
          <w:spacing w:val="-4"/>
        </w:rPr>
        <w:t>programs</w:t>
      </w:r>
      <w:r>
        <w:rPr>
          <w:spacing w:val="-7"/>
        </w:rPr>
        <w:t> </w:t>
      </w:r>
      <w:r>
        <w:rPr>
          <w:spacing w:val="-4"/>
        </w:rPr>
        <w:t>in</w:t>
      </w:r>
      <w:r>
        <w:rPr>
          <w:spacing w:val="-7"/>
        </w:rPr>
        <w:t> </w:t>
      </w:r>
      <w:r>
        <w:rPr>
          <w:spacing w:val="-4"/>
        </w:rPr>
        <w:t>different</w:t>
      </w:r>
      <w:r>
        <w:rPr>
          <w:spacing w:val="-7"/>
        </w:rPr>
        <w:t> </w:t>
      </w:r>
      <w:r>
        <w:rPr>
          <w:spacing w:val="-4"/>
        </w:rPr>
        <w:t>parts</w:t>
      </w:r>
      <w:r>
        <w:rPr>
          <w:spacing w:val="-7"/>
        </w:rPr>
        <w:t> </w:t>
      </w:r>
      <w:r>
        <w:rPr>
          <w:spacing w:val="-4"/>
        </w:rPr>
        <w:t>of</w:t>
      </w:r>
      <w:r>
        <w:rPr>
          <w:spacing w:val="-7"/>
        </w:rPr>
        <w:t> </w:t>
      </w:r>
      <w:r>
        <w:rPr>
          <w:spacing w:val="-4"/>
        </w:rPr>
        <w:t>the</w:t>
      </w:r>
      <w:r>
        <w:rPr>
          <w:spacing w:val="-7"/>
        </w:rPr>
        <w:t> </w:t>
      </w:r>
      <w:r>
        <w:rPr>
          <w:spacing w:val="-4"/>
        </w:rPr>
        <w:t>country </w:t>
      </w:r>
      <w:r>
        <w:rPr>
          <w:spacing w:val="-2"/>
        </w:rPr>
        <w:t>to</w:t>
      </w:r>
      <w:r>
        <w:rPr>
          <w:spacing w:val="-4"/>
        </w:rPr>
        <w:t> </w:t>
      </w:r>
      <w:r>
        <w:rPr>
          <w:spacing w:val="-2"/>
        </w:rPr>
        <w:t>address</w:t>
      </w:r>
      <w:r>
        <w:rPr>
          <w:spacing w:val="-4"/>
        </w:rPr>
        <w:t> </w:t>
      </w:r>
      <w:r>
        <w:rPr>
          <w:spacing w:val="-2"/>
        </w:rPr>
        <w:t>these</w:t>
      </w:r>
      <w:r>
        <w:rPr>
          <w:spacing w:val="-4"/>
        </w:rPr>
        <w:t> </w:t>
      </w:r>
      <w:r>
        <w:rPr>
          <w:spacing w:val="-2"/>
        </w:rPr>
        <w:t>lacunae,</w:t>
      </w:r>
      <w:r>
        <w:rPr>
          <w:spacing w:val="-4"/>
        </w:rPr>
        <w:t> </w:t>
      </w:r>
      <w:r>
        <w:rPr>
          <w:spacing w:val="-2"/>
        </w:rPr>
        <w:t>with</w:t>
      </w:r>
      <w:r>
        <w:rPr>
          <w:spacing w:val="-4"/>
        </w:rPr>
        <w:t> </w:t>
      </w:r>
      <w:r>
        <w:rPr>
          <w:spacing w:val="-2"/>
        </w:rPr>
        <w:t>appropriate</w:t>
      </w:r>
      <w:r>
        <w:rPr>
          <w:spacing w:val="-4"/>
        </w:rPr>
        <w:t> </w:t>
      </w:r>
      <w:r>
        <w:rPr>
          <w:spacing w:val="-2"/>
        </w:rPr>
        <w:t>institutional </w:t>
      </w:r>
      <w:r>
        <w:rPr/>
        <w:t>and incentive structures. It is essential for India to </w:t>
      </w:r>
      <w:r>
        <w:rPr>
          <w:spacing w:val="-4"/>
        </w:rPr>
        <w:t>make original, rigorously evidence-based contributions </w:t>
      </w:r>
      <w:r>
        <w:rPr/>
        <w:t>to the world of medicine in fields such as pharmaco- </w:t>
      </w:r>
      <w:r>
        <w:rPr>
          <w:spacing w:val="-4"/>
        </w:rPr>
        <w:t>genomics,</w:t>
      </w:r>
      <w:r>
        <w:rPr>
          <w:spacing w:val="-6"/>
        </w:rPr>
        <w:t> </w:t>
      </w:r>
      <w:r>
        <w:rPr>
          <w:spacing w:val="-4"/>
        </w:rPr>
        <w:t>immunology,</w:t>
      </w:r>
      <w:r>
        <w:rPr>
          <w:spacing w:val="-6"/>
        </w:rPr>
        <w:t> </w:t>
      </w:r>
      <w:r>
        <w:rPr>
          <w:spacing w:val="-4"/>
        </w:rPr>
        <w:t>drug</w:t>
      </w:r>
      <w:r>
        <w:rPr>
          <w:spacing w:val="-6"/>
        </w:rPr>
        <w:t> </w:t>
      </w:r>
      <w:r>
        <w:rPr>
          <w:spacing w:val="-4"/>
        </w:rPr>
        <w:t>discovery</w:t>
      </w:r>
      <w:r>
        <w:rPr>
          <w:spacing w:val="-6"/>
        </w:rPr>
        <w:t> </w:t>
      </w:r>
      <w:r>
        <w:rPr>
          <w:spacing w:val="-4"/>
        </w:rPr>
        <w:t>and</w:t>
      </w:r>
      <w:r>
        <w:rPr>
          <w:spacing w:val="-6"/>
        </w:rPr>
        <w:t> </w:t>
      </w:r>
      <w:r>
        <w:rPr>
          <w:spacing w:val="-4"/>
        </w:rPr>
        <w:t>cardiology via</w:t>
      </w:r>
      <w:r>
        <w:rPr>
          <w:spacing w:val="-8"/>
        </w:rPr>
        <w:t> </w:t>
      </w:r>
      <w:r>
        <w:rPr>
          <w:spacing w:val="-4"/>
        </w:rPr>
        <w:t>imaginative</w:t>
      </w:r>
      <w:r>
        <w:rPr>
          <w:spacing w:val="-8"/>
        </w:rPr>
        <w:t> </w:t>
      </w:r>
      <w:r>
        <w:rPr>
          <w:spacing w:val="-4"/>
        </w:rPr>
        <w:t>examination</w:t>
      </w:r>
      <w:r>
        <w:rPr>
          <w:spacing w:val="-8"/>
        </w:rPr>
        <w:t> </w:t>
      </w:r>
      <w:r>
        <w:rPr>
          <w:spacing w:val="-4"/>
        </w:rPr>
        <w:t>of</w:t>
      </w:r>
      <w:r>
        <w:rPr>
          <w:spacing w:val="-8"/>
        </w:rPr>
        <w:t> </w:t>
      </w:r>
      <w:r>
        <w:rPr>
          <w:spacing w:val="-4"/>
        </w:rPr>
        <w:t>traditional</w:t>
      </w:r>
      <w:r>
        <w:rPr>
          <w:spacing w:val="-8"/>
        </w:rPr>
        <w:t> </w:t>
      </w:r>
      <w:r>
        <w:rPr>
          <w:spacing w:val="-4"/>
        </w:rPr>
        <w:t>ideas</w:t>
      </w:r>
      <w:r>
        <w:rPr>
          <w:spacing w:val="-8"/>
        </w:rPr>
        <w:t> </w:t>
      </w:r>
      <w:r>
        <w:rPr>
          <w:spacing w:val="-4"/>
        </w:rPr>
        <w:t>such</w:t>
      </w:r>
      <w:r>
        <w:rPr>
          <w:spacing w:val="-8"/>
        </w:rPr>
        <w:t> </w:t>
      </w:r>
      <w:r>
        <w:rPr>
          <w:spacing w:val="-4"/>
        </w:rPr>
        <w:t>as </w:t>
      </w:r>
      <w:r>
        <w:rPr/>
        <w:t>prakriti, rasayana or rasa.</w:t>
      </w:r>
    </w:p>
    <w:p>
      <w:pPr>
        <w:pStyle w:val="Heading6"/>
        <w:numPr>
          <w:ilvl w:val="0"/>
          <w:numId w:val="62"/>
        </w:numPr>
        <w:tabs>
          <w:tab w:pos="497" w:val="left" w:leader="none"/>
          <w:tab w:pos="499" w:val="left" w:leader="none"/>
        </w:tabs>
        <w:spacing w:line="182" w:lineRule="auto" w:before="244" w:after="0"/>
        <w:ind w:left="499" w:right="1952" w:hanging="327"/>
        <w:jc w:val="left"/>
      </w:pPr>
      <w:r>
        <w:rPr>
          <w:color w:val="2E614A"/>
          <w:w w:val="90"/>
        </w:rPr>
        <w:t>Strengthen </w:t>
      </w:r>
      <w:r>
        <w:rPr>
          <w:color w:val="2E614A"/>
          <w:w w:val="90"/>
        </w:rPr>
        <w:t>Pharmacopoeial </w:t>
      </w:r>
      <w:r>
        <w:rPr>
          <w:color w:val="2E614A"/>
          <w:spacing w:val="-2"/>
        </w:rPr>
        <w:t>Standards</w:t>
      </w:r>
    </w:p>
    <w:p>
      <w:pPr>
        <w:pStyle w:val="BodyText"/>
        <w:spacing w:line="266" w:lineRule="auto" w:before="274"/>
        <w:ind w:left="173" w:right="1078"/>
        <w:jc w:val="both"/>
      </w:pPr>
      <w:r>
        <w:rPr/>
        <w:t>Despite</w:t>
      </w:r>
      <w:r>
        <w:rPr>
          <w:spacing w:val="-12"/>
        </w:rPr>
        <w:t> </w:t>
      </w:r>
      <w:r>
        <w:rPr/>
        <w:t>extensive</w:t>
      </w:r>
      <w:r>
        <w:rPr>
          <w:spacing w:val="-12"/>
        </w:rPr>
        <w:t> </w:t>
      </w:r>
      <w:r>
        <w:rPr/>
        <w:t>documentation</w:t>
      </w:r>
      <w:r>
        <w:rPr>
          <w:spacing w:val="-12"/>
        </w:rPr>
        <w:t> </w:t>
      </w:r>
      <w:r>
        <w:rPr/>
        <w:t>of</w:t>
      </w:r>
      <w:r>
        <w:rPr>
          <w:spacing w:val="-12"/>
        </w:rPr>
        <w:t> </w:t>
      </w:r>
      <w:r>
        <w:rPr/>
        <w:t>medicinal</w:t>
      </w:r>
      <w:r>
        <w:rPr>
          <w:spacing w:val="-12"/>
        </w:rPr>
        <w:t> </w:t>
      </w:r>
      <w:r>
        <w:rPr/>
        <w:t>plants, there is a strong need for creating internationally acceptable</w:t>
      </w:r>
      <w:r>
        <w:rPr>
          <w:spacing w:val="-14"/>
        </w:rPr>
        <w:t> </w:t>
      </w:r>
      <w:r>
        <w:rPr/>
        <w:t>pharmacopoeias</w:t>
      </w:r>
      <w:r>
        <w:rPr>
          <w:spacing w:val="-14"/>
        </w:rPr>
        <w:t> </w:t>
      </w:r>
      <w:r>
        <w:rPr/>
        <w:t>for</w:t>
      </w:r>
      <w:r>
        <w:rPr>
          <w:spacing w:val="-14"/>
        </w:rPr>
        <w:t> </w:t>
      </w:r>
      <w:r>
        <w:rPr/>
        <w:t>herbal</w:t>
      </w:r>
      <w:r>
        <w:rPr>
          <w:spacing w:val="-13"/>
        </w:rPr>
        <w:t> </w:t>
      </w:r>
      <w:r>
        <w:rPr/>
        <w:t>medications,</w:t>
      </w:r>
      <w:r>
        <w:rPr>
          <w:spacing w:val="-14"/>
        </w:rPr>
        <w:t> </w:t>
      </w:r>
      <w:r>
        <w:rPr/>
        <w:t>as </w:t>
      </w:r>
      <w:r>
        <w:rPr>
          <w:spacing w:val="-6"/>
        </w:rPr>
        <w:t>well</w:t>
      </w:r>
      <w:r>
        <w:rPr>
          <w:spacing w:val="-8"/>
        </w:rPr>
        <w:t> </w:t>
      </w:r>
      <w:r>
        <w:rPr>
          <w:spacing w:val="-6"/>
        </w:rPr>
        <w:t>as</w:t>
      </w:r>
      <w:r>
        <w:rPr>
          <w:spacing w:val="-8"/>
        </w:rPr>
        <w:t> </w:t>
      </w:r>
      <w:r>
        <w:rPr>
          <w:spacing w:val="-6"/>
        </w:rPr>
        <w:t>eco-system</w:t>
      </w:r>
      <w:r>
        <w:rPr>
          <w:spacing w:val="-8"/>
        </w:rPr>
        <w:t> </w:t>
      </w:r>
      <w:r>
        <w:rPr>
          <w:spacing w:val="-6"/>
        </w:rPr>
        <w:t>specific,</w:t>
      </w:r>
      <w:r>
        <w:rPr>
          <w:spacing w:val="-7"/>
        </w:rPr>
        <w:t> </w:t>
      </w:r>
      <w:r>
        <w:rPr>
          <w:spacing w:val="-6"/>
        </w:rPr>
        <w:t>regional</w:t>
      </w:r>
      <w:r>
        <w:rPr>
          <w:spacing w:val="-8"/>
        </w:rPr>
        <w:t> </w:t>
      </w:r>
      <w:r>
        <w:rPr>
          <w:spacing w:val="-6"/>
        </w:rPr>
        <w:t>pharmacopoeias</w:t>
      </w:r>
      <w:r>
        <w:rPr>
          <w:spacing w:val="-8"/>
        </w:rPr>
        <w:t> </w:t>
      </w:r>
      <w:r>
        <w:rPr>
          <w:spacing w:val="-6"/>
        </w:rPr>
        <w:t>for </w:t>
      </w:r>
      <w:r>
        <w:rPr/>
        <w:t>various</w:t>
      </w:r>
      <w:r>
        <w:rPr>
          <w:spacing w:val="-4"/>
        </w:rPr>
        <w:t> </w:t>
      </w:r>
      <w:r>
        <w:rPr/>
        <w:t>bio-geographic</w:t>
      </w:r>
      <w:r>
        <w:rPr>
          <w:spacing w:val="-4"/>
        </w:rPr>
        <w:t> </w:t>
      </w:r>
      <w:r>
        <w:rPr/>
        <w:t>regions</w:t>
      </w:r>
      <w:r>
        <w:rPr>
          <w:spacing w:val="-4"/>
        </w:rPr>
        <w:t> </w:t>
      </w:r>
      <w:r>
        <w:rPr/>
        <w:t>of</w:t>
      </w:r>
      <w:r>
        <w:rPr>
          <w:spacing w:val="-4"/>
        </w:rPr>
        <w:t> </w:t>
      </w:r>
      <w:r>
        <w:rPr/>
        <w:t>India.</w:t>
      </w:r>
    </w:p>
    <w:p>
      <w:pPr>
        <w:spacing w:after="0" w:line="266" w:lineRule="auto"/>
        <w:jc w:val="both"/>
        <w:sectPr>
          <w:type w:val="continuous"/>
          <w:pgSz w:w="11910" w:h="16840"/>
          <w:pgMar w:header="0" w:footer="675" w:top="1920" w:bottom="280" w:left="0" w:right="0"/>
          <w:cols w:num="2" w:equalWidth="0">
            <w:col w:w="5920" w:space="40"/>
            <w:col w:w="5950"/>
          </w:cols>
        </w:sectPr>
      </w:pPr>
    </w:p>
    <w:p>
      <w:pPr>
        <w:pStyle w:val="Heading6"/>
        <w:numPr>
          <w:ilvl w:val="0"/>
          <w:numId w:val="62"/>
        </w:numPr>
        <w:tabs>
          <w:tab w:pos="1404" w:val="left" w:leader="none"/>
          <w:tab w:pos="1406" w:val="left" w:leader="none"/>
        </w:tabs>
        <w:spacing w:line="208" w:lineRule="auto" w:before="96" w:after="0"/>
        <w:ind w:left="1406" w:right="171" w:hanging="327"/>
        <w:jc w:val="left"/>
      </w:pPr>
      <w:r>
        <w:rPr>
          <w:color w:val="2E614A"/>
          <w:spacing w:val="-12"/>
        </w:rPr>
        <w:t>Increase</w:t>
      </w:r>
      <w:r>
        <w:rPr>
          <w:color w:val="2E614A"/>
          <w:spacing w:val="-6"/>
        </w:rPr>
        <w:t> </w:t>
      </w:r>
      <w:r>
        <w:rPr>
          <w:color w:val="2E614A"/>
          <w:spacing w:val="-12"/>
        </w:rPr>
        <w:t>Quality</w:t>
      </w:r>
      <w:r>
        <w:rPr>
          <w:color w:val="2E614A"/>
          <w:spacing w:val="-6"/>
        </w:rPr>
        <w:t> </w:t>
      </w:r>
      <w:r>
        <w:rPr>
          <w:color w:val="2E614A"/>
          <w:spacing w:val="-12"/>
        </w:rPr>
        <w:t>and</w:t>
      </w:r>
      <w:r>
        <w:rPr>
          <w:color w:val="2E614A"/>
          <w:spacing w:val="-6"/>
        </w:rPr>
        <w:t> </w:t>
      </w:r>
      <w:r>
        <w:rPr>
          <w:color w:val="2E614A"/>
          <w:spacing w:val="-12"/>
        </w:rPr>
        <w:t>Quantity</w:t>
      </w:r>
      <w:r>
        <w:rPr>
          <w:color w:val="2E614A"/>
          <w:spacing w:val="-6"/>
        </w:rPr>
        <w:t> </w:t>
      </w:r>
      <w:r>
        <w:rPr>
          <w:color w:val="2E614A"/>
          <w:spacing w:val="-12"/>
        </w:rPr>
        <w:t>of </w:t>
      </w:r>
      <w:r>
        <w:rPr>
          <w:color w:val="2E614A"/>
          <w:spacing w:val="-4"/>
        </w:rPr>
        <w:t>Clinical</w:t>
      </w:r>
      <w:r>
        <w:rPr>
          <w:color w:val="2E614A"/>
          <w:spacing w:val="-11"/>
        </w:rPr>
        <w:t> </w:t>
      </w:r>
      <w:r>
        <w:rPr>
          <w:color w:val="2E614A"/>
          <w:spacing w:val="-4"/>
        </w:rPr>
        <w:t>Trials</w:t>
      </w:r>
      <w:r>
        <w:rPr>
          <w:color w:val="2E614A"/>
          <w:spacing w:val="-16"/>
        </w:rPr>
        <w:t> </w:t>
      </w:r>
      <w:r>
        <w:rPr>
          <w:color w:val="2E614A"/>
          <w:spacing w:val="-4"/>
        </w:rPr>
        <w:t>&amp;</w:t>
      </w:r>
      <w:r>
        <w:rPr>
          <w:color w:val="2E614A"/>
          <w:spacing w:val="-16"/>
        </w:rPr>
        <w:t> </w:t>
      </w:r>
      <w:r>
        <w:rPr>
          <w:color w:val="2E614A"/>
          <w:spacing w:val="-4"/>
        </w:rPr>
        <w:t>Certification</w:t>
      </w:r>
    </w:p>
    <w:p>
      <w:pPr>
        <w:pStyle w:val="BodyText"/>
        <w:spacing w:line="266" w:lineRule="auto" w:before="266"/>
        <w:ind w:left="1079"/>
        <w:jc w:val="both"/>
      </w:pPr>
      <w:r>
        <w:rPr/>
        <w:t>Promotion</w:t>
      </w:r>
      <w:r>
        <w:rPr>
          <w:spacing w:val="-4"/>
        </w:rPr>
        <w:t> </w:t>
      </w:r>
      <w:r>
        <w:rPr/>
        <w:t>of</w:t>
      </w:r>
      <w:r>
        <w:rPr>
          <w:spacing w:val="-4"/>
        </w:rPr>
        <w:t> </w:t>
      </w:r>
      <w:r>
        <w:rPr/>
        <w:t>traditional</w:t>
      </w:r>
      <w:r>
        <w:rPr>
          <w:spacing w:val="-4"/>
        </w:rPr>
        <w:t> </w:t>
      </w:r>
      <w:r>
        <w:rPr/>
        <w:t>medicine</w:t>
      </w:r>
      <w:r>
        <w:rPr>
          <w:spacing w:val="-4"/>
        </w:rPr>
        <w:t> </w:t>
      </w:r>
      <w:r>
        <w:rPr/>
        <w:t>goes</w:t>
      </w:r>
      <w:r>
        <w:rPr>
          <w:spacing w:val="-4"/>
        </w:rPr>
        <w:t> </w:t>
      </w:r>
      <w:r>
        <w:rPr/>
        <w:t>hand-in-hand with</w:t>
      </w:r>
      <w:r>
        <w:rPr>
          <w:spacing w:val="-14"/>
        </w:rPr>
        <w:t> </w:t>
      </w:r>
      <w:r>
        <w:rPr/>
        <w:t>increase</w:t>
      </w:r>
      <w:r>
        <w:rPr>
          <w:spacing w:val="-14"/>
        </w:rPr>
        <w:t> </w:t>
      </w:r>
      <w:r>
        <w:rPr/>
        <w:t>in</w:t>
      </w:r>
      <w:r>
        <w:rPr>
          <w:spacing w:val="-14"/>
        </w:rPr>
        <w:t> </w:t>
      </w:r>
      <w:r>
        <w:rPr/>
        <w:t>the</w:t>
      </w:r>
      <w:r>
        <w:rPr>
          <w:spacing w:val="-13"/>
        </w:rPr>
        <w:t> </w:t>
      </w:r>
      <w:r>
        <w:rPr/>
        <w:t>quality</w:t>
      </w:r>
      <w:r>
        <w:rPr>
          <w:spacing w:val="-14"/>
        </w:rPr>
        <w:t> </w:t>
      </w:r>
      <w:r>
        <w:rPr/>
        <w:t>of</w:t>
      </w:r>
      <w:r>
        <w:rPr>
          <w:spacing w:val="-14"/>
        </w:rPr>
        <w:t> </w:t>
      </w:r>
      <w:r>
        <w:rPr/>
        <w:t>rigorous,</w:t>
      </w:r>
      <w:r>
        <w:rPr>
          <w:spacing w:val="-14"/>
        </w:rPr>
        <w:t> </w:t>
      </w:r>
      <w:r>
        <w:rPr/>
        <w:t>yet</w:t>
      </w:r>
      <w:r>
        <w:rPr>
          <w:spacing w:val="-13"/>
        </w:rPr>
        <w:t> </w:t>
      </w:r>
      <w:r>
        <w:rPr/>
        <w:t>sensitively designed</w:t>
      </w:r>
      <w:r>
        <w:rPr>
          <w:spacing w:val="-5"/>
        </w:rPr>
        <w:t> </w:t>
      </w:r>
      <w:r>
        <w:rPr/>
        <w:t>clinical</w:t>
      </w:r>
      <w:r>
        <w:rPr>
          <w:spacing w:val="-5"/>
        </w:rPr>
        <w:t> </w:t>
      </w:r>
      <w:r>
        <w:rPr/>
        <w:t>trials</w:t>
      </w:r>
      <w:r>
        <w:rPr>
          <w:spacing w:val="-5"/>
        </w:rPr>
        <w:t> </w:t>
      </w:r>
      <w:r>
        <w:rPr/>
        <w:t>to</w:t>
      </w:r>
      <w:r>
        <w:rPr>
          <w:spacing w:val="-5"/>
        </w:rPr>
        <w:t> </w:t>
      </w:r>
      <w:r>
        <w:rPr/>
        <w:t>support</w:t>
      </w:r>
      <w:r>
        <w:rPr>
          <w:spacing w:val="-5"/>
        </w:rPr>
        <w:t> </w:t>
      </w:r>
      <w:r>
        <w:rPr/>
        <w:t>or</w:t>
      </w:r>
      <w:r>
        <w:rPr>
          <w:spacing w:val="-5"/>
        </w:rPr>
        <w:t> </w:t>
      </w:r>
      <w:r>
        <w:rPr/>
        <w:t>refute</w:t>
      </w:r>
      <w:r>
        <w:rPr>
          <w:spacing w:val="-5"/>
        </w:rPr>
        <w:t> </w:t>
      </w:r>
      <w:r>
        <w:rPr/>
        <w:t>traditional medical</w:t>
      </w:r>
      <w:r>
        <w:rPr>
          <w:spacing w:val="-1"/>
        </w:rPr>
        <w:t> </w:t>
      </w:r>
      <w:r>
        <w:rPr/>
        <w:t>claims</w:t>
      </w:r>
      <w:r>
        <w:rPr>
          <w:spacing w:val="-1"/>
        </w:rPr>
        <w:t> </w:t>
      </w:r>
      <w:r>
        <w:rPr/>
        <w:t>of</w:t>
      </w:r>
      <w:r>
        <w:rPr>
          <w:spacing w:val="-1"/>
        </w:rPr>
        <w:t> </w:t>
      </w:r>
      <w:r>
        <w:rPr/>
        <w:t>efficacy.</w:t>
      </w:r>
      <w:r>
        <w:rPr>
          <w:spacing w:val="-1"/>
        </w:rPr>
        <w:t> </w:t>
      </w:r>
      <w:r>
        <w:rPr/>
        <w:t>Also,</w:t>
      </w:r>
      <w:r>
        <w:rPr>
          <w:spacing w:val="-1"/>
        </w:rPr>
        <w:t> </w:t>
      </w:r>
      <w:r>
        <w:rPr/>
        <w:t>lack</w:t>
      </w:r>
      <w:r>
        <w:rPr>
          <w:spacing w:val="-1"/>
        </w:rPr>
        <w:t> </w:t>
      </w:r>
      <w:r>
        <w:rPr/>
        <w:t>of</w:t>
      </w:r>
      <w:r>
        <w:rPr>
          <w:spacing w:val="-1"/>
        </w:rPr>
        <w:t> </w:t>
      </w:r>
      <w:r>
        <w:rPr/>
        <w:t>information on</w:t>
      </w:r>
      <w:r>
        <w:rPr>
          <w:spacing w:val="-1"/>
        </w:rPr>
        <w:t> </w:t>
      </w:r>
      <w:r>
        <w:rPr/>
        <w:t>toxicological</w:t>
      </w:r>
      <w:r>
        <w:rPr>
          <w:spacing w:val="-1"/>
        </w:rPr>
        <w:t> </w:t>
      </w:r>
      <w:r>
        <w:rPr/>
        <w:t>data/safety</w:t>
      </w:r>
      <w:r>
        <w:rPr>
          <w:spacing w:val="-1"/>
        </w:rPr>
        <w:t> </w:t>
      </w:r>
      <w:r>
        <w:rPr/>
        <w:t>studies</w:t>
      </w:r>
      <w:r>
        <w:rPr>
          <w:spacing w:val="-1"/>
        </w:rPr>
        <w:t> </w:t>
      </w:r>
      <w:r>
        <w:rPr/>
        <w:t>makes</w:t>
      </w:r>
      <w:r>
        <w:rPr>
          <w:spacing w:val="-1"/>
        </w:rPr>
        <w:t> </w:t>
      </w:r>
      <w:r>
        <w:rPr/>
        <w:t>it</w:t>
      </w:r>
      <w:r>
        <w:rPr>
          <w:spacing w:val="-1"/>
        </w:rPr>
        <w:t> </w:t>
      </w:r>
      <w:r>
        <w:rPr/>
        <w:t>difficult to</w:t>
      </w:r>
      <w:r>
        <w:rPr>
          <w:spacing w:val="-4"/>
        </w:rPr>
        <w:t> </w:t>
      </w:r>
      <w:r>
        <w:rPr/>
        <w:t>evaluate</w:t>
      </w:r>
      <w:r>
        <w:rPr>
          <w:spacing w:val="-4"/>
        </w:rPr>
        <w:t> </w:t>
      </w:r>
      <w:r>
        <w:rPr/>
        <w:t>the</w:t>
      </w:r>
      <w:r>
        <w:rPr>
          <w:spacing w:val="-4"/>
        </w:rPr>
        <w:t> </w:t>
      </w:r>
      <w:r>
        <w:rPr/>
        <w:t>risk</w:t>
      </w:r>
      <w:r>
        <w:rPr>
          <w:spacing w:val="-4"/>
        </w:rPr>
        <w:t> </w:t>
      </w:r>
      <w:r>
        <w:rPr/>
        <w:t>profile</w:t>
      </w:r>
      <w:r>
        <w:rPr>
          <w:spacing w:val="-4"/>
        </w:rPr>
        <w:t> </w:t>
      </w:r>
      <w:r>
        <w:rPr/>
        <w:t>of</w:t>
      </w:r>
      <w:r>
        <w:rPr>
          <w:spacing w:val="-4"/>
        </w:rPr>
        <w:t> </w:t>
      </w:r>
      <w:r>
        <w:rPr/>
        <w:t>traditional</w:t>
      </w:r>
      <w:r>
        <w:rPr>
          <w:spacing w:val="-4"/>
        </w:rPr>
        <w:t> </w:t>
      </w:r>
      <w:r>
        <w:rPr/>
        <w:t>medications. </w:t>
      </w:r>
      <w:r>
        <w:rPr>
          <w:spacing w:val="-4"/>
        </w:rPr>
        <w:t>There</w:t>
      </w:r>
      <w:r>
        <w:rPr>
          <w:spacing w:val="-9"/>
        </w:rPr>
        <w:t> </w:t>
      </w:r>
      <w:r>
        <w:rPr>
          <w:spacing w:val="-4"/>
        </w:rPr>
        <w:t>is</w:t>
      </w:r>
      <w:r>
        <w:rPr>
          <w:spacing w:val="-9"/>
        </w:rPr>
        <w:t> </w:t>
      </w:r>
      <w:r>
        <w:rPr>
          <w:spacing w:val="-4"/>
        </w:rPr>
        <w:t>a</w:t>
      </w:r>
      <w:r>
        <w:rPr>
          <w:spacing w:val="-9"/>
        </w:rPr>
        <w:t> </w:t>
      </w:r>
      <w:r>
        <w:rPr>
          <w:spacing w:val="-4"/>
        </w:rPr>
        <w:t>need</w:t>
      </w:r>
      <w:r>
        <w:rPr>
          <w:spacing w:val="-9"/>
        </w:rPr>
        <w:t> </w:t>
      </w:r>
      <w:r>
        <w:rPr>
          <w:spacing w:val="-4"/>
        </w:rPr>
        <w:t>for</w:t>
      </w:r>
      <w:r>
        <w:rPr>
          <w:spacing w:val="-9"/>
        </w:rPr>
        <w:t> </w:t>
      </w:r>
      <w:r>
        <w:rPr>
          <w:spacing w:val="-4"/>
        </w:rPr>
        <w:t>greater</w:t>
      </w:r>
      <w:r>
        <w:rPr>
          <w:spacing w:val="-9"/>
        </w:rPr>
        <w:t> </w:t>
      </w:r>
      <w:r>
        <w:rPr>
          <w:spacing w:val="-4"/>
        </w:rPr>
        <w:t>institutional</w:t>
      </w:r>
      <w:r>
        <w:rPr>
          <w:spacing w:val="-9"/>
        </w:rPr>
        <w:t> </w:t>
      </w:r>
      <w:r>
        <w:rPr>
          <w:spacing w:val="-4"/>
        </w:rPr>
        <w:t>enabling</w:t>
      </w:r>
      <w:r>
        <w:rPr>
          <w:spacing w:val="-9"/>
        </w:rPr>
        <w:t> </w:t>
      </w:r>
      <w:r>
        <w:rPr>
          <w:spacing w:val="-4"/>
        </w:rPr>
        <w:t>of</w:t>
      </w:r>
      <w:r>
        <w:rPr>
          <w:spacing w:val="-9"/>
        </w:rPr>
        <w:t> </w:t>
      </w:r>
      <w:r>
        <w:rPr>
          <w:spacing w:val="-4"/>
        </w:rPr>
        <w:t>such </w:t>
      </w:r>
      <w:r>
        <w:rPr/>
        <w:t>evaluations and trials.</w:t>
      </w:r>
      <w:r>
        <w:rPr>
          <w:spacing w:val="-1"/>
        </w:rPr>
        <w:t> </w:t>
      </w:r>
      <w:r>
        <w:rPr/>
        <w:t>These should be accompanied by a world-class certification process, which will assist the achievement of internationally acceptable </w:t>
      </w:r>
      <w:r>
        <w:rPr>
          <w:spacing w:val="-2"/>
        </w:rPr>
        <w:t>standards</w:t>
      </w:r>
      <w:r>
        <w:rPr>
          <w:spacing w:val="-10"/>
        </w:rPr>
        <w:t> </w:t>
      </w:r>
      <w:r>
        <w:rPr>
          <w:spacing w:val="-2"/>
        </w:rPr>
        <w:t>for</w:t>
      </w:r>
      <w:r>
        <w:rPr>
          <w:spacing w:val="-10"/>
        </w:rPr>
        <w:t> </w:t>
      </w:r>
      <w:r>
        <w:rPr>
          <w:spacing w:val="-2"/>
        </w:rPr>
        <w:t>good</w:t>
      </w:r>
      <w:r>
        <w:rPr>
          <w:spacing w:val="-10"/>
        </w:rPr>
        <w:t> </w:t>
      </w:r>
      <w:r>
        <w:rPr>
          <w:spacing w:val="-2"/>
        </w:rPr>
        <w:t>manufacturing,</w:t>
      </w:r>
      <w:r>
        <w:rPr>
          <w:spacing w:val="-10"/>
        </w:rPr>
        <w:t> </w:t>
      </w:r>
      <w:r>
        <w:rPr>
          <w:spacing w:val="-2"/>
        </w:rPr>
        <w:t>laboratory,</w:t>
      </w:r>
      <w:r>
        <w:rPr>
          <w:spacing w:val="-10"/>
        </w:rPr>
        <w:t> </w:t>
      </w:r>
      <w:r>
        <w:rPr>
          <w:spacing w:val="-2"/>
        </w:rPr>
        <w:t>clinical, </w:t>
      </w:r>
      <w:r>
        <w:rPr/>
        <w:t>agricultural and collection practices.</w:t>
      </w:r>
      <w:r>
        <w:rPr>
          <w:spacing w:val="-5"/>
        </w:rPr>
        <w:t> </w:t>
      </w:r>
      <w:r>
        <w:rPr/>
        <w:t>The pre-clinical and</w:t>
      </w:r>
      <w:r>
        <w:rPr>
          <w:spacing w:val="-11"/>
        </w:rPr>
        <w:t> </w:t>
      </w:r>
      <w:r>
        <w:rPr/>
        <w:t>clinical</w:t>
      </w:r>
      <w:r>
        <w:rPr>
          <w:spacing w:val="-11"/>
        </w:rPr>
        <w:t> </w:t>
      </w:r>
      <w:r>
        <w:rPr/>
        <w:t>efficacy</w:t>
      </w:r>
      <w:r>
        <w:rPr>
          <w:spacing w:val="-11"/>
        </w:rPr>
        <w:t> </w:t>
      </w:r>
      <w:r>
        <w:rPr/>
        <w:t>validation</w:t>
      </w:r>
      <w:r>
        <w:rPr>
          <w:spacing w:val="-11"/>
        </w:rPr>
        <w:t> </w:t>
      </w:r>
      <w:r>
        <w:rPr/>
        <w:t>and</w:t>
      </w:r>
      <w:r>
        <w:rPr>
          <w:spacing w:val="-11"/>
        </w:rPr>
        <w:t> </w:t>
      </w:r>
      <w:r>
        <w:rPr/>
        <w:t>standardisation</w:t>
      </w:r>
      <w:r>
        <w:rPr>
          <w:spacing w:val="-11"/>
        </w:rPr>
        <w:t> </w:t>
      </w:r>
      <w:r>
        <w:rPr/>
        <w:t>of ten best THS products for global market should be </w:t>
      </w:r>
      <w:r>
        <w:rPr>
          <w:spacing w:val="-4"/>
        </w:rPr>
        <w:t>supported as a flagship project. Similarly technological </w:t>
      </w:r>
      <w:r>
        <w:rPr/>
        <w:t>up-gradation</w:t>
      </w:r>
      <w:r>
        <w:rPr>
          <w:spacing w:val="40"/>
        </w:rPr>
        <w:t> </w:t>
      </w:r>
      <w:r>
        <w:rPr/>
        <w:t>of</w:t>
      </w:r>
      <w:r>
        <w:rPr>
          <w:spacing w:val="40"/>
        </w:rPr>
        <w:t> </w:t>
      </w:r>
      <w:r>
        <w:rPr/>
        <w:t>the</w:t>
      </w:r>
      <w:r>
        <w:rPr>
          <w:spacing w:val="40"/>
        </w:rPr>
        <w:t> </w:t>
      </w:r>
      <w:r>
        <w:rPr/>
        <w:t>manufacturing</w:t>
      </w:r>
      <w:r>
        <w:rPr>
          <w:spacing w:val="40"/>
        </w:rPr>
        <w:t> </w:t>
      </w:r>
      <w:r>
        <w:rPr/>
        <w:t>units</w:t>
      </w:r>
      <w:r>
        <w:rPr>
          <w:spacing w:val="40"/>
        </w:rPr>
        <w:t> </w:t>
      </w:r>
      <w:r>
        <w:rPr/>
        <w:t>involved in manufacture of these successful products to international</w:t>
      </w:r>
      <w:r>
        <w:rPr>
          <w:spacing w:val="-12"/>
        </w:rPr>
        <w:t> </w:t>
      </w:r>
      <w:r>
        <w:rPr/>
        <w:t>standards</w:t>
      </w:r>
      <w:r>
        <w:rPr>
          <w:spacing w:val="-12"/>
        </w:rPr>
        <w:t> </w:t>
      </w:r>
      <w:r>
        <w:rPr/>
        <w:t>must</w:t>
      </w:r>
      <w:r>
        <w:rPr>
          <w:spacing w:val="-12"/>
        </w:rPr>
        <w:t> </w:t>
      </w:r>
      <w:r>
        <w:rPr/>
        <w:t>be</w:t>
      </w:r>
      <w:r>
        <w:rPr>
          <w:spacing w:val="-12"/>
        </w:rPr>
        <w:t> </w:t>
      </w:r>
      <w:r>
        <w:rPr/>
        <w:t>carried</w:t>
      </w:r>
      <w:r>
        <w:rPr>
          <w:spacing w:val="-12"/>
        </w:rPr>
        <w:t> </w:t>
      </w:r>
      <w:r>
        <w:rPr/>
        <w:t>out.</w:t>
      </w:r>
    </w:p>
    <w:p>
      <w:pPr>
        <w:pStyle w:val="Heading6"/>
        <w:numPr>
          <w:ilvl w:val="0"/>
          <w:numId w:val="62"/>
        </w:numPr>
        <w:tabs>
          <w:tab w:pos="1404" w:val="left" w:leader="none"/>
        </w:tabs>
        <w:spacing w:line="240" w:lineRule="auto" w:before="212" w:after="0"/>
        <w:ind w:left="1404" w:right="0" w:hanging="325"/>
        <w:jc w:val="left"/>
      </w:pPr>
      <w:r>
        <w:rPr>
          <w:color w:val="2E614A"/>
          <w:spacing w:val="-10"/>
        </w:rPr>
        <w:t>Digitise</w:t>
      </w:r>
      <w:r>
        <w:rPr>
          <w:color w:val="2E614A"/>
          <w:spacing w:val="-1"/>
        </w:rPr>
        <w:t> </w:t>
      </w:r>
      <w:r>
        <w:rPr>
          <w:color w:val="2E614A"/>
          <w:spacing w:val="-10"/>
        </w:rPr>
        <w:t>Traditional Knowledge</w:t>
      </w:r>
    </w:p>
    <w:p>
      <w:pPr>
        <w:pStyle w:val="BodyText"/>
        <w:spacing w:line="266" w:lineRule="auto" w:before="286"/>
        <w:ind w:left="1079"/>
        <w:jc w:val="both"/>
      </w:pPr>
      <w:r>
        <w:rPr/>
        <w:t>The work underway for creating a comprehensive Traditional Knowledge Digital Library </w:t>
      </w:r>
      <w:r>
        <w:rPr/>
        <w:t>(TKDL) should</w:t>
      </w:r>
      <w:r>
        <w:rPr>
          <w:spacing w:val="-14"/>
        </w:rPr>
        <w:t> </w:t>
      </w:r>
      <w:r>
        <w:rPr/>
        <w:t>be</w:t>
      </w:r>
      <w:r>
        <w:rPr>
          <w:spacing w:val="-14"/>
        </w:rPr>
        <w:t> </w:t>
      </w:r>
      <w:r>
        <w:rPr/>
        <w:t>diversified</w:t>
      </w:r>
      <w:r>
        <w:rPr>
          <w:spacing w:val="-14"/>
        </w:rPr>
        <w:t> </w:t>
      </w:r>
      <w:r>
        <w:rPr/>
        <w:t>and</w:t>
      </w:r>
      <w:r>
        <w:rPr>
          <w:spacing w:val="-13"/>
        </w:rPr>
        <w:t> </w:t>
      </w:r>
      <w:r>
        <w:rPr/>
        <w:t>expanded.</w:t>
      </w:r>
      <w:r>
        <w:rPr>
          <w:spacing w:val="-14"/>
        </w:rPr>
        <w:t> </w:t>
      </w:r>
      <w:r>
        <w:rPr/>
        <w:t>A</w:t>
      </w:r>
      <w:r>
        <w:rPr>
          <w:spacing w:val="-14"/>
        </w:rPr>
        <w:t> </w:t>
      </w:r>
      <w:r>
        <w:rPr/>
        <w:t>major</w:t>
      </w:r>
      <w:r>
        <w:rPr>
          <w:spacing w:val="-14"/>
        </w:rPr>
        <w:t> </w:t>
      </w:r>
      <w:r>
        <w:rPr/>
        <w:t>program </w:t>
      </w:r>
      <w:r>
        <w:rPr>
          <w:spacing w:val="-4"/>
        </w:rPr>
        <w:t>should</w:t>
      </w:r>
      <w:r>
        <w:rPr>
          <w:spacing w:val="-6"/>
        </w:rPr>
        <w:t> </w:t>
      </w:r>
      <w:r>
        <w:rPr>
          <w:spacing w:val="-4"/>
        </w:rPr>
        <w:t>be</w:t>
      </w:r>
      <w:r>
        <w:rPr>
          <w:spacing w:val="-6"/>
        </w:rPr>
        <w:t> </w:t>
      </w:r>
      <w:r>
        <w:rPr>
          <w:spacing w:val="-4"/>
        </w:rPr>
        <w:t>established</w:t>
      </w:r>
      <w:r>
        <w:rPr>
          <w:spacing w:val="-6"/>
        </w:rPr>
        <w:t> </w:t>
      </w:r>
      <w:r>
        <w:rPr>
          <w:spacing w:val="-4"/>
        </w:rPr>
        <w:t>for</w:t>
      </w:r>
      <w:r>
        <w:rPr>
          <w:spacing w:val="-6"/>
        </w:rPr>
        <w:t> </w:t>
      </w:r>
      <w:r>
        <w:rPr>
          <w:spacing w:val="-4"/>
        </w:rPr>
        <w:t>digitisation</w:t>
      </w:r>
      <w:r>
        <w:rPr>
          <w:spacing w:val="-6"/>
        </w:rPr>
        <w:t> </w:t>
      </w:r>
      <w:r>
        <w:rPr>
          <w:spacing w:val="-4"/>
        </w:rPr>
        <w:t>of</w:t>
      </w:r>
      <w:r>
        <w:rPr>
          <w:spacing w:val="-6"/>
        </w:rPr>
        <w:t> </w:t>
      </w:r>
      <w:r>
        <w:rPr>
          <w:spacing w:val="-4"/>
        </w:rPr>
        <w:t>India’s</w:t>
      </w:r>
      <w:r>
        <w:rPr>
          <w:spacing w:val="-6"/>
        </w:rPr>
        <w:t> </w:t>
      </w:r>
      <w:r>
        <w:rPr>
          <w:spacing w:val="-4"/>
        </w:rPr>
        <w:t>medical manuscripts (located both within India and abroad) and for</w:t>
      </w:r>
      <w:r>
        <w:rPr>
          <w:spacing w:val="-12"/>
        </w:rPr>
        <w:t> </w:t>
      </w:r>
      <w:r>
        <w:rPr>
          <w:spacing w:val="-4"/>
        </w:rPr>
        <w:t>making</w:t>
      </w:r>
      <w:r>
        <w:rPr>
          <w:spacing w:val="-10"/>
        </w:rPr>
        <w:t> </w:t>
      </w:r>
      <w:r>
        <w:rPr>
          <w:spacing w:val="-4"/>
        </w:rPr>
        <w:t>this</w:t>
      </w:r>
      <w:r>
        <w:rPr>
          <w:spacing w:val="-10"/>
        </w:rPr>
        <w:t> </w:t>
      </w:r>
      <w:r>
        <w:rPr>
          <w:spacing w:val="-4"/>
        </w:rPr>
        <w:t>digital</w:t>
      </w:r>
      <w:r>
        <w:rPr>
          <w:spacing w:val="-9"/>
        </w:rPr>
        <w:t> </w:t>
      </w:r>
      <w:r>
        <w:rPr>
          <w:spacing w:val="-4"/>
        </w:rPr>
        <w:t>library</w:t>
      </w:r>
      <w:r>
        <w:rPr>
          <w:spacing w:val="-10"/>
        </w:rPr>
        <w:t> </w:t>
      </w:r>
      <w:r>
        <w:rPr>
          <w:spacing w:val="-4"/>
        </w:rPr>
        <w:t>accessible</w:t>
      </w:r>
      <w:r>
        <w:rPr>
          <w:spacing w:val="-10"/>
        </w:rPr>
        <w:t> </w:t>
      </w:r>
      <w:r>
        <w:rPr>
          <w:spacing w:val="-4"/>
        </w:rPr>
        <w:t>to</w:t>
      </w:r>
      <w:r>
        <w:rPr>
          <w:spacing w:val="-10"/>
        </w:rPr>
        <w:t> </w:t>
      </w:r>
      <w:r>
        <w:rPr>
          <w:spacing w:val="-4"/>
        </w:rPr>
        <w:t>teaching</w:t>
      </w:r>
      <w:r>
        <w:rPr>
          <w:spacing w:val="-9"/>
        </w:rPr>
        <w:t> </w:t>
      </w:r>
      <w:r>
        <w:rPr>
          <w:spacing w:val="-4"/>
        </w:rPr>
        <w:t>and research</w:t>
      </w:r>
      <w:r>
        <w:rPr>
          <w:spacing w:val="-10"/>
        </w:rPr>
        <w:t> </w:t>
      </w:r>
      <w:r>
        <w:rPr>
          <w:spacing w:val="-4"/>
        </w:rPr>
        <w:t>institutions</w:t>
      </w:r>
      <w:r>
        <w:rPr>
          <w:spacing w:val="-10"/>
        </w:rPr>
        <w:t> </w:t>
      </w:r>
      <w:r>
        <w:rPr>
          <w:spacing w:val="-4"/>
        </w:rPr>
        <w:t>in</w:t>
      </w:r>
      <w:r>
        <w:rPr>
          <w:spacing w:val="-10"/>
        </w:rPr>
        <w:t> </w:t>
      </w:r>
      <w:r>
        <w:rPr>
          <w:spacing w:val="-4"/>
        </w:rPr>
        <w:t>India.</w:t>
      </w:r>
      <w:r>
        <w:rPr>
          <w:spacing w:val="-9"/>
        </w:rPr>
        <w:t> </w:t>
      </w:r>
      <w:r>
        <w:rPr>
          <w:spacing w:val="-4"/>
        </w:rPr>
        <w:t>To</w:t>
      </w:r>
      <w:r>
        <w:rPr>
          <w:spacing w:val="-10"/>
        </w:rPr>
        <w:t> </w:t>
      </w:r>
      <w:r>
        <w:rPr>
          <w:spacing w:val="-4"/>
        </w:rPr>
        <w:t>modernise</w:t>
      </w:r>
      <w:r>
        <w:rPr>
          <w:spacing w:val="-10"/>
        </w:rPr>
        <w:t> </w:t>
      </w:r>
      <w:r>
        <w:rPr>
          <w:spacing w:val="-4"/>
        </w:rPr>
        <w:t>data-mining </w:t>
      </w:r>
      <w:r>
        <w:rPr/>
        <w:t>from</w:t>
      </w:r>
      <w:r>
        <w:rPr>
          <w:spacing w:val="-1"/>
        </w:rPr>
        <w:t> </w:t>
      </w:r>
      <w:r>
        <w:rPr/>
        <w:t>the</w:t>
      </w:r>
      <w:r>
        <w:rPr>
          <w:spacing w:val="-1"/>
        </w:rPr>
        <w:t> </w:t>
      </w:r>
      <w:r>
        <w:rPr/>
        <w:t>vast</w:t>
      </w:r>
      <w:r>
        <w:rPr>
          <w:spacing w:val="-1"/>
        </w:rPr>
        <w:t> </w:t>
      </w:r>
      <w:r>
        <w:rPr/>
        <w:t>corpus</w:t>
      </w:r>
      <w:r>
        <w:rPr>
          <w:spacing w:val="-1"/>
        </w:rPr>
        <w:t> </w:t>
      </w:r>
      <w:r>
        <w:rPr/>
        <w:t>of</w:t>
      </w:r>
      <w:r>
        <w:rPr>
          <w:spacing w:val="-1"/>
        </w:rPr>
        <w:t> </w:t>
      </w:r>
      <w:r>
        <w:rPr/>
        <w:t>traditional</w:t>
      </w:r>
      <w:r>
        <w:rPr>
          <w:spacing w:val="-1"/>
        </w:rPr>
        <w:t> </w:t>
      </w:r>
      <w:r>
        <w:rPr/>
        <w:t>medical</w:t>
      </w:r>
      <w:r>
        <w:rPr>
          <w:spacing w:val="-1"/>
        </w:rPr>
        <w:t> </w:t>
      </w:r>
      <w:r>
        <w:rPr/>
        <w:t>literature, an all-India coordinated, “Traditional Knowledge Informatics</w:t>
      </w:r>
      <w:r>
        <w:rPr>
          <w:spacing w:val="-9"/>
        </w:rPr>
        <w:t> </w:t>
      </w:r>
      <w:r>
        <w:rPr/>
        <w:t>Program”</w:t>
      </w:r>
      <w:r>
        <w:rPr>
          <w:spacing w:val="-9"/>
        </w:rPr>
        <w:t> </w:t>
      </w:r>
      <w:r>
        <w:rPr/>
        <w:t>should</w:t>
      </w:r>
      <w:r>
        <w:rPr>
          <w:spacing w:val="-9"/>
        </w:rPr>
        <w:t> </w:t>
      </w:r>
      <w:r>
        <w:rPr/>
        <w:t>be</w:t>
      </w:r>
      <w:r>
        <w:rPr>
          <w:spacing w:val="-9"/>
        </w:rPr>
        <w:t> </w:t>
      </w:r>
      <w:r>
        <w:rPr/>
        <w:t>constructed</w:t>
      </w:r>
      <w:r>
        <w:rPr>
          <w:spacing w:val="-9"/>
        </w:rPr>
        <w:t> </w:t>
      </w:r>
      <w:r>
        <w:rPr/>
        <w:t>to</w:t>
      </w:r>
      <w:r>
        <w:rPr>
          <w:spacing w:val="-9"/>
        </w:rPr>
        <w:t> </w:t>
      </w:r>
      <w:r>
        <w:rPr/>
        <w:t>create </w:t>
      </w:r>
      <w:r>
        <w:rPr>
          <w:spacing w:val="-4"/>
        </w:rPr>
        <w:t>a comprehensive list of available plant material-medica </w:t>
      </w:r>
      <w:r>
        <w:rPr/>
        <w:t>(2,000 species), their products (40,000 formulations) and clinical applications (5,000 conditions).</w:t>
      </w:r>
    </w:p>
    <w:p>
      <w:pPr>
        <w:pStyle w:val="Heading6"/>
        <w:numPr>
          <w:ilvl w:val="0"/>
          <w:numId w:val="62"/>
        </w:numPr>
        <w:tabs>
          <w:tab w:pos="1404" w:val="left" w:leader="none"/>
          <w:tab w:pos="1406" w:val="left" w:leader="none"/>
        </w:tabs>
        <w:spacing w:line="182" w:lineRule="auto" w:before="247" w:after="0"/>
        <w:ind w:left="1406" w:right="592" w:hanging="327"/>
        <w:jc w:val="left"/>
      </w:pPr>
      <w:r>
        <w:rPr>
          <w:color w:val="2E614A"/>
          <w:w w:val="90"/>
        </w:rPr>
        <w:t>Create</w:t>
      </w:r>
      <w:r>
        <w:rPr>
          <w:color w:val="2E614A"/>
          <w:spacing w:val="-5"/>
          <w:w w:val="90"/>
        </w:rPr>
        <w:t> </w:t>
      </w:r>
      <w:r>
        <w:rPr>
          <w:color w:val="2E614A"/>
          <w:w w:val="90"/>
        </w:rPr>
        <w:t>Suitable</w:t>
      </w:r>
      <w:r>
        <w:rPr>
          <w:color w:val="2E614A"/>
          <w:spacing w:val="-5"/>
          <w:w w:val="90"/>
        </w:rPr>
        <w:t> </w:t>
      </w:r>
      <w:r>
        <w:rPr>
          <w:color w:val="2E614A"/>
          <w:w w:val="90"/>
        </w:rPr>
        <w:t>Framework</w:t>
      </w:r>
      <w:r>
        <w:rPr>
          <w:color w:val="2E614A"/>
          <w:spacing w:val="-5"/>
          <w:w w:val="90"/>
        </w:rPr>
        <w:t> </w:t>
      </w:r>
      <w:r>
        <w:rPr>
          <w:color w:val="2E614A"/>
          <w:w w:val="90"/>
        </w:rPr>
        <w:t>of </w:t>
      </w:r>
      <w:r>
        <w:rPr>
          <w:color w:val="2E614A"/>
          <w:spacing w:val="-4"/>
        </w:rPr>
        <w:t>Intellectual</w:t>
      </w:r>
      <w:r>
        <w:rPr>
          <w:color w:val="2E614A"/>
          <w:spacing w:val="-16"/>
        </w:rPr>
        <w:t> </w:t>
      </w:r>
      <w:r>
        <w:rPr>
          <w:color w:val="2E614A"/>
          <w:spacing w:val="-4"/>
        </w:rPr>
        <w:t>Property</w:t>
      </w:r>
      <w:r>
        <w:rPr>
          <w:color w:val="2E614A"/>
          <w:spacing w:val="-16"/>
        </w:rPr>
        <w:t> </w:t>
      </w:r>
      <w:r>
        <w:rPr>
          <w:color w:val="2E614A"/>
          <w:spacing w:val="-4"/>
        </w:rPr>
        <w:t>Rights</w:t>
      </w:r>
    </w:p>
    <w:p>
      <w:pPr>
        <w:pStyle w:val="BodyText"/>
        <w:spacing w:line="266" w:lineRule="auto" w:before="293"/>
        <w:ind w:left="1079"/>
        <w:jc w:val="both"/>
      </w:pPr>
      <w:r>
        <w:rPr>
          <w:spacing w:val="-4"/>
        </w:rPr>
        <w:t>Emphasis</w:t>
      </w:r>
      <w:r>
        <w:rPr>
          <w:spacing w:val="-10"/>
        </w:rPr>
        <w:t> </w:t>
      </w:r>
      <w:r>
        <w:rPr>
          <w:spacing w:val="-4"/>
        </w:rPr>
        <w:t>should</w:t>
      </w:r>
      <w:r>
        <w:rPr>
          <w:spacing w:val="-10"/>
        </w:rPr>
        <w:t> </w:t>
      </w:r>
      <w:r>
        <w:rPr>
          <w:spacing w:val="-4"/>
        </w:rPr>
        <w:t>be</w:t>
      </w:r>
      <w:r>
        <w:rPr>
          <w:spacing w:val="-10"/>
        </w:rPr>
        <w:t> </w:t>
      </w:r>
      <w:r>
        <w:rPr>
          <w:spacing w:val="-4"/>
        </w:rPr>
        <w:t>put</w:t>
      </w:r>
      <w:r>
        <w:rPr>
          <w:spacing w:val="-9"/>
        </w:rPr>
        <w:t> </w:t>
      </w:r>
      <w:r>
        <w:rPr>
          <w:spacing w:val="-4"/>
        </w:rPr>
        <w:t>on</w:t>
      </w:r>
      <w:r>
        <w:rPr>
          <w:spacing w:val="-10"/>
        </w:rPr>
        <w:t> </w:t>
      </w:r>
      <w:r>
        <w:rPr>
          <w:spacing w:val="-4"/>
        </w:rPr>
        <w:t>creating</w:t>
      </w:r>
      <w:r>
        <w:rPr>
          <w:spacing w:val="-10"/>
        </w:rPr>
        <w:t> </w:t>
      </w:r>
      <w:r>
        <w:rPr>
          <w:spacing w:val="-4"/>
        </w:rPr>
        <w:t>suitable</w:t>
      </w:r>
      <w:r>
        <w:rPr>
          <w:spacing w:val="-9"/>
        </w:rPr>
        <w:t> </w:t>
      </w:r>
      <w:r>
        <w:rPr>
          <w:spacing w:val="-4"/>
        </w:rPr>
        <w:t>Intellectual Property</w:t>
      </w:r>
      <w:r>
        <w:rPr>
          <w:spacing w:val="-10"/>
        </w:rPr>
        <w:t> </w:t>
      </w:r>
      <w:r>
        <w:rPr>
          <w:spacing w:val="-4"/>
        </w:rPr>
        <w:t>Rights</w:t>
      </w:r>
      <w:r>
        <w:rPr>
          <w:spacing w:val="-10"/>
        </w:rPr>
        <w:t> </w:t>
      </w:r>
      <w:r>
        <w:rPr>
          <w:spacing w:val="-4"/>
        </w:rPr>
        <w:t>framework</w:t>
      </w:r>
      <w:r>
        <w:rPr>
          <w:spacing w:val="-10"/>
        </w:rPr>
        <w:t> </w:t>
      </w:r>
      <w:r>
        <w:rPr>
          <w:spacing w:val="-4"/>
        </w:rPr>
        <w:t>in</w:t>
      </w:r>
      <w:r>
        <w:rPr>
          <w:spacing w:val="-9"/>
        </w:rPr>
        <w:t> </w:t>
      </w:r>
      <w:r>
        <w:rPr>
          <w:spacing w:val="-4"/>
        </w:rPr>
        <w:t>the</w:t>
      </w:r>
      <w:r>
        <w:rPr>
          <w:spacing w:val="-10"/>
        </w:rPr>
        <w:t> </w:t>
      </w:r>
      <w:r>
        <w:rPr>
          <w:spacing w:val="-4"/>
        </w:rPr>
        <w:t>country</w:t>
      </w:r>
      <w:r>
        <w:rPr>
          <w:spacing w:val="-10"/>
        </w:rPr>
        <w:t> </w:t>
      </w:r>
      <w:r>
        <w:rPr>
          <w:spacing w:val="-4"/>
        </w:rPr>
        <w:t>for</w:t>
      </w:r>
      <w:r>
        <w:rPr>
          <w:spacing w:val="-10"/>
        </w:rPr>
        <w:t> </w:t>
      </w:r>
      <w:r>
        <w:rPr>
          <w:spacing w:val="-4"/>
        </w:rPr>
        <w:t>protection </w:t>
      </w:r>
      <w:r>
        <w:rPr>
          <w:spacing w:val="-2"/>
        </w:rPr>
        <w:t>of</w:t>
      </w:r>
      <w:r>
        <w:rPr>
          <w:spacing w:val="-14"/>
        </w:rPr>
        <w:t> </w:t>
      </w:r>
      <w:r>
        <w:rPr>
          <w:spacing w:val="-2"/>
        </w:rPr>
        <w:t>the</w:t>
      </w:r>
      <w:r>
        <w:rPr>
          <w:spacing w:val="-12"/>
        </w:rPr>
        <w:t> </w:t>
      </w:r>
      <w:r>
        <w:rPr>
          <w:spacing w:val="-2"/>
        </w:rPr>
        <w:t>sources</w:t>
      </w:r>
      <w:r>
        <w:rPr>
          <w:spacing w:val="-12"/>
        </w:rPr>
        <w:t> </w:t>
      </w:r>
      <w:r>
        <w:rPr>
          <w:spacing w:val="-2"/>
        </w:rPr>
        <w:t>of</w:t>
      </w:r>
      <w:r>
        <w:rPr>
          <w:spacing w:val="-11"/>
        </w:rPr>
        <w:t> </w:t>
      </w:r>
      <w:r>
        <w:rPr>
          <w:spacing w:val="-2"/>
        </w:rPr>
        <w:t>traditional</w:t>
      </w:r>
      <w:r>
        <w:rPr>
          <w:spacing w:val="-12"/>
        </w:rPr>
        <w:t> </w:t>
      </w:r>
      <w:r>
        <w:rPr>
          <w:spacing w:val="-2"/>
        </w:rPr>
        <w:t>medical</w:t>
      </w:r>
      <w:r>
        <w:rPr>
          <w:spacing w:val="-12"/>
        </w:rPr>
        <w:t> </w:t>
      </w:r>
      <w:r>
        <w:rPr>
          <w:spacing w:val="-2"/>
        </w:rPr>
        <w:t>knowledge.</w:t>
      </w:r>
      <w:r>
        <w:rPr>
          <w:spacing w:val="-12"/>
        </w:rPr>
        <w:t> </w:t>
      </w:r>
      <w:r>
        <w:rPr>
          <w:spacing w:val="-2"/>
        </w:rPr>
        <w:t>At</w:t>
      </w:r>
      <w:r>
        <w:rPr>
          <w:spacing w:val="-11"/>
        </w:rPr>
        <w:t> </w:t>
      </w:r>
      <w:r>
        <w:rPr>
          <w:spacing w:val="-2"/>
        </w:rPr>
        <w:t>the </w:t>
      </w:r>
      <w:r>
        <w:rPr/>
        <w:t>same time sufficient incentives should be created for commercialisation of traditional medications. Steps </w:t>
      </w:r>
      <w:r>
        <w:rPr>
          <w:spacing w:val="-4"/>
        </w:rPr>
        <w:t>should</w:t>
      </w:r>
      <w:r>
        <w:rPr>
          <w:spacing w:val="-10"/>
        </w:rPr>
        <w:t> </w:t>
      </w:r>
      <w:r>
        <w:rPr>
          <w:spacing w:val="-4"/>
        </w:rPr>
        <w:t>be</w:t>
      </w:r>
      <w:r>
        <w:rPr>
          <w:spacing w:val="-10"/>
        </w:rPr>
        <w:t> </w:t>
      </w:r>
      <w:r>
        <w:rPr>
          <w:spacing w:val="-4"/>
        </w:rPr>
        <w:t>taken</w:t>
      </w:r>
      <w:r>
        <w:rPr>
          <w:spacing w:val="-10"/>
        </w:rPr>
        <w:t> </w:t>
      </w:r>
      <w:r>
        <w:rPr>
          <w:spacing w:val="-4"/>
        </w:rPr>
        <w:t>for</w:t>
      </w:r>
      <w:r>
        <w:rPr>
          <w:spacing w:val="-9"/>
        </w:rPr>
        <w:t> </w:t>
      </w:r>
      <w:r>
        <w:rPr>
          <w:spacing w:val="-4"/>
        </w:rPr>
        <w:t>the</w:t>
      </w:r>
      <w:r>
        <w:rPr>
          <w:spacing w:val="-7"/>
        </w:rPr>
        <w:t> </w:t>
      </w:r>
      <w:r>
        <w:rPr>
          <w:spacing w:val="-4"/>
        </w:rPr>
        <w:t>use</w:t>
      </w:r>
      <w:r>
        <w:rPr>
          <w:spacing w:val="-8"/>
        </w:rPr>
        <w:t> </w:t>
      </w:r>
      <w:r>
        <w:rPr>
          <w:spacing w:val="-4"/>
        </w:rPr>
        <w:t>and</w:t>
      </w:r>
      <w:r>
        <w:rPr>
          <w:spacing w:val="-8"/>
        </w:rPr>
        <w:t> </w:t>
      </w:r>
      <w:r>
        <w:rPr>
          <w:spacing w:val="-4"/>
        </w:rPr>
        <w:t>incorporation</w:t>
      </w:r>
      <w:r>
        <w:rPr>
          <w:spacing w:val="-8"/>
        </w:rPr>
        <w:t> </w:t>
      </w:r>
      <w:r>
        <w:rPr>
          <w:spacing w:val="-4"/>
        </w:rPr>
        <w:t>of</w:t>
      </w:r>
      <w:r>
        <w:rPr>
          <w:spacing w:val="-10"/>
        </w:rPr>
        <w:t> </w:t>
      </w:r>
      <w:r>
        <w:rPr>
          <w:spacing w:val="-4"/>
        </w:rPr>
        <w:t>TKDL, </w:t>
      </w:r>
      <w:r>
        <w:rPr/>
        <w:t>with all pertinent sources of information, into the minimum</w:t>
      </w:r>
      <w:r>
        <w:rPr>
          <w:spacing w:val="-2"/>
        </w:rPr>
        <w:t> </w:t>
      </w:r>
      <w:r>
        <w:rPr/>
        <w:t>search</w:t>
      </w:r>
      <w:r>
        <w:rPr>
          <w:spacing w:val="-2"/>
        </w:rPr>
        <w:t> </w:t>
      </w:r>
      <w:r>
        <w:rPr/>
        <w:t>documentation</w:t>
      </w:r>
      <w:r>
        <w:rPr>
          <w:spacing w:val="-2"/>
        </w:rPr>
        <w:t> </w:t>
      </w:r>
      <w:r>
        <w:rPr/>
        <w:t>lists</w:t>
      </w:r>
      <w:r>
        <w:rPr>
          <w:spacing w:val="-2"/>
        </w:rPr>
        <w:t> </w:t>
      </w:r>
      <w:r>
        <w:rPr/>
        <w:t>of</w:t>
      </w:r>
      <w:r>
        <w:rPr>
          <w:spacing w:val="-2"/>
        </w:rPr>
        <w:t> </w:t>
      </w:r>
      <w:r>
        <w:rPr/>
        <w:t>International Search Authorities and other patent offices while </w:t>
      </w:r>
      <w:r>
        <w:rPr>
          <w:spacing w:val="-6"/>
        </w:rPr>
        <w:t>processing patent applications. Lack of clarity regarding </w:t>
      </w:r>
      <w:r>
        <w:rPr>
          <w:spacing w:val="-2"/>
        </w:rPr>
        <w:t>the</w:t>
      </w:r>
      <w:r>
        <w:rPr>
          <w:spacing w:val="16"/>
        </w:rPr>
        <w:t> </w:t>
      </w:r>
      <w:r>
        <w:rPr>
          <w:spacing w:val="-2"/>
        </w:rPr>
        <w:t>‘ownership’</w:t>
      </w:r>
      <w:r>
        <w:rPr>
          <w:spacing w:val="17"/>
        </w:rPr>
        <w:t> </w:t>
      </w:r>
      <w:r>
        <w:rPr>
          <w:spacing w:val="-2"/>
        </w:rPr>
        <w:t>issue</w:t>
      </w:r>
      <w:r>
        <w:rPr>
          <w:spacing w:val="17"/>
        </w:rPr>
        <w:t> </w:t>
      </w:r>
      <w:r>
        <w:rPr>
          <w:spacing w:val="-2"/>
        </w:rPr>
        <w:t>for</w:t>
      </w:r>
      <w:r>
        <w:rPr>
          <w:spacing w:val="16"/>
        </w:rPr>
        <w:t> </w:t>
      </w:r>
      <w:r>
        <w:rPr>
          <w:spacing w:val="-2"/>
        </w:rPr>
        <w:t>traditional</w:t>
      </w:r>
      <w:r>
        <w:rPr>
          <w:spacing w:val="17"/>
        </w:rPr>
        <w:t> </w:t>
      </w:r>
      <w:r>
        <w:rPr>
          <w:spacing w:val="-2"/>
        </w:rPr>
        <w:t>knowledge</w:t>
      </w:r>
      <w:r>
        <w:rPr>
          <w:spacing w:val="17"/>
        </w:rPr>
        <w:t> </w:t>
      </w:r>
      <w:r>
        <w:rPr>
          <w:spacing w:val="-4"/>
        </w:rPr>
        <w:t>must</w:t>
      </w:r>
    </w:p>
    <w:p>
      <w:pPr>
        <w:pStyle w:val="BodyText"/>
        <w:spacing w:line="266" w:lineRule="auto" w:before="77"/>
        <w:ind w:left="319" w:right="1077"/>
        <w:jc w:val="both"/>
      </w:pPr>
      <w:r>
        <w:rPr/>
        <w:br w:type="column"/>
      </w:r>
      <w:r>
        <w:rPr/>
        <w:t>be</w:t>
      </w:r>
      <w:r>
        <w:rPr>
          <w:spacing w:val="-13"/>
        </w:rPr>
        <w:t> </w:t>
      </w:r>
      <w:r>
        <w:rPr/>
        <w:t>addressed</w:t>
      </w:r>
      <w:r>
        <w:rPr>
          <w:spacing w:val="-10"/>
        </w:rPr>
        <w:t> </w:t>
      </w:r>
      <w:r>
        <w:rPr/>
        <w:t>in</w:t>
      </w:r>
      <w:r>
        <w:rPr>
          <w:spacing w:val="-10"/>
        </w:rPr>
        <w:t> </w:t>
      </w:r>
      <w:r>
        <w:rPr/>
        <w:t>the</w:t>
      </w:r>
      <w:r>
        <w:rPr>
          <w:spacing w:val="-14"/>
        </w:rPr>
        <w:t> </w:t>
      </w:r>
      <w:r>
        <w:rPr/>
        <w:t>TKDL.</w:t>
      </w:r>
      <w:r>
        <w:rPr>
          <w:spacing w:val="-14"/>
        </w:rPr>
        <w:t> </w:t>
      </w:r>
      <w:r>
        <w:rPr/>
        <w:t>This</w:t>
      </w:r>
      <w:r>
        <w:rPr>
          <w:spacing w:val="-9"/>
        </w:rPr>
        <w:t> </w:t>
      </w:r>
      <w:r>
        <w:rPr/>
        <w:t>is</w:t>
      </w:r>
      <w:r>
        <w:rPr>
          <w:spacing w:val="-10"/>
        </w:rPr>
        <w:t> </w:t>
      </w:r>
      <w:r>
        <w:rPr/>
        <w:t>especially</w:t>
      </w:r>
      <w:r>
        <w:rPr>
          <w:spacing w:val="-10"/>
        </w:rPr>
        <w:t> </w:t>
      </w:r>
      <w:r>
        <w:rPr/>
        <w:t>pressing since</w:t>
      </w:r>
      <w:r>
        <w:rPr>
          <w:spacing w:val="-14"/>
        </w:rPr>
        <w:t> </w:t>
      </w:r>
      <w:r>
        <w:rPr/>
        <w:t>underprivileged</w:t>
      </w:r>
      <w:r>
        <w:rPr>
          <w:spacing w:val="-14"/>
        </w:rPr>
        <w:t> </w:t>
      </w:r>
      <w:r>
        <w:rPr/>
        <w:t>communities</w:t>
      </w:r>
      <w:r>
        <w:rPr>
          <w:spacing w:val="-14"/>
        </w:rPr>
        <w:t> </w:t>
      </w:r>
      <w:r>
        <w:rPr/>
        <w:t>are</w:t>
      </w:r>
      <w:r>
        <w:rPr>
          <w:spacing w:val="-13"/>
        </w:rPr>
        <w:t> </w:t>
      </w:r>
      <w:r>
        <w:rPr/>
        <w:t>commonly</w:t>
      </w:r>
      <w:r>
        <w:rPr>
          <w:spacing w:val="-14"/>
        </w:rPr>
        <w:t> </w:t>
      </w:r>
      <w:r>
        <w:rPr/>
        <w:t>the primary sources of such knowledge. The need is to create IPR systems that ensure that such knowledge remains in the public domain and is "protected" for </w:t>
      </w:r>
      <w:r>
        <w:rPr>
          <w:spacing w:val="-2"/>
        </w:rPr>
        <w:t>the</w:t>
      </w:r>
      <w:r>
        <w:rPr>
          <w:spacing w:val="-12"/>
        </w:rPr>
        <w:t> </w:t>
      </w:r>
      <w:r>
        <w:rPr>
          <w:spacing w:val="-2"/>
        </w:rPr>
        <w:t>communities</w:t>
      </w:r>
      <w:r>
        <w:rPr>
          <w:spacing w:val="-12"/>
        </w:rPr>
        <w:t> </w:t>
      </w:r>
      <w:r>
        <w:rPr>
          <w:spacing w:val="-2"/>
        </w:rPr>
        <w:t>of</w:t>
      </w:r>
      <w:r>
        <w:rPr>
          <w:spacing w:val="-12"/>
        </w:rPr>
        <w:t> </w:t>
      </w:r>
      <w:r>
        <w:rPr>
          <w:spacing w:val="-2"/>
        </w:rPr>
        <w:t>origin</w:t>
      </w:r>
      <w:r>
        <w:rPr>
          <w:spacing w:val="-11"/>
        </w:rPr>
        <w:t> </w:t>
      </w:r>
      <w:r>
        <w:rPr>
          <w:spacing w:val="-2"/>
        </w:rPr>
        <w:t>through</w:t>
      </w:r>
      <w:r>
        <w:rPr>
          <w:spacing w:val="-12"/>
        </w:rPr>
        <w:t> </w:t>
      </w:r>
      <w:r>
        <w:rPr>
          <w:spacing w:val="-2"/>
        </w:rPr>
        <w:t>mechanisms</w:t>
      </w:r>
      <w:r>
        <w:rPr>
          <w:spacing w:val="-12"/>
        </w:rPr>
        <w:t> </w:t>
      </w:r>
      <w:r>
        <w:rPr>
          <w:spacing w:val="-2"/>
        </w:rPr>
        <w:t>such</w:t>
      </w:r>
      <w:r>
        <w:rPr>
          <w:spacing w:val="-12"/>
        </w:rPr>
        <w:t> </w:t>
      </w:r>
      <w:r>
        <w:rPr>
          <w:spacing w:val="-2"/>
        </w:rPr>
        <w:t>as </w:t>
      </w:r>
      <w:r>
        <w:rPr/>
        <w:t>Geographical Indicators (GIs).</w:t>
      </w:r>
    </w:p>
    <w:p>
      <w:pPr>
        <w:pStyle w:val="BodyText"/>
        <w:spacing w:before="21"/>
      </w:pPr>
    </w:p>
    <w:p>
      <w:pPr>
        <w:pStyle w:val="BodyText"/>
        <w:spacing w:line="266" w:lineRule="auto" w:before="1"/>
        <w:ind w:left="319" w:right="1077"/>
        <w:jc w:val="both"/>
      </w:pPr>
      <w:r>
        <w:rPr/>
        <w:t>An approach to the commercial dissemination </w:t>
      </w:r>
      <w:r>
        <w:rPr/>
        <w:t>of traditional</w:t>
      </w:r>
      <w:r>
        <w:rPr>
          <w:spacing w:val="-3"/>
        </w:rPr>
        <w:t> </w:t>
      </w:r>
      <w:r>
        <w:rPr/>
        <w:t>medications</w:t>
      </w:r>
      <w:r>
        <w:rPr>
          <w:spacing w:val="-3"/>
        </w:rPr>
        <w:t> </w:t>
      </w:r>
      <w:r>
        <w:rPr/>
        <w:t>will</w:t>
      </w:r>
      <w:r>
        <w:rPr>
          <w:spacing w:val="-3"/>
        </w:rPr>
        <w:t> </w:t>
      </w:r>
      <w:r>
        <w:rPr/>
        <w:t>be</w:t>
      </w:r>
      <w:r>
        <w:rPr>
          <w:spacing w:val="-3"/>
        </w:rPr>
        <w:t> </w:t>
      </w:r>
      <w:r>
        <w:rPr/>
        <w:t>to</w:t>
      </w:r>
      <w:r>
        <w:rPr>
          <w:spacing w:val="-3"/>
        </w:rPr>
        <w:t> </w:t>
      </w:r>
      <w:r>
        <w:rPr/>
        <w:t>allow</w:t>
      </w:r>
      <w:r>
        <w:rPr>
          <w:spacing w:val="-3"/>
        </w:rPr>
        <w:t> </w:t>
      </w:r>
      <w:r>
        <w:rPr/>
        <w:t>companies</w:t>
      </w:r>
      <w:r>
        <w:rPr>
          <w:spacing w:val="-3"/>
        </w:rPr>
        <w:t> </w:t>
      </w:r>
      <w:r>
        <w:rPr/>
        <w:t>to access</w:t>
      </w:r>
      <w:r>
        <w:rPr>
          <w:spacing w:val="-16"/>
        </w:rPr>
        <w:t> </w:t>
      </w:r>
      <w:r>
        <w:rPr/>
        <w:t>TKDL</w:t>
      </w:r>
      <w:r>
        <w:rPr>
          <w:spacing w:val="-14"/>
        </w:rPr>
        <w:t> </w:t>
      </w:r>
      <w:r>
        <w:rPr/>
        <w:t>upon</w:t>
      </w:r>
      <w:r>
        <w:rPr>
          <w:spacing w:val="-14"/>
        </w:rPr>
        <w:t> </w:t>
      </w:r>
      <w:r>
        <w:rPr/>
        <w:t>payment</w:t>
      </w:r>
      <w:r>
        <w:rPr>
          <w:spacing w:val="-13"/>
        </w:rPr>
        <w:t> </w:t>
      </w:r>
      <w:r>
        <w:rPr/>
        <w:t>of</w:t>
      </w:r>
      <w:r>
        <w:rPr>
          <w:spacing w:val="-14"/>
        </w:rPr>
        <w:t> </w:t>
      </w:r>
      <w:r>
        <w:rPr/>
        <w:t>adequate</w:t>
      </w:r>
      <w:r>
        <w:rPr>
          <w:spacing w:val="-14"/>
        </w:rPr>
        <w:t> </w:t>
      </w:r>
      <w:r>
        <w:rPr/>
        <w:t>user</w:t>
      </w:r>
      <w:r>
        <w:rPr>
          <w:spacing w:val="-14"/>
        </w:rPr>
        <w:t> </w:t>
      </w:r>
      <w:r>
        <w:rPr/>
        <w:t>fees</w:t>
      </w:r>
      <w:r>
        <w:rPr>
          <w:spacing w:val="-13"/>
        </w:rPr>
        <w:t> </w:t>
      </w:r>
      <w:r>
        <w:rPr/>
        <w:t>and subject to the condition that invention arising out of </w:t>
      </w:r>
      <w:r>
        <w:rPr>
          <w:spacing w:val="-4"/>
        </w:rPr>
        <w:t>the</w:t>
      </w:r>
      <w:r>
        <w:rPr>
          <w:spacing w:val="-12"/>
        </w:rPr>
        <w:t> </w:t>
      </w:r>
      <w:r>
        <w:rPr>
          <w:spacing w:val="-4"/>
        </w:rPr>
        <w:t>TKDL</w:t>
      </w:r>
      <w:r>
        <w:rPr>
          <w:spacing w:val="-10"/>
        </w:rPr>
        <w:t> </w:t>
      </w:r>
      <w:r>
        <w:rPr>
          <w:spacing w:val="-4"/>
        </w:rPr>
        <w:t>would</w:t>
      </w:r>
      <w:r>
        <w:rPr>
          <w:spacing w:val="-10"/>
        </w:rPr>
        <w:t> </w:t>
      </w:r>
      <w:r>
        <w:rPr>
          <w:spacing w:val="-4"/>
        </w:rPr>
        <w:t>require</w:t>
      </w:r>
      <w:r>
        <w:rPr>
          <w:spacing w:val="-9"/>
        </w:rPr>
        <w:t> </w:t>
      </w:r>
      <w:r>
        <w:rPr>
          <w:spacing w:val="-4"/>
        </w:rPr>
        <w:t>royalty</w:t>
      </w:r>
      <w:r>
        <w:rPr>
          <w:spacing w:val="-10"/>
        </w:rPr>
        <w:t> </w:t>
      </w:r>
      <w:r>
        <w:rPr>
          <w:spacing w:val="-4"/>
        </w:rPr>
        <w:t>sharing.</w:t>
      </w:r>
      <w:r>
        <w:rPr>
          <w:spacing w:val="-10"/>
        </w:rPr>
        <w:t> </w:t>
      </w:r>
      <w:r>
        <w:rPr>
          <w:spacing w:val="-4"/>
        </w:rPr>
        <w:t>Both</w:t>
      </w:r>
      <w:r>
        <w:rPr>
          <w:spacing w:val="-10"/>
        </w:rPr>
        <w:t> </w:t>
      </w:r>
      <w:r>
        <w:rPr>
          <w:spacing w:val="-4"/>
        </w:rPr>
        <w:t>user</w:t>
      </w:r>
      <w:r>
        <w:rPr>
          <w:spacing w:val="-9"/>
        </w:rPr>
        <w:t> </w:t>
      </w:r>
      <w:r>
        <w:rPr>
          <w:spacing w:val="-4"/>
        </w:rPr>
        <w:t>fees </w:t>
      </w:r>
      <w:r>
        <w:rPr>
          <w:spacing w:val="-6"/>
        </w:rPr>
        <w:t>and royalty must be shared between government and the </w:t>
      </w:r>
      <w:r>
        <w:rPr>
          <w:spacing w:val="-4"/>
        </w:rPr>
        <w:t>communities</w:t>
      </w:r>
      <w:r>
        <w:rPr>
          <w:spacing w:val="-10"/>
        </w:rPr>
        <w:t> </w:t>
      </w:r>
      <w:r>
        <w:rPr>
          <w:spacing w:val="-4"/>
        </w:rPr>
        <w:t>identified</w:t>
      </w:r>
      <w:r>
        <w:rPr>
          <w:spacing w:val="-10"/>
        </w:rPr>
        <w:t> </w:t>
      </w:r>
      <w:r>
        <w:rPr>
          <w:spacing w:val="-4"/>
        </w:rPr>
        <w:t>as</w:t>
      </w:r>
      <w:r>
        <w:rPr>
          <w:spacing w:val="-10"/>
        </w:rPr>
        <w:t> </w:t>
      </w:r>
      <w:r>
        <w:rPr>
          <w:spacing w:val="-4"/>
        </w:rPr>
        <w:t>the</w:t>
      </w:r>
      <w:r>
        <w:rPr>
          <w:spacing w:val="-9"/>
        </w:rPr>
        <w:t> </w:t>
      </w:r>
      <w:r>
        <w:rPr>
          <w:spacing w:val="-4"/>
        </w:rPr>
        <w:t>sources</w:t>
      </w:r>
      <w:r>
        <w:rPr>
          <w:spacing w:val="-10"/>
        </w:rPr>
        <w:t> </w:t>
      </w:r>
      <w:r>
        <w:rPr>
          <w:spacing w:val="-4"/>
        </w:rPr>
        <w:t>of</w:t>
      </w:r>
      <w:r>
        <w:rPr>
          <w:spacing w:val="-10"/>
        </w:rPr>
        <w:t> </w:t>
      </w:r>
      <w:r>
        <w:rPr>
          <w:spacing w:val="-4"/>
        </w:rPr>
        <w:t>the</w:t>
      </w:r>
      <w:r>
        <w:rPr>
          <w:spacing w:val="-10"/>
        </w:rPr>
        <w:t> </w:t>
      </w:r>
      <w:r>
        <w:rPr>
          <w:spacing w:val="-4"/>
        </w:rPr>
        <w:t>knowledge, </w:t>
      </w:r>
      <w:r>
        <w:rPr/>
        <w:t>and innovative modalities will need to be found to administer such distribution. The revenue generated by</w:t>
      </w:r>
      <w:r>
        <w:rPr>
          <w:spacing w:val="-5"/>
        </w:rPr>
        <w:t> </w:t>
      </w:r>
      <w:r>
        <w:rPr/>
        <w:t>the</w:t>
      </w:r>
      <w:r>
        <w:rPr>
          <w:spacing w:val="-5"/>
        </w:rPr>
        <w:t> </w:t>
      </w:r>
      <w:r>
        <w:rPr/>
        <w:t>government</w:t>
      </w:r>
      <w:r>
        <w:rPr>
          <w:spacing w:val="-5"/>
        </w:rPr>
        <w:t> </w:t>
      </w:r>
      <w:r>
        <w:rPr/>
        <w:t>from</w:t>
      </w:r>
      <w:r>
        <w:rPr>
          <w:spacing w:val="-5"/>
        </w:rPr>
        <w:t> </w:t>
      </w:r>
      <w:r>
        <w:rPr/>
        <w:t>commercialisation</w:t>
      </w:r>
      <w:r>
        <w:rPr>
          <w:spacing w:val="-5"/>
        </w:rPr>
        <w:t> </w:t>
      </w:r>
      <w:r>
        <w:rPr/>
        <w:t>of</w:t>
      </w:r>
      <w:r>
        <w:rPr>
          <w:spacing w:val="-11"/>
        </w:rPr>
        <w:t> </w:t>
      </w:r>
      <w:r>
        <w:rPr/>
        <w:t>TKDL and</w:t>
      </w:r>
      <w:r>
        <w:rPr>
          <w:spacing w:val="-1"/>
        </w:rPr>
        <w:t> </w:t>
      </w:r>
      <w:r>
        <w:rPr/>
        <w:t>other</w:t>
      </w:r>
      <w:r>
        <w:rPr>
          <w:spacing w:val="-1"/>
        </w:rPr>
        <w:t> </w:t>
      </w:r>
      <w:r>
        <w:rPr/>
        <w:t>commercially</w:t>
      </w:r>
      <w:r>
        <w:rPr>
          <w:spacing w:val="-1"/>
        </w:rPr>
        <w:t> </w:t>
      </w:r>
      <w:r>
        <w:rPr/>
        <w:t>synergistic</w:t>
      </w:r>
      <w:r>
        <w:rPr>
          <w:spacing w:val="-1"/>
        </w:rPr>
        <w:t> </w:t>
      </w:r>
      <w:r>
        <w:rPr/>
        <w:t>initiatives</w:t>
      </w:r>
      <w:r>
        <w:rPr>
          <w:spacing w:val="-1"/>
        </w:rPr>
        <w:t> </w:t>
      </w:r>
      <w:r>
        <w:rPr/>
        <w:t>should </w:t>
      </w:r>
      <w:r>
        <w:rPr>
          <w:spacing w:val="-6"/>
        </w:rPr>
        <w:t>be</w:t>
      </w:r>
      <w:r>
        <w:rPr>
          <w:spacing w:val="-8"/>
        </w:rPr>
        <w:t> </w:t>
      </w:r>
      <w:r>
        <w:rPr>
          <w:spacing w:val="-6"/>
        </w:rPr>
        <w:t>used</w:t>
      </w:r>
      <w:r>
        <w:rPr>
          <w:spacing w:val="-8"/>
        </w:rPr>
        <w:t> </w:t>
      </w:r>
      <w:r>
        <w:rPr>
          <w:spacing w:val="-6"/>
        </w:rPr>
        <w:t>to</w:t>
      </w:r>
      <w:r>
        <w:rPr>
          <w:spacing w:val="-8"/>
        </w:rPr>
        <w:t> </w:t>
      </w:r>
      <w:r>
        <w:rPr>
          <w:spacing w:val="-6"/>
        </w:rPr>
        <w:t>create</w:t>
      </w:r>
      <w:r>
        <w:rPr>
          <w:spacing w:val="-7"/>
        </w:rPr>
        <w:t> </w:t>
      </w:r>
      <w:r>
        <w:rPr>
          <w:spacing w:val="-6"/>
        </w:rPr>
        <w:t>a</w:t>
      </w:r>
      <w:r>
        <w:rPr>
          <w:spacing w:val="-8"/>
        </w:rPr>
        <w:t> </w:t>
      </w:r>
      <w:r>
        <w:rPr>
          <w:i/>
          <w:spacing w:val="-6"/>
        </w:rPr>
        <w:t>‘Traditional</w:t>
      </w:r>
      <w:r>
        <w:rPr>
          <w:i/>
          <w:spacing w:val="-8"/>
        </w:rPr>
        <w:t> </w:t>
      </w:r>
      <w:r>
        <w:rPr>
          <w:i/>
          <w:spacing w:val="-6"/>
        </w:rPr>
        <w:t>Knowledge</w:t>
      </w:r>
      <w:r>
        <w:rPr>
          <w:i/>
          <w:spacing w:val="-8"/>
        </w:rPr>
        <w:t> </w:t>
      </w:r>
      <w:r>
        <w:rPr>
          <w:i/>
          <w:spacing w:val="-6"/>
        </w:rPr>
        <w:t>Development </w:t>
      </w:r>
      <w:r>
        <w:rPr>
          <w:i/>
          <w:spacing w:val="-4"/>
        </w:rPr>
        <w:t>Fund’</w:t>
      </w:r>
      <w:r>
        <w:rPr>
          <w:i/>
          <w:spacing w:val="-9"/>
        </w:rPr>
        <w:t> </w:t>
      </w:r>
      <w:r>
        <w:rPr>
          <w:spacing w:val="-4"/>
        </w:rPr>
        <w:t>and</w:t>
      </w:r>
      <w:r>
        <w:rPr>
          <w:spacing w:val="-9"/>
        </w:rPr>
        <w:t> </w:t>
      </w:r>
      <w:r>
        <w:rPr>
          <w:spacing w:val="-4"/>
        </w:rPr>
        <w:t>its</w:t>
      </w:r>
      <w:r>
        <w:rPr>
          <w:spacing w:val="-9"/>
        </w:rPr>
        <w:t> </w:t>
      </w:r>
      <w:r>
        <w:rPr>
          <w:spacing w:val="-4"/>
        </w:rPr>
        <w:t>proceeds</w:t>
      </w:r>
      <w:r>
        <w:rPr>
          <w:spacing w:val="-9"/>
        </w:rPr>
        <w:t> </w:t>
      </w:r>
      <w:r>
        <w:rPr>
          <w:spacing w:val="-4"/>
        </w:rPr>
        <w:t>should</w:t>
      </w:r>
      <w:r>
        <w:rPr>
          <w:spacing w:val="-9"/>
        </w:rPr>
        <w:t> </w:t>
      </w:r>
      <w:r>
        <w:rPr>
          <w:spacing w:val="-4"/>
        </w:rPr>
        <w:t>be</w:t>
      </w:r>
      <w:r>
        <w:rPr>
          <w:spacing w:val="-9"/>
        </w:rPr>
        <w:t> </w:t>
      </w:r>
      <w:r>
        <w:rPr>
          <w:spacing w:val="-4"/>
        </w:rPr>
        <w:t>used</w:t>
      </w:r>
      <w:r>
        <w:rPr>
          <w:spacing w:val="-9"/>
        </w:rPr>
        <w:t> </w:t>
      </w:r>
      <w:r>
        <w:rPr>
          <w:spacing w:val="-4"/>
        </w:rPr>
        <w:t>for</w:t>
      </w:r>
      <w:r>
        <w:rPr>
          <w:spacing w:val="-9"/>
        </w:rPr>
        <w:t> </w:t>
      </w:r>
      <w:r>
        <w:rPr>
          <w:spacing w:val="-4"/>
        </w:rPr>
        <w:t>conservation, </w:t>
      </w:r>
      <w:r>
        <w:rPr/>
        <w:t>evidence-based analysis and research on traditional </w:t>
      </w:r>
      <w:r>
        <w:rPr>
          <w:spacing w:val="-4"/>
        </w:rPr>
        <w:t>knowledge</w:t>
      </w:r>
      <w:r>
        <w:rPr>
          <w:spacing w:val="-12"/>
        </w:rPr>
        <w:t> </w:t>
      </w:r>
      <w:r>
        <w:rPr>
          <w:spacing w:val="-4"/>
        </w:rPr>
        <w:t>and</w:t>
      </w:r>
      <w:r>
        <w:rPr>
          <w:spacing w:val="-10"/>
        </w:rPr>
        <w:t> </w:t>
      </w:r>
      <w:r>
        <w:rPr>
          <w:spacing w:val="-4"/>
        </w:rPr>
        <w:t>for</w:t>
      </w:r>
      <w:r>
        <w:rPr>
          <w:spacing w:val="-10"/>
        </w:rPr>
        <w:t> </w:t>
      </w:r>
      <w:r>
        <w:rPr>
          <w:spacing w:val="-4"/>
        </w:rPr>
        <w:t>the</w:t>
      </w:r>
      <w:r>
        <w:rPr>
          <w:spacing w:val="-9"/>
        </w:rPr>
        <w:t> </w:t>
      </w:r>
      <w:r>
        <w:rPr>
          <w:spacing w:val="-4"/>
        </w:rPr>
        <w:t>benefit</w:t>
      </w:r>
      <w:r>
        <w:rPr>
          <w:spacing w:val="-10"/>
        </w:rPr>
        <w:t> </w:t>
      </w:r>
      <w:r>
        <w:rPr>
          <w:spacing w:val="-4"/>
        </w:rPr>
        <w:t>of</w:t>
      </w:r>
      <w:r>
        <w:rPr>
          <w:spacing w:val="-10"/>
        </w:rPr>
        <w:t> </w:t>
      </w:r>
      <w:r>
        <w:rPr>
          <w:spacing w:val="-4"/>
        </w:rPr>
        <w:t>communities</w:t>
      </w:r>
      <w:r>
        <w:rPr>
          <w:spacing w:val="-10"/>
        </w:rPr>
        <w:t> </w:t>
      </w:r>
      <w:r>
        <w:rPr>
          <w:spacing w:val="-4"/>
        </w:rPr>
        <w:t>that</w:t>
      </w:r>
      <w:r>
        <w:rPr>
          <w:spacing w:val="-9"/>
        </w:rPr>
        <w:t> </w:t>
      </w:r>
      <w:r>
        <w:rPr>
          <w:spacing w:val="-4"/>
        </w:rPr>
        <w:t>have </w:t>
      </w:r>
      <w:r>
        <w:rPr/>
        <w:t>contributed to the creation of traditional knowledge.</w:t>
      </w:r>
    </w:p>
    <w:p>
      <w:pPr>
        <w:pStyle w:val="Heading6"/>
        <w:numPr>
          <w:ilvl w:val="0"/>
          <w:numId w:val="62"/>
        </w:numPr>
        <w:tabs>
          <w:tab w:pos="643" w:val="left" w:leader="none"/>
          <w:tab w:pos="645" w:val="left" w:leader="none"/>
        </w:tabs>
        <w:spacing w:line="208" w:lineRule="auto" w:before="252" w:after="0"/>
        <w:ind w:left="645" w:right="1273" w:hanging="327"/>
        <w:jc w:val="left"/>
      </w:pPr>
      <w:r>
        <w:rPr>
          <w:color w:val="2E614A"/>
          <w:w w:val="90"/>
        </w:rPr>
        <w:t>Establish Goals for </w:t>
      </w:r>
      <w:r>
        <w:rPr>
          <w:color w:val="2E614A"/>
          <w:w w:val="90"/>
        </w:rPr>
        <w:t>Conservation </w:t>
      </w:r>
      <w:r>
        <w:rPr>
          <w:color w:val="2E614A"/>
          <w:spacing w:val="-2"/>
        </w:rPr>
        <w:t>of</w:t>
      </w:r>
      <w:r>
        <w:rPr>
          <w:color w:val="2E614A"/>
          <w:spacing w:val="-18"/>
        </w:rPr>
        <w:t> </w:t>
      </w:r>
      <w:r>
        <w:rPr>
          <w:color w:val="2E614A"/>
          <w:spacing w:val="-2"/>
        </w:rPr>
        <w:t>Natural</w:t>
      </w:r>
      <w:r>
        <w:rPr>
          <w:color w:val="2E614A"/>
          <w:spacing w:val="-18"/>
        </w:rPr>
        <w:t> </w:t>
      </w:r>
      <w:r>
        <w:rPr>
          <w:color w:val="2E614A"/>
          <w:spacing w:val="-2"/>
        </w:rPr>
        <w:t>Resources</w:t>
      </w:r>
    </w:p>
    <w:p>
      <w:pPr>
        <w:pStyle w:val="BodyText"/>
        <w:spacing w:line="266" w:lineRule="auto" w:before="294"/>
        <w:ind w:left="319" w:right="1077"/>
        <w:jc w:val="both"/>
      </w:pPr>
      <w:r>
        <w:rPr/>
        <w:t>Natural</w:t>
      </w:r>
      <w:r>
        <w:rPr>
          <w:spacing w:val="-9"/>
        </w:rPr>
        <w:t> </w:t>
      </w:r>
      <w:r>
        <w:rPr/>
        <w:t>populations</w:t>
      </w:r>
      <w:r>
        <w:rPr>
          <w:spacing w:val="-9"/>
        </w:rPr>
        <w:t> </w:t>
      </w:r>
      <w:r>
        <w:rPr/>
        <w:t>of</w:t>
      </w:r>
      <w:r>
        <w:rPr>
          <w:spacing w:val="-9"/>
        </w:rPr>
        <w:t> </w:t>
      </w:r>
      <w:r>
        <w:rPr/>
        <w:t>around</w:t>
      </w:r>
      <w:r>
        <w:rPr>
          <w:spacing w:val="-9"/>
        </w:rPr>
        <w:t> </w:t>
      </w:r>
      <w:r>
        <w:rPr/>
        <w:t>12</w:t>
      </w:r>
      <w:r>
        <w:rPr>
          <w:spacing w:val="-9"/>
        </w:rPr>
        <w:t> </w:t>
      </w:r>
      <w:r>
        <w:rPr/>
        <w:t>per</w:t>
      </w:r>
      <w:r>
        <w:rPr>
          <w:spacing w:val="-9"/>
        </w:rPr>
        <w:t> </w:t>
      </w:r>
      <w:r>
        <w:rPr/>
        <w:t>cent</w:t>
      </w:r>
      <w:r>
        <w:rPr>
          <w:spacing w:val="-9"/>
        </w:rPr>
        <w:t> </w:t>
      </w:r>
      <w:r>
        <w:rPr/>
        <w:t>of</w:t>
      </w:r>
      <w:r>
        <w:rPr>
          <w:spacing w:val="-9"/>
        </w:rPr>
        <w:t> </w:t>
      </w:r>
      <w:r>
        <w:rPr/>
        <w:t>the</w:t>
      </w:r>
      <w:r>
        <w:rPr>
          <w:spacing w:val="-9"/>
        </w:rPr>
        <w:t> </w:t>
      </w:r>
      <w:r>
        <w:rPr/>
        <w:t>6000 species of potentially medicinal plants are </w:t>
      </w:r>
      <w:r>
        <w:rPr/>
        <w:t>currently </w:t>
      </w:r>
      <w:r>
        <w:rPr>
          <w:spacing w:val="-4"/>
        </w:rPr>
        <w:t>estimated</w:t>
      </w:r>
      <w:r>
        <w:rPr>
          <w:spacing w:val="-7"/>
        </w:rPr>
        <w:t> </w:t>
      </w:r>
      <w:r>
        <w:rPr>
          <w:spacing w:val="-4"/>
        </w:rPr>
        <w:t>to</w:t>
      </w:r>
      <w:r>
        <w:rPr>
          <w:spacing w:val="-7"/>
        </w:rPr>
        <w:t> </w:t>
      </w:r>
      <w:r>
        <w:rPr>
          <w:spacing w:val="-4"/>
        </w:rPr>
        <w:t>be</w:t>
      </w:r>
      <w:r>
        <w:rPr>
          <w:spacing w:val="-7"/>
        </w:rPr>
        <w:t> </w:t>
      </w:r>
      <w:r>
        <w:rPr>
          <w:spacing w:val="-4"/>
        </w:rPr>
        <w:t>under</w:t>
      </w:r>
      <w:r>
        <w:rPr>
          <w:spacing w:val="-7"/>
        </w:rPr>
        <w:t> </w:t>
      </w:r>
      <w:r>
        <w:rPr>
          <w:spacing w:val="-4"/>
        </w:rPr>
        <w:t>threat</w:t>
      </w:r>
      <w:r>
        <w:rPr>
          <w:spacing w:val="-7"/>
        </w:rPr>
        <w:t> </w:t>
      </w:r>
      <w:r>
        <w:rPr>
          <w:spacing w:val="-4"/>
        </w:rPr>
        <w:t>due</w:t>
      </w:r>
      <w:r>
        <w:rPr>
          <w:spacing w:val="-7"/>
        </w:rPr>
        <w:t> </w:t>
      </w:r>
      <w:r>
        <w:rPr>
          <w:spacing w:val="-4"/>
        </w:rPr>
        <w:t>to</w:t>
      </w:r>
      <w:r>
        <w:rPr>
          <w:spacing w:val="-7"/>
        </w:rPr>
        <w:t> </w:t>
      </w:r>
      <w:r>
        <w:rPr>
          <w:spacing w:val="-4"/>
        </w:rPr>
        <w:t>degradation</w:t>
      </w:r>
      <w:r>
        <w:rPr>
          <w:spacing w:val="-7"/>
        </w:rPr>
        <w:t> </w:t>
      </w:r>
      <w:r>
        <w:rPr>
          <w:spacing w:val="-4"/>
        </w:rPr>
        <w:t>and</w:t>
      </w:r>
      <w:r>
        <w:rPr>
          <w:spacing w:val="-7"/>
        </w:rPr>
        <w:t> </w:t>
      </w:r>
      <w:r>
        <w:rPr>
          <w:spacing w:val="-4"/>
        </w:rPr>
        <w:t>loss </w:t>
      </w:r>
      <w:r>
        <w:rPr>
          <w:spacing w:val="-2"/>
        </w:rPr>
        <w:t>of</w:t>
      </w:r>
      <w:r>
        <w:rPr>
          <w:spacing w:val="-6"/>
        </w:rPr>
        <w:t> </w:t>
      </w:r>
      <w:r>
        <w:rPr>
          <w:spacing w:val="-2"/>
        </w:rPr>
        <w:t>habitats</w:t>
      </w:r>
      <w:r>
        <w:rPr>
          <w:spacing w:val="-6"/>
        </w:rPr>
        <w:t> </w:t>
      </w:r>
      <w:r>
        <w:rPr>
          <w:spacing w:val="-2"/>
        </w:rPr>
        <w:t>alongside</w:t>
      </w:r>
      <w:r>
        <w:rPr>
          <w:spacing w:val="-6"/>
        </w:rPr>
        <w:t> </w:t>
      </w:r>
      <w:r>
        <w:rPr>
          <w:spacing w:val="-2"/>
        </w:rPr>
        <w:t>unsustainable</w:t>
      </w:r>
      <w:r>
        <w:rPr>
          <w:spacing w:val="-6"/>
        </w:rPr>
        <w:t> </w:t>
      </w:r>
      <w:r>
        <w:rPr>
          <w:spacing w:val="-2"/>
        </w:rPr>
        <w:t>ways</w:t>
      </w:r>
      <w:r>
        <w:rPr>
          <w:spacing w:val="-6"/>
        </w:rPr>
        <w:t> </w:t>
      </w:r>
      <w:r>
        <w:rPr>
          <w:spacing w:val="-2"/>
        </w:rPr>
        <w:t>of</w:t>
      </w:r>
      <w:r>
        <w:rPr>
          <w:spacing w:val="-6"/>
        </w:rPr>
        <w:t> </w:t>
      </w:r>
      <w:r>
        <w:rPr>
          <w:spacing w:val="-2"/>
        </w:rPr>
        <w:t>harvesting </w:t>
      </w:r>
      <w:r>
        <w:rPr>
          <w:spacing w:val="-6"/>
        </w:rPr>
        <w:t>and</w:t>
      </w:r>
      <w:r>
        <w:rPr>
          <w:spacing w:val="-8"/>
        </w:rPr>
        <w:t> </w:t>
      </w:r>
      <w:r>
        <w:rPr>
          <w:spacing w:val="-6"/>
        </w:rPr>
        <w:t>lack of cultivation.</w:t>
      </w:r>
      <w:r>
        <w:rPr>
          <w:spacing w:val="-8"/>
        </w:rPr>
        <w:t> </w:t>
      </w:r>
      <w:r>
        <w:rPr>
          <w:spacing w:val="-6"/>
        </w:rPr>
        <w:t>The problem of growing scarcity </w:t>
      </w:r>
      <w:r>
        <w:rPr/>
        <w:t>also leads to the danger of more counterfeit material being marketed. It is therefore necessary to support conservation</w:t>
      </w:r>
      <w:r>
        <w:rPr>
          <w:spacing w:val="-4"/>
        </w:rPr>
        <w:t> </w:t>
      </w:r>
      <w:r>
        <w:rPr/>
        <w:t>and</w:t>
      </w:r>
      <w:r>
        <w:rPr>
          <w:spacing w:val="-4"/>
        </w:rPr>
        <w:t> </w:t>
      </w:r>
      <w:r>
        <w:rPr/>
        <w:t>sustainable</w:t>
      </w:r>
      <w:r>
        <w:rPr>
          <w:spacing w:val="-4"/>
        </w:rPr>
        <w:t> </w:t>
      </w:r>
      <w:r>
        <w:rPr/>
        <w:t>harvesting</w:t>
      </w:r>
      <w:r>
        <w:rPr>
          <w:spacing w:val="-4"/>
        </w:rPr>
        <w:t> </w:t>
      </w:r>
      <w:r>
        <w:rPr/>
        <w:t>efforts</w:t>
      </w:r>
      <w:r>
        <w:rPr>
          <w:spacing w:val="-4"/>
        </w:rPr>
        <w:t> </w:t>
      </w:r>
      <w:r>
        <w:rPr/>
        <w:t>in</w:t>
      </w:r>
      <w:r>
        <w:rPr>
          <w:spacing w:val="-4"/>
        </w:rPr>
        <w:t> </w:t>
      </w:r>
      <w:r>
        <w:rPr/>
        <w:t>the </w:t>
      </w:r>
      <w:r>
        <w:rPr>
          <w:spacing w:val="-4"/>
        </w:rPr>
        <w:t>forestry sector and cultivation in the agricultural sector. </w:t>
      </w:r>
      <w:r>
        <w:rPr>
          <w:spacing w:val="-2"/>
        </w:rPr>
        <w:t>Direct</w:t>
      </w:r>
      <w:r>
        <w:rPr>
          <w:spacing w:val="-7"/>
        </w:rPr>
        <w:t> </w:t>
      </w:r>
      <w:r>
        <w:rPr>
          <w:spacing w:val="-2"/>
        </w:rPr>
        <w:t>support</w:t>
      </w:r>
      <w:r>
        <w:rPr>
          <w:spacing w:val="-6"/>
        </w:rPr>
        <w:t> </w:t>
      </w:r>
      <w:r>
        <w:rPr>
          <w:spacing w:val="-2"/>
        </w:rPr>
        <w:t>for</w:t>
      </w:r>
      <w:r>
        <w:rPr>
          <w:spacing w:val="-7"/>
        </w:rPr>
        <w:t> </w:t>
      </w:r>
      <w:r>
        <w:rPr>
          <w:spacing w:val="-2"/>
        </w:rPr>
        <w:t>conservation</w:t>
      </w:r>
      <w:r>
        <w:rPr>
          <w:spacing w:val="-7"/>
        </w:rPr>
        <w:t> </w:t>
      </w:r>
      <w:r>
        <w:rPr>
          <w:spacing w:val="-2"/>
        </w:rPr>
        <w:t>and</w:t>
      </w:r>
      <w:r>
        <w:rPr>
          <w:spacing w:val="-6"/>
        </w:rPr>
        <w:t> </w:t>
      </w:r>
      <w:r>
        <w:rPr>
          <w:spacing w:val="-2"/>
        </w:rPr>
        <w:t>cultivation</w:t>
      </w:r>
      <w:r>
        <w:rPr>
          <w:spacing w:val="-6"/>
        </w:rPr>
        <w:t> </w:t>
      </w:r>
      <w:r>
        <w:rPr>
          <w:spacing w:val="-2"/>
        </w:rPr>
        <w:t>as</w:t>
      </w:r>
      <w:r>
        <w:rPr>
          <w:spacing w:val="-7"/>
        </w:rPr>
        <w:t> </w:t>
      </w:r>
      <w:r>
        <w:rPr>
          <w:spacing w:val="-2"/>
        </w:rPr>
        <w:t>well </w:t>
      </w:r>
      <w:r>
        <w:rPr/>
        <w:t>as</w:t>
      </w:r>
      <w:r>
        <w:rPr>
          <w:spacing w:val="-6"/>
        </w:rPr>
        <w:t> </w:t>
      </w:r>
      <w:r>
        <w:rPr/>
        <w:t>indirect</w:t>
      </w:r>
      <w:r>
        <w:rPr>
          <w:spacing w:val="-6"/>
        </w:rPr>
        <w:t> </w:t>
      </w:r>
      <w:r>
        <w:rPr/>
        <w:t>methods</w:t>
      </w:r>
      <w:r>
        <w:rPr>
          <w:spacing w:val="-6"/>
        </w:rPr>
        <w:t> </w:t>
      </w:r>
      <w:r>
        <w:rPr/>
        <w:t>through</w:t>
      </w:r>
      <w:r>
        <w:rPr>
          <w:spacing w:val="-6"/>
        </w:rPr>
        <w:t> </w:t>
      </w:r>
      <w:r>
        <w:rPr/>
        <w:t>incentive</w:t>
      </w:r>
      <w:r>
        <w:rPr>
          <w:spacing w:val="-6"/>
        </w:rPr>
        <w:t> </w:t>
      </w:r>
      <w:r>
        <w:rPr/>
        <w:t>policies</w:t>
      </w:r>
      <w:r>
        <w:rPr>
          <w:spacing w:val="-6"/>
        </w:rPr>
        <w:t> </w:t>
      </w:r>
      <w:r>
        <w:rPr/>
        <w:t>should be pursued for nurturing these plant resources. The wild gene pool of India’s medicinal plants should be </w:t>
      </w:r>
      <w:r>
        <w:rPr>
          <w:spacing w:val="-2"/>
        </w:rPr>
        <w:t>secured,</w:t>
      </w:r>
      <w:r>
        <w:rPr>
          <w:spacing w:val="-8"/>
        </w:rPr>
        <w:t> </w:t>
      </w:r>
      <w:r>
        <w:rPr>
          <w:spacing w:val="-2"/>
        </w:rPr>
        <w:t>via</w:t>
      </w:r>
      <w:r>
        <w:rPr>
          <w:spacing w:val="-8"/>
        </w:rPr>
        <w:t> </w:t>
      </w:r>
      <w:r>
        <w:rPr>
          <w:spacing w:val="-2"/>
        </w:rPr>
        <w:t>establishment</w:t>
      </w:r>
      <w:r>
        <w:rPr>
          <w:spacing w:val="-8"/>
        </w:rPr>
        <w:t> </w:t>
      </w:r>
      <w:r>
        <w:rPr>
          <w:spacing w:val="-2"/>
        </w:rPr>
        <w:t>of</w:t>
      </w:r>
      <w:r>
        <w:rPr>
          <w:spacing w:val="-8"/>
        </w:rPr>
        <w:t> </w:t>
      </w:r>
      <w:r>
        <w:rPr>
          <w:spacing w:val="-2"/>
        </w:rPr>
        <w:t>a</w:t>
      </w:r>
      <w:r>
        <w:rPr>
          <w:spacing w:val="-8"/>
        </w:rPr>
        <w:t> </w:t>
      </w:r>
      <w:r>
        <w:rPr>
          <w:spacing w:val="-2"/>
        </w:rPr>
        <w:t>nation</w:t>
      </w:r>
      <w:r>
        <w:rPr>
          <w:spacing w:val="-8"/>
        </w:rPr>
        <w:t> </w:t>
      </w:r>
      <w:r>
        <w:rPr>
          <w:spacing w:val="-2"/>
        </w:rPr>
        <w:t>wide</w:t>
      </w:r>
      <w:r>
        <w:rPr>
          <w:spacing w:val="-8"/>
        </w:rPr>
        <w:t> </w:t>
      </w:r>
      <w:r>
        <w:rPr>
          <w:spacing w:val="-2"/>
        </w:rPr>
        <w:t>network</w:t>
      </w:r>
      <w:r>
        <w:rPr>
          <w:spacing w:val="-8"/>
        </w:rPr>
        <w:t> </w:t>
      </w:r>
      <w:r>
        <w:rPr>
          <w:spacing w:val="-2"/>
        </w:rPr>
        <w:t>of 300</w:t>
      </w:r>
      <w:r>
        <w:rPr>
          <w:spacing w:val="-12"/>
        </w:rPr>
        <w:t> </w:t>
      </w:r>
      <w:r>
        <w:rPr>
          <w:spacing w:val="-2"/>
        </w:rPr>
        <w:t>“Forest</w:t>
      </w:r>
      <w:r>
        <w:rPr>
          <w:spacing w:val="-12"/>
        </w:rPr>
        <w:t> </w:t>
      </w:r>
      <w:r>
        <w:rPr>
          <w:spacing w:val="-2"/>
        </w:rPr>
        <w:t>Gene</w:t>
      </w:r>
      <w:r>
        <w:rPr>
          <w:spacing w:val="-12"/>
        </w:rPr>
        <w:t> </w:t>
      </w:r>
      <w:r>
        <w:rPr>
          <w:spacing w:val="-2"/>
        </w:rPr>
        <w:t>Banks”</w:t>
      </w:r>
      <w:r>
        <w:rPr>
          <w:spacing w:val="-11"/>
        </w:rPr>
        <w:t> </w:t>
      </w:r>
      <w:r>
        <w:rPr>
          <w:spacing w:val="-2"/>
        </w:rPr>
        <w:t>across</w:t>
      </w:r>
      <w:r>
        <w:rPr>
          <w:spacing w:val="-12"/>
        </w:rPr>
        <w:t> </w:t>
      </w:r>
      <w:r>
        <w:rPr>
          <w:spacing w:val="-2"/>
        </w:rPr>
        <w:t>the</w:t>
      </w:r>
      <w:r>
        <w:rPr>
          <w:spacing w:val="-12"/>
        </w:rPr>
        <w:t> </w:t>
      </w:r>
      <w:r>
        <w:rPr>
          <w:spacing w:val="-2"/>
        </w:rPr>
        <w:t>10</w:t>
      </w:r>
      <w:r>
        <w:rPr>
          <w:spacing w:val="-12"/>
        </w:rPr>
        <w:t> </w:t>
      </w:r>
      <w:r>
        <w:rPr>
          <w:spacing w:val="-2"/>
        </w:rPr>
        <w:t>bio-geographic </w:t>
      </w:r>
      <w:r>
        <w:rPr/>
        <w:t>regions of the country.</w:t>
      </w:r>
    </w:p>
    <w:p>
      <w:pPr>
        <w:pStyle w:val="BodyText"/>
      </w:pPr>
    </w:p>
    <w:p>
      <w:pPr>
        <w:pStyle w:val="Heading6"/>
        <w:numPr>
          <w:ilvl w:val="0"/>
          <w:numId w:val="62"/>
        </w:numPr>
        <w:tabs>
          <w:tab w:pos="643" w:val="left" w:leader="none"/>
          <w:tab w:pos="645" w:val="left" w:leader="none"/>
        </w:tabs>
        <w:spacing w:line="208" w:lineRule="auto" w:before="0" w:after="0"/>
        <w:ind w:left="645" w:right="1815" w:hanging="327"/>
        <w:jc w:val="left"/>
      </w:pPr>
      <w:r>
        <w:rPr>
          <w:color w:val="2E614A"/>
          <w:spacing w:val="-2"/>
        </w:rPr>
        <w:t>Support</w:t>
      </w:r>
      <w:r>
        <w:rPr>
          <w:color w:val="2E614A"/>
          <w:spacing w:val="-18"/>
        </w:rPr>
        <w:t> </w:t>
      </w:r>
      <w:r>
        <w:rPr>
          <w:color w:val="2E614A"/>
          <w:spacing w:val="-2"/>
        </w:rPr>
        <w:t>Non-government </w:t>
      </w:r>
      <w:r>
        <w:rPr>
          <w:color w:val="2E614A"/>
          <w:w w:val="90"/>
        </w:rPr>
        <w:t>and Corporate Initiatives </w:t>
      </w:r>
      <w:r>
        <w:rPr>
          <w:color w:val="2E614A"/>
          <w:w w:val="90"/>
        </w:rPr>
        <w:t>for </w:t>
      </w:r>
      <w:r>
        <w:rPr>
          <w:color w:val="2E614A"/>
        </w:rPr>
        <w:t>Promotion of THS</w:t>
      </w:r>
    </w:p>
    <w:p>
      <w:pPr>
        <w:pStyle w:val="BodyText"/>
        <w:spacing w:line="266" w:lineRule="auto" w:before="216"/>
        <w:ind w:left="319" w:right="1077"/>
        <w:jc w:val="both"/>
      </w:pPr>
      <w:r>
        <w:rPr/>
        <w:t>The non-government and private sector have played an important role in building the public image of </w:t>
      </w:r>
      <w:r>
        <w:rPr>
          <w:spacing w:val="-2"/>
        </w:rPr>
        <w:t>traditional</w:t>
      </w:r>
      <w:r>
        <w:rPr>
          <w:spacing w:val="-8"/>
        </w:rPr>
        <w:t> </w:t>
      </w:r>
      <w:r>
        <w:rPr>
          <w:spacing w:val="-2"/>
        </w:rPr>
        <w:t>health</w:t>
      </w:r>
      <w:r>
        <w:rPr>
          <w:spacing w:val="-8"/>
        </w:rPr>
        <w:t> </w:t>
      </w:r>
      <w:r>
        <w:rPr>
          <w:spacing w:val="-2"/>
        </w:rPr>
        <w:t>sciences.</w:t>
      </w:r>
      <w:r>
        <w:rPr>
          <w:spacing w:val="-8"/>
        </w:rPr>
        <w:t> </w:t>
      </w:r>
      <w:r>
        <w:rPr>
          <w:spacing w:val="-2"/>
        </w:rPr>
        <w:t>Non-governmental</w:t>
      </w:r>
      <w:r>
        <w:rPr>
          <w:spacing w:val="-7"/>
        </w:rPr>
        <w:t> </w:t>
      </w:r>
      <w:r>
        <w:rPr>
          <w:spacing w:val="-6"/>
        </w:rPr>
        <w:t>research</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line="266" w:lineRule="auto" w:before="77"/>
        <w:ind w:left="1080"/>
        <w:jc w:val="both"/>
      </w:pPr>
      <w:r>
        <w:rPr/>
        <w:t>and education institutions, NGOs and </w:t>
      </w:r>
      <w:r>
        <w:rPr/>
        <w:t>corporates</w:t>
      </w:r>
      <w:r>
        <w:rPr>
          <w:spacing w:val="40"/>
        </w:rPr>
        <w:t> </w:t>
      </w:r>
      <w:r>
        <w:rPr/>
        <w:t>with</w:t>
      </w:r>
      <w:r>
        <w:rPr>
          <w:spacing w:val="-14"/>
        </w:rPr>
        <w:t> </w:t>
      </w:r>
      <w:r>
        <w:rPr/>
        <w:t>a</w:t>
      </w:r>
      <w:r>
        <w:rPr>
          <w:spacing w:val="-14"/>
        </w:rPr>
        <w:t> </w:t>
      </w:r>
      <w:r>
        <w:rPr/>
        <w:t>global</w:t>
      </w:r>
      <w:r>
        <w:rPr>
          <w:spacing w:val="-14"/>
        </w:rPr>
        <w:t> </w:t>
      </w:r>
      <w:r>
        <w:rPr/>
        <w:t>vision</w:t>
      </w:r>
      <w:r>
        <w:rPr>
          <w:spacing w:val="-13"/>
        </w:rPr>
        <w:t> </w:t>
      </w:r>
      <w:r>
        <w:rPr/>
        <w:t>must</w:t>
      </w:r>
      <w:r>
        <w:rPr>
          <w:spacing w:val="-14"/>
        </w:rPr>
        <w:t> </w:t>
      </w:r>
      <w:r>
        <w:rPr/>
        <w:t>be</w:t>
      </w:r>
      <w:r>
        <w:rPr>
          <w:spacing w:val="-14"/>
        </w:rPr>
        <w:t> </w:t>
      </w:r>
      <w:r>
        <w:rPr/>
        <w:t>strategically</w:t>
      </w:r>
      <w:r>
        <w:rPr>
          <w:spacing w:val="-14"/>
        </w:rPr>
        <w:t> </w:t>
      </w:r>
      <w:r>
        <w:rPr/>
        <w:t>supported</w:t>
      </w:r>
      <w:r>
        <w:rPr>
          <w:spacing w:val="-13"/>
        </w:rPr>
        <w:t> </w:t>
      </w:r>
      <w:r>
        <w:rPr/>
        <w:t>in the interest of enhancing national and international </w:t>
      </w:r>
      <w:r>
        <w:rPr>
          <w:spacing w:val="-2"/>
        </w:rPr>
        <w:t>awareness</w:t>
      </w:r>
      <w:r>
        <w:rPr>
          <w:spacing w:val="-5"/>
        </w:rPr>
        <w:t> </w:t>
      </w:r>
      <w:r>
        <w:rPr>
          <w:spacing w:val="-2"/>
        </w:rPr>
        <w:t>of</w:t>
      </w:r>
      <w:r>
        <w:rPr>
          <w:spacing w:val="-5"/>
        </w:rPr>
        <w:t> </w:t>
      </w:r>
      <w:r>
        <w:rPr>
          <w:spacing w:val="-2"/>
        </w:rPr>
        <w:t>India’s</w:t>
      </w:r>
      <w:r>
        <w:rPr>
          <w:spacing w:val="-5"/>
        </w:rPr>
        <w:t> </w:t>
      </w:r>
      <w:r>
        <w:rPr>
          <w:spacing w:val="-2"/>
        </w:rPr>
        <w:t>rich</w:t>
      </w:r>
      <w:r>
        <w:rPr>
          <w:spacing w:val="-5"/>
        </w:rPr>
        <w:t> </w:t>
      </w:r>
      <w:r>
        <w:rPr>
          <w:spacing w:val="-2"/>
        </w:rPr>
        <w:t>health</w:t>
      </w:r>
      <w:r>
        <w:rPr>
          <w:spacing w:val="-5"/>
        </w:rPr>
        <w:t> </w:t>
      </w:r>
      <w:r>
        <w:rPr>
          <w:spacing w:val="-2"/>
        </w:rPr>
        <w:t>system</w:t>
      </w:r>
      <w:r>
        <w:rPr>
          <w:spacing w:val="-5"/>
        </w:rPr>
        <w:t> </w:t>
      </w:r>
      <w:r>
        <w:rPr>
          <w:spacing w:val="-2"/>
        </w:rPr>
        <w:t>heritage.</w:t>
      </w:r>
    </w:p>
    <w:p>
      <w:pPr>
        <w:pStyle w:val="BodyText"/>
        <w:spacing w:before="9"/>
      </w:pPr>
    </w:p>
    <w:p>
      <w:pPr>
        <w:pStyle w:val="Heading6"/>
        <w:numPr>
          <w:ilvl w:val="0"/>
          <w:numId w:val="62"/>
        </w:numPr>
        <w:tabs>
          <w:tab w:pos="1404" w:val="left" w:leader="none"/>
          <w:tab w:pos="1406" w:val="left" w:leader="none"/>
        </w:tabs>
        <w:spacing w:line="208" w:lineRule="auto" w:before="1" w:after="0"/>
        <w:ind w:left="1406" w:right="965" w:hanging="327"/>
        <w:jc w:val="left"/>
      </w:pPr>
      <w:r>
        <w:rPr>
          <w:color w:val="2E614A"/>
          <w:spacing w:val="-10"/>
        </w:rPr>
        <w:t>Promote International </w:t>
      </w:r>
      <w:r>
        <w:rPr>
          <w:color w:val="2E614A"/>
          <w:spacing w:val="-10"/>
        </w:rPr>
        <w:t>Co- </w:t>
      </w:r>
      <w:r>
        <w:rPr>
          <w:color w:val="2E614A"/>
          <w:spacing w:val="-2"/>
        </w:rPr>
        <w:t>operation</w:t>
      </w:r>
    </w:p>
    <w:p>
      <w:pPr>
        <w:pStyle w:val="BodyText"/>
        <w:spacing w:line="266" w:lineRule="auto" w:before="294"/>
        <w:ind w:left="1080"/>
        <w:jc w:val="both"/>
      </w:pPr>
      <w:r>
        <w:rPr>
          <w:spacing w:val="-2"/>
        </w:rPr>
        <w:t>International</w:t>
      </w:r>
      <w:r>
        <w:rPr>
          <w:spacing w:val="-4"/>
        </w:rPr>
        <w:t> </w:t>
      </w:r>
      <w:r>
        <w:rPr>
          <w:spacing w:val="-2"/>
        </w:rPr>
        <w:t>co-operation</w:t>
      </w:r>
      <w:r>
        <w:rPr>
          <w:spacing w:val="-4"/>
        </w:rPr>
        <w:t> </w:t>
      </w:r>
      <w:r>
        <w:rPr>
          <w:spacing w:val="-2"/>
        </w:rPr>
        <w:t>in</w:t>
      </w:r>
      <w:r>
        <w:rPr>
          <w:spacing w:val="-4"/>
        </w:rPr>
        <w:t> </w:t>
      </w:r>
      <w:r>
        <w:rPr>
          <w:spacing w:val="-2"/>
        </w:rPr>
        <w:t>exploration</w:t>
      </w:r>
      <w:r>
        <w:rPr>
          <w:spacing w:val="-4"/>
        </w:rPr>
        <w:t> </w:t>
      </w:r>
      <w:r>
        <w:rPr>
          <w:spacing w:val="-2"/>
        </w:rPr>
        <w:t>of</w:t>
      </w:r>
      <w:r>
        <w:rPr>
          <w:spacing w:val="-4"/>
        </w:rPr>
        <w:t> </w:t>
      </w:r>
      <w:r>
        <w:rPr>
          <w:spacing w:val="-2"/>
        </w:rPr>
        <w:t>traditional </w:t>
      </w:r>
      <w:r>
        <w:rPr/>
        <w:t>health systems must be given a big boost through </w:t>
      </w:r>
      <w:r>
        <w:rPr>
          <w:w w:val="90"/>
        </w:rPr>
        <w:t>substantial initiatives like strategic research collaborations </w:t>
      </w:r>
      <w:r>
        <w:rPr>
          <w:spacing w:val="-4"/>
        </w:rPr>
        <w:t>with reputed research centres and establishing wellness </w:t>
      </w:r>
      <w:r>
        <w:rPr/>
        <w:t>centres in countries that offer promising market opportunities.</w:t>
      </w:r>
      <w:r>
        <w:rPr>
          <w:spacing w:val="-11"/>
        </w:rPr>
        <w:t> </w:t>
      </w:r>
      <w:r>
        <w:rPr/>
        <w:t>EXIM</w:t>
      </w:r>
      <w:r>
        <w:rPr>
          <w:spacing w:val="-11"/>
        </w:rPr>
        <w:t> </w:t>
      </w:r>
      <w:r>
        <w:rPr/>
        <w:t>bank</w:t>
      </w:r>
      <w:r>
        <w:rPr>
          <w:spacing w:val="-11"/>
        </w:rPr>
        <w:t> </w:t>
      </w:r>
      <w:r>
        <w:rPr/>
        <w:t>of</w:t>
      </w:r>
      <w:r>
        <w:rPr>
          <w:spacing w:val="-11"/>
        </w:rPr>
        <w:t> </w:t>
      </w:r>
      <w:r>
        <w:rPr/>
        <w:t>India</w:t>
      </w:r>
      <w:r>
        <w:rPr>
          <w:spacing w:val="-11"/>
        </w:rPr>
        <w:t> </w:t>
      </w:r>
      <w:r>
        <w:rPr/>
        <w:t>must</w:t>
      </w:r>
      <w:r>
        <w:rPr>
          <w:spacing w:val="-11"/>
        </w:rPr>
        <w:t> </w:t>
      </w:r>
      <w:r>
        <w:rPr/>
        <w:t>be</w:t>
      </w:r>
      <w:r>
        <w:rPr>
          <w:spacing w:val="-11"/>
        </w:rPr>
        <w:t> </w:t>
      </w:r>
      <w:r>
        <w:rPr/>
        <w:t>supported to</w:t>
      </w:r>
      <w:r>
        <w:rPr>
          <w:spacing w:val="-11"/>
        </w:rPr>
        <w:t> </w:t>
      </w:r>
      <w:r>
        <w:rPr/>
        <w:t>work</w:t>
      </w:r>
      <w:r>
        <w:rPr>
          <w:spacing w:val="-11"/>
        </w:rPr>
        <w:t> </w:t>
      </w:r>
      <w:r>
        <w:rPr/>
        <w:t>with</w:t>
      </w:r>
      <w:r>
        <w:rPr>
          <w:spacing w:val="-11"/>
        </w:rPr>
        <w:t> </w:t>
      </w:r>
      <w:r>
        <w:rPr/>
        <w:t>industry</w:t>
      </w:r>
      <w:r>
        <w:rPr>
          <w:spacing w:val="-11"/>
        </w:rPr>
        <w:t> </w:t>
      </w:r>
      <w:r>
        <w:rPr/>
        <w:t>to</w:t>
      </w:r>
      <w:r>
        <w:rPr>
          <w:spacing w:val="-11"/>
        </w:rPr>
        <w:t> </w:t>
      </w:r>
      <w:r>
        <w:rPr/>
        <w:t>open</w:t>
      </w:r>
      <w:r>
        <w:rPr>
          <w:spacing w:val="-11"/>
        </w:rPr>
        <w:t> </w:t>
      </w:r>
      <w:r>
        <w:rPr/>
        <w:t>world</w:t>
      </w:r>
      <w:r>
        <w:rPr>
          <w:spacing w:val="-11"/>
        </w:rPr>
        <w:t> </w:t>
      </w:r>
      <w:r>
        <w:rPr/>
        <w:t>markets</w:t>
      </w:r>
      <w:r>
        <w:rPr>
          <w:spacing w:val="-11"/>
        </w:rPr>
        <w:t> </w:t>
      </w:r>
      <w:r>
        <w:rPr/>
        <w:t>for</w:t>
      </w:r>
      <w:r>
        <w:rPr>
          <w:spacing w:val="-11"/>
        </w:rPr>
        <w:t> </w:t>
      </w:r>
      <w:r>
        <w:rPr/>
        <w:t>these products and services.</w:t>
      </w:r>
    </w:p>
    <w:p>
      <w:pPr>
        <w:pStyle w:val="BodyText"/>
        <w:spacing w:before="6"/>
      </w:pPr>
    </w:p>
    <w:p>
      <w:pPr>
        <w:pStyle w:val="Heading6"/>
        <w:numPr>
          <w:ilvl w:val="0"/>
          <w:numId w:val="62"/>
        </w:numPr>
        <w:tabs>
          <w:tab w:pos="1569" w:val="left" w:leader="none"/>
        </w:tabs>
        <w:spacing w:line="208" w:lineRule="auto" w:before="0" w:after="0"/>
        <w:ind w:left="1569" w:right="279" w:hanging="490"/>
        <w:jc w:val="left"/>
      </w:pPr>
      <w:r>
        <w:rPr>
          <w:color w:val="2E614A"/>
          <w:w w:val="90"/>
        </w:rPr>
        <w:t>Support Primary Healthcare </w:t>
      </w:r>
      <w:r>
        <w:rPr>
          <w:color w:val="2E614A"/>
          <w:w w:val="90"/>
        </w:rPr>
        <w:t>in </w:t>
      </w:r>
      <w:r>
        <w:rPr>
          <w:color w:val="2E614A"/>
          <w:spacing w:val="-2"/>
        </w:rPr>
        <w:t>Rural</w:t>
      </w:r>
      <w:r>
        <w:rPr>
          <w:color w:val="2E614A"/>
          <w:spacing w:val="-18"/>
        </w:rPr>
        <w:t> </w:t>
      </w:r>
      <w:r>
        <w:rPr>
          <w:color w:val="2E614A"/>
          <w:spacing w:val="-2"/>
        </w:rPr>
        <w:t>Areas</w:t>
      </w:r>
    </w:p>
    <w:p>
      <w:pPr>
        <w:pStyle w:val="BodyText"/>
        <w:spacing w:line="266" w:lineRule="auto" w:before="294"/>
        <w:ind w:left="1080"/>
        <w:jc w:val="both"/>
      </w:pPr>
      <w:r>
        <w:rPr/>
        <w:t>With 70 per cent of Indian population relying on traditional medicine for primary health care in the </w:t>
      </w:r>
      <w:r>
        <w:rPr>
          <w:spacing w:val="-8"/>
        </w:rPr>
        <w:t>absence</w:t>
      </w:r>
      <w:r>
        <w:rPr>
          <w:spacing w:val="-1"/>
        </w:rPr>
        <w:t> </w:t>
      </w:r>
      <w:r>
        <w:rPr>
          <w:spacing w:val="-8"/>
        </w:rPr>
        <w:t>of</w:t>
      </w:r>
      <w:r>
        <w:rPr>
          <w:spacing w:val="-1"/>
        </w:rPr>
        <w:t> </w:t>
      </w:r>
      <w:r>
        <w:rPr>
          <w:spacing w:val="-8"/>
        </w:rPr>
        <w:t>adequate</w:t>
      </w:r>
      <w:r>
        <w:rPr>
          <w:spacing w:val="-1"/>
        </w:rPr>
        <w:t> </w:t>
      </w:r>
      <w:r>
        <w:rPr>
          <w:spacing w:val="-8"/>
        </w:rPr>
        <w:t>state</w:t>
      </w:r>
      <w:r>
        <w:rPr>
          <w:spacing w:val="-1"/>
        </w:rPr>
        <w:t> </w:t>
      </w:r>
      <w:r>
        <w:rPr>
          <w:spacing w:val="-8"/>
        </w:rPr>
        <w:t>primary</w:t>
      </w:r>
      <w:r>
        <w:rPr>
          <w:spacing w:val="-1"/>
        </w:rPr>
        <w:t> </w:t>
      </w:r>
      <w:r>
        <w:rPr>
          <w:spacing w:val="-8"/>
        </w:rPr>
        <w:t>health</w:t>
      </w:r>
      <w:r>
        <w:rPr>
          <w:spacing w:val="-1"/>
        </w:rPr>
        <w:t> </w:t>
      </w:r>
      <w:r>
        <w:rPr>
          <w:spacing w:val="-8"/>
        </w:rPr>
        <w:t>care,</w:t>
      </w:r>
      <w:r>
        <w:rPr>
          <w:spacing w:val="-1"/>
        </w:rPr>
        <w:t> </w:t>
      </w:r>
      <w:r>
        <w:rPr>
          <w:spacing w:val="-8"/>
        </w:rPr>
        <w:t>it</w:t>
      </w:r>
      <w:r>
        <w:rPr>
          <w:spacing w:val="-1"/>
        </w:rPr>
        <w:t> </w:t>
      </w:r>
      <w:r>
        <w:rPr>
          <w:spacing w:val="-8"/>
        </w:rPr>
        <w:t>becomes </w:t>
      </w:r>
      <w:r>
        <w:rPr>
          <w:spacing w:val="-6"/>
        </w:rPr>
        <w:t>necessary to establish evidence-based guidelines for this </w:t>
      </w:r>
      <w:r>
        <w:rPr>
          <w:spacing w:val="-4"/>
        </w:rPr>
        <w:t>informal-sector</w:t>
      </w:r>
      <w:r>
        <w:rPr>
          <w:spacing w:val="-10"/>
        </w:rPr>
        <w:t> </w:t>
      </w:r>
      <w:r>
        <w:rPr>
          <w:spacing w:val="-4"/>
        </w:rPr>
        <w:t>usage.</w:t>
      </w:r>
      <w:r>
        <w:rPr>
          <w:spacing w:val="-10"/>
        </w:rPr>
        <w:t> </w:t>
      </w:r>
      <w:r>
        <w:rPr>
          <w:spacing w:val="-4"/>
        </w:rPr>
        <w:t>A</w:t>
      </w:r>
      <w:r>
        <w:rPr>
          <w:spacing w:val="-9"/>
        </w:rPr>
        <w:t> </w:t>
      </w:r>
      <w:r>
        <w:rPr>
          <w:spacing w:val="-4"/>
        </w:rPr>
        <w:t>nation-wide</w:t>
      </w:r>
      <w:r>
        <w:rPr>
          <w:spacing w:val="-10"/>
        </w:rPr>
        <w:t> </w:t>
      </w:r>
      <w:r>
        <w:rPr>
          <w:spacing w:val="-4"/>
        </w:rPr>
        <w:t>network</w:t>
      </w:r>
      <w:r>
        <w:rPr>
          <w:spacing w:val="-10"/>
        </w:rPr>
        <w:t> </w:t>
      </w:r>
      <w:r>
        <w:rPr>
          <w:spacing w:val="-4"/>
        </w:rPr>
        <w:t>of</w:t>
      </w:r>
      <w:r>
        <w:rPr>
          <w:spacing w:val="-9"/>
        </w:rPr>
        <w:t> </w:t>
      </w:r>
      <w:r>
        <w:rPr>
          <w:spacing w:val="-4"/>
        </w:rPr>
        <w:t>Home Herbal</w:t>
      </w:r>
      <w:r>
        <w:rPr>
          <w:spacing w:val="-10"/>
        </w:rPr>
        <w:t> </w:t>
      </w:r>
      <w:r>
        <w:rPr>
          <w:spacing w:val="-4"/>
        </w:rPr>
        <w:t>Garden</w:t>
      </w:r>
      <w:r>
        <w:rPr>
          <w:spacing w:val="-10"/>
        </w:rPr>
        <w:t> </w:t>
      </w:r>
      <w:r>
        <w:rPr>
          <w:spacing w:val="-4"/>
        </w:rPr>
        <w:t>and</w:t>
      </w:r>
      <w:r>
        <w:rPr>
          <w:spacing w:val="-10"/>
        </w:rPr>
        <w:t> </w:t>
      </w:r>
      <w:r>
        <w:rPr>
          <w:spacing w:val="-4"/>
        </w:rPr>
        <w:t>Community</w:t>
      </w:r>
      <w:r>
        <w:rPr>
          <w:spacing w:val="-9"/>
        </w:rPr>
        <w:t> </w:t>
      </w:r>
      <w:r>
        <w:rPr>
          <w:spacing w:val="-4"/>
        </w:rPr>
        <w:t>Herbal</w:t>
      </w:r>
      <w:r>
        <w:rPr>
          <w:spacing w:val="-10"/>
        </w:rPr>
        <w:t> </w:t>
      </w:r>
      <w:r>
        <w:rPr>
          <w:spacing w:val="-4"/>
        </w:rPr>
        <w:t>Gardens</w:t>
      </w:r>
      <w:r>
        <w:rPr>
          <w:spacing w:val="-10"/>
        </w:rPr>
        <w:t> </w:t>
      </w:r>
      <w:r>
        <w:rPr>
          <w:spacing w:val="-4"/>
        </w:rPr>
        <w:t>(CHG) </w:t>
      </w:r>
      <w:r>
        <w:rPr>
          <w:spacing w:val="-2"/>
        </w:rPr>
        <w:t>can</w:t>
      </w:r>
      <w:r>
        <w:rPr>
          <w:spacing w:val="-11"/>
        </w:rPr>
        <w:t> </w:t>
      </w:r>
      <w:r>
        <w:rPr>
          <w:spacing w:val="-2"/>
        </w:rPr>
        <w:t>be</w:t>
      </w:r>
      <w:r>
        <w:rPr>
          <w:spacing w:val="-11"/>
        </w:rPr>
        <w:t> </w:t>
      </w:r>
      <w:r>
        <w:rPr>
          <w:spacing w:val="-2"/>
        </w:rPr>
        <w:t>created</w:t>
      </w:r>
      <w:r>
        <w:rPr>
          <w:spacing w:val="-11"/>
        </w:rPr>
        <w:t> </w:t>
      </w:r>
      <w:r>
        <w:rPr>
          <w:spacing w:val="-2"/>
        </w:rPr>
        <w:t>to</w:t>
      </w:r>
      <w:r>
        <w:rPr>
          <w:spacing w:val="-11"/>
        </w:rPr>
        <w:t> </w:t>
      </w:r>
      <w:r>
        <w:rPr>
          <w:spacing w:val="-2"/>
        </w:rPr>
        <w:t>support</w:t>
      </w:r>
      <w:r>
        <w:rPr>
          <w:spacing w:val="-11"/>
        </w:rPr>
        <w:t> </w:t>
      </w:r>
      <w:r>
        <w:rPr>
          <w:spacing w:val="-2"/>
        </w:rPr>
        <w:t>the</w:t>
      </w:r>
      <w:r>
        <w:rPr>
          <w:spacing w:val="-11"/>
        </w:rPr>
        <w:t> </w:t>
      </w:r>
      <w:r>
        <w:rPr>
          <w:spacing w:val="-2"/>
        </w:rPr>
        <w:t>primary</w:t>
      </w:r>
      <w:r>
        <w:rPr>
          <w:spacing w:val="-11"/>
        </w:rPr>
        <w:t> </w:t>
      </w:r>
      <w:r>
        <w:rPr>
          <w:spacing w:val="-2"/>
        </w:rPr>
        <w:t>health</w:t>
      </w:r>
      <w:r>
        <w:rPr>
          <w:spacing w:val="-11"/>
        </w:rPr>
        <w:t> </w:t>
      </w:r>
      <w:r>
        <w:rPr>
          <w:spacing w:val="-2"/>
        </w:rPr>
        <w:t>care</w:t>
      </w:r>
      <w:r>
        <w:rPr>
          <w:spacing w:val="-11"/>
        </w:rPr>
        <w:t> </w:t>
      </w:r>
      <w:r>
        <w:rPr>
          <w:spacing w:val="-2"/>
        </w:rPr>
        <w:t>needs </w:t>
      </w:r>
      <w:r>
        <w:rPr/>
        <w:t>of</w:t>
      </w:r>
      <w:r>
        <w:rPr>
          <w:spacing w:val="-14"/>
        </w:rPr>
        <w:t> </w:t>
      </w:r>
      <w:r>
        <w:rPr/>
        <w:t>rural</w:t>
      </w:r>
      <w:r>
        <w:rPr>
          <w:spacing w:val="-14"/>
        </w:rPr>
        <w:t> </w:t>
      </w:r>
      <w:r>
        <w:rPr/>
        <w:t>communities</w:t>
      </w:r>
      <w:r>
        <w:rPr>
          <w:spacing w:val="-13"/>
        </w:rPr>
        <w:t> </w:t>
      </w:r>
      <w:r>
        <w:rPr/>
        <w:t>for</w:t>
      </w:r>
      <w:r>
        <w:rPr>
          <w:spacing w:val="-14"/>
        </w:rPr>
        <w:t> </w:t>
      </w:r>
      <w:r>
        <w:rPr/>
        <w:t>those</w:t>
      </w:r>
      <w:r>
        <w:rPr>
          <w:spacing w:val="-14"/>
        </w:rPr>
        <w:t> </w:t>
      </w:r>
      <w:r>
        <w:rPr/>
        <w:t>plants</w:t>
      </w:r>
      <w:r>
        <w:rPr>
          <w:spacing w:val="-13"/>
        </w:rPr>
        <w:t> </w:t>
      </w:r>
      <w:r>
        <w:rPr/>
        <w:t>and</w:t>
      </w:r>
      <w:r>
        <w:rPr>
          <w:spacing w:val="-14"/>
        </w:rPr>
        <w:t> </w:t>
      </w:r>
      <w:r>
        <w:rPr/>
        <w:t>medications </w:t>
      </w:r>
      <w:r>
        <w:rPr>
          <w:spacing w:val="-6"/>
        </w:rPr>
        <w:t>established as efficacious by evidence-based research.</w:t>
      </w:r>
    </w:p>
    <w:p>
      <w:pPr>
        <w:pStyle w:val="Heading6"/>
        <w:numPr>
          <w:ilvl w:val="0"/>
          <w:numId w:val="62"/>
        </w:numPr>
        <w:tabs>
          <w:tab w:pos="809" w:val="left" w:leader="none"/>
        </w:tabs>
        <w:spacing w:line="208" w:lineRule="auto" w:before="96" w:after="0"/>
        <w:ind w:left="809" w:right="1515" w:hanging="490"/>
        <w:jc w:val="left"/>
      </w:pPr>
      <w:r>
        <w:rPr>
          <w:b w:val="0"/>
        </w:rPr>
        <w:br w:type="column"/>
      </w:r>
      <w:r>
        <w:rPr>
          <w:color w:val="2E614A"/>
          <w:spacing w:val="-10"/>
        </w:rPr>
        <w:t>Create A Major Re-branding </w:t>
      </w:r>
      <w:r>
        <w:rPr>
          <w:color w:val="2E614A"/>
          <w:w w:val="90"/>
        </w:rPr>
        <w:t>Exercise of Indian </w:t>
      </w:r>
      <w:r>
        <w:rPr>
          <w:color w:val="2E614A"/>
          <w:w w:val="90"/>
        </w:rPr>
        <w:t>Traditional </w:t>
      </w:r>
      <w:r>
        <w:rPr>
          <w:color w:val="2E614A"/>
          <w:spacing w:val="-2"/>
        </w:rPr>
        <w:t>Medicine</w:t>
      </w:r>
    </w:p>
    <w:p>
      <w:pPr>
        <w:pStyle w:val="BodyText"/>
        <w:spacing w:line="266" w:lineRule="auto" w:before="294"/>
        <w:ind w:left="319" w:right="1077"/>
        <w:jc w:val="both"/>
      </w:pPr>
      <w:r>
        <w:rPr>
          <w:spacing w:val="-2"/>
        </w:rPr>
        <w:t>Better</w:t>
      </w:r>
      <w:r>
        <w:rPr>
          <w:spacing w:val="-8"/>
        </w:rPr>
        <w:t> </w:t>
      </w:r>
      <w:r>
        <w:rPr>
          <w:spacing w:val="-2"/>
        </w:rPr>
        <w:t>branding</w:t>
      </w:r>
      <w:r>
        <w:rPr>
          <w:spacing w:val="-8"/>
        </w:rPr>
        <w:t> </w:t>
      </w:r>
      <w:r>
        <w:rPr>
          <w:spacing w:val="-2"/>
        </w:rPr>
        <w:t>of</w:t>
      </w:r>
      <w:r>
        <w:rPr>
          <w:spacing w:val="-8"/>
        </w:rPr>
        <w:t> </w:t>
      </w:r>
      <w:r>
        <w:rPr>
          <w:spacing w:val="-2"/>
        </w:rPr>
        <w:t>Indian</w:t>
      </w:r>
      <w:r>
        <w:rPr>
          <w:spacing w:val="-8"/>
        </w:rPr>
        <w:t> </w:t>
      </w:r>
      <w:r>
        <w:rPr>
          <w:spacing w:val="-2"/>
        </w:rPr>
        <w:t>traditional</w:t>
      </w:r>
      <w:r>
        <w:rPr>
          <w:spacing w:val="-8"/>
        </w:rPr>
        <w:t> </w:t>
      </w:r>
      <w:r>
        <w:rPr>
          <w:spacing w:val="-2"/>
        </w:rPr>
        <w:t>medicines</w:t>
      </w:r>
      <w:r>
        <w:rPr>
          <w:spacing w:val="-8"/>
        </w:rPr>
        <w:t> </w:t>
      </w:r>
      <w:r>
        <w:rPr>
          <w:spacing w:val="-2"/>
        </w:rPr>
        <w:t>proven </w:t>
      </w:r>
      <w:r>
        <w:rPr/>
        <w:t>to be effective in well-designed clinical trials can increase safe and effective healthcare options. Such proven medications should be integrated with the </w:t>
      </w:r>
      <w:r>
        <w:rPr>
          <w:spacing w:val="-4"/>
        </w:rPr>
        <w:t>national healthcare system. Such evidence-based, well- validated</w:t>
      </w:r>
      <w:r>
        <w:rPr>
          <w:spacing w:val="-10"/>
        </w:rPr>
        <w:t> </w:t>
      </w:r>
      <w:r>
        <w:rPr>
          <w:spacing w:val="-4"/>
        </w:rPr>
        <w:t>and</w:t>
      </w:r>
      <w:r>
        <w:rPr>
          <w:spacing w:val="-10"/>
        </w:rPr>
        <w:t> </w:t>
      </w:r>
      <w:r>
        <w:rPr>
          <w:spacing w:val="-4"/>
        </w:rPr>
        <w:t>uniquely</w:t>
      </w:r>
      <w:r>
        <w:rPr>
          <w:spacing w:val="-10"/>
        </w:rPr>
        <w:t> </w:t>
      </w:r>
      <w:r>
        <w:rPr>
          <w:spacing w:val="-4"/>
        </w:rPr>
        <w:t>Indian</w:t>
      </w:r>
      <w:r>
        <w:rPr>
          <w:spacing w:val="-9"/>
        </w:rPr>
        <w:t> </w:t>
      </w:r>
      <w:r>
        <w:rPr>
          <w:spacing w:val="-4"/>
        </w:rPr>
        <w:t>holistic</w:t>
      </w:r>
      <w:r>
        <w:rPr>
          <w:spacing w:val="-10"/>
        </w:rPr>
        <w:t> </w:t>
      </w:r>
      <w:r>
        <w:rPr>
          <w:spacing w:val="-4"/>
        </w:rPr>
        <w:t>healthcare</w:t>
      </w:r>
      <w:r>
        <w:rPr>
          <w:spacing w:val="-10"/>
        </w:rPr>
        <w:t> </w:t>
      </w:r>
      <w:r>
        <w:rPr>
          <w:spacing w:val="-4"/>
        </w:rPr>
        <w:t>system </w:t>
      </w:r>
      <w:r>
        <w:rPr/>
        <w:t>combinations</w:t>
      </w:r>
      <w:r>
        <w:rPr>
          <w:spacing w:val="-14"/>
        </w:rPr>
        <w:t> </w:t>
      </w:r>
      <w:r>
        <w:rPr/>
        <w:t>must</w:t>
      </w:r>
      <w:r>
        <w:rPr>
          <w:spacing w:val="-14"/>
        </w:rPr>
        <w:t> </w:t>
      </w:r>
      <w:r>
        <w:rPr/>
        <w:t>be</w:t>
      </w:r>
      <w:r>
        <w:rPr>
          <w:spacing w:val="-14"/>
        </w:rPr>
        <w:t> </w:t>
      </w:r>
      <w:r>
        <w:rPr/>
        <w:t>marketed</w:t>
      </w:r>
      <w:r>
        <w:rPr>
          <w:spacing w:val="-13"/>
        </w:rPr>
        <w:t> </w:t>
      </w:r>
      <w:r>
        <w:rPr/>
        <w:t>extensively</w:t>
      </w:r>
      <w:r>
        <w:rPr>
          <w:spacing w:val="-14"/>
        </w:rPr>
        <w:t> </w:t>
      </w:r>
      <w:r>
        <w:rPr/>
        <w:t>globally.</w:t>
      </w:r>
    </w:p>
    <w:p>
      <w:pPr>
        <w:pStyle w:val="BodyText"/>
        <w:spacing w:before="21"/>
      </w:pPr>
    </w:p>
    <w:p>
      <w:pPr>
        <w:pStyle w:val="BodyText"/>
        <w:spacing w:line="266" w:lineRule="auto"/>
        <w:ind w:left="319" w:right="1077"/>
        <w:jc w:val="both"/>
      </w:pPr>
      <w:r>
        <w:rPr>
          <w:w w:val="90"/>
        </w:rPr>
        <w:t>In order to achieve these goals as rapidly and efficiently</w:t>
      </w:r>
      <w:r>
        <w:rPr>
          <w:spacing w:val="80"/>
        </w:rPr>
        <w:t> </w:t>
      </w:r>
      <w:r>
        <w:rPr/>
        <w:t>as possible, the Government of India may consider establishing</w:t>
      </w:r>
      <w:r>
        <w:rPr>
          <w:spacing w:val="-14"/>
        </w:rPr>
        <w:t> </w:t>
      </w:r>
      <w:r>
        <w:rPr/>
        <w:t>a</w:t>
      </w:r>
      <w:r>
        <w:rPr>
          <w:spacing w:val="-12"/>
        </w:rPr>
        <w:t> </w:t>
      </w:r>
      <w:r>
        <w:rPr/>
        <w:t>National</w:t>
      </w:r>
      <w:r>
        <w:rPr>
          <w:spacing w:val="-10"/>
        </w:rPr>
        <w:t> </w:t>
      </w:r>
      <w:r>
        <w:rPr/>
        <w:t>Mission</w:t>
      </w:r>
      <w:r>
        <w:rPr>
          <w:spacing w:val="-10"/>
        </w:rPr>
        <w:t> </w:t>
      </w:r>
      <w:r>
        <w:rPr/>
        <w:t>on</w:t>
      </w:r>
      <w:r>
        <w:rPr>
          <w:spacing w:val="-14"/>
        </w:rPr>
        <w:t> </w:t>
      </w:r>
      <w:r>
        <w:rPr/>
        <w:t>Traditional</w:t>
      </w:r>
      <w:r>
        <w:rPr>
          <w:spacing w:val="-10"/>
        </w:rPr>
        <w:t> </w:t>
      </w:r>
      <w:r>
        <w:rPr/>
        <w:t>Health Knowledge (NMTHK), which would take up these tasks in an organised way. It should be a relatively small body in terms of its own infrastructure with powers to enable it to recommend targeted funding</w:t>
      </w:r>
      <w:r>
        <w:rPr>
          <w:spacing w:val="40"/>
        </w:rPr>
        <w:t> </w:t>
      </w:r>
      <w:r>
        <w:rPr/>
        <w:t>in identified areas. It should support initiatives at many</w:t>
      </w:r>
      <w:r>
        <w:rPr>
          <w:spacing w:val="-13"/>
        </w:rPr>
        <w:t> </w:t>
      </w:r>
      <w:r>
        <w:rPr/>
        <w:t>different</w:t>
      </w:r>
      <w:r>
        <w:rPr>
          <w:spacing w:val="-13"/>
        </w:rPr>
        <w:t> </w:t>
      </w:r>
      <w:r>
        <w:rPr/>
        <w:t>levels,</w:t>
      </w:r>
      <w:r>
        <w:rPr>
          <w:spacing w:val="-13"/>
        </w:rPr>
        <w:t> </w:t>
      </w:r>
      <w:r>
        <w:rPr/>
        <w:t>including</w:t>
      </w:r>
      <w:r>
        <w:rPr>
          <w:spacing w:val="-13"/>
        </w:rPr>
        <w:t> </w:t>
      </w:r>
      <w:r>
        <w:rPr/>
        <w:t>state</w:t>
      </w:r>
      <w:r>
        <w:rPr>
          <w:spacing w:val="-13"/>
        </w:rPr>
        <w:t> </w:t>
      </w:r>
      <w:r>
        <w:rPr/>
        <w:t>and</w:t>
      </w:r>
      <w:r>
        <w:rPr>
          <w:spacing w:val="-13"/>
        </w:rPr>
        <w:t> </w:t>
      </w:r>
      <w:r>
        <w:rPr/>
        <w:t>local</w:t>
      </w:r>
      <w:r>
        <w:rPr>
          <w:spacing w:val="-13"/>
        </w:rPr>
        <w:t> </w:t>
      </w:r>
      <w:r>
        <w:rPr/>
        <w:t>levels, and</w:t>
      </w:r>
      <w:r>
        <w:rPr>
          <w:spacing w:val="40"/>
        </w:rPr>
        <w:t> </w:t>
      </w:r>
      <w:r>
        <w:rPr/>
        <w:t>coordinate</w:t>
      </w:r>
      <w:r>
        <w:rPr>
          <w:spacing w:val="40"/>
        </w:rPr>
        <w:t> </w:t>
      </w:r>
      <w:r>
        <w:rPr/>
        <w:t>with</w:t>
      </w:r>
      <w:r>
        <w:rPr>
          <w:spacing w:val="40"/>
        </w:rPr>
        <w:t> </w:t>
      </w:r>
      <w:r>
        <w:rPr/>
        <w:t>Ministries</w:t>
      </w:r>
      <w:r>
        <w:rPr>
          <w:spacing w:val="40"/>
        </w:rPr>
        <w:t> </w:t>
      </w:r>
      <w:r>
        <w:rPr/>
        <w:t>of</w:t>
      </w:r>
      <w:r>
        <w:rPr>
          <w:spacing w:val="40"/>
        </w:rPr>
        <w:t> </w:t>
      </w:r>
      <w:r>
        <w:rPr/>
        <w:t>Health,</w:t>
      </w:r>
      <w:r>
        <w:rPr>
          <w:spacing w:val="40"/>
        </w:rPr>
        <w:t> </w:t>
      </w:r>
      <w:r>
        <w:rPr/>
        <w:t>Science &amp;</w:t>
      </w:r>
      <w:r>
        <w:rPr>
          <w:spacing w:val="-2"/>
        </w:rPr>
        <w:t> </w:t>
      </w:r>
      <w:r>
        <w:rPr/>
        <w:t>Technology, Forestry, Agriculture and Commerce as well as with the NGOs and private sector. The Mission leader must be a person with high public credibility,</w:t>
      </w:r>
      <w:r>
        <w:rPr>
          <w:spacing w:val="-12"/>
        </w:rPr>
        <w:t> </w:t>
      </w:r>
      <w:r>
        <w:rPr/>
        <w:t>have</w:t>
      </w:r>
      <w:r>
        <w:rPr>
          <w:spacing w:val="-12"/>
        </w:rPr>
        <w:t> </w:t>
      </w:r>
      <w:r>
        <w:rPr/>
        <w:t>extensive</w:t>
      </w:r>
      <w:r>
        <w:rPr>
          <w:spacing w:val="-12"/>
        </w:rPr>
        <w:t> </w:t>
      </w:r>
      <w:r>
        <w:rPr/>
        <w:t>knowledge</w:t>
      </w:r>
      <w:r>
        <w:rPr>
          <w:spacing w:val="-12"/>
        </w:rPr>
        <w:t> </w:t>
      </w:r>
      <w:r>
        <w:rPr/>
        <w:t>and</w:t>
      </w:r>
      <w:r>
        <w:rPr>
          <w:spacing w:val="-12"/>
        </w:rPr>
        <w:t> </w:t>
      </w:r>
      <w:r>
        <w:rPr/>
        <w:t>experience in the field with established managerial capabilities and experience of dealing with all the concerned </w:t>
      </w:r>
      <w:r>
        <w:rPr>
          <w:spacing w:val="-2"/>
        </w:rPr>
        <w:t>stakeholders.</w:t>
      </w:r>
    </w:p>
    <w:p>
      <w:pPr>
        <w:spacing w:after="0" w:line="266" w:lineRule="auto"/>
        <w:jc w:val="both"/>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rPr>
          <w:sz w:val="20"/>
        </w:rPr>
      </w:pPr>
    </w:p>
    <w:p>
      <w:pPr>
        <w:spacing w:after="0"/>
        <w:rPr>
          <w:sz w:val="20"/>
        </w:rPr>
        <w:sectPr>
          <w:pgSz w:w="11910" w:h="16840"/>
          <w:pgMar w:header="0" w:footer="675" w:top="0" w:bottom="860" w:left="0" w:right="0"/>
        </w:sectPr>
      </w:pPr>
    </w:p>
    <w:p>
      <w:pPr>
        <w:pStyle w:val="BodyText"/>
        <w:spacing w:line="266" w:lineRule="auto" w:before="99"/>
        <w:ind w:left="1793"/>
        <w:jc w:val="both"/>
      </w:pPr>
      <w:r>
        <w:rPr/>
        <mc:AlternateContent>
          <mc:Choice Requires="wps">
            <w:drawing>
              <wp:anchor distT="0" distB="0" distL="0" distR="0" allowOverlap="1" layoutInCell="1" locked="0" behindDoc="0" simplePos="0" relativeHeight="15784960">
                <wp:simplePos x="0" y="0"/>
                <wp:positionH relativeFrom="page">
                  <wp:posOffset>0</wp:posOffset>
                </wp:positionH>
                <wp:positionV relativeFrom="paragraph">
                  <wp:posOffset>-2276123</wp:posOffset>
                </wp:positionV>
                <wp:extent cx="7560309" cy="1752600"/>
                <wp:effectExtent l="0" t="0" r="0" b="0"/>
                <wp:wrapNone/>
                <wp:docPr id="990" name="Group 990"/>
                <wp:cNvGraphicFramePr>
                  <a:graphicFrameLocks/>
                </wp:cNvGraphicFramePr>
                <a:graphic>
                  <a:graphicData uri="http://schemas.microsoft.com/office/word/2010/wordprocessingGroup">
                    <wpg:wgp>
                      <wpg:cNvPr id="990" name="Group 990"/>
                      <wpg:cNvGrpSpPr/>
                      <wpg:grpSpPr>
                        <a:xfrm>
                          <a:off x="0" y="0"/>
                          <a:ext cx="7560309" cy="1752600"/>
                          <a:chExt cx="7560309" cy="1752600"/>
                        </a:xfrm>
                      </wpg:grpSpPr>
                      <pic:pic>
                        <pic:nvPicPr>
                          <pic:cNvPr id="991" name="Image 991"/>
                          <pic:cNvPicPr/>
                        </pic:nvPicPr>
                        <pic:blipFill>
                          <a:blip r:embed="rId612" cstate="print"/>
                          <a:stretch>
                            <a:fillRect/>
                          </a:stretch>
                        </pic:blipFill>
                        <pic:spPr>
                          <a:xfrm>
                            <a:off x="0" y="0"/>
                            <a:ext cx="7559999" cy="1752562"/>
                          </a:xfrm>
                          <a:prstGeom prst="rect">
                            <a:avLst/>
                          </a:prstGeom>
                        </pic:spPr>
                      </pic:pic>
                      <wps:wsp>
                        <wps:cNvPr id="992" name="Textbox 992"/>
                        <wps:cNvSpPr txBox="1"/>
                        <wps:spPr>
                          <a:xfrm>
                            <a:off x="685800" y="598682"/>
                            <a:ext cx="2279015" cy="501650"/>
                          </a:xfrm>
                          <a:prstGeom prst="rect">
                            <a:avLst/>
                          </a:prstGeom>
                        </wps:spPr>
                        <wps:txbx>
                          <w:txbxContent>
                            <w:p>
                              <w:pPr>
                                <w:spacing w:before="0"/>
                                <w:ind w:left="0" w:right="0" w:firstLine="0"/>
                                <w:jc w:val="left"/>
                                <w:rPr>
                                  <w:rFonts w:ascii="Trebuchet MS"/>
                                  <w:b/>
                                  <w:sz w:val="68"/>
                                </w:rPr>
                              </w:pPr>
                              <w:r>
                                <w:rPr>
                                  <w:rFonts w:ascii="Trebuchet MS"/>
                                  <w:b/>
                                  <w:color w:val="FFFFFF"/>
                                  <w:spacing w:val="-2"/>
                                  <w:sz w:val="68"/>
                                </w:rPr>
                                <w:t>Agriculture</w:t>
                              </w:r>
                            </w:p>
                          </w:txbxContent>
                        </wps:txbx>
                        <wps:bodyPr wrap="square" lIns="0" tIns="0" rIns="0" bIns="0" rtlCol="0">
                          <a:noAutofit/>
                        </wps:bodyPr>
                      </wps:wsp>
                      <wps:wsp>
                        <wps:cNvPr id="993" name="Textbox 993"/>
                        <wps:cNvSpPr txBox="1"/>
                        <wps:spPr>
                          <a:xfrm>
                            <a:off x="6073023" y="1477195"/>
                            <a:ext cx="814069" cy="156845"/>
                          </a:xfrm>
                          <a:prstGeom prst="rect">
                            <a:avLst/>
                          </a:prstGeom>
                        </wps:spPr>
                        <wps:txbx>
                          <w:txbxContent>
                            <w:p>
                              <w:pPr>
                                <w:spacing w:line="235" w:lineRule="exact" w:before="0"/>
                                <w:ind w:left="0" w:right="0" w:firstLine="0"/>
                                <w:jc w:val="left"/>
                                <w:rPr>
                                  <w:sz w:val="22"/>
                                </w:rPr>
                              </w:pPr>
                              <w:r>
                                <w:rPr>
                                  <w:color w:val="FFFFFF"/>
                                  <w:spacing w:val="-2"/>
                                  <w:sz w:val="22"/>
                                </w:rPr>
                                <w:t>March</w:t>
                              </w:r>
                              <w:r>
                                <w:rPr>
                                  <w:color w:val="FFFFFF"/>
                                  <w:spacing w:val="-9"/>
                                  <w:sz w:val="22"/>
                                </w:rPr>
                                <w:t> </w:t>
                              </w:r>
                              <w:r>
                                <w:rPr>
                                  <w:color w:val="FFFFFF"/>
                                  <w:spacing w:val="-2"/>
                                  <w:sz w:val="22"/>
                                </w:rPr>
                                <w:t>2,</w:t>
                              </w:r>
                              <w:r>
                                <w:rPr>
                                  <w:color w:val="FFFFFF"/>
                                  <w:spacing w:val="-9"/>
                                  <w:sz w:val="22"/>
                                </w:rPr>
                                <w:t> </w:t>
                              </w:r>
                              <w:r>
                                <w:rPr>
                                  <w:color w:val="FFFFFF"/>
                                  <w:spacing w:val="-4"/>
                                  <w:sz w:val="22"/>
                                </w:rPr>
                                <w:t>2009</w:t>
                              </w:r>
                            </w:p>
                          </w:txbxContent>
                        </wps:txbx>
                        <wps:bodyPr wrap="square" lIns="0" tIns="0" rIns="0" bIns="0" rtlCol="0">
                          <a:noAutofit/>
                        </wps:bodyPr>
                      </wps:wsp>
                    </wpg:wgp>
                  </a:graphicData>
                </a:graphic>
              </wp:anchor>
            </w:drawing>
          </mc:Choice>
          <mc:Fallback>
            <w:pict>
              <v:group style="position:absolute;margin-left:0pt;margin-top:-179.222305pt;width:595.3pt;height:138pt;mso-position-horizontal-relative:page;mso-position-vertical-relative:paragraph;z-index:15784960" id="docshapegroup980" coordorigin="0,-3584" coordsize="11906,2760">
                <v:shape style="position:absolute;left:0;top:-3585;width:11906;height:2760" type="#_x0000_t75" id="docshape981" stroked="false">
                  <v:imagedata r:id="rId612" o:title=""/>
                </v:shape>
                <v:shape style="position:absolute;left:1080;top:-2642;width:3589;height:790" type="#_x0000_t202" id="docshape982" filled="false" stroked="false">
                  <v:textbox inset="0,0,0,0">
                    <w:txbxContent>
                      <w:p>
                        <w:pPr>
                          <w:spacing w:before="0"/>
                          <w:ind w:left="0" w:right="0" w:firstLine="0"/>
                          <w:jc w:val="left"/>
                          <w:rPr>
                            <w:rFonts w:ascii="Trebuchet MS"/>
                            <w:b/>
                            <w:sz w:val="68"/>
                          </w:rPr>
                        </w:pPr>
                        <w:r>
                          <w:rPr>
                            <w:rFonts w:ascii="Trebuchet MS"/>
                            <w:b/>
                            <w:color w:val="FFFFFF"/>
                            <w:spacing w:val="-2"/>
                            <w:sz w:val="68"/>
                          </w:rPr>
                          <w:t>Agriculture</w:t>
                        </w:r>
                      </w:p>
                    </w:txbxContent>
                  </v:textbox>
                  <w10:wrap type="none"/>
                </v:shape>
                <v:shape style="position:absolute;left:9563;top:-1259;width:1282;height:247" type="#_x0000_t202" id="docshape983" filled="false" stroked="false">
                  <v:textbox inset="0,0,0,0">
                    <w:txbxContent>
                      <w:p>
                        <w:pPr>
                          <w:spacing w:line="235" w:lineRule="exact" w:before="0"/>
                          <w:ind w:left="0" w:right="0" w:firstLine="0"/>
                          <w:jc w:val="left"/>
                          <w:rPr>
                            <w:sz w:val="22"/>
                          </w:rPr>
                        </w:pPr>
                        <w:r>
                          <w:rPr>
                            <w:color w:val="FFFFFF"/>
                            <w:spacing w:val="-2"/>
                            <w:sz w:val="22"/>
                          </w:rPr>
                          <w:t>March</w:t>
                        </w:r>
                        <w:r>
                          <w:rPr>
                            <w:color w:val="FFFFFF"/>
                            <w:spacing w:val="-9"/>
                            <w:sz w:val="22"/>
                          </w:rPr>
                          <w:t> </w:t>
                        </w:r>
                        <w:r>
                          <w:rPr>
                            <w:color w:val="FFFFFF"/>
                            <w:spacing w:val="-2"/>
                            <w:sz w:val="22"/>
                          </w:rPr>
                          <w:t>2,</w:t>
                        </w:r>
                        <w:r>
                          <w:rPr>
                            <w:color w:val="FFFFFF"/>
                            <w:spacing w:val="-9"/>
                            <w:sz w:val="22"/>
                          </w:rPr>
                          <w:t> </w:t>
                        </w:r>
                        <w:r>
                          <w:rPr>
                            <w:color w:val="FFFFFF"/>
                            <w:spacing w:val="-4"/>
                            <w:sz w:val="22"/>
                          </w:rPr>
                          <w:t>2009</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62048">
                <wp:simplePos x="0" y="0"/>
                <wp:positionH relativeFrom="page">
                  <wp:posOffset>685799</wp:posOffset>
                </wp:positionH>
                <wp:positionV relativeFrom="paragraph">
                  <wp:posOffset>-26510</wp:posOffset>
                </wp:positionV>
                <wp:extent cx="446405" cy="757555"/>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087410pt;width:35.15pt;height:59.65pt;mso-position-horizontal-relative:page;mso-position-vertical-relative:paragraph;z-index:-23954432" type="#_x0000_t202" id="docshape984"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National Knowledge Commission </w:t>
      </w:r>
      <w:r>
        <w:rPr/>
        <w:t>is </w:t>
      </w:r>
      <w:r>
        <w:rPr>
          <w:spacing w:val="-4"/>
        </w:rPr>
        <w:t>seriously</w:t>
      </w:r>
      <w:r>
        <w:rPr>
          <w:spacing w:val="-5"/>
        </w:rPr>
        <w:t> </w:t>
      </w:r>
      <w:r>
        <w:rPr>
          <w:spacing w:val="-4"/>
        </w:rPr>
        <w:t>concerned</w:t>
      </w:r>
      <w:r>
        <w:rPr>
          <w:spacing w:val="-5"/>
        </w:rPr>
        <w:t> </w:t>
      </w:r>
      <w:r>
        <w:rPr>
          <w:spacing w:val="-4"/>
        </w:rPr>
        <w:t>about</w:t>
      </w:r>
      <w:r>
        <w:rPr>
          <w:spacing w:val="-5"/>
        </w:rPr>
        <w:t> </w:t>
      </w:r>
      <w:r>
        <w:rPr>
          <w:spacing w:val="-4"/>
        </w:rPr>
        <w:t>deep</w:t>
      </w:r>
      <w:r>
        <w:rPr>
          <w:spacing w:val="-5"/>
        </w:rPr>
        <w:t> </w:t>
      </w:r>
      <w:r>
        <w:rPr>
          <w:spacing w:val="-4"/>
        </w:rPr>
        <w:t>crisis</w:t>
      </w:r>
      <w:r>
        <w:rPr>
          <w:spacing w:val="-5"/>
        </w:rPr>
        <w:t> </w:t>
      </w:r>
      <w:r>
        <w:rPr>
          <w:spacing w:val="-4"/>
        </w:rPr>
        <w:t>in</w:t>
      </w:r>
      <w:r>
        <w:rPr>
          <w:spacing w:val="-5"/>
        </w:rPr>
        <w:t> </w:t>
      </w:r>
      <w:r>
        <w:rPr>
          <w:spacing w:val="-4"/>
        </w:rPr>
        <w:t>Indian </w:t>
      </w:r>
      <w:r>
        <w:rPr/>
        <w:t>agriculture</w:t>
      </w:r>
      <w:r>
        <w:rPr>
          <w:spacing w:val="57"/>
        </w:rPr>
        <w:t> </w:t>
      </w:r>
      <w:r>
        <w:rPr/>
        <w:t>which</w:t>
      </w:r>
      <w:r>
        <w:rPr>
          <w:spacing w:val="58"/>
        </w:rPr>
        <w:t> </w:t>
      </w:r>
      <w:r>
        <w:rPr/>
        <w:t>has</w:t>
      </w:r>
      <w:r>
        <w:rPr>
          <w:spacing w:val="57"/>
        </w:rPr>
        <w:t> </w:t>
      </w:r>
      <w:r>
        <w:rPr/>
        <w:t>been</w:t>
      </w:r>
      <w:r>
        <w:rPr>
          <w:spacing w:val="58"/>
        </w:rPr>
        <w:t> </w:t>
      </w:r>
      <w:r>
        <w:rPr/>
        <w:t>in</w:t>
      </w:r>
      <w:r>
        <w:rPr>
          <w:spacing w:val="57"/>
        </w:rPr>
        <w:t> </w:t>
      </w:r>
      <w:r>
        <w:rPr/>
        <w:t>the</w:t>
      </w:r>
      <w:r>
        <w:rPr>
          <w:spacing w:val="57"/>
        </w:rPr>
        <w:t> </w:t>
      </w:r>
      <w:r>
        <w:rPr>
          <w:spacing w:val="-2"/>
        </w:rPr>
        <w:t>making</w:t>
      </w:r>
    </w:p>
    <w:p>
      <w:pPr>
        <w:pStyle w:val="BodyText"/>
        <w:spacing w:line="266" w:lineRule="auto"/>
        <w:ind w:left="1080"/>
        <w:jc w:val="both"/>
      </w:pPr>
      <w:r>
        <w:rPr/>
        <w:t>for some time. There are several dimensions of this problem.</w:t>
      </w:r>
      <w:r>
        <w:rPr>
          <w:spacing w:val="-7"/>
        </w:rPr>
        <w:t> </w:t>
      </w:r>
      <w:r>
        <w:rPr/>
        <w:t>The proportion of the population employed in</w:t>
      </w:r>
      <w:r>
        <w:rPr>
          <w:spacing w:val="-14"/>
        </w:rPr>
        <w:t> </w:t>
      </w:r>
      <w:r>
        <w:rPr/>
        <w:t>agriculture</w:t>
      </w:r>
      <w:r>
        <w:rPr>
          <w:spacing w:val="-14"/>
        </w:rPr>
        <w:t> </w:t>
      </w:r>
      <w:r>
        <w:rPr/>
        <w:t>is</w:t>
      </w:r>
      <w:r>
        <w:rPr>
          <w:spacing w:val="-14"/>
        </w:rPr>
        <w:t> </w:t>
      </w:r>
      <w:r>
        <w:rPr/>
        <w:t>as</w:t>
      </w:r>
      <w:r>
        <w:rPr>
          <w:spacing w:val="-13"/>
        </w:rPr>
        <w:t> </w:t>
      </w:r>
      <w:r>
        <w:rPr/>
        <w:t>much</w:t>
      </w:r>
      <w:r>
        <w:rPr>
          <w:spacing w:val="-14"/>
        </w:rPr>
        <w:t> </w:t>
      </w:r>
      <w:r>
        <w:rPr/>
        <w:t>as</w:t>
      </w:r>
      <w:r>
        <w:rPr>
          <w:spacing w:val="-14"/>
        </w:rPr>
        <w:t> </w:t>
      </w:r>
      <w:r>
        <w:rPr/>
        <w:t>52</w:t>
      </w:r>
      <w:r>
        <w:rPr>
          <w:spacing w:val="-14"/>
        </w:rPr>
        <w:t> </w:t>
      </w:r>
      <w:r>
        <w:rPr/>
        <w:t>per</w:t>
      </w:r>
      <w:r>
        <w:rPr>
          <w:spacing w:val="-13"/>
        </w:rPr>
        <w:t> </w:t>
      </w:r>
      <w:r>
        <w:rPr/>
        <w:t>cent,</w:t>
      </w:r>
      <w:r>
        <w:rPr>
          <w:spacing w:val="-14"/>
        </w:rPr>
        <w:t> </w:t>
      </w:r>
      <w:r>
        <w:rPr/>
        <w:t>yet</w:t>
      </w:r>
      <w:r>
        <w:rPr>
          <w:spacing w:val="-14"/>
        </w:rPr>
        <w:t> </w:t>
      </w:r>
      <w:r>
        <w:rPr/>
        <w:t>agriculture contributes just 18.5 per cent to the national GDP. Thus per capita GDP and average living standards </w:t>
      </w:r>
      <w:r>
        <w:rPr/>
        <w:t>in agriculture are significantly lower than in the non- </w:t>
      </w:r>
      <w:r>
        <w:rPr>
          <w:spacing w:val="-2"/>
        </w:rPr>
        <w:t>agriculture</w:t>
      </w:r>
      <w:r>
        <w:rPr>
          <w:spacing w:val="-12"/>
        </w:rPr>
        <w:t> </w:t>
      </w:r>
      <w:r>
        <w:rPr>
          <w:spacing w:val="-2"/>
        </w:rPr>
        <w:t>sector.</w:t>
      </w:r>
      <w:r>
        <w:rPr>
          <w:spacing w:val="-12"/>
        </w:rPr>
        <w:t> </w:t>
      </w:r>
      <w:r>
        <w:rPr>
          <w:spacing w:val="-2"/>
        </w:rPr>
        <w:t>Growth</w:t>
      </w:r>
      <w:r>
        <w:rPr>
          <w:spacing w:val="-12"/>
        </w:rPr>
        <w:t> </w:t>
      </w:r>
      <w:r>
        <w:rPr>
          <w:spacing w:val="-2"/>
        </w:rPr>
        <w:t>in</w:t>
      </w:r>
      <w:r>
        <w:rPr>
          <w:spacing w:val="-11"/>
        </w:rPr>
        <w:t> </w:t>
      </w:r>
      <w:r>
        <w:rPr>
          <w:spacing w:val="-2"/>
        </w:rPr>
        <w:t>terms</w:t>
      </w:r>
      <w:r>
        <w:rPr>
          <w:spacing w:val="-12"/>
        </w:rPr>
        <w:t> </w:t>
      </w:r>
      <w:r>
        <w:rPr>
          <w:spacing w:val="-2"/>
        </w:rPr>
        <w:t>of</w:t>
      </w:r>
      <w:r>
        <w:rPr>
          <w:spacing w:val="-12"/>
        </w:rPr>
        <w:t> </w:t>
      </w:r>
      <w:r>
        <w:rPr>
          <w:spacing w:val="-2"/>
        </w:rPr>
        <w:t>yield</w:t>
      </w:r>
      <w:r>
        <w:rPr>
          <w:spacing w:val="-12"/>
        </w:rPr>
        <w:t> </w:t>
      </w:r>
      <w:r>
        <w:rPr>
          <w:spacing w:val="-2"/>
        </w:rPr>
        <w:t>per</w:t>
      </w:r>
      <w:r>
        <w:rPr>
          <w:spacing w:val="-11"/>
        </w:rPr>
        <w:t> </w:t>
      </w:r>
      <w:r>
        <w:rPr>
          <w:spacing w:val="-2"/>
        </w:rPr>
        <w:t>hectare </w:t>
      </w:r>
      <w:r>
        <w:rPr/>
        <w:t>and</w:t>
      </w:r>
      <w:r>
        <w:rPr>
          <w:spacing w:val="-16"/>
        </w:rPr>
        <w:t> </w:t>
      </w:r>
      <w:r>
        <w:rPr/>
        <w:t>employment</w:t>
      </w:r>
      <w:r>
        <w:rPr>
          <w:spacing w:val="-14"/>
        </w:rPr>
        <w:t> </w:t>
      </w:r>
      <w:r>
        <w:rPr/>
        <w:t>creation</w:t>
      </w:r>
      <w:r>
        <w:rPr>
          <w:spacing w:val="-14"/>
        </w:rPr>
        <w:t> </w:t>
      </w:r>
      <w:r>
        <w:rPr/>
        <w:t>has</w:t>
      </w:r>
      <w:r>
        <w:rPr>
          <w:spacing w:val="-13"/>
        </w:rPr>
        <w:t> </w:t>
      </w:r>
      <w:r>
        <w:rPr/>
        <w:t>also</w:t>
      </w:r>
      <w:r>
        <w:rPr>
          <w:spacing w:val="-14"/>
        </w:rPr>
        <w:t> </w:t>
      </w:r>
      <w:r>
        <w:rPr/>
        <w:t>slowed</w:t>
      </w:r>
      <w:r>
        <w:rPr>
          <w:spacing w:val="-14"/>
        </w:rPr>
        <w:t> </w:t>
      </w:r>
      <w:r>
        <w:rPr/>
        <w:t>down</w:t>
      </w:r>
      <w:r>
        <w:rPr>
          <w:spacing w:val="-14"/>
        </w:rPr>
        <w:t> </w:t>
      </w:r>
      <w:r>
        <w:rPr/>
        <w:t>in</w:t>
      </w:r>
      <w:r>
        <w:rPr>
          <w:spacing w:val="-13"/>
        </w:rPr>
        <w:t> </w:t>
      </w:r>
      <w:r>
        <w:rPr/>
        <w:t>the sector and per capita availability of food grains has shown no discernible increase for more than three decades.</w:t>
      </w:r>
      <w:r>
        <w:rPr>
          <w:spacing w:val="-14"/>
        </w:rPr>
        <w:t> </w:t>
      </w:r>
      <w:r>
        <w:rPr/>
        <w:t>The</w:t>
      </w:r>
      <w:r>
        <w:rPr>
          <w:spacing w:val="-14"/>
        </w:rPr>
        <w:t> </w:t>
      </w:r>
      <w:r>
        <w:rPr/>
        <w:t>recent</w:t>
      </w:r>
      <w:r>
        <w:rPr>
          <w:spacing w:val="-14"/>
        </w:rPr>
        <w:t> </w:t>
      </w:r>
      <w:r>
        <w:rPr/>
        <w:t>suicides</w:t>
      </w:r>
      <w:r>
        <w:rPr>
          <w:spacing w:val="-13"/>
        </w:rPr>
        <w:t> </w:t>
      </w:r>
      <w:r>
        <w:rPr/>
        <w:t>of</w:t>
      </w:r>
      <w:r>
        <w:rPr>
          <w:spacing w:val="-14"/>
        </w:rPr>
        <w:t> </w:t>
      </w:r>
      <w:r>
        <w:rPr/>
        <w:t>farmers</w:t>
      </w:r>
      <w:r>
        <w:rPr>
          <w:spacing w:val="-14"/>
        </w:rPr>
        <w:t> </w:t>
      </w:r>
      <w:r>
        <w:rPr/>
        <w:t>are</w:t>
      </w:r>
      <w:r>
        <w:rPr>
          <w:spacing w:val="-14"/>
        </w:rPr>
        <w:t> </w:t>
      </w:r>
      <w:r>
        <w:rPr/>
        <w:t>symptoms of</w:t>
      </w:r>
      <w:r>
        <w:rPr>
          <w:spacing w:val="-11"/>
        </w:rPr>
        <w:t> </w:t>
      </w:r>
      <w:r>
        <w:rPr/>
        <w:t>a</w:t>
      </w:r>
      <w:r>
        <w:rPr>
          <w:spacing w:val="-9"/>
        </w:rPr>
        <w:t> </w:t>
      </w:r>
      <w:r>
        <w:rPr/>
        <w:t>much</w:t>
      </w:r>
      <w:r>
        <w:rPr>
          <w:spacing w:val="-9"/>
        </w:rPr>
        <w:t> </w:t>
      </w:r>
      <w:r>
        <w:rPr/>
        <w:t>deeper</w:t>
      </w:r>
      <w:r>
        <w:rPr>
          <w:spacing w:val="-9"/>
        </w:rPr>
        <w:t> </w:t>
      </w:r>
      <w:r>
        <w:rPr/>
        <w:t>malaise.</w:t>
      </w:r>
      <w:r>
        <w:rPr>
          <w:spacing w:val="-14"/>
        </w:rPr>
        <w:t> </w:t>
      </w:r>
      <w:r>
        <w:rPr/>
        <w:t>Thus,</w:t>
      </w:r>
      <w:r>
        <w:rPr>
          <w:spacing w:val="-8"/>
        </w:rPr>
        <w:t> </w:t>
      </w:r>
      <w:r>
        <w:rPr/>
        <w:t>in</w:t>
      </w:r>
      <w:r>
        <w:rPr>
          <w:spacing w:val="-9"/>
        </w:rPr>
        <w:t> </w:t>
      </w:r>
      <w:r>
        <w:rPr/>
        <w:t>order</w:t>
      </w:r>
      <w:r>
        <w:rPr>
          <w:spacing w:val="-9"/>
        </w:rPr>
        <w:t> </w:t>
      </w:r>
      <w:r>
        <w:rPr/>
        <w:t>to</w:t>
      </w:r>
      <w:r>
        <w:rPr>
          <w:spacing w:val="-9"/>
        </w:rPr>
        <w:t> </w:t>
      </w:r>
      <w:r>
        <w:rPr/>
        <w:t>transform India</w:t>
      </w:r>
      <w:r>
        <w:rPr>
          <w:spacing w:val="-6"/>
        </w:rPr>
        <w:t> </w:t>
      </w:r>
      <w:r>
        <w:rPr/>
        <w:t>into</w:t>
      </w:r>
      <w:r>
        <w:rPr>
          <w:spacing w:val="-6"/>
        </w:rPr>
        <w:t> </w:t>
      </w:r>
      <w:r>
        <w:rPr/>
        <w:t>a</w:t>
      </w:r>
      <w:r>
        <w:rPr>
          <w:spacing w:val="-6"/>
        </w:rPr>
        <w:t> </w:t>
      </w:r>
      <w:r>
        <w:rPr/>
        <w:t>knowledge</w:t>
      </w:r>
      <w:r>
        <w:rPr>
          <w:spacing w:val="-6"/>
        </w:rPr>
        <w:t> </w:t>
      </w:r>
      <w:r>
        <w:rPr/>
        <w:t>economy,</w:t>
      </w:r>
      <w:r>
        <w:rPr>
          <w:spacing w:val="-6"/>
        </w:rPr>
        <w:t> </w:t>
      </w:r>
      <w:r>
        <w:rPr/>
        <w:t>it</w:t>
      </w:r>
      <w:r>
        <w:rPr>
          <w:spacing w:val="-6"/>
        </w:rPr>
        <w:t> </w:t>
      </w:r>
      <w:r>
        <w:rPr/>
        <w:t>is</w:t>
      </w:r>
      <w:r>
        <w:rPr>
          <w:spacing w:val="-6"/>
        </w:rPr>
        <w:t> </w:t>
      </w:r>
      <w:r>
        <w:rPr/>
        <w:t>imperative</w:t>
      </w:r>
      <w:r>
        <w:rPr>
          <w:spacing w:val="-6"/>
        </w:rPr>
        <w:t> </w:t>
      </w:r>
      <w:r>
        <w:rPr/>
        <w:t>that we focus on agriculture on a priority basis. In this regard</w:t>
      </w:r>
      <w:r>
        <w:rPr>
          <w:spacing w:val="40"/>
        </w:rPr>
        <w:t> </w:t>
      </w:r>
      <w:r>
        <w:rPr/>
        <w:t>NKC</w:t>
      </w:r>
      <w:r>
        <w:rPr>
          <w:spacing w:val="40"/>
        </w:rPr>
        <w:t> </w:t>
      </w:r>
      <w:r>
        <w:rPr/>
        <w:t>believes</w:t>
      </w:r>
      <w:r>
        <w:rPr>
          <w:spacing w:val="40"/>
        </w:rPr>
        <w:t> </w:t>
      </w:r>
      <w:r>
        <w:rPr/>
        <w:t>that</w:t>
      </w:r>
      <w:r>
        <w:rPr>
          <w:spacing w:val="40"/>
        </w:rPr>
        <w:t> </w:t>
      </w:r>
      <w:r>
        <w:rPr/>
        <w:t>appropriate</w:t>
      </w:r>
      <w:r>
        <w:rPr>
          <w:spacing w:val="40"/>
        </w:rPr>
        <w:t> </w:t>
      </w:r>
      <w:r>
        <w:rPr/>
        <w:t>application of knowledge in agriculture can play a major role in boosting the agrarian economy and giving the Indian farmer a competitive edge in the global market.</w:t>
      </w:r>
    </w:p>
    <w:p>
      <w:pPr>
        <w:pStyle w:val="BodyText"/>
        <w:spacing w:before="90"/>
      </w:pPr>
    </w:p>
    <w:p>
      <w:pPr>
        <w:pStyle w:val="BodyText"/>
        <w:spacing w:line="266" w:lineRule="auto"/>
        <w:ind w:left="1080"/>
        <w:jc w:val="both"/>
      </w:pPr>
      <w:r>
        <w:rPr>
          <w:w w:val="90"/>
        </w:rPr>
        <w:t>We note that various Commissions and Working Groups </w:t>
      </w:r>
      <w:r>
        <w:rPr/>
        <w:t>set up by the Government of India at different times </w:t>
      </w:r>
      <w:r>
        <w:rPr>
          <w:spacing w:val="-4"/>
        </w:rPr>
        <w:t>have</w:t>
      </w:r>
      <w:r>
        <w:rPr>
          <w:spacing w:val="-6"/>
        </w:rPr>
        <w:t> </w:t>
      </w:r>
      <w:r>
        <w:rPr>
          <w:spacing w:val="-4"/>
        </w:rPr>
        <w:t>made</w:t>
      </w:r>
      <w:r>
        <w:rPr>
          <w:spacing w:val="-6"/>
        </w:rPr>
        <w:t> </w:t>
      </w:r>
      <w:r>
        <w:rPr>
          <w:spacing w:val="-4"/>
        </w:rPr>
        <w:t>a</w:t>
      </w:r>
      <w:r>
        <w:rPr>
          <w:spacing w:val="-6"/>
        </w:rPr>
        <w:t> </w:t>
      </w:r>
      <w:r>
        <w:rPr>
          <w:spacing w:val="-4"/>
        </w:rPr>
        <w:t>number</w:t>
      </w:r>
      <w:r>
        <w:rPr>
          <w:spacing w:val="-6"/>
        </w:rPr>
        <w:t> </w:t>
      </w:r>
      <w:r>
        <w:rPr>
          <w:spacing w:val="-4"/>
        </w:rPr>
        <w:t>of</w:t>
      </w:r>
      <w:r>
        <w:rPr>
          <w:spacing w:val="-6"/>
        </w:rPr>
        <w:t> </w:t>
      </w:r>
      <w:r>
        <w:rPr>
          <w:spacing w:val="-4"/>
        </w:rPr>
        <w:t>important</w:t>
      </w:r>
      <w:r>
        <w:rPr>
          <w:spacing w:val="-6"/>
        </w:rPr>
        <w:t> </w:t>
      </w:r>
      <w:r>
        <w:rPr>
          <w:spacing w:val="-4"/>
        </w:rPr>
        <w:t>and</w:t>
      </w:r>
      <w:r>
        <w:rPr>
          <w:spacing w:val="-6"/>
        </w:rPr>
        <w:t> </w:t>
      </w:r>
      <w:r>
        <w:rPr>
          <w:spacing w:val="-4"/>
        </w:rPr>
        <w:t>extremely</w:t>
      </w:r>
      <w:r>
        <w:rPr>
          <w:spacing w:val="-6"/>
        </w:rPr>
        <w:t> </w:t>
      </w:r>
      <w:r>
        <w:rPr>
          <w:spacing w:val="-4"/>
        </w:rPr>
        <w:t>useful </w:t>
      </w:r>
      <w:r>
        <w:rPr>
          <w:spacing w:val="-6"/>
        </w:rPr>
        <w:t>recommendations.</w:t>
      </w:r>
      <w:r>
        <w:rPr>
          <w:spacing w:val="-8"/>
        </w:rPr>
        <w:t> </w:t>
      </w:r>
      <w:r>
        <w:rPr>
          <w:spacing w:val="-6"/>
        </w:rPr>
        <w:t>Yet</w:t>
      </w:r>
      <w:r>
        <w:rPr>
          <w:spacing w:val="-8"/>
        </w:rPr>
        <w:t> </w:t>
      </w:r>
      <w:r>
        <w:rPr>
          <w:spacing w:val="-6"/>
        </w:rPr>
        <w:t>it</w:t>
      </w:r>
      <w:r>
        <w:rPr>
          <w:spacing w:val="-8"/>
        </w:rPr>
        <w:t> </w:t>
      </w:r>
      <w:r>
        <w:rPr>
          <w:spacing w:val="-6"/>
        </w:rPr>
        <w:t>is</w:t>
      </w:r>
      <w:r>
        <w:rPr>
          <w:spacing w:val="-7"/>
        </w:rPr>
        <w:t> </w:t>
      </w:r>
      <w:r>
        <w:rPr>
          <w:spacing w:val="-6"/>
        </w:rPr>
        <w:t>a matter</w:t>
      </w:r>
      <w:r>
        <w:rPr>
          <w:spacing w:val="-7"/>
        </w:rPr>
        <w:t> </w:t>
      </w:r>
      <w:r>
        <w:rPr>
          <w:spacing w:val="-6"/>
        </w:rPr>
        <w:t>of</w:t>
      </w:r>
      <w:r>
        <w:rPr>
          <w:spacing w:val="-7"/>
        </w:rPr>
        <w:t> </w:t>
      </w:r>
      <w:r>
        <w:rPr>
          <w:spacing w:val="-6"/>
        </w:rPr>
        <w:t>concern</w:t>
      </w:r>
      <w:r>
        <w:rPr>
          <w:spacing w:val="-7"/>
        </w:rPr>
        <w:t> </w:t>
      </w:r>
      <w:r>
        <w:rPr>
          <w:spacing w:val="-6"/>
        </w:rPr>
        <w:t>that</w:t>
      </w:r>
      <w:r>
        <w:rPr>
          <w:spacing w:val="-7"/>
        </w:rPr>
        <w:t> </w:t>
      </w:r>
      <w:r>
        <w:rPr>
          <w:spacing w:val="-6"/>
        </w:rPr>
        <w:t>most </w:t>
      </w:r>
      <w:r>
        <w:rPr>
          <w:spacing w:val="-4"/>
        </w:rPr>
        <w:t>of these recommendations have not been implemented. </w:t>
      </w:r>
      <w:r>
        <w:rPr/>
        <w:t>We urge you to consider these recommendations for speedy implementation. In addition, we would like</w:t>
      </w:r>
      <w:r>
        <w:rPr>
          <w:spacing w:val="40"/>
        </w:rPr>
        <w:t> </w:t>
      </w:r>
      <w:r>
        <w:rPr/>
        <w:t>to make some further recommendations, based on discussions with a variety of stakeholders and the Report of a</w:t>
      </w:r>
      <w:r>
        <w:rPr>
          <w:spacing w:val="-3"/>
        </w:rPr>
        <w:t> </w:t>
      </w:r>
      <w:r>
        <w:rPr/>
        <w:t>Working Group representing agricultural </w:t>
      </w:r>
      <w:r>
        <w:rPr>
          <w:spacing w:val="-4"/>
        </w:rPr>
        <w:t>scientists, managers of extension services, independent </w:t>
      </w:r>
      <w:r>
        <w:rPr/>
        <w:t>analysts</w:t>
      </w:r>
      <w:r>
        <w:rPr>
          <w:spacing w:val="-14"/>
        </w:rPr>
        <w:t> </w:t>
      </w:r>
      <w:r>
        <w:rPr/>
        <w:t>and</w:t>
      </w:r>
      <w:r>
        <w:rPr>
          <w:spacing w:val="-14"/>
        </w:rPr>
        <w:t> </w:t>
      </w:r>
      <w:r>
        <w:rPr/>
        <w:t>representatives</w:t>
      </w:r>
      <w:r>
        <w:rPr>
          <w:spacing w:val="-14"/>
        </w:rPr>
        <w:t> </w:t>
      </w:r>
      <w:r>
        <w:rPr/>
        <w:t>of</w:t>
      </w:r>
      <w:r>
        <w:rPr>
          <w:spacing w:val="-13"/>
        </w:rPr>
        <w:t> </w:t>
      </w:r>
      <w:r>
        <w:rPr/>
        <w:t>farmers’</w:t>
      </w:r>
      <w:r>
        <w:rPr>
          <w:spacing w:val="-14"/>
        </w:rPr>
        <w:t> </w:t>
      </w:r>
      <w:r>
        <w:rPr/>
        <w:t>organisations and of companies linked with commercial farming. We recommend the following concrete steps for the </w:t>
      </w:r>
      <w:r>
        <w:rPr>
          <w:spacing w:val="-2"/>
        </w:rPr>
        <w:t>revitalisation</w:t>
      </w:r>
      <w:r>
        <w:rPr>
          <w:spacing w:val="-9"/>
        </w:rPr>
        <w:t> </w:t>
      </w:r>
      <w:r>
        <w:rPr>
          <w:spacing w:val="-2"/>
        </w:rPr>
        <w:t>of</w:t>
      </w:r>
      <w:r>
        <w:rPr>
          <w:spacing w:val="-9"/>
        </w:rPr>
        <w:t> </w:t>
      </w:r>
      <w:r>
        <w:rPr>
          <w:spacing w:val="-2"/>
        </w:rPr>
        <w:t>knowledge</w:t>
      </w:r>
      <w:r>
        <w:rPr>
          <w:spacing w:val="-9"/>
        </w:rPr>
        <w:t> </w:t>
      </w:r>
      <w:r>
        <w:rPr>
          <w:spacing w:val="-2"/>
        </w:rPr>
        <w:t>generation</w:t>
      </w:r>
      <w:r>
        <w:rPr>
          <w:spacing w:val="-9"/>
        </w:rPr>
        <w:t> </w:t>
      </w:r>
      <w:r>
        <w:rPr>
          <w:spacing w:val="-2"/>
        </w:rPr>
        <w:t>and</w:t>
      </w:r>
      <w:r>
        <w:rPr>
          <w:spacing w:val="-9"/>
        </w:rPr>
        <w:t> </w:t>
      </w:r>
      <w:r>
        <w:rPr>
          <w:spacing w:val="-2"/>
        </w:rPr>
        <w:t>application </w:t>
      </w:r>
      <w:r>
        <w:rPr/>
        <w:t>in agriculture:</w:t>
      </w:r>
    </w:p>
    <w:p>
      <w:pPr>
        <w:pStyle w:val="Heading6"/>
        <w:numPr>
          <w:ilvl w:val="0"/>
          <w:numId w:val="63"/>
        </w:numPr>
        <w:tabs>
          <w:tab w:pos="682" w:val="left" w:leader="none"/>
        </w:tabs>
        <w:spacing w:line="240" w:lineRule="auto" w:before="78" w:after="0"/>
        <w:ind w:left="682" w:right="0" w:hanging="363"/>
        <w:jc w:val="left"/>
      </w:pPr>
      <w:r>
        <w:rPr>
          <w:b w:val="0"/>
        </w:rPr>
        <w:br w:type="column"/>
      </w:r>
      <w:r>
        <w:rPr>
          <w:color w:val="2E614A"/>
          <w:w w:val="90"/>
        </w:rPr>
        <w:t>Knowledge</w:t>
      </w:r>
      <w:r>
        <w:rPr>
          <w:color w:val="2E614A"/>
          <w:spacing w:val="33"/>
        </w:rPr>
        <w:t> </w:t>
      </w:r>
      <w:r>
        <w:rPr>
          <w:color w:val="2E614A"/>
          <w:spacing w:val="-2"/>
        </w:rPr>
        <w:t>Generation</w:t>
      </w:r>
    </w:p>
    <w:p>
      <w:pPr>
        <w:pStyle w:val="Heading7"/>
        <w:numPr>
          <w:ilvl w:val="1"/>
          <w:numId w:val="63"/>
        </w:numPr>
        <w:tabs>
          <w:tab w:pos="582" w:val="left" w:leader="none"/>
          <w:tab w:pos="584" w:val="left" w:leader="none"/>
        </w:tabs>
        <w:spacing w:line="225" w:lineRule="auto" w:before="263" w:after="0"/>
        <w:ind w:left="584" w:right="1242" w:hanging="266"/>
        <w:jc w:val="left"/>
      </w:pPr>
      <w:r>
        <w:rPr>
          <w:color w:val="2E614A"/>
          <w:spacing w:val="-4"/>
        </w:rPr>
        <w:t>Modernise</w:t>
      </w:r>
      <w:r>
        <w:rPr>
          <w:color w:val="2E614A"/>
          <w:spacing w:val="-13"/>
        </w:rPr>
        <w:t> </w:t>
      </w:r>
      <w:r>
        <w:rPr>
          <w:color w:val="2E614A"/>
          <w:spacing w:val="-4"/>
        </w:rPr>
        <w:t>and</w:t>
      </w:r>
      <w:r>
        <w:rPr>
          <w:color w:val="2E614A"/>
          <w:spacing w:val="-12"/>
        </w:rPr>
        <w:t> </w:t>
      </w:r>
      <w:r>
        <w:rPr>
          <w:color w:val="2E614A"/>
          <w:spacing w:val="-4"/>
        </w:rPr>
        <w:t>stimulate</w:t>
      </w:r>
      <w:r>
        <w:rPr>
          <w:color w:val="2E614A"/>
          <w:spacing w:val="-12"/>
        </w:rPr>
        <w:t> </w:t>
      </w:r>
      <w:r>
        <w:rPr>
          <w:color w:val="2E614A"/>
          <w:spacing w:val="-4"/>
        </w:rPr>
        <w:t>agricultural </w:t>
      </w:r>
      <w:r>
        <w:rPr>
          <w:color w:val="2E614A"/>
          <w:w w:val="90"/>
        </w:rPr>
        <w:t>research institutions, co-ordinate </w:t>
      </w:r>
      <w:r>
        <w:rPr>
          <w:color w:val="2E614A"/>
          <w:w w:val="90"/>
        </w:rPr>
        <w:t>research </w:t>
      </w:r>
      <w:r>
        <w:rPr>
          <w:color w:val="2E614A"/>
          <w:spacing w:val="-8"/>
        </w:rPr>
        <w:t>and</w:t>
      </w:r>
      <w:r>
        <w:rPr>
          <w:color w:val="2E614A"/>
          <w:spacing w:val="-9"/>
        </w:rPr>
        <w:t> </w:t>
      </w:r>
      <w:r>
        <w:rPr>
          <w:color w:val="2E614A"/>
          <w:spacing w:val="-8"/>
        </w:rPr>
        <w:t>make research support more</w:t>
      </w:r>
      <w:r>
        <w:rPr>
          <w:color w:val="2E614A"/>
          <w:spacing w:val="-9"/>
        </w:rPr>
        <w:t> </w:t>
      </w:r>
      <w:r>
        <w:rPr>
          <w:color w:val="2E614A"/>
          <w:spacing w:val="-8"/>
        </w:rPr>
        <w:t>flexible</w:t>
      </w:r>
    </w:p>
    <w:p>
      <w:pPr>
        <w:pStyle w:val="BodyText"/>
        <w:rPr>
          <w:b/>
          <w:sz w:val="26"/>
        </w:rPr>
      </w:pPr>
    </w:p>
    <w:p>
      <w:pPr>
        <w:pStyle w:val="ListParagraph"/>
        <w:numPr>
          <w:ilvl w:val="2"/>
          <w:numId w:val="63"/>
        </w:numPr>
        <w:tabs>
          <w:tab w:pos="679" w:val="left" w:leader="none"/>
        </w:tabs>
        <w:spacing w:line="266" w:lineRule="auto" w:before="0" w:after="0"/>
        <w:ind w:left="679" w:right="1077" w:hanging="360"/>
        <w:jc w:val="both"/>
        <w:rPr>
          <w:sz w:val="22"/>
        </w:rPr>
      </w:pPr>
      <w:r>
        <w:rPr>
          <w:spacing w:val="-8"/>
          <w:sz w:val="22"/>
        </w:rPr>
        <w:t>Each</w:t>
      </w:r>
      <w:r>
        <w:rPr>
          <w:spacing w:val="-4"/>
          <w:sz w:val="22"/>
        </w:rPr>
        <w:t> </w:t>
      </w:r>
      <w:r>
        <w:rPr>
          <w:spacing w:val="-8"/>
          <w:sz w:val="22"/>
        </w:rPr>
        <w:t>State</w:t>
      </w:r>
      <w:r>
        <w:rPr>
          <w:spacing w:val="-4"/>
          <w:sz w:val="22"/>
        </w:rPr>
        <w:t> </w:t>
      </w:r>
      <w:r>
        <w:rPr>
          <w:spacing w:val="-8"/>
          <w:sz w:val="22"/>
        </w:rPr>
        <w:t>Agricultural</w:t>
      </w:r>
      <w:r>
        <w:rPr>
          <w:spacing w:val="-4"/>
          <w:sz w:val="22"/>
        </w:rPr>
        <w:t> </w:t>
      </w:r>
      <w:r>
        <w:rPr>
          <w:spacing w:val="-8"/>
          <w:sz w:val="22"/>
        </w:rPr>
        <w:t>University</w:t>
      </w:r>
      <w:r>
        <w:rPr>
          <w:spacing w:val="-4"/>
          <w:sz w:val="22"/>
        </w:rPr>
        <w:t> </w:t>
      </w:r>
      <w:r>
        <w:rPr>
          <w:spacing w:val="-8"/>
          <w:sz w:val="22"/>
        </w:rPr>
        <w:t>(SAU)</w:t>
      </w:r>
      <w:r>
        <w:rPr>
          <w:spacing w:val="-4"/>
          <w:sz w:val="22"/>
        </w:rPr>
        <w:t> </w:t>
      </w:r>
      <w:r>
        <w:rPr>
          <w:spacing w:val="-8"/>
          <w:sz w:val="22"/>
        </w:rPr>
        <w:t>and</w:t>
      </w:r>
      <w:r>
        <w:rPr>
          <w:spacing w:val="-4"/>
          <w:sz w:val="22"/>
        </w:rPr>
        <w:t> </w:t>
      </w:r>
      <w:r>
        <w:rPr>
          <w:spacing w:val="-8"/>
          <w:sz w:val="22"/>
        </w:rPr>
        <w:t>Indian </w:t>
      </w:r>
      <w:r>
        <w:rPr>
          <w:spacing w:val="-2"/>
          <w:sz w:val="22"/>
        </w:rPr>
        <w:t>Council</w:t>
      </w:r>
      <w:r>
        <w:rPr>
          <w:spacing w:val="-6"/>
          <w:sz w:val="22"/>
        </w:rPr>
        <w:t> </w:t>
      </w:r>
      <w:r>
        <w:rPr>
          <w:spacing w:val="-2"/>
          <w:sz w:val="22"/>
        </w:rPr>
        <w:t>of</w:t>
      </w:r>
      <w:r>
        <w:rPr>
          <w:spacing w:val="-6"/>
          <w:sz w:val="22"/>
        </w:rPr>
        <w:t> </w:t>
      </w:r>
      <w:r>
        <w:rPr>
          <w:spacing w:val="-2"/>
          <w:sz w:val="22"/>
        </w:rPr>
        <w:t>Agricultural</w:t>
      </w:r>
      <w:r>
        <w:rPr>
          <w:spacing w:val="-6"/>
          <w:sz w:val="22"/>
        </w:rPr>
        <w:t> </w:t>
      </w:r>
      <w:r>
        <w:rPr>
          <w:spacing w:val="-2"/>
          <w:sz w:val="22"/>
        </w:rPr>
        <w:t>Research</w:t>
      </w:r>
      <w:r>
        <w:rPr>
          <w:spacing w:val="-6"/>
          <w:sz w:val="22"/>
        </w:rPr>
        <w:t> </w:t>
      </w:r>
      <w:r>
        <w:rPr>
          <w:spacing w:val="-2"/>
          <w:sz w:val="22"/>
        </w:rPr>
        <w:t>(ICAR)</w:t>
      </w:r>
      <w:r>
        <w:rPr>
          <w:spacing w:val="-6"/>
          <w:sz w:val="22"/>
        </w:rPr>
        <w:t> </w:t>
      </w:r>
      <w:r>
        <w:rPr>
          <w:spacing w:val="-2"/>
          <w:sz w:val="22"/>
        </w:rPr>
        <w:t>institute </w:t>
      </w:r>
      <w:r>
        <w:rPr>
          <w:sz w:val="22"/>
        </w:rPr>
        <w:t>should create a research policy unit comprising core faculty and also including other issue-based </w:t>
      </w:r>
      <w:r>
        <w:rPr>
          <w:spacing w:val="-2"/>
          <w:sz w:val="22"/>
        </w:rPr>
        <w:t>stakeholders.</w:t>
      </w:r>
    </w:p>
    <w:p>
      <w:pPr>
        <w:pStyle w:val="ListParagraph"/>
        <w:numPr>
          <w:ilvl w:val="2"/>
          <w:numId w:val="63"/>
        </w:numPr>
        <w:tabs>
          <w:tab w:pos="679" w:val="left" w:leader="none"/>
        </w:tabs>
        <w:spacing w:line="266" w:lineRule="auto" w:before="0" w:after="0"/>
        <w:ind w:left="679" w:right="1077" w:hanging="360"/>
        <w:jc w:val="both"/>
        <w:rPr>
          <w:sz w:val="22"/>
        </w:rPr>
      </w:pPr>
      <w:r>
        <w:rPr>
          <w:w w:val="90"/>
          <w:sz w:val="22"/>
        </w:rPr>
        <w:t>Based on the research policy and programs, </w:t>
      </w:r>
      <w:r>
        <w:rPr>
          <w:w w:val="90"/>
          <w:sz w:val="22"/>
        </w:rPr>
        <w:t>expected </w:t>
      </w:r>
      <w:r>
        <w:rPr>
          <w:spacing w:val="-4"/>
          <w:sz w:val="22"/>
        </w:rPr>
        <w:t>research</w:t>
      </w:r>
      <w:r>
        <w:rPr>
          <w:spacing w:val="-6"/>
          <w:sz w:val="22"/>
        </w:rPr>
        <w:t> </w:t>
      </w:r>
      <w:r>
        <w:rPr>
          <w:spacing w:val="-4"/>
          <w:sz w:val="22"/>
        </w:rPr>
        <w:t>output</w:t>
      </w:r>
      <w:r>
        <w:rPr>
          <w:spacing w:val="-6"/>
          <w:sz w:val="22"/>
        </w:rPr>
        <w:t> </w:t>
      </w:r>
      <w:r>
        <w:rPr>
          <w:spacing w:val="-4"/>
          <w:sz w:val="22"/>
        </w:rPr>
        <w:t>and</w:t>
      </w:r>
      <w:r>
        <w:rPr>
          <w:spacing w:val="-6"/>
          <w:sz w:val="22"/>
        </w:rPr>
        <w:t> </w:t>
      </w:r>
      <w:r>
        <w:rPr>
          <w:spacing w:val="-4"/>
          <w:sz w:val="22"/>
        </w:rPr>
        <w:t>linkages</w:t>
      </w:r>
      <w:r>
        <w:rPr>
          <w:spacing w:val="-6"/>
          <w:sz w:val="22"/>
        </w:rPr>
        <w:t> </w:t>
      </w:r>
      <w:r>
        <w:rPr>
          <w:spacing w:val="-4"/>
          <w:sz w:val="22"/>
        </w:rPr>
        <w:t>to</w:t>
      </w:r>
      <w:r>
        <w:rPr>
          <w:spacing w:val="-6"/>
          <w:sz w:val="22"/>
        </w:rPr>
        <w:t> </w:t>
      </w:r>
      <w:r>
        <w:rPr>
          <w:spacing w:val="-4"/>
          <w:sz w:val="22"/>
        </w:rPr>
        <w:t>extension</w:t>
      </w:r>
      <w:r>
        <w:rPr>
          <w:spacing w:val="-6"/>
          <w:sz w:val="22"/>
        </w:rPr>
        <w:t> </w:t>
      </w:r>
      <w:r>
        <w:rPr>
          <w:spacing w:val="-4"/>
          <w:sz w:val="22"/>
        </w:rPr>
        <w:t>and</w:t>
      </w:r>
      <w:r>
        <w:rPr>
          <w:spacing w:val="-6"/>
          <w:sz w:val="22"/>
        </w:rPr>
        <w:t> </w:t>
      </w:r>
      <w:r>
        <w:rPr>
          <w:spacing w:val="-4"/>
          <w:sz w:val="22"/>
        </w:rPr>
        <w:t>other </w:t>
      </w:r>
      <w:r>
        <w:rPr>
          <w:sz w:val="22"/>
        </w:rPr>
        <w:t>stakeholders,</w:t>
      </w:r>
      <w:r>
        <w:rPr>
          <w:spacing w:val="-2"/>
          <w:sz w:val="22"/>
        </w:rPr>
        <w:t> </w:t>
      </w:r>
      <w:r>
        <w:rPr>
          <w:sz w:val="22"/>
        </w:rPr>
        <w:t>each</w:t>
      </w:r>
      <w:r>
        <w:rPr>
          <w:spacing w:val="-2"/>
          <w:sz w:val="22"/>
        </w:rPr>
        <w:t> </w:t>
      </w:r>
      <w:r>
        <w:rPr>
          <w:sz w:val="22"/>
        </w:rPr>
        <w:t>SAU</w:t>
      </w:r>
      <w:r>
        <w:rPr>
          <w:spacing w:val="-2"/>
          <w:sz w:val="22"/>
        </w:rPr>
        <w:t> </w:t>
      </w:r>
      <w:r>
        <w:rPr>
          <w:sz w:val="22"/>
        </w:rPr>
        <w:t>and</w:t>
      </w:r>
      <w:r>
        <w:rPr>
          <w:spacing w:val="-2"/>
          <w:sz w:val="22"/>
        </w:rPr>
        <w:t> </w:t>
      </w:r>
      <w:r>
        <w:rPr>
          <w:sz w:val="22"/>
        </w:rPr>
        <w:t>ICAR</w:t>
      </w:r>
      <w:r>
        <w:rPr>
          <w:spacing w:val="-2"/>
          <w:sz w:val="22"/>
        </w:rPr>
        <w:t> </w:t>
      </w:r>
      <w:r>
        <w:rPr>
          <w:sz w:val="22"/>
        </w:rPr>
        <w:t>institute</w:t>
      </w:r>
      <w:r>
        <w:rPr>
          <w:spacing w:val="-2"/>
          <w:sz w:val="22"/>
        </w:rPr>
        <w:t> </w:t>
      </w:r>
      <w:r>
        <w:rPr>
          <w:sz w:val="22"/>
        </w:rPr>
        <w:t>must </w:t>
      </w:r>
      <w:r>
        <w:rPr>
          <w:spacing w:val="-2"/>
          <w:sz w:val="22"/>
        </w:rPr>
        <w:t>put</w:t>
      </w:r>
      <w:r>
        <w:rPr>
          <w:spacing w:val="-12"/>
          <w:sz w:val="22"/>
        </w:rPr>
        <w:t> </w:t>
      </w:r>
      <w:r>
        <w:rPr>
          <w:spacing w:val="-2"/>
          <w:sz w:val="22"/>
        </w:rPr>
        <w:t>forward</w:t>
      </w:r>
      <w:r>
        <w:rPr>
          <w:spacing w:val="-12"/>
          <w:sz w:val="22"/>
        </w:rPr>
        <w:t> </w:t>
      </w:r>
      <w:r>
        <w:rPr>
          <w:spacing w:val="-2"/>
          <w:sz w:val="22"/>
        </w:rPr>
        <w:t>a</w:t>
      </w:r>
      <w:r>
        <w:rPr>
          <w:spacing w:val="-12"/>
          <w:sz w:val="22"/>
        </w:rPr>
        <w:t> </w:t>
      </w:r>
      <w:r>
        <w:rPr>
          <w:spacing w:val="-2"/>
          <w:sz w:val="22"/>
        </w:rPr>
        <w:t>set</w:t>
      </w:r>
      <w:r>
        <w:rPr>
          <w:spacing w:val="-11"/>
          <w:sz w:val="22"/>
        </w:rPr>
        <w:t> </w:t>
      </w:r>
      <w:r>
        <w:rPr>
          <w:spacing w:val="-2"/>
          <w:sz w:val="22"/>
        </w:rPr>
        <w:t>of</w:t>
      </w:r>
      <w:r>
        <w:rPr>
          <w:spacing w:val="-12"/>
          <w:sz w:val="22"/>
        </w:rPr>
        <w:t> </w:t>
      </w:r>
      <w:r>
        <w:rPr>
          <w:spacing w:val="-2"/>
          <w:sz w:val="22"/>
        </w:rPr>
        <w:t>valuation</w:t>
      </w:r>
      <w:r>
        <w:rPr>
          <w:spacing w:val="-12"/>
          <w:sz w:val="22"/>
        </w:rPr>
        <w:t> </w:t>
      </w:r>
      <w:r>
        <w:rPr>
          <w:spacing w:val="-2"/>
          <w:sz w:val="22"/>
        </w:rPr>
        <w:t>indicators,</w:t>
      </w:r>
      <w:r>
        <w:rPr>
          <w:spacing w:val="-12"/>
          <w:sz w:val="22"/>
        </w:rPr>
        <w:t> </w:t>
      </w:r>
      <w:r>
        <w:rPr>
          <w:spacing w:val="-2"/>
          <w:sz w:val="22"/>
        </w:rPr>
        <w:t>to</w:t>
      </w:r>
      <w:r>
        <w:rPr>
          <w:spacing w:val="-11"/>
          <w:sz w:val="22"/>
        </w:rPr>
        <w:t> </w:t>
      </w:r>
      <w:r>
        <w:rPr>
          <w:spacing w:val="-2"/>
          <w:sz w:val="22"/>
        </w:rPr>
        <w:t>be</w:t>
      </w:r>
      <w:r>
        <w:rPr>
          <w:spacing w:val="-12"/>
          <w:sz w:val="22"/>
        </w:rPr>
        <w:t> </w:t>
      </w:r>
      <w:r>
        <w:rPr>
          <w:spacing w:val="-2"/>
          <w:sz w:val="22"/>
        </w:rPr>
        <w:t>used </w:t>
      </w:r>
      <w:r>
        <w:rPr>
          <w:sz w:val="22"/>
        </w:rPr>
        <w:t>for</w:t>
      </w:r>
      <w:r>
        <w:rPr>
          <w:spacing w:val="-5"/>
          <w:sz w:val="22"/>
        </w:rPr>
        <w:t> </w:t>
      </w:r>
      <w:r>
        <w:rPr>
          <w:sz w:val="22"/>
        </w:rPr>
        <w:t>periodic</w:t>
      </w:r>
      <w:r>
        <w:rPr>
          <w:spacing w:val="-5"/>
          <w:sz w:val="22"/>
        </w:rPr>
        <w:t> </w:t>
      </w:r>
      <w:r>
        <w:rPr>
          <w:sz w:val="22"/>
        </w:rPr>
        <w:t>assessment</w:t>
      </w:r>
      <w:r>
        <w:rPr>
          <w:spacing w:val="-5"/>
          <w:sz w:val="22"/>
        </w:rPr>
        <w:t> </w:t>
      </w:r>
      <w:r>
        <w:rPr>
          <w:sz w:val="22"/>
        </w:rPr>
        <w:t>and</w:t>
      </w:r>
      <w:r>
        <w:rPr>
          <w:spacing w:val="-5"/>
          <w:sz w:val="22"/>
        </w:rPr>
        <w:t> </w:t>
      </w:r>
      <w:r>
        <w:rPr>
          <w:sz w:val="22"/>
        </w:rPr>
        <w:t>public</w:t>
      </w:r>
      <w:r>
        <w:rPr>
          <w:spacing w:val="-5"/>
          <w:sz w:val="22"/>
        </w:rPr>
        <w:t> </w:t>
      </w:r>
      <w:r>
        <w:rPr>
          <w:sz w:val="22"/>
        </w:rPr>
        <w:t>scrutiny.</w:t>
      </w:r>
    </w:p>
    <w:p>
      <w:pPr>
        <w:pStyle w:val="ListParagraph"/>
        <w:numPr>
          <w:ilvl w:val="2"/>
          <w:numId w:val="63"/>
        </w:numPr>
        <w:tabs>
          <w:tab w:pos="679" w:val="left" w:leader="none"/>
        </w:tabs>
        <w:spacing w:line="266" w:lineRule="auto" w:before="0" w:after="0"/>
        <w:ind w:left="679" w:right="1077" w:hanging="360"/>
        <w:jc w:val="both"/>
        <w:rPr>
          <w:sz w:val="22"/>
        </w:rPr>
      </w:pPr>
      <w:r>
        <w:rPr>
          <w:sz w:val="22"/>
        </w:rPr>
        <w:t>Both the ICAR and SAUs should assign about</w:t>
      </w:r>
      <w:r>
        <w:rPr>
          <w:spacing w:val="40"/>
          <w:sz w:val="22"/>
        </w:rPr>
        <w:t> </w:t>
      </w:r>
      <w:r>
        <w:rPr>
          <w:spacing w:val="-4"/>
          <w:sz w:val="22"/>
        </w:rPr>
        <w:t>50</w:t>
      </w:r>
      <w:r>
        <w:rPr>
          <w:spacing w:val="-7"/>
          <w:sz w:val="22"/>
        </w:rPr>
        <w:t> </w:t>
      </w:r>
      <w:r>
        <w:rPr>
          <w:spacing w:val="-4"/>
          <w:sz w:val="22"/>
        </w:rPr>
        <w:t>per</w:t>
      </w:r>
      <w:r>
        <w:rPr>
          <w:spacing w:val="-7"/>
          <w:sz w:val="22"/>
        </w:rPr>
        <w:t> </w:t>
      </w:r>
      <w:r>
        <w:rPr>
          <w:spacing w:val="-4"/>
          <w:sz w:val="22"/>
        </w:rPr>
        <w:t>cent</w:t>
      </w:r>
      <w:r>
        <w:rPr>
          <w:spacing w:val="-7"/>
          <w:sz w:val="22"/>
        </w:rPr>
        <w:t> </w:t>
      </w:r>
      <w:r>
        <w:rPr>
          <w:spacing w:val="-4"/>
          <w:sz w:val="22"/>
        </w:rPr>
        <w:t>of</w:t>
      </w:r>
      <w:r>
        <w:rPr>
          <w:spacing w:val="-7"/>
          <w:sz w:val="22"/>
        </w:rPr>
        <w:t> </w:t>
      </w:r>
      <w:r>
        <w:rPr>
          <w:spacing w:val="-4"/>
          <w:sz w:val="22"/>
        </w:rPr>
        <w:t>their</w:t>
      </w:r>
      <w:r>
        <w:rPr>
          <w:spacing w:val="-7"/>
          <w:sz w:val="22"/>
        </w:rPr>
        <w:t> </w:t>
      </w:r>
      <w:r>
        <w:rPr>
          <w:spacing w:val="-4"/>
          <w:sz w:val="22"/>
        </w:rPr>
        <w:t>total</w:t>
      </w:r>
      <w:r>
        <w:rPr>
          <w:spacing w:val="-7"/>
          <w:sz w:val="22"/>
        </w:rPr>
        <w:t> </w:t>
      </w:r>
      <w:r>
        <w:rPr>
          <w:spacing w:val="-4"/>
          <w:sz w:val="22"/>
        </w:rPr>
        <w:t>research</w:t>
      </w:r>
      <w:r>
        <w:rPr>
          <w:spacing w:val="-7"/>
          <w:sz w:val="22"/>
        </w:rPr>
        <w:t> </w:t>
      </w:r>
      <w:r>
        <w:rPr>
          <w:spacing w:val="-4"/>
          <w:sz w:val="22"/>
        </w:rPr>
        <w:t>resources</w:t>
      </w:r>
      <w:r>
        <w:rPr>
          <w:spacing w:val="-7"/>
          <w:sz w:val="22"/>
        </w:rPr>
        <w:t> </w:t>
      </w:r>
      <w:r>
        <w:rPr>
          <w:spacing w:val="-4"/>
          <w:sz w:val="22"/>
        </w:rPr>
        <w:t>(largely Plan</w:t>
      </w:r>
      <w:r>
        <w:rPr>
          <w:spacing w:val="-5"/>
          <w:sz w:val="22"/>
        </w:rPr>
        <w:t> </w:t>
      </w:r>
      <w:r>
        <w:rPr>
          <w:spacing w:val="-4"/>
          <w:sz w:val="22"/>
        </w:rPr>
        <w:t>funds)</w:t>
      </w:r>
      <w:r>
        <w:rPr>
          <w:spacing w:val="-5"/>
          <w:sz w:val="22"/>
        </w:rPr>
        <w:t> </w:t>
      </w:r>
      <w:r>
        <w:rPr>
          <w:spacing w:val="-4"/>
          <w:sz w:val="22"/>
        </w:rPr>
        <w:t>to</w:t>
      </w:r>
      <w:r>
        <w:rPr>
          <w:spacing w:val="-5"/>
          <w:sz w:val="22"/>
        </w:rPr>
        <w:t> </w:t>
      </w:r>
      <w:r>
        <w:rPr>
          <w:spacing w:val="-4"/>
          <w:sz w:val="22"/>
        </w:rPr>
        <w:t>support</w:t>
      </w:r>
      <w:r>
        <w:rPr>
          <w:spacing w:val="-5"/>
          <w:sz w:val="22"/>
        </w:rPr>
        <w:t> </w:t>
      </w:r>
      <w:r>
        <w:rPr>
          <w:spacing w:val="-4"/>
          <w:sz w:val="22"/>
        </w:rPr>
        <w:t>a</w:t>
      </w:r>
      <w:r>
        <w:rPr>
          <w:spacing w:val="-5"/>
          <w:sz w:val="22"/>
        </w:rPr>
        <w:t> </w:t>
      </w:r>
      <w:r>
        <w:rPr>
          <w:spacing w:val="-4"/>
          <w:sz w:val="22"/>
        </w:rPr>
        <w:t>competitive</w:t>
      </w:r>
      <w:r>
        <w:rPr>
          <w:spacing w:val="-5"/>
          <w:sz w:val="22"/>
        </w:rPr>
        <w:t> </w:t>
      </w:r>
      <w:r>
        <w:rPr>
          <w:spacing w:val="-4"/>
          <w:sz w:val="22"/>
        </w:rPr>
        <w:t>grants</w:t>
      </w:r>
      <w:r>
        <w:rPr>
          <w:spacing w:val="-5"/>
          <w:sz w:val="22"/>
        </w:rPr>
        <w:t> </w:t>
      </w:r>
      <w:r>
        <w:rPr>
          <w:spacing w:val="-4"/>
          <w:sz w:val="22"/>
        </w:rPr>
        <w:t>system, </w:t>
      </w:r>
      <w:r>
        <w:rPr>
          <w:sz w:val="22"/>
        </w:rPr>
        <w:t>with its deployment focused on priority multi- </w:t>
      </w:r>
      <w:r>
        <w:rPr>
          <w:spacing w:val="-2"/>
          <w:sz w:val="22"/>
        </w:rPr>
        <w:t>disciplinary</w:t>
      </w:r>
      <w:r>
        <w:rPr>
          <w:spacing w:val="-10"/>
          <w:sz w:val="22"/>
        </w:rPr>
        <w:t> </w:t>
      </w:r>
      <w:r>
        <w:rPr>
          <w:spacing w:val="-2"/>
          <w:sz w:val="22"/>
        </w:rPr>
        <w:t>and</w:t>
      </w:r>
      <w:r>
        <w:rPr>
          <w:spacing w:val="-10"/>
          <w:sz w:val="22"/>
        </w:rPr>
        <w:t> </w:t>
      </w:r>
      <w:r>
        <w:rPr>
          <w:spacing w:val="-2"/>
          <w:sz w:val="22"/>
        </w:rPr>
        <w:t>regional</w:t>
      </w:r>
      <w:r>
        <w:rPr>
          <w:spacing w:val="-10"/>
          <w:sz w:val="22"/>
        </w:rPr>
        <w:t> </w:t>
      </w:r>
      <w:r>
        <w:rPr>
          <w:spacing w:val="-2"/>
          <w:sz w:val="22"/>
        </w:rPr>
        <w:t>research</w:t>
      </w:r>
      <w:r>
        <w:rPr>
          <w:spacing w:val="-10"/>
          <w:sz w:val="22"/>
        </w:rPr>
        <w:t> </w:t>
      </w:r>
      <w:r>
        <w:rPr>
          <w:spacing w:val="-2"/>
          <w:sz w:val="22"/>
        </w:rPr>
        <w:t>areas.</w:t>
      </w:r>
    </w:p>
    <w:p>
      <w:pPr>
        <w:pStyle w:val="ListParagraph"/>
        <w:numPr>
          <w:ilvl w:val="2"/>
          <w:numId w:val="63"/>
        </w:numPr>
        <w:tabs>
          <w:tab w:pos="679" w:val="left" w:leader="none"/>
        </w:tabs>
        <w:spacing w:line="266" w:lineRule="auto" w:before="0" w:after="0"/>
        <w:ind w:left="679" w:right="1077" w:hanging="360"/>
        <w:jc w:val="both"/>
        <w:rPr>
          <w:sz w:val="22"/>
        </w:rPr>
      </w:pPr>
      <w:r>
        <w:rPr>
          <w:spacing w:val="-4"/>
          <w:sz w:val="22"/>
        </w:rPr>
        <w:t>Priority problem oriented research in a competitive </w:t>
      </w:r>
      <w:r>
        <w:rPr>
          <w:sz w:val="22"/>
        </w:rPr>
        <w:t>funding mode should be promoted, for </w:t>
      </w:r>
      <w:r>
        <w:rPr>
          <w:sz w:val="22"/>
        </w:rPr>
        <w:t>example by identifying a group of scientists reputed for </w:t>
      </w:r>
      <w:r>
        <w:rPr>
          <w:spacing w:val="-4"/>
          <w:sz w:val="22"/>
        </w:rPr>
        <w:t>excellence</w:t>
      </w:r>
      <w:r>
        <w:rPr>
          <w:spacing w:val="-12"/>
          <w:sz w:val="22"/>
        </w:rPr>
        <w:t> </w:t>
      </w:r>
      <w:r>
        <w:rPr>
          <w:spacing w:val="-4"/>
          <w:sz w:val="22"/>
        </w:rPr>
        <w:t>in</w:t>
      </w:r>
      <w:r>
        <w:rPr>
          <w:spacing w:val="-10"/>
          <w:sz w:val="22"/>
        </w:rPr>
        <w:t> </w:t>
      </w:r>
      <w:r>
        <w:rPr>
          <w:spacing w:val="-4"/>
          <w:sz w:val="22"/>
        </w:rPr>
        <w:t>an</w:t>
      </w:r>
      <w:r>
        <w:rPr>
          <w:spacing w:val="-10"/>
          <w:sz w:val="22"/>
        </w:rPr>
        <w:t> </w:t>
      </w:r>
      <w:r>
        <w:rPr>
          <w:spacing w:val="-4"/>
          <w:sz w:val="22"/>
        </w:rPr>
        <w:t>area</w:t>
      </w:r>
      <w:r>
        <w:rPr>
          <w:spacing w:val="-9"/>
          <w:sz w:val="22"/>
        </w:rPr>
        <w:t> </w:t>
      </w:r>
      <w:r>
        <w:rPr>
          <w:spacing w:val="-4"/>
          <w:sz w:val="22"/>
        </w:rPr>
        <w:t>and</w:t>
      </w:r>
      <w:r>
        <w:rPr>
          <w:spacing w:val="-10"/>
          <w:sz w:val="22"/>
        </w:rPr>
        <w:t> </w:t>
      </w:r>
      <w:r>
        <w:rPr>
          <w:spacing w:val="-4"/>
          <w:sz w:val="22"/>
        </w:rPr>
        <w:t>encouraging</w:t>
      </w:r>
      <w:r>
        <w:rPr>
          <w:spacing w:val="-10"/>
          <w:sz w:val="22"/>
        </w:rPr>
        <w:t> </w:t>
      </w:r>
      <w:r>
        <w:rPr>
          <w:spacing w:val="-4"/>
          <w:sz w:val="22"/>
        </w:rPr>
        <w:t>them</w:t>
      </w:r>
      <w:r>
        <w:rPr>
          <w:spacing w:val="-10"/>
          <w:sz w:val="22"/>
        </w:rPr>
        <w:t> </w:t>
      </w:r>
      <w:r>
        <w:rPr>
          <w:spacing w:val="-4"/>
          <w:sz w:val="22"/>
        </w:rPr>
        <w:t>to</w:t>
      </w:r>
      <w:r>
        <w:rPr>
          <w:spacing w:val="-9"/>
          <w:sz w:val="22"/>
        </w:rPr>
        <w:t> </w:t>
      </w:r>
      <w:r>
        <w:rPr>
          <w:spacing w:val="-4"/>
          <w:sz w:val="22"/>
        </w:rPr>
        <w:t>form </w:t>
      </w:r>
      <w:r>
        <w:rPr>
          <w:spacing w:val="-2"/>
          <w:sz w:val="22"/>
        </w:rPr>
        <w:t>a</w:t>
      </w:r>
      <w:r>
        <w:rPr>
          <w:spacing w:val="-12"/>
          <w:sz w:val="22"/>
        </w:rPr>
        <w:t> </w:t>
      </w:r>
      <w:r>
        <w:rPr>
          <w:spacing w:val="-2"/>
          <w:sz w:val="22"/>
        </w:rPr>
        <w:t>coalition</w:t>
      </w:r>
      <w:r>
        <w:rPr>
          <w:spacing w:val="-12"/>
          <w:sz w:val="22"/>
        </w:rPr>
        <w:t> </w:t>
      </w:r>
      <w:r>
        <w:rPr>
          <w:spacing w:val="-2"/>
          <w:sz w:val="22"/>
        </w:rPr>
        <w:t>to</w:t>
      </w:r>
      <w:r>
        <w:rPr>
          <w:spacing w:val="-12"/>
          <w:sz w:val="22"/>
        </w:rPr>
        <w:t> </w:t>
      </w:r>
      <w:r>
        <w:rPr>
          <w:spacing w:val="-2"/>
          <w:sz w:val="22"/>
        </w:rPr>
        <w:t>work</w:t>
      </w:r>
      <w:r>
        <w:rPr>
          <w:spacing w:val="-11"/>
          <w:sz w:val="22"/>
        </w:rPr>
        <w:t> </w:t>
      </w:r>
      <w:r>
        <w:rPr>
          <w:spacing w:val="-2"/>
          <w:sz w:val="22"/>
        </w:rPr>
        <w:t>on</w:t>
      </w:r>
      <w:r>
        <w:rPr>
          <w:spacing w:val="-12"/>
          <w:sz w:val="22"/>
        </w:rPr>
        <w:t> </w:t>
      </w:r>
      <w:r>
        <w:rPr>
          <w:spacing w:val="-2"/>
          <w:sz w:val="22"/>
        </w:rPr>
        <w:t>specific</w:t>
      </w:r>
      <w:r>
        <w:rPr>
          <w:spacing w:val="-12"/>
          <w:sz w:val="22"/>
        </w:rPr>
        <w:t> </w:t>
      </w:r>
      <w:r>
        <w:rPr>
          <w:spacing w:val="-2"/>
          <w:sz w:val="22"/>
        </w:rPr>
        <w:t>problems</w:t>
      </w:r>
      <w:r>
        <w:rPr>
          <w:spacing w:val="-12"/>
          <w:sz w:val="22"/>
        </w:rPr>
        <w:t> </w:t>
      </w:r>
      <w:r>
        <w:rPr>
          <w:spacing w:val="-2"/>
          <w:sz w:val="22"/>
        </w:rPr>
        <w:t>in</w:t>
      </w:r>
      <w:r>
        <w:rPr>
          <w:spacing w:val="-11"/>
          <w:sz w:val="22"/>
        </w:rPr>
        <w:t> </w:t>
      </w:r>
      <w:r>
        <w:rPr>
          <w:spacing w:val="-2"/>
          <w:sz w:val="22"/>
        </w:rPr>
        <w:t>mission </w:t>
      </w:r>
      <w:r>
        <w:rPr>
          <w:sz w:val="22"/>
        </w:rPr>
        <w:t>mode, with required funding support.</w:t>
      </w:r>
    </w:p>
    <w:p>
      <w:pPr>
        <w:pStyle w:val="ListParagraph"/>
        <w:numPr>
          <w:ilvl w:val="2"/>
          <w:numId w:val="63"/>
        </w:numPr>
        <w:tabs>
          <w:tab w:pos="679" w:val="left" w:leader="none"/>
        </w:tabs>
        <w:spacing w:line="266" w:lineRule="auto" w:before="0" w:after="0"/>
        <w:ind w:left="679" w:right="1077" w:hanging="360"/>
        <w:jc w:val="both"/>
        <w:rPr>
          <w:sz w:val="22"/>
        </w:rPr>
      </w:pPr>
      <w:r>
        <w:rPr>
          <w:sz w:val="22"/>
        </w:rPr>
        <w:t>Regional Coordination Units should be initiated </w:t>
      </w:r>
      <w:r>
        <w:rPr>
          <w:spacing w:val="-6"/>
          <w:sz w:val="22"/>
        </w:rPr>
        <w:t>under the umbrella of the SAUs, and should include </w:t>
      </w:r>
      <w:r>
        <w:rPr>
          <w:spacing w:val="-4"/>
          <w:sz w:val="22"/>
        </w:rPr>
        <w:t>representatives</w:t>
      </w:r>
      <w:r>
        <w:rPr>
          <w:spacing w:val="-9"/>
          <w:sz w:val="22"/>
        </w:rPr>
        <w:t> </w:t>
      </w:r>
      <w:r>
        <w:rPr>
          <w:spacing w:val="-4"/>
          <w:sz w:val="22"/>
        </w:rPr>
        <w:t>of</w:t>
      </w:r>
      <w:r>
        <w:rPr>
          <w:spacing w:val="-9"/>
          <w:sz w:val="22"/>
        </w:rPr>
        <w:t> </w:t>
      </w:r>
      <w:r>
        <w:rPr>
          <w:spacing w:val="-4"/>
          <w:sz w:val="22"/>
        </w:rPr>
        <w:t>ICAR,</w:t>
      </w:r>
      <w:r>
        <w:rPr>
          <w:spacing w:val="-9"/>
          <w:sz w:val="22"/>
        </w:rPr>
        <w:t> </w:t>
      </w:r>
      <w:r>
        <w:rPr>
          <w:spacing w:val="-4"/>
          <w:sz w:val="22"/>
        </w:rPr>
        <w:t>relevant</w:t>
      </w:r>
      <w:r>
        <w:rPr>
          <w:spacing w:val="-9"/>
          <w:sz w:val="22"/>
        </w:rPr>
        <w:t> </w:t>
      </w:r>
      <w:r>
        <w:rPr>
          <w:spacing w:val="-4"/>
          <w:sz w:val="22"/>
        </w:rPr>
        <w:t>line</w:t>
      </w:r>
      <w:r>
        <w:rPr>
          <w:spacing w:val="-9"/>
          <w:sz w:val="22"/>
        </w:rPr>
        <w:t> </w:t>
      </w:r>
      <w:r>
        <w:rPr>
          <w:spacing w:val="-4"/>
          <w:sz w:val="22"/>
        </w:rPr>
        <w:t>departments, </w:t>
      </w:r>
      <w:r>
        <w:rPr>
          <w:sz w:val="22"/>
        </w:rPr>
        <w:t>Agricultural Technology Management Agency (ATMA), rural credit agencies, cooperatives, </w:t>
      </w:r>
      <w:r>
        <w:rPr>
          <w:spacing w:val="-2"/>
          <w:sz w:val="22"/>
        </w:rPr>
        <w:t>private</w:t>
      </w:r>
      <w:r>
        <w:rPr>
          <w:spacing w:val="-12"/>
          <w:sz w:val="22"/>
        </w:rPr>
        <w:t> </w:t>
      </w:r>
      <w:r>
        <w:rPr>
          <w:spacing w:val="-2"/>
          <w:sz w:val="22"/>
        </w:rPr>
        <w:t>sector,</w:t>
      </w:r>
      <w:r>
        <w:rPr>
          <w:spacing w:val="-12"/>
          <w:sz w:val="22"/>
        </w:rPr>
        <w:t> </w:t>
      </w:r>
      <w:r>
        <w:rPr>
          <w:spacing w:val="-2"/>
          <w:sz w:val="22"/>
        </w:rPr>
        <w:t>farmers’</w:t>
      </w:r>
      <w:r>
        <w:rPr>
          <w:spacing w:val="-12"/>
          <w:sz w:val="22"/>
        </w:rPr>
        <w:t> </w:t>
      </w:r>
      <w:r>
        <w:rPr>
          <w:spacing w:val="-2"/>
          <w:sz w:val="22"/>
        </w:rPr>
        <w:t>organisations</w:t>
      </w:r>
      <w:r>
        <w:rPr>
          <w:spacing w:val="-11"/>
          <w:sz w:val="22"/>
        </w:rPr>
        <w:t> </w:t>
      </w:r>
      <w:r>
        <w:rPr>
          <w:spacing w:val="-2"/>
          <w:sz w:val="22"/>
        </w:rPr>
        <w:t>and</w:t>
      </w:r>
      <w:r>
        <w:rPr>
          <w:spacing w:val="-12"/>
          <w:sz w:val="22"/>
        </w:rPr>
        <w:t> </w:t>
      </w:r>
      <w:r>
        <w:rPr>
          <w:spacing w:val="-2"/>
          <w:sz w:val="22"/>
        </w:rPr>
        <w:t>key</w:t>
      </w:r>
      <w:r>
        <w:rPr>
          <w:spacing w:val="-12"/>
          <w:sz w:val="22"/>
        </w:rPr>
        <w:t> </w:t>
      </w:r>
      <w:r>
        <w:rPr>
          <w:spacing w:val="-2"/>
          <w:sz w:val="22"/>
        </w:rPr>
        <w:t>civil </w:t>
      </w:r>
      <w:r>
        <w:rPr>
          <w:sz w:val="22"/>
        </w:rPr>
        <w:t>society</w:t>
      </w:r>
      <w:r>
        <w:rPr>
          <w:spacing w:val="-5"/>
          <w:sz w:val="22"/>
        </w:rPr>
        <w:t> </w:t>
      </w:r>
      <w:r>
        <w:rPr>
          <w:sz w:val="22"/>
        </w:rPr>
        <w:t>organisations</w:t>
      </w:r>
      <w:r>
        <w:rPr>
          <w:spacing w:val="-5"/>
          <w:sz w:val="22"/>
        </w:rPr>
        <w:t> </w:t>
      </w:r>
      <w:r>
        <w:rPr>
          <w:sz w:val="22"/>
        </w:rPr>
        <w:t>falling</w:t>
      </w:r>
      <w:r>
        <w:rPr>
          <w:spacing w:val="-5"/>
          <w:sz w:val="22"/>
        </w:rPr>
        <w:t> </w:t>
      </w:r>
      <w:r>
        <w:rPr>
          <w:sz w:val="22"/>
        </w:rPr>
        <w:t>within</w:t>
      </w:r>
      <w:r>
        <w:rPr>
          <w:spacing w:val="-5"/>
          <w:sz w:val="22"/>
        </w:rPr>
        <w:t> </w:t>
      </w:r>
      <w:r>
        <w:rPr>
          <w:sz w:val="22"/>
        </w:rPr>
        <w:t>the</w:t>
      </w:r>
      <w:r>
        <w:rPr>
          <w:spacing w:val="-4"/>
          <w:sz w:val="22"/>
        </w:rPr>
        <w:t> </w:t>
      </w:r>
      <w:r>
        <w:rPr>
          <w:sz w:val="22"/>
        </w:rPr>
        <w:t>particular </w:t>
      </w:r>
      <w:r>
        <w:rPr>
          <w:spacing w:val="-2"/>
          <w:sz w:val="22"/>
        </w:rPr>
        <w:t>region.</w:t>
      </w:r>
    </w:p>
    <w:p>
      <w:pPr>
        <w:pStyle w:val="ListParagraph"/>
        <w:numPr>
          <w:ilvl w:val="2"/>
          <w:numId w:val="63"/>
        </w:numPr>
        <w:tabs>
          <w:tab w:pos="679" w:val="left" w:leader="none"/>
        </w:tabs>
        <w:spacing w:line="266" w:lineRule="auto" w:before="0" w:after="0"/>
        <w:ind w:left="679" w:right="1077" w:hanging="360"/>
        <w:jc w:val="both"/>
        <w:rPr>
          <w:sz w:val="22"/>
        </w:rPr>
      </w:pPr>
      <w:r>
        <w:rPr>
          <w:sz w:val="22"/>
        </w:rPr>
        <w:t>Decentralisation of research management </w:t>
      </w:r>
      <w:r>
        <w:rPr>
          <w:sz w:val="22"/>
        </w:rPr>
        <w:t>and authority</w:t>
      </w:r>
      <w:r>
        <w:rPr>
          <w:spacing w:val="80"/>
          <w:sz w:val="22"/>
        </w:rPr>
        <w:t> </w:t>
      </w:r>
      <w:r>
        <w:rPr>
          <w:sz w:val="22"/>
        </w:rPr>
        <w:t>and</w:t>
      </w:r>
      <w:r>
        <w:rPr>
          <w:spacing w:val="80"/>
          <w:sz w:val="22"/>
        </w:rPr>
        <w:t> </w:t>
      </w:r>
      <w:r>
        <w:rPr>
          <w:sz w:val="22"/>
        </w:rPr>
        <w:t>distribution</w:t>
      </w:r>
      <w:r>
        <w:rPr>
          <w:spacing w:val="80"/>
          <w:sz w:val="22"/>
        </w:rPr>
        <w:t> </w:t>
      </w:r>
      <w:r>
        <w:rPr>
          <w:sz w:val="22"/>
        </w:rPr>
        <w:t>of</w:t>
      </w:r>
      <w:r>
        <w:rPr>
          <w:spacing w:val="80"/>
          <w:sz w:val="22"/>
        </w:rPr>
        <w:t> </w:t>
      </w:r>
      <w:r>
        <w:rPr>
          <w:sz w:val="22"/>
        </w:rPr>
        <w:t>accountability</w:t>
      </w:r>
      <w:r>
        <w:rPr>
          <w:spacing w:val="80"/>
          <w:sz w:val="22"/>
        </w:rPr>
        <w:t> </w:t>
      </w:r>
      <w:r>
        <w:rPr>
          <w:sz w:val="22"/>
        </w:rPr>
        <w:t>at</w:t>
      </w:r>
      <w:r>
        <w:rPr>
          <w:spacing w:val="40"/>
          <w:sz w:val="22"/>
        </w:rPr>
        <w:t> </w:t>
      </w:r>
      <w:r>
        <w:rPr>
          <w:sz w:val="22"/>
        </w:rPr>
        <w:t>different</w:t>
      </w:r>
      <w:r>
        <w:rPr>
          <w:spacing w:val="40"/>
          <w:sz w:val="22"/>
        </w:rPr>
        <w:t> </w:t>
      </w:r>
      <w:r>
        <w:rPr>
          <w:sz w:val="22"/>
        </w:rPr>
        <w:t>levels</w:t>
      </w:r>
      <w:r>
        <w:rPr>
          <w:spacing w:val="40"/>
          <w:sz w:val="22"/>
        </w:rPr>
        <w:t> </w:t>
      </w:r>
      <w:r>
        <w:rPr>
          <w:sz w:val="22"/>
        </w:rPr>
        <w:t>in</w:t>
      </w:r>
      <w:r>
        <w:rPr>
          <w:spacing w:val="40"/>
          <w:sz w:val="22"/>
        </w:rPr>
        <w:t> </w:t>
      </w:r>
      <w:r>
        <w:rPr>
          <w:sz w:val="22"/>
        </w:rPr>
        <w:t>the</w:t>
      </w:r>
      <w:r>
        <w:rPr>
          <w:spacing w:val="40"/>
          <w:sz w:val="22"/>
        </w:rPr>
        <w:t> </w:t>
      </w:r>
      <w:r>
        <w:rPr>
          <w:sz w:val="22"/>
        </w:rPr>
        <w:t>ICAR</w:t>
      </w:r>
      <w:r>
        <w:rPr>
          <w:spacing w:val="40"/>
          <w:sz w:val="22"/>
        </w:rPr>
        <w:t> </w:t>
      </w:r>
      <w:r>
        <w:rPr>
          <w:sz w:val="22"/>
        </w:rPr>
        <w:t>and</w:t>
      </w:r>
      <w:r>
        <w:rPr>
          <w:spacing w:val="40"/>
          <w:sz w:val="22"/>
        </w:rPr>
        <w:t> </w:t>
      </w:r>
      <w:r>
        <w:rPr>
          <w:sz w:val="22"/>
        </w:rPr>
        <w:t>SAUs</w:t>
      </w:r>
      <w:r>
        <w:rPr>
          <w:spacing w:val="40"/>
          <w:sz w:val="22"/>
        </w:rPr>
        <w:t> </w:t>
      </w:r>
      <w:r>
        <w:rPr>
          <w:sz w:val="22"/>
        </w:rPr>
        <w:t>are</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BodyText"/>
        <w:spacing w:line="266" w:lineRule="auto" w:before="77"/>
        <w:ind w:left="1440"/>
        <w:jc w:val="both"/>
      </w:pPr>
      <w:r>
        <w:rPr/>
        <w:t>required. Scientists and research teams </w:t>
      </w:r>
      <w:r>
        <w:rPr/>
        <w:t>should</w:t>
      </w:r>
      <w:r>
        <w:rPr>
          <w:spacing w:val="80"/>
        </w:rPr>
        <w:t> </w:t>
      </w:r>
      <w:r>
        <w:rPr/>
        <w:t>be empowered to function in this decentralised </w:t>
      </w:r>
      <w:r>
        <w:rPr>
          <w:spacing w:val="-2"/>
        </w:rPr>
        <w:t>system, with administrative and financial support. This</w:t>
      </w:r>
      <w:r>
        <w:rPr>
          <w:spacing w:val="-8"/>
        </w:rPr>
        <w:t> </w:t>
      </w:r>
      <w:r>
        <w:rPr>
          <w:spacing w:val="-2"/>
        </w:rPr>
        <w:t>will</w:t>
      </w:r>
      <w:r>
        <w:rPr>
          <w:spacing w:val="-8"/>
        </w:rPr>
        <w:t> </w:t>
      </w:r>
      <w:r>
        <w:rPr>
          <w:spacing w:val="-2"/>
        </w:rPr>
        <w:t>require</w:t>
      </w:r>
      <w:r>
        <w:rPr>
          <w:spacing w:val="-8"/>
        </w:rPr>
        <w:t> </w:t>
      </w:r>
      <w:r>
        <w:rPr>
          <w:spacing w:val="-2"/>
        </w:rPr>
        <w:t>the</w:t>
      </w:r>
      <w:r>
        <w:rPr>
          <w:spacing w:val="-8"/>
        </w:rPr>
        <w:t> </w:t>
      </w:r>
      <w:r>
        <w:rPr>
          <w:spacing w:val="-2"/>
        </w:rPr>
        <w:t>amendment</w:t>
      </w:r>
      <w:r>
        <w:rPr>
          <w:spacing w:val="-8"/>
        </w:rPr>
        <w:t> </w:t>
      </w:r>
      <w:r>
        <w:rPr>
          <w:spacing w:val="-2"/>
        </w:rPr>
        <w:t>of</w:t>
      </w:r>
      <w:r>
        <w:rPr>
          <w:spacing w:val="-8"/>
        </w:rPr>
        <w:t> </w:t>
      </w:r>
      <w:r>
        <w:rPr>
          <w:spacing w:val="-2"/>
        </w:rPr>
        <w:t>the</w:t>
      </w:r>
      <w:r>
        <w:rPr>
          <w:spacing w:val="-8"/>
        </w:rPr>
        <w:t> </w:t>
      </w:r>
      <w:r>
        <w:rPr>
          <w:spacing w:val="-2"/>
        </w:rPr>
        <w:t>Model</w:t>
      </w:r>
      <w:r>
        <w:rPr>
          <w:spacing w:val="-8"/>
        </w:rPr>
        <w:t> </w:t>
      </w:r>
      <w:r>
        <w:rPr>
          <w:spacing w:val="-2"/>
        </w:rPr>
        <w:t>Act </w:t>
      </w:r>
      <w:r>
        <w:rPr/>
        <w:t>(1966)</w:t>
      </w:r>
      <w:r>
        <w:rPr>
          <w:spacing w:val="-14"/>
        </w:rPr>
        <w:t> </w:t>
      </w:r>
      <w:r>
        <w:rPr/>
        <w:t>and</w:t>
      </w:r>
      <w:r>
        <w:rPr>
          <w:spacing w:val="-14"/>
        </w:rPr>
        <w:t> </w:t>
      </w:r>
      <w:r>
        <w:rPr/>
        <w:t>University</w:t>
      </w:r>
      <w:r>
        <w:rPr>
          <w:spacing w:val="-14"/>
        </w:rPr>
        <w:t> </w:t>
      </w:r>
      <w:r>
        <w:rPr/>
        <w:t>Acts</w:t>
      </w:r>
      <w:r>
        <w:rPr>
          <w:spacing w:val="-13"/>
        </w:rPr>
        <w:t> </w:t>
      </w:r>
      <w:r>
        <w:rPr/>
        <w:t>binding</w:t>
      </w:r>
      <w:r>
        <w:rPr>
          <w:spacing w:val="-14"/>
        </w:rPr>
        <w:t> </w:t>
      </w:r>
      <w:r>
        <w:rPr/>
        <w:t>all</w:t>
      </w:r>
      <w:r>
        <w:rPr>
          <w:spacing w:val="-14"/>
        </w:rPr>
        <w:t> </w:t>
      </w:r>
      <w:r>
        <w:rPr/>
        <w:t>SAUs,</w:t>
      </w:r>
      <w:r>
        <w:rPr>
          <w:spacing w:val="-14"/>
        </w:rPr>
        <w:t> </w:t>
      </w:r>
      <w:r>
        <w:rPr/>
        <w:t>and a change in the legal status of the ICAR to grant full administrative and financial autonomy with enhanced funding.</w:t>
      </w:r>
    </w:p>
    <w:p>
      <w:pPr>
        <w:pStyle w:val="ListParagraph"/>
        <w:numPr>
          <w:ilvl w:val="3"/>
          <w:numId w:val="63"/>
        </w:numPr>
        <w:tabs>
          <w:tab w:pos="1439" w:val="left" w:leader="none"/>
        </w:tabs>
        <w:spacing w:line="266" w:lineRule="auto" w:before="0" w:after="0"/>
        <w:ind w:left="1439" w:right="0" w:hanging="360"/>
        <w:jc w:val="both"/>
        <w:rPr>
          <w:sz w:val="22"/>
        </w:rPr>
      </w:pPr>
      <w:r>
        <w:rPr>
          <w:sz w:val="22"/>
        </w:rPr>
        <w:t>There should be emphasis on ensuring </w:t>
      </w:r>
      <w:r>
        <w:rPr>
          <w:sz w:val="22"/>
        </w:rPr>
        <w:t>research relevant to farmers’ needs, by encouraging and institutionalising greater interaction between research and extension personnel and providing feedback mechanisms for farmers.</w:t>
      </w:r>
    </w:p>
    <w:p>
      <w:pPr>
        <w:pStyle w:val="BodyText"/>
        <w:spacing w:before="84"/>
      </w:pPr>
    </w:p>
    <w:p>
      <w:pPr>
        <w:pStyle w:val="Heading7"/>
        <w:numPr>
          <w:ilvl w:val="1"/>
          <w:numId w:val="63"/>
        </w:numPr>
        <w:tabs>
          <w:tab w:pos="1343" w:val="left" w:leader="none"/>
          <w:tab w:pos="1345" w:val="left" w:leader="none"/>
        </w:tabs>
        <w:spacing w:line="225" w:lineRule="auto" w:before="0" w:after="0"/>
        <w:ind w:left="1345" w:right="310" w:hanging="266"/>
        <w:jc w:val="left"/>
      </w:pPr>
      <w:r>
        <w:rPr>
          <w:color w:val="2E614A"/>
          <w:w w:val="90"/>
        </w:rPr>
        <w:t>Improve the organisation of </w:t>
      </w:r>
      <w:r>
        <w:rPr>
          <w:color w:val="2E614A"/>
          <w:w w:val="90"/>
        </w:rPr>
        <w:t>agricultural </w:t>
      </w:r>
      <w:r>
        <w:rPr>
          <w:color w:val="2E614A"/>
          <w:spacing w:val="-2"/>
        </w:rPr>
        <w:t>research</w:t>
      </w:r>
    </w:p>
    <w:p>
      <w:pPr>
        <w:pStyle w:val="BodyText"/>
        <w:spacing w:before="2"/>
        <w:rPr>
          <w:b/>
          <w:sz w:val="26"/>
        </w:rPr>
      </w:pPr>
    </w:p>
    <w:p>
      <w:pPr>
        <w:pStyle w:val="ListParagraph"/>
        <w:numPr>
          <w:ilvl w:val="2"/>
          <w:numId w:val="63"/>
        </w:numPr>
        <w:tabs>
          <w:tab w:pos="1439" w:val="left" w:leader="none"/>
        </w:tabs>
        <w:spacing w:line="266" w:lineRule="auto" w:before="0" w:after="0"/>
        <w:ind w:left="1439" w:right="0" w:hanging="360"/>
        <w:jc w:val="both"/>
        <w:rPr>
          <w:sz w:val="22"/>
        </w:rPr>
      </w:pPr>
      <w:r>
        <w:rPr>
          <w:sz w:val="22"/>
        </w:rPr>
        <w:t>The</w:t>
      </w:r>
      <w:r>
        <w:rPr>
          <w:spacing w:val="-8"/>
          <w:sz w:val="22"/>
        </w:rPr>
        <w:t> </w:t>
      </w:r>
      <w:r>
        <w:rPr>
          <w:sz w:val="22"/>
        </w:rPr>
        <w:t>Research</w:t>
      </w:r>
      <w:r>
        <w:rPr>
          <w:spacing w:val="-8"/>
          <w:sz w:val="22"/>
        </w:rPr>
        <w:t> </w:t>
      </w:r>
      <w:r>
        <w:rPr>
          <w:sz w:val="22"/>
        </w:rPr>
        <w:t>Project</w:t>
      </w:r>
      <w:r>
        <w:rPr>
          <w:spacing w:val="-8"/>
          <w:sz w:val="22"/>
        </w:rPr>
        <w:t> </w:t>
      </w:r>
      <w:r>
        <w:rPr>
          <w:sz w:val="22"/>
        </w:rPr>
        <w:t>File</w:t>
      </w:r>
      <w:r>
        <w:rPr>
          <w:spacing w:val="-8"/>
          <w:sz w:val="22"/>
        </w:rPr>
        <w:t> </w:t>
      </w:r>
      <w:r>
        <w:rPr>
          <w:sz w:val="22"/>
        </w:rPr>
        <w:t>(RPF)</w:t>
      </w:r>
      <w:r>
        <w:rPr>
          <w:spacing w:val="-8"/>
          <w:sz w:val="22"/>
        </w:rPr>
        <w:t> </w:t>
      </w:r>
      <w:r>
        <w:rPr>
          <w:sz w:val="22"/>
        </w:rPr>
        <w:t>system</w:t>
      </w:r>
      <w:r>
        <w:rPr>
          <w:spacing w:val="-8"/>
          <w:sz w:val="22"/>
        </w:rPr>
        <w:t> </w:t>
      </w:r>
      <w:r>
        <w:rPr>
          <w:sz w:val="22"/>
        </w:rPr>
        <w:t>in</w:t>
      </w:r>
      <w:r>
        <w:rPr>
          <w:spacing w:val="-8"/>
          <w:sz w:val="22"/>
        </w:rPr>
        <w:t> </w:t>
      </w:r>
      <w:r>
        <w:rPr>
          <w:sz w:val="22"/>
        </w:rPr>
        <w:t>ICAR institutes has fossilised and does not assist the conduct or management of relevant research.</w:t>
      </w:r>
      <w:r>
        <w:rPr>
          <w:spacing w:val="40"/>
          <w:sz w:val="22"/>
        </w:rPr>
        <w:t> </w:t>
      </w:r>
      <w:r>
        <w:rPr>
          <w:sz w:val="22"/>
        </w:rPr>
        <w:t>The lab/project file must be made mandatory in SAUs</w:t>
      </w:r>
      <w:r>
        <w:rPr>
          <w:spacing w:val="-11"/>
          <w:sz w:val="22"/>
        </w:rPr>
        <w:t> </w:t>
      </w:r>
      <w:r>
        <w:rPr>
          <w:sz w:val="22"/>
        </w:rPr>
        <w:t>and</w:t>
      </w:r>
      <w:r>
        <w:rPr>
          <w:spacing w:val="-11"/>
          <w:sz w:val="22"/>
        </w:rPr>
        <w:t> </w:t>
      </w:r>
      <w:r>
        <w:rPr>
          <w:sz w:val="22"/>
        </w:rPr>
        <w:t>ICAR</w:t>
      </w:r>
      <w:r>
        <w:rPr>
          <w:spacing w:val="-11"/>
          <w:sz w:val="22"/>
        </w:rPr>
        <w:t> </w:t>
      </w:r>
      <w:r>
        <w:rPr>
          <w:sz w:val="22"/>
        </w:rPr>
        <w:t>institutes</w:t>
      </w:r>
      <w:r>
        <w:rPr>
          <w:spacing w:val="-11"/>
          <w:sz w:val="22"/>
        </w:rPr>
        <w:t> </w:t>
      </w:r>
      <w:r>
        <w:rPr>
          <w:sz w:val="22"/>
        </w:rPr>
        <w:t>and</w:t>
      </w:r>
      <w:r>
        <w:rPr>
          <w:spacing w:val="-11"/>
          <w:sz w:val="22"/>
        </w:rPr>
        <w:t> </w:t>
      </w:r>
      <w:r>
        <w:rPr>
          <w:sz w:val="22"/>
        </w:rPr>
        <w:t>computerised</w:t>
      </w:r>
      <w:r>
        <w:rPr>
          <w:spacing w:val="-11"/>
          <w:sz w:val="22"/>
        </w:rPr>
        <w:t> </w:t>
      </w:r>
      <w:r>
        <w:rPr>
          <w:sz w:val="22"/>
        </w:rPr>
        <w:t>on</w:t>
      </w:r>
      <w:r>
        <w:rPr>
          <w:spacing w:val="-11"/>
          <w:sz w:val="22"/>
        </w:rPr>
        <w:t> </w:t>
      </w:r>
      <w:r>
        <w:rPr>
          <w:sz w:val="22"/>
        </w:rPr>
        <w:t>a priority</w:t>
      </w:r>
      <w:r>
        <w:rPr>
          <w:spacing w:val="-9"/>
          <w:sz w:val="22"/>
        </w:rPr>
        <w:t> </w:t>
      </w:r>
      <w:r>
        <w:rPr>
          <w:sz w:val="22"/>
        </w:rPr>
        <w:t>basis,</w:t>
      </w:r>
      <w:r>
        <w:rPr>
          <w:spacing w:val="-9"/>
          <w:sz w:val="22"/>
        </w:rPr>
        <w:t> </w:t>
      </w:r>
      <w:r>
        <w:rPr>
          <w:sz w:val="22"/>
        </w:rPr>
        <w:t>preferably</w:t>
      </w:r>
      <w:r>
        <w:rPr>
          <w:spacing w:val="-9"/>
          <w:sz w:val="22"/>
        </w:rPr>
        <w:t> </w:t>
      </w:r>
      <w:r>
        <w:rPr>
          <w:sz w:val="22"/>
        </w:rPr>
        <w:t>by</w:t>
      </w:r>
      <w:r>
        <w:rPr>
          <w:spacing w:val="-9"/>
          <w:sz w:val="22"/>
        </w:rPr>
        <w:t> </w:t>
      </w:r>
      <w:r>
        <w:rPr>
          <w:sz w:val="22"/>
        </w:rPr>
        <w:t>2009-2010.</w:t>
      </w:r>
      <w:r>
        <w:rPr>
          <w:spacing w:val="-14"/>
          <w:sz w:val="22"/>
        </w:rPr>
        <w:t> </w:t>
      </w:r>
      <w:r>
        <w:rPr>
          <w:sz w:val="22"/>
        </w:rPr>
        <w:t>This</w:t>
      </w:r>
      <w:r>
        <w:rPr>
          <w:spacing w:val="-9"/>
          <w:sz w:val="22"/>
        </w:rPr>
        <w:t> </w:t>
      </w:r>
      <w:r>
        <w:rPr>
          <w:sz w:val="22"/>
        </w:rPr>
        <w:t>will </w:t>
      </w:r>
      <w:r>
        <w:rPr>
          <w:spacing w:val="-6"/>
          <w:sz w:val="22"/>
        </w:rPr>
        <w:t>enable the creation of a research database within the </w:t>
      </w:r>
      <w:r>
        <w:rPr>
          <w:sz w:val="22"/>
        </w:rPr>
        <w:t>organisation and at the national level.</w:t>
      </w:r>
    </w:p>
    <w:p>
      <w:pPr>
        <w:pStyle w:val="ListParagraph"/>
        <w:numPr>
          <w:ilvl w:val="2"/>
          <w:numId w:val="63"/>
        </w:numPr>
        <w:tabs>
          <w:tab w:pos="1439" w:val="left" w:leader="none"/>
        </w:tabs>
        <w:spacing w:line="266" w:lineRule="auto" w:before="0" w:after="0"/>
        <w:ind w:left="1439" w:right="0" w:hanging="360"/>
        <w:jc w:val="both"/>
        <w:rPr>
          <w:sz w:val="22"/>
        </w:rPr>
      </w:pPr>
      <w:r>
        <w:rPr>
          <w:spacing w:val="-6"/>
          <w:sz w:val="22"/>
        </w:rPr>
        <w:t>Based</w:t>
      </w:r>
      <w:r>
        <w:rPr>
          <w:spacing w:val="-10"/>
          <w:sz w:val="22"/>
        </w:rPr>
        <w:t> </w:t>
      </w:r>
      <w:r>
        <w:rPr>
          <w:spacing w:val="-6"/>
          <w:sz w:val="22"/>
        </w:rPr>
        <w:t>on</w:t>
      </w:r>
      <w:r>
        <w:rPr>
          <w:spacing w:val="-8"/>
          <w:sz w:val="22"/>
        </w:rPr>
        <w:t> </w:t>
      </w:r>
      <w:r>
        <w:rPr>
          <w:spacing w:val="-6"/>
          <w:sz w:val="22"/>
        </w:rPr>
        <w:t>this</w:t>
      </w:r>
      <w:r>
        <w:rPr>
          <w:spacing w:val="-8"/>
          <w:sz w:val="22"/>
        </w:rPr>
        <w:t> </w:t>
      </w:r>
      <w:r>
        <w:rPr>
          <w:spacing w:val="-6"/>
          <w:sz w:val="22"/>
        </w:rPr>
        <w:t>lab/project</w:t>
      </w:r>
      <w:r>
        <w:rPr>
          <w:spacing w:val="-7"/>
          <w:sz w:val="22"/>
        </w:rPr>
        <w:t> </w:t>
      </w:r>
      <w:r>
        <w:rPr>
          <w:spacing w:val="-6"/>
          <w:sz w:val="22"/>
        </w:rPr>
        <w:t>file</w:t>
      </w:r>
      <w:r>
        <w:rPr>
          <w:spacing w:val="-8"/>
          <w:sz w:val="22"/>
        </w:rPr>
        <w:t> </w:t>
      </w:r>
      <w:r>
        <w:rPr>
          <w:spacing w:val="-6"/>
          <w:sz w:val="22"/>
        </w:rPr>
        <w:t>system,</w:t>
      </w:r>
      <w:r>
        <w:rPr>
          <w:spacing w:val="-8"/>
          <w:sz w:val="22"/>
        </w:rPr>
        <w:t> </w:t>
      </w:r>
      <w:r>
        <w:rPr>
          <w:spacing w:val="-6"/>
          <w:sz w:val="22"/>
        </w:rPr>
        <w:t>there</w:t>
      </w:r>
      <w:r>
        <w:rPr>
          <w:spacing w:val="-8"/>
          <w:sz w:val="22"/>
        </w:rPr>
        <w:t> </w:t>
      </w:r>
      <w:r>
        <w:rPr>
          <w:spacing w:val="-6"/>
          <w:sz w:val="22"/>
        </w:rPr>
        <w:t>should</w:t>
      </w:r>
      <w:r>
        <w:rPr>
          <w:spacing w:val="-7"/>
          <w:sz w:val="22"/>
        </w:rPr>
        <w:t> </w:t>
      </w:r>
      <w:r>
        <w:rPr>
          <w:spacing w:val="-6"/>
          <w:sz w:val="22"/>
        </w:rPr>
        <w:t>be </w:t>
      </w:r>
      <w:r>
        <w:rPr>
          <w:spacing w:val="-2"/>
          <w:sz w:val="22"/>
        </w:rPr>
        <w:t>an</w:t>
      </w:r>
      <w:r>
        <w:rPr>
          <w:spacing w:val="-8"/>
          <w:sz w:val="22"/>
        </w:rPr>
        <w:t> </w:t>
      </w:r>
      <w:r>
        <w:rPr>
          <w:spacing w:val="-2"/>
          <w:sz w:val="22"/>
        </w:rPr>
        <w:t>annual</w:t>
      </w:r>
      <w:r>
        <w:rPr>
          <w:spacing w:val="-8"/>
          <w:sz w:val="22"/>
        </w:rPr>
        <w:t> </w:t>
      </w:r>
      <w:r>
        <w:rPr>
          <w:spacing w:val="-2"/>
          <w:sz w:val="22"/>
        </w:rPr>
        <w:t>scientific</w:t>
      </w:r>
      <w:r>
        <w:rPr>
          <w:spacing w:val="-8"/>
          <w:sz w:val="22"/>
        </w:rPr>
        <w:t> </w:t>
      </w:r>
      <w:r>
        <w:rPr>
          <w:spacing w:val="-2"/>
          <w:sz w:val="22"/>
        </w:rPr>
        <w:t>audit</w:t>
      </w:r>
      <w:r>
        <w:rPr>
          <w:spacing w:val="-8"/>
          <w:sz w:val="22"/>
        </w:rPr>
        <w:t> </w:t>
      </w:r>
      <w:r>
        <w:rPr>
          <w:spacing w:val="-2"/>
          <w:sz w:val="22"/>
        </w:rPr>
        <w:t>of</w:t>
      </w:r>
      <w:r>
        <w:rPr>
          <w:spacing w:val="-8"/>
          <w:sz w:val="22"/>
        </w:rPr>
        <w:t> </w:t>
      </w:r>
      <w:r>
        <w:rPr>
          <w:spacing w:val="-2"/>
          <w:sz w:val="22"/>
        </w:rPr>
        <w:t>each</w:t>
      </w:r>
      <w:r>
        <w:rPr>
          <w:spacing w:val="-8"/>
          <w:sz w:val="22"/>
        </w:rPr>
        <w:t> </w:t>
      </w:r>
      <w:r>
        <w:rPr>
          <w:spacing w:val="-2"/>
          <w:sz w:val="22"/>
        </w:rPr>
        <w:t>program/project.</w:t>
      </w:r>
    </w:p>
    <w:p>
      <w:pPr>
        <w:pStyle w:val="BodyText"/>
        <w:spacing w:before="71"/>
      </w:pPr>
    </w:p>
    <w:p>
      <w:pPr>
        <w:pStyle w:val="Heading7"/>
        <w:numPr>
          <w:ilvl w:val="1"/>
          <w:numId w:val="63"/>
        </w:numPr>
        <w:tabs>
          <w:tab w:pos="1344" w:val="left" w:leader="none"/>
        </w:tabs>
        <w:spacing w:line="240" w:lineRule="auto" w:before="0" w:after="0"/>
        <w:ind w:left="1344" w:right="0" w:hanging="264"/>
        <w:jc w:val="left"/>
      </w:pPr>
      <w:r>
        <w:rPr>
          <w:color w:val="2E614A"/>
          <w:w w:val="90"/>
        </w:rPr>
        <w:t>Direct</w:t>
      </w:r>
      <w:r>
        <w:rPr>
          <w:color w:val="2E614A"/>
          <w:spacing w:val="6"/>
        </w:rPr>
        <w:t> </w:t>
      </w:r>
      <w:r>
        <w:rPr>
          <w:color w:val="2E614A"/>
          <w:w w:val="90"/>
        </w:rPr>
        <w:t>more</w:t>
      </w:r>
      <w:r>
        <w:rPr>
          <w:color w:val="2E614A"/>
          <w:spacing w:val="6"/>
        </w:rPr>
        <w:t> </w:t>
      </w:r>
      <w:r>
        <w:rPr>
          <w:color w:val="2E614A"/>
          <w:w w:val="90"/>
        </w:rPr>
        <w:t>research</w:t>
      </w:r>
      <w:r>
        <w:rPr>
          <w:color w:val="2E614A"/>
          <w:spacing w:val="6"/>
        </w:rPr>
        <w:t> </w:t>
      </w:r>
      <w:r>
        <w:rPr>
          <w:color w:val="2E614A"/>
          <w:w w:val="90"/>
        </w:rPr>
        <w:t>to</w:t>
      </w:r>
      <w:r>
        <w:rPr>
          <w:color w:val="2E614A"/>
          <w:spacing w:val="7"/>
        </w:rPr>
        <w:t> </w:t>
      </w:r>
      <w:r>
        <w:rPr>
          <w:color w:val="2E614A"/>
          <w:w w:val="90"/>
        </w:rPr>
        <w:t>neglected</w:t>
      </w:r>
      <w:r>
        <w:rPr>
          <w:color w:val="2E614A"/>
          <w:spacing w:val="6"/>
        </w:rPr>
        <w:t> </w:t>
      </w:r>
      <w:r>
        <w:rPr>
          <w:color w:val="2E614A"/>
          <w:spacing w:val="-4"/>
          <w:w w:val="90"/>
        </w:rPr>
        <w:t>areas</w:t>
      </w:r>
    </w:p>
    <w:p>
      <w:pPr>
        <w:pStyle w:val="BodyText"/>
        <w:rPr>
          <w:b/>
          <w:sz w:val="26"/>
        </w:rPr>
      </w:pPr>
    </w:p>
    <w:p>
      <w:pPr>
        <w:pStyle w:val="ListParagraph"/>
        <w:numPr>
          <w:ilvl w:val="2"/>
          <w:numId w:val="63"/>
        </w:numPr>
        <w:tabs>
          <w:tab w:pos="1439" w:val="left" w:leader="none"/>
        </w:tabs>
        <w:spacing w:line="266" w:lineRule="auto" w:before="0" w:after="0"/>
        <w:ind w:left="1439" w:right="0" w:hanging="360"/>
        <w:jc w:val="both"/>
        <w:rPr>
          <w:sz w:val="22"/>
        </w:rPr>
      </w:pPr>
      <w:r>
        <w:rPr>
          <w:sz w:val="22"/>
        </w:rPr>
        <w:t>Much more research activity is required for enhancing</w:t>
      </w:r>
      <w:r>
        <w:rPr>
          <w:spacing w:val="-14"/>
          <w:sz w:val="22"/>
        </w:rPr>
        <w:t> </w:t>
      </w:r>
      <w:r>
        <w:rPr>
          <w:sz w:val="22"/>
        </w:rPr>
        <w:t>productivity</w:t>
      </w:r>
      <w:r>
        <w:rPr>
          <w:spacing w:val="-14"/>
          <w:sz w:val="22"/>
        </w:rPr>
        <w:t> </w:t>
      </w:r>
      <w:r>
        <w:rPr>
          <w:sz w:val="22"/>
        </w:rPr>
        <w:t>in</w:t>
      </w:r>
      <w:r>
        <w:rPr>
          <w:spacing w:val="-14"/>
          <w:sz w:val="22"/>
        </w:rPr>
        <w:t> </w:t>
      </w:r>
      <w:r>
        <w:rPr>
          <w:sz w:val="22"/>
        </w:rPr>
        <w:t>rain-fed</w:t>
      </w:r>
      <w:r>
        <w:rPr>
          <w:spacing w:val="-13"/>
          <w:sz w:val="22"/>
        </w:rPr>
        <w:t> </w:t>
      </w:r>
      <w:r>
        <w:rPr>
          <w:sz w:val="22"/>
        </w:rPr>
        <w:t>agriculture</w:t>
      </w:r>
      <w:r>
        <w:rPr>
          <w:spacing w:val="-14"/>
          <w:sz w:val="22"/>
        </w:rPr>
        <w:t> </w:t>
      </w:r>
      <w:r>
        <w:rPr>
          <w:sz w:val="22"/>
        </w:rPr>
        <w:t>and the</w:t>
      </w:r>
      <w:r>
        <w:rPr>
          <w:spacing w:val="-6"/>
          <w:sz w:val="22"/>
        </w:rPr>
        <w:t> </w:t>
      </w:r>
      <w:r>
        <w:rPr>
          <w:sz w:val="22"/>
        </w:rPr>
        <w:t>cultivation</w:t>
      </w:r>
      <w:r>
        <w:rPr>
          <w:spacing w:val="-6"/>
          <w:sz w:val="22"/>
        </w:rPr>
        <w:t> </w:t>
      </w:r>
      <w:r>
        <w:rPr>
          <w:sz w:val="22"/>
        </w:rPr>
        <w:t>of</w:t>
      </w:r>
      <w:r>
        <w:rPr>
          <w:spacing w:val="-6"/>
          <w:sz w:val="22"/>
        </w:rPr>
        <w:t> </w:t>
      </w:r>
      <w:r>
        <w:rPr>
          <w:sz w:val="22"/>
        </w:rPr>
        <w:t>traditional</w:t>
      </w:r>
      <w:r>
        <w:rPr>
          <w:spacing w:val="-6"/>
          <w:sz w:val="22"/>
        </w:rPr>
        <w:t> </w:t>
      </w:r>
      <w:r>
        <w:rPr>
          <w:sz w:val="22"/>
        </w:rPr>
        <w:t>staples.</w:t>
      </w:r>
    </w:p>
    <w:p>
      <w:pPr>
        <w:pStyle w:val="ListParagraph"/>
        <w:numPr>
          <w:ilvl w:val="2"/>
          <w:numId w:val="63"/>
        </w:numPr>
        <w:tabs>
          <w:tab w:pos="1439" w:val="left" w:leader="none"/>
        </w:tabs>
        <w:spacing w:line="266" w:lineRule="auto" w:before="0" w:after="0"/>
        <w:ind w:left="1439" w:right="0" w:hanging="360"/>
        <w:jc w:val="both"/>
        <w:rPr>
          <w:sz w:val="22"/>
        </w:rPr>
      </w:pPr>
      <w:r>
        <w:rPr>
          <w:sz w:val="22"/>
        </w:rPr>
        <w:t>Research into improvements in post-harvest </w:t>
      </w:r>
      <w:r>
        <w:rPr>
          <w:spacing w:val="-6"/>
          <w:sz w:val="22"/>
        </w:rPr>
        <w:t>technology and storage patterns should be promoted </w:t>
      </w:r>
      <w:r>
        <w:rPr>
          <w:sz w:val="22"/>
        </w:rPr>
        <w:t>with</w:t>
      </w:r>
      <w:r>
        <w:rPr>
          <w:spacing w:val="-4"/>
          <w:sz w:val="22"/>
        </w:rPr>
        <w:t> </w:t>
      </w:r>
      <w:r>
        <w:rPr>
          <w:sz w:val="22"/>
        </w:rPr>
        <w:t>special</w:t>
      </w:r>
      <w:r>
        <w:rPr>
          <w:spacing w:val="-4"/>
          <w:sz w:val="22"/>
        </w:rPr>
        <w:t> </w:t>
      </w:r>
      <w:r>
        <w:rPr>
          <w:sz w:val="22"/>
        </w:rPr>
        <w:t>funds</w:t>
      </w:r>
      <w:r>
        <w:rPr>
          <w:spacing w:val="-4"/>
          <w:sz w:val="22"/>
        </w:rPr>
        <w:t> </w:t>
      </w:r>
      <w:r>
        <w:rPr>
          <w:sz w:val="22"/>
        </w:rPr>
        <w:t>allocation.</w:t>
      </w:r>
    </w:p>
    <w:p>
      <w:pPr>
        <w:pStyle w:val="ListParagraph"/>
        <w:numPr>
          <w:ilvl w:val="2"/>
          <w:numId w:val="63"/>
        </w:numPr>
        <w:tabs>
          <w:tab w:pos="1439" w:val="left" w:leader="none"/>
        </w:tabs>
        <w:spacing w:line="266" w:lineRule="auto" w:before="0" w:after="0"/>
        <w:ind w:left="1439" w:right="0" w:hanging="360"/>
        <w:jc w:val="both"/>
        <w:rPr>
          <w:sz w:val="22"/>
        </w:rPr>
      </w:pPr>
      <w:r>
        <w:rPr>
          <w:sz w:val="22"/>
        </w:rPr>
        <w:t>The possibilities and problems associated with ‘jhum’</w:t>
      </w:r>
      <w:r>
        <w:rPr>
          <w:spacing w:val="-14"/>
          <w:sz w:val="22"/>
        </w:rPr>
        <w:t> </w:t>
      </w:r>
      <w:r>
        <w:rPr>
          <w:sz w:val="22"/>
        </w:rPr>
        <w:t>cultivation</w:t>
      </w:r>
      <w:r>
        <w:rPr>
          <w:spacing w:val="-14"/>
          <w:sz w:val="22"/>
        </w:rPr>
        <w:t> </w:t>
      </w:r>
      <w:r>
        <w:rPr>
          <w:sz w:val="22"/>
        </w:rPr>
        <w:t>must</w:t>
      </w:r>
      <w:r>
        <w:rPr>
          <w:spacing w:val="-14"/>
          <w:sz w:val="22"/>
        </w:rPr>
        <w:t> </w:t>
      </w:r>
      <w:r>
        <w:rPr>
          <w:sz w:val="22"/>
        </w:rPr>
        <w:t>be</w:t>
      </w:r>
      <w:r>
        <w:rPr>
          <w:spacing w:val="-13"/>
          <w:sz w:val="22"/>
        </w:rPr>
        <w:t> </w:t>
      </w:r>
      <w:r>
        <w:rPr>
          <w:sz w:val="22"/>
        </w:rPr>
        <w:t>addressed.</w:t>
      </w:r>
    </w:p>
    <w:p>
      <w:pPr>
        <w:pStyle w:val="ListParagraph"/>
        <w:numPr>
          <w:ilvl w:val="2"/>
          <w:numId w:val="63"/>
        </w:numPr>
        <w:tabs>
          <w:tab w:pos="1439" w:val="left" w:leader="none"/>
        </w:tabs>
        <w:spacing w:line="266" w:lineRule="auto" w:before="0" w:after="0"/>
        <w:ind w:left="1439" w:right="0" w:hanging="360"/>
        <w:jc w:val="both"/>
        <w:rPr>
          <w:sz w:val="22"/>
        </w:rPr>
      </w:pPr>
      <w:r>
        <w:rPr>
          <w:w w:val="90"/>
          <w:sz w:val="22"/>
        </w:rPr>
        <w:t>Agriculture and rural livelihoods in the North Eastern </w:t>
      </w:r>
      <w:r>
        <w:rPr>
          <w:spacing w:val="-6"/>
          <w:sz w:val="22"/>
        </w:rPr>
        <w:t>region deserve very special attention, including with </w:t>
      </w:r>
      <w:r>
        <w:rPr>
          <w:sz w:val="22"/>
        </w:rPr>
        <w:t>the establishment of a sub-cadre of agricultural graduates</w:t>
      </w:r>
      <w:r>
        <w:rPr>
          <w:spacing w:val="-11"/>
          <w:sz w:val="22"/>
        </w:rPr>
        <w:t> </w:t>
      </w:r>
      <w:r>
        <w:rPr>
          <w:sz w:val="22"/>
        </w:rPr>
        <w:t>well</w:t>
      </w:r>
      <w:r>
        <w:rPr>
          <w:spacing w:val="-11"/>
          <w:sz w:val="22"/>
        </w:rPr>
        <w:t> </w:t>
      </w:r>
      <w:r>
        <w:rPr>
          <w:sz w:val="22"/>
        </w:rPr>
        <w:t>trained</w:t>
      </w:r>
      <w:r>
        <w:rPr>
          <w:spacing w:val="-11"/>
          <w:sz w:val="22"/>
        </w:rPr>
        <w:t> </w:t>
      </w:r>
      <w:r>
        <w:rPr>
          <w:sz w:val="22"/>
        </w:rPr>
        <w:t>to</w:t>
      </w:r>
      <w:r>
        <w:rPr>
          <w:spacing w:val="-11"/>
          <w:sz w:val="22"/>
        </w:rPr>
        <w:t> </w:t>
      </w:r>
      <w:r>
        <w:rPr>
          <w:sz w:val="22"/>
        </w:rPr>
        <w:t>meet</w:t>
      </w:r>
      <w:r>
        <w:rPr>
          <w:spacing w:val="-11"/>
          <w:sz w:val="22"/>
        </w:rPr>
        <w:t> </w:t>
      </w:r>
      <w:r>
        <w:rPr>
          <w:sz w:val="22"/>
        </w:rPr>
        <w:t>local</w:t>
      </w:r>
      <w:r>
        <w:rPr>
          <w:spacing w:val="-11"/>
          <w:sz w:val="22"/>
        </w:rPr>
        <w:t> </w:t>
      </w:r>
      <w:r>
        <w:rPr>
          <w:sz w:val="22"/>
        </w:rPr>
        <w:t>R&amp;D</w:t>
      </w:r>
      <w:r>
        <w:rPr>
          <w:spacing w:val="-11"/>
          <w:sz w:val="22"/>
        </w:rPr>
        <w:t> </w:t>
      </w:r>
      <w:r>
        <w:rPr>
          <w:sz w:val="22"/>
        </w:rPr>
        <w:t>needs.</w:t>
      </w:r>
    </w:p>
    <w:p>
      <w:pPr>
        <w:pStyle w:val="ListParagraph"/>
        <w:numPr>
          <w:ilvl w:val="2"/>
          <w:numId w:val="63"/>
        </w:numPr>
        <w:tabs>
          <w:tab w:pos="1439" w:val="left" w:leader="none"/>
        </w:tabs>
        <w:spacing w:line="266" w:lineRule="auto" w:before="0" w:after="0"/>
        <w:ind w:left="1439" w:right="0" w:hanging="360"/>
        <w:jc w:val="both"/>
        <w:rPr>
          <w:sz w:val="22"/>
        </w:rPr>
      </w:pPr>
      <w:r>
        <w:rPr>
          <w:sz w:val="22"/>
        </w:rPr>
        <w:t>While water management has been and remains</w:t>
      </w:r>
      <w:r>
        <w:rPr>
          <w:spacing w:val="40"/>
          <w:sz w:val="22"/>
        </w:rPr>
        <w:t> </w:t>
      </w:r>
      <w:r>
        <w:rPr>
          <w:sz w:val="22"/>
        </w:rPr>
        <w:t>a</w:t>
      </w:r>
      <w:r>
        <w:rPr>
          <w:spacing w:val="-14"/>
          <w:sz w:val="22"/>
        </w:rPr>
        <w:t> </w:t>
      </w:r>
      <w:r>
        <w:rPr>
          <w:sz w:val="22"/>
        </w:rPr>
        <w:t>major</w:t>
      </w:r>
      <w:r>
        <w:rPr>
          <w:spacing w:val="-14"/>
          <w:sz w:val="22"/>
        </w:rPr>
        <w:t> </w:t>
      </w:r>
      <w:r>
        <w:rPr>
          <w:sz w:val="22"/>
        </w:rPr>
        <w:t>area</w:t>
      </w:r>
      <w:r>
        <w:rPr>
          <w:spacing w:val="-14"/>
          <w:sz w:val="22"/>
        </w:rPr>
        <w:t> </w:t>
      </w:r>
      <w:r>
        <w:rPr>
          <w:sz w:val="22"/>
        </w:rPr>
        <w:t>of</w:t>
      </w:r>
      <w:r>
        <w:rPr>
          <w:spacing w:val="-13"/>
          <w:sz w:val="22"/>
        </w:rPr>
        <w:t> </w:t>
      </w:r>
      <w:r>
        <w:rPr>
          <w:sz w:val="22"/>
        </w:rPr>
        <w:t>agricultural</w:t>
      </w:r>
      <w:r>
        <w:rPr>
          <w:spacing w:val="-14"/>
          <w:sz w:val="22"/>
        </w:rPr>
        <w:t> </w:t>
      </w:r>
      <w:r>
        <w:rPr>
          <w:sz w:val="22"/>
        </w:rPr>
        <w:t>research,</w:t>
      </w:r>
      <w:r>
        <w:rPr>
          <w:spacing w:val="-14"/>
          <w:sz w:val="22"/>
        </w:rPr>
        <w:t> </w:t>
      </w:r>
      <w:r>
        <w:rPr>
          <w:sz w:val="22"/>
        </w:rPr>
        <w:t>there</w:t>
      </w:r>
      <w:r>
        <w:rPr>
          <w:spacing w:val="-14"/>
          <w:sz w:val="22"/>
        </w:rPr>
        <w:t> </w:t>
      </w:r>
      <w:r>
        <w:rPr>
          <w:sz w:val="22"/>
        </w:rPr>
        <w:t>is</w:t>
      </w:r>
      <w:r>
        <w:rPr>
          <w:spacing w:val="-13"/>
          <w:sz w:val="22"/>
        </w:rPr>
        <w:t> </w:t>
      </w:r>
      <w:r>
        <w:rPr>
          <w:sz w:val="22"/>
        </w:rPr>
        <w:t>need </w:t>
      </w:r>
      <w:r>
        <w:rPr>
          <w:spacing w:val="-4"/>
          <w:sz w:val="22"/>
        </w:rPr>
        <w:t>for</w:t>
      </w:r>
      <w:r>
        <w:rPr>
          <w:spacing w:val="-5"/>
          <w:sz w:val="22"/>
        </w:rPr>
        <w:t> </w:t>
      </w:r>
      <w:r>
        <w:rPr>
          <w:spacing w:val="-4"/>
          <w:sz w:val="22"/>
        </w:rPr>
        <w:t>more</w:t>
      </w:r>
      <w:r>
        <w:rPr>
          <w:spacing w:val="-5"/>
          <w:sz w:val="22"/>
        </w:rPr>
        <w:t> </w:t>
      </w:r>
      <w:r>
        <w:rPr>
          <w:spacing w:val="-4"/>
          <w:sz w:val="22"/>
        </w:rPr>
        <w:t>locally</w:t>
      </w:r>
      <w:r>
        <w:rPr>
          <w:spacing w:val="-5"/>
          <w:sz w:val="22"/>
        </w:rPr>
        <w:t> </w:t>
      </w:r>
      <w:r>
        <w:rPr>
          <w:spacing w:val="-4"/>
          <w:sz w:val="22"/>
        </w:rPr>
        <w:t>specific</w:t>
      </w:r>
      <w:r>
        <w:rPr>
          <w:spacing w:val="-5"/>
          <w:sz w:val="22"/>
        </w:rPr>
        <w:t> </w:t>
      </w:r>
      <w:r>
        <w:rPr>
          <w:spacing w:val="-4"/>
          <w:sz w:val="22"/>
        </w:rPr>
        <w:t>result-oriented</w:t>
      </w:r>
      <w:r>
        <w:rPr>
          <w:spacing w:val="-5"/>
          <w:sz w:val="22"/>
        </w:rPr>
        <w:t> </w:t>
      </w:r>
      <w:r>
        <w:rPr>
          <w:spacing w:val="-4"/>
          <w:sz w:val="22"/>
        </w:rPr>
        <w:t>research</w:t>
      </w:r>
      <w:r>
        <w:rPr>
          <w:spacing w:val="-5"/>
          <w:sz w:val="22"/>
        </w:rPr>
        <w:t> </w:t>
      </w:r>
      <w:r>
        <w:rPr>
          <w:spacing w:val="-4"/>
          <w:sz w:val="22"/>
        </w:rPr>
        <w:t>to </w:t>
      </w:r>
      <w:r>
        <w:rPr>
          <w:sz w:val="22"/>
        </w:rPr>
        <w:t>develop techniques that can be easily applied by </w:t>
      </w:r>
      <w:r>
        <w:rPr>
          <w:spacing w:val="-2"/>
          <w:sz w:val="22"/>
        </w:rPr>
        <w:t>farmers.</w:t>
      </w:r>
    </w:p>
    <w:p>
      <w:pPr>
        <w:pStyle w:val="ListParagraph"/>
        <w:numPr>
          <w:ilvl w:val="2"/>
          <w:numId w:val="63"/>
        </w:numPr>
        <w:tabs>
          <w:tab w:pos="1439" w:val="left" w:leader="none"/>
        </w:tabs>
        <w:spacing w:line="266" w:lineRule="auto" w:before="0" w:after="0"/>
        <w:ind w:left="1439" w:right="1" w:hanging="360"/>
        <w:jc w:val="both"/>
        <w:rPr>
          <w:sz w:val="22"/>
        </w:rPr>
      </w:pPr>
      <w:r>
        <w:rPr>
          <w:sz w:val="22"/>
        </w:rPr>
        <w:t>More research is also required to address the mitigation</w:t>
      </w:r>
      <w:r>
        <w:rPr>
          <w:spacing w:val="-7"/>
          <w:sz w:val="22"/>
        </w:rPr>
        <w:t> </w:t>
      </w:r>
      <w:r>
        <w:rPr>
          <w:sz w:val="22"/>
        </w:rPr>
        <w:t>of,</w:t>
      </w:r>
      <w:r>
        <w:rPr>
          <w:spacing w:val="-7"/>
          <w:sz w:val="22"/>
        </w:rPr>
        <w:t> </w:t>
      </w:r>
      <w:r>
        <w:rPr>
          <w:sz w:val="22"/>
        </w:rPr>
        <w:t>and</w:t>
      </w:r>
      <w:r>
        <w:rPr>
          <w:spacing w:val="-7"/>
          <w:sz w:val="22"/>
        </w:rPr>
        <w:t> </w:t>
      </w:r>
      <w:r>
        <w:rPr>
          <w:sz w:val="22"/>
        </w:rPr>
        <w:t>adaptation</w:t>
      </w:r>
      <w:r>
        <w:rPr>
          <w:spacing w:val="-7"/>
          <w:sz w:val="22"/>
        </w:rPr>
        <w:t> </w:t>
      </w:r>
      <w:r>
        <w:rPr>
          <w:sz w:val="22"/>
        </w:rPr>
        <w:t>to,</w:t>
      </w:r>
      <w:r>
        <w:rPr>
          <w:spacing w:val="-7"/>
          <w:sz w:val="22"/>
        </w:rPr>
        <w:t> </w:t>
      </w:r>
      <w:r>
        <w:rPr>
          <w:sz w:val="22"/>
        </w:rPr>
        <w:t>climate</w:t>
      </w:r>
      <w:r>
        <w:rPr>
          <w:spacing w:val="-7"/>
          <w:sz w:val="22"/>
        </w:rPr>
        <w:t> </w:t>
      </w:r>
      <w:r>
        <w:rPr>
          <w:sz w:val="22"/>
        </w:rPr>
        <w:t>change.</w:t>
      </w:r>
    </w:p>
    <w:p>
      <w:pPr>
        <w:pStyle w:val="Heading7"/>
        <w:numPr>
          <w:ilvl w:val="1"/>
          <w:numId w:val="63"/>
        </w:numPr>
        <w:tabs>
          <w:tab w:pos="582" w:val="left" w:leader="none"/>
          <w:tab w:pos="584" w:val="left" w:leader="none"/>
        </w:tabs>
        <w:spacing w:line="225" w:lineRule="auto" w:before="84" w:after="0"/>
        <w:ind w:left="584" w:right="1773" w:hanging="266"/>
        <w:jc w:val="left"/>
      </w:pPr>
      <w:r>
        <w:rPr>
          <w:b w:val="0"/>
        </w:rPr>
        <w:br w:type="column"/>
      </w:r>
      <w:r>
        <w:rPr>
          <w:color w:val="2E614A"/>
          <w:w w:val="90"/>
        </w:rPr>
        <w:t>Provide more effective incentives </w:t>
      </w:r>
      <w:r>
        <w:rPr>
          <w:color w:val="2E614A"/>
          <w:w w:val="90"/>
        </w:rPr>
        <w:t>for </w:t>
      </w:r>
      <w:r>
        <w:rPr>
          <w:color w:val="2E614A"/>
          <w:spacing w:val="-2"/>
        </w:rPr>
        <w:t>researchers</w:t>
      </w:r>
    </w:p>
    <w:p>
      <w:pPr>
        <w:pStyle w:val="BodyText"/>
        <w:spacing w:before="1"/>
        <w:rPr>
          <w:b/>
          <w:sz w:val="26"/>
        </w:rPr>
      </w:pPr>
    </w:p>
    <w:p>
      <w:pPr>
        <w:pStyle w:val="ListParagraph"/>
        <w:numPr>
          <w:ilvl w:val="2"/>
          <w:numId w:val="63"/>
        </w:numPr>
        <w:tabs>
          <w:tab w:pos="679" w:val="left" w:leader="none"/>
        </w:tabs>
        <w:spacing w:line="266" w:lineRule="auto" w:before="0" w:after="0"/>
        <w:ind w:left="679" w:right="1077" w:hanging="360"/>
        <w:jc w:val="both"/>
        <w:rPr>
          <w:sz w:val="22"/>
        </w:rPr>
      </w:pPr>
      <w:r>
        <w:rPr>
          <w:spacing w:val="-4"/>
          <w:sz w:val="22"/>
        </w:rPr>
        <w:t>Agricultural</w:t>
      </w:r>
      <w:r>
        <w:rPr>
          <w:spacing w:val="-10"/>
          <w:sz w:val="22"/>
        </w:rPr>
        <w:t> </w:t>
      </w:r>
      <w:r>
        <w:rPr>
          <w:spacing w:val="-4"/>
          <w:sz w:val="22"/>
        </w:rPr>
        <w:t>research</w:t>
      </w:r>
      <w:r>
        <w:rPr>
          <w:spacing w:val="-10"/>
          <w:sz w:val="22"/>
        </w:rPr>
        <w:t> </w:t>
      </w:r>
      <w:r>
        <w:rPr>
          <w:spacing w:val="-4"/>
          <w:sz w:val="22"/>
        </w:rPr>
        <w:t>should</w:t>
      </w:r>
      <w:r>
        <w:rPr>
          <w:spacing w:val="-10"/>
          <w:sz w:val="22"/>
        </w:rPr>
        <w:t> </w:t>
      </w:r>
      <w:r>
        <w:rPr>
          <w:spacing w:val="-4"/>
          <w:sz w:val="22"/>
        </w:rPr>
        <w:t>be</w:t>
      </w:r>
      <w:r>
        <w:rPr>
          <w:spacing w:val="-9"/>
          <w:sz w:val="22"/>
        </w:rPr>
        <w:t> </w:t>
      </w:r>
      <w:r>
        <w:rPr>
          <w:spacing w:val="-4"/>
          <w:sz w:val="22"/>
        </w:rPr>
        <w:t>made</w:t>
      </w:r>
      <w:r>
        <w:rPr>
          <w:spacing w:val="-10"/>
          <w:sz w:val="22"/>
        </w:rPr>
        <w:t> </w:t>
      </w:r>
      <w:r>
        <w:rPr>
          <w:spacing w:val="-4"/>
          <w:sz w:val="22"/>
        </w:rPr>
        <w:t>attractive</w:t>
      </w:r>
      <w:r>
        <w:rPr>
          <w:spacing w:val="-10"/>
          <w:sz w:val="22"/>
        </w:rPr>
        <w:t> </w:t>
      </w:r>
      <w:r>
        <w:rPr>
          <w:spacing w:val="-4"/>
          <w:sz w:val="22"/>
        </w:rPr>
        <w:t>as</w:t>
      </w:r>
      <w:r>
        <w:rPr>
          <w:spacing w:val="-10"/>
          <w:sz w:val="22"/>
        </w:rPr>
        <w:t> </w:t>
      </w:r>
      <w:r>
        <w:rPr>
          <w:spacing w:val="-4"/>
          <w:sz w:val="22"/>
        </w:rPr>
        <w:t>a </w:t>
      </w:r>
      <w:r>
        <w:rPr>
          <w:spacing w:val="-8"/>
          <w:sz w:val="22"/>
        </w:rPr>
        <w:t>career</w:t>
      </w:r>
      <w:r>
        <w:rPr>
          <w:spacing w:val="-6"/>
          <w:sz w:val="22"/>
        </w:rPr>
        <w:t> </w:t>
      </w:r>
      <w:r>
        <w:rPr>
          <w:spacing w:val="-8"/>
          <w:sz w:val="22"/>
        </w:rPr>
        <w:t>option</w:t>
      </w:r>
      <w:r>
        <w:rPr>
          <w:spacing w:val="-6"/>
          <w:sz w:val="22"/>
        </w:rPr>
        <w:t> </w:t>
      </w:r>
      <w:r>
        <w:rPr>
          <w:spacing w:val="-8"/>
          <w:sz w:val="22"/>
        </w:rPr>
        <w:t>for</w:t>
      </w:r>
      <w:r>
        <w:rPr>
          <w:spacing w:val="-6"/>
          <w:sz w:val="22"/>
        </w:rPr>
        <w:t> </w:t>
      </w:r>
      <w:r>
        <w:rPr>
          <w:spacing w:val="-8"/>
          <w:sz w:val="22"/>
        </w:rPr>
        <w:t>young</w:t>
      </w:r>
      <w:r>
        <w:rPr>
          <w:spacing w:val="-5"/>
          <w:sz w:val="22"/>
        </w:rPr>
        <w:t> </w:t>
      </w:r>
      <w:r>
        <w:rPr>
          <w:spacing w:val="-8"/>
          <w:sz w:val="22"/>
        </w:rPr>
        <w:t>scientists</w:t>
      </w:r>
      <w:r>
        <w:rPr>
          <w:spacing w:val="-6"/>
          <w:sz w:val="22"/>
        </w:rPr>
        <w:t> </w:t>
      </w:r>
      <w:r>
        <w:rPr>
          <w:spacing w:val="-8"/>
          <w:sz w:val="22"/>
        </w:rPr>
        <w:t>through</w:t>
      </w:r>
      <w:r>
        <w:rPr>
          <w:spacing w:val="-6"/>
          <w:sz w:val="22"/>
        </w:rPr>
        <w:t> </w:t>
      </w:r>
      <w:r>
        <w:rPr>
          <w:spacing w:val="-8"/>
          <w:sz w:val="22"/>
        </w:rPr>
        <w:t>appropriate </w:t>
      </w:r>
      <w:r>
        <w:rPr>
          <w:spacing w:val="-4"/>
          <w:sz w:val="22"/>
        </w:rPr>
        <w:t>recruitment</w:t>
      </w:r>
      <w:r>
        <w:rPr>
          <w:spacing w:val="-4"/>
          <w:sz w:val="22"/>
        </w:rPr>
        <w:t> and</w:t>
      </w:r>
      <w:r>
        <w:rPr>
          <w:spacing w:val="-4"/>
          <w:sz w:val="22"/>
        </w:rPr>
        <w:t> personnel</w:t>
      </w:r>
      <w:r>
        <w:rPr>
          <w:spacing w:val="-4"/>
          <w:sz w:val="22"/>
        </w:rPr>
        <w:t> policies,</w:t>
      </w:r>
      <w:r>
        <w:rPr>
          <w:spacing w:val="-4"/>
          <w:sz w:val="22"/>
        </w:rPr>
        <w:t> incorporating</w:t>
      </w:r>
      <w:r>
        <w:rPr>
          <w:spacing w:val="-4"/>
          <w:sz w:val="22"/>
        </w:rPr>
        <w:t> a flexible</w:t>
      </w:r>
      <w:r>
        <w:rPr>
          <w:spacing w:val="-10"/>
          <w:sz w:val="22"/>
        </w:rPr>
        <w:t> </w:t>
      </w:r>
      <w:r>
        <w:rPr>
          <w:spacing w:val="-4"/>
          <w:sz w:val="22"/>
        </w:rPr>
        <w:t>system</w:t>
      </w:r>
      <w:r>
        <w:rPr>
          <w:spacing w:val="-10"/>
          <w:sz w:val="22"/>
        </w:rPr>
        <w:t> </w:t>
      </w:r>
      <w:r>
        <w:rPr>
          <w:spacing w:val="-4"/>
          <w:sz w:val="22"/>
        </w:rPr>
        <w:t>of</w:t>
      </w:r>
      <w:r>
        <w:rPr>
          <w:spacing w:val="-10"/>
          <w:sz w:val="22"/>
        </w:rPr>
        <w:t> </w:t>
      </w:r>
      <w:r>
        <w:rPr>
          <w:spacing w:val="-4"/>
          <w:sz w:val="22"/>
        </w:rPr>
        <w:t>incentives</w:t>
      </w:r>
      <w:r>
        <w:rPr>
          <w:spacing w:val="-9"/>
          <w:sz w:val="22"/>
        </w:rPr>
        <w:t> </w:t>
      </w:r>
      <w:r>
        <w:rPr>
          <w:spacing w:val="-4"/>
          <w:sz w:val="22"/>
        </w:rPr>
        <w:t>in</w:t>
      </w:r>
      <w:r>
        <w:rPr>
          <w:spacing w:val="-10"/>
          <w:sz w:val="22"/>
        </w:rPr>
        <w:t> </w:t>
      </w:r>
      <w:r>
        <w:rPr>
          <w:spacing w:val="-4"/>
          <w:sz w:val="22"/>
        </w:rPr>
        <w:t>career</w:t>
      </w:r>
      <w:r>
        <w:rPr>
          <w:spacing w:val="-10"/>
          <w:sz w:val="22"/>
        </w:rPr>
        <w:t> </w:t>
      </w:r>
      <w:r>
        <w:rPr>
          <w:spacing w:val="-4"/>
          <w:sz w:val="22"/>
        </w:rPr>
        <w:t>advancement </w:t>
      </w:r>
      <w:r>
        <w:rPr>
          <w:sz w:val="22"/>
        </w:rPr>
        <w:t>and</w:t>
      </w:r>
      <w:r>
        <w:rPr>
          <w:spacing w:val="-4"/>
          <w:sz w:val="22"/>
        </w:rPr>
        <w:t> </w:t>
      </w:r>
      <w:r>
        <w:rPr>
          <w:sz w:val="22"/>
        </w:rPr>
        <w:t>remuneration.</w:t>
      </w:r>
    </w:p>
    <w:p>
      <w:pPr>
        <w:pStyle w:val="ListParagraph"/>
        <w:numPr>
          <w:ilvl w:val="2"/>
          <w:numId w:val="63"/>
        </w:numPr>
        <w:tabs>
          <w:tab w:pos="679" w:val="left" w:leader="none"/>
        </w:tabs>
        <w:spacing w:line="266" w:lineRule="auto" w:before="0" w:after="0"/>
        <w:ind w:left="679" w:right="1077" w:hanging="360"/>
        <w:jc w:val="both"/>
        <w:rPr>
          <w:sz w:val="22"/>
        </w:rPr>
      </w:pPr>
      <w:r>
        <w:rPr>
          <w:spacing w:val="-6"/>
          <w:sz w:val="22"/>
        </w:rPr>
        <w:t>The</w:t>
      </w:r>
      <w:r>
        <w:rPr>
          <w:spacing w:val="-7"/>
          <w:sz w:val="22"/>
        </w:rPr>
        <w:t> </w:t>
      </w:r>
      <w:r>
        <w:rPr>
          <w:spacing w:val="-6"/>
          <w:sz w:val="22"/>
        </w:rPr>
        <w:t>ICAR</w:t>
      </w:r>
      <w:r>
        <w:rPr>
          <w:spacing w:val="-7"/>
          <w:sz w:val="22"/>
        </w:rPr>
        <w:t> </w:t>
      </w:r>
      <w:r>
        <w:rPr>
          <w:spacing w:val="-6"/>
          <w:sz w:val="22"/>
        </w:rPr>
        <w:t>and</w:t>
      </w:r>
      <w:r>
        <w:rPr>
          <w:spacing w:val="-7"/>
          <w:sz w:val="22"/>
        </w:rPr>
        <w:t> </w:t>
      </w:r>
      <w:r>
        <w:rPr>
          <w:spacing w:val="-6"/>
          <w:sz w:val="22"/>
        </w:rPr>
        <w:t>SAUs</w:t>
      </w:r>
      <w:r>
        <w:rPr>
          <w:spacing w:val="-7"/>
          <w:sz w:val="22"/>
        </w:rPr>
        <w:t> </w:t>
      </w:r>
      <w:r>
        <w:rPr>
          <w:spacing w:val="-6"/>
          <w:sz w:val="22"/>
        </w:rPr>
        <w:t>should</w:t>
      </w:r>
      <w:r>
        <w:rPr>
          <w:spacing w:val="-7"/>
          <w:sz w:val="22"/>
        </w:rPr>
        <w:t> </w:t>
      </w:r>
      <w:r>
        <w:rPr>
          <w:spacing w:val="-6"/>
          <w:sz w:val="22"/>
        </w:rPr>
        <w:t>promote</w:t>
      </w:r>
      <w:r>
        <w:rPr>
          <w:spacing w:val="-7"/>
          <w:sz w:val="22"/>
        </w:rPr>
        <w:t> </w:t>
      </w:r>
      <w:r>
        <w:rPr>
          <w:spacing w:val="-6"/>
          <w:sz w:val="22"/>
        </w:rPr>
        <w:t>and</w:t>
      </w:r>
      <w:r>
        <w:rPr>
          <w:spacing w:val="-7"/>
          <w:sz w:val="22"/>
        </w:rPr>
        <w:t> </w:t>
      </w:r>
      <w:r>
        <w:rPr>
          <w:spacing w:val="-6"/>
          <w:sz w:val="22"/>
        </w:rPr>
        <w:t>recognise </w:t>
      </w:r>
      <w:r>
        <w:rPr>
          <w:spacing w:val="-2"/>
          <w:sz w:val="22"/>
        </w:rPr>
        <w:t>quality</w:t>
      </w:r>
      <w:r>
        <w:rPr>
          <w:spacing w:val="-12"/>
          <w:sz w:val="22"/>
        </w:rPr>
        <w:t> </w:t>
      </w:r>
      <w:r>
        <w:rPr>
          <w:spacing w:val="-2"/>
          <w:sz w:val="22"/>
        </w:rPr>
        <w:t>and</w:t>
      </w:r>
      <w:r>
        <w:rPr>
          <w:spacing w:val="-12"/>
          <w:sz w:val="22"/>
        </w:rPr>
        <w:t> </w:t>
      </w:r>
      <w:r>
        <w:rPr>
          <w:spacing w:val="-2"/>
          <w:sz w:val="22"/>
        </w:rPr>
        <w:t>relevant</w:t>
      </w:r>
      <w:r>
        <w:rPr>
          <w:spacing w:val="-12"/>
          <w:sz w:val="22"/>
        </w:rPr>
        <w:t> </w:t>
      </w:r>
      <w:r>
        <w:rPr>
          <w:spacing w:val="-2"/>
          <w:sz w:val="22"/>
        </w:rPr>
        <w:t>scientific</w:t>
      </w:r>
      <w:r>
        <w:rPr>
          <w:spacing w:val="-11"/>
          <w:sz w:val="22"/>
        </w:rPr>
        <w:t> </w:t>
      </w:r>
      <w:r>
        <w:rPr>
          <w:spacing w:val="-2"/>
          <w:sz w:val="22"/>
        </w:rPr>
        <w:t>output</w:t>
      </w:r>
      <w:r>
        <w:rPr>
          <w:spacing w:val="-12"/>
          <w:sz w:val="22"/>
        </w:rPr>
        <w:t> </w:t>
      </w:r>
      <w:r>
        <w:rPr>
          <w:spacing w:val="-2"/>
          <w:sz w:val="22"/>
        </w:rPr>
        <w:t>by</w:t>
      </w:r>
      <w:r>
        <w:rPr>
          <w:spacing w:val="-12"/>
          <w:sz w:val="22"/>
        </w:rPr>
        <w:t> </w:t>
      </w:r>
      <w:r>
        <w:rPr>
          <w:spacing w:val="-2"/>
          <w:sz w:val="22"/>
        </w:rPr>
        <w:t>promoting </w:t>
      </w:r>
      <w:r>
        <w:rPr>
          <w:spacing w:val="-4"/>
          <w:sz w:val="22"/>
        </w:rPr>
        <w:t>research publication, establishment and working of </w:t>
      </w:r>
      <w:r>
        <w:rPr>
          <w:spacing w:val="-6"/>
          <w:sz w:val="22"/>
        </w:rPr>
        <w:t>patents,</w:t>
      </w:r>
      <w:r>
        <w:rPr>
          <w:spacing w:val="-8"/>
          <w:sz w:val="22"/>
        </w:rPr>
        <w:t> </w:t>
      </w:r>
      <w:r>
        <w:rPr>
          <w:spacing w:val="-6"/>
          <w:sz w:val="22"/>
        </w:rPr>
        <w:t>technology</w:t>
      </w:r>
      <w:r>
        <w:rPr>
          <w:spacing w:val="-8"/>
          <w:sz w:val="22"/>
        </w:rPr>
        <w:t> </w:t>
      </w:r>
      <w:r>
        <w:rPr>
          <w:spacing w:val="-6"/>
          <w:sz w:val="22"/>
        </w:rPr>
        <w:t>development</w:t>
      </w:r>
      <w:r>
        <w:rPr>
          <w:spacing w:val="-8"/>
          <w:sz w:val="22"/>
        </w:rPr>
        <w:t> </w:t>
      </w:r>
      <w:r>
        <w:rPr>
          <w:spacing w:val="-6"/>
          <w:sz w:val="22"/>
        </w:rPr>
        <w:t>and</w:t>
      </w:r>
      <w:r>
        <w:rPr>
          <w:spacing w:val="-7"/>
          <w:sz w:val="22"/>
        </w:rPr>
        <w:t> </w:t>
      </w:r>
      <w:r>
        <w:rPr>
          <w:spacing w:val="-6"/>
          <w:sz w:val="22"/>
        </w:rPr>
        <w:t>transfer.</w:t>
      </w:r>
      <w:r>
        <w:rPr>
          <w:spacing w:val="-8"/>
          <w:sz w:val="22"/>
        </w:rPr>
        <w:t> </w:t>
      </w:r>
      <w:r>
        <w:rPr>
          <w:spacing w:val="-6"/>
          <w:sz w:val="22"/>
        </w:rPr>
        <w:t>These </w:t>
      </w:r>
      <w:r>
        <w:rPr>
          <w:spacing w:val="-2"/>
          <w:sz w:val="22"/>
        </w:rPr>
        <w:t>should</w:t>
      </w:r>
      <w:r>
        <w:rPr>
          <w:spacing w:val="-12"/>
          <w:sz w:val="22"/>
        </w:rPr>
        <w:t> </w:t>
      </w:r>
      <w:r>
        <w:rPr>
          <w:spacing w:val="-2"/>
          <w:sz w:val="22"/>
        </w:rPr>
        <w:t>be</w:t>
      </w:r>
      <w:r>
        <w:rPr>
          <w:spacing w:val="-12"/>
          <w:sz w:val="22"/>
        </w:rPr>
        <w:t> </w:t>
      </w:r>
      <w:r>
        <w:rPr>
          <w:spacing w:val="-2"/>
          <w:sz w:val="22"/>
        </w:rPr>
        <w:t>accompanied</w:t>
      </w:r>
      <w:r>
        <w:rPr>
          <w:spacing w:val="-12"/>
          <w:sz w:val="22"/>
        </w:rPr>
        <w:t> </w:t>
      </w:r>
      <w:r>
        <w:rPr>
          <w:spacing w:val="-2"/>
          <w:sz w:val="22"/>
        </w:rPr>
        <w:t>by</w:t>
      </w:r>
      <w:r>
        <w:rPr>
          <w:spacing w:val="-11"/>
          <w:sz w:val="22"/>
        </w:rPr>
        <w:t> </w:t>
      </w:r>
      <w:r>
        <w:rPr>
          <w:spacing w:val="-2"/>
          <w:sz w:val="22"/>
        </w:rPr>
        <w:t>strong</w:t>
      </w:r>
      <w:r>
        <w:rPr>
          <w:spacing w:val="-12"/>
          <w:sz w:val="22"/>
        </w:rPr>
        <w:t> </w:t>
      </w:r>
      <w:r>
        <w:rPr>
          <w:spacing w:val="-2"/>
          <w:sz w:val="22"/>
        </w:rPr>
        <w:t>disincentives</w:t>
      </w:r>
      <w:r>
        <w:rPr>
          <w:spacing w:val="-12"/>
          <w:sz w:val="22"/>
        </w:rPr>
        <w:t> </w:t>
      </w:r>
      <w:r>
        <w:rPr>
          <w:spacing w:val="-2"/>
          <w:sz w:val="22"/>
        </w:rPr>
        <w:t>for </w:t>
      </w:r>
      <w:r>
        <w:rPr>
          <w:sz w:val="22"/>
        </w:rPr>
        <w:t>unethical</w:t>
      </w:r>
      <w:r>
        <w:rPr>
          <w:spacing w:val="-1"/>
          <w:sz w:val="22"/>
        </w:rPr>
        <w:t> </w:t>
      </w:r>
      <w:r>
        <w:rPr>
          <w:sz w:val="22"/>
        </w:rPr>
        <w:t>and</w:t>
      </w:r>
      <w:r>
        <w:rPr>
          <w:spacing w:val="-1"/>
          <w:sz w:val="22"/>
        </w:rPr>
        <w:t> </w:t>
      </w:r>
      <w:r>
        <w:rPr>
          <w:sz w:val="22"/>
        </w:rPr>
        <w:t>fraudulent</w:t>
      </w:r>
      <w:r>
        <w:rPr>
          <w:spacing w:val="-1"/>
          <w:sz w:val="22"/>
        </w:rPr>
        <w:t> </w:t>
      </w:r>
      <w:r>
        <w:rPr>
          <w:sz w:val="22"/>
        </w:rPr>
        <w:t>professional</w:t>
      </w:r>
      <w:r>
        <w:rPr>
          <w:spacing w:val="-1"/>
          <w:sz w:val="22"/>
        </w:rPr>
        <w:t> </w:t>
      </w:r>
      <w:r>
        <w:rPr>
          <w:sz w:val="22"/>
        </w:rPr>
        <w:t>practices.</w:t>
      </w:r>
    </w:p>
    <w:p>
      <w:pPr>
        <w:pStyle w:val="ListParagraph"/>
        <w:numPr>
          <w:ilvl w:val="2"/>
          <w:numId w:val="63"/>
        </w:numPr>
        <w:tabs>
          <w:tab w:pos="679" w:val="left" w:leader="none"/>
        </w:tabs>
        <w:spacing w:line="266" w:lineRule="auto" w:before="0" w:after="0"/>
        <w:ind w:left="679" w:right="1078" w:hanging="360"/>
        <w:jc w:val="both"/>
        <w:rPr>
          <w:sz w:val="22"/>
        </w:rPr>
      </w:pPr>
      <w:r>
        <w:rPr>
          <w:spacing w:val="-8"/>
          <w:sz w:val="22"/>
        </w:rPr>
        <w:t>In</w:t>
      </w:r>
      <w:r>
        <w:rPr>
          <w:spacing w:val="-3"/>
          <w:sz w:val="22"/>
        </w:rPr>
        <w:t> </w:t>
      </w:r>
      <w:r>
        <w:rPr>
          <w:spacing w:val="-8"/>
          <w:sz w:val="22"/>
        </w:rPr>
        <w:t>order</w:t>
      </w:r>
      <w:r>
        <w:rPr>
          <w:spacing w:val="-3"/>
          <w:sz w:val="22"/>
        </w:rPr>
        <w:t> </w:t>
      </w:r>
      <w:r>
        <w:rPr>
          <w:spacing w:val="-8"/>
          <w:sz w:val="22"/>
        </w:rPr>
        <w:t>to</w:t>
      </w:r>
      <w:r>
        <w:rPr>
          <w:spacing w:val="-3"/>
          <w:sz w:val="22"/>
        </w:rPr>
        <w:t> </w:t>
      </w:r>
      <w:r>
        <w:rPr>
          <w:spacing w:val="-8"/>
          <w:sz w:val="22"/>
        </w:rPr>
        <w:t>promote</w:t>
      </w:r>
      <w:r>
        <w:rPr>
          <w:spacing w:val="-3"/>
          <w:sz w:val="22"/>
        </w:rPr>
        <w:t> </w:t>
      </w:r>
      <w:r>
        <w:rPr>
          <w:spacing w:val="-8"/>
          <w:sz w:val="22"/>
        </w:rPr>
        <w:t>team-based</w:t>
      </w:r>
      <w:r>
        <w:rPr>
          <w:spacing w:val="-3"/>
          <w:sz w:val="22"/>
        </w:rPr>
        <w:t> </w:t>
      </w:r>
      <w:r>
        <w:rPr>
          <w:spacing w:val="-8"/>
          <w:sz w:val="22"/>
        </w:rPr>
        <w:t>research,</w:t>
      </w:r>
      <w:r>
        <w:rPr>
          <w:spacing w:val="-3"/>
          <w:sz w:val="22"/>
        </w:rPr>
        <w:t> </w:t>
      </w:r>
      <w:r>
        <w:rPr>
          <w:spacing w:val="-8"/>
          <w:sz w:val="22"/>
        </w:rPr>
        <w:t>a</w:t>
      </w:r>
      <w:r>
        <w:rPr>
          <w:spacing w:val="-3"/>
          <w:sz w:val="22"/>
        </w:rPr>
        <w:t> </w:t>
      </w:r>
      <w:r>
        <w:rPr>
          <w:spacing w:val="-8"/>
          <w:sz w:val="22"/>
        </w:rPr>
        <w:t>system</w:t>
      </w:r>
      <w:r>
        <w:rPr>
          <w:spacing w:val="-3"/>
          <w:sz w:val="22"/>
        </w:rPr>
        <w:t> </w:t>
      </w:r>
      <w:r>
        <w:rPr>
          <w:spacing w:val="-8"/>
          <w:sz w:val="22"/>
        </w:rPr>
        <w:t>of </w:t>
      </w:r>
      <w:r>
        <w:rPr>
          <w:spacing w:val="-4"/>
          <w:sz w:val="22"/>
        </w:rPr>
        <w:t>equitable</w:t>
      </w:r>
      <w:r>
        <w:rPr>
          <w:spacing w:val="-10"/>
          <w:sz w:val="22"/>
        </w:rPr>
        <w:t> </w:t>
      </w:r>
      <w:r>
        <w:rPr>
          <w:spacing w:val="-4"/>
          <w:sz w:val="22"/>
        </w:rPr>
        <w:t>incentives</w:t>
      </w:r>
      <w:r>
        <w:rPr>
          <w:spacing w:val="-9"/>
          <w:sz w:val="22"/>
        </w:rPr>
        <w:t> </w:t>
      </w:r>
      <w:r>
        <w:rPr>
          <w:spacing w:val="-4"/>
          <w:sz w:val="22"/>
        </w:rPr>
        <w:t>for</w:t>
      </w:r>
      <w:r>
        <w:rPr>
          <w:spacing w:val="-10"/>
          <w:sz w:val="22"/>
        </w:rPr>
        <w:t> </w:t>
      </w:r>
      <w:r>
        <w:rPr>
          <w:spacing w:val="-4"/>
          <w:sz w:val="22"/>
        </w:rPr>
        <w:t>the</w:t>
      </w:r>
      <w:r>
        <w:rPr>
          <w:spacing w:val="-9"/>
          <w:sz w:val="22"/>
        </w:rPr>
        <w:t> </w:t>
      </w:r>
      <w:r>
        <w:rPr>
          <w:spacing w:val="-4"/>
          <w:sz w:val="22"/>
        </w:rPr>
        <w:t>leader</w:t>
      </w:r>
      <w:r>
        <w:rPr>
          <w:spacing w:val="-10"/>
          <w:sz w:val="22"/>
        </w:rPr>
        <w:t> </w:t>
      </w:r>
      <w:r>
        <w:rPr>
          <w:spacing w:val="-4"/>
          <w:sz w:val="22"/>
        </w:rPr>
        <w:t>and</w:t>
      </w:r>
      <w:r>
        <w:rPr>
          <w:spacing w:val="-9"/>
          <w:sz w:val="22"/>
        </w:rPr>
        <w:t> </w:t>
      </w:r>
      <w:r>
        <w:rPr>
          <w:spacing w:val="-4"/>
          <w:sz w:val="22"/>
        </w:rPr>
        <w:t>the</w:t>
      </w:r>
      <w:r>
        <w:rPr>
          <w:spacing w:val="-10"/>
          <w:sz w:val="22"/>
        </w:rPr>
        <w:t> </w:t>
      </w:r>
      <w:r>
        <w:rPr>
          <w:spacing w:val="-4"/>
          <w:sz w:val="22"/>
        </w:rPr>
        <w:t>members </w:t>
      </w:r>
      <w:r>
        <w:rPr>
          <w:sz w:val="22"/>
        </w:rPr>
        <w:t>of the team should be devised.</w:t>
      </w:r>
    </w:p>
    <w:p>
      <w:pPr>
        <w:pStyle w:val="ListParagraph"/>
        <w:numPr>
          <w:ilvl w:val="2"/>
          <w:numId w:val="63"/>
        </w:numPr>
        <w:tabs>
          <w:tab w:pos="679" w:val="left" w:leader="none"/>
        </w:tabs>
        <w:spacing w:line="266" w:lineRule="auto" w:before="0" w:after="0"/>
        <w:ind w:left="679" w:right="1077" w:hanging="360"/>
        <w:jc w:val="both"/>
        <w:rPr>
          <w:sz w:val="22"/>
        </w:rPr>
      </w:pPr>
      <w:r>
        <w:rPr>
          <w:sz w:val="22"/>
        </w:rPr>
        <w:t>As in the ICAR, the SAUs should introduce sabbatical leave, giving scientists the freedom to </w:t>
      </w:r>
      <w:r>
        <w:rPr>
          <w:spacing w:val="-4"/>
          <w:sz w:val="22"/>
        </w:rPr>
        <w:t>choose</w:t>
      </w:r>
      <w:r>
        <w:rPr>
          <w:spacing w:val="-5"/>
          <w:sz w:val="22"/>
        </w:rPr>
        <w:t> </w:t>
      </w:r>
      <w:r>
        <w:rPr>
          <w:spacing w:val="-4"/>
          <w:sz w:val="22"/>
        </w:rPr>
        <w:t>any</w:t>
      </w:r>
      <w:r>
        <w:rPr>
          <w:spacing w:val="-5"/>
          <w:sz w:val="22"/>
        </w:rPr>
        <w:t> </w:t>
      </w:r>
      <w:r>
        <w:rPr>
          <w:spacing w:val="-4"/>
          <w:sz w:val="22"/>
        </w:rPr>
        <w:t>laboratory</w:t>
      </w:r>
      <w:r>
        <w:rPr>
          <w:spacing w:val="-5"/>
          <w:sz w:val="22"/>
        </w:rPr>
        <w:t> </w:t>
      </w:r>
      <w:r>
        <w:rPr>
          <w:spacing w:val="-4"/>
          <w:sz w:val="22"/>
        </w:rPr>
        <w:t>or</w:t>
      </w:r>
      <w:r>
        <w:rPr>
          <w:spacing w:val="-5"/>
          <w:sz w:val="22"/>
        </w:rPr>
        <w:t> </w:t>
      </w:r>
      <w:r>
        <w:rPr>
          <w:spacing w:val="-4"/>
          <w:sz w:val="22"/>
        </w:rPr>
        <w:t>relevant</w:t>
      </w:r>
      <w:r>
        <w:rPr>
          <w:spacing w:val="-5"/>
          <w:sz w:val="22"/>
        </w:rPr>
        <w:t> </w:t>
      </w:r>
      <w:r>
        <w:rPr>
          <w:spacing w:val="-4"/>
          <w:sz w:val="22"/>
        </w:rPr>
        <w:t>institution</w:t>
      </w:r>
      <w:r>
        <w:rPr>
          <w:spacing w:val="-5"/>
          <w:sz w:val="22"/>
        </w:rPr>
        <w:t> </w:t>
      </w:r>
      <w:r>
        <w:rPr>
          <w:spacing w:val="-4"/>
          <w:sz w:val="22"/>
        </w:rPr>
        <w:t>within </w:t>
      </w:r>
      <w:r>
        <w:rPr>
          <w:sz w:val="22"/>
        </w:rPr>
        <w:t>or</w:t>
      </w:r>
      <w:r>
        <w:rPr>
          <w:spacing w:val="-14"/>
          <w:sz w:val="22"/>
        </w:rPr>
        <w:t> </w:t>
      </w:r>
      <w:r>
        <w:rPr>
          <w:sz w:val="22"/>
        </w:rPr>
        <w:t>outside</w:t>
      </w:r>
      <w:r>
        <w:rPr>
          <w:spacing w:val="-14"/>
          <w:sz w:val="22"/>
        </w:rPr>
        <w:t> </w:t>
      </w:r>
      <w:r>
        <w:rPr>
          <w:sz w:val="22"/>
        </w:rPr>
        <w:t>the</w:t>
      </w:r>
      <w:r>
        <w:rPr>
          <w:spacing w:val="-14"/>
          <w:sz w:val="22"/>
        </w:rPr>
        <w:t> </w:t>
      </w:r>
      <w:r>
        <w:rPr>
          <w:sz w:val="22"/>
        </w:rPr>
        <w:t>country</w:t>
      </w:r>
      <w:r>
        <w:rPr>
          <w:spacing w:val="-13"/>
          <w:sz w:val="22"/>
        </w:rPr>
        <w:t> </w:t>
      </w:r>
      <w:r>
        <w:rPr>
          <w:sz w:val="22"/>
        </w:rPr>
        <w:t>for</w:t>
      </w:r>
      <w:r>
        <w:rPr>
          <w:spacing w:val="-14"/>
          <w:sz w:val="22"/>
        </w:rPr>
        <w:t> </w:t>
      </w:r>
      <w:r>
        <w:rPr>
          <w:sz w:val="22"/>
        </w:rPr>
        <w:t>advanced</w:t>
      </w:r>
      <w:r>
        <w:rPr>
          <w:spacing w:val="-14"/>
          <w:sz w:val="22"/>
        </w:rPr>
        <w:t> </w:t>
      </w:r>
      <w:r>
        <w:rPr>
          <w:sz w:val="22"/>
        </w:rPr>
        <w:t>studies</w:t>
      </w:r>
      <w:r>
        <w:rPr>
          <w:spacing w:val="-14"/>
          <w:sz w:val="22"/>
        </w:rPr>
        <w:t> </w:t>
      </w:r>
      <w:r>
        <w:rPr>
          <w:sz w:val="22"/>
        </w:rPr>
        <w:t>during </w:t>
      </w:r>
      <w:r>
        <w:rPr>
          <w:spacing w:val="-6"/>
          <w:sz w:val="22"/>
        </w:rPr>
        <w:t>the</w:t>
      </w:r>
      <w:r>
        <w:rPr>
          <w:spacing w:val="-8"/>
          <w:sz w:val="22"/>
        </w:rPr>
        <w:t> </w:t>
      </w:r>
      <w:r>
        <w:rPr>
          <w:spacing w:val="-6"/>
          <w:sz w:val="22"/>
        </w:rPr>
        <w:t>sabbatical</w:t>
      </w:r>
      <w:r>
        <w:rPr>
          <w:spacing w:val="-8"/>
          <w:sz w:val="22"/>
        </w:rPr>
        <w:t> </w:t>
      </w:r>
      <w:r>
        <w:rPr>
          <w:spacing w:val="-6"/>
          <w:sz w:val="22"/>
        </w:rPr>
        <w:t>period</w:t>
      </w:r>
      <w:r>
        <w:rPr>
          <w:spacing w:val="-8"/>
          <w:sz w:val="22"/>
        </w:rPr>
        <w:t> </w:t>
      </w:r>
      <w:r>
        <w:rPr>
          <w:spacing w:val="-6"/>
          <w:sz w:val="22"/>
        </w:rPr>
        <w:t>with</w:t>
      </w:r>
      <w:r>
        <w:rPr>
          <w:spacing w:val="-7"/>
          <w:sz w:val="22"/>
        </w:rPr>
        <w:t> </w:t>
      </w:r>
      <w:r>
        <w:rPr>
          <w:spacing w:val="-6"/>
          <w:sz w:val="22"/>
        </w:rPr>
        <w:t>full</w:t>
      </w:r>
      <w:r>
        <w:rPr>
          <w:spacing w:val="-8"/>
          <w:sz w:val="22"/>
        </w:rPr>
        <w:t> </w:t>
      </w:r>
      <w:r>
        <w:rPr>
          <w:spacing w:val="-6"/>
          <w:sz w:val="22"/>
        </w:rPr>
        <w:t>pay.</w:t>
      </w:r>
      <w:r>
        <w:rPr>
          <w:spacing w:val="-8"/>
          <w:sz w:val="22"/>
        </w:rPr>
        <w:t> </w:t>
      </w:r>
      <w:r>
        <w:rPr>
          <w:spacing w:val="-6"/>
          <w:sz w:val="22"/>
        </w:rPr>
        <w:t>In</w:t>
      </w:r>
      <w:r>
        <w:rPr>
          <w:spacing w:val="-8"/>
          <w:sz w:val="22"/>
        </w:rPr>
        <w:t> </w:t>
      </w:r>
      <w:r>
        <w:rPr>
          <w:spacing w:val="-6"/>
          <w:sz w:val="22"/>
        </w:rPr>
        <w:t>addition,</w:t>
      </w:r>
      <w:r>
        <w:rPr>
          <w:spacing w:val="-7"/>
          <w:sz w:val="22"/>
        </w:rPr>
        <w:t> </w:t>
      </w:r>
      <w:r>
        <w:rPr>
          <w:spacing w:val="-6"/>
          <w:sz w:val="22"/>
        </w:rPr>
        <w:t>leave </w:t>
      </w:r>
      <w:r>
        <w:rPr>
          <w:spacing w:val="-8"/>
          <w:sz w:val="22"/>
        </w:rPr>
        <w:t>may</w:t>
      </w:r>
      <w:r>
        <w:rPr>
          <w:spacing w:val="-2"/>
          <w:sz w:val="22"/>
        </w:rPr>
        <w:t> </w:t>
      </w:r>
      <w:r>
        <w:rPr>
          <w:spacing w:val="-8"/>
          <w:sz w:val="22"/>
        </w:rPr>
        <w:t>be</w:t>
      </w:r>
      <w:r>
        <w:rPr>
          <w:spacing w:val="-2"/>
          <w:sz w:val="22"/>
        </w:rPr>
        <w:t> </w:t>
      </w:r>
      <w:r>
        <w:rPr>
          <w:spacing w:val="-8"/>
          <w:sz w:val="22"/>
        </w:rPr>
        <w:t>given</w:t>
      </w:r>
      <w:r>
        <w:rPr>
          <w:spacing w:val="-2"/>
          <w:sz w:val="22"/>
        </w:rPr>
        <w:t> </w:t>
      </w:r>
      <w:r>
        <w:rPr>
          <w:spacing w:val="-8"/>
          <w:sz w:val="22"/>
        </w:rPr>
        <w:t>to</w:t>
      </w:r>
      <w:r>
        <w:rPr>
          <w:spacing w:val="-2"/>
          <w:sz w:val="22"/>
        </w:rPr>
        <w:t> </w:t>
      </w:r>
      <w:r>
        <w:rPr>
          <w:spacing w:val="-8"/>
          <w:sz w:val="22"/>
        </w:rPr>
        <w:t>those</w:t>
      </w:r>
      <w:r>
        <w:rPr>
          <w:spacing w:val="-2"/>
          <w:sz w:val="22"/>
        </w:rPr>
        <w:t> </w:t>
      </w:r>
      <w:r>
        <w:rPr>
          <w:spacing w:val="-8"/>
          <w:sz w:val="22"/>
        </w:rPr>
        <w:t>scientists</w:t>
      </w:r>
      <w:r>
        <w:rPr>
          <w:spacing w:val="-2"/>
          <w:sz w:val="22"/>
        </w:rPr>
        <w:t> </w:t>
      </w:r>
      <w:r>
        <w:rPr>
          <w:spacing w:val="-8"/>
          <w:sz w:val="22"/>
        </w:rPr>
        <w:t>who</w:t>
      </w:r>
      <w:r>
        <w:rPr>
          <w:spacing w:val="-2"/>
          <w:sz w:val="22"/>
        </w:rPr>
        <w:t> </w:t>
      </w:r>
      <w:r>
        <w:rPr>
          <w:spacing w:val="-8"/>
          <w:sz w:val="22"/>
        </w:rPr>
        <w:t>have</w:t>
      </w:r>
      <w:r>
        <w:rPr>
          <w:spacing w:val="-2"/>
          <w:sz w:val="22"/>
        </w:rPr>
        <w:t> </w:t>
      </w:r>
      <w:r>
        <w:rPr>
          <w:spacing w:val="-8"/>
          <w:sz w:val="22"/>
        </w:rPr>
        <w:t>developed </w:t>
      </w:r>
      <w:r>
        <w:rPr>
          <w:sz w:val="22"/>
        </w:rPr>
        <w:t>a technology area (including a patent) with high </w:t>
      </w:r>
      <w:r>
        <w:rPr>
          <w:spacing w:val="-2"/>
          <w:sz w:val="22"/>
        </w:rPr>
        <w:t>public</w:t>
      </w:r>
      <w:r>
        <w:rPr>
          <w:spacing w:val="-12"/>
          <w:sz w:val="22"/>
        </w:rPr>
        <w:t> </w:t>
      </w:r>
      <w:r>
        <w:rPr>
          <w:spacing w:val="-2"/>
          <w:sz w:val="22"/>
        </w:rPr>
        <w:t>interest</w:t>
      </w:r>
      <w:r>
        <w:rPr>
          <w:spacing w:val="-12"/>
          <w:sz w:val="22"/>
        </w:rPr>
        <w:t> </w:t>
      </w:r>
      <w:r>
        <w:rPr>
          <w:spacing w:val="-2"/>
          <w:sz w:val="22"/>
        </w:rPr>
        <w:t>value,</w:t>
      </w:r>
      <w:r>
        <w:rPr>
          <w:spacing w:val="-12"/>
          <w:sz w:val="22"/>
        </w:rPr>
        <w:t> </w:t>
      </w:r>
      <w:r>
        <w:rPr>
          <w:spacing w:val="-2"/>
          <w:sz w:val="22"/>
        </w:rPr>
        <w:t>to</w:t>
      </w:r>
      <w:r>
        <w:rPr>
          <w:spacing w:val="-11"/>
          <w:sz w:val="22"/>
        </w:rPr>
        <w:t> </w:t>
      </w:r>
      <w:r>
        <w:rPr>
          <w:spacing w:val="-2"/>
          <w:sz w:val="22"/>
        </w:rPr>
        <w:t>work</w:t>
      </w:r>
      <w:r>
        <w:rPr>
          <w:spacing w:val="-12"/>
          <w:sz w:val="22"/>
        </w:rPr>
        <w:t> </w:t>
      </w:r>
      <w:r>
        <w:rPr>
          <w:spacing w:val="-2"/>
          <w:sz w:val="22"/>
        </w:rPr>
        <w:t>on</w:t>
      </w:r>
      <w:r>
        <w:rPr>
          <w:spacing w:val="-12"/>
          <w:sz w:val="22"/>
        </w:rPr>
        <w:t> </w:t>
      </w:r>
      <w:r>
        <w:rPr>
          <w:spacing w:val="-2"/>
          <w:sz w:val="22"/>
        </w:rPr>
        <w:t>such</w:t>
      </w:r>
      <w:r>
        <w:rPr>
          <w:spacing w:val="-12"/>
          <w:sz w:val="22"/>
        </w:rPr>
        <w:t> </w:t>
      </w:r>
      <w:r>
        <w:rPr>
          <w:spacing w:val="-2"/>
          <w:sz w:val="22"/>
        </w:rPr>
        <w:t>development in</w:t>
      </w:r>
      <w:r>
        <w:rPr>
          <w:spacing w:val="-9"/>
          <w:sz w:val="22"/>
        </w:rPr>
        <w:t> </w:t>
      </w:r>
      <w:r>
        <w:rPr>
          <w:spacing w:val="-2"/>
          <w:sz w:val="22"/>
        </w:rPr>
        <w:t>their</w:t>
      </w:r>
      <w:r>
        <w:rPr>
          <w:spacing w:val="-9"/>
          <w:sz w:val="22"/>
        </w:rPr>
        <w:t> </w:t>
      </w:r>
      <w:r>
        <w:rPr>
          <w:spacing w:val="-2"/>
          <w:sz w:val="22"/>
        </w:rPr>
        <w:t>own</w:t>
      </w:r>
      <w:r>
        <w:rPr>
          <w:spacing w:val="-9"/>
          <w:sz w:val="22"/>
        </w:rPr>
        <w:t> </w:t>
      </w:r>
      <w:r>
        <w:rPr>
          <w:spacing w:val="-2"/>
          <w:sz w:val="22"/>
        </w:rPr>
        <w:t>capacity,</w:t>
      </w:r>
      <w:r>
        <w:rPr>
          <w:spacing w:val="-9"/>
          <w:sz w:val="22"/>
        </w:rPr>
        <w:t> </w:t>
      </w:r>
      <w:r>
        <w:rPr>
          <w:spacing w:val="-2"/>
          <w:sz w:val="22"/>
        </w:rPr>
        <w:t>in</w:t>
      </w:r>
      <w:r>
        <w:rPr>
          <w:spacing w:val="-9"/>
          <w:sz w:val="22"/>
        </w:rPr>
        <w:t> </w:t>
      </w:r>
      <w:r>
        <w:rPr>
          <w:spacing w:val="-2"/>
          <w:sz w:val="22"/>
        </w:rPr>
        <w:t>case</w:t>
      </w:r>
      <w:r>
        <w:rPr>
          <w:spacing w:val="-9"/>
          <w:sz w:val="22"/>
        </w:rPr>
        <w:t> </w:t>
      </w:r>
      <w:r>
        <w:rPr>
          <w:spacing w:val="-2"/>
          <w:sz w:val="22"/>
        </w:rPr>
        <w:t>the</w:t>
      </w:r>
      <w:r>
        <w:rPr>
          <w:spacing w:val="-9"/>
          <w:sz w:val="22"/>
        </w:rPr>
        <w:t> </w:t>
      </w:r>
      <w:r>
        <w:rPr>
          <w:spacing w:val="-2"/>
          <w:sz w:val="22"/>
        </w:rPr>
        <w:t>technology</w:t>
      </w:r>
      <w:r>
        <w:rPr>
          <w:spacing w:val="-9"/>
          <w:sz w:val="22"/>
        </w:rPr>
        <w:t> </w:t>
      </w:r>
      <w:r>
        <w:rPr>
          <w:spacing w:val="-2"/>
          <w:sz w:val="22"/>
        </w:rPr>
        <w:t>is</w:t>
      </w:r>
      <w:r>
        <w:rPr>
          <w:spacing w:val="-9"/>
          <w:sz w:val="22"/>
        </w:rPr>
        <w:t> </w:t>
      </w:r>
      <w:r>
        <w:rPr>
          <w:spacing w:val="-2"/>
          <w:sz w:val="22"/>
        </w:rPr>
        <w:t>not </w:t>
      </w:r>
      <w:r>
        <w:rPr>
          <w:sz w:val="22"/>
        </w:rPr>
        <w:t>being</w:t>
      </w:r>
      <w:r>
        <w:rPr>
          <w:spacing w:val="-6"/>
          <w:sz w:val="22"/>
        </w:rPr>
        <w:t> </w:t>
      </w:r>
      <w:r>
        <w:rPr>
          <w:sz w:val="22"/>
        </w:rPr>
        <w:t>developed</w:t>
      </w:r>
      <w:r>
        <w:rPr>
          <w:spacing w:val="-6"/>
          <w:sz w:val="22"/>
        </w:rPr>
        <w:t> </w:t>
      </w:r>
      <w:r>
        <w:rPr>
          <w:sz w:val="22"/>
        </w:rPr>
        <w:t>by</w:t>
      </w:r>
      <w:r>
        <w:rPr>
          <w:spacing w:val="-6"/>
          <w:sz w:val="22"/>
        </w:rPr>
        <w:t> </w:t>
      </w:r>
      <w:r>
        <w:rPr>
          <w:sz w:val="22"/>
        </w:rPr>
        <w:t>other</w:t>
      </w:r>
      <w:r>
        <w:rPr>
          <w:spacing w:val="-6"/>
          <w:sz w:val="22"/>
        </w:rPr>
        <w:t> </w:t>
      </w:r>
      <w:r>
        <w:rPr>
          <w:sz w:val="22"/>
        </w:rPr>
        <w:t>parties.</w:t>
      </w:r>
    </w:p>
    <w:p>
      <w:pPr>
        <w:pStyle w:val="Heading7"/>
        <w:numPr>
          <w:ilvl w:val="1"/>
          <w:numId w:val="63"/>
        </w:numPr>
        <w:tabs>
          <w:tab w:pos="582" w:val="left" w:leader="none"/>
          <w:tab w:pos="584" w:val="left" w:leader="none"/>
        </w:tabs>
        <w:spacing w:line="225" w:lineRule="auto" w:before="238" w:after="0"/>
        <w:ind w:left="584" w:right="1569" w:hanging="266"/>
        <w:jc w:val="left"/>
      </w:pPr>
      <w:r>
        <w:rPr>
          <w:color w:val="2E614A"/>
          <w:spacing w:val="-4"/>
        </w:rPr>
        <w:t>Change</w:t>
      </w:r>
      <w:r>
        <w:rPr>
          <w:color w:val="2E614A"/>
          <w:spacing w:val="-15"/>
        </w:rPr>
        <w:t> </w:t>
      </w:r>
      <w:r>
        <w:rPr>
          <w:color w:val="2E614A"/>
          <w:spacing w:val="-4"/>
        </w:rPr>
        <w:t>the</w:t>
      </w:r>
      <w:r>
        <w:rPr>
          <w:color w:val="2E614A"/>
          <w:spacing w:val="-12"/>
        </w:rPr>
        <w:t> </w:t>
      </w:r>
      <w:r>
        <w:rPr>
          <w:color w:val="2E614A"/>
          <w:spacing w:val="-4"/>
        </w:rPr>
        <w:t>curricula</w:t>
      </w:r>
      <w:r>
        <w:rPr>
          <w:color w:val="2E614A"/>
          <w:spacing w:val="-12"/>
        </w:rPr>
        <w:t> </w:t>
      </w:r>
      <w:r>
        <w:rPr>
          <w:color w:val="2E614A"/>
          <w:spacing w:val="-4"/>
        </w:rPr>
        <w:t>in</w:t>
      </w:r>
      <w:r>
        <w:rPr>
          <w:color w:val="2E614A"/>
          <w:spacing w:val="-12"/>
        </w:rPr>
        <w:t> </w:t>
      </w:r>
      <w:r>
        <w:rPr>
          <w:color w:val="2E614A"/>
          <w:spacing w:val="-4"/>
        </w:rPr>
        <w:t>agricultural </w:t>
      </w:r>
      <w:r>
        <w:rPr>
          <w:color w:val="2E614A"/>
          <w:w w:val="90"/>
        </w:rPr>
        <w:t>universities</w:t>
      </w:r>
      <w:r>
        <w:rPr>
          <w:color w:val="2E614A"/>
          <w:spacing w:val="-3"/>
          <w:w w:val="90"/>
        </w:rPr>
        <w:t> </w:t>
      </w:r>
      <w:r>
        <w:rPr>
          <w:color w:val="2E614A"/>
          <w:w w:val="90"/>
        </w:rPr>
        <w:t>to</w:t>
      </w:r>
      <w:r>
        <w:rPr>
          <w:color w:val="2E614A"/>
          <w:spacing w:val="-3"/>
          <w:w w:val="90"/>
        </w:rPr>
        <w:t> </w:t>
      </w:r>
      <w:r>
        <w:rPr>
          <w:color w:val="2E614A"/>
          <w:w w:val="90"/>
        </w:rPr>
        <w:t>ensure</w:t>
      </w:r>
      <w:r>
        <w:rPr>
          <w:color w:val="2E614A"/>
          <w:spacing w:val="-3"/>
          <w:w w:val="90"/>
        </w:rPr>
        <w:t> </w:t>
      </w:r>
      <w:r>
        <w:rPr>
          <w:color w:val="2E614A"/>
          <w:w w:val="90"/>
        </w:rPr>
        <w:t>greater</w:t>
      </w:r>
      <w:r>
        <w:rPr>
          <w:color w:val="2E614A"/>
          <w:spacing w:val="-3"/>
          <w:w w:val="90"/>
        </w:rPr>
        <w:t> </w:t>
      </w:r>
      <w:r>
        <w:rPr>
          <w:color w:val="2E614A"/>
          <w:w w:val="90"/>
        </w:rPr>
        <w:t>relevance</w:t>
      </w:r>
    </w:p>
    <w:p>
      <w:pPr>
        <w:pStyle w:val="ListParagraph"/>
        <w:numPr>
          <w:ilvl w:val="2"/>
          <w:numId w:val="63"/>
        </w:numPr>
        <w:tabs>
          <w:tab w:pos="679" w:val="left" w:leader="none"/>
        </w:tabs>
        <w:spacing w:line="266" w:lineRule="auto" w:before="201" w:after="0"/>
        <w:ind w:left="679" w:right="1077" w:hanging="360"/>
        <w:jc w:val="both"/>
        <w:rPr>
          <w:sz w:val="22"/>
        </w:rPr>
      </w:pPr>
      <w:r>
        <w:rPr>
          <w:sz w:val="22"/>
        </w:rPr>
        <w:t>Curricula should be changed with a bottom-up approach to prepare students for careers in agri- </w:t>
      </w:r>
      <w:r>
        <w:rPr>
          <w:w w:val="90"/>
          <w:sz w:val="22"/>
        </w:rPr>
        <w:t>businesses</w:t>
      </w:r>
      <w:r>
        <w:rPr>
          <w:spacing w:val="-11"/>
          <w:w w:val="90"/>
          <w:sz w:val="22"/>
        </w:rPr>
        <w:t> </w:t>
      </w:r>
      <w:r>
        <w:rPr>
          <w:w w:val="90"/>
          <w:sz w:val="22"/>
        </w:rPr>
        <w:t>and</w:t>
      </w:r>
      <w:r>
        <w:rPr>
          <w:spacing w:val="-8"/>
          <w:w w:val="90"/>
          <w:sz w:val="22"/>
        </w:rPr>
        <w:t> </w:t>
      </w:r>
      <w:r>
        <w:rPr>
          <w:w w:val="90"/>
          <w:sz w:val="22"/>
        </w:rPr>
        <w:t>agri-clinics,</w:t>
      </w:r>
      <w:r>
        <w:rPr>
          <w:spacing w:val="-8"/>
          <w:w w:val="90"/>
          <w:sz w:val="22"/>
        </w:rPr>
        <w:t> </w:t>
      </w:r>
      <w:r>
        <w:rPr>
          <w:w w:val="90"/>
          <w:sz w:val="22"/>
        </w:rPr>
        <w:t>and</w:t>
      </w:r>
      <w:r>
        <w:rPr>
          <w:spacing w:val="-8"/>
          <w:w w:val="90"/>
          <w:sz w:val="22"/>
        </w:rPr>
        <w:t> </w:t>
      </w:r>
      <w:r>
        <w:rPr>
          <w:w w:val="90"/>
          <w:sz w:val="22"/>
        </w:rPr>
        <w:t>to</w:t>
      </w:r>
      <w:r>
        <w:rPr>
          <w:spacing w:val="-9"/>
          <w:w w:val="90"/>
          <w:sz w:val="22"/>
        </w:rPr>
        <w:t> </w:t>
      </w:r>
      <w:r>
        <w:rPr>
          <w:w w:val="90"/>
          <w:sz w:val="22"/>
        </w:rPr>
        <w:t>give</w:t>
      </w:r>
      <w:r>
        <w:rPr>
          <w:spacing w:val="-8"/>
          <w:w w:val="90"/>
          <w:sz w:val="22"/>
        </w:rPr>
        <w:t> </w:t>
      </w:r>
      <w:r>
        <w:rPr>
          <w:w w:val="90"/>
          <w:sz w:val="22"/>
        </w:rPr>
        <w:t>them</w:t>
      </w:r>
      <w:r>
        <w:rPr>
          <w:spacing w:val="-8"/>
          <w:w w:val="90"/>
          <w:sz w:val="22"/>
        </w:rPr>
        <w:t> </w:t>
      </w:r>
      <w:r>
        <w:rPr>
          <w:w w:val="90"/>
          <w:sz w:val="22"/>
        </w:rPr>
        <w:t>new</w:t>
      </w:r>
      <w:r>
        <w:rPr>
          <w:spacing w:val="-8"/>
          <w:w w:val="90"/>
          <w:sz w:val="22"/>
        </w:rPr>
        <w:t> </w:t>
      </w:r>
      <w:r>
        <w:rPr>
          <w:w w:val="90"/>
          <w:sz w:val="22"/>
        </w:rPr>
        <w:t>skills </w:t>
      </w:r>
      <w:r>
        <w:rPr>
          <w:spacing w:val="-2"/>
          <w:sz w:val="22"/>
        </w:rPr>
        <w:t>in</w:t>
      </w:r>
      <w:r>
        <w:rPr>
          <w:spacing w:val="-2"/>
          <w:sz w:val="22"/>
        </w:rPr>
        <w:t> entrepreneurship</w:t>
      </w:r>
      <w:r>
        <w:rPr>
          <w:spacing w:val="-2"/>
          <w:sz w:val="22"/>
        </w:rPr>
        <w:t> development,</w:t>
      </w:r>
      <w:r>
        <w:rPr>
          <w:spacing w:val="-2"/>
          <w:sz w:val="22"/>
        </w:rPr>
        <w:t> communication </w:t>
      </w:r>
      <w:r>
        <w:rPr>
          <w:sz w:val="22"/>
        </w:rPr>
        <w:t>skills, computer knowledge, agribusiness, environment science and biotechnology. This requires</w:t>
      </w:r>
      <w:r>
        <w:rPr>
          <w:spacing w:val="-9"/>
          <w:sz w:val="22"/>
        </w:rPr>
        <w:t> </w:t>
      </w:r>
      <w:r>
        <w:rPr>
          <w:sz w:val="22"/>
        </w:rPr>
        <w:t>both</w:t>
      </w:r>
      <w:r>
        <w:rPr>
          <w:spacing w:val="-9"/>
          <w:sz w:val="22"/>
        </w:rPr>
        <w:t> </w:t>
      </w:r>
      <w:r>
        <w:rPr>
          <w:sz w:val="22"/>
        </w:rPr>
        <w:t>the</w:t>
      </w:r>
      <w:r>
        <w:rPr>
          <w:spacing w:val="-9"/>
          <w:sz w:val="22"/>
        </w:rPr>
        <w:t> </w:t>
      </w:r>
      <w:r>
        <w:rPr>
          <w:sz w:val="22"/>
        </w:rPr>
        <w:t>introduction</w:t>
      </w:r>
      <w:r>
        <w:rPr>
          <w:spacing w:val="-9"/>
          <w:sz w:val="22"/>
        </w:rPr>
        <w:t> </w:t>
      </w:r>
      <w:r>
        <w:rPr>
          <w:sz w:val="22"/>
        </w:rPr>
        <w:t>of</w:t>
      </w:r>
      <w:r>
        <w:rPr>
          <w:spacing w:val="-9"/>
          <w:sz w:val="22"/>
        </w:rPr>
        <w:t> </w:t>
      </w:r>
      <w:r>
        <w:rPr>
          <w:sz w:val="22"/>
        </w:rPr>
        <w:t>new</w:t>
      </w:r>
      <w:r>
        <w:rPr>
          <w:spacing w:val="-9"/>
          <w:sz w:val="22"/>
        </w:rPr>
        <w:t> </w:t>
      </w:r>
      <w:r>
        <w:rPr>
          <w:sz w:val="22"/>
        </w:rPr>
        <w:t>courses</w:t>
      </w:r>
      <w:r>
        <w:rPr>
          <w:spacing w:val="-9"/>
          <w:sz w:val="22"/>
        </w:rPr>
        <w:t> </w:t>
      </w:r>
      <w:r>
        <w:rPr>
          <w:sz w:val="22"/>
        </w:rPr>
        <w:t>and major</w:t>
      </w:r>
      <w:r>
        <w:rPr>
          <w:spacing w:val="-10"/>
          <w:sz w:val="22"/>
        </w:rPr>
        <w:t> </w:t>
      </w:r>
      <w:r>
        <w:rPr>
          <w:sz w:val="22"/>
        </w:rPr>
        <w:t>reforms</w:t>
      </w:r>
      <w:r>
        <w:rPr>
          <w:spacing w:val="-10"/>
          <w:sz w:val="22"/>
        </w:rPr>
        <w:t> </w:t>
      </w:r>
      <w:r>
        <w:rPr>
          <w:sz w:val="22"/>
        </w:rPr>
        <w:t>in</w:t>
      </w:r>
      <w:r>
        <w:rPr>
          <w:spacing w:val="-10"/>
          <w:sz w:val="22"/>
        </w:rPr>
        <w:t> </w:t>
      </w:r>
      <w:r>
        <w:rPr>
          <w:sz w:val="22"/>
        </w:rPr>
        <w:t>the</w:t>
      </w:r>
      <w:r>
        <w:rPr>
          <w:spacing w:val="-10"/>
          <w:sz w:val="22"/>
        </w:rPr>
        <w:t> </w:t>
      </w:r>
      <w:r>
        <w:rPr>
          <w:sz w:val="22"/>
        </w:rPr>
        <w:t>examination</w:t>
      </w:r>
      <w:r>
        <w:rPr>
          <w:spacing w:val="-10"/>
          <w:sz w:val="22"/>
        </w:rPr>
        <w:t> </w:t>
      </w:r>
      <w:r>
        <w:rPr>
          <w:sz w:val="22"/>
        </w:rPr>
        <w:t>system.</w:t>
      </w:r>
    </w:p>
    <w:p>
      <w:pPr>
        <w:pStyle w:val="ListParagraph"/>
        <w:numPr>
          <w:ilvl w:val="2"/>
          <w:numId w:val="63"/>
        </w:numPr>
        <w:tabs>
          <w:tab w:pos="679" w:val="left" w:leader="none"/>
        </w:tabs>
        <w:spacing w:line="266" w:lineRule="auto" w:before="0" w:after="0"/>
        <w:ind w:left="679" w:right="1077" w:hanging="360"/>
        <w:jc w:val="both"/>
        <w:rPr>
          <w:sz w:val="22"/>
        </w:rPr>
      </w:pPr>
      <w:r>
        <w:rPr>
          <w:spacing w:val="-4"/>
          <w:sz w:val="22"/>
        </w:rPr>
        <w:t>With</w:t>
      </w:r>
      <w:r>
        <w:rPr>
          <w:spacing w:val="-10"/>
          <w:sz w:val="22"/>
        </w:rPr>
        <w:t> </w:t>
      </w:r>
      <w:r>
        <w:rPr>
          <w:spacing w:val="-4"/>
          <w:sz w:val="22"/>
        </w:rPr>
        <w:t>the</w:t>
      </w:r>
      <w:r>
        <w:rPr>
          <w:spacing w:val="-10"/>
          <w:sz w:val="22"/>
        </w:rPr>
        <w:t> </w:t>
      </w:r>
      <w:r>
        <w:rPr>
          <w:spacing w:val="-4"/>
          <w:sz w:val="22"/>
        </w:rPr>
        <w:t>increasing</w:t>
      </w:r>
      <w:r>
        <w:rPr>
          <w:spacing w:val="-10"/>
          <w:sz w:val="22"/>
        </w:rPr>
        <w:t> </w:t>
      </w:r>
      <w:r>
        <w:rPr>
          <w:spacing w:val="-4"/>
          <w:sz w:val="22"/>
        </w:rPr>
        <w:t>feminisation</w:t>
      </w:r>
      <w:r>
        <w:rPr>
          <w:spacing w:val="-9"/>
          <w:sz w:val="22"/>
        </w:rPr>
        <w:t> </w:t>
      </w:r>
      <w:r>
        <w:rPr>
          <w:spacing w:val="-4"/>
          <w:sz w:val="22"/>
        </w:rPr>
        <w:t>of</w:t>
      </w:r>
      <w:r>
        <w:rPr>
          <w:spacing w:val="-10"/>
          <w:sz w:val="22"/>
        </w:rPr>
        <w:t> </w:t>
      </w:r>
      <w:r>
        <w:rPr>
          <w:spacing w:val="-4"/>
          <w:sz w:val="22"/>
        </w:rPr>
        <w:t>agriculture,</w:t>
      </w:r>
      <w:r>
        <w:rPr>
          <w:spacing w:val="-10"/>
          <w:sz w:val="22"/>
        </w:rPr>
        <w:t> </w:t>
      </w:r>
      <w:r>
        <w:rPr>
          <w:spacing w:val="-4"/>
          <w:sz w:val="22"/>
        </w:rPr>
        <w:t>it</w:t>
      </w:r>
      <w:r>
        <w:rPr>
          <w:spacing w:val="-10"/>
          <w:sz w:val="22"/>
        </w:rPr>
        <w:t> </w:t>
      </w:r>
      <w:r>
        <w:rPr>
          <w:spacing w:val="-4"/>
          <w:sz w:val="22"/>
        </w:rPr>
        <w:t>is </w:t>
      </w:r>
      <w:r>
        <w:rPr>
          <w:spacing w:val="-2"/>
          <w:sz w:val="22"/>
        </w:rPr>
        <w:t>very</w:t>
      </w:r>
      <w:r>
        <w:rPr>
          <w:spacing w:val="-6"/>
          <w:sz w:val="22"/>
        </w:rPr>
        <w:t> </w:t>
      </w:r>
      <w:r>
        <w:rPr>
          <w:spacing w:val="-2"/>
          <w:sz w:val="22"/>
        </w:rPr>
        <w:t>important</w:t>
      </w:r>
      <w:r>
        <w:rPr>
          <w:spacing w:val="-6"/>
          <w:sz w:val="22"/>
        </w:rPr>
        <w:t> </w:t>
      </w:r>
      <w:r>
        <w:rPr>
          <w:spacing w:val="-2"/>
          <w:sz w:val="22"/>
        </w:rPr>
        <w:t>that</w:t>
      </w:r>
      <w:r>
        <w:rPr>
          <w:spacing w:val="-6"/>
          <w:sz w:val="22"/>
        </w:rPr>
        <w:t> </w:t>
      </w:r>
      <w:r>
        <w:rPr>
          <w:spacing w:val="-2"/>
          <w:sz w:val="22"/>
        </w:rPr>
        <w:t>agricultural</w:t>
      </w:r>
      <w:r>
        <w:rPr>
          <w:spacing w:val="-6"/>
          <w:sz w:val="22"/>
        </w:rPr>
        <w:t> </w:t>
      </w:r>
      <w:r>
        <w:rPr>
          <w:spacing w:val="-2"/>
          <w:sz w:val="22"/>
        </w:rPr>
        <w:t>curriculum</w:t>
      </w:r>
      <w:r>
        <w:rPr>
          <w:spacing w:val="-6"/>
          <w:sz w:val="22"/>
        </w:rPr>
        <w:t> </w:t>
      </w:r>
      <w:r>
        <w:rPr>
          <w:spacing w:val="-2"/>
          <w:sz w:val="22"/>
        </w:rPr>
        <w:t>should </w:t>
      </w:r>
      <w:r>
        <w:rPr>
          <w:sz w:val="22"/>
        </w:rPr>
        <w:t>be engendered by introducing basic courses on Gender</w:t>
      </w:r>
      <w:r>
        <w:rPr>
          <w:spacing w:val="-11"/>
          <w:sz w:val="22"/>
        </w:rPr>
        <w:t> </w:t>
      </w:r>
      <w:r>
        <w:rPr>
          <w:sz w:val="22"/>
        </w:rPr>
        <w:t>Concerns</w:t>
      </w:r>
      <w:r>
        <w:rPr>
          <w:spacing w:val="-11"/>
          <w:sz w:val="22"/>
        </w:rPr>
        <w:t> </w:t>
      </w:r>
      <w:r>
        <w:rPr>
          <w:sz w:val="22"/>
        </w:rPr>
        <w:t>in</w:t>
      </w:r>
      <w:r>
        <w:rPr>
          <w:spacing w:val="-11"/>
          <w:sz w:val="22"/>
        </w:rPr>
        <w:t> </w:t>
      </w:r>
      <w:r>
        <w:rPr>
          <w:sz w:val="22"/>
        </w:rPr>
        <w:t>Agricultural</w:t>
      </w:r>
      <w:r>
        <w:rPr>
          <w:spacing w:val="-11"/>
          <w:sz w:val="22"/>
        </w:rPr>
        <w:t> </w:t>
      </w:r>
      <w:r>
        <w:rPr>
          <w:sz w:val="22"/>
        </w:rPr>
        <w:t>Development.</w:t>
      </w:r>
    </w:p>
    <w:p>
      <w:pPr>
        <w:pStyle w:val="ListParagraph"/>
        <w:numPr>
          <w:ilvl w:val="2"/>
          <w:numId w:val="63"/>
        </w:numPr>
        <w:tabs>
          <w:tab w:pos="679" w:val="left" w:leader="none"/>
        </w:tabs>
        <w:spacing w:line="266" w:lineRule="auto" w:before="0" w:after="0"/>
        <w:ind w:left="679" w:right="1077" w:hanging="360"/>
        <w:jc w:val="both"/>
        <w:rPr>
          <w:sz w:val="22"/>
        </w:rPr>
      </w:pPr>
      <w:r>
        <w:rPr>
          <w:spacing w:val="-4"/>
          <w:sz w:val="22"/>
        </w:rPr>
        <w:t>The</w:t>
      </w:r>
      <w:r>
        <w:rPr>
          <w:spacing w:val="-6"/>
          <w:sz w:val="22"/>
        </w:rPr>
        <w:t> </w:t>
      </w:r>
      <w:r>
        <w:rPr>
          <w:spacing w:val="-4"/>
          <w:sz w:val="22"/>
        </w:rPr>
        <w:t>system</w:t>
      </w:r>
      <w:r>
        <w:rPr>
          <w:spacing w:val="-6"/>
          <w:sz w:val="22"/>
        </w:rPr>
        <w:t> </w:t>
      </w:r>
      <w:r>
        <w:rPr>
          <w:spacing w:val="-4"/>
          <w:sz w:val="22"/>
        </w:rPr>
        <w:t>should</w:t>
      </w:r>
      <w:r>
        <w:rPr>
          <w:spacing w:val="-6"/>
          <w:sz w:val="22"/>
        </w:rPr>
        <w:t> </w:t>
      </w:r>
      <w:r>
        <w:rPr>
          <w:spacing w:val="-4"/>
          <w:sz w:val="22"/>
        </w:rPr>
        <w:t>be</w:t>
      </w:r>
      <w:r>
        <w:rPr>
          <w:spacing w:val="-6"/>
          <w:sz w:val="22"/>
        </w:rPr>
        <w:t> </w:t>
      </w:r>
      <w:r>
        <w:rPr>
          <w:spacing w:val="-4"/>
          <w:sz w:val="22"/>
        </w:rPr>
        <w:t>able</w:t>
      </w:r>
      <w:r>
        <w:rPr>
          <w:spacing w:val="-6"/>
          <w:sz w:val="22"/>
        </w:rPr>
        <w:t> </w:t>
      </w:r>
      <w:r>
        <w:rPr>
          <w:spacing w:val="-4"/>
          <w:sz w:val="22"/>
        </w:rPr>
        <w:t>to</w:t>
      </w:r>
      <w:r>
        <w:rPr>
          <w:spacing w:val="-6"/>
          <w:sz w:val="22"/>
        </w:rPr>
        <w:t> </w:t>
      </w:r>
      <w:r>
        <w:rPr>
          <w:spacing w:val="-4"/>
          <w:sz w:val="22"/>
        </w:rPr>
        <w:t>provide</w:t>
      </w:r>
      <w:r>
        <w:rPr>
          <w:spacing w:val="-6"/>
          <w:sz w:val="22"/>
        </w:rPr>
        <w:t> </w:t>
      </w:r>
      <w:r>
        <w:rPr>
          <w:spacing w:val="-4"/>
          <w:sz w:val="22"/>
        </w:rPr>
        <w:t>periodic</w:t>
      </w:r>
      <w:r>
        <w:rPr>
          <w:spacing w:val="-6"/>
          <w:sz w:val="22"/>
        </w:rPr>
        <w:t> </w:t>
      </w:r>
      <w:r>
        <w:rPr>
          <w:spacing w:val="-4"/>
          <w:sz w:val="22"/>
        </w:rPr>
        <w:t>(and </w:t>
      </w:r>
      <w:r>
        <w:rPr>
          <w:sz w:val="22"/>
        </w:rPr>
        <w:t>more frequent) refresher training for extension </w:t>
      </w:r>
      <w:r>
        <w:rPr>
          <w:spacing w:val="-2"/>
          <w:sz w:val="22"/>
        </w:rPr>
        <w:t>workers</w:t>
      </w:r>
      <w:r>
        <w:rPr>
          <w:spacing w:val="-11"/>
          <w:sz w:val="22"/>
        </w:rPr>
        <w:t> </w:t>
      </w:r>
      <w:r>
        <w:rPr>
          <w:spacing w:val="-2"/>
          <w:sz w:val="22"/>
        </w:rPr>
        <w:t>to</w:t>
      </w:r>
      <w:r>
        <w:rPr>
          <w:spacing w:val="-11"/>
          <w:sz w:val="22"/>
        </w:rPr>
        <w:t> </w:t>
      </w:r>
      <w:r>
        <w:rPr>
          <w:spacing w:val="-2"/>
          <w:sz w:val="22"/>
        </w:rPr>
        <w:t>upgrade</w:t>
      </w:r>
      <w:r>
        <w:rPr>
          <w:spacing w:val="-11"/>
          <w:sz w:val="22"/>
        </w:rPr>
        <w:t> </w:t>
      </w:r>
      <w:r>
        <w:rPr>
          <w:spacing w:val="-2"/>
          <w:sz w:val="22"/>
        </w:rPr>
        <w:t>their</w:t>
      </w:r>
      <w:r>
        <w:rPr>
          <w:spacing w:val="-11"/>
          <w:sz w:val="22"/>
        </w:rPr>
        <w:t> </w:t>
      </w:r>
      <w:r>
        <w:rPr>
          <w:spacing w:val="-2"/>
          <w:sz w:val="22"/>
        </w:rPr>
        <w:t>technical</w:t>
      </w:r>
      <w:r>
        <w:rPr>
          <w:spacing w:val="-11"/>
          <w:sz w:val="22"/>
        </w:rPr>
        <w:t> </w:t>
      </w:r>
      <w:r>
        <w:rPr>
          <w:spacing w:val="-2"/>
          <w:sz w:val="22"/>
        </w:rPr>
        <w:t>efficiency.</w:t>
      </w:r>
    </w:p>
    <w:p>
      <w:pPr>
        <w:pStyle w:val="ListParagraph"/>
        <w:numPr>
          <w:ilvl w:val="2"/>
          <w:numId w:val="63"/>
        </w:numPr>
        <w:tabs>
          <w:tab w:pos="679" w:val="left" w:leader="none"/>
        </w:tabs>
        <w:spacing w:line="266" w:lineRule="auto" w:before="0" w:after="0"/>
        <w:ind w:left="679" w:right="1077" w:hanging="360"/>
        <w:jc w:val="both"/>
        <w:rPr>
          <w:sz w:val="22"/>
        </w:rPr>
      </w:pPr>
      <w:r>
        <w:rPr>
          <w:spacing w:val="-4"/>
          <w:sz w:val="22"/>
        </w:rPr>
        <w:t>Non-formal</w:t>
      </w:r>
      <w:r>
        <w:rPr>
          <w:spacing w:val="-8"/>
          <w:sz w:val="22"/>
        </w:rPr>
        <w:t> </w:t>
      </w:r>
      <w:r>
        <w:rPr>
          <w:spacing w:val="-4"/>
          <w:sz w:val="22"/>
        </w:rPr>
        <w:t>education</w:t>
      </w:r>
      <w:r>
        <w:rPr>
          <w:spacing w:val="-8"/>
          <w:sz w:val="22"/>
        </w:rPr>
        <w:t> </w:t>
      </w:r>
      <w:r>
        <w:rPr>
          <w:spacing w:val="-4"/>
          <w:sz w:val="22"/>
        </w:rPr>
        <w:t>programs</w:t>
      </w:r>
      <w:r>
        <w:rPr>
          <w:spacing w:val="-8"/>
          <w:sz w:val="22"/>
        </w:rPr>
        <w:t> </w:t>
      </w:r>
      <w:r>
        <w:rPr>
          <w:spacing w:val="-4"/>
          <w:sz w:val="22"/>
        </w:rPr>
        <w:t>should</w:t>
      </w:r>
      <w:r>
        <w:rPr>
          <w:spacing w:val="-8"/>
          <w:sz w:val="22"/>
        </w:rPr>
        <w:t> </w:t>
      </w:r>
      <w:r>
        <w:rPr>
          <w:spacing w:val="-4"/>
          <w:sz w:val="22"/>
        </w:rPr>
        <w:t>be</w:t>
      </w:r>
      <w:r>
        <w:rPr>
          <w:spacing w:val="-8"/>
          <w:sz w:val="22"/>
        </w:rPr>
        <w:t> </w:t>
      </w:r>
      <w:r>
        <w:rPr>
          <w:spacing w:val="-4"/>
          <w:sz w:val="22"/>
        </w:rPr>
        <w:t>initiated </w:t>
      </w:r>
      <w:r>
        <w:rPr>
          <w:sz w:val="22"/>
        </w:rPr>
        <w:t>in need-based vocational modules to generate </w:t>
      </w:r>
      <w:r>
        <w:rPr>
          <w:spacing w:val="-2"/>
          <w:sz w:val="22"/>
        </w:rPr>
        <w:t>para-professionals</w:t>
      </w:r>
      <w:r>
        <w:rPr>
          <w:spacing w:val="-12"/>
          <w:sz w:val="22"/>
        </w:rPr>
        <w:t> </w:t>
      </w:r>
      <w:r>
        <w:rPr>
          <w:spacing w:val="-2"/>
          <w:sz w:val="22"/>
        </w:rPr>
        <w:t>for</w:t>
      </w:r>
      <w:r>
        <w:rPr>
          <w:spacing w:val="-12"/>
          <w:sz w:val="22"/>
        </w:rPr>
        <w:t> </w:t>
      </w:r>
      <w:r>
        <w:rPr>
          <w:spacing w:val="-2"/>
          <w:sz w:val="22"/>
        </w:rPr>
        <w:t>technological</w:t>
      </w:r>
      <w:r>
        <w:rPr>
          <w:spacing w:val="-12"/>
          <w:sz w:val="22"/>
        </w:rPr>
        <w:t> </w:t>
      </w:r>
      <w:r>
        <w:rPr>
          <w:spacing w:val="-2"/>
          <w:sz w:val="22"/>
        </w:rPr>
        <w:t>and</w:t>
      </w:r>
      <w:r>
        <w:rPr>
          <w:spacing w:val="-11"/>
          <w:sz w:val="22"/>
        </w:rPr>
        <w:t> </w:t>
      </w:r>
      <w:r>
        <w:rPr>
          <w:spacing w:val="-2"/>
          <w:sz w:val="22"/>
        </w:rPr>
        <w:t>economic </w:t>
      </w:r>
      <w:r>
        <w:rPr>
          <w:sz w:val="22"/>
        </w:rPr>
        <w:t>empowerment of the rural youth.</w:t>
      </w:r>
    </w:p>
    <w:p>
      <w:pPr>
        <w:spacing w:after="0" w:line="266" w:lineRule="auto"/>
        <w:jc w:val="both"/>
        <w:rPr>
          <w:sz w:val="22"/>
        </w:rPr>
        <w:sectPr>
          <w:pgSz w:w="11910" w:h="16840"/>
          <w:pgMar w:header="0" w:footer="675" w:top="940" w:bottom="860" w:left="0" w:right="0"/>
          <w:cols w:num="2" w:equalWidth="0">
            <w:col w:w="5774" w:space="40"/>
            <w:col w:w="6096"/>
          </w:cols>
        </w:sectPr>
      </w:pPr>
    </w:p>
    <w:p>
      <w:pPr>
        <w:pStyle w:val="Heading7"/>
        <w:numPr>
          <w:ilvl w:val="1"/>
          <w:numId w:val="63"/>
        </w:numPr>
        <w:tabs>
          <w:tab w:pos="1343" w:val="left" w:leader="none"/>
          <w:tab w:pos="1345" w:val="left" w:leader="none"/>
        </w:tabs>
        <w:spacing w:line="225" w:lineRule="auto" w:before="84" w:after="0"/>
        <w:ind w:left="1345" w:right="187" w:hanging="266"/>
        <w:jc w:val="left"/>
      </w:pPr>
      <w:r>
        <w:rPr>
          <w:color w:val="2E614A"/>
        </w:rPr>
        <w:t>Exploit</w:t>
      </w:r>
      <w:r>
        <w:rPr>
          <w:color w:val="2E614A"/>
          <w:spacing w:val="-17"/>
        </w:rPr>
        <w:t> </w:t>
      </w:r>
      <w:r>
        <w:rPr>
          <w:color w:val="2E614A"/>
        </w:rPr>
        <w:t>the</w:t>
      </w:r>
      <w:r>
        <w:rPr>
          <w:color w:val="2E614A"/>
          <w:spacing w:val="-16"/>
        </w:rPr>
        <w:t> </w:t>
      </w:r>
      <w:r>
        <w:rPr>
          <w:color w:val="2E614A"/>
        </w:rPr>
        <w:t>opportunities</w:t>
      </w:r>
      <w:r>
        <w:rPr>
          <w:color w:val="2E614A"/>
          <w:spacing w:val="-16"/>
        </w:rPr>
        <w:t> </w:t>
      </w:r>
      <w:r>
        <w:rPr>
          <w:color w:val="2E614A"/>
        </w:rPr>
        <w:t>and</w:t>
      </w:r>
      <w:r>
        <w:rPr>
          <w:color w:val="2E614A"/>
          <w:spacing w:val="-16"/>
        </w:rPr>
        <w:t> </w:t>
      </w:r>
      <w:r>
        <w:rPr>
          <w:color w:val="2E614A"/>
        </w:rPr>
        <w:t>meet</w:t>
      </w:r>
      <w:r>
        <w:rPr>
          <w:color w:val="2E614A"/>
          <w:spacing w:val="-17"/>
        </w:rPr>
        <w:t> </w:t>
      </w:r>
      <w:r>
        <w:rPr>
          <w:color w:val="2E614A"/>
        </w:rPr>
        <w:t>the </w:t>
      </w:r>
      <w:r>
        <w:rPr>
          <w:color w:val="2E614A"/>
          <w:w w:val="90"/>
        </w:rPr>
        <w:t>challenges of Intellectual Property </w:t>
      </w:r>
      <w:r>
        <w:rPr>
          <w:color w:val="2E614A"/>
          <w:w w:val="90"/>
        </w:rPr>
        <w:t>Rights</w:t>
      </w:r>
    </w:p>
    <w:p>
      <w:pPr>
        <w:pStyle w:val="ListParagraph"/>
        <w:numPr>
          <w:ilvl w:val="2"/>
          <w:numId w:val="63"/>
        </w:numPr>
        <w:tabs>
          <w:tab w:pos="1439" w:val="left" w:leader="none"/>
        </w:tabs>
        <w:spacing w:line="266" w:lineRule="auto" w:before="200" w:after="0"/>
        <w:ind w:left="1439" w:right="0" w:hanging="360"/>
        <w:jc w:val="both"/>
        <w:rPr>
          <w:sz w:val="22"/>
        </w:rPr>
      </w:pPr>
      <w:r>
        <w:rPr>
          <w:spacing w:val="-4"/>
          <w:sz w:val="22"/>
        </w:rPr>
        <w:t>Any</w:t>
      </w:r>
      <w:r>
        <w:rPr>
          <w:spacing w:val="-8"/>
          <w:sz w:val="22"/>
        </w:rPr>
        <w:t> </w:t>
      </w:r>
      <w:r>
        <w:rPr>
          <w:spacing w:val="-4"/>
          <w:sz w:val="22"/>
        </w:rPr>
        <w:t>licensing</w:t>
      </w:r>
      <w:r>
        <w:rPr>
          <w:spacing w:val="-8"/>
          <w:sz w:val="22"/>
        </w:rPr>
        <w:t> </w:t>
      </w:r>
      <w:r>
        <w:rPr>
          <w:spacing w:val="-4"/>
          <w:sz w:val="22"/>
        </w:rPr>
        <w:t>of</w:t>
      </w:r>
      <w:r>
        <w:rPr>
          <w:spacing w:val="-8"/>
          <w:sz w:val="22"/>
        </w:rPr>
        <w:t> </w:t>
      </w:r>
      <w:r>
        <w:rPr>
          <w:spacing w:val="-4"/>
          <w:sz w:val="22"/>
        </w:rPr>
        <w:t>IPR</w:t>
      </w:r>
      <w:r>
        <w:rPr>
          <w:spacing w:val="-8"/>
          <w:sz w:val="22"/>
        </w:rPr>
        <w:t> </w:t>
      </w:r>
      <w:r>
        <w:rPr>
          <w:spacing w:val="-4"/>
          <w:sz w:val="22"/>
        </w:rPr>
        <w:t>enabled</w:t>
      </w:r>
      <w:r>
        <w:rPr>
          <w:spacing w:val="-8"/>
          <w:sz w:val="22"/>
        </w:rPr>
        <w:t> </w:t>
      </w:r>
      <w:r>
        <w:rPr>
          <w:spacing w:val="-4"/>
          <w:sz w:val="22"/>
        </w:rPr>
        <w:t>technology</w:t>
      </w:r>
      <w:r>
        <w:rPr>
          <w:spacing w:val="-8"/>
          <w:sz w:val="22"/>
        </w:rPr>
        <w:t> </w:t>
      </w:r>
      <w:r>
        <w:rPr>
          <w:spacing w:val="-4"/>
          <w:sz w:val="22"/>
        </w:rPr>
        <w:t>by</w:t>
      </w:r>
      <w:r>
        <w:rPr>
          <w:spacing w:val="-8"/>
          <w:sz w:val="22"/>
        </w:rPr>
        <w:t> </w:t>
      </w:r>
      <w:r>
        <w:rPr>
          <w:spacing w:val="-4"/>
          <w:sz w:val="22"/>
        </w:rPr>
        <w:t>public </w:t>
      </w:r>
      <w:r>
        <w:rPr>
          <w:sz w:val="22"/>
        </w:rPr>
        <w:t>research must be done without in any manner </w:t>
      </w:r>
      <w:r>
        <w:rPr>
          <w:spacing w:val="-2"/>
          <w:sz w:val="22"/>
        </w:rPr>
        <w:t>excluding</w:t>
      </w:r>
      <w:r>
        <w:rPr>
          <w:spacing w:val="-12"/>
          <w:sz w:val="22"/>
        </w:rPr>
        <w:t> </w:t>
      </w:r>
      <w:r>
        <w:rPr>
          <w:spacing w:val="-2"/>
          <w:sz w:val="22"/>
        </w:rPr>
        <w:t>its</w:t>
      </w:r>
      <w:r>
        <w:rPr>
          <w:spacing w:val="-12"/>
          <w:sz w:val="22"/>
        </w:rPr>
        <w:t> </w:t>
      </w:r>
      <w:r>
        <w:rPr>
          <w:spacing w:val="-2"/>
          <w:sz w:val="22"/>
        </w:rPr>
        <w:t>access</w:t>
      </w:r>
      <w:r>
        <w:rPr>
          <w:spacing w:val="-12"/>
          <w:sz w:val="22"/>
        </w:rPr>
        <w:t> </w:t>
      </w:r>
      <w:r>
        <w:rPr>
          <w:spacing w:val="-2"/>
          <w:sz w:val="22"/>
        </w:rPr>
        <w:t>by</w:t>
      </w:r>
      <w:r>
        <w:rPr>
          <w:spacing w:val="-11"/>
          <w:sz w:val="22"/>
        </w:rPr>
        <w:t> </w:t>
      </w:r>
      <w:r>
        <w:rPr>
          <w:spacing w:val="-2"/>
          <w:sz w:val="22"/>
        </w:rPr>
        <w:t>resource-poor</w:t>
      </w:r>
      <w:r>
        <w:rPr>
          <w:spacing w:val="-12"/>
          <w:sz w:val="22"/>
        </w:rPr>
        <w:t> </w:t>
      </w:r>
      <w:r>
        <w:rPr>
          <w:spacing w:val="-2"/>
          <w:sz w:val="22"/>
        </w:rPr>
        <w:t>farmers.</w:t>
      </w:r>
    </w:p>
    <w:p>
      <w:pPr>
        <w:pStyle w:val="ListParagraph"/>
        <w:numPr>
          <w:ilvl w:val="2"/>
          <w:numId w:val="63"/>
        </w:numPr>
        <w:tabs>
          <w:tab w:pos="1439" w:val="left" w:leader="none"/>
        </w:tabs>
        <w:spacing w:line="266" w:lineRule="auto" w:before="0" w:after="0"/>
        <w:ind w:left="1439" w:right="0" w:hanging="360"/>
        <w:jc w:val="both"/>
        <w:rPr>
          <w:sz w:val="22"/>
        </w:rPr>
      </w:pPr>
      <w:r>
        <w:rPr>
          <w:spacing w:val="-2"/>
          <w:sz w:val="22"/>
        </w:rPr>
        <w:t>As</w:t>
      </w:r>
      <w:r>
        <w:rPr>
          <w:spacing w:val="-7"/>
          <w:sz w:val="22"/>
        </w:rPr>
        <w:t> </w:t>
      </w:r>
      <w:r>
        <w:rPr>
          <w:spacing w:val="-2"/>
          <w:sz w:val="22"/>
        </w:rPr>
        <w:t>the</w:t>
      </w:r>
      <w:r>
        <w:rPr>
          <w:spacing w:val="-7"/>
          <w:sz w:val="22"/>
        </w:rPr>
        <w:t> </w:t>
      </w:r>
      <w:r>
        <w:rPr>
          <w:spacing w:val="-2"/>
          <w:sz w:val="22"/>
        </w:rPr>
        <w:t>holder</w:t>
      </w:r>
      <w:r>
        <w:rPr>
          <w:spacing w:val="-7"/>
          <w:sz w:val="22"/>
        </w:rPr>
        <w:t> </w:t>
      </w:r>
      <w:r>
        <w:rPr>
          <w:spacing w:val="-2"/>
          <w:sz w:val="22"/>
        </w:rPr>
        <w:t>of</w:t>
      </w:r>
      <w:r>
        <w:rPr>
          <w:spacing w:val="-7"/>
          <w:sz w:val="22"/>
        </w:rPr>
        <w:t> </w:t>
      </w:r>
      <w:r>
        <w:rPr>
          <w:spacing w:val="-2"/>
          <w:sz w:val="22"/>
        </w:rPr>
        <w:t>thousands</w:t>
      </w:r>
      <w:r>
        <w:rPr>
          <w:spacing w:val="-7"/>
          <w:sz w:val="22"/>
        </w:rPr>
        <w:t> </w:t>
      </w:r>
      <w:r>
        <w:rPr>
          <w:spacing w:val="-2"/>
          <w:sz w:val="22"/>
        </w:rPr>
        <w:t>of</w:t>
      </w:r>
      <w:r>
        <w:rPr>
          <w:spacing w:val="-7"/>
          <w:sz w:val="22"/>
        </w:rPr>
        <w:t> </w:t>
      </w:r>
      <w:r>
        <w:rPr>
          <w:spacing w:val="-2"/>
          <w:sz w:val="22"/>
        </w:rPr>
        <w:t>farmers’</w:t>
      </w:r>
      <w:r>
        <w:rPr>
          <w:spacing w:val="-7"/>
          <w:sz w:val="22"/>
        </w:rPr>
        <w:t> </w:t>
      </w:r>
      <w:r>
        <w:rPr>
          <w:spacing w:val="-2"/>
          <w:sz w:val="22"/>
        </w:rPr>
        <w:t>varieties</w:t>
      </w:r>
      <w:r>
        <w:rPr>
          <w:spacing w:val="-7"/>
          <w:sz w:val="22"/>
        </w:rPr>
        <w:t> </w:t>
      </w:r>
      <w:r>
        <w:rPr>
          <w:spacing w:val="-2"/>
          <w:sz w:val="22"/>
        </w:rPr>
        <w:t>of </w:t>
      </w:r>
      <w:r>
        <w:rPr>
          <w:sz w:val="22"/>
        </w:rPr>
        <w:t>plants and animal genetic stocks, the ICAR must </w:t>
      </w:r>
      <w:r>
        <w:rPr>
          <w:spacing w:val="-4"/>
          <w:sz w:val="22"/>
        </w:rPr>
        <w:t>immediately</w:t>
      </w:r>
      <w:r>
        <w:rPr>
          <w:spacing w:val="-10"/>
          <w:sz w:val="22"/>
        </w:rPr>
        <w:t> </w:t>
      </w:r>
      <w:r>
        <w:rPr>
          <w:spacing w:val="-4"/>
          <w:sz w:val="22"/>
        </w:rPr>
        <w:t>enunciate</w:t>
      </w:r>
      <w:r>
        <w:rPr>
          <w:spacing w:val="-10"/>
          <w:sz w:val="22"/>
        </w:rPr>
        <w:t> </w:t>
      </w:r>
      <w:r>
        <w:rPr>
          <w:spacing w:val="-4"/>
          <w:sz w:val="22"/>
        </w:rPr>
        <w:t>the</w:t>
      </w:r>
      <w:r>
        <w:rPr>
          <w:spacing w:val="-10"/>
          <w:sz w:val="22"/>
        </w:rPr>
        <w:t> </w:t>
      </w:r>
      <w:r>
        <w:rPr>
          <w:spacing w:val="-4"/>
          <w:sz w:val="22"/>
        </w:rPr>
        <w:t>policy</w:t>
      </w:r>
      <w:r>
        <w:rPr>
          <w:spacing w:val="-9"/>
          <w:sz w:val="22"/>
        </w:rPr>
        <w:t> </w:t>
      </w:r>
      <w:r>
        <w:rPr>
          <w:spacing w:val="-4"/>
          <w:sz w:val="22"/>
        </w:rPr>
        <w:t>and</w:t>
      </w:r>
      <w:r>
        <w:rPr>
          <w:spacing w:val="-10"/>
          <w:sz w:val="22"/>
        </w:rPr>
        <w:t> </w:t>
      </w:r>
      <w:r>
        <w:rPr>
          <w:spacing w:val="-4"/>
          <w:sz w:val="22"/>
        </w:rPr>
        <w:t>guidelines</w:t>
      </w:r>
      <w:r>
        <w:rPr>
          <w:spacing w:val="-10"/>
          <w:sz w:val="22"/>
        </w:rPr>
        <w:t> </w:t>
      </w:r>
      <w:r>
        <w:rPr>
          <w:spacing w:val="-4"/>
          <w:sz w:val="22"/>
        </w:rPr>
        <w:t>on </w:t>
      </w:r>
      <w:r>
        <w:rPr>
          <w:spacing w:val="-8"/>
          <w:sz w:val="22"/>
        </w:rPr>
        <w:t>the</w:t>
      </w:r>
      <w:r>
        <w:rPr>
          <w:spacing w:val="-4"/>
          <w:sz w:val="22"/>
        </w:rPr>
        <w:t> </w:t>
      </w:r>
      <w:r>
        <w:rPr>
          <w:spacing w:val="-8"/>
          <w:sz w:val="22"/>
        </w:rPr>
        <w:t>access</w:t>
      </w:r>
      <w:r>
        <w:rPr>
          <w:spacing w:val="-4"/>
          <w:sz w:val="22"/>
        </w:rPr>
        <w:t> </w:t>
      </w:r>
      <w:r>
        <w:rPr>
          <w:spacing w:val="-8"/>
          <w:sz w:val="22"/>
        </w:rPr>
        <w:t>to</w:t>
      </w:r>
      <w:r>
        <w:rPr>
          <w:spacing w:val="-4"/>
          <w:sz w:val="22"/>
        </w:rPr>
        <w:t> </w:t>
      </w:r>
      <w:r>
        <w:rPr>
          <w:spacing w:val="-8"/>
          <w:sz w:val="22"/>
        </w:rPr>
        <w:t>these</w:t>
      </w:r>
      <w:r>
        <w:rPr>
          <w:spacing w:val="-4"/>
          <w:sz w:val="22"/>
        </w:rPr>
        <w:t> </w:t>
      </w:r>
      <w:r>
        <w:rPr>
          <w:spacing w:val="-8"/>
          <w:sz w:val="22"/>
        </w:rPr>
        <w:t>materials</w:t>
      </w:r>
      <w:r>
        <w:rPr>
          <w:spacing w:val="-4"/>
          <w:sz w:val="22"/>
        </w:rPr>
        <w:t> </w:t>
      </w:r>
      <w:r>
        <w:rPr>
          <w:spacing w:val="-8"/>
          <w:sz w:val="22"/>
        </w:rPr>
        <w:t>by</w:t>
      </w:r>
      <w:r>
        <w:rPr>
          <w:spacing w:val="-4"/>
          <w:sz w:val="22"/>
        </w:rPr>
        <w:t> </w:t>
      </w:r>
      <w:r>
        <w:rPr>
          <w:spacing w:val="-8"/>
          <w:sz w:val="22"/>
        </w:rPr>
        <w:t>the</w:t>
      </w:r>
      <w:r>
        <w:rPr>
          <w:spacing w:val="-4"/>
          <w:sz w:val="22"/>
        </w:rPr>
        <w:t> </w:t>
      </w:r>
      <w:r>
        <w:rPr>
          <w:spacing w:val="-8"/>
          <w:sz w:val="22"/>
        </w:rPr>
        <w:t>private</w:t>
      </w:r>
      <w:r>
        <w:rPr>
          <w:spacing w:val="-4"/>
          <w:sz w:val="22"/>
        </w:rPr>
        <w:t> </w:t>
      </w:r>
      <w:r>
        <w:rPr>
          <w:spacing w:val="-8"/>
          <w:sz w:val="22"/>
        </w:rPr>
        <w:t>sector</w:t>
      </w:r>
      <w:r>
        <w:rPr>
          <w:spacing w:val="-4"/>
          <w:sz w:val="22"/>
        </w:rPr>
        <w:t> </w:t>
      </w:r>
      <w:r>
        <w:rPr>
          <w:spacing w:val="-8"/>
          <w:sz w:val="22"/>
        </w:rPr>
        <w:t>and </w:t>
      </w:r>
      <w:r>
        <w:rPr>
          <w:spacing w:val="-6"/>
          <w:sz w:val="22"/>
        </w:rPr>
        <w:t>the IPR related regulations applicable on the genetic </w:t>
      </w:r>
      <w:r>
        <w:rPr>
          <w:spacing w:val="-2"/>
          <w:sz w:val="22"/>
        </w:rPr>
        <w:t>material</w:t>
      </w:r>
      <w:r>
        <w:rPr>
          <w:spacing w:val="-9"/>
          <w:sz w:val="22"/>
        </w:rPr>
        <w:t> </w:t>
      </w:r>
      <w:r>
        <w:rPr>
          <w:spacing w:val="-2"/>
          <w:sz w:val="22"/>
        </w:rPr>
        <w:t>being</w:t>
      </w:r>
      <w:r>
        <w:rPr>
          <w:spacing w:val="-9"/>
          <w:sz w:val="22"/>
        </w:rPr>
        <w:t> </w:t>
      </w:r>
      <w:r>
        <w:rPr>
          <w:spacing w:val="-2"/>
          <w:sz w:val="22"/>
        </w:rPr>
        <w:t>accessed</w:t>
      </w:r>
      <w:r>
        <w:rPr>
          <w:spacing w:val="-9"/>
          <w:sz w:val="22"/>
        </w:rPr>
        <w:t> </w:t>
      </w:r>
      <w:r>
        <w:rPr>
          <w:spacing w:val="-2"/>
          <w:sz w:val="22"/>
        </w:rPr>
        <w:t>by</w:t>
      </w:r>
      <w:r>
        <w:rPr>
          <w:spacing w:val="-9"/>
          <w:sz w:val="22"/>
        </w:rPr>
        <w:t> </w:t>
      </w:r>
      <w:r>
        <w:rPr>
          <w:spacing w:val="-2"/>
          <w:sz w:val="22"/>
        </w:rPr>
        <w:t>these</w:t>
      </w:r>
      <w:r>
        <w:rPr>
          <w:spacing w:val="-9"/>
          <w:sz w:val="22"/>
        </w:rPr>
        <w:t> </w:t>
      </w:r>
      <w:r>
        <w:rPr>
          <w:spacing w:val="-2"/>
          <w:sz w:val="22"/>
        </w:rPr>
        <w:t>parties.</w:t>
      </w:r>
    </w:p>
    <w:p>
      <w:pPr>
        <w:pStyle w:val="ListParagraph"/>
        <w:numPr>
          <w:ilvl w:val="2"/>
          <w:numId w:val="63"/>
        </w:numPr>
        <w:tabs>
          <w:tab w:pos="1439" w:val="left" w:leader="none"/>
        </w:tabs>
        <w:spacing w:line="266" w:lineRule="auto" w:before="0" w:after="0"/>
        <w:ind w:left="1439" w:right="0" w:hanging="360"/>
        <w:jc w:val="both"/>
        <w:rPr>
          <w:sz w:val="22"/>
        </w:rPr>
      </w:pPr>
      <w:r>
        <w:rPr>
          <w:sz w:val="22"/>
        </w:rPr>
        <w:t>There</w:t>
      </w:r>
      <w:r>
        <w:rPr>
          <w:spacing w:val="-4"/>
          <w:sz w:val="22"/>
        </w:rPr>
        <w:t> </w:t>
      </w:r>
      <w:r>
        <w:rPr>
          <w:sz w:val="22"/>
        </w:rPr>
        <w:t>should</w:t>
      </w:r>
      <w:r>
        <w:rPr>
          <w:spacing w:val="-4"/>
          <w:sz w:val="22"/>
        </w:rPr>
        <w:t> </w:t>
      </w:r>
      <w:r>
        <w:rPr>
          <w:sz w:val="22"/>
        </w:rPr>
        <w:t>be</w:t>
      </w:r>
      <w:r>
        <w:rPr>
          <w:spacing w:val="-4"/>
          <w:sz w:val="22"/>
        </w:rPr>
        <w:t> </w:t>
      </w:r>
      <w:r>
        <w:rPr>
          <w:sz w:val="22"/>
        </w:rPr>
        <w:t>total</w:t>
      </w:r>
      <w:r>
        <w:rPr>
          <w:spacing w:val="-4"/>
          <w:sz w:val="22"/>
        </w:rPr>
        <w:t> </w:t>
      </w:r>
      <w:r>
        <w:rPr>
          <w:sz w:val="22"/>
        </w:rPr>
        <w:t>transparency</w:t>
      </w:r>
      <w:r>
        <w:rPr>
          <w:spacing w:val="-4"/>
          <w:sz w:val="22"/>
        </w:rPr>
        <w:t> </w:t>
      </w:r>
      <w:r>
        <w:rPr>
          <w:sz w:val="22"/>
        </w:rPr>
        <w:t>on</w:t>
      </w:r>
      <w:r>
        <w:rPr>
          <w:spacing w:val="-4"/>
          <w:sz w:val="22"/>
        </w:rPr>
        <w:t> </w:t>
      </w:r>
      <w:r>
        <w:rPr>
          <w:sz w:val="22"/>
        </w:rPr>
        <w:t>all</w:t>
      </w:r>
      <w:r>
        <w:rPr>
          <w:spacing w:val="-4"/>
          <w:sz w:val="22"/>
        </w:rPr>
        <w:t> </w:t>
      </w:r>
      <w:r>
        <w:rPr>
          <w:sz w:val="22"/>
        </w:rPr>
        <w:t>transfer </w:t>
      </w:r>
      <w:r>
        <w:rPr>
          <w:spacing w:val="-6"/>
          <w:sz w:val="22"/>
        </w:rPr>
        <w:t>or</w:t>
      </w:r>
      <w:r>
        <w:rPr>
          <w:spacing w:val="-8"/>
          <w:sz w:val="22"/>
        </w:rPr>
        <w:t> </w:t>
      </w:r>
      <w:r>
        <w:rPr>
          <w:spacing w:val="-6"/>
          <w:sz w:val="22"/>
        </w:rPr>
        <w:t>exchange</w:t>
      </w:r>
      <w:r>
        <w:rPr>
          <w:spacing w:val="-8"/>
          <w:sz w:val="22"/>
        </w:rPr>
        <w:t> </w:t>
      </w:r>
      <w:r>
        <w:rPr>
          <w:spacing w:val="-6"/>
          <w:sz w:val="22"/>
        </w:rPr>
        <w:t>of</w:t>
      </w:r>
      <w:r>
        <w:rPr>
          <w:spacing w:val="-8"/>
          <w:sz w:val="22"/>
        </w:rPr>
        <w:t> </w:t>
      </w:r>
      <w:r>
        <w:rPr>
          <w:spacing w:val="-6"/>
          <w:sz w:val="22"/>
        </w:rPr>
        <w:t>genetic</w:t>
      </w:r>
      <w:r>
        <w:rPr>
          <w:spacing w:val="-7"/>
          <w:sz w:val="22"/>
        </w:rPr>
        <w:t> </w:t>
      </w:r>
      <w:r>
        <w:rPr>
          <w:spacing w:val="-6"/>
          <w:sz w:val="22"/>
        </w:rPr>
        <w:t>material,</w:t>
      </w:r>
      <w:r>
        <w:rPr>
          <w:spacing w:val="-8"/>
          <w:sz w:val="22"/>
        </w:rPr>
        <w:t> </w:t>
      </w:r>
      <w:r>
        <w:rPr>
          <w:spacing w:val="-6"/>
          <w:sz w:val="22"/>
        </w:rPr>
        <w:t>and</w:t>
      </w:r>
      <w:r>
        <w:rPr>
          <w:spacing w:val="-8"/>
          <w:sz w:val="22"/>
        </w:rPr>
        <w:t> </w:t>
      </w:r>
      <w:r>
        <w:rPr>
          <w:spacing w:val="-6"/>
          <w:sz w:val="22"/>
        </w:rPr>
        <w:t>clear</w:t>
      </w:r>
      <w:r>
        <w:rPr>
          <w:spacing w:val="-8"/>
          <w:sz w:val="22"/>
        </w:rPr>
        <w:t> </w:t>
      </w:r>
      <w:r>
        <w:rPr>
          <w:spacing w:val="-6"/>
          <w:sz w:val="22"/>
        </w:rPr>
        <w:t>regulation to</w:t>
      </w:r>
      <w:r>
        <w:rPr>
          <w:spacing w:val="-8"/>
          <w:sz w:val="22"/>
        </w:rPr>
        <w:t> </w:t>
      </w:r>
      <w:r>
        <w:rPr>
          <w:spacing w:val="-6"/>
          <w:sz w:val="22"/>
        </w:rPr>
        <w:t>prevent</w:t>
      </w:r>
      <w:r>
        <w:rPr>
          <w:spacing w:val="-8"/>
          <w:sz w:val="22"/>
        </w:rPr>
        <w:t> </w:t>
      </w:r>
      <w:r>
        <w:rPr>
          <w:spacing w:val="-6"/>
          <w:sz w:val="22"/>
        </w:rPr>
        <w:t>private</w:t>
      </w:r>
      <w:r>
        <w:rPr>
          <w:spacing w:val="-8"/>
          <w:sz w:val="22"/>
        </w:rPr>
        <w:t> </w:t>
      </w:r>
      <w:r>
        <w:rPr>
          <w:spacing w:val="-6"/>
          <w:sz w:val="22"/>
        </w:rPr>
        <w:t>appropriation</w:t>
      </w:r>
      <w:r>
        <w:rPr>
          <w:spacing w:val="-7"/>
          <w:sz w:val="22"/>
        </w:rPr>
        <w:t> </w:t>
      </w:r>
      <w:r>
        <w:rPr>
          <w:spacing w:val="-6"/>
          <w:sz w:val="22"/>
        </w:rPr>
        <w:t>of</w:t>
      </w:r>
      <w:r>
        <w:rPr>
          <w:spacing w:val="-8"/>
          <w:sz w:val="22"/>
        </w:rPr>
        <w:t> </w:t>
      </w:r>
      <w:r>
        <w:rPr>
          <w:spacing w:val="-6"/>
          <w:sz w:val="22"/>
        </w:rPr>
        <w:t>farmers’</w:t>
      </w:r>
      <w:r>
        <w:rPr>
          <w:spacing w:val="-8"/>
          <w:sz w:val="22"/>
        </w:rPr>
        <w:t> </w:t>
      </w:r>
      <w:r>
        <w:rPr>
          <w:spacing w:val="-6"/>
          <w:sz w:val="22"/>
        </w:rPr>
        <w:t>varieties </w:t>
      </w:r>
      <w:r>
        <w:rPr>
          <w:sz w:val="22"/>
        </w:rPr>
        <w:t>and animal stocks by misusing IPRs within or outside country.</w:t>
      </w:r>
    </w:p>
    <w:p>
      <w:pPr>
        <w:pStyle w:val="ListParagraph"/>
        <w:numPr>
          <w:ilvl w:val="2"/>
          <w:numId w:val="63"/>
        </w:numPr>
        <w:tabs>
          <w:tab w:pos="1439" w:val="left" w:leader="none"/>
        </w:tabs>
        <w:spacing w:line="266" w:lineRule="auto" w:before="0" w:after="0"/>
        <w:ind w:left="1439" w:right="0" w:hanging="360"/>
        <w:jc w:val="both"/>
        <w:rPr>
          <w:sz w:val="22"/>
        </w:rPr>
      </w:pPr>
      <w:r>
        <w:rPr>
          <w:sz w:val="22"/>
        </w:rPr>
        <w:t>The ICAR and SAUs must lay down </w:t>
      </w:r>
      <w:r>
        <w:rPr>
          <w:sz w:val="22"/>
        </w:rPr>
        <w:t>clear guidelines</w:t>
      </w:r>
      <w:r>
        <w:rPr>
          <w:spacing w:val="-2"/>
          <w:sz w:val="22"/>
        </w:rPr>
        <w:t> </w:t>
      </w:r>
      <w:r>
        <w:rPr>
          <w:sz w:val="22"/>
        </w:rPr>
        <w:t>to</w:t>
      </w:r>
      <w:r>
        <w:rPr>
          <w:spacing w:val="-2"/>
          <w:sz w:val="22"/>
        </w:rPr>
        <w:t> </w:t>
      </w:r>
      <w:r>
        <w:rPr>
          <w:sz w:val="22"/>
        </w:rPr>
        <w:t>ensure</w:t>
      </w:r>
      <w:r>
        <w:rPr>
          <w:spacing w:val="-2"/>
          <w:sz w:val="22"/>
        </w:rPr>
        <w:t> </w:t>
      </w:r>
      <w:r>
        <w:rPr>
          <w:sz w:val="22"/>
        </w:rPr>
        <w:t>benefit</w:t>
      </w:r>
      <w:r>
        <w:rPr>
          <w:spacing w:val="-2"/>
          <w:sz w:val="22"/>
        </w:rPr>
        <w:t> </w:t>
      </w:r>
      <w:r>
        <w:rPr>
          <w:sz w:val="22"/>
        </w:rPr>
        <w:t>sharing</w:t>
      </w:r>
      <w:r>
        <w:rPr>
          <w:spacing w:val="-2"/>
          <w:sz w:val="22"/>
        </w:rPr>
        <w:t> </w:t>
      </w:r>
      <w:r>
        <w:rPr>
          <w:sz w:val="22"/>
        </w:rPr>
        <w:t>with</w:t>
      </w:r>
      <w:r>
        <w:rPr>
          <w:spacing w:val="-2"/>
          <w:sz w:val="22"/>
        </w:rPr>
        <w:t> </w:t>
      </w:r>
      <w:r>
        <w:rPr>
          <w:sz w:val="22"/>
        </w:rPr>
        <w:t>farmers </w:t>
      </w:r>
      <w:r>
        <w:rPr>
          <w:spacing w:val="-4"/>
          <w:sz w:val="22"/>
        </w:rPr>
        <w:t>who</w:t>
      </w:r>
      <w:r>
        <w:rPr>
          <w:spacing w:val="-8"/>
          <w:sz w:val="22"/>
        </w:rPr>
        <w:t> </w:t>
      </w:r>
      <w:r>
        <w:rPr>
          <w:spacing w:val="-4"/>
          <w:sz w:val="22"/>
        </w:rPr>
        <w:t>have</w:t>
      </w:r>
      <w:r>
        <w:rPr>
          <w:spacing w:val="-8"/>
          <w:sz w:val="22"/>
        </w:rPr>
        <w:t> </w:t>
      </w:r>
      <w:r>
        <w:rPr>
          <w:spacing w:val="-4"/>
          <w:sz w:val="22"/>
        </w:rPr>
        <w:t>preserved</w:t>
      </w:r>
      <w:r>
        <w:rPr>
          <w:spacing w:val="-8"/>
          <w:sz w:val="22"/>
        </w:rPr>
        <w:t> </w:t>
      </w:r>
      <w:r>
        <w:rPr>
          <w:spacing w:val="-4"/>
          <w:sz w:val="22"/>
        </w:rPr>
        <w:t>genetic</w:t>
      </w:r>
      <w:r>
        <w:rPr>
          <w:spacing w:val="-8"/>
          <w:sz w:val="22"/>
        </w:rPr>
        <w:t> </w:t>
      </w:r>
      <w:r>
        <w:rPr>
          <w:spacing w:val="-4"/>
          <w:sz w:val="22"/>
        </w:rPr>
        <w:t>resources,</w:t>
      </w:r>
      <w:r>
        <w:rPr>
          <w:spacing w:val="-8"/>
          <w:sz w:val="22"/>
        </w:rPr>
        <w:t> </w:t>
      </w:r>
      <w:r>
        <w:rPr>
          <w:spacing w:val="-4"/>
          <w:sz w:val="22"/>
        </w:rPr>
        <w:t>with</w:t>
      </w:r>
      <w:r>
        <w:rPr>
          <w:spacing w:val="-8"/>
          <w:sz w:val="22"/>
        </w:rPr>
        <w:t> </w:t>
      </w:r>
      <w:r>
        <w:rPr>
          <w:spacing w:val="-4"/>
          <w:sz w:val="22"/>
        </w:rPr>
        <w:t>respect </w:t>
      </w:r>
      <w:r>
        <w:rPr>
          <w:sz w:val="22"/>
        </w:rPr>
        <w:t>to</w:t>
      </w:r>
      <w:r>
        <w:rPr>
          <w:spacing w:val="-5"/>
          <w:sz w:val="22"/>
        </w:rPr>
        <w:t> </w:t>
      </w:r>
      <w:r>
        <w:rPr>
          <w:sz w:val="22"/>
        </w:rPr>
        <w:t>themselves</w:t>
      </w:r>
      <w:r>
        <w:rPr>
          <w:spacing w:val="-5"/>
          <w:sz w:val="22"/>
        </w:rPr>
        <w:t> </w:t>
      </w:r>
      <w:r>
        <w:rPr>
          <w:sz w:val="22"/>
        </w:rPr>
        <w:t>and</w:t>
      </w:r>
      <w:r>
        <w:rPr>
          <w:spacing w:val="-5"/>
          <w:sz w:val="22"/>
        </w:rPr>
        <w:t> </w:t>
      </w:r>
      <w:r>
        <w:rPr>
          <w:sz w:val="22"/>
        </w:rPr>
        <w:t>also</w:t>
      </w:r>
      <w:r>
        <w:rPr>
          <w:spacing w:val="-5"/>
          <w:sz w:val="22"/>
        </w:rPr>
        <w:t> </w:t>
      </w:r>
      <w:r>
        <w:rPr>
          <w:sz w:val="22"/>
        </w:rPr>
        <w:t>other</w:t>
      </w:r>
      <w:r>
        <w:rPr>
          <w:spacing w:val="-5"/>
          <w:sz w:val="22"/>
        </w:rPr>
        <w:t> </w:t>
      </w:r>
      <w:r>
        <w:rPr>
          <w:sz w:val="22"/>
        </w:rPr>
        <w:t>commercial</w:t>
      </w:r>
      <w:r>
        <w:rPr>
          <w:spacing w:val="-5"/>
          <w:sz w:val="22"/>
        </w:rPr>
        <w:t> </w:t>
      </w:r>
      <w:r>
        <w:rPr>
          <w:sz w:val="22"/>
        </w:rPr>
        <w:t>parties.</w:t>
      </w:r>
    </w:p>
    <w:p>
      <w:pPr>
        <w:pStyle w:val="Heading7"/>
        <w:numPr>
          <w:ilvl w:val="1"/>
          <w:numId w:val="63"/>
        </w:numPr>
        <w:tabs>
          <w:tab w:pos="1343" w:val="left" w:leader="none"/>
          <w:tab w:pos="1345" w:val="left" w:leader="none"/>
        </w:tabs>
        <w:spacing w:line="225" w:lineRule="auto" w:before="243" w:after="0"/>
        <w:ind w:left="1345" w:right="0" w:hanging="266"/>
        <w:jc w:val="both"/>
      </w:pPr>
      <w:r>
        <w:rPr>
          <w:color w:val="2E614A"/>
          <w:w w:val="90"/>
        </w:rPr>
        <w:t>Encourage</w:t>
      </w:r>
      <w:r>
        <w:rPr>
          <w:color w:val="2E614A"/>
          <w:spacing w:val="-8"/>
          <w:w w:val="90"/>
        </w:rPr>
        <w:t> </w:t>
      </w:r>
      <w:r>
        <w:rPr>
          <w:color w:val="2E614A"/>
          <w:w w:val="90"/>
        </w:rPr>
        <w:t>and</w:t>
      </w:r>
      <w:r>
        <w:rPr>
          <w:color w:val="2E614A"/>
          <w:spacing w:val="-8"/>
          <w:w w:val="90"/>
        </w:rPr>
        <w:t> </w:t>
      </w:r>
      <w:r>
        <w:rPr>
          <w:color w:val="2E614A"/>
          <w:w w:val="90"/>
        </w:rPr>
        <w:t>regulate</w:t>
      </w:r>
      <w:r>
        <w:rPr>
          <w:color w:val="2E614A"/>
          <w:spacing w:val="-8"/>
          <w:w w:val="90"/>
        </w:rPr>
        <w:t> </w:t>
      </w:r>
      <w:r>
        <w:rPr>
          <w:color w:val="2E614A"/>
          <w:w w:val="90"/>
        </w:rPr>
        <w:t>private</w:t>
      </w:r>
      <w:r>
        <w:rPr>
          <w:color w:val="2E614A"/>
          <w:spacing w:val="-8"/>
          <w:w w:val="90"/>
        </w:rPr>
        <w:t> </w:t>
      </w:r>
      <w:r>
        <w:rPr>
          <w:color w:val="2E614A"/>
          <w:w w:val="90"/>
        </w:rPr>
        <w:t>agricultural </w:t>
      </w:r>
      <w:r>
        <w:rPr>
          <w:color w:val="2E614A"/>
          <w:spacing w:val="-2"/>
        </w:rPr>
        <w:t>research</w:t>
      </w:r>
    </w:p>
    <w:p>
      <w:pPr>
        <w:pStyle w:val="ListParagraph"/>
        <w:numPr>
          <w:ilvl w:val="2"/>
          <w:numId w:val="63"/>
        </w:numPr>
        <w:tabs>
          <w:tab w:pos="1439" w:val="left" w:leader="none"/>
        </w:tabs>
        <w:spacing w:line="266" w:lineRule="auto" w:before="291" w:after="0"/>
        <w:ind w:left="1439" w:right="0" w:hanging="360"/>
        <w:jc w:val="both"/>
        <w:rPr>
          <w:sz w:val="22"/>
        </w:rPr>
      </w:pPr>
      <w:r>
        <w:rPr>
          <w:spacing w:val="-2"/>
          <w:sz w:val="22"/>
        </w:rPr>
        <w:t>While</w:t>
      </w:r>
      <w:r>
        <w:rPr>
          <w:spacing w:val="-11"/>
          <w:sz w:val="22"/>
        </w:rPr>
        <w:t> </w:t>
      </w:r>
      <w:r>
        <w:rPr>
          <w:spacing w:val="-2"/>
          <w:sz w:val="22"/>
        </w:rPr>
        <w:t>private</w:t>
      </w:r>
      <w:r>
        <w:rPr>
          <w:spacing w:val="-11"/>
          <w:sz w:val="22"/>
        </w:rPr>
        <w:t> </w:t>
      </w:r>
      <w:r>
        <w:rPr>
          <w:spacing w:val="-2"/>
          <w:sz w:val="22"/>
        </w:rPr>
        <w:t>sector</w:t>
      </w:r>
      <w:r>
        <w:rPr>
          <w:spacing w:val="-11"/>
          <w:sz w:val="22"/>
        </w:rPr>
        <w:t> </w:t>
      </w:r>
      <w:r>
        <w:rPr>
          <w:spacing w:val="-2"/>
          <w:sz w:val="22"/>
        </w:rPr>
        <w:t>presence</w:t>
      </w:r>
      <w:r>
        <w:rPr>
          <w:spacing w:val="-11"/>
          <w:sz w:val="22"/>
        </w:rPr>
        <w:t> </w:t>
      </w:r>
      <w:r>
        <w:rPr>
          <w:spacing w:val="-2"/>
          <w:sz w:val="22"/>
        </w:rPr>
        <w:t>is</w:t>
      </w:r>
      <w:r>
        <w:rPr>
          <w:spacing w:val="-11"/>
          <w:sz w:val="22"/>
        </w:rPr>
        <w:t> </w:t>
      </w:r>
      <w:r>
        <w:rPr>
          <w:spacing w:val="-2"/>
          <w:sz w:val="22"/>
        </w:rPr>
        <w:t>rapidly</w:t>
      </w:r>
      <w:r>
        <w:rPr>
          <w:spacing w:val="-11"/>
          <w:sz w:val="22"/>
        </w:rPr>
        <w:t> </w:t>
      </w:r>
      <w:r>
        <w:rPr>
          <w:spacing w:val="-2"/>
          <w:sz w:val="22"/>
        </w:rPr>
        <w:t>increasing </w:t>
      </w:r>
      <w:r>
        <w:rPr>
          <w:spacing w:val="-4"/>
          <w:sz w:val="22"/>
        </w:rPr>
        <w:t>in biotechnology, critical input services and related </w:t>
      </w:r>
      <w:r>
        <w:rPr>
          <w:sz w:val="22"/>
        </w:rPr>
        <w:t>areas, the thrust of private activity is on market- driven knowledge and services. Public-private </w:t>
      </w:r>
      <w:r>
        <w:rPr>
          <w:spacing w:val="-6"/>
          <w:sz w:val="22"/>
        </w:rPr>
        <w:t>partnerships should be leveraged to benefit resource </w:t>
      </w:r>
      <w:r>
        <w:rPr>
          <w:sz w:val="22"/>
        </w:rPr>
        <w:t>poor</w:t>
      </w:r>
      <w:r>
        <w:rPr>
          <w:spacing w:val="-7"/>
          <w:sz w:val="22"/>
        </w:rPr>
        <w:t> </w:t>
      </w:r>
      <w:r>
        <w:rPr>
          <w:sz w:val="22"/>
        </w:rPr>
        <w:t>farmers,</w:t>
      </w:r>
      <w:r>
        <w:rPr>
          <w:spacing w:val="-7"/>
          <w:sz w:val="22"/>
        </w:rPr>
        <w:t> </w:t>
      </w:r>
      <w:r>
        <w:rPr>
          <w:sz w:val="22"/>
        </w:rPr>
        <w:t>who</w:t>
      </w:r>
      <w:r>
        <w:rPr>
          <w:spacing w:val="-7"/>
          <w:sz w:val="22"/>
        </w:rPr>
        <w:t> </w:t>
      </w:r>
      <w:r>
        <w:rPr>
          <w:sz w:val="22"/>
        </w:rPr>
        <w:t>tend</w:t>
      </w:r>
      <w:r>
        <w:rPr>
          <w:spacing w:val="-7"/>
          <w:sz w:val="22"/>
        </w:rPr>
        <w:t> </w:t>
      </w:r>
      <w:r>
        <w:rPr>
          <w:sz w:val="22"/>
        </w:rPr>
        <w:t>to</w:t>
      </w:r>
      <w:r>
        <w:rPr>
          <w:spacing w:val="-7"/>
          <w:sz w:val="22"/>
        </w:rPr>
        <w:t> </w:t>
      </w:r>
      <w:r>
        <w:rPr>
          <w:sz w:val="22"/>
        </w:rPr>
        <w:t>have</w:t>
      </w:r>
      <w:r>
        <w:rPr>
          <w:spacing w:val="-7"/>
          <w:sz w:val="22"/>
        </w:rPr>
        <w:t> </w:t>
      </w:r>
      <w:r>
        <w:rPr>
          <w:sz w:val="22"/>
        </w:rPr>
        <w:t>less</w:t>
      </w:r>
      <w:r>
        <w:rPr>
          <w:spacing w:val="-7"/>
          <w:sz w:val="22"/>
        </w:rPr>
        <w:t> </w:t>
      </w:r>
      <w:r>
        <w:rPr>
          <w:sz w:val="22"/>
        </w:rPr>
        <w:t>access</w:t>
      </w:r>
      <w:r>
        <w:rPr>
          <w:spacing w:val="-7"/>
          <w:sz w:val="22"/>
        </w:rPr>
        <w:t> </w:t>
      </w:r>
      <w:r>
        <w:rPr>
          <w:sz w:val="22"/>
        </w:rPr>
        <w:t>and</w:t>
      </w:r>
      <w:r>
        <w:rPr>
          <w:spacing w:val="-7"/>
          <w:sz w:val="22"/>
        </w:rPr>
        <w:t> </w:t>
      </w:r>
      <w:r>
        <w:rPr>
          <w:sz w:val="22"/>
        </w:rPr>
        <w:t>to </w:t>
      </w:r>
      <w:r>
        <w:rPr>
          <w:spacing w:val="-2"/>
          <w:sz w:val="22"/>
        </w:rPr>
        <w:t>ensure</w:t>
      </w:r>
      <w:r>
        <w:rPr>
          <w:spacing w:val="-10"/>
          <w:sz w:val="22"/>
        </w:rPr>
        <w:t> </w:t>
      </w:r>
      <w:r>
        <w:rPr>
          <w:spacing w:val="-2"/>
          <w:sz w:val="22"/>
        </w:rPr>
        <w:t>that</w:t>
      </w:r>
      <w:r>
        <w:rPr>
          <w:spacing w:val="-10"/>
          <w:sz w:val="22"/>
        </w:rPr>
        <w:t> </w:t>
      </w:r>
      <w:r>
        <w:rPr>
          <w:spacing w:val="-2"/>
          <w:sz w:val="22"/>
        </w:rPr>
        <w:t>private</w:t>
      </w:r>
      <w:r>
        <w:rPr>
          <w:spacing w:val="-10"/>
          <w:sz w:val="22"/>
        </w:rPr>
        <w:t> </w:t>
      </w:r>
      <w:r>
        <w:rPr>
          <w:spacing w:val="-2"/>
          <w:sz w:val="22"/>
        </w:rPr>
        <w:t>research</w:t>
      </w:r>
      <w:r>
        <w:rPr>
          <w:spacing w:val="-10"/>
          <w:sz w:val="22"/>
        </w:rPr>
        <w:t> </w:t>
      </w:r>
      <w:r>
        <w:rPr>
          <w:spacing w:val="-2"/>
          <w:sz w:val="22"/>
        </w:rPr>
        <w:t>meets</w:t>
      </w:r>
      <w:r>
        <w:rPr>
          <w:spacing w:val="-10"/>
          <w:sz w:val="22"/>
        </w:rPr>
        <w:t> </w:t>
      </w:r>
      <w:r>
        <w:rPr>
          <w:spacing w:val="-2"/>
          <w:sz w:val="22"/>
        </w:rPr>
        <w:t>social</w:t>
      </w:r>
      <w:r>
        <w:rPr>
          <w:spacing w:val="-10"/>
          <w:sz w:val="22"/>
        </w:rPr>
        <w:t> </w:t>
      </w:r>
      <w:r>
        <w:rPr>
          <w:spacing w:val="-2"/>
          <w:sz w:val="22"/>
        </w:rPr>
        <w:t>needs.</w:t>
      </w:r>
    </w:p>
    <w:p>
      <w:pPr>
        <w:pStyle w:val="ListParagraph"/>
        <w:numPr>
          <w:ilvl w:val="2"/>
          <w:numId w:val="63"/>
        </w:numPr>
        <w:tabs>
          <w:tab w:pos="1439" w:val="left" w:leader="none"/>
        </w:tabs>
        <w:spacing w:line="266" w:lineRule="auto" w:before="0" w:after="0"/>
        <w:ind w:left="1439" w:right="0" w:hanging="360"/>
        <w:jc w:val="both"/>
        <w:rPr>
          <w:sz w:val="22"/>
        </w:rPr>
      </w:pPr>
      <w:r>
        <w:rPr>
          <w:sz w:val="22"/>
        </w:rPr>
        <w:t>In</w:t>
      </w:r>
      <w:r>
        <w:rPr>
          <w:spacing w:val="-12"/>
          <w:sz w:val="22"/>
        </w:rPr>
        <w:t> </w:t>
      </w:r>
      <w:r>
        <w:rPr>
          <w:sz w:val="22"/>
        </w:rPr>
        <w:t>the</w:t>
      </w:r>
      <w:r>
        <w:rPr>
          <w:spacing w:val="-12"/>
          <w:sz w:val="22"/>
        </w:rPr>
        <w:t> </w:t>
      </w:r>
      <w:r>
        <w:rPr>
          <w:sz w:val="22"/>
        </w:rPr>
        <w:t>case</w:t>
      </w:r>
      <w:r>
        <w:rPr>
          <w:spacing w:val="-12"/>
          <w:sz w:val="22"/>
        </w:rPr>
        <w:t> </w:t>
      </w:r>
      <w:r>
        <w:rPr>
          <w:sz w:val="22"/>
        </w:rPr>
        <w:t>of</w:t>
      </w:r>
      <w:r>
        <w:rPr>
          <w:spacing w:val="-12"/>
          <w:sz w:val="22"/>
        </w:rPr>
        <w:t> </w:t>
      </w:r>
      <w:r>
        <w:rPr>
          <w:sz w:val="22"/>
        </w:rPr>
        <w:t>biotechnology</w:t>
      </w:r>
      <w:r>
        <w:rPr>
          <w:spacing w:val="-12"/>
          <w:sz w:val="22"/>
        </w:rPr>
        <w:t> </w:t>
      </w:r>
      <w:r>
        <w:rPr>
          <w:sz w:val="22"/>
        </w:rPr>
        <w:t>and</w:t>
      </w:r>
      <w:r>
        <w:rPr>
          <w:spacing w:val="-12"/>
          <w:sz w:val="22"/>
        </w:rPr>
        <w:t> </w:t>
      </w:r>
      <w:r>
        <w:rPr>
          <w:sz w:val="22"/>
        </w:rPr>
        <w:t>its</w:t>
      </w:r>
      <w:r>
        <w:rPr>
          <w:spacing w:val="-12"/>
          <w:sz w:val="22"/>
        </w:rPr>
        <w:t> </w:t>
      </w:r>
      <w:r>
        <w:rPr>
          <w:sz w:val="22"/>
        </w:rPr>
        <w:t>application</w:t>
      </w:r>
      <w:r>
        <w:rPr>
          <w:spacing w:val="-12"/>
          <w:sz w:val="22"/>
        </w:rPr>
        <w:t> </w:t>
      </w:r>
      <w:r>
        <w:rPr>
          <w:sz w:val="22"/>
        </w:rPr>
        <w:t>to crop plants and animals, particularly those in the </w:t>
      </w:r>
      <w:r>
        <w:rPr>
          <w:spacing w:val="-2"/>
          <w:sz w:val="22"/>
        </w:rPr>
        <w:t>food</w:t>
      </w:r>
      <w:r>
        <w:rPr>
          <w:spacing w:val="-12"/>
          <w:sz w:val="22"/>
        </w:rPr>
        <w:t> </w:t>
      </w:r>
      <w:r>
        <w:rPr>
          <w:spacing w:val="-2"/>
          <w:sz w:val="22"/>
        </w:rPr>
        <w:t>and</w:t>
      </w:r>
      <w:r>
        <w:rPr>
          <w:spacing w:val="-12"/>
          <w:sz w:val="22"/>
        </w:rPr>
        <w:t> </w:t>
      </w:r>
      <w:r>
        <w:rPr>
          <w:spacing w:val="-2"/>
          <w:sz w:val="22"/>
        </w:rPr>
        <w:t>feed</w:t>
      </w:r>
      <w:r>
        <w:rPr>
          <w:spacing w:val="-12"/>
          <w:sz w:val="22"/>
        </w:rPr>
        <w:t> </w:t>
      </w:r>
      <w:r>
        <w:rPr>
          <w:spacing w:val="-2"/>
          <w:sz w:val="22"/>
        </w:rPr>
        <w:t>chain,</w:t>
      </w:r>
      <w:r>
        <w:rPr>
          <w:spacing w:val="-11"/>
          <w:sz w:val="22"/>
        </w:rPr>
        <w:t> </w:t>
      </w:r>
      <w:r>
        <w:rPr>
          <w:spacing w:val="-2"/>
          <w:sz w:val="22"/>
        </w:rPr>
        <w:t>research</w:t>
      </w:r>
      <w:r>
        <w:rPr>
          <w:spacing w:val="-12"/>
          <w:sz w:val="22"/>
        </w:rPr>
        <w:t> </w:t>
      </w:r>
      <w:r>
        <w:rPr>
          <w:spacing w:val="-2"/>
          <w:sz w:val="22"/>
        </w:rPr>
        <w:t>on</w:t>
      </w:r>
      <w:r>
        <w:rPr>
          <w:spacing w:val="-12"/>
          <w:sz w:val="22"/>
        </w:rPr>
        <w:t> </w:t>
      </w:r>
      <w:r>
        <w:rPr>
          <w:spacing w:val="-2"/>
          <w:sz w:val="22"/>
        </w:rPr>
        <w:t>bio-safety</w:t>
      </w:r>
      <w:r>
        <w:rPr>
          <w:spacing w:val="-12"/>
          <w:sz w:val="22"/>
        </w:rPr>
        <w:t> </w:t>
      </w:r>
      <w:r>
        <w:rPr>
          <w:spacing w:val="-2"/>
          <w:sz w:val="22"/>
        </w:rPr>
        <w:t>aspects </w:t>
      </w:r>
      <w:r>
        <w:rPr>
          <w:sz w:val="22"/>
        </w:rPr>
        <w:t>and</w:t>
      </w:r>
      <w:r>
        <w:rPr>
          <w:spacing w:val="-4"/>
          <w:sz w:val="22"/>
        </w:rPr>
        <w:t> </w:t>
      </w:r>
      <w:r>
        <w:rPr>
          <w:sz w:val="22"/>
        </w:rPr>
        <w:t>processes</w:t>
      </w:r>
      <w:r>
        <w:rPr>
          <w:spacing w:val="-4"/>
          <w:sz w:val="22"/>
        </w:rPr>
        <w:t> </w:t>
      </w:r>
      <w:r>
        <w:rPr>
          <w:sz w:val="22"/>
        </w:rPr>
        <w:t>leading</w:t>
      </w:r>
      <w:r>
        <w:rPr>
          <w:spacing w:val="-4"/>
          <w:sz w:val="22"/>
        </w:rPr>
        <w:t> </w:t>
      </w:r>
      <w:r>
        <w:rPr>
          <w:sz w:val="22"/>
        </w:rPr>
        <w:t>to</w:t>
      </w:r>
      <w:r>
        <w:rPr>
          <w:spacing w:val="-4"/>
          <w:sz w:val="22"/>
        </w:rPr>
        <w:t> </w:t>
      </w:r>
      <w:r>
        <w:rPr>
          <w:sz w:val="22"/>
        </w:rPr>
        <w:t>the</w:t>
      </w:r>
      <w:r>
        <w:rPr>
          <w:spacing w:val="-4"/>
          <w:sz w:val="22"/>
        </w:rPr>
        <w:t> </w:t>
      </w:r>
      <w:r>
        <w:rPr>
          <w:sz w:val="22"/>
        </w:rPr>
        <w:t>release</w:t>
      </w:r>
      <w:r>
        <w:rPr>
          <w:spacing w:val="-4"/>
          <w:sz w:val="22"/>
        </w:rPr>
        <w:t> </w:t>
      </w:r>
      <w:r>
        <w:rPr>
          <w:sz w:val="22"/>
        </w:rPr>
        <w:t>of</w:t>
      </w:r>
      <w:r>
        <w:rPr>
          <w:spacing w:val="-4"/>
          <w:sz w:val="22"/>
        </w:rPr>
        <w:t> </w:t>
      </w:r>
      <w:r>
        <w:rPr>
          <w:sz w:val="22"/>
        </w:rPr>
        <w:t>such</w:t>
      </w:r>
      <w:r>
        <w:rPr>
          <w:spacing w:val="-4"/>
          <w:sz w:val="22"/>
        </w:rPr>
        <w:t> </w:t>
      </w:r>
      <w:r>
        <w:rPr>
          <w:sz w:val="22"/>
        </w:rPr>
        <w:t>plant varieties in the environment should assume the </w:t>
      </w:r>
      <w:r>
        <w:rPr>
          <w:spacing w:val="-4"/>
          <w:sz w:val="22"/>
        </w:rPr>
        <w:t>highest</w:t>
      </w:r>
      <w:r>
        <w:rPr>
          <w:spacing w:val="-8"/>
          <w:sz w:val="22"/>
        </w:rPr>
        <w:t> </w:t>
      </w:r>
      <w:r>
        <w:rPr>
          <w:spacing w:val="-4"/>
          <w:sz w:val="22"/>
        </w:rPr>
        <w:t>priority,</w:t>
      </w:r>
      <w:r>
        <w:rPr>
          <w:spacing w:val="-8"/>
          <w:sz w:val="22"/>
        </w:rPr>
        <w:t> </w:t>
      </w:r>
      <w:r>
        <w:rPr>
          <w:spacing w:val="-4"/>
          <w:sz w:val="22"/>
        </w:rPr>
        <w:t>with</w:t>
      </w:r>
      <w:r>
        <w:rPr>
          <w:spacing w:val="-8"/>
          <w:sz w:val="22"/>
        </w:rPr>
        <w:t> </w:t>
      </w:r>
      <w:r>
        <w:rPr>
          <w:spacing w:val="-4"/>
          <w:sz w:val="22"/>
        </w:rPr>
        <w:t>transparency</w:t>
      </w:r>
      <w:r>
        <w:rPr>
          <w:spacing w:val="-8"/>
          <w:sz w:val="22"/>
        </w:rPr>
        <w:t> </w:t>
      </w:r>
      <w:r>
        <w:rPr>
          <w:spacing w:val="-4"/>
          <w:sz w:val="22"/>
        </w:rPr>
        <w:t>and</w:t>
      </w:r>
      <w:r>
        <w:rPr>
          <w:spacing w:val="-8"/>
          <w:sz w:val="22"/>
        </w:rPr>
        <w:t> </w:t>
      </w:r>
      <w:r>
        <w:rPr>
          <w:spacing w:val="-4"/>
          <w:sz w:val="22"/>
        </w:rPr>
        <w:t>civil</w:t>
      </w:r>
      <w:r>
        <w:rPr>
          <w:spacing w:val="-8"/>
          <w:sz w:val="22"/>
        </w:rPr>
        <w:t> </w:t>
      </w:r>
      <w:r>
        <w:rPr>
          <w:spacing w:val="-4"/>
          <w:sz w:val="22"/>
        </w:rPr>
        <w:t>society </w:t>
      </w:r>
      <w:r>
        <w:rPr>
          <w:spacing w:val="-2"/>
          <w:sz w:val="22"/>
        </w:rPr>
        <w:t>participation.</w:t>
      </w:r>
    </w:p>
    <w:p>
      <w:pPr>
        <w:pStyle w:val="ListParagraph"/>
        <w:numPr>
          <w:ilvl w:val="2"/>
          <w:numId w:val="63"/>
        </w:numPr>
        <w:tabs>
          <w:tab w:pos="1439" w:val="left" w:leader="none"/>
        </w:tabs>
        <w:spacing w:line="266" w:lineRule="auto" w:before="0" w:after="0"/>
        <w:ind w:left="1439" w:right="0" w:hanging="360"/>
        <w:jc w:val="both"/>
        <w:rPr>
          <w:sz w:val="22"/>
        </w:rPr>
      </w:pPr>
      <w:r>
        <w:rPr>
          <w:spacing w:val="-6"/>
          <w:sz w:val="22"/>
        </w:rPr>
        <w:t>Systems need to be developed to monitor the results </w:t>
      </w:r>
      <w:r>
        <w:rPr>
          <w:sz w:val="22"/>
        </w:rPr>
        <w:t>of private research so as to avoid the </w:t>
      </w:r>
      <w:r>
        <w:rPr>
          <w:sz w:val="22"/>
        </w:rPr>
        <w:t>problems associated with conflict of interest.</w:t>
      </w:r>
    </w:p>
    <w:p>
      <w:pPr>
        <w:pStyle w:val="Heading6"/>
        <w:numPr>
          <w:ilvl w:val="0"/>
          <w:numId w:val="63"/>
        </w:numPr>
        <w:tabs>
          <w:tab w:pos="1443" w:val="left" w:leader="none"/>
        </w:tabs>
        <w:spacing w:line="240" w:lineRule="auto" w:before="213" w:after="0"/>
        <w:ind w:left="1443" w:right="0" w:hanging="363"/>
        <w:jc w:val="left"/>
      </w:pPr>
      <w:r>
        <w:rPr>
          <w:color w:val="2E614A"/>
          <w:w w:val="90"/>
        </w:rPr>
        <w:t>Knowledge</w:t>
      </w:r>
      <w:r>
        <w:rPr>
          <w:color w:val="2E614A"/>
          <w:spacing w:val="33"/>
        </w:rPr>
        <w:t> </w:t>
      </w:r>
      <w:r>
        <w:rPr>
          <w:color w:val="2E614A"/>
          <w:spacing w:val="-2"/>
        </w:rPr>
        <w:t>Application</w:t>
      </w:r>
    </w:p>
    <w:p>
      <w:pPr>
        <w:pStyle w:val="BodyText"/>
        <w:spacing w:line="266" w:lineRule="auto" w:before="275"/>
        <w:ind w:left="1080"/>
        <w:jc w:val="both"/>
      </w:pPr>
      <w:r>
        <w:rPr/>
        <w:t>The current system of agricultural extension in </w:t>
      </w:r>
      <w:r>
        <w:rPr/>
        <w:t>the country is based on a linear transfer of technology model, which needs to be made more responsive to local</w:t>
      </w:r>
      <w:r>
        <w:rPr>
          <w:spacing w:val="-14"/>
        </w:rPr>
        <w:t> </w:t>
      </w:r>
      <w:r>
        <w:rPr/>
        <w:t>situations</w:t>
      </w:r>
      <w:r>
        <w:rPr>
          <w:spacing w:val="-14"/>
        </w:rPr>
        <w:t> </w:t>
      </w:r>
      <w:r>
        <w:rPr/>
        <w:t>and</w:t>
      </w:r>
      <w:r>
        <w:rPr>
          <w:spacing w:val="-14"/>
        </w:rPr>
        <w:t> </w:t>
      </w:r>
      <w:r>
        <w:rPr/>
        <w:t>community</w:t>
      </w:r>
      <w:r>
        <w:rPr>
          <w:spacing w:val="-13"/>
        </w:rPr>
        <w:t> </w:t>
      </w:r>
      <w:r>
        <w:rPr/>
        <w:t>needs.</w:t>
      </w:r>
      <w:r>
        <w:rPr>
          <w:spacing w:val="-14"/>
        </w:rPr>
        <w:t> </w:t>
      </w:r>
      <w:r>
        <w:rPr/>
        <w:t>To</w:t>
      </w:r>
      <w:r>
        <w:rPr>
          <w:spacing w:val="-14"/>
        </w:rPr>
        <w:t> </w:t>
      </w:r>
      <w:r>
        <w:rPr/>
        <w:t>improve</w:t>
      </w:r>
      <w:r>
        <w:rPr>
          <w:spacing w:val="-14"/>
        </w:rPr>
        <w:t> </w:t>
      </w:r>
      <w:r>
        <w:rPr/>
        <w:t>the </w:t>
      </w:r>
      <w:r>
        <w:rPr>
          <w:spacing w:val="-4"/>
        </w:rPr>
        <w:t>scope</w:t>
      </w:r>
      <w:r>
        <w:rPr>
          <w:spacing w:val="-12"/>
        </w:rPr>
        <w:t> </w:t>
      </w:r>
      <w:r>
        <w:rPr>
          <w:spacing w:val="-4"/>
        </w:rPr>
        <w:t>and</w:t>
      </w:r>
      <w:r>
        <w:rPr>
          <w:spacing w:val="-10"/>
        </w:rPr>
        <w:t> </w:t>
      </w:r>
      <w:r>
        <w:rPr>
          <w:spacing w:val="-4"/>
        </w:rPr>
        <w:t>efficiency</w:t>
      </w:r>
      <w:r>
        <w:rPr>
          <w:spacing w:val="-10"/>
        </w:rPr>
        <w:t> </w:t>
      </w:r>
      <w:r>
        <w:rPr>
          <w:spacing w:val="-4"/>
        </w:rPr>
        <w:t>of</w:t>
      </w:r>
      <w:r>
        <w:rPr>
          <w:spacing w:val="-9"/>
        </w:rPr>
        <w:t> </w:t>
      </w:r>
      <w:r>
        <w:rPr>
          <w:spacing w:val="-4"/>
        </w:rPr>
        <w:t>extension,</w:t>
      </w:r>
      <w:r>
        <w:rPr>
          <w:spacing w:val="-10"/>
        </w:rPr>
        <w:t> </w:t>
      </w:r>
      <w:r>
        <w:rPr>
          <w:spacing w:val="-4"/>
        </w:rPr>
        <w:t>the</w:t>
      </w:r>
      <w:r>
        <w:rPr>
          <w:spacing w:val="-10"/>
        </w:rPr>
        <w:t> </w:t>
      </w:r>
      <w:r>
        <w:rPr>
          <w:spacing w:val="-4"/>
        </w:rPr>
        <w:t>focus</w:t>
      </w:r>
      <w:r>
        <w:rPr>
          <w:spacing w:val="-10"/>
        </w:rPr>
        <w:t> </w:t>
      </w:r>
      <w:r>
        <w:rPr>
          <w:spacing w:val="-4"/>
        </w:rPr>
        <w:t>should</w:t>
      </w:r>
      <w:r>
        <w:rPr>
          <w:spacing w:val="-9"/>
        </w:rPr>
        <w:t> </w:t>
      </w:r>
      <w:r>
        <w:rPr>
          <w:spacing w:val="-4"/>
        </w:rPr>
        <w:t>shift </w:t>
      </w:r>
      <w:r>
        <w:rPr/>
        <w:t>to providing an integrated range of services, making </w:t>
      </w:r>
      <w:r>
        <w:rPr>
          <w:spacing w:val="-6"/>
        </w:rPr>
        <w:t>grass root workers devote more time to location-specific </w:t>
      </w:r>
      <w:r>
        <w:rPr/>
        <w:t>problems</w:t>
      </w:r>
      <w:r>
        <w:rPr>
          <w:spacing w:val="-11"/>
        </w:rPr>
        <w:t> </w:t>
      </w:r>
      <w:r>
        <w:rPr/>
        <w:t>and</w:t>
      </w:r>
      <w:r>
        <w:rPr>
          <w:spacing w:val="-11"/>
        </w:rPr>
        <w:t> </w:t>
      </w:r>
      <w:r>
        <w:rPr/>
        <w:t>be</w:t>
      </w:r>
      <w:r>
        <w:rPr>
          <w:spacing w:val="-11"/>
        </w:rPr>
        <w:t> </w:t>
      </w:r>
      <w:r>
        <w:rPr/>
        <w:t>more</w:t>
      </w:r>
      <w:r>
        <w:rPr>
          <w:spacing w:val="-11"/>
        </w:rPr>
        <w:t> </w:t>
      </w:r>
      <w:r>
        <w:rPr/>
        <w:t>accountable</w:t>
      </w:r>
      <w:r>
        <w:rPr>
          <w:spacing w:val="-11"/>
        </w:rPr>
        <w:t> </w:t>
      </w:r>
      <w:r>
        <w:rPr/>
        <w:t>to</w:t>
      </w:r>
      <w:r>
        <w:rPr>
          <w:spacing w:val="-11"/>
        </w:rPr>
        <w:t> </w:t>
      </w:r>
      <w:r>
        <w:rPr/>
        <w:t>the</w:t>
      </w:r>
      <w:r>
        <w:rPr>
          <w:spacing w:val="-11"/>
        </w:rPr>
        <w:t> </w:t>
      </w:r>
      <w:r>
        <w:rPr/>
        <w:t>community.</w:t>
      </w:r>
    </w:p>
    <w:p>
      <w:pPr>
        <w:pStyle w:val="Heading7"/>
        <w:numPr>
          <w:ilvl w:val="0"/>
          <w:numId w:val="64"/>
        </w:numPr>
        <w:tabs>
          <w:tab w:pos="582" w:val="left" w:leader="none"/>
          <w:tab w:pos="584" w:val="left" w:leader="none"/>
        </w:tabs>
        <w:spacing w:line="225" w:lineRule="auto" w:before="84" w:after="0"/>
        <w:ind w:left="584" w:right="1964" w:hanging="266"/>
        <w:jc w:val="left"/>
      </w:pPr>
      <w:r>
        <w:rPr>
          <w:b w:val="0"/>
        </w:rPr>
        <w:br w:type="column"/>
      </w:r>
      <w:r>
        <w:rPr>
          <w:color w:val="2E614A"/>
          <w:spacing w:val="-2"/>
        </w:rPr>
        <w:t>Make</w:t>
      </w:r>
      <w:r>
        <w:rPr>
          <w:color w:val="2E614A"/>
          <w:spacing w:val="-14"/>
        </w:rPr>
        <w:t> </w:t>
      </w:r>
      <w:r>
        <w:rPr>
          <w:color w:val="2E614A"/>
          <w:spacing w:val="-2"/>
        </w:rPr>
        <w:t>knowledge</w:t>
      </w:r>
      <w:r>
        <w:rPr>
          <w:color w:val="2E614A"/>
          <w:spacing w:val="-14"/>
        </w:rPr>
        <w:t> </w:t>
      </w:r>
      <w:r>
        <w:rPr>
          <w:color w:val="2E614A"/>
          <w:spacing w:val="-2"/>
        </w:rPr>
        <w:t>applications</w:t>
      </w:r>
      <w:r>
        <w:rPr>
          <w:color w:val="2E614A"/>
          <w:spacing w:val="-14"/>
        </w:rPr>
        <w:t> </w:t>
      </w:r>
      <w:r>
        <w:rPr>
          <w:color w:val="2E614A"/>
          <w:spacing w:val="-2"/>
        </w:rPr>
        <w:t>in </w:t>
      </w:r>
      <w:r>
        <w:rPr>
          <w:color w:val="2E614A"/>
          <w:w w:val="90"/>
        </w:rPr>
        <w:t>agriculture community-driven </w:t>
      </w:r>
      <w:r>
        <w:rPr>
          <w:color w:val="2E614A"/>
          <w:w w:val="90"/>
        </w:rPr>
        <w:t>and </w:t>
      </w:r>
      <w:r>
        <w:rPr>
          <w:color w:val="2E614A"/>
          <w:spacing w:val="-2"/>
        </w:rPr>
        <w:t>farmer-led</w:t>
      </w:r>
    </w:p>
    <w:p>
      <w:pPr>
        <w:pStyle w:val="BodyText"/>
        <w:rPr>
          <w:b/>
          <w:sz w:val="26"/>
        </w:rPr>
      </w:pPr>
    </w:p>
    <w:p>
      <w:pPr>
        <w:pStyle w:val="ListParagraph"/>
        <w:numPr>
          <w:ilvl w:val="1"/>
          <w:numId w:val="64"/>
        </w:numPr>
        <w:tabs>
          <w:tab w:pos="679" w:val="left" w:leader="none"/>
        </w:tabs>
        <w:spacing w:line="266" w:lineRule="auto" w:before="0" w:after="0"/>
        <w:ind w:left="679" w:right="1077" w:hanging="360"/>
        <w:jc w:val="both"/>
        <w:rPr>
          <w:sz w:val="22"/>
        </w:rPr>
      </w:pPr>
      <w:r>
        <w:rPr>
          <w:spacing w:val="-4"/>
          <w:sz w:val="22"/>
        </w:rPr>
        <w:t>Bothpanchayatsandcommunity-basedorganisations </w:t>
      </w:r>
      <w:r>
        <w:rPr>
          <w:sz w:val="22"/>
        </w:rPr>
        <w:t>should be treated as platforms for delivery of an integrated range of services from production to post-harvest</w:t>
      </w:r>
      <w:r>
        <w:rPr>
          <w:spacing w:val="-7"/>
          <w:sz w:val="22"/>
        </w:rPr>
        <w:t> </w:t>
      </w:r>
      <w:r>
        <w:rPr>
          <w:sz w:val="22"/>
        </w:rPr>
        <w:t>storage</w:t>
      </w:r>
      <w:r>
        <w:rPr>
          <w:spacing w:val="-7"/>
          <w:sz w:val="22"/>
        </w:rPr>
        <w:t> </w:t>
      </w:r>
      <w:r>
        <w:rPr>
          <w:sz w:val="22"/>
        </w:rPr>
        <w:t>to</w:t>
      </w:r>
      <w:r>
        <w:rPr>
          <w:spacing w:val="-7"/>
          <w:sz w:val="22"/>
        </w:rPr>
        <w:t> </w:t>
      </w:r>
      <w:r>
        <w:rPr>
          <w:sz w:val="22"/>
        </w:rPr>
        <w:t>marketing.</w:t>
      </w:r>
    </w:p>
    <w:p>
      <w:pPr>
        <w:pStyle w:val="ListParagraph"/>
        <w:numPr>
          <w:ilvl w:val="1"/>
          <w:numId w:val="64"/>
        </w:numPr>
        <w:tabs>
          <w:tab w:pos="679" w:val="left" w:leader="none"/>
        </w:tabs>
        <w:spacing w:line="266" w:lineRule="auto" w:before="0" w:after="0"/>
        <w:ind w:left="679" w:right="1078" w:hanging="360"/>
        <w:jc w:val="both"/>
        <w:rPr>
          <w:sz w:val="22"/>
        </w:rPr>
      </w:pPr>
      <w:r>
        <w:rPr>
          <w:sz w:val="22"/>
        </w:rPr>
        <w:t>New</w:t>
      </w:r>
      <w:r>
        <w:rPr>
          <w:spacing w:val="-5"/>
          <w:sz w:val="22"/>
        </w:rPr>
        <w:t> </w:t>
      </w:r>
      <w:r>
        <w:rPr>
          <w:sz w:val="22"/>
        </w:rPr>
        <w:t>methods</w:t>
      </w:r>
      <w:r>
        <w:rPr>
          <w:spacing w:val="-5"/>
          <w:sz w:val="22"/>
        </w:rPr>
        <w:t> </w:t>
      </w:r>
      <w:r>
        <w:rPr>
          <w:sz w:val="22"/>
        </w:rPr>
        <w:t>of</w:t>
      </w:r>
      <w:r>
        <w:rPr>
          <w:spacing w:val="-5"/>
          <w:sz w:val="22"/>
        </w:rPr>
        <w:t> </w:t>
      </w:r>
      <w:r>
        <w:rPr>
          <w:sz w:val="22"/>
        </w:rPr>
        <w:t>collaboration</w:t>
      </w:r>
      <w:r>
        <w:rPr>
          <w:spacing w:val="-5"/>
          <w:sz w:val="22"/>
        </w:rPr>
        <w:t> </w:t>
      </w:r>
      <w:r>
        <w:rPr>
          <w:sz w:val="22"/>
        </w:rPr>
        <w:t>between</w:t>
      </w:r>
      <w:r>
        <w:rPr>
          <w:spacing w:val="-5"/>
          <w:sz w:val="22"/>
        </w:rPr>
        <w:t> </w:t>
      </w:r>
      <w:r>
        <w:rPr>
          <w:sz w:val="22"/>
        </w:rPr>
        <w:t>scientists and farmers must be institutionalised in order to </w:t>
      </w:r>
      <w:r>
        <w:rPr>
          <w:spacing w:val="-4"/>
          <w:sz w:val="22"/>
        </w:rPr>
        <w:t>identity</w:t>
      </w:r>
      <w:r>
        <w:rPr>
          <w:spacing w:val="-10"/>
          <w:sz w:val="22"/>
        </w:rPr>
        <w:t> </w:t>
      </w:r>
      <w:r>
        <w:rPr>
          <w:spacing w:val="-4"/>
          <w:sz w:val="22"/>
        </w:rPr>
        <w:t>their</w:t>
      </w:r>
      <w:r>
        <w:rPr>
          <w:spacing w:val="-10"/>
          <w:sz w:val="22"/>
        </w:rPr>
        <w:t> </w:t>
      </w:r>
      <w:r>
        <w:rPr>
          <w:spacing w:val="-4"/>
          <w:sz w:val="22"/>
        </w:rPr>
        <w:t>needs,</w:t>
      </w:r>
      <w:r>
        <w:rPr>
          <w:spacing w:val="-10"/>
          <w:sz w:val="22"/>
        </w:rPr>
        <w:t> </w:t>
      </w:r>
      <w:r>
        <w:rPr>
          <w:spacing w:val="-4"/>
          <w:sz w:val="22"/>
        </w:rPr>
        <w:t>set</w:t>
      </w:r>
      <w:r>
        <w:rPr>
          <w:spacing w:val="-9"/>
          <w:sz w:val="22"/>
        </w:rPr>
        <w:t> </w:t>
      </w:r>
      <w:r>
        <w:rPr>
          <w:spacing w:val="-4"/>
          <w:sz w:val="22"/>
        </w:rPr>
        <w:t>priorities</w:t>
      </w:r>
      <w:r>
        <w:rPr>
          <w:spacing w:val="-10"/>
          <w:sz w:val="22"/>
        </w:rPr>
        <w:t> </w:t>
      </w:r>
      <w:r>
        <w:rPr>
          <w:spacing w:val="-4"/>
          <w:sz w:val="22"/>
        </w:rPr>
        <w:t>in</w:t>
      </w:r>
      <w:r>
        <w:rPr>
          <w:spacing w:val="-10"/>
          <w:sz w:val="22"/>
        </w:rPr>
        <w:t> </w:t>
      </w:r>
      <w:r>
        <w:rPr>
          <w:spacing w:val="-4"/>
          <w:sz w:val="22"/>
        </w:rPr>
        <w:t>work</w:t>
      </w:r>
      <w:r>
        <w:rPr>
          <w:spacing w:val="-10"/>
          <w:sz w:val="22"/>
        </w:rPr>
        <w:t> </w:t>
      </w:r>
      <w:r>
        <w:rPr>
          <w:spacing w:val="-4"/>
          <w:sz w:val="22"/>
        </w:rPr>
        <w:t>programs, </w:t>
      </w:r>
      <w:r>
        <w:rPr>
          <w:sz w:val="22"/>
        </w:rPr>
        <w:t>test and refine the technologies and evaluate the final results.</w:t>
      </w:r>
    </w:p>
    <w:p>
      <w:pPr>
        <w:pStyle w:val="Heading7"/>
        <w:numPr>
          <w:ilvl w:val="0"/>
          <w:numId w:val="64"/>
        </w:numPr>
        <w:tabs>
          <w:tab w:pos="583" w:val="left" w:leader="none"/>
        </w:tabs>
        <w:spacing w:line="240" w:lineRule="auto" w:before="236" w:after="0"/>
        <w:ind w:left="583" w:right="0" w:hanging="264"/>
        <w:jc w:val="left"/>
      </w:pPr>
      <w:r>
        <w:rPr>
          <w:color w:val="2E614A"/>
          <w:w w:val="90"/>
        </w:rPr>
        <w:t>Redesign</w:t>
      </w:r>
      <w:r>
        <w:rPr>
          <w:color w:val="2E614A"/>
          <w:spacing w:val="14"/>
        </w:rPr>
        <w:t> </w:t>
      </w:r>
      <w:r>
        <w:rPr>
          <w:color w:val="2E614A"/>
          <w:w w:val="90"/>
        </w:rPr>
        <w:t>the</w:t>
      </w:r>
      <w:r>
        <w:rPr>
          <w:color w:val="2E614A"/>
          <w:spacing w:val="15"/>
        </w:rPr>
        <w:t> </w:t>
      </w:r>
      <w:r>
        <w:rPr>
          <w:color w:val="2E614A"/>
          <w:w w:val="90"/>
        </w:rPr>
        <w:t>existing</w:t>
      </w:r>
      <w:r>
        <w:rPr>
          <w:color w:val="2E614A"/>
          <w:spacing w:val="15"/>
        </w:rPr>
        <w:t> </w:t>
      </w:r>
      <w:r>
        <w:rPr>
          <w:color w:val="2E614A"/>
          <w:w w:val="90"/>
        </w:rPr>
        <w:t>support</w:t>
      </w:r>
      <w:r>
        <w:rPr>
          <w:color w:val="2E614A"/>
          <w:spacing w:val="14"/>
        </w:rPr>
        <w:t> </w:t>
      </w:r>
      <w:r>
        <w:rPr>
          <w:color w:val="2E614A"/>
          <w:spacing w:val="-2"/>
          <w:w w:val="90"/>
        </w:rPr>
        <w:t>systems</w:t>
      </w:r>
    </w:p>
    <w:p>
      <w:pPr>
        <w:pStyle w:val="ListParagraph"/>
        <w:numPr>
          <w:ilvl w:val="1"/>
          <w:numId w:val="64"/>
        </w:numPr>
        <w:tabs>
          <w:tab w:pos="679" w:val="left" w:leader="none"/>
        </w:tabs>
        <w:spacing w:line="266" w:lineRule="auto" w:before="298" w:after="0"/>
        <w:ind w:left="679" w:right="1077" w:hanging="360"/>
        <w:jc w:val="both"/>
        <w:rPr>
          <w:sz w:val="22"/>
        </w:rPr>
      </w:pPr>
      <w:r>
        <w:rPr>
          <w:sz w:val="22"/>
        </w:rPr>
        <w:t>Support systems should move from input-centric model to output-centric models. This requires redesigning the support systems and incentives</w:t>
      </w:r>
      <w:r>
        <w:rPr>
          <w:spacing w:val="40"/>
          <w:sz w:val="22"/>
        </w:rPr>
        <w:t> </w:t>
      </w:r>
      <w:r>
        <w:rPr>
          <w:sz w:val="22"/>
        </w:rPr>
        <w:t>in the existing centrally sponsored schemes like </w:t>
      </w:r>
      <w:r>
        <w:rPr>
          <w:spacing w:val="-2"/>
          <w:sz w:val="22"/>
        </w:rPr>
        <w:t>Rashtriya</w:t>
      </w:r>
      <w:r>
        <w:rPr>
          <w:spacing w:val="-3"/>
          <w:sz w:val="22"/>
        </w:rPr>
        <w:t> </w:t>
      </w:r>
      <w:r>
        <w:rPr>
          <w:spacing w:val="-2"/>
          <w:sz w:val="22"/>
        </w:rPr>
        <w:t>Krishi</w:t>
      </w:r>
      <w:r>
        <w:rPr>
          <w:spacing w:val="-5"/>
          <w:sz w:val="22"/>
        </w:rPr>
        <w:t> </w:t>
      </w:r>
      <w:r>
        <w:rPr>
          <w:spacing w:val="-2"/>
          <w:sz w:val="22"/>
        </w:rPr>
        <w:t>Vikas</w:t>
      </w:r>
      <w:r>
        <w:rPr>
          <w:spacing w:val="-5"/>
          <w:sz w:val="22"/>
        </w:rPr>
        <w:t> </w:t>
      </w:r>
      <w:r>
        <w:rPr>
          <w:spacing w:val="-2"/>
          <w:sz w:val="22"/>
        </w:rPr>
        <w:t>Yojana</w:t>
      </w:r>
      <w:r>
        <w:rPr>
          <w:spacing w:val="-3"/>
          <w:sz w:val="22"/>
        </w:rPr>
        <w:t> </w:t>
      </w:r>
      <w:r>
        <w:rPr>
          <w:spacing w:val="-2"/>
          <w:sz w:val="22"/>
        </w:rPr>
        <w:t>(RKVY),</w:t>
      </w:r>
      <w:r>
        <w:rPr>
          <w:spacing w:val="-3"/>
          <w:sz w:val="22"/>
        </w:rPr>
        <w:t> </w:t>
      </w:r>
      <w:r>
        <w:rPr>
          <w:spacing w:val="-2"/>
          <w:sz w:val="22"/>
        </w:rPr>
        <w:t>National </w:t>
      </w:r>
      <w:r>
        <w:rPr>
          <w:sz w:val="22"/>
        </w:rPr>
        <w:t>Rural</w:t>
      </w:r>
      <w:r>
        <w:rPr>
          <w:spacing w:val="-14"/>
          <w:sz w:val="22"/>
        </w:rPr>
        <w:t> </w:t>
      </w:r>
      <w:r>
        <w:rPr>
          <w:sz w:val="22"/>
        </w:rPr>
        <w:t>Employment</w:t>
      </w:r>
      <w:r>
        <w:rPr>
          <w:spacing w:val="-14"/>
          <w:sz w:val="22"/>
        </w:rPr>
        <w:t> </w:t>
      </w:r>
      <w:r>
        <w:rPr>
          <w:sz w:val="22"/>
        </w:rPr>
        <w:t>Guarantee</w:t>
      </w:r>
      <w:r>
        <w:rPr>
          <w:spacing w:val="-14"/>
          <w:sz w:val="22"/>
        </w:rPr>
        <w:t> </w:t>
      </w:r>
      <w:r>
        <w:rPr>
          <w:sz w:val="22"/>
        </w:rPr>
        <w:t>Scheme</w:t>
      </w:r>
      <w:r>
        <w:rPr>
          <w:spacing w:val="-13"/>
          <w:sz w:val="22"/>
        </w:rPr>
        <w:t> </w:t>
      </w:r>
      <w:r>
        <w:rPr>
          <w:sz w:val="22"/>
        </w:rPr>
        <w:t>(NREGS), National Horticulture Mission, National Food Security Mission, and National Watershed </w:t>
      </w:r>
      <w:r>
        <w:rPr>
          <w:spacing w:val="-2"/>
          <w:sz w:val="22"/>
        </w:rPr>
        <w:t>Program.</w:t>
      </w:r>
    </w:p>
    <w:p>
      <w:pPr>
        <w:pStyle w:val="ListParagraph"/>
        <w:numPr>
          <w:ilvl w:val="1"/>
          <w:numId w:val="64"/>
        </w:numPr>
        <w:tabs>
          <w:tab w:pos="679" w:val="left" w:leader="none"/>
        </w:tabs>
        <w:spacing w:line="266" w:lineRule="auto" w:before="0" w:after="0"/>
        <w:ind w:left="679" w:right="1077" w:hanging="360"/>
        <w:jc w:val="both"/>
        <w:rPr>
          <w:sz w:val="22"/>
        </w:rPr>
      </w:pPr>
      <w:r>
        <w:rPr>
          <w:sz w:val="22"/>
        </w:rPr>
        <w:t>The</w:t>
      </w:r>
      <w:r>
        <w:rPr>
          <w:spacing w:val="37"/>
          <w:sz w:val="22"/>
        </w:rPr>
        <w:t> </w:t>
      </w:r>
      <w:r>
        <w:rPr>
          <w:sz w:val="22"/>
        </w:rPr>
        <w:t>scope</w:t>
      </w:r>
      <w:r>
        <w:rPr>
          <w:spacing w:val="37"/>
          <w:sz w:val="22"/>
        </w:rPr>
        <w:t> </w:t>
      </w:r>
      <w:r>
        <w:rPr>
          <w:sz w:val="22"/>
        </w:rPr>
        <w:t>of</w:t>
      </w:r>
      <w:r>
        <w:rPr>
          <w:spacing w:val="37"/>
          <w:sz w:val="22"/>
        </w:rPr>
        <w:t> </w:t>
      </w:r>
      <w:r>
        <w:rPr>
          <w:sz w:val="22"/>
        </w:rPr>
        <w:t>the</w:t>
      </w:r>
      <w:r>
        <w:rPr>
          <w:spacing w:val="37"/>
          <w:sz w:val="22"/>
        </w:rPr>
        <w:t> </w:t>
      </w:r>
      <w:r>
        <w:rPr>
          <w:sz w:val="22"/>
        </w:rPr>
        <w:t>NREGS</w:t>
      </w:r>
      <w:r>
        <w:rPr>
          <w:spacing w:val="37"/>
          <w:sz w:val="22"/>
        </w:rPr>
        <w:t> </w:t>
      </w:r>
      <w:r>
        <w:rPr>
          <w:sz w:val="22"/>
        </w:rPr>
        <w:t>should</w:t>
      </w:r>
      <w:r>
        <w:rPr>
          <w:spacing w:val="37"/>
          <w:sz w:val="22"/>
        </w:rPr>
        <w:t> </w:t>
      </w:r>
      <w:r>
        <w:rPr>
          <w:sz w:val="22"/>
        </w:rPr>
        <w:t>be</w:t>
      </w:r>
      <w:r>
        <w:rPr>
          <w:spacing w:val="37"/>
          <w:sz w:val="22"/>
        </w:rPr>
        <w:t> </w:t>
      </w:r>
      <w:r>
        <w:rPr>
          <w:sz w:val="22"/>
        </w:rPr>
        <w:t>expanded to support small and marginal farmers in the production of food crops like traditional staples such</w:t>
      </w:r>
      <w:r>
        <w:rPr>
          <w:spacing w:val="-14"/>
          <w:sz w:val="22"/>
        </w:rPr>
        <w:t> </w:t>
      </w:r>
      <w:r>
        <w:rPr>
          <w:sz w:val="22"/>
        </w:rPr>
        <w:t>as</w:t>
      </w:r>
      <w:r>
        <w:rPr>
          <w:spacing w:val="-14"/>
          <w:sz w:val="22"/>
        </w:rPr>
        <w:t> </w:t>
      </w:r>
      <w:r>
        <w:rPr>
          <w:sz w:val="22"/>
        </w:rPr>
        <w:t>millets,</w:t>
      </w:r>
      <w:r>
        <w:rPr>
          <w:spacing w:val="-14"/>
          <w:sz w:val="22"/>
        </w:rPr>
        <w:t> </w:t>
      </w:r>
      <w:r>
        <w:rPr>
          <w:sz w:val="22"/>
        </w:rPr>
        <w:t>organic</w:t>
      </w:r>
      <w:r>
        <w:rPr>
          <w:spacing w:val="-13"/>
          <w:sz w:val="22"/>
        </w:rPr>
        <w:t> </w:t>
      </w:r>
      <w:r>
        <w:rPr>
          <w:sz w:val="22"/>
        </w:rPr>
        <w:t>soil</w:t>
      </w:r>
      <w:r>
        <w:rPr>
          <w:spacing w:val="-14"/>
          <w:sz w:val="22"/>
        </w:rPr>
        <w:t> </w:t>
      </w:r>
      <w:r>
        <w:rPr>
          <w:sz w:val="22"/>
        </w:rPr>
        <w:t>management,</w:t>
      </w:r>
      <w:r>
        <w:rPr>
          <w:spacing w:val="-14"/>
          <w:sz w:val="22"/>
        </w:rPr>
        <w:t> </w:t>
      </w:r>
      <w:r>
        <w:rPr>
          <w:sz w:val="22"/>
        </w:rPr>
        <w:t>Natural Pest</w:t>
      </w:r>
      <w:r>
        <w:rPr>
          <w:spacing w:val="-11"/>
          <w:sz w:val="22"/>
        </w:rPr>
        <w:t> </w:t>
      </w:r>
      <w:r>
        <w:rPr>
          <w:sz w:val="22"/>
        </w:rPr>
        <w:t>Management,</w:t>
      </w:r>
      <w:r>
        <w:rPr>
          <w:spacing w:val="-11"/>
          <w:sz w:val="22"/>
        </w:rPr>
        <w:t> </w:t>
      </w:r>
      <w:r>
        <w:rPr>
          <w:sz w:val="22"/>
        </w:rPr>
        <w:t>System</w:t>
      </w:r>
      <w:r>
        <w:rPr>
          <w:spacing w:val="-11"/>
          <w:sz w:val="22"/>
        </w:rPr>
        <w:t> </w:t>
      </w:r>
      <w:r>
        <w:rPr>
          <w:sz w:val="22"/>
        </w:rPr>
        <w:t>of</w:t>
      </w:r>
      <w:r>
        <w:rPr>
          <w:spacing w:val="-11"/>
          <w:sz w:val="22"/>
        </w:rPr>
        <w:t> </w:t>
      </w:r>
      <w:r>
        <w:rPr>
          <w:sz w:val="22"/>
        </w:rPr>
        <w:t>Rice</w:t>
      </w:r>
      <w:r>
        <w:rPr>
          <w:spacing w:val="-11"/>
          <w:sz w:val="22"/>
        </w:rPr>
        <w:t> </w:t>
      </w:r>
      <w:r>
        <w:rPr>
          <w:sz w:val="22"/>
        </w:rPr>
        <w:t>Intensification (SRI) etc.</w:t>
      </w:r>
    </w:p>
    <w:p>
      <w:pPr>
        <w:pStyle w:val="Heading7"/>
        <w:numPr>
          <w:ilvl w:val="0"/>
          <w:numId w:val="64"/>
        </w:numPr>
        <w:tabs>
          <w:tab w:pos="717" w:val="left" w:leader="none"/>
        </w:tabs>
        <w:spacing w:line="225" w:lineRule="auto" w:before="245" w:after="0"/>
        <w:ind w:left="717" w:right="1485" w:hanging="398"/>
        <w:jc w:val="left"/>
      </w:pPr>
      <w:r>
        <w:rPr>
          <w:color w:val="2E614A"/>
          <w:spacing w:val="-8"/>
        </w:rPr>
        <w:t>Document</w:t>
      </w:r>
      <w:r>
        <w:rPr>
          <w:color w:val="2E614A"/>
          <w:spacing w:val="-9"/>
        </w:rPr>
        <w:t> </w:t>
      </w:r>
      <w:r>
        <w:rPr>
          <w:color w:val="2E614A"/>
          <w:spacing w:val="-8"/>
        </w:rPr>
        <w:t>and disseminate </w:t>
      </w:r>
      <w:r>
        <w:rPr>
          <w:color w:val="2E614A"/>
          <w:spacing w:val="-8"/>
        </w:rPr>
        <w:t>successful </w:t>
      </w:r>
      <w:r>
        <w:rPr>
          <w:color w:val="2E614A"/>
          <w:spacing w:val="-2"/>
        </w:rPr>
        <w:t>experiences</w:t>
      </w:r>
      <w:r>
        <w:rPr>
          <w:color w:val="2E614A"/>
          <w:spacing w:val="-15"/>
        </w:rPr>
        <w:t> </w:t>
      </w:r>
      <w:r>
        <w:rPr>
          <w:color w:val="2E614A"/>
          <w:spacing w:val="-2"/>
        </w:rPr>
        <w:t>and</w:t>
      </w:r>
      <w:r>
        <w:rPr>
          <w:color w:val="2E614A"/>
          <w:spacing w:val="-14"/>
        </w:rPr>
        <w:t> </w:t>
      </w:r>
      <w:r>
        <w:rPr>
          <w:color w:val="2E614A"/>
          <w:spacing w:val="-2"/>
        </w:rPr>
        <w:t>good</w:t>
      </w:r>
      <w:r>
        <w:rPr>
          <w:color w:val="2E614A"/>
          <w:spacing w:val="-14"/>
        </w:rPr>
        <w:t> </w:t>
      </w:r>
      <w:r>
        <w:rPr>
          <w:color w:val="2E614A"/>
          <w:spacing w:val="-2"/>
        </w:rPr>
        <w:t>practices</w:t>
      </w:r>
    </w:p>
    <w:p>
      <w:pPr>
        <w:pStyle w:val="BodyText"/>
        <w:spacing w:before="2"/>
        <w:rPr>
          <w:b/>
          <w:sz w:val="26"/>
        </w:rPr>
      </w:pPr>
    </w:p>
    <w:p>
      <w:pPr>
        <w:pStyle w:val="ListParagraph"/>
        <w:numPr>
          <w:ilvl w:val="1"/>
          <w:numId w:val="64"/>
        </w:numPr>
        <w:tabs>
          <w:tab w:pos="679" w:val="left" w:leader="none"/>
        </w:tabs>
        <w:spacing w:line="266" w:lineRule="auto" w:before="0" w:after="0"/>
        <w:ind w:left="679" w:right="1077" w:hanging="360"/>
        <w:jc w:val="both"/>
        <w:rPr>
          <w:sz w:val="22"/>
        </w:rPr>
      </w:pPr>
      <w:r>
        <w:rPr>
          <w:w w:val="90"/>
          <w:sz w:val="22"/>
        </w:rPr>
        <w:t>The</w:t>
      </w:r>
      <w:r>
        <w:rPr>
          <w:spacing w:val="-1"/>
          <w:w w:val="90"/>
          <w:sz w:val="22"/>
        </w:rPr>
        <w:t> </w:t>
      </w:r>
      <w:r>
        <w:rPr>
          <w:w w:val="90"/>
          <w:sz w:val="22"/>
        </w:rPr>
        <w:t>current</w:t>
      </w:r>
      <w:r>
        <w:rPr>
          <w:spacing w:val="-1"/>
          <w:w w:val="90"/>
          <w:sz w:val="22"/>
        </w:rPr>
        <w:t> </w:t>
      </w:r>
      <w:r>
        <w:rPr>
          <w:w w:val="90"/>
          <w:sz w:val="22"/>
        </w:rPr>
        <w:t>extension</w:t>
      </w:r>
      <w:r>
        <w:rPr>
          <w:spacing w:val="-1"/>
          <w:w w:val="90"/>
          <w:sz w:val="22"/>
        </w:rPr>
        <w:t> </w:t>
      </w:r>
      <w:r>
        <w:rPr>
          <w:w w:val="90"/>
          <w:sz w:val="22"/>
        </w:rPr>
        <w:t>system</w:t>
      </w:r>
      <w:r>
        <w:rPr>
          <w:spacing w:val="-1"/>
          <w:w w:val="90"/>
          <w:sz w:val="22"/>
        </w:rPr>
        <w:t> </w:t>
      </w:r>
      <w:r>
        <w:rPr>
          <w:w w:val="90"/>
          <w:sz w:val="22"/>
        </w:rPr>
        <w:t>is</w:t>
      </w:r>
      <w:r>
        <w:rPr>
          <w:spacing w:val="-1"/>
          <w:w w:val="90"/>
          <w:sz w:val="22"/>
        </w:rPr>
        <w:t> </w:t>
      </w:r>
      <w:r>
        <w:rPr>
          <w:w w:val="90"/>
          <w:sz w:val="22"/>
        </w:rPr>
        <w:t>based</w:t>
      </w:r>
      <w:r>
        <w:rPr>
          <w:spacing w:val="-1"/>
          <w:w w:val="90"/>
          <w:sz w:val="22"/>
        </w:rPr>
        <w:t> </w:t>
      </w:r>
      <w:r>
        <w:rPr>
          <w:w w:val="90"/>
          <w:sz w:val="22"/>
        </w:rPr>
        <w:t>on</w:t>
      </w:r>
      <w:r>
        <w:rPr>
          <w:spacing w:val="-1"/>
          <w:w w:val="90"/>
          <w:sz w:val="22"/>
        </w:rPr>
        <w:t> </w:t>
      </w:r>
      <w:r>
        <w:rPr>
          <w:w w:val="90"/>
          <w:sz w:val="22"/>
        </w:rPr>
        <w:t>technologies </w:t>
      </w:r>
      <w:r>
        <w:rPr>
          <w:sz w:val="22"/>
        </w:rPr>
        <w:t>generated</w:t>
      </w:r>
      <w:r>
        <w:rPr>
          <w:spacing w:val="-13"/>
          <w:sz w:val="22"/>
        </w:rPr>
        <w:t> </w:t>
      </w:r>
      <w:r>
        <w:rPr>
          <w:sz w:val="22"/>
        </w:rPr>
        <w:t>in</w:t>
      </w:r>
      <w:r>
        <w:rPr>
          <w:spacing w:val="-11"/>
          <w:sz w:val="22"/>
        </w:rPr>
        <w:t> </w:t>
      </w:r>
      <w:r>
        <w:rPr>
          <w:sz w:val="22"/>
        </w:rPr>
        <w:t>the</w:t>
      </w:r>
      <w:r>
        <w:rPr>
          <w:spacing w:val="-11"/>
          <w:sz w:val="22"/>
        </w:rPr>
        <w:t> </w:t>
      </w:r>
      <w:r>
        <w:rPr>
          <w:sz w:val="22"/>
        </w:rPr>
        <w:t>formal</w:t>
      </w:r>
      <w:r>
        <w:rPr>
          <w:spacing w:val="-11"/>
          <w:sz w:val="22"/>
        </w:rPr>
        <w:t> </w:t>
      </w:r>
      <w:r>
        <w:rPr>
          <w:sz w:val="22"/>
        </w:rPr>
        <w:t>research</w:t>
      </w:r>
      <w:r>
        <w:rPr>
          <w:spacing w:val="-11"/>
          <w:sz w:val="22"/>
        </w:rPr>
        <w:t> </w:t>
      </w:r>
      <w:r>
        <w:rPr>
          <w:sz w:val="22"/>
        </w:rPr>
        <w:t>institutions.</w:t>
      </w:r>
      <w:r>
        <w:rPr>
          <w:spacing w:val="-14"/>
          <w:sz w:val="22"/>
        </w:rPr>
        <w:t> </w:t>
      </w:r>
      <w:r>
        <w:rPr>
          <w:sz w:val="22"/>
        </w:rPr>
        <w:t>This completely ignores the successful technologies </w:t>
      </w:r>
      <w:r>
        <w:rPr>
          <w:spacing w:val="-6"/>
          <w:sz w:val="22"/>
        </w:rPr>
        <w:t>generated</w:t>
      </w:r>
      <w:r>
        <w:rPr>
          <w:spacing w:val="-8"/>
          <w:sz w:val="22"/>
        </w:rPr>
        <w:t> </w:t>
      </w:r>
      <w:r>
        <w:rPr>
          <w:spacing w:val="-6"/>
          <w:sz w:val="22"/>
        </w:rPr>
        <w:t>by</w:t>
      </w:r>
      <w:r>
        <w:rPr>
          <w:spacing w:val="-8"/>
          <w:sz w:val="22"/>
        </w:rPr>
        <w:t> </w:t>
      </w:r>
      <w:r>
        <w:rPr>
          <w:spacing w:val="-6"/>
          <w:sz w:val="22"/>
        </w:rPr>
        <w:t>farmers</w:t>
      </w:r>
      <w:r>
        <w:rPr>
          <w:spacing w:val="-8"/>
          <w:sz w:val="22"/>
        </w:rPr>
        <w:t> </w:t>
      </w:r>
      <w:r>
        <w:rPr>
          <w:spacing w:val="-6"/>
          <w:sz w:val="22"/>
        </w:rPr>
        <w:t>and</w:t>
      </w:r>
      <w:r>
        <w:rPr>
          <w:spacing w:val="-7"/>
          <w:sz w:val="22"/>
        </w:rPr>
        <w:t> </w:t>
      </w:r>
      <w:r>
        <w:rPr>
          <w:spacing w:val="-6"/>
          <w:sz w:val="22"/>
        </w:rPr>
        <w:t>civil</w:t>
      </w:r>
      <w:r>
        <w:rPr>
          <w:spacing w:val="-8"/>
          <w:sz w:val="22"/>
        </w:rPr>
        <w:t> </w:t>
      </w:r>
      <w:r>
        <w:rPr>
          <w:spacing w:val="-6"/>
          <w:sz w:val="22"/>
        </w:rPr>
        <w:t>society</w:t>
      </w:r>
      <w:r>
        <w:rPr>
          <w:spacing w:val="-8"/>
          <w:sz w:val="22"/>
        </w:rPr>
        <w:t> </w:t>
      </w:r>
      <w:r>
        <w:rPr>
          <w:spacing w:val="-6"/>
          <w:sz w:val="22"/>
        </w:rPr>
        <w:t>organisations, </w:t>
      </w:r>
      <w:r>
        <w:rPr>
          <w:sz w:val="22"/>
        </w:rPr>
        <w:t>which are based on local knowledge and may be </w:t>
      </w:r>
      <w:r>
        <w:rPr>
          <w:spacing w:val="-4"/>
          <w:sz w:val="22"/>
        </w:rPr>
        <w:t>more</w:t>
      </w:r>
      <w:r>
        <w:rPr>
          <w:spacing w:val="-10"/>
          <w:sz w:val="22"/>
        </w:rPr>
        <w:t> </w:t>
      </w:r>
      <w:r>
        <w:rPr>
          <w:spacing w:val="-4"/>
          <w:sz w:val="22"/>
        </w:rPr>
        <w:t>locally</w:t>
      </w:r>
      <w:r>
        <w:rPr>
          <w:spacing w:val="-10"/>
          <w:sz w:val="22"/>
        </w:rPr>
        <w:t> </w:t>
      </w:r>
      <w:r>
        <w:rPr>
          <w:spacing w:val="-4"/>
          <w:sz w:val="22"/>
        </w:rPr>
        <w:t>adaptable</w:t>
      </w:r>
      <w:r>
        <w:rPr>
          <w:spacing w:val="-10"/>
          <w:sz w:val="22"/>
        </w:rPr>
        <w:t> </w:t>
      </w:r>
      <w:r>
        <w:rPr>
          <w:spacing w:val="-4"/>
          <w:sz w:val="22"/>
        </w:rPr>
        <w:t>and</w:t>
      </w:r>
      <w:r>
        <w:rPr>
          <w:spacing w:val="-9"/>
          <w:sz w:val="22"/>
        </w:rPr>
        <w:t> </w:t>
      </w:r>
      <w:r>
        <w:rPr>
          <w:spacing w:val="-4"/>
          <w:sz w:val="22"/>
        </w:rPr>
        <w:t>with</w:t>
      </w:r>
      <w:r>
        <w:rPr>
          <w:spacing w:val="-10"/>
          <w:sz w:val="22"/>
        </w:rPr>
        <w:t> </w:t>
      </w:r>
      <w:r>
        <w:rPr>
          <w:spacing w:val="-4"/>
          <w:sz w:val="22"/>
        </w:rPr>
        <w:t>stronger</w:t>
      </w:r>
      <w:r>
        <w:rPr>
          <w:spacing w:val="-10"/>
          <w:sz w:val="22"/>
        </w:rPr>
        <w:t> </w:t>
      </w:r>
      <w:r>
        <w:rPr>
          <w:spacing w:val="-4"/>
          <w:sz w:val="22"/>
        </w:rPr>
        <w:t>ecological </w:t>
      </w:r>
      <w:r>
        <w:rPr>
          <w:spacing w:val="-2"/>
          <w:sz w:val="22"/>
        </w:rPr>
        <w:t>principles.</w:t>
      </w:r>
    </w:p>
    <w:p>
      <w:pPr>
        <w:pStyle w:val="ListParagraph"/>
        <w:numPr>
          <w:ilvl w:val="1"/>
          <w:numId w:val="64"/>
        </w:numPr>
        <w:tabs>
          <w:tab w:pos="679" w:val="left" w:leader="none"/>
        </w:tabs>
        <w:spacing w:line="266" w:lineRule="auto" w:before="0" w:after="0"/>
        <w:ind w:left="679" w:right="1077" w:hanging="360"/>
        <w:jc w:val="both"/>
        <w:rPr>
          <w:sz w:val="22"/>
        </w:rPr>
      </w:pPr>
      <w:r>
        <w:rPr>
          <w:spacing w:val="-4"/>
          <w:sz w:val="22"/>
        </w:rPr>
        <w:t>Therefore</w:t>
      </w:r>
      <w:r>
        <w:rPr>
          <w:spacing w:val="-10"/>
          <w:sz w:val="22"/>
        </w:rPr>
        <w:t> </w:t>
      </w:r>
      <w:r>
        <w:rPr>
          <w:spacing w:val="-4"/>
          <w:sz w:val="22"/>
        </w:rPr>
        <w:t>special</w:t>
      </w:r>
      <w:r>
        <w:rPr>
          <w:spacing w:val="-10"/>
          <w:sz w:val="22"/>
        </w:rPr>
        <w:t> </w:t>
      </w:r>
      <w:r>
        <w:rPr>
          <w:spacing w:val="-4"/>
          <w:sz w:val="22"/>
        </w:rPr>
        <w:t>initiatives</w:t>
      </w:r>
      <w:r>
        <w:rPr>
          <w:spacing w:val="-10"/>
          <w:sz w:val="22"/>
        </w:rPr>
        <w:t> </w:t>
      </w:r>
      <w:r>
        <w:rPr>
          <w:spacing w:val="-4"/>
          <w:sz w:val="22"/>
        </w:rPr>
        <w:t>are</w:t>
      </w:r>
      <w:r>
        <w:rPr>
          <w:spacing w:val="-9"/>
          <w:sz w:val="22"/>
        </w:rPr>
        <w:t> </w:t>
      </w:r>
      <w:r>
        <w:rPr>
          <w:spacing w:val="-4"/>
          <w:sz w:val="22"/>
        </w:rPr>
        <w:t>required</w:t>
      </w:r>
      <w:r>
        <w:rPr>
          <w:spacing w:val="-10"/>
          <w:sz w:val="22"/>
        </w:rPr>
        <w:t> </w:t>
      </w:r>
      <w:r>
        <w:rPr>
          <w:spacing w:val="-4"/>
          <w:sz w:val="22"/>
        </w:rPr>
        <w:t>to</w:t>
      </w:r>
      <w:r>
        <w:rPr>
          <w:spacing w:val="-10"/>
          <w:sz w:val="22"/>
        </w:rPr>
        <w:t> </w:t>
      </w:r>
      <w:r>
        <w:rPr>
          <w:spacing w:val="-4"/>
          <w:sz w:val="22"/>
        </w:rPr>
        <w:t>find</w:t>
      </w:r>
      <w:r>
        <w:rPr>
          <w:spacing w:val="-10"/>
          <w:sz w:val="22"/>
        </w:rPr>
        <w:t> </w:t>
      </w:r>
      <w:r>
        <w:rPr>
          <w:spacing w:val="-4"/>
          <w:sz w:val="22"/>
        </w:rPr>
        <w:t>and </w:t>
      </w:r>
      <w:r>
        <w:rPr>
          <w:spacing w:val="-2"/>
          <w:sz w:val="22"/>
        </w:rPr>
        <w:t>document</w:t>
      </w:r>
      <w:r>
        <w:rPr>
          <w:spacing w:val="-9"/>
          <w:sz w:val="22"/>
        </w:rPr>
        <w:t> </w:t>
      </w:r>
      <w:r>
        <w:rPr>
          <w:spacing w:val="-2"/>
          <w:sz w:val="22"/>
        </w:rPr>
        <w:t>the</w:t>
      </w:r>
      <w:r>
        <w:rPr>
          <w:spacing w:val="-9"/>
          <w:sz w:val="22"/>
        </w:rPr>
        <w:t> </w:t>
      </w:r>
      <w:r>
        <w:rPr>
          <w:spacing w:val="-2"/>
          <w:sz w:val="22"/>
        </w:rPr>
        <w:t>successful</w:t>
      </w:r>
      <w:r>
        <w:rPr>
          <w:spacing w:val="-9"/>
          <w:sz w:val="22"/>
        </w:rPr>
        <w:t> </w:t>
      </w:r>
      <w:r>
        <w:rPr>
          <w:spacing w:val="-2"/>
          <w:sz w:val="22"/>
        </w:rPr>
        <w:t>experiences</w:t>
      </w:r>
      <w:r>
        <w:rPr>
          <w:spacing w:val="-9"/>
          <w:sz w:val="22"/>
        </w:rPr>
        <w:t> </w:t>
      </w:r>
      <w:r>
        <w:rPr>
          <w:spacing w:val="-2"/>
          <w:sz w:val="22"/>
        </w:rPr>
        <w:t>of</w:t>
      </w:r>
      <w:r>
        <w:rPr>
          <w:spacing w:val="-9"/>
          <w:sz w:val="22"/>
        </w:rPr>
        <w:t> </w:t>
      </w:r>
      <w:r>
        <w:rPr>
          <w:spacing w:val="-2"/>
          <w:sz w:val="22"/>
        </w:rPr>
        <w:t>farmers</w:t>
      </w:r>
      <w:r>
        <w:rPr>
          <w:spacing w:val="-9"/>
          <w:sz w:val="22"/>
        </w:rPr>
        <w:t> </w:t>
      </w:r>
      <w:r>
        <w:rPr>
          <w:spacing w:val="-2"/>
          <w:sz w:val="22"/>
        </w:rPr>
        <w:t>in particular</w:t>
      </w:r>
      <w:r>
        <w:rPr>
          <w:spacing w:val="-6"/>
          <w:sz w:val="22"/>
        </w:rPr>
        <w:t> </w:t>
      </w:r>
      <w:r>
        <w:rPr>
          <w:spacing w:val="-2"/>
          <w:sz w:val="22"/>
        </w:rPr>
        <w:t>areas</w:t>
      </w:r>
      <w:r>
        <w:rPr>
          <w:spacing w:val="-6"/>
          <w:sz w:val="22"/>
        </w:rPr>
        <w:t> </w:t>
      </w:r>
      <w:r>
        <w:rPr>
          <w:spacing w:val="-2"/>
          <w:sz w:val="22"/>
        </w:rPr>
        <w:t>and</w:t>
      </w:r>
      <w:r>
        <w:rPr>
          <w:spacing w:val="-6"/>
          <w:sz w:val="22"/>
        </w:rPr>
        <w:t> </w:t>
      </w:r>
      <w:r>
        <w:rPr>
          <w:spacing w:val="-2"/>
          <w:sz w:val="22"/>
        </w:rPr>
        <w:t>encourage</w:t>
      </w:r>
      <w:r>
        <w:rPr>
          <w:spacing w:val="-6"/>
          <w:sz w:val="22"/>
        </w:rPr>
        <w:t> </w:t>
      </w:r>
      <w:r>
        <w:rPr>
          <w:spacing w:val="-2"/>
          <w:sz w:val="22"/>
        </w:rPr>
        <w:t>their</w:t>
      </w:r>
      <w:r>
        <w:rPr>
          <w:spacing w:val="-6"/>
          <w:sz w:val="22"/>
        </w:rPr>
        <w:t> </w:t>
      </w:r>
      <w:r>
        <w:rPr>
          <w:spacing w:val="-2"/>
          <w:sz w:val="22"/>
        </w:rPr>
        <w:t>dissemination </w:t>
      </w:r>
      <w:r>
        <w:rPr>
          <w:sz w:val="22"/>
        </w:rPr>
        <w:t>by</w:t>
      </w:r>
      <w:r>
        <w:rPr>
          <w:spacing w:val="-8"/>
          <w:sz w:val="22"/>
        </w:rPr>
        <w:t> </w:t>
      </w:r>
      <w:r>
        <w:rPr>
          <w:sz w:val="22"/>
        </w:rPr>
        <w:t>the</w:t>
      </w:r>
      <w:r>
        <w:rPr>
          <w:spacing w:val="-8"/>
          <w:sz w:val="22"/>
        </w:rPr>
        <w:t> </w:t>
      </w:r>
      <w:r>
        <w:rPr>
          <w:sz w:val="22"/>
        </w:rPr>
        <w:t>formal</w:t>
      </w:r>
      <w:r>
        <w:rPr>
          <w:spacing w:val="-8"/>
          <w:sz w:val="22"/>
        </w:rPr>
        <w:t> </w:t>
      </w:r>
      <w:r>
        <w:rPr>
          <w:sz w:val="22"/>
        </w:rPr>
        <w:t>institutions</w:t>
      </w:r>
      <w:r>
        <w:rPr>
          <w:spacing w:val="-8"/>
          <w:sz w:val="22"/>
        </w:rPr>
        <w:t> </w:t>
      </w:r>
      <w:r>
        <w:rPr>
          <w:sz w:val="22"/>
        </w:rPr>
        <w:t>and</w:t>
      </w:r>
      <w:r>
        <w:rPr>
          <w:spacing w:val="-8"/>
          <w:sz w:val="22"/>
        </w:rPr>
        <w:t> </w:t>
      </w:r>
      <w:r>
        <w:rPr>
          <w:sz w:val="22"/>
        </w:rPr>
        <w:t>support</w:t>
      </w:r>
      <w:r>
        <w:rPr>
          <w:spacing w:val="-8"/>
          <w:sz w:val="22"/>
        </w:rPr>
        <w:t> </w:t>
      </w:r>
      <w:r>
        <w:rPr>
          <w:sz w:val="22"/>
        </w:rPr>
        <w:t>systems.</w:t>
      </w:r>
    </w:p>
    <w:p>
      <w:pPr>
        <w:pStyle w:val="Heading7"/>
        <w:numPr>
          <w:ilvl w:val="0"/>
          <w:numId w:val="64"/>
        </w:numPr>
        <w:tabs>
          <w:tab w:pos="717" w:val="left" w:leader="none"/>
        </w:tabs>
        <w:spacing w:line="225" w:lineRule="auto" w:before="248" w:after="0"/>
        <w:ind w:left="717" w:right="1383" w:hanging="398"/>
        <w:jc w:val="left"/>
      </w:pPr>
      <w:r>
        <w:rPr>
          <w:color w:val="2E614A"/>
          <w:w w:val="90"/>
        </w:rPr>
        <w:t>Improve the capacities and expertise </w:t>
      </w:r>
      <w:r>
        <w:rPr>
          <w:color w:val="2E614A"/>
          <w:w w:val="90"/>
        </w:rPr>
        <w:t>of </w:t>
      </w:r>
      <w:r>
        <w:rPr>
          <w:color w:val="2E614A"/>
        </w:rPr>
        <w:t>extension</w:t>
      </w:r>
      <w:r>
        <w:rPr>
          <w:color w:val="2E614A"/>
          <w:spacing w:val="-7"/>
        </w:rPr>
        <w:t> </w:t>
      </w:r>
      <w:r>
        <w:rPr>
          <w:color w:val="2E614A"/>
        </w:rPr>
        <w:t>workers</w:t>
      </w:r>
    </w:p>
    <w:p>
      <w:pPr>
        <w:pStyle w:val="ListParagraph"/>
        <w:numPr>
          <w:ilvl w:val="1"/>
          <w:numId w:val="64"/>
        </w:numPr>
        <w:tabs>
          <w:tab w:pos="679" w:val="left" w:leader="none"/>
        </w:tabs>
        <w:spacing w:line="266" w:lineRule="auto" w:before="237" w:after="0"/>
        <w:ind w:left="679" w:right="1077" w:hanging="360"/>
        <w:jc w:val="both"/>
        <w:rPr>
          <w:sz w:val="22"/>
        </w:rPr>
      </w:pPr>
      <w:r>
        <w:rPr>
          <w:sz w:val="22"/>
        </w:rPr>
        <w:t>Extension workers must be provided with the necessary resources and facilities to carry out their</w:t>
      </w:r>
      <w:r>
        <w:rPr>
          <w:spacing w:val="48"/>
          <w:sz w:val="22"/>
        </w:rPr>
        <w:t> </w:t>
      </w:r>
      <w:r>
        <w:rPr>
          <w:sz w:val="22"/>
        </w:rPr>
        <w:t>work</w:t>
      </w:r>
      <w:r>
        <w:rPr>
          <w:spacing w:val="48"/>
          <w:sz w:val="22"/>
        </w:rPr>
        <w:t> </w:t>
      </w:r>
      <w:r>
        <w:rPr>
          <w:sz w:val="22"/>
        </w:rPr>
        <w:t>effectively,</w:t>
      </w:r>
      <w:r>
        <w:rPr>
          <w:spacing w:val="48"/>
          <w:sz w:val="22"/>
        </w:rPr>
        <w:t> </w:t>
      </w:r>
      <w:r>
        <w:rPr>
          <w:sz w:val="22"/>
        </w:rPr>
        <w:t>including</w:t>
      </w:r>
      <w:r>
        <w:rPr>
          <w:spacing w:val="48"/>
          <w:sz w:val="22"/>
        </w:rPr>
        <w:t> </w:t>
      </w:r>
      <w:r>
        <w:rPr>
          <w:sz w:val="22"/>
        </w:rPr>
        <w:t>transport</w:t>
      </w:r>
      <w:r>
        <w:rPr>
          <w:spacing w:val="48"/>
          <w:sz w:val="22"/>
        </w:rPr>
        <w:t> </w:t>
      </w:r>
      <w:r>
        <w:rPr>
          <w:sz w:val="22"/>
        </w:rPr>
        <w:t>and</w:t>
      </w:r>
    </w:p>
    <w:p>
      <w:pPr>
        <w:spacing w:after="0" w:line="266" w:lineRule="auto"/>
        <w:jc w:val="both"/>
        <w:rPr>
          <w:sz w:val="22"/>
        </w:rPr>
        <w:sectPr>
          <w:pgSz w:w="11910" w:h="16840"/>
          <w:pgMar w:header="0" w:footer="675" w:top="940" w:bottom="860" w:left="0" w:right="0"/>
          <w:cols w:num="2" w:equalWidth="0">
            <w:col w:w="5774" w:space="40"/>
            <w:col w:w="6096"/>
          </w:cols>
        </w:sectPr>
      </w:pPr>
    </w:p>
    <w:p>
      <w:pPr>
        <w:pStyle w:val="BodyText"/>
        <w:spacing w:line="266" w:lineRule="auto" w:before="57"/>
        <w:ind w:left="1440"/>
        <w:jc w:val="both"/>
      </w:pPr>
      <w:r>
        <w:rPr>
          <w:spacing w:val="-4"/>
        </w:rPr>
        <w:t>communication</w:t>
      </w:r>
      <w:r>
        <w:rPr>
          <w:spacing w:val="-5"/>
        </w:rPr>
        <w:t> </w:t>
      </w:r>
      <w:r>
        <w:rPr>
          <w:spacing w:val="-4"/>
        </w:rPr>
        <w:t>facilities</w:t>
      </w:r>
      <w:r>
        <w:rPr>
          <w:spacing w:val="-5"/>
        </w:rPr>
        <w:t> </w:t>
      </w:r>
      <w:r>
        <w:rPr>
          <w:spacing w:val="-4"/>
        </w:rPr>
        <w:t>such</w:t>
      </w:r>
      <w:r>
        <w:rPr>
          <w:spacing w:val="-5"/>
        </w:rPr>
        <w:t> </w:t>
      </w:r>
      <w:r>
        <w:rPr>
          <w:spacing w:val="-4"/>
        </w:rPr>
        <w:t>as</w:t>
      </w:r>
      <w:r>
        <w:rPr>
          <w:spacing w:val="-5"/>
        </w:rPr>
        <w:t> </w:t>
      </w:r>
      <w:r>
        <w:rPr>
          <w:spacing w:val="-4"/>
        </w:rPr>
        <w:t>two-wheelers</w:t>
      </w:r>
      <w:r>
        <w:rPr>
          <w:spacing w:val="-5"/>
        </w:rPr>
        <w:t> </w:t>
      </w:r>
      <w:r>
        <w:rPr>
          <w:spacing w:val="-4"/>
        </w:rPr>
        <w:t>and </w:t>
      </w:r>
      <w:r>
        <w:rPr/>
        <w:t>mobile</w:t>
      </w:r>
      <w:r>
        <w:rPr>
          <w:spacing w:val="-14"/>
        </w:rPr>
        <w:t> </w:t>
      </w:r>
      <w:r>
        <w:rPr/>
        <w:t>phones</w:t>
      </w:r>
      <w:r>
        <w:rPr>
          <w:spacing w:val="-14"/>
        </w:rPr>
        <w:t> </w:t>
      </w:r>
      <w:r>
        <w:rPr/>
        <w:t>where</w:t>
      </w:r>
      <w:r>
        <w:rPr>
          <w:spacing w:val="-14"/>
        </w:rPr>
        <w:t> </w:t>
      </w:r>
      <w:r>
        <w:rPr/>
        <w:t>necessary.</w:t>
      </w:r>
    </w:p>
    <w:p>
      <w:pPr>
        <w:pStyle w:val="ListParagraph"/>
        <w:numPr>
          <w:ilvl w:val="2"/>
          <w:numId w:val="64"/>
        </w:numPr>
        <w:tabs>
          <w:tab w:pos="1439" w:val="left" w:leader="none"/>
        </w:tabs>
        <w:spacing w:line="266" w:lineRule="auto" w:before="0" w:after="0"/>
        <w:ind w:left="1439" w:right="0" w:hanging="360"/>
        <w:jc w:val="both"/>
        <w:rPr>
          <w:sz w:val="22"/>
        </w:rPr>
      </w:pPr>
      <w:r>
        <w:rPr>
          <w:sz w:val="22"/>
        </w:rPr>
        <w:t>The present extension staff must be retrained to be</w:t>
      </w:r>
      <w:r>
        <w:rPr>
          <w:spacing w:val="-4"/>
          <w:sz w:val="22"/>
        </w:rPr>
        <w:t> </w:t>
      </w:r>
      <w:r>
        <w:rPr>
          <w:sz w:val="22"/>
        </w:rPr>
        <w:t>able</w:t>
      </w:r>
      <w:r>
        <w:rPr>
          <w:spacing w:val="-4"/>
          <w:sz w:val="22"/>
        </w:rPr>
        <w:t> </w:t>
      </w:r>
      <w:r>
        <w:rPr>
          <w:sz w:val="22"/>
        </w:rPr>
        <w:t>to</w:t>
      </w:r>
      <w:r>
        <w:rPr>
          <w:spacing w:val="-4"/>
          <w:sz w:val="22"/>
        </w:rPr>
        <w:t> </w:t>
      </w:r>
      <w:r>
        <w:rPr>
          <w:sz w:val="22"/>
        </w:rPr>
        <w:t>provide</w:t>
      </w:r>
      <w:r>
        <w:rPr>
          <w:spacing w:val="-4"/>
          <w:sz w:val="22"/>
        </w:rPr>
        <w:t> </w:t>
      </w:r>
      <w:r>
        <w:rPr>
          <w:sz w:val="22"/>
        </w:rPr>
        <w:t>information</w:t>
      </w:r>
      <w:r>
        <w:rPr>
          <w:spacing w:val="-4"/>
          <w:sz w:val="22"/>
        </w:rPr>
        <w:t> </w:t>
      </w:r>
      <w:r>
        <w:rPr>
          <w:sz w:val="22"/>
        </w:rPr>
        <w:t>and</w:t>
      </w:r>
      <w:r>
        <w:rPr>
          <w:spacing w:val="-4"/>
          <w:sz w:val="22"/>
        </w:rPr>
        <w:t> </w:t>
      </w:r>
      <w:r>
        <w:rPr>
          <w:sz w:val="22"/>
        </w:rPr>
        <w:t>assistance</w:t>
      </w:r>
      <w:r>
        <w:rPr>
          <w:spacing w:val="-4"/>
          <w:sz w:val="22"/>
        </w:rPr>
        <w:t> </w:t>
      </w:r>
      <w:r>
        <w:rPr>
          <w:sz w:val="22"/>
        </w:rPr>
        <w:t>not </w:t>
      </w:r>
      <w:r>
        <w:rPr>
          <w:spacing w:val="-4"/>
          <w:sz w:val="22"/>
        </w:rPr>
        <w:t>only</w:t>
      </w:r>
      <w:r>
        <w:rPr>
          <w:spacing w:val="-10"/>
          <w:sz w:val="22"/>
        </w:rPr>
        <w:t> </w:t>
      </w:r>
      <w:r>
        <w:rPr>
          <w:spacing w:val="-4"/>
          <w:sz w:val="22"/>
        </w:rPr>
        <w:t>for</w:t>
      </w:r>
      <w:r>
        <w:rPr>
          <w:spacing w:val="-10"/>
          <w:sz w:val="22"/>
        </w:rPr>
        <w:t> </w:t>
      </w:r>
      <w:r>
        <w:rPr>
          <w:spacing w:val="-4"/>
          <w:sz w:val="22"/>
        </w:rPr>
        <w:t>agriculture</w:t>
      </w:r>
      <w:r>
        <w:rPr>
          <w:spacing w:val="-10"/>
          <w:sz w:val="22"/>
        </w:rPr>
        <w:t> </w:t>
      </w:r>
      <w:r>
        <w:rPr>
          <w:spacing w:val="-4"/>
          <w:sz w:val="22"/>
        </w:rPr>
        <w:t>and</w:t>
      </w:r>
      <w:r>
        <w:rPr>
          <w:spacing w:val="-9"/>
          <w:sz w:val="22"/>
        </w:rPr>
        <w:t> </w:t>
      </w:r>
      <w:r>
        <w:rPr>
          <w:spacing w:val="-4"/>
          <w:sz w:val="22"/>
        </w:rPr>
        <w:t>animal</w:t>
      </w:r>
      <w:r>
        <w:rPr>
          <w:spacing w:val="-10"/>
          <w:sz w:val="22"/>
        </w:rPr>
        <w:t> </w:t>
      </w:r>
      <w:r>
        <w:rPr>
          <w:spacing w:val="-4"/>
          <w:sz w:val="22"/>
        </w:rPr>
        <w:t>husbandry,</w:t>
      </w:r>
      <w:r>
        <w:rPr>
          <w:spacing w:val="-10"/>
          <w:sz w:val="22"/>
        </w:rPr>
        <w:t> </w:t>
      </w:r>
      <w:r>
        <w:rPr>
          <w:spacing w:val="-4"/>
          <w:sz w:val="22"/>
        </w:rPr>
        <w:t>fisheries </w:t>
      </w:r>
      <w:r>
        <w:rPr>
          <w:sz w:val="22"/>
        </w:rPr>
        <w:t>and</w:t>
      </w:r>
      <w:r>
        <w:rPr>
          <w:spacing w:val="-8"/>
          <w:sz w:val="22"/>
        </w:rPr>
        <w:t> </w:t>
      </w:r>
      <w:r>
        <w:rPr>
          <w:sz w:val="22"/>
        </w:rPr>
        <w:t>horticulture,</w:t>
      </w:r>
      <w:r>
        <w:rPr>
          <w:spacing w:val="-8"/>
          <w:sz w:val="22"/>
        </w:rPr>
        <w:t> </w:t>
      </w:r>
      <w:r>
        <w:rPr>
          <w:sz w:val="22"/>
        </w:rPr>
        <w:t>but</w:t>
      </w:r>
      <w:r>
        <w:rPr>
          <w:spacing w:val="-8"/>
          <w:sz w:val="22"/>
        </w:rPr>
        <w:t> </w:t>
      </w:r>
      <w:r>
        <w:rPr>
          <w:sz w:val="22"/>
        </w:rPr>
        <w:t>also</w:t>
      </w:r>
      <w:r>
        <w:rPr>
          <w:spacing w:val="-8"/>
          <w:sz w:val="22"/>
        </w:rPr>
        <w:t> </w:t>
      </w:r>
      <w:r>
        <w:rPr>
          <w:sz w:val="22"/>
        </w:rPr>
        <w:t>with</w:t>
      </w:r>
      <w:r>
        <w:rPr>
          <w:spacing w:val="-8"/>
          <w:sz w:val="22"/>
        </w:rPr>
        <w:t> </w:t>
      </w:r>
      <w:r>
        <w:rPr>
          <w:sz w:val="22"/>
        </w:rPr>
        <w:t>respect</w:t>
      </w:r>
      <w:r>
        <w:rPr>
          <w:spacing w:val="-8"/>
          <w:sz w:val="22"/>
        </w:rPr>
        <w:t> </w:t>
      </w:r>
      <w:r>
        <w:rPr>
          <w:sz w:val="22"/>
        </w:rPr>
        <w:t>to</w:t>
      </w:r>
      <w:r>
        <w:rPr>
          <w:spacing w:val="-8"/>
          <w:sz w:val="22"/>
        </w:rPr>
        <w:t> </w:t>
      </w:r>
      <w:r>
        <w:rPr>
          <w:sz w:val="22"/>
        </w:rPr>
        <w:t>methods </w:t>
      </w:r>
      <w:r>
        <w:rPr>
          <w:spacing w:val="-4"/>
          <w:sz w:val="22"/>
        </w:rPr>
        <w:t>of</w:t>
      </w:r>
      <w:r>
        <w:rPr>
          <w:spacing w:val="-7"/>
          <w:sz w:val="22"/>
        </w:rPr>
        <w:t> </w:t>
      </w:r>
      <w:r>
        <w:rPr>
          <w:spacing w:val="-4"/>
          <w:sz w:val="22"/>
        </w:rPr>
        <w:t>storage,</w:t>
      </w:r>
      <w:r>
        <w:rPr>
          <w:spacing w:val="-7"/>
          <w:sz w:val="22"/>
        </w:rPr>
        <w:t> </w:t>
      </w:r>
      <w:r>
        <w:rPr>
          <w:spacing w:val="-4"/>
          <w:sz w:val="22"/>
        </w:rPr>
        <w:t>transport,</w:t>
      </w:r>
      <w:r>
        <w:rPr>
          <w:spacing w:val="-7"/>
          <w:sz w:val="22"/>
        </w:rPr>
        <w:t> </w:t>
      </w:r>
      <w:r>
        <w:rPr>
          <w:spacing w:val="-4"/>
          <w:sz w:val="22"/>
        </w:rPr>
        <w:t>market</w:t>
      </w:r>
      <w:r>
        <w:rPr>
          <w:spacing w:val="-7"/>
          <w:sz w:val="22"/>
        </w:rPr>
        <w:t> </w:t>
      </w:r>
      <w:r>
        <w:rPr>
          <w:spacing w:val="-4"/>
          <w:sz w:val="22"/>
        </w:rPr>
        <w:t>access,</w:t>
      </w:r>
      <w:r>
        <w:rPr>
          <w:spacing w:val="-7"/>
          <w:sz w:val="22"/>
        </w:rPr>
        <w:t> </w:t>
      </w:r>
      <w:r>
        <w:rPr>
          <w:spacing w:val="-4"/>
          <w:sz w:val="22"/>
        </w:rPr>
        <w:t>value</w:t>
      </w:r>
      <w:r>
        <w:rPr>
          <w:spacing w:val="-7"/>
          <w:sz w:val="22"/>
        </w:rPr>
        <w:t> </w:t>
      </w:r>
      <w:r>
        <w:rPr>
          <w:spacing w:val="-4"/>
          <w:sz w:val="22"/>
        </w:rPr>
        <w:t>addition, </w:t>
      </w:r>
      <w:r>
        <w:rPr>
          <w:sz w:val="22"/>
        </w:rPr>
        <w:t>credit etc.</w:t>
      </w:r>
    </w:p>
    <w:p>
      <w:pPr>
        <w:pStyle w:val="ListParagraph"/>
        <w:numPr>
          <w:ilvl w:val="2"/>
          <w:numId w:val="64"/>
        </w:numPr>
        <w:tabs>
          <w:tab w:pos="1439" w:val="left" w:leader="none"/>
        </w:tabs>
        <w:spacing w:line="266" w:lineRule="auto" w:before="0" w:after="0"/>
        <w:ind w:left="1439" w:right="0" w:hanging="360"/>
        <w:jc w:val="both"/>
        <w:rPr>
          <w:sz w:val="22"/>
        </w:rPr>
      </w:pPr>
      <w:r>
        <w:rPr>
          <w:spacing w:val="-4"/>
          <w:sz w:val="22"/>
        </w:rPr>
        <w:t>The syllabi in agricultural colleges and agricultural </w:t>
      </w:r>
      <w:r>
        <w:rPr>
          <w:spacing w:val="-6"/>
          <w:sz w:val="22"/>
        </w:rPr>
        <w:t>polytechnics must be restructured to prepare a cadre </w:t>
      </w:r>
      <w:r>
        <w:rPr>
          <w:sz w:val="22"/>
        </w:rPr>
        <w:t>of</w:t>
      </w:r>
      <w:r>
        <w:rPr>
          <w:spacing w:val="-2"/>
          <w:sz w:val="22"/>
        </w:rPr>
        <w:t> </w:t>
      </w:r>
      <w:r>
        <w:rPr>
          <w:sz w:val="22"/>
        </w:rPr>
        <w:t>extension</w:t>
      </w:r>
      <w:r>
        <w:rPr>
          <w:spacing w:val="-2"/>
          <w:sz w:val="22"/>
        </w:rPr>
        <w:t> </w:t>
      </w:r>
      <w:r>
        <w:rPr>
          <w:sz w:val="22"/>
        </w:rPr>
        <w:t>workers</w:t>
      </w:r>
      <w:r>
        <w:rPr>
          <w:spacing w:val="-2"/>
          <w:sz w:val="22"/>
        </w:rPr>
        <w:t> </w:t>
      </w:r>
      <w:r>
        <w:rPr>
          <w:sz w:val="22"/>
        </w:rPr>
        <w:t>who</w:t>
      </w:r>
      <w:r>
        <w:rPr>
          <w:spacing w:val="-2"/>
          <w:sz w:val="22"/>
        </w:rPr>
        <w:t> </w:t>
      </w:r>
      <w:r>
        <w:rPr>
          <w:sz w:val="22"/>
        </w:rPr>
        <w:t>can</w:t>
      </w:r>
      <w:r>
        <w:rPr>
          <w:spacing w:val="-2"/>
          <w:sz w:val="22"/>
        </w:rPr>
        <w:t> </w:t>
      </w:r>
      <w:r>
        <w:rPr>
          <w:sz w:val="22"/>
        </w:rPr>
        <w:t>broaden</w:t>
      </w:r>
      <w:r>
        <w:rPr>
          <w:spacing w:val="-2"/>
          <w:sz w:val="22"/>
        </w:rPr>
        <w:t> </w:t>
      </w:r>
      <w:r>
        <w:rPr>
          <w:sz w:val="22"/>
        </w:rPr>
        <w:t>extension </w:t>
      </w:r>
      <w:r>
        <w:rPr>
          <w:spacing w:val="-2"/>
          <w:sz w:val="22"/>
        </w:rPr>
        <w:t>delivery.</w:t>
      </w:r>
    </w:p>
    <w:p>
      <w:pPr>
        <w:pStyle w:val="ListParagraph"/>
        <w:numPr>
          <w:ilvl w:val="2"/>
          <w:numId w:val="64"/>
        </w:numPr>
        <w:tabs>
          <w:tab w:pos="1439" w:val="left" w:leader="none"/>
        </w:tabs>
        <w:spacing w:line="266" w:lineRule="auto" w:before="0" w:after="0"/>
        <w:ind w:left="1439" w:right="0" w:hanging="360"/>
        <w:jc w:val="both"/>
        <w:rPr>
          <w:sz w:val="22"/>
        </w:rPr>
      </w:pPr>
      <w:r>
        <w:rPr>
          <w:spacing w:val="-2"/>
          <w:sz w:val="22"/>
        </w:rPr>
        <w:t>Institutional</w:t>
      </w:r>
      <w:r>
        <w:rPr>
          <w:spacing w:val="-11"/>
          <w:sz w:val="22"/>
        </w:rPr>
        <w:t> </w:t>
      </w:r>
      <w:r>
        <w:rPr>
          <w:spacing w:val="-2"/>
          <w:sz w:val="22"/>
        </w:rPr>
        <w:t>arrangements</w:t>
      </w:r>
      <w:r>
        <w:rPr>
          <w:spacing w:val="-11"/>
          <w:sz w:val="22"/>
        </w:rPr>
        <w:t> </w:t>
      </w:r>
      <w:r>
        <w:rPr>
          <w:spacing w:val="-2"/>
          <w:sz w:val="22"/>
        </w:rPr>
        <w:t>need</w:t>
      </w:r>
      <w:r>
        <w:rPr>
          <w:spacing w:val="-11"/>
          <w:sz w:val="22"/>
        </w:rPr>
        <w:t> </w:t>
      </w:r>
      <w:r>
        <w:rPr>
          <w:spacing w:val="-2"/>
          <w:sz w:val="22"/>
        </w:rPr>
        <w:t>to</w:t>
      </w:r>
      <w:r>
        <w:rPr>
          <w:spacing w:val="-11"/>
          <w:sz w:val="22"/>
        </w:rPr>
        <w:t> </w:t>
      </w:r>
      <w:r>
        <w:rPr>
          <w:spacing w:val="-2"/>
          <w:sz w:val="22"/>
        </w:rPr>
        <w:t>be</w:t>
      </w:r>
      <w:r>
        <w:rPr>
          <w:spacing w:val="-11"/>
          <w:sz w:val="22"/>
        </w:rPr>
        <w:t> </w:t>
      </w:r>
      <w:r>
        <w:rPr>
          <w:spacing w:val="-2"/>
          <w:sz w:val="22"/>
        </w:rPr>
        <w:t>developed</w:t>
      </w:r>
      <w:r>
        <w:rPr>
          <w:spacing w:val="-11"/>
          <w:sz w:val="22"/>
        </w:rPr>
        <w:t> </w:t>
      </w:r>
      <w:r>
        <w:rPr>
          <w:spacing w:val="-2"/>
          <w:sz w:val="22"/>
        </w:rPr>
        <w:t>to </w:t>
      </w:r>
      <w:r>
        <w:rPr>
          <w:sz w:val="22"/>
        </w:rPr>
        <w:t>ensure continuing education of those involved in </w:t>
      </w:r>
      <w:r>
        <w:rPr>
          <w:spacing w:val="-6"/>
          <w:sz w:val="22"/>
        </w:rPr>
        <w:t>agricultural extension, whether in public institutions </w:t>
      </w:r>
      <w:r>
        <w:rPr>
          <w:sz w:val="22"/>
        </w:rPr>
        <w:t>or in private capacity.</w:t>
      </w:r>
    </w:p>
    <w:p>
      <w:pPr>
        <w:pStyle w:val="Heading7"/>
        <w:numPr>
          <w:ilvl w:val="0"/>
          <w:numId w:val="64"/>
        </w:numPr>
        <w:tabs>
          <w:tab w:pos="1477" w:val="left" w:leader="none"/>
        </w:tabs>
        <w:spacing w:line="225" w:lineRule="auto" w:before="245" w:after="0"/>
        <w:ind w:left="1477" w:right="232" w:hanging="398"/>
        <w:jc w:val="left"/>
      </w:pPr>
      <w:r>
        <w:rPr>
          <w:color w:val="2E614A"/>
          <w:spacing w:val="-6"/>
        </w:rPr>
        <w:t>Restructure</w:t>
      </w:r>
      <w:r>
        <w:rPr>
          <w:color w:val="2E614A"/>
          <w:spacing w:val="-11"/>
        </w:rPr>
        <w:t> </w:t>
      </w:r>
      <w:r>
        <w:rPr>
          <w:color w:val="2E614A"/>
          <w:spacing w:val="-6"/>
        </w:rPr>
        <w:t>Agricultural Technology </w:t>
      </w:r>
      <w:r>
        <w:rPr>
          <w:color w:val="2E614A"/>
          <w:spacing w:val="-10"/>
        </w:rPr>
        <w:t>Management</w:t>
      </w:r>
      <w:r>
        <w:rPr>
          <w:color w:val="2E614A"/>
          <w:spacing w:val="-7"/>
        </w:rPr>
        <w:t> </w:t>
      </w:r>
      <w:r>
        <w:rPr>
          <w:color w:val="2E614A"/>
          <w:spacing w:val="-10"/>
        </w:rPr>
        <w:t>Agency</w:t>
      </w:r>
      <w:r>
        <w:rPr>
          <w:color w:val="2E614A"/>
          <w:spacing w:val="-6"/>
        </w:rPr>
        <w:t> </w:t>
      </w:r>
      <w:r>
        <w:rPr>
          <w:color w:val="2E614A"/>
          <w:spacing w:val="-10"/>
        </w:rPr>
        <w:t>(ATMA)</w:t>
      </w:r>
      <w:r>
        <w:rPr>
          <w:color w:val="2E614A"/>
          <w:spacing w:val="-6"/>
        </w:rPr>
        <w:t> </w:t>
      </w:r>
      <w:r>
        <w:rPr>
          <w:color w:val="2E614A"/>
          <w:spacing w:val="-10"/>
        </w:rPr>
        <w:t>to</w:t>
      </w:r>
      <w:r>
        <w:rPr>
          <w:color w:val="2E614A"/>
          <w:spacing w:val="-6"/>
        </w:rPr>
        <w:t> </w:t>
      </w:r>
      <w:r>
        <w:rPr>
          <w:color w:val="2E614A"/>
          <w:spacing w:val="-10"/>
        </w:rPr>
        <w:t>make </w:t>
      </w:r>
      <w:r>
        <w:rPr>
          <w:color w:val="2E614A"/>
          <w:w w:val="90"/>
        </w:rPr>
        <w:t>it more decentralised, participatory </w:t>
      </w:r>
      <w:r>
        <w:rPr>
          <w:color w:val="2E614A"/>
          <w:w w:val="90"/>
        </w:rPr>
        <w:t>and </w:t>
      </w:r>
      <w:r>
        <w:rPr>
          <w:color w:val="2E614A"/>
        </w:rPr>
        <w:t>locally</w:t>
      </w:r>
      <w:r>
        <w:rPr>
          <w:color w:val="2E614A"/>
          <w:spacing w:val="-14"/>
        </w:rPr>
        <w:t> </w:t>
      </w:r>
      <w:r>
        <w:rPr>
          <w:color w:val="2E614A"/>
        </w:rPr>
        <w:t>responsive</w:t>
      </w:r>
    </w:p>
    <w:p>
      <w:pPr>
        <w:pStyle w:val="ListParagraph"/>
        <w:numPr>
          <w:ilvl w:val="1"/>
          <w:numId w:val="64"/>
        </w:numPr>
        <w:tabs>
          <w:tab w:pos="1439" w:val="left" w:leader="none"/>
        </w:tabs>
        <w:spacing w:line="266" w:lineRule="auto" w:before="298" w:after="0"/>
        <w:ind w:left="1439" w:right="0" w:hanging="360"/>
        <w:jc w:val="both"/>
        <w:rPr>
          <w:sz w:val="22"/>
        </w:rPr>
      </w:pPr>
      <w:r>
        <w:rPr>
          <w:spacing w:val="-4"/>
          <w:sz w:val="22"/>
        </w:rPr>
        <w:t>The</w:t>
      </w:r>
      <w:r>
        <w:rPr>
          <w:spacing w:val="-7"/>
          <w:sz w:val="22"/>
        </w:rPr>
        <w:t> </w:t>
      </w:r>
      <w:r>
        <w:rPr>
          <w:spacing w:val="-4"/>
          <w:sz w:val="22"/>
        </w:rPr>
        <w:t>staff</w:t>
      </w:r>
      <w:r>
        <w:rPr>
          <w:spacing w:val="-7"/>
          <w:sz w:val="22"/>
        </w:rPr>
        <w:t> </w:t>
      </w:r>
      <w:r>
        <w:rPr>
          <w:spacing w:val="-4"/>
          <w:sz w:val="22"/>
        </w:rPr>
        <w:t>of</w:t>
      </w:r>
      <w:r>
        <w:rPr>
          <w:spacing w:val="-7"/>
          <w:sz w:val="22"/>
        </w:rPr>
        <w:t> </w:t>
      </w:r>
      <w:r>
        <w:rPr>
          <w:spacing w:val="-4"/>
          <w:sz w:val="22"/>
        </w:rPr>
        <w:t>the</w:t>
      </w:r>
      <w:r>
        <w:rPr>
          <w:spacing w:val="-7"/>
          <w:sz w:val="22"/>
        </w:rPr>
        <w:t> </w:t>
      </w:r>
      <w:r>
        <w:rPr>
          <w:spacing w:val="-4"/>
          <w:sz w:val="22"/>
        </w:rPr>
        <w:t>various</w:t>
      </w:r>
      <w:r>
        <w:rPr>
          <w:spacing w:val="-7"/>
          <w:sz w:val="22"/>
        </w:rPr>
        <w:t> </w:t>
      </w:r>
      <w:r>
        <w:rPr>
          <w:spacing w:val="-4"/>
          <w:sz w:val="22"/>
        </w:rPr>
        <w:t>line</w:t>
      </w:r>
      <w:r>
        <w:rPr>
          <w:spacing w:val="-7"/>
          <w:sz w:val="22"/>
        </w:rPr>
        <w:t> </w:t>
      </w:r>
      <w:r>
        <w:rPr>
          <w:spacing w:val="-4"/>
          <w:sz w:val="22"/>
        </w:rPr>
        <w:t>departments</w:t>
      </w:r>
      <w:r>
        <w:rPr>
          <w:spacing w:val="-7"/>
          <w:sz w:val="22"/>
        </w:rPr>
        <w:t> </w:t>
      </w:r>
      <w:r>
        <w:rPr>
          <w:spacing w:val="-4"/>
          <w:sz w:val="22"/>
        </w:rPr>
        <w:t>connected </w:t>
      </w:r>
      <w:r>
        <w:rPr>
          <w:sz w:val="22"/>
        </w:rPr>
        <w:t>with agricultural development (agriculture, </w:t>
      </w:r>
      <w:r>
        <w:rPr>
          <w:spacing w:val="-4"/>
          <w:sz w:val="22"/>
        </w:rPr>
        <w:t>horticulture, animal husbandry, dairying, fisheries) should</w:t>
      </w:r>
      <w:r>
        <w:rPr>
          <w:spacing w:val="-7"/>
          <w:sz w:val="22"/>
        </w:rPr>
        <w:t> </w:t>
      </w:r>
      <w:r>
        <w:rPr>
          <w:spacing w:val="-4"/>
          <w:sz w:val="22"/>
        </w:rPr>
        <w:t>be</w:t>
      </w:r>
      <w:r>
        <w:rPr>
          <w:spacing w:val="-7"/>
          <w:sz w:val="22"/>
        </w:rPr>
        <w:t> </w:t>
      </w:r>
      <w:r>
        <w:rPr>
          <w:spacing w:val="-4"/>
          <w:sz w:val="22"/>
        </w:rPr>
        <w:t>placed</w:t>
      </w:r>
      <w:r>
        <w:rPr>
          <w:spacing w:val="-7"/>
          <w:sz w:val="22"/>
        </w:rPr>
        <w:t> </w:t>
      </w:r>
      <w:r>
        <w:rPr>
          <w:spacing w:val="-4"/>
          <w:sz w:val="22"/>
        </w:rPr>
        <w:t>under</w:t>
      </w:r>
      <w:r>
        <w:rPr>
          <w:spacing w:val="-7"/>
          <w:sz w:val="22"/>
        </w:rPr>
        <w:t> </w:t>
      </w:r>
      <w:r>
        <w:rPr>
          <w:spacing w:val="-4"/>
          <w:sz w:val="22"/>
        </w:rPr>
        <w:t>the</w:t>
      </w:r>
      <w:r>
        <w:rPr>
          <w:spacing w:val="-7"/>
          <w:sz w:val="22"/>
        </w:rPr>
        <w:t> </w:t>
      </w:r>
      <w:r>
        <w:rPr>
          <w:spacing w:val="-4"/>
          <w:sz w:val="22"/>
        </w:rPr>
        <w:t>control</w:t>
      </w:r>
      <w:r>
        <w:rPr>
          <w:spacing w:val="-7"/>
          <w:sz w:val="22"/>
        </w:rPr>
        <w:t> </w:t>
      </w:r>
      <w:r>
        <w:rPr>
          <w:spacing w:val="-4"/>
          <w:sz w:val="22"/>
        </w:rPr>
        <w:t>of</w:t>
      </w:r>
      <w:r>
        <w:rPr>
          <w:spacing w:val="-7"/>
          <w:sz w:val="22"/>
        </w:rPr>
        <w:t> </w:t>
      </w:r>
      <w:r>
        <w:rPr>
          <w:spacing w:val="-4"/>
          <w:sz w:val="22"/>
        </w:rPr>
        <w:t>ATMA</w:t>
      </w:r>
      <w:r>
        <w:rPr>
          <w:spacing w:val="-7"/>
          <w:sz w:val="22"/>
        </w:rPr>
        <w:t> </w:t>
      </w:r>
      <w:r>
        <w:rPr>
          <w:spacing w:val="-4"/>
          <w:sz w:val="22"/>
        </w:rPr>
        <w:t>at</w:t>
      </w:r>
      <w:r>
        <w:rPr>
          <w:spacing w:val="-7"/>
          <w:sz w:val="22"/>
        </w:rPr>
        <w:t> </w:t>
      </w:r>
      <w:r>
        <w:rPr>
          <w:spacing w:val="-4"/>
          <w:sz w:val="22"/>
        </w:rPr>
        <w:t>the </w:t>
      </w:r>
      <w:r>
        <w:rPr>
          <w:sz w:val="22"/>
        </w:rPr>
        <w:t>district level, with technical support, monitoring and quality control provided by the respective departments at the State level.</w:t>
      </w:r>
    </w:p>
    <w:p>
      <w:pPr>
        <w:pStyle w:val="ListParagraph"/>
        <w:numPr>
          <w:ilvl w:val="1"/>
          <w:numId w:val="64"/>
        </w:numPr>
        <w:tabs>
          <w:tab w:pos="1439" w:val="left" w:leader="none"/>
        </w:tabs>
        <w:spacing w:line="266" w:lineRule="auto" w:before="0" w:after="0"/>
        <w:ind w:left="1439" w:right="0" w:hanging="360"/>
        <w:jc w:val="both"/>
        <w:rPr>
          <w:sz w:val="22"/>
        </w:rPr>
      </w:pPr>
      <w:r>
        <w:rPr>
          <w:sz w:val="22"/>
        </w:rPr>
        <w:t>This</w:t>
      </w:r>
      <w:r>
        <w:rPr>
          <w:spacing w:val="-14"/>
          <w:sz w:val="22"/>
        </w:rPr>
        <w:t> </w:t>
      </w:r>
      <w:r>
        <w:rPr>
          <w:sz w:val="22"/>
        </w:rPr>
        <w:t>calls</w:t>
      </w:r>
      <w:r>
        <w:rPr>
          <w:spacing w:val="-14"/>
          <w:sz w:val="22"/>
        </w:rPr>
        <w:t> </w:t>
      </w:r>
      <w:r>
        <w:rPr>
          <w:sz w:val="22"/>
        </w:rPr>
        <w:t>for</w:t>
      </w:r>
      <w:r>
        <w:rPr>
          <w:spacing w:val="-14"/>
          <w:sz w:val="22"/>
        </w:rPr>
        <w:t> </w:t>
      </w:r>
      <w:r>
        <w:rPr>
          <w:sz w:val="22"/>
        </w:rPr>
        <w:t>restructuring</w:t>
      </w:r>
      <w:r>
        <w:rPr>
          <w:spacing w:val="-13"/>
          <w:sz w:val="22"/>
        </w:rPr>
        <w:t> </w:t>
      </w:r>
      <w:r>
        <w:rPr>
          <w:sz w:val="22"/>
        </w:rPr>
        <w:t>the</w:t>
      </w:r>
      <w:r>
        <w:rPr>
          <w:spacing w:val="-14"/>
          <w:sz w:val="22"/>
        </w:rPr>
        <w:t> </w:t>
      </w:r>
      <w:r>
        <w:rPr>
          <w:sz w:val="22"/>
        </w:rPr>
        <w:t>line</w:t>
      </w:r>
      <w:r>
        <w:rPr>
          <w:spacing w:val="-14"/>
          <w:sz w:val="22"/>
        </w:rPr>
        <w:t> </w:t>
      </w:r>
      <w:r>
        <w:rPr>
          <w:sz w:val="22"/>
        </w:rPr>
        <w:t>departments</w:t>
      </w:r>
      <w:r>
        <w:rPr>
          <w:spacing w:val="-14"/>
          <w:sz w:val="22"/>
        </w:rPr>
        <w:t> </w:t>
      </w:r>
      <w:r>
        <w:rPr>
          <w:sz w:val="22"/>
        </w:rPr>
        <w:t>at various</w:t>
      </w:r>
      <w:r>
        <w:rPr>
          <w:spacing w:val="-7"/>
          <w:sz w:val="22"/>
        </w:rPr>
        <w:t> </w:t>
      </w:r>
      <w:r>
        <w:rPr>
          <w:sz w:val="22"/>
        </w:rPr>
        <w:t>levels</w:t>
      </w:r>
      <w:r>
        <w:rPr>
          <w:spacing w:val="-7"/>
          <w:sz w:val="22"/>
        </w:rPr>
        <w:t> </w:t>
      </w:r>
      <w:r>
        <w:rPr>
          <w:sz w:val="22"/>
        </w:rPr>
        <w:t>and</w:t>
      </w:r>
      <w:r>
        <w:rPr>
          <w:spacing w:val="-7"/>
          <w:sz w:val="22"/>
        </w:rPr>
        <w:t> </w:t>
      </w:r>
      <w:r>
        <w:rPr>
          <w:sz w:val="22"/>
        </w:rPr>
        <w:t>the</w:t>
      </w:r>
      <w:r>
        <w:rPr>
          <w:spacing w:val="-7"/>
          <w:sz w:val="22"/>
        </w:rPr>
        <w:t> </w:t>
      </w:r>
      <w:r>
        <w:rPr>
          <w:sz w:val="22"/>
        </w:rPr>
        <w:t>recruitment</w:t>
      </w:r>
      <w:r>
        <w:rPr>
          <w:spacing w:val="-7"/>
          <w:sz w:val="22"/>
        </w:rPr>
        <w:t> </w:t>
      </w:r>
      <w:r>
        <w:rPr>
          <w:sz w:val="22"/>
        </w:rPr>
        <w:t>of</w:t>
      </w:r>
      <w:r>
        <w:rPr>
          <w:spacing w:val="-7"/>
          <w:sz w:val="22"/>
        </w:rPr>
        <w:t> </w:t>
      </w:r>
      <w:r>
        <w:rPr>
          <w:sz w:val="22"/>
        </w:rPr>
        <w:t>a</w:t>
      </w:r>
      <w:r>
        <w:rPr>
          <w:spacing w:val="-7"/>
          <w:sz w:val="22"/>
        </w:rPr>
        <w:t> </w:t>
      </w:r>
      <w:r>
        <w:rPr>
          <w:sz w:val="22"/>
        </w:rPr>
        <w:t>competent and</w:t>
      </w:r>
      <w:r>
        <w:rPr>
          <w:spacing w:val="-2"/>
          <w:sz w:val="22"/>
        </w:rPr>
        <w:t> </w:t>
      </w:r>
      <w:r>
        <w:rPr>
          <w:sz w:val="22"/>
        </w:rPr>
        <w:t>experienced</w:t>
      </w:r>
      <w:r>
        <w:rPr>
          <w:spacing w:val="-2"/>
          <w:sz w:val="22"/>
        </w:rPr>
        <w:t> </w:t>
      </w:r>
      <w:r>
        <w:rPr>
          <w:sz w:val="22"/>
        </w:rPr>
        <w:t>Project</w:t>
      </w:r>
      <w:r>
        <w:rPr>
          <w:spacing w:val="-2"/>
          <w:sz w:val="22"/>
        </w:rPr>
        <w:t> </w:t>
      </w:r>
      <w:r>
        <w:rPr>
          <w:sz w:val="22"/>
        </w:rPr>
        <w:t>Director</w:t>
      </w:r>
      <w:r>
        <w:rPr>
          <w:spacing w:val="-2"/>
          <w:sz w:val="22"/>
        </w:rPr>
        <w:t> </w:t>
      </w:r>
      <w:r>
        <w:rPr>
          <w:sz w:val="22"/>
        </w:rPr>
        <w:t>in</w:t>
      </w:r>
      <w:r>
        <w:rPr>
          <w:spacing w:val="-2"/>
          <w:sz w:val="22"/>
        </w:rPr>
        <w:t> </w:t>
      </w:r>
      <w:r>
        <w:rPr>
          <w:sz w:val="22"/>
        </w:rPr>
        <w:t>each</w:t>
      </w:r>
      <w:r>
        <w:rPr>
          <w:spacing w:val="-2"/>
          <w:sz w:val="22"/>
        </w:rPr>
        <w:t> </w:t>
      </w:r>
      <w:r>
        <w:rPr>
          <w:sz w:val="22"/>
        </w:rPr>
        <w:t>district, with the exclusive function of management of</w:t>
      </w:r>
      <w:r>
        <w:rPr>
          <w:spacing w:val="40"/>
          <w:sz w:val="22"/>
        </w:rPr>
        <w:t> </w:t>
      </w:r>
      <w:r>
        <w:rPr>
          <w:sz w:val="22"/>
        </w:rPr>
        <w:t>the ATMA.</w:t>
      </w:r>
    </w:p>
    <w:p>
      <w:pPr>
        <w:pStyle w:val="ListParagraph"/>
        <w:numPr>
          <w:ilvl w:val="1"/>
          <w:numId w:val="64"/>
        </w:numPr>
        <w:tabs>
          <w:tab w:pos="1439" w:val="left" w:leader="none"/>
        </w:tabs>
        <w:spacing w:line="266" w:lineRule="auto" w:before="0" w:after="0"/>
        <w:ind w:left="1439" w:right="0" w:hanging="360"/>
        <w:jc w:val="both"/>
        <w:rPr>
          <w:sz w:val="22"/>
        </w:rPr>
      </w:pPr>
      <w:r>
        <w:rPr>
          <w:sz w:val="22"/>
        </w:rPr>
        <w:t>The</w:t>
      </w:r>
      <w:r>
        <w:rPr>
          <w:spacing w:val="-5"/>
          <w:sz w:val="22"/>
        </w:rPr>
        <w:t> </w:t>
      </w:r>
      <w:r>
        <w:rPr>
          <w:sz w:val="22"/>
        </w:rPr>
        <w:t>district</w:t>
      </w:r>
      <w:r>
        <w:rPr>
          <w:spacing w:val="-5"/>
          <w:sz w:val="22"/>
        </w:rPr>
        <w:t> </w:t>
      </w:r>
      <w:r>
        <w:rPr>
          <w:sz w:val="22"/>
        </w:rPr>
        <w:t>level</w:t>
      </w:r>
      <w:r>
        <w:rPr>
          <w:spacing w:val="-5"/>
          <w:sz w:val="22"/>
        </w:rPr>
        <w:t> </w:t>
      </w:r>
      <w:r>
        <w:rPr>
          <w:sz w:val="22"/>
        </w:rPr>
        <w:t>agricultural</w:t>
      </w:r>
      <w:r>
        <w:rPr>
          <w:spacing w:val="-5"/>
          <w:sz w:val="22"/>
        </w:rPr>
        <w:t> </w:t>
      </w:r>
      <w:r>
        <w:rPr>
          <w:sz w:val="22"/>
        </w:rPr>
        <w:t>sector</w:t>
      </w:r>
      <w:r>
        <w:rPr>
          <w:spacing w:val="-5"/>
          <w:sz w:val="22"/>
        </w:rPr>
        <w:t> </w:t>
      </w:r>
      <w:r>
        <w:rPr>
          <w:sz w:val="22"/>
        </w:rPr>
        <w:t>management programs and plans for ATMA need to be prepared</w:t>
      </w:r>
      <w:r>
        <w:rPr>
          <w:spacing w:val="-14"/>
          <w:sz w:val="22"/>
        </w:rPr>
        <w:t> </w:t>
      </w:r>
      <w:r>
        <w:rPr>
          <w:sz w:val="22"/>
        </w:rPr>
        <w:t>with</w:t>
      </w:r>
      <w:r>
        <w:rPr>
          <w:spacing w:val="-14"/>
          <w:sz w:val="22"/>
        </w:rPr>
        <w:t> </w:t>
      </w:r>
      <w:r>
        <w:rPr>
          <w:sz w:val="22"/>
        </w:rPr>
        <w:t>a</w:t>
      </w:r>
      <w:r>
        <w:rPr>
          <w:spacing w:val="-14"/>
          <w:sz w:val="22"/>
        </w:rPr>
        <w:t> </w:t>
      </w:r>
      <w:r>
        <w:rPr>
          <w:sz w:val="22"/>
        </w:rPr>
        <w:t>bottom-up</w:t>
      </w:r>
      <w:r>
        <w:rPr>
          <w:spacing w:val="-13"/>
          <w:sz w:val="22"/>
        </w:rPr>
        <w:t> </w:t>
      </w:r>
      <w:r>
        <w:rPr>
          <w:sz w:val="22"/>
        </w:rPr>
        <w:t>participatory</w:t>
      </w:r>
      <w:r>
        <w:rPr>
          <w:spacing w:val="-14"/>
          <w:sz w:val="22"/>
        </w:rPr>
        <w:t> </w:t>
      </w:r>
      <w:r>
        <w:rPr>
          <w:sz w:val="22"/>
        </w:rPr>
        <w:t>approach </w:t>
      </w:r>
      <w:r>
        <w:rPr>
          <w:w w:val="90"/>
          <w:sz w:val="22"/>
        </w:rPr>
        <w:t>emphasising convergence and based on consultations </w:t>
      </w:r>
      <w:r>
        <w:rPr>
          <w:spacing w:val="-2"/>
          <w:sz w:val="22"/>
        </w:rPr>
        <w:t>with</w:t>
      </w:r>
      <w:r>
        <w:rPr>
          <w:spacing w:val="-12"/>
          <w:sz w:val="22"/>
        </w:rPr>
        <w:t> </w:t>
      </w:r>
      <w:r>
        <w:rPr>
          <w:spacing w:val="-2"/>
          <w:sz w:val="22"/>
        </w:rPr>
        <w:t>all</w:t>
      </w:r>
      <w:r>
        <w:rPr>
          <w:spacing w:val="-12"/>
          <w:sz w:val="22"/>
        </w:rPr>
        <w:t> </w:t>
      </w:r>
      <w:r>
        <w:rPr>
          <w:spacing w:val="-2"/>
          <w:sz w:val="22"/>
        </w:rPr>
        <w:t>stakeholders</w:t>
      </w:r>
      <w:r>
        <w:rPr>
          <w:spacing w:val="-12"/>
          <w:sz w:val="22"/>
        </w:rPr>
        <w:t> </w:t>
      </w:r>
      <w:r>
        <w:rPr>
          <w:spacing w:val="-2"/>
          <w:sz w:val="22"/>
        </w:rPr>
        <w:t>at</w:t>
      </w:r>
      <w:r>
        <w:rPr>
          <w:spacing w:val="-11"/>
          <w:sz w:val="22"/>
        </w:rPr>
        <w:t> </w:t>
      </w:r>
      <w:r>
        <w:rPr>
          <w:spacing w:val="-2"/>
          <w:sz w:val="22"/>
        </w:rPr>
        <w:t>the</w:t>
      </w:r>
      <w:r>
        <w:rPr>
          <w:spacing w:val="-12"/>
          <w:sz w:val="22"/>
        </w:rPr>
        <w:t> </w:t>
      </w:r>
      <w:r>
        <w:rPr>
          <w:spacing w:val="-2"/>
          <w:sz w:val="22"/>
        </w:rPr>
        <w:t>village</w:t>
      </w:r>
      <w:r>
        <w:rPr>
          <w:spacing w:val="-12"/>
          <w:sz w:val="22"/>
        </w:rPr>
        <w:t> </w:t>
      </w:r>
      <w:r>
        <w:rPr>
          <w:spacing w:val="-2"/>
          <w:sz w:val="22"/>
        </w:rPr>
        <w:t>level,</w:t>
      </w:r>
      <w:r>
        <w:rPr>
          <w:spacing w:val="-12"/>
          <w:sz w:val="22"/>
        </w:rPr>
        <w:t> </w:t>
      </w:r>
      <w:r>
        <w:rPr>
          <w:spacing w:val="-2"/>
          <w:sz w:val="22"/>
        </w:rPr>
        <w:t>which</w:t>
      </w:r>
      <w:r>
        <w:rPr>
          <w:spacing w:val="-11"/>
          <w:sz w:val="22"/>
        </w:rPr>
        <w:t> </w:t>
      </w:r>
      <w:r>
        <w:rPr>
          <w:spacing w:val="-2"/>
          <w:sz w:val="22"/>
        </w:rPr>
        <w:t>can </w:t>
      </w:r>
      <w:r>
        <w:rPr>
          <w:sz w:val="22"/>
        </w:rPr>
        <w:t>then be consolidated at block and district level.</w:t>
      </w:r>
    </w:p>
    <w:p>
      <w:pPr>
        <w:pStyle w:val="ListParagraph"/>
        <w:numPr>
          <w:ilvl w:val="1"/>
          <w:numId w:val="64"/>
        </w:numPr>
        <w:tabs>
          <w:tab w:pos="1439" w:val="left" w:leader="none"/>
        </w:tabs>
        <w:spacing w:line="266" w:lineRule="auto" w:before="0" w:after="0"/>
        <w:ind w:left="1439" w:right="0" w:hanging="360"/>
        <w:jc w:val="both"/>
        <w:rPr>
          <w:sz w:val="22"/>
        </w:rPr>
      </w:pPr>
      <w:r>
        <w:rPr>
          <w:sz w:val="22"/>
        </w:rPr>
        <w:t>The Department of Marketing, Department of Credit, Agricultural Universities, KVKs, NGOs etc. should be partners in the planning process and provide support to the ATMA, in addition</w:t>
      </w:r>
      <w:r>
        <w:rPr>
          <w:spacing w:val="80"/>
          <w:sz w:val="22"/>
        </w:rPr>
        <w:t> </w:t>
      </w:r>
      <w:r>
        <w:rPr>
          <w:sz w:val="22"/>
        </w:rPr>
        <w:t>to implementing collaborative activities and </w:t>
      </w:r>
      <w:r>
        <w:rPr>
          <w:spacing w:val="-4"/>
          <w:sz w:val="22"/>
        </w:rPr>
        <w:t>programs.</w:t>
      </w:r>
      <w:r>
        <w:rPr>
          <w:spacing w:val="-10"/>
          <w:sz w:val="22"/>
        </w:rPr>
        <w:t> </w:t>
      </w:r>
      <w:r>
        <w:rPr>
          <w:spacing w:val="-4"/>
          <w:sz w:val="22"/>
        </w:rPr>
        <w:t>The</w:t>
      </w:r>
      <w:r>
        <w:rPr>
          <w:spacing w:val="-10"/>
          <w:sz w:val="22"/>
        </w:rPr>
        <w:t> </w:t>
      </w:r>
      <w:r>
        <w:rPr>
          <w:spacing w:val="-4"/>
          <w:sz w:val="22"/>
        </w:rPr>
        <w:t>District</w:t>
      </w:r>
      <w:r>
        <w:rPr>
          <w:spacing w:val="-8"/>
          <w:sz w:val="22"/>
        </w:rPr>
        <w:t> </w:t>
      </w:r>
      <w:r>
        <w:rPr>
          <w:spacing w:val="-4"/>
          <w:sz w:val="22"/>
        </w:rPr>
        <w:t>Collector as</w:t>
      </w:r>
      <w:r>
        <w:rPr>
          <w:spacing w:val="-5"/>
          <w:sz w:val="22"/>
        </w:rPr>
        <w:t> </w:t>
      </w:r>
      <w:r>
        <w:rPr>
          <w:spacing w:val="-4"/>
          <w:sz w:val="22"/>
        </w:rPr>
        <w:t>the</w:t>
      </w:r>
      <w:r>
        <w:rPr>
          <w:spacing w:val="-5"/>
          <w:sz w:val="22"/>
        </w:rPr>
        <w:t> </w:t>
      </w:r>
      <w:r>
        <w:rPr>
          <w:spacing w:val="-4"/>
          <w:sz w:val="22"/>
        </w:rPr>
        <w:t>chairperson </w:t>
      </w:r>
      <w:r>
        <w:rPr>
          <w:sz w:val="22"/>
        </w:rPr>
        <w:t>of the governing board of ATMA can play an important role in ensuring the participation of these partners.</w:t>
      </w:r>
    </w:p>
    <w:p>
      <w:pPr>
        <w:pStyle w:val="ListParagraph"/>
        <w:numPr>
          <w:ilvl w:val="1"/>
          <w:numId w:val="64"/>
        </w:numPr>
        <w:tabs>
          <w:tab w:pos="1439" w:val="left" w:leader="none"/>
        </w:tabs>
        <w:spacing w:line="266" w:lineRule="auto" w:before="0" w:after="0"/>
        <w:ind w:left="1439" w:right="0" w:hanging="360"/>
        <w:jc w:val="both"/>
        <w:rPr>
          <w:sz w:val="22"/>
        </w:rPr>
      </w:pPr>
      <w:r>
        <w:rPr>
          <w:sz w:val="22"/>
        </w:rPr>
        <w:t>The implementation of the district level plans should be through Result Oriented Management </w:t>
      </w:r>
      <w:r>
        <w:rPr>
          <w:spacing w:val="-4"/>
          <w:sz w:val="22"/>
        </w:rPr>
        <w:t>(ROM)</w:t>
      </w:r>
      <w:r>
        <w:rPr>
          <w:spacing w:val="-8"/>
          <w:sz w:val="22"/>
        </w:rPr>
        <w:t> </w:t>
      </w:r>
      <w:r>
        <w:rPr>
          <w:spacing w:val="-4"/>
          <w:sz w:val="22"/>
        </w:rPr>
        <w:t>rather</w:t>
      </w:r>
      <w:r>
        <w:rPr>
          <w:spacing w:val="-8"/>
          <w:sz w:val="22"/>
        </w:rPr>
        <w:t> </w:t>
      </w:r>
      <w:r>
        <w:rPr>
          <w:spacing w:val="-4"/>
          <w:sz w:val="22"/>
        </w:rPr>
        <w:t>than</w:t>
      </w:r>
      <w:r>
        <w:rPr>
          <w:spacing w:val="-8"/>
          <w:sz w:val="22"/>
        </w:rPr>
        <w:t> </w:t>
      </w:r>
      <w:r>
        <w:rPr>
          <w:spacing w:val="-4"/>
          <w:sz w:val="22"/>
        </w:rPr>
        <w:t>the</w:t>
      </w:r>
      <w:r>
        <w:rPr>
          <w:spacing w:val="-8"/>
          <w:sz w:val="22"/>
        </w:rPr>
        <w:t> </w:t>
      </w:r>
      <w:r>
        <w:rPr>
          <w:spacing w:val="-4"/>
          <w:sz w:val="22"/>
        </w:rPr>
        <w:t>target-oriented</w:t>
      </w:r>
      <w:r>
        <w:rPr>
          <w:spacing w:val="-8"/>
          <w:sz w:val="22"/>
        </w:rPr>
        <w:t> </w:t>
      </w:r>
      <w:r>
        <w:rPr>
          <w:spacing w:val="-4"/>
          <w:sz w:val="22"/>
        </w:rPr>
        <w:t>management</w:t>
      </w:r>
    </w:p>
    <w:p>
      <w:pPr>
        <w:pStyle w:val="BodyText"/>
        <w:spacing w:line="266" w:lineRule="auto" w:before="57"/>
        <w:ind w:left="679" w:right="1077"/>
        <w:jc w:val="both"/>
      </w:pPr>
      <w:r>
        <w:rPr/>
        <w:br w:type="column"/>
      </w:r>
      <w:r>
        <w:rPr/>
        <w:t>approach</w:t>
      </w:r>
      <w:r>
        <w:rPr>
          <w:spacing w:val="-4"/>
        </w:rPr>
        <w:t> </w:t>
      </w:r>
      <w:r>
        <w:rPr/>
        <w:t>which</w:t>
      </w:r>
      <w:r>
        <w:rPr>
          <w:spacing w:val="-4"/>
        </w:rPr>
        <w:t> </w:t>
      </w:r>
      <w:r>
        <w:rPr/>
        <w:t>is</w:t>
      </w:r>
      <w:r>
        <w:rPr>
          <w:spacing w:val="-4"/>
        </w:rPr>
        <w:t> </w:t>
      </w:r>
      <w:r>
        <w:rPr/>
        <w:t>followed</w:t>
      </w:r>
      <w:r>
        <w:rPr>
          <w:spacing w:val="-4"/>
        </w:rPr>
        <w:t> </w:t>
      </w:r>
      <w:r>
        <w:rPr/>
        <w:t>at</w:t>
      </w:r>
      <w:r>
        <w:rPr>
          <w:spacing w:val="-4"/>
        </w:rPr>
        <w:t> </w:t>
      </w:r>
      <w:r>
        <w:rPr/>
        <w:t>present</w:t>
      </w:r>
      <w:r>
        <w:rPr>
          <w:spacing w:val="-4"/>
        </w:rPr>
        <w:t> </w:t>
      </w:r>
      <w:r>
        <w:rPr/>
        <w:t>in</w:t>
      </w:r>
      <w:r>
        <w:rPr>
          <w:spacing w:val="-4"/>
        </w:rPr>
        <w:t> </w:t>
      </w:r>
      <w:r>
        <w:rPr/>
        <w:t>ATMA. This</w:t>
      </w:r>
      <w:r>
        <w:rPr>
          <w:spacing w:val="-14"/>
        </w:rPr>
        <w:t> </w:t>
      </w:r>
      <w:r>
        <w:rPr/>
        <w:t>process</w:t>
      </w:r>
      <w:r>
        <w:rPr>
          <w:spacing w:val="-14"/>
        </w:rPr>
        <w:t> </w:t>
      </w:r>
      <w:r>
        <w:rPr/>
        <w:t>requires</w:t>
      </w:r>
      <w:r>
        <w:rPr>
          <w:spacing w:val="-14"/>
        </w:rPr>
        <w:t> </w:t>
      </w:r>
      <w:r>
        <w:rPr/>
        <w:t>that</w:t>
      </w:r>
      <w:r>
        <w:rPr>
          <w:spacing w:val="-13"/>
        </w:rPr>
        <w:t> </w:t>
      </w:r>
      <w:r>
        <w:rPr/>
        <w:t>short</w:t>
      </w:r>
      <w:r>
        <w:rPr>
          <w:spacing w:val="-14"/>
        </w:rPr>
        <w:t> </w:t>
      </w:r>
      <w:r>
        <w:rPr/>
        <w:t>term</w:t>
      </w:r>
      <w:r>
        <w:rPr>
          <w:spacing w:val="-14"/>
        </w:rPr>
        <w:t> </w:t>
      </w:r>
      <w:r>
        <w:rPr/>
        <w:t>management training be provided to all categories of staff and </w:t>
      </w:r>
      <w:r>
        <w:rPr>
          <w:spacing w:val="-2"/>
        </w:rPr>
        <w:t>stakeholders</w:t>
      </w:r>
      <w:r>
        <w:rPr>
          <w:spacing w:val="-7"/>
        </w:rPr>
        <w:t> </w:t>
      </w:r>
      <w:r>
        <w:rPr>
          <w:spacing w:val="-2"/>
        </w:rPr>
        <w:t>engaged</w:t>
      </w:r>
      <w:r>
        <w:rPr>
          <w:spacing w:val="-7"/>
        </w:rPr>
        <w:t> </w:t>
      </w:r>
      <w:r>
        <w:rPr>
          <w:spacing w:val="-2"/>
        </w:rPr>
        <w:t>in</w:t>
      </w:r>
      <w:r>
        <w:rPr>
          <w:spacing w:val="-7"/>
        </w:rPr>
        <w:t> </w:t>
      </w:r>
      <w:r>
        <w:rPr>
          <w:spacing w:val="-2"/>
        </w:rPr>
        <w:t>implementation</w:t>
      </w:r>
      <w:r>
        <w:rPr>
          <w:spacing w:val="-7"/>
        </w:rPr>
        <w:t> </w:t>
      </w:r>
      <w:r>
        <w:rPr>
          <w:spacing w:val="-2"/>
        </w:rPr>
        <w:t>issues.</w:t>
      </w:r>
    </w:p>
    <w:p>
      <w:pPr>
        <w:pStyle w:val="BodyText"/>
        <w:spacing w:before="1"/>
      </w:pPr>
    </w:p>
    <w:p>
      <w:pPr>
        <w:pStyle w:val="Heading7"/>
        <w:numPr>
          <w:ilvl w:val="0"/>
          <w:numId w:val="64"/>
        </w:numPr>
        <w:tabs>
          <w:tab w:pos="717" w:val="left" w:leader="none"/>
        </w:tabs>
        <w:spacing w:line="225" w:lineRule="auto" w:before="0" w:after="0"/>
        <w:ind w:left="717" w:right="1225" w:hanging="398"/>
        <w:jc w:val="left"/>
      </w:pPr>
      <w:r>
        <w:rPr>
          <w:color w:val="2E614A"/>
          <w:w w:val="90"/>
        </w:rPr>
        <w:t>Enhance and regulate the role of private players in agricultural extension </w:t>
      </w:r>
      <w:r>
        <w:rPr>
          <w:color w:val="2E614A"/>
          <w:w w:val="90"/>
        </w:rPr>
        <w:t>delivery</w:t>
      </w:r>
    </w:p>
    <w:p>
      <w:pPr>
        <w:pStyle w:val="BodyText"/>
        <w:spacing w:before="2"/>
        <w:rPr>
          <w:b/>
          <w:sz w:val="26"/>
        </w:rPr>
      </w:pPr>
    </w:p>
    <w:p>
      <w:pPr>
        <w:pStyle w:val="ListParagraph"/>
        <w:numPr>
          <w:ilvl w:val="1"/>
          <w:numId w:val="64"/>
        </w:numPr>
        <w:tabs>
          <w:tab w:pos="679" w:val="left" w:leader="none"/>
        </w:tabs>
        <w:spacing w:line="266" w:lineRule="auto" w:before="0" w:after="0"/>
        <w:ind w:left="679" w:right="1077" w:hanging="360"/>
        <w:jc w:val="both"/>
        <w:rPr>
          <w:sz w:val="22"/>
        </w:rPr>
      </w:pPr>
      <w:r>
        <w:rPr>
          <w:sz w:val="22"/>
        </w:rPr>
        <w:t>The</w:t>
      </w:r>
      <w:r>
        <w:rPr>
          <w:spacing w:val="-14"/>
          <w:sz w:val="22"/>
        </w:rPr>
        <w:t> </w:t>
      </w:r>
      <w:r>
        <w:rPr>
          <w:sz w:val="22"/>
        </w:rPr>
        <w:t>already</w:t>
      </w:r>
      <w:r>
        <w:rPr>
          <w:spacing w:val="-14"/>
          <w:sz w:val="22"/>
        </w:rPr>
        <w:t> </w:t>
      </w:r>
      <w:r>
        <w:rPr>
          <w:sz w:val="22"/>
        </w:rPr>
        <w:t>large</w:t>
      </w:r>
      <w:r>
        <w:rPr>
          <w:spacing w:val="-14"/>
          <w:sz w:val="22"/>
        </w:rPr>
        <w:t> </w:t>
      </w:r>
      <w:r>
        <w:rPr>
          <w:sz w:val="22"/>
        </w:rPr>
        <w:t>involvement</w:t>
      </w:r>
      <w:r>
        <w:rPr>
          <w:spacing w:val="-13"/>
          <w:sz w:val="22"/>
        </w:rPr>
        <w:t> </w:t>
      </w:r>
      <w:r>
        <w:rPr>
          <w:sz w:val="22"/>
        </w:rPr>
        <w:t>of</w:t>
      </w:r>
      <w:r>
        <w:rPr>
          <w:spacing w:val="-14"/>
          <w:sz w:val="22"/>
        </w:rPr>
        <w:t> </w:t>
      </w:r>
      <w:r>
        <w:rPr>
          <w:sz w:val="22"/>
        </w:rPr>
        <w:t>private</w:t>
      </w:r>
      <w:r>
        <w:rPr>
          <w:spacing w:val="-14"/>
          <w:sz w:val="22"/>
        </w:rPr>
        <w:t> </w:t>
      </w:r>
      <w:r>
        <w:rPr>
          <w:sz w:val="22"/>
        </w:rPr>
        <w:t>agencies </w:t>
      </w:r>
      <w:r>
        <w:rPr>
          <w:spacing w:val="-2"/>
          <w:sz w:val="22"/>
        </w:rPr>
        <w:t>in</w:t>
      </w:r>
      <w:r>
        <w:rPr>
          <w:spacing w:val="-6"/>
          <w:sz w:val="22"/>
        </w:rPr>
        <w:t> </w:t>
      </w:r>
      <w:r>
        <w:rPr>
          <w:spacing w:val="-2"/>
          <w:sz w:val="22"/>
        </w:rPr>
        <w:t>agricultural</w:t>
      </w:r>
      <w:r>
        <w:rPr>
          <w:spacing w:val="-6"/>
          <w:sz w:val="22"/>
        </w:rPr>
        <w:t> </w:t>
      </w:r>
      <w:r>
        <w:rPr>
          <w:spacing w:val="-2"/>
          <w:sz w:val="22"/>
        </w:rPr>
        <w:t>extension</w:t>
      </w:r>
      <w:r>
        <w:rPr>
          <w:spacing w:val="-6"/>
          <w:sz w:val="22"/>
        </w:rPr>
        <w:t> </w:t>
      </w:r>
      <w:r>
        <w:rPr>
          <w:spacing w:val="-2"/>
          <w:sz w:val="22"/>
        </w:rPr>
        <w:t>should</w:t>
      </w:r>
      <w:r>
        <w:rPr>
          <w:spacing w:val="-6"/>
          <w:sz w:val="22"/>
        </w:rPr>
        <w:t> </w:t>
      </w:r>
      <w:r>
        <w:rPr>
          <w:spacing w:val="-2"/>
          <w:sz w:val="22"/>
        </w:rPr>
        <w:t>be</w:t>
      </w:r>
      <w:r>
        <w:rPr>
          <w:spacing w:val="-6"/>
          <w:sz w:val="22"/>
        </w:rPr>
        <w:t> </w:t>
      </w:r>
      <w:r>
        <w:rPr>
          <w:spacing w:val="-2"/>
          <w:sz w:val="22"/>
        </w:rPr>
        <w:t>recognised</w:t>
      </w:r>
      <w:r>
        <w:rPr>
          <w:spacing w:val="-6"/>
          <w:sz w:val="22"/>
        </w:rPr>
        <w:t> </w:t>
      </w:r>
      <w:r>
        <w:rPr>
          <w:spacing w:val="-2"/>
          <w:sz w:val="22"/>
        </w:rPr>
        <w:t>and encouraged,</w:t>
      </w:r>
      <w:r>
        <w:rPr>
          <w:spacing w:val="-11"/>
          <w:sz w:val="22"/>
        </w:rPr>
        <w:t> </w:t>
      </w:r>
      <w:r>
        <w:rPr>
          <w:spacing w:val="-2"/>
          <w:sz w:val="22"/>
        </w:rPr>
        <w:t>and</w:t>
      </w:r>
      <w:r>
        <w:rPr>
          <w:spacing w:val="-11"/>
          <w:sz w:val="22"/>
        </w:rPr>
        <w:t> </w:t>
      </w:r>
      <w:r>
        <w:rPr>
          <w:spacing w:val="-2"/>
          <w:sz w:val="22"/>
        </w:rPr>
        <w:t>most</w:t>
      </w:r>
      <w:r>
        <w:rPr>
          <w:spacing w:val="-11"/>
          <w:sz w:val="22"/>
        </w:rPr>
        <w:t> </w:t>
      </w:r>
      <w:r>
        <w:rPr>
          <w:spacing w:val="-2"/>
          <w:sz w:val="22"/>
        </w:rPr>
        <w:t>importantly,</w:t>
      </w:r>
      <w:r>
        <w:rPr>
          <w:spacing w:val="-11"/>
          <w:sz w:val="22"/>
        </w:rPr>
        <w:t> </w:t>
      </w:r>
      <w:r>
        <w:rPr>
          <w:spacing w:val="-2"/>
          <w:sz w:val="22"/>
        </w:rPr>
        <w:t>integrated</w:t>
      </w:r>
      <w:r>
        <w:rPr>
          <w:spacing w:val="-11"/>
          <w:sz w:val="22"/>
        </w:rPr>
        <w:t> </w:t>
      </w:r>
      <w:r>
        <w:rPr>
          <w:spacing w:val="-2"/>
          <w:sz w:val="22"/>
        </w:rPr>
        <w:t>with the</w:t>
      </w:r>
      <w:r>
        <w:rPr>
          <w:spacing w:val="-12"/>
          <w:sz w:val="22"/>
        </w:rPr>
        <w:t> </w:t>
      </w:r>
      <w:r>
        <w:rPr>
          <w:spacing w:val="-2"/>
          <w:sz w:val="22"/>
        </w:rPr>
        <w:t>public</w:t>
      </w:r>
      <w:r>
        <w:rPr>
          <w:spacing w:val="-12"/>
          <w:sz w:val="22"/>
        </w:rPr>
        <w:t> </w:t>
      </w:r>
      <w:r>
        <w:rPr>
          <w:spacing w:val="-2"/>
          <w:sz w:val="22"/>
        </w:rPr>
        <w:t>provision</w:t>
      </w:r>
      <w:r>
        <w:rPr>
          <w:spacing w:val="-12"/>
          <w:sz w:val="22"/>
        </w:rPr>
        <w:t> </w:t>
      </w:r>
      <w:r>
        <w:rPr>
          <w:spacing w:val="-2"/>
          <w:sz w:val="22"/>
        </w:rPr>
        <w:t>through</w:t>
      </w:r>
      <w:r>
        <w:rPr>
          <w:spacing w:val="-11"/>
          <w:sz w:val="22"/>
        </w:rPr>
        <w:t> </w:t>
      </w:r>
      <w:r>
        <w:rPr>
          <w:spacing w:val="-2"/>
          <w:sz w:val="22"/>
        </w:rPr>
        <w:t>some</w:t>
      </w:r>
      <w:r>
        <w:rPr>
          <w:spacing w:val="-12"/>
          <w:sz w:val="22"/>
        </w:rPr>
        <w:t> </w:t>
      </w:r>
      <w:r>
        <w:rPr>
          <w:spacing w:val="-2"/>
          <w:sz w:val="22"/>
        </w:rPr>
        <w:t>institutionalised mechanisms.</w:t>
      </w:r>
    </w:p>
    <w:p>
      <w:pPr>
        <w:pStyle w:val="ListParagraph"/>
        <w:numPr>
          <w:ilvl w:val="1"/>
          <w:numId w:val="64"/>
        </w:numPr>
        <w:tabs>
          <w:tab w:pos="679" w:val="left" w:leader="none"/>
        </w:tabs>
        <w:spacing w:line="266" w:lineRule="auto" w:before="0" w:after="0"/>
        <w:ind w:left="679" w:right="1077" w:hanging="360"/>
        <w:jc w:val="both"/>
        <w:rPr>
          <w:sz w:val="22"/>
        </w:rPr>
      </w:pPr>
      <w:r>
        <w:rPr>
          <w:spacing w:val="-4"/>
          <w:sz w:val="22"/>
        </w:rPr>
        <w:t>At</w:t>
      </w:r>
      <w:r>
        <w:rPr>
          <w:spacing w:val="-10"/>
          <w:sz w:val="22"/>
        </w:rPr>
        <w:t> </w:t>
      </w:r>
      <w:r>
        <w:rPr>
          <w:spacing w:val="-4"/>
          <w:sz w:val="22"/>
        </w:rPr>
        <w:t>the</w:t>
      </w:r>
      <w:r>
        <w:rPr>
          <w:spacing w:val="-9"/>
          <w:sz w:val="22"/>
        </w:rPr>
        <w:t> </w:t>
      </w:r>
      <w:r>
        <w:rPr>
          <w:spacing w:val="-4"/>
          <w:sz w:val="22"/>
        </w:rPr>
        <w:t>same</w:t>
      </w:r>
      <w:r>
        <w:rPr>
          <w:spacing w:val="-10"/>
          <w:sz w:val="22"/>
        </w:rPr>
        <w:t> </w:t>
      </w:r>
      <w:r>
        <w:rPr>
          <w:spacing w:val="-4"/>
          <w:sz w:val="22"/>
        </w:rPr>
        <w:t>time,</w:t>
      </w:r>
      <w:r>
        <w:rPr>
          <w:spacing w:val="-9"/>
          <w:sz w:val="22"/>
        </w:rPr>
        <w:t> </w:t>
      </w:r>
      <w:r>
        <w:rPr>
          <w:spacing w:val="-4"/>
          <w:sz w:val="22"/>
        </w:rPr>
        <w:t>problems</w:t>
      </w:r>
      <w:r>
        <w:rPr>
          <w:spacing w:val="-10"/>
          <w:sz w:val="22"/>
        </w:rPr>
        <w:t> </w:t>
      </w:r>
      <w:r>
        <w:rPr>
          <w:spacing w:val="-4"/>
          <w:sz w:val="22"/>
        </w:rPr>
        <w:t>of</w:t>
      </w:r>
      <w:r>
        <w:rPr>
          <w:spacing w:val="-9"/>
          <w:sz w:val="22"/>
        </w:rPr>
        <w:t> </w:t>
      </w:r>
      <w:r>
        <w:rPr>
          <w:spacing w:val="-4"/>
          <w:sz w:val="22"/>
        </w:rPr>
        <w:t>conflict</w:t>
      </w:r>
      <w:r>
        <w:rPr>
          <w:spacing w:val="-10"/>
          <w:sz w:val="22"/>
        </w:rPr>
        <w:t> </w:t>
      </w:r>
      <w:r>
        <w:rPr>
          <w:spacing w:val="-4"/>
          <w:sz w:val="22"/>
        </w:rPr>
        <w:t>of</w:t>
      </w:r>
      <w:r>
        <w:rPr>
          <w:spacing w:val="-9"/>
          <w:sz w:val="22"/>
        </w:rPr>
        <w:t> </w:t>
      </w:r>
      <w:r>
        <w:rPr>
          <w:spacing w:val="-4"/>
          <w:sz w:val="22"/>
        </w:rPr>
        <w:t>interest</w:t>
      </w:r>
      <w:r>
        <w:rPr>
          <w:spacing w:val="-10"/>
          <w:sz w:val="22"/>
        </w:rPr>
        <w:t> </w:t>
      </w:r>
      <w:r>
        <w:rPr>
          <w:spacing w:val="-4"/>
          <w:sz w:val="22"/>
        </w:rPr>
        <w:t>in private</w:t>
      </w:r>
      <w:r>
        <w:rPr>
          <w:spacing w:val="-10"/>
          <w:sz w:val="22"/>
        </w:rPr>
        <w:t> </w:t>
      </w:r>
      <w:r>
        <w:rPr>
          <w:spacing w:val="-4"/>
          <w:sz w:val="22"/>
        </w:rPr>
        <w:t>provision</w:t>
      </w:r>
      <w:r>
        <w:rPr>
          <w:spacing w:val="-10"/>
          <w:sz w:val="22"/>
        </w:rPr>
        <w:t> </w:t>
      </w:r>
      <w:r>
        <w:rPr>
          <w:spacing w:val="-4"/>
          <w:sz w:val="22"/>
        </w:rPr>
        <w:t>must</w:t>
      </w:r>
      <w:r>
        <w:rPr>
          <w:spacing w:val="-10"/>
          <w:sz w:val="22"/>
        </w:rPr>
        <w:t> </w:t>
      </w:r>
      <w:r>
        <w:rPr>
          <w:spacing w:val="-4"/>
          <w:sz w:val="22"/>
        </w:rPr>
        <w:t>be</w:t>
      </w:r>
      <w:r>
        <w:rPr>
          <w:spacing w:val="-9"/>
          <w:sz w:val="22"/>
        </w:rPr>
        <w:t> </w:t>
      </w:r>
      <w:r>
        <w:rPr>
          <w:spacing w:val="-4"/>
          <w:sz w:val="22"/>
        </w:rPr>
        <w:t>minimised</w:t>
      </w:r>
      <w:r>
        <w:rPr>
          <w:spacing w:val="-10"/>
          <w:sz w:val="22"/>
        </w:rPr>
        <w:t> </w:t>
      </w:r>
      <w:r>
        <w:rPr>
          <w:spacing w:val="-4"/>
          <w:sz w:val="22"/>
        </w:rPr>
        <w:t>by</w:t>
      </w:r>
      <w:r>
        <w:rPr>
          <w:spacing w:val="-10"/>
          <w:sz w:val="22"/>
        </w:rPr>
        <w:t> </w:t>
      </w:r>
      <w:r>
        <w:rPr>
          <w:spacing w:val="-4"/>
          <w:sz w:val="22"/>
        </w:rPr>
        <w:t>appropriate </w:t>
      </w:r>
      <w:r>
        <w:rPr>
          <w:spacing w:val="-6"/>
          <w:sz w:val="22"/>
        </w:rPr>
        <w:t>regulation,</w:t>
      </w:r>
      <w:r>
        <w:rPr>
          <w:spacing w:val="-7"/>
          <w:sz w:val="22"/>
        </w:rPr>
        <w:t> </w:t>
      </w:r>
      <w:r>
        <w:rPr>
          <w:spacing w:val="-6"/>
          <w:sz w:val="22"/>
        </w:rPr>
        <w:t>with</w:t>
      </w:r>
      <w:r>
        <w:rPr>
          <w:spacing w:val="-7"/>
          <w:sz w:val="22"/>
        </w:rPr>
        <w:t> </w:t>
      </w:r>
      <w:r>
        <w:rPr>
          <w:spacing w:val="-6"/>
          <w:sz w:val="22"/>
        </w:rPr>
        <w:t>broad</w:t>
      </w:r>
      <w:r>
        <w:rPr>
          <w:spacing w:val="-7"/>
          <w:sz w:val="22"/>
        </w:rPr>
        <w:t> </w:t>
      </w:r>
      <w:r>
        <w:rPr>
          <w:spacing w:val="-6"/>
          <w:sz w:val="22"/>
        </w:rPr>
        <w:t>guidelines</w:t>
      </w:r>
      <w:r>
        <w:rPr>
          <w:spacing w:val="-7"/>
          <w:sz w:val="22"/>
        </w:rPr>
        <w:t> </w:t>
      </w:r>
      <w:r>
        <w:rPr>
          <w:spacing w:val="-6"/>
          <w:sz w:val="22"/>
        </w:rPr>
        <w:t>and</w:t>
      </w:r>
      <w:r>
        <w:rPr>
          <w:spacing w:val="-7"/>
          <w:sz w:val="22"/>
        </w:rPr>
        <w:t> </w:t>
      </w:r>
      <w:r>
        <w:rPr>
          <w:spacing w:val="-6"/>
          <w:sz w:val="22"/>
        </w:rPr>
        <w:t>a</w:t>
      </w:r>
      <w:r>
        <w:rPr>
          <w:spacing w:val="-7"/>
          <w:sz w:val="22"/>
        </w:rPr>
        <w:t> </w:t>
      </w:r>
      <w:r>
        <w:rPr>
          <w:spacing w:val="-6"/>
          <w:sz w:val="22"/>
        </w:rPr>
        <w:t>clear</w:t>
      </w:r>
      <w:r>
        <w:rPr>
          <w:spacing w:val="-7"/>
          <w:sz w:val="22"/>
        </w:rPr>
        <w:t> </w:t>
      </w:r>
      <w:r>
        <w:rPr>
          <w:spacing w:val="-6"/>
          <w:sz w:val="22"/>
        </w:rPr>
        <w:t>code</w:t>
      </w:r>
      <w:r>
        <w:rPr>
          <w:spacing w:val="-7"/>
          <w:sz w:val="22"/>
        </w:rPr>
        <w:t> </w:t>
      </w:r>
      <w:r>
        <w:rPr>
          <w:spacing w:val="-6"/>
          <w:sz w:val="22"/>
        </w:rPr>
        <w:t>of </w:t>
      </w:r>
      <w:r>
        <w:rPr>
          <w:spacing w:val="-2"/>
          <w:sz w:val="22"/>
        </w:rPr>
        <w:t>conduct.</w:t>
      </w:r>
    </w:p>
    <w:p>
      <w:pPr>
        <w:pStyle w:val="ListParagraph"/>
        <w:numPr>
          <w:ilvl w:val="1"/>
          <w:numId w:val="64"/>
        </w:numPr>
        <w:tabs>
          <w:tab w:pos="679" w:val="left" w:leader="none"/>
        </w:tabs>
        <w:spacing w:line="266" w:lineRule="auto" w:before="0" w:after="0"/>
        <w:ind w:left="679" w:right="1077" w:hanging="360"/>
        <w:jc w:val="both"/>
        <w:rPr>
          <w:sz w:val="22"/>
        </w:rPr>
      </w:pPr>
      <w:r>
        <w:rPr>
          <w:sz w:val="22"/>
        </w:rPr>
        <w:t>The existing multi-agency and </w:t>
      </w:r>
      <w:r>
        <w:rPr>
          <w:sz w:val="22"/>
        </w:rPr>
        <w:t>multi-media extension strategies need to be co-ordinated,</w:t>
      </w:r>
      <w:r>
        <w:rPr>
          <w:spacing w:val="40"/>
          <w:sz w:val="22"/>
        </w:rPr>
        <w:t> </w:t>
      </w:r>
      <w:r>
        <w:rPr>
          <w:sz w:val="22"/>
        </w:rPr>
        <w:t>with some integration and interaction on content between</w:t>
      </w:r>
      <w:r>
        <w:rPr>
          <w:spacing w:val="-14"/>
          <w:sz w:val="22"/>
        </w:rPr>
        <w:t> </w:t>
      </w:r>
      <w:r>
        <w:rPr>
          <w:sz w:val="22"/>
        </w:rPr>
        <w:t>various</w:t>
      </w:r>
      <w:r>
        <w:rPr>
          <w:spacing w:val="-14"/>
          <w:sz w:val="22"/>
        </w:rPr>
        <w:t> </w:t>
      </w:r>
      <w:r>
        <w:rPr>
          <w:sz w:val="22"/>
        </w:rPr>
        <w:t>extension</w:t>
      </w:r>
      <w:r>
        <w:rPr>
          <w:spacing w:val="-14"/>
          <w:sz w:val="22"/>
        </w:rPr>
        <w:t> </w:t>
      </w:r>
      <w:r>
        <w:rPr>
          <w:sz w:val="22"/>
        </w:rPr>
        <w:t>providers</w:t>
      </w:r>
      <w:r>
        <w:rPr>
          <w:spacing w:val="-13"/>
          <w:sz w:val="22"/>
        </w:rPr>
        <w:t> </w:t>
      </w:r>
      <w:r>
        <w:rPr>
          <w:sz w:val="22"/>
        </w:rPr>
        <w:t>such</w:t>
      </w:r>
      <w:r>
        <w:rPr>
          <w:spacing w:val="-14"/>
          <w:sz w:val="22"/>
        </w:rPr>
        <w:t> </w:t>
      </w:r>
      <w:r>
        <w:rPr>
          <w:sz w:val="22"/>
        </w:rPr>
        <w:t>as</w:t>
      </w:r>
      <w:r>
        <w:rPr>
          <w:spacing w:val="-14"/>
          <w:sz w:val="22"/>
        </w:rPr>
        <w:t> </w:t>
      </w:r>
      <w:r>
        <w:rPr>
          <w:sz w:val="22"/>
        </w:rPr>
        <w:t>farm </w:t>
      </w:r>
      <w:r>
        <w:rPr>
          <w:spacing w:val="-2"/>
          <w:sz w:val="22"/>
        </w:rPr>
        <w:t>schools,</w:t>
      </w:r>
      <w:r>
        <w:rPr>
          <w:spacing w:val="-7"/>
          <w:sz w:val="22"/>
        </w:rPr>
        <w:t> </w:t>
      </w:r>
      <w:r>
        <w:rPr>
          <w:spacing w:val="-2"/>
          <w:sz w:val="22"/>
        </w:rPr>
        <w:t>information</w:t>
      </w:r>
      <w:r>
        <w:rPr>
          <w:spacing w:val="-7"/>
          <w:sz w:val="22"/>
        </w:rPr>
        <w:t> </w:t>
      </w:r>
      <w:r>
        <w:rPr>
          <w:spacing w:val="-2"/>
          <w:sz w:val="22"/>
        </w:rPr>
        <w:t>kiosks,</w:t>
      </w:r>
      <w:r>
        <w:rPr>
          <w:spacing w:val="-7"/>
          <w:sz w:val="22"/>
        </w:rPr>
        <w:t> </w:t>
      </w:r>
      <w:r>
        <w:rPr>
          <w:spacing w:val="-2"/>
          <w:sz w:val="22"/>
        </w:rPr>
        <w:t>web-based</w:t>
      </w:r>
      <w:r>
        <w:rPr>
          <w:spacing w:val="-7"/>
          <w:sz w:val="22"/>
        </w:rPr>
        <w:t> </w:t>
      </w:r>
      <w:r>
        <w:rPr>
          <w:spacing w:val="-2"/>
          <w:sz w:val="22"/>
        </w:rPr>
        <w:t>providers, </w:t>
      </w:r>
      <w:r>
        <w:rPr>
          <w:sz w:val="22"/>
        </w:rPr>
        <w:t>kisan</w:t>
      </w:r>
      <w:r>
        <w:rPr>
          <w:spacing w:val="-13"/>
          <w:sz w:val="22"/>
        </w:rPr>
        <w:t> </w:t>
      </w:r>
      <w:r>
        <w:rPr>
          <w:sz w:val="22"/>
        </w:rPr>
        <w:t>call</w:t>
      </w:r>
      <w:r>
        <w:rPr>
          <w:spacing w:val="-13"/>
          <w:sz w:val="22"/>
        </w:rPr>
        <w:t> </w:t>
      </w:r>
      <w:r>
        <w:rPr>
          <w:sz w:val="22"/>
        </w:rPr>
        <w:t>centres,</w:t>
      </w:r>
      <w:r>
        <w:rPr>
          <w:spacing w:val="-13"/>
          <w:sz w:val="22"/>
        </w:rPr>
        <w:t> </w:t>
      </w:r>
      <w:r>
        <w:rPr>
          <w:sz w:val="22"/>
        </w:rPr>
        <w:t>agri-clinics,</w:t>
      </w:r>
      <w:r>
        <w:rPr>
          <w:spacing w:val="-13"/>
          <w:sz w:val="22"/>
        </w:rPr>
        <w:t> </w:t>
      </w:r>
      <w:r>
        <w:rPr>
          <w:sz w:val="22"/>
        </w:rPr>
        <w:t>mass</w:t>
      </w:r>
      <w:r>
        <w:rPr>
          <w:spacing w:val="-13"/>
          <w:sz w:val="22"/>
        </w:rPr>
        <w:t> </w:t>
      </w:r>
      <w:r>
        <w:rPr>
          <w:sz w:val="22"/>
        </w:rPr>
        <w:t>media</w:t>
      </w:r>
      <w:r>
        <w:rPr>
          <w:spacing w:val="-13"/>
          <w:sz w:val="22"/>
        </w:rPr>
        <w:t> </w:t>
      </w:r>
      <w:r>
        <w:rPr>
          <w:sz w:val="22"/>
        </w:rPr>
        <w:t>etc.</w:t>
      </w:r>
    </w:p>
    <w:p>
      <w:pPr>
        <w:pStyle w:val="ListParagraph"/>
        <w:numPr>
          <w:ilvl w:val="1"/>
          <w:numId w:val="64"/>
        </w:numPr>
        <w:tabs>
          <w:tab w:pos="679" w:val="left" w:leader="none"/>
        </w:tabs>
        <w:spacing w:line="266" w:lineRule="auto" w:before="0" w:after="0"/>
        <w:ind w:left="679" w:right="1077" w:hanging="360"/>
        <w:jc w:val="both"/>
        <w:rPr>
          <w:sz w:val="22"/>
        </w:rPr>
      </w:pPr>
      <w:r>
        <w:rPr>
          <w:spacing w:val="-2"/>
          <w:sz w:val="22"/>
        </w:rPr>
        <w:t>Contract</w:t>
      </w:r>
      <w:r>
        <w:rPr>
          <w:spacing w:val="-6"/>
          <w:sz w:val="22"/>
        </w:rPr>
        <w:t> </w:t>
      </w:r>
      <w:r>
        <w:rPr>
          <w:spacing w:val="-2"/>
          <w:sz w:val="22"/>
        </w:rPr>
        <w:t>farming</w:t>
      </w:r>
      <w:r>
        <w:rPr>
          <w:spacing w:val="-6"/>
          <w:sz w:val="22"/>
        </w:rPr>
        <w:t> </w:t>
      </w:r>
      <w:r>
        <w:rPr>
          <w:spacing w:val="-2"/>
          <w:sz w:val="22"/>
        </w:rPr>
        <w:t>has</w:t>
      </w:r>
      <w:r>
        <w:rPr>
          <w:spacing w:val="-6"/>
          <w:sz w:val="22"/>
        </w:rPr>
        <w:t> </w:t>
      </w:r>
      <w:r>
        <w:rPr>
          <w:spacing w:val="-2"/>
          <w:sz w:val="22"/>
        </w:rPr>
        <w:t>the</w:t>
      </w:r>
      <w:r>
        <w:rPr>
          <w:spacing w:val="-6"/>
          <w:sz w:val="22"/>
        </w:rPr>
        <w:t> </w:t>
      </w:r>
      <w:r>
        <w:rPr>
          <w:spacing w:val="-2"/>
          <w:sz w:val="22"/>
        </w:rPr>
        <w:t>potential</w:t>
      </w:r>
      <w:r>
        <w:rPr>
          <w:spacing w:val="-6"/>
          <w:sz w:val="22"/>
        </w:rPr>
        <w:t> </w:t>
      </w:r>
      <w:r>
        <w:rPr>
          <w:spacing w:val="-2"/>
          <w:sz w:val="22"/>
        </w:rPr>
        <w:t>to</w:t>
      </w:r>
      <w:r>
        <w:rPr>
          <w:spacing w:val="-6"/>
          <w:sz w:val="22"/>
        </w:rPr>
        <w:t> </w:t>
      </w:r>
      <w:r>
        <w:rPr>
          <w:spacing w:val="-2"/>
          <w:sz w:val="22"/>
        </w:rPr>
        <w:t>benefit</w:t>
      </w:r>
      <w:r>
        <w:rPr>
          <w:spacing w:val="-6"/>
          <w:sz w:val="22"/>
        </w:rPr>
        <w:t> </w:t>
      </w:r>
      <w:r>
        <w:rPr>
          <w:spacing w:val="-2"/>
          <w:sz w:val="22"/>
        </w:rPr>
        <w:t>small </w:t>
      </w:r>
      <w:r>
        <w:rPr>
          <w:spacing w:val="-4"/>
          <w:sz w:val="22"/>
        </w:rPr>
        <w:t>farmers</w:t>
      </w:r>
      <w:r>
        <w:rPr>
          <w:spacing w:val="-10"/>
          <w:sz w:val="22"/>
        </w:rPr>
        <w:t> </w:t>
      </w:r>
      <w:r>
        <w:rPr>
          <w:spacing w:val="-4"/>
          <w:sz w:val="22"/>
        </w:rPr>
        <w:t>when</w:t>
      </w:r>
      <w:r>
        <w:rPr>
          <w:spacing w:val="-10"/>
          <w:sz w:val="22"/>
        </w:rPr>
        <w:t> </w:t>
      </w:r>
      <w:r>
        <w:rPr>
          <w:spacing w:val="-4"/>
          <w:sz w:val="22"/>
        </w:rPr>
        <w:t>practiced</w:t>
      </w:r>
      <w:r>
        <w:rPr>
          <w:spacing w:val="-10"/>
          <w:sz w:val="22"/>
        </w:rPr>
        <w:t> </w:t>
      </w:r>
      <w:r>
        <w:rPr>
          <w:spacing w:val="-4"/>
          <w:sz w:val="22"/>
        </w:rPr>
        <w:t>appropriately,</w:t>
      </w:r>
      <w:r>
        <w:rPr>
          <w:spacing w:val="-9"/>
          <w:sz w:val="22"/>
        </w:rPr>
        <w:t> </w:t>
      </w:r>
      <w:r>
        <w:rPr>
          <w:spacing w:val="-4"/>
          <w:sz w:val="22"/>
        </w:rPr>
        <w:t>by</w:t>
      </w:r>
      <w:r>
        <w:rPr>
          <w:spacing w:val="-10"/>
          <w:sz w:val="22"/>
        </w:rPr>
        <w:t> </w:t>
      </w:r>
      <w:r>
        <w:rPr>
          <w:spacing w:val="-4"/>
          <w:sz w:val="22"/>
        </w:rPr>
        <w:t>providing </w:t>
      </w:r>
      <w:r>
        <w:rPr>
          <w:sz w:val="22"/>
        </w:rPr>
        <w:t>larger</w:t>
      </w:r>
      <w:r>
        <w:rPr>
          <w:spacing w:val="-7"/>
          <w:sz w:val="22"/>
        </w:rPr>
        <w:t> </w:t>
      </w:r>
      <w:r>
        <w:rPr>
          <w:sz w:val="22"/>
        </w:rPr>
        <w:t>scales</w:t>
      </w:r>
      <w:r>
        <w:rPr>
          <w:spacing w:val="-7"/>
          <w:sz w:val="22"/>
        </w:rPr>
        <w:t> </w:t>
      </w:r>
      <w:r>
        <w:rPr>
          <w:sz w:val="22"/>
        </w:rPr>
        <w:t>of</w:t>
      </w:r>
      <w:r>
        <w:rPr>
          <w:spacing w:val="-7"/>
          <w:sz w:val="22"/>
        </w:rPr>
        <w:t> </w:t>
      </w:r>
      <w:r>
        <w:rPr>
          <w:sz w:val="22"/>
        </w:rPr>
        <w:t>operation</w:t>
      </w:r>
      <w:r>
        <w:rPr>
          <w:spacing w:val="-7"/>
          <w:sz w:val="22"/>
        </w:rPr>
        <w:t> </w:t>
      </w:r>
      <w:r>
        <w:rPr>
          <w:sz w:val="22"/>
        </w:rPr>
        <w:t>and</w:t>
      </w:r>
      <w:r>
        <w:rPr>
          <w:spacing w:val="-7"/>
          <w:sz w:val="22"/>
        </w:rPr>
        <w:t> </w:t>
      </w:r>
      <w:r>
        <w:rPr>
          <w:sz w:val="22"/>
        </w:rPr>
        <w:t>assured</w:t>
      </w:r>
      <w:r>
        <w:rPr>
          <w:spacing w:val="-7"/>
          <w:sz w:val="22"/>
        </w:rPr>
        <w:t> </w:t>
      </w:r>
      <w:r>
        <w:rPr>
          <w:sz w:val="22"/>
        </w:rPr>
        <w:t>market</w:t>
      </w:r>
      <w:r>
        <w:rPr>
          <w:spacing w:val="-7"/>
          <w:sz w:val="22"/>
        </w:rPr>
        <w:t> </w:t>
      </w:r>
      <w:r>
        <w:rPr>
          <w:sz w:val="22"/>
        </w:rPr>
        <w:t>and price for the produce. To ensure the positive effects while preventing exploitation of farmers, legislative</w:t>
      </w:r>
      <w:r>
        <w:rPr>
          <w:spacing w:val="-12"/>
          <w:sz w:val="22"/>
        </w:rPr>
        <w:t> </w:t>
      </w:r>
      <w:r>
        <w:rPr>
          <w:sz w:val="22"/>
        </w:rPr>
        <w:t>benchmarking</w:t>
      </w:r>
      <w:r>
        <w:rPr>
          <w:spacing w:val="-12"/>
          <w:sz w:val="22"/>
        </w:rPr>
        <w:t> </w:t>
      </w:r>
      <w:r>
        <w:rPr>
          <w:sz w:val="22"/>
        </w:rPr>
        <w:t>of</w:t>
      </w:r>
      <w:r>
        <w:rPr>
          <w:spacing w:val="-12"/>
          <w:sz w:val="22"/>
        </w:rPr>
        <w:t> </w:t>
      </w:r>
      <w:r>
        <w:rPr>
          <w:sz w:val="22"/>
        </w:rPr>
        <w:t>minimal</w:t>
      </w:r>
      <w:r>
        <w:rPr>
          <w:spacing w:val="-12"/>
          <w:sz w:val="22"/>
        </w:rPr>
        <w:t> </w:t>
      </w:r>
      <w:r>
        <w:rPr>
          <w:sz w:val="22"/>
        </w:rPr>
        <w:t>standards</w:t>
      </w:r>
      <w:r>
        <w:rPr>
          <w:spacing w:val="-12"/>
          <w:sz w:val="22"/>
        </w:rPr>
        <w:t> </w:t>
      </w:r>
      <w:r>
        <w:rPr>
          <w:sz w:val="22"/>
        </w:rPr>
        <w:t>in the</w:t>
      </w:r>
      <w:r>
        <w:rPr>
          <w:spacing w:val="-14"/>
          <w:sz w:val="22"/>
        </w:rPr>
        <w:t> </w:t>
      </w:r>
      <w:r>
        <w:rPr>
          <w:sz w:val="22"/>
        </w:rPr>
        <w:t>conduct</w:t>
      </w:r>
      <w:r>
        <w:rPr>
          <w:spacing w:val="-14"/>
          <w:sz w:val="22"/>
        </w:rPr>
        <w:t> </w:t>
      </w:r>
      <w:r>
        <w:rPr>
          <w:sz w:val="22"/>
        </w:rPr>
        <w:t>and</w:t>
      </w:r>
      <w:r>
        <w:rPr>
          <w:spacing w:val="-14"/>
          <w:sz w:val="22"/>
        </w:rPr>
        <w:t> </w:t>
      </w:r>
      <w:r>
        <w:rPr>
          <w:sz w:val="22"/>
        </w:rPr>
        <w:t>practices</w:t>
      </w:r>
      <w:r>
        <w:rPr>
          <w:spacing w:val="-13"/>
          <w:sz w:val="22"/>
        </w:rPr>
        <w:t> </w:t>
      </w:r>
      <w:r>
        <w:rPr>
          <w:sz w:val="22"/>
        </w:rPr>
        <w:t>of</w:t>
      </w:r>
      <w:r>
        <w:rPr>
          <w:spacing w:val="-14"/>
          <w:sz w:val="22"/>
        </w:rPr>
        <w:t> </w:t>
      </w:r>
      <w:r>
        <w:rPr>
          <w:sz w:val="22"/>
        </w:rPr>
        <w:t>such</w:t>
      </w:r>
      <w:r>
        <w:rPr>
          <w:spacing w:val="-14"/>
          <w:sz w:val="22"/>
        </w:rPr>
        <w:t> </w:t>
      </w:r>
      <w:r>
        <w:rPr>
          <w:sz w:val="22"/>
        </w:rPr>
        <w:t>contracts</w:t>
      </w:r>
      <w:r>
        <w:rPr>
          <w:spacing w:val="-14"/>
          <w:sz w:val="22"/>
        </w:rPr>
        <w:t> </w:t>
      </w:r>
      <w:r>
        <w:rPr>
          <w:sz w:val="22"/>
        </w:rPr>
        <w:t>should be defined by the Central government, leaving </w:t>
      </w:r>
      <w:r>
        <w:rPr>
          <w:spacing w:val="-2"/>
          <w:sz w:val="22"/>
        </w:rPr>
        <w:t>flexibility</w:t>
      </w:r>
      <w:r>
        <w:rPr>
          <w:spacing w:val="-12"/>
          <w:sz w:val="22"/>
        </w:rPr>
        <w:t> </w:t>
      </w:r>
      <w:r>
        <w:rPr>
          <w:spacing w:val="-2"/>
          <w:sz w:val="22"/>
        </w:rPr>
        <w:t>to</w:t>
      </w:r>
      <w:r>
        <w:rPr>
          <w:spacing w:val="-12"/>
          <w:sz w:val="22"/>
        </w:rPr>
        <w:t> </w:t>
      </w:r>
      <w:r>
        <w:rPr>
          <w:spacing w:val="-2"/>
          <w:sz w:val="22"/>
        </w:rPr>
        <w:t>states</w:t>
      </w:r>
      <w:r>
        <w:rPr>
          <w:spacing w:val="-12"/>
          <w:sz w:val="22"/>
        </w:rPr>
        <w:t> </w:t>
      </w:r>
      <w:r>
        <w:rPr>
          <w:spacing w:val="-2"/>
          <w:sz w:val="22"/>
        </w:rPr>
        <w:t>for</w:t>
      </w:r>
      <w:r>
        <w:rPr>
          <w:spacing w:val="-11"/>
          <w:sz w:val="22"/>
        </w:rPr>
        <w:t> </w:t>
      </w:r>
      <w:r>
        <w:rPr>
          <w:spacing w:val="-2"/>
          <w:sz w:val="22"/>
        </w:rPr>
        <w:t>enacting</w:t>
      </w:r>
      <w:r>
        <w:rPr>
          <w:spacing w:val="-12"/>
          <w:sz w:val="22"/>
        </w:rPr>
        <w:t> </w:t>
      </w:r>
      <w:r>
        <w:rPr>
          <w:spacing w:val="-2"/>
          <w:sz w:val="22"/>
        </w:rPr>
        <w:t>state-specific</w:t>
      </w:r>
      <w:r>
        <w:rPr>
          <w:spacing w:val="-12"/>
          <w:sz w:val="22"/>
        </w:rPr>
        <w:t> </w:t>
      </w:r>
      <w:r>
        <w:rPr>
          <w:spacing w:val="-2"/>
          <w:sz w:val="22"/>
        </w:rPr>
        <w:t>laws, </w:t>
      </w:r>
      <w:r>
        <w:rPr>
          <w:sz w:val="22"/>
        </w:rPr>
        <w:t>which could be either </w:t>
      </w:r>
      <w:r>
        <w:rPr>
          <w:i/>
          <w:sz w:val="22"/>
        </w:rPr>
        <w:t>at par </w:t>
      </w:r>
      <w:r>
        <w:rPr>
          <w:sz w:val="22"/>
        </w:rPr>
        <w:t>or above the central </w:t>
      </w:r>
      <w:r>
        <w:rPr>
          <w:spacing w:val="-2"/>
          <w:sz w:val="22"/>
        </w:rPr>
        <w:t>benchmark.</w:t>
      </w:r>
    </w:p>
    <w:p>
      <w:pPr>
        <w:pStyle w:val="Heading7"/>
        <w:numPr>
          <w:ilvl w:val="0"/>
          <w:numId w:val="64"/>
        </w:numPr>
        <w:tabs>
          <w:tab w:pos="717" w:val="left" w:leader="none"/>
        </w:tabs>
        <w:spacing w:line="225" w:lineRule="auto" w:before="236" w:after="0"/>
        <w:ind w:left="717" w:right="1097" w:hanging="398"/>
        <w:jc w:val="both"/>
      </w:pPr>
      <w:r>
        <w:rPr>
          <w:color w:val="2E614A"/>
          <w:w w:val="90"/>
        </w:rPr>
        <w:t>Create a web-enabled knowledge bank </w:t>
      </w:r>
      <w:r>
        <w:rPr>
          <w:color w:val="2E614A"/>
          <w:w w:val="90"/>
        </w:rPr>
        <w:t>on </w:t>
      </w:r>
      <w:r>
        <w:rPr>
          <w:color w:val="2E614A"/>
          <w:spacing w:val="-2"/>
        </w:rPr>
        <w:t>all</w:t>
      </w:r>
      <w:r>
        <w:rPr>
          <w:color w:val="2E614A"/>
          <w:spacing w:val="-15"/>
        </w:rPr>
        <w:t> </w:t>
      </w:r>
      <w:r>
        <w:rPr>
          <w:color w:val="2E614A"/>
          <w:spacing w:val="-2"/>
        </w:rPr>
        <w:t>aspects</w:t>
      </w:r>
      <w:r>
        <w:rPr>
          <w:color w:val="2E614A"/>
          <w:spacing w:val="-14"/>
        </w:rPr>
        <w:t> </w:t>
      </w:r>
      <w:r>
        <w:rPr>
          <w:color w:val="2E614A"/>
          <w:spacing w:val="-2"/>
        </w:rPr>
        <w:t>of</w:t>
      </w:r>
      <w:r>
        <w:rPr>
          <w:color w:val="2E614A"/>
          <w:spacing w:val="-14"/>
        </w:rPr>
        <w:t> </w:t>
      </w:r>
      <w:r>
        <w:rPr>
          <w:color w:val="2E614A"/>
          <w:spacing w:val="-2"/>
        </w:rPr>
        <w:t>agriculture</w:t>
      </w:r>
    </w:p>
    <w:p>
      <w:pPr>
        <w:pStyle w:val="BodyText"/>
        <w:spacing w:before="2"/>
        <w:rPr>
          <w:b/>
          <w:sz w:val="26"/>
        </w:rPr>
      </w:pPr>
    </w:p>
    <w:p>
      <w:pPr>
        <w:pStyle w:val="ListParagraph"/>
        <w:numPr>
          <w:ilvl w:val="1"/>
          <w:numId w:val="64"/>
        </w:numPr>
        <w:tabs>
          <w:tab w:pos="679" w:val="left" w:leader="none"/>
        </w:tabs>
        <w:spacing w:line="266" w:lineRule="auto" w:before="0" w:after="0"/>
        <w:ind w:left="679" w:right="1077" w:hanging="360"/>
        <w:jc w:val="both"/>
        <w:rPr>
          <w:sz w:val="22"/>
        </w:rPr>
      </w:pPr>
      <w:r>
        <w:rPr>
          <w:spacing w:val="-2"/>
          <w:sz w:val="22"/>
        </w:rPr>
        <w:t>Such</w:t>
      </w:r>
      <w:r>
        <w:rPr>
          <w:spacing w:val="-12"/>
          <w:sz w:val="22"/>
        </w:rPr>
        <w:t> </w:t>
      </w:r>
      <w:r>
        <w:rPr>
          <w:spacing w:val="-2"/>
          <w:sz w:val="22"/>
        </w:rPr>
        <w:t>a</w:t>
      </w:r>
      <w:r>
        <w:rPr>
          <w:spacing w:val="-12"/>
          <w:sz w:val="22"/>
        </w:rPr>
        <w:t> </w:t>
      </w:r>
      <w:r>
        <w:rPr>
          <w:spacing w:val="-2"/>
          <w:sz w:val="22"/>
        </w:rPr>
        <w:t>knowledge</w:t>
      </w:r>
      <w:r>
        <w:rPr>
          <w:spacing w:val="-12"/>
          <w:sz w:val="22"/>
        </w:rPr>
        <w:t> </w:t>
      </w:r>
      <w:r>
        <w:rPr>
          <w:spacing w:val="-2"/>
          <w:sz w:val="22"/>
        </w:rPr>
        <w:t>bank</w:t>
      </w:r>
      <w:r>
        <w:rPr>
          <w:spacing w:val="-11"/>
          <w:sz w:val="22"/>
        </w:rPr>
        <w:t> </w:t>
      </w:r>
      <w:r>
        <w:rPr>
          <w:spacing w:val="-2"/>
          <w:sz w:val="22"/>
        </w:rPr>
        <w:t>should</w:t>
      </w:r>
      <w:r>
        <w:rPr>
          <w:spacing w:val="-12"/>
          <w:sz w:val="22"/>
        </w:rPr>
        <w:t> </w:t>
      </w:r>
      <w:r>
        <w:rPr>
          <w:spacing w:val="-2"/>
          <w:sz w:val="22"/>
        </w:rPr>
        <w:t>strive</w:t>
      </w:r>
      <w:r>
        <w:rPr>
          <w:spacing w:val="-12"/>
          <w:sz w:val="22"/>
        </w:rPr>
        <w:t> </w:t>
      </w:r>
      <w:r>
        <w:rPr>
          <w:spacing w:val="-2"/>
          <w:sz w:val="22"/>
        </w:rPr>
        <w:t>to</w:t>
      </w:r>
      <w:r>
        <w:rPr>
          <w:spacing w:val="-12"/>
          <w:sz w:val="22"/>
        </w:rPr>
        <w:t> </w:t>
      </w:r>
      <w:r>
        <w:rPr>
          <w:spacing w:val="-2"/>
          <w:sz w:val="22"/>
        </w:rPr>
        <w:t>include</w:t>
      </w:r>
      <w:r>
        <w:rPr>
          <w:spacing w:val="-11"/>
          <w:sz w:val="22"/>
        </w:rPr>
        <w:t> </w:t>
      </w:r>
      <w:r>
        <w:rPr>
          <w:spacing w:val="-2"/>
          <w:sz w:val="22"/>
        </w:rPr>
        <w:t>all </w:t>
      </w:r>
      <w:r>
        <w:rPr>
          <w:sz w:val="22"/>
        </w:rPr>
        <w:t>traditional</w:t>
      </w:r>
      <w:r>
        <w:rPr>
          <w:spacing w:val="-7"/>
          <w:sz w:val="22"/>
        </w:rPr>
        <w:t> </w:t>
      </w:r>
      <w:r>
        <w:rPr>
          <w:sz w:val="22"/>
        </w:rPr>
        <w:t>knowledge</w:t>
      </w:r>
      <w:r>
        <w:rPr>
          <w:spacing w:val="-7"/>
          <w:sz w:val="22"/>
        </w:rPr>
        <w:t> </w:t>
      </w:r>
      <w:r>
        <w:rPr>
          <w:sz w:val="22"/>
        </w:rPr>
        <w:t>that</w:t>
      </w:r>
      <w:r>
        <w:rPr>
          <w:spacing w:val="-7"/>
          <w:sz w:val="22"/>
        </w:rPr>
        <w:t> </w:t>
      </w:r>
      <w:r>
        <w:rPr>
          <w:sz w:val="22"/>
        </w:rPr>
        <w:t>is</w:t>
      </w:r>
      <w:r>
        <w:rPr>
          <w:spacing w:val="-7"/>
          <w:sz w:val="22"/>
        </w:rPr>
        <w:t> </w:t>
      </w:r>
      <w:r>
        <w:rPr>
          <w:sz w:val="22"/>
        </w:rPr>
        <w:t>credible</w:t>
      </w:r>
      <w:r>
        <w:rPr>
          <w:spacing w:val="-7"/>
          <w:sz w:val="22"/>
        </w:rPr>
        <w:t> </w:t>
      </w:r>
      <w:r>
        <w:rPr>
          <w:i/>
          <w:sz w:val="22"/>
        </w:rPr>
        <w:t>prima</w:t>
      </w:r>
      <w:r>
        <w:rPr>
          <w:i/>
          <w:spacing w:val="-7"/>
          <w:sz w:val="22"/>
        </w:rPr>
        <w:t> </w:t>
      </w:r>
      <w:r>
        <w:rPr>
          <w:i/>
          <w:sz w:val="22"/>
        </w:rPr>
        <w:t>facie </w:t>
      </w:r>
      <w:r>
        <w:rPr>
          <w:sz w:val="22"/>
        </w:rPr>
        <w:t>or</w:t>
      </w:r>
      <w:r>
        <w:rPr>
          <w:spacing w:val="-2"/>
          <w:sz w:val="22"/>
        </w:rPr>
        <w:t> </w:t>
      </w:r>
      <w:r>
        <w:rPr>
          <w:sz w:val="22"/>
        </w:rPr>
        <w:t>validated,</w:t>
      </w:r>
      <w:r>
        <w:rPr>
          <w:spacing w:val="-2"/>
          <w:sz w:val="22"/>
        </w:rPr>
        <w:t> </w:t>
      </w:r>
      <w:r>
        <w:rPr>
          <w:sz w:val="22"/>
        </w:rPr>
        <w:t>all</w:t>
      </w:r>
      <w:r>
        <w:rPr>
          <w:spacing w:val="-2"/>
          <w:sz w:val="22"/>
        </w:rPr>
        <w:t> </w:t>
      </w:r>
      <w:r>
        <w:rPr>
          <w:sz w:val="22"/>
        </w:rPr>
        <w:t>modern</w:t>
      </w:r>
      <w:r>
        <w:rPr>
          <w:spacing w:val="-2"/>
          <w:sz w:val="22"/>
        </w:rPr>
        <w:t> </w:t>
      </w:r>
      <w:r>
        <w:rPr>
          <w:sz w:val="22"/>
        </w:rPr>
        <w:t>knowledge</w:t>
      </w:r>
      <w:r>
        <w:rPr>
          <w:spacing w:val="-2"/>
          <w:sz w:val="22"/>
        </w:rPr>
        <w:t> </w:t>
      </w:r>
      <w:r>
        <w:rPr>
          <w:sz w:val="22"/>
        </w:rPr>
        <w:t>generated</w:t>
      </w:r>
      <w:r>
        <w:rPr>
          <w:spacing w:val="-2"/>
          <w:sz w:val="22"/>
        </w:rPr>
        <w:t> </w:t>
      </w:r>
      <w:r>
        <w:rPr>
          <w:sz w:val="22"/>
        </w:rPr>
        <w:t>by </w:t>
      </w:r>
      <w:r>
        <w:rPr>
          <w:w w:val="90"/>
          <w:sz w:val="22"/>
        </w:rPr>
        <w:t>research over the years with location-specific features </w:t>
      </w:r>
      <w:r>
        <w:rPr>
          <w:sz w:val="22"/>
        </w:rPr>
        <w:t>highlighted, and appropriate information on post harvest</w:t>
      </w:r>
      <w:r>
        <w:rPr>
          <w:spacing w:val="-10"/>
          <w:sz w:val="22"/>
        </w:rPr>
        <w:t> </w:t>
      </w:r>
      <w:r>
        <w:rPr>
          <w:sz w:val="22"/>
        </w:rPr>
        <w:t>and</w:t>
      </w:r>
      <w:r>
        <w:rPr>
          <w:spacing w:val="-10"/>
          <w:sz w:val="22"/>
        </w:rPr>
        <w:t> </w:t>
      </w:r>
      <w:r>
        <w:rPr>
          <w:sz w:val="22"/>
        </w:rPr>
        <w:t>value</w:t>
      </w:r>
      <w:r>
        <w:rPr>
          <w:spacing w:val="-10"/>
          <w:sz w:val="22"/>
        </w:rPr>
        <w:t> </w:t>
      </w:r>
      <w:r>
        <w:rPr>
          <w:sz w:val="22"/>
        </w:rPr>
        <w:t>addition</w:t>
      </w:r>
      <w:r>
        <w:rPr>
          <w:spacing w:val="-10"/>
          <w:sz w:val="22"/>
        </w:rPr>
        <w:t> </w:t>
      </w:r>
      <w:r>
        <w:rPr>
          <w:sz w:val="22"/>
        </w:rPr>
        <w:t>aspects.</w:t>
      </w:r>
    </w:p>
    <w:p>
      <w:pPr>
        <w:pStyle w:val="ListParagraph"/>
        <w:numPr>
          <w:ilvl w:val="1"/>
          <w:numId w:val="64"/>
        </w:numPr>
        <w:tabs>
          <w:tab w:pos="679" w:val="left" w:leader="none"/>
        </w:tabs>
        <w:spacing w:line="266" w:lineRule="auto" w:before="0" w:after="0"/>
        <w:ind w:left="679" w:right="1078" w:hanging="360"/>
        <w:jc w:val="both"/>
        <w:rPr>
          <w:sz w:val="22"/>
        </w:rPr>
      </w:pPr>
      <w:r>
        <w:rPr>
          <w:sz w:val="22"/>
        </w:rPr>
        <w:t>It must also include dynamic data on marketing </w:t>
      </w:r>
      <w:r>
        <w:rPr>
          <w:spacing w:val="-2"/>
          <w:sz w:val="22"/>
        </w:rPr>
        <w:t>and</w:t>
      </w:r>
      <w:r>
        <w:rPr>
          <w:spacing w:val="-12"/>
          <w:sz w:val="22"/>
        </w:rPr>
        <w:t> </w:t>
      </w:r>
      <w:r>
        <w:rPr>
          <w:spacing w:val="-2"/>
          <w:sz w:val="22"/>
        </w:rPr>
        <w:t>market</w:t>
      </w:r>
      <w:r>
        <w:rPr>
          <w:spacing w:val="-12"/>
          <w:sz w:val="22"/>
        </w:rPr>
        <w:t> </w:t>
      </w:r>
      <w:r>
        <w:rPr>
          <w:spacing w:val="-2"/>
          <w:sz w:val="22"/>
        </w:rPr>
        <w:t>price</w:t>
      </w:r>
      <w:r>
        <w:rPr>
          <w:spacing w:val="-12"/>
          <w:sz w:val="22"/>
        </w:rPr>
        <w:t> </w:t>
      </w:r>
      <w:r>
        <w:rPr>
          <w:spacing w:val="-2"/>
          <w:sz w:val="22"/>
        </w:rPr>
        <w:t>movements,</w:t>
      </w:r>
      <w:r>
        <w:rPr>
          <w:spacing w:val="-11"/>
          <w:sz w:val="22"/>
        </w:rPr>
        <w:t> </w:t>
      </w:r>
      <w:r>
        <w:rPr>
          <w:spacing w:val="-2"/>
          <w:sz w:val="22"/>
        </w:rPr>
        <w:t>seasonal</w:t>
      </w:r>
      <w:r>
        <w:rPr>
          <w:spacing w:val="-12"/>
          <w:sz w:val="22"/>
        </w:rPr>
        <w:t> </w:t>
      </w:r>
      <w:r>
        <w:rPr>
          <w:spacing w:val="-2"/>
          <w:sz w:val="22"/>
        </w:rPr>
        <w:t>agricultural </w:t>
      </w:r>
      <w:r>
        <w:rPr>
          <w:spacing w:val="-4"/>
          <w:sz w:val="22"/>
        </w:rPr>
        <w:t>advisories,</w:t>
      </w:r>
      <w:r>
        <w:rPr>
          <w:spacing w:val="-10"/>
          <w:sz w:val="22"/>
        </w:rPr>
        <w:t> </w:t>
      </w:r>
      <w:r>
        <w:rPr>
          <w:spacing w:val="-4"/>
          <w:sz w:val="22"/>
        </w:rPr>
        <w:t>regional</w:t>
      </w:r>
      <w:r>
        <w:rPr>
          <w:spacing w:val="-10"/>
          <w:sz w:val="22"/>
        </w:rPr>
        <w:t> </w:t>
      </w:r>
      <w:r>
        <w:rPr>
          <w:spacing w:val="-4"/>
          <w:sz w:val="22"/>
        </w:rPr>
        <w:t>meteorological</w:t>
      </w:r>
      <w:r>
        <w:rPr>
          <w:spacing w:val="-10"/>
          <w:sz w:val="22"/>
        </w:rPr>
        <w:t> </w:t>
      </w:r>
      <w:r>
        <w:rPr>
          <w:spacing w:val="-4"/>
          <w:sz w:val="22"/>
        </w:rPr>
        <w:t>information</w:t>
      </w:r>
      <w:r>
        <w:rPr>
          <w:spacing w:val="-9"/>
          <w:sz w:val="22"/>
        </w:rPr>
        <w:t> </w:t>
      </w:r>
      <w:r>
        <w:rPr>
          <w:spacing w:val="-4"/>
          <w:sz w:val="22"/>
        </w:rPr>
        <w:t>etc.</w:t>
      </w:r>
    </w:p>
    <w:p>
      <w:pPr>
        <w:pStyle w:val="BodyText"/>
        <w:spacing w:before="20"/>
      </w:pPr>
    </w:p>
    <w:p>
      <w:pPr>
        <w:pStyle w:val="BodyText"/>
        <w:spacing w:line="266" w:lineRule="auto"/>
        <w:ind w:left="319" w:right="1077"/>
        <w:jc w:val="both"/>
      </w:pPr>
      <w:r>
        <w:rPr/>
        <w:t>We believe that these changes are both necessary</w:t>
      </w:r>
      <w:r>
        <w:rPr>
          <w:spacing w:val="40"/>
        </w:rPr>
        <w:t> </w:t>
      </w:r>
      <w:r>
        <w:rPr/>
        <w:t>and desirable in order to encourage the creation and dissemination of useful and relevant knowledge in </w:t>
      </w:r>
      <w:r>
        <w:rPr>
          <w:spacing w:val="-2"/>
        </w:rPr>
        <w:t>agriculture.</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spacing w:before="135"/>
        <w:rPr>
          <w:sz w:val="20"/>
        </w:rPr>
      </w:pPr>
    </w:p>
    <w:p>
      <w:pPr>
        <w:spacing w:after="0"/>
        <w:rPr>
          <w:sz w:val="20"/>
        </w:rPr>
        <w:sectPr>
          <w:pgSz w:w="11910" w:h="16840"/>
          <w:pgMar w:header="0" w:footer="675" w:top="0" w:bottom="860" w:left="0" w:right="0"/>
        </w:sectPr>
      </w:pPr>
    </w:p>
    <w:p>
      <w:pPr>
        <w:pStyle w:val="Heading3"/>
      </w:pPr>
      <w:r>
        <w:rPr/>
        <w:drawing>
          <wp:anchor distT="0" distB="0" distL="0" distR="0" allowOverlap="1" layoutInCell="1" locked="0" behindDoc="1" simplePos="0" relativeHeight="479362560">
            <wp:simplePos x="0" y="0"/>
            <wp:positionH relativeFrom="page">
              <wp:posOffset>0</wp:posOffset>
            </wp:positionH>
            <wp:positionV relativeFrom="paragraph">
              <wp:posOffset>-535102</wp:posOffset>
            </wp:positionV>
            <wp:extent cx="7559999" cy="1752562"/>
            <wp:effectExtent l="0" t="0" r="0" b="0"/>
            <wp:wrapNone/>
            <wp:docPr id="995" name="Image 995"/>
            <wp:cNvGraphicFramePr>
              <a:graphicFrameLocks/>
            </wp:cNvGraphicFramePr>
            <a:graphic>
              <a:graphicData uri="http://schemas.openxmlformats.org/drawingml/2006/picture">
                <pic:pic>
                  <pic:nvPicPr>
                    <pic:cNvPr id="995" name="Image 995"/>
                    <pic:cNvPicPr/>
                  </pic:nvPicPr>
                  <pic:blipFill>
                    <a:blip r:embed="rId612" cstate="print"/>
                    <a:stretch>
                      <a:fillRect/>
                    </a:stretch>
                  </pic:blipFill>
                  <pic:spPr>
                    <a:xfrm>
                      <a:off x="0" y="0"/>
                      <a:ext cx="7559999" cy="1752562"/>
                    </a:xfrm>
                    <a:prstGeom prst="rect">
                      <a:avLst/>
                    </a:prstGeom>
                  </pic:spPr>
                </pic:pic>
              </a:graphicData>
            </a:graphic>
          </wp:anchor>
        </w:drawing>
      </w:r>
      <w:r>
        <w:rPr>
          <w:color w:val="FFFFFF"/>
        </w:rPr>
        <w:t>Enhancing</w:t>
      </w:r>
      <w:r>
        <w:rPr>
          <w:color w:val="FFFFFF"/>
          <w:spacing w:val="-1"/>
        </w:rPr>
        <w:t> </w:t>
      </w:r>
      <w:r>
        <w:rPr>
          <w:color w:val="FFFFFF"/>
        </w:rPr>
        <w:t>Quality of </w:t>
      </w:r>
      <w:r>
        <w:rPr>
          <w:color w:val="FFFFFF"/>
          <w:spacing w:val="-4"/>
        </w:rPr>
        <w:t>Life</w:t>
      </w:r>
    </w:p>
    <w:p>
      <w:pPr>
        <w:pStyle w:val="Heading5"/>
      </w:pPr>
      <w:r>
        <w:rPr>
          <w:color w:val="FFFFFF"/>
        </w:rPr>
        <w:t>Setting</w:t>
      </w:r>
      <w:r>
        <w:rPr>
          <w:color w:val="FFFFFF"/>
          <w:spacing w:val="-9"/>
        </w:rPr>
        <w:t> </w:t>
      </w:r>
      <w:r>
        <w:rPr>
          <w:color w:val="FFFFFF"/>
        </w:rPr>
        <w:t>up</w:t>
      </w:r>
      <w:r>
        <w:rPr>
          <w:color w:val="FFFFFF"/>
          <w:spacing w:val="-7"/>
        </w:rPr>
        <w:t> </w:t>
      </w:r>
      <w:r>
        <w:rPr>
          <w:color w:val="FFFFFF"/>
        </w:rPr>
        <w:t>Panchayat</w:t>
      </w:r>
      <w:r>
        <w:rPr>
          <w:color w:val="FFFFFF"/>
          <w:spacing w:val="-8"/>
        </w:rPr>
        <w:t> </w:t>
      </w:r>
      <w:r>
        <w:rPr>
          <w:color w:val="FFFFFF"/>
        </w:rPr>
        <w:t>Gyan</w:t>
      </w:r>
      <w:r>
        <w:rPr>
          <w:color w:val="FFFFFF"/>
          <w:spacing w:val="-8"/>
        </w:rPr>
        <w:t> </w:t>
      </w:r>
      <w:r>
        <w:rPr>
          <w:color w:val="FFFFFF"/>
          <w:spacing w:val="-2"/>
        </w:rPr>
        <w:t>Kendras</w:t>
      </w:r>
    </w:p>
    <w:p>
      <w:pPr>
        <w:spacing w:line="240" w:lineRule="auto" w:before="0"/>
        <w:rPr>
          <w:rFonts w:ascii="Trebuchet MS"/>
          <w:b/>
          <w:sz w:val="22"/>
        </w:rPr>
      </w:pPr>
      <w:r>
        <w:rPr/>
        <w:br w:type="column"/>
      </w:r>
      <w:r>
        <w:rPr>
          <w:rFonts w:ascii="Trebuchet MS"/>
          <w:b/>
          <w:sz w:val="22"/>
        </w:rPr>
      </w: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216"/>
        <w:rPr>
          <w:rFonts w:ascii="Trebuchet MS"/>
          <w:b/>
        </w:rPr>
      </w:pPr>
    </w:p>
    <w:p>
      <w:pPr>
        <w:pStyle w:val="BodyText"/>
        <w:ind w:left="439"/>
      </w:pPr>
      <w:r>
        <w:rPr>
          <w:color w:val="FFFFFF"/>
          <w:spacing w:val="-2"/>
        </w:rPr>
        <w:t>March</w:t>
      </w:r>
      <w:r>
        <w:rPr>
          <w:color w:val="FFFFFF"/>
          <w:spacing w:val="-9"/>
        </w:rPr>
        <w:t> </w:t>
      </w:r>
      <w:r>
        <w:rPr>
          <w:color w:val="FFFFFF"/>
          <w:spacing w:val="-2"/>
        </w:rPr>
        <w:t>2,</w:t>
      </w:r>
      <w:r>
        <w:rPr>
          <w:color w:val="FFFFFF"/>
          <w:spacing w:val="-9"/>
        </w:rPr>
        <w:t> </w:t>
      </w:r>
      <w:r>
        <w:rPr>
          <w:color w:val="FFFFFF"/>
          <w:spacing w:val="-4"/>
        </w:rPr>
        <w:t>2009</w:t>
      </w:r>
    </w:p>
    <w:p>
      <w:pPr>
        <w:spacing w:after="0"/>
        <w:sectPr>
          <w:type w:val="continuous"/>
          <w:pgSz w:w="11910" w:h="16840"/>
          <w:pgMar w:header="0" w:footer="675" w:top="1920" w:bottom="280" w:left="0" w:right="0"/>
          <w:cols w:num="2" w:equalWidth="0">
            <w:col w:w="9085" w:space="40"/>
            <w:col w:w="2785"/>
          </w:cols>
        </w:sectPr>
      </w:pPr>
    </w:p>
    <w:p>
      <w:pPr>
        <w:pStyle w:val="BodyText"/>
        <w:rPr>
          <w:sz w:val="20"/>
        </w:rPr>
      </w:pPr>
    </w:p>
    <w:p>
      <w:pPr>
        <w:pStyle w:val="BodyText"/>
        <w:rPr>
          <w:sz w:val="20"/>
        </w:rPr>
      </w:pPr>
    </w:p>
    <w:p>
      <w:pPr>
        <w:pStyle w:val="BodyText"/>
        <w:rPr>
          <w:sz w:val="20"/>
        </w:rPr>
      </w:pPr>
    </w:p>
    <w:p>
      <w:pPr>
        <w:pStyle w:val="BodyText"/>
        <w:spacing w:before="92"/>
        <w:rPr>
          <w:sz w:val="20"/>
        </w:rPr>
      </w:pPr>
    </w:p>
    <w:p>
      <w:pPr>
        <w:spacing w:after="0"/>
        <w:rPr>
          <w:sz w:val="20"/>
        </w:rPr>
        <w:sectPr>
          <w:type w:val="continuous"/>
          <w:pgSz w:w="11910" w:h="16840"/>
          <w:pgMar w:header="0" w:footer="675" w:top="1920" w:bottom="280" w:left="0" w:right="0"/>
        </w:sectPr>
      </w:pPr>
    </w:p>
    <w:p>
      <w:pPr>
        <w:pStyle w:val="BodyText"/>
        <w:spacing w:line="266" w:lineRule="auto" w:before="82"/>
        <w:ind w:left="1793"/>
        <w:jc w:val="both"/>
      </w:pPr>
      <w:r>
        <w:rPr/>
        <mc:AlternateContent>
          <mc:Choice Requires="wps">
            <w:drawing>
              <wp:anchor distT="0" distB="0" distL="0" distR="0" allowOverlap="1" layoutInCell="1" locked="0" behindDoc="1" simplePos="0" relativeHeight="479363072">
                <wp:simplePos x="0" y="0"/>
                <wp:positionH relativeFrom="page">
                  <wp:posOffset>685799</wp:posOffset>
                </wp:positionH>
                <wp:positionV relativeFrom="paragraph">
                  <wp:posOffset>-36899</wp:posOffset>
                </wp:positionV>
                <wp:extent cx="446405" cy="757555"/>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905473pt;width:35.15pt;height:59.65pt;mso-position-horizontal-relative:page;mso-position-vertical-relative:paragraph;z-index:-23953408" type="#_x0000_t202" id="docshape985"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 National Knowledge </w:t>
      </w:r>
      <w:r>
        <w:rPr/>
        <w:t>Commission considers it imperative to ensure that the applications</w:t>
      </w:r>
      <w:r>
        <w:rPr>
          <w:spacing w:val="35"/>
        </w:rPr>
        <w:t> </w:t>
      </w:r>
      <w:r>
        <w:rPr/>
        <w:t>of</w:t>
      </w:r>
      <w:r>
        <w:rPr>
          <w:spacing w:val="36"/>
        </w:rPr>
        <w:t> </w:t>
      </w:r>
      <w:r>
        <w:rPr/>
        <w:t>knowledge</w:t>
      </w:r>
      <w:r>
        <w:rPr>
          <w:spacing w:val="36"/>
        </w:rPr>
        <w:t> </w:t>
      </w:r>
      <w:r>
        <w:rPr/>
        <w:t>are</w:t>
      </w:r>
      <w:r>
        <w:rPr>
          <w:spacing w:val="36"/>
        </w:rPr>
        <w:t> </w:t>
      </w:r>
      <w:r>
        <w:rPr/>
        <w:t>used</w:t>
      </w:r>
      <w:r>
        <w:rPr>
          <w:spacing w:val="36"/>
        </w:rPr>
        <w:t> </w:t>
      </w:r>
      <w:r>
        <w:rPr/>
        <w:t>for</w:t>
      </w:r>
      <w:r>
        <w:rPr>
          <w:spacing w:val="36"/>
        </w:rPr>
        <w:t> </w:t>
      </w:r>
      <w:r>
        <w:rPr>
          <w:spacing w:val="-5"/>
        </w:rPr>
        <w:t>the</w:t>
      </w:r>
    </w:p>
    <w:p>
      <w:pPr>
        <w:pStyle w:val="BodyText"/>
        <w:spacing w:line="266" w:lineRule="auto"/>
        <w:ind w:left="1080"/>
        <w:jc w:val="both"/>
      </w:pPr>
      <w:r>
        <w:rPr>
          <w:spacing w:val="-4"/>
        </w:rPr>
        <w:t>well-being</w:t>
      </w:r>
      <w:r>
        <w:rPr>
          <w:spacing w:val="-7"/>
        </w:rPr>
        <w:t> </w:t>
      </w:r>
      <w:r>
        <w:rPr>
          <w:spacing w:val="-4"/>
        </w:rPr>
        <w:t>of</w:t>
      </w:r>
      <w:r>
        <w:rPr>
          <w:spacing w:val="-7"/>
        </w:rPr>
        <w:t> </w:t>
      </w:r>
      <w:r>
        <w:rPr>
          <w:spacing w:val="-4"/>
        </w:rPr>
        <w:t>common</w:t>
      </w:r>
      <w:r>
        <w:rPr>
          <w:spacing w:val="-7"/>
        </w:rPr>
        <w:t> </w:t>
      </w:r>
      <w:r>
        <w:rPr>
          <w:spacing w:val="-4"/>
        </w:rPr>
        <w:t>people,</w:t>
      </w:r>
      <w:r>
        <w:rPr>
          <w:spacing w:val="-7"/>
        </w:rPr>
        <w:t> </w:t>
      </w:r>
      <w:r>
        <w:rPr>
          <w:spacing w:val="-4"/>
        </w:rPr>
        <w:t>especially</w:t>
      </w:r>
      <w:r>
        <w:rPr>
          <w:spacing w:val="-7"/>
        </w:rPr>
        <w:t> </w:t>
      </w:r>
      <w:r>
        <w:rPr>
          <w:spacing w:val="-4"/>
        </w:rPr>
        <w:t>in</w:t>
      </w:r>
      <w:r>
        <w:rPr>
          <w:spacing w:val="-7"/>
        </w:rPr>
        <w:t> </w:t>
      </w:r>
      <w:r>
        <w:rPr>
          <w:spacing w:val="-4"/>
        </w:rPr>
        <w:t>rural</w:t>
      </w:r>
      <w:r>
        <w:rPr>
          <w:spacing w:val="-7"/>
        </w:rPr>
        <w:t> </w:t>
      </w:r>
      <w:r>
        <w:rPr>
          <w:spacing w:val="-4"/>
        </w:rPr>
        <w:t>areas. </w:t>
      </w:r>
      <w:r>
        <w:rPr/>
        <w:t>Our consultations with a working group of experts </w:t>
      </w:r>
      <w:r>
        <w:rPr>
          <w:spacing w:val="-2"/>
        </w:rPr>
        <w:t>involved</w:t>
      </w:r>
      <w:r>
        <w:rPr>
          <w:spacing w:val="-5"/>
        </w:rPr>
        <w:t> </w:t>
      </w:r>
      <w:r>
        <w:rPr>
          <w:spacing w:val="-2"/>
        </w:rPr>
        <w:t>with</w:t>
      </w:r>
      <w:r>
        <w:rPr>
          <w:spacing w:val="-5"/>
        </w:rPr>
        <w:t> </w:t>
      </w:r>
      <w:r>
        <w:rPr>
          <w:spacing w:val="-2"/>
        </w:rPr>
        <w:t>grassroots</w:t>
      </w:r>
      <w:r>
        <w:rPr>
          <w:spacing w:val="-5"/>
        </w:rPr>
        <w:t> </w:t>
      </w:r>
      <w:r>
        <w:rPr>
          <w:spacing w:val="-2"/>
        </w:rPr>
        <w:t>organisations</w:t>
      </w:r>
      <w:r>
        <w:rPr>
          <w:spacing w:val="-5"/>
        </w:rPr>
        <w:t> </w:t>
      </w:r>
      <w:r>
        <w:rPr>
          <w:spacing w:val="-2"/>
        </w:rPr>
        <w:t>helped</w:t>
      </w:r>
      <w:r>
        <w:rPr>
          <w:spacing w:val="-5"/>
        </w:rPr>
        <w:t> </w:t>
      </w:r>
      <w:r>
        <w:rPr>
          <w:spacing w:val="-2"/>
        </w:rPr>
        <w:t>identify </w:t>
      </w:r>
      <w:r>
        <w:rPr/>
        <w:t>some workable ideas and existing projects that have potential</w:t>
      </w:r>
      <w:r>
        <w:rPr>
          <w:spacing w:val="-9"/>
        </w:rPr>
        <w:t> </w:t>
      </w:r>
      <w:r>
        <w:rPr/>
        <w:t>for</w:t>
      </w:r>
      <w:r>
        <w:rPr>
          <w:spacing w:val="-9"/>
        </w:rPr>
        <w:t> </w:t>
      </w:r>
      <w:r>
        <w:rPr/>
        <w:t>scaling</w:t>
      </w:r>
      <w:r>
        <w:rPr>
          <w:spacing w:val="-9"/>
        </w:rPr>
        <w:t> </w:t>
      </w:r>
      <w:r>
        <w:rPr/>
        <w:t>up.</w:t>
      </w:r>
      <w:r>
        <w:rPr>
          <w:spacing w:val="-9"/>
        </w:rPr>
        <w:t> </w:t>
      </w:r>
      <w:r>
        <w:rPr/>
        <w:t>One</w:t>
      </w:r>
      <w:r>
        <w:rPr>
          <w:spacing w:val="-9"/>
        </w:rPr>
        <w:t> </w:t>
      </w:r>
      <w:r>
        <w:rPr/>
        <w:t>of</w:t>
      </w:r>
      <w:r>
        <w:rPr>
          <w:spacing w:val="-9"/>
        </w:rPr>
        <w:t> </w:t>
      </w:r>
      <w:r>
        <w:rPr/>
        <w:t>the</w:t>
      </w:r>
      <w:r>
        <w:rPr>
          <w:spacing w:val="-9"/>
        </w:rPr>
        <w:t> </w:t>
      </w:r>
      <w:r>
        <w:rPr/>
        <w:t>projects</w:t>
      </w:r>
      <w:r>
        <w:rPr>
          <w:spacing w:val="-9"/>
        </w:rPr>
        <w:t> </w:t>
      </w:r>
      <w:r>
        <w:rPr/>
        <w:t>identified for implementation after discussions focused on </w:t>
      </w:r>
      <w:r>
        <w:rPr/>
        <w:t>the need to set up Panchayat Gyan Kendras (PGKs) throughout</w:t>
      </w:r>
      <w:r>
        <w:rPr>
          <w:spacing w:val="-14"/>
        </w:rPr>
        <w:t> </w:t>
      </w:r>
      <w:r>
        <w:rPr/>
        <w:t>the</w:t>
      </w:r>
      <w:r>
        <w:rPr>
          <w:spacing w:val="-14"/>
        </w:rPr>
        <w:t> </w:t>
      </w:r>
      <w:r>
        <w:rPr/>
        <w:t>country.</w:t>
      </w:r>
      <w:r>
        <w:rPr>
          <w:spacing w:val="-14"/>
        </w:rPr>
        <w:t> </w:t>
      </w:r>
      <w:r>
        <w:rPr/>
        <w:t>The</w:t>
      </w:r>
      <w:r>
        <w:rPr>
          <w:spacing w:val="-13"/>
        </w:rPr>
        <w:t> </w:t>
      </w:r>
      <w:r>
        <w:rPr/>
        <w:t>findings</w:t>
      </w:r>
      <w:r>
        <w:rPr>
          <w:spacing w:val="-14"/>
        </w:rPr>
        <w:t> </w:t>
      </w:r>
      <w:r>
        <w:rPr/>
        <w:t>from</w:t>
      </w:r>
      <w:r>
        <w:rPr>
          <w:spacing w:val="-14"/>
        </w:rPr>
        <w:t> </w:t>
      </w:r>
      <w:r>
        <w:rPr/>
        <w:t>this</w:t>
      </w:r>
      <w:r>
        <w:rPr>
          <w:spacing w:val="-14"/>
        </w:rPr>
        <w:t> </w:t>
      </w:r>
      <w:r>
        <w:rPr/>
        <w:t>project form</w:t>
      </w:r>
      <w:r>
        <w:rPr>
          <w:spacing w:val="-11"/>
        </w:rPr>
        <w:t> </w:t>
      </w:r>
      <w:r>
        <w:rPr/>
        <w:t>the</w:t>
      </w:r>
      <w:r>
        <w:rPr>
          <w:spacing w:val="-11"/>
        </w:rPr>
        <w:t> </w:t>
      </w:r>
      <w:r>
        <w:rPr/>
        <w:t>basis</w:t>
      </w:r>
      <w:r>
        <w:rPr>
          <w:spacing w:val="-11"/>
        </w:rPr>
        <w:t> </w:t>
      </w:r>
      <w:r>
        <w:rPr/>
        <w:t>for</w:t>
      </w:r>
      <w:r>
        <w:rPr>
          <w:spacing w:val="-11"/>
        </w:rPr>
        <w:t> </w:t>
      </w:r>
      <w:r>
        <w:rPr/>
        <w:t>our</w:t>
      </w:r>
      <w:r>
        <w:rPr>
          <w:spacing w:val="-11"/>
        </w:rPr>
        <w:t> </w:t>
      </w:r>
      <w:r>
        <w:rPr/>
        <w:t>policy</w:t>
      </w:r>
      <w:r>
        <w:rPr>
          <w:spacing w:val="-10"/>
        </w:rPr>
        <w:t> </w:t>
      </w:r>
      <w:r>
        <w:rPr/>
        <w:t>suggestions</w:t>
      </w:r>
      <w:r>
        <w:rPr>
          <w:spacing w:val="-11"/>
        </w:rPr>
        <w:t> </w:t>
      </w:r>
      <w:r>
        <w:rPr/>
        <w:t>in</w:t>
      </w:r>
      <w:r>
        <w:rPr>
          <w:spacing w:val="-11"/>
        </w:rPr>
        <w:t> </w:t>
      </w:r>
      <w:r>
        <w:rPr/>
        <w:t>this</w:t>
      </w:r>
      <w:r>
        <w:rPr>
          <w:spacing w:val="-11"/>
        </w:rPr>
        <w:t> </w:t>
      </w:r>
      <w:r>
        <w:rPr>
          <w:spacing w:val="-2"/>
        </w:rPr>
        <w:t>letter.</w:t>
      </w:r>
    </w:p>
    <w:p>
      <w:pPr>
        <w:pStyle w:val="BodyText"/>
        <w:spacing w:before="17"/>
      </w:pPr>
    </w:p>
    <w:p>
      <w:pPr>
        <w:pStyle w:val="BodyText"/>
        <w:spacing w:line="266" w:lineRule="auto" w:before="1"/>
        <w:ind w:left="1080"/>
        <w:jc w:val="both"/>
      </w:pPr>
      <w:r>
        <w:rPr/>
        <w:t>We believe that it is essential to build capacity in </w:t>
      </w:r>
      <w:r>
        <w:rPr>
          <w:spacing w:val="-8"/>
        </w:rPr>
        <w:t>Panchayats</w:t>
      </w:r>
      <w:r>
        <w:rPr>
          <w:spacing w:val="-1"/>
        </w:rPr>
        <w:t> </w:t>
      </w:r>
      <w:r>
        <w:rPr>
          <w:spacing w:val="-8"/>
        </w:rPr>
        <w:t>to</w:t>
      </w:r>
      <w:r>
        <w:rPr>
          <w:spacing w:val="-1"/>
        </w:rPr>
        <w:t> </w:t>
      </w:r>
      <w:r>
        <w:rPr>
          <w:spacing w:val="-8"/>
        </w:rPr>
        <w:t>ensure</w:t>
      </w:r>
      <w:r>
        <w:rPr>
          <w:spacing w:val="-1"/>
        </w:rPr>
        <w:t> </w:t>
      </w:r>
      <w:r>
        <w:rPr>
          <w:spacing w:val="-8"/>
        </w:rPr>
        <w:t>participatory</w:t>
      </w:r>
      <w:r>
        <w:rPr>
          <w:spacing w:val="-1"/>
        </w:rPr>
        <w:t> </w:t>
      </w:r>
      <w:r>
        <w:rPr>
          <w:spacing w:val="-8"/>
        </w:rPr>
        <w:t>decision</w:t>
      </w:r>
      <w:r>
        <w:rPr>
          <w:spacing w:val="-1"/>
        </w:rPr>
        <w:t> </w:t>
      </w:r>
      <w:r>
        <w:rPr>
          <w:spacing w:val="-8"/>
        </w:rPr>
        <w:t>making</w:t>
      </w:r>
      <w:r>
        <w:rPr>
          <w:spacing w:val="-1"/>
        </w:rPr>
        <w:t> </w:t>
      </w:r>
      <w:r>
        <w:rPr>
          <w:spacing w:val="-8"/>
        </w:rPr>
        <w:t>and</w:t>
      </w:r>
      <w:r>
        <w:rPr>
          <w:spacing w:val="-1"/>
        </w:rPr>
        <w:t> </w:t>
      </w:r>
      <w:r>
        <w:rPr>
          <w:spacing w:val="-8"/>
        </w:rPr>
        <w:t>a </w:t>
      </w:r>
      <w:r>
        <w:rPr>
          <w:spacing w:val="-4"/>
        </w:rPr>
        <w:t>healthier</w:t>
      </w:r>
      <w:r>
        <w:rPr>
          <w:spacing w:val="-10"/>
        </w:rPr>
        <w:t> </w:t>
      </w:r>
      <w:r>
        <w:rPr>
          <w:spacing w:val="-4"/>
        </w:rPr>
        <w:t>democracy.</w:t>
      </w:r>
      <w:r>
        <w:rPr>
          <w:spacing w:val="-10"/>
        </w:rPr>
        <w:t> </w:t>
      </w:r>
      <w:r>
        <w:rPr>
          <w:spacing w:val="-4"/>
        </w:rPr>
        <w:t>Building</w:t>
      </w:r>
      <w:r>
        <w:rPr>
          <w:spacing w:val="-10"/>
        </w:rPr>
        <w:t> </w:t>
      </w:r>
      <w:r>
        <w:rPr>
          <w:spacing w:val="-4"/>
        </w:rPr>
        <w:t>a</w:t>
      </w:r>
      <w:r>
        <w:rPr>
          <w:spacing w:val="-9"/>
        </w:rPr>
        <w:t> </w:t>
      </w:r>
      <w:r>
        <w:rPr>
          <w:spacing w:val="-4"/>
        </w:rPr>
        <w:t>system</w:t>
      </w:r>
      <w:r>
        <w:rPr>
          <w:spacing w:val="-10"/>
        </w:rPr>
        <w:t> </w:t>
      </w:r>
      <w:r>
        <w:rPr>
          <w:spacing w:val="-4"/>
        </w:rPr>
        <w:t>that</w:t>
      </w:r>
      <w:r>
        <w:rPr>
          <w:spacing w:val="-10"/>
        </w:rPr>
        <w:t> </w:t>
      </w:r>
      <w:r>
        <w:rPr>
          <w:spacing w:val="-4"/>
        </w:rPr>
        <w:t>can</w:t>
      </w:r>
      <w:r>
        <w:rPr>
          <w:spacing w:val="-10"/>
        </w:rPr>
        <w:t> </w:t>
      </w:r>
      <w:r>
        <w:rPr>
          <w:spacing w:val="-4"/>
        </w:rPr>
        <w:t>tap</w:t>
      </w:r>
      <w:r>
        <w:rPr>
          <w:spacing w:val="-9"/>
        </w:rPr>
        <w:t> </w:t>
      </w:r>
      <w:r>
        <w:rPr>
          <w:spacing w:val="-4"/>
        </w:rPr>
        <w:t>and develop</w:t>
      </w:r>
      <w:r>
        <w:rPr>
          <w:spacing w:val="-4"/>
        </w:rPr>
        <w:t> locally</w:t>
      </w:r>
      <w:r>
        <w:rPr>
          <w:spacing w:val="-4"/>
        </w:rPr>
        <w:t> available</w:t>
      </w:r>
      <w:r>
        <w:rPr>
          <w:spacing w:val="-4"/>
        </w:rPr>
        <w:t> knowledge</w:t>
      </w:r>
      <w:r>
        <w:rPr>
          <w:spacing w:val="-4"/>
        </w:rPr>
        <w:t> resources</w:t>
      </w:r>
      <w:r>
        <w:rPr>
          <w:spacing w:val="-4"/>
        </w:rPr>
        <w:t> through Panchayats</w:t>
      </w:r>
      <w:r>
        <w:rPr>
          <w:spacing w:val="-10"/>
        </w:rPr>
        <w:t> </w:t>
      </w:r>
      <w:r>
        <w:rPr>
          <w:spacing w:val="-4"/>
        </w:rPr>
        <w:t>is</w:t>
      </w:r>
      <w:r>
        <w:rPr>
          <w:spacing w:val="-10"/>
        </w:rPr>
        <w:t> </w:t>
      </w:r>
      <w:r>
        <w:rPr>
          <w:spacing w:val="-4"/>
        </w:rPr>
        <w:t>crucial</w:t>
      </w:r>
      <w:r>
        <w:rPr>
          <w:spacing w:val="-10"/>
        </w:rPr>
        <w:t> </w:t>
      </w:r>
      <w:r>
        <w:rPr>
          <w:spacing w:val="-4"/>
        </w:rPr>
        <w:t>for</w:t>
      </w:r>
      <w:r>
        <w:rPr>
          <w:spacing w:val="-9"/>
        </w:rPr>
        <w:t> </w:t>
      </w:r>
      <w:r>
        <w:rPr>
          <w:spacing w:val="-4"/>
        </w:rPr>
        <w:t>the</w:t>
      </w:r>
      <w:r>
        <w:rPr>
          <w:spacing w:val="-10"/>
        </w:rPr>
        <w:t> </w:t>
      </w:r>
      <w:r>
        <w:rPr>
          <w:spacing w:val="-4"/>
        </w:rPr>
        <w:t>efficient</w:t>
      </w:r>
      <w:r>
        <w:rPr>
          <w:spacing w:val="-10"/>
        </w:rPr>
        <w:t> </w:t>
      </w:r>
      <w:r>
        <w:rPr>
          <w:spacing w:val="-4"/>
        </w:rPr>
        <w:t>implementation</w:t>
      </w:r>
      <w:r>
        <w:rPr>
          <w:spacing w:val="-10"/>
        </w:rPr>
        <w:t> </w:t>
      </w:r>
      <w:r>
        <w:rPr>
          <w:spacing w:val="-4"/>
        </w:rPr>
        <w:t>of </w:t>
      </w:r>
      <w:r>
        <w:rPr>
          <w:spacing w:val="-6"/>
        </w:rPr>
        <w:t>initiatives such as NREGA. Such a system also provides creative</w:t>
      </w:r>
      <w:r>
        <w:rPr>
          <w:spacing w:val="-8"/>
        </w:rPr>
        <w:t> </w:t>
      </w:r>
      <w:r>
        <w:rPr>
          <w:spacing w:val="-6"/>
        </w:rPr>
        <w:t>outlets</w:t>
      </w:r>
      <w:r>
        <w:rPr>
          <w:spacing w:val="-8"/>
        </w:rPr>
        <w:t> </w:t>
      </w:r>
      <w:r>
        <w:rPr>
          <w:spacing w:val="-6"/>
        </w:rPr>
        <w:t>for</w:t>
      </w:r>
      <w:r>
        <w:rPr>
          <w:spacing w:val="-8"/>
        </w:rPr>
        <w:t> </w:t>
      </w:r>
      <w:r>
        <w:rPr>
          <w:spacing w:val="-6"/>
        </w:rPr>
        <w:t>harnessing</w:t>
      </w:r>
      <w:r>
        <w:rPr>
          <w:spacing w:val="-7"/>
        </w:rPr>
        <w:t> </w:t>
      </w:r>
      <w:r>
        <w:rPr>
          <w:spacing w:val="-6"/>
        </w:rPr>
        <w:t>local</w:t>
      </w:r>
      <w:r>
        <w:rPr>
          <w:spacing w:val="-8"/>
        </w:rPr>
        <w:t> </w:t>
      </w:r>
      <w:r>
        <w:rPr>
          <w:spacing w:val="-6"/>
        </w:rPr>
        <w:t>knowledge</w:t>
      </w:r>
      <w:r>
        <w:rPr>
          <w:spacing w:val="-8"/>
        </w:rPr>
        <w:t> </w:t>
      </w:r>
      <w:r>
        <w:rPr>
          <w:spacing w:val="-6"/>
        </w:rPr>
        <w:t>to</w:t>
      </w:r>
      <w:r>
        <w:rPr>
          <w:spacing w:val="-8"/>
        </w:rPr>
        <w:t> </w:t>
      </w:r>
      <w:r>
        <w:rPr>
          <w:spacing w:val="-6"/>
        </w:rPr>
        <w:t>meet</w:t>
      </w:r>
      <w:r>
        <w:rPr>
          <w:spacing w:val="-7"/>
        </w:rPr>
        <w:t> </w:t>
      </w:r>
      <w:r>
        <w:rPr>
          <w:spacing w:val="-6"/>
        </w:rPr>
        <w:t>a </w:t>
      </w:r>
      <w:r>
        <w:rPr>
          <w:spacing w:val="-8"/>
        </w:rPr>
        <w:t>variety</w:t>
      </w:r>
      <w:r>
        <w:rPr>
          <w:spacing w:val="-6"/>
        </w:rPr>
        <w:t> </w:t>
      </w:r>
      <w:r>
        <w:rPr>
          <w:spacing w:val="-8"/>
        </w:rPr>
        <w:t>of</w:t>
      </w:r>
      <w:r>
        <w:rPr>
          <w:spacing w:val="-6"/>
        </w:rPr>
        <w:t> </w:t>
      </w:r>
      <w:r>
        <w:rPr>
          <w:spacing w:val="-8"/>
        </w:rPr>
        <w:t>needs</w:t>
      </w:r>
      <w:r>
        <w:rPr>
          <w:spacing w:val="-6"/>
        </w:rPr>
        <w:t> </w:t>
      </w:r>
      <w:r>
        <w:rPr>
          <w:spacing w:val="-8"/>
        </w:rPr>
        <w:t>in</w:t>
      </w:r>
      <w:r>
        <w:rPr>
          <w:spacing w:val="-5"/>
        </w:rPr>
        <w:t> </w:t>
      </w:r>
      <w:r>
        <w:rPr>
          <w:spacing w:val="-8"/>
        </w:rPr>
        <w:t>diverse</w:t>
      </w:r>
      <w:r>
        <w:rPr>
          <w:spacing w:val="-6"/>
        </w:rPr>
        <w:t> </w:t>
      </w:r>
      <w:r>
        <w:rPr>
          <w:spacing w:val="-8"/>
        </w:rPr>
        <w:t>areas</w:t>
      </w:r>
      <w:r>
        <w:rPr>
          <w:spacing w:val="-6"/>
        </w:rPr>
        <w:t> </w:t>
      </w:r>
      <w:r>
        <w:rPr>
          <w:spacing w:val="-8"/>
        </w:rPr>
        <w:t>such</w:t>
      </w:r>
      <w:r>
        <w:rPr>
          <w:spacing w:val="-6"/>
        </w:rPr>
        <w:t> </w:t>
      </w:r>
      <w:r>
        <w:rPr>
          <w:spacing w:val="-8"/>
        </w:rPr>
        <w:t>as</w:t>
      </w:r>
      <w:r>
        <w:rPr>
          <w:spacing w:val="-5"/>
        </w:rPr>
        <w:t> </w:t>
      </w:r>
      <w:r>
        <w:rPr>
          <w:spacing w:val="-8"/>
        </w:rPr>
        <w:t>health,</w:t>
      </w:r>
      <w:r>
        <w:rPr>
          <w:spacing w:val="-6"/>
        </w:rPr>
        <w:t> </w:t>
      </w:r>
      <w:r>
        <w:rPr>
          <w:spacing w:val="-8"/>
        </w:rPr>
        <w:t>education, </w:t>
      </w:r>
      <w:r>
        <w:rPr/>
        <w:t>agriculture,</w:t>
      </w:r>
      <w:r>
        <w:rPr>
          <w:spacing w:val="-5"/>
        </w:rPr>
        <w:t> </w:t>
      </w:r>
      <w:r>
        <w:rPr/>
        <w:t>forestry,</w:t>
      </w:r>
      <w:r>
        <w:rPr>
          <w:spacing w:val="-5"/>
        </w:rPr>
        <w:t> </w:t>
      </w:r>
      <w:r>
        <w:rPr/>
        <w:t>water</w:t>
      </w:r>
      <w:r>
        <w:rPr>
          <w:spacing w:val="-5"/>
        </w:rPr>
        <w:t> </w:t>
      </w:r>
      <w:r>
        <w:rPr/>
        <w:t>etc.</w:t>
      </w:r>
      <w:r>
        <w:rPr>
          <w:spacing w:val="-5"/>
        </w:rPr>
        <w:t> </w:t>
      </w:r>
      <w:r>
        <w:rPr/>
        <w:t>On</w:t>
      </w:r>
      <w:r>
        <w:rPr>
          <w:spacing w:val="-5"/>
        </w:rPr>
        <w:t> </w:t>
      </w:r>
      <w:r>
        <w:rPr/>
        <w:t>a</w:t>
      </w:r>
      <w:r>
        <w:rPr>
          <w:spacing w:val="-5"/>
        </w:rPr>
        <w:t> </w:t>
      </w:r>
      <w:r>
        <w:rPr/>
        <w:t>short</w:t>
      </w:r>
      <w:r>
        <w:rPr>
          <w:spacing w:val="-5"/>
        </w:rPr>
        <w:t> </w:t>
      </w:r>
      <w:r>
        <w:rPr/>
        <w:t>term</w:t>
      </w:r>
      <w:r>
        <w:rPr>
          <w:spacing w:val="-5"/>
        </w:rPr>
        <w:t> </w:t>
      </w:r>
      <w:r>
        <w:rPr/>
        <w:t>basis, </w:t>
      </w:r>
      <w:r>
        <w:rPr>
          <w:spacing w:val="-2"/>
        </w:rPr>
        <w:t>NKC,</w:t>
      </w:r>
      <w:r>
        <w:rPr>
          <w:spacing w:val="-12"/>
        </w:rPr>
        <w:t> </w:t>
      </w:r>
      <w:r>
        <w:rPr>
          <w:spacing w:val="-2"/>
        </w:rPr>
        <w:t>along</w:t>
      </w:r>
      <w:r>
        <w:rPr>
          <w:spacing w:val="-12"/>
        </w:rPr>
        <w:t> </w:t>
      </w:r>
      <w:r>
        <w:rPr>
          <w:spacing w:val="-2"/>
        </w:rPr>
        <w:t>with</w:t>
      </w:r>
      <w:r>
        <w:rPr>
          <w:spacing w:val="-12"/>
        </w:rPr>
        <w:t> </w:t>
      </w:r>
      <w:r>
        <w:rPr>
          <w:spacing w:val="-2"/>
        </w:rPr>
        <w:t>the</w:t>
      </w:r>
      <w:r>
        <w:rPr>
          <w:spacing w:val="-11"/>
        </w:rPr>
        <w:t> </w:t>
      </w:r>
      <w:r>
        <w:rPr>
          <w:spacing w:val="-2"/>
        </w:rPr>
        <w:t>Mazdoor</w:t>
      </w:r>
      <w:r>
        <w:rPr>
          <w:spacing w:val="-12"/>
        </w:rPr>
        <w:t> </w:t>
      </w:r>
      <w:r>
        <w:rPr>
          <w:spacing w:val="-2"/>
        </w:rPr>
        <w:t>Kisan</w:t>
      </w:r>
      <w:r>
        <w:rPr>
          <w:spacing w:val="-12"/>
        </w:rPr>
        <w:t> </w:t>
      </w:r>
      <w:r>
        <w:rPr>
          <w:spacing w:val="-2"/>
        </w:rPr>
        <w:t>Shakti</w:t>
      </w:r>
      <w:r>
        <w:rPr>
          <w:spacing w:val="-12"/>
        </w:rPr>
        <w:t> </w:t>
      </w:r>
      <w:r>
        <w:rPr>
          <w:spacing w:val="-2"/>
        </w:rPr>
        <w:t>Sangathan </w:t>
      </w:r>
      <w:r>
        <w:rPr/>
        <w:t>(MKSS) and the School for Democracy, Rajasthan, </w:t>
      </w:r>
      <w:r>
        <w:rPr>
          <w:spacing w:val="-4"/>
        </w:rPr>
        <w:t>helped</w:t>
      </w:r>
      <w:r>
        <w:rPr>
          <w:spacing w:val="-6"/>
        </w:rPr>
        <w:t> </w:t>
      </w:r>
      <w:r>
        <w:rPr>
          <w:spacing w:val="-4"/>
        </w:rPr>
        <w:t>set</w:t>
      </w:r>
      <w:r>
        <w:rPr>
          <w:spacing w:val="-6"/>
        </w:rPr>
        <w:t> </w:t>
      </w:r>
      <w:r>
        <w:rPr>
          <w:spacing w:val="-4"/>
        </w:rPr>
        <w:t>up</w:t>
      </w:r>
      <w:r>
        <w:rPr>
          <w:spacing w:val="-6"/>
        </w:rPr>
        <w:t> </w:t>
      </w:r>
      <w:r>
        <w:rPr>
          <w:spacing w:val="-4"/>
        </w:rPr>
        <w:t>a</w:t>
      </w:r>
      <w:r>
        <w:rPr>
          <w:spacing w:val="-6"/>
        </w:rPr>
        <w:t> </w:t>
      </w:r>
      <w:r>
        <w:rPr>
          <w:spacing w:val="-4"/>
        </w:rPr>
        <w:t>PGK</w:t>
      </w:r>
      <w:r>
        <w:rPr>
          <w:spacing w:val="-6"/>
        </w:rPr>
        <w:t> </w:t>
      </w:r>
      <w:r>
        <w:rPr>
          <w:spacing w:val="-4"/>
        </w:rPr>
        <w:t>in</w:t>
      </w:r>
      <w:r>
        <w:rPr>
          <w:spacing w:val="-6"/>
        </w:rPr>
        <w:t> </w:t>
      </w:r>
      <w:r>
        <w:rPr>
          <w:spacing w:val="-4"/>
        </w:rPr>
        <w:t>Rajsamand</w:t>
      </w:r>
      <w:r>
        <w:rPr>
          <w:spacing w:val="-6"/>
        </w:rPr>
        <w:t> </w:t>
      </w:r>
      <w:r>
        <w:rPr>
          <w:spacing w:val="-4"/>
        </w:rPr>
        <w:t>district</w:t>
      </w:r>
      <w:r>
        <w:rPr>
          <w:spacing w:val="-6"/>
        </w:rPr>
        <w:t> </w:t>
      </w:r>
      <w:r>
        <w:rPr>
          <w:spacing w:val="-4"/>
        </w:rPr>
        <w:t>in</w:t>
      </w:r>
      <w:r>
        <w:rPr>
          <w:spacing w:val="-6"/>
        </w:rPr>
        <w:t> </w:t>
      </w:r>
      <w:r>
        <w:rPr>
          <w:spacing w:val="-4"/>
        </w:rPr>
        <w:t>Rajasthan </w:t>
      </w:r>
      <w:r>
        <w:rPr>
          <w:spacing w:val="-8"/>
        </w:rPr>
        <w:t>to</w:t>
      </w:r>
      <w:r>
        <w:rPr>
          <w:spacing w:val="-5"/>
        </w:rPr>
        <w:t> </w:t>
      </w:r>
      <w:r>
        <w:rPr>
          <w:spacing w:val="-8"/>
        </w:rPr>
        <w:t>efficiently</w:t>
      </w:r>
      <w:r>
        <w:rPr>
          <w:spacing w:val="-5"/>
        </w:rPr>
        <w:t> </w:t>
      </w:r>
      <w:r>
        <w:rPr>
          <w:spacing w:val="-8"/>
        </w:rPr>
        <w:t>implement</w:t>
      </w:r>
      <w:r>
        <w:rPr>
          <w:spacing w:val="-5"/>
        </w:rPr>
        <w:t> </w:t>
      </w:r>
      <w:r>
        <w:rPr>
          <w:spacing w:val="-8"/>
        </w:rPr>
        <w:t>the</w:t>
      </w:r>
      <w:r>
        <w:rPr>
          <w:spacing w:val="-5"/>
        </w:rPr>
        <w:t> </w:t>
      </w:r>
      <w:r>
        <w:rPr>
          <w:spacing w:val="-8"/>
        </w:rPr>
        <w:t>NREGA</w:t>
      </w:r>
      <w:r>
        <w:rPr>
          <w:spacing w:val="-5"/>
        </w:rPr>
        <w:t> </w:t>
      </w:r>
      <w:r>
        <w:rPr>
          <w:spacing w:val="-8"/>
        </w:rPr>
        <w:t>and</w:t>
      </w:r>
      <w:r>
        <w:rPr>
          <w:spacing w:val="-5"/>
        </w:rPr>
        <w:t> </w:t>
      </w:r>
      <w:r>
        <w:rPr>
          <w:spacing w:val="-8"/>
        </w:rPr>
        <w:t>use</w:t>
      </w:r>
      <w:r>
        <w:rPr>
          <w:spacing w:val="-5"/>
        </w:rPr>
        <w:t> </w:t>
      </w:r>
      <w:r>
        <w:rPr>
          <w:spacing w:val="-8"/>
        </w:rPr>
        <w:t>the</w:t>
      </w:r>
      <w:r>
        <w:rPr>
          <w:spacing w:val="-5"/>
        </w:rPr>
        <w:t> </w:t>
      </w:r>
      <w:r>
        <w:rPr>
          <w:spacing w:val="-8"/>
        </w:rPr>
        <w:t>systems </w:t>
      </w:r>
      <w:r>
        <w:rPr>
          <w:spacing w:val="-6"/>
        </w:rPr>
        <w:t>developed</w:t>
      </w:r>
      <w:r>
        <w:rPr>
          <w:spacing w:val="-8"/>
        </w:rPr>
        <w:t> </w:t>
      </w:r>
      <w:r>
        <w:rPr>
          <w:spacing w:val="-6"/>
        </w:rPr>
        <w:t>to</w:t>
      </w:r>
      <w:r>
        <w:rPr>
          <w:spacing w:val="-8"/>
        </w:rPr>
        <w:t> </w:t>
      </w:r>
      <w:r>
        <w:rPr>
          <w:spacing w:val="-6"/>
        </w:rPr>
        <w:t>create</w:t>
      </w:r>
      <w:r>
        <w:rPr>
          <w:spacing w:val="-8"/>
        </w:rPr>
        <w:t> </w:t>
      </w:r>
      <w:r>
        <w:rPr>
          <w:spacing w:val="-6"/>
        </w:rPr>
        <w:t>a</w:t>
      </w:r>
      <w:r>
        <w:rPr>
          <w:spacing w:val="-7"/>
        </w:rPr>
        <w:t> </w:t>
      </w:r>
      <w:r>
        <w:rPr>
          <w:spacing w:val="-6"/>
        </w:rPr>
        <w:t>more</w:t>
      </w:r>
      <w:r>
        <w:rPr>
          <w:spacing w:val="-8"/>
        </w:rPr>
        <w:t> </w:t>
      </w:r>
      <w:r>
        <w:rPr>
          <w:spacing w:val="-6"/>
        </w:rPr>
        <w:t>participatory,</w:t>
      </w:r>
      <w:r>
        <w:rPr>
          <w:spacing w:val="-8"/>
        </w:rPr>
        <w:t> </w:t>
      </w:r>
      <w:r>
        <w:rPr>
          <w:spacing w:val="-6"/>
        </w:rPr>
        <w:t>transparent</w:t>
      </w:r>
      <w:r>
        <w:rPr>
          <w:spacing w:val="-8"/>
        </w:rPr>
        <w:t> </w:t>
      </w:r>
      <w:r>
        <w:rPr>
          <w:spacing w:val="-6"/>
        </w:rPr>
        <w:t>and </w:t>
      </w:r>
      <w:r>
        <w:rPr>
          <w:spacing w:val="-8"/>
        </w:rPr>
        <w:t>accountable</w:t>
      </w:r>
      <w:r>
        <w:rPr>
          <w:spacing w:val="-6"/>
        </w:rPr>
        <w:t> </w:t>
      </w:r>
      <w:r>
        <w:rPr>
          <w:spacing w:val="-8"/>
        </w:rPr>
        <w:t>Gram</w:t>
      </w:r>
      <w:r>
        <w:rPr>
          <w:spacing w:val="-6"/>
        </w:rPr>
        <w:t> </w:t>
      </w:r>
      <w:r>
        <w:rPr>
          <w:spacing w:val="-8"/>
        </w:rPr>
        <w:t>Panchayat.</w:t>
      </w:r>
      <w:r>
        <w:rPr>
          <w:spacing w:val="-6"/>
        </w:rPr>
        <w:t> </w:t>
      </w:r>
      <w:r>
        <w:rPr>
          <w:spacing w:val="-8"/>
        </w:rPr>
        <w:t>We</w:t>
      </w:r>
      <w:r>
        <w:rPr>
          <w:spacing w:val="-5"/>
        </w:rPr>
        <w:t> </w:t>
      </w:r>
      <w:r>
        <w:rPr>
          <w:spacing w:val="-8"/>
        </w:rPr>
        <w:t>believe</w:t>
      </w:r>
      <w:r>
        <w:rPr>
          <w:spacing w:val="-6"/>
        </w:rPr>
        <w:t> </w:t>
      </w:r>
      <w:r>
        <w:rPr>
          <w:spacing w:val="-8"/>
        </w:rPr>
        <w:t>that</w:t>
      </w:r>
      <w:r>
        <w:rPr>
          <w:spacing w:val="-6"/>
        </w:rPr>
        <w:t> </w:t>
      </w:r>
      <w:r>
        <w:rPr>
          <w:spacing w:val="-8"/>
        </w:rPr>
        <w:t>eventually, </w:t>
      </w:r>
      <w:r>
        <w:rPr>
          <w:spacing w:val="-6"/>
        </w:rPr>
        <w:t>if</w:t>
      </w:r>
      <w:r>
        <w:rPr>
          <w:spacing w:val="-7"/>
        </w:rPr>
        <w:t> </w:t>
      </w:r>
      <w:r>
        <w:rPr>
          <w:spacing w:val="-6"/>
        </w:rPr>
        <w:t>a</w:t>
      </w:r>
      <w:r>
        <w:rPr>
          <w:spacing w:val="-7"/>
        </w:rPr>
        <w:t> </w:t>
      </w:r>
      <w:r>
        <w:rPr>
          <w:spacing w:val="-6"/>
        </w:rPr>
        <w:t>network</w:t>
      </w:r>
      <w:r>
        <w:rPr>
          <w:spacing w:val="-7"/>
        </w:rPr>
        <w:t> </w:t>
      </w:r>
      <w:r>
        <w:rPr>
          <w:spacing w:val="-6"/>
        </w:rPr>
        <w:t>of</w:t>
      </w:r>
      <w:r>
        <w:rPr>
          <w:spacing w:val="-7"/>
        </w:rPr>
        <w:t> </w:t>
      </w:r>
      <w:r>
        <w:rPr>
          <w:spacing w:val="-6"/>
        </w:rPr>
        <w:t>such</w:t>
      </w:r>
      <w:r>
        <w:rPr>
          <w:spacing w:val="-7"/>
        </w:rPr>
        <w:t> </w:t>
      </w:r>
      <w:r>
        <w:rPr>
          <w:spacing w:val="-6"/>
        </w:rPr>
        <w:t>PGKs</w:t>
      </w:r>
      <w:r>
        <w:rPr>
          <w:spacing w:val="-7"/>
        </w:rPr>
        <w:t> </w:t>
      </w:r>
      <w:r>
        <w:rPr>
          <w:spacing w:val="-6"/>
        </w:rPr>
        <w:t>is</w:t>
      </w:r>
      <w:r>
        <w:rPr>
          <w:spacing w:val="-7"/>
        </w:rPr>
        <w:t> </w:t>
      </w:r>
      <w:r>
        <w:rPr>
          <w:spacing w:val="-6"/>
        </w:rPr>
        <w:t>set</w:t>
      </w:r>
      <w:r>
        <w:rPr>
          <w:spacing w:val="-7"/>
        </w:rPr>
        <w:t> </w:t>
      </w:r>
      <w:r>
        <w:rPr>
          <w:spacing w:val="-6"/>
        </w:rPr>
        <w:t>up</w:t>
      </w:r>
      <w:r>
        <w:rPr>
          <w:spacing w:val="-7"/>
        </w:rPr>
        <w:t> </w:t>
      </w:r>
      <w:r>
        <w:rPr>
          <w:spacing w:val="-6"/>
        </w:rPr>
        <w:t>across</w:t>
      </w:r>
      <w:r>
        <w:rPr>
          <w:spacing w:val="-7"/>
        </w:rPr>
        <w:t> </w:t>
      </w:r>
      <w:r>
        <w:rPr>
          <w:spacing w:val="-6"/>
        </w:rPr>
        <w:t>the</w:t>
      </w:r>
      <w:r>
        <w:rPr>
          <w:spacing w:val="-7"/>
        </w:rPr>
        <w:t> </w:t>
      </w:r>
      <w:r>
        <w:rPr>
          <w:spacing w:val="-6"/>
        </w:rPr>
        <w:t>country,</w:t>
      </w:r>
      <w:r>
        <w:rPr>
          <w:spacing w:val="-7"/>
        </w:rPr>
        <w:t> </w:t>
      </w:r>
      <w:r>
        <w:rPr>
          <w:spacing w:val="-6"/>
        </w:rPr>
        <w:t>it </w:t>
      </w:r>
      <w:r>
        <w:rPr>
          <w:spacing w:val="-4"/>
        </w:rPr>
        <w:t>will help identify, harness and replicate the tremendous </w:t>
      </w:r>
      <w:r>
        <w:rPr/>
        <w:t>human resource and knowledge pool that exists, to </w:t>
      </w:r>
      <w:r>
        <w:rPr>
          <w:spacing w:val="-2"/>
        </w:rPr>
        <w:t>improve</w:t>
      </w:r>
      <w:r>
        <w:rPr>
          <w:spacing w:val="-12"/>
        </w:rPr>
        <w:t> </w:t>
      </w:r>
      <w:r>
        <w:rPr>
          <w:spacing w:val="-2"/>
        </w:rPr>
        <w:t>the</w:t>
      </w:r>
      <w:r>
        <w:rPr>
          <w:spacing w:val="-12"/>
        </w:rPr>
        <w:t> </w:t>
      </w:r>
      <w:r>
        <w:rPr>
          <w:spacing w:val="-2"/>
        </w:rPr>
        <w:t>quality</w:t>
      </w:r>
      <w:r>
        <w:rPr>
          <w:spacing w:val="-12"/>
        </w:rPr>
        <w:t> </w:t>
      </w:r>
      <w:r>
        <w:rPr>
          <w:spacing w:val="-2"/>
        </w:rPr>
        <w:t>of</w:t>
      </w:r>
      <w:r>
        <w:rPr>
          <w:spacing w:val="-11"/>
        </w:rPr>
        <w:t> </w:t>
      </w:r>
      <w:r>
        <w:rPr>
          <w:spacing w:val="-2"/>
        </w:rPr>
        <w:t>life</w:t>
      </w:r>
      <w:r>
        <w:rPr>
          <w:spacing w:val="-12"/>
        </w:rPr>
        <w:t> </w:t>
      </w:r>
      <w:r>
        <w:rPr>
          <w:spacing w:val="-2"/>
        </w:rPr>
        <w:t>of</w:t>
      </w:r>
      <w:r>
        <w:rPr>
          <w:spacing w:val="-12"/>
        </w:rPr>
        <w:t> </w:t>
      </w:r>
      <w:r>
        <w:rPr>
          <w:spacing w:val="-2"/>
        </w:rPr>
        <w:t>India’s</w:t>
      </w:r>
      <w:r>
        <w:rPr>
          <w:spacing w:val="-12"/>
        </w:rPr>
        <w:t> </w:t>
      </w:r>
      <w:r>
        <w:rPr>
          <w:spacing w:val="-2"/>
        </w:rPr>
        <w:t>people.</w:t>
      </w:r>
    </w:p>
    <w:p>
      <w:pPr>
        <w:pStyle w:val="Heading6"/>
        <w:spacing w:line="208" w:lineRule="auto" w:before="250"/>
        <w:ind w:left="1079" w:firstLine="0"/>
      </w:pPr>
      <w:r>
        <w:rPr>
          <w:color w:val="2E614A"/>
          <w:w w:val="90"/>
        </w:rPr>
        <w:t>Panchayat</w:t>
      </w:r>
      <w:r>
        <w:rPr>
          <w:color w:val="2E614A"/>
          <w:spacing w:val="-7"/>
          <w:w w:val="90"/>
        </w:rPr>
        <w:t> </w:t>
      </w:r>
      <w:r>
        <w:rPr>
          <w:color w:val="2E614A"/>
          <w:w w:val="90"/>
        </w:rPr>
        <w:t>Gyan</w:t>
      </w:r>
      <w:r>
        <w:rPr>
          <w:color w:val="2E614A"/>
          <w:spacing w:val="-7"/>
          <w:w w:val="90"/>
        </w:rPr>
        <w:t> </w:t>
      </w:r>
      <w:r>
        <w:rPr>
          <w:color w:val="2E614A"/>
          <w:w w:val="90"/>
        </w:rPr>
        <w:t>Kendra</w:t>
      </w:r>
      <w:r>
        <w:rPr>
          <w:color w:val="2E614A"/>
          <w:spacing w:val="-7"/>
          <w:w w:val="90"/>
        </w:rPr>
        <w:t> </w:t>
      </w:r>
      <w:r>
        <w:rPr>
          <w:color w:val="2E614A"/>
          <w:w w:val="90"/>
        </w:rPr>
        <w:t>in</w:t>
      </w:r>
      <w:r>
        <w:rPr>
          <w:color w:val="2E614A"/>
          <w:spacing w:val="-7"/>
          <w:w w:val="90"/>
        </w:rPr>
        <w:t> </w:t>
      </w:r>
      <w:r>
        <w:rPr>
          <w:color w:val="2E614A"/>
          <w:w w:val="90"/>
        </w:rPr>
        <w:t>Every </w:t>
      </w:r>
      <w:r>
        <w:rPr>
          <w:color w:val="2E614A"/>
          <w:spacing w:val="-2"/>
        </w:rPr>
        <w:t>Block</w:t>
      </w:r>
    </w:p>
    <w:p>
      <w:pPr>
        <w:pStyle w:val="BodyText"/>
        <w:spacing w:line="266" w:lineRule="auto" w:before="294"/>
        <w:ind w:left="1079"/>
        <w:jc w:val="both"/>
      </w:pPr>
      <w:r>
        <w:rPr/>
        <w:t>We recommend that every block in the </w:t>
      </w:r>
      <w:r>
        <w:rPr/>
        <w:t>country should have at least one PGK.</w:t>
      </w:r>
      <w:r>
        <w:rPr>
          <w:spacing w:val="-5"/>
        </w:rPr>
        <w:t> </w:t>
      </w:r>
      <w:r>
        <w:rPr/>
        <w:t>The PGK can become </w:t>
      </w:r>
      <w:r>
        <w:rPr>
          <w:spacing w:val="-2"/>
        </w:rPr>
        <w:t>a</w:t>
      </w:r>
      <w:r>
        <w:rPr>
          <w:spacing w:val="-6"/>
        </w:rPr>
        <w:t> </w:t>
      </w:r>
      <w:r>
        <w:rPr>
          <w:spacing w:val="-2"/>
        </w:rPr>
        <w:t>resource</w:t>
      </w:r>
      <w:r>
        <w:rPr>
          <w:spacing w:val="-6"/>
        </w:rPr>
        <w:t> </w:t>
      </w:r>
      <w:r>
        <w:rPr>
          <w:spacing w:val="-2"/>
        </w:rPr>
        <w:t>centre</w:t>
      </w:r>
      <w:r>
        <w:rPr>
          <w:spacing w:val="-6"/>
        </w:rPr>
        <w:t> </w:t>
      </w:r>
      <w:r>
        <w:rPr>
          <w:spacing w:val="-2"/>
        </w:rPr>
        <w:t>to</w:t>
      </w:r>
      <w:r>
        <w:rPr>
          <w:spacing w:val="-6"/>
        </w:rPr>
        <w:t> </w:t>
      </w:r>
      <w:r>
        <w:rPr>
          <w:spacing w:val="-2"/>
        </w:rPr>
        <w:t>demonstrate</w:t>
      </w:r>
      <w:r>
        <w:rPr>
          <w:spacing w:val="-6"/>
        </w:rPr>
        <w:t> </w:t>
      </w:r>
      <w:r>
        <w:rPr>
          <w:spacing w:val="-2"/>
        </w:rPr>
        <w:t>best</w:t>
      </w:r>
      <w:r>
        <w:rPr>
          <w:spacing w:val="-6"/>
        </w:rPr>
        <w:t> </w:t>
      </w:r>
      <w:r>
        <w:rPr>
          <w:spacing w:val="-2"/>
        </w:rPr>
        <w:t>practices,</w:t>
      </w:r>
      <w:r>
        <w:rPr>
          <w:spacing w:val="-6"/>
        </w:rPr>
        <w:t> </w:t>
      </w:r>
      <w:r>
        <w:rPr>
          <w:spacing w:val="-2"/>
        </w:rPr>
        <w:t>evolve </w:t>
      </w:r>
      <w:r>
        <w:rPr/>
        <w:t>local solutions and serve as a training institution. It can</w:t>
      </w:r>
      <w:r>
        <w:rPr>
          <w:spacing w:val="-11"/>
        </w:rPr>
        <w:t> </w:t>
      </w:r>
      <w:r>
        <w:rPr/>
        <w:t>also</w:t>
      </w:r>
      <w:r>
        <w:rPr>
          <w:spacing w:val="-11"/>
        </w:rPr>
        <w:t> </w:t>
      </w:r>
      <w:r>
        <w:rPr/>
        <w:t>offer</w:t>
      </w:r>
      <w:r>
        <w:rPr>
          <w:spacing w:val="-11"/>
        </w:rPr>
        <w:t> </w:t>
      </w:r>
      <w:r>
        <w:rPr/>
        <w:t>an</w:t>
      </w:r>
      <w:r>
        <w:rPr>
          <w:spacing w:val="-11"/>
        </w:rPr>
        <w:t> </w:t>
      </w:r>
      <w:r>
        <w:rPr/>
        <w:t>opportunity</w:t>
      </w:r>
      <w:r>
        <w:rPr>
          <w:spacing w:val="-11"/>
        </w:rPr>
        <w:t> </w:t>
      </w:r>
      <w:r>
        <w:rPr/>
        <w:t>to</w:t>
      </w:r>
      <w:r>
        <w:rPr>
          <w:spacing w:val="-11"/>
        </w:rPr>
        <w:t> </w:t>
      </w:r>
      <w:r>
        <w:rPr/>
        <w:t>bring</w:t>
      </w:r>
      <w:r>
        <w:rPr>
          <w:spacing w:val="-11"/>
        </w:rPr>
        <w:t> </w:t>
      </w:r>
      <w:r>
        <w:rPr/>
        <w:t>together</w:t>
      </w:r>
      <w:r>
        <w:rPr>
          <w:spacing w:val="-11"/>
        </w:rPr>
        <w:t> </w:t>
      </w:r>
      <w:r>
        <w:rPr/>
        <w:t>elected </w:t>
      </w:r>
      <w:r>
        <w:rPr>
          <w:spacing w:val="-2"/>
        </w:rPr>
        <w:t>representatives</w:t>
      </w:r>
      <w:r>
        <w:rPr>
          <w:spacing w:val="49"/>
        </w:rPr>
        <w:t> </w:t>
      </w:r>
      <w:r>
        <w:rPr>
          <w:spacing w:val="-2"/>
        </w:rPr>
        <w:t>(including</w:t>
      </w:r>
      <w:r>
        <w:rPr>
          <w:spacing w:val="50"/>
        </w:rPr>
        <w:t> </w:t>
      </w:r>
      <w:r>
        <w:rPr>
          <w:spacing w:val="-2"/>
        </w:rPr>
        <w:t>Panchayat</w:t>
      </w:r>
      <w:r>
        <w:rPr>
          <w:spacing w:val="49"/>
        </w:rPr>
        <w:t> </w:t>
      </w:r>
      <w:r>
        <w:rPr>
          <w:spacing w:val="-7"/>
        </w:rPr>
        <w:t>representatives)</w:t>
      </w:r>
    </w:p>
    <w:p>
      <w:pPr>
        <w:pStyle w:val="BodyText"/>
        <w:spacing w:line="266" w:lineRule="auto" w:before="82"/>
        <w:ind w:left="319" w:right="1077"/>
        <w:jc w:val="both"/>
      </w:pPr>
      <w:r>
        <w:rPr/>
        <w:br w:type="column"/>
      </w:r>
      <w:r>
        <w:rPr>
          <w:spacing w:val="-2"/>
        </w:rPr>
        <w:t>policy</w:t>
      </w:r>
      <w:r>
        <w:rPr>
          <w:spacing w:val="-11"/>
        </w:rPr>
        <w:t> </w:t>
      </w:r>
      <w:r>
        <w:rPr>
          <w:spacing w:val="-2"/>
        </w:rPr>
        <w:t>makers</w:t>
      </w:r>
      <w:r>
        <w:rPr>
          <w:spacing w:val="-11"/>
        </w:rPr>
        <w:t> </w:t>
      </w:r>
      <w:r>
        <w:rPr>
          <w:spacing w:val="-2"/>
        </w:rPr>
        <w:t>and</w:t>
      </w:r>
      <w:r>
        <w:rPr>
          <w:spacing w:val="-11"/>
        </w:rPr>
        <w:t> </w:t>
      </w:r>
      <w:r>
        <w:rPr>
          <w:spacing w:val="-2"/>
        </w:rPr>
        <w:t>civil</w:t>
      </w:r>
      <w:r>
        <w:rPr>
          <w:spacing w:val="-11"/>
        </w:rPr>
        <w:t> </w:t>
      </w:r>
      <w:r>
        <w:rPr>
          <w:spacing w:val="-2"/>
        </w:rPr>
        <w:t>society</w:t>
      </w:r>
      <w:r>
        <w:rPr>
          <w:spacing w:val="-11"/>
        </w:rPr>
        <w:t> </w:t>
      </w:r>
      <w:r>
        <w:rPr>
          <w:spacing w:val="-2"/>
        </w:rPr>
        <w:t>in</w:t>
      </w:r>
      <w:r>
        <w:rPr>
          <w:spacing w:val="-11"/>
        </w:rPr>
        <w:t> </w:t>
      </w:r>
      <w:r>
        <w:rPr>
          <w:spacing w:val="-2"/>
        </w:rPr>
        <w:t>a</w:t>
      </w:r>
      <w:r>
        <w:rPr>
          <w:spacing w:val="-11"/>
        </w:rPr>
        <w:t> </w:t>
      </w:r>
      <w:r>
        <w:rPr>
          <w:spacing w:val="-2"/>
        </w:rPr>
        <w:t>creative</w:t>
      </w:r>
      <w:r>
        <w:rPr>
          <w:spacing w:val="-11"/>
        </w:rPr>
        <w:t> </w:t>
      </w:r>
      <w:r>
        <w:rPr>
          <w:spacing w:val="-2"/>
        </w:rPr>
        <w:t>endeavour </w:t>
      </w:r>
      <w:r>
        <w:rPr/>
        <w:t>of</w:t>
      </w:r>
      <w:r>
        <w:rPr>
          <w:spacing w:val="-14"/>
        </w:rPr>
        <w:t> </w:t>
      </w:r>
      <w:r>
        <w:rPr/>
        <w:t>local</w:t>
      </w:r>
      <w:r>
        <w:rPr>
          <w:spacing w:val="-13"/>
        </w:rPr>
        <w:t> </w:t>
      </w:r>
      <w:r>
        <w:rPr/>
        <w:t>self</w:t>
      </w:r>
      <w:r>
        <w:rPr>
          <w:spacing w:val="-14"/>
        </w:rPr>
        <w:t> </w:t>
      </w:r>
      <w:r>
        <w:rPr/>
        <w:t>government</w:t>
      </w:r>
      <w:r>
        <w:rPr>
          <w:spacing w:val="-13"/>
        </w:rPr>
        <w:t> </w:t>
      </w:r>
      <w:r>
        <w:rPr/>
        <w:t>for</w:t>
      </w:r>
      <w:r>
        <w:rPr>
          <w:spacing w:val="-14"/>
        </w:rPr>
        <w:t> </w:t>
      </w:r>
      <w:r>
        <w:rPr/>
        <w:t>efficient</w:t>
      </w:r>
      <w:r>
        <w:rPr>
          <w:spacing w:val="-13"/>
        </w:rPr>
        <w:t> </w:t>
      </w:r>
      <w:r>
        <w:rPr/>
        <w:t>delivery</w:t>
      </w:r>
      <w:r>
        <w:rPr>
          <w:spacing w:val="-14"/>
        </w:rPr>
        <w:t> </w:t>
      </w:r>
      <w:r>
        <w:rPr/>
        <w:t>of</w:t>
      </w:r>
      <w:r>
        <w:rPr>
          <w:spacing w:val="-13"/>
        </w:rPr>
        <w:t> </w:t>
      </w:r>
      <w:r>
        <w:rPr/>
        <w:t>basic </w:t>
      </w:r>
      <w:r>
        <w:rPr>
          <w:spacing w:val="-2"/>
        </w:rPr>
        <w:t>services.</w:t>
      </w:r>
      <w:r>
        <w:rPr>
          <w:spacing w:val="-12"/>
        </w:rPr>
        <w:t> </w:t>
      </w:r>
      <w:r>
        <w:rPr>
          <w:spacing w:val="-2"/>
        </w:rPr>
        <w:t>This</w:t>
      </w:r>
      <w:r>
        <w:rPr>
          <w:spacing w:val="-12"/>
        </w:rPr>
        <w:t> </w:t>
      </w:r>
      <w:r>
        <w:rPr>
          <w:spacing w:val="-2"/>
        </w:rPr>
        <w:t>system</w:t>
      </w:r>
      <w:r>
        <w:rPr>
          <w:spacing w:val="-11"/>
        </w:rPr>
        <w:t> </w:t>
      </w:r>
      <w:r>
        <w:rPr>
          <w:spacing w:val="-2"/>
        </w:rPr>
        <w:t>of</w:t>
      </w:r>
      <w:r>
        <w:rPr>
          <w:spacing w:val="-10"/>
        </w:rPr>
        <w:t> </w:t>
      </w:r>
      <w:r>
        <w:rPr>
          <w:spacing w:val="-2"/>
        </w:rPr>
        <w:t>PGKs</w:t>
      </w:r>
      <w:r>
        <w:rPr>
          <w:spacing w:val="-10"/>
        </w:rPr>
        <w:t> </w:t>
      </w:r>
      <w:r>
        <w:rPr>
          <w:spacing w:val="-2"/>
        </w:rPr>
        <w:t>can</w:t>
      </w:r>
      <w:r>
        <w:rPr>
          <w:spacing w:val="-10"/>
        </w:rPr>
        <w:t> </w:t>
      </w:r>
      <w:r>
        <w:rPr>
          <w:spacing w:val="-2"/>
        </w:rPr>
        <w:t>be</w:t>
      </w:r>
      <w:r>
        <w:rPr>
          <w:spacing w:val="-10"/>
        </w:rPr>
        <w:t> </w:t>
      </w:r>
      <w:r>
        <w:rPr>
          <w:spacing w:val="-2"/>
        </w:rPr>
        <w:t>initiated</w:t>
      </w:r>
      <w:r>
        <w:rPr>
          <w:spacing w:val="-10"/>
        </w:rPr>
        <w:t> </w:t>
      </w:r>
      <w:r>
        <w:rPr>
          <w:spacing w:val="-2"/>
        </w:rPr>
        <w:t>through </w:t>
      </w:r>
      <w:r>
        <w:rPr>
          <w:spacing w:val="-8"/>
        </w:rPr>
        <w:t>the</w:t>
      </w:r>
      <w:r>
        <w:rPr>
          <w:spacing w:val="-2"/>
        </w:rPr>
        <w:t> </w:t>
      </w:r>
      <w:r>
        <w:rPr>
          <w:spacing w:val="-8"/>
        </w:rPr>
        <w:t>broader</w:t>
      </w:r>
      <w:r>
        <w:rPr>
          <w:spacing w:val="-2"/>
        </w:rPr>
        <w:t> </w:t>
      </w:r>
      <w:r>
        <w:rPr>
          <w:spacing w:val="-8"/>
        </w:rPr>
        <w:t>platform</w:t>
      </w:r>
      <w:r>
        <w:rPr>
          <w:spacing w:val="-2"/>
        </w:rPr>
        <w:t> </w:t>
      </w:r>
      <w:r>
        <w:rPr>
          <w:spacing w:val="-8"/>
        </w:rPr>
        <w:t>of</w:t>
      </w:r>
      <w:r>
        <w:rPr>
          <w:spacing w:val="-2"/>
        </w:rPr>
        <w:t> </w:t>
      </w:r>
      <w:r>
        <w:rPr>
          <w:spacing w:val="-8"/>
        </w:rPr>
        <w:t>a</w:t>
      </w:r>
      <w:r>
        <w:rPr>
          <w:spacing w:val="-2"/>
        </w:rPr>
        <w:t> </w:t>
      </w:r>
      <w:r>
        <w:rPr>
          <w:spacing w:val="-8"/>
        </w:rPr>
        <w:t>Panchayat</w:t>
      </w:r>
      <w:r>
        <w:rPr>
          <w:spacing w:val="-2"/>
        </w:rPr>
        <w:t> </w:t>
      </w:r>
      <w:r>
        <w:rPr>
          <w:spacing w:val="-8"/>
        </w:rPr>
        <w:t>Knowledge</w:t>
      </w:r>
      <w:r>
        <w:rPr>
          <w:spacing w:val="-2"/>
        </w:rPr>
        <w:t> </w:t>
      </w:r>
      <w:r>
        <w:rPr>
          <w:spacing w:val="-8"/>
        </w:rPr>
        <w:t>Mission, </w:t>
      </w:r>
      <w:r>
        <w:rPr>
          <w:spacing w:val="-4"/>
        </w:rPr>
        <w:t>for maximum scale, commitment and effect.</w:t>
      </w:r>
      <w:r>
        <w:rPr>
          <w:spacing w:val="-8"/>
        </w:rPr>
        <w:t> </w:t>
      </w:r>
      <w:r>
        <w:rPr>
          <w:spacing w:val="-4"/>
        </w:rPr>
        <w:t>While it is </w:t>
      </w:r>
      <w:r>
        <w:rPr/>
        <w:t>envisaged</w:t>
      </w:r>
      <w:r>
        <w:rPr>
          <w:spacing w:val="-12"/>
        </w:rPr>
        <w:t> </w:t>
      </w:r>
      <w:r>
        <w:rPr/>
        <w:t>that</w:t>
      </w:r>
      <w:r>
        <w:rPr>
          <w:spacing w:val="-12"/>
        </w:rPr>
        <w:t> </w:t>
      </w:r>
      <w:r>
        <w:rPr/>
        <w:t>the</w:t>
      </w:r>
      <w:r>
        <w:rPr>
          <w:spacing w:val="-12"/>
        </w:rPr>
        <w:t> </w:t>
      </w:r>
      <w:r>
        <w:rPr/>
        <w:t>PGK</w:t>
      </w:r>
      <w:r>
        <w:rPr>
          <w:spacing w:val="-12"/>
        </w:rPr>
        <w:t> </w:t>
      </w:r>
      <w:r>
        <w:rPr/>
        <w:t>will</w:t>
      </w:r>
      <w:r>
        <w:rPr>
          <w:spacing w:val="-12"/>
        </w:rPr>
        <w:t> </w:t>
      </w:r>
      <w:r>
        <w:rPr/>
        <w:t>eventually</w:t>
      </w:r>
      <w:r>
        <w:rPr>
          <w:spacing w:val="-12"/>
        </w:rPr>
        <w:t> </w:t>
      </w:r>
      <w:r>
        <w:rPr/>
        <w:t>develop</w:t>
      </w:r>
      <w:r>
        <w:rPr>
          <w:spacing w:val="-12"/>
        </w:rPr>
        <w:t> </w:t>
      </w:r>
      <w:r>
        <w:rPr/>
        <w:t>into</w:t>
      </w:r>
      <w:r>
        <w:rPr>
          <w:spacing w:val="-12"/>
        </w:rPr>
        <w:t> </w:t>
      </w:r>
      <w:r>
        <w:rPr/>
        <w:t>a comprehensive</w:t>
      </w:r>
      <w:r>
        <w:rPr>
          <w:spacing w:val="-12"/>
        </w:rPr>
        <w:t> </w:t>
      </w:r>
      <w:r>
        <w:rPr/>
        <w:t>resource,</w:t>
      </w:r>
      <w:r>
        <w:rPr>
          <w:spacing w:val="-12"/>
        </w:rPr>
        <w:t> </w:t>
      </w:r>
      <w:r>
        <w:rPr/>
        <w:t>it</w:t>
      </w:r>
      <w:r>
        <w:rPr>
          <w:spacing w:val="-12"/>
        </w:rPr>
        <w:t> </w:t>
      </w:r>
      <w:r>
        <w:rPr/>
        <w:t>could</w:t>
      </w:r>
      <w:r>
        <w:rPr>
          <w:spacing w:val="-12"/>
        </w:rPr>
        <w:t> </w:t>
      </w:r>
      <w:r>
        <w:rPr/>
        <w:t>initially</w:t>
      </w:r>
      <w:r>
        <w:rPr>
          <w:spacing w:val="-12"/>
        </w:rPr>
        <w:t> </w:t>
      </w:r>
      <w:r>
        <w:rPr/>
        <w:t>concentrate on areas related to the NREGA. As such, the PGK can immediately address the following issues in the NREGA</w:t>
      </w:r>
      <w:r>
        <w:rPr>
          <w:spacing w:val="-14"/>
        </w:rPr>
        <w:t> </w:t>
      </w:r>
      <w:r>
        <w:rPr/>
        <w:t>by</w:t>
      </w:r>
      <w:r>
        <w:rPr>
          <w:spacing w:val="-14"/>
        </w:rPr>
        <w:t> </w:t>
      </w:r>
      <w:r>
        <w:rPr/>
        <w:t>building</w:t>
      </w:r>
      <w:r>
        <w:rPr>
          <w:spacing w:val="-14"/>
        </w:rPr>
        <w:t> </w:t>
      </w:r>
      <w:r>
        <w:rPr/>
        <w:t>demonstrable</w:t>
      </w:r>
      <w:r>
        <w:rPr>
          <w:spacing w:val="-13"/>
        </w:rPr>
        <w:t> </w:t>
      </w:r>
      <w:r>
        <w:rPr/>
        <w:t>systems</w:t>
      </w:r>
      <w:r>
        <w:rPr>
          <w:spacing w:val="-14"/>
        </w:rPr>
        <w:t> </w:t>
      </w:r>
      <w:r>
        <w:rPr/>
        <w:t>of</w:t>
      </w:r>
      <w:r>
        <w:rPr>
          <w:spacing w:val="-14"/>
        </w:rPr>
        <w:t> </w:t>
      </w:r>
      <w:r>
        <w:rPr/>
        <w:t>people- based implementation:</w:t>
      </w:r>
    </w:p>
    <w:p>
      <w:pPr>
        <w:pStyle w:val="BodyText"/>
        <w:spacing w:before="18"/>
      </w:pPr>
    </w:p>
    <w:p>
      <w:pPr>
        <w:pStyle w:val="ListParagraph"/>
        <w:numPr>
          <w:ilvl w:val="0"/>
          <w:numId w:val="65"/>
        </w:numPr>
        <w:tabs>
          <w:tab w:pos="679" w:val="left" w:leader="none"/>
        </w:tabs>
        <w:spacing w:line="266" w:lineRule="auto" w:before="0" w:after="0"/>
        <w:ind w:left="679" w:right="1077" w:hanging="360"/>
        <w:jc w:val="both"/>
        <w:rPr>
          <w:sz w:val="22"/>
        </w:rPr>
      </w:pPr>
      <w:r>
        <w:rPr>
          <w:b/>
          <w:sz w:val="22"/>
        </w:rPr>
        <w:t>Peoples planning: </w:t>
      </w:r>
      <w:r>
        <w:rPr>
          <w:sz w:val="22"/>
        </w:rPr>
        <w:t>Institutionalisation of </w:t>
      </w:r>
      <w:r>
        <w:rPr>
          <w:sz w:val="22"/>
        </w:rPr>
        <w:t>proper planning mechanisms requires area-specific processes, evolved after concentrated effort at</w:t>
      </w:r>
      <w:r>
        <w:rPr>
          <w:spacing w:val="40"/>
          <w:sz w:val="22"/>
        </w:rPr>
        <w:t> </w:t>
      </w:r>
      <w:r>
        <w:rPr>
          <w:sz w:val="22"/>
        </w:rPr>
        <w:t>the local level. The PGK could be required to carry out:</w:t>
      </w:r>
    </w:p>
    <w:p>
      <w:pPr>
        <w:pStyle w:val="ListParagraph"/>
        <w:numPr>
          <w:ilvl w:val="1"/>
          <w:numId w:val="65"/>
        </w:numPr>
        <w:tabs>
          <w:tab w:pos="1019" w:val="left" w:leader="none"/>
        </w:tabs>
        <w:spacing w:line="266" w:lineRule="auto" w:before="39" w:after="0"/>
        <w:ind w:left="1019" w:right="1077" w:hanging="320"/>
        <w:jc w:val="left"/>
        <w:rPr>
          <w:sz w:val="22"/>
        </w:rPr>
      </w:pPr>
      <w:r>
        <w:rPr>
          <w:spacing w:val="-4"/>
          <w:sz w:val="22"/>
        </w:rPr>
        <w:t>An</w:t>
      </w:r>
      <w:r>
        <w:rPr>
          <w:spacing w:val="-10"/>
          <w:sz w:val="22"/>
        </w:rPr>
        <w:t> </w:t>
      </w:r>
      <w:r>
        <w:rPr>
          <w:spacing w:val="-4"/>
          <w:sz w:val="22"/>
        </w:rPr>
        <w:t>initial</w:t>
      </w:r>
      <w:r>
        <w:rPr>
          <w:spacing w:val="-10"/>
          <w:sz w:val="22"/>
        </w:rPr>
        <w:t> </w:t>
      </w:r>
      <w:r>
        <w:rPr>
          <w:spacing w:val="-4"/>
          <w:sz w:val="22"/>
        </w:rPr>
        <w:t>review</w:t>
      </w:r>
      <w:r>
        <w:rPr>
          <w:spacing w:val="-10"/>
          <w:sz w:val="22"/>
        </w:rPr>
        <w:t> </w:t>
      </w:r>
      <w:r>
        <w:rPr>
          <w:spacing w:val="-4"/>
          <w:sz w:val="22"/>
        </w:rPr>
        <w:t>of</w:t>
      </w:r>
      <w:r>
        <w:rPr>
          <w:spacing w:val="-9"/>
          <w:sz w:val="22"/>
        </w:rPr>
        <w:t> </w:t>
      </w:r>
      <w:r>
        <w:rPr>
          <w:spacing w:val="-4"/>
          <w:sz w:val="22"/>
        </w:rPr>
        <w:t>existing</w:t>
      </w:r>
      <w:r>
        <w:rPr>
          <w:spacing w:val="-10"/>
          <w:sz w:val="22"/>
        </w:rPr>
        <w:t> </w:t>
      </w:r>
      <w:r>
        <w:rPr>
          <w:spacing w:val="-4"/>
          <w:sz w:val="22"/>
        </w:rPr>
        <w:t>plans</w:t>
      </w:r>
      <w:r>
        <w:rPr>
          <w:spacing w:val="-10"/>
          <w:sz w:val="22"/>
        </w:rPr>
        <w:t> </w:t>
      </w:r>
      <w:r>
        <w:rPr>
          <w:spacing w:val="-4"/>
          <w:sz w:val="22"/>
        </w:rPr>
        <w:t>and</w:t>
      </w:r>
      <w:r>
        <w:rPr>
          <w:spacing w:val="-10"/>
          <w:sz w:val="22"/>
        </w:rPr>
        <w:t> </w:t>
      </w:r>
      <w:r>
        <w:rPr>
          <w:spacing w:val="-4"/>
          <w:sz w:val="22"/>
        </w:rPr>
        <w:t>initiation </w:t>
      </w:r>
      <w:r>
        <w:rPr>
          <w:sz w:val="22"/>
        </w:rPr>
        <w:t>of the peoples planning process</w:t>
      </w:r>
    </w:p>
    <w:p>
      <w:pPr>
        <w:pStyle w:val="ListParagraph"/>
        <w:numPr>
          <w:ilvl w:val="1"/>
          <w:numId w:val="65"/>
        </w:numPr>
        <w:tabs>
          <w:tab w:pos="1019" w:val="left" w:leader="none"/>
        </w:tabs>
        <w:spacing w:line="266" w:lineRule="auto" w:before="0" w:after="0"/>
        <w:ind w:left="1019" w:right="1077" w:hanging="320"/>
        <w:jc w:val="left"/>
        <w:rPr>
          <w:sz w:val="22"/>
        </w:rPr>
      </w:pPr>
      <w:r>
        <w:rPr>
          <w:sz w:val="22"/>
        </w:rPr>
        <w:t>A</w:t>
      </w:r>
      <w:r>
        <w:rPr>
          <w:spacing w:val="18"/>
          <w:sz w:val="22"/>
        </w:rPr>
        <w:t> </w:t>
      </w:r>
      <w:r>
        <w:rPr>
          <w:sz w:val="22"/>
        </w:rPr>
        <w:t>tentative</w:t>
      </w:r>
      <w:r>
        <w:rPr>
          <w:spacing w:val="18"/>
          <w:sz w:val="22"/>
        </w:rPr>
        <w:t> </w:t>
      </w:r>
      <w:r>
        <w:rPr>
          <w:sz w:val="22"/>
        </w:rPr>
        <w:t>revised</w:t>
      </w:r>
      <w:r>
        <w:rPr>
          <w:spacing w:val="18"/>
          <w:sz w:val="22"/>
        </w:rPr>
        <w:t> </w:t>
      </w:r>
      <w:r>
        <w:rPr>
          <w:sz w:val="22"/>
        </w:rPr>
        <w:t>plan</w:t>
      </w:r>
      <w:r>
        <w:rPr>
          <w:spacing w:val="18"/>
          <w:sz w:val="22"/>
        </w:rPr>
        <w:t> </w:t>
      </w:r>
      <w:r>
        <w:rPr>
          <w:sz w:val="22"/>
        </w:rPr>
        <w:t>for</w:t>
      </w:r>
      <w:r>
        <w:rPr>
          <w:spacing w:val="18"/>
          <w:sz w:val="22"/>
        </w:rPr>
        <w:t> </w:t>
      </w:r>
      <w:r>
        <w:rPr>
          <w:sz w:val="22"/>
        </w:rPr>
        <w:t>the</w:t>
      </w:r>
      <w:r>
        <w:rPr>
          <w:spacing w:val="18"/>
          <w:sz w:val="22"/>
        </w:rPr>
        <w:t> </w:t>
      </w:r>
      <w:r>
        <w:rPr>
          <w:sz w:val="22"/>
        </w:rPr>
        <w:t>first</w:t>
      </w:r>
      <w:r>
        <w:rPr>
          <w:spacing w:val="18"/>
          <w:sz w:val="22"/>
        </w:rPr>
        <w:t> </w:t>
      </w:r>
      <w:r>
        <w:rPr>
          <w:sz w:val="22"/>
        </w:rPr>
        <w:t>year</w:t>
      </w:r>
      <w:r>
        <w:rPr>
          <w:spacing w:val="18"/>
          <w:sz w:val="22"/>
        </w:rPr>
        <w:t> </w:t>
      </w:r>
      <w:r>
        <w:rPr>
          <w:sz w:val="22"/>
        </w:rPr>
        <w:t>of NREGA works to be prepared in 3 months</w:t>
      </w:r>
    </w:p>
    <w:p>
      <w:pPr>
        <w:pStyle w:val="ListParagraph"/>
        <w:numPr>
          <w:ilvl w:val="1"/>
          <w:numId w:val="65"/>
        </w:numPr>
        <w:tabs>
          <w:tab w:pos="1019" w:val="left" w:leader="none"/>
        </w:tabs>
        <w:spacing w:line="266" w:lineRule="auto" w:before="0" w:after="0"/>
        <w:ind w:left="1019" w:right="1078" w:hanging="320"/>
        <w:jc w:val="left"/>
        <w:rPr>
          <w:sz w:val="22"/>
        </w:rPr>
      </w:pPr>
      <w:r>
        <w:rPr>
          <w:spacing w:val="-2"/>
          <w:sz w:val="22"/>
        </w:rPr>
        <w:t>Institutionalising</w:t>
      </w:r>
      <w:r>
        <w:rPr>
          <w:spacing w:val="-9"/>
          <w:sz w:val="22"/>
        </w:rPr>
        <w:t> </w:t>
      </w:r>
      <w:r>
        <w:rPr>
          <w:spacing w:val="-2"/>
          <w:sz w:val="22"/>
        </w:rPr>
        <w:t>a</w:t>
      </w:r>
      <w:r>
        <w:rPr>
          <w:spacing w:val="-9"/>
          <w:sz w:val="22"/>
        </w:rPr>
        <w:t> </w:t>
      </w:r>
      <w:r>
        <w:rPr>
          <w:spacing w:val="-2"/>
          <w:sz w:val="22"/>
        </w:rPr>
        <w:t>long</w:t>
      </w:r>
      <w:r>
        <w:rPr>
          <w:spacing w:val="-9"/>
          <w:sz w:val="22"/>
        </w:rPr>
        <w:t> </w:t>
      </w:r>
      <w:r>
        <w:rPr>
          <w:spacing w:val="-2"/>
          <w:sz w:val="22"/>
        </w:rPr>
        <w:t>term</w:t>
      </w:r>
      <w:r>
        <w:rPr>
          <w:spacing w:val="-9"/>
          <w:sz w:val="22"/>
        </w:rPr>
        <w:t> </w:t>
      </w:r>
      <w:r>
        <w:rPr>
          <w:spacing w:val="-2"/>
          <w:sz w:val="22"/>
        </w:rPr>
        <w:t>planning</w:t>
      </w:r>
      <w:r>
        <w:rPr>
          <w:spacing w:val="-9"/>
          <w:sz w:val="22"/>
        </w:rPr>
        <w:t> </w:t>
      </w:r>
      <w:r>
        <w:rPr>
          <w:spacing w:val="-2"/>
          <w:sz w:val="22"/>
        </w:rPr>
        <w:t>process </w:t>
      </w:r>
      <w:r>
        <w:rPr>
          <w:sz w:val="22"/>
        </w:rPr>
        <w:t>in a year’s time</w:t>
      </w:r>
    </w:p>
    <w:p>
      <w:pPr>
        <w:pStyle w:val="BodyText"/>
        <w:spacing w:before="22"/>
      </w:pPr>
    </w:p>
    <w:p>
      <w:pPr>
        <w:pStyle w:val="ListParagraph"/>
        <w:numPr>
          <w:ilvl w:val="0"/>
          <w:numId w:val="65"/>
        </w:numPr>
        <w:tabs>
          <w:tab w:pos="677" w:val="left" w:leader="none"/>
          <w:tab w:pos="679" w:val="left" w:leader="none"/>
        </w:tabs>
        <w:spacing w:line="266" w:lineRule="auto" w:before="1" w:after="0"/>
        <w:ind w:left="679" w:right="1077" w:hanging="360"/>
        <w:jc w:val="both"/>
        <w:rPr>
          <w:sz w:val="22"/>
        </w:rPr>
      </w:pPr>
      <w:r>
        <w:rPr>
          <w:b/>
          <w:spacing w:val="-10"/>
          <w:sz w:val="22"/>
        </w:rPr>
        <w:t>Worksite</w:t>
      </w:r>
      <w:r>
        <w:rPr>
          <w:b/>
          <w:spacing w:val="-4"/>
          <w:sz w:val="22"/>
        </w:rPr>
        <w:t> </w:t>
      </w:r>
      <w:r>
        <w:rPr>
          <w:b/>
          <w:spacing w:val="-10"/>
          <w:sz w:val="22"/>
        </w:rPr>
        <w:t>management:</w:t>
      </w:r>
      <w:r>
        <w:rPr>
          <w:b/>
          <w:spacing w:val="-4"/>
          <w:sz w:val="22"/>
        </w:rPr>
        <w:t> </w:t>
      </w:r>
      <w:r>
        <w:rPr>
          <w:spacing w:val="-10"/>
          <w:sz w:val="22"/>
        </w:rPr>
        <w:t>The</w:t>
      </w:r>
      <w:r>
        <w:rPr>
          <w:spacing w:val="-4"/>
          <w:sz w:val="22"/>
        </w:rPr>
        <w:t> </w:t>
      </w:r>
      <w:r>
        <w:rPr>
          <w:spacing w:val="-10"/>
          <w:sz w:val="22"/>
        </w:rPr>
        <w:t>NREGA</w:t>
      </w:r>
      <w:r>
        <w:rPr>
          <w:spacing w:val="-3"/>
          <w:sz w:val="22"/>
        </w:rPr>
        <w:t> </w:t>
      </w:r>
      <w:r>
        <w:rPr>
          <w:spacing w:val="-10"/>
          <w:sz w:val="22"/>
        </w:rPr>
        <w:t>can</w:t>
      </w:r>
      <w:r>
        <w:rPr>
          <w:spacing w:val="-4"/>
          <w:sz w:val="22"/>
        </w:rPr>
        <w:t> </w:t>
      </w:r>
      <w:r>
        <w:rPr>
          <w:spacing w:val="-10"/>
          <w:sz w:val="22"/>
        </w:rPr>
        <w:t>work</w:t>
      </w:r>
      <w:r>
        <w:rPr>
          <w:spacing w:val="-4"/>
          <w:sz w:val="22"/>
        </w:rPr>
        <w:t> </w:t>
      </w:r>
      <w:r>
        <w:rPr>
          <w:spacing w:val="-10"/>
          <w:sz w:val="22"/>
        </w:rPr>
        <w:t>well </w:t>
      </w:r>
      <w:r>
        <w:rPr>
          <w:spacing w:val="-2"/>
          <w:sz w:val="22"/>
        </w:rPr>
        <w:t>if</w:t>
      </w:r>
      <w:r>
        <w:rPr>
          <w:spacing w:val="-12"/>
          <w:sz w:val="22"/>
        </w:rPr>
        <w:t> </w:t>
      </w:r>
      <w:r>
        <w:rPr>
          <w:spacing w:val="-2"/>
          <w:sz w:val="22"/>
        </w:rPr>
        <w:t>there</w:t>
      </w:r>
      <w:r>
        <w:rPr>
          <w:spacing w:val="-12"/>
          <w:sz w:val="22"/>
        </w:rPr>
        <w:t> </w:t>
      </w:r>
      <w:r>
        <w:rPr>
          <w:spacing w:val="-2"/>
          <w:sz w:val="22"/>
        </w:rPr>
        <w:t>is</w:t>
      </w:r>
      <w:r>
        <w:rPr>
          <w:spacing w:val="-12"/>
          <w:sz w:val="22"/>
        </w:rPr>
        <w:t> </w:t>
      </w:r>
      <w:r>
        <w:rPr>
          <w:spacing w:val="-2"/>
          <w:sz w:val="22"/>
        </w:rPr>
        <w:t>decentralised</w:t>
      </w:r>
      <w:r>
        <w:rPr>
          <w:spacing w:val="-11"/>
          <w:sz w:val="22"/>
        </w:rPr>
        <w:t> </w:t>
      </w:r>
      <w:r>
        <w:rPr>
          <w:spacing w:val="-2"/>
          <w:sz w:val="22"/>
        </w:rPr>
        <w:t>accountability</w:t>
      </w:r>
      <w:r>
        <w:rPr>
          <w:spacing w:val="-12"/>
          <w:sz w:val="22"/>
        </w:rPr>
        <w:t> </w:t>
      </w:r>
      <w:r>
        <w:rPr>
          <w:spacing w:val="-2"/>
          <w:sz w:val="22"/>
        </w:rPr>
        <w:t>at</w:t>
      </w:r>
      <w:r>
        <w:rPr>
          <w:spacing w:val="-12"/>
          <w:sz w:val="22"/>
        </w:rPr>
        <w:t> </w:t>
      </w:r>
      <w:r>
        <w:rPr>
          <w:spacing w:val="-2"/>
          <w:sz w:val="22"/>
        </w:rPr>
        <w:t>every</w:t>
      </w:r>
      <w:r>
        <w:rPr>
          <w:spacing w:val="-12"/>
          <w:sz w:val="22"/>
        </w:rPr>
        <w:t> </w:t>
      </w:r>
      <w:r>
        <w:rPr>
          <w:spacing w:val="-2"/>
          <w:sz w:val="22"/>
        </w:rPr>
        <w:t>one </w:t>
      </w:r>
      <w:r>
        <w:rPr>
          <w:sz w:val="22"/>
        </w:rPr>
        <w:t>of the hundreds of work sites in each district. An </w:t>
      </w:r>
      <w:r>
        <w:rPr>
          <w:spacing w:val="-2"/>
          <w:sz w:val="22"/>
        </w:rPr>
        <w:t>efficient</w:t>
      </w:r>
      <w:r>
        <w:rPr>
          <w:spacing w:val="-12"/>
          <w:sz w:val="22"/>
        </w:rPr>
        <w:t> </w:t>
      </w:r>
      <w:r>
        <w:rPr>
          <w:spacing w:val="-2"/>
          <w:sz w:val="22"/>
        </w:rPr>
        <w:t>worksite</w:t>
      </w:r>
      <w:r>
        <w:rPr>
          <w:spacing w:val="-12"/>
          <w:sz w:val="22"/>
        </w:rPr>
        <w:t> </w:t>
      </w:r>
      <w:r>
        <w:rPr>
          <w:spacing w:val="-2"/>
          <w:sz w:val="22"/>
        </w:rPr>
        <w:t>management</w:t>
      </w:r>
      <w:r>
        <w:rPr>
          <w:spacing w:val="-12"/>
          <w:sz w:val="22"/>
        </w:rPr>
        <w:t> </w:t>
      </w:r>
      <w:r>
        <w:rPr>
          <w:spacing w:val="-2"/>
          <w:sz w:val="22"/>
        </w:rPr>
        <w:t>system</w:t>
      </w:r>
      <w:r>
        <w:rPr>
          <w:spacing w:val="-11"/>
          <w:sz w:val="22"/>
        </w:rPr>
        <w:t> </w:t>
      </w:r>
      <w:r>
        <w:rPr>
          <w:spacing w:val="-2"/>
          <w:sz w:val="22"/>
        </w:rPr>
        <w:t>will</w:t>
      </w:r>
      <w:r>
        <w:rPr>
          <w:spacing w:val="-12"/>
          <w:sz w:val="22"/>
        </w:rPr>
        <w:t> </w:t>
      </w:r>
      <w:r>
        <w:rPr>
          <w:spacing w:val="-2"/>
          <w:sz w:val="22"/>
        </w:rPr>
        <w:t>change </w:t>
      </w:r>
      <w:r>
        <w:rPr>
          <w:sz w:val="22"/>
        </w:rPr>
        <w:t>the work culture, involve a new set of educated </w:t>
      </w:r>
      <w:r>
        <w:rPr>
          <w:spacing w:val="-6"/>
          <w:sz w:val="22"/>
        </w:rPr>
        <w:t>unemployed</w:t>
      </w:r>
      <w:r>
        <w:rPr>
          <w:spacing w:val="-8"/>
          <w:sz w:val="22"/>
        </w:rPr>
        <w:t> </w:t>
      </w:r>
      <w:r>
        <w:rPr>
          <w:spacing w:val="-6"/>
          <w:sz w:val="22"/>
        </w:rPr>
        <w:t>youth</w:t>
      </w:r>
      <w:r>
        <w:rPr>
          <w:spacing w:val="-8"/>
          <w:sz w:val="22"/>
        </w:rPr>
        <w:t> </w:t>
      </w:r>
      <w:r>
        <w:rPr>
          <w:spacing w:val="-6"/>
          <w:sz w:val="22"/>
        </w:rPr>
        <w:t>and</w:t>
      </w:r>
      <w:r>
        <w:rPr>
          <w:spacing w:val="-8"/>
          <w:sz w:val="22"/>
        </w:rPr>
        <w:t> </w:t>
      </w:r>
      <w:r>
        <w:rPr>
          <w:spacing w:val="-6"/>
          <w:sz w:val="22"/>
        </w:rPr>
        <w:t>bring</w:t>
      </w:r>
      <w:r>
        <w:rPr>
          <w:spacing w:val="-7"/>
          <w:sz w:val="22"/>
        </w:rPr>
        <w:t> </w:t>
      </w:r>
      <w:r>
        <w:rPr>
          <w:spacing w:val="-6"/>
          <w:sz w:val="22"/>
        </w:rPr>
        <w:t>about</w:t>
      </w:r>
      <w:r>
        <w:rPr>
          <w:spacing w:val="-8"/>
          <w:sz w:val="22"/>
        </w:rPr>
        <w:t> </w:t>
      </w:r>
      <w:r>
        <w:rPr>
          <w:spacing w:val="-6"/>
          <w:sz w:val="22"/>
        </w:rPr>
        <w:t>skill</w:t>
      </w:r>
      <w:r>
        <w:rPr>
          <w:spacing w:val="-8"/>
          <w:sz w:val="22"/>
        </w:rPr>
        <w:t> </w:t>
      </w:r>
      <w:r>
        <w:rPr>
          <w:spacing w:val="-6"/>
          <w:sz w:val="22"/>
        </w:rPr>
        <w:t>upgradation </w:t>
      </w:r>
      <w:r>
        <w:rPr>
          <w:sz w:val="22"/>
        </w:rPr>
        <w:t>in</w:t>
      </w:r>
      <w:r>
        <w:rPr>
          <w:spacing w:val="-14"/>
          <w:sz w:val="22"/>
        </w:rPr>
        <w:t> </w:t>
      </w:r>
      <w:r>
        <w:rPr>
          <w:sz w:val="22"/>
        </w:rPr>
        <w:t>an</w:t>
      </w:r>
      <w:r>
        <w:rPr>
          <w:spacing w:val="-14"/>
          <w:sz w:val="22"/>
        </w:rPr>
        <w:t> </w:t>
      </w:r>
      <w:r>
        <w:rPr>
          <w:sz w:val="22"/>
        </w:rPr>
        <w:t>organised</w:t>
      </w:r>
      <w:r>
        <w:rPr>
          <w:spacing w:val="-14"/>
          <w:sz w:val="22"/>
        </w:rPr>
        <w:t> </w:t>
      </w:r>
      <w:r>
        <w:rPr>
          <w:sz w:val="22"/>
        </w:rPr>
        <w:t>manner.</w:t>
      </w:r>
      <w:r>
        <w:rPr>
          <w:spacing w:val="-13"/>
          <w:sz w:val="22"/>
        </w:rPr>
        <w:t> </w:t>
      </w:r>
      <w:r>
        <w:rPr>
          <w:sz w:val="22"/>
        </w:rPr>
        <w:t>The</w:t>
      </w:r>
      <w:r>
        <w:rPr>
          <w:spacing w:val="-14"/>
          <w:sz w:val="22"/>
        </w:rPr>
        <w:t> </w:t>
      </w:r>
      <w:r>
        <w:rPr>
          <w:sz w:val="22"/>
        </w:rPr>
        <w:t>PGK</w:t>
      </w:r>
      <w:r>
        <w:rPr>
          <w:spacing w:val="-14"/>
          <w:sz w:val="22"/>
        </w:rPr>
        <w:t> </w:t>
      </w:r>
      <w:r>
        <w:rPr>
          <w:sz w:val="22"/>
        </w:rPr>
        <w:t>can</w:t>
      </w:r>
      <w:r>
        <w:rPr>
          <w:spacing w:val="-14"/>
          <w:sz w:val="22"/>
        </w:rPr>
        <w:t> </w:t>
      </w:r>
      <w:r>
        <w:rPr>
          <w:sz w:val="22"/>
        </w:rPr>
        <w:t>serve</w:t>
      </w:r>
      <w:r>
        <w:rPr>
          <w:spacing w:val="-13"/>
          <w:sz w:val="22"/>
        </w:rPr>
        <w:t> </w:t>
      </w:r>
      <w:r>
        <w:rPr>
          <w:sz w:val="22"/>
        </w:rPr>
        <w:t>as</w:t>
      </w:r>
      <w:r>
        <w:rPr>
          <w:spacing w:val="-14"/>
          <w:sz w:val="22"/>
        </w:rPr>
        <w:t> </w:t>
      </w:r>
      <w:r>
        <w:rPr>
          <w:sz w:val="22"/>
        </w:rPr>
        <w:t>the platform</w:t>
      </w:r>
      <w:r>
        <w:rPr>
          <w:spacing w:val="-14"/>
          <w:sz w:val="22"/>
        </w:rPr>
        <w:t> </w:t>
      </w:r>
      <w:r>
        <w:rPr>
          <w:sz w:val="22"/>
        </w:rPr>
        <w:t>for</w:t>
      </w:r>
      <w:r>
        <w:rPr>
          <w:spacing w:val="-14"/>
          <w:sz w:val="22"/>
        </w:rPr>
        <w:t> </w:t>
      </w:r>
      <w:r>
        <w:rPr>
          <w:sz w:val="22"/>
        </w:rPr>
        <w:t>implementation</w:t>
      </w:r>
      <w:r>
        <w:rPr>
          <w:spacing w:val="-14"/>
          <w:sz w:val="22"/>
        </w:rPr>
        <w:t> </w:t>
      </w:r>
      <w:r>
        <w:rPr>
          <w:sz w:val="22"/>
        </w:rPr>
        <w:t>of</w:t>
      </w:r>
      <w:r>
        <w:rPr>
          <w:spacing w:val="-13"/>
          <w:sz w:val="22"/>
        </w:rPr>
        <w:t> </w:t>
      </w:r>
      <w:r>
        <w:rPr>
          <w:sz w:val="22"/>
        </w:rPr>
        <w:t>the</w:t>
      </w:r>
      <w:r>
        <w:rPr>
          <w:spacing w:val="-14"/>
          <w:sz w:val="22"/>
        </w:rPr>
        <w:t> </w:t>
      </w:r>
      <w:r>
        <w:rPr>
          <w:sz w:val="22"/>
        </w:rPr>
        <w:t>following:</w:t>
      </w:r>
    </w:p>
    <w:p>
      <w:pPr>
        <w:pStyle w:val="ListParagraph"/>
        <w:numPr>
          <w:ilvl w:val="1"/>
          <w:numId w:val="65"/>
        </w:numPr>
        <w:tabs>
          <w:tab w:pos="1019" w:val="left" w:leader="none"/>
        </w:tabs>
        <w:spacing w:line="266" w:lineRule="auto" w:before="36" w:after="0"/>
        <w:ind w:left="1019" w:right="1078" w:hanging="320"/>
        <w:jc w:val="both"/>
        <w:rPr>
          <w:sz w:val="22"/>
        </w:rPr>
      </w:pPr>
      <w:r>
        <w:rPr>
          <w:sz w:val="22"/>
        </w:rPr>
        <w:t>Initial</w:t>
      </w:r>
      <w:r>
        <w:rPr>
          <w:spacing w:val="-14"/>
          <w:sz w:val="22"/>
        </w:rPr>
        <w:t> </w:t>
      </w:r>
      <w:r>
        <w:rPr>
          <w:sz w:val="22"/>
        </w:rPr>
        <w:t>training</w:t>
      </w:r>
      <w:r>
        <w:rPr>
          <w:spacing w:val="-14"/>
          <w:sz w:val="22"/>
        </w:rPr>
        <w:t> </w:t>
      </w:r>
      <w:r>
        <w:rPr>
          <w:sz w:val="22"/>
        </w:rPr>
        <w:t>of</w:t>
      </w:r>
      <w:r>
        <w:rPr>
          <w:spacing w:val="-13"/>
          <w:sz w:val="22"/>
        </w:rPr>
        <w:t> </w:t>
      </w:r>
      <w:r>
        <w:rPr>
          <w:sz w:val="22"/>
        </w:rPr>
        <w:t>NREGA</w:t>
      </w:r>
      <w:r>
        <w:rPr>
          <w:spacing w:val="-14"/>
          <w:sz w:val="22"/>
        </w:rPr>
        <w:t> </w:t>
      </w:r>
      <w:r>
        <w:rPr>
          <w:sz w:val="22"/>
        </w:rPr>
        <w:t>worksite</w:t>
      </w:r>
      <w:r>
        <w:rPr>
          <w:spacing w:val="-14"/>
          <w:sz w:val="22"/>
        </w:rPr>
        <w:t> </w:t>
      </w:r>
      <w:r>
        <w:rPr>
          <w:sz w:val="22"/>
        </w:rPr>
        <w:t>managers (‘upgraded mates’) in 3 months</w:t>
      </w:r>
    </w:p>
    <w:p>
      <w:pPr>
        <w:pStyle w:val="ListParagraph"/>
        <w:numPr>
          <w:ilvl w:val="1"/>
          <w:numId w:val="65"/>
        </w:numPr>
        <w:tabs>
          <w:tab w:pos="1019" w:val="left" w:leader="none"/>
        </w:tabs>
        <w:spacing w:line="266" w:lineRule="auto" w:before="0" w:after="0"/>
        <w:ind w:left="1019" w:right="1077" w:hanging="320"/>
        <w:jc w:val="both"/>
        <w:rPr>
          <w:sz w:val="22"/>
        </w:rPr>
      </w:pPr>
      <w:r>
        <w:rPr>
          <w:spacing w:val="-6"/>
          <w:sz w:val="22"/>
        </w:rPr>
        <w:t>Facilitating adequate training and </w:t>
      </w:r>
      <w:r>
        <w:rPr>
          <w:spacing w:val="-6"/>
          <w:sz w:val="22"/>
        </w:rPr>
        <w:t>competencies </w:t>
      </w:r>
      <w:r>
        <w:rPr>
          <w:sz w:val="22"/>
        </w:rPr>
        <w:t>of</w:t>
      </w:r>
      <w:r>
        <w:rPr>
          <w:spacing w:val="40"/>
          <w:sz w:val="22"/>
        </w:rPr>
        <w:t> </w:t>
      </w:r>
      <w:r>
        <w:rPr>
          <w:sz w:val="22"/>
        </w:rPr>
        <w:t>all</w:t>
      </w:r>
      <w:r>
        <w:rPr>
          <w:spacing w:val="40"/>
          <w:sz w:val="22"/>
        </w:rPr>
        <w:t> </w:t>
      </w:r>
      <w:r>
        <w:rPr>
          <w:sz w:val="22"/>
        </w:rPr>
        <w:t>worksite</w:t>
      </w:r>
      <w:r>
        <w:rPr>
          <w:spacing w:val="40"/>
          <w:sz w:val="22"/>
        </w:rPr>
        <w:t> </w:t>
      </w:r>
      <w:r>
        <w:rPr>
          <w:sz w:val="22"/>
        </w:rPr>
        <w:t>managers</w:t>
      </w:r>
      <w:r>
        <w:rPr>
          <w:spacing w:val="40"/>
          <w:sz w:val="22"/>
        </w:rPr>
        <w:t> </w:t>
      </w:r>
      <w:r>
        <w:rPr>
          <w:sz w:val="22"/>
        </w:rPr>
        <w:t>in</w:t>
      </w:r>
      <w:r>
        <w:rPr>
          <w:spacing w:val="40"/>
          <w:sz w:val="22"/>
        </w:rPr>
        <w:t> </w:t>
      </w:r>
      <w:r>
        <w:rPr>
          <w:sz w:val="22"/>
        </w:rPr>
        <w:t>the</w:t>
      </w:r>
      <w:r>
        <w:rPr>
          <w:spacing w:val="40"/>
          <w:sz w:val="22"/>
        </w:rPr>
        <w:t> </w:t>
      </w:r>
      <w:r>
        <w:rPr>
          <w:sz w:val="22"/>
        </w:rPr>
        <w:t>block</w:t>
      </w:r>
      <w:r>
        <w:rPr>
          <w:spacing w:val="40"/>
          <w:sz w:val="22"/>
        </w:rPr>
        <w:t> </w:t>
      </w:r>
      <w:r>
        <w:rPr>
          <w:sz w:val="22"/>
        </w:rPr>
        <w:t>in one year</w:t>
      </w:r>
    </w:p>
    <w:p>
      <w:pPr>
        <w:pStyle w:val="ListParagraph"/>
        <w:numPr>
          <w:ilvl w:val="1"/>
          <w:numId w:val="65"/>
        </w:numPr>
        <w:tabs>
          <w:tab w:pos="1019" w:val="left" w:leader="none"/>
        </w:tabs>
        <w:spacing w:line="266" w:lineRule="auto" w:before="0" w:after="0"/>
        <w:ind w:left="1019" w:right="1077" w:hanging="320"/>
        <w:jc w:val="both"/>
        <w:rPr>
          <w:sz w:val="22"/>
        </w:rPr>
      </w:pPr>
      <w:r>
        <w:rPr>
          <w:spacing w:val="-6"/>
          <w:sz w:val="22"/>
        </w:rPr>
        <w:t>Institutionalising worksite management </w:t>
      </w:r>
      <w:r>
        <w:rPr>
          <w:spacing w:val="-6"/>
          <w:sz w:val="22"/>
        </w:rPr>
        <w:t>systems </w:t>
      </w:r>
      <w:r>
        <w:rPr>
          <w:spacing w:val="-2"/>
          <w:sz w:val="22"/>
        </w:rPr>
        <w:t>including</w:t>
      </w:r>
      <w:r>
        <w:rPr>
          <w:spacing w:val="-12"/>
          <w:sz w:val="22"/>
        </w:rPr>
        <w:t> </w:t>
      </w:r>
      <w:r>
        <w:rPr>
          <w:spacing w:val="-2"/>
          <w:sz w:val="22"/>
        </w:rPr>
        <w:t>systems</w:t>
      </w:r>
      <w:r>
        <w:rPr>
          <w:spacing w:val="-12"/>
          <w:sz w:val="22"/>
        </w:rPr>
        <w:t> </w:t>
      </w:r>
      <w:r>
        <w:rPr>
          <w:spacing w:val="-2"/>
          <w:sz w:val="22"/>
        </w:rPr>
        <w:t>for</w:t>
      </w:r>
      <w:r>
        <w:rPr>
          <w:spacing w:val="-12"/>
          <w:sz w:val="22"/>
        </w:rPr>
        <w:t> </w:t>
      </w:r>
      <w:r>
        <w:rPr>
          <w:spacing w:val="-2"/>
          <w:sz w:val="22"/>
        </w:rPr>
        <w:t>training</w:t>
      </w:r>
      <w:r>
        <w:rPr>
          <w:spacing w:val="-11"/>
          <w:sz w:val="22"/>
        </w:rPr>
        <w:t> </w:t>
      </w:r>
      <w:r>
        <w:rPr>
          <w:spacing w:val="-2"/>
          <w:sz w:val="22"/>
        </w:rPr>
        <w:t>women</w:t>
      </w:r>
      <w:r>
        <w:rPr>
          <w:spacing w:val="-12"/>
          <w:sz w:val="22"/>
        </w:rPr>
        <w:t> </w:t>
      </w:r>
      <w:r>
        <w:rPr>
          <w:spacing w:val="-2"/>
          <w:sz w:val="22"/>
        </w:rPr>
        <w:t>masons, appropriate</w:t>
      </w:r>
      <w:r>
        <w:rPr>
          <w:spacing w:val="-5"/>
          <w:sz w:val="22"/>
        </w:rPr>
        <w:t> </w:t>
      </w:r>
      <w:r>
        <w:rPr>
          <w:spacing w:val="-2"/>
          <w:sz w:val="22"/>
        </w:rPr>
        <w:t>worksite</w:t>
      </w:r>
      <w:r>
        <w:rPr>
          <w:spacing w:val="-5"/>
          <w:sz w:val="22"/>
        </w:rPr>
        <w:t> </w:t>
      </w:r>
      <w:r>
        <w:rPr>
          <w:spacing w:val="-2"/>
          <w:sz w:val="22"/>
        </w:rPr>
        <w:t>facilities,</w:t>
      </w:r>
      <w:r>
        <w:rPr>
          <w:spacing w:val="-5"/>
          <w:sz w:val="22"/>
        </w:rPr>
        <w:t> </w:t>
      </w:r>
      <w:r>
        <w:rPr>
          <w:spacing w:val="-2"/>
          <w:sz w:val="22"/>
        </w:rPr>
        <w:t>improved</w:t>
      </w:r>
      <w:r>
        <w:rPr>
          <w:spacing w:val="-5"/>
          <w:sz w:val="22"/>
        </w:rPr>
        <w:t> </w:t>
      </w:r>
      <w:r>
        <w:rPr>
          <w:spacing w:val="-2"/>
          <w:sz w:val="22"/>
        </w:rPr>
        <w:t>tools </w:t>
      </w:r>
      <w:r>
        <w:rPr>
          <w:sz w:val="22"/>
        </w:rPr>
        <w:t>and certified worksite managers. This would require a period of two years</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ListParagraph"/>
        <w:numPr>
          <w:ilvl w:val="0"/>
          <w:numId w:val="65"/>
        </w:numPr>
        <w:tabs>
          <w:tab w:pos="1440" w:val="left" w:leader="none"/>
        </w:tabs>
        <w:spacing w:line="266" w:lineRule="auto" w:before="57" w:after="0"/>
        <w:ind w:left="1440" w:right="0" w:hanging="360"/>
        <w:jc w:val="both"/>
        <w:rPr>
          <w:sz w:val="22"/>
        </w:rPr>
      </w:pPr>
      <w:r>
        <w:rPr>
          <w:b/>
          <w:sz w:val="22"/>
        </w:rPr>
        <w:t>Computerisation of the Panchayat Office: </w:t>
      </w:r>
      <w:r>
        <w:rPr>
          <w:sz w:val="22"/>
        </w:rPr>
        <w:t>To address efficiency and accountability issues, the PGK can assist in computerising the Panchayat office.</w:t>
      </w:r>
      <w:r>
        <w:rPr>
          <w:spacing w:val="-3"/>
          <w:sz w:val="22"/>
        </w:rPr>
        <w:t> </w:t>
      </w:r>
      <w:r>
        <w:rPr>
          <w:sz w:val="22"/>
        </w:rPr>
        <w:t>This would involve:</w:t>
      </w:r>
    </w:p>
    <w:p>
      <w:pPr>
        <w:pStyle w:val="ListParagraph"/>
        <w:numPr>
          <w:ilvl w:val="1"/>
          <w:numId w:val="65"/>
        </w:numPr>
        <w:tabs>
          <w:tab w:pos="1780" w:val="left" w:leader="none"/>
        </w:tabs>
        <w:spacing w:line="266" w:lineRule="auto" w:before="0" w:after="0"/>
        <w:ind w:left="1780" w:right="0" w:hanging="320"/>
        <w:jc w:val="both"/>
        <w:rPr>
          <w:sz w:val="22"/>
        </w:rPr>
      </w:pPr>
      <w:r>
        <w:rPr>
          <w:sz w:val="22"/>
        </w:rPr>
        <w:t>Computerisation</w:t>
      </w:r>
      <w:r>
        <w:rPr>
          <w:spacing w:val="40"/>
          <w:sz w:val="22"/>
        </w:rPr>
        <w:t> </w:t>
      </w:r>
      <w:r>
        <w:rPr>
          <w:sz w:val="22"/>
        </w:rPr>
        <w:t>of</w:t>
      </w:r>
      <w:r>
        <w:rPr>
          <w:spacing w:val="40"/>
          <w:sz w:val="22"/>
        </w:rPr>
        <w:t> </w:t>
      </w:r>
      <w:r>
        <w:rPr>
          <w:sz w:val="22"/>
        </w:rPr>
        <w:t>NREGA</w:t>
      </w:r>
      <w:r>
        <w:rPr>
          <w:spacing w:val="40"/>
          <w:sz w:val="22"/>
        </w:rPr>
        <w:t> </w:t>
      </w:r>
      <w:r>
        <w:rPr>
          <w:sz w:val="22"/>
        </w:rPr>
        <w:t>documents</w:t>
      </w:r>
      <w:r>
        <w:rPr>
          <w:spacing w:val="40"/>
          <w:sz w:val="22"/>
        </w:rPr>
        <w:t> </w:t>
      </w:r>
      <w:r>
        <w:rPr>
          <w:sz w:val="22"/>
        </w:rPr>
        <w:t>in 6 months</w:t>
      </w:r>
    </w:p>
    <w:p>
      <w:pPr>
        <w:pStyle w:val="ListParagraph"/>
        <w:numPr>
          <w:ilvl w:val="1"/>
          <w:numId w:val="65"/>
        </w:numPr>
        <w:tabs>
          <w:tab w:pos="1780" w:val="left" w:leader="none"/>
        </w:tabs>
        <w:spacing w:line="266" w:lineRule="auto" w:before="0" w:after="0"/>
        <w:ind w:left="1780" w:right="0" w:hanging="320"/>
        <w:jc w:val="both"/>
        <w:rPr>
          <w:sz w:val="22"/>
        </w:rPr>
      </w:pPr>
      <w:r>
        <w:rPr>
          <w:spacing w:val="-2"/>
          <w:sz w:val="22"/>
        </w:rPr>
        <w:t>A</w:t>
      </w:r>
      <w:r>
        <w:rPr>
          <w:spacing w:val="-12"/>
          <w:sz w:val="22"/>
        </w:rPr>
        <w:t> </w:t>
      </w:r>
      <w:r>
        <w:rPr>
          <w:spacing w:val="-2"/>
          <w:sz w:val="22"/>
        </w:rPr>
        <w:t>fully</w:t>
      </w:r>
      <w:r>
        <w:rPr>
          <w:spacing w:val="-12"/>
          <w:sz w:val="22"/>
        </w:rPr>
        <w:t> </w:t>
      </w:r>
      <w:r>
        <w:rPr>
          <w:spacing w:val="-2"/>
          <w:sz w:val="22"/>
        </w:rPr>
        <w:t>computerised</w:t>
      </w:r>
      <w:r>
        <w:rPr>
          <w:spacing w:val="-12"/>
          <w:sz w:val="22"/>
        </w:rPr>
        <w:t> </w:t>
      </w:r>
      <w:r>
        <w:rPr>
          <w:spacing w:val="-2"/>
          <w:sz w:val="22"/>
        </w:rPr>
        <w:t>and</w:t>
      </w:r>
      <w:r>
        <w:rPr>
          <w:spacing w:val="-11"/>
          <w:sz w:val="22"/>
        </w:rPr>
        <w:t> </w:t>
      </w:r>
      <w:r>
        <w:rPr>
          <w:spacing w:val="-2"/>
          <w:sz w:val="22"/>
        </w:rPr>
        <w:t>organised</w:t>
      </w:r>
      <w:r>
        <w:rPr>
          <w:spacing w:val="-12"/>
          <w:sz w:val="22"/>
        </w:rPr>
        <w:t> </w:t>
      </w:r>
      <w:r>
        <w:rPr>
          <w:spacing w:val="-2"/>
          <w:sz w:val="22"/>
        </w:rPr>
        <w:t>Panchayat </w:t>
      </w:r>
      <w:r>
        <w:rPr>
          <w:sz w:val="22"/>
        </w:rPr>
        <w:t>office in 12 months</w:t>
      </w:r>
    </w:p>
    <w:p>
      <w:pPr>
        <w:pStyle w:val="ListParagraph"/>
        <w:numPr>
          <w:ilvl w:val="1"/>
          <w:numId w:val="65"/>
        </w:numPr>
        <w:tabs>
          <w:tab w:pos="1780" w:val="left" w:leader="none"/>
        </w:tabs>
        <w:spacing w:line="266" w:lineRule="auto" w:before="0" w:after="0"/>
        <w:ind w:left="1780" w:right="0" w:hanging="320"/>
        <w:jc w:val="both"/>
        <w:rPr>
          <w:sz w:val="22"/>
        </w:rPr>
      </w:pPr>
      <w:r>
        <w:rPr>
          <w:spacing w:val="-2"/>
          <w:sz w:val="22"/>
        </w:rPr>
        <w:t>Institutionalising</w:t>
      </w:r>
      <w:r>
        <w:rPr>
          <w:spacing w:val="-14"/>
          <w:sz w:val="22"/>
        </w:rPr>
        <w:t> </w:t>
      </w:r>
      <w:r>
        <w:rPr>
          <w:spacing w:val="-2"/>
          <w:sz w:val="22"/>
        </w:rPr>
        <w:t>this</w:t>
      </w:r>
      <w:r>
        <w:rPr>
          <w:spacing w:val="-12"/>
          <w:sz w:val="22"/>
        </w:rPr>
        <w:t> </w:t>
      </w:r>
      <w:r>
        <w:rPr>
          <w:spacing w:val="-2"/>
          <w:sz w:val="22"/>
        </w:rPr>
        <w:t>process</w:t>
      </w:r>
      <w:r>
        <w:rPr>
          <w:spacing w:val="-12"/>
          <w:sz w:val="22"/>
        </w:rPr>
        <w:t> </w:t>
      </w:r>
      <w:r>
        <w:rPr>
          <w:spacing w:val="-2"/>
          <w:sz w:val="22"/>
        </w:rPr>
        <w:t>with</w:t>
      </w:r>
      <w:r>
        <w:rPr>
          <w:spacing w:val="-11"/>
          <w:sz w:val="22"/>
        </w:rPr>
        <w:t> </w:t>
      </w:r>
      <w:r>
        <w:rPr>
          <w:spacing w:val="-2"/>
          <w:sz w:val="22"/>
        </w:rPr>
        <w:t>innovations </w:t>
      </w:r>
      <w:r>
        <w:rPr>
          <w:sz w:val="22"/>
        </w:rPr>
        <w:t>such as information kiosks at the Panchayat level,</w:t>
      </w:r>
      <w:r>
        <w:rPr>
          <w:spacing w:val="-4"/>
          <w:sz w:val="22"/>
        </w:rPr>
        <w:t> </w:t>
      </w:r>
      <w:r>
        <w:rPr>
          <w:sz w:val="22"/>
        </w:rPr>
        <w:t>over</w:t>
      </w:r>
      <w:r>
        <w:rPr>
          <w:spacing w:val="-4"/>
          <w:sz w:val="22"/>
        </w:rPr>
        <w:t> </w:t>
      </w:r>
      <w:r>
        <w:rPr>
          <w:sz w:val="22"/>
        </w:rPr>
        <w:t>a</w:t>
      </w:r>
      <w:r>
        <w:rPr>
          <w:spacing w:val="-4"/>
          <w:sz w:val="22"/>
        </w:rPr>
        <w:t> </w:t>
      </w:r>
      <w:r>
        <w:rPr>
          <w:sz w:val="22"/>
        </w:rPr>
        <w:t>period</w:t>
      </w:r>
      <w:r>
        <w:rPr>
          <w:spacing w:val="-4"/>
          <w:sz w:val="22"/>
        </w:rPr>
        <w:t> </w:t>
      </w:r>
      <w:r>
        <w:rPr>
          <w:sz w:val="22"/>
        </w:rPr>
        <w:t>of</w:t>
      </w:r>
      <w:r>
        <w:rPr>
          <w:spacing w:val="-4"/>
          <w:sz w:val="22"/>
        </w:rPr>
        <w:t> </w:t>
      </w:r>
      <w:r>
        <w:rPr>
          <w:sz w:val="22"/>
        </w:rPr>
        <w:t>two</w:t>
      </w:r>
      <w:r>
        <w:rPr>
          <w:spacing w:val="-4"/>
          <w:sz w:val="22"/>
        </w:rPr>
        <w:t> </w:t>
      </w:r>
      <w:r>
        <w:rPr>
          <w:sz w:val="22"/>
        </w:rPr>
        <w:t>years</w:t>
      </w:r>
    </w:p>
    <w:p>
      <w:pPr>
        <w:pStyle w:val="BodyText"/>
        <w:spacing w:before="18"/>
      </w:pPr>
    </w:p>
    <w:p>
      <w:pPr>
        <w:pStyle w:val="ListParagraph"/>
        <w:numPr>
          <w:ilvl w:val="0"/>
          <w:numId w:val="65"/>
        </w:numPr>
        <w:tabs>
          <w:tab w:pos="1440" w:val="left" w:leader="none"/>
        </w:tabs>
        <w:spacing w:line="266" w:lineRule="auto" w:before="1" w:after="0"/>
        <w:ind w:left="1440" w:right="0" w:hanging="360"/>
        <w:jc w:val="both"/>
        <w:rPr>
          <w:sz w:val="22"/>
        </w:rPr>
      </w:pPr>
      <w:r>
        <w:rPr>
          <w:b/>
          <w:sz w:val="22"/>
        </w:rPr>
        <w:t>Use of ICT: </w:t>
      </w:r>
      <w:r>
        <w:rPr>
          <w:sz w:val="22"/>
        </w:rPr>
        <w:t>Use of ICT innovations for better governance would involve proper record maintenance, enhanced transparency </w:t>
      </w:r>
      <w:r>
        <w:rPr>
          <w:sz w:val="22"/>
        </w:rPr>
        <w:t>and proactive disclosure, efficient and timely wage payments and facilities for financial inclusion at </w:t>
      </w:r>
      <w:r>
        <w:rPr>
          <w:spacing w:val="-2"/>
          <w:sz w:val="22"/>
        </w:rPr>
        <w:t>the</w:t>
      </w:r>
      <w:r>
        <w:rPr>
          <w:spacing w:val="-8"/>
          <w:sz w:val="22"/>
        </w:rPr>
        <w:t> </w:t>
      </w:r>
      <w:r>
        <w:rPr>
          <w:spacing w:val="-2"/>
          <w:sz w:val="22"/>
        </w:rPr>
        <w:t>Gram</w:t>
      </w:r>
      <w:r>
        <w:rPr>
          <w:spacing w:val="-6"/>
          <w:sz w:val="22"/>
        </w:rPr>
        <w:t> </w:t>
      </w:r>
      <w:r>
        <w:rPr>
          <w:spacing w:val="-2"/>
          <w:sz w:val="22"/>
        </w:rPr>
        <w:t>Panchayat</w:t>
      </w:r>
      <w:r>
        <w:rPr>
          <w:spacing w:val="-6"/>
          <w:sz w:val="22"/>
        </w:rPr>
        <w:t> </w:t>
      </w:r>
      <w:r>
        <w:rPr>
          <w:spacing w:val="-2"/>
          <w:sz w:val="22"/>
        </w:rPr>
        <w:t>level.</w:t>
      </w:r>
      <w:r>
        <w:rPr>
          <w:spacing w:val="-12"/>
          <w:sz w:val="22"/>
        </w:rPr>
        <w:t> </w:t>
      </w:r>
      <w:r>
        <w:rPr>
          <w:spacing w:val="-2"/>
          <w:sz w:val="22"/>
        </w:rPr>
        <w:t>This</w:t>
      </w:r>
      <w:r>
        <w:rPr>
          <w:spacing w:val="-5"/>
          <w:sz w:val="22"/>
        </w:rPr>
        <w:t> </w:t>
      </w:r>
      <w:r>
        <w:rPr>
          <w:spacing w:val="-2"/>
          <w:sz w:val="22"/>
        </w:rPr>
        <w:t>could</w:t>
      </w:r>
      <w:r>
        <w:rPr>
          <w:spacing w:val="-6"/>
          <w:sz w:val="22"/>
        </w:rPr>
        <w:t> </w:t>
      </w:r>
      <w:r>
        <w:rPr>
          <w:spacing w:val="-2"/>
          <w:sz w:val="22"/>
        </w:rPr>
        <w:t>also</w:t>
      </w:r>
      <w:r>
        <w:rPr>
          <w:spacing w:val="-6"/>
          <w:sz w:val="22"/>
        </w:rPr>
        <w:t> </w:t>
      </w:r>
      <w:r>
        <w:rPr>
          <w:spacing w:val="-2"/>
          <w:sz w:val="22"/>
        </w:rPr>
        <w:t>include </w:t>
      </w:r>
      <w:r>
        <w:rPr>
          <w:sz w:val="22"/>
        </w:rPr>
        <w:t>innovations to reduce the digital gap by making the</w:t>
      </w:r>
      <w:r>
        <w:rPr>
          <w:spacing w:val="-5"/>
          <w:sz w:val="22"/>
        </w:rPr>
        <w:t> </w:t>
      </w:r>
      <w:r>
        <w:rPr>
          <w:sz w:val="22"/>
        </w:rPr>
        <w:t>PGK</w:t>
      </w:r>
      <w:r>
        <w:rPr>
          <w:spacing w:val="-5"/>
          <w:sz w:val="22"/>
        </w:rPr>
        <w:t> </w:t>
      </w:r>
      <w:r>
        <w:rPr>
          <w:sz w:val="22"/>
        </w:rPr>
        <w:t>a</w:t>
      </w:r>
      <w:r>
        <w:rPr>
          <w:spacing w:val="-5"/>
          <w:sz w:val="22"/>
        </w:rPr>
        <w:t> </w:t>
      </w:r>
      <w:r>
        <w:rPr>
          <w:sz w:val="22"/>
        </w:rPr>
        <w:t>public</w:t>
      </w:r>
      <w:r>
        <w:rPr>
          <w:spacing w:val="-5"/>
          <w:sz w:val="22"/>
        </w:rPr>
        <w:t> </w:t>
      </w:r>
      <w:r>
        <w:rPr>
          <w:sz w:val="22"/>
        </w:rPr>
        <w:t>internet</w:t>
      </w:r>
      <w:r>
        <w:rPr>
          <w:spacing w:val="-5"/>
          <w:sz w:val="22"/>
        </w:rPr>
        <w:t> </w:t>
      </w:r>
      <w:r>
        <w:rPr>
          <w:sz w:val="22"/>
        </w:rPr>
        <w:t>point</w:t>
      </w:r>
      <w:r>
        <w:rPr>
          <w:spacing w:val="-5"/>
          <w:sz w:val="22"/>
        </w:rPr>
        <w:t> </w:t>
      </w:r>
      <w:r>
        <w:rPr>
          <w:sz w:val="22"/>
        </w:rPr>
        <w:t>of</w:t>
      </w:r>
      <w:r>
        <w:rPr>
          <w:spacing w:val="-5"/>
          <w:sz w:val="22"/>
        </w:rPr>
        <w:t> </w:t>
      </w:r>
      <w:r>
        <w:rPr>
          <w:sz w:val="22"/>
        </w:rPr>
        <w:t>the</w:t>
      </w:r>
      <w:r>
        <w:rPr>
          <w:spacing w:val="-5"/>
          <w:sz w:val="22"/>
        </w:rPr>
        <w:t> </w:t>
      </w:r>
      <w:r>
        <w:rPr>
          <w:sz w:val="22"/>
        </w:rPr>
        <w:t>Panchayat. To ensure transparency, ICT should also be employed in bank transactions for wages as well as to create bank accounts for NREGA workers. </w:t>
      </w:r>
      <w:r>
        <w:rPr>
          <w:spacing w:val="-2"/>
          <w:sz w:val="22"/>
        </w:rPr>
        <w:t>This</w:t>
      </w:r>
      <w:r>
        <w:rPr>
          <w:spacing w:val="-12"/>
          <w:sz w:val="22"/>
        </w:rPr>
        <w:t> </w:t>
      </w:r>
      <w:r>
        <w:rPr>
          <w:spacing w:val="-2"/>
          <w:sz w:val="22"/>
        </w:rPr>
        <w:t>would</w:t>
      </w:r>
      <w:r>
        <w:rPr>
          <w:spacing w:val="-11"/>
          <w:sz w:val="22"/>
        </w:rPr>
        <w:t> </w:t>
      </w:r>
      <w:r>
        <w:rPr>
          <w:spacing w:val="-2"/>
          <w:sz w:val="22"/>
        </w:rPr>
        <w:t>provide</w:t>
      </w:r>
      <w:r>
        <w:rPr>
          <w:spacing w:val="-12"/>
          <w:sz w:val="22"/>
        </w:rPr>
        <w:t> </w:t>
      </w:r>
      <w:r>
        <w:rPr>
          <w:spacing w:val="-2"/>
          <w:sz w:val="22"/>
        </w:rPr>
        <w:t>an</w:t>
      </w:r>
      <w:r>
        <w:rPr>
          <w:spacing w:val="-11"/>
          <w:sz w:val="22"/>
        </w:rPr>
        <w:t> </w:t>
      </w:r>
      <w:r>
        <w:rPr>
          <w:spacing w:val="-2"/>
          <w:sz w:val="22"/>
        </w:rPr>
        <w:t>important</w:t>
      </w:r>
      <w:r>
        <w:rPr>
          <w:spacing w:val="-12"/>
          <w:sz w:val="22"/>
        </w:rPr>
        <w:t> </w:t>
      </w:r>
      <w:r>
        <w:rPr>
          <w:spacing w:val="-2"/>
          <w:sz w:val="22"/>
        </w:rPr>
        <w:t>system</w:t>
      </w:r>
      <w:r>
        <w:rPr>
          <w:spacing w:val="-11"/>
          <w:sz w:val="22"/>
        </w:rPr>
        <w:t> </w:t>
      </w:r>
      <w:r>
        <w:rPr>
          <w:spacing w:val="-2"/>
          <w:sz w:val="22"/>
        </w:rPr>
        <w:t>of</w:t>
      </w:r>
      <w:r>
        <w:rPr>
          <w:spacing w:val="-12"/>
          <w:sz w:val="22"/>
        </w:rPr>
        <w:t> </w:t>
      </w:r>
      <w:r>
        <w:rPr>
          <w:spacing w:val="-2"/>
          <w:sz w:val="22"/>
        </w:rPr>
        <w:t>checks </w:t>
      </w:r>
      <w:r>
        <w:rPr>
          <w:sz w:val="22"/>
        </w:rPr>
        <w:t>and balances.</w:t>
      </w:r>
    </w:p>
    <w:p>
      <w:pPr>
        <w:pStyle w:val="BodyText"/>
        <w:spacing w:before="16"/>
      </w:pPr>
    </w:p>
    <w:p>
      <w:pPr>
        <w:pStyle w:val="BodyText"/>
        <w:spacing w:line="266" w:lineRule="auto"/>
        <w:ind w:left="1440" w:hanging="1"/>
        <w:jc w:val="both"/>
      </w:pPr>
      <w:r>
        <w:rPr/>
        <w:t>One</w:t>
      </w:r>
      <w:r>
        <w:rPr>
          <w:spacing w:val="-6"/>
        </w:rPr>
        <w:t> </w:t>
      </w:r>
      <w:r>
        <w:rPr/>
        <w:t>such</w:t>
      </w:r>
      <w:r>
        <w:rPr>
          <w:spacing w:val="-6"/>
        </w:rPr>
        <w:t> </w:t>
      </w:r>
      <w:r>
        <w:rPr/>
        <w:t>initiative</w:t>
      </w:r>
      <w:r>
        <w:rPr>
          <w:spacing w:val="-6"/>
        </w:rPr>
        <w:t> </w:t>
      </w:r>
      <w:r>
        <w:rPr/>
        <w:t>is</w:t>
      </w:r>
      <w:r>
        <w:rPr>
          <w:spacing w:val="-6"/>
        </w:rPr>
        <w:t> </w:t>
      </w:r>
      <w:r>
        <w:rPr/>
        <w:t>a</w:t>
      </w:r>
      <w:r>
        <w:rPr>
          <w:spacing w:val="-6"/>
        </w:rPr>
        <w:t> </w:t>
      </w:r>
      <w:r>
        <w:rPr/>
        <w:t>live</w:t>
      </w:r>
      <w:r>
        <w:rPr>
          <w:spacing w:val="-6"/>
        </w:rPr>
        <w:t> </w:t>
      </w:r>
      <w:r>
        <w:rPr/>
        <w:t>pilot</w:t>
      </w:r>
      <w:r>
        <w:rPr>
          <w:spacing w:val="-6"/>
        </w:rPr>
        <w:t> </w:t>
      </w:r>
      <w:r>
        <w:rPr/>
        <w:t>jointly</w:t>
      </w:r>
      <w:r>
        <w:rPr>
          <w:spacing w:val="-6"/>
        </w:rPr>
        <w:t> </w:t>
      </w:r>
      <w:r>
        <w:rPr/>
        <w:t>launched by</w:t>
      </w:r>
      <w:r>
        <w:rPr>
          <w:spacing w:val="40"/>
        </w:rPr>
        <w:t> </w:t>
      </w:r>
      <w:r>
        <w:rPr/>
        <w:t>NIC</w:t>
      </w:r>
      <w:r>
        <w:rPr>
          <w:spacing w:val="40"/>
        </w:rPr>
        <w:t> </w:t>
      </w:r>
      <w:r>
        <w:rPr/>
        <w:t>and</w:t>
      </w:r>
      <w:r>
        <w:rPr>
          <w:spacing w:val="40"/>
        </w:rPr>
        <w:t> </w:t>
      </w:r>
      <w:r>
        <w:rPr/>
        <w:t>India</w:t>
      </w:r>
      <w:r>
        <w:rPr>
          <w:spacing w:val="40"/>
        </w:rPr>
        <w:t> </w:t>
      </w:r>
      <w:r>
        <w:rPr/>
        <w:t>Post</w:t>
      </w:r>
      <w:r>
        <w:rPr>
          <w:spacing w:val="40"/>
        </w:rPr>
        <w:t> </w:t>
      </w:r>
      <w:r>
        <w:rPr/>
        <w:t>in</w:t>
      </w:r>
      <w:r>
        <w:rPr>
          <w:spacing w:val="40"/>
        </w:rPr>
        <w:t> </w:t>
      </w:r>
      <w:r>
        <w:rPr/>
        <w:t>the</w:t>
      </w:r>
      <w:r>
        <w:rPr>
          <w:spacing w:val="40"/>
        </w:rPr>
        <w:t> </w:t>
      </w:r>
      <w:r>
        <w:rPr/>
        <w:t>state</w:t>
      </w:r>
      <w:r>
        <w:rPr>
          <w:spacing w:val="40"/>
        </w:rPr>
        <w:t> </w:t>
      </w:r>
      <w:r>
        <w:rPr/>
        <w:t>of</w:t>
      </w:r>
      <w:r>
        <w:rPr>
          <w:spacing w:val="40"/>
        </w:rPr>
        <w:t> </w:t>
      </w:r>
      <w:r>
        <w:rPr/>
        <w:t>Orissa in</w:t>
      </w:r>
      <w:r>
        <w:rPr>
          <w:spacing w:val="40"/>
        </w:rPr>
        <w:t> </w:t>
      </w:r>
      <w:r>
        <w:rPr/>
        <w:t>December</w:t>
      </w:r>
      <w:r>
        <w:rPr>
          <w:spacing w:val="40"/>
        </w:rPr>
        <w:t> </w:t>
      </w:r>
      <w:r>
        <w:rPr/>
        <w:t>2008.</w:t>
      </w:r>
      <w:r>
        <w:rPr>
          <w:spacing w:val="40"/>
        </w:rPr>
        <w:t> </w:t>
      </w:r>
      <w:r>
        <w:rPr/>
        <w:t>In</w:t>
      </w:r>
      <w:r>
        <w:rPr>
          <w:spacing w:val="40"/>
        </w:rPr>
        <w:t> </w:t>
      </w:r>
      <w:r>
        <w:rPr/>
        <w:t>this</w:t>
      </w:r>
      <w:r>
        <w:rPr>
          <w:spacing w:val="40"/>
        </w:rPr>
        <w:t> </w:t>
      </w:r>
      <w:r>
        <w:rPr/>
        <w:t>pilot,</w:t>
      </w:r>
      <w:r>
        <w:rPr>
          <w:spacing w:val="40"/>
        </w:rPr>
        <w:t> </w:t>
      </w:r>
      <w:r>
        <w:rPr/>
        <w:t>postal</w:t>
      </w:r>
      <w:r>
        <w:rPr>
          <w:spacing w:val="40"/>
        </w:rPr>
        <w:t> </w:t>
      </w:r>
      <w:r>
        <w:rPr/>
        <w:t>agents in villages have been equipped with mobile phones enhanced with unique secure transaction technology, and supported by smart card readers and</w:t>
      </w:r>
      <w:r>
        <w:rPr>
          <w:spacing w:val="-9"/>
        </w:rPr>
        <w:t> </w:t>
      </w:r>
      <w:r>
        <w:rPr/>
        <w:t>finger-print</w:t>
      </w:r>
      <w:r>
        <w:rPr>
          <w:spacing w:val="-9"/>
        </w:rPr>
        <w:t> </w:t>
      </w:r>
      <w:r>
        <w:rPr/>
        <w:t>sensors,</w:t>
      </w:r>
      <w:r>
        <w:rPr>
          <w:spacing w:val="-9"/>
        </w:rPr>
        <w:t> </w:t>
      </w:r>
      <w:r>
        <w:rPr/>
        <w:t>to</w:t>
      </w:r>
      <w:r>
        <w:rPr>
          <w:spacing w:val="-9"/>
        </w:rPr>
        <w:t> </w:t>
      </w:r>
      <w:r>
        <w:rPr/>
        <w:t>interact</w:t>
      </w:r>
      <w:r>
        <w:rPr>
          <w:spacing w:val="-9"/>
        </w:rPr>
        <w:t> </w:t>
      </w:r>
      <w:r>
        <w:rPr/>
        <w:t>with</w:t>
      </w:r>
      <w:r>
        <w:rPr>
          <w:spacing w:val="-9"/>
        </w:rPr>
        <w:t> </w:t>
      </w:r>
      <w:r>
        <w:rPr/>
        <w:t>NREGA </w:t>
      </w:r>
      <w:r>
        <w:rPr>
          <w:spacing w:val="-2"/>
        </w:rPr>
        <w:t>workers</w:t>
      </w:r>
      <w:r>
        <w:rPr>
          <w:spacing w:val="-9"/>
        </w:rPr>
        <w:t> </w:t>
      </w:r>
      <w:r>
        <w:rPr>
          <w:spacing w:val="-2"/>
        </w:rPr>
        <w:t>and</w:t>
      </w:r>
      <w:r>
        <w:rPr>
          <w:spacing w:val="-9"/>
        </w:rPr>
        <w:t> </w:t>
      </w:r>
      <w:r>
        <w:rPr>
          <w:spacing w:val="-2"/>
        </w:rPr>
        <w:t>securely</w:t>
      </w:r>
      <w:r>
        <w:rPr>
          <w:spacing w:val="-9"/>
        </w:rPr>
        <w:t> </w:t>
      </w:r>
      <w:r>
        <w:rPr>
          <w:spacing w:val="-2"/>
        </w:rPr>
        <w:t>deliver</w:t>
      </w:r>
      <w:r>
        <w:rPr>
          <w:spacing w:val="-9"/>
        </w:rPr>
        <w:t> </w:t>
      </w:r>
      <w:r>
        <w:rPr>
          <w:spacing w:val="-2"/>
        </w:rPr>
        <w:t>payments.</w:t>
      </w:r>
      <w:r>
        <w:rPr>
          <w:spacing w:val="-9"/>
        </w:rPr>
        <w:t> </w:t>
      </w:r>
      <w:r>
        <w:rPr>
          <w:spacing w:val="-2"/>
        </w:rPr>
        <w:t>Near</w:t>
      </w:r>
      <w:r>
        <w:rPr>
          <w:spacing w:val="-9"/>
        </w:rPr>
        <w:t> </w:t>
      </w:r>
      <w:r>
        <w:rPr>
          <w:spacing w:val="-2"/>
        </w:rPr>
        <w:t>real- </w:t>
      </w:r>
      <w:r>
        <w:rPr/>
        <w:t>time data entry from these terminals to the block </w:t>
      </w:r>
      <w:r>
        <w:rPr>
          <w:spacing w:val="-2"/>
        </w:rPr>
        <w:t>level</w:t>
      </w:r>
      <w:r>
        <w:rPr>
          <w:spacing w:val="-12"/>
        </w:rPr>
        <w:t> </w:t>
      </w:r>
      <w:r>
        <w:rPr>
          <w:spacing w:val="-2"/>
        </w:rPr>
        <w:t>system</w:t>
      </w:r>
      <w:r>
        <w:rPr>
          <w:spacing w:val="-12"/>
        </w:rPr>
        <w:t> </w:t>
      </w:r>
      <w:r>
        <w:rPr>
          <w:spacing w:val="-2"/>
        </w:rPr>
        <w:t>using</w:t>
      </w:r>
      <w:r>
        <w:rPr>
          <w:spacing w:val="-11"/>
        </w:rPr>
        <w:t> </w:t>
      </w:r>
      <w:r>
        <w:rPr>
          <w:spacing w:val="-2"/>
        </w:rPr>
        <w:t>mobile</w:t>
      </w:r>
      <w:r>
        <w:rPr>
          <w:spacing w:val="-12"/>
        </w:rPr>
        <w:t> </w:t>
      </w:r>
      <w:r>
        <w:rPr>
          <w:spacing w:val="-2"/>
        </w:rPr>
        <w:t>data</w:t>
      </w:r>
      <w:r>
        <w:rPr>
          <w:spacing w:val="-12"/>
        </w:rPr>
        <w:t> </w:t>
      </w:r>
      <w:r>
        <w:rPr>
          <w:spacing w:val="-2"/>
        </w:rPr>
        <w:t>connection</w:t>
      </w:r>
      <w:r>
        <w:rPr>
          <w:spacing w:val="-11"/>
        </w:rPr>
        <w:t> </w:t>
      </w:r>
      <w:r>
        <w:rPr>
          <w:spacing w:val="-2"/>
        </w:rPr>
        <w:t>ensures </w:t>
      </w:r>
      <w:r>
        <w:rPr/>
        <w:t>minimal latency and enhanced transparency in servicing worker requests. While the first phase of the live pilot is focused on secure delivery of payments to the workers, the larger goal of this exercise is to create “pseudo-bank accounts” for all</w:t>
      </w:r>
      <w:r>
        <w:rPr>
          <w:spacing w:val="-7"/>
        </w:rPr>
        <w:t> </w:t>
      </w:r>
      <w:r>
        <w:rPr/>
        <w:t>the</w:t>
      </w:r>
      <w:r>
        <w:rPr>
          <w:spacing w:val="-7"/>
        </w:rPr>
        <w:t> </w:t>
      </w:r>
      <w:r>
        <w:rPr/>
        <w:t>participants,</w:t>
      </w:r>
      <w:r>
        <w:rPr>
          <w:spacing w:val="-7"/>
        </w:rPr>
        <w:t> </w:t>
      </w:r>
      <w:r>
        <w:rPr/>
        <w:t>which</w:t>
      </w:r>
      <w:r>
        <w:rPr>
          <w:spacing w:val="-7"/>
        </w:rPr>
        <w:t> </w:t>
      </w:r>
      <w:r>
        <w:rPr/>
        <w:t>will</w:t>
      </w:r>
      <w:r>
        <w:rPr>
          <w:spacing w:val="-7"/>
        </w:rPr>
        <w:t> </w:t>
      </w:r>
      <w:r>
        <w:rPr/>
        <w:t>be</w:t>
      </w:r>
      <w:r>
        <w:rPr>
          <w:spacing w:val="-7"/>
        </w:rPr>
        <w:t> </w:t>
      </w:r>
      <w:r>
        <w:rPr/>
        <w:t>hosted</w:t>
      </w:r>
      <w:r>
        <w:rPr>
          <w:spacing w:val="-7"/>
        </w:rPr>
        <w:t> </w:t>
      </w:r>
      <w:r>
        <w:rPr/>
        <w:t>by</w:t>
      </w:r>
      <w:r>
        <w:rPr>
          <w:spacing w:val="-7"/>
        </w:rPr>
        <w:t> </w:t>
      </w:r>
      <w:r>
        <w:rPr/>
        <w:t>India Post (and any other treasury authorised by the Government of India). A similar pilot project for </w:t>
      </w:r>
      <w:r>
        <w:rPr>
          <w:spacing w:val="-4"/>
        </w:rPr>
        <w:t>enabling</w:t>
      </w:r>
      <w:r>
        <w:rPr>
          <w:spacing w:val="-5"/>
        </w:rPr>
        <w:t> </w:t>
      </w:r>
      <w:r>
        <w:rPr>
          <w:spacing w:val="-4"/>
        </w:rPr>
        <w:t>wage</w:t>
      </w:r>
      <w:r>
        <w:rPr>
          <w:spacing w:val="-5"/>
        </w:rPr>
        <w:t> </w:t>
      </w:r>
      <w:r>
        <w:rPr>
          <w:spacing w:val="-4"/>
        </w:rPr>
        <w:t>payments</w:t>
      </w:r>
      <w:r>
        <w:rPr>
          <w:spacing w:val="-5"/>
        </w:rPr>
        <w:t> </w:t>
      </w:r>
      <w:r>
        <w:rPr>
          <w:spacing w:val="-4"/>
        </w:rPr>
        <w:t>through</w:t>
      </w:r>
      <w:r>
        <w:rPr>
          <w:spacing w:val="-5"/>
        </w:rPr>
        <w:t> </w:t>
      </w:r>
      <w:r>
        <w:rPr>
          <w:spacing w:val="-4"/>
        </w:rPr>
        <w:t>ICT</w:t>
      </w:r>
      <w:r>
        <w:rPr>
          <w:spacing w:val="-5"/>
        </w:rPr>
        <w:t> </w:t>
      </w:r>
      <w:r>
        <w:rPr>
          <w:spacing w:val="-4"/>
        </w:rPr>
        <w:t>is</w:t>
      </w:r>
      <w:r>
        <w:rPr>
          <w:spacing w:val="-5"/>
        </w:rPr>
        <w:t> </w:t>
      </w:r>
      <w:r>
        <w:rPr>
          <w:spacing w:val="-4"/>
        </w:rPr>
        <w:t>also</w:t>
      </w:r>
      <w:r>
        <w:rPr>
          <w:spacing w:val="-5"/>
        </w:rPr>
        <w:t> </w:t>
      </w:r>
      <w:r>
        <w:rPr>
          <w:spacing w:val="-4"/>
        </w:rPr>
        <w:t>under </w:t>
      </w:r>
      <w:r>
        <w:rPr/>
        <w:t>consideration</w:t>
      </w:r>
      <w:r>
        <w:rPr>
          <w:spacing w:val="-4"/>
        </w:rPr>
        <w:t> </w:t>
      </w:r>
      <w:r>
        <w:rPr/>
        <w:t>in</w:t>
      </w:r>
      <w:r>
        <w:rPr>
          <w:spacing w:val="-4"/>
        </w:rPr>
        <w:t> </w:t>
      </w:r>
      <w:r>
        <w:rPr/>
        <w:t>Rajsamand</w:t>
      </w:r>
      <w:r>
        <w:rPr>
          <w:spacing w:val="-4"/>
        </w:rPr>
        <w:t> </w:t>
      </w:r>
      <w:r>
        <w:rPr/>
        <w:t>district</w:t>
      </w:r>
      <w:r>
        <w:rPr>
          <w:spacing w:val="-4"/>
        </w:rPr>
        <w:t> </w:t>
      </w:r>
      <w:r>
        <w:rPr/>
        <w:t>in</w:t>
      </w:r>
      <w:r>
        <w:rPr>
          <w:spacing w:val="-4"/>
        </w:rPr>
        <w:t> </w:t>
      </w:r>
      <w:r>
        <w:rPr/>
        <w:t>Rajasthan.</w:t>
      </w:r>
    </w:p>
    <w:p>
      <w:pPr>
        <w:pStyle w:val="BodyText"/>
        <w:spacing w:before="11"/>
      </w:pPr>
    </w:p>
    <w:p>
      <w:pPr>
        <w:pStyle w:val="ListParagraph"/>
        <w:numPr>
          <w:ilvl w:val="0"/>
          <w:numId w:val="65"/>
        </w:numPr>
        <w:tabs>
          <w:tab w:pos="1440" w:val="left" w:leader="none"/>
        </w:tabs>
        <w:spacing w:line="266" w:lineRule="auto" w:before="0" w:after="0"/>
        <w:ind w:left="1440" w:right="0" w:hanging="360"/>
        <w:jc w:val="both"/>
        <w:rPr>
          <w:sz w:val="22"/>
        </w:rPr>
      </w:pPr>
      <w:r>
        <w:rPr>
          <w:b/>
          <w:sz w:val="22"/>
        </w:rPr>
        <w:t>Disclosure processes: </w:t>
      </w:r>
      <w:r>
        <w:rPr>
          <w:sz w:val="22"/>
        </w:rPr>
        <w:t>To ensure </w:t>
      </w:r>
      <w:r>
        <w:rPr>
          <w:sz w:val="22"/>
        </w:rPr>
        <w:t>transparency</w:t>
      </w:r>
      <w:r>
        <w:rPr>
          <w:spacing w:val="80"/>
          <w:sz w:val="22"/>
        </w:rPr>
        <w:t> </w:t>
      </w:r>
      <w:r>
        <w:rPr>
          <w:sz w:val="22"/>
        </w:rPr>
        <w:t>in Panchayats, due mechanisms need to be incorporated including an open office, open inspection and an institutionalised system of proactive</w:t>
      </w:r>
      <w:r>
        <w:rPr>
          <w:spacing w:val="73"/>
          <w:sz w:val="22"/>
        </w:rPr>
        <w:t> </w:t>
      </w:r>
      <w:r>
        <w:rPr>
          <w:sz w:val="22"/>
        </w:rPr>
        <w:t>disclosure</w:t>
      </w:r>
      <w:r>
        <w:rPr>
          <w:spacing w:val="73"/>
          <w:sz w:val="22"/>
        </w:rPr>
        <w:t> </w:t>
      </w:r>
      <w:r>
        <w:rPr>
          <w:sz w:val="22"/>
        </w:rPr>
        <w:t>for</w:t>
      </w:r>
      <w:r>
        <w:rPr>
          <w:spacing w:val="73"/>
          <w:sz w:val="22"/>
        </w:rPr>
        <w:t> </w:t>
      </w:r>
      <w:r>
        <w:rPr>
          <w:sz w:val="22"/>
        </w:rPr>
        <w:t>NREGA,</w:t>
      </w:r>
      <w:r>
        <w:rPr>
          <w:spacing w:val="73"/>
          <w:sz w:val="22"/>
        </w:rPr>
        <w:t> </w:t>
      </w:r>
      <w:r>
        <w:rPr>
          <w:sz w:val="22"/>
        </w:rPr>
        <w:t>as</w:t>
      </w:r>
      <w:r>
        <w:rPr>
          <w:spacing w:val="73"/>
          <w:sz w:val="22"/>
        </w:rPr>
        <w:t> </w:t>
      </w:r>
      <w:r>
        <w:rPr>
          <w:sz w:val="22"/>
        </w:rPr>
        <w:t>well</w:t>
      </w:r>
      <w:r>
        <w:rPr>
          <w:spacing w:val="73"/>
          <w:sz w:val="22"/>
        </w:rPr>
        <w:t> </w:t>
      </w:r>
      <w:r>
        <w:rPr>
          <w:sz w:val="22"/>
        </w:rPr>
        <w:t>as</w:t>
      </w:r>
    </w:p>
    <w:p>
      <w:pPr>
        <w:pStyle w:val="BodyText"/>
        <w:spacing w:line="266" w:lineRule="auto" w:before="57"/>
        <w:ind w:left="679" w:right="1075"/>
      </w:pPr>
      <w:r>
        <w:rPr/>
        <w:br w:type="column"/>
      </w:r>
      <w:r>
        <w:rPr/>
        <w:t>other</w:t>
      </w:r>
      <w:r>
        <w:rPr>
          <w:spacing w:val="10"/>
        </w:rPr>
        <w:t> </w:t>
      </w:r>
      <w:r>
        <w:rPr/>
        <w:t>Panchayat</w:t>
      </w:r>
      <w:r>
        <w:rPr>
          <w:spacing w:val="10"/>
        </w:rPr>
        <w:t> </w:t>
      </w:r>
      <w:r>
        <w:rPr/>
        <w:t>programs</w:t>
      </w:r>
      <w:r>
        <w:rPr>
          <w:spacing w:val="10"/>
        </w:rPr>
        <w:t> </w:t>
      </w:r>
      <w:r>
        <w:rPr/>
        <w:t>and</w:t>
      </w:r>
      <w:r>
        <w:rPr>
          <w:spacing w:val="10"/>
        </w:rPr>
        <w:t> </w:t>
      </w:r>
      <w:r>
        <w:rPr/>
        <w:t>functions.</w:t>
      </w:r>
      <w:r>
        <w:rPr>
          <w:spacing w:val="10"/>
        </w:rPr>
        <w:t> </w:t>
      </w:r>
      <w:r>
        <w:rPr/>
        <w:t>For</w:t>
      </w:r>
      <w:r>
        <w:rPr>
          <w:spacing w:val="10"/>
        </w:rPr>
        <w:t> </w:t>
      </w:r>
      <w:r>
        <w:rPr/>
        <w:t>all Panchayat</w:t>
      </w:r>
      <w:r>
        <w:rPr>
          <w:spacing w:val="-12"/>
        </w:rPr>
        <w:t> </w:t>
      </w:r>
      <w:r>
        <w:rPr/>
        <w:t>offices,</w:t>
      </w:r>
      <w:r>
        <w:rPr>
          <w:spacing w:val="-12"/>
        </w:rPr>
        <w:t> </w:t>
      </w:r>
      <w:r>
        <w:rPr/>
        <w:t>this</w:t>
      </w:r>
      <w:r>
        <w:rPr>
          <w:spacing w:val="-12"/>
        </w:rPr>
        <w:t> </w:t>
      </w:r>
      <w:r>
        <w:rPr/>
        <w:t>would</w:t>
      </w:r>
      <w:r>
        <w:rPr>
          <w:spacing w:val="-12"/>
        </w:rPr>
        <w:t> </w:t>
      </w:r>
      <w:r>
        <w:rPr/>
        <w:t>require</w:t>
      </w:r>
      <w:r>
        <w:rPr>
          <w:spacing w:val="-12"/>
        </w:rPr>
        <w:t> </w:t>
      </w:r>
      <w:r>
        <w:rPr/>
        <w:t>a</w:t>
      </w:r>
      <w:r>
        <w:rPr>
          <w:spacing w:val="-12"/>
        </w:rPr>
        <w:t> </w:t>
      </w:r>
      <w:r>
        <w:rPr/>
        <w:t>year.</w:t>
      </w:r>
    </w:p>
    <w:p>
      <w:pPr>
        <w:pStyle w:val="BodyText"/>
        <w:spacing w:before="26"/>
      </w:pPr>
    </w:p>
    <w:p>
      <w:pPr>
        <w:pStyle w:val="ListParagraph"/>
        <w:numPr>
          <w:ilvl w:val="0"/>
          <w:numId w:val="65"/>
        </w:numPr>
        <w:tabs>
          <w:tab w:pos="679" w:val="left" w:leader="none"/>
        </w:tabs>
        <w:spacing w:line="266" w:lineRule="auto" w:before="0" w:after="0"/>
        <w:ind w:left="679" w:right="1077" w:hanging="360"/>
        <w:jc w:val="both"/>
        <w:rPr>
          <w:sz w:val="22"/>
        </w:rPr>
      </w:pPr>
      <w:r>
        <w:rPr>
          <w:b/>
          <w:sz w:val="22"/>
        </w:rPr>
        <w:t>Social audit: </w:t>
      </w:r>
      <w:r>
        <w:rPr>
          <w:sz w:val="22"/>
        </w:rPr>
        <w:t>To further ensure a system of accountability and monitoring, a full social </w:t>
      </w:r>
      <w:r>
        <w:rPr>
          <w:sz w:val="22"/>
        </w:rPr>
        <w:t>audit of</w:t>
      </w:r>
      <w:r>
        <w:rPr>
          <w:spacing w:val="-14"/>
          <w:sz w:val="22"/>
        </w:rPr>
        <w:t> </w:t>
      </w:r>
      <w:r>
        <w:rPr>
          <w:sz w:val="22"/>
        </w:rPr>
        <w:t>all</w:t>
      </w:r>
      <w:r>
        <w:rPr>
          <w:spacing w:val="-13"/>
          <w:sz w:val="22"/>
        </w:rPr>
        <w:t> </w:t>
      </w:r>
      <w:r>
        <w:rPr>
          <w:sz w:val="22"/>
        </w:rPr>
        <w:t>NREGA</w:t>
      </w:r>
      <w:r>
        <w:rPr>
          <w:spacing w:val="-14"/>
          <w:sz w:val="22"/>
        </w:rPr>
        <w:t> </w:t>
      </w:r>
      <w:r>
        <w:rPr>
          <w:sz w:val="22"/>
        </w:rPr>
        <w:t>works</w:t>
      </w:r>
      <w:r>
        <w:rPr>
          <w:spacing w:val="-13"/>
          <w:sz w:val="22"/>
        </w:rPr>
        <w:t> </w:t>
      </w:r>
      <w:r>
        <w:rPr>
          <w:sz w:val="22"/>
        </w:rPr>
        <w:t>in</w:t>
      </w:r>
      <w:r>
        <w:rPr>
          <w:spacing w:val="-14"/>
          <w:sz w:val="22"/>
        </w:rPr>
        <w:t> </w:t>
      </w:r>
      <w:r>
        <w:rPr>
          <w:sz w:val="22"/>
        </w:rPr>
        <w:t>the</w:t>
      </w:r>
      <w:r>
        <w:rPr>
          <w:spacing w:val="-13"/>
          <w:sz w:val="22"/>
        </w:rPr>
        <w:t> </w:t>
      </w:r>
      <w:r>
        <w:rPr>
          <w:sz w:val="22"/>
        </w:rPr>
        <w:t>Panchayat</w:t>
      </w:r>
      <w:r>
        <w:rPr>
          <w:spacing w:val="-14"/>
          <w:sz w:val="22"/>
        </w:rPr>
        <w:t> </w:t>
      </w:r>
      <w:r>
        <w:rPr>
          <w:sz w:val="22"/>
        </w:rPr>
        <w:t>needs</w:t>
      </w:r>
      <w:r>
        <w:rPr>
          <w:spacing w:val="-13"/>
          <w:sz w:val="22"/>
        </w:rPr>
        <w:t> </w:t>
      </w:r>
      <w:r>
        <w:rPr>
          <w:sz w:val="22"/>
        </w:rPr>
        <w:t>to</w:t>
      </w:r>
      <w:r>
        <w:rPr>
          <w:spacing w:val="-14"/>
          <w:sz w:val="22"/>
        </w:rPr>
        <w:t> </w:t>
      </w:r>
      <w:r>
        <w:rPr>
          <w:sz w:val="22"/>
        </w:rPr>
        <w:t>be conducted twice a year.</w:t>
      </w:r>
      <w:r>
        <w:rPr>
          <w:spacing w:val="-4"/>
          <w:sz w:val="22"/>
        </w:rPr>
        <w:t> </w:t>
      </w:r>
      <w:r>
        <w:rPr>
          <w:sz w:val="22"/>
        </w:rPr>
        <w:t>This would aim to cover </w:t>
      </w:r>
      <w:r>
        <w:rPr>
          <w:spacing w:val="-2"/>
          <w:sz w:val="22"/>
        </w:rPr>
        <w:t>neighbouring</w:t>
      </w:r>
      <w:r>
        <w:rPr>
          <w:spacing w:val="-9"/>
          <w:sz w:val="22"/>
        </w:rPr>
        <w:t> </w:t>
      </w:r>
      <w:r>
        <w:rPr>
          <w:spacing w:val="-2"/>
          <w:sz w:val="22"/>
        </w:rPr>
        <w:t>Panchayats</w:t>
      </w:r>
      <w:r>
        <w:rPr>
          <w:spacing w:val="-9"/>
          <w:sz w:val="22"/>
        </w:rPr>
        <w:t> </w:t>
      </w:r>
      <w:r>
        <w:rPr>
          <w:spacing w:val="-2"/>
          <w:sz w:val="22"/>
        </w:rPr>
        <w:t>and</w:t>
      </w:r>
      <w:r>
        <w:rPr>
          <w:spacing w:val="-9"/>
          <w:sz w:val="22"/>
        </w:rPr>
        <w:t> </w:t>
      </w:r>
      <w:r>
        <w:rPr>
          <w:spacing w:val="-2"/>
          <w:sz w:val="22"/>
        </w:rPr>
        <w:t>eventually</w:t>
      </w:r>
      <w:r>
        <w:rPr>
          <w:spacing w:val="-9"/>
          <w:sz w:val="22"/>
        </w:rPr>
        <w:t> </w:t>
      </w:r>
      <w:r>
        <w:rPr>
          <w:spacing w:val="-2"/>
          <w:sz w:val="22"/>
        </w:rPr>
        <w:t>the</w:t>
      </w:r>
      <w:r>
        <w:rPr>
          <w:spacing w:val="-9"/>
          <w:sz w:val="22"/>
        </w:rPr>
        <w:t> </w:t>
      </w:r>
      <w:r>
        <w:rPr>
          <w:spacing w:val="-2"/>
          <w:sz w:val="22"/>
        </w:rPr>
        <w:t>block </w:t>
      </w:r>
      <w:r>
        <w:rPr>
          <w:sz w:val="22"/>
        </w:rPr>
        <w:t>within one year.</w:t>
      </w:r>
    </w:p>
    <w:p>
      <w:pPr>
        <w:pStyle w:val="BodyText"/>
        <w:spacing w:before="22"/>
      </w:pPr>
    </w:p>
    <w:p>
      <w:pPr>
        <w:pStyle w:val="ListParagraph"/>
        <w:numPr>
          <w:ilvl w:val="0"/>
          <w:numId w:val="65"/>
        </w:numPr>
        <w:tabs>
          <w:tab w:pos="679" w:val="left" w:leader="none"/>
        </w:tabs>
        <w:spacing w:line="266" w:lineRule="auto" w:before="0" w:after="0"/>
        <w:ind w:left="679" w:right="1077" w:hanging="360"/>
        <w:jc w:val="both"/>
        <w:rPr>
          <w:sz w:val="22"/>
        </w:rPr>
      </w:pPr>
      <w:r>
        <w:rPr>
          <w:b/>
          <w:w w:val="90"/>
          <w:sz w:val="22"/>
        </w:rPr>
        <w:t>Programs for skill upgradation: </w:t>
      </w:r>
      <w:r>
        <w:rPr>
          <w:w w:val="90"/>
          <w:sz w:val="22"/>
        </w:rPr>
        <w:t>Such programs for </w:t>
      </w:r>
      <w:r>
        <w:rPr>
          <w:sz w:val="22"/>
        </w:rPr>
        <w:t>NREGA</w:t>
      </w:r>
      <w:r>
        <w:rPr>
          <w:spacing w:val="-14"/>
          <w:sz w:val="22"/>
        </w:rPr>
        <w:t> </w:t>
      </w:r>
      <w:r>
        <w:rPr>
          <w:sz w:val="22"/>
        </w:rPr>
        <w:t>workers</w:t>
      </w:r>
      <w:r>
        <w:rPr>
          <w:spacing w:val="-13"/>
          <w:sz w:val="22"/>
        </w:rPr>
        <w:t> </w:t>
      </w:r>
      <w:r>
        <w:rPr>
          <w:sz w:val="22"/>
        </w:rPr>
        <w:t>in</w:t>
      </w:r>
      <w:r>
        <w:rPr>
          <w:spacing w:val="-14"/>
          <w:sz w:val="22"/>
        </w:rPr>
        <w:t> </w:t>
      </w:r>
      <w:r>
        <w:rPr>
          <w:sz w:val="22"/>
        </w:rPr>
        <w:t>the</w:t>
      </w:r>
      <w:r>
        <w:rPr>
          <w:spacing w:val="-14"/>
          <w:sz w:val="22"/>
        </w:rPr>
        <w:t> </w:t>
      </w:r>
      <w:r>
        <w:rPr>
          <w:sz w:val="22"/>
        </w:rPr>
        <w:t>Gram</w:t>
      </w:r>
      <w:r>
        <w:rPr>
          <w:spacing w:val="-13"/>
          <w:sz w:val="22"/>
        </w:rPr>
        <w:t> </w:t>
      </w:r>
      <w:r>
        <w:rPr>
          <w:sz w:val="22"/>
        </w:rPr>
        <w:t>Panchayat</w:t>
      </w:r>
      <w:r>
        <w:rPr>
          <w:spacing w:val="-14"/>
          <w:sz w:val="22"/>
        </w:rPr>
        <w:t> </w:t>
      </w:r>
      <w:r>
        <w:rPr>
          <w:sz w:val="22"/>
        </w:rPr>
        <w:t>could</w:t>
      </w:r>
      <w:r>
        <w:rPr>
          <w:spacing w:val="-14"/>
          <w:sz w:val="22"/>
        </w:rPr>
        <w:t> </w:t>
      </w:r>
      <w:r>
        <w:rPr>
          <w:sz w:val="22"/>
        </w:rPr>
        <w:t>be </w:t>
      </w:r>
      <w:r>
        <w:rPr>
          <w:spacing w:val="-4"/>
          <w:sz w:val="22"/>
        </w:rPr>
        <w:t>evolved</w:t>
      </w:r>
      <w:r>
        <w:rPr>
          <w:spacing w:val="-10"/>
          <w:sz w:val="22"/>
        </w:rPr>
        <w:t> </w:t>
      </w:r>
      <w:r>
        <w:rPr>
          <w:spacing w:val="-4"/>
          <w:sz w:val="22"/>
        </w:rPr>
        <w:t>based</w:t>
      </w:r>
      <w:r>
        <w:rPr>
          <w:spacing w:val="-10"/>
          <w:sz w:val="22"/>
        </w:rPr>
        <w:t> </w:t>
      </w:r>
      <w:r>
        <w:rPr>
          <w:spacing w:val="-4"/>
          <w:sz w:val="22"/>
        </w:rPr>
        <w:t>on</w:t>
      </w:r>
      <w:r>
        <w:rPr>
          <w:spacing w:val="-10"/>
          <w:sz w:val="22"/>
        </w:rPr>
        <w:t> </w:t>
      </w:r>
      <w:r>
        <w:rPr>
          <w:spacing w:val="-4"/>
          <w:sz w:val="22"/>
        </w:rPr>
        <w:t>local</w:t>
      </w:r>
      <w:r>
        <w:rPr>
          <w:spacing w:val="-9"/>
          <w:sz w:val="22"/>
        </w:rPr>
        <w:t> </w:t>
      </w:r>
      <w:r>
        <w:rPr>
          <w:spacing w:val="-4"/>
          <w:sz w:val="22"/>
        </w:rPr>
        <w:t>skills</w:t>
      </w:r>
      <w:r>
        <w:rPr>
          <w:spacing w:val="-10"/>
          <w:sz w:val="22"/>
        </w:rPr>
        <w:t> </w:t>
      </w:r>
      <w:r>
        <w:rPr>
          <w:spacing w:val="-4"/>
          <w:sz w:val="22"/>
        </w:rPr>
        <w:t>and</w:t>
      </w:r>
      <w:r>
        <w:rPr>
          <w:spacing w:val="-10"/>
          <w:sz w:val="22"/>
        </w:rPr>
        <w:t> </w:t>
      </w:r>
      <w:r>
        <w:rPr>
          <w:spacing w:val="-4"/>
          <w:sz w:val="22"/>
        </w:rPr>
        <w:t>local</w:t>
      </w:r>
      <w:r>
        <w:rPr>
          <w:spacing w:val="-10"/>
          <w:sz w:val="22"/>
        </w:rPr>
        <w:t> </w:t>
      </w:r>
      <w:r>
        <w:rPr>
          <w:spacing w:val="-4"/>
          <w:sz w:val="22"/>
        </w:rPr>
        <w:t>employment opportunities.</w:t>
      </w:r>
      <w:r>
        <w:rPr>
          <w:spacing w:val="-10"/>
          <w:sz w:val="22"/>
        </w:rPr>
        <w:t> </w:t>
      </w:r>
      <w:r>
        <w:rPr>
          <w:spacing w:val="-4"/>
          <w:sz w:val="22"/>
        </w:rPr>
        <w:t>These could then be institutionalised </w:t>
      </w:r>
      <w:r>
        <w:rPr>
          <w:sz w:val="22"/>
        </w:rPr>
        <w:t>in a phased manner in the block and district. Locally appropriate and useful labour intensive </w:t>
      </w:r>
      <w:r>
        <w:rPr>
          <w:spacing w:val="-2"/>
          <w:sz w:val="22"/>
        </w:rPr>
        <w:t>works</w:t>
      </w:r>
      <w:r>
        <w:rPr>
          <w:spacing w:val="-12"/>
          <w:sz w:val="22"/>
        </w:rPr>
        <w:t> </w:t>
      </w:r>
      <w:r>
        <w:rPr>
          <w:spacing w:val="-2"/>
          <w:sz w:val="22"/>
        </w:rPr>
        <w:t>could</w:t>
      </w:r>
      <w:r>
        <w:rPr>
          <w:spacing w:val="-12"/>
          <w:sz w:val="22"/>
        </w:rPr>
        <w:t> </w:t>
      </w:r>
      <w:r>
        <w:rPr>
          <w:spacing w:val="-2"/>
          <w:sz w:val="22"/>
        </w:rPr>
        <w:t>be</w:t>
      </w:r>
      <w:r>
        <w:rPr>
          <w:spacing w:val="-12"/>
          <w:sz w:val="22"/>
        </w:rPr>
        <w:t> </w:t>
      </w:r>
      <w:r>
        <w:rPr>
          <w:spacing w:val="-2"/>
          <w:sz w:val="22"/>
        </w:rPr>
        <w:t>proposed</w:t>
      </w:r>
      <w:r>
        <w:rPr>
          <w:spacing w:val="-11"/>
          <w:sz w:val="22"/>
        </w:rPr>
        <w:t> </w:t>
      </w:r>
      <w:r>
        <w:rPr>
          <w:spacing w:val="-2"/>
          <w:sz w:val="22"/>
        </w:rPr>
        <w:t>and</w:t>
      </w:r>
      <w:r>
        <w:rPr>
          <w:spacing w:val="-12"/>
          <w:sz w:val="22"/>
        </w:rPr>
        <w:t> </w:t>
      </w:r>
      <w:r>
        <w:rPr>
          <w:spacing w:val="-2"/>
          <w:sz w:val="22"/>
        </w:rPr>
        <w:t>tried</w:t>
      </w:r>
      <w:r>
        <w:rPr>
          <w:spacing w:val="-12"/>
          <w:sz w:val="22"/>
        </w:rPr>
        <w:t> </w:t>
      </w:r>
      <w:r>
        <w:rPr>
          <w:spacing w:val="-2"/>
          <w:sz w:val="22"/>
        </w:rPr>
        <w:t>out,</w:t>
      </w:r>
      <w:r>
        <w:rPr>
          <w:spacing w:val="-12"/>
          <w:sz w:val="22"/>
        </w:rPr>
        <w:t> </w:t>
      </w:r>
      <w:r>
        <w:rPr>
          <w:spacing w:val="-2"/>
          <w:sz w:val="22"/>
        </w:rPr>
        <w:t>so</w:t>
      </w:r>
      <w:r>
        <w:rPr>
          <w:spacing w:val="-11"/>
          <w:sz w:val="22"/>
        </w:rPr>
        <w:t> </w:t>
      </w:r>
      <w:r>
        <w:rPr>
          <w:spacing w:val="-2"/>
          <w:sz w:val="22"/>
        </w:rPr>
        <w:t>that</w:t>
      </w:r>
      <w:r>
        <w:rPr>
          <w:spacing w:val="-12"/>
          <w:sz w:val="22"/>
        </w:rPr>
        <w:t> </w:t>
      </w:r>
      <w:r>
        <w:rPr>
          <w:spacing w:val="-2"/>
          <w:sz w:val="22"/>
        </w:rPr>
        <w:t>they </w:t>
      </w:r>
      <w:r>
        <w:rPr>
          <w:sz w:val="22"/>
        </w:rPr>
        <w:t>can be included in the list of permissible works under NREGA.</w:t>
      </w:r>
    </w:p>
    <w:p>
      <w:pPr>
        <w:pStyle w:val="BodyText"/>
        <w:spacing w:before="20"/>
      </w:pPr>
    </w:p>
    <w:p>
      <w:pPr>
        <w:pStyle w:val="ListParagraph"/>
        <w:numPr>
          <w:ilvl w:val="0"/>
          <w:numId w:val="65"/>
        </w:numPr>
        <w:tabs>
          <w:tab w:pos="679" w:val="left" w:leader="none"/>
        </w:tabs>
        <w:spacing w:line="266" w:lineRule="auto" w:before="0" w:after="0"/>
        <w:ind w:left="679" w:right="1077" w:hanging="360"/>
        <w:jc w:val="both"/>
        <w:rPr>
          <w:sz w:val="22"/>
        </w:rPr>
      </w:pPr>
      <w:r>
        <w:rPr>
          <w:b/>
          <w:w w:val="90"/>
          <w:sz w:val="22"/>
        </w:rPr>
        <w:t>Effective local designs for labour intensive works</w:t>
      </w:r>
      <w:r>
        <w:rPr>
          <w:b/>
          <w:spacing w:val="40"/>
          <w:sz w:val="22"/>
        </w:rPr>
        <w:t> </w:t>
      </w:r>
      <w:r>
        <w:rPr>
          <w:b/>
          <w:sz w:val="22"/>
        </w:rPr>
        <w:t>to</w:t>
      </w:r>
      <w:r>
        <w:rPr>
          <w:b/>
          <w:spacing w:val="-14"/>
          <w:sz w:val="22"/>
        </w:rPr>
        <w:t> </w:t>
      </w:r>
      <w:r>
        <w:rPr>
          <w:b/>
          <w:sz w:val="22"/>
        </w:rPr>
        <w:t>build</w:t>
      </w:r>
      <w:r>
        <w:rPr>
          <w:b/>
          <w:spacing w:val="-14"/>
          <w:sz w:val="22"/>
        </w:rPr>
        <w:t> </w:t>
      </w:r>
      <w:r>
        <w:rPr>
          <w:b/>
          <w:sz w:val="22"/>
        </w:rPr>
        <w:t>rural</w:t>
      </w:r>
      <w:r>
        <w:rPr>
          <w:b/>
          <w:spacing w:val="-14"/>
          <w:sz w:val="22"/>
        </w:rPr>
        <w:t> </w:t>
      </w:r>
      <w:r>
        <w:rPr>
          <w:b/>
          <w:sz w:val="22"/>
        </w:rPr>
        <w:t>infrastructure:</w:t>
      </w:r>
      <w:r>
        <w:rPr>
          <w:b/>
          <w:spacing w:val="-13"/>
          <w:sz w:val="22"/>
        </w:rPr>
        <w:t> </w:t>
      </w:r>
      <w:r>
        <w:rPr>
          <w:sz w:val="22"/>
        </w:rPr>
        <w:t>The</w:t>
      </w:r>
      <w:r>
        <w:rPr>
          <w:spacing w:val="-14"/>
          <w:sz w:val="22"/>
        </w:rPr>
        <w:t> </w:t>
      </w:r>
      <w:r>
        <w:rPr>
          <w:sz w:val="22"/>
        </w:rPr>
        <w:t>NREGA</w:t>
      </w:r>
      <w:r>
        <w:rPr>
          <w:spacing w:val="-14"/>
          <w:sz w:val="22"/>
        </w:rPr>
        <w:t> </w:t>
      </w:r>
      <w:r>
        <w:rPr>
          <w:sz w:val="22"/>
        </w:rPr>
        <w:t>is</w:t>
      </w:r>
      <w:r>
        <w:rPr>
          <w:spacing w:val="-14"/>
          <w:sz w:val="22"/>
        </w:rPr>
        <w:t> </w:t>
      </w:r>
      <w:r>
        <w:rPr>
          <w:sz w:val="22"/>
        </w:rPr>
        <w:t>an employment generation program which requires the use of labour resources on a priority basis. NREGA</w:t>
      </w:r>
      <w:r>
        <w:rPr>
          <w:spacing w:val="-3"/>
          <w:sz w:val="22"/>
        </w:rPr>
        <w:t> </w:t>
      </w:r>
      <w:r>
        <w:rPr>
          <w:sz w:val="22"/>
        </w:rPr>
        <w:t>allows</w:t>
      </w:r>
      <w:r>
        <w:rPr>
          <w:spacing w:val="-3"/>
          <w:sz w:val="22"/>
        </w:rPr>
        <w:t> </w:t>
      </w:r>
      <w:r>
        <w:rPr>
          <w:sz w:val="22"/>
        </w:rPr>
        <w:t>various</w:t>
      </w:r>
      <w:r>
        <w:rPr>
          <w:spacing w:val="-3"/>
          <w:sz w:val="22"/>
        </w:rPr>
        <w:t> </w:t>
      </w:r>
      <w:r>
        <w:rPr>
          <w:sz w:val="22"/>
        </w:rPr>
        <w:t>types</w:t>
      </w:r>
      <w:r>
        <w:rPr>
          <w:spacing w:val="-3"/>
          <w:sz w:val="22"/>
        </w:rPr>
        <w:t> </w:t>
      </w:r>
      <w:r>
        <w:rPr>
          <w:sz w:val="22"/>
        </w:rPr>
        <w:t>of</w:t>
      </w:r>
      <w:r>
        <w:rPr>
          <w:spacing w:val="-3"/>
          <w:sz w:val="22"/>
        </w:rPr>
        <w:t> </w:t>
      </w:r>
      <w:r>
        <w:rPr>
          <w:sz w:val="22"/>
        </w:rPr>
        <w:t>labour</w:t>
      </w:r>
      <w:r>
        <w:rPr>
          <w:spacing w:val="-3"/>
          <w:sz w:val="22"/>
        </w:rPr>
        <w:t> </w:t>
      </w:r>
      <w:r>
        <w:rPr>
          <w:sz w:val="22"/>
        </w:rPr>
        <w:t>intensive works</w:t>
      </w:r>
      <w:r>
        <w:rPr>
          <w:spacing w:val="-12"/>
          <w:sz w:val="22"/>
        </w:rPr>
        <w:t> </w:t>
      </w:r>
      <w:r>
        <w:rPr>
          <w:sz w:val="22"/>
        </w:rPr>
        <w:t>to</w:t>
      </w:r>
      <w:r>
        <w:rPr>
          <w:spacing w:val="-12"/>
          <w:sz w:val="22"/>
        </w:rPr>
        <w:t> </w:t>
      </w:r>
      <w:r>
        <w:rPr>
          <w:sz w:val="22"/>
        </w:rPr>
        <w:t>be</w:t>
      </w:r>
      <w:r>
        <w:rPr>
          <w:spacing w:val="-12"/>
          <w:sz w:val="22"/>
        </w:rPr>
        <w:t> </w:t>
      </w:r>
      <w:r>
        <w:rPr>
          <w:sz w:val="22"/>
        </w:rPr>
        <w:t>carried</w:t>
      </w:r>
      <w:r>
        <w:rPr>
          <w:spacing w:val="-12"/>
          <w:sz w:val="22"/>
        </w:rPr>
        <w:t> </w:t>
      </w:r>
      <w:r>
        <w:rPr>
          <w:sz w:val="22"/>
        </w:rPr>
        <w:t>out</w:t>
      </w:r>
      <w:r>
        <w:rPr>
          <w:spacing w:val="-12"/>
          <w:sz w:val="22"/>
        </w:rPr>
        <w:t> </w:t>
      </w:r>
      <w:r>
        <w:rPr>
          <w:sz w:val="22"/>
        </w:rPr>
        <w:t>–</w:t>
      </w:r>
      <w:r>
        <w:rPr>
          <w:spacing w:val="-12"/>
          <w:sz w:val="22"/>
        </w:rPr>
        <w:t> </w:t>
      </w:r>
      <w:r>
        <w:rPr>
          <w:sz w:val="22"/>
        </w:rPr>
        <w:t>such</w:t>
      </w:r>
      <w:r>
        <w:rPr>
          <w:spacing w:val="-12"/>
          <w:sz w:val="22"/>
        </w:rPr>
        <w:t> </w:t>
      </w:r>
      <w:r>
        <w:rPr>
          <w:sz w:val="22"/>
        </w:rPr>
        <w:t>as</w:t>
      </w:r>
      <w:r>
        <w:rPr>
          <w:spacing w:val="-12"/>
          <w:sz w:val="22"/>
        </w:rPr>
        <w:t> </w:t>
      </w:r>
      <w:r>
        <w:rPr>
          <w:sz w:val="22"/>
        </w:rPr>
        <w:t>water</w:t>
      </w:r>
      <w:r>
        <w:rPr>
          <w:spacing w:val="-12"/>
          <w:sz w:val="22"/>
        </w:rPr>
        <w:t> </w:t>
      </w:r>
      <w:r>
        <w:rPr>
          <w:sz w:val="22"/>
        </w:rPr>
        <w:t>harvesting </w:t>
      </w:r>
      <w:r>
        <w:rPr>
          <w:w w:val="90"/>
          <w:sz w:val="22"/>
        </w:rPr>
        <w:t>structures, forestry, roads etc. To increase efficiency </w:t>
      </w:r>
      <w:r>
        <w:rPr>
          <w:sz w:val="22"/>
        </w:rPr>
        <w:t>and reduce drudgery, relevant designs have to take into account locally available material, geo- climatic conditions and social factors, including the</w:t>
      </w:r>
      <w:r>
        <w:rPr>
          <w:spacing w:val="-2"/>
          <w:sz w:val="22"/>
        </w:rPr>
        <w:t> </w:t>
      </w:r>
      <w:r>
        <w:rPr>
          <w:sz w:val="22"/>
        </w:rPr>
        <w:t>need</w:t>
      </w:r>
      <w:r>
        <w:rPr>
          <w:spacing w:val="-2"/>
          <w:sz w:val="22"/>
        </w:rPr>
        <w:t> </w:t>
      </w:r>
      <w:r>
        <w:rPr>
          <w:sz w:val="22"/>
        </w:rPr>
        <w:t>to</w:t>
      </w:r>
      <w:r>
        <w:rPr>
          <w:spacing w:val="-2"/>
          <w:sz w:val="22"/>
        </w:rPr>
        <w:t> </w:t>
      </w:r>
      <w:r>
        <w:rPr>
          <w:sz w:val="22"/>
        </w:rPr>
        <w:t>optimally</w:t>
      </w:r>
      <w:r>
        <w:rPr>
          <w:spacing w:val="-2"/>
          <w:sz w:val="22"/>
        </w:rPr>
        <w:t> </w:t>
      </w:r>
      <w:r>
        <w:rPr>
          <w:sz w:val="22"/>
        </w:rPr>
        <w:t>use</w:t>
      </w:r>
      <w:r>
        <w:rPr>
          <w:spacing w:val="-2"/>
          <w:sz w:val="22"/>
        </w:rPr>
        <w:t> </w:t>
      </w:r>
      <w:r>
        <w:rPr>
          <w:sz w:val="22"/>
        </w:rPr>
        <w:t>human</w:t>
      </w:r>
      <w:r>
        <w:rPr>
          <w:spacing w:val="-2"/>
          <w:sz w:val="22"/>
        </w:rPr>
        <w:t> </w:t>
      </w:r>
      <w:r>
        <w:rPr>
          <w:sz w:val="22"/>
        </w:rPr>
        <w:t>resources</w:t>
      </w:r>
      <w:r>
        <w:rPr>
          <w:spacing w:val="-2"/>
          <w:sz w:val="22"/>
        </w:rPr>
        <w:t> </w:t>
      </w:r>
      <w:r>
        <w:rPr>
          <w:sz w:val="22"/>
        </w:rPr>
        <w:t>of</w:t>
      </w:r>
      <w:r>
        <w:rPr>
          <w:spacing w:val="-2"/>
          <w:sz w:val="22"/>
        </w:rPr>
        <w:t> </w:t>
      </w:r>
      <w:r>
        <w:rPr>
          <w:sz w:val="22"/>
        </w:rPr>
        <w:t>the </w:t>
      </w:r>
      <w:r>
        <w:rPr>
          <w:spacing w:val="-4"/>
          <w:sz w:val="22"/>
        </w:rPr>
        <w:t>area.</w:t>
      </w:r>
      <w:r>
        <w:rPr>
          <w:spacing w:val="-10"/>
          <w:sz w:val="22"/>
        </w:rPr>
        <w:t> </w:t>
      </w:r>
      <w:r>
        <w:rPr>
          <w:spacing w:val="-4"/>
          <w:sz w:val="22"/>
        </w:rPr>
        <w:t>This</w:t>
      </w:r>
      <w:r>
        <w:rPr>
          <w:spacing w:val="-10"/>
          <w:sz w:val="22"/>
        </w:rPr>
        <w:t> </w:t>
      </w:r>
      <w:r>
        <w:rPr>
          <w:spacing w:val="-4"/>
          <w:sz w:val="22"/>
        </w:rPr>
        <w:t>task</w:t>
      </w:r>
      <w:r>
        <w:rPr>
          <w:spacing w:val="-10"/>
          <w:sz w:val="22"/>
        </w:rPr>
        <w:t> </w:t>
      </w:r>
      <w:r>
        <w:rPr>
          <w:spacing w:val="-4"/>
          <w:sz w:val="22"/>
        </w:rPr>
        <w:t>requires</w:t>
      </w:r>
      <w:r>
        <w:rPr>
          <w:spacing w:val="-9"/>
          <w:sz w:val="22"/>
        </w:rPr>
        <w:t> </w:t>
      </w:r>
      <w:r>
        <w:rPr>
          <w:spacing w:val="-4"/>
          <w:sz w:val="22"/>
        </w:rPr>
        <w:t>a</w:t>
      </w:r>
      <w:r>
        <w:rPr>
          <w:spacing w:val="-10"/>
          <w:sz w:val="22"/>
        </w:rPr>
        <w:t> </w:t>
      </w:r>
      <w:r>
        <w:rPr>
          <w:spacing w:val="-4"/>
          <w:sz w:val="22"/>
        </w:rPr>
        <w:t>local</w:t>
      </w:r>
      <w:r>
        <w:rPr>
          <w:spacing w:val="-10"/>
          <w:sz w:val="22"/>
        </w:rPr>
        <w:t> </w:t>
      </w:r>
      <w:r>
        <w:rPr>
          <w:spacing w:val="-4"/>
          <w:sz w:val="22"/>
        </w:rPr>
        <w:t>centre</w:t>
      </w:r>
      <w:r>
        <w:rPr>
          <w:spacing w:val="-10"/>
          <w:sz w:val="22"/>
        </w:rPr>
        <w:t> </w:t>
      </w:r>
      <w:r>
        <w:rPr>
          <w:spacing w:val="-4"/>
          <w:sz w:val="22"/>
        </w:rPr>
        <w:t>for</w:t>
      </w:r>
      <w:r>
        <w:rPr>
          <w:spacing w:val="-9"/>
          <w:sz w:val="22"/>
        </w:rPr>
        <w:t> </w:t>
      </w:r>
      <w:r>
        <w:rPr>
          <w:spacing w:val="-4"/>
          <w:sz w:val="22"/>
        </w:rPr>
        <w:t>innovation </w:t>
      </w:r>
      <w:r>
        <w:rPr>
          <w:sz w:val="22"/>
        </w:rPr>
        <w:t>and design, which could be facilitated by the </w:t>
      </w:r>
      <w:r>
        <w:rPr>
          <w:spacing w:val="-2"/>
          <w:sz w:val="22"/>
        </w:rPr>
        <w:t>PGK.</w:t>
      </w:r>
      <w:r>
        <w:rPr>
          <w:spacing w:val="-9"/>
          <w:sz w:val="22"/>
        </w:rPr>
        <w:t> </w:t>
      </w:r>
      <w:r>
        <w:rPr>
          <w:spacing w:val="-2"/>
          <w:sz w:val="22"/>
        </w:rPr>
        <w:t>Further,</w:t>
      </w:r>
      <w:r>
        <w:rPr>
          <w:spacing w:val="-9"/>
          <w:sz w:val="22"/>
        </w:rPr>
        <w:t> </w:t>
      </w:r>
      <w:r>
        <w:rPr>
          <w:spacing w:val="-2"/>
          <w:sz w:val="22"/>
        </w:rPr>
        <w:t>the</w:t>
      </w:r>
      <w:r>
        <w:rPr>
          <w:spacing w:val="-9"/>
          <w:sz w:val="22"/>
        </w:rPr>
        <w:t> </w:t>
      </w:r>
      <w:r>
        <w:rPr>
          <w:spacing w:val="-2"/>
          <w:sz w:val="22"/>
        </w:rPr>
        <w:t>productive</w:t>
      </w:r>
      <w:r>
        <w:rPr>
          <w:spacing w:val="-9"/>
          <w:sz w:val="22"/>
        </w:rPr>
        <w:t> </w:t>
      </w:r>
      <w:r>
        <w:rPr>
          <w:spacing w:val="-2"/>
          <w:sz w:val="22"/>
        </w:rPr>
        <w:t>value</w:t>
      </w:r>
      <w:r>
        <w:rPr>
          <w:spacing w:val="-9"/>
          <w:sz w:val="22"/>
        </w:rPr>
        <w:t> </w:t>
      </w:r>
      <w:r>
        <w:rPr>
          <w:spacing w:val="-2"/>
          <w:sz w:val="22"/>
        </w:rPr>
        <w:t>of</w:t>
      </w:r>
      <w:r>
        <w:rPr>
          <w:spacing w:val="-9"/>
          <w:sz w:val="22"/>
        </w:rPr>
        <w:t> </w:t>
      </w:r>
      <w:r>
        <w:rPr>
          <w:spacing w:val="-2"/>
          <w:sz w:val="22"/>
        </w:rPr>
        <w:t>these</w:t>
      </w:r>
      <w:r>
        <w:rPr>
          <w:spacing w:val="-9"/>
          <w:sz w:val="22"/>
        </w:rPr>
        <w:t> </w:t>
      </w:r>
      <w:r>
        <w:rPr>
          <w:spacing w:val="-2"/>
          <w:sz w:val="22"/>
        </w:rPr>
        <w:t>works </w:t>
      </w:r>
      <w:r>
        <w:rPr>
          <w:sz w:val="22"/>
        </w:rPr>
        <w:t>could be enhanced with appropriate scientific</w:t>
      </w:r>
      <w:r>
        <w:rPr>
          <w:spacing w:val="40"/>
          <w:sz w:val="22"/>
        </w:rPr>
        <w:t> </w:t>
      </w:r>
      <w:r>
        <w:rPr>
          <w:sz w:val="22"/>
        </w:rPr>
        <w:t>and technical inputs. In a related letter, we have </w:t>
      </w:r>
      <w:r>
        <w:rPr>
          <w:spacing w:val="-2"/>
          <w:sz w:val="22"/>
        </w:rPr>
        <w:t>discussed</w:t>
      </w:r>
      <w:r>
        <w:rPr>
          <w:spacing w:val="-5"/>
          <w:sz w:val="22"/>
        </w:rPr>
        <w:t> </w:t>
      </w:r>
      <w:r>
        <w:rPr>
          <w:spacing w:val="-2"/>
          <w:sz w:val="22"/>
        </w:rPr>
        <w:t>the</w:t>
      </w:r>
      <w:r>
        <w:rPr>
          <w:spacing w:val="-5"/>
          <w:sz w:val="22"/>
        </w:rPr>
        <w:t> </w:t>
      </w:r>
      <w:r>
        <w:rPr>
          <w:spacing w:val="-2"/>
          <w:sz w:val="22"/>
        </w:rPr>
        <w:t>need</w:t>
      </w:r>
      <w:r>
        <w:rPr>
          <w:spacing w:val="-5"/>
          <w:sz w:val="22"/>
        </w:rPr>
        <w:t> </w:t>
      </w:r>
      <w:r>
        <w:rPr>
          <w:spacing w:val="-2"/>
          <w:sz w:val="22"/>
        </w:rPr>
        <w:t>for</w:t>
      </w:r>
      <w:r>
        <w:rPr>
          <w:spacing w:val="-5"/>
          <w:sz w:val="22"/>
        </w:rPr>
        <w:t> </w:t>
      </w:r>
      <w:r>
        <w:rPr>
          <w:spacing w:val="-2"/>
          <w:sz w:val="22"/>
        </w:rPr>
        <w:t>ergonomic</w:t>
      </w:r>
      <w:r>
        <w:rPr>
          <w:spacing w:val="-5"/>
          <w:sz w:val="22"/>
        </w:rPr>
        <w:t> </w:t>
      </w:r>
      <w:r>
        <w:rPr>
          <w:spacing w:val="-2"/>
          <w:sz w:val="22"/>
        </w:rPr>
        <w:t>tools,</w:t>
      </w:r>
      <w:r>
        <w:rPr>
          <w:spacing w:val="-5"/>
          <w:sz w:val="22"/>
        </w:rPr>
        <w:t> </w:t>
      </w:r>
      <w:r>
        <w:rPr>
          <w:spacing w:val="-2"/>
          <w:sz w:val="22"/>
        </w:rPr>
        <w:t>especially </w:t>
      </w:r>
      <w:r>
        <w:rPr>
          <w:sz w:val="22"/>
        </w:rPr>
        <w:t>among workers involved in manual labour tasks.</w:t>
      </w:r>
    </w:p>
    <w:p>
      <w:pPr>
        <w:pStyle w:val="BodyText"/>
        <w:spacing w:before="12"/>
      </w:pPr>
    </w:p>
    <w:p>
      <w:pPr>
        <w:pStyle w:val="ListParagraph"/>
        <w:numPr>
          <w:ilvl w:val="0"/>
          <w:numId w:val="65"/>
        </w:numPr>
        <w:tabs>
          <w:tab w:pos="679" w:val="left" w:leader="none"/>
        </w:tabs>
        <w:spacing w:line="266" w:lineRule="auto" w:before="0" w:after="0"/>
        <w:ind w:left="679" w:right="1077" w:hanging="360"/>
        <w:jc w:val="both"/>
        <w:rPr>
          <w:sz w:val="22"/>
        </w:rPr>
      </w:pPr>
      <w:r>
        <w:rPr>
          <w:b/>
          <w:sz w:val="22"/>
        </w:rPr>
        <w:t>Design of appropriate worksite facilities: </w:t>
      </w:r>
      <w:r>
        <w:rPr>
          <w:sz w:val="22"/>
        </w:rPr>
        <w:t>The NREGA mandates that all workers be provided with</w:t>
      </w:r>
      <w:r>
        <w:rPr>
          <w:spacing w:val="-11"/>
          <w:sz w:val="22"/>
        </w:rPr>
        <w:t> </w:t>
      </w:r>
      <w:r>
        <w:rPr>
          <w:sz w:val="22"/>
        </w:rPr>
        <w:t>clean</w:t>
      </w:r>
      <w:r>
        <w:rPr>
          <w:spacing w:val="-11"/>
          <w:sz w:val="22"/>
        </w:rPr>
        <w:t> </w:t>
      </w:r>
      <w:r>
        <w:rPr>
          <w:sz w:val="22"/>
        </w:rPr>
        <w:t>drinking</w:t>
      </w:r>
      <w:r>
        <w:rPr>
          <w:spacing w:val="-11"/>
          <w:sz w:val="22"/>
        </w:rPr>
        <w:t> </w:t>
      </w:r>
      <w:r>
        <w:rPr>
          <w:sz w:val="22"/>
        </w:rPr>
        <w:t>water,</w:t>
      </w:r>
      <w:r>
        <w:rPr>
          <w:spacing w:val="-11"/>
          <w:sz w:val="22"/>
        </w:rPr>
        <w:t> </w:t>
      </w:r>
      <w:r>
        <w:rPr>
          <w:sz w:val="22"/>
        </w:rPr>
        <w:t>shade,</w:t>
      </w:r>
      <w:r>
        <w:rPr>
          <w:spacing w:val="-11"/>
          <w:sz w:val="22"/>
        </w:rPr>
        <w:t> </w:t>
      </w:r>
      <w:r>
        <w:rPr>
          <w:sz w:val="22"/>
        </w:rPr>
        <w:t>crèche</w:t>
      </w:r>
      <w:r>
        <w:rPr>
          <w:spacing w:val="-11"/>
          <w:sz w:val="22"/>
        </w:rPr>
        <w:t> </w:t>
      </w:r>
      <w:r>
        <w:rPr>
          <w:sz w:val="22"/>
        </w:rPr>
        <w:t>facilities </w:t>
      </w:r>
      <w:r>
        <w:rPr>
          <w:spacing w:val="-4"/>
          <w:sz w:val="22"/>
        </w:rPr>
        <w:t>for</w:t>
      </w:r>
      <w:r>
        <w:rPr>
          <w:spacing w:val="-10"/>
          <w:sz w:val="22"/>
        </w:rPr>
        <w:t> </w:t>
      </w:r>
      <w:r>
        <w:rPr>
          <w:spacing w:val="-4"/>
          <w:sz w:val="22"/>
        </w:rPr>
        <w:t>small</w:t>
      </w:r>
      <w:r>
        <w:rPr>
          <w:spacing w:val="-10"/>
          <w:sz w:val="22"/>
        </w:rPr>
        <w:t> </w:t>
      </w:r>
      <w:r>
        <w:rPr>
          <w:spacing w:val="-4"/>
          <w:sz w:val="22"/>
        </w:rPr>
        <w:t>children,</w:t>
      </w:r>
      <w:r>
        <w:rPr>
          <w:spacing w:val="-10"/>
          <w:sz w:val="22"/>
        </w:rPr>
        <w:t> </w:t>
      </w:r>
      <w:r>
        <w:rPr>
          <w:spacing w:val="-4"/>
          <w:sz w:val="22"/>
        </w:rPr>
        <w:t>and</w:t>
      </w:r>
      <w:r>
        <w:rPr>
          <w:spacing w:val="-9"/>
          <w:sz w:val="22"/>
        </w:rPr>
        <w:t> </w:t>
      </w:r>
      <w:r>
        <w:rPr>
          <w:spacing w:val="-4"/>
          <w:sz w:val="22"/>
        </w:rPr>
        <w:t>first</w:t>
      </w:r>
      <w:r>
        <w:rPr>
          <w:spacing w:val="-10"/>
          <w:sz w:val="22"/>
        </w:rPr>
        <w:t> </w:t>
      </w:r>
      <w:r>
        <w:rPr>
          <w:spacing w:val="-4"/>
          <w:sz w:val="22"/>
        </w:rPr>
        <w:t>aid</w:t>
      </w:r>
      <w:r>
        <w:rPr>
          <w:spacing w:val="-10"/>
          <w:sz w:val="22"/>
        </w:rPr>
        <w:t> </w:t>
      </w:r>
      <w:r>
        <w:rPr>
          <w:spacing w:val="-4"/>
          <w:sz w:val="22"/>
        </w:rPr>
        <w:t>facilities</w:t>
      </w:r>
      <w:r>
        <w:rPr>
          <w:spacing w:val="-10"/>
          <w:sz w:val="22"/>
        </w:rPr>
        <w:t> </w:t>
      </w:r>
      <w:r>
        <w:rPr>
          <w:spacing w:val="-4"/>
          <w:sz w:val="22"/>
        </w:rPr>
        <w:t>at</w:t>
      </w:r>
      <w:r>
        <w:rPr>
          <w:spacing w:val="-9"/>
          <w:sz w:val="22"/>
        </w:rPr>
        <w:t> </w:t>
      </w:r>
      <w:r>
        <w:rPr>
          <w:spacing w:val="-4"/>
          <w:sz w:val="22"/>
        </w:rPr>
        <w:t>the</w:t>
      </w:r>
      <w:r>
        <w:rPr>
          <w:spacing w:val="-10"/>
          <w:sz w:val="22"/>
        </w:rPr>
        <w:t> </w:t>
      </w:r>
      <w:r>
        <w:rPr>
          <w:spacing w:val="-4"/>
          <w:sz w:val="22"/>
        </w:rPr>
        <w:t>work </w:t>
      </w:r>
      <w:r>
        <w:rPr>
          <w:sz w:val="22"/>
        </w:rPr>
        <w:t>site.</w:t>
      </w:r>
      <w:r>
        <w:rPr>
          <w:spacing w:val="-14"/>
          <w:sz w:val="22"/>
        </w:rPr>
        <w:t> </w:t>
      </w:r>
      <w:r>
        <w:rPr>
          <w:sz w:val="22"/>
        </w:rPr>
        <w:t>This</w:t>
      </w:r>
      <w:r>
        <w:rPr>
          <w:spacing w:val="-14"/>
          <w:sz w:val="22"/>
        </w:rPr>
        <w:t> </w:t>
      </w:r>
      <w:r>
        <w:rPr>
          <w:sz w:val="22"/>
        </w:rPr>
        <w:t>is</w:t>
      </w:r>
      <w:r>
        <w:rPr>
          <w:spacing w:val="-14"/>
          <w:sz w:val="22"/>
        </w:rPr>
        <w:t> </w:t>
      </w:r>
      <w:r>
        <w:rPr>
          <w:sz w:val="22"/>
        </w:rPr>
        <w:t>crucial</w:t>
      </w:r>
      <w:r>
        <w:rPr>
          <w:spacing w:val="-13"/>
          <w:sz w:val="22"/>
        </w:rPr>
        <w:t> </w:t>
      </w:r>
      <w:r>
        <w:rPr>
          <w:sz w:val="22"/>
        </w:rPr>
        <w:t>to</w:t>
      </w:r>
      <w:r>
        <w:rPr>
          <w:spacing w:val="-14"/>
          <w:sz w:val="22"/>
        </w:rPr>
        <w:t> </w:t>
      </w:r>
      <w:r>
        <w:rPr>
          <w:sz w:val="22"/>
        </w:rPr>
        <w:t>ensure</w:t>
      </w:r>
      <w:r>
        <w:rPr>
          <w:spacing w:val="-14"/>
          <w:sz w:val="22"/>
        </w:rPr>
        <w:t> </w:t>
      </w:r>
      <w:r>
        <w:rPr>
          <w:sz w:val="22"/>
        </w:rPr>
        <w:t>dignity</w:t>
      </w:r>
      <w:r>
        <w:rPr>
          <w:spacing w:val="-14"/>
          <w:sz w:val="22"/>
        </w:rPr>
        <w:t> </w:t>
      </w:r>
      <w:r>
        <w:rPr>
          <w:sz w:val="22"/>
        </w:rPr>
        <w:t>of</w:t>
      </w:r>
      <w:r>
        <w:rPr>
          <w:spacing w:val="-13"/>
          <w:sz w:val="22"/>
        </w:rPr>
        <w:t> </w:t>
      </w:r>
      <w:r>
        <w:rPr>
          <w:sz w:val="22"/>
        </w:rPr>
        <w:t>labour</w:t>
      </w:r>
      <w:r>
        <w:rPr>
          <w:spacing w:val="-14"/>
          <w:sz w:val="22"/>
        </w:rPr>
        <w:t> </w:t>
      </w:r>
      <w:r>
        <w:rPr>
          <w:sz w:val="22"/>
        </w:rPr>
        <w:t>and to</w:t>
      </w:r>
      <w:r>
        <w:rPr>
          <w:spacing w:val="-14"/>
          <w:sz w:val="22"/>
        </w:rPr>
        <w:t> </w:t>
      </w:r>
      <w:r>
        <w:rPr>
          <w:sz w:val="22"/>
        </w:rPr>
        <w:t>make</w:t>
      </w:r>
      <w:r>
        <w:rPr>
          <w:spacing w:val="-14"/>
          <w:sz w:val="22"/>
        </w:rPr>
        <w:t> </w:t>
      </w:r>
      <w:r>
        <w:rPr>
          <w:sz w:val="22"/>
        </w:rPr>
        <w:t>the</w:t>
      </w:r>
      <w:r>
        <w:rPr>
          <w:spacing w:val="-14"/>
          <w:sz w:val="22"/>
        </w:rPr>
        <w:t> </w:t>
      </w:r>
      <w:r>
        <w:rPr>
          <w:sz w:val="22"/>
        </w:rPr>
        <w:t>worksite</w:t>
      </w:r>
      <w:r>
        <w:rPr>
          <w:spacing w:val="-13"/>
          <w:sz w:val="22"/>
        </w:rPr>
        <w:t> </w:t>
      </w:r>
      <w:r>
        <w:rPr>
          <w:sz w:val="22"/>
        </w:rPr>
        <w:t>a</w:t>
      </w:r>
      <w:r>
        <w:rPr>
          <w:spacing w:val="-14"/>
          <w:sz w:val="22"/>
        </w:rPr>
        <w:t> </w:t>
      </w:r>
      <w:r>
        <w:rPr>
          <w:sz w:val="22"/>
        </w:rPr>
        <w:t>safe</w:t>
      </w:r>
      <w:r>
        <w:rPr>
          <w:spacing w:val="-14"/>
          <w:sz w:val="22"/>
        </w:rPr>
        <w:t> </w:t>
      </w:r>
      <w:r>
        <w:rPr>
          <w:sz w:val="22"/>
        </w:rPr>
        <w:t>working</w:t>
      </w:r>
      <w:r>
        <w:rPr>
          <w:spacing w:val="-14"/>
          <w:sz w:val="22"/>
        </w:rPr>
        <w:t> </w:t>
      </w:r>
      <w:r>
        <w:rPr>
          <w:sz w:val="22"/>
        </w:rPr>
        <w:t>environment. This</w:t>
      </w:r>
      <w:r>
        <w:rPr>
          <w:spacing w:val="-2"/>
          <w:sz w:val="22"/>
        </w:rPr>
        <w:t> </w:t>
      </w:r>
      <w:r>
        <w:rPr>
          <w:sz w:val="22"/>
        </w:rPr>
        <w:t>task</w:t>
      </w:r>
      <w:r>
        <w:rPr>
          <w:spacing w:val="-2"/>
          <w:sz w:val="22"/>
        </w:rPr>
        <w:t> </w:t>
      </w:r>
      <w:r>
        <w:rPr>
          <w:sz w:val="22"/>
        </w:rPr>
        <w:t>also</w:t>
      </w:r>
      <w:r>
        <w:rPr>
          <w:spacing w:val="-2"/>
          <w:sz w:val="22"/>
        </w:rPr>
        <w:t> </w:t>
      </w:r>
      <w:r>
        <w:rPr>
          <w:sz w:val="22"/>
        </w:rPr>
        <w:t>requires</w:t>
      </w:r>
      <w:r>
        <w:rPr>
          <w:spacing w:val="-2"/>
          <w:sz w:val="22"/>
        </w:rPr>
        <w:t> </w:t>
      </w:r>
      <w:r>
        <w:rPr>
          <w:sz w:val="22"/>
        </w:rPr>
        <w:t>an</w:t>
      </w:r>
      <w:r>
        <w:rPr>
          <w:spacing w:val="-2"/>
          <w:sz w:val="22"/>
        </w:rPr>
        <w:t> </w:t>
      </w:r>
      <w:r>
        <w:rPr>
          <w:sz w:val="22"/>
        </w:rPr>
        <w:t>appropriate</w:t>
      </w:r>
      <w:r>
        <w:rPr>
          <w:spacing w:val="-2"/>
          <w:sz w:val="22"/>
        </w:rPr>
        <w:t> </w:t>
      </w:r>
      <w:r>
        <w:rPr>
          <w:sz w:val="22"/>
        </w:rPr>
        <w:t>set</w:t>
      </w:r>
      <w:r>
        <w:rPr>
          <w:spacing w:val="-2"/>
          <w:sz w:val="22"/>
        </w:rPr>
        <w:t> </w:t>
      </w:r>
      <w:r>
        <w:rPr>
          <w:sz w:val="22"/>
        </w:rPr>
        <w:t>of</w:t>
      </w:r>
      <w:r>
        <w:rPr>
          <w:spacing w:val="-2"/>
          <w:sz w:val="22"/>
        </w:rPr>
        <w:t> </w:t>
      </w:r>
      <w:r>
        <w:rPr>
          <w:sz w:val="22"/>
        </w:rPr>
        <w:t>local designs for management as well as the means of delivering these facilities.</w:t>
      </w:r>
    </w:p>
    <w:p>
      <w:pPr>
        <w:pStyle w:val="BodyText"/>
        <w:spacing w:before="20"/>
      </w:pPr>
    </w:p>
    <w:p>
      <w:pPr>
        <w:pStyle w:val="ListParagraph"/>
        <w:numPr>
          <w:ilvl w:val="0"/>
          <w:numId w:val="65"/>
        </w:numPr>
        <w:tabs>
          <w:tab w:pos="679" w:val="left" w:leader="none"/>
        </w:tabs>
        <w:spacing w:line="266" w:lineRule="auto" w:before="0" w:after="0"/>
        <w:ind w:left="679" w:right="1077" w:hanging="360"/>
        <w:jc w:val="both"/>
        <w:rPr>
          <w:sz w:val="22"/>
        </w:rPr>
      </w:pPr>
      <w:r>
        <w:rPr>
          <w:b/>
          <w:spacing w:val="-6"/>
          <w:sz w:val="22"/>
        </w:rPr>
        <w:t>Convergence</w:t>
      </w:r>
      <w:r>
        <w:rPr>
          <w:b/>
          <w:spacing w:val="-6"/>
          <w:sz w:val="22"/>
        </w:rPr>
        <w:t> of</w:t>
      </w:r>
      <w:r>
        <w:rPr>
          <w:b/>
          <w:spacing w:val="-6"/>
          <w:sz w:val="22"/>
        </w:rPr>
        <w:t> different</w:t>
      </w:r>
      <w:r>
        <w:rPr>
          <w:b/>
          <w:spacing w:val="-6"/>
          <w:sz w:val="22"/>
        </w:rPr>
        <w:t> social</w:t>
      </w:r>
      <w:r>
        <w:rPr>
          <w:b/>
          <w:spacing w:val="-6"/>
          <w:sz w:val="22"/>
        </w:rPr>
        <w:t> sector</w:t>
      </w:r>
      <w:r>
        <w:rPr>
          <w:b/>
          <w:spacing w:val="-6"/>
          <w:sz w:val="22"/>
        </w:rPr>
        <w:t> </w:t>
      </w:r>
      <w:r>
        <w:rPr>
          <w:b/>
          <w:spacing w:val="-6"/>
          <w:sz w:val="22"/>
        </w:rPr>
        <w:t>programs: </w:t>
      </w:r>
      <w:r>
        <w:rPr>
          <w:sz w:val="22"/>
        </w:rPr>
        <w:t>Finally, the NREGA offers huge potential for </w:t>
      </w:r>
      <w:r>
        <w:rPr>
          <w:spacing w:val="-2"/>
          <w:sz w:val="22"/>
        </w:rPr>
        <w:t>facilitating</w:t>
      </w:r>
      <w:r>
        <w:rPr>
          <w:spacing w:val="14"/>
          <w:sz w:val="22"/>
        </w:rPr>
        <w:t> </w:t>
      </w:r>
      <w:r>
        <w:rPr>
          <w:spacing w:val="-2"/>
          <w:sz w:val="22"/>
        </w:rPr>
        <w:t>convergence</w:t>
      </w:r>
      <w:r>
        <w:rPr>
          <w:spacing w:val="15"/>
          <w:sz w:val="22"/>
        </w:rPr>
        <w:t> </w:t>
      </w:r>
      <w:r>
        <w:rPr>
          <w:spacing w:val="-2"/>
          <w:sz w:val="22"/>
        </w:rPr>
        <w:t>of</w:t>
      </w:r>
      <w:r>
        <w:rPr>
          <w:spacing w:val="14"/>
          <w:sz w:val="22"/>
        </w:rPr>
        <w:t> </w:t>
      </w:r>
      <w:r>
        <w:rPr>
          <w:spacing w:val="-2"/>
          <w:sz w:val="22"/>
        </w:rPr>
        <w:t>different</w:t>
      </w:r>
      <w:r>
        <w:rPr>
          <w:spacing w:val="15"/>
          <w:sz w:val="22"/>
        </w:rPr>
        <w:t> </w:t>
      </w:r>
      <w:r>
        <w:rPr>
          <w:spacing w:val="-2"/>
          <w:sz w:val="22"/>
        </w:rPr>
        <w:t>social</w:t>
      </w:r>
      <w:r>
        <w:rPr>
          <w:spacing w:val="14"/>
          <w:sz w:val="22"/>
        </w:rPr>
        <w:t> </w:t>
      </w:r>
      <w:r>
        <w:rPr>
          <w:spacing w:val="-2"/>
          <w:sz w:val="22"/>
        </w:rPr>
        <w:t>sector</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line="266" w:lineRule="auto" w:before="57"/>
        <w:ind w:left="1435"/>
        <w:jc w:val="both"/>
      </w:pPr>
      <w:r>
        <w:rPr/>
        <w:t>programs</w:t>
      </w:r>
      <w:r>
        <w:rPr>
          <w:spacing w:val="-1"/>
        </w:rPr>
        <w:t> </w:t>
      </w:r>
      <w:r>
        <w:rPr/>
        <w:t>as</w:t>
      </w:r>
      <w:r>
        <w:rPr>
          <w:spacing w:val="-1"/>
        </w:rPr>
        <w:t> </w:t>
      </w:r>
      <w:r>
        <w:rPr/>
        <w:t>it</w:t>
      </w:r>
      <w:r>
        <w:rPr>
          <w:spacing w:val="-1"/>
        </w:rPr>
        <w:t> </w:t>
      </w:r>
      <w:r>
        <w:rPr/>
        <w:t>brings</w:t>
      </w:r>
      <w:r>
        <w:rPr>
          <w:spacing w:val="-1"/>
        </w:rPr>
        <w:t> </w:t>
      </w:r>
      <w:r>
        <w:rPr/>
        <w:t>together</w:t>
      </w:r>
      <w:r>
        <w:rPr>
          <w:spacing w:val="-1"/>
        </w:rPr>
        <w:t> </w:t>
      </w:r>
      <w:r>
        <w:rPr/>
        <w:t>rural</w:t>
      </w:r>
      <w:r>
        <w:rPr>
          <w:spacing w:val="-1"/>
        </w:rPr>
        <w:t> </w:t>
      </w:r>
      <w:r>
        <w:rPr/>
        <w:t>labour</w:t>
      </w:r>
      <w:r>
        <w:rPr>
          <w:spacing w:val="-1"/>
        </w:rPr>
        <w:t> </w:t>
      </w:r>
      <w:r>
        <w:rPr/>
        <w:t>at</w:t>
      </w:r>
      <w:r>
        <w:rPr>
          <w:spacing w:val="-1"/>
        </w:rPr>
        <w:t> </w:t>
      </w:r>
      <w:r>
        <w:rPr/>
        <w:t>one place.</w:t>
      </w:r>
      <w:r>
        <w:rPr>
          <w:spacing w:val="-14"/>
        </w:rPr>
        <w:t> </w:t>
      </w:r>
      <w:r>
        <w:rPr/>
        <w:t>This</w:t>
      </w:r>
      <w:r>
        <w:rPr>
          <w:spacing w:val="-14"/>
        </w:rPr>
        <w:t> </w:t>
      </w:r>
      <w:r>
        <w:rPr/>
        <w:t>can</w:t>
      </w:r>
      <w:r>
        <w:rPr>
          <w:spacing w:val="-13"/>
        </w:rPr>
        <w:t> </w:t>
      </w:r>
      <w:r>
        <w:rPr/>
        <w:t>enable</w:t>
      </w:r>
      <w:r>
        <w:rPr>
          <w:spacing w:val="-12"/>
        </w:rPr>
        <w:t> </w:t>
      </w:r>
      <w:r>
        <w:rPr/>
        <w:t>a</w:t>
      </w:r>
      <w:r>
        <w:rPr>
          <w:spacing w:val="-12"/>
        </w:rPr>
        <w:t> </w:t>
      </w:r>
      <w:r>
        <w:rPr/>
        <w:t>number</w:t>
      </w:r>
      <w:r>
        <w:rPr>
          <w:spacing w:val="-12"/>
        </w:rPr>
        <w:t> </w:t>
      </w:r>
      <w:r>
        <w:rPr/>
        <w:t>of</w:t>
      </w:r>
      <w:r>
        <w:rPr>
          <w:spacing w:val="-12"/>
        </w:rPr>
        <w:t> </w:t>
      </w:r>
      <w:r>
        <w:rPr/>
        <w:t>empowerment and awareness generating efforts in health, education, workers rights and understanding of democratic</w:t>
      </w:r>
      <w:r>
        <w:rPr>
          <w:spacing w:val="-14"/>
        </w:rPr>
        <w:t> </w:t>
      </w:r>
      <w:r>
        <w:rPr/>
        <w:t>processes.</w:t>
      </w:r>
      <w:r>
        <w:rPr>
          <w:spacing w:val="-14"/>
        </w:rPr>
        <w:t> </w:t>
      </w:r>
      <w:r>
        <w:rPr/>
        <w:t>The</w:t>
      </w:r>
      <w:r>
        <w:rPr>
          <w:spacing w:val="-14"/>
        </w:rPr>
        <w:t> </w:t>
      </w:r>
      <w:r>
        <w:rPr/>
        <w:t>PGK</w:t>
      </w:r>
      <w:r>
        <w:rPr>
          <w:spacing w:val="-13"/>
        </w:rPr>
        <w:t> </w:t>
      </w:r>
      <w:r>
        <w:rPr/>
        <w:t>could</w:t>
      </w:r>
      <w:r>
        <w:rPr>
          <w:spacing w:val="-14"/>
        </w:rPr>
        <w:t> </w:t>
      </w:r>
      <w:r>
        <w:rPr/>
        <w:t>function</w:t>
      </w:r>
      <w:r>
        <w:rPr>
          <w:spacing w:val="-14"/>
        </w:rPr>
        <w:t> </w:t>
      </w:r>
      <w:r>
        <w:rPr/>
        <w:t>as a platform for organising melas, workshops and training, which not only deal with the NREGA, </w:t>
      </w:r>
      <w:r>
        <w:rPr>
          <w:spacing w:val="-6"/>
        </w:rPr>
        <w:t>but also enhance participatory processes in all social </w:t>
      </w:r>
      <w:r>
        <w:rPr/>
        <w:t>sector</w:t>
      </w:r>
      <w:r>
        <w:rPr>
          <w:spacing w:val="-14"/>
        </w:rPr>
        <w:t> </w:t>
      </w:r>
      <w:r>
        <w:rPr/>
        <w:t>programs</w:t>
      </w:r>
      <w:r>
        <w:rPr>
          <w:spacing w:val="-14"/>
        </w:rPr>
        <w:t> </w:t>
      </w:r>
      <w:r>
        <w:rPr/>
        <w:t>in</w:t>
      </w:r>
      <w:r>
        <w:rPr>
          <w:spacing w:val="-14"/>
        </w:rPr>
        <w:t> </w:t>
      </w:r>
      <w:r>
        <w:rPr/>
        <w:t>the</w:t>
      </w:r>
      <w:r>
        <w:rPr>
          <w:spacing w:val="-13"/>
        </w:rPr>
        <w:t> </w:t>
      </w:r>
      <w:r>
        <w:rPr/>
        <w:t>Panchayat.</w:t>
      </w:r>
      <w:r>
        <w:rPr>
          <w:spacing w:val="-14"/>
        </w:rPr>
        <w:t> </w:t>
      </w:r>
      <w:r>
        <w:rPr/>
        <w:t>The</w:t>
      </w:r>
      <w:r>
        <w:rPr>
          <w:spacing w:val="-14"/>
        </w:rPr>
        <w:t> </w:t>
      </w:r>
      <w:r>
        <w:rPr/>
        <w:t>PGK</w:t>
      </w:r>
      <w:r>
        <w:rPr>
          <w:spacing w:val="-14"/>
        </w:rPr>
        <w:t> </w:t>
      </w:r>
      <w:r>
        <w:rPr/>
        <w:t>could </w:t>
      </w:r>
      <w:r>
        <w:rPr>
          <w:spacing w:val="-2"/>
        </w:rPr>
        <w:t>thus</w:t>
      </w:r>
      <w:r>
        <w:rPr>
          <w:spacing w:val="-11"/>
        </w:rPr>
        <w:t> </w:t>
      </w:r>
      <w:r>
        <w:rPr>
          <w:spacing w:val="-2"/>
        </w:rPr>
        <w:t>play</w:t>
      </w:r>
      <w:r>
        <w:rPr>
          <w:spacing w:val="-11"/>
        </w:rPr>
        <w:t> </w:t>
      </w:r>
      <w:r>
        <w:rPr>
          <w:spacing w:val="-2"/>
        </w:rPr>
        <w:t>a</w:t>
      </w:r>
      <w:r>
        <w:rPr>
          <w:spacing w:val="-11"/>
        </w:rPr>
        <w:t> </w:t>
      </w:r>
      <w:r>
        <w:rPr>
          <w:spacing w:val="-2"/>
        </w:rPr>
        <w:t>critical</w:t>
      </w:r>
      <w:r>
        <w:rPr>
          <w:spacing w:val="-11"/>
        </w:rPr>
        <w:t> </w:t>
      </w:r>
      <w:r>
        <w:rPr>
          <w:spacing w:val="-2"/>
        </w:rPr>
        <w:t>role</w:t>
      </w:r>
      <w:r>
        <w:rPr>
          <w:spacing w:val="-11"/>
        </w:rPr>
        <w:t> </w:t>
      </w:r>
      <w:r>
        <w:rPr>
          <w:spacing w:val="-2"/>
        </w:rPr>
        <w:t>in</w:t>
      </w:r>
      <w:r>
        <w:rPr>
          <w:spacing w:val="-11"/>
        </w:rPr>
        <w:t> </w:t>
      </w:r>
      <w:r>
        <w:rPr>
          <w:spacing w:val="-2"/>
        </w:rPr>
        <w:t>creating</w:t>
      </w:r>
      <w:r>
        <w:rPr>
          <w:spacing w:val="-11"/>
        </w:rPr>
        <w:t> </w:t>
      </w:r>
      <w:r>
        <w:rPr>
          <w:spacing w:val="-2"/>
        </w:rPr>
        <w:t>a</w:t>
      </w:r>
      <w:r>
        <w:rPr>
          <w:spacing w:val="-11"/>
        </w:rPr>
        <w:t> </w:t>
      </w:r>
      <w:r>
        <w:rPr>
          <w:spacing w:val="-2"/>
        </w:rPr>
        <w:t>well-informed citizenry.</w:t>
      </w:r>
    </w:p>
    <w:p>
      <w:pPr>
        <w:pStyle w:val="BodyText"/>
        <w:spacing w:before="18"/>
      </w:pPr>
    </w:p>
    <w:p>
      <w:pPr>
        <w:pStyle w:val="ListParagraph"/>
        <w:numPr>
          <w:ilvl w:val="0"/>
          <w:numId w:val="65"/>
        </w:numPr>
        <w:tabs>
          <w:tab w:pos="1435" w:val="left" w:leader="none"/>
        </w:tabs>
        <w:spacing w:line="266" w:lineRule="auto" w:before="0" w:after="0"/>
        <w:ind w:left="1435" w:right="0" w:hanging="360"/>
        <w:jc w:val="both"/>
        <w:rPr>
          <w:sz w:val="22"/>
        </w:rPr>
      </w:pPr>
      <w:r>
        <w:rPr>
          <w:b/>
          <w:sz w:val="22"/>
        </w:rPr>
        <w:t>Establishing</w:t>
      </w:r>
      <w:r>
        <w:rPr>
          <w:b/>
          <w:spacing w:val="-11"/>
          <w:sz w:val="22"/>
        </w:rPr>
        <w:t> </w:t>
      </w:r>
      <w:r>
        <w:rPr>
          <w:b/>
          <w:sz w:val="22"/>
        </w:rPr>
        <w:t>a</w:t>
      </w:r>
      <w:r>
        <w:rPr>
          <w:b/>
          <w:spacing w:val="-11"/>
          <w:sz w:val="22"/>
        </w:rPr>
        <w:t> </w:t>
      </w:r>
      <w:r>
        <w:rPr>
          <w:b/>
          <w:sz w:val="22"/>
        </w:rPr>
        <w:t>Panchayat</w:t>
      </w:r>
      <w:r>
        <w:rPr>
          <w:b/>
          <w:spacing w:val="-11"/>
          <w:sz w:val="22"/>
        </w:rPr>
        <w:t> </w:t>
      </w:r>
      <w:r>
        <w:rPr>
          <w:b/>
          <w:sz w:val="22"/>
        </w:rPr>
        <w:t>Knowledge</w:t>
      </w:r>
      <w:r>
        <w:rPr>
          <w:b/>
          <w:spacing w:val="-11"/>
          <w:sz w:val="22"/>
        </w:rPr>
        <w:t> </w:t>
      </w:r>
      <w:r>
        <w:rPr>
          <w:b/>
          <w:sz w:val="22"/>
        </w:rPr>
        <w:t>Mission: </w:t>
      </w:r>
      <w:r>
        <w:rPr>
          <w:sz w:val="22"/>
        </w:rPr>
        <w:t>The knowledge gathered and generated, and the lessons learnt in different parts of the country in the</w:t>
      </w:r>
      <w:r>
        <w:rPr>
          <w:spacing w:val="40"/>
          <w:sz w:val="22"/>
        </w:rPr>
        <w:t> </w:t>
      </w:r>
      <w:r>
        <w:rPr>
          <w:sz w:val="22"/>
        </w:rPr>
        <w:t>PGKs</w:t>
      </w:r>
      <w:r>
        <w:rPr>
          <w:spacing w:val="40"/>
          <w:sz w:val="22"/>
        </w:rPr>
        <w:t> </w:t>
      </w:r>
      <w:r>
        <w:rPr>
          <w:sz w:val="22"/>
        </w:rPr>
        <w:t>need</w:t>
      </w:r>
      <w:r>
        <w:rPr>
          <w:spacing w:val="40"/>
          <w:sz w:val="22"/>
        </w:rPr>
        <w:t> </w:t>
      </w:r>
      <w:r>
        <w:rPr>
          <w:sz w:val="22"/>
        </w:rPr>
        <w:t>to</w:t>
      </w:r>
      <w:r>
        <w:rPr>
          <w:spacing w:val="40"/>
          <w:sz w:val="22"/>
        </w:rPr>
        <w:t> </w:t>
      </w:r>
      <w:r>
        <w:rPr>
          <w:sz w:val="22"/>
        </w:rPr>
        <w:t>be</w:t>
      </w:r>
      <w:r>
        <w:rPr>
          <w:spacing w:val="40"/>
          <w:sz w:val="22"/>
        </w:rPr>
        <w:t> </w:t>
      </w:r>
      <w:r>
        <w:rPr>
          <w:sz w:val="22"/>
        </w:rPr>
        <w:t>brought</w:t>
      </w:r>
      <w:r>
        <w:rPr>
          <w:spacing w:val="40"/>
          <w:sz w:val="22"/>
        </w:rPr>
        <w:t> </w:t>
      </w:r>
      <w:r>
        <w:rPr>
          <w:sz w:val="22"/>
        </w:rPr>
        <w:t>together</w:t>
      </w:r>
      <w:r>
        <w:rPr>
          <w:spacing w:val="40"/>
          <w:sz w:val="22"/>
        </w:rPr>
        <w:t> </w:t>
      </w:r>
      <w:r>
        <w:rPr>
          <w:sz w:val="22"/>
        </w:rPr>
        <w:t>on</w:t>
      </w:r>
      <w:r>
        <w:rPr>
          <w:spacing w:val="40"/>
          <w:sz w:val="22"/>
        </w:rPr>
        <w:t> </w:t>
      </w:r>
      <w:r>
        <w:rPr>
          <w:sz w:val="22"/>
        </w:rPr>
        <w:t>one</w:t>
      </w:r>
    </w:p>
    <w:p>
      <w:pPr>
        <w:pStyle w:val="BodyText"/>
        <w:spacing w:line="266" w:lineRule="auto" w:before="57"/>
        <w:ind w:left="679" w:right="1077"/>
        <w:jc w:val="both"/>
      </w:pPr>
      <w:r>
        <w:rPr/>
        <w:br w:type="column"/>
      </w:r>
      <w:r>
        <w:rPr/>
        <w:t>platform so that a cross fertilisation of ideas can </w:t>
      </w:r>
      <w:r>
        <w:rPr>
          <w:w w:val="90"/>
        </w:rPr>
        <w:t>take place. Also, there is a need for national resource </w:t>
      </w:r>
      <w:r>
        <w:rPr/>
        <w:t>centres, to provide technical and appropriate support to help PGKs carry out their objectives and overcome challenges through creativity and </w:t>
      </w:r>
      <w:r>
        <w:rPr>
          <w:spacing w:val="-4"/>
        </w:rPr>
        <w:t>innovation. Such an effort would require flexibility </w:t>
      </w:r>
      <w:r>
        <w:rPr/>
        <w:t>and support best provided through a mission </w:t>
      </w:r>
      <w:r>
        <w:rPr>
          <w:spacing w:val="-2"/>
        </w:rPr>
        <w:t>approach.</w:t>
      </w:r>
      <w:r>
        <w:rPr>
          <w:spacing w:val="-12"/>
        </w:rPr>
        <w:t> </w:t>
      </w:r>
      <w:r>
        <w:rPr>
          <w:spacing w:val="-2"/>
        </w:rPr>
        <w:t>The</w:t>
      </w:r>
      <w:r>
        <w:rPr>
          <w:spacing w:val="-11"/>
        </w:rPr>
        <w:t> </w:t>
      </w:r>
      <w:r>
        <w:rPr>
          <w:spacing w:val="-2"/>
        </w:rPr>
        <w:t>Panchayat</w:t>
      </w:r>
      <w:r>
        <w:rPr>
          <w:spacing w:val="-7"/>
        </w:rPr>
        <w:t> </w:t>
      </w:r>
      <w:r>
        <w:rPr>
          <w:spacing w:val="-2"/>
        </w:rPr>
        <w:t>Knowledge</w:t>
      </w:r>
      <w:r>
        <w:rPr>
          <w:spacing w:val="-7"/>
        </w:rPr>
        <w:t> </w:t>
      </w:r>
      <w:r>
        <w:rPr>
          <w:spacing w:val="-2"/>
        </w:rPr>
        <w:t>Mission</w:t>
      </w:r>
      <w:r>
        <w:rPr>
          <w:spacing w:val="-7"/>
        </w:rPr>
        <w:t> </w:t>
      </w:r>
      <w:r>
        <w:rPr>
          <w:spacing w:val="-2"/>
        </w:rPr>
        <w:t>and </w:t>
      </w:r>
      <w:r>
        <w:rPr/>
        <w:t>its</w:t>
      </w:r>
      <w:r>
        <w:rPr>
          <w:spacing w:val="-5"/>
        </w:rPr>
        <w:t> </w:t>
      </w:r>
      <w:r>
        <w:rPr/>
        <w:t>special</w:t>
      </w:r>
      <w:r>
        <w:rPr>
          <w:spacing w:val="-5"/>
        </w:rPr>
        <w:t> </w:t>
      </w:r>
      <w:r>
        <w:rPr/>
        <w:t>resource</w:t>
      </w:r>
      <w:r>
        <w:rPr>
          <w:spacing w:val="-5"/>
        </w:rPr>
        <w:t> </w:t>
      </w:r>
      <w:r>
        <w:rPr/>
        <w:t>units</w:t>
      </w:r>
      <w:r>
        <w:rPr>
          <w:spacing w:val="-5"/>
        </w:rPr>
        <w:t> </w:t>
      </w:r>
      <w:r>
        <w:rPr/>
        <w:t>can</w:t>
      </w:r>
      <w:r>
        <w:rPr>
          <w:spacing w:val="-5"/>
        </w:rPr>
        <w:t> </w:t>
      </w:r>
      <w:r>
        <w:rPr/>
        <w:t>enlist</w:t>
      </w:r>
      <w:r>
        <w:rPr>
          <w:spacing w:val="-5"/>
        </w:rPr>
        <w:t> </w:t>
      </w:r>
      <w:r>
        <w:rPr/>
        <w:t>technical</w:t>
      </w:r>
      <w:r>
        <w:rPr>
          <w:spacing w:val="-5"/>
        </w:rPr>
        <w:t> </w:t>
      </w:r>
      <w:r>
        <w:rPr/>
        <w:t>help and expertise to meet demands for such support from any part of the country.</w:t>
      </w:r>
    </w:p>
    <w:p>
      <w:pPr>
        <w:pStyle w:val="BodyText"/>
        <w:spacing w:before="18"/>
      </w:pPr>
    </w:p>
    <w:p>
      <w:pPr>
        <w:pStyle w:val="BodyText"/>
        <w:spacing w:line="266" w:lineRule="auto" w:before="1"/>
        <w:ind w:left="319" w:right="1077"/>
        <w:jc w:val="both"/>
      </w:pPr>
      <w:r>
        <w:rPr>
          <w:spacing w:val="-4"/>
        </w:rPr>
        <w:t>We</w:t>
      </w:r>
      <w:r>
        <w:rPr>
          <w:spacing w:val="-10"/>
        </w:rPr>
        <w:t> </w:t>
      </w:r>
      <w:r>
        <w:rPr>
          <w:spacing w:val="-4"/>
        </w:rPr>
        <w:t>believe</w:t>
      </w:r>
      <w:r>
        <w:rPr>
          <w:spacing w:val="-10"/>
        </w:rPr>
        <w:t> </w:t>
      </w:r>
      <w:r>
        <w:rPr>
          <w:spacing w:val="-4"/>
        </w:rPr>
        <w:t>that</w:t>
      </w:r>
      <w:r>
        <w:rPr>
          <w:spacing w:val="-10"/>
        </w:rPr>
        <w:t> </w:t>
      </w:r>
      <w:r>
        <w:rPr>
          <w:spacing w:val="-4"/>
        </w:rPr>
        <w:t>building</w:t>
      </w:r>
      <w:r>
        <w:rPr>
          <w:spacing w:val="-9"/>
        </w:rPr>
        <w:t> </w:t>
      </w:r>
      <w:r>
        <w:rPr>
          <w:spacing w:val="-4"/>
        </w:rPr>
        <w:t>a</w:t>
      </w:r>
      <w:r>
        <w:rPr>
          <w:spacing w:val="-10"/>
        </w:rPr>
        <w:t> </w:t>
      </w:r>
      <w:r>
        <w:rPr>
          <w:spacing w:val="-4"/>
        </w:rPr>
        <w:t>network</w:t>
      </w:r>
      <w:r>
        <w:rPr>
          <w:spacing w:val="-10"/>
        </w:rPr>
        <w:t> </w:t>
      </w:r>
      <w:r>
        <w:rPr>
          <w:spacing w:val="-4"/>
        </w:rPr>
        <w:t>of</w:t>
      </w:r>
      <w:r>
        <w:rPr>
          <w:spacing w:val="-10"/>
        </w:rPr>
        <w:t> </w:t>
      </w:r>
      <w:r>
        <w:rPr>
          <w:spacing w:val="-4"/>
        </w:rPr>
        <w:t>PGKs,</w:t>
      </w:r>
      <w:r>
        <w:rPr>
          <w:spacing w:val="-9"/>
        </w:rPr>
        <w:t> </w:t>
      </w:r>
      <w:r>
        <w:rPr>
          <w:spacing w:val="-4"/>
        </w:rPr>
        <w:t>backed</w:t>
      </w:r>
      <w:r>
        <w:rPr>
          <w:spacing w:val="-10"/>
        </w:rPr>
        <w:t> </w:t>
      </w:r>
      <w:r>
        <w:rPr>
          <w:spacing w:val="-4"/>
        </w:rPr>
        <w:t>by </w:t>
      </w:r>
      <w:r>
        <w:rPr>
          <w:spacing w:val="-2"/>
        </w:rPr>
        <w:t>ICT</w:t>
      </w:r>
      <w:r>
        <w:rPr>
          <w:spacing w:val="-10"/>
        </w:rPr>
        <w:t> </w:t>
      </w:r>
      <w:r>
        <w:rPr>
          <w:spacing w:val="-2"/>
        </w:rPr>
        <w:t>and</w:t>
      </w:r>
      <w:r>
        <w:rPr>
          <w:spacing w:val="-10"/>
        </w:rPr>
        <w:t> </w:t>
      </w:r>
      <w:r>
        <w:rPr>
          <w:spacing w:val="-2"/>
        </w:rPr>
        <w:t>transparency</w:t>
      </w:r>
      <w:r>
        <w:rPr>
          <w:spacing w:val="-10"/>
        </w:rPr>
        <w:t> </w:t>
      </w:r>
      <w:r>
        <w:rPr>
          <w:spacing w:val="-2"/>
        </w:rPr>
        <w:t>mechanisms</w:t>
      </w:r>
      <w:r>
        <w:rPr>
          <w:spacing w:val="-10"/>
        </w:rPr>
        <w:t> </w:t>
      </w:r>
      <w:r>
        <w:rPr>
          <w:spacing w:val="-2"/>
        </w:rPr>
        <w:t>will</w:t>
      </w:r>
      <w:r>
        <w:rPr>
          <w:spacing w:val="-10"/>
        </w:rPr>
        <w:t> </w:t>
      </w:r>
      <w:r>
        <w:rPr>
          <w:spacing w:val="-2"/>
        </w:rPr>
        <w:t>create</w:t>
      </w:r>
      <w:r>
        <w:rPr>
          <w:spacing w:val="-10"/>
        </w:rPr>
        <w:t> </w:t>
      </w:r>
      <w:r>
        <w:rPr>
          <w:spacing w:val="-2"/>
        </w:rPr>
        <w:t>a</w:t>
      </w:r>
      <w:r>
        <w:rPr>
          <w:spacing w:val="-10"/>
        </w:rPr>
        <w:t> </w:t>
      </w:r>
      <w:r>
        <w:rPr>
          <w:spacing w:val="-2"/>
        </w:rPr>
        <w:t>wealth </w:t>
      </w:r>
      <w:r>
        <w:rPr/>
        <w:t>of</w:t>
      </w:r>
      <w:r>
        <w:rPr>
          <w:spacing w:val="-14"/>
        </w:rPr>
        <w:t> </w:t>
      </w:r>
      <w:r>
        <w:rPr/>
        <w:t>innovative,</w:t>
      </w:r>
      <w:r>
        <w:rPr>
          <w:spacing w:val="-14"/>
        </w:rPr>
        <w:t> </w:t>
      </w:r>
      <w:r>
        <w:rPr/>
        <w:t>scalable</w:t>
      </w:r>
      <w:r>
        <w:rPr>
          <w:spacing w:val="-14"/>
        </w:rPr>
        <w:t> </w:t>
      </w:r>
      <w:r>
        <w:rPr/>
        <w:t>best</w:t>
      </w:r>
      <w:r>
        <w:rPr>
          <w:spacing w:val="-13"/>
        </w:rPr>
        <w:t> </w:t>
      </w:r>
      <w:r>
        <w:rPr/>
        <w:t>practices</w:t>
      </w:r>
      <w:r>
        <w:rPr>
          <w:spacing w:val="-14"/>
        </w:rPr>
        <w:t> </w:t>
      </w:r>
      <w:r>
        <w:rPr/>
        <w:t>and</w:t>
      </w:r>
      <w:r>
        <w:rPr>
          <w:spacing w:val="-14"/>
        </w:rPr>
        <w:t> </w:t>
      </w:r>
      <w:r>
        <w:rPr/>
        <w:t>qualitatively improve</w:t>
      </w:r>
      <w:r>
        <w:rPr>
          <w:spacing w:val="-2"/>
        </w:rPr>
        <w:t> </w:t>
      </w:r>
      <w:r>
        <w:rPr/>
        <w:t>democratic</w:t>
      </w:r>
      <w:r>
        <w:rPr>
          <w:spacing w:val="-2"/>
        </w:rPr>
        <w:t> </w:t>
      </w:r>
      <w:r>
        <w:rPr/>
        <w:t>governance</w:t>
      </w:r>
      <w:r>
        <w:rPr>
          <w:spacing w:val="-2"/>
        </w:rPr>
        <w:t> </w:t>
      </w:r>
      <w:r>
        <w:rPr/>
        <w:t>in</w:t>
      </w:r>
      <w:r>
        <w:rPr>
          <w:spacing w:val="-2"/>
        </w:rPr>
        <w:t> </w:t>
      </w:r>
      <w:r>
        <w:rPr/>
        <w:t>the</w:t>
      </w:r>
      <w:r>
        <w:rPr>
          <w:spacing w:val="-2"/>
        </w:rPr>
        <w:t> </w:t>
      </w:r>
      <w:r>
        <w:rPr/>
        <w:t>country.</w:t>
      </w:r>
    </w:p>
    <w:p>
      <w:pPr>
        <w:spacing w:after="0" w:line="266" w:lineRule="auto"/>
        <w:jc w:val="both"/>
        <w:sectPr>
          <w:pgSz w:w="11910" w:h="16840"/>
          <w:pgMar w:header="0" w:footer="675" w:top="960" w:bottom="860" w:left="0" w:right="0"/>
          <w:cols w:num="2" w:equalWidth="0">
            <w:col w:w="5774" w:space="40"/>
            <w:col w:w="6096"/>
          </w:cols>
        </w:sectPr>
      </w:pPr>
    </w:p>
    <w:p>
      <w:pPr>
        <w:pStyle w:val="BodyText"/>
        <w:rPr>
          <w:sz w:val="20"/>
        </w:rPr>
      </w:pPr>
    </w:p>
    <w:p>
      <w:pPr>
        <w:pStyle w:val="BodyText"/>
        <w:rPr>
          <w:sz w:val="20"/>
        </w:rPr>
      </w:pPr>
    </w:p>
    <w:p>
      <w:pPr>
        <w:pStyle w:val="BodyText"/>
        <w:spacing w:before="135"/>
        <w:rPr>
          <w:sz w:val="20"/>
        </w:rPr>
      </w:pPr>
    </w:p>
    <w:p>
      <w:pPr>
        <w:spacing w:after="0"/>
        <w:rPr>
          <w:sz w:val="20"/>
        </w:rPr>
        <w:sectPr>
          <w:pgSz w:w="11910" w:h="16840"/>
          <w:pgMar w:header="0" w:footer="675" w:top="0" w:bottom="860" w:left="0" w:right="0"/>
        </w:sectPr>
      </w:pPr>
    </w:p>
    <w:p>
      <w:pPr>
        <w:pStyle w:val="Heading3"/>
      </w:pPr>
      <w:r>
        <w:rPr/>
        <w:drawing>
          <wp:anchor distT="0" distB="0" distL="0" distR="0" allowOverlap="1" layoutInCell="1" locked="0" behindDoc="1" simplePos="0" relativeHeight="479363584">
            <wp:simplePos x="0" y="0"/>
            <wp:positionH relativeFrom="page">
              <wp:posOffset>0</wp:posOffset>
            </wp:positionH>
            <wp:positionV relativeFrom="paragraph">
              <wp:posOffset>-535102</wp:posOffset>
            </wp:positionV>
            <wp:extent cx="7559999" cy="1752562"/>
            <wp:effectExtent l="0" t="0" r="0" b="0"/>
            <wp:wrapNone/>
            <wp:docPr id="997" name="Image 997"/>
            <wp:cNvGraphicFramePr>
              <a:graphicFrameLocks/>
            </wp:cNvGraphicFramePr>
            <a:graphic>
              <a:graphicData uri="http://schemas.openxmlformats.org/drawingml/2006/picture">
                <pic:pic>
                  <pic:nvPicPr>
                    <pic:cNvPr id="997" name="Image 997"/>
                    <pic:cNvPicPr/>
                  </pic:nvPicPr>
                  <pic:blipFill>
                    <a:blip r:embed="rId11" cstate="print"/>
                    <a:stretch>
                      <a:fillRect/>
                    </a:stretch>
                  </pic:blipFill>
                  <pic:spPr>
                    <a:xfrm>
                      <a:off x="0" y="0"/>
                      <a:ext cx="7559999" cy="1752562"/>
                    </a:xfrm>
                    <a:prstGeom prst="rect">
                      <a:avLst/>
                    </a:prstGeom>
                  </pic:spPr>
                </pic:pic>
              </a:graphicData>
            </a:graphic>
          </wp:anchor>
        </w:drawing>
      </w:r>
      <w:r>
        <w:rPr>
          <w:color w:val="FFFFFF"/>
        </w:rPr>
        <w:t>Enhancing</w:t>
      </w:r>
      <w:r>
        <w:rPr>
          <w:color w:val="FFFFFF"/>
          <w:spacing w:val="-1"/>
        </w:rPr>
        <w:t> </w:t>
      </w:r>
      <w:r>
        <w:rPr>
          <w:color w:val="FFFFFF"/>
        </w:rPr>
        <w:t>Quality of </w:t>
      </w:r>
      <w:r>
        <w:rPr>
          <w:color w:val="FFFFFF"/>
          <w:spacing w:val="-4"/>
        </w:rPr>
        <w:t>Life</w:t>
      </w:r>
    </w:p>
    <w:p>
      <w:pPr>
        <w:pStyle w:val="Heading5"/>
      </w:pPr>
      <w:r>
        <w:rPr>
          <w:color w:val="FFFFFF"/>
        </w:rPr>
        <w:t>Designing</w:t>
      </w:r>
      <w:r>
        <w:rPr>
          <w:color w:val="FFFFFF"/>
          <w:spacing w:val="-1"/>
        </w:rPr>
        <w:t> </w:t>
      </w:r>
      <w:r>
        <w:rPr>
          <w:color w:val="FFFFFF"/>
        </w:rPr>
        <w:t>Ergonomic</w:t>
      </w:r>
      <w:r>
        <w:rPr>
          <w:color w:val="FFFFFF"/>
          <w:spacing w:val="-7"/>
        </w:rPr>
        <w:t> </w:t>
      </w:r>
      <w:r>
        <w:rPr>
          <w:color w:val="FFFFFF"/>
          <w:spacing w:val="-2"/>
        </w:rPr>
        <w:t>Tools</w:t>
      </w:r>
    </w:p>
    <w:p>
      <w:pPr>
        <w:spacing w:line="240" w:lineRule="auto" w:before="0"/>
        <w:rPr>
          <w:rFonts w:ascii="Trebuchet MS"/>
          <w:b/>
          <w:sz w:val="22"/>
        </w:rPr>
      </w:pPr>
      <w:r>
        <w:rPr/>
        <w:br w:type="column"/>
      </w:r>
      <w:r>
        <w:rPr>
          <w:rFonts w:ascii="Trebuchet MS"/>
          <w:b/>
          <w:sz w:val="22"/>
        </w:rPr>
      </w: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216"/>
        <w:rPr>
          <w:rFonts w:ascii="Trebuchet MS"/>
          <w:b/>
        </w:rPr>
      </w:pPr>
    </w:p>
    <w:p>
      <w:pPr>
        <w:pStyle w:val="BodyText"/>
        <w:ind w:left="439"/>
      </w:pPr>
      <w:r>
        <w:rPr>
          <w:color w:val="FFFFFF"/>
          <w:spacing w:val="-2"/>
        </w:rPr>
        <w:t>March</w:t>
      </w:r>
      <w:r>
        <w:rPr>
          <w:color w:val="FFFFFF"/>
          <w:spacing w:val="-9"/>
        </w:rPr>
        <w:t> </w:t>
      </w:r>
      <w:r>
        <w:rPr>
          <w:color w:val="FFFFFF"/>
          <w:spacing w:val="-2"/>
        </w:rPr>
        <w:t>2,</w:t>
      </w:r>
      <w:r>
        <w:rPr>
          <w:color w:val="FFFFFF"/>
          <w:spacing w:val="-9"/>
        </w:rPr>
        <w:t> </w:t>
      </w:r>
      <w:r>
        <w:rPr>
          <w:color w:val="FFFFFF"/>
          <w:spacing w:val="-4"/>
        </w:rPr>
        <w:t>2009</w:t>
      </w:r>
    </w:p>
    <w:p>
      <w:pPr>
        <w:spacing w:after="0"/>
        <w:sectPr>
          <w:type w:val="continuous"/>
          <w:pgSz w:w="11910" w:h="16840"/>
          <w:pgMar w:header="0" w:footer="675" w:top="1920" w:bottom="280" w:left="0" w:right="0"/>
          <w:cols w:num="2" w:equalWidth="0">
            <w:col w:w="9085" w:space="40"/>
            <w:col w:w="2785"/>
          </w:cols>
        </w:sectPr>
      </w:pPr>
    </w:p>
    <w:p>
      <w:pPr>
        <w:pStyle w:val="BodyText"/>
        <w:rPr>
          <w:sz w:val="20"/>
        </w:rPr>
      </w:pPr>
    </w:p>
    <w:p>
      <w:pPr>
        <w:pStyle w:val="BodyText"/>
        <w:rPr>
          <w:sz w:val="20"/>
        </w:rPr>
      </w:pPr>
    </w:p>
    <w:p>
      <w:pPr>
        <w:pStyle w:val="BodyText"/>
        <w:rPr>
          <w:sz w:val="20"/>
        </w:rPr>
      </w:pPr>
    </w:p>
    <w:p>
      <w:pPr>
        <w:pStyle w:val="BodyText"/>
        <w:spacing w:before="92"/>
        <w:rPr>
          <w:sz w:val="20"/>
        </w:rPr>
      </w:pPr>
    </w:p>
    <w:p>
      <w:pPr>
        <w:spacing w:after="0"/>
        <w:rPr>
          <w:sz w:val="20"/>
        </w:rPr>
        <w:sectPr>
          <w:type w:val="continuous"/>
          <w:pgSz w:w="11910" w:h="16840"/>
          <w:pgMar w:header="0" w:footer="675" w:top="1920" w:bottom="280" w:left="0" w:right="0"/>
        </w:sectPr>
      </w:pPr>
    </w:p>
    <w:p>
      <w:pPr>
        <w:pStyle w:val="BodyText"/>
        <w:spacing w:line="266" w:lineRule="auto" w:before="82"/>
        <w:ind w:left="1793"/>
        <w:jc w:val="both"/>
      </w:pPr>
      <w:r>
        <w:rPr/>
        <mc:AlternateContent>
          <mc:Choice Requires="wps">
            <w:drawing>
              <wp:anchor distT="0" distB="0" distL="0" distR="0" allowOverlap="1" layoutInCell="1" locked="0" behindDoc="1" simplePos="0" relativeHeight="479364096">
                <wp:simplePos x="0" y="0"/>
                <wp:positionH relativeFrom="page">
                  <wp:posOffset>685799</wp:posOffset>
                </wp:positionH>
                <wp:positionV relativeFrom="paragraph">
                  <wp:posOffset>-36911</wp:posOffset>
                </wp:positionV>
                <wp:extent cx="446405" cy="757555"/>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906453pt;width:35.15pt;height:59.65pt;mso-position-horizontal-relative:page;mso-position-vertical-relative:paragraph;z-index:-23952384" type="#_x0000_t202" id="docshape986"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spacing w:val="-4"/>
        </w:rPr>
        <w:t>he</w:t>
      </w:r>
      <w:r>
        <w:rPr>
          <w:spacing w:val="-10"/>
        </w:rPr>
        <w:t> </w:t>
      </w:r>
      <w:r>
        <w:rPr>
          <w:spacing w:val="-4"/>
        </w:rPr>
        <w:t>National</w:t>
      </w:r>
      <w:r>
        <w:rPr>
          <w:spacing w:val="-10"/>
        </w:rPr>
        <w:t> </w:t>
      </w:r>
      <w:r>
        <w:rPr>
          <w:spacing w:val="-4"/>
        </w:rPr>
        <w:t>Knowledge</w:t>
      </w:r>
      <w:r>
        <w:rPr>
          <w:spacing w:val="-10"/>
        </w:rPr>
        <w:t> </w:t>
      </w:r>
      <w:r>
        <w:rPr>
          <w:spacing w:val="-4"/>
        </w:rPr>
        <w:t>Commission</w:t>
      </w:r>
      <w:r>
        <w:rPr>
          <w:spacing w:val="-9"/>
        </w:rPr>
        <w:t> </w:t>
      </w:r>
      <w:r>
        <w:rPr>
          <w:spacing w:val="-4"/>
        </w:rPr>
        <w:t>considers </w:t>
      </w:r>
      <w:r>
        <w:rPr/>
        <w:t>it imperative to ensure that the applications of</w:t>
      </w:r>
      <w:r>
        <w:rPr>
          <w:spacing w:val="59"/>
        </w:rPr>
        <w:t> </w:t>
      </w:r>
      <w:r>
        <w:rPr/>
        <w:t>knowledge</w:t>
      </w:r>
      <w:r>
        <w:rPr>
          <w:spacing w:val="59"/>
        </w:rPr>
        <w:t> </w:t>
      </w:r>
      <w:r>
        <w:rPr/>
        <w:t>are</w:t>
      </w:r>
      <w:r>
        <w:rPr>
          <w:spacing w:val="59"/>
        </w:rPr>
        <w:t> </w:t>
      </w:r>
      <w:r>
        <w:rPr/>
        <w:t>used</w:t>
      </w:r>
      <w:r>
        <w:rPr>
          <w:spacing w:val="59"/>
        </w:rPr>
        <w:t> </w:t>
      </w:r>
      <w:r>
        <w:rPr/>
        <w:t>for</w:t>
      </w:r>
      <w:r>
        <w:rPr>
          <w:spacing w:val="59"/>
        </w:rPr>
        <w:t> </w:t>
      </w:r>
      <w:r>
        <w:rPr/>
        <w:t>the</w:t>
      </w:r>
      <w:r>
        <w:rPr>
          <w:spacing w:val="59"/>
        </w:rPr>
        <w:t> </w:t>
      </w:r>
      <w:r>
        <w:rPr/>
        <w:t>well-</w:t>
      </w:r>
      <w:r>
        <w:rPr>
          <w:spacing w:val="-4"/>
        </w:rPr>
        <w:t>being</w:t>
      </w:r>
    </w:p>
    <w:p>
      <w:pPr>
        <w:pStyle w:val="BodyText"/>
        <w:spacing w:line="266" w:lineRule="auto"/>
        <w:ind w:left="1080"/>
        <w:jc w:val="both"/>
      </w:pPr>
      <w:r>
        <w:rPr/>
        <w:t>of common people, especially in rural areas. Our </w:t>
      </w:r>
      <w:r>
        <w:rPr>
          <w:spacing w:val="-4"/>
        </w:rPr>
        <w:t>consultations with a working group of experts involved </w:t>
      </w:r>
      <w:r>
        <w:rPr/>
        <w:t>with grassroots organisations helped identify some </w:t>
      </w:r>
      <w:r>
        <w:rPr>
          <w:spacing w:val="-4"/>
        </w:rPr>
        <w:t>workable</w:t>
      </w:r>
      <w:r>
        <w:rPr>
          <w:spacing w:val="-5"/>
        </w:rPr>
        <w:t> </w:t>
      </w:r>
      <w:r>
        <w:rPr>
          <w:spacing w:val="-4"/>
        </w:rPr>
        <w:t>ideas</w:t>
      </w:r>
      <w:r>
        <w:rPr>
          <w:spacing w:val="-5"/>
        </w:rPr>
        <w:t> </w:t>
      </w:r>
      <w:r>
        <w:rPr>
          <w:spacing w:val="-4"/>
        </w:rPr>
        <w:t>and</w:t>
      </w:r>
      <w:r>
        <w:rPr>
          <w:spacing w:val="-5"/>
        </w:rPr>
        <w:t> </w:t>
      </w:r>
      <w:r>
        <w:rPr>
          <w:spacing w:val="-4"/>
        </w:rPr>
        <w:t>existing</w:t>
      </w:r>
      <w:r>
        <w:rPr>
          <w:spacing w:val="-5"/>
        </w:rPr>
        <w:t> </w:t>
      </w:r>
      <w:r>
        <w:rPr>
          <w:spacing w:val="-4"/>
        </w:rPr>
        <w:t>projects</w:t>
      </w:r>
      <w:r>
        <w:rPr>
          <w:spacing w:val="-5"/>
        </w:rPr>
        <w:t> </w:t>
      </w:r>
      <w:r>
        <w:rPr>
          <w:spacing w:val="-4"/>
        </w:rPr>
        <w:t>that</w:t>
      </w:r>
      <w:r>
        <w:rPr>
          <w:spacing w:val="-5"/>
        </w:rPr>
        <w:t> </w:t>
      </w:r>
      <w:r>
        <w:rPr>
          <w:spacing w:val="-4"/>
        </w:rPr>
        <w:t>have</w:t>
      </w:r>
      <w:r>
        <w:rPr>
          <w:spacing w:val="-5"/>
        </w:rPr>
        <w:t> </w:t>
      </w:r>
      <w:r>
        <w:rPr>
          <w:spacing w:val="-4"/>
        </w:rPr>
        <w:t>potential </w:t>
      </w:r>
      <w:r>
        <w:rPr/>
        <w:t>for scaling up. One of the pilot projects selected for implementation after discussions focused on the urgent requirement for ergonomic tools, especially among NREGA workers.</w:t>
      </w:r>
      <w:r>
        <w:rPr>
          <w:spacing w:val="-6"/>
        </w:rPr>
        <w:t> </w:t>
      </w:r>
      <w:r>
        <w:rPr/>
        <w:t>This project recognises the enormous skills involved in manual work and aims</w:t>
      </w:r>
      <w:r>
        <w:rPr>
          <w:spacing w:val="40"/>
        </w:rPr>
        <w:t> </w:t>
      </w:r>
      <w:r>
        <w:rPr/>
        <w:t>to give workers tools that will help them carry out their</w:t>
      </w:r>
      <w:r>
        <w:rPr>
          <w:spacing w:val="-12"/>
        </w:rPr>
        <w:t> </w:t>
      </w:r>
      <w:r>
        <w:rPr/>
        <w:t>task</w:t>
      </w:r>
      <w:r>
        <w:rPr>
          <w:spacing w:val="-12"/>
        </w:rPr>
        <w:t> </w:t>
      </w:r>
      <w:r>
        <w:rPr/>
        <w:t>in</w:t>
      </w:r>
      <w:r>
        <w:rPr>
          <w:spacing w:val="-12"/>
        </w:rPr>
        <w:t> </w:t>
      </w:r>
      <w:r>
        <w:rPr/>
        <w:t>a</w:t>
      </w:r>
      <w:r>
        <w:rPr>
          <w:spacing w:val="-12"/>
        </w:rPr>
        <w:t> </w:t>
      </w:r>
      <w:r>
        <w:rPr/>
        <w:t>more</w:t>
      </w:r>
      <w:r>
        <w:rPr>
          <w:spacing w:val="-12"/>
        </w:rPr>
        <w:t> </w:t>
      </w:r>
      <w:r>
        <w:rPr/>
        <w:t>specific</w:t>
      </w:r>
      <w:r>
        <w:rPr>
          <w:spacing w:val="-12"/>
        </w:rPr>
        <w:t> </w:t>
      </w:r>
      <w:r>
        <w:rPr/>
        <w:t>and</w:t>
      </w:r>
      <w:r>
        <w:rPr>
          <w:spacing w:val="-12"/>
        </w:rPr>
        <w:t> </w:t>
      </w:r>
      <w:r>
        <w:rPr/>
        <w:t>less</w:t>
      </w:r>
      <w:r>
        <w:rPr>
          <w:spacing w:val="-12"/>
        </w:rPr>
        <w:t> </w:t>
      </w:r>
      <w:r>
        <w:rPr/>
        <w:t>physically</w:t>
      </w:r>
      <w:r>
        <w:rPr>
          <w:spacing w:val="-12"/>
        </w:rPr>
        <w:t> </w:t>
      </w:r>
      <w:r>
        <w:rPr/>
        <w:t>taxing manner.</w:t>
      </w:r>
      <w:r>
        <w:rPr>
          <w:spacing w:val="-14"/>
        </w:rPr>
        <w:t> </w:t>
      </w:r>
      <w:r>
        <w:rPr/>
        <w:t>The</w:t>
      </w:r>
      <w:r>
        <w:rPr>
          <w:spacing w:val="-6"/>
        </w:rPr>
        <w:t> </w:t>
      </w:r>
      <w:r>
        <w:rPr/>
        <w:t>findings</w:t>
      </w:r>
      <w:r>
        <w:rPr>
          <w:spacing w:val="-7"/>
        </w:rPr>
        <w:t> </w:t>
      </w:r>
      <w:r>
        <w:rPr/>
        <w:t>from</w:t>
      </w:r>
      <w:r>
        <w:rPr>
          <w:spacing w:val="-7"/>
        </w:rPr>
        <w:t> </w:t>
      </w:r>
      <w:r>
        <w:rPr/>
        <w:t>this</w:t>
      </w:r>
      <w:r>
        <w:rPr>
          <w:spacing w:val="-7"/>
        </w:rPr>
        <w:t> </w:t>
      </w:r>
      <w:r>
        <w:rPr/>
        <w:t>project</w:t>
      </w:r>
      <w:r>
        <w:rPr>
          <w:spacing w:val="-7"/>
        </w:rPr>
        <w:t> </w:t>
      </w:r>
      <w:r>
        <w:rPr/>
        <w:t>form</w:t>
      </w:r>
      <w:r>
        <w:rPr>
          <w:spacing w:val="-7"/>
        </w:rPr>
        <w:t> </w:t>
      </w:r>
      <w:r>
        <w:rPr/>
        <w:t>the</w:t>
      </w:r>
      <w:r>
        <w:rPr>
          <w:spacing w:val="-7"/>
        </w:rPr>
        <w:t> </w:t>
      </w:r>
      <w:r>
        <w:rPr/>
        <w:t>basis for our policy suggestions. In this letter, key issues discussed pertain to designing ergonomic tools as a means of improving dignity of labour, encouraging energy efficiency, reducing workloads for women, </w:t>
      </w:r>
      <w:r>
        <w:rPr>
          <w:spacing w:val="-2"/>
        </w:rPr>
        <w:t>reducing</w:t>
      </w:r>
      <w:r>
        <w:rPr>
          <w:spacing w:val="-11"/>
        </w:rPr>
        <w:t> </w:t>
      </w:r>
      <w:r>
        <w:rPr>
          <w:spacing w:val="-2"/>
        </w:rPr>
        <w:t>drudgery,</w:t>
      </w:r>
      <w:r>
        <w:rPr>
          <w:spacing w:val="-11"/>
        </w:rPr>
        <w:t> </w:t>
      </w:r>
      <w:r>
        <w:rPr>
          <w:spacing w:val="-2"/>
        </w:rPr>
        <w:t>increasing</w:t>
      </w:r>
      <w:r>
        <w:rPr>
          <w:spacing w:val="-11"/>
        </w:rPr>
        <w:t> </w:t>
      </w:r>
      <w:r>
        <w:rPr>
          <w:spacing w:val="-2"/>
        </w:rPr>
        <w:t>skillful</w:t>
      </w:r>
      <w:r>
        <w:rPr>
          <w:spacing w:val="-11"/>
        </w:rPr>
        <w:t> </w:t>
      </w:r>
      <w:r>
        <w:rPr>
          <w:spacing w:val="-2"/>
        </w:rPr>
        <w:t>engagement</w:t>
      </w:r>
      <w:r>
        <w:rPr>
          <w:spacing w:val="-11"/>
        </w:rPr>
        <w:t> </w:t>
      </w:r>
      <w:r>
        <w:rPr>
          <w:spacing w:val="-2"/>
        </w:rPr>
        <w:t>and </w:t>
      </w:r>
      <w:r>
        <w:rPr/>
        <w:t>improving productivity.</w:t>
      </w:r>
    </w:p>
    <w:p>
      <w:pPr>
        <w:pStyle w:val="BodyText"/>
        <w:spacing w:before="10"/>
      </w:pPr>
    </w:p>
    <w:p>
      <w:pPr>
        <w:pStyle w:val="BodyText"/>
        <w:spacing w:line="266" w:lineRule="auto"/>
        <w:ind w:left="1080"/>
        <w:jc w:val="both"/>
      </w:pPr>
      <w:r>
        <w:rPr/>
        <w:t>MAEER MIT Institute of Design (MITID), Pune </w:t>
      </w:r>
      <w:r>
        <w:rPr/>
        <w:t>in collaboration with Mazdoor Kisan Shakti Sangathan (MKSS), Rajasthan were identified by NKC as ‘host </w:t>
      </w:r>
      <w:r>
        <w:rPr>
          <w:spacing w:val="-2"/>
        </w:rPr>
        <w:t>institutions’</w:t>
      </w:r>
      <w:r>
        <w:rPr>
          <w:spacing w:val="-6"/>
        </w:rPr>
        <w:t> </w:t>
      </w:r>
      <w:r>
        <w:rPr>
          <w:spacing w:val="-2"/>
        </w:rPr>
        <w:t>to</w:t>
      </w:r>
      <w:r>
        <w:rPr>
          <w:spacing w:val="-6"/>
        </w:rPr>
        <w:t> </w:t>
      </w:r>
      <w:r>
        <w:rPr>
          <w:spacing w:val="-2"/>
        </w:rPr>
        <w:t>conceptualise</w:t>
      </w:r>
      <w:r>
        <w:rPr>
          <w:spacing w:val="-6"/>
        </w:rPr>
        <w:t> </w:t>
      </w:r>
      <w:r>
        <w:rPr>
          <w:spacing w:val="-2"/>
        </w:rPr>
        <w:t>fresh</w:t>
      </w:r>
      <w:r>
        <w:rPr>
          <w:spacing w:val="-6"/>
        </w:rPr>
        <w:t> </w:t>
      </w:r>
      <w:r>
        <w:rPr>
          <w:spacing w:val="-2"/>
        </w:rPr>
        <w:t>perspectives</w:t>
      </w:r>
      <w:r>
        <w:rPr>
          <w:spacing w:val="-6"/>
        </w:rPr>
        <w:t> </w:t>
      </w:r>
      <w:r>
        <w:rPr>
          <w:spacing w:val="-2"/>
        </w:rPr>
        <w:t>in</w:t>
      </w:r>
      <w:r>
        <w:rPr>
          <w:spacing w:val="-6"/>
        </w:rPr>
        <w:t> </w:t>
      </w:r>
      <w:r>
        <w:rPr>
          <w:spacing w:val="-2"/>
        </w:rPr>
        <w:t>tool design.</w:t>
      </w:r>
      <w:r>
        <w:rPr>
          <w:spacing w:val="-7"/>
        </w:rPr>
        <w:t> </w:t>
      </w:r>
      <w:r>
        <w:rPr>
          <w:spacing w:val="-2"/>
        </w:rPr>
        <w:t>Based</w:t>
      </w:r>
      <w:r>
        <w:rPr>
          <w:spacing w:val="-7"/>
        </w:rPr>
        <w:t> </w:t>
      </w:r>
      <w:r>
        <w:rPr>
          <w:spacing w:val="-2"/>
        </w:rPr>
        <w:t>on</w:t>
      </w:r>
      <w:r>
        <w:rPr>
          <w:spacing w:val="-7"/>
        </w:rPr>
        <w:t> </w:t>
      </w:r>
      <w:r>
        <w:rPr>
          <w:spacing w:val="-2"/>
        </w:rPr>
        <w:t>consultations</w:t>
      </w:r>
      <w:r>
        <w:rPr>
          <w:spacing w:val="-7"/>
        </w:rPr>
        <w:t> </w:t>
      </w:r>
      <w:r>
        <w:rPr>
          <w:spacing w:val="-2"/>
        </w:rPr>
        <w:t>and</w:t>
      </w:r>
      <w:r>
        <w:rPr>
          <w:spacing w:val="-7"/>
        </w:rPr>
        <w:t> </w:t>
      </w:r>
      <w:r>
        <w:rPr>
          <w:spacing w:val="-2"/>
        </w:rPr>
        <w:t>feedback</w:t>
      </w:r>
      <w:r>
        <w:rPr>
          <w:spacing w:val="-7"/>
        </w:rPr>
        <w:t> </w:t>
      </w:r>
      <w:r>
        <w:rPr>
          <w:spacing w:val="-2"/>
        </w:rPr>
        <w:t>received, </w:t>
      </w:r>
      <w:r>
        <w:rPr/>
        <w:t>we</w:t>
      </w:r>
      <w:r>
        <w:rPr>
          <w:spacing w:val="-5"/>
        </w:rPr>
        <w:t> </w:t>
      </w:r>
      <w:r>
        <w:rPr/>
        <w:t>suggest</w:t>
      </w:r>
      <w:r>
        <w:rPr>
          <w:spacing w:val="-5"/>
        </w:rPr>
        <w:t> </w:t>
      </w:r>
      <w:r>
        <w:rPr/>
        <w:t>the</w:t>
      </w:r>
      <w:r>
        <w:rPr>
          <w:spacing w:val="-5"/>
        </w:rPr>
        <w:t> </w:t>
      </w:r>
      <w:r>
        <w:rPr/>
        <w:t>following</w:t>
      </w:r>
      <w:r>
        <w:rPr>
          <w:spacing w:val="-5"/>
        </w:rPr>
        <w:t> </w:t>
      </w:r>
      <w:r>
        <w:rPr/>
        <w:t>steps</w:t>
      </w:r>
      <w:r>
        <w:rPr>
          <w:spacing w:val="-5"/>
        </w:rPr>
        <w:t> </w:t>
      </w:r>
      <w:r>
        <w:rPr/>
        <w:t>to</w:t>
      </w:r>
      <w:r>
        <w:rPr>
          <w:spacing w:val="-5"/>
        </w:rPr>
        <w:t> </w:t>
      </w:r>
      <w:r>
        <w:rPr/>
        <w:t>enable</w:t>
      </w:r>
      <w:r>
        <w:rPr>
          <w:spacing w:val="-5"/>
        </w:rPr>
        <w:t> </w:t>
      </w:r>
      <w:r>
        <w:rPr/>
        <w:t>a</w:t>
      </w:r>
      <w:r>
        <w:rPr>
          <w:spacing w:val="-5"/>
        </w:rPr>
        <w:t> </w:t>
      </w:r>
      <w:r>
        <w:rPr/>
        <w:t>qualitative improvement in general working conditions in occupations involving manual labour:</w:t>
      </w:r>
    </w:p>
    <w:p>
      <w:pPr>
        <w:pStyle w:val="Heading6"/>
        <w:numPr>
          <w:ilvl w:val="0"/>
          <w:numId w:val="66"/>
        </w:numPr>
        <w:tabs>
          <w:tab w:pos="1404" w:val="left" w:leader="none"/>
        </w:tabs>
        <w:spacing w:line="240" w:lineRule="auto" w:before="220" w:after="0"/>
        <w:ind w:left="1404" w:right="0" w:hanging="325"/>
        <w:jc w:val="left"/>
      </w:pPr>
      <w:r>
        <w:rPr>
          <w:color w:val="2E614A"/>
          <w:spacing w:val="-8"/>
        </w:rPr>
        <w:t>Improve</w:t>
      </w:r>
      <w:r>
        <w:rPr>
          <w:color w:val="2E614A"/>
          <w:spacing w:val="-12"/>
        </w:rPr>
        <w:t> </w:t>
      </w:r>
      <w:r>
        <w:rPr>
          <w:color w:val="2E614A"/>
          <w:spacing w:val="-8"/>
        </w:rPr>
        <w:t>Dignity</w:t>
      </w:r>
      <w:r>
        <w:rPr>
          <w:color w:val="2E614A"/>
          <w:spacing w:val="-12"/>
        </w:rPr>
        <w:t> </w:t>
      </w:r>
      <w:r>
        <w:rPr>
          <w:color w:val="2E614A"/>
          <w:spacing w:val="-8"/>
        </w:rPr>
        <w:t>of</w:t>
      </w:r>
      <w:r>
        <w:rPr>
          <w:color w:val="2E614A"/>
          <w:spacing w:val="-11"/>
        </w:rPr>
        <w:t> </w:t>
      </w:r>
      <w:r>
        <w:rPr>
          <w:color w:val="2E614A"/>
          <w:spacing w:val="-8"/>
        </w:rPr>
        <w:t>Labour</w:t>
      </w:r>
    </w:p>
    <w:p>
      <w:pPr>
        <w:pStyle w:val="BodyText"/>
        <w:spacing w:line="266" w:lineRule="auto" w:before="286"/>
        <w:ind w:left="1079"/>
        <w:jc w:val="both"/>
      </w:pPr>
      <w:r>
        <w:rPr/>
        <w:t>Creating a people-based development process </w:t>
      </w:r>
      <w:r>
        <w:rPr/>
        <w:t>is essential to improve working conditions and ensure dignity of labour. Large-scale government schemes which generate employment opportunities for those </w:t>
      </w:r>
      <w:r>
        <w:rPr>
          <w:spacing w:val="-4"/>
        </w:rPr>
        <w:t>involved</w:t>
      </w:r>
      <w:r>
        <w:rPr>
          <w:spacing w:val="-10"/>
        </w:rPr>
        <w:t> </w:t>
      </w:r>
      <w:r>
        <w:rPr>
          <w:spacing w:val="-4"/>
        </w:rPr>
        <w:t>in</w:t>
      </w:r>
      <w:r>
        <w:rPr>
          <w:spacing w:val="-10"/>
        </w:rPr>
        <w:t> </w:t>
      </w:r>
      <w:r>
        <w:rPr>
          <w:spacing w:val="-4"/>
        </w:rPr>
        <w:t>manual</w:t>
      </w:r>
      <w:r>
        <w:rPr>
          <w:spacing w:val="-10"/>
        </w:rPr>
        <w:t> </w:t>
      </w:r>
      <w:r>
        <w:rPr>
          <w:spacing w:val="-4"/>
        </w:rPr>
        <w:t>labour</w:t>
      </w:r>
      <w:r>
        <w:rPr>
          <w:spacing w:val="-9"/>
        </w:rPr>
        <w:t> </w:t>
      </w:r>
      <w:r>
        <w:rPr>
          <w:spacing w:val="-4"/>
        </w:rPr>
        <w:t>should</w:t>
      </w:r>
      <w:r>
        <w:rPr>
          <w:spacing w:val="-10"/>
        </w:rPr>
        <w:t> </w:t>
      </w:r>
      <w:r>
        <w:rPr>
          <w:spacing w:val="-4"/>
        </w:rPr>
        <w:t>incorporate</w:t>
      </w:r>
      <w:r>
        <w:rPr>
          <w:spacing w:val="-10"/>
        </w:rPr>
        <w:t> </w:t>
      </w:r>
      <w:r>
        <w:rPr>
          <w:spacing w:val="-4"/>
        </w:rPr>
        <w:t>necessary </w:t>
      </w:r>
      <w:r>
        <w:rPr>
          <w:spacing w:val="-6"/>
        </w:rPr>
        <w:t>processes and incentives for providing appropriate work </w:t>
      </w:r>
      <w:r>
        <w:rPr>
          <w:spacing w:val="-4"/>
        </w:rPr>
        <w:t>environment,</w:t>
      </w:r>
      <w:r>
        <w:rPr>
          <w:spacing w:val="-5"/>
        </w:rPr>
        <w:t> </w:t>
      </w:r>
      <w:r>
        <w:rPr>
          <w:spacing w:val="-4"/>
        </w:rPr>
        <w:t>facilities</w:t>
      </w:r>
      <w:r>
        <w:rPr>
          <w:spacing w:val="-5"/>
        </w:rPr>
        <w:t> </w:t>
      </w:r>
      <w:r>
        <w:rPr>
          <w:spacing w:val="-4"/>
        </w:rPr>
        <w:t>and</w:t>
      </w:r>
      <w:r>
        <w:rPr>
          <w:spacing w:val="-5"/>
        </w:rPr>
        <w:t> </w:t>
      </w:r>
      <w:r>
        <w:rPr>
          <w:spacing w:val="-4"/>
        </w:rPr>
        <w:t>ergonomic</w:t>
      </w:r>
      <w:r>
        <w:rPr>
          <w:spacing w:val="-5"/>
        </w:rPr>
        <w:t> </w:t>
      </w:r>
      <w:r>
        <w:rPr>
          <w:spacing w:val="-4"/>
        </w:rPr>
        <w:t>tools</w:t>
      </w:r>
      <w:r>
        <w:rPr>
          <w:spacing w:val="-5"/>
        </w:rPr>
        <w:t> </w:t>
      </w:r>
      <w:r>
        <w:rPr>
          <w:spacing w:val="-4"/>
        </w:rPr>
        <w:t>to</w:t>
      </w:r>
      <w:r>
        <w:rPr>
          <w:spacing w:val="-5"/>
        </w:rPr>
        <w:t> </w:t>
      </w:r>
      <w:r>
        <w:rPr>
          <w:spacing w:val="-4"/>
        </w:rPr>
        <w:t>workers. Dignity</w:t>
      </w:r>
      <w:r>
        <w:rPr>
          <w:spacing w:val="-5"/>
        </w:rPr>
        <w:t> </w:t>
      </w:r>
      <w:r>
        <w:rPr>
          <w:spacing w:val="-4"/>
        </w:rPr>
        <w:t>of</w:t>
      </w:r>
      <w:r>
        <w:rPr>
          <w:spacing w:val="-5"/>
        </w:rPr>
        <w:t> </w:t>
      </w:r>
      <w:r>
        <w:rPr>
          <w:spacing w:val="-4"/>
        </w:rPr>
        <w:t>labour</w:t>
      </w:r>
      <w:r>
        <w:rPr>
          <w:spacing w:val="-5"/>
        </w:rPr>
        <w:t> </w:t>
      </w:r>
      <w:r>
        <w:rPr>
          <w:spacing w:val="-4"/>
        </w:rPr>
        <w:t>will</w:t>
      </w:r>
      <w:r>
        <w:rPr>
          <w:spacing w:val="-5"/>
        </w:rPr>
        <w:t> </w:t>
      </w:r>
      <w:r>
        <w:rPr>
          <w:spacing w:val="-4"/>
        </w:rPr>
        <w:t>be</w:t>
      </w:r>
      <w:r>
        <w:rPr>
          <w:spacing w:val="-5"/>
        </w:rPr>
        <w:t> </w:t>
      </w:r>
      <w:r>
        <w:rPr>
          <w:spacing w:val="-4"/>
        </w:rPr>
        <w:t>enhanced</w:t>
      </w:r>
      <w:r>
        <w:rPr>
          <w:spacing w:val="-5"/>
        </w:rPr>
        <w:t> </w:t>
      </w:r>
      <w:r>
        <w:rPr>
          <w:spacing w:val="-4"/>
        </w:rPr>
        <w:t>if</w:t>
      </w:r>
      <w:r>
        <w:rPr>
          <w:spacing w:val="-5"/>
        </w:rPr>
        <w:t> </w:t>
      </w:r>
      <w:r>
        <w:rPr>
          <w:spacing w:val="-4"/>
        </w:rPr>
        <w:t>basic</w:t>
      </w:r>
      <w:r>
        <w:rPr>
          <w:spacing w:val="-5"/>
        </w:rPr>
        <w:t> </w:t>
      </w:r>
      <w:r>
        <w:rPr>
          <w:spacing w:val="-4"/>
        </w:rPr>
        <w:t>facilities</w:t>
      </w:r>
      <w:r>
        <w:rPr>
          <w:spacing w:val="-5"/>
        </w:rPr>
        <w:t> </w:t>
      </w:r>
      <w:r>
        <w:rPr>
          <w:spacing w:val="-4"/>
        </w:rPr>
        <w:t>for </w:t>
      </w:r>
      <w:r>
        <w:rPr>
          <w:spacing w:val="-2"/>
        </w:rPr>
        <w:t>water,</w:t>
      </w:r>
      <w:r>
        <w:rPr>
          <w:spacing w:val="-5"/>
        </w:rPr>
        <w:t> </w:t>
      </w:r>
      <w:r>
        <w:rPr>
          <w:spacing w:val="-2"/>
        </w:rPr>
        <w:t>shade,</w:t>
      </w:r>
      <w:r>
        <w:rPr>
          <w:spacing w:val="-5"/>
        </w:rPr>
        <w:t> </w:t>
      </w:r>
      <w:r>
        <w:rPr>
          <w:spacing w:val="-2"/>
        </w:rPr>
        <w:t>first-aid</w:t>
      </w:r>
      <w:r>
        <w:rPr>
          <w:spacing w:val="-5"/>
        </w:rPr>
        <w:t> </w:t>
      </w:r>
      <w:r>
        <w:rPr>
          <w:spacing w:val="-2"/>
        </w:rPr>
        <w:t>and</w:t>
      </w:r>
      <w:r>
        <w:rPr>
          <w:spacing w:val="-5"/>
        </w:rPr>
        <w:t> </w:t>
      </w:r>
      <w:r>
        <w:rPr>
          <w:spacing w:val="-2"/>
        </w:rPr>
        <w:t>child-care</w:t>
      </w:r>
      <w:r>
        <w:rPr>
          <w:spacing w:val="-5"/>
        </w:rPr>
        <w:t> </w:t>
      </w:r>
      <w:r>
        <w:rPr>
          <w:spacing w:val="-2"/>
        </w:rPr>
        <w:t>are</w:t>
      </w:r>
      <w:r>
        <w:rPr>
          <w:spacing w:val="-5"/>
        </w:rPr>
        <w:t> </w:t>
      </w:r>
      <w:r>
        <w:rPr>
          <w:spacing w:val="-2"/>
        </w:rPr>
        <w:t>also</w:t>
      </w:r>
      <w:r>
        <w:rPr>
          <w:spacing w:val="-5"/>
        </w:rPr>
        <w:t> </w:t>
      </w:r>
      <w:r>
        <w:rPr>
          <w:spacing w:val="-2"/>
        </w:rPr>
        <w:t>provided </w:t>
      </w:r>
      <w:r>
        <w:rPr/>
        <w:t>at</w:t>
      </w:r>
      <w:r>
        <w:rPr>
          <w:spacing w:val="28"/>
        </w:rPr>
        <w:t> </w:t>
      </w:r>
      <w:r>
        <w:rPr/>
        <w:t>the</w:t>
      </w:r>
      <w:r>
        <w:rPr>
          <w:spacing w:val="29"/>
        </w:rPr>
        <w:t> </w:t>
      </w:r>
      <w:r>
        <w:rPr/>
        <w:t>work</w:t>
      </w:r>
      <w:r>
        <w:rPr>
          <w:spacing w:val="29"/>
        </w:rPr>
        <w:t> </w:t>
      </w:r>
      <w:r>
        <w:rPr/>
        <w:t>site.</w:t>
      </w:r>
      <w:r>
        <w:rPr>
          <w:spacing w:val="29"/>
        </w:rPr>
        <w:t> </w:t>
      </w:r>
      <w:r>
        <w:rPr/>
        <w:t>Also</w:t>
      </w:r>
      <w:r>
        <w:rPr>
          <w:spacing w:val="29"/>
        </w:rPr>
        <w:t> </w:t>
      </w:r>
      <w:r>
        <w:rPr/>
        <w:t>pertinent</w:t>
      </w:r>
      <w:r>
        <w:rPr>
          <w:spacing w:val="28"/>
        </w:rPr>
        <w:t> </w:t>
      </w:r>
      <w:r>
        <w:rPr/>
        <w:t>here</w:t>
      </w:r>
      <w:r>
        <w:rPr>
          <w:spacing w:val="29"/>
        </w:rPr>
        <w:t> </w:t>
      </w:r>
      <w:r>
        <w:rPr/>
        <w:t>is</w:t>
      </w:r>
      <w:r>
        <w:rPr>
          <w:spacing w:val="29"/>
        </w:rPr>
        <w:t> </w:t>
      </w:r>
      <w:r>
        <w:rPr/>
        <w:t>the</w:t>
      </w:r>
      <w:r>
        <w:rPr>
          <w:spacing w:val="29"/>
        </w:rPr>
        <w:t> </w:t>
      </w:r>
      <w:r>
        <w:rPr/>
        <w:t>need</w:t>
      </w:r>
      <w:r>
        <w:rPr>
          <w:spacing w:val="29"/>
        </w:rPr>
        <w:t> </w:t>
      </w:r>
      <w:r>
        <w:rPr>
          <w:spacing w:val="-5"/>
        </w:rPr>
        <w:t>to</w:t>
      </w:r>
    </w:p>
    <w:p>
      <w:pPr>
        <w:pStyle w:val="BodyText"/>
        <w:spacing w:line="266" w:lineRule="auto" w:before="82"/>
        <w:ind w:left="319" w:right="1078"/>
        <w:jc w:val="both"/>
      </w:pPr>
      <w:r>
        <w:rPr/>
        <w:br w:type="column"/>
      </w:r>
      <w:r>
        <w:rPr>
          <w:spacing w:val="-2"/>
        </w:rPr>
        <w:t>define</w:t>
      </w:r>
      <w:r>
        <w:rPr>
          <w:spacing w:val="-12"/>
        </w:rPr>
        <w:t> </w:t>
      </w:r>
      <w:r>
        <w:rPr>
          <w:spacing w:val="-2"/>
        </w:rPr>
        <w:t>appropriate</w:t>
      </w:r>
      <w:r>
        <w:rPr>
          <w:spacing w:val="-12"/>
        </w:rPr>
        <w:t> </w:t>
      </w:r>
      <w:r>
        <w:rPr>
          <w:spacing w:val="-2"/>
        </w:rPr>
        <w:t>work</w:t>
      </w:r>
      <w:r>
        <w:rPr>
          <w:spacing w:val="-11"/>
        </w:rPr>
        <w:t> </w:t>
      </w:r>
      <w:r>
        <w:rPr>
          <w:spacing w:val="-2"/>
        </w:rPr>
        <w:t>hours,</w:t>
      </w:r>
      <w:r>
        <w:rPr>
          <w:spacing w:val="-12"/>
        </w:rPr>
        <w:t> </w:t>
      </w:r>
      <w:r>
        <w:rPr>
          <w:spacing w:val="-2"/>
        </w:rPr>
        <w:t>productivity</w:t>
      </w:r>
      <w:r>
        <w:rPr>
          <w:spacing w:val="-12"/>
        </w:rPr>
        <w:t> </w:t>
      </w:r>
      <w:r>
        <w:rPr>
          <w:spacing w:val="-2"/>
        </w:rPr>
        <w:t>norms</w:t>
      </w:r>
      <w:r>
        <w:rPr>
          <w:spacing w:val="-11"/>
        </w:rPr>
        <w:t> </w:t>
      </w:r>
      <w:r>
        <w:rPr>
          <w:spacing w:val="-2"/>
        </w:rPr>
        <w:t>and </w:t>
      </w:r>
      <w:r>
        <w:rPr>
          <w:spacing w:val="-4"/>
        </w:rPr>
        <w:t>mechanisms</w:t>
      </w:r>
      <w:r>
        <w:rPr>
          <w:spacing w:val="-8"/>
        </w:rPr>
        <w:t> </w:t>
      </w:r>
      <w:r>
        <w:rPr>
          <w:spacing w:val="-4"/>
        </w:rPr>
        <w:t>for</w:t>
      </w:r>
      <w:r>
        <w:rPr>
          <w:spacing w:val="-8"/>
        </w:rPr>
        <w:t> </w:t>
      </w:r>
      <w:r>
        <w:rPr>
          <w:spacing w:val="-4"/>
        </w:rPr>
        <w:t>grievance</w:t>
      </w:r>
      <w:r>
        <w:rPr>
          <w:spacing w:val="-8"/>
        </w:rPr>
        <w:t> </w:t>
      </w:r>
      <w:r>
        <w:rPr>
          <w:spacing w:val="-4"/>
        </w:rPr>
        <w:t>redressal</w:t>
      </w:r>
      <w:r>
        <w:rPr>
          <w:spacing w:val="-8"/>
        </w:rPr>
        <w:t> </w:t>
      </w:r>
      <w:r>
        <w:rPr>
          <w:spacing w:val="-4"/>
        </w:rPr>
        <w:t>to</w:t>
      </w:r>
      <w:r>
        <w:rPr>
          <w:spacing w:val="-8"/>
        </w:rPr>
        <w:t> </w:t>
      </w:r>
      <w:r>
        <w:rPr>
          <w:spacing w:val="-4"/>
        </w:rPr>
        <w:t>address</w:t>
      </w:r>
      <w:r>
        <w:rPr>
          <w:spacing w:val="-8"/>
        </w:rPr>
        <w:t> </w:t>
      </w:r>
      <w:r>
        <w:rPr>
          <w:spacing w:val="-4"/>
        </w:rPr>
        <w:t>issues</w:t>
      </w:r>
      <w:r>
        <w:rPr>
          <w:spacing w:val="-8"/>
        </w:rPr>
        <w:t> </w:t>
      </w:r>
      <w:r>
        <w:rPr>
          <w:spacing w:val="-4"/>
        </w:rPr>
        <w:t>of </w:t>
      </w:r>
      <w:r>
        <w:rPr/>
        <w:t>harassment and exploitation.</w:t>
      </w:r>
    </w:p>
    <w:p>
      <w:pPr>
        <w:pStyle w:val="Heading6"/>
        <w:numPr>
          <w:ilvl w:val="0"/>
          <w:numId w:val="66"/>
        </w:numPr>
        <w:tabs>
          <w:tab w:pos="644" w:val="left" w:leader="none"/>
        </w:tabs>
        <w:spacing w:line="240" w:lineRule="auto" w:before="224" w:after="0"/>
        <w:ind w:left="644" w:right="0" w:hanging="325"/>
        <w:jc w:val="both"/>
      </w:pPr>
      <w:r>
        <w:rPr>
          <w:color w:val="2E614A"/>
          <w:spacing w:val="-12"/>
        </w:rPr>
        <w:t>Modernise</w:t>
      </w:r>
      <w:r>
        <w:rPr>
          <w:color w:val="2E614A"/>
          <w:spacing w:val="3"/>
        </w:rPr>
        <w:t> </w:t>
      </w:r>
      <w:r>
        <w:rPr>
          <w:color w:val="2E614A"/>
          <w:spacing w:val="-12"/>
        </w:rPr>
        <w:t>Tools</w:t>
      </w:r>
      <w:r>
        <w:rPr>
          <w:color w:val="2E614A"/>
          <w:spacing w:val="-7"/>
        </w:rPr>
        <w:t> </w:t>
      </w:r>
      <w:r>
        <w:rPr>
          <w:color w:val="2E614A"/>
          <w:spacing w:val="-12"/>
        </w:rPr>
        <w:t>and</w:t>
      </w:r>
      <w:r>
        <w:rPr>
          <w:color w:val="2E614A"/>
          <w:spacing w:val="3"/>
        </w:rPr>
        <w:t> </w:t>
      </w:r>
      <w:r>
        <w:rPr>
          <w:color w:val="2E614A"/>
          <w:spacing w:val="-12"/>
        </w:rPr>
        <w:t>Technology</w:t>
      </w:r>
    </w:p>
    <w:p>
      <w:pPr>
        <w:pStyle w:val="BodyText"/>
        <w:spacing w:line="266" w:lineRule="auto" w:before="286"/>
        <w:ind w:left="319" w:right="1077"/>
        <w:jc w:val="both"/>
      </w:pPr>
      <w:r>
        <w:rPr/>
        <w:t>Redesigning</w:t>
      </w:r>
      <w:r>
        <w:rPr>
          <w:spacing w:val="-4"/>
        </w:rPr>
        <w:t> </w:t>
      </w:r>
      <w:r>
        <w:rPr/>
        <w:t>low-cost</w:t>
      </w:r>
      <w:r>
        <w:rPr>
          <w:spacing w:val="-4"/>
        </w:rPr>
        <w:t> </w:t>
      </w:r>
      <w:r>
        <w:rPr/>
        <w:t>tools</w:t>
      </w:r>
      <w:r>
        <w:rPr>
          <w:spacing w:val="-4"/>
        </w:rPr>
        <w:t> </w:t>
      </w:r>
      <w:r>
        <w:rPr/>
        <w:t>for</w:t>
      </w:r>
      <w:r>
        <w:rPr>
          <w:spacing w:val="-4"/>
        </w:rPr>
        <w:t> </w:t>
      </w:r>
      <w:r>
        <w:rPr/>
        <w:t>greater</w:t>
      </w:r>
      <w:r>
        <w:rPr>
          <w:spacing w:val="-4"/>
        </w:rPr>
        <w:t> </w:t>
      </w:r>
      <w:r>
        <w:rPr/>
        <w:t>efficiency</w:t>
      </w:r>
      <w:r>
        <w:rPr>
          <w:spacing w:val="-4"/>
        </w:rPr>
        <w:t> </w:t>
      </w:r>
      <w:r>
        <w:rPr/>
        <w:t>and modernising</w:t>
      </w:r>
      <w:r>
        <w:rPr>
          <w:spacing w:val="-16"/>
        </w:rPr>
        <w:t> </w:t>
      </w:r>
      <w:r>
        <w:rPr/>
        <w:t>tool</w:t>
      </w:r>
      <w:r>
        <w:rPr>
          <w:spacing w:val="-14"/>
        </w:rPr>
        <w:t> </w:t>
      </w:r>
      <w:r>
        <w:rPr/>
        <w:t>kits</w:t>
      </w:r>
      <w:r>
        <w:rPr>
          <w:spacing w:val="-14"/>
        </w:rPr>
        <w:t> </w:t>
      </w:r>
      <w:r>
        <w:rPr/>
        <w:t>needs</w:t>
      </w:r>
      <w:r>
        <w:rPr>
          <w:spacing w:val="-13"/>
        </w:rPr>
        <w:t> </w:t>
      </w:r>
      <w:r>
        <w:rPr/>
        <w:t>to</w:t>
      </w:r>
      <w:r>
        <w:rPr>
          <w:spacing w:val="-14"/>
        </w:rPr>
        <w:t> </w:t>
      </w:r>
      <w:r>
        <w:rPr/>
        <w:t>take</w:t>
      </w:r>
      <w:r>
        <w:rPr>
          <w:spacing w:val="-14"/>
        </w:rPr>
        <w:t> </w:t>
      </w:r>
      <w:r>
        <w:rPr/>
        <w:t>into</w:t>
      </w:r>
      <w:r>
        <w:rPr>
          <w:spacing w:val="-14"/>
        </w:rPr>
        <w:t> </w:t>
      </w:r>
      <w:r>
        <w:rPr/>
        <w:t>account</w:t>
      </w:r>
      <w:r>
        <w:rPr>
          <w:spacing w:val="-13"/>
        </w:rPr>
        <w:t> </w:t>
      </w:r>
      <w:r>
        <w:rPr/>
        <w:t>India- specific factors such as the geographical and cultural diversity of the country. These factors include land, </w:t>
      </w:r>
      <w:r>
        <w:rPr>
          <w:spacing w:val="-2"/>
        </w:rPr>
        <w:t>terrain,</w:t>
      </w:r>
      <w:r>
        <w:rPr>
          <w:spacing w:val="-12"/>
        </w:rPr>
        <w:t> </w:t>
      </w:r>
      <w:r>
        <w:rPr>
          <w:spacing w:val="-2"/>
        </w:rPr>
        <w:t>clothing,</w:t>
      </w:r>
      <w:r>
        <w:rPr>
          <w:spacing w:val="-12"/>
        </w:rPr>
        <w:t> </w:t>
      </w:r>
      <w:r>
        <w:rPr>
          <w:spacing w:val="-2"/>
        </w:rPr>
        <w:t>social</w:t>
      </w:r>
      <w:r>
        <w:rPr>
          <w:spacing w:val="-12"/>
        </w:rPr>
        <w:t> </w:t>
      </w:r>
      <w:r>
        <w:rPr>
          <w:spacing w:val="-2"/>
        </w:rPr>
        <w:t>conditions,</w:t>
      </w:r>
      <w:r>
        <w:rPr>
          <w:spacing w:val="-11"/>
        </w:rPr>
        <w:t> </w:t>
      </w:r>
      <w:r>
        <w:rPr>
          <w:spacing w:val="-2"/>
        </w:rPr>
        <w:t>traditional</w:t>
      </w:r>
      <w:r>
        <w:rPr>
          <w:spacing w:val="-12"/>
        </w:rPr>
        <w:t> </w:t>
      </w:r>
      <w:r>
        <w:rPr>
          <w:spacing w:val="-2"/>
        </w:rPr>
        <w:t>practices </w:t>
      </w:r>
      <w:r>
        <w:rPr/>
        <w:t>in</w:t>
      </w:r>
      <w:r>
        <w:rPr>
          <w:spacing w:val="-1"/>
        </w:rPr>
        <w:t> </w:t>
      </w:r>
      <w:r>
        <w:rPr/>
        <w:t>tool-use</w:t>
      </w:r>
      <w:r>
        <w:rPr>
          <w:spacing w:val="-1"/>
        </w:rPr>
        <w:t> </w:t>
      </w:r>
      <w:r>
        <w:rPr/>
        <w:t>and</w:t>
      </w:r>
      <w:r>
        <w:rPr>
          <w:spacing w:val="-1"/>
        </w:rPr>
        <w:t> </w:t>
      </w:r>
      <w:r>
        <w:rPr/>
        <w:t>significantly,</w:t>
      </w:r>
      <w:r>
        <w:rPr>
          <w:spacing w:val="-1"/>
        </w:rPr>
        <w:t> </w:t>
      </w:r>
      <w:r>
        <w:rPr/>
        <w:t>specific</w:t>
      </w:r>
      <w:r>
        <w:rPr>
          <w:spacing w:val="-1"/>
        </w:rPr>
        <w:t> </w:t>
      </w:r>
      <w:r>
        <w:rPr/>
        <w:t>problems</w:t>
      </w:r>
      <w:r>
        <w:rPr>
          <w:spacing w:val="-1"/>
        </w:rPr>
        <w:t> </w:t>
      </w:r>
      <w:r>
        <w:rPr/>
        <w:t>faced by women workers. There is also an urgent need to recognise that the tools currently used are of a very basic</w:t>
      </w:r>
      <w:r>
        <w:rPr>
          <w:spacing w:val="-3"/>
        </w:rPr>
        <w:t> </w:t>
      </w:r>
      <w:r>
        <w:rPr/>
        <w:t>nature</w:t>
      </w:r>
      <w:r>
        <w:rPr>
          <w:spacing w:val="-3"/>
        </w:rPr>
        <w:t> </w:t>
      </w:r>
      <w:r>
        <w:rPr/>
        <w:t>and</w:t>
      </w:r>
      <w:r>
        <w:rPr>
          <w:spacing w:val="-3"/>
        </w:rPr>
        <w:t> </w:t>
      </w:r>
      <w:r>
        <w:rPr/>
        <w:t>involve</w:t>
      </w:r>
      <w:r>
        <w:rPr>
          <w:spacing w:val="-3"/>
        </w:rPr>
        <w:t> </w:t>
      </w:r>
      <w:r>
        <w:rPr/>
        <w:t>low</w:t>
      </w:r>
      <w:r>
        <w:rPr>
          <w:spacing w:val="-3"/>
        </w:rPr>
        <w:t> </w:t>
      </w:r>
      <w:r>
        <w:rPr/>
        <w:t>appropriate</w:t>
      </w:r>
      <w:r>
        <w:rPr>
          <w:spacing w:val="-3"/>
        </w:rPr>
        <w:t> </w:t>
      </w:r>
      <w:r>
        <w:rPr/>
        <w:t>technology, </w:t>
      </w:r>
      <w:r>
        <w:rPr>
          <w:spacing w:val="-2"/>
        </w:rPr>
        <w:t>minimum</w:t>
      </w:r>
      <w:r>
        <w:rPr>
          <w:spacing w:val="-12"/>
        </w:rPr>
        <w:t> </w:t>
      </w:r>
      <w:r>
        <w:rPr>
          <w:spacing w:val="-2"/>
        </w:rPr>
        <w:t>production</w:t>
      </w:r>
      <w:r>
        <w:rPr>
          <w:spacing w:val="-12"/>
        </w:rPr>
        <w:t> </w:t>
      </w:r>
      <w:r>
        <w:rPr>
          <w:spacing w:val="-2"/>
        </w:rPr>
        <w:t>complexity</w:t>
      </w:r>
      <w:r>
        <w:rPr>
          <w:spacing w:val="-12"/>
        </w:rPr>
        <w:t> </w:t>
      </w:r>
      <w:r>
        <w:rPr>
          <w:spacing w:val="-2"/>
        </w:rPr>
        <w:t>and</w:t>
      </w:r>
      <w:r>
        <w:rPr>
          <w:spacing w:val="-11"/>
        </w:rPr>
        <w:t> </w:t>
      </w:r>
      <w:r>
        <w:rPr>
          <w:spacing w:val="-2"/>
        </w:rPr>
        <w:t>local</w:t>
      </w:r>
      <w:r>
        <w:rPr>
          <w:spacing w:val="-12"/>
        </w:rPr>
        <w:t> </w:t>
      </w:r>
      <w:r>
        <w:rPr>
          <w:spacing w:val="-2"/>
        </w:rPr>
        <w:t>production. </w:t>
      </w:r>
      <w:r>
        <w:rPr/>
        <w:t>Also,</w:t>
      </w:r>
      <w:r>
        <w:rPr>
          <w:spacing w:val="-14"/>
        </w:rPr>
        <w:t> </w:t>
      </w:r>
      <w:r>
        <w:rPr/>
        <w:t>these</w:t>
      </w:r>
      <w:r>
        <w:rPr>
          <w:spacing w:val="-14"/>
        </w:rPr>
        <w:t> </w:t>
      </w:r>
      <w:r>
        <w:rPr/>
        <w:t>tools</w:t>
      </w:r>
      <w:r>
        <w:rPr>
          <w:spacing w:val="-14"/>
        </w:rPr>
        <w:t> </w:t>
      </w:r>
      <w:r>
        <w:rPr/>
        <w:t>are</w:t>
      </w:r>
      <w:r>
        <w:rPr>
          <w:spacing w:val="-13"/>
        </w:rPr>
        <w:t> </w:t>
      </w:r>
      <w:r>
        <w:rPr/>
        <w:t>often</w:t>
      </w:r>
      <w:r>
        <w:rPr>
          <w:spacing w:val="-14"/>
        </w:rPr>
        <w:t> </w:t>
      </w:r>
      <w:r>
        <w:rPr/>
        <w:t>multi-purpose</w:t>
      </w:r>
      <w:r>
        <w:rPr>
          <w:spacing w:val="-14"/>
        </w:rPr>
        <w:t> </w:t>
      </w:r>
      <w:r>
        <w:rPr/>
        <w:t>in</w:t>
      </w:r>
      <w:r>
        <w:rPr>
          <w:spacing w:val="-14"/>
        </w:rPr>
        <w:t> </w:t>
      </w:r>
      <w:r>
        <w:rPr/>
        <w:t>nature</w:t>
      </w:r>
      <w:r>
        <w:rPr>
          <w:spacing w:val="-13"/>
        </w:rPr>
        <w:t> </w:t>
      </w:r>
      <w:r>
        <w:rPr/>
        <w:t>and </w:t>
      </w:r>
      <w:r>
        <w:rPr>
          <w:w w:val="90"/>
        </w:rPr>
        <w:t>therefore unable to deliver efficiency in specialised tasks. </w:t>
      </w:r>
      <w:r>
        <w:rPr/>
        <w:t>For</w:t>
      </w:r>
      <w:r>
        <w:rPr>
          <w:spacing w:val="-13"/>
        </w:rPr>
        <w:t> </w:t>
      </w:r>
      <w:r>
        <w:rPr/>
        <w:t>example,</w:t>
      </w:r>
      <w:r>
        <w:rPr>
          <w:spacing w:val="-13"/>
        </w:rPr>
        <w:t> </w:t>
      </w:r>
      <w:r>
        <w:rPr/>
        <w:t>it</w:t>
      </w:r>
      <w:r>
        <w:rPr>
          <w:spacing w:val="-13"/>
        </w:rPr>
        <w:t> </w:t>
      </w:r>
      <w:r>
        <w:rPr/>
        <w:t>is</w:t>
      </w:r>
      <w:r>
        <w:rPr>
          <w:spacing w:val="-13"/>
        </w:rPr>
        <w:t> </w:t>
      </w:r>
      <w:r>
        <w:rPr/>
        <w:t>recognised</w:t>
      </w:r>
      <w:r>
        <w:rPr>
          <w:spacing w:val="-13"/>
        </w:rPr>
        <w:t> </w:t>
      </w:r>
      <w:r>
        <w:rPr/>
        <w:t>that</w:t>
      </w:r>
      <w:r>
        <w:rPr>
          <w:spacing w:val="-13"/>
        </w:rPr>
        <w:t> </w:t>
      </w:r>
      <w:r>
        <w:rPr/>
        <w:t>digging</w:t>
      </w:r>
      <w:r>
        <w:rPr>
          <w:spacing w:val="-13"/>
        </w:rPr>
        <w:t> </w:t>
      </w:r>
      <w:r>
        <w:rPr/>
        <w:t>trenches</w:t>
      </w:r>
      <w:r>
        <w:rPr>
          <w:spacing w:val="-13"/>
        </w:rPr>
        <w:t> </w:t>
      </w:r>
      <w:r>
        <w:rPr/>
        <w:t>for </w:t>
      </w:r>
      <w:r>
        <w:rPr>
          <w:w w:val="90"/>
        </w:rPr>
        <w:t>irrigation and digging for road development have become </w:t>
      </w:r>
      <w:r>
        <w:rPr>
          <w:spacing w:val="-4"/>
        </w:rPr>
        <w:t>very</w:t>
      </w:r>
      <w:r>
        <w:rPr>
          <w:spacing w:val="-10"/>
        </w:rPr>
        <w:t> </w:t>
      </w:r>
      <w:r>
        <w:rPr>
          <w:spacing w:val="-4"/>
        </w:rPr>
        <w:t>specialised</w:t>
      </w:r>
      <w:r>
        <w:rPr>
          <w:spacing w:val="-10"/>
        </w:rPr>
        <w:t> </w:t>
      </w:r>
      <w:r>
        <w:rPr>
          <w:spacing w:val="-4"/>
        </w:rPr>
        <w:t>tasks,</w:t>
      </w:r>
      <w:r>
        <w:rPr>
          <w:spacing w:val="-10"/>
        </w:rPr>
        <w:t> </w:t>
      </w:r>
      <w:r>
        <w:rPr>
          <w:spacing w:val="-4"/>
        </w:rPr>
        <w:t>requiring</w:t>
      </w:r>
      <w:r>
        <w:rPr>
          <w:spacing w:val="-9"/>
        </w:rPr>
        <w:t> </w:t>
      </w:r>
      <w:r>
        <w:rPr>
          <w:spacing w:val="-4"/>
        </w:rPr>
        <w:t>special</w:t>
      </w:r>
      <w:r>
        <w:rPr>
          <w:spacing w:val="-10"/>
        </w:rPr>
        <w:t> </w:t>
      </w:r>
      <w:r>
        <w:rPr>
          <w:spacing w:val="-4"/>
        </w:rPr>
        <w:t>energy</w:t>
      </w:r>
      <w:r>
        <w:rPr>
          <w:spacing w:val="-10"/>
        </w:rPr>
        <w:t> </w:t>
      </w:r>
      <w:r>
        <w:rPr>
          <w:spacing w:val="-4"/>
        </w:rPr>
        <w:t>efficient </w:t>
      </w:r>
      <w:r>
        <w:rPr/>
        <w:t>tools.</w:t>
      </w:r>
      <w:r>
        <w:rPr>
          <w:spacing w:val="-7"/>
        </w:rPr>
        <w:t> </w:t>
      </w:r>
      <w:r>
        <w:rPr/>
        <w:t>While</w:t>
      </w:r>
      <w:r>
        <w:rPr>
          <w:spacing w:val="-5"/>
        </w:rPr>
        <w:t> </w:t>
      </w:r>
      <w:r>
        <w:rPr/>
        <w:t>traditionally</w:t>
      </w:r>
      <w:r>
        <w:rPr>
          <w:spacing w:val="-5"/>
        </w:rPr>
        <w:t> </w:t>
      </w:r>
      <w:r>
        <w:rPr/>
        <w:t>single</w:t>
      </w:r>
      <w:r>
        <w:rPr>
          <w:spacing w:val="-5"/>
        </w:rPr>
        <w:t> </w:t>
      </w:r>
      <w:r>
        <w:rPr/>
        <w:t>tools</w:t>
      </w:r>
      <w:r>
        <w:rPr>
          <w:spacing w:val="-5"/>
        </w:rPr>
        <w:t> </w:t>
      </w:r>
      <w:r>
        <w:rPr/>
        <w:t>have</w:t>
      </w:r>
      <w:r>
        <w:rPr>
          <w:spacing w:val="-5"/>
        </w:rPr>
        <w:t> </w:t>
      </w:r>
      <w:r>
        <w:rPr/>
        <w:t>served</w:t>
      </w:r>
      <w:r>
        <w:rPr>
          <w:spacing w:val="-5"/>
        </w:rPr>
        <w:t> </w:t>
      </w:r>
      <w:r>
        <w:rPr/>
        <w:t>the </w:t>
      </w:r>
      <w:r>
        <w:rPr>
          <w:spacing w:val="-4"/>
        </w:rPr>
        <w:t>purpose</w:t>
      </w:r>
      <w:r>
        <w:rPr>
          <w:spacing w:val="-6"/>
        </w:rPr>
        <w:t> </w:t>
      </w:r>
      <w:r>
        <w:rPr>
          <w:spacing w:val="-4"/>
        </w:rPr>
        <w:t>of</w:t>
      </w:r>
      <w:r>
        <w:rPr>
          <w:spacing w:val="-6"/>
        </w:rPr>
        <w:t> </w:t>
      </w:r>
      <w:r>
        <w:rPr>
          <w:spacing w:val="-4"/>
        </w:rPr>
        <w:t>multiple</w:t>
      </w:r>
      <w:r>
        <w:rPr>
          <w:spacing w:val="-6"/>
        </w:rPr>
        <w:t> </w:t>
      </w:r>
      <w:r>
        <w:rPr>
          <w:spacing w:val="-4"/>
        </w:rPr>
        <w:t>tasks,</w:t>
      </w:r>
      <w:r>
        <w:rPr>
          <w:spacing w:val="-6"/>
        </w:rPr>
        <w:t> </w:t>
      </w:r>
      <w:r>
        <w:rPr>
          <w:spacing w:val="-4"/>
        </w:rPr>
        <w:t>there</w:t>
      </w:r>
      <w:r>
        <w:rPr>
          <w:spacing w:val="-6"/>
        </w:rPr>
        <w:t> </w:t>
      </w:r>
      <w:r>
        <w:rPr>
          <w:spacing w:val="-4"/>
        </w:rPr>
        <w:t>is</w:t>
      </w:r>
      <w:r>
        <w:rPr>
          <w:spacing w:val="-6"/>
        </w:rPr>
        <w:t> </w:t>
      </w:r>
      <w:r>
        <w:rPr>
          <w:spacing w:val="-4"/>
        </w:rPr>
        <w:t>increasing</w:t>
      </w:r>
      <w:r>
        <w:rPr>
          <w:spacing w:val="-6"/>
        </w:rPr>
        <w:t> </w:t>
      </w:r>
      <w:r>
        <w:rPr>
          <w:spacing w:val="-4"/>
        </w:rPr>
        <w:t>realisation now</w:t>
      </w:r>
      <w:r>
        <w:rPr>
          <w:spacing w:val="-8"/>
        </w:rPr>
        <w:t> </w:t>
      </w:r>
      <w:r>
        <w:rPr>
          <w:spacing w:val="-4"/>
        </w:rPr>
        <w:t>on</w:t>
      </w:r>
      <w:r>
        <w:rPr>
          <w:spacing w:val="-8"/>
        </w:rPr>
        <w:t> </w:t>
      </w:r>
      <w:r>
        <w:rPr>
          <w:spacing w:val="-4"/>
        </w:rPr>
        <w:t>the</w:t>
      </w:r>
      <w:r>
        <w:rPr>
          <w:spacing w:val="-8"/>
        </w:rPr>
        <w:t> </w:t>
      </w:r>
      <w:r>
        <w:rPr>
          <w:spacing w:val="-4"/>
        </w:rPr>
        <w:t>need</w:t>
      </w:r>
      <w:r>
        <w:rPr>
          <w:spacing w:val="-8"/>
        </w:rPr>
        <w:t> </w:t>
      </w:r>
      <w:r>
        <w:rPr>
          <w:spacing w:val="-4"/>
        </w:rPr>
        <w:t>to</w:t>
      </w:r>
      <w:r>
        <w:rPr>
          <w:spacing w:val="-8"/>
        </w:rPr>
        <w:t> </w:t>
      </w:r>
      <w:r>
        <w:rPr>
          <w:spacing w:val="-4"/>
        </w:rPr>
        <w:t>design</w:t>
      </w:r>
      <w:r>
        <w:rPr>
          <w:spacing w:val="-8"/>
        </w:rPr>
        <w:t> </w:t>
      </w:r>
      <w:r>
        <w:rPr>
          <w:spacing w:val="-4"/>
        </w:rPr>
        <w:t>a</w:t>
      </w:r>
      <w:r>
        <w:rPr>
          <w:spacing w:val="-8"/>
        </w:rPr>
        <w:t> </w:t>
      </w:r>
      <w:r>
        <w:rPr>
          <w:spacing w:val="-4"/>
        </w:rPr>
        <w:t>variety</w:t>
      </w:r>
      <w:r>
        <w:rPr>
          <w:spacing w:val="-8"/>
        </w:rPr>
        <w:t> </w:t>
      </w:r>
      <w:r>
        <w:rPr>
          <w:spacing w:val="-4"/>
        </w:rPr>
        <w:t>of</w:t>
      </w:r>
      <w:r>
        <w:rPr>
          <w:spacing w:val="-8"/>
        </w:rPr>
        <w:t> </w:t>
      </w:r>
      <w:r>
        <w:rPr>
          <w:spacing w:val="-4"/>
        </w:rPr>
        <w:t>specialised</w:t>
      </w:r>
      <w:r>
        <w:rPr>
          <w:spacing w:val="-8"/>
        </w:rPr>
        <w:t> </w:t>
      </w:r>
      <w:r>
        <w:rPr>
          <w:spacing w:val="-4"/>
        </w:rPr>
        <w:t>tools. </w:t>
      </w:r>
      <w:r>
        <w:rPr>
          <w:spacing w:val="-6"/>
        </w:rPr>
        <w:t>The</w:t>
      </w:r>
      <w:r>
        <w:rPr/>
        <w:t> </w:t>
      </w:r>
      <w:r>
        <w:rPr>
          <w:spacing w:val="-6"/>
        </w:rPr>
        <w:t>following</w:t>
      </w:r>
      <w:r>
        <w:rPr/>
        <w:t> </w:t>
      </w:r>
      <w:r>
        <w:rPr>
          <w:spacing w:val="-6"/>
        </w:rPr>
        <w:t>suggestions</w:t>
      </w:r>
      <w:r>
        <w:rPr/>
        <w:t> </w:t>
      </w:r>
      <w:r>
        <w:rPr>
          <w:spacing w:val="-6"/>
        </w:rPr>
        <w:t>will</w:t>
      </w:r>
      <w:r>
        <w:rPr/>
        <w:t> </w:t>
      </w:r>
      <w:r>
        <w:rPr>
          <w:spacing w:val="-6"/>
        </w:rPr>
        <w:t>help</w:t>
      </w:r>
      <w:r>
        <w:rPr/>
        <w:t> </w:t>
      </w:r>
      <w:r>
        <w:rPr>
          <w:spacing w:val="-6"/>
        </w:rPr>
        <w:t>address</w:t>
      </w:r>
      <w:r>
        <w:rPr/>
        <w:t> </w:t>
      </w:r>
      <w:r>
        <w:rPr>
          <w:spacing w:val="-6"/>
        </w:rPr>
        <w:t>such</w:t>
      </w:r>
      <w:r>
        <w:rPr/>
        <w:t> </w:t>
      </w:r>
      <w:r>
        <w:rPr>
          <w:spacing w:val="-7"/>
        </w:rPr>
        <w:t>issues:</w:t>
      </w:r>
    </w:p>
    <w:p>
      <w:pPr>
        <w:pStyle w:val="ListParagraph"/>
        <w:numPr>
          <w:ilvl w:val="1"/>
          <w:numId w:val="66"/>
        </w:numPr>
        <w:tabs>
          <w:tab w:pos="678" w:val="left" w:leader="none"/>
        </w:tabs>
        <w:spacing w:line="238" w:lineRule="exact" w:before="0" w:after="0"/>
        <w:ind w:left="678" w:right="0" w:hanging="359"/>
        <w:jc w:val="both"/>
        <w:rPr>
          <w:sz w:val="22"/>
        </w:rPr>
      </w:pPr>
      <w:r>
        <w:rPr>
          <w:sz w:val="22"/>
        </w:rPr>
        <w:t>Explore</w:t>
      </w:r>
      <w:r>
        <w:rPr>
          <w:spacing w:val="54"/>
          <w:sz w:val="22"/>
        </w:rPr>
        <w:t> </w:t>
      </w:r>
      <w:r>
        <w:rPr>
          <w:sz w:val="22"/>
        </w:rPr>
        <w:t>co-creation</w:t>
      </w:r>
      <w:r>
        <w:rPr>
          <w:spacing w:val="54"/>
          <w:sz w:val="22"/>
        </w:rPr>
        <w:t> </w:t>
      </w:r>
      <w:r>
        <w:rPr>
          <w:sz w:val="22"/>
        </w:rPr>
        <w:t>and</w:t>
      </w:r>
      <w:r>
        <w:rPr>
          <w:spacing w:val="54"/>
          <w:sz w:val="22"/>
        </w:rPr>
        <w:t> </w:t>
      </w:r>
      <w:r>
        <w:rPr>
          <w:sz w:val="22"/>
        </w:rPr>
        <w:t>a</w:t>
      </w:r>
      <w:r>
        <w:rPr>
          <w:spacing w:val="54"/>
          <w:sz w:val="22"/>
        </w:rPr>
        <w:t> </w:t>
      </w:r>
      <w:r>
        <w:rPr>
          <w:sz w:val="22"/>
        </w:rPr>
        <w:t>participatory</w:t>
      </w:r>
      <w:r>
        <w:rPr>
          <w:spacing w:val="54"/>
          <w:sz w:val="22"/>
        </w:rPr>
        <w:t> </w:t>
      </w:r>
      <w:r>
        <w:rPr>
          <w:spacing w:val="-2"/>
          <w:sz w:val="22"/>
        </w:rPr>
        <w:t>design</w:t>
      </w:r>
    </w:p>
    <w:p>
      <w:pPr>
        <w:pStyle w:val="BodyText"/>
        <w:spacing w:before="27"/>
        <w:ind w:left="679"/>
        <w:jc w:val="both"/>
      </w:pPr>
      <w:r>
        <w:rPr>
          <w:spacing w:val="-2"/>
        </w:rPr>
        <w:t>approach</w:t>
      </w:r>
      <w:r>
        <w:rPr>
          <w:spacing w:val="-6"/>
        </w:rPr>
        <w:t> </w:t>
      </w:r>
      <w:r>
        <w:rPr>
          <w:spacing w:val="-2"/>
        </w:rPr>
        <w:t>and</w:t>
      </w:r>
      <w:r>
        <w:rPr>
          <w:spacing w:val="-6"/>
        </w:rPr>
        <w:t> </w:t>
      </w:r>
      <w:r>
        <w:rPr>
          <w:spacing w:val="-2"/>
        </w:rPr>
        <w:t>process</w:t>
      </w:r>
    </w:p>
    <w:p>
      <w:pPr>
        <w:pStyle w:val="ListParagraph"/>
        <w:numPr>
          <w:ilvl w:val="1"/>
          <w:numId w:val="66"/>
        </w:numPr>
        <w:tabs>
          <w:tab w:pos="679" w:val="left" w:leader="none"/>
        </w:tabs>
        <w:spacing w:line="266" w:lineRule="auto" w:before="27" w:after="0"/>
        <w:ind w:left="679" w:right="1078" w:hanging="360"/>
        <w:jc w:val="both"/>
        <w:rPr>
          <w:sz w:val="22"/>
        </w:rPr>
      </w:pPr>
      <w:r>
        <w:rPr>
          <w:sz w:val="22"/>
        </w:rPr>
        <w:t>Involve the beneficiaries during testing </w:t>
      </w:r>
      <w:r>
        <w:rPr>
          <w:sz w:val="22"/>
        </w:rPr>
        <w:t>and </w:t>
      </w:r>
      <w:r>
        <w:rPr>
          <w:spacing w:val="-2"/>
          <w:sz w:val="22"/>
        </w:rPr>
        <w:t>validation</w:t>
      </w:r>
    </w:p>
    <w:p>
      <w:pPr>
        <w:pStyle w:val="ListParagraph"/>
        <w:numPr>
          <w:ilvl w:val="1"/>
          <w:numId w:val="66"/>
        </w:numPr>
        <w:tabs>
          <w:tab w:pos="678" w:val="left" w:leader="none"/>
        </w:tabs>
        <w:spacing w:line="251" w:lineRule="exact" w:before="0" w:after="0"/>
        <w:ind w:left="678" w:right="0" w:hanging="359"/>
        <w:jc w:val="both"/>
        <w:rPr>
          <w:sz w:val="22"/>
        </w:rPr>
      </w:pPr>
      <w:r>
        <w:rPr>
          <w:spacing w:val="-6"/>
          <w:sz w:val="22"/>
        </w:rPr>
        <w:t>Engage</w:t>
      </w:r>
      <w:r>
        <w:rPr>
          <w:sz w:val="22"/>
        </w:rPr>
        <w:t> </w:t>
      </w:r>
      <w:r>
        <w:rPr>
          <w:spacing w:val="-6"/>
          <w:sz w:val="22"/>
        </w:rPr>
        <w:t>social</w:t>
      </w:r>
      <w:r>
        <w:rPr>
          <w:spacing w:val="1"/>
          <w:sz w:val="22"/>
        </w:rPr>
        <w:t> </w:t>
      </w:r>
      <w:r>
        <w:rPr>
          <w:spacing w:val="-6"/>
          <w:sz w:val="22"/>
        </w:rPr>
        <w:t>mobilisation</w:t>
      </w:r>
      <w:r>
        <w:rPr>
          <w:spacing w:val="1"/>
          <w:sz w:val="22"/>
        </w:rPr>
        <w:t> </w:t>
      </w:r>
      <w:r>
        <w:rPr>
          <w:spacing w:val="-6"/>
          <w:sz w:val="22"/>
        </w:rPr>
        <w:t>mechanisms</w:t>
      </w:r>
      <w:r>
        <w:rPr>
          <w:spacing w:val="1"/>
          <w:sz w:val="22"/>
        </w:rPr>
        <w:t> </w:t>
      </w:r>
      <w:r>
        <w:rPr>
          <w:spacing w:val="-6"/>
          <w:sz w:val="22"/>
        </w:rPr>
        <w:t>extensively</w:t>
      </w:r>
    </w:p>
    <w:p>
      <w:pPr>
        <w:pStyle w:val="ListParagraph"/>
        <w:numPr>
          <w:ilvl w:val="1"/>
          <w:numId w:val="66"/>
        </w:numPr>
        <w:tabs>
          <w:tab w:pos="679" w:val="left" w:leader="none"/>
        </w:tabs>
        <w:spacing w:line="266" w:lineRule="auto" w:before="27" w:after="0"/>
        <w:ind w:left="679" w:right="1078" w:hanging="360"/>
        <w:jc w:val="both"/>
        <w:rPr>
          <w:sz w:val="22"/>
        </w:rPr>
      </w:pPr>
      <w:r>
        <w:rPr>
          <w:sz w:val="22"/>
        </w:rPr>
        <w:t>Carry out strategic grouping of tools based </w:t>
      </w:r>
      <w:r>
        <w:rPr>
          <w:sz w:val="22"/>
        </w:rPr>
        <w:t>on functionality and tasks</w:t>
      </w:r>
    </w:p>
    <w:p>
      <w:pPr>
        <w:pStyle w:val="ListParagraph"/>
        <w:numPr>
          <w:ilvl w:val="1"/>
          <w:numId w:val="66"/>
        </w:numPr>
        <w:tabs>
          <w:tab w:pos="679" w:val="left" w:leader="none"/>
        </w:tabs>
        <w:spacing w:line="266" w:lineRule="auto" w:before="0" w:after="0"/>
        <w:ind w:left="679" w:right="1078" w:hanging="360"/>
        <w:jc w:val="both"/>
        <w:rPr>
          <w:sz w:val="22"/>
        </w:rPr>
      </w:pPr>
      <w:r>
        <w:rPr>
          <w:sz w:val="22"/>
        </w:rPr>
        <w:t>Articulate strategies and norms for </w:t>
      </w:r>
      <w:r>
        <w:rPr>
          <w:sz w:val="22"/>
        </w:rPr>
        <w:t>maintenance and up-keep of tools</w:t>
      </w:r>
    </w:p>
    <w:p>
      <w:pPr>
        <w:pStyle w:val="ListParagraph"/>
        <w:numPr>
          <w:ilvl w:val="1"/>
          <w:numId w:val="66"/>
        </w:numPr>
        <w:tabs>
          <w:tab w:pos="679" w:val="left" w:leader="none"/>
        </w:tabs>
        <w:spacing w:line="266" w:lineRule="auto" w:before="0" w:after="0"/>
        <w:ind w:left="679" w:right="1077" w:hanging="360"/>
        <w:jc w:val="both"/>
        <w:rPr>
          <w:sz w:val="22"/>
        </w:rPr>
      </w:pPr>
      <w:r>
        <w:rPr>
          <w:spacing w:val="-4"/>
          <w:sz w:val="22"/>
        </w:rPr>
        <w:t>Identify</w:t>
      </w:r>
      <w:r>
        <w:rPr>
          <w:spacing w:val="-10"/>
          <w:sz w:val="22"/>
        </w:rPr>
        <w:t> </w:t>
      </w:r>
      <w:r>
        <w:rPr>
          <w:spacing w:val="-4"/>
          <w:sz w:val="22"/>
        </w:rPr>
        <w:t>and</w:t>
      </w:r>
      <w:r>
        <w:rPr>
          <w:spacing w:val="-10"/>
          <w:sz w:val="22"/>
        </w:rPr>
        <w:t> </w:t>
      </w:r>
      <w:r>
        <w:rPr>
          <w:spacing w:val="-4"/>
          <w:sz w:val="22"/>
        </w:rPr>
        <w:t>analyse</w:t>
      </w:r>
      <w:r>
        <w:rPr>
          <w:spacing w:val="-10"/>
          <w:sz w:val="22"/>
        </w:rPr>
        <w:t> </w:t>
      </w:r>
      <w:r>
        <w:rPr>
          <w:spacing w:val="-4"/>
          <w:sz w:val="22"/>
        </w:rPr>
        <w:t>areas</w:t>
      </w:r>
      <w:r>
        <w:rPr>
          <w:spacing w:val="-9"/>
          <w:sz w:val="22"/>
        </w:rPr>
        <w:t> </w:t>
      </w:r>
      <w:r>
        <w:rPr>
          <w:spacing w:val="-4"/>
          <w:sz w:val="22"/>
        </w:rPr>
        <w:t>of</w:t>
      </w:r>
      <w:r>
        <w:rPr>
          <w:spacing w:val="-10"/>
          <w:sz w:val="22"/>
        </w:rPr>
        <w:t> </w:t>
      </w:r>
      <w:r>
        <w:rPr>
          <w:spacing w:val="-4"/>
          <w:sz w:val="22"/>
        </w:rPr>
        <w:t>mechanised</w:t>
      </w:r>
      <w:r>
        <w:rPr>
          <w:spacing w:val="-10"/>
          <w:sz w:val="22"/>
        </w:rPr>
        <w:t> </w:t>
      </w:r>
      <w:r>
        <w:rPr>
          <w:spacing w:val="-4"/>
          <w:sz w:val="22"/>
        </w:rPr>
        <w:t>and</w:t>
      </w:r>
      <w:r>
        <w:rPr>
          <w:spacing w:val="-10"/>
          <w:sz w:val="22"/>
        </w:rPr>
        <w:t> </w:t>
      </w:r>
      <w:r>
        <w:rPr>
          <w:spacing w:val="-4"/>
          <w:sz w:val="22"/>
        </w:rPr>
        <w:t>semi- </w:t>
      </w:r>
      <w:r>
        <w:rPr>
          <w:sz w:val="22"/>
        </w:rPr>
        <w:t>mechanised tools/equipment, keeping in mind efficiency and employment opportunities</w:t>
      </w:r>
    </w:p>
    <w:p>
      <w:pPr>
        <w:pStyle w:val="ListParagraph"/>
        <w:numPr>
          <w:ilvl w:val="1"/>
          <w:numId w:val="66"/>
        </w:numPr>
        <w:tabs>
          <w:tab w:pos="679" w:val="left" w:leader="none"/>
        </w:tabs>
        <w:spacing w:line="266" w:lineRule="auto" w:before="0" w:after="0"/>
        <w:ind w:left="679" w:right="1077" w:hanging="360"/>
        <w:jc w:val="both"/>
        <w:rPr>
          <w:sz w:val="22"/>
        </w:rPr>
      </w:pPr>
      <w:r>
        <w:rPr>
          <w:sz w:val="22"/>
        </w:rPr>
        <w:t>Identify and partner with manufacturing </w:t>
      </w:r>
      <w:r>
        <w:rPr>
          <w:sz w:val="22"/>
        </w:rPr>
        <w:t>clusters and manufacturers, including small and medium </w:t>
      </w:r>
      <w:r>
        <w:rPr>
          <w:spacing w:val="-2"/>
          <w:sz w:val="22"/>
        </w:rPr>
        <w:t>enterprises</w:t>
      </w:r>
    </w:p>
    <w:p>
      <w:pPr>
        <w:pStyle w:val="ListParagraph"/>
        <w:numPr>
          <w:ilvl w:val="1"/>
          <w:numId w:val="66"/>
        </w:numPr>
        <w:tabs>
          <w:tab w:pos="679" w:val="left" w:leader="none"/>
        </w:tabs>
        <w:spacing w:line="266" w:lineRule="auto" w:before="0" w:after="0"/>
        <w:ind w:left="679" w:right="1077" w:hanging="360"/>
        <w:jc w:val="both"/>
        <w:rPr>
          <w:sz w:val="22"/>
        </w:rPr>
      </w:pPr>
      <w:r>
        <w:rPr>
          <w:sz w:val="22"/>
        </w:rPr>
        <w:t>Alter</w:t>
      </w:r>
      <w:r>
        <w:rPr>
          <w:spacing w:val="-13"/>
          <w:sz w:val="22"/>
        </w:rPr>
        <w:t> </w:t>
      </w:r>
      <w:r>
        <w:rPr>
          <w:sz w:val="22"/>
        </w:rPr>
        <w:t>the</w:t>
      </w:r>
      <w:r>
        <w:rPr>
          <w:spacing w:val="-13"/>
          <w:sz w:val="22"/>
        </w:rPr>
        <w:t> </w:t>
      </w:r>
      <w:r>
        <w:rPr>
          <w:sz w:val="22"/>
        </w:rPr>
        <w:t>weight</w:t>
      </w:r>
      <w:r>
        <w:rPr>
          <w:spacing w:val="-13"/>
          <w:sz w:val="22"/>
        </w:rPr>
        <w:t> </w:t>
      </w:r>
      <w:r>
        <w:rPr>
          <w:sz w:val="22"/>
        </w:rPr>
        <w:t>of</w:t>
      </w:r>
      <w:r>
        <w:rPr>
          <w:spacing w:val="-13"/>
          <w:sz w:val="22"/>
        </w:rPr>
        <w:t> </w:t>
      </w:r>
      <w:r>
        <w:rPr>
          <w:sz w:val="22"/>
        </w:rPr>
        <w:t>tools</w:t>
      </w:r>
      <w:r>
        <w:rPr>
          <w:spacing w:val="-13"/>
          <w:sz w:val="22"/>
        </w:rPr>
        <w:t> </w:t>
      </w:r>
      <w:r>
        <w:rPr>
          <w:sz w:val="22"/>
        </w:rPr>
        <w:t>keeping</w:t>
      </w:r>
      <w:r>
        <w:rPr>
          <w:spacing w:val="-13"/>
          <w:sz w:val="22"/>
        </w:rPr>
        <w:t> </w:t>
      </w:r>
      <w:r>
        <w:rPr>
          <w:sz w:val="22"/>
        </w:rPr>
        <w:t>needs</w:t>
      </w:r>
      <w:r>
        <w:rPr>
          <w:spacing w:val="-13"/>
          <w:sz w:val="22"/>
        </w:rPr>
        <w:t> </w:t>
      </w:r>
      <w:r>
        <w:rPr>
          <w:sz w:val="22"/>
        </w:rPr>
        <w:t>of</w:t>
      </w:r>
      <w:r>
        <w:rPr>
          <w:spacing w:val="-13"/>
          <w:sz w:val="22"/>
        </w:rPr>
        <w:t> </w:t>
      </w:r>
      <w:r>
        <w:rPr>
          <w:sz w:val="22"/>
        </w:rPr>
        <w:t>women workers</w:t>
      </w:r>
      <w:r>
        <w:rPr>
          <w:spacing w:val="-14"/>
          <w:sz w:val="22"/>
        </w:rPr>
        <w:t> </w:t>
      </w:r>
      <w:r>
        <w:rPr>
          <w:sz w:val="22"/>
        </w:rPr>
        <w:t>in</w:t>
      </w:r>
      <w:r>
        <w:rPr>
          <w:spacing w:val="-14"/>
          <w:sz w:val="22"/>
        </w:rPr>
        <w:t> </w:t>
      </w:r>
      <w:r>
        <w:rPr>
          <w:sz w:val="22"/>
        </w:rPr>
        <w:t>mind.</w:t>
      </w:r>
      <w:r>
        <w:rPr>
          <w:spacing w:val="-14"/>
          <w:sz w:val="22"/>
        </w:rPr>
        <w:t> </w:t>
      </w:r>
      <w:r>
        <w:rPr>
          <w:sz w:val="22"/>
        </w:rPr>
        <w:t>Weight</w:t>
      </w:r>
      <w:r>
        <w:rPr>
          <w:spacing w:val="-13"/>
          <w:sz w:val="22"/>
        </w:rPr>
        <w:t> </w:t>
      </w:r>
      <w:r>
        <w:rPr>
          <w:sz w:val="22"/>
        </w:rPr>
        <w:t>reduction</w:t>
      </w:r>
      <w:r>
        <w:rPr>
          <w:spacing w:val="-14"/>
          <w:sz w:val="22"/>
        </w:rPr>
        <w:t> </w:t>
      </w:r>
      <w:r>
        <w:rPr>
          <w:sz w:val="22"/>
        </w:rPr>
        <w:t>of</w:t>
      </w:r>
      <w:r>
        <w:rPr>
          <w:spacing w:val="-14"/>
          <w:sz w:val="22"/>
        </w:rPr>
        <w:t> </w:t>
      </w:r>
      <w:r>
        <w:rPr>
          <w:sz w:val="22"/>
        </w:rPr>
        <w:t>tools</w:t>
      </w:r>
      <w:r>
        <w:rPr>
          <w:spacing w:val="-14"/>
          <w:sz w:val="22"/>
        </w:rPr>
        <w:t> </w:t>
      </w:r>
      <w:r>
        <w:rPr>
          <w:sz w:val="22"/>
        </w:rPr>
        <w:t>makes the task easier and less intense</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ListParagraph"/>
        <w:numPr>
          <w:ilvl w:val="2"/>
          <w:numId w:val="66"/>
        </w:numPr>
        <w:tabs>
          <w:tab w:pos="1439" w:val="left" w:leader="none"/>
        </w:tabs>
        <w:spacing w:line="266" w:lineRule="auto" w:before="57" w:after="0"/>
        <w:ind w:left="1439" w:right="0" w:hanging="360"/>
        <w:jc w:val="both"/>
        <w:rPr>
          <w:sz w:val="22"/>
        </w:rPr>
      </w:pPr>
      <w:r>
        <w:rPr>
          <w:sz w:val="22"/>
        </w:rPr>
        <w:t>To optimise the weight of the tool, bring </w:t>
      </w:r>
      <w:r>
        <w:rPr>
          <w:sz w:val="22"/>
        </w:rPr>
        <w:t>about </w:t>
      </w:r>
      <w:r>
        <w:rPr>
          <w:w w:val="90"/>
          <w:sz w:val="22"/>
        </w:rPr>
        <w:t>changes in the profile as well as the angle of the blade </w:t>
      </w:r>
      <w:r>
        <w:rPr>
          <w:spacing w:val="-4"/>
          <w:sz w:val="22"/>
        </w:rPr>
        <w:t>used,</w:t>
      </w:r>
      <w:r>
        <w:rPr>
          <w:spacing w:val="-8"/>
          <w:sz w:val="22"/>
        </w:rPr>
        <w:t> </w:t>
      </w:r>
      <w:r>
        <w:rPr>
          <w:spacing w:val="-4"/>
          <w:sz w:val="22"/>
        </w:rPr>
        <w:t>specific</w:t>
      </w:r>
      <w:r>
        <w:rPr>
          <w:spacing w:val="-8"/>
          <w:sz w:val="22"/>
        </w:rPr>
        <w:t> </w:t>
      </w:r>
      <w:r>
        <w:rPr>
          <w:spacing w:val="-4"/>
          <w:sz w:val="22"/>
        </w:rPr>
        <w:t>to</w:t>
      </w:r>
      <w:r>
        <w:rPr>
          <w:spacing w:val="-8"/>
          <w:sz w:val="22"/>
        </w:rPr>
        <w:t> </w:t>
      </w:r>
      <w:r>
        <w:rPr>
          <w:spacing w:val="-4"/>
          <w:sz w:val="22"/>
        </w:rPr>
        <w:t>the</w:t>
      </w:r>
      <w:r>
        <w:rPr>
          <w:spacing w:val="-8"/>
          <w:sz w:val="22"/>
        </w:rPr>
        <w:t> </w:t>
      </w:r>
      <w:r>
        <w:rPr>
          <w:spacing w:val="-4"/>
          <w:sz w:val="22"/>
        </w:rPr>
        <w:t>type</w:t>
      </w:r>
      <w:r>
        <w:rPr>
          <w:spacing w:val="-8"/>
          <w:sz w:val="22"/>
        </w:rPr>
        <w:t> </w:t>
      </w:r>
      <w:r>
        <w:rPr>
          <w:spacing w:val="-4"/>
          <w:sz w:val="22"/>
        </w:rPr>
        <w:t>of</w:t>
      </w:r>
      <w:r>
        <w:rPr>
          <w:spacing w:val="-8"/>
          <w:sz w:val="22"/>
        </w:rPr>
        <w:t> </w:t>
      </w:r>
      <w:r>
        <w:rPr>
          <w:spacing w:val="-4"/>
          <w:sz w:val="22"/>
        </w:rPr>
        <w:t>operation</w:t>
      </w:r>
      <w:r>
        <w:rPr>
          <w:spacing w:val="-8"/>
          <w:sz w:val="22"/>
        </w:rPr>
        <w:t> </w:t>
      </w:r>
      <w:r>
        <w:rPr>
          <w:spacing w:val="-4"/>
          <w:sz w:val="22"/>
        </w:rPr>
        <w:t>(e.g.</w:t>
      </w:r>
      <w:r>
        <w:rPr>
          <w:spacing w:val="-8"/>
          <w:sz w:val="22"/>
        </w:rPr>
        <w:t> </w:t>
      </w:r>
      <w:r>
        <w:rPr>
          <w:spacing w:val="-4"/>
          <w:sz w:val="22"/>
        </w:rPr>
        <w:t>‘angular digging</w:t>
      </w:r>
      <w:r>
        <w:rPr>
          <w:spacing w:val="-10"/>
          <w:sz w:val="22"/>
        </w:rPr>
        <w:t> </w:t>
      </w:r>
      <w:r>
        <w:rPr>
          <w:spacing w:val="-4"/>
          <w:sz w:val="22"/>
        </w:rPr>
        <w:t>edge’</w:t>
      </w:r>
      <w:r>
        <w:rPr>
          <w:spacing w:val="-10"/>
          <w:sz w:val="22"/>
        </w:rPr>
        <w:t> </w:t>
      </w:r>
      <w:r>
        <w:rPr>
          <w:spacing w:val="-4"/>
          <w:sz w:val="22"/>
        </w:rPr>
        <w:t>to</w:t>
      </w:r>
      <w:r>
        <w:rPr>
          <w:spacing w:val="-10"/>
          <w:sz w:val="22"/>
        </w:rPr>
        <w:t> </w:t>
      </w:r>
      <w:r>
        <w:rPr>
          <w:spacing w:val="-4"/>
          <w:sz w:val="22"/>
        </w:rPr>
        <w:t>dig</w:t>
      </w:r>
      <w:r>
        <w:rPr>
          <w:spacing w:val="-9"/>
          <w:sz w:val="22"/>
        </w:rPr>
        <w:t> </w:t>
      </w:r>
      <w:r>
        <w:rPr>
          <w:spacing w:val="-4"/>
          <w:sz w:val="22"/>
        </w:rPr>
        <w:t>better,</w:t>
      </w:r>
      <w:r>
        <w:rPr>
          <w:spacing w:val="-10"/>
          <w:sz w:val="22"/>
        </w:rPr>
        <w:t> </w:t>
      </w:r>
      <w:r>
        <w:rPr>
          <w:spacing w:val="-4"/>
          <w:sz w:val="22"/>
        </w:rPr>
        <w:t>‘multiple</w:t>
      </w:r>
      <w:r>
        <w:rPr>
          <w:spacing w:val="-10"/>
          <w:sz w:val="22"/>
        </w:rPr>
        <w:t> </w:t>
      </w:r>
      <w:r>
        <w:rPr>
          <w:spacing w:val="-4"/>
          <w:sz w:val="22"/>
        </w:rPr>
        <w:t>digging</w:t>
      </w:r>
      <w:r>
        <w:rPr>
          <w:spacing w:val="-10"/>
          <w:sz w:val="22"/>
        </w:rPr>
        <w:t> </w:t>
      </w:r>
      <w:r>
        <w:rPr>
          <w:spacing w:val="-4"/>
          <w:sz w:val="22"/>
        </w:rPr>
        <w:t>edge’, </w:t>
      </w:r>
      <w:r>
        <w:rPr>
          <w:sz w:val="22"/>
        </w:rPr>
        <w:t>‘dimensioned</w:t>
      </w:r>
      <w:r>
        <w:rPr>
          <w:spacing w:val="-6"/>
          <w:sz w:val="22"/>
        </w:rPr>
        <w:t> </w:t>
      </w:r>
      <w:r>
        <w:rPr>
          <w:sz w:val="22"/>
        </w:rPr>
        <w:t>digging</w:t>
      </w:r>
      <w:r>
        <w:rPr>
          <w:spacing w:val="-6"/>
          <w:sz w:val="22"/>
        </w:rPr>
        <w:t> </w:t>
      </w:r>
      <w:r>
        <w:rPr>
          <w:sz w:val="22"/>
        </w:rPr>
        <w:t>edge’</w:t>
      </w:r>
      <w:r>
        <w:rPr>
          <w:spacing w:val="-6"/>
          <w:sz w:val="22"/>
        </w:rPr>
        <w:t> </w:t>
      </w:r>
      <w:r>
        <w:rPr>
          <w:sz w:val="22"/>
        </w:rPr>
        <w:t>etc)</w:t>
      </w:r>
    </w:p>
    <w:p>
      <w:pPr>
        <w:pStyle w:val="ListParagraph"/>
        <w:numPr>
          <w:ilvl w:val="2"/>
          <w:numId w:val="66"/>
        </w:numPr>
        <w:tabs>
          <w:tab w:pos="1439" w:val="left" w:leader="none"/>
        </w:tabs>
        <w:spacing w:line="266" w:lineRule="auto" w:before="0" w:after="0"/>
        <w:ind w:left="1439" w:right="0" w:hanging="360"/>
        <w:jc w:val="both"/>
        <w:rPr>
          <w:sz w:val="22"/>
        </w:rPr>
      </w:pPr>
      <w:r>
        <w:rPr>
          <w:sz w:val="22"/>
        </w:rPr>
        <w:t>By optimising on materials (eg. use of </w:t>
      </w:r>
      <w:r>
        <w:rPr>
          <w:sz w:val="22"/>
        </w:rPr>
        <w:t>medium </w:t>
      </w:r>
      <w:r>
        <w:rPr>
          <w:spacing w:val="-2"/>
          <w:sz w:val="22"/>
        </w:rPr>
        <w:t>carbon</w:t>
      </w:r>
      <w:r>
        <w:rPr>
          <w:spacing w:val="-11"/>
          <w:sz w:val="22"/>
        </w:rPr>
        <w:t> </w:t>
      </w:r>
      <w:r>
        <w:rPr>
          <w:spacing w:val="-2"/>
          <w:sz w:val="22"/>
        </w:rPr>
        <w:t>steel)</w:t>
      </w:r>
      <w:r>
        <w:rPr>
          <w:spacing w:val="-11"/>
          <w:sz w:val="22"/>
        </w:rPr>
        <w:t> </w:t>
      </w:r>
      <w:r>
        <w:rPr>
          <w:spacing w:val="-2"/>
          <w:sz w:val="22"/>
        </w:rPr>
        <w:t>weight</w:t>
      </w:r>
      <w:r>
        <w:rPr>
          <w:spacing w:val="-11"/>
          <w:sz w:val="22"/>
        </w:rPr>
        <w:t> </w:t>
      </w:r>
      <w:r>
        <w:rPr>
          <w:spacing w:val="-2"/>
          <w:sz w:val="22"/>
        </w:rPr>
        <w:t>can</w:t>
      </w:r>
      <w:r>
        <w:rPr>
          <w:spacing w:val="-11"/>
          <w:sz w:val="22"/>
        </w:rPr>
        <w:t> </w:t>
      </w:r>
      <w:r>
        <w:rPr>
          <w:spacing w:val="-2"/>
          <w:sz w:val="22"/>
        </w:rPr>
        <w:t>be</w:t>
      </w:r>
      <w:r>
        <w:rPr>
          <w:spacing w:val="-11"/>
          <w:sz w:val="22"/>
        </w:rPr>
        <w:t> </w:t>
      </w:r>
      <w:r>
        <w:rPr>
          <w:spacing w:val="-2"/>
          <w:sz w:val="22"/>
        </w:rPr>
        <w:t>reduced</w:t>
      </w:r>
      <w:r>
        <w:rPr>
          <w:spacing w:val="-11"/>
          <w:sz w:val="22"/>
        </w:rPr>
        <w:t> </w:t>
      </w:r>
      <w:r>
        <w:rPr>
          <w:spacing w:val="-2"/>
          <w:sz w:val="22"/>
        </w:rPr>
        <w:t>while</w:t>
      </w:r>
      <w:r>
        <w:rPr>
          <w:spacing w:val="-11"/>
          <w:sz w:val="22"/>
        </w:rPr>
        <w:t> </w:t>
      </w:r>
      <w:r>
        <w:rPr>
          <w:spacing w:val="-2"/>
          <w:sz w:val="22"/>
        </w:rPr>
        <w:t>keeping </w:t>
      </w:r>
      <w:r>
        <w:rPr>
          <w:sz w:val="22"/>
        </w:rPr>
        <w:t>the digging quality unchanged</w:t>
      </w:r>
    </w:p>
    <w:p>
      <w:pPr>
        <w:pStyle w:val="ListParagraph"/>
        <w:numPr>
          <w:ilvl w:val="2"/>
          <w:numId w:val="66"/>
        </w:numPr>
        <w:tabs>
          <w:tab w:pos="1439" w:val="left" w:leader="none"/>
        </w:tabs>
        <w:spacing w:line="266" w:lineRule="auto" w:before="0" w:after="0"/>
        <w:ind w:left="1439" w:right="0" w:hanging="360"/>
        <w:jc w:val="both"/>
        <w:rPr>
          <w:sz w:val="22"/>
        </w:rPr>
      </w:pPr>
      <w:r>
        <w:rPr>
          <w:sz w:val="22"/>
        </w:rPr>
        <w:t>Use mechanical traction devices to enable </w:t>
      </w:r>
      <w:r>
        <w:rPr>
          <w:sz w:val="22"/>
        </w:rPr>
        <w:t>load </w:t>
      </w:r>
      <w:r>
        <w:rPr>
          <w:spacing w:val="-4"/>
          <w:sz w:val="22"/>
        </w:rPr>
        <w:t>carrying</w:t>
      </w:r>
      <w:r>
        <w:rPr>
          <w:spacing w:val="-10"/>
          <w:sz w:val="22"/>
        </w:rPr>
        <w:t> </w:t>
      </w:r>
      <w:r>
        <w:rPr>
          <w:spacing w:val="-4"/>
          <w:sz w:val="22"/>
        </w:rPr>
        <w:t>from</w:t>
      </w:r>
      <w:r>
        <w:rPr>
          <w:spacing w:val="-10"/>
          <w:sz w:val="22"/>
        </w:rPr>
        <w:t> </w:t>
      </w:r>
      <w:r>
        <w:rPr>
          <w:spacing w:val="-4"/>
          <w:sz w:val="22"/>
        </w:rPr>
        <w:t>one</w:t>
      </w:r>
      <w:r>
        <w:rPr>
          <w:spacing w:val="-10"/>
          <w:sz w:val="22"/>
        </w:rPr>
        <w:t> </w:t>
      </w:r>
      <w:r>
        <w:rPr>
          <w:spacing w:val="-4"/>
          <w:sz w:val="22"/>
        </w:rPr>
        <w:t>point</w:t>
      </w:r>
      <w:r>
        <w:rPr>
          <w:spacing w:val="-9"/>
          <w:sz w:val="22"/>
        </w:rPr>
        <w:t> </w:t>
      </w:r>
      <w:r>
        <w:rPr>
          <w:spacing w:val="-4"/>
          <w:sz w:val="22"/>
        </w:rPr>
        <w:t>to</w:t>
      </w:r>
      <w:r>
        <w:rPr>
          <w:spacing w:val="-10"/>
          <w:sz w:val="22"/>
        </w:rPr>
        <w:t> </w:t>
      </w:r>
      <w:r>
        <w:rPr>
          <w:spacing w:val="-4"/>
          <w:sz w:val="22"/>
        </w:rPr>
        <w:t>the</w:t>
      </w:r>
      <w:r>
        <w:rPr>
          <w:spacing w:val="-10"/>
          <w:sz w:val="22"/>
        </w:rPr>
        <w:t> </w:t>
      </w:r>
      <w:r>
        <w:rPr>
          <w:spacing w:val="-4"/>
          <w:sz w:val="22"/>
        </w:rPr>
        <w:t>other</w:t>
      </w:r>
      <w:r>
        <w:rPr>
          <w:spacing w:val="-10"/>
          <w:sz w:val="22"/>
        </w:rPr>
        <w:t> </w:t>
      </w:r>
      <w:r>
        <w:rPr>
          <w:spacing w:val="-4"/>
          <w:sz w:val="22"/>
        </w:rPr>
        <w:t>(both</w:t>
      </w:r>
      <w:r>
        <w:rPr>
          <w:spacing w:val="-9"/>
          <w:sz w:val="22"/>
        </w:rPr>
        <w:t> </w:t>
      </w:r>
      <w:r>
        <w:rPr>
          <w:spacing w:val="-4"/>
          <w:sz w:val="22"/>
        </w:rPr>
        <w:t>vertically and</w:t>
      </w:r>
      <w:r>
        <w:rPr>
          <w:spacing w:val="-7"/>
          <w:sz w:val="22"/>
        </w:rPr>
        <w:t> </w:t>
      </w:r>
      <w:r>
        <w:rPr>
          <w:spacing w:val="-4"/>
          <w:sz w:val="22"/>
        </w:rPr>
        <w:t>horizontally)</w:t>
      </w:r>
      <w:r>
        <w:rPr>
          <w:spacing w:val="-7"/>
          <w:sz w:val="22"/>
        </w:rPr>
        <w:t> </w:t>
      </w:r>
      <w:r>
        <w:rPr>
          <w:spacing w:val="-4"/>
          <w:sz w:val="22"/>
        </w:rPr>
        <w:t>to</w:t>
      </w:r>
      <w:r>
        <w:rPr>
          <w:spacing w:val="-7"/>
          <w:sz w:val="22"/>
        </w:rPr>
        <w:t> </w:t>
      </w:r>
      <w:r>
        <w:rPr>
          <w:spacing w:val="-4"/>
          <w:sz w:val="22"/>
        </w:rPr>
        <w:t>overcome</w:t>
      </w:r>
      <w:r>
        <w:rPr>
          <w:spacing w:val="-7"/>
          <w:sz w:val="22"/>
        </w:rPr>
        <w:t> </w:t>
      </w:r>
      <w:r>
        <w:rPr>
          <w:spacing w:val="-4"/>
          <w:sz w:val="22"/>
        </w:rPr>
        <w:t>drudgery</w:t>
      </w:r>
      <w:r>
        <w:rPr>
          <w:spacing w:val="-7"/>
          <w:sz w:val="22"/>
        </w:rPr>
        <w:t> </w:t>
      </w:r>
      <w:r>
        <w:rPr>
          <w:spacing w:val="-4"/>
          <w:sz w:val="22"/>
        </w:rPr>
        <w:t>and</w:t>
      </w:r>
      <w:r>
        <w:rPr>
          <w:spacing w:val="-7"/>
          <w:sz w:val="22"/>
        </w:rPr>
        <w:t> </w:t>
      </w:r>
      <w:r>
        <w:rPr>
          <w:spacing w:val="-4"/>
          <w:sz w:val="22"/>
        </w:rPr>
        <w:t>ensure </w:t>
      </w:r>
      <w:r>
        <w:rPr>
          <w:sz w:val="22"/>
        </w:rPr>
        <w:t>dignity of labour</w:t>
      </w:r>
    </w:p>
    <w:p>
      <w:pPr>
        <w:pStyle w:val="ListParagraph"/>
        <w:numPr>
          <w:ilvl w:val="2"/>
          <w:numId w:val="66"/>
        </w:numPr>
        <w:tabs>
          <w:tab w:pos="1440" w:val="left" w:leader="none"/>
        </w:tabs>
        <w:spacing w:line="266" w:lineRule="auto" w:before="0" w:after="0"/>
        <w:ind w:left="1440" w:right="0" w:hanging="360"/>
        <w:jc w:val="both"/>
        <w:rPr>
          <w:sz w:val="22"/>
        </w:rPr>
      </w:pPr>
      <w:r>
        <w:rPr>
          <w:spacing w:val="-4"/>
          <w:sz w:val="22"/>
        </w:rPr>
        <w:t>Provide</w:t>
      </w:r>
      <w:r>
        <w:rPr>
          <w:spacing w:val="-9"/>
          <w:sz w:val="22"/>
        </w:rPr>
        <w:t> </w:t>
      </w:r>
      <w:r>
        <w:rPr>
          <w:spacing w:val="-4"/>
          <w:sz w:val="22"/>
        </w:rPr>
        <w:t>necessary</w:t>
      </w:r>
      <w:r>
        <w:rPr>
          <w:spacing w:val="-9"/>
          <w:sz w:val="22"/>
        </w:rPr>
        <w:t> </w:t>
      </w:r>
      <w:r>
        <w:rPr>
          <w:spacing w:val="-4"/>
          <w:sz w:val="22"/>
        </w:rPr>
        <w:t>tools</w:t>
      </w:r>
      <w:r>
        <w:rPr>
          <w:spacing w:val="-9"/>
          <w:sz w:val="22"/>
        </w:rPr>
        <w:t> </w:t>
      </w:r>
      <w:r>
        <w:rPr>
          <w:spacing w:val="-4"/>
          <w:sz w:val="22"/>
        </w:rPr>
        <w:t>in</w:t>
      </w:r>
      <w:r>
        <w:rPr>
          <w:spacing w:val="-9"/>
          <w:sz w:val="22"/>
        </w:rPr>
        <w:t> </w:t>
      </w:r>
      <w:r>
        <w:rPr>
          <w:spacing w:val="-4"/>
          <w:sz w:val="22"/>
        </w:rPr>
        <w:t>the</w:t>
      </w:r>
      <w:r>
        <w:rPr>
          <w:spacing w:val="-9"/>
          <w:sz w:val="22"/>
        </w:rPr>
        <w:t> </w:t>
      </w:r>
      <w:r>
        <w:rPr>
          <w:spacing w:val="-4"/>
          <w:sz w:val="22"/>
        </w:rPr>
        <w:t>form</w:t>
      </w:r>
      <w:r>
        <w:rPr>
          <w:spacing w:val="-9"/>
          <w:sz w:val="22"/>
        </w:rPr>
        <w:t> </w:t>
      </w:r>
      <w:r>
        <w:rPr>
          <w:spacing w:val="-4"/>
          <w:sz w:val="22"/>
        </w:rPr>
        <w:t>of</w:t>
      </w:r>
      <w:r>
        <w:rPr>
          <w:spacing w:val="-9"/>
          <w:sz w:val="22"/>
        </w:rPr>
        <w:t> </w:t>
      </w:r>
      <w:r>
        <w:rPr>
          <w:spacing w:val="-4"/>
          <w:sz w:val="22"/>
        </w:rPr>
        <w:t>a</w:t>
      </w:r>
      <w:r>
        <w:rPr>
          <w:spacing w:val="-9"/>
          <w:sz w:val="22"/>
        </w:rPr>
        <w:t> </w:t>
      </w:r>
      <w:r>
        <w:rPr>
          <w:spacing w:val="-4"/>
          <w:sz w:val="22"/>
        </w:rPr>
        <w:t>‘tool</w:t>
      </w:r>
      <w:r>
        <w:rPr>
          <w:spacing w:val="-9"/>
          <w:sz w:val="22"/>
        </w:rPr>
        <w:t> </w:t>
      </w:r>
      <w:r>
        <w:rPr>
          <w:spacing w:val="-4"/>
          <w:sz w:val="22"/>
        </w:rPr>
        <w:t>kit’</w:t>
      </w:r>
      <w:r>
        <w:rPr>
          <w:spacing w:val="-9"/>
          <w:sz w:val="22"/>
        </w:rPr>
        <w:t> </w:t>
      </w:r>
      <w:r>
        <w:rPr>
          <w:spacing w:val="-4"/>
          <w:sz w:val="22"/>
        </w:rPr>
        <w:t>to </w:t>
      </w:r>
      <w:r>
        <w:rPr>
          <w:w w:val="90"/>
          <w:sz w:val="22"/>
        </w:rPr>
        <w:t>the</w:t>
      </w:r>
      <w:r>
        <w:rPr>
          <w:spacing w:val="-1"/>
          <w:w w:val="90"/>
          <w:sz w:val="22"/>
        </w:rPr>
        <w:t> </w:t>
      </w:r>
      <w:r>
        <w:rPr>
          <w:w w:val="90"/>
          <w:sz w:val="22"/>
        </w:rPr>
        <w:t>beneficiaries</w:t>
      </w:r>
      <w:r>
        <w:rPr>
          <w:spacing w:val="-1"/>
          <w:w w:val="90"/>
          <w:sz w:val="22"/>
        </w:rPr>
        <w:t> </w:t>
      </w:r>
      <w:r>
        <w:rPr>
          <w:w w:val="90"/>
          <w:sz w:val="22"/>
        </w:rPr>
        <w:t>as</w:t>
      </w:r>
      <w:r>
        <w:rPr>
          <w:spacing w:val="-1"/>
          <w:w w:val="90"/>
          <w:sz w:val="22"/>
        </w:rPr>
        <w:t> </w:t>
      </w:r>
      <w:r>
        <w:rPr>
          <w:w w:val="90"/>
          <w:sz w:val="22"/>
        </w:rPr>
        <w:t>another</w:t>
      </w:r>
      <w:r>
        <w:rPr>
          <w:spacing w:val="-1"/>
          <w:w w:val="90"/>
          <w:sz w:val="22"/>
        </w:rPr>
        <w:t> </w:t>
      </w:r>
      <w:r>
        <w:rPr>
          <w:w w:val="90"/>
          <w:sz w:val="22"/>
        </w:rPr>
        <w:t>means</w:t>
      </w:r>
      <w:r>
        <w:rPr>
          <w:spacing w:val="-1"/>
          <w:w w:val="90"/>
          <w:sz w:val="22"/>
        </w:rPr>
        <w:t> </w:t>
      </w:r>
      <w:r>
        <w:rPr>
          <w:w w:val="90"/>
          <w:sz w:val="22"/>
        </w:rPr>
        <w:t>of</w:t>
      </w:r>
      <w:r>
        <w:rPr>
          <w:spacing w:val="-1"/>
          <w:w w:val="90"/>
          <w:sz w:val="22"/>
        </w:rPr>
        <w:t> </w:t>
      </w:r>
      <w:r>
        <w:rPr>
          <w:w w:val="90"/>
          <w:sz w:val="22"/>
        </w:rPr>
        <w:t>upgrading</w:t>
      </w:r>
      <w:r>
        <w:rPr>
          <w:spacing w:val="-1"/>
          <w:w w:val="90"/>
          <w:sz w:val="22"/>
        </w:rPr>
        <w:t> </w:t>
      </w:r>
      <w:r>
        <w:rPr>
          <w:w w:val="90"/>
          <w:sz w:val="22"/>
        </w:rPr>
        <w:t>skills. </w:t>
      </w:r>
      <w:r>
        <w:rPr>
          <w:sz w:val="22"/>
        </w:rPr>
        <w:t>The tool kits must be available at work sites and </w:t>
      </w:r>
      <w:r>
        <w:rPr>
          <w:spacing w:val="-2"/>
          <w:sz w:val="22"/>
        </w:rPr>
        <w:t>carrying</w:t>
      </w:r>
      <w:r>
        <w:rPr>
          <w:spacing w:val="-12"/>
          <w:sz w:val="22"/>
        </w:rPr>
        <w:t> </w:t>
      </w:r>
      <w:r>
        <w:rPr>
          <w:spacing w:val="-2"/>
          <w:sz w:val="22"/>
        </w:rPr>
        <w:t>them</w:t>
      </w:r>
      <w:r>
        <w:rPr>
          <w:spacing w:val="-12"/>
          <w:sz w:val="22"/>
        </w:rPr>
        <w:t> </w:t>
      </w:r>
      <w:r>
        <w:rPr>
          <w:spacing w:val="-2"/>
          <w:sz w:val="22"/>
        </w:rPr>
        <w:t>from</w:t>
      </w:r>
      <w:r>
        <w:rPr>
          <w:spacing w:val="-12"/>
          <w:sz w:val="22"/>
        </w:rPr>
        <w:t> </w:t>
      </w:r>
      <w:r>
        <w:rPr>
          <w:spacing w:val="-2"/>
          <w:sz w:val="22"/>
        </w:rPr>
        <w:t>home</w:t>
      </w:r>
      <w:r>
        <w:rPr>
          <w:spacing w:val="-11"/>
          <w:sz w:val="22"/>
        </w:rPr>
        <w:t> </w:t>
      </w:r>
      <w:r>
        <w:rPr>
          <w:spacing w:val="-2"/>
          <w:sz w:val="22"/>
        </w:rPr>
        <w:t>to</w:t>
      </w:r>
      <w:r>
        <w:rPr>
          <w:spacing w:val="-12"/>
          <w:sz w:val="22"/>
        </w:rPr>
        <w:t> </w:t>
      </w:r>
      <w:r>
        <w:rPr>
          <w:spacing w:val="-2"/>
          <w:sz w:val="22"/>
        </w:rPr>
        <w:t>the</w:t>
      </w:r>
      <w:r>
        <w:rPr>
          <w:spacing w:val="-12"/>
          <w:sz w:val="22"/>
        </w:rPr>
        <w:t> </w:t>
      </w:r>
      <w:r>
        <w:rPr>
          <w:spacing w:val="-2"/>
          <w:sz w:val="22"/>
        </w:rPr>
        <w:t>work</w:t>
      </w:r>
      <w:r>
        <w:rPr>
          <w:spacing w:val="-12"/>
          <w:sz w:val="22"/>
        </w:rPr>
        <w:t> </w:t>
      </w:r>
      <w:r>
        <w:rPr>
          <w:spacing w:val="-2"/>
          <w:sz w:val="22"/>
        </w:rPr>
        <w:t>place</w:t>
      </w:r>
      <w:r>
        <w:rPr>
          <w:spacing w:val="-11"/>
          <w:sz w:val="22"/>
        </w:rPr>
        <w:t> </w:t>
      </w:r>
      <w:r>
        <w:rPr>
          <w:spacing w:val="-2"/>
          <w:sz w:val="22"/>
        </w:rPr>
        <w:t>should </w:t>
      </w:r>
      <w:r>
        <w:rPr>
          <w:sz w:val="22"/>
        </w:rPr>
        <w:t>be discouraged. Such modern tool kits must be </w:t>
      </w:r>
      <w:r>
        <w:rPr>
          <w:spacing w:val="-8"/>
          <w:sz w:val="22"/>
        </w:rPr>
        <w:t>evolved</w:t>
      </w:r>
      <w:r>
        <w:rPr>
          <w:spacing w:val="-4"/>
          <w:sz w:val="22"/>
        </w:rPr>
        <w:t> </w:t>
      </w:r>
      <w:r>
        <w:rPr>
          <w:spacing w:val="-8"/>
          <w:sz w:val="22"/>
        </w:rPr>
        <w:t>for</w:t>
      </w:r>
      <w:r>
        <w:rPr>
          <w:spacing w:val="-4"/>
          <w:sz w:val="22"/>
        </w:rPr>
        <w:t> </w:t>
      </w:r>
      <w:r>
        <w:rPr>
          <w:spacing w:val="-8"/>
          <w:sz w:val="22"/>
        </w:rPr>
        <w:t>not</w:t>
      </w:r>
      <w:r>
        <w:rPr>
          <w:spacing w:val="-4"/>
          <w:sz w:val="22"/>
        </w:rPr>
        <w:t> </w:t>
      </w:r>
      <w:r>
        <w:rPr>
          <w:spacing w:val="-8"/>
          <w:sz w:val="22"/>
        </w:rPr>
        <w:t>just</w:t>
      </w:r>
      <w:r>
        <w:rPr>
          <w:spacing w:val="-4"/>
          <w:sz w:val="22"/>
        </w:rPr>
        <w:t> </w:t>
      </w:r>
      <w:r>
        <w:rPr>
          <w:spacing w:val="-8"/>
          <w:sz w:val="22"/>
        </w:rPr>
        <w:t>field</w:t>
      </w:r>
      <w:r>
        <w:rPr>
          <w:spacing w:val="-4"/>
          <w:sz w:val="22"/>
        </w:rPr>
        <w:t> </w:t>
      </w:r>
      <w:r>
        <w:rPr>
          <w:spacing w:val="-8"/>
          <w:sz w:val="22"/>
        </w:rPr>
        <w:t>labour</w:t>
      </w:r>
      <w:r>
        <w:rPr>
          <w:spacing w:val="-4"/>
          <w:sz w:val="22"/>
        </w:rPr>
        <w:t> </w:t>
      </w:r>
      <w:r>
        <w:rPr>
          <w:spacing w:val="-8"/>
          <w:sz w:val="22"/>
        </w:rPr>
        <w:t>but</w:t>
      </w:r>
      <w:r>
        <w:rPr>
          <w:spacing w:val="-4"/>
          <w:sz w:val="22"/>
        </w:rPr>
        <w:t> </w:t>
      </w:r>
      <w:r>
        <w:rPr>
          <w:spacing w:val="-8"/>
          <w:sz w:val="22"/>
        </w:rPr>
        <w:t>other</w:t>
      </w:r>
      <w:r>
        <w:rPr>
          <w:spacing w:val="-4"/>
          <w:sz w:val="22"/>
        </w:rPr>
        <w:t> </w:t>
      </w:r>
      <w:r>
        <w:rPr>
          <w:spacing w:val="-8"/>
          <w:sz w:val="22"/>
        </w:rPr>
        <w:t>works</w:t>
      </w:r>
      <w:r>
        <w:rPr>
          <w:spacing w:val="-4"/>
          <w:sz w:val="22"/>
        </w:rPr>
        <w:t> </w:t>
      </w:r>
      <w:r>
        <w:rPr>
          <w:spacing w:val="-8"/>
          <w:sz w:val="22"/>
        </w:rPr>
        <w:t>such </w:t>
      </w:r>
      <w:r>
        <w:rPr>
          <w:spacing w:val="-4"/>
          <w:sz w:val="22"/>
        </w:rPr>
        <w:t>as</w:t>
      </w:r>
      <w:r>
        <w:rPr>
          <w:spacing w:val="-10"/>
          <w:sz w:val="22"/>
        </w:rPr>
        <w:t> </w:t>
      </w:r>
      <w:r>
        <w:rPr>
          <w:spacing w:val="-4"/>
          <w:sz w:val="22"/>
        </w:rPr>
        <w:t>plumbing,</w:t>
      </w:r>
      <w:r>
        <w:rPr>
          <w:spacing w:val="-10"/>
          <w:sz w:val="22"/>
        </w:rPr>
        <w:t> </w:t>
      </w:r>
      <w:r>
        <w:rPr>
          <w:spacing w:val="-4"/>
          <w:sz w:val="22"/>
        </w:rPr>
        <w:t>masonry,</w:t>
      </w:r>
      <w:r>
        <w:rPr>
          <w:spacing w:val="-10"/>
          <w:sz w:val="22"/>
        </w:rPr>
        <w:t> </w:t>
      </w:r>
      <w:r>
        <w:rPr>
          <w:spacing w:val="-4"/>
          <w:sz w:val="22"/>
        </w:rPr>
        <w:t>carpentry</w:t>
      </w:r>
      <w:r>
        <w:rPr>
          <w:spacing w:val="-9"/>
          <w:sz w:val="22"/>
        </w:rPr>
        <w:t> </w:t>
      </w:r>
      <w:r>
        <w:rPr>
          <w:spacing w:val="-4"/>
          <w:sz w:val="22"/>
        </w:rPr>
        <w:t>and</w:t>
      </w:r>
      <w:r>
        <w:rPr>
          <w:spacing w:val="-10"/>
          <w:sz w:val="22"/>
        </w:rPr>
        <w:t> </w:t>
      </w:r>
      <w:r>
        <w:rPr>
          <w:spacing w:val="-4"/>
          <w:sz w:val="22"/>
        </w:rPr>
        <w:t>electrification</w:t>
      </w:r>
    </w:p>
    <w:p>
      <w:pPr>
        <w:pStyle w:val="ListParagraph"/>
        <w:numPr>
          <w:ilvl w:val="2"/>
          <w:numId w:val="66"/>
        </w:numPr>
        <w:tabs>
          <w:tab w:pos="1439" w:val="left" w:leader="none"/>
        </w:tabs>
        <w:spacing w:line="266" w:lineRule="auto" w:before="0" w:after="0"/>
        <w:ind w:left="1439" w:right="0" w:hanging="360"/>
        <w:jc w:val="both"/>
        <w:rPr>
          <w:sz w:val="22"/>
        </w:rPr>
      </w:pPr>
      <w:r>
        <w:rPr>
          <w:w w:val="90"/>
          <w:sz w:val="22"/>
        </w:rPr>
        <w:t>Aid heavy labour intensive tasks by </w:t>
      </w:r>
      <w:r>
        <w:rPr>
          <w:w w:val="90"/>
          <w:sz w:val="22"/>
        </w:rPr>
        <w:t>semi-mechanised or mechanical traction devices to overcome drudgery </w:t>
      </w:r>
      <w:r>
        <w:rPr>
          <w:spacing w:val="-4"/>
          <w:sz w:val="22"/>
        </w:rPr>
        <w:t>and</w:t>
      </w:r>
      <w:r>
        <w:rPr>
          <w:spacing w:val="-10"/>
          <w:sz w:val="22"/>
        </w:rPr>
        <w:t> </w:t>
      </w:r>
      <w:r>
        <w:rPr>
          <w:spacing w:val="-4"/>
          <w:sz w:val="22"/>
        </w:rPr>
        <w:t>increase</w:t>
      </w:r>
      <w:r>
        <w:rPr>
          <w:spacing w:val="-10"/>
          <w:sz w:val="22"/>
        </w:rPr>
        <w:t> </w:t>
      </w:r>
      <w:r>
        <w:rPr>
          <w:spacing w:val="-4"/>
          <w:sz w:val="22"/>
        </w:rPr>
        <w:t>efficiency.</w:t>
      </w:r>
      <w:r>
        <w:rPr>
          <w:spacing w:val="-10"/>
          <w:sz w:val="22"/>
        </w:rPr>
        <w:t> </w:t>
      </w:r>
      <w:r>
        <w:rPr>
          <w:spacing w:val="-4"/>
          <w:sz w:val="22"/>
        </w:rPr>
        <w:t>This</w:t>
      </w:r>
      <w:r>
        <w:rPr>
          <w:spacing w:val="-9"/>
          <w:sz w:val="22"/>
        </w:rPr>
        <w:t> </w:t>
      </w:r>
      <w:r>
        <w:rPr>
          <w:spacing w:val="-4"/>
          <w:sz w:val="22"/>
        </w:rPr>
        <w:t>would</w:t>
      </w:r>
      <w:r>
        <w:rPr>
          <w:spacing w:val="-10"/>
          <w:sz w:val="22"/>
        </w:rPr>
        <w:t> </w:t>
      </w:r>
      <w:r>
        <w:rPr>
          <w:spacing w:val="-4"/>
          <w:sz w:val="22"/>
        </w:rPr>
        <w:t>also</w:t>
      </w:r>
      <w:r>
        <w:rPr>
          <w:spacing w:val="-10"/>
          <w:sz w:val="22"/>
        </w:rPr>
        <w:t> </w:t>
      </w:r>
      <w:r>
        <w:rPr>
          <w:spacing w:val="-4"/>
          <w:sz w:val="22"/>
        </w:rPr>
        <w:t>ensure</w:t>
      </w:r>
      <w:r>
        <w:rPr>
          <w:spacing w:val="-10"/>
          <w:sz w:val="22"/>
        </w:rPr>
        <w:t> </w:t>
      </w:r>
      <w:r>
        <w:rPr>
          <w:spacing w:val="-4"/>
          <w:sz w:val="22"/>
        </w:rPr>
        <w:t>that </w:t>
      </w:r>
      <w:r>
        <w:rPr>
          <w:sz w:val="22"/>
        </w:rPr>
        <w:t>labour displacing machines do not take away the livelihood of workers.</w:t>
      </w:r>
    </w:p>
    <w:p>
      <w:pPr>
        <w:pStyle w:val="Heading6"/>
        <w:numPr>
          <w:ilvl w:val="0"/>
          <w:numId w:val="66"/>
        </w:numPr>
        <w:tabs>
          <w:tab w:pos="1404" w:val="left" w:leader="none"/>
          <w:tab w:pos="1406" w:val="left" w:leader="none"/>
        </w:tabs>
        <w:spacing w:line="208" w:lineRule="auto" w:before="246" w:after="0"/>
        <w:ind w:left="1406" w:right="641" w:hanging="327"/>
        <w:jc w:val="left"/>
      </w:pPr>
      <w:r>
        <w:rPr>
          <w:color w:val="2E614A"/>
          <w:spacing w:val="-2"/>
        </w:rPr>
        <w:t>Funding</w:t>
      </w:r>
      <w:r>
        <w:rPr>
          <w:color w:val="2E614A"/>
          <w:spacing w:val="-18"/>
        </w:rPr>
        <w:t> </w:t>
      </w:r>
      <w:r>
        <w:rPr>
          <w:color w:val="2E614A"/>
          <w:spacing w:val="-2"/>
        </w:rPr>
        <w:t>Mechanisms</w:t>
      </w:r>
      <w:r>
        <w:rPr>
          <w:color w:val="2E614A"/>
          <w:spacing w:val="-18"/>
        </w:rPr>
        <w:t> </w:t>
      </w:r>
      <w:r>
        <w:rPr>
          <w:color w:val="2E614A"/>
          <w:spacing w:val="-2"/>
        </w:rPr>
        <w:t>for </w:t>
      </w:r>
      <w:r>
        <w:rPr>
          <w:color w:val="2E614A"/>
          <w:spacing w:val="-8"/>
        </w:rPr>
        <w:t>Development</w:t>
      </w:r>
      <w:r>
        <w:rPr>
          <w:color w:val="2E614A"/>
          <w:spacing w:val="-14"/>
        </w:rPr>
        <w:t> </w:t>
      </w:r>
      <w:r>
        <w:rPr>
          <w:color w:val="2E614A"/>
          <w:spacing w:val="-8"/>
        </w:rPr>
        <w:t>of</w:t>
      </w:r>
      <w:r>
        <w:rPr>
          <w:color w:val="2E614A"/>
          <w:spacing w:val="-12"/>
        </w:rPr>
        <w:t> </w:t>
      </w:r>
      <w:r>
        <w:rPr>
          <w:color w:val="2E614A"/>
          <w:spacing w:val="-8"/>
        </w:rPr>
        <w:t>Toolkits</w:t>
      </w:r>
      <w:r>
        <w:rPr>
          <w:color w:val="2E614A"/>
          <w:spacing w:val="-12"/>
        </w:rPr>
        <w:t> </w:t>
      </w:r>
      <w:r>
        <w:rPr>
          <w:color w:val="2E614A"/>
          <w:spacing w:val="-8"/>
        </w:rPr>
        <w:t>and </w:t>
      </w:r>
      <w:r>
        <w:rPr>
          <w:color w:val="2E614A"/>
          <w:spacing w:val="-2"/>
        </w:rPr>
        <w:t>Provisions</w:t>
      </w:r>
      <w:r>
        <w:rPr>
          <w:color w:val="2E614A"/>
          <w:spacing w:val="-18"/>
        </w:rPr>
        <w:t> </w:t>
      </w:r>
      <w:r>
        <w:rPr>
          <w:color w:val="2E614A"/>
          <w:spacing w:val="-2"/>
        </w:rPr>
        <w:t>for</w:t>
      </w:r>
      <w:r>
        <w:rPr>
          <w:color w:val="2E614A"/>
          <w:spacing w:val="-18"/>
        </w:rPr>
        <w:t> </w:t>
      </w:r>
      <w:r>
        <w:rPr>
          <w:color w:val="2E614A"/>
          <w:spacing w:val="-2"/>
        </w:rPr>
        <w:t>Loans</w:t>
      </w:r>
    </w:p>
    <w:p>
      <w:pPr>
        <w:pStyle w:val="BodyText"/>
        <w:spacing w:line="266" w:lineRule="auto" w:before="295"/>
        <w:ind w:left="1080"/>
        <w:jc w:val="both"/>
      </w:pPr>
      <w:r>
        <w:rPr>
          <w:spacing w:val="-6"/>
        </w:rPr>
        <w:t>To</w:t>
      </w:r>
      <w:r>
        <w:rPr>
          <w:spacing w:val="-8"/>
        </w:rPr>
        <w:t> </w:t>
      </w:r>
      <w:r>
        <w:rPr>
          <w:spacing w:val="-6"/>
        </w:rPr>
        <w:t>ensure</w:t>
      </w:r>
      <w:r>
        <w:rPr>
          <w:spacing w:val="-8"/>
        </w:rPr>
        <w:t> </w:t>
      </w:r>
      <w:r>
        <w:rPr>
          <w:spacing w:val="-6"/>
        </w:rPr>
        <w:t>financial</w:t>
      </w:r>
      <w:r>
        <w:rPr>
          <w:spacing w:val="-8"/>
        </w:rPr>
        <w:t> </w:t>
      </w:r>
      <w:r>
        <w:rPr>
          <w:spacing w:val="-6"/>
        </w:rPr>
        <w:t>and</w:t>
      </w:r>
      <w:r>
        <w:rPr>
          <w:spacing w:val="-7"/>
        </w:rPr>
        <w:t> </w:t>
      </w:r>
      <w:r>
        <w:rPr>
          <w:spacing w:val="-6"/>
        </w:rPr>
        <w:t>operational</w:t>
      </w:r>
      <w:r>
        <w:rPr>
          <w:spacing w:val="-8"/>
        </w:rPr>
        <w:t> </w:t>
      </w:r>
      <w:r>
        <w:rPr>
          <w:spacing w:val="-6"/>
        </w:rPr>
        <w:t>sustainability</w:t>
      </w:r>
      <w:r>
        <w:rPr>
          <w:spacing w:val="-8"/>
        </w:rPr>
        <w:t> </w:t>
      </w:r>
      <w:r>
        <w:rPr>
          <w:spacing w:val="-6"/>
        </w:rPr>
        <w:t>as</w:t>
      </w:r>
      <w:r>
        <w:rPr>
          <w:spacing w:val="-8"/>
        </w:rPr>
        <w:t> </w:t>
      </w:r>
      <w:r>
        <w:rPr>
          <w:spacing w:val="-6"/>
        </w:rPr>
        <w:t>well </w:t>
      </w:r>
      <w:r>
        <w:rPr>
          <w:spacing w:val="-2"/>
        </w:rPr>
        <w:t>as</w:t>
      </w:r>
      <w:r>
        <w:rPr>
          <w:spacing w:val="-10"/>
        </w:rPr>
        <w:t> </w:t>
      </w:r>
      <w:r>
        <w:rPr>
          <w:spacing w:val="-2"/>
        </w:rPr>
        <w:t>to</w:t>
      </w:r>
      <w:r>
        <w:rPr>
          <w:spacing w:val="-10"/>
        </w:rPr>
        <w:t> </w:t>
      </w:r>
      <w:r>
        <w:rPr>
          <w:spacing w:val="-2"/>
        </w:rPr>
        <w:t>achieve</w:t>
      </w:r>
      <w:r>
        <w:rPr>
          <w:spacing w:val="-10"/>
        </w:rPr>
        <w:t> </w:t>
      </w:r>
      <w:r>
        <w:rPr>
          <w:spacing w:val="-2"/>
        </w:rPr>
        <w:t>scale,</w:t>
      </w:r>
      <w:r>
        <w:rPr>
          <w:spacing w:val="-10"/>
        </w:rPr>
        <w:t> </w:t>
      </w:r>
      <w:r>
        <w:rPr>
          <w:spacing w:val="-2"/>
        </w:rPr>
        <w:t>it</w:t>
      </w:r>
      <w:r>
        <w:rPr>
          <w:spacing w:val="-10"/>
        </w:rPr>
        <w:t> </w:t>
      </w:r>
      <w:r>
        <w:rPr>
          <w:spacing w:val="-2"/>
        </w:rPr>
        <w:t>is</w:t>
      </w:r>
      <w:r>
        <w:rPr>
          <w:spacing w:val="-10"/>
        </w:rPr>
        <w:t> </w:t>
      </w:r>
      <w:r>
        <w:rPr>
          <w:spacing w:val="-2"/>
        </w:rPr>
        <w:t>necessary</w:t>
      </w:r>
      <w:r>
        <w:rPr>
          <w:spacing w:val="-10"/>
        </w:rPr>
        <w:t> </w:t>
      </w:r>
      <w:r>
        <w:rPr>
          <w:spacing w:val="-2"/>
        </w:rPr>
        <w:t>to</w:t>
      </w:r>
      <w:r>
        <w:rPr>
          <w:spacing w:val="-10"/>
        </w:rPr>
        <w:t> </w:t>
      </w:r>
      <w:r>
        <w:rPr>
          <w:spacing w:val="-2"/>
        </w:rPr>
        <w:t>create</w:t>
      </w:r>
      <w:r>
        <w:rPr>
          <w:spacing w:val="-10"/>
        </w:rPr>
        <w:t> </w:t>
      </w:r>
      <w:r>
        <w:rPr>
          <w:spacing w:val="-2"/>
        </w:rPr>
        <w:t>appropriate </w:t>
      </w:r>
      <w:r>
        <w:rPr/>
        <w:t>funding</w:t>
      </w:r>
      <w:r>
        <w:rPr>
          <w:spacing w:val="-9"/>
        </w:rPr>
        <w:t> </w:t>
      </w:r>
      <w:r>
        <w:rPr/>
        <w:t>mechanisms</w:t>
      </w:r>
      <w:r>
        <w:rPr>
          <w:spacing w:val="-9"/>
        </w:rPr>
        <w:t> </w:t>
      </w:r>
      <w:r>
        <w:rPr/>
        <w:t>that</w:t>
      </w:r>
      <w:r>
        <w:rPr>
          <w:spacing w:val="-9"/>
        </w:rPr>
        <w:t> </w:t>
      </w:r>
      <w:r>
        <w:rPr/>
        <w:t>catalyse</w:t>
      </w:r>
      <w:r>
        <w:rPr>
          <w:spacing w:val="-9"/>
        </w:rPr>
        <w:t> </w:t>
      </w:r>
      <w:r>
        <w:rPr/>
        <w:t>the</w:t>
      </w:r>
      <w:r>
        <w:rPr>
          <w:spacing w:val="-9"/>
        </w:rPr>
        <w:t> </w:t>
      </w:r>
      <w:r>
        <w:rPr/>
        <w:t>task</w:t>
      </w:r>
      <w:r>
        <w:rPr>
          <w:spacing w:val="-9"/>
        </w:rPr>
        <w:t> </w:t>
      </w:r>
      <w:r>
        <w:rPr/>
        <w:t>of</w:t>
      </w:r>
      <w:r>
        <w:rPr>
          <w:spacing w:val="-9"/>
        </w:rPr>
        <w:t> </w:t>
      </w:r>
      <w:r>
        <w:rPr/>
        <w:t>creating relevant R&amp;D. This will also encourage various industrial, academic and research institutions and engage</w:t>
      </w:r>
      <w:r>
        <w:rPr>
          <w:spacing w:val="-1"/>
        </w:rPr>
        <w:t> </w:t>
      </w:r>
      <w:r>
        <w:rPr/>
        <w:t>young</w:t>
      </w:r>
      <w:r>
        <w:rPr>
          <w:spacing w:val="-1"/>
        </w:rPr>
        <w:t> </w:t>
      </w:r>
      <w:r>
        <w:rPr/>
        <w:t>minds</w:t>
      </w:r>
      <w:r>
        <w:rPr>
          <w:spacing w:val="-1"/>
        </w:rPr>
        <w:t> </w:t>
      </w:r>
      <w:r>
        <w:rPr/>
        <w:t>in</w:t>
      </w:r>
      <w:r>
        <w:rPr>
          <w:spacing w:val="-1"/>
        </w:rPr>
        <w:t> </w:t>
      </w:r>
      <w:r>
        <w:rPr/>
        <w:t>a</w:t>
      </w:r>
      <w:r>
        <w:rPr>
          <w:spacing w:val="-1"/>
        </w:rPr>
        <w:t> </w:t>
      </w:r>
      <w:r>
        <w:rPr/>
        <w:t>critical,</w:t>
      </w:r>
      <w:r>
        <w:rPr>
          <w:spacing w:val="-1"/>
        </w:rPr>
        <w:t> </w:t>
      </w:r>
      <w:r>
        <w:rPr/>
        <w:t>if</w:t>
      </w:r>
      <w:r>
        <w:rPr>
          <w:spacing w:val="-1"/>
        </w:rPr>
        <w:t> </w:t>
      </w:r>
      <w:r>
        <w:rPr/>
        <w:t>often</w:t>
      </w:r>
      <w:r>
        <w:rPr>
          <w:spacing w:val="-1"/>
        </w:rPr>
        <w:t> </w:t>
      </w:r>
      <w:r>
        <w:rPr/>
        <w:t>overlooked part</w:t>
      </w:r>
      <w:r>
        <w:rPr>
          <w:spacing w:val="40"/>
        </w:rPr>
        <w:t> </w:t>
      </w:r>
      <w:r>
        <w:rPr/>
        <w:t>of</w:t>
      </w:r>
      <w:r>
        <w:rPr>
          <w:spacing w:val="40"/>
        </w:rPr>
        <w:t> </w:t>
      </w:r>
      <w:r>
        <w:rPr/>
        <w:t>the</w:t>
      </w:r>
      <w:r>
        <w:rPr>
          <w:spacing w:val="40"/>
        </w:rPr>
        <w:t> </w:t>
      </w:r>
      <w:r>
        <w:rPr/>
        <w:t>development</w:t>
      </w:r>
      <w:r>
        <w:rPr>
          <w:spacing w:val="40"/>
        </w:rPr>
        <w:t> </w:t>
      </w:r>
      <w:r>
        <w:rPr/>
        <w:t>process.</w:t>
      </w:r>
      <w:r>
        <w:rPr>
          <w:spacing w:val="40"/>
        </w:rPr>
        <w:t> </w:t>
      </w:r>
      <w:r>
        <w:rPr/>
        <w:t>From</w:t>
      </w:r>
      <w:r>
        <w:rPr>
          <w:spacing w:val="40"/>
        </w:rPr>
        <w:t> </w:t>
      </w:r>
      <w:r>
        <w:rPr/>
        <w:t>the</w:t>
      </w:r>
      <w:r>
        <w:rPr>
          <w:spacing w:val="40"/>
        </w:rPr>
        <w:t> </w:t>
      </w:r>
      <w:r>
        <w:rPr/>
        <w:t>point of view of the beneficiaries, the incorporation of redesigned</w:t>
      </w:r>
      <w:r>
        <w:rPr>
          <w:spacing w:val="-14"/>
        </w:rPr>
        <w:t> </w:t>
      </w:r>
      <w:r>
        <w:rPr/>
        <w:t>tools</w:t>
      </w:r>
      <w:r>
        <w:rPr>
          <w:spacing w:val="-14"/>
        </w:rPr>
        <w:t> </w:t>
      </w:r>
      <w:r>
        <w:rPr/>
        <w:t>and</w:t>
      </w:r>
      <w:r>
        <w:rPr>
          <w:spacing w:val="-14"/>
        </w:rPr>
        <w:t> </w:t>
      </w:r>
      <w:r>
        <w:rPr/>
        <w:t>related</w:t>
      </w:r>
      <w:r>
        <w:rPr>
          <w:spacing w:val="-13"/>
        </w:rPr>
        <w:t> </w:t>
      </w:r>
      <w:r>
        <w:rPr/>
        <w:t>R&amp;D</w:t>
      </w:r>
      <w:r>
        <w:rPr>
          <w:spacing w:val="-14"/>
        </w:rPr>
        <w:t> </w:t>
      </w:r>
      <w:r>
        <w:rPr/>
        <w:t>within</w:t>
      </w:r>
      <w:r>
        <w:rPr>
          <w:spacing w:val="-14"/>
        </w:rPr>
        <w:t> </w:t>
      </w:r>
      <w:r>
        <w:rPr/>
        <w:t>the</w:t>
      </w:r>
      <w:r>
        <w:rPr>
          <w:spacing w:val="-14"/>
        </w:rPr>
        <w:t> </w:t>
      </w:r>
      <w:r>
        <w:rPr/>
        <w:t>structure of an employment scheme (such as NREGA), would </w:t>
      </w:r>
      <w:r>
        <w:rPr>
          <w:spacing w:val="-8"/>
        </w:rPr>
        <w:t>facilitate</w:t>
      </w:r>
      <w:r>
        <w:rPr/>
        <w:t> </w:t>
      </w:r>
      <w:r>
        <w:rPr>
          <w:spacing w:val="-8"/>
        </w:rPr>
        <w:t>easy</w:t>
      </w:r>
      <w:r>
        <w:rPr/>
        <w:t> </w:t>
      </w:r>
      <w:r>
        <w:rPr>
          <w:spacing w:val="-8"/>
        </w:rPr>
        <w:t>access</w:t>
      </w:r>
      <w:r>
        <w:rPr/>
        <w:t> </w:t>
      </w:r>
      <w:r>
        <w:rPr>
          <w:spacing w:val="-8"/>
        </w:rPr>
        <w:t>and</w:t>
      </w:r>
      <w:r>
        <w:rPr/>
        <w:t> </w:t>
      </w:r>
      <w:r>
        <w:rPr>
          <w:spacing w:val="-8"/>
        </w:rPr>
        <w:t>also</w:t>
      </w:r>
      <w:r>
        <w:rPr/>
        <w:t> </w:t>
      </w:r>
      <w:r>
        <w:rPr>
          <w:spacing w:val="-8"/>
        </w:rPr>
        <w:t>encourage</w:t>
      </w:r>
      <w:r>
        <w:rPr/>
        <w:t> </w:t>
      </w:r>
      <w:r>
        <w:rPr>
          <w:spacing w:val="-8"/>
        </w:rPr>
        <w:t>R&amp;D</w:t>
      </w:r>
      <w:r>
        <w:rPr/>
        <w:t> </w:t>
      </w:r>
      <w:r>
        <w:rPr>
          <w:spacing w:val="-8"/>
        </w:rPr>
        <w:t>providers. </w:t>
      </w:r>
      <w:r>
        <w:rPr/>
        <w:t>Within</w:t>
      </w:r>
      <w:r>
        <w:rPr>
          <w:spacing w:val="-12"/>
        </w:rPr>
        <w:t> </w:t>
      </w:r>
      <w:r>
        <w:rPr/>
        <w:t>a</w:t>
      </w:r>
      <w:r>
        <w:rPr>
          <w:spacing w:val="-12"/>
        </w:rPr>
        <w:t> </w:t>
      </w:r>
      <w:r>
        <w:rPr/>
        <w:t>program</w:t>
      </w:r>
      <w:r>
        <w:rPr>
          <w:spacing w:val="-12"/>
        </w:rPr>
        <w:t> </w:t>
      </w:r>
      <w:r>
        <w:rPr/>
        <w:t>like</w:t>
      </w:r>
      <w:r>
        <w:rPr>
          <w:spacing w:val="-12"/>
        </w:rPr>
        <w:t> </w:t>
      </w:r>
      <w:r>
        <w:rPr/>
        <w:t>the</w:t>
      </w:r>
      <w:r>
        <w:rPr>
          <w:spacing w:val="-12"/>
        </w:rPr>
        <w:t> </w:t>
      </w:r>
      <w:r>
        <w:rPr/>
        <w:t>NREGA,</w:t>
      </w:r>
      <w:r>
        <w:rPr>
          <w:spacing w:val="-12"/>
        </w:rPr>
        <w:t> </w:t>
      </w:r>
      <w:r>
        <w:rPr/>
        <w:t>there</w:t>
      </w:r>
      <w:r>
        <w:rPr>
          <w:spacing w:val="-12"/>
        </w:rPr>
        <w:t> </w:t>
      </w:r>
      <w:r>
        <w:rPr/>
        <w:t>is</w:t>
      </w:r>
      <w:r>
        <w:rPr>
          <w:spacing w:val="-12"/>
        </w:rPr>
        <w:t> </w:t>
      </w:r>
      <w:r>
        <w:rPr/>
        <w:t>a</w:t>
      </w:r>
      <w:r>
        <w:rPr>
          <w:spacing w:val="-12"/>
        </w:rPr>
        <w:t> </w:t>
      </w:r>
      <w:r>
        <w:rPr/>
        <w:t>need</w:t>
      </w:r>
      <w:r>
        <w:rPr>
          <w:spacing w:val="-12"/>
        </w:rPr>
        <w:t> </w:t>
      </w:r>
      <w:r>
        <w:rPr/>
        <w:t>for appropriate</w:t>
      </w:r>
      <w:r>
        <w:rPr>
          <w:spacing w:val="-9"/>
        </w:rPr>
        <w:t> </w:t>
      </w:r>
      <w:r>
        <w:rPr/>
        <w:t>designs</w:t>
      </w:r>
      <w:r>
        <w:rPr>
          <w:spacing w:val="-9"/>
        </w:rPr>
        <w:t> </w:t>
      </w:r>
      <w:r>
        <w:rPr/>
        <w:t>of</w:t>
      </w:r>
      <w:r>
        <w:rPr>
          <w:spacing w:val="-9"/>
        </w:rPr>
        <w:t> </w:t>
      </w:r>
      <w:r>
        <w:rPr/>
        <w:t>tools</w:t>
      </w:r>
      <w:r>
        <w:rPr>
          <w:spacing w:val="-9"/>
        </w:rPr>
        <w:t> </w:t>
      </w:r>
      <w:r>
        <w:rPr/>
        <w:t>for</w:t>
      </w:r>
      <w:r>
        <w:rPr>
          <w:spacing w:val="-9"/>
        </w:rPr>
        <w:t> </w:t>
      </w:r>
      <w:r>
        <w:rPr/>
        <w:t>women,</w:t>
      </w:r>
      <w:r>
        <w:rPr>
          <w:spacing w:val="-9"/>
        </w:rPr>
        <w:t> </w:t>
      </w:r>
      <w:r>
        <w:rPr/>
        <w:t>as</w:t>
      </w:r>
      <w:r>
        <w:rPr>
          <w:spacing w:val="-9"/>
        </w:rPr>
        <w:t> </w:t>
      </w:r>
      <w:r>
        <w:rPr/>
        <w:t>well</w:t>
      </w:r>
      <w:r>
        <w:rPr>
          <w:spacing w:val="-9"/>
        </w:rPr>
        <w:t> </w:t>
      </w:r>
      <w:r>
        <w:rPr/>
        <w:t>as</w:t>
      </w:r>
      <w:r>
        <w:rPr>
          <w:spacing w:val="-9"/>
        </w:rPr>
        <w:t> </w:t>
      </w:r>
      <w:r>
        <w:rPr/>
        <w:t>for those</w:t>
      </w:r>
      <w:r>
        <w:rPr>
          <w:spacing w:val="-8"/>
        </w:rPr>
        <w:t> </w:t>
      </w:r>
      <w:r>
        <w:rPr/>
        <w:t>who</w:t>
      </w:r>
      <w:r>
        <w:rPr>
          <w:spacing w:val="-8"/>
        </w:rPr>
        <w:t> </w:t>
      </w:r>
      <w:r>
        <w:rPr/>
        <w:t>are</w:t>
      </w:r>
      <w:r>
        <w:rPr>
          <w:spacing w:val="-8"/>
        </w:rPr>
        <w:t> </w:t>
      </w:r>
      <w:r>
        <w:rPr/>
        <w:t>physically</w:t>
      </w:r>
      <w:r>
        <w:rPr>
          <w:spacing w:val="-8"/>
        </w:rPr>
        <w:t> </w:t>
      </w:r>
      <w:r>
        <w:rPr/>
        <w:t>weak</w:t>
      </w:r>
      <w:r>
        <w:rPr>
          <w:spacing w:val="-8"/>
        </w:rPr>
        <w:t> </w:t>
      </w:r>
      <w:r>
        <w:rPr/>
        <w:t>and</w:t>
      </w:r>
      <w:r>
        <w:rPr>
          <w:spacing w:val="-8"/>
        </w:rPr>
        <w:t> </w:t>
      </w:r>
      <w:r>
        <w:rPr/>
        <w:t>caught</w:t>
      </w:r>
      <w:r>
        <w:rPr>
          <w:spacing w:val="-8"/>
        </w:rPr>
        <w:t> </w:t>
      </w:r>
      <w:r>
        <w:rPr/>
        <w:t>in</w:t>
      </w:r>
      <w:r>
        <w:rPr>
          <w:spacing w:val="-8"/>
        </w:rPr>
        <w:t> </w:t>
      </w:r>
      <w:r>
        <w:rPr/>
        <w:t>a</w:t>
      </w:r>
      <w:r>
        <w:rPr>
          <w:spacing w:val="-8"/>
        </w:rPr>
        <w:t> </w:t>
      </w:r>
      <w:r>
        <w:rPr>
          <w:spacing w:val="-6"/>
        </w:rPr>
        <w:t>vicious</w:t>
      </w:r>
    </w:p>
    <w:p>
      <w:pPr>
        <w:pStyle w:val="BodyText"/>
        <w:spacing w:line="266" w:lineRule="auto" w:before="57"/>
        <w:ind w:left="319" w:right="1077"/>
        <w:jc w:val="both"/>
      </w:pPr>
      <w:r>
        <w:rPr/>
        <w:br w:type="column"/>
      </w:r>
      <w:r>
        <w:rPr>
          <w:spacing w:val="-2"/>
        </w:rPr>
        <w:t>cycle</w:t>
      </w:r>
      <w:r>
        <w:rPr>
          <w:spacing w:val="-7"/>
        </w:rPr>
        <w:t> </w:t>
      </w:r>
      <w:r>
        <w:rPr>
          <w:spacing w:val="-2"/>
        </w:rPr>
        <w:t>of</w:t>
      </w:r>
      <w:r>
        <w:rPr>
          <w:spacing w:val="-7"/>
        </w:rPr>
        <w:t> </w:t>
      </w:r>
      <w:r>
        <w:rPr>
          <w:spacing w:val="-2"/>
        </w:rPr>
        <w:t>low</w:t>
      </w:r>
      <w:r>
        <w:rPr>
          <w:spacing w:val="-7"/>
        </w:rPr>
        <w:t> </w:t>
      </w:r>
      <w:r>
        <w:rPr>
          <w:spacing w:val="-2"/>
        </w:rPr>
        <w:t>nutrition</w:t>
      </w:r>
      <w:r>
        <w:rPr>
          <w:spacing w:val="-7"/>
        </w:rPr>
        <w:t> </w:t>
      </w:r>
      <w:r>
        <w:rPr>
          <w:spacing w:val="-2"/>
        </w:rPr>
        <w:t>and</w:t>
      </w:r>
      <w:r>
        <w:rPr>
          <w:spacing w:val="-7"/>
        </w:rPr>
        <w:t> </w:t>
      </w:r>
      <w:r>
        <w:rPr>
          <w:spacing w:val="-2"/>
        </w:rPr>
        <w:t>reduced</w:t>
      </w:r>
      <w:r>
        <w:rPr>
          <w:spacing w:val="-7"/>
        </w:rPr>
        <w:t> </w:t>
      </w:r>
      <w:r>
        <w:rPr>
          <w:spacing w:val="-2"/>
        </w:rPr>
        <w:t>physical</w:t>
      </w:r>
      <w:r>
        <w:rPr>
          <w:spacing w:val="-7"/>
        </w:rPr>
        <w:t> </w:t>
      </w:r>
      <w:r>
        <w:rPr>
          <w:spacing w:val="-2"/>
        </w:rPr>
        <w:t>efficiency. </w:t>
      </w:r>
      <w:r>
        <w:rPr/>
        <w:t>The proposed Skill Development Mission could also create mechanisms to encourage the redesigning of such tools. Further, in this respect, it is necessary to incentivise private sector producers and importers of </w:t>
      </w:r>
      <w:r>
        <w:rPr>
          <w:spacing w:val="-2"/>
        </w:rPr>
        <w:t>low-cost cutting-edge, human dignity-enhancing tools </w:t>
      </w:r>
      <w:r>
        <w:rPr>
          <w:spacing w:val="-6"/>
        </w:rPr>
        <w:t>and implements. Incentives such as tax and duty policies </w:t>
      </w:r>
      <w:r>
        <w:rPr>
          <w:spacing w:val="-4"/>
        </w:rPr>
        <w:t>favourable</w:t>
      </w:r>
      <w:r>
        <w:rPr>
          <w:spacing w:val="-6"/>
        </w:rPr>
        <w:t> </w:t>
      </w:r>
      <w:r>
        <w:rPr>
          <w:spacing w:val="-4"/>
        </w:rPr>
        <w:t>to</w:t>
      </w:r>
      <w:r>
        <w:rPr>
          <w:spacing w:val="-6"/>
        </w:rPr>
        <w:t> </w:t>
      </w:r>
      <w:r>
        <w:rPr>
          <w:spacing w:val="-4"/>
        </w:rPr>
        <w:t>local</w:t>
      </w:r>
      <w:r>
        <w:rPr>
          <w:spacing w:val="-6"/>
        </w:rPr>
        <w:t> </w:t>
      </w:r>
      <w:r>
        <w:rPr>
          <w:spacing w:val="-4"/>
        </w:rPr>
        <w:t>production</w:t>
      </w:r>
      <w:r>
        <w:rPr>
          <w:spacing w:val="-6"/>
        </w:rPr>
        <w:t> </w:t>
      </w:r>
      <w:r>
        <w:rPr>
          <w:spacing w:val="-4"/>
        </w:rPr>
        <w:t>as</w:t>
      </w:r>
      <w:r>
        <w:rPr>
          <w:spacing w:val="-6"/>
        </w:rPr>
        <w:t> </w:t>
      </w:r>
      <w:r>
        <w:rPr>
          <w:spacing w:val="-4"/>
        </w:rPr>
        <w:t>well</w:t>
      </w:r>
      <w:r>
        <w:rPr>
          <w:spacing w:val="-6"/>
        </w:rPr>
        <w:t> </w:t>
      </w:r>
      <w:r>
        <w:rPr>
          <w:spacing w:val="-4"/>
        </w:rPr>
        <w:t>as</w:t>
      </w:r>
      <w:r>
        <w:rPr>
          <w:spacing w:val="-6"/>
        </w:rPr>
        <w:t> </w:t>
      </w:r>
      <w:r>
        <w:rPr>
          <w:spacing w:val="-4"/>
        </w:rPr>
        <w:t>low-cost</w:t>
      </w:r>
      <w:r>
        <w:rPr>
          <w:spacing w:val="-6"/>
        </w:rPr>
        <w:t> </w:t>
      </w:r>
      <w:r>
        <w:rPr>
          <w:spacing w:val="-4"/>
        </w:rPr>
        <w:t>loans </w:t>
      </w:r>
      <w:r>
        <w:rPr/>
        <w:t>for</w:t>
      </w:r>
      <w:r>
        <w:rPr>
          <w:spacing w:val="-4"/>
        </w:rPr>
        <w:t> </w:t>
      </w:r>
      <w:r>
        <w:rPr/>
        <w:t>buying</w:t>
      </w:r>
      <w:r>
        <w:rPr>
          <w:spacing w:val="-4"/>
        </w:rPr>
        <w:t> </w:t>
      </w:r>
      <w:r>
        <w:rPr/>
        <w:t>such</w:t>
      </w:r>
      <w:r>
        <w:rPr>
          <w:spacing w:val="-4"/>
        </w:rPr>
        <w:t> </w:t>
      </w:r>
      <w:r>
        <w:rPr/>
        <w:t>tools</w:t>
      </w:r>
      <w:r>
        <w:rPr>
          <w:spacing w:val="-4"/>
        </w:rPr>
        <w:t> </w:t>
      </w:r>
      <w:r>
        <w:rPr/>
        <w:t>should</w:t>
      </w:r>
      <w:r>
        <w:rPr>
          <w:spacing w:val="-4"/>
        </w:rPr>
        <w:t> </w:t>
      </w:r>
      <w:r>
        <w:rPr/>
        <w:t>also</w:t>
      </w:r>
      <w:r>
        <w:rPr>
          <w:spacing w:val="-4"/>
        </w:rPr>
        <w:t> </w:t>
      </w:r>
      <w:r>
        <w:rPr/>
        <w:t>be</w:t>
      </w:r>
      <w:r>
        <w:rPr>
          <w:spacing w:val="-4"/>
        </w:rPr>
        <w:t> </w:t>
      </w:r>
      <w:r>
        <w:rPr/>
        <w:t>considered.</w:t>
      </w:r>
    </w:p>
    <w:p>
      <w:pPr>
        <w:pStyle w:val="BodyText"/>
        <w:spacing w:before="5"/>
      </w:pPr>
    </w:p>
    <w:p>
      <w:pPr>
        <w:pStyle w:val="Heading6"/>
        <w:numPr>
          <w:ilvl w:val="0"/>
          <w:numId w:val="66"/>
        </w:numPr>
        <w:tabs>
          <w:tab w:pos="657" w:val="left" w:leader="none"/>
        </w:tabs>
        <w:spacing w:line="208" w:lineRule="auto" w:before="1" w:after="0"/>
        <w:ind w:left="657" w:right="2401" w:hanging="338"/>
        <w:jc w:val="left"/>
      </w:pPr>
      <w:r>
        <w:rPr>
          <w:color w:val="2E614A"/>
          <w:spacing w:val="-12"/>
        </w:rPr>
        <w:t>Training</w:t>
      </w:r>
      <w:r>
        <w:rPr>
          <w:color w:val="2E614A"/>
          <w:spacing w:val="-8"/>
        </w:rPr>
        <w:t> </w:t>
      </w:r>
      <w:r>
        <w:rPr>
          <w:color w:val="2E614A"/>
          <w:spacing w:val="-12"/>
        </w:rPr>
        <w:t>and</w:t>
      </w:r>
      <w:r>
        <w:rPr>
          <w:color w:val="2E614A"/>
          <w:spacing w:val="-8"/>
        </w:rPr>
        <w:t> </w:t>
      </w:r>
      <w:r>
        <w:rPr>
          <w:color w:val="2E614A"/>
          <w:spacing w:val="-12"/>
        </w:rPr>
        <w:t>Upskilling </w:t>
      </w:r>
      <w:r>
        <w:rPr>
          <w:color w:val="2E614A"/>
          <w:spacing w:val="-2"/>
        </w:rPr>
        <w:t>Manpower</w:t>
      </w:r>
    </w:p>
    <w:p>
      <w:pPr>
        <w:pStyle w:val="BodyText"/>
        <w:spacing w:line="266" w:lineRule="auto" w:before="294"/>
        <w:ind w:left="319" w:right="1077"/>
        <w:jc w:val="both"/>
      </w:pPr>
      <w:r>
        <w:rPr/>
        <w:t>In order to harness the true potential of India’s </w:t>
      </w:r>
      <w:r>
        <w:rPr>
          <w:spacing w:val="-2"/>
        </w:rPr>
        <w:t>demographic</w:t>
      </w:r>
      <w:r>
        <w:rPr>
          <w:spacing w:val="-10"/>
        </w:rPr>
        <w:t> </w:t>
      </w:r>
      <w:r>
        <w:rPr>
          <w:spacing w:val="-2"/>
        </w:rPr>
        <w:t>dividend,</w:t>
      </w:r>
      <w:r>
        <w:rPr>
          <w:spacing w:val="-10"/>
        </w:rPr>
        <w:t> </w:t>
      </w:r>
      <w:r>
        <w:rPr>
          <w:spacing w:val="-2"/>
        </w:rPr>
        <w:t>we</w:t>
      </w:r>
      <w:r>
        <w:rPr>
          <w:spacing w:val="-10"/>
        </w:rPr>
        <w:t> </w:t>
      </w:r>
      <w:r>
        <w:rPr>
          <w:spacing w:val="-2"/>
        </w:rPr>
        <w:t>have</w:t>
      </w:r>
      <w:r>
        <w:rPr>
          <w:spacing w:val="-10"/>
        </w:rPr>
        <w:t> </w:t>
      </w:r>
      <w:r>
        <w:rPr>
          <w:spacing w:val="-2"/>
        </w:rPr>
        <w:t>highlighted</w:t>
      </w:r>
      <w:r>
        <w:rPr>
          <w:spacing w:val="-10"/>
        </w:rPr>
        <w:t> </w:t>
      </w:r>
      <w:r>
        <w:rPr>
          <w:spacing w:val="-2"/>
        </w:rPr>
        <w:t>the</w:t>
      </w:r>
      <w:r>
        <w:rPr>
          <w:spacing w:val="-10"/>
        </w:rPr>
        <w:t> </w:t>
      </w:r>
      <w:r>
        <w:rPr>
          <w:spacing w:val="-2"/>
        </w:rPr>
        <w:t>urgent need</w:t>
      </w:r>
      <w:r>
        <w:rPr>
          <w:spacing w:val="-11"/>
        </w:rPr>
        <w:t> </w:t>
      </w:r>
      <w:r>
        <w:rPr>
          <w:spacing w:val="-2"/>
        </w:rPr>
        <w:t>to</w:t>
      </w:r>
      <w:r>
        <w:rPr>
          <w:spacing w:val="-11"/>
        </w:rPr>
        <w:t> </w:t>
      </w:r>
      <w:r>
        <w:rPr>
          <w:spacing w:val="-2"/>
        </w:rPr>
        <w:t>produce</w:t>
      </w:r>
      <w:r>
        <w:rPr>
          <w:spacing w:val="-11"/>
        </w:rPr>
        <w:t> </w:t>
      </w:r>
      <w:r>
        <w:rPr>
          <w:spacing w:val="-2"/>
        </w:rPr>
        <w:t>skilled</w:t>
      </w:r>
      <w:r>
        <w:rPr>
          <w:spacing w:val="-11"/>
        </w:rPr>
        <w:t> </w:t>
      </w:r>
      <w:r>
        <w:rPr>
          <w:spacing w:val="-2"/>
        </w:rPr>
        <w:t>manpower</w:t>
      </w:r>
      <w:r>
        <w:rPr>
          <w:spacing w:val="-11"/>
        </w:rPr>
        <w:t> </w:t>
      </w:r>
      <w:r>
        <w:rPr>
          <w:spacing w:val="-2"/>
        </w:rPr>
        <w:t>and</w:t>
      </w:r>
      <w:r>
        <w:rPr>
          <w:spacing w:val="-11"/>
        </w:rPr>
        <w:t> </w:t>
      </w:r>
      <w:r>
        <w:rPr>
          <w:spacing w:val="-2"/>
        </w:rPr>
        <w:t>upgrade</w:t>
      </w:r>
      <w:r>
        <w:rPr>
          <w:spacing w:val="-11"/>
        </w:rPr>
        <w:t> </w:t>
      </w:r>
      <w:r>
        <w:rPr>
          <w:spacing w:val="-2"/>
        </w:rPr>
        <w:t>human </w:t>
      </w:r>
      <w:r>
        <w:rPr/>
        <w:t>resources. In this respect, as a means of encouraging the use of ergonomic tools and skill development, </w:t>
      </w:r>
      <w:r>
        <w:rPr>
          <w:spacing w:val="-2"/>
        </w:rPr>
        <w:t>schemes</w:t>
      </w:r>
      <w:r>
        <w:rPr>
          <w:spacing w:val="-10"/>
        </w:rPr>
        <w:t> </w:t>
      </w:r>
      <w:r>
        <w:rPr>
          <w:spacing w:val="-2"/>
        </w:rPr>
        <w:t>for</w:t>
      </w:r>
      <w:r>
        <w:rPr>
          <w:spacing w:val="-10"/>
        </w:rPr>
        <w:t> </w:t>
      </w:r>
      <w:r>
        <w:rPr>
          <w:spacing w:val="-2"/>
        </w:rPr>
        <w:t>lifelong</w:t>
      </w:r>
      <w:r>
        <w:rPr>
          <w:spacing w:val="-10"/>
        </w:rPr>
        <w:t> </w:t>
      </w:r>
      <w:r>
        <w:rPr>
          <w:spacing w:val="-2"/>
        </w:rPr>
        <w:t>skill</w:t>
      </w:r>
      <w:r>
        <w:rPr>
          <w:spacing w:val="-10"/>
        </w:rPr>
        <w:t> </w:t>
      </w:r>
      <w:r>
        <w:rPr>
          <w:spacing w:val="-2"/>
        </w:rPr>
        <w:t>upgradation</w:t>
      </w:r>
      <w:r>
        <w:rPr>
          <w:spacing w:val="-10"/>
        </w:rPr>
        <w:t> </w:t>
      </w:r>
      <w:r>
        <w:rPr>
          <w:spacing w:val="-2"/>
        </w:rPr>
        <w:t>through</w:t>
      </w:r>
      <w:r>
        <w:rPr>
          <w:spacing w:val="-10"/>
        </w:rPr>
        <w:t> </w:t>
      </w:r>
      <w:r>
        <w:rPr>
          <w:spacing w:val="-2"/>
        </w:rPr>
        <w:t>training </w:t>
      </w:r>
      <w:r>
        <w:rPr>
          <w:spacing w:val="-4"/>
        </w:rPr>
        <w:t>programs</w:t>
      </w:r>
      <w:r>
        <w:rPr>
          <w:spacing w:val="-10"/>
        </w:rPr>
        <w:t> </w:t>
      </w:r>
      <w:r>
        <w:rPr>
          <w:spacing w:val="-4"/>
        </w:rPr>
        <w:t>must</w:t>
      </w:r>
      <w:r>
        <w:rPr>
          <w:spacing w:val="-10"/>
        </w:rPr>
        <w:t> </w:t>
      </w:r>
      <w:r>
        <w:rPr>
          <w:spacing w:val="-4"/>
        </w:rPr>
        <w:t>also</w:t>
      </w:r>
      <w:r>
        <w:rPr>
          <w:spacing w:val="-10"/>
        </w:rPr>
        <w:t> </w:t>
      </w:r>
      <w:r>
        <w:rPr>
          <w:spacing w:val="-4"/>
        </w:rPr>
        <w:t>be</w:t>
      </w:r>
      <w:r>
        <w:rPr>
          <w:spacing w:val="-9"/>
        </w:rPr>
        <w:t> </w:t>
      </w:r>
      <w:r>
        <w:rPr>
          <w:spacing w:val="-4"/>
        </w:rPr>
        <w:t>available</w:t>
      </w:r>
      <w:r>
        <w:rPr>
          <w:spacing w:val="-10"/>
        </w:rPr>
        <w:t> </w:t>
      </w:r>
      <w:r>
        <w:rPr>
          <w:spacing w:val="-4"/>
        </w:rPr>
        <w:t>for</w:t>
      </w:r>
      <w:r>
        <w:rPr>
          <w:spacing w:val="-10"/>
        </w:rPr>
        <w:t> </w:t>
      </w:r>
      <w:r>
        <w:rPr>
          <w:spacing w:val="-4"/>
        </w:rPr>
        <w:t>workers</w:t>
      </w:r>
      <w:r>
        <w:rPr>
          <w:spacing w:val="-10"/>
        </w:rPr>
        <w:t> </w:t>
      </w:r>
      <w:r>
        <w:rPr>
          <w:spacing w:val="-4"/>
        </w:rPr>
        <w:t>engaged</w:t>
      </w:r>
      <w:r>
        <w:rPr>
          <w:spacing w:val="-9"/>
        </w:rPr>
        <w:t> </w:t>
      </w:r>
      <w:r>
        <w:rPr>
          <w:spacing w:val="-4"/>
        </w:rPr>
        <w:t>in manual labour. Further, such training must be available </w:t>
      </w:r>
      <w:r>
        <w:rPr>
          <w:spacing w:val="-2"/>
        </w:rPr>
        <w:t>locally</w:t>
      </w:r>
      <w:r>
        <w:rPr>
          <w:spacing w:val="-5"/>
        </w:rPr>
        <w:t> </w:t>
      </w:r>
      <w:r>
        <w:rPr>
          <w:spacing w:val="-2"/>
        </w:rPr>
        <w:t>to</w:t>
      </w:r>
      <w:r>
        <w:rPr>
          <w:spacing w:val="-5"/>
        </w:rPr>
        <w:t> </w:t>
      </w:r>
      <w:r>
        <w:rPr>
          <w:spacing w:val="-2"/>
        </w:rPr>
        <w:t>enhance</w:t>
      </w:r>
      <w:r>
        <w:rPr>
          <w:spacing w:val="-5"/>
        </w:rPr>
        <w:t> </w:t>
      </w:r>
      <w:r>
        <w:rPr>
          <w:spacing w:val="-2"/>
        </w:rPr>
        <w:t>access,</w:t>
      </w:r>
      <w:r>
        <w:rPr>
          <w:spacing w:val="-5"/>
        </w:rPr>
        <w:t> </w:t>
      </w:r>
      <w:r>
        <w:rPr>
          <w:spacing w:val="-2"/>
        </w:rPr>
        <w:t>taking</w:t>
      </w:r>
      <w:r>
        <w:rPr>
          <w:spacing w:val="-5"/>
        </w:rPr>
        <w:t> </w:t>
      </w:r>
      <w:r>
        <w:rPr>
          <w:spacing w:val="-2"/>
        </w:rPr>
        <w:t>into</w:t>
      </w:r>
      <w:r>
        <w:rPr>
          <w:spacing w:val="-5"/>
        </w:rPr>
        <w:t> </w:t>
      </w:r>
      <w:r>
        <w:rPr>
          <w:spacing w:val="-2"/>
        </w:rPr>
        <w:t>account</w:t>
      </w:r>
      <w:r>
        <w:rPr>
          <w:spacing w:val="-5"/>
        </w:rPr>
        <w:t> </w:t>
      </w:r>
      <w:r>
        <w:rPr>
          <w:spacing w:val="-2"/>
        </w:rPr>
        <w:t>context- </w:t>
      </w:r>
      <w:r>
        <w:rPr/>
        <w:t>based technical and planning specifics.</w:t>
      </w:r>
    </w:p>
    <w:p>
      <w:pPr>
        <w:pStyle w:val="Heading6"/>
        <w:numPr>
          <w:ilvl w:val="0"/>
          <w:numId w:val="66"/>
        </w:numPr>
        <w:tabs>
          <w:tab w:pos="644" w:val="left" w:leader="none"/>
        </w:tabs>
        <w:spacing w:line="240" w:lineRule="auto" w:before="218" w:after="0"/>
        <w:ind w:left="644" w:right="0" w:hanging="325"/>
        <w:jc w:val="left"/>
      </w:pPr>
      <w:r>
        <w:rPr>
          <w:color w:val="2E614A"/>
          <w:w w:val="90"/>
        </w:rPr>
        <w:t>Portals</w:t>
      </w:r>
      <w:r>
        <w:rPr>
          <w:color w:val="2E614A"/>
          <w:spacing w:val="2"/>
        </w:rPr>
        <w:t> </w:t>
      </w:r>
      <w:r>
        <w:rPr>
          <w:color w:val="2E614A"/>
          <w:w w:val="90"/>
        </w:rPr>
        <w:t>and</w:t>
      </w:r>
      <w:r>
        <w:rPr>
          <w:color w:val="2E614A"/>
          <w:spacing w:val="2"/>
        </w:rPr>
        <w:t> </w:t>
      </w:r>
      <w:r>
        <w:rPr>
          <w:color w:val="2E614A"/>
          <w:w w:val="90"/>
        </w:rPr>
        <w:t>Guilds</w:t>
      </w:r>
      <w:r>
        <w:rPr>
          <w:color w:val="2E614A"/>
          <w:spacing w:val="3"/>
        </w:rPr>
        <w:t> </w:t>
      </w:r>
      <w:r>
        <w:rPr>
          <w:color w:val="2E614A"/>
          <w:w w:val="90"/>
        </w:rPr>
        <w:t>for</w:t>
      </w:r>
      <w:r>
        <w:rPr>
          <w:color w:val="2E614A"/>
          <w:spacing w:val="-1"/>
          <w:w w:val="90"/>
        </w:rPr>
        <w:t> </w:t>
      </w:r>
      <w:r>
        <w:rPr>
          <w:color w:val="2E614A"/>
          <w:spacing w:val="-2"/>
          <w:w w:val="90"/>
        </w:rPr>
        <w:t>Workers</w:t>
      </w:r>
    </w:p>
    <w:p>
      <w:pPr>
        <w:pStyle w:val="BodyText"/>
        <w:spacing w:line="266" w:lineRule="auto" w:before="286"/>
        <w:ind w:left="319" w:right="1077"/>
        <w:jc w:val="both"/>
      </w:pPr>
      <w:r>
        <w:rPr>
          <w:spacing w:val="-4"/>
        </w:rPr>
        <w:t>Creating</w:t>
      </w:r>
      <w:r>
        <w:rPr>
          <w:spacing w:val="-10"/>
        </w:rPr>
        <w:t> </w:t>
      </w:r>
      <w:r>
        <w:rPr>
          <w:spacing w:val="-4"/>
        </w:rPr>
        <w:t>portals</w:t>
      </w:r>
      <w:r>
        <w:rPr>
          <w:spacing w:val="-9"/>
        </w:rPr>
        <w:t> </w:t>
      </w:r>
      <w:r>
        <w:rPr>
          <w:spacing w:val="-4"/>
        </w:rPr>
        <w:t>and</w:t>
      </w:r>
      <w:r>
        <w:rPr>
          <w:spacing w:val="-10"/>
        </w:rPr>
        <w:t> </w:t>
      </w:r>
      <w:r>
        <w:rPr>
          <w:spacing w:val="-4"/>
        </w:rPr>
        <w:t>guilds</w:t>
      </w:r>
      <w:r>
        <w:rPr>
          <w:spacing w:val="-9"/>
        </w:rPr>
        <w:t> </w:t>
      </w:r>
      <w:r>
        <w:rPr>
          <w:spacing w:val="-4"/>
        </w:rPr>
        <w:t>for</w:t>
      </w:r>
      <w:r>
        <w:rPr>
          <w:spacing w:val="-10"/>
        </w:rPr>
        <w:t> </w:t>
      </w:r>
      <w:r>
        <w:rPr>
          <w:spacing w:val="-4"/>
        </w:rPr>
        <w:t>workers</w:t>
      </w:r>
      <w:r>
        <w:rPr>
          <w:spacing w:val="-9"/>
        </w:rPr>
        <w:t> </w:t>
      </w:r>
      <w:r>
        <w:rPr>
          <w:spacing w:val="-4"/>
        </w:rPr>
        <w:t>will</w:t>
      </w:r>
      <w:r>
        <w:rPr>
          <w:spacing w:val="-10"/>
        </w:rPr>
        <w:t> </w:t>
      </w:r>
      <w:r>
        <w:rPr>
          <w:spacing w:val="-4"/>
        </w:rPr>
        <w:t>enable</w:t>
      </w:r>
      <w:r>
        <w:rPr>
          <w:spacing w:val="-9"/>
        </w:rPr>
        <w:t> </w:t>
      </w:r>
      <w:r>
        <w:rPr>
          <w:spacing w:val="-4"/>
        </w:rPr>
        <w:t>easy </w:t>
      </w:r>
      <w:r>
        <w:rPr/>
        <w:t>access of information on the availability of jobs and </w:t>
      </w:r>
      <w:r>
        <w:rPr>
          <w:spacing w:val="-2"/>
        </w:rPr>
        <w:t>also</w:t>
      </w:r>
      <w:r>
        <w:rPr>
          <w:spacing w:val="-9"/>
        </w:rPr>
        <w:t> </w:t>
      </w:r>
      <w:r>
        <w:rPr>
          <w:spacing w:val="-2"/>
        </w:rPr>
        <w:t>facilitate</w:t>
      </w:r>
      <w:r>
        <w:rPr>
          <w:spacing w:val="-9"/>
        </w:rPr>
        <w:t> </w:t>
      </w:r>
      <w:r>
        <w:rPr>
          <w:spacing w:val="-2"/>
        </w:rPr>
        <w:t>transactions</w:t>
      </w:r>
      <w:r>
        <w:rPr>
          <w:spacing w:val="-9"/>
        </w:rPr>
        <w:t> </w:t>
      </w:r>
      <w:r>
        <w:rPr>
          <w:spacing w:val="-2"/>
        </w:rPr>
        <w:t>such</w:t>
      </w:r>
      <w:r>
        <w:rPr>
          <w:spacing w:val="-9"/>
        </w:rPr>
        <w:t> </w:t>
      </w:r>
      <w:r>
        <w:rPr>
          <w:spacing w:val="-2"/>
        </w:rPr>
        <w:t>as</w:t>
      </w:r>
      <w:r>
        <w:rPr>
          <w:spacing w:val="-9"/>
        </w:rPr>
        <w:t> </w:t>
      </w:r>
      <w:r>
        <w:rPr>
          <w:spacing w:val="-2"/>
        </w:rPr>
        <w:t>purchase</w:t>
      </w:r>
      <w:r>
        <w:rPr>
          <w:spacing w:val="-9"/>
        </w:rPr>
        <w:t> </w:t>
      </w:r>
      <w:r>
        <w:rPr>
          <w:spacing w:val="-2"/>
        </w:rPr>
        <w:t>of</w:t>
      </w:r>
      <w:r>
        <w:rPr>
          <w:spacing w:val="-9"/>
        </w:rPr>
        <w:t> </w:t>
      </w:r>
      <w:r>
        <w:rPr>
          <w:spacing w:val="-2"/>
        </w:rPr>
        <w:t>relevant </w:t>
      </w:r>
      <w:r>
        <w:rPr/>
        <w:t>material and ergonomic tools. In this respect, a key objective</w:t>
      </w:r>
      <w:r>
        <w:rPr>
          <w:spacing w:val="-8"/>
        </w:rPr>
        <w:t> </w:t>
      </w:r>
      <w:r>
        <w:rPr/>
        <w:t>of</w:t>
      </w:r>
      <w:r>
        <w:rPr>
          <w:spacing w:val="-8"/>
        </w:rPr>
        <w:t> </w:t>
      </w:r>
      <w:r>
        <w:rPr/>
        <w:t>the</w:t>
      </w:r>
      <w:r>
        <w:rPr>
          <w:spacing w:val="-8"/>
        </w:rPr>
        <w:t> </w:t>
      </w:r>
      <w:r>
        <w:rPr/>
        <w:t>proposed</w:t>
      </w:r>
      <w:r>
        <w:rPr>
          <w:spacing w:val="-8"/>
        </w:rPr>
        <w:t> </w:t>
      </w:r>
      <w:r>
        <w:rPr/>
        <w:t>Skill</w:t>
      </w:r>
      <w:r>
        <w:rPr>
          <w:spacing w:val="-8"/>
        </w:rPr>
        <w:t> </w:t>
      </w:r>
      <w:r>
        <w:rPr/>
        <w:t>Development</w:t>
      </w:r>
      <w:r>
        <w:rPr>
          <w:spacing w:val="-8"/>
        </w:rPr>
        <w:t> </w:t>
      </w:r>
      <w:r>
        <w:rPr/>
        <w:t>Mission </w:t>
      </w:r>
      <w:r>
        <w:rPr>
          <w:spacing w:val="-4"/>
        </w:rPr>
        <w:t>is</w:t>
      </w:r>
      <w:r>
        <w:rPr>
          <w:spacing w:val="-8"/>
        </w:rPr>
        <w:t> </w:t>
      </w:r>
      <w:r>
        <w:rPr>
          <w:spacing w:val="-4"/>
        </w:rPr>
        <w:t>to</w:t>
      </w:r>
      <w:r>
        <w:rPr>
          <w:spacing w:val="-8"/>
        </w:rPr>
        <w:t> </w:t>
      </w:r>
      <w:r>
        <w:rPr>
          <w:spacing w:val="-4"/>
        </w:rPr>
        <w:t>develop</w:t>
      </w:r>
      <w:r>
        <w:rPr>
          <w:spacing w:val="-8"/>
        </w:rPr>
        <w:t> </w:t>
      </w:r>
      <w:r>
        <w:rPr>
          <w:spacing w:val="-4"/>
        </w:rPr>
        <w:t>employment</w:t>
      </w:r>
      <w:r>
        <w:rPr>
          <w:spacing w:val="-8"/>
        </w:rPr>
        <w:t> </w:t>
      </w:r>
      <w:r>
        <w:rPr>
          <w:spacing w:val="-4"/>
        </w:rPr>
        <w:t>exchanges</w:t>
      </w:r>
      <w:r>
        <w:rPr>
          <w:spacing w:val="-8"/>
        </w:rPr>
        <w:t> </w:t>
      </w:r>
      <w:r>
        <w:rPr>
          <w:spacing w:val="-4"/>
        </w:rPr>
        <w:t>as</w:t>
      </w:r>
      <w:r>
        <w:rPr>
          <w:spacing w:val="-8"/>
        </w:rPr>
        <w:t> </w:t>
      </w:r>
      <w:r>
        <w:rPr>
          <w:spacing w:val="-4"/>
        </w:rPr>
        <w:t>outreach</w:t>
      </w:r>
      <w:r>
        <w:rPr>
          <w:spacing w:val="-8"/>
        </w:rPr>
        <w:t> </w:t>
      </w:r>
      <w:r>
        <w:rPr>
          <w:spacing w:val="-4"/>
        </w:rPr>
        <w:t>points </w:t>
      </w:r>
      <w:r>
        <w:rPr/>
        <w:t>for</w:t>
      </w:r>
      <w:r>
        <w:rPr>
          <w:spacing w:val="-12"/>
        </w:rPr>
        <w:t> </w:t>
      </w:r>
      <w:r>
        <w:rPr/>
        <w:t>storing</w:t>
      </w:r>
      <w:r>
        <w:rPr>
          <w:spacing w:val="-12"/>
        </w:rPr>
        <w:t> </w:t>
      </w:r>
      <w:r>
        <w:rPr/>
        <w:t>and</w:t>
      </w:r>
      <w:r>
        <w:rPr>
          <w:spacing w:val="-12"/>
        </w:rPr>
        <w:t> </w:t>
      </w:r>
      <w:r>
        <w:rPr/>
        <w:t>providing</w:t>
      </w:r>
      <w:r>
        <w:rPr>
          <w:spacing w:val="-12"/>
        </w:rPr>
        <w:t> </w:t>
      </w:r>
      <w:r>
        <w:rPr/>
        <w:t>information</w:t>
      </w:r>
      <w:r>
        <w:rPr>
          <w:spacing w:val="-12"/>
        </w:rPr>
        <w:t> </w:t>
      </w:r>
      <w:r>
        <w:rPr/>
        <w:t>on</w:t>
      </w:r>
      <w:r>
        <w:rPr>
          <w:spacing w:val="-12"/>
        </w:rPr>
        <w:t> </w:t>
      </w:r>
      <w:r>
        <w:rPr/>
        <w:t>employment and skill development as well as enabling them to </w:t>
      </w:r>
      <w:r>
        <w:rPr>
          <w:spacing w:val="-6"/>
        </w:rPr>
        <w:t>function as career counselling centres. At the local level, </w:t>
      </w:r>
      <w:r>
        <w:rPr/>
        <w:t>institutions</w:t>
      </w:r>
      <w:r>
        <w:rPr>
          <w:spacing w:val="-14"/>
        </w:rPr>
        <w:t> </w:t>
      </w:r>
      <w:r>
        <w:rPr/>
        <w:t>such</w:t>
      </w:r>
      <w:r>
        <w:rPr>
          <w:spacing w:val="-14"/>
        </w:rPr>
        <w:t> </w:t>
      </w:r>
      <w:r>
        <w:rPr/>
        <w:t>as</w:t>
      </w:r>
      <w:r>
        <w:rPr>
          <w:spacing w:val="-14"/>
        </w:rPr>
        <w:t> </w:t>
      </w:r>
      <w:r>
        <w:rPr/>
        <w:t>the</w:t>
      </w:r>
      <w:r>
        <w:rPr>
          <w:spacing w:val="-13"/>
        </w:rPr>
        <w:t> </w:t>
      </w:r>
      <w:r>
        <w:rPr/>
        <w:t>Panchayats</w:t>
      </w:r>
      <w:r>
        <w:rPr>
          <w:spacing w:val="-14"/>
        </w:rPr>
        <w:t> </w:t>
      </w:r>
      <w:r>
        <w:rPr/>
        <w:t>should</w:t>
      </w:r>
      <w:r>
        <w:rPr>
          <w:spacing w:val="-14"/>
        </w:rPr>
        <w:t> </w:t>
      </w:r>
      <w:r>
        <w:rPr/>
        <w:t>be</w:t>
      </w:r>
      <w:r>
        <w:rPr>
          <w:spacing w:val="-14"/>
        </w:rPr>
        <w:t> </w:t>
      </w:r>
      <w:r>
        <w:rPr/>
        <w:t>involved to manage such portals or kiosks.</w:t>
      </w:r>
    </w:p>
    <w:p>
      <w:pPr>
        <w:pStyle w:val="BodyText"/>
        <w:spacing w:before="17"/>
      </w:pPr>
    </w:p>
    <w:p>
      <w:pPr>
        <w:pStyle w:val="BodyText"/>
        <w:spacing w:line="266" w:lineRule="auto" w:before="1"/>
        <w:ind w:left="319" w:right="1077"/>
        <w:jc w:val="both"/>
      </w:pPr>
      <w:r>
        <w:rPr/>
        <w:t>We believe that implementation of these suggestions </w:t>
      </w:r>
      <w:r>
        <w:rPr>
          <w:spacing w:val="-2"/>
        </w:rPr>
        <w:t>will</w:t>
      </w:r>
      <w:r>
        <w:rPr>
          <w:spacing w:val="-12"/>
        </w:rPr>
        <w:t> </w:t>
      </w:r>
      <w:r>
        <w:rPr>
          <w:spacing w:val="-2"/>
        </w:rPr>
        <w:t>better</w:t>
      </w:r>
      <w:r>
        <w:rPr>
          <w:spacing w:val="-12"/>
        </w:rPr>
        <w:t> </w:t>
      </w:r>
      <w:r>
        <w:rPr>
          <w:spacing w:val="-2"/>
        </w:rPr>
        <w:t>the</w:t>
      </w:r>
      <w:r>
        <w:rPr>
          <w:spacing w:val="-12"/>
        </w:rPr>
        <w:t> </w:t>
      </w:r>
      <w:r>
        <w:rPr>
          <w:spacing w:val="-2"/>
        </w:rPr>
        <w:t>working</w:t>
      </w:r>
      <w:r>
        <w:rPr>
          <w:spacing w:val="-11"/>
        </w:rPr>
        <w:t> </w:t>
      </w:r>
      <w:r>
        <w:rPr>
          <w:spacing w:val="-2"/>
        </w:rPr>
        <w:t>conditions</w:t>
      </w:r>
      <w:r>
        <w:rPr>
          <w:spacing w:val="-12"/>
        </w:rPr>
        <w:t> </w:t>
      </w:r>
      <w:r>
        <w:rPr>
          <w:spacing w:val="-2"/>
        </w:rPr>
        <w:t>of</w:t>
      </w:r>
      <w:r>
        <w:rPr>
          <w:spacing w:val="-12"/>
        </w:rPr>
        <w:t> </w:t>
      </w:r>
      <w:r>
        <w:rPr>
          <w:spacing w:val="-2"/>
        </w:rPr>
        <w:t>people</w:t>
      </w:r>
      <w:r>
        <w:rPr>
          <w:spacing w:val="-12"/>
        </w:rPr>
        <w:t> </w:t>
      </w:r>
      <w:r>
        <w:rPr>
          <w:spacing w:val="-2"/>
        </w:rPr>
        <w:t>engaged</w:t>
      </w:r>
      <w:r>
        <w:rPr>
          <w:spacing w:val="-11"/>
        </w:rPr>
        <w:t> </w:t>
      </w:r>
      <w:r>
        <w:rPr>
          <w:spacing w:val="-2"/>
        </w:rPr>
        <w:t>in </w:t>
      </w:r>
      <w:r>
        <w:rPr>
          <w:spacing w:val="-6"/>
        </w:rPr>
        <w:t>manual</w:t>
      </w:r>
      <w:r>
        <w:rPr>
          <w:spacing w:val="-8"/>
        </w:rPr>
        <w:t> </w:t>
      </w:r>
      <w:r>
        <w:rPr>
          <w:spacing w:val="-6"/>
        </w:rPr>
        <w:t>and</w:t>
      </w:r>
      <w:r>
        <w:rPr>
          <w:spacing w:val="-8"/>
        </w:rPr>
        <w:t> </w:t>
      </w:r>
      <w:r>
        <w:rPr>
          <w:spacing w:val="-6"/>
        </w:rPr>
        <w:t>other</w:t>
      </w:r>
      <w:r>
        <w:rPr>
          <w:spacing w:val="-8"/>
        </w:rPr>
        <w:t> </w:t>
      </w:r>
      <w:r>
        <w:rPr>
          <w:spacing w:val="-6"/>
        </w:rPr>
        <w:t>tasks</w:t>
      </w:r>
      <w:r>
        <w:rPr>
          <w:spacing w:val="-7"/>
        </w:rPr>
        <w:t> </w:t>
      </w:r>
      <w:r>
        <w:rPr>
          <w:spacing w:val="-6"/>
        </w:rPr>
        <w:t>in</w:t>
      </w:r>
      <w:r>
        <w:rPr>
          <w:spacing w:val="-8"/>
        </w:rPr>
        <w:t> </w:t>
      </w:r>
      <w:r>
        <w:rPr>
          <w:spacing w:val="-6"/>
        </w:rPr>
        <w:t>the</w:t>
      </w:r>
      <w:r>
        <w:rPr>
          <w:spacing w:val="-8"/>
        </w:rPr>
        <w:t> </w:t>
      </w:r>
      <w:r>
        <w:rPr>
          <w:spacing w:val="-6"/>
        </w:rPr>
        <w:t>country.</w:t>
      </w:r>
      <w:r>
        <w:rPr>
          <w:spacing w:val="-8"/>
        </w:rPr>
        <w:t> </w:t>
      </w:r>
      <w:r>
        <w:rPr>
          <w:spacing w:val="-6"/>
        </w:rPr>
        <w:t>This</w:t>
      </w:r>
      <w:r>
        <w:rPr>
          <w:spacing w:val="-7"/>
        </w:rPr>
        <w:t> </w:t>
      </w:r>
      <w:r>
        <w:rPr>
          <w:spacing w:val="-6"/>
        </w:rPr>
        <w:t>will</w:t>
      </w:r>
      <w:r>
        <w:rPr>
          <w:spacing w:val="-8"/>
        </w:rPr>
        <w:t> </w:t>
      </w:r>
      <w:r>
        <w:rPr>
          <w:spacing w:val="-6"/>
        </w:rPr>
        <w:t>also</w:t>
      </w:r>
      <w:r>
        <w:rPr>
          <w:spacing w:val="-8"/>
        </w:rPr>
        <w:t> </w:t>
      </w:r>
      <w:r>
        <w:rPr>
          <w:spacing w:val="-6"/>
        </w:rPr>
        <w:t>help </w:t>
      </w:r>
      <w:r>
        <w:rPr>
          <w:spacing w:val="-2"/>
        </w:rPr>
        <w:t>in</w:t>
      </w:r>
      <w:r>
        <w:rPr>
          <w:spacing w:val="-12"/>
        </w:rPr>
        <w:t> </w:t>
      </w:r>
      <w:r>
        <w:rPr>
          <w:spacing w:val="-2"/>
        </w:rPr>
        <w:t>heralding</w:t>
      </w:r>
      <w:r>
        <w:rPr>
          <w:spacing w:val="-12"/>
        </w:rPr>
        <w:t> </w:t>
      </w:r>
      <w:r>
        <w:rPr>
          <w:spacing w:val="-2"/>
        </w:rPr>
        <w:t>a</w:t>
      </w:r>
      <w:r>
        <w:rPr>
          <w:spacing w:val="-12"/>
        </w:rPr>
        <w:t> </w:t>
      </w:r>
      <w:r>
        <w:rPr>
          <w:spacing w:val="-2"/>
        </w:rPr>
        <w:t>change</w:t>
      </w:r>
      <w:r>
        <w:rPr>
          <w:spacing w:val="-11"/>
        </w:rPr>
        <w:t> </w:t>
      </w:r>
      <w:r>
        <w:rPr>
          <w:spacing w:val="-2"/>
        </w:rPr>
        <w:t>in</w:t>
      </w:r>
      <w:r>
        <w:rPr>
          <w:spacing w:val="-12"/>
        </w:rPr>
        <w:t> </w:t>
      </w:r>
      <w:r>
        <w:rPr>
          <w:spacing w:val="-2"/>
        </w:rPr>
        <w:t>mind</w:t>
      </w:r>
      <w:r>
        <w:rPr>
          <w:spacing w:val="-12"/>
        </w:rPr>
        <w:t> </w:t>
      </w:r>
      <w:r>
        <w:rPr>
          <w:spacing w:val="-2"/>
        </w:rPr>
        <w:t>sets,</w:t>
      </w:r>
      <w:r>
        <w:rPr>
          <w:spacing w:val="-12"/>
        </w:rPr>
        <w:t> </w:t>
      </w:r>
      <w:r>
        <w:rPr>
          <w:spacing w:val="-2"/>
        </w:rPr>
        <w:t>which</w:t>
      </w:r>
      <w:r>
        <w:rPr>
          <w:spacing w:val="-11"/>
        </w:rPr>
        <w:t> </w:t>
      </w:r>
      <w:r>
        <w:rPr>
          <w:spacing w:val="-2"/>
        </w:rPr>
        <w:t>is</w:t>
      </w:r>
      <w:r>
        <w:rPr>
          <w:spacing w:val="-12"/>
        </w:rPr>
        <w:t> </w:t>
      </w:r>
      <w:r>
        <w:rPr>
          <w:spacing w:val="-2"/>
        </w:rPr>
        <w:t>essential</w:t>
      </w:r>
      <w:r>
        <w:rPr>
          <w:spacing w:val="-12"/>
        </w:rPr>
        <w:t> </w:t>
      </w:r>
      <w:r>
        <w:rPr>
          <w:spacing w:val="-2"/>
        </w:rPr>
        <w:t>to improve</w:t>
      </w:r>
      <w:r>
        <w:rPr>
          <w:spacing w:val="-11"/>
        </w:rPr>
        <w:t> </w:t>
      </w:r>
      <w:r>
        <w:rPr>
          <w:spacing w:val="-2"/>
        </w:rPr>
        <w:t>human</w:t>
      </w:r>
      <w:r>
        <w:rPr>
          <w:spacing w:val="-11"/>
        </w:rPr>
        <w:t> </w:t>
      </w:r>
      <w:r>
        <w:rPr>
          <w:spacing w:val="-2"/>
        </w:rPr>
        <w:t>capital</w:t>
      </w:r>
      <w:r>
        <w:rPr>
          <w:spacing w:val="-11"/>
        </w:rPr>
        <w:t> </w:t>
      </w:r>
      <w:r>
        <w:rPr>
          <w:spacing w:val="-2"/>
        </w:rPr>
        <w:t>and</w:t>
      </w:r>
      <w:r>
        <w:rPr>
          <w:spacing w:val="-11"/>
        </w:rPr>
        <w:t> </w:t>
      </w:r>
      <w:r>
        <w:rPr>
          <w:spacing w:val="-2"/>
        </w:rPr>
        <w:t>dignity.</w:t>
      </w:r>
    </w:p>
    <w:p>
      <w:pPr>
        <w:spacing w:after="0" w:line="266" w:lineRule="auto"/>
        <w:jc w:val="both"/>
        <w:sectPr>
          <w:pgSz w:w="11910" w:h="16840"/>
          <w:pgMar w:header="0" w:footer="675" w:top="960" w:bottom="860" w:left="0" w:right="0"/>
          <w:cols w:num="2" w:equalWidth="0">
            <w:col w:w="5774" w:space="40"/>
            <w:col w:w="6096"/>
          </w:cols>
        </w:sectPr>
      </w:pPr>
    </w:p>
    <w:p>
      <w:pPr>
        <w:pStyle w:val="Heading2"/>
        <w:spacing w:line="211" w:lineRule="auto"/>
      </w:pPr>
      <w:r>
        <w:rPr/>
        <mc:AlternateContent>
          <mc:Choice Requires="wps">
            <w:drawing>
              <wp:anchor distT="0" distB="0" distL="0" distR="0" allowOverlap="1" layoutInCell="1" locked="0" behindDoc="1" simplePos="0" relativeHeight="479364608">
                <wp:simplePos x="0" y="0"/>
                <wp:positionH relativeFrom="page">
                  <wp:posOffset>0</wp:posOffset>
                </wp:positionH>
                <wp:positionV relativeFrom="page">
                  <wp:posOffset>38</wp:posOffset>
                </wp:positionV>
                <wp:extent cx="7560309" cy="10692130"/>
                <wp:effectExtent l="0" t="0" r="0" b="0"/>
                <wp:wrapNone/>
                <wp:docPr id="999" name="Group 999"/>
                <wp:cNvGraphicFramePr>
                  <a:graphicFrameLocks/>
                </wp:cNvGraphicFramePr>
                <a:graphic>
                  <a:graphicData uri="http://schemas.microsoft.com/office/word/2010/wordprocessingGroup">
                    <wpg:wgp>
                      <wpg:cNvPr id="999" name="Group 999"/>
                      <wpg:cNvGrpSpPr/>
                      <wpg:grpSpPr>
                        <a:xfrm>
                          <a:off x="0" y="0"/>
                          <a:ext cx="7560309" cy="10692130"/>
                          <a:chExt cx="7560309" cy="10692130"/>
                        </a:xfrm>
                      </wpg:grpSpPr>
                      <pic:pic>
                        <pic:nvPicPr>
                          <pic:cNvPr id="1000" name="Image 1000"/>
                          <pic:cNvPicPr/>
                        </pic:nvPicPr>
                        <pic:blipFill>
                          <a:blip r:embed="rId614" cstate="print"/>
                          <a:stretch>
                            <a:fillRect/>
                          </a:stretch>
                        </pic:blipFill>
                        <pic:spPr>
                          <a:xfrm>
                            <a:off x="0" y="0"/>
                            <a:ext cx="7559999" cy="10691964"/>
                          </a:xfrm>
                          <a:prstGeom prst="rect">
                            <a:avLst/>
                          </a:prstGeom>
                        </pic:spPr>
                      </pic:pic>
                      <pic:pic>
                        <pic:nvPicPr>
                          <pic:cNvPr id="1001" name="Image 1001"/>
                          <pic:cNvPicPr/>
                        </pic:nvPicPr>
                        <pic:blipFill>
                          <a:blip r:embed="rId636" cstate="print"/>
                          <a:stretch>
                            <a:fillRect/>
                          </a:stretch>
                        </pic:blipFill>
                        <pic:spPr>
                          <a:xfrm>
                            <a:off x="6400" y="3629025"/>
                            <a:ext cx="7553598" cy="7062939"/>
                          </a:xfrm>
                          <a:prstGeom prst="rect">
                            <a:avLst/>
                          </a:prstGeom>
                        </pic:spPr>
                      </pic:pic>
                    </wpg:wgp>
                  </a:graphicData>
                </a:graphic>
              </wp:anchor>
            </w:drawing>
          </mc:Choice>
          <mc:Fallback>
            <w:pict>
              <v:group style="position:absolute;margin-left:0pt;margin-top:.003055pt;width:595.3pt;height:841.9pt;mso-position-horizontal-relative:page;mso-position-vertical-relative:page;z-index:-23951872" id="docshapegroup987" coordorigin="0,0" coordsize="11906,16838">
                <v:shape style="position:absolute;left:0;top:0;width:11906;height:16838" type="#_x0000_t75" id="docshape988" stroked="false">
                  <v:imagedata r:id="rId614" o:title=""/>
                </v:shape>
                <v:shape style="position:absolute;left:10;top:5715;width:11896;height:11123" type="#_x0000_t75" id="docshape989" stroked="false">
                  <v:imagedata r:id="rId636" o:title=""/>
                </v:shape>
                <w10:wrap type="none"/>
              </v:group>
            </w:pict>
          </mc:Fallback>
        </mc:AlternateContent>
      </w:r>
      <w:r>
        <w:rPr>
          <w:color w:val="E3C626"/>
        </w:rPr>
        <w:t>Delivery</w:t>
      </w:r>
      <w:r>
        <w:rPr>
          <w:color w:val="E3C626"/>
          <w:spacing w:val="-31"/>
        </w:rPr>
        <w:t> </w:t>
      </w:r>
      <w:r>
        <w:rPr>
          <w:color w:val="E3C626"/>
        </w:rPr>
        <w:t>of </w:t>
      </w:r>
      <w:r>
        <w:rPr>
          <w:color w:val="E3C626"/>
          <w:spacing w:val="-2"/>
        </w:rPr>
        <w:t>Services</w:t>
      </w:r>
    </w:p>
    <w:p>
      <w:pPr>
        <w:spacing w:before="245"/>
        <w:ind w:left="2025" w:right="0" w:firstLine="0"/>
        <w:jc w:val="left"/>
        <w:rPr>
          <w:sz w:val="32"/>
        </w:rPr>
      </w:pPr>
      <w:r>
        <w:rPr>
          <w:spacing w:val="-9"/>
          <w:sz w:val="32"/>
        </w:rPr>
        <w:t>E-</w:t>
      </w:r>
      <w:r>
        <w:rPr>
          <w:spacing w:val="-2"/>
          <w:sz w:val="32"/>
        </w:rPr>
        <w:t>governance</w:t>
      </w:r>
    </w:p>
    <w:p>
      <w:pPr>
        <w:spacing w:after="0"/>
        <w:jc w:val="left"/>
        <w:rPr>
          <w:sz w:val="32"/>
        </w:rPr>
        <w:sectPr>
          <w:footerReference w:type="default" r:id="rId635"/>
          <w:pgSz w:w="11910" w:h="16840"/>
          <w:pgMar w:header="0" w:footer="0" w:top="1920" w:bottom="280" w:left="0" w:right="0"/>
        </w:sectPr>
      </w:pPr>
    </w:p>
    <w:p>
      <w:pPr>
        <w:pStyle w:val="BodyText"/>
        <w:spacing w:before="4"/>
        <w:rPr>
          <w:sz w:val="17"/>
        </w:rPr>
      </w:pPr>
    </w:p>
    <w:p>
      <w:pPr>
        <w:spacing w:after="0"/>
        <w:rPr>
          <w:sz w:val="17"/>
        </w:rPr>
        <w:sectPr>
          <w:footerReference w:type="even" r:id="rId637"/>
          <w:pgSz w:w="11910" w:h="16840"/>
          <w:pgMar w:header="0" w:footer="0"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4"/>
        <w:rPr>
          <w:sz w:val="20"/>
        </w:rPr>
      </w:pPr>
    </w:p>
    <w:p>
      <w:pPr>
        <w:spacing w:after="0"/>
        <w:rPr>
          <w:sz w:val="20"/>
        </w:rPr>
        <w:sectPr>
          <w:footerReference w:type="default" r:id="rId638"/>
          <w:footerReference w:type="even" r:id="rId639"/>
          <w:pgSz w:w="11910" w:h="16840"/>
          <w:pgMar w:header="0" w:footer="675" w:top="0" w:bottom="860" w:left="0" w:right="0"/>
          <w:pgNumType w:start="159"/>
        </w:sectPr>
      </w:pPr>
    </w:p>
    <w:p>
      <w:pPr>
        <w:pStyle w:val="BodyText"/>
        <w:spacing w:line="266" w:lineRule="auto" w:before="82"/>
        <w:ind w:left="1732"/>
        <w:jc w:val="both"/>
      </w:pPr>
      <w:r>
        <w:rPr/>
        <mc:AlternateContent>
          <mc:Choice Requires="wps">
            <w:drawing>
              <wp:anchor distT="0" distB="0" distL="0" distR="0" allowOverlap="1" layoutInCell="1" locked="0" behindDoc="0" simplePos="0" relativeHeight="15788544">
                <wp:simplePos x="0" y="0"/>
                <wp:positionH relativeFrom="page">
                  <wp:posOffset>0</wp:posOffset>
                </wp:positionH>
                <wp:positionV relativeFrom="paragraph">
                  <wp:posOffset>-2286918</wp:posOffset>
                </wp:positionV>
                <wp:extent cx="7560309" cy="1752600"/>
                <wp:effectExtent l="0" t="0" r="0" b="0"/>
                <wp:wrapNone/>
                <wp:docPr id="1011" name="Group 1011"/>
                <wp:cNvGraphicFramePr>
                  <a:graphicFrameLocks/>
                </wp:cNvGraphicFramePr>
                <a:graphic>
                  <a:graphicData uri="http://schemas.microsoft.com/office/word/2010/wordprocessingGroup">
                    <wpg:wgp>
                      <wpg:cNvPr id="1011" name="Group 1011"/>
                      <wpg:cNvGrpSpPr/>
                      <wpg:grpSpPr>
                        <a:xfrm>
                          <a:off x="0" y="0"/>
                          <a:ext cx="7560309" cy="1752600"/>
                          <a:chExt cx="7560309" cy="1752600"/>
                        </a:xfrm>
                      </wpg:grpSpPr>
                      <pic:pic>
                        <pic:nvPicPr>
                          <pic:cNvPr id="1012" name="Image 1012"/>
                          <pic:cNvPicPr/>
                        </pic:nvPicPr>
                        <pic:blipFill>
                          <a:blip r:embed="rId11" cstate="print"/>
                          <a:stretch>
                            <a:fillRect/>
                          </a:stretch>
                        </pic:blipFill>
                        <pic:spPr>
                          <a:xfrm>
                            <a:off x="0" y="0"/>
                            <a:ext cx="7559999" cy="1752562"/>
                          </a:xfrm>
                          <a:prstGeom prst="rect">
                            <a:avLst/>
                          </a:prstGeom>
                        </pic:spPr>
                      </pic:pic>
                      <wps:wsp>
                        <wps:cNvPr id="1013" name="Textbox 1013"/>
                        <wps:cNvSpPr txBox="1"/>
                        <wps:spPr>
                          <a:xfrm>
                            <a:off x="685800" y="598694"/>
                            <a:ext cx="2748915" cy="501650"/>
                          </a:xfrm>
                          <a:prstGeom prst="rect">
                            <a:avLst/>
                          </a:prstGeom>
                        </wps:spPr>
                        <wps:txbx>
                          <w:txbxContent>
                            <w:p>
                              <w:pPr>
                                <w:spacing w:before="0"/>
                                <w:ind w:left="0" w:right="0" w:firstLine="0"/>
                                <w:jc w:val="left"/>
                                <w:rPr>
                                  <w:rFonts w:ascii="Trebuchet MS"/>
                                  <w:b/>
                                  <w:sz w:val="68"/>
                                </w:rPr>
                              </w:pPr>
                              <w:r>
                                <w:rPr>
                                  <w:rFonts w:ascii="Trebuchet MS"/>
                                  <w:b/>
                                  <w:color w:val="FFFFFF"/>
                                  <w:sz w:val="68"/>
                                </w:rPr>
                                <w:t>E-</w:t>
                              </w:r>
                              <w:r>
                                <w:rPr>
                                  <w:rFonts w:ascii="Trebuchet MS"/>
                                  <w:b/>
                                  <w:color w:val="FFFFFF"/>
                                  <w:spacing w:val="-2"/>
                                  <w:sz w:val="68"/>
                                </w:rPr>
                                <w:t>governance</w:t>
                              </w:r>
                            </w:p>
                          </w:txbxContent>
                        </wps:txbx>
                        <wps:bodyPr wrap="square" lIns="0" tIns="0" rIns="0" bIns="0" rtlCol="0">
                          <a:noAutofit/>
                        </wps:bodyPr>
                      </wps:wsp>
                      <wps:wsp>
                        <wps:cNvPr id="1014" name="Textbox 1014"/>
                        <wps:cNvSpPr txBox="1"/>
                        <wps:spPr>
                          <a:xfrm>
                            <a:off x="5948976" y="1495207"/>
                            <a:ext cx="938530" cy="156845"/>
                          </a:xfrm>
                          <a:prstGeom prst="rect">
                            <a:avLst/>
                          </a:prstGeom>
                        </wps:spPr>
                        <wps:txbx>
                          <w:txbxContent>
                            <w:p>
                              <w:pPr>
                                <w:spacing w:line="235" w:lineRule="exact" w:before="0"/>
                                <w:ind w:left="0" w:right="0" w:firstLine="0"/>
                                <w:jc w:val="left"/>
                                <w:rPr>
                                  <w:sz w:val="22"/>
                                </w:rPr>
                              </w:pPr>
                              <w:r>
                                <w:rPr>
                                  <w:color w:val="FFFFFF"/>
                                  <w:spacing w:val="-4"/>
                                  <w:sz w:val="22"/>
                                </w:rPr>
                                <w:t>January</w:t>
                              </w:r>
                              <w:r>
                                <w:rPr>
                                  <w:color w:val="FFFFFF"/>
                                  <w:spacing w:val="-10"/>
                                  <w:sz w:val="22"/>
                                </w:rPr>
                                <w:t> </w:t>
                              </w:r>
                              <w:r>
                                <w:rPr>
                                  <w:color w:val="FFFFFF"/>
                                  <w:spacing w:val="-4"/>
                                  <w:sz w:val="22"/>
                                </w:rPr>
                                <w:t>26,</w:t>
                              </w:r>
                              <w:r>
                                <w:rPr>
                                  <w:color w:val="FFFFFF"/>
                                  <w:spacing w:val="-10"/>
                                  <w:sz w:val="22"/>
                                </w:rPr>
                                <w:t> </w:t>
                              </w:r>
                              <w:r>
                                <w:rPr>
                                  <w:color w:val="FFFFFF"/>
                                  <w:spacing w:val="-4"/>
                                  <w:sz w:val="22"/>
                                </w:rPr>
                                <w:t>2006</w:t>
                              </w:r>
                            </w:p>
                          </w:txbxContent>
                        </wps:txbx>
                        <wps:bodyPr wrap="square" lIns="0" tIns="0" rIns="0" bIns="0" rtlCol="0">
                          <a:noAutofit/>
                        </wps:bodyPr>
                      </wps:wsp>
                    </wpg:wgp>
                  </a:graphicData>
                </a:graphic>
              </wp:anchor>
            </w:drawing>
          </mc:Choice>
          <mc:Fallback>
            <w:pict>
              <v:group style="position:absolute;margin-left:0pt;margin-top:-180.072311pt;width:595.3pt;height:138pt;mso-position-horizontal-relative:page;mso-position-vertical-relative:paragraph;z-index:15788544" id="docshapegroup999" coordorigin="0,-3601" coordsize="11906,2760">
                <v:shape style="position:absolute;left:0;top:-3602;width:11906;height:2760" type="#_x0000_t75" id="docshape1000" stroked="false">
                  <v:imagedata r:id="rId11" o:title=""/>
                </v:shape>
                <v:shape style="position:absolute;left:1080;top:-2659;width:4329;height:790" type="#_x0000_t202" id="docshape1001" filled="false" stroked="false">
                  <v:textbox inset="0,0,0,0">
                    <w:txbxContent>
                      <w:p>
                        <w:pPr>
                          <w:spacing w:before="0"/>
                          <w:ind w:left="0" w:right="0" w:firstLine="0"/>
                          <w:jc w:val="left"/>
                          <w:rPr>
                            <w:rFonts w:ascii="Trebuchet MS"/>
                            <w:b/>
                            <w:sz w:val="68"/>
                          </w:rPr>
                        </w:pPr>
                        <w:r>
                          <w:rPr>
                            <w:rFonts w:ascii="Trebuchet MS"/>
                            <w:b/>
                            <w:color w:val="FFFFFF"/>
                            <w:sz w:val="68"/>
                          </w:rPr>
                          <w:t>E-</w:t>
                        </w:r>
                        <w:r>
                          <w:rPr>
                            <w:rFonts w:ascii="Trebuchet MS"/>
                            <w:b/>
                            <w:color w:val="FFFFFF"/>
                            <w:spacing w:val="-2"/>
                            <w:sz w:val="68"/>
                          </w:rPr>
                          <w:t>governance</w:t>
                        </w:r>
                      </w:p>
                    </w:txbxContent>
                  </v:textbox>
                  <w10:wrap type="none"/>
                </v:shape>
                <v:shape style="position:absolute;left:9368;top:-1247;width:1478;height:247" type="#_x0000_t202" id="docshape1002" filled="false" stroked="false">
                  <v:textbox inset="0,0,0,0">
                    <w:txbxContent>
                      <w:p>
                        <w:pPr>
                          <w:spacing w:line="235" w:lineRule="exact" w:before="0"/>
                          <w:ind w:left="0" w:right="0" w:firstLine="0"/>
                          <w:jc w:val="left"/>
                          <w:rPr>
                            <w:sz w:val="22"/>
                          </w:rPr>
                        </w:pPr>
                        <w:r>
                          <w:rPr>
                            <w:color w:val="FFFFFF"/>
                            <w:spacing w:val="-4"/>
                            <w:sz w:val="22"/>
                          </w:rPr>
                          <w:t>January</w:t>
                        </w:r>
                        <w:r>
                          <w:rPr>
                            <w:color w:val="FFFFFF"/>
                            <w:spacing w:val="-10"/>
                            <w:sz w:val="22"/>
                          </w:rPr>
                          <w:t> </w:t>
                        </w:r>
                        <w:r>
                          <w:rPr>
                            <w:color w:val="FFFFFF"/>
                            <w:spacing w:val="-4"/>
                            <w:sz w:val="22"/>
                          </w:rPr>
                          <w:t>26,</w:t>
                        </w:r>
                        <w:r>
                          <w:rPr>
                            <w:color w:val="FFFFFF"/>
                            <w:spacing w:val="-10"/>
                            <w:sz w:val="22"/>
                          </w:rPr>
                          <w:t> </w:t>
                        </w:r>
                        <w:r>
                          <w:rPr>
                            <w:color w:val="FFFFFF"/>
                            <w:spacing w:val="-4"/>
                            <w:sz w:val="22"/>
                          </w:rPr>
                          <w:t>2006</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65632">
                <wp:simplePos x="0" y="0"/>
                <wp:positionH relativeFrom="page">
                  <wp:posOffset>685799</wp:posOffset>
                </wp:positionH>
                <wp:positionV relativeFrom="paragraph">
                  <wp:posOffset>-37292</wp:posOffset>
                </wp:positionV>
                <wp:extent cx="421640" cy="757555"/>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421640" cy="757555"/>
                        </a:xfrm>
                        <a:prstGeom prst="rect">
                          <a:avLst/>
                        </a:prstGeom>
                      </wps:spPr>
                      <wps:txbx>
                        <w:txbxContent>
                          <w:p>
                            <w:pPr>
                              <w:spacing w:line="1135" w:lineRule="exact" w:before="0"/>
                              <w:ind w:left="0" w:right="0" w:firstLine="0"/>
                              <w:jc w:val="left"/>
                              <w:rPr>
                                <w:sz w:val="106"/>
                              </w:rPr>
                            </w:pPr>
                            <w:r>
                              <w:rPr>
                                <w:color w:val="9CBF3B"/>
                                <w:spacing w:val="-10"/>
                                <w:w w:val="85"/>
                                <w:sz w:val="106"/>
                              </w:rPr>
                              <w:t>A</w:t>
                            </w:r>
                          </w:p>
                        </w:txbxContent>
                      </wps:txbx>
                      <wps:bodyPr wrap="square" lIns="0" tIns="0" rIns="0" bIns="0" rtlCol="0">
                        <a:noAutofit/>
                      </wps:bodyPr>
                    </wps:wsp>
                  </a:graphicData>
                </a:graphic>
              </wp:anchor>
            </w:drawing>
          </mc:Choice>
          <mc:Fallback>
            <w:pict>
              <v:shape style="position:absolute;margin-left:53.999981pt;margin-top:-2.93643pt;width:33.2pt;height:59.65pt;mso-position-horizontal-relative:page;mso-position-vertical-relative:paragraph;z-index:-23950848" type="#_x0000_t202" id="docshape1003" filled="false" stroked="false">
                <v:textbox inset="0,0,0,0">
                  <w:txbxContent>
                    <w:p>
                      <w:pPr>
                        <w:spacing w:line="1135" w:lineRule="exact" w:before="0"/>
                        <w:ind w:left="0" w:right="0" w:firstLine="0"/>
                        <w:jc w:val="left"/>
                        <w:rPr>
                          <w:sz w:val="106"/>
                        </w:rPr>
                      </w:pPr>
                      <w:r>
                        <w:rPr>
                          <w:color w:val="9CBF3B"/>
                          <w:spacing w:val="-10"/>
                          <w:w w:val="85"/>
                          <w:sz w:val="106"/>
                        </w:rPr>
                        <w:t>A</w:t>
                      </w:r>
                    </w:p>
                  </w:txbxContent>
                </v:textbox>
                <w10:wrap type="none"/>
              </v:shape>
            </w:pict>
          </mc:Fallback>
        </mc:AlternateContent>
      </w:r>
      <w:r>
        <w:rPr>
          <w:spacing w:val="-8"/>
        </w:rPr>
        <w:t>fter</w:t>
      </w:r>
      <w:r>
        <w:rPr>
          <w:spacing w:val="-3"/>
        </w:rPr>
        <w:t> </w:t>
      </w:r>
      <w:r>
        <w:rPr>
          <w:spacing w:val="-8"/>
        </w:rPr>
        <w:t>a</w:t>
      </w:r>
      <w:r>
        <w:rPr>
          <w:spacing w:val="-3"/>
        </w:rPr>
        <w:t> </w:t>
      </w:r>
      <w:r>
        <w:rPr>
          <w:spacing w:val="-8"/>
        </w:rPr>
        <w:t>series</w:t>
      </w:r>
      <w:r>
        <w:rPr>
          <w:spacing w:val="-3"/>
        </w:rPr>
        <w:t> </w:t>
      </w:r>
      <w:r>
        <w:rPr>
          <w:spacing w:val="-8"/>
        </w:rPr>
        <w:t>of</w:t>
      </w:r>
      <w:r>
        <w:rPr>
          <w:spacing w:val="-3"/>
        </w:rPr>
        <w:t> </w:t>
      </w:r>
      <w:r>
        <w:rPr>
          <w:spacing w:val="-8"/>
        </w:rPr>
        <w:t>discussions</w:t>
      </w:r>
      <w:r>
        <w:rPr>
          <w:spacing w:val="-3"/>
        </w:rPr>
        <w:t> </w:t>
      </w:r>
      <w:r>
        <w:rPr>
          <w:spacing w:val="-8"/>
        </w:rPr>
        <w:t>and</w:t>
      </w:r>
      <w:r>
        <w:rPr>
          <w:spacing w:val="-3"/>
        </w:rPr>
        <w:t> </w:t>
      </w:r>
      <w:r>
        <w:rPr>
          <w:spacing w:val="-8"/>
        </w:rPr>
        <w:t>reviews</w:t>
      </w:r>
      <w:r>
        <w:rPr>
          <w:spacing w:val="-3"/>
        </w:rPr>
        <w:t> </w:t>
      </w:r>
      <w:r>
        <w:rPr>
          <w:spacing w:val="-8"/>
        </w:rPr>
        <w:t>of</w:t>
      </w:r>
      <w:r>
        <w:rPr>
          <w:spacing w:val="-3"/>
        </w:rPr>
        <w:t> </w:t>
      </w:r>
      <w:r>
        <w:rPr>
          <w:spacing w:val="-8"/>
        </w:rPr>
        <w:t>various </w:t>
      </w:r>
      <w:r>
        <w:rPr/>
        <w:t>E-governance efforts at the Centre and State levels,</w:t>
      </w:r>
      <w:r>
        <w:rPr>
          <w:spacing w:val="40"/>
        </w:rPr>
        <w:t> </w:t>
      </w:r>
      <w:r>
        <w:rPr/>
        <w:t>NKC</w:t>
      </w:r>
      <w:r>
        <w:rPr>
          <w:spacing w:val="40"/>
        </w:rPr>
        <w:t> </w:t>
      </w:r>
      <w:r>
        <w:rPr/>
        <w:t>formed</w:t>
      </w:r>
      <w:r>
        <w:rPr>
          <w:spacing w:val="41"/>
        </w:rPr>
        <w:t> </w:t>
      </w:r>
      <w:r>
        <w:rPr/>
        <w:t>a</w:t>
      </w:r>
      <w:r>
        <w:rPr>
          <w:spacing w:val="40"/>
        </w:rPr>
        <w:t> </w:t>
      </w:r>
      <w:r>
        <w:rPr/>
        <w:t>special</w:t>
      </w:r>
      <w:r>
        <w:rPr>
          <w:spacing w:val="41"/>
        </w:rPr>
        <w:t> </w:t>
      </w:r>
      <w:r>
        <w:rPr/>
        <w:t>group,</w:t>
      </w:r>
      <w:r>
        <w:rPr>
          <w:spacing w:val="40"/>
        </w:rPr>
        <w:t> </w:t>
      </w:r>
      <w:r>
        <w:rPr>
          <w:spacing w:val="-4"/>
        </w:rPr>
        <w:t>under</w:t>
      </w:r>
    </w:p>
    <w:p>
      <w:pPr>
        <w:pStyle w:val="BodyText"/>
        <w:spacing w:line="266" w:lineRule="auto"/>
        <w:ind w:left="1079"/>
        <w:jc w:val="both"/>
      </w:pPr>
      <w:r>
        <w:rPr/>
        <w:t>the chairmanship of Nandan Nilekani, to study E- governance.</w:t>
      </w:r>
      <w:r>
        <w:rPr>
          <w:spacing w:val="-14"/>
        </w:rPr>
        <w:t> </w:t>
      </w:r>
      <w:r>
        <w:rPr/>
        <w:t>The</w:t>
      </w:r>
      <w:r>
        <w:rPr>
          <w:spacing w:val="-10"/>
        </w:rPr>
        <w:t> </w:t>
      </w:r>
      <w:r>
        <w:rPr/>
        <w:t>report</w:t>
      </w:r>
      <w:r>
        <w:rPr>
          <w:spacing w:val="-10"/>
        </w:rPr>
        <w:t> </w:t>
      </w:r>
      <w:r>
        <w:rPr/>
        <w:t>of</w:t>
      </w:r>
      <w:r>
        <w:rPr>
          <w:spacing w:val="-10"/>
        </w:rPr>
        <w:t> </w:t>
      </w:r>
      <w:r>
        <w:rPr/>
        <w:t>this</w:t>
      </w:r>
      <w:r>
        <w:rPr>
          <w:spacing w:val="-10"/>
        </w:rPr>
        <w:t> </w:t>
      </w:r>
      <w:r>
        <w:rPr/>
        <w:t>group</w:t>
      </w:r>
      <w:r>
        <w:rPr>
          <w:spacing w:val="-10"/>
        </w:rPr>
        <w:t> </w:t>
      </w:r>
      <w:r>
        <w:rPr/>
        <w:t>was</w:t>
      </w:r>
      <w:r>
        <w:rPr>
          <w:spacing w:val="-10"/>
        </w:rPr>
        <w:t> </w:t>
      </w:r>
      <w:r>
        <w:rPr/>
        <w:t>discussed</w:t>
      </w:r>
      <w:r>
        <w:rPr>
          <w:spacing w:val="-10"/>
        </w:rPr>
        <w:t> </w:t>
      </w:r>
      <w:r>
        <w:rPr/>
        <w:t>at </w:t>
      </w:r>
      <w:r>
        <w:rPr>
          <w:spacing w:val="-4"/>
        </w:rPr>
        <w:t>the</w:t>
      </w:r>
      <w:r>
        <w:rPr>
          <w:spacing w:val="-8"/>
        </w:rPr>
        <w:t> </w:t>
      </w:r>
      <w:r>
        <w:rPr>
          <w:spacing w:val="-4"/>
        </w:rPr>
        <w:t>Planning</w:t>
      </w:r>
      <w:r>
        <w:rPr>
          <w:spacing w:val="-8"/>
        </w:rPr>
        <w:t> </w:t>
      </w:r>
      <w:r>
        <w:rPr>
          <w:spacing w:val="-4"/>
        </w:rPr>
        <w:t>Commission</w:t>
      </w:r>
      <w:r>
        <w:rPr>
          <w:spacing w:val="-8"/>
        </w:rPr>
        <w:t> </w:t>
      </w:r>
      <w:r>
        <w:rPr>
          <w:spacing w:val="-4"/>
        </w:rPr>
        <w:t>and</w:t>
      </w:r>
      <w:r>
        <w:rPr>
          <w:spacing w:val="-8"/>
        </w:rPr>
        <w:t> </w:t>
      </w:r>
      <w:r>
        <w:rPr>
          <w:spacing w:val="-4"/>
        </w:rPr>
        <w:t>presented</w:t>
      </w:r>
      <w:r>
        <w:rPr>
          <w:spacing w:val="-8"/>
        </w:rPr>
        <w:t> </w:t>
      </w:r>
      <w:r>
        <w:rPr>
          <w:spacing w:val="-4"/>
        </w:rPr>
        <w:t>to</w:t>
      </w:r>
      <w:r>
        <w:rPr>
          <w:spacing w:val="-8"/>
        </w:rPr>
        <w:t> </w:t>
      </w:r>
      <w:r>
        <w:rPr>
          <w:spacing w:val="-4"/>
        </w:rPr>
        <w:t>the</w:t>
      </w:r>
      <w:r>
        <w:rPr>
          <w:spacing w:val="-8"/>
        </w:rPr>
        <w:t> </w:t>
      </w:r>
      <w:r>
        <w:rPr>
          <w:spacing w:val="-4"/>
        </w:rPr>
        <w:t>Minister </w:t>
      </w:r>
      <w:r>
        <w:rPr/>
        <w:t>for Communications and Information Technology. Thereafter, several discussions were held with other stakeholders including the Administrative Reforms Commission. Based on these discussions, NKC is </w:t>
      </w:r>
      <w:r>
        <w:rPr>
          <w:spacing w:val="-8"/>
        </w:rPr>
        <w:t>convinced</w:t>
      </w:r>
      <w:r>
        <w:rPr>
          <w:spacing w:val="-2"/>
        </w:rPr>
        <w:t> </w:t>
      </w:r>
      <w:r>
        <w:rPr>
          <w:spacing w:val="-8"/>
        </w:rPr>
        <w:t>that</w:t>
      </w:r>
      <w:r>
        <w:rPr>
          <w:spacing w:val="-2"/>
        </w:rPr>
        <w:t> </w:t>
      </w:r>
      <w:r>
        <w:rPr>
          <w:spacing w:val="-8"/>
        </w:rPr>
        <w:t>E-governance</w:t>
      </w:r>
      <w:r>
        <w:rPr>
          <w:spacing w:val="-2"/>
        </w:rPr>
        <w:t> </w:t>
      </w:r>
      <w:r>
        <w:rPr>
          <w:spacing w:val="-8"/>
        </w:rPr>
        <w:t>is</w:t>
      </w:r>
      <w:r>
        <w:rPr>
          <w:spacing w:val="-2"/>
        </w:rPr>
        <w:t> </w:t>
      </w:r>
      <w:r>
        <w:rPr>
          <w:spacing w:val="-8"/>
        </w:rPr>
        <w:t>more</w:t>
      </w:r>
      <w:r>
        <w:rPr>
          <w:spacing w:val="-2"/>
        </w:rPr>
        <w:t> </w:t>
      </w:r>
      <w:r>
        <w:rPr>
          <w:spacing w:val="-8"/>
        </w:rPr>
        <w:t>aboutanopportunity </w:t>
      </w:r>
      <w:r>
        <w:rPr>
          <w:spacing w:val="-6"/>
        </w:rPr>
        <w:t>for administrative reforms than merely about electronics </w:t>
      </w:r>
      <w:r>
        <w:rPr>
          <w:spacing w:val="-2"/>
        </w:rPr>
        <w:t>and</w:t>
      </w:r>
      <w:r>
        <w:rPr>
          <w:spacing w:val="-9"/>
        </w:rPr>
        <w:t> </w:t>
      </w:r>
      <w:r>
        <w:rPr>
          <w:spacing w:val="-2"/>
        </w:rPr>
        <w:t>information</w:t>
      </w:r>
      <w:r>
        <w:rPr>
          <w:spacing w:val="-9"/>
        </w:rPr>
        <w:t> </w:t>
      </w:r>
      <w:r>
        <w:rPr>
          <w:spacing w:val="-2"/>
        </w:rPr>
        <w:t>technology</w:t>
      </w:r>
      <w:r>
        <w:rPr>
          <w:spacing w:val="-9"/>
        </w:rPr>
        <w:t> </w:t>
      </w:r>
      <w:r>
        <w:rPr>
          <w:spacing w:val="-2"/>
        </w:rPr>
        <w:t>and</w:t>
      </w:r>
      <w:r>
        <w:rPr>
          <w:spacing w:val="-9"/>
        </w:rPr>
        <w:t> </w:t>
      </w:r>
      <w:r>
        <w:rPr>
          <w:spacing w:val="-2"/>
        </w:rPr>
        <w:t>infrastructure.</w:t>
      </w:r>
      <w:r>
        <w:rPr>
          <w:spacing w:val="-9"/>
        </w:rPr>
        <w:t> </w:t>
      </w:r>
      <w:r>
        <w:rPr>
          <w:spacing w:val="-2"/>
        </w:rPr>
        <w:t>NKC’s </w:t>
      </w:r>
      <w:r>
        <w:rPr>
          <w:spacing w:val="-6"/>
        </w:rPr>
        <w:t>recommendations</w:t>
      </w:r>
      <w:r>
        <w:rPr>
          <w:spacing w:val="-8"/>
        </w:rPr>
        <w:t> </w:t>
      </w:r>
      <w:r>
        <w:rPr>
          <w:spacing w:val="-6"/>
        </w:rPr>
        <w:t>on</w:t>
      </w:r>
      <w:r>
        <w:rPr>
          <w:spacing w:val="-8"/>
        </w:rPr>
        <w:t> </w:t>
      </w:r>
      <w:r>
        <w:rPr>
          <w:spacing w:val="-6"/>
        </w:rPr>
        <w:t>E-governance</w:t>
      </w:r>
      <w:r>
        <w:rPr>
          <w:spacing w:val="-8"/>
        </w:rPr>
        <w:t> </w:t>
      </w:r>
      <w:r>
        <w:rPr>
          <w:spacing w:val="-6"/>
        </w:rPr>
        <w:t>which</w:t>
      </w:r>
      <w:r>
        <w:rPr>
          <w:spacing w:val="-7"/>
        </w:rPr>
        <w:t> </w:t>
      </w:r>
      <w:r>
        <w:rPr>
          <w:spacing w:val="-6"/>
        </w:rPr>
        <w:t>broadly</w:t>
      </w:r>
      <w:r>
        <w:rPr>
          <w:spacing w:val="-8"/>
        </w:rPr>
        <w:t> </w:t>
      </w:r>
      <w:r>
        <w:rPr>
          <w:spacing w:val="-6"/>
        </w:rPr>
        <w:t>relate </w:t>
      </w:r>
      <w:r>
        <w:rPr>
          <w:spacing w:val="-8"/>
        </w:rPr>
        <w:t>to</w:t>
      </w:r>
      <w:r>
        <w:rPr>
          <w:spacing w:val="-6"/>
        </w:rPr>
        <w:t> </w:t>
      </w:r>
      <w:r>
        <w:rPr>
          <w:spacing w:val="-8"/>
        </w:rPr>
        <w:t>Processes</w:t>
      </w:r>
      <w:r>
        <w:rPr>
          <w:spacing w:val="-6"/>
        </w:rPr>
        <w:t> </w:t>
      </w:r>
      <w:r>
        <w:rPr>
          <w:spacing w:val="-8"/>
        </w:rPr>
        <w:t>&amp;</w:t>
      </w:r>
      <w:r>
        <w:rPr>
          <w:spacing w:val="-6"/>
        </w:rPr>
        <w:t> </w:t>
      </w:r>
      <w:r>
        <w:rPr>
          <w:spacing w:val="-8"/>
        </w:rPr>
        <w:t>Standards,</w:t>
      </w:r>
      <w:r>
        <w:rPr>
          <w:spacing w:val="-5"/>
        </w:rPr>
        <w:t> </w:t>
      </w:r>
      <w:r>
        <w:rPr>
          <w:spacing w:val="-8"/>
        </w:rPr>
        <w:t>Infrastructure</w:t>
      </w:r>
      <w:r>
        <w:rPr>
          <w:spacing w:val="-6"/>
        </w:rPr>
        <w:t> </w:t>
      </w:r>
      <w:r>
        <w:rPr>
          <w:spacing w:val="-8"/>
        </w:rPr>
        <w:t>and</w:t>
      </w:r>
      <w:r>
        <w:rPr>
          <w:spacing w:val="-6"/>
        </w:rPr>
        <w:t> </w:t>
      </w:r>
      <w:r>
        <w:rPr>
          <w:spacing w:val="-8"/>
        </w:rPr>
        <w:t>Organisation </w:t>
      </w:r>
      <w:r>
        <w:rPr/>
        <w:t>are as follows:</w:t>
      </w:r>
    </w:p>
    <w:p>
      <w:pPr>
        <w:pStyle w:val="Heading6"/>
        <w:numPr>
          <w:ilvl w:val="0"/>
          <w:numId w:val="67"/>
        </w:numPr>
        <w:tabs>
          <w:tab w:pos="1404" w:val="left" w:leader="none"/>
        </w:tabs>
        <w:spacing w:line="344" w:lineRule="exact" w:before="213" w:after="0"/>
        <w:ind w:left="1404" w:right="0" w:hanging="325"/>
        <w:jc w:val="left"/>
      </w:pPr>
      <w:r>
        <w:rPr>
          <w:color w:val="2E614A"/>
          <w:w w:val="90"/>
        </w:rPr>
        <w:t>Government</w:t>
      </w:r>
      <w:r>
        <w:rPr>
          <w:color w:val="2E614A"/>
          <w:spacing w:val="39"/>
        </w:rPr>
        <w:t> </w:t>
      </w:r>
      <w:r>
        <w:rPr>
          <w:color w:val="2E614A"/>
          <w:spacing w:val="-2"/>
        </w:rPr>
        <w:t>Process</w:t>
      </w:r>
    </w:p>
    <w:p>
      <w:pPr>
        <w:spacing w:line="208" w:lineRule="auto" w:before="15"/>
        <w:ind w:left="1406" w:right="0" w:firstLine="0"/>
        <w:jc w:val="left"/>
        <w:rPr>
          <w:b/>
          <w:sz w:val="32"/>
        </w:rPr>
      </w:pPr>
      <w:r>
        <w:rPr>
          <w:b/>
          <w:color w:val="2E614A"/>
          <w:w w:val="90"/>
          <w:sz w:val="32"/>
        </w:rPr>
        <w:t>Re-engineering Before </w:t>
      </w:r>
      <w:r>
        <w:rPr>
          <w:b/>
          <w:color w:val="2E614A"/>
          <w:w w:val="90"/>
          <w:sz w:val="32"/>
        </w:rPr>
        <w:t>Any </w:t>
      </w:r>
      <w:r>
        <w:rPr>
          <w:b/>
          <w:color w:val="2E614A"/>
          <w:spacing w:val="-2"/>
          <w:sz w:val="32"/>
        </w:rPr>
        <w:t>Computerisation</w:t>
      </w:r>
    </w:p>
    <w:p>
      <w:pPr>
        <w:pStyle w:val="BodyText"/>
        <w:spacing w:line="266" w:lineRule="auto" w:before="294"/>
        <w:ind w:left="1079"/>
        <w:jc w:val="both"/>
      </w:pPr>
      <w:r>
        <w:rPr>
          <w:spacing w:val="-4"/>
        </w:rPr>
        <w:t>At</w:t>
      </w:r>
      <w:r>
        <w:rPr>
          <w:spacing w:val="-7"/>
        </w:rPr>
        <w:t> </w:t>
      </w:r>
      <w:r>
        <w:rPr>
          <w:spacing w:val="-4"/>
        </w:rPr>
        <w:t>present</w:t>
      </w:r>
      <w:r>
        <w:rPr>
          <w:spacing w:val="-7"/>
        </w:rPr>
        <w:t> </w:t>
      </w:r>
      <w:r>
        <w:rPr>
          <w:spacing w:val="-4"/>
        </w:rPr>
        <w:t>the</w:t>
      </w:r>
      <w:r>
        <w:rPr>
          <w:spacing w:val="-7"/>
        </w:rPr>
        <w:t> </w:t>
      </w:r>
      <w:r>
        <w:rPr>
          <w:spacing w:val="-4"/>
        </w:rPr>
        <w:t>E-governance</w:t>
      </w:r>
      <w:r>
        <w:rPr>
          <w:spacing w:val="-7"/>
        </w:rPr>
        <w:t> </w:t>
      </w:r>
      <w:r>
        <w:rPr>
          <w:spacing w:val="-4"/>
        </w:rPr>
        <w:t>efforts</w:t>
      </w:r>
      <w:r>
        <w:rPr>
          <w:spacing w:val="-7"/>
        </w:rPr>
        <w:t> </w:t>
      </w:r>
      <w:r>
        <w:rPr>
          <w:spacing w:val="-4"/>
        </w:rPr>
        <w:t>are</w:t>
      </w:r>
      <w:r>
        <w:rPr>
          <w:spacing w:val="-7"/>
        </w:rPr>
        <w:t> </w:t>
      </w:r>
      <w:r>
        <w:rPr>
          <w:spacing w:val="-4"/>
        </w:rPr>
        <w:t>primarily</w:t>
      </w:r>
      <w:r>
        <w:rPr>
          <w:spacing w:val="-7"/>
        </w:rPr>
        <w:t> </w:t>
      </w:r>
      <w:r>
        <w:rPr>
          <w:spacing w:val="-4"/>
        </w:rPr>
        <w:t>based </w:t>
      </w:r>
      <w:r>
        <w:rPr/>
        <w:t>on computerising age-old processes left behind by </w:t>
      </w:r>
      <w:r>
        <w:rPr>
          <w:spacing w:val="-6"/>
        </w:rPr>
        <w:t>British Raj and compounded by a plethora of new layers </w:t>
      </w:r>
      <w:r>
        <w:rPr/>
        <w:t>and</w:t>
      </w:r>
      <w:r>
        <w:rPr>
          <w:spacing w:val="-9"/>
        </w:rPr>
        <w:t> </w:t>
      </w:r>
      <w:r>
        <w:rPr/>
        <w:t>silos</w:t>
      </w:r>
      <w:r>
        <w:rPr>
          <w:spacing w:val="-9"/>
        </w:rPr>
        <w:t> </w:t>
      </w:r>
      <w:r>
        <w:rPr/>
        <w:t>by</w:t>
      </w:r>
      <w:r>
        <w:rPr>
          <w:spacing w:val="-9"/>
        </w:rPr>
        <w:t> </w:t>
      </w:r>
      <w:r>
        <w:rPr/>
        <w:t>Indian</w:t>
      </w:r>
      <w:r>
        <w:rPr>
          <w:spacing w:val="-9"/>
        </w:rPr>
        <w:t> </w:t>
      </w:r>
      <w:r>
        <w:rPr/>
        <w:t>bureaucracy,</w:t>
      </w:r>
      <w:r>
        <w:rPr>
          <w:spacing w:val="-9"/>
        </w:rPr>
        <w:t> </w:t>
      </w:r>
      <w:r>
        <w:rPr/>
        <w:t>each</w:t>
      </w:r>
      <w:r>
        <w:rPr>
          <w:spacing w:val="-9"/>
        </w:rPr>
        <w:t> </w:t>
      </w:r>
      <w:r>
        <w:rPr/>
        <w:t>working</w:t>
      </w:r>
      <w:r>
        <w:rPr>
          <w:spacing w:val="-9"/>
        </w:rPr>
        <w:t> </w:t>
      </w:r>
      <w:r>
        <w:rPr/>
        <w:t>within </w:t>
      </w:r>
      <w:r>
        <w:rPr>
          <w:spacing w:val="-8"/>
        </w:rPr>
        <w:t>departmental</w:t>
      </w:r>
      <w:r>
        <w:rPr>
          <w:spacing w:val="-5"/>
        </w:rPr>
        <w:t> </w:t>
      </w:r>
      <w:r>
        <w:rPr>
          <w:spacing w:val="-8"/>
        </w:rPr>
        <w:t>boundaries</w:t>
      </w:r>
      <w:r>
        <w:rPr>
          <w:spacing w:val="-5"/>
        </w:rPr>
        <w:t> </w:t>
      </w:r>
      <w:r>
        <w:rPr>
          <w:spacing w:val="-8"/>
        </w:rPr>
        <w:t>and</w:t>
      </w:r>
      <w:r>
        <w:rPr>
          <w:spacing w:val="-5"/>
        </w:rPr>
        <w:t> </w:t>
      </w:r>
      <w:r>
        <w:rPr>
          <w:spacing w:val="-8"/>
        </w:rPr>
        <w:t>pet-priorities.</w:t>
      </w:r>
      <w:r>
        <w:rPr>
          <w:spacing w:val="-5"/>
        </w:rPr>
        <w:t> </w:t>
      </w:r>
      <w:r>
        <w:rPr>
          <w:spacing w:val="-8"/>
        </w:rPr>
        <w:t>As</w:t>
      </w:r>
      <w:r>
        <w:rPr>
          <w:spacing w:val="-5"/>
        </w:rPr>
        <w:t> </w:t>
      </w:r>
      <w:r>
        <w:rPr>
          <w:spacing w:val="-8"/>
        </w:rPr>
        <w:t>a</w:t>
      </w:r>
      <w:r>
        <w:rPr>
          <w:spacing w:val="-5"/>
        </w:rPr>
        <w:t> </w:t>
      </w:r>
      <w:r>
        <w:rPr>
          <w:spacing w:val="-8"/>
        </w:rPr>
        <w:t>result</w:t>
      </w:r>
      <w:r>
        <w:rPr>
          <w:spacing w:val="-5"/>
        </w:rPr>
        <w:t> </w:t>
      </w:r>
      <w:r>
        <w:rPr>
          <w:spacing w:val="-8"/>
        </w:rPr>
        <w:t>we </w:t>
      </w:r>
      <w:r>
        <w:rPr>
          <w:spacing w:val="-6"/>
        </w:rPr>
        <w:t>are computerising cumbersome processes and hence not commensurately</w:t>
      </w:r>
      <w:r>
        <w:rPr>
          <w:spacing w:val="-8"/>
        </w:rPr>
        <w:t> </w:t>
      </w:r>
      <w:r>
        <w:rPr>
          <w:spacing w:val="-6"/>
        </w:rPr>
        <w:t>benefiting</w:t>
      </w:r>
      <w:r>
        <w:rPr>
          <w:spacing w:val="-8"/>
        </w:rPr>
        <w:t> </w:t>
      </w:r>
      <w:r>
        <w:rPr>
          <w:spacing w:val="-6"/>
        </w:rPr>
        <w:t>from</w:t>
      </w:r>
      <w:r>
        <w:rPr>
          <w:spacing w:val="-8"/>
        </w:rPr>
        <w:t> </w:t>
      </w:r>
      <w:r>
        <w:rPr>
          <w:spacing w:val="-6"/>
        </w:rPr>
        <w:t>it.</w:t>
      </w:r>
      <w:r>
        <w:rPr>
          <w:spacing w:val="-7"/>
        </w:rPr>
        <w:t> </w:t>
      </w:r>
      <w:r>
        <w:rPr>
          <w:spacing w:val="-6"/>
        </w:rPr>
        <w:t>Simply</w:t>
      </w:r>
      <w:r>
        <w:rPr>
          <w:spacing w:val="-8"/>
        </w:rPr>
        <w:t> </w:t>
      </w:r>
      <w:r>
        <w:rPr>
          <w:spacing w:val="-6"/>
        </w:rPr>
        <w:t>digitising</w:t>
      </w:r>
      <w:r>
        <w:rPr>
          <w:spacing w:val="-8"/>
        </w:rPr>
        <w:t> </w:t>
      </w:r>
      <w:r>
        <w:rPr>
          <w:spacing w:val="-6"/>
        </w:rPr>
        <w:t>the existing</w:t>
      </w:r>
      <w:r>
        <w:rPr>
          <w:spacing w:val="-8"/>
        </w:rPr>
        <w:t> </w:t>
      </w:r>
      <w:r>
        <w:rPr>
          <w:spacing w:val="-6"/>
        </w:rPr>
        <w:t>government</w:t>
      </w:r>
      <w:r>
        <w:rPr>
          <w:spacing w:val="-8"/>
        </w:rPr>
        <w:t> </w:t>
      </w:r>
      <w:r>
        <w:rPr>
          <w:spacing w:val="-6"/>
        </w:rPr>
        <w:t>processes</w:t>
      </w:r>
      <w:r>
        <w:rPr>
          <w:spacing w:val="-8"/>
        </w:rPr>
        <w:t> </w:t>
      </w:r>
      <w:r>
        <w:rPr>
          <w:spacing w:val="-6"/>
        </w:rPr>
        <w:t>merely</w:t>
      </w:r>
      <w:r>
        <w:rPr>
          <w:spacing w:val="-7"/>
        </w:rPr>
        <w:t> </w:t>
      </w:r>
      <w:r>
        <w:rPr>
          <w:spacing w:val="-6"/>
        </w:rPr>
        <w:t>adds</w:t>
      </w:r>
      <w:r>
        <w:rPr>
          <w:spacing w:val="-8"/>
        </w:rPr>
        <w:t> </w:t>
      </w:r>
      <w:r>
        <w:rPr>
          <w:spacing w:val="-6"/>
        </w:rPr>
        <w:t>an</w:t>
      </w:r>
      <w:r>
        <w:rPr>
          <w:spacing w:val="-8"/>
        </w:rPr>
        <w:t> </w:t>
      </w:r>
      <w:r>
        <w:rPr>
          <w:spacing w:val="-6"/>
        </w:rPr>
        <w:t>additional layer</w:t>
      </w:r>
      <w:r>
        <w:rPr>
          <w:spacing w:val="-8"/>
        </w:rPr>
        <w:t> </w:t>
      </w:r>
      <w:r>
        <w:rPr>
          <w:spacing w:val="-6"/>
        </w:rPr>
        <w:t>of</w:t>
      </w:r>
      <w:r>
        <w:rPr>
          <w:spacing w:val="-8"/>
        </w:rPr>
        <w:t> </w:t>
      </w:r>
      <w:r>
        <w:rPr>
          <w:spacing w:val="-6"/>
        </w:rPr>
        <w:t>expense,</w:t>
      </w:r>
      <w:r>
        <w:rPr>
          <w:spacing w:val="-8"/>
        </w:rPr>
        <w:t> </w:t>
      </w:r>
      <w:r>
        <w:rPr>
          <w:spacing w:val="-6"/>
        </w:rPr>
        <w:t>complexity,</w:t>
      </w:r>
      <w:r>
        <w:rPr>
          <w:spacing w:val="-7"/>
        </w:rPr>
        <w:t> </w:t>
      </w:r>
      <w:r>
        <w:rPr>
          <w:spacing w:val="-6"/>
        </w:rPr>
        <w:t>delay</w:t>
      </w:r>
      <w:r>
        <w:rPr>
          <w:spacing w:val="-8"/>
        </w:rPr>
        <w:t> </w:t>
      </w:r>
      <w:r>
        <w:rPr>
          <w:spacing w:val="-6"/>
        </w:rPr>
        <w:t>and</w:t>
      </w:r>
      <w:r>
        <w:rPr>
          <w:spacing w:val="-8"/>
        </w:rPr>
        <w:t> </w:t>
      </w:r>
      <w:r>
        <w:rPr>
          <w:spacing w:val="-6"/>
        </w:rPr>
        <w:t>confusion.</w:t>
      </w:r>
      <w:r>
        <w:rPr>
          <w:spacing w:val="-8"/>
        </w:rPr>
        <w:t> </w:t>
      </w:r>
      <w:r>
        <w:rPr>
          <w:spacing w:val="-6"/>
        </w:rPr>
        <w:t>NKC feels</w:t>
      </w:r>
      <w:r>
        <w:rPr>
          <w:spacing w:val="-8"/>
        </w:rPr>
        <w:t> </w:t>
      </w:r>
      <w:r>
        <w:rPr>
          <w:spacing w:val="-6"/>
        </w:rPr>
        <w:t>that</w:t>
      </w:r>
      <w:r>
        <w:rPr>
          <w:spacing w:val="-8"/>
        </w:rPr>
        <w:t> </w:t>
      </w:r>
      <w:r>
        <w:rPr>
          <w:spacing w:val="-6"/>
        </w:rPr>
        <w:t>there</w:t>
      </w:r>
      <w:r>
        <w:rPr>
          <w:spacing w:val="-8"/>
        </w:rPr>
        <w:t> </w:t>
      </w:r>
      <w:r>
        <w:rPr>
          <w:spacing w:val="-6"/>
        </w:rPr>
        <w:t>is</w:t>
      </w:r>
      <w:r>
        <w:rPr>
          <w:spacing w:val="-7"/>
        </w:rPr>
        <w:t> </w:t>
      </w:r>
      <w:r>
        <w:rPr>
          <w:spacing w:val="-6"/>
        </w:rPr>
        <w:t>now</w:t>
      </w:r>
      <w:r>
        <w:rPr>
          <w:spacing w:val="-8"/>
        </w:rPr>
        <w:t> </w:t>
      </w:r>
      <w:r>
        <w:rPr>
          <w:spacing w:val="-6"/>
        </w:rPr>
        <w:t>a</w:t>
      </w:r>
      <w:r>
        <w:rPr>
          <w:spacing w:val="-8"/>
        </w:rPr>
        <w:t> </w:t>
      </w:r>
      <w:r>
        <w:rPr>
          <w:spacing w:val="-6"/>
        </w:rPr>
        <w:t>unique</w:t>
      </w:r>
      <w:r>
        <w:rPr>
          <w:spacing w:val="-8"/>
        </w:rPr>
        <w:t> </w:t>
      </w:r>
      <w:r>
        <w:rPr>
          <w:spacing w:val="-6"/>
        </w:rPr>
        <w:t>opportunity</w:t>
      </w:r>
      <w:r>
        <w:rPr>
          <w:spacing w:val="-7"/>
        </w:rPr>
        <w:t> </w:t>
      </w:r>
      <w:r>
        <w:rPr>
          <w:spacing w:val="-6"/>
        </w:rPr>
        <w:t>in</w:t>
      </w:r>
      <w:r>
        <w:rPr>
          <w:spacing w:val="-8"/>
        </w:rPr>
        <w:t> </w:t>
      </w:r>
      <w:r>
        <w:rPr>
          <w:spacing w:val="-6"/>
        </w:rPr>
        <w:t>the</w:t>
      </w:r>
      <w:r>
        <w:rPr>
          <w:spacing w:val="-8"/>
        </w:rPr>
        <w:t> </w:t>
      </w:r>
      <w:r>
        <w:rPr>
          <w:spacing w:val="-6"/>
        </w:rPr>
        <w:t>history </w:t>
      </w:r>
      <w:r>
        <w:rPr>
          <w:spacing w:val="-2"/>
        </w:rPr>
        <w:t>of</w:t>
      </w:r>
      <w:r>
        <w:rPr>
          <w:spacing w:val="-12"/>
        </w:rPr>
        <w:t> </w:t>
      </w:r>
      <w:r>
        <w:rPr>
          <w:spacing w:val="-2"/>
        </w:rPr>
        <w:t>India</w:t>
      </w:r>
      <w:r>
        <w:rPr>
          <w:spacing w:val="-12"/>
        </w:rPr>
        <w:t> </w:t>
      </w:r>
      <w:r>
        <w:rPr>
          <w:spacing w:val="-2"/>
        </w:rPr>
        <w:t>to</w:t>
      </w:r>
      <w:r>
        <w:rPr>
          <w:spacing w:val="-12"/>
        </w:rPr>
        <w:t> </w:t>
      </w:r>
      <w:r>
        <w:rPr>
          <w:spacing w:val="-2"/>
        </w:rPr>
        <w:t>leave</w:t>
      </w:r>
      <w:r>
        <w:rPr>
          <w:spacing w:val="-11"/>
        </w:rPr>
        <w:t> </w:t>
      </w:r>
      <w:r>
        <w:rPr>
          <w:spacing w:val="-2"/>
        </w:rPr>
        <w:t>behind</w:t>
      </w:r>
      <w:r>
        <w:rPr>
          <w:spacing w:val="-12"/>
        </w:rPr>
        <w:t> </w:t>
      </w:r>
      <w:r>
        <w:rPr>
          <w:spacing w:val="-2"/>
        </w:rPr>
        <w:t>the</w:t>
      </w:r>
      <w:r>
        <w:rPr>
          <w:spacing w:val="-12"/>
        </w:rPr>
        <w:t> </w:t>
      </w:r>
      <w:r>
        <w:rPr>
          <w:spacing w:val="-2"/>
        </w:rPr>
        <w:t>British</w:t>
      </w:r>
      <w:r>
        <w:rPr>
          <w:spacing w:val="-12"/>
        </w:rPr>
        <w:t> </w:t>
      </w:r>
      <w:r>
        <w:rPr>
          <w:spacing w:val="-2"/>
        </w:rPr>
        <w:t>Raj</w:t>
      </w:r>
      <w:r>
        <w:rPr>
          <w:spacing w:val="-11"/>
        </w:rPr>
        <w:t> </w:t>
      </w:r>
      <w:r>
        <w:rPr>
          <w:spacing w:val="-2"/>
        </w:rPr>
        <w:t>and</w:t>
      </w:r>
      <w:r>
        <w:rPr>
          <w:spacing w:val="-12"/>
        </w:rPr>
        <w:t> </w:t>
      </w:r>
      <w:r>
        <w:rPr>
          <w:spacing w:val="-2"/>
        </w:rPr>
        <w:t>re-engineer </w:t>
      </w:r>
      <w:r>
        <w:rPr/>
        <w:t>and modernise government processes to build a new India of the 21</w:t>
      </w:r>
      <w:r>
        <w:rPr>
          <w:position w:val="7"/>
          <w:sz w:val="13"/>
        </w:rPr>
        <w:t>st</w:t>
      </w:r>
      <w:r>
        <w:rPr>
          <w:spacing w:val="29"/>
          <w:position w:val="7"/>
          <w:sz w:val="13"/>
        </w:rPr>
        <w:t> </w:t>
      </w:r>
      <w:r>
        <w:rPr/>
        <w:t>century. Hence it is essential to first </w:t>
      </w:r>
      <w:r>
        <w:rPr>
          <w:spacing w:val="-2"/>
        </w:rPr>
        <w:t>redesign</w:t>
      </w:r>
      <w:r>
        <w:rPr>
          <w:spacing w:val="-7"/>
        </w:rPr>
        <w:t> </w:t>
      </w:r>
      <w:r>
        <w:rPr>
          <w:spacing w:val="-2"/>
        </w:rPr>
        <w:t>the</w:t>
      </w:r>
      <w:r>
        <w:rPr>
          <w:spacing w:val="-7"/>
        </w:rPr>
        <w:t> </w:t>
      </w:r>
      <w:r>
        <w:rPr>
          <w:spacing w:val="-2"/>
        </w:rPr>
        <w:t>government</w:t>
      </w:r>
      <w:r>
        <w:rPr>
          <w:spacing w:val="-7"/>
        </w:rPr>
        <w:t> </w:t>
      </w:r>
      <w:r>
        <w:rPr>
          <w:spacing w:val="-2"/>
        </w:rPr>
        <w:t>processes</w:t>
      </w:r>
      <w:r>
        <w:rPr>
          <w:spacing w:val="-7"/>
        </w:rPr>
        <w:t> </w:t>
      </w:r>
      <w:r>
        <w:rPr>
          <w:spacing w:val="-2"/>
        </w:rPr>
        <w:t>keeping</w:t>
      </w:r>
      <w:r>
        <w:rPr>
          <w:spacing w:val="-7"/>
        </w:rPr>
        <w:t> </w:t>
      </w:r>
      <w:r>
        <w:rPr>
          <w:spacing w:val="-2"/>
        </w:rPr>
        <w:t>the</w:t>
      </w:r>
      <w:r>
        <w:rPr>
          <w:spacing w:val="-7"/>
        </w:rPr>
        <w:t> </w:t>
      </w:r>
      <w:r>
        <w:rPr>
          <w:spacing w:val="-2"/>
        </w:rPr>
        <w:t>citizen </w:t>
      </w:r>
      <w:r>
        <w:rPr/>
        <w:t>at</w:t>
      </w:r>
      <w:r>
        <w:rPr>
          <w:spacing w:val="-16"/>
        </w:rPr>
        <w:t> </w:t>
      </w:r>
      <w:r>
        <w:rPr/>
        <w:t>the</w:t>
      </w:r>
      <w:r>
        <w:rPr>
          <w:spacing w:val="-14"/>
        </w:rPr>
        <w:t> </w:t>
      </w:r>
      <w:r>
        <w:rPr/>
        <w:t>centre,</w:t>
      </w:r>
      <w:r>
        <w:rPr>
          <w:spacing w:val="-14"/>
        </w:rPr>
        <w:t> </w:t>
      </w:r>
      <w:r>
        <w:rPr/>
        <w:t>providing</w:t>
      </w:r>
      <w:r>
        <w:rPr>
          <w:spacing w:val="-13"/>
        </w:rPr>
        <w:t> </w:t>
      </w:r>
      <w:r>
        <w:rPr/>
        <w:t>for</w:t>
      </w:r>
      <w:r>
        <w:rPr>
          <w:spacing w:val="-14"/>
        </w:rPr>
        <w:t> </w:t>
      </w:r>
      <w:r>
        <w:rPr/>
        <w:t>the</w:t>
      </w:r>
      <w:r>
        <w:rPr>
          <w:spacing w:val="-14"/>
        </w:rPr>
        <w:t> </w:t>
      </w:r>
      <w:r>
        <w:rPr/>
        <w:t>enablement</w:t>
      </w:r>
      <w:r>
        <w:rPr>
          <w:spacing w:val="-14"/>
        </w:rPr>
        <w:t> </w:t>
      </w:r>
      <w:r>
        <w:rPr/>
        <w:t>of</w:t>
      </w:r>
      <w:r>
        <w:rPr>
          <w:spacing w:val="-13"/>
        </w:rPr>
        <w:t> </w:t>
      </w:r>
      <w:r>
        <w:rPr/>
        <w:t>citizens, </w:t>
      </w:r>
      <w:r>
        <w:rPr>
          <w:spacing w:val="-4"/>
        </w:rPr>
        <w:t>businesses, producers and consumers, replacing the old </w:t>
      </w:r>
      <w:r>
        <w:rPr/>
        <w:t>mistrust</w:t>
      </w:r>
      <w:r>
        <w:rPr>
          <w:spacing w:val="-1"/>
        </w:rPr>
        <w:t> </w:t>
      </w:r>
      <w:r>
        <w:rPr/>
        <w:t>and</w:t>
      </w:r>
      <w:r>
        <w:rPr>
          <w:spacing w:val="-1"/>
        </w:rPr>
        <w:t> </w:t>
      </w:r>
      <w:r>
        <w:rPr/>
        <w:t>control</w:t>
      </w:r>
      <w:r>
        <w:rPr>
          <w:spacing w:val="-1"/>
        </w:rPr>
        <w:t> </w:t>
      </w:r>
      <w:r>
        <w:rPr/>
        <w:t>regime</w:t>
      </w:r>
      <w:r>
        <w:rPr>
          <w:spacing w:val="-1"/>
        </w:rPr>
        <w:t> </w:t>
      </w:r>
      <w:r>
        <w:rPr/>
        <w:t>of</w:t>
      </w:r>
      <w:r>
        <w:rPr>
          <w:spacing w:val="-1"/>
        </w:rPr>
        <w:t> </w:t>
      </w:r>
      <w:r>
        <w:rPr/>
        <w:t>the</w:t>
      </w:r>
      <w:r>
        <w:rPr>
          <w:spacing w:val="-1"/>
        </w:rPr>
        <w:t> </w:t>
      </w:r>
      <w:r>
        <w:rPr/>
        <w:t>colonial</w:t>
      </w:r>
      <w:r>
        <w:rPr>
          <w:spacing w:val="-1"/>
        </w:rPr>
        <w:t> </w:t>
      </w:r>
      <w:r>
        <w:rPr/>
        <w:t>past.</w:t>
      </w:r>
      <w:r>
        <w:rPr>
          <w:spacing w:val="-7"/>
        </w:rPr>
        <w:t> </w:t>
      </w:r>
      <w:r>
        <w:rPr/>
        <w:t>This redesigning of government processes will drastically reduce the numbers and duration of successive steps </w:t>
      </w:r>
      <w:r>
        <w:rPr>
          <w:spacing w:val="-4"/>
        </w:rPr>
        <w:t>required</w:t>
      </w:r>
      <w:r>
        <w:rPr>
          <w:spacing w:val="-10"/>
        </w:rPr>
        <w:t> </w:t>
      </w:r>
      <w:r>
        <w:rPr>
          <w:spacing w:val="-4"/>
        </w:rPr>
        <w:t>to</w:t>
      </w:r>
      <w:r>
        <w:rPr>
          <w:spacing w:val="-10"/>
        </w:rPr>
        <w:t> </w:t>
      </w:r>
      <w:r>
        <w:rPr>
          <w:spacing w:val="-4"/>
        </w:rPr>
        <w:t>obtain</w:t>
      </w:r>
      <w:r>
        <w:rPr>
          <w:spacing w:val="-10"/>
        </w:rPr>
        <w:t> </w:t>
      </w:r>
      <w:r>
        <w:rPr>
          <w:spacing w:val="-4"/>
        </w:rPr>
        <w:t>services.</w:t>
      </w:r>
      <w:r>
        <w:rPr>
          <w:spacing w:val="-9"/>
        </w:rPr>
        <w:t> </w:t>
      </w:r>
      <w:r>
        <w:rPr>
          <w:spacing w:val="-4"/>
        </w:rPr>
        <w:t>It</w:t>
      </w:r>
      <w:r>
        <w:rPr>
          <w:spacing w:val="-10"/>
        </w:rPr>
        <w:t> </w:t>
      </w:r>
      <w:r>
        <w:rPr>
          <w:spacing w:val="-4"/>
        </w:rPr>
        <w:t>will</w:t>
      </w:r>
      <w:r>
        <w:rPr>
          <w:spacing w:val="-10"/>
        </w:rPr>
        <w:t> </w:t>
      </w:r>
      <w:r>
        <w:rPr>
          <w:spacing w:val="-4"/>
        </w:rPr>
        <w:t>also</w:t>
      </w:r>
      <w:r>
        <w:rPr>
          <w:spacing w:val="-10"/>
        </w:rPr>
        <w:t> </w:t>
      </w:r>
      <w:r>
        <w:rPr>
          <w:spacing w:val="-4"/>
        </w:rPr>
        <w:t>provide</w:t>
      </w:r>
      <w:r>
        <w:rPr>
          <w:spacing w:val="-9"/>
        </w:rPr>
        <w:t> </w:t>
      </w:r>
      <w:r>
        <w:rPr>
          <w:spacing w:val="-4"/>
        </w:rPr>
        <w:t>traceable records,</w:t>
      </w:r>
      <w:r>
        <w:rPr>
          <w:spacing w:val="-9"/>
        </w:rPr>
        <w:t> </w:t>
      </w:r>
      <w:r>
        <w:rPr>
          <w:spacing w:val="-4"/>
        </w:rPr>
        <w:t>enable</w:t>
      </w:r>
      <w:r>
        <w:rPr>
          <w:spacing w:val="-8"/>
        </w:rPr>
        <w:t> </w:t>
      </w:r>
      <w:r>
        <w:rPr>
          <w:spacing w:val="-4"/>
        </w:rPr>
        <w:t>enforcement</w:t>
      </w:r>
      <w:r>
        <w:rPr>
          <w:spacing w:val="-8"/>
        </w:rPr>
        <w:t> </w:t>
      </w:r>
      <w:r>
        <w:rPr>
          <w:spacing w:val="-4"/>
        </w:rPr>
        <w:t>of</w:t>
      </w:r>
      <w:r>
        <w:rPr>
          <w:spacing w:val="-8"/>
        </w:rPr>
        <w:t> </w:t>
      </w:r>
      <w:r>
        <w:rPr>
          <w:spacing w:val="-4"/>
        </w:rPr>
        <w:t>individual</w:t>
      </w:r>
      <w:r>
        <w:rPr>
          <w:spacing w:val="-8"/>
        </w:rPr>
        <w:t> </w:t>
      </w:r>
      <w:r>
        <w:rPr>
          <w:spacing w:val="-4"/>
        </w:rPr>
        <w:t>performance,</w:t>
      </w:r>
    </w:p>
    <w:p>
      <w:pPr>
        <w:pStyle w:val="BodyText"/>
        <w:spacing w:line="266" w:lineRule="auto" w:before="82"/>
        <w:ind w:left="319" w:right="1078"/>
        <w:jc w:val="both"/>
      </w:pPr>
      <w:r>
        <w:rPr/>
        <w:br w:type="column"/>
      </w:r>
      <w:r>
        <w:rPr/>
        <w:t>accountability,</w:t>
      </w:r>
      <w:r>
        <w:rPr>
          <w:spacing w:val="-8"/>
        </w:rPr>
        <w:t> </w:t>
      </w:r>
      <w:r>
        <w:rPr/>
        <w:t>efficiency</w:t>
      </w:r>
      <w:r>
        <w:rPr>
          <w:spacing w:val="-8"/>
        </w:rPr>
        <w:t> </w:t>
      </w:r>
      <w:r>
        <w:rPr/>
        <w:t>and</w:t>
      </w:r>
      <w:r>
        <w:rPr>
          <w:spacing w:val="-8"/>
        </w:rPr>
        <w:t> </w:t>
      </w:r>
      <w:r>
        <w:rPr/>
        <w:t>productivity,</w:t>
      </w:r>
      <w:r>
        <w:rPr>
          <w:spacing w:val="-8"/>
        </w:rPr>
        <w:t> </w:t>
      </w:r>
      <w:r>
        <w:rPr/>
        <w:t>as</w:t>
      </w:r>
      <w:r>
        <w:rPr>
          <w:spacing w:val="-8"/>
        </w:rPr>
        <w:t> </w:t>
      </w:r>
      <w:r>
        <w:rPr/>
        <w:t>well</w:t>
      </w:r>
      <w:r>
        <w:rPr>
          <w:spacing w:val="-8"/>
        </w:rPr>
        <w:t> </w:t>
      </w:r>
      <w:r>
        <w:rPr/>
        <w:t>as </w:t>
      </w:r>
      <w:r>
        <w:rPr>
          <w:spacing w:val="-2"/>
        </w:rPr>
        <w:t>transparency</w:t>
      </w:r>
      <w:r>
        <w:rPr>
          <w:spacing w:val="-12"/>
        </w:rPr>
        <w:t> </w:t>
      </w:r>
      <w:r>
        <w:rPr>
          <w:spacing w:val="-2"/>
        </w:rPr>
        <w:t>of</w:t>
      </w:r>
      <w:r>
        <w:rPr>
          <w:spacing w:val="-12"/>
        </w:rPr>
        <w:t> </w:t>
      </w:r>
      <w:r>
        <w:rPr>
          <w:spacing w:val="-2"/>
        </w:rPr>
        <w:t>policies</w:t>
      </w:r>
      <w:r>
        <w:rPr>
          <w:spacing w:val="-12"/>
        </w:rPr>
        <w:t> </w:t>
      </w:r>
      <w:r>
        <w:rPr>
          <w:spacing w:val="-2"/>
        </w:rPr>
        <w:t>and</w:t>
      </w:r>
      <w:r>
        <w:rPr>
          <w:spacing w:val="-11"/>
        </w:rPr>
        <w:t> </w:t>
      </w:r>
      <w:r>
        <w:rPr>
          <w:spacing w:val="-2"/>
        </w:rPr>
        <w:t>processes.</w:t>
      </w:r>
    </w:p>
    <w:p>
      <w:pPr>
        <w:pStyle w:val="BodyText"/>
        <w:spacing w:before="10"/>
      </w:pPr>
    </w:p>
    <w:p>
      <w:pPr>
        <w:pStyle w:val="Heading6"/>
        <w:numPr>
          <w:ilvl w:val="0"/>
          <w:numId w:val="67"/>
        </w:numPr>
        <w:tabs>
          <w:tab w:pos="657" w:val="left" w:leader="none"/>
        </w:tabs>
        <w:spacing w:line="208" w:lineRule="auto" w:before="0" w:after="0"/>
        <w:ind w:left="657" w:right="2181" w:hanging="338"/>
        <w:jc w:val="left"/>
      </w:pPr>
      <w:r>
        <w:rPr>
          <w:color w:val="2E614A"/>
          <w:spacing w:val="-12"/>
        </w:rPr>
        <w:t>Ten</w:t>
      </w:r>
      <w:r>
        <w:rPr>
          <w:color w:val="2E614A"/>
          <w:spacing w:val="-8"/>
        </w:rPr>
        <w:t> </w:t>
      </w:r>
      <w:r>
        <w:rPr>
          <w:color w:val="2E614A"/>
          <w:spacing w:val="-12"/>
        </w:rPr>
        <w:t>to</w:t>
      </w:r>
      <w:r>
        <w:rPr>
          <w:color w:val="2E614A"/>
          <w:spacing w:val="-8"/>
        </w:rPr>
        <w:t> </w:t>
      </w:r>
      <w:r>
        <w:rPr>
          <w:color w:val="2E614A"/>
          <w:spacing w:val="-12"/>
        </w:rPr>
        <w:t>Twenty</w:t>
      </w:r>
      <w:r>
        <w:rPr>
          <w:color w:val="2E614A"/>
          <w:spacing w:val="-8"/>
        </w:rPr>
        <w:t> </w:t>
      </w:r>
      <w:r>
        <w:rPr>
          <w:color w:val="2E614A"/>
          <w:spacing w:val="-12"/>
        </w:rPr>
        <w:t>Important </w:t>
      </w:r>
      <w:r>
        <w:rPr>
          <w:color w:val="2E614A"/>
          <w:spacing w:val="-4"/>
        </w:rPr>
        <w:t>Processes</w:t>
      </w:r>
      <w:r>
        <w:rPr>
          <w:color w:val="2E614A"/>
          <w:spacing w:val="-16"/>
        </w:rPr>
        <w:t> </w:t>
      </w:r>
      <w:r>
        <w:rPr>
          <w:color w:val="2E614A"/>
          <w:spacing w:val="-4"/>
        </w:rPr>
        <w:t>and</w:t>
      </w:r>
      <w:r>
        <w:rPr>
          <w:color w:val="2E614A"/>
          <w:spacing w:val="-16"/>
        </w:rPr>
        <w:t> </w:t>
      </w:r>
      <w:r>
        <w:rPr>
          <w:color w:val="2E614A"/>
          <w:spacing w:val="-4"/>
        </w:rPr>
        <w:t>Services</w:t>
      </w:r>
    </w:p>
    <w:p>
      <w:pPr>
        <w:pStyle w:val="BodyText"/>
        <w:spacing w:line="266" w:lineRule="auto" w:before="295"/>
        <w:ind w:left="319" w:right="1077"/>
        <w:jc w:val="both"/>
      </w:pPr>
      <w:r>
        <w:rPr/>
        <w:t>To make an immediate impact on citizens it is</w:t>
      </w:r>
      <w:r>
        <w:rPr>
          <w:spacing w:val="80"/>
        </w:rPr>
        <w:t> </w:t>
      </w:r>
      <w:r>
        <w:rPr>
          <w:spacing w:val="-4"/>
        </w:rPr>
        <w:t>critical</w:t>
      </w:r>
      <w:r>
        <w:rPr>
          <w:spacing w:val="-9"/>
        </w:rPr>
        <w:t> </w:t>
      </w:r>
      <w:r>
        <w:rPr>
          <w:spacing w:val="-4"/>
        </w:rPr>
        <w:t>to</w:t>
      </w:r>
      <w:r>
        <w:rPr>
          <w:spacing w:val="-9"/>
        </w:rPr>
        <w:t> </w:t>
      </w:r>
      <w:r>
        <w:rPr>
          <w:spacing w:val="-4"/>
        </w:rPr>
        <w:t>identify</w:t>
      </w:r>
      <w:r>
        <w:rPr>
          <w:spacing w:val="-9"/>
        </w:rPr>
        <w:t> </w:t>
      </w:r>
      <w:r>
        <w:rPr>
          <w:spacing w:val="-4"/>
        </w:rPr>
        <w:t>and</w:t>
      </w:r>
      <w:r>
        <w:rPr>
          <w:spacing w:val="-9"/>
        </w:rPr>
        <w:t> </w:t>
      </w:r>
      <w:r>
        <w:rPr>
          <w:spacing w:val="-4"/>
        </w:rPr>
        <w:t>simplify</w:t>
      </w:r>
      <w:r>
        <w:rPr>
          <w:spacing w:val="-9"/>
        </w:rPr>
        <w:t> </w:t>
      </w:r>
      <w:r>
        <w:rPr>
          <w:spacing w:val="-4"/>
        </w:rPr>
        <w:t>important</w:t>
      </w:r>
      <w:r>
        <w:rPr>
          <w:spacing w:val="-9"/>
        </w:rPr>
        <w:t> </w:t>
      </w:r>
      <w:r>
        <w:rPr>
          <w:spacing w:val="-4"/>
        </w:rPr>
        <w:t>processes</w:t>
      </w:r>
      <w:r>
        <w:rPr>
          <w:spacing w:val="-9"/>
        </w:rPr>
        <w:t> </w:t>
      </w:r>
      <w:r>
        <w:rPr>
          <w:spacing w:val="-4"/>
        </w:rPr>
        <w:t>and services,</w:t>
      </w:r>
      <w:r>
        <w:rPr>
          <w:spacing w:val="-8"/>
        </w:rPr>
        <w:t> </w:t>
      </w:r>
      <w:r>
        <w:rPr>
          <w:spacing w:val="-4"/>
        </w:rPr>
        <w:t>say</w:t>
      </w:r>
      <w:r>
        <w:rPr>
          <w:spacing w:val="-8"/>
        </w:rPr>
        <w:t> </w:t>
      </w:r>
      <w:r>
        <w:rPr>
          <w:spacing w:val="-4"/>
        </w:rPr>
        <w:t>10</w:t>
      </w:r>
      <w:r>
        <w:rPr>
          <w:spacing w:val="-8"/>
        </w:rPr>
        <w:t> </w:t>
      </w:r>
      <w:r>
        <w:rPr>
          <w:spacing w:val="-4"/>
        </w:rPr>
        <w:t>to</w:t>
      </w:r>
      <w:r>
        <w:rPr>
          <w:spacing w:val="-8"/>
        </w:rPr>
        <w:t> </w:t>
      </w:r>
      <w:r>
        <w:rPr>
          <w:spacing w:val="-4"/>
        </w:rPr>
        <w:t>20</w:t>
      </w:r>
      <w:r>
        <w:rPr>
          <w:spacing w:val="-8"/>
        </w:rPr>
        <w:t> </w:t>
      </w:r>
      <w:r>
        <w:rPr>
          <w:spacing w:val="-4"/>
        </w:rPr>
        <w:t>to</w:t>
      </w:r>
      <w:r>
        <w:rPr>
          <w:spacing w:val="-8"/>
        </w:rPr>
        <w:t> </w:t>
      </w:r>
      <w:r>
        <w:rPr>
          <w:spacing w:val="-4"/>
        </w:rPr>
        <w:t>begin</w:t>
      </w:r>
      <w:r>
        <w:rPr>
          <w:spacing w:val="-8"/>
        </w:rPr>
        <w:t> </w:t>
      </w:r>
      <w:r>
        <w:rPr>
          <w:spacing w:val="-4"/>
        </w:rPr>
        <w:t>with,</w:t>
      </w:r>
      <w:r>
        <w:rPr>
          <w:spacing w:val="-8"/>
        </w:rPr>
        <w:t> </w:t>
      </w:r>
      <w:r>
        <w:rPr>
          <w:spacing w:val="-4"/>
        </w:rPr>
        <w:t>which</w:t>
      </w:r>
      <w:r>
        <w:rPr>
          <w:spacing w:val="-8"/>
        </w:rPr>
        <w:t> </w:t>
      </w:r>
      <w:r>
        <w:rPr>
          <w:spacing w:val="-4"/>
        </w:rPr>
        <w:t>are</w:t>
      </w:r>
      <w:r>
        <w:rPr>
          <w:spacing w:val="-8"/>
        </w:rPr>
        <w:t> </w:t>
      </w:r>
      <w:r>
        <w:rPr>
          <w:spacing w:val="-4"/>
        </w:rPr>
        <w:t>currently </w:t>
      </w:r>
      <w:r>
        <w:rPr/>
        <w:t>cumbersome, bureaucratic and prone to unnecessary delays and even corruption. These processes can be simplified</w:t>
      </w:r>
      <w:r>
        <w:rPr>
          <w:spacing w:val="-7"/>
        </w:rPr>
        <w:t> </w:t>
      </w:r>
      <w:r>
        <w:rPr/>
        <w:t>and</w:t>
      </w:r>
      <w:r>
        <w:rPr>
          <w:spacing w:val="-7"/>
        </w:rPr>
        <w:t> </w:t>
      </w:r>
      <w:r>
        <w:rPr/>
        <w:t>made</w:t>
      </w:r>
      <w:r>
        <w:rPr>
          <w:spacing w:val="-7"/>
        </w:rPr>
        <w:t> </w:t>
      </w:r>
      <w:r>
        <w:rPr/>
        <w:t>available</w:t>
      </w:r>
      <w:r>
        <w:rPr>
          <w:spacing w:val="-7"/>
        </w:rPr>
        <w:t> </w:t>
      </w:r>
      <w:r>
        <w:rPr/>
        <w:t>as</w:t>
      </w:r>
      <w:r>
        <w:rPr>
          <w:spacing w:val="-7"/>
        </w:rPr>
        <w:t> </w:t>
      </w:r>
      <w:r>
        <w:rPr/>
        <w:t>web-based</w:t>
      </w:r>
      <w:r>
        <w:rPr>
          <w:spacing w:val="-7"/>
        </w:rPr>
        <w:t> </w:t>
      </w:r>
      <w:r>
        <w:rPr/>
        <w:t>services. Initially,</w:t>
      </w:r>
      <w:r>
        <w:rPr>
          <w:spacing w:val="-12"/>
        </w:rPr>
        <w:t> </w:t>
      </w:r>
      <w:r>
        <w:rPr/>
        <w:t>these</w:t>
      </w:r>
      <w:r>
        <w:rPr>
          <w:spacing w:val="-12"/>
        </w:rPr>
        <w:t> </w:t>
      </w:r>
      <w:r>
        <w:rPr/>
        <w:t>services</w:t>
      </w:r>
      <w:r>
        <w:rPr>
          <w:spacing w:val="-12"/>
        </w:rPr>
        <w:t> </w:t>
      </w:r>
      <w:r>
        <w:rPr/>
        <w:t>could</w:t>
      </w:r>
      <w:r>
        <w:rPr>
          <w:spacing w:val="-12"/>
        </w:rPr>
        <w:t> </w:t>
      </w:r>
      <w:r>
        <w:rPr/>
        <w:t>include</w:t>
      </w:r>
      <w:r>
        <w:rPr>
          <w:spacing w:val="-12"/>
        </w:rPr>
        <w:t> </w:t>
      </w:r>
      <w:r>
        <w:rPr/>
        <w:t>birth</w:t>
      </w:r>
      <w:r>
        <w:rPr>
          <w:spacing w:val="-12"/>
        </w:rPr>
        <w:t> </w:t>
      </w:r>
      <w:r>
        <w:rPr/>
        <w:t>certificate, death certificate, proof of residence, and ration/ID cards. Other processes can be added over a period of </w:t>
      </w:r>
      <w:r>
        <w:rPr>
          <w:spacing w:val="-6"/>
        </w:rPr>
        <w:t>time.</w:t>
      </w:r>
      <w:r>
        <w:rPr>
          <w:spacing w:val="-8"/>
        </w:rPr>
        <w:t> </w:t>
      </w:r>
      <w:r>
        <w:rPr>
          <w:spacing w:val="-6"/>
        </w:rPr>
        <w:t>This</w:t>
      </w:r>
      <w:r>
        <w:rPr>
          <w:spacing w:val="-7"/>
        </w:rPr>
        <w:t> </w:t>
      </w:r>
      <w:r>
        <w:rPr>
          <w:spacing w:val="-6"/>
        </w:rPr>
        <w:t>approach</w:t>
      </w:r>
      <w:r>
        <w:rPr>
          <w:spacing w:val="-1"/>
        </w:rPr>
        <w:t> </w:t>
      </w:r>
      <w:r>
        <w:rPr>
          <w:spacing w:val="-6"/>
        </w:rPr>
        <w:t>will require each state to implement </w:t>
      </w:r>
      <w:r>
        <w:rPr/>
        <w:t>these</w:t>
      </w:r>
      <w:r>
        <w:rPr>
          <w:spacing w:val="-6"/>
        </w:rPr>
        <w:t> </w:t>
      </w:r>
      <w:r>
        <w:rPr/>
        <w:t>processes</w:t>
      </w:r>
      <w:r>
        <w:rPr>
          <w:spacing w:val="-6"/>
        </w:rPr>
        <w:t> </w:t>
      </w:r>
      <w:r>
        <w:rPr/>
        <w:t>in</w:t>
      </w:r>
      <w:r>
        <w:rPr>
          <w:spacing w:val="-6"/>
        </w:rPr>
        <w:t> </w:t>
      </w:r>
      <w:r>
        <w:rPr/>
        <w:t>concert</w:t>
      </w:r>
      <w:r>
        <w:rPr>
          <w:spacing w:val="-6"/>
        </w:rPr>
        <w:t> </w:t>
      </w:r>
      <w:r>
        <w:rPr/>
        <w:t>and</w:t>
      </w:r>
      <w:r>
        <w:rPr>
          <w:spacing w:val="-6"/>
        </w:rPr>
        <w:t> </w:t>
      </w:r>
      <w:r>
        <w:rPr/>
        <w:t>learn</w:t>
      </w:r>
      <w:r>
        <w:rPr>
          <w:spacing w:val="-6"/>
        </w:rPr>
        <w:t> </w:t>
      </w:r>
      <w:r>
        <w:rPr/>
        <w:t>from</w:t>
      </w:r>
      <w:r>
        <w:rPr>
          <w:spacing w:val="-6"/>
        </w:rPr>
        <w:t> </w:t>
      </w:r>
      <w:r>
        <w:rPr/>
        <w:t>each</w:t>
      </w:r>
      <w:r>
        <w:rPr>
          <w:spacing w:val="-6"/>
        </w:rPr>
        <w:t> </w:t>
      </w:r>
      <w:r>
        <w:rPr/>
        <w:t>other.</w:t>
      </w:r>
    </w:p>
    <w:p>
      <w:pPr>
        <w:pStyle w:val="Heading6"/>
        <w:numPr>
          <w:ilvl w:val="0"/>
          <w:numId w:val="67"/>
        </w:numPr>
        <w:tabs>
          <w:tab w:pos="644" w:val="left" w:leader="none"/>
        </w:tabs>
        <w:spacing w:line="240" w:lineRule="auto" w:before="217" w:after="0"/>
        <w:ind w:left="644" w:right="0" w:hanging="325"/>
        <w:jc w:val="left"/>
      </w:pPr>
      <w:r>
        <w:rPr>
          <w:color w:val="2E614A"/>
          <w:spacing w:val="-6"/>
        </w:rPr>
        <w:t>Common</w:t>
      </w:r>
      <w:r>
        <w:rPr>
          <w:color w:val="2E614A"/>
          <w:spacing w:val="-14"/>
        </w:rPr>
        <w:t> </w:t>
      </w:r>
      <w:r>
        <w:rPr>
          <w:color w:val="2E614A"/>
          <w:spacing w:val="-2"/>
        </w:rPr>
        <w:t>Standards</w:t>
      </w:r>
    </w:p>
    <w:p>
      <w:pPr>
        <w:pStyle w:val="BodyText"/>
        <w:spacing w:line="266" w:lineRule="auto" w:before="286"/>
        <w:ind w:left="319" w:right="1077"/>
        <w:jc w:val="both"/>
      </w:pPr>
      <w:r>
        <w:rPr>
          <w:spacing w:val="-6"/>
        </w:rPr>
        <w:t>At</w:t>
      </w:r>
      <w:r>
        <w:rPr>
          <w:spacing w:val="-8"/>
        </w:rPr>
        <w:t> </w:t>
      </w:r>
      <w:r>
        <w:rPr>
          <w:spacing w:val="-6"/>
        </w:rPr>
        <w:t>present,</w:t>
      </w:r>
      <w:r>
        <w:rPr>
          <w:spacing w:val="-8"/>
        </w:rPr>
        <w:t> </w:t>
      </w:r>
      <w:r>
        <w:rPr>
          <w:spacing w:val="-6"/>
        </w:rPr>
        <w:t>various</w:t>
      </w:r>
      <w:r>
        <w:rPr>
          <w:spacing w:val="-8"/>
        </w:rPr>
        <w:t> </w:t>
      </w:r>
      <w:r>
        <w:rPr>
          <w:spacing w:val="-6"/>
        </w:rPr>
        <w:t>State</w:t>
      </w:r>
      <w:r>
        <w:rPr>
          <w:spacing w:val="-7"/>
        </w:rPr>
        <w:t> </w:t>
      </w:r>
      <w:r>
        <w:rPr>
          <w:spacing w:val="-6"/>
        </w:rPr>
        <w:t>Governments</w:t>
      </w:r>
      <w:r>
        <w:rPr>
          <w:spacing w:val="-8"/>
        </w:rPr>
        <w:t> </w:t>
      </w:r>
      <w:r>
        <w:rPr>
          <w:spacing w:val="-6"/>
        </w:rPr>
        <w:t>are</w:t>
      </w:r>
      <w:r>
        <w:rPr>
          <w:spacing w:val="-8"/>
        </w:rPr>
        <w:t> </w:t>
      </w:r>
      <w:r>
        <w:rPr>
          <w:spacing w:val="-6"/>
        </w:rPr>
        <w:t>choosing</w:t>
      </w:r>
      <w:r>
        <w:rPr>
          <w:spacing w:val="-8"/>
        </w:rPr>
        <w:t> </w:t>
      </w:r>
      <w:r>
        <w:rPr>
          <w:spacing w:val="-6"/>
        </w:rPr>
        <w:t>their </w:t>
      </w:r>
      <w:r>
        <w:rPr>
          <w:spacing w:val="-2"/>
        </w:rPr>
        <w:t>own</w:t>
      </w:r>
      <w:r>
        <w:rPr>
          <w:spacing w:val="-6"/>
        </w:rPr>
        <w:t> </w:t>
      </w:r>
      <w:r>
        <w:rPr>
          <w:spacing w:val="-2"/>
        </w:rPr>
        <w:t>ways</w:t>
      </w:r>
      <w:r>
        <w:rPr>
          <w:spacing w:val="-7"/>
        </w:rPr>
        <w:t> </w:t>
      </w:r>
      <w:r>
        <w:rPr>
          <w:spacing w:val="-2"/>
        </w:rPr>
        <w:t>of</w:t>
      </w:r>
      <w:r>
        <w:rPr>
          <w:spacing w:val="-6"/>
        </w:rPr>
        <w:t> </w:t>
      </w:r>
      <w:r>
        <w:rPr>
          <w:spacing w:val="-2"/>
        </w:rPr>
        <w:t>selectively</w:t>
      </w:r>
      <w:r>
        <w:rPr>
          <w:spacing w:val="-7"/>
        </w:rPr>
        <w:t> </w:t>
      </w:r>
      <w:r>
        <w:rPr>
          <w:spacing w:val="-2"/>
        </w:rPr>
        <w:t>computerising</w:t>
      </w:r>
      <w:r>
        <w:rPr>
          <w:spacing w:val="-6"/>
        </w:rPr>
        <w:t> </w:t>
      </w:r>
      <w:r>
        <w:rPr>
          <w:spacing w:val="-2"/>
        </w:rPr>
        <w:t>their</w:t>
      </w:r>
      <w:r>
        <w:rPr>
          <w:spacing w:val="-7"/>
        </w:rPr>
        <w:t> </w:t>
      </w:r>
      <w:r>
        <w:rPr>
          <w:spacing w:val="-2"/>
        </w:rPr>
        <w:t>processes </w:t>
      </w:r>
      <w:r>
        <w:rPr>
          <w:spacing w:val="-4"/>
        </w:rPr>
        <w:t>and</w:t>
      </w:r>
      <w:r>
        <w:rPr>
          <w:spacing w:val="-9"/>
        </w:rPr>
        <w:t> </w:t>
      </w:r>
      <w:r>
        <w:rPr>
          <w:spacing w:val="-4"/>
        </w:rPr>
        <w:t>provide</w:t>
      </w:r>
      <w:r>
        <w:rPr>
          <w:spacing w:val="-9"/>
        </w:rPr>
        <w:t> </w:t>
      </w:r>
      <w:r>
        <w:rPr>
          <w:spacing w:val="-4"/>
        </w:rPr>
        <w:t>E-governance.</w:t>
      </w:r>
      <w:r>
        <w:rPr>
          <w:spacing w:val="-9"/>
        </w:rPr>
        <w:t> </w:t>
      </w:r>
      <w:r>
        <w:rPr>
          <w:spacing w:val="-4"/>
        </w:rPr>
        <w:t>Many</w:t>
      </w:r>
      <w:r>
        <w:rPr>
          <w:spacing w:val="-9"/>
        </w:rPr>
        <w:t> </w:t>
      </w:r>
      <w:r>
        <w:rPr>
          <w:spacing w:val="-4"/>
        </w:rPr>
        <w:t>of</w:t>
      </w:r>
      <w:r>
        <w:rPr>
          <w:spacing w:val="-9"/>
        </w:rPr>
        <w:t> </w:t>
      </w:r>
      <w:r>
        <w:rPr>
          <w:spacing w:val="-4"/>
        </w:rPr>
        <w:t>these</w:t>
      </w:r>
      <w:r>
        <w:rPr>
          <w:spacing w:val="-9"/>
        </w:rPr>
        <w:t> </w:t>
      </w:r>
      <w:r>
        <w:rPr>
          <w:spacing w:val="-4"/>
        </w:rPr>
        <w:t>programs</w:t>
      </w:r>
      <w:r>
        <w:rPr>
          <w:spacing w:val="-9"/>
        </w:rPr>
        <w:t> </w:t>
      </w:r>
      <w:r>
        <w:rPr>
          <w:spacing w:val="-4"/>
        </w:rPr>
        <w:t>are </w:t>
      </w:r>
      <w:r>
        <w:rPr>
          <w:spacing w:val="-2"/>
        </w:rPr>
        <w:t>vendor-driven</w:t>
      </w:r>
      <w:r>
        <w:rPr>
          <w:spacing w:val="-7"/>
        </w:rPr>
        <w:t> </w:t>
      </w:r>
      <w:r>
        <w:rPr>
          <w:spacing w:val="-2"/>
        </w:rPr>
        <w:t>and</w:t>
      </w:r>
      <w:r>
        <w:rPr>
          <w:spacing w:val="-7"/>
        </w:rPr>
        <w:t> </w:t>
      </w:r>
      <w:r>
        <w:rPr>
          <w:spacing w:val="-2"/>
        </w:rPr>
        <w:t>not</w:t>
      </w:r>
      <w:r>
        <w:rPr>
          <w:spacing w:val="-7"/>
        </w:rPr>
        <w:t> </w:t>
      </w:r>
      <w:r>
        <w:rPr>
          <w:spacing w:val="-2"/>
        </w:rPr>
        <w:t>scalable.</w:t>
      </w:r>
      <w:r>
        <w:rPr>
          <w:spacing w:val="-7"/>
        </w:rPr>
        <w:t> </w:t>
      </w:r>
      <w:r>
        <w:rPr>
          <w:spacing w:val="-2"/>
        </w:rPr>
        <w:t>It</w:t>
      </w:r>
      <w:r>
        <w:rPr>
          <w:spacing w:val="-7"/>
        </w:rPr>
        <w:t> </w:t>
      </w:r>
      <w:r>
        <w:rPr>
          <w:spacing w:val="-2"/>
        </w:rPr>
        <w:t>is</w:t>
      </w:r>
      <w:r>
        <w:rPr>
          <w:spacing w:val="-7"/>
        </w:rPr>
        <w:t> </w:t>
      </w:r>
      <w:r>
        <w:rPr>
          <w:spacing w:val="-2"/>
        </w:rPr>
        <w:t>critical</w:t>
      </w:r>
      <w:r>
        <w:rPr>
          <w:spacing w:val="-7"/>
        </w:rPr>
        <w:t> </w:t>
      </w:r>
      <w:r>
        <w:rPr>
          <w:spacing w:val="-2"/>
        </w:rPr>
        <w:t>to</w:t>
      </w:r>
      <w:r>
        <w:rPr>
          <w:spacing w:val="-7"/>
        </w:rPr>
        <w:t> </w:t>
      </w:r>
      <w:r>
        <w:rPr>
          <w:spacing w:val="-2"/>
        </w:rPr>
        <w:t>develop </w:t>
      </w:r>
      <w:r>
        <w:rPr/>
        <w:t>and enforce citizen/business entitlement standards uniformly over all states and central ministries and functions, spanning from voting, taxes, certificates, financial products, law-enforcement and welfare for </w:t>
      </w:r>
      <w:r>
        <w:rPr>
          <w:spacing w:val="-2"/>
        </w:rPr>
        <w:t>individuals, properties of land, institutions, businesses </w:t>
      </w:r>
      <w:r>
        <w:rPr>
          <w:spacing w:val="-4"/>
        </w:rPr>
        <w:t>etc.</w:t>
      </w:r>
      <w:r>
        <w:rPr>
          <w:spacing w:val="-10"/>
        </w:rPr>
        <w:t> </w:t>
      </w:r>
      <w:r>
        <w:rPr>
          <w:spacing w:val="-4"/>
        </w:rPr>
        <w:t>These</w:t>
      </w:r>
      <w:r>
        <w:rPr>
          <w:spacing w:val="-10"/>
        </w:rPr>
        <w:t> </w:t>
      </w:r>
      <w:r>
        <w:rPr>
          <w:spacing w:val="-4"/>
        </w:rPr>
        <w:t>standards</w:t>
      </w:r>
      <w:r>
        <w:rPr>
          <w:spacing w:val="-10"/>
        </w:rPr>
        <w:t> </w:t>
      </w:r>
      <w:r>
        <w:rPr>
          <w:spacing w:val="-4"/>
        </w:rPr>
        <w:t>should</w:t>
      </w:r>
      <w:r>
        <w:rPr>
          <w:spacing w:val="-9"/>
        </w:rPr>
        <w:t> </w:t>
      </w:r>
      <w:r>
        <w:rPr>
          <w:spacing w:val="-4"/>
        </w:rPr>
        <w:t>not</w:t>
      </w:r>
      <w:r>
        <w:rPr>
          <w:spacing w:val="-10"/>
        </w:rPr>
        <w:t> </w:t>
      </w:r>
      <w:r>
        <w:rPr>
          <w:spacing w:val="-4"/>
        </w:rPr>
        <w:t>be</w:t>
      </w:r>
      <w:r>
        <w:rPr>
          <w:spacing w:val="-10"/>
        </w:rPr>
        <w:t> </w:t>
      </w:r>
      <w:r>
        <w:rPr>
          <w:spacing w:val="-4"/>
        </w:rPr>
        <w:t>hardware-centric</w:t>
      </w:r>
      <w:r>
        <w:rPr>
          <w:spacing w:val="-10"/>
        </w:rPr>
        <w:t> </w:t>
      </w:r>
      <w:r>
        <w:rPr>
          <w:spacing w:val="-4"/>
        </w:rPr>
        <w:t>and </w:t>
      </w:r>
      <w:r>
        <w:rPr>
          <w:spacing w:val="-2"/>
        </w:rPr>
        <w:t>vendor</w:t>
      </w:r>
      <w:r>
        <w:rPr>
          <w:spacing w:val="-6"/>
        </w:rPr>
        <w:t> </w:t>
      </w:r>
      <w:r>
        <w:rPr>
          <w:spacing w:val="-2"/>
        </w:rPr>
        <w:t>dependent</w:t>
      </w:r>
      <w:r>
        <w:rPr>
          <w:spacing w:val="-6"/>
        </w:rPr>
        <w:t> </w:t>
      </w:r>
      <w:r>
        <w:rPr>
          <w:spacing w:val="-2"/>
        </w:rPr>
        <w:t>but</w:t>
      </w:r>
      <w:r>
        <w:rPr>
          <w:spacing w:val="-6"/>
        </w:rPr>
        <w:t> </w:t>
      </w:r>
      <w:r>
        <w:rPr>
          <w:spacing w:val="-2"/>
        </w:rPr>
        <w:t>should</w:t>
      </w:r>
      <w:r>
        <w:rPr>
          <w:spacing w:val="-6"/>
        </w:rPr>
        <w:t> </w:t>
      </w:r>
      <w:r>
        <w:rPr>
          <w:spacing w:val="-2"/>
        </w:rPr>
        <w:t>enable</w:t>
      </w:r>
      <w:r>
        <w:rPr>
          <w:spacing w:val="-6"/>
        </w:rPr>
        <w:t> </w:t>
      </w:r>
      <w:r>
        <w:rPr>
          <w:spacing w:val="-2"/>
        </w:rPr>
        <w:t>easy</w:t>
      </w:r>
      <w:r>
        <w:rPr>
          <w:spacing w:val="-6"/>
        </w:rPr>
        <w:t> </w:t>
      </w:r>
      <w:r>
        <w:rPr>
          <w:spacing w:val="-2"/>
        </w:rPr>
        <w:t>participation </w:t>
      </w:r>
      <w:r>
        <w:rPr/>
        <w:t>by</w:t>
      </w:r>
      <w:r>
        <w:rPr>
          <w:spacing w:val="-12"/>
        </w:rPr>
        <w:t> </w:t>
      </w:r>
      <w:r>
        <w:rPr/>
        <w:t>any</w:t>
      </w:r>
      <w:r>
        <w:rPr>
          <w:spacing w:val="-12"/>
        </w:rPr>
        <w:t> </w:t>
      </w:r>
      <w:r>
        <w:rPr/>
        <w:t>State,</w:t>
      </w:r>
      <w:r>
        <w:rPr>
          <w:spacing w:val="-12"/>
        </w:rPr>
        <w:t> </w:t>
      </w:r>
      <w:r>
        <w:rPr/>
        <w:t>Panchayat</w:t>
      </w:r>
      <w:r>
        <w:rPr>
          <w:spacing w:val="-12"/>
        </w:rPr>
        <w:t> </w:t>
      </w:r>
      <w:r>
        <w:rPr/>
        <w:t>Institution,</w:t>
      </w:r>
      <w:r>
        <w:rPr>
          <w:spacing w:val="-12"/>
        </w:rPr>
        <w:t> </w:t>
      </w:r>
      <w:r>
        <w:rPr/>
        <w:t>business,</w:t>
      </w:r>
      <w:r>
        <w:rPr>
          <w:spacing w:val="-12"/>
        </w:rPr>
        <w:t> </w:t>
      </w:r>
      <w:r>
        <w:rPr/>
        <w:t>NGO</w:t>
      </w:r>
      <w:r>
        <w:rPr>
          <w:spacing w:val="-12"/>
        </w:rPr>
        <w:t> </w:t>
      </w:r>
      <w:r>
        <w:rPr/>
        <w:t>or </w:t>
      </w:r>
      <w:r>
        <w:rPr>
          <w:w w:val="90"/>
        </w:rPr>
        <w:t>citizen, whenever they decide.</w:t>
      </w:r>
      <w:r>
        <w:rPr>
          <w:spacing w:val="-8"/>
          <w:w w:val="90"/>
        </w:rPr>
        <w:t> </w:t>
      </w:r>
      <w:r>
        <w:rPr>
          <w:w w:val="90"/>
        </w:rPr>
        <w:t>These standards, templates </w:t>
      </w:r>
      <w:r>
        <w:rPr/>
        <w:t>and</w:t>
      </w:r>
      <w:r>
        <w:rPr>
          <w:spacing w:val="-9"/>
        </w:rPr>
        <w:t> </w:t>
      </w:r>
      <w:r>
        <w:rPr/>
        <w:t>data</w:t>
      </w:r>
      <w:r>
        <w:rPr>
          <w:spacing w:val="-9"/>
        </w:rPr>
        <w:t> </w:t>
      </w:r>
      <w:r>
        <w:rPr/>
        <w:t>formats</w:t>
      </w:r>
      <w:r>
        <w:rPr>
          <w:spacing w:val="-9"/>
        </w:rPr>
        <w:t> </w:t>
      </w:r>
      <w:r>
        <w:rPr/>
        <w:t>must</w:t>
      </w:r>
      <w:r>
        <w:rPr>
          <w:spacing w:val="-9"/>
        </w:rPr>
        <w:t> </w:t>
      </w:r>
      <w:r>
        <w:rPr/>
        <w:t>be</w:t>
      </w:r>
      <w:r>
        <w:rPr>
          <w:spacing w:val="-9"/>
        </w:rPr>
        <w:t> </w:t>
      </w:r>
      <w:r>
        <w:rPr/>
        <w:t>designed</w:t>
      </w:r>
      <w:r>
        <w:rPr>
          <w:spacing w:val="-9"/>
        </w:rPr>
        <w:t> </w:t>
      </w:r>
      <w:r>
        <w:rPr/>
        <w:t>carefully</w:t>
      </w:r>
      <w:r>
        <w:rPr>
          <w:spacing w:val="-9"/>
        </w:rPr>
        <w:t> </w:t>
      </w:r>
      <w:r>
        <w:rPr/>
        <w:t>by</w:t>
      </w:r>
      <w:r>
        <w:rPr>
          <w:spacing w:val="-9"/>
        </w:rPr>
        <w:t> </w:t>
      </w:r>
      <w:r>
        <w:rPr/>
        <w:t>teams of experts drawn from government, IT companies, academia,</w:t>
      </w:r>
      <w:r>
        <w:rPr>
          <w:spacing w:val="-11"/>
        </w:rPr>
        <w:t> </w:t>
      </w:r>
      <w:r>
        <w:rPr/>
        <w:t>R&amp;D</w:t>
      </w:r>
      <w:r>
        <w:rPr>
          <w:spacing w:val="-11"/>
        </w:rPr>
        <w:t> </w:t>
      </w:r>
      <w:r>
        <w:rPr/>
        <w:t>institutions</w:t>
      </w:r>
      <w:r>
        <w:rPr>
          <w:spacing w:val="-11"/>
        </w:rPr>
        <w:t> </w:t>
      </w:r>
      <w:r>
        <w:rPr/>
        <w:t>and</w:t>
      </w:r>
      <w:r>
        <w:rPr>
          <w:spacing w:val="-11"/>
        </w:rPr>
        <w:t> </w:t>
      </w:r>
      <w:r>
        <w:rPr/>
        <w:t>users</w:t>
      </w:r>
      <w:r>
        <w:rPr>
          <w:spacing w:val="-11"/>
        </w:rPr>
        <w:t> </w:t>
      </w:r>
      <w:r>
        <w:rPr/>
        <w:t>or</w:t>
      </w:r>
      <w:r>
        <w:rPr>
          <w:spacing w:val="-11"/>
        </w:rPr>
        <w:t> </w:t>
      </w:r>
      <w:r>
        <w:rPr/>
        <w:t>stakeholders who understand latest trends, technology, software, </w:t>
      </w:r>
      <w:r>
        <w:rPr>
          <w:spacing w:val="-2"/>
        </w:rPr>
        <w:t>user</w:t>
      </w:r>
      <w:r>
        <w:rPr>
          <w:spacing w:val="-12"/>
        </w:rPr>
        <w:t> </w:t>
      </w:r>
      <w:r>
        <w:rPr>
          <w:spacing w:val="-2"/>
        </w:rPr>
        <w:t>interfaces</w:t>
      </w:r>
      <w:r>
        <w:rPr>
          <w:spacing w:val="-12"/>
        </w:rPr>
        <w:t> </w:t>
      </w:r>
      <w:r>
        <w:rPr>
          <w:spacing w:val="-2"/>
        </w:rPr>
        <w:t>and</w:t>
      </w:r>
      <w:r>
        <w:rPr>
          <w:spacing w:val="-12"/>
        </w:rPr>
        <w:t> </w:t>
      </w:r>
      <w:r>
        <w:rPr>
          <w:spacing w:val="-2"/>
        </w:rPr>
        <w:t>interoperability</w:t>
      </w:r>
      <w:r>
        <w:rPr>
          <w:spacing w:val="-11"/>
        </w:rPr>
        <w:t> </w:t>
      </w:r>
      <w:r>
        <w:rPr>
          <w:spacing w:val="-2"/>
        </w:rPr>
        <w:t>requirements.</w:t>
      </w:r>
      <w:r>
        <w:rPr>
          <w:spacing w:val="-12"/>
        </w:rPr>
        <w:t> </w:t>
      </w:r>
      <w:r>
        <w:rPr>
          <w:spacing w:val="-2"/>
        </w:rPr>
        <w:t>NKC </w:t>
      </w:r>
      <w:r>
        <w:rPr/>
        <w:t>recommends that all State Governments follow these standards.</w:t>
      </w:r>
      <w:r>
        <w:rPr>
          <w:spacing w:val="-11"/>
        </w:rPr>
        <w:t> </w:t>
      </w:r>
      <w:r>
        <w:rPr/>
        <w:t>At</w:t>
      </w:r>
      <w:r>
        <w:rPr>
          <w:spacing w:val="-11"/>
        </w:rPr>
        <w:t> </w:t>
      </w:r>
      <w:r>
        <w:rPr/>
        <w:t>the</w:t>
      </w:r>
      <w:r>
        <w:rPr>
          <w:spacing w:val="-11"/>
        </w:rPr>
        <w:t> </w:t>
      </w:r>
      <w:r>
        <w:rPr/>
        <w:t>same</w:t>
      </w:r>
      <w:r>
        <w:rPr>
          <w:spacing w:val="-11"/>
        </w:rPr>
        <w:t> </w:t>
      </w:r>
      <w:r>
        <w:rPr/>
        <w:t>time,</w:t>
      </w:r>
      <w:r>
        <w:rPr>
          <w:spacing w:val="-11"/>
        </w:rPr>
        <w:t> </w:t>
      </w:r>
      <w:r>
        <w:rPr/>
        <w:t>it</w:t>
      </w:r>
      <w:r>
        <w:rPr>
          <w:spacing w:val="-11"/>
        </w:rPr>
        <w:t> </w:t>
      </w:r>
      <w:r>
        <w:rPr/>
        <w:t>is</w:t>
      </w:r>
      <w:r>
        <w:rPr>
          <w:spacing w:val="-11"/>
        </w:rPr>
        <w:t> </w:t>
      </w:r>
      <w:r>
        <w:rPr/>
        <w:t>also</w:t>
      </w:r>
      <w:r>
        <w:rPr>
          <w:spacing w:val="-11"/>
        </w:rPr>
        <w:t> </w:t>
      </w:r>
      <w:r>
        <w:rPr/>
        <w:t>conscious</w:t>
      </w:r>
      <w:r>
        <w:rPr>
          <w:spacing w:val="-11"/>
        </w:rPr>
        <w:t> </w:t>
      </w:r>
      <w:r>
        <w:rPr/>
        <w:t>of</w:t>
      </w:r>
      <w:r>
        <w:rPr>
          <w:spacing w:val="-11"/>
        </w:rPr>
        <w:t> </w:t>
      </w:r>
      <w:r>
        <w:rPr/>
        <w:t>the need</w:t>
      </w:r>
      <w:r>
        <w:rPr>
          <w:spacing w:val="-14"/>
        </w:rPr>
        <w:t> </w:t>
      </w:r>
      <w:r>
        <w:rPr/>
        <w:t>to</w:t>
      </w:r>
      <w:r>
        <w:rPr>
          <w:spacing w:val="-14"/>
        </w:rPr>
        <w:t> </w:t>
      </w:r>
      <w:r>
        <w:rPr/>
        <w:t>incorporate</w:t>
      </w:r>
      <w:r>
        <w:rPr>
          <w:spacing w:val="-14"/>
        </w:rPr>
        <w:t> </w:t>
      </w:r>
      <w:r>
        <w:rPr/>
        <w:t>some</w:t>
      </w:r>
      <w:r>
        <w:rPr>
          <w:spacing w:val="-13"/>
        </w:rPr>
        <w:t> </w:t>
      </w:r>
      <w:r>
        <w:rPr/>
        <w:t>of</w:t>
      </w:r>
      <w:r>
        <w:rPr>
          <w:spacing w:val="-14"/>
        </w:rPr>
        <w:t> </w:t>
      </w:r>
      <w:r>
        <w:rPr/>
        <w:t>the</w:t>
      </w:r>
      <w:r>
        <w:rPr>
          <w:spacing w:val="-14"/>
        </w:rPr>
        <w:t> </w:t>
      </w:r>
      <w:r>
        <w:rPr/>
        <w:t>standards</w:t>
      </w:r>
      <w:r>
        <w:rPr>
          <w:spacing w:val="-14"/>
        </w:rPr>
        <w:t> </w:t>
      </w:r>
      <w:r>
        <w:rPr/>
        <w:t>followed</w:t>
      </w:r>
      <w:r>
        <w:rPr>
          <w:spacing w:val="-13"/>
        </w:rPr>
        <w:t> </w:t>
      </w:r>
      <w:r>
        <w:rPr/>
        <w:t>by State Governments.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6"/>
        <w:numPr>
          <w:ilvl w:val="0"/>
          <w:numId w:val="67"/>
        </w:numPr>
        <w:tabs>
          <w:tab w:pos="1404" w:val="left" w:leader="none"/>
          <w:tab w:pos="1406" w:val="left" w:leader="none"/>
        </w:tabs>
        <w:spacing w:line="208" w:lineRule="auto" w:before="96" w:after="0"/>
        <w:ind w:left="1406" w:right="326" w:hanging="327"/>
        <w:jc w:val="left"/>
      </w:pPr>
      <w:r>
        <w:rPr>
          <w:color w:val="2E614A"/>
          <w:w w:val="90"/>
        </w:rPr>
        <w:t>Best Practices and Lessons </w:t>
      </w:r>
      <w:r>
        <w:rPr>
          <w:color w:val="2E614A"/>
          <w:w w:val="90"/>
        </w:rPr>
        <w:t>from </w:t>
      </w:r>
      <w:r>
        <w:rPr>
          <w:color w:val="2E614A"/>
        </w:rPr>
        <w:t>the Past</w:t>
      </w:r>
    </w:p>
    <w:p>
      <w:pPr>
        <w:pStyle w:val="BodyText"/>
        <w:spacing w:line="266" w:lineRule="auto" w:before="294"/>
        <w:ind w:left="1080"/>
        <w:jc w:val="both"/>
      </w:pPr>
      <w:r>
        <w:rPr/>
        <w:t>A</w:t>
      </w:r>
      <w:r>
        <w:rPr>
          <w:spacing w:val="-10"/>
        </w:rPr>
        <w:t> </w:t>
      </w:r>
      <w:r>
        <w:rPr/>
        <w:t>great</w:t>
      </w:r>
      <w:r>
        <w:rPr>
          <w:spacing w:val="-10"/>
        </w:rPr>
        <w:t> </w:t>
      </w:r>
      <w:r>
        <w:rPr/>
        <w:t>deal</w:t>
      </w:r>
      <w:r>
        <w:rPr>
          <w:spacing w:val="-10"/>
        </w:rPr>
        <w:t> </w:t>
      </w:r>
      <w:r>
        <w:rPr/>
        <w:t>of</w:t>
      </w:r>
      <w:r>
        <w:rPr>
          <w:spacing w:val="-10"/>
        </w:rPr>
        <w:t> </w:t>
      </w:r>
      <w:r>
        <w:rPr/>
        <w:t>work</w:t>
      </w:r>
      <w:r>
        <w:rPr>
          <w:spacing w:val="-10"/>
        </w:rPr>
        <w:t> </w:t>
      </w:r>
      <w:r>
        <w:rPr/>
        <w:t>has</w:t>
      </w:r>
      <w:r>
        <w:rPr>
          <w:spacing w:val="-10"/>
        </w:rPr>
        <w:t> </w:t>
      </w:r>
      <w:r>
        <w:rPr/>
        <w:t>already</w:t>
      </w:r>
      <w:r>
        <w:rPr>
          <w:spacing w:val="-10"/>
        </w:rPr>
        <w:t> </w:t>
      </w:r>
      <w:r>
        <w:rPr/>
        <w:t>been</w:t>
      </w:r>
      <w:r>
        <w:rPr>
          <w:spacing w:val="-10"/>
        </w:rPr>
        <w:t> </w:t>
      </w:r>
      <w:r>
        <w:rPr/>
        <w:t>done</w:t>
      </w:r>
      <w:r>
        <w:rPr>
          <w:spacing w:val="-10"/>
        </w:rPr>
        <w:t> </w:t>
      </w:r>
      <w:r>
        <w:rPr/>
        <w:t>in</w:t>
      </w:r>
      <w:r>
        <w:rPr>
          <w:spacing w:val="-10"/>
        </w:rPr>
        <w:t> </w:t>
      </w:r>
      <w:r>
        <w:rPr/>
        <w:t>various central</w:t>
      </w:r>
      <w:r>
        <w:rPr>
          <w:spacing w:val="-3"/>
        </w:rPr>
        <w:t> </w:t>
      </w:r>
      <w:r>
        <w:rPr/>
        <w:t>ministries</w:t>
      </w:r>
      <w:r>
        <w:rPr>
          <w:spacing w:val="-3"/>
        </w:rPr>
        <w:t> </w:t>
      </w:r>
      <w:r>
        <w:rPr/>
        <w:t>and</w:t>
      </w:r>
      <w:r>
        <w:rPr>
          <w:spacing w:val="-3"/>
        </w:rPr>
        <w:t> </w:t>
      </w:r>
      <w:r>
        <w:rPr/>
        <w:t>in</w:t>
      </w:r>
      <w:r>
        <w:rPr>
          <w:spacing w:val="-3"/>
        </w:rPr>
        <w:t> </w:t>
      </w:r>
      <w:r>
        <w:rPr/>
        <w:t>State</w:t>
      </w:r>
      <w:r>
        <w:rPr>
          <w:spacing w:val="-3"/>
        </w:rPr>
        <w:t> </w:t>
      </w:r>
      <w:r>
        <w:rPr/>
        <w:t>Governments.</w:t>
      </w:r>
      <w:r>
        <w:rPr>
          <w:spacing w:val="-10"/>
        </w:rPr>
        <w:t> </w:t>
      </w:r>
      <w:r>
        <w:rPr/>
        <w:t>The</w:t>
      </w:r>
      <w:r>
        <w:rPr>
          <w:spacing w:val="-3"/>
        </w:rPr>
        <w:t> </w:t>
      </w:r>
      <w:r>
        <w:rPr/>
        <w:t>key is to learn from these and design best practices that are affordable and applicable nationwide to ensure ease of use and interoperability. NKC notes that the </w:t>
      </w:r>
      <w:r>
        <w:rPr>
          <w:spacing w:val="-6"/>
        </w:rPr>
        <w:t>Government’s</w:t>
      </w:r>
      <w:r>
        <w:rPr>
          <w:spacing w:val="-8"/>
        </w:rPr>
        <w:t> </w:t>
      </w:r>
      <w:r>
        <w:rPr>
          <w:spacing w:val="-6"/>
        </w:rPr>
        <w:t>own</w:t>
      </w:r>
      <w:r>
        <w:rPr>
          <w:spacing w:val="-8"/>
        </w:rPr>
        <w:t> </w:t>
      </w:r>
      <w:r>
        <w:rPr>
          <w:spacing w:val="-6"/>
        </w:rPr>
        <w:t>offices,</w:t>
      </w:r>
      <w:r>
        <w:rPr>
          <w:spacing w:val="-8"/>
        </w:rPr>
        <w:t> </w:t>
      </w:r>
      <w:r>
        <w:rPr>
          <w:spacing w:val="-6"/>
        </w:rPr>
        <w:t>laboratories,</w:t>
      </w:r>
      <w:r>
        <w:rPr>
          <w:spacing w:val="-7"/>
        </w:rPr>
        <w:t> </w:t>
      </w:r>
      <w:r>
        <w:rPr>
          <w:spacing w:val="-6"/>
        </w:rPr>
        <w:t>and</w:t>
      </w:r>
      <w:r>
        <w:rPr>
          <w:spacing w:val="-8"/>
        </w:rPr>
        <w:t> </w:t>
      </w:r>
      <w:r>
        <w:rPr>
          <w:spacing w:val="-6"/>
        </w:rPr>
        <w:t>directorates </w:t>
      </w:r>
      <w:r>
        <w:rPr/>
        <w:t>have an immense amount of useful and relevant data [e.g.</w:t>
      </w:r>
      <w:r>
        <w:rPr>
          <w:spacing w:val="-1"/>
        </w:rPr>
        <w:t> </w:t>
      </w:r>
      <w:r>
        <w:rPr/>
        <w:t>the</w:t>
      </w:r>
      <w:r>
        <w:rPr>
          <w:spacing w:val="-1"/>
        </w:rPr>
        <w:t> </w:t>
      </w:r>
      <w:r>
        <w:rPr/>
        <w:t>seven</w:t>
      </w:r>
      <w:r>
        <w:rPr>
          <w:spacing w:val="-1"/>
        </w:rPr>
        <w:t> </w:t>
      </w:r>
      <w:r>
        <w:rPr/>
        <w:t>centres</w:t>
      </w:r>
      <w:r>
        <w:rPr>
          <w:spacing w:val="-1"/>
        </w:rPr>
        <w:t> </w:t>
      </w:r>
      <w:r>
        <w:rPr/>
        <w:t>of</w:t>
      </w:r>
      <w:r>
        <w:rPr>
          <w:spacing w:val="-1"/>
        </w:rPr>
        <w:t> </w:t>
      </w:r>
      <w:r>
        <w:rPr/>
        <w:t>the</w:t>
      </w:r>
      <w:r>
        <w:rPr>
          <w:spacing w:val="-1"/>
        </w:rPr>
        <w:t> </w:t>
      </w:r>
      <w:r>
        <w:rPr/>
        <w:t>National</w:t>
      </w:r>
      <w:r>
        <w:rPr>
          <w:spacing w:val="-1"/>
        </w:rPr>
        <w:t> </w:t>
      </w:r>
      <w:r>
        <w:rPr/>
        <w:t>Bureau</w:t>
      </w:r>
      <w:r>
        <w:rPr>
          <w:spacing w:val="-1"/>
        </w:rPr>
        <w:t> </w:t>
      </w:r>
      <w:r>
        <w:rPr/>
        <w:t>of</w:t>
      </w:r>
      <w:r>
        <w:rPr>
          <w:spacing w:val="-1"/>
        </w:rPr>
        <w:t> </w:t>
      </w:r>
      <w:r>
        <w:rPr/>
        <w:t>Soil Science</w:t>
      </w:r>
      <w:r>
        <w:rPr>
          <w:spacing w:val="-6"/>
        </w:rPr>
        <w:t> </w:t>
      </w:r>
      <w:r>
        <w:rPr/>
        <w:t>and</w:t>
      </w:r>
      <w:r>
        <w:rPr>
          <w:spacing w:val="-6"/>
        </w:rPr>
        <w:t> </w:t>
      </w:r>
      <w:r>
        <w:rPr/>
        <w:t>Land</w:t>
      </w:r>
      <w:r>
        <w:rPr>
          <w:spacing w:val="-6"/>
        </w:rPr>
        <w:t> </w:t>
      </w:r>
      <w:r>
        <w:rPr/>
        <w:t>Use</w:t>
      </w:r>
      <w:r>
        <w:rPr>
          <w:spacing w:val="-6"/>
        </w:rPr>
        <w:t> </w:t>
      </w:r>
      <w:r>
        <w:rPr/>
        <w:t>Planning</w:t>
      </w:r>
      <w:r>
        <w:rPr>
          <w:spacing w:val="-6"/>
        </w:rPr>
        <w:t> </w:t>
      </w:r>
      <w:r>
        <w:rPr/>
        <w:t>(NBSSLUP)],</w:t>
      </w:r>
      <w:r>
        <w:rPr>
          <w:spacing w:val="-6"/>
        </w:rPr>
        <w:t> </w:t>
      </w:r>
      <w:r>
        <w:rPr/>
        <w:t>which needs</w:t>
      </w:r>
      <w:r>
        <w:rPr>
          <w:spacing w:val="-11"/>
        </w:rPr>
        <w:t> </w:t>
      </w:r>
      <w:r>
        <w:rPr/>
        <w:t>to</w:t>
      </w:r>
      <w:r>
        <w:rPr>
          <w:spacing w:val="-11"/>
        </w:rPr>
        <w:t> </w:t>
      </w:r>
      <w:r>
        <w:rPr/>
        <w:t>be</w:t>
      </w:r>
      <w:r>
        <w:rPr>
          <w:spacing w:val="-11"/>
        </w:rPr>
        <w:t> </w:t>
      </w:r>
      <w:r>
        <w:rPr/>
        <w:t>digitised</w:t>
      </w:r>
      <w:r>
        <w:rPr>
          <w:spacing w:val="-11"/>
        </w:rPr>
        <w:t> </w:t>
      </w:r>
      <w:r>
        <w:rPr/>
        <w:t>and</w:t>
      </w:r>
      <w:r>
        <w:rPr>
          <w:spacing w:val="-11"/>
        </w:rPr>
        <w:t> </w:t>
      </w:r>
      <w:r>
        <w:rPr/>
        <w:t>made</w:t>
      </w:r>
      <w:r>
        <w:rPr>
          <w:spacing w:val="-11"/>
        </w:rPr>
        <w:t> </w:t>
      </w:r>
      <w:r>
        <w:rPr/>
        <w:t>publicly</w:t>
      </w:r>
      <w:r>
        <w:rPr>
          <w:spacing w:val="-11"/>
        </w:rPr>
        <w:t> </w:t>
      </w:r>
      <w:r>
        <w:rPr/>
        <w:t>accessible</w:t>
      </w:r>
      <w:r>
        <w:rPr>
          <w:spacing w:val="-11"/>
        </w:rPr>
        <w:t> </w:t>
      </w:r>
      <w:r>
        <w:rPr/>
        <w:t>for use</w:t>
      </w:r>
      <w:r>
        <w:rPr>
          <w:spacing w:val="-16"/>
        </w:rPr>
        <w:t> </w:t>
      </w:r>
      <w:r>
        <w:rPr/>
        <w:t>and</w:t>
      </w:r>
      <w:r>
        <w:rPr>
          <w:spacing w:val="-14"/>
        </w:rPr>
        <w:t> </w:t>
      </w:r>
      <w:r>
        <w:rPr/>
        <w:t>analysis.</w:t>
      </w:r>
      <w:r>
        <w:rPr>
          <w:spacing w:val="-14"/>
        </w:rPr>
        <w:t> </w:t>
      </w:r>
      <w:r>
        <w:rPr/>
        <w:t>Data</w:t>
      </w:r>
      <w:r>
        <w:rPr>
          <w:spacing w:val="-13"/>
        </w:rPr>
        <w:t> </w:t>
      </w:r>
      <w:r>
        <w:rPr/>
        <w:t>collected</w:t>
      </w:r>
      <w:r>
        <w:rPr>
          <w:spacing w:val="-14"/>
        </w:rPr>
        <w:t> </w:t>
      </w:r>
      <w:r>
        <w:rPr/>
        <w:t>by</w:t>
      </w:r>
      <w:r>
        <w:rPr>
          <w:spacing w:val="-14"/>
        </w:rPr>
        <w:t> </w:t>
      </w:r>
      <w:r>
        <w:rPr/>
        <w:t>one</w:t>
      </w:r>
      <w:r>
        <w:rPr>
          <w:spacing w:val="-14"/>
        </w:rPr>
        <w:t> </w:t>
      </w:r>
      <w:r>
        <w:rPr/>
        <w:t>agency</w:t>
      </w:r>
      <w:r>
        <w:rPr>
          <w:spacing w:val="-13"/>
        </w:rPr>
        <w:t> </w:t>
      </w:r>
      <w:r>
        <w:rPr/>
        <w:t>should be</w:t>
      </w:r>
      <w:r>
        <w:rPr>
          <w:spacing w:val="-9"/>
        </w:rPr>
        <w:t> </w:t>
      </w:r>
      <w:r>
        <w:rPr/>
        <w:t>made</w:t>
      </w:r>
      <w:r>
        <w:rPr>
          <w:spacing w:val="-9"/>
        </w:rPr>
        <w:t> </w:t>
      </w:r>
      <w:r>
        <w:rPr/>
        <w:t>available</w:t>
      </w:r>
      <w:r>
        <w:rPr>
          <w:spacing w:val="-9"/>
        </w:rPr>
        <w:t> </w:t>
      </w:r>
      <w:r>
        <w:rPr/>
        <w:t>across</w:t>
      </w:r>
      <w:r>
        <w:rPr>
          <w:spacing w:val="-9"/>
        </w:rPr>
        <w:t> </w:t>
      </w:r>
      <w:r>
        <w:rPr/>
        <w:t>all</w:t>
      </w:r>
      <w:r>
        <w:rPr>
          <w:spacing w:val="-9"/>
        </w:rPr>
        <w:t> </w:t>
      </w:r>
      <w:r>
        <w:rPr/>
        <w:t>agencies</w:t>
      </w:r>
      <w:r>
        <w:rPr>
          <w:spacing w:val="-9"/>
        </w:rPr>
        <w:t> </w:t>
      </w:r>
      <w:r>
        <w:rPr/>
        <w:t>as</w:t>
      </w:r>
      <w:r>
        <w:rPr>
          <w:spacing w:val="-9"/>
        </w:rPr>
        <w:t> </w:t>
      </w:r>
      <w:r>
        <w:rPr/>
        <w:t>well</w:t>
      </w:r>
      <w:r>
        <w:rPr>
          <w:spacing w:val="-9"/>
        </w:rPr>
        <w:t> </w:t>
      </w:r>
      <w:r>
        <w:rPr/>
        <w:t>as</w:t>
      </w:r>
      <w:r>
        <w:rPr>
          <w:spacing w:val="-9"/>
        </w:rPr>
        <w:t> </w:t>
      </w:r>
      <w:r>
        <w:rPr/>
        <w:t>to</w:t>
      </w:r>
      <w:r>
        <w:rPr>
          <w:spacing w:val="-9"/>
        </w:rPr>
        <w:t> </w:t>
      </w:r>
      <w:r>
        <w:rPr/>
        <w:t>the public, subject to national security considerations.</w:t>
      </w:r>
    </w:p>
    <w:p>
      <w:pPr>
        <w:pStyle w:val="Heading6"/>
        <w:numPr>
          <w:ilvl w:val="0"/>
          <w:numId w:val="67"/>
        </w:numPr>
        <w:tabs>
          <w:tab w:pos="1405" w:val="left" w:leader="none"/>
        </w:tabs>
        <w:spacing w:line="240" w:lineRule="auto" w:before="216" w:after="0"/>
        <w:ind w:left="1405" w:right="0" w:hanging="325"/>
        <w:jc w:val="left"/>
      </w:pPr>
      <w:r>
        <w:rPr>
          <w:color w:val="2E614A"/>
          <w:spacing w:val="-7"/>
        </w:rPr>
        <w:t>National</w:t>
      </w:r>
      <w:r>
        <w:rPr>
          <w:color w:val="2E614A"/>
          <w:spacing w:val="-10"/>
        </w:rPr>
        <w:t> </w:t>
      </w:r>
      <w:r>
        <w:rPr>
          <w:color w:val="2E614A"/>
          <w:spacing w:val="-4"/>
        </w:rPr>
        <w:t>Infrastructure</w:t>
      </w:r>
    </w:p>
    <w:p>
      <w:pPr>
        <w:pStyle w:val="BodyText"/>
        <w:spacing w:line="266" w:lineRule="auto" w:before="286"/>
        <w:ind w:left="1080"/>
        <w:jc w:val="both"/>
      </w:pPr>
      <w:r>
        <w:rPr>
          <w:spacing w:val="-6"/>
        </w:rPr>
        <w:t>It</w:t>
      </w:r>
      <w:r>
        <w:rPr>
          <w:spacing w:val="-8"/>
        </w:rPr>
        <w:t> </w:t>
      </w:r>
      <w:r>
        <w:rPr>
          <w:spacing w:val="-6"/>
        </w:rPr>
        <w:t>is</w:t>
      </w:r>
      <w:r>
        <w:rPr>
          <w:spacing w:val="-8"/>
        </w:rPr>
        <w:t> </w:t>
      </w:r>
      <w:r>
        <w:rPr>
          <w:spacing w:val="-6"/>
        </w:rPr>
        <w:t>important</w:t>
      </w:r>
      <w:r>
        <w:rPr>
          <w:spacing w:val="-8"/>
        </w:rPr>
        <w:t> </w:t>
      </w:r>
      <w:r>
        <w:rPr>
          <w:spacing w:val="-6"/>
        </w:rPr>
        <w:t>to</w:t>
      </w:r>
      <w:r>
        <w:rPr>
          <w:spacing w:val="-7"/>
        </w:rPr>
        <w:t> </w:t>
      </w:r>
      <w:r>
        <w:rPr>
          <w:spacing w:val="-6"/>
        </w:rPr>
        <w:t>provide</w:t>
      </w:r>
      <w:r>
        <w:rPr>
          <w:spacing w:val="-8"/>
        </w:rPr>
        <w:t> </w:t>
      </w:r>
      <w:r>
        <w:rPr>
          <w:spacing w:val="-6"/>
        </w:rPr>
        <w:t>secure</w:t>
      </w:r>
      <w:r>
        <w:rPr>
          <w:spacing w:val="-8"/>
        </w:rPr>
        <w:t> </w:t>
      </w:r>
      <w:r>
        <w:rPr>
          <w:spacing w:val="-6"/>
        </w:rPr>
        <w:t>broadband</w:t>
      </w:r>
      <w:r>
        <w:rPr>
          <w:spacing w:val="-8"/>
        </w:rPr>
        <w:t> </w:t>
      </w:r>
      <w:r>
        <w:rPr>
          <w:spacing w:val="-6"/>
        </w:rPr>
        <w:t>infrastructure </w:t>
      </w:r>
      <w:r>
        <w:rPr/>
        <w:t>and associated hardware, software and hosting </w:t>
      </w:r>
      <w:r>
        <w:rPr>
          <w:spacing w:val="-2"/>
        </w:rPr>
        <w:t>facilities</w:t>
      </w:r>
      <w:r>
        <w:rPr>
          <w:spacing w:val="-14"/>
        </w:rPr>
        <w:t> </w:t>
      </w:r>
      <w:r>
        <w:rPr>
          <w:spacing w:val="-2"/>
        </w:rPr>
        <w:t>nationwide</w:t>
      </w:r>
      <w:r>
        <w:rPr>
          <w:spacing w:val="-12"/>
        </w:rPr>
        <w:t> </w:t>
      </w:r>
      <w:r>
        <w:rPr>
          <w:spacing w:val="-2"/>
        </w:rPr>
        <w:t>with</w:t>
      </w:r>
      <w:r>
        <w:rPr>
          <w:spacing w:val="-12"/>
        </w:rPr>
        <w:t> </w:t>
      </w:r>
      <w:r>
        <w:rPr>
          <w:spacing w:val="-2"/>
        </w:rPr>
        <w:t>easy</w:t>
      </w:r>
      <w:r>
        <w:rPr>
          <w:spacing w:val="-11"/>
        </w:rPr>
        <w:t> </w:t>
      </w:r>
      <w:r>
        <w:rPr>
          <w:spacing w:val="-2"/>
        </w:rPr>
        <w:t>access</w:t>
      </w:r>
      <w:r>
        <w:rPr>
          <w:spacing w:val="-12"/>
        </w:rPr>
        <w:t> </w:t>
      </w:r>
      <w:r>
        <w:rPr>
          <w:spacing w:val="-2"/>
        </w:rPr>
        <w:t>at</w:t>
      </w:r>
      <w:r>
        <w:rPr>
          <w:spacing w:val="-12"/>
        </w:rPr>
        <w:t> </w:t>
      </w:r>
      <w:r>
        <w:rPr>
          <w:spacing w:val="-2"/>
        </w:rPr>
        <w:t>all</w:t>
      </w:r>
      <w:r>
        <w:rPr>
          <w:spacing w:val="-12"/>
        </w:rPr>
        <w:t> </w:t>
      </w:r>
      <w:r>
        <w:rPr>
          <w:spacing w:val="-2"/>
        </w:rPr>
        <w:t>levels.</w:t>
      </w:r>
      <w:r>
        <w:rPr>
          <w:spacing w:val="-11"/>
        </w:rPr>
        <w:t> </w:t>
      </w:r>
      <w:r>
        <w:rPr>
          <w:spacing w:val="-2"/>
        </w:rPr>
        <w:t>This </w:t>
      </w:r>
      <w:r>
        <w:rPr>
          <w:spacing w:val="-4"/>
        </w:rPr>
        <w:t>infrastructure</w:t>
      </w:r>
      <w:r>
        <w:rPr>
          <w:spacing w:val="-12"/>
        </w:rPr>
        <w:t> </w:t>
      </w:r>
      <w:r>
        <w:rPr>
          <w:spacing w:val="-4"/>
        </w:rPr>
        <w:t>should</w:t>
      </w:r>
      <w:r>
        <w:rPr>
          <w:spacing w:val="-10"/>
        </w:rPr>
        <w:t> </w:t>
      </w:r>
      <w:r>
        <w:rPr>
          <w:spacing w:val="-4"/>
        </w:rPr>
        <w:t>be</w:t>
      </w:r>
      <w:r>
        <w:rPr>
          <w:spacing w:val="-10"/>
        </w:rPr>
        <w:t> </w:t>
      </w:r>
      <w:r>
        <w:rPr>
          <w:spacing w:val="-4"/>
        </w:rPr>
        <w:t>based</w:t>
      </w:r>
      <w:r>
        <w:rPr>
          <w:spacing w:val="-9"/>
        </w:rPr>
        <w:t> </w:t>
      </w:r>
      <w:r>
        <w:rPr>
          <w:spacing w:val="-4"/>
        </w:rPr>
        <w:t>on</w:t>
      </w:r>
      <w:r>
        <w:rPr>
          <w:spacing w:val="-10"/>
        </w:rPr>
        <w:t> </w:t>
      </w:r>
      <w:r>
        <w:rPr>
          <w:spacing w:val="-4"/>
        </w:rPr>
        <w:t>a</w:t>
      </w:r>
      <w:r>
        <w:rPr>
          <w:spacing w:val="-10"/>
        </w:rPr>
        <w:t> </w:t>
      </w:r>
      <w:r>
        <w:rPr>
          <w:spacing w:val="-4"/>
        </w:rPr>
        <w:t>‘user</w:t>
      </w:r>
      <w:r>
        <w:rPr>
          <w:spacing w:val="-10"/>
        </w:rPr>
        <w:t> </w:t>
      </w:r>
      <w:r>
        <w:rPr>
          <w:spacing w:val="-4"/>
        </w:rPr>
        <w:t>pays’</w:t>
      </w:r>
      <w:r>
        <w:rPr>
          <w:spacing w:val="-9"/>
        </w:rPr>
        <w:t> </w:t>
      </w:r>
      <w:r>
        <w:rPr>
          <w:spacing w:val="-4"/>
        </w:rPr>
        <w:t>principle </w:t>
      </w:r>
      <w:r>
        <w:rPr/>
        <w:t>and public-private partnership in investments and </w:t>
      </w:r>
      <w:r>
        <w:rPr>
          <w:spacing w:val="-6"/>
        </w:rPr>
        <w:t>mutual</w:t>
      </w:r>
      <w:r>
        <w:rPr/>
        <w:t> </w:t>
      </w:r>
      <w:r>
        <w:rPr>
          <w:spacing w:val="-6"/>
        </w:rPr>
        <w:t>accountability</w:t>
      </w:r>
      <w:r>
        <w:rPr/>
        <w:t> </w:t>
      </w:r>
      <w:r>
        <w:rPr>
          <w:spacing w:val="-6"/>
        </w:rPr>
        <w:t>and</w:t>
      </w:r>
      <w:r>
        <w:rPr/>
        <w:t> </w:t>
      </w:r>
      <w:r>
        <w:rPr>
          <w:spacing w:val="-6"/>
        </w:rPr>
        <w:t>efficiency.</w:t>
      </w:r>
      <w:r>
        <w:rPr>
          <w:spacing w:val="-8"/>
        </w:rPr>
        <w:t> </w:t>
      </w:r>
      <w:r>
        <w:rPr>
          <w:spacing w:val="-6"/>
        </w:rPr>
        <w:t>This</w:t>
      </w:r>
      <w:r>
        <w:rPr/>
        <w:t> </w:t>
      </w:r>
      <w:r>
        <w:rPr>
          <w:spacing w:val="-6"/>
        </w:rPr>
        <w:t>infrastructure </w:t>
      </w:r>
      <w:r>
        <w:rPr/>
        <w:t>creation should be led by the Central Government to </w:t>
      </w:r>
      <w:r>
        <w:rPr>
          <w:spacing w:val="-6"/>
        </w:rPr>
        <w:t>enforce</w:t>
      </w:r>
      <w:r>
        <w:rPr>
          <w:spacing w:val="-10"/>
        </w:rPr>
        <w:t> </w:t>
      </w:r>
      <w:r>
        <w:rPr>
          <w:spacing w:val="-6"/>
        </w:rPr>
        <w:t>a</w:t>
      </w:r>
      <w:r>
        <w:rPr>
          <w:spacing w:val="-8"/>
        </w:rPr>
        <w:t> </w:t>
      </w:r>
      <w:r>
        <w:rPr>
          <w:spacing w:val="-6"/>
        </w:rPr>
        <w:t>high</w:t>
      </w:r>
      <w:r>
        <w:rPr>
          <w:spacing w:val="-8"/>
        </w:rPr>
        <w:t> </w:t>
      </w:r>
      <w:r>
        <w:rPr>
          <w:spacing w:val="-6"/>
        </w:rPr>
        <w:t>level</w:t>
      </w:r>
      <w:r>
        <w:rPr>
          <w:spacing w:val="-7"/>
        </w:rPr>
        <w:t> </w:t>
      </w:r>
      <w:r>
        <w:rPr>
          <w:spacing w:val="-6"/>
        </w:rPr>
        <w:t>of</w:t>
      </w:r>
      <w:r>
        <w:rPr>
          <w:spacing w:val="-8"/>
        </w:rPr>
        <w:t> </w:t>
      </w:r>
      <w:r>
        <w:rPr>
          <w:spacing w:val="-6"/>
        </w:rPr>
        <w:t>security,</w:t>
      </w:r>
      <w:r>
        <w:rPr>
          <w:spacing w:val="-8"/>
        </w:rPr>
        <w:t> </w:t>
      </w:r>
      <w:r>
        <w:rPr>
          <w:spacing w:val="-6"/>
        </w:rPr>
        <w:t>uniformity</w:t>
      </w:r>
      <w:r>
        <w:rPr>
          <w:spacing w:val="-8"/>
        </w:rPr>
        <w:t> </w:t>
      </w:r>
      <w:r>
        <w:rPr>
          <w:spacing w:val="-6"/>
        </w:rPr>
        <w:t>and</w:t>
      </w:r>
      <w:r>
        <w:rPr>
          <w:spacing w:val="-7"/>
        </w:rPr>
        <w:t> </w:t>
      </w:r>
      <w:r>
        <w:rPr>
          <w:spacing w:val="-6"/>
        </w:rPr>
        <w:t>standards </w:t>
      </w:r>
      <w:r>
        <w:rPr>
          <w:spacing w:val="-2"/>
        </w:rPr>
        <w:t>at</w:t>
      </w:r>
      <w:r>
        <w:rPr>
          <w:spacing w:val="-12"/>
        </w:rPr>
        <w:t> </w:t>
      </w:r>
      <w:r>
        <w:rPr>
          <w:spacing w:val="-2"/>
        </w:rPr>
        <w:t>every</w:t>
      </w:r>
      <w:r>
        <w:rPr>
          <w:spacing w:val="-12"/>
        </w:rPr>
        <w:t> </w:t>
      </w:r>
      <w:r>
        <w:rPr>
          <w:spacing w:val="-2"/>
        </w:rPr>
        <w:t>interface,</w:t>
      </w:r>
      <w:r>
        <w:rPr>
          <w:spacing w:val="-12"/>
        </w:rPr>
        <w:t> </w:t>
      </w:r>
      <w:r>
        <w:rPr>
          <w:spacing w:val="-2"/>
        </w:rPr>
        <w:t>regardless</w:t>
      </w:r>
      <w:r>
        <w:rPr>
          <w:spacing w:val="-11"/>
        </w:rPr>
        <w:t> </w:t>
      </w:r>
      <w:r>
        <w:rPr>
          <w:spacing w:val="-2"/>
        </w:rPr>
        <w:t>of</w:t>
      </w:r>
      <w:r>
        <w:rPr>
          <w:spacing w:val="-12"/>
        </w:rPr>
        <w:t> </w:t>
      </w:r>
      <w:r>
        <w:rPr>
          <w:spacing w:val="-2"/>
        </w:rPr>
        <w:t>state</w:t>
      </w:r>
      <w:r>
        <w:rPr>
          <w:spacing w:val="-12"/>
        </w:rPr>
        <w:t> </w:t>
      </w:r>
      <w:r>
        <w:rPr>
          <w:spacing w:val="-2"/>
        </w:rPr>
        <w:t>language,</w:t>
      </w:r>
      <w:r>
        <w:rPr>
          <w:spacing w:val="-12"/>
        </w:rPr>
        <w:t> </w:t>
      </w:r>
      <w:r>
        <w:rPr>
          <w:spacing w:val="-2"/>
        </w:rPr>
        <w:t>culture, </w:t>
      </w:r>
      <w:r>
        <w:rPr/>
        <w:t>legacy and financial health.</w:t>
      </w:r>
    </w:p>
    <w:p>
      <w:pPr>
        <w:pStyle w:val="Heading6"/>
        <w:numPr>
          <w:ilvl w:val="0"/>
          <w:numId w:val="67"/>
        </w:numPr>
        <w:tabs>
          <w:tab w:pos="1394" w:val="left" w:leader="none"/>
        </w:tabs>
        <w:spacing w:line="240" w:lineRule="auto" w:before="218" w:after="0"/>
        <w:ind w:left="1394" w:right="0" w:hanging="314"/>
        <w:jc w:val="left"/>
      </w:pPr>
      <w:r>
        <w:rPr>
          <w:color w:val="2E614A"/>
          <w:w w:val="90"/>
        </w:rPr>
        <w:t>Web-based</w:t>
      </w:r>
      <w:r>
        <w:rPr>
          <w:color w:val="2E614A"/>
          <w:spacing w:val="-2"/>
          <w:w w:val="90"/>
        </w:rPr>
        <w:t> Services</w:t>
      </w:r>
    </w:p>
    <w:p>
      <w:pPr>
        <w:pStyle w:val="BodyText"/>
        <w:spacing w:line="266" w:lineRule="auto" w:before="285"/>
        <w:ind w:left="1080"/>
        <w:jc w:val="both"/>
      </w:pPr>
      <w:r>
        <w:rPr/>
        <w:t>To enforce standards and to keep the </w:t>
      </w:r>
      <w:r>
        <w:rPr/>
        <w:t>governance </w:t>
      </w:r>
      <w:r>
        <w:rPr>
          <w:spacing w:val="-6"/>
        </w:rPr>
        <w:t>uniformly</w:t>
      </w:r>
      <w:r>
        <w:rPr>
          <w:spacing w:val="-8"/>
        </w:rPr>
        <w:t> </w:t>
      </w:r>
      <w:r>
        <w:rPr>
          <w:spacing w:val="-6"/>
        </w:rPr>
        <w:t>responsive</w:t>
      </w:r>
      <w:r>
        <w:rPr>
          <w:spacing w:val="-8"/>
        </w:rPr>
        <w:t> </w:t>
      </w:r>
      <w:r>
        <w:rPr>
          <w:spacing w:val="-6"/>
        </w:rPr>
        <w:t>and</w:t>
      </w:r>
      <w:r>
        <w:rPr>
          <w:spacing w:val="-8"/>
        </w:rPr>
        <w:t> </w:t>
      </w:r>
      <w:r>
        <w:rPr>
          <w:spacing w:val="-6"/>
        </w:rPr>
        <w:t>transparent,</w:t>
      </w:r>
      <w:r>
        <w:rPr>
          <w:spacing w:val="-7"/>
        </w:rPr>
        <w:t> </w:t>
      </w:r>
      <w:r>
        <w:rPr>
          <w:spacing w:val="-6"/>
        </w:rPr>
        <w:t>it</w:t>
      </w:r>
      <w:r>
        <w:rPr>
          <w:spacing w:val="-8"/>
        </w:rPr>
        <w:t> </w:t>
      </w:r>
      <w:r>
        <w:rPr>
          <w:spacing w:val="-6"/>
        </w:rPr>
        <w:t>is</w:t>
      </w:r>
      <w:r>
        <w:rPr>
          <w:spacing w:val="-8"/>
        </w:rPr>
        <w:t> </w:t>
      </w:r>
      <w:r>
        <w:rPr>
          <w:spacing w:val="-6"/>
        </w:rPr>
        <w:t>recommended </w:t>
      </w:r>
      <w:r>
        <w:rPr/>
        <w:t>that State Governments use templates created by the </w:t>
      </w:r>
      <w:r>
        <w:rPr>
          <w:spacing w:val="-4"/>
        </w:rPr>
        <w:t>Central</w:t>
      </w:r>
      <w:r>
        <w:rPr>
          <w:spacing w:val="-9"/>
        </w:rPr>
        <w:t> </w:t>
      </w:r>
      <w:r>
        <w:rPr>
          <w:spacing w:val="-4"/>
        </w:rPr>
        <w:t>Government</w:t>
      </w:r>
      <w:r>
        <w:rPr>
          <w:spacing w:val="-9"/>
        </w:rPr>
        <w:t> </w:t>
      </w:r>
      <w:r>
        <w:rPr>
          <w:spacing w:val="-4"/>
        </w:rPr>
        <w:t>to</w:t>
      </w:r>
      <w:r>
        <w:rPr>
          <w:spacing w:val="-9"/>
        </w:rPr>
        <w:t> </w:t>
      </w:r>
      <w:r>
        <w:rPr>
          <w:spacing w:val="-4"/>
        </w:rPr>
        <w:t>offer</w:t>
      </w:r>
      <w:r>
        <w:rPr>
          <w:spacing w:val="-9"/>
        </w:rPr>
        <w:t> </w:t>
      </w:r>
      <w:r>
        <w:rPr>
          <w:spacing w:val="-4"/>
        </w:rPr>
        <w:t>localised</w:t>
      </w:r>
      <w:r>
        <w:rPr>
          <w:spacing w:val="-9"/>
        </w:rPr>
        <w:t> </w:t>
      </w:r>
      <w:r>
        <w:rPr>
          <w:spacing w:val="-4"/>
        </w:rPr>
        <w:t>data</w:t>
      </w:r>
      <w:r>
        <w:rPr>
          <w:spacing w:val="-9"/>
        </w:rPr>
        <w:t> </w:t>
      </w:r>
      <w:r>
        <w:rPr>
          <w:spacing w:val="-4"/>
        </w:rPr>
        <w:t>and</w:t>
      </w:r>
      <w:r>
        <w:rPr>
          <w:spacing w:val="-9"/>
        </w:rPr>
        <w:t> </w:t>
      </w:r>
      <w:r>
        <w:rPr>
          <w:spacing w:val="-4"/>
        </w:rPr>
        <w:t>services </w:t>
      </w:r>
      <w:r>
        <w:rPr>
          <w:spacing w:val="-6"/>
        </w:rPr>
        <w:t>in Indian languages. In this model, the private sector can </w:t>
      </w:r>
      <w:r>
        <w:rPr>
          <w:spacing w:val="-2"/>
        </w:rPr>
        <w:t>invest</w:t>
      </w:r>
      <w:r>
        <w:rPr>
          <w:spacing w:val="-6"/>
        </w:rPr>
        <w:t> </w:t>
      </w:r>
      <w:r>
        <w:rPr>
          <w:spacing w:val="-2"/>
        </w:rPr>
        <w:t>in</w:t>
      </w:r>
      <w:r>
        <w:rPr>
          <w:spacing w:val="-6"/>
        </w:rPr>
        <w:t> </w:t>
      </w:r>
      <w:r>
        <w:rPr>
          <w:spacing w:val="-2"/>
        </w:rPr>
        <w:t>creation</w:t>
      </w:r>
      <w:r>
        <w:rPr>
          <w:spacing w:val="-6"/>
        </w:rPr>
        <w:t> </w:t>
      </w:r>
      <w:r>
        <w:rPr>
          <w:spacing w:val="-2"/>
        </w:rPr>
        <w:t>of</w:t>
      </w:r>
      <w:r>
        <w:rPr>
          <w:spacing w:val="-6"/>
        </w:rPr>
        <w:t> </w:t>
      </w:r>
      <w:r>
        <w:rPr>
          <w:spacing w:val="-2"/>
        </w:rPr>
        <w:t>access-infrastructure</w:t>
      </w:r>
      <w:r>
        <w:rPr>
          <w:spacing w:val="-6"/>
        </w:rPr>
        <w:t> </w:t>
      </w:r>
      <w:r>
        <w:rPr>
          <w:spacing w:val="-2"/>
        </w:rPr>
        <w:t>and</w:t>
      </w:r>
      <w:r>
        <w:rPr>
          <w:spacing w:val="-6"/>
        </w:rPr>
        <w:t> </w:t>
      </w:r>
      <w:r>
        <w:rPr>
          <w:spacing w:val="-2"/>
        </w:rPr>
        <w:t>building relevant</w:t>
      </w:r>
      <w:r>
        <w:rPr>
          <w:spacing w:val="-12"/>
        </w:rPr>
        <w:t> </w:t>
      </w:r>
      <w:r>
        <w:rPr>
          <w:spacing w:val="-2"/>
        </w:rPr>
        <w:t>business</w:t>
      </w:r>
      <w:r>
        <w:rPr>
          <w:spacing w:val="-12"/>
        </w:rPr>
        <w:t> </w:t>
      </w:r>
      <w:r>
        <w:rPr>
          <w:spacing w:val="-2"/>
        </w:rPr>
        <w:t>models</w:t>
      </w:r>
      <w:r>
        <w:rPr>
          <w:spacing w:val="-12"/>
        </w:rPr>
        <w:t> </w:t>
      </w:r>
      <w:r>
        <w:rPr>
          <w:spacing w:val="-2"/>
        </w:rPr>
        <w:t>for</w:t>
      </w:r>
      <w:r>
        <w:rPr>
          <w:spacing w:val="-11"/>
        </w:rPr>
        <w:t> </w:t>
      </w:r>
      <w:r>
        <w:rPr>
          <w:spacing w:val="-2"/>
        </w:rPr>
        <w:t>user-fee</w:t>
      </w:r>
      <w:r>
        <w:rPr>
          <w:spacing w:val="-12"/>
        </w:rPr>
        <w:t> </w:t>
      </w:r>
      <w:r>
        <w:rPr>
          <w:spacing w:val="-2"/>
        </w:rPr>
        <w:t>collection</w:t>
      </w:r>
      <w:r>
        <w:rPr>
          <w:spacing w:val="-12"/>
        </w:rPr>
        <w:t> </w:t>
      </w:r>
      <w:r>
        <w:rPr>
          <w:spacing w:val="-2"/>
        </w:rPr>
        <w:t>and</w:t>
      </w:r>
      <w:r>
        <w:rPr>
          <w:spacing w:val="-12"/>
        </w:rPr>
        <w:t> </w:t>
      </w:r>
      <w:r>
        <w:rPr>
          <w:spacing w:val="-2"/>
        </w:rPr>
        <w:t>its sharing</w:t>
      </w:r>
      <w:r>
        <w:rPr>
          <w:spacing w:val="-11"/>
        </w:rPr>
        <w:t> </w:t>
      </w:r>
      <w:r>
        <w:rPr>
          <w:spacing w:val="-2"/>
        </w:rPr>
        <w:t>across</w:t>
      </w:r>
      <w:r>
        <w:rPr>
          <w:spacing w:val="-11"/>
        </w:rPr>
        <w:t> </w:t>
      </w:r>
      <w:r>
        <w:rPr>
          <w:spacing w:val="-2"/>
        </w:rPr>
        <w:t>all</w:t>
      </w:r>
      <w:r>
        <w:rPr>
          <w:spacing w:val="-11"/>
        </w:rPr>
        <w:t> </w:t>
      </w:r>
      <w:r>
        <w:rPr>
          <w:spacing w:val="-2"/>
        </w:rPr>
        <w:t>stakeholders,</w:t>
      </w:r>
      <w:r>
        <w:rPr>
          <w:spacing w:val="-11"/>
        </w:rPr>
        <w:t> </w:t>
      </w:r>
      <w:r>
        <w:rPr>
          <w:spacing w:val="-2"/>
        </w:rPr>
        <w:t>to</w:t>
      </w:r>
      <w:r>
        <w:rPr>
          <w:spacing w:val="-11"/>
        </w:rPr>
        <w:t> </w:t>
      </w:r>
      <w:r>
        <w:rPr>
          <w:spacing w:val="-2"/>
        </w:rPr>
        <w:t>ensure</w:t>
      </w:r>
      <w:r>
        <w:rPr>
          <w:spacing w:val="-11"/>
        </w:rPr>
        <w:t> </w:t>
      </w:r>
      <w:r>
        <w:rPr>
          <w:spacing w:val="-2"/>
        </w:rPr>
        <w:t>sustainability </w:t>
      </w:r>
      <w:r>
        <w:rPr/>
        <w:t>and</w:t>
      </w:r>
      <w:r>
        <w:rPr>
          <w:spacing w:val="-12"/>
        </w:rPr>
        <w:t> </w:t>
      </w:r>
      <w:r>
        <w:rPr/>
        <w:t>adaptation</w:t>
      </w:r>
      <w:r>
        <w:rPr>
          <w:spacing w:val="-10"/>
        </w:rPr>
        <w:t> </w:t>
      </w:r>
      <w:r>
        <w:rPr/>
        <w:t>for</w:t>
      </w:r>
      <w:r>
        <w:rPr>
          <w:spacing w:val="-10"/>
        </w:rPr>
        <w:t> </w:t>
      </w:r>
      <w:r>
        <w:rPr/>
        <w:t>future</w:t>
      </w:r>
      <w:r>
        <w:rPr>
          <w:spacing w:val="-10"/>
        </w:rPr>
        <w:t> </w:t>
      </w:r>
      <w:r>
        <w:rPr/>
        <w:t>needs.</w:t>
      </w:r>
      <w:r>
        <w:rPr>
          <w:spacing w:val="-14"/>
        </w:rPr>
        <w:t> </w:t>
      </w:r>
      <w:r>
        <w:rPr/>
        <w:t>This</w:t>
      </w:r>
      <w:r>
        <w:rPr>
          <w:spacing w:val="-10"/>
        </w:rPr>
        <w:t> </w:t>
      </w:r>
      <w:r>
        <w:rPr/>
        <w:t>also</w:t>
      </w:r>
      <w:r>
        <w:rPr>
          <w:spacing w:val="-10"/>
        </w:rPr>
        <w:t> </w:t>
      </w:r>
      <w:r>
        <w:rPr/>
        <w:t>implies</w:t>
      </w:r>
      <w:r>
        <w:rPr>
          <w:spacing w:val="-10"/>
        </w:rPr>
        <w:t> </w:t>
      </w:r>
      <w:r>
        <w:rPr/>
        <w:t>that </w:t>
      </w:r>
      <w:r>
        <w:rPr>
          <w:spacing w:val="-4"/>
        </w:rPr>
        <w:t>all</w:t>
      </w:r>
      <w:r>
        <w:rPr>
          <w:spacing w:val="-5"/>
        </w:rPr>
        <w:t> </w:t>
      </w:r>
      <w:r>
        <w:rPr>
          <w:spacing w:val="-4"/>
        </w:rPr>
        <w:t>public</w:t>
      </w:r>
      <w:r>
        <w:rPr>
          <w:spacing w:val="-5"/>
        </w:rPr>
        <w:t> </w:t>
      </w:r>
      <w:r>
        <w:rPr>
          <w:spacing w:val="-4"/>
        </w:rPr>
        <w:t>institutions</w:t>
      </w:r>
      <w:r>
        <w:rPr>
          <w:spacing w:val="-5"/>
        </w:rPr>
        <w:t> </w:t>
      </w:r>
      <w:r>
        <w:rPr>
          <w:spacing w:val="-4"/>
        </w:rPr>
        <w:t>will</w:t>
      </w:r>
      <w:r>
        <w:rPr>
          <w:spacing w:val="-5"/>
        </w:rPr>
        <w:t> </w:t>
      </w:r>
      <w:r>
        <w:rPr>
          <w:spacing w:val="-4"/>
        </w:rPr>
        <w:t>make</w:t>
      </w:r>
      <w:r>
        <w:rPr>
          <w:spacing w:val="-5"/>
        </w:rPr>
        <w:t> </w:t>
      </w:r>
      <w:r>
        <w:rPr>
          <w:spacing w:val="-4"/>
        </w:rPr>
        <w:t>sure</w:t>
      </w:r>
      <w:r>
        <w:rPr>
          <w:spacing w:val="-5"/>
        </w:rPr>
        <w:t> </w:t>
      </w:r>
      <w:r>
        <w:rPr>
          <w:spacing w:val="-4"/>
        </w:rPr>
        <w:t>that</w:t>
      </w:r>
      <w:r>
        <w:rPr>
          <w:spacing w:val="-5"/>
        </w:rPr>
        <w:t> </w:t>
      </w:r>
      <w:r>
        <w:rPr>
          <w:spacing w:val="-4"/>
        </w:rPr>
        <w:t>all</w:t>
      </w:r>
      <w:r>
        <w:rPr>
          <w:spacing w:val="-5"/>
        </w:rPr>
        <w:t> </w:t>
      </w:r>
      <w:r>
        <w:rPr>
          <w:spacing w:val="-4"/>
        </w:rPr>
        <w:t>public</w:t>
      </w:r>
      <w:r>
        <w:rPr>
          <w:spacing w:val="-5"/>
        </w:rPr>
        <w:t> </w:t>
      </w:r>
      <w:r>
        <w:rPr>
          <w:spacing w:val="-4"/>
        </w:rPr>
        <w:t>data </w:t>
      </w:r>
      <w:r>
        <w:rPr/>
        <w:t>is available on the web.</w:t>
      </w:r>
    </w:p>
    <w:p>
      <w:pPr>
        <w:pStyle w:val="Heading6"/>
        <w:numPr>
          <w:ilvl w:val="0"/>
          <w:numId w:val="67"/>
        </w:numPr>
        <w:tabs>
          <w:tab w:pos="1405" w:val="left" w:leader="none"/>
        </w:tabs>
        <w:spacing w:line="240" w:lineRule="auto" w:before="218" w:after="0"/>
        <w:ind w:left="1405" w:right="0" w:hanging="325"/>
        <w:jc w:val="left"/>
      </w:pPr>
      <w:r>
        <w:rPr>
          <w:color w:val="2E614A"/>
          <w:spacing w:val="-12"/>
        </w:rPr>
        <w:t>Open</w:t>
      </w:r>
      <w:r>
        <w:rPr>
          <w:color w:val="2E614A"/>
          <w:spacing w:val="-6"/>
        </w:rPr>
        <w:t> </w:t>
      </w:r>
      <w:r>
        <w:rPr>
          <w:color w:val="2E614A"/>
          <w:spacing w:val="-12"/>
        </w:rPr>
        <w:t>Source</w:t>
      </w:r>
      <w:r>
        <w:rPr>
          <w:color w:val="2E614A"/>
          <w:spacing w:val="-6"/>
        </w:rPr>
        <w:t> </w:t>
      </w:r>
      <w:r>
        <w:rPr>
          <w:color w:val="2E614A"/>
          <w:spacing w:val="-12"/>
        </w:rPr>
        <w:t>Software</w:t>
      </w:r>
    </w:p>
    <w:p>
      <w:pPr>
        <w:pStyle w:val="BodyText"/>
        <w:spacing w:line="266" w:lineRule="auto" w:before="285"/>
        <w:ind w:left="1080"/>
        <w:jc w:val="both"/>
      </w:pPr>
      <w:r>
        <w:rPr/>
        <w:t>Because of the enormous size and scope of the E- </w:t>
      </w:r>
      <w:r>
        <w:rPr>
          <w:spacing w:val="-6"/>
        </w:rPr>
        <w:t>governance</w:t>
      </w:r>
      <w:r>
        <w:rPr>
          <w:spacing w:val="-10"/>
        </w:rPr>
        <w:t> </w:t>
      </w:r>
      <w:r>
        <w:rPr>
          <w:spacing w:val="-6"/>
        </w:rPr>
        <w:t>effort</w:t>
      </w:r>
      <w:r>
        <w:rPr>
          <w:spacing w:val="-8"/>
        </w:rPr>
        <w:t> </w:t>
      </w:r>
      <w:r>
        <w:rPr>
          <w:spacing w:val="-6"/>
        </w:rPr>
        <w:t>in</w:t>
      </w:r>
      <w:r>
        <w:rPr>
          <w:spacing w:val="-8"/>
        </w:rPr>
        <w:t> </w:t>
      </w:r>
      <w:r>
        <w:rPr>
          <w:spacing w:val="-6"/>
        </w:rPr>
        <w:t>India</w:t>
      </w:r>
      <w:r>
        <w:rPr>
          <w:spacing w:val="-7"/>
        </w:rPr>
        <w:t> </w:t>
      </w:r>
      <w:r>
        <w:rPr>
          <w:spacing w:val="-6"/>
        </w:rPr>
        <w:t>and</w:t>
      </w:r>
      <w:r>
        <w:rPr>
          <w:spacing w:val="-8"/>
        </w:rPr>
        <w:t> </w:t>
      </w:r>
      <w:r>
        <w:rPr>
          <w:spacing w:val="-6"/>
        </w:rPr>
        <w:t>because</w:t>
      </w:r>
      <w:r>
        <w:rPr>
          <w:spacing w:val="-8"/>
        </w:rPr>
        <w:t> </w:t>
      </w:r>
      <w:r>
        <w:rPr>
          <w:spacing w:val="-6"/>
        </w:rPr>
        <w:t>of</w:t>
      </w:r>
      <w:r>
        <w:rPr>
          <w:spacing w:val="-8"/>
        </w:rPr>
        <w:t> </w:t>
      </w:r>
      <w:r>
        <w:rPr>
          <w:spacing w:val="-6"/>
        </w:rPr>
        <w:t>the</w:t>
      </w:r>
      <w:r>
        <w:rPr>
          <w:spacing w:val="-7"/>
        </w:rPr>
        <w:t> </w:t>
      </w:r>
      <w:r>
        <w:rPr>
          <w:spacing w:val="-6"/>
        </w:rPr>
        <w:t>availability </w:t>
      </w:r>
      <w:r>
        <w:rPr/>
        <w:t>of</w:t>
      </w:r>
      <w:r>
        <w:rPr>
          <w:spacing w:val="40"/>
        </w:rPr>
        <w:t> </w:t>
      </w:r>
      <w:r>
        <w:rPr/>
        <w:t>globally</w:t>
      </w:r>
      <w:r>
        <w:rPr>
          <w:spacing w:val="40"/>
        </w:rPr>
        <w:t> </w:t>
      </w:r>
      <w:r>
        <w:rPr/>
        <w:t>recognised</w:t>
      </w:r>
      <w:r>
        <w:rPr>
          <w:spacing w:val="40"/>
        </w:rPr>
        <w:t> </w:t>
      </w:r>
      <w:r>
        <w:rPr/>
        <w:t>software</w:t>
      </w:r>
      <w:r>
        <w:rPr>
          <w:spacing w:val="40"/>
        </w:rPr>
        <w:t> </w:t>
      </w:r>
      <w:r>
        <w:rPr/>
        <w:t>talent</w:t>
      </w:r>
      <w:r>
        <w:rPr>
          <w:spacing w:val="40"/>
        </w:rPr>
        <w:t> </w:t>
      </w:r>
      <w:r>
        <w:rPr/>
        <w:t>of</w:t>
      </w:r>
      <w:r>
        <w:rPr>
          <w:spacing w:val="40"/>
        </w:rPr>
        <w:t> </w:t>
      </w:r>
      <w:r>
        <w:rPr/>
        <w:t>Indians, we must actively encourage open source software </w:t>
      </w:r>
      <w:r>
        <w:rPr>
          <w:spacing w:val="-4"/>
        </w:rPr>
        <w:t>implementations</w:t>
      </w:r>
      <w:r>
        <w:rPr>
          <w:spacing w:val="-7"/>
        </w:rPr>
        <w:t> </w:t>
      </w:r>
      <w:r>
        <w:rPr>
          <w:spacing w:val="-4"/>
        </w:rPr>
        <w:t>and</w:t>
      </w:r>
      <w:r>
        <w:rPr>
          <w:spacing w:val="-6"/>
        </w:rPr>
        <w:t> </w:t>
      </w:r>
      <w:r>
        <w:rPr>
          <w:spacing w:val="-4"/>
        </w:rPr>
        <w:t>open</w:t>
      </w:r>
      <w:r>
        <w:rPr>
          <w:spacing w:val="-7"/>
        </w:rPr>
        <w:t> </w:t>
      </w:r>
      <w:r>
        <w:rPr>
          <w:spacing w:val="-4"/>
        </w:rPr>
        <w:t>standards</w:t>
      </w:r>
      <w:r>
        <w:rPr>
          <w:spacing w:val="-6"/>
        </w:rPr>
        <w:t> </w:t>
      </w:r>
      <w:r>
        <w:rPr>
          <w:spacing w:val="-4"/>
        </w:rPr>
        <w:t>wherever</w:t>
      </w:r>
      <w:r>
        <w:rPr>
          <w:spacing w:val="-7"/>
        </w:rPr>
        <w:t> </w:t>
      </w:r>
      <w:r>
        <w:rPr>
          <w:spacing w:val="-6"/>
        </w:rPr>
        <w:t>possible.</w:t>
      </w:r>
    </w:p>
    <w:p>
      <w:pPr>
        <w:pStyle w:val="BodyText"/>
        <w:spacing w:line="266" w:lineRule="auto" w:before="77"/>
        <w:ind w:left="319" w:right="1077"/>
        <w:jc w:val="both"/>
      </w:pPr>
      <w:r>
        <w:rPr/>
        <w:br w:type="column"/>
      </w:r>
      <w:r>
        <w:rPr/>
        <w:t>This</w:t>
      </w:r>
      <w:r>
        <w:rPr>
          <w:spacing w:val="-12"/>
        </w:rPr>
        <w:t> </w:t>
      </w:r>
      <w:r>
        <w:rPr/>
        <w:t>will</w:t>
      </w:r>
      <w:r>
        <w:rPr>
          <w:spacing w:val="-12"/>
        </w:rPr>
        <w:t> </w:t>
      </w:r>
      <w:r>
        <w:rPr/>
        <w:t>allow</w:t>
      </w:r>
      <w:r>
        <w:rPr>
          <w:spacing w:val="-12"/>
        </w:rPr>
        <w:t> </w:t>
      </w:r>
      <w:r>
        <w:rPr/>
        <w:t>us</w:t>
      </w:r>
      <w:r>
        <w:rPr>
          <w:spacing w:val="-12"/>
        </w:rPr>
        <w:t> </w:t>
      </w:r>
      <w:r>
        <w:rPr/>
        <w:t>to</w:t>
      </w:r>
      <w:r>
        <w:rPr>
          <w:spacing w:val="-12"/>
        </w:rPr>
        <w:t> </w:t>
      </w:r>
      <w:r>
        <w:rPr/>
        <w:t>have</w:t>
      </w:r>
      <w:r>
        <w:rPr>
          <w:spacing w:val="-12"/>
        </w:rPr>
        <w:t> </w:t>
      </w:r>
      <w:r>
        <w:rPr/>
        <w:t>cost-effective</w:t>
      </w:r>
      <w:r>
        <w:rPr>
          <w:spacing w:val="-12"/>
        </w:rPr>
        <w:t> </w:t>
      </w:r>
      <w:r>
        <w:rPr/>
        <w:t>solutions</w:t>
      </w:r>
      <w:r>
        <w:rPr>
          <w:spacing w:val="-12"/>
        </w:rPr>
        <w:t> </w:t>
      </w:r>
      <w:r>
        <w:rPr/>
        <w:t>and help</w:t>
      </w:r>
      <w:r>
        <w:rPr>
          <w:spacing w:val="-12"/>
        </w:rPr>
        <w:t> </w:t>
      </w:r>
      <w:r>
        <w:rPr/>
        <w:t>develop</w:t>
      </w:r>
      <w:r>
        <w:rPr>
          <w:spacing w:val="-12"/>
        </w:rPr>
        <w:t> </w:t>
      </w:r>
      <w:r>
        <w:rPr/>
        <w:t>open</w:t>
      </w:r>
      <w:r>
        <w:rPr>
          <w:spacing w:val="-12"/>
        </w:rPr>
        <w:t> </w:t>
      </w:r>
      <w:r>
        <w:rPr/>
        <w:t>software</w:t>
      </w:r>
      <w:r>
        <w:rPr>
          <w:spacing w:val="-12"/>
        </w:rPr>
        <w:t> </w:t>
      </w:r>
      <w:r>
        <w:rPr/>
        <w:t>products</w:t>
      </w:r>
      <w:r>
        <w:rPr>
          <w:spacing w:val="-12"/>
        </w:rPr>
        <w:t> </w:t>
      </w:r>
      <w:r>
        <w:rPr/>
        <w:t>and</w:t>
      </w:r>
      <w:r>
        <w:rPr>
          <w:spacing w:val="-12"/>
        </w:rPr>
        <w:t> </w:t>
      </w:r>
      <w:r>
        <w:rPr/>
        <w:t>standards.</w:t>
      </w:r>
      <w:r>
        <w:rPr>
          <w:spacing w:val="-12"/>
        </w:rPr>
        <w:t> </w:t>
      </w:r>
      <w:r>
        <w:rPr/>
        <w:t>It will</w:t>
      </w:r>
      <w:r>
        <w:rPr>
          <w:spacing w:val="-16"/>
        </w:rPr>
        <w:t> </w:t>
      </w:r>
      <w:r>
        <w:rPr/>
        <w:t>also</w:t>
      </w:r>
      <w:r>
        <w:rPr>
          <w:spacing w:val="-14"/>
        </w:rPr>
        <w:t> </w:t>
      </w:r>
      <w:r>
        <w:rPr/>
        <w:t>help</w:t>
      </w:r>
      <w:r>
        <w:rPr>
          <w:spacing w:val="-14"/>
        </w:rPr>
        <w:t> </w:t>
      </w:r>
      <w:r>
        <w:rPr/>
        <w:t>improve</w:t>
      </w:r>
      <w:r>
        <w:rPr>
          <w:spacing w:val="-13"/>
        </w:rPr>
        <w:t> </w:t>
      </w:r>
      <w:r>
        <w:rPr/>
        <w:t>scaling</w:t>
      </w:r>
      <w:r>
        <w:rPr>
          <w:spacing w:val="-14"/>
        </w:rPr>
        <w:t> </w:t>
      </w:r>
      <w:r>
        <w:rPr/>
        <w:t>up</w:t>
      </w:r>
      <w:r>
        <w:rPr>
          <w:spacing w:val="-14"/>
        </w:rPr>
        <w:t> </w:t>
      </w:r>
      <w:r>
        <w:rPr/>
        <w:t>and</w:t>
      </w:r>
      <w:r>
        <w:rPr>
          <w:spacing w:val="-14"/>
        </w:rPr>
        <w:t> </w:t>
      </w:r>
      <w:r>
        <w:rPr/>
        <w:t>minimise</w:t>
      </w:r>
      <w:r>
        <w:rPr>
          <w:spacing w:val="-13"/>
        </w:rPr>
        <w:t> </w:t>
      </w:r>
      <w:r>
        <w:rPr/>
        <w:t>delays caused by repeat tendering.</w:t>
      </w:r>
    </w:p>
    <w:p>
      <w:pPr>
        <w:pStyle w:val="BodyText"/>
        <w:spacing w:before="9"/>
      </w:pPr>
    </w:p>
    <w:p>
      <w:pPr>
        <w:pStyle w:val="Heading6"/>
        <w:numPr>
          <w:ilvl w:val="0"/>
          <w:numId w:val="67"/>
        </w:numPr>
        <w:tabs>
          <w:tab w:pos="643" w:val="left" w:leader="none"/>
          <w:tab w:pos="645" w:val="left" w:leader="none"/>
        </w:tabs>
        <w:spacing w:line="208" w:lineRule="auto" w:before="1" w:after="0"/>
        <w:ind w:left="645" w:right="1253" w:hanging="327"/>
        <w:jc w:val="left"/>
      </w:pPr>
      <w:r>
        <w:rPr>
          <w:color w:val="2E614A"/>
        </w:rPr>
        <w:t>Specialist</w:t>
      </w:r>
      <w:r>
        <w:rPr>
          <w:color w:val="2E614A"/>
          <w:spacing w:val="-15"/>
        </w:rPr>
        <w:t> </w:t>
      </w:r>
      <w:r>
        <w:rPr>
          <w:color w:val="2E614A"/>
        </w:rPr>
        <w:t>CITO</w:t>
      </w:r>
      <w:r>
        <w:rPr>
          <w:color w:val="2E614A"/>
          <w:spacing w:val="-15"/>
        </w:rPr>
        <w:t> </w:t>
      </w:r>
      <w:r>
        <w:rPr>
          <w:color w:val="2E614A"/>
        </w:rPr>
        <w:t>(Chief </w:t>
      </w:r>
      <w:r>
        <w:rPr>
          <w:color w:val="2E614A"/>
          <w:spacing w:val="-10"/>
        </w:rPr>
        <w:t>Information Technology </w:t>
      </w:r>
      <w:r>
        <w:rPr>
          <w:color w:val="2E614A"/>
          <w:spacing w:val="-10"/>
        </w:rPr>
        <w:t>Officer)</w:t>
      </w:r>
    </w:p>
    <w:p>
      <w:pPr>
        <w:pStyle w:val="BodyText"/>
        <w:spacing w:line="266" w:lineRule="auto" w:before="294"/>
        <w:ind w:left="319" w:right="1077"/>
        <w:jc w:val="both"/>
      </w:pPr>
      <w:r>
        <w:rPr>
          <w:spacing w:val="-4"/>
        </w:rPr>
        <w:t>Each State and major Central Government departments </w:t>
      </w:r>
      <w:r>
        <w:rPr/>
        <w:t>must create an empowered chief information </w:t>
      </w:r>
      <w:r>
        <w:rPr>
          <w:spacing w:val="-2"/>
        </w:rPr>
        <w:t>technology</w:t>
      </w:r>
      <w:r>
        <w:rPr>
          <w:spacing w:val="-12"/>
        </w:rPr>
        <w:t> </w:t>
      </w:r>
      <w:r>
        <w:rPr>
          <w:spacing w:val="-2"/>
        </w:rPr>
        <w:t>officer,</w:t>
      </w:r>
      <w:r>
        <w:rPr>
          <w:spacing w:val="-12"/>
        </w:rPr>
        <w:t> </w:t>
      </w:r>
      <w:r>
        <w:rPr>
          <w:spacing w:val="-2"/>
        </w:rPr>
        <w:t>with</w:t>
      </w:r>
      <w:r>
        <w:rPr>
          <w:spacing w:val="-12"/>
        </w:rPr>
        <w:t> </w:t>
      </w:r>
      <w:r>
        <w:rPr>
          <w:spacing w:val="-2"/>
        </w:rPr>
        <w:t>relevant</w:t>
      </w:r>
      <w:r>
        <w:rPr>
          <w:spacing w:val="-11"/>
        </w:rPr>
        <w:t> </w:t>
      </w:r>
      <w:r>
        <w:rPr>
          <w:spacing w:val="-2"/>
        </w:rPr>
        <w:t>expertise</w:t>
      </w:r>
      <w:r>
        <w:rPr>
          <w:spacing w:val="-12"/>
        </w:rPr>
        <w:t> </w:t>
      </w:r>
      <w:r>
        <w:rPr>
          <w:spacing w:val="-2"/>
        </w:rPr>
        <w:t>and</w:t>
      </w:r>
      <w:r>
        <w:rPr>
          <w:spacing w:val="-12"/>
        </w:rPr>
        <w:t> </w:t>
      </w:r>
      <w:r>
        <w:rPr>
          <w:spacing w:val="-2"/>
        </w:rPr>
        <w:t>skills</w:t>
      </w:r>
      <w:r>
        <w:rPr>
          <w:spacing w:val="-12"/>
        </w:rPr>
        <w:t> </w:t>
      </w:r>
      <w:r>
        <w:rPr>
          <w:spacing w:val="-2"/>
        </w:rPr>
        <w:t>in </w:t>
      </w:r>
      <w:r>
        <w:rPr/>
        <w:t>the</w:t>
      </w:r>
      <w:r>
        <w:rPr>
          <w:spacing w:val="-11"/>
        </w:rPr>
        <w:t> </w:t>
      </w:r>
      <w:r>
        <w:rPr/>
        <w:t>domain</w:t>
      </w:r>
      <w:r>
        <w:rPr>
          <w:spacing w:val="-9"/>
        </w:rPr>
        <w:t> </w:t>
      </w:r>
      <w:r>
        <w:rPr/>
        <w:t>subject</w:t>
      </w:r>
      <w:r>
        <w:rPr>
          <w:spacing w:val="-9"/>
        </w:rPr>
        <w:t> </w:t>
      </w:r>
      <w:r>
        <w:rPr/>
        <w:t>and</w:t>
      </w:r>
      <w:r>
        <w:rPr>
          <w:spacing w:val="-9"/>
        </w:rPr>
        <w:t> </w:t>
      </w:r>
      <w:r>
        <w:rPr/>
        <w:t>IT</w:t>
      </w:r>
      <w:r>
        <w:rPr>
          <w:spacing w:val="-9"/>
        </w:rPr>
        <w:t> </w:t>
      </w:r>
      <w:r>
        <w:rPr/>
        <w:t>usage.</w:t>
      </w:r>
      <w:r>
        <w:rPr>
          <w:spacing w:val="-14"/>
        </w:rPr>
        <w:t> </w:t>
      </w:r>
      <w:r>
        <w:rPr/>
        <w:t>These</w:t>
      </w:r>
      <w:r>
        <w:rPr>
          <w:spacing w:val="-8"/>
        </w:rPr>
        <w:t> </w:t>
      </w:r>
      <w:r>
        <w:rPr/>
        <w:t>posts</w:t>
      </w:r>
      <w:r>
        <w:rPr>
          <w:spacing w:val="-9"/>
        </w:rPr>
        <w:t> </w:t>
      </w:r>
      <w:r>
        <w:rPr/>
        <w:t>must</w:t>
      </w:r>
      <w:r>
        <w:rPr>
          <w:spacing w:val="-9"/>
        </w:rPr>
        <w:t> </w:t>
      </w:r>
      <w:r>
        <w:rPr/>
        <w:t>be filled on open recruitment and draw the best and the </w:t>
      </w:r>
      <w:r>
        <w:rPr>
          <w:spacing w:val="-2"/>
        </w:rPr>
        <w:t>brightest from India’s technologically qualified talent. These</w:t>
      </w:r>
      <w:r>
        <w:rPr>
          <w:spacing w:val="-8"/>
        </w:rPr>
        <w:t> </w:t>
      </w:r>
      <w:r>
        <w:rPr>
          <w:spacing w:val="-2"/>
        </w:rPr>
        <w:t>officers</w:t>
      </w:r>
      <w:r>
        <w:rPr>
          <w:spacing w:val="-8"/>
        </w:rPr>
        <w:t> </w:t>
      </w:r>
      <w:r>
        <w:rPr>
          <w:spacing w:val="-2"/>
        </w:rPr>
        <w:t>should</w:t>
      </w:r>
      <w:r>
        <w:rPr>
          <w:spacing w:val="-8"/>
        </w:rPr>
        <w:t> </w:t>
      </w:r>
      <w:r>
        <w:rPr>
          <w:spacing w:val="-2"/>
        </w:rPr>
        <w:t>be</w:t>
      </w:r>
      <w:r>
        <w:rPr>
          <w:spacing w:val="-8"/>
        </w:rPr>
        <w:t> </w:t>
      </w:r>
      <w:r>
        <w:rPr>
          <w:spacing w:val="-2"/>
        </w:rPr>
        <w:t>paid</w:t>
      </w:r>
      <w:r>
        <w:rPr>
          <w:spacing w:val="-8"/>
        </w:rPr>
        <w:t> </w:t>
      </w:r>
      <w:r>
        <w:rPr>
          <w:spacing w:val="-2"/>
        </w:rPr>
        <w:t>market</w:t>
      </w:r>
      <w:r>
        <w:rPr>
          <w:spacing w:val="-8"/>
        </w:rPr>
        <w:t> </w:t>
      </w:r>
      <w:r>
        <w:rPr>
          <w:spacing w:val="-2"/>
        </w:rPr>
        <w:t>salaries</w:t>
      </w:r>
      <w:r>
        <w:rPr>
          <w:spacing w:val="-8"/>
        </w:rPr>
        <w:t> </w:t>
      </w:r>
      <w:r>
        <w:rPr>
          <w:spacing w:val="-2"/>
        </w:rPr>
        <w:t>and</w:t>
      </w:r>
      <w:r>
        <w:rPr>
          <w:spacing w:val="-8"/>
        </w:rPr>
        <w:t> </w:t>
      </w:r>
      <w:r>
        <w:rPr>
          <w:spacing w:val="-2"/>
        </w:rPr>
        <w:t>have </w:t>
      </w:r>
      <w:r>
        <w:rPr/>
        <w:t>a</w:t>
      </w:r>
      <w:r>
        <w:rPr>
          <w:spacing w:val="-12"/>
        </w:rPr>
        <w:t> </w:t>
      </w:r>
      <w:r>
        <w:rPr/>
        <w:t>three-year</w:t>
      </w:r>
      <w:r>
        <w:rPr>
          <w:spacing w:val="-12"/>
        </w:rPr>
        <w:t> </w:t>
      </w:r>
      <w:r>
        <w:rPr/>
        <w:t>contract</w:t>
      </w:r>
      <w:r>
        <w:rPr>
          <w:spacing w:val="-12"/>
        </w:rPr>
        <w:t> </w:t>
      </w:r>
      <w:r>
        <w:rPr/>
        <w:t>with</w:t>
      </w:r>
      <w:r>
        <w:rPr>
          <w:spacing w:val="-12"/>
        </w:rPr>
        <w:t> </w:t>
      </w:r>
      <w:r>
        <w:rPr/>
        <w:t>the</w:t>
      </w:r>
      <w:r>
        <w:rPr>
          <w:spacing w:val="-12"/>
        </w:rPr>
        <w:t> </w:t>
      </w:r>
      <w:r>
        <w:rPr/>
        <w:t>Government,</w:t>
      </w:r>
      <w:r>
        <w:rPr>
          <w:spacing w:val="-12"/>
        </w:rPr>
        <w:t> </w:t>
      </w:r>
      <w:r>
        <w:rPr/>
        <w:t>which</w:t>
      </w:r>
      <w:r>
        <w:rPr>
          <w:spacing w:val="-12"/>
        </w:rPr>
        <w:t> </w:t>
      </w:r>
      <w:r>
        <w:rPr/>
        <w:t>can be renewed depending on performance.</w:t>
      </w:r>
    </w:p>
    <w:p>
      <w:pPr>
        <w:pStyle w:val="Heading6"/>
        <w:numPr>
          <w:ilvl w:val="0"/>
          <w:numId w:val="67"/>
        </w:numPr>
        <w:tabs>
          <w:tab w:pos="644" w:val="left" w:leader="none"/>
        </w:tabs>
        <w:spacing w:line="240" w:lineRule="auto" w:before="219" w:after="0"/>
        <w:ind w:left="644" w:right="0" w:hanging="325"/>
        <w:jc w:val="left"/>
      </w:pPr>
      <w:r>
        <w:rPr>
          <w:color w:val="2E614A"/>
          <w:spacing w:val="-6"/>
        </w:rPr>
        <w:t>New</w:t>
      </w:r>
      <w:r>
        <w:rPr>
          <w:color w:val="2E614A"/>
          <w:spacing w:val="-9"/>
        </w:rPr>
        <w:t> </w:t>
      </w:r>
      <w:r>
        <w:rPr>
          <w:color w:val="2E614A"/>
          <w:spacing w:val="-6"/>
        </w:rPr>
        <w:t>National</w:t>
      </w:r>
      <w:r>
        <w:rPr>
          <w:color w:val="2E614A"/>
          <w:spacing w:val="-8"/>
        </w:rPr>
        <w:t> </w:t>
      </w:r>
      <w:r>
        <w:rPr>
          <w:color w:val="2E614A"/>
          <w:spacing w:val="-6"/>
        </w:rPr>
        <w:t>Programs</w:t>
      </w:r>
    </w:p>
    <w:p>
      <w:pPr>
        <w:pStyle w:val="BodyText"/>
        <w:spacing w:line="266" w:lineRule="auto" w:before="285"/>
        <w:ind w:left="319" w:right="1077"/>
        <w:jc w:val="both"/>
      </w:pPr>
      <w:r>
        <w:rPr/>
        <w:t>As</w:t>
      </w:r>
      <w:r>
        <w:rPr>
          <w:spacing w:val="-6"/>
        </w:rPr>
        <w:t> </w:t>
      </w:r>
      <w:r>
        <w:rPr/>
        <w:t>government</w:t>
      </w:r>
      <w:r>
        <w:rPr>
          <w:spacing w:val="-6"/>
        </w:rPr>
        <w:t> </w:t>
      </w:r>
      <w:r>
        <w:rPr/>
        <w:t>plans</w:t>
      </w:r>
      <w:r>
        <w:rPr>
          <w:spacing w:val="-6"/>
        </w:rPr>
        <w:t> </w:t>
      </w:r>
      <w:r>
        <w:rPr/>
        <w:t>to</w:t>
      </w:r>
      <w:r>
        <w:rPr>
          <w:spacing w:val="-6"/>
        </w:rPr>
        <w:t> </w:t>
      </w:r>
      <w:r>
        <w:rPr/>
        <w:t>spend</w:t>
      </w:r>
      <w:r>
        <w:rPr>
          <w:spacing w:val="-6"/>
        </w:rPr>
        <w:t> </w:t>
      </w:r>
      <w:r>
        <w:rPr/>
        <w:t>hundreds</w:t>
      </w:r>
      <w:r>
        <w:rPr>
          <w:spacing w:val="-6"/>
        </w:rPr>
        <w:t> </w:t>
      </w:r>
      <w:r>
        <w:rPr/>
        <w:t>of</w:t>
      </w:r>
      <w:r>
        <w:rPr>
          <w:spacing w:val="-6"/>
        </w:rPr>
        <w:t> </w:t>
      </w:r>
      <w:r>
        <w:rPr/>
        <w:t>thousands of crores on Bharat Nirman, Rural Employment </w:t>
      </w:r>
      <w:r>
        <w:rPr>
          <w:spacing w:val="-2"/>
        </w:rPr>
        <w:t>Guarantee</w:t>
      </w:r>
      <w:r>
        <w:rPr>
          <w:spacing w:val="-11"/>
        </w:rPr>
        <w:t> </w:t>
      </w:r>
      <w:r>
        <w:rPr>
          <w:spacing w:val="-2"/>
        </w:rPr>
        <w:t>Scheme,</w:t>
      </w:r>
      <w:r>
        <w:rPr>
          <w:spacing w:val="-11"/>
        </w:rPr>
        <w:t> </w:t>
      </w:r>
      <w:r>
        <w:rPr>
          <w:spacing w:val="-2"/>
        </w:rPr>
        <w:t>and</w:t>
      </w:r>
      <w:r>
        <w:rPr>
          <w:spacing w:val="-11"/>
        </w:rPr>
        <w:t> </w:t>
      </w:r>
      <w:r>
        <w:rPr>
          <w:spacing w:val="-2"/>
        </w:rPr>
        <w:t>urban</w:t>
      </w:r>
      <w:r>
        <w:rPr>
          <w:spacing w:val="-11"/>
        </w:rPr>
        <w:t> </w:t>
      </w:r>
      <w:r>
        <w:rPr>
          <w:spacing w:val="-2"/>
        </w:rPr>
        <w:t>development</w:t>
      </w:r>
      <w:r>
        <w:rPr>
          <w:spacing w:val="-11"/>
        </w:rPr>
        <w:t> </w:t>
      </w:r>
      <w:r>
        <w:rPr>
          <w:spacing w:val="-2"/>
        </w:rPr>
        <w:t>initiatives, </w:t>
      </w:r>
      <w:r>
        <w:rPr/>
        <w:t>it</w:t>
      </w:r>
      <w:r>
        <w:rPr>
          <w:spacing w:val="-6"/>
        </w:rPr>
        <w:t> </w:t>
      </w:r>
      <w:r>
        <w:rPr/>
        <w:t>is</w:t>
      </w:r>
      <w:r>
        <w:rPr>
          <w:spacing w:val="-6"/>
        </w:rPr>
        <w:t> </w:t>
      </w:r>
      <w:r>
        <w:rPr/>
        <w:t>recommended</w:t>
      </w:r>
      <w:r>
        <w:rPr>
          <w:spacing w:val="-6"/>
        </w:rPr>
        <w:t> </w:t>
      </w:r>
      <w:r>
        <w:rPr/>
        <w:t>that</w:t>
      </w:r>
      <w:r>
        <w:rPr>
          <w:spacing w:val="-6"/>
        </w:rPr>
        <w:t> </w:t>
      </w:r>
      <w:r>
        <w:rPr/>
        <w:t>we</w:t>
      </w:r>
      <w:r>
        <w:rPr>
          <w:spacing w:val="-6"/>
        </w:rPr>
        <w:t> </w:t>
      </w:r>
      <w:r>
        <w:rPr/>
        <w:t>mandate</w:t>
      </w:r>
      <w:r>
        <w:rPr>
          <w:spacing w:val="-6"/>
        </w:rPr>
        <w:t> </w:t>
      </w:r>
      <w:r>
        <w:rPr/>
        <w:t>that</w:t>
      </w:r>
      <w:r>
        <w:rPr>
          <w:spacing w:val="-6"/>
        </w:rPr>
        <w:t> </w:t>
      </w:r>
      <w:r>
        <w:rPr/>
        <w:t>each</w:t>
      </w:r>
      <w:r>
        <w:rPr>
          <w:spacing w:val="-6"/>
        </w:rPr>
        <w:t> </w:t>
      </w:r>
      <w:r>
        <w:rPr/>
        <w:t>of</w:t>
      </w:r>
      <w:r>
        <w:rPr>
          <w:spacing w:val="-6"/>
        </w:rPr>
        <w:t> </w:t>
      </w:r>
      <w:r>
        <w:rPr/>
        <w:t>these programs begin with well engineered E-governance </w:t>
      </w:r>
      <w:r>
        <w:rPr>
          <w:spacing w:val="-2"/>
        </w:rPr>
        <w:t>implementation</w:t>
      </w:r>
      <w:r>
        <w:rPr>
          <w:spacing w:val="-6"/>
        </w:rPr>
        <w:t> </w:t>
      </w:r>
      <w:r>
        <w:rPr>
          <w:spacing w:val="-2"/>
        </w:rPr>
        <w:t>and</w:t>
      </w:r>
      <w:r>
        <w:rPr>
          <w:spacing w:val="-6"/>
        </w:rPr>
        <w:t> </w:t>
      </w:r>
      <w:r>
        <w:rPr>
          <w:spacing w:val="-2"/>
        </w:rPr>
        <w:t>web-interface</w:t>
      </w:r>
      <w:r>
        <w:rPr>
          <w:spacing w:val="-6"/>
        </w:rPr>
        <w:t> </w:t>
      </w:r>
      <w:r>
        <w:rPr>
          <w:spacing w:val="-2"/>
        </w:rPr>
        <w:t>that</w:t>
      </w:r>
      <w:r>
        <w:rPr>
          <w:spacing w:val="-6"/>
        </w:rPr>
        <w:t> </w:t>
      </w:r>
      <w:r>
        <w:rPr>
          <w:spacing w:val="-2"/>
        </w:rPr>
        <w:t>ensures</w:t>
      </w:r>
      <w:r>
        <w:rPr>
          <w:spacing w:val="-6"/>
        </w:rPr>
        <w:t> </w:t>
      </w:r>
      <w:r>
        <w:rPr>
          <w:spacing w:val="-2"/>
        </w:rPr>
        <w:t>speedy </w:t>
      </w:r>
      <w:r>
        <w:rPr>
          <w:spacing w:val="-6"/>
        </w:rPr>
        <w:t>delivery, productivity and efficiency. It is recommended </w:t>
      </w:r>
      <w:r>
        <w:rPr/>
        <w:t>to invest one to two per cent of the national program budget in establishing new processes and associated E-governance infrastructure to improve delivery and reduce leakages.</w:t>
      </w:r>
    </w:p>
    <w:p>
      <w:pPr>
        <w:pStyle w:val="Heading6"/>
        <w:numPr>
          <w:ilvl w:val="0"/>
          <w:numId w:val="67"/>
        </w:numPr>
        <w:tabs>
          <w:tab w:pos="808" w:val="left" w:leader="none"/>
        </w:tabs>
        <w:spacing w:line="240" w:lineRule="auto" w:before="218" w:after="0"/>
        <w:ind w:left="808" w:right="0" w:hanging="489"/>
        <w:jc w:val="left"/>
      </w:pPr>
      <w:r>
        <w:rPr>
          <w:color w:val="2E614A"/>
          <w:w w:val="90"/>
        </w:rPr>
        <w:t>Focused</w:t>
      </w:r>
      <w:r>
        <w:rPr>
          <w:color w:val="2E614A"/>
          <w:spacing w:val="1"/>
        </w:rPr>
        <w:t> </w:t>
      </w:r>
      <w:r>
        <w:rPr>
          <w:color w:val="2E614A"/>
          <w:spacing w:val="-2"/>
        </w:rPr>
        <w:t>Organisation</w:t>
      </w:r>
    </w:p>
    <w:p>
      <w:pPr>
        <w:pStyle w:val="BodyText"/>
        <w:spacing w:line="266" w:lineRule="auto" w:before="285"/>
        <w:ind w:left="319" w:right="1077"/>
        <w:jc w:val="both"/>
      </w:pPr>
      <w:r>
        <w:rPr/>
        <w:t>For national E-governance to succeed, it is critical </w:t>
      </w:r>
      <w:r>
        <w:rPr/>
        <w:t>to </w:t>
      </w:r>
      <w:r>
        <w:rPr>
          <w:spacing w:val="-6"/>
        </w:rPr>
        <w:t>create an appropriate central organisation with structures </w:t>
      </w:r>
      <w:r>
        <w:rPr>
          <w:spacing w:val="-2"/>
        </w:rPr>
        <w:t>that</w:t>
      </w:r>
      <w:r>
        <w:rPr>
          <w:spacing w:val="-12"/>
        </w:rPr>
        <w:t> </w:t>
      </w:r>
      <w:r>
        <w:rPr>
          <w:spacing w:val="-2"/>
        </w:rPr>
        <w:t>can</w:t>
      </w:r>
      <w:r>
        <w:rPr>
          <w:spacing w:val="-12"/>
        </w:rPr>
        <w:t> </w:t>
      </w:r>
      <w:r>
        <w:rPr>
          <w:spacing w:val="-2"/>
        </w:rPr>
        <w:t>operate</w:t>
      </w:r>
      <w:r>
        <w:rPr>
          <w:spacing w:val="-11"/>
        </w:rPr>
        <w:t> </w:t>
      </w:r>
      <w:r>
        <w:rPr>
          <w:spacing w:val="-2"/>
        </w:rPr>
        <w:t>in</w:t>
      </w:r>
      <w:r>
        <w:rPr>
          <w:spacing w:val="-12"/>
        </w:rPr>
        <w:t> </w:t>
      </w:r>
      <w:r>
        <w:rPr>
          <w:spacing w:val="-2"/>
        </w:rPr>
        <w:t>a</w:t>
      </w:r>
      <w:r>
        <w:rPr>
          <w:spacing w:val="-12"/>
        </w:rPr>
        <w:t> </w:t>
      </w:r>
      <w:r>
        <w:rPr>
          <w:spacing w:val="-2"/>
        </w:rPr>
        <w:t>mission</w:t>
      </w:r>
      <w:r>
        <w:rPr>
          <w:spacing w:val="-11"/>
        </w:rPr>
        <w:t> </w:t>
      </w:r>
      <w:r>
        <w:rPr>
          <w:spacing w:val="-2"/>
        </w:rPr>
        <w:t>mode,</w:t>
      </w:r>
      <w:r>
        <w:rPr>
          <w:spacing w:val="-12"/>
        </w:rPr>
        <w:t> </w:t>
      </w:r>
      <w:r>
        <w:rPr>
          <w:spacing w:val="-2"/>
        </w:rPr>
        <w:t>with</w:t>
      </w:r>
      <w:r>
        <w:rPr>
          <w:spacing w:val="-12"/>
        </w:rPr>
        <w:t> </w:t>
      </w:r>
      <w:r>
        <w:rPr>
          <w:spacing w:val="-2"/>
        </w:rPr>
        <w:t>full</w:t>
      </w:r>
      <w:r>
        <w:rPr>
          <w:spacing w:val="-11"/>
        </w:rPr>
        <w:t> </w:t>
      </w:r>
      <w:r>
        <w:rPr>
          <w:spacing w:val="-2"/>
        </w:rPr>
        <w:t>autonomy </w:t>
      </w:r>
      <w:r>
        <w:rPr/>
        <w:t>and accountability. NKC recommends creation of an organisation with a Chief Executive Officer (CEO), with board members drawn from the IT industry and government to redesign processes and procedures, to </w:t>
      </w:r>
      <w:r>
        <w:rPr>
          <w:spacing w:val="-2"/>
        </w:rPr>
        <w:t>represent</w:t>
      </w:r>
      <w:r>
        <w:rPr>
          <w:spacing w:val="-12"/>
        </w:rPr>
        <w:t> </w:t>
      </w:r>
      <w:r>
        <w:rPr>
          <w:spacing w:val="-2"/>
        </w:rPr>
        <w:t>a</w:t>
      </w:r>
      <w:r>
        <w:rPr>
          <w:spacing w:val="-12"/>
        </w:rPr>
        <w:t> </w:t>
      </w:r>
      <w:r>
        <w:rPr>
          <w:spacing w:val="-2"/>
        </w:rPr>
        <w:t>multiplicity</w:t>
      </w:r>
      <w:r>
        <w:rPr>
          <w:spacing w:val="-12"/>
        </w:rPr>
        <w:t> </w:t>
      </w:r>
      <w:r>
        <w:rPr>
          <w:spacing w:val="-2"/>
        </w:rPr>
        <w:t>of</w:t>
      </w:r>
      <w:r>
        <w:rPr>
          <w:spacing w:val="-11"/>
        </w:rPr>
        <w:t> </w:t>
      </w:r>
      <w:r>
        <w:rPr>
          <w:spacing w:val="-2"/>
        </w:rPr>
        <w:t>stakeholders</w:t>
      </w:r>
      <w:r>
        <w:rPr>
          <w:spacing w:val="-12"/>
        </w:rPr>
        <w:t> </w:t>
      </w:r>
      <w:r>
        <w:rPr>
          <w:spacing w:val="-2"/>
        </w:rPr>
        <w:t>and</w:t>
      </w:r>
      <w:r>
        <w:rPr>
          <w:spacing w:val="-12"/>
        </w:rPr>
        <w:t> </w:t>
      </w:r>
      <w:r>
        <w:rPr>
          <w:spacing w:val="-2"/>
        </w:rPr>
        <w:t>diversity</w:t>
      </w:r>
      <w:r>
        <w:rPr>
          <w:spacing w:val="-12"/>
        </w:rPr>
        <w:t> </w:t>
      </w:r>
      <w:r>
        <w:rPr>
          <w:spacing w:val="-2"/>
        </w:rPr>
        <w:t>in </w:t>
      </w:r>
      <w:r>
        <w:rPr>
          <w:spacing w:val="-6"/>
        </w:rPr>
        <w:t>domain</w:t>
      </w:r>
      <w:r>
        <w:rPr>
          <w:spacing w:val="-8"/>
        </w:rPr>
        <w:t> </w:t>
      </w:r>
      <w:r>
        <w:rPr>
          <w:spacing w:val="-6"/>
        </w:rPr>
        <w:t>expertise,</w:t>
      </w:r>
      <w:r>
        <w:rPr>
          <w:spacing w:val="-8"/>
        </w:rPr>
        <w:t> </w:t>
      </w:r>
      <w:r>
        <w:rPr>
          <w:spacing w:val="-6"/>
        </w:rPr>
        <w:t>and</w:t>
      </w:r>
      <w:r>
        <w:rPr>
          <w:spacing w:val="-8"/>
        </w:rPr>
        <w:t> </w:t>
      </w:r>
      <w:r>
        <w:rPr>
          <w:spacing w:val="-6"/>
        </w:rPr>
        <w:t>to</w:t>
      </w:r>
      <w:r>
        <w:rPr>
          <w:spacing w:val="-7"/>
        </w:rPr>
        <w:t> </w:t>
      </w:r>
      <w:r>
        <w:rPr>
          <w:spacing w:val="-6"/>
        </w:rPr>
        <w:t>drive</w:t>
      </w:r>
      <w:r>
        <w:rPr>
          <w:spacing w:val="-8"/>
        </w:rPr>
        <w:t> </w:t>
      </w:r>
      <w:r>
        <w:rPr>
          <w:spacing w:val="-6"/>
        </w:rPr>
        <w:t>the</w:t>
      </w:r>
      <w:r>
        <w:rPr>
          <w:spacing w:val="-8"/>
        </w:rPr>
        <w:t> </w:t>
      </w:r>
      <w:r>
        <w:rPr>
          <w:spacing w:val="-6"/>
        </w:rPr>
        <w:t>national</w:t>
      </w:r>
      <w:r>
        <w:rPr>
          <w:spacing w:val="-8"/>
        </w:rPr>
        <w:t> </w:t>
      </w:r>
      <w:r>
        <w:rPr>
          <w:spacing w:val="-6"/>
        </w:rPr>
        <w:t>E-governance </w:t>
      </w:r>
      <w:r>
        <w:rPr/>
        <w:t>plan with facilitation from the CIT Ministry.</w:t>
      </w:r>
    </w:p>
    <w:p>
      <w:pPr>
        <w:pStyle w:val="BodyText"/>
        <w:spacing w:before="19"/>
      </w:pPr>
    </w:p>
    <w:p>
      <w:pPr>
        <w:pStyle w:val="BodyText"/>
        <w:spacing w:line="266" w:lineRule="auto"/>
        <w:ind w:left="319" w:right="1075"/>
      </w:pPr>
      <w:r>
        <w:rPr/>
        <w:t>The task of this organisation shall include but not </w:t>
      </w:r>
      <w:r>
        <w:rPr/>
        <w:t>be limited to:</w:t>
      </w:r>
    </w:p>
    <w:p>
      <w:pPr>
        <w:pStyle w:val="ListParagraph"/>
        <w:numPr>
          <w:ilvl w:val="1"/>
          <w:numId w:val="67"/>
        </w:numPr>
        <w:tabs>
          <w:tab w:pos="679" w:val="left" w:leader="none"/>
          <w:tab w:pos="2169" w:val="left" w:leader="none"/>
          <w:tab w:pos="3097" w:val="left" w:leader="none"/>
          <w:tab w:pos="3947" w:val="left" w:leader="none"/>
          <w:tab w:pos="4404" w:val="left" w:leader="none"/>
        </w:tabs>
        <w:spacing w:line="266" w:lineRule="auto" w:before="27" w:after="0"/>
        <w:ind w:left="679" w:right="1078" w:hanging="360"/>
        <w:jc w:val="left"/>
        <w:rPr>
          <w:sz w:val="22"/>
        </w:rPr>
      </w:pPr>
      <w:r>
        <w:rPr>
          <w:spacing w:val="-2"/>
          <w:sz w:val="22"/>
        </w:rPr>
        <w:t>administrative</w:t>
      </w:r>
      <w:r>
        <w:rPr>
          <w:sz w:val="22"/>
        </w:rPr>
        <w:tab/>
      </w:r>
      <w:r>
        <w:rPr>
          <w:spacing w:val="-2"/>
          <w:sz w:val="22"/>
        </w:rPr>
        <w:t>reforms</w:t>
      </w:r>
      <w:r>
        <w:rPr>
          <w:sz w:val="22"/>
        </w:rPr>
        <w:tab/>
      </w:r>
      <w:r>
        <w:rPr>
          <w:spacing w:val="-2"/>
          <w:sz w:val="22"/>
        </w:rPr>
        <w:t>related</w:t>
      </w:r>
      <w:r>
        <w:rPr>
          <w:sz w:val="22"/>
        </w:rPr>
        <w:tab/>
      </w:r>
      <w:r>
        <w:rPr>
          <w:spacing w:val="-6"/>
          <w:sz w:val="22"/>
        </w:rPr>
        <w:t>to</w:t>
      </w:r>
      <w:r>
        <w:rPr>
          <w:sz w:val="22"/>
        </w:rPr>
        <w:tab/>
      </w:r>
      <w:r>
        <w:rPr>
          <w:spacing w:val="-8"/>
          <w:sz w:val="22"/>
        </w:rPr>
        <w:t>process </w:t>
      </w:r>
      <w:r>
        <w:rPr>
          <w:spacing w:val="-2"/>
          <w:sz w:val="22"/>
        </w:rPr>
        <w:t>re-engineering</w:t>
      </w:r>
    </w:p>
    <w:p>
      <w:pPr>
        <w:pStyle w:val="ListParagraph"/>
        <w:numPr>
          <w:ilvl w:val="1"/>
          <w:numId w:val="67"/>
        </w:numPr>
        <w:tabs>
          <w:tab w:pos="679" w:val="left" w:leader="none"/>
        </w:tabs>
        <w:spacing w:line="266" w:lineRule="auto" w:before="28" w:after="0"/>
        <w:ind w:left="679" w:right="1077" w:hanging="360"/>
        <w:jc w:val="left"/>
        <w:rPr>
          <w:sz w:val="22"/>
        </w:rPr>
      </w:pPr>
      <w:r>
        <w:rPr>
          <w:sz w:val="22"/>
        </w:rPr>
        <w:t>providing</w:t>
      </w:r>
      <w:r>
        <w:rPr>
          <w:spacing w:val="-7"/>
          <w:sz w:val="22"/>
        </w:rPr>
        <w:t> </w:t>
      </w:r>
      <w:r>
        <w:rPr>
          <w:sz w:val="22"/>
        </w:rPr>
        <w:t>and</w:t>
      </w:r>
      <w:r>
        <w:rPr>
          <w:spacing w:val="-7"/>
          <w:sz w:val="22"/>
        </w:rPr>
        <w:t> </w:t>
      </w:r>
      <w:r>
        <w:rPr>
          <w:sz w:val="22"/>
        </w:rPr>
        <w:t>maintaining</w:t>
      </w:r>
      <w:r>
        <w:rPr>
          <w:spacing w:val="-7"/>
          <w:sz w:val="22"/>
        </w:rPr>
        <w:t> </w:t>
      </w:r>
      <w:r>
        <w:rPr>
          <w:sz w:val="22"/>
        </w:rPr>
        <w:t>common</w:t>
      </w:r>
      <w:r>
        <w:rPr>
          <w:spacing w:val="-7"/>
          <w:sz w:val="22"/>
        </w:rPr>
        <w:t> </w:t>
      </w:r>
      <w:r>
        <w:rPr>
          <w:sz w:val="22"/>
        </w:rPr>
        <w:t>national</w:t>
      </w:r>
      <w:r>
        <w:rPr>
          <w:spacing w:val="-7"/>
          <w:sz w:val="22"/>
        </w:rPr>
        <w:t> </w:t>
      </w:r>
      <w:r>
        <w:rPr>
          <w:sz w:val="22"/>
        </w:rPr>
        <w:t>ICT infrastructure for E-governance</w:t>
      </w:r>
    </w:p>
    <w:p>
      <w:pPr>
        <w:spacing w:after="0" w:line="266" w:lineRule="auto"/>
        <w:jc w:val="left"/>
        <w:rPr>
          <w:sz w:val="22"/>
        </w:rPr>
        <w:sectPr>
          <w:pgSz w:w="11910" w:h="16840"/>
          <w:pgMar w:header="0" w:footer="675" w:top="940" w:bottom="860" w:left="0" w:right="0"/>
          <w:cols w:num="2" w:equalWidth="0">
            <w:col w:w="5774" w:space="40"/>
            <w:col w:w="6096"/>
          </w:cols>
        </w:sectPr>
      </w:pPr>
    </w:p>
    <w:p>
      <w:pPr>
        <w:pStyle w:val="ListParagraph"/>
        <w:numPr>
          <w:ilvl w:val="1"/>
          <w:numId w:val="67"/>
        </w:numPr>
        <w:tabs>
          <w:tab w:pos="1439" w:val="left" w:leader="none"/>
        </w:tabs>
        <w:spacing w:line="266" w:lineRule="auto" w:before="57" w:after="0"/>
        <w:ind w:left="1439" w:right="0" w:hanging="360"/>
        <w:jc w:val="both"/>
        <w:rPr>
          <w:sz w:val="22"/>
        </w:rPr>
      </w:pPr>
      <w:r>
        <w:rPr>
          <w:sz w:val="22"/>
        </w:rPr>
        <w:t>providing leadership and framework </w:t>
      </w:r>
      <w:r>
        <w:rPr>
          <w:sz w:val="22"/>
        </w:rPr>
        <w:t>for </w:t>
      </w:r>
      <w:r>
        <w:rPr>
          <w:spacing w:val="-2"/>
          <w:sz w:val="22"/>
        </w:rPr>
        <w:t>implementation,</w:t>
      </w:r>
      <w:r>
        <w:rPr>
          <w:spacing w:val="-11"/>
          <w:sz w:val="22"/>
        </w:rPr>
        <w:t> </w:t>
      </w:r>
      <w:r>
        <w:rPr>
          <w:spacing w:val="-2"/>
          <w:sz w:val="22"/>
        </w:rPr>
        <w:t>with</w:t>
      </w:r>
      <w:r>
        <w:rPr>
          <w:spacing w:val="-11"/>
          <w:sz w:val="22"/>
        </w:rPr>
        <w:t> </w:t>
      </w:r>
      <w:r>
        <w:rPr>
          <w:spacing w:val="-2"/>
          <w:sz w:val="22"/>
        </w:rPr>
        <w:t>immediate</w:t>
      </w:r>
      <w:r>
        <w:rPr>
          <w:spacing w:val="-11"/>
          <w:sz w:val="22"/>
        </w:rPr>
        <w:t> </w:t>
      </w:r>
      <w:r>
        <w:rPr>
          <w:spacing w:val="-2"/>
          <w:sz w:val="22"/>
        </w:rPr>
        <w:t>focus</w:t>
      </w:r>
      <w:r>
        <w:rPr>
          <w:spacing w:val="-11"/>
          <w:sz w:val="22"/>
        </w:rPr>
        <w:t> </w:t>
      </w:r>
      <w:r>
        <w:rPr>
          <w:spacing w:val="-2"/>
          <w:sz w:val="22"/>
        </w:rPr>
        <w:t>on</w:t>
      </w:r>
      <w:r>
        <w:rPr>
          <w:spacing w:val="-11"/>
          <w:sz w:val="22"/>
        </w:rPr>
        <w:t> </w:t>
      </w:r>
      <w:r>
        <w:rPr>
          <w:spacing w:val="-2"/>
          <w:sz w:val="22"/>
        </w:rPr>
        <w:t>selected </w:t>
      </w:r>
      <w:r>
        <w:rPr>
          <w:sz w:val="22"/>
        </w:rPr>
        <w:t>mission mode projects ; and</w:t>
      </w:r>
    </w:p>
    <w:p>
      <w:pPr>
        <w:pStyle w:val="ListParagraph"/>
        <w:numPr>
          <w:ilvl w:val="1"/>
          <w:numId w:val="67"/>
        </w:numPr>
        <w:tabs>
          <w:tab w:pos="1437" w:val="left" w:leader="none"/>
          <w:tab w:pos="1439" w:val="left" w:leader="none"/>
        </w:tabs>
        <w:spacing w:line="266" w:lineRule="auto" w:before="0" w:after="0"/>
        <w:ind w:left="1439" w:right="0" w:hanging="360"/>
        <w:jc w:val="both"/>
        <w:rPr>
          <w:sz w:val="22"/>
        </w:rPr>
      </w:pPr>
      <w:r>
        <w:rPr>
          <w:sz w:val="22"/>
        </w:rPr>
        <w:t>providing a neutral consulting framework and </w:t>
      </w:r>
      <w:r>
        <w:rPr>
          <w:spacing w:val="-4"/>
          <w:sz w:val="22"/>
        </w:rPr>
        <w:t>standards</w:t>
      </w:r>
      <w:r>
        <w:rPr>
          <w:spacing w:val="-8"/>
          <w:sz w:val="22"/>
        </w:rPr>
        <w:t> </w:t>
      </w:r>
      <w:r>
        <w:rPr>
          <w:spacing w:val="-4"/>
          <w:sz w:val="22"/>
        </w:rPr>
        <w:t>for</w:t>
      </w:r>
      <w:r>
        <w:rPr>
          <w:spacing w:val="-8"/>
          <w:sz w:val="22"/>
        </w:rPr>
        <w:t> </w:t>
      </w:r>
      <w:r>
        <w:rPr>
          <w:spacing w:val="-4"/>
          <w:sz w:val="22"/>
        </w:rPr>
        <w:t>E-governance</w:t>
      </w:r>
      <w:r>
        <w:rPr>
          <w:spacing w:val="-8"/>
          <w:sz w:val="22"/>
        </w:rPr>
        <w:t> </w:t>
      </w:r>
      <w:r>
        <w:rPr>
          <w:spacing w:val="-4"/>
          <w:sz w:val="22"/>
        </w:rPr>
        <w:t>with</w:t>
      </w:r>
      <w:r>
        <w:rPr>
          <w:spacing w:val="-8"/>
          <w:sz w:val="22"/>
        </w:rPr>
        <w:t> </w:t>
      </w:r>
      <w:r>
        <w:rPr>
          <w:spacing w:val="-4"/>
          <w:sz w:val="22"/>
        </w:rPr>
        <w:t>the</w:t>
      </w:r>
      <w:r>
        <w:rPr>
          <w:spacing w:val="-8"/>
          <w:sz w:val="22"/>
        </w:rPr>
        <w:t> </w:t>
      </w:r>
      <w:r>
        <w:rPr>
          <w:spacing w:val="-4"/>
          <w:sz w:val="22"/>
        </w:rPr>
        <w:t>help</w:t>
      </w:r>
      <w:r>
        <w:rPr>
          <w:spacing w:val="-8"/>
          <w:sz w:val="22"/>
        </w:rPr>
        <w:t> </w:t>
      </w:r>
      <w:r>
        <w:rPr>
          <w:spacing w:val="-4"/>
          <w:sz w:val="22"/>
        </w:rPr>
        <w:t>of</w:t>
      </w:r>
      <w:r>
        <w:rPr>
          <w:spacing w:val="-8"/>
          <w:sz w:val="22"/>
        </w:rPr>
        <w:t> </w:t>
      </w:r>
      <w:r>
        <w:rPr>
          <w:spacing w:val="-4"/>
          <w:sz w:val="22"/>
        </w:rPr>
        <w:t>CITOs</w:t>
      </w:r>
    </w:p>
    <w:p>
      <w:pPr>
        <w:pStyle w:val="BodyText"/>
        <w:spacing w:before="23"/>
      </w:pPr>
    </w:p>
    <w:p>
      <w:pPr>
        <w:pStyle w:val="BodyText"/>
        <w:spacing w:line="266" w:lineRule="auto"/>
        <w:ind w:left="1080"/>
        <w:jc w:val="both"/>
      </w:pPr>
      <w:r>
        <w:rPr/>
        <w:t>There is a need to re-engineer our processes first </w:t>
      </w:r>
      <w:r>
        <w:rPr/>
        <w:t>to change our basic governance pattern for simplicity, transparency,</w:t>
      </w:r>
      <w:r>
        <w:rPr>
          <w:spacing w:val="-13"/>
        </w:rPr>
        <w:t> </w:t>
      </w:r>
      <w:r>
        <w:rPr/>
        <w:t>productivity</w:t>
      </w:r>
      <w:r>
        <w:rPr>
          <w:spacing w:val="-13"/>
        </w:rPr>
        <w:t> </w:t>
      </w:r>
      <w:r>
        <w:rPr/>
        <w:t>and</w:t>
      </w:r>
      <w:r>
        <w:rPr>
          <w:spacing w:val="-13"/>
        </w:rPr>
        <w:t> </w:t>
      </w:r>
      <w:r>
        <w:rPr/>
        <w:t>efficiency,</w:t>
      </w:r>
      <w:r>
        <w:rPr>
          <w:spacing w:val="-13"/>
        </w:rPr>
        <w:t> </w:t>
      </w:r>
      <w:r>
        <w:rPr/>
        <w:t>to</w:t>
      </w:r>
      <w:r>
        <w:rPr>
          <w:spacing w:val="-13"/>
        </w:rPr>
        <w:t> </w:t>
      </w:r>
      <w:r>
        <w:rPr/>
        <w:t>select</w:t>
      </w:r>
      <w:r>
        <w:rPr>
          <w:spacing w:val="-13"/>
        </w:rPr>
        <w:t> </w:t>
      </w:r>
      <w:r>
        <w:rPr/>
        <w:t>10 </w:t>
      </w:r>
      <w:r>
        <w:rPr>
          <w:spacing w:val="-2"/>
        </w:rPr>
        <w:t>to</w:t>
      </w:r>
      <w:r>
        <w:rPr>
          <w:spacing w:val="-14"/>
        </w:rPr>
        <w:t> </w:t>
      </w:r>
      <w:r>
        <w:rPr>
          <w:spacing w:val="-2"/>
        </w:rPr>
        <w:t>20</w:t>
      </w:r>
      <w:r>
        <w:rPr>
          <w:spacing w:val="-12"/>
        </w:rPr>
        <w:t> </w:t>
      </w:r>
      <w:r>
        <w:rPr>
          <w:spacing w:val="-2"/>
        </w:rPr>
        <w:t>important</w:t>
      </w:r>
      <w:r>
        <w:rPr>
          <w:spacing w:val="-12"/>
        </w:rPr>
        <w:t> </w:t>
      </w:r>
      <w:r>
        <w:rPr>
          <w:spacing w:val="-2"/>
        </w:rPr>
        <w:t>services</w:t>
      </w:r>
      <w:r>
        <w:rPr>
          <w:spacing w:val="-11"/>
        </w:rPr>
        <w:t> </w:t>
      </w:r>
      <w:r>
        <w:rPr>
          <w:spacing w:val="-2"/>
        </w:rPr>
        <w:t>that</w:t>
      </w:r>
      <w:r>
        <w:rPr>
          <w:spacing w:val="-12"/>
        </w:rPr>
        <w:t> </w:t>
      </w:r>
      <w:r>
        <w:rPr>
          <w:spacing w:val="-2"/>
        </w:rPr>
        <w:t>make</w:t>
      </w:r>
      <w:r>
        <w:rPr>
          <w:spacing w:val="-12"/>
        </w:rPr>
        <w:t> </w:t>
      </w:r>
      <w:r>
        <w:rPr>
          <w:spacing w:val="-2"/>
        </w:rPr>
        <w:t>a</w:t>
      </w:r>
      <w:r>
        <w:rPr>
          <w:spacing w:val="-12"/>
        </w:rPr>
        <w:t> </w:t>
      </w:r>
      <w:r>
        <w:rPr>
          <w:spacing w:val="-2"/>
        </w:rPr>
        <w:t>critical</w:t>
      </w:r>
      <w:r>
        <w:rPr>
          <w:spacing w:val="-11"/>
        </w:rPr>
        <w:t> </w:t>
      </w:r>
      <w:r>
        <w:rPr>
          <w:spacing w:val="-2"/>
        </w:rPr>
        <w:t>difference, </w:t>
      </w:r>
      <w:r>
        <w:rPr>
          <w:spacing w:val="-6"/>
        </w:rPr>
        <w:t>to</w:t>
      </w:r>
      <w:r>
        <w:rPr/>
        <w:t> </w:t>
      </w:r>
      <w:r>
        <w:rPr>
          <w:spacing w:val="-6"/>
        </w:rPr>
        <w:t>offer</w:t>
      </w:r>
      <w:r>
        <w:rPr>
          <w:spacing w:val="1"/>
        </w:rPr>
        <w:t> </w:t>
      </w:r>
      <w:r>
        <w:rPr>
          <w:spacing w:val="-6"/>
        </w:rPr>
        <w:t>web-based</w:t>
      </w:r>
      <w:r>
        <w:rPr>
          <w:spacing w:val="1"/>
        </w:rPr>
        <w:t> </w:t>
      </w:r>
      <w:r>
        <w:rPr>
          <w:spacing w:val="-6"/>
        </w:rPr>
        <w:t>services,</w:t>
      </w:r>
      <w:r>
        <w:rPr>
          <w:spacing w:val="1"/>
        </w:rPr>
        <w:t> </w:t>
      </w:r>
      <w:r>
        <w:rPr>
          <w:spacing w:val="-6"/>
        </w:rPr>
        <w:t>develop</w:t>
      </w:r>
      <w:r>
        <w:rPr>
          <w:spacing w:val="1"/>
        </w:rPr>
        <w:t> </w:t>
      </w:r>
      <w:r>
        <w:rPr>
          <w:spacing w:val="-6"/>
        </w:rPr>
        <w:t>common</w:t>
      </w:r>
      <w:r>
        <w:rPr>
          <w:spacing w:val="1"/>
        </w:rPr>
        <w:t> </w:t>
      </w:r>
      <w:r>
        <w:rPr>
          <w:spacing w:val="-6"/>
        </w:rPr>
        <w:t>standards</w:t>
      </w:r>
    </w:p>
    <w:p>
      <w:pPr>
        <w:pStyle w:val="BodyText"/>
        <w:spacing w:line="266" w:lineRule="auto" w:before="57"/>
        <w:ind w:left="319" w:right="1078"/>
        <w:jc w:val="both"/>
      </w:pPr>
      <w:r>
        <w:rPr/>
        <w:br w:type="column"/>
      </w:r>
      <w:r>
        <w:rPr/>
        <w:t>and deploy a common platform or infrastructure </w:t>
      </w:r>
      <w:r>
        <w:rPr/>
        <w:t>for E-governance to make it citizen-centric.</w:t>
      </w:r>
    </w:p>
    <w:p>
      <w:pPr>
        <w:pStyle w:val="BodyText"/>
        <w:spacing w:before="26"/>
      </w:pPr>
    </w:p>
    <w:p>
      <w:pPr>
        <w:pStyle w:val="BodyText"/>
        <w:spacing w:line="266" w:lineRule="auto"/>
        <w:ind w:left="319" w:right="1077"/>
        <w:jc w:val="both"/>
      </w:pPr>
      <w:r>
        <w:rPr/>
        <w:t>As</w:t>
      </w:r>
      <w:r>
        <w:rPr>
          <w:spacing w:val="40"/>
        </w:rPr>
        <w:t> </w:t>
      </w:r>
      <w:r>
        <w:rPr/>
        <w:t>a</w:t>
      </w:r>
      <w:r>
        <w:rPr>
          <w:spacing w:val="40"/>
        </w:rPr>
        <w:t> </w:t>
      </w:r>
      <w:r>
        <w:rPr/>
        <w:t>next</w:t>
      </w:r>
      <w:r>
        <w:rPr>
          <w:spacing w:val="40"/>
        </w:rPr>
        <w:t> </w:t>
      </w:r>
      <w:r>
        <w:rPr/>
        <w:t>step,</w:t>
      </w:r>
      <w:r>
        <w:rPr>
          <w:spacing w:val="40"/>
        </w:rPr>
        <w:t> </w:t>
      </w:r>
      <w:r>
        <w:rPr/>
        <w:t>NKC</w:t>
      </w:r>
      <w:r>
        <w:rPr>
          <w:spacing w:val="40"/>
        </w:rPr>
        <w:t> </w:t>
      </w:r>
      <w:r>
        <w:rPr/>
        <w:t>recommends</w:t>
      </w:r>
      <w:r>
        <w:rPr>
          <w:spacing w:val="40"/>
        </w:rPr>
        <w:t> </w:t>
      </w:r>
      <w:r>
        <w:rPr/>
        <w:t>focusing</w:t>
      </w:r>
      <w:r>
        <w:rPr>
          <w:spacing w:val="40"/>
        </w:rPr>
        <w:t> </w:t>
      </w:r>
      <w:r>
        <w:rPr/>
        <w:t>on</w:t>
      </w:r>
      <w:r>
        <w:rPr>
          <w:spacing w:val="80"/>
        </w:rPr>
        <w:t> </w:t>
      </w:r>
      <w:r>
        <w:rPr/>
        <w:t>the organisational issues related to re-engineering government processes with strong committed leadership, autonomy, flexibility, clarity of purpose, predefined deliverables, measurable milestones and </w:t>
      </w:r>
      <w:r>
        <w:rPr>
          <w:spacing w:val="-2"/>
        </w:rPr>
        <w:t>periodic</w:t>
      </w:r>
      <w:r>
        <w:rPr>
          <w:spacing w:val="-8"/>
        </w:rPr>
        <w:t> </w:t>
      </w:r>
      <w:r>
        <w:rPr>
          <w:spacing w:val="-2"/>
        </w:rPr>
        <w:t>monitoring</w:t>
      </w:r>
      <w:r>
        <w:rPr>
          <w:spacing w:val="-8"/>
        </w:rPr>
        <w:t> </w:t>
      </w:r>
      <w:r>
        <w:rPr>
          <w:spacing w:val="-2"/>
        </w:rPr>
        <w:t>in</w:t>
      </w:r>
      <w:r>
        <w:rPr>
          <w:spacing w:val="-8"/>
        </w:rPr>
        <w:t> </w:t>
      </w:r>
      <w:r>
        <w:rPr>
          <w:spacing w:val="-2"/>
        </w:rPr>
        <w:t>order</w:t>
      </w:r>
      <w:r>
        <w:rPr>
          <w:spacing w:val="-8"/>
        </w:rPr>
        <w:t> </w:t>
      </w:r>
      <w:r>
        <w:rPr>
          <w:spacing w:val="-2"/>
        </w:rPr>
        <w:t>to</w:t>
      </w:r>
      <w:r>
        <w:rPr>
          <w:spacing w:val="-8"/>
        </w:rPr>
        <w:t> </w:t>
      </w:r>
      <w:r>
        <w:rPr>
          <w:spacing w:val="-2"/>
        </w:rPr>
        <w:t>implement</w:t>
      </w:r>
      <w:r>
        <w:rPr>
          <w:spacing w:val="-8"/>
        </w:rPr>
        <w:t> </w:t>
      </w:r>
      <w:r>
        <w:rPr>
          <w:spacing w:val="-2"/>
        </w:rPr>
        <w:t>the</w:t>
      </w:r>
      <w:r>
        <w:rPr>
          <w:spacing w:val="-8"/>
        </w:rPr>
        <w:t> </w:t>
      </w:r>
      <w:r>
        <w:rPr>
          <w:spacing w:val="-2"/>
        </w:rPr>
        <w:t>national </w:t>
      </w:r>
      <w:r>
        <w:rPr/>
        <w:t>E-governance program within three to five years.</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before="4"/>
        <w:rPr>
          <w:sz w:val="17"/>
        </w:rPr>
      </w:pPr>
    </w:p>
    <w:p>
      <w:pPr>
        <w:spacing w:after="0"/>
        <w:rPr>
          <w:sz w:val="17"/>
        </w:rPr>
        <w:sectPr>
          <w:footerReference w:type="even" r:id="rId640"/>
          <w:pgSz w:w="11910" w:h="16840"/>
          <w:pgMar w:header="0" w:footer="0" w:top="1920" w:bottom="280" w:left="0" w:right="0"/>
        </w:sectPr>
      </w:pPr>
    </w:p>
    <w:p>
      <w:pPr>
        <w:pStyle w:val="BodyText"/>
        <w:spacing w:before="4"/>
        <w:rPr>
          <w:sz w:val="17"/>
        </w:rPr>
      </w:pPr>
      <w:r>
        <w:rPr/>
        <mc:AlternateContent>
          <mc:Choice Requires="wps">
            <w:drawing>
              <wp:anchor distT="0" distB="0" distL="0" distR="0" allowOverlap="1" layoutInCell="1" locked="0" behindDoc="1" simplePos="0" relativeHeight="479366144">
                <wp:simplePos x="0" y="0"/>
                <wp:positionH relativeFrom="page">
                  <wp:posOffset>5870957</wp:posOffset>
                </wp:positionH>
                <wp:positionV relativeFrom="page">
                  <wp:posOffset>10297721</wp:posOffset>
                </wp:positionV>
                <wp:extent cx="1368425" cy="147955"/>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1368425" cy="147955"/>
                        </a:xfrm>
                        <a:prstGeom prst="rect">
                          <a:avLst/>
                        </a:prstGeom>
                      </wps:spPr>
                      <wps:txbx>
                        <w:txbxContent>
                          <w:p>
                            <w:pPr>
                              <w:spacing w:before="0"/>
                              <w:ind w:left="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t>163</w:t>
                            </w:r>
                          </w:p>
                        </w:txbxContent>
                      </wps:txbx>
                      <wps:bodyPr wrap="square" lIns="0" tIns="0" rIns="0" bIns="0" rtlCol="0">
                        <a:noAutofit/>
                      </wps:bodyPr>
                    </wps:wsp>
                  </a:graphicData>
                </a:graphic>
              </wp:anchor>
            </w:drawing>
          </mc:Choice>
          <mc:Fallback>
            <w:pict>
              <v:shape style="position:absolute;margin-left:462.28009pt;margin-top:810.844238pt;width:107.75pt;height:11.65pt;mso-position-horizontal-relative:page;mso-position-vertical-relative:page;z-index:-23950336" type="#_x0000_t202" id="docshape1004" filled="false" stroked="false">
                <v:textbox inset="0,0,0,0">
                  <w:txbxContent>
                    <w:p>
                      <w:pPr>
                        <w:spacing w:before="0"/>
                        <w:ind w:left="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t>163</w:t>
                      </w:r>
                    </w:p>
                  </w:txbxContent>
                </v:textbox>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0</wp:posOffset>
                </wp:positionH>
                <wp:positionV relativeFrom="page">
                  <wp:posOffset>38</wp:posOffset>
                </wp:positionV>
                <wp:extent cx="7560309" cy="10692130"/>
                <wp:effectExtent l="0" t="0" r="0" b="0"/>
                <wp:wrapNone/>
                <wp:docPr id="1017" name="Group 1017"/>
                <wp:cNvGraphicFramePr>
                  <a:graphicFrameLocks/>
                </wp:cNvGraphicFramePr>
                <a:graphic>
                  <a:graphicData uri="http://schemas.microsoft.com/office/word/2010/wordprocessingGroup">
                    <wpg:wgp>
                      <wpg:cNvPr id="1017" name="Group 1017"/>
                      <wpg:cNvGrpSpPr/>
                      <wpg:grpSpPr>
                        <a:xfrm>
                          <a:off x="0" y="0"/>
                          <a:ext cx="7560309" cy="10692130"/>
                          <a:chExt cx="7560309" cy="10692130"/>
                        </a:xfrm>
                      </wpg:grpSpPr>
                      <pic:pic>
                        <pic:nvPicPr>
                          <pic:cNvPr id="1018" name="Image 1018"/>
                          <pic:cNvPicPr/>
                        </pic:nvPicPr>
                        <pic:blipFill>
                          <a:blip r:embed="rId17" cstate="print"/>
                          <a:stretch>
                            <a:fillRect/>
                          </a:stretch>
                        </pic:blipFill>
                        <pic:spPr>
                          <a:xfrm>
                            <a:off x="6892290" y="10136123"/>
                            <a:ext cx="504862" cy="266945"/>
                          </a:xfrm>
                          <a:prstGeom prst="rect">
                            <a:avLst/>
                          </a:prstGeom>
                        </pic:spPr>
                      </pic:pic>
                      <pic:pic>
                        <pic:nvPicPr>
                          <pic:cNvPr id="1019" name="Image 1019"/>
                          <pic:cNvPicPr/>
                        </pic:nvPicPr>
                        <pic:blipFill>
                          <a:blip r:embed="rId18" cstate="print"/>
                          <a:stretch>
                            <a:fillRect/>
                          </a:stretch>
                        </pic:blipFill>
                        <pic:spPr>
                          <a:xfrm>
                            <a:off x="6892290" y="10402597"/>
                            <a:ext cx="504862" cy="266963"/>
                          </a:xfrm>
                          <a:prstGeom prst="rect">
                            <a:avLst/>
                          </a:prstGeom>
                        </pic:spPr>
                      </pic:pic>
                      <wps:wsp>
                        <wps:cNvPr id="1020" name="Graphic 1020"/>
                        <wps:cNvSpPr/>
                        <wps:spPr>
                          <a:xfrm>
                            <a:off x="2286000" y="0"/>
                            <a:ext cx="5274310" cy="10692130"/>
                          </a:xfrm>
                          <a:custGeom>
                            <a:avLst/>
                            <a:gdLst/>
                            <a:ahLst/>
                            <a:cxnLst/>
                            <a:rect l="l" t="t" r="r" b="b"/>
                            <a:pathLst>
                              <a:path w="5274310" h="10692130">
                                <a:moveTo>
                                  <a:pt x="0" y="0"/>
                                </a:moveTo>
                                <a:lnTo>
                                  <a:pt x="0" y="10691964"/>
                                </a:lnTo>
                                <a:lnTo>
                                  <a:pt x="5273999" y="10691964"/>
                                </a:lnTo>
                                <a:lnTo>
                                  <a:pt x="5273999" y="0"/>
                                </a:lnTo>
                                <a:lnTo>
                                  <a:pt x="0" y="0"/>
                                </a:lnTo>
                                <a:close/>
                              </a:path>
                            </a:pathLst>
                          </a:custGeom>
                          <a:solidFill>
                            <a:srgbClr val="F5E7AB"/>
                          </a:solidFill>
                        </wps:spPr>
                        <wps:bodyPr wrap="square" lIns="0" tIns="0" rIns="0" bIns="0" rtlCol="0">
                          <a:prstTxWarp prst="textNoShape">
                            <a:avLst/>
                          </a:prstTxWarp>
                          <a:noAutofit/>
                        </wps:bodyPr>
                      </wps:wsp>
                      <pic:pic>
                        <pic:nvPicPr>
                          <pic:cNvPr id="1021" name="Image 1021"/>
                          <pic:cNvPicPr/>
                        </pic:nvPicPr>
                        <pic:blipFill>
                          <a:blip r:embed="rId12" cstate="print"/>
                          <a:stretch>
                            <a:fillRect/>
                          </a:stretch>
                        </pic:blipFill>
                        <pic:spPr>
                          <a:xfrm>
                            <a:off x="0" y="0"/>
                            <a:ext cx="4223041" cy="10691964"/>
                          </a:xfrm>
                          <a:prstGeom prst="rect">
                            <a:avLst/>
                          </a:prstGeom>
                        </pic:spPr>
                      </pic:pic>
                    </wpg:wgp>
                  </a:graphicData>
                </a:graphic>
              </wp:anchor>
            </w:drawing>
          </mc:Choice>
          <mc:Fallback>
            <w:pict>
              <v:group style="position:absolute;margin-left:0pt;margin-top:.003055pt;width:595.3pt;height:841.9pt;mso-position-horizontal-relative:page;mso-position-vertical-relative:page;z-index:15790080" id="docshapegroup1005" coordorigin="0,0" coordsize="11906,16838">
                <v:shape style="position:absolute;left:10854;top:15962;width:796;height:421" type="#_x0000_t75" id="docshape1006" stroked="false">
                  <v:imagedata r:id="rId17" o:title=""/>
                </v:shape>
                <v:shape style="position:absolute;left:10854;top:16382;width:796;height:421" type="#_x0000_t75" id="docshape1007" stroked="false">
                  <v:imagedata r:id="rId18" o:title=""/>
                </v:shape>
                <v:rect style="position:absolute;left:3600;top:0;width:8306;height:16838" id="docshape1008" filled="true" fillcolor="#f5e7ab" stroked="false">
                  <v:fill type="solid"/>
                </v:rect>
                <v:shape style="position:absolute;left:0;top:0;width:6651;height:16838" type="#_x0000_t75" id="docshape1009" stroked="false">
                  <v:imagedata r:id="rId12" o:title=""/>
                </v:shape>
                <w10:wrap type="none"/>
              </v:group>
            </w:pict>
          </mc:Fallback>
        </mc:AlternateContent>
      </w:r>
      <w:r>
        <w:rPr/>
        <mc:AlternateContent>
          <mc:Choice Requires="wps">
            <w:drawing>
              <wp:anchor distT="0" distB="0" distL="0" distR="0" allowOverlap="1" layoutInCell="1" locked="0" behindDoc="0" simplePos="0" relativeHeight="15790592">
                <wp:simplePos x="0" y="0"/>
                <wp:positionH relativeFrom="page">
                  <wp:posOffset>3199415</wp:posOffset>
                </wp:positionH>
                <wp:positionV relativeFrom="page">
                  <wp:posOffset>2791552</wp:posOffset>
                </wp:positionV>
                <wp:extent cx="1057910" cy="5112385"/>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1057910" cy="5112385"/>
                        </a:xfrm>
                        <a:prstGeom prst="rect">
                          <a:avLst/>
                        </a:prstGeom>
                      </wps:spPr>
                      <wps:txbx>
                        <w:txbxContent>
                          <w:p>
                            <w:pPr>
                              <w:spacing w:before="20"/>
                              <w:ind w:left="20" w:right="0" w:firstLine="0"/>
                              <w:jc w:val="left"/>
                              <w:rPr>
                                <w:rFonts w:ascii="Trebuchet MS"/>
                                <w:b/>
                                <w:sz w:val="140"/>
                              </w:rPr>
                            </w:pPr>
                            <w:r>
                              <w:rPr>
                                <w:rFonts w:ascii="Trebuchet MS"/>
                                <w:b/>
                                <w:color w:val="E3C626"/>
                                <w:sz w:val="140"/>
                              </w:rPr>
                              <w:t>NKC:</w:t>
                            </w:r>
                            <w:r>
                              <w:rPr>
                                <w:rFonts w:ascii="Trebuchet MS"/>
                                <w:b/>
                                <w:color w:val="E3C626"/>
                                <w:spacing w:val="-6"/>
                                <w:sz w:val="140"/>
                              </w:rPr>
                              <w:t> </w:t>
                            </w:r>
                            <w:r>
                              <w:rPr>
                                <w:rFonts w:ascii="Trebuchet MS"/>
                                <w:b/>
                                <w:color w:val="E3C626"/>
                                <w:spacing w:val="-2"/>
                                <w:sz w:val="140"/>
                              </w:rPr>
                              <w:t>Impact</w:t>
                            </w:r>
                          </w:p>
                        </w:txbxContent>
                      </wps:txbx>
                      <wps:bodyPr wrap="square" lIns="0" tIns="0" rIns="0" bIns="0" rtlCol="0" vert="vert270">
                        <a:noAutofit/>
                      </wps:bodyPr>
                    </wps:wsp>
                  </a:graphicData>
                </a:graphic>
              </wp:anchor>
            </w:drawing>
          </mc:Choice>
          <mc:Fallback>
            <w:pict>
              <v:shape style="position:absolute;margin-left:251.922516pt;margin-top:219.807312pt;width:83.3pt;height:402.55pt;mso-position-horizontal-relative:page;mso-position-vertical-relative:page;z-index:15790592" type="#_x0000_t202" id="docshape1010" filled="false" stroked="false">
                <v:textbox inset="0,0,0,0" style="layout-flow:vertical;mso-layout-flow-alt:bottom-to-top">
                  <w:txbxContent>
                    <w:p>
                      <w:pPr>
                        <w:spacing w:before="20"/>
                        <w:ind w:left="20" w:right="0" w:firstLine="0"/>
                        <w:jc w:val="left"/>
                        <w:rPr>
                          <w:rFonts w:ascii="Trebuchet MS"/>
                          <w:b/>
                          <w:sz w:val="140"/>
                        </w:rPr>
                      </w:pPr>
                      <w:r>
                        <w:rPr>
                          <w:rFonts w:ascii="Trebuchet MS"/>
                          <w:b/>
                          <w:color w:val="E3C626"/>
                          <w:sz w:val="140"/>
                        </w:rPr>
                        <w:t>NKC:</w:t>
                      </w:r>
                      <w:r>
                        <w:rPr>
                          <w:rFonts w:ascii="Trebuchet MS"/>
                          <w:b/>
                          <w:color w:val="E3C626"/>
                          <w:spacing w:val="-6"/>
                          <w:sz w:val="140"/>
                        </w:rPr>
                        <w:t> </w:t>
                      </w:r>
                      <w:r>
                        <w:rPr>
                          <w:rFonts w:ascii="Trebuchet MS"/>
                          <w:b/>
                          <w:color w:val="E3C626"/>
                          <w:spacing w:val="-2"/>
                          <w:sz w:val="140"/>
                        </w:rPr>
                        <w:t>Impact</w:t>
                      </w:r>
                    </w:p>
                  </w:txbxContent>
                </v:textbox>
                <w10:wrap type="none"/>
              </v:shape>
            </w:pict>
          </mc:Fallback>
        </mc:AlternateContent>
      </w:r>
    </w:p>
    <w:p>
      <w:pPr>
        <w:spacing w:after="0"/>
        <w:rPr>
          <w:sz w:val="17"/>
        </w:rPr>
        <w:sectPr>
          <w:footerReference w:type="default" r:id="rId641"/>
          <w:pgSz w:w="11910" w:h="16840"/>
          <w:pgMar w:header="0" w:footer="0" w:top="1920" w:bottom="280" w:left="0" w:right="0"/>
        </w:sectPr>
      </w:pPr>
    </w:p>
    <w:p>
      <w:pPr>
        <w:pStyle w:val="BodyText"/>
        <w:spacing w:before="4"/>
        <w:rPr>
          <w:sz w:val="17"/>
        </w:rPr>
      </w:pPr>
    </w:p>
    <w:p>
      <w:pPr>
        <w:spacing w:after="0"/>
        <w:rPr>
          <w:sz w:val="17"/>
        </w:rPr>
        <w:sectPr>
          <w:footerReference w:type="even" r:id="rId642"/>
          <w:pgSz w:w="11910" w:h="16840"/>
          <w:pgMar w:header="0" w:footer="0"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after="0"/>
        <w:rPr>
          <w:sz w:val="20"/>
        </w:rPr>
        <w:sectPr>
          <w:footerReference w:type="default" r:id="rId643"/>
          <w:footerReference w:type="even" r:id="rId644"/>
          <w:pgSz w:w="11910" w:h="16840"/>
          <w:pgMar w:header="0" w:footer="675" w:top="0" w:bottom="860" w:left="0" w:right="0"/>
          <w:pgNumType w:start="165"/>
        </w:sectPr>
      </w:pPr>
    </w:p>
    <w:p>
      <w:pPr>
        <w:pStyle w:val="BodyText"/>
        <w:spacing w:line="266" w:lineRule="auto" w:before="90"/>
        <w:ind w:left="1080" w:firstLine="381"/>
        <w:jc w:val="right"/>
      </w:pPr>
      <w:r>
        <w:rPr/>
        <mc:AlternateContent>
          <mc:Choice Requires="wps">
            <w:drawing>
              <wp:anchor distT="0" distB="0" distL="0" distR="0" allowOverlap="1" layoutInCell="1" locked="0" behindDoc="0" simplePos="0" relativeHeight="15791104">
                <wp:simplePos x="0" y="0"/>
                <wp:positionH relativeFrom="page">
                  <wp:posOffset>0</wp:posOffset>
                </wp:positionH>
                <wp:positionV relativeFrom="paragraph">
                  <wp:posOffset>-2205003</wp:posOffset>
                </wp:positionV>
                <wp:extent cx="7560309" cy="1752600"/>
                <wp:effectExtent l="0" t="0" r="0" b="0"/>
                <wp:wrapNone/>
                <wp:docPr id="1032" name="Group 1032"/>
                <wp:cNvGraphicFramePr>
                  <a:graphicFrameLocks/>
                </wp:cNvGraphicFramePr>
                <a:graphic>
                  <a:graphicData uri="http://schemas.microsoft.com/office/word/2010/wordprocessingGroup">
                    <wpg:wgp>
                      <wpg:cNvPr id="1032" name="Group 1032"/>
                      <wpg:cNvGrpSpPr/>
                      <wpg:grpSpPr>
                        <a:xfrm>
                          <a:off x="0" y="0"/>
                          <a:ext cx="7560309" cy="1752600"/>
                          <a:chExt cx="7560309" cy="1752600"/>
                        </a:xfrm>
                      </wpg:grpSpPr>
                      <pic:pic>
                        <pic:nvPicPr>
                          <pic:cNvPr id="1033" name="Image 1033"/>
                          <pic:cNvPicPr/>
                        </pic:nvPicPr>
                        <pic:blipFill>
                          <a:blip r:embed="rId11" cstate="print"/>
                          <a:stretch>
                            <a:fillRect/>
                          </a:stretch>
                        </pic:blipFill>
                        <pic:spPr>
                          <a:xfrm>
                            <a:off x="0" y="0"/>
                            <a:ext cx="7559999" cy="1752562"/>
                          </a:xfrm>
                          <a:prstGeom prst="rect">
                            <a:avLst/>
                          </a:prstGeom>
                        </pic:spPr>
                      </pic:pic>
                      <wps:wsp>
                        <wps:cNvPr id="1034" name="Textbox 1034"/>
                        <wps:cNvSpPr txBox="1"/>
                        <wps:spPr>
                          <a:xfrm>
                            <a:off x="0" y="0"/>
                            <a:ext cx="7560309" cy="1752600"/>
                          </a:xfrm>
                          <a:prstGeom prst="rect">
                            <a:avLst/>
                          </a:prstGeom>
                        </wps:spPr>
                        <wps:txbx>
                          <w:txbxContent>
                            <w:p>
                              <w:pPr>
                                <w:spacing w:line="240" w:lineRule="auto" w:before="160"/>
                                <w:rPr>
                                  <w:sz w:val="68"/>
                                </w:rPr>
                              </w:pPr>
                            </w:p>
                            <w:p>
                              <w:pPr>
                                <w:spacing w:line="247" w:lineRule="auto" w:before="1"/>
                                <w:ind w:left="1080" w:right="2053" w:firstLine="0"/>
                                <w:jc w:val="left"/>
                                <w:rPr>
                                  <w:rFonts w:ascii="Trebuchet MS"/>
                                  <w:b/>
                                  <w:sz w:val="68"/>
                                </w:rPr>
                              </w:pPr>
                              <w:r>
                                <w:rPr>
                                  <w:rFonts w:ascii="Trebuchet MS"/>
                                  <w:b/>
                                  <w:color w:val="FFFFFF"/>
                                  <w:sz w:val="68"/>
                                </w:rPr>
                                <w:t>Knowledge Initiatives in the</w:t>
                              </w:r>
                              <w:r>
                                <w:rPr>
                                  <w:rFonts w:ascii="Trebuchet MS"/>
                                  <w:b/>
                                  <w:color w:val="FFFFFF"/>
                                  <w:spacing w:val="-29"/>
                                  <w:sz w:val="68"/>
                                </w:rPr>
                                <w:t> </w:t>
                              </w:r>
                              <w:r>
                                <w:rPr>
                                  <w:rFonts w:ascii="Trebuchet MS"/>
                                  <w:b/>
                                  <w:color w:val="FFFFFF"/>
                                  <w:sz w:val="68"/>
                                </w:rPr>
                                <w:t>Eleventh</w:t>
                              </w:r>
                              <w:r>
                                <w:rPr>
                                  <w:rFonts w:ascii="Trebuchet MS"/>
                                  <w:b/>
                                  <w:color w:val="FFFFFF"/>
                                  <w:spacing w:val="-28"/>
                                  <w:sz w:val="68"/>
                                </w:rPr>
                                <w:t> </w:t>
                              </w:r>
                              <w:r>
                                <w:rPr>
                                  <w:rFonts w:ascii="Trebuchet MS"/>
                                  <w:b/>
                                  <w:color w:val="FFFFFF"/>
                                  <w:sz w:val="68"/>
                                </w:rPr>
                                <w:t>Five</w:t>
                              </w:r>
                              <w:r>
                                <w:rPr>
                                  <w:rFonts w:ascii="Trebuchet MS"/>
                                  <w:b/>
                                  <w:color w:val="FFFFFF"/>
                                  <w:spacing w:val="-40"/>
                                  <w:sz w:val="68"/>
                                </w:rPr>
                                <w:t> </w:t>
                              </w:r>
                              <w:r>
                                <w:rPr>
                                  <w:rFonts w:ascii="Trebuchet MS"/>
                                  <w:b/>
                                  <w:color w:val="FFFFFF"/>
                                  <w:sz w:val="68"/>
                                </w:rPr>
                                <w:t>Year</w:t>
                              </w:r>
                              <w:r>
                                <w:rPr>
                                  <w:rFonts w:ascii="Trebuchet MS"/>
                                  <w:b/>
                                  <w:color w:val="FFFFFF"/>
                                  <w:spacing w:val="-29"/>
                                  <w:sz w:val="68"/>
                                </w:rPr>
                                <w:t> </w:t>
                              </w:r>
                              <w:r>
                                <w:rPr>
                                  <w:rFonts w:ascii="Trebuchet MS"/>
                                  <w:b/>
                                  <w:color w:val="FFFFFF"/>
                                  <w:sz w:val="68"/>
                                </w:rPr>
                                <w:t>Plan</w:t>
                              </w:r>
                            </w:p>
                          </w:txbxContent>
                        </wps:txbx>
                        <wps:bodyPr wrap="square" lIns="0" tIns="0" rIns="0" bIns="0" rtlCol="0">
                          <a:noAutofit/>
                        </wps:bodyPr>
                      </wps:wsp>
                    </wpg:wgp>
                  </a:graphicData>
                </a:graphic>
              </wp:anchor>
            </w:drawing>
          </mc:Choice>
          <mc:Fallback>
            <w:pict>
              <v:group style="position:absolute;margin-left:0pt;margin-top:-173.622314pt;width:595.3pt;height:138pt;mso-position-horizontal-relative:page;mso-position-vertical-relative:paragraph;z-index:15791104" id="docshapegroup1020" coordorigin="0,-3472" coordsize="11906,2760">
                <v:shape style="position:absolute;left:0;top:-3473;width:11906;height:2760" type="#_x0000_t75" id="docshape1021" stroked="false">
                  <v:imagedata r:id="rId11" o:title=""/>
                </v:shape>
                <v:shape style="position:absolute;left:0;top:-3473;width:11906;height:2760" type="#_x0000_t202" id="docshape1022" filled="false" stroked="false">
                  <v:textbox inset="0,0,0,0">
                    <w:txbxContent>
                      <w:p>
                        <w:pPr>
                          <w:spacing w:line="240" w:lineRule="auto" w:before="160"/>
                          <w:rPr>
                            <w:sz w:val="68"/>
                          </w:rPr>
                        </w:pPr>
                      </w:p>
                      <w:p>
                        <w:pPr>
                          <w:spacing w:line="247" w:lineRule="auto" w:before="1"/>
                          <w:ind w:left="1080" w:right="2053" w:firstLine="0"/>
                          <w:jc w:val="left"/>
                          <w:rPr>
                            <w:rFonts w:ascii="Trebuchet MS"/>
                            <w:b/>
                            <w:sz w:val="68"/>
                          </w:rPr>
                        </w:pPr>
                        <w:r>
                          <w:rPr>
                            <w:rFonts w:ascii="Trebuchet MS"/>
                            <w:b/>
                            <w:color w:val="FFFFFF"/>
                            <w:sz w:val="68"/>
                          </w:rPr>
                          <w:t>Knowledge Initiatives in the</w:t>
                        </w:r>
                        <w:r>
                          <w:rPr>
                            <w:rFonts w:ascii="Trebuchet MS"/>
                            <w:b/>
                            <w:color w:val="FFFFFF"/>
                            <w:spacing w:val="-29"/>
                            <w:sz w:val="68"/>
                          </w:rPr>
                          <w:t> </w:t>
                        </w:r>
                        <w:r>
                          <w:rPr>
                            <w:rFonts w:ascii="Trebuchet MS"/>
                            <w:b/>
                            <w:color w:val="FFFFFF"/>
                            <w:sz w:val="68"/>
                          </w:rPr>
                          <w:t>Eleventh</w:t>
                        </w:r>
                        <w:r>
                          <w:rPr>
                            <w:rFonts w:ascii="Trebuchet MS"/>
                            <w:b/>
                            <w:color w:val="FFFFFF"/>
                            <w:spacing w:val="-28"/>
                            <w:sz w:val="68"/>
                          </w:rPr>
                          <w:t> </w:t>
                        </w:r>
                        <w:r>
                          <w:rPr>
                            <w:rFonts w:ascii="Trebuchet MS"/>
                            <w:b/>
                            <w:color w:val="FFFFFF"/>
                            <w:sz w:val="68"/>
                          </w:rPr>
                          <w:t>Five</w:t>
                        </w:r>
                        <w:r>
                          <w:rPr>
                            <w:rFonts w:ascii="Trebuchet MS"/>
                            <w:b/>
                            <w:color w:val="FFFFFF"/>
                            <w:spacing w:val="-40"/>
                            <w:sz w:val="68"/>
                          </w:rPr>
                          <w:t> </w:t>
                        </w:r>
                        <w:r>
                          <w:rPr>
                            <w:rFonts w:ascii="Trebuchet MS"/>
                            <w:b/>
                            <w:color w:val="FFFFFF"/>
                            <w:sz w:val="68"/>
                          </w:rPr>
                          <w:t>Year</w:t>
                        </w:r>
                        <w:r>
                          <w:rPr>
                            <w:rFonts w:ascii="Trebuchet MS"/>
                            <w:b/>
                            <w:color w:val="FFFFFF"/>
                            <w:spacing w:val="-29"/>
                            <w:sz w:val="68"/>
                          </w:rPr>
                          <w:t> </w:t>
                        </w:r>
                        <w:r>
                          <w:rPr>
                            <w:rFonts w:ascii="Trebuchet MS"/>
                            <w:b/>
                            <w:color w:val="FFFFFF"/>
                            <w:sz w:val="68"/>
                          </w:rPr>
                          <w:t>Plan</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68192">
                <wp:simplePos x="0" y="0"/>
                <wp:positionH relativeFrom="page">
                  <wp:posOffset>685800</wp:posOffset>
                </wp:positionH>
                <wp:positionV relativeFrom="paragraph">
                  <wp:posOffset>-31683</wp:posOffset>
                </wp:positionV>
                <wp:extent cx="228600" cy="757555"/>
                <wp:effectExtent l="0" t="0" r="0" b="0"/>
                <wp:wrapNone/>
                <wp:docPr id="1035" name="Textbox 1035"/>
                <wp:cNvGraphicFramePr>
                  <a:graphicFrameLocks/>
                </wp:cNvGraphicFramePr>
                <a:graphic>
                  <a:graphicData uri="http://schemas.microsoft.com/office/word/2010/wordprocessingShape">
                    <wps:wsp>
                      <wps:cNvPr id="1035" name="Textbox 1035"/>
                      <wps:cNvSpPr txBox="1"/>
                      <wps:spPr>
                        <a:xfrm>
                          <a:off x="0" y="0"/>
                          <a:ext cx="228600" cy="757555"/>
                        </a:xfrm>
                        <a:prstGeom prst="rect">
                          <a:avLst/>
                        </a:prstGeom>
                      </wps:spPr>
                      <wps:txbx>
                        <w:txbxContent>
                          <w:p>
                            <w:pPr>
                              <w:spacing w:line="1135" w:lineRule="exact" w:before="0"/>
                              <w:ind w:left="0" w:right="0" w:firstLine="0"/>
                              <w:jc w:val="left"/>
                              <w:rPr>
                                <w:sz w:val="106"/>
                              </w:rPr>
                            </w:pPr>
                            <w:r>
                              <w:rPr>
                                <w:color w:val="9CBF3B"/>
                                <w:spacing w:val="-10"/>
                                <w:sz w:val="106"/>
                              </w:rPr>
                              <w:t>I</w:t>
                            </w:r>
                          </w:p>
                        </w:txbxContent>
                      </wps:txbx>
                      <wps:bodyPr wrap="square" lIns="0" tIns="0" rIns="0" bIns="0" rtlCol="0">
                        <a:noAutofit/>
                      </wps:bodyPr>
                    </wps:wsp>
                  </a:graphicData>
                </a:graphic>
              </wp:anchor>
            </w:drawing>
          </mc:Choice>
          <mc:Fallback>
            <w:pict>
              <v:shape style="position:absolute;margin-left:54pt;margin-top:-2.49479pt;width:18pt;height:59.65pt;mso-position-horizontal-relative:page;mso-position-vertical-relative:paragraph;z-index:-23948288" type="#_x0000_t202" id="docshape1023" filled="false" stroked="false">
                <v:textbox inset="0,0,0,0">
                  <w:txbxContent>
                    <w:p>
                      <w:pPr>
                        <w:spacing w:line="1135" w:lineRule="exact" w:before="0"/>
                        <w:ind w:left="0" w:right="0" w:firstLine="0"/>
                        <w:jc w:val="left"/>
                        <w:rPr>
                          <w:sz w:val="106"/>
                        </w:rPr>
                      </w:pPr>
                      <w:r>
                        <w:rPr>
                          <w:color w:val="9CBF3B"/>
                          <w:spacing w:val="-10"/>
                          <w:sz w:val="106"/>
                        </w:rPr>
                        <w:t>I</w:t>
                      </w:r>
                    </w:p>
                  </w:txbxContent>
                </v:textbox>
                <w10:wrap type="none"/>
              </v:shape>
            </w:pict>
          </mc:Fallback>
        </mc:AlternateContent>
      </w:r>
      <w:r>
        <w:rPr/>
        <w:t>n</w:t>
      </w:r>
      <w:r>
        <w:rPr>
          <w:spacing w:val="80"/>
        </w:rPr>
        <w:t> </w:t>
      </w:r>
      <w:r>
        <w:rPr/>
        <w:t>view</w:t>
      </w:r>
      <w:r>
        <w:rPr>
          <w:spacing w:val="80"/>
        </w:rPr>
        <w:t> </w:t>
      </w:r>
      <w:r>
        <w:rPr/>
        <w:t>of</w:t>
      </w:r>
      <w:r>
        <w:rPr>
          <w:spacing w:val="80"/>
        </w:rPr>
        <w:t> </w:t>
      </w:r>
      <w:r>
        <w:rPr/>
        <w:t>the</w:t>
      </w:r>
      <w:r>
        <w:rPr>
          <w:spacing w:val="80"/>
        </w:rPr>
        <w:t> </w:t>
      </w:r>
      <w:r>
        <w:rPr/>
        <w:t>critical</w:t>
      </w:r>
      <w:r>
        <w:rPr>
          <w:spacing w:val="80"/>
        </w:rPr>
        <w:t> </w:t>
      </w:r>
      <w:r>
        <w:rPr/>
        <w:t>role</w:t>
      </w:r>
      <w:r>
        <w:rPr>
          <w:spacing w:val="80"/>
        </w:rPr>
        <w:t> </w:t>
      </w:r>
      <w:r>
        <w:rPr/>
        <w:t>that</w:t>
      </w:r>
      <w:r>
        <w:rPr>
          <w:spacing w:val="80"/>
        </w:rPr>
        <w:t> </w:t>
      </w:r>
      <w:r>
        <w:rPr/>
        <w:t>knowledge institutions would play in making India a global leader</w:t>
      </w:r>
      <w:r>
        <w:rPr>
          <w:spacing w:val="40"/>
        </w:rPr>
        <w:t> </w:t>
      </w:r>
      <w:r>
        <w:rPr/>
        <w:t>in</w:t>
      </w:r>
      <w:r>
        <w:rPr>
          <w:spacing w:val="40"/>
        </w:rPr>
        <w:t> </w:t>
      </w:r>
      <w:r>
        <w:rPr/>
        <w:t>the</w:t>
      </w:r>
      <w:r>
        <w:rPr>
          <w:spacing w:val="40"/>
        </w:rPr>
        <w:t> </w:t>
      </w:r>
      <w:r>
        <w:rPr/>
        <w:t>21st</w:t>
      </w:r>
      <w:r>
        <w:rPr>
          <w:spacing w:val="40"/>
        </w:rPr>
        <w:t> </w:t>
      </w:r>
      <w:r>
        <w:rPr/>
        <w:t>Century</w:t>
      </w:r>
      <w:r>
        <w:rPr>
          <w:spacing w:val="40"/>
        </w:rPr>
        <w:t> </w:t>
      </w:r>
      <w:r>
        <w:rPr/>
        <w:t>and</w:t>
      </w:r>
      <w:r>
        <w:rPr>
          <w:spacing w:val="40"/>
        </w:rPr>
        <w:t> </w:t>
      </w:r>
      <w:r>
        <w:rPr/>
        <w:t>in</w:t>
      </w:r>
      <w:r>
        <w:rPr>
          <w:spacing w:val="40"/>
        </w:rPr>
        <w:t> </w:t>
      </w:r>
      <w:r>
        <w:rPr/>
        <w:t>meeting</w:t>
      </w:r>
      <w:r>
        <w:rPr>
          <w:spacing w:val="40"/>
        </w:rPr>
        <w:t> </w:t>
      </w:r>
      <w:r>
        <w:rPr/>
        <w:t>the growing</w:t>
      </w:r>
      <w:r>
        <w:rPr>
          <w:spacing w:val="37"/>
        </w:rPr>
        <w:t> </w:t>
      </w:r>
      <w:r>
        <w:rPr/>
        <w:t>aspirations</w:t>
      </w:r>
      <w:r>
        <w:rPr>
          <w:spacing w:val="37"/>
        </w:rPr>
        <w:t> </w:t>
      </w:r>
      <w:r>
        <w:rPr/>
        <w:t>of</w:t>
      </w:r>
      <w:r>
        <w:rPr>
          <w:spacing w:val="37"/>
        </w:rPr>
        <w:t> </w:t>
      </w:r>
      <w:r>
        <w:rPr/>
        <w:t>the</w:t>
      </w:r>
      <w:r>
        <w:rPr>
          <w:spacing w:val="37"/>
        </w:rPr>
        <w:t> </w:t>
      </w:r>
      <w:r>
        <w:rPr/>
        <w:t>large</w:t>
      </w:r>
      <w:r>
        <w:rPr>
          <w:spacing w:val="37"/>
        </w:rPr>
        <w:t> </w:t>
      </w:r>
      <w:r>
        <w:rPr/>
        <w:t>component</w:t>
      </w:r>
      <w:r>
        <w:rPr>
          <w:spacing w:val="37"/>
        </w:rPr>
        <w:t> </w:t>
      </w:r>
      <w:r>
        <w:rPr/>
        <w:t>of</w:t>
      </w:r>
      <w:r>
        <w:rPr>
          <w:spacing w:val="37"/>
        </w:rPr>
        <w:t> </w:t>
      </w:r>
      <w:r>
        <w:rPr/>
        <w:t>the young</w:t>
      </w:r>
      <w:r>
        <w:rPr>
          <w:spacing w:val="36"/>
        </w:rPr>
        <w:t> </w:t>
      </w:r>
      <w:r>
        <w:rPr/>
        <w:t>in</w:t>
      </w:r>
      <w:r>
        <w:rPr>
          <w:spacing w:val="36"/>
        </w:rPr>
        <w:t> </w:t>
      </w:r>
      <w:r>
        <w:rPr/>
        <w:t>India’s</w:t>
      </w:r>
      <w:r>
        <w:rPr>
          <w:spacing w:val="36"/>
        </w:rPr>
        <w:t> </w:t>
      </w:r>
      <w:r>
        <w:rPr/>
        <w:t>population,</w:t>
      </w:r>
      <w:r>
        <w:rPr>
          <w:spacing w:val="36"/>
        </w:rPr>
        <w:t> </w:t>
      </w:r>
      <w:r>
        <w:rPr/>
        <w:t>there</w:t>
      </w:r>
      <w:r>
        <w:rPr>
          <w:spacing w:val="36"/>
        </w:rPr>
        <w:t> </w:t>
      </w:r>
      <w:r>
        <w:rPr/>
        <w:t>was</w:t>
      </w:r>
      <w:r>
        <w:rPr>
          <w:spacing w:val="36"/>
        </w:rPr>
        <w:t> </w:t>
      </w:r>
      <w:r>
        <w:rPr/>
        <w:t>little</w:t>
      </w:r>
      <w:r>
        <w:rPr>
          <w:spacing w:val="36"/>
        </w:rPr>
        <w:t> </w:t>
      </w:r>
      <w:r>
        <w:rPr/>
        <w:t>doubt that education and related sectors would merit large infusion</w:t>
      </w:r>
      <w:r>
        <w:rPr>
          <w:spacing w:val="40"/>
        </w:rPr>
        <w:t> </w:t>
      </w:r>
      <w:r>
        <w:rPr/>
        <w:t>of</w:t>
      </w:r>
      <w:r>
        <w:rPr>
          <w:spacing w:val="40"/>
        </w:rPr>
        <w:t> </w:t>
      </w:r>
      <w:r>
        <w:rPr/>
        <w:t>resources</w:t>
      </w:r>
      <w:r>
        <w:rPr>
          <w:spacing w:val="40"/>
        </w:rPr>
        <w:t> </w:t>
      </w:r>
      <w:r>
        <w:rPr/>
        <w:t>in</w:t>
      </w:r>
      <w:r>
        <w:rPr>
          <w:spacing w:val="40"/>
        </w:rPr>
        <w:t> </w:t>
      </w:r>
      <w:r>
        <w:rPr/>
        <w:t>the</w:t>
      </w:r>
      <w:r>
        <w:rPr>
          <w:spacing w:val="40"/>
        </w:rPr>
        <w:t> </w:t>
      </w:r>
      <w:r>
        <w:rPr/>
        <w:t>XI</w:t>
      </w:r>
      <w:r>
        <w:rPr>
          <w:spacing w:val="40"/>
        </w:rPr>
        <w:t> </w:t>
      </w:r>
      <w:r>
        <w:rPr/>
        <w:t>Plan.</w:t>
      </w:r>
      <w:r>
        <w:rPr>
          <w:spacing w:val="40"/>
        </w:rPr>
        <w:t> </w:t>
      </w:r>
      <w:r>
        <w:rPr/>
        <w:t>It</w:t>
      </w:r>
      <w:r>
        <w:rPr>
          <w:spacing w:val="40"/>
        </w:rPr>
        <w:t> </w:t>
      </w:r>
      <w:r>
        <w:rPr/>
        <w:t>was</w:t>
      </w:r>
      <w:r>
        <w:rPr>
          <w:spacing w:val="40"/>
        </w:rPr>
        <w:t> </w:t>
      </w:r>
      <w:r>
        <w:rPr/>
        <w:t>also apparent</w:t>
      </w:r>
      <w:r>
        <w:rPr>
          <w:spacing w:val="40"/>
        </w:rPr>
        <w:t> </w:t>
      </w:r>
      <w:r>
        <w:rPr/>
        <w:t>that</w:t>
      </w:r>
      <w:r>
        <w:rPr>
          <w:spacing w:val="40"/>
        </w:rPr>
        <w:t> </w:t>
      </w:r>
      <w:r>
        <w:rPr/>
        <w:t>institutional</w:t>
      </w:r>
      <w:r>
        <w:rPr>
          <w:spacing w:val="40"/>
        </w:rPr>
        <w:t> </w:t>
      </w:r>
      <w:r>
        <w:rPr/>
        <w:t>reform</w:t>
      </w:r>
      <w:r>
        <w:rPr>
          <w:spacing w:val="40"/>
        </w:rPr>
        <w:t> </w:t>
      </w:r>
      <w:r>
        <w:rPr/>
        <w:t>would</w:t>
      </w:r>
      <w:r>
        <w:rPr>
          <w:spacing w:val="40"/>
        </w:rPr>
        <w:t> </w:t>
      </w:r>
      <w:r>
        <w:rPr/>
        <w:t>need</w:t>
      </w:r>
      <w:r>
        <w:rPr>
          <w:spacing w:val="40"/>
        </w:rPr>
        <w:t> </w:t>
      </w:r>
      <w:r>
        <w:rPr/>
        <w:t>to</w:t>
      </w:r>
      <w:r>
        <w:rPr>
          <w:spacing w:val="40"/>
        </w:rPr>
        <w:t> </w:t>
      </w:r>
      <w:r>
        <w:rPr/>
        <w:t>supplement</w:t>
      </w:r>
      <w:r>
        <w:rPr>
          <w:spacing w:val="-3"/>
        </w:rPr>
        <w:t> </w:t>
      </w:r>
      <w:r>
        <w:rPr/>
        <w:t>this</w:t>
      </w:r>
      <w:r>
        <w:rPr>
          <w:spacing w:val="-3"/>
        </w:rPr>
        <w:t> </w:t>
      </w:r>
      <w:r>
        <w:rPr/>
        <w:t>infusion.</w:t>
      </w:r>
      <w:r>
        <w:rPr>
          <w:spacing w:val="-3"/>
        </w:rPr>
        <w:t> </w:t>
      </w:r>
      <w:r>
        <w:rPr/>
        <w:t>NKC</w:t>
      </w:r>
      <w:r>
        <w:rPr>
          <w:spacing w:val="-3"/>
        </w:rPr>
        <w:t> </w:t>
      </w:r>
      <w:r>
        <w:rPr/>
        <w:t>was</w:t>
      </w:r>
      <w:r>
        <w:rPr>
          <w:spacing w:val="-3"/>
        </w:rPr>
        <w:t> </w:t>
      </w:r>
      <w:r>
        <w:rPr/>
        <w:t>envisaged</w:t>
      </w:r>
      <w:r>
        <w:rPr>
          <w:spacing w:val="-3"/>
        </w:rPr>
        <w:t> </w:t>
      </w:r>
      <w:r>
        <w:rPr/>
        <w:t>by</w:t>
      </w:r>
      <w:r>
        <w:rPr>
          <w:spacing w:val="-3"/>
        </w:rPr>
        <w:t> </w:t>
      </w:r>
      <w:r>
        <w:rPr/>
        <w:t>the Government as one of the key concurrent processes for</w:t>
      </w:r>
      <w:r>
        <w:rPr>
          <w:spacing w:val="-3"/>
        </w:rPr>
        <w:t> </w:t>
      </w:r>
      <w:r>
        <w:rPr/>
        <w:t>the</w:t>
      </w:r>
      <w:r>
        <w:rPr>
          <w:spacing w:val="-3"/>
        </w:rPr>
        <w:t> </w:t>
      </w:r>
      <w:r>
        <w:rPr/>
        <w:t>XI</w:t>
      </w:r>
      <w:r>
        <w:rPr>
          <w:spacing w:val="-3"/>
        </w:rPr>
        <w:t> </w:t>
      </w:r>
      <w:r>
        <w:rPr/>
        <w:t>Plan:</w:t>
      </w:r>
      <w:r>
        <w:rPr>
          <w:spacing w:val="-3"/>
        </w:rPr>
        <w:t> </w:t>
      </w:r>
      <w:r>
        <w:rPr/>
        <w:t>2007-12.</w:t>
      </w:r>
      <w:r>
        <w:rPr>
          <w:spacing w:val="-3"/>
        </w:rPr>
        <w:t> </w:t>
      </w:r>
      <w:r>
        <w:rPr/>
        <w:t>Recommendations</w:t>
      </w:r>
      <w:r>
        <w:rPr>
          <w:spacing w:val="-3"/>
        </w:rPr>
        <w:t> </w:t>
      </w:r>
      <w:r>
        <w:rPr/>
        <w:t>of</w:t>
      </w:r>
      <w:r>
        <w:rPr>
          <w:spacing w:val="-3"/>
        </w:rPr>
        <w:t> </w:t>
      </w:r>
      <w:r>
        <w:rPr/>
        <w:t>NKC have been key inputs in formulating broad contours of the XI Plan. Some of these are highlighted below.</w:t>
      </w:r>
    </w:p>
    <w:p>
      <w:pPr>
        <w:pStyle w:val="Heading6"/>
        <w:spacing w:before="217"/>
        <w:ind w:left="1080" w:firstLine="0"/>
        <w:jc w:val="both"/>
      </w:pPr>
      <w:r>
        <w:rPr>
          <w:color w:val="2E614A"/>
          <w:spacing w:val="-6"/>
        </w:rPr>
        <w:t>XI</w:t>
      </w:r>
      <w:r>
        <w:rPr>
          <w:color w:val="2E614A"/>
          <w:spacing w:val="-7"/>
        </w:rPr>
        <w:t> </w:t>
      </w:r>
      <w:r>
        <w:rPr>
          <w:color w:val="2E614A"/>
          <w:spacing w:val="-6"/>
        </w:rPr>
        <w:t>Plan 2007-2012</w:t>
      </w:r>
    </w:p>
    <w:p>
      <w:pPr>
        <w:pStyle w:val="BodyText"/>
        <w:spacing w:line="266" w:lineRule="auto" w:before="265"/>
        <w:ind w:left="1080"/>
        <w:jc w:val="both"/>
      </w:pPr>
      <w:r>
        <w:rPr/>
        <w:t>The</w:t>
      </w:r>
      <w:r>
        <w:rPr>
          <w:spacing w:val="-3"/>
        </w:rPr>
        <w:t> </w:t>
      </w:r>
      <w:r>
        <w:rPr/>
        <w:t>XI</w:t>
      </w:r>
      <w:r>
        <w:rPr>
          <w:spacing w:val="-3"/>
        </w:rPr>
        <w:t> </w:t>
      </w:r>
      <w:r>
        <w:rPr/>
        <w:t>Plan,</w:t>
      </w:r>
      <w:r>
        <w:rPr>
          <w:spacing w:val="-3"/>
        </w:rPr>
        <w:t> </w:t>
      </w:r>
      <w:r>
        <w:rPr/>
        <w:t>approved</w:t>
      </w:r>
      <w:r>
        <w:rPr>
          <w:spacing w:val="-3"/>
        </w:rPr>
        <w:t> </w:t>
      </w:r>
      <w:r>
        <w:rPr/>
        <w:t>at</w:t>
      </w:r>
      <w:r>
        <w:rPr>
          <w:spacing w:val="-3"/>
        </w:rPr>
        <w:t> </w:t>
      </w:r>
      <w:r>
        <w:rPr/>
        <w:t>the</w:t>
      </w:r>
      <w:r>
        <w:rPr>
          <w:spacing w:val="-3"/>
        </w:rPr>
        <w:t> </w:t>
      </w:r>
      <w:r>
        <w:rPr/>
        <w:t>meeting</w:t>
      </w:r>
      <w:r>
        <w:rPr>
          <w:spacing w:val="-3"/>
        </w:rPr>
        <w:t> </w:t>
      </w:r>
      <w:r>
        <w:rPr/>
        <w:t>of</w:t>
      </w:r>
      <w:r>
        <w:rPr>
          <w:spacing w:val="-3"/>
        </w:rPr>
        <w:t> </w:t>
      </w:r>
      <w:r>
        <w:rPr/>
        <w:t>the</w:t>
      </w:r>
      <w:r>
        <w:rPr>
          <w:spacing w:val="-3"/>
        </w:rPr>
        <w:t> </w:t>
      </w:r>
      <w:r>
        <w:rPr/>
        <w:t>National </w:t>
      </w:r>
      <w:r>
        <w:rPr>
          <w:spacing w:val="-4"/>
        </w:rPr>
        <w:t>Development</w:t>
      </w:r>
      <w:r>
        <w:rPr>
          <w:spacing w:val="-10"/>
        </w:rPr>
        <w:t> </w:t>
      </w:r>
      <w:r>
        <w:rPr>
          <w:spacing w:val="-4"/>
        </w:rPr>
        <w:t>Council</w:t>
      </w:r>
      <w:r>
        <w:rPr>
          <w:spacing w:val="-10"/>
        </w:rPr>
        <w:t> </w:t>
      </w:r>
      <w:r>
        <w:rPr>
          <w:spacing w:val="-4"/>
        </w:rPr>
        <w:t>on</w:t>
      </w:r>
      <w:r>
        <w:rPr>
          <w:spacing w:val="-10"/>
        </w:rPr>
        <w:t> </w:t>
      </w:r>
      <w:r>
        <w:rPr>
          <w:spacing w:val="-4"/>
        </w:rPr>
        <w:t>19</w:t>
      </w:r>
      <w:r>
        <w:rPr>
          <w:spacing w:val="-9"/>
        </w:rPr>
        <w:t> </w:t>
      </w:r>
      <w:r>
        <w:rPr>
          <w:spacing w:val="-4"/>
        </w:rPr>
        <w:t>December</w:t>
      </w:r>
      <w:r>
        <w:rPr>
          <w:spacing w:val="-10"/>
        </w:rPr>
        <w:t> </w:t>
      </w:r>
      <w:r>
        <w:rPr>
          <w:spacing w:val="-4"/>
        </w:rPr>
        <w:t>2007,</w:t>
      </w:r>
      <w:r>
        <w:rPr>
          <w:spacing w:val="-10"/>
        </w:rPr>
        <w:t> </w:t>
      </w:r>
      <w:r>
        <w:rPr>
          <w:spacing w:val="-4"/>
        </w:rPr>
        <w:t>places</w:t>
      </w:r>
      <w:r>
        <w:rPr>
          <w:spacing w:val="-10"/>
        </w:rPr>
        <w:t> </w:t>
      </w:r>
      <w:r>
        <w:rPr>
          <w:spacing w:val="-4"/>
        </w:rPr>
        <w:t>the highest</w:t>
      </w:r>
      <w:r>
        <w:rPr>
          <w:spacing w:val="-5"/>
        </w:rPr>
        <w:t> </w:t>
      </w:r>
      <w:r>
        <w:rPr>
          <w:spacing w:val="-4"/>
        </w:rPr>
        <w:t>priority</w:t>
      </w:r>
      <w:r>
        <w:rPr>
          <w:spacing w:val="-5"/>
        </w:rPr>
        <w:t> </w:t>
      </w:r>
      <w:r>
        <w:rPr>
          <w:spacing w:val="-4"/>
        </w:rPr>
        <w:t>on</w:t>
      </w:r>
      <w:r>
        <w:rPr>
          <w:spacing w:val="-5"/>
        </w:rPr>
        <w:t> </w:t>
      </w:r>
      <w:r>
        <w:rPr>
          <w:spacing w:val="-4"/>
        </w:rPr>
        <w:t>education</w:t>
      </w:r>
      <w:r>
        <w:rPr>
          <w:spacing w:val="-5"/>
        </w:rPr>
        <w:t> </w:t>
      </w:r>
      <w:r>
        <w:rPr>
          <w:spacing w:val="-4"/>
        </w:rPr>
        <w:t>as</w:t>
      </w:r>
      <w:r>
        <w:rPr>
          <w:spacing w:val="-5"/>
        </w:rPr>
        <w:t> </w:t>
      </w:r>
      <w:r>
        <w:rPr>
          <w:spacing w:val="-4"/>
        </w:rPr>
        <w:t>a</w:t>
      </w:r>
      <w:r>
        <w:rPr>
          <w:spacing w:val="-5"/>
        </w:rPr>
        <w:t> </w:t>
      </w:r>
      <w:r>
        <w:rPr>
          <w:spacing w:val="-4"/>
        </w:rPr>
        <w:t>central</w:t>
      </w:r>
      <w:r>
        <w:rPr>
          <w:spacing w:val="-5"/>
        </w:rPr>
        <w:t> </w:t>
      </w:r>
      <w:r>
        <w:rPr>
          <w:spacing w:val="-4"/>
        </w:rPr>
        <w:t>instrument</w:t>
      </w:r>
      <w:r>
        <w:rPr>
          <w:spacing w:val="-5"/>
        </w:rPr>
        <w:t> </w:t>
      </w:r>
      <w:r>
        <w:rPr>
          <w:spacing w:val="-4"/>
        </w:rPr>
        <w:t>for </w:t>
      </w:r>
      <w:r>
        <w:rPr>
          <w:spacing w:val="-2"/>
        </w:rPr>
        <w:t>achieving</w:t>
      </w:r>
      <w:r>
        <w:rPr>
          <w:spacing w:val="-5"/>
        </w:rPr>
        <w:t> </w:t>
      </w:r>
      <w:r>
        <w:rPr>
          <w:spacing w:val="-2"/>
        </w:rPr>
        <w:t>rapid</w:t>
      </w:r>
      <w:r>
        <w:rPr>
          <w:spacing w:val="-5"/>
        </w:rPr>
        <w:t> </w:t>
      </w:r>
      <w:r>
        <w:rPr>
          <w:spacing w:val="-2"/>
        </w:rPr>
        <w:t>and</w:t>
      </w:r>
      <w:r>
        <w:rPr>
          <w:spacing w:val="-5"/>
        </w:rPr>
        <w:t> </w:t>
      </w:r>
      <w:r>
        <w:rPr>
          <w:spacing w:val="-2"/>
        </w:rPr>
        <w:t>inclusive</w:t>
      </w:r>
      <w:r>
        <w:rPr>
          <w:spacing w:val="-5"/>
        </w:rPr>
        <w:t> </w:t>
      </w:r>
      <w:r>
        <w:rPr>
          <w:spacing w:val="-2"/>
        </w:rPr>
        <w:t>growth.</w:t>
      </w:r>
      <w:r>
        <w:rPr>
          <w:spacing w:val="-12"/>
        </w:rPr>
        <w:t> </w:t>
      </w:r>
      <w:r>
        <w:rPr>
          <w:spacing w:val="-2"/>
        </w:rPr>
        <w:t>This</w:t>
      </w:r>
      <w:r>
        <w:rPr>
          <w:spacing w:val="-5"/>
        </w:rPr>
        <w:t> </w:t>
      </w:r>
      <w:r>
        <w:rPr>
          <w:spacing w:val="-2"/>
        </w:rPr>
        <w:t>is</w:t>
      </w:r>
      <w:r>
        <w:rPr>
          <w:spacing w:val="-5"/>
        </w:rPr>
        <w:t> </w:t>
      </w:r>
      <w:r>
        <w:rPr>
          <w:spacing w:val="-2"/>
        </w:rPr>
        <w:t>reflected </w:t>
      </w:r>
      <w:r>
        <w:rPr/>
        <w:t>in the four fold increase in resources allocation. At </w:t>
      </w:r>
      <w:r>
        <w:rPr>
          <w:spacing w:val="-6"/>
        </w:rPr>
        <w:t>Rs. 2.70 lakh crore, it constitutes 20 per cent of the Plan, </w:t>
      </w:r>
      <w:r>
        <w:rPr/>
        <w:t>representing</w:t>
      </w:r>
      <w:r>
        <w:rPr>
          <w:spacing w:val="-3"/>
        </w:rPr>
        <w:t> </w:t>
      </w:r>
      <w:r>
        <w:rPr/>
        <w:t>a</w:t>
      </w:r>
      <w:r>
        <w:rPr>
          <w:spacing w:val="-3"/>
        </w:rPr>
        <w:t> </w:t>
      </w:r>
      <w:r>
        <w:rPr/>
        <w:t>credible</w:t>
      </w:r>
      <w:r>
        <w:rPr>
          <w:spacing w:val="-3"/>
        </w:rPr>
        <w:t> </w:t>
      </w:r>
      <w:r>
        <w:rPr/>
        <w:t>progress</w:t>
      </w:r>
      <w:r>
        <w:rPr>
          <w:spacing w:val="-3"/>
        </w:rPr>
        <w:t> </w:t>
      </w:r>
      <w:r>
        <w:rPr/>
        <w:t>towards</w:t>
      </w:r>
      <w:r>
        <w:rPr>
          <w:spacing w:val="-3"/>
        </w:rPr>
        <w:t> </w:t>
      </w:r>
      <w:r>
        <w:rPr/>
        <w:t>the</w:t>
      </w:r>
      <w:r>
        <w:rPr>
          <w:spacing w:val="-3"/>
        </w:rPr>
        <w:t> </w:t>
      </w:r>
      <w:r>
        <w:rPr/>
        <w:t>target</w:t>
      </w:r>
      <w:r>
        <w:rPr>
          <w:spacing w:val="-3"/>
        </w:rPr>
        <w:t> </w:t>
      </w:r>
      <w:r>
        <w:rPr/>
        <w:t>of </w:t>
      </w:r>
      <w:r>
        <w:rPr>
          <w:spacing w:val="-6"/>
        </w:rPr>
        <w:t>6</w:t>
      </w:r>
      <w:r>
        <w:rPr>
          <w:spacing w:val="-8"/>
        </w:rPr>
        <w:t> </w:t>
      </w:r>
      <w:r>
        <w:rPr>
          <w:spacing w:val="-6"/>
        </w:rPr>
        <w:t>per</w:t>
      </w:r>
      <w:r>
        <w:rPr>
          <w:spacing w:val="-8"/>
        </w:rPr>
        <w:t> </w:t>
      </w:r>
      <w:r>
        <w:rPr>
          <w:spacing w:val="-6"/>
        </w:rPr>
        <w:t>cent</w:t>
      </w:r>
      <w:r>
        <w:rPr>
          <w:spacing w:val="-8"/>
        </w:rPr>
        <w:t> </w:t>
      </w:r>
      <w:r>
        <w:rPr>
          <w:spacing w:val="-6"/>
        </w:rPr>
        <w:t>of</w:t>
      </w:r>
      <w:r>
        <w:rPr>
          <w:spacing w:val="-7"/>
        </w:rPr>
        <w:t> </w:t>
      </w:r>
      <w:r>
        <w:rPr>
          <w:spacing w:val="-6"/>
        </w:rPr>
        <w:t>GDP.</w:t>
      </w:r>
      <w:r>
        <w:rPr>
          <w:spacing w:val="-8"/>
        </w:rPr>
        <w:t> </w:t>
      </w:r>
      <w:r>
        <w:rPr>
          <w:spacing w:val="-6"/>
        </w:rPr>
        <w:t>The</w:t>
      </w:r>
      <w:r>
        <w:rPr>
          <w:spacing w:val="-8"/>
        </w:rPr>
        <w:t> </w:t>
      </w:r>
      <w:r>
        <w:rPr>
          <w:spacing w:val="-6"/>
        </w:rPr>
        <w:t>following</w:t>
      </w:r>
      <w:r>
        <w:rPr>
          <w:spacing w:val="-8"/>
        </w:rPr>
        <w:t> </w:t>
      </w:r>
      <w:r>
        <w:rPr>
          <w:spacing w:val="-6"/>
        </w:rPr>
        <w:t>paragraphs</w:t>
      </w:r>
      <w:r>
        <w:rPr>
          <w:spacing w:val="-7"/>
        </w:rPr>
        <w:t> </w:t>
      </w:r>
      <w:r>
        <w:rPr>
          <w:spacing w:val="-6"/>
        </w:rPr>
        <w:t>summarise </w:t>
      </w:r>
      <w:r>
        <w:rPr/>
        <w:t>the major components of the XI Plan relating to the recommendations made by NKC.</w:t>
      </w:r>
      <w:r>
        <w:rPr>
          <w:spacing w:val="-5"/>
        </w:rPr>
        <w:t> </w:t>
      </w:r>
      <w:r>
        <w:rPr/>
        <w:t>They appear in the same order as in the Plan.</w:t>
      </w:r>
    </w:p>
    <w:p>
      <w:pPr>
        <w:pStyle w:val="Heading7"/>
        <w:spacing w:line="225" w:lineRule="auto" w:before="248"/>
        <w:ind w:left="1080"/>
        <w:jc w:val="both"/>
      </w:pPr>
      <w:r>
        <w:rPr>
          <w:color w:val="2E614A"/>
        </w:rPr>
        <w:t>E-governance for better service </w:t>
      </w:r>
      <w:r>
        <w:rPr>
          <w:color w:val="2E614A"/>
        </w:rPr>
        <w:t>delivery </w:t>
      </w:r>
      <w:r>
        <w:rPr>
          <w:color w:val="2E614A"/>
          <w:spacing w:val="-2"/>
        </w:rPr>
        <w:t>(Volume</w:t>
      </w:r>
      <w:r>
        <w:rPr>
          <w:color w:val="2E614A"/>
          <w:spacing w:val="-15"/>
        </w:rPr>
        <w:t> </w:t>
      </w:r>
      <w:r>
        <w:rPr>
          <w:color w:val="2E614A"/>
          <w:spacing w:val="-2"/>
        </w:rPr>
        <w:t>I:</w:t>
      </w:r>
      <w:r>
        <w:rPr>
          <w:color w:val="2E614A"/>
          <w:spacing w:val="-14"/>
        </w:rPr>
        <w:t> </w:t>
      </w:r>
      <w:r>
        <w:rPr>
          <w:color w:val="2E614A"/>
          <w:spacing w:val="-2"/>
        </w:rPr>
        <w:t>Inclusive</w:t>
      </w:r>
      <w:r>
        <w:rPr>
          <w:color w:val="2E614A"/>
          <w:spacing w:val="-14"/>
        </w:rPr>
        <w:t> </w:t>
      </w:r>
      <w:r>
        <w:rPr>
          <w:color w:val="2E614A"/>
          <w:spacing w:val="-2"/>
        </w:rPr>
        <w:t>Growth)</w:t>
      </w:r>
    </w:p>
    <w:p>
      <w:pPr>
        <w:pStyle w:val="BodyText"/>
        <w:spacing w:before="2"/>
        <w:rPr>
          <w:b/>
          <w:sz w:val="26"/>
        </w:rPr>
      </w:pPr>
    </w:p>
    <w:p>
      <w:pPr>
        <w:pStyle w:val="ListParagraph"/>
        <w:numPr>
          <w:ilvl w:val="0"/>
          <w:numId w:val="68"/>
        </w:numPr>
        <w:tabs>
          <w:tab w:pos="1439" w:val="left" w:leader="none"/>
        </w:tabs>
        <w:spacing w:line="266" w:lineRule="auto" w:before="0" w:after="0"/>
        <w:ind w:left="1439" w:right="0" w:hanging="360"/>
        <w:jc w:val="both"/>
        <w:rPr>
          <w:sz w:val="22"/>
        </w:rPr>
      </w:pPr>
      <w:r>
        <w:rPr>
          <w:sz w:val="22"/>
        </w:rPr>
        <w:t>Process re-engineering to be the most </w:t>
      </w:r>
      <w:r>
        <w:rPr>
          <w:sz w:val="22"/>
        </w:rPr>
        <w:t>crucial </w:t>
      </w:r>
      <w:r>
        <w:rPr>
          <w:spacing w:val="-2"/>
          <w:sz w:val="22"/>
        </w:rPr>
        <w:t>element</w:t>
      </w:r>
      <w:r>
        <w:rPr>
          <w:spacing w:val="-12"/>
          <w:sz w:val="22"/>
        </w:rPr>
        <w:t> </w:t>
      </w:r>
      <w:r>
        <w:rPr>
          <w:spacing w:val="-2"/>
          <w:sz w:val="22"/>
        </w:rPr>
        <w:t>of</w:t>
      </w:r>
      <w:r>
        <w:rPr>
          <w:spacing w:val="-12"/>
          <w:sz w:val="22"/>
        </w:rPr>
        <w:t> </w:t>
      </w:r>
      <w:r>
        <w:rPr>
          <w:spacing w:val="-2"/>
          <w:sz w:val="22"/>
        </w:rPr>
        <w:t>the</w:t>
      </w:r>
      <w:r>
        <w:rPr>
          <w:spacing w:val="-12"/>
          <w:sz w:val="22"/>
        </w:rPr>
        <w:t> </w:t>
      </w:r>
      <w:r>
        <w:rPr>
          <w:spacing w:val="-2"/>
          <w:sz w:val="22"/>
        </w:rPr>
        <w:t>agenda</w:t>
      </w:r>
      <w:r>
        <w:rPr>
          <w:spacing w:val="-11"/>
          <w:sz w:val="22"/>
        </w:rPr>
        <w:t> </w:t>
      </w:r>
      <w:r>
        <w:rPr>
          <w:spacing w:val="-2"/>
          <w:sz w:val="22"/>
        </w:rPr>
        <w:t>to</w:t>
      </w:r>
      <w:r>
        <w:rPr>
          <w:spacing w:val="-12"/>
          <w:sz w:val="22"/>
        </w:rPr>
        <w:t> </w:t>
      </w:r>
      <w:r>
        <w:rPr>
          <w:spacing w:val="-2"/>
          <w:sz w:val="22"/>
        </w:rPr>
        <w:t>make</w:t>
      </w:r>
      <w:r>
        <w:rPr>
          <w:spacing w:val="-12"/>
          <w:sz w:val="22"/>
        </w:rPr>
        <w:t> </w:t>
      </w:r>
      <w:r>
        <w:rPr>
          <w:spacing w:val="-2"/>
          <w:sz w:val="22"/>
        </w:rPr>
        <w:t>delivery</w:t>
      </w:r>
      <w:r>
        <w:rPr>
          <w:spacing w:val="-12"/>
          <w:sz w:val="22"/>
        </w:rPr>
        <w:t> </w:t>
      </w:r>
      <w:r>
        <w:rPr>
          <w:spacing w:val="-2"/>
          <w:sz w:val="22"/>
        </w:rPr>
        <w:t>of</w:t>
      </w:r>
      <w:r>
        <w:rPr>
          <w:spacing w:val="-11"/>
          <w:sz w:val="22"/>
        </w:rPr>
        <w:t> </w:t>
      </w:r>
      <w:r>
        <w:rPr>
          <w:spacing w:val="-2"/>
          <w:sz w:val="22"/>
        </w:rPr>
        <w:t>services </w:t>
      </w:r>
      <w:r>
        <w:rPr>
          <w:sz w:val="22"/>
        </w:rPr>
        <w:t>citizen centric.</w:t>
      </w:r>
    </w:p>
    <w:p>
      <w:pPr>
        <w:pStyle w:val="ListParagraph"/>
        <w:numPr>
          <w:ilvl w:val="0"/>
          <w:numId w:val="68"/>
        </w:numPr>
        <w:tabs>
          <w:tab w:pos="1439" w:val="left" w:leader="none"/>
        </w:tabs>
        <w:spacing w:line="266" w:lineRule="auto" w:before="0" w:after="0"/>
        <w:ind w:left="1439" w:right="0" w:hanging="360"/>
        <w:jc w:val="both"/>
        <w:rPr>
          <w:sz w:val="22"/>
        </w:rPr>
      </w:pPr>
      <w:r>
        <w:rPr>
          <w:sz w:val="22"/>
        </w:rPr>
        <w:t>Creation of a common service delivery platform </w:t>
      </w:r>
      <w:r>
        <w:rPr>
          <w:spacing w:val="-2"/>
          <w:sz w:val="22"/>
        </w:rPr>
        <w:t>including</w:t>
      </w:r>
      <w:r>
        <w:rPr>
          <w:spacing w:val="-7"/>
          <w:sz w:val="22"/>
        </w:rPr>
        <w:t> </w:t>
      </w:r>
      <w:r>
        <w:rPr>
          <w:spacing w:val="-2"/>
          <w:sz w:val="22"/>
        </w:rPr>
        <w:t>State</w:t>
      </w:r>
      <w:r>
        <w:rPr>
          <w:spacing w:val="-9"/>
          <w:sz w:val="22"/>
        </w:rPr>
        <w:t> </w:t>
      </w:r>
      <w:r>
        <w:rPr>
          <w:spacing w:val="-2"/>
          <w:sz w:val="22"/>
        </w:rPr>
        <w:t>Wide</w:t>
      </w:r>
      <w:r>
        <w:rPr>
          <w:spacing w:val="-7"/>
          <w:sz w:val="22"/>
        </w:rPr>
        <w:t> </w:t>
      </w:r>
      <w:r>
        <w:rPr>
          <w:spacing w:val="-2"/>
          <w:sz w:val="22"/>
        </w:rPr>
        <w:t>Networks,</w:t>
      </w:r>
      <w:r>
        <w:rPr>
          <w:spacing w:val="-7"/>
          <w:sz w:val="22"/>
        </w:rPr>
        <w:t> </w:t>
      </w:r>
      <w:r>
        <w:rPr>
          <w:spacing w:val="-2"/>
          <w:sz w:val="22"/>
        </w:rPr>
        <w:t>Common</w:t>
      </w:r>
      <w:r>
        <w:rPr>
          <w:spacing w:val="-7"/>
          <w:sz w:val="22"/>
        </w:rPr>
        <w:t> </w:t>
      </w:r>
      <w:r>
        <w:rPr>
          <w:spacing w:val="-2"/>
          <w:sz w:val="22"/>
        </w:rPr>
        <w:t>Service </w:t>
      </w:r>
      <w:r>
        <w:rPr>
          <w:sz w:val="22"/>
        </w:rPr>
        <w:t>Centres and Last Mile Connectivity.</w:t>
      </w:r>
    </w:p>
    <w:p>
      <w:pPr>
        <w:pStyle w:val="ListParagraph"/>
        <w:numPr>
          <w:ilvl w:val="0"/>
          <w:numId w:val="68"/>
        </w:numPr>
        <w:tabs>
          <w:tab w:pos="1440" w:val="left" w:leader="none"/>
        </w:tabs>
        <w:spacing w:line="266" w:lineRule="auto" w:before="0" w:after="0"/>
        <w:ind w:left="1440" w:right="0" w:hanging="360"/>
        <w:jc w:val="both"/>
        <w:rPr>
          <w:sz w:val="22"/>
        </w:rPr>
      </w:pPr>
      <w:r>
        <w:rPr>
          <w:spacing w:val="-2"/>
          <w:sz w:val="22"/>
        </w:rPr>
        <w:t>A</w:t>
      </w:r>
      <w:r>
        <w:rPr>
          <w:spacing w:val="-11"/>
          <w:sz w:val="22"/>
        </w:rPr>
        <w:t> </w:t>
      </w:r>
      <w:r>
        <w:rPr>
          <w:spacing w:val="-2"/>
          <w:sz w:val="22"/>
        </w:rPr>
        <w:t>body</w:t>
      </w:r>
      <w:r>
        <w:rPr>
          <w:spacing w:val="-11"/>
          <w:sz w:val="22"/>
        </w:rPr>
        <w:t> </w:t>
      </w:r>
      <w:r>
        <w:rPr>
          <w:spacing w:val="-2"/>
          <w:sz w:val="22"/>
        </w:rPr>
        <w:t>with</w:t>
      </w:r>
      <w:r>
        <w:rPr>
          <w:spacing w:val="-11"/>
          <w:sz w:val="22"/>
        </w:rPr>
        <w:t> </w:t>
      </w:r>
      <w:r>
        <w:rPr>
          <w:spacing w:val="-2"/>
          <w:sz w:val="22"/>
        </w:rPr>
        <w:t>PM</w:t>
      </w:r>
      <w:r>
        <w:rPr>
          <w:spacing w:val="-11"/>
          <w:sz w:val="22"/>
        </w:rPr>
        <w:t> </w:t>
      </w:r>
      <w:r>
        <w:rPr>
          <w:spacing w:val="-2"/>
          <w:sz w:val="22"/>
        </w:rPr>
        <w:t>as</w:t>
      </w:r>
      <w:r>
        <w:rPr>
          <w:spacing w:val="-11"/>
          <w:sz w:val="22"/>
        </w:rPr>
        <w:t> </w:t>
      </w:r>
      <w:r>
        <w:rPr>
          <w:spacing w:val="-2"/>
          <w:sz w:val="22"/>
        </w:rPr>
        <w:t>Chair</w:t>
      </w:r>
      <w:r>
        <w:rPr>
          <w:spacing w:val="-11"/>
          <w:sz w:val="22"/>
        </w:rPr>
        <w:t> </w:t>
      </w:r>
      <w:r>
        <w:rPr>
          <w:spacing w:val="-2"/>
          <w:sz w:val="22"/>
        </w:rPr>
        <w:t>to</w:t>
      </w:r>
      <w:r>
        <w:rPr>
          <w:spacing w:val="-11"/>
          <w:sz w:val="22"/>
        </w:rPr>
        <w:t> </w:t>
      </w:r>
      <w:r>
        <w:rPr>
          <w:spacing w:val="-2"/>
          <w:sz w:val="22"/>
        </w:rPr>
        <w:t>prescribe</w:t>
      </w:r>
      <w:r>
        <w:rPr>
          <w:spacing w:val="-11"/>
          <w:sz w:val="22"/>
        </w:rPr>
        <w:t> </w:t>
      </w:r>
      <w:r>
        <w:rPr>
          <w:spacing w:val="-2"/>
          <w:sz w:val="22"/>
        </w:rPr>
        <w:t>deliverables </w:t>
      </w:r>
      <w:r>
        <w:rPr>
          <w:spacing w:val="-4"/>
          <w:sz w:val="22"/>
        </w:rPr>
        <w:t>and</w:t>
      </w:r>
      <w:r>
        <w:rPr>
          <w:spacing w:val="-10"/>
          <w:sz w:val="22"/>
        </w:rPr>
        <w:t> </w:t>
      </w:r>
      <w:r>
        <w:rPr>
          <w:spacing w:val="-4"/>
          <w:sz w:val="22"/>
        </w:rPr>
        <w:t>milestones</w:t>
      </w:r>
      <w:r>
        <w:rPr>
          <w:spacing w:val="-10"/>
          <w:sz w:val="22"/>
        </w:rPr>
        <w:t> </w:t>
      </w:r>
      <w:r>
        <w:rPr>
          <w:spacing w:val="-4"/>
          <w:sz w:val="22"/>
        </w:rPr>
        <w:t>for</w:t>
      </w:r>
      <w:r>
        <w:rPr>
          <w:spacing w:val="-10"/>
          <w:sz w:val="22"/>
        </w:rPr>
        <w:t> </w:t>
      </w:r>
      <w:r>
        <w:rPr>
          <w:spacing w:val="-4"/>
          <w:sz w:val="22"/>
        </w:rPr>
        <w:t>the</w:t>
      </w:r>
      <w:r>
        <w:rPr>
          <w:spacing w:val="-9"/>
          <w:sz w:val="22"/>
        </w:rPr>
        <w:t> </w:t>
      </w:r>
      <w:r>
        <w:rPr>
          <w:spacing w:val="-4"/>
          <w:sz w:val="22"/>
        </w:rPr>
        <w:t>National</w:t>
      </w:r>
      <w:r>
        <w:rPr>
          <w:spacing w:val="-10"/>
          <w:sz w:val="22"/>
        </w:rPr>
        <w:t> </w:t>
      </w:r>
      <w:r>
        <w:rPr>
          <w:spacing w:val="-4"/>
          <w:sz w:val="22"/>
        </w:rPr>
        <w:t>e-Governance</w:t>
      </w:r>
      <w:r>
        <w:rPr>
          <w:spacing w:val="-10"/>
          <w:sz w:val="22"/>
        </w:rPr>
        <w:t> </w:t>
      </w:r>
      <w:r>
        <w:rPr>
          <w:spacing w:val="-4"/>
          <w:sz w:val="22"/>
        </w:rPr>
        <w:t>Plan.</w:t>
      </w:r>
    </w:p>
    <w:p>
      <w:pPr>
        <w:pStyle w:val="ListParagraph"/>
        <w:numPr>
          <w:ilvl w:val="0"/>
          <w:numId w:val="68"/>
        </w:numPr>
        <w:tabs>
          <w:tab w:pos="1439" w:val="left" w:leader="none"/>
        </w:tabs>
        <w:spacing w:line="266" w:lineRule="auto" w:before="0" w:after="0"/>
        <w:ind w:left="1439" w:right="0" w:hanging="360"/>
        <w:jc w:val="both"/>
        <w:rPr>
          <w:sz w:val="22"/>
        </w:rPr>
      </w:pPr>
      <w:r>
        <w:rPr>
          <w:spacing w:val="-4"/>
          <w:sz w:val="22"/>
        </w:rPr>
        <w:t>Make</w:t>
      </w:r>
      <w:r>
        <w:rPr>
          <w:spacing w:val="-6"/>
          <w:sz w:val="22"/>
        </w:rPr>
        <w:t> </w:t>
      </w:r>
      <w:r>
        <w:rPr>
          <w:spacing w:val="-4"/>
          <w:sz w:val="22"/>
        </w:rPr>
        <w:t>use</w:t>
      </w:r>
      <w:r>
        <w:rPr>
          <w:spacing w:val="-6"/>
          <w:sz w:val="22"/>
        </w:rPr>
        <w:t> </w:t>
      </w:r>
      <w:r>
        <w:rPr>
          <w:spacing w:val="-4"/>
          <w:sz w:val="22"/>
        </w:rPr>
        <w:t>of</w:t>
      </w:r>
      <w:r>
        <w:rPr>
          <w:spacing w:val="-6"/>
          <w:sz w:val="22"/>
        </w:rPr>
        <w:t> </w:t>
      </w:r>
      <w:r>
        <w:rPr>
          <w:spacing w:val="-4"/>
          <w:sz w:val="22"/>
        </w:rPr>
        <w:t>e-governance</w:t>
      </w:r>
      <w:r>
        <w:rPr>
          <w:spacing w:val="-6"/>
          <w:sz w:val="22"/>
        </w:rPr>
        <w:t> </w:t>
      </w:r>
      <w:r>
        <w:rPr>
          <w:spacing w:val="-4"/>
          <w:sz w:val="22"/>
        </w:rPr>
        <w:t>in</w:t>
      </w:r>
      <w:r>
        <w:rPr>
          <w:spacing w:val="-6"/>
          <w:sz w:val="22"/>
        </w:rPr>
        <w:t> </w:t>
      </w:r>
      <w:r>
        <w:rPr>
          <w:spacing w:val="-4"/>
          <w:sz w:val="22"/>
        </w:rPr>
        <w:t>implementation</w:t>
      </w:r>
      <w:r>
        <w:rPr>
          <w:spacing w:val="-6"/>
          <w:sz w:val="22"/>
        </w:rPr>
        <w:t> </w:t>
      </w:r>
      <w:r>
        <w:rPr>
          <w:spacing w:val="-4"/>
          <w:sz w:val="22"/>
        </w:rPr>
        <w:t>of</w:t>
      </w:r>
      <w:r>
        <w:rPr>
          <w:spacing w:val="-6"/>
          <w:sz w:val="22"/>
        </w:rPr>
        <w:t> </w:t>
      </w:r>
      <w:r>
        <w:rPr>
          <w:spacing w:val="-4"/>
          <w:sz w:val="22"/>
        </w:rPr>
        <w:t>all </w:t>
      </w:r>
      <w:r>
        <w:rPr>
          <w:sz w:val="22"/>
        </w:rPr>
        <w:t>major flagship programs.</w:t>
      </w:r>
    </w:p>
    <w:p>
      <w:pPr>
        <w:pStyle w:val="Heading7"/>
        <w:spacing w:line="225" w:lineRule="auto" w:before="97"/>
        <w:ind w:right="1078"/>
        <w:jc w:val="both"/>
      </w:pPr>
      <w:r>
        <w:rPr>
          <w:b w:val="0"/>
        </w:rPr>
        <w:br w:type="column"/>
      </w:r>
      <w:r>
        <w:rPr>
          <w:color w:val="2E614A"/>
        </w:rPr>
        <w:t>Vocational training &amp; skill </w:t>
      </w:r>
      <w:r>
        <w:rPr>
          <w:color w:val="2E614A"/>
        </w:rPr>
        <w:t>development </w:t>
      </w:r>
      <w:r>
        <w:rPr>
          <w:color w:val="2E614A"/>
          <w:spacing w:val="-2"/>
        </w:rPr>
        <w:t>(Volume</w:t>
      </w:r>
      <w:r>
        <w:rPr>
          <w:color w:val="2E614A"/>
          <w:spacing w:val="-15"/>
        </w:rPr>
        <w:t> </w:t>
      </w:r>
      <w:r>
        <w:rPr>
          <w:color w:val="2E614A"/>
          <w:spacing w:val="-2"/>
        </w:rPr>
        <w:t>I:</w:t>
      </w:r>
      <w:r>
        <w:rPr>
          <w:color w:val="2E614A"/>
          <w:spacing w:val="-14"/>
        </w:rPr>
        <w:t> </w:t>
      </w:r>
      <w:r>
        <w:rPr>
          <w:color w:val="2E614A"/>
          <w:spacing w:val="-2"/>
        </w:rPr>
        <w:t>Inclusive</w:t>
      </w:r>
      <w:r>
        <w:rPr>
          <w:color w:val="2E614A"/>
          <w:spacing w:val="-14"/>
        </w:rPr>
        <w:t> </w:t>
      </w:r>
      <w:r>
        <w:rPr>
          <w:color w:val="2E614A"/>
          <w:spacing w:val="-2"/>
        </w:rPr>
        <w:t>Growth)</w:t>
      </w:r>
    </w:p>
    <w:p>
      <w:pPr>
        <w:pStyle w:val="BodyText"/>
        <w:spacing w:before="1"/>
        <w:rPr>
          <w:b/>
          <w:sz w:val="26"/>
        </w:rPr>
      </w:pPr>
    </w:p>
    <w:p>
      <w:pPr>
        <w:pStyle w:val="BodyText"/>
        <w:spacing w:line="266" w:lineRule="auto" w:before="1"/>
        <w:ind w:left="319" w:right="1077"/>
        <w:jc w:val="both"/>
      </w:pPr>
      <w:r>
        <w:rPr>
          <w:spacing w:val="-2"/>
        </w:rPr>
        <w:t>Launch</w:t>
      </w:r>
      <w:r>
        <w:rPr>
          <w:spacing w:val="-9"/>
        </w:rPr>
        <w:t> </w:t>
      </w:r>
      <w:r>
        <w:rPr>
          <w:spacing w:val="-2"/>
        </w:rPr>
        <w:t>a</w:t>
      </w:r>
      <w:r>
        <w:rPr>
          <w:spacing w:val="-9"/>
        </w:rPr>
        <w:t> </w:t>
      </w:r>
      <w:r>
        <w:rPr>
          <w:spacing w:val="-2"/>
        </w:rPr>
        <w:t>National</w:t>
      </w:r>
      <w:r>
        <w:rPr>
          <w:spacing w:val="-9"/>
        </w:rPr>
        <w:t> </w:t>
      </w:r>
      <w:r>
        <w:rPr>
          <w:spacing w:val="-2"/>
        </w:rPr>
        <w:t>Skill</w:t>
      </w:r>
      <w:r>
        <w:rPr>
          <w:spacing w:val="-9"/>
        </w:rPr>
        <w:t> </w:t>
      </w:r>
      <w:r>
        <w:rPr>
          <w:spacing w:val="-2"/>
        </w:rPr>
        <w:t>Development</w:t>
      </w:r>
      <w:r>
        <w:rPr>
          <w:spacing w:val="-9"/>
        </w:rPr>
        <w:t> </w:t>
      </w:r>
      <w:r>
        <w:rPr>
          <w:spacing w:val="-2"/>
        </w:rPr>
        <w:t>Mission</w:t>
      </w:r>
      <w:r>
        <w:rPr>
          <w:spacing w:val="-9"/>
        </w:rPr>
        <w:t> </w:t>
      </w:r>
      <w:r>
        <w:rPr>
          <w:spacing w:val="-2"/>
        </w:rPr>
        <w:t>with</w:t>
      </w:r>
      <w:r>
        <w:rPr>
          <w:spacing w:val="-9"/>
        </w:rPr>
        <w:t> </w:t>
      </w:r>
      <w:r>
        <w:rPr>
          <w:spacing w:val="-2"/>
        </w:rPr>
        <w:t>an outlay</w:t>
      </w:r>
      <w:r>
        <w:rPr>
          <w:spacing w:val="-11"/>
        </w:rPr>
        <w:t> </w:t>
      </w:r>
      <w:r>
        <w:rPr>
          <w:spacing w:val="-2"/>
        </w:rPr>
        <w:t>of</w:t>
      </w:r>
      <w:r>
        <w:rPr>
          <w:spacing w:val="-11"/>
        </w:rPr>
        <w:t> </w:t>
      </w:r>
      <w:r>
        <w:rPr>
          <w:spacing w:val="-2"/>
        </w:rPr>
        <w:t>Rs</w:t>
      </w:r>
      <w:r>
        <w:rPr>
          <w:spacing w:val="-11"/>
        </w:rPr>
        <w:t> </w:t>
      </w:r>
      <w:r>
        <w:rPr>
          <w:spacing w:val="-2"/>
        </w:rPr>
        <w:t>31,200</w:t>
      </w:r>
      <w:r>
        <w:rPr>
          <w:spacing w:val="-11"/>
        </w:rPr>
        <w:t> </w:t>
      </w:r>
      <w:r>
        <w:rPr>
          <w:spacing w:val="-2"/>
        </w:rPr>
        <w:t>crore</w:t>
      </w:r>
      <w:r>
        <w:rPr>
          <w:spacing w:val="-11"/>
        </w:rPr>
        <w:t> </w:t>
      </w:r>
      <w:r>
        <w:rPr>
          <w:spacing w:val="-2"/>
        </w:rPr>
        <w:t>to</w:t>
      </w:r>
      <w:r>
        <w:rPr>
          <w:spacing w:val="-11"/>
        </w:rPr>
        <w:t> </w:t>
      </w:r>
      <w:r>
        <w:rPr>
          <w:spacing w:val="-2"/>
        </w:rPr>
        <w:t>increase</w:t>
      </w:r>
      <w:r>
        <w:rPr>
          <w:spacing w:val="-11"/>
        </w:rPr>
        <w:t> </w:t>
      </w:r>
      <w:r>
        <w:rPr>
          <w:spacing w:val="-2"/>
        </w:rPr>
        <w:t>capacity</w:t>
      </w:r>
      <w:r>
        <w:rPr>
          <w:spacing w:val="-11"/>
        </w:rPr>
        <w:t> </w:t>
      </w:r>
      <w:r>
        <w:rPr>
          <w:spacing w:val="-2"/>
        </w:rPr>
        <w:t>from</w:t>
      </w:r>
      <w:r>
        <w:rPr>
          <w:spacing w:val="-11"/>
        </w:rPr>
        <w:t> </w:t>
      </w:r>
      <w:r>
        <w:rPr>
          <w:spacing w:val="-2"/>
        </w:rPr>
        <w:t>2.5 </w:t>
      </w:r>
      <w:r>
        <w:rPr/>
        <w:t>million to 10 million per annum. The National </w:t>
      </w:r>
      <w:r>
        <w:rPr/>
        <w:t>Skill Development Mission would:</w:t>
      </w:r>
    </w:p>
    <w:p>
      <w:pPr>
        <w:pStyle w:val="BodyText"/>
        <w:spacing w:before="23"/>
      </w:pPr>
    </w:p>
    <w:p>
      <w:pPr>
        <w:pStyle w:val="ListParagraph"/>
        <w:numPr>
          <w:ilvl w:val="0"/>
          <w:numId w:val="69"/>
        </w:numPr>
        <w:tabs>
          <w:tab w:pos="679" w:val="left" w:leader="none"/>
        </w:tabs>
        <w:spacing w:line="266" w:lineRule="auto" w:before="0" w:after="0"/>
        <w:ind w:left="679" w:right="1078" w:hanging="360"/>
        <w:jc w:val="both"/>
        <w:rPr>
          <w:sz w:val="22"/>
        </w:rPr>
      </w:pPr>
      <w:r>
        <w:rPr>
          <w:sz w:val="22"/>
        </w:rPr>
        <w:t>Encourage Ministries to expand existing </w:t>
      </w:r>
      <w:r>
        <w:rPr>
          <w:sz w:val="22"/>
        </w:rPr>
        <w:t>public sector skill development infrastructure and its utilisation by five fold.</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Modernise</w:t>
      </w:r>
      <w:r>
        <w:rPr>
          <w:spacing w:val="-9"/>
          <w:sz w:val="22"/>
        </w:rPr>
        <w:t> </w:t>
      </w:r>
      <w:r>
        <w:rPr>
          <w:sz w:val="22"/>
        </w:rPr>
        <w:t>existing</w:t>
      </w:r>
      <w:r>
        <w:rPr>
          <w:spacing w:val="-9"/>
          <w:sz w:val="22"/>
        </w:rPr>
        <w:t> </w:t>
      </w:r>
      <w:r>
        <w:rPr>
          <w:sz w:val="22"/>
        </w:rPr>
        <w:t>public</w:t>
      </w:r>
      <w:r>
        <w:rPr>
          <w:spacing w:val="-9"/>
          <w:sz w:val="22"/>
        </w:rPr>
        <w:t> </w:t>
      </w:r>
      <w:r>
        <w:rPr>
          <w:sz w:val="22"/>
        </w:rPr>
        <w:t>sector</w:t>
      </w:r>
      <w:r>
        <w:rPr>
          <w:spacing w:val="-9"/>
          <w:sz w:val="22"/>
        </w:rPr>
        <w:t> </w:t>
      </w:r>
      <w:r>
        <w:rPr>
          <w:sz w:val="22"/>
        </w:rPr>
        <w:t>infrastructure</w:t>
      </w:r>
      <w:r>
        <w:rPr>
          <w:spacing w:val="-9"/>
          <w:sz w:val="22"/>
        </w:rPr>
        <w:t> </w:t>
      </w:r>
      <w:r>
        <w:rPr>
          <w:sz w:val="22"/>
        </w:rPr>
        <w:t>to </w:t>
      </w:r>
      <w:r>
        <w:rPr>
          <w:spacing w:val="-2"/>
          <w:sz w:val="22"/>
        </w:rPr>
        <w:t>get</w:t>
      </w:r>
      <w:r>
        <w:rPr>
          <w:spacing w:val="-12"/>
          <w:sz w:val="22"/>
        </w:rPr>
        <w:t> </w:t>
      </w:r>
      <w:r>
        <w:rPr>
          <w:spacing w:val="-2"/>
          <w:sz w:val="22"/>
        </w:rPr>
        <w:t>into</w:t>
      </w:r>
      <w:r>
        <w:rPr>
          <w:spacing w:val="-12"/>
          <w:sz w:val="22"/>
        </w:rPr>
        <w:t> </w:t>
      </w:r>
      <w:r>
        <w:rPr>
          <w:spacing w:val="-2"/>
          <w:sz w:val="22"/>
        </w:rPr>
        <w:t>PPP</w:t>
      </w:r>
      <w:r>
        <w:rPr>
          <w:spacing w:val="-12"/>
          <w:sz w:val="22"/>
        </w:rPr>
        <w:t> </w:t>
      </w:r>
      <w:r>
        <w:rPr>
          <w:spacing w:val="-2"/>
          <w:sz w:val="22"/>
        </w:rPr>
        <w:t>mode</w:t>
      </w:r>
      <w:r>
        <w:rPr>
          <w:spacing w:val="-11"/>
          <w:sz w:val="22"/>
        </w:rPr>
        <w:t> </w:t>
      </w:r>
      <w:r>
        <w:rPr>
          <w:spacing w:val="-2"/>
          <w:sz w:val="22"/>
        </w:rPr>
        <w:t>with</w:t>
      </w:r>
      <w:r>
        <w:rPr>
          <w:spacing w:val="-12"/>
          <w:sz w:val="22"/>
        </w:rPr>
        <w:t> </w:t>
      </w:r>
      <w:r>
        <w:rPr>
          <w:spacing w:val="-2"/>
          <w:sz w:val="22"/>
        </w:rPr>
        <w:t>functional</w:t>
      </w:r>
      <w:r>
        <w:rPr>
          <w:spacing w:val="-12"/>
          <w:sz w:val="22"/>
        </w:rPr>
        <w:t> </w:t>
      </w:r>
      <w:r>
        <w:rPr>
          <w:spacing w:val="-2"/>
          <w:sz w:val="22"/>
        </w:rPr>
        <w:t>and</w:t>
      </w:r>
      <w:r>
        <w:rPr>
          <w:spacing w:val="-12"/>
          <w:sz w:val="22"/>
        </w:rPr>
        <w:t> </w:t>
      </w:r>
      <w:r>
        <w:rPr>
          <w:spacing w:val="-2"/>
          <w:sz w:val="22"/>
        </w:rPr>
        <w:t>governance </w:t>
      </w:r>
      <w:r>
        <w:rPr>
          <w:spacing w:val="-4"/>
          <w:sz w:val="22"/>
        </w:rPr>
        <w:t>autonomy,</w:t>
      </w:r>
      <w:r>
        <w:rPr>
          <w:spacing w:val="-10"/>
          <w:sz w:val="22"/>
        </w:rPr>
        <w:t> </w:t>
      </w:r>
      <w:r>
        <w:rPr>
          <w:spacing w:val="-4"/>
          <w:sz w:val="22"/>
        </w:rPr>
        <w:t>establish</w:t>
      </w:r>
      <w:r>
        <w:rPr>
          <w:spacing w:val="-10"/>
          <w:sz w:val="22"/>
        </w:rPr>
        <w:t> </w:t>
      </w:r>
      <w:r>
        <w:rPr>
          <w:spacing w:val="-4"/>
          <w:sz w:val="22"/>
        </w:rPr>
        <w:t>a</w:t>
      </w:r>
      <w:r>
        <w:rPr>
          <w:spacing w:val="-10"/>
          <w:sz w:val="22"/>
        </w:rPr>
        <w:t> </w:t>
      </w:r>
      <w:r>
        <w:rPr>
          <w:spacing w:val="-4"/>
          <w:sz w:val="22"/>
        </w:rPr>
        <w:t>credible</w:t>
      </w:r>
      <w:r>
        <w:rPr>
          <w:spacing w:val="-9"/>
          <w:sz w:val="22"/>
        </w:rPr>
        <w:t> </w:t>
      </w:r>
      <w:r>
        <w:rPr>
          <w:spacing w:val="-4"/>
          <w:sz w:val="22"/>
        </w:rPr>
        <w:t>accreditation</w:t>
      </w:r>
      <w:r>
        <w:rPr>
          <w:spacing w:val="-10"/>
          <w:sz w:val="22"/>
        </w:rPr>
        <w:t> </w:t>
      </w:r>
      <w:r>
        <w:rPr>
          <w:spacing w:val="-4"/>
          <w:sz w:val="22"/>
        </w:rPr>
        <w:t>system </w:t>
      </w:r>
      <w:r>
        <w:rPr>
          <w:sz w:val="22"/>
        </w:rPr>
        <w:t>and a guidance framework for all accrediting </w:t>
      </w:r>
      <w:r>
        <w:rPr>
          <w:spacing w:val="-4"/>
          <w:sz w:val="22"/>
        </w:rPr>
        <w:t>agencies, encourage agencies to rate institutions on </w:t>
      </w:r>
      <w:r>
        <w:rPr>
          <w:sz w:val="22"/>
        </w:rPr>
        <w:t>standardised</w:t>
      </w:r>
      <w:r>
        <w:rPr>
          <w:spacing w:val="-3"/>
          <w:sz w:val="22"/>
        </w:rPr>
        <w:t> </w:t>
      </w:r>
      <w:r>
        <w:rPr>
          <w:sz w:val="22"/>
        </w:rPr>
        <w:t>outcomes,</w:t>
      </w:r>
      <w:r>
        <w:rPr>
          <w:spacing w:val="-3"/>
          <w:sz w:val="22"/>
        </w:rPr>
        <w:t> </w:t>
      </w:r>
      <w:r>
        <w:rPr>
          <w:sz w:val="22"/>
        </w:rPr>
        <w:t>and</w:t>
      </w:r>
      <w:r>
        <w:rPr>
          <w:spacing w:val="-3"/>
          <w:sz w:val="22"/>
        </w:rPr>
        <w:t> </w:t>
      </w:r>
      <w:r>
        <w:rPr>
          <w:sz w:val="22"/>
        </w:rPr>
        <w:t>establish</w:t>
      </w:r>
      <w:r>
        <w:rPr>
          <w:spacing w:val="-3"/>
          <w:sz w:val="22"/>
        </w:rPr>
        <w:t> </w:t>
      </w:r>
      <w:r>
        <w:rPr>
          <w:sz w:val="22"/>
        </w:rPr>
        <w:t>a</w:t>
      </w:r>
      <w:r>
        <w:rPr>
          <w:spacing w:val="-3"/>
          <w:sz w:val="22"/>
        </w:rPr>
        <w:t> </w:t>
      </w:r>
      <w:r>
        <w:rPr>
          <w:sz w:val="22"/>
        </w:rPr>
        <w:t>“National </w:t>
      </w:r>
      <w:r>
        <w:rPr>
          <w:spacing w:val="-4"/>
          <w:sz w:val="22"/>
        </w:rPr>
        <w:t>Skill Inventory” and a “National Database for Skill </w:t>
      </w:r>
      <w:r>
        <w:rPr>
          <w:sz w:val="22"/>
        </w:rPr>
        <w:t>Deficiency Mapping” on a national web portal.</w:t>
      </w:r>
    </w:p>
    <w:p>
      <w:pPr>
        <w:pStyle w:val="ListParagraph"/>
        <w:numPr>
          <w:ilvl w:val="0"/>
          <w:numId w:val="69"/>
        </w:numPr>
        <w:tabs>
          <w:tab w:pos="679" w:val="left" w:leader="none"/>
        </w:tabs>
        <w:spacing w:line="266" w:lineRule="auto" w:before="0" w:after="0"/>
        <w:ind w:left="679" w:right="1077" w:hanging="360"/>
        <w:jc w:val="both"/>
        <w:rPr>
          <w:sz w:val="22"/>
        </w:rPr>
      </w:pPr>
      <w:r>
        <w:rPr>
          <w:spacing w:val="-4"/>
          <w:sz w:val="22"/>
        </w:rPr>
        <w:t>Set</w:t>
      </w:r>
      <w:r>
        <w:rPr>
          <w:spacing w:val="-10"/>
          <w:sz w:val="22"/>
        </w:rPr>
        <w:t> </w:t>
      </w:r>
      <w:r>
        <w:rPr>
          <w:spacing w:val="-4"/>
          <w:sz w:val="22"/>
        </w:rPr>
        <w:t>up</w:t>
      </w:r>
      <w:r>
        <w:rPr>
          <w:spacing w:val="-10"/>
          <w:sz w:val="22"/>
        </w:rPr>
        <w:t> </w:t>
      </w:r>
      <w:r>
        <w:rPr>
          <w:spacing w:val="-4"/>
          <w:sz w:val="22"/>
        </w:rPr>
        <w:t>a</w:t>
      </w:r>
      <w:r>
        <w:rPr>
          <w:spacing w:val="-10"/>
          <w:sz w:val="22"/>
        </w:rPr>
        <w:t> </w:t>
      </w:r>
      <w:r>
        <w:rPr>
          <w:spacing w:val="-4"/>
          <w:sz w:val="22"/>
        </w:rPr>
        <w:t>National</w:t>
      </w:r>
      <w:r>
        <w:rPr>
          <w:spacing w:val="-9"/>
          <w:sz w:val="22"/>
        </w:rPr>
        <w:t> </w:t>
      </w:r>
      <w:r>
        <w:rPr>
          <w:spacing w:val="-4"/>
          <w:sz w:val="22"/>
        </w:rPr>
        <w:t>Qualifications</w:t>
      </w:r>
      <w:r>
        <w:rPr>
          <w:spacing w:val="-10"/>
          <w:sz w:val="22"/>
        </w:rPr>
        <w:t> </w:t>
      </w:r>
      <w:r>
        <w:rPr>
          <w:spacing w:val="-4"/>
          <w:sz w:val="22"/>
        </w:rPr>
        <w:t>Framework,</w:t>
      </w:r>
      <w:r>
        <w:rPr>
          <w:spacing w:val="-10"/>
          <w:sz w:val="22"/>
        </w:rPr>
        <w:t> </w:t>
      </w:r>
      <w:r>
        <w:rPr>
          <w:spacing w:val="-4"/>
          <w:sz w:val="22"/>
        </w:rPr>
        <w:t>which </w:t>
      </w:r>
      <w:r>
        <w:rPr>
          <w:sz w:val="22"/>
        </w:rPr>
        <w:t>establishes equivalence and provides horizontal mobility between various Vocational, Technical and Academic streams at more than one career points and a Trainee Placement and Tracking System</w:t>
      </w:r>
      <w:r>
        <w:rPr>
          <w:spacing w:val="-3"/>
          <w:sz w:val="22"/>
        </w:rPr>
        <w:t> </w:t>
      </w:r>
      <w:r>
        <w:rPr>
          <w:sz w:val="22"/>
        </w:rPr>
        <w:t>for</w:t>
      </w:r>
      <w:r>
        <w:rPr>
          <w:spacing w:val="-3"/>
          <w:sz w:val="22"/>
        </w:rPr>
        <w:t> </w:t>
      </w:r>
      <w:r>
        <w:rPr>
          <w:sz w:val="22"/>
        </w:rPr>
        <w:t>effective</w:t>
      </w:r>
      <w:r>
        <w:rPr>
          <w:spacing w:val="-3"/>
          <w:sz w:val="22"/>
        </w:rPr>
        <w:t> </w:t>
      </w:r>
      <w:r>
        <w:rPr>
          <w:sz w:val="22"/>
        </w:rPr>
        <w:t>evaluation</w:t>
      </w:r>
      <w:r>
        <w:rPr>
          <w:spacing w:val="-3"/>
          <w:sz w:val="22"/>
        </w:rPr>
        <w:t> </w:t>
      </w:r>
      <w:r>
        <w:rPr>
          <w:sz w:val="22"/>
        </w:rPr>
        <w:t>and</w:t>
      </w:r>
      <w:r>
        <w:rPr>
          <w:spacing w:val="-3"/>
          <w:sz w:val="22"/>
        </w:rPr>
        <w:t> </w:t>
      </w:r>
      <w:r>
        <w:rPr>
          <w:sz w:val="22"/>
        </w:rPr>
        <w:t>future</w:t>
      </w:r>
      <w:r>
        <w:rPr>
          <w:spacing w:val="-3"/>
          <w:sz w:val="22"/>
        </w:rPr>
        <w:t> </w:t>
      </w:r>
      <w:r>
        <w:rPr>
          <w:sz w:val="22"/>
        </w:rPr>
        <w:t>policy </w:t>
      </w:r>
      <w:r>
        <w:rPr>
          <w:spacing w:val="-2"/>
          <w:sz w:val="22"/>
        </w:rPr>
        <w:t>planning.</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Enlarge the coverage of skill spectrum to 1000 trades, with relevance to our emerging needs while making a distinction between structural, interventional and last mile unemployability and correspondingly set up programs for 24 months, 12 months and 6 months duration. “Finishing Schools” will be encouraged to take care of last mile unemployability.</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Create a “National Skill Development Fund” </w:t>
      </w:r>
      <w:r>
        <w:rPr>
          <w:spacing w:val="-2"/>
          <w:sz w:val="22"/>
        </w:rPr>
        <w:t>imposing</w:t>
      </w:r>
      <w:r>
        <w:rPr>
          <w:spacing w:val="-4"/>
          <w:sz w:val="22"/>
        </w:rPr>
        <w:t> </w:t>
      </w:r>
      <w:r>
        <w:rPr>
          <w:spacing w:val="-2"/>
          <w:sz w:val="22"/>
        </w:rPr>
        <w:t>a</w:t>
      </w:r>
      <w:r>
        <w:rPr>
          <w:spacing w:val="-4"/>
          <w:sz w:val="22"/>
        </w:rPr>
        <w:t> </w:t>
      </w:r>
      <w:r>
        <w:rPr>
          <w:spacing w:val="-2"/>
          <w:sz w:val="22"/>
        </w:rPr>
        <w:t>universal</w:t>
      </w:r>
      <w:r>
        <w:rPr>
          <w:spacing w:val="-4"/>
          <w:sz w:val="22"/>
        </w:rPr>
        <w:t> </w:t>
      </w:r>
      <w:r>
        <w:rPr>
          <w:spacing w:val="-2"/>
          <w:sz w:val="22"/>
        </w:rPr>
        <w:t>skill</w:t>
      </w:r>
      <w:r>
        <w:rPr>
          <w:spacing w:val="-4"/>
          <w:sz w:val="22"/>
        </w:rPr>
        <w:t> </w:t>
      </w:r>
      <w:r>
        <w:rPr>
          <w:spacing w:val="-2"/>
          <w:sz w:val="22"/>
        </w:rPr>
        <w:t>development</w:t>
      </w:r>
      <w:r>
        <w:rPr>
          <w:spacing w:val="-4"/>
          <w:sz w:val="22"/>
        </w:rPr>
        <w:t> </w:t>
      </w:r>
      <w:r>
        <w:rPr>
          <w:spacing w:val="-2"/>
          <w:sz w:val="22"/>
        </w:rPr>
        <w:t>obligation </w:t>
      </w:r>
      <w:r>
        <w:rPr>
          <w:sz w:val="22"/>
        </w:rPr>
        <w:t>on industry to invest in skill development of SCs/STs/OBCs/Minorities/other</w:t>
      </w:r>
      <w:r>
        <w:rPr>
          <w:spacing w:val="-8"/>
          <w:sz w:val="22"/>
        </w:rPr>
        <w:t> </w:t>
      </w:r>
      <w:r>
        <w:rPr>
          <w:sz w:val="22"/>
        </w:rPr>
        <w:t>candidates</w:t>
      </w:r>
      <w:r>
        <w:rPr>
          <w:spacing w:val="-8"/>
          <w:sz w:val="22"/>
        </w:rPr>
        <w:t> </w:t>
      </w:r>
      <w:r>
        <w:rPr>
          <w:sz w:val="22"/>
        </w:rPr>
        <w:t>from BPL</w:t>
      </w:r>
      <w:r>
        <w:rPr>
          <w:spacing w:val="-14"/>
          <w:sz w:val="22"/>
        </w:rPr>
        <w:t> </w:t>
      </w:r>
      <w:r>
        <w:rPr>
          <w:sz w:val="22"/>
        </w:rPr>
        <w:t>families</w:t>
      </w:r>
      <w:r>
        <w:rPr>
          <w:spacing w:val="-14"/>
          <w:sz w:val="22"/>
        </w:rPr>
        <w:t> </w:t>
      </w:r>
      <w:r>
        <w:rPr>
          <w:sz w:val="22"/>
        </w:rPr>
        <w:t>–</w:t>
      </w:r>
      <w:r>
        <w:rPr>
          <w:spacing w:val="-14"/>
          <w:sz w:val="22"/>
        </w:rPr>
        <w:t> </w:t>
      </w:r>
      <w:r>
        <w:rPr>
          <w:sz w:val="22"/>
        </w:rPr>
        <w:t>as</w:t>
      </w:r>
      <w:r>
        <w:rPr>
          <w:spacing w:val="-13"/>
          <w:sz w:val="22"/>
        </w:rPr>
        <w:t> </w:t>
      </w:r>
      <w:r>
        <w:rPr>
          <w:sz w:val="22"/>
        </w:rPr>
        <w:t>their</w:t>
      </w:r>
      <w:r>
        <w:rPr>
          <w:spacing w:val="-14"/>
          <w:sz w:val="22"/>
        </w:rPr>
        <w:t> </w:t>
      </w:r>
      <w:r>
        <w:rPr>
          <w:sz w:val="22"/>
        </w:rPr>
        <w:t>contribution</w:t>
      </w:r>
      <w:r>
        <w:rPr>
          <w:spacing w:val="-14"/>
          <w:sz w:val="22"/>
        </w:rPr>
        <w:t> </w:t>
      </w:r>
      <w:r>
        <w:rPr>
          <w:sz w:val="22"/>
        </w:rPr>
        <w:t>to</w:t>
      </w:r>
      <w:r>
        <w:rPr>
          <w:spacing w:val="-14"/>
          <w:sz w:val="22"/>
        </w:rPr>
        <w:t> </w:t>
      </w:r>
      <w:r>
        <w:rPr>
          <w:sz w:val="22"/>
        </w:rPr>
        <w:t>affirmative action combined with matching government </w:t>
      </w:r>
      <w:r>
        <w:rPr>
          <w:spacing w:val="-2"/>
          <w:sz w:val="22"/>
        </w:rPr>
        <w:t>contribution.</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ListParagraph"/>
        <w:numPr>
          <w:ilvl w:val="1"/>
          <w:numId w:val="69"/>
        </w:numPr>
        <w:tabs>
          <w:tab w:pos="1439" w:val="left" w:leader="none"/>
        </w:tabs>
        <w:spacing w:line="266" w:lineRule="auto" w:before="57" w:after="0"/>
        <w:ind w:left="1439" w:right="0" w:hanging="360"/>
        <w:jc w:val="both"/>
        <w:rPr>
          <w:sz w:val="22"/>
        </w:rPr>
      </w:pPr>
      <w:r>
        <w:rPr>
          <w:spacing w:val="-2"/>
          <w:sz w:val="22"/>
        </w:rPr>
        <w:t>Facilitate</w:t>
      </w:r>
      <w:r>
        <w:rPr>
          <w:spacing w:val="-4"/>
          <w:sz w:val="22"/>
        </w:rPr>
        <w:t> </w:t>
      </w:r>
      <w:r>
        <w:rPr>
          <w:spacing w:val="-2"/>
          <w:sz w:val="22"/>
        </w:rPr>
        <w:t>repositioning</w:t>
      </w:r>
      <w:r>
        <w:rPr>
          <w:spacing w:val="-4"/>
          <w:sz w:val="22"/>
        </w:rPr>
        <w:t> </w:t>
      </w:r>
      <w:r>
        <w:rPr>
          <w:spacing w:val="-2"/>
          <w:sz w:val="22"/>
        </w:rPr>
        <w:t>of</w:t>
      </w:r>
      <w:r>
        <w:rPr>
          <w:spacing w:val="-5"/>
          <w:sz w:val="22"/>
        </w:rPr>
        <w:t> </w:t>
      </w:r>
      <w:r>
        <w:rPr>
          <w:spacing w:val="-2"/>
          <w:sz w:val="22"/>
        </w:rPr>
        <w:t>employment</w:t>
      </w:r>
      <w:r>
        <w:rPr>
          <w:spacing w:val="-4"/>
          <w:sz w:val="22"/>
        </w:rPr>
        <w:t> </w:t>
      </w:r>
      <w:r>
        <w:rPr>
          <w:spacing w:val="-2"/>
          <w:sz w:val="22"/>
        </w:rPr>
        <w:t>exchanges </w:t>
      </w:r>
      <w:r>
        <w:rPr>
          <w:sz w:val="22"/>
        </w:rPr>
        <w:t>as outreach points of the Mission for storing and providing information on employment and skill </w:t>
      </w:r>
      <w:r>
        <w:rPr>
          <w:spacing w:val="-2"/>
          <w:sz w:val="22"/>
        </w:rPr>
        <w:t>development</w:t>
      </w:r>
      <w:r>
        <w:rPr>
          <w:spacing w:val="-8"/>
          <w:sz w:val="22"/>
        </w:rPr>
        <w:t> </w:t>
      </w:r>
      <w:r>
        <w:rPr>
          <w:spacing w:val="-2"/>
          <w:sz w:val="22"/>
        </w:rPr>
        <w:t>and</w:t>
      </w:r>
      <w:r>
        <w:rPr>
          <w:spacing w:val="-8"/>
          <w:sz w:val="22"/>
        </w:rPr>
        <w:t> </w:t>
      </w:r>
      <w:r>
        <w:rPr>
          <w:spacing w:val="-2"/>
          <w:sz w:val="22"/>
        </w:rPr>
        <w:t>to</w:t>
      </w:r>
      <w:r>
        <w:rPr>
          <w:spacing w:val="-8"/>
          <w:sz w:val="22"/>
        </w:rPr>
        <w:t> </w:t>
      </w:r>
      <w:r>
        <w:rPr>
          <w:spacing w:val="-2"/>
          <w:sz w:val="22"/>
        </w:rPr>
        <w:t>function</w:t>
      </w:r>
      <w:r>
        <w:rPr>
          <w:spacing w:val="-8"/>
          <w:sz w:val="22"/>
        </w:rPr>
        <w:t> </w:t>
      </w:r>
      <w:r>
        <w:rPr>
          <w:spacing w:val="-2"/>
          <w:sz w:val="22"/>
        </w:rPr>
        <w:t>as</w:t>
      </w:r>
      <w:r>
        <w:rPr>
          <w:spacing w:val="-8"/>
          <w:sz w:val="22"/>
        </w:rPr>
        <w:t> </w:t>
      </w:r>
      <w:r>
        <w:rPr>
          <w:spacing w:val="-2"/>
          <w:sz w:val="22"/>
        </w:rPr>
        <w:t>career</w:t>
      </w:r>
      <w:r>
        <w:rPr>
          <w:spacing w:val="-8"/>
          <w:sz w:val="22"/>
        </w:rPr>
        <w:t> </w:t>
      </w:r>
      <w:r>
        <w:rPr>
          <w:spacing w:val="-2"/>
          <w:sz w:val="22"/>
        </w:rPr>
        <w:t>counselling centres.</w:t>
      </w:r>
    </w:p>
    <w:p>
      <w:pPr>
        <w:pStyle w:val="ListParagraph"/>
        <w:numPr>
          <w:ilvl w:val="1"/>
          <w:numId w:val="69"/>
        </w:numPr>
        <w:tabs>
          <w:tab w:pos="1439" w:val="left" w:leader="none"/>
        </w:tabs>
        <w:spacing w:line="266" w:lineRule="auto" w:before="0" w:after="0"/>
        <w:ind w:left="1439" w:right="0" w:hanging="360"/>
        <w:jc w:val="both"/>
        <w:rPr>
          <w:sz w:val="22"/>
        </w:rPr>
      </w:pPr>
      <w:r>
        <w:rPr>
          <w:sz w:val="22"/>
        </w:rPr>
        <w:t>Enlarge the 50,000 Skill Development Centres program eventually into a “Virtual Skill Development Resource Network’ for web based </w:t>
      </w:r>
      <w:r>
        <w:rPr>
          <w:spacing w:val="-2"/>
          <w:sz w:val="22"/>
        </w:rPr>
        <w:t>learning.</w:t>
      </w:r>
    </w:p>
    <w:p>
      <w:pPr>
        <w:pStyle w:val="Heading7"/>
        <w:spacing w:before="236"/>
        <w:ind w:left="1080"/>
      </w:pPr>
      <w:r>
        <w:rPr>
          <w:color w:val="2E614A"/>
          <w:w w:val="90"/>
        </w:rPr>
        <w:t>Innovation</w:t>
      </w:r>
      <w:r>
        <w:rPr>
          <w:color w:val="2E614A"/>
          <w:spacing w:val="7"/>
        </w:rPr>
        <w:t> </w:t>
      </w:r>
      <w:r>
        <w:rPr>
          <w:color w:val="2E614A"/>
          <w:w w:val="90"/>
        </w:rPr>
        <w:t>(Volume</w:t>
      </w:r>
      <w:r>
        <w:rPr>
          <w:color w:val="2E614A"/>
          <w:spacing w:val="8"/>
        </w:rPr>
        <w:t> </w:t>
      </w:r>
      <w:r>
        <w:rPr>
          <w:color w:val="2E614A"/>
          <w:w w:val="90"/>
        </w:rPr>
        <w:t>I:</w:t>
      </w:r>
      <w:r>
        <w:rPr>
          <w:color w:val="2E614A"/>
          <w:spacing w:val="7"/>
        </w:rPr>
        <w:t> </w:t>
      </w:r>
      <w:r>
        <w:rPr>
          <w:color w:val="2E614A"/>
          <w:w w:val="90"/>
        </w:rPr>
        <w:t>Inclusive</w:t>
      </w:r>
      <w:r>
        <w:rPr>
          <w:color w:val="2E614A"/>
          <w:spacing w:val="8"/>
        </w:rPr>
        <w:t> </w:t>
      </w:r>
      <w:r>
        <w:rPr>
          <w:color w:val="2E614A"/>
          <w:spacing w:val="-2"/>
          <w:w w:val="90"/>
        </w:rPr>
        <w:t>Growth)</w:t>
      </w:r>
    </w:p>
    <w:p>
      <w:pPr>
        <w:pStyle w:val="ListParagraph"/>
        <w:numPr>
          <w:ilvl w:val="1"/>
          <w:numId w:val="69"/>
        </w:numPr>
        <w:tabs>
          <w:tab w:pos="1439" w:val="left" w:leader="none"/>
        </w:tabs>
        <w:spacing w:line="266" w:lineRule="auto" w:before="298" w:after="0"/>
        <w:ind w:left="1439" w:right="0" w:hanging="360"/>
        <w:jc w:val="both"/>
        <w:rPr>
          <w:sz w:val="22"/>
        </w:rPr>
      </w:pPr>
      <w:r>
        <w:rPr>
          <w:sz w:val="22"/>
        </w:rPr>
        <w:t>Put in place a National Innovation Policy which </w:t>
      </w:r>
      <w:r>
        <w:rPr>
          <w:spacing w:val="-4"/>
          <w:sz w:val="22"/>
        </w:rPr>
        <w:t>encourages competition among enterprises, </w:t>
      </w:r>
      <w:r>
        <w:rPr>
          <w:spacing w:val="-4"/>
          <w:sz w:val="22"/>
        </w:rPr>
        <w:t>greater </w:t>
      </w:r>
      <w:r>
        <w:rPr>
          <w:sz w:val="22"/>
        </w:rPr>
        <w:t>diffusion of knowledge and increased support to </w:t>
      </w:r>
      <w:r>
        <w:rPr>
          <w:spacing w:val="-2"/>
          <w:sz w:val="22"/>
        </w:rPr>
        <w:t>early</w:t>
      </w:r>
      <w:r>
        <w:rPr>
          <w:spacing w:val="-12"/>
          <w:sz w:val="22"/>
        </w:rPr>
        <w:t> </w:t>
      </w:r>
      <w:r>
        <w:rPr>
          <w:spacing w:val="-2"/>
          <w:sz w:val="22"/>
        </w:rPr>
        <w:t>stage</w:t>
      </w:r>
      <w:r>
        <w:rPr>
          <w:spacing w:val="-12"/>
          <w:sz w:val="22"/>
        </w:rPr>
        <w:t> </w:t>
      </w:r>
      <w:r>
        <w:rPr>
          <w:spacing w:val="-2"/>
          <w:sz w:val="22"/>
        </w:rPr>
        <w:t>technology</w:t>
      </w:r>
      <w:r>
        <w:rPr>
          <w:spacing w:val="-12"/>
          <w:sz w:val="22"/>
        </w:rPr>
        <w:t> </w:t>
      </w:r>
      <w:r>
        <w:rPr>
          <w:spacing w:val="-2"/>
          <w:sz w:val="22"/>
        </w:rPr>
        <w:t>development</w:t>
      </w:r>
      <w:r>
        <w:rPr>
          <w:spacing w:val="-11"/>
          <w:sz w:val="22"/>
        </w:rPr>
        <w:t> </w:t>
      </w:r>
      <w:r>
        <w:rPr>
          <w:spacing w:val="-2"/>
          <w:sz w:val="22"/>
        </w:rPr>
        <w:t>initiatives</w:t>
      </w:r>
      <w:r>
        <w:rPr>
          <w:spacing w:val="-12"/>
          <w:sz w:val="22"/>
        </w:rPr>
        <w:t> </w:t>
      </w:r>
      <w:r>
        <w:rPr>
          <w:spacing w:val="-2"/>
          <w:sz w:val="22"/>
        </w:rPr>
        <w:t>and </w:t>
      </w:r>
      <w:r>
        <w:rPr>
          <w:sz w:val="22"/>
        </w:rPr>
        <w:t>grassroot level innovators.</w:t>
      </w:r>
    </w:p>
    <w:p>
      <w:pPr>
        <w:pStyle w:val="ListParagraph"/>
        <w:numPr>
          <w:ilvl w:val="1"/>
          <w:numId w:val="69"/>
        </w:numPr>
        <w:tabs>
          <w:tab w:pos="1439" w:val="left" w:leader="none"/>
        </w:tabs>
        <w:spacing w:line="266" w:lineRule="auto" w:before="0" w:after="0"/>
        <w:ind w:left="1439" w:right="0" w:hanging="360"/>
        <w:jc w:val="both"/>
        <w:rPr>
          <w:sz w:val="22"/>
        </w:rPr>
      </w:pPr>
      <w:r>
        <w:rPr>
          <w:sz w:val="22"/>
        </w:rPr>
        <w:t>Foster increased collaboration among the </w:t>
      </w:r>
      <w:r>
        <w:rPr>
          <w:sz w:val="22"/>
        </w:rPr>
        <w:t>R&amp;D </w:t>
      </w:r>
      <w:r>
        <w:rPr>
          <w:spacing w:val="-6"/>
          <w:sz w:val="22"/>
        </w:rPr>
        <w:t>institutes, Universities and private sector enterprises </w:t>
      </w:r>
      <w:r>
        <w:rPr>
          <w:sz w:val="22"/>
        </w:rPr>
        <w:t>and leverage upon their cumulative strengths in designing and implementing various innovation </w:t>
      </w:r>
      <w:r>
        <w:rPr>
          <w:spacing w:val="-2"/>
          <w:sz w:val="22"/>
        </w:rPr>
        <w:t>programs.</w:t>
      </w:r>
    </w:p>
    <w:p>
      <w:pPr>
        <w:pStyle w:val="ListParagraph"/>
        <w:numPr>
          <w:ilvl w:val="1"/>
          <w:numId w:val="69"/>
        </w:numPr>
        <w:tabs>
          <w:tab w:pos="1439" w:val="left" w:leader="none"/>
        </w:tabs>
        <w:spacing w:line="266" w:lineRule="auto" w:before="0" w:after="0"/>
        <w:ind w:left="1439" w:right="0" w:hanging="360"/>
        <w:jc w:val="both"/>
        <w:rPr>
          <w:sz w:val="22"/>
        </w:rPr>
      </w:pPr>
      <w:r>
        <w:rPr>
          <w:spacing w:val="-6"/>
          <w:sz w:val="22"/>
        </w:rPr>
        <w:t>Create new interface structures to forge partnerships </w:t>
      </w:r>
      <w:r>
        <w:rPr>
          <w:sz w:val="22"/>
        </w:rPr>
        <w:t>between academia and industry.</w:t>
      </w:r>
    </w:p>
    <w:p>
      <w:pPr>
        <w:pStyle w:val="Heading7"/>
        <w:spacing w:before="233"/>
        <w:ind w:left="1080"/>
      </w:pPr>
      <w:r>
        <w:rPr>
          <w:color w:val="2E614A"/>
          <w:w w:val="90"/>
        </w:rPr>
        <w:t>School</w:t>
      </w:r>
      <w:r>
        <w:rPr>
          <w:color w:val="2E614A"/>
          <w:spacing w:val="12"/>
        </w:rPr>
        <w:t> </w:t>
      </w:r>
      <w:r>
        <w:rPr>
          <w:color w:val="2E614A"/>
          <w:w w:val="90"/>
        </w:rPr>
        <w:t>education</w:t>
      </w:r>
      <w:r>
        <w:rPr>
          <w:color w:val="2E614A"/>
          <w:spacing w:val="13"/>
        </w:rPr>
        <w:t> </w:t>
      </w:r>
      <w:r>
        <w:rPr>
          <w:color w:val="2E614A"/>
          <w:w w:val="90"/>
        </w:rPr>
        <w:t>(Volume</w:t>
      </w:r>
      <w:r>
        <w:rPr>
          <w:color w:val="2E614A"/>
          <w:spacing w:val="12"/>
        </w:rPr>
        <w:t> </w:t>
      </w:r>
      <w:r>
        <w:rPr>
          <w:color w:val="2E614A"/>
          <w:w w:val="90"/>
        </w:rPr>
        <w:t>II:</w:t>
      </w:r>
      <w:r>
        <w:rPr>
          <w:color w:val="2E614A"/>
          <w:spacing w:val="13"/>
        </w:rPr>
        <w:t> </w:t>
      </w:r>
      <w:r>
        <w:rPr>
          <w:color w:val="2E614A"/>
          <w:w w:val="90"/>
        </w:rPr>
        <w:t>Social</w:t>
      </w:r>
      <w:r>
        <w:rPr>
          <w:color w:val="2E614A"/>
          <w:spacing w:val="12"/>
        </w:rPr>
        <w:t> </w:t>
      </w:r>
      <w:r>
        <w:rPr>
          <w:color w:val="2E614A"/>
          <w:spacing w:val="-2"/>
          <w:w w:val="90"/>
        </w:rPr>
        <w:t>Sector)</w:t>
      </w:r>
    </w:p>
    <w:p>
      <w:pPr>
        <w:pStyle w:val="ListParagraph"/>
        <w:numPr>
          <w:ilvl w:val="1"/>
          <w:numId w:val="69"/>
        </w:numPr>
        <w:tabs>
          <w:tab w:pos="1439" w:val="left" w:leader="none"/>
        </w:tabs>
        <w:spacing w:line="266" w:lineRule="auto" w:before="298" w:after="0"/>
        <w:ind w:left="1439" w:right="0" w:hanging="360"/>
        <w:jc w:val="both"/>
        <w:rPr>
          <w:sz w:val="22"/>
        </w:rPr>
      </w:pPr>
      <w:r>
        <w:rPr>
          <w:sz w:val="22"/>
        </w:rPr>
        <w:t>Reorient Sarva Shiksha Abhiyan bringing in </w:t>
      </w:r>
      <w:r>
        <w:rPr>
          <w:sz w:val="22"/>
        </w:rPr>
        <w:t>a strong rights focus to make Right to Education a reality: ensure basic learning conditions, special </w:t>
      </w:r>
      <w:r>
        <w:rPr>
          <w:spacing w:val="-4"/>
          <w:sz w:val="22"/>
        </w:rPr>
        <w:t>focus</w:t>
      </w:r>
      <w:r>
        <w:rPr>
          <w:spacing w:val="-10"/>
          <w:sz w:val="22"/>
        </w:rPr>
        <w:t> </w:t>
      </w:r>
      <w:r>
        <w:rPr>
          <w:spacing w:val="-4"/>
          <w:sz w:val="22"/>
        </w:rPr>
        <w:t>on</w:t>
      </w:r>
      <w:r>
        <w:rPr>
          <w:spacing w:val="-10"/>
          <w:sz w:val="22"/>
        </w:rPr>
        <w:t> </w:t>
      </w:r>
      <w:r>
        <w:rPr>
          <w:spacing w:val="-4"/>
          <w:sz w:val="22"/>
        </w:rPr>
        <w:t>Math,</w:t>
      </w:r>
      <w:r>
        <w:rPr>
          <w:spacing w:val="-10"/>
          <w:sz w:val="22"/>
        </w:rPr>
        <w:t> </w:t>
      </w:r>
      <w:r>
        <w:rPr>
          <w:spacing w:val="-4"/>
          <w:sz w:val="22"/>
        </w:rPr>
        <w:t>Science</w:t>
      </w:r>
      <w:r>
        <w:rPr>
          <w:spacing w:val="-9"/>
          <w:sz w:val="22"/>
        </w:rPr>
        <w:t> </w:t>
      </w:r>
      <w:r>
        <w:rPr>
          <w:spacing w:val="-4"/>
          <w:sz w:val="22"/>
        </w:rPr>
        <w:t>&amp;</w:t>
      </w:r>
      <w:r>
        <w:rPr>
          <w:spacing w:val="-10"/>
          <w:sz w:val="22"/>
        </w:rPr>
        <w:t> </w:t>
      </w:r>
      <w:r>
        <w:rPr>
          <w:spacing w:val="-4"/>
          <w:sz w:val="22"/>
        </w:rPr>
        <w:t>English,</w:t>
      </w:r>
      <w:r>
        <w:rPr>
          <w:spacing w:val="-10"/>
          <w:sz w:val="22"/>
        </w:rPr>
        <w:t> </w:t>
      </w:r>
      <w:r>
        <w:rPr>
          <w:spacing w:val="-4"/>
          <w:sz w:val="22"/>
        </w:rPr>
        <w:t>common</w:t>
      </w:r>
      <w:r>
        <w:rPr>
          <w:spacing w:val="-10"/>
          <w:sz w:val="22"/>
        </w:rPr>
        <w:t> </w:t>
      </w:r>
      <w:r>
        <w:rPr>
          <w:spacing w:val="-4"/>
          <w:sz w:val="22"/>
        </w:rPr>
        <w:t>syllabi </w:t>
      </w:r>
      <w:r>
        <w:rPr>
          <w:sz w:val="22"/>
        </w:rPr>
        <w:t>and curriculum and pedagogy.</w:t>
      </w:r>
    </w:p>
    <w:p>
      <w:pPr>
        <w:pStyle w:val="ListParagraph"/>
        <w:numPr>
          <w:ilvl w:val="1"/>
          <w:numId w:val="69"/>
        </w:numPr>
        <w:tabs>
          <w:tab w:pos="1439" w:val="left" w:leader="none"/>
        </w:tabs>
        <w:spacing w:line="266" w:lineRule="auto" w:before="0" w:after="0"/>
        <w:ind w:left="1439" w:right="0" w:hanging="360"/>
        <w:jc w:val="both"/>
        <w:rPr>
          <w:sz w:val="22"/>
        </w:rPr>
      </w:pPr>
      <w:r>
        <w:rPr>
          <w:sz w:val="22"/>
        </w:rPr>
        <w:t>Gradually reduce Central Government’s </w:t>
      </w:r>
      <w:r>
        <w:rPr>
          <w:sz w:val="22"/>
        </w:rPr>
        <w:t>funding </w:t>
      </w:r>
      <w:r>
        <w:rPr>
          <w:spacing w:val="-2"/>
          <w:sz w:val="22"/>
        </w:rPr>
        <w:t>over</w:t>
      </w:r>
      <w:r>
        <w:rPr>
          <w:spacing w:val="-12"/>
          <w:sz w:val="22"/>
        </w:rPr>
        <w:t> </w:t>
      </w:r>
      <w:r>
        <w:rPr>
          <w:spacing w:val="-2"/>
          <w:sz w:val="22"/>
        </w:rPr>
        <w:t>the</w:t>
      </w:r>
      <w:r>
        <w:rPr>
          <w:spacing w:val="-12"/>
          <w:sz w:val="22"/>
        </w:rPr>
        <w:t> </w:t>
      </w:r>
      <w:r>
        <w:rPr>
          <w:spacing w:val="-2"/>
          <w:sz w:val="22"/>
        </w:rPr>
        <w:t>Plan</w:t>
      </w:r>
      <w:r>
        <w:rPr>
          <w:spacing w:val="-12"/>
          <w:sz w:val="22"/>
        </w:rPr>
        <w:t> </w:t>
      </w:r>
      <w:r>
        <w:rPr>
          <w:spacing w:val="-2"/>
          <w:sz w:val="22"/>
        </w:rPr>
        <w:t>period</w:t>
      </w:r>
      <w:r>
        <w:rPr>
          <w:spacing w:val="-11"/>
          <w:sz w:val="22"/>
        </w:rPr>
        <w:t> </w:t>
      </w:r>
      <w:r>
        <w:rPr>
          <w:spacing w:val="-2"/>
          <w:sz w:val="22"/>
        </w:rPr>
        <w:t>rather</w:t>
      </w:r>
      <w:r>
        <w:rPr>
          <w:spacing w:val="-12"/>
          <w:sz w:val="22"/>
        </w:rPr>
        <w:t> </w:t>
      </w:r>
      <w:r>
        <w:rPr>
          <w:spacing w:val="-2"/>
          <w:sz w:val="22"/>
        </w:rPr>
        <w:t>than</w:t>
      </w:r>
      <w:r>
        <w:rPr>
          <w:spacing w:val="-12"/>
          <w:sz w:val="22"/>
        </w:rPr>
        <w:t> </w:t>
      </w:r>
      <w:r>
        <w:rPr>
          <w:spacing w:val="-2"/>
          <w:sz w:val="22"/>
        </w:rPr>
        <w:t>move</w:t>
      </w:r>
      <w:r>
        <w:rPr>
          <w:spacing w:val="-12"/>
          <w:sz w:val="22"/>
        </w:rPr>
        <w:t> </w:t>
      </w:r>
      <w:r>
        <w:rPr>
          <w:spacing w:val="-2"/>
          <w:sz w:val="22"/>
        </w:rPr>
        <w:t>immediately </w:t>
      </w:r>
      <w:r>
        <w:rPr>
          <w:sz w:val="22"/>
        </w:rPr>
        <w:t>to 50:50.</w:t>
      </w:r>
    </w:p>
    <w:p>
      <w:pPr>
        <w:pStyle w:val="ListParagraph"/>
        <w:numPr>
          <w:ilvl w:val="1"/>
          <w:numId w:val="69"/>
        </w:numPr>
        <w:tabs>
          <w:tab w:pos="1439" w:val="left" w:leader="none"/>
        </w:tabs>
        <w:spacing w:line="266" w:lineRule="auto" w:before="0" w:after="0"/>
        <w:ind w:left="1439" w:right="0" w:hanging="360"/>
        <w:jc w:val="both"/>
        <w:rPr>
          <w:sz w:val="22"/>
        </w:rPr>
      </w:pPr>
      <w:r>
        <w:rPr>
          <w:sz w:val="22"/>
        </w:rPr>
        <w:t>Ensure minimum standards and norms </w:t>
      </w:r>
      <w:r>
        <w:rPr>
          <w:sz w:val="22"/>
        </w:rPr>
        <w:t>for</w:t>
      </w:r>
      <w:r>
        <w:rPr>
          <w:spacing w:val="80"/>
          <w:sz w:val="22"/>
        </w:rPr>
        <w:t> </w:t>
      </w:r>
      <w:r>
        <w:rPr>
          <w:sz w:val="22"/>
        </w:rPr>
        <w:t>public and private schools and address systemic issues of accountability and decentralisation of decision making, teacher recruitment, teacher training,</w:t>
      </w:r>
      <w:r>
        <w:rPr>
          <w:spacing w:val="-2"/>
          <w:sz w:val="22"/>
        </w:rPr>
        <w:t> </w:t>
      </w:r>
      <w:r>
        <w:rPr>
          <w:sz w:val="22"/>
        </w:rPr>
        <w:t>learning</w:t>
      </w:r>
      <w:r>
        <w:rPr>
          <w:spacing w:val="-2"/>
          <w:sz w:val="22"/>
        </w:rPr>
        <w:t> </w:t>
      </w:r>
      <w:r>
        <w:rPr>
          <w:sz w:val="22"/>
        </w:rPr>
        <w:t>outcome</w:t>
      </w:r>
      <w:r>
        <w:rPr>
          <w:spacing w:val="-2"/>
          <w:sz w:val="22"/>
        </w:rPr>
        <w:t> </w:t>
      </w:r>
      <w:r>
        <w:rPr>
          <w:sz w:val="22"/>
        </w:rPr>
        <w:t>measurement,</w:t>
      </w:r>
      <w:r>
        <w:rPr>
          <w:spacing w:val="-2"/>
          <w:sz w:val="22"/>
        </w:rPr>
        <w:t> </w:t>
      </w:r>
      <w:r>
        <w:rPr>
          <w:sz w:val="22"/>
        </w:rPr>
        <w:t>teacher </w:t>
      </w:r>
      <w:r>
        <w:rPr>
          <w:spacing w:val="-2"/>
          <w:sz w:val="22"/>
        </w:rPr>
        <w:t>motivation.</w:t>
      </w:r>
    </w:p>
    <w:p>
      <w:pPr>
        <w:pStyle w:val="ListParagraph"/>
        <w:numPr>
          <w:ilvl w:val="1"/>
          <w:numId w:val="69"/>
        </w:numPr>
        <w:tabs>
          <w:tab w:pos="1439" w:val="left" w:leader="none"/>
        </w:tabs>
        <w:spacing w:line="266" w:lineRule="auto" w:before="0" w:after="0"/>
        <w:ind w:left="1439" w:right="0" w:hanging="360"/>
        <w:jc w:val="both"/>
        <w:rPr>
          <w:sz w:val="22"/>
        </w:rPr>
      </w:pPr>
      <w:r>
        <w:rPr>
          <w:sz w:val="22"/>
        </w:rPr>
        <w:t>Recognise and encourage the role of </w:t>
      </w:r>
      <w:r>
        <w:rPr>
          <w:sz w:val="22"/>
        </w:rPr>
        <w:t>private </w:t>
      </w:r>
      <w:r>
        <w:rPr>
          <w:spacing w:val="-2"/>
          <w:sz w:val="22"/>
        </w:rPr>
        <w:t>providers.</w:t>
      </w:r>
    </w:p>
    <w:p>
      <w:pPr>
        <w:pStyle w:val="ListParagraph"/>
        <w:numPr>
          <w:ilvl w:val="1"/>
          <w:numId w:val="69"/>
        </w:numPr>
        <w:tabs>
          <w:tab w:pos="1439" w:val="left" w:leader="none"/>
        </w:tabs>
        <w:spacing w:line="266" w:lineRule="auto" w:before="0" w:after="0"/>
        <w:ind w:left="1439" w:right="0" w:hanging="360"/>
        <w:jc w:val="both"/>
        <w:rPr>
          <w:sz w:val="22"/>
        </w:rPr>
      </w:pPr>
      <w:r>
        <w:rPr>
          <w:sz w:val="22"/>
        </w:rPr>
        <w:t>Special focus on disadvantaged groups </w:t>
      </w:r>
      <w:r>
        <w:rPr>
          <w:sz w:val="22"/>
        </w:rPr>
        <w:t>and educationally backward areas.</w:t>
      </w:r>
    </w:p>
    <w:p>
      <w:pPr>
        <w:pStyle w:val="ListParagraph"/>
        <w:numPr>
          <w:ilvl w:val="1"/>
          <w:numId w:val="69"/>
        </w:numPr>
        <w:tabs>
          <w:tab w:pos="1439" w:val="left" w:leader="none"/>
        </w:tabs>
        <w:spacing w:line="266" w:lineRule="auto" w:before="0" w:after="0"/>
        <w:ind w:left="1439" w:right="0" w:hanging="360"/>
        <w:jc w:val="both"/>
        <w:rPr>
          <w:sz w:val="22"/>
        </w:rPr>
      </w:pPr>
      <w:r>
        <w:rPr>
          <w:sz w:val="22"/>
        </w:rPr>
        <w:t>Scheme for Universal Access and Quality at </w:t>
      </w:r>
      <w:r>
        <w:rPr>
          <w:sz w:val="22"/>
        </w:rPr>
        <w:t>the Secondary</w:t>
      </w:r>
      <w:r>
        <w:rPr>
          <w:spacing w:val="-9"/>
          <w:sz w:val="22"/>
        </w:rPr>
        <w:t> </w:t>
      </w:r>
      <w:r>
        <w:rPr>
          <w:sz w:val="22"/>
        </w:rPr>
        <w:t>Stage;</w:t>
      </w:r>
      <w:r>
        <w:rPr>
          <w:spacing w:val="-9"/>
          <w:sz w:val="22"/>
        </w:rPr>
        <w:t> </w:t>
      </w:r>
      <w:r>
        <w:rPr>
          <w:sz w:val="22"/>
        </w:rPr>
        <w:t>set</w:t>
      </w:r>
      <w:r>
        <w:rPr>
          <w:spacing w:val="-9"/>
          <w:sz w:val="22"/>
        </w:rPr>
        <w:t> </w:t>
      </w:r>
      <w:r>
        <w:rPr>
          <w:sz w:val="22"/>
        </w:rPr>
        <w:t>up</w:t>
      </w:r>
      <w:r>
        <w:rPr>
          <w:spacing w:val="-9"/>
          <w:sz w:val="22"/>
        </w:rPr>
        <w:t> </w:t>
      </w:r>
      <w:r>
        <w:rPr>
          <w:sz w:val="22"/>
        </w:rPr>
        <w:t>6000</w:t>
      </w:r>
      <w:r>
        <w:rPr>
          <w:spacing w:val="-9"/>
          <w:sz w:val="22"/>
        </w:rPr>
        <w:t> </w:t>
      </w:r>
      <w:r>
        <w:rPr>
          <w:sz w:val="22"/>
        </w:rPr>
        <w:t>Model</w:t>
      </w:r>
      <w:r>
        <w:rPr>
          <w:spacing w:val="-9"/>
          <w:sz w:val="22"/>
        </w:rPr>
        <w:t> </w:t>
      </w:r>
      <w:r>
        <w:rPr>
          <w:sz w:val="22"/>
        </w:rPr>
        <w:t>Schools</w:t>
      </w:r>
      <w:r>
        <w:rPr>
          <w:spacing w:val="-9"/>
          <w:sz w:val="22"/>
        </w:rPr>
        <w:t> </w:t>
      </w:r>
      <w:r>
        <w:rPr>
          <w:sz w:val="22"/>
        </w:rPr>
        <w:t>one in each Block, upgrade 15000 primary schools</w:t>
      </w:r>
      <w:r>
        <w:rPr>
          <w:spacing w:val="80"/>
          <w:sz w:val="22"/>
        </w:rPr>
        <w:t> </w:t>
      </w:r>
      <w:r>
        <w:rPr>
          <w:sz w:val="22"/>
        </w:rPr>
        <w:t>to secondary level, additional infrastructure and additional teachers, hundred per cent trained </w:t>
      </w:r>
      <w:r>
        <w:rPr>
          <w:spacing w:val="-2"/>
          <w:sz w:val="22"/>
        </w:rPr>
        <w:t>teachers.</w:t>
      </w:r>
    </w:p>
    <w:p>
      <w:pPr>
        <w:pStyle w:val="ListParagraph"/>
        <w:numPr>
          <w:ilvl w:val="1"/>
          <w:numId w:val="69"/>
        </w:numPr>
        <w:tabs>
          <w:tab w:pos="1439" w:val="left" w:leader="none"/>
        </w:tabs>
        <w:spacing w:line="248" w:lineRule="exact" w:before="0" w:after="0"/>
        <w:ind w:left="1439" w:right="0" w:hanging="359"/>
        <w:jc w:val="both"/>
        <w:rPr>
          <w:sz w:val="22"/>
        </w:rPr>
      </w:pPr>
      <w:r>
        <w:rPr>
          <w:spacing w:val="-6"/>
          <w:sz w:val="22"/>
        </w:rPr>
        <w:t>Use</w:t>
      </w:r>
      <w:r>
        <w:rPr>
          <w:spacing w:val="-1"/>
          <w:sz w:val="22"/>
        </w:rPr>
        <w:t> </w:t>
      </w:r>
      <w:r>
        <w:rPr>
          <w:spacing w:val="-6"/>
          <w:sz w:val="22"/>
        </w:rPr>
        <w:t>ICT</w:t>
      </w:r>
      <w:r>
        <w:rPr>
          <w:spacing w:val="-1"/>
          <w:sz w:val="22"/>
        </w:rPr>
        <w:t> </w:t>
      </w:r>
      <w:r>
        <w:rPr>
          <w:spacing w:val="-6"/>
          <w:sz w:val="22"/>
        </w:rPr>
        <w:t>based</w:t>
      </w:r>
      <w:r>
        <w:rPr>
          <w:spacing w:val="-1"/>
          <w:sz w:val="22"/>
        </w:rPr>
        <w:t> </w:t>
      </w:r>
      <w:r>
        <w:rPr>
          <w:spacing w:val="-6"/>
          <w:sz w:val="22"/>
        </w:rPr>
        <w:t>pedagogy</w:t>
      </w:r>
      <w:r>
        <w:rPr>
          <w:sz w:val="22"/>
        </w:rPr>
        <w:t> </w:t>
      </w:r>
      <w:r>
        <w:rPr>
          <w:spacing w:val="-6"/>
          <w:sz w:val="22"/>
        </w:rPr>
        <w:t>and</w:t>
      </w:r>
      <w:r>
        <w:rPr>
          <w:spacing w:val="-1"/>
          <w:sz w:val="22"/>
        </w:rPr>
        <w:t> </w:t>
      </w:r>
      <w:r>
        <w:rPr>
          <w:spacing w:val="-6"/>
          <w:sz w:val="22"/>
        </w:rPr>
        <w:t>learning</w:t>
      </w:r>
      <w:r>
        <w:rPr>
          <w:spacing w:val="-1"/>
          <w:sz w:val="22"/>
        </w:rPr>
        <w:t> </w:t>
      </w:r>
      <w:r>
        <w:rPr>
          <w:spacing w:val="-6"/>
          <w:sz w:val="22"/>
        </w:rPr>
        <w:t>aids,</w:t>
      </w:r>
      <w:r>
        <w:rPr>
          <w:sz w:val="22"/>
        </w:rPr>
        <w:t> </w:t>
      </w:r>
      <w:r>
        <w:rPr>
          <w:spacing w:val="-6"/>
          <w:sz w:val="22"/>
        </w:rPr>
        <w:t>provide</w:t>
      </w:r>
    </w:p>
    <w:p>
      <w:pPr>
        <w:pStyle w:val="BodyText"/>
        <w:spacing w:line="266" w:lineRule="auto" w:before="57"/>
        <w:ind w:left="679" w:right="1075"/>
      </w:pPr>
      <w:r>
        <w:rPr/>
        <w:br w:type="column"/>
      </w:r>
      <w:r>
        <w:rPr>
          <w:spacing w:val="-2"/>
        </w:rPr>
        <w:t>broadband</w:t>
      </w:r>
      <w:r>
        <w:rPr>
          <w:spacing w:val="-7"/>
        </w:rPr>
        <w:t> </w:t>
      </w:r>
      <w:r>
        <w:rPr>
          <w:spacing w:val="-2"/>
        </w:rPr>
        <w:t>connectivity</w:t>
      </w:r>
      <w:r>
        <w:rPr>
          <w:spacing w:val="-7"/>
        </w:rPr>
        <w:t> </w:t>
      </w:r>
      <w:r>
        <w:rPr>
          <w:spacing w:val="-2"/>
        </w:rPr>
        <w:t>to</w:t>
      </w:r>
      <w:r>
        <w:rPr>
          <w:spacing w:val="-7"/>
        </w:rPr>
        <w:t> </w:t>
      </w:r>
      <w:r>
        <w:rPr>
          <w:spacing w:val="-2"/>
        </w:rPr>
        <w:t>all</w:t>
      </w:r>
      <w:r>
        <w:rPr>
          <w:spacing w:val="-7"/>
        </w:rPr>
        <w:t> </w:t>
      </w:r>
      <w:r>
        <w:rPr>
          <w:spacing w:val="-2"/>
        </w:rPr>
        <w:t>the</w:t>
      </w:r>
      <w:r>
        <w:rPr>
          <w:spacing w:val="-7"/>
        </w:rPr>
        <w:t> </w:t>
      </w:r>
      <w:r>
        <w:rPr>
          <w:spacing w:val="-2"/>
        </w:rPr>
        <w:t>Government</w:t>
      </w:r>
      <w:r>
        <w:rPr>
          <w:spacing w:val="-7"/>
        </w:rPr>
        <w:t> </w:t>
      </w:r>
      <w:r>
        <w:rPr>
          <w:spacing w:val="-2"/>
        </w:rPr>
        <w:t>and </w:t>
      </w:r>
      <w:r>
        <w:rPr/>
        <w:t>Government aided secondary schools.</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Strengthen teacher training and </w:t>
      </w:r>
      <w:r>
        <w:rPr>
          <w:sz w:val="22"/>
        </w:rPr>
        <w:t>professional </w:t>
      </w:r>
      <w:r>
        <w:rPr>
          <w:spacing w:val="-2"/>
          <w:sz w:val="22"/>
        </w:rPr>
        <w:t>development.</w:t>
      </w:r>
    </w:p>
    <w:p>
      <w:pPr>
        <w:pStyle w:val="BodyText"/>
        <w:spacing w:before="1"/>
      </w:pPr>
    </w:p>
    <w:p>
      <w:pPr>
        <w:pStyle w:val="Heading7"/>
        <w:spacing w:line="225" w:lineRule="auto"/>
        <w:ind w:right="1811"/>
      </w:pPr>
      <w:r>
        <w:rPr>
          <w:color w:val="2E614A"/>
          <w:spacing w:val="-8"/>
        </w:rPr>
        <w:t>Higher</w:t>
      </w:r>
      <w:r>
        <w:rPr>
          <w:color w:val="2E614A"/>
          <w:spacing w:val="-9"/>
        </w:rPr>
        <w:t> </w:t>
      </w:r>
      <w:r>
        <w:rPr>
          <w:color w:val="2E614A"/>
          <w:spacing w:val="-8"/>
        </w:rPr>
        <w:t>&amp; technical </w:t>
      </w:r>
      <w:r>
        <w:rPr>
          <w:color w:val="2E614A"/>
          <w:spacing w:val="-8"/>
        </w:rPr>
        <w:t>education </w:t>
      </w:r>
      <w:r>
        <w:rPr>
          <w:color w:val="2E614A"/>
          <w:spacing w:val="-2"/>
        </w:rPr>
        <w:t>(Volume</w:t>
      </w:r>
      <w:r>
        <w:rPr>
          <w:color w:val="2E614A"/>
          <w:spacing w:val="-15"/>
        </w:rPr>
        <w:t> </w:t>
      </w:r>
      <w:r>
        <w:rPr>
          <w:color w:val="2E614A"/>
          <w:spacing w:val="-2"/>
        </w:rPr>
        <w:t>II:</w:t>
      </w:r>
      <w:r>
        <w:rPr>
          <w:color w:val="2E614A"/>
          <w:spacing w:val="-14"/>
        </w:rPr>
        <w:t> </w:t>
      </w:r>
      <w:r>
        <w:rPr>
          <w:color w:val="2E614A"/>
          <w:spacing w:val="-2"/>
        </w:rPr>
        <w:t>Social</w:t>
      </w:r>
      <w:r>
        <w:rPr>
          <w:color w:val="2E614A"/>
          <w:spacing w:val="-14"/>
        </w:rPr>
        <w:t> </w:t>
      </w:r>
      <w:r>
        <w:rPr>
          <w:color w:val="2E614A"/>
          <w:spacing w:val="-2"/>
        </w:rPr>
        <w:t>Sector)</w:t>
      </w:r>
    </w:p>
    <w:p>
      <w:pPr>
        <w:pStyle w:val="BodyText"/>
        <w:spacing w:before="2"/>
        <w:rPr>
          <w:b/>
          <w:sz w:val="26"/>
        </w:rPr>
      </w:pPr>
    </w:p>
    <w:p>
      <w:pPr>
        <w:pStyle w:val="ListParagraph"/>
        <w:numPr>
          <w:ilvl w:val="0"/>
          <w:numId w:val="69"/>
        </w:numPr>
        <w:tabs>
          <w:tab w:pos="679" w:val="left" w:leader="none"/>
        </w:tabs>
        <w:spacing w:line="266" w:lineRule="auto" w:before="0" w:after="0"/>
        <w:ind w:left="679" w:right="1077" w:hanging="360"/>
        <w:jc w:val="both"/>
        <w:rPr>
          <w:sz w:val="22"/>
        </w:rPr>
      </w:pPr>
      <w:r>
        <w:rPr>
          <w:spacing w:val="-6"/>
          <w:sz w:val="22"/>
        </w:rPr>
        <w:t>Expansion,</w:t>
      </w:r>
      <w:r>
        <w:rPr>
          <w:spacing w:val="-7"/>
          <w:sz w:val="22"/>
        </w:rPr>
        <w:t> </w:t>
      </w:r>
      <w:r>
        <w:rPr>
          <w:spacing w:val="-6"/>
          <w:sz w:val="22"/>
        </w:rPr>
        <w:t>inclusion</w:t>
      </w:r>
      <w:r>
        <w:rPr>
          <w:spacing w:val="-7"/>
          <w:sz w:val="22"/>
        </w:rPr>
        <w:t> </w:t>
      </w:r>
      <w:r>
        <w:rPr>
          <w:spacing w:val="-6"/>
          <w:sz w:val="22"/>
        </w:rPr>
        <w:t>and</w:t>
      </w:r>
      <w:r>
        <w:rPr>
          <w:spacing w:val="-7"/>
          <w:sz w:val="22"/>
        </w:rPr>
        <w:t> </w:t>
      </w:r>
      <w:r>
        <w:rPr>
          <w:spacing w:val="-6"/>
          <w:sz w:val="22"/>
        </w:rPr>
        <w:t>rapid</w:t>
      </w:r>
      <w:r>
        <w:rPr>
          <w:spacing w:val="-7"/>
          <w:sz w:val="22"/>
        </w:rPr>
        <w:t> </w:t>
      </w:r>
      <w:r>
        <w:rPr>
          <w:spacing w:val="-6"/>
          <w:sz w:val="22"/>
        </w:rPr>
        <w:t>movement</w:t>
      </w:r>
      <w:r>
        <w:rPr>
          <w:spacing w:val="-7"/>
          <w:sz w:val="22"/>
        </w:rPr>
        <w:t> </w:t>
      </w:r>
      <w:r>
        <w:rPr>
          <w:spacing w:val="-6"/>
          <w:sz w:val="22"/>
        </w:rPr>
        <w:t>in</w:t>
      </w:r>
      <w:r>
        <w:rPr>
          <w:spacing w:val="-7"/>
          <w:sz w:val="22"/>
        </w:rPr>
        <w:t> </w:t>
      </w:r>
      <w:r>
        <w:rPr>
          <w:spacing w:val="-6"/>
          <w:sz w:val="22"/>
        </w:rPr>
        <w:t>quality </w:t>
      </w:r>
      <w:r>
        <w:rPr>
          <w:spacing w:val="-4"/>
          <w:sz w:val="22"/>
        </w:rPr>
        <w:t>by</w:t>
      </w:r>
      <w:r>
        <w:rPr>
          <w:spacing w:val="-5"/>
          <w:sz w:val="22"/>
        </w:rPr>
        <w:t> </w:t>
      </w:r>
      <w:r>
        <w:rPr>
          <w:spacing w:val="-4"/>
          <w:sz w:val="22"/>
        </w:rPr>
        <w:t>enhancing</w:t>
      </w:r>
      <w:r>
        <w:rPr>
          <w:spacing w:val="-5"/>
          <w:sz w:val="22"/>
        </w:rPr>
        <w:t> </w:t>
      </w:r>
      <w:r>
        <w:rPr>
          <w:spacing w:val="-4"/>
          <w:sz w:val="22"/>
        </w:rPr>
        <w:t>public</w:t>
      </w:r>
      <w:r>
        <w:rPr>
          <w:spacing w:val="-5"/>
          <w:sz w:val="22"/>
        </w:rPr>
        <w:t> </w:t>
      </w:r>
      <w:r>
        <w:rPr>
          <w:spacing w:val="-4"/>
          <w:sz w:val="22"/>
        </w:rPr>
        <w:t>spending,</w:t>
      </w:r>
      <w:r>
        <w:rPr>
          <w:spacing w:val="-5"/>
          <w:sz w:val="22"/>
        </w:rPr>
        <w:t> </w:t>
      </w:r>
      <w:r>
        <w:rPr>
          <w:spacing w:val="-4"/>
          <w:sz w:val="22"/>
        </w:rPr>
        <w:t>encouraging</w:t>
      </w:r>
      <w:r>
        <w:rPr>
          <w:spacing w:val="-5"/>
          <w:sz w:val="22"/>
        </w:rPr>
        <w:t> </w:t>
      </w:r>
      <w:r>
        <w:rPr>
          <w:spacing w:val="-4"/>
          <w:sz w:val="22"/>
        </w:rPr>
        <w:t>private </w:t>
      </w:r>
      <w:r>
        <w:rPr>
          <w:sz w:val="22"/>
        </w:rPr>
        <w:t>initiatives and initiating the long overdue major </w:t>
      </w:r>
      <w:r>
        <w:rPr>
          <w:spacing w:val="-2"/>
          <w:sz w:val="22"/>
        </w:rPr>
        <w:t>institutional</w:t>
      </w:r>
      <w:r>
        <w:rPr>
          <w:spacing w:val="-11"/>
          <w:sz w:val="22"/>
        </w:rPr>
        <w:t> </w:t>
      </w:r>
      <w:r>
        <w:rPr>
          <w:spacing w:val="-2"/>
          <w:sz w:val="22"/>
        </w:rPr>
        <w:t>and</w:t>
      </w:r>
      <w:r>
        <w:rPr>
          <w:spacing w:val="-11"/>
          <w:sz w:val="22"/>
        </w:rPr>
        <w:t> </w:t>
      </w:r>
      <w:r>
        <w:rPr>
          <w:spacing w:val="-2"/>
          <w:sz w:val="22"/>
        </w:rPr>
        <w:t>policy</w:t>
      </w:r>
      <w:r>
        <w:rPr>
          <w:spacing w:val="-11"/>
          <w:sz w:val="22"/>
        </w:rPr>
        <w:t> </w:t>
      </w:r>
      <w:r>
        <w:rPr>
          <w:spacing w:val="-2"/>
          <w:sz w:val="22"/>
        </w:rPr>
        <w:t>reforms,</w:t>
      </w:r>
      <w:r>
        <w:rPr>
          <w:spacing w:val="-11"/>
          <w:sz w:val="22"/>
        </w:rPr>
        <w:t> </w:t>
      </w:r>
      <w:r>
        <w:rPr>
          <w:spacing w:val="-2"/>
          <w:sz w:val="22"/>
        </w:rPr>
        <w:t>will</w:t>
      </w:r>
      <w:r>
        <w:rPr>
          <w:spacing w:val="-11"/>
          <w:sz w:val="22"/>
        </w:rPr>
        <w:t> </w:t>
      </w:r>
      <w:r>
        <w:rPr>
          <w:spacing w:val="-2"/>
          <w:sz w:val="22"/>
        </w:rPr>
        <w:t>form</w:t>
      </w:r>
      <w:r>
        <w:rPr>
          <w:spacing w:val="-11"/>
          <w:sz w:val="22"/>
        </w:rPr>
        <w:t> </w:t>
      </w:r>
      <w:r>
        <w:rPr>
          <w:spacing w:val="-2"/>
          <w:sz w:val="22"/>
        </w:rPr>
        <w:t>the</w:t>
      </w:r>
      <w:r>
        <w:rPr>
          <w:spacing w:val="-11"/>
          <w:sz w:val="22"/>
        </w:rPr>
        <w:t> </w:t>
      </w:r>
      <w:r>
        <w:rPr>
          <w:spacing w:val="-2"/>
          <w:sz w:val="22"/>
        </w:rPr>
        <w:t>core </w:t>
      </w:r>
      <w:r>
        <w:rPr>
          <w:sz w:val="22"/>
        </w:rPr>
        <w:t>of the XI Plan effort.</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Improve quality: work on a detailed reforms agenda including: a) admission, curriculum and assessment;</w:t>
      </w:r>
      <w:r>
        <w:rPr>
          <w:spacing w:val="-14"/>
          <w:sz w:val="22"/>
        </w:rPr>
        <w:t> </w:t>
      </w:r>
      <w:r>
        <w:rPr>
          <w:sz w:val="22"/>
        </w:rPr>
        <w:t>b)</w:t>
      </w:r>
      <w:r>
        <w:rPr>
          <w:spacing w:val="-14"/>
          <w:sz w:val="22"/>
        </w:rPr>
        <w:t> </w:t>
      </w:r>
      <w:r>
        <w:rPr>
          <w:sz w:val="22"/>
        </w:rPr>
        <w:t>accreditation</w:t>
      </w:r>
      <w:r>
        <w:rPr>
          <w:spacing w:val="-14"/>
          <w:sz w:val="22"/>
        </w:rPr>
        <w:t> </w:t>
      </w:r>
      <w:r>
        <w:rPr>
          <w:sz w:val="22"/>
        </w:rPr>
        <w:t>&amp;</w:t>
      </w:r>
      <w:r>
        <w:rPr>
          <w:spacing w:val="-13"/>
          <w:sz w:val="22"/>
        </w:rPr>
        <w:t> </w:t>
      </w:r>
      <w:r>
        <w:rPr>
          <w:sz w:val="22"/>
        </w:rPr>
        <w:t>ratings;</w:t>
      </w:r>
      <w:r>
        <w:rPr>
          <w:spacing w:val="-14"/>
          <w:sz w:val="22"/>
        </w:rPr>
        <w:t> </w:t>
      </w:r>
      <w:r>
        <w:rPr>
          <w:sz w:val="22"/>
        </w:rPr>
        <w:t>c)</w:t>
      </w:r>
      <w:r>
        <w:rPr>
          <w:spacing w:val="-14"/>
          <w:sz w:val="22"/>
        </w:rPr>
        <w:t> </w:t>
      </w:r>
      <w:r>
        <w:rPr>
          <w:sz w:val="22"/>
        </w:rPr>
        <w:t>teachers competence and motivation; and d) restructure affiliated colleges and research for policy </w:t>
      </w:r>
      <w:r>
        <w:rPr>
          <w:spacing w:val="-2"/>
          <w:sz w:val="22"/>
        </w:rPr>
        <w:t>formulation.</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An apex Independent regulatory </w:t>
      </w:r>
      <w:r>
        <w:rPr>
          <w:sz w:val="22"/>
        </w:rPr>
        <w:t>mechanism accompanied by greater autonomy and internal </w:t>
      </w:r>
      <w:r>
        <w:rPr>
          <w:spacing w:val="-2"/>
          <w:sz w:val="22"/>
        </w:rPr>
        <w:t>accountability;</w:t>
      </w:r>
      <w:r>
        <w:rPr>
          <w:spacing w:val="-6"/>
          <w:sz w:val="22"/>
        </w:rPr>
        <w:t> </w:t>
      </w:r>
      <w:r>
        <w:rPr>
          <w:spacing w:val="-2"/>
          <w:sz w:val="22"/>
        </w:rPr>
        <w:t>establish</w:t>
      </w:r>
      <w:r>
        <w:rPr>
          <w:spacing w:val="-6"/>
          <w:sz w:val="22"/>
        </w:rPr>
        <w:t> </w:t>
      </w:r>
      <w:r>
        <w:rPr>
          <w:spacing w:val="-2"/>
          <w:sz w:val="22"/>
        </w:rPr>
        <w:t>a</w:t>
      </w:r>
      <w:r>
        <w:rPr>
          <w:spacing w:val="-6"/>
          <w:sz w:val="22"/>
        </w:rPr>
        <w:t> </w:t>
      </w:r>
      <w:r>
        <w:rPr>
          <w:spacing w:val="-2"/>
          <w:sz w:val="22"/>
        </w:rPr>
        <w:t>high</w:t>
      </w:r>
      <w:r>
        <w:rPr>
          <w:spacing w:val="-6"/>
          <w:sz w:val="22"/>
        </w:rPr>
        <w:t> </w:t>
      </w:r>
      <w:r>
        <w:rPr>
          <w:spacing w:val="-2"/>
          <w:sz w:val="22"/>
        </w:rPr>
        <w:t>level</w:t>
      </w:r>
      <w:r>
        <w:rPr>
          <w:spacing w:val="-6"/>
          <w:sz w:val="22"/>
        </w:rPr>
        <w:t> </w:t>
      </w:r>
      <w:r>
        <w:rPr>
          <w:spacing w:val="-2"/>
          <w:sz w:val="22"/>
        </w:rPr>
        <w:t>committee</w:t>
      </w:r>
      <w:r>
        <w:rPr>
          <w:spacing w:val="-6"/>
          <w:sz w:val="22"/>
        </w:rPr>
        <w:t> </w:t>
      </w:r>
      <w:r>
        <w:rPr>
          <w:spacing w:val="-2"/>
          <w:sz w:val="22"/>
        </w:rPr>
        <w:t>to </w:t>
      </w:r>
      <w:r>
        <w:rPr>
          <w:sz w:val="22"/>
        </w:rPr>
        <w:t>suggest</w:t>
      </w:r>
      <w:r>
        <w:rPr>
          <w:spacing w:val="-1"/>
          <w:sz w:val="22"/>
        </w:rPr>
        <w:t> </w:t>
      </w:r>
      <w:r>
        <w:rPr>
          <w:sz w:val="22"/>
        </w:rPr>
        <w:t>specific</w:t>
      </w:r>
      <w:r>
        <w:rPr>
          <w:spacing w:val="-1"/>
          <w:sz w:val="22"/>
        </w:rPr>
        <w:t> </w:t>
      </w:r>
      <w:r>
        <w:rPr>
          <w:sz w:val="22"/>
        </w:rPr>
        <w:t>reforms</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Quantitative expansion through establishment </w:t>
      </w:r>
      <w:r>
        <w:rPr>
          <w:sz w:val="22"/>
        </w:rPr>
        <w:t>of new government and private funded institutions and increased intake in existing institutions.</w:t>
      </w:r>
    </w:p>
    <w:p>
      <w:pPr>
        <w:pStyle w:val="ListParagraph"/>
        <w:numPr>
          <w:ilvl w:val="0"/>
          <w:numId w:val="69"/>
        </w:numPr>
        <w:tabs>
          <w:tab w:pos="679" w:val="left" w:leader="none"/>
        </w:tabs>
        <w:spacing w:line="266" w:lineRule="auto" w:before="0" w:after="0"/>
        <w:ind w:left="679" w:right="1078" w:hanging="360"/>
        <w:jc w:val="both"/>
        <w:rPr>
          <w:sz w:val="22"/>
        </w:rPr>
      </w:pPr>
      <w:r>
        <w:rPr>
          <w:spacing w:val="-8"/>
          <w:sz w:val="22"/>
        </w:rPr>
        <w:t>Reduce</w:t>
      </w:r>
      <w:r>
        <w:rPr>
          <w:spacing w:val="-3"/>
          <w:sz w:val="22"/>
        </w:rPr>
        <w:t> </w:t>
      </w:r>
      <w:r>
        <w:rPr>
          <w:spacing w:val="-8"/>
          <w:sz w:val="22"/>
        </w:rPr>
        <w:t>disparities</w:t>
      </w:r>
      <w:r>
        <w:rPr>
          <w:spacing w:val="-3"/>
          <w:sz w:val="22"/>
        </w:rPr>
        <w:t> </w:t>
      </w:r>
      <w:r>
        <w:rPr>
          <w:spacing w:val="-8"/>
          <w:sz w:val="22"/>
        </w:rPr>
        <w:t>based</w:t>
      </w:r>
      <w:r>
        <w:rPr>
          <w:spacing w:val="-3"/>
          <w:sz w:val="22"/>
        </w:rPr>
        <w:t> </w:t>
      </w:r>
      <w:r>
        <w:rPr>
          <w:spacing w:val="-8"/>
          <w:sz w:val="22"/>
        </w:rPr>
        <w:t>on</w:t>
      </w:r>
      <w:r>
        <w:rPr>
          <w:spacing w:val="-3"/>
          <w:sz w:val="22"/>
        </w:rPr>
        <w:t> </w:t>
      </w:r>
      <w:r>
        <w:rPr>
          <w:spacing w:val="-8"/>
          <w:sz w:val="22"/>
        </w:rPr>
        <w:t>gender,</w:t>
      </w:r>
      <w:r>
        <w:rPr>
          <w:spacing w:val="-3"/>
          <w:sz w:val="22"/>
        </w:rPr>
        <w:t> </w:t>
      </w:r>
      <w:r>
        <w:rPr>
          <w:spacing w:val="-8"/>
          <w:sz w:val="22"/>
        </w:rPr>
        <w:t>caste,</w:t>
      </w:r>
      <w:r>
        <w:rPr>
          <w:spacing w:val="-3"/>
          <w:sz w:val="22"/>
        </w:rPr>
        <w:t> </w:t>
      </w:r>
      <w:r>
        <w:rPr>
          <w:spacing w:val="-8"/>
          <w:sz w:val="22"/>
        </w:rPr>
        <w:t>region</w:t>
      </w:r>
      <w:r>
        <w:rPr>
          <w:spacing w:val="-3"/>
          <w:sz w:val="22"/>
        </w:rPr>
        <w:t> </w:t>
      </w:r>
      <w:r>
        <w:rPr>
          <w:spacing w:val="-8"/>
          <w:sz w:val="22"/>
        </w:rPr>
        <w:t>etc. </w:t>
      </w:r>
      <w:r>
        <w:rPr>
          <w:sz w:val="22"/>
        </w:rPr>
        <w:t>through differential support.</w:t>
      </w:r>
    </w:p>
    <w:p>
      <w:pPr>
        <w:pStyle w:val="ListParagraph"/>
        <w:numPr>
          <w:ilvl w:val="0"/>
          <w:numId w:val="69"/>
        </w:numPr>
        <w:tabs>
          <w:tab w:pos="679" w:val="left" w:leader="none"/>
        </w:tabs>
        <w:spacing w:line="266" w:lineRule="auto" w:before="0" w:after="0"/>
        <w:ind w:left="679" w:right="1077" w:hanging="360"/>
        <w:jc w:val="both"/>
        <w:rPr>
          <w:sz w:val="22"/>
        </w:rPr>
      </w:pPr>
      <w:r>
        <w:rPr>
          <w:spacing w:val="-2"/>
          <w:sz w:val="22"/>
        </w:rPr>
        <w:t>Establish</w:t>
      </w:r>
      <w:r>
        <w:rPr>
          <w:spacing w:val="-11"/>
          <w:sz w:val="22"/>
        </w:rPr>
        <w:t> </w:t>
      </w:r>
      <w:r>
        <w:rPr>
          <w:spacing w:val="-2"/>
          <w:sz w:val="22"/>
        </w:rPr>
        <w:t>30</w:t>
      </w:r>
      <w:r>
        <w:rPr>
          <w:spacing w:val="-11"/>
          <w:sz w:val="22"/>
        </w:rPr>
        <w:t> </w:t>
      </w:r>
      <w:r>
        <w:rPr>
          <w:spacing w:val="-2"/>
          <w:sz w:val="22"/>
        </w:rPr>
        <w:t>new</w:t>
      </w:r>
      <w:r>
        <w:rPr>
          <w:spacing w:val="-11"/>
          <w:sz w:val="22"/>
        </w:rPr>
        <w:t> </w:t>
      </w:r>
      <w:r>
        <w:rPr>
          <w:spacing w:val="-2"/>
          <w:sz w:val="22"/>
        </w:rPr>
        <w:t>Central</w:t>
      </w:r>
      <w:r>
        <w:rPr>
          <w:spacing w:val="-11"/>
          <w:sz w:val="22"/>
        </w:rPr>
        <w:t> </w:t>
      </w:r>
      <w:r>
        <w:rPr>
          <w:spacing w:val="-2"/>
          <w:sz w:val="22"/>
        </w:rPr>
        <w:t>Universities,</w:t>
      </w:r>
      <w:r>
        <w:rPr>
          <w:spacing w:val="-11"/>
          <w:sz w:val="22"/>
        </w:rPr>
        <w:t> </w:t>
      </w:r>
      <w:r>
        <w:rPr>
          <w:spacing w:val="-2"/>
          <w:sz w:val="22"/>
        </w:rPr>
        <w:t>16</w:t>
      </w:r>
      <w:r>
        <w:rPr>
          <w:spacing w:val="-11"/>
          <w:sz w:val="22"/>
        </w:rPr>
        <w:t> </w:t>
      </w:r>
      <w:r>
        <w:rPr>
          <w:spacing w:val="-2"/>
          <w:sz w:val="22"/>
        </w:rPr>
        <w:t>in</w:t>
      </w:r>
      <w:r>
        <w:rPr>
          <w:spacing w:val="-11"/>
          <w:sz w:val="22"/>
        </w:rPr>
        <w:t> </w:t>
      </w:r>
      <w:r>
        <w:rPr>
          <w:spacing w:val="-2"/>
          <w:sz w:val="22"/>
        </w:rPr>
        <w:t>States </w:t>
      </w:r>
      <w:r>
        <w:rPr>
          <w:sz w:val="22"/>
        </w:rPr>
        <w:t>where they do not exist and 14 as World Class Universities</w:t>
      </w:r>
      <w:r>
        <w:rPr>
          <w:spacing w:val="-7"/>
          <w:sz w:val="22"/>
        </w:rPr>
        <w:t> </w:t>
      </w:r>
      <w:r>
        <w:rPr>
          <w:sz w:val="22"/>
        </w:rPr>
        <w:t>(all</w:t>
      </w:r>
      <w:r>
        <w:rPr>
          <w:spacing w:val="-7"/>
          <w:sz w:val="22"/>
        </w:rPr>
        <w:t> </w:t>
      </w:r>
      <w:r>
        <w:rPr>
          <w:sz w:val="22"/>
        </w:rPr>
        <w:t>India</w:t>
      </w:r>
      <w:r>
        <w:rPr>
          <w:spacing w:val="-7"/>
          <w:sz w:val="22"/>
        </w:rPr>
        <w:t> </w:t>
      </w:r>
      <w:r>
        <w:rPr>
          <w:sz w:val="22"/>
        </w:rPr>
        <w:t>admissions,</w:t>
      </w:r>
      <w:r>
        <w:rPr>
          <w:spacing w:val="-7"/>
          <w:sz w:val="22"/>
        </w:rPr>
        <w:t> </w:t>
      </w:r>
      <w:r>
        <w:rPr>
          <w:sz w:val="22"/>
        </w:rPr>
        <w:t>course</w:t>
      </w:r>
      <w:r>
        <w:rPr>
          <w:spacing w:val="-7"/>
          <w:sz w:val="22"/>
        </w:rPr>
        <w:t> </w:t>
      </w:r>
      <w:r>
        <w:rPr>
          <w:sz w:val="22"/>
        </w:rPr>
        <w:t>credits, </w:t>
      </w:r>
      <w:r>
        <w:rPr>
          <w:w w:val="90"/>
          <w:sz w:val="22"/>
        </w:rPr>
        <w:t>regular syllabi revision, incentives for faculty, strong </w:t>
      </w:r>
      <w:r>
        <w:rPr>
          <w:sz w:val="22"/>
        </w:rPr>
        <w:t>linkage with industry and research institutions, no affiliated colleges, outsource non teaching </w:t>
      </w:r>
      <w:r>
        <w:rPr>
          <w:spacing w:val="-2"/>
          <w:sz w:val="22"/>
        </w:rPr>
        <w:t>functions).</w:t>
      </w:r>
    </w:p>
    <w:p>
      <w:pPr>
        <w:pStyle w:val="ListParagraph"/>
        <w:numPr>
          <w:ilvl w:val="0"/>
          <w:numId w:val="69"/>
        </w:numPr>
        <w:tabs>
          <w:tab w:pos="679" w:val="left" w:leader="none"/>
        </w:tabs>
        <w:spacing w:line="266" w:lineRule="auto" w:before="0" w:after="0"/>
        <w:ind w:left="679" w:right="1078" w:hanging="360"/>
        <w:jc w:val="both"/>
        <w:rPr>
          <w:sz w:val="22"/>
        </w:rPr>
      </w:pPr>
      <w:r>
        <w:rPr>
          <w:sz w:val="22"/>
        </w:rPr>
        <w:t>Establish 8 new IITs, 7 new IIMs, 10 new </w:t>
      </w:r>
      <w:r>
        <w:rPr>
          <w:sz w:val="22"/>
        </w:rPr>
        <w:t>NITs, 3 IISERs, 20 IIITs and 2 new SPAs.</w:t>
      </w:r>
    </w:p>
    <w:p>
      <w:pPr>
        <w:pStyle w:val="ListParagraph"/>
        <w:numPr>
          <w:ilvl w:val="0"/>
          <w:numId w:val="69"/>
        </w:numPr>
        <w:tabs>
          <w:tab w:pos="679" w:val="left" w:leader="none"/>
        </w:tabs>
        <w:spacing w:line="266" w:lineRule="auto" w:before="0" w:after="0"/>
        <w:ind w:left="679" w:right="1078" w:hanging="360"/>
        <w:jc w:val="both"/>
        <w:rPr>
          <w:sz w:val="22"/>
        </w:rPr>
      </w:pPr>
      <w:r>
        <w:rPr>
          <w:sz w:val="22"/>
        </w:rPr>
        <w:t>Provide flexibility to universities to raise </w:t>
      </w:r>
      <w:r>
        <w:rPr>
          <w:sz w:val="22"/>
        </w:rPr>
        <w:t>fees accompanied by scholarships, fellowships and student loans.</w:t>
      </w:r>
    </w:p>
    <w:p>
      <w:pPr>
        <w:pStyle w:val="ListParagraph"/>
        <w:numPr>
          <w:ilvl w:val="0"/>
          <w:numId w:val="69"/>
        </w:numPr>
        <w:tabs>
          <w:tab w:pos="679" w:val="left" w:leader="none"/>
        </w:tabs>
        <w:spacing w:line="266" w:lineRule="auto" w:before="0" w:after="0"/>
        <w:ind w:left="679" w:right="1078" w:hanging="360"/>
        <w:jc w:val="both"/>
        <w:rPr>
          <w:sz w:val="22"/>
        </w:rPr>
      </w:pPr>
      <w:r>
        <w:rPr>
          <w:w w:val="90"/>
          <w:sz w:val="22"/>
        </w:rPr>
        <w:t>Establish a National Science &amp; Engineering </w:t>
      </w:r>
      <w:r>
        <w:rPr>
          <w:w w:val="90"/>
          <w:sz w:val="22"/>
        </w:rPr>
        <w:t>Research </w:t>
      </w:r>
      <w:r>
        <w:rPr>
          <w:spacing w:val="-2"/>
          <w:sz w:val="22"/>
        </w:rPr>
        <w:t>Board</w:t>
      </w:r>
      <w:r>
        <w:rPr>
          <w:spacing w:val="-7"/>
          <w:sz w:val="22"/>
        </w:rPr>
        <w:t> </w:t>
      </w:r>
      <w:r>
        <w:rPr>
          <w:spacing w:val="-2"/>
          <w:sz w:val="22"/>
        </w:rPr>
        <w:t>for</w:t>
      </w:r>
      <w:r>
        <w:rPr>
          <w:spacing w:val="-7"/>
          <w:sz w:val="22"/>
        </w:rPr>
        <w:t> </w:t>
      </w:r>
      <w:r>
        <w:rPr>
          <w:spacing w:val="-2"/>
          <w:sz w:val="22"/>
        </w:rPr>
        <w:t>rejuvenation</w:t>
      </w:r>
      <w:r>
        <w:rPr>
          <w:spacing w:val="-7"/>
          <w:sz w:val="22"/>
        </w:rPr>
        <w:t> </w:t>
      </w:r>
      <w:r>
        <w:rPr>
          <w:spacing w:val="-2"/>
          <w:sz w:val="22"/>
        </w:rPr>
        <w:t>of</w:t>
      </w:r>
      <w:r>
        <w:rPr>
          <w:spacing w:val="-7"/>
          <w:sz w:val="22"/>
        </w:rPr>
        <w:t> </w:t>
      </w:r>
      <w:r>
        <w:rPr>
          <w:spacing w:val="-2"/>
          <w:sz w:val="22"/>
        </w:rPr>
        <w:t>research</w:t>
      </w:r>
      <w:r>
        <w:rPr>
          <w:spacing w:val="-7"/>
          <w:sz w:val="22"/>
        </w:rPr>
        <w:t> </w:t>
      </w:r>
      <w:r>
        <w:rPr>
          <w:spacing w:val="-2"/>
          <w:sz w:val="22"/>
        </w:rPr>
        <w:t>in</w:t>
      </w:r>
      <w:r>
        <w:rPr>
          <w:spacing w:val="-7"/>
          <w:sz w:val="22"/>
        </w:rPr>
        <w:t> </w:t>
      </w:r>
      <w:r>
        <w:rPr>
          <w:spacing w:val="-2"/>
          <w:sz w:val="22"/>
        </w:rPr>
        <w:t>Universities.</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Launch a national Mission in education </w:t>
      </w:r>
      <w:r>
        <w:rPr>
          <w:sz w:val="22"/>
        </w:rPr>
        <w:t>through ICT</w:t>
      </w:r>
      <w:r>
        <w:rPr>
          <w:spacing w:val="-8"/>
          <w:sz w:val="22"/>
        </w:rPr>
        <w:t> </w:t>
      </w:r>
      <w:r>
        <w:rPr>
          <w:sz w:val="22"/>
        </w:rPr>
        <w:t>coverage</w:t>
      </w:r>
      <w:r>
        <w:rPr>
          <w:spacing w:val="-8"/>
          <w:sz w:val="22"/>
        </w:rPr>
        <w:t> </w:t>
      </w:r>
      <w:r>
        <w:rPr>
          <w:sz w:val="22"/>
        </w:rPr>
        <w:t>in</w:t>
      </w:r>
      <w:r>
        <w:rPr>
          <w:spacing w:val="-8"/>
          <w:sz w:val="22"/>
        </w:rPr>
        <w:t> </w:t>
      </w:r>
      <w:r>
        <w:rPr>
          <w:sz w:val="22"/>
        </w:rPr>
        <w:t>all</w:t>
      </w:r>
      <w:r>
        <w:rPr>
          <w:spacing w:val="-8"/>
          <w:sz w:val="22"/>
        </w:rPr>
        <w:t> </w:t>
      </w:r>
      <w:r>
        <w:rPr>
          <w:sz w:val="22"/>
        </w:rPr>
        <w:t>the</w:t>
      </w:r>
      <w:r>
        <w:rPr>
          <w:spacing w:val="-8"/>
          <w:sz w:val="22"/>
        </w:rPr>
        <w:t> </w:t>
      </w:r>
      <w:r>
        <w:rPr>
          <w:sz w:val="22"/>
        </w:rPr>
        <w:t>Universities</w:t>
      </w:r>
      <w:r>
        <w:rPr>
          <w:spacing w:val="-8"/>
          <w:sz w:val="22"/>
        </w:rPr>
        <w:t> </w:t>
      </w:r>
      <w:r>
        <w:rPr>
          <w:sz w:val="22"/>
        </w:rPr>
        <w:t>and</w:t>
      </w:r>
      <w:r>
        <w:rPr>
          <w:spacing w:val="-8"/>
          <w:sz w:val="22"/>
        </w:rPr>
        <w:t> </w:t>
      </w:r>
      <w:r>
        <w:rPr>
          <w:sz w:val="22"/>
        </w:rPr>
        <w:t>colleges; broadband connectivity through National Knowledge Network and requisite nodes within institutions; to be implemented through an Empowered Committee.</w:t>
      </w:r>
    </w:p>
    <w:p>
      <w:pPr>
        <w:pStyle w:val="ListParagraph"/>
        <w:numPr>
          <w:ilvl w:val="0"/>
          <w:numId w:val="69"/>
        </w:numPr>
        <w:tabs>
          <w:tab w:pos="679" w:val="left" w:leader="none"/>
        </w:tabs>
        <w:spacing w:line="266" w:lineRule="auto" w:before="0" w:after="0"/>
        <w:ind w:left="679" w:right="1078" w:hanging="360"/>
        <w:jc w:val="both"/>
        <w:rPr>
          <w:sz w:val="22"/>
        </w:rPr>
      </w:pPr>
      <w:r>
        <w:rPr>
          <w:spacing w:val="-6"/>
          <w:sz w:val="22"/>
        </w:rPr>
        <w:t>Revitalise and reform polytechnics through industry </w:t>
      </w:r>
      <w:r>
        <w:rPr>
          <w:sz w:val="22"/>
        </w:rPr>
        <w:t>linkage and teacher development, establish </w:t>
      </w:r>
      <w:r>
        <w:rPr>
          <w:sz w:val="22"/>
        </w:rPr>
        <w:t>210 community colleges and 700 polytechnics.</w:t>
      </w:r>
    </w:p>
    <w:p>
      <w:pPr>
        <w:pStyle w:val="ListParagraph"/>
        <w:numPr>
          <w:ilvl w:val="0"/>
          <w:numId w:val="69"/>
        </w:numPr>
        <w:tabs>
          <w:tab w:pos="678" w:val="left" w:leader="none"/>
        </w:tabs>
        <w:spacing w:line="251" w:lineRule="exact" w:before="0" w:after="0"/>
        <w:ind w:left="678" w:right="0" w:hanging="359"/>
        <w:jc w:val="both"/>
        <w:rPr>
          <w:sz w:val="22"/>
        </w:rPr>
      </w:pPr>
      <w:r>
        <w:rPr>
          <w:spacing w:val="-4"/>
          <w:sz w:val="22"/>
        </w:rPr>
        <w:t>Strengthen</w:t>
      </w:r>
      <w:r>
        <w:rPr>
          <w:spacing w:val="2"/>
          <w:sz w:val="22"/>
        </w:rPr>
        <w:t> </w:t>
      </w:r>
      <w:r>
        <w:rPr>
          <w:spacing w:val="-4"/>
          <w:sz w:val="22"/>
        </w:rPr>
        <w:t>Open</w:t>
      </w:r>
      <w:r>
        <w:rPr>
          <w:spacing w:val="2"/>
          <w:sz w:val="22"/>
        </w:rPr>
        <w:t> </w:t>
      </w:r>
      <w:r>
        <w:rPr>
          <w:spacing w:val="-4"/>
          <w:sz w:val="22"/>
        </w:rPr>
        <w:t>Universities</w:t>
      </w:r>
      <w:r>
        <w:rPr>
          <w:spacing w:val="2"/>
          <w:sz w:val="22"/>
        </w:rPr>
        <w:t> </w:t>
      </w:r>
      <w:r>
        <w:rPr>
          <w:spacing w:val="-4"/>
          <w:sz w:val="22"/>
        </w:rPr>
        <w:t>and</w:t>
      </w:r>
      <w:r>
        <w:rPr>
          <w:spacing w:val="2"/>
          <w:sz w:val="22"/>
        </w:rPr>
        <w:t> </w:t>
      </w:r>
      <w:r>
        <w:rPr>
          <w:spacing w:val="-4"/>
          <w:sz w:val="22"/>
        </w:rPr>
        <w:t>reform</w:t>
      </w:r>
      <w:r>
        <w:rPr>
          <w:spacing w:val="2"/>
          <w:sz w:val="22"/>
        </w:rPr>
        <w:t> </w:t>
      </w:r>
      <w:r>
        <w:rPr>
          <w:spacing w:val="-4"/>
          <w:sz w:val="22"/>
        </w:rPr>
        <w:t>statutory</w:t>
      </w:r>
    </w:p>
    <w:p>
      <w:pPr>
        <w:spacing w:after="0" w:line="251" w:lineRule="exact"/>
        <w:jc w:val="both"/>
        <w:rPr>
          <w:sz w:val="22"/>
        </w:rPr>
        <w:sectPr>
          <w:pgSz w:w="11910" w:h="16840"/>
          <w:pgMar w:header="0" w:footer="675" w:top="960" w:bottom="860" w:left="0" w:right="0"/>
          <w:cols w:num="2" w:equalWidth="0">
            <w:col w:w="5774" w:space="40"/>
            <w:col w:w="6096"/>
          </w:cols>
        </w:sectPr>
      </w:pPr>
    </w:p>
    <w:p>
      <w:pPr>
        <w:pStyle w:val="BodyText"/>
        <w:spacing w:line="266" w:lineRule="auto" w:before="77"/>
        <w:ind w:left="1440"/>
      </w:pPr>
      <w:r>
        <w:rPr>
          <w:spacing w:val="-4"/>
        </w:rPr>
        <w:t>bodies,</w:t>
      </w:r>
      <w:r>
        <w:rPr>
          <w:spacing w:val="-8"/>
        </w:rPr>
        <w:t> </w:t>
      </w:r>
      <w:r>
        <w:rPr>
          <w:spacing w:val="-4"/>
        </w:rPr>
        <w:t>scale</w:t>
      </w:r>
      <w:r>
        <w:rPr>
          <w:spacing w:val="-8"/>
        </w:rPr>
        <w:t> </w:t>
      </w:r>
      <w:r>
        <w:rPr>
          <w:spacing w:val="-4"/>
        </w:rPr>
        <w:t>up</w:t>
      </w:r>
      <w:r>
        <w:rPr>
          <w:spacing w:val="-8"/>
        </w:rPr>
        <w:t> </w:t>
      </w:r>
      <w:r>
        <w:rPr>
          <w:spacing w:val="-4"/>
        </w:rPr>
        <w:t>SAKSHAT</w:t>
      </w:r>
      <w:r>
        <w:rPr>
          <w:spacing w:val="-8"/>
        </w:rPr>
        <w:t> </w:t>
      </w:r>
      <w:r>
        <w:rPr>
          <w:spacing w:val="-4"/>
        </w:rPr>
        <w:t>as</w:t>
      </w:r>
      <w:r>
        <w:rPr>
          <w:spacing w:val="-8"/>
        </w:rPr>
        <w:t> </w:t>
      </w:r>
      <w:r>
        <w:rPr>
          <w:spacing w:val="-4"/>
        </w:rPr>
        <w:t>the</w:t>
      </w:r>
      <w:r>
        <w:rPr>
          <w:spacing w:val="-8"/>
        </w:rPr>
        <w:t> </w:t>
      </w:r>
      <w:r>
        <w:rPr>
          <w:spacing w:val="-4"/>
        </w:rPr>
        <w:t>education</w:t>
      </w:r>
      <w:r>
        <w:rPr>
          <w:spacing w:val="-8"/>
        </w:rPr>
        <w:t> </w:t>
      </w:r>
      <w:r>
        <w:rPr>
          <w:spacing w:val="-4"/>
        </w:rPr>
        <w:t>portal </w:t>
      </w:r>
      <w:r>
        <w:rPr/>
        <w:t>for 50 crore people.</w:t>
      </w:r>
    </w:p>
    <w:p>
      <w:pPr>
        <w:pStyle w:val="Heading7"/>
        <w:spacing w:before="241"/>
        <w:ind w:left="1080"/>
      </w:pPr>
      <w:r>
        <w:rPr>
          <w:color w:val="2E614A"/>
          <w:spacing w:val="-4"/>
          <w:w w:val="90"/>
        </w:rPr>
        <w:t>Libraries</w:t>
      </w:r>
      <w:r>
        <w:rPr>
          <w:color w:val="2E614A"/>
          <w:spacing w:val="-5"/>
        </w:rPr>
        <w:t> </w:t>
      </w:r>
      <w:r>
        <w:rPr>
          <w:color w:val="2E614A"/>
          <w:spacing w:val="-4"/>
          <w:w w:val="90"/>
        </w:rPr>
        <w:t>(Volume</w:t>
      </w:r>
      <w:r>
        <w:rPr>
          <w:color w:val="2E614A"/>
          <w:spacing w:val="-4"/>
        </w:rPr>
        <w:t> </w:t>
      </w:r>
      <w:r>
        <w:rPr>
          <w:color w:val="2E614A"/>
          <w:spacing w:val="-4"/>
          <w:w w:val="90"/>
        </w:rPr>
        <w:t>II:</w:t>
      </w:r>
      <w:r>
        <w:rPr>
          <w:color w:val="2E614A"/>
          <w:spacing w:val="-4"/>
        </w:rPr>
        <w:t> </w:t>
      </w:r>
      <w:r>
        <w:rPr>
          <w:color w:val="2E614A"/>
          <w:spacing w:val="-4"/>
          <w:w w:val="90"/>
        </w:rPr>
        <w:t>Social</w:t>
      </w:r>
      <w:r>
        <w:rPr>
          <w:color w:val="2E614A"/>
          <w:spacing w:val="-4"/>
        </w:rPr>
        <w:t> </w:t>
      </w:r>
      <w:r>
        <w:rPr>
          <w:color w:val="2E614A"/>
          <w:spacing w:val="-4"/>
          <w:w w:val="90"/>
        </w:rPr>
        <w:t>Sector)</w:t>
      </w:r>
    </w:p>
    <w:p>
      <w:pPr>
        <w:pStyle w:val="BodyText"/>
        <w:rPr>
          <w:b/>
          <w:sz w:val="26"/>
        </w:rPr>
      </w:pPr>
    </w:p>
    <w:p>
      <w:pPr>
        <w:pStyle w:val="ListParagraph"/>
        <w:numPr>
          <w:ilvl w:val="1"/>
          <w:numId w:val="69"/>
        </w:numPr>
        <w:tabs>
          <w:tab w:pos="1440" w:val="left" w:leader="none"/>
        </w:tabs>
        <w:spacing w:line="266" w:lineRule="auto" w:before="0" w:after="0"/>
        <w:ind w:left="1440" w:right="1" w:hanging="360"/>
        <w:jc w:val="both"/>
        <w:rPr>
          <w:sz w:val="22"/>
        </w:rPr>
      </w:pPr>
      <w:r>
        <w:rPr>
          <w:sz w:val="22"/>
        </w:rPr>
        <w:t>Develop Public Libraries including Rural </w:t>
      </w:r>
      <w:r>
        <w:rPr>
          <w:sz w:val="22"/>
        </w:rPr>
        <w:t>Public </w:t>
      </w:r>
      <w:r>
        <w:rPr>
          <w:spacing w:val="-2"/>
          <w:sz w:val="22"/>
        </w:rPr>
        <w:t>Libraries.</w:t>
      </w:r>
    </w:p>
    <w:p>
      <w:pPr>
        <w:pStyle w:val="ListParagraph"/>
        <w:numPr>
          <w:ilvl w:val="1"/>
          <w:numId w:val="69"/>
        </w:numPr>
        <w:tabs>
          <w:tab w:pos="1439" w:val="left" w:leader="none"/>
        </w:tabs>
        <w:spacing w:line="266" w:lineRule="auto" w:before="0" w:after="0"/>
        <w:ind w:left="1439" w:right="0" w:hanging="360"/>
        <w:jc w:val="both"/>
        <w:rPr>
          <w:sz w:val="22"/>
        </w:rPr>
      </w:pPr>
      <w:r>
        <w:rPr>
          <w:sz w:val="22"/>
        </w:rPr>
        <w:t>Special collections</w:t>
      </w:r>
      <w:r>
        <w:rPr>
          <w:spacing w:val="-1"/>
          <w:sz w:val="22"/>
        </w:rPr>
        <w:t> </w:t>
      </w:r>
      <w:r>
        <w:rPr>
          <w:sz w:val="22"/>
        </w:rPr>
        <w:t>and technological</w:t>
      </w:r>
      <w:r>
        <w:rPr>
          <w:spacing w:val="-1"/>
          <w:sz w:val="22"/>
        </w:rPr>
        <w:t> </w:t>
      </w:r>
      <w:r>
        <w:rPr>
          <w:sz w:val="22"/>
        </w:rPr>
        <w:t>support </w:t>
      </w:r>
      <w:r>
        <w:rPr>
          <w:sz w:val="22"/>
        </w:rPr>
        <w:t>for visually</w:t>
      </w:r>
      <w:r>
        <w:rPr>
          <w:spacing w:val="-5"/>
          <w:sz w:val="22"/>
        </w:rPr>
        <w:t> </w:t>
      </w:r>
      <w:r>
        <w:rPr>
          <w:sz w:val="22"/>
        </w:rPr>
        <w:t>challenged</w:t>
      </w:r>
      <w:r>
        <w:rPr>
          <w:spacing w:val="-5"/>
          <w:sz w:val="22"/>
        </w:rPr>
        <w:t> </w:t>
      </w:r>
      <w:r>
        <w:rPr>
          <w:sz w:val="22"/>
        </w:rPr>
        <w:t>and</w:t>
      </w:r>
      <w:r>
        <w:rPr>
          <w:spacing w:val="-5"/>
          <w:sz w:val="22"/>
        </w:rPr>
        <w:t> </w:t>
      </w:r>
      <w:r>
        <w:rPr>
          <w:sz w:val="22"/>
        </w:rPr>
        <w:t>hearing</w:t>
      </w:r>
      <w:r>
        <w:rPr>
          <w:spacing w:val="-5"/>
          <w:sz w:val="22"/>
        </w:rPr>
        <w:t> </w:t>
      </w:r>
      <w:r>
        <w:rPr>
          <w:sz w:val="22"/>
        </w:rPr>
        <w:t>impaired.</w:t>
      </w:r>
    </w:p>
    <w:p>
      <w:pPr>
        <w:pStyle w:val="Heading7"/>
        <w:spacing w:before="239"/>
        <w:ind w:left="1080"/>
      </w:pPr>
      <w:r>
        <w:rPr>
          <w:color w:val="2E614A"/>
          <w:w w:val="90"/>
        </w:rPr>
        <w:t>Translation</w:t>
      </w:r>
      <w:r>
        <w:rPr>
          <w:color w:val="2E614A"/>
          <w:spacing w:val="-4"/>
        </w:rPr>
        <w:t> </w:t>
      </w:r>
      <w:r>
        <w:rPr>
          <w:color w:val="2E614A"/>
          <w:w w:val="90"/>
        </w:rPr>
        <w:t>(Volume</w:t>
      </w:r>
      <w:r>
        <w:rPr>
          <w:color w:val="2E614A"/>
          <w:spacing w:val="-3"/>
        </w:rPr>
        <w:t> </w:t>
      </w:r>
      <w:r>
        <w:rPr>
          <w:color w:val="2E614A"/>
          <w:w w:val="90"/>
        </w:rPr>
        <w:t>II:</w:t>
      </w:r>
      <w:r>
        <w:rPr>
          <w:color w:val="2E614A"/>
          <w:spacing w:val="-3"/>
        </w:rPr>
        <w:t> </w:t>
      </w:r>
      <w:r>
        <w:rPr>
          <w:color w:val="2E614A"/>
          <w:w w:val="90"/>
        </w:rPr>
        <w:t>Social</w:t>
      </w:r>
      <w:r>
        <w:rPr>
          <w:color w:val="2E614A"/>
          <w:spacing w:val="-4"/>
        </w:rPr>
        <w:t> </w:t>
      </w:r>
      <w:r>
        <w:rPr>
          <w:color w:val="2E614A"/>
          <w:spacing w:val="-2"/>
          <w:w w:val="90"/>
        </w:rPr>
        <w:t>Sector)</w:t>
      </w:r>
    </w:p>
    <w:p>
      <w:pPr>
        <w:pStyle w:val="ListParagraph"/>
        <w:numPr>
          <w:ilvl w:val="1"/>
          <w:numId w:val="69"/>
        </w:numPr>
        <w:tabs>
          <w:tab w:pos="1439" w:val="left" w:leader="none"/>
        </w:tabs>
        <w:spacing w:line="266" w:lineRule="auto" w:before="298" w:after="0"/>
        <w:ind w:left="1439" w:right="0" w:hanging="360"/>
        <w:jc w:val="both"/>
        <w:rPr>
          <w:sz w:val="22"/>
        </w:rPr>
      </w:pPr>
      <w:r>
        <w:rPr>
          <w:sz w:val="22"/>
        </w:rPr>
        <w:t>A National Translation Mission for </w:t>
      </w:r>
      <w:r>
        <w:rPr>
          <w:sz w:val="22"/>
        </w:rPr>
        <w:t>promoting </w:t>
      </w:r>
      <w:r>
        <w:rPr>
          <w:spacing w:val="-2"/>
          <w:sz w:val="22"/>
        </w:rPr>
        <w:t>Translator</w:t>
      </w:r>
      <w:r>
        <w:rPr>
          <w:spacing w:val="-14"/>
          <w:sz w:val="22"/>
        </w:rPr>
        <w:t> </w:t>
      </w:r>
      <w:r>
        <w:rPr>
          <w:spacing w:val="-2"/>
          <w:sz w:val="22"/>
        </w:rPr>
        <w:t>education</w:t>
      </w:r>
      <w:r>
        <w:rPr>
          <w:spacing w:val="-12"/>
          <w:sz w:val="22"/>
        </w:rPr>
        <w:t> </w:t>
      </w:r>
      <w:r>
        <w:rPr>
          <w:spacing w:val="-2"/>
          <w:sz w:val="22"/>
        </w:rPr>
        <w:t>including</w:t>
      </w:r>
      <w:r>
        <w:rPr>
          <w:spacing w:val="-12"/>
          <w:sz w:val="22"/>
        </w:rPr>
        <w:t> </w:t>
      </w:r>
      <w:r>
        <w:rPr>
          <w:spacing w:val="-2"/>
          <w:sz w:val="22"/>
        </w:rPr>
        <w:t>specialised</w:t>
      </w:r>
      <w:r>
        <w:rPr>
          <w:spacing w:val="-11"/>
          <w:sz w:val="22"/>
        </w:rPr>
        <w:t> </w:t>
      </w:r>
      <w:r>
        <w:rPr>
          <w:spacing w:val="-2"/>
          <w:sz w:val="22"/>
        </w:rPr>
        <w:t>courses </w:t>
      </w:r>
      <w:r>
        <w:rPr>
          <w:sz w:val="22"/>
        </w:rPr>
        <w:t>in translation technology.</w:t>
      </w:r>
    </w:p>
    <w:p>
      <w:pPr>
        <w:pStyle w:val="ListParagraph"/>
        <w:numPr>
          <w:ilvl w:val="1"/>
          <w:numId w:val="69"/>
        </w:numPr>
        <w:tabs>
          <w:tab w:pos="1440" w:val="left" w:leader="none"/>
        </w:tabs>
        <w:spacing w:line="266" w:lineRule="auto" w:before="0" w:after="0"/>
        <w:ind w:left="1440" w:right="1" w:hanging="360"/>
        <w:jc w:val="both"/>
        <w:rPr>
          <w:sz w:val="22"/>
        </w:rPr>
      </w:pPr>
      <w:r>
        <w:rPr>
          <w:spacing w:val="-2"/>
          <w:sz w:val="22"/>
        </w:rPr>
        <w:t>Translate</w:t>
      </w:r>
      <w:r>
        <w:rPr>
          <w:spacing w:val="-7"/>
          <w:sz w:val="22"/>
        </w:rPr>
        <w:t> </w:t>
      </w:r>
      <w:r>
        <w:rPr>
          <w:spacing w:val="-2"/>
          <w:sz w:val="22"/>
        </w:rPr>
        <w:t>at</w:t>
      </w:r>
      <w:r>
        <w:rPr>
          <w:spacing w:val="-7"/>
          <w:sz w:val="22"/>
        </w:rPr>
        <w:t> </w:t>
      </w:r>
      <w:r>
        <w:rPr>
          <w:spacing w:val="-2"/>
          <w:sz w:val="22"/>
        </w:rPr>
        <w:t>least</w:t>
      </w:r>
      <w:r>
        <w:rPr>
          <w:spacing w:val="-7"/>
          <w:sz w:val="22"/>
        </w:rPr>
        <w:t> </w:t>
      </w:r>
      <w:r>
        <w:rPr>
          <w:spacing w:val="-2"/>
          <w:sz w:val="22"/>
        </w:rPr>
        <w:t>five</w:t>
      </w:r>
      <w:r>
        <w:rPr>
          <w:spacing w:val="-7"/>
          <w:sz w:val="22"/>
        </w:rPr>
        <w:t> </w:t>
      </w:r>
      <w:r>
        <w:rPr>
          <w:spacing w:val="-2"/>
          <w:sz w:val="22"/>
        </w:rPr>
        <w:t>good</w:t>
      </w:r>
      <w:r>
        <w:rPr>
          <w:spacing w:val="-7"/>
          <w:sz w:val="22"/>
        </w:rPr>
        <w:t> </w:t>
      </w:r>
      <w:r>
        <w:rPr>
          <w:spacing w:val="-2"/>
          <w:sz w:val="22"/>
        </w:rPr>
        <w:t>literary</w:t>
      </w:r>
      <w:r>
        <w:rPr>
          <w:spacing w:val="-7"/>
          <w:sz w:val="22"/>
        </w:rPr>
        <w:t> </w:t>
      </w:r>
      <w:r>
        <w:rPr>
          <w:spacing w:val="-2"/>
          <w:sz w:val="22"/>
        </w:rPr>
        <w:t>works</w:t>
      </w:r>
      <w:r>
        <w:rPr>
          <w:spacing w:val="-7"/>
          <w:sz w:val="22"/>
        </w:rPr>
        <w:t> </w:t>
      </w:r>
      <w:r>
        <w:rPr>
          <w:spacing w:val="-2"/>
          <w:sz w:val="22"/>
        </w:rPr>
        <w:t>in</w:t>
      </w:r>
      <w:r>
        <w:rPr>
          <w:spacing w:val="-7"/>
          <w:sz w:val="22"/>
        </w:rPr>
        <w:t> </w:t>
      </w:r>
      <w:r>
        <w:rPr>
          <w:spacing w:val="-2"/>
          <w:sz w:val="22"/>
        </w:rPr>
        <w:t>every </w:t>
      </w:r>
      <w:r>
        <w:rPr>
          <w:sz w:val="22"/>
        </w:rPr>
        <w:t>language into all other major languages.</w:t>
      </w:r>
    </w:p>
    <w:p>
      <w:pPr>
        <w:pStyle w:val="BodyText"/>
      </w:pPr>
    </w:p>
    <w:p>
      <w:pPr>
        <w:pStyle w:val="Heading7"/>
        <w:spacing w:line="225" w:lineRule="auto" w:before="1"/>
        <w:ind w:left="1080"/>
        <w:jc w:val="both"/>
      </w:pPr>
      <w:r>
        <w:rPr>
          <w:color w:val="2E614A"/>
        </w:rPr>
        <w:t>Legislative framework for public </w:t>
      </w:r>
      <w:r>
        <w:rPr>
          <w:color w:val="2E614A"/>
        </w:rPr>
        <w:t>funded </w:t>
      </w:r>
      <w:r>
        <w:rPr>
          <w:color w:val="2E614A"/>
          <w:spacing w:val="-6"/>
        </w:rPr>
        <w:t>research</w:t>
      </w:r>
      <w:r>
        <w:rPr>
          <w:color w:val="2E614A"/>
          <w:spacing w:val="-9"/>
        </w:rPr>
        <w:t> </w:t>
      </w:r>
      <w:r>
        <w:rPr>
          <w:color w:val="2E614A"/>
          <w:spacing w:val="-6"/>
        </w:rPr>
        <w:t>(Volume</w:t>
      </w:r>
      <w:r>
        <w:rPr>
          <w:color w:val="2E614A"/>
          <w:spacing w:val="-9"/>
        </w:rPr>
        <w:t> </w:t>
      </w:r>
      <w:r>
        <w:rPr>
          <w:color w:val="2E614A"/>
          <w:spacing w:val="-6"/>
        </w:rPr>
        <w:t>II:</w:t>
      </w:r>
      <w:r>
        <w:rPr>
          <w:color w:val="2E614A"/>
          <w:spacing w:val="-9"/>
        </w:rPr>
        <w:t> </w:t>
      </w:r>
      <w:r>
        <w:rPr>
          <w:color w:val="2E614A"/>
          <w:spacing w:val="-6"/>
        </w:rPr>
        <w:t>Social</w:t>
      </w:r>
      <w:r>
        <w:rPr>
          <w:color w:val="2E614A"/>
          <w:spacing w:val="-9"/>
        </w:rPr>
        <w:t> </w:t>
      </w:r>
      <w:r>
        <w:rPr>
          <w:color w:val="2E614A"/>
          <w:spacing w:val="-6"/>
        </w:rPr>
        <w:t>Sector)</w:t>
      </w:r>
    </w:p>
    <w:p>
      <w:pPr>
        <w:pStyle w:val="BodyText"/>
        <w:spacing w:before="1"/>
        <w:rPr>
          <w:b/>
          <w:sz w:val="26"/>
        </w:rPr>
      </w:pPr>
    </w:p>
    <w:p>
      <w:pPr>
        <w:pStyle w:val="BodyText"/>
        <w:spacing w:line="266" w:lineRule="auto"/>
        <w:ind w:left="1080"/>
        <w:jc w:val="both"/>
      </w:pPr>
      <w:r>
        <w:rPr>
          <w:spacing w:val="-4"/>
        </w:rPr>
        <w:t>There</w:t>
      </w:r>
      <w:r>
        <w:rPr>
          <w:spacing w:val="-10"/>
        </w:rPr>
        <w:t> </w:t>
      </w:r>
      <w:r>
        <w:rPr>
          <w:spacing w:val="-4"/>
        </w:rPr>
        <w:t>is</w:t>
      </w:r>
      <w:r>
        <w:rPr>
          <w:spacing w:val="-10"/>
        </w:rPr>
        <w:t> </w:t>
      </w:r>
      <w:r>
        <w:rPr>
          <w:spacing w:val="-4"/>
        </w:rPr>
        <w:t>a</w:t>
      </w:r>
      <w:r>
        <w:rPr>
          <w:spacing w:val="-10"/>
        </w:rPr>
        <w:t> </w:t>
      </w:r>
      <w:r>
        <w:rPr>
          <w:spacing w:val="-4"/>
        </w:rPr>
        <w:t>need</w:t>
      </w:r>
      <w:r>
        <w:rPr>
          <w:spacing w:val="-9"/>
        </w:rPr>
        <w:t> </w:t>
      </w:r>
      <w:r>
        <w:rPr>
          <w:spacing w:val="-4"/>
        </w:rPr>
        <w:t>for</w:t>
      </w:r>
      <w:r>
        <w:rPr>
          <w:spacing w:val="-10"/>
        </w:rPr>
        <w:t> </w:t>
      </w:r>
      <w:r>
        <w:rPr>
          <w:spacing w:val="-4"/>
        </w:rPr>
        <w:t>an</w:t>
      </w:r>
      <w:r>
        <w:rPr>
          <w:spacing w:val="-10"/>
        </w:rPr>
        <w:t> </w:t>
      </w:r>
      <w:r>
        <w:rPr>
          <w:spacing w:val="-4"/>
        </w:rPr>
        <w:t>appropriate</w:t>
      </w:r>
      <w:r>
        <w:rPr>
          <w:spacing w:val="-10"/>
        </w:rPr>
        <w:t> </w:t>
      </w:r>
      <w:r>
        <w:rPr>
          <w:spacing w:val="-4"/>
        </w:rPr>
        <w:t>legislative</w:t>
      </w:r>
      <w:r>
        <w:rPr>
          <w:spacing w:val="-9"/>
        </w:rPr>
        <w:t> </w:t>
      </w:r>
      <w:r>
        <w:rPr>
          <w:spacing w:val="-4"/>
        </w:rPr>
        <w:t>framework </w:t>
      </w:r>
      <w:r>
        <w:rPr/>
        <w:t>for incentivising innovators and </w:t>
      </w:r>
      <w:r>
        <w:rPr/>
        <w:t>commercialisation</w:t>
      </w:r>
      <w:r>
        <w:rPr>
          <w:spacing w:val="40"/>
        </w:rPr>
        <w:t> </w:t>
      </w:r>
      <w:r>
        <w:rPr/>
        <w:t>of public funded R&amp;D where the Government, the recipients of funds, the inventor as well as the public benefit from the protection and commercialisation</w:t>
      </w:r>
      <w:r>
        <w:rPr>
          <w:spacing w:val="80"/>
        </w:rPr>
        <w:t> </w:t>
      </w:r>
      <w:r>
        <w:rPr/>
        <w:t>of IP.</w:t>
      </w:r>
    </w:p>
    <w:p>
      <w:pPr>
        <w:pStyle w:val="Heading7"/>
        <w:spacing w:line="225" w:lineRule="auto" w:before="84"/>
        <w:ind w:right="2287"/>
      </w:pPr>
      <w:r>
        <w:rPr>
          <w:b w:val="0"/>
        </w:rPr>
        <w:br w:type="column"/>
      </w:r>
      <w:r>
        <w:rPr>
          <w:color w:val="2E614A"/>
          <w:w w:val="90"/>
        </w:rPr>
        <w:t>Traditional health </w:t>
      </w:r>
      <w:r>
        <w:rPr>
          <w:color w:val="2E614A"/>
          <w:w w:val="90"/>
        </w:rPr>
        <w:t>systems (Volume</w:t>
      </w:r>
      <w:r>
        <w:rPr>
          <w:color w:val="2E614A"/>
          <w:spacing w:val="-1"/>
        </w:rPr>
        <w:t> </w:t>
      </w:r>
      <w:r>
        <w:rPr>
          <w:color w:val="2E614A"/>
          <w:w w:val="90"/>
        </w:rPr>
        <w:t>II:</w:t>
      </w:r>
      <w:r>
        <w:rPr>
          <w:color w:val="2E614A"/>
        </w:rPr>
        <w:t> </w:t>
      </w:r>
      <w:r>
        <w:rPr>
          <w:color w:val="2E614A"/>
          <w:w w:val="90"/>
        </w:rPr>
        <w:t>Social</w:t>
      </w:r>
      <w:r>
        <w:rPr>
          <w:color w:val="2E614A"/>
          <w:spacing w:val="-1"/>
        </w:rPr>
        <w:t> </w:t>
      </w:r>
      <w:r>
        <w:rPr>
          <w:color w:val="2E614A"/>
          <w:spacing w:val="-2"/>
          <w:w w:val="90"/>
        </w:rPr>
        <w:t>Sector)</w:t>
      </w:r>
    </w:p>
    <w:p>
      <w:pPr>
        <w:pStyle w:val="BodyText"/>
        <w:spacing w:before="1"/>
        <w:rPr>
          <w:b/>
          <w:sz w:val="26"/>
        </w:rPr>
      </w:pPr>
    </w:p>
    <w:p>
      <w:pPr>
        <w:pStyle w:val="BodyText"/>
        <w:spacing w:line="266" w:lineRule="auto"/>
        <w:ind w:left="319" w:right="1077"/>
        <w:jc w:val="both"/>
      </w:pPr>
      <w:r>
        <w:rPr>
          <w:spacing w:val="-4"/>
        </w:rPr>
        <w:t>The</w:t>
      </w:r>
      <w:r>
        <w:rPr>
          <w:spacing w:val="-10"/>
        </w:rPr>
        <w:t> </w:t>
      </w:r>
      <w:r>
        <w:rPr>
          <w:spacing w:val="-4"/>
        </w:rPr>
        <w:t>Plan</w:t>
      </w:r>
      <w:r>
        <w:rPr>
          <w:spacing w:val="-9"/>
        </w:rPr>
        <w:t> </w:t>
      </w:r>
      <w:r>
        <w:rPr>
          <w:spacing w:val="-4"/>
        </w:rPr>
        <w:t>recognises</w:t>
      </w:r>
      <w:r>
        <w:rPr>
          <w:spacing w:val="-10"/>
        </w:rPr>
        <w:t> </w:t>
      </w:r>
      <w:r>
        <w:rPr>
          <w:spacing w:val="-4"/>
        </w:rPr>
        <w:t>that</w:t>
      </w:r>
      <w:r>
        <w:rPr>
          <w:spacing w:val="-9"/>
        </w:rPr>
        <w:t> </w:t>
      </w:r>
      <w:r>
        <w:rPr>
          <w:spacing w:val="-4"/>
        </w:rPr>
        <w:t>no</w:t>
      </w:r>
      <w:r>
        <w:rPr>
          <w:spacing w:val="-10"/>
        </w:rPr>
        <w:t> </w:t>
      </w:r>
      <w:r>
        <w:rPr>
          <w:spacing w:val="-4"/>
        </w:rPr>
        <w:t>single</w:t>
      </w:r>
      <w:r>
        <w:rPr>
          <w:spacing w:val="-9"/>
        </w:rPr>
        <w:t> </w:t>
      </w:r>
      <w:r>
        <w:rPr>
          <w:spacing w:val="-4"/>
        </w:rPr>
        <w:t>system</w:t>
      </w:r>
      <w:r>
        <w:rPr>
          <w:spacing w:val="-10"/>
        </w:rPr>
        <w:t> </w:t>
      </w:r>
      <w:r>
        <w:rPr>
          <w:spacing w:val="-4"/>
        </w:rPr>
        <w:t>of</w:t>
      </w:r>
      <w:r>
        <w:rPr>
          <w:spacing w:val="-9"/>
        </w:rPr>
        <w:t> </w:t>
      </w:r>
      <w:r>
        <w:rPr>
          <w:spacing w:val="-4"/>
        </w:rPr>
        <w:t>health</w:t>
      </w:r>
      <w:r>
        <w:rPr>
          <w:spacing w:val="-10"/>
        </w:rPr>
        <w:t> </w:t>
      </w:r>
      <w:r>
        <w:rPr>
          <w:spacing w:val="-4"/>
        </w:rPr>
        <w:t>care </w:t>
      </w:r>
      <w:r>
        <w:rPr>
          <w:spacing w:val="-6"/>
        </w:rPr>
        <w:t>has</w:t>
      </w:r>
      <w:r>
        <w:rPr>
          <w:spacing w:val="-7"/>
        </w:rPr>
        <w:t> </w:t>
      </w:r>
      <w:r>
        <w:rPr>
          <w:spacing w:val="-6"/>
        </w:rPr>
        <w:t>the</w:t>
      </w:r>
      <w:r>
        <w:rPr>
          <w:spacing w:val="-7"/>
        </w:rPr>
        <w:t> </w:t>
      </w:r>
      <w:r>
        <w:rPr>
          <w:spacing w:val="-6"/>
        </w:rPr>
        <w:t>capacity</w:t>
      </w:r>
      <w:r>
        <w:rPr>
          <w:spacing w:val="-7"/>
        </w:rPr>
        <w:t> </w:t>
      </w:r>
      <w:r>
        <w:rPr>
          <w:spacing w:val="-6"/>
        </w:rPr>
        <w:t>to</w:t>
      </w:r>
      <w:r>
        <w:rPr>
          <w:spacing w:val="-7"/>
        </w:rPr>
        <w:t> </w:t>
      </w:r>
      <w:r>
        <w:rPr>
          <w:spacing w:val="-6"/>
        </w:rPr>
        <w:t>solve</w:t>
      </w:r>
      <w:r>
        <w:rPr>
          <w:spacing w:val="-7"/>
        </w:rPr>
        <w:t> </w:t>
      </w:r>
      <w:r>
        <w:rPr>
          <w:spacing w:val="-6"/>
        </w:rPr>
        <w:t>all</w:t>
      </w:r>
      <w:r>
        <w:rPr>
          <w:spacing w:val="-7"/>
        </w:rPr>
        <w:t> </w:t>
      </w:r>
      <w:r>
        <w:rPr>
          <w:spacing w:val="-6"/>
        </w:rPr>
        <w:t>of</w:t>
      </w:r>
      <w:r>
        <w:rPr>
          <w:spacing w:val="-7"/>
        </w:rPr>
        <w:t> </w:t>
      </w:r>
      <w:r>
        <w:rPr>
          <w:spacing w:val="-6"/>
        </w:rPr>
        <w:t>the</w:t>
      </w:r>
      <w:r>
        <w:rPr>
          <w:spacing w:val="-7"/>
        </w:rPr>
        <w:t> </w:t>
      </w:r>
      <w:r>
        <w:rPr>
          <w:spacing w:val="-6"/>
        </w:rPr>
        <w:t>society’s</w:t>
      </w:r>
      <w:r>
        <w:rPr>
          <w:spacing w:val="-7"/>
        </w:rPr>
        <w:t> </w:t>
      </w:r>
      <w:r>
        <w:rPr>
          <w:spacing w:val="-6"/>
        </w:rPr>
        <w:t>health</w:t>
      </w:r>
      <w:r>
        <w:rPr>
          <w:spacing w:val="-7"/>
        </w:rPr>
        <w:t> </w:t>
      </w:r>
      <w:r>
        <w:rPr>
          <w:spacing w:val="-6"/>
        </w:rPr>
        <w:t>needs. </w:t>
      </w:r>
      <w:r>
        <w:rPr/>
        <w:t>It lays special thrust on strengthening professional </w:t>
      </w:r>
      <w:r>
        <w:rPr>
          <w:w w:val="90"/>
        </w:rPr>
        <w:t>education, strategic research programs, promotion of best </w:t>
      </w:r>
      <w:r>
        <w:rPr/>
        <w:t>clinical</w:t>
      </w:r>
      <w:r>
        <w:rPr>
          <w:spacing w:val="-14"/>
        </w:rPr>
        <w:t> </w:t>
      </w:r>
      <w:r>
        <w:rPr/>
        <w:t>practices,</w:t>
      </w:r>
      <w:r>
        <w:rPr>
          <w:spacing w:val="-14"/>
        </w:rPr>
        <w:t> </w:t>
      </w:r>
      <w:r>
        <w:rPr/>
        <w:t>technology</w:t>
      </w:r>
      <w:r>
        <w:rPr>
          <w:spacing w:val="-14"/>
        </w:rPr>
        <w:t> </w:t>
      </w:r>
      <w:r>
        <w:rPr/>
        <w:t>upgradation</w:t>
      </w:r>
      <w:r>
        <w:rPr>
          <w:spacing w:val="-13"/>
        </w:rPr>
        <w:t> </w:t>
      </w:r>
      <w:r>
        <w:rPr/>
        <w:t>in</w:t>
      </w:r>
      <w:r>
        <w:rPr>
          <w:spacing w:val="-14"/>
        </w:rPr>
        <w:t> </w:t>
      </w:r>
      <w:r>
        <w:rPr/>
        <w:t>industry, setting internationally acceptable pharmacopeial </w:t>
      </w:r>
      <w:r>
        <w:rPr>
          <w:spacing w:val="-6"/>
        </w:rPr>
        <w:t>standards, conserving medicinal flora, fauna, metals and </w:t>
      </w:r>
      <w:r>
        <w:rPr/>
        <w:t>minerals,</w:t>
      </w:r>
      <w:r>
        <w:rPr>
          <w:spacing w:val="-10"/>
        </w:rPr>
        <w:t> </w:t>
      </w:r>
      <w:r>
        <w:rPr/>
        <w:t>utilising</w:t>
      </w:r>
      <w:r>
        <w:rPr>
          <w:spacing w:val="-10"/>
        </w:rPr>
        <w:t> </w:t>
      </w:r>
      <w:r>
        <w:rPr/>
        <w:t>human</w:t>
      </w:r>
      <w:r>
        <w:rPr>
          <w:spacing w:val="-10"/>
        </w:rPr>
        <w:t> </w:t>
      </w:r>
      <w:r>
        <w:rPr/>
        <w:t>resources</w:t>
      </w:r>
      <w:r>
        <w:rPr>
          <w:spacing w:val="-10"/>
        </w:rPr>
        <w:t> </w:t>
      </w:r>
      <w:r>
        <w:rPr/>
        <w:t>of</w:t>
      </w:r>
      <w:r>
        <w:rPr>
          <w:spacing w:val="-10"/>
        </w:rPr>
        <w:t> </w:t>
      </w:r>
      <w:r>
        <w:rPr/>
        <w:t>AYUSH</w:t>
      </w:r>
      <w:r>
        <w:rPr>
          <w:spacing w:val="-10"/>
        </w:rPr>
        <w:t> </w:t>
      </w:r>
      <w:r>
        <w:rPr/>
        <w:t>in</w:t>
      </w:r>
      <w:r>
        <w:rPr>
          <w:spacing w:val="-10"/>
        </w:rPr>
        <w:t> </w:t>
      </w:r>
      <w:r>
        <w:rPr/>
        <w:t>the </w:t>
      </w:r>
      <w:r>
        <w:rPr>
          <w:spacing w:val="-2"/>
        </w:rPr>
        <w:t>National</w:t>
      </w:r>
      <w:r>
        <w:rPr>
          <w:spacing w:val="-7"/>
        </w:rPr>
        <w:t> </w:t>
      </w:r>
      <w:r>
        <w:rPr>
          <w:spacing w:val="-2"/>
        </w:rPr>
        <w:t>health</w:t>
      </w:r>
      <w:r>
        <w:rPr>
          <w:spacing w:val="-7"/>
        </w:rPr>
        <w:t> </w:t>
      </w:r>
      <w:r>
        <w:rPr>
          <w:spacing w:val="-2"/>
        </w:rPr>
        <w:t>programs</w:t>
      </w:r>
      <w:r>
        <w:rPr>
          <w:spacing w:val="-7"/>
        </w:rPr>
        <w:t> </w:t>
      </w:r>
      <w:r>
        <w:rPr>
          <w:spacing w:val="-2"/>
        </w:rPr>
        <w:t>and</w:t>
      </w:r>
      <w:r>
        <w:rPr>
          <w:spacing w:val="-7"/>
        </w:rPr>
        <w:t> </w:t>
      </w:r>
      <w:r>
        <w:rPr>
          <w:spacing w:val="-2"/>
        </w:rPr>
        <w:t>strengthening</w:t>
      </w:r>
      <w:r>
        <w:rPr>
          <w:spacing w:val="-7"/>
        </w:rPr>
        <w:t> </w:t>
      </w:r>
      <w:r>
        <w:rPr>
          <w:spacing w:val="-2"/>
        </w:rPr>
        <w:t>IPRs</w:t>
      </w:r>
      <w:r>
        <w:rPr>
          <w:spacing w:val="-7"/>
        </w:rPr>
        <w:t> </w:t>
      </w:r>
      <w:r>
        <w:rPr>
          <w:spacing w:val="-2"/>
        </w:rPr>
        <w:t>with the</w:t>
      </w:r>
      <w:r>
        <w:rPr>
          <w:spacing w:val="-9"/>
        </w:rPr>
        <w:t> </w:t>
      </w:r>
      <w:r>
        <w:rPr>
          <w:spacing w:val="-2"/>
        </w:rPr>
        <w:t>ultimate</w:t>
      </w:r>
      <w:r>
        <w:rPr>
          <w:spacing w:val="-9"/>
        </w:rPr>
        <w:t> </w:t>
      </w:r>
      <w:r>
        <w:rPr>
          <w:spacing w:val="-2"/>
        </w:rPr>
        <w:t>aim</w:t>
      </w:r>
      <w:r>
        <w:rPr>
          <w:spacing w:val="-9"/>
        </w:rPr>
        <w:t> </w:t>
      </w:r>
      <w:r>
        <w:rPr>
          <w:spacing w:val="-2"/>
        </w:rPr>
        <w:t>of</w:t>
      </w:r>
      <w:r>
        <w:rPr>
          <w:spacing w:val="-9"/>
        </w:rPr>
        <w:t> </w:t>
      </w:r>
      <w:r>
        <w:rPr>
          <w:spacing w:val="-2"/>
        </w:rPr>
        <w:t>enhancing</w:t>
      </w:r>
      <w:r>
        <w:rPr>
          <w:spacing w:val="-9"/>
        </w:rPr>
        <w:t> </w:t>
      </w:r>
      <w:r>
        <w:rPr>
          <w:spacing w:val="-2"/>
        </w:rPr>
        <w:t>the</w:t>
      </w:r>
      <w:r>
        <w:rPr>
          <w:spacing w:val="-9"/>
        </w:rPr>
        <w:t> </w:t>
      </w:r>
      <w:r>
        <w:rPr>
          <w:spacing w:val="-2"/>
        </w:rPr>
        <w:t>outreach</w:t>
      </w:r>
      <w:r>
        <w:rPr>
          <w:spacing w:val="-9"/>
        </w:rPr>
        <w:t> </w:t>
      </w:r>
      <w:r>
        <w:rPr>
          <w:spacing w:val="-2"/>
        </w:rPr>
        <w:t>of</w:t>
      </w:r>
      <w:r>
        <w:rPr>
          <w:spacing w:val="-9"/>
        </w:rPr>
        <w:t> </w:t>
      </w:r>
      <w:r>
        <w:rPr>
          <w:spacing w:val="-2"/>
        </w:rPr>
        <w:t>AYUSH health</w:t>
      </w:r>
      <w:r>
        <w:rPr>
          <w:spacing w:val="-9"/>
        </w:rPr>
        <w:t> </w:t>
      </w:r>
      <w:r>
        <w:rPr>
          <w:spacing w:val="-2"/>
        </w:rPr>
        <w:t>care</w:t>
      </w:r>
      <w:r>
        <w:rPr>
          <w:spacing w:val="-9"/>
        </w:rPr>
        <w:t> </w:t>
      </w:r>
      <w:r>
        <w:rPr>
          <w:spacing w:val="-2"/>
        </w:rPr>
        <w:t>in</w:t>
      </w:r>
      <w:r>
        <w:rPr>
          <w:spacing w:val="-9"/>
        </w:rPr>
        <w:t> </w:t>
      </w:r>
      <w:r>
        <w:rPr>
          <w:spacing w:val="-2"/>
        </w:rPr>
        <w:t>an</w:t>
      </w:r>
      <w:r>
        <w:rPr>
          <w:spacing w:val="-9"/>
        </w:rPr>
        <w:t> </w:t>
      </w:r>
      <w:r>
        <w:rPr>
          <w:spacing w:val="-2"/>
        </w:rPr>
        <w:t>accessible,</w:t>
      </w:r>
      <w:r>
        <w:rPr>
          <w:spacing w:val="-9"/>
        </w:rPr>
        <w:t> </w:t>
      </w:r>
      <w:r>
        <w:rPr>
          <w:spacing w:val="-2"/>
        </w:rPr>
        <w:t>acceptable,</w:t>
      </w:r>
      <w:r>
        <w:rPr>
          <w:spacing w:val="-9"/>
        </w:rPr>
        <w:t> </w:t>
      </w:r>
      <w:r>
        <w:rPr>
          <w:spacing w:val="-2"/>
        </w:rPr>
        <w:t>affordable</w:t>
      </w:r>
      <w:r>
        <w:rPr>
          <w:spacing w:val="-9"/>
        </w:rPr>
        <w:t> </w:t>
      </w:r>
      <w:r>
        <w:rPr>
          <w:spacing w:val="-2"/>
        </w:rPr>
        <w:t>and </w:t>
      </w:r>
      <w:r>
        <w:rPr/>
        <w:t>qualitative manner.</w:t>
      </w:r>
    </w:p>
    <w:p>
      <w:pPr>
        <w:pStyle w:val="Heading7"/>
        <w:spacing w:line="225" w:lineRule="auto" w:before="248"/>
        <w:ind w:right="2287"/>
      </w:pPr>
      <w:r>
        <w:rPr>
          <w:color w:val="2E614A"/>
          <w:spacing w:val="-2"/>
        </w:rPr>
        <w:t>Intellectual</w:t>
      </w:r>
      <w:r>
        <w:rPr>
          <w:color w:val="2E614A"/>
          <w:spacing w:val="-15"/>
        </w:rPr>
        <w:t> </w:t>
      </w:r>
      <w:r>
        <w:rPr>
          <w:color w:val="2E614A"/>
          <w:spacing w:val="-2"/>
        </w:rPr>
        <w:t>property</w:t>
      </w:r>
      <w:r>
        <w:rPr>
          <w:color w:val="2E614A"/>
          <w:spacing w:val="-14"/>
        </w:rPr>
        <w:t> </w:t>
      </w:r>
      <w:r>
        <w:rPr>
          <w:color w:val="2E614A"/>
          <w:spacing w:val="-2"/>
        </w:rPr>
        <w:t>rights </w:t>
      </w:r>
      <w:r>
        <w:rPr>
          <w:color w:val="2E614A"/>
          <w:spacing w:val="-10"/>
        </w:rPr>
        <w:t>(Volume</w:t>
      </w:r>
      <w:r>
        <w:rPr>
          <w:color w:val="2E614A"/>
          <w:spacing w:val="-7"/>
        </w:rPr>
        <w:t> </w:t>
      </w:r>
      <w:r>
        <w:rPr>
          <w:color w:val="2E614A"/>
          <w:spacing w:val="-10"/>
        </w:rPr>
        <w:t>III:</w:t>
      </w:r>
      <w:r>
        <w:rPr>
          <w:color w:val="2E614A"/>
          <w:spacing w:val="-6"/>
        </w:rPr>
        <w:t> </w:t>
      </w:r>
      <w:r>
        <w:rPr>
          <w:color w:val="2E614A"/>
          <w:spacing w:val="-10"/>
        </w:rPr>
        <w:t>Economic</w:t>
      </w:r>
      <w:r>
        <w:rPr>
          <w:color w:val="2E614A"/>
          <w:spacing w:val="-6"/>
        </w:rPr>
        <w:t> </w:t>
      </w:r>
      <w:r>
        <w:rPr>
          <w:color w:val="2E614A"/>
          <w:spacing w:val="-10"/>
        </w:rPr>
        <w:t>Sector)</w:t>
      </w:r>
    </w:p>
    <w:p>
      <w:pPr>
        <w:pStyle w:val="BodyText"/>
        <w:spacing w:before="1"/>
        <w:rPr>
          <w:b/>
          <w:sz w:val="26"/>
        </w:rPr>
      </w:pPr>
    </w:p>
    <w:p>
      <w:pPr>
        <w:pStyle w:val="ListParagraph"/>
        <w:numPr>
          <w:ilvl w:val="0"/>
          <w:numId w:val="69"/>
        </w:numPr>
        <w:tabs>
          <w:tab w:pos="679" w:val="left" w:leader="none"/>
        </w:tabs>
        <w:spacing w:line="266" w:lineRule="auto" w:before="1" w:after="0"/>
        <w:ind w:left="679" w:right="1077" w:hanging="360"/>
        <w:jc w:val="both"/>
        <w:rPr>
          <w:sz w:val="22"/>
        </w:rPr>
      </w:pPr>
      <w:r>
        <w:rPr>
          <w:sz w:val="22"/>
        </w:rPr>
        <w:t>Undertake the second phase of modernisation </w:t>
      </w:r>
      <w:r>
        <w:rPr>
          <w:sz w:val="22"/>
        </w:rPr>
        <w:t>of </w:t>
      </w:r>
      <w:r>
        <w:rPr>
          <w:spacing w:val="-2"/>
          <w:sz w:val="22"/>
        </w:rPr>
        <w:t>IP</w:t>
      </w:r>
      <w:r>
        <w:rPr>
          <w:spacing w:val="-8"/>
          <w:sz w:val="22"/>
        </w:rPr>
        <w:t> </w:t>
      </w:r>
      <w:r>
        <w:rPr>
          <w:spacing w:val="-2"/>
          <w:sz w:val="22"/>
        </w:rPr>
        <w:t>offices</w:t>
      </w:r>
      <w:r>
        <w:rPr>
          <w:spacing w:val="-8"/>
          <w:sz w:val="22"/>
        </w:rPr>
        <w:t> </w:t>
      </w:r>
      <w:r>
        <w:rPr>
          <w:spacing w:val="-2"/>
          <w:sz w:val="22"/>
        </w:rPr>
        <w:t>to</w:t>
      </w:r>
      <w:r>
        <w:rPr>
          <w:spacing w:val="-8"/>
          <w:sz w:val="22"/>
        </w:rPr>
        <w:t> </w:t>
      </w:r>
      <w:r>
        <w:rPr>
          <w:spacing w:val="-2"/>
          <w:sz w:val="22"/>
        </w:rPr>
        <w:t>address</w:t>
      </w:r>
      <w:r>
        <w:rPr>
          <w:spacing w:val="-8"/>
          <w:sz w:val="22"/>
        </w:rPr>
        <w:t> </w:t>
      </w:r>
      <w:r>
        <w:rPr>
          <w:spacing w:val="-2"/>
          <w:sz w:val="22"/>
        </w:rPr>
        <w:t>the</w:t>
      </w:r>
      <w:r>
        <w:rPr>
          <w:spacing w:val="-8"/>
          <w:sz w:val="22"/>
        </w:rPr>
        <w:t> </w:t>
      </w:r>
      <w:r>
        <w:rPr>
          <w:spacing w:val="-2"/>
          <w:sz w:val="22"/>
        </w:rPr>
        <w:t>needs</w:t>
      </w:r>
      <w:r>
        <w:rPr>
          <w:spacing w:val="-8"/>
          <w:sz w:val="22"/>
        </w:rPr>
        <w:t> </w:t>
      </w:r>
      <w:r>
        <w:rPr>
          <w:spacing w:val="-2"/>
          <w:sz w:val="22"/>
        </w:rPr>
        <w:t>of</w:t>
      </w:r>
      <w:r>
        <w:rPr>
          <w:spacing w:val="-8"/>
          <w:sz w:val="22"/>
        </w:rPr>
        <w:t> </w:t>
      </w:r>
      <w:r>
        <w:rPr>
          <w:spacing w:val="-2"/>
          <w:sz w:val="22"/>
        </w:rPr>
        <w:t>human</w:t>
      </w:r>
      <w:r>
        <w:rPr>
          <w:spacing w:val="-8"/>
          <w:sz w:val="22"/>
        </w:rPr>
        <w:t> </w:t>
      </w:r>
      <w:r>
        <w:rPr>
          <w:spacing w:val="-2"/>
          <w:sz w:val="22"/>
        </w:rPr>
        <w:t>resources </w:t>
      </w:r>
      <w:r>
        <w:rPr>
          <w:sz w:val="22"/>
        </w:rPr>
        <w:t>development, training and awareness and also infrastructure besides regular updating of the IT </w:t>
      </w:r>
      <w:r>
        <w:rPr>
          <w:spacing w:val="-2"/>
          <w:sz w:val="22"/>
        </w:rPr>
        <w:t>facilities.</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Indian IPO would be made an </w:t>
      </w:r>
      <w:r>
        <w:rPr>
          <w:sz w:val="22"/>
        </w:rPr>
        <w:t>International Searching Authority and an International </w:t>
      </w:r>
      <w:r>
        <w:rPr>
          <w:spacing w:val="-2"/>
          <w:sz w:val="22"/>
        </w:rPr>
        <w:t>Preliminary</w:t>
      </w:r>
      <w:r>
        <w:rPr>
          <w:spacing w:val="-12"/>
          <w:sz w:val="22"/>
        </w:rPr>
        <w:t> </w:t>
      </w:r>
      <w:r>
        <w:rPr>
          <w:spacing w:val="-2"/>
          <w:sz w:val="22"/>
        </w:rPr>
        <w:t>Examining</w:t>
      </w:r>
      <w:r>
        <w:rPr>
          <w:spacing w:val="-12"/>
          <w:sz w:val="22"/>
        </w:rPr>
        <w:t> </w:t>
      </w:r>
      <w:r>
        <w:rPr>
          <w:spacing w:val="-2"/>
          <w:sz w:val="22"/>
        </w:rPr>
        <w:t>Authority</w:t>
      </w:r>
      <w:r>
        <w:rPr>
          <w:spacing w:val="-12"/>
          <w:sz w:val="22"/>
        </w:rPr>
        <w:t> </w:t>
      </w:r>
      <w:r>
        <w:rPr>
          <w:spacing w:val="-2"/>
          <w:sz w:val="22"/>
        </w:rPr>
        <w:t>under</w:t>
      </w:r>
      <w:r>
        <w:rPr>
          <w:spacing w:val="-11"/>
          <w:sz w:val="22"/>
        </w:rPr>
        <w:t> </w:t>
      </w:r>
      <w:r>
        <w:rPr>
          <w:spacing w:val="-2"/>
          <w:sz w:val="22"/>
        </w:rPr>
        <w:t>the</w:t>
      </w:r>
      <w:r>
        <w:rPr>
          <w:spacing w:val="-12"/>
          <w:sz w:val="22"/>
        </w:rPr>
        <w:t> </w:t>
      </w:r>
      <w:r>
        <w:rPr>
          <w:spacing w:val="-2"/>
          <w:sz w:val="22"/>
        </w:rPr>
        <w:t>Patent </w:t>
      </w:r>
      <w:r>
        <w:rPr>
          <w:sz w:val="22"/>
        </w:rPr>
        <w:t>Co-operation Treaty of WIPO.</w:t>
      </w:r>
    </w:p>
    <w:p>
      <w:pPr>
        <w:spacing w:after="0" w:line="266" w:lineRule="auto"/>
        <w:jc w:val="both"/>
        <w:rPr>
          <w:sz w:val="22"/>
        </w:rPr>
        <w:sectPr>
          <w:pgSz w:w="11910" w:h="16840"/>
          <w:pgMar w:header="0" w:footer="675" w:top="94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9"/>
        <w:rPr>
          <w:sz w:val="20"/>
        </w:rPr>
      </w:pPr>
    </w:p>
    <w:p>
      <w:pPr>
        <w:spacing w:after="0"/>
        <w:rPr>
          <w:sz w:val="20"/>
        </w:rPr>
        <w:sectPr>
          <w:pgSz w:w="11910" w:h="16840"/>
          <w:pgMar w:header="0" w:footer="675" w:top="0" w:bottom="860" w:left="0" w:right="0"/>
        </w:sectPr>
      </w:pPr>
    </w:p>
    <w:p>
      <w:pPr>
        <w:pStyle w:val="Heading6"/>
        <w:spacing w:before="79"/>
        <w:ind w:left="1079" w:firstLine="0"/>
      </w:pPr>
      <w:r>
        <w:rPr/>
        <mc:AlternateContent>
          <mc:Choice Requires="wps">
            <w:drawing>
              <wp:anchor distT="0" distB="0" distL="0" distR="0" allowOverlap="1" layoutInCell="1" locked="0" behindDoc="0" simplePos="0" relativeHeight="15792128">
                <wp:simplePos x="0" y="0"/>
                <wp:positionH relativeFrom="page">
                  <wp:posOffset>0</wp:posOffset>
                </wp:positionH>
                <wp:positionV relativeFrom="paragraph">
                  <wp:posOffset>-2194855</wp:posOffset>
                </wp:positionV>
                <wp:extent cx="7560309" cy="1752600"/>
                <wp:effectExtent l="0" t="0" r="0" b="0"/>
                <wp:wrapNone/>
                <wp:docPr id="1036" name="Group 1036"/>
                <wp:cNvGraphicFramePr>
                  <a:graphicFrameLocks/>
                </wp:cNvGraphicFramePr>
                <a:graphic>
                  <a:graphicData uri="http://schemas.microsoft.com/office/word/2010/wordprocessingGroup">
                    <wpg:wgp>
                      <wpg:cNvPr id="1036" name="Group 1036"/>
                      <wpg:cNvGrpSpPr/>
                      <wpg:grpSpPr>
                        <a:xfrm>
                          <a:off x="0" y="0"/>
                          <a:ext cx="7560309" cy="1752600"/>
                          <a:chExt cx="7560309" cy="1752600"/>
                        </a:xfrm>
                      </wpg:grpSpPr>
                      <pic:pic>
                        <pic:nvPicPr>
                          <pic:cNvPr id="1037" name="Image 1037"/>
                          <pic:cNvPicPr/>
                        </pic:nvPicPr>
                        <pic:blipFill>
                          <a:blip r:embed="rId612" cstate="print"/>
                          <a:stretch>
                            <a:fillRect/>
                          </a:stretch>
                        </pic:blipFill>
                        <pic:spPr>
                          <a:xfrm>
                            <a:off x="0" y="0"/>
                            <a:ext cx="7559999" cy="1752562"/>
                          </a:xfrm>
                          <a:prstGeom prst="rect">
                            <a:avLst/>
                          </a:prstGeom>
                        </pic:spPr>
                      </pic:pic>
                      <wps:wsp>
                        <wps:cNvPr id="1038" name="Textbox 1038"/>
                        <wps:cNvSpPr txBox="1"/>
                        <wps:spPr>
                          <a:xfrm>
                            <a:off x="0" y="0"/>
                            <a:ext cx="7560309" cy="1752600"/>
                          </a:xfrm>
                          <a:prstGeom prst="rect">
                            <a:avLst/>
                          </a:prstGeom>
                        </wps:spPr>
                        <wps:txbx>
                          <w:txbxContent>
                            <w:p>
                              <w:pPr>
                                <w:spacing w:line="240" w:lineRule="auto" w:before="160"/>
                                <w:rPr>
                                  <w:sz w:val="68"/>
                                </w:rPr>
                              </w:pPr>
                            </w:p>
                            <w:p>
                              <w:pPr>
                                <w:spacing w:line="247" w:lineRule="auto" w:before="1"/>
                                <w:ind w:left="1079" w:right="0" w:firstLine="0"/>
                                <w:jc w:val="left"/>
                                <w:rPr>
                                  <w:rFonts w:ascii="Trebuchet MS"/>
                                  <w:b/>
                                  <w:sz w:val="68"/>
                                </w:rPr>
                              </w:pPr>
                              <w:r>
                                <w:rPr>
                                  <w:rFonts w:ascii="Trebuchet MS"/>
                                  <w:b/>
                                  <w:color w:val="FFFFFF"/>
                                  <w:sz w:val="68"/>
                                </w:rPr>
                                <w:t>Follow Up on NKC </w:t>
                              </w:r>
                              <w:r>
                                <w:rPr>
                                  <w:rFonts w:ascii="Trebuchet MS"/>
                                  <w:b/>
                                  <w:color w:val="FFFFFF"/>
                                  <w:spacing w:val="-2"/>
                                  <w:sz w:val="68"/>
                                </w:rPr>
                                <w:t>Recommendations</w:t>
                              </w:r>
                            </w:p>
                          </w:txbxContent>
                        </wps:txbx>
                        <wps:bodyPr wrap="square" lIns="0" tIns="0" rIns="0" bIns="0" rtlCol="0">
                          <a:noAutofit/>
                        </wps:bodyPr>
                      </wps:wsp>
                    </wpg:wgp>
                  </a:graphicData>
                </a:graphic>
              </wp:anchor>
            </w:drawing>
          </mc:Choice>
          <mc:Fallback>
            <w:pict>
              <v:group style="position:absolute;margin-left:0pt;margin-top:-172.823288pt;width:595.3pt;height:138pt;mso-position-horizontal-relative:page;mso-position-vertical-relative:paragraph;z-index:15792128" id="docshapegroup1024" coordorigin="0,-3456" coordsize="11906,2760">
                <v:shape style="position:absolute;left:0;top:-3457;width:11906;height:2760" type="#_x0000_t75" id="docshape1025" stroked="false">
                  <v:imagedata r:id="rId612" o:title=""/>
                </v:shape>
                <v:shape style="position:absolute;left:0;top:-3457;width:11906;height:2760" type="#_x0000_t202" id="docshape1026" filled="false" stroked="false">
                  <v:textbox inset="0,0,0,0">
                    <w:txbxContent>
                      <w:p>
                        <w:pPr>
                          <w:spacing w:line="240" w:lineRule="auto" w:before="160"/>
                          <w:rPr>
                            <w:sz w:val="68"/>
                          </w:rPr>
                        </w:pPr>
                      </w:p>
                      <w:p>
                        <w:pPr>
                          <w:spacing w:line="247" w:lineRule="auto" w:before="1"/>
                          <w:ind w:left="1079" w:right="0" w:firstLine="0"/>
                          <w:jc w:val="left"/>
                          <w:rPr>
                            <w:rFonts w:ascii="Trebuchet MS"/>
                            <w:b/>
                            <w:sz w:val="68"/>
                          </w:rPr>
                        </w:pPr>
                        <w:r>
                          <w:rPr>
                            <w:rFonts w:ascii="Trebuchet MS"/>
                            <w:b/>
                            <w:color w:val="FFFFFF"/>
                            <w:sz w:val="68"/>
                          </w:rPr>
                          <w:t>Follow Up on NKC </w:t>
                        </w:r>
                        <w:r>
                          <w:rPr>
                            <w:rFonts w:ascii="Trebuchet MS"/>
                            <w:b/>
                            <w:color w:val="FFFFFF"/>
                            <w:spacing w:val="-2"/>
                            <w:sz w:val="68"/>
                          </w:rPr>
                          <w:t>Recommendations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2640">
                <wp:simplePos x="0" y="0"/>
                <wp:positionH relativeFrom="page">
                  <wp:posOffset>685799</wp:posOffset>
                </wp:positionH>
                <wp:positionV relativeFrom="paragraph">
                  <wp:posOffset>363104</wp:posOffset>
                </wp:positionV>
                <wp:extent cx="446405" cy="757555"/>
                <wp:effectExtent l="0" t="0" r="0" b="0"/>
                <wp:wrapNone/>
                <wp:docPr id="1039" name="Textbox 1039"/>
                <wp:cNvGraphicFramePr>
                  <a:graphicFrameLocks/>
                </wp:cNvGraphicFramePr>
                <a:graphic>
                  <a:graphicData uri="http://schemas.microsoft.com/office/word/2010/wordprocessingShape">
                    <wps:wsp>
                      <wps:cNvPr id="1039" name="Textbox 1039"/>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3.999981pt;margin-top:28.590914pt;width:35.15pt;height:59.65pt;mso-position-horizontal-relative:page;mso-position-vertical-relative:paragraph;z-index:15792640" type="#_x0000_t202" id="docshape1027"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color w:val="2E614A"/>
          <w:spacing w:val="-2"/>
        </w:rPr>
        <w:t>Highlights</w:t>
      </w:r>
    </w:p>
    <w:p>
      <w:pPr>
        <w:pStyle w:val="BodyText"/>
        <w:spacing w:line="266" w:lineRule="auto" w:before="265"/>
        <w:ind w:left="1782"/>
        <w:jc w:val="both"/>
      </w:pPr>
      <w:r>
        <w:rPr/>
        <w:t>he</w:t>
      </w:r>
      <w:r>
        <w:rPr>
          <w:spacing w:val="40"/>
        </w:rPr>
        <w:t>  </w:t>
      </w:r>
      <w:r>
        <w:rPr/>
        <w:t>Government</w:t>
      </w:r>
      <w:r>
        <w:rPr>
          <w:spacing w:val="40"/>
        </w:rPr>
        <w:t>  </w:t>
      </w:r>
      <w:r>
        <w:rPr/>
        <w:t>has</w:t>
      </w:r>
      <w:r>
        <w:rPr>
          <w:spacing w:val="40"/>
        </w:rPr>
        <w:t>  </w:t>
      </w:r>
      <w:r>
        <w:rPr/>
        <w:t>been</w:t>
      </w:r>
      <w:r>
        <w:rPr>
          <w:spacing w:val="40"/>
        </w:rPr>
        <w:t>  </w:t>
      </w:r>
      <w:r>
        <w:rPr/>
        <w:t>committed</w:t>
      </w:r>
      <w:r>
        <w:rPr>
          <w:spacing w:val="80"/>
          <w:w w:val="150"/>
        </w:rPr>
        <w:t> </w:t>
      </w:r>
      <w:r>
        <w:rPr/>
        <w:t>to implementing the Commission’s recommendations.</w:t>
      </w:r>
      <w:r>
        <w:rPr>
          <w:spacing w:val="-14"/>
        </w:rPr>
        <w:t> </w:t>
      </w:r>
      <w:r>
        <w:rPr/>
        <w:t>The</w:t>
      </w:r>
      <w:r>
        <w:rPr>
          <w:spacing w:val="-10"/>
        </w:rPr>
        <w:t> </w:t>
      </w:r>
      <w:r>
        <w:rPr/>
        <w:t>action</w:t>
      </w:r>
      <w:r>
        <w:rPr>
          <w:spacing w:val="-8"/>
        </w:rPr>
        <w:t> </w:t>
      </w:r>
      <w:r>
        <w:rPr/>
        <w:t>taken</w:t>
      </w:r>
      <w:r>
        <w:rPr>
          <w:spacing w:val="-8"/>
        </w:rPr>
        <w:t> </w:t>
      </w:r>
      <w:r>
        <w:rPr/>
        <w:t>includes:</w:t>
      </w:r>
    </w:p>
    <w:p>
      <w:pPr>
        <w:pStyle w:val="Heading7"/>
        <w:spacing w:before="240"/>
        <w:ind w:left="1079"/>
      </w:pPr>
      <w:r>
        <w:rPr>
          <w:color w:val="2E614A"/>
          <w:spacing w:val="-4"/>
        </w:rPr>
        <w:t>Right</w:t>
      </w:r>
      <w:r>
        <w:rPr>
          <w:color w:val="2E614A"/>
          <w:spacing w:val="-10"/>
        </w:rPr>
        <w:t> </w:t>
      </w:r>
      <w:r>
        <w:rPr>
          <w:color w:val="2E614A"/>
          <w:spacing w:val="-4"/>
        </w:rPr>
        <w:t>to</w:t>
      </w:r>
      <w:r>
        <w:rPr>
          <w:color w:val="2E614A"/>
          <w:spacing w:val="-10"/>
        </w:rPr>
        <w:t> </w:t>
      </w:r>
      <w:r>
        <w:rPr>
          <w:color w:val="2E614A"/>
          <w:spacing w:val="-4"/>
        </w:rPr>
        <w:t>education</w:t>
      </w:r>
    </w:p>
    <w:p>
      <w:pPr>
        <w:pStyle w:val="ListParagraph"/>
        <w:numPr>
          <w:ilvl w:val="1"/>
          <w:numId w:val="69"/>
        </w:numPr>
        <w:tabs>
          <w:tab w:pos="1439" w:val="left" w:leader="none"/>
        </w:tabs>
        <w:spacing w:line="266" w:lineRule="auto" w:before="299" w:after="0"/>
        <w:ind w:left="1439" w:right="0" w:hanging="360"/>
        <w:jc w:val="both"/>
        <w:rPr>
          <w:sz w:val="22"/>
        </w:rPr>
      </w:pPr>
      <w:r>
        <w:rPr>
          <w:sz w:val="22"/>
        </w:rPr>
        <w:t>The Right of Children to Free and </w:t>
      </w:r>
      <w:r>
        <w:rPr>
          <w:sz w:val="22"/>
        </w:rPr>
        <w:t>Compulsory Education Bill, 2008 has been introduced in the </w:t>
      </w:r>
      <w:r>
        <w:rPr>
          <w:spacing w:val="-2"/>
          <w:sz w:val="22"/>
        </w:rPr>
        <w:t>Parliament.</w:t>
      </w:r>
    </w:p>
    <w:p>
      <w:pPr>
        <w:pStyle w:val="Heading7"/>
        <w:spacing w:before="240"/>
        <w:ind w:left="1079"/>
      </w:pPr>
      <w:r>
        <w:rPr>
          <w:color w:val="2E614A"/>
          <w:spacing w:val="-6"/>
        </w:rPr>
        <w:t>School</w:t>
      </w:r>
      <w:r>
        <w:rPr>
          <w:color w:val="2E614A"/>
          <w:spacing w:val="-8"/>
        </w:rPr>
        <w:t> </w:t>
      </w:r>
      <w:r>
        <w:rPr>
          <w:color w:val="2E614A"/>
          <w:spacing w:val="-2"/>
        </w:rPr>
        <w:t>education</w:t>
      </w:r>
    </w:p>
    <w:p>
      <w:pPr>
        <w:pStyle w:val="ListParagraph"/>
        <w:numPr>
          <w:ilvl w:val="1"/>
          <w:numId w:val="69"/>
        </w:numPr>
        <w:tabs>
          <w:tab w:pos="1439" w:val="left" w:leader="none"/>
        </w:tabs>
        <w:spacing w:line="266" w:lineRule="auto" w:before="298" w:after="0"/>
        <w:ind w:left="1439" w:right="0" w:hanging="360"/>
        <w:jc w:val="both"/>
        <w:rPr>
          <w:sz w:val="22"/>
        </w:rPr>
      </w:pPr>
      <w:r>
        <w:rPr>
          <w:spacing w:val="-6"/>
          <w:sz w:val="22"/>
        </w:rPr>
        <w:t>Under</w:t>
      </w:r>
      <w:r>
        <w:rPr>
          <w:spacing w:val="-8"/>
          <w:sz w:val="22"/>
        </w:rPr>
        <w:t> </w:t>
      </w:r>
      <w:r>
        <w:rPr>
          <w:spacing w:val="-6"/>
          <w:sz w:val="22"/>
        </w:rPr>
        <w:t>the</w:t>
      </w:r>
      <w:r>
        <w:rPr>
          <w:spacing w:val="-8"/>
          <w:sz w:val="22"/>
        </w:rPr>
        <w:t> </w:t>
      </w:r>
      <w:r>
        <w:rPr>
          <w:spacing w:val="-6"/>
          <w:sz w:val="22"/>
        </w:rPr>
        <w:t>Scheme</w:t>
      </w:r>
      <w:r>
        <w:rPr>
          <w:spacing w:val="-8"/>
          <w:sz w:val="22"/>
        </w:rPr>
        <w:t> </w:t>
      </w:r>
      <w:r>
        <w:rPr>
          <w:spacing w:val="-6"/>
          <w:sz w:val="22"/>
        </w:rPr>
        <w:t>for</w:t>
      </w:r>
      <w:r>
        <w:rPr>
          <w:spacing w:val="-7"/>
          <w:sz w:val="22"/>
        </w:rPr>
        <w:t> </w:t>
      </w:r>
      <w:r>
        <w:rPr>
          <w:spacing w:val="-6"/>
          <w:sz w:val="22"/>
        </w:rPr>
        <w:t>Universal</w:t>
      </w:r>
      <w:r>
        <w:rPr>
          <w:spacing w:val="-8"/>
          <w:sz w:val="22"/>
        </w:rPr>
        <w:t> </w:t>
      </w:r>
      <w:r>
        <w:rPr>
          <w:spacing w:val="-6"/>
          <w:sz w:val="22"/>
        </w:rPr>
        <w:t>Access</w:t>
      </w:r>
      <w:r>
        <w:rPr>
          <w:spacing w:val="-8"/>
          <w:sz w:val="22"/>
        </w:rPr>
        <w:t> </w:t>
      </w:r>
      <w:r>
        <w:rPr>
          <w:spacing w:val="-6"/>
          <w:sz w:val="22"/>
        </w:rPr>
        <w:t>and</w:t>
      </w:r>
      <w:r>
        <w:rPr>
          <w:spacing w:val="-8"/>
          <w:sz w:val="22"/>
        </w:rPr>
        <w:t> </w:t>
      </w:r>
      <w:r>
        <w:rPr>
          <w:spacing w:val="-6"/>
          <w:sz w:val="22"/>
        </w:rPr>
        <w:t>Quality </w:t>
      </w:r>
      <w:r>
        <w:rPr>
          <w:sz w:val="22"/>
        </w:rPr>
        <w:t>at</w:t>
      </w:r>
      <w:r>
        <w:rPr>
          <w:spacing w:val="-1"/>
          <w:sz w:val="22"/>
        </w:rPr>
        <w:t> </w:t>
      </w:r>
      <w:r>
        <w:rPr>
          <w:sz w:val="22"/>
        </w:rPr>
        <w:t>the</w:t>
      </w:r>
      <w:r>
        <w:rPr>
          <w:spacing w:val="-1"/>
          <w:sz w:val="22"/>
        </w:rPr>
        <w:t> </w:t>
      </w:r>
      <w:r>
        <w:rPr>
          <w:sz w:val="22"/>
        </w:rPr>
        <w:t>Secondary</w:t>
      </w:r>
      <w:r>
        <w:rPr>
          <w:spacing w:val="-1"/>
          <w:sz w:val="22"/>
        </w:rPr>
        <w:t> </w:t>
      </w:r>
      <w:r>
        <w:rPr>
          <w:sz w:val="22"/>
        </w:rPr>
        <w:t>Stage,</w:t>
      </w:r>
      <w:r>
        <w:rPr>
          <w:spacing w:val="-1"/>
          <w:sz w:val="22"/>
        </w:rPr>
        <w:t> </w:t>
      </w:r>
      <w:r>
        <w:rPr>
          <w:sz w:val="22"/>
        </w:rPr>
        <w:t>6000</w:t>
      </w:r>
      <w:r>
        <w:rPr>
          <w:spacing w:val="-1"/>
          <w:sz w:val="22"/>
        </w:rPr>
        <w:t> </w:t>
      </w:r>
      <w:r>
        <w:rPr>
          <w:sz w:val="22"/>
        </w:rPr>
        <w:t>high</w:t>
      </w:r>
      <w:r>
        <w:rPr>
          <w:spacing w:val="-1"/>
          <w:sz w:val="22"/>
        </w:rPr>
        <w:t> </w:t>
      </w:r>
      <w:r>
        <w:rPr>
          <w:sz w:val="22"/>
        </w:rPr>
        <w:t>quality</w:t>
      </w:r>
      <w:r>
        <w:rPr>
          <w:spacing w:val="-1"/>
          <w:sz w:val="22"/>
        </w:rPr>
        <w:t> </w:t>
      </w:r>
      <w:r>
        <w:rPr>
          <w:sz w:val="22"/>
        </w:rPr>
        <w:t>Model Schools</w:t>
      </w:r>
      <w:r>
        <w:rPr>
          <w:spacing w:val="-3"/>
          <w:sz w:val="22"/>
        </w:rPr>
        <w:t> </w:t>
      </w:r>
      <w:r>
        <w:rPr>
          <w:sz w:val="22"/>
        </w:rPr>
        <w:t>are</w:t>
      </w:r>
      <w:r>
        <w:rPr>
          <w:spacing w:val="-3"/>
          <w:sz w:val="22"/>
        </w:rPr>
        <w:t> </w:t>
      </w:r>
      <w:r>
        <w:rPr>
          <w:sz w:val="22"/>
        </w:rPr>
        <w:t>being</w:t>
      </w:r>
      <w:r>
        <w:rPr>
          <w:spacing w:val="-3"/>
          <w:sz w:val="22"/>
        </w:rPr>
        <w:t> </w:t>
      </w:r>
      <w:r>
        <w:rPr>
          <w:sz w:val="22"/>
        </w:rPr>
        <w:t>set</w:t>
      </w:r>
      <w:r>
        <w:rPr>
          <w:spacing w:val="-3"/>
          <w:sz w:val="22"/>
        </w:rPr>
        <w:t> </w:t>
      </w:r>
      <w:r>
        <w:rPr>
          <w:sz w:val="22"/>
        </w:rPr>
        <w:t>up,</w:t>
      </w:r>
      <w:r>
        <w:rPr>
          <w:spacing w:val="-3"/>
          <w:sz w:val="22"/>
        </w:rPr>
        <w:t> </w:t>
      </w:r>
      <w:r>
        <w:rPr>
          <w:sz w:val="22"/>
        </w:rPr>
        <w:t>with</w:t>
      </w:r>
      <w:r>
        <w:rPr>
          <w:spacing w:val="-3"/>
          <w:sz w:val="22"/>
        </w:rPr>
        <w:t> </w:t>
      </w:r>
      <w:r>
        <w:rPr>
          <w:sz w:val="22"/>
        </w:rPr>
        <w:t>at</w:t>
      </w:r>
      <w:r>
        <w:rPr>
          <w:spacing w:val="-3"/>
          <w:sz w:val="22"/>
        </w:rPr>
        <w:t> </w:t>
      </w:r>
      <w:r>
        <w:rPr>
          <w:sz w:val="22"/>
        </w:rPr>
        <w:t>least</w:t>
      </w:r>
      <w:r>
        <w:rPr>
          <w:spacing w:val="-3"/>
          <w:sz w:val="22"/>
        </w:rPr>
        <w:t> </w:t>
      </w:r>
      <w:r>
        <w:rPr>
          <w:sz w:val="22"/>
        </w:rPr>
        <w:t>one</w:t>
      </w:r>
      <w:r>
        <w:rPr>
          <w:spacing w:val="-3"/>
          <w:sz w:val="22"/>
        </w:rPr>
        <w:t> </w:t>
      </w:r>
      <w:r>
        <w:rPr>
          <w:sz w:val="22"/>
        </w:rPr>
        <w:t>school </w:t>
      </w:r>
      <w:r>
        <w:rPr>
          <w:spacing w:val="-2"/>
          <w:sz w:val="22"/>
        </w:rPr>
        <w:t>in</w:t>
      </w:r>
      <w:r>
        <w:rPr>
          <w:spacing w:val="-12"/>
          <w:sz w:val="22"/>
        </w:rPr>
        <w:t> </w:t>
      </w:r>
      <w:r>
        <w:rPr>
          <w:spacing w:val="-2"/>
          <w:sz w:val="22"/>
        </w:rPr>
        <w:t>each</w:t>
      </w:r>
      <w:r>
        <w:rPr>
          <w:spacing w:val="-12"/>
          <w:sz w:val="22"/>
        </w:rPr>
        <w:t> </w:t>
      </w:r>
      <w:r>
        <w:rPr>
          <w:spacing w:val="-2"/>
          <w:sz w:val="22"/>
        </w:rPr>
        <w:t>Block.</w:t>
      </w:r>
      <w:r>
        <w:rPr>
          <w:spacing w:val="-12"/>
          <w:sz w:val="22"/>
        </w:rPr>
        <w:t> </w:t>
      </w:r>
      <w:r>
        <w:rPr>
          <w:spacing w:val="-2"/>
          <w:sz w:val="22"/>
        </w:rPr>
        <w:t>The</w:t>
      </w:r>
      <w:r>
        <w:rPr>
          <w:spacing w:val="-11"/>
          <w:sz w:val="22"/>
        </w:rPr>
        <w:t> </w:t>
      </w:r>
      <w:r>
        <w:rPr>
          <w:spacing w:val="-2"/>
          <w:sz w:val="22"/>
        </w:rPr>
        <w:t>first</w:t>
      </w:r>
      <w:r>
        <w:rPr>
          <w:spacing w:val="-12"/>
          <w:sz w:val="22"/>
        </w:rPr>
        <w:t> </w:t>
      </w:r>
      <w:r>
        <w:rPr>
          <w:spacing w:val="-2"/>
          <w:sz w:val="22"/>
        </w:rPr>
        <w:t>stream</w:t>
      </w:r>
      <w:r>
        <w:rPr>
          <w:spacing w:val="-12"/>
          <w:sz w:val="22"/>
        </w:rPr>
        <w:t> </w:t>
      </w:r>
      <w:r>
        <w:rPr>
          <w:spacing w:val="-2"/>
          <w:sz w:val="22"/>
        </w:rPr>
        <w:t>will</w:t>
      </w:r>
      <w:r>
        <w:rPr>
          <w:spacing w:val="-12"/>
          <w:sz w:val="22"/>
        </w:rPr>
        <w:t> </w:t>
      </w:r>
      <w:r>
        <w:rPr>
          <w:spacing w:val="-2"/>
          <w:sz w:val="22"/>
        </w:rPr>
        <w:t>consist</w:t>
      </w:r>
      <w:r>
        <w:rPr>
          <w:spacing w:val="-11"/>
          <w:sz w:val="22"/>
        </w:rPr>
        <w:t> </w:t>
      </w:r>
      <w:r>
        <w:rPr>
          <w:spacing w:val="-2"/>
          <w:sz w:val="22"/>
        </w:rPr>
        <w:t>of</w:t>
      </w:r>
      <w:r>
        <w:rPr>
          <w:spacing w:val="-12"/>
          <w:sz w:val="22"/>
        </w:rPr>
        <w:t> </w:t>
      </w:r>
      <w:r>
        <w:rPr>
          <w:spacing w:val="-2"/>
          <w:sz w:val="22"/>
        </w:rPr>
        <w:t>2500 </w:t>
      </w:r>
      <w:r>
        <w:rPr>
          <w:sz w:val="22"/>
        </w:rPr>
        <w:t>public funded schools (2000 in KVs and 500 in NVs template) in the Educationally Backward </w:t>
      </w:r>
      <w:r>
        <w:rPr>
          <w:spacing w:val="-2"/>
          <w:sz w:val="22"/>
        </w:rPr>
        <w:t>Blocks</w:t>
      </w:r>
      <w:r>
        <w:rPr>
          <w:spacing w:val="-8"/>
          <w:sz w:val="22"/>
        </w:rPr>
        <w:t> </w:t>
      </w:r>
      <w:r>
        <w:rPr>
          <w:spacing w:val="-2"/>
          <w:sz w:val="22"/>
        </w:rPr>
        <w:t>which</w:t>
      </w:r>
      <w:r>
        <w:rPr>
          <w:spacing w:val="-8"/>
          <w:sz w:val="22"/>
        </w:rPr>
        <w:t> </w:t>
      </w:r>
      <w:r>
        <w:rPr>
          <w:spacing w:val="-2"/>
          <w:sz w:val="22"/>
        </w:rPr>
        <w:t>have</w:t>
      </w:r>
      <w:r>
        <w:rPr>
          <w:spacing w:val="-8"/>
          <w:sz w:val="22"/>
        </w:rPr>
        <w:t> </w:t>
      </w:r>
      <w:r>
        <w:rPr>
          <w:spacing w:val="-2"/>
          <w:sz w:val="22"/>
        </w:rPr>
        <w:t>a</w:t>
      </w:r>
      <w:r>
        <w:rPr>
          <w:spacing w:val="-8"/>
          <w:sz w:val="22"/>
        </w:rPr>
        <w:t> </w:t>
      </w:r>
      <w:r>
        <w:rPr>
          <w:spacing w:val="-2"/>
          <w:sz w:val="22"/>
        </w:rPr>
        <w:t>significant</w:t>
      </w:r>
      <w:r>
        <w:rPr>
          <w:spacing w:val="-8"/>
          <w:sz w:val="22"/>
        </w:rPr>
        <w:t> </w:t>
      </w:r>
      <w:r>
        <w:rPr>
          <w:spacing w:val="-2"/>
          <w:sz w:val="22"/>
        </w:rPr>
        <w:t>SC,</w:t>
      </w:r>
      <w:r>
        <w:rPr>
          <w:spacing w:val="-8"/>
          <w:sz w:val="22"/>
        </w:rPr>
        <w:t> </w:t>
      </w:r>
      <w:r>
        <w:rPr>
          <w:spacing w:val="-2"/>
          <w:sz w:val="22"/>
        </w:rPr>
        <w:t>ST,</w:t>
      </w:r>
      <w:r>
        <w:rPr>
          <w:spacing w:val="-8"/>
          <w:sz w:val="22"/>
        </w:rPr>
        <w:t> </w:t>
      </w:r>
      <w:r>
        <w:rPr>
          <w:spacing w:val="-2"/>
          <w:sz w:val="22"/>
        </w:rPr>
        <w:t>OBC</w:t>
      </w:r>
      <w:r>
        <w:rPr>
          <w:spacing w:val="-8"/>
          <w:sz w:val="22"/>
        </w:rPr>
        <w:t> </w:t>
      </w:r>
      <w:r>
        <w:rPr>
          <w:spacing w:val="-2"/>
          <w:sz w:val="22"/>
        </w:rPr>
        <w:t>and </w:t>
      </w:r>
      <w:r>
        <w:rPr>
          <w:sz w:val="22"/>
        </w:rPr>
        <w:t>minority population.</w:t>
      </w:r>
      <w:r>
        <w:rPr>
          <w:spacing w:val="-7"/>
          <w:sz w:val="22"/>
        </w:rPr>
        <w:t> </w:t>
      </w:r>
      <w:r>
        <w:rPr>
          <w:sz w:val="22"/>
        </w:rPr>
        <w:t>The second stream of about 2500 schools would be set up through Public Private</w:t>
      </w:r>
      <w:r>
        <w:rPr>
          <w:spacing w:val="-14"/>
          <w:sz w:val="22"/>
        </w:rPr>
        <w:t> </w:t>
      </w:r>
      <w:r>
        <w:rPr>
          <w:sz w:val="22"/>
        </w:rPr>
        <w:t>Partnership</w:t>
      </w:r>
      <w:r>
        <w:rPr>
          <w:spacing w:val="-14"/>
          <w:sz w:val="22"/>
        </w:rPr>
        <w:t> </w:t>
      </w:r>
      <w:r>
        <w:rPr>
          <w:sz w:val="22"/>
        </w:rPr>
        <w:t>in</w:t>
      </w:r>
      <w:r>
        <w:rPr>
          <w:spacing w:val="-14"/>
          <w:sz w:val="22"/>
        </w:rPr>
        <w:t> </w:t>
      </w:r>
      <w:r>
        <w:rPr>
          <w:sz w:val="22"/>
        </w:rPr>
        <w:t>other</w:t>
      </w:r>
      <w:r>
        <w:rPr>
          <w:spacing w:val="-13"/>
          <w:sz w:val="22"/>
        </w:rPr>
        <w:t> </w:t>
      </w:r>
      <w:r>
        <w:rPr>
          <w:sz w:val="22"/>
        </w:rPr>
        <w:t>Blocks</w:t>
      </w:r>
      <w:r>
        <w:rPr>
          <w:spacing w:val="-14"/>
          <w:sz w:val="22"/>
        </w:rPr>
        <w:t> </w:t>
      </w:r>
      <w:r>
        <w:rPr>
          <w:sz w:val="22"/>
        </w:rPr>
        <w:t>with</w:t>
      </w:r>
      <w:r>
        <w:rPr>
          <w:spacing w:val="-14"/>
          <w:sz w:val="22"/>
        </w:rPr>
        <w:t> </w:t>
      </w:r>
      <w:r>
        <w:rPr>
          <w:sz w:val="22"/>
        </w:rPr>
        <w:t>emphasis on</w:t>
      </w:r>
      <w:r>
        <w:rPr>
          <w:spacing w:val="-5"/>
          <w:sz w:val="22"/>
        </w:rPr>
        <w:t> </w:t>
      </w:r>
      <w:r>
        <w:rPr>
          <w:sz w:val="22"/>
        </w:rPr>
        <w:t>geographical,</w:t>
      </w:r>
      <w:r>
        <w:rPr>
          <w:spacing w:val="-5"/>
          <w:sz w:val="22"/>
        </w:rPr>
        <w:t> </w:t>
      </w:r>
      <w:r>
        <w:rPr>
          <w:sz w:val="22"/>
        </w:rPr>
        <w:t>demographic,</w:t>
      </w:r>
      <w:r>
        <w:rPr>
          <w:spacing w:val="-5"/>
          <w:sz w:val="22"/>
        </w:rPr>
        <w:t> </w:t>
      </w:r>
      <w:r>
        <w:rPr>
          <w:sz w:val="22"/>
        </w:rPr>
        <w:t>gender</w:t>
      </w:r>
      <w:r>
        <w:rPr>
          <w:spacing w:val="-5"/>
          <w:sz w:val="22"/>
        </w:rPr>
        <w:t> </w:t>
      </w:r>
      <w:r>
        <w:rPr>
          <w:sz w:val="22"/>
        </w:rPr>
        <w:t>and</w:t>
      </w:r>
      <w:r>
        <w:rPr>
          <w:spacing w:val="-5"/>
          <w:sz w:val="22"/>
        </w:rPr>
        <w:t> </w:t>
      </w:r>
      <w:r>
        <w:rPr>
          <w:sz w:val="22"/>
        </w:rPr>
        <w:t>social equity.</w:t>
      </w:r>
      <w:r>
        <w:rPr>
          <w:spacing w:val="-14"/>
          <w:sz w:val="22"/>
        </w:rPr>
        <w:t> </w:t>
      </w:r>
      <w:r>
        <w:rPr>
          <w:sz w:val="22"/>
        </w:rPr>
        <w:t>Modalities</w:t>
      </w:r>
      <w:r>
        <w:rPr>
          <w:spacing w:val="-14"/>
          <w:sz w:val="22"/>
        </w:rPr>
        <w:t> </w:t>
      </w:r>
      <w:r>
        <w:rPr>
          <w:sz w:val="22"/>
        </w:rPr>
        <w:t>for</w:t>
      </w:r>
      <w:r>
        <w:rPr>
          <w:spacing w:val="-14"/>
          <w:sz w:val="22"/>
        </w:rPr>
        <w:t> </w:t>
      </w:r>
      <w:r>
        <w:rPr>
          <w:sz w:val="22"/>
        </w:rPr>
        <w:t>the</w:t>
      </w:r>
      <w:r>
        <w:rPr>
          <w:spacing w:val="-13"/>
          <w:sz w:val="22"/>
        </w:rPr>
        <w:t> </w:t>
      </w:r>
      <w:r>
        <w:rPr>
          <w:sz w:val="22"/>
        </w:rPr>
        <w:t>remaining</w:t>
      </w:r>
      <w:r>
        <w:rPr>
          <w:spacing w:val="-14"/>
          <w:sz w:val="22"/>
        </w:rPr>
        <w:t> </w:t>
      </w:r>
      <w:r>
        <w:rPr>
          <w:sz w:val="22"/>
        </w:rPr>
        <w:t>1000</w:t>
      </w:r>
      <w:r>
        <w:rPr>
          <w:spacing w:val="-14"/>
          <w:sz w:val="22"/>
        </w:rPr>
        <w:t> </w:t>
      </w:r>
      <w:r>
        <w:rPr>
          <w:sz w:val="22"/>
        </w:rPr>
        <w:t>schools have yet not been finalised.</w:t>
      </w:r>
    </w:p>
    <w:p>
      <w:pPr>
        <w:pStyle w:val="Heading7"/>
        <w:spacing w:before="232"/>
        <w:ind w:left="1079"/>
      </w:pPr>
      <w:r>
        <w:rPr>
          <w:color w:val="2E614A"/>
          <w:w w:val="90"/>
        </w:rPr>
        <w:t>English</w:t>
      </w:r>
      <w:r>
        <w:rPr>
          <w:color w:val="2E614A"/>
          <w:spacing w:val="6"/>
        </w:rPr>
        <w:t> </w:t>
      </w:r>
      <w:r>
        <w:rPr>
          <w:color w:val="2E614A"/>
          <w:w w:val="90"/>
        </w:rPr>
        <w:t>language</w:t>
      </w:r>
      <w:r>
        <w:rPr>
          <w:color w:val="2E614A"/>
          <w:spacing w:val="7"/>
        </w:rPr>
        <w:t> </w:t>
      </w:r>
      <w:r>
        <w:rPr>
          <w:color w:val="2E614A"/>
          <w:spacing w:val="-2"/>
          <w:w w:val="90"/>
        </w:rPr>
        <w:t>teaching</w:t>
      </w:r>
    </w:p>
    <w:p>
      <w:pPr>
        <w:pStyle w:val="ListParagraph"/>
        <w:numPr>
          <w:ilvl w:val="1"/>
          <w:numId w:val="69"/>
        </w:numPr>
        <w:tabs>
          <w:tab w:pos="1439" w:val="left" w:leader="none"/>
        </w:tabs>
        <w:spacing w:line="266" w:lineRule="auto" w:before="299" w:after="0"/>
        <w:ind w:left="1439" w:right="0" w:hanging="360"/>
        <w:jc w:val="both"/>
        <w:rPr>
          <w:sz w:val="22"/>
        </w:rPr>
      </w:pPr>
      <w:r>
        <w:rPr>
          <w:spacing w:val="-4"/>
          <w:sz w:val="22"/>
        </w:rPr>
        <w:t>Twenty</w:t>
      </w:r>
      <w:r>
        <w:rPr>
          <w:spacing w:val="-7"/>
          <w:sz w:val="22"/>
        </w:rPr>
        <w:t> </w:t>
      </w:r>
      <w:r>
        <w:rPr>
          <w:spacing w:val="-4"/>
          <w:sz w:val="22"/>
        </w:rPr>
        <w:t>five</w:t>
      </w:r>
      <w:r>
        <w:rPr>
          <w:spacing w:val="-7"/>
          <w:sz w:val="22"/>
        </w:rPr>
        <w:t> </w:t>
      </w:r>
      <w:r>
        <w:rPr>
          <w:spacing w:val="-4"/>
          <w:sz w:val="22"/>
        </w:rPr>
        <w:t>states</w:t>
      </w:r>
      <w:r>
        <w:rPr>
          <w:spacing w:val="-7"/>
          <w:sz w:val="22"/>
        </w:rPr>
        <w:t> </w:t>
      </w:r>
      <w:r>
        <w:rPr>
          <w:spacing w:val="-4"/>
          <w:sz w:val="22"/>
        </w:rPr>
        <w:t>have</w:t>
      </w:r>
      <w:r>
        <w:rPr>
          <w:spacing w:val="-7"/>
          <w:sz w:val="22"/>
        </w:rPr>
        <w:t> </w:t>
      </w:r>
      <w:r>
        <w:rPr>
          <w:spacing w:val="-4"/>
          <w:sz w:val="22"/>
        </w:rPr>
        <w:t>already</w:t>
      </w:r>
      <w:r>
        <w:rPr>
          <w:spacing w:val="-7"/>
          <w:sz w:val="22"/>
        </w:rPr>
        <w:t> </w:t>
      </w:r>
      <w:r>
        <w:rPr>
          <w:spacing w:val="-4"/>
          <w:sz w:val="22"/>
        </w:rPr>
        <w:t>introduced</w:t>
      </w:r>
      <w:r>
        <w:rPr>
          <w:spacing w:val="-7"/>
          <w:sz w:val="22"/>
        </w:rPr>
        <w:t> </w:t>
      </w:r>
      <w:r>
        <w:rPr>
          <w:spacing w:val="-4"/>
          <w:sz w:val="22"/>
        </w:rPr>
        <w:t>English </w:t>
      </w:r>
      <w:r>
        <w:rPr>
          <w:spacing w:val="-2"/>
          <w:sz w:val="22"/>
        </w:rPr>
        <w:t>as</w:t>
      </w:r>
      <w:r>
        <w:rPr>
          <w:spacing w:val="-12"/>
          <w:sz w:val="22"/>
        </w:rPr>
        <w:t> </w:t>
      </w:r>
      <w:r>
        <w:rPr>
          <w:spacing w:val="-2"/>
          <w:sz w:val="22"/>
        </w:rPr>
        <w:t>a</w:t>
      </w:r>
      <w:r>
        <w:rPr>
          <w:spacing w:val="-11"/>
          <w:sz w:val="22"/>
        </w:rPr>
        <w:t> </w:t>
      </w:r>
      <w:r>
        <w:rPr>
          <w:spacing w:val="-2"/>
          <w:sz w:val="22"/>
        </w:rPr>
        <w:t>subject</w:t>
      </w:r>
      <w:r>
        <w:rPr>
          <w:spacing w:val="-11"/>
          <w:sz w:val="22"/>
        </w:rPr>
        <w:t> </w:t>
      </w:r>
      <w:r>
        <w:rPr>
          <w:spacing w:val="-2"/>
          <w:sz w:val="22"/>
        </w:rPr>
        <w:t>from</w:t>
      </w:r>
      <w:r>
        <w:rPr>
          <w:spacing w:val="-11"/>
          <w:sz w:val="22"/>
        </w:rPr>
        <w:t> </w:t>
      </w:r>
      <w:r>
        <w:rPr>
          <w:spacing w:val="-2"/>
          <w:sz w:val="22"/>
        </w:rPr>
        <w:t>Class</w:t>
      </w:r>
      <w:r>
        <w:rPr>
          <w:spacing w:val="-11"/>
          <w:sz w:val="22"/>
        </w:rPr>
        <w:t> </w:t>
      </w:r>
      <w:r>
        <w:rPr>
          <w:spacing w:val="-2"/>
          <w:sz w:val="22"/>
        </w:rPr>
        <w:t>I.</w:t>
      </w:r>
      <w:r>
        <w:rPr>
          <w:spacing w:val="-12"/>
          <w:sz w:val="22"/>
        </w:rPr>
        <w:t> </w:t>
      </w:r>
      <w:r>
        <w:rPr>
          <w:spacing w:val="-2"/>
          <w:sz w:val="22"/>
        </w:rPr>
        <w:t>With</w:t>
      </w:r>
      <w:r>
        <w:rPr>
          <w:spacing w:val="-10"/>
          <w:sz w:val="22"/>
        </w:rPr>
        <w:t> </w:t>
      </w:r>
      <w:r>
        <w:rPr>
          <w:spacing w:val="-2"/>
          <w:sz w:val="22"/>
        </w:rPr>
        <w:t>the</w:t>
      </w:r>
      <w:r>
        <w:rPr>
          <w:spacing w:val="-11"/>
          <w:sz w:val="22"/>
        </w:rPr>
        <w:t> </w:t>
      </w:r>
      <w:r>
        <w:rPr>
          <w:spacing w:val="-2"/>
          <w:sz w:val="22"/>
        </w:rPr>
        <w:t>help</w:t>
      </w:r>
      <w:r>
        <w:rPr>
          <w:spacing w:val="-11"/>
          <w:sz w:val="22"/>
        </w:rPr>
        <w:t> </w:t>
      </w:r>
      <w:r>
        <w:rPr>
          <w:spacing w:val="-2"/>
          <w:sz w:val="22"/>
        </w:rPr>
        <w:t>of</w:t>
      </w:r>
      <w:r>
        <w:rPr>
          <w:spacing w:val="-11"/>
          <w:sz w:val="22"/>
        </w:rPr>
        <w:t> </w:t>
      </w:r>
      <w:r>
        <w:rPr>
          <w:spacing w:val="-2"/>
          <w:sz w:val="22"/>
        </w:rPr>
        <w:t>NCERT </w:t>
      </w:r>
      <w:r>
        <w:rPr>
          <w:sz w:val="22"/>
        </w:rPr>
        <w:t>and CIEFL, the MHRD is guiding English </w:t>
      </w:r>
      <w:r>
        <w:rPr>
          <w:spacing w:val="-6"/>
          <w:sz w:val="22"/>
        </w:rPr>
        <w:t>Teaching in schools in the states/UTs by developing </w:t>
      </w:r>
      <w:r>
        <w:rPr>
          <w:sz w:val="22"/>
        </w:rPr>
        <w:t>appropriate curriculum, materials and training of teachers with skills in English.</w:t>
      </w:r>
    </w:p>
    <w:p>
      <w:pPr>
        <w:pStyle w:val="Heading7"/>
        <w:spacing w:before="237"/>
        <w:ind w:left="1079"/>
      </w:pPr>
      <w:r>
        <w:rPr>
          <w:color w:val="2E614A"/>
          <w:w w:val="90"/>
        </w:rPr>
        <w:t>Vocational</w:t>
      </w:r>
      <w:r>
        <w:rPr>
          <w:color w:val="2E614A"/>
          <w:spacing w:val="3"/>
        </w:rPr>
        <w:t> </w:t>
      </w:r>
      <w:r>
        <w:rPr>
          <w:color w:val="2E614A"/>
          <w:w w:val="90"/>
        </w:rPr>
        <w:t>Education</w:t>
      </w:r>
      <w:r>
        <w:rPr>
          <w:color w:val="2E614A"/>
          <w:spacing w:val="3"/>
        </w:rPr>
        <w:t> </w:t>
      </w:r>
      <w:r>
        <w:rPr>
          <w:color w:val="2E614A"/>
          <w:w w:val="90"/>
        </w:rPr>
        <w:t>and</w:t>
      </w:r>
      <w:r>
        <w:rPr>
          <w:color w:val="2E614A"/>
          <w:spacing w:val="13"/>
        </w:rPr>
        <w:t> </w:t>
      </w:r>
      <w:r>
        <w:rPr>
          <w:color w:val="2E614A"/>
          <w:w w:val="90"/>
        </w:rPr>
        <w:t>Training</w:t>
      </w:r>
      <w:r>
        <w:rPr>
          <w:color w:val="2E614A"/>
          <w:spacing w:val="3"/>
        </w:rPr>
        <w:t> </w:t>
      </w:r>
      <w:r>
        <w:rPr>
          <w:color w:val="2E614A"/>
          <w:spacing w:val="-2"/>
          <w:w w:val="90"/>
        </w:rPr>
        <w:t>(VET)</w:t>
      </w:r>
    </w:p>
    <w:p>
      <w:pPr>
        <w:pStyle w:val="BodyText"/>
        <w:rPr>
          <w:b/>
          <w:sz w:val="26"/>
        </w:rPr>
      </w:pPr>
    </w:p>
    <w:p>
      <w:pPr>
        <w:pStyle w:val="ListParagraph"/>
        <w:numPr>
          <w:ilvl w:val="1"/>
          <w:numId w:val="69"/>
        </w:numPr>
        <w:tabs>
          <w:tab w:pos="1440" w:val="left" w:leader="none"/>
        </w:tabs>
        <w:spacing w:line="266" w:lineRule="auto" w:before="0" w:after="0"/>
        <w:ind w:left="1440" w:right="0" w:hanging="360"/>
        <w:jc w:val="both"/>
        <w:rPr>
          <w:sz w:val="22"/>
        </w:rPr>
      </w:pPr>
      <w:r>
        <w:rPr>
          <w:spacing w:val="-6"/>
          <w:sz w:val="22"/>
        </w:rPr>
        <w:t>For</w:t>
      </w:r>
      <w:r>
        <w:rPr>
          <w:spacing w:val="-8"/>
          <w:sz w:val="22"/>
        </w:rPr>
        <w:t> </w:t>
      </w:r>
      <w:r>
        <w:rPr>
          <w:spacing w:val="-6"/>
          <w:sz w:val="22"/>
        </w:rPr>
        <w:t>expansion,</w:t>
      </w:r>
      <w:r>
        <w:rPr>
          <w:spacing w:val="-7"/>
          <w:sz w:val="22"/>
        </w:rPr>
        <w:t> </w:t>
      </w:r>
      <w:r>
        <w:rPr>
          <w:spacing w:val="-6"/>
          <w:sz w:val="22"/>
        </w:rPr>
        <w:t>redesign</w:t>
      </w:r>
      <w:r>
        <w:rPr>
          <w:spacing w:val="-8"/>
          <w:sz w:val="22"/>
        </w:rPr>
        <w:t> </w:t>
      </w:r>
      <w:r>
        <w:rPr>
          <w:spacing w:val="-6"/>
          <w:sz w:val="22"/>
        </w:rPr>
        <w:t>and</w:t>
      </w:r>
      <w:r>
        <w:rPr>
          <w:spacing w:val="-7"/>
          <w:sz w:val="22"/>
        </w:rPr>
        <w:t> </w:t>
      </w:r>
      <w:r>
        <w:rPr>
          <w:spacing w:val="-6"/>
          <w:sz w:val="22"/>
        </w:rPr>
        <w:t>quality</w:t>
      </w:r>
      <w:r>
        <w:rPr>
          <w:spacing w:val="-8"/>
          <w:sz w:val="22"/>
        </w:rPr>
        <w:t> </w:t>
      </w:r>
      <w:r>
        <w:rPr>
          <w:spacing w:val="-6"/>
          <w:sz w:val="22"/>
        </w:rPr>
        <w:t>enhancement</w:t>
      </w:r>
      <w:r>
        <w:rPr>
          <w:spacing w:val="-7"/>
          <w:sz w:val="22"/>
        </w:rPr>
        <w:t> </w:t>
      </w:r>
      <w:r>
        <w:rPr>
          <w:spacing w:val="-6"/>
          <w:sz w:val="22"/>
        </w:rPr>
        <w:t>of </w:t>
      </w:r>
      <w:r>
        <w:rPr>
          <w:sz w:val="22"/>
        </w:rPr>
        <w:t>VET</w:t>
      </w:r>
      <w:r>
        <w:rPr>
          <w:spacing w:val="-6"/>
          <w:sz w:val="22"/>
        </w:rPr>
        <w:t> </w:t>
      </w:r>
      <w:r>
        <w:rPr>
          <w:sz w:val="22"/>
        </w:rPr>
        <w:t>in</w:t>
      </w:r>
      <w:r>
        <w:rPr>
          <w:spacing w:val="-6"/>
          <w:sz w:val="22"/>
        </w:rPr>
        <w:t> </w:t>
      </w:r>
      <w:r>
        <w:rPr>
          <w:sz w:val="22"/>
        </w:rPr>
        <w:t>the</w:t>
      </w:r>
      <w:r>
        <w:rPr>
          <w:spacing w:val="-6"/>
          <w:sz w:val="22"/>
        </w:rPr>
        <w:t> </w:t>
      </w:r>
      <w:r>
        <w:rPr>
          <w:sz w:val="22"/>
        </w:rPr>
        <w:t>country</w:t>
      </w:r>
      <w:r>
        <w:rPr>
          <w:spacing w:val="-6"/>
          <w:sz w:val="22"/>
        </w:rPr>
        <w:t> </w:t>
      </w:r>
      <w:r>
        <w:rPr>
          <w:sz w:val="22"/>
        </w:rPr>
        <w:t>a</w:t>
      </w:r>
      <w:r>
        <w:rPr>
          <w:spacing w:val="-6"/>
          <w:sz w:val="22"/>
        </w:rPr>
        <w:t> </w:t>
      </w:r>
      <w:r>
        <w:rPr>
          <w:sz w:val="22"/>
        </w:rPr>
        <w:t>three</w:t>
      </w:r>
      <w:r>
        <w:rPr>
          <w:spacing w:val="-6"/>
          <w:sz w:val="22"/>
        </w:rPr>
        <w:t> </w:t>
      </w:r>
      <w:r>
        <w:rPr>
          <w:sz w:val="22"/>
        </w:rPr>
        <w:t>tier</w:t>
      </w:r>
      <w:r>
        <w:rPr>
          <w:spacing w:val="-6"/>
          <w:sz w:val="22"/>
        </w:rPr>
        <w:t> </w:t>
      </w:r>
      <w:r>
        <w:rPr>
          <w:sz w:val="22"/>
        </w:rPr>
        <w:t>structure</w:t>
      </w:r>
      <w:r>
        <w:rPr>
          <w:spacing w:val="-6"/>
          <w:sz w:val="22"/>
        </w:rPr>
        <w:t> </w:t>
      </w:r>
      <w:r>
        <w:rPr>
          <w:sz w:val="22"/>
        </w:rPr>
        <w:t>has</w:t>
      </w:r>
      <w:r>
        <w:rPr>
          <w:spacing w:val="-6"/>
          <w:sz w:val="22"/>
        </w:rPr>
        <w:t> </w:t>
      </w:r>
      <w:r>
        <w:rPr>
          <w:sz w:val="22"/>
        </w:rPr>
        <w:t>been constituted</w:t>
      </w:r>
      <w:r>
        <w:rPr>
          <w:spacing w:val="-6"/>
          <w:sz w:val="22"/>
        </w:rPr>
        <w:t> </w:t>
      </w:r>
      <w:r>
        <w:rPr>
          <w:sz w:val="22"/>
        </w:rPr>
        <w:t>in</w:t>
      </w:r>
      <w:r>
        <w:rPr>
          <w:spacing w:val="-6"/>
          <w:sz w:val="22"/>
        </w:rPr>
        <w:t> </w:t>
      </w:r>
      <w:r>
        <w:rPr>
          <w:sz w:val="22"/>
        </w:rPr>
        <w:t>July</w:t>
      </w:r>
      <w:r>
        <w:rPr>
          <w:spacing w:val="-6"/>
          <w:sz w:val="22"/>
        </w:rPr>
        <w:t> </w:t>
      </w:r>
      <w:r>
        <w:rPr>
          <w:sz w:val="22"/>
        </w:rPr>
        <w:t>2008</w:t>
      </w:r>
      <w:r>
        <w:rPr>
          <w:spacing w:val="-6"/>
          <w:sz w:val="22"/>
        </w:rPr>
        <w:t> </w:t>
      </w:r>
      <w:r>
        <w:rPr>
          <w:sz w:val="22"/>
        </w:rPr>
        <w:t>under</w:t>
      </w:r>
      <w:r>
        <w:rPr>
          <w:spacing w:val="-6"/>
          <w:sz w:val="22"/>
        </w:rPr>
        <w:t> </w:t>
      </w:r>
      <w:r>
        <w:rPr>
          <w:sz w:val="22"/>
        </w:rPr>
        <w:t>the</w:t>
      </w:r>
      <w:r>
        <w:rPr>
          <w:spacing w:val="-7"/>
          <w:sz w:val="22"/>
        </w:rPr>
        <w:t> </w:t>
      </w:r>
      <w:r>
        <w:rPr>
          <w:b/>
          <w:sz w:val="22"/>
        </w:rPr>
        <w:t>National</w:t>
      </w:r>
      <w:r>
        <w:rPr>
          <w:b/>
          <w:spacing w:val="-5"/>
          <w:sz w:val="22"/>
        </w:rPr>
        <w:t> </w:t>
      </w:r>
      <w:r>
        <w:rPr>
          <w:b/>
          <w:sz w:val="22"/>
        </w:rPr>
        <w:t>Skill </w:t>
      </w:r>
      <w:r>
        <w:rPr>
          <w:b/>
          <w:spacing w:val="-2"/>
          <w:sz w:val="22"/>
        </w:rPr>
        <w:t>Development</w:t>
      </w:r>
      <w:r>
        <w:rPr>
          <w:b/>
          <w:spacing w:val="-8"/>
          <w:sz w:val="22"/>
        </w:rPr>
        <w:t> </w:t>
      </w:r>
      <w:r>
        <w:rPr>
          <w:b/>
          <w:spacing w:val="-2"/>
          <w:sz w:val="22"/>
        </w:rPr>
        <w:t>Mission</w:t>
      </w:r>
      <w:r>
        <w:rPr>
          <w:b/>
          <w:spacing w:val="-8"/>
          <w:sz w:val="22"/>
        </w:rPr>
        <w:t> </w:t>
      </w:r>
      <w:r>
        <w:rPr>
          <w:b/>
          <w:spacing w:val="-2"/>
          <w:sz w:val="22"/>
        </w:rPr>
        <w:t>(NSDM)</w:t>
      </w:r>
      <w:r>
        <w:rPr>
          <w:b/>
          <w:spacing w:val="-9"/>
          <w:sz w:val="22"/>
        </w:rPr>
        <w:t> </w:t>
      </w:r>
      <w:r>
        <w:rPr>
          <w:spacing w:val="-2"/>
          <w:sz w:val="22"/>
        </w:rPr>
        <w:t>consisting</w:t>
      </w:r>
      <w:r>
        <w:rPr>
          <w:spacing w:val="-9"/>
          <w:sz w:val="22"/>
        </w:rPr>
        <w:t> </w:t>
      </w:r>
      <w:r>
        <w:rPr>
          <w:spacing w:val="-2"/>
          <w:sz w:val="22"/>
        </w:rPr>
        <w:t>of:</w:t>
      </w:r>
    </w:p>
    <w:p>
      <w:pPr>
        <w:pStyle w:val="ListParagraph"/>
        <w:numPr>
          <w:ilvl w:val="0"/>
          <w:numId w:val="70"/>
        </w:numPr>
        <w:tabs>
          <w:tab w:pos="639" w:val="left" w:leader="none"/>
        </w:tabs>
        <w:spacing w:line="266" w:lineRule="auto" w:before="99" w:after="0"/>
        <w:ind w:left="319" w:right="1077" w:firstLine="0"/>
        <w:jc w:val="both"/>
        <w:rPr>
          <w:sz w:val="22"/>
        </w:rPr>
      </w:pPr>
      <w:r>
        <w:rPr/>
        <w:br w:type="column"/>
      </w:r>
      <w:r>
        <w:rPr>
          <w:b/>
          <w:sz w:val="22"/>
        </w:rPr>
        <w:t>National Council on Skill Development: </w:t>
      </w:r>
      <w:r>
        <w:rPr>
          <w:sz w:val="22"/>
        </w:rPr>
        <w:t>The </w:t>
      </w:r>
      <w:r>
        <w:rPr>
          <w:spacing w:val="-6"/>
          <w:sz w:val="22"/>
        </w:rPr>
        <w:t>functions</w:t>
      </w:r>
      <w:r>
        <w:rPr>
          <w:spacing w:val="-8"/>
          <w:sz w:val="22"/>
        </w:rPr>
        <w:t> </w:t>
      </w:r>
      <w:r>
        <w:rPr>
          <w:spacing w:val="-6"/>
          <w:sz w:val="22"/>
        </w:rPr>
        <w:t>of</w:t>
      </w:r>
      <w:r>
        <w:rPr>
          <w:spacing w:val="-7"/>
          <w:sz w:val="22"/>
        </w:rPr>
        <w:t> </w:t>
      </w:r>
      <w:r>
        <w:rPr>
          <w:spacing w:val="-6"/>
          <w:sz w:val="22"/>
        </w:rPr>
        <w:t>the</w:t>
      </w:r>
      <w:r>
        <w:rPr>
          <w:spacing w:val="-8"/>
          <w:sz w:val="22"/>
        </w:rPr>
        <w:t> </w:t>
      </w:r>
      <w:r>
        <w:rPr>
          <w:spacing w:val="-6"/>
          <w:sz w:val="22"/>
        </w:rPr>
        <w:t>Council</w:t>
      </w:r>
      <w:r>
        <w:rPr>
          <w:spacing w:val="-7"/>
          <w:sz w:val="22"/>
        </w:rPr>
        <w:t> </w:t>
      </w:r>
      <w:r>
        <w:rPr>
          <w:spacing w:val="-6"/>
          <w:sz w:val="22"/>
        </w:rPr>
        <w:t>under</w:t>
      </w:r>
      <w:r>
        <w:rPr>
          <w:spacing w:val="-8"/>
          <w:sz w:val="22"/>
        </w:rPr>
        <w:t> </w:t>
      </w:r>
      <w:r>
        <w:rPr>
          <w:spacing w:val="-6"/>
          <w:sz w:val="22"/>
        </w:rPr>
        <w:t>the</w:t>
      </w:r>
      <w:r>
        <w:rPr>
          <w:spacing w:val="-7"/>
          <w:sz w:val="22"/>
        </w:rPr>
        <w:t> </w:t>
      </w:r>
      <w:r>
        <w:rPr>
          <w:spacing w:val="-6"/>
          <w:sz w:val="22"/>
        </w:rPr>
        <w:t>Prime</w:t>
      </w:r>
      <w:r>
        <w:rPr>
          <w:spacing w:val="-8"/>
          <w:sz w:val="22"/>
        </w:rPr>
        <w:t> </w:t>
      </w:r>
      <w:r>
        <w:rPr>
          <w:spacing w:val="-6"/>
          <w:sz w:val="22"/>
        </w:rPr>
        <w:t>Minister</w:t>
      </w:r>
      <w:r>
        <w:rPr>
          <w:spacing w:val="-7"/>
          <w:sz w:val="22"/>
        </w:rPr>
        <w:t> </w:t>
      </w:r>
      <w:r>
        <w:rPr>
          <w:spacing w:val="-6"/>
          <w:sz w:val="22"/>
        </w:rPr>
        <w:t>would </w:t>
      </w:r>
      <w:r>
        <w:rPr>
          <w:spacing w:val="-8"/>
          <w:sz w:val="22"/>
        </w:rPr>
        <w:t>be</w:t>
      </w:r>
      <w:r>
        <w:rPr>
          <w:spacing w:val="-5"/>
          <w:sz w:val="22"/>
        </w:rPr>
        <w:t> </w:t>
      </w:r>
      <w:r>
        <w:rPr>
          <w:spacing w:val="-8"/>
          <w:sz w:val="22"/>
        </w:rPr>
        <w:t>to</w:t>
      </w:r>
      <w:r>
        <w:rPr>
          <w:spacing w:val="-5"/>
          <w:sz w:val="22"/>
        </w:rPr>
        <w:t> </w:t>
      </w:r>
      <w:r>
        <w:rPr>
          <w:spacing w:val="-8"/>
          <w:sz w:val="22"/>
        </w:rPr>
        <w:t>lay</w:t>
      </w:r>
      <w:r>
        <w:rPr>
          <w:spacing w:val="-5"/>
          <w:sz w:val="22"/>
        </w:rPr>
        <w:t> </w:t>
      </w:r>
      <w:r>
        <w:rPr>
          <w:spacing w:val="-8"/>
          <w:sz w:val="22"/>
        </w:rPr>
        <w:t>down</w:t>
      </w:r>
      <w:r>
        <w:rPr>
          <w:spacing w:val="-5"/>
          <w:sz w:val="22"/>
        </w:rPr>
        <w:t> </w:t>
      </w:r>
      <w:r>
        <w:rPr>
          <w:spacing w:val="-8"/>
          <w:sz w:val="22"/>
        </w:rPr>
        <w:t>policy</w:t>
      </w:r>
      <w:r>
        <w:rPr>
          <w:spacing w:val="-5"/>
          <w:sz w:val="22"/>
        </w:rPr>
        <w:t> </w:t>
      </w:r>
      <w:r>
        <w:rPr>
          <w:spacing w:val="-8"/>
          <w:sz w:val="22"/>
        </w:rPr>
        <w:t>objectives,</w:t>
      </w:r>
      <w:r>
        <w:rPr>
          <w:spacing w:val="-5"/>
          <w:sz w:val="22"/>
        </w:rPr>
        <w:t> </w:t>
      </w:r>
      <w:r>
        <w:rPr>
          <w:spacing w:val="-8"/>
          <w:sz w:val="22"/>
        </w:rPr>
        <w:t>strategies,</w:t>
      </w:r>
      <w:r>
        <w:rPr>
          <w:spacing w:val="-5"/>
          <w:sz w:val="22"/>
        </w:rPr>
        <w:t> </w:t>
      </w:r>
      <w:r>
        <w:rPr>
          <w:spacing w:val="-8"/>
          <w:sz w:val="22"/>
        </w:rPr>
        <w:t>financing</w:t>
      </w:r>
      <w:r>
        <w:rPr>
          <w:spacing w:val="-5"/>
          <w:sz w:val="22"/>
        </w:rPr>
        <w:t> </w:t>
      </w:r>
      <w:r>
        <w:rPr>
          <w:spacing w:val="-8"/>
          <w:sz w:val="22"/>
        </w:rPr>
        <w:t>and </w:t>
      </w:r>
      <w:r>
        <w:rPr>
          <w:spacing w:val="-2"/>
          <w:sz w:val="22"/>
        </w:rPr>
        <w:t>a</w:t>
      </w:r>
      <w:r>
        <w:rPr>
          <w:spacing w:val="-11"/>
          <w:sz w:val="22"/>
        </w:rPr>
        <w:t> </w:t>
      </w:r>
      <w:r>
        <w:rPr>
          <w:spacing w:val="-2"/>
          <w:sz w:val="22"/>
        </w:rPr>
        <w:t>governance</w:t>
      </w:r>
      <w:r>
        <w:rPr>
          <w:spacing w:val="-11"/>
          <w:sz w:val="22"/>
        </w:rPr>
        <w:t> </w:t>
      </w:r>
      <w:r>
        <w:rPr>
          <w:spacing w:val="-2"/>
          <w:sz w:val="22"/>
        </w:rPr>
        <w:t>model</w:t>
      </w:r>
      <w:r>
        <w:rPr>
          <w:spacing w:val="-11"/>
          <w:sz w:val="22"/>
        </w:rPr>
        <w:t> </w:t>
      </w:r>
      <w:r>
        <w:rPr>
          <w:spacing w:val="-2"/>
          <w:sz w:val="22"/>
        </w:rPr>
        <w:t>to</w:t>
      </w:r>
      <w:r>
        <w:rPr>
          <w:spacing w:val="-11"/>
          <w:sz w:val="22"/>
        </w:rPr>
        <w:t> </w:t>
      </w:r>
      <w:r>
        <w:rPr>
          <w:spacing w:val="-2"/>
          <w:sz w:val="22"/>
        </w:rPr>
        <w:t>promote</w:t>
      </w:r>
      <w:r>
        <w:rPr>
          <w:spacing w:val="-11"/>
          <w:sz w:val="22"/>
        </w:rPr>
        <w:t> </w:t>
      </w:r>
      <w:r>
        <w:rPr>
          <w:spacing w:val="-2"/>
          <w:sz w:val="22"/>
        </w:rPr>
        <w:t>skill</w:t>
      </w:r>
      <w:r>
        <w:rPr>
          <w:spacing w:val="-11"/>
          <w:sz w:val="22"/>
        </w:rPr>
        <w:t> </w:t>
      </w:r>
      <w:r>
        <w:rPr>
          <w:spacing w:val="-2"/>
          <w:sz w:val="22"/>
        </w:rPr>
        <w:t>development.</w:t>
      </w:r>
    </w:p>
    <w:p>
      <w:pPr>
        <w:pStyle w:val="BodyText"/>
        <w:spacing w:before="24"/>
      </w:pPr>
    </w:p>
    <w:p>
      <w:pPr>
        <w:pStyle w:val="ListParagraph"/>
        <w:numPr>
          <w:ilvl w:val="0"/>
          <w:numId w:val="70"/>
        </w:numPr>
        <w:tabs>
          <w:tab w:pos="586" w:val="left" w:leader="none"/>
        </w:tabs>
        <w:spacing w:line="266" w:lineRule="auto" w:before="0" w:after="0"/>
        <w:ind w:left="319" w:right="1077" w:firstLine="0"/>
        <w:jc w:val="both"/>
        <w:rPr>
          <w:sz w:val="22"/>
        </w:rPr>
      </w:pPr>
      <w:r>
        <w:rPr>
          <w:b/>
          <w:spacing w:val="-4"/>
          <w:sz w:val="22"/>
        </w:rPr>
        <w:t>National</w:t>
      </w:r>
      <w:r>
        <w:rPr>
          <w:b/>
          <w:spacing w:val="-10"/>
          <w:sz w:val="22"/>
        </w:rPr>
        <w:t> </w:t>
      </w:r>
      <w:r>
        <w:rPr>
          <w:b/>
          <w:spacing w:val="-4"/>
          <w:sz w:val="22"/>
        </w:rPr>
        <w:t>Skill</w:t>
      </w:r>
      <w:r>
        <w:rPr>
          <w:b/>
          <w:spacing w:val="-10"/>
          <w:sz w:val="22"/>
        </w:rPr>
        <w:t> </w:t>
      </w:r>
      <w:r>
        <w:rPr>
          <w:b/>
          <w:spacing w:val="-4"/>
          <w:sz w:val="22"/>
        </w:rPr>
        <w:t>Development</w:t>
      </w:r>
      <w:r>
        <w:rPr>
          <w:b/>
          <w:spacing w:val="-10"/>
          <w:sz w:val="22"/>
        </w:rPr>
        <w:t> </w:t>
      </w:r>
      <w:r>
        <w:rPr>
          <w:b/>
          <w:spacing w:val="-4"/>
          <w:sz w:val="22"/>
        </w:rPr>
        <w:t>Coordination</w:t>
      </w:r>
      <w:r>
        <w:rPr>
          <w:b/>
          <w:spacing w:val="-9"/>
          <w:sz w:val="22"/>
        </w:rPr>
        <w:t> </w:t>
      </w:r>
      <w:r>
        <w:rPr>
          <w:b/>
          <w:spacing w:val="-4"/>
          <w:sz w:val="22"/>
        </w:rPr>
        <w:t>Board: </w:t>
      </w:r>
      <w:r>
        <w:rPr>
          <w:sz w:val="22"/>
        </w:rPr>
        <w:t>The Board will enumerate strategies to </w:t>
      </w:r>
      <w:r>
        <w:rPr>
          <w:sz w:val="22"/>
        </w:rPr>
        <w:t>implement decisions of the Prime Minister’s National Council on Skill Development. It would develop operational </w:t>
      </w:r>
      <w:r>
        <w:rPr>
          <w:spacing w:val="-4"/>
          <w:sz w:val="22"/>
        </w:rPr>
        <w:t>guidelines</w:t>
      </w:r>
      <w:r>
        <w:rPr>
          <w:spacing w:val="-10"/>
          <w:sz w:val="22"/>
        </w:rPr>
        <w:t> </w:t>
      </w:r>
      <w:r>
        <w:rPr>
          <w:spacing w:val="-4"/>
          <w:sz w:val="22"/>
        </w:rPr>
        <w:t>and</w:t>
      </w:r>
      <w:r>
        <w:rPr>
          <w:spacing w:val="-10"/>
          <w:sz w:val="22"/>
        </w:rPr>
        <w:t> </w:t>
      </w:r>
      <w:r>
        <w:rPr>
          <w:spacing w:val="-4"/>
          <w:sz w:val="22"/>
        </w:rPr>
        <w:t>instructions</w:t>
      </w:r>
      <w:r>
        <w:rPr>
          <w:spacing w:val="-10"/>
          <w:sz w:val="22"/>
        </w:rPr>
        <w:t> </w:t>
      </w:r>
      <w:r>
        <w:rPr>
          <w:spacing w:val="-4"/>
          <w:sz w:val="22"/>
        </w:rPr>
        <w:t>for</w:t>
      </w:r>
      <w:r>
        <w:rPr>
          <w:spacing w:val="-9"/>
          <w:sz w:val="22"/>
        </w:rPr>
        <w:t> </w:t>
      </w:r>
      <w:r>
        <w:rPr>
          <w:spacing w:val="-4"/>
          <w:sz w:val="22"/>
        </w:rPr>
        <w:t>meeting</w:t>
      </w:r>
      <w:r>
        <w:rPr>
          <w:spacing w:val="-10"/>
          <w:sz w:val="22"/>
        </w:rPr>
        <w:t> </w:t>
      </w:r>
      <w:r>
        <w:rPr>
          <w:spacing w:val="-4"/>
          <w:sz w:val="22"/>
        </w:rPr>
        <w:t>larger</w:t>
      </w:r>
      <w:r>
        <w:rPr>
          <w:spacing w:val="-10"/>
          <w:sz w:val="22"/>
        </w:rPr>
        <w:t> </w:t>
      </w:r>
      <w:r>
        <w:rPr>
          <w:spacing w:val="-4"/>
          <w:sz w:val="22"/>
        </w:rPr>
        <w:t>objectives </w:t>
      </w:r>
      <w:r>
        <w:rPr>
          <w:sz w:val="22"/>
        </w:rPr>
        <w:t>of skill development needs of the country and also make</w:t>
      </w:r>
      <w:r>
        <w:rPr>
          <w:spacing w:val="-4"/>
          <w:sz w:val="22"/>
        </w:rPr>
        <w:t> </w:t>
      </w:r>
      <w:r>
        <w:rPr>
          <w:sz w:val="22"/>
        </w:rPr>
        <w:t>appropriate</w:t>
      </w:r>
      <w:r>
        <w:rPr>
          <w:spacing w:val="-4"/>
          <w:sz w:val="22"/>
        </w:rPr>
        <w:t> </w:t>
      </w:r>
      <w:r>
        <w:rPr>
          <w:sz w:val="22"/>
        </w:rPr>
        <w:t>practical</w:t>
      </w:r>
      <w:r>
        <w:rPr>
          <w:spacing w:val="-4"/>
          <w:sz w:val="22"/>
        </w:rPr>
        <w:t> </w:t>
      </w:r>
      <w:r>
        <w:rPr>
          <w:sz w:val="22"/>
        </w:rPr>
        <w:t>solutions</w:t>
      </w:r>
      <w:r>
        <w:rPr>
          <w:spacing w:val="-4"/>
          <w:sz w:val="22"/>
        </w:rPr>
        <w:t> </w:t>
      </w:r>
      <w:r>
        <w:rPr>
          <w:sz w:val="22"/>
        </w:rPr>
        <w:t>and</w:t>
      </w:r>
      <w:r>
        <w:rPr>
          <w:spacing w:val="-4"/>
          <w:sz w:val="22"/>
        </w:rPr>
        <w:t> </w:t>
      </w:r>
      <w:r>
        <w:rPr>
          <w:sz w:val="22"/>
        </w:rPr>
        <w:t>strategies</w:t>
      </w:r>
      <w:r>
        <w:rPr>
          <w:spacing w:val="-4"/>
          <w:sz w:val="22"/>
        </w:rPr>
        <w:t> </w:t>
      </w:r>
      <w:r>
        <w:rPr>
          <w:sz w:val="22"/>
        </w:rPr>
        <w:t>to be adopted by the Union and State Governments.</w:t>
      </w:r>
    </w:p>
    <w:p>
      <w:pPr>
        <w:pStyle w:val="BodyText"/>
        <w:spacing w:before="20"/>
      </w:pPr>
    </w:p>
    <w:p>
      <w:pPr>
        <w:pStyle w:val="ListParagraph"/>
        <w:numPr>
          <w:ilvl w:val="0"/>
          <w:numId w:val="70"/>
        </w:numPr>
        <w:tabs>
          <w:tab w:pos="664" w:val="left" w:leader="none"/>
        </w:tabs>
        <w:spacing w:line="266" w:lineRule="auto" w:before="0" w:after="0"/>
        <w:ind w:left="319" w:right="1077" w:firstLine="0"/>
        <w:jc w:val="both"/>
        <w:rPr>
          <w:sz w:val="22"/>
        </w:rPr>
      </w:pPr>
      <w:r>
        <w:rPr>
          <w:b/>
          <w:sz w:val="22"/>
        </w:rPr>
        <w:t>National Skill Development Corporation: </w:t>
      </w:r>
      <w:r>
        <w:rPr>
          <w:sz w:val="22"/>
        </w:rPr>
        <w:t>It will</w:t>
      </w:r>
      <w:r>
        <w:rPr>
          <w:spacing w:val="-14"/>
          <w:sz w:val="22"/>
        </w:rPr>
        <w:t> </w:t>
      </w:r>
      <w:r>
        <w:rPr>
          <w:sz w:val="22"/>
        </w:rPr>
        <w:t>develop</w:t>
      </w:r>
      <w:r>
        <w:rPr>
          <w:spacing w:val="-14"/>
          <w:sz w:val="22"/>
        </w:rPr>
        <w:t> </w:t>
      </w:r>
      <w:r>
        <w:rPr>
          <w:sz w:val="22"/>
        </w:rPr>
        <w:t>a</w:t>
      </w:r>
      <w:r>
        <w:rPr>
          <w:spacing w:val="-14"/>
          <w:sz w:val="22"/>
        </w:rPr>
        <w:t> </w:t>
      </w:r>
      <w:r>
        <w:rPr>
          <w:sz w:val="22"/>
        </w:rPr>
        <w:t>system</w:t>
      </w:r>
      <w:r>
        <w:rPr>
          <w:spacing w:val="-13"/>
          <w:sz w:val="22"/>
        </w:rPr>
        <w:t> </w:t>
      </w:r>
      <w:r>
        <w:rPr>
          <w:sz w:val="22"/>
        </w:rPr>
        <w:t>of</w:t>
      </w:r>
      <w:r>
        <w:rPr>
          <w:spacing w:val="-14"/>
          <w:sz w:val="22"/>
        </w:rPr>
        <w:t> </w:t>
      </w:r>
      <w:r>
        <w:rPr>
          <w:sz w:val="22"/>
        </w:rPr>
        <w:t>institutionalising</w:t>
      </w:r>
      <w:r>
        <w:rPr>
          <w:spacing w:val="-14"/>
          <w:sz w:val="22"/>
        </w:rPr>
        <w:t> </w:t>
      </w:r>
      <w:r>
        <w:rPr>
          <w:sz w:val="22"/>
        </w:rPr>
        <w:t>measures</w:t>
      </w:r>
      <w:r>
        <w:rPr>
          <w:spacing w:val="-14"/>
          <w:sz w:val="22"/>
        </w:rPr>
        <w:t> </w:t>
      </w:r>
      <w:r>
        <w:rPr>
          <w:sz w:val="22"/>
        </w:rPr>
        <w:t>to this end.</w:t>
      </w:r>
    </w:p>
    <w:p>
      <w:pPr>
        <w:pStyle w:val="BodyText"/>
        <w:spacing w:before="67"/>
      </w:pPr>
    </w:p>
    <w:p>
      <w:pPr>
        <w:pStyle w:val="Heading7"/>
        <w:spacing w:before="1"/>
      </w:pPr>
      <w:r>
        <w:rPr>
          <w:color w:val="2E614A"/>
          <w:w w:val="90"/>
        </w:rPr>
        <w:t>Higher</w:t>
      </w:r>
      <w:r>
        <w:rPr>
          <w:color w:val="2E614A"/>
          <w:spacing w:val="15"/>
        </w:rPr>
        <w:t> </w:t>
      </w:r>
      <w:r>
        <w:rPr>
          <w:color w:val="2E614A"/>
          <w:w w:val="90"/>
        </w:rPr>
        <w:t>and</w:t>
      </w:r>
      <w:r>
        <w:rPr>
          <w:color w:val="2E614A"/>
          <w:spacing w:val="16"/>
        </w:rPr>
        <w:t> </w:t>
      </w:r>
      <w:r>
        <w:rPr>
          <w:color w:val="2E614A"/>
          <w:w w:val="90"/>
        </w:rPr>
        <w:t>technical</w:t>
      </w:r>
      <w:r>
        <w:rPr>
          <w:color w:val="2E614A"/>
          <w:spacing w:val="16"/>
        </w:rPr>
        <w:t> </w:t>
      </w:r>
      <w:r>
        <w:rPr>
          <w:color w:val="2E614A"/>
          <w:spacing w:val="-2"/>
          <w:w w:val="90"/>
        </w:rPr>
        <w:t>education</w:t>
      </w:r>
    </w:p>
    <w:p>
      <w:pPr>
        <w:pStyle w:val="ListParagraph"/>
        <w:numPr>
          <w:ilvl w:val="0"/>
          <w:numId w:val="69"/>
        </w:numPr>
        <w:tabs>
          <w:tab w:pos="679" w:val="left" w:leader="none"/>
        </w:tabs>
        <w:spacing w:line="266" w:lineRule="auto" w:before="298" w:after="0"/>
        <w:ind w:left="679" w:right="1077" w:hanging="360"/>
        <w:jc w:val="both"/>
        <w:rPr>
          <w:sz w:val="22"/>
        </w:rPr>
      </w:pPr>
      <w:r>
        <w:rPr>
          <w:sz w:val="22"/>
        </w:rPr>
        <w:t>To</w:t>
      </w:r>
      <w:r>
        <w:rPr>
          <w:spacing w:val="-14"/>
          <w:sz w:val="22"/>
        </w:rPr>
        <w:t> </w:t>
      </w:r>
      <w:r>
        <w:rPr>
          <w:sz w:val="22"/>
        </w:rPr>
        <w:t>expand</w:t>
      </w:r>
      <w:r>
        <w:rPr>
          <w:spacing w:val="-14"/>
          <w:sz w:val="22"/>
        </w:rPr>
        <w:t> </w:t>
      </w:r>
      <w:r>
        <w:rPr>
          <w:sz w:val="22"/>
        </w:rPr>
        <w:t>capacity</w:t>
      </w:r>
      <w:r>
        <w:rPr>
          <w:spacing w:val="-14"/>
          <w:sz w:val="22"/>
        </w:rPr>
        <w:t> </w:t>
      </w:r>
      <w:r>
        <w:rPr>
          <w:sz w:val="22"/>
        </w:rPr>
        <w:t>and</w:t>
      </w:r>
      <w:r>
        <w:rPr>
          <w:spacing w:val="-13"/>
          <w:sz w:val="22"/>
        </w:rPr>
        <w:t> </w:t>
      </w:r>
      <w:r>
        <w:rPr>
          <w:sz w:val="22"/>
        </w:rPr>
        <w:t>improve</w:t>
      </w:r>
      <w:r>
        <w:rPr>
          <w:spacing w:val="-14"/>
          <w:sz w:val="22"/>
        </w:rPr>
        <w:t> </w:t>
      </w:r>
      <w:r>
        <w:rPr>
          <w:sz w:val="22"/>
        </w:rPr>
        <w:t>quality</w:t>
      </w:r>
      <w:r>
        <w:rPr>
          <w:spacing w:val="-14"/>
          <w:sz w:val="22"/>
        </w:rPr>
        <w:t> </w:t>
      </w:r>
      <w:r>
        <w:rPr>
          <w:sz w:val="22"/>
        </w:rPr>
        <w:t>of</w:t>
      </w:r>
      <w:r>
        <w:rPr>
          <w:spacing w:val="-14"/>
          <w:sz w:val="22"/>
        </w:rPr>
        <w:t> </w:t>
      </w:r>
      <w:r>
        <w:rPr>
          <w:sz w:val="22"/>
        </w:rPr>
        <w:t>higher education, the Government has sanctioned the setting up of 15 new Central Universities and 14 new</w:t>
      </w:r>
      <w:r>
        <w:rPr>
          <w:spacing w:val="-14"/>
          <w:sz w:val="22"/>
        </w:rPr>
        <w:t> </w:t>
      </w:r>
      <w:r>
        <w:rPr>
          <w:sz w:val="22"/>
        </w:rPr>
        <w:t>Universities</w:t>
      </w:r>
      <w:r>
        <w:rPr>
          <w:spacing w:val="-14"/>
          <w:sz w:val="22"/>
        </w:rPr>
        <w:t> </w:t>
      </w:r>
      <w:r>
        <w:rPr>
          <w:sz w:val="22"/>
        </w:rPr>
        <w:t>based</w:t>
      </w:r>
      <w:r>
        <w:rPr>
          <w:spacing w:val="-14"/>
          <w:sz w:val="22"/>
        </w:rPr>
        <w:t> </w:t>
      </w:r>
      <w:r>
        <w:rPr>
          <w:sz w:val="22"/>
        </w:rPr>
        <w:t>on</w:t>
      </w:r>
      <w:r>
        <w:rPr>
          <w:spacing w:val="-13"/>
          <w:sz w:val="22"/>
        </w:rPr>
        <w:t> </w:t>
      </w:r>
      <w:r>
        <w:rPr>
          <w:sz w:val="22"/>
        </w:rPr>
        <w:t>world-class</w:t>
      </w:r>
      <w:r>
        <w:rPr>
          <w:spacing w:val="-14"/>
          <w:sz w:val="22"/>
        </w:rPr>
        <w:t> </w:t>
      </w:r>
      <w:r>
        <w:rPr>
          <w:sz w:val="22"/>
        </w:rPr>
        <w:t>standards.</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The Government is in the process of setting up eight Indian Institutes of Technology (IITs), </w:t>
      </w:r>
      <w:r>
        <w:rPr>
          <w:sz w:val="22"/>
        </w:rPr>
        <w:t>10 </w:t>
      </w:r>
      <w:r>
        <w:rPr>
          <w:spacing w:val="-2"/>
          <w:sz w:val="22"/>
        </w:rPr>
        <w:t>National</w:t>
      </w:r>
      <w:r>
        <w:rPr>
          <w:spacing w:val="-12"/>
          <w:sz w:val="22"/>
        </w:rPr>
        <w:t> </w:t>
      </w:r>
      <w:r>
        <w:rPr>
          <w:spacing w:val="-2"/>
          <w:sz w:val="22"/>
        </w:rPr>
        <w:t>Institutes</w:t>
      </w:r>
      <w:r>
        <w:rPr>
          <w:spacing w:val="-12"/>
          <w:sz w:val="22"/>
        </w:rPr>
        <w:t> </w:t>
      </w:r>
      <w:r>
        <w:rPr>
          <w:spacing w:val="-2"/>
          <w:sz w:val="22"/>
        </w:rPr>
        <w:t>of</w:t>
      </w:r>
      <w:r>
        <w:rPr>
          <w:spacing w:val="-12"/>
          <w:sz w:val="22"/>
        </w:rPr>
        <w:t> </w:t>
      </w:r>
      <w:r>
        <w:rPr>
          <w:spacing w:val="-2"/>
          <w:sz w:val="22"/>
        </w:rPr>
        <w:t>Technology</w:t>
      </w:r>
      <w:r>
        <w:rPr>
          <w:spacing w:val="-11"/>
          <w:sz w:val="22"/>
        </w:rPr>
        <w:t> </w:t>
      </w:r>
      <w:r>
        <w:rPr>
          <w:spacing w:val="-2"/>
          <w:sz w:val="22"/>
        </w:rPr>
        <w:t>(NIT),</w:t>
      </w:r>
      <w:r>
        <w:rPr>
          <w:spacing w:val="-12"/>
          <w:sz w:val="22"/>
        </w:rPr>
        <w:t> </w:t>
      </w:r>
      <w:r>
        <w:rPr>
          <w:spacing w:val="-2"/>
          <w:sz w:val="22"/>
        </w:rPr>
        <w:t>20</w:t>
      </w:r>
      <w:r>
        <w:rPr>
          <w:spacing w:val="-12"/>
          <w:sz w:val="22"/>
        </w:rPr>
        <w:t> </w:t>
      </w:r>
      <w:r>
        <w:rPr>
          <w:spacing w:val="-2"/>
          <w:sz w:val="22"/>
        </w:rPr>
        <w:t>Indian </w:t>
      </w:r>
      <w:r>
        <w:rPr>
          <w:sz w:val="22"/>
        </w:rPr>
        <w:t>Institutes of Information Technology (IIITs) as far as possible in the Public-Private Partnership </w:t>
      </w:r>
      <w:r>
        <w:rPr>
          <w:spacing w:val="-2"/>
          <w:sz w:val="22"/>
        </w:rPr>
        <w:t>mode,</w:t>
      </w:r>
      <w:r>
        <w:rPr>
          <w:spacing w:val="-9"/>
          <w:sz w:val="22"/>
        </w:rPr>
        <w:t> </w:t>
      </w:r>
      <w:r>
        <w:rPr>
          <w:spacing w:val="-2"/>
          <w:sz w:val="22"/>
        </w:rPr>
        <w:t>three</w:t>
      </w:r>
      <w:r>
        <w:rPr>
          <w:spacing w:val="-9"/>
          <w:sz w:val="22"/>
        </w:rPr>
        <w:t> </w:t>
      </w:r>
      <w:r>
        <w:rPr>
          <w:spacing w:val="-2"/>
          <w:sz w:val="22"/>
        </w:rPr>
        <w:t>Indian</w:t>
      </w:r>
      <w:r>
        <w:rPr>
          <w:spacing w:val="-9"/>
          <w:sz w:val="22"/>
        </w:rPr>
        <w:t> </w:t>
      </w:r>
      <w:r>
        <w:rPr>
          <w:spacing w:val="-2"/>
          <w:sz w:val="22"/>
        </w:rPr>
        <w:t>Institutes</w:t>
      </w:r>
      <w:r>
        <w:rPr>
          <w:spacing w:val="-9"/>
          <w:sz w:val="22"/>
        </w:rPr>
        <w:t> </w:t>
      </w:r>
      <w:r>
        <w:rPr>
          <w:spacing w:val="-2"/>
          <w:sz w:val="22"/>
        </w:rPr>
        <w:t>of</w:t>
      </w:r>
      <w:r>
        <w:rPr>
          <w:spacing w:val="-9"/>
          <w:sz w:val="22"/>
        </w:rPr>
        <w:t> </w:t>
      </w:r>
      <w:r>
        <w:rPr>
          <w:spacing w:val="-2"/>
          <w:sz w:val="22"/>
        </w:rPr>
        <w:t>Science</w:t>
      </w:r>
      <w:r>
        <w:rPr>
          <w:spacing w:val="-9"/>
          <w:sz w:val="22"/>
        </w:rPr>
        <w:t> </w:t>
      </w:r>
      <w:r>
        <w:rPr>
          <w:spacing w:val="-2"/>
          <w:sz w:val="22"/>
        </w:rPr>
        <w:t>Education </w:t>
      </w:r>
      <w:r>
        <w:rPr>
          <w:sz w:val="22"/>
        </w:rPr>
        <w:t>and</w:t>
      </w:r>
      <w:r>
        <w:rPr>
          <w:spacing w:val="-8"/>
          <w:sz w:val="22"/>
        </w:rPr>
        <w:t> </w:t>
      </w:r>
      <w:r>
        <w:rPr>
          <w:sz w:val="22"/>
        </w:rPr>
        <w:t>Research</w:t>
      </w:r>
      <w:r>
        <w:rPr>
          <w:spacing w:val="-8"/>
          <w:sz w:val="22"/>
        </w:rPr>
        <w:t> </w:t>
      </w:r>
      <w:r>
        <w:rPr>
          <w:sz w:val="22"/>
        </w:rPr>
        <w:t>(IISERs),</w:t>
      </w:r>
      <w:r>
        <w:rPr>
          <w:spacing w:val="-8"/>
          <w:sz w:val="22"/>
        </w:rPr>
        <w:t> </w:t>
      </w:r>
      <w:r>
        <w:rPr>
          <w:sz w:val="22"/>
        </w:rPr>
        <w:t>seven</w:t>
      </w:r>
      <w:r>
        <w:rPr>
          <w:spacing w:val="-8"/>
          <w:sz w:val="22"/>
        </w:rPr>
        <w:t> </w:t>
      </w:r>
      <w:r>
        <w:rPr>
          <w:sz w:val="22"/>
        </w:rPr>
        <w:t>Indian</w:t>
      </w:r>
      <w:r>
        <w:rPr>
          <w:spacing w:val="-8"/>
          <w:sz w:val="22"/>
        </w:rPr>
        <w:t> </w:t>
      </w:r>
      <w:r>
        <w:rPr>
          <w:sz w:val="22"/>
        </w:rPr>
        <w:t>Institutes</w:t>
      </w:r>
      <w:r>
        <w:rPr>
          <w:spacing w:val="-8"/>
          <w:sz w:val="22"/>
        </w:rPr>
        <w:t> </w:t>
      </w:r>
      <w:r>
        <w:rPr>
          <w:sz w:val="22"/>
        </w:rPr>
        <w:t>of Management</w:t>
      </w:r>
      <w:r>
        <w:rPr>
          <w:spacing w:val="-11"/>
          <w:sz w:val="22"/>
        </w:rPr>
        <w:t> </w:t>
      </w:r>
      <w:r>
        <w:rPr>
          <w:sz w:val="22"/>
        </w:rPr>
        <w:t>(IIMs)</w:t>
      </w:r>
      <w:r>
        <w:rPr>
          <w:spacing w:val="-11"/>
          <w:sz w:val="22"/>
        </w:rPr>
        <w:t> </w:t>
      </w:r>
      <w:r>
        <w:rPr>
          <w:sz w:val="22"/>
        </w:rPr>
        <w:t>and</w:t>
      </w:r>
      <w:r>
        <w:rPr>
          <w:spacing w:val="-11"/>
          <w:sz w:val="22"/>
        </w:rPr>
        <w:t> </w:t>
      </w:r>
      <w:r>
        <w:rPr>
          <w:sz w:val="22"/>
        </w:rPr>
        <w:t>two</w:t>
      </w:r>
      <w:r>
        <w:rPr>
          <w:spacing w:val="-11"/>
          <w:sz w:val="22"/>
        </w:rPr>
        <w:t> </w:t>
      </w:r>
      <w:r>
        <w:rPr>
          <w:sz w:val="22"/>
        </w:rPr>
        <w:t>Schools</w:t>
      </w:r>
      <w:r>
        <w:rPr>
          <w:spacing w:val="-11"/>
          <w:sz w:val="22"/>
        </w:rPr>
        <w:t> </w:t>
      </w:r>
      <w:r>
        <w:rPr>
          <w:sz w:val="22"/>
        </w:rPr>
        <w:t>of</w:t>
      </w:r>
      <w:r>
        <w:rPr>
          <w:spacing w:val="-11"/>
          <w:sz w:val="22"/>
        </w:rPr>
        <w:t> </w:t>
      </w:r>
      <w:r>
        <w:rPr>
          <w:sz w:val="22"/>
        </w:rPr>
        <w:t>Planning and Architecture (SPA).</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The</w:t>
      </w:r>
      <w:r>
        <w:rPr>
          <w:spacing w:val="-12"/>
          <w:sz w:val="22"/>
        </w:rPr>
        <w:t> </w:t>
      </w:r>
      <w:r>
        <w:rPr>
          <w:sz w:val="22"/>
        </w:rPr>
        <w:t>Committee</w:t>
      </w:r>
      <w:r>
        <w:rPr>
          <w:spacing w:val="-12"/>
          <w:sz w:val="22"/>
        </w:rPr>
        <w:t> </w:t>
      </w:r>
      <w:r>
        <w:rPr>
          <w:sz w:val="22"/>
        </w:rPr>
        <w:t>for</w:t>
      </w:r>
      <w:r>
        <w:rPr>
          <w:spacing w:val="-12"/>
          <w:sz w:val="22"/>
        </w:rPr>
        <w:t> </w:t>
      </w:r>
      <w:r>
        <w:rPr>
          <w:sz w:val="22"/>
        </w:rPr>
        <w:t>Rejuvenation</w:t>
      </w:r>
      <w:r>
        <w:rPr>
          <w:spacing w:val="-12"/>
          <w:sz w:val="22"/>
        </w:rPr>
        <w:t> </w:t>
      </w:r>
      <w:r>
        <w:rPr>
          <w:sz w:val="22"/>
        </w:rPr>
        <w:t>and</w:t>
      </w:r>
      <w:r>
        <w:rPr>
          <w:spacing w:val="-12"/>
          <w:sz w:val="22"/>
        </w:rPr>
        <w:t> </w:t>
      </w:r>
      <w:r>
        <w:rPr>
          <w:sz w:val="22"/>
        </w:rPr>
        <w:t>Renovation of Higher Education, set up for the review </w:t>
      </w:r>
      <w:r>
        <w:rPr>
          <w:sz w:val="22"/>
        </w:rPr>
        <w:t>of UGC/AICTE has submitted its report.</w:t>
      </w:r>
    </w:p>
    <w:p>
      <w:pPr>
        <w:pStyle w:val="ListParagraph"/>
        <w:numPr>
          <w:ilvl w:val="0"/>
          <w:numId w:val="69"/>
        </w:numPr>
        <w:tabs>
          <w:tab w:pos="679" w:val="left" w:leader="none"/>
        </w:tabs>
        <w:spacing w:line="266" w:lineRule="auto" w:before="0" w:after="0"/>
        <w:ind w:left="679" w:right="1077" w:hanging="360"/>
        <w:jc w:val="both"/>
        <w:rPr>
          <w:sz w:val="22"/>
        </w:rPr>
      </w:pPr>
      <w:r>
        <w:rPr>
          <w:spacing w:val="-2"/>
          <w:sz w:val="22"/>
        </w:rPr>
        <w:t>The</w:t>
      </w:r>
      <w:r>
        <w:rPr>
          <w:spacing w:val="-7"/>
          <w:sz w:val="22"/>
        </w:rPr>
        <w:t> </w:t>
      </w:r>
      <w:r>
        <w:rPr>
          <w:spacing w:val="-2"/>
          <w:sz w:val="22"/>
        </w:rPr>
        <w:t>Science</w:t>
      </w:r>
      <w:r>
        <w:rPr>
          <w:spacing w:val="-7"/>
          <w:sz w:val="22"/>
        </w:rPr>
        <w:t> </w:t>
      </w:r>
      <w:r>
        <w:rPr>
          <w:spacing w:val="-2"/>
          <w:sz w:val="22"/>
        </w:rPr>
        <w:t>and</w:t>
      </w:r>
      <w:r>
        <w:rPr>
          <w:spacing w:val="-7"/>
          <w:sz w:val="22"/>
        </w:rPr>
        <w:t> </w:t>
      </w:r>
      <w:r>
        <w:rPr>
          <w:spacing w:val="-2"/>
          <w:sz w:val="22"/>
        </w:rPr>
        <w:t>Engineering</w:t>
      </w:r>
      <w:r>
        <w:rPr>
          <w:spacing w:val="-7"/>
          <w:sz w:val="22"/>
        </w:rPr>
        <w:t> </w:t>
      </w:r>
      <w:r>
        <w:rPr>
          <w:spacing w:val="-2"/>
          <w:sz w:val="22"/>
        </w:rPr>
        <w:t>Research</w:t>
      </w:r>
      <w:r>
        <w:rPr>
          <w:spacing w:val="-7"/>
          <w:sz w:val="22"/>
        </w:rPr>
        <w:t> </w:t>
      </w:r>
      <w:r>
        <w:rPr>
          <w:spacing w:val="-2"/>
          <w:sz w:val="22"/>
        </w:rPr>
        <w:t>Board</w:t>
      </w:r>
      <w:r>
        <w:rPr>
          <w:spacing w:val="-7"/>
          <w:sz w:val="22"/>
        </w:rPr>
        <w:t> </w:t>
      </w:r>
      <w:r>
        <w:rPr>
          <w:spacing w:val="-2"/>
          <w:sz w:val="22"/>
        </w:rPr>
        <w:t>Bill </w:t>
      </w:r>
      <w:r>
        <w:rPr>
          <w:sz w:val="22"/>
        </w:rPr>
        <w:t>2008 has been introduced in the Parliament.</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The National Mission on Education </w:t>
      </w:r>
      <w:r>
        <w:rPr>
          <w:sz w:val="22"/>
        </w:rPr>
        <w:t>through Information and Communication Technology (ICT)</w:t>
      </w:r>
      <w:r>
        <w:rPr>
          <w:spacing w:val="-7"/>
          <w:sz w:val="22"/>
        </w:rPr>
        <w:t> </w:t>
      </w:r>
      <w:r>
        <w:rPr>
          <w:sz w:val="22"/>
        </w:rPr>
        <w:t>has</w:t>
      </w:r>
      <w:r>
        <w:rPr>
          <w:spacing w:val="-7"/>
          <w:sz w:val="22"/>
        </w:rPr>
        <w:t> </w:t>
      </w:r>
      <w:r>
        <w:rPr>
          <w:sz w:val="22"/>
        </w:rPr>
        <w:t>been</w:t>
      </w:r>
      <w:r>
        <w:rPr>
          <w:spacing w:val="-7"/>
          <w:sz w:val="22"/>
        </w:rPr>
        <w:t> </w:t>
      </w:r>
      <w:r>
        <w:rPr>
          <w:sz w:val="22"/>
        </w:rPr>
        <w:t>launched</w:t>
      </w:r>
      <w:r>
        <w:rPr>
          <w:spacing w:val="-7"/>
          <w:sz w:val="22"/>
        </w:rPr>
        <w:t> </w:t>
      </w:r>
      <w:r>
        <w:rPr>
          <w:sz w:val="22"/>
        </w:rPr>
        <w:t>to</w:t>
      </w:r>
      <w:r>
        <w:rPr>
          <w:spacing w:val="-7"/>
          <w:sz w:val="22"/>
        </w:rPr>
        <w:t> </w:t>
      </w:r>
      <w:r>
        <w:rPr>
          <w:sz w:val="22"/>
        </w:rPr>
        <w:t>leverage</w:t>
      </w:r>
      <w:r>
        <w:rPr>
          <w:spacing w:val="-7"/>
          <w:sz w:val="22"/>
        </w:rPr>
        <w:t> </w:t>
      </w:r>
      <w:r>
        <w:rPr>
          <w:sz w:val="22"/>
        </w:rPr>
        <w:t>the</w:t>
      </w:r>
      <w:r>
        <w:rPr>
          <w:spacing w:val="-7"/>
          <w:sz w:val="22"/>
        </w:rPr>
        <w:t> </w:t>
      </w:r>
      <w:r>
        <w:rPr>
          <w:sz w:val="22"/>
        </w:rPr>
        <w:t>potential of ICT in the teaching learning process with an aim</w:t>
      </w:r>
      <w:r>
        <w:rPr>
          <w:spacing w:val="40"/>
          <w:sz w:val="22"/>
        </w:rPr>
        <w:t> </w:t>
      </w:r>
      <w:r>
        <w:rPr>
          <w:sz w:val="22"/>
        </w:rPr>
        <w:t>to</w:t>
      </w:r>
      <w:r>
        <w:rPr>
          <w:spacing w:val="40"/>
          <w:sz w:val="22"/>
        </w:rPr>
        <w:t> </w:t>
      </w:r>
      <w:r>
        <w:rPr>
          <w:sz w:val="22"/>
        </w:rPr>
        <w:t>enhance</w:t>
      </w:r>
      <w:r>
        <w:rPr>
          <w:spacing w:val="40"/>
          <w:sz w:val="22"/>
        </w:rPr>
        <w:t> </w:t>
      </w:r>
      <w:r>
        <w:rPr>
          <w:sz w:val="22"/>
        </w:rPr>
        <w:t>the</w:t>
      </w:r>
      <w:r>
        <w:rPr>
          <w:spacing w:val="40"/>
          <w:sz w:val="22"/>
        </w:rPr>
        <w:t> </w:t>
      </w:r>
      <w:r>
        <w:rPr>
          <w:sz w:val="22"/>
        </w:rPr>
        <w:t>GER</w:t>
      </w:r>
      <w:r>
        <w:rPr>
          <w:spacing w:val="40"/>
          <w:sz w:val="22"/>
        </w:rPr>
        <w:t> </w:t>
      </w:r>
      <w:r>
        <w:rPr>
          <w:sz w:val="22"/>
        </w:rPr>
        <w:t>in</w:t>
      </w:r>
      <w:r>
        <w:rPr>
          <w:spacing w:val="40"/>
          <w:sz w:val="22"/>
        </w:rPr>
        <w:t> </w:t>
      </w:r>
      <w:r>
        <w:rPr>
          <w:sz w:val="22"/>
        </w:rPr>
        <w:t>Higher</w:t>
      </w:r>
      <w:r>
        <w:rPr>
          <w:spacing w:val="40"/>
          <w:sz w:val="22"/>
        </w:rPr>
        <w:t> </w:t>
      </w:r>
      <w:r>
        <w:rPr>
          <w:sz w:val="22"/>
        </w:rPr>
        <w:t>Education</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BodyText"/>
        <w:spacing w:line="266" w:lineRule="auto" w:before="97"/>
        <w:ind w:left="1440"/>
        <w:jc w:val="both"/>
      </w:pPr>
      <w:r>
        <w:rPr/>
        <w:t>by 5 percentage points by the end of the </w:t>
      </w:r>
      <w:r>
        <w:rPr/>
        <w:t>XI</w:t>
      </w:r>
      <w:r>
        <w:rPr>
          <w:spacing w:val="80"/>
        </w:rPr>
        <w:t> </w:t>
      </w:r>
      <w:r>
        <w:rPr/>
        <w:t>Plan. Under this Mission 20,000 institutions of Higher Education and nearly 10,000 University Departments will be provided connectivity, </w:t>
      </w:r>
      <w:r>
        <w:rPr>
          <w:spacing w:val="-2"/>
        </w:rPr>
        <w:t>beginning</w:t>
      </w:r>
      <w:r>
        <w:rPr>
          <w:spacing w:val="-12"/>
        </w:rPr>
        <w:t> </w:t>
      </w:r>
      <w:r>
        <w:rPr>
          <w:spacing w:val="-2"/>
        </w:rPr>
        <w:t>with</w:t>
      </w:r>
      <w:r>
        <w:rPr>
          <w:spacing w:val="-12"/>
        </w:rPr>
        <w:t> </w:t>
      </w:r>
      <w:r>
        <w:rPr>
          <w:spacing w:val="-2"/>
        </w:rPr>
        <w:t>a</w:t>
      </w:r>
      <w:r>
        <w:rPr>
          <w:spacing w:val="-12"/>
        </w:rPr>
        <w:t> </w:t>
      </w:r>
      <w:r>
        <w:rPr>
          <w:spacing w:val="-2"/>
        </w:rPr>
        <w:t>minimum</w:t>
      </w:r>
      <w:r>
        <w:rPr>
          <w:spacing w:val="-11"/>
        </w:rPr>
        <w:t> </w:t>
      </w:r>
      <w:r>
        <w:rPr>
          <w:spacing w:val="-2"/>
        </w:rPr>
        <w:t>of</w:t>
      </w:r>
      <w:r>
        <w:rPr>
          <w:spacing w:val="-12"/>
        </w:rPr>
        <w:t> </w:t>
      </w:r>
      <w:r>
        <w:rPr>
          <w:spacing w:val="-2"/>
        </w:rPr>
        <w:t>5</w:t>
      </w:r>
      <w:r>
        <w:rPr>
          <w:spacing w:val="-12"/>
        </w:rPr>
        <w:t> </w:t>
      </w:r>
      <w:r>
        <w:rPr>
          <w:spacing w:val="-2"/>
        </w:rPr>
        <w:t>Mbps</w:t>
      </w:r>
      <w:r>
        <w:rPr>
          <w:spacing w:val="-12"/>
        </w:rPr>
        <w:t> </w:t>
      </w:r>
      <w:r>
        <w:rPr>
          <w:spacing w:val="-2"/>
        </w:rPr>
        <w:t>for</w:t>
      </w:r>
      <w:r>
        <w:rPr>
          <w:spacing w:val="-11"/>
        </w:rPr>
        <w:t> </w:t>
      </w:r>
      <w:r>
        <w:rPr>
          <w:spacing w:val="-2"/>
        </w:rPr>
        <w:t>each</w:t>
      </w:r>
      <w:r>
        <w:rPr>
          <w:spacing w:val="-12"/>
        </w:rPr>
        <w:t> </w:t>
      </w:r>
      <w:r>
        <w:rPr>
          <w:spacing w:val="-2"/>
        </w:rPr>
        <w:t>one </w:t>
      </w:r>
      <w:r>
        <w:rPr/>
        <w:t>of</w:t>
      </w:r>
      <w:r>
        <w:rPr>
          <w:spacing w:val="-16"/>
        </w:rPr>
        <w:t> </w:t>
      </w:r>
      <w:r>
        <w:rPr/>
        <w:t>them.</w:t>
      </w:r>
      <w:r>
        <w:rPr>
          <w:spacing w:val="-14"/>
        </w:rPr>
        <w:t> </w:t>
      </w:r>
      <w:r>
        <w:rPr/>
        <w:t>The</w:t>
      </w:r>
      <w:r>
        <w:rPr>
          <w:spacing w:val="-14"/>
        </w:rPr>
        <w:t> </w:t>
      </w:r>
      <w:r>
        <w:rPr/>
        <w:t>Central</w:t>
      </w:r>
      <w:r>
        <w:rPr>
          <w:spacing w:val="-13"/>
        </w:rPr>
        <w:t> </w:t>
      </w:r>
      <w:r>
        <w:rPr/>
        <w:t>Government</w:t>
      </w:r>
      <w:r>
        <w:rPr>
          <w:spacing w:val="-14"/>
        </w:rPr>
        <w:t> </w:t>
      </w:r>
      <w:r>
        <w:rPr/>
        <w:t>will</w:t>
      </w:r>
      <w:r>
        <w:rPr>
          <w:spacing w:val="-14"/>
        </w:rPr>
        <w:t> </w:t>
      </w:r>
      <w:r>
        <w:rPr/>
        <w:t>bear</w:t>
      </w:r>
      <w:r>
        <w:rPr>
          <w:spacing w:val="-14"/>
        </w:rPr>
        <w:t> </w:t>
      </w:r>
      <w:r>
        <w:rPr/>
        <w:t>75</w:t>
      </w:r>
      <w:r>
        <w:rPr>
          <w:spacing w:val="-13"/>
        </w:rPr>
        <w:t> </w:t>
      </w:r>
      <w:r>
        <w:rPr/>
        <w:t>per </w:t>
      </w:r>
      <w:r>
        <w:rPr>
          <w:spacing w:val="-6"/>
        </w:rPr>
        <w:t>cent</w:t>
      </w:r>
      <w:r>
        <w:rPr>
          <w:spacing w:val="-8"/>
        </w:rPr>
        <w:t> </w:t>
      </w:r>
      <w:r>
        <w:rPr>
          <w:spacing w:val="-6"/>
        </w:rPr>
        <w:t>of</w:t>
      </w:r>
      <w:r>
        <w:rPr>
          <w:spacing w:val="-8"/>
        </w:rPr>
        <w:t> </w:t>
      </w:r>
      <w:r>
        <w:rPr>
          <w:spacing w:val="-6"/>
        </w:rPr>
        <w:t>the</w:t>
      </w:r>
      <w:r>
        <w:rPr>
          <w:spacing w:val="-7"/>
        </w:rPr>
        <w:t> </w:t>
      </w:r>
      <w:r>
        <w:rPr>
          <w:spacing w:val="-6"/>
        </w:rPr>
        <w:t>connectivity</w:t>
      </w:r>
      <w:r>
        <w:rPr>
          <w:spacing w:val="-8"/>
        </w:rPr>
        <w:t> </w:t>
      </w:r>
      <w:r>
        <w:rPr>
          <w:spacing w:val="-6"/>
        </w:rPr>
        <w:t>charges</w:t>
      </w:r>
      <w:r>
        <w:rPr>
          <w:spacing w:val="-8"/>
        </w:rPr>
        <w:t> </w:t>
      </w:r>
      <w:r>
        <w:rPr>
          <w:spacing w:val="-6"/>
        </w:rPr>
        <w:t>for</w:t>
      </w:r>
      <w:r>
        <w:rPr>
          <w:spacing w:val="-7"/>
        </w:rPr>
        <w:t> </w:t>
      </w:r>
      <w:r>
        <w:rPr>
          <w:spacing w:val="-6"/>
        </w:rPr>
        <w:t>5</w:t>
      </w:r>
      <w:r>
        <w:rPr>
          <w:spacing w:val="-8"/>
        </w:rPr>
        <w:t> </w:t>
      </w:r>
      <w:r>
        <w:rPr>
          <w:spacing w:val="-6"/>
        </w:rPr>
        <w:t>years,</w:t>
      </w:r>
      <w:r>
        <w:rPr>
          <w:spacing w:val="-8"/>
        </w:rPr>
        <w:t> </w:t>
      </w:r>
      <w:r>
        <w:rPr>
          <w:spacing w:val="-6"/>
        </w:rPr>
        <w:t>even</w:t>
      </w:r>
      <w:r>
        <w:rPr>
          <w:spacing w:val="-7"/>
        </w:rPr>
        <w:t> </w:t>
      </w:r>
      <w:r>
        <w:rPr>
          <w:spacing w:val="-6"/>
        </w:rPr>
        <w:t>for </w:t>
      </w:r>
      <w:r>
        <w:rPr/>
        <w:t>institutions</w:t>
      </w:r>
      <w:r>
        <w:rPr>
          <w:spacing w:val="-14"/>
        </w:rPr>
        <w:t> </w:t>
      </w:r>
      <w:r>
        <w:rPr/>
        <w:t>not</w:t>
      </w:r>
      <w:r>
        <w:rPr>
          <w:spacing w:val="-14"/>
        </w:rPr>
        <w:t> </w:t>
      </w:r>
      <w:r>
        <w:rPr/>
        <w:t>belonging</w:t>
      </w:r>
      <w:r>
        <w:rPr>
          <w:spacing w:val="-14"/>
        </w:rPr>
        <w:t> </w:t>
      </w:r>
      <w:r>
        <w:rPr/>
        <w:t>to</w:t>
      </w:r>
      <w:r>
        <w:rPr>
          <w:spacing w:val="-13"/>
        </w:rPr>
        <w:t> </w:t>
      </w:r>
      <w:r>
        <w:rPr/>
        <w:t>it.</w:t>
      </w:r>
      <w:r>
        <w:rPr>
          <w:spacing w:val="-14"/>
        </w:rPr>
        <w:t> </w:t>
      </w:r>
      <w:r>
        <w:rPr/>
        <w:t>The</w:t>
      </w:r>
      <w:r>
        <w:rPr>
          <w:spacing w:val="-14"/>
        </w:rPr>
        <w:t> </w:t>
      </w:r>
      <w:r>
        <w:rPr/>
        <w:t>estimated</w:t>
      </w:r>
      <w:r>
        <w:rPr>
          <w:spacing w:val="-14"/>
        </w:rPr>
        <w:t> </w:t>
      </w:r>
      <w:r>
        <w:rPr/>
        <w:t>cost of the Mission is Rs. 4612 crore.</w:t>
      </w:r>
    </w:p>
    <w:p>
      <w:pPr>
        <w:pStyle w:val="Heading7"/>
        <w:spacing w:before="236"/>
        <w:ind w:left="1080"/>
      </w:pPr>
      <w:r>
        <w:rPr>
          <w:color w:val="2E614A"/>
          <w:w w:val="90"/>
        </w:rPr>
        <w:t>Integrated</w:t>
      </w:r>
      <w:r>
        <w:rPr>
          <w:color w:val="2E614A"/>
          <w:spacing w:val="21"/>
        </w:rPr>
        <w:t> </w:t>
      </w:r>
      <w:r>
        <w:rPr>
          <w:color w:val="2E614A"/>
          <w:w w:val="90"/>
        </w:rPr>
        <w:t>National</w:t>
      </w:r>
      <w:r>
        <w:rPr>
          <w:color w:val="2E614A"/>
          <w:spacing w:val="22"/>
        </w:rPr>
        <w:t> </w:t>
      </w:r>
      <w:r>
        <w:rPr>
          <w:color w:val="2E614A"/>
          <w:w w:val="90"/>
        </w:rPr>
        <w:t>Knowledge</w:t>
      </w:r>
      <w:r>
        <w:rPr>
          <w:color w:val="2E614A"/>
          <w:spacing w:val="22"/>
        </w:rPr>
        <w:t> </w:t>
      </w:r>
      <w:r>
        <w:rPr>
          <w:color w:val="2E614A"/>
          <w:spacing w:val="-2"/>
          <w:w w:val="90"/>
        </w:rPr>
        <w:t>Network</w:t>
      </w:r>
    </w:p>
    <w:p>
      <w:pPr>
        <w:pStyle w:val="ListParagraph"/>
        <w:numPr>
          <w:ilvl w:val="1"/>
          <w:numId w:val="69"/>
        </w:numPr>
        <w:tabs>
          <w:tab w:pos="1439" w:val="left" w:leader="none"/>
        </w:tabs>
        <w:spacing w:line="266" w:lineRule="auto" w:before="298" w:after="0"/>
        <w:ind w:left="1439" w:right="0" w:hanging="360"/>
        <w:jc w:val="both"/>
        <w:rPr>
          <w:sz w:val="22"/>
        </w:rPr>
      </w:pPr>
      <w:r>
        <w:rPr>
          <w:sz w:val="22"/>
        </w:rPr>
        <w:t>During</w:t>
      </w:r>
      <w:r>
        <w:rPr>
          <w:spacing w:val="-3"/>
          <w:sz w:val="22"/>
        </w:rPr>
        <w:t> </w:t>
      </w:r>
      <w:r>
        <w:rPr>
          <w:sz w:val="22"/>
        </w:rPr>
        <w:t>2008-09</w:t>
      </w:r>
      <w:r>
        <w:rPr>
          <w:spacing w:val="-3"/>
          <w:sz w:val="22"/>
        </w:rPr>
        <w:t> </w:t>
      </w:r>
      <w:r>
        <w:rPr>
          <w:sz w:val="22"/>
        </w:rPr>
        <w:t>Rs.</w:t>
      </w:r>
      <w:r>
        <w:rPr>
          <w:spacing w:val="-3"/>
          <w:sz w:val="22"/>
        </w:rPr>
        <w:t> </w:t>
      </w:r>
      <w:r>
        <w:rPr>
          <w:sz w:val="22"/>
        </w:rPr>
        <w:t>100</w:t>
      </w:r>
      <w:r>
        <w:rPr>
          <w:spacing w:val="-3"/>
          <w:sz w:val="22"/>
        </w:rPr>
        <w:t> </w:t>
      </w:r>
      <w:r>
        <w:rPr>
          <w:sz w:val="22"/>
        </w:rPr>
        <w:t>crore</w:t>
      </w:r>
      <w:r>
        <w:rPr>
          <w:spacing w:val="-3"/>
          <w:sz w:val="22"/>
        </w:rPr>
        <w:t> </w:t>
      </w:r>
      <w:r>
        <w:rPr>
          <w:sz w:val="22"/>
        </w:rPr>
        <w:t>has</w:t>
      </w:r>
      <w:r>
        <w:rPr>
          <w:spacing w:val="-3"/>
          <w:sz w:val="22"/>
        </w:rPr>
        <w:t> </w:t>
      </w:r>
      <w:r>
        <w:rPr>
          <w:sz w:val="22"/>
        </w:rPr>
        <w:t>been</w:t>
      </w:r>
      <w:r>
        <w:rPr>
          <w:spacing w:val="-3"/>
          <w:sz w:val="22"/>
        </w:rPr>
        <w:t> </w:t>
      </w:r>
      <w:r>
        <w:rPr>
          <w:sz w:val="22"/>
        </w:rPr>
        <w:t>allocated for the National Knowledge Network (NKN) which proposes interconnecting all knowledge </w:t>
      </w:r>
      <w:r>
        <w:rPr>
          <w:spacing w:val="-2"/>
          <w:sz w:val="22"/>
        </w:rPr>
        <w:t>institutions</w:t>
      </w:r>
      <w:r>
        <w:rPr>
          <w:spacing w:val="-12"/>
          <w:sz w:val="22"/>
        </w:rPr>
        <w:t> </w:t>
      </w:r>
      <w:r>
        <w:rPr>
          <w:spacing w:val="-2"/>
          <w:sz w:val="22"/>
        </w:rPr>
        <w:t>in</w:t>
      </w:r>
      <w:r>
        <w:rPr>
          <w:spacing w:val="-12"/>
          <w:sz w:val="22"/>
        </w:rPr>
        <w:t> </w:t>
      </w:r>
      <w:r>
        <w:rPr>
          <w:spacing w:val="-2"/>
          <w:sz w:val="22"/>
        </w:rPr>
        <w:t>the</w:t>
      </w:r>
      <w:r>
        <w:rPr>
          <w:spacing w:val="-12"/>
          <w:sz w:val="22"/>
        </w:rPr>
        <w:t> </w:t>
      </w:r>
      <w:r>
        <w:rPr>
          <w:spacing w:val="-2"/>
          <w:sz w:val="22"/>
        </w:rPr>
        <w:t>country</w:t>
      </w:r>
      <w:r>
        <w:rPr>
          <w:spacing w:val="-11"/>
          <w:sz w:val="22"/>
        </w:rPr>
        <w:t> </w:t>
      </w:r>
      <w:r>
        <w:rPr>
          <w:spacing w:val="-2"/>
          <w:sz w:val="22"/>
        </w:rPr>
        <w:t>with</w:t>
      </w:r>
      <w:r>
        <w:rPr>
          <w:spacing w:val="-12"/>
          <w:sz w:val="22"/>
        </w:rPr>
        <w:t> </w:t>
      </w:r>
      <w:r>
        <w:rPr>
          <w:spacing w:val="-2"/>
          <w:sz w:val="22"/>
        </w:rPr>
        <w:t>gigabit</w:t>
      </w:r>
      <w:r>
        <w:rPr>
          <w:spacing w:val="-12"/>
          <w:sz w:val="22"/>
        </w:rPr>
        <w:t> </w:t>
      </w:r>
      <w:r>
        <w:rPr>
          <w:spacing w:val="-2"/>
          <w:sz w:val="22"/>
        </w:rPr>
        <w:t>capabilities, </w:t>
      </w:r>
      <w:r>
        <w:rPr>
          <w:sz w:val="22"/>
        </w:rPr>
        <w:t>for sharing resources and research. A high level committee (HLC) constituted by the Department of Information and</w:t>
      </w:r>
      <w:r>
        <w:rPr>
          <w:spacing w:val="-3"/>
          <w:sz w:val="22"/>
        </w:rPr>
        <w:t> </w:t>
      </w:r>
      <w:r>
        <w:rPr>
          <w:sz w:val="22"/>
        </w:rPr>
        <w:t>Technology (DIT), under the chairmanship</w:t>
      </w:r>
      <w:r>
        <w:rPr>
          <w:spacing w:val="-2"/>
          <w:sz w:val="22"/>
        </w:rPr>
        <w:t> </w:t>
      </w:r>
      <w:r>
        <w:rPr>
          <w:sz w:val="22"/>
        </w:rPr>
        <w:t>of</w:t>
      </w:r>
      <w:r>
        <w:rPr>
          <w:spacing w:val="-2"/>
          <w:sz w:val="22"/>
        </w:rPr>
        <w:t> </w:t>
      </w:r>
      <w:r>
        <w:rPr>
          <w:sz w:val="22"/>
        </w:rPr>
        <w:t>the</w:t>
      </w:r>
      <w:r>
        <w:rPr>
          <w:spacing w:val="-2"/>
          <w:sz w:val="22"/>
        </w:rPr>
        <w:t> </w:t>
      </w:r>
      <w:r>
        <w:rPr>
          <w:sz w:val="22"/>
        </w:rPr>
        <w:t>Principal</w:t>
      </w:r>
      <w:r>
        <w:rPr>
          <w:spacing w:val="-2"/>
          <w:sz w:val="22"/>
        </w:rPr>
        <w:t> </w:t>
      </w:r>
      <w:r>
        <w:rPr>
          <w:sz w:val="22"/>
        </w:rPr>
        <w:t>Scientific</w:t>
      </w:r>
      <w:r>
        <w:rPr>
          <w:spacing w:val="-2"/>
          <w:sz w:val="22"/>
        </w:rPr>
        <w:t> </w:t>
      </w:r>
      <w:r>
        <w:rPr>
          <w:sz w:val="22"/>
        </w:rPr>
        <w:t>Adviser, was set up to operationalise the network. The design of NKN was prepared by a Technical Advisory Committee set up by the HLC, and the initial implementation is being managed by NIC (under DIT).</w:t>
      </w:r>
    </w:p>
    <w:p>
      <w:pPr>
        <w:pStyle w:val="ListParagraph"/>
        <w:numPr>
          <w:ilvl w:val="1"/>
          <w:numId w:val="69"/>
        </w:numPr>
        <w:tabs>
          <w:tab w:pos="1439" w:val="left" w:leader="none"/>
        </w:tabs>
        <w:spacing w:line="242" w:lineRule="exact" w:before="0" w:after="0"/>
        <w:ind w:left="1439" w:right="0" w:hanging="359"/>
        <w:jc w:val="both"/>
        <w:rPr>
          <w:sz w:val="22"/>
        </w:rPr>
      </w:pPr>
      <w:r>
        <w:rPr>
          <w:sz w:val="22"/>
        </w:rPr>
        <w:t>The</w:t>
      </w:r>
      <w:r>
        <w:rPr>
          <w:spacing w:val="-10"/>
          <w:sz w:val="22"/>
        </w:rPr>
        <w:t> </w:t>
      </w:r>
      <w:r>
        <w:rPr>
          <w:sz w:val="22"/>
        </w:rPr>
        <w:t>network</w:t>
      </w:r>
      <w:r>
        <w:rPr>
          <w:spacing w:val="-10"/>
          <w:sz w:val="22"/>
        </w:rPr>
        <w:t> </w:t>
      </w:r>
      <w:r>
        <w:rPr>
          <w:sz w:val="22"/>
        </w:rPr>
        <w:t>is</w:t>
      </w:r>
      <w:r>
        <w:rPr>
          <w:spacing w:val="-9"/>
          <w:sz w:val="22"/>
        </w:rPr>
        <w:t> </w:t>
      </w:r>
      <w:r>
        <w:rPr>
          <w:sz w:val="22"/>
        </w:rPr>
        <w:t>ready</w:t>
      </w:r>
      <w:r>
        <w:rPr>
          <w:spacing w:val="-10"/>
          <w:sz w:val="22"/>
        </w:rPr>
        <w:t> </w:t>
      </w:r>
      <w:r>
        <w:rPr>
          <w:sz w:val="22"/>
        </w:rPr>
        <w:t>for</w:t>
      </w:r>
      <w:r>
        <w:rPr>
          <w:spacing w:val="-10"/>
          <w:sz w:val="22"/>
        </w:rPr>
        <w:t> </w:t>
      </w:r>
      <w:r>
        <w:rPr>
          <w:sz w:val="22"/>
        </w:rPr>
        <w:t>roll</w:t>
      </w:r>
      <w:r>
        <w:rPr>
          <w:spacing w:val="-9"/>
          <w:sz w:val="22"/>
        </w:rPr>
        <w:t> </w:t>
      </w:r>
      <w:r>
        <w:rPr>
          <w:sz w:val="22"/>
        </w:rPr>
        <w:t>out</w:t>
      </w:r>
      <w:r>
        <w:rPr>
          <w:spacing w:val="-10"/>
          <w:sz w:val="22"/>
        </w:rPr>
        <w:t> </w:t>
      </w:r>
      <w:r>
        <w:rPr>
          <w:sz w:val="22"/>
        </w:rPr>
        <w:t>and</w:t>
      </w:r>
      <w:r>
        <w:rPr>
          <w:spacing w:val="-10"/>
          <w:sz w:val="22"/>
        </w:rPr>
        <w:t> </w:t>
      </w:r>
      <w:r>
        <w:rPr>
          <w:sz w:val="22"/>
        </w:rPr>
        <w:t>is</w:t>
      </w:r>
      <w:r>
        <w:rPr>
          <w:spacing w:val="-9"/>
          <w:sz w:val="22"/>
        </w:rPr>
        <w:t> </w:t>
      </w:r>
      <w:r>
        <w:rPr>
          <w:sz w:val="22"/>
        </w:rPr>
        <w:t>awaiting</w:t>
      </w:r>
      <w:r>
        <w:rPr>
          <w:spacing w:val="-10"/>
          <w:sz w:val="22"/>
        </w:rPr>
        <w:t> </w:t>
      </w:r>
      <w:r>
        <w:rPr>
          <w:spacing w:val="-10"/>
          <w:sz w:val="22"/>
        </w:rPr>
        <w:t>a</w:t>
      </w:r>
    </w:p>
    <w:p>
      <w:pPr>
        <w:pStyle w:val="BodyText"/>
        <w:spacing w:line="266" w:lineRule="auto" w:before="27"/>
        <w:ind w:left="1439"/>
        <w:jc w:val="both"/>
      </w:pPr>
      <w:r>
        <w:rPr>
          <w:spacing w:val="-2"/>
        </w:rPr>
        <w:t>formallaunch.Thenetworkwouldbeoperationalised </w:t>
      </w:r>
      <w:r>
        <w:rPr/>
        <w:t>in two phases.</w:t>
      </w:r>
      <w:r>
        <w:rPr>
          <w:spacing w:val="-8"/>
        </w:rPr>
        <w:t> </w:t>
      </w:r>
      <w:r>
        <w:rPr/>
        <w:t>The core and distribution </w:t>
      </w:r>
      <w:r>
        <w:rPr/>
        <w:t>network </w:t>
      </w:r>
      <w:r>
        <w:rPr>
          <w:spacing w:val="-6"/>
        </w:rPr>
        <w:t>covering</w:t>
      </w:r>
      <w:r>
        <w:rPr>
          <w:spacing w:val="-7"/>
        </w:rPr>
        <w:t> </w:t>
      </w:r>
      <w:r>
        <w:rPr>
          <w:spacing w:val="-6"/>
        </w:rPr>
        <w:t>1000</w:t>
      </w:r>
      <w:r>
        <w:rPr>
          <w:spacing w:val="-7"/>
        </w:rPr>
        <w:t> </w:t>
      </w:r>
      <w:r>
        <w:rPr>
          <w:spacing w:val="-6"/>
        </w:rPr>
        <w:t>nodes</w:t>
      </w:r>
      <w:r>
        <w:rPr>
          <w:spacing w:val="-7"/>
        </w:rPr>
        <w:t> </w:t>
      </w:r>
      <w:r>
        <w:rPr>
          <w:spacing w:val="-6"/>
        </w:rPr>
        <w:t>with</w:t>
      </w:r>
      <w:r>
        <w:rPr>
          <w:spacing w:val="-7"/>
        </w:rPr>
        <w:t> </w:t>
      </w:r>
      <w:r>
        <w:rPr>
          <w:spacing w:val="-6"/>
        </w:rPr>
        <w:t>gigabit</w:t>
      </w:r>
      <w:r>
        <w:rPr>
          <w:spacing w:val="-7"/>
        </w:rPr>
        <w:t> </w:t>
      </w:r>
      <w:r>
        <w:rPr>
          <w:spacing w:val="-6"/>
        </w:rPr>
        <w:t>capacity</w:t>
      </w:r>
      <w:r>
        <w:rPr>
          <w:spacing w:val="-7"/>
        </w:rPr>
        <w:t> </w:t>
      </w:r>
      <w:r>
        <w:rPr>
          <w:spacing w:val="-6"/>
        </w:rPr>
        <w:t>would</w:t>
      </w:r>
      <w:r>
        <w:rPr>
          <w:spacing w:val="-7"/>
        </w:rPr>
        <w:t> </w:t>
      </w:r>
      <w:r>
        <w:rPr>
          <w:spacing w:val="-6"/>
        </w:rPr>
        <w:t>be </w:t>
      </w:r>
      <w:r>
        <w:rPr>
          <w:spacing w:val="-4"/>
        </w:rPr>
        <w:t>set</w:t>
      </w:r>
      <w:r>
        <w:rPr>
          <w:spacing w:val="-8"/>
        </w:rPr>
        <w:t> </w:t>
      </w:r>
      <w:r>
        <w:rPr>
          <w:spacing w:val="-4"/>
        </w:rPr>
        <w:t>up</w:t>
      </w:r>
      <w:r>
        <w:rPr>
          <w:spacing w:val="-8"/>
        </w:rPr>
        <w:t> </w:t>
      </w:r>
      <w:r>
        <w:rPr>
          <w:spacing w:val="-4"/>
        </w:rPr>
        <w:t>in</w:t>
      </w:r>
      <w:r>
        <w:rPr>
          <w:spacing w:val="-8"/>
        </w:rPr>
        <w:t> </w:t>
      </w:r>
      <w:r>
        <w:rPr>
          <w:spacing w:val="-4"/>
        </w:rPr>
        <w:t>the</w:t>
      </w:r>
      <w:r>
        <w:rPr>
          <w:spacing w:val="-8"/>
        </w:rPr>
        <w:t> </w:t>
      </w:r>
      <w:r>
        <w:rPr>
          <w:spacing w:val="-4"/>
        </w:rPr>
        <w:t>first</w:t>
      </w:r>
      <w:r>
        <w:rPr>
          <w:spacing w:val="-8"/>
        </w:rPr>
        <w:t> </w:t>
      </w:r>
      <w:r>
        <w:rPr>
          <w:spacing w:val="-4"/>
        </w:rPr>
        <w:t>phase</w:t>
      </w:r>
      <w:r>
        <w:rPr>
          <w:spacing w:val="-8"/>
        </w:rPr>
        <w:t> </w:t>
      </w:r>
      <w:r>
        <w:rPr>
          <w:spacing w:val="-4"/>
        </w:rPr>
        <w:t>and</w:t>
      </w:r>
      <w:r>
        <w:rPr>
          <w:spacing w:val="-8"/>
        </w:rPr>
        <w:t> </w:t>
      </w:r>
      <w:r>
        <w:rPr>
          <w:spacing w:val="-4"/>
        </w:rPr>
        <w:t>this</w:t>
      </w:r>
      <w:r>
        <w:rPr>
          <w:spacing w:val="-8"/>
        </w:rPr>
        <w:t> </w:t>
      </w:r>
      <w:r>
        <w:rPr>
          <w:spacing w:val="-4"/>
        </w:rPr>
        <w:t>process</w:t>
      </w:r>
      <w:r>
        <w:rPr>
          <w:spacing w:val="-8"/>
        </w:rPr>
        <w:t> </w:t>
      </w:r>
      <w:r>
        <w:rPr>
          <w:spacing w:val="-4"/>
        </w:rPr>
        <w:t>has</w:t>
      </w:r>
      <w:r>
        <w:rPr>
          <w:spacing w:val="-8"/>
        </w:rPr>
        <w:t> </w:t>
      </w:r>
      <w:r>
        <w:rPr>
          <w:spacing w:val="-4"/>
        </w:rPr>
        <w:t>already </w:t>
      </w:r>
      <w:r>
        <w:rPr/>
        <w:t>started.</w:t>
      </w:r>
      <w:r>
        <w:rPr>
          <w:spacing w:val="-14"/>
        </w:rPr>
        <w:t> </w:t>
      </w:r>
      <w:r>
        <w:rPr/>
        <w:t>The</w:t>
      </w:r>
      <w:r>
        <w:rPr>
          <w:spacing w:val="-10"/>
        </w:rPr>
        <w:t> </w:t>
      </w:r>
      <w:r>
        <w:rPr/>
        <w:t>network</w:t>
      </w:r>
      <w:r>
        <w:rPr>
          <w:spacing w:val="-9"/>
        </w:rPr>
        <w:t> </w:t>
      </w:r>
      <w:r>
        <w:rPr/>
        <w:t>is</w:t>
      </w:r>
      <w:r>
        <w:rPr>
          <w:spacing w:val="-9"/>
        </w:rPr>
        <w:t> </w:t>
      </w:r>
      <w:r>
        <w:rPr/>
        <w:t>scalable</w:t>
      </w:r>
      <w:r>
        <w:rPr>
          <w:spacing w:val="-9"/>
        </w:rPr>
        <w:t> </w:t>
      </w:r>
      <w:r>
        <w:rPr/>
        <w:t>and</w:t>
      </w:r>
      <w:r>
        <w:rPr>
          <w:spacing w:val="-9"/>
        </w:rPr>
        <w:t> </w:t>
      </w:r>
      <w:r>
        <w:rPr/>
        <w:t>coverage</w:t>
      </w:r>
      <w:r>
        <w:rPr>
          <w:spacing w:val="-9"/>
        </w:rPr>
        <w:t> </w:t>
      </w:r>
      <w:r>
        <w:rPr/>
        <w:t>can grow up to 10,000 nodes/institutions.</w:t>
      </w:r>
    </w:p>
    <w:p>
      <w:pPr>
        <w:pStyle w:val="Heading7"/>
        <w:spacing w:before="238"/>
        <w:ind w:left="1080"/>
      </w:pPr>
      <w:r>
        <w:rPr>
          <w:color w:val="2E614A"/>
          <w:spacing w:val="-2"/>
        </w:rPr>
        <w:t>Translation</w:t>
      </w:r>
    </w:p>
    <w:p>
      <w:pPr>
        <w:pStyle w:val="ListParagraph"/>
        <w:numPr>
          <w:ilvl w:val="1"/>
          <w:numId w:val="69"/>
        </w:numPr>
        <w:tabs>
          <w:tab w:pos="1440" w:val="left" w:leader="none"/>
        </w:tabs>
        <w:spacing w:line="266" w:lineRule="auto" w:before="298" w:after="0"/>
        <w:ind w:left="1440" w:right="0" w:hanging="360"/>
        <w:jc w:val="both"/>
        <w:rPr>
          <w:sz w:val="22"/>
        </w:rPr>
      </w:pPr>
      <w:r>
        <w:rPr>
          <w:sz w:val="22"/>
        </w:rPr>
        <w:t>The</w:t>
      </w:r>
      <w:r>
        <w:rPr>
          <w:spacing w:val="-7"/>
          <w:sz w:val="22"/>
        </w:rPr>
        <w:t> </w:t>
      </w:r>
      <w:r>
        <w:rPr>
          <w:sz w:val="22"/>
        </w:rPr>
        <w:t>Government</w:t>
      </w:r>
      <w:r>
        <w:rPr>
          <w:spacing w:val="-7"/>
          <w:sz w:val="22"/>
        </w:rPr>
        <w:t> </w:t>
      </w:r>
      <w:r>
        <w:rPr>
          <w:sz w:val="22"/>
        </w:rPr>
        <w:t>has</w:t>
      </w:r>
      <w:r>
        <w:rPr>
          <w:spacing w:val="-8"/>
          <w:sz w:val="22"/>
        </w:rPr>
        <w:t> </w:t>
      </w:r>
      <w:r>
        <w:rPr>
          <w:sz w:val="22"/>
        </w:rPr>
        <w:t>approved</w:t>
      </w:r>
      <w:r>
        <w:rPr>
          <w:spacing w:val="-7"/>
          <w:sz w:val="22"/>
        </w:rPr>
        <w:t> </w:t>
      </w:r>
      <w:r>
        <w:rPr>
          <w:sz w:val="22"/>
        </w:rPr>
        <w:t>the</w:t>
      </w:r>
      <w:r>
        <w:rPr>
          <w:spacing w:val="-7"/>
          <w:sz w:val="22"/>
        </w:rPr>
        <w:t> </w:t>
      </w:r>
      <w:r>
        <w:rPr>
          <w:sz w:val="22"/>
        </w:rPr>
        <w:t>setting</w:t>
      </w:r>
      <w:r>
        <w:rPr>
          <w:spacing w:val="-8"/>
          <w:sz w:val="22"/>
        </w:rPr>
        <w:t> </w:t>
      </w:r>
      <w:r>
        <w:rPr>
          <w:sz w:val="22"/>
        </w:rPr>
        <w:t>up</w:t>
      </w:r>
      <w:r>
        <w:rPr>
          <w:spacing w:val="-7"/>
          <w:sz w:val="22"/>
        </w:rPr>
        <w:t> </w:t>
      </w:r>
      <w:r>
        <w:rPr>
          <w:sz w:val="22"/>
        </w:rPr>
        <w:t>of</w:t>
      </w:r>
      <w:r>
        <w:rPr>
          <w:spacing w:val="-7"/>
          <w:sz w:val="22"/>
        </w:rPr>
        <w:t> </w:t>
      </w:r>
      <w:r>
        <w:rPr>
          <w:sz w:val="22"/>
        </w:rPr>
        <w:t>a </w:t>
      </w:r>
      <w:r>
        <w:rPr>
          <w:spacing w:val="-6"/>
          <w:sz w:val="22"/>
        </w:rPr>
        <w:t>NationalTranslation Mission(NTM) withanoutlayof </w:t>
      </w:r>
      <w:r>
        <w:rPr>
          <w:spacing w:val="-4"/>
          <w:sz w:val="22"/>
        </w:rPr>
        <w:t>Rs.</w:t>
      </w:r>
      <w:r>
        <w:rPr>
          <w:spacing w:val="-10"/>
          <w:sz w:val="22"/>
        </w:rPr>
        <w:t> </w:t>
      </w:r>
      <w:r>
        <w:rPr>
          <w:spacing w:val="-4"/>
          <w:sz w:val="22"/>
        </w:rPr>
        <w:t>75</w:t>
      </w:r>
      <w:r>
        <w:rPr>
          <w:spacing w:val="-10"/>
          <w:sz w:val="22"/>
        </w:rPr>
        <w:t> </w:t>
      </w:r>
      <w:r>
        <w:rPr>
          <w:spacing w:val="-4"/>
          <w:sz w:val="22"/>
        </w:rPr>
        <w:t>crore.</w:t>
      </w:r>
      <w:r>
        <w:rPr>
          <w:spacing w:val="-10"/>
          <w:sz w:val="22"/>
        </w:rPr>
        <w:t> </w:t>
      </w:r>
      <w:r>
        <w:rPr>
          <w:spacing w:val="-4"/>
          <w:sz w:val="22"/>
        </w:rPr>
        <w:t>The</w:t>
      </w:r>
      <w:r>
        <w:rPr>
          <w:spacing w:val="-8"/>
          <w:sz w:val="22"/>
        </w:rPr>
        <w:t> </w:t>
      </w:r>
      <w:r>
        <w:rPr>
          <w:spacing w:val="-4"/>
          <w:sz w:val="22"/>
        </w:rPr>
        <w:t>CIIL,</w:t>
      </w:r>
      <w:r>
        <w:rPr>
          <w:spacing w:val="-8"/>
          <w:sz w:val="22"/>
        </w:rPr>
        <w:t> </w:t>
      </w:r>
      <w:r>
        <w:rPr>
          <w:spacing w:val="-4"/>
          <w:sz w:val="22"/>
        </w:rPr>
        <w:t>Mysore</w:t>
      </w:r>
      <w:r>
        <w:rPr>
          <w:spacing w:val="-8"/>
          <w:sz w:val="22"/>
        </w:rPr>
        <w:t> </w:t>
      </w:r>
      <w:r>
        <w:rPr>
          <w:spacing w:val="-4"/>
          <w:sz w:val="22"/>
        </w:rPr>
        <w:t>is</w:t>
      </w:r>
      <w:r>
        <w:rPr>
          <w:spacing w:val="-8"/>
          <w:sz w:val="22"/>
        </w:rPr>
        <w:t> </w:t>
      </w:r>
      <w:r>
        <w:rPr>
          <w:spacing w:val="-4"/>
          <w:sz w:val="22"/>
        </w:rPr>
        <w:t>the</w:t>
      </w:r>
      <w:r>
        <w:rPr>
          <w:spacing w:val="-8"/>
          <w:sz w:val="22"/>
        </w:rPr>
        <w:t> </w:t>
      </w:r>
      <w:r>
        <w:rPr>
          <w:spacing w:val="-4"/>
          <w:sz w:val="22"/>
        </w:rPr>
        <w:t>nodal</w:t>
      </w:r>
      <w:r>
        <w:rPr>
          <w:spacing w:val="-8"/>
          <w:sz w:val="22"/>
        </w:rPr>
        <w:t> </w:t>
      </w:r>
      <w:r>
        <w:rPr>
          <w:spacing w:val="-4"/>
          <w:sz w:val="22"/>
        </w:rPr>
        <w:t>agency </w:t>
      </w:r>
      <w:r>
        <w:rPr>
          <w:sz w:val="22"/>
        </w:rPr>
        <w:t>implementing the Mission.</w:t>
      </w:r>
    </w:p>
    <w:p>
      <w:pPr>
        <w:pStyle w:val="Heading7"/>
        <w:spacing w:before="240"/>
        <w:ind w:left="1080"/>
      </w:pPr>
      <w:r>
        <w:rPr>
          <w:color w:val="2E614A"/>
          <w:spacing w:val="-2"/>
          <w:w w:val="95"/>
        </w:rPr>
        <w:t>Libraries</w:t>
      </w:r>
    </w:p>
    <w:p>
      <w:pPr>
        <w:pStyle w:val="ListParagraph"/>
        <w:numPr>
          <w:ilvl w:val="1"/>
          <w:numId w:val="69"/>
        </w:numPr>
        <w:tabs>
          <w:tab w:pos="1439" w:val="left" w:leader="none"/>
        </w:tabs>
        <w:spacing w:line="266" w:lineRule="auto" w:before="298" w:after="0"/>
        <w:ind w:left="1439" w:right="0" w:hanging="360"/>
        <w:jc w:val="both"/>
        <w:rPr>
          <w:sz w:val="22"/>
        </w:rPr>
      </w:pPr>
      <w:r>
        <w:rPr>
          <w:sz w:val="22"/>
        </w:rPr>
        <w:t>Based on the recommendations of NKC, </w:t>
      </w:r>
      <w:r>
        <w:rPr>
          <w:sz w:val="22"/>
        </w:rPr>
        <w:t>the Department</w:t>
      </w:r>
      <w:r>
        <w:rPr>
          <w:spacing w:val="-14"/>
          <w:sz w:val="22"/>
        </w:rPr>
        <w:t> </w:t>
      </w:r>
      <w:r>
        <w:rPr>
          <w:sz w:val="22"/>
        </w:rPr>
        <w:t>of</w:t>
      </w:r>
      <w:r>
        <w:rPr>
          <w:spacing w:val="-14"/>
          <w:sz w:val="22"/>
        </w:rPr>
        <w:t> </w:t>
      </w:r>
      <w:r>
        <w:rPr>
          <w:sz w:val="22"/>
        </w:rPr>
        <w:t>Culture</w:t>
      </w:r>
      <w:r>
        <w:rPr>
          <w:spacing w:val="-14"/>
          <w:sz w:val="22"/>
        </w:rPr>
        <w:t> </w:t>
      </w:r>
      <w:r>
        <w:rPr>
          <w:sz w:val="22"/>
        </w:rPr>
        <w:t>(DoC)</w:t>
      </w:r>
      <w:r>
        <w:rPr>
          <w:spacing w:val="-13"/>
          <w:sz w:val="22"/>
        </w:rPr>
        <w:t> </w:t>
      </w:r>
      <w:r>
        <w:rPr>
          <w:sz w:val="22"/>
        </w:rPr>
        <w:t>proposed</w:t>
      </w:r>
      <w:r>
        <w:rPr>
          <w:spacing w:val="-14"/>
          <w:sz w:val="22"/>
        </w:rPr>
        <w:t> </w:t>
      </w:r>
      <w:r>
        <w:rPr>
          <w:sz w:val="22"/>
        </w:rPr>
        <w:t>setting</w:t>
      </w:r>
      <w:r>
        <w:rPr>
          <w:spacing w:val="-14"/>
          <w:sz w:val="22"/>
        </w:rPr>
        <w:t> </w:t>
      </w:r>
      <w:r>
        <w:rPr>
          <w:sz w:val="22"/>
        </w:rPr>
        <w:t>up a</w:t>
      </w:r>
      <w:r>
        <w:rPr>
          <w:spacing w:val="-9"/>
          <w:sz w:val="22"/>
        </w:rPr>
        <w:t> </w:t>
      </w:r>
      <w:r>
        <w:rPr>
          <w:sz w:val="22"/>
        </w:rPr>
        <w:t>National</w:t>
      </w:r>
      <w:r>
        <w:rPr>
          <w:spacing w:val="-9"/>
          <w:sz w:val="22"/>
        </w:rPr>
        <w:t> </w:t>
      </w:r>
      <w:r>
        <w:rPr>
          <w:sz w:val="22"/>
        </w:rPr>
        <w:t>Mission</w:t>
      </w:r>
      <w:r>
        <w:rPr>
          <w:spacing w:val="-9"/>
          <w:sz w:val="22"/>
        </w:rPr>
        <w:t> </w:t>
      </w:r>
      <w:r>
        <w:rPr>
          <w:sz w:val="22"/>
        </w:rPr>
        <w:t>for</w:t>
      </w:r>
      <w:r>
        <w:rPr>
          <w:spacing w:val="-9"/>
          <w:sz w:val="22"/>
        </w:rPr>
        <w:t> </w:t>
      </w:r>
      <w:r>
        <w:rPr>
          <w:sz w:val="22"/>
        </w:rPr>
        <w:t>Libraries</w:t>
      </w:r>
      <w:r>
        <w:rPr>
          <w:spacing w:val="-9"/>
          <w:sz w:val="22"/>
        </w:rPr>
        <w:t> </w:t>
      </w:r>
      <w:r>
        <w:rPr>
          <w:sz w:val="22"/>
        </w:rPr>
        <w:t>(NML)</w:t>
      </w:r>
      <w:r>
        <w:rPr>
          <w:spacing w:val="-9"/>
          <w:sz w:val="22"/>
        </w:rPr>
        <w:t> </w:t>
      </w:r>
      <w:r>
        <w:rPr>
          <w:sz w:val="22"/>
        </w:rPr>
        <w:t>in</w:t>
      </w:r>
      <w:r>
        <w:rPr>
          <w:spacing w:val="-9"/>
          <w:sz w:val="22"/>
        </w:rPr>
        <w:t> </w:t>
      </w:r>
      <w:r>
        <w:rPr>
          <w:sz w:val="22"/>
        </w:rPr>
        <w:t>the</w:t>
      </w:r>
      <w:r>
        <w:rPr>
          <w:spacing w:val="-9"/>
          <w:sz w:val="22"/>
        </w:rPr>
        <w:t> </w:t>
      </w:r>
      <w:r>
        <w:rPr>
          <w:sz w:val="22"/>
        </w:rPr>
        <w:t>XI </w:t>
      </w:r>
      <w:r>
        <w:rPr>
          <w:spacing w:val="-6"/>
          <w:sz w:val="22"/>
        </w:rPr>
        <w:t>Plan</w:t>
      </w:r>
      <w:r>
        <w:rPr>
          <w:spacing w:val="-8"/>
          <w:sz w:val="22"/>
        </w:rPr>
        <w:t> </w:t>
      </w:r>
      <w:r>
        <w:rPr>
          <w:spacing w:val="-6"/>
          <w:sz w:val="22"/>
        </w:rPr>
        <w:t>as a Central Sector Scheme.</w:t>
      </w:r>
      <w:r>
        <w:rPr>
          <w:spacing w:val="-8"/>
          <w:sz w:val="22"/>
        </w:rPr>
        <w:t> </w:t>
      </w:r>
      <w:r>
        <w:rPr>
          <w:spacing w:val="-6"/>
          <w:sz w:val="22"/>
        </w:rPr>
        <w:t>The EFC memo is </w:t>
      </w:r>
      <w:r>
        <w:rPr>
          <w:spacing w:val="-4"/>
          <w:sz w:val="22"/>
        </w:rPr>
        <w:t>under</w:t>
      </w:r>
      <w:r>
        <w:rPr>
          <w:spacing w:val="-10"/>
          <w:sz w:val="22"/>
        </w:rPr>
        <w:t> </w:t>
      </w:r>
      <w:r>
        <w:rPr>
          <w:spacing w:val="-4"/>
          <w:sz w:val="22"/>
        </w:rPr>
        <w:t>revision</w:t>
      </w:r>
      <w:r>
        <w:rPr>
          <w:spacing w:val="-10"/>
          <w:sz w:val="22"/>
        </w:rPr>
        <w:t> </w:t>
      </w:r>
      <w:r>
        <w:rPr>
          <w:spacing w:val="-4"/>
          <w:sz w:val="22"/>
        </w:rPr>
        <w:t>by</w:t>
      </w:r>
      <w:r>
        <w:rPr>
          <w:spacing w:val="-9"/>
          <w:sz w:val="22"/>
        </w:rPr>
        <w:t> </w:t>
      </w:r>
      <w:r>
        <w:rPr>
          <w:spacing w:val="-4"/>
          <w:sz w:val="22"/>
        </w:rPr>
        <w:t>the</w:t>
      </w:r>
      <w:r>
        <w:rPr>
          <w:spacing w:val="-10"/>
          <w:sz w:val="22"/>
        </w:rPr>
        <w:t> </w:t>
      </w:r>
      <w:r>
        <w:rPr>
          <w:spacing w:val="-4"/>
          <w:sz w:val="22"/>
        </w:rPr>
        <w:t>DoC</w:t>
      </w:r>
      <w:r>
        <w:rPr>
          <w:spacing w:val="-10"/>
          <w:sz w:val="22"/>
        </w:rPr>
        <w:t> </w:t>
      </w:r>
      <w:r>
        <w:rPr>
          <w:spacing w:val="-4"/>
          <w:sz w:val="22"/>
        </w:rPr>
        <w:t>and</w:t>
      </w:r>
      <w:r>
        <w:rPr>
          <w:spacing w:val="-9"/>
          <w:sz w:val="22"/>
        </w:rPr>
        <w:t> </w:t>
      </w:r>
      <w:r>
        <w:rPr>
          <w:spacing w:val="-4"/>
          <w:sz w:val="22"/>
        </w:rPr>
        <w:t>is</w:t>
      </w:r>
      <w:r>
        <w:rPr>
          <w:spacing w:val="-10"/>
          <w:sz w:val="22"/>
        </w:rPr>
        <w:t> </w:t>
      </w:r>
      <w:r>
        <w:rPr>
          <w:spacing w:val="-4"/>
          <w:sz w:val="22"/>
        </w:rPr>
        <w:t>being</w:t>
      </w:r>
      <w:r>
        <w:rPr>
          <w:spacing w:val="-10"/>
          <w:sz w:val="22"/>
        </w:rPr>
        <w:t> </w:t>
      </w:r>
      <w:r>
        <w:rPr>
          <w:spacing w:val="-4"/>
          <w:sz w:val="22"/>
        </w:rPr>
        <w:t>restricted</w:t>
      </w:r>
      <w:r>
        <w:rPr>
          <w:spacing w:val="-9"/>
          <w:sz w:val="22"/>
        </w:rPr>
        <w:t> </w:t>
      </w:r>
      <w:r>
        <w:rPr>
          <w:spacing w:val="-4"/>
          <w:sz w:val="22"/>
        </w:rPr>
        <w:t>to Rs.</w:t>
      </w:r>
      <w:r>
        <w:rPr>
          <w:spacing w:val="-10"/>
          <w:sz w:val="22"/>
        </w:rPr>
        <w:t> </w:t>
      </w:r>
      <w:r>
        <w:rPr>
          <w:spacing w:val="-4"/>
          <w:sz w:val="22"/>
        </w:rPr>
        <w:t>180</w:t>
      </w:r>
      <w:r>
        <w:rPr>
          <w:spacing w:val="-10"/>
          <w:sz w:val="22"/>
        </w:rPr>
        <w:t> </w:t>
      </w:r>
      <w:r>
        <w:rPr>
          <w:spacing w:val="-4"/>
          <w:sz w:val="22"/>
        </w:rPr>
        <w:t>crore</w:t>
      </w:r>
      <w:r>
        <w:rPr>
          <w:spacing w:val="-10"/>
          <w:sz w:val="22"/>
        </w:rPr>
        <w:t> </w:t>
      </w:r>
      <w:r>
        <w:rPr>
          <w:spacing w:val="-4"/>
          <w:sz w:val="22"/>
        </w:rPr>
        <w:t>earmarked</w:t>
      </w:r>
      <w:r>
        <w:rPr>
          <w:spacing w:val="-9"/>
          <w:sz w:val="22"/>
        </w:rPr>
        <w:t> </w:t>
      </w:r>
      <w:r>
        <w:rPr>
          <w:spacing w:val="-4"/>
          <w:sz w:val="22"/>
        </w:rPr>
        <w:t>for</w:t>
      </w:r>
      <w:r>
        <w:rPr>
          <w:spacing w:val="-10"/>
          <w:sz w:val="22"/>
        </w:rPr>
        <w:t> </w:t>
      </w:r>
      <w:r>
        <w:rPr>
          <w:spacing w:val="-4"/>
          <w:sz w:val="22"/>
        </w:rPr>
        <w:t>the</w:t>
      </w:r>
      <w:r>
        <w:rPr>
          <w:spacing w:val="-10"/>
          <w:sz w:val="22"/>
        </w:rPr>
        <w:t> </w:t>
      </w:r>
      <w:r>
        <w:rPr>
          <w:spacing w:val="-4"/>
          <w:sz w:val="22"/>
        </w:rPr>
        <w:t>same</w:t>
      </w:r>
      <w:r>
        <w:rPr>
          <w:spacing w:val="-10"/>
          <w:sz w:val="22"/>
        </w:rPr>
        <w:t> </w:t>
      </w:r>
      <w:r>
        <w:rPr>
          <w:spacing w:val="-4"/>
          <w:sz w:val="22"/>
        </w:rPr>
        <w:t>during</w:t>
      </w:r>
      <w:r>
        <w:rPr>
          <w:spacing w:val="-9"/>
          <w:sz w:val="22"/>
        </w:rPr>
        <w:t> </w:t>
      </w:r>
      <w:r>
        <w:rPr>
          <w:spacing w:val="-4"/>
          <w:sz w:val="22"/>
        </w:rPr>
        <w:t>the</w:t>
      </w:r>
      <w:r>
        <w:rPr>
          <w:spacing w:val="-10"/>
          <w:sz w:val="22"/>
        </w:rPr>
        <w:t> </w:t>
      </w:r>
      <w:r>
        <w:rPr>
          <w:spacing w:val="-4"/>
          <w:sz w:val="22"/>
        </w:rPr>
        <w:t>XI </w:t>
      </w:r>
      <w:r>
        <w:rPr>
          <w:spacing w:val="-2"/>
          <w:sz w:val="22"/>
        </w:rPr>
        <w:t>Plan.</w:t>
      </w:r>
      <w:r>
        <w:rPr>
          <w:spacing w:val="-12"/>
          <w:sz w:val="22"/>
        </w:rPr>
        <w:t> </w:t>
      </w:r>
      <w:r>
        <w:rPr>
          <w:spacing w:val="-2"/>
          <w:sz w:val="22"/>
        </w:rPr>
        <w:t>The</w:t>
      </w:r>
      <w:r>
        <w:rPr>
          <w:spacing w:val="-12"/>
          <w:sz w:val="22"/>
        </w:rPr>
        <w:t> </w:t>
      </w:r>
      <w:r>
        <w:rPr>
          <w:spacing w:val="-2"/>
          <w:sz w:val="22"/>
        </w:rPr>
        <w:t>NML</w:t>
      </w:r>
      <w:r>
        <w:rPr>
          <w:spacing w:val="-11"/>
          <w:sz w:val="22"/>
        </w:rPr>
        <w:t> </w:t>
      </w:r>
      <w:r>
        <w:rPr>
          <w:spacing w:val="-2"/>
          <w:sz w:val="22"/>
        </w:rPr>
        <w:t>will</w:t>
      </w:r>
      <w:r>
        <w:rPr>
          <w:spacing w:val="-9"/>
          <w:sz w:val="22"/>
        </w:rPr>
        <w:t> </w:t>
      </w:r>
      <w:r>
        <w:rPr>
          <w:spacing w:val="-2"/>
          <w:sz w:val="22"/>
        </w:rPr>
        <w:t>cover</w:t>
      </w:r>
      <w:r>
        <w:rPr>
          <w:spacing w:val="-9"/>
          <w:sz w:val="22"/>
        </w:rPr>
        <w:t> </w:t>
      </w:r>
      <w:r>
        <w:rPr>
          <w:spacing w:val="-2"/>
          <w:sz w:val="22"/>
        </w:rPr>
        <w:t>libraries</w:t>
      </w:r>
      <w:r>
        <w:rPr>
          <w:spacing w:val="-9"/>
          <w:sz w:val="22"/>
        </w:rPr>
        <w:t> </w:t>
      </w:r>
      <w:r>
        <w:rPr>
          <w:spacing w:val="-2"/>
          <w:sz w:val="22"/>
        </w:rPr>
        <w:t>under</w:t>
      </w:r>
      <w:r>
        <w:rPr>
          <w:spacing w:val="-9"/>
          <w:sz w:val="22"/>
        </w:rPr>
        <w:t> </w:t>
      </w:r>
      <w:r>
        <w:rPr>
          <w:spacing w:val="-2"/>
          <w:sz w:val="22"/>
        </w:rPr>
        <w:t>the</w:t>
      </w:r>
      <w:r>
        <w:rPr>
          <w:spacing w:val="-9"/>
          <w:sz w:val="22"/>
        </w:rPr>
        <w:t> </w:t>
      </w:r>
      <w:r>
        <w:rPr>
          <w:spacing w:val="-2"/>
          <w:sz w:val="22"/>
        </w:rPr>
        <w:t>DoC </w:t>
      </w:r>
      <w:r>
        <w:rPr>
          <w:sz w:val="22"/>
        </w:rPr>
        <w:t>and the activities under it will include: National Census of Libraries; Modernisation including networking of Libraries under DoC; establishing Knowledge</w:t>
      </w:r>
      <w:r>
        <w:rPr>
          <w:spacing w:val="-1"/>
          <w:sz w:val="22"/>
        </w:rPr>
        <w:t> </w:t>
      </w:r>
      <w:r>
        <w:rPr>
          <w:sz w:val="22"/>
        </w:rPr>
        <w:t>Centres</w:t>
      </w:r>
      <w:r>
        <w:rPr>
          <w:spacing w:val="-1"/>
          <w:sz w:val="22"/>
        </w:rPr>
        <w:t> </w:t>
      </w:r>
      <w:r>
        <w:rPr>
          <w:sz w:val="22"/>
        </w:rPr>
        <w:t>and</w:t>
      </w:r>
      <w:r>
        <w:rPr>
          <w:spacing w:val="-1"/>
          <w:sz w:val="22"/>
        </w:rPr>
        <w:t> </w:t>
      </w:r>
      <w:r>
        <w:rPr>
          <w:sz w:val="22"/>
        </w:rPr>
        <w:t>Digital</w:t>
      </w:r>
      <w:r>
        <w:rPr>
          <w:spacing w:val="-1"/>
          <w:sz w:val="22"/>
        </w:rPr>
        <w:t> </w:t>
      </w:r>
      <w:r>
        <w:rPr>
          <w:sz w:val="22"/>
        </w:rPr>
        <w:t>Libraries.</w:t>
      </w:r>
    </w:p>
    <w:p>
      <w:pPr>
        <w:pStyle w:val="Heading7"/>
        <w:spacing w:before="61"/>
      </w:pPr>
      <w:r>
        <w:rPr>
          <w:b w:val="0"/>
        </w:rPr>
        <w:br w:type="column"/>
      </w:r>
      <w:r>
        <w:rPr>
          <w:color w:val="2E614A"/>
          <w:w w:val="90"/>
        </w:rPr>
        <w:t>E-</w:t>
      </w:r>
      <w:r>
        <w:rPr>
          <w:color w:val="2E614A"/>
          <w:spacing w:val="-2"/>
          <w:w w:val="95"/>
        </w:rPr>
        <w:t>governance</w:t>
      </w:r>
    </w:p>
    <w:p>
      <w:pPr>
        <w:pStyle w:val="ListParagraph"/>
        <w:numPr>
          <w:ilvl w:val="0"/>
          <w:numId w:val="69"/>
        </w:numPr>
        <w:tabs>
          <w:tab w:pos="679" w:val="left" w:leader="none"/>
        </w:tabs>
        <w:spacing w:line="266" w:lineRule="auto" w:before="298" w:after="0"/>
        <w:ind w:left="679" w:right="1077" w:hanging="360"/>
        <w:jc w:val="both"/>
        <w:rPr>
          <w:sz w:val="22"/>
        </w:rPr>
      </w:pPr>
      <w:r>
        <w:rPr>
          <w:sz w:val="22"/>
        </w:rPr>
        <w:t>The XI Plan envisages the creation of </w:t>
      </w:r>
      <w:r>
        <w:rPr>
          <w:sz w:val="22"/>
        </w:rPr>
        <w:t>core infrastructure such as SWAN (State Wide Area Network), Common Service Centres (CSCs)</w:t>
      </w:r>
      <w:r>
        <w:rPr>
          <w:spacing w:val="80"/>
          <w:w w:val="150"/>
          <w:sz w:val="22"/>
        </w:rPr>
        <w:t> </w:t>
      </w:r>
      <w:r>
        <w:rPr>
          <w:sz w:val="22"/>
        </w:rPr>
        <w:t>and State Data Centres (SDCs) for creation of a common service delivery platform</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SWAN</w:t>
      </w:r>
      <w:r>
        <w:rPr>
          <w:spacing w:val="80"/>
          <w:sz w:val="22"/>
        </w:rPr>
        <w:t>   </w:t>
      </w:r>
      <w:r>
        <w:rPr>
          <w:sz w:val="22"/>
        </w:rPr>
        <w:t>has</w:t>
      </w:r>
      <w:r>
        <w:rPr>
          <w:spacing w:val="80"/>
          <w:sz w:val="22"/>
        </w:rPr>
        <w:t>   </w:t>
      </w:r>
      <w:r>
        <w:rPr>
          <w:sz w:val="22"/>
        </w:rPr>
        <w:t>been</w:t>
      </w:r>
      <w:r>
        <w:rPr>
          <w:spacing w:val="80"/>
          <w:sz w:val="22"/>
        </w:rPr>
        <w:t>   </w:t>
      </w:r>
      <w:r>
        <w:rPr>
          <w:sz w:val="22"/>
        </w:rPr>
        <w:t>implemented</w:t>
      </w:r>
      <w:r>
        <w:rPr>
          <w:spacing w:val="80"/>
          <w:sz w:val="22"/>
        </w:rPr>
        <w:t>   </w:t>
      </w:r>
      <w:r>
        <w:rPr>
          <w:sz w:val="22"/>
        </w:rPr>
        <w:t>in </w:t>
      </w:r>
      <w:r>
        <w:rPr>
          <w:w w:val="90"/>
          <w:sz w:val="22"/>
        </w:rPr>
        <w:t>6 states/ UTs till date and in 18 states implementation </w:t>
      </w:r>
      <w:r>
        <w:rPr>
          <w:sz w:val="22"/>
        </w:rPr>
        <w:t>is in process.</w:t>
      </w:r>
    </w:p>
    <w:p>
      <w:pPr>
        <w:pStyle w:val="ListParagraph"/>
        <w:numPr>
          <w:ilvl w:val="0"/>
          <w:numId w:val="69"/>
        </w:numPr>
        <w:tabs>
          <w:tab w:pos="679" w:val="left" w:leader="none"/>
        </w:tabs>
        <w:spacing w:line="266" w:lineRule="auto" w:before="0" w:after="0"/>
        <w:ind w:left="679" w:right="1078" w:hanging="360"/>
        <w:jc w:val="both"/>
        <w:rPr>
          <w:sz w:val="22"/>
        </w:rPr>
      </w:pPr>
      <w:r>
        <w:rPr>
          <w:spacing w:val="-4"/>
          <w:sz w:val="22"/>
        </w:rPr>
        <w:t>Till</w:t>
      </w:r>
      <w:r>
        <w:rPr>
          <w:spacing w:val="-8"/>
          <w:sz w:val="22"/>
        </w:rPr>
        <w:t> </w:t>
      </w:r>
      <w:r>
        <w:rPr>
          <w:spacing w:val="-4"/>
          <w:sz w:val="22"/>
        </w:rPr>
        <w:t>date</w:t>
      </w:r>
      <w:r>
        <w:rPr>
          <w:spacing w:val="-8"/>
          <w:sz w:val="22"/>
        </w:rPr>
        <w:t> </w:t>
      </w:r>
      <w:r>
        <w:rPr>
          <w:spacing w:val="-4"/>
          <w:sz w:val="22"/>
        </w:rPr>
        <w:t>SDCs</w:t>
      </w:r>
      <w:r>
        <w:rPr>
          <w:spacing w:val="-8"/>
          <w:sz w:val="22"/>
        </w:rPr>
        <w:t> </w:t>
      </w:r>
      <w:r>
        <w:rPr>
          <w:spacing w:val="-4"/>
          <w:sz w:val="22"/>
        </w:rPr>
        <w:t>have</w:t>
      </w:r>
      <w:r>
        <w:rPr>
          <w:spacing w:val="-8"/>
          <w:sz w:val="22"/>
        </w:rPr>
        <w:t> </w:t>
      </w:r>
      <w:r>
        <w:rPr>
          <w:spacing w:val="-4"/>
          <w:sz w:val="22"/>
        </w:rPr>
        <w:t>been</w:t>
      </w:r>
      <w:r>
        <w:rPr>
          <w:spacing w:val="-8"/>
          <w:sz w:val="22"/>
        </w:rPr>
        <w:t> </w:t>
      </w:r>
      <w:r>
        <w:rPr>
          <w:spacing w:val="-4"/>
          <w:sz w:val="22"/>
        </w:rPr>
        <w:t>approved</w:t>
      </w:r>
      <w:r>
        <w:rPr>
          <w:spacing w:val="-8"/>
          <w:sz w:val="22"/>
        </w:rPr>
        <w:t> </w:t>
      </w:r>
      <w:r>
        <w:rPr>
          <w:spacing w:val="-4"/>
          <w:sz w:val="22"/>
        </w:rPr>
        <w:t>for</w:t>
      </w:r>
      <w:r>
        <w:rPr>
          <w:spacing w:val="-8"/>
          <w:sz w:val="22"/>
        </w:rPr>
        <w:t> </w:t>
      </w:r>
      <w:r>
        <w:rPr>
          <w:spacing w:val="-4"/>
          <w:sz w:val="22"/>
        </w:rPr>
        <w:t>26</w:t>
      </w:r>
      <w:r>
        <w:rPr>
          <w:spacing w:val="-8"/>
          <w:sz w:val="22"/>
        </w:rPr>
        <w:t> </w:t>
      </w:r>
      <w:r>
        <w:rPr>
          <w:spacing w:val="-4"/>
          <w:sz w:val="22"/>
        </w:rPr>
        <w:t>states</w:t>
      </w:r>
      <w:r>
        <w:rPr>
          <w:spacing w:val="-8"/>
          <w:sz w:val="22"/>
        </w:rPr>
        <w:t> </w:t>
      </w:r>
      <w:r>
        <w:rPr>
          <w:spacing w:val="-4"/>
          <w:sz w:val="22"/>
        </w:rPr>
        <w:t>by </w:t>
      </w:r>
      <w:r>
        <w:rPr>
          <w:sz w:val="22"/>
        </w:rPr>
        <w:t>the Government.</w:t>
      </w:r>
    </w:p>
    <w:p>
      <w:pPr>
        <w:pStyle w:val="ListParagraph"/>
        <w:numPr>
          <w:ilvl w:val="0"/>
          <w:numId w:val="69"/>
        </w:numPr>
        <w:tabs>
          <w:tab w:pos="679" w:val="left" w:leader="none"/>
        </w:tabs>
        <w:spacing w:line="266" w:lineRule="auto" w:before="0" w:after="0"/>
        <w:ind w:left="679" w:right="1077" w:hanging="360"/>
        <w:jc w:val="both"/>
        <w:rPr>
          <w:sz w:val="22"/>
        </w:rPr>
      </w:pPr>
      <w:r>
        <w:rPr>
          <w:spacing w:val="-2"/>
          <w:sz w:val="22"/>
        </w:rPr>
        <w:t>Under</w:t>
      </w:r>
      <w:r>
        <w:rPr>
          <w:spacing w:val="-10"/>
          <w:sz w:val="22"/>
        </w:rPr>
        <w:t> </w:t>
      </w:r>
      <w:r>
        <w:rPr>
          <w:spacing w:val="-2"/>
          <w:sz w:val="22"/>
        </w:rPr>
        <w:t>the</w:t>
      </w:r>
      <w:r>
        <w:rPr>
          <w:spacing w:val="-10"/>
          <w:sz w:val="22"/>
        </w:rPr>
        <w:t> </w:t>
      </w:r>
      <w:r>
        <w:rPr>
          <w:spacing w:val="-2"/>
          <w:sz w:val="22"/>
        </w:rPr>
        <w:t>approved</w:t>
      </w:r>
      <w:r>
        <w:rPr>
          <w:spacing w:val="-10"/>
          <w:sz w:val="22"/>
        </w:rPr>
        <w:t> </w:t>
      </w:r>
      <w:r>
        <w:rPr>
          <w:spacing w:val="-2"/>
          <w:sz w:val="22"/>
        </w:rPr>
        <w:t>CSC</w:t>
      </w:r>
      <w:r>
        <w:rPr>
          <w:spacing w:val="-10"/>
          <w:sz w:val="22"/>
        </w:rPr>
        <w:t> </w:t>
      </w:r>
      <w:r>
        <w:rPr>
          <w:spacing w:val="-2"/>
          <w:sz w:val="22"/>
        </w:rPr>
        <w:t>scheme</w:t>
      </w:r>
      <w:r>
        <w:rPr>
          <w:spacing w:val="-10"/>
          <w:sz w:val="22"/>
        </w:rPr>
        <w:t> </w:t>
      </w:r>
      <w:r>
        <w:rPr>
          <w:spacing w:val="-2"/>
          <w:sz w:val="22"/>
        </w:rPr>
        <w:t>which</w:t>
      </w:r>
      <w:r>
        <w:rPr>
          <w:spacing w:val="-10"/>
          <w:sz w:val="22"/>
        </w:rPr>
        <w:t> </w:t>
      </w:r>
      <w:r>
        <w:rPr>
          <w:spacing w:val="-2"/>
          <w:sz w:val="22"/>
        </w:rPr>
        <w:t>envisages </w:t>
      </w:r>
      <w:r>
        <w:rPr>
          <w:spacing w:val="-6"/>
          <w:sz w:val="22"/>
        </w:rPr>
        <w:t>establishing over 100000 CSCs across India, 20,558 </w:t>
      </w:r>
      <w:r>
        <w:rPr>
          <w:spacing w:val="-4"/>
          <w:sz w:val="22"/>
        </w:rPr>
        <w:t>CSCs</w:t>
      </w:r>
      <w:r>
        <w:rPr>
          <w:spacing w:val="-10"/>
          <w:sz w:val="22"/>
        </w:rPr>
        <w:t> </w:t>
      </w:r>
      <w:r>
        <w:rPr>
          <w:spacing w:val="-4"/>
          <w:sz w:val="22"/>
        </w:rPr>
        <w:t>have</w:t>
      </w:r>
      <w:r>
        <w:rPr>
          <w:spacing w:val="-5"/>
          <w:sz w:val="22"/>
        </w:rPr>
        <w:t> </w:t>
      </w:r>
      <w:r>
        <w:rPr>
          <w:spacing w:val="-4"/>
          <w:sz w:val="22"/>
        </w:rPr>
        <w:t>been</w:t>
      </w:r>
      <w:r>
        <w:rPr>
          <w:spacing w:val="-5"/>
          <w:sz w:val="22"/>
        </w:rPr>
        <w:t> </w:t>
      </w:r>
      <w:r>
        <w:rPr>
          <w:spacing w:val="-4"/>
          <w:sz w:val="22"/>
        </w:rPr>
        <w:t>rolled</w:t>
      </w:r>
      <w:r>
        <w:rPr>
          <w:spacing w:val="-5"/>
          <w:sz w:val="22"/>
        </w:rPr>
        <w:t> </w:t>
      </w:r>
      <w:r>
        <w:rPr>
          <w:spacing w:val="-4"/>
          <w:sz w:val="22"/>
        </w:rPr>
        <w:t>out.</w:t>
      </w:r>
      <w:r>
        <w:rPr>
          <w:spacing w:val="-10"/>
          <w:sz w:val="22"/>
        </w:rPr>
        <w:t> </w:t>
      </w:r>
      <w:r>
        <w:rPr>
          <w:spacing w:val="-4"/>
          <w:sz w:val="22"/>
        </w:rPr>
        <w:t>The</w:t>
      </w:r>
      <w:r>
        <w:rPr>
          <w:spacing w:val="-5"/>
          <w:sz w:val="22"/>
        </w:rPr>
        <w:t> </w:t>
      </w:r>
      <w:r>
        <w:rPr>
          <w:spacing w:val="-4"/>
          <w:sz w:val="22"/>
        </w:rPr>
        <w:t>process</w:t>
      </w:r>
      <w:r>
        <w:rPr>
          <w:spacing w:val="-5"/>
          <w:sz w:val="22"/>
        </w:rPr>
        <w:t> </w:t>
      </w:r>
      <w:r>
        <w:rPr>
          <w:spacing w:val="-4"/>
          <w:sz w:val="22"/>
        </w:rPr>
        <w:t>for</w:t>
      </w:r>
      <w:r>
        <w:rPr>
          <w:spacing w:val="-5"/>
          <w:sz w:val="22"/>
        </w:rPr>
        <w:t> </w:t>
      </w:r>
      <w:r>
        <w:rPr>
          <w:spacing w:val="-4"/>
          <w:sz w:val="22"/>
        </w:rPr>
        <w:t>roll</w:t>
      </w:r>
      <w:r>
        <w:rPr>
          <w:spacing w:val="-5"/>
          <w:sz w:val="22"/>
        </w:rPr>
        <w:t> </w:t>
      </w:r>
      <w:r>
        <w:rPr>
          <w:spacing w:val="-4"/>
          <w:sz w:val="22"/>
        </w:rPr>
        <w:t>out </w:t>
      </w:r>
      <w:r>
        <w:rPr>
          <w:sz w:val="22"/>
        </w:rPr>
        <w:t>for</w:t>
      </w:r>
      <w:r>
        <w:rPr>
          <w:spacing w:val="-1"/>
          <w:sz w:val="22"/>
        </w:rPr>
        <w:t> </w:t>
      </w:r>
      <w:r>
        <w:rPr>
          <w:sz w:val="22"/>
        </w:rPr>
        <w:t>another</w:t>
      </w:r>
      <w:r>
        <w:rPr>
          <w:spacing w:val="-1"/>
          <w:sz w:val="22"/>
        </w:rPr>
        <w:t> </w:t>
      </w:r>
      <w:r>
        <w:rPr>
          <w:sz w:val="22"/>
        </w:rPr>
        <w:t>250968</w:t>
      </w:r>
      <w:r>
        <w:rPr>
          <w:spacing w:val="-1"/>
          <w:sz w:val="22"/>
        </w:rPr>
        <w:t> </w:t>
      </w:r>
      <w:r>
        <w:rPr>
          <w:sz w:val="22"/>
        </w:rPr>
        <w:t>CSCs</w:t>
      </w:r>
      <w:r>
        <w:rPr>
          <w:spacing w:val="-1"/>
          <w:sz w:val="22"/>
        </w:rPr>
        <w:t> </w:t>
      </w:r>
      <w:r>
        <w:rPr>
          <w:sz w:val="22"/>
        </w:rPr>
        <w:t>has</w:t>
      </w:r>
      <w:r>
        <w:rPr>
          <w:spacing w:val="-1"/>
          <w:sz w:val="22"/>
        </w:rPr>
        <w:t> </w:t>
      </w:r>
      <w:r>
        <w:rPr>
          <w:sz w:val="22"/>
        </w:rPr>
        <w:t>also</w:t>
      </w:r>
      <w:r>
        <w:rPr>
          <w:spacing w:val="-1"/>
          <w:sz w:val="22"/>
        </w:rPr>
        <w:t> </w:t>
      </w:r>
      <w:r>
        <w:rPr>
          <w:sz w:val="22"/>
        </w:rPr>
        <w:t>been</w:t>
      </w:r>
      <w:r>
        <w:rPr>
          <w:spacing w:val="-1"/>
          <w:sz w:val="22"/>
        </w:rPr>
        <w:t> </w:t>
      </w:r>
      <w:r>
        <w:rPr>
          <w:sz w:val="22"/>
        </w:rPr>
        <w:t>initiated.</w:t>
      </w:r>
    </w:p>
    <w:p>
      <w:pPr>
        <w:pStyle w:val="Heading7"/>
        <w:spacing w:before="232"/>
      </w:pPr>
      <w:r>
        <w:rPr>
          <w:color w:val="2E614A"/>
          <w:w w:val="90"/>
        </w:rPr>
        <w:t>Legal</w:t>
      </w:r>
      <w:r>
        <w:rPr>
          <w:color w:val="2E614A"/>
          <w:spacing w:val="2"/>
        </w:rPr>
        <w:t> </w:t>
      </w:r>
      <w:r>
        <w:rPr>
          <w:color w:val="2E614A"/>
          <w:w w:val="90"/>
        </w:rPr>
        <w:t>framework</w:t>
      </w:r>
      <w:r>
        <w:rPr>
          <w:color w:val="2E614A"/>
          <w:spacing w:val="2"/>
        </w:rPr>
        <w:t> </w:t>
      </w:r>
      <w:r>
        <w:rPr>
          <w:color w:val="2E614A"/>
          <w:w w:val="90"/>
        </w:rPr>
        <w:t>for</w:t>
      </w:r>
      <w:r>
        <w:rPr>
          <w:color w:val="2E614A"/>
          <w:spacing w:val="3"/>
        </w:rPr>
        <w:t> </w:t>
      </w:r>
      <w:r>
        <w:rPr>
          <w:color w:val="2E614A"/>
          <w:w w:val="90"/>
        </w:rPr>
        <w:t>public</w:t>
      </w:r>
      <w:r>
        <w:rPr>
          <w:color w:val="2E614A"/>
          <w:spacing w:val="2"/>
        </w:rPr>
        <w:t> </w:t>
      </w:r>
      <w:r>
        <w:rPr>
          <w:color w:val="2E614A"/>
          <w:w w:val="90"/>
        </w:rPr>
        <w:t>funded</w:t>
      </w:r>
      <w:r>
        <w:rPr>
          <w:color w:val="2E614A"/>
          <w:spacing w:val="3"/>
        </w:rPr>
        <w:t> </w:t>
      </w:r>
      <w:r>
        <w:rPr>
          <w:color w:val="2E614A"/>
          <w:spacing w:val="-2"/>
          <w:w w:val="90"/>
        </w:rPr>
        <w:t>research</w:t>
      </w:r>
    </w:p>
    <w:p>
      <w:pPr>
        <w:pStyle w:val="ListParagraph"/>
        <w:numPr>
          <w:ilvl w:val="0"/>
          <w:numId w:val="69"/>
        </w:numPr>
        <w:tabs>
          <w:tab w:pos="679" w:val="left" w:leader="none"/>
        </w:tabs>
        <w:spacing w:line="266" w:lineRule="auto" w:before="298" w:after="0"/>
        <w:ind w:left="679" w:right="1077" w:hanging="360"/>
        <w:jc w:val="both"/>
        <w:rPr>
          <w:sz w:val="22"/>
        </w:rPr>
      </w:pPr>
      <w:r>
        <w:rPr>
          <w:sz w:val="22"/>
        </w:rPr>
        <w:t>The Protection and Utilisation of Public </w:t>
      </w:r>
      <w:r>
        <w:rPr>
          <w:sz w:val="22"/>
        </w:rPr>
        <w:t>Funded </w:t>
      </w:r>
      <w:r>
        <w:rPr>
          <w:spacing w:val="-4"/>
          <w:sz w:val="22"/>
        </w:rPr>
        <w:t>Intellectual Property Bill 2008 has been introduced </w:t>
      </w:r>
      <w:r>
        <w:rPr>
          <w:sz w:val="22"/>
        </w:rPr>
        <w:t>in the Parliament</w:t>
      </w:r>
    </w:p>
    <w:p>
      <w:pPr>
        <w:pStyle w:val="Heading7"/>
        <w:spacing w:before="240"/>
      </w:pPr>
      <w:r>
        <w:rPr>
          <w:color w:val="2E614A"/>
          <w:w w:val="90"/>
        </w:rPr>
        <w:t>Legal</w:t>
      </w:r>
      <w:r>
        <w:rPr>
          <w:color w:val="2E614A"/>
          <w:spacing w:val="-5"/>
          <w:w w:val="90"/>
        </w:rPr>
        <w:t> </w:t>
      </w:r>
      <w:r>
        <w:rPr>
          <w:color w:val="2E614A"/>
          <w:spacing w:val="-2"/>
          <w:w w:val="95"/>
        </w:rPr>
        <w:t>education</w:t>
      </w:r>
    </w:p>
    <w:p>
      <w:pPr>
        <w:pStyle w:val="ListParagraph"/>
        <w:numPr>
          <w:ilvl w:val="0"/>
          <w:numId w:val="69"/>
        </w:numPr>
        <w:tabs>
          <w:tab w:pos="679" w:val="left" w:leader="none"/>
        </w:tabs>
        <w:spacing w:line="266" w:lineRule="auto" w:before="298" w:after="0"/>
        <w:ind w:left="679" w:right="1077" w:hanging="360"/>
        <w:jc w:val="both"/>
        <w:rPr>
          <w:sz w:val="22"/>
        </w:rPr>
      </w:pPr>
      <w:r>
        <w:rPr>
          <w:w w:val="90"/>
          <w:sz w:val="22"/>
        </w:rPr>
        <w:t>Ministry</w:t>
      </w:r>
      <w:r>
        <w:rPr>
          <w:spacing w:val="-3"/>
          <w:w w:val="90"/>
          <w:sz w:val="22"/>
        </w:rPr>
        <w:t> </w:t>
      </w:r>
      <w:r>
        <w:rPr>
          <w:w w:val="90"/>
          <w:sz w:val="22"/>
        </w:rPr>
        <w:t>of</w:t>
      </w:r>
      <w:r>
        <w:rPr>
          <w:spacing w:val="-3"/>
          <w:w w:val="90"/>
          <w:sz w:val="22"/>
        </w:rPr>
        <w:t> </w:t>
      </w:r>
      <w:r>
        <w:rPr>
          <w:w w:val="90"/>
          <w:sz w:val="22"/>
        </w:rPr>
        <w:t>Law</w:t>
      </w:r>
      <w:r>
        <w:rPr>
          <w:spacing w:val="-3"/>
          <w:w w:val="90"/>
          <w:sz w:val="22"/>
        </w:rPr>
        <w:t> </w:t>
      </w:r>
      <w:r>
        <w:rPr>
          <w:w w:val="90"/>
          <w:sz w:val="22"/>
        </w:rPr>
        <w:t>and</w:t>
      </w:r>
      <w:r>
        <w:rPr>
          <w:spacing w:val="-3"/>
          <w:w w:val="90"/>
          <w:sz w:val="22"/>
        </w:rPr>
        <w:t> </w:t>
      </w:r>
      <w:r>
        <w:rPr>
          <w:w w:val="90"/>
          <w:sz w:val="22"/>
        </w:rPr>
        <w:t>Justice</w:t>
      </w:r>
      <w:r>
        <w:rPr>
          <w:spacing w:val="-3"/>
          <w:w w:val="90"/>
          <w:sz w:val="22"/>
        </w:rPr>
        <w:t> </w:t>
      </w:r>
      <w:r>
        <w:rPr>
          <w:w w:val="90"/>
          <w:sz w:val="22"/>
        </w:rPr>
        <w:t>has</w:t>
      </w:r>
      <w:r>
        <w:rPr>
          <w:spacing w:val="-3"/>
          <w:w w:val="90"/>
          <w:sz w:val="22"/>
        </w:rPr>
        <w:t> </w:t>
      </w:r>
      <w:r>
        <w:rPr>
          <w:w w:val="90"/>
          <w:sz w:val="22"/>
        </w:rPr>
        <w:t>conveyed</w:t>
      </w:r>
      <w:r>
        <w:rPr>
          <w:spacing w:val="-3"/>
          <w:w w:val="90"/>
          <w:sz w:val="22"/>
        </w:rPr>
        <w:t> </w:t>
      </w:r>
      <w:r>
        <w:rPr>
          <w:w w:val="90"/>
          <w:sz w:val="22"/>
        </w:rPr>
        <w:t>in-principle </w:t>
      </w:r>
      <w:r>
        <w:rPr>
          <w:sz w:val="22"/>
        </w:rPr>
        <w:t>approval for new Standing Committee on legal </w:t>
      </w:r>
      <w:r>
        <w:rPr>
          <w:spacing w:val="-4"/>
          <w:sz w:val="22"/>
        </w:rPr>
        <w:t>education</w:t>
      </w:r>
      <w:r>
        <w:rPr>
          <w:spacing w:val="-10"/>
          <w:sz w:val="22"/>
        </w:rPr>
        <w:t> </w:t>
      </w:r>
      <w:r>
        <w:rPr>
          <w:spacing w:val="-4"/>
          <w:sz w:val="22"/>
        </w:rPr>
        <w:t>under</w:t>
      </w:r>
      <w:r>
        <w:rPr>
          <w:spacing w:val="-10"/>
          <w:sz w:val="22"/>
        </w:rPr>
        <w:t> </w:t>
      </w:r>
      <w:r>
        <w:rPr>
          <w:spacing w:val="-4"/>
          <w:sz w:val="22"/>
        </w:rPr>
        <w:t>IRAHE</w:t>
      </w:r>
      <w:r>
        <w:rPr>
          <w:spacing w:val="-10"/>
          <w:sz w:val="22"/>
        </w:rPr>
        <w:t> </w:t>
      </w:r>
      <w:r>
        <w:rPr>
          <w:spacing w:val="-4"/>
          <w:sz w:val="22"/>
        </w:rPr>
        <w:t>and</w:t>
      </w:r>
      <w:r>
        <w:rPr>
          <w:spacing w:val="-9"/>
          <w:sz w:val="22"/>
        </w:rPr>
        <w:t> </w:t>
      </w:r>
      <w:r>
        <w:rPr>
          <w:spacing w:val="-4"/>
          <w:sz w:val="22"/>
        </w:rPr>
        <w:t>consequent</w:t>
      </w:r>
      <w:r>
        <w:rPr>
          <w:spacing w:val="-10"/>
          <w:sz w:val="22"/>
        </w:rPr>
        <w:t> </w:t>
      </w:r>
      <w:r>
        <w:rPr>
          <w:spacing w:val="-4"/>
          <w:sz w:val="22"/>
        </w:rPr>
        <w:t>changes</w:t>
      </w:r>
      <w:r>
        <w:rPr>
          <w:spacing w:val="-10"/>
          <w:sz w:val="22"/>
        </w:rPr>
        <w:t> </w:t>
      </w:r>
      <w:r>
        <w:rPr>
          <w:spacing w:val="-4"/>
          <w:sz w:val="22"/>
        </w:rPr>
        <w:t>in </w:t>
      </w:r>
      <w:r>
        <w:rPr>
          <w:spacing w:val="-8"/>
          <w:sz w:val="22"/>
        </w:rPr>
        <w:t>the</w:t>
      </w:r>
      <w:r>
        <w:rPr>
          <w:spacing w:val="-4"/>
          <w:sz w:val="22"/>
        </w:rPr>
        <w:t> </w:t>
      </w:r>
      <w:r>
        <w:rPr>
          <w:spacing w:val="-8"/>
          <w:sz w:val="22"/>
        </w:rPr>
        <w:t>role</w:t>
      </w:r>
      <w:r>
        <w:rPr>
          <w:spacing w:val="-4"/>
          <w:sz w:val="22"/>
        </w:rPr>
        <w:t> </w:t>
      </w:r>
      <w:r>
        <w:rPr>
          <w:spacing w:val="-8"/>
          <w:sz w:val="22"/>
        </w:rPr>
        <w:t>of</w:t>
      </w:r>
      <w:r>
        <w:rPr>
          <w:spacing w:val="-4"/>
          <w:sz w:val="22"/>
        </w:rPr>
        <w:t> </w:t>
      </w:r>
      <w:r>
        <w:rPr>
          <w:spacing w:val="-8"/>
          <w:sz w:val="22"/>
        </w:rPr>
        <w:t>BCI,</w:t>
      </w:r>
      <w:r>
        <w:rPr>
          <w:spacing w:val="-4"/>
          <w:sz w:val="22"/>
        </w:rPr>
        <w:t> </w:t>
      </w:r>
      <w:r>
        <w:rPr>
          <w:spacing w:val="-8"/>
          <w:sz w:val="22"/>
        </w:rPr>
        <w:t>curriculum</w:t>
      </w:r>
      <w:r>
        <w:rPr>
          <w:spacing w:val="-4"/>
          <w:sz w:val="22"/>
        </w:rPr>
        <w:t> </w:t>
      </w:r>
      <w:r>
        <w:rPr>
          <w:spacing w:val="-8"/>
          <w:sz w:val="22"/>
        </w:rPr>
        <w:t>development,</w:t>
      </w:r>
      <w:r>
        <w:rPr>
          <w:spacing w:val="-4"/>
          <w:sz w:val="22"/>
        </w:rPr>
        <w:t> </w:t>
      </w:r>
      <w:r>
        <w:rPr>
          <w:spacing w:val="-8"/>
          <w:sz w:val="22"/>
        </w:rPr>
        <w:t>developing </w:t>
      </w:r>
      <w:r>
        <w:rPr>
          <w:spacing w:val="-2"/>
          <w:sz w:val="22"/>
        </w:rPr>
        <w:t>research</w:t>
      </w:r>
      <w:r>
        <w:rPr>
          <w:spacing w:val="-12"/>
          <w:sz w:val="22"/>
        </w:rPr>
        <w:t> </w:t>
      </w:r>
      <w:r>
        <w:rPr>
          <w:spacing w:val="-2"/>
          <w:sz w:val="22"/>
        </w:rPr>
        <w:t>tradition</w:t>
      </w:r>
      <w:r>
        <w:rPr>
          <w:spacing w:val="-12"/>
          <w:sz w:val="22"/>
        </w:rPr>
        <w:t> </w:t>
      </w:r>
      <w:r>
        <w:rPr>
          <w:spacing w:val="-2"/>
          <w:sz w:val="22"/>
        </w:rPr>
        <w:t>in</w:t>
      </w:r>
      <w:r>
        <w:rPr>
          <w:spacing w:val="-12"/>
          <w:sz w:val="22"/>
        </w:rPr>
        <w:t> </w:t>
      </w:r>
      <w:r>
        <w:rPr>
          <w:spacing w:val="-2"/>
          <w:sz w:val="22"/>
        </w:rPr>
        <w:t>law</w:t>
      </w:r>
      <w:r>
        <w:rPr>
          <w:spacing w:val="-11"/>
          <w:sz w:val="22"/>
        </w:rPr>
        <w:t> </w:t>
      </w:r>
      <w:r>
        <w:rPr>
          <w:spacing w:val="-2"/>
          <w:sz w:val="22"/>
        </w:rPr>
        <w:t>schools/</w:t>
      </w:r>
      <w:r>
        <w:rPr>
          <w:spacing w:val="-12"/>
          <w:sz w:val="22"/>
        </w:rPr>
        <w:t> </w:t>
      </w:r>
      <w:r>
        <w:rPr>
          <w:spacing w:val="-2"/>
          <w:sz w:val="22"/>
        </w:rPr>
        <w:t>universities.</w:t>
      </w:r>
    </w:p>
    <w:p>
      <w:pPr>
        <w:pStyle w:val="ListParagraph"/>
        <w:numPr>
          <w:ilvl w:val="0"/>
          <w:numId w:val="69"/>
        </w:numPr>
        <w:tabs>
          <w:tab w:pos="679" w:val="left" w:leader="none"/>
        </w:tabs>
        <w:spacing w:line="266" w:lineRule="auto" w:before="0" w:after="0"/>
        <w:ind w:left="679" w:right="1077" w:hanging="360"/>
        <w:jc w:val="both"/>
        <w:rPr>
          <w:sz w:val="22"/>
        </w:rPr>
      </w:pPr>
      <w:r>
        <w:rPr>
          <w:spacing w:val="-2"/>
          <w:sz w:val="22"/>
        </w:rPr>
        <w:t>Proposal</w:t>
      </w:r>
      <w:r>
        <w:rPr>
          <w:spacing w:val="-10"/>
          <w:sz w:val="22"/>
        </w:rPr>
        <w:t> </w:t>
      </w:r>
      <w:r>
        <w:rPr>
          <w:spacing w:val="-2"/>
          <w:sz w:val="22"/>
        </w:rPr>
        <w:t>for</w:t>
      </w:r>
      <w:r>
        <w:rPr>
          <w:spacing w:val="-10"/>
          <w:sz w:val="22"/>
        </w:rPr>
        <w:t> </w:t>
      </w:r>
      <w:r>
        <w:rPr>
          <w:spacing w:val="-2"/>
          <w:sz w:val="22"/>
        </w:rPr>
        <w:t>setting</w:t>
      </w:r>
      <w:r>
        <w:rPr>
          <w:spacing w:val="-10"/>
          <w:sz w:val="22"/>
        </w:rPr>
        <w:t> </w:t>
      </w:r>
      <w:r>
        <w:rPr>
          <w:spacing w:val="-2"/>
          <w:sz w:val="22"/>
        </w:rPr>
        <w:t>up</w:t>
      </w:r>
      <w:r>
        <w:rPr>
          <w:spacing w:val="-10"/>
          <w:sz w:val="22"/>
        </w:rPr>
        <w:t> </w:t>
      </w:r>
      <w:r>
        <w:rPr>
          <w:spacing w:val="-2"/>
          <w:sz w:val="22"/>
        </w:rPr>
        <w:t>Centre</w:t>
      </w:r>
      <w:r>
        <w:rPr>
          <w:spacing w:val="-10"/>
          <w:sz w:val="22"/>
        </w:rPr>
        <w:t> </w:t>
      </w:r>
      <w:r>
        <w:rPr>
          <w:spacing w:val="-2"/>
          <w:sz w:val="22"/>
        </w:rPr>
        <w:t>for</w:t>
      </w:r>
      <w:r>
        <w:rPr>
          <w:spacing w:val="-10"/>
          <w:sz w:val="22"/>
        </w:rPr>
        <w:t> </w:t>
      </w:r>
      <w:r>
        <w:rPr>
          <w:spacing w:val="-2"/>
          <w:sz w:val="22"/>
        </w:rPr>
        <w:t>Advanced</w:t>
      </w:r>
      <w:r>
        <w:rPr>
          <w:spacing w:val="-10"/>
          <w:sz w:val="22"/>
        </w:rPr>
        <w:t> </w:t>
      </w:r>
      <w:r>
        <w:rPr>
          <w:spacing w:val="-2"/>
          <w:sz w:val="22"/>
        </w:rPr>
        <w:t>Legal </w:t>
      </w:r>
      <w:r>
        <w:rPr>
          <w:sz w:val="22"/>
        </w:rPr>
        <w:t>Studies</w:t>
      </w:r>
      <w:r>
        <w:rPr>
          <w:spacing w:val="-14"/>
          <w:sz w:val="22"/>
        </w:rPr>
        <w:t> </w:t>
      </w:r>
      <w:r>
        <w:rPr>
          <w:sz w:val="22"/>
        </w:rPr>
        <w:t>and</w:t>
      </w:r>
      <w:r>
        <w:rPr>
          <w:spacing w:val="-14"/>
          <w:sz w:val="22"/>
        </w:rPr>
        <w:t> </w:t>
      </w:r>
      <w:r>
        <w:rPr>
          <w:sz w:val="22"/>
        </w:rPr>
        <w:t>Research</w:t>
      </w:r>
      <w:r>
        <w:rPr>
          <w:spacing w:val="-14"/>
          <w:sz w:val="22"/>
        </w:rPr>
        <w:t> </w:t>
      </w:r>
      <w:r>
        <w:rPr>
          <w:sz w:val="22"/>
        </w:rPr>
        <w:t>(CALSAR)</w:t>
      </w:r>
      <w:r>
        <w:rPr>
          <w:spacing w:val="-13"/>
          <w:sz w:val="22"/>
        </w:rPr>
        <w:t> </w:t>
      </w:r>
      <w:r>
        <w:rPr>
          <w:sz w:val="22"/>
        </w:rPr>
        <w:t>for</w:t>
      </w:r>
      <w:r>
        <w:rPr>
          <w:spacing w:val="-14"/>
          <w:sz w:val="22"/>
        </w:rPr>
        <w:t> </w:t>
      </w:r>
      <w:r>
        <w:rPr>
          <w:sz w:val="22"/>
        </w:rPr>
        <w:t>the</w:t>
      </w:r>
      <w:r>
        <w:rPr>
          <w:spacing w:val="-14"/>
          <w:sz w:val="22"/>
        </w:rPr>
        <w:t> </w:t>
      </w:r>
      <w:r>
        <w:rPr>
          <w:sz w:val="22"/>
        </w:rPr>
        <w:t>northern region at Manesar (Gurgaon) was submitted by the Department of Legal Affairs to Planning </w:t>
      </w:r>
      <w:r>
        <w:rPr>
          <w:spacing w:val="-2"/>
          <w:sz w:val="22"/>
        </w:rPr>
        <w:t>Commission.</w:t>
      </w:r>
      <w:r>
        <w:rPr>
          <w:spacing w:val="-12"/>
          <w:sz w:val="22"/>
        </w:rPr>
        <w:t> </w:t>
      </w:r>
      <w:r>
        <w:rPr>
          <w:spacing w:val="-2"/>
          <w:sz w:val="22"/>
        </w:rPr>
        <w:t>The</w:t>
      </w:r>
      <w:r>
        <w:rPr>
          <w:spacing w:val="-11"/>
          <w:sz w:val="22"/>
        </w:rPr>
        <w:t> </w:t>
      </w:r>
      <w:r>
        <w:rPr>
          <w:spacing w:val="-2"/>
          <w:sz w:val="22"/>
        </w:rPr>
        <w:t>Department</w:t>
      </w:r>
      <w:r>
        <w:rPr>
          <w:spacing w:val="-7"/>
          <w:sz w:val="22"/>
        </w:rPr>
        <w:t> </w:t>
      </w:r>
      <w:r>
        <w:rPr>
          <w:spacing w:val="-2"/>
          <w:sz w:val="22"/>
        </w:rPr>
        <w:t>has</w:t>
      </w:r>
      <w:r>
        <w:rPr>
          <w:spacing w:val="-7"/>
          <w:sz w:val="22"/>
        </w:rPr>
        <w:t> </w:t>
      </w:r>
      <w:r>
        <w:rPr>
          <w:spacing w:val="-2"/>
          <w:sz w:val="22"/>
        </w:rPr>
        <w:t>been</w:t>
      </w:r>
      <w:r>
        <w:rPr>
          <w:spacing w:val="-7"/>
          <w:sz w:val="22"/>
        </w:rPr>
        <w:t> </w:t>
      </w:r>
      <w:r>
        <w:rPr>
          <w:spacing w:val="-2"/>
          <w:sz w:val="22"/>
        </w:rPr>
        <w:t>advised</w:t>
      </w:r>
      <w:r>
        <w:rPr>
          <w:spacing w:val="-7"/>
          <w:sz w:val="22"/>
        </w:rPr>
        <w:t> </w:t>
      </w:r>
      <w:r>
        <w:rPr>
          <w:spacing w:val="-2"/>
          <w:sz w:val="22"/>
        </w:rPr>
        <w:t>to </w:t>
      </w:r>
      <w:r>
        <w:rPr>
          <w:w w:val="90"/>
          <w:sz w:val="22"/>
        </w:rPr>
        <w:t>make budget provisions for the scheme of CALSARs </w:t>
      </w:r>
      <w:r>
        <w:rPr>
          <w:sz w:val="22"/>
        </w:rPr>
        <w:t>in the XI Plan by the Planning Commission.</w:t>
      </w:r>
    </w:p>
    <w:p>
      <w:pPr>
        <w:pStyle w:val="Heading7"/>
        <w:spacing w:before="233"/>
      </w:pPr>
      <w:r>
        <w:rPr>
          <w:color w:val="2E614A"/>
          <w:w w:val="90"/>
        </w:rPr>
        <w:t>Intellectual</w:t>
      </w:r>
      <w:r>
        <w:rPr>
          <w:color w:val="2E614A"/>
          <w:spacing w:val="6"/>
        </w:rPr>
        <w:t> </w:t>
      </w:r>
      <w:r>
        <w:rPr>
          <w:color w:val="2E614A"/>
          <w:w w:val="90"/>
        </w:rPr>
        <w:t>Property</w:t>
      </w:r>
      <w:r>
        <w:rPr>
          <w:color w:val="2E614A"/>
          <w:spacing w:val="7"/>
        </w:rPr>
        <w:t> </w:t>
      </w:r>
      <w:r>
        <w:rPr>
          <w:color w:val="2E614A"/>
          <w:spacing w:val="-2"/>
          <w:w w:val="90"/>
        </w:rPr>
        <w:t>Rights</w:t>
      </w:r>
    </w:p>
    <w:p>
      <w:pPr>
        <w:pStyle w:val="BodyText"/>
        <w:rPr>
          <w:b/>
          <w:sz w:val="26"/>
        </w:rPr>
      </w:pPr>
    </w:p>
    <w:p>
      <w:pPr>
        <w:pStyle w:val="ListParagraph"/>
        <w:numPr>
          <w:ilvl w:val="0"/>
          <w:numId w:val="69"/>
        </w:numPr>
        <w:tabs>
          <w:tab w:pos="679" w:val="left" w:leader="none"/>
        </w:tabs>
        <w:spacing w:line="266" w:lineRule="auto" w:before="0" w:after="0"/>
        <w:ind w:left="679" w:right="1077" w:hanging="360"/>
        <w:jc w:val="both"/>
        <w:rPr>
          <w:sz w:val="22"/>
        </w:rPr>
      </w:pPr>
      <w:r>
        <w:rPr>
          <w:sz w:val="22"/>
        </w:rPr>
        <w:t>The IP Office has put the relevant acts, rules, manuals on its website and there is no </w:t>
      </w:r>
      <w:r>
        <w:rPr>
          <w:sz w:val="22"/>
        </w:rPr>
        <w:t>restriction on access to these materials.</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Digitisation of all patent records is </w:t>
      </w:r>
      <w:r>
        <w:rPr>
          <w:sz w:val="22"/>
        </w:rPr>
        <w:t>underway. Forty-five</w:t>
      </w:r>
      <w:r>
        <w:rPr>
          <w:spacing w:val="-7"/>
          <w:sz w:val="22"/>
        </w:rPr>
        <w:t> </w:t>
      </w:r>
      <w:r>
        <w:rPr>
          <w:sz w:val="22"/>
        </w:rPr>
        <w:t>thousand</w:t>
      </w:r>
      <w:r>
        <w:rPr>
          <w:spacing w:val="-7"/>
          <w:sz w:val="22"/>
        </w:rPr>
        <w:t> </w:t>
      </w:r>
      <w:r>
        <w:rPr>
          <w:sz w:val="22"/>
        </w:rPr>
        <w:t>patent</w:t>
      </w:r>
      <w:r>
        <w:rPr>
          <w:spacing w:val="-7"/>
          <w:sz w:val="22"/>
        </w:rPr>
        <w:t> </w:t>
      </w:r>
      <w:r>
        <w:rPr>
          <w:sz w:val="22"/>
        </w:rPr>
        <w:t>records</w:t>
      </w:r>
      <w:r>
        <w:rPr>
          <w:spacing w:val="-7"/>
          <w:sz w:val="22"/>
        </w:rPr>
        <w:t> </w:t>
      </w:r>
      <w:r>
        <w:rPr>
          <w:sz w:val="22"/>
        </w:rPr>
        <w:t>are</w:t>
      </w:r>
      <w:r>
        <w:rPr>
          <w:spacing w:val="-7"/>
          <w:sz w:val="22"/>
        </w:rPr>
        <w:t> </w:t>
      </w:r>
      <w:r>
        <w:rPr>
          <w:sz w:val="22"/>
        </w:rPr>
        <w:t>already</w:t>
      </w:r>
      <w:r>
        <w:rPr>
          <w:spacing w:val="-7"/>
          <w:sz w:val="22"/>
        </w:rPr>
        <w:t> </w:t>
      </w:r>
      <w:r>
        <w:rPr>
          <w:sz w:val="22"/>
        </w:rPr>
        <w:t>on the website.</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National Institute of Intellectual </w:t>
      </w:r>
      <w:r>
        <w:rPr>
          <w:sz w:val="22"/>
        </w:rPr>
        <w:t>Property Management (NIIPM) to be set up at Nagpur.</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An IP Appellate Board has been set up </w:t>
      </w:r>
      <w:r>
        <w:rPr>
          <w:sz w:val="22"/>
        </w:rPr>
        <w:t>for trademarks,</w:t>
      </w:r>
      <w:r>
        <w:rPr>
          <w:spacing w:val="-13"/>
          <w:sz w:val="22"/>
        </w:rPr>
        <w:t> </w:t>
      </w:r>
      <w:r>
        <w:rPr>
          <w:sz w:val="22"/>
        </w:rPr>
        <w:t>geographical</w:t>
      </w:r>
      <w:r>
        <w:rPr>
          <w:spacing w:val="-13"/>
          <w:sz w:val="22"/>
        </w:rPr>
        <w:t> </w:t>
      </w:r>
      <w:r>
        <w:rPr>
          <w:sz w:val="22"/>
        </w:rPr>
        <w:t>indications</w:t>
      </w:r>
      <w:r>
        <w:rPr>
          <w:spacing w:val="-13"/>
          <w:sz w:val="22"/>
        </w:rPr>
        <w:t> </w:t>
      </w:r>
      <w:r>
        <w:rPr>
          <w:sz w:val="22"/>
        </w:rPr>
        <w:t>and</w:t>
      </w:r>
      <w:r>
        <w:rPr>
          <w:spacing w:val="-13"/>
          <w:sz w:val="22"/>
        </w:rPr>
        <w:t> </w:t>
      </w:r>
      <w:r>
        <w:rPr>
          <w:sz w:val="22"/>
        </w:rPr>
        <w:t>patents.</w:t>
      </w:r>
    </w:p>
    <w:p>
      <w:pPr>
        <w:pStyle w:val="ListParagraph"/>
        <w:numPr>
          <w:ilvl w:val="0"/>
          <w:numId w:val="69"/>
        </w:numPr>
        <w:tabs>
          <w:tab w:pos="679" w:val="left" w:leader="none"/>
        </w:tabs>
        <w:spacing w:line="266" w:lineRule="auto" w:before="0" w:after="0"/>
        <w:ind w:left="679" w:right="1077" w:hanging="360"/>
        <w:jc w:val="both"/>
        <w:rPr>
          <w:sz w:val="22"/>
        </w:rPr>
      </w:pPr>
      <w:r>
        <w:rPr>
          <w:w w:val="90"/>
          <w:sz w:val="22"/>
        </w:rPr>
        <w:t>DIPP is examining the issue of sui-generic </w:t>
      </w:r>
      <w:r>
        <w:rPr>
          <w:w w:val="90"/>
          <w:sz w:val="22"/>
        </w:rPr>
        <w:t>legislation </w:t>
      </w:r>
      <w:r>
        <w:rPr>
          <w:sz w:val="22"/>
        </w:rPr>
        <w:t>for protection of traditional knowledge.</w:t>
      </w:r>
    </w:p>
    <w:p>
      <w:pPr>
        <w:spacing w:after="0" w:line="266" w:lineRule="auto"/>
        <w:jc w:val="both"/>
        <w:rPr>
          <w:sz w:val="22"/>
        </w:rPr>
        <w:sectPr>
          <w:pgSz w:w="11910" w:h="16840"/>
          <w:pgMar w:header="0" w:footer="675" w:top="920" w:bottom="86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6"/>
        <w:rPr>
          <w:sz w:val="20"/>
        </w:rPr>
      </w:pPr>
    </w:p>
    <w:p>
      <w:pPr>
        <w:spacing w:after="0"/>
        <w:rPr>
          <w:sz w:val="20"/>
        </w:rPr>
        <w:sectPr>
          <w:pgSz w:w="11910" w:h="16840"/>
          <w:pgMar w:header="0" w:footer="675" w:top="0" w:bottom="860" w:left="0" w:right="0"/>
        </w:sectPr>
      </w:pPr>
    </w:p>
    <w:p>
      <w:pPr>
        <w:pStyle w:val="BodyText"/>
        <w:spacing w:line="266" w:lineRule="auto" w:before="82"/>
        <w:ind w:left="2061"/>
        <w:jc w:val="both"/>
      </w:pPr>
      <w:r>
        <w:rPr/>
        <mc:AlternateContent>
          <mc:Choice Requires="wps">
            <w:drawing>
              <wp:anchor distT="0" distB="0" distL="0" distR="0" allowOverlap="1" layoutInCell="1" locked="0" behindDoc="0" simplePos="0" relativeHeight="15793152">
                <wp:simplePos x="0" y="0"/>
                <wp:positionH relativeFrom="page">
                  <wp:posOffset>0</wp:posOffset>
                </wp:positionH>
                <wp:positionV relativeFrom="paragraph">
                  <wp:posOffset>-2231038</wp:posOffset>
                </wp:positionV>
                <wp:extent cx="7560309" cy="1752600"/>
                <wp:effectExtent l="0" t="0" r="0" b="0"/>
                <wp:wrapNone/>
                <wp:docPr id="1040" name="Group 1040"/>
                <wp:cNvGraphicFramePr>
                  <a:graphicFrameLocks/>
                </wp:cNvGraphicFramePr>
                <a:graphic>
                  <a:graphicData uri="http://schemas.microsoft.com/office/word/2010/wordprocessingGroup">
                    <wpg:wgp>
                      <wpg:cNvPr id="1040" name="Group 1040"/>
                      <wpg:cNvGrpSpPr/>
                      <wpg:grpSpPr>
                        <a:xfrm>
                          <a:off x="0" y="0"/>
                          <a:ext cx="7560309" cy="1752600"/>
                          <a:chExt cx="7560309" cy="1752600"/>
                        </a:xfrm>
                      </wpg:grpSpPr>
                      <pic:pic>
                        <pic:nvPicPr>
                          <pic:cNvPr id="1041" name="Image 1041"/>
                          <pic:cNvPicPr/>
                        </pic:nvPicPr>
                        <pic:blipFill>
                          <a:blip r:embed="rId645" cstate="print"/>
                          <a:stretch>
                            <a:fillRect/>
                          </a:stretch>
                        </pic:blipFill>
                        <pic:spPr>
                          <a:xfrm>
                            <a:off x="0" y="0"/>
                            <a:ext cx="7559999" cy="1752562"/>
                          </a:xfrm>
                          <a:prstGeom prst="rect">
                            <a:avLst/>
                          </a:prstGeom>
                        </pic:spPr>
                      </pic:pic>
                      <wps:wsp>
                        <wps:cNvPr id="1042" name="Textbox 1042"/>
                        <wps:cNvSpPr txBox="1"/>
                        <wps:spPr>
                          <a:xfrm>
                            <a:off x="0" y="0"/>
                            <a:ext cx="7560309" cy="1752600"/>
                          </a:xfrm>
                          <a:prstGeom prst="rect">
                            <a:avLst/>
                          </a:prstGeom>
                        </wps:spPr>
                        <wps:txbx>
                          <w:txbxContent>
                            <w:p>
                              <w:pPr>
                                <w:spacing w:line="240" w:lineRule="auto" w:before="160"/>
                                <w:rPr>
                                  <w:sz w:val="68"/>
                                </w:rPr>
                              </w:pPr>
                            </w:p>
                            <w:p>
                              <w:pPr>
                                <w:spacing w:line="247" w:lineRule="auto" w:before="1"/>
                                <w:ind w:left="1079" w:right="3076" w:firstLine="0"/>
                                <w:jc w:val="left"/>
                                <w:rPr>
                                  <w:rFonts w:ascii="Trebuchet MS"/>
                                  <w:b/>
                                  <w:sz w:val="68"/>
                                </w:rPr>
                              </w:pPr>
                              <w:r>
                                <w:rPr>
                                  <w:rFonts w:ascii="Trebuchet MS"/>
                                  <w:b/>
                                  <w:color w:val="FFFFFF"/>
                                  <w:sz w:val="68"/>
                                </w:rPr>
                                <w:t>NKC:</w:t>
                              </w:r>
                              <w:r>
                                <w:rPr>
                                  <w:rFonts w:ascii="Trebuchet MS"/>
                                  <w:b/>
                                  <w:color w:val="FFFFFF"/>
                                  <w:spacing w:val="-19"/>
                                  <w:sz w:val="68"/>
                                </w:rPr>
                                <w:t> </w:t>
                              </w:r>
                              <w:r>
                                <w:rPr>
                                  <w:rFonts w:ascii="Trebuchet MS"/>
                                  <w:b/>
                                  <w:color w:val="FFFFFF"/>
                                  <w:sz w:val="68"/>
                                </w:rPr>
                                <w:t>State</w:t>
                              </w:r>
                              <w:r>
                                <w:rPr>
                                  <w:rFonts w:ascii="Trebuchet MS"/>
                                  <w:b/>
                                  <w:color w:val="FFFFFF"/>
                                  <w:spacing w:val="-18"/>
                                  <w:sz w:val="68"/>
                                </w:rPr>
                                <w:t> </w:t>
                              </w:r>
                              <w:r>
                                <w:rPr>
                                  <w:rFonts w:ascii="Trebuchet MS"/>
                                  <w:b/>
                                  <w:color w:val="FFFFFF"/>
                                  <w:sz w:val="68"/>
                                </w:rPr>
                                <w:t>Level </w:t>
                              </w:r>
                              <w:r>
                                <w:rPr>
                                  <w:rFonts w:ascii="Trebuchet MS"/>
                                  <w:b/>
                                  <w:color w:val="FFFFFF"/>
                                  <w:spacing w:val="-2"/>
                                  <w:sz w:val="68"/>
                                </w:rPr>
                                <w:t>Initiatives</w:t>
                              </w:r>
                            </w:p>
                          </w:txbxContent>
                        </wps:txbx>
                        <wps:bodyPr wrap="square" lIns="0" tIns="0" rIns="0" bIns="0" rtlCol="0">
                          <a:noAutofit/>
                        </wps:bodyPr>
                      </wps:wsp>
                    </wpg:wgp>
                  </a:graphicData>
                </a:graphic>
              </wp:anchor>
            </w:drawing>
          </mc:Choice>
          <mc:Fallback>
            <w:pict>
              <v:group style="position:absolute;margin-left:0pt;margin-top:-175.672318pt;width:595.3pt;height:138pt;mso-position-horizontal-relative:page;mso-position-vertical-relative:paragraph;z-index:15793152" id="docshapegroup1028" coordorigin="0,-3513" coordsize="11906,2760">
                <v:shape style="position:absolute;left:0;top:-3514;width:11906;height:2760" type="#_x0000_t75" id="docshape1029" stroked="false">
                  <v:imagedata r:id="rId645" o:title=""/>
                </v:shape>
                <v:shape style="position:absolute;left:0;top:-3514;width:11906;height:2760" type="#_x0000_t202" id="docshape1030" filled="false" stroked="false">
                  <v:textbox inset="0,0,0,0">
                    <w:txbxContent>
                      <w:p>
                        <w:pPr>
                          <w:spacing w:line="240" w:lineRule="auto" w:before="160"/>
                          <w:rPr>
                            <w:sz w:val="68"/>
                          </w:rPr>
                        </w:pPr>
                      </w:p>
                      <w:p>
                        <w:pPr>
                          <w:spacing w:line="247" w:lineRule="auto" w:before="1"/>
                          <w:ind w:left="1079" w:right="3076" w:firstLine="0"/>
                          <w:jc w:val="left"/>
                          <w:rPr>
                            <w:rFonts w:ascii="Trebuchet MS"/>
                            <w:b/>
                            <w:sz w:val="68"/>
                          </w:rPr>
                        </w:pPr>
                        <w:r>
                          <w:rPr>
                            <w:rFonts w:ascii="Trebuchet MS"/>
                            <w:b/>
                            <w:color w:val="FFFFFF"/>
                            <w:sz w:val="68"/>
                          </w:rPr>
                          <w:t>NKC:</w:t>
                        </w:r>
                        <w:r>
                          <w:rPr>
                            <w:rFonts w:ascii="Trebuchet MS"/>
                            <w:b/>
                            <w:color w:val="FFFFFF"/>
                            <w:spacing w:val="-19"/>
                            <w:sz w:val="68"/>
                          </w:rPr>
                          <w:t> </w:t>
                        </w:r>
                        <w:r>
                          <w:rPr>
                            <w:rFonts w:ascii="Trebuchet MS"/>
                            <w:b/>
                            <w:color w:val="FFFFFF"/>
                            <w:sz w:val="68"/>
                          </w:rPr>
                          <w:t>State</w:t>
                        </w:r>
                        <w:r>
                          <w:rPr>
                            <w:rFonts w:ascii="Trebuchet MS"/>
                            <w:b/>
                            <w:color w:val="FFFFFF"/>
                            <w:spacing w:val="-18"/>
                            <w:sz w:val="68"/>
                          </w:rPr>
                          <w:t> </w:t>
                        </w:r>
                        <w:r>
                          <w:rPr>
                            <w:rFonts w:ascii="Trebuchet MS"/>
                            <w:b/>
                            <w:color w:val="FFFFFF"/>
                            <w:sz w:val="68"/>
                          </w:rPr>
                          <w:t>Level </w:t>
                        </w:r>
                        <w:r>
                          <w:rPr>
                            <w:rFonts w:ascii="Trebuchet MS"/>
                            <w:b/>
                            <w:color w:val="FFFFFF"/>
                            <w:spacing w:val="-2"/>
                            <w:sz w:val="68"/>
                          </w:rPr>
                          <w:t>Initiatives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70240">
                <wp:simplePos x="0" y="0"/>
                <wp:positionH relativeFrom="page">
                  <wp:posOffset>685800</wp:posOffset>
                </wp:positionH>
                <wp:positionV relativeFrom="paragraph">
                  <wp:posOffset>-36996</wp:posOffset>
                </wp:positionV>
                <wp:extent cx="616585" cy="757555"/>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616585" cy="757555"/>
                        </a:xfrm>
                        <a:prstGeom prst="rect">
                          <a:avLst/>
                        </a:prstGeom>
                      </wps:spPr>
                      <wps:txbx>
                        <w:txbxContent>
                          <w:p>
                            <w:pPr>
                              <w:spacing w:line="1135" w:lineRule="exact" w:before="0"/>
                              <w:ind w:left="0" w:right="0" w:firstLine="0"/>
                              <w:jc w:val="left"/>
                              <w:rPr>
                                <w:sz w:val="106"/>
                              </w:rPr>
                            </w:pPr>
                            <w:r>
                              <w:rPr>
                                <w:color w:val="9CBF3B"/>
                                <w:spacing w:val="-10"/>
                                <w:sz w:val="106"/>
                              </w:rPr>
                              <w:t>M</w:t>
                            </w:r>
                          </w:p>
                        </w:txbxContent>
                      </wps:txbx>
                      <wps:bodyPr wrap="square" lIns="0" tIns="0" rIns="0" bIns="0" rtlCol="0">
                        <a:noAutofit/>
                      </wps:bodyPr>
                    </wps:wsp>
                  </a:graphicData>
                </a:graphic>
              </wp:anchor>
            </w:drawing>
          </mc:Choice>
          <mc:Fallback>
            <w:pict>
              <v:shape style="position:absolute;margin-left:54pt;margin-top:-2.91314pt;width:48.55pt;height:59.65pt;mso-position-horizontal-relative:page;mso-position-vertical-relative:paragraph;z-index:-23946240" type="#_x0000_t202" id="docshape1031" filled="false" stroked="false">
                <v:textbox inset="0,0,0,0">
                  <w:txbxContent>
                    <w:p>
                      <w:pPr>
                        <w:spacing w:line="1135" w:lineRule="exact" w:before="0"/>
                        <w:ind w:left="0" w:right="0" w:firstLine="0"/>
                        <w:jc w:val="left"/>
                        <w:rPr>
                          <w:sz w:val="106"/>
                        </w:rPr>
                      </w:pPr>
                      <w:r>
                        <w:rPr>
                          <w:color w:val="9CBF3B"/>
                          <w:spacing w:val="-10"/>
                          <w:sz w:val="106"/>
                        </w:rPr>
                        <w:t>M</w:t>
                      </w:r>
                    </w:p>
                  </w:txbxContent>
                </v:textbox>
                <w10:wrap type="none"/>
              </v:shape>
            </w:pict>
          </mc:Fallback>
        </mc:AlternateContent>
      </w:r>
      <w:r>
        <w:rPr/>
        <w:t>any of the subjects on which the National Knowledge Commission has </w:t>
      </w:r>
      <w:r>
        <w:rPr/>
        <w:t>submitted </w:t>
      </w:r>
      <w:r>
        <w:rPr>
          <w:spacing w:val="-2"/>
        </w:rPr>
        <w:t>recommendations</w:t>
      </w:r>
      <w:r>
        <w:rPr>
          <w:spacing w:val="-19"/>
        </w:rPr>
        <w:t> </w:t>
      </w:r>
      <w:r>
        <w:rPr>
          <w:spacing w:val="-2"/>
        </w:rPr>
        <w:t>fall</w:t>
      </w:r>
      <w:r>
        <w:rPr>
          <w:spacing w:val="-19"/>
        </w:rPr>
        <w:t> </w:t>
      </w:r>
      <w:r>
        <w:rPr>
          <w:spacing w:val="-2"/>
        </w:rPr>
        <w:t>within</w:t>
      </w:r>
      <w:r>
        <w:rPr>
          <w:spacing w:val="-19"/>
        </w:rPr>
        <w:t> </w:t>
      </w:r>
      <w:r>
        <w:rPr>
          <w:spacing w:val="-2"/>
        </w:rPr>
        <w:t>the</w:t>
      </w:r>
      <w:r>
        <w:rPr>
          <w:spacing w:val="-19"/>
        </w:rPr>
        <w:t> </w:t>
      </w:r>
      <w:r>
        <w:rPr>
          <w:spacing w:val="-2"/>
        </w:rPr>
        <w:t>purview</w:t>
      </w:r>
      <w:r>
        <w:rPr>
          <w:spacing w:val="-19"/>
        </w:rPr>
        <w:t> </w:t>
      </w:r>
      <w:r>
        <w:rPr>
          <w:spacing w:val="-5"/>
        </w:rPr>
        <w:t>of</w:t>
      </w:r>
    </w:p>
    <w:p>
      <w:pPr>
        <w:pStyle w:val="BodyText"/>
        <w:spacing w:line="266" w:lineRule="auto"/>
        <w:ind w:left="1079"/>
        <w:jc w:val="both"/>
      </w:pPr>
      <w:r>
        <w:rPr>
          <w:spacing w:val="-2"/>
        </w:rPr>
        <w:t>the</w:t>
      </w:r>
      <w:r>
        <w:rPr>
          <w:spacing w:val="-7"/>
        </w:rPr>
        <w:t> </w:t>
      </w:r>
      <w:r>
        <w:rPr>
          <w:spacing w:val="-2"/>
        </w:rPr>
        <w:t>State</w:t>
      </w:r>
      <w:r>
        <w:rPr>
          <w:spacing w:val="-7"/>
        </w:rPr>
        <w:t> </w:t>
      </w:r>
      <w:r>
        <w:rPr>
          <w:spacing w:val="-2"/>
        </w:rPr>
        <w:t>Governments.</w:t>
      </w:r>
      <w:r>
        <w:rPr>
          <w:spacing w:val="-7"/>
        </w:rPr>
        <w:t> </w:t>
      </w:r>
      <w:r>
        <w:rPr>
          <w:spacing w:val="-2"/>
        </w:rPr>
        <w:t>Implementation</w:t>
      </w:r>
      <w:r>
        <w:rPr>
          <w:spacing w:val="-7"/>
        </w:rPr>
        <w:t> </w:t>
      </w:r>
      <w:r>
        <w:rPr>
          <w:spacing w:val="-2"/>
        </w:rPr>
        <w:t>of</w:t>
      </w:r>
      <w:r>
        <w:rPr>
          <w:spacing w:val="-7"/>
        </w:rPr>
        <w:t> </w:t>
      </w:r>
      <w:r>
        <w:rPr>
          <w:spacing w:val="-2"/>
        </w:rPr>
        <w:t>most</w:t>
      </w:r>
      <w:r>
        <w:rPr>
          <w:spacing w:val="-7"/>
        </w:rPr>
        <w:t> </w:t>
      </w:r>
      <w:r>
        <w:rPr>
          <w:spacing w:val="-2"/>
        </w:rPr>
        <w:t>of</w:t>
      </w:r>
      <w:r>
        <w:rPr>
          <w:spacing w:val="-7"/>
        </w:rPr>
        <w:t> </w:t>
      </w:r>
      <w:r>
        <w:rPr>
          <w:spacing w:val="-2"/>
        </w:rPr>
        <w:t>the </w:t>
      </w:r>
      <w:r>
        <w:rPr>
          <w:spacing w:val="-4"/>
        </w:rPr>
        <w:t>recommendations,</w:t>
      </w:r>
      <w:r>
        <w:rPr>
          <w:spacing w:val="-5"/>
        </w:rPr>
        <w:t> </w:t>
      </w:r>
      <w:r>
        <w:rPr>
          <w:spacing w:val="-4"/>
        </w:rPr>
        <w:t>be</w:t>
      </w:r>
      <w:r>
        <w:rPr>
          <w:spacing w:val="-5"/>
        </w:rPr>
        <w:t> </w:t>
      </w:r>
      <w:r>
        <w:rPr>
          <w:spacing w:val="-4"/>
        </w:rPr>
        <w:t>it</w:t>
      </w:r>
      <w:r>
        <w:rPr>
          <w:spacing w:val="-5"/>
        </w:rPr>
        <w:t> </w:t>
      </w:r>
      <w:r>
        <w:rPr>
          <w:spacing w:val="-4"/>
        </w:rPr>
        <w:t>reform</w:t>
      </w:r>
      <w:r>
        <w:rPr>
          <w:spacing w:val="-5"/>
        </w:rPr>
        <w:t> </w:t>
      </w:r>
      <w:r>
        <w:rPr>
          <w:spacing w:val="-4"/>
        </w:rPr>
        <w:t>of</w:t>
      </w:r>
      <w:r>
        <w:rPr>
          <w:spacing w:val="-5"/>
        </w:rPr>
        <w:t> </w:t>
      </w:r>
      <w:r>
        <w:rPr>
          <w:spacing w:val="-4"/>
        </w:rPr>
        <w:t>existing</w:t>
      </w:r>
      <w:r>
        <w:rPr>
          <w:spacing w:val="-5"/>
        </w:rPr>
        <w:t> </w:t>
      </w:r>
      <w:r>
        <w:rPr>
          <w:spacing w:val="-4"/>
        </w:rPr>
        <w:t>Universities, </w:t>
      </w:r>
      <w:r>
        <w:rPr/>
        <w:t>revitalising libraries in the region, introduction of English in schools, are all initiatives that need to be undertaken at the state and district level. In light of this,</w:t>
      </w:r>
      <w:r>
        <w:rPr>
          <w:spacing w:val="-14"/>
        </w:rPr>
        <w:t> </w:t>
      </w:r>
      <w:r>
        <w:rPr/>
        <w:t>NKC</w:t>
      </w:r>
      <w:r>
        <w:rPr>
          <w:spacing w:val="-14"/>
        </w:rPr>
        <w:t> </w:t>
      </w:r>
      <w:r>
        <w:rPr/>
        <w:t>has</w:t>
      </w:r>
      <w:r>
        <w:rPr>
          <w:spacing w:val="-14"/>
        </w:rPr>
        <w:t> </w:t>
      </w:r>
      <w:r>
        <w:rPr/>
        <w:t>successfully</w:t>
      </w:r>
      <w:r>
        <w:rPr>
          <w:spacing w:val="-13"/>
        </w:rPr>
        <w:t> </w:t>
      </w:r>
      <w:r>
        <w:rPr/>
        <w:t>engaged</w:t>
      </w:r>
      <w:r>
        <w:rPr>
          <w:spacing w:val="-14"/>
        </w:rPr>
        <w:t> </w:t>
      </w:r>
      <w:r>
        <w:rPr/>
        <w:t>with</w:t>
      </w:r>
      <w:r>
        <w:rPr>
          <w:spacing w:val="-14"/>
        </w:rPr>
        <w:t> </w:t>
      </w:r>
      <w:r>
        <w:rPr/>
        <w:t>several</w:t>
      </w:r>
      <w:r>
        <w:rPr>
          <w:spacing w:val="-14"/>
        </w:rPr>
        <w:t> </w:t>
      </w:r>
      <w:r>
        <w:rPr/>
        <w:t>State </w:t>
      </w:r>
      <w:r>
        <w:rPr>
          <w:spacing w:val="-2"/>
        </w:rPr>
        <w:t>Governments</w:t>
      </w:r>
      <w:r>
        <w:rPr>
          <w:spacing w:val="-9"/>
        </w:rPr>
        <w:t> </w:t>
      </w:r>
      <w:r>
        <w:rPr>
          <w:spacing w:val="-2"/>
        </w:rPr>
        <w:t>to</w:t>
      </w:r>
      <w:r>
        <w:rPr>
          <w:spacing w:val="-9"/>
        </w:rPr>
        <w:t> </w:t>
      </w:r>
      <w:r>
        <w:rPr>
          <w:spacing w:val="-2"/>
        </w:rPr>
        <w:t>formulate</w:t>
      </w:r>
      <w:r>
        <w:rPr>
          <w:spacing w:val="-9"/>
        </w:rPr>
        <w:t> </w:t>
      </w:r>
      <w:r>
        <w:rPr>
          <w:spacing w:val="-2"/>
        </w:rPr>
        <w:t>knowledge</w:t>
      </w:r>
      <w:r>
        <w:rPr>
          <w:spacing w:val="-9"/>
        </w:rPr>
        <w:t> </w:t>
      </w:r>
      <w:r>
        <w:rPr>
          <w:spacing w:val="-2"/>
        </w:rPr>
        <w:t>initiatives</w:t>
      </w:r>
      <w:r>
        <w:rPr>
          <w:spacing w:val="-9"/>
        </w:rPr>
        <w:t> </w:t>
      </w:r>
      <w:r>
        <w:rPr>
          <w:spacing w:val="-2"/>
        </w:rPr>
        <w:t>at</w:t>
      </w:r>
      <w:r>
        <w:rPr>
          <w:spacing w:val="-9"/>
        </w:rPr>
        <w:t> </w:t>
      </w:r>
      <w:r>
        <w:rPr>
          <w:spacing w:val="-2"/>
        </w:rPr>
        <w:t>the </w:t>
      </w:r>
      <w:r>
        <w:rPr/>
        <w:t>state level. It is working with 26 States and 3 Union </w:t>
      </w:r>
      <w:r>
        <w:rPr>
          <w:spacing w:val="-4"/>
        </w:rPr>
        <w:t>Territories for implementation of its recommendations. </w:t>
      </w:r>
      <w:r>
        <w:rPr/>
        <w:t>Key highlights include:</w:t>
      </w:r>
    </w:p>
    <w:p>
      <w:pPr>
        <w:pStyle w:val="ListParagraph"/>
        <w:numPr>
          <w:ilvl w:val="1"/>
          <w:numId w:val="69"/>
        </w:numPr>
        <w:tabs>
          <w:tab w:pos="1440" w:val="left" w:leader="none"/>
        </w:tabs>
        <w:spacing w:line="266" w:lineRule="auto" w:before="0" w:after="0"/>
        <w:ind w:left="1440" w:right="0" w:hanging="360"/>
        <w:jc w:val="both"/>
        <w:rPr>
          <w:sz w:val="22"/>
        </w:rPr>
      </w:pPr>
      <w:r>
        <w:rPr>
          <w:sz w:val="22"/>
        </w:rPr>
        <w:t>All States have appointed nodal officers </w:t>
      </w:r>
      <w:r>
        <w:rPr>
          <w:sz w:val="22"/>
        </w:rPr>
        <w:t>and departments for implementation of NKC </w:t>
      </w:r>
      <w:r>
        <w:rPr>
          <w:spacing w:val="-2"/>
          <w:sz w:val="22"/>
        </w:rPr>
        <w:t>recommendations.</w:t>
      </w:r>
    </w:p>
    <w:p>
      <w:pPr>
        <w:pStyle w:val="ListParagraph"/>
        <w:numPr>
          <w:ilvl w:val="1"/>
          <w:numId w:val="69"/>
        </w:numPr>
        <w:tabs>
          <w:tab w:pos="1440" w:val="left" w:leader="none"/>
        </w:tabs>
        <w:spacing w:line="266" w:lineRule="auto" w:before="0" w:after="0"/>
        <w:ind w:left="1440" w:right="0" w:hanging="360"/>
        <w:jc w:val="both"/>
        <w:rPr>
          <w:sz w:val="22"/>
        </w:rPr>
      </w:pPr>
      <w:r>
        <w:rPr>
          <w:spacing w:val="-2"/>
          <w:sz w:val="22"/>
        </w:rPr>
        <w:t>Many</w:t>
      </w:r>
      <w:r>
        <w:rPr>
          <w:spacing w:val="-6"/>
          <w:sz w:val="22"/>
        </w:rPr>
        <w:t> </w:t>
      </w:r>
      <w:r>
        <w:rPr>
          <w:spacing w:val="-2"/>
          <w:sz w:val="22"/>
        </w:rPr>
        <w:t>State</w:t>
      </w:r>
      <w:r>
        <w:rPr>
          <w:spacing w:val="-6"/>
          <w:sz w:val="22"/>
        </w:rPr>
        <w:t> </w:t>
      </w:r>
      <w:r>
        <w:rPr>
          <w:spacing w:val="-2"/>
          <w:sz w:val="22"/>
        </w:rPr>
        <w:t>Governments</w:t>
      </w:r>
      <w:r>
        <w:rPr>
          <w:spacing w:val="-6"/>
          <w:sz w:val="22"/>
        </w:rPr>
        <w:t> </w:t>
      </w:r>
      <w:r>
        <w:rPr>
          <w:spacing w:val="-2"/>
          <w:sz w:val="22"/>
        </w:rPr>
        <w:t>are</w:t>
      </w:r>
      <w:r>
        <w:rPr>
          <w:spacing w:val="-6"/>
          <w:sz w:val="22"/>
        </w:rPr>
        <w:t> </w:t>
      </w:r>
      <w:r>
        <w:rPr>
          <w:spacing w:val="-2"/>
          <w:sz w:val="22"/>
        </w:rPr>
        <w:t>preparing</w:t>
      </w:r>
      <w:r>
        <w:rPr>
          <w:spacing w:val="-6"/>
          <w:sz w:val="22"/>
        </w:rPr>
        <w:t> </w:t>
      </w:r>
      <w:r>
        <w:rPr>
          <w:spacing w:val="-2"/>
          <w:sz w:val="22"/>
        </w:rPr>
        <w:t>blueprints </w:t>
      </w:r>
      <w:r>
        <w:rPr>
          <w:spacing w:val="-4"/>
          <w:sz w:val="22"/>
        </w:rPr>
        <w:t>for</w:t>
      </w:r>
      <w:r>
        <w:rPr>
          <w:spacing w:val="-10"/>
          <w:sz w:val="22"/>
        </w:rPr>
        <w:t> </w:t>
      </w:r>
      <w:r>
        <w:rPr>
          <w:spacing w:val="-4"/>
          <w:sz w:val="22"/>
        </w:rPr>
        <w:t>reform</w:t>
      </w:r>
      <w:r>
        <w:rPr>
          <w:spacing w:val="-10"/>
          <w:sz w:val="22"/>
        </w:rPr>
        <w:t> </w:t>
      </w:r>
      <w:r>
        <w:rPr>
          <w:spacing w:val="-4"/>
          <w:sz w:val="22"/>
        </w:rPr>
        <w:t>based</w:t>
      </w:r>
      <w:r>
        <w:rPr>
          <w:spacing w:val="-10"/>
          <w:sz w:val="22"/>
        </w:rPr>
        <w:t> </w:t>
      </w:r>
      <w:r>
        <w:rPr>
          <w:spacing w:val="-4"/>
          <w:sz w:val="22"/>
        </w:rPr>
        <w:t>on</w:t>
      </w:r>
      <w:r>
        <w:rPr>
          <w:spacing w:val="-9"/>
          <w:sz w:val="22"/>
        </w:rPr>
        <w:t> </w:t>
      </w:r>
      <w:r>
        <w:rPr>
          <w:spacing w:val="-4"/>
          <w:sz w:val="22"/>
        </w:rPr>
        <w:t>NKC</w:t>
      </w:r>
      <w:r>
        <w:rPr>
          <w:spacing w:val="-10"/>
          <w:sz w:val="22"/>
        </w:rPr>
        <w:t> </w:t>
      </w:r>
      <w:r>
        <w:rPr>
          <w:spacing w:val="-4"/>
          <w:sz w:val="22"/>
        </w:rPr>
        <w:t>recommendations.</w:t>
      </w:r>
      <w:r>
        <w:rPr>
          <w:spacing w:val="-10"/>
          <w:sz w:val="22"/>
        </w:rPr>
        <w:t> </w:t>
      </w:r>
      <w:r>
        <w:rPr>
          <w:spacing w:val="-4"/>
          <w:sz w:val="22"/>
        </w:rPr>
        <w:t>These </w:t>
      </w:r>
      <w:r>
        <w:rPr>
          <w:sz w:val="22"/>
        </w:rPr>
        <w:t>include Rajasthan, Orissa and Andhra Pradesh. The</w:t>
      </w:r>
      <w:r>
        <w:rPr>
          <w:spacing w:val="65"/>
          <w:sz w:val="22"/>
        </w:rPr>
        <w:t> </w:t>
      </w:r>
      <w:r>
        <w:rPr>
          <w:sz w:val="22"/>
        </w:rPr>
        <w:t>Delhi</w:t>
      </w:r>
      <w:r>
        <w:rPr>
          <w:spacing w:val="65"/>
          <w:sz w:val="22"/>
        </w:rPr>
        <w:t> </w:t>
      </w:r>
      <w:r>
        <w:rPr>
          <w:sz w:val="22"/>
        </w:rPr>
        <w:t>Government</w:t>
      </w:r>
      <w:r>
        <w:rPr>
          <w:spacing w:val="65"/>
          <w:sz w:val="22"/>
        </w:rPr>
        <w:t> </w:t>
      </w:r>
      <w:r>
        <w:rPr>
          <w:sz w:val="22"/>
        </w:rPr>
        <w:t>has</w:t>
      </w:r>
      <w:r>
        <w:rPr>
          <w:spacing w:val="65"/>
          <w:sz w:val="22"/>
        </w:rPr>
        <w:t> </w:t>
      </w:r>
      <w:r>
        <w:rPr>
          <w:sz w:val="22"/>
        </w:rPr>
        <w:t>already</w:t>
      </w:r>
      <w:r>
        <w:rPr>
          <w:spacing w:val="65"/>
          <w:sz w:val="22"/>
        </w:rPr>
        <w:t> </w:t>
      </w:r>
      <w:r>
        <w:rPr>
          <w:sz w:val="22"/>
        </w:rPr>
        <w:t>approved</w:t>
      </w:r>
    </w:p>
    <w:p>
      <w:pPr>
        <w:pStyle w:val="BodyText"/>
        <w:spacing w:line="266" w:lineRule="auto" w:before="82"/>
        <w:ind w:left="679" w:right="1077"/>
        <w:jc w:val="both"/>
      </w:pPr>
      <w:r>
        <w:rPr/>
        <w:br w:type="column"/>
      </w:r>
      <w:r>
        <w:rPr/>
        <w:t>an action plan for implementation of </w:t>
      </w:r>
      <w:r>
        <w:rPr/>
        <w:t>NKC’s </w:t>
      </w:r>
      <w:r>
        <w:rPr>
          <w:spacing w:val="-2"/>
        </w:rPr>
        <w:t>recommendations.</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Several states are evaluating setting up a State Board</w:t>
      </w:r>
      <w:r>
        <w:rPr>
          <w:spacing w:val="40"/>
          <w:sz w:val="22"/>
        </w:rPr>
        <w:t> </w:t>
      </w:r>
      <w:r>
        <w:rPr>
          <w:sz w:val="22"/>
        </w:rPr>
        <w:t>of</w:t>
      </w:r>
      <w:r>
        <w:rPr>
          <w:spacing w:val="40"/>
          <w:sz w:val="22"/>
        </w:rPr>
        <w:t> </w:t>
      </w:r>
      <w:r>
        <w:rPr>
          <w:sz w:val="22"/>
        </w:rPr>
        <w:t>Undergraduate</w:t>
      </w:r>
      <w:r>
        <w:rPr>
          <w:spacing w:val="40"/>
          <w:sz w:val="22"/>
        </w:rPr>
        <w:t> </w:t>
      </w:r>
      <w:r>
        <w:rPr>
          <w:sz w:val="22"/>
        </w:rPr>
        <w:t>Education</w:t>
      </w:r>
      <w:r>
        <w:rPr>
          <w:spacing w:val="40"/>
          <w:sz w:val="22"/>
        </w:rPr>
        <w:t> </w:t>
      </w:r>
      <w:r>
        <w:rPr>
          <w:sz w:val="22"/>
        </w:rPr>
        <w:t>to</w:t>
      </w:r>
      <w:r>
        <w:rPr>
          <w:spacing w:val="40"/>
          <w:sz w:val="22"/>
        </w:rPr>
        <w:t> </w:t>
      </w:r>
      <w:r>
        <w:rPr>
          <w:sz w:val="22"/>
        </w:rPr>
        <w:t>reduce the</w:t>
      </w:r>
      <w:r>
        <w:rPr>
          <w:spacing w:val="-4"/>
          <w:sz w:val="22"/>
        </w:rPr>
        <w:t> </w:t>
      </w:r>
      <w:r>
        <w:rPr>
          <w:sz w:val="22"/>
        </w:rPr>
        <w:t>burden</w:t>
      </w:r>
      <w:r>
        <w:rPr>
          <w:spacing w:val="-4"/>
          <w:sz w:val="22"/>
        </w:rPr>
        <w:t> </w:t>
      </w:r>
      <w:r>
        <w:rPr>
          <w:sz w:val="22"/>
        </w:rPr>
        <w:t>of</w:t>
      </w:r>
      <w:r>
        <w:rPr>
          <w:spacing w:val="-4"/>
          <w:sz w:val="22"/>
        </w:rPr>
        <w:t> </w:t>
      </w:r>
      <w:r>
        <w:rPr>
          <w:sz w:val="22"/>
        </w:rPr>
        <w:t>affiliating</w:t>
      </w:r>
      <w:r>
        <w:rPr>
          <w:spacing w:val="-4"/>
          <w:sz w:val="22"/>
        </w:rPr>
        <w:t> </w:t>
      </w:r>
      <w:r>
        <w:rPr>
          <w:sz w:val="22"/>
        </w:rPr>
        <w:t>colleges</w:t>
      </w:r>
      <w:r>
        <w:rPr>
          <w:spacing w:val="-4"/>
          <w:sz w:val="22"/>
        </w:rPr>
        <w:t> </w:t>
      </w:r>
      <w:r>
        <w:rPr>
          <w:sz w:val="22"/>
        </w:rPr>
        <w:t>on</w:t>
      </w:r>
      <w:r>
        <w:rPr>
          <w:spacing w:val="-4"/>
          <w:sz w:val="22"/>
        </w:rPr>
        <w:t> </w:t>
      </w:r>
      <w:r>
        <w:rPr>
          <w:sz w:val="22"/>
        </w:rPr>
        <w:t>Universities. These</w:t>
      </w:r>
      <w:r>
        <w:rPr>
          <w:spacing w:val="-14"/>
          <w:sz w:val="22"/>
        </w:rPr>
        <w:t> </w:t>
      </w:r>
      <w:r>
        <w:rPr>
          <w:sz w:val="22"/>
        </w:rPr>
        <w:t>Boards</w:t>
      </w:r>
      <w:r>
        <w:rPr>
          <w:spacing w:val="-14"/>
          <w:sz w:val="22"/>
        </w:rPr>
        <w:t> </w:t>
      </w:r>
      <w:r>
        <w:rPr>
          <w:sz w:val="22"/>
        </w:rPr>
        <w:t>would</w:t>
      </w:r>
      <w:r>
        <w:rPr>
          <w:spacing w:val="-14"/>
          <w:sz w:val="22"/>
        </w:rPr>
        <w:t> </w:t>
      </w:r>
      <w:r>
        <w:rPr>
          <w:sz w:val="22"/>
        </w:rPr>
        <w:t>aim</w:t>
      </w:r>
      <w:r>
        <w:rPr>
          <w:spacing w:val="-13"/>
          <w:sz w:val="22"/>
        </w:rPr>
        <w:t> </w:t>
      </w:r>
      <w:r>
        <w:rPr>
          <w:sz w:val="22"/>
        </w:rPr>
        <w:t>to</w:t>
      </w:r>
      <w:r>
        <w:rPr>
          <w:spacing w:val="-14"/>
          <w:sz w:val="22"/>
        </w:rPr>
        <w:t> </w:t>
      </w:r>
      <w:r>
        <w:rPr>
          <w:sz w:val="22"/>
        </w:rPr>
        <w:t>separate</w:t>
      </w:r>
      <w:r>
        <w:rPr>
          <w:spacing w:val="-14"/>
          <w:sz w:val="22"/>
        </w:rPr>
        <w:t> </w:t>
      </w:r>
      <w:r>
        <w:rPr>
          <w:sz w:val="22"/>
        </w:rPr>
        <w:t>the</w:t>
      </w:r>
      <w:r>
        <w:rPr>
          <w:spacing w:val="-14"/>
          <w:sz w:val="22"/>
        </w:rPr>
        <w:t> </w:t>
      </w:r>
      <w:r>
        <w:rPr>
          <w:sz w:val="22"/>
        </w:rPr>
        <w:t>academic functions from the administrative functions and provide quality benchmark.</w:t>
      </w:r>
    </w:p>
    <w:p>
      <w:pPr>
        <w:pStyle w:val="ListParagraph"/>
        <w:numPr>
          <w:ilvl w:val="0"/>
          <w:numId w:val="69"/>
        </w:numPr>
        <w:tabs>
          <w:tab w:pos="679" w:val="left" w:leader="none"/>
        </w:tabs>
        <w:spacing w:line="266" w:lineRule="auto" w:before="0" w:after="0"/>
        <w:ind w:left="679" w:right="1077" w:hanging="360"/>
        <w:jc w:val="both"/>
        <w:rPr>
          <w:sz w:val="22"/>
        </w:rPr>
      </w:pPr>
      <w:r>
        <w:rPr>
          <w:spacing w:val="-4"/>
          <w:sz w:val="22"/>
        </w:rPr>
        <w:t>Karnataka</w:t>
      </w:r>
      <w:r>
        <w:rPr>
          <w:spacing w:val="-8"/>
          <w:sz w:val="22"/>
        </w:rPr>
        <w:t> </w:t>
      </w:r>
      <w:r>
        <w:rPr>
          <w:spacing w:val="-4"/>
          <w:sz w:val="22"/>
        </w:rPr>
        <w:t>has</w:t>
      </w:r>
      <w:r>
        <w:rPr>
          <w:spacing w:val="-8"/>
          <w:sz w:val="22"/>
        </w:rPr>
        <w:t> </w:t>
      </w:r>
      <w:r>
        <w:rPr>
          <w:spacing w:val="-4"/>
          <w:sz w:val="22"/>
        </w:rPr>
        <w:t>started</w:t>
      </w:r>
      <w:r>
        <w:rPr>
          <w:spacing w:val="-8"/>
          <w:sz w:val="22"/>
        </w:rPr>
        <w:t> </w:t>
      </w:r>
      <w:r>
        <w:rPr>
          <w:spacing w:val="-4"/>
          <w:sz w:val="22"/>
        </w:rPr>
        <w:t>a</w:t>
      </w:r>
      <w:r>
        <w:rPr>
          <w:spacing w:val="-8"/>
          <w:sz w:val="22"/>
        </w:rPr>
        <w:t> </w:t>
      </w:r>
      <w:r>
        <w:rPr>
          <w:spacing w:val="-4"/>
          <w:sz w:val="22"/>
        </w:rPr>
        <w:t>Knowledge</w:t>
      </w:r>
      <w:r>
        <w:rPr>
          <w:spacing w:val="-8"/>
          <w:sz w:val="22"/>
        </w:rPr>
        <w:t> </w:t>
      </w:r>
      <w:r>
        <w:rPr>
          <w:spacing w:val="-4"/>
          <w:sz w:val="22"/>
        </w:rPr>
        <w:t>Commission</w:t>
      </w:r>
      <w:r>
        <w:rPr>
          <w:spacing w:val="-8"/>
          <w:sz w:val="22"/>
        </w:rPr>
        <w:t> </w:t>
      </w:r>
      <w:r>
        <w:rPr>
          <w:spacing w:val="-4"/>
          <w:sz w:val="22"/>
        </w:rPr>
        <w:t>to </w:t>
      </w:r>
      <w:r>
        <w:rPr>
          <w:sz w:val="22"/>
        </w:rPr>
        <w:t>lay</w:t>
      </w:r>
      <w:r>
        <w:rPr>
          <w:spacing w:val="-7"/>
          <w:sz w:val="22"/>
        </w:rPr>
        <w:t> </w:t>
      </w:r>
      <w:r>
        <w:rPr>
          <w:sz w:val="22"/>
        </w:rPr>
        <w:t>the</w:t>
      </w:r>
      <w:r>
        <w:rPr>
          <w:spacing w:val="-7"/>
          <w:sz w:val="22"/>
        </w:rPr>
        <w:t> </w:t>
      </w:r>
      <w:r>
        <w:rPr>
          <w:sz w:val="22"/>
        </w:rPr>
        <w:t>groundwork</w:t>
      </w:r>
      <w:r>
        <w:rPr>
          <w:spacing w:val="-7"/>
          <w:sz w:val="22"/>
        </w:rPr>
        <w:t> </w:t>
      </w:r>
      <w:r>
        <w:rPr>
          <w:sz w:val="22"/>
        </w:rPr>
        <w:t>for</w:t>
      </w:r>
      <w:r>
        <w:rPr>
          <w:spacing w:val="-7"/>
          <w:sz w:val="22"/>
        </w:rPr>
        <w:t> </w:t>
      </w:r>
      <w:r>
        <w:rPr>
          <w:sz w:val="22"/>
        </w:rPr>
        <w:t>reforms</w:t>
      </w:r>
      <w:r>
        <w:rPr>
          <w:spacing w:val="-7"/>
          <w:sz w:val="22"/>
        </w:rPr>
        <w:t> </w:t>
      </w:r>
      <w:r>
        <w:rPr>
          <w:sz w:val="22"/>
        </w:rPr>
        <w:t>in</w:t>
      </w:r>
      <w:r>
        <w:rPr>
          <w:spacing w:val="-7"/>
          <w:sz w:val="22"/>
        </w:rPr>
        <w:t> </w:t>
      </w:r>
      <w:r>
        <w:rPr>
          <w:sz w:val="22"/>
        </w:rPr>
        <w:t>the</w:t>
      </w:r>
      <w:r>
        <w:rPr>
          <w:spacing w:val="-7"/>
          <w:sz w:val="22"/>
        </w:rPr>
        <w:t> </w:t>
      </w:r>
      <w:r>
        <w:rPr>
          <w:sz w:val="22"/>
        </w:rPr>
        <w:t>knowledge </w:t>
      </w:r>
      <w:r>
        <w:rPr>
          <w:spacing w:val="-2"/>
          <w:sz w:val="22"/>
        </w:rPr>
        <w:t>sector</w:t>
      </w:r>
      <w:r>
        <w:rPr>
          <w:spacing w:val="-12"/>
          <w:sz w:val="22"/>
        </w:rPr>
        <w:t> </w:t>
      </w:r>
      <w:r>
        <w:rPr>
          <w:spacing w:val="-2"/>
          <w:sz w:val="22"/>
        </w:rPr>
        <w:t>in</w:t>
      </w:r>
      <w:r>
        <w:rPr>
          <w:spacing w:val="-12"/>
          <w:sz w:val="22"/>
        </w:rPr>
        <w:t> </w:t>
      </w:r>
      <w:r>
        <w:rPr>
          <w:spacing w:val="-2"/>
          <w:sz w:val="22"/>
        </w:rPr>
        <w:t>the</w:t>
      </w:r>
      <w:r>
        <w:rPr>
          <w:spacing w:val="-12"/>
          <w:sz w:val="22"/>
        </w:rPr>
        <w:t> </w:t>
      </w:r>
      <w:r>
        <w:rPr>
          <w:spacing w:val="-2"/>
          <w:sz w:val="22"/>
        </w:rPr>
        <w:t>state.</w:t>
      </w:r>
      <w:r>
        <w:rPr>
          <w:spacing w:val="-11"/>
          <w:sz w:val="22"/>
        </w:rPr>
        <w:t> </w:t>
      </w:r>
      <w:r>
        <w:rPr>
          <w:spacing w:val="-2"/>
          <w:sz w:val="22"/>
        </w:rPr>
        <w:t>Rajasthan</w:t>
      </w:r>
      <w:r>
        <w:rPr>
          <w:spacing w:val="-12"/>
          <w:sz w:val="22"/>
        </w:rPr>
        <w:t> </w:t>
      </w:r>
      <w:r>
        <w:rPr>
          <w:spacing w:val="-2"/>
          <w:sz w:val="22"/>
        </w:rPr>
        <w:t>has</w:t>
      </w:r>
      <w:r>
        <w:rPr>
          <w:spacing w:val="-12"/>
          <w:sz w:val="22"/>
        </w:rPr>
        <w:t> </w:t>
      </w:r>
      <w:r>
        <w:rPr>
          <w:spacing w:val="-2"/>
          <w:sz w:val="22"/>
        </w:rPr>
        <w:t>set</w:t>
      </w:r>
      <w:r>
        <w:rPr>
          <w:spacing w:val="-12"/>
          <w:sz w:val="22"/>
        </w:rPr>
        <w:t> </w:t>
      </w:r>
      <w:r>
        <w:rPr>
          <w:spacing w:val="-2"/>
          <w:sz w:val="22"/>
        </w:rPr>
        <w:t>up</w:t>
      </w:r>
      <w:r>
        <w:rPr>
          <w:spacing w:val="-11"/>
          <w:sz w:val="22"/>
        </w:rPr>
        <w:t> </w:t>
      </w:r>
      <w:r>
        <w:rPr>
          <w:spacing w:val="-2"/>
          <w:sz w:val="22"/>
        </w:rPr>
        <w:t>a</w:t>
      </w:r>
      <w:r>
        <w:rPr>
          <w:spacing w:val="-12"/>
          <w:sz w:val="22"/>
        </w:rPr>
        <w:t> </w:t>
      </w:r>
      <w:r>
        <w:rPr>
          <w:spacing w:val="-2"/>
          <w:sz w:val="22"/>
        </w:rPr>
        <w:t>Rajasthan Knowledge</w:t>
      </w:r>
      <w:r>
        <w:rPr>
          <w:spacing w:val="-10"/>
          <w:sz w:val="22"/>
        </w:rPr>
        <w:t> </w:t>
      </w:r>
      <w:r>
        <w:rPr>
          <w:spacing w:val="-2"/>
          <w:sz w:val="22"/>
        </w:rPr>
        <w:t>Corporation</w:t>
      </w:r>
      <w:r>
        <w:rPr>
          <w:spacing w:val="-10"/>
          <w:sz w:val="22"/>
        </w:rPr>
        <w:t> </w:t>
      </w:r>
      <w:r>
        <w:rPr>
          <w:spacing w:val="-2"/>
          <w:sz w:val="22"/>
        </w:rPr>
        <w:t>Limited</w:t>
      </w:r>
      <w:r>
        <w:rPr>
          <w:spacing w:val="-10"/>
          <w:sz w:val="22"/>
        </w:rPr>
        <w:t> </w:t>
      </w:r>
      <w:r>
        <w:rPr>
          <w:spacing w:val="-2"/>
          <w:sz w:val="22"/>
        </w:rPr>
        <w:t>for</w:t>
      </w:r>
      <w:r>
        <w:rPr>
          <w:spacing w:val="-10"/>
          <w:sz w:val="22"/>
        </w:rPr>
        <w:t> </w:t>
      </w:r>
      <w:r>
        <w:rPr>
          <w:spacing w:val="-2"/>
          <w:sz w:val="22"/>
        </w:rPr>
        <w:t>promoting</w:t>
      </w:r>
      <w:r>
        <w:rPr>
          <w:spacing w:val="-10"/>
          <w:sz w:val="22"/>
        </w:rPr>
        <w:t> </w:t>
      </w:r>
      <w:r>
        <w:rPr>
          <w:spacing w:val="-2"/>
          <w:sz w:val="22"/>
        </w:rPr>
        <w:t>IT </w:t>
      </w:r>
      <w:r>
        <w:rPr>
          <w:spacing w:val="-4"/>
          <w:sz w:val="22"/>
        </w:rPr>
        <w:t>education</w:t>
      </w:r>
      <w:r>
        <w:rPr>
          <w:spacing w:val="-10"/>
          <w:sz w:val="22"/>
        </w:rPr>
        <w:t> </w:t>
      </w:r>
      <w:r>
        <w:rPr>
          <w:spacing w:val="-4"/>
          <w:sz w:val="22"/>
        </w:rPr>
        <w:t>and</w:t>
      </w:r>
      <w:r>
        <w:rPr>
          <w:spacing w:val="-9"/>
          <w:sz w:val="22"/>
        </w:rPr>
        <w:t> </w:t>
      </w:r>
      <w:r>
        <w:rPr>
          <w:spacing w:val="-4"/>
          <w:sz w:val="22"/>
        </w:rPr>
        <w:t>application</w:t>
      </w:r>
      <w:r>
        <w:rPr>
          <w:spacing w:val="-10"/>
          <w:sz w:val="22"/>
        </w:rPr>
        <w:t> </w:t>
      </w:r>
      <w:r>
        <w:rPr>
          <w:spacing w:val="-4"/>
          <w:sz w:val="22"/>
        </w:rPr>
        <w:t>of</w:t>
      </w:r>
      <w:r>
        <w:rPr>
          <w:spacing w:val="-9"/>
          <w:sz w:val="22"/>
        </w:rPr>
        <w:t> </w:t>
      </w:r>
      <w:r>
        <w:rPr>
          <w:spacing w:val="-4"/>
          <w:sz w:val="22"/>
        </w:rPr>
        <w:t>IT</w:t>
      </w:r>
      <w:r>
        <w:rPr>
          <w:spacing w:val="-10"/>
          <w:sz w:val="22"/>
        </w:rPr>
        <w:t> </w:t>
      </w:r>
      <w:r>
        <w:rPr>
          <w:spacing w:val="-4"/>
          <w:sz w:val="22"/>
        </w:rPr>
        <w:t>systems</w:t>
      </w:r>
      <w:r>
        <w:rPr>
          <w:spacing w:val="-9"/>
          <w:sz w:val="22"/>
        </w:rPr>
        <w:t> </w:t>
      </w:r>
      <w:r>
        <w:rPr>
          <w:spacing w:val="-4"/>
          <w:sz w:val="22"/>
        </w:rPr>
        <w:t>for</w:t>
      </w:r>
      <w:r>
        <w:rPr>
          <w:spacing w:val="-10"/>
          <w:sz w:val="22"/>
        </w:rPr>
        <w:t> </w:t>
      </w:r>
      <w:r>
        <w:rPr>
          <w:spacing w:val="-4"/>
          <w:sz w:val="22"/>
        </w:rPr>
        <w:t>process </w:t>
      </w:r>
      <w:r>
        <w:rPr>
          <w:sz w:val="22"/>
        </w:rPr>
        <w:t>improvement</w:t>
      </w:r>
      <w:r>
        <w:rPr>
          <w:spacing w:val="-4"/>
          <w:sz w:val="22"/>
        </w:rPr>
        <w:t> </w:t>
      </w:r>
      <w:r>
        <w:rPr>
          <w:sz w:val="22"/>
        </w:rPr>
        <w:t>and</w:t>
      </w:r>
      <w:r>
        <w:rPr>
          <w:spacing w:val="-4"/>
          <w:sz w:val="22"/>
        </w:rPr>
        <w:t> </w:t>
      </w:r>
      <w:r>
        <w:rPr>
          <w:sz w:val="22"/>
        </w:rPr>
        <w:t>knowledge</w:t>
      </w:r>
      <w:r>
        <w:rPr>
          <w:spacing w:val="-4"/>
          <w:sz w:val="22"/>
        </w:rPr>
        <w:t> </w:t>
      </w:r>
      <w:r>
        <w:rPr>
          <w:sz w:val="22"/>
        </w:rPr>
        <w:t>delivery.</w:t>
      </w:r>
    </w:p>
    <w:p>
      <w:pPr>
        <w:pStyle w:val="ListParagraph"/>
        <w:numPr>
          <w:ilvl w:val="0"/>
          <w:numId w:val="69"/>
        </w:numPr>
        <w:tabs>
          <w:tab w:pos="679" w:val="left" w:leader="none"/>
        </w:tabs>
        <w:spacing w:line="266" w:lineRule="auto" w:before="0" w:after="0"/>
        <w:ind w:left="679" w:right="1077" w:hanging="360"/>
        <w:jc w:val="both"/>
        <w:rPr>
          <w:sz w:val="22"/>
        </w:rPr>
      </w:pPr>
      <w:r>
        <w:rPr>
          <w:sz w:val="22"/>
        </w:rPr>
        <w:t>As part of the National e-Governance </w:t>
      </w:r>
      <w:r>
        <w:rPr>
          <w:sz w:val="22"/>
        </w:rPr>
        <w:t>Project (NeGP), six state governments – Haryana, </w:t>
      </w:r>
      <w:r>
        <w:rPr>
          <w:spacing w:val="-4"/>
          <w:sz w:val="22"/>
        </w:rPr>
        <w:t>Himachal</w:t>
      </w:r>
      <w:r>
        <w:rPr>
          <w:spacing w:val="-10"/>
          <w:sz w:val="22"/>
        </w:rPr>
        <w:t> </w:t>
      </w:r>
      <w:r>
        <w:rPr>
          <w:spacing w:val="-4"/>
          <w:sz w:val="22"/>
        </w:rPr>
        <w:t>Pradesh,</w:t>
      </w:r>
      <w:r>
        <w:rPr>
          <w:spacing w:val="-10"/>
          <w:sz w:val="22"/>
        </w:rPr>
        <w:t> </w:t>
      </w:r>
      <w:r>
        <w:rPr>
          <w:spacing w:val="-4"/>
          <w:sz w:val="22"/>
        </w:rPr>
        <w:t>Tamil</w:t>
      </w:r>
      <w:r>
        <w:rPr>
          <w:spacing w:val="-9"/>
          <w:sz w:val="22"/>
        </w:rPr>
        <w:t> </w:t>
      </w:r>
      <w:r>
        <w:rPr>
          <w:spacing w:val="-4"/>
          <w:sz w:val="22"/>
        </w:rPr>
        <w:t>Nadu,</w:t>
      </w:r>
      <w:r>
        <w:rPr>
          <w:spacing w:val="-6"/>
          <w:sz w:val="22"/>
        </w:rPr>
        <w:t> </w:t>
      </w:r>
      <w:r>
        <w:rPr>
          <w:spacing w:val="-4"/>
          <w:sz w:val="22"/>
        </w:rPr>
        <w:t>Chandigarh,</w:t>
      </w:r>
      <w:r>
        <w:rPr>
          <w:spacing w:val="-7"/>
          <w:sz w:val="22"/>
        </w:rPr>
        <w:t> </w:t>
      </w:r>
      <w:r>
        <w:rPr>
          <w:spacing w:val="-4"/>
          <w:sz w:val="22"/>
        </w:rPr>
        <w:t>Delhi </w:t>
      </w:r>
      <w:r>
        <w:rPr>
          <w:sz w:val="22"/>
        </w:rPr>
        <w:t>and Tripura have implemented State Wide Area </w:t>
      </w:r>
      <w:r>
        <w:rPr>
          <w:spacing w:val="-2"/>
          <w:sz w:val="22"/>
        </w:rPr>
        <w:t>Network</w:t>
      </w:r>
      <w:r>
        <w:rPr>
          <w:spacing w:val="-12"/>
          <w:sz w:val="22"/>
        </w:rPr>
        <w:t> </w:t>
      </w:r>
      <w:r>
        <w:rPr>
          <w:spacing w:val="-2"/>
          <w:sz w:val="22"/>
        </w:rPr>
        <w:t>(SWAN)</w:t>
      </w:r>
      <w:r>
        <w:rPr>
          <w:spacing w:val="-12"/>
          <w:sz w:val="22"/>
        </w:rPr>
        <w:t> </w:t>
      </w:r>
      <w:r>
        <w:rPr>
          <w:spacing w:val="-2"/>
          <w:sz w:val="22"/>
        </w:rPr>
        <w:t>and</w:t>
      </w:r>
      <w:r>
        <w:rPr>
          <w:spacing w:val="-12"/>
          <w:sz w:val="22"/>
        </w:rPr>
        <w:t> </w:t>
      </w:r>
      <w:r>
        <w:rPr>
          <w:spacing w:val="-2"/>
          <w:sz w:val="22"/>
        </w:rPr>
        <w:t>in</w:t>
      </w:r>
      <w:r>
        <w:rPr>
          <w:spacing w:val="-11"/>
          <w:sz w:val="22"/>
        </w:rPr>
        <w:t> </w:t>
      </w:r>
      <w:r>
        <w:rPr>
          <w:spacing w:val="-2"/>
          <w:sz w:val="22"/>
        </w:rPr>
        <w:t>18</w:t>
      </w:r>
      <w:r>
        <w:rPr>
          <w:spacing w:val="-12"/>
          <w:sz w:val="22"/>
        </w:rPr>
        <w:t> </w:t>
      </w:r>
      <w:r>
        <w:rPr>
          <w:spacing w:val="-2"/>
          <w:sz w:val="22"/>
        </w:rPr>
        <w:t>states</w:t>
      </w:r>
      <w:r>
        <w:rPr>
          <w:spacing w:val="-12"/>
          <w:sz w:val="22"/>
        </w:rPr>
        <w:t> </w:t>
      </w:r>
      <w:r>
        <w:rPr>
          <w:spacing w:val="-2"/>
          <w:sz w:val="22"/>
        </w:rPr>
        <w:t>implementation </w:t>
      </w:r>
      <w:r>
        <w:rPr>
          <w:sz w:val="22"/>
        </w:rPr>
        <w:t>is in process.</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BodyText"/>
        <w:spacing w:before="4"/>
        <w:rPr>
          <w:sz w:val="17"/>
        </w:rPr>
      </w:pPr>
      <w:r>
        <w:rPr/>
        <mc:AlternateContent>
          <mc:Choice Requires="wps">
            <w:drawing>
              <wp:anchor distT="0" distB="0" distL="0" distR="0" allowOverlap="1" layoutInCell="1" locked="0" behindDoc="1" simplePos="0" relativeHeight="479370752">
                <wp:simplePos x="0" y="0"/>
                <wp:positionH relativeFrom="page">
                  <wp:posOffset>5870957</wp:posOffset>
                </wp:positionH>
                <wp:positionV relativeFrom="page">
                  <wp:posOffset>10297721</wp:posOffset>
                </wp:positionV>
                <wp:extent cx="1368425" cy="147955"/>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1368425" cy="147955"/>
                        </a:xfrm>
                        <a:prstGeom prst="rect">
                          <a:avLst/>
                        </a:prstGeom>
                      </wps:spPr>
                      <wps:txbx>
                        <w:txbxContent>
                          <w:p>
                            <w:pPr>
                              <w:spacing w:before="0"/>
                              <w:ind w:left="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t>171</w:t>
                            </w:r>
                          </w:p>
                        </w:txbxContent>
                      </wps:txbx>
                      <wps:bodyPr wrap="square" lIns="0" tIns="0" rIns="0" bIns="0" rtlCol="0">
                        <a:noAutofit/>
                      </wps:bodyPr>
                    </wps:wsp>
                  </a:graphicData>
                </a:graphic>
              </wp:anchor>
            </w:drawing>
          </mc:Choice>
          <mc:Fallback>
            <w:pict>
              <v:shape style="position:absolute;margin-left:462.28009pt;margin-top:810.844238pt;width:107.75pt;height:11.65pt;mso-position-horizontal-relative:page;mso-position-vertical-relative:page;z-index:-23945728" type="#_x0000_t202" id="docshape1032" filled="false" stroked="false">
                <v:textbox inset="0,0,0,0">
                  <w:txbxContent>
                    <w:p>
                      <w:pPr>
                        <w:spacing w:before="0"/>
                        <w:ind w:left="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t>171</w:t>
                      </w:r>
                    </w:p>
                  </w:txbxContent>
                </v:textbox>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0</wp:posOffset>
                </wp:positionH>
                <wp:positionV relativeFrom="page">
                  <wp:posOffset>38</wp:posOffset>
                </wp:positionV>
                <wp:extent cx="7560309" cy="10692130"/>
                <wp:effectExtent l="0" t="0" r="0" b="0"/>
                <wp:wrapNone/>
                <wp:docPr id="1045" name="Group 1045"/>
                <wp:cNvGraphicFramePr>
                  <a:graphicFrameLocks/>
                </wp:cNvGraphicFramePr>
                <a:graphic>
                  <a:graphicData uri="http://schemas.microsoft.com/office/word/2010/wordprocessingGroup">
                    <wpg:wgp>
                      <wpg:cNvPr id="1045" name="Group 1045"/>
                      <wpg:cNvGrpSpPr/>
                      <wpg:grpSpPr>
                        <a:xfrm>
                          <a:off x="0" y="0"/>
                          <a:ext cx="7560309" cy="10692130"/>
                          <a:chExt cx="7560309" cy="10692130"/>
                        </a:xfrm>
                      </wpg:grpSpPr>
                      <pic:pic>
                        <pic:nvPicPr>
                          <pic:cNvPr id="1046" name="Image 1046"/>
                          <pic:cNvPicPr/>
                        </pic:nvPicPr>
                        <pic:blipFill>
                          <a:blip r:embed="rId17" cstate="print"/>
                          <a:stretch>
                            <a:fillRect/>
                          </a:stretch>
                        </pic:blipFill>
                        <pic:spPr>
                          <a:xfrm>
                            <a:off x="6892290" y="10136123"/>
                            <a:ext cx="504862" cy="266945"/>
                          </a:xfrm>
                          <a:prstGeom prst="rect">
                            <a:avLst/>
                          </a:prstGeom>
                        </pic:spPr>
                      </pic:pic>
                      <pic:pic>
                        <pic:nvPicPr>
                          <pic:cNvPr id="1047" name="Image 1047"/>
                          <pic:cNvPicPr/>
                        </pic:nvPicPr>
                        <pic:blipFill>
                          <a:blip r:embed="rId18" cstate="print"/>
                          <a:stretch>
                            <a:fillRect/>
                          </a:stretch>
                        </pic:blipFill>
                        <pic:spPr>
                          <a:xfrm>
                            <a:off x="6892290" y="10402597"/>
                            <a:ext cx="504862" cy="266963"/>
                          </a:xfrm>
                          <a:prstGeom prst="rect">
                            <a:avLst/>
                          </a:prstGeom>
                        </pic:spPr>
                      </pic:pic>
                      <wps:wsp>
                        <wps:cNvPr id="1048" name="Graphic 1048"/>
                        <wps:cNvSpPr/>
                        <wps:spPr>
                          <a:xfrm>
                            <a:off x="1143000" y="0"/>
                            <a:ext cx="6417310" cy="10692130"/>
                          </a:xfrm>
                          <a:custGeom>
                            <a:avLst/>
                            <a:gdLst/>
                            <a:ahLst/>
                            <a:cxnLst/>
                            <a:rect l="l" t="t" r="r" b="b"/>
                            <a:pathLst>
                              <a:path w="6417310" h="10692130">
                                <a:moveTo>
                                  <a:pt x="0" y="0"/>
                                </a:moveTo>
                                <a:lnTo>
                                  <a:pt x="0" y="10691964"/>
                                </a:lnTo>
                                <a:lnTo>
                                  <a:pt x="6416999" y="10691964"/>
                                </a:lnTo>
                                <a:lnTo>
                                  <a:pt x="6416999" y="0"/>
                                </a:lnTo>
                                <a:lnTo>
                                  <a:pt x="0" y="0"/>
                                </a:lnTo>
                                <a:close/>
                              </a:path>
                            </a:pathLst>
                          </a:custGeom>
                          <a:solidFill>
                            <a:srgbClr val="F5E7AB"/>
                          </a:solidFill>
                        </wps:spPr>
                        <wps:bodyPr wrap="square" lIns="0" tIns="0" rIns="0" bIns="0" rtlCol="0">
                          <a:prstTxWarp prst="textNoShape">
                            <a:avLst/>
                          </a:prstTxWarp>
                          <a:noAutofit/>
                        </wps:bodyPr>
                      </wps:wsp>
                      <pic:pic>
                        <pic:nvPicPr>
                          <pic:cNvPr id="1049" name="Image 1049"/>
                          <pic:cNvPicPr/>
                        </pic:nvPicPr>
                        <pic:blipFill>
                          <a:blip r:embed="rId12" cstate="print"/>
                          <a:stretch>
                            <a:fillRect/>
                          </a:stretch>
                        </pic:blipFill>
                        <pic:spPr>
                          <a:xfrm>
                            <a:off x="0" y="0"/>
                            <a:ext cx="4223041" cy="10691964"/>
                          </a:xfrm>
                          <a:prstGeom prst="rect">
                            <a:avLst/>
                          </a:prstGeom>
                        </pic:spPr>
                      </pic:pic>
                    </wpg:wgp>
                  </a:graphicData>
                </a:graphic>
              </wp:anchor>
            </w:drawing>
          </mc:Choice>
          <mc:Fallback>
            <w:pict>
              <v:group style="position:absolute;margin-left:0pt;margin-top:.003055pt;width:595.3pt;height:841.9pt;mso-position-horizontal-relative:page;mso-position-vertical-relative:page;z-index:15794688" id="docshapegroup1033" coordorigin="0,0" coordsize="11906,16838">
                <v:shape style="position:absolute;left:10854;top:15962;width:796;height:421" type="#_x0000_t75" id="docshape1034" stroked="false">
                  <v:imagedata r:id="rId17" o:title=""/>
                </v:shape>
                <v:shape style="position:absolute;left:10854;top:16382;width:796;height:421" type="#_x0000_t75" id="docshape1035" stroked="false">
                  <v:imagedata r:id="rId18" o:title=""/>
                </v:shape>
                <v:rect style="position:absolute;left:1800;top:0;width:10106;height:16838" id="docshape1036" filled="true" fillcolor="#f5e7ab" stroked="false">
                  <v:fill type="solid"/>
                </v:rect>
                <v:shape style="position:absolute;left:0;top:0;width:6651;height:16838" type="#_x0000_t75" id="docshape1037" stroked="false">
                  <v:imagedata r:id="rId12" o:title=""/>
                </v:shape>
                <w10:wrap type="none"/>
              </v:group>
            </w:pict>
          </mc:Fallback>
        </mc:AlternateContent>
      </w:r>
      <w:r>
        <w:rPr/>
        <mc:AlternateContent>
          <mc:Choice Requires="wps">
            <w:drawing>
              <wp:anchor distT="0" distB="0" distL="0" distR="0" allowOverlap="1" layoutInCell="1" locked="0" behindDoc="0" simplePos="0" relativeHeight="15795200">
                <wp:simplePos x="0" y="0"/>
                <wp:positionH relativeFrom="page">
                  <wp:posOffset>3315847</wp:posOffset>
                </wp:positionH>
                <wp:positionV relativeFrom="page">
                  <wp:posOffset>1644884</wp:posOffset>
                </wp:positionV>
                <wp:extent cx="910590" cy="7399655"/>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910590" cy="7399655"/>
                        </a:xfrm>
                        <a:prstGeom prst="rect">
                          <a:avLst/>
                        </a:prstGeom>
                      </wps:spPr>
                      <wps:txbx>
                        <w:txbxContent>
                          <w:p>
                            <w:pPr>
                              <w:spacing w:before="20"/>
                              <w:ind w:left="20" w:right="0" w:firstLine="0"/>
                              <w:jc w:val="left"/>
                              <w:rPr>
                                <w:rFonts w:ascii="Trebuchet MS"/>
                                <w:b/>
                                <w:sz w:val="120"/>
                              </w:rPr>
                            </w:pPr>
                            <w:r>
                              <w:rPr>
                                <w:rFonts w:ascii="Trebuchet MS"/>
                                <w:b/>
                                <w:color w:val="E3C626"/>
                                <w:sz w:val="120"/>
                              </w:rPr>
                              <w:t>Annexure</w:t>
                            </w:r>
                            <w:r>
                              <w:rPr>
                                <w:rFonts w:ascii="Trebuchet MS"/>
                                <w:b/>
                                <w:color w:val="E3C626"/>
                                <w:spacing w:val="-1"/>
                                <w:sz w:val="120"/>
                              </w:rPr>
                              <w:t> </w:t>
                            </w:r>
                            <w:r>
                              <w:rPr>
                                <w:rFonts w:ascii="Trebuchet MS"/>
                                <w:b/>
                                <w:color w:val="E3C626"/>
                                <w:sz w:val="120"/>
                              </w:rPr>
                              <w:t>I:</w:t>
                            </w:r>
                            <w:r>
                              <w:rPr>
                                <w:rFonts w:ascii="Trebuchet MS"/>
                                <w:b/>
                                <w:color w:val="E3C626"/>
                                <w:spacing w:val="-1"/>
                                <w:sz w:val="120"/>
                              </w:rPr>
                              <w:t> </w:t>
                            </w:r>
                            <w:r>
                              <w:rPr>
                                <w:rFonts w:ascii="Trebuchet MS"/>
                                <w:b/>
                                <w:color w:val="E3C626"/>
                                <w:spacing w:val="-2"/>
                                <w:sz w:val="120"/>
                              </w:rPr>
                              <w:t>Baseline</w:t>
                            </w:r>
                          </w:p>
                        </w:txbxContent>
                      </wps:txbx>
                      <wps:bodyPr wrap="square" lIns="0" tIns="0" rIns="0" bIns="0" rtlCol="0" vert="vert270">
                        <a:noAutofit/>
                      </wps:bodyPr>
                    </wps:wsp>
                  </a:graphicData>
                </a:graphic>
              </wp:anchor>
            </w:drawing>
          </mc:Choice>
          <mc:Fallback>
            <w:pict>
              <v:shape style="position:absolute;margin-left:261.090363pt;margin-top:129.518494pt;width:71.7pt;height:582.65pt;mso-position-horizontal-relative:page;mso-position-vertical-relative:page;z-index:15795200" type="#_x0000_t202" id="docshape1038" filled="false" stroked="false">
                <v:textbox inset="0,0,0,0" style="layout-flow:vertical;mso-layout-flow-alt:bottom-to-top">
                  <w:txbxContent>
                    <w:p>
                      <w:pPr>
                        <w:spacing w:before="20"/>
                        <w:ind w:left="20" w:right="0" w:firstLine="0"/>
                        <w:jc w:val="left"/>
                        <w:rPr>
                          <w:rFonts w:ascii="Trebuchet MS"/>
                          <w:b/>
                          <w:sz w:val="120"/>
                        </w:rPr>
                      </w:pPr>
                      <w:r>
                        <w:rPr>
                          <w:rFonts w:ascii="Trebuchet MS"/>
                          <w:b/>
                          <w:color w:val="E3C626"/>
                          <w:sz w:val="120"/>
                        </w:rPr>
                        <w:t>Annexure</w:t>
                      </w:r>
                      <w:r>
                        <w:rPr>
                          <w:rFonts w:ascii="Trebuchet MS"/>
                          <w:b/>
                          <w:color w:val="E3C626"/>
                          <w:spacing w:val="-1"/>
                          <w:sz w:val="120"/>
                        </w:rPr>
                        <w:t> </w:t>
                      </w:r>
                      <w:r>
                        <w:rPr>
                          <w:rFonts w:ascii="Trebuchet MS"/>
                          <w:b/>
                          <w:color w:val="E3C626"/>
                          <w:sz w:val="120"/>
                        </w:rPr>
                        <w:t>I:</w:t>
                      </w:r>
                      <w:r>
                        <w:rPr>
                          <w:rFonts w:ascii="Trebuchet MS"/>
                          <w:b/>
                          <w:color w:val="E3C626"/>
                          <w:spacing w:val="-1"/>
                          <w:sz w:val="120"/>
                        </w:rPr>
                        <w:t> </w:t>
                      </w:r>
                      <w:r>
                        <w:rPr>
                          <w:rFonts w:ascii="Trebuchet MS"/>
                          <w:b/>
                          <w:color w:val="E3C626"/>
                          <w:spacing w:val="-2"/>
                          <w:sz w:val="120"/>
                        </w:rPr>
                        <w:t>Baseline</w:t>
                      </w:r>
                    </w:p>
                  </w:txbxContent>
                </v:textbox>
                <w10:wrap type="none"/>
              </v:shape>
            </w:pict>
          </mc:Fallback>
        </mc:AlternateContent>
      </w:r>
    </w:p>
    <w:p>
      <w:pPr>
        <w:spacing w:after="0"/>
        <w:rPr>
          <w:sz w:val="17"/>
        </w:rPr>
        <w:sectPr>
          <w:footerReference w:type="default" r:id="rId646"/>
          <w:pgSz w:w="11910" w:h="16840"/>
          <w:pgMar w:header="0" w:footer="0" w:top="1920" w:bottom="280" w:left="0" w:right="0"/>
        </w:sectPr>
      </w:pPr>
    </w:p>
    <w:p>
      <w:pPr>
        <w:pStyle w:val="BodyText"/>
        <w:spacing w:before="4"/>
        <w:rPr>
          <w:sz w:val="17"/>
        </w:rPr>
      </w:pPr>
    </w:p>
    <w:p>
      <w:pPr>
        <w:spacing w:after="0"/>
        <w:rPr>
          <w:sz w:val="17"/>
        </w:rPr>
        <w:sectPr>
          <w:footerReference w:type="even" r:id="rId647"/>
          <w:pgSz w:w="11910" w:h="16840"/>
          <w:pgMar w:header="0" w:footer="0"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7"/>
        <w:rPr>
          <w:sz w:val="20"/>
        </w:rPr>
      </w:pPr>
    </w:p>
    <w:p>
      <w:pPr>
        <w:spacing w:after="0"/>
        <w:rPr>
          <w:sz w:val="20"/>
        </w:rPr>
        <w:sectPr>
          <w:footerReference w:type="default" r:id="rId648"/>
          <w:footerReference w:type="even" r:id="rId649"/>
          <w:pgSz w:w="11910" w:h="16840"/>
          <w:pgMar w:header="0" w:footer="675" w:top="0" w:bottom="860" w:left="0" w:right="0"/>
          <w:pgNumType w:start="173"/>
        </w:sectPr>
      </w:pPr>
    </w:p>
    <w:p>
      <w:pPr>
        <w:pStyle w:val="Heading6"/>
        <w:spacing w:before="78"/>
        <w:ind w:left="1080" w:firstLine="0"/>
      </w:pPr>
      <w:r>
        <w:rPr/>
        <mc:AlternateContent>
          <mc:Choice Requires="wps">
            <w:drawing>
              <wp:anchor distT="0" distB="0" distL="0" distR="0" allowOverlap="1" layoutInCell="1" locked="0" behindDoc="0" simplePos="0" relativeHeight="15795712">
                <wp:simplePos x="0" y="0"/>
                <wp:positionH relativeFrom="page">
                  <wp:posOffset>0</wp:posOffset>
                </wp:positionH>
                <wp:positionV relativeFrom="paragraph">
                  <wp:posOffset>-2199935</wp:posOffset>
                </wp:positionV>
                <wp:extent cx="7560309" cy="1752600"/>
                <wp:effectExtent l="0" t="0" r="0" b="0"/>
                <wp:wrapNone/>
                <wp:docPr id="1060" name="Group 1060"/>
                <wp:cNvGraphicFramePr>
                  <a:graphicFrameLocks/>
                </wp:cNvGraphicFramePr>
                <a:graphic>
                  <a:graphicData uri="http://schemas.microsoft.com/office/word/2010/wordprocessingGroup">
                    <wpg:wgp>
                      <wpg:cNvPr id="1060" name="Group 1060"/>
                      <wpg:cNvGrpSpPr/>
                      <wpg:grpSpPr>
                        <a:xfrm>
                          <a:off x="0" y="0"/>
                          <a:ext cx="7560309" cy="1752600"/>
                          <a:chExt cx="7560309" cy="1752600"/>
                        </a:xfrm>
                      </wpg:grpSpPr>
                      <pic:pic>
                        <pic:nvPicPr>
                          <pic:cNvPr id="1061" name="Image 1061"/>
                          <pic:cNvPicPr/>
                        </pic:nvPicPr>
                        <pic:blipFill>
                          <a:blip r:embed="rId11" cstate="print"/>
                          <a:stretch>
                            <a:fillRect/>
                          </a:stretch>
                        </pic:blipFill>
                        <pic:spPr>
                          <a:xfrm>
                            <a:off x="0" y="0"/>
                            <a:ext cx="7559999" cy="1752562"/>
                          </a:xfrm>
                          <a:prstGeom prst="rect">
                            <a:avLst/>
                          </a:prstGeom>
                        </pic:spPr>
                      </pic:pic>
                      <wps:wsp>
                        <wps:cNvPr id="1062" name="Textbox 1062"/>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pacing w:val="-2"/>
                                  <w:sz w:val="68"/>
                                </w:rPr>
                                <w:t>Libraries</w:t>
                              </w:r>
                            </w:p>
                          </w:txbxContent>
                        </wps:txbx>
                        <wps:bodyPr wrap="square" lIns="0" tIns="0" rIns="0" bIns="0" rtlCol="0">
                          <a:noAutofit/>
                        </wps:bodyPr>
                      </wps:wsp>
                    </wpg:wgp>
                  </a:graphicData>
                </a:graphic>
              </wp:anchor>
            </w:drawing>
          </mc:Choice>
          <mc:Fallback>
            <w:pict>
              <v:group style="position:absolute;margin-left:0pt;margin-top:-173.223282pt;width:595.3pt;height:138pt;mso-position-horizontal-relative:page;mso-position-vertical-relative:paragraph;z-index:15795712" id="docshapegroup1048" coordorigin="0,-3464" coordsize="11906,2760">
                <v:shape style="position:absolute;left:0;top:-3465;width:11906;height:2760" type="#_x0000_t75" id="docshape1049" stroked="false">
                  <v:imagedata r:id="rId11" o:title=""/>
                </v:shape>
                <v:shape style="position:absolute;left:0;top:-3465;width:11906;height:2760" type="#_x0000_t202" id="docshape1050"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pacing w:val="-2"/>
                            <w:sz w:val="68"/>
                          </w:rPr>
                          <w:t>Libraries</w:t>
                        </w:r>
                      </w:p>
                    </w:txbxContent>
                  </v:textbox>
                  <w10:wrap type="none"/>
                </v:shape>
                <w10:wrap type="none"/>
              </v:group>
            </w:pict>
          </mc:Fallback>
        </mc:AlternateContent>
      </w:r>
      <w:r>
        <w:rPr>
          <w:color w:val="2E614A"/>
          <w:spacing w:val="-2"/>
        </w:rPr>
        <w:t>Introduction</w:t>
      </w:r>
    </w:p>
    <w:p>
      <w:pPr>
        <w:pStyle w:val="BodyText"/>
        <w:spacing w:line="266" w:lineRule="auto" w:before="286"/>
        <w:ind w:left="1080" w:firstLine="588"/>
        <w:jc w:val="right"/>
      </w:pPr>
      <w:r>
        <w:rPr/>
        <mc:AlternateContent>
          <mc:Choice Requires="wps">
            <w:drawing>
              <wp:anchor distT="0" distB="0" distL="0" distR="0" allowOverlap="1" layoutInCell="1" locked="0" behindDoc="0" simplePos="0" relativeHeight="15796224">
                <wp:simplePos x="0" y="0"/>
                <wp:positionH relativeFrom="page">
                  <wp:posOffset>685800</wp:posOffset>
                </wp:positionH>
                <wp:positionV relativeFrom="paragraph">
                  <wp:posOffset>92210</wp:posOffset>
                </wp:positionV>
                <wp:extent cx="374015" cy="757555"/>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374015" cy="757555"/>
                        </a:xfrm>
                        <a:prstGeom prst="rect">
                          <a:avLst/>
                        </a:prstGeom>
                      </wps:spPr>
                      <wps:txbx>
                        <w:txbxContent>
                          <w:p>
                            <w:pPr>
                              <w:spacing w:line="1135" w:lineRule="exact" w:before="0"/>
                              <w:ind w:left="0" w:right="0" w:firstLine="0"/>
                              <w:jc w:val="left"/>
                              <w:rPr>
                                <w:sz w:val="106"/>
                              </w:rPr>
                            </w:pPr>
                            <w:r>
                              <w:rPr>
                                <w:color w:val="9CBF3B"/>
                                <w:spacing w:val="-10"/>
                                <w:w w:val="90"/>
                                <w:sz w:val="106"/>
                              </w:rPr>
                              <w:t>L</w:t>
                            </w:r>
                          </w:p>
                        </w:txbxContent>
                      </wps:txbx>
                      <wps:bodyPr wrap="square" lIns="0" tIns="0" rIns="0" bIns="0" rtlCol="0">
                        <a:noAutofit/>
                      </wps:bodyPr>
                    </wps:wsp>
                  </a:graphicData>
                </a:graphic>
              </wp:anchor>
            </w:drawing>
          </mc:Choice>
          <mc:Fallback>
            <w:pict>
              <v:shape style="position:absolute;margin-left:54pt;margin-top:7.260696pt;width:29.45pt;height:59.65pt;mso-position-horizontal-relative:page;mso-position-vertical-relative:paragraph;z-index:15796224" type="#_x0000_t202" id="docshape1051" filled="false" stroked="false">
                <v:textbox inset="0,0,0,0">
                  <w:txbxContent>
                    <w:p>
                      <w:pPr>
                        <w:spacing w:line="1135" w:lineRule="exact" w:before="0"/>
                        <w:ind w:left="0" w:right="0" w:firstLine="0"/>
                        <w:jc w:val="left"/>
                        <w:rPr>
                          <w:sz w:val="106"/>
                        </w:rPr>
                      </w:pPr>
                      <w:r>
                        <w:rPr>
                          <w:color w:val="9CBF3B"/>
                          <w:spacing w:val="-10"/>
                          <w:w w:val="90"/>
                          <w:sz w:val="106"/>
                        </w:rPr>
                        <w:t>L</w:t>
                      </w:r>
                    </w:p>
                  </w:txbxContent>
                </v:textbox>
                <w10:wrap type="none"/>
              </v:shape>
            </w:pict>
          </mc:Fallback>
        </mc:AlternateContent>
      </w:r>
      <w:r>
        <w:rPr/>
        <w:t>ibraries</w:t>
      </w:r>
      <w:r>
        <w:rPr>
          <w:spacing w:val="-7"/>
        </w:rPr>
        <w:t> </w:t>
      </w:r>
      <w:r>
        <w:rPr/>
        <w:t>play</w:t>
      </w:r>
      <w:r>
        <w:rPr>
          <w:spacing w:val="-6"/>
        </w:rPr>
        <w:t> </w:t>
      </w:r>
      <w:r>
        <w:rPr/>
        <w:t>a</w:t>
      </w:r>
      <w:r>
        <w:rPr>
          <w:spacing w:val="-6"/>
        </w:rPr>
        <w:t> </w:t>
      </w:r>
      <w:r>
        <w:rPr/>
        <w:t>pivotal</w:t>
      </w:r>
      <w:r>
        <w:rPr>
          <w:spacing w:val="-6"/>
        </w:rPr>
        <w:t> </w:t>
      </w:r>
      <w:r>
        <w:rPr/>
        <w:t>role</w:t>
      </w:r>
      <w:r>
        <w:rPr>
          <w:spacing w:val="-7"/>
        </w:rPr>
        <w:t> </w:t>
      </w:r>
      <w:r>
        <w:rPr/>
        <w:t>in</w:t>
      </w:r>
      <w:r>
        <w:rPr>
          <w:spacing w:val="-6"/>
        </w:rPr>
        <w:t> </w:t>
      </w:r>
      <w:r>
        <w:rPr/>
        <w:t>the</w:t>
      </w:r>
      <w:r>
        <w:rPr>
          <w:spacing w:val="-6"/>
        </w:rPr>
        <w:t> </w:t>
      </w:r>
      <w:r>
        <w:rPr/>
        <w:t>dissemination of</w:t>
      </w:r>
      <w:r>
        <w:rPr>
          <w:spacing w:val="40"/>
        </w:rPr>
        <w:t> </w:t>
      </w:r>
      <w:r>
        <w:rPr/>
        <w:t>knowledge</w:t>
      </w:r>
      <w:r>
        <w:rPr>
          <w:spacing w:val="40"/>
        </w:rPr>
        <w:t> </w:t>
      </w:r>
      <w:r>
        <w:rPr/>
        <w:t>and</w:t>
      </w:r>
      <w:r>
        <w:rPr>
          <w:spacing w:val="40"/>
        </w:rPr>
        <w:t> </w:t>
      </w:r>
      <w:r>
        <w:rPr/>
        <w:t>are</w:t>
      </w:r>
      <w:r>
        <w:rPr>
          <w:spacing w:val="40"/>
        </w:rPr>
        <w:t> </w:t>
      </w:r>
      <w:r>
        <w:rPr/>
        <w:t>extremely</w:t>
      </w:r>
      <w:r>
        <w:rPr>
          <w:spacing w:val="40"/>
        </w:rPr>
        <w:t> </w:t>
      </w:r>
      <w:r>
        <w:rPr/>
        <w:t>important</w:t>
      </w:r>
      <w:r>
        <w:rPr>
          <w:spacing w:val="40"/>
        </w:rPr>
        <w:t> </w:t>
      </w:r>
      <w:r>
        <w:rPr/>
        <w:t>in building</w:t>
      </w:r>
      <w:r>
        <w:rPr>
          <w:spacing w:val="-19"/>
        </w:rPr>
        <w:t> </w:t>
      </w:r>
      <w:r>
        <w:rPr/>
        <w:t>a</w:t>
      </w:r>
      <w:r>
        <w:rPr>
          <w:spacing w:val="-19"/>
        </w:rPr>
        <w:t> </w:t>
      </w:r>
      <w:r>
        <w:rPr/>
        <w:t>knowledge</w:t>
      </w:r>
      <w:r>
        <w:rPr>
          <w:spacing w:val="-19"/>
        </w:rPr>
        <w:t> </w:t>
      </w:r>
      <w:r>
        <w:rPr/>
        <w:t>economy.</w:t>
      </w:r>
      <w:r>
        <w:rPr>
          <w:spacing w:val="-29"/>
        </w:rPr>
        <w:t> </w:t>
      </w:r>
      <w:r>
        <w:rPr/>
        <w:t>There</w:t>
      </w:r>
      <w:r>
        <w:rPr>
          <w:spacing w:val="-19"/>
        </w:rPr>
        <w:t> </w:t>
      </w:r>
      <w:r>
        <w:rPr/>
        <w:t>is</w:t>
      </w:r>
      <w:r>
        <w:rPr>
          <w:spacing w:val="-19"/>
        </w:rPr>
        <w:t> </w:t>
      </w:r>
      <w:r>
        <w:rPr/>
        <w:t>a</w:t>
      </w:r>
      <w:r>
        <w:rPr>
          <w:spacing w:val="-19"/>
        </w:rPr>
        <w:t> </w:t>
      </w:r>
      <w:r>
        <w:rPr/>
        <w:t>need</w:t>
      </w:r>
      <w:r>
        <w:rPr>
          <w:spacing w:val="-19"/>
        </w:rPr>
        <w:t> </w:t>
      </w:r>
      <w:r>
        <w:rPr/>
        <w:t>to </w:t>
      </w:r>
      <w:r>
        <w:rPr>
          <w:spacing w:val="-4"/>
        </w:rPr>
        <w:t>formulate</w:t>
      </w:r>
      <w:r>
        <w:rPr>
          <w:spacing w:val="-18"/>
        </w:rPr>
        <w:t> </w:t>
      </w:r>
      <w:r>
        <w:rPr>
          <w:spacing w:val="-4"/>
        </w:rPr>
        <w:t>and</w:t>
      </w:r>
      <w:r>
        <w:rPr>
          <w:spacing w:val="-18"/>
        </w:rPr>
        <w:t> </w:t>
      </w:r>
      <w:r>
        <w:rPr>
          <w:spacing w:val="-4"/>
        </w:rPr>
        <w:t>create</w:t>
      </w:r>
      <w:r>
        <w:rPr>
          <w:spacing w:val="-18"/>
        </w:rPr>
        <w:t> </w:t>
      </w:r>
      <w:r>
        <w:rPr>
          <w:spacing w:val="-4"/>
        </w:rPr>
        <w:t>mechanisms</w:t>
      </w:r>
      <w:r>
        <w:rPr>
          <w:spacing w:val="-18"/>
        </w:rPr>
        <w:t> </w:t>
      </w:r>
      <w:r>
        <w:rPr>
          <w:spacing w:val="-4"/>
        </w:rPr>
        <w:t>and</w:t>
      </w:r>
      <w:r>
        <w:rPr>
          <w:spacing w:val="-18"/>
        </w:rPr>
        <w:t> </w:t>
      </w:r>
      <w:r>
        <w:rPr>
          <w:spacing w:val="-4"/>
        </w:rPr>
        <w:t>institutions</w:t>
      </w:r>
      <w:r>
        <w:rPr>
          <w:spacing w:val="-18"/>
        </w:rPr>
        <w:t> </w:t>
      </w:r>
      <w:r>
        <w:rPr>
          <w:spacing w:val="-4"/>
        </w:rPr>
        <w:t>which </w:t>
      </w:r>
      <w:r>
        <w:rPr/>
        <w:t>will bring about a paradigm shift in the libraries and </w:t>
      </w:r>
      <w:r>
        <w:rPr>
          <w:spacing w:val="-2"/>
        </w:rPr>
        <w:t>information</w:t>
      </w:r>
      <w:r>
        <w:rPr>
          <w:spacing w:val="-4"/>
        </w:rPr>
        <w:t> </w:t>
      </w:r>
      <w:r>
        <w:rPr>
          <w:spacing w:val="-2"/>
        </w:rPr>
        <w:t>system</w:t>
      </w:r>
      <w:r>
        <w:rPr>
          <w:spacing w:val="-4"/>
        </w:rPr>
        <w:t> </w:t>
      </w:r>
      <w:r>
        <w:rPr>
          <w:spacing w:val="-2"/>
        </w:rPr>
        <w:t>(LIS)</w:t>
      </w:r>
      <w:r>
        <w:rPr>
          <w:spacing w:val="-3"/>
        </w:rPr>
        <w:t> </w:t>
      </w:r>
      <w:r>
        <w:rPr>
          <w:spacing w:val="-2"/>
        </w:rPr>
        <w:t>scenario.</w:t>
      </w:r>
      <w:r>
        <w:rPr>
          <w:spacing w:val="-4"/>
        </w:rPr>
        <w:t> </w:t>
      </w:r>
      <w:r>
        <w:rPr>
          <w:spacing w:val="-2"/>
        </w:rPr>
        <w:t>In</w:t>
      </w:r>
      <w:r>
        <w:rPr>
          <w:spacing w:val="-4"/>
        </w:rPr>
        <w:t> </w:t>
      </w:r>
      <w:r>
        <w:rPr>
          <w:spacing w:val="-2"/>
        </w:rPr>
        <w:t>today’s</w:t>
      </w:r>
      <w:r>
        <w:rPr>
          <w:spacing w:val="-3"/>
        </w:rPr>
        <w:t> </w:t>
      </w:r>
      <w:r>
        <w:rPr>
          <w:spacing w:val="-2"/>
        </w:rPr>
        <w:t>context, </w:t>
      </w:r>
      <w:r>
        <w:rPr/>
        <w:t>libraries</w:t>
      </w:r>
      <w:r>
        <w:rPr>
          <w:spacing w:val="-3"/>
        </w:rPr>
        <w:t> </w:t>
      </w:r>
      <w:r>
        <w:rPr/>
        <w:t>have</w:t>
      </w:r>
      <w:r>
        <w:rPr>
          <w:spacing w:val="-3"/>
        </w:rPr>
        <w:t> </w:t>
      </w:r>
      <w:r>
        <w:rPr/>
        <w:t>to</w:t>
      </w:r>
      <w:r>
        <w:rPr>
          <w:spacing w:val="-3"/>
        </w:rPr>
        <w:t> </w:t>
      </w:r>
      <w:r>
        <w:rPr/>
        <w:t>play</w:t>
      </w:r>
      <w:r>
        <w:rPr>
          <w:spacing w:val="-3"/>
        </w:rPr>
        <w:t> </w:t>
      </w:r>
      <w:r>
        <w:rPr/>
        <w:t>two</w:t>
      </w:r>
      <w:r>
        <w:rPr>
          <w:spacing w:val="-3"/>
        </w:rPr>
        <w:t> </w:t>
      </w:r>
      <w:r>
        <w:rPr/>
        <w:t>distinct</w:t>
      </w:r>
      <w:r>
        <w:rPr>
          <w:spacing w:val="-3"/>
        </w:rPr>
        <w:t> </w:t>
      </w:r>
      <w:r>
        <w:rPr/>
        <w:t>roles</w:t>
      </w:r>
      <w:r>
        <w:rPr>
          <w:spacing w:val="-3"/>
        </w:rPr>
        <w:t> </w:t>
      </w:r>
      <w:r>
        <w:rPr/>
        <w:t>-</w:t>
      </w:r>
      <w:r>
        <w:rPr>
          <w:spacing w:val="-3"/>
        </w:rPr>
        <w:t> </w:t>
      </w:r>
      <w:r>
        <w:rPr/>
        <w:t>to</w:t>
      </w:r>
      <w:r>
        <w:rPr>
          <w:spacing w:val="-3"/>
        </w:rPr>
        <w:t> </w:t>
      </w:r>
      <w:r>
        <w:rPr/>
        <w:t>serve</w:t>
      </w:r>
      <w:r>
        <w:rPr>
          <w:spacing w:val="-3"/>
        </w:rPr>
        <w:t> </w:t>
      </w:r>
      <w:r>
        <w:rPr/>
        <w:t>as</w:t>
      </w:r>
      <w:r>
        <w:rPr>
          <w:spacing w:val="-3"/>
        </w:rPr>
        <w:t> </w:t>
      </w:r>
      <w:r>
        <w:rPr/>
        <w:t>a </w:t>
      </w:r>
      <w:r>
        <w:rPr>
          <w:spacing w:val="-6"/>
        </w:rPr>
        <w:t>local</w:t>
      </w:r>
      <w:r>
        <w:rPr>
          <w:spacing w:val="-15"/>
        </w:rPr>
        <w:t> </w:t>
      </w:r>
      <w:r>
        <w:rPr>
          <w:spacing w:val="-6"/>
        </w:rPr>
        <w:t>centre</w:t>
      </w:r>
      <w:r>
        <w:rPr>
          <w:spacing w:val="-15"/>
        </w:rPr>
        <w:t> </w:t>
      </w:r>
      <w:r>
        <w:rPr>
          <w:spacing w:val="-6"/>
        </w:rPr>
        <w:t>of</w:t>
      </w:r>
      <w:r>
        <w:rPr>
          <w:spacing w:val="-15"/>
        </w:rPr>
        <w:t> </w:t>
      </w:r>
      <w:r>
        <w:rPr>
          <w:spacing w:val="-6"/>
        </w:rPr>
        <w:t>information</w:t>
      </w:r>
      <w:r>
        <w:rPr>
          <w:spacing w:val="-15"/>
        </w:rPr>
        <w:t> </w:t>
      </w:r>
      <w:r>
        <w:rPr>
          <w:spacing w:val="-6"/>
        </w:rPr>
        <w:t>and</w:t>
      </w:r>
      <w:r>
        <w:rPr>
          <w:spacing w:val="-15"/>
        </w:rPr>
        <w:t> </w:t>
      </w:r>
      <w:r>
        <w:rPr>
          <w:spacing w:val="-6"/>
        </w:rPr>
        <w:t>knowledge,</w:t>
      </w:r>
      <w:r>
        <w:rPr>
          <w:spacing w:val="-15"/>
        </w:rPr>
        <w:t> </w:t>
      </w:r>
      <w:r>
        <w:rPr>
          <w:spacing w:val="-6"/>
        </w:rPr>
        <w:t>and</w:t>
      </w:r>
      <w:r>
        <w:rPr>
          <w:spacing w:val="-15"/>
        </w:rPr>
        <w:t> </w:t>
      </w:r>
      <w:r>
        <w:rPr>
          <w:spacing w:val="-6"/>
        </w:rPr>
        <w:t>be</w:t>
      </w:r>
      <w:r>
        <w:rPr>
          <w:spacing w:val="-15"/>
        </w:rPr>
        <w:t> </w:t>
      </w:r>
      <w:r>
        <w:rPr>
          <w:spacing w:val="-6"/>
        </w:rPr>
        <w:t>a</w:t>
      </w:r>
      <w:r>
        <w:rPr>
          <w:spacing w:val="-15"/>
        </w:rPr>
        <w:t> </w:t>
      </w:r>
      <w:r>
        <w:rPr>
          <w:spacing w:val="-6"/>
        </w:rPr>
        <w:t>local gateway to national and global knowledge.</w:t>
      </w:r>
      <w:r>
        <w:rPr>
          <w:spacing w:val="-17"/>
        </w:rPr>
        <w:t> </w:t>
      </w:r>
      <w:r>
        <w:rPr>
          <w:spacing w:val="-6"/>
        </w:rPr>
        <w:t>To fulfill this </w:t>
      </w:r>
      <w:r>
        <w:rPr>
          <w:spacing w:val="-4"/>
        </w:rPr>
        <w:t>potential,</w:t>
      </w:r>
      <w:r>
        <w:rPr>
          <w:spacing w:val="-11"/>
        </w:rPr>
        <w:t> </w:t>
      </w:r>
      <w:r>
        <w:rPr>
          <w:spacing w:val="-4"/>
        </w:rPr>
        <w:t>the</w:t>
      </w:r>
      <w:r>
        <w:rPr>
          <w:spacing w:val="-11"/>
        </w:rPr>
        <w:t> </w:t>
      </w:r>
      <w:r>
        <w:rPr>
          <w:spacing w:val="-4"/>
        </w:rPr>
        <w:t>entire</w:t>
      </w:r>
      <w:r>
        <w:rPr>
          <w:spacing w:val="-11"/>
        </w:rPr>
        <w:t> </w:t>
      </w:r>
      <w:r>
        <w:rPr>
          <w:spacing w:val="-4"/>
        </w:rPr>
        <w:t>LIS</w:t>
      </w:r>
      <w:r>
        <w:rPr>
          <w:spacing w:val="-11"/>
        </w:rPr>
        <w:t> </w:t>
      </w:r>
      <w:r>
        <w:rPr>
          <w:spacing w:val="-4"/>
        </w:rPr>
        <w:t>needs</w:t>
      </w:r>
      <w:r>
        <w:rPr>
          <w:spacing w:val="-11"/>
        </w:rPr>
        <w:t> </w:t>
      </w:r>
      <w:r>
        <w:rPr>
          <w:spacing w:val="-4"/>
        </w:rPr>
        <w:t>to</w:t>
      </w:r>
      <w:r>
        <w:rPr>
          <w:spacing w:val="-11"/>
        </w:rPr>
        <w:t> </w:t>
      </w:r>
      <w:r>
        <w:rPr>
          <w:spacing w:val="-4"/>
        </w:rPr>
        <w:t>be</w:t>
      </w:r>
      <w:r>
        <w:rPr>
          <w:spacing w:val="-11"/>
        </w:rPr>
        <w:t> </w:t>
      </w:r>
      <w:r>
        <w:rPr>
          <w:spacing w:val="-4"/>
        </w:rPr>
        <w:t>revamped</w:t>
      </w:r>
      <w:r>
        <w:rPr>
          <w:spacing w:val="-11"/>
        </w:rPr>
        <w:t> </w:t>
      </w:r>
      <w:r>
        <w:rPr>
          <w:spacing w:val="-4"/>
        </w:rPr>
        <w:t>–</w:t>
      </w:r>
      <w:r>
        <w:rPr>
          <w:spacing w:val="-11"/>
        </w:rPr>
        <w:t> </w:t>
      </w:r>
      <w:r>
        <w:rPr>
          <w:spacing w:val="-4"/>
        </w:rPr>
        <w:t>existing </w:t>
      </w:r>
      <w:r>
        <w:rPr>
          <w:spacing w:val="-2"/>
        </w:rPr>
        <w:t>libraries must modernise their collection, services and </w:t>
      </w:r>
      <w:r>
        <w:rPr>
          <w:spacing w:val="-4"/>
        </w:rPr>
        <w:t>facilities,</w:t>
      </w:r>
      <w:r>
        <w:rPr>
          <w:spacing w:val="-2"/>
        </w:rPr>
        <w:t> </w:t>
      </w:r>
      <w:r>
        <w:rPr>
          <w:spacing w:val="-4"/>
        </w:rPr>
        <w:t>become</w:t>
      </w:r>
      <w:r>
        <w:rPr>
          <w:spacing w:val="-2"/>
        </w:rPr>
        <w:t> </w:t>
      </w:r>
      <w:r>
        <w:rPr>
          <w:spacing w:val="-4"/>
        </w:rPr>
        <w:t>more</w:t>
      </w:r>
      <w:r>
        <w:rPr>
          <w:spacing w:val="-1"/>
        </w:rPr>
        <w:t> </w:t>
      </w:r>
      <w:r>
        <w:rPr>
          <w:spacing w:val="-4"/>
        </w:rPr>
        <w:t>pro-active</w:t>
      </w:r>
      <w:r>
        <w:rPr>
          <w:spacing w:val="-2"/>
        </w:rPr>
        <w:t> </w:t>
      </w:r>
      <w:r>
        <w:rPr>
          <w:spacing w:val="-4"/>
        </w:rPr>
        <w:t>and</w:t>
      </w:r>
      <w:r>
        <w:rPr>
          <w:spacing w:val="-2"/>
        </w:rPr>
        <w:t> </w:t>
      </w:r>
      <w:r>
        <w:rPr>
          <w:spacing w:val="-4"/>
        </w:rPr>
        <w:t>collaborate</w:t>
      </w:r>
      <w:r>
        <w:rPr>
          <w:spacing w:val="-1"/>
        </w:rPr>
        <w:t> </w:t>
      </w:r>
      <w:r>
        <w:rPr>
          <w:spacing w:val="-4"/>
        </w:rPr>
        <w:t>with</w:t>
      </w:r>
    </w:p>
    <w:p>
      <w:pPr>
        <w:pStyle w:val="BodyText"/>
        <w:spacing w:line="243" w:lineRule="exact"/>
        <w:ind w:left="1080"/>
        <w:jc w:val="both"/>
      </w:pPr>
      <w:r>
        <w:rPr/>
        <w:t>other</w:t>
      </w:r>
      <w:r>
        <w:rPr>
          <w:spacing w:val="-10"/>
        </w:rPr>
        <w:t> </w:t>
      </w:r>
      <w:r>
        <w:rPr/>
        <w:t>institutions</w:t>
      </w:r>
      <w:r>
        <w:rPr>
          <w:spacing w:val="-9"/>
        </w:rPr>
        <w:t> </w:t>
      </w:r>
      <w:r>
        <w:rPr/>
        <w:t>and</w:t>
      </w:r>
      <w:r>
        <w:rPr>
          <w:spacing w:val="-9"/>
        </w:rPr>
        <w:t> </w:t>
      </w:r>
      <w:r>
        <w:rPr>
          <w:spacing w:val="-2"/>
        </w:rPr>
        <w:t>agencies.</w:t>
      </w:r>
    </w:p>
    <w:p>
      <w:pPr>
        <w:pStyle w:val="Heading6"/>
        <w:spacing w:before="213"/>
        <w:ind w:left="1080" w:firstLine="0"/>
      </w:pPr>
      <w:r>
        <w:rPr>
          <w:color w:val="2E614A"/>
          <w:w w:val="90"/>
        </w:rPr>
        <w:t>Current</w:t>
      </w:r>
      <w:r>
        <w:rPr>
          <w:color w:val="2E614A"/>
          <w:spacing w:val="-1"/>
          <w:w w:val="90"/>
        </w:rPr>
        <w:t> </w:t>
      </w:r>
      <w:r>
        <w:rPr>
          <w:color w:val="2E614A"/>
          <w:spacing w:val="-2"/>
        </w:rPr>
        <w:t>Scenario</w:t>
      </w:r>
    </w:p>
    <w:p>
      <w:pPr>
        <w:pStyle w:val="BodyText"/>
        <w:spacing w:line="266" w:lineRule="auto" w:before="286"/>
        <w:ind w:left="1080"/>
        <w:jc w:val="both"/>
      </w:pPr>
      <w:r>
        <w:rPr>
          <w:b/>
        </w:rPr>
        <w:t>Data: </w:t>
      </w:r>
      <w:r>
        <w:rPr/>
        <w:t>There is no authentic information about </w:t>
      </w:r>
      <w:r>
        <w:rPr/>
        <w:t>the number of libraries actually functioning in India. All statistical information seems to be estimated on the </w:t>
      </w:r>
      <w:r>
        <w:rPr>
          <w:spacing w:val="-2"/>
        </w:rPr>
        <w:t>basis</w:t>
      </w:r>
      <w:r>
        <w:rPr>
          <w:spacing w:val="-5"/>
        </w:rPr>
        <w:t> </w:t>
      </w:r>
      <w:r>
        <w:rPr>
          <w:spacing w:val="-2"/>
        </w:rPr>
        <w:t>of</w:t>
      </w:r>
      <w:r>
        <w:rPr>
          <w:spacing w:val="-5"/>
        </w:rPr>
        <w:t> </w:t>
      </w:r>
      <w:r>
        <w:rPr>
          <w:spacing w:val="-2"/>
        </w:rPr>
        <w:t>pure</w:t>
      </w:r>
      <w:r>
        <w:rPr>
          <w:spacing w:val="-5"/>
        </w:rPr>
        <w:t> </w:t>
      </w:r>
      <w:r>
        <w:rPr>
          <w:spacing w:val="-2"/>
        </w:rPr>
        <w:t>guesswork.</w:t>
      </w:r>
      <w:r>
        <w:rPr>
          <w:spacing w:val="-5"/>
        </w:rPr>
        <w:t> </w:t>
      </w:r>
      <w:r>
        <w:rPr>
          <w:spacing w:val="-2"/>
        </w:rPr>
        <w:t>Further,</w:t>
      </w:r>
      <w:r>
        <w:rPr>
          <w:spacing w:val="-5"/>
        </w:rPr>
        <w:t> </w:t>
      </w:r>
      <w:r>
        <w:rPr>
          <w:spacing w:val="-2"/>
        </w:rPr>
        <w:t>there</w:t>
      </w:r>
      <w:r>
        <w:rPr>
          <w:spacing w:val="-5"/>
        </w:rPr>
        <w:t> </w:t>
      </w:r>
      <w:r>
        <w:rPr>
          <w:spacing w:val="-2"/>
        </w:rPr>
        <w:t>are</w:t>
      </w:r>
      <w:r>
        <w:rPr>
          <w:spacing w:val="-5"/>
        </w:rPr>
        <w:t> </w:t>
      </w:r>
      <w:r>
        <w:rPr>
          <w:spacing w:val="-2"/>
        </w:rPr>
        <w:t>institutions </w:t>
      </w:r>
      <w:r>
        <w:rPr>
          <w:spacing w:val="-4"/>
        </w:rPr>
        <w:t>operating</w:t>
      </w:r>
      <w:r>
        <w:rPr>
          <w:spacing w:val="-7"/>
        </w:rPr>
        <w:t> </w:t>
      </w:r>
      <w:r>
        <w:rPr>
          <w:spacing w:val="-4"/>
        </w:rPr>
        <w:t>as</w:t>
      </w:r>
      <w:r>
        <w:rPr>
          <w:spacing w:val="-7"/>
        </w:rPr>
        <w:t> </w:t>
      </w:r>
      <w:r>
        <w:rPr>
          <w:spacing w:val="-4"/>
        </w:rPr>
        <w:t>libraries</w:t>
      </w:r>
      <w:r>
        <w:rPr>
          <w:spacing w:val="-7"/>
        </w:rPr>
        <w:t> </w:t>
      </w:r>
      <w:r>
        <w:rPr>
          <w:spacing w:val="-4"/>
        </w:rPr>
        <w:t>without</w:t>
      </w:r>
      <w:r>
        <w:rPr>
          <w:spacing w:val="-7"/>
        </w:rPr>
        <w:t> </w:t>
      </w:r>
      <w:r>
        <w:rPr>
          <w:spacing w:val="-4"/>
        </w:rPr>
        <w:t>following</w:t>
      </w:r>
      <w:r>
        <w:rPr>
          <w:spacing w:val="-7"/>
        </w:rPr>
        <w:t> </w:t>
      </w:r>
      <w:r>
        <w:rPr>
          <w:spacing w:val="-4"/>
        </w:rPr>
        <w:t>any</w:t>
      </w:r>
      <w:r>
        <w:rPr>
          <w:spacing w:val="-7"/>
        </w:rPr>
        <w:t> </w:t>
      </w:r>
      <w:r>
        <w:rPr>
          <w:spacing w:val="-4"/>
        </w:rPr>
        <w:t>benchmark </w:t>
      </w:r>
      <w:r>
        <w:rPr/>
        <w:t>or standard. Therefore, there is a need to prepare a </w:t>
      </w:r>
      <w:r>
        <w:rPr>
          <w:spacing w:val="-6"/>
        </w:rPr>
        <w:t>national census of libraries through a nationwide survey. </w:t>
      </w:r>
      <w:r>
        <w:rPr>
          <w:spacing w:val="-2"/>
        </w:rPr>
        <w:t>Census</w:t>
      </w:r>
      <w:r>
        <w:rPr>
          <w:spacing w:val="-7"/>
        </w:rPr>
        <w:t> </w:t>
      </w:r>
      <w:r>
        <w:rPr>
          <w:spacing w:val="-2"/>
        </w:rPr>
        <w:t>data</w:t>
      </w:r>
      <w:r>
        <w:rPr>
          <w:spacing w:val="-7"/>
        </w:rPr>
        <w:t> </w:t>
      </w:r>
      <w:r>
        <w:rPr>
          <w:spacing w:val="-2"/>
        </w:rPr>
        <w:t>of</w:t>
      </w:r>
      <w:r>
        <w:rPr>
          <w:spacing w:val="-7"/>
        </w:rPr>
        <w:t> </w:t>
      </w:r>
      <w:r>
        <w:rPr>
          <w:spacing w:val="-2"/>
        </w:rPr>
        <w:t>libraries</w:t>
      </w:r>
      <w:r>
        <w:rPr>
          <w:spacing w:val="-7"/>
        </w:rPr>
        <w:t> </w:t>
      </w:r>
      <w:r>
        <w:rPr>
          <w:spacing w:val="-2"/>
        </w:rPr>
        <w:t>and</w:t>
      </w:r>
      <w:r>
        <w:rPr>
          <w:spacing w:val="-7"/>
        </w:rPr>
        <w:t> </w:t>
      </w:r>
      <w:r>
        <w:rPr>
          <w:spacing w:val="-2"/>
        </w:rPr>
        <w:t>their</w:t>
      </w:r>
      <w:r>
        <w:rPr>
          <w:spacing w:val="-7"/>
        </w:rPr>
        <w:t> </w:t>
      </w:r>
      <w:r>
        <w:rPr>
          <w:spacing w:val="-2"/>
        </w:rPr>
        <w:t>present</w:t>
      </w:r>
      <w:r>
        <w:rPr>
          <w:spacing w:val="-7"/>
        </w:rPr>
        <w:t> </w:t>
      </w:r>
      <w:r>
        <w:rPr>
          <w:spacing w:val="-2"/>
        </w:rPr>
        <w:t>situation</w:t>
      </w:r>
      <w:r>
        <w:rPr>
          <w:spacing w:val="-7"/>
        </w:rPr>
        <w:t> </w:t>
      </w:r>
      <w:r>
        <w:rPr>
          <w:spacing w:val="-2"/>
        </w:rPr>
        <w:t>will </w:t>
      </w:r>
      <w:r>
        <w:rPr/>
        <w:t>provide primary data for future planning.</w:t>
      </w:r>
    </w:p>
    <w:p>
      <w:pPr>
        <w:pStyle w:val="BodyText"/>
      </w:pPr>
    </w:p>
    <w:p>
      <w:pPr>
        <w:pStyle w:val="BodyText"/>
        <w:spacing w:before="109"/>
      </w:pPr>
    </w:p>
    <w:p>
      <w:pPr>
        <w:pStyle w:val="Heading8"/>
        <w:spacing w:line="242" w:lineRule="auto"/>
        <w:ind w:left="1906" w:hanging="827"/>
      </w:pPr>
      <w:r>
        <w:rPr>
          <w:w w:val="90"/>
        </w:rPr>
        <w:t>Table</w:t>
      </w:r>
      <w:r>
        <w:rPr>
          <w:spacing w:val="-9"/>
          <w:w w:val="90"/>
        </w:rPr>
        <w:t> </w:t>
      </w:r>
      <w:r>
        <w:rPr>
          <w:w w:val="90"/>
        </w:rPr>
        <w:t>1:</w:t>
      </w:r>
      <w:r>
        <w:rPr>
          <w:spacing w:val="-9"/>
          <w:w w:val="90"/>
        </w:rPr>
        <w:t> </w:t>
      </w:r>
      <w:r>
        <w:rPr>
          <w:color w:val="2E614A"/>
          <w:w w:val="90"/>
        </w:rPr>
        <w:t>Libraries</w:t>
      </w:r>
      <w:r>
        <w:rPr>
          <w:color w:val="2E614A"/>
          <w:spacing w:val="-16"/>
          <w:w w:val="90"/>
        </w:rPr>
        <w:t> </w:t>
      </w:r>
      <w:r>
        <w:rPr>
          <w:color w:val="2E614A"/>
          <w:w w:val="90"/>
        </w:rPr>
        <w:t>covered</w:t>
      </w:r>
      <w:r>
        <w:rPr>
          <w:color w:val="2E614A"/>
          <w:spacing w:val="-16"/>
          <w:w w:val="90"/>
        </w:rPr>
        <w:t> </w:t>
      </w:r>
      <w:r>
        <w:rPr>
          <w:color w:val="2E614A"/>
          <w:w w:val="90"/>
        </w:rPr>
        <w:t>by</w:t>
      </w:r>
      <w:r>
        <w:rPr>
          <w:color w:val="2E614A"/>
          <w:spacing w:val="-16"/>
          <w:w w:val="90"/>
        </w:rPr>
        <w:t> </w:t>
      </w:r>
      <w:r>
        <w:rPr>
          <w:color w:val="2E614A"/>
          <w:w w:val="90"/>
        </w:rPr>
        <w:t>the</w:t>
      </w:r>
      <w:r>
        <w:rPr>
          <w:color w:val="2E614A"/>
          <w:spacing w:val="-16"/>
          <w:w w:val="90"/>
        </w:rPr>
        <w:t> </w:t>
      </w:r>
      <w:r>
        <w:rPr>
          <w:color w:val="2E614A"/>
          <w:w w:val="90"/>
        </w:rPr>
        <w:t>Raja</w:t>
      </w:r>
      <w:r>
        <w:rPr>
          <w:color w:val="2E614A"/>
          <w:spacing w:val="-16"/>
          <w:w w:val="90"/>
        </w:rPr>
        <w:t> </w:t>
      </w:r>
      <w:r>
        <w:rPr>
          <w:color w:val="2E614A"/>
          <w:w w:val="90"/>
        </w:rPr>
        <w:t>Ram</w:t>
      </w:r>
      <w:r>
        <w:rPr>
          <w:color w:val="2E614A"/>
          <w:spacing w:val="-16"/>
          <w:w w:val="90"/>
        </w:rPr>
        <w:t> </w:t>
      </w:r>
      <w:r>
        <w:rPr>
          <w:color w:val="2E614A"/>
          <w:w w:val="90"/>
        </w:rPr>
        <w:t>Mohan </w:t>
      </w:r>
      <w:r>
        <w:rPr>
          <w:color w:val="2E614A"/>
          <w:spacing w:val="-2"/>
        </w:rPr>
        <w:t>Foundation</w:t>
      </w:r>
    </w:p>
    <w:p>
      <w:pPr>
        <w:pStyle w:val="BodyText"/>
        <w:spacing w:before="2"/>
        <w:rPr>
          <w:b/>
          <w:sz w:val="10"/>
        </w:rPr>
      </w:pPr>
    </w:p>
    <w:tbl>
      <w:tblPr>
        <w:tblW w:w="0" w:type="auto"/>
        <w:jc w:val="left"/>
        <w:tblInd w:w="10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535"/>
        <w:gridCol w:w="1153"/>
      </w:tblGrid>
      <w:tr>
        <w:trPr>
          <w:trHeight w:val="321" w:hRule="atLeast"/>
        </w:trPr>
        <w:tc>
          <w:tcPr>
            <w:tcW w:w="3535" w:type="dxa"/>
            <w:shd w:val="clear" w:color="auto" w:fill="D0D5CD"/>
          </w:tcPr>
          <w:p>
            <w:pPr>
              <w:pStyle w:val="TableParagraph"/>
              <w:ind w:left="90"/>
              <w:rPr>
                <w:b/>
                <w:sz w:val="20"/>
              </w:rPr>
            </w:pPr>
            <w:r>
              <w:rPr>
                <w:b/>
                <w:spacing w:val="-2"/>
                <w:sz w:val="20"/>
              </w:rPr>
              <w:t>Level</w:t>
            </w:r>
          </w:p>
        </w:tc>
        <w:tc>
          <w:tcPr>
            <w:tcW w:w="1153" w:type="dxa"/>
            <w:shd w:val="clear" w:color="auto" w:fill="D0D5CD"/>
          </w:tcPr>
          <w:p>
            <w:pPr>
              <w:pStyle w:val="TableParagraph"/>
              <w:ind w:right="235"/>
              <w:jc w:val="right"/>
              <w:rPr>
                <w:b/>
                <w:sz w:val="20"/>
              </w:rPr>
            </w:pPr>
            <w:r>
              <w:rPr>
                <w:b/>
                <w:spacing w:val="-2"/>
                <w:sz w:val="20"/>
              </w:rPr>
              <w:t>Number</w:t>
            </w:r>
          </w:p>
        </w:tc>
      </w:tr>
      <w:tr>
        <w:trPr>
          <w:trHeight w:val="321" w:hRule="atLeast"/>
        </w:trPr>
        <w:tc>
          <w:tcPr>
            <w:tcW w:w="3535" w:type="dxa"/>
            <w:shd w:val="clear" w:color="auto" w:fill="E9E9E9"/>
          </w:tcPr>
          <w:p>
            <w:pPr>
              <w:pStyle w:val="TableParagraph"/>
              <w:ind w:left="90"/>
              <w:rPr>
                <w:sz w:val="20"/>
              </w:rPr>
            </w:pPr>
            <w:r>
              <w:rPr>
                <w:spacing w:val="-2"/>
                <w:sz w:val="20"/>
              </w:rPr>
              <w:t>State</w:t>
            </w:r>
            <w:r>
              <w:rPr>
                <w:spacing w:val="-8"/>
                <w:sz w:val="20"/>
              </w:rPr>
              <w:t> </w:t>
            </w:r>
            <w:r>
              <w:rPr>
                <w:spacing w:val="-2"/>
                <w:sz w:val="20"/>
              </w:rPr>
              <w:t>Central</w:t>
            </w:r>
            <w:r>
              <w:rPr>
                <w:spacing w:val="-8"/>
                <w:sz w:val="20"/>
              </w:rPr>
              <w:t> </w:t>
            </w:r>
            <w:r>
              <w:rPr>
                <w:spacing w:val="-2"/>
                <w:sz w:val="20"/>
              </w:rPr>
              <w:t>Libraries</w:t>
            </w:r>
          </w:p>
        </w:tc>
        <w:tc>
          <w:tcPr>
            <w:tcW w:w="1153" w:type="dxa"/>
            <w:shd w:val="clear" w:color="auto" w:fill="E9E9E9"/>
          </w:tcPr>
          <w:p>
            <w:pPr>
              <w:pStyle w:val="TableParagraph"/>
              <w:ind w:right="263"/>
              <w:jc w:val="right"/>
              <w:rPr>
                <w:sz w:val="20"/>
              </w:rPr>
            </w:pPr>
            <w:r>
              <w:rPr>
                <w:spacing w:val="-5"/>
                <w:sz w:val="20"/>
              </w:rPr>
              <w:t>28</w:t>
            </w:r>
          </w:p>
        </w:tc>
      </w:tr>
      <w:tr>
        <w:trPr>
          <w:trHeight w:val="321" w:hRule="atLeast"/>
        </w:trPr>
        <w:tc>
          <w:tcPr>
            <w:tcW w:w="3535" w:type="dxa"/>
            <w:shd w:val="clear" w:color="auto" w:fill="D0D5CD"/>
          </w:tcPr>
          <w:p>
            <w:pPr>
              <w:pStyle w:val="TableParagraph"/>
              <w:ind w:left="89"/>
              <w:rPr>
                <w:sz w:val="20"/>
              </w:rPr>
            </w:pPr>
            <w:r>
              <w:rPr>
                <w:spacing w:val="-2"/>
                <w:sz w:val="20"/>
              </w:rPr>
              <w:t>Divisional</w:t>
            </w:r>
            <w:r>
              <w:rPr>
                <w:spacing w:val="-8"/>
                <w:sz w:val="20"/>
              </w:rPr>
              <w:t> </w:t>
            </w:r>
            <w:r>
              <w:rPr>
                <w:spacing w:val="-2"/>
                <w:sz w:val="20"/>
              </w:rPr>
              <w:t>and</w:t>
            </w:r>
            <w:r>
              <w:rPr>
                <w:spacing w:val="-7"/>
                <w:sz w:val="20"/>
              </w:rPr>
              <w:t> </w:t>
            </w:r>
            <w:r>
              <w:rPr>
                <w:spacing w:val="-2"/>
                <w:sz w:val="20"/>
              </w:rPr>
              <w:t>District</w:t>
            </w:r>
            <w:r>
              <w:rPr>
                <w:spacing w:val="-7"/>
                <w:sz w:val="20"/>
              </w:rPr>
              <w:t> </w:t>
            </w:r>
            <w:r>
              <w:rPr>
                <w:spacing w:val="-2"/>
                <w:sz w:val="20"/>
              </w:rPr>
              <w:t>Libraries</w:t>
            </w:r>
          </w:p>
        </w:tc>
        <w:tc>
          <w:tcPr>
            <w:tcW w:w="1153" w:type="dxa"/>
            <w:shd w:val="clear" w:color="auto" w:fill="D0D5CD"/>
          </w:tcPr>
          <w:p>
            <w:pPr>
              <w:pStyle w:val="TableParagraph"/>
              <w:ind w:right="263"/>
              <w:jc w:val="right"/>
              <w:rPr>
                <w:sz w:val="20"/>
              </w:rPr>
            </w:pPr>
            <w:r>
              <w:rPr>
                <w:spacing w:val="-5"/>
                <w:sz w:val="20"/>
              </w:rPr>
              <w:t>451</w:t>
            </w:r>
          </w:p>
        </w:tc>
      </w:tr>
      <w:tr>
        <w:trPr>
          <w:trHeight w:val="321" w:hRule="atLeast"/>
        </w:trPr>
        <w:tc>
          <w:tcPr>
            <w:tcW w:w="3535" w:type="dxa"/>
            <w:shd w:val="clear" w:color="auto" w:fill="E9E9E9"/>
          </w:tcPr>
          <w:p>
            <w:pPr>
              <w:pStyle w:val="TableParagraph"/>
              <w:ind w:left="89"/>
              <w:rPr>
                <w:sz w:val="20"/>
              </w:rPr>
            </w:pPr>
            <w:r>
              <w:rPr>
                <w:spacing w:val="-6"/>
                <w:sz w:val="20"/>
              </w:rPr>
              <w:t>Sub-divisional/Taluka/Tehsil</w:t>
            </w:r>
            <w:r>
              <w:rPr>
                <w:spacing w:val="32"/>
                <w:sz w:val="20"/>
              </w:rPr>
              <w:t> </w:t>
            </w:r>
            <w:r>
              <w:rPr>
                <w:spacing w:val="-6"/>
                <w:sz w:val="20"/>
              </w:rPr>
              <w:t>Libraries</w:t>
            </w:r>
          </w:p>
        </w:tc>
        <w:tc>
          <w:tcPr>
            <w:tcW w:w="1153" w:type="dxa"/>
            <w:shd w:val="clear" w:color="auto" w:fill="E9E9E9"/>
          </w:tcPr>
          <w:p>
            <w:pPr>
              <w:pStyle w:val="TableParagraph"/>
              <w:ind w:right="263"/>
              <w:jc w:val="right"/>
              <w:rPr>
                <w:sz w:val="20"/>
              </w:rPr>
            </w:pPr>
            <w:r>
              <w:rPr>
                <w:spacing w:val="-5"/>
                <w:sz w:val="20"/>
              </w:rPr>
              <w:t>501</w:t>
            </w:r>
          </w:p>
        </w:tc>
      </w:tr>
      <w:tr>
        <w:trPr>
          <w:trHeight w:val="321" w:hRule="atLeast"/>
        </w:trPr>
        <w:tc>
          <w:tcPr>
            <w:tcW w:w="3535" w:type="dxa"/>
            <w:shd w:val="clear" w:color="auto" w:fill="D0D5CD"/>
          </w:tcPr>
          <w:p>
            <w:pPr>
              <w:pStyle w:val="TableParagraph"/>
              <w:ind w:left="89"/>
              <w:rPr>
                <w:sz w:val="20"/>
              </w:rPr>
            </w:pPr>
            <w:r>
              <w:rPr>
                <w:spacing w:val="-2"/>
                <w:sz w:val="20"/>
              </w:rPr>
              <w:t>Town</w:t>
            </w:r>
            <w:r>
              <w:rPr>
                <w:spacing w:val="-8"/>
                <w:sz w:val="20"/>
              </w:rPr>
              <w:t> </w:t>
            </w:r>
            <w:r>
              <w:rPr>
                <w:spacing w:val="-2"/>
                <w:sz w:val="20"/>
              </w:rPr>
              <w:t>&amp;</w:t>
            </w:r>
            <w:r>
              <w:rPr>
                <w:spacing w:val="-8"/>
                <w:sz w:val="20"/>
              </w:rPr>
              <w:t> </w:t>
            </w:r>
            <w:r>
              <w:rPr>
                <w:spacing w:val="-2"/>
                <w:sz w:val="20"/>
              </w:rPr>
              <w:t>Rural</w:t>
            </w:r>
            <w:r>
              <w:rPr>
                <w:spacing w:val="-7"/>
                <w:sz w:val="20"/>
              </w:rPr>
              <w:t> </w:t>
            </w:r>
            <w:r>
              <w:rPr>
                <w:spacing w:val="-2"/>
                <w:sz w:val="20"/>
              </w:rPr>
              <w:t>Libraries</w:t>
            </w:r>
          </w:p>
        </w:tc>
        <w:tc>
          <w:tcPr>
            <w:tcW w:w="1153" w:type="dxa"/>
            <w:shd w:val="clear" w:color="auto" w:fill="D0D5CD"/>
          </w:tcPr>
          <w:p>
            <w:pPr>
              <w:pStyle w:val="TableParagraph"/>
              <w:ind w:right="263"/>
              <w:jc w:val="right"/>
              <w:rPr>
                <w:sz w:val="20"/>
              </w:rPr>
            </w:pPr>
            <w:r>
              <w:rPr>
                <w:spacing w:val="-2"/>
                <w:sz w:val="20"/>
              </w:rPr>
              <w:t>30134</w:t>
            </w:r>
          </w:p>
        </w:tc>
      </w:tr>
      <w:tr>
        <w:trPr>
          <w:trHeight w:val="321" w:hRule="atLeast"/>
        </w:trPr>
        <w:tc>
          <w:tcPr>
            <w:tcW w:w="3535" w:type="dxa"/>
            <w:shd w:val="clear" w:color="auto" w:fill="E9E9E9"/>
          </w:tcPr>
          <w:p>
            <w:pPr>
              <w:pStyle w:val="TableParagraph"/>
              <w:ind w:left="89"/>
              <w:rPr>
                <w:sz w:val="20"/>
              </w:rPr>
            </w:pPr>
            <w:r>
              <w:rPr>
                <w:spacing w:val="-8"/>
                <w:sz w:val="20"/>
              </w:rPr>
              <w:t>Nehru</w:t>
            </w:r>
            <w:r>
              <w:rPr>
                <w:spacing w:val="1"/>
                <w:sz w:val="20"/>
              </w:rPr>
              <w:t> </w:t>
            </w:r>
            <w:r>
              <w:rPr>
                <w:spacing w:val="-8"/>
                <w:sz w:val="20"/>
              </w:rPr>
              <w:t>Yuvak</w:t>
            </w:r>
            <w:r>
              <w:rPr>
                <w:spacing w:val="4"/>
                <w:sz w:val="20"/>
              </w:rPr>
              <w:t> </w:t>
            </w:r>
            <w:r>
              <w:rPr>
                <w:spacing w:val="-8"/>
                <w:sz w:val="20"/>
              </w:rPr>
              <w:t>Kendras</w:t>
            </w:r>
          </w:p>
        </w:tc>
        <w:tc>
          <w:tcPr>
            <w:tcW w:w="1153" w:type="dxa"/>
            <w:shd w:val="clear" w:color="auto" w:fill="E9E9E9"/>
          </w:tcPr>
          <w:p>
            <w:pPr>
              <w:pStyle w:val="TableParagraph"/>
              <w:ind w:right="263"/>
              <w:jc w:val="right"/>
              <w:rPr>
                <w:sz w:val="20"/>
              </w:rPr>
            </w:pPr>
            <w:r>
              <w:rPr>
                <w:spacing w:val="-5"/>
                <w:sz w:val="20"/>
              </w:rPr>
              <w:t>272</w:t>
            </w:r>
          </w:p>
        </w:tc>
      </w:tr>
      <w:tr>
        <w:trPr>
          <w:trHeight w:val="321" w:hRule="atLeast"/>
        </w:trPr>
        <w:tc>
          <w:tcPr>
            <w:tcW w:w="3535" w:type="dxa"/>
            <w:shd w:val="clear" w:color="auto" w:fill="D0D5CD"/>
          </w:tcPr>
          <w:p>
            <w:pPr>
              <w:pStyle w:val="TableParagraph"/>
              <w:ind w:left="89"/>
              <w:rPr>
                <w:sz w:val="20"/>
              </w:rPr>
            </w:pPr>
            <w:r>
              <w:rPr>
                <w:w w:val="90"/>
                <w:sz w:val="20"/>
              </w:rPr>
              <w:t>Jawahar</w:t>
            </w:r>
            <w:r>
              <w:rPr>
                <w:spacing w:val="6"/>
                <w:sz w:val="20"/>
              </w:rPr>
              <w:t> </w:t>
            </w:r>
            <w:r>
              <w:rPr>
                <w:w w:val="90"/>
                <w:sz w:val="20"/>
              </w:rPr>
              <w:t>Bal</w:t>
            </w:r>
            <w:r>
              <w:rPr>
                <w:spacing w:val="6"/>
                <w:sz w:val="20"/>
              </w:rPr>
              <w:t> </w:t>
            </w:r>
            <w:r>
              <w:rPr>
                <w:spacing w:val="-2"/>
                <w:w w:val="90"/>
                <w:sz w:val="20"/>
              </w:rPr>
              <w:t>Bhavans</w:t>
            </w:r>
          </w:p>
        </w:tc>
        <w:tc>
          <w:tcPr>
            <w:tcW w:w="1153" w:type="dxa"/>
            <w:shd w:val="clear" w:color="auto" w:fill="D0D5CD"/>
          </w:tcPr>
          <w:p>
            <w:pPr>
              <w:pStyle w:val="TableParagraph"/>
              <w:ind w:right="263"/>
              <w:jc w:val="right"/>
              <w:rPr>
                <w:sz w:val="20"/>
              </w:rPr>
            </w:pPr>
            <w:r>
              <w:rPr>
                <w:spacing w:val="-5"/>
                <w:sz w:val="20"/>
              </w:rPr>
              <w:t>49</w:t>
            </w:r>
          </w:p>
        </w:tc>
      </w:tr>
      <w:tr>
        <w:trPr>
          <w:trHeight w:val="321" w:hRule="atLeast"/>
        </w:trPr>
        <w:tc>
          <w:tcPr>
            <w:tcW w:w="3535" w:type="dxa"/>
            <w:shd w:val="clear" w:color="auto" w:fill="E9E9E9"/>
          </w:tcPr>
          <w:p>
            <w:pPr>
              <w:pStyle w:val="TableParagraph"/>
              <w:ind w:left="89"/>
              <w:rPr>
                <w:sz w:val="20"/>
              </w:rPr>
            </w:pPr>
            <w:r>
              <w:rPr>
                <w:spacing w:val="-2"/>
                <w:sz w:val="20"/>
              </w:rPr>
              <w:t>Others</w:t>
            </w:r>
          </w:p>
        </w:tc>
        <w:tc>
          <w:tcPr>
            <w:tcW w:w="1153" w:type="dxa"/>
            <w:shd w:val="clear" w:color="auto" w:fill="E9E9E9"/>
          </w:tcPr>
          <w:p>
            <w:pPr>
              <w:pStyle w:val="TableParagraph"/>
              <w:ind w:right="263"/>
              <w:jc w:val="right"/>
              <w:rPr>
                <w:sz w:val="20"/>
              </w:rPr>
            </w:pPr>
            <w:r>
              <w:rPr>
                <w:spacing w:val="-5"/>
                <w:sz w:val="20"/>
              </w:rPr>
              <w:t>128</w:t>
            </w:r>
          </w:p>
        </w:tc>
      </w:tr>
      <w:tr>
        <w:trPr>
          <w:trHeight w:val="321" w:hRule="atLeast"/>
        </w:trPr>
        <w:tc>
          <w:tcPr>
            <w:tcW w:w="3535" w:type="dxa"/>
            <w:shd w:val="clear" w:color="auto" w:fill="D0D5CD"/>
          </w:tcPr>
          <w:p>
            <w:pPr>
              <w:pStyle w:val="TableParagraph"/>
              <w:ind w:left="89"/>
              <w:rPr>
                <w:sz w:val="20"/>
              </w:rPr>
            </w:pPr>
            <w:r>
              <w:rPr>
                <w:spacing w:val="-2"/>
                <w:sz w:val="20"/>
              </w:rPr>
              <w:t>Total</w:t>
            </w:r>
          </w:p>
        </w:tc>
        <w:tc>
          <w:tcPr>
            <w:tcW w:w="1153" w:type="dxa"/>
            <w:shd w:val="clear" w:color="auto" w:fill="D0D5CD"/>
          </w:tcPr>
          <w:p>
            <w:pPr>
              <w:pStyle w:val="TableParagraph"/>
              <w:ind w:right="263"/>
              <w:jc w:val="right"/>
              <w:rPr>
                <w:sz w:val="20"/>
              </w:rPr>
            </w:pPr>
            <w:r>
              <w:rPr>
                <w:spacing w:val="-2"/>
                <w:sz w:val="20"/>
              </w:rPr>
              <w:t>31563</w:t>
            </w:r>
          </w:p>
        </w:tc>
      </w:tr>
    </w:tbl>
    <w:p>
      <w:pPr>
        <w:spacing w:before="54"/>
        <w:ind w:left="1080" w:right="0" w:firstLine="0"/>
        <w:jc w:val="both"/>
        <w:rPr>
          <w:sz w:val="16"/>
        </w:rPr>
      </w:pPr>
      <w:r>
        <w:rPr>
          <w:i/>
          <w:spacing w:val="-6"/>
          <w:sz w:val="16"/>
        </w:rPr>
        <w:t>Source:</w:t>
      </w:r>
      <w:r>
        <w:rPr>
          <w:i/>
          <w:spacing w:val="2"/>
          <w:sz w:val="16"/>
        </w:rPr>
        <w:t> </w:t>
      </w:r>
      <w:r>
        <w:rPr>
          <w:spacing w:val="-6"/>
          <w:sz w:val="16"/>
        </w:rPr>
        <w:t>Raja</w:t>
      </w:r>
      <w:r>
        <w:rPr>
          <w:spacing w:val="3"/>
          <w:sz w:val="16"/>
        </w:rPr>
        <w:t> </w:t>
      </w:r>
      <w:r>
        <w:rPr>
          <w:spacing w:val="-6"/>
          <w:sz w:val="16"/>
        </w:rPr>
        <w:t>Ram</w:t>
      </w:r>
      <w:r>
        <w:rPr>
          <w:spacing w:val="3"/>
          <w:sz w:val="16"/>
        </w:rPr>
        <w:t> </w:t>
      </w:r>
      <w:r>
        <w:rPr>
          <w:spacing w:val="-6"/>
          <w:sz w:val="16"/>
        </w:rPr>
        <w:t>Mohan</w:t>
      </w:r>
      <w:r>
        <w:rPr>
          <w:spacing w:val="3"/>
          <w:sz w:val="16"/>
        </w:rPr>
        <w:t> </w:t>
      </w:r>
      <w:r>
        <w:rPr>
          <w:spacing w:val="-6"/>
          <w:sz w:val="16"/>
        </w:rPr>
        <w:t>Library</w:t>
      </w:r>
      <w:r>
        <w:rPr>
          <w:spacing w:val="3"/>
          <w:sz w:val="16"/>
        </w:rPr>
        <w:t> </w:t>
      </w:r>
      <w:r>
        <w:rPr>
          <w:spacing w:val="-6"/>
          <w:sz w:val="16"/>
        </w:rPr>
        <w:t>Foundation</w:t>
      </w:r>
    </w:p>
    <w:p>
      <w:pPr>
        <w:pStyle w:val="BodyText"/>
        <w:spacing w:line="266" w:lineRule="auto" w:before="169"/>
        <w:ind w:left="319" w:right="1077"/>
        <w:jc w:val="both"/>
      </w:pPr>
      <w:r>
        <w:rPr/>
        <w:br w:type="column"/>
      </w:r>
      <w:r>
        <w:rPr>
          <w:b/>
          <w:spacing w:val="-2"/>
          <w:w w:val="90"/>
        </w:rPr>
        <w:t>Management</w:t>
      </w:r>
      <w:r>
        <w:rPr>
          <w:b/>
          <w:spacing w:val="-5"/>
          <w:w w:val="90"/>
        </w:rPr>
        <w:t> </w:t>
      </w:r>
      <w:r>
        <w:rPr>
          <w:b/>
          <w:spacing w:val="-2"/>
          <w:w w:val="90"/>
        </w:rPr>
        <w:t>and</w:t>
      </w:r>
      <w:r>
        <w:rPr>
          <w:b/>
          <w:spacing w:val="-5"/>
          <w:w w:val="90"/>
        </w:rPr>
        <w:t> </w:t>
      </w:r>
      <w:r>
        <w:rPr>
          <w:b/>
          <w:spacing w:val="-2"/>
          <w:w w:val="90"/>
        </w:rPr>
        <w:t>quality:</w:t>
      </w:r>
      <w:r>
        <w:rPr>
          <w:b/>
          <w:spacing w:val="-5"/>
          <w:w w:val="90"/>
        </w:rPr>
        <w:t> </w:t>
      </w:r>
      <w:r>
        <w:rPr>
          <w:spacing w:val="-2"/>
          <w:w w:val="90"/>
        </w:rPr>
        <w:t>To</w:t>
      </w:r>
      <w:r>
        <w:rPr>
          <w:spacing w:val="-6"/>
          <w:w w:val="90"/>
        </w:rPr>
        <w:t> </w:t>
      </w:r>
      <w:r>
        <w:rPr>
          <w:spacing w:val="-2"/>
          <w:w w:val="90"/>
        </w:rPr>
        <w:t>provide</w:t>
      </w:r>
      <w:r>
        <w:rPr>
          <w:spacing w:val="-6"/>
          <w:w w:val="90"/>
        </w:rPr>
        <w:t> </w:t>
      </w:r>
      <w:r>
        <w:rPr>
          <w:spacing w:val="-2"/>
          <w:w w:val="90"/>
        </w:rPr>
        <w:t>access</w:t>
      </w:r>
      <w:r>
        <w:rPr>
          <w:spacing w:val="-6"/>
          <w:w w:val="90"/>
        </w:rPr>
        <w:t> </w:t>
      </w:r>
      <w:r>
        <w:rPr>
          <w:spacing w:val="-2"/>
          <w:w w:val="90"/>
        </w:rPr>
        <w:t>to</w:t>
      </w:r>
      <w:r>
        <w:rPr>
          <w:spacing w:val="-6"/>
          <w:w w:val="90"/>
        </w:rPr>
        <w:t> </w:t>
      </w:r>
      <w:r>
        <w:rPr>
          <w:spacing w:val="-2"/>
          <w:w w:val="90"/>
        </w:rPr>
        <w:t>knowledge </w:t>
      </w:r>
      <w:r>
        <w:rPr/>
        <w:t>and resources, each library must provide a range of </w:t>
      </w:r>
      <w:r>
        <w:rPr>
          <w:spacing w:val="-4"/>
        </w:rPr>
        <w:t>services</w:t>
      </w:r>
      <w:r>
        <w:rPr>
          <w:spacing w:val="-8"/>
        </w:rPr>
        <w:t> </w:t>
      </w:r>
      <w:r>
        <w:rPr>
          <w:spacing w:val="-4"/>
        </w:rPr>
        <w:t>to</w:t>
      </w:r>
      <w:r>
        <w:rPr>
          <w:spacing w:val="-8"/>
        </w:rPr>
        <w:t> </w:t>
      </w:r>
      <w:r>
        <w:rPr>
          <w:spacing w:val="-4"/>
        </w:rPr>
        <w:t>meet</w:t>
      </w:r>
      <w:r>
        <w:rPr>
          <w:spacing w:val="-8"/>
        </w:rPr>
        <w:t> </w:t>
      </w:r>
      <w:r>
        <w:rPr>
          <w:spacing w:val="-4"/>
        </w:rPr>
        <w:t>the</w:t>
      </w:r>
      <w:r>
        <w:rPr>
          <w:spacing w:val="-8"/>
        </w:rPr>
        <w:t> </w:t>
      </w:r>
      <w:r>
        <w:rPr>
          <w:spacing w:val="-4"/>
        </w:rPr>
        <w:t>needs</w:t>
      </w:r>
      <w:r>
        <w:rPr>
          <w:spacing w:val="-8"/>
        </w:rPr>
        <w:t> </w:t>
      </w:r>
      <w:r>
        <w:rPr>
          <w:spacing w:val="-4"/>
        </w:rPr>
        <w:t>of</w:t>
      </w:r>
      <w:r>
        <w:rPr>
          <w:spacing w:val="-8"/>
        </w:rPr>
        <w:t> </w:t>
      </w:r>
      <w:r>
        <w:rPr>
          <w:spacing w:val="-4"/>
        </w:rPr>
        <w:t>a</w:t>
      </w:r>
      <w:r>
        <w:rPr>
          <w:spacing w:val="-8"/>
        </w:rPr>
        <w:t> </w:t>
      </w:r>
      <w:r>
        <w:rPr>
          <w:spacing w:val="-4"/>
        </w:rPr>
        <w:t>diverse</w:t>
      </w:r>
      <w:r>
        <w:rPr>
          <w:spacing w:val="-8"/>
        </w:rPr>
        <w:t> </w:t>
      </w:r>
      <w:r>
        <w:rPr>
          <w:spacing w:val="-4"/>
        </w:rPr>
        <w:t>user</w:t>
      </w:r>
      <w:r>
        <w:rPr>
          <w:spacing w:val="-8"/>
        </w:rPr>
        <w:t> </w:t>
      </w:r>
      <w:r>
        <w:rPr>
          <w:spacing w:val="-4"/>
        </w:rPr>
        <w:t>community. </w:t>
      </w:r>
      <w:r>
        <w:rPr>
          <w:spacing w:val="-6"/>
        </w:rPr>
        <w:t>It</w:t>
      </w:r>
      <w:r>
        <w:rPr>
          <w:spacing w:val="-8"/>
        </w:rPr>
        <w:t> </w:t>
      </w:r>
      <w:r>
        <w:rPr>
          <w:spacing w:val="-6"/>
        </w:rPr>
        <w:t>must</w:t>
      </w:r>
      <w:r>
        <w:rPr>
          <w:spacing w:val="-8"/>
        </w:rPr>
        <w:t> </w:t>
      </w:r>
      <w:r>
        <w:rPr>
          <w:spacing w:val="-6"/>
        </w:rPr>
        <w:t>also</w:t>
      </w:r>
      <w:r>
        <w:rPr>
          <w:spacing w:val="-8"/>
        </w:rPr>
        <w:t> </w:t>
      </w:r>
      <w:r>
        <w:rPr>
          <w:spacing w:val="-6"/>
        </w:rPr>
        <w:t>have</w:t>
      </w:r>
      <w:r>
        <w:rPr>
          <w:spacing w:val="-7"/>
        </w:rPr>
        <w:t> </w:t>
      </w:r>
      <w:r>
        <w:rPr>
          <w:spacing w:val="-6"/>
        </w:rPr>
        <w:t>a</w:t>
      </w:r>
      <w:r>
        <w:rPr>
          <w:spacing w:val="-8"/>
        </w:rPr>
        <w:t> </w:t>
      </w:r>
      <w:r>
        <w:rPr>
          <w:spacing w:val="-6"/>
        </w:rPr>
        <w:t>well-rounded</w:t>
      </w:r>
      <w:r>
        <w:rPr>
          <w:spacing w:val="-8"/>
        </w:rPr>
        <w:t> </w:t>
      </w:r>
      <w:r>
        <w:rPr>
          <w:spacing w:val="-6"/>
        </w:rPr>
        <w:t>collection</w:t>
      </w:r>
      <w:r>
        <w:rPr>
          <w:spacing w:val="-8"/>
        </w:rPr>
        <w:t> </w:t>
      </w:r>
      <w:r>
        <w:rPr>
          <w:spacing w:val="-6"/>
        </w:rPr>
        <w:t>relevant</w:t>
      </w:r>
      <w:r>
        <w:rPr>
          <w:spacing w:val="-7"/>
        </w:rPr>
        <w:t> </w:t>
      </w:r>
      <w:r>
        <w:rPr>
          <w:spacing w:val="-6"/>
        </w:rPr>
        <w:t>to</w:t>
      </w:r>
      <w:r>
        <w:rPr>
          <w:spacing w:val="-8"/>
        </w:rPr>
        <w:t> </w:t>
      </w:r>
      <w:r>
        <w:rPr>
          <w:spacing w:val="-6"/>
        </w:rPr>
        <w:t>its </w:t>
      </w:r>
      <w:r>
        <w:rPr>
          <w:spacing w:val="-2"/>
        </w:rPr>
        <w:t>user</w:t>
      </w:r>
      <w:r>
        <w:rPr>
          <w:spacing w:val="-12"/>
        </w:rPr>
        <w:t> </w:t>
      </w:r>
      <w:r>
        <w:rPr>
          <w:spacing w:val="-2"/>
        </w:rPr>
        <w:t>community.</w:t>
      </w:r>
      <w:r>
        <w:rPr>
          <w:spacing w:val="-12"/>
        </w:rPr>
        <w:t> </w:t>
      </w:r>
      <w:r>
        <w:rPr>
          <w:spacing w:val="-2"/>
        </w:rPr>
        <w:t>In</w:t>
      </w:r>
      <w:r>
        <w:rPr>
          <w:spacing w:val="-12"/>
        </w:rPr>
        <w:t> </w:t>
      </w:r>
      <w:r>
        <w:rPr>
          <w:spacing w:val="-2"/>
        </w:rPr>
        <w:t>the</w:t>
      </w:r>
      <w:r>
        <w:rPr>
          <w:spacing w:val="-11"/>
        </w:rPr>
        <w:t> </w:t>
      </w:r>
      <w:r>
        <w:rPr>
          <w:spacing w:val="-2"/>
        </w:rPr>
        <w:t>changed</w:t>
      </w:r>
      <w:r>
        <w:rPr>
          <w:spacing w:val="-12"/>
        </w:rPr>
        <w:t> </w:t>
      </w:r>
      <w:r>
        <w:rPr>
          <w:spacing w:val="-2"/>
        </w:rPr>
        <w:t>context,</w:t>
      </w:r>
      <w:r>
        <w:rPr>
          <w:spacing w:val="-12"/>
        </w:rPr>
        <w:t> </w:t>
      </w:r>
      <w:r>
        <w:rPr>
          <w:spacing w:val="-2"/>
        </w:rPr>
        <w:t>it</w:t>
      </w:r>
      <w:r>
        <w:rPr>
          <w:spacing w:val="-12"/>
        </w:rPr>
        <w:t> </w:t>
      </w:r>
      <w:r>
        <w:rPr>
          <w:spacing w:val="-2"/>
        </w:rPr>
        <w:t>is</w:t>
      </w:r>
      <w:r>
        <w:rPr>
          <w:spacing w:val="-11"/>
        </w:rPr>
        <w:t> </w:t>
      </w:r>
      <w:r>
        <w:rPr>
          <w:spacing w:val="-2"/>
        </w:rPr>
        <w:t>necessary </w:t>
      </w:r>
      <w:r>
        <w:rPr>
          <w:spacing w:val="-4"/>
        </w:rPr>
        <w:t>to</w:t>
      </w:r>
      <w:r>
        <w:rPr>
          <w:spacing w:val="-10"/>
        </w:rPr>
        <w:t> </w:t>
      </w:r>
      <w:r>
        <w:rPr>
          <w:spacing w:val="-4"/>
        </w:rPr>
        <w:t>assess</w:t>
      </w:r>
      <w:r>
        <w:rPr>
          <w:spacing w:val="-10"/>
        </w:rPr>
        <w:t> </w:t>
      </w:r>
      <w:r>
        <w:rPr>
          <w:spacing w:val="-4"/>
        </w:rPr>
        <w:t>the</w:t>
      </w:r>
      <w:r>
        <w:rPr>
          <w:spacing w:val="-9"/>
        </w:rPr>
        <w:t> </w:t>
      </w:r>
      <w:r>
        <w:rPr>
          <w:spacing w:val="-4"/>
        </w:rPr>
        <w:t>manpower</w:t>
      </w:r>
      <w:r>
        <w:rPr>
          <w:spacing w:val="-10"/>
        </w:rPr>
        <w:t> </w:t>
      </w:r>
      <w:r>
        <w:rPr>
          <w:spacing w:val="-4"/>
        </w:rPr>
        <w:t>requirements</w:t>
      </w:r>
      <w:r>
        <w:rPr>
          <w:spacing w:val="-10"/>
        </w:rPr>
        <w:t> </w:t>
      </w:r>
      <w:r>
        <w:rPr>
          <w:spacing w:val="-4"/>
        </w:rPr>
        <w:t>for</w:t>
      </w:r>
      <w:r>
        <w:rPr>
          <w:spacing w:val="-9"/>
        </w:rPr>
        <w:t> </w:t>
      </w:r>
      <w:r>
        <w:rPr>
          <w:spacing w:val="-4"/>
        </w:rPr>
        <w:t>different</w:t>
      </w:r>
      <w:r>
        <w:rPr>
          <w:spacing w:val="-10"/>
        </w:rPr>
        <w:t> </w:t>
      </w:r>
      <w:r>
        <w:rPr>
          <w:spacing w:val="-4"/>
        </w:rPr>
        <w:t>types </w:t>
      </w:r>
      <w:r>
        <w:rPr>
          <w:spacing w:val="-2"/>
        </w:rPr>
        <w:t>of</w:t>
      </w:r>
      <w:r>
        <w:rPr>
          <w:spacing w:val="-8"/>
        </w:rPr>
        <w:t> </w:t>
      </w:r>
      <w:r>
        <w:rPr>
          <w:spacing w:val="-2"/>
        </w:rPr>
        <w:t>libraries</w:t>
      </w:r>
      <w:r>
        <w:rPr>
          <w:spacing w:val="-8"/>
        </w:rPr>
        <w:t> </w:t>
      </w:r>
      <w:r>
        <w:rPr>
          <w:spacing w:val="-2"/>
        </w:rPr>
        <w:t>and</w:t>
      </w:r>
      <w:r>
        <w:rPr>
          <w:spacing w:val="-8"/>
        </w:rPr>
        <w:t> </w:t>
      </w:r>
      <w:r>
        <w:rPr>
          <w:spacing w:val="-2"/>
        </w:rPr>
        <w:t>departments</w:t>
      </w:r>
      <w:r>
        <w:rPr>
          <w:spacing w:val="-8"/>
        </w:rPr>
        <w:t> </w:t>
      </w:r>
      <w:r>
        <w:rPr>
          <w:spacing w:val="-2"/>
        </w:rPr>
        <w:t>of</w:t>
      </w:r>
      <w:r>
        <w:rPr>
          <w:spacing w:val="-8"/>
        </w:rPr>
        <w:t> </w:t>
      </w:r>
      <w:r>
        <w:rPr>
          <w:spacing w:val="-2"/>
        </w:rPr>
        <w:t>library</w:t>
      </w:r>
      <w:r>
        <w:rPr>
          <w:spacing w:val="-8"/>
        </w:rPr>
        <w:t> </w:t>
      </w:r>
      <w:r>
        <w:rPr>
          <w:spacing w:val="-2"/>
        </w:rPr>
        <w:t>and</w:t>
      </w:r>
      <w:r>
        <w:rPr>
          <w:spacing w:val="-8"/>
        </w:rPr>
        <w:t> </w:t>
      </w:r>
      <w:r>
        <w:rPr>
          <w:spacing w:val="-2"/>
        </w:rPr>
        <w:t>information science</w:t>
      </w:r>
      <w:r>
        <w:rPr>
          <w:spacing w:val="-11"/>
        </w:rPr>
        <w:t> </w:t>
      </w:r>
      <w:r>
        <w:rPr>
          <w:spacing w:val="-2"/>
        </w:rPr>
        <w:t>and</w:t>
      </w:r>
      <w:r>
        <w:rPr>
          <w:spacing w:val="-11"/>
        </w:rPr>
        <w:t> </w:t>
      </w:r>
      <w:r>
        <w:rPr>
          <w:spacing w:val="-2"/>
        </w:rPr>
        <w:t>adequately</w:t>
      </w:r>
      <w:r>
        <w:rPr>
          <w:spacing w:val="-11"/>
        </w:rPr>
        <w:t> </w:t>
      </w:r>
      <w:r>
        <w:rPr>
          <w:spacing w:val="-2"/>
        </w:rPr>
        <w:t>train</w:t>
      </w:r>
      <w:r>
        <w:rPr>
          <w:spacing w:val="-11"/>
        </w:rPr>
        <w:t> </w:t>
      </w:r>
      <w:r>
        <w:rPr>
          <w:spacing w:val="-2"/>
        </w:rPr>
        <w:t>the</w:t>
      </w:r>
      <w:r>
        <w:rPr>
          <w:spacing w:val="-11"/>
        </w:rPr>
        <w:t> </w:t>
      </w:r>
      <w:r>
        <w:rPr>
          <w:spacing w:val="-2"/>
        </w:rPr>
        <w:t>library</w:t>
      </w:r>
      <w:r>
        <w:rPr>
          <w:spacing w:val="-11"/>
        </w:rPr>
        <w:t> </w:t>
      </w:r>
      <w:r>
        <w:rPr>
          <w:spacing w:val="-2"/>
        </w:rPr>
        <w:t>staff.</w:t>
      </w:r>
    </w:p>
    <w:p>
      <w:pPr>
        <w:pStyle w:val="BodyText"/>
        <w:spacing w:before="21"/>
      </w:pPr>
    </w:p>
    <w:p>
      <w:pPr>
        <w:pStyle w:val="BodyText"/>
        <w:spacing w:line="266" w:lineRule="auto"/>
        <w:ind w:left="319" w:right="1077"/>
        <w:jc w:val="both"/>
      </w:pPr>
      <w:r>
        <w:rPr>
          <w:b/>
        </w:rPr>
        <w:t>Education and research: </w:t>
      </w:r>
      <w:r>
        <w:rPr/>
        <w:t>Library and information science education and research has been in existence </w:t>
      </w:r>
      <w:r>
        <w:rPr>
          <w:spacing w:val="-2"/>
        </w:rPr>
        <w:t>since</w:t>
      </w:r>
      <w:r>
        <w:rPr>
          <w:spacing w:val="-12"/>
        </w:rPr>
        <w:t> </w:t>
      </w:r>
      <w:r>
        <w:rPr>
          <w:spacing w:val="-2"/>
        </w:rPr>
        <w:t>pre-independence</w:t>
      </w:r>
      <w:r>
        <w:rPr>
          <w:spacing w:val="-8"/>
        </w:rPr>
        <w:t> </w:t>
      </w:r>
      <w:r>
        <w:rPr>
          <w:spacing w:val="-2"/>
        </w:rPr>
        <w:t>days.</w:t>
      </w:r>
      <w:r>
        <w:rPr>
          <w:spacing w:val="-12"/>
        </w:rPr>
        <w:t> </w:t>
      </w:r>
      <w:r>
        <w:rPr>
          <w:spacing w:val="-2"/>
        </w:rPr>
        <w:t>There</w:t>
      </w:r>
      <w:r>
        <w:rPr>
          <w:spacing w:val="-8"/>
        </w:rPr>
        <w:t> </w:t>
      </w:r>
      <w:r>
        <w:rPr>
          <w:spacing w:val="-2"/>
        </w:rPr>
        <w:t>are</w:t>
      </w:r>
      <w:r>
        <w:rPr>
          <w:spacing w:val="-8"/>
        </w:rPr>
        <w:t> </w:t>
      </w:r>
      <w:r>
        <w:rPr>
          <w:spacing w:val="-2"/>
        </w:rPr>
        <w:t>approximately </w:t>
      </w:r>
      <w:r>
        <w:rPr/>
        <w:t>135 universities and institutions of higher learning</w:t>
      </w:r>
      <w:r>
        <w:rPr>
          <w:spacing w:val="80"/>
        </w:rPr>
        <w:t> </w:t>
      </w:r>
      <w:r>
        <w:rPr/>
        <w:t>in this field. But presently most universities and institutions have not kept abreast with the changes in the LIS sector.</w:t>
      </w:r>
    </w:p>
    <w:p>
      <w:pPr>
        <w:pStyle w:val="BodyText"/>
        <w:spacing w:before="21"/>
      </w:pPr>
    </w:p>
    <w:p>
      <w:pPr>
        <w:pStyle w:val="BodyText"/>
        <w:spacing w:line="266" w:lineRule="auto"/>
        <w:ind w:left="319" w:right="1077"/>
        <w:jc w:val="both"/>
      </w:pPr>
      <w:r>
        <w:rPr>
          <w:b/>
        </w:rPr>
        <w:t>Funding: </w:t>
      </w:r>
      <w:r>
        <w:rPr/>
        <w:t>Out of the</w:t>
      </w:r>
      <w:r>
        <w:rPr>
          <w:spacing w:val="-2"/>
        </w:rPr>
        <w:t> </w:t>
      </w:r>
      <w:r>
        <w:rPr/>
        <w:t>Tenth Plan outlay of </w:t>
      </w:r>
      <w:r>
        <w:rPr/>
        <w:t>Rs.131.05 crore,</w:t>
      </w:r>
      <w:r>
        <w:rPr>
          <w:spacing w:val="-12"/>
        </w:rPr>
        <w:t> </w:t>
      </w:r>
      <w:r>
        <w:rPr/>
        <w:t>an</w:t>
      </w:r>
      <w:r>
        <w:rPr>
          <w:spacing w:val="-12"/>
        </w:rPr>
        <w:t> </w:t>
      </w:r>
      <w:r>
        <w:rPr/>
        <w:t>expenditure</w:t>
      </w:r>
      <w:r>
        <w:rPr>
          <w:spacing w:val="-12"/>
        </w:rPr>
        <w:t> </w:t>
      </w:r>
      <w:r>
        <w:rPr/>
        <w:t>of</w:t>
      </w:r>
      <w:r>
        <w:rPr>
          <w:spacing w:val="-12"/>
        </w:rPr>
        <w:t> </w:t>
      </w:r>
      <w:r>
        <w:rPr/>
        <w:t>Rs.121.23</w:t>
      </w:r>
      <w:r>
        <w:rPr>
          <w:spacing w:val="-12"/>
        </w:rPr>
        <w:t> </w:t>
      </w:r>
      <w:r>
        <w:rPr/>
        <w:t>crore</w:t>
      </w:r>
      <w:r>
        <w:rPr>
          <w:spacing w:val="-12"/>
        </w:rPr>
        <w:t> </w:t>
      </w:r>
      <w:r>
        <w:rPr/>
        <w:t>was</w:t>
      </w:r>
      <w:r>
        <w:rPr>
          <w:spacing w:val="-12"/>
        </w:rPr>
        <w:t> </w:t>
      </w:r>
      <w:r>
        <w:rPr/>
        <w:t>incurred – indicating a shortfall of 7 per cent.</w:t>
      </w:r>
      <w:r>
        <w:rPr>
          <w:spacing w:val="-2"/>
        </w:rPr>
        <w:t> </w:t>
      </w:r>
      <w:r>
        <w:rPr/>
        <w:t>There is a need to set up a central library fund to not only upgrade existing libraries within the specified period of time but to facilitate libraries to overcome the financial stringencies which presently exist. Further, public- </w:t>
      </w:r>
      <w:r>
        <w:rPr>
          <w:spacing w:val="-4"/>
        </w:rPr>
        <w:t>private partnerships could be encouraged in developing </w:t>
      </w:r>
      <w:r>
        <w:rPr/>
        <w:t>library</w:t>
      </w:r>
      <w:r>
        <w:rPr>
          <w:spacing w:val="40"/>
        </w:rPr>
        <w:t> </w:t>
      </w:r>
      <w:r>
        <w:rPr/>
        <w:t>and</w:t>
      </w:r>
      <w:r>
        <w:rPr>
          <w:spacing w:val="40"/>
        </w:rPr>
        <w:t> </w:t>
      </w:r>
      <w:r>
        <w:rPr/>
        <w:t>information</w:t>
      </w:r>
      <w:r>
        <w:rPr>
          <w:spacing w:val="40"/>
        </w:rPr>
        <w:t> </w:t>
      </w:r>
      <w:r>
        <w:rPr/>
        <w:t>services</w:t>
      </w:r>
      <w:r>
        <w:rPr>
          <w:spacing w:val="40"/>
        </w:rPr>
        <w:t> </w:t>
      </w:r>
      <w:r>
        <w:rPr/>
        <w:t>in</w:t>
      </w:r>
      <w:r>
        <w:rPr>
          <w:spacing w:val="40"/>
        </w:rPr>
        <w:t> </w:t>
      </w:r>
      <w:r>
        <w:rPr/>
        <w:t>different</w:t>
      </w:r>
      <w:r>
        <w:rPr>
          <w:spacing w:val="40"/>
        </w:rPr>
        <w:t> </w:t>
      </w:r>
      <w:r>
        <w:rPr/>
        <w:t>parts of India.</w:t>
      </w:r>
    </w:p>
    <w:p>
      <w:pPr>
        <w:pStyle w:val="BodyText"/>
        <w:spacing w:before="22"/>
      </w:pPr>
    </w:p>
    <w:p>
      <w:pPr>
        <w:pStyle w:val="Heading8"/>
        <w:spacing w:line="242" w:lineRule="auto" w:before="1"/>
        <w:ind w:left="1145" w:right="1075" w:hanging="827"/>
      </w:pPr>
      <w:r>
        <w:rPr>
          <w:spacing w:val="-6"/>
        </w:rPr>
        <w:t>Table</w:t>
      </w:r>
      <w:r>
        <w:rPr>
          <w:spacing w:val="-11"/>
        </w:rPr>
        <w:t> </w:t>
      </w:r>
      <w:r>
        <w:rPr>
          <w:spacing w:val="-6"/>
        </w:rPr>
        <w:t>2:</w:t>
      </w:r>
      <w:r>
        <w:rPr>
          <w:spacing w:val="-9"/>
        </w:rPr>
        <w:t> </w:t>
      </w:r>
      <w:r>
        <w:rPr>
          <w:color w:val="2E614A"/>
          <w:spacing w:val="-6"/>
        </w:rPr>
        <w:t>Number</w:t>
      </w:r>
      <w:r>
        <w:rPr>
          <w:color w:val="2E614A"/>
          <w:spacing w:val="-5"/>
        </w:rPr>
        <w:t> </w:t>
      </w:r>
      <w:r>
        <w:rPr>
          <w:color w:val="2E614A"/>
          <w:spacing w:val="-6"/>
        </w:rPr>
        <w:t>of</w:t>
      </w:r>
      <w:r>
        <w:rPr>
          <w:color w:val="2E614A"/>
          <w:spacing w:val="-4"/>
        </w:rPr>
        <w:t> </w:t>
      </w:r>
      <w:r>
        <w:rPr>
          <w:color w:val="2E614A"/>
          <w:spacing w:val="-6"/>
        </w:rPr>
        <w:t>libraries</w:t>
      </w:r>
      <w:r>
        <w:rPr>
          <w:color w:val="2E614A"/>
          <w:spacing w:val="-4"/>
        </w:rPr>
        <w:t> </w:t>
      </w:r>
      <w:r>
        <w:rPr>
          <w:color w:val="2E614A"/>
          <w:spacing w:val="-6"/>
        </w:rPr>
        <w:t>in</w:t>
      </w:r>
      <w:r>
        <w:rPr>
          <w:color w:val="2E614A"/>
          <w:spacing w:val="-4"/>
        </w:rPr>
        <w:t> </w:t>
      </w:r>
      <w:r>
        <w:rPr>
          <w:color w:val="2E614A"/>
          <w:spacing w:val="-6"/>
        </w:rPr>
        <w:t>India</w:t>
      </w:r>
      <w:r>
        <w:rPr>
          <w:color w:val="2E614A"/>
          <w:spacing w:val="1"/>
        </w:rPr>
        <w:t> </w:t>
      </w:r>
      <w:r>
        <w:rPr>
          <w:color w:val="2E614A"/>
          <w:spacing w:val="-6"/>
        </w:rPr>
        <w:t>(estimated </w:t>
      </w:r>
      <w:r>
        <w:rPr>
          <w:color w:val="2E614A"/>
        </w:rPr>
        <w:t>figure 1996-97)</w:t>
      </w:r>
    </w:p>
    <w:p>
      <w:pPr>
        <w:pStyle w:val="BodyText"/>
        <w:spacing w:before="1"/>
        <w:rPr>
          <w:b/>
          <w:sz w:val="10"/>
        </w:rPr>
      </w:pPr>
    </w:p>
    <w:tbl>
      <w:tblPr>
        <w:tblW w:w="0" w:type="auto"/>
        <w:jc w:val="left"/>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611"/>
        <w:gridCol w:w="1087"/>
      </w:tblGrid>
      <w:tr>
        <w:trPr>
          <w:trHeight w:val="321" w:hRule="atLeast"/>
        </w:trPr>
        <w:tc>
          <w:tcPr>
            <w:tcW w:w="3611" w:type="dxa"/>
            <w:shd w:val="clear" w:color="auto" w:fill="D0D5CD"/>
          </w:tcPr>
          <w:p>
            <w:pPr>
              <w:pStyle w:val="TableParagraph"/>
              <w:ind w:left="90"/>
              <w:rPr>
                <w:sz w:val="20"/>
              </w:rPr>
            </w:pPr>
            <w:r>
              <w:rPr>
                <w:spacing w:val="-4"/>
                <w:sz w:val="20"/>
              </w:rPr>
              <w:t>Public</w:t>
            </w:r>
            <w:r>
              <w:rPr>
                <w:spacing w:val="-5"/>
                <w:sz w:val="20"/>
              </w:rPr>
              <w:t> </w:t>
            </w:r>
            <w:r>
              <w:rPr>
                <w:spacing w:val="-2"/>
                <w:sz w:val="20"/>
              </w:rPr>
              <w:t>libraries</w:t>
            </w:r>
          </w:p>
        </w:tc>
        <w:tc>
          <w:tcPr>
            <w:tcW w:w="1087" w:type="dxa"/>
            <w:shd w:val="clear" w:color="auto" w:fill="D0D5CD"/>
          </w:tcPr>
          <w:p>
            <w:pPr>
              <w:pStyle w:val="TableParagraph"/>
              <w:ind w:right="263"/>
              <w:jc w:val="right"/>
              <w:rPr>
                <w:sz w:val="20"/>
              </w:rPr>
            </w:pPr>
            <w:r>
              <w:rPr>
                <w:spacing w:val="-2"/>
                <w:sz w:val="20"/>
              </w:rPr>
              <w:t>54845</w:t>
            </w:r>
          </w:p>
        </w:tc>
      </w:tr>
      <w:tr>
        <w:trPr>
          <w:trHeight w:val="601" w:hRule="atLeast"/>
        </w:trPr>
        <w:tc>
          <w:tcPr>
            <w:tcW w:w="3611" w:type="dxa"/>
            <w:shd w:val="clear" w:color="auto" w:fill="E9E9E9"/>
          </w:tcPr>
          <w:p>
            <w:pPr>
              <w:pStyle w:val="TableParagraph"/>
              <w:spacing w:line="280" w:lineRule="exact" w:before="9"/>
              <w:ind w:left="90" w:right="500"/>
              <w:rPr>
                <w:sz w:val="20"/>
              </w:rPr>
            </w:pPr>
            <w:r>
              <w:rPr>
                <w:spacing w:val="-4"/>
                <w:sz w:val="20"/>
              </w:rPr>
              <w:t>University/Deemed</w:t>
            </w:r>
            <w:r>
              <w:rPr>
                <w:spacing w:val="-9"/>
                <w:sz w:val="20"/>
              </w:rPr>
              <w:t> </w:t>
            </w:r>
            <w:r>
              <w:rPr>
                <w:spacing w:val="-4"/>
                <w:sz w:val="20"/>
              </w:rPr>
              <w:t>to</w:t>
            </w:r>
            <w:r>
              <w:rPr>
                <w:spacing w:val="-8"/>
                <w:sz w:val="20"/>
              </w:rPr>
              <w:t> </w:t>
            </w:r>
            <w:r>
              <w:rPr>
                <w:spacing w:val="-4"/>
                <w:sz w:val="20"/>
              </w:rPr>
              <w:t>be</w:t>
            </w:r>
            <w:r>
              <w:rPr>
                <w:spacing w:val="-9"/>
                <w:sz w:val="20"/>
              </w:rPr>
              <w:t> </w:t>
            </w:r>
            <w:r>
              <w:rPr>
                <w:spacing w:val="-4"/>
                <w:sz w:val="20"/>
              </w:rPr>
              <w:t>University </w:t>
            </w:r>
            <w:r>
              <w:rPr>
                <w:spacing w:val="-2"/>
                <w:sz w:val="20"/>
              </w:rPr>
              <w:t>Libraries</w:t>
            </w:r>
          </w:p>
        </w:tc>
        <w:tc>
          <w:tcPr>
            <w:tcW w:w="1087" w:type="dxa"/>
            <w:shd w:val="clear" w:color="auto" w:fill="E9E9E9"/>
          </w:tcPr>
          <w:p>
            <w:pPr>
              <w:pStyle w:val="TableParagraph"/>
              <w:ind w:right="263"/>
              <w:jc w:val="right"/>
              <w:rPr>
                <w:sz w:val="20"/>
              </w:rPr>
            </w:pPr>
            <w:r>
              <w:rPr>
                <w:spacing w:val="-5"/>
                <w:sz w:val="20"/>
              </w:rPr>
              <w:t>267</w:t>
            </w:r>
          </w:p>
        </w:tc>
      </w:tr>
      <w:tr>
        <w:trPr>
          <w:trHeight w:val="321" w:hRule="atLeast"/>
        </w:trPr>
        <w:tc>
          <w:tcPr>
            <w:tcW w:w="3611" w:type="dxa"/>
            <w:shd w:val="clear" w:color="auto" w:fill="D0D5CD"/>
          </w:tcPr>
          <w:p>
            <w:pPr>
              <w:pStyle w:val="TableParagraph"/>
              <w:ind w:left="90"/>
              <w:rPr>
                <w:sz w:val="20"/>
              </w:rPr>
            </w:pPr>
            <w:r>
              <w:rPr>
                <w:spacing w:val="-6"/>
                <w:sz w:val="20"/>
              </w:rPr>
              <w:t>College</w:t>
            </w:r>
            <w:r>
              <w:rPr>
                <w:spacing w:val="-2"/>
                <w:sz w:val="20"/>
              </w:rPr>
              <w:t> Libraries</w:t>
            </w:r>
          </w:p>
        </w:tc>
        <w:tc>
          <w:tcPr>
            <w:tcW w:w="1087" w:type="dxa"/>
            <w:shd w:val="clear" w:color="auto" w:fill="D0D5CD"/>
          </w:tcPr>
          <w:p>
            <w:pPr>
              <w:pStyle w:val="TableParagraph"/>
              <w:ind w:right="263"/>
              <w:jc w:val="right"/>
              <w:rPr>
                <w:sz w:val="20"/>
              </w:rPr>
            </w:pPr>
            <w:r>
              <w:rPr>
                <w:spacing w:val="-4"/>
                <w:sz w:val="20"/>
              </w:rPr>
              <w:t>8000</w:t>
            </w:r>
          </w:p>
        </w:tc>
      </w:tr>
      <w:tr>
        <w:trPr>
          <w:trHeight w:val="321" w:hRule="atLeast"/>
        </w:trPr>
        <w:tc>
          <w:tcPr>
            <w:tcW w:w="3611" w:type="dxa"/>
            <w:shd w:val="clear" w:color="auto" w:fill="E9E9E9"/>
          </w:tcPr>
          <w:p>
            <w:pPr>
              <w:pStyle w:val="TableParagraph"/>
              <w:ind w:left="90"/>
              <w:rPr>
                <w:sz w:val="20"/>
              </w:rPr>
            </w:pPr>
            <w:r>
              <w:rPr>
                <w:spacing w:val="-6"/>
                <w:sz w:val="20"/>
              </w:rPr>
              <w:t>Science</w:t>
            </w:r>
            <w:r>
              <w:rPr>
                <w:spacing w:val="1"/>
                <w:sz w:val="20"/>
              </w:rPr>
              <w:t> </w:t>
            </w:r>
            <w:r>
              <w:rPr>
                <w:spacing w:val="-6"/>
                <w:sz w:val="20"/>
              </w:rPr>
              <w:t>and</w:t>
            </w:r>
            <w:r>
              <w:rPr>
                <w:spacing w:val="-8"/>
                <w:sz w:val="20"/>
              </w:rPr>
              <w:t> </w:t>
            </w:r>
            <w:r>
              <w:rPr>
                <w:spacing w:val="-6"/>
                <w:sz w:val="20"/>
              </w:rPr>
              <w:t>Technology</w:t>
            </w:r>
            <w:r>
              <w:rPr>
                <w:spacing w:val="1"/>
                <w:sz w:val="20"/>
              </w:rPr>
              <w:t> </w:t>
            </w:r>
            <w:r>
              <w:rPr>
                <w:spacing w:val="-6"/>
                <w:sz w:val="20"/>
              </w:rPr>
              <w:t>Libraries</w:t>
            </w:r>
          </w:p>
        </w:tc>
        <w:tc>
          <w:tcPr>
            <w:tcW w:w="1087" w:type="dxa"/>
            <w:shd w:val="clear" w:color="auto" w:fill="E9E9E9"/>
          </w:tcPr>
          <w:p>
            <w:pPr>
              <w:pStyle w:val="TableParagraph"/>
              <w:ind w:right="263"/>
              <w:jc w:val="right"/>
              <w:rPr>
                <w:sz w:val="20"/>
              </w:rPr>
            </w:pPr>
            <w:r>
              <w:rPr>
                <w:spacing w:val="-4"/>
                <w:sz w:val="20"/>
              </w:rPr>
              <w:t>1200</w:t>
            </w:r>
          </w:p>
        </w:tc>
      </w:tr>
      <w:tr>
        <w:trPr>
          <w:trHeight w:val="321" w:hRule="atLeast"/>
        </w:trPr>
        <w:tc>
          <w:tcPr>
            <w:tcW w:w="3611" w:type="dxa"/>
            <w:shd w:val="clear" w:color="auto" w:fill="D0D5CD"/>
          </w:tcPr>
          <w:p>
            <w:pPr>
              <w:pStyle w:val="TableParagraph"/>
              <w:ind w:left="90"/>
              <w:rPr>
                <w:sz w:val="20"/>
              </w:rPr>
            </w:pPr>
            <w:r>
              <w:rPr>
                <w:w w:val="90"/>
                <w:sz w:val="20"/>
              </w:rPr>
              <w:t>Social</w:t>
            </w:r>
            <w:r>
              <w:rPr>
                <w:spacing w:val="6"/>
                <w:sz w:val="20"/>
              </w:rPr>
              <w:t> </w:t>
            </w:r>
            <w:r>
              <w:rPr>
                <w:w w:val="90"/>
                <w:sz w:val="20"/>
              </w:rPr>
              <w:t>Science</w:t>
            </w:r>
            <w:r>
              <w:rPr>
                <w:spacing w:val="7"/>
                <w:sz w:val="20"/>
              </w:rPr>
              <w:t> </w:t>
            </w:r>
            <w:r>
              <w:rPr>
                <w:spacing w:val="-2"/>
                <w:w w:val="90"/>
                <w:sz w:val="20"/>
              </w:rPr>
              <w:t>Libraries</w:t>
            </w:r>
          </w:p>
        </w:tc>
        <w:tc>
          <w:tcPr>
            <w:tcW w:w="1087" w:type="dxa"/>
            <w:shd w:val="clear" w:color="auto" w:fill="D0D5CD"/>
          </w:tcPr>
          <w:p>
            <w:pPr>
              <w:pStyle w:val="TableParagraph"/>
              <w:ind w:right="263"/>
              <w:jc w:val="right"/>
              <w:rPr>
                <w:sz w:val="20"/>
              </w:rPr>
            </w:pPr>
            <w:r>
              <w:rPr>
                <w:spacing w:val="-5"/>
                <w:sz w:val="20"/>
              </w:rPr>
              <w:t>450</w:t>
            </w:r>
          </w:p>
        </w:tc>
      </w:tr>
      <w:tr>
        <w:trPr>
          <w:trHeight w:val="321" w:hRule="atLeast"/>
        </w:trPr>
        <w:tc>
          <w:tcPr>
            <w:tcW w:w="3611" w:type="dxa"/>
            <w:shd w:val="clear" w:color="auto" w:fill="E9E9E9"/>
          </w:tcPr>
          <w:p>
            <w:pPr>
              <w:pStyle w:val="TableParagraph"/>
              <w:ind w:left="90"/>
              <w:rPr>
                <w:sz w:val="20"/>
              </w:rPr>
            </w:pPr>
            <w:r>
              <w:rPr>
                <w:spacing w:val="-2"/>
                <w:sz w:val="20"/>
              </w:rPr>
              <w:t>Government</w:t>
            </w:r>
            <w:r>
              <w:rPr>
                <w:spacing w:val="5"/>
                <w:sz w:val="20"/>
              </w:rPr>
              <w:t> </w:t>
            </w:r>
            <w:r>
              <w:rPr>
                <w:spacing w:val="-2"/>
                <w:sz w:val="20"/>
              </w:rPr>
              <w:t>Department</w:t>
            </w:r>
            <w:r>
              <w:rPr>
                <w:spacing w:val="5"/>
                <w:sz w:val="20"/>
              </w:rPr>
              <w:t> </w:t>
            </w:r>
            <w:r>
              <w:rPr>
                <w:spacing w:val="-2"/>
                <w:sz w:val="20"/>
              </w:rPr>
              <w:t>Libraries</w:t>
            </w:r>
          </w:p>
        </w:tc>
        <w:tc>
          <w:tcPr>
            <w:tcW w:w="1087" w:type="dxa"/>
            <w:shd w:val="clear" w:color="auto" w:fill="E9E9E9"/>
          </w:tcPr>
          <w:p>
            <w:pPr>
              <w:pStyle w:val="TableParagraph"/>
              <w:ind w:right="263"/>
              <w:jc w:val="right"/>
              <w:rPr>
                <w:sz w:val="20"/>
              </w:rPr>
            </w:pPr>
            <w:r>
              <w:rPr>
                <w:spacing w:val="-5"/>
                <w:sz w:val="20"/>
              </w:rPr>
              <w:t>800</w:t>
            </w:r>
          </w:p>
        </w:tc>
      </w:tr>
      <w:tr>
        <w:trPr>
          <w:trHeight w:val="321" w:hRule="atLeast"/>
        </w:trPr>
        <w:tc>
          <w:tcPr>
            <w:tcW w:w="3611" w:type="dxa"/>
            <w:shd w:val="clear" w:color="auto" w:fill="D0D5CD"/>
          </w:tcPr>
          <w:p>
            <w:pPr>
              <w:pStyle w:val="TableParagraph"/>
              <w:ind w:left="90"/>
              <w:rPr>
                <w:sz w:val="20"/>
              </w:rPr>
            </w:pPr>
            <w:r>
              <w:rPr>
                <w:sz w:val="20"/>
              </w:rPr>
              <w:t>Art,</w:t>
            </w:r>
            <w:r>
              <w:rPr>
                <w:spacing w:val="-12"/>
                <w:sz w:val="20"/>
              </w:rPr>
              <w:t> </w:t>
            </w:r>
            <w:r>
              <w:rPr>
                <w:sz w:val="20"/>
              </w:rPr>
              <w:t>Culture</w:t>
            </w:r>
            <w:r>
              <w:rPr>
                <w:spacing w:val="-11"/>
                <w:sz w:val="20"/>
              </w:rPr>
              <w:t> </w:t>
            </w:r>
            <w:r>
              <w:rPr>
                <w:sz w:val="20"/>
              </w:rPr>
              <w:t>and</w:t>
            </w:r>
            <w:r>
              <w:rPr>
                <w:spacing w:val="-12"/>
                <w:sz w:val="20"/>
              </w:rPr>
              <w:t> </w:t>
            </w:r>
            <w:r>
              <w:rPr>
                <w:sz w:val="20"/>
              </w:rPr>
              <w:t>Humanities</w:t>
            </w:r>
            <w:r>
              <w:rPr>
                <w:spacing w:val="-11"/>
                <w:sz w:val="20"/>
              </w:rPr>
              <w:t> </w:t>
            </w:r>
            <w:r>
              <w:rPr>
                <w:spacing w:val="-2"/>
                <w:sz w:val="20"/>
              </w:rPr>
              <w:t>Libraries</w:t>
            </w:r>
          </w:p>
        </w:tc>
        <w:tc>
          <w:tcPr>
            <w:tcW w:w="1087" w:type="dxa"/>
            <w:shd w:val="clear" w:color="auto" w:fill="D0D5CD"/>
          </w:tcPr>
          <w:p>
            <w:pPr>
              <w:pStyle w:val="TableParagraph"/>
              <w:ind w:right="263"/>
              <w:jc w:val="right"/>
              <w:rPr>
                <w:sz w:val="20"/>
              </w:rPr>
            </w:pPr>
            <w:r>
              <w:rPr>
                <w:spacing w:val="-5"/>
                <w:sz w:val="20"/>
              </w:rPr>
              <w:t>500</w:t>
            </w:r>
          </w:p>
        </w:tc>
      </w:tr>
      <w:tr>
        <w:trPr>
          <w:trHeight w:val="601" w:hRule="atLeast"/>
        </w:trPr>
        <w:tc>
          <w:tcPr>
            <w:tcW w:w="3611" w:type="dxa"/>
            <w:shd w:val="clear" w:color="auto" w:fill="E9E9E9"/>
          </w:tcPr>
          <w:p>
            <w:pPr>
              <w:pStyle w:val="TableParagraph"/>
              <w:spacing w:line="280" w:lineRule="exact" w:before="9"/>
              <w:ind w:left="90" w:right="500"/>
              <w:rPr>
                <w:sz w:val="20"/>
              </w:rPr>
            </w:pPr>
            <w:r>
              <w:rPr>
                <w:sz w:val="20"/>
              </w:rPr>
              <w:t>School Libraries (Higher secondary/ </w:t>
            </w:r>
            <w:r>
              <w:rPr>
                <w:spacing w:val="-2"/>
                <w:sz w:val="20"/>
              </w:rPr>
              <w:t>secondary/primary</w:t>
            </w:r>
            <w:r>
              <w:rPr>
                <w:spacing w:val="-11"/>
                <w:sz w:val="20"/>
              </w:rPr>
              <w:t> </w:t>
            </w:r>
            <w:r>
              <w:rPr>
                <w:spacing w:val="-2"/>
                <w:sz w:val="20"/>
              </w:rPr>
              <w:t>and</w:t>
            </w:r>
            <w:r>
              <w:rPr>
                <w:spacing w:val="-10"/>
                <w:sz w:val="20"/>
              </w:rPr>
              <w:t> </w:t>
            </w:r>
            <w:r>
              <w:rPr>
                <w:spacing w:val="-2"/>
                <w:sz w:val="20"/>
              </w:rPr>
              <w:t>upper</w:t>
            </w:r>
            <w:r>
              <w:rPr>
                <w:spacing w:val="-11"/>
                <w:sz w:val="20"/>
              </w:rPr>
              <w:t> </w:t>
            </w:r>
            <w:r>
              <w:rPr>
                <w:spacing w:val="-2"/>
                <w:sz w:val="20"/>
              </w:rPr>
              <w:t>primary)</w:t>
            </w:r>
          </w:p>
        </w:tc>
        <w:tc>
          <w:tcPr>
            <w:tcW w:w="1087" w:type="dxa"/>
            <w:shd w:val="clear" w:color="auto" w:fill="E9E9E9"/>
          </w:tcPr>
          <w:p>
            <w:pPr>
              <w:pStyle w:val="TableParagraph"/>
              <w:ind w:right="263"/>
              <w:jc w:val="right"/>
              <w:rPr>
                <w:sz w:val="20"/>
              </w:rPr>
            </w:pPr>
            <w:r>
              <w:rPr>
                <w:spacing w:val="-2"/>
                <w:sz w:val="20"/>
              </w:rPr>
              <w:t>404128</w:t>
            </w:r>
          </w:p>
        </w:tc>
      </w:tr>
    </w:tbl>
    <w:p>
      <w:pPr>
        <w:spacing w:before="54"/>
        <w:ind w:left="319" w:right="0" w:firstLine="0"/>
        <w:jc w:val="both"/>
        <w:rPr>
          <w:sz w:val="16"/>
        </w:rPr>
      </w:pPr>
      <w:r>
        <w:rPr>
          <w:i/>
          <w:w w:val="90"/>
          <w:sz w:val="16"/>
        </w:rPr>
        <w:t>Source:</w:t>
      </w:r>
      <w:r>
        <w:rPr>
          <w:i/>
          <w:sz w:val="16"/>
        </w:rPr>
        <w:t> </w:t>
      </w:r>
      <w:r>
        <w:rPr>
          <w:w w:val="90"/>
          <w:sz w:val="16"/>
        </w:rPr>
        <w:t>Librarians</w:t>
      </w:r>
      <w:r>
        <w:rPr>
          <w:sz w:val="16"/>
        </w:rPr>
        <w:t> </w:t>
      </w:r>
      <w:r>
        <w:rPr>
          <w:w w:val="90"/>
          <w:sz w:val="16"/>
        </w:rPr>
        <w:t>in</w:t>
      </w:r>
      <w:r>
        <w:rPr>
          <w:sz w:val="16"/>
        </w:rPr>
        <w:t> </w:t>
      </w:r>
      <w:r>
        <w:rPr>
          <w:w w:val="90"/>
          <w:sz w:val="16"/>
        </w:rPr>
        <w:t>Society:</w:t>
      </w:r>
      <w:r>
        <w:rPr>
          <w:spacing w:val="1"/>
          <w:sz w:val="16"/>
        </w:rPr>
        <w:t> </w:t>
      </w:r>
      <w:r>
        <w:rPr>
          <w:w w:val="90"/>
          <w:sz w:val="16"/>
        </w:rPr>
        <w:t>An</w:t>
      </w:r>
      <w:r>
        <w:rPr>
          <w:sz w:val="16"/>
        </w:rPr>
        <w:t> </w:t>
      </w:r>
      <w:r>
        <w:rPr>
          <w:w w:val="90"/>
          <w:sz w:val="16"/>
        </w:rPr>
        <w:t>Insider’s</w:t>
      </w:r>
      <w:r>
        <w:rPr>
          <w:spacing w:val="-3"/>
          <w:sz w:val="16"/>
        </w:rPr>
        <w:t> </w:t>
      </w:r>
      <w:r>
        <w:rPr>
          <w:w w:val="90"/>
          <w:sz w:val="16"/>
        </w:rPr>
        <w:t>View,</w:t>
      </w:r>
      <w:r>
        <w:rPr>
          <w:sz w:val="16"/>
        </w:rPr>
        <w:t> </w:t>
      </w:r>
      <w:r>
        <w:rPr>
          <w:w w:val="90"/>
          <w:sz w:val="16"/>
        </w:rPr>
        <w:t>P.R.</w:t>
      </w:r>
      <w:r>
        <w:rPr>
          <w:spacing w:val="1"/>
          <w:sz w:val="16"/>
        </w:rPr>
        <w:t> </w:t>
      </w:r>
      <w:r>
        <w:rPr>
          <w:spacing w:val="-2"/>
          <w:w w:val="90"/>
          <w:sz w:val="16"/>
        </w:rPr>
        <w:t>Goswami</w:t>
      </w:r>
    </w:p>
    <w:p>
      <w:pPr>
        <w:spacing w:after="0"/>
        <w:jc w:val="both"/>
        <w:rPr>
          <w:sz w:val="16"/>
        </w:rPr>
        <w:sectPr>
          <w:type w:val="continuous"/>
          <w:pgSz w:w="11910" w:h="16840"/>
          <w:pgMar w:header="0" w:footer="675" w:top="1920" w:bottom="280" w:left="0" w:right="0"/>
          <w:cols w:num="2" w:equalWidth="0">
            <w:col w:w="5774" w:space="40"/>
            <w:col w:w="6096"/>
          </w:cols>
        </w:sectPr>
      </w:pPr>
    </w:p>
    <w:p>
      <w:pPr>
        <w:pStyle w:val="Heading8"/>
        <w:spacing w:before="73"/>
      </w:pPr>
      <w:r>
        <w:rPr>
          <w:w w:val="90"/>
        </w:rPr>
        <w:t>Table</w:t>
      </w:r>
      <w:r>
        <w:rPr>
          <w:spacing w:val="2"/>
        </w:rPr>
        <w:t> </w:t>
      </w:r>
      <w:r>
        <w:rPr>
          <w:w w:val="90"/>
        </w:rPr>
        <w:t>3:</w:t>
      </w:r>
      <w:r>
        <w:rPr>
          <w:spacing w:val="2"/>
        </w:rPr>
        <w:t> </w:t>
      </w:r>
      <w:r>
        <w:rPr>
          <w:color w:val="2E614A"/>
          <w:w w:val="90"/>
        </w:rPr>
        <w:t>Existing</w:t>
      </w:r>
      <w:r>
        <w:rPr>
          <w:color w:val="2E614A"/>
          <w:spacing w:val="2"/>
        </w:rPr>
        <w:t> </w:t>
      </w:r>
      <w:r>
        <w:rPr>
          <w:color w:val="2E614A"/>
          <w:w w:val="90"/>
        </w:rPr>
        <w:t>library</w:t>
      </w:r>
      <w:r>
        <w:rPr>
          <w:color w:val="2E614A"/>
          <w:spacing w:val="2"/>
        </w:rPr>
        <w:t> </w:t>
      </w:r>
      <w:r>
        <w:rPr>
          <w:color w:val="2E614A"/>
          <w:w w:val="90"/>
        </w:rPr>
        <w:t>consortia</w:t>
      </w:r>
      <w:r>
        <w:rPr>
          <w:color w:val="2E614A"/>
          <w:spacing w:val="3"/>
        </w:rPr>
        <w:t> </w:t>
      </w:r>
      <w:r>
        <w:rPr>
          <w:color w:val="2E614A"/>
          <w:w w:val="90"/>
        </w:rPr>
        <w:t>in</w:t>
      </w:r>
      <w:r>
        <w:rPr>
          <w:color w:val="2E614A"/>
          <w:spacing w:val="2"/>
        </w:rPr>
        <w:t> </w:t>
      </w:r>
      <w:r>
        <w:rPr>
          <w:color w:val="2E614A"/>
          <w:spacing w:val="-2"/>
          <w:w w:val="90"/>
        </w:rPr>
        <w:t>India</w:t>
      </w:r>
    </w:p>
    <w:p>
      <w:pPr>
        <w:pStyle w:val="BodyText"/>
        <w:spacing w:before="3"/>
        <w:rPr>
          <w:b/>
          <w:sz w:val="10"/>
        </w:rPr>
      </w:pPr>
    </w:p>
    <w:tbl>
      <w:tblPr>
        <w:tblW w:w="0" w:type="auto"/>
        <w:jc w:val="left"/>
        <w:tblInd w:w="10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855"/>
        <w:gridCol w:w="4925"/>
      </w:tblGrid>
      <w:tr>
        <w:trPr>
          <w:trHeight w:val="1721" w:hRule="atLeast"/>
        </w:trPr>
        <w:tc>
          <w:tcPr>
            <w:tcW w:w="4855" w:type="dxa"/>
            <w:shd w:val="clear" w:color="auto" w:fill="D0D5CD"/>
          </w:tcPr>
          <w:p>
            <w:pPr>
              <w:pStyle w:val="TableParagraph"/>
              <w:spacing w:line="292" w:lineRule="auto"/>
              <w:ind w:left="90" w:right="69"/>
              <w:rPr>
                <w:sz w:val="20"/>
              </w:rPr>
            </w:pPr>
            <w:r>
              <w:rPr>
                <w:spacing w:val="-2"/>
                <w:sz w:val="20"/>
              </w:rPr>
              <w:t>Indian</w:t>
            </w:r>
            <w:r>
              <w:rPr>
                <w:spacing w:val="-11"/>
                <w:sz w:val="20"/>
              </w:rPr>
              <w:t> </w:t>
            </w:r>
            <w:r>
              <w:rPr>
                <w:spacing w:val="-2"/>
                <w:sz w:val="20"/>
              </w:rPr>
              <w:t>National</w:t>
            </w:r>
            <w:r>
              <w:rPr>
                <w:spacing w:val="-10"/>
                <w:sz w:val="20"/>
              </w:rPr>
              <w:t> </w:t>
            </w:r>
            <w:r>
              <w:rPr>
                <w:spacing w:val="-2"/>
                <w:sz w:val="20"/>
              </w:rPr>
              <w:t>Digital</w:t>
            </w:r>
            <w:r>
              <w:rPr>
                <w:spacing w:val="-11"/>
                <w:sz w:val="20"/>
              </w:rPr>
              <w:t> </w:t>
            </w:r>
            <w:r>
              <w:rPr>
                <w:spacing w:val="-2"/>
                <w:sz w:val="20"/>
              </w:rPr>
              <w:t>Library</w:t>
            </w:r>
            <w:r>
              <w:rPr>
                <w:spacing w:val="-10"/>
                <w:sz w:val="20"/>
              </w:rPr>
              <w:t> </w:t>
            </w:r>
            <w:r>
              <w:rPr>
                <w:spacing w:val="-2"/>
                <w:sz w:val="20"/>
              </w:rPr>
              <w:t>in</w:t>
            </w:r>
            <w:r>
              <w:rPr>
                <w:spacing w:val="-11"/>
                <w:sz w:val="20"/>
              </w:rPr>
              <w:t> </w:t>
            </w:r>
            <w:r>
              <w:rPr>
                <w:spacing w:val="-2"/>
                <w:sz w:val="20"/>
              </w:rPr>
              <w:t>Engineering</w:t>
            </w:r>
            <w:r>
              <w:rPr>
                <w:spacing w:val="-10"/>
                <w:sz w:val="20"/>
              </w:rPr>
              <w:t> </w:t>
            </w:r>
            <w:r>
              <w:rPr>
                <w:spacing w:val="-2"/>
                <w:sz w:val="20"/>
              </w:rPr>
              <w:t>Science</w:t>
            </w:r>
            <w:r>
              <w:rPr>
                <w:spacing w:val="-11"/>
                <w:sz w:val="20"/>
              </w:rPr>
              <w:t> </w:t>
            </w:r>
            <w:r>
              <w:rPr>
                <w:spacing w:val="-2"/>
                <w:sz w:val="20"/>
              </w:rPr>
              <w:t>and </w:t>
            </w:r>
            <w:r>
              <w:rPr>
                <w:sz w:val="20"/>
              </w:rPr>
              <w:t>Technology (INDEST) Consortium</w:t>
            </w:r>
          </w:p>
        </w:tc>
        <w:tc>
          <w:tcPr>
            <w:tcW w:w="4925" w:type="dxa"/>
            <w:shd w:val="clear" w:color="auto" w:fill="D0D5CD"/>
          </w:tcPr>
          <w:p>
            <w:pPr>
              <w:pStyle w:val="TableParagraph"/>
              <w:spacing w:line="292" w:lineRule="auto"/>
              <w:ind w:left="90" w:right="56"/>
              <w:rPr>
                <w:sz w:val="20"/>
              </w:rPr>
            </w:pPr>
            <w:r>
              <w:rPr>
                <w:sz w:val="20"/>
              </w:rPr>
              <w:t>Membership of 164 institutions – 38 core institutions </w:t>
            </w:r>
            <w:r>
              <w:rPr>
                <w:spacing w:val="-2"/>
                <w:sz w:val="20"/>
              </w:rPr>
              <w:t>funded</w:t>
            </w:r>
            <w:r>
              <w:rPr>
                <w:spacing w:val="-9"/>
                <w:sz w:val="20"/>
              </w:rPr>
              <w:t> </w:t>
            </w:r>
            <w:r>
              <w:rPr>
                <w:spacing w:val="-2"/>
                <w:sz w:val="20"/>
              </w:rPr>
              <w:t>by</w:t>
            </w:r>
            <w:r>
              <w:rPr>
                <w:spacing w:val="-9"/>
                <w:sz w:val="20"/>
              </w:rPr>
              <w:t> </w:t>
            </w:r>
            <w:r>
              <w:rPr>
                <w:spacing w:val="-2"/>
                <w:sz w:val="20"/>
              </w:rPr>
              <w:t>the</w:t>
            </w:r>
            <w:r>
              <w:rPr>
                <w:spacing w:val="-9"/>
                <w:sz w:val="20"/>
              </w:rPr>
              <w:t> </w:t>
            </w:r>
            <w:r>
              <w:rPr>
                <w:spacing w:val="-2"/>
                <w:sz w:val="20"/>
              </w:rPr>
              <w:t>Ministry</w:t>
            </w:r>
            <w:r>
              <w:rPr>
                <w:spacing w:val="-9"/>
                <w:sz w:val="20"/>
              </w:rPr>
              <w:t> </w:t>
            </w:r>
            <w:r>
              <w:rPr>
                <w:spacing w:val="-2"/>
                <w:sz w:val="20"/>
              </w:rPr>
              <w:t>of</w:t>
            </w:r>
            <w:r>
              <w:rPr>
                <w:spacing w:val="-9"/>
                <w:sz w:val="20"/>
              </w:rPr>
              <w:t> </w:t>
            </w:r>
            <w:r>
              <w:rPr>
                <w:spacing w:val="-2"/>
                <w:sz w:val="20"/>
              </w:rPr>
              <w:t>Human</w:t>
            </w:r>
            <w:r>
              <w:rPr>
                <w:spacing w:val="-9"/>
                <w:sz w:val="20"/>
              </w:rPr>
              <w:t> </w:t>
            </w:r>
            <w:r>
              <w:rPr>
                <w:spacing w:val="-2"/>
                <w:sz w:val="20"/>
              </w:rPr>
              <w:t>Resource</w:t>
            </w:r>
            <w:r>
              <w:rPr>
                <w:spacing w:val="-9"/>
                <w:sz w:val="20"/>
              </w:rPr>
              <w:t> </w:t>
            </w:r>
            <w:r>
              <w:rPr>
                <w:spacing w:val="-2"/>
                <w:sz w:val="20"/>
              </w:rPr>
              <w:t>Development, </w:t>
            </w:r>
            <w:r>
              <w:rPr>
                <w:sz w:val="20"/>
              </w:rPr>
              <w:t>Government of India, 44 institutions by the All</w:t>
            </w:r>
          </w:p>
          <w:p>
            <w:pPr>
              <w:pStyle w:val="TableParagraph"/>
              <w:spacing w:line="280" w:lineRule="atLeast" w:before="228"/>
              <w:ind w:left="90" w:right="56"/>
              <w:rPr>
                <w:sz w:val="20"/>
              </w:rPr>
            </w:pPr>
            <w:r>
              <w:rPr>
                <w:spacing w:val="-2"/>
                <w:sz w:val="20"/>
              </w:rPr>
              <w:t>India</w:t>
            </w:r>
            <w:r>
              <w:rPr>
                <w:spacing w:val="-13"/>
                <w:sz w:val="20"/>
              </w:rPr>
              <w:t> </w:t>
            </w:r>
            <w:r>
              <w:rPr>
                <w:spacing w:val="-2"/>
                <w:sz w:val="20"/>
              </w:rPr>
              <w:t>Council</w:t>
            </w:r>
            <w:r>
              <w:rPr>
                <w:spacing w:val="-10"/>
                <w:sz w:val="20"/>
              </w:rPr>
              <w:t> </w:t>
            </w:r>
            <w:r>
              <w:rPr>
                <w:spacing w:val="-2"/>
                <w:sz w:val="20"/>
              </w:rPr>
              <w:t>of</w:t>
            </w:r>
            <w:r>
              <w:rPr>
                <w:spacing w:val="-11"/>
                <w:sz w:val="20"/>
              </w:rPr>
              <w:t> </w:t>
            </w:r>
            <w:r>
              <w:rPr>
                <w:spacing w:val="-2"/>
                <w:sz w:val="20"/>
              </w:rPr>
              <w:t>Technical</w:t>
            </w:r>
            <w:r>
              <w:rPr>
                <w:spacing w:val="-10"/>
                <w:sz w:val="20"/>
              </w:rPr>
              <w:t> </w:t>
            </w:r>
            <w:r>
              <w:rPr>
                <w:spacing w:val="-2"/>
                <w:sz w:val="20"/>
              </w:rPr>
              <w:t>Education</w:t>
            </w:r>
            <w:r>
              <w:rPr>
                <w:spacing w:val="-11"/>
                <w:sz w:val="20"/>
              </w:rPr>
              <w:t> </w:t>
            </w:r>
            <w:r>
              <w:rPr>
                <w:spacing w:val="-2"/>
                <w:sz w:val="20"/>
              </w:rPr>
              <w:t>(AICTE)</w:t>
            </w:r>
            <w:r>
              <w:rPr>
                <w:spacing w:val="-10"/>
                <w:sz w:val="20"/>
              </w:rPr>
              <w:t> </w:t>
            </w:r>
            <w:r>
              <w:rPr>
                <w:spacing w:val="-2"/>
                <w:sz w:val="20"/>
              </w:rPr>
              <w:t>and</w:t>
            </w:r>
            <w:r>
              <w:rPr>
                <w:spacing w:val="-11"/>
                <w:sz w:val="20"/>
              </w:rPr>
              <w:t> </w:t>
            </w:r>
            <w:r>
              <w:rPr>
                <w:spacing w:val="-2"/>
                <w:sz w:val="20"/>
              </w:rPr>
              <w:t>82</w:t>
            </w:r>
            <w:r>
              <w:rPr>
                <w:spacing w:val="-10"/>
                <w:sz w:val="20"/>
              </w:rPr>
              <w:t> </w:t>
            </w:r>
            <w:r>
              <w:rPr>
                <w:spacing w:val="-2"/>
                <w:sz w:val="20"/>
              </w:rPr>
              <w:t>self- </w:t>
            </w:r>
            <w:r>
              <w:rPr>
                <w:sz w:val="20"/>
              </w:rPr>
              <w:t>supporting institutions)</w:t>
            </w:r>
          </w:p>
        </w:tc>
      </w:tr>
      <w:tr>
        <w:trPr>
          <w:trHeight w:val="601" w:hRule="atLeast"/>
        </w:trPr>
        <w:tc>
          <w:tcPr>
            <w:tcW w:w="4855" w:type="dxa"/>
            <w:shd w:val="clear" w:color="auto" w:fill="E9E9E9"/>
          </w:tcPr>
          <w:p>
            <w:pPr>
              <w:pStyle w:val="TableParagraph"/>
              <w:spacing w:line="280" w:lineRule="exact" w:before="9"/>
              <w:ind w:left="90" w:right="626"/>
              <w:rPr>
                <w:sz w:val="20"/>
              </w:rPr>
            </w:pPr>
            <w:r>
              <w:rPr>
                <w:spacing w:val="-4"/>
                <w:sz w:val="20"/>
              </w:rPr>
              <w:t>Council for Scientific and Industrial Research </w:t>
            </w:r>
            <w:r>
              <w:rPr>
                <w:spacing w:val="-4"/>
                <w:sz w:val="20"/>
              </w:rPr>
              <w:t>(CSIR) </w:t>
            </w:r>
            <w:r>
              <w:rPr>
                <w:sz w:val="20"/>
              </w:rPr>
              <w:t>e-Journals Consortium</w:t>
            </w:r>
          </w:p>
        </w:tc>
        <w:tc>
          <w:tcPr>
            <w:tcW w:w="4925" w:type="dxa"/>
            <w:shd w:val="clear" w:color="auto" w:fill="E9E9E9"/>
          </w:tcPr>
          <w:p>
            <w:pPr>
              <w:pStyle w:val="TableParagraph"/>
              <w:ind w:left="90"/>
              <w:rPr>
                <w:sz w:val="20"/>
              </w:rPr>
            </w:pPr>
            <w:r>
              <w:rPr>
                <w:sz w:val="20"/>
              </w:rPr>
              <w:t>Funded</w:t>
            </w:r>
            <w:r>
              <w:rPr>
                <w:spacing w:val="-12"/>
                <w:sz w:val="20"/>
              </w:rPr>
              <w:t> </w:t>
            </w:r>
            <w:r>
              <w:rPr>
                <w:sz w:val="20"/>
              </w:rPr>
              <w:t>by</w:t>
            </w:r>
            <w:r>
              <w:rPr>
                <w:spacing w:val="-11"/>
                <w:sz w:val="20"/>
              </w:rPr>
              <w:t> </w:t>
            </w:r>
            <w:r>
              <w:rPr>
                <w:sz w:val="20"/>
              </w:rPr>
              <w:t>the</w:t>
            </w:r>
            <w:r>
              <w:rPr>
                <w:spacing w:val="-11"/>
                <w:sz w:val="20"/>
              </w:rPr>
              <w:t> </w:t>
            </w:r>
            <w:r>
              <w:rPr>
                <w:sz w:val="20"/>
              </w:rPr>
              <w:t>CSIR</w:t>
            </w:r>
            <w:r>
              <w:rPr>
                <w:spacing w:val="-11"/>
                <w:sz w:val="20"/>
              </w:rPr>
              <w:t> </w:t>
            </w:r>
            <w:r>
              <w:rPr>
                <w:sz w:val="20"/>
              </w:rPr>
              <w:t>for</w:t>
            </w:r>
            <w:r>
              <w:rPr>
                <w:spacing w:val="-11"/>
                <w:sz w:val="20"/>
              </w:rPr>
              <w:t> </w:t>
            </w:r>
            <w:r>
              <w:rPr>
                <w:sz w:val="20"/>
              </w:rPr>
              <w:t>its</w:t>
            </w:r>
            <w:r>
              <w:rPr>
                <w:spacing w:val="-11"/>
                <w:sz w:val="20"/>
              </w:rPr>
              <w:t> </w:t>
            </w:r>
            <w:r>
              <w:rPr>
                <w:sz w:val="20"/>
              </w:rPr>
              <w:t>all</w:t>
            </w:r>
            <w:r>
              <w:rPr>
                <w:spacing w:val="-12"/>
                <w:sz w:val="20"/>
              </w:rPr>
              <w:t> </w:t>
            </w:r>
            <w:r>
              <w:rPr>
                <w:sz w:val="20"/>
              </w:rPr>
              <w:t>its</w:t>
            </w:r>
            <w:r>
              <w:rPr>
                <w:spacing w:val="-11"/>
                <w:sz w:val="20"/>
              </w:rPr>
              <w:t> </w:t>
            </w:r>
            <w:r>
              <w:rPr>
                <w:sz w:val="20"/>
              </w:rPr>
              <w:t>44</w:t>
            </w:r>
            <w:r>
              <w:rPr>
                <w:spacing w:val="-11"/>
                <w:sz w:val="20"/>
              </w:rPr>
              <w:t> </w:t>
            </w:r>
            <w:r>
              <w:rPr>
                <w:spacing w:val="-4"/>
                <w:sz w:val="20"/>
              </w:rPr>
              <w:t>labs</w:t>
            </w:r>
          </w:p>
        </w:tc>
      </w:tr>
      <w:tr>
        <w:trPr>
          <w:trHeight w:val="601" w:hRule="atLeast"/>
        </w:trPr>
        <w:tc>
          <w:tcPr>
            <w:tcW w:w="4855" w:type="dxa"/>
            <w:shd w:val="clear" w:color="auto" w:fill="D0D5CD"/>
          </w:tcPr>
          <w:p>
            <w:pPr>
              <w:pStyle w:val="TableParagraph"/>
              <w:spacing w:line="280" w:lineRule="exact" w:before="9"/>
              <w:ind w:left="90" w:right="69"/>
              <w:rPr>
                <w:sz w:val="20"/>
              </w:rPr>
            </w:pPr>
            <w:r>
              <w:rPr>
                <w:spacing w:val="-4"/>
                <w:sz w:val="20"/>
              </w:rPr>
              <w:t>University Grants Commission (UGC) </w:t>
            </w:r>
            <w:r>
              <w:rPr>
                <w:spacing w:val="-4"/>
                <w:sz w:val="20"/>
              </w:rPr>
              <w:t>e-Journals </w:t>
            </w:r>
            <w:r>
              <w:rPr>
                <w:spacing w:val="-2"/>
                <w:sz w:val="20"/>
              </w:rPr>
              <w:t>Consortium</w:t>
            </w:r>
          </w:p>
        </w:tc>
        <w:tc>
          <w:tcPr>
            <w:tcW w:w="4925" w:type="dxa"/>
            <w:shd w:val="clear" w:color="auto" w:fill="D0D5CD"/>
          </w:tcPr>
          <w:p>
            <w:pPr>
              <w:pStyle w:val="TableParagraph"/>
              <w:spacing w:line="280" w:lineRule="exact" w:before="9"/>
              <w:ind w:left="90" w:right="56"/>
              <w:rPr>
                <w:sz w:val="20"/>
              </w:rPr>
            </w:pPr>
            <w:r>
              <w:rPr>
                <w:spacing w:val="-2"/>
                <w:sz w:val="20"/>
              </w:rPr>
              <w:t>Funded</w:t>
            </w:r>
            <w:r>
              <w:rPr>
                <w:spacing w:val="-8"/>
                <w:sz w:val="20"/>
              </w:rPr>
              <w:t> </w:t>
            </w:r>
            <w:r>
              <w:rPr>
                <w:spacing w:val="-2"/>
                <w:sz w:val="20"/>
              </w:rPr>
              <w:t>by</w:t>
            </w:r>
            <w:r>
              <w:rPr>
                <w:spacing w:val="-8"/>
                <w:sz w:val="20"/>
              </w:rPr>
              <w:t> </w:t>
            </w:r>
            <w:r>
              <w:rPr>
                <w:spacing w:val="-2"/>
                <w:sz w:val="20"/>
              </w:rPr>
              <w:t>the</w:t>
            </w:r>
            <w:r>
              <w:rPr>
                <w:spacing w:val="-8"/>
                <w:sz w:val="20"/>
              </w:rPr>
              <w:t> </w:t>
            </w:r>
            <w:r>
              <w:rPr>
                <w:spacing w:val="-2"/>
                <w:sz w:val="20"/>
              </w:rPr>
              <w:t>UGC</w:t>
            </w:r>
            <w:r>
              <w:rPr>
                <w:spacing w:val="-8"/>
                <w:sz w:val="20"/>
              </w:rPr>
              <w:t> </w:t>
            </w:r>
            <w:r>
              <w:rPr>
                <w:spacing w:val="-2"/>
                <w:sz w:val="20"/>
              </w:rPr>
              <w:t>for</w:t>
            </w:r>
            <w:r>
              <w:rPr>
                <w:spacing w:val="-8"/>
                <w:sz w:val="20"/>
              </w:rPr>
              <w:t> </w:t>
            </w:r>
            <w:r>
              <w:rPr>
                <w:spacing w:val="-2"/>
                <w:sz w:val="20"/>
              </w:rPr>
              <w:t>100</w:t>
            </w:r>
            <w:r>
              <w:rPr>
                <w:spacing w:val="-8"/>
                <w:sz w:val="20"/>
              </w:rPr>
              <w:t> </w:t>
            </w:r>
            <w:r>
              <w:rPr>
                <w:spacing w:val="-2"/>
                <w:sz w:val="20"/>
              </w:rPr>
              <w:t>universities</w:t>
            </w:r>
            <w:r>
              <w:rPr>
                <w:spacing w:val="-8"/>
                <w:sz w:val="20"/>
              </w:rPr>
              <w:t> </w:t>
            </w:r>
            <w:r>
              <w:rPr>
                <w:spacing w:val="-2"/>
                <w:sz w:val="20"/>
              </w:rPr>
              <w:t>and</w:t>
            </w:r>
            <w:r>
              <w:rPr>
                <w:spacing w:val="-8"/>
                <w:sz w:val="20"/>
              </w:rPr>
              <w:t> </w:t>
            </w:r>
            <w:r>
              <w:rPr>
                <w:spacing w:val="-2"/>
                <w:sz w:val="20"/>
              </w:rPr>
              <w:t>being</w:t>
            </w:r>
            <w:r>
              <w:rPr>
                <w:spacing w:val="-8"/>
                <w:sz w:val="20"/>
              </w:rPr>
              <w:t> </w:t>
            </w:r>
            <w:r>
              <w:rPr>
                <w:spacing w:val="-2"/>
                <w:sz w:val="20"/>
              </w:rPr>
              <w:t>extended </w:t>
            </w:r>
            <w:r>
              <w:rPr>
                <w:sz w:val="20"/>
              </w:rPr>
              <w:t>to other universities and colleges</w:t>
            </w:r>
          </w:p>
        </w:tc>
      </w:tr>
      <w:tr>
        <w:trPr>
          <w:trHeight w:val="321" w:hRule="atLeast"/>
        </w:trPr>
        <w:tc>
          <w:tcPr>
            <w:tcW w:w="4855" w:type="dxa"/>
            <w:shd w:val="clear" w:color="auto" w:fill="E9E9E9"/>
          </w:tcPr>
          <w:p>
            <w:pPr>
              <w:pStyle w:val="TableParagraph"/>
              <w:ind w:left="90"/>
              <w:rPr>
                <w:sz w:val="20"/>
              </w:rPr>
            </w:pPr>
            <w:r>
              <w:rPr>
                <w:spacing w:val="-6"/>
                <w:sz w:val="20"/>
              </w:rPr>
              <w:t>DAE</w:t>
            </w:r>
            <w:r>
              <w:rPr>
                <w:spacing w:val="4"/>
                <w:sz w:val="20"/>
              </w:rPr>
              <w:t> </w:t>
            </w:r>
            <w:r>
              <w:rPr>
                <w:spacing w:val="-6"/>
                <w:sz w:val="20"/>
              </w:rPr>
              <w:t>e-Journals</w:t>
            </w:r>
            <w:r>
              <w:rPr>
                <w:spacing w:val="4"/>
                <w:sz w:val="20"/>
              </w:rPr>
              <w:t> </w:t>
            </w:r>
            <w:r>
              <w:rPr>
                <w:spacing w:val="-6"/>
                <w:sz w:val="20"/>
              </w:rPr>
              <w:t>Consortium</w:t>
            </w:r>
          </w:p>
        </w:tc>
        <w:tc>
          <w:tcPr>
            <w:tcW w:w="4925" w:type="dxa"/>
            <w:shd w:val="clear" w:color="auto" w:fill="E9E9E9"/>
          </w:tcPr>
          <w:p>
            <w:pPr>
              <w:pStyle w:val="TableParagraph"/>
              <w:ind w:left="90"/>
              <w:rPr>
                <w:sz w:val="20"/>
              </w:rPr>
            </w:pPr>
            <w:r>
              <w:rPr>
                <w:sz w:val="20"/>
              </w:rPr>
              <w:t>For</w:t>
            </w:r>
            <w:r>
              <w:rPr>
                <w:spacing w:val="-12"/>
                <w:sz w:val="20"/>
              </w:rPr>
              <w:t> </w:t>
            </w:r>
            <w:r>
              <w:rPr>
                <w:sz w:val="20"/>
              </w:rPr>
              <w:t>36</w:t>
            </w:r>
            <w:r>
              <w:rPr>
                <w:spacing w:val="-12"/>
                <w:sz w:val="20"/>
              </w:rPr>
              <w:t> </w:t>
            </w:r>
            <w:r>
              <w:rPr>
                <w:sz w:val="20"/>
              </w:rPr>
              <w:t>institutions</w:t>
            </w:r>
            <w:r>
              <w:rPr>
                <w:spacing w:val="-12"/>
                <w:sz w:val="20"/>
              </w:rPr>
              <w:t> </w:t>
            </w:r>
            <w:r>
              <w:rPr>
                <w:sz w:val="20"/>
              </w:rPr>
              <w:t>under</w:t>
            </w:r>
            <w:r>
              <w:rPr>
                <w:spacing w:val="-12"/>
                <w:sz w:val="20"/>
              </w:rPr>
              <w:t> </w:t>
            </w:r>
            <w:r>
              <w:rPr>
                <w:sz w:val="20"/>
              </w:rPr>
              <w:t>Department</w:t>
            </w:r>
            <w:r>
              <w:rPr>
                <w:spacing w:val="-12"/>
                <w:sz w:val="20"/>
              </w:rPr>
              <w:t> </w:t>
            </w:r>
            <w:r>
              <w:rPr>
                <w:sz w:val="20"/>
              </w:rPr>
              <w:t>of</w:t>
            </w:r>
            <w:r>
              <w:rPr>
                <w:spacing w:val="-12"/>
                <w:sz w:val="20"/>
              </w:rPr>
              <w:t> </w:t>
            </w:r>
            <w:r>
              <w:rPr>
                <w:sz w:val="20"/>
              </w:rPr>
              <w:t>Atomic</w:t>
            </w:r>
            <w:r>
              <w:rPr>
                <w:spacing w:val="-12"/>
                <w:sz w:val="20"/>
              </w:rPr>
              <w:t> </w:t>
            </w:r>
            <w:r>
              <w:rPr>
                <w:spacing w:val="-2"/>
                <w:sz w:val="20"/>
              </w:rPr>
              <w:t>Energy</w:t>
            </w:r>
          </w:p>
        </w:tc>
      </w:tr>
    </w:tbl>
    <w:p>
      <w:pPr>
        <w:spacing w:before="53"/>
        <w:ind w:left="1079" w:right="0" w:firstLine="0"/>
        <w:jc w:val="left"/>
        <w:rPr>
          <w:sz w:val="16"/>
        </w:rPr>
      </w:pPr>
      <w:r>
        <w:rPr>
          <w:i/>
          <w:spacing w:val="-4"/>
          <w:sz w:val="16"/>
        </w:rPr>
        <w:t>Source:</w:t>
      </w:r>
      <w:r>
        <w:rPr>
          <w:i/>
          <w:spacing w:val="-1"/>
          <w:sz w:val="16"/>
        </w:rPr>
        <w:t> </w:t>
      </w:r>
      <w:r>
        <w:rPr>
          <w:spacing w:val="-4"/>
          <w:sz w:val="16"/>
        </w:rPr>
        <w:t>Higher</w:t>
      </w:r>
      <w:r>
        <w:rPr>
          <w:spacing w:val="-1"/>
          <w:sz w:val="16"/>
        </w:rPr>
        <w:t> </w:t>
      </w:r>
      <w:r>
        <w:rPr>
          <w:spacing w:val="-4"/>
          <w:sz w:val="16"/>
        </w:rPr>
        <w:t>Education</w:t>
      </w:r>
      <w:r>
        <w:rPr>
          <w:sz w:val="16"/>
        </w:rPr>
        <w:t> </w:t>
      </w:r>
      <w:r>
        <w:rPr>
          <w:spacing w:val="-4"/>
          <w:sz w:val="16"/>
        </w:rPr>
        <w:t>in</w:t>
      </w:r>
      <w:r>
        <w:rPr>
          <w:spacing w:val="-1"/>
          <w:sz w:val="16"/>
        </w:rPr>
        <w:t> </w:t>
      </w:r>
      <w:r>
        <w:rPr>
          <w:spacing w:val="-4"/>
          <w:sz w:val="16"/>
        </w:rPr>
        <w:t>India,</w:t>
      </w:r>
      <w:r>
        <w:rPr>
          <w:sz w:val="16"/>
        </w:rPr>
        <w:t> </w:t>
      </w:r>
      <w:r>
        <w:rPr>
          <w:spacing w:val="-4"/>
          <w:sz w:val="16"/>
        </w:rPr>
        <w:t>Pawan</w:t>
      </w:r>
      <w:r>
        <w:rPr>
          <w:spacing w:val="-1"/>
          <w:sz w:val="16"/>
        </w:rPr>
        <w:t> </w:t>
      </w:r>
      <w:r>
        <w:rPr>
          <w:spacing w:val="-4"/>
          <w:sz w:val="16"/>
        </w:rPr>
        <w:t>Aggarwal,</w:t>
      </w:r>
      <w:r>
        <w:rPr>
          <w:sz w:val="16"/>
        </w:rPr>
        <w:t> </w:t>
      </w:r>
      <w:r>
        <w:rPr>
          <w:spacing w:val="-4"/>
          <w:sz w:val="16"/>
        </w:rPr>
        <w:t>ICRIER,</w:t>
      </w:r>
      <w:r>
        <w:rPr>
          <w:spacing w:val="-1"/>
          <w:sz w:val="16"/>
        </w:rPr>
        <w:t> </w:t>
      </w:r>
      <w:r>
        <w:rPr>
          <w:spacing w:val="-4"/>
          <w:sz w:val="16"/>
        </w:rPr>
        <w:t>2006</w:t>
      </w:r>
    </w:p>
    <w:p>
      <w:pPr>
        <w:pStyle w:val="BodyText"/>
        <w:rPr>
          <w:sz w:val="24"/>
        </w:rPr>
      </w:pPr>
    </w:p>
    <w:p>
      <w:pPr>
        <w:pStyle w:val="BodyText"/>
        <w:spacing w:before="38"/>
        <w:rPr>
          <w:sz w:val="24"/>
        </w:rPr>
      </w:pPr>
    </w:p>
    <w:p>
      <w:pPr>
        <w:pStyle w:val="Heading8"/>
        <w:ind w:left="2001"/>
      </w:pPr>
      <w:r>
        <w:rPr/>
        <mc:AlternateContent>
          <mc:Choice Requires="wps">
            <w:drawing>
              <wp:anchor distT="0" distB="0" distL="0" distR="0" allowOverlap="1" layoutInCell="1" locked="0" behindDoc="0" simplePos="0" relativeHeight="15796736">
                <wp:simplePos x="0" y="0"/>
                <wp:positionH relativeFrom="page">
                  <wp:posOffset>1273952</wp:posOffset>
                </wp:positionH>
                <wp:positionV relativeFrom="paragraph">
                  <wp:posOffset>226324</wp:posOffset>
                </wp:positionV>
                <wp:extent cx="5039360" cy="2274570"/>
                <wp:effectExtent l="0" t="0" r="0" b="0"/>
                <wp:wrapNone/>
                <wp:docPr id="1064" name="Group 1064"/>
                <wp:cNvGraphicFramePr>
                  <a:graphicFrameLocks/>
                </wp:cNvGraphicFramePr>
                <a:graphic>
                  <a:graphicData uri="http://schemas.microsoft.com/office/word/2010/wordprocessingGroup">
                    <wpg:wgp>
                      <wpg:cNvPr id="1064" name="Group 1064"/>
                      <wpg:cNvGrpSpPr/>
                      <wpg:grpSpPr>
                        <a:xfrm>
                          <a:off x="0" y="0"/>
                          <a:ext cx="5039360" cy="2274570"/>
                          <a:chExt cx="5039360" cy="2274570"/>
                        </a:xfrm>
                      </wpg:grpSpPr>
                      <wps:wsp>
                        <wps:cNvPr id="1065" name="Graphic 1065"/>
                        <wps:cNvSpPr/>
                        <wps:spPr>
                          <a:xfrm>
                            <a:off x="-2" y="0"/>
                            <a:ext cx="5039360" cy="2274570"/>
                          </a:xfrm>
                          <a:custGeom>
                            <a:avLst/>
                            <a:gdLst/>
                            <a:ahLst/>
                            <a:cxnLst/>
                            <a:rect l="l" t="t" r="r" b="b"/>
                            <a:pathLst>
                              <a:path w="5039360" h="2274570">
                                <a:moveTo>
                                  <a:pt x="4927130" y="1627466"/>
                                </a:moveTo>
                                <a:lnTo>
                                  <a:pt x="4927016" y="1624342"/>
                                </a:lnTo>
                                <a:lnTo>
                                  <a:pt x="597649" y="1624342"/>
                                </a:lnTo>
                                <a:lnTo>
                                  <a:pt x="597649" y="222897"/>
                                </a:lnTo>
                                <a:lnTo>
                                  <a:pt x="591299" y="222897"/>
                                </a:lnTo>
                                <a:lnTo>
                                  <a:pt x="591299" y="225539"/>
                                </a:lnTo>
                                <a:lnTo>
                                  <a:pt x="543242" y="225539"/>
                                </a:lnTo>
                                <a:lnTo>
                                  <a:pt x="543242" y="231889"/>
                                </a:lnTo>
                                <a:lnTo>
                                  <a:pt x="591299" y="231889"/>
                                </a:lnTo>
                                <a:lnTo>
                                  <a:pt x="591299" y="425361"/>
                                </a:lnTo>
                                <a:lnTo>
                                  <a:pt x="543242" y="425361"/>
                                </a:lnTo>
                                <a:lnTo>
                                  <a:pt x="543242" y="431711"/>
                                </a:lnTo>
                                <a:lnTo>
                                  <a:pt x="591299" y="431711"/>
                                </a:lnTo>
                                <a:lnTo>
                                  <a:pt x="591299" y="625195"/>
                                </a:lnTo>
                                <a:lnTo>
                                  <a:pt x="543242" y="625195"/>
                                </a:lnTo>
                                <a:lnTo>
                                  <a:pt x="543242" y="631545"/>
                                </a:lnTo>
                                <a:lnTo>
                                  <a:pt x="591299" y="631545"/>
                                </a:lnTo>
                                <a:lnTo>
                                  <a:pt x="591299" y="825030"/>
                                </a:lnTo>
                                <a:lnTo>
                                  <a:pt x="543242" y="825030"/>
                                </a:lnTo>
                                <a:lnTo>
                                  <a:pt x="543242" y="831380"/>
                                </a:lnTo>
                                <a:lnTo>
                                  <a:pt x="591299" y="831380"/>
                                </a:lnTo>
                                <a:lnTo>
                                  <a:pt x="591299" y="1024851"/>
                                </a:lnTo>
                                <a:lnTo>
                                  <a:pt x="543242" y="1024851"/>
                                </a:lnTo>
                                <a:lnTo>
                                  <a:pt x="543242" y="1031201"/>
                                </a:lnTo>
                                <a:lnTo>
                                  <a:pt x="591299" y="1031201"/>
                                </a:lnTo>
                                <a:lnTo>
                                  <a:pt x="591299" y="1224686"/>
                                </a:lnTo>
                                <a:lnTo>
                                  <a:pt x="543242" y="1224686"/>
                                </a:lnTo>
                                <a:lnTo>
                                  <a:pt x="543242" y="1231036"/>
                                </a:lnTo>
                                <a:lnTo>
                                  <a:pt x="591299" y="1231036"/>
                                </a:lnTo>
                                <a:lnTo>
                                  <a:pt x="591299" y="1424508"/>
                                </a:lnTo>
                                <a:lnTo>
                                  <a:pt x="543242" y="1424508"/>
                                </a:lnTo>
                                <a:lnTo>
                                  <a:pt x="543242" y="1430858"/>
                                </a:lnTo>
                                <a:lnTo>
                                  <a:pt x="591299" y="1430858"/>
                                </a:lnTo>
                                <a:lnTo>
                                  <a:pt x="591299" y="1624342"/>
                                </a:lnTo>
                                <a:lnTo>
                                  <a:pt x="542455" y="1624342"/>
                                </a:lnTo>
                                <a:lnTo>
                                  <a:pt x="542455" y="1630692"/>
                                </a:lnTo>
                                <a:lnTo>
                                  <a:pt x="591299" y="1630692"/>
                                </a:lnTo>
                                <a:lnTo>
                                  <a:pt x="591299" y="1678317"/>
                                </a:lnTo>
                                <a:lnTo>
                                  <a:pt x="597649" y="1678317"/>
                                </a:lnTo>
                                <a:lnTo>
                                  <a:pt x="597649" y="1630692"/>
                                </a:lnTo>
                                <a:lnTo>
                                  <a:pt x="1073581" y="1630692"/>
                                </a:lnTo>
                                <a:lnTo>
                                  <a:pt x="1073581" y="1678266"/>
                                </a:lnTo>
                                <a:lnTo>
                                  <a:pt x="1079931" y="1678266"/>
                                </a:lnTo>
                                <a:lnTo>
                                  <a:pt x="1079931" y="1630692"/>
                                </a:lnTo>
                                <a:lnTo>
                                  <a:pt x="1554480" y="1630692"/>
                                </a:lnTo>
                                <a:lnTo>
                                  <a:pt x="1554480" y="1678266"/>
                                </a:lnTo>
                                <a:lnTo>
                                  <a:pt x="1560830" y="1678266"/>
                                </a:lnTo>
                                <a:lnTo>
                                  <a:pt x="1560830" y="1630692"/>
                                </a:lnTo>
                                <a:lnTo>
                                  <a:pt x="2035378" y="1630692"/>
                                </a:lnTo>
                                <a:lnTo>
                                  <a:pt x="2035378" y="1678266"/>
                                </a:lnTo>
                                <a:lnTo>
                                  <a:pt x="2041728" y="1678266"/>
                                </a:lnTo>
                                <a:lnTo>
                                  <a:pt x="2041728" y="1630692"/>
                                </a:lnTo>
                                <a:lnTo>
                                  <a:pt x="2516289" y="1630692"/>
                                </a:lnTo>
                                <a:lnTo>
                                  <a:pt x="2516289" y="1678266"/>
                                </a:lnTo>
                                <a:lnTo>
                                  <a:pt x="2522639" y="1678266"/>
                                </a:lnTo>
                                <a:lnTo>
                                  <a:pt x="2522639" y="1630692"/>
                                </a:lnTo>
                                <a:lnTo>
                                  <a:pt x="2997187" y="1630692"/>
                                </a:lnTo>
                                <a:lnTo>
                                  <a:pt x="2997187" y="1678266"/>
                                </a:lnTo>
                                <a:lnTo>
                                  <a:pt x="3003537" y="1678266"/>
                                </a:lnTo>
                                <a:lnTo>
                                  <a:pt x="3003537" y="1630692"/>
                                </a:lnTo>
                                <a:lnTo>
                                  <a:pt x="3478085" y="1630692"/>
                                </a:lnTo>
                                <a:lnTo>
                                  <a:pt x="3478085" y="1678266"/>
                                </a:lnTo>
                                <a:lnTo>
                                  <a:pt x="3484435" y="1678266"/>
                                </a:lnTo>
                                <a:lnTo>
                                  <a:pt x="3484435" y="1630692"/>
                                </a:lnTo>
                                <a:lnTo>
                                  <a:pt x="3958983" y="1630692"/>
                                </a:lnTo>
                                <a:lnTo>
                                  <a:pt x="3958983" y="1678266"/>
                                </a:lnTo>
                                <a:lnTo>
                                  <a:pt x="3965333" y="1678266"/>
                                </a:lnTo>
                                <a:lnTo>
                                  <a:pt x="3965333" y="1630692"/>
                                </a:lnTo>
                                <a:lnTo>
                                  <a:pt x="4439882" y="1630692"/>
                                </a:lnTo>
                                <a:lnTo>
                                  <a:pt x="4439882" y="1678266"/>
                                </a:lnTo>
                                <a:lnTo>
                                  <a:pt x="4446232" y="1678266"/>
                                </a:lnTo>
                                <a:lnTo>
                                  <a:pt x="4446232" y="1630692"/>
                                </a:lnTo>
                                <a:lnTo>
                                  <a:pt x="4920780" y="1630692"/>
                                </a:lnTo>
                                <a:lnTo>
                                  <a:pt x="4920780" y="1678266"/>
                                </a:lnTo>
                                <a:lnTo>
                                  <a:pt x="4927130" y="1678266"/>
                                </a:lnTo>
                                <a:lnTo>
                                  <a:pt x="4927130" y="1627466"/>
                                </a:lnTo>
                                <a:close/>
                              </a:path>
                              <a:path w="5039360" h="2274570">
                                <a:moveTo>
                                  <a:pt x="5039042" y="0"/>
                                </a:moveTo>
                                <a:lnTo>
                                  <a:pt x="5032692" y="0"/>
                                </a:lnTo>
                                <a:lnTo>
                                  <a:pt x="5032692" y="6502"/>
                                </a:lnTo>
                                <a:lnTo>
                                  <a:pt x="5032692" y="2268220"/>
                                </a:lnTo>
                                <a:lnTo>
                                  <a:pt x="5032692" y="2268613"/>
                                </a:lnTo>
                                <a:lnTo>
                                  <a:pt x="5032692" y="2271788"/>
                                </a:lnTo>
                                <a:lnTo>
                                  <a:pt x="5032692" y="2272030"/>
                                </a:lnTo>
                                <a:lnTo>
                                  <a:pt x="3175" y="2272030"/>
                                </a:lnTo>
                                <a:lnTo>
                                  <a:pt x="3175" y="2271788"/>
                                </a:lnTo>
                                <a:lnTo>
                                  <a:pt x="6350" y="2271788"/>
                                </a:lnTo>
                                <a:lnTo>
                                  <a:pt x="5032692" y="2271788"/>
                                </a:lnTo>
                                <a:lnTo>
                                  <a:pt x="5032692" y="2268613"/>
                                </a:lnTo>
                                <a:lnTo>
                                  <a:pt x="6350" y="2268613"/>
                                </a:lnTo>
                                <a:lnTo>
                                  <a:pt x="3175" y="2268613"/>
                                </a:lnTo>
                                <a:lnTo>
                                  <a:pt x="3175" y="2268220"/>
                                </a:lnTo>
                                <a:lnTo>
                                  <a:pt x="6350" y="2268220"/>
                                </a:lnTo>
                                <a:lnTo>
                                  <a:pt x="6350" y="6502"/>
                                </a:lnTo>
                                <a:lnTo>
                                  <a:pt x="5032692" y="6502"/>
                                </a:lnTo>
                                <a:lnTo>
                                  <a:pt x="5032692" y="0"/>
                                </a:lnTo>
                                <a:lnTo>
                                  <a:pt x="0" y="0"/>
                                </a:lnTo>
                                <a:lnTo>
                                  <a:pt x="0" y="3810"/>
                                </a:lnTo>
                                <a:lnTo>
                                  <a:pt x="0" y="6350"/>
                                </a:lnTo>
                                <a:lnTo>
                                  <a:pt x="0" y="2268220"/>
                                </a:lnTo>
                                <a:lnTo>
                                  <a:pt x="0" y="2272030"/>
                                </a:lnTo>
                                <a:lnTo>
                                  <a:pt x="0" y="2274570"/>
                                </a:lnTo>
                                <a:lnTo>
                                  <a:pt x="5039042" y="2274570"/>
                                </a:lnTo>
                                <a:lnTo>
                                  <a:pt x="5039042" y="2272030"/>
                                </a:lnTo>
                                <a:lnTo>
                                  <a:pt x="5035867" y="2272030"/>
                                </a:lnTo>
                                <a:lnTo>
                                  <a:pt x="5035867" y="2271788"/>
                                </a:lnTo>
                                <a:lnTo>
                                  <a:pt x="5039042" y="2271788"/>
                                </a:lnTo>
                                <a:lnTo>
                                  <a:pt x="5039042" y="2268613"/>
                                </a:lnTo>
                                <a:lnTo>
                                  <a:pt x="5035867" y="2268613"/>
                                </a:lnTo>
                                <a:lnTo>
                                  <a:pt x="5035867" y="2268220"/>
                                </a:lnTo>
                                <a:lnTo>
                                  <a:pt x="5039042" y="2268220"/>
                                </a:lnTo>
                                <a:lnTo>
                                  <a:pt x="5039042" y="6502"/>
                                </a:lnTo>
                                <a:lnTo>
                                  <a:pt x="5039042" y="6350"/>
                                </a:lnTo>
                                <a:lnTo>
                                  <a:pt x="5039042" y="3810"/>
                                </a:lnTo>
                                <a:lnTo>
                                  <a:pt x="5039042" y="3327"/>
                                </a:lnTo>
                                <a:lnTo>
                                  <a:pt x="5039042" y="0"/>
                                </a:lnTo>
                                <a:close/>
                              </a:path>
                            </a:pathLst>
                          </a:custGeom>
                          <a:solidFill>
                            <a:srgbClr val="000000"/>
                          </a:solidFill>
                        </wps:spPr>
                        <wps:bodyPr wrap="square" lIns="0" tIns="0" rIns="0" bIns="0" rtlCol="0">
                          <a:prstTxWarp prst="textNoShape">
                            <a:avLst/>
                          </a:prstTxWarp>
                          <a:noAutofit/>
                        </wps:bodyPr>
                      </wps:wsp>
                      <wps:wsp>
                        <wps:cNvPr id="1066" name="Graphic 1066"/>
                        <wps:cNvSpPr/>
                        <wps:spPr>
                          <a:xfrm>
                            <a:off x="694750" y="314169"/>
                            <a:ext cx="136525" cy="1310005"/>
                          </a:xfrm>
                          <a:custGeom>
                            <a:avLst/>
                            <a:gdLst/>
                            <a:ahLst/>
                            <a:cxnLst/>
                            <a:rect l="l" t="t" r="r" b="b"/>
                            <a:pathLst>
                              <a:path w="136525" h="1310005">
                                <a:moveTo>
                                  <a:pt x="136525" y="0"/>
                                </a:moveTo>
                                <a:lnTo>
                                  <a:pt x="0" y="0"/>
                                </a:lnTo>
                                <a:lnTo>
                                  <a:pt x="0" y="1309687"/>
                                </a:lnTo>
                                <a:lnTo>
                                  <a:pt x="136525" y="1309687"/>
                                </a:lnTo>
                                <a:lnTo>
                                  <a:pt x="136525" y="0"/>
                                </a:lnTo>
                                <a:close/>
                              </a:path>
                            </a:pathLst>
                          </a:custGeom>
                          <a:solidFill>
                            <a:srgbClr val="2E614A"/>
                          </a:solidFill>
                        </wps:spPr>
                        <wps:bodyPr wrap="square" lIns="0" tIns="0" rIns="0" bIns="0" rtlCol="0">
                          <a:prstTxWarp prst="textNoShape">
                            <a:avLst/>
                          </a:prstTxWarp>
                          <a:noAutofit/>
                        </wps:bodyPr>
                      </wps:wsp>
                      <wps:wsp>
                        <wps:cNvPr id="1067" name="Graphic 1067"/>
                        <wps:cNvSpPr/>
                        <wps:spPr>
                          <a:xfrm>
                            <a:off x="830901" y="411323"/>
                            <a:ext cx="136525" cy="1212850"/>
                          </a:xfrm>
                          <a:custGeom>
                            <a:avLst/>
                            <a:gdLst/>
                            <a:ahLst/>
                            <a:cxnLst/>
                            <a:rect l="l" t="t" r="r" b="b"/>
                            <a:pathLst>
                              <a:path w="136525" h="1212850">
                                <a:moveTo>
                                  <a:pt x="136525" y="0"/>
                                </a:moveTo>
                                <a:lnTo>
                                  <a:pt x="0" y="0"/>
                                </a:lnTo>
                                <a:lnTo>
                                  <a:pt x="0" y="1212532"/>
                                </a:lnTo>
                                <a:lnTo>
                                  <a:pt x="136525" y="1212532"/>
                                </a:lnTo>
                                <a:lnTo>
                                  <a:pt x="136525" y="0"/>
                                </a:lnTo>
                                <a:close/>
                              </a:path>
                            </a:pathLst>
                          </a:custGeom>
                          <a:solidFill>
                            <a:srgbClr val="E3C626"/>
                          </a:solidFill>
                        </wps:spPr>
                        <wps:bodyPr wrap="square" lIns="0" tIns="0" rIns="0" bIns="0" rtlCol="0">
                          <a:prstTxWarp prst="textNoShape">
                            <a:avLst/>
                          </a:prstTxWarp>
                          <a:noAutofit/>
                        </wps:bodyPr>
                      </wps:wsp>
                      <wps:wsp>
                        <wps:cNvPr id="1068" name="Graphic 1068"/>
                        <wps:cNvSpPr/>
                        <wps:spPr>
                          <a:xfrm>
                            <a:off x="1175591" y="1022353"/>
                            <a:ext cx="136525" cy="601980"/>
                          </a:xfrm>
                          <a:custGeom>
                            <a:avLst/>
                            <a:gdLst/>
                            <a:ahLst/>
                            <a:cxnLst/>
                            <a:rect l="l" t="t" r="r" b="b"/>
                            <a:pathLst>
                              <a:path w="136525" h="601980">
                                <a:moveTo>
                                  <a:pt x="136525" y="0"/>
                                </a:moveTo>
                                <a:lnTo>
                                  <a:pt x="0" y="0"/>
                                </a:lnTo>
                                <a:lnTo>
                                  <a:pt x="0" y="601503"/>
                                </a:lnTo>
                                <a:lnTo>
                                  <a:pt x="136525" y="601503"/>
                                </a:lnTo>
                                <a:lnTo>
                                  <a:pt x="136525" y="0"/>
                                </a:lnTo>
                                <a:close/>
                              </a:path>
                            </a:pathLst>
                          </a:custGeom>
                          <a:solidFill>
                            <a:srgbClr val="2E614A"/>
                          </a:solidFill>
                        </wps:spPr>
                        <wps:bodyPr wrap="square" lIns="0" tIns="0" rIns="0" bIns="0" rtlCol="0">
                          <a:prstTxWarp prst="textNoShape">
                            <a:avLst/>
                          </a:prstTxWarp>
                          <a:noAutofit/>
                        </wps:bodyPr>
                      </wps:wsp>
                      <wps:wsp>
                        <wps:cNvPr id="1069" name="Graphic 1069"/>
                        <wps:cNvSpPr/>
                        <wps:spPr>
                          <a:xfrm>
                            <a:off x="1311741" y="862332"/>
                            <a:ext cx="136525" cy="762000"/>
                          </a:xfrm>
                          <a:custGeom>
                            <a:avLst/>
                            <a:gdLst/>
                            <a:ahLst/>
                            <a:cxnLst/>
                            <a:rect l="l" t="t" r="r" b="b"/>
                            <a:pathLst>
                              <a:path w="136525" h="762000">
                                <a:moveTo>
                                  <a:pt x="136525" y="0"/>
                                </a:moveTo>
                                <a:lnTo>
                                  <a:pt x="0" y="0"/>
                                </a:lnTo>
                                <a:lnTo>
                                  <a:pt x="0" y="761524"/>
                                </a:lnTo>
                                <a:lnTo>
                                  <a:pt x="136525" y="761524"/>
                                </a:lnTo>
                                <a:lnTo>
                                  <a:pt x="136525" y="0"/>
                                </a:lnTo>
                                <a:close/>
                              </a:path>
                            </a:pathLst>
                          </a:custGeom>
                          <a:solidFill>
                            <a:srgbClr val="E3C626"/>
                          </a:solidFill>
                        </wps:spPr>
                        <wps:bodyPr wrap="square" lIns="0" tIns="0" rIns="0" bIns="0" rtlCol="0">
                          <a:prstTxWarp prst="textNoShape">
                            <a:avLst/>
                          </a:prstTxWarp>
                          <a:noAutofit/>
                        </wps:bodyPr>
                      </wps:wsp>
                      <wps:wsp>
                        <wps:cNvPr id="1070" name="Graphic 1070"/>
                        <wps:cNvSpPr/>
                        <wps:spPr>
                          <a:xfrm>
                            <a:off x="1656432" y="1270955"/>
                            <a:ext cx="136525" cy="353060"/>
                          </a:xfrm>
                          <a:custGeom>
                            <a:avLst/>
                            <a:gdLst/>
                            <a:ahLst/>
                            <a:cxnLst/>
                            <a:rect l="l" t="t" r="r" b="b"/>
                            <a:pathLst>
                              <a:path w="136525" h="353060">
                                <a:moveTo>
                                  <a:pt x="136525" y="0"/>
                                </a:moveTo>
                                <a:lnTo>
                                  <a:pt x="0" y="0"/>
                                </a:lnTo>
                                <a:lnTo>
                                  <a:pt x="0" y="352901"/>
                                </a:lnTo>
                                <a:lnTo>
                                  <a:pt x="136525" y="352901"/>
                                </a:lnTo>
                                <a:lnTo>
                                  <a:pt x="136525" y="0"/>
                                </a:lnTo>
                                <a:close/>
                              </a:path>
                            </a:pathLst>
                          </a:custGeom>
                          <a:solidFill>
                            <a:srgbClr val="2E614A"/>
                          </a:solidFill>
                        </wps:spPr>
                        <wps:bodyPr wrap="square" lIns="0" tIns="0" rIns="0" bIns="0" rtlCol="0">
                          <a:prstTxWarp prst="textNoShape">
                            <a:avLst/>
                          </a:prstTxWarp>
                          <a:noAutofit/>
                        </wps:bodyPr>
                      </wps:wsp>
                      <wps:wsp>
                        <wps:cNvPr id="1071" name="Graphic 1071"/>
                        <wps:cNvSpPr/>
                        <wps:spPr>
                          <a:xfrm>
                            <a:off x="1792582" y="1412401"/>
                            <a:ext cx="136525" cy="211454"/>
                          </a:xfrm>
                          <a:custGeom>
                            <a:avLst/>
                            <a:gdLst/>
                            <a:ahLst/>
                            <a:cxnLst/>
                            <a:rect l="l" t="t" r="r" b="b"/>
                            <a:pathLst>
                              <a:path w="136525" h="211454">
                                <a:moveTo>
                                  <a:pt x="136525" y="0"/>
                                </a:moveTo>
                                <a:lnTo>
                                  <a:pt x="0" y="0"/>
                                </a:lnTo>
                                <a:lnTo>
                                  <a:pt x="0" y="211455"/>
                                </a:lnTo>
                                <a:lnTo>
                                  <a:pt x="136525" y="211455"/>
                                </a:lnTo>
                                <a:lnTo>
                                  <a:pt x="136525" y="0"/>
                                </a:lnTo>
                                <a:close/>
                              </a:path>
                            </a:pathLst>
                          </a:custGeom>
                          <a:solidFill>
                            <a:srgbClr val="E3C626"/>
                          </a:solidFill>
                        </wps:spPr>
                        <wps:bodyPr wrap="square" lIns="0" tIns="0" rIns="0" bIns="0" rtlCol="0">
                          <a:prstTxWarp prst="textNoShape">
                            <a:avLst/>
                          </a:prstTxWarp>
                          <a:noAutofit/>
                        </wps:bodyPr>
                      </wps:wsp>
                      <wps:wsp>
                        <wps:cNvPr id="1072" name="Graphic 1072"/>
                        <wps:cNvSpPr/>
                        <wps:spPr>
                          <a:xfrm>
                            <a:off x="2137272" y="1500984"/>
                            <a:ext cx="136525" cy="123189"/>
                          </a:xfrm>
                          <a:custGeom>
                            <a:avLst/>
                            <a:gdLst/>
                            <a:ahLst/>
                            <a:cxnLst/>
                            <a:rect l="l" t="t" r="r" b="b"/>
                            <a:pathLst>
                              <a:path w="136525" h="123189">
                                <a:moveTo>
                                  <a:pt x="136525" y="0"/>
                                </a:moveTo>
                                <a:lnTo>
                                  <a:pt x="0" y="0"/>
                                </a:lnTo>
                                <a:lnTo>
                                  <a:pt x="0" y="122872"/>
                                </a:lnTo>
                                <a:lnTo>
                                  <a:pt x="136525" y="122872"/>
                                </a:lnTo>
                                <a:lnTo>
                                  <a:pt x="136525" y="0"/>
                                </a:lnTo>
                                <a:close/>
                              </a:path>
                            </a:pathLst>
                          </a:custGeom>
                          <a:solidFill>
                            <a:srgbClr val="2E614A"/>
                          </a:solidFill>
                        </wps:spPr>
                        <wps:bodyPr wrap="square" lIns="0" tIns="0" rIns="0" bIns="0" rtlCol="0">
                          <a:prstTxWarp prst="textNoShape">
                            <a:avLst/>
                          </a:prstTxWarp>
                          <a:noAutofit/>
                        </wps:bodyPr>
                      </wps:wsp>
                      <wps:wsp>
                        <wps:cNvPr id="1073" name="Graphic 1073"/>
                        <wps:cNvSpPr/>
                        <wps:spPr>
                          <a:xfrm>
                            <a:off x="2273422" y="1509556"/>
                            <a:ext cx="136525" cy="114300"/>
                          </a:xfrm>
                          <a:custGeom>
                            <a:avLst/>
                            <a:gdLst/>
                            <a:ahLst/>
                            <a:cxnLst/>
                            <a:rect l="l" t="t" r="r" b="b"/>
                            <a:pathLst>
                              <a:path w="136525" h="114300">
                                <a:moveTo>
                                  <a:pt x="136525" y="0"/>
                                </a:moveTo>
                                <a:lnTo>
                                  <a:pt x="0" y="0"/>
                                </a:lnTo>
                                <a:lnTo>
                                  <a:pt x="0" y="114300"/>
                                </a:lnTo>
                                <a:lnTo>
                                  <a:pt x="136525" y="114300"/>
                                </a:lnTo>
                                <a:lnTo>
                                  <a:pt x="136525" y="0"/>
                                </a:lnTo>
                                <a:close/>
                              </a:path>
                            </a:pathLst>
                          </a:custGeom>
                          <a:solidFill>
                            <a:srgbClr val="E3C626"/>
                          </a:solidFill>
                        </wps:spPr>
                        <wps:bodyPr wrap="square" lIns="0" tIns="0" rIns="0" bIns="0" rtlCol="0">
                          <a:prstTxWarp prst="textNoShape">
                            <a:avLst/>
                          </a:prstTxWarp>
                          <a:noAutofit/>
                        </wps:bodyPr>
                      </wps:wsp>
                      <wps:wsp>
                        <wps:cNvPr id="1074" name="Graphic 1074"/>
                        <wps:cNvSpPr/>
                        <wps:spPr>
                          <a:xfrm>
                            <a:off x="2618113" y="1554367"/>
                            <a:ext cx="136525" cy="69850"/>
                          </a:xfrm>
                          <a:custGeom>
                            <a:avLst/>
                            <a:gdLst/>
                            <a:ahLst/>
                            <a:cxnLst/>
                            <a:rect l="l" t="t" r="r" b="b"/>
                            <a:pathLst>
                              <a:path w="136525" h="69850">
                                <a:moveTo>
                                  <a:pt x="136525" y="0"/>
                                </a:moveTo>
                                <a:lnTo>
                                  <a:pt x="0" y="0"/>
                                </a:lnTo>
                                <a:lnTo>
                                  <a:pt x="0" y="69489"/>
                                </a:lnTo>
                                <a:lnTo>
                                  <a:pt x="136525" y="69489"/>
                                </a:lnTo>
                                <a:lnTo>
                                  <a:pt x="136525" y="0"/>
                                </a:lnTo>
                                <a:close/>
                              </a:path>
                            </a:pathLst>
                          </a:custGeom>
                          <a:solidFill>
                            <a:srgbClr val="2E614A"/>
                          </a:solidFill>
                        </wps:spPr>
                        <wps:bodyPr wrap="square" lIns="0" tIns="0" rIns="0" bIns="0" rtlCol="0">
                          <a:prstTxWarp prst="textNoShape">
                            <a:avLst/>
                          </a:prstTxWarp>
                          <a:noAutofit/>
                        </wps:bodyPr>
                      </wps:wsp>
                      <wps:wsp>
                        <wps:cNvPr id="1075" name="Graphic 1075"/>
                        <wps:cNvSpPr/>
                        <wps:spPr>
                          <a:xfrm>
                            <a:off x="2754263" y="1554367"/>
                            <a:ext cx="136525" cy="69850"/>
                          </a:xfrm>
                          <a:custGeom>
                            <a:avLst/>
                            <a:gdLst/>
                            <a:ahLst/>
                            <a:cxnLst/>
                            <a:rect l="l" t="t" r="r" b="b"/>
                            <a:pathLst>
                              <a:path w="136525" h="69850">
                                <a:moveTo>
                                  <a:pt x="136525" y="0"/>
                                </a:moveTo>
                                <a:lnTo>
                                  <a:pt x="0" y="0"/>
                                </a:lnTo>
                                <a:lnTo>
                                  <a:pt x="0" y="69489"/>
                                </a:lnTo>
                                <a:lnTo>
                                  <a:pt x="136525" y="69489"/>
                                </a:lnTo>
                                <a:lnTo>
                                  <a:pt x="136525" y="0"/>
                                </a:lnTo>
                                <a:close/>
                              </a:path>
                            </a:pathLst>
                          </a:custGeom>
                          <a:solidFill>
                            <a:srgbClr val="E3C626"/>
                          </a:solidFill>
                        </wps:spPr>
                        <wps:bodyPr wrap="square" lIns="0" tIns="0" rIns="0" bIns="0" rtlCol="0">
                          <a:prstTxWarp prst="textNoShape">
                            <a:avLst/>
                          </a:prstTxWarp>
                          <a:noAutofit/>
                        </wps:bodyPr>
                      </wps:wsp>
                      <wps:wsp>
                        <wps:cNvPr id="1076" name="Graphic 1076"/>
                        <wps:cNvSpPr/>
                        <wps:spPr>
                          <a:xfrm>
                            <a:off x="3098954" y="1572421"/>
                            <a:ext cx="136525" cy="51435"/>
                          </a:xfrm>
                          <a:custGeom>
                            <a:avLst/>
                            <a:gdLst/>
                            <a:ahLst/>
                            <a:cxnLst/>
                            <a:rect l="l" t="t" r="r" b="b"/>
                            <a:pathLst>
                              <a:path w="136525" h="51435">
                                <a:moveTo>
                                  <a:pt x="136525" y="0"/>
                                </a:moveTo>
                                <a:lnTo>
                                  <a:pt x="0" y="0"/>
                                </a:lnTo>
                                <a:lnTo>
                                  <a:pt x="0" y="51434"/>
                                </a:lnTo>
                                <a:lnTo>
                                  <a:pt x="136525" y="51434"/>
                                </a:lnTo>
                                <a:lnTo>
                                  <a:pt x="136525" y="0"/>
                                </a:lnTo>
                                <a:close/>
                              </a:path>
                            </a:pathLst>
                          </a:custGeom>
                          <a:solidFill>
                            <a:srgbClr val="2E614A"/>
                          </a:solidFill>
                        </wps:spPr>
                        <wps:bodyPr wrap="square" lIns="0" tIns="0" rIns="0" bIns="0" rtlCol="0">
                          <a:prstTxWarp prst="textNoShape">
                            <a:avLst/>
                          </a:prstTxWarp>
                          <a:noAutofit/>
                        </wps:bodyPr>
                      </wps:wsp>
                      <wps:wsp>
                        <wps:cNvPr id="1077" name="Graphic 1077"/>
                        <wps:cNvSpPr/>
                        <wps:spPr>
                          <a:xfrm>
                            <a:off x="3235104" y="1616063"/>
                            <a:ext cx="136525" cy="8255"/>
                          </a:xfrm>
                          <a:custGeom>
                            <a:avLst/>
                            <a:gdLst/>
                            <a:ahLst/>
                            <a:cxnLst/>
                            <a:rect l="l" t="t" r="r" b="b"/>
                            <a:pathLst>
                              <a:path w="136525" h="8255">
                                <a:moveTo>
                                  <a:pt x="136525" y="0"/>
                                </a:moveTo>
                                <a:lnTo>
                                  <a:pt x="0" y="0"/>
                                </a:lnTo>
                                <a:lnTo>
                                  <a:pt x="0" y="7793"/>
                                </a:lnTo>
                                <a:lnTo>
                                  <a:pt x="136525" y="7793"/>
                                </a:lnTo>
                                <a:lnTo>
                                  <a:pt x="136525" y="0"/>
                                </a:lnTo>
                                <a:close/>
                              </a:path>
                            </a:pathLst>
                          </a:custGeom>
                          <a:solidFill>
                            <a:srgbClr val="E3C626"/>
                          </a:solidFill>
                        </wps:spPr>
                        <wps:bodyPr wrap="square" lIns="0" tIns="0" rIns="0" bIns="0" rtlCol="0">
                          <a:prstTxWarp prst="textNoShape">
                            <a:avLst/>
                          </a:prstTxWarp>
                          <a:noAutofit/>
                        </wps:bodyPr>
                      </wps:wsp>
                      <wps:wsp>
                        <wps:cNvPr id="1078" name="Graphic 1078"/>
                        <wps:cNvSpPr/>
                        <wps:spPr>
                          <a:xfrm>
                            <a:off x="3579794" y="1571707"/>
                            <a:ext cx="136525" cy="52705"/>
                          </a:xfrm>
                          <a:custGeom>
                            <a:avLst/>
                            <a:gdLst/>
                            <a:ahLst/>
                            <a:cxnLst/>
                            <a:rect l="l" t="t" r="r" b="b"/>
                            <a:pathLst>
                              <a:path w="136525" h="52705">
                                <a:moveTo>
                                  <a:pt x="136525" y="0"/>
                                </a:moveTo>
                                <a:lnTo>
                                  <a:pt x="0" y="0"/>
                                </a:lnTo>
                                <a:lnTo>
                                  <a:pt x="0" y="52149"/>
                                </a:lnTo>
                                <a:lnTo>
                                  <a:pt x="136525" y="52149"/>
                                </a:lnTo>
                                <a:lnTo>
                                  <a:pt x="136525" y="0"/>
                                </a:lnTo>
                                <a:close/>
                              </a:path>
                            </a:pathLst>
                          </a:custGeom>
                          <a:solidFill>
                            <a:srgbClr val="2E614A"/>
                          </a:solidFill>
                        </wps:spPr>
                        <wps:bodyPr wrap="square" lIns="0" tIns="0" rIns="0" bIns="0" rtlCol="0">
                          <a:prstTxWarp prst="textNoShape">
                            <a:avLst/>
                          </a:prstTxWarp>
                          <a:noAutofit/>
                        </wps:bodyPr>
                      </wps:wsp>
                      <wps:wsp>
                        <wps:cNvPr id="1079" name="Graphic 1079"/>
                        <wps:cNvSpPr/>
                        <wps:spPr>
                          <a:xfrm>
                            <a:off x="3715944" y="1615413"/>
                            <a:ext cx="136525" cy="8890"/>
                          </a:xfrm>
                          <a:custGeom>
                            <a:avLst/>
                            <a:gdLst/>
                            <a:ahLst/>
                            <a:cxnLst/>
                            <a:rect l="l" t="t" r="r" b="b"/>
                            <a:pathLst>
                              <a:path w="136525" h="8890">
                                <a:moveTo>
                                  <a:pt x="136525" y="0"/>
                                </a:moveTo>
                                <a:lnTo>
                                  <a:pt x="0" y="0"/>
                                </a:lnTo>
                                <a:lnTo>
                                  <a:pt x="0" y="8442"/>
                                </a:lnTo>
                                <a:lnTo>
                                  <a:pt x="136525" y="8442"/>
                                </a:lnTo>
                                <a:lnTo>
                                  <a:pt x="136525" y="0"/>
                                </a:lnTo>
                                <a:close/>
                              </a:path>
                            </a:pathLst>
                          </a:custGeom>
                          <a:solidFill>
                            <a:srgbClr val="E3C626"/>
                          </a:solidFill>
                        </wps:spPr>
                        <wps:bodyPr wrap="square" lIns="0" tIns="0" rIns="0" bIns="0" rtlCol="0">
                          <a:prstTxWarp prst="textNoShape">
                            <a:avLst/>
                          </a:prstTxWarp>
                          <a:noAutofit/>
                        </wps:bodyPr>
                      </wps:wsp>
                      <wps:wsp>
                        <wps:cNvPr id="1080" name="Graphic 1080"/>
                        <wps:cNvSpPr/>
                        <wps:spPr>
                          <a:xfrm>
                            <a:off x="4060635" y="1598138"/>
                            <a:ext cx="136525" cy="26034"/>
                          </a:xfrm>
                          <a:custGeom>
                            <a:avLst/>
                            <a:gdLst/>
                            <a:ahLst/>
                            <a:cxnLst/>
                            <a:rect l="l" t="t" r="r" b="b"/>
                            <a:pathLst>
                              <a:path w="136525" h="26034">
                                <a:moveTo>
                                  <a:pt x="136525" y="0"/>
                                </a:moveTo>
                                <a:lnTo>
                                  <a:pt x="0" y="0"/>
                                </a:lnTo>
                                <a:lnTo>
                                  <a:pt x="0" y="25717"/>
                                </a:lnTo>
                                <a:lnTo>
                                  <a:pt x="136525" y="25717"/>
                                </a:lnTo>
                                <a:lnTo>
                                  <a:pt x="136525" y="0"/>
                                </a:lnTo>
                                <a:close/>
                              </a:path>
                            </a:pathLst>
                          </a:custGeom>
                          <a:solidFill>
                            <a:srgbClr val="2E614A"/>
                          </a:solidFill>
                        </wps:spPr>
                        <wps:bodyPr wrap="square" lIns="0" tIns="0" rIns="0" bIns="0" rtlCol="0">
                          <a:prstTxWarp prst="textNoShape">
                            <a:avLst/>
                          </a:prstTxWarp>
                          <a:noAutofit/>
                        </wps:bodyPr>
                      </wps:wsp>
                      <wps:wsp>
                        <wps:cNvPr id="1081" name="Graphic 1081"/>
                        <wps:cNvSpPr/>
                        <wps:spPr>
                          <a:xfrm>
                            <a:off x="4196784" y="1607425"/>
                            <a:ext cx="136525" cy="16510"/>
                          </a:xfrm>
                          <a:custGeom>
                            <a:avLst/>
                            <a:gdLst/>
                            <a:ahLst/>
                            <a:cxnLst/>
                            <a:rect l="l" t="t" r="r" b="b"/>
                            <a:pathLst>
                              <a:path w="136525" h="16510">
                                <a:moveTo>
                                  <a:pt x="136525" y="0"/>
                                </a:moveTo>
                                <a:lnTo>
                                  <a:pt x="0" y="0"/>
                                </a:lnTo>
                                <a:lnTo>
                                  <a:pt x="0" y="16430"/>
                                </a:lnTo>
                                <a:lnTo>
                                  <a:pt x="136525" y="16430"/>
                                </a:lnTo>
                                <a:lnTo>
                                  <a:pt x="136525" y="0"/>
                                </a:lnTo>
                                <a:close/>
                              </a:path>
                            </a:pathLst>
                          </a:custGeom>
                          <a:solidFill>
                            <a:srgbClr val="E3C626"/>
                          </a:solidFill>
                        </wps:spPr>
                        <wps:bodyPr wrap="square" lIns="0" tIns="0" rIns="0" bIns="0" rtlCol="0">
                          <a:prstTxWarp prst="textNoShape">
                            <a:avLst/>
                          </a:prstTxWarp>
                          <a:noAutofit/>
                        </wps:bodyPr>
                      </wps:wsp>
                      <wps:wsp>
                        <wps:cNvPr id="1082" name="Graphic 1082"/>
                        <wps:cNvSpPr/>
                        <wps:spPr>
                          <a:xfrm>
                            <a:off x="4541475" y="1598853"/>
                            <a:ext cx="136525" cy="25400"/>
                          </a:xfrm>
                          <a:custGeom>
                            <a:avLst/>
                            <a:gdLst/>
                            <a:ahLst/>
                            <a:cxnLst/>
                            <a:rect l="l" t="t" r="r" b="b"/>
                            <a:pathLst>
                              <a:path w="136525" h="25400">
                                <a:moveTo>
                                  <a:pt x="136525" y="0"/>
                                </a:moveTo>
                                <a:lnTo>
                                  <a:pt x="0" y="0"/>
                                </a:lnTo>
                                <a:lnTo>
                                  <a:pt x="0" y="25003"/>
                                </a:lnTo>
                                <a:lnTo>
                                  <a:pt x="136525" y="25003"/>
                                </a:lnTo>
                                <a:lnTo>
                                  <a:pt x="136525" y="0"/>
                                </a:lnTo>
                                <a:close/>
                              </a:path>
                            </a:pathLst>
                          </a:custGeom>
                          <a:solidFill>
                            <a:srgbClr val="2E614A"/>
                          </a:solidFill>
                        </wps:spPr>
                        <wps:bodyPr wrap="square" lIns="0" tIns="0" rIns="0" bIns="0" rtlCol="0">
                          <a:prstTxWarp prst="textNoShape">
                            <a:avLst/>
                          </a:prstTxWarp>
                          <a:noAutofit/>
                        </wps:bodyPr>
                      </wps:wsp>
                      <wps:wsp>
                        <wps:cNvPr id="1083" name="Graphic 1083"/>
                        <wps:cNvSpPr/>
                        <wps:spPr>
                          <a:xfrm>
                            <a:off x="4677625" y="1615413"/>
                            <a:ext cx="136525" cy="8890"/>
                          </a:xfrm>
                          <a:custGeom>
                            <a:avLst/>
                            <a:gdLst/>
                            <a:ahLst/>
                            <a:cxnLst/>
                            <a:rect l="l" t="t" r="r" b="b"/>
                            <a:pathLst>
                              <a:path w="136525" h="8890">
                                <a:moveTo>
                                  <a:pt x="136525" y="0"/>
                                </a:moveTo>
                                <a:lnTo>
                                  <a:pt x="0" y="0"/>
                                </a:lnTo>
                                <a:lnTo>
                                  <a:pt x="0" y="8442"/>
                                </a:lnTo>
                                <a:lnTo>
                                  <a:pt x="136525" y="8442"/>
                                </a:lnTo>
                                <a:lnTo>
                                  <a:pt x="136525" y="0"/>
                                </a:lnTo>
                                <a:close/>
                              </a:path>
                            </a:pathLst>
                          </a:custGeom>
                          <a:solidFill>
                            <a:srgbClr val="E3C626"/>
                          </a:solidFill>
                        </wps:spPr>
                        <wps:bodyPr wrap="square" lIns="0" tIns="0" rIns="0" bIns="0" rtlCol="0">
                          <a:prstTxWarp prst="textNoShape">
                            <a:avLst/>
                          </a:prstTxWarp>
                          <a:noAutofit/>
                        </wps:bodyPr>
                      </wps:wsp>
                      <wps:wsp>
                        <wps:cNvPr id="1084" name="Graphic 1084"/>
                        <wps:cNvSpPr/>
                        <wps:spPr>
                          <a:xfrm>
                            <a:off x="3811866" y="275794"/>
                            <a:ext cx="103505" cy="94615"/>
                          </a:xfrm>
                          <a:custGeom>
                            <a:avLst/>
                            <a:gdLst/>
                            <a:ahLst/>
                            <a:cxnLst/>
                            <a:rect l="l" t="t" r="r" b="b"/>
                            <a:pathLst>
                              <a:path w="103505" h="94615">
                                <a:moveTo>
                                  <a:pt x="103349" y="0"/>
                                </a:moveTo>
                                <a:lnTo>
                                  <a:pt x="0" y="0"/>
                                </a:lnTo>
                                <a:lnTo>
                                  <a:pt x="0" y="94391"/>
                                </a:lnTo>
                                <a:lnTo>
                                  <a:pt x="103349" y="94391"/>
                                </a:lnTo>
                                <a:lnTo>
                                  <a:pt x="103349" y="0"/>
                                </a:lnTo>
                                <a:close/>
                              </a:path>
                            </a:pathLst>
                          </a:custGeom>
                          <a:solidFill>
                            <a:srgbClr val="2E614A"/>
                          </a:solidFill>
                        </wps:spPr>
                        <wps:bodyPr wrap="square" lIns="0" tIns="0" rIns="0" bIns="0" rtlCol="0">
                          <a:prstTxWarp prst="textNoShape">
                            <a:avLst/>
                          </a:prstTxWarp>
                          <a:noAutofit/>
                        </wps:bodyPr>
                      </wps:wsp>
                      <wps:wsp>
                        <wps:cNvPr id="1085" name="Graphic 1085"/>
                        <wps:cNvSpPr/>
                        <wps:spPr>
                          <a:xfrm>
                            <a:off x="3811866" y="468026"/>
                            <a:ext cx="104775" cy="95885"/>
                          </a:xfrm>
                          <a:custGeom>
                            <a:avLst/>
                            <a:gdLst/>
                            <a:ahLst/>
                            <a:cxnLst/>
                            <a:rect l="l" t="t" r="r" b="b"/>
                            <a:pathLst>
                              <a:path w="104775" h="95885">
                                <a:moveTo>
                                  <a:pt x="104368" y="0"/>
                                </a:moveTo>
                                <a:lnTo>
                                  <a:pt x="0" y="0"/>
                                </a:lnTo>
                                <a:lnTo>
                                  <a:pt x="0" y="95322"/>
                                </a:lnTo>
                                <a:lnTo>
                                  <a:pt x="104368" y="95322"/>
                                </a:lnTo>
                                <a:lnTo>
                                  <a:pt x="104368" y="0"/>
                                </a:lnTo>
                                <a:close/>
                              </a:path>
                            </a:pathLst>
                          </a:custGeom>
                          <a:solidFill>
                            <a:srgbClr val="E3C626"/>
                          </a:solidFill>
                        </wps:spPr>
                        <wps:bodyPr wrap="square" lIns="0" tIns="0" rIns="0" bIns="0" rtlCol="0">
                          <a:prstTxWarp prst="textNoShape">
                            <a:avLst/>
                          </a:prstTxWarp>
                          <a:noAutofit/>
                        </wps:bodyPr>
                      </wps:wsp>
                      <wps:wsp>
                        <wps:cNvPr id="1086" name="Textbox 1086"/>
                        <wps:cNvSpPr txBox="1"/>
                        <wps:spPr>
                          <a:xfrm>
                            <a:off x="324326" y="191103"/>
                            <a:ext cx="215900" cy="47942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14000</w:t>
                              </w:r>
                            </w:p>
                            <w:p>
                              <w:pPr>
                                <w:spacing w:before="142"/>
                                <w:ind w:left="0" w:right="0" w:firstLine="0"/>
                                <w:jc w:val="left"/>
                                <w:rPr>
                                  <w:rFonts w:ascii="Arial MT"/>
                                  <w:sz w:val="14"/>
                                </w:rPr>
                              </w:pPr>
                              <w:r>
                                <w:rPr>
                                  <w:rFonts w:ascii="Arial MT"/>
                                  <w:spacing w:val="-2"/>
                                  <w:w w:val="85"/>
                                  <w:sz w:val="14"/>
                                </w:rPr>
                                <w:t>12000</w:t>
                              </w:r>
                            </w:p>
                            <w:p>
                              <w:pPr>
                                <w:spacing w:before="130"/>
                                <w:ind w:left="0" w:right="0" w:firstLine="0"/>
                                <w:jc w:val="left"/>
                                <w:rPr>
                                  <w:rFonts w:ascii="Arial MT"/>
                                  <w:sz w:val="14"/>
                                </w:rPr>
                              </w:pPr>
                              <w:r>
                                <w:rPr>
                                  <w:rFonts w:ascii="Arial MT"/>
                                  <w:spacing w:val="-2"/>
                                  <w:w w:val="85"/>
                                  <w:sz w:val="14"/>
                                </w:rPr>
                                <w:t>10000</w:t>
                              </w:r>
                            </w:p>
                          </w:txbxContent>
                        </wps:txbx>
                        <wps:bodyPr wrap="square" lIns="0" tIns="0" rIns="0" bIns="0" rtlCol="0">
                          <a:noAutofit/>
                        </wps:bodyPr>
                      </wps:wsp>
                      <wps:wsp>
                        <wps:cNvPr id="1087" name="Textbox 1087"/>
                        <wps:cNvSpPr txBox="1"/>
                        <wps:spPr>
                          <a:xfrm>
                            <a:off x="4004116" y="256768"/>
                            <a:ext cx="835660" cy="305435"/>
                          </a:xfrm>
                          <a:prstGeom prst="rect">
                            <a:avLst/>
                          </a:prstGeom>
                        </wps:spPr>
                        <wps:txbx>
                          <w:txbxContent>
                            <w:p>
                              <w:pPr>
                                <w:spacing w:line="161" w:lineRule="exact" w:before="0"/>
                                <w:ind w:left="0" w:right="0" w:firstLine="0"/>
                                <w:jc w:val="left"/>
                                <w:rPr>
                                  <w:rFonts w:ascii="Arial MT"/>
                                  <w:sz w:val="14"/>
                                </w:rPr>
                              </w:pPr>
                              <w:r>
                                <w:rPr>
                                  <w:rFonts w:ascii="Arial MT"/>
                                  <w:w w:val="80"/>
                                  <w:sz w:val="14"/>
                                </w:rPr>
                                <w:t>Approved</w:t>
                              </w:r>
                              <w:r>
                                <w:rPr>
                                  <w:rFonts w:ascii="Arial MT"/>
                                  <w:spacing w:val="4"/>
                                  <w:sz w:val="14"/>
                                </w:rPr>
                                <w:t> </w:t>
                              </w:r>
                              <w:r>
                                <w:rPr>
                                  <w:rFonts w:ascii="Arial MT"/>
                                  <w:spacing w:val="-2"/>
                                  <w:w w:val="90"/>
                                  <w:sz w:val="14"/>
                                </w:rPr>
                                <w:t>outlay</w:t>
                              </w:r>
                            </w:p>
                            <w:p>
                              <w:pPr>
                                <w:spacing w:before="159"/>
                                <w:ind w:left="0" w:right="0" w:firstLine="0"/>
                                <w:jc w:val="left"/>
                                <w:rPr>
                                  <w:rFonts w:ascii="Arial MT"/>
                                  <w:sz w:val="14"/>
                                </w:rPr>
                              </w:pPr>
                              <w:r>
                                <w:rPr>
                                  <w:rFonts w:ascii="Arial MT"/>
                                  <w:w w:val="80"/>
                                  <w:sz w:val="14"/>
                                </w:rPr>
                                <w:t>Accumulated</w:t>
                              </w:r>
                              <w:r>
                                <w:rPr>
                                  <w:rFonts w:ascii="Arial MT"/>
                                  <w:spacing w:val="9"/>
                                  <w:sz w:val="14"/>
                                </w:rPr>
                                <w:t> </w:t>
                              </w:r>
                              <w:r>
                                <w:rPr>
                                  <w:rFonts w:ascii="Arial MT"/>
                                  <w:spacing w:val="-2"/>
                                  <w:w w:val="80"/>
                                  <w:sz w:val="14"/>
                                </w:rPr>
                                <w:t>expenditure</w:t>
                              </w:r>
                            </w:p>
                          </w:txbxContent>
                        </wps:txbx>
                        <wps:bodyPr wrap="square" lIns="0" tIns="0" rIns="0" bIns="0" rtlCol="0">
                          <a:noAutofit/>
                        </wps:bodyPr>
                      </wps:wsp>
                      <wps:wsp>
                        <wps:cNvPr id="1088" name="Textbox 1088"/>
                        <wps:cNvSpPr txBox="1"/>
                        <wps:spPr>
                          <a:xfrm>
                            <a:off x="364869" y="767683"/>
                            <a:ext cx="175260" cy="89725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8000</w:t>
                              </w:r>
                            </w:p>
                            <w:p>
                              <w:pPr>
                                <w:spacing w:line="240" w:lineRule="auto" w:before="16"/>
                                <w:rPr>
                                  <w:rFonts w:ascii="Arial MT"/>
                                  <w:sz w:val="14"/>
                                </w:rPr>
                              </w:pPr>
                            </w:p>
                            <w:p>
                              <w:pPr>
                                <w:spacing w:before="0"/>
                                <w:ind w:left="0" w:right="18" w:firstLine="0"/>
                                <w:jc w:val="right"/>
                                <w:rPr>
                                  <w:rFonts w:ascii="Arial MT"/>
                                  <w:sz w:val="14"/>
                                </w:rPr>
                              </w:pPr>
                              <w:r>
                                <w:rPr>
                                  <w:rFonts w:ascii="Arial MT"/>
                                  <w:spacing w:val="-4"/>
                                  <w:w w:val="80"/>
                                  <w:sz w:val="14"/>
                                </w:rPr>
                                <w:t>6000</w:t>
                              </w:r>
                            </w:p>
                            <w:p>
                              <w:pPr>
                                <w:spacing w:before="141"/>
                                <w:ind w:left="0" w:right="18" w:firstLine="0"/>
                                <w:jc w:val="right"/>
                                <w:rPr>
                                  <w:rFonts w:ascii="Arial MT"/>
                                  <w:sz w:val="14"/>
                                </w:rPr>
                              </w:pPr>
                              <w:r>
                                <w:rPr>
                                  <w:rFonts w:ascii="Arial MT"/>
                                  <w:spacing w:val="-4"/>
                                  <w:w w:val="80"/>
                                  <w:sz w:val="14"/>
                                </w:rPr>
                                <w:t>4000</w:t>
                              </w:r>
                            </w:p>
                            <w:p>
                              <w:pPr>
                                <w:spacing w:before="158"/>
                                <w:ind w:left="0" w:right="18" w:firstLine="0"/>
                                <w:jc w:val="right"/>
                                <w:rPr>
                                  <w:rFonts w:ascii="Arial MT"/>
                                  <w:sz w:val="14"/>
                                </w:rPr>
                              </w:pPr>
                              <w:r>
                                <w:rPr>
                                  <w:rFonts w:ascii="Arial MT"/>
                                  <w:spacing w:val="-4"/>
                                  <w:w w:val="80"/>
                                  <w:sz w:val="14"/>
                                </w:rPr>
                                <w:t>2000</w:t>
                              </w:r>
                            </w:p>
                            <w:p>
                              <w:pPr>
                                <w:spacing w:before="132"/>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1089" name="Textbox 1089"/>
                        <wps:cNvSpPr txBox="1"/>
                        <wps:spPr>
                          <a:xfrm>
                            <a:off x="751994" y="1678908"/>
                            <a:ext cx="167005"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Total</w:t>
                              </w:r>
                            </w:p>
                          </w:txbxContent>
                        </wps:txbx>
                        <wps:bodyPr wrap="square" lIns="0" tIns="0" rIns="0" bIns="0" rtlCol="0">
                          <a:noAutofit/>
                        </wps:bodyPr>
                      </wps:wsp>
                      <wps:wsp>
                        <wps:cNvPr id="1090" name="Textbox 1090"/>
                        <wps:cNvSpPr txBox="1"/>
                        <wps:spPr>
                          <a:xfrm>
                            <a:off x="1129558" y="1678908"/>
                            <a:ext cx="389890" cy="422275"/>
                          </a:xfrm>
                          <a:prstGeom prst="rect">
                            <a:avLst/>
                          </a:prstGeom>
                        </wps:spPr>
                        <wps:txbx>
                          <w:txbxContent>
                            <w:p>
                              <w:pPr>
                                <w:spacing w:line="249" w:lineRule="auto" w:before="0"/>
                                <w:ind w:left="0" w:right="0" w:firstLine="178"/>
                                <w:jc w:val="left"/>
                                <w:rPr>
                                  <w:rFonts w:ascii="Arial MT"/>
                                  <w:sz w:val="14"/>
                                </w:rPr>
                              </w:pPr>
                              <w:r>
                                <w:rPr>
                                  <w:rFonts w:ascii="Arial MT"/>
                                  <w:spacing w:val="-4"/>
                                  <w:w w:val="90"/>
                                  <w:sz w:val="14"/>
                                </w:rPr>
                                <w:t>Raja</w:t>
                              </w:r>
                              <w:r>
                                <w:rPr>
                                  <w:rFonts w:ascii="Arial MT"/>
                                  <w:spacing w:val="40"/>
                                  <w:sz w:val="14"/>
                                </w:rPr>
                                <w:t> </w:t>
                              </w:r>
                              <w:r>
                                <w:rPr>
                                  <w:rFonts w:ascii="Arial MT"/>
                                  <w:spacing w:val="-2"/>
                                  <w:w w:val="80"/>
                                  <w:sz w:val="14"/>
                                </w:rPr>
                                <w:t>Rammohan</w:t>
                              </w:r>
                              <w:r>
                                <w:rPr>
                                  <w:rFonts w:ascii="Arial MT"/>
                                  <w:spacing w:val="40"/>
                                  <w:sz w:val="14"/>
                                </w:rPr>
                                <w:t> </w:t>
                              </w:r>
                              <w:r>
                                <w:rPr>
                                  <w:rFonts w:ascii="Arial MT"/>
                                  <w:w w:val="80"/>
                                  <w:sz w:val="14"/>
                                </w:rPr>
                                <w:t>Roy</w:t>
                              </w:r>
                              <w:r>
                                <w:rPr>
                                  <w:rFonts w:ascii="Arial MT"/>
                                  <w:spacing w:val="-2"/>
                                  <w:w w:val="80"/>
                                  <w:sz w:val="14"/>
                                </w:rPr>
                                <w:t> </w:t>
                              </w:r>
                              <w:r>
                                <w:rPr>
                                  <w:rFonts w:ascii="Arial MT"/>
                                  <w:w w:val="80"/>
                                  <w:sz w:val="14"/>
                                </w:rPr>
                                <w:t>Library</w:t>
                              </w:r>
                              <w:r>
                                <w:rPr>
                                  <w:rFonts w:ascii="Arial MT"/>
                                  <w:spacing w:val="40"/>
                                  <w:sz w:val="14"/>
                                </w:rPr>
                                <w:t> </w:t>
                              </w:r>
                              <w:r>
                                <w:rPr>
                                  <w:rFonts w:ascii="Arial MT"/>
                                  <w:spacing w:val="-2"/>
                                  <w:w w:val="85"/>
                                  <w:sz w:val="14"/>
                                </w:rPr>
                                <w:t>Foundation</w:t>
                              </w:r>
                            </w:p>
                          </w:txbxContent>
                        </wps:txbx>
                        <wps:bodyPr wrap="square" lIns="0" tIns="0" rIns="0" bIns="0" rtlCol="0">
                          <a:noAutofit/>
                        </wps:bodyPr>
                      </wps:wsp>
                      <wps:wsp>
                        <wps:cNvPr id="1091" name="Textbox 1091"/>
                        <wps:cNvSpPr txBox="1"/>
                        <wps:spPr>
                          <a:xfrm>
                            <a:off x="1660481" y="1678908"/>
                            <a:ext cx="280670" cy="208915"/>
                          </a:xfrm>
                          <a:prstGeom prst="rect">
                            <a:avLst/>
                          </a:prstGeom>
                        </wps:spPr>
                        <wps:txbx>
                          <w:txbxContent>
                            <w:p>
                              <w:pPr>
                                <w:spacing w:line="249" w:lineRule="auto" w:before="0"/>
                                <w:ind w:left="35" w:right="15" w:hanging="36"/>
                                <w:jc w:val="left"/>
                                <w:rPr>
                                  <w:rFonts w:ascii="Arial MT"/>
                                  <w:sz w:val="14"/>
                                </w:rPr>
                              </w:pPr>
                              <w:r>
                                <w:rPr>
                                  <w:rFonts w:ascii="Arial MT"/>
                                  <w:spacing w:val="-2"/>
                                  <w:w w:val="80"/>
                                  <w:sz w:val="14"/>
                                </w:rPr>
                                <w:t>National</w:t>
                              </w:r>
                              <w:r>
                                <w:rPr>
                                  <w:rFonts w:ascii="Arial MT"/>
                                  <w:spacing w:val="40"/>
                                  <w:sz w:val="14"/>
                                </w:rPr>
                                <w:t> </w:t>
                              </w:r>
                              <w:r>
                                <w:rPr>
                                  <w:rFonts w:ascii="Arial MT"/>
                                  <w:spacing w:val="-2"/>
                                  <w:w w:val="90"/>
                                  <w:sz w:val="14"/>
                                </w:rPr>
                                <w:t>Library</w:t>
                              </w:r>
                            </w:p>
                          </w:txbxContent>
                        </wps:txbx>
                        <wps:bodyPr wrap="square" lIns="0" tIns="0" rIns="0" bIns="0" rtlCol="0">
                          <a:noAutofit/>
                        </wps:bodyPr>
                      </wps:wsp>
                      <wps:wsp>
                        <wps:cNvPr id="1092" name="Textbox 1092"/>
                        <wps:cNvSpPr txBox="1"/>
                        <wps:spPr>
                          <a:xfrm>
                            <a:off x="2187891" y="1678908"/>
                            <a:ext cx="699135" cy="315595"/>
                          </a:xfrm>
                          <a:prstGeom prst="rect">
                            <a:avLst/>
                          </a:prstGeom>
                        </wps:spPr>
                        <wps:txbx>
                          <w:txbxContent>
                            <w:p>
                              <w:pPr>
                                <w:tabs>
                                  <w:tab w:pos="774" w:val="left" w:leader="none"/>
                                </w:tabs>
                                <w:spacing w:line="161" w:lineRule="exact" w:before="0"/>
                                <w:ind w:left="0" w:right="0" w:firstLine="0"/>
                                <w:jc w:val="left"/>
                                <w:rPr>
                                  <w:rFonts w:ascii="Arial MT"/>
                                  <w:sz w:val="14"/>
                                </w:rPr>
                              </w:pPr>
                              <w:r>
                                <w:rPr>
                                  <w:rFonts w:ascii="Arial MT"/>
                                  <w:spacing w:val="-2"/>
                                  <w:w w:val="90"/>
                                  <w:sz w:val="14"/>
                                </w:rPr>
                                <w:t>Central</w:t>
                              </w:r>
                              <w:r>
                                <w:rPr>
                                  <w:rFonts w:ascii="Arial MT"/>
                                  <w:sz w:val="14"/>
                                </w:rPr>
                                <w:tab/>
                              </w:r>
                              <w:r>
                                <w:rPr>
                                  <w:rFonts w:ascii="Arial MT"/>
                                  <w:spacing w:val="-2"/>
                                  <w:w w:val="90"/>
                                  <w:sz w:val="14"/>
                                </w:rPr>
                                <w:t>Delhi</w:t>
                              </w:r>
                            </w:p>
                            <w:p>
                              <w:pPr>
                                <w:tabs>
                                  <w:tab w:pos="748" w:val="left" w:leader="none"/>
                                </w:tabs>
                                <w:spacing w:before="7"/>
                                <w:ind w:left="38" w:right="0" w:firstLine="0"/>
                                <w:jc w:val="left"/>
                                <w:rPr>
                                  <w:rFonts w:ascii="Arial MT"/>
                                  <w:sz w:val="14"/>
                                </w:rPr>
                              </w:pPr>
                              <w:r>
                                <w:rPr>
                                  <w:rFonts w:ascii="Arial MT"/>
                                  <w:spacing w:val="-2"/>
                                  <w:w w:val="90"/>
                                  <w:sz w:val="14"/>
                                </w:rPr>
                                <w:t>Sectt.</w:t>
                              </w:r>
                              <w:r>
                                <w:rPr>
                                  <w:rFonts w:ascii="Arial MT"/>
                                  <w:sz w:val="14"/>
                                </w:rPr>
                                <w:tab/>
                              </w:r>
                              <w:r>
                                <w:rPr>
                                  <w:rFonts w:ascii="Arial MT"/>
                                  <w:spacing w:val="-2"/>
                                  <w:w w:val="90"/>
                                  <w:sz w:val="14"/>
                                </w:rPr>
                                <w:t>Public</w:t>
                              </w:r>
                            </w:p>
                            <w:p>
                              <w:pPr>
                                <w:tabs>
                                  <w:tab w:pos="729" w:val="left" w:leader="none"/>
                                </w:tabs>
                                <w:spacing w:before="7"/>
                                <w:ind w:left="9" w:right="0" w:firstLine="0"/>
                                <w:jc w:val="left"/>
                                <w:rPr>
                                  <w:rFonts w:ascii="Arial MT"/>
                                  <w:sz w:val="14"/>
                                </w:rPr>
                              </w:pPr>
                              <w:r>
                                <w:rPr>
                                  <w:rFonts w:ascii="Arial MT"/>
                                  <w:spacing w:val="-2"/>
                                  <w:w w:val="90"/>
                                  <w:sz w:val="14"/>
                                </w:rPr>
                                <w:t>Library</w:t>
                              </w:r>
                              <w:r>
                                <w:rPr>
                                  <w:rFonts w:ascii="Arial MT"/>
                                  <w:sz w:val="14"/>
                                </w:rPr>
                                <w:tab/>
                              </w:r>
                              <w:r>
                                <w:rPr>
                                  <w:rFonts w:ascii="Arial MT"/>
                                  <w:spacing w:val="-2"/>
                                  <w:w w:val="85"/>
                                  <w:sz w:val="14"/>
                                </w:rPr>
                                <w:t>Library</w:t>
                              </w:r>
                            </w:p>
                          </w:txbxContent>
                        </wps:txbx>
                        <wps:bodyPr wrap="square" lIns="0" tIns="0" rIns="0" bIns="0" rtlCol="0">
                          <a:noAutofit/>
                        </wps:bodyPr>
                      </wps:wsp>
                      <wps:wsp>
                        <wps:cNvPr id="1093" name="Textbox 1093"/>
                        <wps:cNvSpPr txBox="1"/>
                        <wps:spPr>
                          <a:xfrm>
                            <a:off x="3064087" y="1678909"/>
                            <a:ext cx="368935" cy="528955"/>
                          </a:xfrm>
                          <a:prstGeom prst="rect">
                            <a:avLst/>
                          </a:prstGeom>
                        </wps:spPr>
                        <wps:txbx>
                          <w:txbxContent>
                            <w:p>
                              <w:pPr>
                                <w:spacing w:line="249" w:lineRule="auto" w:before="0"/>
                                <w:ind w:left="0" w:right="18" w:firstLine="0"/>
                                <w:jc w:val="center"/>
                                <w:rPr>
                                  <w:rFonts w:ascii="Arial MT"/>
                                  <w:sz w:val="14"/>
                                </w:rPr>
                              </w:pPr>
                              <w:r>
                                <w:rPr>
                                  <w:rFonts w:ascii="Arial MT"/>
                                  <w:spacing w:val="-2"/>
                                  <w:w w:val="90"/>
                                  <w:sz w:val="14"/>
                                </w:rPr>
                                <w:t>National</w:t>
                              </w:r>
                              <w:r>
                                <w:rPr>
                                  <w:rFonts w:ascii="Arial MT"/>
                                  <w:spacing w:val="40"/>
                                  <w:sz w:val="14"/>
                                </w:rPr>
                                <w:t> </w:t>
                              </w:r>
                              <w:r>
                                <w:rPr>
                                  <w:rFonts w:ascii="Arial MT"/>
                                  <w:w w:val="90"/>
                                  <w:sz w:val="14"/>
                                </w:rPr>
                                <w:t>Policy</w:t>
                              </w:r>
                              <w:r>
                                <w:rPr>
                                  <w:rFonts w:ascii="Arial MT"/>
                                  <w:spacing w:val="-7"/>
                                  <w:w w:val="90"/>
                                  <w:sz w:val="14"/>
                                </w:rPr>
                                <w:t> </w:t>
                              </w:r>
                              <w:r>
                                <w:rPr>
                                  <w:rFonts w:ascii="Arial MT"/>
                                  <w:w w:val="90"/>
                                  <w:sz w:val="14"/>
                                </w:rPr>
                                <w:t>on</w:t>
                              </w:r>
                              <w:r>
                                <w:rPr>
                                  <w:rFonts w:ascii="Arial MT"/>
                                  <w:spacing w:val="40"/>
                                  <w:sz w:val="14"/>
                                </w:rPr>
                                <w:t> </w:t>
                              </w:r>
                              <w:r>
                                <w:rPr>
                                  <w:rFonts w:ascii="Arial MT"/>
                                  <w:spacing w:val="-4"/>
                                  <w:w w:val="85"/>
                                  <w:sz w:val="14"/>
                                </w:rPr>
                                <w:t>Library</w:t>
                              </w:r>
                              <w:r>
                                <w:rPr>
                                  <w:rFonts w:ascii="Arial MT"/>
                                  <w:spacing w:val="-5"/>
                                  <w:w w:val="85"/>
                                  <w:sz w:val="14"/>
                                </w:rPr>
                                <w:t> </w:t>
                              </w:r>
                              <w:r>
                                <w:rPr>
                                  <w:rFonts w:ascii="Arial MT"/>
                                  <w:spacing w:val="-4"/>
                                  <w:w w:val="85"/>
                                  <w:sz w:val="14"/>
                                </w:rPr>
                                <w:t>and</w:t>
                              </w:r>
                              <w:r>
                                <w:rPr>
                                  <w:rFonts w:ascii="Arial MT"/>
                                  <w:spacing w:val="40"/>
                                  <w:sz w:val="14"/>
                                </w:rPr>
                                <w:t> </w:t>
                              </w:r>
                              <w:r>
                                <w:rPr>
                                  <w:rFonts w:ascii="Arial MT"/>
                                  <w:spacing w:val="-2"/>
                                  <w:w w:val="80"/>
                                  <w:sz w:val="14"/>
                                </w:rPr>
                                <w:t>Information</w:t>
                              </w:r>
                              <w:r>
                                <w:rPr>
                                  <w:rFonts w:ascii="Arial MT"/>
                                  <w:spacing w:val="40"/>
                                  <w:sz w:val="14"/>
                                </w:rPr>
                                <w:t> </w:t>
                              </w:r>
                              <w:r>
                                <w:rPr>
                                  <w:rFonts w:ascii="Arial MT"/>
                                  <w:spacing w:val="-2"/>
                                  <w:w w:val="90"/>
                                  <w:sz w:val="14"/>
                                </w:rPr>
                                <w:t>System</w:t>
                              </w:r>
                            </w:p>
                          </w:txbxContent>
                        </wps:txbx>
                        <wps:bodyPr wrap="square" lIns="0" tIns="0" rIns="0" bIns="0" rtlCol="0">
                          <a:noAutofit/>
                        </wps:bodyPr>
                      </wps:wsp>
                      <wps:wsp>
                        <wps:cNvPr id="1094" name="Textbox 1094"/>
                        <wps:cNvSpPr txBox="1"/>
                        <wps:spPr>
                          <a:xfrm>
                            <a:off x="3583051" y="1678909"/>
                            <a:ext cx="276225" cy="315595"/>
                          </a:xfrm>
                          <a:prstGeom prst="rect">
                            <a:avLst/>
                          </a:prstGeom>
                        </wps:spPr>
                        <wps:txbx>
                          <w:txbxContent>
                            <w:p>
                              <w:pPr>
                                <w:spacing w:line="249" w:lineRule="auto" w:before="0"/>
                                <w:ind w:left="0" w:right="18" w:firstLine="26"/>
                                <w:jc w:val="both"/>
                                <w:rPr>
                                  <w:rFonts w:ascii="Arial MT"/>
                                  <w:sz w:val="14"/>
                                </w:rPr>
                              </w:pPr>
                              <w:r>
                                <w:rPr>
                                  <w:rFonts w:ascii="Arial MT"/>
                                  <w:spacing w:val="-2"/>
                                  <w:w w:val="85"/>
                                  <w:sz w:val="14"/>
                                </w:rPr>
                                <w:t>Central</w:t>
                              </w:r>
                              <w:r>
                                <w:rPr>
                                  <w:rFonts w:ascii="Arial MT"/>
                                  <w:spacing w:val="40"/>
                                  <w:sz w:val="14"/>
                                </w:rPr>
                                <w:t> </w:t>
                              </w:r>
                              <w:r>
                                <w:rPr>
                                  <w:rFonts w:ascii="Arial MT"/>
                                  <w:spacing w:val="-2"/>
                                  <w:w w:val="90"/>
                                  <w:sz w:val="14"/>
                                </w:rPr>
                                <w:t>Library,</w:t>
                              </w:r>
                              <w:r>
                                <w:rPr>
                                  <w:rFonts w:ascii="Arial MT"/>
                                  <w:spacing w:val="40"/>
                                  <w:sz w:val="14"/>
                                </w:rPr>
                                <w:t> </w:t>
                              </w:r>
                              <w:r>
                                <w:rPr>
                                  <w:rFonts w:ascii="Arial MT"/>
                                  <w:spacing w:val="-2"/>
                                  <w:w w:val="80"/>
                                  <w:sz w:val="14"/>
                                </w:rPr>
                                <w:t>Bombay</w:t>
                              </w:r>
                            </w:p>
                          </w:txbxContent>
                        </wps:txbx>
                        <wps:bodyPr wrap="square" lIns="0" tIns="0" rIns="0" bIns="0" rtlCol="0">
                          <a:noAutofit/>
                        </wps:bodyPr>
                      </wps:wsp>
                      <wps:wsp>
                        <wps:cNvPr id="1095" name="Textbox 1095"/>
                        <wps:cNvSpPr txBox="1"/>
                        <wps:spPr>
                          <a:xfrm>
                            <a:off x="4013971" y="1678910"/>
                            <a:ext cx="810260" cy="102235"/>
                          </a:xfrm>
                          <a:prstGeom prst="rect">
                            <a:avLst/>
                          </a:prstGeom>
                        </wps:spPr>
                        <wps:txbx>
                          <w:txbxContent>
                            <w:p>
                              <w:pPr>
                                <w:tabs>
                                  <w:tab w:pos="893" w:val="left" w:leader="none"/>
                                </w:tabs>
                                <w:spacing w:line="161" w:lineRule="exact" w:before="0"/>
                                <w:ind w:left="0" w:right="0" w:firstLine="0"/>
                                <w:jc w:val="left"/>
                                <w:rPr>
                                  <w:rFonts w:ascii="Arial MT"/>
                                  <w:sz w:val="14"/>
                                </w:rPr>
                              </w:pPr>
                              <w:r>
                                <w:rPr>
                                  <w:rFonts w:ascii="Arial MT"/>
                                  <w:spacing w:val="-2"/>
                                  <w:w w:val="90"/>
                                  <w:sz w:val="14"/>
                                </w:rPr>
                                <w:t>Connemara</w:t>
                              </w:r>
                              <w:r>
                                <w:rPr>
                                  <w:rFonts w:ascii="Arial MT"/>
                                  <w:sz w:val="14"/>
                                </w:rPr>
                                <w:tab/>
                              </w:r>
                              <w:r>
                                <w:rPr>
                                  <w:rFonts w:ascii="Arial MT"/>
                                  <w:spacing w:val="-2"/>
                                  <w:w w:val="85"/>
                                  <w:sz w:val="14"/>
                                </w:rPr>
                                <w:t>Central</w:t>
                              </w:r>
                            </w:p>
                          </w:txbxContent>
                        </wps:txbx>
                        <wps:bodyPr wrap="square" lIns="0" tIns="0" rIns="0" bIns="0" rtlCol="0">
                          <a:noAutofit/>
                        </wps:bodyPr>
                      </wps:wsp>
                      <wps:wsp>
                        <wps:cNvPr id="1096" name="Textbox 1096"/>
                        <wps:cNvSpPr txBox="1"/>
                        <wps:spPr>
                          <a:xfrm>
                            <a:off x="4092106" y="1785590"/>
                            <a:ext cx="230504"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Library</w:t>
                              </w:r>
                            </w:p>
                          </w:txbxContent>
                        </wps:txbx>
                        <wps:bodyPr wrap="square" lIns="0" tIns="0" rIns="0" bIns="0" rtlCol="0">
                          <a:noAutofit/>
                        </wps:bodyPr>
                      </wps:wsp>
                      <wps:wsp>
                        <wps:cNvPr id="1097" name="Textbox 1097"/>
                        <wps:cNvSpPr txBox="1"/>
                        <wps:spPr>
                          <a:xfrm>
                            <a:off x="4531540" y="1785590"/>
                            <a:ext cx="342265" cy="208915"/>
                          </a:xfrm>
                          <a:prstGeom prst="rect">
                            <a:avLst/>
                          </a:prstGeom>
                        </wps:spPr>
                        <wps:txbx>
                          <w:txbxContent>
                            <w:p>
                              <w:pPr>
                                <w:spacing w:line="249" w:lineRule="auto" w:before="0"/>
                                <w:ind w:left="87" w:right="18" w:hanging="88"/>
                                <w:jc w:val="left"/>
                                <w:rPr>
                                  <w:rFonts w:ascii="Arial MT"/>
                                  <w:sz w:val="14"/>
                                </w:rPr>
                              </w:pPr>
                              <w:r>
                                <w:rPr>
                                  <w:rFonts w:ascii="Arial MT"/>
                                  <w:spacing w:val="-2"/>
                                  <w:w w:val="80"/>
                                  <w:sz w:val="14"/>
                                </w:rPr>
                                <w:t>Reference</w:t>
                              </w:r>
                              <w:r>
                                <w:rPr>
                                  <w:rFonts w:ascii="Arial MT"/>
                                  <w:spacing w:val="40"/>
                                  <w:sz w:val="14"/>
                                </w:rPr>
                                <w:t> </w:t>
                              </w:r>
                              <w:r>
                                <w:rPr>
                                  <w:rFonts w:ascii="Arial MT"/>
                                  <w:spacing w:val="-2"/>
                                  <w:w w:val="90"/>
                                  <w:sz w:val="14"/>
                                </w:rPr>
                                <w:t>Library</w:t>
                              </w:r>
                            </w:p>
                          </w:txbxContent>
                        </wps:txbx>
                        <wps:bodyPr wrap="square" lIns="0" tIns="0" rIns="0" bIns="0" rtlCol="0">
                          <a:noAutofit/>
                        </wps:bodyPr>
                      </wps:wsp>
                    </wpg:wgp>
                  </a:graphicData>
                </a:graphic>
              </wp:anchor>
            </w:drawing>
          </mc:Choice>
          <mc:Fallback>
            <w:pict>
              <v:group style="position:absolute;margin-left:100.311218pt;margin-top:17.820805pt;width:396.8pt;height:179.1pt;mso-position-horizontal-relative:page;mso-position-vertical-relative:paragraph;z-index:15796736" id="docshapegroup1052" coordorigin="2006,356" coordsize="7936,3582">
                <v:shape style="position:absolute;left:2006;top:356;width:7936;height:3582" id="docshape1053" coordorigin="2006,356" coordsize="7936,3582" path="m9765,2919l9765,2919,9765,2914,2947,2914,2947,707,2937,707,2937,712,2862,712,2862,722,2937,722,2937,1026,2862,1026,2862,1036,2937,1036,2937,1341,2862,1341,2862,1351,2937,1351,2937,1656,2862,1656,2862,1666,2937,1666,2937,1970,2862,1970,2862,1980,2937,1980,2937,2285,2862,2285,2862,2295,2937,2295,2937,2600,2862,2600,2862,2610,2937,2610,2937,2914,2860,2914,2860,2924,2937,2924,2937,2999,2947,2999,2947,2924,3697,2924,3697,2999,3707,2999,3707,2924,4454,2924,4454,2999,4464,2999,4464,2924,5212,2924,5212,2999,5222,2999,5222,2924,5969,2924,5969,2999,5979,2999,5979,2924,6726,2924,6726,2999,6736,2999,6736,2924,7484,2924,7484,2999,7494,2999,7494,2924,8241,2924,8241,2999,8251,2999,8251,2924,8998,2924,8998,2999,9008,2999,9008,2924,9755,2924,9755,2999,9765,2999,9765,2919xm9942,356l9932,356,9932,367,9932,3928,9932,3929,9932,3934,9932,3934,2011,3934,2011,3934,2016,3934,9932,3934,9932,3929,2016,3929,2011,3929,2011,3928,2016,3928,2016,367,9932,367,9932,356,2006,356,2006,362,2006,366,2006,3928,2006,3934,2006,3938,9942,3938,9942,3934,9937,3934,9937,3934,9942,3934,9942,3929,9937,3929,9937,3928,9942,3928,9942,367,9942,366,9942,362,9942,362,9942,356xe" filled="true" fillcolor="#000000" stroked="false">
                  <v:path arrowok="t"/>
                  <v:fill type="solid"/>
                </v:shape>
                <v:rect style="position:absolute;left:3100;top:851;width:215;height:2063" id="docshape1054" filled="true" fillcolor="#2e614a" stroked="false">
                  <v:fill type="solid"/>
                </v:rect>
                <v:rect style="position:absolute;left:3314;top:1004;width:215;height:1910" id="docshape1055" filled="true" fillcolor="#e3c626" stroked="false">
                  <v:fill type="solid"/>
                </v:rect>
                <v:rect style="position:absolute;left:3857;top:1966;width:215;height:948" id="docshape1056" filled="true" fillcolor="#2e614a" stroked="false">
                  <v:fill type="solid"/>
                </v:rect>
                <v:rect style="position:absolute;left:4071;top:1714;width:215;height:1200" id="docshape1057" filled="true" fillcolor="#e3c626" stroked="false">
                  <v:fill type="solid"/>
                </v:rect>
                <v:rect style="position:absolute;left:4614;top:2357;width:215;height:556" id="docshape1058" filled="true" fillcolor="#2e614a" stroked="false">
                  <v:fill type="solid"/>
                </v:rect>
                <v:rect style="position:absolute;left:4829;top:2580;width:215;height:333" id="docshape1059" filled="true" fillcolor="#e3c626" stroked="false">
                  <v:fill type="solid"/>
                </v:rect>
                <v:rect style="position:absolute;left:5372;top:2720;width:215;height:194" id="docshape1060" filled="true" fillcolor="#2e614a" stroked="false">
                  <v:fill type="solid"/>
                </v:rect>
                <v:rect style="position:absolute;left:5586;top:2733;width:215;height:180" id="docshape1061" filled="true" fillcolor="#e3c626" stroked="false">
                  <v:fill type="solid"/>
                </v:rect>
                <v:rect style="position:absolute;left:6129;top:2804;width:215;height:110" id="docshape1062" filled="true" fillcolor="#2e614a" stroked="false">
                  <v:fill type="solid"/>
                </v:rect>
                <v:rect style="position:absolute;left:6343;top:2804;width:215;height:110" id="docshape1063" filled="true" fillcolor="#e3c626" stroked="false">
                  <v:fill type="solid"/>
                </v:rect>
                <v:rect style="position:absolute;left:6886;top:2832;width:215;height:81" id="docshape1064" filled="true" fillcolor="#2e614a" stroked="false">
                  <v:fill type="solid"/>
                </v:rect>
                <v:rect style="position:absolute;left:7100;top:2901;width:215;height:13" id="docshape1065" filled="true" fillcolor="#e3c626" stroked="false">
                  <v:fill type="solid"/>
                </v:rect>
                <v:rect style="position:absolute;left:7643;top:2831;width:215;height:83" id="docshape1066" filled="true" fillcolor="#2e614a" stroked="false">
                  <v:fill type="solid"/>
                </v:rect>
                <v:rect style="position:absolute;left:7858;top:2900;width:215;height:14" id="docshape1067" filled="true" fillcolor="#e3c626" stroked="false">
                  <v:fill type="solid"/>
                </v:rect>
                <v:rect style="position:absolute;left:8400;top:2873;width:215;height:41" id="docshape1068" filled="true" fillcolor="#2e614a" stroked="false">
                  <v:fill type="solid"/>
                </v:rect>
                <v:rect style="position:absolute;left:8615;top:2887;width:215;height:26" id="docshape1069" filled="true" fillcolor="#e3c626" stroked="false">
                  <v:fill type="solid"/>
                </v:rect>
                <v:rect style="position:absolute;left:9158;top:2874;width:215;height:40" id="docshape1070" filled="true" fillcolor="#2e614a" stroked="false">
                  <v:fill type="solid"/>
                </v:rect>
                <v:rect style="position:absolute;left:9372;top:2900;width:215;height:14" id="docshape1071" filled="true" fillcolor="#e3c626" stroked="false">
                  <v:fill type="solid"/>
                </v:rect>
                <v:rect style="position:absolute;left:8009;top:790;width:163;height:149" id="docshape1072" filled="true" fillcolor="#2e614a" stroked="false">
                  <v:fill type="solid"/>
                </v:rect>
                <v:rect style="position:absolute;left:8009;top:1093;width:165;height:151" id="docshape1073" filled="true" fillcolor="#e3c626" stroked="false">
                  <v:fill type="solid"/>
                </v:rect>
                <v:shape style="position:absolute;left:2516;top:657;width:340;height:755" type="#_x0000_t202" id="docshape1074" filled="false" stroked="false">
                  <v:textbox inset="0,0,0,0">
                    <w:txbxContent>
                      <w:p>
                        <w:pPr>
                          <w:spacing w:line="161" w:lineRule="exact" w:before="0"/>
                          <w:ind w:left="0" w:right="0" w:firstLine="0"/>
                          <w:jc w:val="left"/>
                          <w:rPr>
                            <w:rFonts w:ascii="Arial MT"/>
                            <w:sz w:val="14"/>
                          </w:rPr>
                        </w:pPr>
                        <w:r>
                          <w:rPr>
                            <w:rFonts w:ascii="Arial MT"/>
                            <w:spacing w:val="-2"/>
                            <w:w w:val="85"/>
                            <w:sz w:val="14"/>
                          </w:rPr>
                          <w:t>14000</w:t>
                        </w:r>
                      </w:p>
                      <w:p>
                        <w:pPr>
                          <w:spacing w:before="142"/>
                          <w:ind w:left="0" w:right="0" w:firstLine="0"/>
                          <w:jc w:val="left"/>
                          <w:rPr>
                            <w:rFonts w:ascii="Arial MT"/>
                            <w:sz w:val="14"/>
                          </w:rPr>
                        </w:pPr>
                        <w:r>
                          <w:rPr>
                            <w:rFonts w:ascii="Arial MT"/>
                            <w:spacing w:val="-2"/>
                            <w:w w:val="85"/>
                            <w:sz w:val="14"/>
                          </w:rPr>
                          <w:t>12000</w:t>
                        </w:r>
                      </w:p>
                      <w:p>
                        <w:pPr>
                          <w:spacing w:before="130"/>
                          <w:ind w:left="0" w:right="0" w:firstLine="0"/>
                          <w:jc w:val="left"/>
                          <w:rPr>
                            <w:rFonts w:ascii="Arial MT"/>
                            <w:sz w:val="14"/>
                          </w:rPr>
                        </w:pPr>
                        <w:r>
                          <w:rPr>
                            <w:rFonts w:ascii="Arial MT"/>
                            <w:spacing w:val="-2"/>
                            <w:w w:val="85"/>
                            <w:sz w:val="14"/>
                          </w:rPr>
                          <w:t>10000</w:t>
                        </w:r>
                      </w:p>
                    </w:txbxContent>
                  </v:textbox>
                  <w10:wrap type="none"/>
                </v:shape>
                <v:shape style="position:absolute;left:8311;top:760;width:1316;height:481" type="#_x0000_t202" id="docshape1075" filled="false" stroked="false">
                  <v:textbox inset="0,0,0,0">
                    <w:txbxContent>
                      <w:p>
                        <w:pPr>
                          <w:spacing w:line="161" w:lineRule="exact" w:before="0"/>
                          <w:ind w:left="0" w:right="0" w:firstLine="0"/>
                          <w:jc w:val="left"/>
                          <w:rPr>
                            <w:rFonts w:ascii="Arial MT"/>
                            <w:sz w:val="14"/>
                          </w:rPr>
                        </w:pPr>
                        <w:r>
                          <w:rPr>
                            <w:rFonts w:ascii="Arial MT"/>
                            <w:w w:val="80"/>
                            <w:sz w:val="14"/>
                          </w:rPr>
                          <w:t>Approved</w:t>
                        </w:r>
                        <w:r>
                          <w:rPr>
                            <w:rFonts w:ascii="Arial MT"/>
                            <w:spacing w:val="4"/>
                            <w:sz w:val="14"/>
                          </w:rPr>
                          <w:t> </w:t>
                        </w:r>
                        <w:r>
                          <w:rPr>
                            <w:rFonts w:ascii="Arial MT"/>
                            <w:spacing w:val="-2"/>
                            <w:w w:val="90"/>
                            <w:sz w:val="14"/>
                          </w:rPr>
                          <w:t>outlay</w:t>
                        </w:r>
                      </w:p>
                      <w:p>
                        <w:pPr>
                          <w:spacing w:before="159"/>
                          <w:ind w:left="0" w:right="0" w:firstLine="0"/>
                          <w:jc w:val="left"/>
                          <w:rPr>
                            <w:rFonts w:ascii="Arial MT"/>
                            <w:sz w:val="14"/>
                          </w:rPr>
                        </w:pPr>
                        <w:r>
                          <w:rPr>
                            <w:rFonts w:ascii="Arial MT"/>
                            <w:w w:val="80"/>
                            <w:sz w:val="14"/>
                          </w:rPr>
                          <w:t>Accumulated</w:t>
                        </w:r>
                        <w:r>
                          <w:rPr>
                            <w:rFonts w:ascii="Arial MT"/>
                            <w:spacing w:val="9"/>
                            <w:sz w:val="14"/>
                          </w:rPr>
                          <w:t> </w:t>
                        </w:r>
                        <w:r>
                          <w:rPr>
                            <w:rFonts w:ascii="Arial MT"/>
                            <w:spacing w:val="-2"/>
                            <w:w w:val="80"/>
                            <w:sz w:val="14"/>
                          </w:rPr>
                          <w:t>expenditure</w:t>
                        </w:r>
                      </w:p>
                    </w:txbxContent>
                  </v:textbox>
                  <w10:wrap type="none"/>
                </v:shape>
                <v:shape style="position:absolute;left:2580;top:1565;width:276;height:1413" type="#_x0000_t202" id="docshape1076" filled="false" stroked="false">
                  <v:textbox inset="0,0,0,0">
                    <w:txbxContent>
                      <w:p>
                        <w:pPr>
                          <w:spacing w:line="161" w:lineRule="exact" w:before="0"/>
                          <w:ind w:left="0" w:right="0" w:firstLine="0"/>
                          <w:jc w:val="left"/>
                          <w:rPr>
                            <w:rFonts w:ascii="Arial MT"/>
                            <w:sz w:val="14"/>
                          </w:rPr>
                        </w:pPr>
                        <w:r>
                          <w:rPr>
                            <w:rFonts w:ascii="Arial MT"/>
                            <w:spacing w:val="-4"/>
                            <w:w w:val="85"/>
                            <w:sz w:val="14"/>
                          </w:rPr>
                          <w:t>8000</w:t>
                        </w:r>
                      </w:p>
                      <w:p>
                        <w:pPr>
                          <w:spacing w:line="240" w:lineRule="auto" w:before="16"/>
                          <w:rPr>
                            <w:rFonts w:ascii="Arial MT"/>
                            <w:sz w:val="14"/>
                          </w:rPr>
                        </w:pPr>
                      </w:p>
                      <w:p>
                        <w:pPr>
                          <w:spacing w:before="0"/>
                          <w:ind w:left="0" w:right="18" w:firstLine="0"/>
                          <w:jc w:val="right"/>
                          <w:rPr>
                            <w:rFonts w:ascii="Arial MT"/>
                            <w:sz w:val="14"/>
                          </w:rPr>
                        </w:pPr>
                        <w:r>
                          <w:rPr>
                            <w:rFonts w:ascii="Arial MT"/>
                            <w:spacing w:val="-4"/>
                            <w:w w:val="80"/>
                            <w:sz w:val="14"/>
                          </w:rPr>
                          <w:t>6000</w:t>
                        </w:r>
                      </w:p>
                      <w:p>
                        <w:pPr>
                          <w:spacing w:before="141"/>
                          <w:ind w:left="0" w:right="18" w:firstLine="0"/>
                          <w:jc w:val="right"/>
                          <w:rPr>
                            <w:rFonts w:ascii="Arial MT"/>
                            <w:sz w:val="14"/>
                          </w:rPr>
                        </w:pPr>
                        <w:r>
                          <w:rPr>
                            <w:rFonts w:ascii="Arial MT"/>
                            <w:spacing w:val="-4"/>
                            <w:w w:val="80"/>
                            <w:sz w:val="14"/>
                          </w:rPr>
                          <w:t>4000</w:t>
                        </w:r>
                      </w:p>
                      <w:p>
                        <w:pPr>
                          <w:spacing w:before="158"/>
                          <w:ind w:left="0" w:right="18" w:firstLine="0"/>
                          <w:jc w:val="right"/>
                          <w:rPr>
                            <w:rFonts w:ascii="Arial MT"/>
                            <w:sz w:val="14"/>
                          </w:rPr>
                        </w:pPr>
                        <w:r>
                          <w:rPr>
                            <w:rFonts w:ascii="Arial MT"/>
                            <w:spacing w:val="-4"/>
                            <w:w w:val="80"/>
                            <w:sz w:val="14"/>
                          </w:rPr>
                          <w:t>2000</w:t>
                        </w:r>
                      </w:p>
                      <w:p>
                        <w:pPr>
                          <w:spacing w:before="132"/>
                          <w:ind w:left="0" w:right="18" w:firstLine="0"/>
                          <w:jc w:val="right"/>
                          <w:rPr>
                            <w:rFonts w:ascii="Arial MT"/>
                            <w:sz w:val="14"/>
                          </w:rPr>
                        </w:pPr>
                        <w:r>
                          <w:rPr>
                            <w:rFonts w:ascii="Arial MT"/>
                            <w:spacing w:val="-10"/>
                            <w:w w:val="90"/>
                            <w:sz w:val="14"/>
                          </w:rPr>
                          <w:t>0</w:t>
                        </w:r>
                      </w:p>
                    </w:txbxContent>
                  </v:textbox>
                  <w10:wrap type="none"/>
                </v:shape>
                <v:shape style="position:absolute;left:3190;top:3000;width:263;height:161" type="#_x0000_t202" id="docshape1077" filled="false" stroked="false">
                  <v:textbox inset="0,0,0,0">
                    <w:txbxContent>
                      <w:p>
                        <w:pPr>
                          <w:spacing w:line="161" w:lineRule="exact" w:before="0"/>
                          <w:ind w:left="0" w:right="0" w:firstLine="0"/>
                          <w:jc w:val="left"/>
                          <w:rPr>
                            <w:rFonts w:ascii="Arial MT"/>
                            <w:sz w:val="14"/>
                          </w:rPr>
                        </w:pPr>
                        <w:r>
                          <w:rPr>
                            <w:rFonts w:ascii="Arial MT"/>
                            <w:spacing w:val="-4"/>
                            <w:w w:val="85"/>
                            <w:sz w:val="14"/>
                          </w:rPr>
                          <w:t>Total</w:t>
                        </w:r>
                      </w:p>
                    </w:txbxContent>
                  </v:textbox>
                  <w10:wrap type="none"/>
                </v:shape>
                <v:shape style="position:absolute;left:3785;top:3000;width:614;height:665" type="#_x0000_t202" id="docshape1078" filled="false" stroked="false">
                  <v:textbox inset="0,0,0,0">
                    <w:txbxContent>
                      <w:p>
                        <w:pPr>
                          <w:spacing w:line="249" w:lineRule="auto" w:before="0"/>
                          <w:ind w:left="0" w:right="0" w:firstLine="178"/>
                          <w:jc w:val="left"/>
                          <w:rPr>
                            <w:rFonts w:ascii="Arial MT"/>
                            <w:sz w:val="14"/>
                          </w:rPr>
                        </w:pPr>
                        <w:r>
                          <w:rPr>
                            <w:rFonts w:ascii="Arial MT"/>
                            <w:spacing w:val="-4"/>
                            <w:w w:val="90"/>
                            <w:sz w:val="14"/>
                          </w:rPr>
                          <w:t>Raja</w:t>
                        </w:r>
                        <w:r>
                          <w:rPr>
                            <w:rFonts w:ascii="Arial MT"/>
                            <w:spacing w:val="40"/>
                            <w:sz w:val="14"/>
                          </w:rPr>
                          <w:t> </w:t>
                        </w:r>
                        <w:r>
                          <w:rPr>
                            <w:rFonts w:ascii="Arial MT"/>
                            <w:spacing w:val="-2"/>
                            <w:w w:val="80"/>
                            <w:sz w:val="14"/>
                          </w:rPr>
                          <w:t>Rammohan</w:t>
                        </w:r>
                        <w:r>
                          <w:rPr>
                            <w:rFonts w:ascii="Arial MT"/>
                            <w:spacing w:val="40"/>
                            <w:sz w:val="14"/>
                          </w:rPr>
                          <w:t> </w:t>
                        </w:r>
                        <w:r>
                          <w:rPr>
                            <w:rFonts w:ascii="Arial MT"/>
                            <w:w w:val="80"/>
                            <w:sz w:val="14"/>
                          </w:rPr>
                          <w:t>Roy</w:t>
                        </w:r>
                        <w:r>
                          <w:rPr>
                            <w:rFonts w:ascii="Arial MT"/>
                            <w:spacing w:val="-2"/>
                            <w:w w:val="80"/>
                            <w:sz w:val="14"/>
                          </w:rPr>
                          <w:t> </w:t>
                        </w:r>
                        <w:r>
                          <w:rPr>
                            <w:rFonts w:ascii="Arial MT"/>
                            <w:w w:val="80"/>
                            <w:sz w:val="14"/>
                          </w:rPr>
                          <w:t>Library</w:t>
                        </w:r>
                        <w:r>
                          <w:rPr>
                            <w:rFonts w:ascii="Arial MT"/>
                            <w:spacing w:val="40"/>
                            <w:sz w:val="14"/>
                          </w:rPr>
                          <w:t> </w:t>
                        </w:r>
                        <w:r>
                          <w:rPr>
                            <w:rFonts w:ascii="Arial MT"/>
                            <w:spacing w:val="-2"/>
                            <w:w w:val="85"/>
                            <w:sz w:val="14"/>
                          </w:rPr>
                          <w:t>Foundation</w:t>
                        </w:r>
                      </w:p>
                    </w:txbxContent>
                  </v:textbox>
                  <w10:wrap type="none"/>
                </v:shape>
                <v:shape style="position:absolute;left:4621;top:3000;width:442;height:329" type="#_x0000_t202" id="docshape1079" filled="false" stroked="false">
                  <v:textbox inset="0,0,0,0">
                    <w:txbxContent>
                      <w:p>
                        <w:pPr>
                          <w:spacing w:line="249" w:lineRule="auto" w:before="0"/>
                          <w:ind w:left="35" w:right="15" w:hanging="36"/>
                          <w:jc w:val="left"/>
                          <w:rPr>
                            <w:rFonts w:ascii="Arial MT"/>
                            <w:sz w:val="14"/>
                          </w:rPr>
                        </w:pPr>
                        <w:r>
                          <w:rPr>
                            <w:rFonts w:ascii="Arial MT"/>
                            <w:spacing w:val="-2"/>
                            <w:w w:val="80"/>
                            <w:sz w:val="14"/>
                          </w:rPr>
                          <w:t>National</w:t>
                        </w:r>
                        <w:r>
                          <w:rPr>
                            <w:rFonts w:ascii="Arial MT"/>
                            <w:spacing w:val="40"/>
                            <w:sz w:val="14"/>
                          </w:rPr>
                          <w:t> </w:t>
                        </w:r>
                        <w:r>
                          <w:rPr>
                            <w:rFonts w:ascii="Arial MT"/>
                            <w:spacing w:val="-2"/>
                            <w:w w:val="90"/>
                            <w:sz w:val="14"/>
                          </w:rPr>
                          <w:t>Library</w:t>
                        </w:r>
                      </w:p>
                    </w:txbxContent>
                  </v:textbox>
                  <w10:wrap type="none"/>
                </v:shape>
                <v:shape style="position:absolute;left:5451;top:3000;width:1101;height:497" type="#_x0000_t202" id="docshape1080" filled="false" stroked="false">
                  <v:textbox inset="0,0,0,0">
                    <w:txbxContent>
                      <w:p>
                        <w:pPr>
                          <w:tabs>
                            <w:tab w:pos="774" w:val="left" w:leader="none"/>
                          </w:tabs>
                          <w:spacing w:line="161" w:lineRule="exact" w:before="0"/>
                          <w:ind w:left="0" w:right="0" w:firstLine="0"/>
                          <w:jc w:val="left"/>
                          <w:rPr>
                            <w:rFonts w:ascii="Arial MT"/>
                            <w:sz w:val="14"/>
                          </w:rPr>
                        </w:pPr>
                        <w:r>
                          <w:rPr>
                            <w:rFonts w:ascii="Arial MT"/>
                            <w:spacing w:val="-2"/>
                            <w:w w:val="90"/>
                            <w:sz w:val="14"/>
                          </w:rPr>
                          <w:t>Central</w:t>
                        </w:r>
                        <w:r>
                          <w:rPr>
                            <w:rFonts w:ascii="Arial MT"/>
                            <w:sz w:val="14"/>
                          </w:rPr>
                          <w:tab/>
                        </w:r>
                        <w:r>
                          <w:rPr>
                            <w:rFonts w:ascii="Arial MT"/>
                            <w:spacing w:val="-2"/>
                            <w:w w:val="90"/>
                            <w:sz w:val="14"/>
                          </w:rPr>
                          <w:t>Delhi</w:t>
                        </w:r>
                      </w:p>
                      <w:p>
                        <w:pPr>
                          <w:tabs>
                            <w:tab w:pos="748" w:val="left" w:leader="none"/>
                          </w:tabs>
                          <w:spacing w:before="7"/>
                          <w:ind w:left="38" w:right="0" w:firstLine="0"/>
                          <w:jc w:val="left"/>
                          <w:rPr>
                            <w:rFonts w:ascii="Arial MT"/>
                            <w:sz w:val="14"/>
                          </w:rPr>
                        </w:pPr>
                        <w:r>
                          <w:rPr>
                            <w:rFonts w:ascii="Arial MT"/>
                            <w:spacing w:val="-2"/>
                            <w:w w:val="90"/>
                            <w:sz w:val="14"/>
                          </w:rPr>
                          <w:t>Sectt.</w:t>
                        </w:r>
                        <w:r>
                          <w:rPr>
                            <w:rFonts w:ascii="Arial MT"/>
                            <w:sz w:val="14"/>
                          </w:rPr>
                          <w:tab/>
                        </w:r>
                        <w:r>
                          <w:rPr>
                            <w:rFonts w:ascii="Arial MT"/>
                            <w:spacing w:val="-2"/>
                            <w:w w:val="90"/>
                            <w:sz w:val="14"/>
                          </w:rPr>
                          <w:t>Public</w:t>
                        </w:r>
                      </w:p>
                      <w:p>
                        <w:pPr>
                          <w:tabs>
                            <w:tab w:pos="729" w:val="left" w:leader="none"/>
                          </w:tabs>
                          <w:spacing w:before="7"/>
                          <w:ind w:left="9" w:right="0" w:firstLine="0"/>
                          <w:jc w:val="left"/>
                          <w:rPr>
                            <w:rFonts w:ascii="Arial MT"/>
                            <w:sz w:val="14"/>
                          </w:rPr>
                        </w:pPr>
                        <w:r>
                          <w:rPr>
                            <w:rFonts w:ascii="Arial MT"/>
                            <w:spacing w:val="-2"/>
                            <w:w w:val="90"/>
                            <w:sz w:val="14"/>
                          </w:rPr>
                          <w:t>Library</w:t>
                        </w:r>
                        <w:r>
                          <w:rPr>
                            <w:rFonts w:ascii="Arial MT"/>
                            <w:sz w:val="14"/>
                          </w:rPr>
                          <w:tab/>
                        </w:r>
                        <w:r>
                          <w:rPr>
                            <w:rFonts w:ascii="Arial MT"/>
                            <w:spacing w:val="-2"/>
                            <w:w w:val="85"/>
                            <w:sz w:val="14"/>
                          </w:rPr>
                          <w:t>Library</w:t>
                        </w:r>
                      </w:p>
                    </w:txbxContent>
                  </v:textbox>
                  <w10:wrap type="none"/>
                </v:shape>
                <v:shape style="position:absolute;left:6831;top:3000;width:581;height:833" type="#_x0000_t202" id="docshape1081" filled="false" stroked="false">
                  <v:textbox inset="0,0,0,0">
                    <w:txbxContent>
                      <w:p>
                        <w:pPr>
                          <w:spacing w:line="249" w:lineRule="auto" w:before="0"/>
                          <w:ind w:left="0" w:right="18" w:firstLine="0"/>
                          <w:jc w:val="center"/>
                          <w:rPr>
                            <w:rFonts w:ascii="Arial MT"/>
                            <w:sz w:val="14"/>
                          </w:rPr>
                        </w:pPr>
                        <w:r>
                          <w:rPr>
                            <w:rFonts w:ascii="Arial MT"/>
                            <w:spacing w:val="-2"/>
                            <w:w w:val="90"/>
                            <w:sz w:val="14"/>
                          </w:rPr>
                          <w:t>National</w:t>
                        </w:r>
                        <w:r>
                          <w:rPr>
                            <w:rFonts w:ascii="Arial MT"/>
                            <w:spacing w:val="40"/>
                            <w:sz w:val="14"/>
                          </w:rPr>
                          <w:t> </w:t>
                        </w:r>
                        <w:r>
                          <w:rPr>
                            <w:rFonts w:ascii="Arial MT"/>
                            <w:w w:val="90"/>
                            <w:sz w:val="14"/>
                          </w:rPr>
                          <w:t>Policy</w:t>
                        </w:r>
                        <w:r>
                          <w:rPr>
                            <w:rFonts w:ascii="Arial MT"/>
                            <w:spacing w:val="-7"/>
                            <w:w w:val="90"/>
                            <w:sz w:val="14"/>
                          </w:rPr>
                          <w:t> </w:t>
                        </w:r>
                        <w:r>
                          <w:rPr>
                            <w:rFonts w:ascii="Arial MT"/>
                            <w:w w:val="90"/>
                            <w:sz w:val="14"/>
                          </w:rPr>
                          <w:t>on</w:t>
                        </w:r>
                        <w:r>
                          <w:rPr>
                            <w:rFonts w:ascii="Arial MT"/>
                            <w:spacing w:val="40"/>
                            <w:sz w:val="14"/>
                          </w:rPr>
                          <w:t> </w:t>
                        </w:r>
                        <w:r>
                          <w:rPr>
                            <w:rFonts w:ascii="Arial MT"/>
                            <w:spacing w:val="-4"/>
                            <w:w w:val="85"/>
                            <w:sz w:val="14"/>
                          </w:rPr>
                          <w:t>Library</w:t>
                        </w:r>
                        <w:r>
                          <w:rPr>
                            <w:rFonts w:ascii="Arial MT"/>
                            <w:spacing w:val="-5"/>
                            <w:w w:val="85"/>
                            <w:sz w:val="14"/>
                          </w:rPr>
                          <w:t> </w:t>
                        </w:r>
                        <w:r>
                          <w:rPr>
                            <w:rFonts w:ascii="Arial MT"/>
                            <w:spacing w:val="-4"/>
                            <w:w w:val="85"/>
                            <w:sz w:val="14"/>
                          </w:rPr>
                          <w:t>and</w:t>
                        </w:r>
                        <w:r>
                          <w:rPr>
                            <w:rFonts w:ascii="Arial MT"/>
                            <w:spacing w:val="40"/>
                            <w:sz w:val="14"/>
                          </w:rPr>
                          <w:t> </w:t>
                        </w:r>
                        <w:r>
                          <w:rPr>
                            <w:rFonts w:ascii="Arial MT"/>
                            <w:spacing w:val="-2"/>
                            <w:w w:val="80"/>
                            <w:sz w:val="14"/>
                          </w:rPr>
                          <w:t>Information</w:t>
                        </w:r>
                        <w:r>
                          <w:rPr>
                            <w:rFonts w:ascii="Arial MT"/>
                            <w:spacing w:val="40"/>
                            <w:sz w:val="14"/>
                          </w:rPr>
                          <w:t> </w:t>
                        </w:r>
                        <w:r>
                          <w:rPr>
                            <w:rFonts w:ascii="Arial MT"/>
                            <w:spacing w:val="-2"/>
                            <w:w w:val="90"/>
                            <w:sz w:val="14"/>
                          </w:rPr>
                          <w:t>System</w:t>
                        </w:r>
                      </w:p>
                    </w:txbxContent>
                  </v:textbox>
                  <w10:wrap type="none"/>
                </v:shape>
                <v:shape style="position:absolute;left:7648;top:3000;width:435;height:497" type="#_x0000_t202" id="docshape1082" filled="false" stroked="false">
                  <v:textbox inset="0,0,0,0">
                    <w:txbxContent>
                      <w:p>
                        <w:pPr>
                          <w:spacing w:line="249" w:lineRule="auto" w:before="0"/>
                          <w:ind w:left="0" w:right="18" w:firstLine="26"/>
                          <w:jc w:val="both"/>
                          <w:rPr>
                            <w:rFonts w:ascii="Arial MT"/>
                            <w:sz w:val="14"/>
                          </w:rPr>
                        </w:pPr>
                        <w:r>
                          <w:rPr>
                            <w:rFonts w:ascii="Arial MT"/>
                            <w:spacing w:val="-2"/>
                            <w:w w:val="85"/>
                            <w:sz w:val="14"/>
                          </w:rPr>
                          <w:t>Central</w:t>
                        </w:r>
                        <w:r>
                          <w:rPr>
                            <w:rFonts w:ascii="Arial MT"/>
                            <w:spacing w:val="40"/>
                            <w:sz w:val="14"/>
                          </w:rPr>
                          <w:t> </w:t>
                        </w:r>
                        <w:r>
                          <w:rPr>
                            <w:rFonts w:ascii="Arial MT"/>
                            <w:spacing w:val="-2"/>
                            <w:w w:val="90"/>
                            <w:sz w:val="14"/>
                          </w:rPr>
                          <w:t>Library,</w:t>
                        </w:r>
                        <w:r>
                          <w:rPr>
                            <w:rFonts w:ascii="Arial MT"/>
                            <w:spacing w:val="40"/>
                            <w:sz w:val="14"/>
                          </w:rPr>
                          <w:t> </w:t>
                        </w:r>
                        <w:r>
                          <w:rPr>
                            <w:rFonts w:ascii="Arial MT"/>
                            <w:spacing w:val="-2"/>
                            <w:w w:val="80"/>
                            <w:sz w:val="14"/>
                          </w:rPr>
                          <w:t>Bombay</w:t>
                        </w:r>
                      </w:p>
                    </w:txbxContent>
                  </v:textbox>
                  <w10:wrap type="none"/>
                </v:shape>
                <v:shape style="position:absolute;left:8327;top:3000;width:1276;height:161" type="#_x0000_t202" id="docshape1083" filled="false" stroked="false">
                  <v:textbox inset="0,0,0,0">
                    <w:txbxContent>
                      <w:p>
                        <w:pPr>
                          <w:tabs>
                            <w:tab w:pos="893" w:val="left" w:leader="none"/>
                          </w:tabs>
                          <w:spacing w:line="161" w:lineRule="exact" w:before="0"/>
                          <w:ind w:left="0" w:right="0" w:firstLine="0"/>
                          <w:jc w:val="left"/>
                          <w:rPr>
                            <w:rFonts w:ascii="Arial MT"/>
                            <w:sz w:val="14"/>
                          </w:rPr>
                        </w:pPr>
                        <w:r>
                          <w:rPr>
                            <w:rFonts w:ascii="Arial MT"/>
                            <w:spacing w:val="-2"/>
                            <w:w w:val="90"/>
                            <w:sz w:val="14"/>
                          </w:rPr>
                          <w:t>Connemara</w:t>
                        </w:r>
                        <w:r>
                          <w:rPr>
                            <w:rFonts w:ascii="Arial MT"/>
                            <w:sz w:val="14"/>
                          </w:rPr>
                          <w:tab/>
                        </w:r>
                        <w:r>
                          <w:rPr>
                            <w:rFonts w:ascii="Arial MT"/>
                            <w:spacing w:val="-2"/>
                            <w:w w:val="85"/>
                            <w:sz w:val="14"/>
                          </w:rPr>
                          <w:t>Central</w:t>
                        </w:r>
                      </w:p>
                    </w:txbxContent>
                  </v:textbox>
                  <w10:wrap type="none"/>
                </v:shape>
                <v:shape style="position:absolute;left:8450;top:3168;width:363;height:161" type="#_x0000_t202" id="docshape1084" filled="false" stroked="false">
                  <v:textbox inset="0,0,0,0">
                    <w:txbxContent>
                      <w:p>
                        <w:pPr>
                          <w:spacing w:line="161" w:lineRule="exact" w:before="0"/>
                          <w:ind w:left="0" w:right="0" w:firstLine="0"/>
                          <w:jc w:val="left"/>
                          <w:rPr>
                            <w:rFonts w:ascii="Arial MT"/>
                            <w:sz w:val="14"/>
                          </w:rPr>
                        </w:pPr>
                        <w:r>
                          <w:rPr>
                            <w:rFonts w:ascii="Arial MT"/>
                            <w:spacing w:val="-2"/>
                            <w:w w:val="85"/>
                            <w:sz w:val="14"/>
                          </w:rPr>
                          <w:t>Library</w:t>
                        </w:r>
                      </w:p>
                    </w:txbxContent>
                  </v:textbox>
                  <w10:wrap type="none"/>
                </v:shape>
                <v:shape style="position:absolute;left:9142;top:3168;width:539;height:329" type="#_x0000_t202" id="docshape1085" filled="false" stroked="false">
                  <v:textbox inset="0,0,0,0">
                    <w:txbxContent>
                      <w:p>
                        <w:pPr>
                          <w:spacing w:line="249" w:lineRule="auto" w:before="0"/>
                          <w:ind w:left="87" w:right="18" w:hanging="88"/>
                          <w:jc w:val="left"/>
                          <w:rPr>
                            <w:rFonts w:ascii="Arial MT"/>
                            <w:sz w:val="14"/>
                          </w:rPr>
                        </w:pPr>
                        <w:r>
                          <w:rPr>
                            <w:rFonts w:ascii="Arial MT"/>
                            <w:spacing w:val="-2"/>
                            <w:w w:val="80"/>
                            <w:sz w:val="14"/>
                          </w:rPr>
                          <w:t>Reference</w:t>
                        </w:r>
                        <w:r>
                          <w:rPr>
                            <w:rFonts w:ascii="Arial MT"/>
                            <w:spacing w:val="40"/>
                            <w:sz w:val="14"/>
                          </w:rPr>
                          <w:t> </w:t>
                        </w:r>
                        <w:r>
                          <w:rPr>
                            <w:rFonts w:ascii="Arial MT"/>
                            <w:spacing w:val="-2"/>
                            <w:w w:val="90"/>
                            <w:sz w:val="14"/>
                          </w:rPr>
                          <w:t>Library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7248">
                <wp:simplePos x="0" y="0"/>
                <wp:positionH relativeFrom="page">
                  <wp:posOffset>1356158</wp:posOffset>
                </wp:positionH>
                <wp:positionV relativeFrom="paragraph">
                  <wp:posOffset>983073</wp:posOffset>
                </wp:positionV>
                <wp:extent cx="142240" cy="414655"/>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142240" cy="414655"/>
                        </a:xfrm>
                        <a:prstGeom prst="rect">
                          <a:avLst/>
                        </a:prstGeom>
                      </wps:spPr>
                      <wps:txbx>
                        <w:txbxContent>
                          <w:p>
                            <w:pPr>
                              <w:spacing w:before="19"/>
                              <w:ind w:left="20" w:right="0" w:firstLine="0"/>
                              <w:jc w:val="left"/>
                              <w:rPr>
                                <w:rFonts w:ascii="Arial MT"/>
                                <w:sz w:val="16"/>
                              </w:rPr>
                            </w:pPr>
                            <w:r>
                              <w:rPr>
                                <w:rFonts w:ascii="Arial MT"/>
                                <w:w w:val="80"/>
                                <w:sz w:val="16"/>
                              </w:rPr>
                              <w:t>Rs.</w:t>
                            </w:r>
                            <w:r>
                              <w:rPr>
                                <w:rFonts w:ascii="Arial MT"/>
                                <w:spacing w:val="-7"/>
                                <w:sz w:val="16"/>
                              </w:rPr>
                              <w:t> </w:t>
                            </w:r>
                            <w:r>
                              <w:rPr>
                                <w:rFonts w:ascii="Arial MT"/>
                                <w:w w:val="80"/>
                                <w:sz w:val="16"/>
                              </w:rPr>
                              <w:t>in</w:t>
                            </w:r>
                            <w:r>
                              <w:rPr>
                                <w:rFonts w:ascii="Arial MT"/>
                                <w:spacing w:val="-6"/>
                                <w:sz w:val="16"/>
                              </w:rPr>
                              <w:t> </w:t>
                            </w:r>
                            <w:r>
                              <w:rPr>
                                <w:rFonts w:ascii="Arial MT"/>
                                <w:spacing w:val="-4"/>
                                <w:w w:val="80"/>
                                <w:sz w:val="16"/>
                              </w:rPr>
                              <w:t>lakh</w:t>
                            </w:r>
                          </w:p>
                        </w:txbxContent>
                      </wps:txbx>
                      <wps:bodyPr wrap="square" lIns="0" tIns="0" rIns="0" bIns="0" rtlCol="0" vert="vert270">
                        <a:noAutofit/>
                      </wps:bodyPr>
                    </wps:wsp>
                  </a:graphicData>
                </a:graphic>
              </wp:anchor>
            </w:drawing>
          </mc:Choice>
          <mc:Fallback>
            <w:pict>
              <v:shape style="position:absolute;margin-left:106.784103pt;margin-top:77.407349pt;width:11.2pt;height:32.65pt;mso-position-horizontal-relative:page;mso-position-vertical-relative:paragraph;z-index:15797248" type="#_x0000_t202" id="docshape1086" filled="false" stroked="false">
                <v:textbox inset="0,0,0,0" style="layout-flow:vertical;mso-layout-flow-alt:bottom-to-top">
                  <w:txbxContent>
                    <w:p>
                      <w:pPr>
                        <w:spacing w:before="19"/>
                        <w:ind w:left="20" w:right="0" w:firstLine="0"/>
                        <w:jc w:val="left"/>
                        <w:rPr>
                          <w:rFonts w:ascii="Arial MT"/>
                          <w:sz w:val="16"/>
                        </w:rPr>
                      </w:pPr>
                      <w:r>
                        <w:rPr>
                          <w:rFonts w:ascii="Arial MT"/>
                          <w:w w:val="80"/>
                          <w:sz w:val="16"/>
                        </w:rPr>
                        <w:t>Rs.</w:t>
                      </w:r>
                      <w:r>
                        <w:rPr>
                          <w:rFonts w:ascii="Arial MT"/>
                          <w:spacing w:val="-7"/>
                          <w:sz w:val="16"/>
                        </w:rPr>
                        <w:t> </w:t>
                      </w:r>
                      <w:r>
                        <w:rPr>
                          <w:rFonts w:ascii="Arial MT"/>
                          <w:w w:val="80"/>
                          <w:sz w:val="16"/>
                        </w:rPr>
                        <w:t>in</w:t>
                      </w:r>
                      <w:r>
                        <w:rPr>
                          <w:rFonts w:ascii="Arial MT"/>
                          <w:spacing w:val="-6"/>
                          <w:sz w:val="16"/>
                        </w:rPr>
                        <w:t> </w:t>
                      </w:r>
                      <w:r>
                        <w:rPr>
                          <w:rFonts w:ascii="Arial MT"/>
                          <w:spacing w:val="-4"/>
                          <w:w w:val="80"/>
                          <w:sz w:val="16"/>
                        </w:rPr>
                        <w:t>lakh</w:t>
                      </w:r>
                    </w:p>
                  </w:txbxContent>
                </v:textbox>
                <w10:wrap type="none"/>
              </v:shape>
            </w:pict>
          </mc:Fallback>
        </mc:AlternateContent>
      </w:r>
      <w:r>
        <w:rPr>
          <w:w w:val="90"/>
        </w:rPr>
        <w:t>Figure</w:t>
      </w:r>
      <w:r>
        <w:rPr>
          <w:spacing w:val="-1"/>
          <w:w w:val="90"/>
        </w:rPr>
        <w:t> </w:t>
      </w:r>
      <w:r>
        <w:rPr>
          <w:w w:val="90"/>
        </w:rPr>
        <w:t>1:</w:t>
      </w:r>
      <w:r>
        <w:rPr>
          <w:spacing w:val="-1"/>
          <w:w w:val="90"/>
        </w:rPr>
        <w:t> </w:t>
      </w:r>
      <w:r>
        <w:rPr>
          <w:color w:val="2E614A"/>
          <w:w w:val="90"/>
        </w:rPr>
        <w:t>Libraries:</w:t>
      </w:r>
      <w:r>
        <w:rPr>
          <w:color w:val="2E614A"/>
          <w:spacing w:val="-1"/>
          <w:w w:val="90"/>
        </w:rPr>
        <w:t> </w:t>
      </w:r>
      <w:r>
        <w:rPr>
          <w:color w:val="2E614A"/>
          <w:w w:val="90"/>
        </w:rPr>
        <w:t>Outlay</w:t>
      </w:r>
      <w:r>
        <w:rPr>
          <w:color w:val="2E614A"/>
          <w:spacing w:val="-1"/>
          <w:w w:val="90"/>
        </w:rPr>
        <w:t> </w:t>
      </w:r>
      <w:r>
        <w:rPr>
          <w:color w:val="2E614A"/>
          <w:w w:val="90"/>
        </w:rPr>
        <w:t>and</w:t>
      </w:r>
      <w:r>
        <w:rPr>
          <w:color w:val="2E614A"/>
          <w:spacing w:val="-6"/>
        </w:rPr>
        <w:t> </w:t>
      </w:r>
      <w:r>
        <w:rPr>
          <w:color w:val="2E614A"/>
          <w:w w:val="90"/>
        </w:rPr>
        <w:t>expenditure</w:t>
      </w:r>
      <w:r>
        <w:rPr>
          <w:color w:val="2E614A"/>
          <w:spacing w:val="-1"/>
          <w:w w:val="90"/>
        </w:rPr>
        <w:t> </w:t>
      </w:r>
      <w:r>
        <w:rPr>
          <w:color w:val="2E614A"/>
          <w:w w:val="90"/>
        </w:rPr>
        <w:t>of</w:t>
      </w:r>
      <w:r>
        <w:rPr>
          <w:color w:val="2E614A"/>
        </w:rPr>
        <w:t> </w:t>
      </w:r>
      <w:r>
        <w:rPr>
          <w:color w:val="2E614A"/>
          <w:w w:val="90"/>
        </w:rPr>
        <w:t>Tenth</w:t>
      </w:r>
      <w:r>
        <w:rPr>
          <w:color w:val="2E614A"/>
          <w:spacing w:val="-1"/>
          <w:w w:val="90"/>
        </w:rPr>
        <w:t> </w:t>
      </w:r>
      <w:r>
        <w:rPr>
          <w:color w:val="2E614A"/>
          <w:w w:val="90"/>
        </w:rPr>
        <w:t>Five</w:t>
      </w:r>
      <w:r>
        <w:rPr>
          <w:color w:val="2E614A"/>
          <w:spacing w:val="-8"/>
          <w:w w:val="90"/>
        </w:rPr>
        <w:t> </w:t>
      </w:r>
      <w:r>
        <w:rPr>
          <w:color w:val="2E614A"/>
          <w:w w:val="90"/>
        </w:rPr>
        <w:t>Year</w:t>
      </w:r>
      <w:r>
        <w:rPr>
          <w:color w:val="2E614A"/>
          <w:spacing w:val="-1"/>
          <w:w w:val="90"/>
        </w:rPr>
        <w:t> </w:t>
      </w:r>
      <w:r>
        <w:rPr>
          <w:color w:val="2E614A"/>
          <w:spacing w:val="-4"/>
          <w:w w:val="90"/>
        </w:rPr>
        <w:t>Plan</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31"/>
        <w:rPr>
          <w:b/>
          <w:sz w:val="16"/>
        </w:rPr>
      </w:pPr>
    </w:p>
    <w:p>
      <w:pPr>
        <w:spacing w:before="0"/>
        <w:ind w:left="2001" w:right="0" w:firstLine="0"/>
        <w:jc w:val="left"/>
        <w:rPr>
          <w:sz w:val="16"/>
        </w:rPr>
      </w:pPr>
      <w:r>
        <w:rPr>
          <w:i/>
          <w:spacing w:val="-4"/>
          <w:sz w:val="16"/>
        </w:rPr>
        <w:t>Source</w:t>
      </w:r>
      <w:r>
        <w:rPr>
          <w:spacing w:val="-4"/>
          <w:sz w:val="16"/>
        </w:rPr>
        <w:t>: Working</w:t>
      </w:r>
      <w:r>
        <w:rPr>
          <w:spacing w:val="-1"/>
          <w:sz w:val="16"/>
        </w:rPr>
        <w:t> </w:t>
      </w:r>
      <w:r>
        <w:rPr>
          <w:spacing w:val="-4"/>
          <w:sz w:val="16"/>
        </w:rPr>
        <w:t>Group</w:t>
      </w:r>
      <w:r>
        <w:rPr>
          <w:sz w:val="16"/>
        </w:rPr>
        <w:t> </w:t>
      </w:r>
      <w:r>
        <w:rPr>
          <w:spacing w:val="-4"/>
          <w:sz w:val="16"/>
        </w:rPr>
        <w:t>on</w:t>
      </w:r>
      <w:r>
        <w:rPr>
          <w:spacing w:val="-1"/>
          <w:sz w:val="16"/>
        </w:rPr>
        <w:t> </w:t>
      </w:r>
      <w:r>
        <w:rPr>
          <w:spacing w:val="-4"/>
          <w:sz w:val="16"/>
        </w:rPr>
        <w:t>Art</w:t>
      </w:r>
      <w:r>
        <w:rPr>
          <w:spacing w:val="-1"/>
          <w:sz w:val="16"/>
        </w:rPr>
        <w:t> </w:t>
      </w:r>
      <w:r>
        <w:rPr>
          <w:spacing w:val="-4"/>
          <w:sz w:val="16"/>
        </w:rPr>
        <w:t>and</w:t>
      </w:r>
      <w:r>
        <w:rPr>
          <w:spacing w:val="-1"/>
          <w:sz w:val="16"/>
        </w:rPr>
        <w:t> </w:t>
      </w:r>
      <w:r>
        <w:rPr>
          <w:spacing w:val="-4"/>
          <w:sz w:val="16"/>
        </w:rPr>
        <w:t>Culture,</w:t>
      </w:r>
      <w:r>
        <w:rPr>
          <w:sz w:val="16"/>
        </w:rPr>
        <w:t> </w:t>
      </w:r>
      <w:r>
        <w:rPr>
          <w:spacing w:val="-4"/>
          <w:sz w:val="16"/>
        </w:rPr>
        <w:t>Eleventh</w:t>
      </w:r>
      <w:r>
        <w:rPr>
          <w:spacing w:val="-1"/>
          <w:sz w:val="16"/>
        </w:rPr>
        <w:t> </w:t>
      </w:r>
      <w:r>
        <w:rPr>
          <w:spacing w:val="-4"/>
          <w:sz w:val="16"/>
        </w:rPr>
        <w:t>Five Year</w:t>
      </w:r>
      <w:r>
        <w:rPr>
          <w:sz w:val="16"/>
        </w:rPr>
        <w:t> </w:t>
      </w:r>
      <w:r>
        <w:rPr>
          <w:spacing w:val="-4"/>
          <w:sz w:val="16"/>
        </w:rPr>
        <w:t>Plan,</w:t>
      </w:r>
      <w:r>
        <w:rPr>
          <w:spacing w:val="-1"/>
          <w:sz w:val="16"/>
        </w:rPr>
        <w:t> </w:t>
      </w:r>
      <w:r>
        <w:rPr>
          <w:spacing w:val="-4"/>
          <w:sz w:val="16"/>
        </w:rPr>
        <w:t>Planning</w:t>
      </w:r>
      <w:r>
        <w:rPr>
          <w:spacing w:val="-1"/>
          <w:sz w:val="16"/>
        </w:rPr>
        <w:t> </w:t>
      </w:r>
      <w:r>
        <w:rPr>
          <w:spacing w:val="-4"/>
          <w:sz w:val="16"/>
        </w:rPr>
        <w:t>Commission</w:t>
      </w:r>
    </w:p>
    <w:p>
      <w:pPr>
        <w:spacing w:after="0"/>
        <w:jc w:val="left"/>
        <w:rPr>
          <w:sz w:val="16"/>
        </w:rPr>
        <w:sectPr>
          <w:pgSz w:w="11910" w:h="16840"/>
          <w:pgMar w:header="0" w:footer="675" w:top="940" w:bottom="8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p>
    <w:p>
      <w:pPr>
        <w:spacing w:after="0"/>
        <w:rPr>
          <w:sz w:val="20"/>
        </w:rPr>
        <w:sectPr>
          <w:pgSz w:w="11910" w:h="16840"/>
          <w:pgMar w:header="0" w:footer="675" w:top="0" w:bottom="860" w:left="0" w:right="0"/>
        </w:sectPr>
      </w:pPr>
    </w:p>
    <w:p>
      <w:pPr>
        <w:pStyle w:val="Heading6"/>
        <w:spacing w:before="118"/>
        <w:ind w:left="1080" w:firstLine="0"/>
      </w:pPr>
      <w:r>
        <w:rPr/>
        <mc:AlternateContent>
          <mc:Choice Requires="wps">
            <w:drawing>
              <wp:anchor distT="0" distB="0" distL="0" distR="0" allowOverlap="1" layoutInCell="1" locked="0" behindDoc="0" simplePos="0" relativeHeight="15798272">
                <wp:simplePos x="0" y="0"/>
                <wp:positionH relativeFrom="page">
                  <wp:posOffset>0</wp:posOffset>
                </wp:positionH>
                <wp:positionV relativeFrom="paragraph">
                  <wp:posOffset>-2174535</wp:posOffset>
                </wp:positionV>
                <wp:extent cx="7560309" cy="1752600"/>
                <wp:effectExtent l="0" t="0" r="0" b="0"/>
                <wp:wrapNone/>
                <wp:docPr id="1099" name="Group 1099"/>
                <wp:cNvGraphicFramePr>
                  <a:graphicFrameLocks/>
                </wp:cNvGraphicFramePr>
                <a:graphic>
                  <a:graphicData uri="http://schemas.microsoft.com/office/word/2010/wordprocessingGroup">
                    <wpg:wgp>
                      <wpg:cNvPr id="1099" name="Group 1099"/>
                      <wpg:cNvGrpSpPr/>
                      <wpg:grpSpPr>
                        <a:xfrm>
                          <a:off x="0" y="0"/>
                          <a:ext cx="7560309" cy="1752600"/>
                          <a:chExt cx="7560309" cy="1752600"/>
                        </a:xfrm>
                      </wpg:grpSpPr>
                      <pic:pic>
                        <pic:nvPicPr>
                          <pic:cNvPr id="1100" name="Image 1100"/>
                          <pic:cNvPicPr/>
                        </pic:nvPicPr>
                        <pic:blipFill>
                          <a:blip r:embed="rId11" cstate="print"/>
                          <a:stretch>
                            <a:fillRect/>
                          </a:stretch>
                        </pic:blipFill>
                        <pic:spPr>
                          <a:xfrm>
                            <a:off x="0" y="0"/>
                            <a:ext cx="7559999" cy="1752562"/>
                          </a:xfrm>
                          <a:prstGeom prst="rect">
                            <a:avLst/>
                          </a:prstGeom>
                        </pic:spPr>
                      </pic:pic>
                      <wps:wsp>
                        <wps:cNvPr id="1101" name="Textbox 1101"/>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School</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0pt;margin-top:-171.223282pt;width:595.3pt;height:138pt;mso-position-horizontal-relative:page;mso-position-vertical-relative:paragraph;z-index:15798272" id="docshapegroup1087" coordorigin="0,-3424" coordsize="11906,2760">
                <v:shape style="position:absolute;left:0;top:-3425;width:11906;height:2760" type="#_x0000_t75" id="docshape1088" stroked="false">
                  <v:imagedata r:id="rId11" o:title=""/>
                </v:shape>
                <v:shape style="position:absolute;left:0;top:-3425;width:11906;height:2760" type="#_x0000_t202" id="docshape1089"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School</w:t>
                        </w:r>
                        <w:r>
                          <w:rPr>
                            <w:rFonts w:ascii="Trebuchet MS"/>
                            <w:b/>
                            <w:color w:val="FFFFFF"/>
                            <w:spacing w:val="-1"/>
                            <w:sz w:val="68"/>
                          </w:rPr>
                          <w:t> </w:t>
                        </w:r>
                        <w:r>
                          <w:rPr>
                            <w:rFonts w:ascii="Trebuchet MS"/>
                            <w:b/>
                            <w:color w:val="FFFFFF"/>
                            <w:spacing w:val="-2"/>
                            <w:sz w:val="68"/>
                          </w:rPr>
                          <w:t>Education</w:t>
                        </w:r>
                      </w:p>
                    </w:txbxContent>
                  </v:textbox>
                  <w10:wrap type="none"/>
                </v:shape>
                <w10:wrap type="none"/>
              </v:group>
            </w:pict>
          </mc:Fallback>
        </mc:AlternateContent>
      </w:r>
      <w:r>
        <w:rPr>
          <w:color w:val="2E614A"/>
          <w:spacing w:val="-2"/>
        </w:rPr>
        <w:t>Introduction</w:t>
      </w:r>
    </w:p>
    <w:p>
      <w:pPr>
        <w:pStyle w:val="BodyText"/>
        <w:spacing w:line="266" w:lineRule="auto" w:before="286"/>
        <w:ind w:left="1777"/>
        <w:jc w:val="both"/>
      </w:pPr>
      <w:r>
        <w:rPr/>
        <mc:AlternateContent>
          <mc:Choice Requires="wps">
            <w:drawing>
              <wp:anchor distT="0" distB="0" distL="0" distR="0" allowOverlap="1" layoutInCell="1" locked="0" behindDoc="1" simplePos="0" relativeHeight="479375360">
                <wp:simplePos x="0" y="0"/>
                <wp:positionH relativeFrom="page">
                  <wp:posOffset>685800</wp:posOffset>
                </wp:positionH>
                <wp:positionV relativeFrom="paragraph">
                  <wp:posOffset>92212</wp:posOffset>
                </wp:positionV>
                <wp:extent cx="436245" cy="757555"/>
                <wp:effectExtent l="0" t="0" r="0" b="0"/>
                <wp:wrapNone/>
                <wp:docPr id="1102" name="Textbox 1102"/>
                <wp:cNvGraphicFramePr>
                  <a:graphicFrameLocks/>
                </wp:cNvGraphicFramePr>
                <a:graphic>
                  <a:graphicData uri="http://schemas.microsoft.com/office/word/2010/wordprocessingShape">
                    <wps:wsp>
                      <wps:cNvPr id="1102" name="Textbox 1102"/>
                      <wps:cNvSpPr txBox="1"/>
                      <wps:spPr>
                        <a:xfrm>
                          <a:off x="0" y="0"/>
                          <a:ext cx="436245" cy="757555"/>
                        </a:xfrm>
                        <a:prstGeom prst="rect">
                          <a:avLst/>
                        </a:prstGeom>
                      </wps:spPr>
                      <wps:txbx>
                        <w:txbxContent>
                          <w:p>
                            <w:pPr>
                              <w:spacing w:line="1135" w:lineRule="exact" w:before="0"/>
                              <w:ind w:left="0" w:right="0" w:firstLine="0"/>
                              <w:jc w:val="left"/>
                              <w:rPr>
                                <w:sz w:val="106"/>
                              </w:rPr>
                            </w:pPr>
                            <w:r>
                              <w:rPr>
                                <w:color w:val="9CBF3B"/>
                                <w:spacing w:val="-32"/>
                                <w:sz w:val="106"/>
                              </w:rPr>
                              <w:t>R</w:t>
                            </w:r>
                          </w:p>
                        </w:txbxContent>
                      </wps:txbx>
                      <wps:bodyPr wrap="square" lIns="0" tIns="0" rIns="0" bIns="0" rtlCol="0">
                        <a:noAutofit/>
                      </wps:bodyPr>
                    </wps:wsp>
                  </a:graphicData>
                </a:graphic>
              </wp:anchor>
            </w:drawing>
          </mc:Choice>
          <mc:Fallback>
            <w:pict>
              <v:shape style="position:absolute;margin-left:54pt;margin-top:7.260826pt;width:34.35pt;height:59.65pt;mso-position-horizontal-relative:page;mso-position-vertical-relative:paragraph;z-index:-23941120" type="#_x0000_t202" id="docshape1090" filled="false" stroked="false">
                <v:textbox inset="0,0,0,0">
                  <w:txbxContent>
                    <w:p>
                      <w:pPr>
                        <w:spacing w:line="1135" w:lineRule="exact" w:before="0"/>
                        <w:ind w:left="0" w:right="0" w:firstLine="0"/>
                        <w:jc w:val="left"/>
                        <w:rPr>
                          <w:sz w:val="106"/>
                        </w:rPr>
                      </w:pPr>
                      <w:r>
                        <w:rPr>
                          <w:color w:val="9CBF3B"/>
                          <w:spacing w:val="-32"/>
                          <w:sz w:val="106"/>
                        </w:rPr>
                        <w:t>R</w:t>
                      </w:r>
                    </w:p>
                  </w:txbxContent>
                </v:textbox>
                <w10:wrap type="none"/>
              </v:shape>
            </w:pict>
          </mc:Fallback>
        </mc:AlternateContent>
      </w:r>
      <w:r>
        <w:rPr/>
        <w:t>eforms in school education are pivotal </w:t>
      </w:r>
      <w:r>
        <w:rPr/>
        <w:t>for creating an edifice on which a knowledge society</w:t>
      </w:r>
      <w:r>
        <w:rPr>
          <w:spacing w:val="51"/>
        </w:rPr>
        <w:t> </w:t>
      </w:r>
      <w:r>
        <w:rPr/>
        <w:t>can</w:t>
      </w:r>
      <w:r>
        <w:rPr>
          <w:spacing w:val="51"/>
        </w:rPr>
        <w:t> </w:t>
      </w:r>
      <w:r>
        <w:rPr/>
        <w:t>be</w:t>
      </w:r>
      <w:r>
        <w:rPr>
          <w:spacing w:val="51"/>
        </w:rPr>
        <w:t> </w:t>
      </w:r>
      <w:r>
        <w:rPr/>
        <w:t>structured.</w:t>
      </w:r>
      <w:r>
        <w:rPr>
          <w:spacing w:val="49"/>
        </w:rPr>
        <w:t> </w:t>
      </w:r>
      <w:r>
        <w:rPr/>
        <w:t>While</w:t>
      </w:r>
      <w:r>
        <w:rPr>
          <w:spacing w:val="51"/>
        </w:rPr>
        <w:t> </w:t>
      </w:r>
      <w:r>
        <w:rPr/>
        <w:t>India</w:t>
      </w:r>
      <w:r>
        <w:rPr>
          <w:spacing w:val="51"/>
        </w:rPr>
        <w:t> </w:t>
      </w:r>
      <w:r>
        <w:rPr>
          <w:spacing w:val="-5"/>
        </w:rPr>
        <w:t>has</w:t>
      </w:r>
    </w:p>
    <w:p>
      <w:pPr>
        <w:pStyle w:val="BodyText"/>
        <w:spacing w:line="266" w:lineRule="auto"/>
        <w:ind w:left="1080"/>
        <w:jc w:val="both"/>
      </w:pPr>
      <w:r>
        <w:rPr/>
        <w:t>witnessed significant progress in school </w:t>
      </w:r>
      <w:r>
        <w:rPr/>
        <w:t>education, the goal of universal access to elementary education has yet not been achieved. There are also wide disparities in access to school education between </w:t>
      </w:r>
      <w:r>
        <w:rPr>
          <w:spacing w:val="-2"/>
        </w:rPr>
        <w:t>states,</w:t>
      </w:r>
      <w:r>
        <w:rPr>
          <w:spacing w:val="-12"/>
        </w:rPr>
        <w:t> </w:t>
      </w:r>
      <w:r>
        <w:rPr>
          <w:spacing w:val="-2"/>
        </w:rPr>
        <w:t>rural</w:t>
      </w:r>
      <w:r>
        <w:rPr>
          <w:spacing w:val="-12"/>
        </w:rPr>
        <w:t> </w:t>
      </w:r>
      <w:r>
        <w:rPr>
          <w:spacing w:val="-2"/>
        </w:rPr>
        <w:t>and</w:t>
      </w:r>
      <w:r>
        <w:rPr>
          <w:spacing w:val="-12"/>
        </w:rPr>
        <w:t> </w:t>
      </w:r>
      <w:r>
        <w:rPr>
          <w:spacing w:val="-2"/>
        </w:rPr>
        <w:t>urban</w:t>
      </w:r>
      <w:r>
        <w:rPr>
          <w:spacing w:val="-11"/>
        </w:rPr>
        <w:t> </w:t>
      </w:r>
      <w:r>
        <w:rPr>
          <w:spacing w:val="-2"/>
        </w:rPr>
        <w:t>areas,</w:t>
      </w:r>
      <w:r>
        <w:rPr>
          <w:spacing w:val="-12"/>
        </w:rPr>
        <w:t> </w:t>
      </w:r>
      <w:r>
        <w:rPr>
          <w:spacing w:val="-2"/>
        </w:rPr>
        <w:t>gender</w:t>
      </w:r>
      <w:r>
        <w:rPr>
          <w:spacing w:val="-12"/>
        </w:rPr>
        <w:t> </w:t>
      </w:r>
      <w:r>
        <w:rPr>
          <w:spacing w:val="-2"/>
        </w:rPr>
        <w:t>as</w:t>
      </w:r>
      <w:r>
        <w:rPr>
          <w:spacing w:val="-12"/>
        </w:rPr>
        <w:t> </w:t>
      </w:r>
      <w:r>
        <w:rPr>
          <w:spacing w:val="-2"/>
        </w:rPr>
        <w:t>well</w:t>
      </w:r>
      <w:r>
        <w:rPr>
          <w:spacing w:val="-11"/>
        </w:rPr>
        <w:t> </w:t>
      </w:r>
      <w:r>
        <w:rPr>
          <w:spacing w:val="-2"/>
        </w:rPr>
        <w:t>as</w:t>
      </w:r>
      <w:r>
        <w:rPr>
          <w:spacing w:val="-12"/>
        </w:rPr>
        <w:t> </w:t>
      </w:r>
      <w:r>
        <w:rPr>
          <w:spacing w:val="-2"/>
        </w:rPr>
        <w:t>different economic</w:t>
      </w:r>
      <w:r>
        <w:rPr>
          <w:spacing w:val="-10"/>
        </w:rPr>
        <w:t> </w:t>
      </w:r>
      <w:r>
        <w:rPr>
          <w:spacing w:val="-2"/>
        </w:rPr>
        <w:t>classes.</w:t>
      </w:r>
      <w:r>
        <w:rPr>
          <w:spacing w:val="-10"/>
        </w:rPr>
        <w:t> </w:t>
      </w:r>
      <w:r>
        <w:rPr>
          <w:spacing w:val="-2"/>
        </w:rPr>
        <w:t>In</w:t>
      </w:r>
      <w:r>
        <w:rPr>
          <w:spacing w:val="-10"/>
        </w:rPr>
        <w:t> </w:t>
      </w:r>
      <w:r>
        <w:rPr>
          <w:spacing w:val="-2"/>
        </w:rPr>
        <w:t>addition,</w:t>
      </w:r>
      <w:r>
        <w:rPr>
          <w:spacing w:val="-10"/>
        </w:rPr>
        <w:t> </w:t>
      </w:r>
      <w:r>
        <w:rPr>
          <w:spacing w:val="-2"/>
        </w:rPr>
        <w:t>issues</w:t>
      </w:r>
      <w:r>
        <w:rPr>
          <w:spacing w:val="-10"/>
        </w:rPr>
        <w:t> </w:t>
      </w:r>
      <w:r>
        <w:rPr>
          <w:spacing w:val="-2"/>
        </w:rPr>
        <w:t>of</w:t>
      </w:r>
      <w:r>
        <w:rPr>
          <w:spacing w:val="-10"/>
        </w:rPr>
        <w:t> </w:t>
      </w:r>
      <w:r>
        <w:rPr>
          <w:spacing w:val="-2"/>
        </w:rPr>
        <w:t>quality</w:t>
      </w:r>
      <w:r>
        <w:rPr>
          <w:spacing w:val="-10"/>
        </w:rPr>
        <w:t> </w:t>
      </w:r>
      <w:r>
        <w:rPr>
          <w:spacing w:val="-2"/>
        </w:rPr>
        <w:t>such</w:t>
      </w:r>
      <w:r>
        <w:rPr>
          <w:spacing w:val="-10"/>
        </w:rPr>
        <w:t> </w:t>
      </w:r>
      <w:r>
        <w:rPr>
          <w:spacing w:val="-2"/>
        </w:rPr>
        <w:t>as </w:t>
      </w:r>
      <w:r>
        <w:rPr/>
        <w:t>teacher training, curriculum, pedagogy, school infrastructure and learning outcomes need to be addressed on an immediate basis. There is also an urgent need to increase the resource allocation to school education.</w:t>
      </w:r>
    </w:p>
    <w:p>
      <w:pPr>
        <w:pStyle w:val="Heading6"/>
        <w:spacing w:before="175"/>
        <w:ind w:left="1080" w:firstLine="0"/>
      </w:pPr>
      <w:r>
        <w:rPr>
          <w:color w:val="2E614A"/>
          <w:w w:val="90"/>
        </w:rPr>
        <w:t>Current</w:t>
      </w:r>
      <w:r>
        <w:rPr>
          <w:color w:val="2E614A"/>
          <w:spacing w:val="-1"/>
          <w:w w:val="90"/>
        </w:rPr>
        <w:t> </w:t>
      </w:r>
      <w:r>
        <w:rPr>
          <w:color w:val="2E614A"/>
          <w:spacing w:val="-2"/>
        </w:rPr>
        <w:t>Scenario</w:t>
      </w:r>
    </w:p>
    <w:p>
      <w:pPr>
        <w:pStyle w:val="BodyText"/>
        <w:spacing w:line="266" w:lineRule="auto" w:before="275"/>
        <w:ind w:left="1080"/>
        <w:jc w:val="both"/>
      </w:pPr>
      <w:r>
        <w:rPr>
          <w:b/>
        </w:rPr>
        <w:t>Literacy:</w:t>
      </w:r>
      <w:r>
        <w:rPr>
          <w:b/>
          <w:spacing w:val="-3"/>
        </w:rPr>
        <w:t> </w:t>
      </w:r>
      <w:r>
        <w:rPr/>
        <w:t>According</w:t>
      </w:r>
      <w:r>
        <w:rPr>
          <w:spacing w:val="-4"/>
        </w:rPr>
        <w:t> </w:t>
      </w:r>
      <w:r>
        <w:rPr/>
        <w:t>to</w:t>
      </w:r>
      <w:r>
        <w:rPr>
          <w:spacing w:val="-4"/>
        </w:rPr>
        <w:t> </w:t>
      </w:r>
      <w:r>
        <w:rPr/>
        <w:t>the</w:t>
      </w:r>
      <w:r>
        <w:rPr>
          <w:spacing w:val="-4"/>
        </w:rPr>
        <w:t> </w:t>
      </w:r>
      <w:r>
        <w:rPr/>
        <w:t>2001</w:t>
      </w:r>
      <w:r>
        <w:rPr>
          <w:spacing w:val="-4"/>
        </w:rPr>
        <w:t> </w:t>
      </w:r>
      <w:r>
        <w:rPr/>
        <w:t>Census,</w:t>
      </w:r>
      <w:r>
        <w:rPr>
          <w:spacing w:val="-4"/>
        </w:rPr>
        <w:t> </w:t>
      </w:r>
      <w:r>
        <w:rPr/>
        <w:t>the</w:t>
      </w:r>
      <w:r>
        <w:rPr>
          <w:spacing w:val="-4"/>
        </w:rPr>
        <w:t> </w:t>
      </w:r>
      <w:r>
        <w:rPr/>
        <w:t>literacy rate</w:t>
      </w:r>
      <w:r>
        <w:rPr>
          <w:spacing w:val="-13"/>
        </w:rPr>
        <w:t> </w:t>
      </w:r>
      <w:r>
        <w:rPr/>
        <w:t>in</w:t>
      </w:r>
      <w:r>
        <w:rPr>
          <w:spacing w:val="-13"/>
        </w:rPr>
        <w:t> </w:t>
      </w:r>
      <w:r>
        <w:rPr/>
        <w:t>India</w:t>
      </w:r>
      <w:r>
        <w:rPr>
          <w:spacing w:val="-13"/>
        </w:rPr>
        <w:t> </w:t>
      </w:r>
      <w:r>
        <w:rPr/>
        <w:t>was</w:t>
      </w:r>
      <w:r>
        <w:rPr>
          <w:spacing w:val="-13"/>
        </w:rPr>
        <w:t> </w:t>
      </w:r>
      <w:r>
        <w:rPr/>
        <w:t>64.8</w:t>
      </w:r>
      <w:r>
        <w:rPr>
          <w:spacing w:val="-13"/>
        </w:rPr>
        <w:t> </w:t>
      </w:r>
      <w:r>
        <w:rPr/>
        <w:t>per</w:t>
      </w:r>
      <w:r>
        <w:rPr>
          <w:spacing w:val="-13"/>
        </w:rPr>
        <w:t> </w:t>
      </w:r>
      <w:r>
        <w:rPr/>
        <w:t>cent</w:t>
      </w:r>
      <w:r>
        <w:rPr>
          <w:spacing w:val="-13"/>
        </w:rPr>
        <w:t> </w:t>
      </w:r>
      <w:r>
        <w:rPr/>
        <w:t>and</w:t>
      </w:r>
      <w:r>
        <w:rPr>
          <w:spacing w:val="-13"/>
        </w:rPr>
        <w:t> </w:t>
      </w:r>
      <w:r>
        <w:rPr/>
        <w:t>as</w:t>
      </w:r>
      <w:r>
        <w:rPr>
          <w:spacing w:val="-13"/>
        </w:rPr>
        <w:t> </w:t>
      </w:r>
      <w:r>
        <w:rPr/>
        <w:t>per</w:t>
      </w:r>
      <w:r>
        <w:rPr>
          <w:spacing w:val="-13"/>
        </w:rPr>
        <w:t> </w:t>
      </w:r>
      <w:r>
        <w:rPr/>
        <w:t>the</w:t>
      </w:r>
      <w:r>
        <w:rPr>
          <w:spacing w:val="-13"/>
        </w:rPr>
        <w:t> </w:t>
      </w:r>
      <w:r>
        <w:rPr/>
        <w:t>NSS</w:t>
      </w:r>
      <w:r>
        <w:rPr>
          <w:spacing w:val="-13"/>
        </w:rPr>
        <w:t> </w:t>
      </w:r>
      <w:r>
        <w:rPr/>
        <w:t>61st Round Survey Report, the literacy rate was 67.3 per </w:t>
      </w:r>
      <w:r>
        <w:rPr>
          <w:spacing w:val="-4"/>
        </w:rPr>
        <w:t>cent</w:t>
      </w:r>
      <w:r>
        <w:rPr>
          <w:spacing w:val="-6"/>
        </w:rPr>
        <w:t> </w:t>
      </w:r>
      <w:r>
        <w:rPr>
          <w:spacing w:val="-4"/>
        </w:rPr>
        <w:t>during</w:t>
      </w:r>
      <w:r>
        <w:rPr>
          <w:spacing w:val="-6"/>
        </w:rPr>
        <w:t> </w:t>
      </w:r>
      <w:r>
        <w:rPr>
          <w:spacing w:val="-4"/>
        </w:rPr>
        <w:t>2004-05.</w:t>
      </w:r>
      <w:r>
        <w:rPr>
          <w:spacing w:val="-6"/>
        </w:rPr>
        <w:t> </w:t>
      </w:r>
      <w:r>
        <w:rPr>
          <w:spacing w:val="-4"/>
        </w:rPr>
        <w:t>Further,</w:t>
      </w:r>
      <w:r>
        <w:rPr>
          <w:spacing w:val="-6"/>
        </w:rPr>
        <w:t> </w:t>
      </w:r>
      <w:r>
        <w:rPr>
          <w:spacing w:val="-4"/>
        </w:rPr>
        <w:t>the</w:t>
      </w:r>
      <w:r>
        <w:rPr>
          <w:spacing w:val="-6"/>
        </w:rPr>
        <w:t> </w:t>
      </w:r>
      <w:r>
        <w:rPr>
          <w:spacing w:val="-4"/>
        </w:rPr>
        <w:t>gender</w:t>
      </w:r>
      <w:r>
        <w:rPr>
          <w:spacing w:val="-6"/>
        </w:rPr>
        <w:t> </w:t>
      </w:r>
      <w:r>
        <w:rPr>
          <w:spacing w:val="-4"/>
        </w:rPr>
        <w:t>gap</w:t>
      </w:r>
      <w:r>
        <w:rPr>
          <w:spacing w:val="-6"/>
        </w:rPr>
        <w:t> </w:t>
      </w:r>
      <w:r>
        <w:rPr>
          <w:spacing w:val="-4"/>
        </w:rPr>
        <w:t>in</w:t>
      </w:r>
      <w:r>
        <w:rPr>
          <w:spacing w:val="-6"/>
        </w:rPr>
        <w:t> </w:t>
      </w:r>
      <w:r>
        <w:rPr>
          <w:spacing w:val="-4"/>
        </w:rPr>
        <w:t>literacy </w:t>
      </w:r>
      <w:r>
        <w:rPr/>
        <w:t>is estimated to be roughly 20 per cent.</w:t>
      </w:r>
    </w:p>
    <w:p>
      <w:pPr>
        <w:pStyle w:val="BodyText"/>
        <w:spacing w:before="23"/>
      </w:pPr>
    </w:p>
    <w:p>
      <w:pPr>
        <w:pStyle w:val="BodyText"/>
        <w:spacing w:line="266" w:lineRule="auto"/>
        <w:ind w:left="1080" w:right="1"/>
        <w:jc w:val="both"/>
      </w:pPr>
      <w:r>
        <w:rPr>
          <w:b/>
          <w:spacing w:val="-4"/>
        </w:rPr>
        <w:t>Schools:</w:t>
      </w:r>
      <w:r>
        <w:rPr>
          <w:b/>
          <w:spacing w:val="-7"/>
        </w:rPr>
        <w:t> </w:t>
      </w:r>
      <w:r>
        <w:rPr>
          <w:spacing w:val="-4"/>
        </w:rPr>
        <w:t>The</w:t>
      </w:r>
      <w:r>
        <w:rPr>
          <w:spacing w:val="-8"/>
        </w:rPr>
        <w:t> </w:t>
      </w:r>
      <w:r>
        <w:rPr>
          <w:spacing w:val="-4"/>
        </w:rPr>
        <w:t>number</w:t>
      </w:r>
      <w:r>
        <w:rPr>
          <w:spacing w:val="-8"/>
        </w:rPr>
        <w:t> </w:t>
      </w:r>
      <w:r>
        <w:rPr>
          <w:spacing w:val="-4"/>
        </w:rPr>
        <w:t>of</w:t>
      </w:r>
      <w:r>
        <w:rPr>
          <w:spacing w:val="-8"/>
        </w:rPr>
        <w:t> </w:t>
      </w:r>
      <w:r>
        <w:rPr>
          <w:spacing w:val="-4"/>
        </w:rPr>
        <w:t>primary</w:t>
      </w:r>
      <w:r>
        <w:rPr>
          <w:spacing w:val="-8"/>
        </w:rPr>
        <w:t> </w:t>
      </w:r>
      <w:r>
        <w:rPr>
          <w:spacing w:val="-4"/>
        </w:rPr>
        <w:t>schools</w:t>
      </w:r>
      <w:r>
        <w:rPr>
          <w:spacing w:val="-8"/>
        </w:rPr>
        <w:t> </w:t>
      </w:r>
      <w:r>
        <w:rPr>
          <w:spacing w:val="-4"/>
        </w:rPr>
        <w:t>in</w:t>
      </w:r>
      <w:r>
        <w:rPr>
          <w:spacing w:val="-8"/>
        </w:rPr>
        <w:t> </w:t>
      </w:r>
      <w:r>
        <w:rPr>
          <w:spacing w:val="-4"/>
        </w:rPr>
        <w:t>the</w:t>
      </w:r>
      <w:r>
        <w:rPr>
          <w:spacing w:val="-8"/>
        </w:rPr>
        <w:t> </w:t>
      </w:r>
      <w:r>
        <w:rPr>
          <w:spacing w:val="-4"/>
        </w:rPr>
        <w:t>country </w:t>
      </w:r>
      <w:r>
        <w:rPr/>
        <w:t>increased</w:t>
      </w:r>
      <w:r>
        <w:rPr>
          <w:spacing w:val="28"/>
        </w:rPr>
        <w:t> </w:t>
      </w:r>
      <w:r>
        <w:rPr/>
        <w:t>from</w:t>
      </w:r>
      <w:r>
        <w:rPr>
          <w:spacing w:val="28"/>
        </w:rPr>
        <w:t> </w:t>
      </w:r>
      <w:r>
        <w:rPr/>
        <w:t>6.64</w:t>
      </w:r>
      <w:r>
        <w:rPr>
          <w:spacing w:val="28"/>
        </w:rPr>
        <w:t> </w:t>
      </w:r>
      <w:r>
        <w:rPr/>
        <w:t>lakh</w:t>
      </w:r>
      <w:r>
        <w:rPr>
          <w:spacing w:val="28"/>
        </w:rPr>
        <w:t> </w:t>
      </w:r>
      <w:r>
        <w:rPr/>
        <w:t>in</w:t>
      </w:r>
      <w:r>
        <w:rPr>
          <w:spacing w:val="28"/>
        </w:rPr>
        <w:t> </w:t>
      </w:r>
      <w:r>
        <w:rPr/>
        <w:t>2001-02</w:t>
      </w:r>
      <w:r>
        <w:rPr>
          <w:spacing w:val="28"/>
        </w:rPr>
        <w:t> </w:t>
      </w:r>
      <w:r>
        <w:rPr/>
        <w:t>to</w:t>
      </w:r>
      <w:r>
        <w:rPr>
          <w:spacing w:val="28"/>
        </w:rPr>
        <w:t> </w:t>
      </w:r>
      <w:r>
        <w:rPr/>
        <w:t>7.7</w:t>
      </w:r>
      <w:r>
        <w:rPr>
          <w:spacing w:val="29"/>
        </w:rPr>
        <w:t> </w:t>
      </w:r>
      <w:r>
        <w:rPr/>
        <w:t>lakh</w:t>
      </w:r>
      <w:r>
        <w:rPr>
          <w:spacing w:val="28"/>
        </w:rPr>
        <w:t> </w:t>
      </w:r>
      <w:r>
        <w:rPr>
          <w:spacing w:val="-5"/>
        </w:rPr>
        <w:t>in</w:t>
      </w:r>
    </w:p>
    <w:p>
      <w:pPr>
        <w:pStyle w:val="BodyText"/>
        <w:spacing w:line="266" w:lineRule="auto" w:before="82"/>
        <w:ind w:left="319" w:right="1077"/>
        <w:jc w:val="both"/>
      </w:pPr>
      <w:r>
        <w:rPr/>
        <w:br w:type="column"/>
      </w:r>
      <w:r>
        <w:rPr/>
        <w:t>2005-06. In the same period, the number of upper </w:t>
      </w:r>
      <w:r>
        <w:rPr>
          <w:spacing w:val="-4"/>
        </w:rPr>
        <w:t>primary</w:t>
      </w:r>
      <w:r>
        <w:rPr>
          <w:spacing w:val="-10"/>
        </w:rPr>
        <w:t> </w:t>
      </w:r>
      <w:r>
        <w:rPr>
          <w:spacing w:val="-4"/>
        </w:rPr>
        <w:t>schools</w:t>
      </w:r>
      <w:r>
        <w:rPr>
          <w:spacing w:val="-10"/>
        </w:rPr>
        <w:t> </w:t>
      </w:r>
      <w:r>
        <w:rPr>
          <w:spacing w:val="-4"/>
        </w:rPr>
        <w:t>increased</w:t>
      </w:r>
      <w:r>
        <w:rPr>
          <w:spacing w:val="-10"/>
        </w:rPr>
        <w:t> </w:t>
      </w:r>
      <w:r>
        <w:rPr>
          <w:spacing w:val="-4"/>
        </w:rPr>
        <w:t>at</w:t>
      </w:r>
      <w:r>
        <w:rPr>
          <w:spacing w:val="-9"/>
        </w:rPr>
        <w:t> </w:t>
      </w:r>
      <w:r>
        <w:rPr>
          <w:spacing w:val="-4"/>
        </w:rPr>
        <w:t>a</w:t>
      </w:r>
      <w:r>
        <w:rPr>
          <w:spacing w:val="-10"/>
        </w:rPr>
        <w:t> </w:t>
      </w:r>
      <w:r>
        <w:rPr>
          <w:spacing w:val="-4"/>
        </w:rPr>
        <w:t>faster</w:t>
      </w:r>
      <w:r>
        <w:rPr>
          <w:spacing w:val="-10"/>
        </w:rPr>
        <w:t> </w:t>
      </w:r>
      <w:r>
        <w:rPr>
          <w:spacing w:val="-4"/>
        </w:rPr>
        <w:t>rate</w:t>
      </w:r>
      <w:r>
        <w:rPr>
          <w:spacing w:val="-10"/>
        </w:rPr>
        <w:t> </w:t>
      </w:r>
      <w:r>
        <w:rPr>
          <w:spacing w:val="-4"/>
        </w:rPr>
        <w:t>from</w:t>
      </w:r>
      <w:r>
        <w:rPr>
          <w:spacing w:val="-9"/>
        </w:rPr>
        <w:t> </w:t>
      </w:r>
      <w:r>
        <w:rPr>
          <w:spacing w:val="-4"/>
        </w:rPr>
        <w:t>2.20</w:t>
      </w:r>
      <w:r>
        <w:rPr>
          <w:spacing w:val="-10"/>
        </w:rPr>
        <w:t> </w:t>
      </w:r>
      <w:r>
        <w:rPr>
          <w:spacing w:val="-4"/>
        </w:rPr>
        <w:t>lakh </w:t>
      </w:r>
      <w:r>
        <w:rPr/>
        <w:t>to 2.9 lakh.</w:t>
      </w:r>
    </w:p>
    <w:p>
      <w:pPr>
        <w:pStyle w:val="Heading8"/>
        <w:spacing w:before="249"/>
        <w:ind w:left="319"/>
        <w:jc w:val="both"/>
      </w:pPr>
      <w:r>
        <w:rPr>
          <w:spacing w:val="-6"/>
        </w:rPr>
        <w:t>Table</w:t>
      </w:r>
      <w:r>
        <w:rPr>
          <w:spacing w:val="-7"/>
        </w:rPr>
        <w:t> </w:t>
      </w:r>
      <w:r>
        <w:rPr>
          <w:spacing w:val="-6"/>
        </w:rPr>
        <w:t>4:</w:t>
      </w:r>
      <w:r>
        <w:rPr>
          <w:spacing w:val="-7"/>
        </w:rPr>
        <w:t> </w:t>
      </w:r>
      <w:r>
        <w:rPr>
          <w:color w:val="2E614A"/>
          <w:spacing w:val="-6"/>
        </w:rPr>
        <w:t>Number</w:t>
      </w:r>
      <w:r>
        <w:rPr>
          <w:color w:val="2E614A"/>
          <w:spacing w:val="-7"/>
        </w:rPr>
        <w:t> </w:t>
      </w:r>
      <w:r>
        <w:rPr>
          <w:color w:val="2E614A"/>
          <w:spacing w:val="-6"/>
        </w:rPr>
        <w:t>of</w:t>
      </w:r>
      <w:r>
        <w:rPr>
          <w:color w:val="2E614A"/>
          <w:spacing w:val="-7"/>
        </w:rPr>
        <w:t> </w:t>
      </w:r>
      <w:r>
        <w:rPr>
          <w:color w:val="2E614A"/>
          <w:spacing w:val="-6"/>
        </w:rPr>
        <w:t>schools (in</w:t>
      </w:r>
      <w:r>
        <w:rPr>
          <w:color w:val="2E614A"/>
          <w:spacing w:val="-7"/>
        </w:rPr>
        <w:t> </w:t>
      </w:r>
      <w:r>
        <w:rPr>
          <w:color w:val="2E614A"/>
          <w:spacing w:val="-6"/>
        </w:rPr>
        <w:t>lakh)</w:t>
      </w:r>
      <w:r>
        <w:rPr>
          <w:color w:val="2E614A"/>
          <w:spacing w:val="-7"/>
        </w:rPr>
        <w:t> </w:t>
      </w:r>
      <w:r>
        <w:rPr>
          <w:color w:val="2E614A"/>
          <w:spacing w:val="-6"/>
        </w:rPr>
        <w:t>2005-06</w:t>
      </w:r>
    </w:p>
    <w:p>
      <w:pPr>
        <w:pStyle w:val="BodyText"/>
        <w:spacing w:before="3"/>
        <w:rPr>
          <w:b/>
          <w:sz w:val="10"/>
        </w:rPr>
      </w:pPr>
    </w:p>
    <w:tbl>
      <w:tblPr>
        <w:tblW w:w="0" w:type="auto"/>
        <w:jc w:val="left"/>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996"/>
        <w:gridCol w:w="703"/>
      </w:tblGrid>
      <w:tr>
        <w:trPr>
          <w:trHeight w:val="321" w:hRule="atLeast"/>
        </w:trPr>
        <w:tc>
          <w:tcPr>
            <w:tcW w:w="3996" w:type="dxa"/>
            <w:shd w:val="clear" w:color="auto" w:fill="D0D5CD"/>
          </w:tcPr>
          <w:p>
            <w:pPr>
              <w:pStyle w:val="TableParagraph"/>
              <w:ind w:left="89"/>
              <w:rPr>
                <w:sz w:val="20"/>
              </w:rPr>
            </w:pPr>
            <w:r>
              <w:rPr>
                <w:spacing w:val="-2"/>
                <w:sz w:val="20"/>
              </w:rPr>
              <w:t>Primary</w:t>
            </w:r>
          </w:p>
        </w:tc>
        <w:tc>
          <w:tcPr>
            <w:tcW w:w="703" w:type="dxa"/>
            <w:shd w:val="clear" w:color="auto" w:fill="D0D5CD"/>
          </w:tcPr>
          <w:p>
            <w:pPr>
              <w:pStyle w:val="TableParagraph"/>
              <w:ind w:right="174"/>
              <w:jc w:val="right"/>
              <w:rPr>
                <w:sz w:val="20"/>
              </w:rPr>
            </w:pPr>
            <w:r>
              <w:rPr>
                <w:spacing w:val="-5"/>
                <w:sz w:val="20"/>
              </w:rPr>
              <w:t>7.7</w:t>
            </w:r>
          </w:p>
        </w:tc>
      </w:tr>
      <w:tr>
        <w:trPr>
          <w:trHeight w:val="321" w:hRule="atLeast"/>
        </w:trPr>
        <w:tc>
          <w:tcPr>
            <w:tcW w:w="3996" w:type="dxa"/>
            <w:shd w:val="clear" w:color="auto" w:fill="E9E9E9"/>
          </w:tcPr>
          <w:p>
            <w:pPr>
              <w:pStyle w:val="TableParagraph"/>
              <w:ind w:left="89"/>
              <w:rPr>
                <w:sz w:val="20"/>
              </w:rPr>
            </w:pPr>
            <w:r>
              <w:rPr>
                <w:sz w:val="20"/>
              </w:rPr>
              <w:t>Upper</w:t>
            </w:r>
            <w:r>
              <w:rPr>
                <w:spacing w:val="-9"/>
                <w:sz w:val="20"/>
              </w:rPr>
              <w:t> </w:t>
            </w:r>
            <w:r>
              <w:rPr>
                <w:spacing w:val="-2"/>
                <w:sz w:val="20"/>
              </w:rPr>
              <w:t>primary</w:t>
            </w:r>
          </w:p>
        </w:tc>
        <w:tc>
          <w:tcPr>
            <w:tcW w:w="703" w:type="dxa"/>
            <w:shd w:val="clear" w:color="auto" w:fill="E9E9E9"/>
          </w:tcPr>
          <w:p>
            <w:pPr>
              <w:pStyle w:val="TableParagraph"/>
              <w:ind w:right="174"/>
              <w:jc w:val="right"/>
              <w:rPr>
                <w:sz w:val="20"/>
              </w:rPr>
            </w:pPr>
            <w:r>
              <w:rPr>
                <w:spacing w:val="-5"/>
                <w:sz w:val="20"/>
              </w:rPr>
              <w:t>2.9</w:t>
            </w:r>
          </w:p>
        </w:tc>
      </w:tr>
      <w:tr>
        <w:trPr>
          <w:trHeight w:val="321" w:hRule="atLeast"/>
        </w:trPr>
        <w:tc>
          <w:tcPr>
            <w:tcW w:w="3996" w:type="dxa"/>
            <w:shd w:val="clear" w:color="auto" w:fill="D0D5CD"/>
          </w:tcPr>
          <w:p>
            <w:pPr>
              <w:pStyle w:val="TableParagraph"/>
              <w:ind w:left="89"/>
              <w:rPr>
                <w:sz w:val="20"/>
              </w:rPr>
            </w:pPr>
            <w:r>
              <w:rPr>
                <w:spacing w:val="-5"/>
                <w:sz w:val="20"/>
              </w:rPr>
              <w:t>Secondary/Senior</w:t>
            </w:r>
            <w:r>
              <w:rPr>
                <w:spacing w:val="8"/>
                <w:sz w:val="20"/>
              </w:rPr>
              <w:t> </w:t>
            </w:r>
            <w:r>
              <w:rPr>
                <w:spacing w:val="-2"/>
                <w:sz w:val="20"/>
              </w:rPr>
              <w:t>Secondary</w:t>
            </w:r>
          </w:p>
        </w:tc>
        <w:tc>
          <w:tcPr>
            <w:tcW w:w="703" w:type="dxa"/>
            <w:shd w:val="clear" w:color="auto" w:fill="D0D5CD"/>
          </w:tcPr>
          <w:p>
            <w:pPr>
              <w:pStyle w:val="TableParagraph"/>
              <w:ind w:right="174"/>
              <w:jc w:val="right"/>
              <w:rPr>
                <w:sz w:val="20"/>
              </w:rPr>
            </w:pPr>
            <w:r>
              <w:rPr>
                <w:spacing w:val="-5"/>
                <w:sz w:val="20"/>
              </w:rPr>
              <w:t>1.6</w:t>
            </w:r>
          </w:p>
        </w:tc>
      </w:tr>
      <w:tr>
        <w:trPr>
          <w:trHeight w:val="321" w:hRule="atLeast"/>
        </w:trPr>
        <w:tc>
          <w:tcPr>
            <w:tcW w:w="3996" w:type="dxa"/>
            <w:shd w:val="clear" w:color="auto" w:fill="E9E9E9"/>
          </w:tcPr>
          <w:p>
            <w:pPr>
              <w:pStyle w:val="TableParagraph"/>
              <w:ind w:left="89"/>
              <w:rPr>
                <w:sz w:val="20"/>
              </w:rPr>
            </w:pPr>
            <w:r>
              <w:rPr>
                <w:spacing w:val="-2"/>
                <w:sz w:val="20"/>
              </w:rPr>
              <w:t>Total</w:t>
            </w:r>
          </w:p>
        </w:tc>
        <w:tc>
          <w:tcPr>
            <w:tcW w:w="703" w:type="dxa"/>
            <w:shd w:val="clear" w:color="auto" w:fill="E9E9E9"/>
          </w:tcPr>
          <w:p>
            <w:pPr>
              <w:pStyle w:val="TableParagraph"/>
              <w:ind w:right="174"/>
              <w:jc w:val="right"/>
              <w:rPr>
                <w:sz w:val="20"/>
              </w:rPr>
            </w:pPr>
            <w:r>
              <w:rPr>
                <w:spacing w:val="-4"/>
                <w:sz w:val="20"/>
              </w:rPr>
              <w:t>12.2</w:t>
            </w:r>
          </w:p>
        </w:tc>
      </w:tr>
    </w:tbl>
    <w:p>
      <w:pPr>
        <w:spacing w:before="53"/>
        <w:ind w:left="319" w:right="0" w:firstLine="0"/>
        <w:jc w:val="both"/>
        <w:rPr>
          <w:sz w:val="16"/>
        </w:rPr>
      </w:pPr>
      <w:r>
        <w:rPr>
          <w:i/>
          <w:spacing w:val="-4"/>
          <w:sz w:val="16"/>
        </w:rPr>
        <w:t>Source:</w:t>
      </w:r>
      <w:r>
        <w:rPr>
          <w:i/>
          <w:spacing w:val="-1"/>
          <w:sz w:val="16"/>
        </w:rPr>
        <w:t> </w:t>
      </w:r>
      <w:r>
        <w:rPr>
          <w:spacing w:val="-4"/>
          <w:sz w:val="16"/>
        </w:rPr>
        <w:t>Educational</w:t>
      </w:r>
      <w:r>
        <w:rPr>
          <w:sz w:val="16"/>
        </w:rPr>
        <w:t> </w:t>
      </w:r>
      <w:r>
        <w:rPr>
          <w:spacing w:val="-4"/>
          <w:sz w:val="16"/>
        </w:rPr>
        <w:t>Statistics</w:t>
      </w:r>
      <w:r>
        <w:rPr>
          <w:sz w:val="16"/>
        </w:rPr>
        <w:t> </w:t>
      </w:r>
      <w:r>
        <w:rPr>
          <w:spacing w:val="-4"/>
          <w:sz w:val="16"/>
        </w:rPr>
        <w:t>at</w:t>
      </w:r>
      <w:r>
        <w:rPr>
          <w:sz w:val="16"/>
        </w:rPr>
        <w:t> </w:t>
      </w:r>
      <w:r>
        <w:rPr>
          <w:spacing w:val="-4"/>
          <w:sz w:val="16"/>
        </w:rPr>
        <w:t>a</w:t>
      </w:r>
      <w:r>
        <w:rPr>
          <w:sz w:val="16"/>
        </w:rPr>
        <w:t> </w:t>
      </w:r>
      <w:r>
        <w:rPr>
          <w:spacing w:val="-4"/>
          <w:sz w:val="16"/>
        </w:rPr>
        <w:t>Glance,</w:t>
      </w:r>
      <w:r>
        <w:rPr>
          <w:sz w:val="16"/>
        </w:rPr>
        <w:t> </w:t>
      </w:r>
      <w:r>
        <w:rPr>
          <w:spacing w:val="-4"/>
          <w:sz w:val="16"/>
        </w:rPr>
        <w:t>2005-06,</w:t>
      </w:r>
      <w:r>
        <w:rPr>
          <w:sz w:val="16"/>
        </w:rPr>
        <w:t> </w:t>
      </w:r>
      <w:r>
        <w:rPr>
          <w:spacing w:val="-4"/>
          <w:sz w:val="16"/>
        </w:rPr>
        <w:t>MHRD</w:t>
      </w:r>
    </w:p>
    <w:p>
      <w:pPr>
        <w:pStyle w:val="BodyText"/>
        <w:rPr>
          <w:sz w:val="16"/>
        </w:rPr>
      </w:pPr>
    </w:p>
    <w:p>
      <w:pPr>
        <w:pStyle w:val="BodyText"/>
        <w:spacing w:before="61"/>
        <w:rPr>
          <w:sz w:val="16"/>
        </w:rPr>
      </w:pPr>
    </w:p>
    <w:p>
      <w:pPr>
        <w:pStyle w:val="BodyText"/>
        <w:spacing w:line="266" w:lineRule="auto"/>
        <w:ind w:left="319" w:right="1077"/>
        <w:jc w:val="both"/>
      </w:pPr>
      <w:r>
        <w:rPr>
          <w:b/>
        </w:rPr>
        <w:t>Enrolment:</w:t>
      </w:r>
      <w:r>
        <w:rPr>
          <w:b/>
          <w:spacing w:val="-9"/>
        </w:rPr>
        <w:t> </w:t>
      </w:r>
      <w:r>
        <w:rPr/>
        <w:t>The</w:t>
      </w:r>
      <w:r>
        <w:rPr>
          <w:spacing w:val="-1"/>
        </w:rPr>
        <w:t> </w:t>
      </w:r>
      <w:r>
        <w:rPr/>
        <w:t>total</w:t>
      </w:r>
      <w:r>
        <w:rPr>
          <w:spacing w:val="-1"/>
        </w:rPr>
        <w:t> </w:t>
      </w:r>
      <w:r>
        <w:rPr/>
        <w:t>enrolment</w:t>
      </w:r>
      <w:r>
        <w:rPr>
          <w:spacing w:val="-1"/>
        </w:rPr>
        <w:t> </w:t>
      </w:r>
      <w:r>
        <w:rPr/>
        <w:t>at</w:t>
      </w:r>
      <w:r>
        <w:rPr>
          <w:spacing w:val="-1"/>
        </w:rPr>
        <w:t> </w:t>
      </w:r>
      <w:r>
        <w:rPr/>
        <w:t>the</w:t>
      </w:r>
      <w:r>
        <w:rPr>
          <w:spacing w:val="-1"/>
        </w:rPr>
        <w:t> </w:t>
      </w:r>
      <w:r>
        <w:rPr/>
        <w:t>primary</w:t>
      </w:r>
      <w:r>
        <w:rPr>
          <w:spacing w:val="-1"/>
        </w:rPr>
        <w:t> </w:t>
      </w:r>
      <w:r>
        <w:rPr/>
        <w:t>stage has increased 7 times, from 19.2 million in 1950-51 to</w:t>
      </w:r>
      <w:r>
        <w:rPr>
          <w:spacing w:val="-5"/>
        </w:rPr>
        <w:t> </w:t>
      </w:r>
      <w:r>
        <w:rPr/>
        <w:t>130.8</w:t>
      </w:r>
      <w:r>
        <w:rPr>
          <w:spacing w:val="-5"/>
        </w:rPr>
        <w:t> </w:t>
      </w:r>
      <w:r>
        <w:rPr/>
        <w:t>million</w:t>
      </w:r>
      <w:r>
        <w:rPr>
          <w:spacing w:val="-5"/>
        </w:rPr>
        <w:t> </w:t>
      </w:r>
      <w:r>
        <w:rPr/>
        <w:t>in</w:t>
      </w:r>
      <w:r>
        <w:rPr>
          <w:spacing w:val="-5"/>
        </w:rPr>
        <w:t> </w:t>
      </w:r>
      <w:r>
        <w:rPr/>
        <w:t>2004-05.</w:t>
      </w:r>
      <w:r>
        <w:rPr>
          <w:spacing w:val="-5"/>
        </w:rPr>
        <w:t> </w:t>
      </w:r>
      <w:r>
        <w:rPr/>
        <w:t>In</w:t>
      </w:r>
      <w:r>
        <w:rPr>
          <w:spacing w:val="-5"/>
        </w:rPr>
        <w:t> </w:t>
      </w:r>
      <w:r>
        <w:rPr/>
        <w:t>case</w:t>
      </w:r>
      <w:r>
        <w:rPr>
          <w:spacing w:val="-5"/>
        </w:rPr>
        <w:t> </w:t>
      </w:r>
      <w:r>
        <w:rPr/>
        <w:t>of</w:t>
      </w:r>
      <w:r>
        <w:rPr>
          <w:spacing w:val="-5"/>
        </w:rPr>
        <w:t> </w:t>
      </w:r>
      <w:r>
        <w:rPr/>
        <w:t>upper</w:t>
      </w:r>
      <w:r>
        <w:rPr>
          <w:spacing w:val="-5"/>
        </w:rPr>
        <w:t> </w:t>
      </w:r>
      <w:r>
        <w:rPr/>
        <w:t>primary stage,</w:t>
      </w:r>
      <w:r>
        <w:rPr>
          <w:spacing w:val="-8"/>
        </w:rPr>
        <w:t> </w:t>
      </w:r>
      <w:r>
        <w:rPr/>
        <w:t>it</w:t>
      </w:r>
      <w:r>
        <w:rPr>
          <w:spacing w:val="-8"/>
        </w:rPr>
        <w:t> </w:t>
      </w:r>
      <w:r>
        <w:rPr/>
        <w:t>increased</w:t>
      </w:r>
      <w:r>
        <w:rPr>
          <w:spacing w:val="-8"/>
        </w:rPr>
        <w:t> </w:t>
      </w:r>
      <w:r>
        <w:rPr/>
        <w:t>17</w:t>
      </w:r>
      <w:r>
        <w:rPr>
          <w:spacing w:val="-8"/>
        </w:rPr>
        <w:t> </w:t>
      </w:r>
      <w:r>
        <w:rPr/>
        <w:t>times,</w:t>
      </w:r>
      <w:r>
        <w:rPr>
          <w:spacing w:val="-8"/>
        </w:rPr>
        <w:t> </w:t>
      </w:r>
      <w:r>
        <w:rPr/>
        <w:t>from</w:t>
      </w:r>
      <w:r>
        <w:rPr>
          <w:spacing w:val="-8"/>
        </w:rPr>
        <w:t> </w:t>
      </w:r>
      <w:r>
        <w:rPr/>
        <w:t>3.1</w:t>
      </w:r>
      <w:r>
        <w:rPr>
          <w:spacing w:val="-8"/>
        </w:rPr>
        <w:t> </w:t>
      </w:r>
      <w:r>
        <w:rPr/>
        <w:t>million</w:t>
      </w:r>
      <w:r>
        <w:rPr>
          <w:spacing w:val="-8"/>
        </w:rPr>
        <w:t> </w:t>
      </w:r>
      <w:r>
        <w:rPr/>
        <w:t>in</w:t>
      </w:r>
      <w:r>
        <w:rPr>
          <w:spacing w:val="-8"/>
        </w:rPr>
        <w:t> </w:t>
      </w:r>
      <w:r>
        <w:rPr/>
        <w:t>1950- 51 to 51.2 million in 2004-05. The enrolment at the secondary/senior secondary increased by 25 times, from</w:t>
      </w:r>
      <w:r>
        <w:rPr>
          <w:spacing w:val="6"/>
        </w:rPr>
        <w:t> </w:t>
      </w:r>
      <w:r>
        <w:rPr/>
        <w:t>1.5</w:t>
      </w:r>
      <w:r>
        <w:rPr>
          <w:spacing w:val="6"/>
        </w:rPr>
        <w:t> </w:t>
      </w:r>
      <w:r>
        <w:rPr/>
        <w:t>million</w:t>
      </w:r>
      <w:r>
        <w:rPr>
          <w:spacing w:val="7"/>
        </w:rPr>
        <w:t> </w:t>
      </w:r>
      <w:r>
        <w:rPr/>
        <w:t>in</w:t>
      </w:r>
      <w:r>
        <w:rPr>
          <w:spacing w:val="6"/>
        </w:rPr>
        <w:t> </w:t>
      </w:r>
      <w:r>
        <w:rPr/>
        <w:t>1950-51</w:t>
      </w:r>
      <w:r>
        <w:rPr>
          <w:spacing w:val="7"/>
        </w:rPr>
        <w:t> </w:t>
      </w:r>
      <w:r>
        <w:rPr/>
        <w:t>to</w:t>
      </w:r>
      <w:r>
        <w:rPr>
          <w:spacing w:val="6"/>
        </w:rPr>
        <w:t> </w:t>
      </w:r>
      <w:r>
        <w:rPr/>
        <w:t>37.1</w:t>
      </w:r>
      <w:r>
        <w:rPr>
          <w:spacing w:val="7"/>
        </w:rPr>
        <w:t> </w:t>
      </w:r>
      <w:r>
        <w:rPr/>
        <w:t>million</w:t>
      </w:r>
      <w:r>
        <w:rPr>
          <w:spacing w:val="6"/>
        </w:rPr>
        <w:t> </w:t>
      </w:r>
      <w:r>
        <w:rPr/>
        <w:t>in</w:t>
      </w:r>
      <w:r>
        <w:rPr>
          <w:spacing w:val="7"/>
        </w:rPr>
        <w:t> </w:t>
      </w:r>
      <w:r>
        <w:rPr>
          <w:spacing w:val="-2"/>
        </w:rPr>
        <w:t>2004-</w:t>
      </w:r>
    </w:p>
    <w:p>
      <w:pPr>
        <w:pStyle w:val="BodyText"/>
        <w:spacing w:line="266" w:lineRule="auto"/>
        <w:ind w:left="319" w:right="1078"/>
        <w:jc w:val="both"/>
      </w:pPr>
      <w:r>
        <w:rPr/>
        <w:t>05. However about 180 out of 581 districts in the DISE study (2004-05) reported a decline in primary </w:t>
      </w:r>
      <w:r>
        <w:rPr>
          <w:spacing w:val="-2"/>
        </w:rPr>
        <w:t>enrolment.</w:t>
      </w:r>
    </w:p>
    <w:p>
      <w:pPr>
        <w:pStyle w:val="BodyText"/>
        <w:spacing w:before="19"/>
      </w:pPr>
    </w:p>
    <w:p>
      <w:pPr>
        <w:pStyle w:val="BodyText"/>
        <w:spacing w:line="266" w:lineRule="auto"/>
        <w:ind w:left="319" w:right="1077"/>
        <w:jc w:val="both"/>
      </w:pPr>
      <w:r>
        <w:rPr>
          <w:w w:val="90"/>
        </w:rPr>
        <w:t>Enrolment rates are particularly low in Bihar, Arunachal </w:t>
      </w:r>
      <w:r>
        <w:rPr/>
        <w:t>Pradesh, Jharkhand, Uttar Pradesh, Rajasthan and Madhya Pradesh, with overall enrolment rates below 80</w:t>
      </w:r>
      <w:r>
        <w:rPr>
          <w:spacing w:val="34"/>
        </w:rPr>
        <w:t> </w:t>
      </w:r>
      <w:r>
        <w:rPr/>
        <w:t>per</w:t>
      </w:r>
      <w:r>
        <w:rPr>
          <w:spacing w:val="35"/>
        </w:rPr>
        <w:t> </w:t>
      </w:r>
      <w:r>
        <w:rPr/>
        <w:t>cent.</w:t>
      </w:r>
      <w:r>
        <w:rPr>
          <w:spacing w:val="26"/>
        </w:rPr>
        <w:t> </w:t>
      </w:r>
      <w:r>
        <w:rPr/>
        <w:t>There</w:t>
      </w:r>
      <w:r>
        <w:rPr>
          <w:spacing w:val="35"/>
        </w:rPr>
        <w:t> </w:t>
      </w:r>
      <w:r>
        <w:rPr/>
        <w:t>are</w:t>
      </w:r>
      <w:r>
        <w:rPr>
          <w:spacing w:val="35"/>
        </w:rPr>
        <w:t> </w:t>
      </w:r>
      <w:r>
        <w:rPr/>
        <w:t>wide</w:t>
      </w:r>
      <w:r>
        <w:rPr>
          <w:spacing w:val="35"/>
        </w:rPr>
        <w:t> </w:t>
      </w:r>
      <w:r>
        <w:rPr/>
        <w:t>rural-urban</w:t>
      </w:r>
      <w:r>
        <w:rPr>
          <w:spacing w:val="35"/>
        </w:rPr>
        <w:t> </w:t>
      </w:r>
      <w:r>
        <w:rPr>
          <w:spacing w:val="-2"/>
        </w:rPr>
        <w:t>disparities,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161"/>
        <w:rPr>
          <w:sz w:val="24"/>
        </w:rPr>
      </w:pPr>
    </w:p>
    <w:p>
      <w:pPr>
        <w:pStyle w:val="Heading8"/>
        <w:ind w:left="1982"/>
      </w:pPr>
      <w:r>
        <w:rPr>
          <w:spacing w:val="-8"/>
        </w:rPr>
        <w:t>Figure</w:t>
      </w:r>
      <w:r>
        <w:rPr>
          <w:spacing w:val="-3"/>
        </w:rPr>
        <w:t> </w:t>
      </w:r>
      <w:r>
        <w:rPr>
          <w:spacing w:val="-8"/>
        </w:rPr>
        <w:t>2:</w:t>
      </w:r>
      <w:r>
        <w:rPr>
          <w:spacing w:val="-3"/>
        </w:rPr>
        <w:t> </w:t>
      </w:r>
      <w:r>
        <w:rPr>
          <w:color w:val="2E614A"/>
          <w:spacing w:val="-8"/>
        </w:rPr>
        <w:t>Number</w:t>
      </w:r>
      <w:r>
        <w:rPr>
          <w:color w:val="2E614A"/>
          <w:spacing w:val="-3"/>
        </w:rPr>
        <w:t> </w:t>
      </w:r>
      <w:r>
        <w:rPr>
          <w:color w:val="2E614A"/>
          <w:spacing w:val="-8"/>
        </w:rPr>
        <w:t>of</w:t>
      </w:r>
      <w:r>
        <w:rPr>
          <w:color w:val="2E614A"/>
          <w:spacing w:val="-2"/>
        </w:rPr>
        <w:t> </w:t>
      </w:r>
      <w:r>
        <w:rPr>
          <w:color w:val="2E614A"/>
          <w:spacing w:val="-8"/>
        </w:rPr>
        <w:t>schools</w:t>
      </w:r>
      <w:r>
        <w:rPr>
          <w:color w:val="2E614A"/>
          <w:spacing w:val="-3"/>
        </w:rPr>
        <w:t> </w:t>
      </w:r>
      <w:r>
        <w:rPr>
          <w:color w:val="2E614A"/>
          <w:spacing w:val="-8"/>
        </w:rPr>
        <w:t>per</w:t>
      </w:r>
      <w:r>
        <w:rPr>
          <w:color w:val="2E614A"/>
          <w:spacing w:val="-3"/>
        </w:rPr>
        <w:t> </w:t>
      </w:r>
      <w:r>
        <w:rPr>
          <w:color w:val="2E614A"/>
          <w:spacing w:val="-8"/>
        </w:rPr>
        <w:t>1000</w:t>
      </w:r>
      <w:r>
        <w:rPr>
          <w:color w:val="2E614A"/>
          <w:spacing w:val="-2"/>
        </w:rPr>
        <w:t> </w:t>
      </w:r>
      <w:r>
        <w:rPr>
          <w:color w:val="2E614A"/>
          <w:spacing w:val="-8"/>
        </w:rPr>
        <w:t>students</w:t>
      </w:r>
      <w:r>
        <w:rPr>
          <w:color w:val="2E614A"/>
          <w:spacing w:val="-3"/>
        </w:rPr>
        <w:t> </w:t>
      </w:r>
      <w:r>
        <w:rPr>
          <w:color w:val="2E614A"/>
          <w:spacing w:val="-8"/>
        </w:rPr>
        <w:t>in</w:t>
      </w:r>
      <w:r>
        <w:rPr>
          <w:color w:val="2E614A"/>
          <w:spacing w:val="-3"/>
        </w:rPr>
        <w:t> </w:t>
      </w:r>
      <w:r>
        <w:rPr>
          <w:color w:val="2E614A"/>
          <w:spacing w:val="-8"/>
        </w:rPr>
        <w:t>the</w:t>
      </w:r>
      <w:r>
        <w:rPr>
          <w:color w:val="2E614A"/>
          <w:spacing w:val="-3"/>
        </w:rPr>
        <w:t> </w:t>
      </w:r>
      <w:r>
        <w:rPr>
          <w:color w:val="2E614A"/>
          <w:spacing w:val="-8"/>
        </w:rPr>
        <w:t>relevant</w:t>
      </w:r>
      <w:r>
        <w:rPr>
          <w:color w:val="2E614A"/>
          <w:spacing w:val="-2"/>
        </w:rPr>
        <w:t> </w:t>
      </w:r>
      <w:r>
        <w:rPr>
          <w:color w:val="2E614A"/>
          <w:spacing w:val="-8"/>
        </w:rPr>
        <w:t>age</w:t>
      </w:r>
      <w:r>
        <w:rPr>
          <w:color w:val="2E614A"/>
          <w:spacing w:val="-3"/>
        </w:rPr>
        <w:t> </w:t>
      </w:r>
      <w:r>
        <w:rPr>
          <w:color w:val="2E614A"/>
          <w:spacing w:val="-8"/>
        </w:rPr>
        <w:t>group</w:t>
      </w:r>
    </w:p>
    <w:p>
      <w:pPr>
        <w:pStyle w:val="BodyText"/>
        <w:spacing w:before="1"/>
        <w:rPr>
          <w:b/>
          <w:sz w:val="12"/>
        </w:rPr>
      </w:pPr>
      <w:r>
        <w:rPr/>
        <mc:AlternateContent>
          <mc:Choice Requires="wps">
            <w:drawing>
              <wp:anchor distT="0" distB="0" distL="0" distR="0" allowOverlap="1" layoutInCell="1" locked="0" behindDoc="1" simplePos="0" relativeHeight="487656960">
                <wp:simplePos x="0" y="0"/>
                <wp:positionH relativeFrom="page">
                  <wp:posOffset>1262274</wp:posOffset>
                </wp:positionH>
                <wp:positionV relativeFrom="paragraph">
                  <wp:posOffset>103806</wp:posOffset>
                </wp:positionV>
                <wp:extent cx="5039360" cy="2108200"/>
                <wp:effectExtent l="0" t="0" r="0" b="0"/>
                <wp:wrapTopAndBottom/>
                <wp:docPr id="1103" name="Group 1103"/>
                <wp:cNvGraphicFramePr>
                  <a:graphicFrameLocks/>
                </wp:cNvGraphicFramePr>
                <a:graphic>
                  <a:graphicData uri="http://schemas.microsoft.com/office/word/2010/wordprocessingGroup">
                    <wpg:wgp>
                      <wpg:cNvPr id="1103" name="Group 1103"/>
                      <wpg:cNvGrpSpPr/>
                      <wpg:grpSpPr>
                        <a:xfrm>
                          <a:off x="0" y="0"/>
                          <a:ext cx="5039360" cy="2108200"/>
                          <a:chExt cx="5039360" cy="2108200"/>
                        </a:xfrm>
                      </wpg:grpSpPr>
                      <wps:wsp>
                        <wps:cNvPr id="1104" name="Graphic 1104"/>
                        <wps:cNvSpPr/>
                        <wps:spPr>
                          <a:xfrm>
                            <a:off x="226381" y="143014"/>
                            <a:ext cx="4693285" cy="1729739"/>
                          </a:xfrm>
                          <a:custGeom>
                            <a:avLst/>
                            <a:gdLst/>
                            <a:ahLst/>
                            <a:cxnLst/>
                            <a:rect l="l" t="t" r="r" b="b"/>
                            <a:pathLst>
                              <a:path w="4693285" h="1729739">
                                <a:moveTo>
                                  <a:pt x="4692802" y="1695107"/>
                                </a:moveTo>
                                <a:lnTo>
                                  <a:pt x="4690732" y="1695107"/>
                                </a:lnTo>
                                <a:lnTo>
                                  <a:pt x="4690732" y="1689074"/>
                                </a:lnTo>
                                <a:lnTo>
                                  <a:pt x="41402" y="1689074"/>
                                </a:lnTo>
                                <a:lnTo>
                                  <a:pt x="41402" y="1686864"/>
                                </a:lnTo>
                                <a:lnTo>
                                  <a:pt x="40792" y="1686864"/>
                                </a:lnTo>
                                <a:lnTo>
                                  <a:pt x="40792" y="1362189"/>
                                </a:lnTo>
                                <a:lnTo>
                                  <a:pt x="41402" y="1362189"/>
                                </a:lnTo>
                                <a:lnTo>
                                  <a:pt x="41402" y="1349489"/>
                                </a:lnTo>
                                <a:lnTo>
                                  <a:pt x="40792" y="1349489"/>
                                </a:lnTo>
                                <a:lnTo>
                                  <a:pt x="40792" y="1024813"/>
                                </a:lnTo>
                                <a:lnTo>
                                  <a:pt x="41402" y="1024813"/>
                                </a:lnTo>
                                <a:lnTo>
                                  <a:pt x="41402" y="1012113"/>
                                </a:lnTo>
                                <a:lnTo>
                                  <a:pt x="40792" y="1012113"/>
                                </a:lnTo>
                                <a:lnTo>
                                  <a:pt x="40792" y="687438"/>
                                </a:lnTo>
                                <a:lnTo>
                                  <a:pt x="41402" y="687438"/>
                                </a:lnTo>
                                <a:lnTo>
                                  <a:pt x="41402" y="674738"/>
                                </a:lnTo>
                                <a:lnTo>
                                  <a:pt x="40792" y="674738"/>
                                </a:lnTo>
                                <a:lnTo>
                                  <a:pt x="40792" y="350075"/>
                                </a:lnTo>
                                <a:lnTo>
                                  <a:pt x="41402" y="350075"/>
                                </a:lnTo>
                                <a:lnTo>
                                  <a:pt x="41402" y="337375"/>
                                </a:lnTo>
                                <a:lnTo>
                                  <a:pt x="40792" y="337375"/>
                                </a:lnTo>
                                <a:lnTo>
                                  <a:pt x="40792" y="12700"/>
                                </a:lnTo>
                                <a:lnTo>
                                  <a:pt x="41402" y="12700"/>
                                </a:lnTo>
                                <a:lnTo>
                                  <a:pt x="41402" y="0"/>
                                </a:lnTo>
                                <a:lnTo>
                                  <a:pt x="0" y="0"/>
                                </a:lnTo>
                                <a:lnTo>
                                  <a:pt x="0" y="12700"/>
                                </a:lnTo>
                                <a:lnTo>
                                  <a:pt x="34442" y="12700"/>
                                </a:lnTo>
                                <a:lnTo>
                                  <a:pt x="34442" y="337375"/>
                                </a:lnTo>
                                <a:lnTo>
                                  <a:pt x="0" y="337375"/>
                                </a:lnTo>
                                <a:lnTo>
                                  <a:pt x="0" y="350075"/>
                                </a:lnTo>
                                <a:lnTo>
                                  <a:pt x="34442" y="350075"/>
                                </a:lnTo>
                                <a:lnTo>
                                  <a:pt x="34442" y="674738"/>
                                </a:lnTo>
                                <a:lnTo>
                                  <a:pt x="0" y="674738"/>
                                </a:lnTo>
                                <a:lnTo>
                                  <a:pt x="0" y="687438"/>
                                </a:lnTo>
                                <a:lnTo>
                                  <a:pt x="34442" y="687438"/>
                                </a:lnTo>
                                <a:lnTo>
                                  <a:pt x="34442" y="1012113"/>
                                </a:lnTo>
                                <a:lnTo>
                                  <a:pt x="0" y="1012113"/>
                                </a:lnTo>
                                <a:lnTo>
                                  <a:pt x="0" y="1024813"/>
                                </a:lnTo>
                                <a:lnTo>
                                  <a:pt x="34442" y="1024813"/>
                                </a:lnTo>
                                <a:lnTo>
                                  <a:pt x="34442" y="1349489"/>
                                </a:lnTo>
                                <a:lnTo>
                                  <a:pt x="0" y="1349489"/>
                                </a:lnTo>
                                <a:lnTo>
                                  <a:pt x="0" y="1362189"/>
                                </a:lnTo>
                                <a:lnTo>
                                  <a:pt x="34442" y="1362189"/>
                                </a:lnTo>
                                <a:lnTo>
                                  <a:pt x="34442" y="1686864"/>
                                </a:lnTo>
                                <a:lnTo>
                                  <a:pt x="0" y="1686864"/>
                                </a:lnTo>
                                <a:lnTo>
                                  <a:pt x="0" y="1699564"/>
                                </a:lnTo>
                                <a:lnTo>
                                  <a:pt x="34442" y="1699564"/>
                                </a:lnTo>
                                <a:lnTo>
                                  <a:pt x="34442" y="1729397"/>
                                </a:lnTo>
                                <a:lnTo>
                                  <a:pt x="40792" y="1729397"/>
                                </a:lnTo>
                                <a:lnTo>
                                  <a:pt x="40792" y="1699564"/>
                                </a:lnTo>
                                <a:lnTo>
                                  <a:pt x="41402" y="1699564"/>
                                </a:lnTo>
                                <a:lnTo>
                                  <a:pt x="41402" y="1695424"/>
                                </a:lnTo>
                                <a:lnTo>
                                  <a:pt x="615937" y="1695424"/>
                                </a:lnTo>
                                <a:lnTo>
                                  <a:pt x="615937" y="1729397"/>
                                </a:lnTo>
                                <a:lnTo>
                                  <a:pt x="622287" y="1729397"/>
                                </a:lnTo>
                                <a:lnTo>
                                  <a:pt x="622287" y="1695424"/>
                                </a:lnTo>
                                <a:lnTo>
                                  <a:pt x="1197444" y="1695424"/>
                                </a:lnTo>
                                <a:lnTo>
                                  <a:pt x="1197444" y="1729397"/>
                                </a:lnTo>
                                <a:lnTo>
                                  <a:pt x="1203794" y="1729397"/>
                                </a:lnTo>
                                <a:lnTo>
                                  <a:pt x="1203794" y="1695424"/>
                                </a:lnTo>
                                <a:lnTo>
                                  <a:pt x="1778939" y="1695424"/>
                                </a:lnTo>
                                <a:lnTo>
                                  <a:pt x="1778939" y="1729397"/>
                                </a:lnTo>
                                <a:lnTo>
                                  <a:pt x="1785289" y="1729397"/>
                                </a:lnTo>
                                <a:lnTo>
                                  <a:pt x="1785289" y="1695424"/>
                                </a:lnTo>
                                <a:lnTo>
                                  <a:pt x="2360447" y="1695424"/>
                                </a:lnTo>
                                <a:lnTo>
                                  <a:pt x="2360447" y="1729397"/>
                                </a:lnTo>
                                <a:lnTo>
                                  <a:pt x="2366797" y="1729397"/>
                                </a:lnTo>
                                <a:lnTo>
                                  <a:pt x="2366797" y="1695424"/>
                                </a:lnTo>
                                <a:lnTo>
                                  <a:pt x="2941942" y="1695424"/>
                                </a:lnTo>
                                <a:lnTo>
                                  <a:pt x="2941942" y="1729397"/>
                                </a:lnTo>
                                <a:lnTo>
                                  <a:pt x="2948292" y="1729397"/>
                                </a:lnTo>
                                <a:lnTo>
                                  <a:pt x="2948292" y="1695424"/>
                                </a:lnTo>
                                <a:lnTo>
                                  <a:pt x="3523450" y="1695424"/>
                                </a:lnTo>
                                <a:lnTo>
                                  <a:pt x="3523450" y="1729397"/>
                                </a:lnTo>
                                <a:lnTo>
                                  <a:pt x="3529800" y="1729397"/>
                                </a:lnTo>
                                <a:lnTo>
                                  <a:pt x="3529800" y="1695424"/>
                                </a:lnTo>
                                <a:lnTo>
                                  <a:pt x="4104944" y="1695424"/>
                                </a:lnTo>
                                <a:lnTo>
                                  <a:pt x="4104944" y="1729397"/>
                                </a:lnTo>
                                <a:lnTo>
                                  <a:pt x="4111294" y="1729397"/>
                                </a:lnTo>
                                <a:lnTo>
                                  <a:pt x="4111294" y="1695424"/>
                                </a:lnTo>
                                <a:lnTo>
                                  <a:pt x="4686452" y="1695424"/>
                                </a:lnTo>
                                <a:lnTo>
                                  <a:pt x="4686452" y="1729397"/>
                                </a:lnTo>
                                <a:lnTo>
                                  <a:pt x="4692802" y="1729397"/>
                                </a:lnTo>
                                <a:lnTo>
                                  <a:pt x="4692802" y="1695107"/>
                                </a:lnTo>
                                <a:close/>
                              </a:path>
                            </a:pathLst>
                          </a:custGeom>
                          <a:solidFill>
                            <a:srgbClr val="000000"/>
                          </a:solidFill>
                        </wps:spPr>
                        <wps:bodyPr wrap="square" lIns="0" tIns="0" rIns="0" bIns="0" rtlCol="0">
                          <a:prstTxWarp prst="textNoShape">
                            <a:avLst/>
                          </a:prstTxWarp>
                          <a:noAutofit/>
                        </wps:bodyPr>
                      </wps:wsp>
                      <wps:wsp>
                        <wps:cNvPr id="1105" name="Graphic 1105"/>
                        <wps:cNvSpPr/>
                        <wps:spPr>
                          <a:xfrm>
                            <a:off x="420233" y="322630"/>
                            <a:ext cx="4315460" cy="1508760"/>
                          </a:xfrm>
                          <a:custGeom>
                            <a:avLst/>
                            <a:gdLst/>
                            <a:ahLst/>
                            <a:cxnLst/>
                            <a:rect l="l" t="t" r="r" b="b"/>
                            <a:pathLst>
                              <a:path w="4315460" h="1508760">
                                <a:moveTo>
                                  <a:pt x="240385" y="929157"/>
                                </a:moveTo>
                                <a:lnTo>
                                  <a:pt x="0" y="929157"/>
                                </a:lnTo>
                                <a:lnTo>
                                  <a:pt x="0" y="1508340"/>
                                </a:lnTo>
                                <a:lnTo>
                                  <a:pt x="240385" y="1508340"/>
                                </a:lnTo>
                                <a:lnTo>
                                  <a:pt x="240385" y="929157"/>
                                </a:lnTo>
                                <a:close/>
                              </a:path>
                              <a:path w="4315460" h="1508760">
                                <a:moveTo>
                                  <a:pt x="827062" y="819251"/>
                                </a:moveTo>
                                <a:lnTo>
                                  <a:pt x="586663" y="819251"/>
                                </a:lnTo>
                                <a:lnTo>
                                  <a:pt x="586663" y="1508340"/>
                                </a:lnTo>
                                <a:lnTo>
                                  <a:pt x="827062" y="1508340"/>
                                </a:lnTo>
                                <a:lnTo>
                                  <a:pt x="827062" y="819251"/>
                                </a:lnTo>
                                <a:close/>
                              </a:path>
                              <a:path w="4315460" h="1508760">
                                <a:moveTo>
                                  <a:pt x="1405204" y="643407"/>
                                </a:moveTo>
                                <a:lnTo>
                                  <a:pt x="1164818" y="643407"/>
                                </a:lnTo>
                                <a:lnTo>
                                  <a:pt x="1164818" y="1508340"/>
                                </a:lnTo>
                                <a:lnTo>
                                  <a:pt x="1405204" y="1508340"/>
                                </a:lnTo>
                                <a:lnTo>
                                  <a:pt x="1405204" y="643407"/>
                                </a:lnTo>
                                <a:close/>
                              </a:path>
                              <a:path w="4315460" h="1508760">
                                <a:moveTo>
                                  <a:pt x="1993988" y="599440"/>
                                </a:moveTo>
                                <a:lnTo>
                                  <a:pt x="1753590" y="599440"/>
                                </a:lnTo>
                                <a:lnTo>
                                  <a:pt x="1753590" y="1508340"/>
                                </a:lnTo>
                                <a:lnTo>
                                  <a:pt x="1993988" y="1508340"/>
                                </a:lnTo>
                                <a:lnTo>
                                  <a:pt x="1993988" y="599440"/>
                                </a:lnTo>
                                <a:close/>
                              </a:path>
                              <a:path w="4315460" h="1508760">
                                <a:moveTo>
                                  <a:pt x="2571292" y="599440"/>
                                </a:moveTo>
                                <a:lnTo>
                                  <a:pt x="2330894" y="599440"/>
                                </a:lnTo>
                                <a:lnTo>
                                  <a:pt x="2330894" y="1508340"/>
                                </a:lnTo>
                                <a:lnTo>
                                  <a:pt x="2571292" y="1508340"/>
                                </a:lnTo>
                                <a:lnTo>
                                  <a:pt x="2571292" y="599440"/>
                                </a:lnTo>
                                <a:close/>
                              </a:path>
                              <a:path w="4315460" h="1508760">
                                <a:moveTo>
                                  <a:pt x="3161474" y="318084"/>
                                </a:moveTo>
                                <a:lnTo>
                                  <a:pt x="2921076" y="318084"/>
                                </a:lnTo>
                                <a:lnTo>
                                  <a:pt x="2921076" y="1508340"/>
                                </a:lnTo>
                                <a:lnTo>
                                  <a:pt x="3161474" y="1508340"/>
                                </a:lnTo>
                                <a:lnTo>
                                  <a:pt x="3161474" y="318084"/>
                                </a:lnTo>
                                <a:close/>
                              </a:path>
                              <a:path w="4315460" h="1508760">
                                <a:moveTo>
                                  <a:pt x="3732974" y="228600"/>
                                </a:moveTo>
                                <a:lnTo>
                                  <a:pt x="3492576" y="228600"/>
                                </a:lnTo>
                                <a:lnTo>
                                  <a:pt x="3492576" y="1508340"/>
                                </a:lnTo>
                                <a:lnTo>
                                  <a:pt x="3732974" y="1508340"/>
                                </a:lnTo>
                                <a:lnTo>
                                  <a:pt x="3732974" y="228600"/>
                                </a:lnTo>
                                <a:close/>
                              </a:path>
                              <a:path w="4315460" h="1508760">
                                <a:moveTo>
                                  <a:pt x="4315460" y="0"/>
                                </a:moveTo>
                                <a:lnTo>
                                  <a:pt x="4075074" y="0"/>
                                </a:lnTo>
                                <a:lnTo>
                                  <a:pt x="4075074" y="1508340"/>
                                </a:lnTo>
                                <a:lnTo>
                                  <a:pt x="4315460" y="1508340"/>
                                </a:lnTo>
                                <a:lnTo>
                                  <a:pt x="4315460" y="0"/>
                                </a:lnTo>
                                <a:close/>
                              </a:path>
                            </a:pathLst>
                          </a:custGeom>
                          <a:solidFill>
                            <a:srgbClr val="2E614A"/>
                          </a:solidFill>
                        </wps:spPr>
                        <wps:bodyPr wrap="square" lIns="0" tIns="0" rIns="0" bIns="0" rtlCol="0">
                          <a:prstTxWarp prst="textNoShape">
                            <a:avLst/>
                          </a:prstTxWarp>
                          <a:noAutofit/>
                        </wps:bodyPr>
                      </wps:wsp>
                      <wps:wsp>
                        <wps:cNvPr id="1106" name="Graphic 1106"/>
                        <wps:cNvSpPr/>
                        <wps:spPr>
                          <a:xfrm>
                            <a:off x="-9" y="0"/>
                            <a:ext cx="5039360" cy="2108200"/>
                          </a:xfrm>
                          <a:custGeom>
                            <a:avLst/>
                            <a:gdLst/>
                            <a:ahLst/>
                            <a:cxnLst/>
                            <a:rect l="l" t="t" r="r" b="b"/>
                            <a:pathLst>
                              <a:path w="5039360" h="2108200">
                                <a:moveTo>
                                  <a:pt x="5039055" y="0"/>
                                </a:moveTo>
                                <a:lnTo>
                                  <a:pt x="5032705" y="0"/>
                                </a:lnTo>
                                <a:lnTo>
                                  <a:pt x="5032705" y="6934"/>
                                </a:lnTo>
                                <a:lnTo>
                                  <a:pt x="5032705" y="2101278"/>
                                </a:lnTo>
                                <a:lnTo>
                                  <a:pt x="6350" y="2101278"/>
                                </a:lnTo>
                                <a:lnTo>
                                  <a:pt x="6350" y="6934"/>
                                </a:lnTo>
                                <a:lnTo>
                                  <a:pt x="5032705" y="6934"/>
                                </a:lnTo>
                                <a:lnTo>
                                  <a:pt x="5032705" y="0"/>
                                </a:lnTo>
                                <a:lnTo>
                                  <a:pt x="0" y="0"/>
                                </a:lnTo>
                                <a:lnTo>
                                  <a:pt x="0" y="3810"/>
                                </a:lnTo>
                                <a:lnTo>
                                  <a:pt x="0" y="6350"/>
                                </a:lnTo>
                                <a:lnTo>
                                  <a:pt x="0" y="2101850"/>
                                </a:lnTo>
                                <a:lnTo>
                                  <a:pt x="0" y="2104390"/>
                                </a:lnTo>
                                <a:lnTo>
                                  <a:pt x="0" y="2108200"/>
                                </a:lnTo>
                                <a:lnTo>
                                  <a:pt x="5039055" y="2108200"/>
                                </a:lnTo>
                                <a:lnTo>
                                  <a:pt x="5039055" y="3759"/>
                                </a:lnTo>
                                <a:lnTo>
                                  <a:pt x="5039055" y="0"/>
                                </a:lnTo>
                                <a:close/>
                              </a:path>
                            </a:pathLst>
                          </a:custGeom>
                          <a:solidFill>
                            <a:srgbClr val="000000"/>
                          </a:solidFill>
                        </wps:spPr>
                        <wps:bodyPr wrap="square" lIns="0" tIns="0" rIns="0" bIns="0" rtlCol="0">
                          <a:prstTxWarp prst="textNoShape">
                            <a:avLst/>
                          </a:prstTxWarp>
                          <a:noAutofit/>
                        </wps:bodyPr>
                      </wps:wsp>
                      <wps:wsp>
                        <wps:cNvPr id="1107" name="Textbox 1107"/>
                        <wps:cNvSpPr txBox="1"/>
                        <wps:spPr>
                          <a:xfrm>
                            <a:off x="1042934" y="1908138"/>
                            <a:ext cx="18288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Bihar</w:t>
                              </w:r>
                            </w:p>
                          </w:txbxContent>
                        </wps:txbx>
                        <wps:bodyPr wrap="square" lIns="0" tIns="0" rIns="0" bIns="0" rtlCol="0">
                          <a:noAutofit/>
                        </wps:bodyPr>
                      </wps:wsp>
                      <wps:wsp>
                        <wps:cNvPr id="1108" name="Textbox 1108"/>
                        <wps:cNvSpPr txBox="1"/>
                        <wps:spPr>
                          <a:xfrm>
                            <a:off x="1551498" y="1908138"/>
                            <a:ext cx="3355975" cy="102235"/>
                          </a:xfrm>
                          <a:prstGeom prst="rect">
                            <a:avLst/>
                          </a:prstGeom>
                        </wps:spPr>
                        <wps:txbx>
                          <w:txbxContent>
                            <w:p>
                              <w:pPr>
                                <w:tabs>
                                  <w:tab w:pos="897" w:val="left" w:leader="none"/>
                                  <w:tab w:pos="1787" w:val="left" w:leader="none"/>
                                  <w:tab w:pos="2698" w:val="left" w:leader="none"/>
                                  <w:tab w:pos="3658" w:val="left" w:leader="none"/>
                                  <w:tab w:pos="4434" w:val="left" w:leader="none"/>
                                </w:tabs>
                                <w:spacing w:line="161" w:lineRule="exact" w:before="0"/>
                                <w:ind w:left="0" w:right="0" w:firstLine="0"/>
                                <w:jc w:val="left"/>
                                <w:rPr>
                                  <w:rFonts w:ascii="Arial MT"/>
                                  <w:sz w:val="14"/>
                                </w:rPr>
                              </w:pPr>
                              <w:r>
                                <w:rPr>
                                  <w:rFonts w:ascii="Arial MT"/>
                                  <w:spacing w:val="-2"/>
                                  <w:w w:val="90"/>
                                  <w:sz w:val="14"/>
                                </w:rPr>
                                <w:t>Pondicherry</w:t>
                              </w:r>
                              <w:r>
                                <w:rPr>
                                  <w:rFonts w:ascii="Arial MT"/>
                                  <w:sz w:val="14"/>
                                </w:rPr>
                                <w:tab/>
                              </w:r>
                              <w:r>
                                <w:rPr>
                                  <w:rFonts w:ascii="Arial MT"/>
                                  <w:spacing w:val="-2"/>
                                  <w:w w:val="90"/>
                                  <w:sz w:val="14"/>
                                </w:rPr>
                                <w:t>Jharkhand</w:t>
                              </w:r>
                              <w:r>
                                <w:rPr>
                                  <w:rFonts w:ascii="Arial MT"/>
                                  <w:sz w:val="14"/>
                                </w:rPr>
                                <w:tab/>
                              </w:r>
                              <w:r>
                                <w:rPr>
                                  <w:rFonts w:ascii="Arial MT"/>
                                  <w:w w:val="80"/>
                                  <w:sz w:val="14"/>
                                </w:rPr>
                                <w:t>West</w:t>
                              </w:r>
                              <w:r>
                                <w:rPr>
                                  <w:rFonts w:ascii="Arial MT"/>
                                  <w:spacing w:val="-1"/>
                                  <w:w w:val="90"/>
                                  <w:sz w:val="14"/>
                                </w:rPr>
                                <w:t> </w:t>
                              </w:r>
                              <w:r>
                                <w:rPr>
                                  <w:rFonts w:ascii="Arial MT"/>
                                  <w:spacing w:val="-2"/>
                                  <w:w w:val="90"/>
                                  <w:sz w:val="14"/>
                                </w:rPr>
                                <w:t>Bengal</w:t>
                              </w:r>
                              <w:r>
                                <w:rPr>
                                  <w:rFonts w:ascii="Arial MT"/>
                                  <w:sz w:val="14"/>
                                </w:rPr>
                                <w:tab/>
                              </w:r>
                              <w:r>
                                <w:rPr>
                                  <w:rFonts w:ascii="Arial MT"/>
                                  <w:spacing w:val="-4"/>
                                  <w:w w:val="80"/>
                                  <w:sz w:val="14"/>
                                </w:rPr>
                                <w:t>Tamil</w:t>
                              </w:r>
                              <w:r>
                                <w:rPr>
                                  <w:rFonts w:ascii="Arial MT"/>
                                  <w:spacing w:val="1"/>
                                  <w:sz w:val="14"/>
                                </w:rPr>
                                <w:t> </w:t>
                              </w:r>
                              <w:r>
                                <w:rPr>
                                  <w:rFonts w:ascii="Arial MT"/>
                                  <w:spacing w:val="-4"/>
                                  <w:w w:val="90"/>
                                  <w:sz w:val="14"/>
                                </w:rPr>
                                <w:t>Nadu</w:t>
                              </w:r>
                              <w:r>
                                <w:rPr>
                                  <w:rFonts w:ascii="Arial MT"/>
                                  <w:sz w:val="14"/>
                                </w:rPr>
                                <w:tab/>
                              </w:r>
                              <w:r>
                                <w:rPr>
                                  <w:rFonts w:ascii="Arial MT"/>
                                  <w:spacing w:val="-2"/>
                                  <w:w w:val="90"/>
                                  <w:sz w:val="14"/>
                                </w:rPr>
                                <w:t>Karnataka</w:t>
                              </w:r>
                              <w:r>
                                <w:rPr>
                                  <w:rFonts w:ascii="Arial MT"/>
                                  <w:sz w:val="14"/>
                                </w:rPr>
                                <w:tab/>
                              </w:r>
                              <w:r>
                                <w:rPr>
                                  <w:rFonts w:ascii="Arial MT"/>
                                  <w:w w:val="80"/>
                                  <w:sz w:val="14"/>
                                </w:rPr>
                                <w:t>Andhra</w:t>
                              </w:r>
                              <w:r>
                                <w:rPr>
                                  <w:rFonts w:ascii="Arial MT"/>
                                  <w:spacing w:val="-3"/>
                                  <w:sz w:val="14"/>
                                </w:rPr>
                                <w:t> </w:t>
                              </w:r>
                              <w:r>
                                <w:rPr>
                                  <w:rFonts w:ascii="Arial MT"/>
                                  <w:spacing w:val="-2"/>
                                  <w:w w:val="85"/>
                                  <w:sz w:val="14"/>
                                </w:rPr>
                                <w:t>Pradesh</w:t>
                              </w:r>
                            </w:p>
                          </w:txbxContent>
                        </wps:txbx>
                        <wps:bodyPr wrap="square" lIns="0" tIns="0" rIns="0" bIns="0" rtlCol="0">
                          <a:noAutofit/>
                        </wps:bodyPr>
                      </wps:wsp>
                      <wps:wsp>
                        <wps:cNvPr id="1109" name="Textbox 1109"/>
                        <wps:cNvSpPr txBox="1"/>
                        <wps:spPr>
                          <a:xfrm>
                            <a:off x="3363003" y="463374"/>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3.54</w:t>
                              </w:r>
                            </w:p>
                          </w:txbxContent>
                        </wps:txbx>
                        <wps:bodyPr wrap="square" lIns="0" tIns="0" rIns="0" bIns="0" rtlCol="0">
                          <a:noAutofit/>
                        </wps:bodyPr>
                      </wps:wsp>
                      <wps:wsp>
                        <wps:cNvPr id="1110" name="Textbox 1110"/>
                        <wps:cNvSpPr txBox="1"/>
                        <wps:spPr>
                          <a:xfrm>
                            <a:off x="430752" y="1908138"/>
                            <a:ext cx="2235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Kerala</w:t>
                              </w:r>
                            </w:p>
                          </w:txbxContent>
                        </wps:txbx>
                        <wps:bodyPr wrap="square" lIns="0" tIns="0" rIns="0" bIns="0" rtlCol="0">
                          <a:noAutofit/>
                        </wps:bodyPr>
                      </wps:wsp>
                      <wps:wsp>
                        <wps:cNvPr id="1111" name="Textbox 1111"/>
                        <wps:cNvSpPr txBox="1"/>
                        <wps:spPr>
                          <a:xfrm>
                            <a:off x="137236" y="1439963"/>
                            <a:ext cx="53340" cy="438784"/>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1</w:t>
                              </w:r>
                            </w:p>
                            <w:p>
                              <w:pPr>
                                <w:spacing w:line="240" w:lineRule="auto" w:before="0"/>
                                <w:rPr>
                                  <w:rFonts w:ascii="Arial MT"/>
                                  <w:sz w:val="14"/>
                                </w:rPr>
                              </w:pPr>
                            </w:p>
                            <w:p>
                              <w:pPr>
                                <w:spacing w:line="240" w:lineRule="auto" w:before="47"/>
                                <w:rPr>
                                  <w:rFonts w:ascii="Arial MT"/>
                                  <w:sz w:val="14"/>
                                </w:rPr>
                              </w:pPr>
                            </w:p>
                            <w:p>
                              <w:pPr>
                                <w:spacing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112" name="Textbox 1112"/>
                        <wps:cNvSpPr txBox="1"/>
                        <wps:spPr>
                          <a:xfrm>
                            <a:off x="478498" y="1094850"/>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1.71</w:t>
                              </w:r>
                            </w:p>
                          </w:txbxContent>
                        </wps:txbx>
                        <wps:bodyPr wrap="square" lIns="0" tIns="0" rIns="0" bIns="0" rtlCol="0">
                          <a:noAutofit/>
                        </wps:bodyPr>
                      </wps:wsp>
                      <wps:wsp>
                        <wps:cNvPr id="1113" name="Textbox 1113"/>
                        <wps:cNvSpPr txBox="1"/>
                        <wps:spPr>
                          <a:xfrm>
                            <a:off x="137236" y="1103413"/>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2</w:t>
                              </w:r>
                            </w:p>
                          </w:txbxContent>
                        </wps:txbx>
                        <wps:bodyPr wrap="square" lIns="0" tIns="0" rIns="0" bIns="0" rtlCol="0">
                          <a:noAutofit/>
                        </wps:bodyPr>
                      </wps:wsp>
                      <wps:wsp>
                        <wps:cNvPr id="1114" name="Textbox 1114"/>
                        <wps:cNvSpPr txBox="1"/>
                        <wps:spPr>
                          <a:xfrm>
                            <a:off x="1054395" y="976154"/>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2.55</w:t>
                              </w:r>
                            </w:p>
                          </w:txbxContent>
                        </wps:txbx>
                        <wps:bodyPr wrap="square" lIns="0" tIns="0" rIns="0" bIns="0" rtlCol="0">
                          <a:noAutofit/>
                        </wps:bodyPr>
                      </wps:wsp>
                      <wps:wsp>
                        <wps:cNvPr id="1115" name="Textbox 1115"/>
                        <wps:cNvSpPr txBox="1"/>
                        <wps:spPr>
                          <a:xfrm>
                            <a:off x="2809716" y="751950"/>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2.69</w:t>
                              </w:r>
                            </w:p>
                          </w:txbxContent>
                        </wps:txbx>
                        <wps:bodyPr wrap="square" lIns="0" tIns="0" rIns="0" bIns="0" rtlCol="0">
                          <a:noAutofit/>
                        </wps:bodyPr>
                      </wps:wsp>
                      <wps:wsp>
                        <wps:cNvPr id="1116" name="Textbox 1116"/>
                        <wps:cNvSpPr txBox="1"/>
                        <wps:spPr>
                          <a:xfrm>
                            <a:off x="2202703" y="751950"/>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2.69</w:t>
                              </w:r>
                            </w:p>
                          </w:txbxContent>
                        </wps:txbx>
                        <wps:bodyPr wrap="square" lIns="0" tIns="0" rIns="0" bIns="0" rtlCol="0">
                          <a:noAutofit/>
                        </wps:bodyPr>
                      </wps:wsp>
                      <wps:wsp>
                        <wps:cNvPr id="1117" name="Textbox 1117"/>
                        <wps:cNvSpPr txBox="1"/>
                        <wps:spPr>
                          <a:xfrm>
                            <a:off x="1638141" y="814438"/>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2.06</w:t>
                              </w:r>
                            </w:p>
                          </w:txbxContent>
                        </wps:txbx>
                        <wps:bodyPr wrap="square" lIns="0" tIns="0" rIns="0" bIns="0" rtlCol="0">
                          <a:noAutofit/>
                        </wps:bodyPr>
                      </wps:wsp>
                      <wps:wsp>
                        <wps:cNvPr id="1118" name="Textbox 1118"/>
                        <wps:cNvSpPr txBox="1"/>
                        <wps:spPr>
                          <a:xfrm>
                            <a:off x="137236" y="766863"/>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3</w:t>
                              </w:r>
                            </w:p>
                          </w:txbxContent>
                        </wps:txbx>
                        <wps:bodyPr wrap="square" lIns="0" tIns="0" rIns="0" bIns="0" rtlCol="0">
                          <a:noAutofit/>
                        </wps:bodyPr>
                      </wps:wsp>
                      <wps:wsp>
                        <wps:cNvPr id="1119" name="Textbox 1119"/>
                        <wps:cNvSpPr txBox="1"/>
                        <wps:spPr>
                          <a:xfrm>
                            <a:off x="3964963" y="390523"/>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3.78</w:t>
                              </w:r>
                            </w:p>
                          </w:txbxContent>
                        </wps:txbx>
                        <wps:bodyPr wrap="square" lIns="0" tIns="0" rIns="0" bIns="0" rtlCol="0">
                          <a:noAutofit/>
                        </wps:bodyPr>
                      </wps:wsp>
                      <wps:wsp>
                        <wps:cNvPr id="1120" name="Textbox 1120"/>
                        <wps:cNvSpPr txBox="1"/>
                        <wps:spPr>
                          <a:xfrm>
                            <a:off x="137236" y="93763"/>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5</w:t>
                              </w:r>
                            </w:p>
                          </w:txbxContent>
                        </wps:txbx>
                        <wps:bodyPr wrap="square" lIns="0" tIns="0" rIns="0" bIns="0" rtlCol="0">
                          <a:noAutofit/>
                        </wps:bodyPr>
                      </wps:wsp>
                      <wps:wsp>
                        <wps:cNvPr id="1121" name="Textbox 1121"/>
                        <wps:cNvSpPr txBox="1"/>
                        <wps:spPr>
                          <a:xfrm>
                            <a:off x="4536463" y="149677"/>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4.49</w:t>
                              </w:r>
                            </w:p>
                          </w:txbxContent>
                        </wps:txbx>
                        <wps:bodyPr wrap="square" lIns="0" tIns="0" rIns="0" bIns="0" rtlCol="0">
                          <a:noAutofit/>
                        </wps:bodyPr>
                      </wps:wsp>
                      <wps:wsp>
                        <wps:cNvPr id="1122" name="Textbox 1122"/>
                        <wps:cNvSpPr txBox="1"/>
                        <wps:spPr>
                          <a:xfrm>
                            <a:off x="137236" y="430313"/>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4</w:t>
                              </w:r>
                            </w:p>
                          </w:txbxContent>
                        </wps:txbx>
                        <wps:bodyPr wrap="square" lIns="0" tIns="0" rIns="0" bIns="0" rtlCol="0">
                          <a:noAutofit/>
                        </wps:bodyPr>
                      </wps:wsp>
                    </wpg:wgp>
                  </a:graphicData>
                </a:graphic>
              </wp:anchor>
            </w:drawing>
          </mc:Choice>
          <mc:Fallback>
            <w:pict>
              <v:group style="position:absolute;margin-left:99.391724pt;margin-top:8.173755pt;width:396.8pt;height:166pt;mso-position-horizontal-relative:page;mso-position-vertical-relative:paragraph;z-index:-15659520;mso-wrap-distance-left:0;mso-wrap-distance-right:0" id="docshapegroup1091" coordorigin="1988,163" coordsize="7936,3320">
                <v:shape style="position:absolute;left:2344;top:388;width:7391;height:2724" id="docshape1092" coordorigin="2344,389" coordsize="7391,2724" path="m9735,3058l9731,3058,9731,3049,2410,3049,2410,3045,2409,3045,2409,2534,2410,2534,2410,2514,2409,2514,2409,2003,2410,2003,2410,1983,2409,1983,2409,1471,2410,1471,2410,1451,2409,1451,2409,940,2410,940,2410,920,2409,920,2409,409,2410,409,2410,389,2344,389,2344,409,2399,409,2399,920,2344,920,2344,940,2399,940,2399,1451,2344,1451,2344,1471,2399,1471,2399,1983,2344,1983,2344,2003,2399,2003,2399,2514,2344,2514,2344,2534,2399,2534,2399,3045,2344,3045,2344,3065,2399,3065,2399,3112,2409,3112,2409,3065,2410,3065,2410,3059,3314,3059,3314,3112,3324,3112,3324,3059,4230,3059,4230,3112,4240,3112,4240,3059,5146,3059,5146,3112,5156,3112,5156,3059,6062,3059,6062,3112,6072,3112,6072,3059,6977,3059,6977,3112,6987,3112,6987,3059,7893,3059,7893,3112,7903,3112,7903,3059,8809,3059,8809,3112,8819,3112,8819,3059,9725,3059,9725,3112,9735,3112,9735,3058xe" filled="true" fillcolor="#000000" stroked="false">
                  <v:path arrowok="t"/>
                  <v:fill type="solid"/>
                </v:shape>
                <v:shape style="position:absolute;left:2649;top:671;width:6796;height:2376" id="docshape1093" coordorigin="2650,672" coordsize="6796,2376" path="m3028,2135l2650,2135,2650,3047,3028,3047,3028,2135xm3952,1962l3574,1962,3574,3047,3952,3047,3952,1962xm4863,1685l4484,1685,4484,3047,4863,3047,4863,1685xm5790,1616l5411,1616,5411,3047,5790,3047,5790,1616xm6699,1616l6320,1616,6320,3047,6699,3047,6699,1616xm7628,1172l7250,1172,7250,3047,7628,3047,7628,1172xm8528,1032l8150,1032,8150,3047,8528,3047,8528,1032xm9446,672l9067,672,9067,3047,9446,3047,9446,672xe" filled="true" fillcolor="#2e614a" stroked="false">
                  <v:path arrowok="t"/>
                  <v:fill type="solid"/>
                </v:shape>
                <v:shape style="position:absolute;left:1987;top:163;width:7936;height:3320" id="docshape1094" coordorigin="1988,163" coordsize="7936,3320" path="m9923,163l9913,163,9913,174,9913,3473,1998,3473,1998,174,9913,174,9913,163,1988,163,1988,169,1988,173,1988,3473,1988,3477,1988,3483,9923,3483,9923,169,9923,163xe" filled="true" fillcolor="#000000" stroked="false">
                  <v:path arrowok="t"/>
                  <v:fill type="solid"/>
                </v:shape>
                <v:shape style="position:absolute;left:3630;top:3168;width:288;height:161" type="#_x0000_t202" id="docshape1095" filled="false" stroked="false">
                  <v:textbox inset="0,0,0,0">
                    <w:txbxContent>
                      <w:p>
                        <w:pPr>
                          <w:spacing w:line="161" w:lineRule="exact" w:before="0"/>
                          <w:ind w:left="0" w:right="0" w:firstLine="0"/>
                          <w:jc w:val="left"/>
                          <w:rPr>
                            <w:rFonts w:ascii="Arial MT"/>
                            <w:sz w:val="14"/>
                          </w:rPr>
                        </w:pPr>
                        <w:r>
                          <w:rPr>
                            <w:rFonts w:ascii="Arial MT"/>
                            <w:spacing w:val="-2"/>
                            <w:w w:val="85"/>
                            <w:sz w:val="14"/>
                          </w:rPr>
                          <w:t>Bihar</w:t>
                        </w:r>
                      </w:p>
                    </w:txbxContent>
                  </v:textbox>
                  <w10:wrap type="none"/>
                </v:shape>
                <v:shape style="position:absolute;left:4431;top:3168;width:5285;height:161" type="#_x0000_t202" id="docshape1096" filled="false" stroked="false">
                  <v:textbox inset="0,0,0,0">
                    <w:txbxContent>
                      <w:p>
                        <w:pPr>
                          <w:tabs>
                            <w:tab w:pos="897" w:val="left" w:leader="none"/>
                            <w:tab w:pos="1787" w:val="left" w:leader="none"/>
                            <w:tab w:pos="2698" w:val="left" w:leader="none"/>
                            <w:tab w:pos="3658" w:val="left" w:leader="none"/>
                            <w:tab w:pos="4434" w:val="left" w:leader="none"/>
                          </w:tabs>
                          <w:spacing w:line="161" w:lineRule="exact" w:before="0"/>
                          <w:ind w:left="0" w:right="0" w:firstLine="0"/>
                          <w:jc w:val="left"/>
                          <w:rPr>
                            <w:rFonts w:ascii="Arial MT"/>
                            <w:sz w:val="14"/>
                          </w:rPr>
                        </w:pPr>
                        <w:r>
                          <w:rPr>
                            <w:rFonts w:ascii="Arial MT"/>
                            <w:spacing w:val="-2"/>
                            <w:w w:val="90"/>
                            <w:sz w:val="14"/>
                          </w:rPr>
                          <w:t>Pondicherry</w:t>
                        </w:r>
                        <w:r>
                          <w:rPr>
                            <w:rFonts w:ascii="Arial MT"/>
                            <w:sz w:val="14"/>
                          </w:rPr>
                          <w:tab/>
                        </w:r>
                        <w:r>
                          <w:rPr>
                            <w:rFonts w:ascii="Arial MT"/>
                            <w:spacing w:val="-2"/>
                            <w:w w:val="90"/>
                            <w:sz w:val="14"/>
                          </w:rPr>
                          <w:t>Jharkhand</w:t>
                        </w:r>
                        <w:r>
                          <w:rPr>
                            <w:rFonts w:ascii="Arial MT"/>
                            <w:sz w:val="14"/>
                          </w:rPr>
                          <w:tab/>
                        </w:r>
                        <w:r>
                          <w:rPr>
                            <w:rFonts w:ascii="Arial MT"/>
                            <w:w w:val="80"/>
                            <w:sz w:val="14"/>
                          </w:rPr>
                          <w:t>West</w:t>
                        </w:r>
                        <w:r>
                          <w:rPr>
                            <w:rFonts w:ascii="Arial MT"/>
                            <w:spacing w:val="-1"/>
                            <w:w w:val="90"/>
                            <w:sz w:val="14"/>
                          </w:rPr>
                          <w:t> </w:t>
                        </w:r>
                        <w:r>
                          <w:rPr>
                            <w:rFonts w:ascii="Arial MT"/>
                            <w:spacing w:val="-2"/>
                            <w:w w:val="90"/>
                            <w:sz w:val="14"/>
                          </w:rPr>
                          <w:t>Bengal</w:t>
                        </w:r>
                        <w:r>
                          <w:rPr>
                            <w:rFonts w:ascii="Arial MT"/>
                            <w:sz w:val="14"/>
                          </w:rPr>
                          <w:tab/>
                        </w:r>
                        <w:r>
                          <w:rPr>
                            <w:rFonts w:ascii="Arial MT"/>
                            <w:spacing w:val="-4"/>
                            <w:w w:val="80"/>
                            <w:sz w:val="14"/>
                          </w:rPr>
                          <w:t>Tamil</w:t>
                        </w:r>
                        <w:r>
                          <w:rPr>
                            <w:rFonts w:ascii="Arial MT"/>
                            <w:spacing w:val="1"/>
                            <w:sz w:val="14"/>
                          </w:rPr>
                          <w:t> </w:t>
                        </w:r>
                        <w:r>
                          <w:rPr>
                            <w:rFonts w:ascii="Arial MT"/>
                            <w:spacing w:val="-4"/>
                            <w:w w:val="90"/>
                            <w:sz w:val="14"/>
                          </w:rPr>
                          <w:t>Nadu</w:t>
                        </w:r>
                        <w:r>
                          <w:rPr>
                            <w:rFonts w:ascii="Arial MT"/>
                            <w:sz w:val="14"/>
                          </w:rPr>
                          <w:tab/>
                        </w:r>
                        <w:r>
                          <w:rPr>
                            <w:rFonts w:ascii="Arial MT"/>
                            <w:spacing w:val="-2"/>
                            <w:w w:val="90"/>
                            <w:sz w:val="14"/>
                          </w:rPr>
                          <w:t>Karnataka</w:t>
                        </w:r>
                        <w:r>
                          <w:rPr>
                            <w:rFonts w:ascii="Arial MT"/>
                            <w:sz w:val="14"/>
                          </w:rPr>
                          <w:tab/>
                        </w:r>
                        <w:r>
                          <w:rPr>
                            <w:rFonts w:ascii="Arial MT"/>
                            <w:w w:val="80"/>
                            <w:sz w:val="14"/>
                          </w:rPr>
                          <w:t>Andhra</w:t>
                        </w:r>
                        <w:r>
                          <w:rPr>
                            <w:rFonts w:ascii="Arial MT"/>
                            <w:spacing w:val="-3"/>
                            <w:sz w:val="14"/>
                          </w:rPr>
                          <w:t> </w:t>
                        </w:r>
                        <w:r>
                          <w:rPr>
                            <w:rFonts w:ascii="Arial MT"/>
                            <w:spacing w:val="-2"/>
                            <w:w w:val="85"/>
                            <w:sz w:val="14"/>
                          </w:rPr>
                          <w:t>Pradesh</w:t>
                        </w:r>
                      </w:p>
                    </w:txbxContent>
                  </v:textbox>
                  <w10:wrap type="none"/>
                </v:shape>
                <v:shape style="position:absolute;left:7283;top:893;width:244;height:161" type="#_x0000_t202" id="docshape1097" filled="false" stroked="false">
                  <v:textbox inset="0,0,0,0">
                    <w:txbxContent>
                      <w:p>
                        <w:pPr>
                          <w:spacing w:line="161" w:lineRule="exact" w:before="0"/>
                          <w:ind w:left="0" w:right="0" w:firstLine="0"/>
                          <w:jc w:val="left"/>
                          <w:rPr>
                            <w:rFonts w:ascii="Arial MT"/>
                            <w:sz w:val="14"/>
                          </w:rPr>
                        </w:pPr>
                        <w:r>
                          <w:rPr>
                            <w:rFonts w:ascii="Arial MT"/>
                            <w:spacing w:val="-4"/>
                            <w:w w:val="85"/>
                            <w:sz w:val="14"/>
                          </w:rPr>
                          <w:t>3.54</w:t>
                        </w:r>
                      </w:p>
                    </w:txbxContent>
                  </v:textbox>
                  <w10:wrap type="none"/>
                </v:shape>
                <v:shape style="position:absolute;left:2666;top:3168;width:352;height:161" type="#_x0000_t202" id="docshape1098" filled="false" stroked="false">
                  <v:textbox inset="0,0,0,0">
                    <w:txbxContent>
                      <w:p>
                        <w:pPr>
                          <w:spacing w:line="161" w:lineRule="exact" w:before="0"/>
                          <w:ind w:left="0" w:right="0" w:firstLine="0"/>
                          <w:jc w:val="left"/>
                          <w:rPr>
                            <w:rFonts w:ascii="Arial MT"/>
                            <w:sz w:val="14"/>
                          </w:rPr>
                        </w:pPr>
                        <w:r>
                          <w:rPr>
                            <w:rFonts w:ascii="Arial MT"/>
                            <w:spacing w:val="-2"/>
                            <w:w w:val="85"/>
                            <w:sz w:val="14"/>
                          </w:rPr>
                          <w:t>Kerala</w:t>
                        </w:r>
                      </w:p>
                    </w:txbxContent>
                  </v:textbox>
                  <w10:wrap type="none"/>
                </v:shape>
                <v:shape style="position:absolute;left:2203;top:2431;width:84;height:691" type="#_x0000_t202" id="docshape1099" filled="false" stroked="false">
                  <v:textbox inset="0,0,0,0">
                    <w:txbxContent>
                      <w:p>
                        <w:pPr>
                          <w:spacing w:line="161" w:lineRule="exact" w:before="0"/>
                          <w:ind w:left="0" w:right="0" w:firstLine="0"/>
                          <w:jc w:val="left"/>
                          <w:rPr>
                            <w:rFonts w:ascii="Arial MT"/>
                            <w:sz w:val="14"/>
                          </w:rPr>
                        </w:pPr>
                        <w:r>
                          <w:rPr>
                            <w:rFonts w:ascii="Arial MT"/>
                            <w:spacing w:val="-10"/>
                            <w:w w:val="90"/>
                            <w:sz w:val="14"/>
                          </w:rPr>
                          <w:t>1</w:t>
                        </w:r>
                      </w:p>
                      <w:p>
                        <w:pPr>
                          <w:spacing w:line="240" w:lineRule="auto" w:before="0"/>
                          <w:rPr>
                            <w:rFonts w:ascii="Arial MT"/>
                            <w:sz w:val="14"/>
                          </w:rPr>
                        </w:pPr>
                      </w:p>
                      <w:p>
                        <w:pPr>
                          <w:spacing w:line="240" w:lineRule="auto" w:before="47"/>
                          <w:rPr>
                            <w:rFonts w:ascii="Arial MT"/>
                            <w:sz w:val="14"/>
                          </w:rPr>
                        </w:pPr>
                      </w:p>
                      <w:p>
                        <w:pPr>
                          <w:spacing w:before="0"/>
                          <w:ind w:left="0" w:right="0" w:firstLine="0"/>
                          <w:jc w:val="left"/>
                          <w:rPr>
                            <w:rFonts w:ascii="Arial MT"/>
                            <w:sz w:val="14"/>
                          </w:rPr>
                        </w:pPr>
                        <w:r>
                          <w:rPr>
                            <w:rFonts w:ascii="Arial MT"/>
                            <w:spacing w:val="-10"/>
                            <w:w w:val="90"/>
                            <w:sz w:val="14"/>
                          </w:rPr>
                          <w:t>0</w:t>
                        </w:r>
                      </w:p>
                    </w:txbxContent>
                  </v:textbox>
                  <w10:wrap type="none"/>
                </v:shape>
                <v:shape style="position:absolute;left:2741;top:1887;width:244;height:161" type="#_x0000_t202" id="docshape1100" filled="false" stroked="false">
                  <v:textbox inset="0,0,0,0">
                    <w:txbxContent>
                      <w:p>
                        <w:pPr>
                          <w:spacing w:line="161" w:lineRule="exact" w:before="0"/>
                          <w:ind w:left="0" w:right="0" w:firstLine="0"/>
                          <w:jc w:val="left"/>
                          <w:rPr>
                            <w:rFonts w:ascii="Arial MT"/>
                            <w:sz w:val="14"/>
                          </w:rPr>
                        </w:pPr>
                        <w:r>
                          <w:rPr>
                            <w:rFonts w:ascii="Arial MT"/>
                            <w:spacing w:val="-4"/>
                            <w:w w:val="85"/>
                            <w:sz w:val="14"/>
                          </w:rPr>
                          <w:t>1.71</w:t>
                        </w:r>
                      </w:p>
                    </w:txbxContent>
                  </v:textbox>
                  <w10:wrap type="none"/>
                </v:shape>
                <v:shape style="position:absolute;left:2203;top:1901;width:84;height:161" type="#_x0000_t202" id="docshape1101" filled="false" stroked="false">
                  <v:textbox inset="0,0,0,0">
                    <w:txbxContent>
                      <w:p>
                        <w:pPr>
                          <w:spacing w:line="161" w:lineRule="exact" w:before="0"/>
                          <w:ind w:left="0" w:right="0" w:firstLine="0"/>
                          <w:jc w:val="left"/>
                          <w:rPr>
                            <w:rFonts w:ascii="Arial MT"/>
                            <w:sz w:val="14"/>
                          </w:rPr>
                        </w:pPr>
                        <w:r>
                          <w:rPr>
                            <w:rFonts w:ascii="Arial MT"/>
                            <w:spacing w:val="-10"/>
                            <w:w w:val="90"/>
                            <w:sz w:val="14"/>
                          </w:rPr>
                          <w:t>2</w:t>
                        </w:r>
                      </w:p>
                    </w:txbxContent>
                  </v:textbox>
                  <w10:wrap type="none"/>
                </v:shape>
                <v:shape style="position:absolute;left:3648;top:1700;width:244;height:161" type="#_x0000_t202" id="docshape1102" filled="false" stroked="false">
                  <v:textbox inset="0,0,0,0">
                    <w:txbxContent>
                      <w:p>
                        <w:pPr>
                          <w:spacing w:line="161" w:lineRule="exact" w:before="0"/>
                          <w:ind w:left="0" w:right="0" w:firstLine="0"/>
                          <w:jc w:val="left"/>
                          <w:rPr>
                            <w:rFonts w:ascii="Arial MT"/>
                            <w:sz w:val="14"/>
                          </w:rPr>
                        </w:pPr>
                        <w:r>
                          <w:rPr>
                            <w:rFonts w:ascii="Arial MT"/>
                            <w:spacing w:val="-4"/>
                            <w:w w:val="85"/>
                            <w:sz w:val="14"/>
                          </w:rPr>
                          <w:t>2.55</w:t>
                        </w:r>
                      </w:p>
                    </w:txbxContent>
                  </v:textbox>
                  <w10:wrap type="none"/>
                </v:shape>
                <v:shape style="position:absolute;left:6412;top:1347;width:244;height:161" type="#_x0000_t202" id="docshape1103" filled="false" stroked="false">
                  <v:textbox inset="0,0,0,0">
                    <w:txbxContent>
                      <w:p>
                        <w:pPr>
                          <w:spacing w:line="161" w:lineRule="exact" w:before="0"/>
                          <w:ind w:left="0" w:right="0" w:firstLine="0"/>
                          <w:jc w:val="left"/>
                          <w:rPr>
                            <w:rFonts w:ascii="Arial MT"/>
                            <w:sz w:val="14"/>
                          </w:rPr>
                        </w:pPr>
                        <w:r>
                          <w:rPr>
                            <w:rFonts w:ascii="Arial MT"/>
                            <w:spacing w:val="-4"/>
                            <w:w w:val="85"/>
                            <w:sz w:val="14"/>
                          </w:rPr>
                          <w:t>2.69</w:t>
                        </w:r>
                      </w:p>
                    </w:txbxContent>
                  </v:textbox>
                  <w10:wrap type="none"/>
                </v:shape>
                <v:shape style="position:absolute;left:5456;top:1347;width:244;height:161" type="#_x0000_t202" id="docshape1104" filled="false" stroked="false">
                  <v:textbox inset="0,0,0,0">
                    <w:txbxContent>
                      <w:p>
                        <w:pPr>
                          <w:spacing w:line="161" w:lineRule="exact" w:before="0"/>
                          <w:ind w:left="0" w:right="0" w:firstLine="0"/>
                          <w:jc w:val="left"/>
                          <w:rPr>
                            <w:rFonts w:ascii="Arial MT"/>
                            <w:sz w:val="14"/>
                          </w:rPr>
                        </w:pPr>
                        <w:r>
                          <w:rPr>
                            <w:rFonts w:ascii="Arial MT"/>
                            <w:spacing w:val="-4"/>
                            <w:w w:val="85"/>
                            <w:sz w:val="14"/>
                          </w:rPr>
                          <w:t>2.69</w:t>
                        </w:r>
                      </w:p>
                    </w:txbxContent>
                  </v:textbox>
                  <w10:wrap type="none"/>
                </v:shape>
                <v:shape style="position:absolute;left:4567;top:1446;width:244;height:161" type="#_x0000_t202" id="docshape1105" filled="false" stroked="false">
                  <v:textbox inset="0,0,0,0">
                    <w:txbxContent>
                      <w:p>
                        <w:pPr>
                          <w:spacing w:line="161" w:lineRule="exact" w:before="0"/>
                          <w:ind w:left="0" w:right="0" w:firstLine="0"/>
                          <w:jc w:val="left"/>
                          <w:rPr>
                            <w:rFonts w:ascii="Arial MT"/>
                            <w:sz w:val="14"/>
                          </w:rPr>
                        </w:pPr>
                        <w:r>
                          <w:rPr>
                            <w:rFonts w:ascii="Arial MT"/>
                            <w:spacing w:val="-4"/>
                            <w:w w:val="85"/>
                            <w:sz w:val="14"/>
                          </w:rPr>
                          <w:t>2.06</w:t>
                        </w:r>
                      </w:p>
                    </w:txbxContent>
                  </v:textbox>
                  <w10:wrap type="none"/>
                </v:shape>
                <v:shape style="position:absolute;left:2203;top:1371;width:84;height:161" type="#_x0000_t202" id="docshape1106" filled="false" stroked="false">
                  <v:textbox inset="0,0,0,0">
                    <w:txbxContent>
                      <w:p>
                        <w:pPr>
                          <w:spacing w:line="161" w:lineRule="exact" w:before="0"/>
                          <w:ind w:left="0" w:right="0" w:firstLine="0"/>
                          <w:jc w:val="left"/>
                          <w:rPr>
                            <w:rFonts w:ascii="Arial MT"/>
                            <w:sz w:val="14"/>
                          </w:rPr>
                        </w:pPr>
                        <w:r>
                          <w:rPr>
                            <w:rFonts w:ascii="Arial MT"/>
                            <w:spacing w:val="-10"/>
                            <w:w w:val="90"/>
                            <w:sz w:val="14"/>
                          </w:rPr>
                          <w:t>3</w:t>
                        </w:r>
                      </w:p>
                    </w:txbxContent>
                  </v:textbox>
                  <w10:wrap type="none"/>
                </v:shape>
                <v:shape style="position:absolute;left:8231;top:778;width:244;height:161" type="#_x0000_t202" id="docshape1107" filled="false" stroked="false">
                  <v:textbox inset="0,0,0,0">
                    <w:txbxContent>
                      <w:p>
                        <w:pPr>
                          <w:spacing w:line="161" w:lineRule="exact" w:before="0"/>
                          <w:ind w:left="0" w:right="0" w:firstLine="0"/>
                          <w:jc w:val="left"/>
                          <w:rPr>
                            <w:rFonts w:ascii="Arial MT"/>
                            <w:sz w:val="14"/>
                          </w:rPr>
                        </w:pPr>
                        <w:r>
                          <w:rPr>
                            <w:rFonts w:ascii="Arial MT"/>
                            <w:spacing w:val="-4"/>
                            <w:w w:val="85"/>
                            <w:sz w:val="14"/>
                          </w:rPr>
                          <w:t>3.78</w:t>
                        </w:r>
                      </w:p>
                    </w:txbxContent>
                  </v:textbox>
                  <w10:wrap type="none"/>
                </v:shape>
                <v:shape style="position:absolute;left:2203;top:311;width:84;height:161" type="#_x0000_t202" id="docshape1108" filled="false" stroked="false">
                  <v:textbox inset="0,0,0,0">
                    <w:txbxContent>
                      <w:p>
                        <w:pPr>
                          <w:spacing w:line="161" w:lineRule="exact" w:before="0"/>
                          <w:ind w:left="0" w:right="0" w:firstLine="0"/>
                          <w:jc w:val="left"/>
                          <w:rPr>
                            <w:rFonts w:ascii="Arial MT"/>
                            <w:sz w:val="14"/>
                          </w:rPr>
                        </w:pPr>
                        <w:r>
                          <w:rPr>
                            <w:rFonts w:ascii="Arial MT"/>
                            <w:spacing w:val="-10"/>
                            <w:w w:val="90"/>
                            <w:sz w:val="14"/>
                          </w:rPr>
                          <w:t>5</w:t>
                        </w:r>
                      </w:p>
                    </w:txbxContent>
                  </v:textbox>
                  <w10:wrap type="none"/>
                </v:shape>
                <v:shape style="position:absolute;left:9131;top:399;width:244;height:161" type="#_x0000_t202" id="docshape1109" filled="false" stroked="false">
                  <v:textbox inset="0,0,0,0">
                    <w:txbxContent>
                      <w:p>
                        <w:pPr>
                          <w:spacing w:line="161" w:lineRule="exact" w:before="0"/>
                          <w:ind w:left="0" w:right="0" w:firstLine="0"/>
                          <w:jc w:val="left"/>
                          <w:rPr>
                            <w:rFonts w:ascii="Arial MT"/>
                            <w:sz w:val="14"/>
                          </w:rPr>
                        </w:pPr>
                        <w:r>
                          <w:rPr>
                            <w:rFonts w:ascii="Arial MT"/>
                            <w:spacing w:val="-4"/>
                            <w:w w:val="85"/>
                            <w:sz w:val="14"/>
                          </w:rPr>
                          <w:t>4.49</w:t>
                        </w:r>
                      </w:p>
                    </w:txbxContent>
                  </v:textbox>
                  <w10:wrap type="none"/>
                </v:shape>
                <v:shape style="position:absolute;left:2203;top:841;width:84;height:161" type="#_x0000_t202" id="docshape1110" filled="false" stroked="false">
                  <v:textbox inset="0,0,0,0">
                    <w:txbxContent>
                      <w:p>
                        <w:pPr>
                          <w:spacing w:line="161" w:lineRule="exact" w:before="0"/>
                          <w:ind w:left="0" w:right="0" w:firstLine="0"/>
                          <w:jc w:val="left"/>
                          <w:rPr>
                            <w:rFonts w:ascii="Arial MT"/>
                            <w:sz w:val="14"/>
                          </w:rPr>
                        </w:pPr>
                        <w:r>
                          <w:rPr>
                            <w:rFonts w:ascii="Arial MT"/>
                            <w:spacing w:val="-10"/>
                            <w:w w:val="90"/>
                            <w:sz w:val="14"/>
                          </w:rPr>
                          <w:t>4</w:t>
                        </w:r>
                      </w:p>
                    </w:txbxContent>
                  </v:textbox>
                  <w10:wrap type="none"/>
                </v:shape>
                <w10:wrap type="topAndBottom"/>
              </v:group>
            </w:pict>
          </mc:Fallback>
        </mc:AlternateContent>
      </w:r>
    </w:p>
    <w:p>
      <w:pPr>
        <w:spacing w:before="39"/>
        <w:ind w:left="1982" w:right="0" w:firstLine="0"/>
        <w:jc w:val="left"/>
        <w:rPr>
          <w:sz w:val="16"/>
        </w:rPr>
      </w:pPr>
      <w:r>
        <w:rPr>
          <w:i/>
          <w:spacing w:val="-4"/>
          <w:sz w:val="16"/>
        </w:rPr>
        <w:t>Source:</w:t>
      </w:r>
      <w:r>
        <w:rPr>
          <w:i/>
          <w:spacing w:val="2"/>
          <w:sz w:val="16"/>
        </w:rPr>
        <w:t> </w:t>
      </w:r>
      <w:r>
        <w:rPr>
          <w:spacing w:val="-4"/>
          <w:sz w:val="16"/>
        </w:rPr>
        <w:t>Elementary</w:t>
      </w:r>
      <w:r>
        <w:rPr>
          <w:spacing w:val="2"/>
          <w:sz w:val="16"/>
        </w:rPr>
        <w:t> </w:t>
      </w:r>
      <w:r>
        <w:rPr>
          <w:spacing w:val="-4"/>
          <w:sz w:val="16"/>
        </w:rPr>
        <w:t>Education</w:t>
      </w:r>
      <w:r>
        <w:rPr>
          <w:spacing w:val="3"/>
          <w:sz w:val="16"/>
        </w:rPr>
        <w:t> </w:t>
      </w:r>
      <w:r>
        <w:rPr>
          <w:spacing w:val="-4"/>
          <w:sz w:val="16"/>
        </w:rPr>
        <w:t>in</w:t>
      </w:r>
      <w:r>
        <w:rPr>
          <w:spacing w:val="2"/>
          <w:sz w:val="16"/>
        </w:rPr>
        <w:t> </w:t>
      </w:r>
      <w:r>
        <w:rPr>
          <w:spacing w:val="-4"/>
          <w:sz w:val="16"/>
        </w:rPr>
        <w:t>India,</w:t>
      </w:r>
      <w:r>
        <w:rPr>
          <w:spacing w:val="2"/>
          <w:sz w:val="16"/>
        </w:rPr>
        <w:t> </w:t>
      </w:r>
      <w:r>
        <w:rPr>
          <w:spacing w:val="-4"/>
          <w:sz w:val="16"/>
        </w:rPr>
        <w:t>Analytical</w:t>
      </w:r>
      <w:r>
        <w:rPr>
          <w:spacing w:val="3"/>
          <w:sz w:val="16"/>
        </w:rPr>
        <w:t> </w:t>
      </w:r>
      <w:r>
        <w:rPr>
          <w:spacing w:val="-4"/>
          <w:sz w:val="16"/>
        </w:rPr>
        <w:t>Report</w:t>
      </w:r>
      <w:r>
        <w:rPr>
          <w:spacing w:val="2"/>
          <w:sz w:val="16"/>
        </w:rPr>
        <w:t> </w:t>
      </w:r>
      <w:r>
        <w:rPr>
          <w:spacing w:val="-4"/>
          <w:sz w:val="16"/>
        </w:rPr>
        <w:t>NUEPA,</w:t>
      </w:r>
      <w:r>
        <w:rPr>
          <w:spacing w:val="2"/>
          <w:sz w:val="16"/>
        </w:rPr>
        <w:t> </w:t>
      </w:r>
      <w:r>
        <w:rPr>
          <w:spacing w:val="-4"/>
          <w:sz w:val="16"/>
        </w:rPr>
        <w:t>2005-</w:t>
      </w:r>
      <w:r>
        <w:rPr>
          <w:spacing w:val="-5"/>
          <w:sz w:val="16"/>
        </w:rPr>
        <w:t>06</w:t>
      </w:r>
    </w:p>
    <w:p>
      <w:pPr>
        <w:spacing w:after="0"/>
        <w:jc w:val="left"/>
        <w:rPr>
          <w:sz w:val="16"/>
        </w:rPr>
        <w:sectPr>
          <w:type w:val="continuous"/>
          <w:pgSz w:w="11910" w:h="16840"/>
          <w:pgMar w:header="0" w:footer="675" w:top="1920" w:bottom="280" w:left="0" w:right="0"/>
        </w:sectPr>
      </w:pPr>
    </w:p>
    <w:p>
      <w:pPr>
        <w:pStyle w:val="Heading8"/>
        <w:spacing w:before="73"/>
        <w:ind w:left="2001"/>
      </w:pPr>
      <w:r>
        <w:rPr/>
        <mc:AlternateContent>
          <mc:Choice Requires="wps">
            <w:drawing>
              <wp:anchor distT="0" distB="0" distL="0" distR="0" allowOverlap="1" layoutInCell="1" locked="0" behindDoc="0" simplePos="0" relativeHeight="15799808">
                <wp:simplePos x="0" y="0"/>
                <wp:positionH relativeFrom="page">
                  <wp:posOffset>1270841</wp:posOffset>
                </wp:positionH>
                <wp:positionV relativeFrom="paragraph">
                  <wp:posOffset>306070</wp:posOffset>
                </wp:positionV>
                <wp:extent cx="5042535" cy="2319020"/>
                <wp:effectExtent l="0" t="0" r="0" b="0"/>
                <wp:wrapNone/>
                <wp:docPr id="1123" name="Group 1123"/>
                <wp:cNvGraphicFramePr>
                  <a:graphicFrameLocks/>
                </wp:cNvGraphicFramePr>
                <a:graphic>
                  <a:graphicData uri="http://schemas.microsoft.com/office/word/2010/wordprocessingGroup">
                    <wpg:wgp>
                      <wpg:cNvPr id="1123" name="Group 1123"/>
                      <wpg:cNvGrpSpPr/>
                      <wpg:grpSpPr>
                        <a:xfrm>
                          <a:off x="0" y="0"/>
                          <a:ext cx="5042535" cy="2319020"/>
                          <a:chExt cx="5042535" cy="2319020"/>
                        </a:xfrm>
                      </wpg:grpSpPr>
                      <wps:wsp>
                        <wps:cNvPr id="1124" name="Graphic 1124"/>
                        <wps:cNvSpPr/>
                        <wps:spPr>
                          <a:xfrm>
                            <a:off x="-3" y="0"/>
                            <a:ext cx="5042535" cy="2319020"/>
                          </a:xfrm>
                          <a:custGeom>
                            <a:avLst/>
                            <a:gdLst/>
                            <a:ahLst/>
                            <a:cxnLst/>
                            <a:rect l="l" t="t" r="r" b="b"/>
                            <a:pathLst>
                              <a:path w="5042535" h="2319020">
                                <a:moveTo>
                                  <a:pt x="5042217" y="0"/>
                                </a:moveTo>
                                <a:lnTo>
                                  <a:pt x="5035867" y="0"/>
                                </a:lnTo>
                                <a:lnTo>
                                  <a:pt x="5035867" y="6934"/>
                                </a:lnTo>
                                <a:lnTo>
                                  <a:pt x="5035867" y="2312441"/>
                                </a:lnTo>
                                <a:lnTo>
                                  <a:pt x="6350" y="2312441"/>
                                </a:lnTo>
                                <a:lnTo>
                                  <a:pt x="6350" y="6934"/>
                                </a:lnTo>
                                <a:lnTo>
                                  <a:pt x="5035867" y="6934"/>
                                </a:lnTo>
                                <a:lnTo>
                                  <a:pt x="5035867" y="0"/>
                                </a:lnTo>
                                <a:lnTo>
                                  <a:pt x="0" y="0"/>
                                </a:lnTo>
                                <a:lnTo>
                                  <a:pt x="0" y="3810"/>
                                </a:lnTo>
                                <a:lnTo>
                                  <a:pt x="0" y="6350"/>
                                </a:lnTo>
                                <a:lnTo>
                                  <a:pt x="0" y="2312670"/>
                                </a:lnTo>
                                <a:lnTo>
                                  <a:pt x="0" y="2315210"/>
                                </a:lnTo>
                                <a:lnTo>
                                  <a:pt x="0" y="2319020"/>
                                </a:lnTo>
                                <a:lnTo>
                                  <a:pt x="5042217" y="2319020"/>
                                </a:lnTo>
                                <a:lnTo>
                                  <a:pt x="5042217" y="3759"/>
                                </a:lnTo>
                                <a:lnTo>
                                  <a:pt x="5042217" y="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928002" y="1188034"/>
                            <a:ext cx="285750" cy="725170"/>
                          </a:xfrm>
                          <a:custGeom>
                            <a:avLst/>
                            <a:gdLst/>
                            <a:ahLst/>
                            <a:cxnLst/>
                            <a:rect l="l" t="t" r="r" b="b"/>
                            <a:pathLst>
                              <a:path w="285750" h="725170">
                                <a:moveTo>
                                  <a:pt x="285750" y="0"/>
                                </a:moveTo>
                                <a:lnTo>
                                  <a:pt x="0" y="0"/>
                                </a:lnTo>
                                <a:lnTo>
                                  <a:pt x="0" y="724823"/>
                                </a:lnTo>
                                <a:lnTo>
                                  <a:pt x="285750" y="724823"/>
                                </a:lnTo>
                                <a:lnTo>
                                  <a:pt x="285750" y="0"/>
                                </a:lnTo>
                                <a:close/>
                              </a:path>
                            </a:pathLst>
                          </a:custGeom>
                          <a:solidFill>
                            <a:srgbClr val="E3C626"/>
                          </a:solidFill>
                        </wps:spPr>
                        <wps:bodyPr wrap="square" lIns="0" tIns="0" rIns="0" bIns="0" rtlCol="0">
                          <a:prstTxWarp prst="textNoShape">
                            <a:avLst/>
                          </a:prstTxWarp>
                          <a:noAutofit/>
                        </wps:bodyPr>
                      </wps:wsp>
                      <wps:wsp>
                        <wps:cNvPr id="1126" name="Graphic 1126"/>
                        <wps:cNvSpPr/>
                        <wps:spPr>
                          <a:xfrm>
                            <a:off x="928002" y="536524"/>
                            <a:ext cx="285750" cy="654685"/>
                          </a:xfrm>
                          <a:custGeom>
                            <a:avLst/>
                            <a:gdLst/>
                            <a:ahLst/>
                            <a:cxnLst/>
                            <a:rect l="l" t="t" r="r" b="b"/>
                            <a:pathLst>
                              <a:path w="285750" h="654685">
                                <a:moveTo>
                                  <a:pt x="285750" y="0"/>
                                </a:moveTo>
                                <a:lnTo>
                                  <a:pt x="0" y="0"/>
                                </a:lnTo>
                                <a:lnTo>
                                  <a:pt x="0" y="654684"/>
                                </a:lnTo>
                                <a:lnTo>
                                  <a:pt x="285750" y="654684"/>
                                </a:lnTo>
                                <a:lnTo>
                                  <a:pt x="285750" y="0"/>
                                </a:lnTo>
                                <a:close/>
                              </a:path>
                            </a:pathLst>
                          </a:custGeom>
                          <a:solidFill>
                            <a:srgbClr val="2E614A"/>
                          </a:solidFill>
                        </wps:spPr>
                        <wps:bodyPr wrap="square" lIns="0" tIns="0" rIns="0" bIns="0" rtlCol="0">
                          <a:prstTxWarp prst="textNoShape">
                            <a:avLst/>
                          </a:prstTxWarp>
                          <a:noAutofit/>
                        </wps:bodyPr>
                      </wps:wsp>
                      <wps:wsp>
                        <wps:cNvPr id="1127" name="Graphic 1127"/>
                        <wps:cNvSpPr/>
                        <wps:spPr>
                          <a:xfrm>
                            <a:off x="2032696" y="1610706"/>
                            <a:ext cx="285750" cy="302260"/>
                          </a:xfrm>
                          <a:custGeom>
                            <a:avLst/>
                            <a:gdLst/>
                            <a:ahLst/>
                            <a:cxnLst/>
                            <a:rect l="l" t="t" r="r" b="b"/>
                            <a:pathLst>
                              <a:path w="285750" h="302260">
                                <a:moveTo>
                                  <a:pt x="285750" y="0"/>
                                </a:moveTo>
                                <a:lnTo>
                                  <a:pt x="0" y="0"/>
                                </a:lnTo>
                                <a:lnTo>
                                  <a:pt x="0" y="302152"/>
                                </a:lnTo>
                                <a:lnTo>
                                  <a:pt x="285750" y="302152"/>
                                </a:lnTo>
                                <a:lnTo>
                                  <a:pt x="285750" y="0"/>
                                </a:lnTo>
                                <a:close/>
                              </a:path>
                            </a:pathLst>
                          </a:custGeom>
                          <a:solidFill>
                            <a:srgbClr val="E3C626"/>
                          </a:solidFill>
                        </wps:spPr>
                        <wps:bodyPr wrap="square" lIns="0" tIns="0" rIns="0" bIns="0" rtlCol="0">
                          <a:prstTxWarp prst="textNoShape">
                            <a:avLst/>
                          </a:prstTxWarp>
                          <a:noAutofit/>
                        </wps:bodyPr>
                      </wps:wsp>
                      <wps:wsp>
                        <wps:cNvPr id="1128" name="Graphic 1128"/>
                        <wps:cNvSpPr/>
                        <wps:spPr>
                          <a:xfrm>
                            <a:off x="2032696" y="1370795"/>
                            <a:ext cx="285750" cy="242570"/>
                          </a:xfrm>
                          <a:custGeom>
                            <a:avLst/>
                            <a:gdLst/>
                            <a:ahLst/>
                            <a:cxnLst/>
                            <a:rect l="l" t="t" r="r" b="b"/>
                            <a:pathLst>
                              <a:path w="285750" h="242570">
                                <a:moveTo>
                                  <a:pt x="285750" y="0"/>
                                </a:moveTo>
                                <a:lnTo>
                                  <a:pt x="0" y="0"/>
                                </a:lnTo>
                                <a:lnTo>
                                  <a:pt x="0" y="242292"/>
                                </a:lnTo>
                                <a:lnTo>
                                  <a:pt x="285750" y="242292"/>
                                </a:lnTo>
                                <a:lnTo>
                                  <a:pt x="285750" y="0"/>
                                </a:lnTo>
                                <a:close/>
                              </a:path>
                            </a:pathLst>
                          </a:custGeom>
                          <a:solidFill>
                            <a:srgbClr val="2E614A"/>
                          </a:solidFill>
                        </wps:spPr>
                        <wps:bodyPr wrap="square" lIns="0" tIns="0" rIns="0" bIns="0" rtlCol="0">
                          <a:prstTxWarp prst="textNoShape">
                            <a:avLst/>
                          </a:prstTxWarp>
                          <a:noAutofit/>
                        </wps:bodyPr>
                      </wps:wsp>
                      <wps:wsp>
                        <wps:cNvPr id="1129" name="Graphic 1129"/>
                        <wps:cNvSpPr/>
                        <wps:spPr>
                          <a:xfrm>
                            <a:off x="3125680" y="1776883"/>
                            <a:ext cx="285750" cy="136525"/>
                          </a:xfrm>
                          <a:custGeom>
                            <a:avLst/>
                            <a:gdLst/>
                            <a:ahLst/>
                            <a:cxnLst/>
                            <a:rect l="l" t="t" r="r" b="b"/>
                            <a:pathLst>
                              <a:path w="285750" h="136525">
                                <a:moveTo>
                                  <a:pt x="0" y="135974"/>
                                </a:moveTo>
                                <a:lnTo>
                                  <a:pt x="285750" y="135974"/>
                                </a:lnTo>
                                <a:lnTo>
                                  <a:pt x="285750" y="0"/>
                                </a:lnTo>
                                <a:lnTo>
                                  <a:pt x="0" y="0"/>
                                </a:lnTo>
                                <a:lnTo>
                                  <a:pt x="0" y="135974"/>
                                </a:lnTo>
                                <a:close/>
                              </a:path>
                            </a:pathLst>
                          </a:custGeom>
                          <a:solidFill>
                            <a:srgbClr val="E3C626"/>
                          </a:solidFill>
                        </wps:spPr>
                        <wps:bodyPr wrap="square" lIns="0" tIns="0" rIns="0" bIns="0" rtlCol="0">
                          <a:prstTxWarp prst="textNoShape">
                            <a:avLst/>
                          </a:prstTxWarp>
                          <a:noAutofit/>
                        </wps:bodyPr>
                      </wps:wsp>
                      <wps:wsp>
                        <wps:cNvPr id="1130" name="Graphic 1130"/>
                        <wps:cNvSpPr/>
                        <wps:spPr>
                          <a:xfrm>
                            <a:off x="3125680" y="1370795"/>
                            <a:ext cx="285750" cy="406400"/>
                          </a:xfrm>
                          <a:custGeom>
                            <a:avLst/>
                            <a:gdLst/>
                            <a:ahLst/>
                            <a:cxnLst/>
                            <a:rect l="l" t="t" r="r" b="b"/>
                            <a:pathLst>
                              <a:path w="285750" h="406400">
                                <a:moveTo>
                                  <a:pt x="285750" y="0"/>
                                </a:moveTo>
                                <a:lnTo>
                                  <a:pt x="0" y="0"/>
                                </a:lnTo>
                                <a:lnTo>
                                  <a:pt x="0" y="406088"/>
                                </a:lnTo>
                                <a:lnTo>
                                  <a:pt x="285750" y="406088"/>
                                </a:lnTo>
                                <a:lnTo>
                                  <a:pt x="285750" y="0"/>
                                </a:lnTo>
                                <a:close/>
                              </a:path>
                            </a:pathLst>
                          </a:custGeom>
                          <a:solidFill>
                            <a:srgbClr val="2E614A"/>
                          </a:solidFill>
                        </wps:spPr>
                        <wps:bodyPr wrap="square" lIns="0" tIns="0" rIns="0" bIns="0" rtlCol="0">
                          <a:prstTxWarp prst="textNoShape">
                            <a:avLst/>
                          </a:prstTxWarp>
                          <a:noAutofit/>
                        </wps:bodyPr>
                      </wps:wsp>
                      <wps:wsp>
                        <wps:cNvPr id="1131" name="Graphic 1131"/>
                        <wps:cNvSpPr/>
                        <wps:spPr>
                          <a:xfrm>
                            <a:off x="4230580" y="1837321"/>
                            <a:ext cx="285750" cy="75565"/>
                          </a:xfrm>
                          <a:custGeom>
                            <a:avLst/>
                            <a:gdLst/>
                            <a:ahLst/>
                            <a:cxnLst/>
                            <a:rect l="l" t="t" r="r" b="b"/>
                            <a:pathLst>
                              <a:path w="285750" h="75565">
                                <a:moveTo>
                                  <a:pt x="0" y="75536"/>
                                </a:moveTo>
                                <a:lnTo>
                                  <a:pt x="285750" y="75536"/>
                                </a:lnTo>
                                <a:lnTo>
                                  <a:pt x="285750" y="0"/>
                                </a:lnTo>
                                <a:lnTo>
                                  <a:pt x="0" y="0"/>
                                </a:lnTo>
                                <a:lnTo>
                                  <a:pt x="0" y="75536"/>
                                </a:lnTo>
                                <a:close/>
                              </a:path>
                            </a:pathLst>
                          </a:custGeom>
                          <a:solidFill>
                            <a:srgbClr val="E3C626"/>
                          </a:solidFill>
                        </wps:spPr>
                        <wps:bodyPr wrap="square" lIns="0" tIns="0" rIns="0" bIns="0" rtlCol="0">
                          <a:prstTxWarp prst="textNoShape">
                            <a:avLst/>
                          </a:prstTxWarp>
                          <a:noAutofit/>
                        </wps:bodyPr>
                      </wps:wsp>
                      <wps:wsp>
                        <wps:cNvPr id="1132" name="Graphic 1132"/>
                        <wps:cNvSpPr/>
                        <wps:spPr>
                          <a:xfrm>
                            <a:off x="4230580" y="1772234"/>
                            <a:ext cx="285750" cy="65405"/>
                          </a:xfrm>
                          <a:custGeom>
                            <a:avLst/>
                            <a:gdLst/>
                            <a:ahLst/>
                            <a:cxnLst/>
                            <a:rect l="l" t="t" r="r" b="b"/>
                            <a:pathLst>
                              <a:path w="285750" h="65405">
                                <a:moveTo>
                                  <a:pt x="285750" y="0"/>
                                </a:moveTo>
                                <a:lnTo>
                                  <a:pt x="0" y="0"/>
                                </a:lnTo>
                                <a:lnTo>
                                  <a:pt x="0" y="65087"/>
                                </a:lnTo>
                                <a:lnTo>
                                  <a:pt x="285750" y="65087"/>
                                </a:lnTo>
                                <a:lnTo>
                                  <a:pt x="285750" y="0"/>
                                </a:lnTo>
                                <a:close/>
                              </a:path>
                            </a:pathLst>
                          </a:custGeom>
                          <a:solidFill>
                            <a:srgbClr val="2E614A"/>
                          </a:solidFill>
                        </wps:spPr>
                        <wps:bodyPr wrap="square" lIns="0" tIns="0" rIns="0" bIns="0" rtlCol="0">
                          <a:prstTxWarp prst="textNoShape">
                            <a:avLst/>
                          </a:prstTxWarp>
                          <a:noAutofit/>
                        </wps:bodyPr>
                      </wps:wsp>
                      <wps:wsp>
                        <wps:cNvPr id="1133" name="Graphic 1133"/>
                        <wps:cNvSpPr/>
                        <wps:spPr>
                          <a:xfrm>
                            <a:off x="481644" y="445083"/>
                            <a:ext cx="4448810" cy="1514475"/>
                          </a:xfrm>
                          <a:custGeom>
                            <a:avLst/>
                            <a:gdLst/>
                            <a:ahLst/>
                            <a:cxnLst/>
                            <a:rect l="l" t="t" r="r" b="b"/>
                            <a:pathLst>
                              <a:path w="4448810" h="1514475">
                                <a:moveTo>
                                  <a:pt x="4448314" y="1471307"/>
                                </a:moveTo>
                                <a:lnTo>
                                  <a:pt x="47371" y="1471307"/>
                                </a:lnTo>
                                <a:lnTo>
                                  <a:pt x="47371" y="1269377"/>
                                </a:lnTo>
                                <a:lnTo>
                                  <a:pt x="48895" y="1269377"/>
                                </a:lnTo>
                                <a:lnTo>
                                  <a:pt x="48895" y="1263027"/>
                                </a:lnTo>
                                <a:lnTo>
                                  <a:pt x="47371" y="1263027"/>
                                </a:lnTo>
                                <a:lnTo>
                                  <a:pt x="47371" y="1063625"/>
                                </a:lnTo>
                                <a:lnTo>
                                  <a:pt x="48895" y="1063625"/>
                                </a:lnTo>
                                <a:lnTo>
                                  <a:pt x="48895" y="1057275"/>
                                </a:lnTo>
                                <a:lnTo>
                                  <a:pt x="47371" y="1057275"/>
                                </a:lnTo>
                                <a:lnTo>
                                  <a:pt x="47371" y="852182"/>
                                </a:lnTo>
                                <a:lnTo>
                                  <a:pt x="48895" y="852182"/>
                                </a:lnTo>
                                <a:lnTo>
                                  <a:pt x="48895" y="845832"/>
                                </a:lnTo>
                                <a:lnTo>
                                  <a:pt x="47371" y="845832"/>
                                </a:lnTo>
                                <a:lnTo>
                                  <a:pt x="47371" y="635000"/>
                                </a:lnTo>
                                <a:lnTo>
                                  <a:pt x="48895" y="635000"/>
                                </a:lnTo>
                                <a:lnTo>
                                  <a:pt x="48895" y="628650"/>
                                </a:lnTo>
                                <a:lnTo>
                                  <a:pt x="47371" y="628650"/>
                                </a:lnTo>
                                <a:lnTo>
                                  <a:pt x="47371" y="428625"/>
                                </a:lnTo>
                                <a:lnTo>
                                  <a:pt x="48895" y="428625"/>
                                </a:lnTo>
                                <a:lnTo>
                                  <a:pt x="48895" y="422275"/>
                                </a:lnTo>
                                <a:lnTo>
                                  <a:pt x="47371" y="422275"/>
                                </a:lnTo>
                                <a:lnTo>
                                  <a:pt x="47371" y="219075"/>
                                </a:lnTo>
                                <a:lnTo>
                                  <a:pt x="48895" y="219075"/>
                                </a:lnTo>
                                <a:lnTo>
                                  <a:pt x="48895" y="212725"/>
                                </a:lnTo>
                                <a:lnTo>
                                  <a:pt x="47371" y="212725"/>
                                </a:lnTo>
                                <a:lnTo>
                                  <a:pt x="47371" y="12077"/>
                                </a:lnTo>
                                <a:lnTo>
                                  <a:pt x="48895" y="12077"/>
                                </a:lnTo>
                                <a:lnTo>
                                  <a:pt x="48895" y="5727"/>
                                </a:lnTo>
                                <a:lnTo>
                                  <a:pt x="47371" y="5727"/>
                                </a:lnTo>
                                <a:lnTo>
                                  <a:pt x="47371" y="0"/>
                                </a:lnTo>
                                <a:lnTo>
                                  <a:pt x="41021" y="0"/>
                                </a:lnTo>
                                <a:lnTo>
                                  <a:pt x="41021" y="5727"/>
                                </a:lnTo>
                                <a:lnTo>
                                  <a:pt x="0" y="5727"/>
                                </a:lnTo>
                                <a:lnTo>
                                  <a:pt x="0" y="12077"/>
                                </a:lnTo>
                                <a:lnTo>
                                  <a:pt x="41021" y="12077"/>
                                </a:lnTo>
                                <a:lnTo>
                                  <a:pt x="41021" y="212725"/>
                                </a:lnTo>
                                <a:lnTo>
                                  <a:pt x="0" y="212725"/>
                                </a:lnTo>
                                <a:lnTo>
                                  <a:pt x="0" y="219075"/>
                                </a:lnTo>
                                <a:lnTo>
                                  <a:pt x="41021" y="219075"/>
                                </a:lnTo>
                                <a:lnTo>
                                  <a:pt x="41021" y="422275"/>
                                </a:lnTo>
                                <a:lnTo>
                                  <a:pt x="0" y="422275"/>
                                </a:lnTo>
                                <a:lnTo>
                                  <a:pt x="0" y="428625"/>
                                </a:lnTo>
                                <a:lnTo>
                                  <a:pt x="41021" y="428625"/>
                                </a:lnTo>
                                <a:lnTo>
                                  <a:pt x="41021" y="628650"/>
                                </a:lnTo>
                                <a:lnTo>
                                  <a:pt x="0" y="628650"/>
                                </a:lnTo>
                                <a:lnTo>
                                  <a:pt x="0" y="635000"/>
                                </a:lnTo>
                                <a:lnTo>
                                  <a:pt x="41021" y="635000"/>
                                </a:lnTo>
                                <a:lnTo>
                                  <a:pt x="41021" y="845832"/>
                                </a:lnTo>
                                <a:lnTo>
                                  <a:pt x="0" y="845832"/>
                                </a:lnTo>
                                <a:lnTo>
                                  <a:pt x="0" y="852182"/>
                                </a:lnTo>
                                <a:lnTo>
                                  <a:pt x="41021" y="852182"/>
                                </a:lnTo>
                                <a:lnTo>
                                  <a:pt x="41021" y="1057275"/>
                                </a:lnTo>
                                <a:lnTo>
                                  <a:pt x="0" y="1057275"/>
                                </a:lnTo>
                                <a:lnTo>
                                  <a:pt x="0" y="1063625"/>
                                </a:lnTo>
                                <a:lnTo>
                                  <a:pt x="41021" y="1063625"/>
                                </a:lnTo>
                                <a:lnTo>
                                  <a:pt x="41021" y="1263027"/>
                                </a:lnTo>
                                <a:lnTo>
                                  <a:pt x="0" y="1263027"/>
                                </a:lnTo>
                                <a:lnTo>
                                  <a:pt x="0" y="1269377"/>
                                </a:lnTo>
                                <a:lnTo>
                                  <a:pt x="41021" y="1269377"/>
                                </a:lnTo>
                                <a:lnTo>
                                  <a:pt x="41021" y="1471307"/>
                                </a:lnTo>
                                <a:lnTo>
                                  <a:pt x="0" y="1471307"/>
                                </a:lnTo>
                                <a:lnTo>
                                  <a:pt x="0" y="1477657"/>
                                </a:lnTo>
                                <a:lnTo>
                                  <a:pt x="41021" y="1477657"/>
                                </a:lnTo>
                                <a:lnTo>
                                  <a:pt x="41021" y="1514475"/>
                                </a:lnTo>
                                <a:lnTo>
                                  <a:pt x="47371" y="1514475"/>
                                </a:lnTo>
                                <a:lnTo>
                                  <a:pt x="47371" y="1477657"/>
                                </a:lnTo>
                                <a:lnTo>
                                  <a:pt x="4448314" y="1477657"/>
                                </a:lnTo>
                                <a:lnTo>
                                  <a:pt x="4448314" y="1471307"/>
                                </a:lnTo>
                                <a:close/>
                              </a:path>
                            </a:pathLst>
                          </a:custGeom>
                          <a:solidFill>
                            <a:srgbClr val="000000"/>
                          </a:solidFill>
                        </wps:spPr>
                        <wps:bodyPr wrap="square" lIns="0" tIns="0" rIns="0" bIns="0" rtlCol="0">
                          <a:prstTxWarp prst="textNoShape">
                            <a:avLst/>
                          </a:prstTxWarp>
                          <a:noAutofit/>
                        </wps:bodyPr>
                      </wps:wsp>
                      <wps:wsp>
                        <wps:cNvPr id="1134" name="Graphic 1134"/>
                        <wps:cNvSpPr/>
                        <wps:spPr>
                          <a:xfrm>
                            <a:off x="4182968" y="135521"/>
                            <a:ext cx="66040" cy="71755"/>
                          </a:xfrm>
                          <a:custGeom>
                            <a:avLst/>
                            <a:gdLst/>
                            <a:ahLst/>
                            <a:cxnLst/>
                            <a:rect l="l" t="t" r="r" b="b"/>
                            <a:pathLst>
                              <a:path w="66040" h="71755">
                                <a:moveTo>
                                  <a:pt x="65942" y="0"/>
                                </a:moveTo>
                                <a:lnTo>
                                  <a:pt x="0" y="0"/>
                                </a:lnTo>
                                <a:lnTo>
                                  <a:pt x="0" y="71437"/>
                                </a:lnTo>
                                <a:lnTo>
                                  <a:pt x="65942" y="71437"/>
                                </a:lnTo>
                                <a:lnTo>
                                  <a:pt x="65942" y="0"/>
                                </a:lnTo>
                                <a:close/>
                              </a:path>
                            </a:pathLst>
                          </a:custGeom>
                          <a:solidFill>
                            <a:srgbClr val="2E614A"/>
                          </a:solidFill>
                        </wps:spPr>
                        <wps:bodyPr wrap="square" lIns="0" tIns="0" rIns="0" bIns="0" rtlCol="0">
                          <a:prstTxWarp prst="textNoShape">
                            <a:avLst/>
                          </a:prstTxWarp>
                          <a:noAutofit/>
                        </wps:bodyPr>
                      </wps:wsp>
                      <wps:wsp>
                        <wps:cNvPr id="1135" name="Graphic 1135"/>
                        <wps:cNvSpPr/>
                        <wps:spPr>
                          <a:xfrm>
                            <a:off x="4574225" y="135521"/>
                            <a:ext cx="66040" cy="71755"/>
                          </a:xfrm>
                          <a:custGeom>
                            <a:avLst/>
                            <a:gdLst/>
                            <a:ahLst/>
                            <a:cxnLst/>
                            <a:rect l="l" t="t" r="r" b="b"/>
                            <a:pathLst>
                              <a:path w="66040" h="71755">
                                <a:moveTo>
                                  <a:pt x="65942" y="0"/>
                                </a:moveTo>
                                <a:lnTo>
                                  <a:pt x="0" y="0"/>
                                </a:lnTo>
                                <a:lnTo>
                                  <a:pt x="0" y="71437"/>
                                </a:lnTo>
                                <a:lnTo>
                                  <a:pt x="65942" y="71437"/>
                                </a:lnTo>
                                <a:lnTo>
                                  <a:pt x="65942" y="0"/>
                                </a:lnTo>
                                <a:close/>
                              </a:path>
                            </a:pathLst>
                          </a:custGeom>
                          <a:solidFill>
                            <a:srgbClr val="E3C626"/>
                          </a:solidFill>
                        </wps:spPr>
                        <wps:bodyPr wrap="square" lIns="0" tIns="0" rIns="0" bIns="0" rtlCol="0">
                          <a:prstTxWarp prst="textNoShape">
                            <a:avLst/>
                          </a:prstTxWarp>
                          <a:noAutofit/>
                        </wps:bodyPr>
                      </wps:wsp>
                      <wps:wsp>
                        <wps:cNvPr id="1136" name="Graphic 1136"/>
                        <wps:cNvSpPr/>
                        <wps:spPr>
                          <a:xfrm>
                            <a:off x="1621151" y="1917724"/>
                            <a:ext cx="3308985" cy="38735"/>
                          </a:xfrm>
                          <a:custGeom>
                            <a:avLst/>
                            <a:gdLst/>
                            <a:ahLst/>
                            <a:cxnLst/>
                            <a:rect l="l" t="t" r="r" b="b"/>
                            <a:pathLst>
                              <a:path w="3308985" h="38735">
                                <a:moveTo>
                                  <a:pt x="6350" y="0"/>
                                </a:moveTo>
                                <a:lnTo>
                                  <a:pt x="0" y="0"/>
                                </a:lnTo>
                                <a:lnTo>
                                  <a:pt x="0" y="38265"/>
                                </a:lnTo>
                                <a:lnTo>
                                  <a:pt x="6350" y="38265"/>
                                </a:lnTo>
                                <a:lnTo>
                                  <a:pt x="6350" y="0"/>
                                </a:lnTo>
                                <a:close/>
                              </a:path>
                              <a:path w="3308985" h="38735">
                                <a:moveTo>
                                  <a:pt x="1111821" y="0"/>
                                </a:moveTo>
                                <a:lnTo>
                                  <a:pt x="1105471" y="0"/>
                                </a:lnTo>
                                <a:lnTo>
                                  <a:pt x="1105471" y="38265"/>
                                </a:lnTo>
                                <a:lnTo>
                                  <a:pt x="1111821" y="38265"/>
                                </a:lnTo>
                                <a:lnTo>
                                  <a:pt x="1111821" y="0"/>
                                </a:lnTo>
                                <a:close/>
                              </a:path>
                              <a:path w="3308985" h="38735">
                                <a:moveTo>
                                  <a:pt x="2216315" y="0"/>
                                </a:moveTo>
                                <a:lnTo>
                                  <a:pt x="2209965" y="0"/>
                                </a:lnTo>
                                <a:lnTo>
                                  <a:pt x="2209965" y="38265"/>
                                </a:lnTo>
                                <a:lnTo>
                                  <a:pt x="2216315" y="38265"/>
                                </a:lnTo>
                                <a:lnTo>
                                  <a:pt x="2216315" y="0"/>
                                </a:lnTo>
                                <a:close/>
                              </a:path>
                              <a:path w="3308985" h="38735">
                                <a:moveTo>
                                  <a:pt x="3308921" y="0"/>
                                </a:moveTo>
                                <a:lnTo>
                                  <a:pt x="3302571" y="0"/>
                                </a:lnTo>
                                <a:lnTo>
                                  <a:pt x="3302571" y="38265"/>
                                </a:lnTo>
                                <a:lnTo>
                                  <a:pt x="3308921" y="38265"/>
                                </a:lnTo>
                                <a:lnTo>
                                  <a:pt x="3308921" y="0"/>
                                </a:lnTo>
                                <a:close/>
                              </a:path>
                            </a:pathLst>
                          </a:custGeom>
                          <a:solidFill>
                            <a:srgbClr val="000000"/>
                          </a:solidFill>
                        </wps:spPr>
                        <wps:bodyPr wrap="square" lIns="0" tIns="0" rIns="0" bIns="0" rtlCol="0">
                          <a:prstTxWarp prst="textNoShape">
                            <a:avLst/>
                          </a:prstTxWarp>
                          <a:noAutofit/>
                        </wps:bodyPr>
                      </wps:wsp>
                      <wps:wsp>
                        <wps:cNvPr id="1137" name="Textbox 1137"/>
                        <wps:cNvSpPr txBox="1"/>
                        <wps:spPr>
                          <a:xfrm>
                            <a:off x="4298000" y="96975"/>
                            <a:ext cx="561975" cy="116839"/>
                          </a:xfrm>
                          <a:prstGeom prst="rect">
                            <a:avLst/>
                          </a:prstGeom>
                        </wps:spPr>
                        <wps:txbx>
                          <w:txbxContent>
                            <w:p>
                              <w:pPr>
                                <w:tabs>
                                  <w:tab w:pos="594" w:val="left" w:leader="none"/>
                                </w:tabs>
                                <w:spacing w:line="184" w:lineRule="exact" w:before="0"/>
                                <w:ind w:left="0" w:right="0" w:firstLine="0"/>
                                <w:jc w:val="left"/>
                                <w:rPr>
                                  <w:rFonts w:ascii="Arial MT"/>
                                  <w:sz w:val="16"/>
                                </w:rPr>
                              </w:pPr>
                              <w:r>
                                <w:rPr>
                                  <w:rFonts w:ascii="Arial MT"/>
                                  <w:spacing w:val="-4"/>
                                  <w:w w:val="90"/>
                                  <w:sz w:val="16"/>
                                </w:rPr>
                                <w:t>Boys</w:t>
                              </w:r>
                              <w:r>
                                <w:rPr>
                                  <w:rFonts w:ascii="Arial MT"/>
                                  <w:sz w:val="16"/>
                                </w:rPr>
                                <w:tab/>
                              </w:r>
                              <w:r>
                                <w:rPr>
                                  <w:rFonts w:ascii="Arial MT"/>
                                  <w:spacing w:val="-4"/>
                                  <w:w w:val="90"/>
                                  <w:sz w:val="16"/>
                                </w:rPr>
                                <w:t>Girls</w:t>
                              </w:r>
                            </w:p>
                          </w:txbxContent>
                        </wps:txbx>
                        <wps:bodyPr wrap="square" lIns="0" tIns="0" rIns="0" bIns="0" rtlCol="0">
                          <a:noAutofit/>
                        </wps:bodyPr>
                      </wps:wsp>
                      <wps:wsp>
                        <wps:cNvPr id="1138" name="Textbox 1138"/>
                        <wps:cNvSpPr txBox="1"/>
                        <wps:spPr>
                          <a:xfrm>
                            <a:off x="354423" y="404217"/>
                            <a:ext cx="105410" cy="1583690"/>
                          </a:xfrm>
                          <a:prstGeom prst="rect">
                            <a:avLst/>
                          </a:prstGeom>
                        </wps:spPr>
                        <wps:txbx>
                          <w:txbxContent>
                            <w:p>
                              <w:pPr>
                                <w:spacing w:line="184" w:lineRule="exact" w:before="0"/>
                                <w:ind w:left="0" w:right="0" w:firstLine="0"/>
                                <w:jc w:val="left"/>
                                <w:rPr>
                                  <w:rFonts w:ascii="Arial MT"/>
                                  <w:sz w:val="16"/>
                                </w:rPr>
                              </w:pPr>
                              <w:r>
                                <w:rPr>
                                  <w:rFonts w:ascii="Arial MT"/>
                                  <w:spacing w:val="-5"/>
                                  <w:w w:val="90"/>
                                  <w:sz w:val="16"/>
                                </w:rPr>
                                <w:t>14</w:t>
                              </w:r>
                            </w:p>
                            <w:p>
                              <w:pPr>
                                <w:spacing w:before="146"/>
                                <w:ind w:left="0" w:right="0" w:firstLine="0"/>
                                <w:jc w:val="left"/>
                                <w:rPr>
                                  <w:rFonts w:ascii="Arial MT"/>
                                  <w:sz w:val="16"/>
                                </w:rPr>
                              </w:pPr>
                              <w:r>
                                <w:rPr>
                                  <w:rFonts w:ascii="Arial MT"/>
                                  <w:spacing w:val="-5"/>
                                  <w:w w:val="90"/>
                                  <w:sz w:val="16"/>
                                </w:rPr>
                                <w:t>12</w:t>
                              </w:r>
                            </w:p>
                            <w:p>
                              <w:pPr>
                                <w:spacing w:before="146"/>
                                <w:ind w:left="0" w:right="0" w:firstLine="0"/>
                                <w:jc w:val="left"/>
                                <w:rPr>
                                  <w:rFonts w:ascii="Arial MT"/>
                                  <w:sz w:val="16"/>
                                </w:rPr>
                              </w:pPr>
                              <w:r>
                                <w:rPr>
                                  <w:rFonts w:ascii="Arial MT"/>
                                  <w:spacing w:val="-5"/>
                                  <w:w w:val="90"/>
                                  <w:sz w:val="16"/>
                                </w:rPr>
                                <w:t>10</w:t>
                              </w:r>
                            </w:p>
                            <w:p>
                              <w:pPr>
                                <w:spacing w:before="146"/>
                                <w:ind w:left="72" w:right="0" w:firstLine="0"/>
                                <w:jc w:val="left"/>
                                <w:rPr>
                                  <w:rFonts w:ascii="Arial MT"/>
                                  <w:sz w:val="16"/>
                                </w:rPr>
                              </w:pPr>
                              <w:r>
                                <w:rPr>
                                  <w:rFonts w:ascii="Arial MT"/>
                                  <w:spacing w:val="-10"/>
                                  <w:w w:val="90"/>
                                  <w:sz w:val="16"/>
                                </w:rPr>
                                <w:t>8</w:t>
                              </w:r>
                            </w:p>
                            <w:p>
                              <w:pPr>
                                <w:spacing w:before="146"/>
                                <w:ind w:left="72" w:right="0" w:firstLine="0"/>
                                <w:jc w:val="left"/>
                                <w:rPr>
                                  <w:rFonts w:ascii="Arial MT"/>
                                  <w:sz w:val="16"/>
                                </w:rPr>
                              </w:pPr>
                              <w:r>
                                <w:rPr>
                                  <w:rFonts w:ascii="Arial MT"/>
                                  <w:spacing w:val="-10"/>
                                  <w:w w:val="90"/>
                                  <w:sz w:val="16"/>
                                </w:rPr>
                                <w:t>6</w:t>
                              </w:r>
                            </w:p>
                            <w:p>
                              <w:pPr>
                                <w:spacing w:before="146"/>
                                <w:ind w:left="72" w:right="0" w:firstLine="0"/>
                                <w:jc w:val="left"/>
                                <w:rPr>
                                  <w:rFonts w:ascii="Arial MT"/>
                                  <w:sz w:val="16"/>
                                </w:rPr>
                              </w:pPr>
                              <w:r>
                                <w:rPr>
                                  <w:rFonts w:ascii="Arial MT"/>
                                  <w:spacing w:val="-10"/>
                                  <w:w w:val="90"/>
                                  <w:sz w:val="16"/>
                                </w:rPr>
                                <w:t>4</w:t>
                              </w:r>
                            </w:p>
                            <w:p>
                              <w:pPr>
                                <w:spacing w:before="146"/>
                                <w:ind w:left="72" w:right="0" w:firstLine="0"/>
                                <w:jc w:val="left"/>
                                <w:rPr>
                                  <w:rFonts w:ascii="Arial MT"/>
                                  <w:sz w:val="16"/>
                                </w:rPr>
                              </w:pPr>
                              <w:r>
                                <w:rPr>
                                  <w:rFonts w:ascii="Arial MT"/>
                                  <w:spacing w:val="-10"/>
                                  <w:w w:val="90"/>
                                  <w:sz w:val="16"/>
                                </w:rPr>
                                <w:t>2</w:t>
                              </w:r>
                            </w:p>
                            <w:p>
                              <w:pPr>
                                <w:spacing w:before="146"/>
                                <w:ind w:left="72" w:right="0" w:firstLine="0"/>
                                <w:jc w:val="left"/>
                                <w:rPr>
                                  <w:rFonts w:ascii="Arial MT"/>
                                  <w:sz w:val="16"/>
                                </w:rPr>
                              </w:pPr>
                              <w:r>
                                <w:rPr>
                                  <w:rFonts w:ascii="Arial MT"/>
                                  <w:spacing w:val="-10"/>
                                  <w:w w:val="90"/>
                                  <w:sz w:val="16"/>
                                </w:rPr>
                                <w:t>0</w:t>
                              </w:r>
                            </w:p>
                          </w:txbxContent>
                        </wps:txbx>
                        <wps:bodyPr wrap="square" lIns="0" tIns="0" rIns="0" bIns="0" rtlCol="0">
                          <a:noAutofit/>
                        </wps:bodyPr>
                      </wps:wsp>
                      <wps:wsp>
                        <wps:cNvPr id="1139" name="Textbox 1139"/>
                        <wps:cNvSpPr txBox="1"/>
                        <wps:spPr>
                          <a:xfrm>
                            <a:off x="1034968" y="1995625"/>
                            <a:ext cx="119380" cy="116839"/>
                          </a:xfrm>
                          <a:prstGeom prst="rect">
                            <a:avLst/>
                          </a:prstGeom>
                        </wps:spPr>
                        <wps:txbx>
                          <w:txbxContent>
                            <w:p>
                              <w:pPr>
                                <w:spacing w:line="184" w:lineRule="exact" w:before="0"/>
                                <w:ind w:left="0" w:right="0" w:firstLine="0"/>
                                <w:jc w:val="left"/>
                                <w:rPr>
                                  <w:rFonts w:ascii="Arial MT"/>
                                  <w:sz w:val="16"/>
                                </w:rPr>
                              </w:pPr>
                              <w:r>
                                <w:rPr>
                                  <w:rFonts w:ascii="Arial MT"/>
                                  <w:w w:val="80"/>
                                  <w:sz w:val="16"/>
                                </w:rPr>
                                <w:t>I-</w:t>
                              </w:r>
                              <w:r>
                                <w:rPr>
                                  <w:rFonts w:ascii="Arial MT"/>
                                  <w:spacing w:val="-10"/>
                                  <w:w w:val="90"/>
                                  <w:sz w:val="16"/>
                                </w:rPr>
                                <w:t>V</w:t>
                              </w:r>
                            </w:p>
                          </w:txbxContent>
                        </wps:txbx>
                        <wps:bodyPr wrap="square" lIns="0" tIns="0" rIns="0" bIns="0" rtlCol="0">
                          <a:noAutofit/>
                        </wps:bodyPr>
                      </wps:wsp>
                      <wps:wsp>
                        <wps:cNvPr id="1140" name="Textbox 1140"/>
                        <wps:cNvSpPr txBox="1"/>
                        <wps:spPr>
                          <a:xfrm>
                            <a:off x="2026081" y="1976575"/>
                            <a:ext cx="290830" cy="116839"/>
                          </a:xfrm>
                          <a:prstGeom prst="rect">
                            <a:avLst/>
                          </a:prstGeom>
                        </wps:spPr>
                        <wps:txbx>
                          <w:txbxContent>
                            <w:p>
                              <w:pPr>
                                <w:spacing w:line="184" w:lineRule="exact" w:before="0"/>
                                <w:ind w:left="0" w:right="0" w:firstLine="0"/>
                                <w:jc w:val="left"/>
                                <w:rPr>
                                  <w:rFonts w:ascii="Arial MT"/>
                                  <w:sz w:val="16"/>
                                </w:rPr>
                              </w:pPr>
                              <w:r>
                                <w:rPr>
                                  <w:rFonts w:ascii="Arial MT"/>
                                  <w:w w:val="80"/>
                                  <w:sz w:val="16"/>
                                </w:rPr>
                                <w:t>VI</w:t>
                              </w:r>
                              <w:r>
                                <w:rPr>
                                  <w:rFonts w:ascii="Arial MT"/>
                                  <w:spacing w:val="-7"/>
                                  <w:sz w:val="16"/>
                                </w:rPr>
                                <w:t> </w:t>
                              </w:r>
                              <w:r>
                                <w:rPr>
                                  <w:rFonts w:ascii="Arial MT"/>
                                  <w:w w:val="80"/>
                                  <w:sz w:val="16"/>
                                </w:rPr>
                                <w:t>-</w:t>
                              </w:r>
                              <w:r>
                                <w:rPr>
                                  <w:rFonts w:ascii="Arial MT"/>
                                  <w:spacing w:val="-6"/>
                                  <w:sz w:val="16"/>
                                </w:rPr>
                                <w:t> </w:t>
                              </w:r>
                              <w:r>
                                <w:rPr>
                                  <w:rFonts w:ascii="Arial MT"/>
                                  <w:spacing w:val="-4"/>
                                  <w:w w:val="80"/>
                                  <w:sz w:val="16"/>
                                </w:rPr>
                                <w:t>VIII</w:t>
                              </w:r>
                            </w:p>
                          </w:txbxContent>
                        </wps:txbx>
                        <wps:bodyPr wrap="square" lIns="0" tIns="0" rIns="0" bIns="0" rtlCol="0">
                          <a:noAutofit/>
                        </wps:bodyPr>
                      </wps:wsp>
                      <wps:wsp>
                        <wps:cNvPr id="1141" name="Textbox 1141"/>
                        <wps:cNvSpPr txBox="1"/>
                        <wps:spPr>
                          <a:xfrm>
                            <a:off x="3203833" y="1976575"/>
                            <a:ext cx="221615" cy="116839"/>
                          </a:xfrm>
                          <a:prstGeom prst="rect">
                            <a:avLst/>
                          </a:prstGeom>
                        </wps:spPr>
                        <wps:txbx>
                          <w:txbxContent>
                            <w:p>
                              <w:pPr>
                                <w:spacing w:line="184" w:lineRule="exact" w:before="0"/>
                                <w:ind w:left="0" w:right="0" w:firstLine="0"/>
                                <w:jc w:val="left"/>
                                <w:rPr>
                                  <w:rFonts w:ascii="Arial MT"/>
                                  <w:sz w:val="16"/>
                                </w:rPr>
                              </w:pPr>
                              <w:r>
                                <w:rPr>
                                  <w:rFonts w:ascii="Arial MT"/>
                                  <w:w w:val="80"/>
                                  <w:sz w:val="16"/>
                                </w:rPr>
                                <w:t>IX</w:t>
                              </w:r>
                              <w:r>
                                <w:rPr>
                                  <w:rFonts w:ascii="Arial MT"/>
                                  <w:spacing w:val="-7"/>
                                  <w:sz w:val="16"/>
                                </w:rPr>
                                <w:t> </w:t>
                              </w:r>
                              <w:r>
                                <w:rPr>
                                  <w:rFonts w:ascii="Arial MT"/>
                                  <w:w w:val="80"/>
                                  <w:sz w:val="16"/>
                                </w:rPr>
                                <w:t>-</w:t>
                              </w:r>
                              <w:r>
                                <w:rPr>
                                  <w:rFonts w:ascii="Arial MT"/>
                                  <w:spacing w:val="-6"/>
                                  <w:sz w:val="16"/>
                                </w:rPr>
                                <w:t> </w:t>
                              </w:r>
                              <w:r>
                                <w:rPr>
                                  <w:rFonts w:ascii="Arial MT"/>
                                  <w:spacing w:val="-10"/>
                                  <w:w w:val="80"/>
                                  <w:sz w:val="16"/>
                                </w:rPr>
                                <w:t>X</w:t>
                              </w:r>
                            </w:p>
                          </w:txbxContent>
                        </wps:txbx>
                        <wps:bodyPr wrap="square" lIns="0" tIns="0" rIns="0" bIns="0" rtlCol="0">
                          <a:noAutofit/>
                        </wps:bodyPr>
                      </wps:wsp>
                      <wps:wsp>
                        <wps:cNvPr id="1142" name="Textbox 1142"/>
                        <wps:cNvSpPr txBox="1"/>
                        <wps:spPr>
                          <a:xfrm>
                            <a:off x="4282065" y="1976575"/>
                            <a:ext cx="267970" cy="116839"/>
                          </a:xfrm>
                          <a:prstGeom prst="rect">
                            <a:avLst/>
                          </a:prstGeom>
                        </wps:spPr>
                        <wps:txbx>
                          <w:txbxContent>
                            <w:p>
                              <w:pPr>
                                <w:spacing w:line="184" w:lineRule="exact" w:before="0"/>
                                <w:ind w:left="0" w:right="0" w:firstLine="0"/>
                                <w:jc w:val="left"/>
                                <w:rPr>
                                  <w:rFonts w:ascii="Arial MT"/>
                                  <w:sz w:val="16"/>
                                </w:rPr>
                              </w:pPr>
                              <w:r>
                                <w:rPr>
                                  <w:rFonts w:ascii="Arial MT"/>
                                  <w:w w:val="80"/>
                                  <w:sz w:val="16"/>
                                </w:rPr>
                                <w:t>XI</w:t>
                              </w:r>
                              <w:r>
                                <w:rPr>
                                  <w:rFonts w:ascii="Arial MT"/>
                                  <w:spacing w:val="-7"/>
                                  <w:sz w:val="16"/>
                                </w:rPr>
                                <w:t> </w:t>
                              </w:r>
                              <w:r>
                                <w:rPr>
                                  <w:rFonts w:ascii="Arial MT"/>
                                  <w:w w:val="80"/>
                                  <w:sz w:val="16"/>
                                </w:rPr>
                                <w:t>-</w:t>
                              </w:r>
                              <w:r>
                                <w:rPr>
                                  <w:rFonts w:ascii="Arial MT"/>
                                  <w:spacing w:val="-6"/>
                                  <w:sz w:val="16"/>
                                </w:rPr>
                                <w:t> </w:t>
                              </w:r>
                              <w:r>
                                <w:rPr>
                                  <w:rFonts w:ascii="Arial MT"/>
                                  <w:spacing w:val="-5"/>
                                  <w:w w:val="80"/>
                                  <w:sz w:val="16"/>
                                </w:rPr>
                                <w:t>XII</w:t>
                              </w:r>
                            </w:p>
                          </w:txbxContent>
                        </wps:txbx>
                        <wps:bodyPr wrap="square" lIns="0" tIns="0" rIns="0" bIns="0" rtlCol="0">
                          <a:noAutofit/>
                        </wps:bodyPr>
                      </wps:wsp>
                      <wps:wsp>
                        <wps:cNvPr id="1143" name="Textbox 1143"/>
                        <wps:cNvSpPr txBox="1"/>
                        <wps:spPr>
                          <a:xfrm>
                            <a:off x="2624140" y="2072209"/>
                            <a:ext cx="327660" cy="116839"/>
                          </a:xfrm>
                          <a:prstGeom prst="rect">
                            <a:avLst/>
                          </a:prstGeom>
                        </wps:spPr>
                        <wps:txbx>
                          <w:txbxContent>
                            <w:p>
                              <w:pPr>
                                <w:spacing w:line="184" w:lineRule="exact" w:before="0"/>
                                <w:ind w:left="0" w:right="0" w:firstLine="0"/>
                                <w:jc w:val="left"/>
                                <w:rPr>
                                  <w:rFonts w:ascii="Arial"/>
                                  <w:b/>
                                  <w:sz w:val="16"/>
                                </w:rPr>
                              </w:pPr>
                              <w:r>
                                <w:rPr>
                                  <w:rFonts w:ascii="Arial"/>
                                  <w:b/>
                                  <w:spacing w:val="-2"/>
                                  <w:w w:val="85"/>
                                  <w:sz w:val="16"/>
                                </w:rPr>
                                <w:t>Classes</w:t>
                              </w:r>
                            </w:p>
                          </w:txbxContent>
                        </wps:txbx>
                        <wps:bodyPr wrap="square" lIns="0" tIns="0" rIns="0" bIns="0" rtlCol="0">
                          <a:noAutofit/>
                        </wps:bodyPr>
                      </wps:wsp>
                    </wpg:wgp>
                  </a:graphicData>
                </a:graphic>
              </wp:anchor>
            </w:drawing>
          </mc:Choice>
          <mc:Fallback>
            <w:pict>
              <v:group style="position:absolute;margin-left:100.066277pt;margin-top:24.1pt;width:397.05pt;height:182.6pt;mso-position-horizontal-relative:page;mso-position-vertical-relative:paragraph;z-index:15799808" id="docshapegroup1111" coordorigin="2001,482" coordsize="7941,3652">
                <v:shape style="position:absolute;left:2001;top:482;width:7941;height:3652" id="docshape1112" coordorigin="2001,482" coordsize="7941,3652" path="m9942,482l9932,482,9932,493,9932,4124,2011,4124,2011,493,9932,493,9932,482,2001,482,2001,488,2001,492,2001,4124,2001,4128,2001,4134,9942,4134,9942,488,9942,482xe" filled="true" fillcolor="#000000" stroked="false">
                  <v:path arrowok="t"/>
                  <v:fill type="solid"/>
                </v:shape>
                <v:rect style="position:absolute;left:3462;top:2352;width:450;height:1142" id="docshape1113" filled="true" fillcolor="#e3c626" stroked="false">
                  <v:fill type="solid"/>
                </v:rect>
                <v:rect style="position:absolute;left:3462;top:1326;width:450;height:1031" id="docshape1114" filled="true" fillcolor="#2e614a" stroked="false">
                  <v:fill type="solid"/>
                </v:rect>
                <v:rect style="position:absolute;left:5202;top:3018;width:450;height:476" id="docshape1115" filled="true" fillcolor="#e3c626" stroked="false">
                  <v:fill type="solid"/>
                </v:rect>
                <v:rect style="position:absolute;left:5202;top:2640;width:450;height:382" id="docshape1116" filled="true" fillcolor="#2e614a" stroked="false">
                  <v:fill type="solid"/>
                </v:rect>
                <v:rect style="position:absolute;left:6923;top:3280;width:450;height:215" id="docshape1117" filled="true" fillcolor="#e3c626" stroked="false">
                  <v:fill type="solid"/>
                </v:rect>
                <v:rect style="position:absolute;left:6923;top:2640;width:450;height:640" id="docshape1118" filled="true" fillcolor="#2e614a" stroked="false">
                  <v:fill type="solid"/>
                </v:rect>
                <v:rect style="position:absolute;left:8663;top:3375;width:450;height:119" id="docshape1119" filled="true" fillcolor="#e3c626" stroked="false">
                  <v:fill type="solid"/>
                </v:rect>
                <v:rect style="position:absolute;left:8663;top:3272;width:450;height:103" id="docshape1120" filled="true" fillcolor="#2e614a" stroked="false">
                  <v:fill type="solid"/>
                </v:rect>
                <v:shape style="position:absolute;left:2759;top:1182;width:7006;height:2385" id="docshape1121" coordorigin="2760,1183" coordsize="7006,2385" path="m9765,3500l2834,3500,2834,3182,2837,3182,2837,3172,2834,3172,2834,2858,2837,2858,2837,2848,2834,2848,2834,2525,2837,2525,2837,2515,2834,2515,2834,2183,2837,2183,2837,2173,2834,2173,2834,1858,2837,1858,2837,1848,2834,1848,2834,1528,2837,1528,2837,1518,2834,1518,2834,1202,2837,1202,2837,1192,2834,1192,2834,1183,2824,1183,2824,1192,2760,1192,2760,1202,2824,1202,2824,1518,2760,1518,2760,1528,2824,1528,2824,1848,2760,1848,2760,1858,2824,1858,2824,2173,2760,2173,2760,2183,2824,2183,2824,2515,2760,2515,2760,2525,2824,2525,2824,2848,2760,2848,2760,2858,2824,2858,2824,3172,2760,3172,2760,3182,2824,3182,2824,3500,2760,3500,2760,3510,2824,3510,2824,3568,2834,3568,2834,3510,9765,3510,9765,3500xe" filled="true" fillcolor="#000000" stroked="false">
                  <v:path arrowok="t"/>
                  <v:fill type="solid"/>
                </v:shape>
                <v:rect style="position:absolute;left:8588;top:695;width:104;height:113" id="docshape1122" filled="true" fillcolor="#2e614a" stroked="false">
                  <v:fill type="solid"/>
                </v:rect>
                <v:rect style="position:absolute;left:9204;top:695;width:104;height:113" id="docshape1123" filled="true" fillcolor="#e3c626" stroked="false">
                  <v:fill type="solid"/>
                </v:rect>
                <v:shape style="position:absolute;left:4554;top:3502;width:5211;height:61" id="docshape1124" coordorigin="4554,3502" coordsize="5211,61" path="m4564,3502l4554,3502,4554,3562,4564,3562,4564,3502xm6305,3502l6295,3502,6295,3562,6305,3562,6305,3502xm8045,3502l8035,3502,8035,3562,8045,3562,8045,3502xm9765,3502l9755,3502,9755,3562,9765,3562,9765,3502xe" filled="true" fillcolor="#000000" stroked="false">
                  <v:path arrowok="t"/>
                  <v:fill type="solid"/>
                </v:shape>
                <v:shape style="position:absolute;left:8769;top:634;width:885;height:184" type="#_x0000_t202" id="docshape1125" filled="false" stroked="false">
                  <v:textbox inset="0,0,0,0">
                    <w:txbxContent>
                      <w:p>
                        <w:pPr>
                          <w:tabs>
                            <w:tab w:pos="594" w:val="left" w:leader="none"/>
                          </w:tabs>
                          <w:spacing w:line="184" w:lineRule="exact" w:before="0"/>
                          <w:ind w:left="0" w:right="0" w:firstLine="0"/>
                          <w:jc w:val="left"/>
                          <w:rPr>
                            <w:rFonts w:ascii="Arial MT"/>
                            <w:sz w:val="16"/>
                          </w:rPr>
                        </w:pPr>
                        <w:r>
                          <w:rPr>
                            <w:rFonts w:ascii="Arial MT"/>
                            <w:spacing w:val="-4"/>
                            <w:w w:val="90"/>
                            <w:sz w:val="16"/>
                          </w:rPr>
                          <w:t>Boys</w:t>
                        </w:r>
                        <w:r>
                          <w:rPr>
                            <w:rFonts w:ascii="Arial MT"/>
                            <w:sz w:val="16"/>
                          </w:rPr>
                          <w:tab/>
                        </w:r>
                        <w:r>
                          <w:rPr>
                            <w:rFonts w:ascii="Arial MT"/>
                            <w:spacing w:val="-4"/>
                            <w:w w:val="90"/>
                            <w:sz w:val="16"/>
                          </w:rPr>
                          <w:t>Girls</w:t>
                        </w:r>
                      </w:p>
                    </w:txbxContent>
                  </v:textbox>
                  <w10:wrap type="none"/>
                </v:shape>
                <v:shape style="position:absolute;left:2559;top:1118;width:166;height:2494" type="#_x0000_t202" id="docshape1126" filled="false" stroked="false">
                  <v:textbox inset="0,0,0,0">
                    <w:txbxContent>
                      <w:p>
                        <w:pPr>
                          <w:spacing w:line="184" w:lineRule="exact" w:before="0"/>
                          <w:ind w:left="0" w:right="0" w:firstLine="0"/>
                          <w:jc w:val="left"/>
                          <w:rPr>
                            <w:rFonts w:ascii="Arial MT"/>
                            <w:sz w:val="16"/>
                          </w:rPr>
                        </w:pPr>
                        <w:r>
                          <w:rPr>
                            <w:rFonts w:ascii="Arial MT"/>
                            <w:spacing w:val="-5"/>
                            <w:w w:val="90"/>
                            <w:sz w:val="16"/>
                          </w:rPr>
                          <w:t>14</w:t>
                        </w:r>
                      </w:p>
                      <w:p>
                        <w:pPr>
                          <w:spacing w:before="146"/>
                          <w:ind w:left="0" w:right="0" w:firstLine="0"/>
                          <w:jc w:val="left"/>
                          <w:rPr>
                            <w:rFonts w:ascii="Arial MT"/>
                            <w:sz w:val="16"/>
                          </w:rPr>
                        </w:pPr>
                        <w:r>
                          <w:rPr>
                            <w:rFonts w:ascii="Arial MT"/>
                            <w:spacing w:val="-5"/>
                            <w:w w:val="90"/>
                            <w:sz w:val="16"/>
                          </w:rPr>
                          <w:t>12</w:t>
                        </w:r>
                      </w:p>
                      <w:p>
                        <w:pPr>
                          <w:spacing w:before="146"/>
                          <w:ind w:left="0" w:right="0" w:firstLine="0"/>
                          <w:jc w:val="left"/>
                          <w:rPr>
                            <w:rFonts w:ascii="Arial MT"/>
                            <w:sz w:val="16"/>
                          </w:rPr>
                        </w:pPr>
                        <w:r>
                          <w:rPr>
                            <w:rFonts w:ascii="Arial MT"/>
                            <w:spacing w:val="-5"/>
                            <w:w w:val="90"/>
                            <w:sz w:val="16"/>
                          </w:rPr>
                          <w:t>10</w:t>
                        </w:r>
                      </w:p>
                      <w:p>
                        <w:pPr>
                          <w:spacing w:before="146"/>
                          <w:ind w:left="72" w:right="0" w:firstLine="0"/>
                          <w:jc w:val="left"/>
                          <w:rPr>
                            <w:rFonts w:ascii="Arial MT"/>
                            <w:sz w:val="16"/>
                          </w:rPr>
                        </w:pPr>
                        <w:r>
                          <w:rPr>
                            <w:rFonts w:ascii="Arial MT"/>
                            <w:spacing w:val="-10"/>
                            <w:w w:val="90"/>
                            <w:sz w:val="16"/>
                          </w:rPr>
                          <w:t>8</w:t>
                        </w:r>
                      </w:p>
                      <w:p>
                        <w:pPr>
                          <w:spacing w:before="146"/>
                          <w:ind w:left="72" w:right="0" w:firstLine="0"/>
                          <w:jc w:val="left"/>
                          <w:rPr>
                            <w:rFonts w:ascii="Arial MT"/>
                            <w:sz w:val="16"/>
                          </w:rPr>
                        </w:pPr>
                        <w:r>
                          <w:rPr>
                            <w:rFonts w:ascii="Arial MT"/>
                            <w:spacing w:val="-10"/>
                            <w:w w:val="90"/>
                            <w:sz w:val="16"/>
                          </w:rPr>
                          <w:t>6</w:t>
                        </w:r>
                      </w:p>
                      <w:p>
                        <w:pPr>
                          <w:spacing w:before="146"/>
                          <w:ind w:left="72" w:right="0" w:firstLine="0"/>
                          <w:jc w:val="left"/>
                          <w:rPr>
                            <w:rFonts w:ascii="Arial MT"/>
                            <w:sz w:val="16"/>
                          </w:rPr>
                        </w:pPr>
                        <w:r>
                          <w:rPr>
                            <w:rFonts w:ascii="Arial MT"/>
                            <w:spacing w:val="-10"/>
                            <w:w w:val="90"/>
                            <w:sz w:val="16"/>
                          </w:rPr>
                          <w:t>4</w:t>
                        </w:r>
                      </w:p>
                      <w:p>
                        <w:pPr>
                          <w:spacing w:before="146"/>
                          <w:ind w:left="72" w:right="0" w:firstLine="0"/>
                          <w:jc w:val="left"/>
                          <w:rPr>
                            <w:rFonts w:ascii="Arial MT"/>
                            <w:sz w:val="16"/>
                          </w:rPr>
                        </w:pPr>
                        <w:r>
                          <w:rPr>
                            <w:rFonts w:ascii="Arial MT"/>
                            <w:spacing w:val="-10"/>
                            <w:w w:val="90"/>
                            <w:sz w:val="16"/>
                          </w:rPr>
                          <w:t>2</w:t>
                        </w:r>
                      </w:p>
                      <w:p>
                        <w:pPr>
                          <w:spacing w:before="146"/>
                          <w:ind w:left="72" w:right="0" w:firstLine="0"/>
                          <w:jc w:val="left"/>
                          <w:rPr>
                            <w:rFonts w:ascii="Arial MT"/>
                            <w:sz w:val="16"/>
                          </w:rPr>
                        </w:pPr>
                        <w:r>
                          <w:rPr>
                            <w:rFonts w:ascii="Arial MT"/>
                            <w:spacing w:val="-10"/>
                            <w:w w:val="90"/>
                            <w:sz w:val="16"/>
                          </w:rPr>
                          <w:t>0</w:t>
                        </w:r>
                      </w:p>
                    </w:txbxContent>
                  </v:textbox>
                  <w10:wrap type="none"/>
                </v:shape>
                <v:shape style="position:absolute;left:3631;top:3624;width:188;height:184" type="#_x0000_t202" id="docshape1127" filled="false" stroked="false">
                  <v:textbox inset="0,0,0,0">
                    <w:txbxContent>
                      <w:p>
                        <w:pPr>
                          <w:spacing w:line="184" w:lineRule="exact" w:before="0"/>
                          <w:ind w:left="0" w:right="0" w:firstLine="0"/>
                          <w:jc w:val="left"/>
                          <w:rPr>
                            <w:rFonts w:ascii="Arial MT"/>
                            <w:sz w:val="16"/>
                          </w:rPr>
                        </w:pPr>
                        <w:r>
                          <w:rPr>
                            <w:rFonts w:ascii="Arial MT"/>
                            <w:w w:val="80"/>
                            <w:sz w:val="16"/>
                          </w:rPr>
                          <w:t>I-</w:t>
                        </w:r>
                        <w:r>
                          <w:rPr>
                            <w:rFonts w:ascii="Arial MT"/>
                            <w:spacing w:val="-10"/>
                            <w:w w:val="90"/>
                            <w:sz w:val="16"/>
                          </w:rPr>
                          <w:t>V</w:t>
                        </w:r>
                      </w:p>
                    </w:txbxContent>
                  </v:textbox>
                  <w10:wrap type="none"/>
                </v:shape>
                <v:shape style="position:absolute;left:5192;top:3594;width:458;height:184" type="#_x0000_t202" id="docshape1128" filled="false" stroked="false">
                  <v:textbox inset="0,0,0,0">
                    <w:txbxContent>
                      <w:p>
                        <w:pPr>
                          <w:spacing w:line="184" w:lineRule="exact" w:before="0"/>
                          <w:ind w:left="0" w:right="0" w:firstLine="0"/>
                          <w:jc w:val="left"/>
                          <w:rPr>
                            <w:rFonts w:ascii="Arial MT"/>
                            <w:sz w:val="16"/>
                          </w:rPr>
                        </w:pPr>
                        <w:r>
                          <w:rPr>
                            <w:rFonts w:ascii="Arial MT"/>
                            <w:w w:val="80"/>
                            <w:sz w:val="16"/>
                          </w:rPr>
                          <w:t>VI</w:t>
                        </w:r>
                        <w:r>
                          <w:rPr>
                            <w:rFonts w:ascii="Arial MT"/>
                            <w:spacing w:val="-7"/>
                            <w:sz w:val="16"/>
                          </w:rPr>
                          <w:t> </w:t>
                        </w:r>
                        <w:r>
                          <w:rPr>
                            <w:rFonts w:ascii="Arial MT"/>
                            <w:w w:val="80"/>
                            <w:sz w:val="16"/>
                          </w:rPr>
                          <w:t>-</w:t>
                        </w:r>
                        <w:r>
                          <w:rPr>
                            <w:rFonts w:ascii="Arial MT"/>
                            <w:spacing w:val="-6"/>
                            <w:sz w:val="16"/>
                          </w:rPr>
                          <w:t> </w:t>
                        </w:r>
                        <w:r>
                          <w:rPr>
                            <w:rFonts w:ascii="Arial MT"/>
                            <w:spacing w:val="-4"/>
                            <w:w w:val="80"/>
                            <w:sz w:val="16"/>
                          </w:rPr>
                          <w:t>VIII</w:t>
                        </w:r>
                      </w:p>
                    </w:txbxContent>
                  </v:textbox>
                  <w10:wrap type="none"/>
                </v:shape>
                <v:shape style="position:absolute;left:7046;top:3594;width:349;height:184" type="#_x0000_t202" id="docshape1129" filled="false" stroked="false">
                  <v:textbox inset="0,0,0,0">
                    <w:txbxContent>
                      <w:p>
                        <w:pPr>
                          <w:spacing w:line="184" w:lineRule="exact" w:before="0"/>
                          <w:ind w:left="0" w:right="0" w:firstLine="0"/>
                          <w:jc w:val="left"/>
                          <w:rPr>
                            <w:rFonts w:ascii="Arial MT"/>
                            <w:sz w:val="16"/>
                          </w:rPr>
                        </w:pPr>
                        <w:r>
                          <w:rPr>
                            <w:rFonts w:ascii="Arial MT"/>
                            <w:w w:val="80"/>
                            <w:sz w:val="16"/>
                          </w:rPr>
                          <w:t>IX</w:t>
                        </w:r>
                        <w:r>
                          <w:rPr>
                            <w:rFonts w:ascii="Arial MT"/>
                            <w:spacing w:val="-7"/>
                            <w:sz w:val="16"/>
                          </w:rPr>
                          <w:t> </w:t>
                        </w:r>
                        <w:r>
                          <w:rPr>
                            <w:rFonts w:ascii="Arial MT"/>
                            <w:w w:val="80"/>
                            <w:sz w:val="16"/>
                          </w:rPr>
                          <w:t>-</w:t>
                        </w:r>
                        <w:r>
                          <w:rPr>
                            <w:rFonts w:ascii="Arial MT"/>
                            <w:spacing w:val="-6"/>
                            <w:sz w:val="16"/>
                          </w:rPr>
                          <w:t> </w:t>
                        </w:r>
                        <w:r>
                          <w:rPr>
                            <w:rFonts w:ascii="Arial MT"/>
                            <w:spacing w:val="-10"/>
                            <w:w w:val="80"/>
                            <w:sz w:val="16"/>
                          </w:rPr>
                          <w:t>X</w:t>
                        </w:r>
                      </w:p>
                    </w:txbxContent>
                  </v:textbox>
                  <w10:wrap type="none"/>
                </v:shape>
                <v:shape style="position:absolute;left:8744;top:3594;width:422;height:184" type="#_x0000_t202" id="docshape1130" filled="false" stroked="false">
                  <v:textbox inset="0,0,0,0">
                    <w:txbxContent>
                      <w:p>
                        <w:pPr>
                          <w:spacing w:line="184" w:lineRule="exact" w:before="0"/>
                          <w:ind w:left="0" w:right="0" w:firstLine="0"/>
                          <w:jc w:val="left"/>
                          <w:rPr>
                            <w:rFonts w:ascii="Arial MT"/>
                            <w:sz w:val="16"/>
                          </w:rPr>
                        </w:pPr>
                        <w:r>
                          <w:rPr>
                            <w:rFonts w:ascii="Arial MT"/>
                            <w:w w:val="80"/>
                            <w:sz w:val="16"/>
                          </w:rPr>
                          <w:t>XI</w:t>
                        </w:r>
                        <w:r>
                          <w:rPr>
                            <w:rFonts w:ascii="Arial MT"/>
                            <w:spacing w:val="-7"/>
                            <w:sz w:val="16"/>
                          </w:rPr>
                          <w:t> </w:t>
                        </w:r>
                        <w:r>
                          <w:rPr>
                            <w:rFonts w:ascii="Arial MT"/>
                            <w:w w:val="80"/>
                            <w:sz w:val="16"/>
                          </w:rPr>
                          <w:t>-</w:t>
                        </w:r>
                        <w:r>
                          <w:rPr>
                            <w:rFonts w:ascii="Arial MT"/>
                            <w:spacing w:val="-6"/>
                            <w:sz w:val="16"/>
                          </w:rPr>
                          <w:t> </w:t>
                        </w:r>
                        <w:r>
                          <w:rPr>
                            <w:rFonts w:ascii="Arial MT"/>
                            <w:spacing w:val="-5"/>
                            <w:w w:val="80"/>
                            <w:sz w:val="16"/>
                          </w:rPr>
                          <w:t>XII</w:t>
                        </w:r>
                      </w:p>
                    </w:txbxContent>
                  </v:textbox>
                  <w10:wrap type="none"/>
                </v:shape>
                <v:shape style="position:absolute;left:6133;top:3745;width:516;height:184" type="#_x0000_t202" id="docshape1131" filled="false" stroked="false">
                  <v:textbox inset="0,0,0,0">
                    <w:txbxContent>
                      <w:p>
                        <w:pPr>
                          <w:spacing w:line="184" w:lineRule="exact" w:before="0"/>
                          <w:ind w:left="0" w:right="0" w:firstLine="0"/>
                          <w:jc w:val="left"/>
                          <w:rPr>
                            <w:rFonts w:ascii="Arial"/>
                            <w:b/>
                            <w:sz w:val="16"/>
                          </w:rPr>
                        </w:pPr>
                        <w:r>
                          <w:rPr>
                            <w:rFonts w:ascii="Arial"/>
                            <w:b/>
                            <w:spacing w:val="-2"/>
                            <w:w w:val="85"/>
                            <w:sz w:val="16"/>
                          </w:rPr>
                          <w:t>Classes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0320">
                <wp:simplePos x="0" y="0"/>
                <wp:positionH relativeFrom="page">
                  <wp:posOffset>1426742</wp:posOffset>
                </wp:positionH>
                <wp:positionV relativeFrom="paragraph">
                  <wp:posOffset>1419365</wp:posOffset>
                </wp:positionV>
                <wp:extent cx="142240" cy="386715"/>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142240" cy="386715"/>
                        </a:xfrm>
                        <a:prstGeom prst="rect">
                          <a:avLst/>
                        </a:prstGeom>
                      </wps:spPr>
                      <wps:txbx>
                        <w:txbxContent>
                          <w:p>
                            <w:pPr>
                              <w:spacing w:before="19"/>
                              <w:ind w:left="20" w:right="0" w:firstLine="0"/>
                              <w:jc w:val="left"/>
                              <w:rPr>
                                <w:rFonts w:ascii="Arial"/>
                                <w:b/>
                                <w:sz w:val="16"/>
                              </w:rPr>
                            </w:pPr>
                            <w:r>
                              <w:rPr>
                                <w:rFonts w:ascii="Arial"/>
                                <w:b/>
                                <w:w w:val="80"/>
                                <w:sz w:val="16"/>
                              </w:rPr>
                              <w:t>(in</w:t>
                            </w:r>
                            <w:r>
                              <w:rPr>
                                <w:rFonts w:ascii="Arial"/>
                                <w:b/>
                                <w:spacing w:val="-5"/>
                                <w:sz w:val="16"/>
                              </w:rPr>
                              <w:t> </w:t>
                            </w:r>
                            <w:r>
                              <w:rPr>
                                <w:rFonts w:ascii="Arial"/>
                                <w:b/>
                                <w:spacing w:val="-2"/>
                                <w:w w:val="85"/>
                                <w:sz w:val="16"/>
                              </w:rPr>
                              <w:t>crore)</w:t>
                            </w:r>
                          </w:p>
                        </w:txbxContent>
                      </wps:txbx>
                      <wps:bodyPr wrap="square" lIns="0" tIns="0" rIns="0" bIns="0" rtlCol="0" vert="vert270">
                        <a:noAutofit/>
                      </wps:bodyPr>
                    </wps:wsp>
                  </a:graphicData>
                </a:graphic>
              </wp:anchor>
            </w:drawing>
          </mc:Choice>
          <mc:Fallback>
            <w:pict>
              <v:shape style="position:absolute;margin-left:112.341942pt;margin-top:111.76107pt;width:11.2pt;height:30.45pt;mso-position-horizontal-relative:page;mso-position-vertical-relative:paragraph;z-index:15800320" type="#_x0000_t202" id="docshape1132" filled="false" stroked="false">
                <v:textbox inset="0,0,0,0" style="layout-flow:vertical;mso-layout-flow-alt:bottom-to-top">
                  <w:txbxContent>
                    <w:p>
                      <w:pPr>
                        <w:spacing w:before="19"/>
                        <w:ind w:left="20" w:right="0" w:firstLine="0"/>
                        <w:jc w:val="left"/>
                        <w:rPr>
                          <w:rFonts w:ascii="Arial"/>
                          <w:b/>
                          <w:sz w:val="16"/>
                        </w:rPr>
                      </w:pPr>
                      <w:r>
                        <w:rPr>
                          <w:rFonts w:ascii="Arial"/>
                          <w:b/>
                          <w:w w:val="80"/>
                          <w:sz w:val="16"/>
                        </w:rPr>
                        <w:t>(in</w:t>
                      </w:r>
                      <w:r>
                        <w:rPr>
                          <w:rFonts w:ascii="Arial"/>
                          <w:b/>
                          <w:spacing w:val="-5"/>
                          <w:sz w:val="16"/>
                        </w:rPr>
                        <w:t> </w:t>
                      </w:r>
                      <w:r>
                        <w:rPr>
                          <w:rFonts w:ascii="Arial"/>
                          <w:b/>
                          <w:spacing w:val="-2"/>
                          <w:w w:val="85"/>
                          <w:sz w:val="16"/>
                        </w:rPr>
                        <w:t>crore)</w:t>
                      </w:r>
                    </w:p>
                  </w:txbxContent>
                </v:textbox>
                <w10:wrap type="none"/>
              </v:shape>
            </w:pict>
          </mc:Fallback>
        </mc:AlternateContent>
      </w:r>
      <w:r>
        <w:rPr>
          <w:spacing w:val="-8"/>
        </w:rPr>
        <w:t>Figure</w:t>
      </w:r>
      <w:r>
        <w:rPr>
          <w:spacing w:val="-2"/>
        </w:rPr>
        <w:t> </w:t>
      </w:r>
      <w:r>
        <w:rPr>
          <w:spacing w:val="-8"/>
        </w:rPr>
        <w:t>3:</w:t>
      </w:r>
      <w:r>
        <w:rPr>
          <w:spacing w:val="-1"/>
        </w:rPr>
        <w:t> </w:t>
      </w:r>
      <w:r>
        <w:rPr>
          <w:color w:val="2E614A"/>
          <w:spacing w:val="-8"/>
        </w:rPr>
        <w:t>Stage</w:t>
      </w:r>
      <w:r>
        <w:rPr>
          <w:color w:val="2E614A"/>
          <w:spacing w:val="-1"/>
        </w:rPr>
        <w:t> </w:t>
      </w:r>
      <w:r>
        <w:rPr>
          <w:color w:val="2E614A"/>
          <w:spacing w:val="-8"/>
        </w:rPr>
        <w:t>wise</w:t>
      </w:r>
      <w:r>
        <w:rPr>
          <w:color w:val="2E614A"/>
          <w:spacing w:val="-1"/>
        </w:rPr>
        <w:t> </w:t>
      </w:r>
      <w:r>
        <w:rPr>
          <w:color w:val="2E614A"/>
          <w:spacing w:val="-8"/>
        </w:rPr>
        <w:t>enrolment</w:t>
      </w:r>
      <w:r>
        <w:rPr>
          <w:color w:val="2E614A"/>
          <w:spacing w:val="-1"/>
        </w:rPr>
        <w:t> </w:t>
      </w:r>
      <w:r>
        <w:rPr>
          <w:color w:val="2E614A"/>
          <w:spacing w:val="-8"/>
        </w:rPr>
        <w:t>(2005-06)</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43"/>
        <w:rPr>
          <w:b/>
          <w:sz w:val="24"/>
        </w:rPr>
      </w:pPr>
    </w:p>
    <w:p>
      <w:pPr>
        <w:spacing w:before="0"/>
        <w:ind w:left="2001" w:right="0" w:firstLine="0"/>
        <w:jc w:val="left"/>
        <w:rPr>
          <w:sz w:val="16"/>
        </w:rPr>
      </w:pPr>
      <w:r>
        <w:rPr>
          <w:i/>
          <w:spacing w:val="-6"/>
          <w:sz w:val="16"/>
        </w:rPr>
        <w:t>Source:</w:t>
      </w:r>
      <w:r>
        <w:rPr>
          <w:i/>
          <w:spacing w:val="8"/>
          <w:sz w:val="16"/>
        </w:rPr>
        <w:t> </w:t>
      </w:r>
      <w:r>
        <w:rPr>
          <w:spacing w:val="-6"/>
          <w:sz w:val="16"/>
        </w:rPr>
        <w:t>National</w:t>
      </w:r>
      <w:r>
        <w:rPr>
          <w:spacing w:val="8"/>
          <w:sz w:val="16"/>
        </w:rPr>
        <w:t> </w:t>
      </w:r>
      <w:r>
        <w:rPr>
          <w:spacing w:val="-6"/>
          <w:sz w:val="16"/>
        </w:rPr>
        <w:t>Level</w:t>
      </w:r>
      <w:r>
        <w:rPr>
          <w:spacing w:val="8"/>
          <w:sz w:val="16"/>
        </w:rPr>
        <w:t> </w:t>
      </w:r>
      <w:r>
        <w:rPr>
          <w:spacing w:val="-6"/>
          <w:sz w:val="16"/>
        </w:rPr>
        <w:t>Statistics</w:t>
      </w:r>
      <w:r>
        <w:rPr>
          <w:spacing w:val="9"/>
          <w:sz w:val="16"/>
        </w:rPr>
        <w:t> </w:t>
      </w:r>
      <w:r>
        <w:rPr>
          <w:spacing w:val="-6"/>
          <w:sz w:val="16"/>
        </w:rPr>
        <w:t>2005-06,</w:t>
      </w:r>
      <w:r>
        <w:rPr>
          <w:spacing w:val="8"/>
          <w:sz w:val="16"/>
        </w:rPr>
        <w:t> </w:t>
      </w:r>
      <w:r>
        <w:rPr>
          <w:spacing w:val="-6"/>
          <w:sz w:val="16"/>
        </w:rPr>
        <w:t>MHRD</w:t>
      </w:r>
    </w:p>
    <w:p>
      <w:pPr>
        <w:pStyle w:val="BodyText"/>
        <w:spacing w:before="129"/>
        <w:rPr>
          <w:sz w:val="24"/>
        </w:rPr>
      </w:pPr>
    </w:p>
    <w:p>
      <w:pPr>
        <w:pStyle w:val="Heading8"/>
        <w:ind w:left="2001"/>
      </w:pPr>
      <w:r>
        <w:rPr>
          <w:w w:val="90"/>
        </w:rPr>
        <w:t>Figure</w:t>
      </w:r>
      <w:r>
        <w:rPr>
          <w:spacing w:val="6"/>
        </w:rPr>
        <w:t> </w:t>
      </w:r>
      <w:r>
        <w:rPr>
          <w:w w:val="90"/>
        </w:rPr>
        <w:t>4:</w:t>
      </w:r>
      <w:r>
        <w:rPr>
          <w:spacing w:val="7"/>
        </w:rPr>
        <w:t> </w:t>
      </w:r>
      <w:r>
        <w:rPr>
          <w:color w:val="2E614A"/>
          <w:w w:val="90"/>
        </w:rPr>
        <w:t>Percentage</w:t>
      </w:r>
      <w:r>
        <w:rPr>
          <w:color w:val="2E614A"/>
          <w:spacing w:val="7"/>
        </w:rPr>
        <w:t> </w:t>
      </w:r>
      <w:r>
        <w:rPr>
          <w:color w:val="2E614A"/>
          <w:w w:val="90"/>
        </w:rPr>
        <w:t>of</w:t>
      </w:r>
      <w:r>
        <w:rPr>
          <w:color w:val="2E614A"/>
          <w:spacing w:val="6"/>
        </w:rPr>
        <w:t> </w:t>
      </w:r>
      <w:r>
        <w:rPr>
          <w:color w:val="2E614A"/>
          <w:w w:val="90"/>
        </w:rPr>
        <w:t>students</w:t>
      </w:r>
      <w:r>
        <w:rPr>
          <w:color w:val="2E614A"/>
          <w:spacing w:val="7"/>
        </w:rPr>
        <w:t> </w:t>
      </w:r>
      <w:r>
        <w:rPr>
          <w:color w:val="2E614A"/>
          <w:w w:val="90"/>
        </w:rPr>
        <w:t>in</w:t>
      </w:r>
      <w:r>
        <w:rPr>
          <w:color w:val="2E614A"/>
          <w:spacing w:val="7"/>
        </w:rPr>
        <w:t> </w:t>
      </w:r>
      <w:r>
        <w:rPr>
          <w:color w:val="2E614A"/>
          <w:w w:val="90"/>
        </w:rPr>
        <w:t>the</w:t>
      </w:r>
      <w:r>
        <w:rPr>
          <w:color w:val="2E614A"/>
          <w:spacing w:val="7"/>
        </w:rPr>
        <w:t> </w:t>
      </w:r>
      <w:r>
        <w:rPr>
          <w:color w:val="2E614A"/>
          <w:w w:val="90"/>
        </w:rPr>
        <w:t>relevant</w:t>
      </w:r>
      <w:r>
        <w:rPr>
          <w:color w:val="2E614A"/>
          <w:spacing w:val="6"/>
        </w:rPr>
        <w:t> </w:t>
      </w:r>
      <w:r>
        <w:rPr>
          <w:color w:val="2E614A"/>
          <w:w w:val="90"/>
        </w:rPr>
        <w:t>age-group</w:t>
      </w:r>
      <w:r>
        <w:rPr>
          <w:color w:val="2E614A"/>
          <w:spacing w:val="7"/>
        </w:rPr>
        <w:t> </w:t>
      </w:r>
      <w:r>
        <w:rPr>
          <w:color w:val="2E614A"/>
          <w:w w:val="90"/>
        </w:rPr>
        <w:t>not</w:t>
      </w:r>
      <w:r>
        <w:rPr>
          <w:color w:val="2E614A"/>
          <w:spacing w:val="7"/>
        </w:rPr>
        <w:t> </w:t>
      </w:r>
      <w:r>
        <w:rPr>
          <w:color w:val="2E614A"/>
          <w:w w:val="90"/>
        </w:rPr>
        <w:t>enrolled</w:t>
      </w:r>
      <w:r>
        <w:rPr>
          <w:color w:val="2E614A"/>
          <w:spacing w:val="7"/>
        </w:rPr>
        <w:t> </w:t>
      </w:r>
      <w:r>
        <w:rPr>
          <w:color w:val="2E614A"/>
          <w:w w:val="90"/>
        </w:rPr>
        <w:t>in</w:t>
      </w:r>
      <w:r>
        <w:rPr>
          <w:color w:val="2E614A"/>
          <w:spacing w:val="6"/>
        </w:rPr>
        <w:t> </w:t>
      </w:r>
      <w:r>
        <w:rPr>
          <w:color w:val="2E614A"/>
          <w:spacing w:val="-2"/>
          <w:w w:val="90"/>
        </w:rPr>
        <w:t>school</w:t>
      </w:r>
    </w:p>
    <w:p>
      <w:pPr>
        <w:pStyle w:val="BodyText"/>
        <w:spacing w:before="11"/>
        <w:rPr>
          <w:b/>
          <w:sz w:val="8"/>
        </w:rPr>
      </w:pPr>
      <w:r>
        <w:rPr/>
        <mc:AlternateContent>
          <mc:Choice Requires="wps">
            <w:drawing>
              <wp:anchor distT="0" distB="0" distL="0" distR="0" allowOverlap="1" layoutInCell="1" locked="0" behindDoc="1" simplePos="0" relativeHeight="487658496">
                <wp:simplePos x="0" y="0"/>
                <wp:positionH relativeFrom="page">
                  <wp:posOffset>1274016</wp:posOffset>
                </wp:positionH>
                <wp:positionV relativeFrom="paragraph">
                  <wp:posOffset>80893</wp:posOffset>
                </wp:positionV>
                <wp:extent cx="5039360" cy="1916430"/>
                <wp:effectExtent l="0" t="0" r="0" b="0"/>
                <wp:wrapTopAndBottom/>
                <wp:docPr id="1145" name="Group 1145"/>
                <wp:cNvGraphicFramePr>
                  <a:graphicFrameLocks/>
                </wp:cNvGraphicFramePr>
                <a:graphic>
                  <a:graphicData uri="http://schemas.microsoft.com/office/word/2010/wordprocessingGroup">
                    <wpg:wgp>
                      <wpg:cNvPr id="1145" name="Group 1145"/>
                      <wpg:cNvGrpSpPr/>
                      <wpg:grpSpPr>
                        <a:xfrm>
                          <a:off x="0" y="0"/>
                          <a:ext cx="5039360" cy="1916430"/>
                          <a:chExt cx="5039360" cy="1916430"/>
                        </a:xfrm>
                      </wpg:grpSpPr>
                      <wps:wsp>
                        <wps:cNvPr id="1146" name="Graphic 1146"/>
                        <wps:cNvSpPr/>
                        <wps:spPr>
                          <a:xfrm>
                            <a:off x="-3" y="0"/>
                            <a:ext cx="5039360" cy="1916430"/>
                          </a:xfrm>
                          <a:custGeom>
                            <a:avLst/>
                            <a:gdLst/>
                            <a:ahLst/>
                            <a:cxnLst/>
                            <a:rect l="l" t="t" r="r" b="b"/>
                            <a:pathLst>
                              <a:path w="5039360" h="1916430">
                                <a:moveTo>
                                  <a:pt x="791654" y="1595678"/>
                                </a:moveTo>
                                <a:lnTo>
                                  <a:pt x="785304" y="1595678"/>
                                </a:lnTo>
                                <a:lnTo>
                                  <a:pt x="785304" y="1624253"/>
                                </a:lnTo>
                                <a:lnTo>
                                  <a:pt x="791654" y="1624253"/>
                                </a:lnTo>
                                <a:lnTo>
                                  <a:pt x="791654" y="1595678"/>
                                </a:lnTo>
                                <a:close/>
                              </a:path>
                              <a:path w="5039360" h="1916430">
                                <a:moveTo>
                                  <a:pt x="1248232" y="1595678"/>
                                </a:moveTo>
                                <a:lnTo>
                                  <a:pt x="1241882" y="1595678"/>
                                </a:lnTo>
                                <a:lnTo>
                                  <a:pt x="1241882" y="1624253"/>
                                </a:lnTo>
                                <a:lnTo>
                                  <a:pt x="1248232" y="1624253"/>
                                </a:lnTo>
                                <a:lnTo>
                                  <a:pt x="1248232" y="1595678"/>
                                </a:lnTo>
                                <a:close/>
                              </a:path>
                              <a:path w="5039360" h="1916430">
                                <a:moveTo>
                                  <a:pt x="1704797" y="1595678"/>
                                </a:moveTo>
                                <a:lnTo>
                                  <a:pt x="1698447" y="1595678"/>
                                </a:lnTo>
                                <a:lnTo>
                                  <a:pt x="1698447" y="1624253"/>
                                </a:lnTo>
                                <a:lnTo>
                                  <a:pt x="1704797" y="1624253"/>
                                </a:lnTo>
                                <a:lnTo>
                                  <a:pt x="1704797" y="1595678"/>
                                </a:lnTo>
                                <a:close/>
                              </a:path>
                              <a:path w="5039360" h="1916430">
                                <a:moveTo>
                                  <a:pt x="2161375" y="1595678"/>
                                </a:moveTo>
                                <a:lnTo>
                                  <a:pt x="2155025" y="1595678"/>
                                </a:lnTo>
                                <a:lnTo>
                                  <a:pt x="2155025" y="1624253"/>
                                </a:lnTo>
                                <a:lnTo>
                                  <a:pt x="2161375" y="1624253"/>
                                </a:lnTo>
                                <a:lnTo>
                                  <a:pt x="2161375" y="1595678"/>
                                </a:lnTo>
                                <a:close/>
                              </a:path>
                              <a:path w="5039360" h="1916430">
                                <a:moveTo>
                                  <a:pt x="2617952" y="1595678"/>
                                </a:moveTo>
                                <a:lnTo>
                                  <a:pt x="2611602" y="1595678"/>
                                </a:lnTo>
                                <a:lnTo>
                                  <a:pt x="2611602" y="1624253"/>
                                </a:lnTo>
                                <a:lnTo>
                                  <a:pt x="2617952" y="1624253"/>
                                </a:lnTo>
                                <a:lnTo>
                                  <a:pt x="2617952" y="1595678"/>
                                </a:lnTo>
                                <a:close/>
                              </a:path>
                              <a:path w="5039360" h="1916430">
                                <a:moveTo>
                                  <a:pt x="3074530" y="1595678"/>
                                </a:moveTo>
                                <a:lnTo>
                                  <a:pt x="3068180" y="1595678"/>
                                </a:lnTo>
                                <a:lnTo>
                                  <a:pt x="3068180" y="1624253"/>
                                </a:lnTo>
                                <a:lnTo>
                                  <a:pt x="3074530" y="1624253"/>
                                </a:lnTo>
                                <a:lnTo>
                                  <a:pt x="3074530" y="1595678"/>
                                </a:lnTo>
                                <a:close/>
                              </a:path>
                              <a:path w="5039360" h="1916430">
                                <a:moveTo>
                                  <a:pt x="3531108" y="1595678"/>
                                </a:moveTo>
                                <a:lnTo>
                                  <a:pt x="3524758" y="1595678"/>
                                </a:lnTo>
                                <a:lnTo>
                                  <a:pt x="3524758" y="1624253"/>
                                </a:lnTo>
                                <a:lnTo>
                                  <a:pt x="3531108" y="1624253"/>
                                </a:lnTo>
                                <a:lnTo>
                                  <a:pt x="3531108" y="1595678"/>
                                </a:lnTo>
                                <a:close/>
                              </a:path>
                              <a:path w="5039360" h="1916430">
                                <a:moveTo>
                                  <a:pt x="3987685" y="1595678"/>
                                </a:moveTo>
                                <a:lnTo>
                                  <a:pt x="3981335" y="1595678"/>
                                </a:lnTo>
                                <a:lnTo>
                                  <a:pt x="3981335" y="1624253"/>
                                </a:lnTo>
                                <a:lnTo>
                                  <a:pt x="3987685" y="1624253"/>
                                </a:lnTo>
                                <a:lnTo>
                                  <a:pt x="3987685" y="1595678"/>
                                </a:lnTo>
                                <a:close/>
                              </a:path>
                              <a:path w="5039360" h="1916430">
                                <a:moveTo>
                                  <a:pt x="4444263" y="1595678"/>
                                </a:moveTo>
                                <a:lnTo>
                                  <a:pt x="4437913" y="1595678"/>
                                </a:lnTo>
                                <a:lnTo>
                                  <a:pt x="4437913" y="1624253"/>
                                </a:lnTo>
                                <a:lnTo>
                                  <a:pt x="4444263" y="1624253"/>
                                </a:lnTo>
                                <a:lnTo>
                                  <a:pt x="4444263" y="1595678"/>
                                </a:lnTo>
                                <a:close/>
                              </a:path>
                              <a:path w="5039360" h="1916430">
                                <a:moveTo>
                                  <a:pt x="4892599" y="1588935"/>
                                </a:moveTo>
                                <a:lnTo>
                                  <a:pt x="332752" y="1588935"/>
                                </a:lnTo>
                                <a:lnTo>
                                  <a:pt x="332752" y="170510"/>
                                </a:lnTo>
                                <a:lnTo>
                                  <a:pt x="326402" y="170510"/>
                                </a:lnTo>
                                <a:lnTo>
                                  <a:pt x="326402" y="1588935"/>
                                </a:lnTo>
                                <a:lnTo>
                                  <a:pt x="288455" y="1588935"/>
                                </a:lnTo>
                                <a:lnTo>
                                  <a:pt x="288455" y="1595285"/>
                                </a:lnTo>
                                <a:lnTo>
                                  <a:pt x="326402" y="1595285"/>
                                </a:lnTo>
                                <a:lnTo>
                                  <a:pt x="326402" y="1624253"/>
                                </a:lnTo>
                                <a:lnTo>
                                  <a:pt x="328726" y="1624253"/>
                                </a:lnTo>
                                <a:lnTo>
                                  <a:pt x="332752" y="1624253"/>
                                </a:lnTo>
                                <a:lnTo>
                                  <a:pt x="335076" y="1624253"/>
                                </a:lnTo>
                                <a:lnTo>
                                  <a:pt x="335076" y="1595678"/>
                                </a:lnTo>
                                <a:lnTo>
                                  <a:pt x="332752" y="1595678"/>
                                </a:lnTo>
                                <a:lnTo>
                                  <a:pt x="332752" y="1595285"/>
                                </a:lnTo>
                                <a:lnTo>
                                  <a:pt x="4892599" y="1595285"/>
                                </a:lnTo>
                                <a:lnTo>
                                  <a:pt x="4892599" y="1588935"/>
                                </a:lnTo>
                                <a:close/>
                              </a:path>
                              <a:path w="5039360" h="1916430">
                                <a:moveTo>
                                  <a:pt x="4900841" y="1595678"/>
                                </a:moveTo>
                                <a:lnTo>
                                  <a:pt x="4894491" y="1595678"/>
                                </a:lnTo>
                                <a:lnTo>
                                  <a:pt x="4894491" y="1624253"/>
                                </a:lnTo>
                                <a:lnTo>
                                  <a:pt x="4900841" y="1624253"/>
                                </a:lnTo>
                                <a:lnTo>
                                  <a:pt x="4900841" y="1595678"/>
                                </a:lnTo>
                                <a:close/>
                              </a:path>
                              <a:path w="5039360" h="1916430">
                                <a:moveTo>
                                  <a:pt x="5039042" y="0"/>
                                </a:moveTo>
                                <a:lnTo>
                                  <a:pt x="5032692" y="0"/>
                                </a:lnTo>
                                <a:lnTo>
                                  <a:pt x="5032692" y="6591"/>
                                </a:lnTo>
                                <a:lnTo>
                                  <a:pt x="5032692" y="1909787"/>
                                </a:lnTo>
                                <a:lnTo>
                                  <a:pt x="6350" y="1909787"/>
                                </a:lnTo>
                                <a:lnTo>
                                  <a:pt x="6350" y="6591"/>
                                </a:lnTo>
                                <a:lnTo>
                                  <a:pt x="5032692" y="6591"/>
                                </a:lnTo>
                                <a:lnTo>
                                  <a:pt x="5032692" y="0"/>
                                </a:lnTo>
                                <a:lnTo>
                                  <a:pt x="0" y="0"/>
                                </a:lnTo>
                                <a:lnTo>
                                  <a:pt x="0" y="3810"/>
                                </a:lnTo>
                                <a:lnTo>
                                  <a:pt x="0" y="6350"/>
                                </a:lnTo>
                                <a:lnTo>
                                  <a:pt x="0" y="1910080"/>
                                </a:lnTo>
                                <a:lnTo>
                                  <a:pt x="0" y="1912620"/>
                                </a:lnTo>
                                <a:lnTo>
                                  <a:pt x="0" y="1916430"/>
                                </a:lnTo>
                                <a:lnTo>
                                  <a:pt x="5039042" y="1916430"/>
                                </a:lnTo>
                                <a:lnTo>
                                  <a:pt x="5039042" y="3416"/>
                                </a:lnTo>
                                <a:lnTo>
                                  <a:pt x="5039042" y="0"/>
                                </a:lnTo>
                                <a:close/>
                              </a:path>
                            </a:pathLst>
                          </a:custGeom>
                          <a:solidFill>
                            <a:srgbClr val="000000"/>
                          </a:solidFill>
                        </wps:spPr>
                        <wps:bodyPr wrap="square" lIns="0" tIns="0" rIns="0" bIns="0" rtlCol="0">
                          <a:prstTxWarp prst="textNoShape">
                            <a:avLst/>
                          </a:prstTxWarp>
                          <a:noAutofit/>
                        </wps:bodyPr>
                      </wps:wsp>
                      <wps:wsp>
                        <wps:cNvPr id="1147" name="Graphic 1147"/>
                        <wps:cNvSpPr/>
                        <wps:spPr>
                          <a:xfrm>
                            <a:off x="457514" y="356755"/>
                            <a:ext cx="4311015" cy="1229360"/>
                          </a:xfrm>
                          <a:custGeom>
                            <a:avLst/>
                            <a:gdLst/>
                            <a:ahLst/>
                            <a:cxnLst/>
                            <a:rect l="l" t="t" r="r" b="b"/>
                            <a:pathLst>
                              <a:path w="4311015" h="1229360">
                                <a:moveTo>
                                  <a:pt x="191071" y="0"/>
                                </a:moveTo>
                                <a:lnTo>
                                  <a:pt x="0" y="0"/>
                                </a:lnTo>
                                <a:lnTo>
                                  <a:pt x="0" y="1229220"/>
                                </a:lnTo>
                                <a:lnTo>
                                  <a:pt x="191071" y="1229220"/>
                                </a:lnTo>
                                <a:lnTo>
                                  <a:pt x="191071" y="0"/>
                                </a:lnTo>
                                <a:close/>
                              </a:path>
                              <a:path w="4311015" h="1229360">
                                <a:moveTo>
                                  <a:pt x="651192" y="249008"/>
                                </a:moveTo>
                                <a:lnTo>
                                  <a:pt x="460133" y="249008"/>
                                </a:lnTo>
                                <a:lnTo>
                                  <a:pt x="460133" y="1229220"/>
                                </a:lnTo>
                                <a:lnTo>
                                  <a:pt x="651192" y="1229220"/>
                                </a:lnTo>
                                <a:lnTo>
                                  <a:pt x="651192" y="249008"/>
                                </a:lnTo>
                                <a:close/>
                              </a:path>
                              <a:path w="4311015" h="1229360">
                                <a:moveTo>
                                  <a:pt x="1103998" y="406171"/>
                                </a:moveTo>
                                <a:lnTo>
                                  <a:pt x="912939" y="406171"/>
                                </a:lnTo>
                                <a:lnTo>
                                  <a:pt x="912939" y="1229220"/>
                                </a:lnTo>
                                <a:lnTo>
                                  <a:pt x="1103998" y="1229220"/>
                                </a:lnTo>
                                <a:lnTo>
                                  <a:pt x="1103998" y="406171"/>
                                </a:lnTo>
                                <a:close/>
                              </a:path>
                              <a:path w="4311015" h="1229360">
                                <a:moveTo>
                                  <a:pt x="1561998" y="433336"/>
                                </a:moveTo>
                                <a:lnTo>
                                  <a:pt x="1370939" y="433336"/>
                                </a:lnTo>
                                <a:lnTo>
                                  <a:pt x="1370939" y="1229220"/>
                                </a:lnTo>
                                <a:lnTo>
                                  <a:pt x="1561998" y="1229220"/>
                                </a:lnTo>
                                <a:lnTo>
                                  <a:pt x="1561998" y="433336"/>
                                </a:lnTo>
                                <a:close/>
                              </a:path>
                              <a:path w="4311015" h="1229360">
                                <a:moveTo>
                                  <a:pt x="2020595" y="450913"/>
                                </a:moveTo>
                                <a:lnTo>
                                  <a:pt x="1829536" y="450913"/>
                                </a:lnTo>
                                <a:lnTo>
                                  <a:pt x="1829536" y="1229220"/>
                                </a:lnTo>
                                <a:lnTo>
                                  <a:pt x="2020595" y="1229220"/>
                                </a:lnTo>
                                <a:lnTo>
                                  <a:pt x="2020595" y="450913"/>
                                </a:lnTo>
                                <a:close/>
                              </a:path>
                              <a:path w="4311015" h="1229360">
                                <a:moveTo>
                                  <a:pt x="2482189" y="793813"/>
                                </a:moveTo>
                                <a:lnTo>
                                  <a:pt x="2291130" y="793813"/>
                                </a:lnTo>
                                <a:lnTo>
                                  <a:pt x="2291130" y="1229220"/>
                                </a:lnTo>
                                <a:lnTo>
                                  <a:pt x="2482189" y="1229220"/>
                                </a:lnTo>
                                <a:lnTo>
                                  <a:pt x="2482189" y="793813"/>
                                </a:lnTo>
                                <a:close/>
                              </a:path>
                              <a:path w="4311015" h="1229360">
                                <a:moveTo>
                                  <a:pt x="2942488" y="820508"/>
                                </a:moveTo>
                                <a:lnTo>
                                  <a:pt x="2751429" y="820508"/>
                                </a:lnTo>
                                <a:lnTo>
                                  <a:pt x="2751429" y="1229220"/>
                                </a:lnTo>
                                <a:lnTo>
                                  <a:pt x="2942488" y="1229220"/>
                                </a:lnTo>
                                <a:lnTo>
                                  <a:pt x="2942488" y="820508"/>
                                </a:lnTo>
                                <a:close/>
                              </a:path>
                              <a:path w="4311015" h="1229360">
                                <a:moveTo>
                                  <a:pt x="3394392" y="1094016"/>
                                </a:moveTo>
                                <a:lnTo>
                                  <a:pt x="3203333" y="1094016"/>
                                </a:lnTo>
                                <a:lnTo>
                                  <a:pt x="3203333" y="1229220"/>
                                </a:lnTo>
                                <a:lnTo>
                                  <a:pt x="3394392" y="1229220"/>
                                </a:lnTo>
                                <a:lnTo>
                                  <a:pt x="3394392" y="1094016"/>
                                </a:lnTo>
                                <a:close/>
                              </a:path>
                              <a:path w="4311015" h="1229360">
                                <a:moveTo>
                                  <a:pt x="3853789" y="1143000"/>
                                </a:moveTo>
                                <a:lnTo>
                                  <a:pt x="3662730" y="1143000"/>
                                </a:lnTo>
                                <a:lnTo>
                                  <a:pt x="3662730" y="1229220"/>
                                </a:lnTo>
                                <a:lnTo>
                                  <a:pt x="3853789" y="1229220"/>
                                </a:lnTo>
                                <a:lnTo>
                                  <a:pt x="3853789" y="1143000"/>
                                </a:lnTo>
                                <a:close/>
                              </a:path>
                              <a:path w="4311015" h="1229360">
                                <a:moveTo>
                                  <a:pt x="4310989" y="1161364"/>
                                </a:moveTo>
                                <a:lnTo>
                                  <a:pt x="4119930" y="1161364"/>
                                </a:lnTo>
                                <a:lnTo>
                                  <a:pt x="4119930" y="1229220"/>
                                </a:lnTo>
                                <a:lnTo>
                                  <a:pt x="4310989" y="1229220"/>
                                </a:lnTo>
                                <a:lnTo>
                                  <a:pt x="4310989" y="1161364"/>
                                </a:lnTo>
                                <a:close/>
                              </a:path>
                            </a:pathLst>
                          </a:custGeom>
                          <a:solidFill>
                            <a:srgbClr val="2E614A"/>
                          </a:solidFill>
                        </wps:spPr>
                        <wps:bodyPr wrap="square" lIns="0" tIns="0" rIns="0" bIns="0" rtlCol="0">
                          <a:prstTxWarp prst="textNoShape">
                            <a:avLst/>
                          </a:prstTxWarp>
                          <a:noAutofit/>
                        </wps:bodyPr>
                      </wps:wsp>
                      <wps:wsp>
                        <wps:cNvPr id="1148" name="Textbox 1148"/>
                        <wps:cNvSpPr txBox="1"/>
                        <wps:spPr>
                          <a:xfrm>
                            <a:off x="3139333" y="1639142"/>
                            <a:ext cx="1729105" cy="102235"/>
                          </a:xfrm>
                          <a:prstGeom prst="rect">
                            <a:avLst/>
                          </a:prstGeom>
                        </wps:spPr>
                        <wps:txbx>
                          <w:txbxContent>
                            <w:p>
                              <w:pPr>
                                <w:tabs>
                                  <w:tab w:pos="1535" w:val="left" w:leader="none"/>
                                  <w:tab w:pos="2090" w:val="left" w:leader="none"/>
                                </w:tabs>
                                <w:spacing w:line="161" w:lineRule="exact" w:before="0"/>
                                <w:ind w:left="0" w:right="0" w:firstLine="0"/>
                                <w:jc w:val="left"/>
                                <w:rPr>
                                  <w:rFonts w:ascii="Arial MT"/>
                                  <w:sz w:val="14"/>
                                </w:rPr>
                              </w:pPr>
                              <w:r>
                                <w:rPr>
                                  <w:rFonts w:ascii="Arial MT"/>
                                  <w:w w:val="85"/>
                                  <w:sz w:val="14"/>
                                </w:rPr>
                                <w:t>Karnataka</w:t>
                              </w:r>
                              <w:r>
                                <w:rPr>
                                  <w:rFonts w:ascii="Arial MT"/>
                                  <w:spacing w:val="76"/>
                                  <w:w w:val="150"/>
                                  <w:sz w:val="14"/>
                                </w:rPr>
                                <w:t> </w:t>
                              </w:r>
                              <w:r>
                                <w:rPr>
                                  <w:rFonts w:ascii="Arial MT"/>
                                  <w:w w:val="85"/>
                                  <w:sz w:val="14"/>
                                </w:rPr>
                                <w:t>Tamil</w:t>
                              </w:r>
                              <w:r>
                                <w:rPr>
                                  <w:rFonts w:ascii="Arial MT"/>
                                  <w:spacing w:val="-4"/>
                                  <w:w w:val="85"/>
                                  <w:sz w:val="14"/>
                                </w:rPr>
                                <w:t> Nadu</w:t>
                              </w:r>
                              <w:r>
                                <w:rPr>
                                  <w:rFonts w:ascii="Arial MT"/>
                                  <w:sz w:val="14"/>
                                </w:rPr>
                                <w:tab/>
                              </w:r>
                              <w:r>
                                <w:rPr>
                                  <w:rFonts w:ascii="Arial MT"/>
                                  <w:spacing w:val="-2"/>
                                  <w:w w:val="90"/>
                                  <w:sz w:val="14"/>
                                </w:rPr>
                                <w:t>Kerala</w:t>
                              </w:r>
                              <w:r>
                                <w:rPr>
                                  <w:rFonts w:ascii="Arial MT"/>
                                  <w:sz w:val="14"/>
                                </w:rPr>
                                <w:tab/>
                              </w:r>
                              <w:r>
                                <w:rPr>
                                  <w:rFonts w:ascii="Arial MT"/>
                                  <w:spacing w:val="-2"/>
                                  <w:w w:val="85"/>
                                  <w:sz w:val="14"/>
                                </w:rPr>
                                <w:t>Pondicherry</w:t>
                              </w:r>
                            </w:p>
                          </w:txbxContent>
                        </wps:txbx>
                        <wps:bodyPr wrap="square" lIns="0" tIns="0" rIns="0" bIns="0" rtlCol="0">
                          <a:noAutofit/>
                        </wps:bodyPr>
                      </wps:wsp>
                      <wps:wsp>
                        <wps:cNvPr id="1149" name="Textbox 1149"/>
                        <wps:cNvSpPr txBox="1"/>
                        <wps:spPr>
                          <a:xfrm>
                            <a:off x="2709741" y="1639142"/>
                            <a:ext cx="284480" cy="208915"/>
                          </a:xfrm>
                          <a:prstGeom prst="rect">
                            <a:avLst/>
                          </a:prstGeom>
                        </wps:spPr>
                        <wps:txbx>
                          <w:txbxContent>
                            <w:p>
                              <w:pPr>
                                <w:spacing w:line="249" w:lineRule="auto" w:before="0"/>
                                <w:ind w:left="0" w:right="0" w:firstLine="28"/>
                                <w:jc w:val="left"/>
                                <w:rPr>
                                  <w:rFonts w:ascii="Arial MT"/>
                                  <w:sz w:val="14"/>
                                </w:rPr>
                              </w:pPr>
                              <w:r>
                                <w:rPr>
                                  <w:rFonts w:ascii="Arial MT"/>
                                  <w:spacing w:val="-2"/>
                                  <w:w w:val="85"/>
                                  <w:sz w:val="14"/>
                                </w:rPr>
                                <w:t>Andhra</w:t>
                              </w:r>
                              <w:r>
                                <w:rPr>
                                  <w:rFonts w:ascii="Arial MT"/>
                                  <w:spacing w:val="40"/>
                                  <w:sz w:val="14"/>
                                </w:rPr>
                                <w:t> </w:t>
                              </w:r>
                              <w:r>
                                <w:rPr>
                                  <w:rFonts w:ascii="Arial MT"/>
                                  <w:spacing w:val="-2"/>
                                  <w:w w:val="80"/>
                                  <w:sz w:val="14"/>
                                </w:rPr>
                                <w:t>Pradesh</w:t>
                              </w:r>
                            </w:p>
                          </w:txbxContent>
                        </wps:txbx>
                        <wps:bodyPr wrap="square" lIns="0" tIns="0" rIns="0" bIns="0" rtlCol="0">
                          <a:noAutofit/>
                        </wps:bodyPr>
                      </wps:wsp>
                      <wps:wsp>
                        <wps:cNvPr id="1150" name="Textbox 1150"/>
                        <wps:cNvSpPr txBox="1"/>
                        <wps:spPr>
                          <a:xfrm>
                            <a:off x="2241099" y="1639142"/>
                            <a:ext cx="34099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Rajasthan</w:t>
                              </w:r>
                            </w:p>
                          </w:txbxContent>
                        </wps:txbx>
                        <wps:bodyPr wrap="square" lIns="0" tIns="0" rIns="0" bIns="0" rtlCol="0">
                          <a:noAutofit/>
                        </wps:bodyPr>
                      </wps:wsp>
                      <wps:wsp>
                        <wps:cNvPr id="1151" name="Textbox 1151"/>
                        <wps:cNvSpPr txBox="1"/>
                        <wps:spPr>
                          <a:xfrm>
                            <a:off x="1804491" y="1639142"/>
                            <a:ext cx="284480" cy="208915"/>
                          </a:xfrm>
                          <a:prstGeom prst="rect">
                            <a:avLst/>
                          </a:prstGeom>
                        </wps:spPr>
                        <wps:txbx>
                          <w:txbxContent>
                            <w:p>
                              <w:pPr>
                                <w:spacing w:line="249" w:lineRule="auto" w:before="0"/>
                                <w:ind w:left="0" w:right="0" w:firstLine="89"/>
                                <w:jc w:val="left"/>
                                <w:rPr>
                                  <w:rFonts w:ascii="Arial MT"/>
                                  <w:sz w:val="14"/>
                                </w:rPr>
                              </w:pPr>
                              <w:r>
                                <w:rPr>
                                  <w:rFonts w:ascii="Arial MT"/>
                                  <w:spacing w:val="-2"/>
                                  <w:w w:val="90"/>
                                  <w:sz w:val="14"/>
                                </w:rPr>
                                <w:t>Uttar</w:t>
                              </w:r>
                              <w:r>
                                <w:rPr>
                                  <w:rFonts w:ascii="Arial MT"/>
                                  <w:spacing w:val="40"/>
                                  <w:sz w:val="14"/>
                                </w:rPr>
                                <w:t> </w:t>
                              </w:r>
                              <w:r>
                                <w:rPr>
                                  <w:rFonts w:ascii="Arial MT"/>
                                  <w:spacing w:val="-2"/>
                                  <w:w w:val="80"/>
                                  <w:sz w:val="14"/>
                                </w:rPr>
                                <w:t>Pradesh</w:t>
                              </w:r>
                            </w:p>
                          </w:txbxContent>
                        </wps:txbx>
                        <wps:bodyPr wrap="square" lIns="0" tIns="0" rIns="0" bIns="0" rtlCol="0">
                          <a:noAutofit/>
                        </wps:bodyPr>
                      </wps:wsp>
                      <wps:wsp>
                        <wps:cNvPr id="1152" name="Textbox 1152"/>
                        <wps:cNvSpPr txBox="1"/>
                        <wps:spPr>
                          <a:xfrm>
                            <a:off x="1319175" y="1639142"/>
                            <a:ext cx="35369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Jharkhand</w:t>
                              </w:r>
                            </w:p>
                          </w:txbxContent>
                        </wps:txbx>
                        <wps:bodyPr wrap="square" lIns="0" tIns="0" rIns="0" bIns="0" rtlCol="0">
                          <a:noAutofit/>
                        </wps:bodyPr>
                      </wps:wsp>
                      <wps:wsp>
                        <wps:cNvPr id="1153" name="Textbox 1153"/>
                        <wps:cNvSpPr txBox="1"/>
                        <wps:spPr>
                          <a:xfrm>
                            <a:off x="842674" y="1639142"/>
                            <a:ext cx="340995" cy="208915"/>
                          </a:xfrm>
                          <a:prstGeom prst="rect">
                            <a:avLst/>
                          </a:prstGeom>
                        </wps:spPr>
                        <wps:txbx>
                          <w:txbxContent>
                            <w:p>
                              <w:pPr>
                                <w:spacing w:line="249" w:lineRule="auto" w:before="0"/>
                                <w:ind w:left="44" w:right="17" w:hanging="45"/>
                                <w:jc w:val="left"/>
                                <w:rPr>
                                  <w:rFonts w:ascii="Arial MT"/>
                                  <w:sz w:val="14"/>
                                </w:rPr>
                              </w:pPr>
                              <w:r>
                                <w:rPr>
                                  <w:rFonts w:ascii="Arial MT"/>
                                  <w:spacing w:val="-2"/>
                                  <w:w w:val="80"/>
                                  <w:sz w:val="14"/>
                                </w:rPr>
                                <w:t>Arunachal</w:t>
                              </w:r>
                              <w:r>
                                <w:rPr>
                                  <w:rFonts w:ascii="Arial MT"/>
                                  <w:spacing w:val="40"/>
                                  <w:sz w:val="14"/>
                                </w:rPr>
                                <w:t> </w:t>
                              </w:r>
                              <w:r>
                                <w:rPr>
                                  <w:rFonts w:ascii="Arial MT"/>
                                  <w:spacing w:val="-2"/>
                                  <w:w w:val="90"/>
                                  <w:sz w:val="14"/>
                                </w:rPr>
                                <w:t>Pradesh</w:t>
                              </w:r>
                            </w:p>
                          </w:txbxContent>
                        </wps:txbx>
                        <wps:bodyPr wrap="square" lIns="0" tIns="0" rIns="0" bIns="0" rtlCol="0">
                          <a:noAutofit/>
                        </wps:bodyPr>
                      </wps:wsp>
                      <wps:wsp>
                        <wps:cNvPr id="1154" name="Textbox 1154"/>
                        <wps:cNvSpPr txBox="1"/>
                        <wps:spPr>
                          <a:xfrm>
                            <a:off x="458170" y="1639142"/>
                            <a:ext cx="18288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Bihar</w:t>
                              </w:r>
                            </w:p>
                          </w:txbxContent>
                        </wps:txbx>
                        <wps:bodyPr wrap="square" lIns="0" tIns="0" rIns="0" bIns="0" rtlCol="0">
                          <a:noAutofit/>
                        </wps:bodyPr>
                      </wps:wsp>
                      <wps:wsp>
                        <wps:cNvPr id="1155" name="Textbox 1155"/>
                        <wps:cNvSpPr txBox="1"/>
                        <wps:spPr>
                          <a:xfrm>
                            <a:off x="4610546" y="1370341"/>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2.1</w:t>
                              </w:r>
                            </w:p>
                          </w:txbxContent>
                        </wps:txbx>
                        <wps:bodyPr wrap="square" lIns="0" tIns="0" rIns="0" bIns="0" rtlCol="0">
                          <a:noAutofit/>
                        </wps:bodyPr>
                      </wps:wsp>
                      <wps:wsp>
                        <wps:cNvPr id="1156" name="Textbox 1156"/>
                        <wps:cNvSpPr txBox="1"/>
                        <wps:spPr>
                          <a:xfrm>
                            <a:off x="4163396" y="1343341"/>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2.4</w:t>
                              </w:r>
                            </w:p>
                          </w:txbxContent>
                        </wps:txbx>
                        <wps:bodyPr wrap="square" lIns="0" tIns="0" rIns="0" bIns="0" rtlCol="0">
                          <a:noAutofit/>
                        </wps:bodyPr>
                      </wps:wsp>
                      <wps:wsp>
                        <wps:cNvPr id="1157" name="Textbox 1157"/>
                        <wps:cNvSpPr txBox="1"/>
                        <wps:spPr>
                          <a:xfrm>
                            <a:off x="3696146" y="1289891"/>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3.9</w:t>
                              </w:r>
                            </w:p>
                          </w:txbxContent>
                        </wps:txbx>
                        <wps:bodyPr wrap="square" lIns="0" tIns="0" rIns="0" bIns="0" rtlCol="0">
                          <a:noAutofit/>
                        </wps:bodyPr>
                      </wps:wsp>
                      <wps:wsp>
                        <wps:cNvPr id="1158" name="Textbox 1158"/>
                        <wps:cNvSpPr txBox="1"/>
                        <wps:spPr>
                          <a:xfrm>
                            <a:off x="3240395" y="1024791"/>
                            <a:ext cx="1498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11.7</w:t>
                              </w:r>
                            </w:p>
                          </w:txbxContent>
                        </wps:txbx>
                        <wps:bodyPr wrap="square" lIns="0" tIns="0" rIns="0" bIns="0" rtlCol="0">
                          <a:noAutofit/>
                        </wps:bodyPr>
                      </wps:wsp>
                      <wps:wsp>
                        <wps:cNvPr id="1159" name="Textbox 1159"/>
                        <wps:cNvSpPr txBox="1"/>
                        <wps:spPr>
                          <a:xfrm>
                            <a:off x="2780524" y="997791"/>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12.4</w:t>
                              </w:r>
                            </w:p>
                          </w:txbxContent>
                        </wps:txbx>
                        <wps:bodyPr wrap="square" lIns="0" tIns="0" rIns="0" bIns="0" rtlCol="0">
                          <a:noAutofit/>
                        </wps:bodyPr>
                      </wps:wsp>
                      <wps:wsp>
                        <wps:cNvPr id="1160" name="Textbox 1160"/>
                        <wps:cNvSpPr txBox="1"/>
                        <wps:spPr>
                          <a:xfrm>
                            <a:off x="2328332" y="680291"/>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22</w:t>
                              </w:r>
                            </w:p>
                          </w:txbxContent>
                        </wps:txbx>
                        <wps:bodyPr wrap="square" lIns="0" tIns="0" rIns="0" bIns="0" rtlCol="0">
                          <a:noAutofit/>
                        </wps:bodyPr>
                      </wps:wsp>
                      <wps:wsp>
                        <wps:cNvPr id="1161" name="Textbox 1161"/>
                        <wps:cNvSpPr txBox="1"/>
                        <wps:spPr>
                          <a:xfrm>
                            <a:off x="1859774" y="629491"/>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22.5</w:t>
                              </w:r>
                            </w:p>
                          </w:txbxContent>
                        </wps:txbx>
                        <wps:bodyPr wrap="square" lIns="0" tIns="0" rIns="0" bIns="0" rtlCol="0">
                          <a:noAutofit/>
                        </wps:bodyPr>
                      </wps:wsp>
                      <wps:wsp>
                        <wps:cNvPr id="1162" name="Textbox 1162"/>
                        <wps:cNvSpPr txBox="1"/>
                        <wps:spPr>
                          <a:xfrm>
                            <a:off x="1408924" y="591391"/>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23.3</w:t>
                              </w:r>
                            </w:p>
                          </w:txbxContent>
                        </wps:txbx>
                        <wps:bodyPr wrap="square" lIns="0" tIns="0" rIns="0" bIns="0" rtlCol="0">
                          <a:noAutofit/>
                        </wps:bodyPr>
                      </wps:wsp>
                      <wps:wsp>
                        <wps:cNvPr id="1163" name="Textbox 1163"/>
                        <wps:cNvSpPr txBox="1"/>
                        <wps:spPr>
                          <a:xfrm>
                            <a:off x="926324" y="438991"/>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27.9</w:t>
                              </w:r>
                            </w:p>
                          </w:txbxContent>
                        </wps:txbx>
                        <wps:bodyPr wrap="square" lIns="0" tIns="0" rIns="0" bIns="0" rtlCol="0">
                          <a:noAutofit/>
                        </wps:bodyPr>
                      </wps:wsp>
                      <wps:wsp>
                        <wps:cNvPr id="1164" name="Textbox 1164"/>
                        <wps:cNvSpPr txBox="1"/>
                        <wps:spPr>
                          <a:xfrm>
                            <a:off x="491875" y="208291"/>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34.8</w:t>
                              </w:r>
                            </w:p>
                          </w:txbxContent>
                        </wps:txbx>
                        <wps:bodyPr wrap="square" lIns="0" tIns="0" rIns="0" bIns="0" rtlCol="0">
                          <a:noAutofit/>
                        </wps:bodyPr>
                      </wps:wsp>
                      <wps:wsp>
                        <wps:cNvPr id="1165" name="Textbox 1165"/>
                        <wps:cNvSpPr txBox="1"/>
                        <wps:spPr>
                          <a:xfrm>
                            <a:off x="173305" y="124131"/>
                            <a:ext cx="105410" cy="1539240"/>
                          </a:xfrm>
                          <a:prstGeom prst="rect">
                            <a:avLst/>
                          </a:prstGeom>
                        </wps:spPr>
                        <wps:txbx>
                          <w:txbxContent>
                            <w:p>
                              <w:pPr>
                                <w:spacing w:line="184" w:lineRule="exact" w:before="0"/>
                                <w:ind w:left="0" w:right="0" w:firstLine="0"/>
                                <w:jc w:val="left"/>
                                <w:rPr>
                                  <w:rFonts w:ascii="Arial MT"/>
                                  <w:sz w:val="16"/>
                                </w:rPr>
                              </w:pPr>
                              <w:r>
                                <w:rPr>
                                  <w:rFonts w:ascii="Arial MT"/>
                                  <w:spacing w:val="-5"/>
                                  <w:w w:val="90"/>
                                  <w:sz w:val="16"/>
                                </w:rPr>
                                <w:t>40</w:t>
                              </w:r>
                            </w:p>
                            <w:p>
                              <w:pPr>
                                <w:spacing w:before="96"/>
                                <w:ind w:left="0" w:right="0" w:firstLine="0"/>
                                <w:jc w:val="left"/>
                                <w:rPr>
                                  <w:rFonts w:ascii="Arial MT"/>
                                  <w:sz w:val="16"/>
                                </w:rPr>
                              </w:pPr>
                              <w:r>
                                <w:rPr>
                                  <w:rFonts w:ascii="Arial MT"/>
                                  <w:spacing w:val="-5"/>
                                  <w:w w:val="90"/>
                                  <w:sz w:val="16"/>
                                </w:rPr>
                                <w:t>35</w:t>
                              </w:r>
                            </w:p>
                            <w:p>
                              <w:pPr>
                                <w:spacing w:before="96"/>
                                <w:ind w:left="0" w:right="0" w:firstLine="0"/>
                                <w:jc w:val="left"/>
                                <w:rPr>
                                  <w:rFonts w:ascii="Arial MT"/>
                                  <w:sz w:val="16"/>
                                </w:rPr>
                              </w:pPr>
                              <w:r>
                                <w:rPr>
                                  <w:rFonts w:ascii="Arial MT"/>
                                  <w:spacing w:val="-5"/>
                                  <w:w w:val="90"/>
                                  <w:sz w:val="16"/>
                                </w:rPr>
                                <w:t>30</w:t>
                              </w:r>
                            </w:p>
                            <w:p>
                              <w:pPr>
                                <w:spacing w:before="96"/>
                                <w:ind w:left="0" w:right="0" w:firstLine="0"/>
                                <w:jc w:val="left"/>
                                <w:rPr>
                                  <w:rFonts w:ascii="Arial MT"/>
                                  <w:sz w:val="16"/>
                                </w:rPr>
                              </w:pPr>
                              <w:r>
                                <w:rPr>
                                  <w:rFonts w:ascii="Arial MT"/>
                                  <w:spacing w:val="-5"/>
                                  <w:w w:val="90"/>
                                  <w:sz w:val="16"/>
                                </w:rPr>
                                <w:t>25</w:t>
                              </w:r>
                            </w:p>
                            <w:p>
                              <w:pPr>
                                <w:spacing w:before="96"/>
                                <w:ind w:left="0" w:right="0" w:firstLine="0"/>
                                <w:jc w:val="left"/>
                                <w:rPr>
                                  <w:rFonts w:ascii="Arial MT"/>
                                  <w:sz w:val="16"/>
                                </w:rPr>
                              </w:pPr>
                              <w:r>
                                <w:rPr>
                                  <w:rFonts w:ascii="Arial MT"/>
                                  <w:spacing w:val="-5"/>
                                  <w:w w:val="90"/>
                                  <w:sz w:val="16"/>
                                </w:rPr>
                                <w:t>20</w:t>
                              </w:r>
                            </w:p>
                            <w:p>
                              <w:pPr>
                                <w:spacing w:before="96"/>
                                <w:ind w:left="0" w:right="0" w:firstLine="0"/>
                                <w:jc w:val="left"/>
                                <w:rPr>
                                  <w:rFonts w:ascii="Arial MT"/>
                                  <w:sz w:val="16"/>
                                </w:rPr>
                              </w:pPr>
                              <w:r>
                                <w:rPr>
                                  <w:rFonts w:ascii="Arial MT"/>
                                  <w:spacing w:val="-5"/>
                                  <w:w w:val="90"/>
                                  <w:sz w:val="16"/>
                                </w:rPr>
                                <w:t>15</w:t>
                              </w:r>
                            </w:p>
                            <w:p>
                              <w:pPr>
                                <w:spacing w:before="96"/>
                                <w:ind w:left="0" w:right="0" w:firstLine="0"/>
                                <w:jc w:val="left"/>
                                <w:rPr>
                                  <w:rFonts w:ascii="Arial MT"/>
                                  <w:sz w:val="16"/>
                                </w:rPr>
                              </w:pPr>
                              <w:r>
                                <w:rPr>
                                  <w:rFonts w:ascii="Arial MT"/>
                                  <w:spacing w:val="-5"/>
                                  <w:w w:val="90"/>
                                  <w:sz w:val="16"/>
                                </w:rPr>
                                <w:t>10</w:t>
                              </w:r>
                            </w:p>
                            <w:p>
                              <w:pPr>
                                <w:spacing w:before="96"/>
                                <w:ind w:left="72" w:right="0" w:firstLine="0"/>
                                <w:jc w:val="left"/>
                                <w:rPr>
                                  <w:rFonts w:ascii="Arial MT"/>
                                  <w:sz w:val="16"/>
                                </w:rPr>
                              </w:pPr>
                              <w:r>
                                <w:rPr>
                                  <w:rFonts w:ascii="Arial MT"/>
                                  <w:spacing w:val="-10"/>
                                  <w:w w:val="90"/>
                                  <w:sz w:val="16"/>
                                </w:rPr>
                                <w:t>5</w:t>
                              </w:r>
                            </w:p>
                            <w:p>
                              <w:pPr>
                                <w:spacing w:before="96"/>
                                <w:ind w:left="72" w:right="0" w:firstLine="0"/>
                                <w:jc w:val="left"/>
                                <w:rPr>
                                  <w:rFonts w:ascii="Arial MT"/>
                                  <w:sz w:val="16"/>
                                </w:rPr>
                              </w:pPr>
                              <w:r>
                                <w:rPr>
                                  <w:rFonts w:ascii="Arial MT"/>
                                  <w:spacing w:val="-10"/>
                                  <w:w w:val="90"/>
                                  <w:sz w:val="16"/>
                                </w:rPr>
                                <w:t>0</w:t>
                              </w:r>
                            </w:p>
                          </w:txbxContent>
                        </wps:txbx>
                        <wps:bodyPr wrap="square" lIns="0" tIns="0" rIns="0" bIns="0" rtlCol="0">
                          <a:noAutofit/>
                        </wps:bodyPr>
                      </wps:wsp>
                    </wpg:wgp>
                  </a:graphicData>
                </a:graphic>
              </wp:anchor>
            </w:drawing>
          </mc:Choice>
          <mc:Fallback>
            <w:pict>
              <v:group style="position:absolute;margin-left:100.316277pt;margin-top:6.369531pt;width:396.8pt;height:150.9pt;mso-position-horizontal-relative:page;mso-position-vertical-relative:paragraph;z-index:-15657984;mso-wrap-distance-left:0;mso-wrap-distance-right:0" id="docshapegroup1133" coordorigin="2006,127" coordsize="7936,3018">
                <v:shape style="position:absolute;left:2006;top:127;width:7936;height:3018" id="docshape1134" coordorigin="2006,127" coordsize="7936,3018" path="m3253,2640l3243,2640,3243,2685,3253,2685,3253,2640xm3972,2640l3962,2640,3962,2685,3972,2685,3972,2640xm4691,2640l4681,2640,4681,2685,4691,2685,4691,2640xm5410,2640l5400,2640,5400,2685,5410,2685,5410,2640xm6129,2640l6119,2640,6119,2685,6129,2685,6129,2640xm6848,2640l6838,2640,6838,2685,6848,2685,6848,2640xm7567,2640l7557,2640,7557,2685,7567,2685,7567,2640xm8286,2640l8276,2640,8276,2685,8286,2685,8286,2640xm9005,2640l8995,2640,8995,2685,9005,2685,9005,2640xm9711,2630l2530,2630,2530,396,2520,396,2520,2630,2461,2630,2461,2640,2520,2640,2520,2685,2524,2685,2530,2685,2534,2685,2534,2640,2530,2640,2530,2640,9711,2640,9711,2630xm9724,2640l9714,2640,9714,2685,9724,2685,9724,2640xm9942,127l9932,127,9932,138,9932,3135,2016,3135,2016,138,9932,138,9932,127,2006,127,2006,133,2006,137,2006,3135,2006,3139,2006,3145,9942,3145,9942,3140,9942,3139,9942,3135,9942,3135,9942,138,9942,137,9942,133,9942,133,9942,127xe" filled="true" fillcolor="#000000" stroked="false">
                  <v:path arrowok="t"/>
                  <v:fill type="solid"/>
                </v:shape>
                <v:shape style="position:absolute;left:2726;top:689;width:6789;height:1936" id="docshape1135" coordorigin="2727,689" coordsize="6789,1936" path="m3028,689l2727,689,2727,2625,3028,2625,3028,689xm3752,1081l3451,1081,3451,2625,3752,2625,3752,1081xm4465,1329l4165,1329,4165,2625,4465,2625,4465,1329xm5187,1372l4886,1372,4886,2625,5187,2625,5187,1372xm5909,1399l5608,1399,5608,2625,5909,2625,5909,1399xm6636,1939l6335,1939,6335,2625,6636,2625,6636,1939xm7361,1981l7060,1981,7060,2625,7361,2625,7361,1981xm8072,2412l7771,2412,7771,2625,8072,2625,8072,2412xm8796,2489l8495,2489,8495,2625,8796,2625,8796,2489xm9516,2518l9215,2518,9215,2625,9516,2625,9516,2518xe" filled="true" fillcolor="#2e614a" stroked="false">
                  <v:path arrowok="t"/>
                  <v:fill type="solid"/>
                </v:shape>
                <v:shape style="position:absolute;left:6950;top:2708;width:2723;height:161" type="#_x0000_t202" id="docshape1136" filled="false" stroked="false">
                  <v:textbox inset="0,0,0,0">
                    <w:txbxContent>
                      <w:p>
                        <w:pPr>
                          <w:tabs>
                            <w:tab w:pos="1535" w:val="left" w:leader="none"/>
                            <w:tab w:pos="2090" w:val="left" w:leader="none"/>
                          </w:tabs>
                          <w:spacing w:line="161" w:lineRule="exact" w:before="0"/>
                          <w:ind w:left="0" w:right="0" w:firstLine="0"/>
                          <w:jc w:val="left"/>
                          <w:rPr>
                            <w:rFonts w:ascii="Arial MT"/>
                            <w:sz w:val="14"/>
                          </w:rPr>
                        </w:pPr>
                        <w:r>
                          <w:rPr>
                            <w:rFonts w:ascii="Arial MT"/>
                            <w:w w:val="85"/>
                            <w:sz w:val="14"/>
                          </w:rPr>
                          <w:t>Karnataka</w:t>
                        </w:r>
                        <w:r>
                          <w:rPr>
                            <w:rFonts w:ascii="Arial MT"/>
                            <w:spacing w:val="76"/>
                            <w:w w:val="150"/>
                            <w:sz w:val="14"/>
                          </w:rPr>
                          <w:t> </w:t>
                        </w:r>
                        <w:r>
                          <w:rPr>
                            <w:rFonts w:ascii="Arial MT"/>
                            <w:w w:val="85"/>
                            <w:sz w:val="14"/>
                          </w:rPr>
                          <w:t>Tamil</w:t>
                        </w:r>
                        <w:r>
                          <w:rPr>
                            <w:rFonts w:ascii="Arial MT"/>
                            <w:spacing w:val="-4"/>
                            <w:w w:val="85"/>
                            <w:sz w:val="14"/>
                          </w:rPr>
                          <w:t> Nadu</w:t>
                        </w:r>
                        <w:r>
                          <w:rPr>
                            <w:rFonts w:ascii="Arial MT"/>
                            <w:sz w:val="14"/>
                          </w:rPr>
                          <w:tab/>
                        </w:r>
                        <w:r>
                          <w:rPr>
                            <w:rFonts w:ascii="Arial MT"/>
                            <w:spacing w:val="-2"/>
                            <w:w w:val="90"/>
                            <w:sz w:val="14"/>
                          </w:rPr>
                          <w:t>Kerala</w:t>
                        </w:r>
                        <w:r>
                          <w:rPr>
                            <w:rFonts w:ascii="Arial MT"/>
                            <w:sz w:val="14"/>
                          </w:rPr>
                          <w:tab/>
                        </w:r>
                        <w:r>
                          <w:rPr>
                            <w:rFonts w:ascii="Arial MT"/>
                            <w:spacing w:val="-2"/>
                            <w:w w:val="85"/>
                            <w:sz w:val="14"/>
                          </w:rPr>
                          <w:t>Pondicherry</w:t>
                        </w:r>
                      </w:p>
                    </w:txbxContent>
                  </v:textbox>
                  <w10:wrap type="none"/>
                </v:shape>
                <v:shape style="position:absolute;left:6273;top:2708;width:448;height:329" type="#_x0000_t202" id="docshape1137" filled="false" stroked="false">
                  <v:textbox inset="0,0,0,0">
                    <w:txbxContent>
                      <w:p>
                        <w:pPr>
                          <w:spacing w:line="249" w:lineRule="auto" w:before="0"/>
                          <w:ind w:left="0" w:right="0" w:firstLine="28"/>
                          <w:jc w:val="left"/>
                          <w:rPr>
                            <w:rFonts w:ascii="Arial MT"/>
                            <w:sz w:val="14"/>
                          </w:rPr>
                        </w:pPr>
                        <w:r>
                          <w:rPr>
                            <w:rFonts w:ascii="Arial MT"/>
                            <w:spacing w:val="-2"/>
                            <w:w w:val="85"/>
                            <w:sz w:val="14"/>
                          </w:rPr>
                          <w:t>Andhra</w:t>
                        </w:r>
                        <w:r>
                          <w:rPr>
                            <w:rFonts w:ascii="Arial MT"/>
                            <w:spacing w:val="40"/>
                            <w:sz w:val="14"/>
                          </w:rPr>
                          <w:t> </w:t>
                        </w:r>
                        <w:r>
                          <w:rPr>
                            <w:rFonts w:ascii="Arial MT"/>
                            <w:spacing w:val="-2"/>
                            <w:w w:val="80"/>
                            <w:sz w:val="14"/>
                          </w:rPr>
                          <w:t>Pradesh</w:t>
                        </w:r>
                      </w:p>
                    </w:txbxContent>
                  </v:textbox>
                  <w10:wrap type="none"/>
                </v:shape>
                <v:shape style="position:absolute;left:5535;top:2708;width:537;height:161" type="#_x0000_t202" id="docshape1138" filled="false" stroked="false">
                  <v:textbox inset="0,0,0,0">
                    <w:txbxContent>
                      <w:p>
                        <w:pPr>
                          <w:spacing w:line="161" w:lineRule="exact" w:before="0"/>
                          <w:ind w:left="0" w:right="0" w:firstLine="0"/>
                          <w:jc w:val="left"/>
                          <w:rPr>
                            <w:rFonts w:ascii="Arial MT"/>
                            <w:sz w:val="14"/>
                          </w:rPr>
                        </w:pPr>
                        <w:r>
                          <w:rPr>
                            <w:rFonts w:ascii="Arial MT"/>
                            <w:spacing w:val="-2"/>
                            <w:w w:val="85"/>
                            <w:sz w:val="14"/>
                          </w:rPr>
                          <w:t>Rajasthan</w:t>
                        </w:r>
                      </w:p>
                    </w:txbxContent>
                  </v:textbox>
                  <w10:wrap type="none"/>
                </v:shape>
                <v:shape style="position:absolute;left:4848;top:2708;width:448;height:329" type="#_x0000_t202" id="docshape1139" filled="false" stroked="false">
                  <v:textbox inset="0,0,0,0">
                    <w:txbxContent>
                      <w:p>
                        <w:pPr>
                          <w:spacing w:line="249" w:lineRule="auto" w:before="0"/>
                          <w:ind w:left="0" w:right="0" w:firstLine="89"/>
                          <w:jc w:val="left"/>
                          <w:rPr>
                            <w:rFonts w:ascii="Arial MT"/>
                            <w:sz w:val="14"/>
                          </w:rPr>
                        </w:pPr>
                        <w:r>
                          <w:rPr>
                            <w:rFonts w:ascii="Arial MT"/>
                            <w:spacing w:val="-2"/>
                            <w:w w:val="90"/>
                            <w:sz w:val="14"/>
                          </w:rPr>
                          <w:t>Uttar</w:t>
                        </w:r>
                        <w:r>
                          <w:rPr>
                            <w:rFonts w:ascii="Arial MT"/>
                            <w:spacing w:val="40"/>
                            <w:sz w:val="14"/>
                          </w:rPr>
                          <w:t> </w:t>
                        </w:r>
                        <w:r>
                          <w:rPr>
                            <w:rFonts w:ascii="Arial MT"/>
                            <w:spacing w:val="-2"/>
                            <w:w w:val="80"/>
                            <w:sz w:val="14"/>
                          </w:rPr>
                          <w:t>Pradesh</w:t>
                        </w:r>
                      </w:p>
                    </w:txbxContent>
                  </v:textbox>
                  <w10:wrap type="none"/>
                </v:shape>
                <v:shape style="position:absolute;left:4083;top:2708;width:557;height:161" type="#_x0000_t202" id="docshape1140" filled="false" stroked="false">
                  <v:textbox inset="0,0,0,0">
                    <w:txbxContent>
                      <w:p>
                        <w:pPr>
                          <w:spacing w:line="161" w:lineRule="exact" w:before="0"/>
                          <w:ind w:left="0" w:right="0" w:firstLine="0"/>
                          <w:jc w:val="left"/>
                          <w:rPr>
                            <w:rFonts w:ascii="Arial MT"/>
                            <w:sz w:val="14"/>
                          </w:rPr>
                        </w:pPr>
                        <w:r>
                          <w:rPr>
                            <w:rFonts w:ascii="Arial MT"/>
                            <w:spacing w:val="-2"/>
                            <w:w w:val="85"/>
                            <w:sz w:val="14"/>
                          </w:rPr>
                          <w:t>Jharkhand</w:t>
                        </w:r>
                      </w:p>
                    </w:txbxContent>
                  </v:textbox>
                  <w10:wrap type="none"/>
                </v:shape>
                <v:shape style="position:absolute;left:3333;top:2708;width:537;height:329" type="#_x0000_t202" id="docshape1141" filled="false" stroked="false">
                  <v:textbox inset="0,0,0,0">
                    <w:txbxContent>
                      <w:p>
                        <w:pPr>
                          <w:spacing w:line="249" w:lineRule="auto" w:before="0"/>
                          <w:ind w:left="44" w:right="17" w:hanging="45"/>
                          <w:jc w:val="left"/>
                          <w:rPr>
                            <w:rFonts w:ascii="Arial MT"/>
                            <w:sz w:val="14"/>
                          </w:rPr>
                        </w:pPr>
                        <w:r>
                          <w:rPr>
                            <w:rFonts w:ascii="Arial MT"/>
                            <w:spacing w:val="-2"/>
                            <w:w w:val="80"/>
                            <w:sz w:val="14"/>
                          </w:rPr>
                          <w:t>Arunachal</w:t>
                        </w:r>
                        <w:r>
                          <w:rPr>
                            <w:rFonts w:ascii="Arial MT"/>
                            <w:spacing w:val="40"/>
                            <w:sz w:val="14"/>
                          </w:rPr>
                          <w:t> </w:t>
                        </w:r>
                        <w:r>
                          <w:rPr>
                            <w:rFonts w:ascii="Arial MT"/>
                            <w:spacing w:val="-2"/>
                            <w:w w:val="90"/>
                            <w:sz w:val="14"/>
                          </w:rPr>
                          <w:t>Pradesh</w:t>
                        </w:r>
                      </w:p>
                    </w:txbxContent>
                  </v:textbox>
                  <w10:wrap type="none"/>
                </v:shape>
                <v:shape style="position:absolute;left:2727;top:2708;width:288;height:161" type="#_x0000_t202" id="docshape1142" filled="false" stroked="false">
                  <v:textbox inset="0,0,0,0">
                    <w:txbxContent>
                      <w:p>
                        <w:pPr>
                          <w:spacing w:line="161" w:lineRule="exact" w:before="0"/>
                          <w:ind w:left="0" w:right="0" w:firstLine="0"/>
                          <w:jc w:val="left"/>
                          <w:rPr>
                            <w:rFonts w:ascii="Arial MT"/>
                            <w:sz w:val="14"/>
                          </w:rPr>
                        </w:pPr>
                        <w:r>
                          <w:rPr>
                            <w:rFonts w:ascii="Arial MT"/>
                            <w:spacing w:val="-2"/>
                            <w:w w:val="85"/>
                            <w:sz w:val="14"/>
                          </w:rPr>
                          <w:t>Bihar</w:t>
                        </w:r>
                      </w:p>
                    </w:txbxContent>
                  </v:textbox>
                  <w10:wrap type="none"/>
                </v:shape>
                <v:shape style="position:absolute;left:9267;top:2285;width:180;height:161" type="#_x0000_t202" id="docshape1143" filled="false" stroked="false">
                  <v:textbox inset="0,0,0,0">
                    <w:txbxContent>
                      <w:p>
                        <w:pPr>
                          <w:spacing w:line="161" w:lineRule="exact" w:before="0"/>
                          <w:ind w:left="0" w:right="0" w:firstLine="0"/>
                          <w:jc w:val="left"/>
                          <w:rPr>
                            <w:rFonts w:ascii="Arial MT"/>
                            <w:sz w:val="14"/>
                          </w:rPr>
                        </w:pPr>
                        <w:r>
                          <w:rPr>
                            <w:rFonts w:ascii="Arial MT"/>
                            <w:spacing w:val="-5"/>
                            <w:w w:val="90"/>
                            <w:sz w:val="14"/>
                          </w:rPr>
                          <w:t>2.1</w:t>
                        </w:r>
                      </w:p>
                    </w:txbxContent>
                  </v:textbox>
                  <w10:wrap type="none"/>
                </v:shape>
                <v:shape style="position:absolute;left:8562;top:2242;width:180;height:161" type="#_x0000_t202" id="docshape1144" filled="false" stroked="false">
                  <v:textbox inset="0,0,0,0">
                    <w:txbxContent>
                      <w:p>
                        <w:pPr>
                          <w:spacing w:line="161" w:lineRule="exact" w:before="0"/>
                          <w:ind w:left="0" w:right="0" w:firstLine="0"/>
                          <w:jc w:val="left"/>
                          <w:rPr>
                            <w:rFonts w:ascii="Arial MT"/>
                            <w:sz w:val="14"/>
                          </w:rPr>
                        </w:pPr>
                        <w:r>
                          <w:rPr>
                            <w:rFonts w:ascii="Arial MT"/>
                            <w:spacing w:val="-5"/>
                            <w:w w:val="90"/>
                            <w:sz w:val="14"/>
                          </w:rPr>
                          <w:t>2.4</w:t>
                        </w:r>
                      </w:p>
                    </w:txbxContent>
                  </v:textbox>
                  <w10:wrap type="none"/>
                </v:shape>
                <v:shape style="position:absolute;left:7827;top:2158;width:180;height:161" type="#_x0000_t202" id="docshape1145" filled="false" stroked="false">
                  <v:textbox inset="0,0,0,0">
                    <w:txbxContent>
                      <w:p>
                        <w:pPr>
                          <w:spacing w:line="161" w:lineRule="exact" w:before="0"/>
                          <w:ind w:left="0" w:right="0" w:firstLine="0"/>
                          <w:jc w:val="left"/>
                          <w:rPr>
                            <w:rFonts w:ascii="Arial MT"/>
                            <w:sz w:val="14"/>
                          </w:rPr>
                        </w:pPr>
                        <w:r>
                          <w:rPr>
                            <w:rFonts w:ascii="Arial MT"/>
                            <w:spacing w:val="-5"/>
                            <w:w w:val="90"/>
                            <w:sz w:val="14"/>
                          </w:rPr>
                          <w:t>3.9</w:t>
                        </w:r>
                      </w:p>
                    </w:txbxContent>
                  </v:textbox>
                  <w10:wrap type="none"/>
                </v:shape>
                <v:shape style="position:absolute;left:7109;top:1741;width:236;height:161" type="#_x0000_t202" id="docshape1146" filled="false" stroked="false">
                  <v:textbox inset="0,0,0,0">
                    <w:txbxContent>
                      <w:p>
                        <w:pPr>
                          <w:spacing w:line="161" w:lineRule="exact" w:before="0"/>
                          <w:ind w:left="0" w:right="0" w:firstLine="0"/>
                          <w:jc w:val="left"/>
                          <w:rPr>
                            <w:rFonts w:ascii="Arial MT"/>
                            <w:sz w:val="14"/>
                          </w:rPr>
                        </w:pPr>
                        <w:r>
                          <w:rPr>
                            <w:rFonts w:ascii="Arial MT"/>
                            <w:spacing w:val="-4"/>
                            <w:w w:val="85"/>
                            <w:sz w:val="14"/>
                          </w:rPr>
                          <w:t>11.7</w:t>
                        </w:r>
                      </w:p>
                    </w:txbxContent>
                  </v:textbox>
                  <w10:wrap type="none"/>
                </v:shape>
                <v:shape style="position:absolute;left:6385;top:1698;width:244;height:161" type="#_x0000_t202" id="docshape1147" filled="false" stroked="false">
                  <v:textbox inset="0,0,0,0">
                    <w:txbxContent>
                      <w:p>
                        <w:pPr>
                          <w:spacing w:line="161" w:lineRule="exact" w:before="0"/>
                          <w:ind w:left="0" w:right="0" w:firstLine="0"/>
                          <w:jc w:val="left"/>
                          <w:rPr>
                            <w:rFonts w:ascii="Arial MT"/>
                            <w:sz w:val="14"/>
                          </w:rPr>
                        </w:pPr>
                        <w:r>
                          <w:rPr>
                            <w:rFonts w:ascii="Arial MT"/>
                            <w:spacing w:val="-4"/>
                            <w:w w:val="85"/>
                            <w:sz w:val="14"/>
                          </w:rPr>
                          <w:t>12.4</w:t>
                        </w:r>
                      </w:p>
                    </w:txbxContent>
                  </v:textbox>
                  <w10:wrap type="none"/>
                </v:shape>
                <v:shape style="position:absolute;left:5673;top:1198;width:148;height:161" type="#_x0000_t202" id="docshape1148" filled="false" stroked="false">
                  <v:textbox inset="0,0,0,0">
                    <w:txbxContent>
                      <w:p>
                        <w:pPr>
                          <w:spacing w:line="161" w:lineRule="exact" w:before="0"/>
                          <w:ind w:left="0" w:right="0" w:firstLine="0"/>
                          <w:jc w:val="left"/>
                          <w:rPr>
                            <w:rFonts w:ascii="Arial MT"/>
                            <w:sz w:val="14"/>
                          </w:rPr>
                        </w:pPr>
                        <w:r>
                          <w:rPr>
                            <w:rFonts w:ascii="Arial MT"/>
                            <w:spacing w:val="-5"/>
                            <w:w w:val="90"/>
                            <w:sz w:val="14"/>
                          </w:rPr>
                          <w:t>22</w:t>
                        </w:r>
                      </w:p>
                    </w:txbxContent>
                  </v:textbox>
                  <w10:wrap type="none"/>
                </v:shape>
                <v:shape style="position:absolute;left:4935;top:1118;width:244;height:161" type="#_x0000_t202" id="docshape1149" filled="false" stroked="false">
                  <v:textbox inset="0,0,0,0">
                    <w:txbxContent>
                      <w:p>
                        <w:pPr>
                          <w:spacing w:line="161" w:lineRule="exact" w:before="0"/>
                          <w:ind w:left="0" w:right="0" w:firstLine="0"/>
                          <w:jc w:val="left"/>
                          <w:rPr>
                            <w:rFonts w:ascii="Arial MT"/>
                            <w:sz w:val="14"/>
                          </w:rPr>
                        </w:pPr>
                        <w:r>
                          <w:rPr>
                            <w:rFonts w:ascii="Arial MT"/>
                            <w:spacing w:val="-4"/>
                            <w:w w:val="85"/>
                            <w:sz w:val="14"/>
                          </w:rPr>
                          <w:t>22.5</w:t>
                        </w:r>
                      </w:p>
                    </w:txbxContent>
                  </v:textbox>
                  <w10:wrap type="none"/>
                </v:shape>
                <v:shape style="position:absolute;left:4225;top:1058;width:244;height:161" type="#_x0000_t202" id="docshape1150" filled="false" stroked="false">
                  <v:textbox inset="0,0,0,0">
                    <w:txbxContent>
                      <w:p>
                        <w:pPr>
                          <w:spacing w:line="161" w:lineRule="exact" w:before="0"/>
                          <w:ind w:left="0" w:right="0" w:firstLine="0"/>
                          <w:jc w:val="left"/>
                          <w:rPr>
                            <w:rFonts w:ascii="Arial MT"/>
                            <w:sz w:val="14"/>
                          </w:rPr>
                        </w:pPr>
                        <w:r>
                          <w:rPr>
                            <w:rFonts w:ascii="Arial MT"/>
                            <w:spacing w:val="-4"/>
                            <w:w w:val="85"/>
                            <w:sz w:val="14"/>
                          </w:rPr>
                          <w:t>23.3</w:t>
                        </w:r>
                      </w:p>
                    </w:txbxContent>
                  </v:textbox>
                  <w10:wrap type="none"/>
                </v:shape>
                <v:shape style="position:absolute;left:3465;top:818;width:244;height:161" type="#_x0000_t202" id="docshape1151" filled="false" stroked="false">
                  <v:textbox inset="0,0,0,0">
                    <w:txbxContent>
                      <w:p>
                        <w:pPr>
                          <w:spacing w:line="161" w:lineRule="exact" w:before="0"/>
                          <w:ind w:left="0" w:right="0" w:firstLine="0"/>
                          <w:jc w:val="left"/>
                          <w:rPr>
                            <w:rFonts w:ascii="Arial MT"/>
                            <w:sz w:val="14"/>
                          </w:rPr>
                        </w:pPr>
                        <w:r>
                          <w:rPr>
                            <w:rFonts w:ascii="Arial MT"/>
                            <w:spacing w:val="-4"/>
                            <w:w w:val="85"/>
                            <w:sz w:val="14"/>
                          </w:rPr>
                          <w:t>27.9</w:t>
                        </w:r>
                      </w:p>
                    </w:txbxContent>
                  </v:textbox>
                  <w10:wrap type="none"/>
                </v:shape>
                <v:shape style="position:absolute;left:2780;top:455;width:244;height:161" type="#_x0000_t202" id="docshape1152" filled="false" stroked="false">
                  <v:textbox inset="0,0,0,0">
                    <w:txbxContent>
                      <w:p>
                        <w:pPr>
                          <w:spacing w:line="161" w:lineRule="exact" w:before="0"/>
                          <w:ind w:left="0" w:right="0" w:firstLine="0"/>
                          <w:jc w:val="left"/>
                          <w:rPr>
                            <w:rFonts w:ascii="Arial MT"/>
                            <w:sz w:val="14"/>
                          </w:rPr>
                        </w:pPr>
                        <w:r>
                          <w:rPr>
                            <w:rFonts w:ascii="Arial MT"/>
                            <w:spacing w:val="-4"/>
                            <w:w w:val="85"/>
                            <w:sz w:val="14"/>
                          </w:rPr>
                          <w:t>34.8</w:t>
                        </w:r>
                      </w:p>
                    </w:txbxContent>
                  </v:textbox>
                  <w10:wrap type="none"/>
                </v:shape>
                <v:shape style="position:absolute;left:2279;top:322;width:166;height:2424" type="#_x0000_t202" id="docshape1153" filled="false" stroked="false">
                  <v:textbox inset="0,0,0,0">
                    <w:txbxContent>
                      <w:p>
                        <w:pPr>
                          <w:spacing w:line="184" w:lineRule="exact" w:before="0"/>
                          <w:ind w:left="0" w:right="0" w:firstLine="0"/>
                          <w:jc w:val="left"/>
                          <w:rPr>
                            <w:rFonts w:ascii="Arial MT"/>
                            <w:sz w:val="16"/>
                          </w:rPr>
                        </w:pPr>
                        <w:r>
                          <w:rPr>
                            <w:rFonts w:ascii="Arial MT"/>
                            <w:spacing w:val="-5"/>
                            <w:w w:val="90"/>
                            <w:sz w:val="16"/>
                          </w:rPr>
                          <w:t>40</w:t>
                        </w:r>
                      </w:p>
                      <w:p>
                        <w:pPr>
                          <w:spacing w:before="96"/>
                          <w:ind w:left="0" w:right="0" w:firstLine="0"/>
                          <w:jc w:val="left"/>
                          <w:rPr>
                            <w:rFonts w:ascii="Arial MT"/>
                            <w:sz w:val="16"/>
                          </w:rPr>
                        </w:pPr>
                        <w:r>
                          <w:rPr>
                            <w:rFonts w:ascii="Arial MT"/>
                            <w:spacing w:val="-5"/>
                            <w:w w:val="90"/>
                            <w:sz w:val="16"/>
                          </w:rPr>
                          <w:t>35</w:t>
                        </w:r>
                      </w:p>
                      <w:p>
                        <w:pPr>
                          <w:spacing w:before="96"/>
                          <w:ind w:left="0" w:right="0" w:firstLine="0"/>
                          <w:jc w:val="left"/>
                          <w:rPr>
                            <w:rFonts w:ascii="Arial MT"/>
                            <w:sz w:val="16"/>
                          </w:rPr>
                        </w:pPr>
                        <w:r>
                          <w:rPr>
                            <w:rFonts w:ascii="Arial MT"/>
                            <w:spacing w:val="-5"/>
                            <w:w w:val="90"/>
                            <w:sz w:val="16"/>
                          </w:rPr>
                          <w:t>30</w:t>
                        </w:r>
                      </w:p>
                      <w:p>
                        <w:pPr>
                          <w:spacing w:before="96"/>
                          <w:ind w:left="0" w:right="0" w:firstLine="0"/>
                          <w:jc w:val="left"/>
                          <w:rPr>
                            <w:rFonts w:ascii="Arial MT"/>
                            <w:sz w:val="16"/>
                          </w:rPr>
                        </w:pPr>
                        <w:r>
                          <w:rPr>
                            <w:rFonts w:ascii="Arial MT"/>
                            <w:spacing w:val="-5"/>
                            <w:w w:val="90"/>
                            <w:sz w:val="16"/>
                          </w:rPr>
                          <w:t>25</w:t>
                        </w:r>
                      </w:p>
                      <w:p>
                        <w:pPr>
                          <w:spacing w:before="96"/>
                          <w:ind w:left="0" w:right="0" w:firstLine="0"/>
                          <w:jc w:val="left"/>
                          <w:rPr>
                            <w:rFonts w:ascii="Arial MT"/>
                            <w:sz w:val="16"/>
                          </w:rPr>
                        </w:pPr>
                        <w:r>
                          <w:rPr>
                            <w:rFonts w:ascii="Arial MT"/>
                            <w:spacing w:val="-5"/>
                            <w:w w:val="90"/>
                            <w:sz w:val="16"/>
                          </w:rPr>
                          <w:t>20</w:t>
                        </w:r>
                      </w:p>
                      <w:p>
                        <w:pPr>
                          <w:spacing w:before="96"/>
                          <w:ind w:left="0" w:right="0" w:firstLine="0"/>
                          <w:jc w:val="left"/>
                          <w:rPr>
                            <w:rFonts w:ascii="Arial MT"/>
                            <w:sz w:val="16"/>
                          </w:rPr>
                        </w:pPr>
                        <w:r>
                          <w:rPr>
                            <w:rFonts w:ascii="Arial MT"/>
                            <w:spacing w:val="-5"/>
                            <w:w w:val="90"/>
                            <w:sz w:val="16"/>
                          </w:rPr>
                          <w:t>15</w:t>
                        </w:r>
                      </w:p>
                      <w:p>
                        <w:pPr>
                          <w:spacing w:before="96"/>
                          <w:ind w:left="0" w:right="0" w:firstLine="0"/>
                          <w:jc w:val="left"/>
                          <w:rPr>
                            <w:rFonts w:ascii="Arial MT"/>
                            <w:sz w:val="16"/>
                          </w:rPr>
                        </w:pPr>
                        <w:r>
                          <w:rPr>
                            <w:rFonts w:ascii="Arial MT"/>
                            <w:spacing w:val="-5"/>
                            <w:w w:val="90"/>
                            <w:sz w:val="16"/>
                          </w:rPr>
                          <w:t>10</w:t>
                        </w:r>
                      </w:p>
                      <w:p>
                        <w:pPr>
                          <w:spacing w:before="96"/>
                          <w:ind w:left="72" w:right="0" w:firstLine="0"/>
                          <w:jc w:val="left"/>
                          <w:rPr>
                            <w:rFonts w:ascii="Arial MT"/>
                            <w:sz w:val="16"/>
                          </w:rPr>
                        </w:pPr>
                        <w:r>
                          <w:rPr>
                            <w:rFonts w:ascii="Arial MT"/>
                            <w:spacing w:val="-10"/>
                            <w:w w:val="90"/>
                            <w:sz w:val="16"/>
                          </w:rPr>
                          <w:t>5</w:t>
                        </w:r>
                      </w:p>
                      <w:p>
                        <w:pPr>
                          <w:spacing w:before="96"/>
                          <w:ind w:left="72" w:right="0" w:firstLine="0"/>
                          <w:jc w:val="left"/>
                          <w:rPr>
                            <w:rFonts w:ascii="Arial MT"/>
                            <w:sz w:val="16"/>
                          </w:rPr>
                        </w:pPr>
                        <w:r>
                          <w:rPr>
                            <w:rFonts w:ascii="Arial MT"/>
                            <w:spacing w:val="-10"/>
                            <w:w w:val="90"/>
                            <w:sz w:val="16"/>
                          </w:rPr>
                          <w:t>0</w:t>
                        </w:r>
                      </w:p>
                    </w:txbxContent>
                  </v:textbox>
                  <w10:wrap type="none"/>
                </v:shape>
                <w10:wrap type="topAndBottom"/>
              </v:group>
            </w:pict>
          </mc:Fallback>
        </mc:AlternateContent>
      </w:r>
    </w:p>
    <w:p>
      <w:pPr>
        <w:spacing w:before="48"/>
        <w:ind w:left="2001" w:right="0" w:firstLine="0"/>
        <w:jc w:val="left"/>
        <w:rPr>
          <w:sz w:val="16"/>
        </w:rPr>
      </w:pPr>
      <w:r>
        <w:rPr>
          <w:i/>
          <w:spacing w:val="-4"/>
          <w:sz w:val="16"/>
        </w:rPr>
        <w:t>Source</w:t>
      </w:r>
      <w:r>
        <w:rPr>
          <w:spacing w:val="-4"/>
          <w:sz w:val="16"/>
        </w:rPr>
        <w:t>:</w:t>
      </w:r>
      <w:r>
        <w:rPr>
          <w:spacing w:val="4"/>
          <w:sz w:val="16"/>
        </w:rPr>
        <w:t> </w:t>
      </w:r>
      <w:r>
        <w:rPr>
          <w:spacing w:val="-4"/>
          <w:sz w:val="16"/>
        </w:rPr>
        <w:t>Elementary</w:t>
      </w:r>
      <w:r>
        <w:rPr>
          <w:spacing w:val="4"/>
          <w:sz w:val="16"/>
        </w:rPr>
        <w:t> </w:t>
      </w:r>
      <w:r>
        <w:rPr>
          <w:spacing w:val="-4"/>
          <w:sz w:val="16"/>
        </w:rPr>
        <w:t>Education</w:t>
      </w:r>
      <w:r>
        <w:rPr>
          <w:spacing w:val="4"/>
          <w:sz w:val="16"/>
        </w:rPr>
        <w:t> </w:t>
      </w:r>
      <w:r>
        <w:rPr>
          <w:spacing w:val="-4"/>
          <w:sz w:val="16"/>
        </w:rPr>
        <w:t>in</w:t>
      </w:r>
      <w:r>
        <w:rPr>
          <w:spacing w:val="4"/>
          <w:sz w:val="16"/>
        </w:rPr>
        <w:t> </w:t>
      </w:r>
      <w:r>
        <w:rPr>
          <w:spacing w:val="-4"/>
          <w:sz w:val="16"/>
        </w:rPr>
        <w:t>India,</w:t>
      </w:r>
      <w:r>
        <w:rPr>
          <w:spacing w:val="4"/>
          <w:sz w:val="16"/>
        </w:rPr>
        <w:t> </w:t>
      </w:r>
      <w:r>
        <w:rPr>
          <w:spacing w:val="-4"/>
          <w:sz w:val="16"/>
        </w:rPr>
        <w:t>Analytical</w:t>
      </w:r>
      <w:r>
        <w:rPr>
          <w:spacing w:val="4"/>
          <w:sz w:val="16"/>
        </w:rPr>
        <w:t> </w:t>
      </w:r>
      <w:r>
        <w:rPr>
          <w:spacing w:val="-4"/>
          <w:sz w:val="16"/>
        </w:rPr>
        <w:t>Report,</w:t>
      </w:r>
      <w:r>
        <w:rPr>
          <w:spacing w:val="4"/>
          <w:sz w:val="16"/>
        </w:rPr>
        <w:t> </w:t>
      </w:r>
      <w:r>
        <w:rPr>
          <w:spacing w:val="-4"/>
          <w:sz w:val="16"/>
        </w:rPr>
        <w:t>NUEPA,</w:t>
      </w:r>
      <w:r>
        <w:rPr>
          <w:spacing w:val="4"/>
          <w:sz w:val="16"/>
        </w:rPr>
        <w:t> </w:t>
      </w:r>
      <w:r>
        <w:rPr>
          <w:spacing w:val="-4"/>
          <w:sz w:val="16"/>
        </w:rPr>
        <w:t>2005-</w:t>
      </w:r>
      <w:r>
        <w:rPr>
          <w:spacing w:val="-5"/>
          <w:sz w:val="16"/>
        </w:rPr>
        <w:t>06</w:t>
      </w:r>
    </w:p>
    <w:p>
      <w:pPr>
        <w:pStyle w:val="BodyText"/>
        <w:spacing w:before="77"/>
        <w:rPr>
          <w:sz w:val="20"/>
        </w:rPr>
      </w:pPr>
    </w:p>
    <w:p>
      <w:pPr>
        <w:spacing w:after="0"/>
        <w:rPr>
          <w:sz w:val="20"/>
        </w:rPr>
        <w:sectPr>
          <w:pgSz w:w="11910" w:h="16840"/>
          <w:pgMar w:header="0" w:footer="675" w:top="940" w:bottom="860" w:left="0" w:right="0"/>
        </w:sectPr>
      </w:pPr>
    </w:p>
    <w:p>
      <w:pPr>
        <w:pStyle w:val="BodyText"/>
        <w:spacing w:line="266" w:lineRule="auto" w:before="98"/>
        <w:ind w:left="1079"/>
        <w:jc w:val="both"/>
      </w:pPr>
      <w:r>
        <w:rPr/>
        <w:t>except in the Union</w:t>
      </w:r>
      <w:r>
        <w:rPr>
          <w:spacing w:val="-3"/>
        </w:rPr>
        <w:t> </w:t>
      </w:r>
      <w:r>
        <w:rPr/>
        <w:t>Territories, North-eastern states, Kerala and to some extent Tamil Nadu. Gender disparities tend to be sharpest in states with low aggregate attendance rates.</w:t>
      </w:r>
    </w:p>
    <w:p>
      <w:pPr>
        <w:pStyle w:val="BodyText"/>
        <w:spacing w:before="24"/>
      </w:pPr>
    </w:p>
    <w:p>
      <w:pPr>
        <w:pStyle w:val="BodyText"/>
        <w:spacing w:line="266" w:lineRule="auto"/>
        <w:ind w:left="1079"/>
        <w:jc w:val="both"/>
      </w:pPr>
      <w:r>
        <w:rPr/>
        <w:t>The total Scheduled Castes enrolment at the </w:t>
      </w:r>
      <w:r>
        <w:rPr/>
        <w:t>primary (I-V), upper primary (VI-VIII) and secondary/senior </w:t>
      </w:r>
      <w:r>
        <w:rPr>
          <w:w w:val="90"/>
        </w:rPr>
        <w:t>secondary (IX-XII) stages of school education from 1980- </w:t>
      </w:r>
      <w:r>
        <w:rPr>
          <w:spacing w:val="-4"/>
        </w:rPr>
        <w:t>81</w:t>
      </w:r>
      <w:r>
        <w:rPr>
          <w:spacing w:val="-7"/>
        </w:rPr>
        <w:t> </w:t>
      </w:r>
      <w:r>
        <w:rPr>
          <w:spacing w:val="-4"/>
        </w:rPr>
        <w:t>to</w:t>
      </w:r>
      <w:r>
        <w:rPr>
          <w:spacing w:val="-7"/>
        </w:rPr>
        <w:t> </w:t>
      </w:r>
      <w:r>
        <w:rPr>
          <w:spacing w:val="-4"/>
        </w:rPr>
        <w:t>2004-2005</w:t>
      </w:r>
      <w:r>
        <w:rPr>
          <w:spacing w:val="-7"/>
        </w:rPr>
        <w:t> </w:t>
      </w:r>
      <w:r>
        <w:rPr>
          <w:spacing w:val="-4"/>
        </w:rPr>
        <w:t>increased</w:t>
      </w:r>
      <w:r>
        <w:rPr>
          <w:spacing w:val="-7"/>
        </w:rPr>
        <w:t> </w:t>
      </w:r>
      <w:r>
        <w:rPr>
          <w:spacing w:val="-4"/>
        </w:rPr>
        <w:t>by</w:t>
      </w:r>
      <w:r>
        <w:rPr>
          <w:spacing w:val="-7"/>
        </w:rPr>
        <w:t> </w:t>
      </w:r>
      <w:r>
        <w:rPr>
          <w:spacing w:val="-4"/>
        </w:rPr>
        <w:t>2.25,</w:t>
      </w:r>
      <w:r>
        <w:rPr>
          <w:spacing w:val="-7"/>
        </w:rPr>
        <w:t> </w:t>
      </w:r>
      <w:r>
        <w:rPr>
          <w:spacing w:val="-4"/>
        </w:rPr>
        <w:t>3.91</w:t>
      </w:r>
      <w:r>
        <w:rPr>
          <w:spacing w:val="-7"/>
        </w:rPr>
        <w:t> </w:t>
      </w:r>
      <w:r>
        <w:rPr>
          <w:spacing w:val="-4"/>
        </w:rPr>
        <w:t>and</w:t>
      </w:r>
      <w:r>
        <w:rPr>
          <w:spacing w:val="-7"/>
        </w:rPr>
        <w:t> </w:t>
      </w:r>
      <w:r>
        <w:rPr>
          <w:spacing w:val="-4"/>
        </w:rPr>
        <w:t>4.52</w:t>
      </w:r>
      <w:r>
        <w:rPr>
          <w:spacing w:val="-7"/>
        </w:rPr>
        <w:t> </w:t>
      </w:r>
      <w:r>
        <w:rPr>
          <w:spacing w:val="-4"/>
        </w:rPr>
        <w:t>times </w:t>
      </w:r>
      <w:r>
        <w:rPr>
          <w:spacing w:val="-6"/>
        </w:rPr>
        <w:t>respectively.</w:t>
      </w:r>
      <w:r>
        <w:rPr>
          <w:spacing w:val="-8"/>
        </w:rPr>
        <w:t> </w:t>
      </w:r>
      <w:r>
        <w:rPr>
          <w:spacing w:val="-6"/>
        </w:rPr>
        <w:t>The</w:t>
      </w:r>
      <w:r>
        <w:rPr>
          <w:spacing w:val="-8"/>
        </w:rPr>
        <w:t> </w:t>
      </w:r>
      <w:r>
        <w:rPr>
          <w:spacing w:val="-6"/>
        </w:rPr>
        <w:t>total</w:t>
      </w:r>
      <w:r>
        <w:rPr>
          <w:spacing w:val="-8"/>
        </w:rPr>
        <w:t> </w:t>
      </w:r>
      <w:r>
        <w:rPr>
          <w:spacing w:val="-6"/>
        </w:rPr>
        <w:t>Scheduled</w:t>
      </w:r>
      <w:r>
        <w:rPr>
          <w:spacing w:val="-7"/>
        </w:rPr>
        <w:t> </w:t>
      </w:r>
      <w:r>
        <w:rPr>
          <w:spacing w:val="-6"/>
        </w:rPr>
        <w:t>Tribes</w:t>
      </w:r>
      <w:r>
        <w:rPr>
          <w:spacing w:val="-8"/>
        </w:rPr>
        <w:t> </w:t>
      </w:r>
      <w:r>
        <w:rPr>
          <w:spacing w:val="-6"/>
        </w:rPr>
        <w:t>enrolment</w:t>
      </w:r>
      <w:r>
        <w:rPr>
          <w:spacing w:val="-8"/>
        </w:rPr>
        <w:t> </w:t>
      </w:r>
      <w:r>
        <w:rPr>
          <w:spacing w:val="-6"/>
        </w:rPr>
        <w:t>at</w:t>
      </w:r>
      <w:r>
        <w:rPr>
          <w:spacing w:val="-8"/>
        </w:rPr>
        <w:t> </w:t>
      </w:r>
      <w:r>
        <w:rPr>
          <w:spacing w:val="-6"/>
        </w:rPr>
        <w:t>the </w:t>
      </w:r>
      <w:r>
        <w:rPr>
          <w:spacing w:val="-4"/>
        </w:rPr>
        <w:t>primary,</w:t>
      </w:r>
      <w:r>
        <w:rPr>
          <w:spacing w:val="-10"/>
        </w:rPr>
        <w:t> </w:t>
      </w:r>
      <w:r>
        <w:rPr>
          <w:spacing w:val="-4"/>
        </w:rPr>
        <w:t>upper</w:t>
      </w:r>
      <w:r>
        <w:rPr>
          <w:spacing w:val="-10"/>
        </w:rPr>
        <w:t> </w:t>
      </w:r>
      <w:r>
        <w:rPr>
          <w:spacing w:val="-4"/>
        </w:rPr>
        <w:t>primary</w:t>
      </w:r>
      <w:r>
        <w:rPr>
          <w:spacing w:val="-10"/>
        </w:rPr>
        <w:t> </w:t>
      </w:r>
      <w:r>
        <w:rPr>
          <w:spacing w:val="-4"/>
        </w:rPr>
        <w:t>and</w:t>
      </w:r>
      <w:r>
        <w:rPr>
          <w:spacing w:val="-9"/>
        </w:rPr>
        <w:t> </w:t>
      </w:r>
      <w:r>
        <w:rPr>
          <w:spacing w:val="-4"/>
        </w:rPr>
        <w:t>secondary/senior</w:t>
      </w:r>
      <w:r>
        <w:rPr>
          <w:spacing w:val="-10"/>
        </w:rPr>
        <w:t> </w:t>
      </w:r>
      <w:r>
        <w:rPr>
          <w:spacing w:val="-4"/>
        </w:rPr>
        <w:t>secondary stages</w:t>
      </w:r>
      <w:r>
        <w:rPr>
          <w:spacing w:val="-6"/>
        </w:rPr>
        <w:t> </w:t>
      </w:r>
      <w:r>
        <w:rPr>
          <w:spacing w:val="-4"/>
        </w:rPr>
        <w:t>of</w:t>
      </w:r>
      <w:r>
        <w:rPr>
          <w:spacing w:val="-6"/>
        </w:rPr>
        <w:t> </w:t>
      </w:r>
      <w:r>
        <w:rPr>
          <w:spacing w:val="-4"/>
        </w:rPr>
        <w:t>school</w:t>
      </w:r>
      <w:r>
        <w:rPr>
          <w:spacing w:val="-6"/>
        </w:rPr>
        <w:t> </w:t>
      </w:r>
      <w:r>
        <w:rPr>
          <w:spacing w:val="-4"/>
        </w:rPr>
        <w:t>education</w:t>
      </w:r>
      <w:r>
        <w:rPr>
          <w:spacing w:val="-6"/>
        </w:rPr>
        <w:t> </w:t>
      </w:r>
      <w:r>
        <w:rPr>
          <w:spacing w:val="-4"/>
        </w:rPr>
        <w:t>from</w:t>
      </w:r>
      <w:r>
        <w:rPr>
          <w:spacing w:val="-6"/>
        </w:rPr>
        <w:t> </w:t>
      </w:r>
      <w:r>
        <w:rPr>
          <w:spacing w:val="-4"/>
        </w:rPr>
        <w:t>1980-81</w:t>
      </w:r>
      <w:r>
        <w:rPr>
          <w:spacing w:val="-6"/>
        </w:rPr>
        <w:t> </w:t>
      </w:r>
      <w:r>
        <w:rPr>
          <w:spacing w:val="-4"/>
        </w:rPr>
        <w:t>to</w:t>
      </w:r>
      <w:r>
        <w:rPr>
          <w:spacing w:val="-6"/>
        </w:rPr>
        <w:t> </w:t>
      </w:r>
      <w:r>
        <w:rPr>
          <w:spacing w:val="-4"/>
        </w:rPr>
        <w:t>2004-2005, </w:t>
      </w:r>
      <w:r>
        <w:rPr/>
        <w:t>increased by 2.94, 5.62 and 6.33 times respectively. </w:t>
      </w:r>
      <w:r>
        <w:rPr>
          <w:spacing w:val="-6"/>
        </w:rPr>
        <w:t>Further, the average of 604 districts in 2005-06 indicates </w:t>
      </w:r>
      <w:r>
        <w:rPr/>
        <w:t>a</w:t>
      </w:r>
      <w:r>
        <w:rPr>
          <w:spacing w:val="-10"/>
        </w:rPr>
        <w:t> </w:t>
      </w:r>
      <w:r>
        <w:rPr/>
        <w:t>gender</w:t>
      </w:r>
      <w:r>
        <w:rPr>
          <w:spacing w:val="-10"/>
        </w:rPr>
        <w:t> </w:t>
      </w:r>
      <w:r>
        <w:rPr/>
        <w:t>parity</w:t>
      </w:r>
      <w:r>
        <w:rPr>
          <w:spacing w:val="-10"/>
        </w:rPr>
        <w:t> </w:t>
      </w:r>
      <w:r>
        <w:rPr/>
        <w:t>index</w:t>
      </w:r>
      <w:r>
        <w:rPr>
          <w:spacing w:val="-10"/>
        </w:rPr>
        <w:t> </w:t>
      </w:r>
      <w:r>
        <w:rPr/>
        <w:t>(GPI)</w:t>
      </w:r>
      <w:r>
        <w:rPr>
          <w:spacing w:val="-10"/>
        </w:rPr>
        <w:t> </w:t>
      </w:r>
      <w:r>
        <w:rPr/>
        <w:t>of</w:t>
      </w:r>
      <w:r>
        <w:rPr>
          <w:spacing w:val="-10"/>
        </w:rPr>
        <w:t> </w:t>
      </w:r>
      <w:r>
        <w:rPr/>
        <w:t>0.92</w:t>
      </w:r>
      <w:r>
        <w:rPr>
          <w:spacing w:val="-10"/>
        </w:rPr>
        <w:t> </w:t>
      </w:r>
      <w:r>
        <w:rPr/>
        <w:t>in</w:t>
      </w:r>
      <w:r>
        <w:rPr>
          <w:spacing w:val="-10"/>
        </w:rPr>
        <w:t> </w:t>
      </w:r>
      <w:r>
        <w:rPr/>
        <w:t>primary</w:t>
      </w:r>
      <w:r>
        <w:rPr>
          <w:spacing w:val="-10"/>
        </w:rPr>
        <w:t> </w:t>
      </w:r>
      <w:r>
        <w:rPr/>
        <w:t>classes and</w:t>
      </w:r>
      <w:r>
        <w:rPr>
          <w:spacing w:val="-14"/>
        </w:rPr>
        <w:t> </w:t>
      </w:r>
      <w:r>
        <w:rPr/>
        <w:t>0.84</w:t>
      </w:r>
      <w:r>
        <w:rPr>
          <w:spacing w:val="-14"/>
        </w:rPr>
        <w:t> </w:t>
      </w:r>
      <w:r>
        <w:rPr/>
        <w:t>in</w:t>
      </w:r>
      <w:r>
        <w:rPr>
          <w:spacing w:val="-14"/>
        </w:rPr>
        <w:t> </w:t>
      </w:r>
      <w:r>
        <w:rPr/>
        <w:t>case</w:t>
      </w:r>
      <w:r>
        <w:rPr>
          <w:spacing w:val="-13"/>
        </w:rPr>
        <w:t> </w:t>
      </w:r>
      <w:r>
        <w:rPr/>
        <w:t>of</w:t>
      </w:r>
      <w:r>
        <w:rPr>
          <w:spacing w:val="-14"/>
        </w:rPr>
        <w:t> </w:t>
      </w:r>
      <w:r>
        <w:rPr/>
        <w:t>enrolment</w:t>
      </w:r>
      <w:r>
        <w:rPr>
          <w:spacing w:val="-14"/>
        </w:rPr>
        <w:t> </w:t>
      </w:r>
      <w:r>
        <w:rPr/>
        <w:t>in</w:t>
      </w:r>
      <w:r>
        <w:rPr>
          <w:spacing w:val="-14"/>
        </w:rPr>
        <w:t> </w:t>
      </w:r>
      <w:r>
        <w:rPr/>
        <w:t>upper</w:t>
      </w:r>
      <w:r>
        <w:rPr>
          <w:spacing w:val="-13"/>
        </w:rPr>
        <w:t> </w:t>
      </w:r>
      <w:r>
        <w:rPr/>
        <w:t>primary</w:t>
      </w:r>
      <w:r>
        <w:rPr>
          <w:spacing w:val="-14"/>
        </w:rPr>
        <w:t> </w:t>
      </w:r>
      <w:r>
        <w:rPr/>
        <w:t>classes compared to 0.91 and 0.83 in 2004-05. In 2003-04, </w:t>
      </w:r>
      <w:r>
        <w:rPr>
          <w:spacing w:val="-2"/>
        </w:rPr>
        <w:t>GPI</w:t>
      </w:r>
      <w:r>
        <w:rPr>
          <w:spacing w:val="-7"/>
        </w:rPr>
        <w:t> </w:t>
      </w:r>
      <w:r>
        <w:rPr>
          <w:spacing w:val="-2"/>
        </w:rPr>
        <w:t>in</w:t>
      </w:r>
      <w:r>
        <w:rPr>
          <w:spacing w:val="-7"/>
        </w:rPr>
        <w:t> </w:t>
      </w:r>
      <w:r>
        <w:rPr>
          <w:spacing w:val="-2"/>
        </w:rPr>
        <w:t>primary</w:t>
      </w:r>
      <w:r>
        <w:rPr>
          <w:spacing w:val="-7"/>
        </w:rPr>
        <w:t> </w:t>
      </w:r>
      <w:r>
        <w:rPr>
          <w:spacing w:val="-2"/>
        </w:rPr>
        <w:t>and</w:t>
      </w:r>
      <w:r>
        <w:rPr>
          <w:spacing w:val="-7"/>
        </w:rPr>
        <w:t> </w:t>
      </w:r>
      <w:r>
        <w:rPr>
          <w:spacing w:val="-2"/>
        </w:rPr>
        <w:t>upper</w:t>
      </w:r>
      <w:r>
        <w:rPr>
          <w:spacing w:val="-7"/>
        </w:rPr>
        <w:t> </w:t>
      </w:r>
      <w:r>
        <w:rPr>
          <w:spacing w:val="-2"/>
        </w:rPr>
        <w:t>primary</w:t>
      </w:r>
      <w:r>
        <w:rPr>
          <w:spacing w:val="-7"/>
        </w:rPr>
        <w:t> </w:t>
      </w:r>
      <w:r>
        <w:rPr>
          <w:spacing w:val="-2"/>
        </w:rPr>
        <w:t>enrolment</w:t>
      </w:r>
      <w:r>
        <w:rPr>
          <w:spacing w:val="-7"/>
        </w:rPr>
        <w:t> </w:t>
      </w:r>
      <w:r>
        <w:rPr>
          <w:spacing w:val="-2"/>
        </w:rPr>
        <w:t>was</w:t>
      </w:r>
      <w:r>
        <w:rPr>
          <w:spacing w:val="-7"/>
        </w:rPr>
        <w:t> </w:t>
      </w:r>
      <w:r>
        <w:rPr>
          <w:spacing w:val="-2"/>
        </w:rPr>
        <w:t>0.90 </w:t>
      </w:r>
      <w:r>
        <w:rPr/>
        <w:t>and 0.82 respectively. The social composition of out of elementary school children indicates that 9.97 per </w:t>
      </w:r>
      <w:r>
        <w:rPr>
          <w:spacing w:val="-2"/>
        </w:rPr>
        <w:t>cent</w:t>
      </w:r>
      <w:r>
        <w:rPr>
          <w:spacing w:val="-8"/>
        </w:rPr>
        <w:t> </w:t>
      </w:r>
      <w:r>
        <w:rPr>
          <w:spacing w:val="-2"/>
        </w:rPr>
        <w:t>of</w:t>
      </w:r>
      <w:r>
        <w:rPr>
          <w:spacing w:val="-7"/>
        </w:rPr>
        <w:t> </w:t>
      </w:r>
      <w:r>
        <w:rPr>
          <w:spacing w:val="-2"/>
        </w:rPr>
        <w:t>Muslim</w:t>
      </w:r>
      <w:r>
        <w:rPr>
          <w:spacing w:val="-8"/>
        </w:rPr>
        <w:t> </w:t>
      </w:r>
      <w:r>
        <w:rPr>
          <w:spacing w:val="-2"/>
        </w:rPr>
        <w:t>children,</w:t>
      </w:r>
      <w:r>
        <w:rPr>
          <w:spacing w:val="-7"/>
        </w:rPr>
        <w:t> </w:t>
      </w:r>
      <w:r>
        <w:rPr>
          <w:spacing w:val="-2"/>
        </w:rPr>
        <w:t>9.54</w:t>
      </w:r>
      <w:r>
        <w:rPr>
          <w:spacing w:val="-8"/>
        </w:rPr>
        <w:t> </w:t>
      </w:r>
      <w:r>
        <w:rPr>
          <w:spacing w:val="-2"/>
        </w:rPr>
        <w:t>per</w:t>
      </w:r>
      <w:r>
        <w:rPr>
          <w:spacing w:val="-7"/>
        </w:rPr>
        <w:t> </w:t>
      </w:r>
      <w:r>
        <w:rPr>
          <w:spacing w:val="-2"/>
        </w:rPr>
        <w:t>cent</w:t>
      </w:r>
      <w:r>
        <w:rPr>
          <w:spacing w:val="-8"/>
        </w:rPr>
        <w:t> </w:t>
      </w:r>
      <w:r>
        <w:rPr>
          <w:spacing w:val="-2"/>
        </w:rPr>
        <w:t>of</w:t>
      </w:r>
      <w:r>
        <w:rPr>
          <w:spacing w:val="-7"/>
        </w:rPr>
        <w:t> </w:t>
      </w:r>
      <w:r>
        <w:rPr>
          <w:spacing w:val="-2"/>
        </w:rPr>
        <w:t>STs,</w:t>
      </w:r>
      <w:r>
        <w:rPr>
          <w:spacing w:val="-8"/>
        </w:rPr>
        <w:t> </w:t>
      </w:r>
      <w:r>
        <w:rPr>
          <w:spacing w:val="-2"/>
        </w:rPr>
        <w:t>8.17</w:t>
      </w:r>
      <w:r>
        <w:rPr>
          <w:spacing w:val="-7"/>
        </w:rPr>
        <w:t> </w:t>
      </w:r>
      <w:r>
        <w:rPr>
          <w:spacing w:val="-5"/>
        </w:rPr>
        <w:t>per</w:t>
      </w:r>
    </w:p>
    <w:p>
      <w:pPr>
        <w:pStyle w:val="BodyText"/>
        <w:spacing w:line="266" w:lineRule="auto" w:before="82"/>
        <w:ind w:left="319" w:right="1077"/>
        <w:jc w:val="both"/>
      </w:pPr>
      <w:r>
        <w:rPr/>
        <w:br w:type="column"/>
      </w:r>
      <w:r>
        <w:rPr/>
        <w:t>cent of SCs and 6.97 per cent of OBC children </w:t>
      </w:r>
      <w:r>
        <w:rPr/>
        <w:t>were out</w:t>
      </w:r>
      <w:r>
        <w:rPr>
          <w:spacing w:val="-13"/>
        </w:rPr>
        <w:t> </w:t>
      </w:r>
      <w:r>
        <w:rPr/>
        <w:t>of</w:t>
      </w:r>
      <w:r>
        <w:rPr>
          <w:spacing w:val="-13"/>
        </w:rPr>
        <w:t> </w:t>
      </w:r>
      <w:r>
        <w:rPr/>
        <w:t>school</w:t>
      </w:r>
      <w:r>
        <w:rPr>
          <w:spacing w:val="-13"/>
        </w:rPr>
        <w:t> </w:t>
      </w:r>
      <w:r>
        <w:rPr/>
        <w:t>and</w:t>
      </w:r>
      <w:r>
        <w:rPr>
          <w:spacing w:val="-13"/>
        </w:rPr>
        <w:t> </w:t>
      </w:r>
      <w:r>
        <w:rPr/>
        <w:t>an</w:t>
      </w:r>
      <w:r>
        <w:rPr>
          <w:spacing w:val="-13"/>
        </w:rPr>
        <w:t> </w:t>
      </w:r>
      <w:r>
        <w:rPr/>
        <w:t>overwhelming</w:t>
      </w:r>
      <w:r>
        <w:rPr>
          <w:spacing w:val="-13"/>
        </w:rPr>
        <w:t> </w:t>
      </w:r>
      <w:r>
        <w:rPr/>
        <w:t>majority</w:t>
      </w:r>
      <w:r>
        <w:rPr>
          <w:spacing w:val="-13"/>
        </w:rPr>
        <w:t> </w:t>
      </w:r>
      <w:r>
        <w:rPr/>
        <w:t>(68.7</w:t>
      </w:r>
      <w:r>
        <w:rPr>
          <w:spacing w:val="-13"/>
        </w:rPr>
        <w:t> </w:t>
      </w:r>
      <w:r>
        <w:rPr/>
        <w:t>per cent) was concentrated in five States viz. Bihar (23.6 </w:t>
      </w:r>
      <w:r>
        <w:rPr>
          <w:spacing w:val="-4"/>
        </w:rPr>
        <w:t>per</w:t>
      </w:r>
      <w:r>
        <w:rPr>
          <w:spacing w:val="-7"/>
        </w:rPr>
        <w:t> </w:t>
      </w:r>
      <w:r>
        <w:rPr>
          <w:spacing w:val="-4"/>
        </w:rPr>
        <w:t>cent),</w:t>
      </w:r>
      <w:r>
        <w:rPr>
          <w:spacing w:val="-7"/>
        </w:rPr>
        <w:t> </w:t>
      </w:r>
      <w:r>
        <w:rPr>
          <w:spacing w:val="-4"/>
        </w:rPr>
        <w:t>Uttar</w:t>
      </w:r>
      <w:r>
        <w:rPr>
          <w:spacing w:val="-7"/>
        </w:rPr>
        <w:t> </w:t>
      </w:r>
      <w:r>
        <w:rPr>
          <w:spacing w:val="-4"/>
        </w:rPr>
        <w:t>Pradesh</w:t>
      </w:r>
      <w:r>
        <w:rPr>
          <w:spacing w:val="-7"/>
        </w:rPr>
        <w:t> </w:t>
      </w:r>
      <w:r>
        <w:rPr>
          <w:spacing w:val="-4"/>
        </w:rPr>
        <w:t>(22.2</w:t>
      </w:r>
      <w:r>
        <w:rPr>
          <w:spacing w:val="-7"/>
        </w:rPr>
        <w:t> </w:t>
      </w:r>
      <w:r>
        <w:rPr>
          <w:spacing w:val="-4"/>
        </w:rPr>
        <w:t>per</w:t>
      </w:r>
      <w:r>
        <w:rPr>
          <w:spacing w:val="-7"/>
        </w:rPr>
        <w:t> </w:t>
      </w:r>
      <w:r>
        <w:rPr>
          <w:spacing w:val="-4"/>
        </w:rPr>
        <w:t>cent),</w:t>
      </w:r>
      <w:r>
        <w:rPr>
          <w:spacing w:val="-10"/>
        </w:rPr>
        <w:t> </w:t>
      </w:r>
      <w:r>
        <w:rPr>
          <w:spacing w:val="-4"/>
        </w:rPr>
        <w:t>West</w:t>
      </w:r>
      <w:r>
        <w:rPr>
          <w:spacing w:val="-7"/>
        </w:rPr>
        <w:t> </w:t>
      </w:r>
      <w:r>
        <w:rPr>
          <w:spacing w:val="-4"/>
        </w:rPr>
        <w:t>Bengal</w:t>
      </w:r>
      <w:r>
        <w:rPr>
          <w:spacing w:val="-7"/>
        </w:rPr>
        <w:t> </w:t>
      </w:r>
      <w:r>
        <w:rPr>
          <w:spacing w:val="-4"/>
        </w:rPr>
        <w:t>(9 </w:t>
      </w:r>
      <w:r>
        <w:rPr/>
        <w:t>per</w:t>
      </w:r>
      <w:r>
        <w:rPr>
          <w:spacing w:val="-8"/>
        </w:rPr>
        <w:t> </w:t>
      </w:r>
      <w:r>
        <w:rPr/>
        <w:t>cent),</w:t>
      </w:r>
      <w:r>
        <w:rPr>
          <w:spacing w:val="-8"/>
        </w:rPr>
        <w:t> </w:t>
      </w:r>
      <w:r>
        <w:rPr/>
        <w:t>Madhya</w:t>
      </w:r>
      <w:r>
        <w:rPr>
          <w:spacing w:val="-8"/>
        </w:rPr>
        <w:t> </w:t>
      </w:r>
      <w:r>
        <w:rPr/>
        <w:t>Pradesh</w:t>
      </w:r>
      <w:r>
        <w:rPr>
          <w:spacing w:val="-8"/>
        </w:rPr>
        <w:t> </w:t>
      </w:r>
      <w:r>
        <w:rPr/>
        <w:t>(8</w:t>
      </w:r>
      <w:r>
        <w:rPr>
          <w:spacing w:val="-8"/>
        </w:rPr>
        <w:t> </w:t>
      </w:r>
      <w:r>
        <w:rPr/>
        <w:t>per</w:t>
      </w:r>
      <w:r>
        <w:rPr>
          <w:spacing w:val="-8"/>
        </w:rPr>
        <w:t> </w:t>
      </w:r>
      <w:r>
        <w:rPr/>
        <w:t>cent)</w:t>
      </w:r>
      <w:r>
        <w:rPr>
          <w:spacing w:val="-8"/>
        </w:rPr>
        <w:t> </w:t>
      </w:r>
      <w:r>
        <w:rPr/>
        <w:t>and</w:t>
      </w:r>
      <w:r>
        <w:rPr>
          <w:spacing w:val="-8"/>
        </w:rPr>
        <w:t> </w:t>
      </w:r>
      <w:r>
        <w:rPr/>
        <w:t>Rajasthan (5.9 per cent).</w:t>
      </w:r>
    </w:p>
    <w:p>
      <w:pPr>
        <w:pStyle w:val="BodyText"/>
        <w:spacing w:before="22"/>
      </w:pPr>
    </w:p>
    <w:p>
      <w:pPr>
        <w:pStyle w:val="BodyText"/>
        <w:spacing w:line="266" w:lineRule="auto"/>
        <w:ind w:left="319" w:right="1077"/>
        <w:jc w:val="both"/>
      </w:pPr>
      <w:r>
        <w:rPr>
          <w:b/>
        </w:rPr>
        <w:t>Drop Outs: </w:t>
      </w:r>
      <w:r>
        <w:rPr/>
        <w:t>The drop-out rates represent percentage of</w:t>
      </w:r>
      <w:r>
        <w:rPr>
          <w:spacing w:val="-3"/>
        </w:rPr>
        <w:t> </w:t>
      </w:r>
      <w:r>
        <w:rPr/>
        <w:t>pupils</w:t>
      </w:r>
      <w:r>
        <w:rPr>
          <w:spacing w:val="-3"/>
        </w:rPr>
        <w:t> </w:t>
      </w:r>
      <w:r>
        <w:rPr/>
        <w:t>who</w:t>
      </w:r>
      <w:r>
        <w:rPr>
          <w:spacing w:val="-3"/>
        </w:rPr>
        <w:t> </w:t>
      </w:r>
      <w:r>
        <w:rPr/>
        <w:t>drop</w:t>
      </w:r>
      <w:r>
        <w:rPr>
          <w:spacing w:val="-3"/>
        </w:rPr>
        <w:t> </w:t>
      </w:r>
      <w:r>
        <w:rPr/>
        <w:t>out</w:t>
      </w:r>
      <w:r>
        <w:rPr>
          <w:spacing w:val="-3"/>
        </w:rPr>
        <w:t> </w:t>
      </w:r>
      <w:r>
        <w:rPr/>
        <w:t>from</w:t>
      </w:r>
      <w:r>
        <w:rPr>
          <w:spacing w:val="-3"/>
        </w:rPr>
        <w:t> </w:t>
      </w:r>
      <w:r>
        <w:rPr/>
        <w:t>a</w:t>
      </w:r>
      <w:r>
        <w:rPr>
          <w:spacing w:val="-3"/>
        </w:rPr>
        <w:t> </w:t>
      </w:r>
      <w:r>
        <w:rPr/>
        <w:t>given</w:t>
      </w:r>
      <w:r>
        <w:rPr>
          <w:spacing w:val="-3"/>
        </w:rPr>
        <w:t> </w:t>
      </w:r>
      <w:r>
        <w:rPr/>
        <w:t>grade</w:t>
      </w:r>
      <w:r>
        <w:rPr>
          <w:spacing w:val="-3"/>
        </w:rPr>
        <w:t> </w:t>
      </w:r>
      <w:r>
        <w:rPr/>
        <w:t>or</w:t>
      </w:r>
      <w:r>
        <w:rPr>
          <w:spacing w:val="-3"/>
        </w:rPr>
        <w:t> </w:t>
      </w:r>
      <w:r>
        <w:rPr/>
        <w:t>level</w:t>
      </w:r>
      <w:r>
        <w:rPr>
          <w:spacing w:val="-3"/>
        </w:rPr>
        <w:t> </w:t>
      </w:r>
      <w:r>
        <w:rPr/>
        <w:t>of education</w:t>
      </w:r>
      <w:r>
        <w:rPr>
          <w:spacing w:val="-14"/>
        </w:rPr>
        <w:t> </w:t>
      </w:r>
      <w:r>
        <w:rPr/>
        <w:t>in</w:t>
      </w:r>
      <w:r>
        <w:rPr>
          <w:spacing w:val="-14"/>
        </w:rPr>
        <w:t> </w:t>
      </w:r>
      <w:r>
        <w:rPr/>
        <w:t>a</w:t>
      </w:r>
      <w:r>
        <w:rPr>
          <w:spacing w:val="-14"/>
        </w:rPr>
        <w:t> </w:t>
      </w:r>
      <w:r>
        <w:rPr/>
        <w:t>given</w:t>
      </w:r>
      <w:r>
        <w:rPr>
          <w:spacing w:val="-13"/>
        </w:rPr>
        <w:t> </w:t>
      </w:r>
      <w:r>
        <w:rPr/>
        <w:t>school</w:t>
      </w:r>
      <w:r>
        <w:rPr>
          <w:spacing w:val="-14"/>
        </w:rPr>
        <w:t> </w:t>
      </w:r>
      <w:r>
        <w:rPr/>
        <w:t>year.</w:t>
      </w:r>
      <w:r>
        <w:rPr>
          <w:spacing w:val="-14"/>
        </w:rPr>
        <w:t> </w:t>
      </w:r>
      <w:r>
        <w:rPr/>
        <w:t>The</w:t>
      </w:r>
      <w:r>
        <w:rPr>
          <w:spacing w:val="-14"/>
        </w:rPr>
        <w:t> </w:t>
      </w:r>
      <w:r>
        <w:rPr/>
        <w:t>rate</w:t>
      </w:r>
      <w:r>
        <w:rPr>
          <w:spacing w:val="-13"/>
        </w:rPr>
        <w:t> </w:t>
      </w:r>
      <w:r>
        <w:rPr/>
        <w:t>of</w:t>
      </w:r>
      <w:r>
        <w:rPr>
          <w:spacing w:val="-13"/>
        </w:rPr>
        <w:t> </w:t>
      </w:r>
      <w:r>
        <w:rPr/>
        <w:t>drop</w:t>
      </w:r>
      <w:r>
        <w:rPr>
          <w:spacing w:val="-13"/>
        </w:rPr>
        <w:t> </w:t>
      </w:r>
      <w:r>
        <w:rPr/>
        <w:t>outs has</w:t>
      </w:r>
      <w:r>
        <w:rPr>
          <w:spacing w:val="-3"/>
        </w:rPr>
        <w:t> </w:t>
      </w:r>
      <w:r>
        <w:rPr/>
        <w:t>decreased</w:t>
      </w:r>
      <w:r>
        <w:rPr>
          <w:spacing w:val="-3"/>
        </w:rPr>
        <w:t> </w:t>
      </w:r>
      <w:r>
        <w:rPr/>
        <w:t>from</w:t>
      </w:r>
      <w:r>
        <w:rPr>
          <w:spacing w:val="-3"/>
        </w:rPr>
        <w:t> </w:t>
      </w:r>
      <w:r>
        <w:rPr/>
        <w:t>64.9</w:t>
      </w:r>
      <w:r>
        <w:rPr>
          <w:spacing w:val="-3"/>
        </w:rPr>
        <w:t> </w:t>
      </w:r>
      <w:r>
        <w:rPr/>
        <w:t>per</w:t>
      </w:r>
      <w:r>
        <w:rPr>
          <w:spacing w:val="-3"/>
        </w:rPr>
        <w:t> </w:t>
      </w:r>
      <w:r>
        <w:rPr/>
        <w:t>cent</w:t>
      </w:r>
      <w:r>
        <w:rPr>
          <w:spacing w:val="-3"/>
        </w:rPr>
        <w:t> </w:t>
      </w:r>
      <w:r>
        <w:rPr/>
        <w:t>in</w:t>
      </w:r>
      <w:r>
        <w:rPr>
          <w:spacing w:val="-3"/>
        </w:rPr>
        <w:t> </w:t>
      </w:r>
      <w:r>
        <w:rPr/>
        <w:t>1960-61</w:t>
      </w:r>
      <w:r>
        <w:rPr>
          <w:spacing w:val="-3"/>
        </w:rPr>
        <w:t> </w:t>
      </w:r>
      <w:r>
        <w:rPr/>
        <w:t>to</w:t>
      </w:r>
      <w:r>
        <w:rPr>
          <w:spacing w:val="-3"/>
        </w:rPr>
        <w:t> </w:t>
      </w:r>
      <w:r>
        <w:rPr/>
        <w:t>29.00 per cent in 2004-2005 in primary classes.</w:t>
      </w:r>
      <w:r>
        <w:rPr>
          <w:spacing w:val="-6"/>
        </w:rPr>
        <w:t> </w:t>
      </w:r>
      <w:r>
        <w:rPr/>
        <w:t>The rate of </w:t>
      </w:r>
      <w:r>
        <w:rPr>
          <w:spacing w:val="-2"/>
        </w:rPr>
        <w:t>dropout</w:t>
      </w:r>
      <w:r>
        <w:rPr>
          <w:spacing w:val="-9"/>
        </w:rPr>
        <w:t> </w:t>
      </w:r>
      <w:r>
        <w:rPr>
          <w:spacing w:val="-2"/>
        </w:rPr>
        <w:t>which</w:t>
      </w:r>
      <w:r>
        <w:rPr>
          <w:spacing w:val="-9"/>
        </w:rPr>
        <w:t> </w:t>
      </w:r>
      <w:r>
        <w:rPr>
          <w:spacing w:val="-2"/>
        </w:rPr>
        <w:t>was</w:t>
      </w:r>
      <w:r>
        <w:rPr>
          <w:spacing w:val="-9"/>
        </w:rPr>
        <w:t> </w:t>
      </w:r>
      <w:r>
        <w:rPr>
          <w:spacing w:val="-2"/>
        </w:rPr>
        <w:t>78.3</w:t>
      </w:r>
      <w:r>
        <w:rPr>
          <w:spacing w:val="-9"/>
        </w:rPr>
        <w:t> </w:t>
      </w:r>
      <w:r>
        <w:rPr>
          <w:spacing w:val="-2"/>
        </w:rPr>
        <w:t>per</w:t>
      </w:r>
      <w:r>
        <w:rPr>
          <w:spacing w:val="-9"/>
        </w:rPr>
        <w:t> </w:t>
      </w:r>
      <w:r>
        <w:rPr>
          <w:spacing w:val="-2"/>
        </w:rPr>
        <w:t>cent</w:t>
      </w:r>
      <w:r>
        <w:rPr>
          <w:spacing w:val="-9"/>
        </w:rPr>
        <w:t> </w:t>
      </w:r>
      <w:r>
        <w:rPr>
          <w:spacing w:val="-2"/>
        </w:rPr>
        <w:t>in</w:t>
      </w:r>
      <w:r>
        <w:rPr>
          <w:spacing w:val="-9"/>
        </w:rPr>
        <w:t> </w:t>
      </w:r>
      <w:r>
        <w:rPr>
          <w:spacing w:val="-2"/>
        </w:rPr>
        <w:t>1960-61,</w:t>
      </w:r>
      <w:r>
        <w:rPr>
          <w:spacing w:val="-9"/>
        </w:rPr>
        <w:t> </w:t>
      </w:r>
      <w:r>
        <w:rPr>
          <w:spacing w:val="-2"/>
        </w:rPr>
        <w:t>has</w:t>
      </w:r>
      <w:r>
        <w:rPr>
          <w:spacing w:val="-9"/>
        </w:rPr>
        <w:t> </w:t>
      </w:r>
      <w:r>
        <w:rPr>
          <w:spacing w:val="-2"/>
        </w:rPr>
        <w:t>come </w:t>
      </w:r>
      <w:r>
        <w:rPr/>
        <w:t>down to 50.84 per cent in 2004-2005 in the upper </w:t>
      </w:r>
      <w:r>
        <w:rPr>
          <w:spacing w:val="-2"/>
        </w:rPr>
        <w:t>primary</w:t>
      </w:r>
      <w:r>
        <w:rPr>
          <w:spacing w:val="1"/>
        </w:rPr>
        <w:t> </w:t>
      </w:r>
      <w:r>
        <w:rPr>
          <w:spacing w:val="-2"/>
        </w:rPr>
        <w:t>classes.</w:t>
      </w:r>
      <w:r>
        <w:rPr>
          <w:spacing w:val="2"/>
        </w:rPr>
        <w:t> </w:t>
      </w:r>
      <w:r>
        <w:rPr>
          <w:spacing w:val="-2"/>
        </w:rPr>
        <w:t>Similarly,</w:t>
      </w:r>
      <w:r>
        <w:rPr>
          <w:spacing w:val="2"/>
        </w:rPr>
        <w:t> </w:t>
      </w:r>
      <w:r>
        <w:rPr>
          <w:spacing w:val="-2"/>
        </w:rPr>
        <w:t>the</w:t>
      </w:r>
      <w:r>
        <w:rPr>
          <w:spacing w:val="2"/>
        </w:rPr>
        <w:t> </w:t>
      </w:r>
      <w:r>
        <w:rPr>
          <w:spacing w:val="-2"/>
        </w:rPr>
        <w:t>dropout</w:t>
      </w:r>
      <w:r>
        <w:rPr>
          <w:spacing w:val="2"/>
        </w:rPr>
        <w:t> </w:t>
      </w:r>
      <w:r>
        <w:rPr>
          <w:spacing w:val="-2"/>
        </w:rPr>
        <w:t>rate</w:t>
      </w:r>
      <w:r>
        <w:rPr>
          <w:spacing w:val="2"/>
        </w:rPr>
        <w:t> </w:t>
      </w:r>
      <w:r>
        <w:rPr>
          <w:spacing w:val="-2"/>
        </w:rPr>
        <w:t>which</w:t>
      </w:r>
      <w:r>
        <w:rPr>
          <w:spacing w:val="2"/>
        </w:rPr>
        <w:t> </w:t>
      </w:r>
      <w:r>
        <w:rPr>
          <w:spacing w:val="-8"/>
        </w:rPr>
        <w:t>was</w:t>
      </w:r>
    </w:p>
    <w:p>
      <w:pPr>
        <w:pStyle w:val="BodyText"/>
        <w:spacing w:line="266" w:lineRule="auto"/>
        <w:ind w:left="319" w:right="1077"/>
        <w:jc w:val="both"/>
      </w:pPr>
      <w:r>
        <w:rPr/>
        <w:t>82.5 per cent in 1980-81, has decreased to 61.92 per </w:t>
      </w:r>
      <w:r>
        <w:rPr>
          <w:spacing w:val="-4"/>
        </w:rPr>
        <w:t>cent</w:t>
      </w:r>
      <w:r>
        <w:rPr>
          <w:spacing w:val="-10"/>
        </w:rPr>
        <w:t> </w:t>
      </w:r>
      <w:r>
        <w:rPr>
          <w:spacing w:val="-4"/>
        </w:rPr>
        <w:t>in</w:t>
      </w:r>
      <w:r>
        <w:rPr>
          <w:spacing w:val="-10"/>
        </w:rPr>
        <w:t> </w:t>
      </w:r>
      <w:r>
        <w:rPr>
          <w:spacing w:val="-4"/>
        </w:rPr>
        <w:t>2004-2005</w:t>
      </w:r>
      <w:r>
        <w:rPr>
          <w:spacing w:val="-10"/>
        </w:rPr>
        <w:t> </w:t>
      </w:r>
      <w:r>
        <w:rPr>
          <w:spacing w:val="-4"/>
        </w:rPr>
        <w:t>in</w:t>
      </w:r>
      <w:r>
        <w:rPr>
          <w:spacing w:val="-9"/>
        </w:rPr>
        <w:t> </w:t>
      </w:r>
      <w:r>
        <w:rPr>
          <w:spacing w:val="-4"/>
        </w:rPr>
        <w:t>the</w:t>
      </w:r>
      <w:r>
        <w:rPr>
          <w:spacing w:val="-10"/>
        </w:rPr>
        <w:t> </w:t>
      </w:r>
      <w:r>
        <w:rPr>
          <w:spacing w:val="-4"/>
        </w:rPr>
        <w:t>secondary</w:t>
      </w:r>
      <w:r>
        <w:rPr>
          <w:spacing w:val="-10"/>
        </w:rPr>
        <w:t> </w:t>
      </w:r>
      <w:r>
        <w:rPr>
          <w:spacing w:val="-4"/>
        </w:rPr>
        <w:t>classes,</w:t>
      </w:r>
      <w:r>
        <w:rPr>
          <w:spacing w:val="-10"/>
        </w:rPr>
        <w:t> </w:t>
      </w:r>
      <w:r>
        <w:rPr>
          <w:spacing w:val="-4"/>
        </w:rPr>
        <w:t>implying</w:t>
      </w:r>
      <w:r>
        <w:rPr>
          <w:spacing w:val="-9"/>
        </w:rPr>
        <w:t> </w:t>
      </w:r>
      <w:r>
        <w:rPr>
          <w:spacing w:val="-4"/>
        </w:rPr>
        <w:t>an </w:t>
      </w:r>
      <w:r>
        <w:rPr/>
        <w:t>improvement in retention rates.</w:t>
      </w:r>
      <w:r>
        <w:rPr>
          <w:spacing w:val="-6"/>
        </w:rPr>
        <w:t> </w:t>
      </w:r>
      <w:r>
        <w:rPr/>
        <w:t>The drop-out rates at </w:t>
      </w:r>
      <w:r>
        <w:rPr>
          <w:spacing w:val="-4"/>
        </w:rPr>
        <w:t>primary</w:t>
      </w:r>
      <w:r>
        <w:rPr>
          <w:spacing w:val="-10"/>
        </w:rPr>
        <w:t> </w:t>
      </w:r>
      <w:r>
        <w:rPr>
          <w:spacing w:val="-4"/>
        </w:rPr>
        <w:t>levels</w:t>
      </w:r>
      <w:r>
        <w:rPr>
          <w:spacing w:val="-10"/>
        </w:rPr>
        <w:t> </w:t>
      </w:r>
      <w:r>
        <w:rPr>
          <w:spacing w:val="-4"/>
        </w:rPr>
        <w:t>for</w:t>
      </w:r>
      <w:r>
        <w:rPr>
          <w:spacing w:val="-10"/>
        </w:rPr>
        <w:t> </w:t>
      </w:r>
      <w:r>
        <w:rPr>
          <w:spacing w:val="-4"/>
        </w:rPr>
        <w:t>SCs</w:t>
      </w:r>
      <w:r>
        <w:rPr>
          <w:spacing w:val="-9"/>
        </w:rPr>
        <w:t> </w:t>
      </w:r>
      <w:r>
        <w:rPr>
          <w:spacing w:val="-4"/>
        </w:rPr>
        <w:t>(34.2</w:t>
      </w:r>
      <w:r>
        <w:rPr>
          <w:spacing w:val="-10"/>
        </w:rPr>
        <w:t> </w:t>
      </w:r>
      <w:r>
        <w:rPr>
          <w:spacing w:val="-4"/>
        </w:rPr>
        <w:t>per</w:t>
      </w:r>
      <w:r>
        <w:rPr>
          <w:spacing w:val="-10"/>
        </w:rPr>
        <w:t> </w:t>
      </w:r>
      <w:r>
        <w:rPr>
          <w:spacing w:val="-4"/>
        </w:rPr>
        <w:t>cent)</w:t>
      </w:r>
      <w:r>
        <w:rPr>
          <w:spacing w:val="-10"/>
        </w:rPr>
        <w:t> </w:t>
      </w:r>
      <w:r>
        <w:rPr>
          <w:spacing w:val="-4"/>
        </w:rPr>
        <w:t>and</w:t>
      </w:r>
      <w:r>
        <w:rPr>
          <w:spacing w:val="-9"/>
        </w:rPr>
        <w:t> </w:t>
      </w:r>
      <w:r>
        <w:rPr>
          <w:spacing w:val="-4"/>
        </w:rPr>
        <w:t>STs</w:t>
      </w:r>
      <w:r>
        <w:rPr>
          <w:spacing w:val="-10"/>
        </w:rPr>
        <w:t> </w:t>
      </w:r>
      <w:r>
        <w:rPr>
          <w:spacing w:val="-4"/>
        </w:rPr>
        <w:t>(42.3</w:t>
      </w:r>
      <w:r>
        <w:rPr>
          <w:spacing w:val="-10"/>
        </w:rPr>
        <w:t> </w:t>
      </w:r>
      <w:r>
        <w:rPr>
          <w:spacing w:val="-4"/>
        </w:rPr>
        <w:t>per </w:t>
      </w:r>
      <w:r>
        <w:rPr>
          <w:spacing w:val="-2"/>
        </w:rPr>
        <w:t>cent)</w:t>
      </w:r>
      <w:r>
        <w:rPr>
          <w:spacing w:val="-8"/>
        </w:rPr>
        <w:t> </w:t>
      </w:r>
      <w:r>
        <w:rPr>
          <w:spacing w:val="-2"/>
        </w:rPr>
        <w:t>are</w:t>
      </w:r>
      <w:r>
        <w:rPr>
          <w:spacing w:val="-8"/>
        </w:rPr>
        <w:t> </w:t>
      </w:r>
      <w:r>
        <w:rPr>
          <w:spacing w:val="-2"/>
        </w:rPr>
        <w:t>substantially</w:t>
      </w:r>
      <w:r>
        <w:rPr>
          <w:spacing w:val="-8"/>
        </w:rPr>
        <w:t> </w:t>
      </w:r>
      <w:r>
        <w:rPr>
          <w:spacing w:val="-2"/>
        </w:rPr>
        <w:t>higher</w:t>
      </w:r>
      <w:r>
        <w:rPr>
          <w:spacing w:val="-8"/>
        </w:rPr>
        <w:t> </w:t>
      </w:r>
      <w:r>
        <w:rPr>
          <w:spacing w:val="-2"/>
        </w:rPr>
        <w:t>than</w:t>
      </w:r>
      <w:r>
        <w:rPr>
          <w:spacing w:val="-8"/>
        </w:rPr>
        <w:t> </w:t>
      </w:r>
      <w:r>
        <w:rPr>
          <w:spacing w:val="-2"/>
        </w:rPr>
        <w:t>the</w:t>
      </w:r>
      <w:r>
        <w:rPr>
          <w:spacing w:val="-8"/>
        </w:rPr>
        <w:t> </w:t>
      </w:r>
      <w:r>
        <w:rPr>
          <w:spacing w:val="-2"/>
        </w:rPr>
        <w:t>national</w:t>
      </w:r>
      <w:r>
        <w:rPr>
          <w:spacing w:val="-8"/>
        </w:rPr>
        <w:t> </w:t>
      </w:r>
      <w:r>
        <w:rPr>
          <w:spacing w:val="-2"/>
        </w:rPr>
        <w:t>average </w:t>
      </w:r>
      <w:r>
        <w:rPr/>
        <w:t>(29 per cent).</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8"/>
        <w:spacing w:before="73"/>
        <w:ind w:left="1080"/>
      </w:pPr>
      <w:r>
        <w:rPr>
          <w:w w:val="90"/>
        </w:rPr>
        <w:t>Table</w:t>
      </w:r>
      <w:r>
        <w:rPr>
          <w:spacing w:val="6"/>
        </w:rPr>
        <w:t> </w:t>
      </w:r>
      <w:r>
        <w:rPr>
          <w:w w:val="90"/>
        </w:rPr>
        <w:t>5:</w:t>
      </w:r>
      <w:r>
        <w:rPr>
          <w:spacing w:val="7"/>
        </w:rPr>
        <w:t> </w:t>
      </w:r>
      <w:r>
        <w:rPr>
          <w:color w:val="2E614A"/>
          <w:w w:val="90"/>
        </w:rPr>
        <w:t>Number</w:t>
      </w:r>
      <w:r>
        <w:rPr>
          <w:color w:val="2E614A"/>
          <w:spacing w:val="6"/>
        </w:rPr>
        <w:t> </w:t>
      </w:r>
      <w:r>
        <w:rPr>
          <w:color w:val="2E614A"/>
          <w:w w:val="90"/>
        </w:rPr>
        <w:t>of</w:t>
      </w:r>
      <w:r>
        <w:rPr>
          <w:color w:val="2E614A"/>
          <w:spacing w:val="7"/>
        </w:rPr>
        <w:t> </w:t>
      </w:r>
      <w:r>
        <w:rPr>
          <w:color w:val="2E614A"/>
          <w:w w:val="90"/>
        </w:rPr>
        <w:t>teachers</w:t>
      </w:r>
      <w:r>
        <w:rPr>
          <w:color w:val="2E614A"/>
          <w:spacing w:val="6"/>
        </w:rPr>
        <w:t> </w:t>
      </w:r>
      <w:r>
        <w:rPr>
          <w:color w:val="2E614A"/>
          <w:w w:val="90"/>
        </w:rPr>
        <w:t>by</w:t>
      </w:r>
      <w:r>
        <w:rPr>
          <w:color w:val="2E614A"/>
          <w:spacing w:val="7"/>
        </w:rPr>
        <w:t> </w:t>
      </w:r>
      <w:r>
        <w:rPr>
          <w:color w:val="2E614A"/>
          <w:w w:val="90"/>
        </w:rPr>
        <w:t>type</w:t>
      </w:r>
      <w:r>
        <w:rPr>
          <w:color w:val="2E614A"/>
          <w:spacing w:val="7"/>
        </w:rPr>
        <w:t> </w:t>
      </w:r>
      <w:r>
        <w:rPr>
          <w:color w:val="2E614A"/>
          <w:w w:val="90"/>
        </w:rPr>
        <w:t>of</w:t>
      </w:r>
      <w:r>
        <w:rPr>
          <w:color w:val="2E614A"/>
          <w:spacing w:val="6"/>
        </w:rPr>
        <w:t> </w:t>
      </w:r>
      <w:r>
        <w:rPr>
          <w:color w:val="2E614A"/>
          <w:w w:val="90"/>
        </w:rPr>
        <w:t>schools</w:t>
      </w:r>
      <w:r>
        <w:rPr>
          <w:color w:val="2E614A"/>
          <w:spacing w:val="7"/>
        </w:rPr>
        <w:t> </w:t>
      </w:r>
      <w:r>
        <w:rPr>
          <w:color w:val="2E614A"/>
          <w:w w:val="90"/>
        </w:rPr>
        <w:t>and</w:t>
      </w:r>
      <w:r>
        <w:rPr>
          <w:color w:val="2E614A"/>
          <w:spacing w:val="6"/>
        </w:rPr>
        <w:t> </w:t>
      </w:r>
      <w:r>
        <w:rPr>
          <w:color w:val="2E614A"/>
          <w:w w:val="90"/>
        </w:rPr>
        <w:t>pupil:teacher</w:t>
      </w:r>
      <w:r>
        <w:rPr>
          <w:color w:val="2E614A"/>
          <w:spacing w:val="7"/>
        </w:rPr>
        <w:t> </w:t>
      </w:r>
      <w:r>
        <w:rPr>
          <w:color w:val="2E614A"/>
          <w:spacing w:val="-2"/>
          <w:w w:val="90"/>
        </w:rPr>
        <w:t>ratio</w:t>
      </w:r>
    </w:p>
    <w:p>
      <w:pPr>
        <w:pStyle w:val="BodyText"/>
        <w:spacing w:before="3"/>
        <w:rPr>
          <w:b/>
          <w:sz w:val="10"/>
        </w:rPr>
      </w:pPr>
    </w:p>
    <w:tbl>
      <w:tblPr>
        <w:tblW w:w="0" w:type="auto"/>
        <w:jc w:val="left"/>
        <w:tblInd w:w="10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39"/>
        <w:gridCol w:w="1875"/>
        <w:gridCol w:w="1875"/>
        <w:gridCol w:w="1875"/>
        <w:gridCol w:w="1875"/>
      </w:tblGrid>
      <w:tr>
        <w:trPr>
          <w:trHeight w:val="881" w:hRule="atLeast"/>
        </w:trPr>
        <w:tc>
          <w:tcPr>
            <w:tcW w:w="2239" w:type="dxa"/>
            <w:shd w:val="clear" w:color="auto" w:fill="D0D5CD"/>
          </w:tcPr>
          <w:p>
            <w:pPr>
              <w:pStyle w:val="TableParagraph"/>
              <w:ind w:left="90"/>
              <w:rPr>
                <w:b/>
                <w:sz w:val="20"/>
              </w:rPr>
            </w:pPr>
            <w:r>
              <w:rPr>
                <w:b/>
                <w:spacing w:val="-8"/>
                <w:sz w:val="20"/>
              </w:rPr>
              <w:t>Type</w:t>
            </w:r>
            <w:r>
              <w:rPr>
                <w:b/>
                <w:spacing w:val="-3"/>
                <w:sz w:val="20"/>
              </w:rPr>
              <w:t> </w:t>
            </w:r>
            <w:r>
              <w:rPr>
                <w:b/>
                <w:spacing w:val="-8"/>
                <w:sz w:val="20"/>
              </w:rPr>
              <w:t>of</w:t>
            </w:r>
            <w:r>
              <w:rPr>
                <w:b/>
                <w:spacing w:val="-2"/>
                <w:sz w:val="20"/>
              </w:rPr>
              <w:t> </w:t>
            </w:r>
            <w:r>
              <w:rPr>
                <w:b/>
                <w:spacing w:val="-8"/>
                <w:sz w:val="20"/>
              </w:rPr>
              <w:t>School</w:t>
            </w:r>
          </w:p>
        </w:tc>
        <w:tc>
          <w:tcPr>
            <w:tcW w:w="1875" w:type="dxa"/>
            <w:shd w:val="clear" w:color="auto" w:fill="D0D5CD"/>
          </w:tcPr>
          <w:p>
            <w:pPr>
              <w:pStyle w:val="TableParagraph"/>
              <w:spacing w:line="292" w:lineRule="auto"/>
              <w:ind w:left="599" w:right="330" w:hanging="260"/>
              <w:rPr>
                <w:b/>
                <w:sz w:val="20"/>
              </w:rPr>
            </w:pPr>
            <w:r>
              <w:rPr>
                <w:b/>
                <w:spacing w:val="-6"/>
                <w:sz w:val="20"/>
              </w:rPr>
              <w:t>No.</w:t>
            </w:r>
            <w:r>
              <w:rPr>
                <w:b/>
                <w:spacing w:val="-7"/>
                <w:sz w:val="20"/>
              </w:rPr>
              <w:t> </w:t>
            </w:r>
            <w:r>
              <w:rPr>
                <w:b/>
                <w:spacing w:val="-6"/>
                <w:sz w:val="20"/>
              </w:rPr>
              <w:t>of </w:t>
            </w:r>
            <w:r>
              <w:rPr>
                <w:b/>
                <w:spacing w:val="-6"/>
                <w:sz w:val="20"/>
              </w:rPr>
              <w:t>teachers </w:t>
            </w:r>
            <w:r>
              <w:rPr>
                <w:b/>
                <w:sz w:val="20"/>
              </w:rPr>
              <w:t>(in lakh)</w:t>
            </w:r>
          </w:p>
        </w:tc>
        <w:tc>
          <w:tcPr>
            <w:tcW w:w="1875" w:type="dxa"/>
            <w:shd w:val="clear" w:color="auto" w:fill="D0D5CD"/>
          </w:tcPr>
          <w:p>
            <w:pPr>
              <w:pStyle w:val="TableParagraph"/>
              <w:spacing w:line="292" w:lineRule="auto"/>
              <w:ind w:left="620" w:hanging="518"/>
              <w:rPr>
                <w:b/>
                <w:sz w:val="20"/>
              </w:rPr>
            </w:pPr>
            <w:r>
              <w:rPr>
                <w:b/>
                <w:w w:val="90"/>
                <w:sz w:val="20"/>
              </w:rPr>
              <w:t>Percentage</w:t>
            </w:r>
            <w:r>
              <w:rPr>
                <w:b/>
                <w:spacing w:val="-8"/>
                <w:w w:val="90"/>
                <w:sz w:val="20"/>
              </w:rPr>
              <w:t> </w:t>
            </w:r>
            <w:r>
              <w:rPr>
                <w:b/>
                <w:w w:val="90"/>
                <w:sz w:val="20"/>
              </w:rPr>
              <w:t>of</w:t>
            </w:r>
            <w:r>
              <w:rPr>
                <w:b/>
                <w:spacing w:val="-7"/>
                <w:w w:val="90"/>
                <w:sz w:val="20"/>
              </w:rPr>
              <w:t> </w:t>
            </w:r>
            <w:r>
              <w:rPr>
                <w:b/>
                <w:w w:val="90"/>
                <w:sz w:val="20"/>
              </w:rPr>
              <w:t>trained </w:t>
            </w:r>
            <w:r>
              <w:rPr>
                <w:b/>
                <w:spacing w:val="-2"/>
                <w:sz w:val="20"/>
              </w:rPr>
              <w:t>teachers</w:t>
            </w:r>
          </w:p>
        </w:tc>
        <w:tc>
          <w:tcPr>
            <w:tcW w:w="1875" w:type="dxa"/>
            <w:shd w:val="clear" w:color="auto" w:fill="D0D5CD"/>
          </w:tcPr>
          <w:p>
            <w:pPr>
              <w:pStyle w:val="TableParagraph"/>
              <w:spacing w:line="292" w:lineRule="auto"/>
              <w:ind w:left="228" w:right="151" w:hanging="65"/>
              <w:rPr>
                <w:b/>
                <w:sz w:val="20"/>
              </w:rPr>
            </w:pPr>
            <w:r>
              <w:rPr>
                <w:b/>
                <w:w w:val="90"/>
                <w:sz w:val="20"/>
              </w:rPr>
              <w:t>Female</w:t>
            </w:r>
            <w:r>
              <w:rPr>
                <w:b/>
                <w:spacing w:val="-8"/>
                <w:w w:val="90"/>
                <w:sz w:val="20"/>
              </w:rPr>
              <w:t> </w:t>
            </w:r>
            <w:r>
              <w:rPr>
                <w:b/>
                <w:w w:val="90"/>
                <w:sz w:val="20"/>
              </w:rPr>
              <w:t>teachers</w:t>
            </w:r>
            <w:r>
              <w:rPr>
                <w:b/>
                <w:spacing w:val="-7"/>
                <w:w w:val="90"/>
                <w:sz w:val="20"/>
              </w:rPr>
              <w:t> </w:t>
            </w:r>
            <w:r>
              <w:rPr>
                <w:b/>
                <w:w w:val="90"/>
                <w:sz w:val="20"/>
              </w:rPr>
              <w:t>per </w:t>
            </w:r>
            <w:r>
              <w:rPr>
                <w:b/>
                <w:spacing w:val="-2"/>
                <w:sz w:val="20"/>
              </w:rPr>
              <w:t>100</w:t>
            </w:r>
            <w:r>
              <w:rPr>
                <w:b/>
                <w:spacing w:val="-11"/>
                <w:sz w:val="20"/>
              </w:rPr>
              <w:t> </w:t>
            </w:r>
            <w:r>
              <w:rPr>
                <w:b/>
                <w:spacing w:val="-2"/>
                <w:sz w:val="20"/>
              </w:rPr>
              <w:t>male</w:t>
            </w:r>
            <w:r>
              <w:rPr>
                <w:b/>
                <w:spacing w:val="-10"/>
                <w:sz w:val="20"/>
              </w:rPr>
              <w:t> </w:t>
            </w:r>
            <w:r>
              <w:rPr>
                <w:b/>
                <w:spacing w:val="-2"/>
                <w:sz w:val="20"/>
              </w:rPr>
              <w:t>teachers</w:t>
            </w:r>
          </w:p>
        </w:tc>
        <w:tc>
          <w:tcPr>
            <w:tcW w:w="1875" w:type="dxa"/>
            <w:shd w:val="clear" w:color="auto" w:fill="D0D5CD"/>
          </w:tcPr>
          <w:p>
            <w:pPr>
              <w:pStyle w:val="TableParagraph"/>
              <w:ind w:left="207"/>
              <w:rPr>
                <w:b/>
                <w:sz w:val="20"/>
              </w:rPr>
            </w:pPr>
            <w:r>
              <w:rPr>
                <w:b/>
                <w:w w:val="90"/>
                <w:sz w:val="20"/>
              </w:rPr>
              <w:t>Pupil</w:t>
            </w:r>
            <w:r>
              <w:rPr>
                <w:b/>
                <w:spacing w:val="3"/>
                <w:sz w:val="20"/>
              </w:rPr>
              <w:t> </w:t>
            </w:r>
            <w:r>
              <w:rPr>
                <w:b/>
                <w:w w:val="90"/>
                <w:sz w:val="20"/>
              </w:rPr>
              <w:t>teacher</w:t>
            </w:r>
            <w:r>
              <w:rPr>
                <w:b/>
                <w:spacing w:val="4"/>
                <w:sz w:val="20"/>
              </w:rPr>
              <w:t> </w:t>
            </w:r>
            <w:r>
              <w:rPr>
                <w:b/>
                <w:spacing w:val="-2"/>
                <w:w w:val="90"/>
                <w:sz w:val="20"/>
              </w:rPr>
              <w:t>ratio</w:t>
            </w:r>
          </w:p>
        </w:tc>
      </w:tr>
      <w:tr>
        <w:trPr>
          <w:trHeight w:val="321" w:hRule="atLeast"/>
        </w:trPr>
        <w:tc>
          <w:tcPr>
            <w:tcW w:w="2239" w:type="dxa"/>
            <w:shd w:val="clear" w:color="auto" w:fill="E9E9E9"/>
          </w:tcPr>
          <w:p>
            <w:pPr>
              <w:pStyle w:val="TableParagraph"/>
              <w:ind w:left="89"/>
              <w:rPr>
                <w:sz w:val="20"/>
              </w:rPr>
            </w:pPr>
            <w:r>
              <w:rPr>
                <w:spacing w:val="-2"/>
                <w:sz w:val="20"/>
              </w:rPr>
              <w:t>Primary</w:t>
            </w:r>
          </w:p>
        </w:tc>
        <w:tc>
          <w:tcPr>
            <w:tcW w:w="1875" w:type="dxa"/>
            <w:shd w:val="clear" w:color="auto" w:fill="E9E9E9"/>
          </w:tcPr>
          <w:p>
            <w:pPr>
              <w:pStyle w:val="TableParagraph"/>
              <w:ind w:right="622"/>
              <w:jc w:val="right"/>
              <w:rPr>
                <w:sz w:val="20"/>
              </w:rPr>
            </w:pPr>
            <w:r>
              <w:rPr>
                <w:spacing w:val="-4"/>
                <w:sz w:val="20"/>
              </w:rPr>
              <w:t>21.8</w:t>
            </w:r>
          </w:p>
        </w:tc>
        <w:tc>
          <w:tcPr>
            <w:tcW w:w="1875" w:type="dxa"/>
            <w:shd w:val="clear" w:color="auto" w:fill="E9E9E9"/>
          </w:tcPr>
          <w:p>
            <w:pPr>
              <w:pStyle w:val="TableParagraph"/>
              <w:ind w:right="622"/>
              <w:jc w:val="right"/>
              <w:rPr>
                <w:sz w:val="20"/>
              </w:rPr>
            </w:pPr>
            <w:r>
              <w:rPr>
                <w:spacing w:val="-5"/>
                <w:sz w:val="20"/>
              </w:rPr>
              <w:t>86</w:t>
            </w:r>
          </w:p>
        </w:tc>
        <w:tc>
          <w:tcPr>
            <w:tcW w:w="1875" w:type="dxa"/>
            <w:shd w:val="clear" w:color="auto" w:fill="E9E9E9"/>
          </w:tcPr>
          <w:p>
            <w:pPr>
              <w:pStyle w:val="TableParagraph"/>
              <w:ind w:right="621"/>
              <w:jc w:val="right"/>
              <w:rPr>
                <w:sz w:val="20"/>
              </w:rPr>
            </w:pPr>
            <w:r>
              <w:rPr>
                <w:spacing w:val="-5"/>
                <w:sz w:val="20"/>
              </w:rPr>
              <w:t>65</w:t>
            </w:r>
          </w:p>
        </w:tc>
        <w:tc>
          <w:tcPr>
            <w:tcW w:w="1875" w:type="dxa"/>
            <w:shd w:val="clear" w:color="auto" w:fill="E9E9E9"/>
          </w:tcPr>
          <w:p>
            <w:pPr>
              <w:pStyle w:val="TableParagraph"/>
              <w:ind w:left="423"/>
              <w:jc w:val="center"/>
              <w:rPr>
                <w:sz w:val="20"/>
              </w:rPr>
            </w:pPr>
            <w:r>
              <w:rPr>
                <w:spacing w:val="-5"/>
                <w:sz w:val="20"/>
              </w:rPr>
              <w:t>46</w:t>
            </w:r>
          </w:p>
        </w:tc>
      </w:tr>
      <w:tr>
        <w:trPr>
          <w:trHeight w:val="321" w:hRule="atLeast"/>
        </w:trPr>
        <w:tc>
          <w:tcPr>
            <w:tcW w:w="2239" w:type="dxa"/>
            <w:shd w:val="clear" w:color="auto" w:fill="D0D5CD"/>
          </w:tcPr>
          <w:p>
            <w:pPr>
              <w:pStyle w:val="TableParagraph"/>
              <w:ind w:left="90"/>
              <w:rPr>
                <w:sz w:val="20"/>
              </w:rPr>
            </w:pPr>
            <w:r>
              <w:rPr>
                <w:sz w:val="20"/>
              </w:rPr>
              <w:t>Upper</w:t>
            </w:r>
            <w:r>
              <w:rPr>
                <w:spacing w:val="-9"/>
                <w:sz w:val="20"/>
              </w:rPr>
              <w:t> </w:t>
            </w:r>
            <w:r>
              <w:rPr>
                <w:spacing w:val="-2"/>
                <w:sz w:val="20"/>
              </w:rPr>
              <w:t>primary</w:t>
            </w:r>
          </w:p>
        </w:tc>
        <w:tc>
          <w:tcPr>
            <w:tcW w:w="1875" w:type="dxa"/>
            <w:shd w:val="clear" w:color="auto" w:fill="D0D5CD"/>
          </w:tcPr>
          <w:p>
            <w:pPr>
              <w:pStyle w:val="TableParagraph"/>
              <w:ind w:right="622"/>
              <w:jc w:val="right"/>
              <w:rPr>
                <w:sz w:val="20"/>
              </w:rPr>
            </w:pPr>
            <w:r>
              <w:rPr>
                <w:spacing w:val="-4"/>
                <w:sz w:val="20"/>
              </w:rPr>
              <w:t>16.7</w:t>
            </w:r>
          </w:p>
        </w:tc>
        <w:tc>
          <w:tcPr>
            <w:tcW w:w="1875" w:type="dxa"/>
            <w:shd w:val="clear" w:color="auto" w:fill="D0D5CD"/>
          </w:tcPr>
          <w:p>
            <w:pPr>
              <w:pStyle w:val="TableParagraph"/>
              <w:ind w:right="622"/>
              <w:jc w:val="right"/>
              <w:rPr>
                <w:sz w:val="20"/>
              </w:rPr>
            </w:pPr>
            <w:r>
              <w:rPr>
                <w:spacing w:val="-5"/>
                <w:sz w:val="20"/>
              </w:rPr>
              <w:t>87</w:t>
            </w:r>
          </w:p>
        </w:tc>
        <w:tc>
          <w:tcPr>
            <w:tcW w:w="1875" w:type="dxa"/>
            <w:shd w:val="clear" w:color="auto" w:fill="D0D5CD"/>
          </w:tcPr>
          <w:p>
            <w:pPr>
              <w:pStyle w:val="TableParagraph"/>
              <w:ind w:right="621"/>
              <w:jc w:val="right"/>
              <w:rPr>
                <w:sz w:val="20"/>
              </w:rPr>
            </w:pPr>
            <w:r>
              <w:rPr>
                <w:spacing w:val="-5"/>
                <w:sz w:val="20"/>
              </w:rPr>
              <w:t>67</w:t>
            </w:r>
          </w:p>
        </w:tc>
        <w:tc>
          <w:tcPr>
            <w:tcW w:w="1875" w:type="dxa"/>
            <w:shd w:val="clear" w:color="auto" w:fill="D0D5CD"/>
          </w:tcPr>
          <w:p>
            <w:pPr>
              <w:pStyle w:val="TableParagraph"/>
              <w:ind w:left="423"/>
              <w:jc w:val="center"/>
              <w:rPr>
                <w:sz w:val="20"/>
              </w:rPr>
            </w:pPr>
            <w:r>
              <w:rPr>
                <w:spacing w:val="-5"/>
                <w:sz w:val="20"/>
              </w:rPr>
              <w:t>34</w:t>
            </w:r>
          </w:p>
        </w:tc>
      </w:tr>
      <w:tr>
        <w:trPr>
          <w:trHeight w:val="321" w:hRule="atLeast"/>
        </w:trPr>
        <w:tc>
          <w:tcPr>
            <w:tcW w:w="2239" w:type="dxa"/>
            <w:shd w:val="clear" w:color="auto" w:fill="E9E9E9"/>
          </w:tcPr>
          <w:p>
            <w:pPr>
              <w:pStyle w:val="TableParagraph"/>
              <w:ind w:left="90"/>
              <w:rPr>
                <w:sz w:val="20"/>
              </w:rPr>
            </w:pPr>
            <w:r>
              <w:rPr>
                <w:sz w:val="20"/>
              </w:rPr>
              <w:t>High</w:t>
            </w:r>
            <w:r>
              <w:rPr>
                <w:spacing w:val="-1"/>
                <w:sz w:val="20"/>
              </w:rPr>
              <w:t> </w:t>
            </w:r>
            <w:r>
              <w:rPr>
                <w:spacing w:val="-2"/>
                <w:sz w:val="20"/>
              </w:rPr>
              <w:t>schools</w:t>
            </w:r>
          </w:p>
        </w:tc>
        <w:tc>
          <w:tcPr>
            <w:tcW w:w="1875" w:type="dxa"/>
            <w:shd w:val="clear" w:color="auto" w:fill="E9E9E9"/>
          </w:tcPr>
          <w:p>
            <w:pPr>
              <w:pStyle w:val="TableParagraph"/>
              <w:ind w:right="622"/>
              <w:jc w:val="right"/>
              <w:rPr>
                <w:sz w:val="20"/>
              </w:rPr>
            </w:pPr>
            <w:r>
              <w:rPr>
                <w:spacing w:val="-4"/>
                <w:sz w:val="20"/>
              </w:rPr>
              <w:t>11.2</w:t>
            </w:r>
          </w:p>
        </w:tc>
        <w:tc>
          <w:tcPr>
            <w:tcW w:w="1875" w:type="dxa"/>
            <w:shd w:val="clear" w:color="auto" w:fill="E9E9E9"/>
          </w:tcPr>
          <w:p>
            <w:pPr>
              <w:pStyle w:val="TableParagraph"/>
              <w:ind w:right="622"/>
              <w:jc w:val="right"/>
              <w:rPr>
                <w:sz w:val="20"/>
              </w:rPr>
            </w:pPr>
            <w:r>
              <w:rPr>
                <w:spacing w:val="-5"/>
                <w:sz w:val="20"/>
              </w:rPr>
              <w:t>89</w:t>
            </w:r>
          </w:p>
        </w:tc>
        <w:tc>
          <w:tcPr>
            <w:tcW w:w="1875" w:type="dxa"/>
            <w:shd w:val="clear" w:color="auto" w:fill="E9E9E9"/>
          </w:tcPr>
          <w:p>
            <w:pPr>
              <w:pStyle w:val="TableParagraph"/>
              <w:ind w:right="621"/>
              <w:jc w:val="right"/>
              <w:rPr>
                <w:sz w:val="20"/>
              </w:rPr>
            </w:pPr>
            <w:r>
              <w:rPr>
                <w:spacing w:val="-5"/>
                <w:sz w:val="20"/>
              </w:rPr>
              <w:t>61</w:t>
            </w:r>
          </w:p>
        </w:tc>
        <w:tc>
          <w:tcPr>
            <w:tcW w:w="1875" w:type="dxa"/>
            <w:shd w:val="clear" w:color="auto" w:fill="E9E9E9"/>
          </w:tcPr>
          <w:p>
            <w:pPr>
              <w:pStyle w:val="TableParagraph"/>
              <w:ind w:left="423"/>
              <w:jc w:val="center"/>
              <w:rPr>
                <w:sz w:val="20"/>
              </w:rPr>
            </w:pPr>
            <w:r>
              <w:rPr>
                <w:spacing w:val="-5"/>
                <w:sz w:val="20"/>
              </w:rPr>
              <w:t>32</w:t>
            </w:r>
          </w:p>
        </w:tc>
      </w:tr>
      <w:tr>
        <w:trPr>
          <w:trHeight w:val="321" w:hRule="atLeast"/>
        </w:trPr>
        <w:tc>
          <w:tcPr>
            <w:tcW w:w="2239" w:type="dxa"/>
            <w:shd w:val="clear" w:color="auto" w:fill="D0D5CD"/>
          </w:tcPr>
          <w:p>
            <w:pPr>
              <w:pStyle w:val="TableParagraph"/>
              <w:ind w:left="90"/>
              <w:rPr>
                <w:sz w:val="20"/>
              </w:rPr>
            </w:pPr>
            <w:r>
              <w:rPr>
                <w:spacing w:val="-2"/>
                <w:sz w:val="20"/>
              </w:rPr>
              <w:t>Higher/</w:t>
            </w:r>
            <w:r>
              <w:rPr>
                <w:spacing w:val="-3"/>
                <w:sz w:val="20"/>
              </w:rPr>
              <w:t> </w:t>
            </w:r>
            <w:r>
              <w:rPr>
                <w:spacing w:val="-2"/>
                <w:sz w:val="20"/>
              </w:rPr>
              <w:t>Senior</w:t>
            </w:r>
            <w:r>
              <w:rPr>
                <w:spacing w:val="-3"/>
                <w:sz w:val="20"/>
              </w:rPr>
              <w:t> </w:t>
            </w:r>
            <w:r>
              <w:rPr>
                <w:spacing w:val="-2"/>
                <w:sz w:val="20"/>
              </w:rPr>
              <w:t>secondary</w:t>
            </w:r>
          </w:p>
        </w:tc>
        <w:tc>
          <w:tcPr>
            <w:tcW w:w="1875" w:type="dxa"/>
            <w:shd w:val="clear" w:color="auto" w:fill="D0D5CD"/>
          </w:tcPr>
          <w:p>
            <w:pPr>
              <w:pStyle w:val="TableParagraph"/>
              <w:ind w:right="622"/>
              <w:jc w:val="right"/>
              <w:rPr>
                <w:sz w:val="20"/>
              </w:rPr>
            </w:pPr>
            <w:r>
              <w:rPr>
                <w:spacing w:val="-4"/>
                <w:sz w:val="20"/>
              </w:rPr>
              <w:t>10.3</w:t>
            </w:r>
          </w:p>
        </w:tc>
        <w:tc>
          <w:tcPr>
            <w:tcW w:w="1875" w:type="dxa"/>
            <w:shd w:val="clear" w:color="auto" w:fill="D0D5CD"/>
          </w:tcPr>
          <w:p>
            <w:pPr>
              <w:pStyle w:val="TableParagraph"/>
              <w:ind w:right="622"/>
              <w:jc w:val="right"/>
              <w:rPr>
                <w:sz w:val="20"/>
              </w:rPr>
            </w:pPr>
            <w:r>
              <w:rPr>
                <w:spacing w:val="-5"/>
                <w:sz w:val="20"/>
              </w:rPr>
              <w:t>90</w:t>
            </w:r>
          </w:p>
        </w:tc>
        <w:tc>
          <w:tcPr>
            <w:tcW w:w="1875" w:type="dxa"/>
            <w:shd w:val="clear" w:color="auto" w:fill="D0D5CD"/>
          </w:tcPr>
          <w:p>
            <w:pPr>
              <w:pStyle w:val="TableParagraph"/>
              <w:ind w:right="621"/>
              <w:jc w:val="right"/>
              <w:rPr>
                <w:sz w:val="20"/>
              </w:rPr>
            </w:pPr>
            <w:r>
              <w:rPr>
                <w:spacing w:val="-5"/>
                <w:sz w:val="20"/>
              </w:rPr>
              <w:t>62</w:t>
            </w:r>
          </w:p>
        </w:tc>
        <w:tc>
          <w:tcPr>
            <w:tcW w:w="1875" w:type="dxa"/>
            <w:shd w:val="clear" w:color="auto" w:fill="D0D5CD"/>
          </w:tcPr>
          <w:p>
            <w:pPr>
              <w:pStyle w:val="TableParagraph"/>
              <w:ind w:left="423"/>
              <w:jc w:val="center"/>
              <w:rPr>
                <w:sz w:val="20"/>
              </w:rPr>
            </w:pPr>
            <w:r>
              <w:rPr>
                <w:spacing w:val="-5"/>
                <w:sz w:val="20"/>
              </w:rPr>
              <w:t>34</w:t>
            </w:r>
          </w:p>
        </w:tc>
      </w:tr>
    </w:tbl>
    <w:p>
      <w:pPr>
        <w:spacing w:before="53"/>
        <w:ind w:left="1079" w:right="0" w:firstLine="0"/>
        <w:jc w:val="left"/>
        <w:rPr>
          <w:sz w:val="16"/>
        </w:rPr>
      </w:pPr>
      <w:r>
        <w:rPr>
          <w:i/>
          <w:spacing w:val="-6"/>
          <w:sz w:val="16"/>
        </w:rPr>
        <w:t>Source:</w:t>
      </w:r>
      <w:r>
        <w:rPr>
          <w:i/>
          <w:spacing w:val="8"/>
          <w:sz w:val="16"/>
        </w:rPr>
        <w:t> </w:t>
      </w:r>
      <w:r>
        <w:rPr>
          <w:spacing w:val="-6"/>
          <w:sz w:val="16"/>
        </w:rPr>
        <w:t>National</w:t>
      </w:r>
      <w:r>
        <w:rPr>
          <w:spacing w:val="8"/>
          <w:sz w:val="16"/>
        </w:rPr>
        <w:t> </w:t>
      </w:r>
      <w:r>
        <w:rPr>
          <w:spacing w:val="-6"/>
          <w:sz w:val="16"/>
        </w:rPr>
        <w:t>Level</w:t>
      </w:r>
      <w:r>
        <w:rPr>
          <w:spacing w:val="8"/>
          <w:sz w:val="16"/>
        </w:rPr>
        <w:t> </w:t>
      </w:r>
      <w:r>
        <w:rPr>
          <w:spacing w:val="-6"/>
          <w:sz w:val="16"/>
        </w:rPr>
        <w:t>Statistics</w:t>
      </w:r>
      <w:r>
        <w:rPr>
          <w:spacing w:val="9"/>
          <w:sz w:val="16"/>
        </w:rPr>
        <w:t> </w:t>
      </w:r>
      <w:r>
        <w:rPr>
          <w:spacing w:val="-6"/>
          <w:sz w:val="16"/>
        </w:rPr>
        <w:t>2005-06,</w:t>
      </w:r>
      <w:r>
        <w:rPr>
          <w:spacing w:val="8"/>
          <w:sz w:val="16"/>
        </w:rPr>
        <w:t> </w:t>
      </w:r>
      <w:r>
        <w:rPr>
          <w:spacing w:val="-6"/>
          <w:sz w:val="16"/>
        </w:rPr>
        <w:t>MHRD</w:t>
      </w:r>
    </w:p>
    <w:p>
      <w:pPr>
        <w:pStyle w:val="BodyText"/>
        <w:spacing w:before="153"/>
        <w:rPr>
          <w:sz w:val="20"/>
        </w:rPr>
      </w:pPr>
    </w:p>
    <w:p>
      <w:pPr>
        <w:spacing w:after="0"/>
        <w:rPr>
          <w:sz w:val="20"/>
        </w:rPr>
        <w:sectPr>
          <w:pgSz w:w="11910" w:h="16840"/>
          <w:pgMar w:header="0" w:footer="675" w:top="940" w:bottom="860" w:left="0" w:right="0"/>
        </w:sectPr>
      </w:pPr>
    </w:p>
    <w:p>
      <w:pPr>
        <w:pStyle w:val="BodyText"/>
        <w:spacing w:line="266" w:lineRule="auto" w:before="85"/>
        <w:ind w:left="1080"/>
        <w:jc w:val="both"/>
      </w:pPr>
      <w:r>
        <w:rPr>
          <w:b/>
        </w:rPr>
        <w:t>Teachers: </w:t>
      </w:r>
      <w:r>
        <w:rPr/>
        <w:t>The total number of teachers in </w:t>
      </w:r>
      <w:r>
        <w:rPr/>
        <w:t>primary schools increased from 5.38 lakh in 1950-51 to 21.6 lakh in 2004-2005 i.e. by more than four times. </w:t>
      </w:r>
      <w:r>
        <w:rPr>
          <w:spacing w:val="-4"/>
        </w:rPr>
        <w:t>However,</w:t>
      </w:r>
      <w:r>
        <w:rPr>
          <w:spacing w:val="-8"/>
        </w:rPr>
        <w:t> </w:t>
      </w:r>
      <w:r>
        <w:rPr>
          <w:spacing w:val="-4"/>
        </w:rPr>
        <w:t>the</w:t>
      </w:r>
      <w:r>
        <w:rPr>
          <w:spacing w:val="-8"/>
        </w:rPr>
        <w:t> </w:t>
      </w:r>
      <w:r>
        <w:rPr>
          <w:spacing w:val="-4"/>
        </w:rPr>
        <w:t>number</w:t>
      </w:r>
      <w:r>
        <w:rPr>
          <w:spacing w:val="-8"/>
        </w:rPr>
        <w:t> </w:t>
      </w:r>
      <w:r>
        <w:rPr>
          <w:spacing w:val="-4"/>
        </w:rPr>
        <w:t>of</w:t>
      </w:r>
      <w:r>
        <w:rPr>
          <w:spacing w:val="-8"/>
        </w:rPr>
        <w:t> </w:t>
      </w:r>
      <w:r>
        <w:rPr>
          <w:spacing w:val="-4"/>
        </w:rPr>
        <w:t>teachers</w:t>
      </w:r>
      <w:r>
        <w:rPr>
          <w:spacing w:val="-8"/>
        </w:rPr>
        <w:t> </w:t>
      </w:r>
      <w:r>
        <w:rPr>
          <w:spacing w:val="-4"/>
        </w:rPr>
        <w:t>is</w:t>
      </w:r>
      <w:r>
        <w:rPr>
          <w:spacing w:val="-8"/>
        </w:rPr>
        <w:t> </w:t>
      </w:r>
      <w:r>
        <w:rPr>
          <w:spacing w:val="-4"/>
        </w:rPr>
        <w:t>still</w:t>
      </w:r>
      <w:r>
        <w:rPr>
          <w:spacing w:val="-8"/>
        </w:rPr>
        <w:t> </w:t>
      </w:r>
      <w:r>
        <w:rPr>
          <w:spacing w:val="-4"/>
        </w:rPr>
        <w:t>not</w:t>
      </w:r>
      <w:r>
        <w:rPr>
          <w:spacing w:val="-8"/>
        </w:rPr>
        <w:t> </w:t>
      </w:r>
      <w:r>
        <w:rPr>
          <w:spacing w:val="-4"/>
        </w:rPr>
        <w:t>adequate</w:t>
      </w:r>
      <w:r>
        <w:rPr>
          <w:spacing w:val="-8"/>
        </w:rPr>
        <w:t> </w:t>
      </w:r>
      <w:r>
        <w:rPr>
          <w:spacing w:val="-4"/>
        </w:rPr>
        <w:t>to </w:t>
      </w:r>
      <w:r>
        <w:rPr/>
        <w:t>meet</w:t>
      </w:r>
      <w:r>
        <w:rPr>
          <w:spacing w:val="-10"/>
        </w:rPr>
        <w:t> </w:t>
      </w:r>
      <w:r>
        <w:rPr/>
        <w:t>the</w:t>
      </w:r>
      <w:r>
        <w:rPr>
          <w:spacing w:val="-10"/>
        </w:rPr>
        <w:t> </w:t>
      </w:r>
      <w:r>
        <w:rPr/>
        <w:t>needs</w:t>
      </w:r>
      <w:r>
        <w:rPr>
          <w:spacing w:val="-10"/>
        </w:rPr>
        <w:t> </w:t>
      </w:r>
      <w:r>
        <w:rPr/>
        <w:t>of</w:t>
      </w:r>
      <w:r>
        <w:rPr>
          <w:spacing w:val="-10"/>
        </w:rPr>
        <w:t> </w:t>
      </w:r>
      <w:r>
        <w:rPr/>
        <w:t>the</w:t>
      </w:r>
      <w:r>
        <w:rPr>
          <w:spacing w:val="-10"/>
        </w:rPr>
        <w:t> </w:t>
      </w:r>
      <w:r>
        <w:rPr/>
        <w:t>bourgeoning</w:t>
      </w:r>
      <w:r>
        <w:rPr>
          <w:spacing w:val="-10"/>
        </w:rPr>
        <w:t> </w:t>
      </w:r>
      <w:r>
        <w:rPr/>
        <w:t>student</w:t>
      </w:r>
      <w:r>
        <w:rPr>
          <w:spacing w:val="-10"/>
        </w:rPr>
        <w:t> </w:t>
      </w:r>
      <w:r>
        <w:rPr/>
        <w:t>population as is evident from the teacher pupil ratio.</w:t>
      </w:r>
    </w:p>
    <w:p>
      <w:pPr>
        <w:pStyle w:val="BodyText"/>
        <w:spacing w:before="22"/>
      </w:pPr>
    </w:p>
    <w:p>
      <w:pPr>
        <w:pStyle w:val="BodyText"/>
        <w:spacing w:line="266" w:lineRule="auto"/>
        <w:ind w:left="1080"/>
        <w:jc w:val="both"/>
      </w:pPr>
      <w:r>
        <w:rPr/>
        <w:t>During the year 1950-51 the pupil teacher ratio </w:t>
      </w:r>
      <w:r>
        <w:rPr/>
        <w:t>in primary schools was 1:24, in middle schools it was 1:20</w:t>
      </w:r>
      <w:r>
        <w:rPr>
          <w:spacing w:val="-14"/>
        </w:rPr>
        <w:t> </w:t>
      </w:r>
      <w:r>
        <w:rPr/>
        <w:t>and</w:t>
      </w:r>
      <w:r>
        <w:rPr>
          <w:spacing w:val="-14"/>
        </w:rPr>
        <w:t> </w:t>
      </w:r>
      <w:r>
        <w:rPr/>
        <w:t>in</w:t>
      </w:r>
      <w:r>
        <w:rPr>
          <w:spacing w:val="-14"/>
        </w:rPr>
        <w:t> </w:t>
      </w:r>
      <w:r>
        <w:rPr/>
        <w:t>higher/higher</w:t>
      </w:r>
      <w:r>
        <w:rPr>
          <w:spacing w:val="-13"/>
        </w:rPr>
        <w:t> </w:t>
      </w:r>
      <w:r>
        <w:rPr/>
        <w:t>secondary</w:t>
      </w:r>
      <w:r>
        <w:rPr>
          <w:spacing w:val="-14"/>
        </w:rPr>
        <w:t> </w:t>
      </w:r>
      <w:r>
        <w:rPr/>
        <w:t>schools,</w:t>
      </w:r>
      <w:r>
        <w:rPr>
          <w:spacing w:val="-14"/>
        </w:rPr>
        <w:t> </w:t>
      </w:r>
      <w:r>
        <w:rPr/>
        <w:t>the</w:t>
      </w:r>
      <w:r>
        <w:rPr>
          <w:spacing w:val="-14"/>
        </w:rPr>
        <w:t> </w:t>
      </w:r>
      <w:r>
        <w:rPr/>
        <w:t>pupil teacher ratio was 1:21. By 2004-2005 this ratio had increased to 1:46 in primary schools; 1:35 in upper </w:t>
      </w:r>
      <w:r>
        <w:rPr>
          <w:spacing w:val="-6"/>
        </w:rPr>
        <w:t>primary schools and 1:33 in secondary/senior secondary </w:t>
      </w:r>
      <w:r>
        <w:rPr>
          <w:spacing w:val="-2"/>
        </w:rPr>
        <w:t>schools.</w:t>
      </w:r>
      <w:r>
        <w:rPr>
          <w:spacing w:val="-12"/>
        </w:rPr>
        <w:t> </w:t>
      </w:r>
      <w:r>
        <w:rPr>
          <w:spacing w:val="-2"/>
        </w:rPr>
        <w:t>Though</w:t>
      </w:r>
      <w:r>
        <w:rPr>
          <w:spacing w:val="-12"/>
        </w:rPr>
        <w:t> </w:t>
      </w:r>
      <w:r>
        <w:rPr>
          <w:spacing w:val="-2"/>
        </w:rPr>
        <w:t>the</w:t>
      </w:r>
      <w:r>
        <w:rPr>
          <w:spacing w:val="-12"/>
        </w:rPr>
        <w:t> </w:t>
      </w:r>
      <w:r>
        <w:rPr>
          <w:spacing w:val="-2"/>
        </w:rPr>
        <w:t>number</w:t>
      </w:r>
      <w:r>
        <w:rPr>
          <w:spacing w:val="-11"/>
        </w:rPr>
        <w:t> </w:t>
      </w:r>
      <w:r>
        <w:rPr>
          <w:spacing w:val="-2"/>
        </w:rPr>
        <w:t>of</w:t>
      </w:r>
      <w:r>
        <w:rPr>
          <w:spacing w:val="-12"/>
        </w:rPr>
        <w:t> </w:t>
      </w:r>
      <w:r>
        <w:rPr>
          <w:spacing w:val="-2"/>
        </w:rPr>
        <w:t>educational</w:t>
      </w:r>
      <w:r>
        <w:rPr>
          <w:spacing w:val="-12"/>
        </w:rPr>
        <w:t> </w:t>
      </w:r>
      <w:r>
        <w:rPr>
          <w:spacing w:val="-2"/>
        </w:rPr>
        <w:t>institutions </w:t>
      </w:r>
      <w:r>
        <w:rPr>
          <w:spacing w:val="-4"/>
        </w:rPr>
        <w:t>has</w:t>
      </w:r>
      <w:r>
        <w:rPr>
          <w:spacing w:val="-5"/>
        </w:rPr>
        <w:t> </w:t>
      </w:r>
      <w:r>
        <w:rPr>
          <w:spacing w:val="-4"/>
        </w:rPr>
        <w:t>considerably</w:t>
      </w:r>
      <w:r>
        <w:rPr>
          <w:spacing w:val="-5"/>
        </w:rPr>
        <w:t> </w:t>
      </w:r>
      <w:r>
        <w:rPr>
          <w:spacing w:val="-4"/>
        </w:rPr>
        <w:t>increased</w:t>
      </w:r>
      <w:r>
        <w:rPr>
          <w:spacing w:val="-5"/>
        </w:rPr>
        <w:t> </w:t>
      </w:r>
      <w:r>
        <w:rPr>
          <w:spacing w:val="-4"/>
        </w:rPr>
        <w:t>after</w:t>
      </w:r>
      <w:r>
        <w:rPr>
          <w:spacing w:val="-5"/>
        </w:rPr>
        <w:t> </w:t>
      </w:r>
      <w:r>
        <w:rPr>
          <w:spacing w:val="-4"/>
        </w:rPr>
        <w:t>Independence</w:t>
      </w:r>
      <w:r>
        <w:rPr>
          <w:spacing w:val="-5"/>
        </w:rPr>
        <w:t> </w:t>
      </w:r>
      <w:r>
        <w:rPr>
          <w:spacing w:val="-4"/>
        </w:rPr>
        <w:t>and</w:t>
      </w:r>
      <w:r>
        <w:rPr>
          <w:spacing w:val="-5"/>
        </w:rPr>
        <w:t> </w:t>
      </w:r>
      <w:r>
        <w:rPr>
          <w:spacing w:val="-4"/>
        </w:rPr>
        <w:t>also </w:t>
      </w:r>
      <w:r>
        <w:rPr/>
        <w:t>the</w:t>
      </w:r>
      <w:r>
        <w:rPr>
          <w:spacing w:val="-1"/>
        </w:rPr>
        <w:t> </w:t>
      </w:r>
      <w:r>
        <w:rPr/>
        <w:t>number</w:t>
      </w:r>
      <w:r>
        <w:rPr>
          <w:spacing w:val="-1"/>
        </w:rPr>
        <w:t> </w:t>
      </w:r>
      <w:r>
        <w:rPr/>
        <w:t>of</w:t>
      </w:r>
      <w:r>
        <w:rPr>
          <w:spacing w:val="-1"/>
        </w:rPr>
        <w:t> </w:t>
      </w:r>
      <w:r>
        <w:rPr/>
        <w:t>teachers,</w:t>
      </w:r>
      <w:r>
        <w:rPr>
          <w:spacing w:val="-1"/>
        </w:rPr>
        <w:t> </w:t>
      </w:r>
      <w:r>
        <w:rPr/>
        <w:t>the</w:t>
      </w:r>
      <w:r>
        <w:rPr>
          <w:spacing w:val="-1"/>
        </w:rPr>
        <w:t> </w:t>
      </w:r>
      <w:r>
        <w:rPr/>
        <w:t>higher</w:t>
      </w:r>
      <w:r>
        <w:rPr>
          <w:spacing w:val="-1"/>
        </w:rPr>
        <w:t> </w:t>
      </w:r>
      <w:r>
        <w:rPr/>
        <w:t>pupil</w:t>
      </w:r>
      <w:r>
        <w:rPr>
          <w:spacing w:val="-1"/>
        </w:rPr>
        <w:t> </w:t>
      </w:r>
      <w:r>
        <w:rPr/>
        <w:t>teacher</w:t>
      </w:r>
      <w:r>
        <w:rPr>
          <w:spacing w:val="-1"/>
        </w:rPr>
        <w:t> </w:t>
      </w:r>
      <w:r>
        <w:rPr/>
        <w:t>ratio indicates that the increase in enrolment at each level is</w:t>
      </w:r>
      <w:r>
        <w:rPr>
          <w:spacing w:val="-5"/>
        </w:rPr>
        <w:t> </w:t>
      </w:r>
      <w:r>
        <w:rPr/>
        <w:t>comparatively</w:t>
      </w:r>
      <w:r>
        <w:rPr>
          <w:spacing w:val="-5"/>
        </w:rPr>
        <w:t> </w:t>
      </w:r>
      <w:r>
        <w:rPr/>
        <w:t>more</w:t>
      </w:r>
      <w:r>
        <w:rPr>
          <w:spacing w:val="-5"/>
        </w:rPr>
        <w:t> </w:t>
      </w:r>
      <w:r>
        <w:rPr/>
        <w:t>than</w:t>
      </w:r>
      <w:r>
        <w:rPr>
          <w:spacing w:val="-5"/>
        </w:rPr>
        <w:t> </w:t>
      </w:r>
      <w:r>
        <w:rPr/>
        <w:t>the</w:t>
      </w:r>
      <w:r>
        <w:rPr>
          <w:spacing w:val="-5"/>
        </w:rPr>
        <w:t> </w:t>
      </w:r>
      <w:r>
        <w:rPr/>
        <w:t>increase</w:t>
      </w:r>
      <w:r>
        <w:rPr>
          <w:spacing w:val="-5"/>
        </w:rPr>
        <w:t> </w:t>
      </w:r>
      <w:r>
        <w:rPr/>
        <w:t>in</w:t>
      </w:r>
      <w:r>
        <w:rPr>
          <w:spacing w:val="-5"/>
        </w:rPr>
        <w:t> </w:t>
      </w:r>
      <w:r>
        <w:rPr/>
        <w:t>number</w:t>
      </w:r>
      <w:r>
        <w:rPr>
          <w:spacing w:val="-5"/>
        </w:rPr>
        <w:t> </w:t>
      </w:r>
      <w:r>
        <w:rPr/>
        <w:t>of </w:t>
      </w:r>
      <w:r>
        <w:rPr>
          <w:spacing w:val="-4"/>
        </w:rPr>
        <w:t>teachers.</w:t>
      </w:r>
      <w:r>
        <w:rPr>
          <w:spacing w:val="-10"/>
        </w:rPr>
        <w:t> </w:t>
      </w:r>
      <w:r>
        <w:rPr>
          <w:spacing w:val="-4"/>
        </w:rPr>
        <w:t>The</w:t>
      </w:r>
      <w:r>
        <w:rPr>
          <w:spacing w:val="-10"/>
        </w:rPr>
        <w:t> </w:t>
      </w:r>
      <w:r>
        <w:rPr>
          <w:spacing w:val="-4"/>
        </w:rPr>
        <w:t>increased</w:t>
      </w:r>
      <w:r>
        <w:rPr>
          <w:spacing w:val="-6"/>
        </w:rPr>
        <w:t> </w:t>
      </w:r>
      <w:r>
        <w:rPr>
          <w:spacing w:val="-4"/>
        </w:rPr>
        <w:t>enrolment</w:t>
      </w:r>
      <w:r>
        <w:rPr>
          <w:spacing w:val="-6"/>
        </w:rPr>
        <w:t> </w:t>
      </w:r>
      <w:r>
        <w:rPr>
          <w:spacing w:val="-4"/>
        </w:rPr>
        <w:t>at</w:t>
      </w:r>
      <w:r>
        <w:rPr>
          <w:spacing w:val="-6"/>
        </w:rPr>
        <w:t> </w:t>
      </w:r>
      <w:r>
        <w:rPr>
          <w:spacing w:val="-4"/>
        </w:rPr>
        <w:t>various</w:t>
      </w:r>
      <w:r>
        <w:rPr>
          <w:spacing w:val="-6"/>
        </w:rPr>
        <w:t> </w:t>
      </w:r>
      <w:r>
        <w:rPr>
          <w:spacing w:val="-4"/>
        </w:rPr>
        <w:t>levels</w:t>
      </w:r>
      <w:r>
        <w:rPr>
          <w:spacing w:val="-6"/>
        </w:rPr>
        <w:t> </w:t>
      </w:r>
      <w:r>
        <w:rPr>
          <w:spacing w:val="-4"/>
        </w:rPr>
        <w:t>also </w:t>
      </w:r>
      <w:r>
        <w:rPr/>
        <w:t>underscores</w:t>
      </w:r>
      <w:r>
        <w:rPr>
          <w:spacing w:val="-7"/>
        </w:rPr>
        <w:t> </w:t>
      </w:r>
      <w:r>
        <w:rPr/>
        <w:t>the</w:t>
      </w:r>
      <w:r>
        <w:rPr>
          <w:spacing w:val="-7"/>
        </w:rPr>
        <w:t> </w:t>
      </w:r>
      <w:r>
        <w:rPr/>
        <w:t>need</w:t>
      </w:r>
      <w:r>
        <w:rPr>
          <w:spacing w:val="-7"/>
        </w:rPr>
        <w:t> </w:t>
      </w:r>
      <w:r>
        <w:rPr/>
        <w:t>for</w:t>
      </w:r>
      <w:r>
        <w:rPr>
          <w:spacing w:val="-7"/>
        </w:rPr>
        <w:t> </w:t>
      </w:r>
      <w:r>
        <w:rPr/>
        <w:t>opening</w:t>
      </w:r>
      <w:r>
        <w:rPr>
          <w:spacing w:val="-7"/>
        </w:rPr>
        <w:t> </w:t>
      </w:r>
      <w:r>
        <w:rPr/>
        <w:t>of</w:t>
      </w:r>
      <w:r>
        <w:rPr>
          <w:spacing w:val="-7"/>
        </w:rPr>
        <w:t> </w:t>
      </w:r>
      <w:r>
        <w:rPr/>
        <w:t>a</w:t>
      </w:r>
      <w:r>
        <w:rPr>
          <w:spacing w:val="-7"/>
        </w:rPr>
        <w:t> </w:t>
      </w:r>
      <w:r>
        <w:rPr/>
        <w:t>greater</w:t>
      </w:r>
      <w:r>
        <w:rPr>
          <w:spacing w:val="-7"/>
        </w:rPr>
        <w:t> </w:t>
      </w:r>
      <w:r>
        <w:rPr/>
        <w:t>number of</w:t>
      </w:r>
      <w:r>
        <w:rPr>
          <w:spacing w:val="-7"/>
        </w:rPr>
        <w:t> </w:t>
      </w:r>
      <w:r>
        <w:rPr/>
        <w:t>educational</w:t>
      </w:r>
      <w:r>
        <w:rPr>
          <w:spacing w:val="-7"/>
        </w:rPr>
        <w:t> </w:t>
      </w:r>
      <w:r>
        <w:rPr/>
        <w:t>institutions</w:t>
      </w:r>
      <w:r>
        <w:rPr>
          <w:spacing w:val="-7"/>
        </w:rPr>
        <w:t> </w:t>
      </w:r>
      <w:r>
        <w:rPr/>
        <w:t>as</w:t>
      </w:r>
      <w:r>
        <w:rPr>
          <w:spacing w:val="-7"/>
        </w:rPr>
        <w:t> </w:t>
      </w:r>
      <w:r>
        <w:rPr/>
        <w:t>well</w:t>
      </w:r>
      <w:r>
        <w:rPr>
          <w:spacing w:val="-7"/>
        </w:rPr>
        <w:t> </w:t>
      </w:r>
      <w:r>
        <w:rPr/>
        <w:t>as</w:t>
      </w:r>
      <w:r>
        <w:rPr>
          <w:spacing w:val="-7"/>
        </w:rPr>
        <w:t> </w:t>
      </w:r>
      <w:r>
        <w:rPr/>
        <w:t>employing</w:t>
      </w:r>
      <w:r>
        <w:rPr>
          <w:spacing w:val="-7"/>
        </w:rPr>
        <w:t> </w:t>
      </w:r>
      <w:r>
        <w:rPr/>
        <w:t>more teachers for improving the quality of education.</w:t>
      </w:r>
    </w:p>
    <w:p>
      <w:pPr>
        <w:pStyle w:val="BodyText"/>
        <w:spacing w:before="15"/>
      </w:pPr>
    </w:p>
    <w:p>
      <w:pPr>
        <w:pStyle w:val="BodyText"/>
        <w:spacing w:line="266" w:lineRule="auto"/>
        <w:ind w:left="1080"/>
        <w:jc w:val="both"/>
      </w:pPr>
      <w:r>
        <w:rPr>
          <w:i/>
          <w:spacing w:val="-2"/>
        </w:rPr>
        <w:t>Teacher</w:t>
      </w:r>
      <w:r>
        <w:rPr>
          <w:i/>
          <w:spacing w:val="-7"/>
        </w:rPr>
        <w:t> </w:t>
      </w:r>
      <w:r>
        <w:rPr>
          <w:i/>
          <w:spacing w:val="-2"/>
        </w:rPr>
        <w:t>training</w:t>
      </w:r>
      <w:r>
        <w:rPr>
          <w:i/>
          <w:spacing w:val="-7"/>
        </w:rPr>
        <w:t> </w:t>
      </w:r>
      <w:r>
        <w:rPr>
          <w:i/>
          <w:spacing w:val="-2"/>
        </w:rPr>
        <w:t>programs:</w:t>
      </w:r>
      <w:r>
        <w:rPr>
          <w:i/>
          <w:spacing w:val="-12"/>
        </w:rPr>
        <w:t> </w:t>
      </w:r>
      <w:r>
        <w:rPr>
          <w:spacing w:val="-2"/>
        </w:rPr>
        <w:t>Teacher</w:t>
      </w:r>
      <w:r>
        <w:rPr>
          <w:spacing w:val="-7"/>
        </w:rPr>
        <w:t> </w:t>
      </w:r>
      <w:r>
        <w:rPr>
          <w:spacing w:val="-2"/>
        </w:rPr>
        <w:t>training</w:t>
      </w:r>
      <w:r>
        <w:rPr>
          <w:spacing w:val="-7"/>
        </w:rPr>
        <w:t> </w:t>
      </w:r>
      <w:r>
        <w:rPr>
          <w:spacing w:val="-2"/>
        </w:rPr>
        <w:t>has</w:t>
      </w:r>
      <w:r>
        <w:rPr>
          <w:spacing w:val="-7"/>
        </w:rPr>
        <w:t> </w:t>
      </w:r>
      <w:r>
        <w:rPr>
          <w:spacing w:val="-2"/>
        </w:rPr>
        <w:t>been </w:t>
      </w:r>
      <w:r>
        <w:rPr>
          <w:spacing w:val="-6"/>
        </w:rPr>
        <w:t>identified as a crucial input for quality school education. </w:t>
      </w:r>
      <w:r>
        <w:rPr/>
        <w:t>However, the status of teacher training in India is a matter</w:t>
      </w:r>
      <w:r>
        <w:rPr>
          <w:spacing w:val="-16"/>
        </w:rPr>
        <w:t> </w:t>
      </w:r>
      <w:r>
        <w:rPr/>
        <w:t>of</w:t>
      </w:r>
      <w:r>
        <w:rPr>
          <w:spacing w:val="-14"/>
        </w:rPr>
        <w:t> </w:t>
      </w:r>
      <w:r>
        <w:rPr/>
        <w:t>great</w:t>
      </w:r>
      <w:r>
        <w:rPr>
          <w:spacing w:val="-14"/>
        </w:rPr>
        <w:t> </w:t>
      </w:r>
      <w:r>
        <w:rPr/>
        <w:t>concern.</w:t>
      </w:r>
      <w:r>
        <w:rPr>
          <w:spacing w:val="-13"/>
        </w:rPr>
        <w:t> </w:t>
      </w:r>
      <w:r>
        <w:rPr/>
        <w:t>According</w:t>
      </w:r>
      <w:r>
        <w:rPr>
          <w:spacing w:val="-14"/>
        </w:rPr>
        <w:t> </w:t>
      </w:r>
      <w:r>
        <w:rPr/>
        <w:t>to</w:t>
      </w:r>
      <w:r>
        <w:rPr>
          <w:spacing w:val="-14"/>
        </w:rPr>
        <w:t> </w:t>
      </w:r>
      <w:r>
        <w:rPr/>
        <w:t>DISE</w:t>
      </w:r>
      <w:r>
        <w:rPr>
          <w:spacing w:val="-14"/>
        </w:rPr>
        <w:t> </w:t>
      </w:r>
      <w:r>
        <w:rPr/>
        <w:t>data,</w:t>
      </w:r>
      <w:r>
        <w:rPr>
          <w:spacing w:val="-13"/>
        </w:rPr>
        <w:t> </w:t>
      </w:r>
      <w:r>
        <w:rPr/>
        <w:t>only 33</w:t>
      </w:r>
      <w:r>
        <w:rPr>
          <w:spacing w:val="-14"/>
        </w:rPr>
        <w:t> </w:t>
      </w:r>
      <w:r>
        <w:rPr/>
        <w:t>per</w:t>
      </w:r>
      <w:r>
        <w:rPr>
          <w:spacing w:val="-14"/>
        </w:rPr>
        <w:t> </w:t>
      </w:r>
      <w:r>
        <w:rPr/>
        <w:t>cent</w:t>
      </w:r>
      <w:r>
        <w:rPr>
          <w:spacing w:val="-14"/>
        </w:rPr>
        <w:t> </w:t>
      </w:r>
      <w:r>
        <w:rPr/>
        <w:t>of</w:t>
      </w:r>
      <w:r>
        <w:rPr>
          <w:spacing w:val="-13"/>
        </w:rPr>
        <w:t> </w:t>
      </w:r>
      <w:r>
        <w:rPr/>
        <w:t>the</w:t>
      </w:r>
      <w:r>
        <w:rPr>
          <w:spacing w:val="-14"/>
        </w:rPr>
        <w:t> </w:t>
      </w:r>
      <w:r>
        <w:rPr/>
        <w:t>teachers</w:t>
      </w:r>
      <w:r>
        <w:rPr>
          <w:spacing w:val="-14"/>
        </w:rPr>
        <w:t> </w:t>
      </w:r>
      <w:r>
        <w:rPr/>
        <w:t>received</w:t>
      </w:r>
      <w:r>
        <w:rPr>
          <w:spacing w:val="-14"/>
        </w:rPr>
        <w:t> </w:t>
      </w:r>
      <w:r>
        <w:rPr/>
        <w:t>in-service</w:t>
      </w:r>
      <w:r>
        <w:rPr>
          <w:spacing w:val="-13"/>
        </w:rPr>
        <w:t> </w:t>
      </w:r>
      <w:r>
        <w:rPr/>
        <w:t>training in 2005-06. In 2002, 65467 men and 67096 women </w:t>
      </w:r>
      <w:r>
        <w:rPr>
          <w:spacing w:val="-4"/>
        </w:rPr>
        <w:t>enrolled</w:t>
      </w:r>
      <w:r>
        <w:rPr>
          <w:spacing w:val="-10"/>
        </w:rPr>
        <w:t> </w:t>
      </w:r>
      <w:r>
        <w:rPr>
          <w:spacing w:val="-4"/>
        </w:rPr>
        <w:t>into</w:t>
      </w:r>
      <w:r>
        <w:rPr>
          <w:spacing w:val="-10"/>
        </w:rPr>
        <w:t> </w:t>
      </w:r>
      <w:r>
        <w:rPr>
          <w:spacing w:val="-4"/>
        </w:rPr>
        <w:t>teacher</w:t>
      </w:r>
      <w:r>
        <w:rPr>
          <w:spacing w:val="-10"/>
        </w:rPr>
        <w:t> </w:t>
      </w:r>
      <w:r>
        <w:rPr>
          <w:spacing w:val="-4"/>
        </w:rPr>
        <w:t>training</w:t>
      </w:r>
      <w:r>
        <w:rPr>
          <w:spacing w:val="-9"/>
        </w:rPr>
        <w:t> </w:t>
      </w:r>
      <w:r>
        <w:rPr>
          <w:spacing w:val="-4"/>
        </w:rPr>
        <w:t>courses</w:t>
      </w:r>
      <w:r>
        <w:rPr>
          <w:spacing w:val="-10"/>
        </w:rPr>
        <w:t> </w:t>
      </w:r>
      <w:r>
        <w:rPr>
          <w:spacing w:val="-4"/>
        </w:rPr>
        <w:t>in</w:t>
      </w:r>
      <w:r>
        <w:rPr>
          <w:spacing w:val="-10"/>
        </w:rPr>
        <w:t> </w:t>
      </w:r>
      <w:r>
        <w:rPr>
          <w:spacing w:val="-4"/>
        </w:rPr>
        <w:t>India.</w:t>
      </w:r>
      <w:r>
        <w:rPr>
          <w:spacing w:val="-10"/>
        </w:rPr>
        <w:t> </w:t>
      </w:r>
      <w:r>
        <w:rPr>
          <w:spacing w:val="-4"/>
        </w:rPr>
        <w:t>There</w:t>
      </w:r>
      <w:r>
        <w:rPr>
          <w:spacing w:val="-9"/>
        </w:rPr>
        <w:t> </w:t>
      </w:r>
      <w:r>
        <w:rPr>
          <w:spacing w:val="-4"/>
        </w:rPr>
        <w:t>are </w:t>
      </w:r>
      <w:r>
        <w:rPr/>
        <w:t>at</w:t>
      </w:r>
      <w:r>
        <w:rPr>
          <w:spacing w:val="-14"/>
        </w:rPr>
        <w:t> </w:t>
      </w:r>
      <w:r>
        <w:rPr/>
        <w:t>present,</w:t>
      </w:r>
      <w:r>
        <w:rPr>
          <w:spacing w:val="-13"/>
        </w:rPr>
        <w:t> </w:t>
      </w:r>
      <w:r>
        <w:rPr/>
        <w:t>about</w:t>
      </w:r>
      <w:r>
        <w:rPr>
          <w:spacing w:val="-14"/>
        </w:rPr>
        <w:t> </w:t>
      </w:r>
      <w:r>
        <w:rPr/>
        <w:t>571</w:t>
      </w:r>
      <w:r>
        <w:rPr>
          <w:spacing w:val="-14"/>
        </w:rPr>
        <w:t> </w:t>
      </w:r>
      <w:r>
        <w:rPr/>
        <w:t>DIETs,</w:t>
      </w:r>
      <w:r>
        <w:rPr>
          <w:spacing w:val="-13"/>
        </w:rPr>
        <w:t> </w:t>
      </w:r>
      <w:r>
        <w:rPr/>
        <w:t>and</w:t>
      </w:r>
      <w:r>
        <w:rPr>
          <w:spacing w:val="-14"/>
        </w:rPr>
        <w:t> </w:t>
      </w:r>
      <w:r>
        <w:rPr/>
        <w:t>DRCs,</w:t>
      </w:r>
      <w:r>
        <w:rPr>
          <w:spacing w:val="-13"/>
        </w:rPr>
        <w:t> </w:t>
      </w:r>
      <w:r>
        <w:rPr/>
        <w:t>104</w:t>
      </w:r>
      <w:r>
        <w:rPr>
          <w:spacing w:val="-14"/>
        </w:rPr>
        <w:t> </w:t>
      </w:r>
      <w:r>
        <w:rPr/>
        <w:t>Colleges of</w:t>
      </w:r>
      <w:r>
        <w:rPr>
          <w:spacing w:val="-6"/>
        </w:rPr>
        <w:t> </w:t>
      </w:r>
      <w:r>
        <w:rPr/>
        <w:t>Advanced</w:t>
      </w:r>
      <w:r>
        <w:rPr>
          <w:spacing w:val="-12"/>
        </w:rPr>
        <w:t> </w:t>
      </w:r>
      <w:r>
        <w:rPr/>
        <w:t>Teaching</w:t>
      </w:r>
      <w:r>
        <w:rPr>
          <w:spacing w:val="-6"/>
        </w:rPr>
        <w:t> </w:t>
      </w:r>
      <w:r>
        <w:rPr/>
        <w:t>and</w:t>
      </w:r>
      <w:r>
        <w:rPr>
          <w:spacing w:val="-6"/>
        </w:rPr>
        <w:t> </w:t>
      </w:r>
      <w:r>
        <w:rPr/>
        <w:t>31</w:t>
      </w:r>
      <w:r>
        <w:rPr>
          <w:spacing w:val="-6"/>
        </w:rPr>
        <w:t> </w:t>
      </w:r>
      <w:r>
        <w:rPr/>
        <w:t>Institutes</w:t>
      </w:r>
      <w:r>
        <w:rPr>
          <w:spacing w:val="-6"/>
        </w:rPr>
        <w:t> </w:t>
      </w:r>
      <w:r>
        <w:rPr/>
        <w:t>of</w:t>
      </w:r>
      <w:r>
        <w:rPr>
          <w:spacing w:val="-6"/>
        </w:rPr>
        <w:t> </w:t>
      </w:r>
      <w:r>
        <w:rPr/>
        <w:t>Advanced Studies in Education, for pre-service and in-service training, functioning in the country.</w:t>
      </w:r>
    </w:p>
    <w:p>
      <w:pPr>
        <w:pStyle w:val="BodyText"/>
        <w:spacing w:before="18"/>
      </w:pPr>
    </w:p>
    <w:p>
      <w:pPr>
        <w:pStyle w:val="BodyText"/>
        <w:spacing w:line="266" w:lineRule="auto"/>
        <w:ind w:left="1080"/>
        <w:jc w:val="both"/>
      </w:pPr>
      <w:r>
        <w:rPr>
          <w:i/>
        </w:rPr>
        <w:t>Teacher</w:t>
      </w:r>
      <w:r>
        <w:rPr>
          <w:i/>
          <w:spacing w:val="-2"/>
        </w:rPr>
        <w:t> </w:t>
      </w:r>
      <w:r>
        <w:rPr>
          <w:i/>
        </w:rPr>
        <w:t>Absenteeism:</w:t>
      </w:r>
      <w:r>
        <w:rPr>
          <w:i/>
          <w:spacing w:val="-2"/>
        </w:rPr>
        <w:t> </w:t>
      </w:r>
      <w:r>
        <w:rPr/>
        <w:t>Teacher</w:t>
      </w:r>
      <w:r>
        <w:rPr>
          <w:spacing w:val="-2"/>
        </w:rPr>
        <w:t> </w:t>
      </w:r>
      <w:r>
        <w:rPr/>
        <w:t>absenteeism</w:t>
      </w:r>
      <w:r>
        <w:rPr>
          <w:spacing w:val="-2"/>
        </w:rPr>
        <w:t> </w:t>
      </w:r>
      <w:r>
        <w:rPr/>
        <w:t>has</w:t>
      </w:r>
      <w:r>
        <w:rPr>
          <w:spacing w:val="-2"/>
        </w:rPr>
        <w:t> </w:t>
      </w:r>
      <w:r>
        <w:rPr/>
        <w:t>been identified as a major impediment to improvement in </w:t>
      </w:r>
      <w:r>
        <w:rPr>
          <w:spacing w:val="-2"/>
        </w:rPr>
        <w:t>quality</w:t>
      </w:r>
      <w:r>
        <w:rPr>
          <w:spacing w:val="-12"/>
        </w:rPr>
        <w:t> </w:t>
      </w:r>
      <w:r>
        <w:rPr>
          <w:spacing w:val="-2"/>
        </w:rPr>
        <w:t>of</w:t>
      </w:r>
      <w:r>
        <w:rPr>
          <w:spacing w:val="-12"/>
        </w:rPr>
        <w:t> </w:t>
      </w:r>
      <w:r>
        <w:rPr>
          <w:spacing w:val="-2"/>
        </w:rPr>
        <w:t>school</w:t>
      </w:r>
      <w:r>
        <w:rPr>
          <w:spacing w:val="-12"/>
        </w:rPr>
        <w:t> </w:t>
      </w:r>
      <w:r>
        <w:rPr>
          <w:spacing w:val="-2"/>
        </w:rPr>
        <w:t>education.</w:t>
      </w:r>
      <w:r>
        <w:rPr>
          <w:spacing w:val="-11"/>
        </w:rPr>
        <w:t> </w:t>
      </w:r>
      <w:r>
        <w:rPr>
          <w:spacing w:val="-2"/>
        </w:rPr>
        <w:t>The</w:t>
      </w:r>
      <w:r>
        <w:rPr>
          <w:spacing w:val="-12"/>
        </w:rPr>
        <w:t> </w:t>
      </w:r>
      <w:r>
        <w:rPr>
          <w:spacing w:val="-2"/>
        </w:rPr>
        <w:t>PROBE</w:t>
      </w:r>
      <w:r>
        <w:rPr>
          <w:spacing w:val="-12"/>
        </w:rPr>
        <w:t> </w:t>
      </w:r>
      <w:r>
        <w:rPr>
          <w:spacing w:val="-2"/>
        </w:rPr>
        <w:t>survey</w:t>
      </w:r>
      <w:r>
        <w:rPr>
          <w:spacing w:val="-12"/>
        </w:rPr>
        <w:t> </w:t>
      </w:r>
      <w:r>
        <w:rPr>
          <w:spacing w:val="-2"/>
        </w:rPr>
        <w:t>in</w:t>
      </w:r>
      <w:r>
        <w:rPr>
          <w:spacing w:val="-11"/>
        </w:rPr>
        <w:t> </w:t>
      </w:r>
      <w:r>
        <w:rPr>
          <w:spacing w:val="-2"/>
        </w:rPr>
        <w:t>242 villages</w:t>
      </w:r>
      <w:r>
        <w:rPr>
          <w:spacing w:val="-12"/>
        </w:rPr>
        <w:t> </w:t>
      </w:r>
      <w:r>
        <w:rPr>
          <w:spacing w:val="-2"/>
        </w:rPr>
        <w:t>across</w:t>
      </w:r>
      <w:r>
        <w:rPr>
          <w:spacing w:val="-12"/>
        </w:rPr>
        <w:t> </w:t>
      </w:r>
      <w:r>
        <w:rPr>
          <w:spacing w:val="-2"/>
        </w:rPr>
        <w:t>5</w:t>
      </w:r>
      <w:r>
        <w:rPr>
          <w:spacing w:val="-12"/>
        </w:rPr>
        <w:t> </w:t>
      </w:r>
      <w:r>
        <w:rPr>
          <w:spacing w:val="-2"/>
        </w:rPr>
        <w:t>north</w:t>
      </w:r>
      <w:r>
        <w:rPr>
          <w:spacing w:val="-11"/>
        </w:rPr>
        <w:t> </w:t>
      </w:r>
      <w:r>
        <w:rPr>
          <w:spacing w:val="-2"/>
        </w:rPr>
        <w:t>Indian</w:t>
      </w:r>
      <w:r>
        <w:rPr>
          <w:spacing w:val="-12"/>
        </w:rPr>
        <w:t> </w:t>
      </w:r>
      <w:r>
        <w:rPr>
          <w:spacing w:val="-2"/>
        </w:rPr>
        <w:t>states</w:t>
      </w:r>
      <w:r>
        <w:rPr>
          <w:spacing w:val="-12"/>
        </w:rPr>
        <w:t> </w:t>
      </w:r>
      <w:r>
        <w:rPr>
          <w:spacing w:val="-2"/>
        </w:rPr>
        <w:t>found</w:t>
      </w:r>
      <w:r>
        <w:rPr>
          <w:spacing w:val="-12"/>
        </w:rPr>
        <w:t> </w:t>
      </w:r>
      <w:r>
        <w:rPr>
          <w:spacing w:val="-2"/>
        </w:rPr>
        <w:t>that</w:t>
      </w:r>
      <w:r>
        <w:rPr>
          <w:spacing w:val="-11"/>
        </w:rPr>
        <w:t> </w:t>
      </w:r>
      <w:r>
        <w:rPr>
          <w:spacing w:val="-2"/>
        </w:rPr>
        <w:t>in</w:t>
      </w:r>
      <w:r>
        <w:rPr>
          <w:spacing w:val="-12"/>
        </w:rPr>
        <w:t> </w:t>
      </w:r>
      <w:r>
        <w:rPr>
          <w:spacing w:val="-2"/>
        </w:rPr>
        <w:t>about </w:t>
      </w:r>
      <w:r>
        <w:rPr>
          <w:w w:val="90"/>
        </w:rPr>
        <w:t>half the schools, there was no teaching activity at the time of</w:t>
      </w:r>
      <w:r>
        <w:rPr>
          <w:spacing w:val="2"/>
        </w:rPr>
        <w:t> </w:t>
      </w:r>
      <w:r>
        <w:rPr>
          <w:w w:val="90"/>
        </w:rPr>
        <w:t>the</w:t>
      </w:r>
      <w:r>
        <w:rPr>
          <w:spacing w:val="2"/>
        </w:rPr>
        <w:t> </w:t>
      </w:r>
      <w:r>
        <w:rPr>
          <w:w w:val="90"/>
        </w:rPr>
        <w:t>investigators’</w:t>
      </w:r>
      <w:r>
        <w:rPr>
          <w:spacing w:val="3"/>
        </w:rPr>
        <w:t> </w:t>
      </w:r>
      <w:r>
        <w:rPr>
          <w:w w:val="90"/>
        </w:rPr>
        <w:t>visit.</w:t>
      </w:r>
      <w:r>
        <w:rPr>
          <w:spacing w:val="2"/>
        </w:rPr>
        <w:t> </w:t>
      </w:r>
      <w:r>
        <w:rPr>
          <w:w w:val="90"/>
        </w:rPr>
        <w:t>It</w:t>
      </w:r>
      <w:r>
        <w:rPr>
          <w:spacing w:val="3"/>
        </w:rPr>
        <w:t> </w:t>
      </w:r>
      <w:r>
        <w:rPr>
          <w:w w:val="90"/>
        </w:rPr>
        <w:t>is</w:t>
      </w:r>
      <w:r>
        <w:rPr>
          <w:spacing w:val="2"/>
        </w:rPr>
        <w:t> </w:t>
      </w:r>
      <w:r>
        <w:rPr>
          <w:w w:val="90"/>
        </w:rPr>
        <w:t>significant</w:t>
      </w:r>
      <w:r>
        <w:rPr>
          <w:spacing w:val="3"/>
        </w:rPr>
        <w:t> </w:t>
      </w:r>
      <w:r>
        <w:rPr>
          <w:w w:val="90"/>
        </w:rPr>
        <w:t>that</w:t>
      </w:r>
      <w:r>
        <w:rPr>
          <w:spacing w:val="2"/>
        </w:rPr>
        <w:t> </w:t>
      </w:r>
      <w:r>
        <w:rPr>
          <w:w w:val="90"/>
        </w:rPr>
        <w:t>this</w:t>
      </w:r>
      <w:r>
        <w:rPr>
          <w:spacing w:val="3"/>
        </w:rPr>
        <w:t> </w:t>
      </w:r>
      <w:r>
        <w:rPr>
          <w:spacing w:val="-2"/>
          <w:w w:val="90"/>
        </w:rPr>
        <w:t>pattern</w:t>
      </w:r>
    </w:p>
    <w:p>
      <w:pPr>
        <w:pStyle w:val="BodyText"/>
        <w:spacing w:line="266" w:lineRule="auto" w:before="85"/>
        <w:ind w:left="319" w:right="1077"/>
        <w:jc w:val="both"/>
      </w:pPr>
      <w:r>
        <w:rPr/>
        <w:br w:type="column"/>
      </w:r>
      <w:r>
        <w:rPr/>
        <w:t>occurred</w:t>
      </w:r>
      <w:r>
        <w:rPr>
          <w:spacing w:val="-14"/>
        </w:rPr>
        <w:t> </w:t>
      </w:r>
      <w:r>
        <w:rPr/>
        <w:t>even</w:t>
      </w:r>
      <w:r>
        <w:rPr>
          <w:spacing w:val="-14"/>
        </w:rPr>
        <w:t> </w:t>
      </w:r>
      <w:r>
        <w:rPr/>
        <w:t>in</w:t>
      </w:r>
      <w:r>
        <w:rPr>
          <w:spacing w:val="-14"/>
        </w:rPr>
        <w:t> </w:t>
      </w:r>
      <w:r>
        <w:rPr/>
        <w:t>cases</w:t>
      </w:r>
      <w:r>
        <w:rPr>
          <w:spacing w:val="-13"/>
        </w:rPr>
        <w:t> </w:t>
      </w:r>
      <w:r>
        <w:rPr/>
        <w:t>where</w:t>
      </w:r>
      <w:r>
        <w:rPr>
          <w:spacing w:val="-14"/>
        </w:rPr>
        <w:t> </w:t>
      </w:r>
      <w:r>
        <w:rPr/>
        <w:t>the</w:t>
      </w:r>
      <w:r>
        <w:rPr>
          <w:spacing w:val="-14"/>
        </w:rPr>
        <w:t> </w:t>
      </w:r>
      <w:r>
        <w:rPr/>
        <w:t>school</w:t>
      </w:r>
      <w:r>
        <w:rPr>
          <w:spacing w:val="-14"/>
        </w:rPr>
        <w:t> </w:t>
      </w:r>
      <w:r>
        <w:rPr/>
        <w:t>infrastructure (in</w:t>
      </w:r>
      <w:r>
        <w:rPr>
          <w:spacing w:val="-7"/>
        </w:rPr>
        <w:t> </w:t>
      </w:r>
      <w:r>
        <w:rPr/>
        <w:t>terms</w:t>
      </w:r>
      <w:r>
        <w:rPr>
          <w:spacing w:val="-7"/>
        </w:rPr>
        <w:t> </w:t>
      </w:r>
      <w:r>
        <w:rPr/>
        <w:t>of</w:t>
      </w:r>
      <w:r>
        <w:rPr>
          <w:spacing w:val="-7"/>
        </w:rPr>
        <w:t> </w:t>
      </w:r>
      <w:r>
        <w:rPr/>
        <w:t>number</w:t>
      </w:r>
      <w:r>
        <w:rPr>
          <w:spacing w:val="-7"/>
        </w:rPr>
        <w:t> </w:t>
      </w:r>
      <w:r>
        <w:rPr/>
        <w:t>of</w:t>
      </w:r>
      <w:r>
        <w:rPr>
          <w:spacing w:val="-7"/>
        </w:rPr>
        <w:t> </w:t>
      </w:r>
      <w:r>
        <w:rPr/>
        <w:t>class</w:t>
      </w:r>
      <w:r>
        <w:rPr>
          <w:spacing w:val="-7"/>
        </w:rPr>
        <w:t> </w:t>
      </w:r>
      <w:r>
        <w:rPr/>
        <w:t>rooms,</w:t>
      </w:r>
      <w:r>
        <w:rPr>
          <w:spacing w:val="-7"/>
        </w:rPr>
        <w:t> </w:t>
      </w:r>
      <w:r>
        <w:rPr/>
        <w:t>teaching</w:t>
      </w:r>
      <w:r>
        <w:rPr>
          <w:spacing w:val="-7"/>
        </w:rPr>
        <w:t> </w:t>
      </w:r>
      <w:r>
        <w:rPr/>
        <w:t>aids</w:t>
      </w:r>
      <w:r>
        <w:rPr>
          <w:spacing w:val="-7"/>
        </w:rPr>
        <w:t> </w:t>
      </w:r>
      <w:r>
        <w:rPr/>
        <w:t>and even</w:t>
      </w:r>
      <w:r>
        <w:rPr>
          <w:spacing w:val="-11"/>
        </w:rPr>
        <w:t> </w:t>
      </w:r>
      <w:r>
        <w:rPr/>
        <w:t>teacher-pupil</w:t>
      </w:r>
      <w:r>
        <w:rPr>
          <w:spacing w:val="-11"/>
        </w:rPr>
        <w:t> </w:t>
      </w:r>
      <w:r>
        <w:rPr/>
        <w:t>ratio)</w:t>
      </w:r>
      <w:r>
        <w:rPr>
          <w:spacing w:val="-11"/>
        </w:rPr>
        <w:t> </w:t>
      </w:r>
      <w:r>
        <w:rPr/>
        <w:t>was</w:t>
      </w:r>
      <w:r>
        <w:rPr>
          <w:spacing w:val="-11"/>
        </w:rPr>
        <w:t> </w:t>
      </w:r>
      <w:r>
        <w:rPr/>
        <w:t>relatively</w:t>
      </w:r>
      <w:r>
        <w:rPr>
          <w:spacing w:val="-11"/>
        </w:rPr>
        <w:t> </w:t>
      </w:r>
      <w:r>
        <w:rPr/>
        <w:t>good.</w:t>
      </w:r>
    </w:p>
    <w:p>
      <w:pPr>
        <w:pStyle w:val="BodyText"/>
        <w:spacing w:before="25"/>
      </w:pPr>
    </w:p>
    <w:p>
      <w:pPr>
        <w:pStyle w:val="BodyText"/>
        <w:spacing w:line="266" w:lineRule="auto"/>
        <w:ind w:left="319" w:right="1077"/>
        <w:jc w:val="both"/>
      </w:pPr>
      <w:r>
        <w:rPr>
          <w:b/>
        </w:rPr>
        <w:t>Infrastructure: </w:t>
      </w:r>
      <w:r>
        <w:rPr/>
        <w:t>There is a severe lack of </w:t>
      </w:r>
      <w:r>
        <w:rPr/>
        <w:t>basic infrastructure</w:t>
      </w:r>
      <w:r>
        <w:rPr>
          <w:spacing w:val="-8"/>
        </w:rPr>
        <w:t> </w:t>
      </w:r>
      <w:r>
        <w:rPr/>
        <w:t>in</w:t>
      </w:r>
      <w:r>
        <w:rPr>
          <w:spacing w:val="-8"/>
        </w:rPr>
        <w:t> </w:t>
      </w:r>
      <w:r>
        <w:rPr/>
        <w:t>schools</w:t>
      </w:r>
      <w:r>
        <w:rPr>
          <w:spacing w:val="-8"/>
        </w:rPr>
        <w:t> </w:t>
      </w:r>
      <w:r>
        <w:rPr/>
        <w:t>in</w:t>
      </w:r>
      <w:r>
        <w:rPr>
          <w:spacing w:val="-8"/>
        </w:rPr>
        <w:t> </w:t>
      </w:r>
      <w:r>
        <w:rPr/>
        <w:t>India.</w:t>
      </w:r>
      <w:r>
        <w:rPr>
          <w:spacing w:val="-14"/>
        </w:rPr>
        <w:t> </w:t>
      </w:r>
      <w:r>
        <w:rPr/>
        <w:t>The</w:t>
      </w:r>
      <w:r>
        <w:rPr>
          <w:spacing w:val="-7"/>
        </w:rPr>
        <w:t> </w:t>
      </w:r>
      <w:r>
        <w:rPr/>
        <w:t>PROBE</w:t>
      </w:r>
      <w:r>
        <w:rPr>
          <w:spacing w:val="-8"/>
        </w:rPr>
        <w:t> </w:t>
      </w:r>
      <w:r>
        <w:rPr/>
        <w:t>(1999) survey,</w:t>
      </w:r>
      <w:r>
        <w:rPr>
          <w:spacing w:val="-8"/>
        </w:rPr>
        <w:t> </w:t>
      </w:r>
      <w:r>
        <w:rPr/>
        <w:t>for</w:t>
      </w:r>
      <w:r>
        <w:rPr>
          <w:spacing w:val="-8"/>
        </w:rPr>
        <w:t> </w:t>
      </w:r>
      <w:r>
        <w:rPr/>
        <w:t>instance,</w:t>
      </w:r>
      <w:r>
        <w:rPr>
          <w:spacing w:val="-8"/>
        </w:rPr>
        <w:t> </w:t>
      </w:r>
      <w:r>
        <w:rPr/>
        <w:t>found</w:t>
      </w:r>
      <w:r>
        <w:rPr>
          <w:spacing w:val="-8"/>
        </w:rPr>
        <w:t> </w:t>
      </w:r>
      <w:r>
        <w:rPr/>
        <w:t>the</w:t>
      </w:r>
      <w:r>
        <w:rPr>
          <w:spacing w:val="-8"/>
        </w:rPr>
        <w:t> </w:t>
      </w:r>
      <w:r>
        <w:rPr/>
        <w:t>following</w:t>
      </w:r>
      <w:r>
        <w:rPr>
          <w:spacing w:val="-8"/>
        </w:rPr>
        <w:t> </w:t>
      </w:r>
      <w:r>
        <w:rPr/>
        <w:t>with</w:t>
      </w:r>
      <w:r>
        <w:rPr>
          <w:spacing w:val="-8"/>
        </w:rPr>
        <w:t> </w:t>
      </w:r>
      <w:r>
        <w:rPr/>
        <w:t>respect to</w:t>
      </w:r>
      <w:r>
        <w:rPr>
          <w:spacing w:val="-14"/>
        </w:rPr>
        <w:t> </w:t>
      </w:r>
      <w:r>
        <w:rPr/>
        <w:t>government</w:t>
      </w:r>
      <w:r>
        <w:rPr>
          <w:spacing w:val="-14"/>
        </w:rPr>
        <w:t> </w:t>
      </w:r>
      <w:r>
        <w:rPr/>
        <w:t>schools:</w:t>
      </w:r>
      <w:r>
        <w:rPr>
          <w:spacing w:val="-14"/>
        </w:rPr>
        <w:t> </w:t>
      </w:r>
      <w:r>
        <w:rPr/>
        <w:t>(a)</w:t>
      </w:r>
      <w:r>
        <w:rPr>
          <w:spacing w:val="-13"/>
        </w:rPr>
        <w:t> </w:t>
      </w:r>
      <w:r>
        <w:rPr/>
        <w:t>only</w:t>
      </w:r>
      <w:r>
        <w:rPr>
          <w:spacing w:val="-14"/>
        </w:rPr>
        <w:t> </w:t>
      </w:r>
      <w:r>
        <w:rPr/>
        <w:t>a</w:t>
      </w:r>
      <w:r>
        <w:rPr>
          <w:spacing w:val="-14"/>
        </w:rPr>
        <w:t> </w:t>
      </w:r>
      <w:r>
        <w:rPr/>
        <w:t>fourth</w:t>
      </w:r>
      <w:r>
        <w:rPr>
          <w:spacing w:val="-14"/>
        </w:rPr>
        <w:t> </w:t>
      </w:r>
      <w:r>
        <w:rPr/>
        <w:t>of</w:t>
      </w:r>
      <w:r>
        <w:rPr>
          <w:spacing w:val="-13"/>
        </w:rPr>
        <w:t> </w:t>
      </w:r>
      <w:r>
        <w:rPr/>
        <w:t>the</w:t>
      </w:r>
      <w:r>
        <w:rPr>
          <w:spacing w:val="-14"/>
        </w:rPr>
        <w:t> </w:t>
      </w:r>
      <w:r>
        <w:rPr/>
        <w:t>sample schools had at least two teachers, two all-weather classrooms,</w:t>
      </w:r>
      <w:r>
        <w:rPr>
          <w:spacing w:val="-8"/>
        </w:rPr>
        <w:t> </w:t>
      </w:r>
      <w:r>
        <w:rPr/>
        <w:t>and</w:t>
      </w:r>
      <w:r>
        <w:rPr>
          <w:spacing w:val="-8"/>
        </w:rPr>
        <w:t> </w:t>
      </w:r>
      <w:r>
        <w:rPr/>
        <w:t>some</w:t>
      </w:r>
      <w:r>
        <w:rPr>
          <w:spacing w:val="-8"/>
        </w:rPr>
        <w:t> </w:t>
      </w:r>
      <w:r>
        <w:rPr/>
        <w:t>teaching</w:t>
      </w:r>
      <w:r>
        <w:rPr>
          <w:spacing w:val="-8"/>
        </w:rPr>
        <w:t> </w:t>
      </w:r>
      <w:r>
        <w:rPr/>
        <w:t>aids;</w:t>
      </w:r>
      <w:r>
        <w:rPr>
          <w:spacing w:val="-8"/>
        </w:rPr>
        <w:t> </w:t>
      </w:r>
      <w:r>
        <w:rPr/>
        <w:t>(b)</w:t>
      </w:r>
      <w:r>
        <w:rPr>
          <w:spacing w:val="-8"/>
        </w:rPr>
        <w:t> </w:t>
      </w:r>
      <w:r>
        <w:rPr/>
        <w:t>at</w:t>
      </w:r>
      <w:r>
        <w:rPr>
          <w:spacing w:val="-8"/>
        </w:rPr>
        <w:t> </w:t>
      </w:r>
      <w:r>
        <w:rPr/>
        <w:t>the</w:t>
      </w:r>
      <w:r>
        <w:rPr>
          <w:spacing w:val="-8"/>
        </w:rPr>
        <w:t> </w:t>
      </w:r>
      <w:r>
        <w:rPr/>
        <w:t>time</w:t>
      </w:r>
      <w:r>
        <w:rPr>
          <w:spacing w:val="-8"/>
        </w:rPr>
        <w:t> </w:t>
      </w:r>
      <w:r>
        <w:rPr/>
        <w:t>of the investigator’s visit, one-third of the headmasters were absent, one-third of the schools had a single teacher present, and about half of the schools had no </w:t>
      </w:r>
      <w:r>
        <w:rPr>
          <w:spacing w:val="-6"/>
        </w:rPr>
        <w:t>teaching</w:t>
      </w:r>
      <w:r>
        <w:rPr>
          <w:spacing w:val="-8"/>
        </w:rPr>
        <w:t> </w:t>
      </w:r>
      <w:r>
        <w:rPr>
          <w:spacing w:val="-6"/>
        </w:rPr>
        <w:t>activity;</w:t>
      </w:r>
      <w:r>
        <w:rPr>
          <w:spacing w:val="-8"/>
        </w:rPr>
        <w:t> </w:t>
      </w:r>
      <w:r>
        <w:rPr>
          <w:spacing w:val="-6"/>
        </w:rPr>
        <w:t>(c)</w:t>
      </w:r>
      <w:r>
        <w:rPr>
          <w:spacing w:val="-8"/>
        </w:rPr>
        <w:t> </w:t>
      </w:r>
      <w:r>
        <w:rPr>
          <w:spacing w:val="-6"/>
        </w:rPr>
        <w:t>in</w:t>
      </w:r>
      <w:r>
        <w:rPr>
          <w:spacing w:val="-7"/>
        </w:rPr>
        <w:t> </w:t>
      </w:r>
      <w:r>
        <w:rPr>
          <w:spacing w:val="-6"/>
        </w:rPr>
        <w:t>many</w:t>
      </w:r>
      <w:r>
        <w:rPr>
          <w:spacing w:val="-8"/>
        </w:rPr>
        <w:t> </w:t>
      </w:r>
      <w:r>
        <w:rPr>
          <w:spacing w:val="-6"/>
        </w:rPr>
        <w:t>schools</w:t>
      </w:r>
      <w:r>
        <w:rPr>
          <w:spacing w:val="-8"/>
        </w:rPr>
        <w:t> </w:t>
      </w:r>
      <w:r>
        <w:rPr>
          <w:spacing w:val="-6"/>
        </w:rPr>
        <w:t>class</w:t>
      </w:r>
      <w:r>
        <w:rPr>
          <w:spacing w:val="-8"/>
        </w:rPr>
        <w:t> </w:t>
      </w:r>
      <w:r>
        <w:rPr>
          <w:spacing w:val="-6"/>
        </w:rPr>
        <w:t>students</w:t>
      </w:r>
      <w:r>
        <w:rPr>
          <w:spacing w:val="-7"/>
        </w:rPr>
        <w:t> </w:t>
      </w:r>
      <w:r>
        <w:rPr>
          <w:spacing w:val="-6"/>
        </w:rPr>
        <w:t>were </w:t>
      </w:r>
      <w:r>
        <w:rPr/>
        <w:t>systematically neglected. Similarly, the DISE survey found that only about 50 per cent of the schools had </w:t>
      </w:r>
      <w:r>
        <w:rPr>
          <w:spacing w:val="-4"/>
        </w:rPr>
        <w:t>boundary</w:t>
      </w:r>
      <w:r>
        <w:rPr>
          <w:spacing w:val="-8"/>
        </w:rPr>
        <w:t> </w:t>
      </w:r>
      <w:r>
        <w:rPr>
          <w:spacing w:val="-4"/>
        </w:rPr>
        <w:t>walls,</w:t>
      </w:r>
      <w:r>
        <w:rPr>
          <w:spacing w:val="-8"/>
        </w:rPr>
        <w:t> </w:t>
      </w:r>
      <w:r>
        <w:rPr>
          <w:spacing w:val="-4"/>
        </w:rPr>
        <w:t>33</w:t>
      </w:r>
      <w:r>
        <w:rPr>
          <w:spacing w:val="-8"/>
        </w:rPr>
        <w:t> </w:t>
      </w:r>
      <w:r>
        <w:rPr>
          <w:spacing w:val="-4"/>
        </w:rPr>
        <w:t>per</w:t>
      </w:r>
      <w:r>
        <w:rPr>
          <w:spacing w:val="-8"/>
        </w:rPr>
        <w:t> </w:t>
      </w:r>
      <w:r>
        <w:rPr>
          <w:spacing w:val="-4"/>
        </w:rPr>
        <w:t>cent</w:t>
      </w:r>
      <w:r>
        <w:rPr>
          <w:spacing w:val="-8"/>
        </w:rPr>
        <w:t> </w:t>
      </w:r>
      <w:r>
        <w:rPr>
          <w:spacing w:val="-4"/>
        </w:rPr>
        <w:t>had</w:t>
      </w:r>
      <w:r>
        <w:rPr>
          <w:spacing w:val="-8"/>
        </w:rPr>
        <w:t> </w:t>
      </w:r>
      <w:r>
        <w:rPr>
          <w:spacing w:val="-4"/>
        </w:rPr>
        <w:t>electricity</w:t>
      </w:r>
      <w:r>
        <w:rPr>
          <w:spacing w:val="-8"/>
        </w:rPr>
        <w:t> </w:t>
      </w:r>
      <w:r>
        <w:rPr>
          <w:spacing w:val="-4"/>
        </w:rPr>
        <w:t>connections, </w:t>
      </w:r>
      <w:r>
        <w:rPr/>
        <w:t>and 52 per cent had playgrounds. These represent serious</w:t>
      </w:r>
      <w:r>
        <w:rPr>
          <w:spacing w:val="-8"/>
        </w:rPr>
        <w:t> </w:t>
      </w:r>
      <w:r>
        <w:rPr/>
        <w:t>flaws</w:t>
      </w:r>
      <w:r>
        <w:rPr>
          <w:spacing w:val="-8"/>
        </w:rPr>
        <w:t> </w:t>
      </w:r>
      <w:r>
        <w:rPr/>
        <w:t>in</w:t>
      </w:r>
      <w:r>
        <w:rPr>
          <w:spacing w:val="-8"/>
        </w:rPr>
        <w:t> </w:t>
      </w:r>
      <w:r>
        <w:rPr/>
        <w:t>the</w:t>
      </w:r>
      <w:r>
        <w:rPr>
          <w:spacing w:val="-8"/>
        </w:rPr>
        <w:t> </w:t>
      </w:r>
      <w:r>
        <w:rPr/>
        <w:t>schooling</w:t>
      </w:r>
      <w:r>
        <w:rPr>
          <w:spacing w:val="-8"/>
        </w:rPr>
        <w:t> </w:t>
      </w:r>
      <w:r>
        <w:rPr/>
        <w:t>process.</w:t>
      </w:r>
    </w:p>
    <w:p>
      <w:pPr>
        <w:pStyle w:val="BodyText"/>
        <w:spacing w:before="15"/>
      </w:pPr>
    </w:p>
    <w:p>
      <w:pPr>
        <w:pStyle w:val="BodyText"/>
        <w:spacing w:line="266" w:lineRule="auto"/>
        <w:ind w:left="319" w:right="1077"/>
        <w:jc w:val="both"/>
      </w:pPr>
      <w:r>
        <w:rPr>
          <w:b/>
        </w:rPr>
        <w:t>Management: </w:t>
      </w:r>
      <w:r>
        <w:rPr/>
        <w:t>At present, government and local bodies own more than 90 per cent of the primary schools, 72 per cent of the upper primary schools</w:t>
      </w:r>
      <w:r>
        <w:rPr>
          <w:spacing w:val="40"/>
        </w:rPr>
        <w:t> </w:t>
      </w:r>
      <w:r>
        <w:rPr/>
        <w:t>and</w:t>
      </w:r>
      <w:r>
        <w:rPr>
          <w:spacing w:val="40"/>
        </w:rPr>
        <w:t> </w:t>
      </w:r>
      <w:r>
        <w:rPr/>
        <w:t>39</w:t>
      </w:r>
      <w:r>
        <w:rPr>
          <w:spacing w:val="40"/>
        </w:rPr>
        <w:t> </w:t>
      </w:r>
      <w:r>
        <w:rPr/>
        <w:t>per</w:t>
      </w:r>
      <w:r>
        <w:rPr>
          <w:spacing w:val="40"/>
        </w:rPr>
        <w:t> </w:t>
      </w:r>
      <w:r>
        <w:rPr/>
        <w:t>cent</w:t>
      </w:r>
      <w:r>
        <w:rPr>
          <w:spacing w:val="40"/>
        </w:rPr>
        <w:t> </w:t>
      </w:r>
      <w:r>
        <w:rPr/>
        <w:t>of</w:t>
      </w:r>
      <w:r>
        <w:rPr>
          <w:spacing w:val="40"/>
        </w:rPr>
        <w:t> </w:t>
      </w:r>
      <w:r>
        <w:rPr/>
        <w:t>the</w:t>
      </w:r>
      <w:r>
        <w:rPr>
          <w:spacing w:val="40"/>
        </w:rPr>
        <w:t> </w:t>
      </w:r>
      <w:r>
        <w:rPr/>
        <w:t>secondary</w:t>
      </w:r>
      <w:r>
        <w:rPr>
          <w:spacing w:val="40"/>
        </w:rPr>
        <w:t> </w:t>
      </w:r>
      <w:r>
        <w:rPr/>
        <w:t>schools.</w:t>
      </w:r>
      <w:r>
        <w:rPr>
          <w:spacing w:val="40"/>
        </w:rPr>
        <w:t> </w:t>
      </w:r>
      <w:r>
        <w:rPr/>
        <w:t>There are indications of a rise in the number of private unrecognised schools in India. According to the DISE Analytical Report as many as 63,411 and 1,26,110 schools in 2005-06 were being managed by the private aided and private unaided managements respectively. Together, they run a total of 1,89,521 schools</w:t>
      </w:r>
      <w:r>
        <w:rPr>
          <w:spacing w:val="-7"/>
        </w:rPr>
        <w:t> </w:t>
      </w:r>
      <w:r>
        <w:rPr/>
        <w:t>(16.86</w:t>
      </w:r>
      <w:r>
        <w:rPr>
          <w:spacing w:val="-7"/>
        </w:rPr>
        <w:t> </w:t>
      </w:r>
      <w:r>
        <w:rPr/>
        <w:t>per</w:t>
      </w:r>
      <w:r>
        <w:rPr>
          <w:spacing w:val="-7"/>
        </w:rPr>
        <w:t> </w:t>
      </w:r>
      <w:r>
        <w:rPr/>
        <w:t>cent).</w:t>
      </w:r>
      <w:r>
        <w:rPr>
          <w:spacing w:val="-14"/>
        </w:rPr>
        <w:t> </w:t>
      </w:r>
      <w:r>
        <w:rPr/>
        <w:t>There</w:t>
      </w:r>
      <w:r>
        <w:rPr>
          <w:spacing w:val="-6"/>
        </w:rPr>
        <w:t> </w:t>
      </w:r>
      <w:r>
        <w:rPr/>
        <w:t>is</w:t>
      </w:r>
      <w:r>
        <w:rPr>
          <w:spacing w:val="-7"/>
        </w:rPr>
        <w:t> </w:t>
      </w:r>
      <w:r>
        <w:rPr/>
        <w:t>evidence</w:t>
      </w:r>
      <w:r>
        <w:rPr>
          <w:spacing w:val="-7"/>
        </w:rPr>
        <w:t> </w:t>
      </w:r>
      <w:r>
        <w:rPr/>
        <w:t>to</w:t>
      </w:r>
      <w:r>
        <w:rPr>
          <w:spacing w:val="-7"/>
        </w:rPr>
        <w:t> </w:t>
      </w:r>
      <w:r>
        <w:rPr/>
        <w:t>suggest that private schools are concentrated in areas where government funded schools are dysfunctional. </w:t>
      </w:r>
      <w:r>
        <w:rPr>
          <w:spacing w:val="-2"/>
        </w:rPr>
        <w:t>Although</w:t>
      </w:r>
      <w:r>
        <w:rPr>
          <w:spacing w:val="-8"/>
        </w:rPr>
        <w:t> </w:t>
      </w:r>
      <w:r>
        <w:rPr>
          <w:spacing w:val="-2"/>
        </w:rPr>
        <w:t>the</w:t>
      </w:r>
      <w:r>
        <w:rPr>
          <w:spacing w:val="-8"/>
        </w:rPr>
        <w:t> </w:t>
      </w:r>
      <w:r>
        <w:rPr>
          <w:spacing w:val="-2"/>
        </w:rPr>
        <w:t>student</w:t>
      </w:r>
      <w:r>
        <w:rPr>
          <w:spacing w:val="-8"/>
        </w:rPr>
        <w:t> </w:t>
      </w:r>
      <w:r>
        <w:rPr>
          <w:spacing w:val="-2"/>
        </w:rPr>
        <w:t>profile</w:t>
      </w:r>
      <w:r>
        <w:rPr>
          <w:spacing w:val="-8"/>
        </w:rPr>
        <w:t> </w:t>
      </w:r>
      <w:r>
        <w:rPr>
          <w:spacing w:val="-2"/>
        </w:rPr>
        <w:t>of</w:t>
      </w:r>
      <w:r>
        <w:rPr>
          <w:spacing w:val="-8"/>
        </w:rPr>
        <w:t> </w:t>
      </w:r>
      <w:r>
        <w:rPr>
          <w:spacing w:val="-2"/>
        </w:rPr>
        <w:t>private</w:t>
      </w:r>
      <w:r>
        <w:rPr>
          <w:spacing w:val="-8"/>
        </w:rPr>
        <w:t> </w:t>
      </w:r>
      <w:r>
        <w:rPr>
          <w:spacing w:val="-2"/>
        </w:rPr>
        <w:t>schools</w:t>
      </w:r>
      <w:r>
        <w:rPr>
          <w:spacing w:val="-8"/>
        </w:rPr>
        <w:t> </w:t>
      </w:r>
      <w:r>
        <w:rPr>
          <w:spacing w:val="-2"/>
        </w:rPr>
        <w:t>is</w:t>
      </w:r>
      <w:r>
        <w:rPr>
          <w:spacing w:val="-8"/>
        </w:rPr>
        <w:t> </w:t>
      </w:r>
      <w:r>
        <w:rPr>
          <w:spacing w:val="-2"/>
        </w:rPr>
        <w:t>more </w:t>
      </w:r>
      <w:r>
        <w:rPr/>
        <w:t>economically</w:t>
      </w:r>
      <w:r>
        <w:rPr>
          <w:spacing w:val="-3"/>
        </w:rPr>
        <w:t> </w:t>
      </w:r>
      <w:r>
        <w:rPr/>
        <w:t>advantaged,</w:t>
      </w:r>
      <w:r>
        <w:rPr>
          <w:spacing w:val="-3"/>
        </w:rPr>
        <w:t> </w:t>
      </w:r>
      <w:r>
        <w:rPr/>
        <w:t>the</w:t>
      </w:r>
      <w:r>
        <w:rPr>
          <w:spacing w:val="-3"/>
        </w:rPr>
        <w:t> </w:t>
      </w:r>
      <w:r>
        <w:rPr/>
        <w:t>rate</w:t>
      </w:r>
      <w:r>
        <w:rPr>
          <w:spacing w:val="-3"/>
        </w:rPr>
        <w:t> </w:t>
      </w:r>
      <w:r>
        <w:rPr/>
        <w:t>of</w:t>
      </w:r>
      <w:r>
        <w:rPr>
          <w:spacing w:val="-3"/>
        </w:rPr>
        <w:t> </w:t>
      </w:r>
      <w:r>
        <w:rPr/>
        <w:t>enrolment</w:t>
      </w:r>
      <w:r>
        <w:rPr>
          <w:spacing w:val="-3"/>
        </w:rPr>
        <w:t> </w:t>
      </w:r>
      <w:r>
        <w:rPr/>
        <w:t>from poor families has also increased steadily. Findings from the MIMAP survey in India show that, of all school-enrolled children aged 5-10 years old living below</w:t>
      </w:r>
      <w:r>
        <w:rPr>
          <w:spacing w:val="-4"/>
        </w:rPr>
        <w:t> </w:t>
      </w:r>
      <w:r>
        <w:rPr/>
        <w:t>the</w:t>
      </w:r>
      <w:r>
        <w:rPr>
          <w:spacing w:val="-4"/>
        </w:rPr>
        <w:t> </w:t>
      </w:r>
      <w:r>
        <w:rPr/>
        <w:t>poverty</w:t>
      </w:r>
      <w:r>
        <w:rPr>
          <w:spacing w:val="-4"/>
        </w:rPr>
        <w:t> </w:t>
      </w:r>
      <w:r>
        <w:rPr/>
        <w:t>line,</w:t>
      </w:r>
      <w:r>
        <w:rPr>
          <w:spacing w:val="-4"/>
        </w:rPr>
        <w:t> </w:t>
      </w:r>
      <w:r>
        <w:rPr/>
        <w:t>14.8</w:t>
      </w:r>
      <w:r>
        <w:rPr>
          <w:spacing w:val="-4"/>
        </w:rPr>
        <w:t> </w:t>
      </w:r>
      <w:r>
        <w:rPr/>
        <w:t>per</w:t>
      </w:r>
      <w:r>
        <w:rPr>
          <w:spacing w:val="-4"/>
        </w:rPr>
        <w:t> </w:t>
      </w:r>
      <w:r>
        <w:rPr/>
        <w:t>cent</w:t>
      </w:r>
      <w:r>
        <w:rPr>
          <w:spacing w:val="-4"/>
        </w:rPr>
        <w:t> </w:t>
      </w:r>
      <w:r>
        <w:rPr/>
        <w:t>attended</w:t>
      </w:r>
      <w:r>
        <w:rPr>
          <w:spacing w:val="-4"/>
        </w:rPr>
        <w:t> </w:t>
      </w:r>
      <w:r>
        <w:rPr/>
        <w:t>private schools (8 per cent in rural and 36 per cent in urban India).</w:t>
      </w:r>
      <w:r>
        <w:rPr>
          <w:spacing w:val="55"/>
        </w:rPr>
        <w:t> </w:t>
      </w:r>
      <w:r>
        <w:rPr/>
        <w:t>The</w:t>
      </w:r>
      <w:r>
        <w:rPr>
          <w:spacing w:val="65"/>
        </w:rPr>
        <w:t> </w:t>
      </w:r>
      <w:r>
        <w:rPr/>
        <w:t>corresponding</w:t>
      </w:r>
      <w:r>
        <w:rPr>
          <w:spacing w:val="64"/>
        </w:rPr>
        <w:t> </w:t>
      </w:r>
      <w:r>
        <w:rPr/>
        <w:t>figures</w:t>
      </w:r>
      <w:r>
        <w:rPr>
          <w:spacing w:val="65"/>
        </w:rPr>
        <w:t> </w:t>
      </w:r>
      <w:r>
        <w:rPr/>
        <w:t>for</w:t>
      </w:r>
      <w:r>
        <w:rPr>
          <w:spacing w:val="65"/>
        </w:rPr>
        <w:t> </w:t>
      </w:r>
      <w:r>
        <w:rPr/>
        <w:t>ages</w:t>
      </w:r>
      <w:r>
        <w:rPr>
          <w:spacing w:val="64"/>
        </w:rPr>
        <w:t> </w:t>
      </w:r>
      <w:r>
        <w:rPr/>
        <w:t>11-</w:t>
      </w:r>
      <w:r>
        <w:rPr>
          <w:spacing w:val="-5"/>
        </w:rPr>
        <w:t>14</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t>years and 15-17 years were 13.8 per cent and 7 per cent</w:t>
      </w:r>
      <w:r>
        <w:rPr>
          <w:spacing w:val="-2"/>
        </w:rPr>
        <w:t> </w:t>
      </w:r>
      <w:r>
        <w:rPr/>
        <w:t>respectively</w:t>
      </w:r>
      <w:r>
        <w:rPr>
          <w:spacing w:val="-2"/>
        </w:rPr>
        <w:t> </w:t>
      </w:r>
      <w:r>
        <w:rPr/>
        <w:t>(Pradhan</w:t>
      </w:r>
      <w:r>
        <w:rPr>
          <w:spacing w:val="-2"/>
        </w:rPr>
        <w:t> </w:t>
      </w:r>
      <w:r>
        <w:rPr/>
        <w:t>and</w:t>
      </w:r>
      <w:r>
        <w:rPr>
          <w:spacing w:val="-2"/>
        </w:rPr>
        <w:t> </w:t>
      </w:r>
      <w:r>
        <w:rPr/>
        <w:t>Subramaniam,</w:t>
      </w:r>
      <w:r>
        <w:rPr>
          <w:spacing w:val="-2"/>
        </w:rPr>
        <w:t> </w:t>
      </w:r>
      <w:r>
        <w:rPr/>
        <w:t>2000). Further,</w:t>
      </w:r>
      <w:r>
        <w:rPr>
          <w:spacing w:val="-12"/>
        </w:rPr>
        <w:t> </w:t>
      </w:r>
      <w:r>
        <w:rPr/>
        <w:t>amongst</w:t>
      </w:r>
      <w:r>
        <w:rPr>
          <w:spacing w:val="-12"/>
        </w:rPr>
        <w:t> </w:t>
      </w:r>
      <w:r>
        <w:rPr/>
        <w:t>the</w:t>
      </w:r>
      <w:r>
        <w:rPr>
          <w:spacing w:val="-12"/>
        </w:rPr>
        <w:t> </w:t>
      </w:r>
      <w:r>
        <w:rPr/>
        <w:t>students</w:t>
      </w:r>
      <w:r>
        <w:rPr>
          <w:spacing w:val="-12"/>
        </w:rPr>
        <w:t> </w:t>
      </w:r>
      <w:r>
        <w:rPr/>
        <w:t>from</w:t>
      </w:r>
      <w:r>
        <w:rPr>
          <w:spacing w:val="-12"/>
        </w:rPr>
        <w:t> </w:t>
      </w:r>
      <w:r>
        <w:rPr/>
        <w:t>poor</w:t>
      </w:r>
      <w:r>
        <w:rPr>
          <w:spacing w:val="-12"/>
        </w:rPr>
        <w:t> </w:t>
      </w:r>
      <w:r>
        <w:rPr/>
        <w:t>backgrounds in private schools, the majority are male.</w:t>
      </w:r>
    </w:p>
    <w:p>
      <w:pPr>
        <w:pStyle w:val="BodyText"/>
        <w:spacing w:before="24"/>
      </w:pPr>
    </w:p>
    <w:p>
      <w:pPr>
        <w:pStyle w:val="BodyText"/>
        <w:spacing w:line="266" w:lineRule="auto"/>
        <w:ind w:left="1080"/>
        <w:jc w:val="both"/>
      </w:pPr>
      <w:r>
        <w:rPr>
          <w:b/>
          <w:w w:val="90"/>
        </w:rPr>
        <w:t>Curriculum, pedagogy and learning outcomes: </w:t>
      </w:r>
      <w:r>
        <w:rPr>
          <w:w w:val="90"/>
        </w:rPr>
        <w:t>An all </w:t>
      </w:r>
      <w:r>
        <w:rPr>
          <w:spacing w:val="-4"/>
        </w:rPr>
        <w:t>India</w:t>
      </w:r>
      <w:r>
        <w:rPr>
          <w:spacing w:val="-6"/>
        </w:rPr>
        <w:t> </w:t>
      </w:r>
      <w:r>
        <w:rPr>
          <w:spacing w:val="-4"/>
        </w:rPr>
        <w:t>study</w:t>
      </w:r>
      <w:r>
        <w:rPr>
          <w:spacing w:val="-6"/>
        </w:rPr>
        <w:t> </w:t>
      </w:r>
      <w:r>
        <w:rPr>
          <w:i/>
          <w:spacing w:val="-4"/>
        </w:rPr>
        <w:t>Annual</w:t>
      </w:r>
      <w:r>
        <w:rPr>
          <w:i/>
          <w:spacing w:val="-6"/>
        </w:rPr>
        <w:t> </w:t>
      </w:r>
      <w:r>
        <w:rPr>
          <w:i/>
          <w:spacing w:val="-4"/>
        </w:rPr>
        <w:t>Status</w:t>
      </w:r>
      <w:r>
        <w:rPr>
          <w:i/>
          <w:spacing w:val="-6"/>
        </w:rPr>
        <w:t> </w:t>
      </w:r>
      <w:r>
        <w:rPr>
          <w:i/>
          <w:spacing w:val="-4"/>
        </w:rPr>
        <w:t>of</w:t>
      </w:r>
      <w:r>
        <w:rPr>
          <w:i/>
          <w:spacing w:val="-6"/>
        </w:rPr>
        <w:t> </w:t>
      </w:r>
      <w:r>
        <w:rPr>
          <w:i/>
          <w:spacing w:val="-4"/>
        </w:rPr>
        <w:t>Education</w:t>
      </w:r>
      <w:r>
        <w:rPr>
          <w:i/>
          <w:spacing w:val="-6"/>
        </w:rPr>
        <w:t> </w:t>
      </w:r>
      <w:r>
        <w:rPr>
          <w:i/>
          <w:spacing w:val="-4"/>
        </w:rPr>
        <w:t>Report</w:t>
      </w:r>
      <w:r>
        <w:rPr>
          <w:i/>
          <w:spacing w:val="-6"/>
        </w:rPr>
        <w:t> </w:t>
      </w:r>
      <w:r>
        <w:rPr>
          <w:spacing w:val="-4"/>
        </w:rPr>
        <w:t>(ASER) </w:t>
      </w:r>
      <w:r>
        <w:rPr/>
        <w:t>conducted by PRATHAM in 2006 found the levels</w:t>
      </w:r>
      <w:r>
        <w:rPr>
          <w:spacing w:val="40"/>
        </w:rPr>
        <w:t> </w:t>
      </w:r>
      <w:r>
        <w:rPr/>
        <w:t>in arithmetic and reading amongst primary school children to be surprisingly low. Close to 35 per cent of children in the 7-14 age group could not read a simple</w:t>
      </w:r>
      <w:r>
        <w:rPr>
          <w:spacing w:val="-14"/>
        </w:rPr>
        <w:t> </w:t>
      </w:r>
      <w:r>
        <w:rPr/>
        <w:t>paragraph</w:t>
      </w:r>
      <w:r>
        <w:rPr>
          <w:spacing w:val="-14"/>
        </w:rPr>
        <w:t> </w:t>
      </w:r>
      <w:r>
        <w:rPr/>
        <w:t>(grade</w:t>
      </w:r>
      <w:r>
        <w:rPr>
          <w:spacing w:val="-13"/>
        </w:rPr>
        <w:t> </w:t>
      </w:r>
      <w:r>
        <w:rPr/>
        <w:t>1</w:t>
      </w:r>
      <w:r>
        <w:rPr>
          <w:spacing w:val="-14"/>
        </w:rPr>
        <w:t> </w:t>
      </w:r>
      <w:r>
        <w:rPr/>
        <w:t>level</w:t>
      </w:r>
      <w:r>
        <w:rPr>
          <w:spacing w:val="-14"/>
        </w:rPr>
        <w:t> </w:t>
      </w:r>
      <w:r>
        <w:rPr/>
        <w:t>difficulty)</w:t>
      </w:r>
      <w:r>
        <w:rPr>
          <w:spacing w:val="-13"/>
        </w:rPr>
        <w:t> </w:t>
      </w:r>
      <w:r>
        <w:rPr/>
        <w:t>and</w:t>
      </w:r>
      <w:r>
        <w:rPr>
          <w:spacing w:val="-14"/>
        </w:rPr>
        <w:t> </w:t>
      </w:r>
      <w:r>
        <w:rPr/>
        <w:t>almost 60 per cent of children could not read a simple story (grade 2 level). In Government Schools, 49.6 per cent</w:t>
      </w:r>
      <w:r>
        <w:rPr>
          <w:spacing w:val="3"/>
        </w:rPr>
        <w:t> </w:t>
      </w:r>
      <w:r>
        <w:rPr/>
        <w:t>of</w:t>
      </w:r>
      <w:r>
        <w:rPr>
          <w:spacing w:val="4"/>
        </w:rPr>
        <w:t> </w:t>
      </w:r>
      <w:r>
        <w:rPr/>
        <w:t>classes</w:t>
      </w:r>
      <w:r>
        <w:rPr>
          <w:spacing w:val="4"/>
        </w:rPr>
        <w:t> </w:t>
      </w:r>
      <w:r>
        <w:rPr/>
        <w:t>II-IV</w:t>
      </w:r>
      <w:r>
        <w:rPr>
          <w:spacing w:val="4"/>
        </w:rPr>
        <w:t> </w:t>
      </w:r>
      <w:r>
        <w:rPr/>
        <w:t>could</w:t>
      </w:r>
      <w:r>
        <w:rPr>
          <w:spacing w:val="3"/>
        </w:rPr>
        <w:t> </w:t>
      </w:r>
      <w:r>
        <w:rPr/>
        <w:t>not</w:t>
      </w:r>
      <w:r>
        <w:rPr>
          <w:spacing w:val="4"/>
        </w:rPr>
        <w:t> </w:t>
      </w:r>
      <w:r>
        <w:rPr/>
        <w:t>subtract</w:t>
      </w:r>
      <w:r>
        <w:rPr>
          <w:spacing w:val="4"/>
        </w:rPr>
        <w:t> </w:t>
      </w:r>
      <w:r>
        <w:rPr/>
        <w:t>(level</w:t>
      </w:r>
      <w:r>
        <w:rPr>
          <w:spacing w:val="4"/>
        </w:rPr>
        <w:t> </w:t>
      </w:r>
      <w:r>
        <w:rPr/>
        <w:t>1),</w:t>
      </w:r>
      <w:r>
        <w:rPr>
          <w:spacing w:val="4"/>
        </w:rPr>
        <w:t> </w:t>
      </w:r>
      <w:r>
        <w:rPr>
          <w:spacing w:val="-5"/>
        </w:rPr>
        <w:t>and</w:t>
      </w:r>
    </w:p>
    <w:p>
      <w:pPr>
        <w:pStyle w:val="BodyText"/>
        <w:spacing w:line="266" w:lineRule="auto"/>
        <w:ind w:left="1080"/>
        <w:jc w:val="both"/>
      </w:pPr>
      <w:r>
        <w:rPr/>
        <w:t>77.8</w:t>
      </w:r>
      <w:r>
        <w:rPr>
          <w:spacing w:val="-3"/>
        </w:rPr>
        <w:t> </w:t>
      </w:r>
      <w:r>
        <w:rPr/>
        <w:t>per</w:t>
      </w:r>
      <w:r>
        <w:rPr>
          <w:spacing w:val="-3"/>
        </w:rPr>
        <w:t> </w:t>
      </w:r>
      <w:r>
        <w:rPr/>
        <w:t>cent</w:t>
      </w:r>
      <w:r>
        <w:rPr>
          <w:spacing w:val="-3"/>
        </w:rPr>
        <w:t> </w:t>
      </w:r>
      <w:r>
        <w:rPr/>
        <w:t>could</w:t>
      </w:r>
      <w:r>
        <w:rPr>
          <w:spacing w:val="-3"/>
        </w:rPr>
        <w:t> </w:t>
      </w:r>
      <w:r>
        <w:rPr/>
        <w:t>not</w:t>
      </w:r>
      <w:r>
        <w:rPr>
          <w:spacing w:val="-3"/>
        </w:rPr>
        <w:t> </w:t>
      </w:r>
      <w:r>
        <w:rPr/>
        <w:t>complete</w:t>
      </w:r>
      <w:r>
        <w:rPr>
          <w:spacing w:val="-3"/>
        </w:rPr>
        <w:t> </w:t>
      </w:r>
      <w:r>
        <w:rPr/>
        <w:t>sums</w:t>
      </w:r>
      <w:r>
        <w:rPr>
          <w:spacing w:val="-3"/>
        </w:rPr>
        <w:t> </w:t>
      </w:r>
      <w:r>
        <w:rPr/>
        <w:t>in</w:t>
      </w:r>
      <w:r>
        <w:rPr>
          <w:spacing w:val="-3"/>
        </w:rPr>
        <w:t> </w:t>
      </w:r>
      <w:r>
        <w:rPr/>
        <w:t>division.</w:t>
      </w:r>
      <w:r>
        <w:rPr>
          <w:spacing w:val="-3"/>
        </w:rPr>
        <w:t> </w:t>
      </w:r>
      <w:r>
        <w:rPr/>
        <w:t>In private</w:t>
      </w:r>
      <w:r>
        <w:rPr>
          <w:spacing w:val="5"/>
        </w:rPr>
        <w:t> </w:t>
      </w:r>
      <w:r>
        <w:rPr/>
        <w:t>schools,</w:t>
      </w:r>
      <w:r>
        <w:rPr>
          <w:spacing w:val="6"/>
        </w:rPr>
        <w:t> </w:t>
      </w:r>
      <w:r>
        <w:rPr/>
        <w:t>37.9</w:t>
      </w:r>
      <w:r>
        <w:rPr>
          <w:spacing w:val="6"/>
        </w:rPr>
        <w:t> </w:t>
      </w:r>
      <w:r>
        <w:rPr/>
        <w:t>could</w:t>
      </w:r>
      <w:r>
        <w:rPr>
          <w:spacing w:val="6"/>
        </w:rPr>
        <w:t> </w:t>
      </w:r>
      <w:r>
        <w:rPr/>
        <w:t>not</w:t>
      </w:r>
      <w:r>
        <w:rPr>
          <w:spacing w:val="6"/>
        </w:rPr>
        <w:t> </w:t>
      </w:r>
      <w:r>
        <w:rPr/>
        <w:t>subtract</w:t>
      </w:r>
      <w:r>
        <w:rPr>
          <w:spacing w:val="6"/>
        </w:rPr>
        <w:t> </w:t>
      </w:r>
      <w:r>
        <w:rPr/>
        <w:t>(level</w:t>
      </w:r>
      <w:r>
        <w:rPr>
          <w:spacing w:val="6"/>
        </w:rPr>
        <w:t> </w:t>
      </w:r>
      <w:r>
        <w:rPr/>
        <w:t>1)</w:t>
      </w:r>
      <w:r>
        <w:rPr>
          <w:spacing w:val="5"/>
        </w:rPr>
        <w:t> </w:t>
      </w:r>
      <w:r>
        <w:rPr>
          <w:spacing w:val="-5"/>
        </w:rPr>
        <w:t>and</w:t>
      </w:r>
    </w:p>
    <w:p>
      <w:pPr>
        <w:pStyle w:val="BodyText"/>
        <w:spacing w:line="251" w:lineRule="exact"/>
        <w:ind w:left="1080"/>
        <w:jc w:val="both"/>
      </w:pPr>
      <w:r>
        <w:rPr/>
        <w:t>66.7</w:t>
      </w:r>
      <w:r>
        <w:rPr>
          <w:spacing w:val="-4"/>
        </w:rPr>
        <w:t> </w:t>
      </w:r>
      <w:r>
        <w:rPr/>
        <w:t>per</w:t>
      </w:r>
      <w:r>
        <w:rPr>
          <w:spacing w:val="-3"/>
        </w:rPr>
        <w:t> </w:t>
      </w:r>
      <w:r>
        <w:rPr/>
        <w:t>cent</w:t>
      </w:r>
      <w:r>
        <w:rPr>
          <w:spacing w:val="-3"/>
        </w:rPr>
        <w:t> </w:t>
      </w:r>
      <w:r>
        <w:rPr/>
        <w:t>could</w:t>
      </w:r>
      <w:r>
        <w:rPr>
          <w:spacing w:val="-4"/>
        </w:rPr>
        <w:t> </w:t>
      </w:r>
      <w:r>
        <w:rPr/>
        <w:t>not</w:t>
      </w:r>
      <w:r>
        <w:rPr>
          <w:spacing w:val="-3"/>
        </w:rPr>
        <w:t> </w:t>
      </w:r>
      <w:r>
        <w:rPr/>
        <w:t>finish</w:t>
      </w:r>
      <w:r>
        <w:rPr>
          <w:spacing w:val="-3"/>
        </w:rPr>
        <w:t> </w:t>
      </w:r>
      <w:r>
        <w:rPr/>
        <w:t>division</w:t>
      </w:r>
      <w:r>
        <w:rPr>
          <w:spacing w:val="-3"/>
        </w:rPr>
        <w:t> </w:t>
      </w:r>
      <w:r>
        <w:rPr/>
        <w:t>sums</w:t>
      </w:r>
      <w:r>
        <w:rPr>
          <w:spacing w:val="-4"/>
        </w:rPr>
        <w:t> </w:t>
      </w:r>
      <w:r>
        <w:rPr/>
        <w:t>(level</w:t>
      </w:r>
      <w:r>
        <w:rPr>
          <w:spacing w:val="-3"/>
        </w:rPr>
        <w:t> </w:t>
      </w:r>
      <w:r>
        <w:rPr>
          <w:spacing w:val="-5"/>
        </w:rPr>
        <w:t>2).</w:t>
      </w:r>
    </w:p>
    <w:p>
      <w:pPr>
        <w:pStyle w:val="BodyText"/>
        <w:spacing w:line="266" w:lineRule="auto" w:before="57"/>
        <w:ind w:left="319" w:right="1077"/>
        <w:jc w:val="both"/>
      </w:pPr>
      <w:r>
        <w:rPr/>
        <w:br w:type="column"/>
      </w:r>
      <w:r>
        <w:rPr/>
        <w:t>The situation in Tamil Nadu, Karnataka and Gujarat (where the schools function and where all provision </w:t>
      </w:r>
      <w:r>
        <w:rPr>
          <w:spacing w:val="-2"/>
        </w:rPr>
        <w:t>related</w:t>
      </w:r>
      <w:r>
        <w:rPr>
          <w:spacing w:val="-8"/>
        </w:rPr>
        <w:t> </w:t>
      </w:r>
      <w:r>
        <w:rPr>
          <w:spacing w:val="-2"/>
        </w:rPr>
        <w:t>indicators</w:t>
      </w:r>
      <w:r>
        <w:rPr>
          <w:spacing w:val="-8"/>
        </w:rPr>
        <w:t> </w:t>
      </w:r>
      <w:r>
        <w:rPr>
          <w:spacing w:val="-2"/>
        </w:rPr>
        <w:t>are</w:t>
      </w:r>
      <w:r>
        <w:rPr>
          <w:spacing w:val="-8"/>
        </w:rPr>
        <w:t> </w:t>
      </w:r>
      <w:r>
        <w:rPr>
          <w:spacing w:val="-2"/>
        </w:rPr>
        <w:t>good)</w:t>
      </w:r>
      <w:r>
        <w:rPr>
          <w:spacing w:val="-8"/>
        </w:rPr>
        <w:t> </w:t>
      </w:r>
      <w:r>
        <w:rPr>
          <w:spacing w:val="-2"/>
        </w:rPr>
        <w:t>are</w:t>
      </w:r>
      <w:r>
        <w:rPr>
          <w:spacing w:val="-8"/>
        </w:rPr>
        <w:t> </w:t>
      </w:r>
      <w:r>
        <w:rPr>
          <w:spacing w:val="-2"/>
        </w:rPr>
        <w:t>far</w:t>
      </w:r>
      <w:r>
        <w:rPr>
          <w:spacing w:val="-8"/>
        </w:rPr>
        <w:t> </w:t>
      </w:r>
      <w:r>
        <w:rPr>
          <w:spacing w:val="-2"/>
        </w:rPr>
        <w:t>worse</w:t>
      </w:r>
      <w:r>
        <w:rPr>
          <w:spacing w:val="-8"/>
        </w:rPr>
        <w:t> </w:t>
      </w:r>
      <w:r>
        <w:rPr>
          <w:spacing w:val="-2"/>
        </w:rPr>
        <w:t>than</w:t>
      </w:r>
      <w:r>
        <w:rPr>
          <w:spacing w:val="-8"/>
        </w:rPr>
        <w:t> </w:t>
      </w:r>
      <w:r>
        <w:rPr>
          <w:spacing w:val="-2"/>
        </w:rPr>
        <w:t>in</w:t>
      </w:r>
      <w:r>
        <w:rPr>
          <w:spacing w:val="-8"/>
        </w:rPr>
        <w:t> </w:t>
      </w:r>
      <w:r>
        <w:rPr>
          <w:spacing w:val="-2"/>
        </w:rPr>
        <w:t>Bihar </w:t>
      </w:r>
      <w:r>
        <w:rPr/>
        <w:t>and</w:t>
      </w:r>
      <w:r>
        <w:rPr>
          <w:spacing w:val="-6"/>
        </w:rPr>
        <w:t> </w:t>
      </w:r>
      <w:r>
        <w:rPr/>
        <w:t>Chhattisgarh</w:t>
      </w:r>
      <w:r>
        <w:rPr>
          <w:spacing w:val="-6"/>
        </w:rPr>
        <w:t> </w:t>
      </w:r>
      <w:r>
        <w:rPr/>
        <w:t>(where</w:t>
      </w:r>
      <w:r>
        <w:rPr>
          <w:spacing w:val="-6"/>
        </w:rPr>
        <w:t> </w:t>
      </w:r>
      <w:r>
        <w:rPr/>
        <w:t>indicators</w:t>
      </w:r>
      <w:r>
        <w:rPr>
          <w:spacing w:val="-6"/>
        </w:rPr>
        <w:t> </w:t>
      </w:r>
      <w:r>
        <w:rPr/>
        <w:t>like</w:t>
      </w:r>
      <w:r>
        <w:rPr>
          <w:spacing w:val="-6"/>
        </w:rPr>
        <w:t> </w:t>
      </w:r>
      <w:r>
        <w:rPr/>
        <w:t>teacher-pupil ratio, drop out rates are extremely high, and there</w:t>
      </w:r>
      <w:r>
        <w:rPr>
          <w:spacing w:val="80"/>
        </w:rPr>
        <w:t> </w:t>
      </w:r>
      <w:r>
        <w:rPr/>
        <w:t>are</w:t>
      </w:r>
      <w:r>
        <w:rPr>
          <w:spacing w:val="-1"/>
        </w:rPr>
        <w:t> </w:t>
      </w:r>
      <w:r>
        <w:rPr/>
        <w:t>fewer</w:t>
      </w:r>
      <w:r>
        <w:rPr>
          <w:spacing w:val="-1"/>
        </w:rPr>
        <w:t> </w:t>
      </w:r>
      <w:r>
        <w:rPr/>
        <w:t>schooling</w:t>
      </w:r>
      <w:r>
        <w:rPr>
          <w:spacing w:val="-1"/>
        </w:rPr>
        <w:t> </w:t>
      </w:r>
      <w:r>
        <w:rPr/>
        <w:t>facilities).</w:t>
      </w:r>
      <w:r>
        <w:rPr>
          <w:spacing w:val="-8"/>
        </w:rPr>
        <w:t> </w:t>
      </w:r>
      <w:r>
        <w:rPr/>
        <w:t>The</w:t>
      </w:r>
      <w:r>
        <w:rPr>
          <w:spacing w:val="-1"/>
        </w:rPr>
        <w:t> </w:t>
      </w:r>
      <w:r>
        <w:rPr/>
        <w:t>high</w:t>
      </w:r>
      <w:r>
        <w:rPr>
          <w:spacing w:val="-1"/>
        </w:rPr>
        <w:t> </w:t>
      </w:r>
      <w:r>
        <w:rPr/>
        <w:t>failure</w:t>
      </w:r>
      <w:r>
        <w:rPr>
          <w:spacing w:val="-1"/>
        </w:rPr>
        <w:t> </w:t>
      </w:r>
      <w:r>
        <w:rPr/>
        <w:t>rates, especially</w:t>
      </w:r>
      <w:r>
        <w:rPr>
          <w:spacing w:val="-5"/>
        </w:rPr>
        <w:t> </w:t>
      </w:r>
      <w:r>
        <w:rPr/>
        <w:t>among</w:t>
      </w:r>
      <w:r>
        <w:rPr>
          <w:spacing w:val="-5"/>
        </w:rPr>
        <w:t> </w:t>
      </w:r>
      <w:r>
        <w:rPr/>
        <w:t>the</w:t>
      </w:r>
      <w:r>
        <w:rPr>
          <w:spacing w:val="-5"/>
        </w:rPr>
        <w:t> </w:t>
      </w:r>
      <w:r>
        <w:rPr/>
        <w:t>rural,</w:t>
      </w:r>
      <w:r>
        <w:rPr>
          <w:spacing w:val="-5"/>
        </w:rPr>
        <w:t> </w:t>
      </w:r>
      <w:r>
        <w:rPr/>
        <w:t>economically</w:t>
      </w:r>
      <w:r>
        <w:rPr>
          <w:spacing w:val="-5"/>
        </w:rPr>
        <w:t> </w:t>
      </w:r>
      <w:r>
        <w:rPr/>
        <w:t>weaker</w:t>
      </w:r>
      <w:r>
        <w:rPr>
          <w:spacing w:val="-5"/>
        </w:rPr>
        <w:t> </w:t>
      </w:r>
      <w:r>
        <w:rPr/>
        <w:t>and </w:t>
      </w:r>
      <w:r>
        <w:rPr>
          <w:w w:val="90"/>
        </w:rPr>
        <w:t>socially deprived children, forces one to critically review </w:t>
      </w:r>
      <w:r>
        <w:rPr/>
        <w:t>the whole system of evaluation and examination.</w:t>
      </w:r>
    </w:p>
    <w:p>
      <w:pPr>
        <w:pStyle w:val="BodyText"/>
        <w:spacing w:before="20"/>
      </w:pPr>
    </w:p>
    <w:p>
      <w:pPr>
        <w:pStyle w:val="BodyText"/>
        <w:spacing w:line="266" w:lineRule="auto"/>
        <w:ind w:left="319" w:right="1077"/>
        <w:jc w:val="both"/>
      </w:pPr>
      <w:r>
        <w:rPr/>
        <w:t>It is widely recognised that there is a need to shift focus</w:t>
      </w:r>
      <w:r>
        <w:rPr>
          <w:spacing w:val="-14"/>
        </w:rPr>
        <w:t> </w:t>
      </w:r>
      <w:r>
        <w:rPr/>
        <w:t>from</w:t>
      </w:r>
      <w:r>
        <w:rPr>
          <w:spacing w:val="-14"/>
        </w:rPr>
        <w:t> </w:t>
      </w:r>
      <w:r>
        <w:rPr/>
        <w:t>rote</w:t>
      </w:r>
      <w:r>
        <w:rPr>
          <w:spacing w:val="-14"/>
        </w:rPr>
        <w:t> </w:t>
      </w:r>
      <w:r>
        <w:rPr/>
        <w:t>learning</w:t>
      </w:r>
      <w:r>
        <w:rPr>
          <w:spacing w:val="-13"/>
        </w:rPr>
        <w:t> </w:t>
      </w:r>
      <w:r>
        <w:rPr/>
        <w:t>from</w:t>
      </w:r>
      <w:r>
        <w:rPr>
          <w:spacing w:val="-14"/>
        </w:rPr>
        <w:t> </w:t>
      </w:r>
      <w:r>
        <w:rPr/>
        <w:t>textbooks</w:t>
      </w:r>
      <w:r>
        <w:rPr>
          <w:spacing w:val="-14"/>
        </w:rPr>
        <w:t> </w:t>
      </w:r>
      <w:r>
        <w:rPr/>
        <w:t>to</w:t>
      </w:r>
      <w:r>
        <w:rPr>
          <w:spacing w:val="-14"/>
        </w:rPr>
        <w:t> </w:t>
      </w:r>
      <w:r>
        <w:rPr/>
        <w:t>developing basic skills and the ability of students to apply their learning to real situations. Also creativity, problem- solving ability and encouragement for construction</w:t>
      </w:r>
      <w:r>
        <w:rPr>
          <w:spacing w:val="40"/>
        </w:rPr>
        <w:t> </w:t>
      </w:r>
      <w:r>
        <w:rPr/>
        <w:t>of knowledge based on students’ own experiences needs to be promoted. Introducing accountability</w:t>
      </w:r>
      <w:r>
        <w:rPr>
          <w:spacing w:val="80"/>
        </w:rPr>
        <w:t> </w:t>
      </w:r>
      <w:r>
        <w:rPr/>
        <w:t>and</w:t>
      </w:r>
      <w:r>
        <w:rPr>
          <w:spacing w:val="23"/>
        </w:rPr>
        <w:t> </w:t>
      </w:r>
      <w:r>
        <w:rPr/>
        <w:t>developing</w:t>
      </w:r>
      <w:r>
        <w:rPr>
          <w:spacing w:val="23"/>
        </w:rPr>
        <w:t> </w:t>
      </w:r>
      <w:r>
        <w:rPr/>
        <w:t>other</w:t>
      </w:r>
      <w:r>
        <w:rPr>
          <w:spacing w:val="23"/>
        </w:rPr>
        <w:t> </w:t>
      </w:r>
      <w:r>
        <w:rPr/>
        <w:t>measures</w:t>
      </w:r>
      <w:r>
        <w:rPr>
          <w:spacing w:val="24"/>
        </w:rPr>
        <w:t> </w:t>
      </w:r>
      <w:r>
        <w:rPr/>
        <w:t>to</w:t>
      </w:r>
      <w:r>
        <w:rPr>
          <w:spacing w:val="23"/>
        </w:rPr>
        <w:t> </w:t>
      </w:r>
      <w:r>
        <w:rPr/>
        <w:t>improve</w:t>
      </w:r>
      <w:r>
        <w:rPr>
          <w:spacing w:val="23"/>
        </w:rPr>
        <w:t> </w:t>
      </w:r>
      <w:r>
        <w:rPr>
          <w:spacing w:val="-2"/>
        </w:rPr>
        <w:t>teaching</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before="181"/>
        <w:rPr>
          <w:sz w:val="24"/>
        </w:rPr>
      </w:pPr>
    </w:p>
    <w:p>
      <w:pPr>
        <w:pStyle w:val="Heading8"/>
        <w:ind w:left="2018"/>
      </w:pPr>
      <w:r>
        <w:rPr/>
        <mc:AlternateContent>
          <mc:Choice Requires="wps">
            <w:drawing>
              <wp:anchor distT="0" distB="0" distL="0" distR="0" allowOverlap="1" layoutInCell="1" locked="0" behindDoc="0" simplePos="0" relativeHeight="15803392">
                <wp:simplePos x="0" y="0"/>
                <wp:positionH relativeFrom="page">
                  <wp:posOffset>1284774</wp:posOffset>
                </wp:positionH>
                <wp:positionV relativeFrom="paragraph">
                  <wp:posOffset>277711</wp:posOffset>
                </wp:positionV>
                <wp:extent cx="5039360" cy="2203450"/>
                <wp:effectExtent l="0" t="0" r="0" b="0"/>
                <wp:wrapNone/>
                <wp:docPr id="1166" name="Group 1166"/>
                <wp:cNvGraphicFramePr>
                  <a:graphicFrameLocks/>
                </wp:cNvGraphicFramePr>
                <a:graphic>
                  <a:graphicData uri="http://schemas.microsoft.com/office/word/2010/wordprocessingGroup">
                    <wpg:wgp>
                      <wpg:cNvPr id="1166" name="Group 1166"/>
                      <wpg:cNvGrpSpPr/>
                      <wpg:grpSpPr>
                        <a:xfrm>
                          <a:off x="0" y="0"/>
                          <a:ext cx="5039360" cy="2203450"/>
                          <a:chExt cx="5039360" cy="2203450"/>
                        </a:xfrm>
                      </wpg:grpSpPr>
                      <wps:wsp>
                        <wps:cNvPr id="1167" name="Graphic 1167"/>
                        <wps:cNvSpPr/>
                        <wps:spPr>
                          <a:xfrm>
                            <a:off x="369171" y="138340"/>
                            <a:ext cx="4620895" cy="1652905"/>
                          </a:xfrm>
                          <a:custGeom>
                            <a:avLst/>
                            <a:gdLst/>
                            <a:ahLst/>
                            <a:cxnLst/>
                            <a:rect l="l" t="t" r="r" b="b"/>
                            <a:pathLst>
                              <a:path w="4620895" h="1652905">
                                <a:moveTo>
                                  <a:pt x="4620577" y="1613420"/>
                                </a:moveTo>
                                <a:lnTo>
                                  <a:pt x="44450" y="1613420"/>
                                </a:lnTo>
                                <a:lnTo>
                                  <a:pt x="44450" y="1441450"/>
                                </a:lnTo>
                                <a:lnTo>
                                  <a:pt x="44450" y="1435100"/>
                                </a:lnTo>
                                <a:lnTo>
                                  <a:pt x="44450" y="0"/>
                                </a:lnTo>
                                <a:lnTo>
                                  <a:pt x="0" y="0"/>
                                </a:lnTo>
                                <a:lnTo>
                                  <a:pt x="0" y="6350"/>
                                </a:lnTo>
                                <a:lnTo>
                                  <a:pt x="38100" y="6350"/>
                                </a:lnTo>
                                <a:lnTo>
                                  <a:pt x="38100" y="177800"/>
                                </a:lnTo>
                                <a:lnTo>
                                  <a:pt x="0" y="177800"/>
                                </a:lnTo>
                                <a:lnTo>
                                  <a:pt x="0" y="184150"/>
                                </a:lnTo>
                                <a:lnTo>
                                  <a:pt x="38100" y="184150"/>
                                </a:lnTo>
                                <a:lnTo>
                                  <a:pt x="38100" y="355600"/>
                                </a:lnTo>
                                <a:lnTo>
                                  <a:pt x="0" y="355600"/>
                                </a:lnTo>
                                <a:lnTo>
                                  <a:pt x="0" y="361950"/>
                                </a:lnTo>
                                <a:lnTo>
                                  <a:pt x="38100" y="361950"/>
                                </a:lnTo>
                                <a:lnTo>
                                  <a:pt x="38100" y="546100"/>
                                </a:lnTo>
                                <a:lnTo>
                                  <a:pt x="0" y="546100"/>
                                </a:lnTo>
                                <a:lnTo>
                                  <a:pt x="0" y="552450"/>
                                </a:lnTo>
                                <a:lnTo>
                                  <a:pt x="38100" y="552450"/>
                                </a:lnTo>
                                <a:lnTo>
                                  <a:pt x="38100" y="711200"/>
                                </a:lnTo>
                                <a:lnTo>
                                  <a:pt x="0" y="711200"/>
                                </a:lnTo>
                                <a:lnTo>
                                  <a:pt x="0" y="717550"/>
                                </a:lnTo>
                                <a:lnTo>
                                  <a:pt x="38100" y="717550"/>
                                </a:lnTo>
                                <a:lnTo>
                                  <a:pt x="38100" y="901700"/>
                                </a:lnTo>
                                <a:lnTo>
                                  <a:pt x="0" y="901700"/>
                                </a:lnTo>
                                <a:lnTo>
                                  <a:pt x="0" y="908050"/>
                                </a:lnTo>
                                <a:lnTo>
                                  <a:pt x="38100" y="908050"/>
                                </a:lnTo>
                                <a:lnTo>
                                  <a:pt x="38100" y="1079500"/>
                                </a:lnTo>
                                <a:lnTo>
                                  <a:pt x="0" y="1079500"/>
                                </a:lnTo>
                                <a:lnTo>
                                  <a:pt x="0" y="1085850"/>
                                </a:lnTo>
                                <a:lnTo>
                                  <a:pt x="38100" y="1085850"/>
                                </a:lnTo>
                                <a:lnTo>
                                  <a:pt x="38100" y="1263650"/>
                                </a:lnTo>
                                <a:lnTo>
                                  <a:pt x="0" y="1263650"/>
                                </a:lnTo>
                                <a:lnTo>
                                  <a:pt x="0" y="1270000"/>
                                </a:lnTo>
                                <a:lnTo>
                                  <a:pt x="38100" y="1270000"/>
                                </a:lnTo>
                                <a:lnTo>
                                  <a:pt x="38100" y="1435100"/>
                                </a:lnTo>
                                <a:lnTo>
                                  <a:pt x="0" y="1435100"/>
                                </a:lnTo>
                                <a:lnTo>
                                  <a:pt x="0" y="1441450"/>
                                </a:lnTo>
                                <a:lnTo>
                                  <a:pt x="38100" y="1441450"/>
                                </a:lnTo>
                                <a:lnTo>
                                  <a:pt x="38100" y="1613420"/>
                                </a:lnTo>
                                <a:lnTo>
                                  <a:pt x="0" y="1613420"/>
                                </a:lnTo>
                                <a:lnTo>
                                  <a:pt x="0" y="1619770"/>
                                </a:lnTo>
                                <a:lnTo>
                                  <a:pt x="38100" y="1619770"/>
                                </a:lnTo>
                                <a:lnTo>
                                  <a:pt x="38100" y="1652460"/>
                                </a:lnTo>
                                <a:lnTo>
                                  <a:pt x="44450" y="1652460"/>
                                </a:lnTo>
                                <a:lnTo>
                                  <a:pt x="44450" y="1619770"/>
                                </a:lnTo>
                                <a:lnTo>
                                  <a:pt x="495300" y="1619770"/>
                                </a:lnTo>
                                <a:lnTo>
                                  <a:pt x="495300" y="1652460"/>
                                </a:lnTo>
                                <a:lnTo>
                                  <a:pt x="501650" y="1652460"/>
                                </a:lnTo>
                                <a:lnTo>
                                  <a:pt x="501650" y="1619770"/>
                                </a:lnTo>
                                <a:lnTo>
                                  <a:pt x="952500" y="1619770"/>
                                </a:lnTo>
                                <a:lnTo>
                                  <a:pt x="952500" y="1652460"/>
                                </a:lnTo>
                                <a:lnTo>
                                  <a:pt x="958850" y="1652460"/>
                                </a:lnTo>
                                <a:lnTo>
                                  <a:pt x="958850" y="1619770"/>
                                </a:lnTo>
                                <a:lnTo>
                                  <a:pt x="1409700" y="1619770"/>
                                </a:lnTo>
                                <a:lnTo>
                                  <a:pt x="1409700" y="1652460"/>
                                </a:lnTo>
                                <a:lnTo>
                                  <a:pt x="1416050" y="1652460"/>
                                </a:lnTo>
                                <a:lnTo>
                                  <a:pt x="1416050" y="1619770"/>
                                </a:lnTo>
                                <a:lnTo>
                                  <a:pt x="1866900" y="1619770"/>
                                </a:lnTo>
                                <a:lnTo>
                                  <a:pt x="1866900" y="1652460"/>
                                </a:lnTo>
                                <a:lnTo>
                                  <a:pt x="1873250" y="1652460"/>
                                </a:lnTo>
                                <a:lnTo>
                                  <a:pt x="1873250" y="1619770"/>
                                </a:lnTo>
                                <a:lnTo>
                                  <a:pt x="2324100" y="1619770"/>
                                </a:lnTo>
                                <a:lnTo>
                                  <a:pt x="2324100" y="1652460"/>
                                </a:lnTo>
                                <a:lnTo>
                                  <a:pt x="2330450" y="1652460"/>
                                </a:lnTo>
                                <a:lnTo>
                                  <a:pt x="2330450" y="1619770"/>
                                </a:lnTo>
                                <a:lnTo>
                                  <a:pt x="2781300" y="1619770"/>
                                </a:lnTo>
                                <a:lnTo>
                                  <a:pt x="2781300" y="1652460"/>
                                </a:lnTo>
                                <a:lnTo>
                                  <a:pt x="2787650" y="1652460"/>
                                </a:lnTo>
                                <a:lnTo>
                                  <a:pt x="2787650" y="1619770"/>
                                </a:lnTo>
                                <a:lnTo>
                                  <a:pt x="3238500" y="1619770"/>
                                </a:lnTo>
                                <a:lnTo>
                                  <a:pt x="3238500" y="1652460"/>
                                </a:lnTo>
                                <a:lnTo>
                                  <a:pt x="3244850" y="1652460"/>
                                </a:lnTo>
                                <a:lnTo>
                                  <a:pt x="3244850" y="1619770"/>
                                </a:lnTo>
                                <a:lnTo>
                                  <a:pt x="3695700" y="1619770"/>
                                </a:lnTo>
                                <a:lnTo>
                                  <a:pt x="3695700" y="1652460"/>
                                </a:lnTo>
                                <a:lnTo>
                                  <a:pt x="3702050" y="1652460"/>
                                </a:lnTo>
                                <a:lnTo>
                                  <a:pt x="3702050" y="1619770"/>
                                </a:lnTo>
                                <a:lnTo>
                                  <a:pt x="4152900" y="1619770"/>
                                </a:lnTo>
                                <a:lnTo>
                                  <a:pt x="4152900" y="1652460"/>
                                </a:lnTo>
                                <a:lnTo>
                                  <a:pt x="4159250" y="1652460"/>
                                </a:lnTo>
                                <a:lnTo>
                                  <a:pt x="4159250" y="1619770"/>
                                </a:lnTo>
                                <a:lnTo>
                                  <a:pt x="4610100" y="1619770"/>
                                </a:lnTo>
                                <a:lnTo>
                                  <a:pt x="4610100" y="1652460"/>
                                </a:lnTo>
                                <a:lnTo>
                                  <a:pt x="4616450" y="1652460"/>
                                </a:lnTo>
                                <a:lnTo>
                                  <a:pt x="4616450" y="1619770"/>
                                </a:lnTo>
                                <a:lnTo>
                                  <a:pt x="4620577" y="1619770"/>
                                </a:lnTo>
                                <a:lnTo>
                                  <a:pt x="4620577" y="1613420"/>
                                </a:lnTo>
                                <a:close/>
                              </a:path>
                            </a:pathLst>
                          </a:custGeom>
                          <a:solidFill>
                            <a:srgbClr val="000000"/>
                          </a:solidFill>
                        </wps:spPr>
                        <wps:bodyPr wrap="square" lIns="0" tIns="0" rIns="0" bIns="0" rtlCol="0">
                          <a:prstTxWarp prst="textNoShape">
                            <a:avLst/>
                          </a:prstTxWarp>
                          <a:noAutofit/>
                        </wps:bodyPr>
                      </wps:wsp>
                      <wps:wsp>
                        <wps:cNvPr id="1168" name="Graphic 1168"/>
                        <wps:cNvSpPr/>
                        <wps:spPr>
                          <a:xfrm>
                            <a:off x="552687" y="232536"/>
                            <a:ext cx="4302760" cy="1519555"/>
                          </a:xfrm>
                          <a:custGeom>
                            <a:avLst/>
                            <a:gdLst/>
                            <a:ahLst/>
                            <a:cxnLst/>
                            <a:rect l="l" t="t" r="r" b="b"/>
                            <a:pathLst>
                              <a:path w="4302760" h="1519555">
                                <a:moveTo>
                                  <a:pt x="179006" y="638632"/>
                                </a:moveTo>
                                <a:lnTo>
                                  <a:pt x="0" y="638632"/>
                                </a:lnTo>
                                <a:lnTo>
                                  <a:pt x="0" y="1519555"/>
                                </a:lnTo>
                                <a:lnTo>
                                  <a:pt x="179006" y="1519555"/>
                                </a:lnTo>
                                <a:lnTo>
                                  <a:pt x="179006" y="638632"/>
                                </a:lnTo>
                                <a:close/>
                              </a:path>
                              <a:path w="4302760" h="1519555">
                                <a:moveTo>
                                  <a:pt x="629335" y="0"/>
                                </a:moveTo>
                                <a:lnTo>
                                  <a:pt x="450329" y="0"/>
                                </a:lnTo>
                                <a:lnTo>
                                  <a:pt x="450329" y="1519555"/>
                                </a:lnTo>
                                <a:lnTo>
                                  <a:pt x="629335" y="1519555"/>
                                </a:lnTo>
                                <a:lnTo>
                                  <a:pt x="629335" y="0"/>
                                </a:lnTo>
                                <a:close/>
                              </a:path>
                              <a:path w="4302760" h="1519555">
                                <a:moveTo>
                                  <a:pt x="1096924" y="485775"/>
                                </a:moveTo>
                                <a:lnTo>
                                  <a:pt x="917917" y="485775"/>
                                </a:lnTo>
                                <a:lnTo>
                                  <a:pt x="917917" y="1519555"/>
                                </a:lnTo>
                                <a:lnTo>
                                  <a:pt x="1096924" y="1519555"/>
                                </a:lnTo>
                                <a:lnTo>
                                  <a:pt x="1096924" y="485775"/>
                                </a:lnTo>
                                <a:close/>
                              </a:path>
                              <a:path w="4302760" h="1519555">
                                <a:moveTo>
                                  <a:pt x="1548930" y="767359"/>
                                </a:moveTo>
                                <a:lnTo>
                                  <a:pt x="1369923" y="767359"/>
                                </a:lnTo>
                                <a:lnTo>
                                  <a:pt x="1369923" y="1519555"/>
                                </a:lnTo>
                                <a:lnTo>
                                  <a:pt x="1548930" y="1519555"/>
                                </a:lnTo>
                                <a:lnTo>
                                  <a:pt x="1548930" y="767359"/>
                                </a:lnTo>
                                <a:close/>
                              </a:path>
                              <a:path w="4302760" h="1519555">
                                <a:moveTo>
                                  <a:pt x="2011324" y="923150"/>
                                </a:moveTo>
                                <a:lnTo>
                                  <a:pt x="1832317" y="923150"/>
                                </a:lnTo>
                                <a:lnTo>
                                  <a:pt x="1832317" y="1519555"/>
                                </a:lnTo>
                                <a:lnTo>
                                  <a:pt x="2011324" y="1519555"/>
                                </a:lnTo>
                                <a:lnTo>
                                  <a:pt x="2011324" y="923150"/>
                                </a:lnTo>
                                <a:close/>
                              </a:path>
                              <a:path w="4302760" h="1519555">
                                <a:moveTo>
                                  <a:pt x="2458656" y="1285875"/>
                                </a:moveTo>
                                <a:lnTo>
                                  <a:pt x="2279650" y="1285875"/>
                                </a:lnTo>
                                <a:lnTo>
                                  <a:pt x="2279650" y="1519555"/>
                                </a:lnTo>
                                <a:lnTo>
                                  <a:pt x="2458656" y="1519555"/>
                                </a:lnTo>
                                <a:lnTo>
                                  <a:pt x="2458656" y="1285875"/>
                                </a:lnTo>
                                <a:close/>
                              </a:path>
                              <a:path w="4302760" h="1519555">
                                <a:moveTo>
                                  <a:pt x="2910141" y="1051560"/>
                                </a:moveTo>
                                <a:lnTo>
                                  <a:pt x="2731135" y="1051560"/>
                                </a:lnTo>
                                <a:lnTo>
                                  <a:pt x="2731135" y="1519555"/>
                                </a:lnTo>
                                <a:lnTo>
                                  <a:pt x="2910141" y="1519555"/>
                                </a:lnTo>
                                <a:lnTo>
                                  <a:pt x="2910141" y="1051560"/>
                                </a:lnTo>
                                <a:close/>
                              </a:path>
                              <a:path w="4302760" h="1519555">
                                <a:moveTo>
                                  <a:pt x="3373056" y="668655"/>
                                </a:moveTo>
                                <a:lnTo>
                                  <a:pt x="3194050" y="668655"/>
                                </a:lnTo>
                                <a:lnTo>
                                  <a:pt x="3194050" y="1519555"/>
                                </a:lnTo>
                                <a:lnTo>
                                  <a:pt x="3373056" y="1519555"/>
                                </a:lnTo>
                                <a:lnTo>
                                  <a:pt x="3373056" y="668655"/>
                                </a:lnTo>
                                <a:close/>
                              </a:path>
                              <a:path w="4302760" h="1519555">
                                <a:moveTo>
                                  <a:pt x="3830256" y="588645"/>
                                </a:moveTo>
                                <a:lnTo>
                                  <a:pt x="3651250" y="588645"/>
                                </a:lnTo>
                                <a:lnTo>
                                  <a:pt x="3651250" y="1519555"/>
                                </a:lnTo>
                                <a:lnTo>
                                  <a:pt x="3830256" y="1519555"/>
                                </a:lnTo>
                                <a:lnTo>
                                  <a:pt x="3830256" y="588645"/>
                                </a:lnTo>
                                <a:close/>
                              </a:path>
                              <a:path w="4302760" h="1519555">
                                <a:moveTo>
                                  <a:pt x="4302531" y="588645"/>
                                </a:moveTo>
                                <a:lnTo>
                                  <a:pt x="4123512" y="588645"/>
                                </a:lnTo>
                                <a:lnTo>
                                  <a:pt x="4123512" y="1519555"/>
                                </a:lnTo>
                                <a:lnTo>
                                  <a:pt x="4302531" y="1519555"/>
                                </a:lnTo>
                                <a:lnTo>
                                  <a:pt x="4302531" y="588645"/>
                                </a:lnTo>
                                <a:close/>
                              </a:path>
                            </a:pathLst>
                          </a:custGeom>
                          <a:solidFill>
                            <a:srgbClr val="2E614A"/>
                          </a:solidFill>
                        </wps:spPr>
                        <wps:bodyPr wrap="square" lIns="0" tIns="0" rIns="0" bIns="0" rtlCol="0">
                          <a:prstTxWarp prst="textNoShape">
                            <a:avLst/>
                          </a:prstTxWarp>
                          <a:noAutofit/>
                        </wps:bodyPr>
                      </wps:wsp>
                      <wps:wsp>
                        <wps:cNvPr id="1169" name="Textbox 1169"/>
                        <wps:cNvSpPr txBox="1"/>
                        <wps:spPr>
                          <a:xfrm>
                            <a:off x="3175" y="3175"/>
                            <a:ext cx="5033010" cy="2197100"/>
                          </a:xfrm>
                          <a:prstGeom prst="rect">
                            <a:avLst/>
                          </a:prstGeom>
                          <a:ln w="6350">
                            <a:solidFill>
                              <a:srgbClr val="000000"/>
                            </a:solidFill>
                            <a:prstDash val="solid"/>
                          </a:ln>
                        </wps:spPr>
                        <wps:txbx>
                          <w:txbxContent>
                            <w:p>
                              <w:pPr>
                                <w:spacing w:line="240" w:lineRule="auto" w:before="0"/>
                                <w:rPr>
                                  <w:sz w:val="16"/>
                                </w:rPr>
                              </w:pPr>
                            </w:p>
                            <w:p>
                              <w:pPr>
                                <w:spacing w:line="240" w:lineRule="auto" w:before="4"/>
                                <w:rPr>
                                  <w:sz w:val="16"/>
                                </w:rPr>
                              </w:pPr>
                            </w:p>
                            <w:p>
                              <w:pPr>
                                <w:spacing w:before="0"/>
                                <w:ind w:left="365" w:right="0" w:firstLine="0"/>
                                <w:jc w:val="left"/>
                                <w:rPr>
                                  <w:rFonts w:ascii="Arial MT"/>
                                  <w:sz w:val="16"/>
                                </w:rPr>
                              </w:pPr>
                              <w:r>
                                <w:rPr>
                                  <w:rFonts w:ascii="Arial MT"/>
                                  <w:spacing w:val="-5"/>
                                  <w:w w:val="90"/>
                                  <w:sz w:val="16"/>
                                </w:rPr>
                                <w:t>90</w:t>
                              </w:r>
                            </w:p>
                            <w:p>
                              <w:pPr>
                                <w:spacing w:before="94"/>
                                <w:ind w:left="365" w:right="0" w:firstLine="0"/>
                                <w:jc w:val="left"/>
                                <w:rPr>
                                  <w:rFonts w:ascii="Arial MT"/>
                                  <w:sz w:val="16"/>
                                </w:rPr>
                              </w:pPr>
                              <w:r>
                                <w:rPr>
                                  <w:rFonts w:ascii="Arial MT"/>
                                  <w:spacing w:val="-5"/>
                                  <w:w w:val="90"/>
                                  <w:sz w:val="16"/>
                                </w:rPr>
                                <w:t>80</w:t>
                              </w:r>
                            </w:p>
                            <w:p>
                              <w:pPr>
                                <w:spacing w:before="94"/>
                                <w:ind w:left="365" w:right="0" w:firstLine="0"/>
                                <w:jc w:val="left"/>
                                <w:rPr>
                                  <w:rFonts w:ascii="Arial MT"/>
                                  <w:sz w:val="16"/>
                                </w:rPr>
                              </w:pPr>
                              <w:r>
                                <w:rPr>
                                  <w:rFonts w:ascii="Arial MT"/>
                                  <w:spacing w:val="-5"/>
                                  <w:w w:val="90"/>
                                  <w:sz w:val="16"/>
                                </w:rPr>
                                <w:t>70</w:t>
                              </w:r>
                            </w:p>
                            <w:p>
                              <w:pPr>
                                <w:spacing w:before="94"/>
                                <w:ind w:left="365" w:right="0" w:firstLine="0"/>
                                <w:jc w:val="left"/>
                                <w:rPr>
                                  <w:rFonts w:ascii="Arial MT"/>
                                  <w:sz w:val="16"/>
                                </w:rPr>
                              </w:pPr>
                              <w:r>
                                <w:rPr>
                                  <w:rFonts w:ascii="Arial MT"/>
                                  <w:spacing w:val="-5"/>
                                  <w:w w:val="90"/>
                                  <w:sz w:val="16"/>
                                </w:rPr>
                                <w:t>60</w:t>
                              </w:r>
                            </w:p>
                            <w:p>
                              <w:pPr>
                                <w:spacing w:before="94"/>
                                <w:ind w:left="365" w:right="0" w:firstLine="0"/>
                                <w:jc w:val="left"/>
                                <w:rPr>
                                  <w:rFonts w:ascii="Arial MT"/>
                                  <w:sz w:val="16"/>
                                </w:rPr>
                              </w:pPr>
                              <w:r>
                                <w:rPr>
                                  <w:rFonts w:ascii="Arial MT"/>
                                  <w:spacing w:val="-5"/>
                                  <w:w w:val="90"/>
                                  <w:sz w:val="16"/>
                                </w:rPr>
                                <w:t>50</w:t>
                              </w:r>
                            </w:p>
                            <w:p>
                              <w:pPr>
                                <w:spacing w:before="94"/>
                                <w:ind w:left="365" w:right="0" w:firstLine="0"/>
                                <w:jc w:val="left"/>
                                <w:rPr>
                                  <w:rFonts w:ascii="Arial MT"/>
                                  <w:sz w:val="16"/>
                                </w:rPr>
                              </w:pPr>
                              <w:r>
                                <w:rPr>
                                  <w:rFonts w:ascii="Arial MT"/>
                                  <w:spacing w:val="-5"/>
                                  <w:w w:val="90"/>
                                  <w:sz w:val="16"/>
                                </w:rPr>
                                <w:t>40</w:t>
                              </w:r>
                            </w:p>
                            <w:p>
                              <w:pPr>
                                <w:spacing w:before="94"/>
                                <w:ind w:left="365" w:right="0" w:firstLine="0"/>
                                <w:jc w:val="left"/>
                                <w:rPr>
                                  <w:rFonts w:ascii="Arial MT"/>
                                  <w:sz w:val="16"/>
                                </w:rPr>
                              </w:pPr>
                              <w:r>
                                <w:rPr>
                                  <w:rFonts w:ascii="Arial MT"/>
                                  <w:spacing w:val="-5"/>
                                  <w:w w:val="90"/>
                                  <w:sz w:val="16"/>
                                </w:rPr>
                                <w:t>30</w:t>
                              </w:r>
                            </w:p>
                            <w:p>
                              <w:pPr>
                                <w:spacing w:before="94"/>
                                <w:ind w:left="365" w:right="0" w:firstLine="0"/>
                                <w:jc w:val="left"/>
                                <w:rPr>
                                  <w:rFonts w:ascii="Arial MT"/>
                                  <w:sz w:val="16"/>
                                </w:rPr>
                              </w:pPr>
                              <w:r>
                                <w:rPr>
                                  <w:rFonts w:ascii="Arial MT"/>
                                  <w:spacing w:val="-5"/>
                                  <w:w w:val="90"/>
                                  <w:sz w:val="16"/>
                                </w:rPr>
                                <w:t>20</w:t>
                              </w:r>
                            </w:p>
                            <w:p>
                              <w:pPr>
                                <w:spacing w:before="95"/>
                                <w:ind w:left="365" w:right="0" w:firstLine="0"/>
                                <w:jc w:val="left"/>
                                <w:rPr>
                                  <w:rFonts w:ascii="Arial MT"/>
                                  <w:sz w:val="16"/>
                                </w:rPr>
                              </w:pPr>
                              <w:r>
                                <w:rPr>
                                  <w:rFonts w:ascii="Arial MT"/>
                                  <w:spacing w:val="-5"/>
                                  <w:w w:val="90"/>
                                  <w:sz w:val="16"/>
                                </w:rPr>
                                <w:t>10</w:t>
                              </w:r>
                            </w:p>
                            <w:p>
                              <w:pPr>
                                <w:tabs>
                                  <w:tab w:pos="760" w:val="left" w:leader="none"/>
                                  <w:tab w:pos="1420" w:val="left" w:leader="none"/>
                                  <w:tab w:pos="1525" w:val="left" w:leader="none"/>
                                  <w:tab w:pos="2213" w:val="left" w:leader="none"/>
                                  <w:tab w:pos="2911" w:val="left" w:leader="none"/>
                                  <w:tab w:pos="3006" w:val="left" w:leader="none"/>
                                  <w:tab w:pos="3638" w:val="left" w:leader="none"/>
                                  <w:tab w:pos="3670" w:val="left" w:leader="none"/>
                                  <w:tab w:pos="5173" w:val="left" w:leader="none"/>
                                  <w:tab w:pos="5775" w:val="left" w:leader="none"/>
                                  <w:tab w:pos="7276" w:val="left" w:leader="none"/>
                                  <w:tab w:pos="7308" w:val="left" w:leader="none"/>
                                </w:tabs>
                                <w:spacing w:line="223" w:lineRule="auto" w:before="104"/>
                                <w:ind w:left="907" w:right="177" w:hanging="470"/>
                                <w:jc w:val="left"/>
                                <w:rPr>
                                  <w:rFonts w:ascii="Arial MT"/>
                                  <w:sz w:val="14"/>
                                </w:rPr>
                              </w:pPr>
                              <w:r>
                                <w:rPr>
                                  <w:rFonts w:ascii="Arial MT"/>
                                  <w:spacing w:val="-10"/>
                                  <w:w w:val="90"/>
                                  <w:sz w:val="16"/>
                                </w:rPr>
                                <w:t>0</w:t>
                              </w:r>
                              <w:r>
                                <w:rPr>
                                  <w:rFonts w:ascii="Arial MT"/>
                                  <w:sz w:val="16"/>
                                </w:rPr>
                                <w:tab/>
                              </w:r>
                              <w:r>
                                <w:rPr>
                                  <w:rFonts w:ascii="Arial MT"/>
                                  <w:spacing w:val="-2"/>
                                  <w:w w:val="90"/>
                                  <w:position w:val="1"/>
                                  <w:sz w:val="14"/>
                                </w:rPr>
                                <w:t>Boundary</w:t>
                              </w:r>
                              <w:r>
                                <w:rPr>
                                  <w:rFonts w:ascii="Arial MT"/>
                                  <w:position w:val="1"/>
                                  <w:sz w:val="14"/>
                                </w:rPr>
                                <w:tab/>
                                <w:tab/>
                              </w:r>
                              <w:r>
                                <w:rPr>
                                  <w:rFonts w:ascii="Arial MT"/>
                                  <w:spacing w:val="-2"/>
                                  <w:w w:val="90"/>
                                  <w:position w:val="1"/>
                                  <w:sz w:val="14"/>
                                </w:rPr>
                                <w:t>Drinking</w:t>
                              </w:r>
                              <w:r>
                                <w:rPr>
                                  <w:rFonts w:ascii="Arial MT"/>
                                  <w:position w:val="1"/>
                                  <w:sz w:val="14"/>
                                </w:rPr>
                                <w:tab/>
                              </w:r>
                              <w:r>
                                <w:rPr>
                                  <w:rFonts w:ascii="Arial MT"/>
                                  <w:spacing w:val="-2"/>
                                  <w:w w:val="90"/>
                                  <w:position w:val="1"/>
                                  <w:sz w:val="14"/>
                                </w:rPr>
                                <w:t>Common</w:t>
                              </w:r>
                              <w:r>
                                <w:rPr>
                                  <w:rFonts w:ascii="Arial MT"/>
                                  <w:position w:val="1"/>
                                  <w:sz w:val="14"/>
                                </w:rPr>
                                <w:tab/>
                              </w:r>
                              <w:r>
                                <w:rPr>
                                  <w:rFonts w:ascii="Arial MT"/>
                                  <w:w w:val="90"/>
                                  <w:position w:val="1"/>
                                  <w:sz w:val="14"/>
                                </w:rPr>
                                <w:t>Girls</w:t>
                              </w:r>
                              <w:r>
                                <w:rPr>
                                  <w:rFonts w:ascii="Arial MT"/>
                                  <w:spacing w:val="-6"/>
                                  <w:w w:val="90"/>
                                  <w:position w:val="1"/>
                                  <w:sz w:val="14"/>
                                </w:rPr>
                                <w:t> </w:t>
                              </w:r>
                              <w:r>
                                <w:rPr>
                                  <w:rFonts w:ascii="Arial MT"/>
                                  <w:w w:val="90"/>
                                  <w:position w:val="1"/>
                                  <w:sz w:val="14"/>
                                </w:rPr>
                                <w:t>toilet</w:t>
                              </w:r>
                              <w:r>
                                <w:rPr>
                                  <w:rFonts w:ascii="Arial MT"/>
                                  <w:position w:val="1"/>
                                  <w:sz w:val="14"/>
                                </w:rPr>
                                <w:tab/>
                                <w:tab/>
                              </w:r>
                              <w:r>
                                <w:rPr>
                                  <w:rFonts w:ascii="Arial MT"/>
                                  <w:w w:val="90"/>
                                  <w:position w:val="1"/>
                                  <w:sz w:val="14"/>
                                </w:rPr>
                                <w:t>Electricity</w:t>
                              </w:r>
                              <w:r>
                                <w:rPr>
                                  <w:rFonts w:ascii="Arial MT"/>
                                  <w:spacing w:val="80"/>
                                  <w:position w:val="1"/>
                                  <w:sz w:val="14"/>
                                </w:rPr>
                                <w:t> </w:t>
                              </w:r>
                              <w:r>
                                <w:rPr>
                                  <w:rFonts w:ascii="Arial MT"/>
                                  <w:w w:val="90"/>
                                  <w:position w:val="1"/>
                                  <w:sz w:val="14"/>
                                </w:rPr>
                                <w:t>Computers</w:t>
                              </w:r>
                              <w:r>
                                <w:rPr>
                                  <w:rFonts w:ascii="Arial MT"/>
                                  <w:position w:val="1"/>
                                  <w:sz w:val="14"/>
                                </w:rPr>
                                <w:tab/>
                              </w:r>
                              <w:r>
                                <w:rPr>
                                  <w:rFonts w:ascii="Arial MT"/>
                                  <w:spacing w:val="-4"/>
                                  <w:w w:val="90"/>
                                  <w:position w:val="1"/>
                                  <w:sz w:val="14"/>
                                </w:rPr>
                                <w:t>Ramp</w:t>
                              </w:r>
                              <w:r>
                                <w:rPr>
                                  <w:rFonts w:ascii="Arial MT"/>
                                  <w:position w:val="1"/>
                                  <w:sz w:val="14"/>
                                </w:rPr>
                                <w:tab/>
                              </w:r>
                              <w:r>
                                <w:rPr>
                                  <w:rFonts w:ascii="Arial MT"/>
                                  <w:w w:val="90"/>
                                  <w:position w:val="1"/>
                                  <w:sz w:val="14"/>
                                </w:rPr>
                                <w:t>Book bank</w:t>
                              </w:r>
                              <w:r>
                                <w:rPr>
                                  <w:rFonts w:ascii="Arial MT"/>
                                  <w:spacing w:val="80"/>
                                  <w:position w:val="1"/>
                                  <w:sz w:val="14"/>
                                </w:rPr>
                                <w:t> </w:t>
                              </w:r>
                              <w:r>
                                <w:rPr>
                                  <w:rFonts w:ascii="Arial MT"/>
                                  <w:w w:val="90"/>
                                  <w:position w:val="1"/>
                                  <w:sz w:val="14"/>
                                </w:rPr>
                                <w:t>Playground</w:t>
                              </w:r>
                              <w:r>
                                <w:rPr>
                                  <w:rFonts w:ascii="Arial MT"/>
                                  <w:position w:val="1"/>
                                  <w:sz w:val="14"/>
                                </w:rPr>
                                <w:tab/>
                                <w:tab/>
                              </w:r>
                              <w:r>
                                <w:rPr>
                                  <w:rFonts w:ascii="Arial MT"/>
                                  <w:spacing w:val="-2"/>
                                  <w:w w:val="90"/>
                                  <w:position w:val="1"/>
                                  <w:sz w:val="14"/>
                                </w:rPr>
                                <w:t>Medical</w:t>
                              </w:r>
                              <w:r>
                                <w:rPr>
                                  <w:rFonts w:ascii="Arial MT"/>
                                  <w:spacing w:val="40"/>
                                  <w:position w:val="1"/>
                                  <w:sz w:val="14"/>
                                </w:rPr>
                                <w:t> </w:t>
                              </w:r>
                              <w:r>
                                <w:rPr>
                                  <w:rFonts w:ascii="Arial MT"/>
                                  <w:spacing w:val="-4"/>
                                  <w:w w:val="90"/>
                                  <w:sz w:val="14"/>
                                </w:rPr>
                                <w:t>wall</w:t>
                              </w:r>
                              <w:r>
                                <w:rPr>
                                  <w:rFonts w:ascii="Arial MT"/>
                                  <w:sz w:val="14"/>
                                </w:rPr>
                                <w:tab/>
                              </w:r>
                              <w:r>
                                <w:rPr>
                                  <w:rFonts w:ascii="Arial MT"/>
                                  <w:spacing w:val="-2"/>
                                  <w:w w:val="85"/>
                                  <w:sz w:val="14"/>
                                </w:rPr>
                                <w:t>water</w:t>
                              </w:r>
                              <w:r>
                                <w:rPr>
                                  <w:rFonts w:ascii="Arial MT"/>
                                  <w:spacing w:val="-8"/>
                                  <w:sz w:val="14"/>
                                </w:rPr>
                                <w:t> </w:t>
                              </w:r>
                              <w:r>
                                <w:rPr>
                                  <w:rFonts w:ascii="Arial MT"/>
                                  <w:spacing w:val="-2"/>
                                  <w:w w:val="85"/>
                                  <w:sz w:val="14"/>
                                </w:rPr>
                                <w:t>facility</w:t>
                              </w:r>
                              <w:r>
                                <w:rPr>
                                  <w:rFonts w:ascii="Arial MT"/>
                                  <w:spacing w:val="55"/>
                                  <w:sz w:val="14"/>
                                </w:rPr>
                                <w:t> </w:t>
                              </w:r>
                              <w:r>
                                <w:rPr>
                                  <w:rFonts w:ascii="Arial MT"/>
                                  <w:spacing w:val="-2"/>
                                  <w:w w:val="85"/>
                                  <w:sz w:val="14"/>
                                </w:rPr>
                                <w:t>toilet</w:t>
                              </w:r>
                              <w:r>
                                <w:rPr>
                                  <w:rFonts w:ascii="Arial MT"/>
                                  <w:spacing w:val="-8"/>
                                  <w:sz w:val="14"/>
                                </w:rPr>
                                <w:t> </w:t>
                              </w:r>
                              <w:r>
                                <w:rPr>
                                  <w:rFonts w:ascii="Arial MT"/>
                                  <w:spacing w:val="-2"/>
                                  <w:w w:val="85"/>
                                  <w:sz w:val="14"/>
                                </w:rPr>
                                <w:t>facility</w:t>
                              </w:r>
                              <w:r>
                                <w:rPr>
                                  <w:rFonts w:ascii="Arial MT"/>
                                  <w:sz w:val="14"/>
                                </w:rPr>
                                <w:tab/>
                                <w:tab/>
                              </w:r>
                              <w:r>
                                <w:rPr>
                                  <w:rFonts w:ascii="Arial MT"/>
                                  <w:spacing w:val="-2"/>
                                  <w:w w:val="90"/>
                                  <w:sz w:val="14"/>
                                </w:rPr>
                                <w:t>facility</w:t>
                              </w:r>
                              <w:r>
                                <w:rPr>
                                  <w:rFonts w:ascii="Arial MT"/>
                                  <w:sz w:val="14"/>
                                </w:rPr>
                                <w:tab/>
                              </w:r>
                              <w:r>
                                <w:rPr>
                                  <w:rFonts w:ascii="Arial MT"/>
                                  <w:spacing w:val="-2"/>
                                  <w:w w:val="90"/>
                                  <w:sz w:val="14"/>
                                </w:rPr>
                                <w:t>connection</w:t>
                              </w:r>
                              <w:r>
                                <w:rPr>
                                  <w:rFonts w:ascii="Arial MT"/>
                                  <w:sz w:val="14"/>
                                </w:rPr>
                                <w:tab/>
                                <w:tab/>
                                <w:tab/>
                              </w:r>
                              <w:r>
                                <w:rPr>
                                  <w:rFonts w:ascii="Arial MT"/>
                                  <w:w w:val="80"/>
                                  <w:sz w:val="14"/>
                                </w:rPr>
                                <w:t>check</w:t>
                              </w:r>
                              <w:r>
                                <w:rPr>
                                  <w:rFonts w:ascii="Arial MT"/>
                                  <w:spacing w:val="-4"/>
                                  <w:sz w:val="14"/>
                                </w:rPr>
                                <w:t> </w:t>
                              </w:r>
                              <w:r>
                                <w:rPr>
                                  <w:rFonts w:ascii="Arial MT"/>
                                  <w:spacing w:val="-9"/>
                                  <w:w w:val="90"/>
                                  <w:sz w:val="14"/>
                                </w:rPr>
                                <w:t>u</w:t>
                              </w:r>
                              <w:r>
                                <w:rPr>
                                  <w:rFonts w:ascii="Arial MT"/>
                                  <w:spacing w:val="-9"/>
                                  <w:w w:val="90"/>
                                  <w:sz w:val="14"/>
                                </w:rPr>
                                <w:t>p</w:t>
                              </w:r>
                            </w:p>
                          </w:txbxContent>
                        </wps:txbx>
                        <wps:bodyPr wrap="square" lIns="0" tIns="0" rIns="0" bIns="0" rtlCol="0">
                          <a:noAutofit/>
                        </wps:bodyPr>
                      </wps:wsp>
                    </wpg:wgp>
                  </a:graphicData>
                </a:graphic>
              </wp:anchor>
            </w:drawing>
          </mc:Choice>
          <mc:Fallback>
            <w:pict>
              <v:group style="position:absolute;margin-left:101.163345pt;margin-top:21.867062pt;width:396.8pt;height:173.5pt;mso-position-horizontal-relative:page;mso-position-vertical-relative:paragraph;z-index:15803392" id="docshapegroup1154" coordorigin="2023,437" coordsize="7936,3470">
                <v:shape style="position:absolute;left:2604;top:655;width:7277;height:2603" id="docshape1155" coordorigin="2605,655" coordsize="7277,2603" path="m9881,3196l2675,3196,2675,2925,2675,2915,2675,655,2605,655,2605,665,2665,665,2665,935,2605,935,2605,945,2665,945,2665,1215,2605,1215,2605,1225,2665,1225,2665,1515,2605,1515,2605,1525,2665,1525,2665,1775,2605,1775,2605,1785,2665,1785,2665,2075,2605,2075,2605,2085,2665,2085,2665,2355,2605,2355,2605,2365,2665,2365,2665,2645,2605,2645,2605,2655,2665,2655,2665,2915,2605,2915,2605,2925,2665,2925,2665,3196,2605,3196,2605,3206,2665,3206,2665,3257,2675,3257,2675,3206,3385,3206,3385,3257,3395,3257,3395,3206,4105,3206,4105,3257,4115,3257,4115,3206,4825,3206,4825,3257,4835,3257,4835,3206,5545,3206,5545,3257,5555,3257,5555,3206,6265,3206,6265,3257,6275,3257,6275,3206,6985,3206,6985,3257,6995,3257,6995,3206,7705,3206,7705,3257,7715,3257,7715,3206,8425,3206,8425,3257,8435,3257,8435,3206,9145,3206,9145,3257,9155,3257,9155,3206,9865,3206,9865,3257,9875,3257,9875,3206,9881,3206,9881,3196xe" filled="true" fillcolor="#000000" stroked="false">
                  <v:path arrowok="t"/>
                  <v:fill type="solid"/>
                </v:shape>
                <v:shape style="position:absolute;left:2893;top:803;width:6776;height:2393" id="docshape1156" coordorigin="2894,804" coordsize="6776,2393" path="m3176,1809l2894,1809,2894,3197,3176,3197,3176,1809xm3885,804l3603,804,3603,3197,3885,3197,3885,804xm4621,1569l4339,1569,4339,3197,4621,3197,4621,1569xm5333,2012l5051,2012,5051,3197,5333,3197,5333,2012xm6061,2257l5779,2257,5779,3197,6061,3197,6061,2257xm6766,2829l6484,2829,6484,3197,6766,3197,6766,2829xm7477,2460l7195,2460,7195,3197,7477,3197,7477,2460xm8206,1857l7924,1857,7924,3197,8206,3197,8206,1857xm8926,1731l8644,1731,8644,3197,8926,3197,8926,1731xm9669,1731l9387,1731,9387,3197,9669,3197,9669,1731xe" filled="true" fillcolor="#2e614a" stroked="false">
                  <v:path arrowok="t"/>
                  <v:fill type="solid"/>
                </v:shape>
                <v:shape style="position:absolute;left:2028;top:442;width:7926;height:3460" type="#_x0000_t202" id="docshape1157" filled="false" stroked="true" strokeweight=".5pt" strokecolor="#000000">
                  <v:textbox inset="0,0,0,0">
                    <w:txbxContent>
                      <w:p>
                        <w:pPr>
                          <w:spacing w:line="240" w:lineRule="auto" w:before="0"/>
                          <w:rPr>
                            <w:sz w:val="16"/>
                          </w:rPr>
                        </w:pPr>
                      </w:p>
                      <w:p>
                        <w:pPr>
                          <w:spacing w:line="240" w:lineRule="auto" w:before="4"/>
                          <w:rPr>
                            <w:sz w:val="16"/>
                          </w:rPr>
                        </w:pPr>
                      </w:p>
                      <w:p>
                        <w:pPr>
                          <w:spacing w:before="0"/>
                          <w:ind w:left="365" w:right="0" w:firstLine="0"/>
                          <w:jc w:val="left"/>
                          <w:rPr>
                            <w:rFonts w:ascii="Arial MT"/>
                            <w:sz w:val="16"/>
                          </w:rPr>
                        </w:pPr>
                        <w:r>
                          <w:rPr>
                            <w:rFonts w:ascii="Arial MT"/>
                            <w:spacing w:val="-5"/>
                            <w:w w:val="90"/>
                            <w:sz w:val="16"/>
                          </w:rPr>
                          <w:t>90</w:t>
                        </w:r>
                      </w:p>
                      <w:p>
                        <w:pPr>
                          <w:spacing w:before="94"/>
                          <w:ind w:left="365" w:right="0" w:firstLine="0"/>
                          <w:jc w:val="left"/>
                          <w:rPr>
                            <w:rFonts w:ascii="Arial MT"/>
                            <w:sz w:val="16"/>
                          </w:rPr>
                        </w:pPr>
                        <w:r>
                          <w:rPr>
                            <w:rFonts w:ascii="Arial MT"/>
                            <w:spacing w:val="-5"/>
                            <w:w w:val="90"/>
                            <w:sz w:val="16"/>
                          </w:rPr>
                          <w:t>80</w:t>
                        </w:r>
                      </w:p>
                      <w:p>
                        <w:pPr>
                          <w:spacing w:before="94"/>
                          <w:ind w:left="365" w:right="0" w:firstLine="0"/>
                          <w:jc w:val="left"/>
                          <w:rPr>
                            <w:rFonts w:ascii="Arial MT"/>
                            <w:sz w:val="16"/>
                          </w:rPr>
                        </w:pPr>
                        <w:r>
                          <w:rPr>
                            <w:rFonts w:ascii="Arial MT"/>
                            <w:spacing w:val="-5"/>
                            <w:w w:val="90"/>
                            <w:sz w:val="16"/>
                          </w:rPr>
                          <w:t>70</w:t>
                        </w:r>
                      </w:p>
                      <w:p>
                        <w:pPr>
                          <w:spacing w:before="94"/>
                          <w:ind w:left="365" w:right="0" w:firstLine="0"/>
                          <w:jc w:val="left"/>
                          <w:rPr>
                            <w:rFonts w:ascii="Arial MT"/>
                            <w:sz w:val="16"/>
                          </w:rPr>
                        </w:pPr>
                        <w:r>
                          <w:rPr>
                            <w:rFonts w:ascii="Arial MT"/>
                            <w:spacing w:val="-5"/>
                            <w:w w:val="90"/>
                            <w:sz w:val="16"/>
                          </w:rPr>
                          <w:t>60</w:t>
                        </w:r>
                      </w:p>
                      <w:p>
                        <w:pPr>
                          <w:spacing w:before="94"/>
                          <w:ind w:left="365" w:right="0" w:firstLine="0"/>
                          <w:jc w:val="left"/>
                          <w:rPr>
                            <w:rFonts w:ascii="Arial MT"/>
                            <w:sz w:val="16"/>
                          </w:rPr>
                        </w:pPr>
                        <w:r>
                          <w:rPr>
                            <w:rFonts w:ascii="Arial MT"/>
                            <w:spacing w:val="-5"/>
                            <w:w w:val="90"/>
                            <w:sz w:val="16"/>
                          </w:rPr>
                          <w:t>50</w:t>
                        </w:r>
                      </w:p>
                      <w:p>
                        <w:pPr>
                          <w:spacing w:before="94"/>
                          <w:ind w:left="365" w:right="0" w:firstLine="0"/>
                          <w:jc w:val="left"/>
                          <w:rPr>
                            <w:rFonts w:ascii="Arial MT"/>
                            <w:sz w:val="16"/>
                          </w:rPr>
                        </w:pPr>
                        <w:r>
                          <w:rPr>
                            <w:rFonts w:ascii="Arial MT"/>
                            <w:spacing w:val="-5"/>
                            <w:w w:val="90"/>
                            <w:sz w:val="16"/>
                          </w:rPr>
                          <w:t>40</w:t>
                        </w:r>
                      </w:p>
                      <w:p>
                        <w:pPr>
                          <w:spacing w:before="94"/>
                          <w:ind w:left="365" w:right="0" w:firstLine="0"/>
                          <w:jc w:val="left"/>
                          <w:rPr>
                            <w:rFonts w:ascii="Arial MT"/>
                            <w:sz w:val="16"/>
                          </w:rPr>
                        </w:pPr>
                        <w:r>
                          <w:rPr>
                            <w:rFonts w:ascii="Arial MT"/>
                            <w:spacing w:val="-5"/>
                            <w:w w:val="90"/>
                            <w:sz w:val="16"/>
                          </w:rPr>
                          <w:t>30</w:t>
                        </w:r>
                      </w:p>
                      <w:p>
                        <w:pPr>
                          <w:spacing w:before="94"/>
                          <w:ind w:left="365" w:right="0" w:firstLine="0"/>
                          <w:jc w:val="left"/>
                          <w:rPr>
                            <w:rFonts w:ascii="Arial MT"/>
                            <w:sz w:val="16"/>
                          </w:rPr>
                        </w:pPr>
                        <w:r>
                          <w:rPr>
                            <w:rFonts w:ascii="Arial MT"/>
                            <w:spacing w:val="-5"/>
                            <w:w w:val="90"/>
                            <w:sz w:val="16"/>
                          </w:rPr>
                          <w:t>20</w:t>
                        </w:r>
                      </w:p>
                      <w:p>
                        <w:pPr>
                          <w:spacing w:before="95"/>
                          <w:ind w:left="365" w:right="0" w:firstLine="0"/>
                          <w:jc w:val="left"/>
                          <w:rPr>
                            <w:rFonts w:ascii="Arial MT"/>
                            <w:sz w:val="16"/>
                          </w:rPr>
                        </w:pPr>
                        <w:r>
                          <w:rPr>
                            <w:rFonts w:ascii="Arial MT"/>
                            <w:spacing w:val="-5"/>
                            <w:w w:val="90"/>
                            <w:sz w:val="16"/>
                          </w:rPr>
                          <w:t>10</w:t>
                        </w:r>
                      </w:p>
                      <w:p>
                        <w:pPr>
                          <w:tabs>
                            <w:tab w:pos="760" w:val="left" w:leader="none"/>
                            <w:tab w:pos="1420" w:val="left" w:leader="none"/>
                            <w:tab w:pos="1525" w:val="left" w:leader="none"/>
                            <w:tab w:pos="2213" w:val="left" w:leader="none"/>
                            <w:tab w:pos="2911" w:val="left" w:leader="none"/>
                            <w:tab w:pos="3006" w:val="left" w:leader="none"/>
                            <w:tab w:pos="3638" w:val="left" w:leader="none"/>
                            <w:tab w:pos="3670" w:val="left" w:leader="none"/>
                            <w:tab w:pos="5173" w:val="left" w:leader="none"/>
                            <w:tab w:pos="5775" w:val="left" w:leader="none"/>
                            <w:tab w:pos="7276" w:val="left" w:leader="none"/>
                            <w:tab w:pos="7308" w:val="left" w:leader="none"/>
                          </w:tabs>
                          <w:spacing w:line="223" w:lineRule="auto" w:before="104"/>
                          <w:ind w:left="907" w:right="177" w:hanging="470"/>
                          <w:jc w:val="left"/>
                          <w:rPr>
                            <w:rFonts w:ascii="Arial MT"/>
                            <w:sz w:val="14"/>
                          </w:rPr>
                        </w:pPr>
                        <w:r>
                          <w:rPr>
                            <w:rFonts w:ascii="Arial MT"/>
                            <w:spacing w:val="-10"/>
                            <w:w w:val="90"/>
                            <w:sz w:val="16"/>
                          </w:rPr>
                          <w:t>0</w:t>
                        </w:r>
                        <w:r>
                          <w:rPr>
                            <w:rFonts w:ascii="Arial MT"/>
                            <w:sz w:val="16"/>
                          </w:rPr>
                          <w:tab/>
                        </w:r>
                        <w:r>
                          <w:rPr>
                            <w:rFonts w:ascii="Arial MT"/>
                            <w:spacing w:val="-2"/>
                            <w:w w:val="90"/>
                            <w:position w:val="1"/>
                            <w:sz w:val="14"/>
                          </w:rPr>
                          <w:t>Boundary</w:t>
                        </w:r>
                        <w:r>
                          <w:rPr>
                            <w:rFonts w:ascii="Arial MT"/>
                            <w:position w:val="1"/>
                            <w:sz w:val="14"/>
                          </w:rPr>
                          <w:tab/>
                          <w:tab/>
                        </w:r>
                        <w:r>
                          <w:rPr>
                            <w:rFonts w:ascii="Arial MT"/>
                            <w:spacing w:val="-2"/>
                            <w:w w:val="90"/>
                            <w:position w:val="1"/>
                            <w:sz w:val="14"/>
                          </w:rPr>
                          <w:t>Drinking</w:t>
                        </w:r>
                        <w:r>
                          <w:rPr>
                            <w:rFonts w:ascii="Arial MT"/>
                            <w:position w:val="1"/>
                            <w:sz w:val="14"/>
                          </w:rPr>
                          <w:tab/>
                        </w:r>
                        <w:r>
                          <w:rPr>
                            <w:rFonts w:ascii="Arial MT"/>
                            <w:spacing w:val="-2"/>
                            <w:w w:val="90"/>
                            <w:position w:val="1"/>
                            <w:sz w:val="14"/>
                          </w:rPr>
                          <w:t>Common</w:t>
                        </w:r>
                        <w:r>
                          <w:rPr>
                            <w:rFonts w:ascii="Arial MT"/>
                            <w:position w:val="1"/>
                            <w:sz w:val="14"/>
                          </w:rPr>
                          <w:tab/>
                        </w:r>
                        <w:r>
                          <w:rPr>
                            <w:rFonts w:ascii="Arial MT"/>
                            <w:w w:val="90"/>
                            <w:position w:val="1"/>
                            <w:sz w:val="14"/>
                          </w:rPr>
                          <w:t>Girls</w:t>
                        </w:r>
                        <w:r>
                          <w:rPr>
                            <w:rFonts w:ascii="Arial MT"/>
                            <w:spacing w:val="-6"/>
                            <w:w w:val="90"/>
                            <w:position w:val="1"/>
                            <w:sz w:val="14"/>
                          </w:rPr>
                          <w:t> </w:t>
                        </w:r>
                        <w:r>
                          <w:rPr>
                            <w:rFonts w:ascii="Arial MT"/>
                            <w:w w:val="90"/>
                            <w:position w:val="1"/>
                            <w:sz w:val="14"/>
                          </w:rPr>
                          <w:t>toilet</w:t>
                        </w:r>
                        <w:r>
                          <w:rPr>
                            <w:rFonts w:ascii="Arial MT"/>
                            <w:position w:val="1"/>
                            <w:sz w:val="14"/>
                          </w:rPr>
                          <w:tab/>
                          <w:tab/>
                        </w:r>
                        <w:r>
                          <w:rPr>
                            <w:rFonts w:ascii="Arial MT"/>
                            <w:w w:val="90"/>
                            <w:position w:val="1"/>
                            <w:sz w:val="14"/>
                          </w:rPr>
                          <w:t>Electricity</w:t>
                        </w:r>
                        <w:r>
                          <w:rPr>
                            <w:rFonts w:ascii="Arial MT"/>
                            <w:spacing w:val="80"/>
                            <w:position w:val="1"/>
                            <w:sz w:val="14"/>
                          </w:rPr>
                          <w:t> </w:t>
                        </w:r>
                        <w:r>
                          <w:rPr>
                            <w:rFonts w:ascii="Arial MT"/>
                            <w:w w:val="90"/>
                            <w:position w:val="1"/>
                            <w:sz w:val="14"/>
                          </w:rPr>
                          <w:t>Computers</w:t>
                        </w:r>
                        <w:r>
                          <w:rPr>
                            <w:rFonts w:ascii="Arial MT"/>
                            <w:position w:val="1"/>
                            <w:sz w:val="14"/>
                          </w:rPr>
                          <w:tab/>
                        </w:r>
                        <w:r>
                          <w:rPr>
                            <w:rFonts w:ascii="Arial MT"/>
                            <w:spacing w:val="-4"/>
                            <w:w w:val="90"/>
                            <w:position w:val="1"/>
                            <w:sz w:val="14"/>
                          </w:rPr>
                          <w:t>Ramp</w:t>
                        </w:r>
                        <w:r>
                          <w:rPr>
                            <w:rFonts w:ascii="Arial MT"/>
                            <w:position w:val="1"/>
                            <w:sz w:val="14"/>
                          </w:rPr>
                          <w:tab/>
                        </w:r>
                        <w:r>
                          <w:rPr>
                            <w:rFonts w:ascii="Arial MT"/>
                            <w:w w:val="90"/>
                            <w:position w:val="1"/>
                            <w:sz w:val="14"/>
                          </w:rPr>
                          <w:t>Book bank</w:t>
                        </w:r>
                        <w:r>
                          <w:rPr>
                            <w:rFonts w:ascii="Arial MT"/>
                            <w:spacing w:val="80"/>
                            <w:position w:val="1"/>
                            <w:sz w:val="14"/>
                          </w:rPr>
                          <w:t> </w:t>
                        </w:r>
                        <w:r>
                          <w:rPr>
                            <w:rFonts w:ascii="Arial MT"/>
                            <w:w w:val="90"/>
                            <w:position w:val="1"/>
                            <w:sz w:val="14"/>
                          </w:rPr>
                          <w:t>Playground</w:t>
                        </w:r>
                        <w:r>
                          <w:rPr>
                            <w:rFonts w:ascii="Arial MT"/>
                            <w:position w:val="1"/>
                            <w:sz w:val="14"/>
                          </w:rPr>
                          <w:tab/>
                          <w:tab/>
                        </w:r>
                        <w:r>
                          <w:rPr>
                            <w:rFonts w:ascii="Arial MT"/>
                            <w:spacing w:val="-2"/>
                            <w:w w:val="90"/>
                            <w:position w:val="1"/>
                            <w:sz w:val="14"/>
                          </w:rPr>
                          <w:t>Medical</w:t>
                        </w:r>
                        <w:r>
                          <w:rPr>
                            <w:rFonts w:ascii="Arial MT"/>
                            <w:spacing w:val="40"/>
                            <w:position w:val="1"/>
                            <w:sz w:val="14"/>
                          </w:rPr>
                          <w:t> </w:t>
                        </w:r>
                        <w:r>
                          <w:rPr>
                            <w:rFonts w:ascii="Arial MT"/>
                            <w:spacing w:val="-4"/>
                            <w:w w:val="90"/>
                            <w:sz w:val="14"/>
                          </w:rPr>
                          <w:t>wall</w:t>
                        </w:r>
                        <w:r>
                          <w:rPr>
                            <w:rFonts w:ascii="Arial MT"/>
                            <w:sz w:val="14"/>
                          </w:rPr>
                          <w:tab/>
                        </w:r>
                        <w:r>
                          <w:rPr>
                            <w:rFonts w:ascii="Arial MT"/>
                            <w:spacing w:val="-2"/>
                            <w:w w:val="85"/>
                            <w:sz w:val="14"/>
                          </w:rPr>
                          <w:t>water</w:t>
                        </w:r>
                        <w:r>
                          <w:rPr>
                            <w:rFonts w:ascii="Arial MT"/>
                            <w:spacing w:val="-8"/>
                            <w:sz w:val="14"/>
                          </w:rPr>
                          <w:t> </w:t>
                        </w:r>
                        <w:r>
                          <w:rPr>
                            <w:rFonts w:ascii="Arial MT"/>
                            <w:spacing w:val="-2"/>
                            <w:w w:val="85"/>
                            <w:sz w:val="14"/>
                          </w:rPr>
                          <w:t>facility</w:t>
                        </w:r>
                        <w:r>
                          <w:rPr>
                            <w:rFonts w:ascii="Arial MT"/>
                            <w:spacing w:val="55"/>
                            <w:sz w:val="14"/>
                          </w:rPr>
                          <w:t> </w:t>
                        </w:r>
                        <w:r>
                          <w:rPr>
                            <w:rFonts w:ascii="Arial MT"/>
                            <w:spacing w:val="-2"/>
                            <w:w w:val="85"/>
                            <w:sz w:val="14"/>
                          </w:rPr>
                          <w:t>toilet</w:t>
                        </w:r>
                        <w:r>
                          <w:rPr>
                            <w:rFonts w:ascii="Arial MT"/>
                            <w:spacing w:val="-8"/>
                            <w:sz w:val="14"/>
                          </w:rPr>
                          <w:t> </w:t>
                        </w:r>
                        <w:r>
                          <w:rPr>
                            <w:rFonts w:ascii="Arial MT"/>
                            <w:spacing w:val="-2"/>
                            <w:w w:val="85"/>
                            <w:sz w:val="14"/>
                          </w:rPr>
                          <w:t>facility</w:t>
                        </w:r>
                        <w:r>
                          <w:rPr>
                            <w:rFonts w:ascii="Arial MT"/>
                            <w:sz w:val="14"/>
                          </w:rPr>
                          <w:tab/>
                          <w:tab/>
                        </w:r>
                        <w:r>
                          <w:rPr>
                            <w:rFonts w:ascii="Arial MT"/>
                            <w:spacing w:val="-2"/>
                            <w:w w:val="90"/>
                            <w:sz w:val="14"/>
                          </w:rPr>
                          <w:t>facility</w:t>
                        </w:r>
                        <w:r>
                          <w:rPr>
                            <w:rFonts w:ascii="Arial MT"/>
                            <w:sz w:val="14"/>
                          </w:rPr>
                          <w:tab/>
                        </w:r>
                        <w:r>
                          <w:rPr>
                            <w:rFonts w:ascii="Arial MT"/>
                            <w:spacing w:val="-2"/>
                            <w:w w:val="90"/>
                            <w:sz w:val="14"/>
                          </w:rPr>
                          <w:t>connection</w:t>
                        </w:r>
                        <w:r>
                          <w:rPr>
                            <w:rFonts w:ascii="Arial MT"/>
                            <w:sz w:val="14"/>
                          </w:rPr>
                          <w:tab/>
                          <w:tab/>
                          <w:tab/>
                        </w:r>
                        <w:r>
                          <w:rPr>
                            <w:rFonts w:ascii="Arial MT"/>
                            <w:w w:val="80"/>
                            <w:sz w:val="14"/>
                          </w:rPr>
                          <w:t>check</w:t>
                        </w:r>
                        <w:r>
                          <w:rPr>
                            <w:rFonts w:ascii="Arial MT"/>
                            <w:spacing w:val="-4"/>
                            <w:sz w:val="14"/>
                          </w:rPr>
                          <w:t> </w:t>
                        </w:r>
                        <w:r>
                          <w:rPr>
                            <w:rFonts w:ascii="Arial MT"/>
                            <w:spacing w:val="-9"/>
                            <w:w w:val="90"/>
                            <w:sz w:val="14"/>
                          </w:rPr>
                          <w:t>u</w:t>
                        </w:r>
                        <w:r>
                          <w:rPr>
                            <w:rFonts w:ascii="Arial MT"/>
                            <w:spacing w:val="-9"/>
                            <w:w w:val="90"/>
                            <w:sz w:val="14"/>
                          </w:rPr>
                          <w:t>p</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04928">
                <wp:simplePos x="0" y="0"/>
                <wp:positionH relativeFrom="page">
                  <wp:posOffset>1354461</wp:posOffset>
                </wp:positionH>
                <wp:positionV relativeFrom="paragraph">
                  <wp:posOffset>1271614</wp:posOffset>
                </wp:positionV>
                <wp:extent cx="127635" cy="224154"/>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127635" cy="224154"/>
                        </a:xfrm>
                        <a:prstGeom prst="rect">
                          <a:avLst/>
                        </a:prstGeom>
                      </wps:spPr>
                      <wps:txbx>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wps:txbx>
                      <wps:bodyPr wrap="square" lIns="0" tIns="0" rIns="0" bIns="0" rtlCol="0" vert="vert270">
                        <a:noAutofit/>
                      </wps:bodyPr>
                    </wps:wsp>
                  </a:graphicData>
                </a:graphic>
              </wp:anchor>
            </w:drawing>
          </mc:Choice>
          <mc:Fallback>
            <w:pict>
              <v:shape style="position:absolute;margin-left:106.650513pt;margin-top:100.127136pt;width:10.050pt;height:17.650pt;mso-position-horizontal-relative:page;mso-position-vertical-relative:paragraph;z-index:15804928" type="#_x0000_t202" id="docshape1158"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v:textbox>
                <w10:wrap type="none"/>
              </v:shape>
            </w:pict>
          </mc:Fallback>
        </mc:AlternateContent>
      </w:r>
      <w:r>
        <w:rPr>
          <w:w w:val="90"/>
        </w:rPr>
        <w:t>Figure</w:t>
      </w:r>
      <w:r>
        <w:rPr>
          <w:spacing w:val="5"/>
        </w:rPr>
        <w:t> </w:t>
      </w:r>
      <w:r>
        <w:rPr>
          <w:w w:val="90"/>
        </w:rPr>
        <w:t>5:</w:t>
      </w:r>
      <w:r>
        <w:rPr>
          <w:spacing w:val="5"/>
        </w:rPr>
        <w:t> </w:t>
      </w:r>
      <w:r>
        <w:rPr>
          <w:color w:val="2E614A"/>
          <w:w w:val="90"/>
        </w:rPr>
        <w:t>Percentage</w:t>
      </w:r>
      <w:r>
        <w:rPr>
          <w:color w:val="2E614A"/>
          <w:spacing w:val="5"/>
        </w:rPr>
        <w:t> </w:t>
      </w:r>
      <w:r>
        <w:rPr>
          <w:color w:val="2E614A"/>
          <w:w w:val="90"/>
        </w:rPr>
        <w:t>of</w:t>
      </w:r>
      <w:r>
        <w:rPr>
          <w:color w:val="2E614A"/>
          <w:spacing w:val="5"/>
        </w:rPr>
        <w:t> </w:t>
      </w:r>
      <w:r>
        <w:rPr>
          <w:color w:val="2E614A"/>
          <w:w w:val="90"/>
        </w:rPr>
        <w:t>schools</w:t>
      </w:r>
      <w:r>
        <w:rPr>
          <w:color w:val="2E614A"/>
          <w:spacing w:val="5"/>
        </w:rPr>
        <w:t> </w:t>
      </w:r>
      <w:r>
        <w:rPr>
          <w:color w:val="2E614A"/>
          <w:w w:val="90"/>
        </w:rPr>
        <w:t>with</w:t>
      </w:r>
      <w:r>
        <w:rPr>
          <w:color w:val="2E614A"/>
          <w:spacing w:val="6"/>
        </w:rPr>
        <w:t> </w:t>
      </w:r>
      <w:r>
        <w:rPr>
          <w:color w:val="2E614A"/>
          <w:w w:val="90"/>
        </w:rPr>
        <w:t>basic</w:t>
      </w:r>
      <w:r>
        <w:rPr>
          <w:color w:val="2E614A"/>
          <w:spacing w:val="5"/>
        </w:rPr>
        <w:t> </w:t>
      </w:r>
      <w:r>
        <w:rPr>
          <w:color w:val="2E614A"/>
          <w:spacing w:val="-2"/>
          <w:w w:val="90"/>
        </w:rPr>
        <w:t>facilities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82"/>
        <w:rPr>
          <w:b/>
          <w:sz w:val="24"/>
        </w:rPr>
      </w:pPr>
    </w:p>
    <w:p>
      <w:pPr>
        <w:spacing w:before="0"/>
        <w:ind w:left="2018" w:right="0" w:firstLine="0"/>
        <w:jc w:val="left"/>
        <w:rPr>
          <w:sz w:val="16"/>
        </w:rPr>
      </w:pPr>
      <w:r>
        <w:rPr>
          <w:i/>
          <w:spacing w:val="-4"/>
          <w:sz w:val="16"/>
        </w:rPr>
        <w:t>Source</w:t>
      </w:r>
      <w:r>
        <w:rPr>
          <w:spacing w:val="-4"/>
          <w:sz w:val="16"/>
        </w:rPr>
        <w:t>:</w:t>
      </w:r>
      <w:r>
        <w:rPr>
          <w:spacing w:val="3"/>
          <w:sz w:val="16"/>
        </w:rPr>
        <w:t> </w:t>
      </w:r>
      <w:r>
        <w:rPr>
          <w:spacing w:val="-4"/>
          <w:sz w:val="16"/>
        </w:rPr>
        <w:t>Elementary</w:t>
      </w:r>
      <w:r>
        <w:rPr>
          <w:spacing w:val="3"/>
          <w:sz w:val="16"/>
        </w:rPr>
        <w:t> </w:t>
      </w:r>
      <w:r>
        <w:rPr>
          <w:spacing w:val="-4"/>
          <w:sz w:val="16"/>
        </w:rPr>
        <w:t>Education</w:t>
      </w:r>
      <w:r>
        <w:rPr>
          <w:spacing w:val="4"/>
          <w:sz w:val="16"/>
        </w:rPr>
        <w:t> </w:t>
      </w:r>
      <w:r>
        <w:rPr>
          <w:spacing w:val="-4"/>
          <w:sz w:val="16"/>
        </w:rPr>
        <w:t>in</w:t>
      </w:r>
      <w:r>
        <w:rPr>
          <w:spacing w:val="3"/>
          <w:sz w:val="16"/>
        </w:rPr>
        <w:t> </w:t>
      </w:r>
      <w:r>
        <w:rPr>
          <w:spacing w:val="-4"/>
          <w:sz w:val="16"/>
        </w:rPr>
        <w:t>India,</w:t>
      </w:r>
      <w:r>
        <w:rPr>
          <w:spacing w:val="4"/>
          <w:sz w:val="16"/>
        </w:rPr>
        <w:t> </w:t>
      </w:r>
      <w:r>
        <w:rPr>
          <w:spacing w:val="-4"/>
          <w:sz w:val="16"/>
        </w:rPr>
        <w:t>Analytical</w:t>
      </w:r>
      <w:r>
        <w:rPr>
          <w:spacing w:val="3"/>
          <w:sz w:val="16"/>
        </w:rPr>
        <w:t> </w:t>
      </w:r>
      <w:r>
        <w:rPr>
          <w:spacing w:val="-4"/>
          <w:sz w:val="16"/>
        </w:rPr>
        <w:t>Report</w:t>
      </w:r>
      <w:r>
        <w:rPr>
          <w:spacing w:val="4"/>
          <w:sz w:val="16"/>
        </w:rPr>
        <w:t> </w:t>
      </w:r>
      <w:r>
        <w:rPr>
          <w:spacing w:val="-4"/>
          <w:sz w:val="16"/>
        </w:rPr>
        <w:t>2006-</w:t>
      </w:r>
      <w:r>
        <w:rPr>
          <w:spacing w:val="-5"/>
          <w:sz w:val="16"/>
        </w:rPr>
        <w:t>07</w:t>
      </w:r>
    </w:p>
    <w:p>
      <w:pPr>
        <w:pStyle w:val="BodyText"/>
        <w:spacing w:before="158"/>
        <w:rPr>
          <w:sz w:val="24"/>
        </w:rPr>
      </w:pPr>
    </w:p>
    <w:p>
      <w:pPr>
        <w:pStyle w:val="Heading8"/>
        <w:ind w:left="2018"/>
      </w:pPr>
      <w:r>
        <w:rPr/>
        <mc:AlternateContent>
          <mc:Choice Requires="wps">
            <w:drawing>
              <wp:anchor distT="0" distB="0" distL="0" distR="0" allowOverlap="1" layoutInCell="1" locked="0" behindDoc="1" simplePos="0" relativeHeight="479380480">
                <wp:simplePos x="0" y="0"/>
                <wp:positionH relativeFrom="page">
                  <wp:posOffset>1284774</wp:posOffset>
                </wp:positionH>
                <wp:positionV relativeFrom="paragraph">
                  <wp:posOffset>257624</wp:posOffset>
                </wp:positionV>
                <wp:extent cx="5039360" cy="2590800"/>
                <wp:effectExtent l="0" t="0" r="0" b="0"/>
                <wp:wrapNone/>
                <wp:docPr id="1171" name="Group 1171"/>
                <wp:cNvGraphicFramePr>
                  <a:graphicFrameLocks/>
                </wp:cNvGraphicFramePr>
                <a:graphic>
                  <a:graphicData uri="http://schemas.microsoft.com/office/word/2010/wordprocessingGroup">
                    <wpg:wgp>
                      <wpg:cNvPr id="1171" name="Group 1171"/>
                      <wpg:cNvGrpSpPr/>
                      <wpg:grpSpPr>
                        <a:xfrm>
                          <a:off x="0" y="0"/>
                          <a:ext cx="5039360" cy="2590800"/>
                          <a:chExt cx="5039360" cy="2590800"/>
                        </a:xfrm>
                      </wpg:grpSpPr>
                      <wps:wsp>
                        <wps:cNvPr id="1172" name="Graphic 1172"/>
                        <wps:cNvSpPr/>
                        <wps:spPr>
                          <a:xfrm>
                            <a:off x="-4" y="0"/>
                            <a:ext cx="5039360" cy="2590800"/>
                          </a:xfrm>
                          <a:custGeom>
                            <a:avLst/>
                            <a:gdLst/>
                            <a:ahLst/>
                            <a:cxnLst/>
                            <a:rect l="l" t="t" r="r" b="b"/>
                            <a:pathLst>
                              <a:path w="5039360" h="2590800">
                                <a:moveTo>
                                  <a:pt x="5039042" y="0"/>
                                </a:moveTo>
                                <a:lnTo>
                                  <a:pt x="5032692" y="0"/>
                                </a:lnTo>
                                <a:lnTo>
                                  <a:pt x="5032692" y="2540"/>
                                </a:lnTo>
                                <a:lnTo>
                                  <a:pt x="5032692" y="3086"/>
                                </a:lnTo>
                                <a:lnTo>
                                  <a:pt x="5032692" y="6261"/>
                                </a:lnTo>
                                <a:lnTo>
                                  <a:pt x="5032692" y="2584107"/>
                                </a:lnTo>
                                <a:lnTo>
                                  <a:pt x="6350" y="2584107"/>
                                </a:lnTo>
                                <a:lnTo>
                                  <a:pt x="6350" y="6350"/>
                                </a:lnTo>
                                <a:lnTo>
                                  <a:pt x="3175" y="6350"/>
                                </a:lnTo>
                                <a:lnTo>
                                  <a:pt x="6350" y="6261"/>
                                </a:lnTo>
                                <a:lnTo>
                                  <a:pt x="5032692" y="6261"/>
                                </a:lnTo>
                                <a:lnTo>
                                  <a:pt x="5032692" y="3086"/>
                                </a:lnTo>
                                <a:lnTo>
                                  <a:pt x="6350" y="3086"/>
                                </a:lnTo>
                                <a:lnTo>
                                  <a:pt x="3175" y="3086"/>
                                </a:lnTo>
                                <a:lnTo>
                                  <a:pt x="3175" y="2540"/>
                                </a:lnTo>
                                <a:lnTo>
                                  <a:pt x="5032692" y="2540"/>
                                </a:lnTo>
                                <a:lnTo>
                                  <a:pt x="5032692" y="0"/>
                                </a:lnTo>
                                <a:lnTo>
                                  <a:pt x="0" y="0"/>
                                </a:lnTo>
                                <a:lnTo>
                                  <a:pt x="0" y="2540"/>
                                </a:lnTo>
                                <a:lnTo>
                                  <a:pt x="0" y="6350"/>
                                </a:lnTo>
                                <a:lnTo>
                                  <a:pt x="0" y="2584450"/>
                                </a:lnTo>
                                <a:lnTo>
                                  <a:pt x="0" y="2586990"/>
                                </a:lnTo>
                                <a:lnTo>
                                  <a:pt x="0" y="2590800"/>
                                </a:lnTo>
                                <a:lnTo>
                                  <a:pt x="5039042" y="2590800"/>
                                </a:lnTo>
                                <a:lnTo>
                                  <a:pt x="5039042" y="6350"/>
                                </a:lnTo>
                                <a:lnTo>
                                  <a:pt x="5035867" y="6350"/>
                                </a:lnTo>
                                <a:lnTo>
                                  <a:pt x="5039042" y="6261"/>
                                </a:lnTo>
                                <a:lnTo>
                                  <a:pt x="5039042" y="3086"/>
                                </a:lnTo>
                                <a:lnTo>
                                  <a:pt x="5035867" y="3086"/>
                                </a:lnTo>
                                <a:lnTo>
                                  <a:pt x="5035867" y="2540"/>
                                </a:lnTo>
                                <a:lnTo>
                                  <a:pt x="5039042" y="2540"/>
                                </a:lnTo>
                                <a:lnTo>
                                  <a:pt x="5039042" y="0"/>
                                </a:lnTo>
                                <a:close/>
                              </a:path>
                            </a:pathLst>
                          </a:custGeom>
                          <a:solidFill>
                            <a:srgbClr val="000000"/>
                          </a:solidFill>
                        </wps:spPr>
                        <wps:bodyPr wrap="square" lIns="0" tIns="0" rIns="0" bIns="0" rtlCol="0">
                          <a:prstTxWarp prst="textNoShape">
                            <a:avLst/>
                          </a:prstTxWarp>
                          <a:noAutofit/>
                        </wps:bodyPr>
                      </wps:wsp>
                      <wps:wsp>
                        <wps:cNvPr id="1173" name="Textbox 1173"/>
                        <wps:cNvSpPr txBox="1"/>
                        <wps:spPr>
                          <a:xfrm>
                            <a:off x="2457368" y="96223"/>
                            <a:ext cx="761365" cy="102235"/>
                          </a:xfrm>
                          <a:prstGeom prst="rect">
                            <a:avLst/>
                          </a:prstGeom>
                        </wps:spPr>
                        <wps:txbx>
                          <w:txbxContent>
                            <w:p>
                              <w:pPr>
                                <w:tabs>
                                  <w:tab w:pos="623" w:val="left" w:leader="none"/>
                                </w:tabs>
                                <w:spacing w:line="161" w:lineRule="exact" w:before="0"/>
                                <w:ind w:left="0" w:right="0" w:firstLine="0"/>
                                <w:jc w:val="left"/>
                                <w:rPr>
                                  <w:rFonts w:ascii="Arial MT"/>
                                  <w:sz w:val="14"/>
                                </w:rPr>
                              </w:pPr>
                              <w:r>
                                <w:rPr>
                                  <w:rFonts w:ascii="Arial MT"/>
                                  <w:spacing w:val="-4"/>
                                  <w:w w:val="90"/>
                                  <w:sz w:val="14"/>
                                </w:rPr>
                                <w:t>Govt.</w:t>
                              </w:r>
                              <w:r>
                                <w:rPr>
                                  <w:rFonts w:ascii="Arial MT"/>
                                  <w:sz w:val="14"/>
                                </w:rPr>
                                <w:tab/>
                              </w:r>
                              <w:r>
                                <w:rPr>
                                  <w:rFonts w:ascii="Arial MT"/>
                                  <w:w w:val="80"/>
                                  <w:sz w:val="14"/>
                                </w:rPr>
                                <w:t>Local</w:t>
                              </w:r>
                              <w:r>
                                <w:rPr>
                                  <w:rFonts w:ascii="Arial MT"/>
                                  <w:spacing w:val="-1"/>
                                  <w:w w:val="90"/>
                                  <w:sz w:val="14"/>
                                </w:rPr>
                                <w:t> </w:t>
                              </w:r>
                              <w:r>
                                <w:rPr>
                                  <w:rFonts w:ascii="Arial MT"/>
                                  <w:spacing w:val="-4"/>
                                  <w:w w:val="90"/>
                                  <w:sz w:val="14"/>
                                </w:rPr>
                                <w:t>body</w:t>
                              </w:r>
                            </w:p>
                          </w:txbxContent>
                        </wps:txbx>
                        <wps:bodyPr wrap="square" lIns="0" tIns="0" rIns="0" bIns="0" rtlCol="0">
                          <a:noAutofit/>
                        </wps:bodyPr>
                      </wps:wsp>
                      <wps:wsp>
                        <wps:cNvPr id="1174" name="Textbox 1174"/>
                        <wps:cNvSpPr txBox="1"/>
                        <wps:spPr>
                          <a:xfrm>
                            <a:off x="3552324" y="96223"/>
                            <a:ext cx="438784"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Private</w:t>
                              </w:r>
                              <w:r>
                                <w:rPr>
                                  <w:rFonts w:ascii="Arial MT"/>
                                  <w:spacing w:val="1"/>
                                  <w:sz w:val="14"/>
                                </w:rPr>
                                <w:t> </w:t>
                              </w:r>
                              <w:r>
                                <w:rPr>
                                  <w:rFonts w:ascii="Arial MT"/>
                                  <w:spacing w:val="-2"/>
                                  <w:w w:val="85"/>
                                  <w:sz w:val="14"/>
                                </w:rPr>
                                <w:t>aided</w:t>
                              </w:r>
                            </w:p>
                          </w:txbxContent>
                        </wps:txbx>
                        <wps:bodyPr wrap="square" lIns="0" tIns="0" rIns="0" bIns="0" rtlCol="0">
                          <a:noAutofit/>
                        </wps:bodyPr>
                      </wps:wsp>
                      <wps:wsp>
                        <wps:cNvPr id="1175" name="Textbox 1175"/>
                        <wps:cNvSpPr txBox="1"/>
                        <wps:spPr>
                          <a:xfrm>
                            <a:off x="4339235" y="96223"/>
                            <a:ext cx="51943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Private</w:t>
                              </w:r>
                              <w:r>
                                <w:rPr>
                                  <w:rFonts w:ascii="Arial MT"/>
                                  <w:spacing w:val="1"/>
                                  <w:sz w:val="14"/>
                                </w:rPr>
                                <w:t> </w:t>
                              </w:r>
                              <w:r>
                                <w:rPr>
                                  <w:rFonts w:ascii="Arial MT"/>
                                  <w:spacing w:val="-2"/>
                                  <w:w w:val="85"/>
                                  <w:sz w:val="14"/>
                                </w:rPr>
                                <w:t>unaided</w:t>
                              </w:r>
                            </w:p>
                          </w:txbxContent>
                        </wps:txbx>
                        <wps:bodyPr wrap="square" lIns="0" tIns="0" rIns="0" bIns="0" rtlCol="0">
                          <a:noAutofit/>
                        </wps:bodyPr>
                      </wps:wsp>
                      <wps:wsp>
                        <wps:cNvPr id="1176" name="Textbox 1176"/>
                        <wps:cNvSpPr txBox="1"/>
                        <wps:spPr>
                          <a:xfrm>
                            <a:off x="190469" y="340902"/>
                            <a:ext cx="151765" cy="1945639"/>
                          </a:xfrm>
                          <a:prstGeom prst="rect">
                            <a:avLst/>
                          </a:prstGeom>
                        </wps:spPr>
                        <wps:txbx>
                          <w:txbxContent>
                            <w:p>
                              <w:pPr>
                                <w:spacing w:line="184" w:lineRule="exact" w:before="0"/>
                                <w:ind w:left="0" w:right="0" w:firstLine="0"/>
                                <w:jc w:val="left"/>
                                <w:rPr>
                                  <w:rFonts w:ascii="Arial MT"/>
                                  <w:sz w:val="16"/>
                                </w:rPr>
                              </w:pPr>
                              <w:r>
                                <w:rPr>
                                  <w:rFonts w:ascii="Arial MT"/>
                                  <w:spacing w:val="-5"/>
                                  <w:w w:val="85"/>
                                  <w:sz w:val="16"/>
                                </w:rPr>
                                <w:t>120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80"/>
                                  <w:sz w:val="16"/>
                                </w:rPr>
                                <w:t>100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90"/>
                                  <w:sz w:val="16"/>
                                </w:rPr>
                                <w:t>80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90"/>
                                  <w:sz w:val="16"/>
                                </w:rPr>
                                <w:t>60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90"/>
                                  <w:sz w:val="16"/>
                                </w:rPr>
                                <w:t>40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90"/>
                                  <w:sz w:val="16"/>
                                </w:rPr>
                                <w:t>20</w:t>
                              </w:r>
                            </w:p>
                            <w:p>
                              <w:pPr>
                                <w:spacing w:line="240" w:lineRule="auto" w:before="112"/>
                                <w:rPr>
                                  <w:rFonts w:ascii="Arial MT"/>
                                  <w:sz w:val="16"/>
                                </w:rPr>
                              </w:pPr>
                            </w:p>
                            <w:p>
                              <w:pPr>
                                <w:spacing w:before="0"/>
                                <w:ind w:left="0" w:right="18" w:firstLine="0"/>
                                <w:jc w:val="right"/>
                                <w:rPr>
                                  <w:rFonts w:ascii="Arial MT"/>
                                  <w:sz w:val="16"/>
                                </w:rPr>
                              </w:pPr>
                              <w:r>
                                <w:rPr>
                                  <w:rFonts w:ascii="Arial MT"/>
                                  <w:spacing w:val="-10"/>
                                  <w:w w:val="90"/>
                                  <w:sz w:val="16"/>
                                </w:rPr>
                                <w:t>0</w:t>
                              </w:r>
                            </w:p>
                          </w:txbxContent>
                        </wps:txbx>
                        <wps:bodyPr wrap="square" lIns="0" tIns="0" rIns="0" bIns="0" rtlCol="0">
                          <a:noAutofit/>
                        </wps:bodyPr>
                      </wps:wsp>
                      <wps:wsp>
                        <wps:cNvPr id="1177" name="Textbox 1177"/>
                        <wps:cNvSpPr txBox="1"/>
                        <wps:spPr>
                          <a:xfrm>
                            <a:off x="1043189" y="2280288"/>
                            <a:ext cx="26416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Primary</w:t>
                              </w:r>
                            </w:p>
                          </w:txbxContent>
                        </wps:txbx>
                        <wps:bodyPr wrap="square" lIns="0" tIns="0" rIns="0" bIns="0" rtlCol="0">
                          <a:noAutofit/>
                        </wps:bodyPr>
                      </wps:wsp>
                      <wps:wsp>
                        <wps:cNvPr id="1178" name="Textbox 1178"/>
                        <wps:cNvSpPr txBox="1"/>
                        <wps:spPr>
                          <a:xfrm>
                            <a:off x="2402937" y="2280288"/>
                            <a:ext cx="47498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Upper</w:t>
                              </w:r>
                              <w:r>
                                <w:rPr>
                                  <w:rFonts w:ascii="Arial MT"/>
                                  <w:spacing w:val="-4"/>
                                  <w:sz w:val="14"/>
                                </w:rPr>
                                <w:t> </w:t>
                              </w:r>
                              <w:r>
                                <w:rPr>
                                  <w:rFonts w:ascii="Arial MT"/>
                                  <w:spacing w:val="-2"/>
                                  <w:w w:val="85"/>
                                  <w:sz w:val="14"/>
                                </w:rPr>
                                <w:t>primary</w:t>
                              </w:r>
                            </w:p>
                          </w:txbxContent>
                        </wps:txbx>
                        <wps:bodyPr wrap="square" lIns="0" tIns="0" rIns="0" bIns="0" rtlCol="0">
                          <a:noAutofit/>
                        </wps:bodyPr>
                      </wps:wsp>
                      <wps:wsp>
                        <wps:cNvPr id="1179" name="Textbox 1179"/>
                        <wps:cNvSpPr txBox="1"/>
                        <wps:spPr>
                          <a:xfrm>
                            <a:off x="3828550" y="2280288"/>
                            <a:ext cx="592455" cy="208915"/>
                          </a:xfrm>
                          <a:prstGeom prst="rect">
                            <a:avLst/>
                          </a:prstGeom>
                        </wps:spPr>
                        <wps:txbx>
                          <w:txbxContent>
                            <w:p>
                              <w:pPr>
                                <w:spacing w:line="249" w:lineRule="auto" w:before="0"/>
                                <w:ind w:left="181" w:right="18" w:hanging="182"/>
                                <w:jc w:val="left"/>
                                <w:rPr>
                                  <w:rFonts w:ascii="Arial MT"/>
                                  <w:sz w:val="14"/>
                                </w:rPr>
                              </w:pPr>
                              <w:r>
                                <w:rPr>
                                  <w:rFonts w:ascii="Arial MT"/>
                                  <w:spacing w:val="-2"/>
                                  <w:w w:val="80"/>
                                  <w:sz w:val="14"/>
                                </w:rPr>
                                <w:t>Secondary/Senior</w:t>
                              </w:r>
                              <w:r>
                                <w:rPr>
                                  <w:rFonts w:ascii="Arial MT"/>
                                  <w:spacing w:val="40"/>
                                  <w:sz w:val="14"/>
                                </w:rPr>
                                <w:t> </w:t>
                              </w:r>
                              <w:r>
                                <w:rPr>
                                  <w:rFonts w:ascii="Arial MT"/>
                                  <w:spacing w:val="-2"/>
                                  <w:w w:val="90"/>
                                  <w:sz w:val="14"/>
                                </w:rPr>
                                <w:t>Secondary</w:t>
                              </w:r>
                            </w:p>
                          </w:txbxContent>
                        </wps:txbx>
                        <wps:bodyPr wrap="square" lIns="0" tIns="0" rIns="0" bIns="0" rtlCol="0">
                          <a:noAutofit/>
                        </wps:bodyPr>
                      </wps:wsp>
                    </wpg:wgp>
                  </a:graphicData>
                </a:graphic>
              </wp:anchor>
            </w:drawing>
          </mc:Choice>
          <mc:Fallback>
            <w:pict>
              <v:group style="position:absolute;margin-left:101.16333pt;margin-top:20.285376pt;width:396.8pt;height:204pt;mso-position-horizontal-relative:page;mso-position-vertical-relative:paragraph;z-index:-23936000" id="docshapegroup1159" coordorigin="2023,406" coordsize="7936,4080">
                <v:shape style="position:absolute;left:2023;top:405;width:7936;height:4080" id="docshape1160" coordorigin="2023,406" coordsize="7936,4080" path="m9959,406l9949,406,9949,410,9949,411,9949,416,9949,4475,2033,4475,2033,416,2028,416,2033,416,9949,416,9949,411,2033,411,2028,411,2028,410,9949,410,9949,406,2023,406,2023,410,2023,416,2023,4476,2023,4480,2023,4486,9959,4486,9959,416,9954,416,9959,416,9959,411,9954,411,9954,410,9959,410,9959,406xe" filled="true" fillcolor="#000000" stroked="false">
                  <v:path arrowok="t"/>
                  <v:fill type="solid"/>
                </v:shape>
                <v:shape style="position:absolute;left:5893;top:557;width:1199;height:161" type="#_x0000_t202" id="docshape1161" filled="false" stroked="false">
                  <v:textbox inset="0,0,0,0">
                    <w:txbxContent>
                      <w:p>
                        <w:pPr>
                          <w:tabs>
                            <w:tab w:pos="623" w:val="left" w:leader="none"/>
                          </w:tabs>
                          <w:spacing w:line="161" w:lineRule="exact" w:before="0"/>
                          <w:ind w:left="0" w:right="0" w:firstLine="0"/>
                          <w:jc w:val="left"/>
                          <w:rPr>
                            <w:rFonts w:ascii="Arial MT"/>
                            <w:sz w:val="14"/>
                          </w:rPr>
                        </w:pPr>
                        <w:r>
                          <w:rPr>
                            <w:rFonts w:ascii="Arial MT"/>
                            <w:spacing w:val="-4"/>
                            <w:w w:val="90"/>
                            <w:sz w:val="14"/>
                          </w:rPr>
                          <w:t>Govt.</w:t>
                        </w:r>
                        <w:r>
                          <w:rPr>
                            <w:rFonts w:ascii="Arial MT"/>
                            <w:sz w:val="14"/>
                          </w:rPr>
                          <w:tab/>
                        </w:r>
                        <w:r>
                          <w:rPr>
                            <w:rFonts w:ascii="Arial MT"/>
                            <w:w w:val="80"/>
                            <w:sz w:val="14"/>
                          </w:rPr>
                          <w:t>Local</w:t>
                        </w:r>
                        <w:r>
                          <w:rPr>
                            <w:rFonts w:ascii="Arial MT"/>
                            <w:spacing w:val="-1"/>
                            <w:w w:val="90"/>
                            <w:sz w:val="14"/>
                          </w:rPr>
                          <w:t> </w:t>
                        </w:r>
                        <w:r>
                          <w:rPr>
                            <w:rFonts w:ascii="Arial MT"/>
                            <w:spacing w:val="-4"/>
                            <w:w w:val="90"/>
                            <w:sz w:val="14"/>
                          </w:rPr>
                          <w:t>body</w:t>
                        </w:r>
                      </w:p>
                    </w:txbxContent>
                  </v:textbox>
                  <w10:wrap type="none"/>
                </v:shape>
                <v:shape style="position:absolute;left:7617;top:557;width:691;height:161" type="#_x0000_t202" id="docshape1162" filled="false" stroked="false">
                  <v:textbox inset="0,0,0,0">
                    <w:txbxContent>
                      <w:p>
                        <w:pPr>
                          <w:spacing w:line="161" w:lineRule="exact" w:before="0"/>
                          <w:ind w:left="0" w:right="0" w:firstLine="0"/>
                          <w:jc w:val="left"/>
                          <w:rPr>
                            <w:rFonts w:ascii="Arial MT"/>
                            <w:sz w:val="14"/>
                          </w:rPr>
                        </w:pPr>
                        <w:r>
                          <w:rPr>
                            <w:rFonts w:ascii="Arial MT"/>
                            <w:w w:val="80"/>
                            <w:sz w:val="14"/>
                          </w:rPr>
                          <w:t>Private</w:t>
                        </w:r>
                        <w:r>
                          <w:rPr>
                            <w:rFonts w:ascii="Arial MT"/>
                            <w:spacing w:val="1"/>
                            <w:sz w:val="14"/>
                          </w:rPr>
                          <w:t> </w:t>
                        </w:r>
                        <w:r>
                          <w:rPr>
                            <w:rFonts w:ascii="Arial MT"/>
                            <w:spacing w:val="-2"/>
                            <w:w w:val="85"/>
                            <w:sz w:val="14"/>
                          </w:rPr>
                          <w:t>aided</w:t>
                        </w:r>
                      </w:p>
                    </w:txbxContent>
                  </v:textbox>
                  <w10:wrap type="none"/>
                </v:shape>
                <v:shape style="position:absolute;left:8856;top:557;width:818;height:161" type="#_x0000_t202" id="docshape1163" filled="false" stroked="false">
                  <v:textbox inset="0,0,0,0">
                    <w:txbxContent>
                      <w:p>
                        <w:pPr>
                          <w:spacing w:line="161" w:lineRule="exact" w:before="0"/>
                          <w:ind w:left="0" w:right="0" w:firstLine="0"/>
                          <w:jc w:val="left"/>
                          <w:rPr>
                            <w:rFonts w:ascii="Arial MT"/>
                            <w:sz w:val="14"/>
                          </w:rPr>
                        </w:pPr>
                        <w:r>
                          <w:rPr>
                            <w:rFonts w:ascii="Arial MT"/>
                            <w:w w:val="80"/>
                            <w:sz w:val="14"/>
                          </w:rPr>
                          <w:t>Private</w:t>
                        </w:r>
                        <w:r>
                          <w:rPr>
                            <w:rFonts w:ascii="Arial MT"/>
                            <w:spacing w:val="1"/>
                            <w:sz w:val="14"/>
                          </w:rPr>
                          <w:t> </w:t>
                        </w:r>
                        <w:r>
                          <w:rPr>
                            <w:rFonts w:ascii="Arial MT"/>
                            <w:spacing w:val="-2"/>
                            <w:w w:val="85"/>
                            <w:sz w:val="14"/>
                          </w:rPr>
                          <w:t>unaided</w:t>
                        </w:r>
                      </w:p>
                    </w:txbxContent>
                  </v:textbox>
                  <w10:wrap type="none"/>
                </v:shape>
                <v:shape style="position:absolute;left:2323;top:942;width:239;height:3064" type="#_x0000_t202" id="docshape1164" filled="false" stroked="false">
                  <v:textbox inset="0,0,0,0">
                    <w:txbxContent>
                      <w:p>
                        <w:pPr>
                          <w:spacing w:line="184" w:lineRule="exact" w:before="0"/>
                          <w:ind w:left="0" w:right="0" w:firstLine="0"/>
                          <w:jc w:val="left"/>
                          <w:rPr>
                            <w:rFonts w:ascii="Arial MT"/>
                            <w:sz w:val="16"/>
                          </w:rPr>
                        </w:pPr>
                        <w:r>
                          <w:rPr>
                            <w:rFonts w:ascii="Arial MT"/>
                            <w:spacing w:val="-5"/>
                            <w:w w:val="85"/>
                            <w:sz w:val="16"/>
                          </w:rPr>
                          <w:t>120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80"/>
                            <w:sz w:val="16"/>
                          </w:rPr>
                          <w:t>100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90"/>
                            <w:sz w:val="16"/>
                          </w:rPr>
                          <w:t>80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90"/>
                            <w:sz w:val="16"/>
                          </w:rPr>
                          <w:t>60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90"/>
                            <w:sz w:val="16"/>
                          </w:rPr>
                          <w:t>40</w:t>
                        </w:r>
                      </w:p>
                      <w:p>
                        <w:pPr>
                          <w:spacing w:line="240" w:lineRule="auto" w:before="112"/>
                          <w:rPr>
                            <w:rFonts w:ascii="Arial MT"/>
                            <w:sz w:val="16"/>
                          </w:rPr>
                        </w:pPr>
                      </w:p>
                      <w:p>
                        <w:pPr>
                          <w:spacing w:before="0"/>
                          <w:ind w:left="0" w:right="18" w:firstLine="0"/>
                          <w:jc w:val="right"/>
                          <w:rPr>
                            <w:rFonts w:ascii="Arial MT"/>
                            <w:sz w:val="16"/>
                          </w:rPr>
                        </w:pPr>
                        <w:r>
                          <w:rPr>
                            <w:rFonts w:ascii="Arial MT"/>
                            <w:spacing w:val="-5"/>
                            <w:w w:val="90"/>
                            <w:sz w:val="16"/>
                          </w:rPr>
                          <w:t>20</w:t>
                        </w:r>
                      </w:p>
                      <w:p>
                        <w:pPr>
                          <w:spacing w:line="240" w:lineRule="auto" w:before="112"/>
                          <w:rPr>
                            <w:rFonts w:ascii="Arial MT"/>
                            <w:sz w:val="16"/>
                          </w:rPr>
                        </w:pPr>
                      </w:p>
                      <w:p>
                        <w:pPr>
                          <w:spacing w:before="0"/>
                          <w:ind w:left="0" w:right="18" w:firstLine="0"/>
                          <w:jc w:val="right"/>
                          <w:rPr>
                            <w:rFonts w:ascii="Arial MT"/>
                            <w:sz w:val="16"/>
                          </w:rPr>
                        </w:pPr>
                        <w:r>
                          <w:rPr>
                            <w:rFonts w:ascii="Arial MT"/>
                            <w:spacing w:val="-10"/>
                            <w:w w:val="90"/>
                            <w:sz w:val="16"/>
                          </w:rPr>
                          <w:t>0</w:t>
                        </w:r>
                      </w:p>
                    </w:txbxContent>
                  </v:textbox>
                  <w10:wrap type="none"/>
                </v:shape>
                <v:shape style="position:absolute;left:3666;top:3996;width:416;height:161" type="#_x0000_t202" id="docshape1165" filled="false" stroked="false">
                  <v:textbox inset="0,0,0,0">
                    <w:txbxContent>
                      <w:p>
                        <w:pPr>
                          <w:spacing w:line="161" w:lineRule="exact" w:before="0"/>
                          <w:ind w:left="0" w:right="0" w:firstLine="0"/>
                          <w:jc w:val="left"/>
                          <w:rPr>
                            <w:rFonts w:ascii="Arial MT"/>
                            <w:sz w:val="14"/>
                          </w:rPr>
                        </w:pPr>
                        <w:r>
                          <w:rPr>
                            <w:rFonts w:ascii="Arial MT"/>
                            <w:spacing w:val="-2"/>
                            <w:w w:val="85"/>
                            <w:sz w:val="14"/>
                          </w:rPr>
                          <w:t>Primary</w:t>
                        </w:r>
                      </w:p>
                    </w:txbxContent>
                  </v:textbox>
                  <w10:wrap type="none"/>
                </v:shape>
                <v:shape style="position:absolute;left:5807;top:3996;width:748;height:161" type="#_x0000_t202" id="docshape1166" filled="false" stroked="false">
                  <v:textbox inset="0,0,0,0">
                    <w:txbxContent>
                      <w:p>
                        <w:pPr>
                          <w:spacing w:line="161" w:lineRule="exact" w:before="0"/>
                          <w:ind w:left="0" w:right="0" w:firstLine="0"/>
                          <w:jc w:val="left"/>
                          <w:rPr>
                            <w:rFonts w:ascii="Arial MT"/>
                            <w:sz w:val="14"/>
                          </w:rPr>
                        </w:pPr>
                        <w:r>
                          <w:rPr>
                            <w:rFonts w:ascii="Arial MT"/>
                            <w:w w:val="80"/>
                            <w:sz w:val="14"/>
                          </w:rPr>
                          <w:t>Upper</w:t>
                        </w:r>
                        <w:r>
                          <w:rPr>
                            <w:rFonts w:ascii="Arial MT"/>
                            <w:spacing w:val="-4"/>
                            <w:sz w:val="14"/>
                          </w:rPr>
                          <w:t> </w:t>
                        </w:r>
                        <w:r>
                          <w:rPr>
                            <w:rFonts w:ascii="Arial MT"/>
                            <w:spacing w:val="-2"/>
                            <w:w w:val="85"/>
                            <w:sz w:val="14"/>
                          </w:rPr>
                          <w:t>primary</w:t>
                        </w:r>
                      </w:p>
                    </w:txbxContent>
                  </v:textbox>
                  <w10:wrap type="none"/>
                </v:shape>
                <v:shape style="position:absolute;left:8052;top:3996;width:933;height:329" type="#_x0000_t202" id="docshape1167" filled="false" stroked="false">
                  <v:textbox inset="0,0,0,0">
                    <w:txbxContent>
                      <w:p>
                        <w:pPr>
                          <w:spacing w:line="249" w:lineRule="auto" w:before="0"/>
                          <w:ind w:left="181" w:right="18" w:hanging="182"/>
                          <w:jc w:val="left"/>
                          <w:rPr>
                            <w:rFonts w:ascii="Arial MT"/>
                            <w:sz w:val="14"/>
                          </w:rPr>
                        </w:pPr>
                        <w:r>
                          <w:rPr>
                            <w:rFonts w:ascii="Arial MT"/>
                            <w:spacing w:val="-2"/>
                            <w:w w:val="80"/>
                            <w:sz w:val="14"/>
                          </w:rPr>
                          <w:t>Secondary/Senior</w:t>
                        </w:r>
                        <w:r>
                          <w:rPr>
                            <w:rFonts w:ascii="Arial MT"/>
                            <w:spacing w:val="40"/>
                            <w:sz w:val="14"/>
                          </w:rPr>
                          <w:t> </w:t>
                        </w:r>
                        <w:r>
                          <w:rPr>
                            <w:rFonts w:ascii="Arial MT"/>
                            <w:spacing w:val="-2"/>
                            <w:w w:val="90"/>
                            <w:sz w:val="14"/>
                          </w:rPr>
                          <w:t>Secondary</w:t>
                        </w:r>
                      </w:p>
                    </w:txbxContent>
                  </v:textbox>
                  <w10:wrap type="none"/>
                </v:shape>
                <w10:wrap type="none"/>
              </v:group>
            </w:pict>
          </mc:Fallback>
        </mc:AlternateContent>
      </w:r>
      <w:r>
        <w:rPr>
          <w:w w:val="90"/>
        </w:rPr>
        <w:t>Figure</w:t>
      </w:r>
      <w:r>
        <w:rPr>
          <w:spacing w:val="9"/>
        </w:rPr>
        <w:t> </w:t>
      </w:r>
      <w:r>
        <w:rPr>
          <w:w w:val="90"/>
        </w:rPr>
        <w:t>6:</w:t>
      </w:r>
      <w:r>
        <w:rPr>
          <w:spacing w:val="10"/>
        </w:rPr>
        <w:t> </w:t>
      </w:r>
      <w:r>
        <w:rPr>
          <w:color w:val="2E614A"/>
          <w:w w:val="90"/>
        </w:rPr>
        <w:t>Management-wise</w:t>
      </w:r>
      <w:r>
        <w:rPr>
          <w:color w:val="2E614A"/>
          <w:spacing w:val="10"/>
        </w:rPr>
        <w:t> </w:t>
      </w:r>
      <w:r>
        <w:rPr>
          <w:color w:val="2E614A"/>
          <w:w w:val="90"/>
        </w:rPr>
        <w:t>percentage</w:t>
      </w:r>
      <w:r>
        <w:rPr>
          <w:color w:val="2E614A"/>
          <w:spacing w:val="9"/>
        </w:rPr>
        <w:t> </w:t>
      </w:r>
      <w:r>
        <w:rPr>
          <w:color w:val="2E614A"/>
          <w:w w:val="90"/>
        </w:rPr>
        <w:t>of</w:t>
      </w:r>
      <w:r>
        <w:rPr>
          <w:color w:val="2E614A"/>
          <w:spacing w:val="10"/>
        </w:rPr>
        <w:t> </w:t>
      </w:r>
      <w:r>
        <w:rPr>
          <w:color w:val="2E614A"/>
          <w:spacing w:val="-2"/>
          <w:w w:val="90"/>
        </w:rPr>
        <w:t>schools</w:t>
      </w:r>
    </w:p>
    <w:p>
      <w:pPr>
        <w:pStyle w:val="BodyText"/>
        <w:spacing w:before="54"/>
        <w:rPr>
          <w:b/>
          <w:sz w:val="20"/>
        </w:rPr>
      </w:pPr>
      <w:r>
        <w:rPr/>
        <mc:AlternateContent>
          <mc:Choice Requires="wps">
            <w:drawing>
              <wp:anchor distT="0" distB="0" distL="0" distR="0" allowOverlap="1" layoutInCell="1" locked="0" behindDoc="1" simplePos="0" relativeHeight="487660032">
                <wp:simplePos x="0" y="0"/>
                <wp:positionH relativeFrom="page">
                  <wp:posOffset>3641449</wp:posOffset>
                </wp:positionH>
                <wp:positionV relativeFrom="paragraph">
                  <wp:posOffset>195690</wp:posOffset>
                </wp:positionV>
                <wp:extent cx="76200" cy="66675"/>
                <wp:effectExtent l="0" t="0" r="0" b="0"/>
                <wp:wrapTopAndBottom/>
                <wp:docPr id="1180" name="Graphic 1180"/>
                <wp:cNvGraphicFramePr>
                  <a:graphicFrameLocks/>
                </wp:cNvGraphicFramePr>
                <a:graphic>
                  <a:graphicData uri="http://schemas.microsoft.com/office/word/2010/wordprocessingShape">
                    <wps:wsp>
                      <wps:cNvPr id="1180" name="Graphic 1180"/>
                      <wps:cNvSpPr/>
                      <wps:spPr>
                        <a:xfrm>
                          <a:off x="0" y="0"/>
                          <a:ext cx="76200" cy="66675"/>
                        </a:xfrm>
                        <a:custGeom>
                          <a:avLst/>
                          <a:gdLst/>
                          <a:ahLst/>
                          <a:cxnLst/>
                          <a:rect l="l" t="t" r="r" b="b"/>
                          <a:pathLst>
                            <a:path w="76200" h="66675">
                              <a:moveTo>
                                <a:pt x="76200" y="0"/>
                              </a:moveTo>
                              <a:lnTo>
                                <a:pt x="0" y="0"/>
                              </a:lnTo>
                              <a:lnTo>
                                <a:pt x="0" y="66674"/>
                              </a:lnTo>
                              <a:lnTo>
                                <a:pt x="76200" y="66674"/>
                              </a:lnTo>
                              <a:lnTo>
                                <a:pt x="76200" y="0"/>
                              </a:lnTo>
                              <a:close/>
                            </a:path>
                          </a:pathLst>
                        </a:custGeom>
                        <a:solidFill>
                          <a:srgbClr val="2E614A"/>
                        </a:solidFill>
                      </wps:spPr>
                      <wps:bodyPr wrap="square" lIns="0" tIns="0" rIns="0" bIns="0" rtlCol="0">
                        <a:prstTxWarp prst="textNoShape">
                          <a:avLst/>
                        </a:prstTxWarp>
                        <a:noAutofit/>
                      </wps:bodyPr>
                    </wps:wsp>
                  </a:graphicData>
                </a:graphic>
              </wp:anchor>
            </w:drawing>
          </mc:Choice>
          <mc:Fallback>
            <w:pict>
              <v:rect style="position:absolute;margin-left:286.728302pt;margin-top:15.408728pt;width:6pt;height:5.25pt;mso-position-horizontal-relative:page;mso-position-vertical-relative:paragraph;z-index:-15656448;mso-wrap-distance-left:0;mso-wrap-distance-right:0" id="docshape1168" filled="true" fillcolor="#2e614a" stroked="false">
                <v:fill type="solid"/>
                <w10:wrap type="topAndBottom"/>
              </v:rect>
            </w:pict>
          </mc:Fallback>
        </mc:AlternateContent>
      </w:r>
      <w:r>
        <w:rPr/>
        <mc:AlternateContent>
          <mc:Choice Requires="wps">
            <w:drawing>
              <wp:anchor distT="0" distB="0" distL="0" distR="0" allowOverlap="1" layoutInCell="1" locked="0" behindDoc="1" simplePos="0" relativeHeight="487660544">
                <wp:simplePos x="0" y="0"/>
                <wp:positionH relativeFrom="page">
                  <wp:posOffset>4025624</wp:posOffset>
                </wp:positionH>
                <wp:positionV relativeFrom="paragraph">
                  <wp:posOffset>195690</wp:posOffset>
                </wp:positionV>
                <wp:extent cx="82550" cy="76200"/>
                <wp:effectExtent l="0" t="0" r="0" b="0"/>
                <wp:wrapTopAndBottom/>
                <wp:docPr id="1181" name="Graphic 1181"/>
                <wp:cNvGraphicFramePr>
                  <a:graphicFrameLocks/>
                </wp:cNvGraphicFramePr>
                <a:graphic>
                  <a:graphicData uri="http://schemas.microsoft.com/office/word/2010/wordprocessingShape">
                    <wps:wsp>
                      <wps:cNvPr id="1181" name="Graphic 1181"/>
                      <wps:cNvSpPr/>
                      <wps:spPr>
                        <a:xfrm>
                          <a:off x="0" y="0"/>
                          <a:ext cx="82550" cy="76200"/>
                        </a:xfrm>
                        <a:custGeom>
                          <a:avLst/>
                          <a:gdLst/>
                          <a:ahLst/>
                          <a:cxnLst/>
                          <a:rect l="l" t="t" r="r" b="b"/>
                          <a:pathLst>
                            <a:path w="82550" h="76200">
                              <a:moveTo>
                                <a:pt x="82550" y="0"/>
                              </a:moveTo>
                              <a:lnTo>
                                <a:pt x="0" y="0"/>
                              </a:lnTo>
                              <a:lnTo>
                                <a:pt x="0" y="76199"/>
                              </a:lnTo>
                              <a:lnTo>
                                <a:pt x="82550" y="76199"/>
                              </a:lnTo>
                              <a:lnTo>
                                <a:pt x="82550" y="0"/>
                              </a:lnTo>
                              <a:close/>
                            </a:path>
                          </a:pathLst>
                        </a:custGeom>
                        <a:solidFill>
                          <a:srgbClr val="9CBF3B"/>
                        </a:solidFill>
                      </wps:spPr>
                      <wps:bodyPr wrap="square" lIns="0" tIns="0" rIns="0" bIns="0" rtlCol="0">
                        <a:prstTxWarp prst="textNoShape">
                          <a:avLst/>
                        </a:prstTxWarp>
                        <a:noAutofit/>
                      </wps:bodyPr>
                    </wps:wsp>
                  </a:graphicData>
                </a:graphic>
              </wp:anchor>
            </w:drawing>
          </mc:Choice>
          <mc:Fallback>
            <w:pict>
              <v:rect style="position:absolute;margin-left:316.978302pt;margin-top:15.408728pt;width:6.5pt;height:6.0pt;mso-position-horizontal-relative:page;mso-position-vertical-relative:paragraph;z-index:-15655936;mso-wrap-distance-left:0;mso-wrap-distance-right:0" id="docshape1169" filled="true" fillcolor="#9cbf3b" stroked="false">
                <v:fill type="solid"/>
                <w10:wrap type="topAndBottom"/>
              </v:rect>
            </w:pict>
          </mc:Fallback>
        </mc:AlternateContent>
      </w:r>
      <w:r>
        <w:rPr/>
        <mc:AlternateContent>
          <mc:Choice Requires="wps">
            <w:drawing>
              <wp:anchor distT="0" distB="0" distL="0" distR="0" allowOverlap="1" layoutInCell="1" locked="0" behindDoc="1" simplePos="0" relativeHeight="487661056">
                <wp:simplePos x="0" y="0"/>
                <wp:positionH relativeFrom="page">
                  <wp:posOffset>4711424</wp:posOffset>
                </wp:positionH>
                <wp:positionV relativeFrom="paragraph">
                  <wp:posOffset>195690</wp:posOffset>
                </wp:positionV>
                <wp:extent cx="82550" cy="76200"/>
                <wp:effectExtent l="0" t="0" r="0" b="0"/>
                <wp:wrapTopAndBottom/>
                <wp:docPr id="1182" name="Graphic 1182"/>
                <wp:cNvGraphicFramePr>
                  <a:graphicFrameLocks/>
                </wp:cNvGraphicFramePr>
                <a:graphic>
                  <a:graphicData uri="http://schemas.microsoft.com/office/word/2010/wordprocessingShape">
                    <wps:wsp>
                      <wps:cNvPr id="1182" name="Graphic 1182"/>
                      <wps:cNvSpPr/>
                      <wps:spPr>
                        <a:xfrm>
                          <a:off x="0" y="0"/>
                          <a:ext cx="82550" cy="76200"/>
                        </a:xfrm>
                        <a:custGeom>
                          <a:avLst/>
                          <a:gdLst/>
                          <a:ahLst/>
                          <a:cxnLst/>
                          <a:rect l="l" t="t" r="r" b="b"/>
                          <a:pathLst>
                            <a:path w="82550" h="76200">
                              <a:moveTo>
                                <a:pt x="82550" y="0"/>
                              </a:moveTo>
                              <a:lnTo>
                                <a:pt x="0" y="0"/>
                              </a:lnTo>
                              <a:lnTo>
                                <a:pt x="0" y="76199"/>
                              </a:lnTo>
                              <a:lnTo>
                                <a:pt x="82550" y="76199"/>
                              </a:lnTo>
                              <a:lnTo>
                                <a:pt x="82550" y="0"/>
                              </a:lnTo>
                              <a:close/>
                            </a:path>
                          </a:pathLst>
                        </a:custGeom>
                        <a:solidFill>
                          <a:srgbClr val="E3C626"/>
                        </a:solidFill>
                      </wps:spPr>
                      <wps:bodyPr wrap="square" lIns="0" tIns="0" rIns="0" bIns="0" rtlCol="0">
                        <a:prstTxWarp prst="textNoShape">
                          <a:avLst/>
                        </a:prstTxWarp>
                        <a:noAutofit/>
                      </wps:bodyPr>
                    </wps:wsp>
                  </a:graphicData>
                </a:graphic>
              </wp:anchor>
            </w:drawing>
          </mc:Choice>
          <mc:Fallback>
            <w:pict>
              <v:rect style="position:absolute;margin-left:370.978302pt;margin-top:15.408728pt;width:6.5pt;height:6.0pt;mso-position-horizontal-relative:page;mso-position-vertical-relative:paragraph;z-index:-15655424;mso-wrap-distance-left:0;mso-wrap-distance-right:0" id="docshape1170" filled="true" fillcolor="#e3c626" stroked="false">
                <v:fill type="solid"/>
                <w10:wrap type="topAndBottom"/>
              </v:rect>
            </w:pict>
          </mc:Fallback>
        </mc:AlternateContent>
      </w:r>
      <w:r>
        <w:rPr/>
        <mc:AlternateContent>
          <mc:Choice Requires="wps">
            <w:drawing>
              <wp:anchor distT="0" distB="0" distL="0" distR="0" allowOverlap="1" layoutInCell="1" locked="0" behindDoc="1" simplePos="0" relativeHeight="487661568">
                <wp:simplePos x="0" y="0"/>
                <wp:positionH relativeFrom="page">
                  <wp:posOffset>5501999</wp:posOffset>
                </wp:positionH>
                <wp:positionV relativeFrom="paragraph">
                  <wp:posOffset>195690</wp:posOffset>
                </wp:positionV>
                <wp:extent cx="82550" cy="76200"/>
                <wp:effectExtent l="0" t="0" r="0" b="0"/>
                <wp:wrapTopAndBottom/>
                <wp:docPr id="1183" name="Graphic 1183"/>
                <wp:cNvGraphicFramePr>
                  <a:graphicFrameLocks/>
                </wp:cNvGraphicFramePr>
                <a:graphic>
                  <a:graphicData uri="http://schemas.microsoft.com/office/word/2010/wordprocessingShape">
                    <wps:wsp>
                      <wps:cNvPr id="1183" name="Graphic 1183"/>
                      <wps:cNvSpPr/>
                      <wps:spPr>
                        <a:xfrm>
                          <a:off x="0" y="0"/>
                          <a:ext cx="82550" cy="76200"/>
                        </a:xfrm>
                        <a:custGeom>
                          <a:avLst/>
                          <a:gdLst/>
                          <a:ahLst/>
                          <a:cxnLst/>
                          <a:rect l="l" t="t" r="r" b="b"/>
                          <a:pathLst>
                            <a:path w="82550" h="76200">
                              <a:moveTo>
                                <a:pt x="82550" y="0"/>
                              </a:moveTo>
                              <a:lnTo>
                                <a:pt x="0" y="0"/>
                              </a:lnTo>
                              <a:lnTo>
                                <a:pt x="0" y="76199"/>
                              </a:lnTo>
                              <a:lnTo>
                                <a:pt x="82550" y="76199"/>
                              </a:lnTo>
                              <a:lnTo>
                                <a:pt x="82550" y="0"/>
                              </a:lnTo>
                              <a:close/>
                            </a:path>
                          </a:pathLst>
                        </a:custGeom>
                        <a:solidFill>
                          <a:srgbClr val="F2E499"/>
                        </a:solidFill>
                      </wps:spPr>
                      <wps:bodyPr wrap="square" lIns="0" tIns="0" rIns="0" bIns="0" rtlCol="0">
                        <a:prstTxWarp prst="textNoShape">
                          <a:avLst/>
                        </a:prstTxWarp>
                        <a:noAutofit/>
                      </wps:bodyPr>
                    </wps:wsp>
                  </a:graphicData>
                </a:graphic>
              </wp:anchor>
            </w:drawing>
          </mc:Choice>
          <mc:Fallback>
            <w:pict>
              <v:rect style="position:absolute;margin-left:433.228302pt;margin-top:15.408728pt;width:6.5pt;height:6.0pt;mso-position-horizontal-relative:page;mso-position-vertical-relative:paragraph;z-index:-15654912;mso-wrap-distance-left:0;mso-wrap-distance-right:0" id="docshape1171" filled="true" fillcolor="#f2e499" stroked="false">
                <v:fill type="solid"/>
                <w10:wrap type="topAndBottom"/>
              </v:rect>
            </w:pict>
          </mc:Fallback>
        </mc:AlternateContent>
      </w:r>
      <w:r>
        <w:rPr/>
        <mc:AlternateContent>
          <mc:Choice Requires="wps">
            <w:drawing>
              <wp:anchor distT="0" distB="0" distL="0" distR="0" allowOverlap="1" layoutInCell="1" locked="0" behindDoc="1" simplePos="0" relativeHeight="487662080">
                <wp:simplePos x="0" y="0"/>
                <wp:positionH relativeFrom="page">
                  <wp:posOffset>1666099</wp:posOffset>
                </wp:positionH>
                <wp:positionV relativeFrom="paragraph">
                  <wp:posOffset>469765</wp:posOffset>
                </wp:positionV>
                <wp:extent cx="4495800" cy="1936750"/>
                <wp:effectExtent l="0" t="0" r="0" b="0"/>
                <wp:wrapTopAndBottom/>
                <wp:docPr id="1184" name="Group 1184"/>
                <wp:cNvGraphicFramePr>
                  <a:graphicFrameLocks/>
                </wp:cNvGraphicFramePr>
                <a:graphic>
                  <a:graphicData uri="http://schemas.microsoft.com/office/word/2010/wordprocessingGroup">
                    <wpg:wgp>
                      <wpg:cNvPr id="1184" name="Group 1184"/>
                      <wpg:cNvGrpSpPr/>
                      <wpg:grpSpPr>
                        <a:xfrm>
                          <a:off x="0" y="0"/>
                          <a:ext cx="4495800" cy="1936750"/>
                          <a:chExt cx="4495800" cy="1936750"/>
                        </a:xfrm>
                      </wpg:grpSpPr>
                      <wps:wsp>
                        <wps:cNvPr id="1185" name="Graphic 1185"/>
                        <wps:cNvSpPr/>
                        <wps:spPr>
                          <a:xfrm>
                            <a:off x="-12" y="1"/>
                            <a:ext cx="4495800" cy="1936750"/>
                          </a:xfrm>
                          <a:custGeom>
                            <a:avLst/>
                            <a:gdLst/>
                            <a:ahLst/>
                            <a:cxnLst/>
                            <a:rect l="l" t="t" r="r" b="b"/>
                            <a:pathLst>
                              <a:path w="4495800" h="1936750">
                                <a:moveTo>
                                  <a:pt x="44450" y="1547685"/>
                                </a:moveTo>
                                <a:lnTo>
                                  <a:pt x="0" y="1547685"/>
                                </a:lnTo>
                                <a:lnTo>
                                  <a:pt x="0" y="1554035"/>
                                </a:lnTo>
                                <a:lnTo>
                                  <a:pt x="44450" y="1554035"/>
                                </a:lnTo>
                                <a:lnTo>
                                  <a:pt x="44450" y="1547685"/>
                                </a:lnTo>
                                <a:close/>
                              </a:path>
                              <a:path w="4495800" h="1936750">
                                <a:moveTo>
                                  <a:pt x="44450" y="1239786"/>
                                </a:moveTo>
                                <a:lnTo>
                                  <a:pt x="0" y="1239786"/>
                                </a:lnTo>
                                <a:lnTo>
                                  <a:pt x="0" y="1246136"/>
                                </a:lnTo>
                                <a:lnTo>
                                  <a:pt x="44450" y="1246136"/>
                                </a:lnTo>
                                <a:lnTo>
                                  <a:pt x="44450" y="1239786"/>
                                </a:lnTo>
                                <a:close/>
                              </a:path>
                              <a:path w="4495800" h="1936750">
                                <a:moveTo>
                                  <a:pt x="44450" y="931887"/>
                                </a:moveTo>
                                <a:lnTo>
                                  <a:pt x="0" y="931887"/>
                                </a:lnTo>
                                <a:lnTo>
                                  <a:pt x="0" y="938237"/>
                                </a:lnTo>
                                <a:lnTo>
                                  <a:pt x="44450" y="938237"/>
                                </a:lnTo>
                                <a:lnTo>
                                  <a:pt x="44450" y="931887"/>
                                </a:lnTo>
                                <a:close/>
                              </a:path>
                              <a:path w="4495800" h="1936750">
                                <a:moveTo>
                                  <a:pt x="44450" y="624001"/>
                                </a:moveTo>
                                <a:lnTo>
                                  <a:pt x="0" y="624001"/>
                                </a:lnTo>
                                <a:lnTo>
                                  <a:pt x="0" y="630351"/>
                                </a:lnTo>
                                <a:lnTo>
                                  <a:pt x="44450" y="630351"/>
                                </a:lnTo>
                                <a:lnTo>
                                  <a:pt x="44450" y="624001"/>
                                </a:lnTo>
                                <a:close/>
                              </a:path>
                              <a:path w="4495800" h="1936750">
                                <a:moveTo>
                                  <a:pt x="44450" y="316103"/>
                                </a:moveTo>
                                <a:lnTo>
                                  <a:pt x="0" y="316103"/>
                                </a:lnTo>
                                <a:lnTo>
                                  <a:pt x="0" y="322453"/>
                                </a:lnTo>
                                <a:lnTo>
                                  <a:pt x="44450" y="322453"/>
                                </a:lnTo>
                                <a:lnTo>
                                  <a:pt x="44450" y="316103"/>
                                </a:lnTo>
                                <a:close/>
                              </a:path>
                              <a:path w="4495800" h="1936750">
                                <a:moveTo>
                                  <a:pt x="44450" y="8204"/>
                                </a:moveTo>
                                <a:lnTo>
                                  <a:pt x="0" y="8204"/>
                                </a:lnTo>
                                <a:lnTo>
                                  <a:pt x="0" y="14554"/>
                                </a:lnTo>
                                <a:lnTo>
                                  <a:pt x="44450" y="14554"/>
                                </a:lnTo>
                                <a:lnTo>
                                  <a:pt x="44450" y="8204"/>
                                </a:lnTo>
                                <a:close/>
                              </a:path>
                              <a:path w="4495800" h="1936750">
                                <a:moveTo>
                                  <a:pt x="4495800" y="1860550"/>
                                </a:moveTo>
                                <a:lnTo>
                                  <a:pt x="4489450" y="1860550"/>
                                </a:lnTo>
                                <a:lnTo>
                                  <a:pt x="4489450" y="1855584"/>
                                </a:lnTo>
                                <a:lnTo>
                                  <a:pt x="53975" y="1855584"/>
                                </a:lnTo>
                                <a:lnTo>
                                  <a:pt x="53975" y="0"/>
                                </a:lnTo>
                                <a:lnTo>
                                  <a:pt x="47625" y="0"/>
                                </a:lnTo>
                                <a:lnTo>
                                  <a:pt x="47625" y="1855584"/>
                                </a:lnTo>
                                <a:lnTo>
                                  <a:pt x="0" y="1855584"/>
                                </a:lnTo>
                                <a:lnTo>
                                  <a:pt x="0" y="1861934"/>
                                </a:lnTo>
                                <a:lnTo>
                                  <a:pt x="47625" y="1861934"/>
                                </a:lnTo>
                                <a:lnTo>
                                  <a:pt x="47625" y="1936750"/>
                                </a:lnTo>
                                <a:lnTo>
                                  <a:pt x="53975" y="1936750"/>
                                </a:lnTo>
                                <a:lnTo>
                                  <a:pt x="53975" y="1861934"/>
                                </a:lnTo>
                                <a:lnTo>
                                  <a:pt x="1517650" y="1861934"/>
                                </a:lnTo>
                                <a:lnTo>
                                  <a:pt x="1517650" y="1936750"/>
                                </a:lnTo>
                                <a:lnTo>
                                  <a:pt x="1524000" y="1936750"/>
                                </a:lnTo>
                                <a:lnTo>
                                  <a:pt x="1524000" y="1861934"/>
                                </a:lnTo>
                                <a:lnTo>
                                  <a:pt x="3009900" y="1861934"/>
                                </a:lnTo>
                                <a:lnTo>
                                  <a:pt x="3009900" y="1936750"/>
                                </a:lnTo>
                                <a:lnTo>
                                  <a:pt x="3016250" y="1936750"/>
                                </a:lnTo>
                                <a:lnTo>
                                  <a:pt x="3016250" y="1861934"/>
                                </a:lnTo>
                                <a:lnTo>
                                  <a:pt x="4489450" y="1861934"/>
                                </a:lnTo>
                                <a:lnTo>
                                  <a:pt x="4489450" y="1936750"/>
                                </a:lnTo>
                                <a:lnTo>
                                  <a:pt x="4495800" y="1936750"/>
                                </a:lnTo>
                                <a:lnTo>
                                  <a:pt x="4495800" y="1860550"/>
                                </a:lnTo>
                                <a:close/>
                              </a:path>
                            </a:pathLst>
                          </a:custGeom>
                          <a:solidFill>
                            <a:srgbClr val="000000"/>
                          </a:solidFill>
                        </wps:spPr>
                        <wps:bodyPr wrap="square" lIns="0" tIns="0" rIns="0" bIns="0" rtlCol="0">
                          <a:prstTxWarp prst="textNoShape">
                            <a:avLst/>
                          </a:prstTxWarp>
                          <a:noAutofit/>
                        </wps:bodyPr>
                      </wps:wsp>
                      <wps:wsp>
                        <wps:cNvPr id="1186" name="Graphic 1186"/>
                        <wps:cNvSpPr/>
                        <wps:spPr>
                          <a:xfrm>
                            <a:off x="552017" y="314036"/>
                            <a:ext cx="457200" cy="94615"/>
                          </a:xfrm>
                          <a:custGeom>
                            <a:avLst/>
                            <a:gdLst/>
                            <a:ahLst/>
                            <a:cxnLst/>
                            <a:rect l="l" t="t" r="r" b="b"/>
                            <a:pathLst>
                              <a:path w="457200" h="94615">
                                <a:moveTo>
                                  <a:pt x="457200" y="0"/>
                                </a:moveTo>
                                <a:lnTo>
                                  <a:pt x="0" y="0"/>
                                </a:lnTo>
                                <a:lnTo>
                                  <a:pt x="0" y="94268"/>
                                </a:lnTo>
                                <a:lnTo>
                                  <a:pt x="457200" y="94268"/>
                                </a:lnTo>
                                <a:lnTo>
                                  <a:pt x="457200" y="0"/>
                                </a:lnTo>
                                <a:close/>
                              </a:path>
                            </a:pathLst>
                          </a:custGeom>
                          <a:solidFill>
                            <a:srgbClr val="2E614A"/>
                          </a:solidFill>
                        </wps:spPr>
                        <wps:bodyPr wrap="square" lIns="0" tIns="0" rIns="0" bIns="0" rtlCol="0">
                          <a:prstTxWarp prst="textNoShape">
                            <a:avLst/>
                          </a:prstTxWarp>
                          <a:noAutofit/>
                        </wps:bodyPr>
                      </wps:wsp>
                      <wps:wsp>
                        <wps:cNvPr id="1187" name="Graphic 1187"/>
                        <wps:cNvSpPr/>
                        <wps:spPr>
                          <a:xfrm>
                            <a:off x="552017" y="406400"/>
                            <a:ext cx="457200" cy="34290"/>
                          </a:xfrm>
                          <a:custGeom>
                            <a:avLst/>
                            <a:gdLst/>
                            <a:ahLst/>
                            <a:cxnLst/>
                            <a:rect l="l" t="t" r="r" b="b"/>
                            <a:pathLst>
                              <a:path w="457200" h="34290">
                                <a:moveTo>
                                  <a:pt x="457200" y="0"/>
                                </a:moveTo>
                                <a:lnTo>
                                  <a:pt x="0" y="0"/>
                                </a:lnTo>
                                <a:lnTo>
                                  <a:pt x="0" y="33770"/>
                                </a:lnTo>
                                <a:lnTo>
                                  <a:pt x="457200" y="33770"/>
                                </a:lnTo>
                                <a:lnTo>
                                  <a:pt x="457200" y="0"/>
                                </a:lnTo>
                                <a:close/>
                              </a:path>
                            </a:pathLst>
                          </a:custGeom>
                          <a:solidFill>
                            <a:srgbClr val="9CBF3B"/>
                          </a:solidFill>
                        </wps:spPr>
                        <wps:bodyPr wrap="square" lIns="0" tIns="0" rIns="0" bIns="0" rtlCol="0">
                          <a:prstTxWarp prst="textNoShape">
                            <a:avLst/>
                          </a:prstTxWarp>
                          <a:noAutofit/>
                        </wps:bodyPr>
                      </wps:wsp>
                      <wps:wsp>
                        <wps:cNvPr id="1188" name="Graphic 1188"/>
                        <wps:cNvSpPr/>
                        <wps:spPr>
                          <a:xfrm>
                            <a:off x="552017" y="440170"/>
                            <a:ext cx="457200" cy="709295"/>
                          </a:xfrm>
                          <a:custGeom>
                            <a:avLst/>
                            <a:gdLst/>
                            <a:ahLst/>
                            <a:cxnLst/>
                            <a:rect l="l" t="t" r="r" b="b"/>
                            <a:pathLst>
                              <a:path w="457200" h="709295">
                                <a:moveTo>
                                  <a:pt x="0" y="709179"/>
                                </a:moveTo>
                                <a:lnTo>
                                  <a:pt x="457200" y="709179"/>
                                </a:lnTo>
                                <a:lnTo>
                                  <a:pt x="457200" y="0"/>
                                </a:lnTo>
                                <a:lnTo>
                                  <a:pt x="0" y="0"/>
                                </a:lnTo>
                                <a:lnTo>
                                  <a:pt x="0" y="709179"/>
                                </a:lnTo>
                                <a:close/>
                              </a:path>
                            </a:pathLst>
                          </a:custGeom>
                          <a:solidFill>
                            <a:srgbClr val="E3C626"/>
                          </a:solidFill>
                        </wps:spPr>
                        <wps:bodyPr wrap="square" lIns="0" tIns="0" rIns="0" bIns="0" rtlCol="0">
                          <a:prstTxWarp prst="textNoShape">
                            <a:avLst/>
                          </a:prstTxWarp>
                          <a:noAutofit/>
                        </wps:bodyPr>
                      </wps:wsp>
                      <wps:wsp>
                        <wps:cNvPr id="1189" name="Graphic 1189"/>
                        <wps:cNvSpPr/>
                        <wps:spPr>
                          <a:xfrm>
                            <a:off x="552017" y="1149350"/>
                            <a:ext cx="457200" cy="706755"/>
                          </a:xfrm>
                          <a:custGeom>
                            <a:avLst/>
                            <a:gdLst/>
                            <a:ahLst/>
                            <a:cxnLst/>
                            <a:rect l="l" t="t" r="r" b="b"/>
                            <a:pathLst>
                              <a:path w="457200" h="706755">
                                <a:moveTo>
                                  <a:pt x="457200" y="0"/>
                                </a:moveTo>
                                <a:lnTo>
                                  <a:pt x="0" y="0"/>
                                </a:lnTo>
                                <a:lnTo>
                                  <a:pt x="0" y="706581"/>
                                </a:lnTo>
                                <a:lnTo>
                                  <a:pt x="457200" y="706581"/>
                                </a:lnTo>
                                <a:lnTo>
                                  <a:pt x="457200" y="0"/>
                                </a:lnTo>
                                <a:close/>
                              </a:path>
                            </a:pathLst>
                          </a:custGeom>
                          <a:solidFill>
                            <a:srgbClr val="F2E499"/>
                          </a:solidFill>
                        </wps:spPr>
                        <wps:bodyPr wrap="square" lIns="0" tIns="0" rIns="0" bIns="0" rtlCol="0">
                          <a:prstTxWarp prst="textNoShape">
                            <a:avLst/>
                          </a:prstTxWarp>
                          <a:noAutofit/>
                        </wps:bodyPr>
                      </wps:wsp>
                      <wps:wsp>
                        <wps:cNvPr id="1190" name="Graphic 1190"/>
                        <wps:cNvSpPr/>
                        <wps:spPr>
                          <a:xfrm>
                            <a:off x="2032900" y="314036"/>
                            <a:ext cx="457200" cy="338455"/>
                          </a:xfrm>
                          <a:custGeom>
                            <a:avLst/>
                            <a:gdLst/>
                            <a:ahLst/>
                            <a:cxnLst/>
                            <a:rect l="l" t="t" r="r" b="b"/>
                            <a:pathLst>
                              <a:path w="457200" h="338455">
                                <a:moveTo>
                                  <a:pt x="457200" y="0"/>
                                </a:moveTo>
                                <a:lnTo>
                                  <a:pt x="0" y="0"/>
                                </a:lnTo>
                                <a:lnTo>
                                  <a:pt x="0" y="338312"/>
                                </a:lnTo>
                                <a:lnTo>
                                  <a:pt x="457200" y="338312"/>
                                </a:lnTo>
                                <a:lnTo>
                                  <a:pt x="457200" y="0"/>
                                </a:lnTo>
                                <a:close/>
                              </a:path>
                            </a:pathLst>
                          </a:custGeom>
                          <a:solidFill>
                            <a:srgbClr val="2E614A"/>
                          </a:solidFill>
                        </wps:spPr>
                        <wps:bodyPr wrap="square" lIns="0" tIns="0" rIns="0" bIns="0" rtlCol="0">
                          <a:prstTxWarp prst="textNoShape">
                            <a:avLst/>
                          </a:prstTxWarp>
                          <a:noAutofit/>
                        </wps:bodyPr>
                      </wps:wsp>
                      <wps:wsp>
                        <wps:cNvPr id="1191" name="Graphic 1191"/>
                        <wps:cNvSpPr/>
                        <wps:spPr>
                          <a:xfrm>
                            <a:off x="2032900" y="649287"/>
                            <a:ext cx="457200" cy="88900"/>
                          </a:xfrm>
                          <a:custGeom>
                            <a:avLst/>
                            <a:gdLst/>
                            <a:ahLst/>
                            <a:cxnLst/>
                            <a:rect l="l" t="t" r="r" b="b"/>
                            <a:pathLst>
                              <a:path w="457200" h="88900">
                                <a:moveTo>
                                  <a:pt x="0" y="88786"/>
                                </a:moveTo>
                                <a:lnTo>
                                  <a:pt x="457200" y="88786"/>
                                </a:lnTo>
                                <a:lnTo>
                                  <a:pt x="457200" y="0"/>
                                </a:lnTo>
                                <a:lnTo>
                                  <a:pt x="0" y="0"/>
                                </a:lnTo>
                                <a:lnTo>
                                  <a:pt x="0" y="88786"/>
                                </a:lnTo>
                                <a:close/>
                              </a:path>
                            </a:pathLst>
                          </a:custGeom>
                          <a:solidFill>
                            <a:srgbClr val="9CBF3B"/>
                          </a:solidFill>
                        </wps:spPr>
                        <wps:bodyPr wrap="square" lIns="0" tIns="0" rIns="0" bIns="0" rtlCol="0">
                          <a:prstTxWarp prst="textNoShape">
                            <a:avLst/>
                          </a:prstTxWarp>
                          <a:noAutofit/>
                        </wps:bodyPr>
                      </wps:wsp>
                      <wps:wsp>
                        <wps:cNvPr id="1192" name="Graphic 1192"/>
                        <wps:cNvSpPr/>
                        <wps:spPr>
                          <a:xfrm>
                            <a:off x="2032900" y="738074"/>
                            <a:ext cx="457200" cy="457834"/>
                          </a:xfrm>
                          <a:custGeom>
                            <a:avLst/>
                            <a:gdLst/>
                            <a:ahLst/>
                            <a:cxnLst/>
                            <a:rect l="l" t="t" r="r" b="b"/>
                            <a:pathLst>
                              <a:path w="457200" h="457834">
                                <a:moveTo>
                                  <a:pt x="0" y="457730"/>
                                </a:moveTo>
                                <a:lnTo>
                                  <a:pt x="457200" y="457730"/>
                                </a:lnTo>
                                <a:lnTo>
                                  <a:pt x="457200" y="0"/>
                                </a:lnTo>
                                <a:lnTo>
                                  <a:pt x="0" y="0"/>
                                </a:lnTo>
                                <a:lnTo>
                                  <a:pt x="0" y="457730"/>
                                </a:lnTo>
                                <a:close/>
                              </a:path>
                            </a:pathLst>
                          </a:custGeom>
                          <a:solidFill>
                            <a:srgbClr val="E3C626"/>
                          </a:solidFill>
                        </wps:spPr>
                        <wps:bodyPr wrap="square" lIns="0" tIns="0" rIns="0" bIns="0" rtlCol="0">
                          <a:prstTxWarp prst="textNoShape">
                            <a:avLst/>
                          </a:prstTxWarp>
                          <a:noAutofit/>
                        </wps:bodyPr>
                      </wps:wsp>
                      <wps:wsp>
                        <wps:cNvPr id="1193" name="Graphic 1193"/>
                        <wps:cNvSpPr/>
                        <wps:spPr>
                          <a:xfrm>
                            <a:off x="2032900" y="1195804"/>
                            <a:ext cx="457200" cy="660400"/>
                          </a:xfrm>
                          <a:custGeom>
                            <a:avLst/>
                            <a:gdLst/>
                            <a:ahLst/>
                            <a:cxnLst/>
                            <a:rect l="l" t="t" r="r" b="b"/>
                            <a:pathLst>
                              <a:path w="457200" h="660400">
                                <a:moveTo>
                                  <a:pt x="457200" y="0"/>
                                </a:moveTo>
                                <a:lnTo>
                                  <a:pt x="0" y="0"/>
                                </a:lnTo>
                                <a:lnTo>
                                  <a:pt x="0" y="660127"/>
                                </a:lnTo>
                                <a:lnTo>
                                  <a:pt x="457200" y="660127"/>
                                </a:lnTo>
                                <a:lnTo>
                                  <a:pt x="457200" y="0"/>
                                </a:lnTo>
                                <a:close/>
                              </a:path>
                            </a:pathLst>
                          </a:custGeom>
                          <a:solidFill>
                            <a:srgbClr val="F2E499"/>
                          </a:solidFill>
                        </wps:spPr>
                        <wps:bodyPr wrap="square" lIns="0" tIns="0" rIns="0" bIns="0" rtlCol="0">
                          <a:prstTxWarp prst="textNoShape">
                            <a:avLst/>
                          </a:prstTxWarp>
                          <a:noAutofit/>
                        </wps:bodyPr>
                      </wps:wsp>
                      <wps:wsp>
                        <wps:cNvPr id="1194" name="Graphic 1194"/>
                        <wps:cNvSpPr/>
                        <wps:spPr>
                          <a:xfrm>
                            <a:off x="3522262" y="314036"/>
                            <a:ext cx="457200" cy="506095"/>
                          </a:xfrm>
                          <a:custGeom>
                            <a:avLst/>
                            <a:gdLst/>
                            <a:ahLst/>
                            <a:cxnLst/>
                            <a:rect l="l" t="t" r="r" b="b"/>
                            <a:pathLst>
                              <a:path w="457200" h="506095">
                                <a:moveTo>
                                  <a:pt x="457200" y="0"/>
                                </a:moveTo>
                                <a:lnTo>
                                  <a:pt x="0" y="0"/>
                                </a:lnTo>
                                <a:lnTo>
                                  <a:pt x="0" y="505907"/>
                                </a:lnTo>
                                <a:lnTo>
                                  <a:pt x="457200" y="505907"/>
                                </a:lnTo>
                                <a:lnTo>
                                  <a:pt x="457200" y="0"/>
                                </a:lnTo>
                                <a:close/>
                              </a:path>
                            </a:pathLst>
                          </a:custGeom>
                          <a:solidFill>
                            <a:srgbClr val="2E614A"/>
                          </a:solidFill>
                        </wps:spPr>
                        <wps:bodyPr wrap="square" lIns="0" tIns="0" rIns="0" bIns="0" rtlCol="0">
                          <a:prstTxWarp prst="textNoShape">
                            <a:avLst/>
                          </a:prstTxWarp>
                          <a:noAutofit/>
                        </wps:bodyPr>
                      </wps:wsp>
                      <wps:wsp>
                        <wps:cNvPr id="1195" name="Graphic 1195"/>
                        <wps:cNvSpPr/>
                        <wps:spPr>
                          <a:xfrm>
                            <a:off x="3522262" y="815975"/>
                            <a:ext cx="457200" cy="443230"/>
                          </a:xfrm>
                          <a:custGeom>
                            <a:avLst/>
                            <a:gdLst/>
                            <a:ahLst/>
                            <a:cxnLst/>
                            <a:rect l="l" t="t" r="r" b="b"/>
                            <a:pathLst>
                              <a:path w="457200" h="443230">
                                <a:moveTo>
                                  <a:pt x="0" y="442912"/>
                                </a:moveTo>
                                <a:lnTo>
                                  <a:pt x="457200" y="442912"/>
                                </a:lnTo>
                                <a:lnTo>
                                  <a:pt x="457200" y="0"/>
                                </a:lnTo>
                                <a:lnTo>
                                  <a:pt x="0" y="0"/>
                                </a:lnTo>
                                <a:lnTo>
                                  <a:pt x="0" y="442912"/>
                                </a:lnTo>
                                <a:close/>
                              </a:path>
                            </a:pathLst>
                          </a:custGeom>
                          <a:solidFill>
                            <a:srgbClr val="9CBF3B"/>
                          </a:solidFill>
                        </wps:spPr>
                        <wps:bodyPr wrap="square" lIns="0" tIns="0" rIns="0" bIns="0" rtlCol="0">
                          <a:prstTxWarp prst="textNoShape">
                            <a:avLst/>
                          </a:prstTxWarp>
                          <a:noAutofit/>
                        </wps:bodyPr>
                      </wps:wsp>
                      <wps:wsp>
                        <wps:cNvPr id="1196" name="Graphic 1196"/>
                        <wps:cNvSpPr/>
                        <wps:spPr>
                          <a:xfrm>
                            <a:off x="3522262" y="1258887"/>
                            <a:ext cx="457200" cy="90805"/>
                          </a:xfrm>
                          <a:custGeom>
                            <a:avLst/>
                            <a:gdLst/>
                            <a:ahLst/>
                            <a:cxnLst/>
                            <a:rect l="l" t="t" r="r" b="b"/>
                            <a:pathLst>
                              <a:path w="457200" h="90805">
                                <a:moveTo>
                                  <a:pt x="0" y="90487"/>
                                </a:moveTo>
                                <a:lnTo>
                                  <a:pt x="457200" y="90487"/>
                                </a:lnTo>
                                <a:lnTo>
                                  <a:pt x="457200" y="0"/>
                                </a:lnTo>
                                <a:lnTo>
                                  <a:pt x="0" y="0"/>
                                </a:lnTo>
                                <a:lnTo>
                                  <a:pt x="0" y="90487"/>
                                </a:lnTo>
                                <a:close/>
                              </a:path>
                            </a:pathLst>
                          </a:custGeom>
                          <a:solidFill>
                            <a:srgbClr val="E3C626"/>
                          </a:solidFill>
                        </wps:spPr>
                        <wps:bodyPr wrap="square" lIns="0" tIns="0" rIns="0" bIns="0" rtlCol="0">
                          <a:prstTxWarp prst="textNoShape">
                            <a:avLst/>
                          </a:prstTxWarp>
                          <a:noAutofit/>
                        </wps:bodyPr>
                      </wps:wsp>
                      <wps:wsp>
                        <wps:cNvPr id="1197" name="Graphic 1197"/>
                        <wps:cNvSpPr/>
                        <wps:spPr>
                          <a:xfrm>
                            <a:off x="3522262" y="1349375"/>
                            <a:ext cx="457200" cy="506730"/>
                          </a:xfrm>
                          <a:custGeom>
                            <a:avLst/>
                            <a:gdLst/>
                            <a:ahLst/>
                            <a:cxnLst/>
                            <a:rect l="l" t="t" r="r" b="b"/>
                            <a:pathLst>
                              <a:path w="457200" h="506730">
                                <a:moveTo>
                                  <a:pt x="457200" y="0"/>
                                </a:moveTo>
                                <a:lnTo>
                                  <a:pt x="0" y="0"/>
                                </a:lnTo>
                                <a:lnTo>
                                  <a:pt x="0" y="506556"/>
                                </a:lnTo>
                                <a:lnTo>
                                  <a:pt x="457200" y="506556"/>
                                </a:lnTo>
                                <a:lnTo>
                                  <a:pt x="457200" y="0"/>
                                </a:lnTo>
                                <a:close/>
                              </a:path>
                            </a:pathLst>
                          </a:custGeom>
                          <a:solidFill>
                            <a:srgbClr val="F2E499"/>
                          </a:solidFill>
                        </wps:spPr>
                        <wps:bodyPr wrap="square" lIns="0" tIns="0" rIns="0" bIns="0" rtlCol="0">
                          <a:prstTxWarp prst="textNoShape">
                            <a:avLst/>
                          </a:prstTxWarp>
                          <a:noAutofit/>
                        </wps:bodyPr>
                      </wps:wsp>
                    </wpg:wgp>
                  </a:graphicData>
                </a:graphic>
              </wp:anchor>
            </w:drawing>
          </mc:Choice>
          <mc:Fallback>
            <w:pict>
              <v:group style="position:absolute;margin-left:131.188965pt;margin-top:36.989449pt;width:354pt;height:152.5pt;mso-position-horizontal-relative:page;mso-position-vertical-relative:paragraph;z-index:-15654400;mso-wrap-distance-left:0;mso-wrap-distance-right:0" id="docshapegroup1172" coordorigin="2624,740" coordsize="7080,3050">
                <v:shape style="position:absolute;left:2623;top:739;width:7080;height:3050" id="docshape1173" coordorigin="2624,740" coordsize="7080,3050" path="m2694,3177l2624,3177,2624,3187,2694,3187,2694,3177xm2694,2692l2624,2692,2624,2702,2694,2702,2694,2692xm2694,2207l2624,2207,2624,2217,2694,2217,2694,2207xm2694,1722l2624,1722,2624,1732,2694,1732,2694,1722xm2694,1238l2624,1238,2624,1248,2694,1248,2694,1238xm2694,753l2624,753,2624,763,2694,763,2694,753xm9704,3670l9694,3670,9694,3662,2709,3662,2709,740,2699,740,2699,3662,2624,3662,2624,3672,2699,3672,2699,3790,2709,3790,2709,3672,5014,3672,5014,3790,5024,3790,5024,3672,7364,3672,7364,3790,7374,3790,7374,3672,9694,3672,9694,3790,9704,3790,9704,3670xe" filled="true" fillcolor="#000000" stroked="false">
                  <v:path arrowok="t"/>
                  <v:fill type="solid"/>
                </v:shape>
                <v:rect style="position:absolute;left:3493;top:1234;width:720;height:149" id="docshape1174" filled="true" fillcolor="#2e614a" stroked="false">
                  <v:fill type="solid"/>
                </v:rect>
                <v:rect style="position:absolute;left:3493;top:1379;width:720;height:54" id="docshape1175" filled="true" fillcolor="#9cbf3b" stroked="false">
                  <v:fill type="solid"/>
                </v:rect>
                <v:rect style="position:absolute;left:3493;top:1432;width:720;height:1117" id="docshape1176" filled="true" fillcolor="#e3c626" stroked="false">
                  <v:fill type="solid"/>
                </v:rect>
                <v:rect style="position:absolute;left:3493;top:2549;width:720;height:1113" id="docshape1177" filled="true" fillcolor="#f2e499" stroked="false">
                  <v:fill type="solid"/>
                </v:rect>
                <v:rect style="position:absolute;left:5825;top:1234;width:720;height:533" id="docshape1178" filled="true" fillcolor="#2e614a" stroked="false">
                  <v:fill type="solid"/>
                </v:rect>
                <v:rect style="position:absolute;left:5825;top:1762;width:720;height:140" id="docshape1179" filled="true" fillcolor="#9cbf3b" stroked="false">
                  <v:fill type="solid"/>
                </v:rect>
                <v:rect style="position:absolute;left:5825;top:1902;width:720;height:721" id="docshape1180" filled="true" fillcolor="#e3c626" stroked="false">
                  <v:fill type="solid"/>
                </v:rect>
                <v:rect style="position:absolute;left:5825;top:2622;width:720;height:1040" id="docshape1181" filled="true" fillcolor="#f2e499" stroked="false">
                  <v:fill type="solid"/>
                </v:rect>
                <v:rect style="position:absolute;left:8170;top:1234;width:720;height:797" id="docshape1182" filled="true" fillcolor="#2e614a" stroked="false">
                  <v:fill type="solid"/>
                </v:rect>
                <v:rect style="position:absolute;left:8170;top:2024;width:720;height:698" id="docshape1183" filled="true" fillcolor="#9cbf3b" stroked="false">
                  <v:fill type="solid"/>
                </v:rect>
                <v:rect style="position:absolute;left:8170;top:2722;width:720;height:143" id="docshape1184" filled="true" fillcolor="#e3c626" stroked="false">
                  <v:fill type="solid"/>
                </v:rect>
                <v:rect style="position:absolute;left:8170;top:2864;width:720;height:798" id="docshape1185" filled="true" fillcolor="#f2e499" stroked="false">
                  <v:fill type="solid"/>
                </v:rect>
                <w10:wrap type="topAndBottom"/>
              </v:group>
            </w:pict>
          </mc:Fallback>
        </mc:AlternateContent>
      </w:r>
    </w:p>
    <w:p>
      <w:pPr>
        <w:pStyle w:val="BodyText"/>
        <w:spacing w:before="57"/>
        <w:rPr>
          <w:b/>
          <w:sz w:val="20"/>
        </w:rPr>
      </w:pPr>
    </w:p>
    <w:p>
      <w:pPr>
        <w:pStyle w:val="BodyText"/>
        <w:rPr>
          <w:b/>
          <w:sz w:val="16"/>
        </w:rPr>
      </w:pPr>
    </w:p>
    <w:p>
      <w:pPr>
        <w:pStyle w:val="BodyText"/>
        <w:spacing w:before="81"/>
        <w:rPr>
          <w:b/>
          <w:sz w:val="16"/>
        </w:rPr>
      </w:pPr>
    </w:p>
    <w:p>
      <w:pPr>
        <w:spacing w:before="0"/>
        <w:ind w:left="2018" w:right="0" w:firstLine="0"/>
        <w:jc w:val="left"/>
        <w:rPr>
          <w:sz w:val="16"/>
        </w:rPr>
      </w:pPr>
      <w:r>
        <w:rPr/>
        <mc:AlternateContent>
          <mc:Choice Requires="wps">
            <w:drawing>
              <wp:anchor distT="0" distB="0" distL="0" distR="0" allowOverlap="1" layoutInCell="1" locked="0" behindDoc="0" simplePos="0" relativeHeight="15804416">
                <wp:simplePos x="0" y="0"/>
                <wp:positionH relativeFrom="page">
                  <wp:posOffset>1331364</wp:posOffset>
                </wp:positionH>
                <wp:positionV relativeFrom="paragraph">
                  <wp:posOffset>-1429507</wp:posOffset>
                </wp:positionV>
                <wp:extent cx="127635" cy="224154"/>
                <wp:effectExtent l="0" t="0" r="0" b="0"/>
                <wp:wrapNone/>
                <wp:docPr id="1198" name="Textbox 1198"/>
                <wp:cNvGraphicFramePr>
                  <a:graphicFrameLocks/>
                </wp:cNvGraphicFramePr>
                <a:graphic>
                  <a:graphicData uri="http://schemas.microsoft.com/office/word/2010/wordprocessingShape">
                    <wps:wsp>
                      <wps:cNvPr id="1198" name="Textbox 1198"/>
                      <wps:cNvSpPr txBox="1"/>
                      <wps:spPr>
                        <a:xfrm>
                          <a:off x="0" y="0"/>
                          <a:ext cx="127635" cy="224154"/>
                        </a:xfrm>
                        <a:prstGeom prst="rect">
                          <a:avLst/>
                        </a:prstGeom>
                      </wps:spPr>
                      <wps:txbx>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wps:txbx>
                      <wps:bodyPr wrap="square" lIns="0" tIns="0" rIns="0" bIns="0" rtlCol="0" vert="vert270">
                        <a:noAutofit/>
                      </wps:bodyPr>
                    </wps:wsp>
                  </a:graphicData>
                </a:graphic>
              </wp:anchor>
            </w:drawing>
          </mc:Choice>
          <mc:Fallback>
            <w:pict>
              <v:shape style="position:absolute;margin-left:104.831825pt;margin-top:-112.559647pt;width:10.050pt;height:17.650pt;mso-position-horizontal-relative:page;mso-position-vertical-relative:paragraph;z-index:15804416" type="#_x0000_t202" id="docshape1186"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v:textbox>
                <w10:wrap type="none"/>
              </v:shape>
            </w:pict>
          </mc:Fallback>
        </mc:AlternateContent>
      </w:r>
      <w:r>
        <w:rPr>
          <w:i/>
          <w:spacing w:val="-6"/>
          <w:sz w:val="16"/>
        </w:rPr>
        <w:t>Source:</w:t>
      </w:r>
      <w:r>
        <w:rPr>
          <w:i/>
          <w:spacing w:val="8"/>
          <w:sz w:val="16"/>
        </w:rPr>
        <w:t> </w:t>
      </w:r>
      <w:r>
        <w:rPr>
          <w:spacing w:val="-6"/>
          <w:sz w:val="16"/>
        </w:rPr>
        <w:t>National</w:t>
      </w:r>
      <w:r>
        <w:rPr>
          <w:spacing w:val="8"/>
          <w:sz w:val="16"/>
        </w:rPr>
        <w:t> </w:t>
      </w:r>
      <w:r>
        <w:rPr>
          <w:spacing w:val="-6"/>
          <w:sz w:val="16"/>
        </w:rPr>
        <w:t>Level</w:t>
      </w:r>
      <w:r>
        <w:rPr>
          <w:spacing w:val="8"/>
          <w:sz w:val="16"/>
        </w:rPr>
        <w:t> </w:t>
      </w:r>
      <w:r>
        <w:rPr>
          <w:spacing w:val="-6"/>
          <w:sz w:val="16"/>
        </w:rPr>
        <w:t>Statistics</w:t>
      </w:r>
      <w:r>
        <w:rPr>
          <w:spacing w:val="9"/>
          <w:sz w:val="16"/>
        </w:rPr>
        <w:t> </w:t>
      </w:r>
      <w:r>
        <w:rPr>
          <w:spacing w:val="-6"/>
          <w:sz w:val="16"/>
        </w:rPr>
        <w:t>2005-06,</w:t>
      </w:r>
      <w:r>
        <w:rPr>
          <w:spacing w:val="8"/>
          <w:sz w:val="16"/>
        </w:rPr>
        <w:t> </w:t>
      </w:r>
      <w:r>
        <w:rPr>
          <w:spacing w:val="-6"/>
          <w:sz w:val="16"/>
        </w:rPr>
        <w:t>MHRD</w:t>
      </w:r>
    </w:p>
    <w:p>
      <w:pPr>
        <w:spacing w:after="0"/>
        <w:jc w:val="left"/>
        <w:rPr>
          <w:sz w:val="16"/>
        </w:rPr>
        <w:sectPr>
          <w:type w:val="continuous"/>
          <w:pgSz w:w="11910" w:h="16840"/>
          <w:pgMar w:header="0" w:footer="675" w:top="1920" w:bottom="280" w:left="0" w:right="0"/>
        </w:sectPr>
      </w:pPr>
    </w:p>
    <w:p>
      <w:pPr>
        <w:pStyle w:val="Heading8"/>
        <w:spacing w:before="73"/>
        <w:ind w:left="2011"/>
      </w:pPr>
      <w:r>
        <w:rPr/>
        <mc:AlternateContent>
          <mc:Choice Requires="wps">
            <w:drawing>
              <wp:anchor distT="0" distB="0" distL="0" distR="0" allowOverlap="1" layoutInCell="1" locked="0" behindDoc="1" simplePos="0" relativeHeight="479382528">
                <wp:simplePos x="0" y="0"/>
                <wp:positionH relativeFrom="page">
                  <wp:posOffset>1280562</wp:posOffset>
                </wp:positionH>
                <wp:positionV relativeFrom="paragraph">
                  <wp:posOffset>284479</wp:posOffset>
                </wp:positionV>
                <wp:extent cx="5039360" cy="2109470"/>
                <wp:effectExtent l="0" t="0" r="0" b="0"/>
                <wp:wrapNone/>
                <wp:docPr id="1199" name="Group 1199"/>
                <wp:cNvGraphicFramePr>
                  <a:graphicFrameLocks/>
                </wp:cNvGraphicFramePr>
                <a:graphic>
                  <a:graphicData uri="http://schemas.microsoft.com/office/word/2010/wordprocessingGroup">
                    <wpg:wgp>
                      <wpg:cNvPr id="1199" name="Group 1199"/>
                      <wpg:cNvGrpSpPr/>
                      <wpg:grpSpPr>
                        <a:xfrm>
                          <a:off x="0" y="0"/>
                          <a:ext cx="5039360" cy="2109470"/>
                          <a:chExt cx="5039360" cy="2109470"/>
                        </a:xfrm>
                      </wpg:grpSpPr>
                      <wps:wsp>
                        <wps:cNvPr id="1200" name="Graphic 1200"/>
                        <wps:cNvSpPr/>
                        <wps:spPr>
                          <a:xfrm>
                            <a:off x="-8" y="0"/>
                            <a:ext cx="5039360" cy="2109470"/>
                          </a:xfrm>
                          <a:custGeom>
                            <a:avLst/>
                            <a:gdLst/>
                            <a:ahLst/>
                            <a:cxnLst/>
                            <a:rect l="l" t="t" r="r" b="b"/>
                            <a:pathLst>
                              <a:path w="5039360" h="2109470">
                                <a:moveTo>
                                  <a:pt x="5039055" y="0"/>
                                </a:moveTo>
                                <a:lnTo>
                                  <a:pt x="5032705" y="0"/>
                                </a:lnTo>
                                <a:lnTo>
                                  <a:pt x="5032705" y="6413"/>
                                </a:lnTo>
                                <a:lnTo>
                                  <a:pt x="5032705" y="2102916"/>
                                </a:lnTo>
                                <a:lnTo>
                                  <a:pt x="6350" y="2102916"/>
                                </a:lnTo>
                                <a:lnTo>
                                  <a:pt x="6350" y="6413"/>
                                </a:lnTo>
                                <a:lnTo>
                                  <a:pt x="5032705" y="6413"/>
                                </a:lnTo>
                                <a:lnTo>
                                  <a:pt x="5032705" y="0"/>
                                </a:lnTo>
                                <a:lnTo>
                                  <a:pt x="0" y="0"/>
                                </a:lnTo>
                                <a:lnTo>
                                  <a:pt x="0" y="3810"/>
                                </a:lnTo>
                                <a:lnTo>
                                  <a:pt x="0" y="6350"/>
                                </a:lnTo>
                                <a:lnTo>
                                  <a:pt x="0" y="2103120"/>
                                </a:lnTo>
                                <a:lnTo>
                                  <a:pt x="0" y="2105660"/>
                                </a:lnTo>
                                <a:lnTo>
                                  <a:pt x="0" y="2109470"/>
                                </a:lnTo>
                                <a:lnTo>
                                  <a:pt x="5039055" y="2109470"/>
                                </a:lnTo>
                                <a:lnTo>
                                  <a:pt x="5039055" y="3238"/>
                                </a:lnTo>
                                <a:lnTo>
                                  <a:pt x="5039055" y="0"/>
                                </a:lnTo>
                                <a:close/>
                              </a:path>
                            </a:pathLst>
                          </a:custGeom>
                          <a:solidFill>
                            <a:srgbClr val="000000"/>
                          </a:solidFill>
                        </wps:spPr>
                        <wps:bodyPr wrap="square" lIns="0" tIns="0" rIns="0" bIns="0" rtlCol="0">
                          <a:prstTxWarp prst="textNoShape">
                            <a:avLst/>
                          </a:prstTxWarp>
                          <a:noAutofit/>
                        </wps:bodyPr>
                      </wps:wsp>
                      <wps:wsp>
                        <wps:cNvPr id="1201" name="Textbox 1201"/>
                        <wps:cNvSpPr txBox="1"/>
                        <wps:spPr>
                          <a:xfrm>
                            <a:off x="355004" y="160219"/>
                            <a:ext cx="105410" cy="1628139"/>
                          </a:xfrm>
                          <a:prstGeom prst="rect">
                            <a:avLst/>
                          </a:prstGeom>
                        </wps:spPr>
                        <wps:txbx>
                          <w:txbxContent>
                            <w:p>
                              <w:pPr>
                                <w:spacing w:line="184" w:lineRule="exact" w:before="0"/>
                                <w:ind w:left="0" w:right="0" w:firstLine="0"/>
                                <w:jc w:val="left"/>
                                <w:rPr>
                                  <w:rFonts w:ascii="Arial MT"/>
                                  <w:sz w:val="16"/>
                                </w:rPr>
                              </w:pPr>
                              <w:r>
                                <w:rPr>
                                  <w:rFonts w:ascii="Arial MT"/>
                                  <w:spacing w:val="-5"/>
                                  <w:w w:val="90"/>
                                  <w:sz w:val="16"/>
                                </w:rPr>
                                <w:t>70</w:t>
                              </w:r>
                            </w:p>
                            <w:p>
                              <w:pPr>
                                <w:spacing w:before="156"/>
                                <w:ind w:left="0" w:right="0" w:firstLine="0"/>
                                <w:jc w:val="left"/>
                                <w:rPr>
                                  <w:rFonts w:ascii="Arial MT"/>
                                  <w:sz w:val="16"/>
                                </w:rPr>
                              </w:pPr>
                              <w:r>
                                <w:rPr>
                                  <w:rFonts w:ascii="Arial MT"/>
                                  <w:spacing w:val="-5"/>
                                  <w:w w:val="90"/>
                                  <w:sz w:val="16"/>
                                </w:rPr>
                                <w:t>60</w:t>
                              </w:r>
                            </w:p>
                            <w:p>
                              <w:pPr>
                                <w:spacing w:before="156"/>
                                <w:ind w:left="0" w:right="0" w:firstLine="0"/>
                                <w:jc w:val="left"/>
                                <w:rPr>
                                  <w:rFonts w:ascii="Arial MT"/>
                                  <w:sz w:val="16"/>
                                </w:rPr>
                              </w:pPr>
                              <w:r>
                                <w:rPr>
                                  <w:rFonts w:ascii="Arial MT"/>
                                  <w:spacing w:val="-5"/>
                                  <w:w w:val="90"/>
                                  <w:sz w:val="16"/>
                                </w:rPr>
                                <w:t>50</w:t>
                              </w:r>
                            </w:p>
                            <w:p>
                              <w:pPr>
                                <w:spacing w:before="156"/>
                                <w:ind w:left="0" w:right="0" w:firstLine="0"/>
                                <w:jc w:val="left"/>
                                <w:rPr>
                                  <w:rFonts w:ascii="Arial MT"/>
                                  <w:sz w:val="16"/>
                                </w:rPr>
                              </w:pPr>
                              <w:r>
                                <w:rPr>
                                  <w:rFonts w:ascii="Arial MT"/>
                                  <w:spacing w:val="-5"/>
                                  <w:w w:val="90"/>
                                  <w:sz w:val="16"/>
                                </w:rPr>
                                <w:t>40</w:t>
                              </w:r>
                            </w:p>
                            <w:p>
                              <w:pPr>
                                <w:spacing w:before="156"/>
                                <w:ind w:left="0" w:right="0" w:firstLine="0"/>
                                <w:jc w:val="left"/>
                                <w:rPr>
                                  <w:rFonts w:ascii="Arial MT"/>
                                  <w:sz w:val="16"/>
                                </w:rPr>
                              </w:pPr>
                              <w:r>
                                <w:rPr>
                                  <w:rFonts w:ascii="Arial MT"/>
                                  <w:spacing w:val="-5"/>
                                  <w:w w:val="90"/>
                                  <w:sz w:val="16"/>
                                </w:rPr>
                                <w:t>30</w:t>
                              </w:r>
                            </w:p>
                            <w:p>
                              <w:pPr>
                                <w:spacing w:before="156"/>
                                <w:ind w:left="0" w:right="0" w:firstLine="0"/>
                                <w:jc w:val="left"/>
                                <w:rPr>
                                  <w:rFonts w:ascii="Arial MT"/>
                                  <w:sz w:val="16"/>
                                </w:rPr>
                              </w:pPr>
                              <w:r>
                                <w:rPr>
                                  <w:rFonts w:ascii="Arial MT"/>
                                  <w:spacing w:val="-5"/>
                                  <w:w w:val="90"/>
                                  <w:sz w:val="16"/>
                                </w:rPr>
                                <w:t>20</w:t>
                              </w:r>
                            </w:p>
                            <w:p>
                              <w:pPr>
                                <w:spacing w:before="156"/>
                                <w:ind w:left="0" w:right="0" w:firstLine="0"/>
                                <w:jc w:val="left"/>
                                <w:rPr>
                                  <w:rFonts w:ascii="Arial MT"/>
                                  <w:sz w:val="16"/>
                                </w:rPr>
                              </w:pPr>
                              <w:r>
                                <w:rPr>
                                  <w:rFonts w:ascii="Arial MT"/>
                                  <w:spacing w:val="-5"/>
                                  <w:w w:val="90"/>
                                  <w:sz w:val="16"/>
                                </w:rPr>
                                <w:t>10</w:t>
                              </w:r>
                            </w:p>
                            <w:p>
                              <w:pPr>
                                <w:spacing w:before="156"/>
                                <w:ind w:left="72" w:right="0" w:firstLine="0"/>
                                <w:jc w:val="left"/>
                                <w:rPr>
                                  <w:rFonts w:ascii="Arial MT"/>
                                  <w:sz w:val="16"/>
                                </w:rPr>
                              </w:pPr>
                              <w:r>
                                <w:rPr>
                                  <w:rFonts w:ascii="Arial MT"/>
                                  <w:spacing w:val="-10"/>
                                  <w:w w:val="90"/>
                                  <w:sz w:val="16"/>
                                </w:rPr>
                                <w:t>0</w:t>
                              </w:r>
                            </w:p>
                          </w:txbxContent>
                        </wps:txbx>
                        <wps:bodyPr wrap="square" lIns="0" tIns="0" rIns="0" bIns="0" rtlCol="0">
                          <a:noAutofit/>
                        </wps:bodyPr>
                      </wps:wsp>
                      <wps:wsp>
                        <wps:cNvPr id="1202" name="Textbox 1202"/>
                        <wps:cNvSpPr txBox="1"/>
                        <wps:spPr>
                          <a:xfrm>
                            <a:off x="642817" y="1775177"/>
                            <a:ext cx="2292985" cy="208915"/>
                          </a:xfrm>
                          <a:prstGeom prst="rect">
                            <a:avLst/>
                          </a:prstGeom>
                        </wps:spPr>
                        <wps:txbx>
                          <w:txbxContent>
                            <w:p>
                              <w:pPr>
                                <w:tabs>
                                  <w:tab w:pos="993" w:val="left" w:leader="none"/>
                                  <w:tab w:pos="1934" w:val="left" w:leader="none"/>
                                  <w:tab w:pos="2914" w:val="left" w:leader="none"/>
                                </w:tabs>
                                <w:spacing w:line="161" w:lineRule="exact" w:before="0"/>
                                <w:ind w:left="0" w:right="18" w:firstLine="0"/>
                                <w:jc w:val="right"/>
                                <w:rPr>
                                  <w:rFonts w:ascii="Arial MT"/>
                                  <w:sz w:val="14"/>
                                </w:rPr>
                              </w:pPr>
                              <w:r>
                                <w:rPr>
                                  <w:rFonts w:ascii="Arial MT"/>
                                  <w:w w:val="80"/>
                                  <w:sz w:val="14"/>
                                </w:rPr>
                                <w:t>Read</w:t>
                              </w:r>
                              <w:r>
                                <w:rPr>
                                  <w:rFonts w:ascii="Arial MT"/>
                                  <w:spacing w:val="-4"/>
                                  <w:sz w:val="14"/>
                                </w:rPr>
                                <w:t> </w:t>
                              </w:r>
                              <w:r>
                                <w:rPr>
                                  <w:rFonts w:ascii="Arial MT"/>
                                  <w:spacing w:val="-2"/>
                                  <w:w w:val="90"/>
                                  <w:sz w:val="14"/>
                                </w:rPr>
                                <w:t>Letter</w:t>
                              </w:r>
                              <w:r>
                                <w:rPr>
                                  <w:rFonts w:ascii="Arial MT"/>
                                  <w:sz w:val="14"/>
                                </w:rPr>
                                <w:tab/>
                              </w:r>
                              <w:r>
                                <w:rPr>
                                  <w:rFonts w:ascii="Arial MT"/>
                                  <w:w w:val="80"/>
                                  <w:sz w:val="14"/>
                                </w:rPr>
                                <w:t>Read</w:t>
                              </w:r>
                              <w:r>
                                <w:rPr>
                                  <w:rFonts w:ascii="Arial MT"/>
                                  <w:spacing w:val="-4"/>
                                  <w:sz w:val="14"/>
                                </w:rPr>
                                <w:t> </w:t>
                              </w:r>
                              <w:r>
                                <w:rPr>
                                  <w:rFonts w:ascii="Arial MT"/>
                                  <w:spacing w:val="-4"/>
                                  <w:w w:val="90"/>
                                  <w:sz w:val="14"/>
                                </w:rPr>
                                <w:t>Word</w:t>
                              </w:r>
                              <w:r>
                                <w:rPr>
                                  <w:rFonts w:ascii="Arial MT"/>
                                  <w:sz w:val="14"/>
                                </w:rPr>
                                <w:tab/>
                              </w:r>
                              <w:r>
                                <w:rPr>
                                  <w:rFonts w:ascii="Arial MT"/>
                                  <w:w w:val="80"/>
                                  <w:sz w:val="14"/>
                                </w:rPr>
                                <w:t>Read</w:t>
                              </w:r>
                              <w:r>
                                <w:rPr>
                                  <w:rFonts w:ascii="Arial MT"/>
                                  <w:spacing w:val="-4"/>
                                  <w:sz w:val="14"/>
                                </w:rPr>
                                <w:t> </w:t>
                              </w:r>
                              <w:r>
                                <w:rPr>
                                  <w:rFonts w:ascii="Arial MT"/>
                                  <w:w w:val="80"/>
                                  <w:sz w:val="14"/>
                                </w:rPr>
                                <w:t>Level</w:t>
                              </w:r>
                              <w:r>
                                <w:rPr>
                                  <w:rFonts w:ascii="Arial MT"/>
                                  <w:spacing w:val="-4"/>
                                  <w:sz w:val="14"/>
                                </w:rPr>
                                <w:t> </w:t>
                              </w:r>
                              <w:r>
                                <w:rPr>
                                  <w:rFonts w:ascii="Arial MT"/>
                                  <w:spacing w:val="-10"/>
                                  <w:w w:val="80"/>
                                  <w:sz w:val="14"/>
                                </w:rPr>
                                <w:t>1</w:t>
                              </w:r>
                              <w:r>
                                <w:rPr>
                                  <w:rFonts w:ascii="Arial MT"/>
                                  <w:sz w:val="14"/>
                                </w:rPr>
                                <w:tab/>
                              </w:r>
                              <w:r>
                                <w:rPr>
                                  <w:rFonts w:ascii="Arial MT"/>
                                  <w:w w:val="80"/>
                                  <w:sz w:val="14"/>
                                </w:rPr>
                                <w:t>Read</w:t>
                              </w:r>
                              <w:r>
                                <w:rPr>
                                  <w:rFonts w:ascii="Arial MT"/>
                                  <w:spacing w:val="-4"/>
                                  <w:sz w:val="14"/>
                                </w:rPr>
                                <w:t> </w:t>
                              </w:r>
                              <w:r>
                                <w:rPr>
                                  <w:rFonts w:ascii="Arial MT"/>
                                  <w:w w:val="80"/>
                                  <w:sz w:val="14"/>
                                </w:rPr>
                                <w:t>Level</w:t>
                              </w:r>
                              <w:r>
                                <w:rPr>
                                  <w:rFonts w:ascii="Arial MT"/>
                                  <w:spacing w:val="-4"/>
                                  <w:sz w:val="14"/>
                                </w:rPr>
                                <w:t> </w:t>
                              </w:r>
                              <w:r>
                                <w:rPr>
                                  <w:rFonts w:ascii="Arial MT"/>
                                  <w:spacing w:val="-10"/>
                                  <w:w w:val="80"/>
                                  <w:sz w:val="14"/>
                                </w:rPr>
                                <w:t>2</w:t>
                              </w:r>
                            </w:p>
                            <w:p>
                              <w:pPr>
                                <w:tabs>
                                  <w:tab w:pos="979" w:val="left" w:leader="none"/>
                                </w:tabs>
                                <w:spacing w:before="7"/>
                                <w:ind w:left="0" w:right="75" w:firstLine="0"/>
                                <w:jc w:val="right"/>
                                <w:rPr>
                                  <w:rFonts w:ascii="Arial MT"/>
                                  <w:sz w:val="14"/>
                                </w:rPr>
                              </w:pPr>
                              <w:r>
                                <w:rPr>
                                  <w:rFonts w:ascii="Arial MT"/>
                                  <w:w w:val="80"/>
                                  <w:sz w:val="14"/>
                                </w:rPr>
                                <w:t>(Std</w:t>
                              </w:r>
                              <w:r>
                                <w:rPr>
                                  <w:rFonts w:ascii="Arial MT"/>
                                  <w:spacing w:val="-4"/>
                                  <w:sz w:val="14"/>
                                </w:rPr>
                                <w:t> </w:t>
                              </w:r>
                              <w:r>
                                <w:rPr>
                                  <w:rFonts w:ascii="Arial MT"/>
                                  <w:w w:val="80"/>
                                  <w:sz w:val="14"/>
                                </w:rPr>
                                <w:t>1)</w:t>
                              </w:r>
                              <w:r>
                                <w:rPr>
                                  <w:rFonts w:ascii="Arial MT"/>
                                  <w:spacing w:val="-4"/>
                                  <w:sz w:val="14"/>
                                </w:rPr>
                                <w:t> </w:t>
                              </w:r>
                              <w:r>
                                <w:rPr>
                                  <w:rFonts w:ascii="Arial MT"/>
                                  <w:spacing w:val="-4"/>
                                  <w:w w:val="80"/>
                                  <w:sz w:val="14"/>
                                </w:rPr>
                                <w:t>text</w:t>
                              </w:r>
                              <w:r>
                                <w:rPr>
                                  <w:rFonts w:ascii="Arial MT"/>
                                  <w:sz w:val="14"/>
                                </w:rPr>
                                <w:tab/>
                              </w:r>
                              <w:r>
                                <w:rPr>
                                  <w:rFonts w:ascii="Arial MT"/>
                                  <w:w w:val="80"/>
                                  <w:sz w:val="14"/>
                                </w:rPr>
                                <w:t>(Std</w:t>
                              </w:r>
                              <w:r>
                                <w:rPr>
                                  <w:rFonts w:ascii="Arial MT"/>
                                  <w:spacing w:val="-4"/>
                                  <w:sz w:val="14"/>
                                </w:rPr>
                                <w:t> </w:t>
                              </w:r>
                              <w:r>
                                <w:rPr>
                                  <w:rFonts w:ascii="Arial MT"/>
                                  <w:w w:val="80"/>
                                  <w:sz w:val="14"/>
                                </w:rPr>
                                <w:t>2)</w:t>
                              </w:r>
                              <w:r>
                                <w:rPr>
                                  <w:rFonts w:ascii="Arial MT"/>
                                  <w:spacing w:val="-4"/>
                                  <w:sz w:val="14"/>
                                </w:rPr>
                                <w:t> </w:t>
                              </w:r>
                              <w:r>
                                <w:rPr>
                                  <w:rFonts w:ascii="Arial MT"/>
                                  <w:spacing w:val="-4"/>
                                  <w:w w:val="80"/>
                                  <w:sz w:val="14"/>
                                </w:rPr>
                                <w:t>text</w:t>
                              </w:r>
                            </w:p>
                          </w:txbxContent>
                        </wps:txbx>
                        <wps:bodyPr wrap="square" lIns="0" tIns="0" rIns="0" bIns="0" rtlCol="0">
                          <a:noAutofit/>
                        </wps:bodyPr>
                      </wps:wsp>
                      <wps:wsp>
                        <wps:cNvPr id="1203" name="Textbox 1203"/>
                        <wps:cNvSpPr txBox="1"/>
                        <wps:spPr>
                          <a:xfrm>
                            <a:off x="3145652" y="1775177"/>
                            <a:ext cx="357505" cy="208915"/>
                          </a:xfrm>
                          <a:prstGeom prst="rect">
                            <a:avLst/>
                          </a:prstGeom>
                        </wps:spPr>
                        <wps:txbx>
                          <w:txbxContent>
                            <w:p>
                              <w:pPr>
                                <w:spacing w:line="249" w:lineRule="auto" w:before="0"/>
                                <w:ind w:left="47" w:right="18" w:hanging="48"/>
                                <w:jc w:val="left"/>
                                <w:rPr>
                                  <w:rFonts w:ascii="Arial MT"/>
                                  <w:sz w:val="14"/>
                                </w:rPr>
                              </w:pPr>
                              <w:r>
                                <w:rPr>
                                  <w:rFonts w:ascii="Arial MT"/>
                                  <w:spacing w:val="-2"/>
                                  <w:w w:val="80"/>
                                  <w:sz w:val="14"/>
                                </w:rPr>
                                <w:t>Recognise</w:t>
                              </w:r>
                              <w:r>
                                <w:rPr>
                                  <w:rFonts w:ascii="Arial MT"/>
                                  <w:spacing w:val="40"/>
                                  <w:sz w:val="14"/>
                                </w:rPr>
                                <w:t> </w:t>
                              </w:r>
                              <w:r>
                                <w:rPr>
                                  <w:rFonts w:ascii="Arial MT"/>
                                  <w:spacing w:val="-2"/>
                                  <w:w w:val="90"/>
                                  <w:sz w:val="14"/>
                                </w:rPr>
                                <w:t>numbers</w:t>
                              </w:r>
                            </w:p>
                          </w:txbxContent>
                        </wps:txbx>
                        <wps:bodyPr wrap="square" lIns="0" tIns="0" rIns="0" bIns="0" rtlCol="0">
                          <a:noAutofit/>
                        </wps:bodyPr>
                      </wps:wsp>
                      <wps:wsp>
                        <wps:cNvPr id="1204" name="Textbox 1204"/>
                        <wps:cNvSpPr txBox="1"/>
                        <wps:spPr>
                          <a:xfrm>
                            <a:off x="3810765" y="1775177"/>
                            <a:ext cx="28448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Subtract</w:t>
                              </w:r>
                            </w:p>
                          </w:txbxContent>
                        </wps:txbx>
                        <wps:bodyPr wrap="square" lIns="0" tIns="0" rIns="0" bIns="0" rtlCol="0">
                          <a:noAutofit/>
                        </wps:bodyPr>
                      </wps:wsp>
                      <wps:wsp>
                        <wps:cNvPr id="1205" name="Textbox 1205"/>
                        <wps:cNvSpPr txBox="1"/>
                        <wps:spPr>
                          <a:xfrm>
                            <a:off x="4448503" y="1775177"/>
                            <a:ext cx="21526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Divide</w:t>
                              </w:r>
                            </w:p>
                          </w:txbxContent>
                        </wps:txbx>
                        <wps:bodyPr wrap="square" lIns="0" tIns="0" rIns="0" bIns="0" rtlCol="0">
                          <a:noAutofit/>
                        </wps:bodyPr>
                      </wps:wsp>
                    </wpg:wgp>
                  </a:graphicData>
                </a:graphic>
              </wp:anchor>
            </w:drawing>
          </mc:Choice>
          <mc:Fallback>
            <w:pict>
              <v:group style="position:absolute;margin-left:100.831703pt;margin-top:22.4pt;width:396.8pt;height:166.1pt;mso-position-horizontal-relative:page;mso-position-vertical-relative:paragraph;z-index:-23933952" id="docshapegroup1187" coordorigin="2017,448" coordsize="7936,3322">
                <v:shape style="position:absolute;left:2016;top:448;width:7936;height:3322" id="docshape1188" coordorigin="2017,448" coordsize="7936,3322" path="m9952,448l9942,448,9942,458,9942,3760,2027,3760,2027,458,9942,458,9942,448,2017,448,2017,454,2017,458,2017,3760,2017,3764,2017,3770,9952,3770,9952,453,9952,448xe" filled="true" fillcolor="#000000" stroked="false">
                  <v:path arrowok="t"/>
                  <v:fill type="solid"/>
                </v:shape>
                <v:shape style="position:absolute;left:2575;top:700;width:166;height:2564" type="#_x0000_t202" id="docshape1189" filled="false" stroked="false">
                  <v:textbox inset="0,0,0,0">
                    <w:txbxContent>
                      <w:p>
                        <w:pPr>
                          <w:spacing w:line="184" w:lineRule="exact" w:before="0"/>
                          <w:ind w:left="0" w:right="0" w:firstLine="0"/>
                          <w:jc w:val="left"/>
                          <w:rPr>
                            <w:rFonts w:ascii="Arial MT"/>
                            <w:sz w:val="16"/>
                          </w:rPr>
                        </w:pPr>
                        <w:r>
                          <w:rPr>
                            <w:rFonts w:ascii="Arial MT"/>
                            <w:spacing w:val="-5"/>
                            <w:w w:val="90"/>
                            <w:sz w:val="16"/>
                          </w:rPr>
                          <w:t>70</w:t>
                        </w:r>
                      </w:p>
                      <w:p>
                        <w:pPr>
                          <w:spacing w:before="156"/>
                          <w:ind w:left="0" w:right="0" w:firstLine="0"/>
                          <w:jc w:val="left"/>
                          <w:rPr>
                            <w:rFonts w:ascii="Arial MT"/>
                            <w:sz w:val="16"/>
                          </w:rPr>
                        </w:pPr>
                        <w:r>
                          <w:rPr>
                            <w:rFonts w:ascii="Arial MT"/>
                            <w:spacing w:val="-5"/>
                            <w:w w:val="90"/>
                            <w:sz w:val="16"/>
                          </w:rPr>
                          <w:t>60</w:t>
                        </w:r>
                      </w:p>
                      <w:p>
                        <w:pPr>
                          <w:spacing w:before="156"/>
                          <w:ind w:left="0" w:right="0" w:firstLine="0"/>
                          <w:jc w:val="left"/>
                          <w:rPr>
                            <w:rFonts w:ascii="Arial MT"/>
                            <w:sz w:val="16"/>
                          </w:rPr>
                        </w:pPr>
                        <w:r>
                          <w:rPr>
                            <w:rFonts w:ascii="Arial MT"/>
                            <w:spacing w:val="-5"/>
                            <w:w w:val="90"/>
                            <w:sz w:val="16"/>
                          </w:rPr>
                          <w:t>50</w:t>
                        </w:r>
                      </w:p>
                      <w:p>
                        <w:pPr>
                          <w:spacing w:before="156"/>
                          <w:ind w:left="0" w:right="0" w:firstLine="0"/>
                          <w:jc w:val="left"/>
                          <w:rPr>
                            <w:rFonts w:ascii="Arial MT"/>
                            <w:sz w:val="16"/>
                          </w:rPr>
                        </w:pPr>
                        <w:r>
                          <w:rPr>
                            <w:rFonts w:ascii="Arial MT"/>
                            <w:spacing w:val="-5"/>
                            <w:w w:val="90"/>
                            <w:sz w:val="16"/>
                          </w:rPr>
                          <w:t>40</w:t>
                        </w:r>
                      </w:p>
                      <w:p>
                        <w:pPr>
                          <w:spacing w:before="156"/>
                          <w:ind w:left="0" w:right="0" w:firstLine="0"/>
                          <w:jc w:val="left"/>
                          <w:rPr>
                            <w:rFonts w:ascii="Arial MT"/>
                            <w:sz w:val="16"/>
                          </w:rPr>
                        </w:pPr>
                        <w:r>
                          <w:rPr>
                            <w:rFonts w:ascii="Arial MT"/>
                            <w:spacing w:val="-5"/>
                            <w:w w:val="90"/>
                            <w:sz w:val="16"/>
                          </w:rPr>
                          <w:t>30</w:t>
                        </w:r>
                      </w:p>
                      <w:p>
                        <w:pPr>
                          <w:spacing w:before="156"/>
                          <w:ind w:left="0" w:right="0" w:firstLine="0"/>
                          <w:jc w:val="left"/>
                          <w:rPr>
                            <w:rFonts w:ascii="Arial MT"/>
                            <w:sz w:val="16"/>
                          </w:rPr>
                        </w:pPr>
                        <w:r>
                          <w:rPr>
                            <w:rFonts w:ascii="Arial MT"/>
                            <w:spacing w:val="-5"/>
                            <w:w w:val="90"/>
                            <w:sz w:val="16"/>
                          </w:rPr>
                          <w:t>20</w:t>
                        </w:r>
                      </w:p>
                      <w:p>
                        <w:pPr>
                          <w:spacing w:before="156"/>
                          <w:ind w:left="0" w:right="0" w:firstLine="0"/>
                          <w:jc w:val="left"/>
                          <w:rPr>
                            <w:rFonts w:ascii="Arial MT"/>
                            <w:sz w:val="16"/>
                          </w:rPr>
                        </w:pPr>
                        <w:r>
                          <w:rPr>
                            <w:rFonts w:ascii="Arial MT"/>
                            <w:spacing w:val="-5"/>
                            <w:w w:val="90"/>
                            <w:sz w:val="16"/>
                          </w:rPr>
                          <w:t>10</w:t>
                        </w:r>
                      </w:p>
                      <w:p>
                        <w:pPr>
                          <w:spacing w:before="156"/>
                          <w:ind w:left="72" w:right="0" w:firstLine="0"/>
                          <w:jc w:val="left"/>
                          <w:rPr>
                            <w:rFonts w:ascii="Arial MT"/>
                            <w:sz w:val="16"/>
                          </w:rPr>
                        </w:pPr>
                        <w:r>
                          <w:rPr>
                            <w:rFonts w:ascii="Arial MT"/>
                            <w:spacing w:val="-10"/>
                            <w:w w:val="90"/>
                            <w:sz w:val="16"/>
                          </w:rPr>
                          <w:t>0</w:t>
                        </w:r>
                      </w:p>
                    </w:txbxContent>
                  </v:textbox>
                  <w10:wrap type="none"/>
                </v:shape>
                <v:shape style="position:absolute;left:3028;top:3243;width:3611;height:329" type="#_x0000_t202" id="docshape1190" filled="false" stroked="false">
                  <v:textbox inset="0,0,0,0">
                    <w:txbxContent>
                      <w:p>
                        <w:pPr>
                          <w:tabs>
                            <w:tab w:pos="993" w:val="left" w:leader="none"/>
                            <w:tab w:pos="1934" w:val="left" w:leader="none"/>
                            <w:tab w:pos="2914" w:val="left" w:leader="none"/>
                          </w:tabs>
                          <w:spacing w:line="161" w:lineRule="exact" w:before="0"/>
                          <w:ind w:left="0" w:right="18" w:firstLine="0"/>
                          <w:jc w:val="right"/>
                          <w:rPr>
                            <w:rFonts w:ascii="Arial MT"/>
                            <w:sz w:val="14"/>
                          </w:rPr>
                        </w:pPr>
                        <w:r>
                          <w:rPr>
                            <w:rFonts w:ascii="Arial MT"/>
                            <w:w w:val="80"/>
                            <w:sz w:val="14"/>
                          </w:rPr>
                          <w:t>Read</w:t>
                        </w:r>
                        <w:r>
                          <w:rPr>
                            <w:rFonts w:ascii="Arial MT"/>
                            <w:spacing w:val="-4"/>
                            <w:sz w:val="14"/>
                          </w:rPr>
                          <w:t> </w:t>
                        </w:r>
                        <w:r>
                          <w:rPr>
                            <w:rFonts w:ascii="Arial MT"/>
                            <w:spacing w:val="-2"/>
                            <w:w w:val="90"/>
                            <w:sz w:val="14"/>
                          </w:rPr>
                          <w:t>Letter</w:t>
                        </w:r>
                        <w:r>
                          <w:rPr>
                            <w:rFonts w:ascii="Arial MT"/>
                            <w:sz w:val="14"/>
                          </w:rPr>
                          <w:tab/>
                        </w:r>
                        <w:r>
                          <w:rPr>
                            <w:rFonts w:ascii="Arial MT"/>
                            <w:w w:val="80"/>
                            <w:sz w:val="14"/>
                          </w:rPr>
                          <w:t>Read</w:t>
                        </w:r>
                        <w:r>
                          <w:rPr>
                            <w:rFonts w:ascii="Arial MT"/>
                            <w:spacing w:val="-4"/>
                            <w:sz w:val="14"/>
                          </w:rPr>
                          <w:t> </w:t>
                        </w:r>
                        <w:r>
                          <w:rPr>
                            <w:rFonts w:ascii="Arial MT"/>
                            <w:spacing w:val="-4"/>
                            <w:w w:val="90"/>
                            <w:sz w:val="14"/>
                          </w:rPr>
                          <w:t>Word</w:t>
                        </w:r>
                        <w:r>
                          <w:rPr>
                            <w:rFonts w:ascii="Arial MT"/>
                            <w:sz w:val="14"/>
                          </w:rPr>
                          <w:tab/>
                        </w:r>
                        <w:r>
                          <w:rPr>
                            <w:rFonts w:ascii="Arial MT"/>
                            <w:w w:val="80"/>
                            <w:sz w:val="14"/>
                          </w:rPr>
                          <w:t>Read</w:t>
                        </w:r>
                        <w:r>
                          <w:rPr>
                            <w:rFonts w:ascii="Arial MT"/>
                            <w:spacing w:val="-4"/>
                            <w:sz w:val="14"/>
                          </w:rPr>
                          <w:t> </w:t>
                        </w:r>
                        <w:r>
                          <w:rPr>
                            <w:rFonts w:ascii="Arial MT"/>
                            <w:w w:val="80"/>
                            <w:sz w:val="14"/>
                          </w:rPr>
                          <w:t>Level</w:t>
                        </w:r>
                        <w:r>
                          <w:rPr>
                            <w:rFonts w:ascii="Arial MT"/>
                            <w:spacing w:val="-4"/>
                            <w:sz w:val="14"/>
                          </w:rPr>
                          <w:t> </w:t>
                        </w:r>
                        <w:r>
                          <w:rPr>
                            <w:rFonts w:ascii="Arial MT"/>
                            <w:spacing w:val="-10"/>
                            <w:w w:val="80"/>
                            <w:sz w:val="14"/>
                          </w:rPr>
                          <w:t>1</w:t>
                        </w:r>
                        <w:r>
                          <w:rPr>
                            <w:rFonts w:ascii="Arial MT"/>
                            <w:sz w:val="14"/>
                          </w:rPr>
                          <w:tab/>
                        </w:r>
                        <w:r>
                          <w:rPr>
                            <w:rFonts w:ascii="Arial MT"/>
                            <w:w w:val="80"/>
                            <w:sz w:val="14"/>
                          </w:rPr>
                          <w:t>Read</w:t>
                        </w:r>
                        <w:r>
                          <w:rPr>
                            <w:rFonts w:ascii="Arial MT"/>
                            <w:spacing w:val="-4"/>
                            <w:sz w:val="14"/>
                          </w:rPr>
                          <w:t> </w:t>
                        </w:r>
                        <w:r>
                          <w:rPr>
                            <w:rFonts w:ascii="Arial MT"/>
                            <w:w w:val="80"/>
                            <w:sz w:val="14"/>
                          </w:rPr>
                          <w:t>Level</w:t>
                        </w:r>
                        <w:r>
                          <w:rPr>
                            <w:rFonts w:ascii="Arial MT"/>
                            <w:spacing w:val="-4"/>
                            <w:sz w:val="14"/>
                          </w:rPr>
                          <w:t> </w:t>
                        </w:r>
                        <w:r>
                          <w:rPr>
                            <w:rFonts w:ascii="Arial MT"/>
                            <w:spacing w:val="-10"/>
                            <w:w w:val="80"/>
                            <w:sz w:val="14"/>
                          </w:rPr>
                          <w:t>2</w:t>
                        </w:r>
                      </w:p>
                      <w:p>
                        <w:pPr>
                          <w:tabs>
                            <w:tab w:pos="979" w:val="left" w:leader="none"/>
                          </w:tabs>
                          <w:spacing w:before="7"/>
                          <w:ind w:left="0" w:right="75" w:firstLine="0"/>
                          <w:jc w:val="right"/>
                          <w:rPr>
                            <w:rFonts w:ascii="Arial MT"/>
                            <w:sz w:val="14"/>
                          </w:rPr>
                        </w:pPr>
                        <w:r>
                          <w:rPr>
                            <w:rFonts w:ascii="Arial MT"/>
                            <w:w w:val="80"/>
                            <w:sz w:val="14"/>
                          </w:rPr>
                          <w:t>(Std</w:t>
                        </w:r>
                        <w:r>
                          <w:rPr>
                            <w:rFonts w:ascii="Arial MT"/>
                            <w:spacing w:val="-4"/>
                            <w:sz w:val="14"/>
                          </w:rPr>
                          <w:t> </w:t>
                        </w:r>
                        <w:r>
                          <w:rPr>
                            <w:rFonts w:ascii="Arial MT"/>
                            <w:w w:val="80"/>
                            <w:sz w:val="14"/>
                          </w:rPr>
                          <w:t>1)</w:t>
                        </w:r>
                        <w:r>
                          <w:rPr>
                            <w:rFonts w:ascii="Arial MT"/>
                            <w:spacing w:val="-4"/>
                            <w:sz w:val="14"/>
                          </w:rPr>
                          <w:t> </w:t>
                        </w:r>
                        <w:r>
                          <w:rPr>
                            <w:rFonts w:ascii="Arial MT"/>
                            <w:spacing w:val="-4"/>
                            <w:w w:val="80"/>
                            <w:sz w:val="14"/>
                          </w:rPr>
                          <w:t>text</w:t>
                        </w:r>
                        <w:r>
                          <w:rPr>
                            <w:rFonts w:ascii="Arial MT"/>
                            <w:sz w:val="14"/>
                          </w:rPr>
                          <w:tab/>
                        </w:r>
                        <w:r>
                          <w:rPr>
                            <w:rFonts w:ascii="Arial MT"/>
                            <w:w w:val="80"/>
                            <w:sz w:val="14"/>
                          </w:rPr>
                          <w:t>(Std</w:t>
                        </w:r>
                        <w:r>
                          <w:rPr>
                            <w:rFonts w:ascii="Arial MT"/>
                            <w:spacing w:val="-4"/>
                            <w:sz w:val="14"/>
                          </w:rPr>
                          <w:t> </w:t>
                        </w:r>
                        <w:r>
                          <w:rPr>
                            <w:rFonts w:ascii="Arial MT"/>
                            <w:w w:val="80"/>
                            <w:sz w:val="14"/>
                          </w:rPr>
                          <w:t>2)</w:t>
                        </w:r>
                        <w:r>
                          <w:rPr>
                            <w:rFonts w:ascii="Arial MT"/>
                            <w:spacing w:val="-4"/>
                            <w:sz w:val="14"/>
                          </w:rPr>
                          <w:t> </w:t>
                        </w:r>
                        <w:r>
                          <w:rPr>
                            <w:rFonts w:ascii="Arial MT"/>
                            <w:spacing w:val="-4"/>
                            <w:w w:val="80"/>
                            <w:sz w:val="14"/>
                          </w:rPr>
                          <w:t>text</w:t>
                        </w:r>
                      </w:p>
                    </w:txbxContent>
                  </v:textbox>
                  <w10:wrap type="none"/>
                </v:shape>
                <v:shape style="position:absolute;left:6970;top:3243;width:563;height:329" type="#_x0000_t202" id="docshape1191" filled="false" stroked="false">
                  <v:textbox inset="0,0,0,0">
                    <w:txbxContent>
                      <w:p>
                        <w:pPr>
                          <w:spacing w:line="249" w:lineRule="auto" w:before="0"/>
                          <w:ind w:left="47" w:right="18" w:hanging="48"/>
                          <w:jc w:val="left"/>
                          <w:rPr>
                            <w:rFonts w:ascii="Arial MT"/>
                            <w:sz w:val="14"/>
                          </w:rPr>
                        </w:pPr>
                        <w:r>
                          <w:rPr>
                            <w:rFonts w:ascii="Arial MT"/>
                            <w:spacing w:val="-2"/>
                            <w:w w:val="80"/>
                            <w:sz w:val="14"/>
                          </w:rPr>
                          <w:t>Recognise</w:t>
                        </w:r>
                        <w:r>
                          <w:rPr>
                            <w:rFonts w:ascii="Arial MT"/>
                            <w:spacing w:val="40"/>
                            <w:sz w:val="14"/>
                          </w:rPr>
                          <w:t> </w:t>
                        </w:r>
                        <w:r>
                          <w:rPr>
                            <w:rFonts w:ascii="Arial MT"/>
                            <w:spacing w:val="-2"/>
                            <w:w w:val="90"/>
                            <w:sz w:val="14"/>
                          </w:rPr>
                          <w:t>numbers</w:t>
                        </w:r>
                      </w:p>
                    </w:txbxContent>
                  </v:textbox>
                  <w10:wrap type="none"/>
                </v:shape>
                <v:shape style="position:absolute;left:8017;top:3243;width:448;height:161" type="#_x0000_t202" id="docshape1192" filled="false" stroked="false">
                  <v:textbox inset="0,0,0,0">
                    <w:txbxContent>
                      <w:p>
                        <w:pPr>
                          <w:spacing w:line="161" w:lineRule="exact" w:before="0"/>
                          <w:ind w:left="0" w:right="0" w:firstLine="0"/>
                          <w:jc w:val="left"/>
                          <w:rPr>
                            <w:rFonts w:ascii="Arial MT"/>
                            <w:sz w:val="14"/>
                          </w:rPr>
                        </w:pPr>
                        <w:r>
                          <w:rPr>
                            <w:rFonts w:ascii="Arial MT"/>
                            <w:spacing w:val="-2"/>
                            <w:w w:val="85"/>
                            <w:sz w:val="14"/>
                          </w:rPr>
                          <w:t>Subtract</w:t>
                        </w:r>
                      </w:p>
                    </w:txbxContent>
                  </v:textbox>
                  <w10:wrap type="none"/>
                </v:shape>
                <v:shape style="position:absolute;left:9022;top:3243;width:339;height:161" type="#_x0000_t202" id="docshape1193" filled="false" stroked="false">
                  <v:textbox inset="0,0,0,0">
                    <w:txbxContent>
                      <w:p>
                        <w:pPr>
                          <w:spacing w:line="161" w:lineRule="exact" w:before="0"/>
                          <w:ind w:left="0" w:right="0" w:firstLine="0"/>
                          <w:jc w:val="left"/>
                          <w:rPr>
                            <w:rFonts w:ascii="Arial MT"/>
                            <w:sz w:val="14"/>
                          </w:rPr>
                        </w:pPr>
                        <w:r>
                          <w:rPr>
                            <w:rFonts w:ascii="Arial MT"/>
                            <w:spacing w:val="-2"/>
                            <w:w w:val="85"/>
                            <w:sz w:val="14"/>
                          </w:rPr>
                          <w:t>Divide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6976">
                <wp:simplePos x="0" y="0"/>
                <wp:positionH relativeFrom="page">
                  <wp:posOffset>1431387</wp:posOffset>
                </wp:positionH>
                <wp:positionV relativeFrom="paragraph">
                  <wp:posOffset>1211110</wp:posOffset>
                </wp:positionV>
                <wp:extent cx="127635" cy="224154"/>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127635" cy="224154"/>
                        </a:xfrm>
                        <a:prstGeom prst="rect">
                          <a:avLst/>
                        </a:prstGeom>
                      </wps:spPr>
                      <wps:txbx>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wps:txbx>
                      <wps:bodyPr wrap="square" lIns="0" tIns="0" rIns="0" bIns="0" rtlCol="0" vert="vert270">
                        <a:noAutofit/>
                      </wps:bodyPr>
                    </wps:wsp>
                  </a:graphicData>
                </a:graphic>
              </wp:anchor>
            </w:drawing>
          </mc:Choice>
          <mc:Fallback>
            <w:pict>
              <v:shape style="position:absolute;margin-left:112.707672pt;margin-top:95.36306pt;width:10.050pt;height:17.650pt;mso-position-horizontal-relative:page;mso-position-vertical-relative:paragraph;z-index:15806976" type="#_x0000_t202" id="docshape1194"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v:textbox>
                <w10:wrap type="none"/>
              </v:shape>
            </w:pict>
          </mc:Fallback>
        </mc:AlternateContent>
      </w:r>
      <w:r>
        <w:rPr>
          <w:w w:val="90"/>
        </w:rPr>
        <w:t>Figure</w:t>
      </w:r>
      <w:r>
        <w:rPr>
          <w:spacing w:val="5"/>
        </w:rPr>
        <w:t> </w:t>
      </w:r>
      <w:r>
        <w:rPr>
          <w:w w:val="90"/>
        </w:rPr>
        <w:t>7:</w:t>
      </w:r>
      <w:r>
        <w:rPr>
          <w:spacing w:val="5"/>
        </w:rPr>
        <w:t> </w:t>
      </w:r>
      <w:r>
        <w:rPr>
          <w:color w:val="2E614A"/>
          <w:w w:val="90"/>
        </w:rPr>
        <w:t>Percentage</w:t>
      </w:r>
      <w:r>
        <w:rPr>
          <w:color w:val="2E614A"/>
          <w:spacing w:val="5"/>
        </w:rPr>
        <w:t> </w:t>
      </w:r>
      <w:r>
        <w:rPr>
          <w:color w:val="2E614A"/>
          <w:w w:val="90"/>
        </w:rPr>
        <w:t>of</w:t>
      </w:r>
      <w:r>
        <w:rPr>
          <w:color w:val="2E614A"/>
          <w:spacing w:val="5"/>
        </w:rPr>
        <w:t> </w:t>
      </w:r>
      <w:r>
        <w:rPr>
          <w:color w:val="2E614A"/>
          <w:w w:val="90"/>
        </w:rPr>
        <w:t>children</w:t>
      </w:r>
      <w:r>
        <w:rPr>
          <w:color w:val="2E614A"/>
          <w:spacing w:val="5"/>
        </w:rPr>
        <w:t> </w:t>
      </w:r>
      <w:r>
        <w:rPr>
          <w:color w:val="2E614A"/>
          <w:w w:val="90"/>
        </w:rPr>
        <w:t>(Class</w:t>
      </w:r>
      <w:r>
        <w:rPr>
          <w:color w:val="2E614A"/>
          <w:spacing w:val="6"/>
        </w:rPr>
        <w:t> </w:t>
      </w:r>
      <w:r>
        <w:rPr>
          <w:color w:val="2E614A"/>
          <w:w w:val="90"/>
        </w:rPr>
        <w:t>I</w:t>
      </w:r>
      <w:r>
        <w:rPr>
          <w:color w:val="2E614A"/>
          <w:spacing w:val="5"/>
        </w:rPr>
        <w:t> </w:t>
      </w:r>
      <w:r>
        <w:rPr>
          <w:color w:val="2E614A"/>
          <w:w w:val="90"/>
        </w:rPr>
        <w:t>to</w:t>
      </w:r>
      <w:r>
        <w:rPr>
          <w:color w:val="2E614A"/>
          <w:spacing w:val="-5"/>
        </w:rPr>
        <w:t> </w:t>
      </w:r>
      <w:r>
        <w:rPr>
          <w:color w:val="2E614A"/>
          <w:w w:val="90"/>
        </w:rPr>
        <w:t>VIII)</w:t>
      </w:r>
      <w:r>
        <w:rPr>
          <w:color w:val="2E614A"/>
          <w:spacing w:val="6"/>
        </w:rPr>
        <w:t> </w:t>
      </w:r>
      <w:r>
        <w:rPr>
          <w:color w:val="2E614A"/>
          <w:w w:val="90"/>
        </w:rPr>
        <w:t>who</w:t>
      </w:r>
      <w:r>
        <w:rPr>
          <w:color w:val="2E614A"/>
          <w:spacing w:val="5"/>
        </w:rPr>
        <w:t> </w:t>
      </w:r>
      <w:r>
        <w:rPr>
          <w:color w:val="2E614A"/>
          <w:spacing w:val="-2"/>
          <w:w w:val="90"/>
        </w:rPr>
        <w:t>cannot</w:t>
      </w:r>
    </w:p>
    <w:p>
      <w:pPr>
        <w:pStyle w:val="BodyText"/>
        <w:spacing w:before="128"/>
        <w:rPr>
          <w:b/>
          <w:sz w:val="20"/>
        </w:rPr>
      </w:pPr>
      <w:r>
        <w:rPr/>
        <mc:AlternateContent>
          <mc:Choice Requires="wps">
            <w:drawing>
              <wp:anchor distT="0" distB="0" distL="0" distR="0" allowOverlap="1" layoutInCell="1" locked="0" behindDoc="1" simplePos="0" relativeHeight="487664640">
                <wp:simplePos x="0" y="0"/>
                <wp:positionH relativeFrom="page">
                  <wp:posOffset>1772687</wp:posOffset>
                </wp:positionH>
                <wp:positionV relativeFrom="paragraph">
                  <wp:posOffset>242595</wp:posOffset>
                </wp:positionV>
                <wp:extent cx="4381500" cy="1602105"/>
                <wp:effectExtent l="0" t="0" r="0" b="0"/>
                <wp:wrapTopAndBottom/>
                <wp:docPr id="1207" name="Group 1207"/>
                <wp:cNvGraphicFramePr>
                  <a:graphicFrameLocks/>
                </wp:cNvGraphicFramePr>
                <a:graphic>
                  <a:graphicData uri="http://schemas.microsoft.com/office/word/2010/wordprocessingGroup">
                    <wpg:wgp>
                      <wpg:cNvPr id="1207" name="Group 1207"/>
                      <wpg:cNvGrpSpPr/>
                      <wpg:grpSpPr>
                        <a:xfrm>
                          <a:off x="0" y="0"/>
                          <a:ext cx="4381500" cy="1602105"/>
                          <a:chExt cx="4381500" cy="1602105"/>
                        </a:xfrm>
                      </wpg:grpSpPr>
                      <wps:wsp>
                        <wps:cNvPr id="1208" name="Graphic 1208"/>
                        <wps:cNvSpPr/>
                        <wps:spPr>
                          <a:xfrm>
                            <a:off x="215891" y="84939"/>
                            <a:ext cx="3960495" cy="1459865"/>
                          </a:xfrm>
                          <a:custGeom>
                            <a:avLst/>
                            <a:gdLst/>
                            <a:ahLst/>
                            <a:cxnLst/>
                            <a:rect l="l" t="t" r="r" b="b"/>
                            <a:pathLst>
                              <a:path w="3960495" h="1459865">
                                <a:moveTo>
                                  <a:pt x="245275" y="1238250"/>
                                </a:moveTo>
                                <a:lnTo>
                                  <a:pt x="0" y="1238250"/>
                                </a:lnTo>
                                <a:lnTo>
                                  <a:pt x="0" y="1459699"/>
                                </a:lnTo>
                                <a:lnTo>
                                  <a:pt x="245275" y="1459699"/>
                                </a:lnTo>
                                <a:lnTo>
                                  <a:pt x="245275" y="1238250"/>
                                </a:lnTo>
                                <a:close/>
                              </a:path>
                              <a:path w="3960495" h="1459865">
                                <a:moveTo>
                                  <a:pt x="866775" y="914400"/>
                                </a:moveTo>
                                <a:lnTo>
                                  <a:pt x="621512" y="914400"/>
                                </a:lnTo>
                                <a:lnTo>
                                  <a:pt x="621512" y="1459699"/>
                                </a:lnTo>
                                <a:lnTo>
                                  <a:pt x="866775" y="1459699"/>
                                </a:lnTo>
                                <a:lnTo>
                                  <a:pt x="866775" y="914400"/>
                                </a:lnTo>
                                <a:close/>
                              </a:path>
                              <a:path w="3960495" h="1459865">
                                <a:moveTo>
                                  <a:pt x="1483525" y="550062"/>
                                </a:moveTo>
                                <a:lnTo>
                                  <a:pt x="1238250" y="550062"/>
                                </a:lnTo>
                                <a:lnTo>
                                  <a:pt x="1238250" y="1459699"/>
                                </a:lnTo>
                                <a:lnTo>
                                  <a:pt x="1483525" y="1459699"/>
                                </a:lnTo>
                                <a:lnTo>
                                  <a:pt x="1483525" y="550062"/>
                                </a:lnTo>
                                <a:close/>
                              </a:path>
                              <a:path w="3960495" h="1459865">
                                <a:moveTo>
                                  <a:pt x="2111641" y="126199"/>
                                </a:moveTo>
                                <a:lnTo>
                                  <a:pt x="1866379" y="126199"/>
                                </a:lnTo>
                                <a:lnTo>
                                  <a:pt x="1866379" y="1459699"/>
                                </a:lnTo>
                                <a:lnTo>
                                  <a:pt x="2111641" y="1459699"/>
                                </a:lnTo>
                                <a:lnTo>
                                  <a:pt x="2111641" y="126199"/>
                                </a:lnTo>
                                <a:close/>
                              </a:path>
                              <a:path w="3960495" h="1459865">
                                <a:moveTo>
                                  <a:pt x="2726537" y="1116799"/>
                                </a:moveTo>
                                <a:lnTo>
                                  <a:pt x="2481262" y="1116799"/>
                                </a:lnTo>
                                <a:lnTo>
                                  <a:pt x="2481262" y="1459699"/>
                                </a:lnTo>
                                <a:lnTo>
                                  <a:pt x="2726537" y="1459699"/>
                                </a:lnTo>
                                <a:lnTo>
                                  <a:pt x="2726537" y="1116799"/>
                                </a:lnTo>
                                <a:close/>
                              </a:path>
                              <a:path w="3960495" h="1459865">
                                <a:moveTo>
                                  <a:pt x="3340900" y="550062"/>
                                </a:moveTo>
                                <a:lnTo>
                                  <a:pt x="3095625" y="550062"/>
                                </a:lnTo>
                                <a:lnTo>
                                  <a:pt x="3095625" y="1459699"/>
                                </a:lnTo>
                                <a:lnTo>
                                  <a:pt x="3340900" y="1459699"/>
                                </a:lnTo>
                                <a:lnTo>
                                  <a:pt x="3340900" y="550062"/>
                                </a:lnTo>
                                <a:close/>
                              </a:path>
                              <a:path w="3960495" h="1459865">
                                <a:moveTo>
                                  <a:pt x="3960025" y="0"/>
                                </a:moveTo>
                                <a:lnTo>
                                  <a:pt x="3714750" y="0"/>
                                </a:lnTo>
                                <a:lnTo>
                                  <a:pt x="3714750" y="1459699"/>
                                </a:lnTo>
                                <a:lnTo>
                                  <a:pt x="3960025" y="1459699"/>
                                </a:lnTo>
                                <a:lnTo>
                                  <a:pt x="3960025" y="0"/>
                                </a:lnTo>
                                <a:close/>
                              </a:path>
                            </a:pathLst>
                          </a:custGeom>
                          <a:solidFill>
                            <a:srgbClr val="2E614A"/>
                          </a:solidFill>
                        </wps:spPr>
                        <wps:bodyPr wrap="square" lIns="0" tIns="0" rIns="0" bIns="0" rtlCol="0">
                          <a:prstTxWarp prst="textNoShape">
                            <a:avLst/>
                          </a:prstTxWarp>
                          <a:noAutofit/>
                        </wps:bodyPr>
                      </wps:wsp>
                      <wps:wsp>
                        <wps:cNvPr id="1209" name="Graphic 1209"/>
                        <wps:cNvSpPr/>
                        <wps:spPr>
                          <a:xfrm>
                            <a:off x="-8" y="1"/>
                            <a:ext cx="4381500" cy="1602105"/>
                          </a:xfrm>
                          <a:custGeom>
                            <a:avLst/>
                            <a:gdLst/>
                            <a:ahLst/>
                            <a:cxnLst/>
                            <a:rect l="l" t="t" r="r" b="b"/>
                            <a:pathLst>
                              <a:path w="4381500" h="1602105">
                                <a:moveTo>
                                  <a:pt x="31750" y="1325562"/>
                                </a:moveTo>
                                <a:lnTo>
                                  <a:pt x="0" y="1325562"/>
                                </a:lnTo>
                                <a:lnTo>
                                  <a:pt x="0" y="1331912"/>
                                </a:lnTo>
                                <a:lnTo>
                                  <a:pt x="31750" y="1331912"/>
                                </a:lnTo>
                                <a:lnTo>
                                  <a:pt x="31750" y="1325562"/>
                                </a:lnTo>
                                <a:close/>
                              </a:path>
                              <a:path w="4381500" h="1602105">
                                <a:moveTo>
                                  <a:pt x="31750" y="1109662"/>
                                </a:moveTo>
                                <a:lnTo>
                                  <a:pt x="0" y="1109662"/>
                                </a:lnTo>
                                <a:lnTo>
                                  <a:pt x="0" y="1116012"/>
                                </a:lnTo>
                                <a:lnTo>
                                  <a:pt x="31750" y="1116012"/>
                                </a:lnTo>
                                <a:lnTo>
                                  <a:pt x="31750" y="1109662"/>
                                </a:lnTo>
                                <a:close/>
                              </a:path>
                              <a:path w="4381500" h="1602105">
                                <a:moveTo>
                                  <a:pt x="31750" y="887412"/>
                                </a:moveTo>
                                <a:lnTo>
                                  <a:pt x="0" y="887412"/>
                                </a:lnTo>
                                <a:lnTo>
                                  <a:pt x="0" y="893762"/>
                                </a:lnTo>
                                <a:lnTo>
                                  <a:pt x="31750" y="893762"/>
                                </a:lnTo>
                                <a:lnTo>
                                  <a:pt x="31750" y="887412"/>
                                </a:lnTo>
                                <a:close/>
                              </a:path>
                              <a:path w="4381500" h="1602105">
                                <a:moveTo>
                                  <a:pt x="31750" y="665162"/>
                                </a:moveTo>
                                <a:lnTo>
                                  <a:pt x="0" y="665162"/>
                                </a:lnTo>
                                <a:lnTo>
                                  <a:pt x="0" y="671512"/>
                                </a:lnTo>
                                <a:lnTo>
                                  <a:pt x="31750" y="671512"/>
                                </a:lnTo>
                                <a:lnTo>
                                  <a:pt x="31750" y="665162"/>
                                </a:lnTo>
                                <a:close/>
                              </a:path>
                              <a:path w="4381500" h="1602105">
                                <a:moveTo>
                                  <a:pt x="31750" y="436562"/>
                                </a:moveTo>
                                <a:lnTo>
                                  <a:pt x="0" y="436562"/>
                                </a:lnTo>
                                <a:lnTo>
                                  <a:pt x="0" y="442912"/>
                                </a:lnTo>
                                <a:lnTo>
                                  <a:pt x="31750" y="442912"/>
                                </a:lnTo>
                                <a:lnTo>
                                  <a:pt x="31750" y="436562"/>
                                </a:lnTo>
                                <a:close/>
                              </a:path>
                              <a:path w="4381500" h="1602105">
                                <a:moveTo>
                                  <a:pt x="31750" y="227012"/>
                                </a:moveTo>
                                <a:lnTo>
                                  <a:pt x="0" y="227012"/>
                                </a:lnTo>
                                <a:lnTo>
                                  <a:pt x="0" y="233362"/>
                                </a:lnTo>
                                <a:lnTo>
                                  <a:pt x="31750" y="233362"/>
                                </a:lnTo>
                                <a:lnTo>
                                  <a:pt x="31750" y="227012"/>
                                </a:lnTo>
                                <a:close/>
                              </a:path>
                              <a:path w="4381500" h="1602105">
                                <a:moveTo>
                                  <a:pt x="31750" y="4762"/>
                                </a:moveTo>
                                <a:lnTo>
                                  <a:pt x="0" y="4762"/>
                                </a:lnTo>
                                <a:lnTo>
                                  <a:pt x="0" y="11112"/>
                                </a:lnTo>
                                <a:lnTo>
                                  <a:pt x="31750" y="11112"/>
                                </a:lnTo>
                                <a:lnTo>
                                  <a:pt x="31750" y="4762"/>
                                </a:lnTo>
                                <a:close/>
                              </a:path>
                              <a:path w="4381500" h="1602105">
                                <a:moveTo>
                                  <a:pt x="4381500" y="1547812"/>
                                </a:moveTo>
                                <a:lnTo>
                                  <a:pt x="41275" y="1547812"/>
                                </a:lnTo>
                                <a:lnTo>
                                  <a:pt x="41275" y="0"/>
                                </a:lnTo>
                                <a:lnTo>
                                  <a:pt x="34925" y="0"/>
                                </a:lnTo>
                                <a:lnTo>
                                  <a:pt x="34925" y="1547812"/>
                                </a:lnTo>
                                <a:lnTo>
                                  <a:pt x="0" y="1547812"/>
                                </a:lnTo>
                                <a:lnTo>
                                  <a:pt x="0" y="1554162"/>
                                </a:lnTo>
                                <a:lnTo>
                                  <a:pt x="34925" y="1554162"/>
                                </a:lnTo>
                                <a:lnTo>
                                  <a:pt x="34925" y="1601787"/>
                                </a:lnTo>
                                <a:lnTo>
                                  <a:pt x="41275" y="1601787"/>
                                </a:lnTo>
                                <a:lnTo>
                                  <a:pt x="41275" y="1554162"/>
                                </a:lnTo>
                                <a:lnTo>
                                  <a:pt x="654265" y="1554162"/>
                                </a:lnTo>
                                <a:lnTo>
                                  <a:pt x="654265" y="1601787"/>
                                </a:lnTo>
                                <a:lnTo>
                                  <a:pt x="660615" y="1601787"/>
                                </a:lnTo>
                                <a:lnTo>
                                  <a:pt x="660615" y="1554162"/>
                                </a:lnTo>
                                <a:lnTo>
                                  <a:pt x="1273594" y="1554162"/>
                                </a:lnTo>
                                <a:lnTo>
                                  <a:pt x="1273594" y="1601787"/>
                                </a:lnTo>
                                <a:lnTo>
                                  <a:pt x="1279944" y="1601787"/>
                                </a:lnTo>
                                <a:lnTo>
                                  <a:pt x="1279944" y="1554162"/>
                                </a:lnTo>
                                <a:lnTo>
                                  <a:pt x="1892935" y="1554162"/>
                                </a:lnTo>
                                <a:lnTo>
                                  <a:pt x="1892935" y="1601787"/>
                                </a:lnTo>
                                <a:lnTo>
                                  <a:pt x="1899285" y="1601787"/>
                                </a:lnTo>
                                <a:lnTo>
                                  <a:pt x="1899285" y="1554162"/>
                                </a:lnTo>
                                <a:lnTo>
                                  <a:pt x="2512263" y="1554162"/>
                                </a:lnTo>
                                <a:lnTo>
                                  <a:pt x="2512263" y="1601787"/>
                                </a:lnTo>
                                <a:lnTo>
                                  <a:pt x="2518613" y="1601787"/>
                                </a:lnTo>
                                <a:lnTo>
                                  <a:pt x="2518613" y="1554162"/>
                                </a:lnTo>
                                <a:lnTo>
                                  <a:pt x="3131604" y="1554162"/>
                                </a:lnTo>
                                <a:lnTo>
                                  <a:pt x="3131604" y="1601787"/>
                                </a:lnTo>
                                <a:lnTo>
                                  <a:pt x="3137954" y="1601787"/>
                                </a:lnTo>
                                <a:lnTo>
                                  <a:pt x="3137954" y="1554162"/>
                                </a:lnTo>
                                <a:lnTo>
                                  <a:pt x="3750932" y="1554162"/>
                                </a:lnTo>
                                <a:lnTo>
                                  <a:pt x="3750932" y="1601787"/>
                                </a:lnTo>
                                <a:lnTo>
                                  <a:pt x="3757282" y="1601787"/>
                                </a:lnTo>
                                <a:lnTo>
                                  <a:pt x="3757282" y="1554162"/>
                                </a:lnTo>
                                <a:lnTo>
                                  <a:pt x="4370273" y="1554162"/>
                                </a:lnTo>
                                <a:lnTo>
                                  <a:pt x="4370273" y="1601787"/>
                                </a:lnTo>
                                <a:lnTo>
                                  <a:pt x="4376623" y="1601787"/>
                                </a:lnTo>
                                <a:lnTo>
                                  <a:pt x="4376623" y="1554162"/>
                                </a:lnTo>
                                <a:lnTo>
                                  <a:pt x="4381500" y="1554162"/>
                                </a:lnTo>
                                <a:lnTo>
                                  <a:pt x="4381500" y="15478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9.581696pt;margin-top:19.102013pt;width:345pt;height:126.15pt;mso-position-horizontal-relative:page;mso-position-vertical-relative:paragraph;z-index:-15651840;mso-wrap-distance-left:0;mso-wrap-distance-right:0" id="docshapegroup1195" coordorigin="2792,382" coordsize="6900,2523">
                <v:shape style="position:absolute;left:3131;top:515;width:6237;height:2299" id="docshape1196" coordorigin="3132,516" coordsize="6237,2299" path="m3518,2466l3132,2466,3132,2815,3518,2815,3518,2466xm4497,1956l4110,1956,4110,2815,4497,2815,4497,1956xm5468,1382l5082,1382,5082,2815,5468,2815,5468,1382xm6457,715l6071,715,6071,2815,6457,2815,6457,715xm7425,2275l7039,2275,7039,2815,7425,2815,7425,2275xm8393,1382l8007,1382,8007,2815,8393,2815,8393,1382xm9368,516l8982,516,8982,2815,9368,2815,9368,516xe" filled="true" fillcolor="#2e614a" stroked="false">
                  <v:path arrowok="t"/>
                  <v:fill type="solid"/>
                </v:shape>
                <v:shape style="position:absolute;left:2791;top:382;width:6900;height:2523" id="docshape1197" coordorigin="2792,382" coordsize="6900,2523" path="m2842,2470l2792,2470,2792,2480,2842,2480,2842,2470xm2842,2130l2792,2130,2792,2140,2842,2140,2842,2130xm2842,1780l2792,1780,2792,1790,2842,1790,2842,1780xm2842,1430l2792,1430,2792,1440,2842,1440,2842,1430xm2842,1070l2792,1070,2792,1080,2842,1080,2842,1070xm2842,740l2792,740,2792,750,2842,750,2842,740xm2842,390l2792,390,2792,400,2842,400,2842,390xm9692,2820l2857,2820,2857,382,2847,382,2847,2820,2792,2820,2792,2830,2847,2830,2847,2905,2857,2905,2857,2830,3822,2830,3822,2905,3832,2905,3832,2830,4797,2830,4797,2905,4807,2905,4807,2830,5773,2830,5773,2905,5783,2905,5783,2830,6748,2830,6748,2905,6758,2905,6758,2830,7723,2830,7723,2905,7733,2905,7733,2830,8699,2830,8699,2905,8709,2905,8709,2830,9674,2830,9674,2905,9684,2905,9684,2830,9692,2830,9692,2820xe" filled="true" fillcolor="#000000" stroked="false">
                  <v:path arrowok="t"/>
                  <v:fill type="solid"/>
                </v:shape>
                <w10:wrap type="topAndBottom"/>
              </v:group>
            </w:pict>
          </mc:Fallback>
        </mc:AlternateContent>
      </w:r>
    </w:p>
    <w:p>
      <w:pPr>
        <w:pStyle w:val="BodyText"/>
        <w:rPr>
          <w:b/>
          <w:sz w:val="16"/>
        </w:rPr>
      </w:pPr>
    </w:p>
    <w:p>
      <w:pPr>
        <w:pStyle w:val="BodyText"/>
        <w:rPr>
          <w:b/>
          <w:sz w:val="16"/>
        </w:rPr>
      </w:pPr>
    </w:p>
    <w:p>
      <w:pPr>
        <w:pStyle w:val="BodyText"/>
        <w:spacing w:before="13"/>
        <w:rPr>
          <w:b/>
          <w:sz w:val="16"/>
        </w:rPr>
      </w:pPr>
    </w:p>
    <w:p>
      <w:pPr>
        <w:spacing w:before="0"/>
        <w:ind w:left="2011" w:right="0" w:firstLine="0"/>
        <w:jc w:val="left"/>
        <w:rPr>
          <w:sz w:val="16"/>
        </w:rPr>
      </w:pPr>
      <w:r>
        <w:rPr>
          <w:i/>
          <w:spacing w:val="-4"/>
          <w:sz w:val="16"/>
        </w:rPr>
        <w:t>Source:</w:t>
      </w:r>
      <w:r>
        <w:rPr>
          <w:i/>
          <w:spacing w:val="-1"/>
          <w:sz w:val="16"/>
        </w:rPr>
        <w:t> </w:t>
      </w:r>
      <w:r>
        <w:rPr>
          <w:spacing w:val="-4"/>
          <w:sz w:val="16"/>
        </w:rPr>
        <w:t>Annual</w:t>
      </w:r>
      <w:r>
        <w:rPr>
          <w:spacing w:val="-1"/>
          <w:sz w:val="16"/>
        </w:rPr>
        <w:t> </w:t>
      </w:r>
      <w:r>
        <w:rPr>
          <w:spacing w:val="-4"/>
          <w:sz w:val="16"/>
        </w:rPr>
        <w:t>Status</w:t>
      </w:r>
      <w:r>
        <w:rPr>
          <w:spacing w:val="-1"/>
          <w:sz w:val="16"/>
        </w:rPr>
        <w:t> </w:t>
      </w:r>
      <w:r>
        <w:rPr>
          <w:spacing w:val="-4"/>
          <w:sz w:val="16"/>
        </w:rPr>
        <w:t>of</w:t>
      </w:r>
      <w:r>
        <w:rPr>
          <w:spacing w:val="-1"/>
          <w:sz w:val="16"/>
        </w:rPr>
        <w:t> </w:t>
      </w:r>
      <w:r>
        <w:rPr>
          <w:spacing w:val="-4"/>
          <w:sz w:val="16"/>
        </w:rPr>
        <w:t>Education</w:t>
      </w:r>
      <w:r>
        <w:rPr>
          <w:spacing w:val="-1"/>
          <w:sz w:val="16"/>
        </w:rPr>
        <w:t> </w:t>
      </w:r>
      <w:r>
        <w:rPr>
          <w:spacing w:val="-4"/>
          <w:sz w:val="16"/>
        </w:rPr>
        <w:t>Report</w:t>
      </w:r>
      <w:r>
        <w:rPr>
          <w:spacing w:val="-1"/>
          <w:sz w:val="16"/>
        </w:rPr>
        <w:t> </w:t>
      </w:r>
      <w:r>
        <w:rPr>
          <w:spacing w:val="-4"/>
          <w:sz w:val="16"/>
        </w:rPr>
        <w:t>(Rural)</w:t>
      </w:r>
      <w:r>
        <w:rPr>
          <w:spacing w:val="-1"/>
          <w:sz w:val="16"/>
        </w:rPr>
        <w:t> </w:t>
      </w:r>
      <w:r>
        <w:rPr>
          <w:spacing w:val="-4"/>
          <w:sz w:val="16"/>
        </w:rPr>
        <w:t>2006</w:t>
      </w:r>
    </w:p>
    <w:p>
      <w:pPr>
        <w:pStyle w:val="BodyText"/>
        <w:spacing w:before="222"/>
        <w:rPr>
          <w:sz w:val="24"/>
        </w:rPr>
      </w:pPr>
    </w:p>
    <w:p>
      <w:pPr>
        <w:pStyle w:val="Heading8"/>
        <w:spacing w:before="1"/>
        <w:ind w:left="2016"/>
      </w:pPr>
      <w:r>
        <w:rPr>
          <w:w w:val="90"/>
        </w:rPr>
        <w:t>Figure</w:t>
      </w:r>
      <w:r>
        <w:rPr>
          <w:spacing w:val="3"/>
        </w:rPr>
        <w:t> </w:t>
      </w:r>
      <w:r>
        <w:rPr>
          <w:w w:val="90"/>
        </w:rPr>
        <w:t>8:</w:t>
      </w:r>
      <w:r>
        <w:rPr>
          <w:spacing w:val="68"/>
        </w:rPr>
        <w:t> </w:t>
      </w:r>
      <w:r>
        <w:rPr>
          <w:color w:val="2E614A"/>
          <w:w w:val="90"/>
        </w:rPr>
        <w:t>Expenditure</w:t>
      </w:r>
      <w:r>
        <w:rPr>
          <w:color w:val="2E614A"/>
          <w:spacing w:val="4"/>
        </w:rPr>
        <w:t> </w:t>
      </w:r>
      <w:r>
        <w:rPr>
          <w:color w:val="2E614A"/>
          <w:w w:val="90"/>
        </w:rPr>
        <w:t>on</w:t>
      </w:r>
      <w:r>
        <w:rPr>
          <w:color w:val="2E614A"/>
          <w:spacing w:val="4"/>
        </w:rPr>
        <w:t> </w:t>
      </w:r>
      <w:r>
        <w:rPr>
          <w:color w:val="2E614A"/>
          <w:w w:val="90"/>
        </w:rPr>
        <w:t>education</w:t>
      </w:r>
      <w:r>
        <w:rPr>
          <w:color w:val="2E614A"/>
          <w:spacing w:val="4"/>
        </w:rPr>
        <w:t> </w:t>
      </w:r>
      <w:r>
        <w:rPr>
          <w:color w:val="2E614A"/>
          <w:w w:val="90"/>
        </w:rPr>
        <w:t>as</w:t>
      </w:r>
      <w:r>
        <w:rPr>
          <w:color w:val="2E614A"/>
          <w:spacing w:val="4"/>
        </w:rPr>
        <w:t> </w:t>
      </w:r>
      <w:r>
        <w:rPr>
          <w:color w:val="2E614A"/>
          <w:w w:val="90"/>
        </w:rPr>
        <w:t>a</w:t>
      </w:r>
      <w:r>
        <w:rPr>
          <w:color w:val="2E614A"/>
          <w:spacing w:val="3"/>
        </w:rPr>
        <w:t> </w:t>
      </w:r>
      <w:r>
        <w:rPr>
          <w:color w:val="2E614A"/>
          <w:w w:val="90"/>
        </w:rPr>
        <w:t>percentage</w:t>
      </w:r>
      <w:r>
        <w:rPr>
          <w:color w:val="2E614A"/>
          <w:spacing w:val="4"/>
        </w:rPr>
        <w:t> </w:t>
      </w:r>
      <w:r>
        <w:rPr>
          <w:color w:val="2E614A"/>
          <w:w w:val="90"/>
        </w:rPr>
        <w:t>of</w:t>
      </w:r>
      <w:r>
        <w:rPr>
          <w:color w:val="2E614A"/>
          <w:spacing w:val="4"/>
        </w:rPr>
        <w:t> </w:t>
      </w:r>
      <w:r>
        <w:rPr>
          <w:color w:val="2E614A"/>
          <w:spacing w:val="-5"/>
          <w:w w:val="90"/>
        </w:rPr>
        <w:t>GDP</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31"/>
        <w:rPr>
          <w:b/>
          <w:sz w:val="16"/>
        </w:rPr>
      </w:pPr>
    </w:p>
    <w:p>
      <w:pPr>
        <w:spacing w:before="0"/>
        <w:ind w:left="2030" w:right="0" w:firstLine="0"/>
        <w:jc w:val="left"/>
        <w:rPr>
          <w:sz w:val="16"/>
        </w:rPr>
      </w:pPr>
      <w:r>
        <w:rPr/>
        <mc:AlternateContent>
          <mc:Choice Requires="wps">
            <w:drawing>
              <wp:anchor distT="0" distB="0" distL="0" distR="0" allowOverlap="1" layoutInCell="1" locked="0" behindDoc="0" simplePos="0" relativeHeight="15806464">
                <wp:simplePos x="0" y="0"/>
                <wp:positionH relativeFrom="page">
                  <wp:posOffset>1280562</wp:posOffset>
                </wp:positionH>
                <wp:positionV relativeFrom="paragraph">
                  <wp:posOffset>-2579400</wp:posOffset>
                </wp:positionV>
                <wp:extent cx="5039360" cy="2548890"/>
                <wp:effectExtent l="0" t="0" r="0" b="0"/>
                <wp:wrapNone/>
                <wp:docPr id="1210" name="Group 1210"/>
                <wp:cNvGraphicFramePr>
                  <a:graphicFrameLocks/>
                </wp:cNvGraphicFramePr>
                <a:graphic>
                  <a:graphicData uri="http://schemas.microsoft.com/office/word/2010/wordprocessingGroup">
                    <wpg:wgp>
                      <wpg:cNvPr id="1210" name="Group 1210"/>
                      <wpg:cNvGrpSpPr/>
                      <wpg:grpSpPr>
                        <a:xfrm>
                          <a:off x="0" y="0"/>
                          <a:ext cx="5039360" cy="2548890"/>
                          <a:chExt cx="5039360" cy="2548890"/>
                        </a:xfrm>
                      </wpg:grpSpPr>
                      <wps:wsp>
                        <wps:cNvPr id="1211" name="Graphic 1211"/>
                        <wps:cNvSpPr/>
                        <wps:spPr>
                          <a:xfrm>
                            <a:off x="-8" y="0"/>
                            <a:ext cx="5039360" cy="2548890"/>
                          </a:xfrm>
                          <a:custGeom>
                            <a:avLst/>
                            <a:gdLst/>
                            <a:ahLst/>
                            <a:cxnLst/>
                            <a:rect l="l" t="t" r="r" b="b"/>
                            <a:pathLst>
                              <a:path w="5039360" h="2548890">
                                <a:moveTo>
                                  <a:pt x="5039055" y="0"/>
                                </a:moveTo>
                                <a:lnTo>
                                  <a:pt x="5032705" y="0"/>
                                </a:lnTo>
                                <a:lnTo>
                                  <a:pt x="5032705" y="2540"/>
                                </a:lnTo>
                                <a:lnTo>
                                  <a:pt x="5032705" y="2768"/>
                                </a:lnTo>
                                <a:lnTo>
                                  <a:pt x="5032705" y="2546350"/>
                                </a:lnTo>
                                <a:lnTo>
                                  <a:pt x="3175" y="2546350"/>
                                </a:lnTo>
                                <a:lnTo>
                                  <a:pt x="3175" y="2546197"/>
                                </a:lnTo>
                                <a:lnTo>
                                  <a:pt x="6350" y="2546197"/>
                                </a:lnTo>
                                <a:lnTo>
                                  <a:pt x="5032705" y="2546197"/>
                                </a:lnTo>
                                <a:lnTo>
                                  <a:pt x="5032705" y="2543022"/>
                                </a:lnTo>
                                <a:lnTo>
                                  <a:pt x="6350" y="2543022"/>
                                </a:lnTo>
                                <a:lnTo>
                                  <a:pt x="3175" y="2543022"/>
                                </a:lnTo>
                                <a:lnTo>
                                  <a:pt x="3175" y="2542540"/>
                                </a:lnTo>
                                <a:lnTo>
                                  <a:pt x="6350" y="2542540"/>
                                </a:lnTo>
                                <a:lnTo>
                                  <a:pt x="6350" y="6350"/>
                                </a:lnTo>
                                <a:lnTo>
                                  <a:pt x="3175" y="6350"/>
                                </a:lnTo>
                                <a:lnTo>
                                  <a:pt x="3175" y="5943"/>
                                </a:lnTo>
                                <a:lnTo>
                                  <a:pt x="6350" y="5943"/>
                                </a:lnTo>
                                <a:lnTo>
                                  <a:pt x="5032705" y="5943"/>
                                </a:lnTo>
                                <a:lnTo>
                                  <a:pt x="5032705" y="2768"/>
                                </a:lnTo>
                                <a:lnTo>
                                  <a:pt x="6350" y="2768"/>
                                </a:lnTo>
                                <a:lnTo>
                                  <a:pt x="3175" y="2768"/>
                                </a:lnTo>
                                <a:lnTo>
                                  <a:pt x="3175" y="2540"/>
                                </a:lnTo>
                                <a:lnTo>
                                  <a:pt x="5032705" y="2540"/>
                                </a:lnTo>
                                <a:lnTo>
                                  <a:pt x="5032705" y="0"/>
                                </a:lnTo>
                                <a:lnTo>
                                  <a:pt x="0" y="0"/>
                                </a:lnTo>
                                <a:lnTo>
                                  <a:pt x="0" y="2540"/>
                                </a:lnTo>
                                <a:lnTo>
                                  <a:pt x="0" y="6350"/>
                                </a:lnTo>
                                <a:lnTo>
                                  <a:pt x="0" y="2542540"/>
                                </a:lnTo>
                                <a:lnTo>
                                  <a:pt x="0" y="2546350"/>
                                </a:lnTo>
                                <a:lnTo>
                                  <a:pt x="0" y="2548890"/>
                                </a:lnTo>
                                <a:lnTo>
                                  <a:pt x="5039055" y="2548890"/>
                                </a:lnTo>
                                <a:lnTo>
                                  <a:pt x="5039055" y="2546350"/>
                                </a:lnTo>
                                <a:lnTo>
                                  <a:pt x="5035880" y="2546350"/>
                                </a:lnTo>
                                <a:lnTo>
                                  <a:pt x="5035880" y="2546197"/>
                                </a:lnTo>
                                <a:lnTo>
                                  <a:pt x="5039055" y="2546197"/>
                                </a:lnTo>
                                <a:lnTo>
                                  <a:pt x="5039055" y="2543022"/>
                                </a:lnTo>
                                <a:lnTo>
                                  <a:pt x="5035880" y="2543022"/>
                                </a:lnTo>
                                <a:lnTo>
                                  <a:pt x="5035880" y="2542540"/>
                                </a:lnTo>
                                <a:lnTo>
                                  <a:pt x="5039055" y="2542540"/>
                                </a:lnTo>
                                <a:lnTo>
                                  <a:pt x="5039055" y="6350"/>
                                </a:lnTo>
                                <a:lnTo>
                                  <a:pt x="5035880" y="6350"/>
                                </a:lnTo>
                                <a:lnTo>
                                  <a:pt x="5035880" y="5943"/>
                                </a:lnTo>
                                <a:lnTo>
                                  <a:pt x="5039055" y="5943"/>
                                </a:lnTo>
                                <a:lnTo>
                                  <a:pt x="5039055" y="2768"/>
                                </a:lnTo>
                                <a:lnTo>
                                  <a:pt x="5035880" y="2768"/>
                                </a:lnTo>
                                <a:lnTo>
                                  <a:pt x="5035880" y="2540"/>
                                </a:lnTo>
                                <a:lnTo>
                                  <a:pt x="5039055" y="2540"/>
                                </a:lnTo>
                                <a:lnTo>
                                  <a:pt x="5039055" y="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666167" y="1211989"/>
                            <a:ext cx="67945" cy="62865"/>
                          </a:xfrm>
                          <a:custGeom>
                            <a:avLst/>
                            <a:gdLst/>
                            <a:ahLst/>
                            <a:cxnLst/>
                            <a:rect l="l" t="t" r="r" b="b"/>
                            <a:pathLst>
                              <a:path w="67945" h="62865">
                                <a:moveTo>
                                  <a:pt x="67355" y="0"/>
                                </a:moveTo>
                                <a:lnTo>
                                  <a:pt x="0" y="0"/>
                                </a:lnTo>
                                <a:lnTo>
                                  <a:pt x="0" y="62544"/>
                                </a:lnTo>
                                <a:lnTo>
                                  <a:pt x="67355" y="62544"/>
                                </a:lnTo>
                                <a:lnTo>
                                  <a:pt x="67355" y="0"/>
                                </a:lnTo>
                                <a:close/>
                              </a:path>
                            </a:pathLst>
                          </a:custGeom>
                          <a:solidFill>
                            <a:srgbClr val="E3C626"/>
                          </a:solidFill>
                        </wps:spPr>
                        <wps:bodyPr wrap="square" lIns="0" tIns="0" rIns="0" bIns="0" rtlCol="0">
                          <a:prstTxWarp prst="textNoShape">
                            <a:avLst/>
                          </a:prstTxWarp>
                          <a:noAutofit/>
                        </wps:bodyPr>
                      </wps:wsp>
                      <wps:wsp>
                        <wps:cNvPr id="1213" name="Graphic 1213"/>
                        <wps:cNvSpPr/>
                        <wps:spPr>
                          <a:xfrm>
                            <a:off x="522291" y="325018"/>
                            <a:ext cx="4332605" cy="1861820"/>
                          </a:xfrm>
                          <a:custGeom>
                            <a:avLst/>
                            <a:gdLst/>
                            <a:ahLst/>
                            <a:cxnLst/>
                            <a:rect l="l" t="t" r="r" b="b"/>
                            <a:pathLst>
                              <a:path w="4332605" h="1861820">
                                <a:moveTo>
                                  <a:pt x="4332605" y="1827911"/>
                                </a:moveTo>
                                <a:lnTo>
                                  <a:pt x="4331589" y="1827911"/>
                                </a:lnTo>
                                <a:lnTo>
                                  <a:pt x="4331589" y="1826552"/>
                                </a:lnTo>
                                <a:lnTo>
                                  <a:pt x="40373" y="1826552"/>
                                </a:lnTo>
                                <a:lnTo>
                                  <a:pt x="40373" y="127"/>
                                </a:lnTo>
                                <a:lnTo>
                                  <a:pt x="34455" y="127"/>
                                </a:lnTo>
                                <a:lnTo>
                                  <a:pt x="34455" y="0"/>
                                </a:lnTo>
                                <a:lnTo>
                                  <a:pt x="2705" y="0"/>
                                </a:lnTo>
                                <a:lnTo>
                                  <a:pt x="2705" y="6350"/>
                                </a:lnTo>
                                <a:lnTo>
                                  <a:pt x="34023" y="6350"/>
                                </a:lnTo>
                                <a:lnTo>
                                  <a:pt x="34023" y="365188"/>
                                </a:lnTo>
                                <a:lnTo>
                                  <a:pt x="2705" y="365188"/>
                                </a:lnTo>
                                <a:lnTo>
                                  <a:pt x="2705" y="371538"/>
                                </a:lnTo>
                                <a:lnTo>
                                  <a:pt x="34023" y="371538"/>
                                </a:lnTo>
                                <a:lnTo>
                                  <a:pt x="34023" y="730364"/>
                                </a:lnTo>
                                <a:lnTo>
                                  <a:pt x="2705" y="730364"/>
                                </a:lnTo>
                                <a:lnTo>
                                  <a:pt x="2705" y="736714"/>
                                </a:lnTo>
                                <a:lnTo>
                                  <a:pt x="34023" y="736714"/>
                                </a:lnTo>
                                <a:lnTo>
                                  <a:pt x="34023" y="1095552"/>
                                </a:lnTo>
                                <a:lnTo>
                                  <a:pt x="2705" y="1095552"/>
                                </a:lnTo>
                                <a:lnTo>
                                  <a:pt x="2705" y="1101902"/>
                                </a:lnTo>
                                <a:lnTo>
                                  <a:pt x="34023" y="1101902"/>
                                </a:lnTo>
                                <a:lnTo>
                                  <a:pt x="34023" y="1460741"/>
                                </a:lnTo>
                                <a:lnTo>
                                  <a:pt x="2705" y="1460741"/>
                                </a:lnTo>
                                <a:lnTo>
                                  <a:pt x="2705" y="1467091"/>
                                </a:lnTo>
                                <a:lnTo>
                                  <a:pt x="34023" y="1467091"/>
                                </a:lnTo>
                                <a:lnTo>
                                  <a:pt x="34023" y="1826552"/>
                                </a:lnTo>
                                <a:lnTo>
                                  <a:pt x="0" y="1826552"/>
                                </a:lnTo>
                                <a:lnTo>
                                  <a:pt x="0" y="1832902"/>
                                </a:lnTo>
                                <a:lnTo>
                                  <a:pt x="34023" y="1832902"/>
                                </a:lnTo>
                                <a:lnTo>
                                  <a:pt x="34023" y="1861769"/>
                                </a:lnTo>
                                <a:lnTo>
                                  <a:pt x="40373" y="1861769"/>
                                </a:lnTo>
                                <a:lnTo>
                                  <a:pt x="40373" y="1832902"/>
                                </a:lnTo>
                                <a:lnTo>
                                  <a:pt x="308343" y="1832902"/>
                                </a:lnTo>
                                <a:lnTo>
                                  <a:pt x="308343" y="1859241"/>
                                </a:lnTo>
                                <a:lnTo>
                                  <a:pt x="314693" y="1859241"/>
                                </a:lnTo>
                                <a:lnTo>
                                  <a:pt x="314693" y="1832902"/>
                                </a:lnTo>
                                <a:lnTo>
                                  <a:pt x="595337" y="1832902"/>
                                </a:lnTo>
                                <a:lnTo>
                                  <a:pt x="595337" y="1859241"/>
                                </a:lnTo>
                                <a:lnTo>
                                  <a:pt x="601687" y="1859241"/>
                                </a:lnTo>
                                <a:lnTo>
                                  <a:pt x="601687" y="1832902"/>
                                </a:lnTo>
                                <a:lnTo>
                                  <a:pt x="882332" y="1832902"/>
                                </a:lnTo>
                                <a:lnTo>
                                  <a:pt x="882332" y="1859241"/>
                                </a:lnTo>
                                <a:lnTo>
                                  <a:pt x="888682" y="1859241"/>
                                </a:lnTo>
                                <a:lnTo>
                                  <a:pt x="888682" y="1832902"/>
                                </a:lnTo>
                                <a:lnTo>
                                  <a:pt x="1169327" y="1832902"/>
                                </a:lnTo>
                                <a:lnTo>
                                  <a:pt x="1169327" y="1859241"/>
                                </a:lnTo>
                                <a:lnTo>
                                  <a:pt x="1175677" y="1859241"/>
                                </a:lnTo>
                                <a:lnTo>
                                  <a:pt x="1175677" y="1832902"/>
                                </a:lnTo>
                                <a:lnTo>
                                  <a:pt x="1456321" y="1832902"/>
                                </a:lnTo>
                                <a:lnTo>
                                  <a:pt x="1456321" y="1859241"/>
                                </a:lnTo>
                                <a:lnTo>
                                  <a:pt x="1462671" y="1859241"/>
                                </a:lnTo>
                                <a:lnTo>
                                  <a:pt x="1462671" y="1832902"/>
                                </a:lnTo>
                                <a:lnTo>
                                  <a:pt x="1743316" y="1832902"/>
                                </a:lnTo>
                                <a:lnTo>
                                  <a:pt x="1743316" y="1859241"/>
                                </a:lnTo>
                                <a:lnTo>
                                  <a:pt x="1749666" y="1859241"/>
                                </a:lnTo>
                                <a:lnTo>
                                  <a:pt x="1749666" y="1832902"/>
                                </a:lnTo>
                                <a:lnTo>
                                  <a:pt x="2030310" y="1832902"/>
                                </a:lnTo>
                                <a:lnTo>
                                  <a:pt x="2030310" y="1859241"/>
                                </a:lnTo>
                                <a:lnTo>
                                  <a:pt x="2036660" y="1859241"/>
                                </a:lnTo>
                                <a:lnTo>
                                  <a:pt x="2036660" y="1832902"/>
                                </a:lnTo>
                                <a:lnTo>
                                  <a:pt x="2317305" y="1832902"/>
                                </a:lnTo>
                                <a:lnTo>
                                  <a:pt x="2317305" y="1859241"/>
                                </a:lnTo>
                                <a:lnTo>
                                  <a:pt x="2323655" y="1859241"/>
                                </a:lnTo>
                                <a:lnTo>
                                  <a:pt x="2323655" y="1832902"/>
                                </a:lnTo>
                                <a:lnTo>
                                  <a:pt x="2604287" y="1832902"/>
                                </a:lnTo>
                                <a:lnTo>
                                  <a:pt x="2604287" y="1859241"/>
                                </a:lnTo>
                                <a:lnTo>
                                  <a:pt x="2610637" y="1859241"/>
                                </a:lnTo>
                                <a:lnTo>
                                  <a:pt x="2610637" y="1832902"/>
                                </a:lnTo>
                                <a:lnTo>
                                  <a:pt x="2891282" y="1832902"/>
                                </a:lnTo>
                                <a:lnTo>
                                  <a:pt x="2891282" y="1859241"/>
                                </a:lnTo>
                                <a:lnTo>
                                  <a:pt x="2897632" y="1859241"/>
                                </a:lnTo>
                                <a:lnTo>
                                  <a:pt x="2897632" y="1832902"/>
                                </a:lnTo>
                                <a:lnTo>
                                  <a:pt x="3178276" y="1832902"/>
                                </a:lnTo>
                                <a:lnTo>
                                  <a:pt x="3178276" y="1859241"/>
                                </a:lnTo>
                                <a:lnTo>
                                  <a:pt x="3184626" y="1859241"/>
                                </a:lnTo>
                                <a:lnTo>
                                  <a:pt x="3184626" y="1832902"/>
                                </a:lnTo>
                                <a:lnTo>
                                  <a:pt x="3465271" y="1832902"/>
                                </a:lnTo>
                                <a:lnTo>
                                  <a:pt x="3465271" y="1859241"/>
                                </a:lnTo>
                                <a:lnTo>
                                  <a:pt x="3471621" y="1859241"/>
                                </a:lnTo>
                                <a:lnTo>
                                  <a:pt x="3471621" y="1832902"/>
                                </a:lnTo>
                                <a:lnTo>
                                  <a:pt x="3752265" y="1832902"/>
                                </a:lnTo>
                                <a:lnTo>
                                  <a:pt x="3752265" y="1859241"/>
                                </a:lnTo>
                                <a:lnTo>
                                  <a:pt x="3758615" y="1859241"/>
                                </a:lnTo>
                                <a:lnTo>
                                  <a:pt x="3758615" y="1832902"/>
                                </a:lnTo>
                                <a:lnTo>
                                  <a:pt x="4039260" y="1832902"/>
                                </a:lnTo>
                                <a:lnTo>
                                  <a:pt x="4039260" y="1859241"/>
                                </a:lnTo>
                                <a:lnTo>
                                  <a:pt x="4045610" y="1859241"/>
                                </a:lnTo>
                                <a:lnTo>
                                  <a:pt x="4045610" y="1832902"/>
                                </a:lnTo>
                                <a:lnTo>
                                  <a:pt x="4326255" y="1832902"/>
                                </a:lnTo>
                                <a:lnTo>
                                  <a:pt x="4326255" y="1859241"/>
                                </a:lnTo>
                                <a:lnTo>
                                  <a:pt x="4332605" y="1859241"/>
                                </a:lnTo>
                                <a:lnTo>
                                  <a:pt x="4332605" y="1827911"/>
                                </a:lnTo>
                                <a:close/>
                              </a:path>
                            </a:pathLst>
                          </a:custGeom>
                          <a:solidFill>
                            <a:srgbClr val="000000"/>
                          </a:solidFill>
                        </wps:spPr>
                        <wps:bodyPr wrap="square" lIns="0" tIns="0" rIns="0" bIns="0" rtlCol="0">
                          <a:prstTxWarp prst="textNoShape">
                            <a:avLst/>
                          </a:prstTxWarp>
                          <a:noAutofit/>
                        </wps:bodyPr>
                      </wps:wsp>
                      <wps:wsp>
                        <wps:cNvPr id="1214" name="Graphic 1214"/>
                        <wps:cNvSpPr/>
                        <wps:spPr>
                          <a:xfrm>
                            <a:off x="951907" y="1067079"/>
                            <a:ext cx="3509010" cy="295275"/>
                          </a:xfrm>
                          <a:custGeom>
                            <a:avLst/>
                            <a:gdLst/>
                            <a:ahLst/>
                            <a:cxnLst/>
                            <a:rect l="l" t="t" r="r" b="b"/>
                            <a:pathLst>
                              <a:path w="3509010" h="295275">
                                <a:moveTo>
                                  <a:pt x="67360" y="132664"/>
                                </a:moveTo>
                                <a:lnTo>
                                  <a:pt x="0" y="132664"/>
                                </a:lnTo>
                                <a:lnTo>
                                  <a:pt x="0" y="195211"/>
                                </a:lnTo>
                                <a:lnTo>
                                  <a:pt x="67360" y="195211"/>
                                </a:lnTo>
                                <a:lnTo>
                                  <a:pt x="67360" y="132664"/>
                                </a:lnTo>
                                <a:close/>
                              </a:path>
                              <a:path w="3509010" h="295275">
                                <a:moveTo>
                                  <a:pt x="349034" y="124510"/>
                                </a:moveTo>
                                <a:lnTo>
                                  <a:pt x="281673" y="124510"/>
                                </a:lnTo>
                                <a:lnTo>
                                  <a:pt x="281673" y="187045"/>
                                </a:lnTo>
                                <a:lnTo>
                                  <a:pt x="349034" y="187045"/>
                                </a:lnTo>
                                <a:lnTo>
                                  <a:pt x="349034" y="124510"/>
                                </a:lnTo>
                                <a:close/>
                              </a:path>
                              <a:path w="3509010" h="295275">
                                <a:moveTo>
                                  <a:pt x="642937" y="173494"/>
                                </a:moveTo>
                                <a:lnTo>
                                  <a:pt x="575589" y="173494"/>
                                </a:lnTo>
                                <a:lnTo>
                                  <a:pt x="575589" y="236029"/>
                                </a:lnTo>
                                <a:lnTo>
                                  <a:pt x="642937" y="236029"/>
                                </a:lnTo>
                                <a:lnTo>
                                  <a:pt x="642937" y="173494"/>
                                </a:lnTo>
                                <a:close/>
                              </a:path>
                              <a:path w="3509010" h="295275">
                                <a:moveTo>
                                  <a:pt x="926655" y="193903"/>
                                </a:moveTo>
                                <a:lnTo>
                                  <a:pt x="859294" y="193903"/>
                                </a:lnTo>
                                <a:lnTo>
                                  <a:pt x="859294" y="256451"/>
                                </a:lnTo>
                                <a:lnTo>
                                  <a:pt x="926655" y="256451"/>
                                </a:lnTo>
                                <a:lnTo>
                                  <a:pt x="926655" y="193903"/>
                                </a:lnTo>
                                <a:close/>
                              </a:path>
                              <a:path w="3509010" h="295275">
                                <a:moveTo>
                                  <a:pt x="1216482" y="195948"/>
                                </a:moveTo>
                                <a:lnTo>
                                  <a:pt x="1149134" y="195948"/>
                                </a:lnTo>
                                <a:lnTo>
                                  <a:pt x="1149134" y="258483"/>
                                </a:lnTo>
                                <a:lnTo>
                                  <a:pt x="1216482" y="258483"/>
                                </a:lnTo>
                                <a:lnTo>
                                  <a:pt x="1216482" y="195948"/>
                                </a:lnTo>
                                <a:close/>
                              </a:path>
                              <a:path w="3509010" h="295275">
                                <a:moveTo>
                                  <a:pt x="1500187" y="220433"/>
                                </a:moveTo>
                                <a:lnTo>
                                  <a:pt x="1432839" y="220433"/>
                                </a:lnTo>
                                <a:lnTo>
                                  <a:pt x="1432839" y="282981"/>
                                </a:lnTo>
                                <a:lnTo>
                                  <a:pt x="1500187" y="282981"/>
                                </a:lnTo>
                                <a:lnTo>
                                  <a:pt x="1500187" y="220433"/>
                                </a:lnTo>
                                <a:close/>
                              </a:path>
                              <a:path w="3509010" h="295275">
                                <a:moveTo>
                                  <a:pt x="1794103" y="224523"/>
                                </a:moveTo>
                                <a:lnTo>
                                  <a:pt x="1726755" y="224523"/>
                                </a:lnTo>
                                <a:lnTo>
                                  <a:pt x="1726755" y="287058"/>
                                </a:lnTo>
                                <a:lnTo>
                                  <a:pt x="1794103" y="287058"/>
                                </a:lnTo>
                                <a:lnTo>
                                  <a:pt x="1794103" y="224523"/>
                                </a:lnTo>
                                <a:close/>
                              </a:path>
                              <a:path w="3509010" h="295275">
                                <a:moveTo>
                                  <a:pt x="2073732" y="134708"/>
                                </a:moveTo>
                                <a:lnTo>
                                  <a:pt x="2006384" y="134708"/>
                                </a:lnTo>
                                <a:lnTo>
                                  <a:pt x="2006384" y="197256"/>
                                </a:lnTo>
                                <a:lnTo>
                                  <a:pt x="2073732" y="197256"/>
                                </a:lnTo>
                                <a:lnTo>
                                  <a:pt x="2073732" y="134708"/>
                                </a:lnTo>
                                <a:close/>
                              </a:path>
                              <a:path w="3509010" h="295275">
                                <a:moveTo>
                                  <a:pt x="2367648" y="0"/>
                                </a:moveTo>
                                <a:lnTo>
                                  <a:pt x="2300287" y="0"/>
                                </a:lnTo>
                                <a:lnTo>
                                  <a:pt x="2300287" y="62547"/>
                                </a:lnTo>
                                <a:lnTo>
                                  <a:pt x="2367648" y="62547"/>
                                </a:lnTo>
                                <a:lnTo>
                                  <a:pt x="2367648" y="0"/>
                                </a:lnTo>
                                <a:close/>
                              </a:path>
                              <a:path w="3509010" h="295275">
                                <a:moveTo>
                                  <a:pt x="2647277" y="57150"/>
                                </a:moveTo>
                                <a:lnTo>
                                  <a:pt x="2579916" y="57150"/>
                                </a:lnTo>
                                <a:lnTo>
                                  <a:pt x="2579916" y="119697"/>
                                </a:lnTo>
                                <a:lnTo>
                                  <a:pt x="2647277" y="119697"/>
                                </a:lnTo>
                                <a:lnTo>
                                  <a:pt x="2647277" y="57150"/>
                                </a:lnTo>
                                <a:close/>
                              </a:path>
                              <a:path w="3509010" h="295275">
                                <a:moveTo>
                                  <a:pt x="2930982" y="171450"/>
                                </a:moveTo>
                                <a:lnTo>
                                  <a:pt x="2863634" y="171450"/>
                                </a:lnTo>
                                <a:lnTo>
                                  <a:pt x="2863634" y="233997"/>
                                </a:lnTo>
                                <a:lnTo>
                                  <a:pt x="2930982" y="233997"/>
                                </a:lnTo>
                                <a:lnTo>
                                  <a:pt x="2930982" y="171450"/>
                                </a:lnTo>
                                <a:close/>
                              </a:path>
                              <a:path w="3509010" h="295275">
                                <a:moveTo>
                                  <a:pt x="3222853" y="165328"/>
                                </a:moveTo>
                                <a:lnTo>
                                  <a:pt x="3155505" y="165328"/>
                                </a:lnTo>
                                <a:lnTo>
                                  <a:pt x="3155505" y="227876"/>
                                </a:lnTo>
                                <a:lnTo>
                                  <a:pt x="3222853" y="227876"/>
                                </a:lnTo>
                                <a:lnTo>
                                  <a:pt x="3222853" y="165328"/>
                                </a:lnTo>
                                <a:close/>
                              </a:path>
                              <a:path w="3509010" h="295275">
                                <a:moveTo>
                                  <a:pt x="3508603" y="232676"/>
                                </a:moveTo>
                                <a:lnTo>
                                  <a:pt x="3441255" y="232676"/>
                                </a:lnTo>
                                <a:lnTo>
                                  <a:pt x="3441255" y="295224"/>
                                </a:lnTo>
                                <a:lnTo>
                                  <a:pt x="3508603" y="295224"/>
                                </a:lnTo>
                                <a:lnTo>
                                  <a:pt x="3508603" y="232676"/>
                                </a:lnTo>
                                <a:close/>
                              </a:path>
                            </a:pathLst>
                          </a:custGeom>
                          <a:solidFill>
                            <a:srgbClr val="E3C626"/>
                          </a:solidFill>
                        </wps:spPr>
                        <wps:bodyPr wrap="square" lIns="0" tIns="0" rIns="0" bIns="0" rtlCol="0">
                          <a:prstTxWarp prst="textNoShape">
                            <a:avLst/>
                          </a:prstTxWarp>
                          <a:noAutofit/>
                        </wps:bodyPr>
                      </wps:wsp>
                      <pic:pic>
                        <pic:nvPicPr>
                          <pic:cNvPr id="1215" name="Image 1215"/>
                          <pic:cNvPicPr/>
                        </pic:nvPicPr>
                        <pic:blipFill>
                          <a:blip r:embed="rId650" cstate="print"/>
                          <a:stretch>
                            <a:fillRect/>
                          </a:stretch>
                        </pic:blipFill>
                        <pic:spPr>
                          <a:xfrm>
                            <a:off x="662085" y="613955"/>
                            <a:ext cx="4099822" cy="378799"/>
                          </a:xfrm>
                          <a:prstGeom prst="rect">
                            <a:avLst/>
                          </a:prstGeom>
                        </pic:spPr>
                      </pic:pic>
                      <wps:wsp>
                        <wps:cNvPr id="1216" name="Graphic 1216"/>
                        <wps:cNvSpPr/>
                        <wps:spPr>
                          <a:xfrm>
                            <a:off x="696675" y="1098752"/>
                            <a:ext cx="4055745" cy="264160"/>
                          </a:xfrm>
                          <a:custGeom>
                            <a:avLst/>
                            <a:gdLst/>
                            <a:ahLst/>
                            <a:cxnLst/>
                            <a:rect l="l" t="t" r="r" b="b"/>
                            <a:pathLst>
                              <a:path w="4055745" h="264160">
                                <a:moveTo>
                                  <a:pt x="4055707" y="201002"/>
                                </a:moveTo>
                                <a:lnTo>
                                  <a:pt x="3988358" y="201002"/>
                                </a:lnTo>
                                <a:lnTo>
                                  <a:pt x="3988358" y="233095"/>
                                </a:lnTo>
                                <a:lnTo>
                                  <a:pt x="3811041" y="231394"/>
                                </a:lnTo>
                                <a:lnTo>
                                  <a:pt x="3811257" y="231419"/>
                                </a:lnTo>
                                <a:lnTo>
                                  <a:pt x="3810838" y="231394"/>
                                </a:lnTo>
                                <a:lnTo>
                                  <a:pt x="3730129" y="225336"/>
                                </a:lnTo>
                                <a:lnTo>
                                  <a:pt x="3729977" y="225298"/>
                                </a:lnTo>
                                <a:lnTo>
                                  <a:pt x="3680485" y="213258"/>
                                </a:lnTo>
                                <a:lnTo>
                                  <a:pt x="3655631" y="207225"/>
                                </a:lnTo>
                                <a:lnTo>
                                  <a:pt x="3655174" y="207111"/>
                                </a:lnTo>
                                <a:lnTo>
                                  <a:pt x="3655377" y="207149"/>
                                </a:lnTo>
                                <a:lnTo>
                                  <a:pt x="3655187" y="207086"/>
                                </a:lnTo>
                                <a:lnTo>
                                  <a:pt x="3643465" y="203174"/>
                                </a:lnTo>
                                <a:lnTo>
                                  <a:pt x="3624719" y="196926"/>
                                </a:lnTo>
                                <a:lnTo>
                                  <a:pt x="3606215" y="190754"/>
                                </a:lnTo>
                                <a:lnTo>
                                  <a:pt x="3550234" y="180594"/>
                                </a:lnTo>
                                <a:lnTo>
                                  <a:pt x="3516058" y="174396"/>
                                </a:lnTo>
                                <a:lnTo>
                                  <a:pt x="3516312" y="174459"/>
                                </a:lnTo>
                                <a:lnTo>
                                  <a:pt x="3515804" y="174345"/>
                                </a:lnTo>
                                <a:lnTo>
                                  <a:pt x="3516058" y="174396"/>
                                </a:lnTo>
                                <a:lnTo>
                                  <a:pt x="3515880" y="174345"/>
                                </a:lnTo>
                                <a:lnTo>
                                  <a:pt x="3478174" y="164274"/>
                                </a:lnTo>
                                <a:lnTo>
                                  <a:pt x="3454285" y="157886"/>
                                </a:lnTo>
                                <a:lnTo>
                                  <a:pt x="3363430" y="162013"/>
                                </a:lnTo>
                                <a:lnTo>
                                  <a:pt x="3253422" y="168122"/>
                                </a:lnTo>
                                <a:lnTo>
                                  <a:pt x="3253333" y="170141"/>
                                </a:lnTo>
                                <a:lnTo>
                                  <a:pt x="3253321" y="168122"/>
                                </a:lnTo>
                                <a:lnTo>
                                  <a:pt x="3168904" y="170141"/>
                                </a:lnTo>
                                <a:lnTo>
                                  <a:pt x="3135858" y="157962"/>
                                </a:lnTo>
                                <a:lnTo>
                                  <a:pt x="3086735" y="139776"/>
                                </a:lnTo>
                                <a:lnTo>
                                  <a:pt x="3071012" y="133959"/>
                                </a:lnTo>
                                <a:lnTo>
                                  <a:pt x="3070682" y="133832"/>
                                </a:lnTo>
                                <a:lnTo>
                                  <a:pt x="3070847" y="133883"/>
                                </a:lnTo>
                                <a:lnTo>
                                  <a:pt x="3070695" y="133819"/>
                                </a:lnTo>
                                <a:lnTo>
                                  <a:pt x="2995866" y="100990"/>
                                </a:lnTo>
                                <a:lnTo>
                                  <a:pt x="2982430" y="95097"/>
                                </a:lnTo>
                                <a:lnTo>
                                  <a:pt x="2895104" y="60172"/>
                                </a:lnTo>
                                <a:lnTo>
                                  <a:pt x="2880156" y="54190"/>
                                </a:lnTo>
                                <a:lnTo>
                                  <a:pt x="2873806" y="52171"/>
                                </a:lnTo>
                                <a:lnTo>
                                  <a:pt x="2854045" y="45885"/>
                                </a:lnTo>
                                <a:lnTo>
                                  <a:pt x="2834525" y="39674"/>
                                </a:lnTo>
                                <a:lnTo>
                                  <a:pt x="2820860" y="37719"/>
                                </a:lnTo>
                                <a:lnTo>
                                  <a:pt x="2777083" y="31470"/>
                                </a:lnTo>
                                <a:lnTo>
                                  <a:pt x="2777299" y="31521"/>
                                </a:lnTo>
                                <a:lnTo>
                                  <a:pt x="2776918" y="31445"/>
                                </a:lnTo>
                                <a:lnTo>
                                  <a:pt x="2777083" y="31470"/>
                                </a:lnTo>
                                <a:lnTo>
                                  <a:pt x="2776931" y="31432"/>
                                </a:lnTo>
                                <a:lnTo>
                                  <a:pt x="2721076" y="19392"/>
                                </a:lnTo>
                                <a:lnTo>
                                  <a:pt x="2691777" y="13068"/>
                                </a:lnTo>
                                <a:lnTo>
                                  <a:pt x="2662656" y="6794"/>
                                </a:lnTo>
                                <a:lnTo>
                                  <a:pt x="2659557" y="6477"/>
                                </a:lnTo>
                                <a:lnTo>
                                  <a:pt x="2595372" y="0"/>
                                </a:lnTo>
                                <a:lnTo>
                                  <a:pt x="2549004" y="19608"/>
                                </a:lnTo>
                                <a:lnTo>
                                  <a:pt x="2416289" y="74739"/>
                                </a:lnTo>
                                <a:lnTo>
                                  <a:pt x="2305888" y="121767"/>
                                </a:lnTo>
                                <a:lnTo>
                                  <a:pt x="2253221" y="146088"/>
                                </a:lnTo>
                                <a:lnTo>
                                  <a:pt x="2102396" y="192963"/>
                                </a:lnTo>
                                <a:lnTo>
                                  <a:pt x="2019325" y="221322"/>
                                </a:lnTo>
                                <a:lnTo>
                                  <a:pt x="1972170" y="227215"/>
                                </a:lnTo>
                                <a:lnTo>
                                  <a:pt x="1932647" y="217335"/>
                                </a:lnTo>
                                <a:lnTo>
                                  <a:pt x="1907209" y="210972"/>
                                </a:lnTo>
                                <a:lnTo>
                                  <a:pt x="1723364" y="213017"/>
                                </a:lnTo>
                                <a:lnTo>
                                  <a:pt x="1715376" y="211416"/>
                                </a:lnTo>
                                <a:lnTo>
                                  <a:pt x="1683702" y="205092"/>
                                </a:lnTo>
                                <a:lnTo>
                                  <a:pt x="1652193" y="198780"/>
                                </a:lnTo>
                                <a:lnTo>
                                  <a:pt x="1599120" y="194881"/>
                                </a:lnTo>
                                <a:lnTo>
                                  <a:pt x="1543596" y="190804"/>
                                </a:lnTo>
                                <a:lnTo>
                                  <a:pt x="1512874" y="188544"/>
                                </a:lnTo>
                                <a:lnTo>
                                  <a:pt x="1437119" y="184454"/>
                                </a:lnTo>
                                <a:lnTo>
                                  <a:pt x="1143355" y="190563"/>
                                </a:lnTo>
                                <a:lnTo>
                                  <a:pt x="1125715" y="188760"/>
                                </a:lnTo>
                                <a:lnTo>
                                  <a:pt x="1063828" y="182422"/>
                                </a:lnTo>
                                <a:lnTo>
                                  <a:pt x="989647" y="178562"/>
                                </a:lnTo>
                                <a:lnTo>
                                  <a:pt x="868362" y="172237"/>
                                </a:lnTo>
                                <a:lnTo>
                                  <a:pt x="860336" y="170586"/>
                                </a:lnTo>
                                <a:lnTo>
                                  <a:pt x="829652" y="164274"/>
                                </a:lnTo>
                                <a:lnTo>
                                  <a:pt x="799122" y="157988"/>
                                </a:lnTo>
                                <a:lnTo>
                                  <a:pt x="760704" y="154063"/>
                                </a:lnTo>
                                <a:lnTo>
                                  <a:pt x="699490" y="147815"/>
                                </a:lnTo>
                                <a:lnTo>
                                  <a:pt x="699274" y="147751"/>
                                </a:lnTo>
                                <a:lnTo>
                                  <a:pt x="676046" y="140004"/>
                                </a:lnTo>
                                <a:lnTo>
                                  <a:pt x="637946" y="127304"/>
                                </a:lnTo>
                                <a:lnTo>
                                  <a:pt x="602462" y="127304"/>
                                </a:lnTo>
                                <a:lnTo>
                                  <a:pt x="602386" y="129362"/>
                                </a:lnTo>
                                <a:lnTo>
                                  <a:pt x="602221" y="133654"/>
                                </a:lnTo>
                                <a:lnTo>
                                  <a:pt x="602373" y="129336"/>
                                </a:lnTo>
                                <a:lnTo>
                                  <a:pt x="602386" y="127304"/>
                                </a:lnTo>
                                <a:lnTo>
                                  <a:pt x="602221" y="127304"/>
                                </a:lnTo>
                                <a:lnTo>
                                  <a:pt x="549071" y="125272"/>
                                </a:lnTo>
                                <a:lnTo>
                                  <a:pt x="549071" y="133527"/>
                                </a:lnTo>
                                <a:lnTo>
                                  <a:pt x="549008" y="137960"/>
                                </a:lnTo>
                                <a:lnTo>
                                  <a:pt x="548995" y="135699"/>
                                </a:lnTo>
                                <a:lnTo>
                                  <a:pt x="549071" y="133527"/>
                                </a:lnTo>
                                <a:lnTo>
                                  <a:pt x="549071" y="125272"/>
                                </a:lnTo>
                                <a:lnTo>
                                  <a:pt x="293509" y="129362"/>
                                </a:lnTo>
                                <a:lnTo>
                                  <a:pt x="242684" y="133426"/>
                                </a:lnTo>
                                <a:lnTo>
                                  <a:pt x="242887" y="133426"/>
                                </a:lnTo>
                                <a:lnTo>
                                  <a:pt x="242481" y="133451"/>
                                </a:lnTo>
                                <a:lnTo>
                                  <a:pt x="242684" y="133426"/>
                                </a:lnTo>
                                <a:lnTo>
                                  <a:pt x="0" y="137502"/>
                                </a:lnTo>
                                <a:lnTo>
                                  <a:pt x="203" y="150202"/>
                                </a:lnTo>
                                <a:lnTo>
                                  <a:pt x="243497" y="146100"/>
                                </a:lnTo>
                                <a:lnTo>
                                  <a:pt x="294284" y="142036"/>
                                </a:lnTo>
                                <a:lnTo>
                                  <a:pt x="549084" y="137960"/>
                                </a:lnTo>
                                <a:lnTo>
                                  <a:pt x="602094" y="140004"/>
                                </a:lnTo>
                                <a:lnTo>
                                  <a:pt x="635889" y="140004"/>
                                </a:lnTo>
                                <a:lnTo>
                                  <a:pt x="696810" y="160312"/>
                                </a:lnTo>
                                <a:lnTo>
                                  <a:pt x="797153" y="170548"/>
                                </a:lnTo>
                                <a:lnTo>
                                  <a:pt x="866749" y="184873"/>
                                </a:lnTo>
                                <a:lnTo>
                                  <a:pt x="1063015" y="195097"/>
                                </a:lnTo>
                                <a:lnTo>
                                  <a:pt x="1142847" y="203288"/>
                                </a:lnTo>
                                <a:lnTo>
                                  <a:pt x="1436903" y="197154"/>
                                </a:lnTo>
                                <a:lnTo>
                                  <a:pt x="1512074" y="201218"/>
                                </a:lnTo>
                                <a:lnTo>
                                  <a:pt x="1512531" y="194881"/>
                                </a:lnTo>
                                <a:lnTo>
                                  <a:pt x="1512252" y="198780"/>
                                </a:lnTo>
                                <a:lnTo>
                                  <a:pt x="1512189" y="201231"/>
                                </a:lnTo>
                                <a:lnTo>
                                  <a:pt x="1650466" y="211391"/>
                                </a:lnTo>
                                <a:lnTo>
                                  <a:pt x="1722170" y="225729"/>
                                </a:lnTo>
                                <a:lnTo>
                                  <a:pt x="1905711" y="223697"/>
                                </a:lnTo>
                                <a:lnTo>
                                  <a:pt x="1971382" y="240118"/>
                                </a:lnTo>
                                <a:lnTo>
                                  <a:pt x="2022195" y="233768"/>
                                </a:lnTo>
                                <a:lnTo>
                                  <a:pt x="2022487" y="233667"/>
                                </a:lnTo>
                                <a:lnTo>
                                  <a:pt x="2040420" y="227545"/>
                                </a:lnTo>
                                <a:lnTo>
                                  <a:pt x="2058873" y="221246"/>
                                </a:lnTo>
                                <a:lnTo>
                                  <a:pt x="2106333" y="205028"/>
                                </a:lnTo>
                                <a:lnTo>
                                  <a:pt x="2106485" y="204978"/>
                                </a:lnTo>
                                <a:lnTo>
                                  <a:pt x="2125840" y="198970"/>
                                </a:lnTo>
                                <a:lnTo>
                                  <a:pt x="2257768" y="157962"/>
                                </a:lnTo>
                                <a:lnTo>
                                  <a:pt x="2270645" y="152019"/>
                                </a:lnTo>
                                <a:lnTo>
                                  <a:pt x="2283777" y="145961"/>
                                </a:lnTo>
                                <a:lnTo>
                                  <a:pt x="2311044" y="133375"/>
                                </a:lnTo>
                                <a:lnTo>
                                  <a:pt x="2311196" y="133311"/>
                                </a:lnTo>
                                <a:lnTo>
                                  <a:pt x="2324760" y="127533"/>
                                </a:lnTo>
                                <a:lnTo>
                                  <a:pt x="2421204" y="86448"/>
                                </a:lnTo>
                                <a:lnTo>
                                  <a:pt x="2553652" y="31432"/>
                                </a:lnTo>
                                <a:lnTo>
                                  <a:pt x="2581605" y="19608"/>
                                </a:lnTo>
                                <a:lnTo>
                                  <a:pt x="2597327" y="12954"/>
                                </a:lnTo>
                                <a:lnTo>
                                  <a:pt x="2660675" y="19354"/>
                                </a:lnTo>
                                <a:lnTo>
                                  <a:pt x="2774835" y="43980"/>
                                </a:lnTo>
                                <a:lnTo>
                                  <a:pt x="2831693" y="52095"/>
                                </a:lnTo>
                                <a:lnTo>
                                  <a:pt x="2875864" y="66154"/>
                                </a:lnTo>
                                <a:lnTo>
                                  <a:pt x="2876042" y="66230"/>
                                </a:lnTo>
                                <a:lnTo>
                                  <a:pt x="2977553" y="106832"/>
                                </a:lnTo>
                                <a:lnTo>
                                  <a:pt x="2977705" y="106895"/>
                                </a:lnTo>
                                <a:lnTo>
                                  <a:pt x="3066250" y="145732"/>
                                </a:lnTo>
                                <a:lnTo>
                                  <a:pt x="3144532" y="174688"/>
                                </a:lnTo>
                                <a:lnTo>
                                  <a:pt x="3166783" y="182892"/>
                                </a:lnTo>
                                <a:lnTo>
                                  <a:pt x="3253917" y="180809"/>
                                </a:lnTo>
                                <a:lnTo>
                                  <a:pt x="3331299" y="176517"/>
                                </a:lnTo>
                                <a:lnTo>
                                  <a:pt x="3364077" y="174688"/>
                                </a:lnTo>
                                <a:lnTo>
                                  <a:pt x="3452901" y="170662"/>
                                </a:lnTo>
                                <a:lnTo>
                                  <a:pt x="3513277" y="186804"/>
                                </a:lnTo>
                                <a:lnTo>
                                  <a:pt x="3603053" y="203098"/>
                                </a:lnTo>
                                <a:lnTo>
                                  <a:pt x="3651923" y="219379"/>
                                </a:lnTo>
                                <a:lnTo>
                                  <a:pt x="3728148" y="237921"/>
                                </a:lnTo>
                                <a:lnTo>
                                  <a:pt x="3810520" y="244094"/>
                                </a:lnTo>
                                <a:lnTo>
                                  <a:pt x="3988358" y="245795"/>
                                </a:lnTo>
                                <a:lnTo>
                                  <a:pt x="3988358" y="263550"/>
                                </a:lnTo>
                                <a:lnTo>
                                  <a:pt x="4055707" y="263550"/>
                                </a:lnTo>
                                <a:lnTo>
                                  <a:pt x="4055707" y="201002"/>
                                </a:lnTo>
                                <a:close/>
                              </a:path>
                            </a:pathLst>
                          </a:custGeom>
                          <a:solidFill>
                            <a:srgbClr val="E3C626"/>
                          </a:solidFill>
                        </wps:spPr>
                        <wps:bodyPr wrap="square" lIns="0" tIns="0" rIns="0" bIns="0" rtlCol="0">
                          <a:prstTxWarp prst="textNoShape">
                            <a:avLst/>
                          </a:prstTxWarp>
                          <a:noAutofit/>
                        </wps:bodyPr>
                      </wps:wsp>
                      <wps:wsp>
                        <wps:cNvPr id="1217" name="Graphic 1217"/>
                        <wps:cNvSpPr/>
                        <wps:spPr>
                          <a:xfrm>
                            <a:off x="2844118" y="157352"/>
                            <a:ext cx="228600" cy="76835"/>
                          </a:xfrm>
                          <a:custGeom>
                            <a:avLst/>
                            <a:gdLst/>
                            <a:ahLst/>
                            <a:cxnLst/>
                            <a:rect l="l" t="t" r="r" b="b"/>
                            <a:pathLst>
                              <a:path w="228600" h="76835">
                                <a:moveTo>
                                  <a:pt x="228600" y="38100"/>
                                </a:moveTo>
                                <a:lnTo>
                                  <a:pt x="143929" y="38100"/>
                                </a:lnTo>
                                <a:lnTo>
                                  <a:pt x="146723" y="34645"/>
                                </a:lnTo>
                                <a:lnTo>
                                  <a:pt x="103860" y="0"/>
                                </a:lnTo>
                                <a:lnTo>
                                  <a:pt x="73063" y="38100"/>
                                </a:lnTo>
                                <a:lnTo>
                                  <a:pt x="0" y="38100"/>
                                </a:lnTo>
                                <a:lnTo>
                                  <a:pt x="0" y="50800"/>
                                </a:lnTo>
                                <a:lnTo>
                                  <a:pt x="80632" y="50800"/>
                                </a:lnTo>
                                <a:lnTo>
                                  <a:pt x="112712" y="76720"/>
                                </a:lnTo>
                                <a:lnTo>
                                  <a:pt x="133654" y="50800"/>
                                </a:lnTo>
                                <a:lnTo>
                                  <a:pt x="228600" y="50800"/>
                                </a:lnTo>
                                <a:lnTo>
                                  <a:pt x="228600" y="38100"/>
                                </a:lnTo>
                                <a:close/>
                              </a:path>
                            </a:pathLst>
                          </a:custGeom>
                          <a:solidFill>
                            <a:srgbClr val="2E614A"/>
                          </a:solidFill>
                        </wps:spPr>
                        <wps:bodyPr wrap="square" lIns="0" tIns="0" rIns="0" bIns="0" rtlCol="0">
                          <a:prstTxWarp prst="textNoShape">
                            <a:avLst/>
                          </a:prstTxWarp>
                          <a:noAutofit/>
                        </wps:bodyPr>
                      </wps:wsp>
                      <wps:wsp>
                        <wps:cNvPr id="1218" name="Graphic 1218"/>
                        <wps:cNvSpPr/>
                        <wps:spPr>
                          <a:xfrm>
                            <a:off x="3602943" y="160527"/>
                            <a:ext cx="228600" cy="62865"/>
                          </a:xfrm>
                          <a:custGeom>
                            <a:avLst/>
                            <a:gdLst/>
                            <a:ahLst/>
                            <a:cxnLst/>
                            <a:rect l="l" t="t" r="r" b="b"/>
                            <a:pathLst>
                              <a:path w="228600" h="62865">
                                <a:moveTo>
                                  <a:pt x="228600" y="34925"/>
                                </a:moveTo>
                                <a:lnTo>
                                  <a:pt x="141808" y="34925"/>
                                </a:lnTo>
                                <a:lnTo>
                                  <a:pt x="141808" y="0"/>
                                </a:lnTo>
                                <a:lnTo>
                                  <a:pt x="74447" y="0"/>
                                </a:lnTo>
                                <a:lnTo>
                                  <a:pt x="74447" y="34925"/>
                                </a:lnTo>
                                <a:lnTo>
                                  <a:pt x="0" y="34925"/>
                                </a:lnTo>
                                <a:lnTo>
                                  <a:pt x="0" y="47625"/>
                                </a:lnTo>
                                <a:lnTo>
                                  <a:pt x="74447" y="47625"/>
                                </a:lnTo>
                                <a:lnTo>
                                  <a:pt x="74447" y="62534"/>
                                </a:lnTo>
                                <a:lnTo>
                                  <a:pt x="141808" y="62534"/>
                                </a:lnTo>
                                <a:lnTo>
                                  <a:pt x="141808" y="47625"/>
                                </a:lnTo>
                                <a:lnTo>
                                  <a:pt x="228600" y="47625"/>
                                </a:lnTo>
                                <a:lnTo>
                                  <a:pt x="228600" y="34925"/>
                                </a:lnTo>
                                <a:close/>
                              </a:path>
                            </a:pathLst>
                          </a:custGeom>
                          <a:solidFill>
                            <a:srgbClr val="E3C626"/>
                          </a:solidFill>
                        </wps:spPr>
                        <wps:bodyPr wrap="square" lIns="0" tIns="0" rIns="0" bIns="0" rtlCol="0">
                          <a:prstTxWarp prst="textNoShape">
                            <a:avLst/>
                          </a:prstTxWarp>
                          <a:noAutofit/>
                        </wps:bodyPr>
                      </wps:wsp>
                      <wps:wsp>
                        <wps:cNvPr id="1219" name="Textbox 1219"/>
                        <wps:cNvSpPr txBox="1"/>
                        <wps:spPr>
                          <a:xfrm>
                            <a:off x="4669356"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05</w:t>
                              </w:r>
                            </w:p>
                          </w:txbxContent>
                        </wps:txbx>
                        <wps:bodyPr wrap="square" lIns="0" tIns="0" rIns="0" bIns="0" rtlCol="0">
                          <a:noAutofit/>
                        </wps:bodyPr>
                      </wps:wsp>
                      <wps:wsp>
                        <wps:cNvPr id="1220" name="Textbox 1220"/>
                        <wps:cNvSpPr txBox="1"/>
                        <wps:spPr>
                          <a:xfrm>
                            <a:off x="4382851"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04</w:t>
                              </w:r>
                            </w:p>
                          </w:txbxContent>
                        </wps:txbx>
                        <wps:bodyPr wrap="square" lIns="0" tIns="0" rIns="0" bIns="0" rtlCol="0">
                          <a:noAutofit/>
                        </wps:bodyPr>
                      </wps:wsp>
                      <wps:wsp>
                        <wps:cNvPr id="1221" name="Textbox 1221"/>
                        <wps:cNvSpPr txBox="1"/>
                        <wps:spPr>
                          <a:xfrm>
                            <a:off x="4096346"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03</w:t>
                              </w:r>
                            </w:p>
                          </w:txbxContent>
                        </wps:txbx>
                        <wps:bodyPr wrap="square" lIns="0" tIns="0" rIns="0" bIns="0" rtlCol="0">
                          <a:noAutofit/>
                        </wps:bodyPr>
                      </wps:wsp>
                      <wps:wsp>
                        <wps:cNvPr id="1222" name="Textbox 1222"/>
                        <wps:cNvSpPr txBox="1"/>
                        <wps:spPr>
                          <a:xfrm>
                            <a:off x="3809840"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02</w:t>
                              </w:r>
                            </w:p>
                          </w:txbxContent>
                        </wps:txbx>
                        <wps:bodyPr wrap="square" lIns="0" tIns="0" rIns="0" bIns="0" rtlCol="0">
                          <a:noAutofit/>
                        </wps:bodyPr>
                      </wps:wsp>
                      <wps:wsp>
                        <wps:cNvPr id="1223" name="Textbox 1223"/>
                        <wps:cNvSpPr txBox="1"/>
                        <wps:spPr>
                          <a:xfrm>
                            <a:off x="3523335"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01</w:t>
                              </w:r>
                            </w:p>
                          </w:txbxContent>
                        </wps:txbx>
                        <wps:bodyPr wrap="square" lIns="0" tIns="0" rIns="0" bIns="0" rtlCol="0">
                          <a:noAutofit/>
                        </wps:bodyPr>
                      </wps:wsp>
                      <wps:wsp>
                        <wps:cNvPr id="1224" name="Textbox 1224"/>
                        <wps:cNvSpPr txBox="1"/>
                        <wps:spPr>
                          <a:xfrm>
                            <a:off x="3196286" y="2310324"/>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2000</w:t>
                              </w:r>
                            </w:p>
                          </w:txbxContent>
                        </wps:txbx>
                        <wps:bodyPr wrap="square" lIns="0" tIns="0" rIns="0" bIns="0" rtlCol="0">
                          <a:noAutofit/>
                        </wps:bodyPr>
                      </wps:wsp>
                      <wps:wsp>
                        <wps:cNvPr id="1225" name="Textbox 1225"/>
                        <wps:cNvSpPr txBox="1"/>
                        <wps:spPr>
                          <a:xfrm>
                            <a:off x="2950324"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99</w:t>
                              </w:r>
                            </w:p>
                          </w:txbxContent>
                        </wps:txbx>
                        <wps:bodyPr wrap="square" lIns="0" tIns="0" rIns="0" bIns="0" rtlCol="0">
                          <a:noAutofit/>
                        </wps:bodyPr>
                      </wps:wsp>
                      <wps:wsp>
                        <wps:cNvPr id="1226" name="Textbox 1226"/>
                        <wps:cNvSpPr txBox="1"/>
                        <wps:spPr>
                          <a:xfrm>
                            <a:off x="2611143" y="2212644"/>
                            <a:ext cx="199390" cy="20891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1997-</w:t>
                              </w:r>
                            </w:p>
                            <w:p>
                              <w:pPr>
                                <w:spacing w:before="7"/>
                                <w:ind w:left="82" w:right="0" w:firstLine="0"/>
                                <w:jc w:val="left"/>
                                <w:rPr>
                                  <w:rFonts w:ascii="Arial MT"/>
                                  <w:sz w:val="14"/>
                                </w:rPr>
                              </w:pPr>
                              <w:r>
                                <w:rPr>
                                  <w:rFonts w:ascii="Arial MT"/>
                                  <w:spacing w:val="-5"/>
                                  <w:w w:val="90"/>
                                  <w:sz w:val="14"/>
                                </w:rPr>
                                <w:t>98</w:t>
                              </w:r>
                            </w:p>
                          </w:txbxContent>
                        </wps:txbx>
                        <wps:bodyPr wrap="square" lIns="0" tIns="0" rIns="0" bIns="0" rtlCol="0">
                          <a:noAutofit/>
                        </wps:bodyPr>
                      </wps:wsp>
                      <wps:wsp>
                        <wps:cNvPr id="1227" name="Textbox 1227"/>
                        <wps:cNvSpPr txBox="1"/>
                        <wps:spPr>
                          <a:xfrm>
                            <a:off x="2377313"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97</w:t>
                              </w:r>
                            </w:p>
                          </w:txbxContent>
                        </wps:txbx>
                        <wps:bodyPr wrap="square" lIns="0" tIns="0" rIns="0" bIns="0" rtlCol="0">
                          <a:noAutofit/>
                        </wps:bodyPr>
                      </wps:wsp>
                      <wps:wsp>
                        <wps:cNvPr id="1228" name="Textbox 1228"/>
                        <wps:cNvSpPr txBox="1"/>
                        <wps:spPr>
                          <a:xfrm>
                            <a:off x="2090808"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96</w:t>
                              </w:r>
                            </w:p>
                          </w:txbxContent>
                        </wps:txbx>
                        <wps:bodyPr wrap="square" lIns="0" tIns="0" rIns="0" bIns="0" rtlCol="0">
                          <a:noAutofit/>
                        </wps:bodyPr>
                      </wps:wsp>
                      <wps:wsp>
                        <wps:cNvPr id="1229" name="Textbox 1229"/>
                        <wps:cNvSpPr txBox="1"/>
                        <wps:spPr>
                          <a:xfrm>
                            <a:off x="1804303"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95</w:t>
                              </w:r>
                            </w:p>
                          </w:txbxContent>
                        </wps:txbx>
                        <wps:bodyPr wrap="square" lIns="0" tIns="0" rIns="0" bIns="0" rtlCol="0">
                          <a:noAutofit/>
                        </wps:bodyPr>
                      </wps:wsp>
                      <wps:wsp>
                        <wps:cNvPr id="1230" name="Textbox 1230"/>
                        <wps:cNvSpPr txBox="1"/>
                        <wps:spPr>
                          <a:xfrm>
                            <a:off x="1517797"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94</w:t>
                              </w:r>
                            </w:p>
                          </w:txbxContent>
                        </wps:txbx>
                        <wps:bodyPr wrap="square" lIns="0" tIns="0" rIns="0" bIns="0" rtlCol="0">
                          <a:noAutofit/>
                        </wps:bodyPr>
                      </wps:wsp>
                      <wps:wsp>
                        <wps:cNvPr id="1231" name="Textbox 1231"/>
                        <wps:cNvSpPr txBox="1"/>
                        <wps:spPr>
                          <a:xfrm>
                            <a:off x="1231292" y="231032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93</w:t>
                              </w:r>
                            </w:p>
                          </w:txbxContent>
                        </wps:txbx>
                        <wps:bodyPr wrap="square" lIns="0" tIns="0" rIns="0" bIns="0" rtlCol="0">
                          <a:noAutofit/>
                        </wps:bodyPr>
                      </wps:wsp>
                      <wps:wsp>
                        <wps:cNvPr id="1232" name="Textbox 1232"/>
                        <wps:cNvSpPr txBox="1"/>
                        <wps:spPr>
                          <a:xfrm>
                            <a:off x="2897648" y="2203644"/>
                            <a:ext cx="1918335" cy="102235"/>
                          </a:xfrm>
                          <a:prstGeom prst="rect">
                            <a:avLst/>
                          </a:prstGeom>
                        </wps:spPr>
                        <wps:txbx>
                          <w:txbxContent>
                            <w:p>
                              <w:pPr>
                                <w:spacing w:line="161" w:lineRule="exact" w:before="0"/>
                                <w:ind w:left="0" w:right="0" w:firstLine="0"/>
                                <w:jc w:val="left"/>
                                <w:rPr>
                                  <w:rFonts w:ascii="Arial MT"/>
                                  <w:sz w:val="14"/>
                                </w:rPr>
                              </w:pPr>
                              <w:r>
                                <w:rPr>
                                  <w:rFonts w:ascii="Arial MT"/>
                                  <w:w w:val="90"/>
                                  <w:sz w:val="14"/>
                                </w:rPr>
                                <w:t>1998-</w:t>
                              </w:r>
                              <w:r>
                                <w:rPr>
                                  <w:rFonts w:ascii="Arial MT"/>
                                  <w:spacing w:val="67"/>
                                  <w:w w:val="150"/>
                                  <w:sz w:val="14"/>
                                </w:rPr>
                                <w:t> </w:t>
                              </w:r>
                              <w:r>
                                <w:rPr>
                                  <w:rFonts w:ascii="Arial MT"/>
                                  <w:w w:val="90"/>
                                  <w:sz w:val="14"/>
                                </w:rPr>
                                <w:t>1999-</w:t>
                              </w:r>
                              <w:r>
                                <w:rPr>
                                  <w:rFonts w:ascii="Arial MT"/>
                                  <w:spacing w:val="67"/>
                                  <w:w w:val="150"/>
                                  <w:sz w:val="14"/>
                                </w:rPr>
                                <w:t> </w:t>
                              </w:r>
                              <w:r>
                                <w:rPr>
                                  <w:rFonts w:ascii="Arial MT"/>
                                  <w:w w:val="90"/>
                                  <w:sz w:val="14"/>
                                </w:rPr>
                                <w:t>2000-</w:t>
                              </w:r>
                              <w:r>
                                <w:rPr>
                                  <w:rFonts w:ascii="Arial MT"/>
                                  <w:spacing w:val="67"/>
                                  <w:w w:val="150"/>
                                  <w:sz w:val="14"/>
                                </w:rPr>
                                <w:t> </w:t>
                              </w:r>
                              <w:r>
                                <w:rPr>
                                  <w:rFonts w:ascii="Arial MT"/>
                                  <w:w w:val="90"/>
                                  <w:sz w:val="14"/>
                                </w:rPr>
                                <w:t>2000-</w:t>
                              </w:r>
                              <w:r>
                                <w:rPr>
                                  <w:rFonts w:ascii="Arial MT"/>
                                  <w:spacing w:val="68"/>
                                  <w:w w:val="150"/>
                                  <w:sz w:val="14"/>
                                </w:rPr>
                                <w:t> </w:t>
                              </w:r>
                              <w:r>
                                <w:rPr>
                                  <w:rFonts w:ascii="Arial MT"/>
                                  <w:w w:val="90"/>
                                  <w:sz w:val="14"/>
                                </w:rPr>
                                <w:t>2000-</w:t>
                              </w:r>
                              <w:r>
                                <w:rPr>
                                  <w:rFonts w:ascii="Arial MT"/>
                                  <w:spacing w:val="68"/>
                                  <w:w w:val="150"/>
                                  <w:sz w:val="14"/>
                                </w:rPr>
                                <w:t> </w:t>
                              </w:r>
                              <w:r>
                                <w:rPr>
                                  <w:rFonts w:ascii="Arial MT"/>
                                  <w:w w:val="90"/>
                                  <w:sz w:val="14"/>
                                </w:rPr>
                                <w:t>2000-</w:t>
                              </w:r>
                              <w:r>
                                <w:rPr>
                                  <w:rFonts w:ascii="Arial MT"/>
                                  <w:spacing w:val="68"/>
                                  <w:w w:val="150"/>
                                  <w:sz w:val="14"/>
                                </w:rPr>
                                <w:t> </w:t>
                              </w:r>
                              <w:r>
                                <w:rPr>
                                  <w:rFonts w:ascii="Arial MT"/>
                                  <w:spacing w:val="-2"/>
                                  <w:w w:val="90"/>
                                  <w:sz w:val="14"/>
                                </w:rPr>
                                <w:t>2000-</w:t>
                              </w:r>
                            </w:p>
                          </w:txbxContent>
                        </wps:txbx>
                        <wps:bodyPr wrap="square" lIns="0" tIns="0" rIns="0" bIns="0" rtlCol="0">
                          <a:noAutofit/>
                        </wps:bodyPr>
                      </wps:wsp>
                      <wps:wsp>
                        <wps:cNvPr id="1233" name="Textbox 1233"/>
                        <wps:cNvSpPr txBox="1"/>
                        <wps:spPr>
                          <a:xfrm>
                            <a:off x="1178616" y="2203644"/>
                            <a:ext cx="1345565" cy="102235"/>
                          </a:xfrm>
                          <a:prstGeom prst="rect">
                            <a:avLst/>
                          </a:prstGeom>
                        </wps:spPr>
                        <wps:txbx>
                          <w:txbxContent>
                            <w:p>
                              <w:pPr>
                                <w:spacing w:line="161" w:lineRule="exact" w:before="0"/>
                                <w:ind w:left="0" w:right="0" w:firstLine="0"/>
                                <w:jc w:val="left"/>
                                <w:rPr>
                                  <w:rFonts w:ascii="Arial MT"/>
                                  <w:sz w:val="14"/>
                                </w:rPr>
                              </w:pPr>
                              <w:r>
                                <w:rPr>
                                  <w:rFonts w:ascii="Arial MT"/>
                                  <w:w w:val="90"/>
                                  <w:sz w:val="14"/>
                                </w:rPr>
                                <w:t>1992-</w:t>
                              </w:r>
                              <w:r>
                                <w:rPr>
                                  <w:rFonts w:ascii="Arial MT"/>
                                  <w:spacing w:val="65"/>
                                  <w:w w:val="150"/>
                                  <w:sz w:val="14"/>
                                </w:rPr>
                                <w:t> </w:t>
                              </w:r>
                              <w:r>
                                <w:rPr>
                                  <w:rFonts w:ascii="Arial MT"/>
                                  <w:w w:val="90"/>
                                  <w:sz w:val="14"/>
                                </w:rPr>
                                <w:t>1993-</w:t>
                              </w:r>
                              <w:r>
                                <w:rPr>
                                  <w:rFonts w:ascii="Arial MT"/>
                                  <w:spacing w:val="65"/>
                                  <w:w w:val="150"/>
                                  <w:sz w:val="14"/>
                                </w:rPr>
                                <w:t> </w:t>
                              </w:r>
                              <w:r>
                                <w:rPr>
                                  <w:rFonts w:ascii="Arial MT"/>
                                  <w:w w:val="90"/>
                                  <w:sz w:val="14"/>
                                </w:rPr>
                                <w:t>1994-</w:t>
                              </w:r>
                              <w:r>
                                <w:rPr>
                                  <w:rFonts w:ascii="Arial MT"/>
                                  <w:spacing w:val="65"/>
                                  <w:w w:val="150"/>
                                  <w:sz w:val="14"/>
                                </w:rPr>
                                <w:t> </w:t>
                              </w:r>
                              <w:r>
                                <w:rPr>
                                  <w:rFonts w:ascii="Arial MT"/>
                                  <w:w w:val="90"/>
                                  <w:sz w:val="14"/>
                                </w:rPr>
                                <w:t>1995-</w:t>
                              </w:r>
                              <w:r>
                                <w:rPr>
                                  <w:rFonts w:ascii="Arial MT"/>
                                  <w:spacing w:val="66"/>
                                  <w:w w:val="150"/>
                                  <w:sz w:val="14"/>
                                </w:rPr>
                                <w:t> </w:t>
                              </w:r>
                              <w:r>
                                <w:rPr>
                                  <w:rFonts w:ascii="Arial MT"/>
                                  <w:spacing w:val="-4"/>
                                  <w:w w:val="90"/>
                                  <w:sz w:val="14"/>
                                </w:rPr>
                                <w:t>1996-</w:t>
                              </w:r>
                            </w:p>
                          </w:txbxContent>
                        </wps:txbx>
                        <wps:bodyPr wrap="square" lIns="0" tIns="0" rIns="0" bIns="0" rtlCol="0">
                          <a:noAutofit/>
                        </wps:bodyPr>
                      </wps:wsp>
                      <wps:wsp>
                        <wps:cNvPr id="1234" name="Textbox 1234"/>
                        <wps:cNvSpPr txBox="1"/>
                        <wps:spPr>
                          <a:xfrm>
                            <a:off x="892111" y="2210014"/>
                            <a:ext cx="199390" cy="20891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1991-</w:t>
                              </w:r>
                            </w:p>
                            <w:p>
                              <w:pPr>
                                <w:spacing w:before="7"/>
                                <w:ind w:left="82" w:right="0" w:firstLine="0"/>
                                <w:jc w:val="left"/>
                                <w:rPr>
                                  <w:rFonts w:ascii="Arial MT"/>
                                  <w:sz w:val="14"/>
                                </w:rPr>
                              </w:pPr>
                              <w:r>
                                <w:rPr>
                                  <w:rFonts w:ascii="Arial MT"/>
                                  <w:spacing w:val="-5"/>
                                  <w:w w:val="90"/>
                                  <w:sz w:val="14"/>
                                </w:rPr>
                                <w:t>92</w:t>
                              </w:r>
                            </w:p>
                          </w:txbxContent>
                        </wps:txbx>
                        <wps:bodyPr wrap="square" lIns="0" tIns="0" rIns="0" bIns="0" rtlCol="0">
                          <a:noAutofit/>
                        </wps:bodyPr>
                      </wps:wsp>
                      <wps:wsp>
                        <wps:cNvPr id="1235" name="Textbox 1235"/>
                        <wps:cNvSpPr txBox="1"/>
                        <wps:spPr>
                          <a:xfrm>
                            <a:off x="605605" y="2206839"/>
                            <a:ext cx="199390" cy="20891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1990-</w:t>
                              </w:r>
                            </w:p>
                            <w:p>
                              <w:pPr>
                                <w:spacing w:before="7"/>
                                <w:ind w:left="82" w:right="0" w:firstLine="0"/>
                                <w:jc w:val="left"/>
                                <w:rPr>
                                  <w:rFonts w:ascii="Arial MT"/>
                                  <w:sz w:val="14"/>
                                </w:rPr>
                              </w:pPr>
                              <w:r>
                                <w:rPr>
                                  <w:rFonts w:ascii="Arial MT"/>
                                  <w:spacing w:val="-5"/>
                                  <w:w w:val="90"/>
                                  <w:sz w:val="14"/>
                                </w:rPr>
                                <w:t>91</w:t>
                              </w:r>
                            </w:p>
                          </w:txbxContent>
                        </wps:txbx>
                        <wps:bodyPr wrap="square" lIns="0" tIns="0" rIns="0" bIns="0" rtlCol="0">
                          <a:noAutofit/>
                        </wps:bodyPr>
                      </wps:wsp>
                      <wps:wsp>
                        <wps:cNvPr id="1236" name="Textbox 1236"/>
                        <wps:cNvSpPr txBox="1"/>
                        <wps:spPr>
                          <a:xfrm>
                            <a:off x="371238" y="277705"/>
                            <a:ext cx="128905" cy="1913889"/>
                          </a:xfrm>
                          <a:prstGeom prst="rect">
                            <a:avLst/>
                          </a:prstGeom>
                        </wps:spPr>
                        <wps:txbx>
                          <w:txbxContent>
                            <w:p>
                              <w:pPr>
                                <w:spacing w:line="184" w:lineRule="exact" w:before="0"/>
                                <w:ind w:left="0" w:right="0" w:firstLine="0"/>
                                <w:jc w:val="left"/>
                                <w:rPr>
                                  <w:rFonts w:ascii="Arial MT"/>
                                  <w:sz w:val="16"/>
                                </w:rPr>
                              </w:pPr>
                              <w:r>
                                <w:rPr>
                                  <w:rFonts w:ascii="Arial MT"/>
                                  <w:spacing w:val="-5"/>
                                  <w:w w:val="90"/>
                                  <w:sz w:val="16"/>
                                </w:rPr>
                                <w:t>2.5</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10"/>
                                  <w:w w:val="90"/>
                                  <w:sz w:val="16"/>
                                </w:rPr>
                                <w:t>2</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5"/>
                                  <w:w w:val="80"/>
                                  <w:sz w:val="16"/>
                                </w:rPr>
                                <w:t>1.5</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10"/>
                                  <w:w w:val="90"/>
                                  <w:sz w:val="16"/>
                                </w:rPr>
                                <w:t>1</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5"/>
                                  <w:w w:val="80"/>
                                  <w:sz w:val="16"/>
                                </w:rPr>
                                <w:t>0.5</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10"/>
                                  <w:w w:val="90"/>
                                  <w:sz w:val="16"/>
                                </w:rPr>
                                <w:t>0</w:t>
                              </w:r>
                            </w:p>
                          </w:txbxContent>
                        </wps:txbx>
                        <wps:bodyPr wrap="square" lIns="0" tIns="0" rIns="0" bIns="0" rtlCol="0">
                          <a:noAutofit/>
                        </wps:bodyPr>
                      </wps:wsp>
                      <wps:wsp>
                        <wps:cNvPr id="1237" name="Textbox 1237"/>
                        <wps:cNvSpPr txBox="1"/>
                        <wps:spPr>
                          <a:xfrm>
                            <a:off x="3869650" y="138894"/>
                            <a:ext cx="95313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Secondary/Higher</w:t>
                              </w:r>
                              <w:r>
                                <w:rPr>
                                  <w:rFonts w:ascii="Arial MT"/>
                                  <w:spacing w:val="4"/>
                                  <w:sz w:val="14"/>
                                </w:rPr>
                                <w:t> </w:t>
                              </w:r>
                              <w:r>
                                <w:rPr>
                                  <w:rFonts w:ascii="Arial MT"/>
                                  <w:spacing w:val="-2"/>
                                  <w:w w:val="85"/>
                                  <w:sz w:val="14"/>
                                </w:rPr>
                                <w:t>secondary</w:t>
                              </w:r>
                            </w:p>
                          </w:txbxContent>
                        </wps:txbx>
                        <wps:bodyPr wrap="square" lIns="0" tIns="0" rIns="0" bIns="0" rtlCol="0">
                          <a:noAutofit/>
                        </wps:bodyPr>
                      </wps:wsp>
                      <wps:wsp>
                        <wps:cNvPr id="1238" name="Textbox 1238"/>
                        <wps:cNvSpPr txBox="1"/>
                        <wps:spPr>
                          <a:xfrm>
                            <a:off x="3093199" y="138894"/>
                            <a:ext cx="38163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Elementary</w:t>
                              </w:r>
                            </w:p>
                          </w:txbxContent>
                        </wps:txbx>
                        <wps:bodyPr wrap="square" lIns="0" tIns="0" rIns="0" bIns="0" rtlCol="0">
                          <a:noAutofit/>
                        </wps:bodyPr>
                      </wps:wsp>
                    </wpg:wgp>
                  </a:graphicData>
                </a:graphic>
              </wp:anchor>
            </w:drawing>
          </mc:Choice>
          <mc:Fallback>
            <w:pict>
              <v:group style="position:absolute;margin-left:100.831703pt;margin-top:-203.102402pt;width:396.8pt;height:200.7pt;mso-position-horizontal-relative:page;mso-position-vertical-relative:paragraph;z-index:15806464" id="docshapegroup1198" coordorigin="2017,-4062" coordsize="7936,4014">
                <v:shape style="position:absolute;left:2016;top:-4063;width:7936;height:4014" id="docshape1199" coordorigin="2017,-4062" coordsize="7936,4014" path="m9952,-4062l9942,-4062,9942,-4058,9942,-4058,9942,-52,2022,-52,2022,-52,2027,-52,9942,-52,9942,-57,2027,-57,2022,-57,2022,-58,2027,-58,2027,-4052,2022,-4052,2022,-4053,2027,-4053,9942,-4053,9942,-4058,2027,-4058,2022,-4058,2022,-4058,9942,-4058,9942,-4062,2017,-4062,2017,-4058,2017,-4052,2017,-58,2017,-52,2017,-48,9952,-48,9952,-52,9947,-52,9947,-52,9952,-52,9952,-57,9947,-57,9947,-58,9952,-58,9952,-4052,9947,-4052,9947,-4053,9952,-4053,9952,-4058,9947,-4058,9947,-4058,9952,-4058,9952,-4062xe" filled="true" fillcolor="#000000" stroked="false">
                  <v:path arrowok="t"/>
                  <v:fill type="solid"/>
                </v:shape>
                <v:rect style="position:absolute;left:3065;top:-2154;width:107;height:99" id="docshape1200" filled="true" fillcolor="#e3c626" stroked="false">
                  <v:fill type="solid"/>
                </v:rect>
                <v:shape style="position:absolute;left:2839;top:-3551;width:6823;height:2932" id="docshape1201" coordorigin="2839,-3550" coordsize="6823,2932" path="m9662,-672l9661,-672,9661,-674,2903,-674,2903,-3550,2893,-3550,2893,-3550,2843,-3550,2843,-3540,2893,-3540,2893,-2975,2843,-2975,2843,-2965,2893,-2965,2893,-2400,2843,-2400,2843,-2390,2893,-2390,2893,-1825,2843,-1825,2843,-1815,2893,-1815,2893,-1250,2843,-1250,2843,-1240,2893,-1240,2893,-674,2839,-674,2839,-664,2893,-664,2893,-618,2903,-618,2903,-664,3325,-664,3325,-622,3335,-622,3335,-664,3777,-664,3777,-622,3787,-622,3787,-664,4229,-664,4229,-622,4239,-622,4239,-664,4681,-664,4681,-622,4691,-622,4691,-664,5133,-664,5133,-622,5143,-622,5143,-664,5585,-664,5585,-622,5595,-622,5595,-664,6036,-664,6036,-622,6046,-622,6046,-664,6488,-664,6488,-622,6498,-622,6498,-664,6940,-664,6940,-622,6950,-622,6950,-664,7392,-664,7392,-622,7402,-622,7402,-664,7844,-664,7844,-622,7854,-622,7854,-664,8296,-664,8296,-622,8306,-622,8306,-664,8748,-664,8748,-622,8758,-622,8758,-664,9200,-664,9200,-622,9210,-622,9210,-664,9652,-664,9652,-622,9662,-622,9662,-672xe" filled="true" fillcolor="#000000" stroked="false">
                  <v:path arrowok="t"/>
                  <v:fill type="solid"/>
                </v:shape>
                <v:shape style="position:absolute;left:3515;top:-2382;width:5526;height:465" id="docshape1202" coordorigin="3516,-2382" coordsize="5526,465" path="m3622,-2173l3516,-2173,3516,-2074,3622,-2074,3622,-2173xm4065,-2186l3959,-2186,3959,-2087,4065,-2087,4065,-2186xm4528,-2108l4422,-2108,4422,-2010,4528,-2010,4528,-2108xm4975,-2076l4869,-2076,4869,-1978,4975,-1978,4975,-2076xm5431,-2073l5325,-2073,5325,-1975,5431,-1975,5431,-2073xm5878,-2034l5772,-2034,5772,-1936,5878,-1936,5878,-2034xm6341,-2028l6235,-2028,6235,-1930,6341,-1930,6341,-2028xm6781,-2169l6675,-2169,6675,-2071,6781,-2071,6781,-2169xm7244,-2382l7138,-2382,7138,-2283,7244,-2283,7244,-2382xm7685,-2292l7579,-2292,7579,-2193,7685,-2193,7685,-2292xm8131,-2112l8025,-2112,8025,-2013,8131,-2013,8131,-2112xm8591,-2121l8485,-2121,8485,-2023,8591,-2023,8591,-2121xm9041,-2015l8935,-2015,8935,-1917,9041,-1917,9041,-2015xe" filled="true" fillcolor="#e3c626" stroked="false">
                  <v:path arrowok="t"/>
                  <v:fill type="solid"/>
                </v:shape>
                <v:shape style="position:absolute;left:3059;top:-3096;width:6457;height:597" type="#_x0000_t75" id="docshape1203" stroked="false">
                  <v:imagedata r:id="rId650" o:title=""/>
                </v:shape>
                <v:shape style="position:absolute;left:3113;top:-2332;width:6387;height:416" id="docshape1204" coordorigin="3114,-2332" coordsize="6387,416" path="m9501,-2015l9395,-2015,9395,-1965,9115,-1967,9116,-1967,9115,-1967,8988,-1977,8988,-1977,8910,-1996,8871,-2005,8870,-2006,8870,-2006,8870,-2006,8852,-2012,8822,-2022,8793,-2031,8705,-2047,8651,-2057,8651,-2057,8650,-2057,8651,-2057,8651,-2057,8591,-2073,8554,-2083,8411,-2077,8237,-2067,8237,-2064,8237,-2067,8104,-2064,8052,-2083,7975,-2112,7950,-2121,7949,-2121,7950,-2121,7950,-2121,7832,-2173,7811,-2182,7673,-2237,7649,-2246,7639,-2250,7608,-2259,7578,-2269,7556,-2272,7487,-2282,7487,-2282,7487,-2282,7487,-2282,7487,-2282,7399,-2301,7353,-2311,7307,-2321,7302,-2322,7201,-2332,7128,-2301,6919,-2214,6745,-2140,6662,-2102,6425,-2028,6294,-1983,6220,-1974,6157,-1989,6117,-1999,5828,-1996,5815,-1999,5765,-2009,5716,-2019,5632,-2025,5545,-2031,5496,-2035,5377,-2041,4914,-2032,4887,-2034,4789,-2044,4672,-2051,4481,-2060,4469,-2063,4420,-2073,4372,-2083,4312,-2089,4215,-2099,4215,-2099,4178,-2111,4118,-2131,4063,-2131,4062,-2128,4062,-2121,4062,-2128,4062,-2131,4062,-2131,3978,-2134,3978,-2121,3978,-2114,3978,-2118,3978,-2121,3978,-2134,3576,-2128,3496,-2122,3496,-2122,3496,-2122,3496,-2122,3114,-2115,3114,-2095,3497,-2102,3577,-2108,3978,-2114,4062,-2111,4115,-2111,4211,-2079,4369,-2063,4479,-2041,4788,-2024,4914,-2012,5377,-2021,5495,-2015,5496,-2025,5495,-2019,5495,-2015,5713,-1999,5826,-1976,6115,-1979,6218,-1954,6298,-1964,6299,-1964,6327,-1973,6356,-1983,6431,-2009,6431,-2009,6462,-2018,6669,-2083,6690,-2092,6710,-2102,6753,-2122,6753,-2122,6775,-2131,6927,-2196,7135,-2282,7179,-2301,7204,-2311,7304,-2301,7484,-2262,7573,-2250,7643,-2228,7643,-2227,7803,-2163,7803,-2163,7943,-2102,8066,-2057,8101,-2044,8238,-2047,8360,-2054,8412,-2057,8551,-2063,8646,-2038,8788,-2012,8865,-1986,8985,-1957,9115,-1947,9395,-1945,9395,-1917,9501,-1917,9501,-2015xe" filled="true" fillcolor="#e3c626" stroked="false">
                  <v:path arrowok="t"/>
                  <v:fill type="solid"/>
                </v:shape>
                <v:shape style="position:absolute;left:6495;top:-3815;width:360;height:121" id="docshape1205" coordorigin="6496,-3814" coordsize="360,121" path="m6856,-3754l6722,-3754,6727,-3760,6659,-3814,6611,-3754,6496,-3754,6496,-3734,6623,-3734,6673,-3693,6706,-3734,6856,-3734,6856,-3754xe" filled="true" fillcolor="#2e614a" stroked="false">
                  <v:path arrowok="t"/>
                  <v:fill type="solid"/>
                </v:shape>
                <v:shape style="position:absolute;left:7690;top:-3810;width:360;height:99" id="docshape1206" coordorigin="7691,-3809" coordsize="360,99" path="m8051,-3754l7914,-3754,7914,-3809,7808,-3809,7808,-3754,7691,-3754,7691,-3734,7808,-3734,7808,-3711,7914,-3711,7914,-3734,8051,-3734,8051,-3754xe" filled="true" fillcolor="#e3c626" stroked="false">
                  <v:path arrowok="t"/>
                  <v:fill type="solid"/>
                </v:shape>
                <v:shape style="position:absolute;left:9369;top:-424;width:148;height:161" type="#_x0000_t202" id="docshape1207" filled="false" stroked="false">
                  <v:textbox inset="0,0,0,0">
                    <w:txbxContent>
                      <w:p>
                        <w:pPr>
                          <w:spacing w:line="161" w:lineRule="exact" w:before="0"/>
                          <w:ind w:left="0" w:right="0" w:firstLine="0"/>
                          <w:jc w:val="left"/>
                          <w:rPr>
                            <w:rFonts w:ascii="Arial MT"/>
                            <w:sz w:val="14"/>
                          </w:rPr>
                        </w:pPr>
                        <w:r>
                          <w:rPr>
                            <w:rFonts w:ascii="Arial MT"/>
                            <w:spacing w:val="-5"/>
                            <w:w w:val="90"/>
                            <w:sz w:val="14"/>
                          </w:rPr>
                          <w:t>05</w:t>
                        </w:r>
                      </w:p>
                    </w:txbxContent>
                  </v:textbox>
                  <w10:wrap type="none"/>
                </v:shape>
                <v:shape style="position:absolute;left:8918;top:-424;width:148;height:161" type="#_x0000_t202" id="docshape1208" filled="false" stroked="false">
                  <v:textbox inset="0,0,0,0">
                    <w:txbxContent>
                      <w:p>
                        <w:pPr>
                          <w:spacing w:line="161" w:lineRule="exact" w:before="0"/>
                          <w:ind w:left="0" w:right="0" w:firstLine="0"/>
                          <w:jc w:val="left"/>
                          <w:rPr>
                            <w:rFonts w:ascii="Arial MT"/>
                            <w:sz w:val="14"/>
                          </w:rPr>
                        </w:pPr>
                        <w:r>
                          <w:rPr>
                            <w:rFonts w:ascii="Arial MT"/>
                            <w:spacing w:val="-5"/>
                            <w:w w:val="90"/>
                            <w:sz w:val="14"/>
                          </w:rPr>
                          <w:t>04</w:t>
                        </w:r>
                      </w:p>
                    </w:txbxContent>
                  </v:textbox>
                  <w10:wrap type="none"/>
                </v:shape>
                <v:shape style="position:absolute;left:8467;top:-424;width:148;height:161" type="#_x0000_t202" id="docshape1209" filled="false" stroked="false">
                  <v:textbox inset="0,0,0,0">
                    <w:txbxContent>
                      <w:p>
                        <w:pPr>
                          <w:spacing w:line="161" w:lineRule="exact" w:before="0"/>
                          <w:ind w:left="0" w:right="0" w:firstLine="0"/>
                          <w:jc w:val="left"/>
                          <w:rPr>
                            <w:rFonts w:ascii="Arial MT"/>
                            <w:sz w:val="14"/>
                          </w:rPr>
                        </w:pPr>
                        <w:r>
                          <w:rPr>
                            <w:rFonts w:ascii="Arial MT"/>
                            <w:spacing w:val="-5"/>
                            <w:w w:val="90"/>
                            <w:sz w:val="14"/>
                          </w:rPr>
                          <w:t>03</w:t>
                        </w:r>
                      </w:p>
                    </w:txbxContent>
                  </v:textbox>
                  <w10:wrap type="none"/>
                </v:shape>
                <v:shape style="position:absolute;left:8016;top:-424;width:148;height:161" type="#_x0000_t202" id="docshape1210" filled="false" stroked="false">
                  <v:textbox inset="0,0,0,0">
                    <w:txbxContent>
                      <w:p>
                        <w:pPr>
                          <w:spacing w:line="161" w:lineRule="exact" w:before="0"/>
                          <w:ind w:left="0" w:right="0" w:firstLine="0"/>
                          <w:jc w:val="left"/>
                          <w:rPr>
                            <w:rFonts w:ascii="Arial MT"/>
                            <w:sz w:val="14"/>
                          </w:rPr>
                        </w:pPr>
                        <w:r>
                          <w:rPr>
                            <w:rFonts w:ascii="Arial MT"/>
                            <w:spacing w:val="-5"/>
                            <w:w w:val="90"/>
                            <w:sz w:val="14"/>
                          </w:rPr>
                          <w:t>02</w:t>
                        </w:r>
                      </w:p>
                    </w:txbxContent>
                  </v:textbox>
                  <w10:wrap type="none"/>
                </v:shape>
                <v:shape style="position:absolute;left:7565;top:-424;width:148;height:161" type="#_x0000_t202" id="docshape1211" filled="false" stroked="false">
                  <v:textbox inset="0,0,0,0">
                    <w:txbxContent>
                      <w:p>
                        <w:pPr>
                          <w:spacing w:line="161" w:lineRule="exact" w:before="0"/>
                          <w:ind w:left="0" w:right="0" w:firstLine="0"/>
                          <w:jc w:val="left"/>
                          <w:rPr>
                            <w:rFonts w:ascii="Arial MT"/>
                            <w:sz w:val="14"/>
                          </w:rPr>
                        </w:pPr>
                        <w:r>
                          <w:rPr>
                            <w:rFonts w:ascii="Arial MT"/>
                            <w:spacing w:val="-5"/>
                            <w:w w:val="90"/>
                            <w:sz w:val="14"/>
                          </w:rPr>
                          <w:t>01</w:t>
                        </w:r>
                      </w:p>
                    </w:txbxContent>
                  </v:textbox>
                  <w10:wrap type="none"/>
                </v:shape>
                <v:shape style="position:absolute;left:7050;top:-424;width:276;height:161" type="#_x0000_t202" id="docshape1212" filled="false" stroked="false">
                  <v:textbox inset="0,0,0,0">
                    <w:txbxContent>
                      <w:p>
                        <w:pPr>
                          <w:spacing w:line="161" w:lineRule="exact" w:before="0"/>
                          <w:ind w:left="0" w:right="0" w:firstLine="0"/>
                          <w:jc w:val="left"/>
                          <w:rPr>
                            <w:rFonts w:ascii="Arial MT"/>
                            <w:sz w:val="14"/>
                          </w:rPr>
                        </w:pPr>
                        <w:r>
                          <w:rPr>
                            <w:rFonts w:ascii="Arial MT"/>
                            <w:spacing w:val="-4"/>
                            <w:w w:val="85"/>
                            <w:sz w:val="14"/>
                          </w:rPr>
                          <w:t>2000</w:t>
                        </w:r>
                      </w:p>
                    </w:txbxContent>
                  </v:textbox>
                  <w10:wrap type="none"/>
                </v:shape>
                <v:shape style="position:absolute;left:6662;top:-424;width:148;height:161" type="#_x0000_t202" id="docshape1213" filled="false" stroked="false">
                  <v:textbox inset="0,0,0,0">
                    <w:txbxContent>
                      <w:p>
                        <w:pPr>
                          <w:spacing w:line="161" w:lineRule="exact" w:before="0"/>
                          <w:ind w:left="0" w:right="0" w:firstLine="0"/>
                          <w:jc w:val="left"/>
                          <w:rPr>
                            <w:rFonts w:ascii="Arial MT"/>
                            <w:sz w:val="14"/>
                          </w:rPr>
                        </w:pPr>
                        <w:r>
                          <w:rPr>
                            <w:rFonts w:ascii="Arial MT"/>
                            <w:spacing w:val="-5"/>
                            <w:w w:val="90"/>
                            <w:sz w:val="14"/>
                          </w:rPr>
                          <w:t>99</w:t>
                        </w:r>
                      </w:p>
                    </w:txbxContent>
                  </v:textbox>
                  <w10:wrap type="none"/>
                </v:shape>
                <v:shape style="position:absolute;left:6128;top:-578;width:314;height:329" type="#_x0000_t202" id="docshape1214" filled="false" stroked="false">
                  <v:textbox inset="0,0,0,0">
                    <w:txbxContent>
                      <w:p>
                        <w:pPr>
                          <w:spacing w:line="161" w:lineRule="exact" w:before="0"/>
                          <w:ind w:left="0" w:right="0" w:firstLine="0"/>
                          <w:jc w:val="left"/>
                          <w:rPr>
                            <w:rFonts w:ascii="Arial MT"/>
                            <w:sz w:val="14"/>
                          </w:rPr>
                        </w:pPr>
                        <w:r>
                          <w:rPr>
                            <w:rFonts w:ascii="Arial MT"/>
                            <w:spacing w:val="-2"/>
                            <w:w w:val="85"/>
                            <w:sz w:val="14"/>
                          </w:rPr>
                          <w:t>1997-</w:t>
                        </w:r>
                      </w:p>
                      <w:p>
                        <w:pPr>
                          <w:spacing w:before="7"/>
                          <w:ind w:left="82" w:right="0" w:firstLine="0"/>
                          <w:jc w:val="left"/>
                          <w:rPr>
                            <w:rFonts w:ascii="Arial MT"/>
                            <w:sz w:val="14"/>
                          </w:rPr>
                        </w:pPr>
                        <w:r>
                          <w:rPr>
                            <w:rFonts w:ascii="Arial MT"/>
                            <w:spacing w:val="-5"/>
                            <w:w w:val="90"/>
                            <w:sz w:val="14"/>
                          </w:rPr>
                          <w:t>98</w:t>
                        </w:r>
                      </w:p>
                    </w:txbxContent>
                  </v:textbox>
                  <w10:wrap type="none"/>
                </v:shape>
                <v:shape style="position:absolute;left:5760;top:-424;width:148;height:161" type="#_x0000_t202" id="docshape1215" filled="false" stroked="false">
                  <v:textbox inset="0,0,0,0">
                    <w:txbxContent>
                      <w:p>
                        <w:pPr>
                          <w:spacing w:line="161" w:lineRule="exact" w:before="0"/>
                          <w:ind w:left="0" w:right="0" w:firstLine="0"/>
                          <w:jc w:val="left"/>
                          <w:rPr>
                            <w:rFonts w:ascii="Arial MT"/>
                            <w:sz w:val="14"/>
                          </w:rPr>
                        </w:pPr>
                        <w:r>
                          <w:rPr>
                            <w:rFonts w:ascii="Arial MT"/>
                            <w:spacing w:val="-5"/>
                            <w:w w:val="90"/>
                            <w:sz w:val="14"/>
                          </w:rPr>
                          <w:t>97</w:t>
                        </w:r>
                      </w:p>
                    </w:txbxContent>
                  </v:textbox>
                  <w10:wrap type="none"/>
                </v:shape>
                <v:shape style="position:absolute;left:5309;top:-424;width:148;height:161" type="#_x0000_t202" id="docshape1216" filled="false" stroked="false">
                  <v:textbox inset="0,0,0,0">
                    <w:txbxContent>
                      <w:p>
                        <w:pPr>
                          <w:spacing w:line="161" w:lineRule="exact" w:before="0"/>
                          <w:ind w:left="0" w:right="0" w:firstLine="0"/>
                          <w:jc w:val="left"/>
                          <w:rPr>
                            <w:rFonts w:ascii="Arial MT"/>
                            <w:sz w:val="14"/>
                          </w:rPr>
                        </w:pPr>
                        <w:r>
                          <w:rPr>
                            <w:rFonts w:ascii="Arial MT"/>
                            <w:spacing w:val="-5"/>
                            <w:w w:val="90"/>
                            <w:sz w:val="14"/>
                          </w:rPr>
                          <w:t>96</w:t>
                        </w:r>
                      </w:p>
                    </w:txbxContent>
                  </v:textbox>
                  <w10:wrap type="none"/>
                </v:shape>
                <v:shape style="position:absolute;left:4858;top:-424;width:148;height:161" type="#_x0000_t202" id="docshape1217" filled="false" stroked="false">
                  <v:textbox inset="0,0,0,0">
                    <w:txbxContent>
                      <w:p>
                        <w:pPr>
                          <w:spacing w:line="161" w:lineRule="exact" w:before="0"/>
                          <w:ind w:left="0" w:right="0" w:firstLine="0"/>
                          <w:jc w:val="left"/>
                          <w:rPr>
                            <w:rFonts w:ascii="Arial MT"/>
                            <w:sz w:val="14"/>
                          </w:rPr>
                        </w:pPr>
                        <w:r>
                          <w:rPr>
                            <w:rFonts w:ascii="Arial MT"/>
                            <w:spacing w:val="-5"/>
                            <w:w w:val="90"/>
                            <w:sz w:val="14"/>
                          </w:rPr>
                          <w:t>95</w:t>
                        </w:r>
                      </w:p>
                    </w:txbxContent>
                  </v:textbox>
                  <w10:wrap type="none"/>
                </v:shape>
                <v:shape style="position:absolute;left:4406;top:-424;width:148;height:161" type="#_x0000_t202" id="docshape1218" filled="false" stroked="false">
                  <v:textbox inset="0,0,0,0">
                    <w:txbxContent>
                      <w:p>
                        <w:pPr>
                          <w:spacing w:line="161" w:lineRule="exact" w:before="0"/>
                          <w:ind w:left="0" w:right="0" w:firstLine="0"/>
                          <w:jc w:val="left"/>
                          <w:rPr>
                            <w:rFonts w:ascii="Arial MT"/>
                            <w:sz w:val="14"/>
                          </w:rPr>
                        </w:pPr>
                        <w:r>
                          <w:rPr>
                            <w:rFonts w:ascii="Arial MT"/>
                            <w:spacing w:val="-5"/>
                            <w:w w:val="90"/>
                            <w:sz w:val="14"/>
                          </w:rPr>
                          <w:t>94</w:t>
                        </w:r>
                      </w:p>
                    </w:txbxContent>
                  </v:textbox>
                  <w10:wrap type="none"/>
                </v:shape>
                <v:shape style="position:absolute;left:3955;top:-424;width:148;height:161" type="#_x0000_t202" id="docshape1219" filled="false" stroked="false">
                  <v:textbox inset="0,0,0,0">
                    <w:txbxContent>
                      <w:p>
                        <w:pPr>
                          <w:spacing w:line="161" w:lineRule="exact" w:before="0"/>
                          <w:ind w:left="0" w:right="0" w:firstLine="0"/>
                          <w:jc w:val="left"/>
                          <w:rPr>
                            <w:rFonts w:ascii="Arial MT"/>
                            <w:sz w:val="14"/>
                          </w:rPr>
                        </w:pPr>
                        <w:r>
                          <w:rPr>
                            <w:rFonts w:ascii="Arial MT"/>
                            <w:spacing w:val="-5"/>
                            <w:w w:val="90"/>
                            <w:sz w:val="14"/>
                          </w:rPr>
                          <w:t>93</w:t>
                        </w:r>
                      </w:p>
                    </w:txbxContent>
                  </v:textbox>
                  <w10:wrap type="none"/>
                </v:shape>
                <v:shape style="position:absolute;left:6579;top:-592;width:3021;height:161" type="#_x0000_t202" id="docshape1220" filled="false" stroked="false">
                  <v:textbox inset="0,0,0,0">
                    <w:txbxContent>
                      <w:p>
                        <w:pPr>
                          <w:spacing w:line="161" w:lineRule="exact" w:before="0"/>
                          <w:ind w:left="0" w:right="0" w:firstLine="0"/>
                          <w:jc w:val="left"/>
                          <w:rPr>
                            <w:rFonts w:ascii="Arial MT"/>
                            <w:sz w:val="14"/>
                          </w:rPr>
                        </w:pPr>
                        <w:r>
                          <w:rPr>
                            <w:rFonts w:ascii="Arial MT"/>
                            <w:w w:val="90"/>
                            <w:sz w:val="14"/>
                          </w:rPr>
                          <w:t>1998-</w:t>
                        </w:r>
                        <w:r>
                          <w:rPr>
                            <w:rFonts w:ascii="Arial MT"/>
                            <w:spacing w:val="67"/>
                            <w:w w:val="150"/>
                            <w:sz w:val="14"/>
                          </w:rPr>
                          <w:t> </w:t>
                        </w:r>
                        <w:r>
                          <w:rPr>
                            <w:rFonts w:ascii="Arial MT"/>
                            <w:w w:val="90"/>
                            <w:sz w:val="14"/>
                          </w:rPr>
                          <w:t>1999-</w:t>
                        </w:r>
                        <w:r>
                          <w:rPr>
                            <w:rFonts w:ascii="Arial MT"/>
                            <w:spacing w:val="67"/>
                            <w:w w:val="150"/>
                            <w:sz w:val="14"/>
                          </w:rPr>
                          <w:t> </w:t>
                        </w:r>
                        <w:r>
                          <w:rPr>
                            <w:rFonts w:ascii="Arial MT"/>
                            <w:w w:val="90"/>
                            <w:sz w:val="14"/>
                          </w:rPr>
                          <w:t>2000-</w:t>
                        </w:r>
                        <w:r>
                          <w:rPr>
                            <w:rFonts w:ascii="Arial MT"/>
                            <w:spacing w:val="67"/>
                            <w:w w:val="150"/>
                            <w:sz w:val="14"/>
                          </w:rPr>
                          <w:t> </w:t>
                        </w:r>
                        <w:r>
                          <w:rPr>
                            <w:rFonts w:ascii="Arial MT"/>
                            <w:w w:val="90"/>
                            <w:sz w:val="14"/>
                          </w:rPr>
                          <w:t>2000-</w:t>
                        </w:r>
                        <w:r>
                          <w:rPr>
                            <w:rFonts w:ascii="Arial MT"/>
                            <w:spacing w:val="68"/>
                            <w:w w:val="150"/>
                            <w:sz w:val="14"/>
                          </w:rPr>
                          <w:t> </w:t>
                        </w:r>
                        <w:r>
                          <w:rPr>
                            <w:rFonts w:ascii="Arial MT"/>
                            <w:w w:val="90"/>
                            <w:sz w:val="14"/>
                          </w:rPr>
                          <w:t>2000-</w:t>
                        </w:r>
                        <w:r>
                          <w:rPr>
                            <w:rFonts w:ascii="Arial MT"/>
                            <w:spacing w:val="68"/>
                            <w:w w:val="150"/>
                            <w:sz w:val="14"/>
                          </w:rPr>
                          <w:t> </w:t>
                        </w:r>
                        <w:r>
                          <w:rPr>
                            <w:rFonts w:ascii="Arial MT"/>
                            <w:w w:val="90"/>
                            <w:sz w:val="14"/>
                          </w:rPr>
                          <w:t>2000-</w:t>
                        </w:r>
                        <w:r>
                          <w:rPr>
                            <w:rFonts w:ascii="Arial MT"/>
                            <w:spacing w:val="68"/>
                            <w:w w:val="150"/>
                            <w:sz w:val="14"/>
                          </w:rPr>
                          <w:t> </w:t>
                        </w:r>
                        <w:r>
                          <w:rPr>
                            <w:rFonts w:ascii="Arial MT"/>
                            <w:spacing w:val="-2"/>
                            <w:w w:val="90"/>
                            <w:sz w:val="14"/>
                          </w:rPr>
                          <w:t>2000-</w:t>
                        </w:r>
                      </w:p>
                    </w:txbxContent>
                  </v:textbox>
                  <w10:wrap type="none"/>
                </v:shape>
                <v:shape style="position:absolute;left:3872;top:-592;width:2119;height:161" type="#_x0000_t202" id="docshape1221" filled="false" stroked="false">
                  <v:textbox inset="0,0,0,0">
                    <w:txbxContent>
                      <w:p>
                        <w:pPr>
                          <w:spacing w:line="161" w:lineRule="exact" w:before="0"/>
                          <w:ind w:left="0" w:right="0" w:firstLine="0"/>
                          <w:jc w:val="left"/>
                          <w:rPr>
                            <w:rFonts w:ascii="Arial MT"/>
                            <w:sz w:val="14"/>
                          </w:rPr>
                        </w:pPr>
                        <w:r>
                          <w:rPr>
                            <w:rFonts w:ascii="Arial MT"/>
                            <w:w w:val="90"/>
                            <w:sz w:val="14"/>
                          </w:rPr>
                          <w:t>1992-</w:t>
                        </w:r>
                        <w:r>
                          <w:rPr>
                            <w:rFonts w:ascii="Arial MT"/>
                            <w:spacing w:val="65"/>
                            <w:w w:val="150"/>
                            <w:sz w:val="14"/>
                          </w:rPr>
                          <w:t> </w:t>
                        </w:r>
                        <w:r>
                          <w:rPr>
                            <w:rFonts w:ascii="Arial MT"/>
                            <w:w w:val="90"/>
                            <w:sz w:val="14"/>
                          </w:rPr>
                          <w:t>1993-</w:t>
                        </w:r>
                        <w:r>
                          <w:rPr>
                            <w:rFonts w:ascii="Arial MT"/>
                            <w:spacing w:val="65"/>
                            <w:w w:val="150"/>
                            <w:sz w:val="14"/>
                          </w:rPr>
                          <w:t> </w:t>
                        </w:r>
                        <w:r>
                          <w:rPr>
                            <w:rFonts w:ascii="Arial MT"/>
                            <w:w w:val="90"/>
                            <w:sz w:val="14"/>
                          </w:rPr>
                          <w:t>1994-</w:t>
                        </w:r>
                        <w:r>
                          <w:rPr>
                            <w:rFonts w:ascii="Arial MT"/>
                            <w:spacing w:val="65"/>
                            <w:w w:val="150"/>
                            <w:sz w:val="14"/>
                          </w:rPr>
                          <w:t> </w:t>
                        </w:r>
                        <w:r>
                          <w:rPr>
                            <w:rFonts w:ascii="Arial MT"/>
                            <w:w w:val="90"/>
                            <w:sz w:val="14"/>
                          </w:rPr>
                          <w:t>1995-</w:t>
                        </w:r>
                        <w:r>
                          <w:rPr>
                            <w:rFonts w:ascii="Arial MT"/>
                            <w:spacing w:val="66"/>
                            <w:w w:val="150"/>
                            <w:sz w:val="14"/>
                          </w:rPr>
                          <w:t> </w:t>
                        </w:r>
                        <w:r>
                          <w:rPr>
                            <w:rFonts w:ascii="Arial MT"/>
                            <w:spacing w:val="-4"/>
                            <w:w w:val="90"/>
                            <w:sz w:val="14"/>
                          </w:rPr>
                          <w:t>1996-</w:t>
                        </w:r>
                      </w:p>
                    </w:txbxContent>
                  </v:textbox>
                  <w10:wrap type="none"/>
                </v:shape>
                <v:shape style="position:absolute;left:3421;top:-582;width:314;height:329" type="#_x0000_t202" id="docshape1222" filled="false" stroked="false">
                  <v:textbox inset="0,0,0,0">
                    <w:txbxContent>
                      <w:p>
                        <w:pPr>
                          <w:spacing w:line="161" w:lineRule="exact" w:before="0"/>
                          <w:ind w:left="0" w:right="0" w:firstLine="0"/>
                          <w:jc w:val="left"/>
                          <w:rPr>
                            <w:rFonts w:ascii="Arial MT"/>
                            <w:sz w:val="14"/>
                          </w:rPr>
                        </w:pPr>
                        <w:r>
                          <w:rPr>
                            <w:rFonts w:ascii="Arial MT"/>
                            <w:spacing w:val="-2"/>
                            <w:w w:val="85"/>
                            <w:sz w:val="14"/>
                          </w:rPr>
                          <w:t>1991-</w:t>
                        </w:r>
                      </w:p>
                      <w:p>
                        <w:pPr>
                          <w:spacing w:before="7"/>
                          <w:ind w:left="82" w:right="0" w:firstLine="0"/>
                          <w:jc w:val="left"/>
                          <w:rPr>
                            <w:rFonts w:ascii="Arial MT"/>
                            <w:sz w:val="14"/>
                          </w:rPr>
                        </w:pPr>
                        <w:r>
                          <w:rPr>
                            <w:rFonts w:ascii="Arial MT"/>
                            <w:spacing w:val="-5"/>
                            <w:w w:val="90"/>
                            <w:sz w:val="14"/>
                          </w:rPr>
                          <w:t>92</w:t>
                        </w:r>
                      </w:p>
                    </w:txbxContent>
                  </v:textbox>
                  <w10:wrap type="none"/>
                </v:shape>
                <v:shape style="position:absolute;left:2970;top:-587;width:314;height:329" type="#_x0000_t202" id="docshape1223" filled="false" stroked="false">
                  <v:textbox inset="0,0,0,0">
                    <w:txbxContent>
                      <w:p>
                        <w:pPr>
                          <w:spacing w:line="161" w:lineRule="exact" w:before="0"/>
                          <w:ind w:left="0" w:right="0" w:firstLine="0"/>
                          <w:jc w:val="left"/>
                          <w:rPr>
                            <w:rFonts w:ascii="Arial MT"/>
                            <w:sz w:val="14"/>
                          </w:rPr>
                        </w:pPr>
                        <w:r>
                          <w:rPr>
                            <w:rFonts w:ascii="Arial MT"/>
                            <w:spacing w:val="-2"/>
                            <w:w w:val="85"/>
                            <w:sz w:val="14"/>
                          </w:rPr>
                          <w:t>1990-</w:t>
                        </w:r>
                      </w:p>
                      <w:p>
                        <w:pPr>
                          <w:spacing w:before="7"/>
                          <w:ind w:left="82" w:right="0" w:firstLine="0"/>
                          <w:jc w:val="left"/>
                          <w:rPr>
                            <w:rFonts w:ascii="Arial MT"/>
                            <w:sz w:val="14"/>
                          </w:rPr>
                        </w:pPr>
                        <w:r>
                          <w:rPr>
                            <w:rFonts w:ascii="Arial MT"/>
                            <w:spacing w:val="-5"/>
                            <w:w w:val="90"/>
                            <w:sz w:val="14"/>
                          </w:rPr>
                          <w:t>91</w:t>
                        </w:r>
                      </w:p>
                    </w:txbxContent>
                  </v:textbox>
                  <w10:wrap type="none"/>
                </v:shape>
                <v:shape style="position:absolute;left:2601;top:-3625;width:203;height:3014" type="#_x0000_t202" id="docshape1224" filled="false" stroked="false">
                  <v:textbox inset="0,0,0,0">
                    <w:txbxContent>
                      <w:p>
                        <w:pPr>
                          <w:spacing w:line="184" w:lineRule="exact" w:before="0"/>
                          <w:ind w:left="0" w:right="0" w:firstLine="0"/>
                          <w:jc w:val="left"/>
                          <w:rPr>
                            <w:rFonts w:ascii="Arial MT"/>
                            <w:sz w:val="16"/>
                          </w:rPr>
                        </w:pPr>
                        <w:r>
                          <w:rPr>
                            <w:rFonts w:ascii="Arial MT"/>
                            <w:spacing w:val="-5"/>
                            <w:w w:val="90"/>
                            <w:sz w:val="16"/>
                          </w:rPr>
                          <w:t>2.5</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10"/>
                            <w:w w:val="90"/>
                            <w:sz w:val="16"/>
                          </w:rPr>
                          <w:t>2</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5"/>
                            <w:w w:val="80"/>
                            <w:sz w:val="16"/>
                          </w:rPr>
                          <w:t>1.5</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10"/>
                            <w:w w:val="90"/>
                            <w:sz w:val="16"/>
                          </w:rPr>
                          <w:t>1</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5"/>
                            <w:w w:val="80"/>
                            <w:sz w:val="16"/>
                          </w:rPr>
                          <w:t>0.5</w:t>
                        </w:r>
                      </w:p>
                      <w:p>
                        <w:pPr>
                          <w:spacing w:line="240" w:lineRule="auto" w:before="0"/>
                          <w:rPr>
                            <w:rFonts w:ascii="Arial MT"/>
                            <w:sz w:val="16"/>
                          </w:rPr>
                        </w:pPr>
                      </w:p>
                      <w:p>
                        <w:pPr>
                          <w:spacing w:line="240" w:lineRule="auto" w:before="14"/>
                          <w:rPr>
                            <w:rFonts w:ascii="Arial MT"/>
                            <w:sz w:val="16"/>
                          </w:rPr>
                        </w:pPr>
                      </w:p>
                      <w:p>
                        <w:pPr>
                          <w:spacing w:before="0"/>
                          <w:ind w:left="0" w:right="18" w:firstLine="0"/>
                          <w:jc w:val="right"/>
                          <w:rPr>
                            <w:rFonts w:ascii="Arial MT"/>
                            <w:sz w:val="16"/>
                          </w:rPr>
                        </w:pPr>
                        <w:r>
                          <w:rPr>
                            <w:rFonts w:ascii="Arial MT"/>
                            <w:spacing w:val="-10"/>
                            <w:w w:val="90"/>
                            <w:sz w:val="16"/>
                          </w:rPr>
                          <w:t>0</w:t>
                        </w:r>
                      </w:p>
                    </w:txbxContent>
                  </v:textbox>
                  <w10:wrap type="none"/>
                </v:shape>
                <v:shape style="position:absolute;left:8110;top:-3844;width:1501;height:161" type="#_x0000_t202" id="docshape1225" filled="false" stroked="false">
                  <v:textbox inset="0,0,0,0">
                    <w:txbxContent>
                      <w:p>
                        <w:pPr>
                          <w:spacing w:line="161" w:lineRule="exact" w:before="0"/>
                          <w:ind w:left="0" w:right="0" w:firstLine="0"/>
                          <w:jc w:val="left"/>
                          <w:rPr>
                            <w:rFonts w:ascii="Arial MT"/>
                            <w:sz w:val="14"/>
                          </w:rPr>
                        </w:pPr>
                        <w:r>
                          <w:rPr>
                            <w:rFonts w:ascii="Arial MT"/>
                            <w:w w:val="80"/>
                            <w:sz w:val="14"/>
                          </w:rPr>
                          <w:t>Secondary/Higher</w:t>
                        </w:r>
                        <w:r>
                          <w:rPr>
                            <w:rFonts w:ascii="Arial MT"/>
                            <w:spacing w:val="4"/>
                            <w:sz w:val="14"/>
                          </w:rPr>
                          <w:t> </w:t>
                        </w:r>
                        <w:r>
                          <w:rPr>
                            <w:rFonts w:ascii="Arial MT"/>
                            <w:spacing w:val="-2"/>
                            <w:w w:val="85"/>
                            <w:sz w:val="14"/>
                          </w:rPr>
                          <w:t>secondary</w:t>
                        </w:r>
                      </w:p>
                    </w:txbxContent>
                  </v:textbox>
                  <w10:wrap type="none"/>
                </v:shape>
                <v:shape style="position:absolute;left:6887;top:-3844;width:601;height:161" type="#_x0000_t202" id="docshape1226" filled="false" stroked="false">
                  <v:textbox inset="0,0,0,0">
                    <w:txbxContent>
                      <w:p>
                        <w:pPr>
                          <w:spacing w:line="161" w:lineRule="exact" w:before="0"/>
                          <w:ind w:left="0" w:right="0" w:firstLine="0"/>
                          <w:jc w:val="left"/>
                          <w:rPr>
                            <w:rFonts w:ascii="Arial MT"/>
                            <w:sz w:val="14"/>
                          </w:rPr>
                        </w:pPr>
                        <w:r>
                          <w:rPr>
                            <w:rFonts w:ascii="Arial MT"/>
                            <w:spacing w:val="-2"/>
                            <w:w w:val="85"/>
                            <w:sz w:val="14"/>
                          </w:rPr>
                          <w:t>Elementary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7488">
                <wp:simplePos x="0" y="0"/>
                <wp:positionH relativeFrom="page">
                  <wp:posOffset>1455512</wp:posOffset>
                </wp:positionH>
                <wp:positionV relativeFrom="paragraph">
                  <wp:posOffset>-1370832</wp:posOffset>
                </wp:positionV>
                <wp:extent cx="127635" cy="224154"/>
                <wp:effectExtent l="0" t="0" r="0" b="0"/>
                <wp:wrapNone/>
                <wp:docPr id="1239" name="Textbox 1239"/>
                <wp:cNvGraphicFramePr>
                  <a:graphicFrameLocks/>
                </wp:cNvGraphicFramePr>
                <a:graphic>
                  <a:graphicData uri="http://schemas.microsoft.com/office/word/2010/wordprocessingShape">
                    <wps:wsp>
                      <wps:cNvPr id="1239" name="Textbox 1239"/>
                      <wps:cNvSpPr txBox="1"/>
                      <wps:spPr>
                        <a:xfrm>
                          <a:off x="0" y="0"/>
                          <a:ext cx="127635" cy="224154"/>
                        </a:xfrm>
                        <a:prstGeom prst="rect">
                          <a:avLst/>
                        </a:prstGeom>
                      </wps:spPr>
                      <wps:txbx>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wps:txbx>
                      <wps:bodyPr wrap="square" lIns="0" tIns="0" rIns="0" bIns="0" rtlCol="0" vert="vert270">
                        <a:noAutofit/>
                      </wps:bodyPr>
                    </wps:wsp>
                  </a:graphicData>
                </a:graphic>
              </wp:anchor>
            </w:drawing>
          </mc:Choice>
          <mc:Fallback>
            <w:pict>
              <v:shape style="position:absolute;margin-left:114.607285pt;margin-top:-107.939598pt;width:10.050pt;height:17.650pt;mso-position-horizontal-relative:page;mso-position-vertical-relative:paragraph;z-index:15807488" type="#_x0000_t202" id="docshape1227"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v:textbox>
                <w10:wrap type="none"/>
              </v:shape>
            </w:pict>
          </mc:Fallback>
        </mc:AlternateContent>
      </w:r>
      <w:r>
        <w:rPr>
          <w:i/>
          <w:w w:val="85"/>
          <w:sz w:val="16"/>
        </w:rPr>
        <w:t>Source:</w:t>
      </w:r>
      <w:r>
        <w:rPr>
          <w:i/>
          <w:spacing w:val="-5"/>
          <w:sz w:val="16"/>
        </w:rPr>
        <w:t> </w:t>
      </w:r>
      <w:r>
        <w:rPr>
          <w:spacing w:val="-4"/>
          <w:sz w:val="16"/>
        </w:rPr>
        <w:t>MHRD</w:t>
      </w:r>
    </w:p>
    <w:p>
      <w:pPr>
        <w:pStyle w:val="BodyText"/>
        <w:spacing w:before="149"/>
        <w:rPr>
          <w:sz w:val="20"/>
        </w:rPr>
      </w:pPr>
    </w:p>
    <w:p>
      <w:pPr>
        <w:spacing w:after="0"/>
        <w:rPr>
          <w:sz w:val="20"/>
        </w:rPr>
        <w:sectPr>
          <w:pgSz w:w="11910" w:h="16840"/>
          <w:pgMar w:header="0" w:footer="675" w:top="940" w:bottom="860" w:left="0" w:right="0"/>
        </w:sectPr>
      </w:pPr>
    </w:p>
    <w:p>
      <w:pPr>
        <w:pStyle w:val="BodyText"/>
        <w:spacing w:line="266" w:lineRule="auto" w:before="82"/>
        <w:ind w:left="1080"/>
        <w:jc w:val="both"/>
      </w:pPr>
      <w:r>
        <w:rPr/>
        <w:t>quality at the primary level needs to be thought </w:t>
      </w:r>
      <w:r>
        <w:rPr/>
        <w:t>of. The National Policy on Education (NPE), 1986 postulated that the examination system should be recast so as to ensure a method of assessment that is a valid and reliable measure of student development and</w:t>
      </w:r>
      <w:r>
        <w:rPr>
          <w:spacing w:val="-14"/>
        </w:rPr>
        <w:t> </w:t>
      </w:r>
      <w:r>
        <w:rPr/>
        <w:t>a</w:t>
      </w:r>
      <w:r>
        <w:rPr>
          <w:spacing w:val="-14"/>
        </w:rPr>
        <w:t> </w:t>
      </w:r>
      <w:r>
        <w:rPr/>
        <w:t>powerful</w:t>
      </w:r>
      <w:r>
        <w:rPr>
          <w:spacing w:val="-14"/>
        </w:rPr>
        <w:t> </w:t>
      </w:r>
      <w:r>
        <w:rPr/>
        <w:t>instrument</w:t>
      </w:r>
      <w:r>
        <w:rPr>
          <w:spacing w:val="-13"/>
        </w:rPr>
        <w:t> </w:t>
      </w:r>
      <w:r>
        <w:rPr/>
        <w:t>for</w:t>
      </w:r>
      <w:r>
        <w:rPr>
          <w:spacing w:val="-14"/>
        </w:rPr>
        <w:t> </w:t>
      </w:r>
      <w:r>
        <w:rPr/>
        <w:t>improving</w:t>
      </w:r>
      <w:r>
        <w:rPr>
          <w:spacing w:val="-14"/>
        </w:rPr>
        <w:t> </w:t>
      </w:r>
      <w:r>
        <w:rPr/>
        <w:t>teaching</w:t>
      </w:r>
      <w:r>
        <w:rPr>
          <w:spacing w:val="-14"/>
        </w:rPr>
        <w:t> </w:t>
      </w:r>
      <w:r>
        <w:rPr/>
        <w:t>and learning be developed.</w:t>
      </w:r>
    </w:p>
    <w:p>
      <w:pPr>
        <w:pStyle w:val="BodyText"/>
        <w:spacing w:before="21"/>
      </w:pPr>
    </w:p>
    <w:p>
      <w:pPr>
        <w:pStyle w:val="BodyText"/>
        <w:spacing w:line="266" w:lineRule="auto"/>
        <w:ind w:left="1080"/>
        <w:jc w:val="both"/>
      </w:pPr>
      <w:r>
        <w:rPr>
          <w:b/>
          <w:spacing w:val="-4"/>
        </w:rPr>
        <w:t>Government</w:t>
      </w:r>
      <w:r>
        <w:rPr>
          <w:b/>
          <w:spacing w:val="-10"/>
        </w:rPr>
        <w:t> </w:t>
      </w:r>
      <w:r>
        <w:rPr>
          <w:b/>
          <w:spacing w:val="-4"/>
        </w:rPr>
        <w:t>funding:</w:t>
      </w:r>
      <w:r>
        <w:rPr>
          <w:b/>
          <w:spacing w:val="-10"/>
        </w:rPr>
        <w:t> </w:t>
      </w:r>
      <w:r>
        <w:rPr>
          <w:spacing w:val="-4"/>
        </w:rPr>
        <w:t>The</w:t>
      </w:r>
      <w:r>
        <w:rPr>
          <w:spacing w:val="-10"/>
        </w:rPr>
        <w:t> </w:t>
      </w:r>
      <w:r>
        <w:rPr>
          <w:spacing w:val="-4"/>
        </w:rPr>
        <w:t>share</w:t>
      </w:r>
      <w:r>
        <w:rPr>
          <w:spacing w:val="-9"/>
        </w:rPr>
        <w:t> </w:t>
      </w:r>
      <w:r>
        <w:rPr>
          <w:spacing w:val="-4"/>
        </w:rPr>
        <w:t>of</w:t>
      </w:r>
      <w:r>
        <w:rPr>
          <w:spacing w:val="-10"/>
        </w:rPr>
        <w:t> </w:t>
      </w:r>
      <w:r>
        <w:rPr>
          <w:spacing w:val="-4"/>
        </w:rPr>
        <w:t>public</w:t>
      </w:r>
      <w:r>
        <w:rPr>
          <w:spacing w:val="-10"/>
        </w:rPr>
        <w:t> </w:t>
      </w:r>
      <w:r>
        <w:rPr>
          <w:spacing w:val="-4"/>
        </w:rPr>
        <w:t>expenditure </w:t>
      </w:r>
      <w:r>
        <w:rPr>
          <w:spacing w:val="-6"/>
        </w:rPr>
        <w:t>on</w:t>
      </w:r>
      <w:r>
        <w:rPr>
          <w:spacing w:val="-7"/>
        </w:rPr>
        <w:t> </w:t>
      </w:r>
      <w:r>
        <w:rPr>
          <w:spacing w:val="-6"/>
        </w:rPr>
        <w:t>education</w:t>
      </w:r>
      <w:r>
        <w:rPr>
          <w:spacing w:val="-7"/>
        </w:rPr>
        <w:t> </w:t>
      </w:r>
      <w:r>
        <w:rPr>
          <w:spacing w:val="-6"/>
        </w:rPr>
        <w:t>has</w:t>
      </w:r>
      <w:r>
        <w:rPr>
          <w:spacing w:val="-7"/>
        </w:rPr>
        <w:t> </w:t>
      </w:r>
      <w:r>
        <w:rPr>
          <w:spacing w:val="-6"/>
        </w:rPr>
        <w:t>been</w:t>
      </w:r>
      <w:r>
        <w:rPr>
          <w:spacing w:val="-7"/>
        </w:rPr>
        <w:t> </w:t>
      </w:r>
      <w:r>
        <w:rPr>
          <w:spacing w:val="-6"/>
        </w:rPr>
        <w:t>declining</w:t>
      </w:r>
      <w:r>
        <w:rPr>
          <w:spacing w:val="-7"/>
        </w:rPr>
        <w:t> </w:t>
      </w:r>
      <w:r>
        <w:rPr>
          <w:spacing w:val="-6"/>
        </w:rPr>
        <w:t>steadily</w:t>
      </w:r>
      <w:r>
        <w:rPr>
          <w:spacing w:val="-7"/>
        </w:rPr>
        <w:t> </w:t>
      </w:r>
      <w:r>
        <w:rPr>
          <w:spacing w:val="-6"/>
        </w:rPr>
        <w:t>and</w:t>
      </w:r>
      <w:r>
        <w:rPr>
          <w:spacing w:val="-7"/>
        </w:rPr>
        <w:t> </w:t>
      </w:r>
      <w:r>
        <w:rPr>
          <w:spacing w:val="-6"/>
        </w:rPr>
        <w:t>was</w:t>
      </w:r>
      <w:r>
        <w:rPr>
          <w:spacing w:val="-7"/>
        </w:rPr>
        <w:t> </w:t>
      </w:r>
      <w:r>
        <w:rPr>
          <w:spacing w:val="-6"/>
        </w:rPr>
        <w:t>3.5</w:t>
      </w:r>
      <w:r>
        <w:rPr>
          <w:spacing w:val="-7"/>
        </w:rPr>
        <w:t> </w:t>
      </w:r>
      <w:r>
        <w:rPr>
          <w:spacing w:val="-6"/>
        </w:rPr>
        <w:t>per </w:t>
      </w:r>
      <w:r>
        <w:rPr>
          <w:spacing w:val="-4"/>
        </w:rPr>
        <w:t>cent</w:t>
      </w:r>
      <w:r>
        <w:rPr>
          <w:spacing w:val="-10"/>
        </w:rPr>
        <w:t> </w:t>
      </w:r>
      <w:r>
        <w:rPr>
          <w:spacing w:val="-4"/>
        </w:rPr>
        <w:t>in</w:t>
      </w:r>
      <w:r>
        <w:rPr>
          <w:spacing w:val="-10"/>
        </w:rPr>
        <w:t> </w:t>
      </w:r>
      <w:r>
        <w:rPr>
          <w:spacing w:val="-4"/>
        </w:rPr>
        <w:t>2004-05.</w:t>
      </w:r>
      <w:r>
        <w:rPr>
          <w:spacing w:val="-10"/>
        </w:rPr>
        <w:t> </w:t>
      </w:r>
      <w:r>
        <w:rPr>
          <w:spacing w:val="-4"/>
        </w:rPr>
        <w:t>The</w:t>
      </w:r>
      <w:r>
        <w:rPr>
          <w:spacing w:val="-9"/>
        </w:rPr>
        <w:t> </w:t>
      </w:r>
      <w:r>
        <w:rPr>
          <w:spacing w:val="-4"/>
        </w:rPr>
        <w:t>share</w:t>
      </w:r>
      <w:r>
        <w:rPr>
          <w:spacing w:val="-10"/>
        </w:rPr>
        <w:t> </w:t>
      </w:r>
      <w:r>
        <w:rPr>
          <w:spacing w:val="-4"/>
        </w:rPr>
        <w:t>of</w:t>
      </w:r>
      <w:r>
        <w:rPr>
          <w:spacing w:val="-10"/>
        </w:rPr>
        <w:t> </w:t>
      </w:r>
      <w:r>
        <w:rPr>
          <w:spacing w:val="-4"/>
        </w:rPr>
        <w:t>elementary</w:t>
      </w:r>
      <w:r>
        <w:rPr>
          <w:spacing w:val="-10"/>
        </w:rPr>
        <w:t> </w:t>
      </w:r>
      <w:r>
        <w:rPr>
          <w:spacing w:val="-4"/>
        </w:rPr>
        <w:t>education</w:t>
      </w:r>
      <w:r>
        <w:rPr>
          <w:spacing w:val="-9"/>
        </w:rPr>
        <w:t> </w:t>
      </w:r>
      <w:r>
        <w:rPr>
          <w:spacing w:val="-4"/>
        </w:rPr>
        <w:t>was </w:t>
      </w:r>
      <w:r>
        <w:rPr>
          <w:spacing w:val="-2"/>
        </w:rPr>
        <w:t>Rs.</w:t>
      </w:r>
      <w:r>
        <w:rPr>
          <w:spacing w:val="-11"/>
        </w:rPr>
        <w:t> </w:t>
      </w:r>
      <w:r>
        <w:rPr>
          <w:spacing w:val="-2"/>
        </w:rPr>
        <w:t>40,000</w:t>
      </w:r>
      <w:r>
        <w:rPr>
          <w:spacing w:val="-11"/>
        </w:rPr>
        <w:t> </w:t>
      </w:r>
      <w:r>
        <w:rPr>
          <w:spacing w:val="-2"/>
        </w:rPr>
        <w:t>crores</w:t>
      </w:r>
      <w:r>
        <w:rPr>
          <w:spacing w:val="-11"/>
        </w:rPr>
        <w:t> </w:t>
      </w:r>
      <w:r>
        <w:rPr>
          <w:spacing w:val="-2"/>
        </w:rPr>
        <w:t>out</w:t>
      </w:r>
      <w:r>
        <w:rPr>
          <w:spacing w:val="-11"/>
        </w:rPr>
        <w:t> </w:t>
      </w:r>
      <w:r>
        <w:rPr>
          <w:spacing w:val="-2"/>
        </w:rPr>
        <w:t>of</w:t>
      </w:r>
      <w:r>
        <w:rPr>
          <w:spacing w:val="-11"/>
        </w:rPr>
        <w:t> </w:t>
      </w:r>
      <w:r>
        <w:rPr>
          <w:spacing w:val="-2"/>
        </w:rPr>
        <w:t>almost</w:t>
      </w:r>
      <w:r>
        <w:rPr>
          <w:spacing w:val="-11"/>
        </w:rPr>
        <w:t> </w:t>
      </w:r>
      <w:r>
        <w:rPr>
          <w:spacing w:val="-2"/>
        </w:rPr>
        <w:t>100,000</w:t>
      </w:r>
      <w:r>
        <w:rPr>
          <w:spacing w:val="-11"/>
        </w:rPr>
        <w:t> </w:t>
      </w:r>
      <w:r>
        <w:rPr>
          <w:spacing w:val="-2"/>
        </w:rPr>
        <w:t>crores</w:t>
      </w:r>
      <w:r>
        <w:rPr>
          <w:spacing w:val="-11"/>
        </w:rPr>
        <w:t> </w:t>
      </w:r>
      <w:r>
        <w:rPr>
          <w:spacing w:val="-2"/>
        </w:rPr>
        <w:t>allotted </w:t>
      </w:r>
      <w:r>
        <w:rPr/>
        <w:t>to education. This amount is insufficient to provide </w:t>
      </w:r>
      <w:r>
        <w:rPr>
          <w:spacing w:val="-2"/>
        </w:rPr>
        <w:t>universal</w:t>
      </w:r>
      <w:r>
        <w:rPr>
          <w:spacing w:val="-12"/>
        </w:rPr>
        <w:t> </w:t>
      </w:r>
      <w:r>
        <w:rPr>
          <w:spacing w:val="-2"/>
        </w:rPr>
        <w:t>elementary</w:t>
      </w:r>
      <w:r>
        <w:rPr>
          <w:spacing w:val="-12"/>
        </w:rPr>
        <w:t> </w:t>
      </w:r>
      <w:r>
        <w:rPr>
          <w:spacing w:val="-2"/>
        </w:rPr>
        <w:t>education</w:t>
      </w:r>
      <w:r>
        <w:rPr>
          <w:spacing w:val="-12"/>
        </w:rPr>
        <w:t> </w:t>
      </w:r>
      <w:r>
        <w:rPr>
          <w:spacing w:val="-2"/>
        </w:rPr>
        <w:t>of</w:t>
      </w:r>
      <w:r>
        <w:rPr>
          <w:spacing w:val="-11"/>
        </w:rPr>
        <w:t> </w:t>
      </w:r>
      <w:r>
        <w:rPr>
          <w:spacing w:val="-2"/>
        </w:rPr>
        <w:t>eight</w:t>
      </w:r>
      <w:r>
        <w:rPr>
          <w:spacing w:val="-12"/>
        </w:rPr>
        <w:t> </w:t>
      </w:r>
      <w:r>
        <w:rPr>
          <w:spacing w:val="-2"/>
        </w:rPr>
        <w:t>years</w:t>
      </w:r>
      <w:r>
        <w:rPr>
          <w:spacing w:val="-12"/>
        </w:rPr>
        <w:t> </w:t>
      </w:r>
      <w:r>
        <w:rPr>
          <w:spacing w:val="-2"/>
        </w:rPr>
        <w:t>for</w:t>
      </w:r>
      <w:r>
        <w:rPr>
          <w:spacing w:val="-12"/>
        </w:rPr>
        <w:t> </w:t>
      </w:r>
      <w:r>
        <w:rPr>
          <w:spacing w:val="-2"/>
        </w:rPr>
        <w:t>every </w:t>
      </w:r>
      <w:r>
        <w:rPr/>
        <w:t>child</w:t>
      </w:r>
      <w:r>
        <w:rPr>
          <w:spacing w:val="-5"/>
        </w:rPr>
        <w:t> </w:t>
      </w:r>
      <w:r>
        <w:rPr/>
        <w:t>in</w:t>
      </w:r>
      <w:r>
        <w:rPr>
          <w:spacing w:val="-4"/>
        </w:rPr>
        <w:t> </w:t>
      </w:r>
      <w:r>
        <w:rPr/>
        <w:t>the</w:t>
      </w:r>
      <w:r>
        <w:rPr>
          <w:spacing w:val="-5"/>
        </w:rPr>
        <w:t> </w:t>
      </w:r>
      <w:r>
        <w:rPr/>
        <w:t>age</w:t>
      </w:r>
      <w:r>
        <w:rPr>
          <w:spacing w:val="-4"/>
        </w:rPr>
        <w:t> </w:t>
      </w:r>
      <w:r>
        <w:rPr/>
        <w:t>group</w:t>
      </w:r>
      <w:r>
        <w:rPr>
          <w:spacing w:val="-5"/>
        </w:rPr>
        <w:t> </w:t>
      </w:r>
      <w:r>
        <w:rPr/>
        <w:t>6</w:t>
      </w:r>
      <w:r>
        <w:rPr>
          <w:spacing w:val="-4"/>
        </w:rPr>
        <w:t> </w:t>
      </w:r>
      <w:r>
        <w:rPr/>
        <w:t>–</w:t>
      </w:r>
      <w:r>
        <w:rPr>
          <w:spacing w:val="-4"/>
        </w:rPr>
        <w:t> </w:t>
      </w:r>
      <w:r>
        <w:rPr/>
        <w:t>14</w:t>
      </w:r>
      <w:r>
        <w:rPr>
          <w:spacing w:val="-5"/>
        </w:rPr>
        <w:t> </w:t>
      </w:r>
      <w:r>
        <w:rPr/>
        <w:t>years.</w:t>
      </w:r>
      <w:r>
        <w:rPr>
          <w:spacing w:val="-4"/>
        </w:rPr>
        <w:t> </w:t>
      </w:r>
      <w:r>
        <w:rPr/>
        <w:t>It</w:t>
      </w:r>
      <w:r>
        <w:rPr>
          <w:spacing w:val="-5"/>
        </w:rPr>
        <w:t> </w:t>
      </w:r>
      <w:r>
        <w:rPr/>
        <w:t>is</w:t>
      </w:r>
      <w:r>
        <w:rPr>
          <w:spacing w:val="-4"/>
        </w:rPr>
        <w:t> </w:t>
      </w:r>
      <w:r>
        <w:rPr/>
        <w:t>also</w:t>
      </w:r>
      <w:r>
        <w:rPr>
          <w:spacing w:val="-5"/>
        </w:rPr>
        <w:t> </w:t>
      </w:r>
      <w:r>
        <w:rPr/>
        <w:t>less</w:t>
      </w:r>
      <w:r>
        <w:rPr>
          <w:spacing w:val="-4"/>
        </w:rPr>
        <w:t> than</w:t>
      </w:r>
    </w:p>
    <w:p>
      <w:pPr>
        <w:pStyle w:val="BodyText"/>
        <w:spacing w:line="266" w:lineRule="auto" w:before="82"/>
        <w:ind w:left="319" w:right="1077"/>
        <w:jc w:val="both"/>
      </w:pPr>
      <w:r>
        <w:rPr/>
        <w:br w:type="column"/>
      </w:r>
      <w:r>
        <w:rPr/>
        <w:t>the</w:t>
      </w:r>
      <w:r>
        <w:rPr>
          <w:spacing w:val="-3"/>
        </w:rPr>
        <w:t> </w:t>
      </w:r>
      <w:r>
        <w:rPr/>
        <w:t>proportion</w:t>
      </w:r>
      <w:r>
        <w:rPr>
          <w:spacing w:val="-3"/>
        </w:rPr>
        <w:t> </w:t>
      </w:r>
      <w:r>
        <w:rPr/>
        <w:t>of</w:t>
      </w:r>
      <w:r>
        <w:rPr>
          <w:spacing w:val="-3"/>
        </w:rPr>
        <w:t> </w:t>
      </w:r>
      <w:r>
        <w:rPr/>
        <w:t>GDP</w:t>
      </w:r>
      <w:r>
        <w:rPr>
          <w:spacing w:val="-3"/>
        </w:rPr>
        <w:t> </w:t>
      </w:r>
      <w:r>
        <w:rPr/>
        <w:t>invested</w:t>
      </w:r>
      <w:r>
        <w:rPr>
          <w:spacing w:val="-3"/>
        </w:rPr>
        <w:t> </w:t>
      </w:r>
      <w:r>
        <w:rPr/>
        <w:t>in</w:t>
      </w:r>
      <w:r>
        <w:rPr>
          <w:spacing w:val="-3"/>
        </w:rPr>
        <w:t> </w:t>
      </w:r>
      <w:r>
        <w:rPr/>
        <w:t>education</w:t>
      </w:r>
      <w:r>
        <w:rPr>
          <w:spacing w:val="-3"/>
        </w:rPr>
        <w:t> </w:t>
      </w:r>
      <w:r>
        <w:rPr/>
        <w:t>in</w:t>
      </w:r>
      <w:r>
        <w:rPr>
          <w:spacing w:val="-3"/>
        </w:rPr>
        <w:t> </w:t>
      </w:r>
      <w:r>
        <w:rPr/>
        <w:t>many other developing countries. India’s total expenditure on</w:t>
      </w:r>
      <w:r>
        <w:rPr>
          <w:spacing w:val="-7"/>
        </w:rPr>
        <w:t> </w:t>
      </w:r>
      <w:r>
        <w:rPr/>
        <w:t>school</w:t>
      </w:r>
      <w:r>
        <w:rPr>
          <w:spacing w:val="-7"/>
        </w:rPr>
        <w:t> </w:t>
      </w:r>
      <w:r>
        <w:rPr/>
        <w:t>education</w:t>
      </w:r>
      <w:r>
        <w:rPr>
          <w:spacing w:val="-7"/>
        </w:rPr>
        <w:t> </w:t>
      </w:r>
      <w:r>
        <w:rPr/>
        <w:t>for</w:t>
      </w:r>
      <w:r>
        <w:rPr>
          <w:spacing w:val="-7"/>
        </w:rPr>
        <w:t> </w:t>
      </w:r>
      <w:r>
        <w:rPr/>
        <w:t>the</w:t>
      </w:r>
      <w:r>
        <w:rPr>
          <w:spacing w:val="-7"/>
        </w:rPr>
        <w:t> </w:t>
      </w:r>
      <w:r>
        <w:rPr/>
        <w:t>year</w:t>
      </w:r>
      <w:r>
        <w:rPr>
          <w:spacing w:val="-7"/>
        </w:rPr>
        <w:t> </w:t>
      </w:r>
      <w:r>
        <w:rPr/>
        <w:t>2005-06,</w:t>
      </w:r>
      <w:r>
        <w:rPr>
          <w:spacing w:val="-7"/>
        </w:rPr>
        <w:t> </w:t>
      </w:r>
      <w:r>
        <w:rPr/>
        <w:t>elementary </w:t>
      </w:r>
      <w:r>
        <w:rPr>
          <w:spacing w:val="-4"/>
        </w:rPr>
        <w:t>and</w:t>
      </w:r>
      <w:r>
        <w:rPr>
          <w:spacing w:val="-9"/>
        </w:rPr>
        <w:t> </w:t>
      </w:r>
      <w:r>
        <w:rPr>
          <w:spacing w:val="-4"/>
        </w:rPr>
        <w:t>secondary</w:t>
      </w:r>
      <w:r>
        <w:rPr>
          <w:spacing w:val="-9"/>
        </w:rPr>
        <w:t> </w:t>
      </w:r>
      <w:r>
        <w:rPr>
          <w:spacing w:val="-4"/>
        </w:rPr>
        <w:t>combined</w:t>
      </w:r>
      <w:r>
        <w:rPr>
          <w:spacing w:val="-9"/>
        </w:rPr>
        <w:t> </w:t>
      </w:r>
      <w:r>
        <w:rPr>
          <w:spacing w:val="-4"/>
        </w:rPr>
        <w:t>was</w:t>
      </w:r>
      <w:r>
        <w:rPr>
          <w:spacing w:val="-9"/>
        </w:rPr>
        <w:t> </w:t>
      </w:r>
      <w:r>
        <w:rPr>
          <w:spacing w:val="-4"/>
        </w:rPr>
        <w:t>around</w:t>
      </w:r>
      <w:r>
        <w:rPr>
          <w:spacing w:val="-9"/>
        </w:rPr>
        <w:t> </w:t>
      </w:r>
      <w:r>
        <w:rPr>
          <w:spacing w:val="-4"/>
        </w:rPr>
        <w:t>Rs.</w:t>
      </w:r>
      <w:r>
        <w:rPr>
          <w:spacing w:val="-9"/>
        </w:rPr>
        <w:t> </w:t>
      </w:r>
      <w:r>
        <w:rPr>
          <w:spacing w:val="-4"/>
        </w:rPr>
        <w:t>78,661</w:t>
      </w:r>
      <w:r>
        <w:rPr>
          <w:spacing w:val="-9"/>
        </w:rPr>
        <w:t> </w:t>
      </w:r>
      <w:r>
        <w:rPr>
          <w:spacing w:val="-4"/>
        </w:rPr>
        <w:t>crores, </w:t>
      </w:r>
      <w:r>
        <w:rPr/>
        <w:t>amounting to only 2.46 per cent of GDP. The Tenth </w:t>
      </w:r>
      <w:r>
        <w:rPr>
          <w:spacing w:val="-4"/>
        </w:rPr>
        <w:t>Plan</w:t>
      </w:r>
      <w:r>
        <w:rPr>
          <w:spacing w:val="-6"/>
        </w:rPr>
        <w:t> </w:t>
      </w:r>
      <w:r>
        <w:rPr>
          <w:spacing w:val="-4"/>
        </w:rPr>
        <w:t>outlay</w:t>
      </w:r>
      <w:r>
        <w:rPr>
          <w:spacing w:val="-6"/>
        </w:rPr>
        <w:t> </w:t>
      </w:r>
      <w:r>
        <w:rPr>
          <w:spacing w:val="-4"/>
        </w:rPr>
        <w:t>for</w:t>
      </w:r>
      <w:r>
        <w:rPr>
          <w:spacing w:val="-6"/>
        </w:rPr>
        <w:t> </w:t>
      </w:r>
      <w:r>
        <w:rPr>
          <w:spacing w:val="-4"/>
        </w:rPr>
        <w:t>Elementary</w:t>
      </w:r>
      <w:r>
        <w:rPr>
          <w:spacing w:val="-6"/>
        </w:rPr>
        <w:t> </w:t>
      </w:r>
      <w:r>
        <w:rPr>
          <w:spacing w:val="-4"/>
        </w:rPr>
        <w:t>Education</w:t>
      </w:r>
      <w:r>
        <w:rPr>
          <w:spacing w:val="-6"/>
        </w:rPr>
        <w:t> </w:t>
      </w:r>
      <w:r>
        <w:rPr>
          <w:spacing w:val="-4"/>
        </w:rPr>
        <w:t>and</w:t>
      </w:r>
      <w:r>
        <w:rPr>
          <w:spacing w:val="-6"/>
        </w:rPr>
        <w:t> </w:t>
      </w:r>
      <w:r>
        <w:rPr>
          <w:spacing w:val="-4"/>
        </w:rPr>
        <w:t>Literacy</w:t>
      </w:r>
      <w:r>
        <w:rPr>
          <w:spacing w:val="-6"/>
        </w:rPr>
        <w:t> </w:t>
      </w:r>
      <w:r>
        <w:rPr>
          <w:spacing w:val="-4"/>
        </w:rPr>
        <w:t>was </w:t>
      </w:r>
      <w:r>
        <w:rPr/>
        <w:t>Rs.</w:t>
      </w:r>
      <w:r>
        <w:rPr>
          <w:spacing w:val="-11"/>
        </w:rPr>
        <w:t> </w:t>
      </w:r>
      <w:r>
        <w:rPr/>
        <w:t>30,000</w:t>
      </w:r>
      <w:r>
        <w:rPr>
          <w:spacing w:val="-10"/>
        </w:rPr>
        <w:t> </w:t>
      </w:r>
      <w:r>
        <w:rPr/>
        <w:t>crore.</w:t>
      </w:r>
      <w:r>
        <w:rPr>
          <w:spacing w:val="-14"/>
        </w:rPr>
        <w:t> </w:t>
      </w:r>
      <w:r>
        <w:rPr/>
        <w:t>The</w:t>
      </w:r>
      <w:r>
        <w:rPr>
          <w:spacing w:val="-10"/>
        </w:rPr>
        <w:t> </w:t>
      </w:r>
      <w:r>
        <w:rPr/>
        <w:t>actual</w:t>
      </w:r>
      <w:r>
        <w:rPr>
          <w:spacing w:val="-10"/>
        </w:rPr>
        <w:t> </w:t>
      </w:r>
      <w:r>
        <w:rPr/>
        <w:t>expenditure</w:t>
      </w:r>
      <w:r>
        <w:rPr>
          <w:spacing w:val="-10"/>
        </w:rPr>
        <w:t> </w:t>
      </w:r>
      <w:r>
        <w:rPr/>
        <w:t>has</w:t>
      </w:r>
      <w:r>
        <w:rPr>
          <w:spacing w:val="-10"/>
        </w:rPr>
        <w:t> </w:t>
      </w:r>
      <w:r>
        <w:rPr/>
        <w:t>been</w:t>
      </w:r>
      <w:r>
        <w:rPr>
          <w:spacing w:val="-10"/>
        </w:rPr>
        <w:t> </w:t>
      </w:r>
      <w:r>
        <w:rPr/>
        <w:t>Rs. </w:t>
      </w:r>
      <w:r>
        <w:rPr>
          <w:spacing w:val="-2"/>
        </w:rPr>
        <w:t>48,201</w:t>
      </w:r>
      <w:r>
        <w:rPr>
          <w:spacing w:val="-9"/>
        </w:rPr>
        <w:t> </w:t>
      </w:r>
      <w:r>
        <w:rPr>
          <w:spacing w:val="-2"/>
        </w:rPr>
        <w:t>crore,</w:t>
      </w:r>
      <w:r>
        <w:rPr>
          <w:spacing w:val="-9"/>
        </w:rPr>
        <w:t> </w:t>
      </w:r>
      <w:r>
        <w:rPr>
          <w:spacing w:val="-2"/>
        </w:rPr>
        <w:t>out</w:t>
      </w:r>
      <w:r>
        <w:rPr>
          <w:spacing w:val="-9"/>
        </w:rPr>
        <w:t> </w:t>
      </w:r>
      <w:r>
        <w:rPr>
          <w:spacing w:val="-2"/>
        </w:rPr>
        <w:t>of</w:t>
      </w:r>
      <w:r>
        <w:rPr>
          <w:spacing w:val="-9"/>
        </w:rPr>
        <w:t> </w:t>
      </w:r>
      <w:r>
        <w:rPr>
          <w:spacing w:val="-2"/>
        </w:rPr>
        <w:t>which</w:t>
      </w:r>
      <w:r>
        <w:rPr>
          <w:spacing w:val="-9"/>
        </w:rPr>
        <w:t> </w:t>
      </w:r>
      <w:r>
        <w:rPr>
          <w:spacing w:val="-2"/>
        </w:rPr>
        <w:t>SSA</w:t>
      </w:r>
      <w:r>
        <w:rPr>
          <w:spacing w:val="-9"/>
        </w:rPr>
        <w:t> </w:t>
      </w:r>
      <w:r>
        <w:rPr>
          <w:spacing w:val="-2"/>
        </w:rPr>
        <w:t>(Rs.</w:t>
      </w:r>
      <w:r>
        <w:rPr>
          <w:spacing w:val="-9"/>
        </w:rPr>
        <w:t> </w:t>
      </w:r>
      <w:r>
        <w:rPr>
          <w:spacing w:val="-2"/>
        </w:rPr>
        <w:t>28,077</w:t>
      </w:r>
      <w:r>
        <w:rPr>
          <w:spacing w:val="-9"/>
        </w:rPr>
        <w:t> </w:t>
      </w:r>
      <w:r>
        <w:rPr>
          <w:spacing w:val="-2"/>
        </w:rPr>
        <w:t>crore)</w:t>
      </w:r>
      <w:r>
        <w:rPr>
          <w:spacing w:val="-9"/>
        </w:rPr>
        <w:t> </w:t>
      </w:r>
      <w:r>
        <w:rPr>
          <w:spacing w:val="-2"/>
        </w:rPr>
        <w:t>and </w:t>
      </w:r>
      <w:r>
        <w:rPr/>
        <w:t>MDM</w:t>
      </w:r>
      <w:r>
        <w:rPr>
          <w:spacing w:val="-11"/>
        </w:rPr>
        <w:t> </w:t>
      </w:r>
      <w:r>
        <w:rPr/>
        <w:t>(Rs.</w:t>
      </w:r>
      <w:r>
        <w:rPr>
          <w:spacing w:val="-9"/>
        </w:rPr>
        <w:t> </w:t>
      </w:r>
      <w:r>
        <w:rPr/>
        <w:t>13,827</w:t>
      </w:r>
      <w:r>
        <w:rPr>
          <w:spacing w:val="-9"/>
        </w:rPr>
        <w:t> </w:t>
      </w:r>
      <w:r>
        <w:rPr/>
        <w:t>crore)</w:t>
      </w:r>
      <w:r>
        <w:rPr>
          <w:spacing w:val="-9"/>
        </w:rPr>
        <w:t> </w:t>
      </w:r>
      <w:r>
        <w:rPr/>
        <w:t>account</w:t>
      </w:r>
      <w:r>
        <w:rPr>
          <w:spacing w:val="-9"/>
        </w:rPr>
        <w:t> </w:t>
      </w:r>
      <w:r>
        <w:rPr/>
        <w:t>for</w:t>
      </w:r>
      <w:r>
        <w:rPr>
          <w:spacing w:val="-9"/>
        </w:rPr>
        <w:t> </w:t>
      </w:r>
      <w:r>
        <w:rPr/>
        <w:t>88</w:t>
      </w:r>
      <w:r>
        <w:rPr>
          <w:spacing w:val="-9"/>
        </w:rPr>
        <w:t> </w:t>
      </w:r>
      <w:r>
        <w:rPr/>
        <w:t>per</w:t>
      </w:r>
      <w:r>
        <w:rPr>
          <w:spacing w:val="-9"/>
        </w:rPr>
        <w:t> </w:t>
      </w:r>
      <w:r>
        <w:rPr/>
        <w:t>cent.</w:t>
      </w:r>
      <w:r>
        <w:rPr>
          <w:spacing w:val="-14"/>
        </w:rPr>
        <w:t> </w:t>
      </w:r>
      <w:r>
        <w:rPr/>
        <w:t>The graph below shows public expenditure on education from year 1992-93 to 2005-06 in 1993-94 constant prices. The percentage allocation for education was around 3.5 per cent of GDP until the late 1990s, rose </w:t>
      </w:r>
      <w:r>
        <w:rPr>
          <w:spacing w:val="-2"/>
        </w:rPr>
        <w:t>to</w:t>
      </w:r>
      <w:r>
        <w:rPr>
          <w:spacing w:val="-12"/>
        </w:rPr>
        <w:t> </w:t>
      </w:r>
      <w:r>
        <w:rPr>
          <w:spacing w:val="-2"/>
        </w:rPr>
        <w:t>more</w:t>
      </w:r>
      <w:r>
        <w:rPr>
          <w:spacing w:val="-12"/>
        </w:rPr>
        <w:t> </w:t>
      </w:r>
      <w:r>
        <w:rPr>
          <w:spacing w:val="-2"/>
        </w:rPr>
        <w:t>than</w:t>
      </w:r>
      <w:r>
        <w:rPr>
          <w:spacing w:val="-10"/>
        </w:rPr>
        <w:t> </w:t>
      </w:r>
      <w:r>
        <w:rPr>
          <w:spacing w:val="-2"/>
        </w:rPr>
        <w:t>4</w:t>
      </w:r>
      <w:r>
        <w:rPr>
          <w:spacing w:val="-12"/>
        </w:rPr>
        <w:t> </w:t>
      </w:r>
      <w:r>
        <w:rPr>
          <w:spacing w:val="-2"/>
        </w:rPr>
        <w:t>per</w:t>
      </w:r>
      <w:r>
        <w:rPr>
          <w:spacing w:val="-12"/>
        </w:rPr>
        <w:t> </w:t>
      </w:r>
      <w:r>
        <w:rPr>
          <w:spacing w:val="-2"/>
        </w:rPr>
        <w:t>cent</w:t>
      </w:r>
      <w:r>
        <w:rPr>
          <w:spacing w:val="-11"/>
        </w:rPr>
        <w:t> </w:t>
      </w:r>
      <w:r>
        <w:rPr>
          <w:spacing w:val="-2"/>
        </w:rPr>
        <w:t>at</w:t>
      </w:r>
      <w:r>
        <w:rPr>
          <w:spacing w:val="-12"/>
        </w:rPr>
        <w:t> </w:t>
      </w:r>
      <w:r>
        <w:rPr>
          <w:spacing w:val="-2"/>
        </w:rPr>
        <w:t>the</w:t>
      </w:r>
      <w:r>
        <w:rPr>
          <w:spacing w:val="-11"/>
        </w:rPr>
        <w:t> </w:t>
      </w:r>
      <w:r>
        <w:rPr>
          <w:spacing w:val="-2"/>
        </w:rPr>
        <w:t>turn</w:t>
      </w:r>
      <w:r>
        <w:rPr>
          <w:spacing w:val="-11"/>
        </w:rPr>
        <w:t> </w:t>
      </w:r>
      <w:r>
        <w:rPr>
          <w:spacing w:val="-2"/>
        </w:rPr>
        <w:t>of</w:t>
      </w:r>
      <w:r>
        <w:rPr>
          <w:spacing w:val="-12"/>
        </w:rPr>
        <w:t> </w:t>
      </w:r>
      <w:r>
        <w:rPr>
          <w:spacing w:val="-2"/>
        </w:rPr>
        <w:t>the</w:t>
      </w:r>
      <w:r>
        <w:rPr>
          <w:spacing w:val="-12"/>
        </w:rPr>
        <w:t> </w:t>
      </w:r>
      <w:r>
        <w:rPr>
          <w:spacing w:val="-2"/>
        </w:rPr>
        <w:t>decade</w:t>
      </w:r>
      <w:r>
        <w:rPr>
          <w:spacing w:val="-11"/>
        </w:rPr>
        <w:t> </w:t>
      </w:r>
      <w:r>
        <w:rPr>
          <w:spacing w:val="-2"/>
        </w:rPr>
        <w:t>but</w:t>
      </w:r>
      <w:r>
        <w:rPr>
          <w:spacing w:val="-12"/>
        </w:rPr>
        <w:t> </w:t>
      </w:r>
      <w:r>
        <w:rPr>
          <w:spacing w:val="-2"/>
        </w:rPr>
        <w:t>has </w:t>
      </w:r>
      <w:r>
        <w:rPr/>
        <w:t>since declined to 3.75 per cent of GDP.</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p>
    <w:p>
      <w:pPr>
        <w:spacing w:after="0"/>
        <w:rPr>
          <w:sz w:val="20"/>
        </w:rPr>
        <w:sectPr>
          <w:pgSz w:w="11910" w:h="16840"/>
          <w:pgMar w:header="0" w:footer="675" w:top="0" w:bottom="860" w:left="0" w:right="0"/>
        </w:sectPr>
      </w:pPr>
    </w:p>
    <w:p>
      <w:pPr>
        <w:pStyle w:val="Heading6"/>
        <w:spacing w:before="78"/>
        <w:ind w:left="1080" w:firstLine="0"/>
      </w:pPr>
      <w:r>
        <w:rPr/>
        <mc:AlternateContent>
          <mc:Choice Requires="wps">
            <w:drawing>
              <wp:anchor distT="0" distB="0" distL="0" distR="0" allowOverlap="1" layoutInCell="1" locked="0" behindDoc="0" simplePos="0" relativeHeight="15808512">
                <wp:simplePos x="0" y="0"/>
                <wp:positionH relativeFrom="page">
                  <wp:posOffset>0</wp:posOffset>
                </wp:positionH>
                <wp:positionV relativeFrom="paragraph">
                  <wp:posOffset>-2236118</wp:posOffset>
                </wp:positionV>
                <wp:extent cx="7560309" cy="1752600"/>
                <wp:effectExtent l="0" t="0" r="0" b="0"/>
                <wp:wrapNone/>
                <wp:docPr id="1240" name="Group 1240"/>
                <wp:cNvGraphicFramePr>
                  <a:graphicFrameLocks/>
                </wp:cNvGraphicFramePr>
                <a:graphic>
                  <a:graphicData uri="http://schemas.microsoft.com/office/word/2010/wordprocessingGroup">
                    <wpg:wgp>
                      <wpg:cNvPr id="1240" name="Group 1240"/>
                      <wpg:cNvGrpSpPr/>
                      <wpg:grpSpPr>
                        <a:xfrm>
                          <a:off x="0" y="0"/>
                          <a:ext cx="7560309" cy="1752600"/>
                          <a:chExt cx="7560309" cy="1752600"/>
                        </a:xfrm>
                      </wpg:grpSpPr>
                      <pic:pic>
                        <pic:nvPicPr>
                          <pic:cNvPr id="1241" name="Image 1241"/>
                          <pic:cNvPicPr/>
                        </pic:nvPicPr>
                        <pic:blipFill>
                          <a:blip r:embed="rId612" cstate="print"/>
                          <a:stretch>
                            <a:fillRect/>
                          </a:stretch>
                        </pic:blipFill>
                        <pic:spPr>
                          <a:xfrm>
                            <a:off x="0" y="0"/>
                            <a:ext cx="7559999" cy="1752562"/>
                          </a:xfrm>
                          <a:prstGeom prst="rect">
                            <a:avLst/>
                          </a:prstGeom>
                        </pic:spPr>
                      </pic:pic>
                      <wps:wsp>
                        <wps:cNvPr id="1242" name="Textbox 1242"/>
                        <wps:cNvSpPr txBox="1"/>
                        <wps:spPr>
                          <a:xfrm>
                            <a:off x="0" y="0"/>
                            <a:ext cx="7560309" cy="1752600"/>
                          </a:xfrm>
                          <a:prstGeom prst="rect">
                            <a:avLst/>
                          </a:prstGeom>
                        </wps:spPr>
                        <wps:txbx>
                          <w:txbxContent>
                            <w:p>
                              <w:pPr>
                                <w:spacing w:line="240" w:lineRule="auto" w:before="160"/>
                                <w:rPr>
                                  <w:b/>
                                  <w:sz w:val="68"/>
                                </w:rPr>
                              </w:pPr>
                            </w:p>
                            <w:p>
                              <w:pPr>
                                <w:spacing w:line="247" w:lineRule="auto" w:before="1"/>
                                <w:ind w:left="1080" w:right="3076" w:firstLine="0"/>
                                <w:jc w:val="left"/>
                                <w:rPr>
                                  <w:rFonts w:ascii="Trebuchet MS"/>
                                  <w:b/>
                                  <w:sz w:val="68"/>
                                </w:rPr>
                              </w:pPr>
                              <w:r>
                                <w:rPr>
                                  <w:rFonts w:ascii="Trebuchet MS"/>
                                  <w:b/>
                                  <w:color w:val="FFFFFF"/>
                                  <w:spacing w:val="-2"/>
                                  <w:sz w:val="68"/>
                                </w:rPr>
                                <w:t>Vocational</w:t>
                              </w:r>
                              <w:r>
                                <w:rPr>
                                  <w:rFonts w:ascii="Trebuchet MS"/>
                                  <w:b/>
                                  <w:color w:val="FFFFFF"/>
                                  <w:spacing w:val="-47"/>
                                  <w:sz w:val="68"/>
                                </w:rPr>
                                <w:t> </w:t>
                              </w:r>
                              <w:r>
                                <w:rPr>
                                  <w:rFonts w:ascii="Trebuchet MS"/>
                                  <w:b/>
                                  <w:color w:val="FFFFFF"/>
                                  <w:spacing w:val="-2"/>
                                  <w:sz w:val="68"/>
                                </w:rPr>
                                <w:t>Education </w:t>
                              </w:r>
                              <w:r>
                                <w:rPr>
                                  <w:rFonts w:ascii="Trebuchet MS"/>
                                  <w:b/>
                                  <w:color w:val="FFFFFF"/>
                                  <w:sz w:val="68"/>
                                </w:rPr>
                                <w:t>and Training</w:t>
                              </w:r>
                            </w:p>
                          </w:txbxContent>
                        </wps:txbx>
                        <wps:bodyPr wrap="square" lIns="0" tIns="0" rIns="0" bIns="0" rtlCol="0">
                          <a:noAutofit/>
                        </wps:bodyPr>
                      </wps:wsp>
                    </wpg:wgp>
                  </a:graphicData>
                </a:graphic>
              </wp:anchor>
            </w:drawing>
          </mc:Choice>
          <mc:Fallback>
            <w:pict>
              <v:group style="position:absolute;margin-left:0pt;margin-top:-176.072311pt;width:595.3pt;height:138pt;mso-position-horizontal-relative:page;mso-position-vertical-relative:paragraph;z-index:15808512" id="docshapegroup1228" coordorigin="0,-3521" coordsize="11906,2760">
                <v:shape style="position:absolute;left:0;top:-3522;width:11906;height:2760" type="#_x0000_t75" id="docshape1229" stroked="false">
                  <v:imagedata r:id="rId612" o:title=""/>
                </v:shape>
                <v:shape style="position:absolute;left:0;top:-3522;width:11906;height:2760" type="#_x0000_t202" id="docshape1230" filled="false" stroked="false">
                  <v:textbox inset="0,0,0,0">
                    <w:txbxContent>
                      <w:p>
                        <w:pPr>
                          <w:spacing w:line="240" w:lineRule="auto" w:before="160"/>
                          <w:rPr>
                            <w:b/>
                            <w:sz w:val="68"/>
                          </w:rPr>
                        </w:pPr>
                      </w:p>
                      <w:p>
                        <w:pPr>
                          <w:spacing w:line="247" w:lineRule="auto" w:before="1"/>
                          <w:ind w:left="1080" w:right="3076" w:firstLine="0"/>
                          <w:jc w:val="left"/>
                          <w:rPr>
                            <w:rFonts w:ascii="Trebuchet MS"/>
                            <w:b/>
                            <w:sz w:val="68"/>
                          </w:rPr>
                        </w:pPr>
                        <w:r>
                          <w:rPr>
                            <w:rFonts w:ascii="Trebuchet MS"/>
                            <w:b/>
                            <w:color w:val="FFFFFF"/>
                            <w:spacing w:val="-2"/>
                            <w:sz w:val="68"/>
                          </w:rPr>
                          <w:t>Vocational</w:t>
                        </w:r>
                        <w:r>
                          <w:rPr>
                            <w:rFonts w:ascii="Trebuchet MS"/>
                            <w:b/>
                            <w:color w:val="FFFFFF"/>
                            <w:spacing w:val="-47"/>
                            <w:sz w:val="68"/>
                          </w:rPr>
                          <w:t> </w:t>
                        </w:r>
                        <w:r>
                          <w:rPr>
                            <w:rFonts w:ascii="Trebuchet MS"/>
                            <w:b/>
                            <w:color w:val="FFFFFF"/>
                            <w:spacing w:val="-2"/>
                            <w:sz w:val="68"/>
                          </w:rPr>
                          <w:t>Education </w:t>
                        </w:r>
                        <w:r>
                          <w:rPr>
                            <w:rFonts w:ascii="Trebuchet MS"/>
                            <w:b/>
                            <w:color w:val="FFFFFF"/>
                            <w:sz w:val="68"/>
                          </w:rPr>
                          <w:t>and Training</w:t>
                        </w:r>
                      </w:p>
                    </w:txbxContent>
                  </v:textbox>
                  <w10:wrap type="none"/>
                </v:shape>
                <w10:wrap type="none"/>
              </v:group>
            </w:pict>
          </mc:Fallback>
        </mc:AlternateContent>
      </w:r>
      <w:r>
        <w:rPr>
          <w:color w:val="2E614A"/>
          <w:spacing w:val="-2"/>
        </w:rPr>
        <w:t>Introduction</w:t>
      </w:r>
    </w:p>
    <w:p>
      <w:pPr>
        <w:pStyle w:val="BodyText"/>
        <w:spacing w:line="266" w:lineRule="auto" w:before="286"/>
        <w:ind w:left="1080" w:firstLine="702"/>
        <w:jc w:val="right"/>
      </w:pPr>
      <w:r>
        <w:rPr/>
        <mc:AlternateContent>
          <mc:Choice Requires="wps">
            <w:drawing>
              <wp:anchor distT="0" distB="0" distL="0" distR="0" allowOverlap="1" layoutInCell="1" locked="0" behindDoc="0" simplePos="0" relativeHeight="15809536">
                <wp:simplePos x="0" y="0"/>
                <wp:positionH relativeFrom="page">
                  <wp:posOffset>685800</wp:posOffset>
                </wp:positionH>
                <wp:positionV relativeFrom="paragraph">
                  <wp:posOffset>92432</wp:posOffset>
                </wp:positionV>
                <wp:extent cx="446405" cy="757555"/>
                <wp:effectExtent l="0" t="0" r="0" b="0"/>
                <wp:wrapNone/>
                <wp:docPr id="1243" name="Textbox 1243"/>
                <wp:cNvGraphicFramePr>
                  <a:graphicFrameLocks/>
                </wp:cNvGraphicFramePr>
                <a:graphic>
                  <a:graphicData uri="http://schemas.microsoft.com/office/word/2010/wordprocessingShape">
                    <wps:wsp>
                      <wps:cNvPr id="1243" name="Textbox 1243"/>
                      <wps:cNvSpPr txBox="1"/>
                      <wps:spPr>
                        <a:xfrm>
                          <a:off x="0" y="0"/>
                          <a:ext cx="446405" cy="757555"/>
                        </a:xfrm>
                        <a:prstGeom prst="rect">
                          <a:avLst/>
                        </a:prstGeom>
                      </wps:spPr>
                      <wps:txbx>
                        <w:txbxContent>
                          <w:p>
                            <w:pPr>
                              <w:spacing w:line="1135" w:lineRule="exact" w:before="0"/>
                              <w:ind w:left="0" w:right="0" w:firstLine="0"/>
                              <w:jc w:val="left"/>
                              <w:rPr>
                                <w:sz w:val="106"/>
                              </w:rPr>
                            </w:pPr>
                            <w:r>
                              <w:rPr>
                                <w:color w:val="9CBF3B"/>
                                <w:spacing w:val="-10"/>
                                <w:sz w:val="106"/>
                              </w:rPr>
                              <w:t>T</w:t>
                            </w:r>
                          </w:p>
                        </w:txbxContent>
                      </wps:txbx>
                      <wps:bodyPr wrap="square" lIns="0" tIns="0" rIns="0" bIns="0" rtlCol="0">
                        <a:noAutofit/>
                      </wps:bodyPr>
                    </wps:wsp>
                  </a:graphicData>
                </a:graphic>
              </wp:anchor>
            </w:drawing>
          </mc:Choice>
          <mc:Fallback>
            <w:pict>
              <v:shape style="position:absolute;margin-left:54pt;margin-top:7.278132pt;width:35.15pt;height:59.65pt;mso-position-horizontal-relative:page;mso-position-vertical-relative:paragraph;z-index:15809536" type="#_x0000_t202" id="docshape1231" filled="false" stroked="false">
                <v:textbox inset="0,0,0,0">
                  <w:txbxContent>
                    <w:p>
                      <w:pPr>
                        <w:spacing w:line="1135" w:lineRule="exact" w:before="0"/>
                        <w:ind w:left="0" w:right="0" w:firstLine="0"/>
                        <w:jc w:val="left"/>
                        <w:rPr>
                          <w:sz w:val="106"/>
                        </w:rPr>
                      </w:pPr>
                      <w:r>
                        <w:rPr>
                          <w:color w:val="9CBF3B"/>
                          <w:spacing w:val="-10"/>
                          <w:sz w:val="106"/>
                        </w:rPr>
                        <w:t>T</w:t>
                      </w:r>
                    </w:p>
                  </w:txbxContent>
                </v:textbox>
                <w10:wrap type="none"/>
              </v:shape>
            </w:pict>
          </mc:Fallback>
        </mc:AlternateContent>
      </w:r>
      <w:r>
        <w:rPr/>
        <w:t>he</w:t>
      </w:r>
      <w:r>
        <w:rPr>
          <w:spacing w:val="-5"/>
        </w:rPr>
        <w:t> </w:t>
      </w:r>
      <w:r>
        <w:rPr/>
        <w:t>transition</w:t>
      </w:r>
      <w:r>
        <w:rPr>
          <w:spacing w:val="-4"/>
        </w:rPr>
        <w:t> </w:t>
      </w:r>
      <w:r>
        <w:rPr/>
        <w:t>of</w:t>
      </w:r>
      <w:r>
        <w:rPr>
          <w:spacing w:val="-4"/>
        </w:rPr>
        <w:t> </w:t>
      </w:r>
      <w:r>
        <w:rPr/>
        <w:t>India</w:t>
      </w:r>
      <w:r>
        <w:rPr>
          <w:spacing w:val="-5"/>
        </w:rPr>
        <w:t> </w:t>
      </w:r>
      <w:r>
        <w:rPr/>
        <w:t>into</w:t>
      </w:r>
      <w:r>
        <w:rPr>
          <w:spacing w:val="-4"/>
        </w:rPr>
        <w:t> </w:t>
      </w:r>
      <w:r>
        <w:rPr/>
        <w:t>a</w:t>
      </w:r>
      <w:r>
        <w:rPr>
          <w:spacing w:val="-4"/>
        </w:rPr>
        <w:t> </w:t>
      </w:r>
      <w:r>
        <w:rPr/>
        <w:t>knowledge-based economy</w:t>
      </w:r>
      <w:r>
        <w:rPr>
          <w:spacing w:val="40"/>
        </w:rPr>
        <w:t> </w:t>
      </w:r>
      <w:r>
        <w:rPr/>
        <w:t>requires</w:t>
      </w:r>
      <w:r>
        <w:rPr>
          <w:spacing w:val="40"/>
        </w:rPr>
        <w:t> </w:t>
      </w:r>
      <w:r>
        <w:rPr/>
        <w:t>a</w:t>
      </w:r>
      <w:r>
        <w:rPr>
          <w:spacing w:val="40"/>
        </w:rPr>
        <w:t> </w:t>
      </w:r>
      <w:r>
        <w:rPr/>
        <w:t>skilled</w:t>
      </w:r>
      <w:r>
        <w:rPr>
          <w:spacing w:val="40"/>
        </w:rPr>
        <w:t> </w:t>
      </w:r>
      <w:r>
        <w:rPr/>
        <w:t>workforce,</w:t>
      </w:r>
      <w:r>
        <w:rPr>
          <w:spacing w:val="40"/>
        </w:rPr>
        <w:t> </w:t>
      </w:r>
      <w:r>
        <w:rPr/>
        <w:t>and therefore</w:t>
      </w:r>
      <w:r>
        <w:rPr>
          <w:spacing w:val="40"/>
        </w:rPr>
        <w:t> </w:t>
      </w:r>
      <w:r>
        <w:rPr/>
        <w:t>a</w:t>
      </w:r>
      <w:r>
        <w:rPr>
          <w:spacing w:val="40"/>
        </w:rPr>
        <w:t> </w:t>
      </w:r>
      <w:r>
        <w:rPr/>
        <w:t>renewed</w:t>
      </w:r>
      <w:r>
        <w:rPr>
          <w:spacing w:val="40"/>
        </w:rPr>
        <w:t> </w:t>
      </w:r>
      <w:r>
        <w:rPr/>
        <w:t>focus</w:t>
      </w:r>
      <w:r>
        <w:rPr>
          <w:spacing w:val="40"/>
        </w:rPr>
        <w:t> </w:t>
      </w:r>
      <w:r>
        <w:rPr/>
        <w:t>on</w:t>
      </w:r>
      <w:r>
        <w:rPr>
          <w:spacing w:val="40"/>
        </w:rPr>
        <w:t> </w:t>
      </w:r>
      <w:r>
        <w:rPr/>
        <w:t>the</w:t>
      </w:r>
      <w:r>
        <w:rPr>
          <w:spacing w:val="40"/>
        </w:rPr>
        <w:t> </w:t>
      </w:r>
      <w:r>
        <w:rPr/>
        <w:t>vocational education</w:t>
      </w:r>
      <w:r>
        <w:rPr>
          <w:spacing w:val="5"/>
        </w:rPr>
        <w:t> </w:t>
      </w:r>
      <w:r>
        <w:rPr/>
        <w:t>and</w:t>
      </w:r>
      <w:r>
        <w:rPr>
          <w:spacing w:val="5"/>
        </w:rPr>
        <w:t> </w:t>
      </w:r>
      <w:r>
        <w:rPr/>
        <w:t>training</w:t>
      </w:r>
      <w:r>
        <w:rPr>
          <w:spacing w:val="5"/>
        </w:rPr>
        <w:t> </w:t>
      </w:r>
      <w:r>
        <w:rPr/>
        <w:t>(VET)</w:t>
      </w:r>
      <w:r>
        <w:rPr>
          <w:spacing w:val="5"/>
        </w:rPr>
        <w:t> </w:t>
      </w:r>
      <w:r>
        <w:rPr/>
        <w:t>system.</w:t>
      </w:r>
      <w:r>
        <w:rPr>
          <w:spacing w:val="5"/>
        </w:rPr>
        <w:t> </w:t>
      </w:r>
      <w:r>
        <w:rPr/>
        <w:t>Moreover,</w:t>
      </w:r>
      <w:r>
        <w:rPr>
          <w:spacing w:val="5"/>
        </w:rPr>
        <w:t> </w:t>
      </w:r>
      <w:r>
        <w:rPr/>
        <w:t>the current</w:t>
      </w:r>
      <w:r>
        <w:rPr>
          <w:spacing w:val="-11"/>
        </w:rPr>
        <w:t> </w:t>
      </w:r>
      <w:r>
        <w:rPr/>
        <w:t>and</w:t>
      </w:r>
      <w:r>
        <w:rPr>
          <w:spacing w:val="-10"/>
        </w:rPr>
        <w:t> </w:t>
      </w:r>
      <w:r>
        <w:rPr/>
        <w:t>expected</w:t>
      </w:r>
      <w:r>
        <w:rPr>
          <w:spacing w:val="-10"/>
        </w:rPr>
        <w:t> </w:t>
      </w:r>
      <w:r>
        <w:rPr/>
        <w:t>demographic</w:t>
      </w:r>
      <w:r>
        <w:rPr>
          <w:spacing w:val="-10"/>
        </w:rPr>
        <w:t> </w:t>
      </w:r>
      <w:r>
        <w:rPr/>
        <w:t>composition</w:t>
      </w:r>
      <w:r>
        <w:rPr>
          <w:spacing w:val="-10"/>
        </w:rPr>
        <w:t> </w:t>
      </w:r>
      <w:r>
        <w:rPr/>
        <w:t>of</w:t>
      </w:r>
      <w:r>
        <w:rPr>
          <w:spacing w:val="-10"/>
        </w:rPr>
        <w:t> </w:t>
      </w:r>
      <w:r>
        <w:rPr/>
        <w:t>the </w:t>
      </w:r>
      <w:r>
        <w:rPr>
          <w:spacing w:val="-2"/>
        </w:rPr>
        <w:t>country’s</w:t>
      </w:r>
      <w:r>
        <w:rPr>
          <w:spacing w:val="-2"/>
        </w:rPr>
        <w:t> population</w:t>
      </w:r>
      <w:r>
        <w:rPr>
          <w:spacing w:val="-2"/>
        </w:rPr>
        <w:t> (See</w:t>
      </w:r>
      <w:r>
        <w:rPr>
          <w:spacing w:val="-2"/>
        </w:rPr>
        <w:t> Figure)</w:t>
      </w:r>
      <w:r>
        <w:rPr>
          <w:spacing w:val="-1"/>
        </w:rPr>
        <w:t> </w:t>
      </w:r>
      <w:r>
        <w:rPr>
          <w:spacing w:val="-2"/>
        </w:rPr>
        <w:t>makes</w:t>
      </w:r>
      <w:r>
        <w:rPr>
          <w:spacing w:val="-2"/>
        </w:rPr>
        <w:t> it</w:t>
      </w:r>
      <w:r>
        <w:rPr>
          <w:spacing w:val="-2"/>
        </w:rPr>
        <w:t> imperative that the issue of employability and skills be addressed </w:t>
      </w:r>
      <w:r>
        <w:rPr>
          <w:spacing w:val="-6"/>
        </w:rPr>
        <w:t>immediately.</w:t>
      </w:r>
      <w:r>
        <w:rPr>
          <w:spacing w:val="-8"/>
        </w:rPr>
        <w:t> </w:t>
      </w:r>
      <w:r>
        <w:rPr>
          <w:spacing w:val="-6"/>
        </w:rPr>
        <w:t>A</w:t>
      </w:r>
      <w:r>
        <w:rPr>
          <w:spacing w:val="-8"/>
        </w:rPr>
        <w:t> </w:t>
      </w:r>
      <w:r>
        <w:rPr>
          <w:spacing w:val="-6"/>
        </w:rPr>
        <w:t>third</w:t>
      </w:r>
      <w:r>
        <w:rPr>
          <w:spacing w:val="-8"/>
        </w:rPr>
        <w:t> </w:t>
      </w:r>
      <w:r>
        <w:rPr>
          <w:spacing w:val="-6"/>
        </w:rPr>
        <w:t>of</w:t>
      </w:r>
      <w:r>
        <w:rPr>
          <w:spacing w:val="-8"/>
        </w:rPr>
        <w:t> </w:t>
      </w:r>
      <w:r>
        <w:rPr>
          <w:spacing w:val="-6"/>
        </w:rPr>
        <w:t>India’s</w:t>
      </w:r>
      <w:r>
        <w:rPr>
          <w:spacing w:val="-8"/>
        </w:rPr>
        <w:t> </w:t>
      </w:r>
      <w:r>
        <w:rPr>
          <w:spacing w:val="-6"/>
        </w:rPr>
        <w:t>population</w:t>
      </w:r>
      <w:r>
        <w:rPr>
          <w:spacing w:val="-8"/>
        </w:rPr>
        <w:t> </w:t>
      </w:r>
      <w:r>
        <w:rPr>
          <w:spacing w:val="-6"/>
        </w:rPr>
        <w:t>was</w:t>
      </w:r>
      <w:r>
        <w:rPr>
          <w:spacing w:val="-8"/>
        </w:rPr>
        <w:t> </w:t>
      </w:r>
      <w:r>
        <w:rPr>
          <w:spacing w:val="-6"/>
        </w:rPr>
        <w:t>below</w:t>
      </w:r>
      <w:r>
        <w:rPr>
          <w:spacing w:val="-8"/>
        </w:rPr>
        <w:t> </w:t>
      </w:r>
      <w:r>
        <w:rPr>
          <w:spacing w:val="-6"/>
        </w:rPr>
        <w:t>15 years</w:t>
      </w:r>
      <w:r>
        <w:rPr>
          <w:spacing w:val="-8"/>
        </w:rPr>
        <w:t> </w:t>
      </w:r>
      <w:r>
        <w:rPr>
          <w:spacing w:val="-6"/>
        </w:rPr>
        <w:t>of</w:t>
      </w:r>
      <w:r>
        <w:rPr>
          <w:spacing w:val="-8"/>
        </w:rPr>
        <w:t> </w:t>
      </w:r>
      <w:r>
        <w:rPr>
          <w:spacing w:val="-6"/>
        </w:rPr>
        <w:t>age</w:t>
      </w:r>
      <w:r>
        <w:rPr>
          <w:spacing w:val="-8"/>
        </w:rPr>
        <w:t> </w:t>
      </w:r>
      <w:r>
        <w:rPr>
          <w:spacing w:val="-6"/>
        </w:rPr>
        <w:t>in</w:t>
      </w:r>
      <w:r>
        <w:rPr>
          <w:spacing w:val="-8"/>
        </w:rPr>
        <w:t> </w:t>
      </w:r>
      <w:r>
        <w:rPr>
          <w:spacing w:val="-6"/>
        </w:rPr>
        <w:t>2000</w:t>
      </w:r>
      <w:r>
        <w:rPr>
          <w:spacing w:val="-8"/>
        </w:rPr>
        <w:t> </w:t>
      </w:r>
      <w:r>
        <w:rPr>
          <w:spacing w:val="-6"/>
        </w:rPr>
        <w:t>and</w:t>
      </w:r>
      <w:r>
        <w:rPr>
          <w:spacing w:val="-8"/>
        </w:rPr>
        <w:t> </w:t>
      </w:r>
      <w:r>
        <w:rPr>
          <w:spacing w:val="-6"/>
        </w:rPr>
        <w:t>close</w:t>
      </w:r>
      <w:r>
        <w:rPr>
          <w:spacing w:val="-8"/>
        </w:rPr>
        <w:t> </w:t>
      </w:r>
      <w:r>
        <w:rPr>
          <w:spacing w:val="-6"/>
        </w:rPr>
        <w:t>to</w:t>
      </w:r>
      <w:r>
        <w:rPr>
          <w:spacing w:val="-8"/>
        </w:rPr>
        <w:t> </w:t>
      </w:r>
      <w:r>
        <w:rPr>
          <w:spacing w:val="-6"/>
        </w:rPr>
        <w:t>20</w:t>
      </w:r>
      <w:r>
        <w:rPr>
          <w:spacing w:val="-8"/>
        </w:rPr>
        <w:t> </w:t>
      </w:r>
      <w:r>
        <w:rPr>
          <w:spacing w:val="-6"/>
        </w:rPr>
        <w:t>per</w:t>
      </w:r>
      <w:r>
        <w:rPr>
          <w:spacing w:val="-8"/>
        </w:rPr>
        <w:t> </w:t>
      </w:r>
      <w:r>
        <w:rPr>
          <w:spacing w:val="-6"/>
        </w:rPr>
        <w:t>cent</w:t>
      </w:r>
      <w:r>
        <w:rPr>
          <w:spacing w:val="-8"/>
        </w:rPr>
        <w:t> </w:t>
      </w:r>
      <w:r>
        <w:rPr>
          <w:spacing w:val="-6"/>
        </w:rPr>
        <w:t>were</w:t>
      </w:r>
      <w:r>
        <w:rPr>
          <w:spacing w:val="-8"/>
        </w:rPr>
        <w:t> </w:t>
      </w:r>
      <w:r>
        <w:rPr>
          <w:spacing w:val="-6"/>
        </w:rPr>
        <w:t>young people in the 15-24 years age group. If this demographic </w:t>
      </w:r>
      <w:r>
        <w:rPr/>
        <w:t>dividend</w:t>
      </w:r>
      <w:r>
        <w:rPr>
          <w:spacing w:val="80"/>
        </w:rPr>
        <w:t> </w:t>
      </w:r>
      <w:r>
        <w:rPr/>
        <w:t>is</w:t>
      </w:r>
      <w:r>
        <w:rPr>
          <w:spacing w:val="80"/>
        </w:rPr>
        <w:t> </w:t>
      </w:r>
      <w:r>
        <w:rPr/>
        <w:t>not</w:t>
      </w:r>
      <w:r>
        <w:rPr>
          <w:spacing w:val="80"/>
        </w:rPr>
        <w:t> </w:t>
      </w:r>
      <w:r>
        <w:rPr/>
        <w:t>optimally</w:t>
      </w:r>
      <w:r>
        <w:rPr>
          <w:spacing w:val="80"/>
        </w:rPr>
        <w:t> </w:t>
      </w:r>
      <w:r>
        <w:rPr/>
        <w:t>utilised</w:t>
      </w:r>
      <w:r>
        <w:rPr>
          <w:spacing w:val="80"/>
        </w:rPr>
        <w:t> </w:t>
      </w:r>
      <w:r>
        <w:rPr/>
        <w:t>through</w:t>
      </w:r>
      <w:r>
        <w:rPr>
          <w:spacing w:val="80"/>
        </w:rPr>
        <w:t> </w:t>
      </w:r>
      <w:r>
        <w:rPr/>
        <w:t>skill </w:t>
      </w:r>
      <w:r>
        <w:rPr>
          <w:spacing w:val="-4"/>
        </w:rPr>
        <w:t>development,</w:t>
      </w:r>
      <w:r>
        <w:rPr>
          <w:spacing w:val="-16"/>
        </w:rPr>
        <w:t> </w:t>
      </w:r>
      <w:r>
        <w:rPr>
          <w:spacing w:val="-4"/>
        </w:rPr>
        <w:t>we</w:t>
      </w:r>
      <w:r>
        <w:rPr>
          <w:spacing w:val="-16"/>
        </w:rPr>
        <w:t> </w:t>
      </w:r>
      <w:r>
        <w:rPr>
          <w:spacing w:val="-4"/>
        </w:rPr>
        <w:t>run</w:t>
      </w:r>
      <w:r>
        <w:rPr>
          <w:spacing w:val="-16"/>
        </w:rPr>
        <w:t> </w:t>
      </w:r>
      <w:r>
        <w:rPr>
          <w:spacing w:val="-4"/>
        </w:rPr>
        <w:t>the</w:t>
      </w:r>
      <w:r>
        <w:rPr>
          <w:spacing w:val="-16"/>
        </w:rPr>
        <w:t> </w:t>
      </w:r>
      <w:r>
        <w:rPr>
          <w:spacing w:val="-4"/>
        </w:rPr>
        <w:t>risk</w:t>
      </w:r>
      <w:r>
        <w:rPr>
          <w:spacing w:val="-16"/>
        </w:rPr>
        <w:t> </w:t>
      </w:r>
      <w:r>
        <w:rPr>
          <w:spacing w:val="-4"/>
        </w:rPr>
        <w:t>of</w:t>
      </w:r>
      <w:r>
        <w:rPr>
          <w:spacing w:val="-16"/>
        </w:rPr>
        <w:t> </w:t>
      </w:r>
      <w:r>
        <w:rPr>
          <w:spacing w:val="-4"/>
        </w:rPr>
        <w:t>growing</w:t>
      </w:r>
      <w:r>
        <w:rPr>
          <w:spacing w:val="-16"/>
        </w:rPr>
        <w:t> </w:t>
      </w:r>
      <w:r>
        <w:rPr>
          <w:spacing w:val="-4"/>
        </w:rPr>
        <w:t>unemployment </w:t>
      </w:r>
      <w:r>
        <w:rPr/>
        <w:t>among</w:t>
      </w:r>
      <w:r>
        <w:rPr>
          <w:spacing w:val="6"/>
        </w:rPr>
        <w:t> </w:t>
      </w:r>
      <w:r>
        <w:rPr/>
        <w:t>high</w:t>
      </w:r>
      <w:r>
        <w:rPr>
          <w:spacing w:val="7"/>
        </w:rPr>
        <w:t> </w:t>
      </w:r>
      <w:r>
        <w:rPr/>
        <w:t>skilled</w:t>
      </w:r>
      <w:r>
        <w:rPr>
          <w:spacing w:val="7"/>
        </w:rPr>
        <w:t> </w:t>
      </w:r>
      <w:r>
        <w:rPr/>
        <w:t>“formally</w:t>
      </w:r>
      <w:r>
        <w:rPr>
          <w:spacing w:val="7"/>
        </w:rPr>
        <w:t> </w:t>
      </w:r>
      <w:r>
        <w:rPr/>
        <w:t>trained”</w:t>
      </w:r>
      <w:r>
        <w:rPr>
          <w:spacing w:val="6"/>
        </w:rPr>
        <w:t> </w:t>
      </w:r>
      <w:r>
        <w:rPr/>
        <w:t>personnel</w:t>
      </w:r>
      <w:r>
        <w:rPr>
          <w:spacing w:val="7"/>
        </w:rPr>
        <w:t> </w:t>
      </w:r>
      <w:r>
        <w:rPr/>
        <w:t>and </w:t>
      </w:r>
      <w:r>
        <w:rPr>
          <w:spacing w:val="-2"/>
        </w:rPr>
        <w:t>shortages</w:t>
      </w:r>
      <w:r>
        <w:rPr/>
        <w:t> </w:t>
      </w:r>
      <w:r>
        <w:rPr>
          <w:spacing w:val="-2"/>
        </w:rPr>
        <w:t>of</w:t>
      </w:r>
      <w:r>
        <w:rPr/>
        <w:t> </w:t>
      </w:r>
      <w:r>
        <w:rPr>
          <w:spacing w:val="-2"/>
        </w:rPr>
        <w:t>low</w:t>
      </w:r>
      <w:r>
        <w:rPr/>
        <w:t> </w:t>
      </w:r>
      <w:r>
        <w:rPr>
          <w:spacing w:val="-2"/>
        </w:rPr>
        <w:t>level</w:t>
      </w:r>
      <w:r>
        <w:rPr>
          <w:spacing w:val="1"/>
        </w:rPr>
        <w:t> </w:t>
      </w:r>
      <w:r>
        <w:rPr>
          <w:spacing w:val="-2"/>
        </w:rPr>
        <w:t>skilled</w:t>
      </w:r>
      <w:r>
        <w:rPr/>
        <w:t> </w:t>
      </w:r>
      <w:r>
        <w:rPr>
          <w:spacing w:val="-2"/>
        </w:rPr>
        <w:t>and</w:t>
      </w:r>
      <w:r>
        <w:rPr/>
        <w:t> </w:t>
      </w:r>
      <w:r>
        <w:rPr>
          <w:spacing w:val="-2"/>
        </w:rPr>
        <w:t>vocationally</w:t>
      </w:r>
      <w:r>
        <w:rPr>
          <w:spacing w:val="1"/>
        </w:rPr>
        <w:t> </w:t>
      </w:r>
      <w:r>
        <w:rPr>
          <w:spacing w:val="-2"/>
        </w:rPr>
        <w:t>trained</w:t>
      </w:r>
    </w:p>
    <w:p>
      <w:pPr>
        <w:pStyle w:val="BodyText"/>
        <w:spacing w:line="242" w:lineRule="exact"/>
        <w:ind w:left="1080"/>
        <w:jc w:val="both"/>
      </w:pPr>
      <w:r>
        <w:rPr/>
        <w:t>people</w:t>
      </w:r>
      <w:r>
        <w:rPr>
          <w:spacing w:val="-13"/>
        </w:rPr>
        <w:t> </w:t>
      </w:r>
      <w:r>
        <w:rPr/>
        <w:t>in</w:t>
      </w:r>
      <w:r>
        <w:rPr>
          <w:spacing w:val="-12"/>
        </w:rPr>
        <w:t> </w:t>
      </w:r>
      <w:r>
        <w:rPr/>
        <w:t>the</w:t>
      </w:r>
      <w:r>
        <w:rPr>
          <w:spacing w:val="-12"/>
        </w:rPr>
        <w:t> </w:t>
      </w:r>
      <w:r>
        <w:rPr/>
        <w:t>labour</w:t>
      </w:r>
      <w:r>
        <w:rPr>
          <w:spacing w:val="-12"/>
        </w:rPr>
        <w:t> </w:t>
      </w:r>
      <w:r>
        <w:rPr>
          <w:spacing w:val="-2"/>
        </w:rPr>
        <w:t>market.</w:t>
      </w:r>
    </w:p>
    <w:p>
      <w:pPr>
        <w:pStyle w:val="Heading6"/>
        <w:spacing w:before="214"/>
        <w:ind w:left="1080" w:firstLine="0"/>
      </w:pPr>
      <w:r>
        <w:rPr>
          <w:color w:val="2E614A"/>
          <w:w w:val="90"/>
        </w:rPr>
        <w:t>Current</w:t>
      </w:r>
      <w:r>
        <w:rPr>
          <w:color w:val="2E614A"/>
          <w:spacing w:val="-1"/>
          <w:w w:val="90"/>
        </w:rPr>
        <w:t> </w:t>
      </w:r>
      <w:r>
        <w:rPr>
          <w:color w:val="2E614A"/>
          <w:spacing w:val="-2"/>
        </w:rPr>
        <w:t>Scenario</w:t>
      </w:r>
    </w:p>
    <w:p>
      <w:pPr>
        <w:pStyle w:val="BodyText"/>
        <w:spacing w:line="266" w:lineRule="auto" w:before="285"/>
        <w:ind w:left="1080"/>
        <w:jc w:val="both"/>
      </w:pPr>
      <w:r>
        <w:rPr>
          <w:spacing w:val="-2"/>
        </w:rPr>
        <w:t>In</w:t>
      </w:r>
      <w:r>
        <w:rPr>
          <w:spacing w:val="-14"/>
        </w:rPr>
        <w:t> </w:t>
      </w:r>
      <w:r>
        <w:rPr>
          <w:spacing w:val="-2"/>
        </w:rPr>
        <w:t>India,</w:t>
      </w:r>
      <w:r>
        <w:rPr>
          <w:spacing w:val="-12"/>
        </w:rPr>
        <w:t> </w:t>
      </w:r>
      <w:r>
        <w:rPr>
          <w:spacing w:val="-2"/>
        </w:rPr>
        <w:t>skill</w:t>
      </w:r>
      <w:r>
        <w:rPr>
          <w:spacing w:val="-12"/>
        </w:rPr>
        <w:t> </w:t>
      </w:r>
      <w:r>
        <w:rPr>
          <w:spacing w:val="-2"/>
        </w:rPr>
        <w:t>acquisition</w:t>
      </w:r>
      <w:r>
        <w:rPr>
          <w:spacing w:val="-11"/>
        </w:rPr>
        <w:t> </w:t>
      </w:r>
      <w:r>
        <w:rPr>
          <w:spacing w:val="-2"/>
        </w:rPr>
        <w:t>takes</w:t>
      </w:r>
      <w:r>
        <w:rPr>
          <w:spacing w:val="-12"/>
        </w:rPr>
        <w:t> </w:t>
      </w:r>
      <w:r>
        <w:rPr>
          <w:spacing w:val="-2"/>
        </w:rPr>
        <w:t>place</w:t>
      </w:r>
      <w:r>
        <w:rPr>
          <w:spacing w:val="-12"/>
        </w:rPr>
        <w:t> </w:t>
      </w:r>
      <w:r>
        <w:rPr>
          <w:spacing w:val="-2"/>
        </w:rPr>
        <w:t>through</w:t>
      </w:r>
      <w:r>
        <w:rPr>
          <w:spacing w:val="-12"/>
        </w:rPr>
        <w:t> </w:t>
      </w:r>
      <w:r>
        <w:rPr>
          <w:spacing w:val="-2"/>
        </w:rPr>
        <w:t>two</w:t>
      </w:r>
      <w:r>
        <w:rPr>
          <w:spacing w:val="-11"/>
        </w:rPr>
        <w:t> </w:t>
      </w:r>
      <w:r>
        <w:rPr>
          <w:spacing w:val="-2"/>
        </w:rPr>
        <w:t>basic </w:t>
      </w:r>
      <w:r>
        <w:rPr/>
        <w:t>structural streams – a small formal one and a large informal one. Some of the major formal sources are listed in Table 6:</w:t>
      </w:r>
    </w:p>
    <w:p>
      <w:pPr>
        <w:pStyle w:val="BodyText"/>
        <w:spacing w:before="24"/>
      </w:pPr>
    </w:p>
    <w:p>
      <w:pPr>
        <w:pStyle w:val="Heading9"/>
        <w:jc w:val="both"/>
      </w:pPr>
      <w:r>
        <w:rPr>
          <w:w w:val="90"/>
        </w:rPr>
        <w:t>Status</w:t>
      </w:r>
      <w:r>
        <w:rPr>
          <w:spacing w:val="30"/>
        </w:rPr>
        <w:t> </w:t>
      </w:r>
      <w:r>
        <w:rPr>
          <w:w w:val="90"/>
        </w:rPr>
        <w:t>of</w:t>
      </w:r>
      <w:r>
        <w:rPr>
          <w:spacing w:val="31"/>
        </w:rPr>
        <w:t> </w:t>
      </w:r>
      <w:r>
        <w:rPr>
          <w:w w:val="90"/>
        </w:rPr>
        <w:t>vocational</w:t>
      </w:r>
      <w:r>
        <w:rPr>
          <w:spacing w:val="30"/>
        </w:rPr>
        <w:t> </w:t>
      </w:r>
      <w:r>
        <w:rPr>
          <w:w w:val="90"/>
        </w:rPr>
        <w:t>training</w:t>
      </w:r>
      <w:r>
        <w:rPr>
          <w:spacing w:val="31"/>
        </w:rPr>
        <w:t> </w:t>
      </w:r>
      <w:r>
        <w:rPr>
          <w:w w:val="90"/>
        </w:rPr>
        <w:t>received/being</w:t>
      </w:r>
      <w:r>
        <w:rPr>
          <w:spacing w:val="31"/>
        </w:rPr>
        <w:t> </w:t>
      </w:r>
      <w:r>
        <w:rPr>
          <w:spacing w:val="-2"/>
          <w:w w:val="90"/>
        </w:rPr>
        <w:t>received:</w:t>
      </w:r>
    </w:p>
    <w:p>
      <w:pPr>
        <w:pStyle w:val="BodyText"/>
        <w:spacing w:before="27"/>
        <w:ind w:left="1079"/>
        <w:jc w:val="both"/>
      </w:pPr>
      <w:r>
        <w:rPr/>
        <w:t>In</w:t>
      </w:r>
      <w:r>
        <w:rPr>
          <w:spacing w:val="18"/>
        </w:rPr>
        <w:t> </w:t>
      </w:r>
      <w:r>
        <w:rPr/>
        <w:t>the</w:t>
      </w:r>
      <w:r>
        <w:rPr>
          <w:spacing w:val="19"/>
        </w:rPr>
        <w:t> </w:t>
      </w:r>
      <w:r>
        <w:rPr/>
        <w:t>NSS</w:t>
      </w:r>
      <w:r>
        <w:rPr>
          <w:spacing w:val="18"/>
        </w:rPr>
        <w:t> </w:t>
      </w:r>
      <w:r>
        <w:rPr/>
        <w:t>61</w:t>
      </w:r>
      <w:r>
        <w:rPr>
          <w:position w:val="7"/>
          <w:sz w:val="13"/>
        </w:rPr>
        <w:t>st</w:t>
      </w:r>
      <w:r>
        <w:rPr>
          <w:spacing w:val="40"/>
          <w:position w:val="7"/>
          <w:sz w:val="13"/>
        </w:rPr>
        <w:t> </w:t>
      </w:r>
      <w:r>
        <w:rPr/>
        <w:t>round,</w:t>
      </w:r>
      <w:r>
        <w:rPr>
          <w:spacing w:val="18"/>
        </w:rPr>
        <w:t> </w:t>
      </w:r>
      <w:r>
        <w:rPr/>
        <w:t>among</w:t>
      </w:r>
      <w:r>
        <w:rPr>
          <w:spacing w:val="19"/>
        </w:rPr>
        <w:t> </w:t>
      </w:r>
      <w:r>
        <w:rPr/>
        <w:t>persons</w:t>
      </w:r>
      <w:r>
        <w:rPr>
          <w:spacing w:val="18"/>
        </w:rPr>
        <w:t> </w:t>
      </w:r>
      <w:r>
        <w:rPr/>
        <w:t>of</w:t>
      </w:r>
      <w:r>
        <w:rPr>
          <w:spacing w:val="19"/>
        </w:rPr>
        <w:t> </w:t>
      </w:r>
      <w:r>
        <w:rPr/>
        <w:t>age</w:t>
      </w:r>
      <w:r>
        <w:rPr>
          <w:spacing w:val="18"/>
        </w:rPr>
        <w:t> </w:t>
      </w:r>
      <w:r>
        <w:rPr/>
        <w:t>15-</w:t>
      </w:r>
      <w:r>
        <w:rPr>
          <w:spacing w:val="-5"/>
        </w:rPr>
        <w:t>29</w:t>
      </w:r>
    </w:p>
    <w:p>
      <w:pPr>
        <w:pStyle w:val="Heading8"/>
        <w:spacing w:line="242" w:lineRule="auto" w:before="95"/>
        <w:ind w:left="1225" w:right="1075" w:hanging="907"/>
      </w:pPr>
      <w:r>
        <w:rPr>
          <w:b w:val="0"/>
        </w:rPr>
        <w:br w:type="column"/>
      </w:r>
      <w:r>
        <w:rPr>
          <w:spacing w:val="-6"/>
        </w:rPr>
        <w:t>Figure</w:t>
      </w:r>
      <w:r>
        <w:rPr>
          <w:spacing w:val="-9"/>
        </w:rPr>
        <w:t> </w:t>
      </w:r>
      <w:r>
        <w:rPr>
          <w:spacing w:val="-6"/>
        </w:rPr>
        <w:t>9:</w:t>
      </w:r>
      <w:r>
        <w:rPr>
          <w:spacing w:val="-9"/>
        </w:rPr>
        <w:t> </w:t>
      </w:r>
      <w:r>
        <w:rPr>
          <w:color w:val="2E614A"/>
          <w:spacing w:val="-6"/>
        </w:rPr>
        <w:t>Demographic</w:t>
      </w:r>
      <w:r>
        <w:rPr>
          <w:color w:val="2E614A"/>
          <w:spacing w:val="35"/>
        </w:rPr>
        <w:t> </w:t>
      </w:r>
      <w:r>
        <w:rPr>
          <w:color w:val="2E614A"/>
          <w:spacing w:val="-6"/>
        </w:rPr>
        <w:t>Composition</w:t>
      </w:r>
      <w:r>
        <w:rPr>
          <w:color w:val="2E614A"/>
          <w:spacing w:val="38"/>
        </w:rPr>
        <w:t> </w:t>
      </w:r>
      <w:r>
        <w:rPr>
          <w:color w:val="2E614A"/>
          <w:spacing w:val="-6"/>
        </w:rPr>
        <w:t>of</w:t>
      </w:r>
      <w:r>
        <w:rPr>
          <w:color w:val="2E614A"/>
          <w:spacing w:val="45"/>
        </w:rPr>
        <w:t> </w:t>
      </w:r>
      <w:r>
        <w:rPr>
          <w:color w:val="2E614A"/>
          <w:spacing w:val="-6"/>
        </w:rPr>
        <w:t>India’s </w:t>
      </w:r>
      <w:r>
        <w:rPr>
          <w:color w:val="2E614A"/>
          <w:spacing w:val="-2"/>
        </w:rPr>
        <w:t>population</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80"/>
        <w:rPr>
          <w:b/>
          <w:sz w:val="24"/>
        </w:rPr>
      </w:pPr>
    </w:p>
    <w:p>
      <w:pPr>
        <w:spacing w:line="249" w:lineRule="auto" w:before="0"/>
        <w:ind w:left="319" w:right="1101" w:firstLine="0"/>
        <w:jc w:val="both"/>
        <w:rPr>
          <w:sz w:val="16"/>
        </w:rPr>
      </w:pPr>
      <w:r>
        <w:rPr/>
        <mc:AlternateContent>
          <mc:Choice Requires="wps">
            <w:drawing>
              <wp:anchor distT="0" distB="0" distL="0" distR="0" allowOverlap="1" layoutInCell="1" locked="0" behindDoc="0" simplePos="0" relativeHeight="15808000">
                <wp:simplePos x="0" y="0"/>
                <wp:positionH relativeFrom="page">
                  <wp:posOffset>3900649</wp:posOffset>
                </wp:positionH>
                <wp:positionV relativeFrom="paragraph">
                  <wp:posOffset>-1763995</wp:posOffset>
                </wp:positionV>
                <wp:extent cx="2973705" cy="1737360"/>
                <wp:effectExtent l="0" t="0" r="0" b="0"/>
                <wp:wrapNone/>
                <wp:docPr id="1244" name="Group 1244"/>
                <wp:cNvGraphicFramePr>
                  <a:graphicFrameLocks/>
                </wp:cNvGraphicFramePr>
                <a:graphic>
                  <a:graphicData uri="http://schemas.microsoft.com/office/word/2010/wordprocessingGroup">
                    <wpg:wgp>
                      <wpg:cNvPr id="1244" name="Group 1244"/>
                      <wpg:cNvGrpSpPr/>
                      <wpg:grpSpPr>
                        <a:xfrm>
                          <a:off x="0" y="0"/>
                          <a:ext cx="2973705" cy="1737360"/>
                          <a:chExt cx="2973705" cy="1737360"/>
                        </a:xfrm>
                      </wpg:grpSpPr>
                      <wps:wsp>
                        <wps:cNvPr id="1245" name="Graphic 1245"/>
                        <wps:cNvSpPr/>
                        <wps:spPr>
                          <a:xfrm>
                            <a:off x="-9" y="0"/>
                            <a:ext cx="2973705" cy="1737360"/>
                          </a:xfrm>
                          <a:custGeom>
                            <a:avLst/>
                            <a:gdLst/>
                            <a:ahLst/>
                            <a:cxnLst/>
                            <a:rect l="l" t="t" r="r" b="b"/>
                            <a:pathLst>
                              <a:path w="2973705" h="1737360">
                                <a:moveTo>
                                  <a:pt x="2841587" y="1344002"/>
                                </a:moveTo>
                                <a:lnTo>
                                  <a:pt x="569569" y="1344002"/>
                                </a:lnTo>
                                <a:lnTo>
                                  <a:pt x="569569" y="404202"/>
                                </a:lnTo>
                                <a:lnTo>
                                  <a:pt x="566801" y="404202"/>
                                </a:lnTo>
                                <a:lnTo>
                                  <a:pt x="563219" y="404202"/>
                                </a:lnTo>
                                <a:lnTo>
                                  <a:pt x="535279" y="404202"/>
                                </a:lnTo>
                                <a:lnTo>
                                  <a:pt x="535279" y="410552"/>
                                </a:lnTo>
                                <a:lnTo>
                                  <a:pt x="563219" y="410552"/>
                                </a:lnTo>
                                <a:lnTo>
                                  <a:pt x="563219" y="596976"/>
                                </a:lnTo>
                                <a:lnTo>
                                  <a:pt x="535279" y="596976"/>
                                </a:lnTo>
                                <a:lnTo>
                                  <a:pt x="535279" y="603326"/>
                                </a:lnTo>
                                <a:lnTo>
                                  <a:pt x="563219" y="603326"/>
                                </a:lnTo>
                                <a:lnTo>
                                  <a:pt x="563219" y="777900"/>
                                </a:lnTo>
                                <a:lnTo>
                                  <a:pt x="535279" y="777900"/>
                                </a:lnTo>
                                <a:lnTo>
                                  <a:pt x="535279" y="784250"/>
                                </a:lnTo>
                                <a:lnTo>
                                  <a:pt x="563219" y="784250"/>
                                </a:lnTo>
                                <a:lnTo>
                                  <a:pt x="563219" y="969352"/>
                                </a:lnTo>
                                <a:lnTo>
                                  <a:pt x="535279" y="969352"/>
                                </a:lnTo>
                                <a:lnTo>
                                  <a:pt x="535279" y="975702"/>
                                </a:lnTo>
                                <a:lnTo>
                                  <a:pt x="563219" y="975702"/>
                                </a:lnTo>
                                <a:lnTo>
                                  <a:pt x="563219" y="1155090"/>
                                </a:lnTo>
                                <a:lnTo>
                                  <a:pt x="535279" y="1155090"/>
                                </a:lnTo>
                                <a:lnTo>
                                  <a:pt x="535279" y="1161440"/>
                                </a:lnTo>
                                <a:lnTo>
                                  <a:pt x="563219" y="1161440"/>
                                </a:lnTo>
                                <a:lnTo>
                                  <a:pt x="563219" y="1344002"/>
                                </a:lnTo>
                                <a:lnTo>
                                  <a:pt x="535279" y="1344002"/>
                                </a:lnTo>
                                <a:lnTo>
                                  <a:pt x="535279" y="1350352"/>
                                </a:lnTo>
                                <a:lnTo>
                                  <a:pt x="563219" y="1350352"/>
                                </a:lnTo>
                                <a:lnTo>
                                  <a:pt x="563219" y="1380832"/>
                                </a:lnTo>
                                <a:lnTo>
                                  <a:pt x="569569" y="1380832"/>
                                </a:lnTo>
                                <a:lnTo>
                                  <a:pt x="569569" y="1350352"/>
                                </a:lnTo>
                                <a:lnTo>
                                  <a:pt x="1698790" y="1350352"/>
                                </a:lnTo>
                                <a:lnTo>
                                  <a:pt x="1698790" y="1397977"/>
                                </a:lnTo>
                                <a:lnTo>
                                  <a:pt x="1705140" y="1397977"/>
                                </a:lnTo>
                                <a:lnTo>
                                  <a:pt x="1705140" y="1350352"/>
                                </a:lnTo>
                                <a:lnTo>
                                  <a:pt x="2834360" y="1350352"/>
                                </a:lnTo>
                                <a:lnTo>
                                  <a:pt x="2834360" y="1397977"/>
                                </a:lnTo>
                                <a:lnTo>
                                  <a:pt x="2840710" y="1397977"/>
                                </a:lnTo>
                                <a:lnTo>
                                  <a:pt x="2840710" y="1350352"/>
                                </a:lnTo>
                                <a:lnTo>
                                  <a:pt x="2841587" y="1350352"/>
                                </a:lnTo>
                                <a:lnTo>
                                  <a:pt x="2841587" y="1344002"/>
                                </a:lnTo>
                                <a:close/>
                              </a:path>
                              <a:path w="2973705" h="1737360">
                                <a:moveTo>
                                  <a:pt x="2973552" y="0"/>
                                </a:moveTo>
                                <a:lnTo>
                                  <a:pt x="2967202" y="0"/>
                                </a:lnTo>
                                <a:lnTo>
                                  <a:pt x="2967202" y="2540"/>
                                </a:lnTo>
                                <a:lnTo>
                                  <a:pt x="2967202" y="2755"/>
                                </a:lnTo>
                                <a:lnTo>
                                  <a:pt x="2967202" y="5930"/>
                                </a:lnTo>
                                <a:lnTo>
                                  <a:pt x="2967202" y="6350"/>
                                </a:lnTo>
                                <a:lnTo>
                                  <a:pt x="2967202" y="1730692"/>
                                </a:lnTo>
                                <a:lnTo>
                                  <a:pt x="6350" y="1730692"/>
                                </a:lnTo>
                                <a:lnTo>
                                  <a:pt x="6350" y="6350"/>
                                </a:lnTo>
                                <a:lnTo>
                                  <a:pt x="3175" y="6350"/>
                                </a:lnTo>
                                <a:lnTo>
                                  <a:pt x="3175" y="5930"/>
                                </a:lnTo>
                                <a:lnTo>
                                  <a:pt x="6350" y="5930"/>
                                </a:lnTo>
                                <a:lnTo>
                                  <a:pt x="2967202" y="5930"/>
                                </a:lnTo>
                                <a:lnTo>
                                  <a:pt x="2967202" y="2755"/>
                                </a:lnTo>
                                <a:lnTo>
                                  <a:pt x="6350" y="2755"/>
                                </a:lnTo>
                                <a:lnTo>
                                  <a:pt x="3175" y="2755"/>
                                </a:lnTo>
                                <a:lnTo>
                                  <a:pt x="3175" y="2540"/>
                                </a:lnTo>
                                <a:lnTo>
                                  <a:pt x="2967202" y="2540"/>
                                </a:lnTo>
                                <a:lnTo>
                                  <a:pt x="2967202" y="0"/>
                                </a:lnTo>
                                <a:lnTo>
                                  <a:pt x="0" y="0"/>
                                </a:lnTo>
                                <a:lnTo>
                                  <a:pt x="0" y="2540"/>
                                </a:lnTo>
                                <a:lnTo>
                                  <a:pt x="0" y="6350"/>
                                </a:lnTo>
                                <a:lnTo>
                                  <a:pt x="0" y="1731010"/>
                                </a:lnTo>
                                <a:lnTo>
                                  <a:pt x="0" y="1733550"/>
                                </a:lnTo>
                                <a:lnTo>
                                  <a:pt x="0" y="1737360"/>
                                </a:lnTo>
                                <a:lnTo>
                                  <a:pt x="2973552" y="1737360"/>
                                </a:lnTo>
                                <a:lnTo>
                                  <a:pt x="2973552" y="6350"/>
                                </a:lnTo>
                                <a:lnTo>
                                  <a:pt x="2970377" y="6350"/>
                                </a:lnTo>
                                <a:lnTo>
                                  <a:pt x="2970377" y="5930"/>
                                </a:lnTo>
                                <a:lnTo>
                                  <a:pt x="2973552" y="5930"/>
                                </a:lnTo>
                                <a:lnTo>
                                  <a:pt x="2973552" y="2755"/>
                                </a:lnTo>
                                <a:lnTo>
                                  <a:pt x="2970377" y="2755"/>
                                </a:lnTo>
                                <a:lnTo>
                                  <a:pt x="2970377" y="2540"/>
                                </a:lnTo>
                                <a:lnTo>
                                  <a:pt x="2973552" y="2540"/>
                                </a:lnTo>
                                <a:lnTo>
                                  <a:pt x="2973552" y="0"/>
                                </a:lnTo>
                                <a:close/>
                              </a:path>
                            </a:pathLst>
                          </a:custGeom>
                          <a:solidFill>
                            <a:srgbClr val="000000"/>
                          </a:solidFill>
                        </wps:spPr>
                        <wps:bodyPr wrap="square" lIns="0" tIns="0" rIns="0" bIns="0" rtlCol="0">
                          <a:prstTxWarp prst="textNoShape">
                            <a:avLst/>
                          </a:prstTxWarp>
                          <a:noAutofit/>
                        </wps:bodyPr>
                      </wps:wsp>
                      <wps:wsp>
                        <wps:cNvPr id="1246" name="Graphic 1246"/>
                        <wps:cNvSpPr/>
                        <wps:spPr>
                          <a:xfrm>
                            <a:off x="960914" y="412359"/>
                            <a:ext cx="346710" cy="75565"/>
                          </a:xfrm>
                          <a:custGeom>
                            <a:avLst/>
                            <a:gdLst/>
                            <a:ahLst/>
                            <a:cxnLst/>
                            <a:rect l="l" t="t" r="r" b="b"/>
                            <a:pathLst>
                              <a:path w="346710" h="75565">
                                <a:moveTo>
                                  <a:pt x="0" y="75338"/>
                                </a:moveTo>
                                <a:lnTo>
                                  <a:pt x="346528" y="75338"/>
                                </a:lnTo>
                                <a:lnTo>
                                  <a:pt x="346528" y="0"/>
                                </a:lnTo>
                                <a:lnTo>
                                  <a:pt x="0" y="0"/>
                                </a:lnTo>
                                <a:lnTo>
                                  <a:pt x="0" y="75338"/>
                                </a:lnTo>
                                <a:close/>
                              </a:path>
                            </a:pathLst>
                          </a:custGeom>
                          <a:solidFill>
                            <a:srgbClr val="2E614A"/>
                          </a:solidFill>
                        </wps:spPr>
                        <wps:bodyPr wrap="square" lIns="0" tIns="0" rIns="0" bIns="0" rtlCol="0">
                          <a:prstTxWarp prst="textNoShape">
                            <a:avLst/>
                          </a:prstTxWarp>
                          <a:noAutofit/>
                        </wps:bodyPr>
                      </wps:wsp>
                      <wps:wsp>
                        <wps:cNvPr id="1247" name="Graphic 1247"/>
                        <wps:cNvSpPr/>
                        <wps:spPr>
                          <a:xfrm>
                            <a:off x="960914" y="487698"/>
                            <a:ext cx="346710" cy="561340"/>
                          </a:xfrm>
                          <a:custGeom>
                            <a:avLst/>
                            <a:gdLst/>
                            <a:ahLst/>
                            <a:cxnLst/>
                            <a:rect l="l" t="t" r="r" b="b"/>
                            <a:pathLst>
                              <a:path w="346710" h="561340">
                                <a:moveTo>
                                  <a:pt x="346528" y="0"/>
                                </a:moveTo>
                                <a:lnTo>
                                  <a:pt x="0" y="0"/>
                                </a:lnTo>
                                <a:lnTo>
                                  <a:pt x="0" y="561022"/>
                                </a:lnTo>
                                <a:lnTo>
                                  <a:pt x="346528" y="561022"/>
                                </a:lnTo>
                                <a:lnTo>
                                  <a:pt x="346528" y="0"/>
                                </a:lnTo>
                                <a:close/>
                              </a:path>
                            </a:pathLst>
                          </a:custGeom>
                          <a:solidFill>
                            <a:srgbClr val="9CBF3B"/>
                          </a:solidFill>
                        </wps:spPr>
                        <wps:bodyPr wrap="square" lIns="0" tIns="0" rIns="0" bIns="0" rtlCol="0">
                          <a:prstTxWarp prst="textNoShape">
                            <a:avLst/>
                          </a:prstTxWarp>
                          <a:noAutofit/>
                        </wps:bodyPr>
                      </wps:wsp>
                      <wps:wsp>
                        <wps:cNvPr id="1248" name="Graphic 1248"/>
                        <wps:cNvSpPr/>
                        <wps:spPr>
                          <a:xfrm>
                            <a:off x="960914" y="1047133"/>
                            <a:ext cx="346710" cy="295910"/>
                          </a:xfrm>
                          <a:custGeom>
                            <a:avLst/>
                            <a:gdLst/>
                            <a:ahLst/>
                            <a:cxnLst/>
                            <a:rect l="l" t="t" r="r" b="b"/>
                            <a:pathLst>
                              <a:path w="346710" h="295910">
                                <a:moveTo>
                                  <a:pt x="346528" y="0"/>
                                </a:moveTo>
                                <a:lnTo>
                                  <a:pt x="0" y="0"/>
                                </a:lnTo>
                                <a:lnTo>
                                  <a:pt x="0" y="295501"/>
                                </a:lnTo>
                                <a:lnTo>
                                  <a:pt x="346528" y="295501"/>
                                </a:lnTo>
                                <a:lnTo>
                                  <a:pt x="346528" y="0"/>
                                </a:lnTo>
                                <a:close/>
                              </a:path>
                            </a:pathLst>
                          </a:custGeom>
                          <a:solidFill>
                            <a:srgbClr val="E3C626"/>
                          </a:solidFill>
                        </wps:spPr>
                        <wps:bodyPr wrap="square" lIns="0" tIns="0" rIns="0" bIns="0" rtlCol="0">
                          <a:prstTxWarp prst="textNoShape">
                            <a:avLst/>
                          </a:prstTxWarp>
                          <a:noAutofit/>
                        </wps:bodyPr>
                      </wps:wsp>
                      <wps:wsp>
                        <wps:cNvPr id="1249" name="Graphic 1249"/>
                        <wps:cNvSpPr/>
                        <wps:spPr>
                          <a:xfrm>
                            <a:off x="2285743" y="412359"/>
                            <a:ext cx="346710" cy="116205"/>
                          </a:xfrm>
                          <a:custGeom>
                            <a:avLst/>
                            <a:gdLst/>
                            <a:ahLst/>
                            <a:cxnLst/>
                            <a:rect l="l" t="t" r="r" b="b"/>
                            <a:pathLst>
                              <a:path w="346710" h="116205">
                                <a:moveTo>
                                  <a:pt x="0" y="115616"/>
                                </a:moveTo>
                                <a:lnTo>
                                  <a:pt x="346528" y="115616"/>
                                </a:lnTo>
                                <a:lnTo>
                                  <a:pt x="346528" y="0"/>
                                </a:lnTo>
                                <a:lnTo>
                                  <a:pt x="0" y="0"/>
                                </a:lnTo>
                                <a:lnTo>
                                  <a:pt x="0" y="115616"/>
                                </a:lnTo>
                                <a:close/>
                              </a:path>
                            </a:pathLst>
                          </a:custGeom>
                          <a:solidFill>
                            <a:srgbClr val="2E614A"/>
                          </a:solidFill>
                        </wps:spPr>
                        <wps:bodyPr wrap="square" lIns="0" tIns="0" rIns="0" bIns="0" rtlCol="0">
                          <a:prstTxWarp prst="textNoShape">
                            <a:avLst/>
                          </a:prstTxWarp>
                          <a:noAutofit/>
                        </wps:bodyPr>
                      </wps:wsp>
                      <wps:wsp>
                        <wps:cNvPr id="1250" name="Graphic 1250"/>
                        <wps:cNvSpPr/>
                        <wps:spPr>
                          <a:xfrm>
                            <a:off x="2285743" y="527975"/>
                            <a:ext cx="346710" cy="612775"/>
                          </a:xfrm>
                          <a:custGeom>
                            <a:avLst/>
                            <a:gdLst/>
                            <a:ahLst/>
                            <a:cxnLst/>
                            <a:rect l="l" t="t" r="r" b="b"/>
                            <a:pathLst>
                              <a:path w="346710" h="612775">
                                <a:moveTo>
                                  <a:pt x="0" y="612502"/>
                                </a:moveTo>
                                <a:lnTo>
                                  <a:pt x="346528" y="612502"/>
                                </a:lnTo>
                                <a:lnTo>
                                  <a:pt x="346528" y="0"/>
                                </a:lnTo>
                                <a:lnTo>
                                  <a:pt x="0" y="0"/>
                                </a:lnTo>
                                <a:lnTo>
                                  <a:pt x="0" y="612502"/>
                                </a:lnTo>
                                <a:close/>
                              </a:path>
                            </a:pathLst>
                          </a:custGeom>
                          <a:solidFill>
                            <a:srgbClr val="9CBF3B"/>
                          </a:solidFill>
                        </wps:spPr>
                        <wps:bodyPr wrap="square" lIns="0" tIns="0" rIns="0" bIns="0" rtlCol="0">
                          <a:prstTxWarp prst="textNoShape">
                            <a:avLst/>
                          </a:prstTxWarp>
                          <a:noAutofit/>
                        </wps:bodyPr>
                      </wps:wsp>
                      <wps:wsp>
                        <wps:cNvPr id="1251" name="Graphic 1251"/>
                        <wps:cNvSpPr/>
                        <wps:spPr>
                          <a:xfrm>
                            <a:off x="2285743" y="1140478"/>
                            <a:ext cx="346710" cy="202565"/>
                          </a:xfrm>
                          <a:custGeom>
                            <a:avLst/>
                            <a:gdLst/>
                            <a:ahLst/>
                            <a:cxnLst/>
                            <a:rect l="l" t="t" r="r" b="b"/>
                            <a:pathLst>
                              <a:path w="346710" h="202565">
                                <a:moveTo>
                                  <a:pt x="346528" y="0"/>
                                </a:moveTo>
                                <a:lnTo>
                                  <a:pt x="0" y="0"/>
                                </a:lnTo>
                                <a:lnTo>
                                  <a:pt x="0" y="202156"/>
                                </a:lnTo>
                                <a:lnTo>
                                  <a:pt x="346528" y="202156"/>
                                </a:lnTo>
                                <a:lnTo>
                                  <a:pt x="346528" y="0"/>
                                </a:lnTo>
                                <a:close/>
                              </a:path>
                            </a:pathLst>
                          </a:custGeom>
                          <a:solidFill>
                            <a:srgbClr val="E3C626"/>
                          </a:solidFill>
                        </wps:spPr>
                        <wps:bodyPr wrap="square" lIns="0" tIns="0" rIns="0" bIns="0" rtlCol="0">
                          <a:prstTxWarp prst="textNoShape">
                            <a:avLst/>
                          </a:prstTxWarp>
                          <a:noAutofit/>
                        </wps:bodyPr>
                      </wps:wsp>
                      <wps:wsp>
                        <wps:cNvPr id="1252" name="Graphic 1252"/>
                        <wps:cNvSpPr/>
                        <wps:spPr>
                          <a:xfrm>
                            <a:off x="1072810" y="154495"/>
                            <a:ext cx="88900" cy="84455"/>
                          </a:xfrm>
                          <a:custGeom>
                            <a:avLst/>
                            <a:gdLst/>
                            <a:ahLst/>
                            <a:cxnLst/>
                            <a:rect l="l" t="t" r="r" b="b"/>
                            <a:pathLst>
                              <a:path w="88900" h="84455">
                                <a:moveTo>
                                  <a:pt x="88900" y="0"/>
                                </a:moveTo>
                                <a:lnTo>
                                  <a:pt x="0" y="0"/>
                                </a:lnTo>
                                <a:lnTo>
                                  <a:pt x="0" y="84112"/>
                                </a:lnTo>
                                <a:lnTo>
                                  <a:pt x="88900" y="84112"/>
                                </a:lnTo>
                                <a:lnTo>
                                  <a:pt x="88900" y="77762"/>
                                </a:lnTo>
                                <a:lnTo>
                                  <a:pt x="88900" y="71412"/>
                                </a:lnTo>
                                <a:lnTo>
                                  <a:pt x="88900" y="12700"/>
                                </a:lnTo>
                                <a:lnTo>
                                  <a:pt x="88900" y="6350"/>
                                </a:lnTo>
                                <a:lnTo>
                                  <a:pt x="88900" y="0"/>
                                </a:lnTo>
                                <a:close/>
                              </a:path>
                            </a:pathLst>
                          </a:custGeom>
                          <a:solidFill>
                            <a:srgbClr val="2E614A"/>
                          </a:solidFill>
                        </wps:spPr>
                        <wps:bodyPr wrap="square" lIns="0" tIns="0" rIns="0" bIns="0" rtlCol="0">
                          <a:prstTxWarp prst="textNoShape">
                            <a:avLst/>
                          </a:prstTxWarp>
                          <a:noAutofit/>
                        </wps:bodyPr>
                      </wps:wsp>
                      <wps:wsp>
                        <wps:cNvPr id="1253" name="Graphic 1253"/>
                        <wps:cNvSpPr/>
                        <wps:spPr>
                          <a:xfrm>
                            <a:off x="1643825" y="160841"/>
                            <a:ext cx="76200" cy="71755"/>
                          </a:xfrm>
                          <a:custGeom>
                            <a:avLst/>
                            <a:gdLst/>
                            <a:ahLst/>
                            <a:cxnLst/>
                            <a:rect l="l" t="t" r="r" b="b"/>
                            <a:pathLst>
                              <a:path w="76200" h="71755">
                                <a:moveTo>
                                  <a:pt x="76200" y="0"/>
                                </a:moveTo>
                                <a:lnTo>
                                  <a:pt x="0" y="0"/>
                                </a:lnTo>
                                <a:lnTo>
                                  <a:pt x="0" y="71409"/>
                                </a:lnTo>
                                <a:lnTo>
                                  <a:pt x="76200" y="71409"/>
                                </a:lnTo>
                                <a:lnTo>
                                  <a:pt x="76200" y="0"/>
                                </a:lnTo>
                                <a:close/>
                              </a:path>
                            </a:pathLst>
                          </a:custGeom>
                          <a:solidFill>
                            <a:srgbClr val="9CBF3B"/>
                          </a:solidFill>
                        </wps:spPr>
                        <wps:bodyPr wrap="square" lIns="0" tIns="0" rIns="0" bIns="0" rtlCol="0">
                          <a:prstTxWarp prst="textNoShape">
                            <a:avLst/>
                          </a:prstTxWarp>
                          <a:noAutofit/>
                        </wps:bodyPr>
                      </wps:wsp>
                      <wps:wsp>
                        <wps:cNvPr id="1254" name="Graphic 1254"/>
                        <wps:cNvSpPr/>
                        <wps:spPr>
                          <a:xfrm>
                            <a:off x="2269741" y="160841"/>
                            <a:ext cx="76200" cy="71755"/>
                          </a:xfrm>
                          <a:custGeom>
                            <a:avLst/>
                            <a:gdLst/>
                            <a:ahLst/>
                            <a:cxnLst/>
                            <a:rect l="l" t="t" r="r" b="b"/>
                            <a:pathLst>
                              <a:path w="76200" h="71755">
                                <a:moveTo>
                                  <a:pt x="76200" y="0"/>
                                </a:moveTo>
                                <a:lnTo>
                                  <a:pt x="0" y="0"/>
                                </a:lnTo>
                                <a:lnTo>
                                  <a:pt x="0" y="71409"/>
                                </a:lnTo>
                                <a:lnTo>
                                  <a:pt x="76200" y="71409"/>
                                </a:lnTo>
                                <a:lnTo>
                                  <a:pt x="76200" y="0"/>
                                </a:lnTo>
                                <a:close/>
                              </a:path>
                            </a:pathLst>
                          </a:custGeom>
                          <a:solidFill>
                            <a:srgbClr val="E3C626"/>
                          </a:solidFill>
                        </wps:spPr>
                        <wps:bodyPr wrap="square" lIns="0" tIns="0" rIns="0" bIns="0" rtlCol="0">
                          <a:prstTxWarp prst="textNoShape">
                            <a:avLst/>
                          </a:prstTxWarp>
                          <a:noAutofit/>
                        </wps:bodyPr>
                      </wps:wsp>
                      <wps:wsp>
                        <wps:cNvPr id="1255" name="Textbox 1255"/>
                        <wps:cNvSpPr txBox="1"/>
                        <wps:spPr>
                          <a:xfrm>
                            <a:off x="1187114" y="144034"/>
                            <a:ext cx="1623695" cy="99695"/>
                          </a:xfrm>
                          <a:prstGeom prst="rect">
                            <a:avLst/>
                          </a:prstGeom>
                        </wps:spPr>
                        <wps:txbx>
                          <w:txbxContent>
                            <w:p>
                              <w:pPr>
                                <w:tabs>
                                  <w:tab w:pos="889" w:val="left" w:leader="none"/>
                                  <w:tab w:pos="1874" w:val="left" w:leader="none"/>
                                </w:tabs>
                                <w:spacing w:line="156" w:lineRule="exact" w:before="0"/>
                                <w:ind w:left="0" w:right="0" w:firstLine="0"/>
                                <w:jc w:val="left"/>
                                <w:rPr>
                                  <w:rFonts w:ascii="Arial MT"/>
                                  <w:sz w:val="14"/>
                                </w:rPr>
                              </w:pPr>
                              <w:r>
                                <w:rPr>
                                  <w:rFonts w:ascii="Arial MT"/>
                                  <w:sz w:val="14"/>
                                </w:rPr>
                                <w:t>60</w:t>
                              </w:r>
                              <w:r>
                                <w:rPr>
                                  <w:rFonts w:ascii="Arial MT"/>
                                  <w:spacing w:val="-1"/>
                                  <w:sz w:val="14"/>
                                </w:rPr>
                                <w:t> </w:t>
                              </w:r>
                              <w:r>
                                <w:rPr>
                                  <w:rFonts w:ascii="Arial MT"/>
                                  <w:spacing w:val="-2"/>
                                  <w:sz w:val="14"/>
                                </w:rPr>
                                <w:t>years</w:t>
                              </w:r>
                              <w:r>
                                <w:rPr>
                                  <w:rFonts w:ascii="Arial MT"/>
                                  <w:sz w:val="14"/>
                                </w:rPr>
                                <w:tab/>
                                <w:t>15-60</w:t>
                              </w:r>
                              <w:r>
                                <w:rPr>
                                  <w:rFonts w:ascii="Arial MT"/>
                                  <w:spacing w:val="-4"/>
                                  <w:sz w:val="14"/>
                                </w:rPr>
                                <w:t> </w:t>
                              </w:r>
                              <w:r>
                                <w:rPr>
                                  <w:rFonts w:ascii="Arial MT"/>
                                  <w:spacing w:val="-2"/>
                                  <w:sz w:val="14"/>
                                </w:rPr>
                                <w:t>years</w:t>
                              </w:r>
                              <w:r>
                                <w:rPr>
                                  <w:rFonts w:ascii="Arial MT"/>
                                  <w:sz w:val="14"/>
                                </w:rPr>
                                <w:tab/>
                                <w:t>0-15</w:t>
                              </w:r>
                              <w:r>
                                <w:rPr>
                                  <w:rFonts w:ascii="Arial MT"/>
                                  <w:spacing w:val="-3"/>
                                  <w:sz w:val="14"/>
                                </w:rPr>
                                <w:t> </w:t>
                              </w:r>
                              <w:r>
                                <w:rPr>
                                  <w:rFonts w:ascii="Arial MT"/>
                                  <w:spacing w:val="-4"/>
                                  <w:sz w:val="14"/>
                                </w:rPr>
                                <w:t>years</w:t>
                              </w:r>
                            </w:p>
                          </w:txbxContent>
                        </wps:txbx>
                        <wps:bodyPr wrap="square" lIns="0" tIns="0" rIns="0" bIns="0" rtlCol="0">
                          <a:noAutofit/>
                        </wps:bodyPr>
                      </wps:wsp>
                      <wps:wsp>
                        <wps:cNvPr id="1256" name="Textbox 1256"/>
                        <wps:cNvSpPr txBox="1"/>
                        <wps:spPr>
                          <a:xfrm>
                            <a:off x="307703" y="367335"/>
                            <a:ext cx="161290" cy="1020444"/>
                          </a:xfrm>
                          <a:prstGeom prst="rect">
                            <a:avLst/>
                          </a:prstGeom>
                        </wps:spPr>
                        <wps:txbx>
                          <w:txbxContent>
                            <w:p>
                              <w:pPr>
                                <w:spacing w:line="156" w:lineRule="exact" w:before="0"/>
                                <w:ind w:left="0" w:right="0" w:firstLine="0"/>
                                <w:jc w:val="left"/>
                                <w:rPr>
                                  <w:rFonts w:ascii="Arial MT"/>
                                  <w:sz w:val="14"/>
                                </w:rPr>
                              </w:pPr>
                              <w:r>
                                <w:rPr>
                                  <w:rFonts w:ascii="Arial MT"/>
                                  <w:spacing w:val="-5"/>
                                  <w:sz w:val="14"/>
                                </w:rPr>
                                <w:t>100</w:t>
                              </w:r>
                            </w:p>
                            <w:p>
                              <w:pPr>
                                <w:spacing w:before="129"/>
                                <w:ind w:left="77" w:right="0" w:firstLine="0"/>
                                <w:jc w:val="left"/>
                                <w:rPr>
                                  <w:rFonts w:ascii="Arial MT"/>
                                  <w:sz w:val="14"/>
                                </w:rPr>
                              </w:pPr>
                              <w:r>
                                <w:rPr>
                                  <w:rFonts w:ascii="Arial MT"/>
                                  <w:spacing w:val="-5"/>
                                  <w:sz w:val="14"/>
                                </w:rPr>
                                <w:t>80</w:t>
                              </w:r>
                            </w:p>
                            <w:p>
                              <w:pPr>
                                <w:spacing w:before="129"/>
                                <w:ind w:left="77" w:right="0" w:firstLine="0"/>
                                <w:jc w:val="left"/>
                                <w:rPr>
                                  <w:rFonts w:ascii="Arial MT"/>
                                  <w:sz w:val="14"/>
                                </w:rPr>
                              </w:pPr>
                              <w:r>
                                <w:rPr>
                                  <w:rFonts w:ascii="Arial MT"/>
                                  <w:spacing w:val="-5"/>
                                  <w:sz w:val="14"/>
                                </w:rPr>
                                <w:t>60</w:t>
                              </w:r>
                            </w:p>
                            <w:p>
                              <w:pPr>
                                <w:spacing w:before="129"/>
                                <w:ind w:left="77" w:right="0" w:firstLine="0"/>
                                <w:jc w:val="left"/>
                                <w:rPr>
                                  <w:rFonts w:ascii="Arial MT"/>
                                  <w:sz w:val="14"/>
                                </w:rPr>
                              </w:pPr>
                              <w:r>
                                <w:rPr>
                                  <w:rFonts w:ascii="Arial MT"/>
                                  <w:spacing w:val="-5"/>
                                  <w:sz w:val="14"/>
                                </w:rPr>
                                <w:t>40</w:t>
                              </w:r>
                            </w:p>
                            <w:p>
                              <w:pPr>
                                <w:spacing w:before="129"/>
                                <w:ind w:left="77" w:right="0" w:firstLine="0"/>
                                <w:jc w:val="left"/>
                                <w:rPr>
                                  <w:rFonts w:ascii="Arial MT"/>
                                  <w:sz w:val="14"/>
                                </w:rPr>
                              </w:pPr>
                              <w:r>
                                <w:rPr>
                                  <w:rFonts w:ascii="Arial MT"/>
                                  <w:spacing w:val="-5"/>
                                  <w:sz w:val="14"/>
                                </w:rPr>
                                <w:t>20</w:t>
                              </w:r>
                            </w:p>
                            <w:p>
                              <w:pPr>
                                <w:spacing w:before="129"/>
                                <w:ind w:left="155" w:right="0" w:firstLine="0"/>
                                <w:jc w:val="left"/>
                                <w:rPr>
                                  <w:rFonts w:ascii="Arial MT"/>
                                  <w:sz w:val="14"/>
                                </w:rPr>
                              </w:pPr>
                              <w:r>
                                <w:rPr>
                                  <w:rFonts w:ascii="Arial MT"/>
                                  <w:spacing w:val="-10"/>
                                  <w:sz w:val="14"/>
                                </w:rPr>
                                <w:t>0</w:t>
                              </w:r>
                            </w:p>
                          </w:txbxContent>
                        </wps:txbx>
                        <wps:bodyPr wrap="square" lIns="0" tIns="0" rIns="0" bIns="0" rtlCol="0">
                          <a:noAutofit/>
                        </wps:bodyPr>
                      </wps:wsp>
                      <wps:wsp>
                        <wps:cNvPr id="1257" name="Textbox 1257"/>
                        <wps:cNvSpPr txBox="1"/>
                        <wps:spPr>
                          <a:xfrm>
                            <a:off x="1035556" y="1383884"/>
                            <a:ext cx="210820" cy="99695"/>
                          </a:xfrm>
                          <a:prstGeom prst="rect">
                            <a:avLst/>
                          </a:prstGeom>
                        </wps:spPr>
                        <wps:txbx>
                          <w:txbxContent>
                            <w:p>
                              <w:pPr>
                                <w:spacing w:line="156" w:lineRule="exact" w:before="0"/>
                                <w:ind w:left="0" w:right="0" w:firstLine="0"/>
                                <w:jc w:val="left"/>
                                <w:rPr>
                                  <w:rFonts w:ascii="Arial MT"/>
                                  <w:sz w:val="14"/>
                                </w:rPr>
                              </w:pPr>
                              <w:r>
                                <w:rPr>
                                  <w:rFonts w:ascii="Arial MT"/>
                                  <w:spacing w:val="-4"/>
                                  <w:sz w:val="14"/>
                                </w:rPr>
                                <w:t>2006</w:t>
                              </w:r>
                            </w:p>
                          </w:txbxContent>
                        </wps:txbx>
                        <wps:bodyPr wrap="square" lIns="0" tIns="0" rIns="0" bIns="0" rtlCol="0">
                          <a:noAutofit/>
                        </wps:bodyPr>
                      </wps:wsp>
                      <wps:wsp>
                        <wps:cNvPr id="1258" name="Textbox 1258"/>
                        <wps:cNvSpPr txBox="1"/>
                        <wps:spPr>
                          <a:xfrm>
                            <a:off x="2368600" y="1383884"/>
                            <a:ext cx="210820" cy="99695"/>
                          </a:xfrm>
                          <a:prstGeom prst="rect">
                            <a:avLst/>
                          </a:prstGeom>
                        </wps:spPr>
                        <wps:txbx>
                          <w:txbxContent>
                            <w:p>
                              <w:pPr>
                                <w:spacing w:line="156" w:lineRule="exact" w:before="0"/>
                                <w:ind w:left="0" w:right="0" w:firstLine="0"/>
                                <w:jc w:val="left"/>
                                <w:rPr>
                                  <w:rFonts w:ascii="Arial MT"/>
                                  <w:sz w:val="14"/>
                                </w:rPr>
                              </w:pPr>
                              <w:r>
                                <w:rPr>
                                  <w:rFonts w:ascii="Arial MT"/>
                                  <w:spacing w:val="-4"/>
                                  <w:sz w:val="14"/>
                                </w:rPr>
                                <w:t>2026</w:t>
                              </w:r>
                            </w:p>
                          </w:txbxContent>
                        </wps:txbx>
                        <wps:bodyPr wrap="square" lIns="0" tIns="0" rIns="0" bIns="0" rtlCol="0">
                          <a:noAutofit/>
                        </wps:bodyPr>
                      </wps:wsp>
                      <wps:wsp>
                        <wps:cNvPr id="1259" name="Textbox 1259"/>
                        <wps:cNvSpPr txBox="1"/>
                        <wps:spPr>
                          <a:xfrm>
                            <a:off x="1683939" y="1478929"/>
                            <a:ext cx="192405" cy="99695"/>
                          </a:xfrm>
                          <a:prstGeom prst="rect">
                            <a:avLst/>
                          </a:prstGeom>
                        </wps:spPr>
                        <wps:txbx>
                          <w:txbxContent>
                            <w:p>
                              <w:pPr>
                                <w:spacing w:line="156" w:lineRule="exact" w:before="0"/>
                                <w:ind w:left="0" w:right="0" w:firstLine="0"/>
                                <w:jc w:val="left"/>
                                <w:rPr>
                                  <w:rFonts w:ascii="Arial MT"/>
                                  <w:sz w:val="14"/>
                                </w:rPr>
                              </w:pPr>
                              <w:r>
                                <w:rPr>
                                  <w:rFonts w:ascii="Arial MT"/>
                                  <w:spacing w:val="-4"/>
                                  <w:sz w:val="14"/>
                                </w:rPr>
                                <w:t>Year</w:t>
                              </w:r>
                            </w:p>
                          </w:txbxContent>
                        </wps:txbx>
                        <wps:bodyPr wrap="square" lIns="0" tIns="0" rIns="0" bIns="0" rtlCol="0">
                          <a:noAutofit/>
                        </wps:bodyPr>
                      </wps:wsp>
                    </wpg:wgp>
                  </a:graphicData>
                </a:graphic>
              </wp:anchor>
            </w:drawing>
          </mc:Choice>
          <mc:Fallback>
            <w:pict>
              <v:group style="position:absolute;margin-left:307.137756pt;margin-top:-138.897263pt;width:234.15pt;height:136.8pt;mso-position-horizontal-relative:page;mso-position-vertical-relative:paragraph;z-index:15808000" id="docshapegroup1232" coordorigin="6143,-2778" coordsize="4683,2736">
                <v:shape style="position:absolute;left:6142;top:-2778;width:4683;height:2736" id="docshape1233" coordorigin="6143,-2778" coordsize="4683,2736" path="m10618,-661l7040,-661,7040,-2141,7035,-2141,7030,-2141,6986,-2141,6986,-2131,7030,-2131,7030,-1838,6986,-1838,6986,-1828,7030,-1828,7030,-1553,6986,-1553,6986,-1543,7030,-1543,7030,-1251,6986,-1251,6986,-1241,7030,-1241,7030,-959,6986,-959,6986,-949,7030,-949,7030,-661,6986,-661,6986,-651,7030,-651,7030,-603,7040,-603,7040,-651,8818,-651,8818,-576,8828,-576,8828,-651,10606,-651,10606,-576,10616,-576,10616,-651,10618,-651,10618,-661xm10826,-2778l10816,-2778,10816,-2774,10816,-2774,10816,-2769,10816,-2768,10816,-52,6153,-52,6153,-2768,6148,-2768,6148,-2769,6153,-2769,10816,-2769,10816,-2774,6153,-2774,6148,-2774,6148,-2774,10816,-2774,10816,-2778,6143,-2778,6143,-2774,6143,-2768,6143,-52,6143,-48,6143,-42,10826,-42,10826,-47,10826,-48,10826,-52,10826,-52,10826,-2768,10821,-2768,10821,-2769,10826,-2769,10826,-2774,10821,-2774,10821,-2774,10826,-2774,10826,-2778xe" filled="true" fillcolor="#000000" stroked="false">
                  <v:path arrowok="t"/>
                  <v:fill type="solid"/>
                </v:shape>
                <v:rect style="position:absolute;left:7656;top:-2129;width:546;height:119" id="docshape1234" filled="true" fillcolor="#2e614a" stroked="false">
                  <v:fill type="solid"/>
                </v:rect>
                <v:rect style="position:absolute;left:7656;top:-2010;width:546;height:884" id="docshape1235" filled="true" fillcolor="#9cbf3b" stroked="false">
                  <v:fill type="solid"/>
                </v:rect>
                <v:rect style="position:absolute;left:7656;top:-1129;width:546;height:466" id="docshape1236" filled="true" fillcolor="#e3c626" stroked="false">
                  <v:fill type="solid"/>
                </v:rect>
                <v:rect style="position:absolute;left:9742;top:-2129;width:546;height:183" id="docshape1237" filled="true" fillcolor="#2e614a" stroked="false">
                  <v:fill type="solid"/>
                </v:rect>
                <v:rect style="position:absolute;left:9742;top:-1947;width:546;height:965" id="docshape1238" filled="true" fillcolor="#9cbf3b" stroked="false">
                  <v:fill type="solid"/>
                </v:rect>
                <v:rect style="position:absolute;left:9742;top:-982;width:546;height:319" id="docshape1239" filled="true" fillcolor="#e3c626" stroked="false">
                  <v:fill type="solid"/>
                </v:rect>
                <v:shape style="position:absolute;left:7832;top:-2535;width:140;height:133" id="docshape1240" coordorigin="7832,-2535" coordsize="140,133" path="m7972,-2535l7832,-2535,7832,-2402,7972,-2402,7972,-2412,7972,-2422,7972,-2515,7972,-2525,7972,-2535xe" filled="true" fillcolor="#2e614a" stroked="false">
                  <v:path arrowok="t"/>
                  <v:fill type="solid"/>
                </v:shape>
                <v:rect style="position:absolute;left:8731;top:-2525;width:120;height:113" id="docshape1241" filled="true" fillcolor="#9cbf3b" stroked="false">
                  <v:fill type="solid"/>
                </v:rect>
                <v:rect style="position:absolute;left:9717;top:-2525;width:120;height:113" id="docshape1242" filled="true" fillcolor="#e3c626" stroked="false">
                  <v:fill type="solid"/>
                </v:rect>
                <v:shape style="position:absolute;left:8012;top:-2552;width:2557;height:157" type="#_x0000_t202" id="docshape1243" filled="false" stroked="false">
                  <v:textbox inset="0,0,0,0">
                    <w:txbxContent>
                      <w:p>
                        <w:pPr>
                          <w:tabs>
                            <w:tab w:pos="889" w:val="left" w:leader="none"/>
                            <w:tab w:pos="1874" w:val="left" w:leader="none"/>
                          </w:tabs>
                          <w:spacing w:line="156" w:lineRule="exact" w:before="0"/>
                          <w:ind w:left="0" w:right="0" w:firstLine="0"/>
                          <w:jc w:val="left"/>
                          <w:rPr>
                            <w:rFonts w:ascii="Arial MT"/>
                            <w:sz w:val="14"/>
                          </w:rPr>
                        </w:pPr>
                        <w:r>
                          <w:rPr>
                            <w:rFonts w:ascii="Arial MT"/>
                            <w:sz w:val="14"/>
                          </w:rPr>
                          <w:t>60</w:t>
                        </w:r>
                        <w:r>
                          <w:rPr>
                            <w:rFonts w:ascii="Arial MT"/>
                            <w:spacing w:val="-1"/>
                            <w:sz w:val="14"/>
                          </w:rPr>
                          <w:t> </w:t>
                        </w:r>
                        <w:r>
                          <w:rPr>
                            <w:rFonts w:ascii="Arial MT"/>
                            <w:spacing w:val="-2"/>
                            <w:sz w:val="14"/>
                          </w:rPr>
                          <w:t>years</w:t>
                        </w:r>
                        <w:r>
                          <w:rPr>
                            <w:rFonts w:ascii="Arial MT"/>
                            <w:sz w:val="14"/>
                          </w:rPr>
                          <w:tab/>
                          <w:t>15-60</w:t>
                        </w:r>
                        <w:r>
                          <w:rPr>
                            <w:rFonts w:ascii="Arial MT"/>
                            <w:spacing w:val="-4"/>
                            <w:sz w:val="14"/>
                          </w:rPr>
                          <w:t> </w:t>
                        </w:r>
                        <w:r>
                          <w:rPr>
                            <w:rFonts w:ascii="Arial MT"/>
                            <w:spacing w:val="-2"/>
                            <w:sz w:val="14"/>
                          </w:rPr>
                          <w:t>years</w:t>
                        </w:r>
                        <w:r>
                          <w:rPr>
                            <w:rFonts w:ascii="Arial MT"/>
                            <w:sz w:val="14"/>
                          </w:rPr>
                          <w:tab/>
                          <w:t>0-15</w:t>
                        </w:r>
                        <w:r>
                          <w:rPr>
                            <w:rFonts w:ascii="Arial MT"/>
                            <w:spacing w:val="-3"/>
                            <w:sz w:val="14"/>
                          </w:rPr>
                          <w:t> </w:t>
                        </w:r>
                        <w:r>
                          <w:rPr>
                            <w:rFonts w:ascii="Arial MT"/>
                            <w:spacing w:val="-4"/>
                            <w:sz w:val="14"/>
                          </w:rPr>
                          <w:t>years</w:t>
                        </w:r>
                      </w:p>
                    </w:txbxContent>
                  </v:textbox>
                  <w10:wrap type="none"/>
                </v:shape>
                <v:shape style="position:absolute;left:6627;top:-2200;width:254;height:1607" type="#_x0000_t202" id="docshape1244" filled="false" stroked="false">
                  <v:textbox inset="0,0,0,0">
                    <w:txbxContent>
                      <w:p>
                        <w:pPr>
                          <w:spacing w:line="156" w:lineRule="exact" w:before="0"/>
                          <w:ind w:left="0" w:right="0" w:firstLine="0"/>
                          <w:jc w:val="left"/>
                          <w:rPr>
                            <w:rFonts w:ascii="Arial MT"/>
                            <w:sz w:val="14"/>
                          </w:rPr>
                        </w:pPr>
                        <w:r>
                          <w:rPr>
                            <w:rFonts w:ascii="Arial MT"/>
                            <w:spacing w:val="-5"/>
                            <w:sz w:val="14"/>
                          </w:rPr>
                          <w:t>100</w:t>
                        </w:r>
                      </w:p>
                      <w:p>
                        <w:pPr>
                          <w:spacing w:before="129"/>
                          <w:ind w:left="77" w:right="0" w:firstLine="0"/>
                          <w:jc w:val="left"/>
                          <w:rPr>
                            <w:rFonts w:ascii="Arial MT"/>
                            <w:sz w:val="14"/>
                          </w:rPr>
                        </w:pPr>
                        <w:r>
                          <w:rPr>
                            <w:rFonts w:ascii="Arial MT"/>
                            <w:spacing w:val="-5"/>
                            <w:sz w:val="14"/>
                          </w:rPr>
                          <w:t>80</w:t>
                        </w:r>
                      </w:p>
                      <w:p>
                        <w:pPr>
                          <w:spacing w:before="129"/>
                          <w:ind w:left="77" w:right="0" w:firstLine="0"/>
                          <w:jc w:val="left"/>
                          <w:rPr>
                            <w:rFonts w:ascii="Arial MT"/>
                            <w:sz w:val="14"/>
                          </w:rPr>
                        </w:pPr>
                        <w:r>
                          <w:rPr>
                            <w:rFonts w:ascii="Arial MT"/>
                            <w:spacing w:val="-5"/>
                            <w:sz w:val="14"/>
                          </w:rPr>
                          <w:t>60</w:t>
                        </w:r>
                      </w:p>
                      <w:p>
                        <w:pPr>
                          <w:spacing w:before="129"/>
                          <w:ind w:left="77" w:right="0" w:firstLine="0"/>
                          <w:jc w:val="left"/>
                          <w:rPr>
                            <w:rFonts w:ascii="Arial MT"/>
                            <w:sz w:val="14"/>
                          </w:rPr>
                        </w:pPr>
                        <w:r>
                          <w:rPr>
                            <w:rFonts w:ascii="Arial MT"/>
                            <w:spacing w:val="-5"/>
                            <w:sz w:val="14"/>
                          </w:rPr>
                          <w:t>40</w:t>
                        </w:r>
                      </w:p>
                      <w:p>
                        <w:pPr>
                          <w:spacing w:before="129"/>
                          <w:ind w:left="77" w:right="0" w:firstLine="0"/>
                          <w:jc w:val="left"/>
                          <w:rPr>
                            <w:rFonts w:ascii="Arial MT"/>
                            <w:sz w:val="14"/>
                          </w:rPr>
                        </w:pPr>
                        <w:r>
                          <w:rPr>
                            <w:rFonts w:ascii="Arial MT"/>
                            <w:spacing w:val="-5"/>
                            <w:sz w:val="14"/>
                          </w:rPr>
                          <w:t>20</w:t>
                        </w:r>
                      </w:p>
                      <w:p>
                        <w:pPr>
                          <w:spacing w:before="129"/>
                          <w:ind w:left="155" w:right="0" w:firstLine="0"/>
                          <w:jc w:val="left"/>
                          <w:rPr>
                            <w:rFonts w:ascii="Arial MT"/>
                            <w:sz w:val="14"/>
                          </w:rPr>
                        </w:pPr>
                        <w:r>
                          <w:rPr>
                            <w:rFonts w:ascii="Arial MT"/>
                            <w:spacing w:val="-10"/>
                            <w:sz w:val="14"/>
                          </w:rPr>
                          <w:t>0</w:t>
                        </w:r>
                      </w:p>
                    </w:txbxContent>
                  </v:textbox>
                  <w10:wrap type="none"/>
                </v:shape>
                <v:shape style="position:absolute;left:7773;top:-599;width:332;height:157" type="#_x0000_t202" id="docshape1245" filled="false" stroked="false">
                  <v:textbox inset="0,0,0,0">
                    <w:txbxContent>
                      <w:p>
                        <w:pPr>
                          <w:spacing w:line="156" w:lineRule="exact" w:before="0"/>
                          <w:ind w:left="0" w:right="0" w:firstLine="0"/>
                          <w:jc w:val="left"/>
                          <w:rPr>
                            <w:rFonts w:ascii="Arial MT"/>
                            <w:sz w:val="14"/>
                          </w:rPr>
                        </w:pPr>
                        <w:r>
                          <w:rPr>
                            <w:rFonts w:ascii="Arial MT"/>
                            <w:spacing w:val="-4"/>
                            <w:sz w:val="14"/>
                          </w:rPr>
                          <w:t>2006</w:t>
                        </w:r>
                      </w:p>
                    </w:txbxContent>
                  </v:textbox>
                  <w10:wrap type="none"/>
                </v:shape>
                <v:shape style="position:absolute;left:9872;top:-599;width:332;height:157" type="#_x0000_t202" id="docshape1246" filled="false" stroked="false">
                  <v:textbox inset="0,0,0,0">
                    <w:txbxContent>
                      <w:p>
                        <w:pPr>
                          <w:spacing w:line="156" w:lineRule="exact" w:before="0"/>
                          <w:ind w:left="0" w:right="0" w:firstLine="0"/>
                          <w:jc w:val="left"/>
                          <w:rPr>
                            <w:rFonts w:ascii="Arial MT"/>
                            <w:sz w:val="14"/>
                          </w:rPr>
                        </w:pPr>
                        <w:r>
                          <w:rPr>
                            <w:rFonts w:ascii="Arial MT"/>
                            <w:spacing w:val="-4"/>
                            <w:sz w:val="14"/>
                          </w:rPr>
                          <w:t>2026</w:t>
                        </w:r>
                      </w:p>
                    </w:txbxContent>
                  </v:textbox>
                  <w10:wrap type="none"/>
                </v:shape>
                <v:shape style="position:absolute;left:8794;top:-449;width:303;height:157" type="#_x0000_t202" id="docshape1247" filled="false" stroked="false">
                  <v:textbox inset="0,0,0,0">
                    <w:txbxContent>
                      <w:p>
                        <w:pPr>
                          <w:spacing w:line="156" w:lineRule="exact" w:before="0"/>
                          <w:ind w:left="0" w:right="0" w:firstLine="0"/>
                          <w:jc w:val="left"/>
                          <w:rPr>
                            <w:rFonts w:ascii="Arial MT"/>
                            <w:sz w:val="14"/>
                          </w:rPr>
                        </w:pPr>
                        <w:r>
                          <w:rPr>
                            <w:rFonts w:ascii="Arial MT"/>
                            <w:spacing w:val="-4"/>
                            <w:sz w:val="14"/>
                          </w:rPr>
                          <w:t>Year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9024">
                <wp:simplePos x="0" y="0"/>
                <wp:positionH relativeFrom="page">
                  <wp:posOffset>4004160</wp:posOffset>
                </wp:positionH>
                <wp:positionV relativeFrom="paragraph">
                  <wp:posOffset>-1481892</wp:posOffset>
                </wp:positionV>
                <wp:extent cx="125095" cy="1082675"/>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125095" cy="1082675"/>
                        </a:xfrm>
                        <a:prstGeom prst="rect">
                          <a:avLst/>
                        </a:prstGeom>
                      </wps:spPr>
                      <wps:txbx>
                        <w:txbxContent>
                          <w:p>
                            <w:pPr>
                              <w:spacing w:before="15"/>
                              <w:ind w:left="20" w:right="0" w:firstLine="0"/>
                              <w:jc w:val="left"/>
                              <w:rPr>
                                <w:rFonts w:ascii="Arial MT"/>
                                <w:sz w:val="14"/>
                              </w:rPr>
                            </w:pPr>
                            <w:r>
                              <w:rPr>
                                <w:rFonts w:ascii="Arial MT"/>
                                <w:sz w:val="14"/>
                              </w:rPr>
                              <w:t>Population</w:t>
                            </w:r>
                            <w:r>
                              <w:rPr>
                                <w:rFonts w:ascii="Arial MT"/>
                                <w:spacing w:val="-6"/>
                                <w:sz w:val="14"/>
                              </w:rPr>
                              <w:t> </w:t>
                            </w:r>
                            <w:r>
                              <w:rPr>
                                <w:rFonts w:ascii="Arial MT"/>
                                <w:sz w:val="14"/>
                              </w:rPr>
                              <w:t>age-wise</w:t>
                            </w:r>
                            <w:r>
                              <w:rPr>
                                <w:rFonts w:ascii="Arial MT"/>
                                <w:spacing w:val="-6"/>
                                <w:sz w:val="14"/>
                              </w:rPr>
                              <w:t> </w:t>
                            </w:r>
                            <w:r>
                              <w:rPr>
                                <w:rFonts w:ascii="Arial MT"/>
                                <w:sz w:val="14"/>
                              </w:rPr>
                              <w:t>(in</w:t>
                            </w:r>
                            <w:r>
                              <w:rPr>
                                <w:rFonts w:ascii="Arial MT"/>
                                <w:spacing w:val="-6"/>
                                <w:sz w:val="14"/>
                              </w:rPr>
                              <w:t> </w:t>
                            </w:r>
                            <w:r>
                              <w:rPr>
                                <w:rFonts w:ascii="Arial MT"/>
                                <w:spacing w:val="-5"/>
                                <w:sz w:val="14"/>
                              </w:rPr>
                              <w:t>%)</w:t>
                            </w:r>
                          </w:p>
                        </w:txbxContent>
                      </wps:txbx>
                      <wps:bodyPr wrap="square" lIns="0" tIns="0" rIns="0" bIns="0" rtlCol="0" vert="vert270">
                        <a:noAutofit/>
                      </wps:bodyPr>
                    </wps:wsp>
                  </a:graphicData>
                </a:graphic>
              </wp:anchor>
            </w:drawing>
          </mc:Choice>
          <mc:Fallback>
            <w:pict>
              <v:shape style="position:absolute;margin-left:315.288239pt;margin-top:-116.684418pt;width:9.85pt;height:85.25pt;mso-position-horizontal-relative:page;mso-position-vertical-relative:paragraph;z-index:15809024" type="#_x0000_t202" id="docshape1248" filled="false" stroked="false">
                <v:textbox inset="0,0,0,0" style="layout-flow:vertical;mso-layout-flow-alt:bottom-to-top">
                  <w:txbxContent>
                    <w:p>
                      <w:pPr>
                        <w:spacing w:before="15"/>
                        <w:ind w:left="20" w:right="0" w:firstLine="0"/>
                        <w:jc w:val="left"/>
                        <w:rPr>
                          <w:rFonts w:ascii="Arial MT"/>
                          <w:sz w:val="14"/>
                        </w:rPr>
                      </w:pPr>
                      <w:r>
                        <w:rPr>
                          <w:rFonts w:ascii="Arial MT"/>
                          <w:sz w:val="14"/>
                        </w:rPr>
                        <w:t>Population</w:t>
                      </w:r>
                      <w:r>
                        <w:rPr>
                          <w:rFonts w:ascii="Arial MT"/>
                          <w:spacing w:val="-6"/>
                          <w:sz w:val="14"/>
                        </w:rPr>
                        <w:t> </w:t>
                      </w:r>
                      <w:r>
                        <w:rPr>
                          <w:rFonts w:ascii="Arial MT"/>
                          <w:sz w:val="14"/>
                        </w:rPr>
                        <w:t>age-wise</w:t>
                      </w:r>
                      <w:r>
                        <w:rPr>
                          <w:rFonts w:ascii="Arial MT"/>
                          <w:spacing w:val="-6"/>
                          <w:sz w:val="14"/>
                        </w:rPr>
                        <w:t> </w:t>
                      </w:r>
                      <w:r>
                        <w:rPr>
                          <w:rFonts w:ascii="Arial MT"/>
                          <w:sz w:val="14"/>
                        </w:rPr>
                        <w:t>(in</w:t>
                      </w:r>
                      <w:r>
                        <w:rPr>
                          <w:rFonts w:ascii="Arial MT"/>
                          <w:spacing w:val="-6"/>
                          <w:sz w:val="14"/>
                        </w:rPr>
                        <w:t> </w:t>
                      </w:r>
                      <w:r>
                        <w:rPr>
                          <w:rFonts w:ascii="Arial MT"/>
                          <w:spacing w:val="-5"/>
                          <w:sz w:val="14"/>
                        </w:rPr>
                        <w:t>%)</w:t>
                      </w:r>
                    </w:p>
                  </w:txbxContent>
                </v:textbox>
                <w10:wrap type="none"/>
              </v:shape>
            </w:pict>
          </mc:Fallback>
        </mc:AlternateContent>
      </w:r>
      <w:r>
        <w:rPr>
          <w:i/>
          <w:spacing w:val="-6"/>
          <w:sz w:val="16"/>
        </w:rPr>
        <w:t>Source:</w:t>
      </w:r>
      <w:r>
        <w:rPr>
          <w:i/>
          <w:sz w:val="16"/>
        </w:rPr>
        <w:t> </w:t>
      </w:r>
      <w:r>
        <w:rPr>
          <w:spacing w:val="-6"/>
          <w:sz w:val="16"/>
        </w:rPr>
        <w:t>Based</w:t>
      </w:r>
      <w:r>
        <w:rPr>
          <w:sz w:val="16"/>
        </w:rPr>
        <w:t> </w:t>
      </w:r>
      <w:r>
        <w:rPr>
          <w:spacing w:val="-6"/>
          <w:sz w:val="16"/>
        </w:rPr>
        <w:t>on</w:t>
      </w:r>
      <w:r>
        <w:rPr>
          <w:sz w:val="16"/>
        </w:rPr>
        <w:t> </w:t>
      </w:r>
      <w:r>
        <w:rPr>
          <w:spacing w:val="-6"/>
          <w:sz w:val="16"/>
        </w:rPr>
        <w:t>the</w:t>
      </w:r>
      <w:r>
        <w:rPr>
          <w:sz w:val="16"/>
        </w:rPr>
        <w:t> </w:t>
      </w:r>
      <w:r>
        <w:rPr>
          <w:spacing w:val="-6"/>
          <w:sz w:val="16"/>
        </w:rPr>
        <w:t>Report</w:t>
      </w:r>
      <w:r>
        <w:rPr>
          <w:sz w:val="16"/>
        </w:rPr>
        <w:t> </w:t>
      </w:r>
      <w:r>
        <w:rPr>
          <w:spacing w:val="-6"/>
          <w:sz w:val="16"/>
        </w:rPr>
        <w:t>of</w:t>
      </w:r>
      <w:r>
        <w:rPr>
          <w:sz w:val="16"/>
        </w:rPr>
        <w:t> </w:t>
      </w:r>
      <w:r>
        <w:rPr>
          <w:spacing w:val="-6"/>
          <w:sz w:val="16"/>
        </w:rPr>
        <w:t>the</w:t>
      </w:r>
      <w:r>
        <w:rPr>
          <w:spacing w:val="-4"/>
          <w:sz w:val="16"/>
        </w:rPr>
        <w:t> </w:t>
      </w:r>
      <w:r>
        <w:rPr>
          <w:spacing w:val="-6"/>
          <w:sz w:val="16"/>
        </w:rPr>
        <w:t>Technical</w:t>
      </w:r>
      <w:r>
        <w:rPr>
          <w:sz w:val="16"/>
        </w:rPr>
        <w:t> </w:t>
      </w:r>
      <w:r>
        <w:rPr>
          <w:spacing w:val="-6"/>
          <w:sz w:val="16"/>
        </w:rPr>
        <w:t>group</w:t>
      </w:r>
      <w:r>
        <w:rPr>
          <w:sz w:val="16"/>
        </w:rPr>
        <w:t> </w:t>
      </w:r>
      <w:r>
        <w:rPr>
          <w:spacing w:val="-6"/>
          <w:sz w:val="16"/>
        </w:rPr>
        <w:t>on</w:t>
      </w:r>
      <w:r>
        <w:rPr>
          <w:sz w:val="16"/>
        </w:rPr>
        <w:t> </w:t>
      </w:r>
      <w:r>
        <w:rPr>
          <w:spacing w:val="-6"/>
          <w:sz w:val="16"/>
        </w:rPr>
        <w:t>population</w:t>
      </w:r>
      <w:r>
        <w:rPr>
          <w:sz w:val="16"/>
        </w:rPr>
        <w:t> </w:t>
      </w:r>
      <w:r>
        <w:rPr>
          <w:spacing w:val="-6"/>
          <w:sz w:val="16"/>
        </w:rPr>
        <w:t>projections</w:t>
      </w:r>
      <w:r>
        <w:rPr>
          <w:spacing w:val="40"/>
          <w:sz w:val="16"/>
        </w:rPr>
        <w:t> </w:t>
      </w:r>
      <w:r>
        <w:rPr>
          <w:sz w:val="16"/>
        </w:rPr>
        <w:t>constituted</w:t>
      </w:r>
      <w:r>
        <w:rPr>
          <w:spacing w:val="-8"/>
          <w:sz w:val="16"/>
        </w:rPr>
        <w:t> </w:t>
      </w:r>
      <w:r>
        <w:rPr>
          <w:sz w:val="16"/>
        </w:rPr>
        <w:t>by</w:t>
      </w:r>
      <w:r>
        <w:rPr>
          <w:spacing w:val="-8"/>
          <w:sz w:val="16"/>
        </w:rPr>
        <w:t> </w:t>
      </w:r>
      <w:r>
        <w:rPr>
          <w:sz w:val="16"/>
        </w:rPr>
        <w:t>the</w:t>
      </w:r>
      <w:r>
        <w:rPr>
          <w:spacing w:val="-8"/>
          <w:sz w:val="16"/>
        </w:rPr>
        <w:t> </w:t>
      </w:r>
      <w:r>
        <w:rPr>
          <w:sz w:val="16"/>
        </w:rPr>
        <w:t>National</w:t>
      </w:r>
      <w:r>
        <w:rPr>
          <w:spacing w:val="-8"/>
          <w:sz w:val="16"/>
        </w:rPr>
        <w:t> </w:t>
      </w:r>
      <w:r>
        <w:rPr>
          <w:sz w:val="16"/>
        </w:rPr>
        <w:t>Commission</w:t>
      </w:r>
      <w:r>
        <w:rPr>
          <w:spacing w:val="-8"/>
          <w:sz w:val="16"/>
        </w:rPr>
        <w:t> </w:t>
      </w:r>
      <w:r>
        <w:rPr>
          <w:sz w:val="16"/>
        </w:rPr>
        <w:t>on</w:t>
      </w:r>
      <w:r>
        <w:rPr>
          <w:spacing w:val="-8"/>
          <w:sz w:val="16"/>
        </w:rPr>
        <w:t> </w:t>
      </w:r>
      <w:r>
        <w:rPr>
          <w:sz w:val="16"/>
        </w:rPr>
        <w:t>Population,</w:t>
      </w:r>
      <w:r>
        <w:rPr>
          <w:spacing w:val="-8"/>
          <w:sz w:val="16"/>
        </w:rPr>
        <w:t> </w:t>
      </w:r>
      <w:r>
        <w:rPr>
          <w:sz w:val="16"/>
        </w:rPr>
        <w:t>May</w:t>
      </w:r>
      <w:r>
        <w:rPr>
          <w:spacing w:val="-8"/>
          <w:sz w:val="16"/>
        </w:rPr>
        <w:t> </w:t>
      </w:r>
      <w:r>
        <w:rPr>
          <w:sz w:val="16"/>
        </w:rPr>
        <w:t>2006</w:t>
      </w:r>
    </w:p>
    <w:p>
      <w:pPr>
        <w:pStyle w:val="BodyText"/>
        <w:rPr>
          <w:sz w:val="16"/>
        </w:rPr>
      </w:pPr>
    </w:p>
    <w:p>
      <w:pPr>
        <w:pStyle w:val="BodyText"/>
        <w:spacing w:before="24"/>
        <w:rPr>
          <w:sz w:val="16"/>
        </w:rPr>
      </w:pPr>
    </w:p>
    <w:p>
      <w:pPr>
        <w:pStyle w:val="BodyText"/>
        <w:spacing w:line="266" w:lineRule="auto" w:before="1"/>
        <w:ind w:left="319" w:right="1077"/>
        <w:jc w:val="both"/>
      </w:pPr>
      <w:r>
        <w:rPr/>
        <w:t>years,</w:t>
      </w:r>
      <w:r>
        <w:rPr>
          <w:spacing w:val="-7"/>
        </w:rPr>
        <w:t> </w:t>
      </w:r>
      <w:r>
        <w:rPr/>
        <w:t>only</w:t>
      </w:r>
      <w:r>
        <w:rPr>
          <w:spacing w:val="-7"/>
        </w:rPr>
        <w:t> </w:t>
      </w:r>
      <w:r>
        <w:rPr/>
        <w:t>about</w:t>
      </w:r>
      <w:r>
        <w:rPr>
          <w:spacing w:val="-7"/>
        </w:rPr>
        <w:t> </w:t>
      </w:r>
      <w:r>
        <w:rPr/>
        <w:t>2</w:t>
      </w:r>
      <w:r>
        <w:rPr>
          <w:spacing w:val="-7"/>
        </w:rPr>
        <w:t> </w:t>
      </w:r>
      <w:r>
        <w:rPr/>
        <w:t>per</w:t>
      </w:r>
      <w:r>
        <w:rPr>
          <w:spacing w:val="-7"/>
        </w:rPr>
        <w:t> </w:t>
      </w:r>
      <w:r>
        <w:rPr/>
        <w:t>cent</w:t>
      </w:r>
      <w:r>
        <w:rPr>
          <w:spacing w:val="-7"/>
        </w:rPr>
        <w:t> </w:t>
      </w:r>
      <w:r>
        <w:rPr/>
        <w:t>reported</w:t>
      </w:r>
      <w:r>
        <w:rPr>
          <w:spacing w:val="-7"/>
        </w:rPr>
        <w:t> </w:t>
      </w:r>
      <w:r>
        <w:rPr/>
        <w:t>to</w:t>
      </w:r>
      <w:r>
        <w:rPr>
          <w:spacing w:val="-7"/>
        </w:rPr>
        <w:t> </w:t>
      </w:r>
      <w:r>
        <w:rPr/>
        <w:t>have</w:t>
      </w:r>
      <w:r>
        <w:rPr>
          <w:spacing w:val="-7"/>
        </w:rPr>
        <w:t> </w:t>
      </w:r>
      <w:r>
        <w:rPr/>
        <w:t>received formal vocational training and another 8 per cent reported to have received non formal vocational </w:t>
      </w:r>
      <w:r>
        <w:rPr>
          <w:spacing w:val="-2"/>
        </w:rPr>
        <w:t>training.</w:t>
      </w:r>
    </w:p>
    <w:p>
      <w:pPr>
        <w:pStyle w:val="BodyText"/>
        <w:spacing w:before="23"/>
      </w:pPr>
    </w:p>
    <w:p>
      <w:pPr>
        <w:spacing w:line="266" w:lineRule="auto" w:before="0"/>
        <w:ind w:left="319" w:right="1077" w:firstLine="0"/>
        <w:jc w:val="both"/>
        <w:rPr>
          <w:sz w:val="22"/>
        </w:rPr>
      </w:pPr>
      <w:r>
        <w:rPr>
          <w:b/>
          <w:sz w:val="22"/>
        </w:rPr>
        <w:t>Age specific rate for formal vocational </w:t>
      </w:r>
      <w:r>
        <w:rPr>
          <w:b/>
          <w:sz w:val="22"/>
        </w:rPr>
        <w:t>training received: </w:t>
      </w:r>
      <w:r>
        <w:rPr>
          <w:sz w:val="22"/>
        </w:rPr>
        <w:t>The proportion of persons who received formal vocational training generally increases with age of</w:t>
      </w:r>
      <w:r>
        <w:rPr>
          <w:spacing w:val="1"/>
          <w:sz w:val="22"/>
        </w:rPr>
        <w:t> </w:t>
      </w:r>
      <w:r>
        <w:rPr>
          <w:sz w:val="22"/>
        </w:rPr>
        <w:t>persons.</w:t>
      </w:r>
      <w:r>
        <w:rPr>
          <w:spacing w:val="1"/>
          <w:sz w:val="22"/>
        </w:rPr>
        <w:t> </w:t>
      </w:r>
      <w:r>
        <w:rPr>
          <w:sz w:val="22"/>
        </w:rPr>
        <w:t>In</w:t>
      </w:r>
      <w:r>
        <w:rPr>
          <w:spacing w:val="1"/>
          <w:sz w:val="22"/>
        </w:rPr>
        <w:t> </w:t>
      </w:r>
      <w:r>
        <w:rPr>
          <w:sz w:val="22"/>
        </w:rPr>
        <w:t>fact,</w:t>
      </w:r>
      <w:r>
        <w:rPr>
          <w:spacing w:val="1"/>
          <w:sz w:val="22"/>
        </w:rPr>
        <w:t> </w:t>
      </w:r>
      <w:r>
        <w:rPr>
          <w:sz w:val="22"/>
        </w:rPr>
        <w:t>the</w:t>
      </w:r>
      <w:r>
        <w:rPr>
          <w:spacing w:val="1"/>
          <w:sz w:val="22"/>
        </w:rPr>
        <w:t> </w:t>
      </w:r>
      <w:r>
        <w:rPr>
          <w:sz w:val="22"/>
        </w:rPr>
        <w:t>proportion</w:t>
      </w:r>
      <w:r>
        <w:rPr>
          <w:spacing w:val="1"/>
          <w:sz w:val="22"/>
        </w:rPr>
        <w:t> </w:t>
      </w:r>
      <w:r>
        <w:rPr>
          <w:sz w:val="22"/>
        </w:rPr>
        <w:t>increased</w:t>
      </w:r>
      <w:r>
        <w:rPr>
          <w:spacing w:val="1"/>
          <w:sz w:val="22"/>
        </w:rPr>
        <w:t> </w:t>
      </w:r>
      <w:r>
        <w:rPr>
          <w:spacing w:val="-4"/>
          <w:sz w:val="22"/>
        </w:rPr>
        <w:t>from</w:t>
      </w:r>
    </w:p>
    <w:p>
      <w:pPr>
        <w:pStyle w:val="BodyText"/>
        <w:spacing w:line="266" w:lineRule="auto"/>
        <w:ind w:left="319" w:right="1078"/>
        <w:jc w:val="both"/>
      </w:pPr>
      <w:r>
        <w:rPr/>
        <w:t>0.6 per cent for the age group 15-19 years to 1.8 per cent</w:t>
      </w:r>
      <w:r>
        <w:rPr>
          <w:spacing w:val="-11"/>
        </w:rPr>
        <w:t> </w:t>
      </w:r>
      <w:r>
        <w:rPr/>
        <w:t>for</w:t>
      </w:r>
      <w:r>
        <w:rPr>
          <w:spacing w:val="-11"/>
        </w:rPr>
        <w:t> </w:t>
      </w:r>
      <w:r>
        <w:rPr/>
        <w:t>the</w:t>
      </w:r>
      <w:r>
        <w:rPr>
          <w:spacing w:val="-11"/>
        </w:rPr>
        <w:t> </w:t>
      </w:r>
      <w:r>
        <w:rPr/>
        <w:t>age</w:t>
      </w:r>
      <w:r>
        <w:rPr>
          <w:spacing w:val="-11"/>
        </w:rPr>
        <w:t> </w:t>
      </w:r>
      <w:r>
        <w:rPr/>
        <w:t>group</w:t>
      </w:r>
      <w:r>
        <w:rPr>
          <w:spacing w:val="-11"/>
        </w:rPr>
        <w:t> </w:t>
      </w:r>
      <w:r>
        <w:rPr/>
        <w:t>20-24</w:t>
      </w:r>
      <w:r>
        <w:rPr>
          <w:spacing w:val="-11"/>
        </w:rPr>
        <w:t> </w:t>
      </w:r>
      <w:r>
        <w:rPr/>
        <w:t>years</w:t>
      </w:r>
      <w:r>
        <w:rPr>
          <w:spacing w:val="-11"/>
        </w:rPr>
        <w:t> </w:t>
      </w:r>
      <w:r>
        <w:rPr/>
        <w:t>and</w:t>
      </w:r>
      <w:r>
        <w:rPr>
          <w:spacing w:val="-11"/>
        </w:rPr>
        <w:t> </w:t>
      </w:r>
      <w:r>
        <w:rPr/>
        <w:t>then,</w:t>
      </w:r>
      <w:r>
        <w:rPr>
          <w:spacing w:val="-11"/>
        </w:rPr>
        <w:t> </w:t>
      </w:r>
      <w:r>
        <w:rPr/>
        <w:t>to</w:t>
      </w:r>
      <w:r>
        <w:rPr>
          <w:spacing w:val="-11"/>
        </w:rPr>
        <w:t> </w:t>
      </w:r>
      <w:r>
        <w:rPr/>
        <w:t>1.9</w:t>
      </w:r>
      <w:r>
        <w:rPr>
          <w:spacing w:val="-11"/>
        </w:rPr>
        <w:t> </w:t>
      </w:r>
      <w:r>
        <w:rPr/>
        <w:t>per cent</w:t>
      </w:r>
      <w:r>
        <w:rPr>
          <w:spacing w:val="-2"/>
        </w:rPr>
        <w:t> </w:t>
      </w:r>
      <w:r>
        <w:rPr/>
        <w:t>for</w:t>
      </w:r>
      <w:r>
        <w:rPr>
          <w:spacing w:val="-2"/>
        </w:rPr>
        <w:t> </w:t>
      </w:r>
      <w:r>
        <w:rPr/>
        <w:t>the</w:t>
      </w:r>
      <w:r>
        <w:rPr>
          <w:spacing w:val="-2"/>
        </w:rPr>
        <w:t> </w:t>
      </w:r>
      <w:r>
        <w:rPr/>
        <w:t>age</w:t>
      </w:r>
      <w:r>
        <w:rPr>
          <w:spacing w:val="-2"/>
        </w:rPr>
        <w:t> </w:t>
      </w:r>
      <w:r>
        <w:rPr/>
        <w:t>group</w:t>
      </w:r>
      <w:r>
        <w:rPr>
          <w:spacing w:val="-2"/>
        </w:rPr>
        <w:t> </w:t>
      </w:r>
      <w:r>
        <w:rPr/>
        <w:t>25-</w:t>
      </w:r>
      <w:r>
        <w:rPr>
          <w:spacing w:val="-2"/>
        </w:rPr>
        <w:t> </w:t>
      </w:r>
      <w:r>
        <w:rPr/>
        <w:t>29</w:t>
      </w:r>
      <w:r>
        <w:rPr>
          <w:spacing w:val="-2"/>
        </w:rPr>
        <w:t> </w:t>
      </w:r>
      <w:r>
        <w:rPr/>
        <w:t>years</w:t>
      </w:r>
      <w:r>
        <w:rPr>
          <w:spacing w:val="-2"/>
        </w:rPr>
        <w:t> </w:t>
      </w:r>
      <w:r>
        <w:rPr/>
        <w:t>in</w:t>
      </w:r>
      <w:r>
        <w:rPr>
          <w:spacing w:val="-2"/>
        </w:rPr>
        <w:t> </w:t>
      </w:r>
      <w:r>
        <w:rPr/>
        <w:t>the</w:t>
      </w:r>
      <w:r>
        <w:rPr>
          <w:spacing w:val="-2"/>
        </w:rPr>
        <w:t> </w:t>
      </w:r>
      <w:r>
        <w:rPr/>
        <w:t>rural</w:t>
      </w:r>
      <w:r>
        <w:rPr>
          <w:spacing w:val="-2"/>
        </w:rPr>
        <w:t> </w:t>
      </w:r>
      <w:r>
        <w:rPr/>
        <w:t>areas.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8"/>
        <w:spacing w:before="241"/>
      </w:pPr>
      <w:r>
        <w:rPr>
          <w:w w:val="90"/>
        </w:rPr>
        <w:t>Table</w:t>
      </w:r>
      <w:r>
        <w:rPr>
          <w:spacing w:val="6"/>
        </w:rPr>
        <w:t> </w:t>
      </w:r>
      <w:r>
        <w:rPr>
          <w:w w:val="90"/>
        </w:rPr>
        <w:t>6:</w:t>
      </w:r>
      <w:r>
        <w:rPr>
          <w:spacing w:val="-4"/>
        </w:rPr>
        <w:t> </w:t>
      </w:r>
      <w:r>
        <w:rPr>
          <w:color w:val="2E614A"/>
          <w:w w:val="90"/>
        </w:rPr>
        <w:t>Vocational</w:t>
      </w:r>
      <w:r>
        <w:rPr>
          <w:color w:val="2E614A"/>
          <w:spacing w:val="7"/>
        </w:rPr>
        <w:t> </w:t>
      </w:r>
      <w:r>
        <w:rPr>
          <w:color w:val="2E614A"/>
          <w:w w:val="90"/>
        </w:rPr>
        <w:t>education</w:t>
      </w:r>
      <w:r>
        <w:rPr>
          <w:color w:val="2E614A"/>
          <w:spacing w:val="6"/>
        </w:rPr>
        <w:t> </w:t>
      </w:r>
      <w:r>
        <w:rPr>
          <w:color w:val="2E614A"/>
          <w:w w:val="90"/>
        </w:rPr>
        <w:t>and</w:t>
      </w:r>
      <w:r>
        <w:rPr>
          <w:color w:val="2E614A"/>
          <w:spacing w:val="6"/>
        </w:rPr>
        <w:t> </w:t>
      </w:r>
      <w:r>
        <w:rPr>
          <w:color w:val="2E614A"/>
          <w:w w:val="90"/>
        </w:rPr>
        <w:t>training</w:t>
      </w:r>
      <w:r>
        <w:rPr>
          <w:color w:val="2E614A"/>
          <w:spacing w:val="6"/>
        </w:rPr>
        <w:t> </w:t>
      </w:r>
      <w:r>
        <w:rPr>
          <w:color w:val="2E614A"/>
          <w:w w:val="90"/>
        </w:rPr>
        <w:t>in</w:t>
      </w:r>
      <w:r>
        <w:rPr>
          <w:color w:val="2E614A"/>
          <w:spacing w:val="7"/>
        </w:rPr>
        <w:t> </w:t>
      </w:r>
      <w:r>
        <w:rPr>
          <w:color w:val="2E614A"/>
          <w:spacing w:val="-4"/>
          <w:w w:val="90"/>
        </w:rPr>
        <w:t>India</w:t>
      </w:r>
    </w:p>
    <w:p>
      <w:pPr>
        <w:pStyle w:val="BodyText"/>
        <w:spacing w:before="11"/>
        <w:rPr>
          <w:b/>
          <w:sz w:val="11"/>
        </w:rPr>
      </w:pPr>
    </w:p>
    <w:tbl>
      <w:tblPr>
        <w:tblW w:w="0" w:type="auto"/>
        <w:jc w:val="left"/>
        <w:tblInd w:w="10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000"/>
        <w:gridCol w:w="2580"/>
        <w:gridCol w:w="2580"/>
        <w:gridCol w:w="2580"/>
      </w:tblGrid>
      <w:tr>
        <w:trPr>
          <w:trHeight w:val="278" w:hRule="atLeast"/>
        </w:trPr>
        <w:tc>
          <w:tcPr>
            <w:tcW w:w="2000" w:type="dxa"/>
            <w:shd w:val="clear" w:color="auto" w:fill="D0D5CD"/>
          </w:tcPr>
          <w:p>
            <w:pPr>
              <w:pStyle w:val="TableParagraph"/>
              <w:spacing w:before="18"/>
              <w:ind w:left="90"/>
              <w:rPr>
                <w:b/>
                <w:sz w:val="20"/>
              </w:rPr>
            </w:pPr>
            <w:r>
              <w:rPr>
                <w:b/>
                <w:spacing w:val="-8"/>
                <w:sz w:val="20"/>
              </w:rPr>
              <w:t>Type</w:t>
            </w:r>
            <w:r>
              <w:rPr>
                <w:b/>
                <w:spacing w:val="-3"/>
                <w:sz w:val="20"/>
              </w:rPr>
              <w:t> </w:t>
            </w:r>
            <w:r>
              <w:rPr>
                <w:b/>
                <w:spacing w:val="-8"/>
                <w:sz w:val="20"/>
              </w:rPr>
              <w:t>of</w:t>
            </w:r>
            <w:r>
              <w:rPr>
                <w:b/>
                <w:spacing w:val="-2"/>
                <w:sz w:val="20"/>
              </w:rPr>
              <w:t> </w:t>
            </w:r>
            <w:r>
              <w:rPr>
                <w:b/>
                <w:spacing w:val="-8"/>
                <w:sz w:val="20"/>
              </w:rPr>
              <w:t>Source</w:t>
            </w:r>
          </w:p>
        </w:tc>
        <w:tc>
          <w:tcPr>
            <w:tcW w:w="2580" w:type="dxa"/>
            <w:shd w:val="clear" w:color="auto" w:fill="D0D5CD"/>
          </w:tcPr>
          <w:p>
            <w:pPr>
              <w:pStyle w:val="TableParagraph"/>
              <w:spacing w:before="18"/>
              <w:ind w:left="90"/>
              <w:rPr>
                <w:b/>
                <w:sz w:val="20"/>
              </w:rPr>
            </w:pPr>
            <w:r>
              <w:rPr>
                <w:b/>
                <w:spacing w:val="-2"/>
                <w:sz w:val="20"/>
              </w:rPr>
              <w:t>Institute</w:t>
            </w:r>
          </w:p>
        </w:tc>
        <w:tc>
          <w:tcPr>
            <w:tcW w:w="2580" w:type="dxa"/>
            <w:shd w:val="clear" w:color="auto" w:fill="D0D5CD"/>
          </w:tcPr>
          <w:p>
            <w:pPr>
              <w:pStyle w:val="TableParagraph"/>
              <w:spacing w:before="18"/>
              <w:ind w:left="90"/>
              <w:rPr>
                <w:b/>
                <w:sz w:val="20"/>
              </w:rPr>
            </w:pPr>
            <w:r>
              <w:rPr>
                <w:b/>
                <w:spacing w:val="-2"/>
                <w:sz w:val="20"/>
              </w:rPr>
              <w:t>Capacity</w:t>
            </w:r>
          </w:p>
        </w:tc>
        <w:tc>
          <w:tcPr>
            <w:tcW w:w="2580" w:type="dxa"/>
            <w:shd w:val="clear" w:color="auto" w:fill="D0D5CD"/>
          </w:tcPr>
          <w:p>
            <w:pPr>
              <w:pStyle w:val="TableParagraph"/>
              <w:spacing w:line="244" w:lineRule="exact" w:before="14"/>
              <w:ind w:left="90"/>
              <w:rPr>
                <w:b/>
                <w:sz w:val="22"/>
              </w:rPr>
            </w:pPr>
            <w:r>
              <w:rPr>
                <w:b/>
                <w:spacing w:val="-2"/>
                <w:sz w:val="22"/>
              </w:rPr>
              <w:t>Quantity</w:t>
            </w:r>
          </w:p>
        </w:tc>
      </w:tr>
      <w:tr>
        <w:trPr>
          <w:trHeight w:val="1383" w:hRule="atLeast"/>
        </w:trPr>
        <w:tc>
          <w:tcPr>
            <w:tcW w:w="2000" w:type="dxa"/>
            <w:shd w:val="clear" w:color="auto" w:fill="E9E9E9"/>
          </w:tcPr>
          <w:p>
            <w:pPr>
              <w:pStyle w:val="TableParagraph"/>
              <w:spacing w:line="292" w:lineRule="auto" w:before="18"/>
              <w:ind w:left="90"/>
              <w:rPr>
                <w:sz w:val="20"/>
              </w:rPr>
            </w:pPr>
            <w:r>
              <w:rPr>
                <w:spacing w:val="-4"/>
                <w:sz w:val="20"/>
              </w:rPr>
              <w:t>Mainstream</w:t>
            </w:r>
            <w:r>
              <w:rPr>
                <w:spacing w:val="-9"/>
                <w:sz w:val="20"/>
              </w:rPr>
              <w:t> </w:t>
            </w:r>
            <w:r>
              <w:rPr>
                <w:spacing w:val="-4"/>
                <w:sz w:val="20"/>
              </w:rPr>
              <w:t>education </w:t>
            </w:r>
            <w:r>
              <w:rPr>
                <w:spacing w:val="-2"/>
                <w:sz w:val="20"/>
              </w:rPr>
              <w:t>system</w:t>
            </w:r>
          </w:p>
        </w:tc>
        <w:tc>
          <w:tcPr>
            <w:tcW w:w="2580" w:type="dxa"/>
            <w:shd w:val="clear" w:color="auto" w:fill="E9E9E9"/>
          </w:tcPr>
          <w:p>
            <w:pPr>
              <w:pStyle w:val="TableParagraph"/>
              <w:spacing w:line="292" w:lineRule="auto" w:before="18"/>
              <w:ind w:left="90" w:right="256"/>
              <w:rPr>
                <w:sz w:val="20"/>
              </w:rPr>
            </w:pPr>
            <w:r>
              <w:rPr>
                <w:spacing w:val="-4"/>
                <w:sz w:val="20"/>
              </w:rPr>
              <w:t>Centrally</w:t>
            </w:r>
            <w:r>
              <w:rPr>
                <w:spacing w:val="-9"/>
                <w:sz w:val="20"/>
              </w:rPr>
              <w:t> </w:t>
            </w:r>
            <w:r>
              <w:rPr>
                <w:spacing w:val="-4"/>
                <w:sz w:val="20"/>
              </w:rPr>
              <w:t>Sponsored</w:t>
            </w:r>
            <w:r>
              <w:rPr>
                <w:spacing w:val="-8"/>
                <w:sz w:val="20"/>
              </w:rPr>
              <w:t> </w:t>
            </w:r>
            <w:r>
              <w:rPr>
                <w:spacing w:val="-4"/>
                <w:sz w:val="20"/>
              </w:rPr>
              <w:t>Scheme </w:t>
            </w:r>
            <w:r>
              <w:rPr>
                <w:sz w:val="20"/>
              </w:rPr>
              <w:t>of Vocationalisation of Secondary Education run</w:t>
            </w:r>
          </w:p>
          <w:p>
            <w:pPr>
              <w:pStyle w:val="TableParagraph"/>
              <w:spacing w:line="228" w:lineRule="exact" w:before="0"/>
              <w:ind w:left="90"/>
              <w:rPr>
                <w:sz w:val="20"/>
              </w:rPr>
            </w:pPr>
            <w:r>
              <w:rPr>
                <w:spacing w:val="-2"/>
                <w:sz w:val="20"/>
              </w:rPr>
              <w:t>by</w:t>
            </w:r>
            <w:r>
              <w:rPr>
                <w:spacing w:val="-6"/>
                <w:sz w:val="20"/>
              </w:rPr>
              <w:t> </w:t>
            </w:r>
            <w:r>
              <w:rPr>
                <w:spacing w:val="-2"/>
                <w:sz w:val="20"/>
              </w:rPr>
              <w:t>the</w:t>
            </w:r>
            <w:r>
              <w:rPr>
                <w:spacing w:val="-5"/>
                <w:sz w:val="20"/>
              </w:rPr>
              <w:t> </w:t>
            </w:r>
            <w:r>
              <w:rPr>
                <w:spacing w:val="-2"/>
                <w:sz w:val="20"/>
              </w:rPr>
              <w:t>Ministry</w:t>
            </w:r>
            <w:r>
              <w:rPr>
                <w:spacing w:val="-5"/>
                <w:sz w:val="20"/>
              </w:rPr>
              <w:t> </w:t>
            </w:r>
            <w:r>
              <w:rPr>
                <w:spacing w:val="-2"/>
                <w:sz w:val="20"/>
              </w:rPr>
              <w:t>of</w:t>
            </w:r>
            <w:r>
              <w:rPr>
                <w:spacing w:val="-5"/>
                <w:sz w:val="20"/>
              </w:rPr>
              <w:t> </w:t>
            </w:r>
            <w:r>
              <w:rPr>
                <w:spacing w:val="-4"/>
                <w:sz w:val="20"/>
              </w:rPr>
              <w:t>Human</w:t>
            </w:r>
          </w:p>
          <w:p>
            <w:pPr>
              <w:pStyle w:val="TableParagraph"/>
              <w:spacing w:line="225" w:lineRule="exact" w:before="50"/>
              <w:ind w:left="90"/>
              <w:rPr>
                <w:sz w:val="20"/>
              </w:rPr>
            </w:pPr>
            <w:r>
              <w:rPr>
                <w:w w:val="90"/>
                <w:sz w:val="20"/>
              </w:rPr>
              <w:t>Resource</w:t>
            </w:r>
            <w:r>
              <w:rPr>
                <w:spacing w:val="18"/>
                <w:sz w:val="20"/>
              </w:rPr>
              <w:t> </w:t>
            </w:r>
            <w:r>
              <w:rPr>
                <w:spacing w:val="-2"/>
                <w:sz w:val="20"/>
              </w:rPr>
              <w:t>Development</w:t>
            </w:r>
          </w:p>
        </w:tc>
        <w:tc>
          <w:tcPr>
            <w:tcW w:w="2580" w:type="dxa"/>
            <w:shd w:val="clear" w:color="auto" w:fill="E9E9E9"/>
          </w:tcPr>
          <w:p>
            <w:pPr>
              <w:pStyle w:val="TableParagraph"/>
              <w:spacing w:line="292" w:lineRule="auto" w:before="18"/>
              <w:ind w:left="90" w:right="275"/>
              <w:jc w:val="both"/>
              <w:rPr>
                <w:sz w:val="20"/>
              </w:rPr>
            </w:pPr>
            <w:r>
              <w:rPr>
                <w:spacing w:val="-2"/>
                <w:sz w:val="20"/>
              </w:rPr>
              <w:t>Enrolling</w:t>
            </w:r>
            <w:r>
              <w:rPr>
                <w:spacing w:val="-9"/>
                <w:sz w:val="20"/>
              </w:rPr>
              <w:t> </w:t>
            </w:r>
            <w:r>
              <w:rPr>
                <w:spacing w:val="-2"/>
                <w:sz w:val="20"/>
              </w:rPr>
              <w:t>less</w:t>
            </w:r>
            <w:r>
              <w:rPr>
                <w:spacing w:val="-9"/>
                <w:sz w:val="20"/>
              </w:rPr>
              <w:t> </w:t>
            </w:r>
            <w:r>
              <w:rPr>
                <w:spacing w:val="-2"/>
                <w:sz w:val="20"/>
              </w:rPr>
              <w:t>than</w:t>
            </w:r>
            <w:r>
              <w:rPr>
                <w:spacing w:val="-9"/>
                <w:sz w:val="20"/>
              </w:rPr>
              <w:t> </w:t>
            </w:r>
            <w:r>
              <w:rPr>
                <w:spacing w:val="-2"/>
                <w:sz w:val="20"/>
              </w:rPr>
              <w:t>three</w:t>
            </w:r>
            <w:r>
              <w:rPr>
                <w:spacing w:val="-9"/>
                <w:sz w:val="20"/>
              </w:rPr>
              <w:t> </w:t>
            </w:r>
            <w:r>
              <w:rPr>
                <w:spacing w:val="-2"/>
                <w:sz w:val="20"/>
              </w:rPr>
              <w:t>per </w:t>
            </w:r>
            <w:r>
              <w:rPr>
                <w:sz w:val="20"/>
              </w:rPr>
              <w:t>cent</w:t>
            </w:r>
            <w:r>
              <w:rPr>
                <w:spacing w:val="-13"/>
                <w:sz w:val="20"/>
              </w:rPr>
              <w:t> </w:t>
            </w:r>
            <w:r>
              <w:rPr>
                <w:sz w:val="20"/>
              </w:rPr>
              <w:t>of</w:t>
            </w:r>
            <w:r>
              <w:rPr>
                <w:spacing w:val="-12"/>
                <w:sz w:val="20"/>
              </w:rPr>
              <w:t> </w:t>
            </w:r>
            <w:r>
              <w:rPr>
                <w:sz w:val="20"/>
              </w:rPr>
              <w:t>students</w:t>
            </w:r>
            <w:r>
              <w:rPr>
                <w:spacing w:val="-13"/>
                <w:sz w:val="20"/>
              </w:rPr>
              <w:t> </w:t>
            </w:r>
            <w:r>
              <w:rPr>
                <w:sz w:val="20"/>
              </w:rPr>
              <w:t>at</w:t>
            </w:r>
            <w:r>
              <w:rPr>
                <w:spacing w:val="-12"/>
                <w:sz w:val="20"/>
              </w:rPr>
              <w:t> </w:t>
            </w:r>
            <w:r>
              <w:rPr>
                <w:sz w:val="20"/>
              </w:rPr>
              <w:t>the</w:t>
            </w:r>
            <w:r>
              <w:rPr>
                <w:spacing w:val="-13"/>
                <w:sz w:val="20"/>
              </w:rPr>
              <w:t> </w:t>
            </w:r>
            <w:r>
              <w:rPr>
                <w:sz w:val="20"/>
              </w:rPr>
              <w:t>upper secondary level</w:t>
            </w:r>
          </w:p>
        </w:tc>
        <w:tc>
          <w:tcPr>
            <w:tcW w:w="2580" w:type="dxa"/>
            <w:shd w:val="clear" w:color="auto" w:fill="E9E9E9"/>
          </w:tcPr>
          <w:p>
            <w:pPr>
              <w:pStyle w:val="TableParagraph"/>
              <w:spacing w:line="292" w:lineRule="auto" w:before="18"/>
              <w:ind w:left="90"/>
              <w:rPr>
                <w:sz w:val="20"/>
              </w:rPr>
            </w:pPr>
            <w:r>
              <w:rPr>
                <w:sz w:val="20"/>
              </w:rPr>
              <w:t>9,583 schools offering about </w:t>
            </w:r>
            <w:r>
              <w:rPr>
                <w:spacing w:val="-4"/>
                <w:sz w:val="20"/>
              </w:rPr>
              <w:t>150</w:t>
            </w:r>
            <w:r>
              <w:rPr>
                <w:spacing w:val="-9"/>
                <w:sz w:val="20"/>
              </w:rPr>
              <w:t> </w:t>
            </w:r>
            <w:r>
              <w:rPr>
                <w:spacing w:val="-4"/>
                <w:sz w:val="20"/>
              </w:rPr>
              <w:t>educational</w:t>
            </w:r>
            <w:r>
              <w:rPr>
                <w:spacing w:val="-8"/>
                <w:sz w:val="20"/>
              </w:rPr>
              <w:t> </w:t>
            </w:r>
            <w:r>
              <w:rPr>
                <w:spacing w:val="-4"/>
                <w:sz w:val="20"/>
              </w:rPr>
              <w:t>courses</w:t>
            </w:r>
            <w:r>
              <w:rPr>
                <w:spacing w:val="-9"/>
                <w:sz w:val="20"/>
              </w:rPr>
              <w:t> </w:t>
            </w:r>
            <w:r>
              <w:rPr>
                <w:spacing w:val="-4"/>
                <w:sz w:val="20"/>
              </w:rPr>
              <w:t>of</w:t>
            </w:r>
            <w:r>
              <w:rPr>
                <w:spacing w:val="-8"/>
                <w:sz w:val="20"/>
              </w:rPr>
              <w:t> </w:t>
            </w:r>
            <w:r>
              <w:rPr>
                <w:spacing w:val="-4"/>
                <w:sz w:val="20"/>
              </w:rPr>
              <w:t>two </w:t>
            </w:r>
            <w:r>
              <w:rPr>
                <w:sz w:val="20"/>
              </w:rPr>
              <w:t>years duration</w:t>
            </w:r>
          </w:p>
        </w:tc>
      </w:tr>
      <w:tr>
        <w:trPr>
          <w:trHeight w:val="1118" w:hRule="atLeast"/>
        </w:trPr>
        <w:tc>
          <w:tcPr>
            <w:tcW w:w="2000" w:type="dxa"/>
            <w:shd w:val="clear" w:color="auto" w:fill="D0D5CD"/>
          </w:tcPr>
          <w:p>
            <w:pPr>
              <w:pStyle w:val="TableParagraph"/>
              <w:spacing w:line="266" w:lineRule="auto" w:before="14"/>
              <w:ind w:left="90" w:right="18"/>
              <w:rPr>
                <w:sz w:val="22"/>
              </w:rPr>
            </w:pPr>
            <w:r>
              <w:rPr>
                <w:spacing w:val="-4"/>
                <w:sz w:val="22"/>
              </w:rPr>
              <w:t>Training</w:t>
            </w:r>
            <w:r>
              <w:rPr>
                <w:spacing w:val="-8"/>
                <w:sz w:val="22"/>
              </w:rPr>
              <w:t> </w:t>
            </w:r>
            <w:r>
              <w:rPr>
                <w:spacing w:val="-4"/>
                <w:sz w:val="22"/>
              </w:rPr>
              <w:t>institutions </w:t>
            </w:r>
            <w:r>
              <w:rPr>
                <w:sz w:val="22"/>
              </w:rPr>
              <w:t>outside the school and university</w:t>
            </w:r>
          </w:p>
          <w:p>
            <w:pPr>
              <w:pStyle w:val="TableParagraph"/>
              <w:spacing w:line="242" w:lineRule="exact" w:before="0"/>
              <w:ind w:left="90"/>
              <w:rPr>
                <w:sz w:val="22"/>
              </w:rPr>
            </w:pPr>
            <w:r>
              <w:rPr>
                <w:spacing w:val="-2"/>
                <w:sz w:val="22"/>
              </w:rPr>
              <w:t>systems</w:t>
            </w:r>
          </w:p>
        </w:tc>
        <w:tc>
          <w:tcPr>
            <w:tcW w:w="2580" w:type="dxa"/>
            <w:shd w:val="clear" w:color="auto" w:fill="D0D5CD"/>
          </w:tcPr>
          <w:p>
            <w:pPr>
              <w:pStyle w:val="TableParagraph"/>
              <w:spacing w:line="292" w:lineRule="auto" w:before="18"/>
              <w:ind w:left="90" w:right="190"/>
              <w:rPr>
                <w:sz w:val="20"/>
              </w:rPr>
            </w:pPr>
            <w:r>
              <w:rPr>
                <w:sz w:val="20"/>
              </w:rPr>
              <w:t>Industrial</w:t>
            </w:r>
            <w:r>
              <w:rPr>
                <w:spacing w:val="-13"/>
                <w:sz w:val="20"/>
              </w:rPr>
              <w:t> </w:t>
            </w:r>
            <w:r>
              <w:rPr>
                <w:sz w:val="20"/>
              </w:rPr>
              <w:t>Training</w:t>
            </w:r>
            <w:r>
              <w:rPr>
                <w:spacing w:val="-12"/>
                <w:sz w:val="20"/>
              </w:rPr>
              <w:t> </w:t>
            </w:r>
            <w:r>
              <w:rPr>
                <w:sz w:val="20"/>
              </w:rPr>
              <w:t>Institutes </w:t>
            </w:r>
            <w:r>
              <w:rPr>
                <w:spacing w:val="-2"/>
                <w:sz w:val="20"/>
              </w:rPr>
              <w:t>(ITIs)</w:t>
            </w:r>
            <w:r>
              <w:rPr>
                <w:spacing w:val="-11"/>
                <w:sz w:val="20"/>
              </w:rPr>
              <w:t> </w:t>
            </w:r>
            <w:r>
              <w:rPr>
                <w:spacing w:val="-2"/>
                <w:sz w:val="20"/>
              </w:rPr>
              <w:t>and</w:t>
            </w:r>
            <w:r>
              <w:rPr>
                <w:spacing w:val="-10"/>
                <w:sz w:val="20"/>
              </w:rPr>
              <w:t> </w:t>
            </w:r>
            <w:r>
              <w:rPr>
                <w:spacing w:val="-2"/>
                <w:sz w:val="20"/>
              </w:rPr>
              <w:t>Industrial</w:t>
            </w:r>
            <w:r>
              <w:rPr>
                <w:spacing w:val="-11"/>
                <w:sz w:val="20"/>
              </w:rPr>
              <w:t> </w:t>
            </w:r>
            <w:r>
              <w:rPr>
                <w:spacing w:val="-2"/>
                <w:sz w:val="20"/>
              </w:rPr>
              <w:t>Training </w:t>
            </w:r>
            <w:r>
              <w:rPr>
                <w:sz w:val="20"/>
              </w:rPr>
              <w:t>Centres (ITCs)</w:t>
            </w:r>
          </w:p>
        </w:tc>
        <w:tc>
          <w:tcPr>
            <w:tcW w:w="2580" w:type="dxa"/>
            <w:shd w:val="clear" w:color="auto" w:fill="D0D5CD"/>
          </w:tcPr>
          <w:p>
            <w:pPr>
              <w:pStyle w:val="TableParagraph"/>
              <w:spacing w:line="292" w:lineRule="auto" w:before="18"/>
              <w:ind w:left="90"/>
              <w:rPr>
                <w:sz w:val="20"/>
              </w:rPr>
            </w:pPr>
            <w:r>
              <w:rPr>
                <w:spacing w:val="-4"/>
                <w:sz w:val="20"/>
              </w:rPr>
              <w:t>Total</w:t>
            </w:r>
            <w:r>
              <w:rPr>
                <w:spacing w:val="-9"/>
                <w:sz w:val="20"/>
              </w:rPr>
              <w:t> </w:t>
            </w:r>
            <w:r>
              <w:rPr>
                <w:spacing w:val="-4"/>
                <w:sz w:val="20"/>
              </w:rPr>
              <w:t>seating</w:t>
            </w:r>
            <w:r>
              <w:rPr>
                <w:spacing w:val="-8"/>
                <w:sz w:val="20"/>
              </w:rPr>
              <w:t> </w:t>
            </w:r>
            <w:r>
              <w:rPr>
                <w:spacing w:val="-4"/>
                <w:sz w:val="20"/>
              </w:rPr>
              <w:t>capacity</w:t>
            </w:r>
            <w:r>
              <w:rPr>
                <w:spacing w:val="-9"/>
                <w:sz w:val="20"/>
              </w:rPr>
              <w:t> </w:t>
            </w:r>
            <w:r>
              <w:rPr>
                <w:spacing w:val="-4"/>
                <w:sz w:val="20"/>
              </w:rPr>
              <w:t>of</w:t>
            </w:r>
            <w:r>
              <w:rPr>
                <w:spacing w:val="-8"/>
                <w:sz w:val="20"/>
              </w:rPr>
              <w:t> </w:t>
            </w:r>
            <w:r>
              <w:rPr>
                <w:spacing w:val="-4"/>
                <w:sz w:val="20"/>
              </w:rPr>
              <w:t>7.85 lakh</w:t>
            </w:r>
          </w:p>
        </w:tc>
        <w:tc>
          <w:tcPr>
            <w:tcW w:w="2580" w:type="dxa"/>
            <w:shd w:val="clear" w:color="auto" w:fill="D0D5CD"/>
          </w:tcPr>
          <w:p>
            <w:pPr>
              <w:pStyle w:val="TableParagraph"/>
              <w:spacing w:line="292" w:lineRule="auto" w:before="18"/>
              <w:ind w:left="90" w:right="182"/>
              <w:rPr>
                <w:sz w:val="20"/>
              </w:rPr>
            </w:pPr>
            <w:r>
              <w:rPr>
                <w:sz w:val="20"/>
              </w:rPr>
              <w:t>5488</w:t>
            </w:r>
            <w:r>
              <w:rPr>
                <w:spacing w:val="-13"/>
                <w:sz w:val="20"/>
              </w:rPr>
              <w:t> </w:t>
            </w:r>
            <w:r>
              <w:rPr>
                <w:sz w:val="20"/>
              </w:rPr>
              <w:t>public</w:t>
            </w:r>
            <w:r>
              <w:rPr>
                <w:spacing w:val="-12"/>
                <w:sz w:val="20"/>
              </w:rPr>
              <w:t> </w:t>
            </w:r>
            <w:r>
              <w:rPr>
                <w:sz w:val="20"/>
              </w:rPr>
              <w:t>(ITI)</w:t>
            </w:r>
            <w:r>
              <w:rPr>
                <w:spacing w:val="-13"/>
                <w:sz w:val="20"/>
              </w:rPr>
              <w:t> </w:t>
            </w:r>
            <w:r>
              <w:rPr>
                <w:sz w:val="20"/>
              </w:rPr>
              <w:t>and</w:t>
            </w:r>
            <w:r>
              <w:rPr>
                <w:spacing w:val="-12"/>
                <w:sz w:val="20"/>
              </w:rPr>
              <w:t> </w:t>
            </w:r>
            <w:r>
              <w:rPr>
                <w:sz w:val="20"/>
              </w:rPr>
              <w:t>private (ITC) institutions imparting </w:t>
            </w:r>
            <w:r>
              <w:rPr>
                <w:spacing w:val="-2"/>
                <w:sz w:val="20"/>
              </w:rPr>
              <w:t>VET,</w:t>
            </w:r>
            <w:r>
              <w:rPr>
                <w:spacing w:val="-10"/>
                <w:sz w:val="20"/>
              </w:rPr>
              <w:t> </w:t>
            </w:r>
            <w:r>
              <w:rPr>
                <w:spacing w:val="-2"/>
                <w:sz w:val="20"/>
              </w:rPr>
              <w:t>of</w:t>
            </w:r>
            <w:r>
              <w:rPr>
                <w:spacing w:val="-9"/>
                <w:sz w:val="20"/>
              </w:rPr>
              <w:t> </w:t>
            </w:r>
            <w:r>
              <w:rPr>
                <w:spacing w:val="-2"/>
                <w:sz w:val="20"/>
              </w:rPr>
              <w:t>which</w:t>
            </w:r>
            <w:r>
              <w:rPr>
                <w:spacing w:val="-9"/>
                <w:sz w:val="20"/>
              </w:rPr>
              <w:t> </w:t>
            </w:r>
            <w:r>
              <w:rPr>
                <w:spacing w:val="-2"/>
                <w:sz w:val="20"/>
              </w:rPr>
              <w:t>1922</w:t>
            </w:r>
            <w:r>
              <w:rPr>
                <w:spacing w:val="-10"/>
                <w:sz w:val="20"/>
              </w:rPr>
              <w:t> </w:t>
            </w:r>
            <w:r>
              <w:rPr>
                <w:spacing w:val="-2"/>
                <w:sz w:val="20"/>
              </w:rPr>
              <w:t>are</w:t>
            </w:r>
            <w:r>
              <w:rPr>
                <w:spacing w:val="-9"/>
                <w:sz w:val="20"/>
              </w:rPr>
              <w:t> </w:t>
            </w:r>
            <w:r>
              <w:rPr>
                <w:spacing w:val="-4"/>
                <w:sz w:val="20"/>
              </w:rPr>
              <w:t>ITIs</w:t>
            </w:r>
          </w:p>
          <w:p>
            <w:pPr>
              <w:pStyle w:val="TableParagraph"/>
              <w:spacing w:line="228" w:lineRule="exact" w:before="0"/>
              <w:ind w:left="90"/>
              <w:rPr>
                <w:sz w:val="20"/>
              </w:rPr>
            </w:pPr>
            <w:r>
              <w:rPr>
                <w:sz w:val="20"/>
              </w:rPr>
              <w:t>and</w:t>
            </w:r>
            <w:r>
              <w:rPr>
                <w:spacing w:val="-8"/>
                <w:sz w:val="20"/>
              </w:rPr>
              <w:t> </w:t>
            </w:r>
            <w:r>
              <w:rPr>
                <w:sz w:val="20"/>
              </w:rPr>
              <w:t>3566</w:t>
            </w:r>
            <w:r>
              <w:rPr>
                <w:spacing w:val="-8"/>
                <w:sz w:val="20"/>
              </w:rPr>
              <w:t> </w:t>
            </w:r>
            <w:r>
              <w:rPr>
                <w:sz w:val="20"/>
              </w:rPr>
              <w:t>are</w:t>
            </w:r>
            <w:r>
              <w:rPr>
                <w:spacing w:val="-8"/>
                <w:sz w:val="20"/>
              </w:rPr>
              <w:t> </w:t>
            </w:r>
            <w:r>
              <w:rPr>
                <w:spacing w:val="-2"/>
                <w:sz w:val="20"/>
              </w:rPr>
              <w:t>ITCs.</w:t>
            </w:r>
          </w:p>
        </w:tc>
      </w:tr>
      <w:tr>
        <w:trPr>
          <w:trHeight w:val="838" w:hRule="atLeast"/>
        </w:trPr>
        <w:tc>
          <w:tcPr>
            <w:tcW w:w="2000" w:type="dxa"/>
            <w:shd w:val="clear" w:color="auto" w:fill="E9E9E9"/>
          </w:tcPr>
          <w:p>
            <w:pPr>
              <w:pStyle w:val="TableParagraph"/>
              <w:spacing w:before="14"/>
              <w:ind w:left="90"/>
              <w:rPr>
                <w:sz w:val="22"/>
              </w:rPr>
            </w:pPr>
            <w:r>
              <w:rPr>
                <w:spacing w:val="-2"/>
                <w:sz w:val="22"/>
              </w:rPr>
              <w:t>Diploma</w:t>
            </w:r>
            <w:r>
              <w:rPr>
                <w:spacing w:val="-1"/>
                <w:sz w:val="22"/>
              </w:rPr>
              <w:t> </w:t>
            </w:r>
            <w:r>
              <w:rPr>
                <w:spacing w:val="-4"/>
                <w:sz w:val="22"/>
              </w:rPr>
              <w:t>level</w:t>
            </w:r>
          </w:p>
        </w:tc>
        <w:tc>
          <w:tcPr>
            <w:tcW w:w="2580" w:type="dxa"/>
            <w:shd w:val="clear" w:color="auto" w:fill="E9E9E9"/>
          </w:tcPr>
          <w:p>
            <w:pPr>
              <w:pStyle w:val="TableParagraph"/>
              <w:spacing w:before="18"/>
              <w:ind w:left="90"/>
              <w:rPr>
                <w:sz w:val="20"/>
              </w:rPr>
            </w:pPr>
            <w:r>
              <w:rPr>
                <w:spacing w:val="-2"/>
                <w:sz w:val="20"/>
              </w:rPr>
              <w:t>Polytechnics</w:t>
            </w:r>
          </w:p>
        </w:tc>
        <w:tc>
          <w:tcPr>
            <w:tcW w:w="2580" w:type="dxa"/>
            <w:shd w:val="clear" w:color="auto" w:fill="E9E9E9"/>
          </w:tcPr>
          <w:p>
            <w:pPr>
              <w:pStyle w:val="TableParagraph"/>
              <w:spacing w:before="18"/>
              <w:ind w:left="90"/>
              <w:rPr>
                <w:sz w:val="20"/>
              </w:rPr>
            </w:pPr>
            <w:r>
              <w:rPr>
                <w:spacing w:val="-2"/>
                <w:sz w:val="20"/>
              </w:rPr>
              <w:t>1,244</w:t>
            </w:r>
            <w:r>
              <w:rPr>
                <w:spacing w:val="-5"/>
                <w:sz w:val="20"/>
              </w:rPr>
              <w:t> </w:t>
            </w:r>
            <w:r>
              <w:rPr>
                <w:spacing w:val="-2"/>
                <w:sz w:val="20"/>
              </w:rPr>
              <w:t>polytechnics</w:t>
            </w:r>
            <w:r>
              <w:rPr>
                <w:spacing w:val="-5"/>
                <w:sz w:val="20"/>
              </w:rPr>
              <w:t> </w:t>
            </w:r>
            <w:r>
              <w:rPr>
                <w:spacing w:val="-2"/>
                <w:sz w:val="20"/>
              </w:rPr>
              <w:t>run</w:t>
            </w:r>
            <w:r>
              <w:rPr>
                <w:spacing w:val="-5"/>
                <w:sz w:val="20"/>
              </w:rPr>
              <w:t> by</w:t>
            </w:r>
          </w:p>
          <w:p>
            <w:pPr>
              <w:pStyle w:val="TableParagraph"/>
              <w:spacing w:line="280" w:lineRule="atLeast" w:before="0"/>
              <w:ind w:left="90" w:right="437"/>
              <w:rPr>
                <w:sz w:val="20"/>
              </w:rPr>
            </w:pPr>
            <w:r>
              <w:rPr>
                <w:sz w:val="20"/>
              </w:rPr>
              <w:t>MHRD</w:t>
            </w:r>
            <w:r>
              <w:rPr>
                <w:spacing w:val="-13"/>
                <w:sz w:val="20"/>
              </w:rPr>
              <w:t> </w:t>
            </w:r>
            <w:r>
              <w:rPr>
                <w:sz w:val="20"/>
              </w:rPr>
              <w:t>with</w:t>
            </w:r>
            <w:r>
              <w:rPr>
                <w:spacing w:val="-12"/>
                <w:sz w:val="20"/>
              </w:rPr>
              <w:t> </w:t>
            </w:r>
            <w:r>
              <w:rPr>
                <w:sz w:val="20"/>
              </w:rPr>
              <w:t>a</w:t>
            </w:r>
            <w:r>
              <w:rPr>
                <w:spacing w:val="-13"/>
                <w:sz w:val="20"/>
              </w:rPr>
              <w:t> </w:t>
            </w:r>
            <w:r>
              <w:rPr>
                <w:sz w:val="20"/>
              </w:rPr>
              <w:t>capacity</w:t>
            </w:r>
            <w:r>
              <w:rPr>
                <w:spacing w:val="-12"/>
                <w:sz w:val="20"/>
              </w:rPr>
              <w:t> </w:t>
            </w:r>
            <w:r>
              <w:rPr>
                <w:sz w:val="20"/>
              </w:rPr>
              <w:t>of over 2.95 lakhs</w:t>
            </w:r>
          </w:p>
        </w:tc>
        <w:tc>
          <w:tcPr>
            <w:tcW w:w="2580" w:type="dxa"/>
            <w:shd w:val="clear" w:color="auto" w:fill="E9E9E9"/>
          </w:tcPr>
          <w:p>
            <w:pPr>
              <w:pStyle w:val="TableParagraph"/>
              <w:spacing w:before="14"/>
              <w:ind w:left="90"/>
              <w:rPr>
                <w:sz w:val="22"/>
              </w:rPr>
            </w:pPr>
            <w:r>
              <w:rPr>
                <w:sz w:val="22"/>
              </w:rPr>
              <w:t>1,747</w:t>
            </w:r>
            <w:r>
              <w:rPr>
                <w:spacing w:val="-7"/>
                <w:sz w:val="22"/>
              </w:rPr>
              <w:t> </w:t>
            </w:r>
            <w:r>
              <w:rPr>
                <w:sz w:val="22"/>
              </w:rPr>
              <w:t>AICTE</w:t>
            </w:r>
            <w:r>
              <w:rPr>
                <w:spacing w:val="-6"/>
                <w:sz w:val="22"/>
              </w:rPr>
              <w:t> </w:t>
            </w:r>
            <w:r>
              <w:rPr>
                <w:spacing w:val="-2"/>
                <w:sz w:val="22"/>
              </w:rPr>
              <w:t>approved</w:t>
            </w:r>
          </w:p>
          <w:p>
            <w:pPr>
              <w:pStyle w:val="TableParagraph"/>
              <w:spacing w:line="280" w:lineRule="atLeast" w:before="0"/>
              <w:ind w:left="90"/>
              <w:rPr>
                <w:sz w:val="22"/>
              </w:rPr>
            </w:pPr>
            <w:r>
              <w:rPr>
                <w:spacing w:val="-4"/>
                <w:sz w:val="22"/>
              </w:rPr>
              <w:t>diploma</w:t>
            </w:r>
            <w:r>
              <w:rPr>
                <w:spacing w:val="-10"/>
                <w:sz w:val="22"/>
              </w:rPr>
              <w:t> </w:t>
            </w:r>
            <w:r>
              <w:rPr>
                <w:spacing w:val="-4"/>
                <w:sz w:val="22"/>
              </w:rPr>
              <w:t>programs</w:t>
            </w:r>
            <w:r>
              <w:rPr>
                <w:spacing w:val="-10"/>
                <w:sz w:val="22"/>
              </w:rPr>
              <w:t> </w:t>
            </w:r>
            <w:r>
              <w:rPr>
                <w:spacing w:val="-4"/>
                <w:sz w:val="22"/>
              </w:rPr>
              <w:t>with </w:t>
            </w:r>
            <w:r>
              <w:rPr>
                <w:sz w:val="22"/>
              </w:rPr>
              <w:t>294,370 seats</w:t>
            </w:r>
          </w:p>
        </w:tc>
      </w:tr>
    </w:tbl>
    <w:p>
      <w:pPr>
        <w:spacing w:after="0" w:line="280" w:lineRule="atLeast"/>
        <w:rPr>
          <w:sz w:val="22"/>
        </w:rPr>
        <w:sectPr>
          <w:type w:val="continuous"/>
          <w:pgSz w:w="11910" w:h="16840"/>
          <w:pgMar w:header="0" w:footer="675" w:top="1920" w:bottom="280" w:left="0" w:right="0"/>
        </w:sectPr>
      </w:pPr>
    </w:p>
    <w:p>
      <w:pPr>
        <w:pStyle w:val="BodyText"/>
        <w:spacing w:line="266" w:lineRule="auto" w:before="77"/>
        <w:ind w:left="1080"/>
        <w:jc w:val="both"/>
      </w:pPr>
      <w:r>
        <w:rPr>
          <w:b/>
        </w:rPr>
        <w:t>Formal vocational training and </w:t>
      </w:r>
      <w:r>
        <w:rPr>
          <w:b/>
        </w:rPr>
        <w:t>broad activity</w:t>
      </w:r>
      <w:r>
        <w:rPr>
          <w:b/>
          <w:spacing w:val="-14"/>
        </w:rPr>
        <w:t> </w:t>
      </w:r>
      <w:r>
        <w:rPr>
          <w:b/>
        </w:rPr>
        <w:t>status:</w:t>
      </w:r>
      <w:r>
        <w:rPr>
          <w:b/>
          <w:spacing w:val="-14"/>
        </w:rPr>
        <w:t> </w:t>
      </w:r>
      <w:r>
        <w:rPr/>
        <w:t>The</w:t>
      </w:r>
      <w:r>
        <w:rPr>
          <w:spacing w:val="-14"/>
        </w:rPr>
        <w:t> </w:t>
      </w:r>
      <w:r>
        <w:rPr/>
        <w:t>proportion</w:t>
      </w:r>
      <w:r>
        <w:rPr>
          <w:spacing w:val="-13"/>
        </w:rPr>
        <w:t> </w:t>
      </w:r>
      <w:r>
        <w:rPr/>
        <w:t>of</w:t>
      </w:r>
      <w:r>
        <w:rPr>
          <w:spacing w:val="-14"/>
        </w:rPr>
        <w:t> </w:t>
      </w:r>
      <w:r>
        <w:rPr/>
        <w:t>persons (15-29 years) who received formal vocational</w:t>
      </w:r>
      <w:r>
        <w:rPr>
          <w:spacing w:val="-14"/>
        </w:rPr>
        <w:t> </w:t>
      </w:r>
      <w:r>
        <w:rPr/>
        <w:t>training</w:t>
      </w:r>
      <w:r>
        <w:rPr>
          <w:spacing w:val="-14"/>
        </w:rPr>
        <w:t> </w:t>
      </w:r>
      <w:r>
        <w:rPr/>
        <w:t>was</w:t>
      </w:r>
      <w:r>
        <w:rPr>
          <w:spacing w:val="-14"/>
        </w:rPr>
        <w:t> </w:t>
      </w:r>
      <w:r>
        <w:rPr/>
        <w:t>the</w:t>
      </w:r>
      <w:r>
        <w:rPr>
          <w:spacing w:val="-13"/>
        </w:rPr>
        <w:t> </w:t>
      </w:r>
      <w:r>
        <w:rPr/>
        <w:t>highest</w:t>
      </w:r>
      <w:r>
        <w:rPr>
          <w:spacing w:val="-14"/>
        </w:rPr>
        <w:t> </w:t>
      </w:r>
      <w:r>
        <w:rPr/>
        <w:t>among the unemployed. The proportion was around</w:t>
      </w:r>
      <w:r>
        <w:rPr>
          <w:spacing w:val="-14"/>
        </w:rPr>
        <w:t> </w:t>
      </w:r>
      <w:r>
        <w:rPr/>
        <w:t>3</w:t>
      </w:r>
      <w:r>
        <w:rPr>
          <w:spacing w:val="-14"/>
        </w:rPr>
        <w:t> </w:t>
      </w:r>
      <w:r>
        <w:rPr/>
        <w:t>per</w:t>
      </w:r>
      <w:r>
        <w:rPr>
          <w:spacing w:val="-13"/>
        </w:rPr>
        <w:t> </w:t>
      </w:r>
      <w:r>
        <w:rPr/>
        <w:t>cent</w:t>
      </w:r>
      <w:r>
        <w:rPr>
          <w:spacing w:val="-14"/>
        </w:rPr>
        <w:t> </w:t>
      </w:r>
      <w:r>
        <w:rPr/>
        <w:t>for</w:t>
      </w:r>
      <w:r>
        <w:rPr>
          <w:spacing w:val="-14"/>
        </w:rPr>
        <w:t> </w:t>
      </w:r>
      <w:r>
        <w:rPr/>
        <w:t>the</w:t>
      </w:r>
      <w:r>
        <w:rPr>
          <w:spacing w:val="-13"/>
        </w:rPr>
        <w:t> </w:t>
      </w:r>
      <w:r>
        <w:rPr/>
        <w:t>employed,</w:t>
      </w:r>
      <w:r>
        <w:rPr>
          <w:spacing w:val="-14"/>
        </w:rPr>
        <w:t> </w:t>
      </w:r>
      <w:r>
        <w:rPr/>
        <w:t>11</w:t>
      </w:r>
      <w:r>
        <w:rPr>
          <w:spacing w:val="-14"/>
        </w:rPr>
        <w:t> </w:t>
      </w:r>
      <w:r>
        <w:rPr/>
        <w:t>per cent</w:t>
      </w:r>
      <w:r>
        <w:rPr>
          <w:spacing w:val="-13"/>
        </w:rPr>
        <w:t> </w:t>
      </w:r>
      <w:r>
        <w:rPr/>
        <w:t>for</w:t>
      </w:r>
      <w:r>
        <w:rPr>
          <w:spacing w:val="-13"/>
        </w:rPr>
        <w:t> </w:t>
      </w:r>
      <w:r>
        <w:rPr/>
        <w:t>the</w:t>
      </w:r>
      <w:r>
        <w:rPr>
          <w:spacing w:val="-13"/>
        </w:rPr>
        <w:t> </w:t>
      </w:r>
      <w:r>
        <w:rPr/>
        <w:t>unemployed</w:t>
      </w:r>
      <w:r>
        <w:rPr>
          <w:spacing w:val="-13"/>
        </w:rPr>
        <w:t> </w:t>
      </w:r>
      <w:r>
        <w:rPr/>
        <w:t>and</w:t>
      </w:r>
      <w:r>
        <w:rPr>
          <w:spacing w:val="-13"/>
        </w:rPr>
        <w:t> </w:t>
      </w:r>
      <w:r>
        <w:rPr/>
        <w:t>2</w:t>
      </w:r>
      <w:r>
        <w:rPr>
          <w:spacing w:val="-13"/>
        </w:rPr>
        <w:t> </w:t>
      </w:r>
      <w:r>
        <w:rPr/>
        <w:t>per</w:t>
      </w:r>
      <w:r>
        <w:rPr>
          <w:spacing w:val="-13"/>
        </w:rPr>
        <w:t> </w:t>
      </w:r>
      <w:r>
        <w:rPr/>
        <w:t>cent</w:t>
      </w:r>
      <w:r>
        <w:rPr>
          <w:spacing w:val="-13"/>
        </w:rPr>
        <w:t> </w:t>
      </w:r>
      <w:r>
        <w:rPr/>
        <w:t>for persons not in the labour force</w:t>
      </w:r>
    </w:p>
    <w:p>
      <w:pPr>
        <w:pStyle w:val="BodyText"/>
        <w:spacing w:before="6"/>
      </w:pPr>
    </w:p>
    <w:p>
      <w:pPr>
        <w:pStyle w:val="Heading6"/>
        <w:spacing w:line="208" w:lineRule="auto"/>
        <w:ind w:left="1080" w:right="1039" w:firstLine="0"/>
      </w:pPr>
      <w:r>
        <w:rPr>
          <w:color w:val="2E614A"/>
          <w:spacing w:val="-12"/>
        </w:rPr>
        <w:t>Issues</w:t>
      </w:r>
      <w:r>
        <w:rPr>
          <w:color w:val="2E614A"/>
          <w:spacing w:val="-8"/>
        </w:rPr>
        <w:t> </w:t>
      </w:r>
      <w:r>
        <w:rPr>
          <w:color w:val="2E614A"/>
          <w:spacing w:val="-12"/>
        </w:rPr>
        <w:t>in</w:t>
      </w:r>
      <w:r>
        <w:rPr>
          <w:color w:val="2E614A"/>
          <w:spacing w:val="-8"/>
        </w:rPr>
        <w:t> </w:t>
      </w:r>
      <w:r>
        <w:rPr>
          <w:color w:val="2E614A"/>
          <w:spacing w:val="-12"/>
        </w:rPr>
        <w:t>the</w:t>
      </w:r>
      <w:r>
        <w:rPr>
          <w:color w:val="2E614A"/>
          <w:spacing w:val="-8"/>
        </w:rPr>
        <w:t> </w:t>
      </w:r>
      <w:r>
        <w:rPr>
          <w:color w:val="2E614A"/>
          <w:spacing w:val="-12"/>
        </w:rPr>
        <w:t>Current </w:t>
      </w:r>
      <w:r>
        <w:rPr>
          <w:color w:val="2E614A"/>
          <w:spacing w:val="-2"/>
        </w:rPr>
        <w:t>Framework</w:t>
      </w:r>
    </w:p>
    <w:p>
      <w:pPr>
        <w:pStyle w:val="ListParagraph"/>
        <w:numPr>
          <w:ilvl w:val="1"/>
          <w:numId w:val="70"/>
        </w:numPr>
        <w:tabs>
          <w:tab w:pos="1327" w:val="left" w:leader="none"/>
        </w:tabs>
        <w:spacing w:line="266" w:lineRule="auto" w:before="295" w:after="0"/>
        <w:ind w:left="1080" w:right="0" w:firstLine="0"/>
        <w:jc w:val="both"/>
        <w:rPr>
          <w:sz w:val="22"/>
        </w:rPr>
      </w:pPr>
      <w:r>
        <w:rPr>
          <w:b/>
          <w:spacing w:val="-4"/>
          <w:sz w:val="22"/>
        </w:rPr>
        <w:t>Participation:</w:t>
      </w:r>
      <w:r>
        <w:rPr>
          <w:b/>
          <w:spacing w:val="-10"/>
          <w:sz w:val="22"/>
        </w:rPr>
        <w:t> </w:t>
      </w:r>
      <w:r>
        <w:rPr>
          <w:spacing w:val="-4"/>
          <w:sz w:val="22"/>
        </w:rPr>
        <w:t>The</w:t>
      </w:r>
      <w:r>
        <w:rPr>
          <w:spacing w:val="-10"/>
          <w:sz w:val="22"/>
        </w:rPr>
        <w:t> </w:t>
      </w:r>
      <w:r>
        <w:rPr>
          <w:spacing w:val="-4"/>
          <w:sz w:val="22"/>
        </w:rPr>
        <w:t>Kothari</w:t>
      </w:r>
      <w:r>
        <w:rPr>
          <w:spacing w:val="-10"/>
          <w:sz w:val="22"/>
        </w:rPr>
        <w:t> </w:t>
      </w:r>
      <w:r>
        <w:rPr>
          <w:spacing w:val="-4"/>
          <w:sz w:val="22"/>
        </w:rPr>
        <w:t>Commission </w:t>
      </w:r>
      <w:r>
        <w:rPr>
          <w:spacing w:val="-8"/>
          <w:sz w:val="22"/>
        </w:rPr>
        <w:t>on</w:t>
      </w:r>
      <w:r>
        <w:rPr>
          <w:spacing w:val="-6"/>
          <w:sz w:val="22"/>
        </w:rPr>
        <w:t> </w:t>
      </w:r>
      <w:r>
        <w:rPr>
          <w:spacing w:val="-8"/>
          <w:sz w:val="22"/>
        </w:rPr>
        <w:t>Educational</w:t>
      </w:r>
      <w:r>
        <w:rPr>
          <w:spacing w:val="-6"/>
          <w:sz w:val="22"/>
        </w:rPr>
        <w:t> </w:t>
      </w:r>
      <w:r>
        <w:rPr>
          <w:spacing w:val="-8"/>
          <w:sz w:val="22"/>
        </w:rPr>
        <w:t>Reforms,</w:t>
      </w:r>
      <w:r>
        <w:rPr>
          <w:spacing w:val="-6"/>
          <w:sz w:val="22"/>
        </w:rPr>
        <w:t> </w:t>
      </w:r>
      <w:r>
        <w:rPr>
          <w:spacing w:val="-8"/>
          <w:sz w:val="22"/>
        </w:rPr>
        <w:t>1966</w:t>
      </w:r>
      <w:r>
        <w:rPr>
          <w:spacing w:val="-5"/>
          <w:sz w:val="22"/>
        </w:rPr>
        <w:t> </w:t>
      </w:r>
      <w:r>
        <w:rPr>
          <w:spacing w:val="-8"/>
          <w:sz w:val="22"/>
        </w:rPr>
        <w:t>had</w:t>
      </w:r>
      <w:r>
        <w:rPr>
          <w:spacing w:val="-6"/>
          <w:sz w:val="22"/>
        </w:rPr>
        <w:t> </w:t>
      </w:r>
      <w:r>
        <w:rPr>
          <w:spacing w:val="-8"/>
          <w:sz w:val="22"/>
        </w:rPr>
        <w:t>visualised </w:t>
      </w:r>
      <w:r>
        <w:rPr>
          <w:sz w:val="22"/>
        </w:rPr>
        <w:t>that 25 per cent of the students at the </w:t>
      </w:r>
      <w:r>
        <w:rPr>
          <w:spacing w:val="-4"/>
          <w:sz w:val="22"/>
        </w:rPr>
        <w:t>secondary</w:t>
      </w:r>
      <w:r>
        <w:rPr>
          <w:spacing w:val="-10"/>
          <w:sz w:val="22"/>
        </w:rPr>
        <w:t> </w:t>
      </w:r>
      <w:r>
        <w:rPr>
          <w:spacing w:val="-4"/>
          <w:sz w:val="22"/>
        </w:rPr>
        <w:t>stage</w:t>
      </w:r>
      <w:r>
        <w:rPr>
          <w:spacing w:val="-10"/>
          <w:sz w:val="22"/>
        </w:rPr>
        <w:t> </w:t>
      </w:r>
      <w:r>
        <w:rPr>
          <w:spacing w:val="-4"/>
          <w:sz w:val="22"/>
        </w:rPr>
        <w:t>would</w:t>
      </w:r>
      <w:r>
        <w:rPr>
          <w:spacing w:val="-10"/>
          <w:sz w:val="22"/>
        </w:rPr>
        <w:t> </w:t>
      </w:r>
      <w:r>
        <w:rPr>
          <w:spacing w:val="-4"/>
          <w:sz w:val="22"/>
        </w:rPr>
        <w:t>go</w:t>
      </w:r>
      <w:r>
        <w:rPr>
          <w:spacing w:val="-9"/>
          <w:sz w:val="22"/>
        </w:rPr>
        <w:t> </w:t>
      </w:r>
      <w:r>
        <w:rPr>
          <w:spacing w:val="-4"/>
          <w:sz w:val="22"/>
        </w:rPr>
        <w:t>for</w:t>
      </w:r>
      <w:r>
        <w:rPr>
          <w:spacing w:val="-10"/>
          <w:sz w:val="22"/>
        </w:rPr>
        <w:t> </w:t>
      </w:r>
      <w:r>
        <w:rPr>
          <w:spacing w:val="-4"/>
          <w:sz w:val="22"/>
        </w:rPr>
        <w:t>the</w:t>
      </w:r>
      <w:r>
        <w:rPr>
          <w:spacing w:val="-10"/>
          <w:sz w:val="22"/>
        </w:rPr>
        <w:t> </w:t>
      </w:r>
      <w:r>
        <w:rPr>
          <w:spacing w:val="-4"/>
          <w:sz w:val="22"/>
        </w:rPr>
        <w:t>vocational </w:t>
      </w:r>
      <w:r>
        <w:rPr>
          <w:sz w:val="22"/>
        </w:rPr>
        <w:t>stream.</w:t>
      </w:r>
      <w:r>
        <w:rPr>
          <w:spacing w:val="-14"/>
          <w:sz w:val="22"/>
        </w:rPr>
        <w:t> </w:t>
      </w:r>
      <w:r>
        <w:rPr>
          <w:sz w:val="22"/>
        </w:rPr>
        <w:t>At</w:t>
      </w:r>
      <w:r>
        <w:rPr>
          <w:spacing w:val="-14"/>
          <w:sz w:val="22"/>
        </w:rPr>
        <w:t> </w:t>
      </w:r>
      <w:r>
        <w:rPr>
          <w:sz w:val="22"/>
        </w:rPr>
        <w:t>present</w:t>
      </w:r>
      <w:r>
        <w:rPr>
          <w:spacing w:val="-13"/>
          <w:sz w:val="22"/>
        </w:rPr>
        <w:t> </w:t>
      </w:r>
      <w:r>
        <w:rPr>
          <w:sz w:val="22"/>
        </w:rPr>
        <w:t>only</w:t>
      </w:r>
      <w:r>
        <w:rPr>
          <w:spacing w:val="-14"/>
          <w:sz w:val="22"/>
        </w:rPr>
        <w:t> </w:t>
      </w:r>
      <w:r>
        <w:rPr>
          <w:sz w:val="22"/>
        </w:rPr>
        <w:t>about</w:t>
      </w:r>
      <w:r>
        <w:rPr>
          <w:spacing w:val="-14"/>
          <w:sz w:val="22"/>
        </w:rPr>
        <w:t> </w:t>
      </w:r>
      <w:r>
        <w:rPr>
          <w:sz w:val="22"/>
        </w:rPr>
        <w:t>5</w:t>
      </w:r>
      <w:r>
        <w:rPr>
          <w:spacing w:val="-13"/>
          <w:sz w:val="22"/>
        </w:rPr>
        <w:t> </w:t>
      </w:r>
      <w:r>
        <w:rPr>
          <w:sz w:val="22"/>
        </w:rPr>
        <w:t>per</w:t>
      </w:r>
      <w:r>
        <w:rPr>
          <w:spacing w:val="-14"/>
          <w:sz w:val="22"/>
        </w:rPr>
        <w:t> </w:t>
      </w:r>
      <w:r>
        <w:rPr>
          <w:sz w:val="22"/>
        </w:rPr>
        <w:t>cent</w:t>
      </w:r>
      <w:r>
        <w:rPr>
          <w:spacing w:val="-14"/>
          <w:sz w:val="22"/>
        </w:rPr>
        <w:t> </w:t>
      </w:r>
      <w:r>
        <w:rPr>
          <w:sz w:val="22"/>
        </w:rPr>
        <w:t>of the children of the 16 to 18 age group are </w:t>
      </w:r>
      <w:r>
        <w:rPr>
          <w:spacing w:val="-2"/>
          <w:sz w:val="22"/>
        </w:rPr>
        <w:t>in</w:t>
      </w:r>
      <w:r>
        <w:rPr>
          <w:spacing w:val="-12"/>
          <w:sz w:val="22"/>
        </w:rPr>
        <w:t> </w:t>
      </w:r>
      <w:r>
        <w:rPr>
          <w:spacing w:val="-2"/>
          <w:sz w:val="22"/>
        </w:rPr>
        <w:t>the</w:t>
      </w:r>
      <w:r>
        <w:rPr>
          <w:spacing w:val="-12"/>
          <w:sz w:val="22"/>
        </w:rPr>
        <w:t> </w:t>
      </w:r>
      <w:r>
        <w:rPr>
          <w:spacing w:val="-2"/>
          <w:sz w:val="22"/>
        </w:rPr>
        <w:t>vocational</w:t>
      </w:r>
      <w:r>
        <w:rPr>
          <w:spacing w:val="-12"/>
          <w:sz w:val="22"/>
        </w:rPr>
        <w:t> </w:t>
      </w:r>
      <w:r>
        <w:rPr>
          <w:spacing w:val="-2"/>
          <w:sz w:val="22"/>
        </w:rPr>
        <w:t>stream.</w:t>
      </w:r>
      <w:r>
        <w:rPr>
          <w:spacing w:val="-11"/>
          <w:sz w:val="22"/>
        </w:rPr>
        <w:t> </w:t>
      </w:r>
      <w:r>
        <w:rPr>
          <w:spacing w:val="-2"/>
          <w:sz w:val="22"/>
        </w:rPr>
        <w:t>This</w:t>
      </w:r>
      <w:r>
        <w:rPr>
          <w:spacing w:val="-12"/>
          <w:sz w:val="22"/>
        </w:rPr>
        <w:t> </w:t>
      </w:r>
      <w:r>
        <w:rPr>
          <w:spacing w:val="-2"/>
          <w:sz w:val="22"/>
        </w:rPr>
        <w:t>is</w:t>
      </w:r>
      <w:r>
        <w:rPr>
          <w:spacing w:val="-12"/>
          <w:sz w:val="22"/>
        </w:rPr>
        <w:t> </w:t>
      </w:r>
      <w:r>
        <w:rPr>
          <w:spacing w:val="-2"/>
          <w:sz w:val="22"/>
        </w:rPr>
        <w:t>despite</w:t>
      </w:r>
      <w:r>
        <w:rPr>
          <w:spacing w:val="-12"/>
          <w:sz w:val="22"/>
        </w:rPr>
        <w:t> </w:t>
      </w:r>
      <w:r>
        <w:rPr>
          <w:spacing w:val="-2"/>
          <w:sz w:val="22"/>
        </w:rPr>
        <w:t>the fact</w:t>
      </w:r>
      <w:r>
        <w:rPr>
          <w:spacing w:val="-12"/>
          <w:sz w:val="22"/>
        </w:rPr>
        <w:t> </w:t>
      </w:r>
      <w:r>
        <w:rPr>
          <w:spacing w:val="-2"/>
          <w:sz w:val="22"/>
        </w:rPr>
        <w:t>that</w:t>
      </w:r>
      <w:r>
        <w:rPr>
          <w:spacing w:val="-12"/>
          <w:sz w:val="22"/>
        </w:rPr>
        <w:t> </w:t>
      </w:r>
      <w:r>
        <w:rPr>
          <w:spacing w:val="-2"/>
          <w:sz w:val="22"/>
        </w:rPr>
        <w:t>in</w:t>
      </w:r>
      <w:r>
        <w:rPr>
          <w:spacing w:val="-12"/>
          <w:sz w:val="22"/>
        </w:rPr>
        <w:t> </w:t>
      </w:r>
      <w:r>
        <w:rPr>
          <w:spacing w:val="-2"/>
          <w:sz w:val="22"/>
        </w:rPr>
        <w:t>urban</w:t>
      </w:r>
      <w:r>
        <w:rPr>
          <w:spacing w:val="-11"/>
          <w:sz w:val="22"/>
        </w:rPr>
        <w:t> </w:t>
      </w:r>
      <w:r>
        <w:rPr>
          <w:spacing w:val="-2"/>
          <w:sz w:val="22"/>
        </w:rPr>
        <w:t>areas,</w:t>
      </w:r>
      <w:r>
        <w:rPr>
          <w:spacing w:val="-12"/>
          <w:sz w:val="22"/>
        </w:rPr>
        <w:t> </w:t>
      </w:r>
      <w:r>
        <w:rPr>
          <w:spacing w:val="-2"/>
          <w:sz w:val="22"/>
        </w:rPr>
        <w:t>only</w:t>
      </w:r>
      <w:r>
        <w:rPr>
          <w:spacing w:val="-12"/>
          <w:sz w:val="22"/>
        </w:rPr>
        <w:t> </w:t>
      </w:r>
      <w:r>
        <w:rPr>
          <w:spacing w:val="-2"/>
          <w:sz w:val="22"/>
        </w:rPr>
        <w:t>about</w:t>
      </w:r>
      <w:r>
        <w:rPr>
          <w:spacing w:val="-12"/>
          <w:sz w:val="22"/>
        </w:rPr>
        <w:t> </w:t>
      </w:r>
      <w:r>
        <w:rPr>
          <w:spacing w:val="-2"/>
          <w:sz w:val="22"/>
        </w:rPr>
        <w:t>19.6</w:t>
      </w:r>
      <w:r>
        <w:rPr>
          <w:spacing w:val="-11"/>
          <w:sz w:val="22"/>
        </w:rPr>
        <w:t> </w:t>
      </w:r>
      <w:r>
        <w:rPr>
          <w:spacing w:val="-2"/>
          <w:sz w:val="22"/>
        </w:rPr>
        <w:t>per </w:t>
      </w:r>
      <w:r>
        <w:rPr>
          <w:sz w:val="22"/>
        </w:rPr>
        <w:t>cent of male and 11.2 per cent of female </w:t>
      </w:r>
      <w:r>
        <w:rPr>
          <w:w w:val="90"/>
          <w:sz w:val="22"/>
        </w:rPr>
        <w:t>workers</w:t>
      </w:r>
      <w:r>
        <w:rPr>
          <w:spacing w:val="-3"/>
          <w:w w:val="90"/>
          <w:sz w:val="22"/>
        </w:rPr>
        <w:t> </w:t>
      </w:r>
      <w:r>
        <w:rPr>
          <w:w w:val="90"/>
          <w:sz w:val="22"/>
        </w:rPr>
        <w:t>possessed</w:t>
      </w:r>
      <w:r>
        <w:rPr>
          <w:spacing w:val="-3"/>
          <w:w w:val="90"/>
          <w:sz w:val="22"/>
        </w:rPr>
        <w:t> </w:t>
      </w:r>
      <w:r>
        <w:rPr>
          <w:w w:val="90"/>
          <w:sz w:val="22"/>
        </w:rPr>
        <w:t>marketable</w:t>
      </w:r>
      <w:r>
        <w:rPr>
          <w:spacing w:val="-3"/>
          <w:w w:val="90"/>
          <w:sz w:val="22"/>
        </w:rPr>
        <w:t> </w:t>
      </w:r>
      <w:r>
        <w:rPr>
          <w:w w:val="90"/>
          <w:sz w:val="22"/>
        </w:rPr>
        <w:t>skills,</w:t>
      </w:r>
      <w:r>
        <w:rPr>
          <w:spacing w:val="-3"/>
          <w:w w:val="90"/>
          <w:sz w:val="22"/>
        </w:rPr>
        <w:t> </w:t>
      </w:r>
      <w:r>
        <w:rPr>
          <w:w w:val="90"/>
          <w:sz w:val="22"/>
        </w:rPr>
        <w:t>whereas, </w:t>
      </w:r>
      <w:r>
        <w:rPr>
          <w:spacing w:val="-4"/>
          <w:sz w:val="22"/>
        </w:rPr>
        <w:t>in</w:t>
      </w:r>
      <w:r>
        <w:rPr>
          <w:spacing w:val="-10"/>
          <w:sz w:val="22"/>
        </w:rPr>
        <w:t> </w:t>
      </w:r>
      <w:r>
        <w:rPr>
          <w:spacing w:val="-4"/>
          <w:sz w:val="22"/>
        </w:rPr>
        <w:t>rural</w:t>
      </w:r>
      <w:r>
        <w:rPr>
          <w:spacing w:val="-10"/>
          <w:sz w:val="22"/>
        </w:rPr>
        <w:t> </w:t>
      </w:r>
      <w:r>
        <w:rPr>
          <w:spacing w:val="-4"/>
          <w:sz w:val="22"/>
        </w:rPr>
        <w:t>areas</w:t>
      </w:r>
      <w:r>
        <w:rPr>
          <w:spacing w:val="-10"/>
          <w:sz w:val="22"/>
        </w:rPr>
        <w:t> </w:t>
      </w:r>
      <w:r>
        <w:rPr>
          <w:spacing w:val="-4"/>
          <w:sz w:val="22"/>
        </w:rPr>
        <w:t>only</w:t>
      </w:r>
      <w:r>
        <w:rPr>
          <w:spacing w:val="-9"/>
          <w:sz w:val="22"/>
        </w:rPr>
        <w:t> </w:t>
      </w:r>
      <w:r>
        <w:rPr>
          <w:spacing w:val="-4"/>
          <w:sz w:val="22"/>
        </w:rPr>
        <w:t>about</w:t>
      </w:r>
      <w:r>
        <w:rPr>
          <w:spacing w:val="-10"/>
          <w:sz w:val="22"/>
        </w:rPr>
        <w:t> </w:t>
      </w:r>
      <w:r>
        <w:rPr>
          <w:spacing w:val="-4"/>
          <w:sz w:val="22"/>
        </w:rPr>
        <w:t>10</w:t>
      </w:r>
      <w:r>
        <w:rPr>
          <w:spacing w:val="-10"/>
          <w:sz w:val="22"/>
        </w:rPr>
        <w:t> </w:t>
      </w:r>
      <w:r>
        <w:rPr>
          <w:spacing w:val="-4"/>
          <w:sz w:val="22"/>
        </w:rPr>
        <w:t>per</w:t>
      </w:r>
      <w:r>
        <w:rPr>
          <w:spacing w:val="-10"/>
          <w:sz w:val="22"/>
        </w:rPr>
        <w:t> </w:t>
      </w:r>
      <w:r>
        <w:rPr>
          <w:spacing w:val="-4"/>
          <w:sz w:val="22"/>
        </w:rPr>
        <w:t>cent</w:t>
      </w:r>
      <w:r>
        <w:rPr>
          <w:spacing w:val="-9"/>
          <w:sz w:val="22"/>
        </w:rPr>
        <w:t> </w:t>
      </w:r>
      <w:r>
        <w:rPr>
          <w:spacing w:val="-4"/>
          <w:sz w:val="22"/>
        </w:rPr>
        <w:t>of</w:t>
      </w:r>
      <w:r>
        <w:rPr>
          <w:spacing w:val="-10"/>
          <w:sz w:val="22"/>
        </w:rPr>
        <w:t> </w:t>
      </w:r>
      <w:r>
        <w:rPr>
          <w:spacing w:val="-4"/>
          <w:sz w:val="22"/>
        </w:rPr>
        <w:t>male </w:t>
      </w:r>
      <w:r>
        <w:rPr>
          <w:spacing w:val="-8"/>
          <w:sz w:val="22"/>
        </w:rPr>
        <w:t>and</w:t>
      </w:r>
      <w:r>
        <w:rPr>
          <w:spacing w:val="-6"/>
          <w:sz w:val="22"/>
        </w:rPr>
        <w:t> </w:t>
      </w:r>
      <w:r>
        <w:rPr>
          <w:spacing w:val="-8"/>
          <w:sz w:val="22"/>
        </w:rPr>
        <w:t>6.3</w:t>
      </w:r>
      <w:r>
        <w:rPr>
          <w:spacing w:val="-5"/>
          <w:sz w:val="22"/>
        </w:rPr>
        <w:t> </w:t>
      </w:r>
      <w:r>
        <w:rPr>
          <w:spacing w:val="-8"/>
          <w:sz w:val="22"/>
        </w:rPr>
        <w:t>per</w:t>
      </w:r>
      <w:r>
        <w:rPr>
          <w:spacing w:val="-6"/>
          <w:sz w:val="22"/>
        </w:rPr>
        <w:t> </w:t>
      </w:r>
      <w:r>
        <w:rPr>
          <w:spacing w:val="-8"/>
          <w:sz w:val="22"/>
        </w:rPr>
        <w:t>cent</w:t>
      </w:r>
      <w:r>
        <w:rPr>
          <w:spacing w:val="-5"/>
          <w:sz w:val="22"/>
        </w:rPr>
        <w:t> </w:t>
      </w:r>
      <w:r>
        <w:rPr>
          <w:spacing w:val="-8"/>
          <w:sz w:val="22"/>
        </w:rPr>
        <w:t>of</w:t>
      </w:r>
      <w:r>
        <w:rPr>
          <w:spacing w:val="-6"/>
          <w:sz w:val="22"/>
        </w:rPr>
        <w:t> </w:t>
      </w:r>
      <w:r>
        <w:rPr>
          <w:spacing w:val="-8"/>
          <w:sz w:val="22"/>
        </w:rPr>
        <w:t>female</w:t>
      </w:r>
      <w:r>
        <w:rPr>
          <w:spacing w:val="-5"/>
          <w:sz w:val="22"/>
        </w:rPr>
        <w:t> </w:t>
      </w:r>
      <w:r>
        <w:rPr>
          <w:spacing w:val="-8"/>
          <w:sz w:val="22"/>
        </w:rPr>
        <w:t>workers</w:t>
      </w:r>
      <w:r>
        <w:rPr>
          <w:spacing w:val="-6"/>
          <w:sz w:val="22"/>
        </w:rPr>
        <w:t> </w:t>
      </w:r>
      <w:r>
        <w:rPr>
          <w:spacing w:val="-8"/>
          <w:sz w:val="22"/>
        </w:rPr>
        <w:t>possessed </w:t>
      </w:r>
      <w:r>
        <w:rPr>
          <w:spacing w:val="-6"/>
          <w:sz w:val="22"/>
        </w:rPr>
        <w:t>marketable</w:t>
      </w:r>
      <w:r>
        <w:rPr>
          <w:spacing w:val="-8"/>
          <w:sz w:val="22"/>
        </w:rPr>
        <w:t> </w:t>
      </w:r>
      <w:r>
        <w:rPr>
          <w:spacing w:val="-6"/>
          <w:sz w:val="22"/>
        </w:rPr>
        <w:t>skills.</w:t>
      </w:r>
      <w:r>
        <w:rPr>
          <w:spacing w:val="-8"/>
          <w:sz w:val="22"/>
        </w:rPr>
        <w:t> </w:t>
      </w:r>
      <w:r>
        <w:rPr>
          <w:spacing w:val="-6"/>
          <w:sz w:val="22"/>
        </w:rPr>
        <w:t>This</w:t>
      </w:r>
      <w:r>
        <w:rPr>
          <w:spacing w:val="-3"/>
          <w:sz w:val="22"/>
        </w:rPr>
        <w:t> </w:t>
      </w:r>
      <w:r>
        <w:rPr>
          <w:spacing w:val="-6"/>
          <w:sz w:val="22"/>
        </w:rPr>
        <w:t>figure is far higher in </w:t>
      </w:r>
      <w:r>
        <w:rPr>
          <w:spacing w:val="-2"/>
          <w:sz w:val="22"/>
        </w:rPr>
        <w:t>developed</w:t>
      </w:r>
      <w:r>
        <w:rPr>
          <w:spacing w:val="-12"/>
          <w:sz w:val="22"/>
        </w:rPr>
        <w:t> </w:t>
      </w:r>
      <w:r>
        <w:rPr>
          <w:spacing w:val="-2"/>
          <w:sz w:val="22"/>
        </w:rPr>
        <w:t>even</w:t>
      </w:r>
      <w:r>
        <w:rPr>
          <w:spacing w:val="-12"/>
          <w:sz w:val="22"/>
        </w:rPr>
        <w:t> </w:t>
      </w:r>
      <w:r>
        <w:rPr>
          <w:spacing w:val="-2"/>
          <w:sz w:val="22"/>
        </w:rPr>
        <w:t>developing</w:t>
      </w:r>
      <w:r>
        <w:rPr>
          <w:spacing w:val="-12"/>
          <w:sz w:val="22"/>
        </w:rPr>
        <w:t> </w:t>
      </w:r>
      <w:r>
        <w:rPr>
          <w:spacing w:val="-2"/>
          <w:sz w:val="22"/>
        </w:rPr>
        <w:t>countries</w:t>
      </w:r>
    </w:p>
    <w:p>
      <w:pPr>
        <w:pStyle w:val="BodyText"/>
        <w:spacing w:before="15"/>
      </w:pPr>
    </w:p>
    <w:p>
      <w:pPr>
        <w:pStyle w:val="ListParagraph"/>
        <w:numPr>
          <w:ilvl w:val="1"/>
          <w:numId w:val="70"/>
        </w:numPr>
        <w:tabs>
          <w:tab w:pos="1408" w:val="left" w:leader="none"/>
        </w:tabs>
        <w:spacing w:line="266" w:lineRule="auto" w:before="0" w:after="0"/>
        <w:ind w:left="1079" w:right="0" w:firstLine="0"/>
        <w:jc w:val="both"/>
        <w:rPr>
          <w:sz w:val="22"/>
        </w:rPr>
      </w:pPr>
      <w:r>
        <w:rPr>
          <w:b/>
          <w:sz w:val="22"/>
        </w:rPr>
        <w:t>Capacity utilisation: </w:t>
      </w:r>
      <w:r>
        <w:rPr>
          <w:sz w:val="22"/>
        </w:rPr>
        <w:t>There is </w:t>
      </w:r>
      <w:r>
        <w:rPr>
          <w:sz w:val="22"/>
        </w:rPr>
        <w:t>little capacity</w:t>
      </w:r>
      <w:r>
        <w:rPr>
          <w:spacing w:val="-7"/>
          <w:sz w:val="22"/>
        </w:rPr>
        <w:t> </w:t>
      </w:r>
      <w:r>
        <w:rPr>
          <w:sz w:val="22"/>
        </w:rPr>
        <w:t>in</w:t>
      </w:r>
      <w:r>
        <w:rPr>
          <w:spacing w:val="-7"/>
          <w:sz w:val="22"/>
        </w:rPr>
        <w:t> </w:t>
      </w:r>
      <w:r>
        <w:rPr>
          <w:sz w:val="22"/>
        </w:rPr>
        <w:t>vocational</w:t>
      </w:r>
      <w:r>
        <w:rPr>
          <w:spacing w:val="-7"/>
          <w:sz w:val="22"/>
        </w:rPr>
        <w:t> </w:t>
      </w:r>
      <w:r>
        <w:rPr>
          <w:sz w:val="22"/>
        </w:rPr>
        <w:t>education</w:t>
      </w:r>
      <w:r>
        <w:rPr>
          <w:spacing w:val="-7"/>
          <w:sz w:val="22"/>
        </w:rPr>
        <w:t> </w:t>
      </w:r>
      <w:r>
        <w:rPr>
          <w:sz w:val="22"/>
        </w:rPr>
        <w:t>and</w:t>
      </w:r>
      <w:r>
        <w:rPr>
          <w:spacing w:val="-7"/>
          <w:sz w:val="22"/>
        </w:rPr>
        <w:t> </w:t>
      </w:r>
      <w:r>
        <w:rPr>
          <w:sz w:val="22"/>
        </w:rPr>
        <w:t>even that is under-utilised. Only 6,800 schools </w:t>
      </w:r>
      <w:r>
        <w:rPr>
          <w:spacing w:val="-6"/>
          <w:sz w:val="22"/>
        </w:rPr>
        <w:t>have received grants and the total enrolment </w:t>
      </w:r>
      <w:r>
        <w:rPr>
          <w:sz w:val="22"/>
        </w:rPr>
        <w:t>reported is only about 5 per cent at most. More</w:t>
      </w:r>
      <w:r>
        <w:rPr>
          <w:spacing w:val="-4"/>
          <w:sz w:val="22"/>
        </w:rPr>
        <w:t> </w:t>
      </w:r>
      <w:r>
        <w:rPr>
          <w:sz w:val="22"/>
        </w:rPr>
        <w:t>recent</w:t>
      </w:r>
      <w:r>
        <w:rPr>
          <w:spacing w:val="-4"/>
          <w:sz w:val="22"/>
        </w:rPr>
        <w:t> </w:t>
      </w:r>
      <w:r>
        <w:rPr>
          <w:sz w:val="22"/>
        </w:rPr>
        <w:t>information</w:t>
      </w:r>
      <w:r>
        <w:rPr>
          <w:spacing w:val="-4"/>
          <w:sz w:val="22"/>
        </w:rPr>
        <w:t> </w:t>
      </w:r>
      <w:r>
        <w:rPr>
          <w:sz w:val="22"/>
        </w:rPr>
        <w:t>suggests</w:t>
      </w:r>
      <w:r>
        <w:rPr>
          <w:spacing w:val="-4"/>
          <w:sz w:val="22"/>
        </w:rPr>
        <w:t> </w:t>
      </w:r>
      <w:r>
        <w:rPr>
          <w:sz w:val="22"/>
        </w:rPr>
        <w:t>that</w:t>
      </w:r>
      <w:r>
        <w:rPr>
          <w:spacing w:val="-4"/>
          <w:sz w:val="22"/>
        </w:rPr>
        <w:t> </w:t>
      </w:r>
      <w:r>
        <w:rPr>
          <w:sz w:val="22"/>
        </w:rPr>
        <w:t>the enrolment</w:t>
      </w:r>
      <w:r>
        <w:rPr>
          <w:spacing w:val="-14"/>
          <w:sz w:val="22"/>
        </w:rPr>
        <w:t> </w:t>
      </w:r>
      <w:r>
        <w:rPr>
          <w:sz w:val="22"/>
        </w:rPr>
        <w:t>figure</w:t>
      </w:r>
      <w:r>
        <w:rPr>
          <w:spacing w:val="-14"/>
          <w:sz w:val="22"/>
        </w:rPr>
        <w:t> </w:t>
      </w:r>
      <w:r>
        <w:rPr>
          <w:sz w:val="22"/>
        </w:rPr>
        <w:t>is</w:t>
      </w:r>
      <w:r>
        <w:rPr>
          <w:spacing w:val="-13"/>
          <w:sz w:val="22"/>
        </w:rPr>
        <w:t> </w:t>
      </w:r>
      <w:r>
        <w:rPr>
          <w:sz w:val="22"/>
        </w:rPr>
        <w:t>less</w:t>
      </w:r>
      <w:r>
        <w:rPr>
          <w:spacing w:val="-14"/>
          <w:sz w:val="22"/>
        </w:rPr>
        <w:t> </w:t>
      </w:r>
      <w:r>
        <w:rPr>
          <w:sz w:val="22"/>
        </w:rPr>
        <w:t>than</w:t>
      </w:r>
      <w:r>
        <w:rPr>
          <w:spacing w:val="-14"/>
          <w:sz w:val="22"/>
        </w:rPr>
        <w:t> </w:t>
      </w:r>
      <w:r>
        <w:rPr>
          <w:sz w:val="22"/>
        </w:rPr>
        <w:t>three</w:t>
      </w:r>
      <w:r>
        <w:rPr>
          <w:spacing w:val="-13"/>
          <w:sz w:val="22"/>
        </w:rPr>
        <w:t> </w:t>
      </w:r>
      <w:r>
        <w:rPr>
          <w:sz w:val="22"/>
        </w:rPr>
        <w:t>per</w:t>
      </w:r>
      <w:r>
        <w:rPr>
          <w:spacing w:val="-14"/>
          <w:sz w:val="22"/>
        </w:rPr>
        <w:t> </w:t>
      </w:r>
      <w:r>
        <w:rPr>
          <w:sz w:val="22"/>
        </w:rPr>
        <w:t>cent of the students attending Grades 11-12. </w:t>
      </w:r>
      <w:r>
        <w:rPr>
          <w:spacing w:val="-6"/>
          <w:sz w:val="22"/>
        </w:rPr>
        <w:t>The weighted average capacity utilisation of </w:t>
      </w:r>
      <w:r>
        <w:rPr>
          <w:spacing w:val="-2"/>
          <w:sz w:val="22"/>
        </w:rPr>
        <w:t>the</w:t>
      </w:r>
      <w:r>
        <w:rPr>
          <w:spacing w:val="-12"/>
          <w:sz w:val="22"/>
        </w:rPr>
        <w:t> </w:t>
      </w:r>
      <w:r>
        <w:rPr>
          <w:spacing w:val="-2"/>
          <w:sz w:val="22"/>
        </w:rPr>
        <w:t>schools</w:t>
      </w:r>
      <w:r>
        <w:rPr>
          <w:spacing w:val="-12"/>
          <w:sz w:val="22"/>
        </w:rPr>
        <w:t> </w:t>
      </w:r>
      <w:r>
        <w:rPr>
          <w:spacing w:val="-2"/>
          <w:sz w:val="22"/>
        </w:rPr>
        <w:t>receiving</w:t>
      </w:r>
      <w:r>
        <w:rPr>
          <w:spacing w:val="-11"/>
          <w:sz w:val="22"/>
        </w:rPr>
        <w:t> </w:t>
      </w:r>
      <w:r>
        <w:rPr>
          <w:spacing w:val="-2"/>
          <w:sz w:val="22"/>
        </w:rPr>
        <w:t>grants</w:t>
      </w:r>
      <w:r>
        <w:rPr>
          <w:spacing w:val="-12"/>
          <w:sz w:val="22"/>
        </w:rPr>
        <w:t> </w:t>
      </w:r>
      <w:r>
        <w:rPr>
          <w:spacing w:val="-2"/>
          <w:sz w:val="22"/>
        </w:rPr>
        <w:t>is</w:t>
      </w:r>
      <w:r>
        <w:rPr>
          <w:spacing w:val="-12"/>
          <w:sz w:val="22"/>
        </w:rPr>
        <w:t> </w:t>
      </w:r>
      <w:r>
        <w:rPr>
          <w:spacing w:val="-2"/>
          <w:sz w:val="22"/>
        </w:rPr>
        <w:t>about</w:t>
      </w:r>
      <w:r>
        <w:rPr>
          <w:spacing w:val="-11"/>
          <w:sz w:val="22"/>
        </w:rPr>
        <w:t> </w:t>
      </w:r>
      <w:r>
        <w:rPr>
          <w:spacing w:val="-2"/>
          <w:sz w:val="22"/>
        </w:rPr>
        <w:t>42</w:t>
      </w:r>
      <w:r>
        <w:rPr>
          <w:spacing w:val="-12"/>
          <w:sz w:val="22"/>
        </w:rPr>
        <w:t> </w:t>
      </w:r>
      <w:r>
        <w:rPr>
          <w:spacing w:val="-2"/>
          <w:sz w:val="22"/>
        </w:rPr>
        <w:t>per </w:t>
      </w:r>
      <w:r>
        <w:rPr>
          <w:sz w:val="22"/>
        </w:rPr>
        <w:t>cent.</w:t>
      </w:r>
      <w:r>
        <w:rPr>
          <w:spacing w:val="-14"/>
          <w:sz w:val="22"/>
        </w:rPr>
        <w:t> </w:t>
      </w:r>
      <w:r>
        <w:rPr>
          <w:sz w:val="22"/>
        </w:rPr>
        <w:t>This</w:t>
      </w:r>
      <w:r>
        <w:rPr>
          <w:spacing w:val="-14"/>
          <w:sz w:val="22"/>
        </w:rPr>
        <w:t> </w:t>
      </w:r>
      <w:r>
        <w:rPr>
          <w:sz w:val="22"/>
        </w:rPr>
        <w:t>implies</w:t>
      </w:r>
      <w:r>
        <w:rPr>
          <w:spacing w:val="-14"/>
          <w:sz w:val="22"/>
        </w:rPr>
        <w:t> </w:t>
      </w:r>
      <w:r>
        <w:rPr>
          <w:sz w:val="22"/>
        </w:rPr>
        <w:t>that</w:t>
      </w:r>
      <w:r>
        <w:rPr>
          <w:spacing w:val="-13"/>
          <w:sz w:val="22"/>
        </w:rPr>
        <w:t> </w:t>
      </w:r>
      <w:r>
        <w:rPr>
          <w:sz w:val="22"/>
        </w:rPr>
        <w:t>between</w:t>
      </w:r>
      <w:r>
        <w:rPr>
          <w:spacing w:val="-14"/>
          <w:sz w:val="22"/>
        </w:rPr>
        <w:t> </w:t>
      </w:r>
      <w:r>
        <w:rPr>
          <w:sz w:val="22"/>
        </w:rPr>
        <w:t>350,000</w:t>
      </w:r>
      <w:r>
        <w:rPr>
          <w:spacing w:val="-14"/>
          <w:sz w:val="22"/>
        </w:rPr>
        <w:t> </w:t>
      </w:r>
      <w:r>
        <w:rPr>
          <w:sz w:val="22"/>
        </w:rPr>
        <w:t>to </w:t>
      </w:r>
      <w:r>
        <w:rPr>
          <w:spacing w:val="-2"/>
          <w:sz w:val="22"/>
        </w:rPr>
        <w:t>400,000</w:t>
      </w:r>
      <w:r>
        <w:rPr>
          <w:spacing w:val="-12"/>
          <w:sz w:val="22"/>
        </w:rPr>
        <w:t> </w:t>
      </w:r>
      <w:r>
        <w:rPr>
          <w:spacing w:val="-2"/>
          <w:sz w:val="22"/>
        </w:rPr>
        <w:t>students</w:t>
      </w:r>
      <w:r>
        <w:rPr>
          <w:spacing w:val="-12"/>
          <w:sz w:val="22"/>
        </w:rPr>
        <w:t> </w:t>
      </w:r>
      <w:r>
        <w:rPr>
          <w:spacing w:val="-2"/>
          <w:sz w:val="22"/>
        </w:rPr>
        <w:t>are</w:t>
      </w:r>
      <w:r>
        <w:rPr>
          <w:spacing w:val="-12"/>
          <w:sz w:val="22"/>
        </w:rPr>
        <w:t> </w:t>
      </w:r>
      <w:r>
        <w:rPr>
          <w:spacing w:val="-2"/>
          <w:sz w:val="22"/>
        </w:rPr>
        <w:t>enrolled</w:t>
      </w:r>
      <w:r>
        <w:rPr>
          <w:spacing w:val="-11"/>
          <w:sz w:val="22"/>
        </w:rPr>
        <w:t> </w:t>
      </w:r>
      <w:r>
        <w:rPr>
          <w:spacing w:val="-2"/>
          <w:sz w:val="22"/>
        </w:rPr>
        <w:t>in</w:t>
      </w:r>
      <w:r>
        <w:rPr>
          <w:spacing w:val="-12"/>
          <w:sz w:val="22"/>
        </w:rPr>
        <w:t> </w:t>
      </w:r>
      <w:r>
        <w:rPr>
          <w:spacing w:val="-2"/>
          <w:sz w:val="22"/>
        </w:rPr>
        <w:t>vocational </w:t>
      </w:r>
      <w:r>
        <w:rPr>
          <w:sz w:val="22"/>
        </w:rPr>
        <w:t>education, which works out to less than three per cent of the 14 million students or more in Grades 11 and 12, implying that</w:t>
      </w:r>
      <w:r>
        <w:rPr>
          <w:spacing w:val="-10"/>
          <w:sz w:val="22"/>
        </w:rPr>
        <w:t> </w:t>
      </w:r>
      <w:r>
        <w:rPr>
          <w:sz w:val="22"/>
        </w:rPr>
        <w:t>less</w:t>
      </w:r>
      <w:r>
        <w:rPr>
          <w:spacing w:val="-10"/>
          <w:sz w:val="22"/>
        </w:rPr>
        <w:t> </w:t>
      </w:r>
      <w:r>
        <w:rPr>
          <w:sz w:val="22"/>
        </w:rPr>
        <w:t>than</w:t>
      </w:r>
      <w:r>
        <w:rPr>
          <w:spacing w:val="-10"/>
          <w:sz w:val="22"/>
        </w:rPr>
        <w:t> </w:t>
      </w:r>
      <w:r>
        <w:rPr>
          <w:sz w:val="22"/>
        </w:rPr>
        <w:t>one</w:t>
      </w:r>
      <w:r>
        <w:rPr>
          <w:spacing w:val="-10"/>
          <w:sz w:val="22"/>
        </w:rPr>
        <w:t> </w:t>
      </w:r>
      <w:r>
        <w:rPr>
          <w:sz w:val="22"/>
        </w:rPr>
        <w:t>per</w:t>
      </w:r>
      <w:r>
        <w:rPr>
          <w:spacing w:val="-10"/>
          <w:sz w:val="22"/>
        </w:rPr>
        <w:t> </w:t>
      </w:r>
      <w:r>
        <w:rPr>
          <w:sz w:val="22"/>
        </w:rPr>
        <w:t>cent</w:t>
      </w:r>
      <w:r>
        <w:rPr>
          <w:spacing w:val="-10"/>
          <w:sz w:val="22"/>
        </w:rPr>
        <w:t> </w:t>
      </w:r>
      <w:r>
        <w:rPr>
          <w:sz w:val="22"/>
        </w:rPr>
        <w:t>of</w:t>
      </w:r>
      <w:r>
        <w:rPr>
          <w:spacing w:val="-10"/>
          <w:sz w:val="22"/>
        </w:rPr>
        <w:t> </w:t>
      </w:r>
      <w:r>
        <w:rPr>
          <w:sz w:val="22"/>
        </w:rPr>
        <w:t>students</w:t>
      </w:r>
      <w:r>
        <w:rPr>
          <w:spacing w:val="-10"/>
          <w:sz w:val="22"/>
        </w:rPr>
        <w:t> </w:t>
      </w:r>
      <w:r>
        <w:rPr>
          <w:sz w:val="22"/>
        </w:rPr>
        <w:t>who had entered Grade 1 over the last decade or so would have eventually participated in vocational education. It is also widely </w:t>
      </w:r>
      <w:r>
        <w:rPr>
          <w:spacing w:val="-2"/>
          <w:sz w:val="22"/>
        </w:rPr>
        <w:t>recognised</w:t>
      </w:r>
      <w:r>
        <w:rPr>
          <w:spacing w:val="-12"/>
          <w:sz w:val="22"/>
        </w:rPr>
        <w:t> </w:t>
      </w:r>
      <w:r>
        <w:rPr>
          <w:spacing w:val="-2"/>
          <w:sz w:val="22"/>
        </w:rPr>
        <w:t>that</w:t>
      </w:r>
      <w:r>
        <w:rPr>
          <w:spacing w:val="-12"/>
          <w:sz w:val="22"/>
        </w:rPr>
        <w:t> </w:t>
      </w:r>
      <w:r>
        <w:rPr>
          <w:spacing w:val="-2"/>
          <w:sz w:val="22"/>
        </w:rPr>
        <w:t>existing</w:t>
      </w:r>
      <w:r>
        <w:rPr>
          <w:spacing w:val="-12"/>
          <w:sz w:val="22"/>
        </w:rPr>
        <w:t> </w:t>
      </w:r>
      <w:r>
        <w:rPr>
          <w:spacing w:val="-2"/>
          <w:sz w:val="22"/>
        </w:rPr>
        <w:t>student</w:t>
      </w:r>
      <w:r>
        <w:rPr>
          <w:spacing w:val="-11"/>
          <w:sz w:val="22"/>
        </w:rPr>
        <w:t> </w:t>
      </w:r>
      <w:r>
        <w:rPr>
          <w:spacing w:val="-2"/>
          <w:sz w:val="22"/>
        </w:rPr>
        <w:t>capacity</w:t>
      </w:r>
      <w:r>
        <w:rPr>
          <w:spacing w:val="-12"/>
          <w:sz w:val="22"/>
        </w:rPr>
        <w:t> </w:t>
      </w:r>
      <w:r>
        <w:rPr>
          <w:spacing w:val="-2"/>
          <w:sz w:val="22"/>
        </w:rPr>
        <w:t>in </w:t>
      </w:r>
      <w:r>
        <w:rPr>
          <w:sz w:val="22"/>
        </w:rPr>
        <w:t>ITIs/ITCs largely goes unutilised.</w:t>
      </w:r>
    </w:p>
    <w:p>
      <w:pPr>
        <w:pStyle w:val="BodyText"/>
        <w:spacing w:before="10"/>
      </w:pPr>
    </w:p>
    <w:p>
      <w:pPr>
        <w:pStyle w:val="ListParagraph"/>
        <w:numPr>
          <w:ilvl w:val="1"/>
          <w:numId w:val="70"/>
        </w:numPr>
        <w:tabs>
          <w:tab w:pos="1427" w:val="left" w:leader="none"/>
        </w:tabs>
        <w:spacing w:line="266" w:lineRule="auto" w:before="1" w:after="0"/>
        <w:ind w:left="1079" w:right="0" w:firstLine="0"/>
        <w:jc w:val="both"/>
        <w:rPr>
          <w:sz w:val="22"/>
        </w:rPr>
      </w:pPr>
      <w:r>
        <w:rPr>
          <w:b/>
          <w:sz w:val="22"/>
        </w:rPr>
        <w:t>Flexibility: </w:t>
      </w:r>
      <w:r>
        <w:rPr>
          <w:sz w:val="22"/>
        </w:rPr>
        <w:t>The current </w:t>
      </w:r>
      <w:r>
        <w:rPr>
          <w:sz w:val="22"/>
        </w:rPr>
        <w:t>framework </w:t>
      </w:r>
      <w:r>
        <w:rPr>
          <w:spacing w:val="-2"/>
          <w:sz w:val="22"/>
        </w:rPr>
        <w:t>requires</w:t>
      </w:r>
      <w:r>
        <w:rPr>
          <w:spacing w:val="24"/>
          <w:sz w:val="22"/>
        </w:rPr>
        <w:t> </w:t>
      </w:r>
      <w:r>
        <w:rPr>
          <w:spacing w:val="-2"/>
          <w:sz w:val="22"/>
        </w:rPr>
        <w:t>minimum</w:t>
      </w:r>
      <w:r>
        <w:rPr>
          <w:spacing w:val="24"/>
          <w:sz w:val="22"/>
        </w:rPr>
        <w:t> </w:t>
      </w:r>
      <w:r>
        <w:rPr>
          <w:spacing w:val="-2"/>
          <w:sz w:val="22"/>
        </w:rPr>
        <w:t>qualifications,</w:t>
      </w:r>
      <w:r>
        <w:rPr>
          <w:spacing w:val="24"/>
          <w:sz w:val="22"/>
        </w:rPr>
        <w:t> </w:t>
      </w:r>
      <w:r>
        <w:rPr>
          <w:spacing w:val="-2"/>
          <w:sz w:val="22"/>
        </w:rPr>
        <w:t>varying</w:t>
      </w:r>
    </w:p>
    <w:p>
      <w:pPr>
        <w:pStyle w:val="Heading8"/>
        <w:spacing w:before="68"/>
        <w:ind w:left="242"/>
      </w:pPr>
      <w:r>
        <w:rPr>
          <w:b w:val="0"/>
        </w:rPr>
        <w:br w:type="column"/>
      </w:r>
      <w:r>
        <w:rPr>
          <w:w w:val="90"/>
        </w:rPr>
        <w:t>Figure</w:t>
      </w:r>
      <w:r>
        <w:rPr>
          <w:spacing w:val="3"/>
        </w:rPr>
        <w:t> </w:t>
      </w:r>
      <w:r>
        <w:rPr>
          <w:w w:val="90"/>
        </w:rPr>
        <w:t>10:</w:t>
      </w:r>
      <w:r>
        <w:rPr>
          <w:spacing w:val="4"/>
        </w:rPr>
        <w:t> </w:t>
      </w:r>
      <w:r>
        <w:rPr>
          <w:color w:val="2E614A"/>
          <w:w w:val="90"/>
        </w:rPr>
        <w:t>Status</w:t>
      </w:r>
      <w:r>
        <w:rPr>
          <w:color w:val="2E614A"/>
          <w:spacing w:val="3"/>
        </w:rPr>
        <w:t> </w:t>
      </w:r>
      <w:r>
        <w:rPr>
          <w:color w:val="2E614A"/>
          <w:w w:val="90"/>
        </w:rPr>
        <w:t>of</w:t>
      </w:r>
      <w:r>
        <w:rPr>
          <w:color w:val="2E614A"/>
          <w:spacing w:val="-6"/>
        </w:rPr>
        <w:t> </w:t>
      </w:r>
      <w:r>
        <w:rPr>
          <w:color w:val="2E614A"/>
          <w:w w:val="90"/>
        </w:rPr>
        <w:t>Vocational</w:t>
      </w:r>
      <w:r>
        <w:rPr>
          <w:color w:val="2E614A"/>
          <w:spacing w:val="4"/>
        </w:rPr>
        <w:t> </w:t>
      </w:r>
      <w:r>
        <w:rPr>
          <w:color w:val="2E614A"/>
          <w:w w:val="90"/>
        </w:rPr>
        <w:t>Education</w:t>
      </w:r>
      <w:r>
        <w:rPr>
          <w:color w:val="2E614A"/>
          <w:spacing w:val="3"/>
        </w:rPr>
        <w:t> </w:t>
      </w:r>
      <w:r>
        <w:rPr>
          <w:color w:val="2E614A"/>
          <w:w w:val="90"/>
        </w:rPr>
        <w:t>and</w:t>
      </w:r>
      <w:r>
        <w:rPr>
          <w:color w:val="2E614A"/>
          <w:spacing w:val="12"/>
        </w:rPr>
        <w:t> </w:t>
      </w:r>
      <w:r>
        <w:rPr>
          <w:color w:val="2E614A"/>
          <w:w w:val="90"/>
        </w:rPr>
        <w:t>Training</w:t>
      </w:r>
      <w:r>
        <w:rPr>
          <w:color w:val="2E614A"/>
          <w:spacing w:val="4"/>
        </w:rPr>
        <w:t> </w:t>
      </w:r>
      <w:r>
        <w:rPr>
          <w:color w:val="2E614A"/>
          <w:spacing w:val="-2"/>
          <w:w w:val="90"/>
        </w:rPr>
        <w:t>(VET)</w:t>
      </w:r>
    </w:p>
    <w:p>
      <w:pPr>
        <w:pStyle w:val="BodyText"/>
        <w:spacing w:before="4"/>
        <w:rPr>
          <w:b/>
          <w:sz w:val="5"/>
        </w:rPr>
      </w:pPr>
    </w:p>
    <w:p>
      <w:pPr>
        <w:pStyle w:val="BodyText"/>
        <w:ind w:left="247"/>
        <w:rPr>
          <w:sz w:val="20"/>
        </w:rPr>
      </w:pPr>
      <w:r>
        <w:rPr>
          <w:sz w:val="20"/>
        </w:rPr>
        <mc:AlternateContent>
          <mc:Choice Requires="wps">
            <w:drawing>
              <wp:inline distT="0" distB="0" distL="0" distR="0">
                <wp:extent cx="3888104" cy="3039110"/>
                <wp:effectExtent l="9525" t="0" r="0" b="8889"/>
                <wp:docPr id="1261" name="Group 1261"/>
                <wp:cNvGraphicFramePr>
                  <a:graphicFrameLocks/>
                </wp:cNvGraphicFramePr>
                <a:graphic>
                  <a:graphicData uri="http://schemas.microsoft.com/office/word/2010/wordprocessingGroup">
                    <wpg:wgp>
                      <wpg:cNvPr id="1261" name="Group 1261"/>
                      <wpg:cNvGrpSpPr/>
                      <wpg:grpSpPr>
                        <a:xfrm>
                          <a:off x="0" y="0"/>
                          <a:ext cx="3888104" cy="3039110"/>
                          <a:chExt cx="3888104" cy="3039110"/>
                        </a:xfrm>
                      </wpg:grpSpPr>
                      <wps:wsp>
                        <wps:cNvPr id="1262" name="Graphic 1262"/>
                        <wps:cNvSpPr/>
                        <wps:spPr>
                          <a:xfrm>
                            <a:off x="-9" y="0"/>
                            <a:ext cx="3888104" cy="3039110"/>
                          </a:xfrm>
                          <a:custGeom>
                            <a:avLst/>
                            <a:gdLst/>
                            <a:ahLst/>
                            <a:cxnLst/>
                            <a:rect l="l" t="t" r="r" b="b"/>
                            <a:pathLst>
                              <a:path w="3888104" h="3039110">
                                <a:moveTo>
                                  <a:pt x="3887952" y="0"/>
                                </a:moveTo>
                                <a:lnTo>
                                  <a:pt x="3881602" y="0"/>
                                </a:lnTo>
                                <a:lnTo>
                                  <a:pt x="3881602" y="6807"/>
                                </a:lnTo>
                                <a:lnTo>
                                  <a:pt x="3881602" y="3032658"/>
                                </a:lnTo>
                                <a:lnTo>
                                  <a:pt x="6350" y="3032658"/>
                                </a:lnTo>
                                <a:lnTo>
                                  <a:pt x="6350" y="6807"/>
                                </a:lnTo>
                                <a:lnTo>
                                  <a:pt x="3881602" y="6807"/>
                                </a:lnTo>
                                <a:lnTo>
                                  <a:pt x="3881602" y="0"/>
                                </a:lnTo>
                                <a:lnTo>
                                  <a:pt x="0" y="0"/>
                                </a:lnTo>
                                <a:lnTo>
                                  <a:pt x="0" y="3810"/>
                                </a:lnTo>
                                <a:lnTo>
                                  <a:pt x="0" y="6350"/>
                                </a:lnTo>
                                <a:lnTo>
                                  <a:pt x="0" y="3032760"/>
                                </a:lnTo>
                                <a:lnTo>
                                  <a:pt x="0" y="3035300"/>
                                </a:lnTo>
                                <a:lnTo>
                                  <a:pt x="0" y="3039110"/>
                                </a:lnTo>
                                <a:lnTo>
                                  <a:pt x="3887952" y="3039110"/>
                                </a:lnTo>
                                <a:lnTo>
                                  <a:pt x="3887952" y="3632"/>
                                </a:lnTo>
                                <a:lnTo>
                                  <a:pt x="3887952" y="0"/>
                                </a:lnTo>
                                <a:close/>
                              </a:path>
                            </a:pathLst>
                          </a:custGeom>
                          <a:solidFill>
                            <a:srgbClr val="000000"/>
                          </a:solidFill>
                        </wps:spPr>
                        <wps:bodyPr wrap="square" lIns="0" tIns="0" rIns="0" bIns="0" rtlCol="0">
                          <a:prstTxWarp prst="textNoShape">
                            <a:avLst/>
                          </a:prstTxWarp>
                          <a:noAutofit/>
                        </wps:bodyPr>
                      </wps:wsp>
                      <wps:wsp>
                        <wps:cNvPr id="1263" name="Graphic 1263"/>
                        <wps:cNvSpPr/>
                        <wps:spPr>
                          <a:xfrm>
                            <a:off x="307000" y="197403"/>
                            <a:ext cx="114300" cy="104775"/>
                          </a:xfrm>
                          <a:custGeom>
                            <a:avLst/>
                            <a:gdLst/>
                            <a:ahLst/>
                            <a:cxnLst/>
                            <a:rect l="l" t="t" r="r" b="b"/>
                            <a:pathLst>
                              <a:path w="114300" h="104775">
                                <a:moveTo>
                                  <a:pt x="114300" y="0"/>
                                </a:moveTo>
                                <a:lnTo>
                                  <a:pt x="0" y="0"/>
                                </a:lnTo>
                                <a:lnTo>
                                  <a:pt x="0" y="104775"/>
                                </a:lnTo>
                                <a:lnTo>
                                  <a:pt x="114300" y="104775"/>
                                </a:lnTo>
                                <a:lnTo>
                                  <a:pt x="114300" y="0"/>
                                </a:lnTo>
                                <a:close/>
                              </a:path>
                            </a:pathLst>
                          </a:custGeom>
                          <a:solidFill>
                            <a:srgbClr val="E3C626"/>
                          </a:solidFill>
                        </wps:spPr>
                        <wps:bodyPr wrap="square" lIns="0" tIns="0" rIns="0" bIns="0" rtlCol="0">
                          <a:prstTxWarp prst="textNoShape">
                            <a:avLst/>
                          </a:prstTxWarp>
                          <a:noAutofit/>
                        </wps:bodyPr>
                      </wps:wsp>
                      <wps:wsp>
                        <wps:cNvPr id="1264" name="Graphic 1264"/>
                        <wps:cNvSpPr/>
                        <wps:spPr>
                          <a:xfrm>
                            <a:off x="764200" y="197403"/>
                            <a:ext cx="114300" cy="104775"/>
                          </a:xfrm>
                          <a:custGeom>
                            <a:avLst/>
                            <a:gdLst/>
                            <a:ahLst/>
                            <a:cxnLst/>
                            <a:rect l="l" t="t" r="r" b="b"/>
                            <a:pathLst>
                              <a:path w="114300" h="104775">
                                <a:moveTo>
                                  <a:pt x="114300" y="0"/>
                                </a:moveTo>
                                <a:lnTo>
                                  <a:pt x="0" y="0"/>
                                </a:lnTo>
                                <a:lnTo>
                                  <a:pt x="0" y="104775"/>
                                </a:lnTo>
                                <a:lnTo>
                                  <a:pt x="114300" y="104775"/>
                                </a:lnTo>
                                <a:lnTo>
                                  <a:pt x="114300" y="0"/>
                                </a:lnTo>
                                <a:close/>
                              </a:path>
                            </a:pathLst>
                          </a:custGeom>
                          <a:solidFill>
                            <a:srgbClr val="2E614A"/>
                          </a:solidFill>
                        </wps:spPr>
                        <wps:bodyPr wrap="square" lIns="0" tIns="0" rIns="0" bIns="0" rtlCol="0">
                          <a:prstTxWarp prst="textNoShape">
                            <a:avLst/>
                          </a:prstTxWarp>
                          <a:noAutofit/>
                        </wps:bodyPr>
                      </wps:wsp>
                      <wps:wsp>
                        <wps:cNvPr id="1265" name="Graphic 1265"/>
                        <wps:cNvSpPr/>
                        <wps:spPr>
                          <a:xfrm>
                            <a:off x="1705175" y="197403"/>
                            <a:ext cx="114300" cy="104775"/>
                          </a:xfrm>
                          <a:custGeom>
                            <a:avLst/>
                            <a:gdLst/>
                            <a:ahLst/>
                            <a:cxnLst/>
                            <a:rect l="l" t="t" r="r" b="b"/>
                            <a:pathLst>
                              <a:path w="114300" h="104775">
                                <a:moveTo>
                                  <a:pt x="114300" y="0"/>
                                </a:moveTo>
                                <a:lnTo>
                                  <a:pt x="0" y="0"/>
                                </a:lnTo>
                                <a:lnTo>
                                  <a:pt x="0" y="104775"/>
                                </a:lnTo>
                                <a:lnTo>
                                  <a:pt x="114300" y="104775"/>
                                </a:lnTo>
                                <a:lnTo>
                                  <a:pt x="114300" y="0"/>
                                </a:lnTo>
                                <a:close/>
                              </a:path>
                            </a:pathLst>
                          </a:custGeom>
                          <a:solidFill>
                            <a:srgbClr val="9CBF3B"/>
                          </a:solidFill>
                        </wps:spPr>
                        <wps:bodyPr wrap="square" lIns="0" tIns="0" rIns="0" bIns="0" rtlCol="0">
                          <a:prstTxWarp prst="textNoShape">
                            <a:avLst/>
                          </a:prstTxWarp>
                          <a:noAutofit/>
                        </wps:bodyPr>
                      </wps:wsp>
                      <wps:wsp>
                        <wps:cNvPr id="1266" name="Graphic 1266"/>
                        <wps:cNvSpPr/>
                        <wps:spPr>
                          <a:xfrm>
                            <a:off x="2594175" y="197403"/>
                            <a:ext cx="114300" cy="104775"/>
                          </a:xfrm>
                          <a:custGeom>
                            <a:avLst/>
                            <a:gdLst/>
                            <a:ahLst/>
                            <a:cxnLst/>
                            <a:rect l="l" t="t" r="r" b="b"/>
                            <a:pathLst>
                              <a:path w="114300" h="104775">
                                <a:moveTo>
                                  <a:pt x="114300" y="0"/>
                                </a:moveTo>
                                <a:lnTo>
                                  <a:pt x="0" y="0"/>
                                </a:lnTo>
                                <a:lnTo>
                                  <a:pt x="0" y="104775"/>
                                </a:lnTo>
                                <a:lnTo>
                                  <a:pt x="114300" y="104775"/>
                                </a:lnTo>
                                <a:lnTo>
                                  <a:pt x="114300" y="0"/>
                                </a:lnTo>
                                <a:close/>
                              </a:path>
                            </a:pathLst>
                          </a:custGeom>
                          <a:solidFill>
                            <a:srgbClr val="F2E499"/>
                          </a:solidFill>
                        </wps:spPr>
                        <wps:bodyPr wrap="square" lIns="0" tIns="0" rIns="0" bIns="0" rtlCol="0">
                          <a:prstTxWarp prst="textNoShape">
                            <a:avLst/>
                          </a:prstTxWarp>
                          <a:noAutofit/>
                        </wps:bodyPr>
                      </wps:wsp>
                      <wps:wsp>
                        <wps:cNvPr id="1267" name="Graphic 1267"/>
                        <wps:cNvSpPr/>
                        <wps:spPr>
                          <a:xfrm>
                            <a:off x="805352" y="763889"/>
                            <a:ext cx="2138680" cy="2138680"/>
                          </a:xfrm>
                          <a:custGeom>
                            <a:avLst/>
                            <a:gdLst/>
                            <a:ahLst/>
                            <a:cxnLst/>
                            <a:rect l="l" t="t" r="r" b="b"/>
                            <a:pathLst>
                              <a:path w="2138680" h="2138680">
                                <a:moveTo>
                                  <a:pt x="1069327" y="0"/>
                                </a:moveTo>
                                <a:lnTo>
                                  <a:pt x="1017513" y="1102"/>
                                </a:lnTo>
                                <a:lnTo>
                                  <a:pt x="966521" y="4404"/>
                                </a:lnTo>
                                <a:lnTo>
                                  <a:pt x="916374" y="9896"/>
                                </a:lnTo>
                                <a:lnTo>
                                  <a:pt x="867090" y="17567"/>
                                </a:lnTo>
                                <a:lnTo>
                                  <a:pt x="818691" y="27409"/>
                                </a:lnTo>
                                <a:lnTo>
                                  <a:pt x="771197" y="39411"/>
                                </a:lnTo>
                                <a:lnTo>
                                  <a:pt x="724628" y="53565"/>
                                </a:lnTo>
                                <a:lnTo>
                                  <a:pt x="679005" y="69861"/>
                                </a:lnTo>
                                <a:lnTo>
                                  <a:pt x="634348" y="88288"/>
                                </a:lnTo>
                                <a:lnTo>
                                  <a:pt x="590678" y="108838"/>
                                </a:lnTo>
                                <a:lnTo>
                                  <a:pt x="548014" y="131501"/>
                                </a:lnTo>
                                <a:lnTo>
                                  <a:pt x="506377" y="156268"/>
                                </a:lnTo>
                                <a:lnTo>
                                  <a:pt x="465787" y="183128"/>
                                </a:lnTo>
                                <a:lnTo>
                                  <a:pt x="426266" y="212072"/>
                                </a:lnTo>
                                <a:lnTo>
                                  <a:pt x="387832" y="243091"/>
                                </a:lnTo>
                                <a:lnTo>
                                  <a:pt x="350507" y="276175"/>
                                </a:lnTo>
                                <a:lnTo>
                                  <a:pt x="314311" y="311315"/>
                                </a:lnTo>
                                <a:lnTo>
                                  <a:pt x="279264" y="348500"/>
                                </a:lnTo>
                                <a:lnTo>
                                  <a:pt x="245387" y="387722"/>
                                </a:lnTo>
                                <a:lnTo>
                                  <a:pt x="215828" y="425087"/>
                                </a:lnTo>
                                <a:lnTo>
                                  <a:pt x="188192" y="463352"/>
                                </a:lnTo>
                                <a:lnTo>
                                  <a:pt x="162473" y="502454"/>
                                </a:lnTo>
                                <a:lnTo>
                                  <a:pt x="138666" y="542332"/>
                                </a:lnTo>
                                <a:lnTo>
                                  <a:pt x="116766" y="582925"/>
                                </a:lnTo>
                                <a:lnTo>
                                  <a:pt x="96765" y="624172"/>
                                </a:lnTo>
                                <a:lnTo>
                                  <a:pt x="78659" y="666012"/>
                                </a:lnTo>
                                <a:lnTo>
                                  <a:pt x="62442" y="708383"/>
                                </a:lnTo>
                                <a:lnTo>
                                  <a:pt x="48107" y="751225"/>
                                </a:lnTo>
                                <a:lnTo>
                                  <a:pt x="35649" y="794476"/>
                                </a:lnTo>
                                <a:lnTo>
                                  <a:pt x="25063" y="838075"/>
                                </a:lnTo>
                                <a:lnTo>
                                  <a:pt x="16343" y="881960"/>
                                </a:lnTo>
                                <a:lnTo>
                                  <a:pt x="9482" y="926071"/>
                                </a:lnTo>
                                <a:lnTo>
                                  <a:pt x="4475" y="970346"/>
                                </a:lnTo>
                                <a:lnTo>
                                  <a:pt x="1316" y="1014725"/>
                                </a:lnTo>
                                <a:lnTo>
                                  <a:pt x="0" y="1059145"/>
                                </a:lnTo>
                                <a:lnTo>
                                  <a:pt x="520" y="1103546"/>
                                </a:lnTo>
                                <a:lnTo>
                                  <a:pt x="2871" y="1147867"/>
                                </a:lnTo>
                                <a:lnTo>
                                  <a:pt x="7047" y="1192046"/>
                                </a:lnTo>
                                <a:lnTo>
                                  <a:pt x="13042" y="1236022"/>
                                </a:lnTo>
                                <a:lnTo>
                                  <a:pt x="20851" y="1279734"/>
                                </a:lnTo>
                                <a:lnTo>
                                  <a:pt x="30467" y="1323121"/>
                                </a:lnTo>
                                <a:lnTo>
                                  <a:pt x="41886" y="1366122"/>
                                </a:lnTo>
                                <a:lnTo>
                                  <a:pt x="55100" y="1408675"/>
                                </a:lnTo>
                                <a:lnTo>
                                  <a:pt x="70105" y="1450719"/>
                                </a:lnTo>
                                <a:lnTo>
                                  <a:pt x="86895" y="1492193"/>
                                </a:lnTo>
                                <a:lnTo>
                                  <a:pt x="105463" y="1533036"/>
                                </a:lnTo>
                                <a:lnTo>
                                  <a:pt x="125804" y="1573186"/>
                                </a:lnTo>
                                <a:lnTo>
                                  <a:pt x="147913" y="1612583"/>
                                </a:lnTo>
                                <a:lnTo>
                                  <a:pt x="171782" y="1651165"/>
                                </a:lnTo>
                                <a:lnTo>
                                  <a:pt x="197408" y="1688871"/>
                                </a:lnTo>
                                <a:lnTo>
                                  <a:pt x="224783" y="1725640"/>
                                </a:lnTo>
                                <a:lnTo>
                                  <a:pt x="253903" y="1761411"/>
                                </a:lnTo>
                                <a:lnTo>
                                  <a:pt x="284760" y="1796121"/>
                                </a:lnTo>
                                <a:lnTo>
                                  <a:pt x="317351" y="1829712"/>
                                </a:lnTo>
                                <a:lnTo>
                                  <a:pt x="351668" y="1862120"/>
                                </a:lnTo>
                                <a:lnTo>
                                  <a:pt x="387705" y="1893285"/>
                                </a:lnTo>
                                <a:lnTo>
                                  <a:pt x="425071" y="1922844"/>
                                </a:lnTo>
                                <a:lnTo>
                                  <a:pt x="463336" y="1950480"/>
                                </a:lnTo>
                                <a:lnTo>
                                  <a:pt x="502437" y="1976199"/>
                                </a:lnTo>
                                <a:lnTo>
                                  <a:pt x="542316" y="2000005"/>
                                </a:lnTo>
                                <a:lnTo>
                                  <a:pt x="582909" y="2021906"/>
                                </a:lnTo>
                                <a:lnTo>
                                  <a:pt x="624156" y="2041906"/>
                                </a:lnTo>
                                <a:lnTo>
                                  <a:pt x="665996" y="2060013"/>
                                </a:lnTo>
                                <a:lnTo>
                                  <a:pt x="708367" y="2076230"/>
                                </a:lnTo>
                                <a:lnTo>
                                  <a:pt x="751209" y="2090565"/>
                                </a:lnTo>
                                <a:lnTo>
                                  <a:pt x="794460" y="2103022"/>
                                </a:lnTo>
                                <a:lnTo>
                                  <a:pt x="838058" y="2113608"/>
                                </a:lnTo>
                                <a:lnTo>
                                  <a:pt x="881944" y="2122329"/>
                                </a:lnTo>
                                <a:lnTo>
                                  <a:pt x="926055" y="2129190"/>
                                </a:lnTo>
                                <a:lnTo>
                                  <a:pt x="970330" y="2134197"/>
                                </a:lnTo>
                                <a:lnTo>
                                  <a:pt x="1014708" y="2137356"/>
                                </a:lnTo>
                                <a:lnTo>
                                  <a:pt x="1059129" y="2138672"/>
                                </a:lnTo>
                                <a:lnTo>
                                  <a:pt x="1103530" y="2138152"/>
                                </a:lnTo>
                                <a:lnTo>
                                  <a:pt x="1147850" y="2135801"/>
                                </a:lnTo>
                                <a:lnTo>
                                  <a:pt x="1192029" y="2131625"/>
                                </a:lnTo>
                                <a:lnTo>
                                  <a:pt x="1236006" y="2125629"/>
                                </a:lnTo>
                                <a:lnTo>
                                  <a:pt x="1279718" y="2117821"/>
                                </a:lnTo>
                                <a:lnTo>
                                  <a:pt x="1323105" y="2108204"/>
                                </a:lnTo>
                                <a:lnTo>
                                  <a:pt x="1366105" y="2096786"/>
                                </a:lnTo>
                                <a:lnTo>
                                  <a:pt x="1408658" y="2083571"/>
                                </a:lnTo>
                                <a:lnTo>
                                  <a:pt x="1450702" y="2068566"/>
                                </a:lnTo>
                                <a:lnTo>
                                  <a:pt x="1492176" y="2051777"/>
                                </a:lnTo>
                                <a:lnTo>
                                  <a:pt x="1533019" y="2033209"/>
                                </a:lnTo>
                                <a:lnTo>
                                  <a:pt x="1573169" y="2012868"/>
                                </a:lnTo>
                                <a:lnTo>
                                  <a:pt x="1612566" y="1990759"/>
                                </a:lnTo>
                                <a:lnTo>
                                  <a:pt x="1651148" y="1966889"/>
                                </a:lnTo>
                                <a:lnTo>
                                  <a:pt x="1688854" y="1941264"/>
                                </a:lnTo>
                                <a:lnTo>
                                  <a:pt x="1725623" y="1913889"/>
                                </a:lnTo>
                                <a:lnTo>
                                  <a:pt x="1761393" y="1884769"/>
                                </a:lnTo>
                                <a:lnTo>
                                  <a:pt x="1796104" y="1853911"/>
                                </a:lnTo>
                                <a:lnTo>
                                  <a:pt x="1829694" y="1821321"/>
                                </a:lnTo>
                                <a:lnTo>
                                  <a:pt x="1862102" y="1787004"/>
                                </a:lnTo>
                                <a:lnTo>
                                  <a:pt x="1893267" y="1750966"/>
                                </a:lnTo>
                                <a:lnTo>
                                  <a:pt x="1922827" y="1713601"/>
                                </a:lnTo>
                                <a:lnTo>
                                  <a:pt x="1950463" y="1675336"/>
                                </a:lnTo>
                                <a:lnTo>
                                  <a:pt x="1976181" y="1636234"/>
                                </a:lnTo>
                                <a:lnTo>
                                  <a:pt x="1999988" y="1596356"/>
                                </a:lnTo>
                                <a:lnTo>
                                  <a:pt x="2021889" y="1555763"/>
                                </a:lnTo>
                                <a:lnTo>
                                  <a:pt x="2041889" y="1514516"/>
                                </a:lnTo>
                                <a:lnTo>
                                  <a:pt x="2059995" y="1472676"/>
                                </a:lnTo>
                                <a:lnTo>
                                  <a:pt x="2076213" y="1430304"/>
                                </a:lnTo>
                                <a:lnTo>
                                  <a:pt x="2090547" y="1387463"/>
                                </a:lnTo>
                                <a:lnTo>
                                  <a:pt x="2103005" y="1344212"/>
                                </a:lnTo>
                                <a:lnTo>
                                  <a:pt x="2113591" y="1300613"/>
                                </a:lnTo>
                                <a:lnTo>
                                  <a:pt x="2122311" y="1256728"/>
                                </a:lnTo>
                                <a:lnTo>
                                  <a:pt x="2129172" y="1212617"/>
                                </a:lnTo>
                                <a:lnTo>
                                  <a:pt x="2134179" y="1168342"/>
                                </a:lnTo>
                                <a:lnTo>
                                  <a:pt x="2137337" y="1123963"/>
                                </a:lnTo>
                                <a:lnTo>
                                  <a:pt x="2138654" y="1079543"/>
                                </a:lnTo>
                                <a:lnTo>
                                  <a:pt x="2138133" y="1035142"/>
                                </a:lnTo>
                                <a:lnTo>
                                  <a:pt x="2135782" y="990821"/>
                                </a:lnTo>
                                <a:lnTo>
                                  <a:pt x="2131606" y="946642"/>
                                </a:lnTo>
                                <a:lnTo>
                                  <a:pt x="2125611" y="902666"/>
                                </a:lnTo>
                                <a:lnTo>
                                  <a:pt x="2117802" y="858954"/>
                                </a:lnTo>
                                <a:lnTo>
                                  <a:pt x="2108185" y="815567"/>
                                </a:lnTo>
                                <a:lnTo>
                                  <a:pt x="2096767" y="772566"/>
                                </a:lnTo>
                                <a:lnTo>
                                  <a:pt x="2083552" y="730013"/>
                                </a:lnTo>
                                <a:lnTo>
                                  <a:pt x="2068547" y="687969"/>
                                </a:lnTo>
                                <a:lnTo>
                                  <a:pt x="2051758" y="646495"/>
                                </a:lnTo>
                                <a:lnTo>
                                  <a:pt x="2033190" y="605652"/>
                                </a:lnTo>
                                <a:lnTo>
                                  <a:pt x="2012848" y="565502"/>
                                </a:lnTo>
                                <a:lnTo>
                                  <a:pt x="1990740" y="526105"/>
                                </a:lnTo>
                                <a:lnTo>
                                  <a:pt x="1966870" y="487523"/>
                                </a:lnTo>
                                <a:lnTo>
                                  <a:pt x="1941245" y="449817"/>
                                </a:lnTo>
                                <a:lnTo>
                                  <a:pt x="1913870" y="413048"/>
                                </a:lnTo>
                                <a:lnTo>
                                  <a:pt x="1884751" y="377278"/>
                                </a:lnTo>
                                <a:lnTo>
                                  <a:pt x="1853893" y="342567"/>
                                </a:lnTo>
                                <a:lnTo>
                                  <a:pt x="1821303" y="308976"/>
                                </a:lnTo>
                                <a:lnTo>
                                  <a:pt x="1786987" y="276568"/>
                                </a:lnTo>
                                <a:lnTo>
                                  <a:pt x="1750949" y="245403"/>
                                </a:lnTo>
                                <a:lnTo>
                                  <a:pt x="1069327" y="1069343"/>
                                </a:lnTo>
                                <a:lnTo>
                                  <a:pt x="1069327" y="0"/>
                                </a:lnTo>
                                <a:close/>
                              </a:path>
                            </a:pathLst>
                          </a:custGeom>
                          <a:solidFill>
                            <a:srgbClr val="E3C626"/>
                          </a:solidFill>
                        </wps:spPr>
                        <wps:bodyPr wrap="square" lIns="0" tIns="0" rIns="0" bIns="0" rtlCol="0">
                          <a:prstTxWarp prst="textNoShape">
                            <a:avLst/>
                          </a:prstTxWarp>
                          <a:noAutofit/>
                        </wps:bodyPr>
                      </wps:wsp>
                      <wps:wsp>
                        <wps:cNvPr id="1268" name="Graphic 1268"/>
                        <wps:cNvSpPr/>
                        <wps:spPr>
                          <a:xfrm>
                            <a:off x="1874680" y="782834"/>
                            <a:ext cx="681990" cy="1050925"/>
                          </a:xfrm>
                          <a:custGeom>
                            <a:avLst/>
                            <a:gdLst/>
                            <a:ahLst/>
                            <a:cxnLst/>
                            <a:rect l="l" t="t" r="r" b="b"/>
                            <a:pathLst>
                              <a:path w="681990" h="1050925">
                                <a:moveTo>
                                  <a:pt x="200377" y="0"/>
                                </a:moveTo>
                                <a:lnTo>
                                  <a:pt x="0" y="1050398"/>
                                </a:lnTo>
                                <a:lnTo>
                                  <a:pt x="681621" y="226459"/>
                                </a:lnTo>
                                <a:lnTo>
                                  <a:pt x="641777" y="194829"/>
                                </a:lnTo>
                                <a:lnTo>
                                  <a:pt x="601574" y="165608"/>
                                </a:lnTo>
                                <a:lnTo>
                                  <a:pt x="560872" y="138727"/>
                                </a:lnTo>
                                <a:lnTo>
                                  <a:pt x="519530" y="114121"/>
                                </a:lnTo>
                                <a:lnTo>
                                  <a:pt x="477407" y="91724"/>
                                </a:lnTo>
                                <a:lnTo>
                                  <a:pt x="434362" y="71468"/>
                                </a:lnTo>
                                <a:lnTo>
                                  <a:pt x="390254" y="53288"/>
                                </a:lnTo>
                                <a:lnTo>
                                  <a:pt x="344942" y="37118"/>
                                </a:lnTo>
                                <a:lnTo>
                                  <a:pt x="298286" y="22891"/>
                                </a:lnTo>
                                <a:lnTo>
                                  <a:pt x="250145" y="10540"/>
                                </a:lnTo>
                                <a:lnTo>
                                  <a:pt x="200377" y="0"/>
                                </a:lnTo>
                                <a:close/>
                              </a:path>
                            </a:pathLst>
                          </a:custGeom>
                          <a:solidFill>
                            <a:srgbClr val="F2E499"/>
                          </a:solidFill>
                        </wps:spPr>
                        <wps:bodyPr wrap="square" lIns="0" tIns="0" rIns="0" bIns="0" rtlCol="0">
                          <a:prstTxWarp prst="textNoShape">
                            <a:avLst/>
                          </a:prstTxWarp>
                          <a:noAutofit/>
                        </wps:bodyPr>
                      </wps:wsp>
                      <wps:wsp>
                        <wps:cNvPr id="1269" name="Graphic 1269"/>
                        <wps:cNvSpPr/>
                        <wps:spPr>
                          <a:xfrm>
                            <a:off x="1874680" y="766003"/>
                            <a:ext cx="200660" cy="1067435"/>
                          </a:xfrm>
                          <a:custGeom>
                            <a:avLst/>
                            <a:gdLst/>
                            <a:ahLst/>
                            <a:cxnLst/>
                            <a:rect l="l" t="t" r="r" b="b"/>
                            <a:pathLst>
                              <a:path w="200660" h="1067435">
                                <a:moveTo>
                                  <a:pt x="67147" y="0"/>
                                </a:moveTo>
                                <a:lnTo>
                                  <a:pt x="0" y="1067229"/>
                                </a:lnTo>
                                <a:lnTo>
                                  <a:pt x="200377" y="16830"/>
                                </a:lnTo>
                                <a:lnTo>
                                  <a:pt x="166610" y="10882"/>
                                </a:lnTo>
                                <a:lnTo>
                                  <a:pt x="134039" y="6206"/>
                                </a:lnTo>
                                <a:lnTo>
                                  <a:pt x="101329" y="2634"/>
                                </a:lnTo>
                                <a:lnTo>
                                  <a:pt x="67147" y="0"/>
                                </a:lnTo>
                                <a:close/>
                              </a:path>
                            </a:pathLst>
                          </a:custGeom>
                          <a:solidFill>
                            <a:srgbClr val="9CBF3B"/>
                          </a:solidFill>
                        </wps:spPr>
                        <wps:bodyPr wrap="square" lIns="0" tIns="0" rIns="0" bIns="0" rtlCol="0">
                          <a:prstTxWarp prst="textNoShape">
                            <a:avLst/>
                          </a:prstTxWarp>
                          <a:noAutofit/>
                        </wps:bodyPr>
                      </wps:wsp>
                      <wps:wsp>
                        <wps:cNvPr id="1270" name="Graphic 1270"/>
                        <wps:cNvSpPr/>
                        <wps:spPr>
                          <a:xfrm>
                            <a:off x="1874680" y="763889"/>
                            <a:ext cx="67310" cy="1069340"/>
                          </a:xfrm>
                          <a:custGeom>
                            <a:avLst/>
                            <a:gdLst/>
                            <a:ahLst/>
                            <a:cxnLst/>
                            <a:rect l="l" t="t" r="r" b="b"/>
                            <a:pathLst>
                              <a:path w="67310" h="1069340">
                                <a:moveTo>
                                  <a:pt x="17141" y="121"/>
                                </a:moveTo>
                                <a:lnTo>
                                  <a:pt x="0" y="0"/>
                                </a:lnTo>
                                <a:lnTo>
                                  <a:pt x="0" y="1069343"/>
                                </a:lnTo>
                                <a:lnTo>
                                  <a:pt x="67147" y="2113"/>
                                </a:lnTo>
                                <a:lnTo>
                                  <a:pt x="50030" y="1156"/>
                                </a:lnTo>
                                <a:lnTo>
                                  <a:pt x="33590" y="499"/>
                                </a:lnTo>
                                <a:lnTo>
                                  <a:pt x="17141" y="121"/>
                                </a:lnTo>
                                <a:close/>
                              </a:path>
                            </a:pathLst>
                          </a:custGeom>
                          <a:solidFill>
                            <a:srgbClr val="2E614A"/>
                          </a:solidFill>
                        </wps:spPr>
                        <wps:bodyPr wrap="square" lIns="0" tIns="0" rIns="0" bIns="0" rtlCol="0">
                          <a:prstTxWarp prst="textNoShape">
                            <a:avLst/>
                          </a:prstTxWarp>
                          <a:noAutofit/>
                        </wps:bodyPr>
                      </wps:wsp>
                      <wps:wsp>
                        <wps:cNvPr id="1271" name="Graphic 1271"/>
                        <wps:cNvSpPr/>
                        <wps:spPr>
                          <a:xfrm>
                            <a:off x="1794259" y="588009"/>
                            <a:ext cx="1150620" cy="1922780"/>
                          </a:xfrm>
                          <a:custGeom>
                            <a:avLst/>
                            <a:gdLst/>
                            <a:ahLst/>
                            <a:cxnLst/>
                            <a:rect l="l" t="t" r="r" b="b"/>
                            <a:pathLst>
                              <a:path w="1150620" h="1922780">
                                <a:moveTo>
                                  <a:pt x="131470" y="1270"/>
                                </a:moveTo>
                                <a:lnTo>
                                  <a:pt x="69113" y="1270"/>
                                </a:lnTo>
                                <a:lnTo>
                                  <a:pt x="69113" y="0"/>
                                </a:lnTo>
                                <a:lnTo>
                                  <a:pt x="38" y="0"/>
                                </a:lnTo>
                                <a:lnTo>
                                  <a:pt x="38" y="1270"/>
                                </a:lnTo>
                                <a:lnTo>
                                  <a:pt x="25" y="3810"/>
                                </a:lnTo>
                                <a:lnTo>
                                  <a:pt x="0" y="6350"/>
                                </a:lnTo>
                                <a:lnTo>
                                  <a:pt x="68973" y="6350"/>
                                </a:lnTo>
                                <a:lnTo>
                                  <a:pt x="68973" y="7620"/>
                                </a:lnTo>
                                <a:lnTo>
                                  <a:pt x="125120" y="7620"/>
                                </a:lnTo>
                                <a:lnTo>
                                  <a:pt x="125120" y="176911"/>
                                </a:lnTo>
                                <a:lnTo>
                                  <a:pt x="131470" y="176911"/>
                                </a:lnTo>
                                <a:lnTo>
                                  <a:pt x="131470" y="7429"/>
                                </a:lnTo>
                                <a:lnTo>
                                  <a:pt x="131470" y="4254"/>
                                </a:lnTo>
                                <a:lnTo>
                                  <a:pt x="128295" y="4254"/>
                                </a:lnTo>
                                <a:lnTo>
                                  <a:pt x="125120" y="4254"/>
                                </a:lnTo>
                                <a:lnTo>
                                  <a:pt x="125120" y="3810"/>
                                </a:lnTo>
                                <a:lnTo>
                                  <a:pt x="131470" y="3810"/>
                                </a:lnTo>
                                <a:lnTo>
                                  <a:pt x="131470" y="1270"/>
                                </a:lnTo>
                                <a:close/>
                              </a:path>
                              <a:path w="1150620" h="1922780">
                                <a:moveTo>
                                  <a:pt x="326186" y="11252"/>
                                </a:moveTo>
                                <a:lnTo>
                                  <a:pt x="326174" y="9017"/>
                                </a:lnTo>
                                <a:lnTo>
                                  <a:pt x="201053" y="9017"/>
                                </a:lnTo>
                                <a:lnTo>
                                  <a:pt x="197891" y="9017"/>
                                </a:lnTo>
                                <a:lnTo>
                                  <a:pt x="197891" y="8890"/>
                                </a:lnTo>
                                <a:lnTo>
                                  <a:pt x="326161" y="8890"/>
                                </a:lnTo>
                                <a:lnTo>
                                  <a:pt x="326161" y="6350"/>
                                </a:lnTo>
                                <a:lnTo>
                                  <a:pt x="326148" y="5080"/>
                                </a:lnTo>
                                <a:lnTo>
                                  <a:pt x="214363" y="5080"/>
                                </a:lnTo>
                                <a:lnTo>
                                  <a:pt x="214363" y="6350"/>
                                </a:lnTo>
                                <a:lnTo>
                                  <a:pt x="194703" y="6350"/>
                                </a:lnTo>
                                <a:lnTo>
                                  <a:pt x="194703" y="8890"/>
                                </a:lnTo>
                                <a:lnTo>
                                  <a:pt x="194703" y="12700"/>
                                </a:lnTo>
                                <a:lnTo>
                                  <a:pt x="194703" y="181610"/>
                                </a:lnTo>
                                <a:lnTo>
                                  <a:pt x="201053" y="181610"/>
                                </a:lnTo>
                                <a:lnTo>
                                  <a:pt x="201053" y="12700"/>
                                </a:lnTo>
                                <a:lnTo>
                                  <a:pt x="197891" y="12700"/>
                                </a:lnTo>
                                <a:lnTo>
                                  <a:pt x="197891" y="10604"/>
                                </a:lnTo>
                                <a:lnTo>
                                  <a:pt x="197904" y="12192"/>
                                </a:lnTo>
                                <a:lnTo>
                                  <a:pt x="201053" y="12192"/>
                                </a:lnTo>
                                <a:lnTo>
                                  <a:pt x="326186" y="11252"/>
                                </a:lnTo>
                                <a:close/>
                              </a:path>
                              <a:path w="1150620" h="1922780">
                                <a:moveTo>
                                  <a:pt x="865441" y="132727"/>
                                </a:moveTo>
                                <a:lnTo>
                                  <a:pt x="864120" y="131838"/>
                                </a:lnTo>
                                <a:lnTo>
                                  <a:pt x="728675" y="39839"/>
                                </a:lnTo>
                                <a:lnTo>
                                  <a:pt x="725106" y="45097"/>
                                </a:lnTo>
                                <a:lnTo>
                                  <a:pt x="856678" y="134454"/>
                                </a:lnTo>
                                <a:lnTo>
                                  <a:pt x="697928" y="373138"/>
                                </a:lnTo>
                                <a:lnTo>
                                  <a:pt x="703211" y="376656"/>
                                </a:lnTo>
                                <a:lnTo>
                                  <a:pt x="863130" y="136220"/>
                                </a:lnTo>
                                <a:lnTo>
                                  <a:pt x="865441" y="132727"/>
                                </a:lnTo>
                                <a:close/>
                              </a:path>
                              <a:path w="1150620" h="1922780">
                                <a:moveTo>
                                  <a:pt x="1150581" y="1916569"/>
                                </a:moveTo>
                                <a:lnTo>
                                  <a:pt x="1025461" y="1915655"/>
                                </a:lnTo>
                                <a:lnTo>
                                  <a:pt x="1022311" y="1915629"/>
                                </a:lnTo>
                                <a:lnTo>
                                  <a:pt x="1022299" y="1917217"/>
                                </a:lnTo>
                                <a:lnTo>
                                  <a:pt x="1022299" y="1915160"/>
                                </a:lnTo>
                                <a:lnTo>
                                  <a:pt x="1025461" y="1915160"/>
                                </a:lnTo>
                                <a:lnTo>
                                  <a:pt x="1025461" y="1746250"/>
                                </a:lnTo>
                                <a:lnTo>
                                  <a:pt x="1019111" y="1746250"/>
                                </a:lnTo>
                                <a:lnTo>
                                  <a:pt x="1019111" y="1915160"/>
                                </a:lnTo>
                                <a:lnTo>
                                  <a:pt x="1019111" y="1918970"/>
                                </a:lnTo>
                                <a:lnTo>
                                  <a:pt x="1019111" y="1921510"/>
                                </a:lnTo>
                                <a:lnTo>
                                  <a:pt x="1045527" y="1921510"/>
                                </a:lnTo>
                                <a:lnTo>
                                  <a:pt x="1045527" y="1922780"/>
                                </a:lnTo>
                                <a:lnTo>
                                  <a:pt x="1150543" y="1922780"/>
                                </a:lnTo>
                                <a:lnTo>
                                  <a:pt x="1150543" y="1921510"/>
                                </a:lnTo>
                                <a:lnTo>
                                  <a:pt x="1150556" y="1918970"/>
                                </a:lnTo>
                                <a:lnTo>
                                  <a:pt x="1022299" y="1918970"/>
                                </a:lnTo>
                                <a:lnTo>
                                  <a:pt x="1022299" y="1918804"/>
                                </a:lnTo>
                                <a:lnTo>
                                  <a:pt x="1025461" y="1918804"/>
                                </a:lnTo>
                                <a:lnTo>
                                  <a:pt x="1150569" y="1918804"/>
                                </a:lnTo>
                                <a:lnTo>
                                  <a:pt x="1150581" y="1916569"/>
                                </a:lnTo>
                                <a:close/>
                              </a:path>
                            </a:pathLst>
                          </a:custGeom>
                          <a:solidFill>
                            <a:srgbClr val="000000"/>
                          </a:solidFill>
                        </wps:spPr>
                        <wps:bodyPr wrap="square" lIns="0" tIns="0" rIns="0" bIns="0" rtlCol="0">
                          <a:prstTxWarp prst="textNoShape">
                            <a:avLst/>
                          </a:prstTxWarp>
                          <a:noAutofit/>
                        </wps:bodyPr>
                      </wps:wsp>
                      <wps:wsp>
                        <wps:cNvPr id="1272" name="Textbox 1272"/>
                        <wps:cNvSpPr txBox="1"/>
                        <wps:spPr>
                          <a:xfrm>
                            <a:off x="459400" y="194305"/>
                            <a:ext cx="3132455" cy="102235"/>
                          </a:xfrm>
                          <a:prstGeom prst="rect">
                            <a:avLst/>
                          </a:prstGeom>
                        </wps:spPr>
                        <wps:txbx>
                          <w:txbxContent>
                            <w:p>
                              <w:pPr>
                                <w:tabs>
                                  <w:tab w:pos="741" w:val="left" w:leader="none"/>
                                  <w:tab w:pos="2219" w:val="left" w:leader="none"/>
                                  <w:tab w:pos="3604" w:val="left" w:leader="none"/>
                                </w:tabs>
                                <w:spacing w:line="161" w:lineRule="exact" w:before="0"/>
                                <w:ind w:left="0" w:right="0" w:firstLine="0"/>
                                <w:jc w:val="left"/>
                                <w:rPr>
                                  <w:rFonts w:ascii="Arial MT"/>
                                  <w:sz w:val="14"/>
                                </w:rPr>
                              </w:pPr>
                              <w:r>
                                <w:rPr>
                                  <w:rFonts w:ascii="Arial MT"/>
                                  <w:w w:val="80"/>
                                  <w:sz w:val="14"/>
                                </w:rPr>
                                <w:t>No</w:t>
                              </w:r>
                              <w:r>
                                <w:rPr>
                                  <w:rFonts w:ascii="Arial MT"/>
                                  <w:spacing w:val="-3"/>
                                  <w:w w:val="90"/>
                                  <w:sz w:val="14"/>
                                </w:rPr>
                                <w:t> </w:t>
                              </w:r>
                              <w:r>
                                <w:rPr>
                                  <w:rFonts w:ascii="Arial MT"/>
                                  <w:spacing w:val="-5"/>
                                  <w:w w:val="90"/>
                                  <w:sz w:val="14"/>
                                </w:rPr>
                                <w:t>VET</w:t>
                              </w:r>
                              <w:r>
                                <w:rPr>
                                  <w:rFonts w:ascii="Arial MT"/>
                                  <w:sz w:val="14"/>
                                </w:rPr>
                                <w:tab/>
                              </w:r>
                              <w:r>
                                <w:rPr>
                                  <w:rFonts w:ascii="Arial MT"/>
                                  <w:w w:val="80"/>
                                  <w:sz w:val="14"/>
                                </w:rPr>
                                <w:t>Receiving</w:t>
                              </w:r>
                              <w:r>
                                <w:rPr>
                                  <w:rFonts w:ascii="Arial MT"/>
                                  <w:spacing w:val="-5"/>
                                  <w:sz w:val="14"/>
                                </w:rPr>
                                <w:t> </w:t>
                              </w:r>
                              <w:r>
                                <w:rPr>
                                  <w:rFonts w:ascii="Arial MT"/>
                                  <w:w w:val="80"/>
                                  <w:sz w:val="14"/>
                                </w:rPr>
                                <w:t>formal</w:t>
                              </w:r>
                              <w:r>
                                <w:rPr>
                                  <w:rFonts w:ascii="Arial MT"/>
                                  <w:spacing w:val="-3"/>
                                  <w:sz w:val="14"/>
                                </w:rPr>
                                <w:t> </w:t>
                              </w:r>
                              <w:r>
                                <w:rPr>
                                  <w:rFonts w:ascii="Arial MT"/>
                                  <w:spacing w:val="-5"/>
                                  <w:w w:val="80"/>
                                  <w:sz w:val="14"/>
                                </w:rPr>
                                <w:t>VET</w:t>
                              </w:r>
                              <w:r>
                                <w:rPr>
                                  <w:rFonts w:ascii="Arial MT"/>
                                  <w:sz w:val="14"/>
                                </w:rPr>
                                <w:tab/>
                              </w:r>
                              <w:r>
                                <w:rPr>
                                  <w:rFonts w:ascii="Arial MT"/>
                                  <w:w w:val="80"/>
                                  <w:sz w:val="14"/>
                                </w:rPr>
                                <w:t>Received</w:t>
                              </w:r>
                              <w:r>
                                <w:rPr>
                                  <w:rFonts w:ascii="Arial MT"/>
                                  <w:spacing w:val="-5"/>
                                  <w:sz w:val="14"/>
                                </w:rPr>
                                <w:t> </w:t>
                              </w:r>
                              <w:r>
                                <w:rPr>
                                  <w:rFonts w:ascii="Arial MT"/>
                                  <w:w w:val="80"/>
                                  <w:sz w:val="14"/>
                                </w:rPr>
                                <w:t>formal</w:t>
                              </w:r>
                              <w:r>
                                <w:rPr>
                                  <w:rFonts w:ascii="Arial MT"/>
                                  <w:spacing w:val="-3"/>
                                  <w:sz w:val="14"/>
                                </w:rPr>
                                <w:t> </w:t>
                              </w:r>
                              <w:r>
                                <w:rPr>
                                  <w:rFonts w:ascii="Arial MT"/>
                                  <w:spacing w:val="-5"/>
                                  <w:w w:val="80"/>
                                  <w:sz w:val="14"/>
                                </w:rPr>
                                <w:t>VET</w:t>
                              </w:r>
                              <w:r>
                                <w:rPr>
                                  <w:rFonts w:ascii="Arial MT"/>
                                  <w:sz w:val="14"/>
                                </w:rPr>
                                <w:tab/>
                              </w:r>
                              <w:r>
                                <w:rPr>
                                  <w:rFonts w:ascii="Arial MT"/>
                                  <w:w w:val="80"/>
                                  <w:sz w:val="14"/>
                                </w:rPr>
                                <w:t>Received</w:t>
                              </w:r>
                              <w:r>
                                <w:rPr>
                                  <w:rFonts w:ascii="Arial MT"/>
                                  <w:spacing w:val="-5"/>
                                  <w:sz w:val="14"/>
                                </w:rPr>
                                <w:t> </w:t>
                              </w:r>
                              <w:r>
                                <w:rPr>
                                  <w:rFonts w:ascii="Arial MT"/>
                                  <w:w w:val="80"/>
                                  <w:sz w:val="14"/>
                                </w:rPr>
                                <w:t>non</w:t>
                              </w:r>
                              <w:r>
                                <w:rPr>
                                  <w:rFonts w:ascii="Arial MT"/>
                                  <w:spacing w:val="-3"/>
                                  <w:sz w:val="14"/>
                                </w:rPr>
                                <w:t> </w:t>
                              </w:r>
                              <w:r>
                                <w:rPr>
                                  <w:rFonts w:ascii="Arial MT"/>
                                  <w:w w:val="80"/>
                                  <w:sz w:val="14"/>
                                </w:rPr>
                                <w:t>formal</w:t>
                              </w:r>
                              <w:r>
                                <w:rPr>
                                  <w:rFonts w:ascii="Arial MT"/>
                                  <w:spacing w:val="-2"/>
                                  <w:sz w:val="14"/>
                                </w:rPr>
                                <w:t> </w:t>
                              </w:r>
                              <w:r>
                                <w:rPr>
                                  <w:rFonts w:ascii="Arial MT"/>
                                  <w:spacing w:val="-5"/>
                                  <w:w w:val="80"/>
                                  <w:sz w:val="14"/>
                                </w:rPr>
                                <w:t>VET</w:t>
                              </w:r>
                            </w:p>
                          </w:txbxContent>
                        </wps:txbx>
                        <wps:bodyPr wrap="square" lIns="0" tIns="0" rIns="0" bIns="0" rtlCol="0">
                          <a:noAutofit/>
                        </wps:bodyPr>
                      </wps:wsp>
                      <wps:wsp>
                        <wps:cNvPr id="1273" name="Textbox 1273"/>
                        <wps:cNvSpPr txBox="1"/>
                        <wps:spPr>
                          <a:xfrm>
                            <a:off x="1665373" y="545721"/>
                            <a:ext cx="118110" cy="102235"/>
                          </a:xfrm>
                          <a:prstGeom prst="rect">
                            <a:avLst/>
                          </a:prstGeom>
                        </wps:spPr>
                        <wps:txbx>
                          <w:txbxContent>
                            <w:p>
                              <w:pPr>
                                <w:spacing w:line="161" w:lineRule="exact" w:before="0"/>
                                <w:ind w:left="0" w:right="0" w:firstLine="0"/>
                                <w:jc w:val="left"/>
                                <w:rPr>
                                  <w:rFonts w:ascii="Arial MT"/>
                                  <w:sz w:val="14"/>
                                </w:rPr>
                              </w:pPr>
                              <w:r>
                                <w:rPr>
                                  <w:rFonts w:ascii="Arial MT"/>
                                  <w:spacing w:val="-15"/>
                                  <w:sz w:val="14"/>
                                </w:rPr>
                                <w:t>1%</w:t>
                              </w:r>
                            </w:p>
                          </w:txbxContent>
                        </wps:txbx>
                        <wps:bodyPr wrap="square" lIns="0" tIns="0" rIns="0" bIns="0" rtlCol="0">
                          <a:noAutofit/>
                        </wps:bodyPr>
                      </wps:wsp>
                      <wps:wsp>
                        <wps:cNvPr id="1274" name="Textbox 1274"/>
                        <wps:cNvSpPr txBox="1"/>
                        <wps:spPr>
                          <a:xfrm>
                            <a:off x="2126668" y="533168"/>
                            <a:ext cx="118110" cy="102235"/>
                          </a:xfrm>
                          <a:prstGeom prst="rect">
                            <a:avLst/>
                          </a:prstGeom>
                        </wps:spPr>
                        <wps:txbx>
                          <w:txbxContent>
                            <w:p>
                              <w:pPr>
                                <w:spacing w:line="161" w:lineRule="exact" w:before="0"/>
                                <w:ind w:left="0" w:right="0" w:firstLine="0"/>
                                <w:jc w:val="left"/>
                                <w:rPr>
                                  <w:rFonts w:ascii="Arial MT"/>
                                  <w:sz w:val="14"/>
                                </w:rPr>
                              </w:pPr>
                              <w:r>
                                <w:rPr>
                                  <w:rFonts w:ascii="Arial MT"/>
                                  <w:spacing w:val="-15"/>
                                  <w:sz w:val="14"/>
                                </w:rPr>
                                <w:t>2%</w:t>
                              </w:r>
                            </w:p>
                          </w:txbxContent>
                        </wps:txbx>
                        <wps:bodyPr wrap="square" lIns="0" tIns="0" rIns="0" bIns="0" rtlCol="0">
                          <a:noAutofit/>
                        </wps:bodyPr>
                      </wps:wsp>
                      <wps:wsp>
                        <wps:cNvPr id="1275" name="Textbox 1275"/>
                        <wps:cNvSpPr txBox="1"/>
                        <wps:spPr>
                          <a:xfrm>
                            <a:off x="2383843" y="561743"/>
                            <a:ext cx="118110" cy="102235"/>
                          </a:xfrm>
                          <a:prstGeom prst="rect">
                            <a:avLst/>
                          </a:prstGeom>
                        </wps:spPr>
                        <wps:txbx>
                          <w:txbxContent>
                            <w:p>
                              <w:pPr>
                                <w:spacing w:line="161" w:lineRule="exact" w:before="0"/>
                                <w:ind w:left="0" w:right="0" w:firstLine="0"/>
                                <w:jc w:val="left"/>
                                <w:rPr>
                                  <w:rFonts w:ascii="Arial MT"/>
                                  <w:sz w:val="14"/>
                                </w:rPr>
                              </w:pPr>
                              <w:r>
                                <w:rPr>
                                  <w:rFonts w:ascii="Arial MT"/>
                                  <w:spacing w:val="-15"/>
                                  <w:sz w:val="14"/>
                                </w:rPr>
                                <w:t>8%</w:t>
                              </w:r>
                            </w:p>
                          </w:txbxContent>
                        </wps:txbx>
                        <wps:bodyPr wrap="square" lIns="0" tIns="0" rIns="0" bIns="0" rtlCol="0">
                          <a:noAutofit/>
                        </wps:bodyPr>
                      </wps:wsp>
                      <wps:wsp>
                        <wps:cNvPr id="1276" name="Textbox 1276"/>
                        <wps:cNvSpPr txBox="1"/>
                        <wps:spPr>
                          <a:xfrm>
                            <a:off x="2965775" y="2442705"/>
                            <a:ext cx="158750" cy="102235"/>
                          </a:xfrm>
                          <a:prstGeom prst="rect">
                            <a:avLst/>
                          </a:prstGeom>
                        </wps:spPr>
                        <wps:txbx>
                          <w:txbxContent>
                            <w:p>
                              <w:pPr>
                                <w:spacing w:line="161" w:lineRule="exact" w:before="0"/>
                                <w:ind w:left="0" w:right="0" w:firstLine="0"/>
                                <w:jc w:val="left"/>
                                <w:rPr>
                                  <w:rFonts w:ascii="Arial MT"/>
                                  <w:sz w:val="14"/>
                                </w:rPr>
                              </w:pPr>
                              <w:r>
                                <w:rPr>
                                  <w:rFonts w:ascii="Arial MT"/>
                                  <w:spacing w:val="-6"/>
                                  <w:w w:val="90"/>
                                  <w:sz w:val="14"/>
                                </w:rPr>
                                <w:t>89%</w:t>
                              </w:r>
                            </w:p>
                          </w:txbxContent>
                        </wps:txbx>
                        <wps:bodyPr wrap="square" lIns="0" tIns="0" rIns="0" bIns="0" rtlCol="0">
                          <a:noAutofit/>
                        </wps:bodyPr>
                      </wps:wsp>
                    </wpg:wgp>
                  </a:graphicData>
                </a:graphic>
              </wp:inline>
            </w:drawing>
          </mc:Choice>
          <mc:Fallback>
            <w:pict>
              <v:group style="width:306.150pt;height:239.3pt;mso-position-horizontal-relative:char;mso-position-vertical-relative:line" id="docshapegroup1249" coordorigin="0,0" coordsize="6123,4786">
                <v:shape style="position:absolute;left:-1;top:0;width:6123;height:4786" id="docshape1250" coordorigin="0,0" coordsize="6123,4786" path="m6123,0l6113,0,6113,11,6113,4776,10,4776,10,11,6113,11,6113,0,0,0,0,6,0,10,0,4776,0,4780,0,4786,6123,4786,6123,6,6123,0xe" filled="true" fillcolor="#000000" stroked="false">
                  <v:path arrowok="t"/>
                  <v:fill type="solid"/>
                </v:shape>
                <v:rect style="position:absolute;left:483;top:310;width:180;height:165" id="docshape1251" filled="true" fillcolor="#e3c626" stroked="false">
                  <v:fill type="solid"/>
                </v:rect>
                <v:rect style="position:absolute;left:1203;top:310;width:180;height:165" id="docshape1252" filled="true" fillcolor="#2e614a" stroked="false">
                  <v:fill type="solid"/>
                </v:rect>
                <v:rect style="position:absolute;left:2685;top:310;width:180;height:165" id="docshape1253" filled="true" fillcolor="#9cbf3b" stroked="false">
                  <v:fill type="solid"/>
                </v:rect>
                <v:rect style="position:absolute;left:4085;top:310;width:180;height:165" id="docshape1254" filled="true" fillcolor="#f2e499" stroked="false">
                  <v:fill type="solid"/>
                </v:rect>
                <v:shape style="position:absolute;left:1268;top:1202;width:3368;height:3368" id="docshape1255" coordorigin="1268,1203" coordsize="3368,3368" path="m2952,1203l2871,1205,2790,1210,2711,1219,2634,1231,2558,1246,2483,1265,2409,1287,2338,1313,2267,1342,2198,1374,2131,1410,2066,1449,2002,1491,1940,1537,1879,1586,1820,1638,1763,1693,1708,1752,1655,1814,1608,1872,1565,1933,1524,1994,1487,2057,1452,2121,1421,2186,1392,2252,1367,2319,1344,2386,1324,2454,1308,2523,1294,2592,1283,2661,1275,2731,1270,2801,1268,2871,1269,2941,1273,3011,1279,3080,1289,3149,1301,3218,1316,3287,1334,3354,1355,3421,1379,3488,1405,3553,1434,3617,1466,3680,1501,3742,1539,3803,1579,3863,1622,3921,1668,3977,1717,4032,1768,4084,1822,4135,1879,4185,1938,4231,1998,4275,2060,4315,2122,4353,2186,4387,2251,4419,2317,4447,2384,4473,2451,4495,2519,4515,2588,4531,2657,4545,2727,4556,2796,4564,2866,4569,2936,4571,3006,4570,3076,4566,3145,4560,3215,4550,3284,4538,3352,4523,3420,4505,3487,4484,3553,4461,3618,4434,3682,4405,3746,4373,3808,4338,3869,4300,3928,4260,3986,4217,4042,4171,4097,4123,4150,4071,4201,4017,4250,3960,4296,3902,4340,3841,4380,3780,4418,3717,4452,3653,4484,3588,4512,3522,4538,3455,4560,3388,4580,3320,4597,3251,4610,3182,4621,3113,4629,3043,4634,2973,4636,2903,4635,2833,4632,2763,4625,2694,4616,2624,4603,2556,4588,2487,4570,2420,4549,2353,4526,2286,4499,2221,4470,2157,4438,2094,4403,2031,4366,1971,4325,1911,4282,1853,4236,1797,4188,1742,4136,1690,4082,1639,4026,1589,2952,2887,2952,1203xe" filled="true" fillcolor="#e3c626" stroked="false">
                  <v:path arrowok="t"/>
                  <v:fill type="solid"/>
                </v:shape>
                <v:shape style="position:absolute;left:2952;top:1232;width:1074;height:1655" id="docshape1256" coordorigin="2952,1233" coordsize="1074,1655" path="m3268,1233l2952,2887,4026,1589,3963,1540,3900,1494,3836,1451,3770,1413,3704,1377,3636,1345,3567,1317,3495,1291,3422,1269,3346,1249,3268,1233xe" filled="true" fillcolor="#f2e499" stroked="false">
                  <v:path arrowok="t"/>
                  <v:fill type="solid"/>
                </v:shape>
                <v:shape style="position:absolute;left:2952;top:1206;width:316;height:1681" id="docshape1257" coordorigin="2952,1206" coordsize="316,1681" path="m3058,1206l2952,2887,3268,1233,3215,1223,3163,1216,3112,1210,3058,1206xe" filled="true" fillcolor="#9cbf3b" stroked="false">
                  <v:path arrowok="t"/>
                  <v:fill type="solid"/>
                </v:shape>
                <v:shape style="position:absolute;left:2952;top:1202;width:106;height:1684" id="docshape1258" coordorigin="2952,1203" coordsize="106,1684" path="m2979,1203l2952,1203,2952,2887,3058,1206,3031,1205,3005,1204,2979,1203xe" filled="true" fillcolor="#2e614a" stroked="false">
                  <v:path arrowok="t"/>
                  <v:fill type="solid"/>
                </v:shape>
                <v:shape style="position:absolute;left:2825;top:926;width:1812;height:3028" id="docshape1259" coordorigin="2826,926" coordsize="1812,3028" path="m3033,928l2934,928,2934,926,2826,926,2826,928,2826,928,2826,932,2826,932,2826,936,2934,936,2934,938,3023,938,3023,1205,3033,1205,3033,938,3033,933,3028,933,3023,933,3023,932,3033,932,3033,928xm3339,944l3339,940,3142,940,3137,940,3137,940,3339,940,3339,936,3339,936,3339,934,3163,934,3163,936,3132,936,3132,940,3132,946,3132,1212,3142,1212,3142,946,3137,946,3137,943,3137,945,3142,945,3142,945,3339,944xm4189,1135l4186,1134,3973,989,3968,997,4175,1138,3925,1514,3933,1519,4185,1141,4189,1135xm4638,3944l4441,3943,4441,3943,4436,3943,4436,3945,4436,3942,4441,3942,4441,3676,4431,3676,4431,3942,4431,3948,4431,3952,4472,3952,4472,3954,4637,3954,4637,3952,4638,3952,4638,3948,4436,3948,4436,3948,4441,3948,4638,3948,4638,3944xe" filled="true" fillcolor="#000000" stroked="false">
                  <v:path arrowok="t"/>
                  <v:fill type="solid"/>
                </v:shape>
                <v:shape style="position:absolute;left:723;top:306;width:4933;height:161" type="#_x0000_t202" id="docshape1260" filled="false" stroked="false">
                  <v:textbox inset="0,0,0,0">
                    <w:txbxContent>
                      <w:p>
                        <w:pPr>
                          <w:tabs>
                            <w:tab w:pos="741" w:val="left" w:leader="none"/>
                            <w:tab w:pos="2219" w:val="left" w:leader="none"/>
                            <w:tab w:pos="3604" w:val="left" w:leader="none"/>
                          </w:tabs>
                          <w:spacing w:line="161" w:lineRule="exact" w:before="0"/>
                          <w:ind w:left="0" w:right="0" w:firstLine="0"/>
                          <w:jc w:val="left"/>
                          <w:rPr>
                            <w:rFonts w:ascii="Arial MT"/>
                            <w:sz w:val="14"/>
                          </w:rPr>
                        </w:pPr>
                        <w:r>
                          <w:rPr>
                            <w:rFonts w:ascii="Arial MT"/>
                            <w:w w:val="80"/>
                            <w:sz w:val="14"/>
                          </w:rPr>
                          <w:t>No</w:t>
                        </w:r>
                        <w:r>
                          <w:rPr>
                            <w:rFonts w:ascii="Arial MT"/>
                            <w:spacing w:val="-3"/>
                            <w:w w:val="90"/>
                            <w:sz w:val="14"/>
                          </w:rPr>
                          <w:t> </w:t>
                        </w:r>
                        <w:r>
                          <w:rPr>
                            <w:rFonts w:ascii="Arial MT"/>
                            <w:spacing w:val="-5"/>
                            <w:w w:val="90"/>
                            <w:sz w:val="14"/>
                          </w:rPr>
                          <w:t>VET</w:t>
                        </w:r>
                        <w:r>
                          <w:rPr>
                            <w:rFonts w:ascii="Arial MT"/>
                            <w:sz w:val="14"/>
                          </w:rPr>
                          <w:tab/>
                        </w:r>
                        <w:r>
                          <w:rPr>
                            <w:rFonts w:ascii="Arial MT"/>
                            <w:w w:val="80"/>
                            <w:sz w:val="14"/>
                          </w:rPr>
                          <w:t>Receiving</w:t>
                        </w:r>
                        <w:r>
                          <w:rPr>
                            <w:rFonts w:ascii="Arial MT"/>
                            <w:spacing w:val="-5"/>
                            <w:sz w:val="14"/>
                          </w:rPr>
                          <w:t> </w:t>
                        </w:r>
                        <w:r>
                          <w:rPr>
                            <w:rFonts w:ascii="Arial MT"/>
                            <w:w w:val="80"/>
                            <w:sz w:val="14"/>
                          </w:rPr>
                          <w:t>formal</w:t>
                        </w:r>
                        <w:r>
                          <w:rPr>
                            <w:rFonts w:ascii="Arial MT"/>
                            <w:spacing w:val="-3"/>
                            <w:sz w:val="14"/>
                          </w:rPr>
                          <w:t> </w:t>
                        </w:r>
                        <w:r>
                          <w:rPr>
                            <w:rFonts w:ascii="Arial MT"/>
                            <w:spacing w:val="-5"/>
                            <w:w w:val="80"/>
                            <w:sz w:val="14"/>
                          </w:rPr>
                          <w:t>VET</w:t>
                        </w:r>
                        <w:r>
                          <w:rPr>
                            <w:rFonts w:ascii="Arial MT"/>
                            <w:sz w:val="14"/>
                          </w:rPr>
                          <w:tab/>
                        </w:r>
                        <w:r>
                          <w:rPr>
                            <w:rFonts w:ascii="Arial MT"/>
                            <w:w w:val="80"/>
                            <w:sz w:val="14"/>
                          </w:rPr>
                          <w:t>Received</w:t>
                        </w:r>
                        <w:r>
                          <w:rPr>
                            <w:rFonts w:ascii="Arial MT"/>
                            <w:spacing w:val="-5"/>
                            <w:sz w:val="14"/>
                          </w:rPr>
                          <w:t> </w:t>
                        </w:r>
                        <w:r>
                          <w:rPr>
                            <w:rFonts w:ascii="Arial MT"/>
                            <w:w w:val="80"/>
                            <w:sz w:val="14"/>
                          </w:rPr>
                          <w:t>formal</w:t>
                        </w:r>
                        <w:r>
                          <w:rPr>
                            <w:rFonts w:ascii="Arial MT"/>
                            <w:spacing w:val="-3"/>
                            <w:sz w:val="14"/>
                          </w:rPr>
                          <w:t> </w:t>
                        </w:r>
                        <w:r>
                          <w:rPr>
                            <w:rFonts w:ascii="Arial MT"/>
                            <w:spacing w:val="-5"/>
                            <w:w w:val="80"/>
                            <w:sz w:val="14"/>
                          </w:rPr>
                          <w:t>VET</w:t>
                        </w:r>
                        <w:r>
                          <w:rPr>
                            <w:rFonts w:ascii="Arial MT"/>
                            <w:sz w:val="14"/>
                          </w:rPr>
                          <w:tab/>
                        </w:r>
                        <w:r>
                          <w:rPr>
                            <w:rFonts w:ascii="Arial MT"/>
                            <w:w w:val="80"/>
                            <w:sz w:val="14"/>
                          </w:rPr>
                          <w:t>Received</w:t>
                        </w:r>
                        <w:r>
                          <w:rPr>
                            <w:rFonts w:ascii="Arial MT"/>
                            <w:spacing w:val="-5"/>
                            <w:sz w:val="14"/>
                          </w:rPr>
                          <w:t> </w:t>
                        </w:r>
                        <w:r>
                          <w:rPr>
                            <w:rFonts w:ascii="Arial MT"/>
                            <w:w w:val="80"/>
                            <w:sz w:val="14"/>
                          </w:rPr>
                          <w:t>non</w:t>
                        </w:r>
                        <w:r>
                          <w:rPr>
                            <w:rFonts w:ascii="Arial MT"/>
                            <w:spacing w:val="-3"/>
                            <w:sz w:val="14"/>
                          </w:rPr>
                          <w:t> </w:t>
                        </w:r>
                        <w:r>
                          <w:rPr>
                            <w:rFonts w:ascii="Arial MT"/>
                            <w:w w:val="80"/>
                            <w:sz w:val="14"/>
                          </w:rPr>
                          <w:t>formal</w:t>
                        </w:r>
                        <w:r>
                          <w:rPr>
                            <w:rFonts w:ascii="Arial MT"/>
                            <w:spacing w:val="-2"/>
                            <w:sz w:val="14"/>
                          </w:rPr>
                          <w:t> </w:t>
                        </w:r>
                        <w:r>
                          <w:rPr>
                            <w:rFonts w:ascii="Arial MT"/>
                            <w:spacing w:val="-5"/>
                            <w:w w:val="80"/>
                            <w:sz w:val="14"/>
                          </w:rPr>
                          <w:t>VET</w:t>
                        </w:r>
                      </w:p>
                    </w:txbxContent>
                  </v:textbox>
                  <w10:wrap type="none"/>
                </v:shape>
                <v:shape style="position:absolute;left:2622;top:859;width:186;height:161" type="#_x0000_t202" id="docshape1261" filled="false" stroked="false">
                  <v:textbox inset="0,0,0,0">
                    <w:txbxContent>
                      <w:p>
                        <w:pPr>
                          <w:spacing w:line="161" w:lineRule="exact" w:before="0"/>
                          <w:ind w:left="0" w:right="0" w:firstLine="0"/>
                          <w:jc w:val="left"/>
                          <w:rPr>
                            <w:rFonts w:ascii="Arial MT"/>
                            <w:sz w:val="14"/>
                          </w:rPr>
                        </w:pPr>
                        <w:r>
                          <w:rPr>
                            <w:rFonts w:ascii="Arial MT"/>
                            <w:spacing w:val="-15"/>
                            <w:sz w:val="14"/>
                          </w:rPr>
                          <w:t>1%</w:t>
                        </w:r>
                      </w:p>
                    </w:txbxContent>
                  </v:textbox>
                  <w10:wrap type="none"/>
                </v:shape>
                <v:shape style="position:absolute;left:3349;top:839;width:186;height:161" type="#_x0000_t202" id="docshape1262" filled="false" stroked="false">
                  <v:textbox inset="0,0,0,0">
                    <w:txbxContent>
                      <w:p>
                        <w:pPr>
                          <w:spacing w:line="161" w:lineRule="exact" w:before="0"/>
                          <w:ind w:left="0" w:right="0" w:firstLine="0"/>
                          <w:jc w:val="left"/>
                          <w:rPr>
                            <w:rFonts w:ascii="Arial MT"/>
                            <w:sz w:val="14"/>
                          </w:rPr>
                        </w:pPr>
                        <w:r>
                          <w:rPr>
                            <w:rFonts w:ascii="Arial MT"/>
                            <w:spacing w:val="-15"/>
                            <w:sz w:val="14"/>
                          </w:rPr>
                          <w:t>2%</w:t>
                        </w:r>
                      </w:p>
                    </w:txbxContent>
                  </v:textbox>
                  <w10:wrap type="none"/>
                </v:shape>
                <v:shape style="position:absolute;left:3754;top:884;width:186;height:161" type="#_x0000_t202" id="docshape1263" filled="false" stroked="false">
                  <v:textbox inset="0,0,0,0">
                    <w:txbxContent>
                      <w:p>
                        <w:pPr>
                          <w:spacing w:line="161" w:lineRule="exact" w:before="0"/>
                          <w:ind w:left="0" w:right="0" w:firstLine="0"/>
                          <w:jc w:val="left"/>
                          <w:rPr>
                            <w:rFonts w:ascii="Arial MT"/>
                            <w:sz w:val="14"/>
                          </w:rPr>
                        </w:pPr>
                        <w:r>
                          <w:rPr>
                            <w:rFonts w:ascii="Arial MT"/>
                            <w:spacing w:val="-15"/>
                            <w:sz w:val="14"/>
                          </w:rPr>
                          <w:t>8%</w:t>
                        </w:r>
                      </w:p>
                    </w:txbxContent>
                  </v:textbox>
                  <w10:wrap type="none"/>
                </v:shape>
                <v:shape style="position:absolute;left:4670;top:3846;width:250;height:161" type="#_x0000_t202" id="docshape1264" filled="false" stroked="false">
                  <v:textbox inset="0,0,0,0">
                    <w:txbxContent>
                      <w:p>
                        <w:pPr>
                          <w:spacing w:line="161" w:lineRule="exact" w:before="0"/>
                          <w:ind w:left="0" w:right="0" w:firstLine="0"/>
                          <w:jc w:val="left"/>
                          <w:rPr>
                            <w:rFonts w:ascii="Arial MT"/>
                            <w:sz w:val="14"/>
                          </w:rPr>
                        </w:pPr>
                        <w:r>
                          <w:rPr>
                            <w:rFonts w:ascii="Arial MT"/>
                            <w:spacing w:val="-6"/>
                            <w:w w:val="90"/>
                            <w:sz w:val="14"/>
                          </w:rPr>
                          <w:t>89%</w:t>
                        </w:r>
                      </w:p>
                    </w:txbxContent>
                  </v:textbox>
                  <w10:wrap type="none"/>
                </v:shape>
              </v:group>
            </w:pict>
          </mc:Fallback>
        </mc:AlternateContent>
      </w:r>
      <w:r>
        <w:rPr>
          <w:sz w:val="20"/>
        </w:rPr>
      </w:r>
    </w:p>
    <w:p>
      <w:pPr>
        <w:spacing w:before="23"/>
        <w:ind w:left="242" w:right="0" w:firstLine="0"/>
        <w:jc w:val="left"/>
        <w:rPr>
          <w:sz w:val="16"/>
        </w:rPr>
      </w:pPr>
      <w:r>
        <w:rPr>
          <w:i/>
          <w:spacing w:val="-4"/>
          <w:sz w:val="16"/>
        </w:rPr>
        <w:t>Source:</w:t>
      </w:r>
      <w:r>
        <w:rPr>
          <w:i/>
          <w:spacing w:val="2"/>
          <w:sz w:val="16"/>
        </w:rPr>
        <w:t> </w:t>
      </w:r>
      <w:r>
        <w:rPr>
          <w:spacing w:val="-4"/>
          <w:sz w:val="16"/>
        </w:rPr>
        <w:t>Status</w:t>
      </w:r>
      <w:r>
        <w:rPr>
          <w:spacing w:val="2"/>
          <w:sz w:val="16"/>
        </w:rPr>
        <w:t> </w:t>
      </w:r>
      <w:r>
        <w:rPr>
          <w:spacing w:val="-4"/>
          <w:sz w:val="16"/>
        </w:rPr>
        <w:t>of</w:t>
      </w:r>
      <w:r>
        <w:rPr>
          <w:spacing w:val="2"/>
          <w:sz w:val="16"/>
        </w:rPr>
        <w:t> </w:t>
      </w:r>
      <w:r>
        <w:rPr>
          <w:spacing w:val="-4"/>
          <w:sz w:val="16"/>
        </w:rPr>
        <w:t>Education</w:t>
      </w:r>
      <w:r>
        <w:rPr>
          <w:spacing w:val="3"/>
          <w:sz w:val="16"/>
        </w:rPr>
        <w:t> </w:t>
      </w:r>
      <w:r>
        <w:rPr>
          <w:spacing w:val="-4"/>
          <w:sz w:val="16"/>
        </w:rPr>
        <w:t>and</w:t>
      </w:r>
      <w:r>
        <w:rPr>
          <w:spacing w:val="-1"/>
          <w:sz w:val="16"/>
        </w:rPr>
        <w:t> </w:t>
      </w:r>
      <w:r>
        <w:rPr>
          <w:spacing w:val="-4"/>
          <w:sz w:val="16"/>
        </w:rPr>
        <w:t>Vocational</w:t>
      </w:r>
      <w:r>
        <w:rPr>
          <w:spacing w:val="-6"/>
          <w:sz w:val="16"/>
        </w:rPr>
        <w:t> </w:t>
      </w:r>
      <w:r>
        <w:rPr>
          <w:spacing w:val="-4"/>
          <w:sz w:val="16"/>
        </w:rPr>
        <w:t>Training</w:t>
      </w:r>
      <w:r>
        <w:rPr>
          <w:spacing w:val="2"/>
          <w:sz w:val="16"/>
        </w:rPr>
        <w:t> </w:t>
      </w:r>
      <w:r>
        <w:rPr>
          <w:spacing w:val="-4"/>
          <w:sz w:val="16"/>
        </w:rPr>
        <w:t>in</w:t>
      </w:r>
      <w:r>
        <w:rPr>
          <w:spacing w:val="2"/>
          <w:sz w:val="16"/>
        </w:rPr>
        <w:t> </w:t>
      </w:r>
      <w:r>
        <w:rPr>
          <w:spacing w:val="-4"/>
          <w:sz w:val="16"/>
        </w:rPr>
        <w:t>India,</w:t>
      </w:r>
      <w:r>
        <w:rPr>
          <w:spacing w:val="3"/>
          <w:sz w:val="16"/>
        </w:rPr>
        <w:t> </w:t>
      </w:r>
      <w:r>
        <w:rPr>
          <w:spacing w:val="-4"/>
          <w:sz w:val="16"/>
        </w:rPr>
        <w:t>2004-05,</w:t>
      </w:r>
      <w:r>
        <w:rPr>
          <w:spacing w:val="2"/>
          <w:sz w:val="16"/>
        </w:rPr>
        <w:t> </w:t>
      </w:r>
      <w:r>
        <w:rPr>
          <w:spacing w:val="-4"/>
          <w:sz w:val="16"/>
        </w:rPr>
        <w:t>NSS</w:t>
      </w:r>
      <w:r>
        <w:rPr>
          <w:spacing w:val="2"/>
          <w:sz w:val="16"/>
        </w:rPr>
        <w:t> </w:t>
      </w:r>
      <w:r>
        <w:rPr>
          <w:spacing w:val="-4"/>
          <w:sz w:val="16"/>
        </w:rPr>
        <w:t>61</w:t>
      </w:r>
      <w:r>
        <w:rPr>
          <w:spacing w:val="-4"/>
          <w:position w:val="5"/>
          <w:sz w:val="9"/>
        </w:rPr>
        <w:t>st</w:t>
      </w:r>
      <w:r>
        <w:rPr>
          <w:spacing w:val="20"/>
          <w:position w:val="5"/>
          <w:sz w:val="9"/>
        </w:rPr>
        <w:t> </w:t>
      </w:r>
      <w:r>
        <w:rPr>
          <w:spacing w:val="-4"/>
          <w:sz w:val="16"/>
        </w:rPr>
        <w:t>Round</w:t>
      </w:r>
    </w:p>
    <w:p>
      <w:pPr>
        <w:pStyle w:val="BodyText"/>
        <w:rPr>
          <w:sz w:val="16"/>
        </w:rPr>
      </w:pPr>
    </w:p>
    <w:p>
      <w:pPr>
        <w:pStyle w:val="BodyText"/>
        <w:rPr>
          <w:sz w:val="16"/>
        </w:rPr>
      </w:pPr>
    </w:p>
    <w:p>
      <w:pPr>
        <w:pStyle w:val="BodyText"/>
        <w:spacing w:before="85"/>
        <w:rPr>
          <w:sz w:val="16"/>
        </w:rPr>
      </w:pPr>
    </w:p>
    <w:p>
      <w:pPr>
        <w:pStyle w:val="Heading8"/>
        <w:spacing w:line="242" w:lineRule="auto"/>
        <w:ind w:left="1270" w:right="1506" w:hanging="1029"/>
      </w:pPr>
      <w:r>
        <w:rPr/>
        <mc:AlternateContent>
          <mc:Choice Requires="wps">
            <w:drawing>
              <wp:anchor distT="0" distB="0" distL="0" distR="0" allowOverlap="1" layoutInCell="1" locked="0" behindDoc="0" simplePos="0" relativeHeight="15811072">
                <wp:simplePos x="0" y="0"/>
                <wp:positionH relativeFrom="page">
                  <wp:posOffset>3205834</wp:posOffset>
                </wp:positionH>
                <wp:positionV relativeFrom="paragraph">
                  <wp:posOffset>376930</wp:posOffset>
                </wp:positionV>
                <wp:extent cx="3900170" cy="1858010"/>
                <wp:effectExtent l="0" t="0" r="0" b="0"/>
                <wp:wrapNone/>
                <wp:docPr id="1277" name="Group 1277"/>
                <wp:cNvGraphicFramePr>
                  <a:graphicFrameLocks/>
                </wp:cNvGraphicFramePr>
                <a:graphic>
                  <a:graphicData uri="http://schemas.microsoft.com/office/word/2010/wordprocessingGroup">
                    <wpg:wgp>
                      <wpg:cNvPr id="1277" name="Group 1277"/>
                      <wpg:cNvGrpSpPr/>
                      <wpg:grpSpPr>
                        <a:xfrm>
                          <a:off x="0" y="0"/>
                          <a:ext cx="3900170" cy="1858010"/>
                          <a:chExt cx="3900170" cy="1858010"/>
                        </a:xfrm>
                      </wpg:grpSpPr>
                      <wps:wsp>
                        <wps:cNvPr id="1278" name="Graphic 1278"/>
                        <wps:cNvSpPr/>
                        <wps:spPr>
                          <a:xfrm>
                            <a:off x="369798" y="289590"/>
                            <a:ext cx="5715" cy="1350645"/>
                          </a:xfrm>
                          <a:custGeom>
                            <a:avLst/>
                            <a:gdLst/>
                            <a:ahLst/>
                            <a:cxnLst/>
                            <a:rect l="l" t="t" r="r" b="b"/>
                            <a:pathLst>
                              <a:path w="5715" h="1350645">
                                <a:moveTo>
                                  <a:pt x="5329" y="0"/>
                                </a:moveTo>
                                <a:lnTo>
                                  <a:pt x="0" y="0"/>
                                </a:lnTo>
                                <a:lnTo>
                                  <a:pt x="0" y="1350022"/>
                                </a:lnTo>
                                <a:lnTo>
                                  <a:pt x="5329" y="1350022"/>
                                </a:lnTo>
                                <a:lnTo>
                                  <a:pt x="5329" y="0"/>
                                </a:lnTo>
                                <a:close/>
                              </a:path>
                            </a:pathLst>
                          </a:custGeom>
                          <a:solidFill>
                            <a:srgbClr val="99989A"/>
                          </a:solidFill>
                        </wps:spPr>
                        <wps:bodyPr wrap="square" lIns="0" tIns="0" rIns="0" bIns="0" rtlCol="0">
                          <a:prstTxWarp prst="textNoShape">
                            <a:avLst/>
                          </a:prstTxWarp>
                          <a:noAutofit/>
                        </wps:bodyPr>
                      </wps:wsp>
                      <wps:wsp>
                        <wps:cNvPr id="1279" name="Graphic 1279"/>
                        <wps:cNvSpPr/>
                        <wps:spPr>
                          <a:xfrm>
                            <a:off x="369786" y="1594408"/>
                            <a:ext cx="3472815" cy="48260"/>
                          </a:xfrm>
                          <a:custGeom>
                            <a:avLst/>
                            <a:gdLst/>
                            <a:ahLst/>
                            <a:cxnLst/>
                            <a:rect l="l" t="t" r="r" b="b"/>
                            <a:pathLst>
                              <a:path w="3472815" h="48260">
                                <a:moveTo>
                                  <a:pt x="3472789" y="0"/>
                                </a:moveTo>
                                <a:lnTo>
                                  <a:pt x="3472789" y="0"/>
                                </a:lnTo>
                                <a:lnTo>
                                  <a:pt x="0" y="0"/>
                                </a:lnTo>
                                <a:lnTo>
                                  <a:pt x="0" y="47879"/>
                                </a:lnTo>
                                <a:lnTo>
                                  <a:pt x="5334" y="47879"/>
                                </a:lnTo>
                                <a:lnTo>
                                  <a:pt x="5334" y="5334"/>
                                </a:lnTo>
                                <a:lnTo>
                                  <a:pt x="1153718" y="5334"/>
                                </a:lnTo>
                                <a:lnTo>
                                  <a:pt x="1153718" y="47879"/>
                                </a:lnTo>
                                <a:lnTo>
                                  <a:pt x="1159040" y="47879"/>
                                </a:lnTo>
                                <a:lnTo>
                                  <a:pt x="1159040" y="5334"/>
                                </a:lnTo>
                                <a:lnTo>
                                  <a:pt x="2313749" y="5334"/>
                                </a:lnTo>
                                <a:lnTo>
                                  <a:pt x="2313749" y="47879"/>
                                </a:lnTo>
                                <a:lnTo>
                                  <a:pt x="2319083" y="47879"/>
                                </a:lnTo>
                                <a:lnTo>
                                  <a:pt x="2319083" y="5334"/>
                                </a:lnTo>
                                <a:lnTo>
                                  <a:pt x="3467468" y="5334"/>
                                </a:lnTo>
                                <a:lnTo>
                                  <a:pt x="3467468" y="47879"/>
                                </a:lnTo>
                                <a:lnTo>
                                  <a:pt x="3472789" y="47879"/>
                                </a:lnTo>
                                <a:lnTo>
                                  <a:pt x="3472789"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942051" y="1281830"/>
                            <a:ext cx="2327910" cy="222250"/>
                          </a:xfrm>
                          <a:custGeom>
                            <a:avLst/>
                            <a:gdLst/>
                            <a:ahLst/>
                            <a:cxnLst/>
                            <a:rect l="l" t="t" r="r" b="b"/>
                            <a:pathLst>
                              <a:path w="2327910" h="222250">
                                <a:moveTo>
                                  <a:pt x="1160946" y="13657"/>
                                </a:moveTo>
                                <a:lnTo>
                                  <a:pt x="0" y="209213"/>
                                </a:lnTo>
                                <a:lnTo>
                                  <a:pt x="2094" y="221645"/>
                                </a:lnTo>
                                <a:lnTo>
                                  <a:pt x="1167429" y="25349"/>
                                </a:lnTo>
                                <a:lnTo>
                                  <a:pt x="1161074" y="25349"/>
                                </a:lnTo>
                                <a:lnTo>
                                  <a:pt x="1160946" y="13657"/>
                                </a:lnTo>
                                <a:close/>
                              </a:path>
                              <a:path w="2327910" h="222250">
                                <a:moveTo>
                                  <a:pt x="1172629" y="12615"/>
                                </a:moveTo>
                                <a:lnTo>
                                  <a:pt x="1166750" y="12679"/>
                                </a:lnTo>
                                <a:lnTo>
                                  <a:pt x="1160946" y="13657"/>
                                </a:lnTo>
                                <a:lnTo>
                                  <a:pt x="1161074" y="25349"/>
                                </a:lnTo>
                                <a:lnTo>
                                  <a:pt x="1167870" y="25275"/>
                                </a:lnTo>
                                <a:lnTo>
                                  <a:pt x="1174571" y="24146"/>
                                </a:lnTo>
                                <a:lnTo>
                                  <a:pt x="1172629" y="12615"/>
                                </a:lnTo>
                                <a:close/>
                              </a:path>
                              <a:path w="2327910" h="222250">
                                <a:moveTo>
                                  <a:pt x="1167870" y="25275"/>
                                </a:moveTo>
                                <a:lnTo>
                                  <a:pt x="1161074" y="25349"/>
                                </a:lnTo>
                                <a:lnTo>
                                  <a:pt x="1167429" y="25349"/>
                                </a:lnTo>
                                <a:lnTo>
                                  <a:pt x="1167870" y="25275"/>
                                </a:lnTo>
                                <a:close/>
                              </a:path>
                              <a:path w="2327910" h="222250">
                                <a:moveTo>
                                  <a:pt x="2327259" y="0"/>
                                </a:moveTo>
                                <a:lnTo>
                                  <a:pt x="1172629" y="12615"/>
                                </a:lnTo>
                                <a:lnTo>
                                  <a:pt x="1174571" y="24146"/>
                                </a:lnTo>
                                <a:lnTo>
                                  <a:pt x="1167870" y="25275"/>
                                </a:lnTo>
                                <a:lnTo>
                                  <a:pt x="2327397" y="12605"/>
                                </a:lnTo>
                                <a:lnTo>
                                  <a:pt x="2327259" y="0"/>
                                </a:lnTo>
                                <a:close/>
                              </a:path>
                              <a:path w="2327910" h="222250">
                                <a:moveTo>
                                  <a:pt x="1166750" y="12679"/>
                                </a:moveTo>
                                <a:lnTo>
                                  <a:pt x="1160936" y="12743"/>
                                </a:lnTo>
                                <a:lnTo>
                                  <a:pt x="1160946" y="13657"/>
                                </a:lnTo>
                                <a:lnTo>
                                  <a:pt x="1166750" y="12679"/>
                                </a:lnTo>
                                <a:close/>
                              </a:path>
                              <a:path w="2327910" h="222250">
                                <a:moveTo>
                                  <a:pt x="1172477" y="11715"/>
                                </a:moveTo>
                                <a:lnTo>
                                  <a:pt x="1166750" y="12679"/>
                                </a:lnTo>
                                <a:lnTo>
                                  <a:pt x="1172629" y="12615"/>
                                </a:lnTo>
                                <a:lnTo>
                                  <a:pt x="1172477" y="11715"/>
                                </a:lnTo>
                                <a:close/>
                              </a:path>
                            </a:pathLst>
                          </a:custGeom>
                          <a:solidFill>
                            <a:srgbClr val="E3C626"/>
                          </a:solidFill>
                        </wps:spPr>
                        <wps:bodyPr wrap="square" lIns="0" tIns="0" rIns="0" bIns="0" rtlCol="0">
                          <a:prstTxWarp prst="textNoShape">
                            <a:avLst/>
                          </a:prstTxWarp>
                          <a:noAutofit/>
                        </wps:bodyPr>
                      </wps:wsp>
                      <wps:wsp>
                        <wps:cNvPr id="1281" name="Graphic 1281"/>
                        <wps:cNvSpPr/>
                        <wps:spPr>
                          <a:xfrm>
                            <a:off x="940552" y="497812"/>
                            <a:ext cx="2329180" cy="812165"/>
                          </a:xfrm>
                          <a:custGeom>
                            <a:avLst/>
                            <a:gdLst/>
                            <a:ahLst/>
                            <a:cxnLst/>
                            <a:rect l="l" t="t" r="r" b="b"/>
                            <a:pathLst>
                              <a:path w="2329180" h="812165">
                                <a:moveTo>
                                  <a:pt x="1162683" y="5315"/>
                                </a:moveTo>
                                <a:lnTo>
                                  <a:pt x="0" y="801356"/>
                                </a:lnTo>
                                <a:lnTo>
                                  <a:pt x="7121" y="811758"/>
                                </a:lnTo>
                                <a:lnTo>
                                  <a:pt x="1170601" y="15172"/>
                                </a:lnTo>
                                <a:lnTo>
                                  <a:pt x="1162169" y="14711"/>
                                </a:lnTo>
                                <a:lnTo>
                                  <a:pt x="1162683" y="5315"/>
                                </a:lnTo>
                                <a:close/>
                              </a:path>
                              <a:path w="2329180" h="812165">
                                <a:moveTo>
                                  <a:pt x="1172253" y="2637"/>
                                </a:moveTo>
                                <a:lnTo>
                                  <a:pt x="1177569" y="10401"/>
                                </a:lnTo>
                                <a:lnTo>
                                  <a:pt x="1170601" y="15172"/>
                                </a:lnTo>
                                <a:lnTo>
                                  <a:pt x="2328474" y="78438"/>
                                </a:lnTo>
                                <a:lnTo>
                                  <a:pt x="2329162" y="65850"/>
                                </a:lnTo>
                                <a:lnTo>
                                  <a:pt x="1172253" y="2637"/>
                                </a:lnTo>
                                <a:close/>
                              </a:path>
                              <a:path w="2329180" h="812165">
                                <a:moveTo>
                                  <a:pt x="1167013" y="2351"/>
                                </a:moveTo>
                                <a:lnTo>
                                  <a:pt x="1162683" y="5315"/>
                                </a:lnTo>
                                <a:lnTo>
                                  <a:pt x="1162169" y="14711"/>
                                </a:lnTo>
                                <a:lnTo>
                                  <a:pt x="1170601" y="15172"/>
                                </a:lnTo>
                                <a:lnTo>
                                  <a:pt x="1177569" y="10401"/>
                                </a:lnTo>
                                <a:lnTo>
                                  <a:pt x="1172253" y="2637"/>
                                </a:lnTo>
                                <a:lnTo>
                                  <a:pt x="1167013" y="2351"/>
                                </a:lnTo>
                                <a:close/>
                              </a:path>
                              <a:path w="2329180" h="812165">
                                <a:moveTo>
                                  <a:pt x="1162857" y="2123"/>
                                </a:moveTo>
                                <a:lnTo>
                                  <a:pt x="1162683" y="5315"/>
                                </a:lnTo>
                                <a:lnTo>
                                  <a:pt x="1167013" y="2351"/>
                                </a:lnTo>
                                <a:lnTo>
                                  <a:pt x="1162857" y="2123"/>
                                </a:lnTo>
                                <a:close/>
                              </a:path>
                              <a:path w="2329180" h="812165">
                                <a:moveTo>
                                  <a:pt x="1170447" y="0"/>
                                </a:moveTo>
                                <a:lnTo>
                                  <a:pt x="1167013" y="2351"/>
                                </a:lnTo>
                                <a:lnTo>
                                  <a:pt x="1172253" y="2637"/>
                                </a:lnTo>
                                <a:lnTo>
                                  <a:pt x="1170447" y="0"/>
                                </a:lnTo>
                                <a:close/>
                              </a:path>
                            </a:pathLst>
                          </a:custGeom>
                          <a:solidFill>
                            <a:srgbClr val="2E614A"/>
                          </a:solidFill>
                        </wps:spPr>
                        <wps:bodyPr wrap="square" lIns="0" tIns="0" rIns="0" bIns="0" rtlCol="0">
                          <a:prstTxWarp prst="textNoShape">
                            <a:avLst/>
                          </a:prstTxWarp>
                          <a:noAutofit/>
                        </wps:bodyPr>
                      </wps:wsp>
                      <wps:wsp>
                        <wps:cNvPr id="1282" name="Graphic 1282"/>
                        <wps:cNvSpPr/>
                        <wps:spPr>
                          <a:xfrm>
                            <a:off x="941367" y="1065937"/>
                            <a:ext cx="2328545" cy="394335"/>
                          </a:xfrm>
                          <a:custGeom>
                            <a:avLst/>
                            <a:gdLst/>
                            <a:ahLst/>
                            <a:cxnLst/>
                            <a:rect l="l" t="t" r="r" b="b"/>
                            <a:pathLst>
                              <a:path w="2328545" h="394335">
                                <a:moveTo>
                                  <a:pt x="1161689" y="3371"/>
                                </a:moveTo>
                                <a:lnTo>
                                  <a:pt x="0" y="382112"/>
                                </a:lnTo>
                                <a:lnTo>
                                  <a:pt x="3907" y="394097"/>
                                </a:lnTo>
                                <a:lnTo>
                                  <a:pt x="1168993" y="14249"/>
                                </a:lnTo>
                                <a:lnTo>
                                  <a:pt x="1161689" y="14249"/>
                                </a:lnTo>
                                <a:lnTo>
                                  <a:pt x="1161689" y="3371"/>
                                </a:lnTo>
                                <a:close/>
                              </a:path>
                              <a:path w="2328545" h="394335">
                                <a:moveTo>
                                  <a:pt x="1172031" y="0"/>
                                </a:moveTo>
                                <a:lnTo>
                                  <a:pt x="1161689" y="3371"/>
                                </a:lnTo>
                                <a:lnTo>
                                  <a:pt x="1161689" y="14249"/>
                                </a:lnTo>
                                <a:lnTo>
                                  <a:pt x="1168993" y="14249"/>
                                </a:lnTo>
                                <a:lnTo>
                                  <a:pt x="1175939" y="11985"/>
                                </a:lnTo>
                                <a:lnTo>
                                  <a:pt x="1172031" y="0"/>
                                </a:lnTo>
                                <a:close/>
                              </a:path>
                              <a:path w="2328545" h="394335">
                                <a:moveTo>
                                  <a:pt x="2328013" y="1643"/>
                                </a:moveTo>
                                <a:lnTo>
                                  <a:pt x="1172567" y="1643"/>
                                </a:lnTo>
                                <a:lnTo>
                                  <a:pt x="1175939" y="11985"/>
                                </a:lnTo>
                                <a:lnTo>
                                  <a:pt x="1168993" y="14249"/>
                                </a:lnTo>
                                <a:lnTo>
                                  <a:pt x="2328013" y="14249"/>
                                </a:lnTo>
                                <a:lnTo>
                                  <a:pt x="2328013" y="1643"/>
                                </a:lnTo>
                                <a:close/>
                              </a:path>
                              <a:path w="2328545" h="394335">
                                <a:moveTo>
                                  <a:pt x="1166990" y="1643"/>
                                </a:moveTo>
                                <a:lnTo>
                                  <a:pt x="1161689" y="1643"/>
                                </a:lnTo>
                                <a:lnTo>
                                  <a:pt x="1161689" y="3371"/>
                                </a:lnTo>
                                <a:lnTo>
                                  <a:pt x="1166990" y="1643"/>
                                </a:lnTo>
                                <a:close/>
                              </a:path>
                            </a:pathLst>
                          </a:custGeom>
                          <a:solidFill>
                            <a:srgbClr val="9CBF3B"/>
                          </a:solidFill>
                        </wps:spPr>
                        <wps:bodyPr wrap="square" lIns="0" tIns="0" rIns="0" bIns="0" rtlCol="0">
                          <a:prstTxWarp prst="textNoShape">
                            <a:avLst/>
                          </a:prstTxWarp>
                          <a:noAutofit/>
                        </wps:bodyPr>
                      </wps:wsp>
                      <wps:wsp>
                        <wps:cNvPr id="1283" name="Graphic 1283"/>
                        <wps:cNvSpPr/>
                        <wps:spPr>
                          <a:xfrm>
                            <a:off x="917614" y="1256690"/>
                            <a:ext cx="2377440" cy="271145"/>
                          </a:xfrm>
                          <a:custGeom>
                            <a:avLst/>
                            <a:gdLst/>
                            <a:ahLst/>
                            <a:cxnLst/>
                            <a:rect l="l" t="t" r="r" b="b"/>
                            <a:pathLst>
                              <a:path w="2377440" h="271145">
                                <a:moveTo>
                                  <a:pt x="63385" y="239534"/>
                                </a:moveTo>
                                <a:lnTo>
                                  <a:pt x="31699" y="208013"/>
                                </a:lnTo>
                                <a:lnTo>
                                  <a:pt x="0" y="239534"/>
                                </a:lnTo>
                                <a:lnTo>
                                  <a:pt x="31699" y="271043"/>
                                </a:lnTo>
                                <a:lnTo>
                                  <a:pt x="63385" y="239534"/>
                                </a:lnTo>
                                <a:close/>
                              </a:path>
                              <a:path w="2377440" h="271145">
                                <a:moveTo>
                                  <a:pt x="1223441" y="44119"/>
                                </a:moveTo>
                                <a:lnTo>
                                  <a:pt x="1191742" y="12598"/>
                                </a:lnTo>
                                <a:lnTo>
                                  <a:pt x="1160043" y="44119"/>
                                </a:lnTo>
                                <a:lnTo>
                                  <a:pt x="1191742" y="75641"/>
                                </a:lnTo>
                                <a:lnTo>
                                  <a:pt x="1223441" y="44119"/>
                                </a:lnTo>
                                <a:close/>
                              </a:path>
                              <a:path w="2377440" h="271145">
                                <a:moveTo>
                                  <a:pt x="2377148" y="31521"/>
                                </a:moveTo>
                                <a:lnTo>
                                  <a:pt x="2345461" y="0"/>
                                </a:lnTo>
                                <a:lnTo>
                                  <a:pt x="2313749" y="31521"/>
                                </a:lnTo>
                                <a:lnTo>
                                  <a:pt x="2345461" y="63030"/>
                                </a:lnTo>
                                <a:lnTo>
                                  <a:pt x="2377148" y="31521"/>
                                </a:lnTo>
                                <a:close/>
                              </a:path>
                            </a:pathLst>
                          </a:custGeom>
                          <a:solidFill>
                            <a:srgbClr val="E3C626"/>
                          </a:solidFill>
                        </wps:spPr>
                        <wps:bodyPr wrap="square" lIns="0" tIns="0" rIns="0" bIns="0" rtlCol="0">
                          <a:prstTxWarp prst="textNoShape">
                            <a:avLst/>
                          </a:prstTxWarp>
                          <a:noAutofit/>
                        </wps:bodyPr>
                      </wps:wsp>
                      <wps:wsp>
                        <wps:cNvPr id="1284" name="Graphic 1284"/>
                        <wps:cNvSpPr/>
                        <wps:spPr>
                          <a:xfrm>
                            <a:off x="914464" y="471906"/>
                            <a:ext cx="2377440" cy="857885"/>
                          </a:xfrm>
                          <a:custGeom>
                            <a:avLst/>
                            <a:gdLst/>
                            <a:ahLst/>
                            <a:cxnLst/>
                            <a:rect l="l" t="t" r="r" b="b"/>
                            <a:pathLst>
                              <a:path w="2377440" h="857885">
                                <a:moveTo>
                                  <a:pt x="63347" y="794232"/>
                                </a:moveTo>
                                <a:lnTo>
                                  <a:pt x="0" y="794232"/>
                                </a:lnTo>
                                <a:lnTo>
                                  <a:pt x="0" y="857275"/>
                                </a:lnTo>
                                <a:lnTo>
                                  <a:pt x="63347" y="857275"/>
                                </a:lnTo>
                                <a:lnTo>
                                  <a:pt x="63347" y="854113"/>
                                </a:lnTo>
                                <a:lnTo>
                                  <a:pt x="63347" y="850963"/>
                                </a:lnTo>
                                <a:lnTo>
                                  <a:pt x="63347" y="800544"/>
                                </a:lnTo>
                                <a:lnTo>
                                  <a:pt x="63347" y="797382"/>
                                </a:lnTo>
                                <a:lnTo>
                                  <a:pt x="63347" y="794232"/>
                                </a:lnTo>
                                <a:close/>
                              </a:path>
                              <a:path w="2377440" h="857885">
                                <a:moveTo>
                                  <a:pt x="1223403" y="0"/>
                                </a:moveTo>
                                <a:lnTo>
                                  <a:pt x="1160043" y="0"/>
                                </a:lnTo>
                                <a:lnTo>
                                  <a:pt x="1160043" y="63042"/>
                                </a:lnTo>
                                <a:lnTo>
                                  <a:pt x="1223403" y="63042"/>
                                </a:lnTo>
                                <a:lnTo>
                                  <a:pt x="1223403" y="59880"/>
                                </a:lnTo>
                                <a:lnTo>
                                  <a:pt x="1223403" y="56730"/>
                                </a:lnTo>
                                <a:lnTo>
                                  <a:pt x="1223403" y="6299"/>
                                </a:lnTo>
                                <a:lnTo>
                                  <a:pt x="1223403" y="3149"/>
                                </a:lnTo>
                                <a:lnTo>
                                  <a:pt x="1223403" y="0"/>
                                </a:lnTo>
                                <a:close/>
                              </a:path>
                              <a:path w="2377440" h="857885">
                                <a:moveTo>
                                  <a:pt x="2377109" y="63042"/>
                                </a:moveTo>
                                <a:lnTo>
                                  <a:pt x="2313749" y="63042"/>
                                </a:lnTo>
                                <a:lnTo>
                                  <a:pt x="2313749" y="126072"/>
                                </a:lnTo>
                                <a:lnTo>
                                  <a:pt x="2377109" y="126072"/>
                                </a:lnTo>
                                <a:lnTo>
                                  <a:pt x="2377109" y="122923"/>
                                </a:lnTo>
                                <a:lnTo>
                                  <a:pt x="2377109" y="119773"/>
                                </a:lnTo>
                                <a:lnTo>
                                  <a:pt x="2377109" y="69342"/>
                                </a:lnTo>
                                <a:lnTo>
                                  <a:pt x="2377109" y="66192"/>
                                </a:lnTo>
                                <a:lnTo>
                                  <a:pt x="2377109" y="63042"/>
                                </a:lnTo>
                                <a:close/>
                              </a:path>
                            </a:pathLst>
                          </a:custGeom>
                          <a:solidFill>
                            <a:srgbClr val="2E614A"/>
                          </a:solidFill>
                        </wps:spPr>
                        <wps:bodyPr wrap="square" lIns="0" tIns="0" rIns="0" bIns="0" rtlCol="0">
                          <a:prstTxWarp prst="textNoShape">
                            <a:avLst/>
                          </a:prstTxWarp>
                          <a:noAutofit/>
                        </wps:bodyPr>
                      </wps:wsp>
                      <wps:wsp>
                        <wps:cNvPr id="1285" name="Graphic 1285"/>
                        <wps:cNvSpPr/>
                        <wps:spPr>
                          <a:xfrm>
                            <a:off x="917614" y="1042364"/>
                            <a:ext cx="2377440" cy="441325"/>
                          </a:xfrm>
                          <a:custGeom>
                            <a:avLst/>
                            <a:gdLst/>
                            <a:ahLst/>
                            <a:cxnLst/>
                            <a:rect l="l" t="t" r="r" b="b"/>
                            <a:pathLst>
                              <a:path w="2377440" h="441325">
                                <a:moveTo>
                                  <a:pt x="63385" y="441248"/>
                                </a:moveTo>
                                <a:lnTo>
                                  <a:pt x="31699" y="378206"/>
                                </a:lnTo>
                                <a:lnTo>
                                  <a:pt x="0" y="441248"/>
                                </a:lnTo>
                                <a:lnTo>
                                  <a:pt x="63385" y="441248"/>
                                </a:lnTo>
                                <a:close/>
                              </a:path>
                              <a:path w="2377440" h="441325">
                                <a:moveTo>
                                  <a:pt x="1223441" y="63042"/>
                                </a:moveTo>
                                <a:lnTo>
                                  <a:pt x="1191742" y="0"/>
                                </a:lnTo>
                                <a:lnTo>
                                  <a:pt x="1160043" y="63042"/>
                                </a:lnTo>
                                <a:lnTo>
                                  <a:pt x="1223441" y="63042"/>
                                </a:lnTo>
                                <a:close/>
                              </a:path>
                              <a:path w="2377440" h="441325">
                                <a:moveTo>
                                  <a:pt x="2377148" y="63042"/>
                                </a:moveTo>
                                <a:lnTo>
                                  <a:pt x="2345461" y="0"/>
                                </a:lnTo>
                                <a:lnTo>
                                  <a:pt x="2313749" y="63042"/>
                                </a:lnTo>
                                <a:lnTo>
                                  <a:pt x="2377148" y="63042"/>
                                </a:lnTo>
                                <a:close/>
                              </a:path>
                            </a:pathLst>
                          </a:custGeom>
                          <a:solidFill>
                            <a:srgbClr val="9CBF3B"/>
                          </a:solidFill>
                        </wps:spPr>
                        <wps:bodyPr wrap="square" lIns="0" tIns="0" rIns="0" bIns="0" rtlCol="0">
                          <a:prstTxWarp prst="textNoShape">
                            <a:avLst/>
                          </a:prstTxWarp>
                          <a:noAutofit/>
                        </wps:bodyPr>
                      </wps:wsp>
                      <wps:wsp>
                        <wps:cNvPr id="1286" name="Graphic 1286"/>
                        <wps:cNvSpPr/>
                        <wps:spPr>
                          <a:xfrm>
                            <a:off x="-11" y="0"/>
                            <a:ext cx="3900170" cy="1858010"/>
                          </a:xfrm>
                          <a:custGeom>
                            <a:avLst/>
                            <a:gdLst/>
                            <a:ahLst/>
                            <a:cxnLst/>
                            <a:rect l="l" t="t" r="r" b="b"/>
                            <a:pathLst>
                              <a:path w="3900170" h="1858010">
                                <a:moveTo>
                                  <a:pt x="3899636" y="0"/>
                                </a:moveTo>
                                <a:lnTo>
                                  <a:pt x="3894302" y="0"/>
                                </a:lnTo>
                                <a:lnTo>
                                  <a:pt x="3894302" y="4965"/>
                                </a:lnTo>
                                <a:lnTo>
                                  <a:pt x="3894302" y="1852853"/>
                                </a:lnTo>
                                <a:lnTo>
                                  <a:pt x="5334" y="1852853"/>
                                </a:lnTo>
                                <a:lnTo>
                                  <a:pt x="5334" y="5080"/>
                                </a:lnTo>
                                <a:lnTo>
                                  <a:pt x="2667" y="5080"/>
                                </a:lnTo>
                                <a:lnTo>
                                  <a:pt x="5334" y="4965"/>
                                </a:lnTo>
                                <a:lnTo>
                                  <a:pt x="3894302" y="4965"/>
                                </a:lnTo>
                                <a:lnTo>
                                  <a:pt x="3894302" y="0"/>
                                </a:lnTo>
                                <a:lnTo>
                                  <a:pt x="0" y="0"/>
                                </a:lnTo>
                                <a:lnTo>
                                  <a:pt x="0" y="2540"/>
                                </a:lnTo>
                                <a:lnTo>
                                  <a:pt x="0" y="5080"/>
                                </a:lnTo>
                                <a:lnTo>
                                  <a:pt x="0" y="1852930"/>
                                </a:lnTo>
                                <a:lnTo>
                                  <a:pt x="0" y="1855470"/>
                                </a:lnTo>
                                <a:lnTo>
                                  <a:pt x="0" y="1858010"/>
                                </a:lnTo>
                                <a:lnTo>
                                  <a:pt x="3899636" y="1858010"/>
                                </a:lnTo>
                                <a:lnTo>
                                  <a:pt x="3899636" y="5080"/>
                                </a:lnTo>
                                <a:lnTo>
                                  <a:pt x="3896969" y="5080"/>
                                </a:lnTo>
                                <a:lnTo>
                                  <a:pt x="3899636" y="4965"/>
                                </a:lnTo>
                                <a:lnTo>
                                  <a:pt x="3899636" y="2540"/>
                                </a:lnTo>
                                <a:lnTo>
                                  <a:pt x="3899636" y="2298"/>
                                </a:lnTo>
                                <a:lnTo>
                                  <a:pt x="3899636" y="0"/>
                                </a:lnTo>
                                <a:close/>
                              </a:path>
                            </a:pathLst>
                          </a:custGeom>
                          <a:solidFill>
                            <a:srgbClr val="000000"/>
                          </a:solidFill>
                        </wps:spPr>
                        <wps:bodyPr wrap="square" lIns="0" tIns="0" rIns="0" bIns="0" rtlCol="0">
                          <a:prstTxWarp prst="textNoShape">
                            <a:avLst/>
                          </a:prstTxWarp>
                          <a:noAutofit/>
                        </wps:bodyPr>
                      </wps:wsp>
                      <wps:wsp>
                        <wps:cNvPr id="1287" name="Graphic 1287"/>
                        <wps:cNvSpPr/>
                        <wps:spPr>
                          <a:xfrm>
                            <a:off x="2430603" y="161632"/>
                            <a:ext cx="184150" cy="50800"/>
                          </a:xfrm>
                          <a:custGeom>
                            <a:avLst/>
                            <a:gdLst/>
                            <a:ahLst/>
                            <a:cxnLst/>
                            <a:rect l="l" t="t" r="r" b="b"/>
                            <a:pathLst>
                              <a:path w="184150" h="50800">
                                <a:moveTo>
                                  <a:pt x="183794" y="22059"/>
                                </a:moveTo>
                                <a:lnTo>
                                  <a:pt x="114071" y="22059"/>
                                </a:lnTo>
                                <a:lnTo>
                                  <a:pt x="91897" y="0"/>
                                </a:lnTo>
                                <a:lnTo>
                                  <a:pt x="69710" y="22059"/>
                                </a:lnTo>
                                <a:lnTo>
                                  <a:pt x="0" y="22059"/>
                                </a:lnTo>
                                <a:lnTo>
                                  <a:pt x="0" y="28371"/>
                                </a:lnTo>
                                <a:lnTo>
                                  <a:pt x="69723" y="28371"/>
                                </a:lnTo>
                                <a:lnTo>
                                  <a:pt x="91897" y="50431"/>
                                </a:lnTo>
                                <a:lnTo>
                                  <a:pt x="114058" y="28371"/>
                                </a:lnTo>
                                <a:lnTo>
                                  <a:pt x="183794" y="28371"/>
                                </a:lnTo>
                                <a:lnTo>
                                  <a:pt x="183794" y="22059"/>
                                </a:lnTo>
                                <a:close/>
                              </a:path>
                            </a:pathLst>
                          </a:custGeom>
                          <a:solidFill>
                            <a:srgbClr val="E3C626"/>
                          </a:solidFill>
                        </wps:spPr>
                        <wps:bodyPr wrap="square" lIns="0" tIns="0" rIns="0" bIns="0" rtlCol="0">
                          <a:prstTxWarp prst="textNoShape">
                            <a:avLst/>
                          </a:prstTxWarp>
                          <a:noAutofit/>
                        </wps:bodyPr>
                      </wps:wsp>
                      <wps:wsp>
                        <wps:cNvPr id="1288" name="Graphic 1288"/>
                        <wps:cNvSpPr/>
                        <wps:spPr>
                          <a:xfrm>
                            <a:off x="2868004" y="158483"/>
                            <a:ext cx="184150" cy="50800"/>
                          </a:xfrm>
                          <a:custGeom>
                            <a:avLst/>
                            <a:gdLst/>
                            <a:ahLst/>
                            <a:cxnLst/>
                            <a:rect l="l" t="t" r="r" b="b"/>
                            <a:pathLst>
                              <a:path w="184150" h="50800">
                                <a:moveTo>
                                  <a:pt x="183781" y="25209"/>
                                </a:moveTo>
                                <a:lnTo>
                                  <a:pt x="114071" y="25209"/>
                                </a:lnTo>
                                <a:lnTo>
                                  <a:pt x="114071" y="6299"/>
                                </a:lnTo>
                                <a:lnTo>
                                  <a:pt x="114071" y="3149"/>
                                </a:lnTo>
                                <a:lnTo>
                                  <a:pt x="114071" y="0"/>
                                </a:lnTo>
                                <a:lnTo>
                                  <a:pt x="63385" y="0"/>
                                </a:lnTo>
                                <a:lnTo>
                                  <a:pt x="63385" y="25209"/>
                                </a:lnTo>
                                <a:lnTo>
                                  <a:pt x="0" y="25209"/>
                                </a:lnTo>
                                <a:lnTo>
                                  <a:pt x="0" y="31521"/>
                                </a:lnTo>
                                <a:lnTo>
                                  <a:pt x="63385" y="31521"/>
                                </a:lnTo>
                                <a:lnTo>
                                  <a:pt x="63385" y="50444"/>
                                </a:lnTo>
                                <a:lnTo>
                                  <a:pt x="114071" y="50444"/>
                                </a:lnTo>
                                <a:lnTo>
                                  <a:pt x="114071" y="47282"/>
                                </a:lnTo>
                                <a:lnTo>
                                  <a:pt x="114071" y="44132"/>
                                </a:lnTo>
                                <a:lnTo>
                                  <a:pt x="114071" y="31521"/>
                                </a:lnTo>
                                <a:lnTo>
                                  <a:pt x="183781" y="31521"/>
                                </a:lnTo>
                                <a:lnTo>
                                  <a:pt x="183781" y="25209"/>
                                </a:lnTo>
                                <a:close/>
                              </a:path>
                            </a:pathLst>
                          </a:custGeom>
                          <a:solidFill>
                            <a:srgbClr val="2E614A"/>
                          </a:solidFill>
                        </wps:spPr>
                        <wps:bodyPr wrap="square" lIns="0" tIns="0" rIns="0" bIns="0" rtlCol="0">
                          <a:prstTxWarp prst="textNoShape">
                            <a:avLst/>
                          </a:prstTxWarp>
                          <a:noAutofit/>
                        </wps:bodyPr>
                      </wps:wsp>
                      <wps:wsp>
                        <wps:cNvPr id="1289" name="Graphic 1289"/>
                        <wps:cNvSpPr/>
                        <wps:spPr>
                          <a:xfrm>
                            <a:off x="3343428" y="161632"/>
                            <a:ext cx="184150" cy="50800"/>
                          </a:xfrm>
                          <a:custGeom>
                            <a:avLst/>
                            <a:gdLst/>
                            <a:ahLst/>
                            <a:cxnLst/>
                            <a:rect l="l" t="t" r="r" b="b"/>
                            <a:pathLst>
                              <a:path w="184150" h="50800">
                                <a:moveTo>
                                  <a:pt x="183781" y="22059"/>
                                </a:moveTo>
                                <a:lnTo>
                                  <a:pt x="102997" y="22059"/>
                                </a:lnTo>
                                <a:lnTo>
                                  <a:pt x="91909" y="0"/>
                                </a:lnTo>
                                <a:lnTo>
                                  <a:pt x="80810" y="22059"/>
                                </a:lnTo>
                                <a:lnTo>
                                  <a:pt x="0" y="22059"/>
                                </a:lnTo>
                                <a:lnTo>
                                  <a:pt x="0" y="28371"/>
                                </a:lnTo>
                                <a:lnTo>
                                  <a:pt x="77635" y="28371"/>
                                </a:lnTo>
                                <a:lnTo>
                                  <a:pt x="66548" y="50431"/>
                                </a:lnTo>
                                <a:lnTo>
                                  <a:pt x="117259" y="50431"/>
                                </a:lnTo>
                                <a:lnTo>
                                  <a:pt x="106159" y="28371"/>
                                </a:lnTo>
                                <a:lnTo>
                                  <a:pt x="183781" y="28371"/>
                                </a:lnTo>
                                <a:lnTo>
                                  <a:pt x="183781" y="22059"/>
                                </a:lnTo>
                                <a:close/>
                              </a:path>
                            </a:pathLst>
                          </a:custGeom>
                          <a:solidFill>
                            <a:srgbClr val="9CBF3B"/>
                          </a:solidFill>
                        </wps:spPr>
                        <wps:bodyPr wrap="square" lIns="0" tIns="0" rIns="0" bIns="0" rtlCol="0">
                          <a:prstTxWarp prst="textNoShape">
                            <a:avLst/>
                          </a:prstTxWarp>
                          <a:noAutofit/>
                        </wps:bodyPr>
                      </wps:wsp>
                      <wps:wsp>
                        <wps:cNvPr id="1290" name="Graphic 1290"/>
                        <wps:cNvSpPr/>
                        <wps:spPr>
                          <a:xfrm>
                            <a:off x="3404868" y="154612"/>
                            <a:ext cx="60960" cy="60960"/>
                          </a:xfrm>
                          <a:custGeom>
                            <a:avLst/>
                            <a:gdLst/>
                            <a:ahLst/>
                            <a:cxnLst/>
                            <a:rect l="l" t="t" r="r" b="b"/>
                            <a:pathLst>
                              <a:path w="60960" h="60960">
                                <a:moveTo>
                                  <a:pt x="27654" y="5600"/>
                                </a:moveTo>
                                <a:lnTo>
                                  <a:pt x="0" y="60600"/>
                                </a:lnTo>
                                <a:lnTo>
                                  <a:pt x="60940" y="60600"/>
                                </a:lnTo>
                                <a:lnTo>
                                  <a:pt x="60067" y="58864"/>
                                </a:lnTo>
                                <a:lnTo>
                                  <a:pt x="7928" y="58864"/>
                                </a:lnTo>
                                <a:lnTo>
                                  <a:pt x="5112" y="57448"/>
                                </a:lnTo>
                                <a:lnTo>
                                  <a:pt x="5112" y="54296"/>
                                </a:lnTo>
                                <a:lnTo>
                                  <a:pt x="10224" y="54296"/>
                                </a:lnTo>
                                <a:lnTo>
                                  <a:pt x="30469" y="14032"/>
                                </a:lnTo>
                                <a:lnTo>
                                  <a:pt x="27654" y="8432"/>
                                </a:lnTo>
                                <a:lnTo>
                                  <a:pt x="30470" y="7016"/>
                                </a:lnTo>
                                <a:lnTo>
                                  <a:pt x="27654" y="5600"/>
                                </a:lnTo>
                                <a:close/>
                              </a:path>
                              <a:path w="60960" h="60960">
                                <a:moveTo>
                                  <a:pt x="10224" y="54296"/>
                                </a:moveTo>
                                <a:lnTo>
                                  <a:pt x="5112" y="54296"/>
                                </a:lnTo>
                                <a:lnTo>
                                  <a:pt x="5112" y="57448"/>
                                </a:lnTo>
                                <a:lnTo>
                                  <a:pt x="7928" y="58864"/>
                                </a:lnTo>
                                <a:lnTo>
                                  <a:pt x="10224" y="54296"/>
                                </a:lnTo>
                                <a:close/>
                              </a:path>
                              <a:path w="60960" h="60960">
                                <a:moveTo>
                                  <a:pt x="50714" y="54296"/>
                                </a:moveTo>
                                <a:lnTo>
                                  <a:pt x="10224" y="54296"/>
                                </a:lnTo>
                                <a:lnTo>
                                  <a:pt x="7928" y="58864"/>
                                </a:lnTo>
                                <a:lnTo>
                                  <a:pt x="53011" y="58864"/>
                                </a:lnTo>
                                <a:lnTo>
                                  <a:pt x="50714" y="54296"/>
                                </a:lnTo>
                                <a:close/>
                              </a:path>
                              <a:path w="60960" h="60960">
                                <a:moveTo>
                                  <a:pt x="30468" y="0"/>
                                </a:moveTo>
                                <a:lnTo>
                                  <a:pt x="27654" y="5600"/>
                                </a:lnTo>
                                <a:lnTo>
                                  <a:pt x="33285" y="8432"/>
                                </a:lnTo>
                                <a:lnTo>
                                  <a:pt x="30469" y="14032"/>
                                </a:lnTo>
                                <a:lnTo>
                                  <a:pt x="53011" y="58864"/>
                                </a:lnTo>
                                <a:lnTo>
                                  <a:pt x="55827" y="57448"/>
                                </a:lnTo>
                                <a:lnTo>
                                  <a:pt x="55827" y="54296"/>
                                </a:lnTo>
                                <a:lnTo>
                                  <a:pt x="57770" y="54296"/>
                                </a:lnTo>
                                <a:lnTo>
                                  <a:pt x="30468" y="0"/>
                                </a:lnTo>
                                <a:close/>
                              </a:path>
                              <a:path w="60960" h="60960">
                                <a:moveTo>
                                  <a:pt x="57770" y="54296"/>
                                </a:moveTo>
                                <a:lnTo>
                                  <a:pt x="55827" y="54296"/>
                                </a:lnTo>
                                <a:lnTo>
                                  <a:pt x="55827" y="57448"/>
                                </a:lnTo>
                                <a:lnTo>
                                  <a:pt x="53011" y="58864"/>
                                </a:lnTo>
                                <a:lnTo>
                                  <a:pt x="60067" y="58864"/>
                                </a:lnTo>
                                <a:lnTo>
                                  <a:pt x="57770" y="54296"/>
                                </a:lnTo>
                                <a:close/>
                              </a:path>
                              <a:path w="60960" h="60960">
                                <a:moveTo>
                                  <a:pt x="30470" y="7016"/>
                                </a:moveTo>
                                <a:lnTo>
                                  <a:pt x="27654" y="8432"/>
                                </a:lnTo>
                                <a:lnTo>
                                  <a:pt x="30469" y="14032"/>
                                </a:lnTo>
                                <a:lnTo>
                                  <a:pt x="33285" y="8432"/>
                                </a:lnTo>
                                <a:lnTo>
                                  <a:pt x="30470" y="7016"/>
                                </a:lnTo>
                                <a:close/>
                              </a:path>
                            </a:pathLst>
                          </a:custGeom>
                          <a:solidFill>
                            <a:srgbClr val="A2B0A2"/>
                          </a:solidFill>
                        </wps:spPr>
                        <wps:bodyPr wrap="square" lIns="0" tIns="0" rIns="0" bIns="0" rtlCol="0">
                          <a:prstTxWarp prst="textNoShape">
                            <a:avLst/>
                          </a:prstTxWarp>
                          <a:noAutofit/>
                        </wps:bodyPr>
                      </wps:wsp>
                      <wps:wsp>
                        <wps:cNvPr id="1291" name="Graphic 1291"/>
                        <wps:cNvSpPr/>
                        <wps:spPr>
                          <a:xfrm>
                            <a:off x="336360" y="290931"/>
                            <a:ext cx="38100" cy="1310005"/>
                          </a:xfrm>
                          <a:custGeom>
                            <a:avLst/>
                            <a:gdLst/>
                            <a:ahLst/>
                            <a:cxnLst/>
                            <a:rect l="l" t="t" r="r" b="b"/>
                            <a:pathLst>
                              <a:path w="38100" h="1310005">
                                <a:moveTo>
                                  <a:pt x="38100" y="1303121"/>
                                </a:moveTo>
                                <a:lnTo>
                                  <a:pt x="0" y="1303121"/>
                                </a:lnTo>
                                <a:lnTo>
                                  <a:pt x="0" y="1309471"/>
                                </a:lnTo>
                                <a:lnTo>
                                  <a:pt x="38100" y="1309471"/>
                                </a:lnTo>
                                <a:lnTo>
                                  <a:pt x="38100" y="1303121"/>
                                </a:lnTo>
                                <a:close/>
                              </a:path>
                              <a:path w="38100" h="1310005">
                                <a:moveTo>
                                  <a:pt x="38100" y="1140231"/>
                                </a:moveTo>
                                <a:lnTo>
                                  <a:pt x="0" y="1140231"/>
                                </a:lnTo>
                                <a:lnTo>
                                  <a:pt x="0" y="1146581"/>
                                </a:lnTo>
                                <a:lnTo>
                                  <a:pt x="38100" y="1146581"/>
                                </a:lnTo>
                                <a:lnTo>
                                  <a:pt x="38100" y="1140231"/>
                                </a:lnTo>
                                <a:close/>
                              </a:path>
                              <a:path w="38100" h="1310005">
                                <a:moveTo>
                                  <a:pt x="38100" y="977341"/>
                                </a:moveTo>
                                <a:lnTo>
                                  <a:pt x="0" y="977341"/>
                                </a:lnTo>
                                <a:lnTo>
                                  <a:pt x="0" y="983691"/>
                                </a:lnTo>
                                <a:lnTo>
                                  <a:pt x="38100" y="983691"/>
                                </a:lnTo>
                                <a:lnTo>
                                  <a:pt x="38100" y="977341"/>
                                </a:lnTo>
                                <a:close/>
                              </a:path>
                              <a:path w="38100" h="1310005">
                                <a:moveTo>
                                  <a:pt x="38100" y="814451"/>
                                </a:moveTo>
                                <a:lnTo>
                                  <a:pt x="0" y="814451"/>
                                </a:lnTo>
                                <a:lnTo>
                                  <a:pt x="0" y="820801"/>
                                </a:lnTo>
                                <a:lnTo>
                                  <a:pt x="38100" y="820801"/>
                                </a:lnTo>
                                <a:lnTo>
                                  <a:pt x="38100" y="814451"/>
                                </a:lnTo>
                                <a:close/>
                              </a:path>
                              <a:path w="38100" h="1310005">
                                <a:moveTo>
                                  <a:pt x="38100" y="651560"/>
                                </a:moveTo>
                                <a:lnTo>
                                  <a:pt x="0" y="651560"/>
                                </a:lnTo>
                                <a:lnTo>
                                  <a:pt x="0" y="657910"/>
                                </a:lnTo>
                                <a:lnTo>
                                  <a:pt x="38100" y="657910"/>
                                </a:lnTo>
                                <a:lnTo>
                                  <a:pt x="38100" y="651560"/>
                                </a:lnTo>
                                <a:close/>
                              </a:path>
                              <a:path w="38100" h="1310005">
                                <a:moveTo>
                                  <a:pt x="38100" y="488670"/>
                                </a:moveTo>
                                <a:lnTo>
                                  <a:pt x="0" y="488670"/>
                                </a:lnTo>
                                <a:lnTo>
                                  <a:pt x="0" y="495020"/>
                                </a:lnTo>
                                <a:lnTo>
                                  <a:pt x="38100" y="495020"/>
                                </a:lnTo>
                                <a:lnTo>
                                  <a:pt x="38100" y="488670"/>
                                </a:lnTo>
                                <a:close/>
                              </a:path>
                              <a:path w="38100" h="1310005">
                                <a:moveTo>
                                  <a:pt x="38100" y="325780"/>
                                </a:moveTo>
                                <a:lnTo>
                                  <a:pt x="0" y="325780"/>
                                </a:lnTo>
                                <a:lnTo>
                                  <a:pt x="0" y="332130"/>
                                </a:lnTo>
                                <a:lnTo>
                                  <a:pt x="38100" y="332130"/>
                                </a:lnTo>
                                <a:lnTo>
                                  <a:pt x="38100" y="325780"/>
                                </a:lnTo>
                                <a:close/>
                              </a:path>
                              <a:path w="38100" h="1310005">
                                <a:moveTo>
                                  <a:pt x="38100" y="162890"/>
                                </a:moveTo>
                                <a:lnTo>
                                  <a:pt x="0" y="162890"/>
                                </a:lnTo>
                                <a:lnTo>
                                  <a:pt x="0" y="169240"/>
                                </a:lnTo>
                                <a:lnTo>
                                  <a:pt x="38100" y="169240"/>
                                </a:lnTo>
                                <a:lnTo>
                                  <a:pt x="38100" y="162890"/>
                                </a:lnTo>
                                <a:close/>
                              </a:path>
                              <a:path w="38100" h="1310005">
                                <a:moveTo>
                                  <a:pt x="38100" y="0"/>
                                </a:moveTo>
                                <a:lnTo>
                                  <a:pt x="0" y="0"/>
                                </a:lnTo>
                                <a:lnTo>
                                  <a:pt x="0" y="6350"/>
                                </a:lnTo>
                                <a:lnTo>
                                  <a:pt x="38100" y="6350"/>
                                </a:lnTo>
                                <a:lnTo>
                                  <a:pt x="38100" y="0"/>
                                </a:lnTo>
                                <a:close/>
                              </a:path>
                            </a:pathLst>
                          </a:custGeom>
                          <a:solidFill>
                            <a:srgbClr val="000000"/>
                          </a:solidFill>
                        </wps:spPr>
                        <wps:bodyPr wrap="square" lIns="0" tIns="0" rIns="0" bIns="0" rtlCol="0">
                          <a:prstTxWarp prst="textNoShape">
                            <a:avLst/>
                          </a:prstTxWarp>
                          <a:noAutofit/>
                        </wps:bodyPr>
                      </wps:wsp>
                      <wps:wsp>
                        <wps:cNvPr id="1292" name="Textbox 1292"/>
                        <wps:cNvSpPr txBox="1"/>
                        <wps:spPr>
                          <a:xfrm>
                            <a:off x="2622445" y="128880"/>
                            <a:ext cx="18732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Rural</w:t>
                              </w:r>
                            </w:p>
                          </w:txbxContent>
                        </wps:txbx>
                        <wps:bodyPr wrap="square" lIns="0" tIns="0" rIns="0" bIns="0" rtlCol="0">
                          <a:noAutofit/>
                        </wps:bodyPr>
                      </wps:wsp>
                      <wps:wsp>
                        <wps:cNvPr id="1293" name="Textbox 1293"/>
                        <wps:cNvSpPr txBox="1"/>
                        <wps:spPr>
                          <a:xfrm>
                            <a:off x="3067242" y="128880"/>
                            <a:ext cx="641985" cy="102235"/>
                          </a:xfrm>
                          <a:prstGeom prst="rect">
                            <a:avLst/>
                          </a:prstGeom>
                        </wps:spPr>
                        <wps:txbx>
                          <w:txbxContent>
                            <w:p>
                              <w:pPr>
                                <w:tabs>
                                  <w:tab w:pos="747" w:val="left" w:leader="none"/>
                                </w:tabs>
                                <w:spacing w:line="161" w:lineRule="exact" w:before="0"/>
                                <w:ind w:left="0" w:right="0" w:firstLine="0"/>
                                <w:jc w:val="left"/>
                                <w:rPr>
                                  <w:rFonts w:ascii="Arial MT"/>
                                  <w:sz w:val="14"/>
                                </w:rPr>
                              </w:pPr>
                              <w:r>
                                <w:rPr>
                                  <w:rFonts w:ascii="Arial MT"/>
                                  <w:spacing w:val="-2"/>
                                  <w:w w:val="90"/>
                                  <w:sz w:val="14"/>
                                </w:rPr>
                                <w:t>Urban</w:t>
                              </w:r>
                              <w:r>
                                <w:rPr>
                                  <w:rFonts w:ascii="Arial MT"/>
                                  <w:sz w:val="14"/>
                                </w:rPr>
                                <w:tab/>
                              </w:r>
                              <w:r>
                                <w:rPr>
                                  <w:rFonts w:ascii="Arial MT"/>
                                  <w:spacing w:val="-7"/>
                                  <w:w w:val="90"/>
                                  <w:sz w:val="14"/>
                                </w:rPr>
                                <w:t>Total</w:t>
                              </w:r>
                            </w:p>
                          </w:txbxContent>
                        </wps:txbx>
                        <wps:bodyPr wrap="square" lIns="0" tIns="0" rIns="0" bIns="0" rtlCol="0">
                          <a:noAutofit/>
                        </wps:bodyPr>
                      </wps:wsp>
                      <wps:wsp>
                        <wps:cNvPr id="1294" name="Textbox 1294"/>
                        <wps:cNvSpPr txBox="1"/>
                        <wps:spPr>
                          <a:xfrm>
                            <a:off x="280435" y="252464"/>
                            <a:ext cx="53340" cy="140271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8</w:t>
                              </w:r>
                            </w:p>
                            <w:p>
                              <w:pPr>
                                <w:spacing w:before="95"/>
                                <w:ind w:left="0" w:right="0" w:firstLine="0"/>
                                <w:jc w:val="left"/>
                                <w:rPr>
                                  <w:rFonts w:ascii="Arial MT"/>
                                  <w:sz w:val="14"/>
                                </w:rPr>
                              </w:pPr>
                              <w:r>
                                <w:rPr>
                                  <w:rFonts w:ascii="Arial MT"/>
                                  <w:spacing w:val="-10"/>
                                  <w:w w:val="90"/>
                                  <w:sz w:val="14"/>
                                </w:rPr>
                                <w:t>7</w:t>
                              </w:r>
                            </w:p>
                            <w:p>
                              <w:pPr>
                                <w:spacing w:before="95"/>
                                <w:ind w:left="0" w:right="0" w:firstLine="0"/>
                                <w:jc w:val="left"/>
                                <w:rPr>
                                  <w:rFonts w:ascii="Arial MT"/>
                                  <w:sz w:val="14"/>
                                </w:rPr>
                              </w:pPr>
                              <w:r>
                                <w:rPr>
                                  <w:rFonts w:ascii="Arial MT"/>
                                  <w:spacing w:val="-10"/>
                                  <w:w w:val="90"/>
                                  <w:sz w:val="14"/>
                                </w:rPr>
                                <w:t>6</w:t>
                              </w:r>
                            </w:p>
                            <w:p>
                              <w:pPr>
                                <w:spacing w:before="95"/>
                                <w:ind w:left="0" w:right="0" w:firstLine="0"/>
                                <w:jc w:val="left"/>
                                <w:rPr>
                                  <w:rFonts w:ascii="Arial MT"/>
                                  <w:sz w:val="14"/>
                                </w:rPr>
                              </w:pPr>
                              <w:r>
                                <w:rPr>
                                  <w:rFonts w:ascii="Arial MT"/>
                                  <w:spacing w:val="-10"/>
                                  <w:w w:val="90"/>
                                  <w:sz w:val="14"/>
                                </w:rPr>
                                <w:t>5</w:t>
                              </w:r>
                            </w:p>
                            <w:p>
                              <w:pPr>
                                <w:spacing w:before="95"/>
                                <w:ind w:left="0" w:right="0" w:firstLine="0"/>
                                <w:jc w:val="left"/>
                                <w:rPr>
                                  <w:rFonts w:ascii="Arial MT"/>
                                  <w:sz w:val="14"/>
                                </w:rPr>
                              </w:pPr>
                              <w:r>
                                <w:rPr>
                                  <w:rFonts w:ascii="Arial MT"/>
                                  <w:spacing w:val="-10"/>
                                  <w:w w:val="90"/>
                                  <w:sz w:val="14"/>
                                </w:rPr>
                                <w:t>4</w:t>
                              </w:r>
                            </w:p>
                            <w:p>
                              <w:pPr>
                                <w:spacing w:before="95"/>
                                <w:ind w:left="0" w:right="0" w:firstLine="0"/>
                                <w:jc w:val="left"/>
                                <w:rPr>
                                  <w:rFonts w:ascii="Arial MT"/>
                                  <w:sz w:val="14"/>
                                </w:rPr>
                              </w:pPr>
                              <w:r>
                                <w:rPr>
                                  <w:rFonts w:ascii="Arial MT"/>
                                  <w:spacing w:val="-10"/>
                                  <w:w w:val="90"/>
                                  <w:sz w:val="14"/>
                                </w:rPr>
                                <w:t>3</w:t>
                              </w:r>
                            </w:p>
                            <w:p>
                              <w:pPr>
                                <w:spacing w:before="95"/>
                                <w:ind w:left="0" w:right="0" w:firstLine="0"/>
                                <w:jc w:val="left"/>
                                <w:rPr>
                                  <w:rFonts w:ascii="Arial MT"/>
                                  <w:sz w:val="14"/>
                                </w:rPr>
                              </w:pPr>
                              <w:r>
                                <w:rPr>
                                  <w:rFonts w:ascii="Arial MT"/>
                                  <w:spacing w:val="-10"/>
                                  <w:w w:val="90"/>
                                  <w:sz w:val="14"/>
                                </w:rPr>
                                <w:t>2</w:t>
                              </w:r>
                            </w:p>
                            <w:p>
                              <w:pPr>
                                <w:spacing w:before="95"/>
                                <w:ind w:left="0" w:right="0" w:firstLine="0"/>
                                <w:jc w:val="left"/>
                                <w:rPr>
                                  <w:rFonts w:ascii="Arial MT"/>
                                  <w:sz w:val="14"/>
                                </w:rPr>
                              </w:pPr>
                              <w:r>
                                <w:rPr>
                                  <w:rFonts w:ascii="Arial MT"/>
                                  <w:spacing w:val="-10"/>
                                  <w:w w:val="90"/>
                                  <w:sz w:val="14"/>
                                </w:rPr>
                                <w:t>1</w:t>
                              </w:r>
                            </w:p>
                            <w:p>
                              <w:pPr>
                                <w:spacing w:before="95"/>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295" name="Textbox 1295"/>
                        <wps:cNvSpPr txBox="1"/>
                        <wps:spPr>
                          <a:xfrm>
                            <a:off x="885839" y="1640214"/>
                            <a:ext cx="19939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15-</w:t>
                              </w:r>
                              <w:r>
                                <w:rPr>
                                  <w:rFonts w:ascii="Arial MT"/>
                                  <w:spacing w:val="-5"/>
                                  <w:w w:val="90"/>
                                  <w:sz w:val="14"/>
                                </w:rPr>
                                <w:t>19</w:t>
                              </w:r>
                            </w:p>
                          </w:txbxContent>
                        </wps:txbx>
                        <wps:bodyPr wrap="square" lIns="0" tIns="0" rIns="0" bIns="0" rtlCol="0">
                          <a:noAutofit/>
                        </wps:bodyPr>
                      </wps:wsp>
                      <wps:wsp>
                        <wps:cNvPr id="1296" name="Textbox 1296"/>
                        <wps:cNvSpPr txBox="1"/>
                        <wps:spPr>
                          <a:xfrm>
                            <a:off x="2085989" y="1640214"/>
                            <a:ext cx="19939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w:t>
                              </w:r>
                              <w:r>
                                <w:rPr>
                                  <w:rFonts w:ascii="Arial MT"/>
                                  <w:spacing w:val="-5"/>
                                  <w:w w:val="90"/>
                                  <w:sz w:val="14"/>
                                </w:rPr>
                                <w:t>24</w:t>
                              </w:r>
                            </w:p>
                          </w:txbxContent>
                        </wps:txbx>
                        <wps:bodyPr wrap="square" lIns="0" tIns="0" rIns="0" bIns="0" rtlCol="0">
                          <a:noAutofit/>
                        </wps:bodyPr>
                      </wps:wsp>
                      <wps:wsp>
                        <wps:cNvPr id="1297" name="Textbox 1297"/>
                        <wps:cNvSpPr txBox="1"/>
                        <wps:spPr>
                          <a:xfrm>
                            <a:off x="3258053" y="1640214"/>
                            <a:ext cx="19939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25-</w:t>
                              </w:r>
                              <w:r>
                                <w:rPr>
                                  <w:rFonts w:ascii="Arial MT"/>
                                  <w:spacing w:val="-5"/>
                                  <w:w w:val="90"/>
                                  <w:sz w:val="14"/>
                                </w:rPr>
                                <w:t>29</w:t>
                              </w:r>
                            </w:p>
                          </w:txbxContent>
                        </wps:txbx>
                        <wps:bodyPr wrap="square" lIns="0" tIns="0" rIns="0" bIns="0" rtlCol="0">
                          <a:noAutofit/>
                        </wps:bodyPr>
                      </wps:wsp>
                    </wpg:wgp>
                  </a:graphicData>
                </a:graphic>
              </wp:anchor>
            </w:drawing>
          </mc:Choice>
          <mc:Fallback>
            <w:pict>
              <v:group style="position:absolute;margin-left:252.427933pt;margin-top:29.679541pt;width:307.1pt;height:146.3pt;mso-position-horizontal-relative:page;mso-position-vertical-relative:paragraph;z-index:15811072" id="docshapegroup1265" coordorigin="5049,594" coordsize="6142,2926">
                <v:rect style="position:absolute;left:5630;top:1049;width:9;height:2127" id="docshape1266" filled="true" fillcolor="#99989a" stroked="false">
                  <v:fill type="solid"/>
                </v:rect>
                <v:shape style="position:absolute;left:5630;top:3104;width:5469;height:76" id="docshape1267" coordorigin="5631,3104" coordsize="5469,76" path="m11100,3104l11100,3104,5631,3104,5631,3180,5639,3180,5639,3113,7448,3113,7448,3180,7456,3180,7456,3113,9275,3113,9275,3180,9283,3180,9283,3113,11091,3113,11091,3180,11100,3180,11100,3104xe" filled="true" fillcolor="#000000" stroked="false">
                  <v:path arrowok="t"/>
                  <v:fill type="solid"/>
                </v:shape>
                <v:shape style="position:absolute;left:6532;top:2612;width:3666;height:350" id="docshape1268" coordorigin="6532,2612" coordsize="3666,350" path="m8360,2634l6532,2942,6535,2961,8371,2652,8361,2652,8360,2634xm8379,2632l8370,2632,8360,2634,8361,2652,8371,2652,8382,2650,8379,2632xm8371,2652l8361,2652,8371,2652,8371,2652xm10197,2612l8379,2632,8382,2650,8371,2652,10197,2632,10197,2612xm8370,2632l8360,2632,8360,2634,8370,2632xm8379,2631l8370,2632,8379,2632,8379,2631xe" filled="true" fillcolor="#e3c626" stroked="false">
                  <v:path arrowok="t"/>
                  <v:fill type="solid"/>
                </v:shape>
                <v:shape style="position:absolute;left:6529;top:1377;width:3668;height:1279" id="docshape1269" coordorigin="6530,1378" coordsize="3668,1279" path="m8361,1386l6530,2640,6541,2656,8373,1401,8360,1401,8361,1386xm8376,1382l8384,1394,8373,1401,10197,1501,10198,1481,8376,1382xm8368,1381l8361,1386,8360,1401,8373,1401,8384,1394,8376,1382,8368,1381xm8361,1381l8361,1386,8368,1381,8361,1381xm8373,1378l8368,1381,8376,1382,8373,1378xe" filled="true" fillcolor="#2e614a" stroked="false">
                  <v:path arrowok="t"/>
                  <v:fill type="solid"/>
                </v:shape>
                <v:shape style="position:absolute;left:6531;top:2272;width:3667;height:621" id="docshape1270" coordorigin="6531,2272" coordsize="3667,621" path="m8360,2278l6531,2874,6537,2893,8372,2295,8360,2295,8360,2278xm8377,2272l8360,2278,8360,2295,8372,2295,8383,2291,8377,2272xm10197,2275l8378,2275,8383,2291,8372,2295,10197,2295,10197,2275xm8369,2275l8360,2275,8360,2278,8369,2275xe" filled="true" fillcolor="#9cbf3b" stroked="false">
                  <v:path arrowok="t"/>
                  <v:fill type="solid"/>
                </v:shape>
                <v:shape style="position:absolute;left:6493;top:2572;width:3744;height:427" id="docshape1271" coordorigin="6494,2573" coordsize="3744,427" path="m6593,2950l6544,2900,6494,2950,6544,2999,6593,2950xm8420,2642l8370,2592,8320,2642,8370,2692,8420,2642xm10237,2622l10187,2573,10137,2622,10187,2672,10237,2622xe" filled="true" fillcolor="#e3c626" stroked="false">
                  <v:path arrowok="t"/>
                  <v:fill type="solid"/>
                </v:shape>
                <v:shape style="position:absolute;left:6488;top:1336;width:3744;height:1351" id="docshape1272" coordorigin="6489,1337" coordsize="3744,1351" path="m6588,2588l6489,2588,6489,2687,6588,2687,6588,2682,6588,2677,6588,2597,6588,2592,6588,2588xm8415,1337l8316,1337,8316,1436,8415,1436,8415,1431,8415,1426,8415,1347,8415,1342,8415,1337xm10232,1436l10132,1436,10132,1535,10232,1535,10232,1530,10232,1525,10232,1446,10232,1441,10232,1436xe" filled="true" fillcolor="#2e614a" stroked="false">
                  <v:path arrowok="t"/>
                  <v:fill type="solid"/>
                </v:shape>
                <v:shape style="position:absolute;left:6493;top:2235;width:3744;height:695" id="docshape1273" coordorigin="6494,2235" coordsize="3744,695" path="m6593,2930l6544,2831,6494,2930,6593,2930xm8420,2334l8370,2235,8320,2334,8420,2334xm10237,2334l10187,2235,10137,2334,10237,2334xe" filled="true" fillcolor="#9cbf3b" stroked="false">
                  <v:path arrowok="t"/>
                  <v:fill type="solid"/>
                </v:shape>
                <v:shape style="position:absolute;left:5048;top:593;width:6142;height:2926" id="docshape1274" coordorigin="5049,594" coordsize="6142,2926" path="m11190,594l11181,594,11181,601,11181,3511,5057,3511,5057,602,5053,602,5057,601,11181,601,11181,594,5049,594,5049,598,5049,602,5049,3512,5049,3516,5049,3520,11190,3520,11190,602,11186,602,11190,601,11190,598,11190,597,11190,594xe" filled="true" fillcolor="#000000" stroked="false">
                  <v:path arrowok="t"/>
                  <v:fill type="solid"/>
                </v:shape>
                <v:shape style="position:absolute;left:8876;top:848;width:290;height:80" id="docshape1275" coordorigin="8876,848" coordsize="290,80" path="m9166,883l9056,883,9021,848,8986,883,8876,883,8876,893,8986,893,9021,928,9056,893,9166,893,9166,883xe" filled="true" fillcolor="#e3c626" stroked="false">
                  <v:path arrowok="t"/>
                  <v:fill type="solid"/>
                </v:shape>
                <v:shape style="position:absolute;left:9565;top:843;width:290;height:80" id="docshape1276" coordorigin="9565,843" coordsize="290,80" path="m9855,883l9745,883,9745,853,9745,848,9745,843,9665,843,9665,883,9565,883,9565,893,9665,893,9665,923,9745,923,9745,918,9745,913,9745,893,9855,893,9855,883xe" filled="true" fillcolor="#2e614a" stroked="false">
                  <v:path arrowok="t"/>
                  <v:fill type="solid"/>
                </v:shape>
                <v:shape style="position:absolute;left:10313;top:848;width:290;height:80" id="docshape1277" coordorigin="10314,848" coordsize="290,80" path="m10603,883l10476,883,10459,848,10441,883,10314,883,10314,893,10436,893,10419,928,10498,928,10481,893,10603,893,10603,883xe" filled="true" fillcolor="#9cbf3b" stroked="false">
                  <v:path arrowok="t"/>
                  <v:fill type="solid"/>
                </v:shape>
                <v:shape style="position:absolute;left:10410;top:837;width:96;height:96" id="docshape1278" coordorigin="10411,837" coordsize="96,96" path="m10454,846l10411,933,10507,933,10505,930,10423,930,10419,928,10419,923,10427,923,10459,859,10454,850,10459,848,10454,846xm10427,923l10419,923,10419,928,10423,930,10427,923xm10490,923l10427,923,10423,930,10494,930,10490,923xm10459,837l10454,846,10463,850,10459,859,10494,930,10498,928,10498,923,10502,923,10459,837xm10502,923l10498,923,10498,928,10494,930,10505,930,10502,923xm10459,848l10454,850,10459,859,10463,850,10459,848xe" filled="true" fillcolor="#a2b0a2" stroked="false">
                  <v:path arrowok="t"/>
                  <v:fill type="solid"/>
                </v:shape>
                <v:shape style="position:absolute;left:5578;top:1051;width:60;height:2063" id="docshape1279" coordorigin="5578,1052" coordsize="60,2063" path="m5638,3104l5578,3104,5578,3114,5638,3114,5638,3104xm5638,2847l5578,2847,5578,2857,5638,2857,5638,2847xm5638,2591l5578,2591,5578,2601,5638,2601,5638,2591xm5638,2334l5578,2334,5578,2344,5638,2344,5638,2334xm5638,2078l5578,2078,5578,2088,5638,2088,5638,2078xm5638,1821l5578,1821,5578,1831,5638,1831,5638,1821xm5638,1565l5578,1565,5578,1575,5638,1575,5638,1565xm5638,1308l5578,1308,5578,1318,5638,1318,5638,1308xm5638,1052l5578,1052,5578,1062,5638,1062,5638,1052xe" filled="true" fillcolor="#000000" stroked="false">
                  <v:path arrowok="t"/>
                  <v:fill type="solid"/>
                </v:shape>
                <v:shape style="position:absolute;left:9178;top:796;width:295;height:161" type="#_x0000_t202" id="docshape1280" filled="false" stroked="false">
                  <v:textbox inset="0,0,0,0">
                    <w:txbxContent>
                      <w:p>
                        <w:pPr>
                          <w:spacing w:line="161" w:lineRule="exact" w:before="0"/>
                          <w:ind w:left="0" w:right="0" w:firstLine="0"/>
                          <w:jc w:val="left"/>
                          <w:rPr>
                            <w:rFonts w:ascii="Arial MT"/>
                            <w:sz w:val="14"/>
                          </w:rPr>
                        </w:pPr>
                        <w:r>
                          <w:rPr>
                            <w:rFonts w:ascii="Arial MT"/>
                            <w:spacing w:val="-2"/>
                            <w:w w:val="85"/>
                            <w:sz w:val="14"/>
                          </w:rPr>
                          <w:t>Rural</w:t>
                        </w:r>
                      </w:p>
                    </w:txbxContent>
                  </v:textbox>
                  <w10:wrap type="none"/>
                </v:shape>
                <v:shape style="position:absolute;left:9878;top:796;width:1011;height:161" type="#_x0000_t202" id="docshape1281" filled="false" stroked="false">
                  <v:textbox inset="0,0,0,0">
                    <w:txbxContent>
                      <w:p>
                        <w:pPr>
                          <w:tabs>
                            <w:tab w:pos="747" w:val="left" w:leader="none"/>
                          </w:tabs>
                          <w:spacing w:line="161" w:lineRule="exact" w:before="0"/>
                          <w:ind w:left="0" w:right="0" w:firstLine="0"/>
                          <w:jc w:val="left"/>
                          <w:rPr>
                            <w:rFonts w:ascii="Arial MT"/>
                            <w:sz w:val="14"/>
                          </w:rPr>
                        </w:pPr>
                        <w:r>
                          <w:rPr>
                            <w:rFonts w:ascii="Arial MT"/>
                            <w:spacing w:val="-2"/>
                            <w:w w:val="90"/>
                            <w:sz w:val="14"/>
                          </w:rPr>
                          <w:t>Urban</w:t>
                        </w:r>
                        <w:r>
                          <w:rPr>
                            <w:rFonts w:ascii="Arial MT"/>
                            <w:sz w:val="14"/>
                          </w:rPr>
                          <w:tab/>
                        </w:r>
                        <w:r>
                          <w:rPr>
                            <w:rFonts w:ascii="Arial MT"/>
                            <w:spacing w:val="-7"/>
                            <w:w w:val="90"/>
                            <w:sz w:val="14"/>
                          </w:rPr>
                          <w:t>Total</w:t>
                        </w:r>
                      </w:p>
                    </w:txbxContent>
                  </v:textbox>
                  <w10:wrap type="none"/>
                </v:shape>
                <v:shape style="position:absolute;left:5490;top:991;width:84;height:2209" type="#_x0000_t202" id="docshape1282" filled="false" stroked="false">
                  <v:textbox inset="0,0,0,0">
                    <w:txbxContent>
                      <w:p>
                        <w:pPr>
                          <w:spacing w:line="161" w:lineRule="exact" w:before="0"/>
                          <w:ind w:left="0" w:right="0" w:firstLine="0"/>
                          <w:jc w:val="left"/>
                          <w:rPr>
                            <w:rFonts w:ascii="Arial MT"/>
                            <w:sz w:val="14"/>
                          </w:rPr>
                        </w:pPr>
                        <w:r>
                          <w:rPr>
                            <w:rFonts w:ascii="Arial MT"/>
                            <w:spacing w:val="-10"/>
                            <w:w w:val="90"/>
                            <w:sz w:val="14"/>
                          </w:rPr>
                          <w:t>8</w:t>
                        </w:r>
                      </w:p>
                      <w:p>
                        <w:pPr>
                          <w:spacing w:before="95"/>
                          <w:ind w:left="0" w:right="0" w:firstLine="0"/>
                          <w:jc w:val="left"/>
                          <w:rPr>
                            <w:rFonts w:ascii="Arial MT"/>
                            <w:sz w:val="14"/>
                          </w:rPr>
                        </w:pPr>
                        <w:r>
                          <w:rPr>
                            <w:rFonts w:ascii="Arial MT"/>
                            <w:spacing w:val="-10"/>
                            <w:w w:val="90"/>
                            <w:sz w:val="14"/>
                          </w:rPr>
                          <w:t>7</w:t>
                        </w:r>
                      </w:p>
                      <w:p>
                        <w:pPr>
                          <w:spacing w:before="95"/>
                          <w:ind w:left="0" w:right="0" w:firstLine="0"/>
                          <w:jc w:val="left"/>
                          <w:rPr>
                            <w:rFonts w:ascii="Arial MT"/>
                            <w:sz w:val="14"/>
                          </w:rPr>
                        </w:pPr>
                        <w:r>
                          <w:rPr>
                            <w:rFonts w:ascii="Arial MT"/>
                            <w:spacing w:val="-10"/>
                            <w:w w:val="90"/>
                            <w:sz w:val="14"/>
                          </w:rPr>
                          <w:t>6</w:t>
                        </w:r>
                      </w:p>
                      <w:p>
                        <w:pPr>
                          <w:spacing w:before="95"/>
                          <w:ind w:left="0" w:right="0" w:firstLine="0"/>
                          <w:jc w:val="left"/>
                          <w:rPr>
                            <w:rFonts w:ascii="Arial MT"/>
                            <w:sz w:val="14"/>
                          </w:rPr>
                        </w:pPr>
                        <w:r>
                          <w:rPr>
                            <w:rFonts w:ascii="Arial MT"/>
                            <w:spacing w:val="-10"/>
                            <w:w w:val="90"/>
                            <w:sz w:val="14"/>
                          </w:rPr>
                          <w:t>5</w:t>
                        </w:r>
                      </w:p>
                      <w:p>
                        <w:pPr>
                          <w:spacing w:before="95"/>
                          <w:ind w:left="0" w:right="0" w:firstLine="0"/>
                          <w:jc w:val="left"/>
                          <w:rPr>
                            <w:rFonts w:ascii="Arial MT"/>
                            <w:sz w:val="14"/>
                          </w:rPr>
                        </w:pPr>
                        <w:r>
                          <w:rPr>
                            <w:rFonts w:ascii="Arial MT"/>
                            <w:spacing w:val="-10"/>
                            <w:w w:val="90"/>
                            <w:sz w:val="14"/>
                          </w:rPr>
                          <w:t>4</w:t>
                        </w:r>
                      </w:p>
                      <w:p>
                        <w:pPr>
                          <w:spacing w:before="95"/>
                          <w:ind w:left="0" w:right="0" w:firstLine="0"/>
                          <w:jc w:val="left"/>
                          <w:rPr>
                            <w:rFonts w:ascii="Arial MT"/>
                            <w:sz w:val="14"/>
                          </w:rPr>
                        </w:pPr>
                        <w:r>
                          <w:rPr>
                            <w:rFonts w:ascii="Arial MT"/>
                            <w:spacing w:val="-10"/>
                            <w:w w:val="90"/>
                            <w:sz w:val="14"/>
                          </w:rPr>
                          <w:t>3</w:t>
                        </w:r>
                      </w:p>
                      <w:p>
                        <w:pPr>
                          <w:spacing w:before="95"/>
                          <w:ind w:left="0" w:right="0" w:firstLine="0"/>
                          <w:jc w:val="left"/>
                          <w:rPr>
                            <w:rFonts w:ascii="Arial MT"/>
                            <w:sz w:val="14"/>
                          </w:rPr>
                        </w:pPr>
                        <w:r>
                          <w:rPr>
                            <w:rFonts w:ascii="Arial MT"/>
                            <w:spacing w:val="-10"/>
                            <w:w w:val="90"/>
                            <w:sz w:val="14"/>
                          </w:rPr>
                          <w:t>2</w:t>
                        </w:r>
                      </w:p>
                      <w:p>
                        <w:pPr>
                          <w:spacing w:before="95"/>
                          <w:ind w:left="0" w:right="0" w:firstLine="0"/>
                          <w:jc w:val="left"/>
                          <w:rPr>
                            <w:rFonts w:ascii="Arial MT"/>
                            <w:sz w:val="14"/>
                          </w:rPr>
                        </w:pPr>
                        <w:r>
                          <w:rPr>
                            <w:rFonts w:ascii="Arial MT"/>
                            <w:spacing w:val="-10"/>
                            <w:w w:val="90"/>
                            <w:sz w:val="14"/>
                          </w:rPr>
                          <w:t>1</w:t>
                        </w:r>
                      </w:p>
                      <w:p>
                        <w:pPr>
                          <w:spacing w:before="95"/>
                          <w:ind w:left="0" w:right="0" w:firstLine="0"/>
                          <w:jc w:val="left"/>
                          <w:rPr>
                            <w:rFonts w:ascii="Arial MT"/>
                            <w:sz w:val="14"/>
                          </w:rPr>
                        </w:pPr>
                        <w:r>
                          <w:rPr>
                            <w:rFonts w:ascii="Arial MT"/>
                            <w:spacing w:val="-10"/>
                            <w:w w:val="90"/>
                            <w:sz w:val="14"/>
                          </w:rPr>
                          <w:t>0</w:t>
                        </w:r>
                      </w:p>
                    </w:txbxContent>
                  </v:textbox>
                  <w10:wrap type="none"/>
                </v:shape>
                <v:shape style="position:absolute;left:6443;top:3176;width:314;height:161" type="#_x0000_t202" id="docshape1283" filled="false" stroked="false">
                  <v:textbox inset="0,0,0,0">
                    <w:txbxContent>
                      <w:p>
                        <w:pPr>
                          <w:spacing w:line="161" w:lineRule="exact" w:before="0"/>
                          <w:ind w:left="0" w:right="0" w:firstLine="0"/>
                          <w:jc w:val="left"/>
                          <w:rPr>
                            <w:rFonts w:ascii="Arial MT"/>
                            <w:sz w:val="14"/>
                          </w:rPr>
                        </w:pPr>
                        <w:r>
                          <w:rPr>
                            <w:rFonts w:ascii="Arial MT"/>
                            <w:w w:val="80"/>
                            <w:sz w:val="14"/>
                          </w:rPr>
                          <w:t>15-</w:t>
                        </w:r>
                        <w:r>
                          <w:rPr>
                            <w:rFonts w:ascii="Arial MT"/>
                            <w:spacing w:val="-5"/>
                            <w:w w:val="90"/>
                            <w:sz w:val="14"/>
                          </w:rPr>
                          <w:t>19</w:t>
                        </w:r>
                      </w:p>
                    </w:txbxContent>
                  </v:textbox>
                  <w10:wrap type="none"/>
                </v:shape>
                <v:shape style="position:absolute;left:8333;top:3176;width:314;height:161" type="#_x0000_t202" id="docshape1284" filled="false" stroked="false">
                  <v:textbox inset="0,0,0,0">
                    <w:txbxContent>
                      <w:p>
                        <w:pPr>
                          <w:spacing w:line="161" w:lineRule="exact" w:before="0"/>
                          <w:ind w:left="0" w:right="0" w:firstLine="0"/>
                          <w:jc w:val="left"/>
                          <w:rPr>
                            <w:rFonts w:ascii="Arial MT"/>
                            <w:sz w:val="14"/>
                          </w:rPr>
                        </w:pPr>
                        <w:r>
                          <w:rPr>
                            <w:rFonts w:ascii="Arial MT"/>
                            <w:w w:val="80"/>
                            <w:sz w:val="14"/>
                          </w:rPr>
                          <w:t>20-</w:t>
                        </w:r>
                        <w:r>
                          <w:rPr>
                            <w:rFonts w:ascii="Arial MT"/>
                            <w:spacing w:val="-5"/>
                            <w:w w:val="90"/>
                            <w:sz w:val="14"/>
                          </w:rPr>
                          <w:t>24</w:t>
                        </w:r>
                      </w:p>
                    </w:txbxContent>
                  </v:textbox>
                  <w10:wrap type="none"/>
                </v:shape>
                <v:shape style="position:absolute;left:10179;top:3176;width:314;height:161" type="#_x0000_t202" id="docshape1285" filled="false" stroked="false">
                  <v:textbox inset="0,0,0,0">
                    <w:txbxContent>
                      <w:p>
                        <w:pPr>
                          <w:spacing w:line="161" w:lineRule="exact" w:before="0"/>
                          <w:ind w:left="0" w:right="0" w:firstLine="0"/>
                          <w:jc w:val="left"/>
                          <w:rPr>
                            <w:rFonts w:ascii="Arial MT"/>
                            <w:sz w:val="14"/>
                          </w:rPr>
                        </w:pPr>
                        <w:r>
                          <w:rPr>
                            <w:rFonts w:ascii="Arial MT"/>
                            <w:w w:val="80"/>
                            <w:sz w:val="14"/>
                          </w:rPr>
                          <w:t>25-</w:t>
                        </w:r>
                        <w:r>
                          <w:rPr>
                            <w:rFonts w:ascii="Arial MT"/>
                            <w:spacing w:val="-5"/>
                            <w:w w:val="90"/>
                            <w:sz w:val="14"/>
                          </w:rPr>
                          <w:t>29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2096">
                <wp:simplePos x="0" y="0"/>
                <wp:positionH relativeFrom="page">
                  <wp:posOffset>3294550</wp:posOffset>
                </wp:positionH>
                <wp:positionV relativeFrom="paragraph">
                  <wp:posOffset>890901</wp:posOffset>
                </wp:positionV>
                <wp:extent cx="127635" cy="977900"/>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127635" cy="977900"/>
                        </a:xfrm>
                        <a:prstGeom prst="rect">
                          <a:avLst/>
                        </a:prstGeom>
                      </wps:spPr>
                      <wps:txbx>
                        <w:txbxContent>
                          <w:p>
                            <w:pPr>
                              <w:spacing w:before="19"/>
                              <w:ind w:left="20" w:right="0" w:firstLine="0"/>
                              <w:jc w:val="left"/>
                              <w:rPr>
                                <w:rFonts w:ascii="Arial"/>
                                <w:b/>
                                <w:sz w:val="14"/>
                              </w:rPr>
                            </w:pPr>
                            <w:r>
                              <w:rPr>
                                <w:rFonts w:ascii="Arial"/>
                                <w:b/>
                                <w:w w:val="80"/>
                                <w:sz w:val="14"/>
                              </w:rPr>
                              <w:t>%</w:t>
                            </w:r>
                            <w:r>
                              <w:rPr>
                                <w:rFonts w:ascii="Arial"/>
                                <w:b/>
                                <w:spacing w:val="-2"/>
                                <w:sz w:val="14"/>
                              </w:rPr>
                              <w:t> </w:t>
                            </w:r>
                            <w:r>
                              <w:rPr>
                                <w:rFonts w:ascii="Arial"/>
                                <w:b/>
                                <w:w w:val="80"/>
                                <w:sz w:val="14"/>
                              </w:rPr>
                              <w:t>who</w:t>
                            </w:r>
                            <w:r>
                              <w:rPr>
                                <w:rFonts w:ascii="Arial"/>
                                <w:b/>
                                <w:spacing w:val="-1"/>
                                <w:sz w:val="14"/>
                              </w:rPr>
                              <w:t> </w:t>
                            </w:r>
                            <w:r>
                              <w:rPr>
                                <w:rFonts w:ascii="Arial"/>
                                <w:b/>
                                <w:w w:val="80"/>
                                <w:sz w:val="14"/>
                              </w:rPr>
                              <w:t>received</w:t>
                            </w:r>
                            <w:r>
                              <w:rPr>
                                <w:rFonts w:ascii="Arial"/>
                                <w:b/>
                                <w:spacing w:val="-2"/>
                                <w:sz w:val="14"/>
                              </w:rPr>
                              <w:t> </w:t>
                            </w:r>
                            <w:r>
                              <w:rPr>
                                <w:rFonts w:ascii="Arial"/>
                                <w:b/>
                                <w:w w:val="80"/>
                                <w:sz w:val="14"/>
                              </w:rPr>
                              <w:t>formal</w:t>
                            </w:r>
                            <w:r>
                              <w:rPr>
                                <w:rFonts w:ascii="Arial"/>
                                <w:b/>
                                <w:spacing w:val="-1"/>
                                <w:sz w:val="14"/>
                              </w:rPr>
                              <w:t> </w:t>
                            </w:r>
                            <w:r>
                              <w:rPr>
                                <w:rFonts w:ascii="Arial"/>
                                <w:b/>
                                <w:spacing w:val="-5"/>
                                <w:w w:val="80"/>
                                <w:sz w:val="14"/>
                              </w:rPr>
                              <w:t>VET</w:t>
                            </w:r>
                          </w:p>
                        </w:txbxContent>
                      </wps:txbx>
                      <wps:bodyPr wrap="square" lIns="0" tIns="0" rIns="0" bIns="0" rtlCol="0" vert="vert270">
                        <a:noAutofit/>
                      </wps:bodyPr>
                    </wps:wsp>
                  </a:graphicData>
                </a:graphic>
              </wp:anchor>
            </w:drawing>
          </mc:Choice>
          <mc:Fallback>
            <w:pict>
              <v:shape style="position:absolute;margin-left:259.413391pt;margin-top:70.149696pt;width:10.050pt;height:77pt;mso-position-horizontal-relative:page;mso-position-vertical-relative:paragraph;z-index:15812096" type="#_x0000_t202" id="docshape1286"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w:t>
                      </w:r>
                      <w:r>
                        <w:rPr>
                          <w:rFonts w:ascii="Arial"/>
                          <w:b/>
                          <w:spacing w:val="-2"/>
                          <w:sz w:val="14"/>
                        </w:rPr>
                        <w:t> </w:t>
                      </w:r>
                      <w:r>
                        <w:rPr>
                          <w:rFonts w:ascii="Arial"/>
                          <w:b/>
                          <w:w w:val="80"/>
                          <w:sz w:val="14"/>
                        </w:rPr>
                        <w:t>who</w:t>
                      </w:r>
                      <w:r>
                        <w:rPr>
                          <w:rFonts w:ascii="Arial"/>
                          <w:b/>
                          <w:spacing w:val="-1"/>
                          <w:sz w:val="14"/>
                        </w:rPr>
                        <w:t> </w:t>
                      </w:r>
                      <w:r>
                        <w:rPr>
                          <w:rFonts w:ascii="Arial"/>
                          <w:b/>
                          <w:w w:val="80"/>
                          <w:sz w:val="14"/>
                        </w:rPr>
                        <w:t>received</w:t>
                      </w:r>
                      <w:r>
                        <w:rPr>
                          <w:rFonts w:ascii="Arial"/>
                          <w:b/>
                          <w:spacing w:val="-2"/>
                          <w:sz w:val="14"/>
                        </w:rPr>
                        <w:t> </w:t>
                      </w:r>
                      <w:r>
                        <w:rPr>
                          <w:rFonts w:ascii="Arial"/>
                          <w:b/>
                          <w:w w:val="80"/>
                          <w:sz w:val="14"/>
                        </w:rPr>
                        <w:t>formal</w:t>
                      </w:r>
                      <w:r>
                        <w:rPr>
                          <w:rFonts w:ascii="Arial"/>
                          <w:b/>
                          <w:spacing w:val="-1"/>
                          <w:sz w:val="14"/>
                        </w:rPr>
                        <w:t> </w:t>
                      </w:r>
                      <w:r>
                        <w:rPr>
                          <w:rFonts w:ascii="Arial"/>
                          <w:b/>
                          <w:spacing w:val="-5"/>
                          <w:w w:val="80"/>
                          <w:sz w:val="14"/>
                        </w:rPr>
                        <w:t>VET</w:t>
                      </w:r>
                    </w:p>
                  </w:txbxContent>
                </v:textbox>
                <w10:wrap type="none"/>
              </v:shape>
            </w:pict>
          </mc:Fallback>
        </mc:AlternateContent>
      </w:r>
      <w:r>
        <w:rPr>
          <w:w w:val="90"/>
        </w:rPr>
        <w:t>Figure</w:t>
      </w:r>
      <w:r>
        <w:rPr>
          <w:spacing w:val="-1"/>
          <w:w w:val="90"/>
        </w:rPr>
        <w:t> </w:t>
      </w:r>
      <w:r>
        <w:rPr>
          <w:w w:val="90"/>
        </w:rPr>
        <w:t>11:</w:t>
      </w:r>
      <w:r>
        <w:rPr>
          <w:spacing w:val="-1"/>
          <w:w w:val="90"/>
        </w:rPr>
        <w:t> </w:t>
      </w:r>
      <w:r>
        <w:rPr>
          <w:color w:val="2E614A"/>
          <w:w w:val="90"/>
        </w:rPr>
        <w:t>Urban-rural</w:t>
      </w:r>
      <w:r>
        <w:rPr>
          <w:color w:val="2E614A"/>
          <w:spacing w:val="-1"/>
          <w:w w:val="90"/>
        </w:rPr>
        <w:t> </w:t>
      </w:r>
      <w:r>
        <w:rPr>
          <w:color w:val="2E614A"/>
          <w:w w:val="90"/>
        </w:rPr>
        <w:t>break</w:t>
      </w:r>
      <w:r>
        <w:rPr>
          <w:color w:val="2E614A"/>
          <w:spacing w:val="-1"/>
          <w:w w:val="90"/>
        </w:rPr>
        <w:t> </w:t>
      </w:r>
      <w:r>
        <w:rPr>
          <w:color w:val="2E614A"/>
          <w:w w:val="90"/>
        </w:rPr>
        <w:t>up</w:t>
      </w:r>
      <w:r>
        <w:rPr>
          <w:color w:val="2E614A"/>
          <w:spacing w:val="-1"/>
          <w:w w:val="90"/>
        </w:rPr>
        <w:t> </w:t>
      </w:r>
      <w:r>
        <w:rPr>
          <w:color w:val="2E614A"/>
          <w:w w:val="90"/>
        </w:rPr>
        <w:t>of</w:t>
      </w:r>
      <w:r>
        <w:rPr>
          <w:color w:val="2E614A"/>
          <w:spacing w:val="-9"/>
          <w:w w:val="90"/>
        </w:rPr>
        <w:t> </w:t>
      </w:r>
      <w:r>
        <w:rPr>
          <w:color w:val="2E614A"/>
          <w:w w:val="90"/>
        </w:rPr>
        <w:t>Vocational </w:t>
      </w:r>
      <w:r>
        <w:rPr>
          <w:color w:val="2E614A"/>
        </w:rPr>
        <w:t>Education</w:t>
      </w:r>
      <w:r>
        <w:rPr>
          <w:color w:val="2E614A"/>
          <w:spacing w:val="-17"/>
        </w:rPr>
        <w:t> </w:t>
      </w:r>
      <w:r>
        <w:rPr>
          <w:color w:val="2E614A"/>
        </w:rPr>
        <w:t>and</w:t>
      </w:r>
      <w:r>
        <w:rPr>
          <w:color w:val="2E614A"/>
          <w:spacing w:val="-15"/>
        </w:rPr>
        <w:t> </w:t>
      </w:r>
      <w:r>
        <w:rPr>
          <w:color w:val="2E614A"/>
        </w:rPr>
        <w:t>Training</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67"/>
        <w:rPr>
          <w:b/>
          <w:sz w:val="24"/>
        </w:rPr>
      </w:pPr>
    </w:p>
    <w:p>
      <w:pPr>
        <w:spacing w:before="0"/>
        <w:ind w:left="242" w:right="0" w:firstLine="0"/>
        <w:jc w:val="left"/>
        <w:rPr>
          <w:sz w:val="16"/>
        </w:rPr>
      </w:pPr>
      <w:r>
        <w:rPr>
          <w:i/>
          <w:spacing w:val="-4"/>
          <w:sz w:val="16"/>
        </w:rPr>
        <w:t>Source:</w:t>
      </w:r>
      <w:r>
        <w:rPr>
          <w:i/>
          <w:spacing w:val="2"/>
          <w:sz w:val="16"/>
        </w:rPr>
        <w:t> </w:t>
      </w:r>
      <w:r>
        <w:rPr>
          <w:spacing w:val="-4"/>
          <w:sz w:val="16"/>
        </w:rPr>
        <w:t>Status</w:t>
      </w:r>
      <w:r>
        <w:rPr>
          <w:spacing w:val="2"/>
          <w:sz w:val="16"/>
        </w:rPr>
        <w:t> </w:t>
      </w:r>
      <w:r>
        <w:rPr>
          <w:spacing w:val="-4"/>
          <w:sz w:val="16"/>
        </w:rPr>
        <w:t>of</w:t>
      </w:r>
      <w:r>
        <w:rPr>
          <w:spacing w:val="2"/>
          <w:sz w:val="16"/>
        </w:rPr>
        <w:t> </w:t>
      </w:r>
      <w:r>
        <w:rPr>
          <w:spacing w:val="-4"/>
          <w:sz w:val="16"/>
        </w:rPr>
        <w:t>Education</w:t>
      </w:r>
      <w:r>
        <w:rPr>
          <w:spacing w:val="3"/>
          <w:sz w:val="16"/>
        </w:rPr>
        <w:t> </w:t>
      </w:r>
      <w:r>
        <w:rPr>
          <w:spacing w:val="-4"/>
          <w:sz w:val="16"/>
        </w:rPr>
        <w:t>and</w:t>
      </w:r>
      <w:r>
        <w:rPr>
          <w:spacing w:val="-1"/>
          <w:sz w:val="16"/>
        </w:rPr>
        <w:t> </w:t>
      </w:r>
      <w:r>
        <w:rPr>
          <w:spacing w:val="-4"/>
          <w:sz w:val="16"/>
        </w:rPr>
        <w:t>Vocational</w:t>
      </w:r>
      <w:r>
        <w:rPr>
          <w:spacing w:val="-6"/>
          <w:sz w:val="16"/>
        </w:rPr>
        <w:t> </w:t>
      </w:r>
      <w:r>
        <w:rPr>
          <w:spacing w:val="-4"/>
          <w:sz w:val="16"/>
        </w:rPr>
        <w:t>Training</w:t>
      </w:r>
      <w:r>
        <w:rPr>
          <w:spacing w:val="2"/>
          <w:sz w:val="16"/>
        </w:rPr>
        <w:t> </w:t>
      </w:r>
      <w:r>
        <w:rPr>
          <w:spacing w:val="-4"/>
          <w:sz w:val="16"/>
        </w:rPr>
        <w:t>in</w:t>
      </w:r>
      <w:r>
        <w:rPr>
          <w:spacing w:val="2"/>
          <w:sz w:val="16"/>
        </w:rPr>
        <w:t> </w:t>
      </w:r>
      <w:r>
        <w:rPr>
          <w:spacing w:val="-4"/>
          <w:sz w:val="16"/>
        </w:rPr>
        <w:t>India,</w:t>
      </w:r>
      <w:r>
        <w:rPr>
          <w:spacing w:val="3"/>
          <w:sz w:val="16"/>
        </w:rPr>
        <w:t> </w:t>
      </w:r>
      <w:r>
        <w:rPr>
          <w:spacing w:val="-4"/>
          <w:sz w:val="16"/>
        </w:rPr>
        <w:t>2004-05,</w:t>
      </w:r>
      <w:r>
        <w:rPr>
          <w:spacing w:val="2"/>
          <w:sz w:val="16"/>
        </w:rPr>
        <w:t> </w:t>
      </w:r>
      <w:r>
        <w:rPr>
          <w:spacing w:val="-4"/>
          <w:sz w:val="16"/>
        </w:rPr>
        <w:t>NSS</w:t>
      </w:r>
      <w:r>
        <w:rPr>
          <w:spacing w:val="2"/>
          <w:sz w:val="16"/>
        </w:rPr>
        <w:t> </w:t>
      </w:r>
      <w:r>
        <w:rPr>
          <w:spacing w:val="-4"/>
          <w:sz w:val="16"/>
        </w:rPr>
        <w:t>61</w:t>
      </w:r>
      <w:r>
        <w:rPr>
          <w:spacing w:val="-4"/>
          <w:position w:val="5"/>
          <w:sz w:val="9"/>
        </w:rPr>
        <w:t>st</w:t>
      </w:r>
      <w:r>
        <w:rPr>
          <w:spacing w:val="20"/>
          <w:position w:val="5"/>
          <w:sz w:val="9"/>
        </w:rPr>
        <w:t> </w:t>
      </w:r>
      <w:r>
        <w:rPr>
          <w:spacing w:val="-4"/>
          <w:sz w:val="16"/>
        </w:rPr>
        <w:t>Round</w:t>
      </w:r>
    </w:p>
    <w:p>
      <w:pPr>
        <w:pStyle w:val="BodyText"/>
        <w:rPr>
          <w:sz w:val="16"/>
        </w:rPr>
      </w:pPr>
    </w:p>
    <w:p>
      <w:pPr>
        <w:pStyle w:val="BodyText"/>
        <w:rPr>
          <w:sz w:val="16"/>
        </w:rPr>
      </w:pPr>
    </w:p>
    <w:p>
      <w:pPr>
        <w:pStyle w:val="BodyText"/>
        <w:spacing w:before="18"/>
        <w:rPr>
          <w:sz w:val="16"/>
        </w:rPr>
      </w:pPr>
    </w:p>
    <w:p>
      <w:pPr>
        <w:pStyle w:val="Heading8"/>
        <w:ind w:left="242"/>
      </w:pPr>
      <w:r>
        <w:rPr/>
        <mc:AlternateContent>
          <mc:Choice Requires="wps">
            <w:drawing>
              <wp:anchor distT="0" distB="0" distL="0" distR="0" allowOverlap="1" layoutInCell="1" locked="0" behindDoc="0" simplePos="0" relativeHeight="15810560">
                <wp:simplePos x="0" y="0"/>
                <wp:positionH relativeFrom="page">
                  <wp:posOffset>3205834</wp:posOffset>
                </wp:positionH>
                <wp:positionV relativeFrom="paragraph">
                  <wp:posOffset>251088</wp:posOffset>
                </wp:positionV>
                <wp:extent cx="3900170" cy="2098040"/>
                <wp:effectExtent l="0" t="0" r="0" b="0"/>
                <wp:wrapNone/>
                <wp:docPr id="1299" name="Group 1299"/>
                <wp:cNvGraphicFramePr>
                  <a:graphicFrameLocks/>
                </wp:cNvGraphicFramePr>
                <a:graphic>
                  <a:graphicData uri="http://schemas.microsoft.com/office/word/2010/wordprocessingGroup">
                    <wpg:wgp>
                      <wpg:cNvPr id="1299" name="Group 1299"/>
                      <wpg:cNvGrpSpPr/>
                      <wpg:grpSpPr>
                        <a:xfrm>
                          <a:off x="0" y="0"/>
                          <a:ext cx="3900170" cy="2098040"/>
                          <a:chExt cx="3900170" cy="2098040"/>
                        </a:xfrm>
                      </wpg:grpSpPr>
                      <wps:wsp>
                        <wps:cNvPr id="1300" name="Graphic 1300"/>
                        <wps:cNvSpPr/>
                        <wps:spPr>
                          <a:xfrm>
                            <a:off x="-11" y="0"/>
                            <a:ext cx="3900170" cy="2098040"/>
                          </a:xfrm>
                          <a:custGeom>
                            <a:avLst/>
                            <a:gdLst/>
                            <a:ahLst/>
                            <a:cxnLst/>
                            <a:rect l="l" t="t" r="r" b="b"/>
                            <a:pathLst>
                              <a:path w="3900170" h="2098040">
                                <a:moveTo>
                                  <a:pt x="3899636" y="0"/>
                                </a:moveTo>
                                <a:lnTo>
                                  <a:pt x="3894302" y="0"/>
                                </a:lnTo>
                                <a:lnTo>
                                  <a:pt x="3894302" y="2540"/>
                                </a:lnTo>
                                <a:lnTo>
                                  <a:pt x="3894302" y="3111"/>
                                </a:lnTo>
                                <a:lnTo>
                                  <a:pt x="3894302" y="5778"/>
                                </a:lnTo>
                                <a:lnTo>
                                  <a:pt x="3894302" y="6350"/>
                                </a:lnTo>
                                <a:lnTo>
                                  <a:pt x="3894302" y="2092960"/>
                                </a:lnTo>
                                <a:lnTo>
                                  <a:pt x="5334" y="2093023"/>
                                </a:lnTo>
                                <a:lnTo>
                                  <a:pt x="2667" y="2093023"/>
                                </a:lnTo>
                                <a:lnTo>
                                  <a:pt x="5334" y="2092960"/>
                                </a:lnTo>
                                <a:lnTo>
                                  <a:pt x="5334" y="6350"/>
                                </a:lnTo>
                                <a:lnTo>
                                  <a:pt x="2667" y="6350"/>
                                </a:lnTo>
                                <a:lnTo>
                                  <a:pt x="2667" y="5778"/>
                                </a:lnTo>
                                <a:lnTo>
                                  <a:pt x="5334" y="5778"/>
                                </a:lnTo>
                                <a:lnTo>
                                  <a:pt x="3894302" y="5778"/>
                                </a:lnTo>
                                <a:lnTo>
                                  <a:pt x="3894302" y="3111"/>
                                </a:lnTo>
                                <a:lnTo>
                                  <a:pt x="5334" y="3111"/>
                                </a:lnTo>
                                <a:lnTo>
                                  <a:pt x="2667" y="3111"/>
                                </a:lnTo>
                                <a:lnTo>
                                  <a:pt x="2667" y="2540"/>
                                </a:lnTo>
                                <a:lnTo>
                                  <a:pt x="3894302" y="2540"/>
                                </a:lnTo>
                                <a:lnTo>
                                  <a:pt x="3894302" y="0"/>
                                </a:lnTo>
                                <a:lnTo>
                                  <a:pt x="0" y="0"/>
                                </a:lnTo>
                                <a:lnTo>
                                  <a:pt x="0" y="2540"/>
                                </a:lnTo>
                                <a:lnTo>
                                  <a:pt x="0" y="6350"/>
                                </a:lnTo>
                                <a:lnTo>
                                  <a:pt x="0" y="2092960"/>
                                </a:lnTo>
                                <a:lnTo>
                                  <a:pt x="0" y="2095500"/>
                                </a:lnTo>
                                <a:lnTo>
                                  <a:pt x="0" y="2098040"/>
                                </a:lnTo>
                                <a:lnTo>
                                  <a:pt x="3899636" y="2098040"/>
                                </a:lnTo>
                                <a:lnTo>
                                  <a:pt x="3899636" y="2095690"/>
                                </a:lnTo>
                                <a:lnTo>
                                  <a:pt x="3899636" y="2095500"/>
                                </a:lnTo>
                                <a:lnTo>
                                  <a:pt x="3899636" y="2093023"/>
                                </a:lnTo>
                                <a:lnTo>
                                  <a:pt x="3896969" y="2093023"/>
                                </a:lnTo>
                                <a:lnTo>
                                  <a:pt x="3899636" y="2092960"/>
                                </a:lnTo>
                                <a:lnTo>
                                  <a:pt x="3899636" y="6350"/>
                                </a:lnTo>
                                <a:lnTo>
                                  <a:pt x="3896969" y="6350"/>
                                </a:lnTo>
                                <a:lnTo>
                                  <a:pt x="3896969" y="5778"/>
                                </a:lnTo>
                                <a:lnTo>
                                  <a:pt x="3899636" y="5778"/>
                                </a:lnTo>
                                <a:lnTo>
                                  <a:pt x="3899636" y="3111"/>
                                </a:lnTo>
                                <a:lnTo>
                                  <a:pt x="3896969" y="3111"/>
                                </a:lnTo>
                                <a:lnTo>
                                  <a:pt x="3896969" y="2540"/>
                                </a:lnTo>
                                <a:lnTo>
                                  <a:pt x="3899636" y="2540"/>
                                </a:lnTo>
                                <a:lnTo>
                                  <a:pt x="3899636" y="0"/>
                                </a:lnTo>
                                <a:close/>
                              </a:path>
                            </a:pathLst>
                          </a:custGeom>
                          <a:solidFill>
                            <a:srgbClr val="000000"/>
                          </a:solidFill>
                        </wps:spPr>
                        <wps:bodyPr wrap="square" lIns="0" tIns="0" rIns="0" bIns="0" rtlCol="0">
                          <a:prstTxWarp prst="textNoShape">
                            <a:avLst/>
                          </a:prstTxWarp>
                          <a:noAutofit/>
                        </wps:bodyPr>
                      </wps:wsp>
                      <wps:wsp>
                        <wps:cNvPr id="1301" name="Graphic 1301"/>
                        <wps:cNvSpPr/>
                        <wps:spPr>
                          <a:xfrm>
                            <a:off x="576644" y="1730101"/>
                            <a:ext cx="255270" cy="124460"/>
                          </a:xfrm>
                          <a:custGeom>
                            <a:avLst/>
                            <a:gdLst/>
                            <a:ahLst/>
                            <a:cxnLst/>
                            <a:rect l="l" t="t" r="r" b="b"/>
                            <a:pathLst>
                              <a:path w="255270" h="124460">
                                <a:moveTo>
                                  <a:pt x="255268" y="0"/>
                                </a:moveTo>
                                <a:lnTo>
                                  <a:pt x="0" y="0"/>
                                </a:lnTo>
                                <a:lnTo>
                                  <a:pt x="0" y="123902"/>
                                </a:lnTo>
                                <a:lnTo>
                                  <a:pt x="255268" y="123902"/>
                                </a:lnTo>
                                <a:lnTo>
                                  <a:pt x="255268" y="0"/>
                                </a:lnTo>
                                <a:close/>
                              </a:path>
                            </a:pathLst>
                          </a:custGeom>
                          <a:solidFill>
                            <a:srgbClr val="2E614A"/>
                          </a:solidFill>
                        </wps:spPr>
                        <wps:bodyPr wrap="square" lIns="0" tIns="0" rIns="0" bIns="0" rtlCol="0">
                          <a:prstTxWarp prst="textNoShape">
                            <a:avLst/>
                          </a:prstTxWarp>
                          <a:noAutofit/>
                        </wps:bodyPr>
                      </wps:wsp>
                      <wps:wsp>
                        <wps:cNvPr id="1302" name="Graphic 1302"/>
                        <wps:cNvSpPr/>
                        <wps:spPr>
                          <a:xfrm>
                            <a:off x="833405" y="1030476"/>
                            <a:ext cx="255270" cy="823594"/>
                          </a:xfrm>
                          <a:custGeom>
                            <a:avLst/>
                            <a:gdLst/>
                            <a:ahLst/>
                            <a:cxnLst/>
                            <a:rect l="l" t="t" r="r" b="b"/>
                            <a:pathLst>
                              <a:path w="255270" h="823594">
                                <a:moveTo>
                                  <a:pt x="255268" y="0"/>
                                </a:moveTo>
                                <a:lnTo>
                                  <a:pt x="0" y="0"/>
                                </a:lnTo>
                                <a:lnTo>
                                  <a:pt x="0" y="823527"/>
                                </a:lnTo>
                                <a:lnTo>
                                  <a:pt x="255268" y="823527"/>
                                </a:lnTo>
                                <a:lnTo>
                                  <a:pt x="255268" y="0"/>
                                </a:lnTo>
                                <a:close/>
                              </a:path>
                            </a:pathLst>
                          </a:custGeom>
                          <a:solidFill>
                            <a:srgbClr val="9CBF3B"/>
                          </a:solidFill>
                        </wps:spPr>
                        <wps:bodyPr wrap="square" lIns="0" tIns="0" rIns="0" bIns="0" rtlCol="0">
                          <a:prstTxWarp prst="textNoShape">
                            <a:avLst/>
                          </a:prstTxWarp>
                          <a:noAutofit/>
                        </wps:bodyPr>
                      </wps:wsp>
                      <wps:wsp>
                        <wps:cNvPr id="1303" name="Graphic 1303"/>
                        <wps:cNvSpPr/>
                        <wps:spPr>
                          <a:xfrm>
                            <a:off x="1090167" y="1779364"/>
                            <a:ext cx="255270" cy="74930"/>
                          </a:xfrm>
                          <a:custGeom>
                            <a:avLst/>
                            <a:gdLst/>
                            <a:ahLst/>
                            <a:cxnLst/>
                            <a:rect l="l" t="t" r="r" b="b"/>
                            <a:pathLst>
                              <a:path w="255270" h="74930">
                                <a:moveTo>
                                  <a:pt x="255268" y="0"/>
                                </a:moveTo>
                                <a:lnTo>
                                  <a:pt x="0" y="0"/>
                                </a:lnTo>
                                <a:lnTo>
                                  <a:pt x="0" y="74639"/>
                                </a:lnTo>
                                <a:lnTo>
                                  <a:pt x="255268" y="74639"/>
                                </a:lnTo>
                                <a:lnTo>
                                  <a:pt x="255268" y="0"/>
                                </a:lnTo>
                                <a:close/>
                              </a:path>
                            </a:pathLst>
                          </a:custGeom>
                          <a:solidFill>
                            <a:srgbClr val="E3C626"/>
                          </a:solidFill>
                        </wps:spPr>
                        <wps:bodyPr wrap="square" lIns="0" tIns="0" rIns="0" bIns="0" rtlCol="0">
                          <a:prstTxWarp prst="textNoShape">
                            <a:avLst/>
                          </a:prstTxWarp>
                          <a:noAutofit/>
                        </wps:bodyPr>
                      </wps:wsp>
                      <wps:wsp>
                        <wps:cNvPr id="1304" name="Graphic 1304"/>
                        <wps:cNvSpPr/>
                        <wps:spPr>
                          <a:xfrm>
                            <a:off x="1705522" y="1288463"/>
                            <a:ext cx="255270" cy="565785"/>
                          </a:xfrm>
                          <a:custGeom>
                            <a:avLst/>
                            <a:gdLst/>
                            <a:ahLst/>
                            <a:cxnLst/>
                            <a:rect l="l" t="t" r="r" b="b"/>
                            <a:pathLst>
                              <a:path w="255270" h="565785">
                                <a:moveTo>
                                  <a:pt x="255268" y="0"/>
                                </a:moveTo>
                                <a:lnTo>
                                  <a:pt x="0" y="0"/>
                                </a:lnTo>
                                <a:lnTo>
                                  <a:pt x="0" y="565540"/>
                                </a:lnTo>
                                <a:lnTo>
                                  <a:pt x="255268" y="565540"/>
                                </a:lnTo>
                                <a:lnTo>
                                  <a:pt x="255268" y="0"/>
                                </a:lnTo>
                                <a:close/>
                              </a:path>
                            </a:pathLst>
                          </a:custGeom>
                          <a:solidFill>
                            <a:srgbClr val="2E614A"/>
                          </a:solidFill>
                        </wps:spPr>
                        <wps:bodyPr wrap="square" lIns="0" tIns="0" rIns="0" bIns="0" rtlCol="0">
                          <a:prstTxWarp prst="textNoShape">
                            <a:avLst/>
                          </a:prstTxWarp>
                          <a:noAutofit/>
                        </wps:bodyPr>
                      </wps:wsp>
                      <wps:wsp>
                        <wps:cNvPr id="1305" name="Graphic 1305"/>
                        <wps:cNvSpPr/>
                        <wps:spPr>
                          <a:xfrm>
                            <a:off x="1962283" y="545672"/>
                            <a:ext cx="255270" cy="1308735"/>
                          </a:xfrm>
                          <a:custGeom>
                            <a:avLst/>
                            <a:gdLst/>
                            <a:ahLst/>
                            <a:cxnLst/>
                            <a:rect l="l" t="t" r="r" b="b"/>
                            <a:pathLst>
                              <a:path w="255270" h="1308735">
                                <a:moveTo>
                                  <a:pt x="255268" y="0"/>
                                </a:moveTo>
                                <a:lnTo>
                                  <a:pt x="0" y="0"/>
                                </a:lnTo>
                                <a:lnTo>
                                  <a:pt x="0" y="1308331"/>
                                </a:lnTo>
                                <a:lnTo>
                                  <a:pt x="255268" y="1308331"/>
                                </a:lnTo>
                                <a:lnTo>
                                  <a:pt x="255268" y="0"/>
                                </a:lnTo>
                                <a:close/>
                              </a:path>
                            </a:pathLst>
                          </a:custGeom>
                          <a:solidFill>
                            <a:srgbClr val="9CBF3B"/>
                          </a:solidFill>
                        </wps:spPr>
                        <wps:bodyPr wrap="square" lIns="0" tIns="0" rIns="0" bIns="0" rtlCol="0">
                          <a:prstTxWarp prst="textNoShape">
                            <a:avLst/>
                          </a:prstTxWarp>
                          <a:noAutofit/>
                        </wps:bodyPr>
                      </wps:wsp>
                      <wps:wsp>
                        <wps:cNvPr id="1306" name="Graphic 1306"/>
                        <wps:cNvSpPr/>
                        <wps:spPr>
                          <a:xfrm>
                            <a:off x="2219045" y="1554377"/>
                            <a:ext cx="255270" cy="299720"/>
                          </a:xfrm>
                          <a:custGeom>
                            <a:avLst/>
                            <a:gdLst/>
                            <a:ahLst/>
                            <a:cxnLst/>
                            <a:rect l="l" t="t" r="r" b="b"/>
                            <a:pathLst>
                              <a:path w="255270" h="299720">
                                <a:moveTo>
                                  <a:pt x="255268" y="0"/>
                                </a:moveTo>
                                <a:lnTo>
                                  <a:pt x="0" y="0"/>
                                </a:lnTo>
                                <a:lnTo>
                                  <a:pt x="0" y="299625"/>
                                </a:lnTo>
                                <a:lnTo>
                                  <a:pt x="255268" y="299625"/>
                                </a:lnTo>
                                <a:lnTo>
                                  <a:pt x="255268" y="0"/>
                                </a:lnTo>
                                <a:close/>
                              </a:path>
                            </a:pathLst>
                          </a:custGeom>
                          <a:solidFill>
                            <a:srgbClr val="E3C626"/>
                          </a:solidFill>
                        </wps:spPr>
                        <wps:bodyPr wrap="square" lIns="0" tIns="0" rIns="0" bIns="0" rtlCol="0">
                          <a:prstTxWarp prst="textNoShape">
                            <a:avLst/>
                          </a:prstTxWarp>
                          <a:noAutofit/>
                        </wps:bodyPr>
                      </wps:wsp>
                      <wps:wsp>
                        <wps:cNvPr id="1307" name="Graphic 1307"/>
                        <wps:cNvSpPr/>
                        <wps:spPr>
                          <a:xfrm>
                            <a:off x="2838693" y="1628361"/>
                            <a:ext cx="255270" cy="226060"/>
                          </a:xfrm>
                          <a:custGeom>
                            <a:avLst/>
                            <a:gdLst/>
                            <a:ahLst/>
                            <a:cxnLst/>
                            <a:rect l="l" t="t" r="r" b="b"/>
                            <a:pathLst>
                              <a:path w="255270" h="226060">
                                <a:moveTo>
                                  <a:pt x="255268" y="0"/>
                                </a:moveTo>
                                <a:lnTo>
                                  <a:pt x="0" y="0"/>
                                </a:lnTo>
                                <a:lnTo>
                                  <a:pt x="0" y="225642"/>
                                </a:lnTo>
                                <a:lnTo>
                                  <a:pt x="255268" y="225642"/>
                                </a:lnTo>
                                <a:lnTo>
                                  <a:pt x="255268" y="0"/>
                                </a:lnTo>
                                <a:close/>
                              </a:path>
                            </a:pathLst>
                          </a:custGeom>
                          <a:solidFill>
                            <a:srgbClr val="2E614A"/>
                          </a:solidFill>
                        </wps:spPr>
                        <wps:bodyPr wrap="square" lIns="0" tIns="0" rIns="0" bIns="0" rtlCol="0">
                          <a:prstTxWarp prst="textNoShape">
                            <a:avLst/>
                          </a:prstTxWarp>
                          <a:noAutofit/>
                        </wps:bodyPr>
                      </wps:wsp>
                      <wps:wsp>
                        <wps:cNvPr id="1308" name="Graphic 1308"/>
                        <wps:cNvSpPr/>
                        <wps:spPr>
                          <a:xfrm>
                            <a:off x="3095454" y="835701"/>
                            <a:ext cx="255270" cy="1018540"/>
                          </a:xfrm>
                          <a:custGeom>
                            <a:avLst/>
                            <a:gdLst/>
                            <a:ahLst/>
                            <a:cxnLst/>
                            <a:rect l="l" t="t" r="r" b="b"/>
                            <a:pathLst>
                              <a:path w="255270" h="1018540">
                                <a:moveTo>
                                  <a:pt x="255268" y="0"/>
                                </a:moveTo>
                                <a:lnTo>
                                  <a:pt x="0" y="0"/>
                                </a:lnTo>
                                <a:lnTo>
                                  <a:pt x="0" y="1018301"/>
                                </a:lnTo>
                                <a:lnTo>
                                  <a:pt x="255268" y="1018301"/>
                                </a:lnTo>
                                <a:lnTo>
                                  <a:pt x="255268" y="0"/>
                                </a:lnTo>
                                <a:close/>
                              </a:path>
                            </a:pathLst>
                          </a:custGeom>
                          <a:solidFill>
                            <a:srgbClr val="9CBF3B"/>
                          </a:solidFill>
                        </wps:spPr>
                        <wps:bodyPr wrap="square" lIns="0" tIns="0" rIns="0" bIns="0" rtlCol="0">
                          <a:prstTxWarp prst="textNoShape">
                            <a:avLst/>
                          </a:prstTxWarp>
                          <a:noAutofit/>
                        </wps:bodyPr>
                      </wps:wsp>
                      <wps:wsp>
                        <wps:cNvPr id="1309" name="Graphic 1309"/>
                        <wps:cNvSpPr/>
                        <wps:spPr>
                          <a:xfrm>
                            <a:off x="3352217" y="1697260"/>
                            <a:ext cx="255270" cy="156845"/>
                          </a:xfrm>
                          <a:custGeom>
                            <a:avLst/>
                            <a:gdLst/>
                            <a:ahLst/>
                            <a:cxnLst/>
                            <a:rect l="l" t="t" r="r" b="b"/>
                            <a:pathLst>
                              <a:path w="255270" h="156845">
                                <a:moveTo>
                                  <a:pt x="255268" y="0"/>
                                </a:moveTo>
                                <a:lnTo>
                                  <a:pt x="0" y="0"/>
                                </a:lnTo>
                                <a:lnTo>
                                  <a:pt x="0" y="156743"/>
                                </a:lnTo>
                                <a:lnTo>
                                  <a:pt x="255268" y="156743"/>
                                </a:lnTo>
                                <a:lnTo>
                                  <a:pt x="255268" y="0"/>
                                </a:lnTo>
                                <a:close/>
                              </a:path>
                            </a:pathLst>
                          </a:custGeom>
                          <a:solidFill>
                            <a:srgbClr val="E3C626"/>
                          </a:solidFill>
                        </wps:spPr>
                        <wps:bodyPr wrap="square" lIns="0" tIns="0" rIns="0" bIns="0" rtlCol="0">
                          <a:prstTxWarp prst="textNoShape">
                            <a:avLst/>
                          </a:prstTxWarp>
                          <a:noAutofit/>
                        </wps:bodyPr>
                      </wps:wsp>
                      <wps:wsp>
                        <wps:cNvPr id="1310" name="Graphic 1310"/>
                        <wps:cNvSpPr/>
                        <wps:spPr>
                          <a:xfrm>
                            <a:off x="366637" y="344741"/>
                            <a:ext cx="3425190" cy="1548765"/>
                          </a:xfrm>
                          <a:custGeom>
                            <a:avLst/>
                            <a:gdLst/>
                            <a:ahLst/>
                            <a:cxnLst/>
                            <a:rect l="l" t="t" r="r" b="b"/>
                            <a:pathLst>
                              <a:path w="3425190" h="1548765">
                                <a:moveTo>
                                  <a:pt x="3424885" y="1508696"/>
                                </a:moveTo>
                                <a:lnTo>
                                  <a:pt x="3422853" y="1508696"/>
                                </a:lnTo>
                                <a:lnTo>
                                  <a:pt x="3422853" y="1506321"/>
                                </a:lnTo>
                                <a:lnTo>
                                  <a:pt x="34391" y="1506321"/>
                                </a:lnTo>
                                <a:lnTo>
                                  <a:pt x="34391" y="1329309"/>
                                </a:lnTo>
                                <a:lnTo>
                                  <a:pt x="34442" y="1322666"/>
                                </a:lnTo>
                                <a:lnTo>
                                  <a:pt x="34391" y="1134097"/>
                                </a:lnTo>
                                <a:lnTo>
                                  <a:pt x="34442" y="1127455"/>
                                </a:lnTo>
                                <a:lnTo>
                                  <a:pt x="34391" y="949706"/>
                                </a:lnTo>
                                <a:lnTo>
                                  <a:pt x="34442" y="943076"/>
                                </a:lnTo>
                                <a:lnTo>
                                  <a:pt x="34391" y="762038"/>
                                </a:lnTo>
                                <a:lnTo>
                                  <a:pt x="34442" y="755408"/>
                                </a:lnTo>
                                <a:lnTo>
                                  <a:pt x="34391" y="578154"/>
                                </a:lnTo>
                                <a:lnTo>
                                  <a:pt x="34442" y="571512"/>
                                </a:lnTo>
                                <a:lnTo>
                                  <a:pt x="34391" y="379120"/>
                                </a:lnTo>
                                <a:lnTo>
                                  <a:pt x="34442" y="372478"/>
                                </a:lnTo>
                                <a:lnTo>
                                  <a:pt x="34391" y="198234"/>
                                </a:lnTo>
                                <a:lnTo>
                                  <a:pt x="34442" y="191592"/>
                                </a:lnTo>
                                <a:lnTo>
                                  <a:pt x="34391" y="6642"/>
                                </a:lnTo>
                                <a:lnTo>
                                  <a:pt x="34442" y="0"/>
                                </a:lnTo>
                                <a:lnTo>
                                  <a:pt x="0" y="0"/>
                                </a:lnTo>
                                <a:lnTo>
                                  <a:pt x="0" y="6642"/>
                                </a:lnTo>
                                <a:lnTo>
                                  <a:pt x="27762" y="6642"/>
                                </a:lnTo>
                                <a:lnTo>
                                  <a:pt x="27762" y="191592"/>
                                </a:lnTo>
                                <a:lnTo>
                                  <a:pt x="0" y="191592"/>
                                </a:lnTo>
                                <a:lnTo>
                                  <a:pt x="0" y="198234"/>
                                </a:lnTo>
                                <a:lnTo>
                                  <a:pt x="27762" y="198234"/>
                                </a:lnTo>
                                <a:lnTo>
                                  <a:pt x="27762" y="372478"/>
                                </a:lnTo>
                                <a:lnTo>
                                  <a:pt x="0" y="372478"/>
                                </a:lnTo>
                                <a:lnTo>
                                  <a:pt x="0" y="379120"/>
                                </a:lnTo>
                                <a:lnTo>
                                  <a:pt x="27762" y="379120"/>
                                </a:lnTo>
                                <a:lnTo>
                                  <a:pt x="27762" y="571512"/>
                                </a:lnTo>
                                <a:lnTo>
                                  <a:pt x="0" y="571512"/>
                                </a:lnTo>
                                <a:lnTo>
                                  <a:pt x="0" y="578154"/>
                                </a:lnTo>
                                <a:lnTo>
                                  <a:pt x="27762" y="578154"/>
                                </a:lnTo>
                                <a:lnTo>
                                  <a:pt x="27762" y="755408"/>
                                </a:lnTo>
                                <a:lnTo>
                                  <a:pt x="0" y="755408"/>
                                </a:lnTo>
                                <a:lnTo>
                                  <a:pt x="0" y="762038"/>
                                </a:lnTo>
                                <a:lnTo>
                                  <a:pt x="27762" y="762038"/>
                                </a:lnTo>
                                <a:lnTo>
                                  <a:pt x="27762" y="943076"/>
                                </a:lnTo>
                                <a:lnTo>
                                  <a:pt x="0" y="943076"/>
                                </a:lnTo>
                                <a:lnTo>
                                  <a:pt x="0" y="949706"/>
                                </a:lnTo>
                                <a:lnTo>
                                  <a:pt x="27762" y="949706"/>
                                </a:lnTo>
                                <a:lnTo>
                                  <a:pt x="27762" y="1127455"/>
                                </a:lnTo>
                                <a:lnTo>
                                  <a:pt x="0" y="1127455"/>
                                </a:lnTo>
                                <a:lnTo>
                                  <a:pt x="0" y="1134097"/>
                                </a:lnTo>
                                <a:lnTo>
                                  <a:pt x="27762" y="1134097"/>
                                </a:lnTo>
                                <a:lnTo>
                                  <a:pt x="27762" y="1322666"/>
                                </a:lnTo>
                                <a:lnTo>
                                  <a:pt x="0" y="1322666"/>
                                </a:lnTo>
                                <a:lnTo>
                                  <a:pt x="0" y="1329309"/>
                                </a:lnTo>
                                <a:lnTo>
                                  <a:pt x="27762" y="1329309"/>
                                </a:lnTo>
                                <a:lnTo>
                                  <a:pt x="27762" y="1506321"/>
                                </a:lnTo>
                                <a:lnTo>
                                  <a:pt x="889" y="1506321"/>
                                </a:lnTo>
                                <a:lnTo>
                                  <a:pt x="889" y="1512951"/>
                                </a:lnTo>
                                <a:lnTo>
                                  <a:pt x="27762" y="1512951"/>
                                </a:lnTo>
                                <a:lnTo>
                                  <a:pt x="27762" y="1548726"/>
                                </a:lnTo>
                                <a:lnTo>
                                  <a:pt x="34391" y="1548726"/>
                                </a:lnTo>
                                <a:lnTo>
                                  <a:pt x="34391" y="1512951"/>
                                </a:lnTo>
                                <a:lnTo>
                                  <a:pt x="1153795" y="1512951"/>
                                </a:lnTo>
                                <a:lnTo>
                                  <a:pt x="1153795" y="1548726"/>
                                </a:lnTo>
                                <a:lnTo>
                                  <a:pt x="1160424" y="1548726"/>
                                </a:lnTo>
                                <a:lnTo>
                                  <a:pt x="1160424" y="1512951"/>
                                </a:lnTo>
                                <a:lnTo>
                                  <a:pt x="2291600" y="1512951"/>
                                </a:lnTo>
                                <a:lnTo>
                                  <a:pt x="2291600" y="1548726"/>
                                </a:lnTo>
                                <a:lnTo>
                                  <a:pt x="2298242" y="1548726"/>
                                </a:lnTo>
                                <a:lnTo>
                                  <a:pt x="2298242" y="1512951"/>
                                </a:lnTo>
                                <a:lnTo>
                                  <a:pt x="3418255" y="1512951"/>
                                </a:lnTo>
                                <a:lnTo>
                                  <a:pt x="3418255" y="1548726"/>
                                </a:lnTo>
                                <a:lnTo>
                                  <a:pt x="3424885" y="1548726"/>
                                </a:lnTo>
                                <a:lnTo>
                                  <a:pt x="3424885" y="1508696"/>
                                </a:lnTo>
                                <a:close/>
                              </a:path>
                            </a:pathLst>
                          </a:custGeom>
                          <a:solidFill>
                            <a:srgbClr val="000000"/>
                          </a:solidFill>
                        </wps:spPr>
                        <wps:bodyPr wrap="square" lIns="0" tIns="0" rIns="0" bIns="0" rtlCol="0">
                          <a:prstTxWarp prst="textNoShape">
                            <a:avLst/>
                          </a:prstTxWarp>
                          <a:noAutofit/>
                        </wps:bodyPr>
                      </wps:wsp>
                      <wps:wsp>
                        <wps:cNvPr id="1311" name="Graphic 1311"/>
                        <wps:cNvSpPr/>
                        <wps:spPr>
                          <a:xfrm>
                            <a:off x="2972947" y="127001"/>
                            <a:ext cx="120650" cy="111125"/>
                          </a:xfrm>
                          <a:custGeom>
                            <a:avLst/>
                            <a:gdLst/>
                            <a:ahLst/>
                            <a:cxnLst/>
                            <a:rect l="l" t="t" r="r" b="b"/>
                            <a:pathLst>
                              <a:path w="120650" h="111125">
                                <a:moveTo>
                                  <a:pt x="120650" y="0"/>
                                </a:moveTo>
                                <a:lnTo>
                                  <a:pt x="0" y="0"/>
                                </a:lnTo>
                                <a:lnTo>
                                  <a:pt x="0" y="110595"/>
                                </a:lnTo>
                                <a:lnTo>
                                  <a:pt x="120650" y="110595"/>
                                </a:lnTo>
                                <a:lnTo>
                                  <a:pt x="120650" y="0"/>
                                </a:lnTo>
                                <a:close/>
                              </a:path>
                            </a:pathLst>
                          </a:custGeom>
                          <a:solidFill>
                            <a:srgbClr val="E3C626"/>
                          </a:solidFill>
                        </wps:spPr>
                        <wps:bodyPr wrap="square" lIns="0" tIns="0" rIns="0" bIns="0" rtlCol="0">
                          <a:prstTxWarp prst="textNoShape">
                            <a:avLst/>
                          </a:prstTxWarp>
                          <a:noAutofit/>
                        </wps:bodyPr>
                      </wps:wsp>
                      <wps:wsp>
                        <wps:cNvPr id="1312" name="Graphic 1312"/>
                        <wps:cNvSpPr/>
                        <wps:spPr>
                          <a:xfrm>
                            <a:off x="1762947" y="133351"/>
                            <a:ext cx="123825" cy="113664"/>
                          </a:xfrm>
                          <a:custGeom>
                            <a:avLst/>
                            <a:gdLst/>
                            <a:ahLst/>
                            <a:cxnLst/>
                            <a:rect l="l" t="t" r="r" b="b"/>
                            <a:pathLst>
                              <a:path w="123825" h="113664">
                                <a:moveTo>
                                  <a:pt x="123700" y="0"/>
                                </a:moveTo>
                                <a:lnTo>
                                  <a:pt x="0" y="0"/>
                                </a:lnTo>
                                <a:lnTo>
                                  <a:pt x="0" y="113392"/>
                                </a:lnTo>
                                <a:lnTo>
                                  <a:pt x="123700" y="113392"/>
                                </a:lnTo>
                                <a:lnTo>
                                  <a:pt x="123700" y="0"/>
                                </a:lnTo>
                                <a:close/>
                              </a:path>
                            </a:pathLst>
                          </a:custGeom>
                          <a:solidFill>
                            <a:srgbClr val="2E614A"/>
                          </a:solidFill>
                        </wps:spPr>
                        <wps:bodyPr wrap="square" lIns="0" tIns="0" rIns="0" bIns="0" rtlCol="0">
                          <a:prstTxWarp prst="textNoShape">
                            <a:avLst/>
                          </a:prstTxWarp>
                          <a:noAutofit/>
                        </wps:bodyPr>
                      </wps:wsp>
                      <wps:wsp>
                        <wps:cNvPr id="1313" name="Graphic 1313"/>
                        <wps:cNvSpPr/>
                        <wps:spPr>
                          <a:xfrm>
                            <a:off x="2318897" y="133351"/>
                            <a:ext cx="123825" cy="113664"/>
                          </a:xfrm>
                          <a:custGeom>
                            <a:avLst/>
                            <a:gdLst/>
                            <a:ahLst/>
                            <a:cxnLst/>
                            <a:rect l="l" t="t" r="r" b="b"/>
                            <a:pathLst>
                              <a:path w="123825" h="113664">
                                <a:moveTo>
                                  <a:pt x="123700" y="0"/>
                                </a:moveTo>
                                <a:lnTo>
                                  <a:pt x="0" y="0"/>
                                </a:lnTo>
                                <a:lnTo>
                                  <a:pt x="0" y="113392"/>
                                </a:lnTo>
                                <a:lnTo>
                                  <a:pt x="123700" y="113392"/>
                                </a:lnTo>
                                <a:lnTo>
                                  <a:pt x="123700" y="0"/>
                                </a:lnTo>
                                <a:close/>
                              </a:path>
                            </a:pathLst>
                          </a:custGeom>
                          <a:solidFill>
                            <a:srgbClr val="9CBF3B"/>
                          </a:solidFill>
                        </wps:spPr>
                        <wps:bodyPr wrap="square" lIns="0" tIns="0" rIns="0" bIns="0" rtlCol="0">
                          <a:prstTxWarp prst="textNoShape">
                            <a:avLst/>
                          </a:prstTxWarp>
                          <a:noAutofit/>
                        </wps:bodyPr>
                      </wps:wsp>
                      <wps:wsp>
                        <wps:cNvPr id="1314" name="Textbox 1314"/>
                        <wps:cNvSpPr txBox="1"/>
                        <wps:spPr>
                          <a:xfrm>
                            <a:off x="1925197" y="130253"/>
                            <a:ext cx="1809114" cy="102235"/>
                          </a:xfrm>
                          <a:prstGeom prst="rect">
                            <a:avLst/>
                          </a:prstGeom>
                        </wps:spPr>
                        <wps:txbx>
                          <w:txbxContent>
                            <w:p>
                              <w:pPr>
                                <w:tabs>
                                  <w:tab w:pos="875" w:val="left" w:leader="none"/>
                                  <w:tab w:pos="1889" w:val="left" w:leader="none"/>
                                </w:tabs>
                                <w:spacing w:line="161" w:lineRule="exact" w:before="0"/>
                                <w:ind w:left="0" w:right="0" w:firstLine="0"/>
                                <w:jc w:val="left"/>
                                <w:rPr>
                                  <w:rFonts w:ascii="Arial MT"/>
                                  <w:sz w:val="14"/>
                                </w:rPr>
                              </w:pPr>
                              <w:r>
                                <w:rPr>
                                  <w:rFonts w:ascii="Arial MT"/>
                                  <w:spacing w:val="-2"/>
                                  <w:w w:val="90"/>
                                  <w:sz w:val="14"/>
                                </w:rPr>
                                <w:t>Employed</w:t>
                              </w:r>
                              <w:r>
                                <w:rPr>
                                  <w:rFonts w:ascii="Arial MT"/>
                                  <w:sz w:val="14"/>
                                </w:rPr>
                                <w:tab/>
                              </w:r>
                              <w:r>
                                <w:rPr>
                                  <w:rFonts w:ascii="Arial MT"/>
                                  <w:spacing w:val="-2"/>
                                  <w:w w:val="90"/>
                                  <w:sz w:val="14"/>
                                </w:rPr>
                                <w:t>Unemployed</w:t>
                              </w:r>
                              <w:r>
                                <w:rPr>
                                  <w:rFonts w:ascii="Arial MT"/>
                                  <w:sz w:val="14"/>
                                </w:rPr>
                                <w:tab/>
                              </w:r>
                              <w:r>
                                <w:rPr>
                                  <w:rFonts w:ascii="Arial MT"/>
                                  <w:w w:val="80"/>
                                  <w:sz w:val="14"/>
                                </w:rPr>
                                <w:t>Not</w:t>
                              </w:r>
                              <w:r>
                                <w:rPr>
                                  <w:rFonts w:ascii="Arial MT"/>
                                  <w:spacing w:val="-5"/>
                                  <w:sz w:val="14"/>
                                </w:rPr>
                                <w:t> </w:t>
                              </w:r>
                              <w:r>
                                <w:rPr>
                                  <w:rFonts w:ascii="Arial MT"/>
                                  <w:w w:val="80"/>
                                  <w:sz w:val="14"/>
                                </w:rPr>
                                <w:t>in</w:t>
                              </w:r>
                              <w:r>
                                <w:rPr>
                                  <w:rFonts w:ascii="Arial MT"/>
                                  <w:spacing w:val="-5"/>
                                  <w:sz w:val="14"/>
                                </w:rPr>
                                <w:t> </w:t>
                              </w:r>
                              <w:r>
                                <w:rPr>
                                  <w:rFonts w:ascii="Arial MT"/>
                                  <w:w w:val="80"/>
                                  <w:sz w:val="14"/>
                                </w:rPr>
                                <w:t>labour</w:t>
                              </w:r>
                              <w:r>
                                <w:rPr>
                                  <w:rFonts w:ascii="Arial MT"/>
                                  <w:spacing w:val="-4"/>
                                  <w:sz w:val="14"/>
                                </w:rPr>
                                <w:t> </w:t>
                              </w:r>
                              <w:r>
                                <w:rPr>
                                  <w:rFonts w:ascii="Arial MT"/>
                                  <w:spacing w:val="-4"/>
                                  <w:w w:val="80"/>
                                  <w:sz w:val="14"/>
                                </w:rPr>
                                <w:t>force</w:t>
                              </w:r>
                            </w:p>
                          </w:txbxContent>
                        </wps:txbx>
                        <wps:bodyPr wrap="square" lIns="0" tIns="0" rIns="0" bIns="0" rtlCol="0">
                          <a:noAutofit/>
                        </wps:bodyPr>
                      </wps:wsp>
                      <wps:wsp>
                        <wps:cNvPr id="1315" name="Textbox 1315"/>
                        <wps:cNvSpPr txBox="1"/>
                        <wps:spPr>
                          <a:xfrm>
                            <a:off x="224578" y="325607"/>
                            <a:ext cx="93980" cy="15754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16</w:t>
                              </w:r>
                            </w:p>
                            <w:p>
                              <w:pPr>
                                <w:spacing w:before="129"/>
                                <w:ind w:left="0" w:right="0" w:firstLine="0"/>
                                <w:jc w:val="left"/>
                                <w:rPr>
                                  <w:rFonts w:ascii="Arial MT"/>
                                  <w:sz w:val="14"/>
                                </w:rPr>
                              </w:pPr>
                              <w:r>
                                <w:rPr>
                                  <w:rFonts w:ascii="Arial MT"/>
                                  <w:spacing w:val="-5"/>
                                  <w:w w:val="90"/>
                                  <w:sz w:val="14"/>
                                </w:rPr>
                                <w:t>14</w:t>
                              </w:r>
                            </w:p>
                            <w:p>
                              <w:pPr>
                                <w:spacing w:before="129"/>
                                <w:ind w:left="0" w:right="0" w:firstLine="0"/>
                                <w:jc w:val="left"/>
                                <w:rPr>
                                  <w:rFonts w:ascii="Arial MT"/>
                                  <w:sz w:val="14"/>
                                </w:rPr>
                              </w:pPr>
                              <w:r>
                                <w:rPr>
                                  <w:rFonts w:ascii="Arial MT"/>
                                  <w:spacing w:val="-5"/>
                                  <w:w w:val="90"/>
                                  <w:sz w:val="14"/>
                                </w:rPr>
                                <w:t>12</w:t>
                              </w:r>
                            </w:p>
                            <w:p>
                              <w:pPr>
                                <w:spacing w:before="129"/>
                                <w:ind w:left="0" w:right="0" w:firstLine="0"/>
                                <w:jc w:val="left"/>
                                <w:rPr>
                                  <w:rFonts w:ascii="Arial MT"/>
                                  <w:sz w:val="14"/>
                                </w:rPr>
                              </w:pPr>
                              <w:r>
                                <w:rPr>
                                  <w:rFonts w:ascii="Arial MT"/>
                                  <w:spacing w:val="-5"/>
                                  <w:w w:val="90"/>
                                  <w:sz w:val="14"/>
                                </w:rPr>
                                <w:t>10</w:t>
                              </w:r>
                            </w:p>
                            <w:p>
                              <w:pPr>
                                <w:spacing w:before="129"/>
                                <w:ind w:left="63" w:right="0" w:firstLine="0"/>
                                <w:jc w:val="left"/>
                                <w:rPr>
                                  <w:rFonts w:ascii="Arial MT"/>
                                  <w:sz w:val="14"/>
                                </w:rPr>
                              </w:pPr>
                              <w:r>
                                <w:rPr>
                                  <w:rFonts w:ascii="Arial MT"/>
                                  <w:spacing w:val="-10"/>
                                  <w:w w:val="90"/>
                                  <w:sz w:val="14"/>
                                </w:rPr>
                                <w:t>8</w:t>
                              </w:r>
                            </w:p>
                            <w:p>
                              <w:pPr>
                                <w:spacing w:before="129"/>
                                <w:ind w:left="63" w:right="0" w:firstLine="0"/>
                                <w:jc w:val="left"/>
                                <w:rPr>
                                  <w:rFonts w:ascii="Arial MT"/>
                                  <w:sz w:val="14"/>
                                </w:rPr>
                              </w:pPr>
                              <w:r>
                                <w:rPr>
                                  <w:rFonts w:ascii="Arial MT"/>
                                  <w:spacing w:val="-10"/>
                                  <w:w w:val="90"/>
                                  <w:sz w:val="14"/>
                                </w:rPr>
                                <w:t>6</w:t>
                              </w:r>
                            </w:p>
                            <w:p>
                              <w:pPr>
                                <w:spacing w:before="129"/>
                                <w:ind w:left="63" w:right="0" w:firstLine="0"/>
                                <w:jc w:val="left"/>
                                <w:rPr>
                                  <w:rFonts w:ascii="Arial MT"/>
                                  <w:sz w:val="14"/>
                                </w:rPr>
                              </w:pPr>
                              <w:r>
                                <w:rPr>
                                  <w:rFonts w:ascii="Arial MT"/>
                                  <w:spacing w:val="-10"/>
                                  <w:w w:val="90"/>
                                  <w:sz w:val="14"/>
                                </w:rPr>
                                <w:t>4</w:t>
                              </w:r>
                            </w:p>
                            <w:p>
                              <w:pPr>
                                <w:spacing w:before="129"/>
                                <w:ind w:left="63" w:right="0" w:firstLine="0"/>
                                <w:jc w:val="left"/>
                                <w:rPr>
                                  <w:rFonts w:ascii="Arial MT"/>
                                  <w:sz w:val="14"/>
                                </w:rPr>
                              </w:pPr>
                              <w:r>
                                <w:rPr>
                                  <w:rFonts w:ascii="Arial MT"/>
                                  <w:spacing w:val="-10"/>
                                  <w:w w:val="90"/>
                                  <w:sz w:val="14"/>
                                </w:rPr>
                                <w:t>2</w:t>
                              </w:r>
                            </w:p>
                            <w:p>
                              <w:pPr>
                                <w:spacing w:before="129"/>
                                <w:ind w:left="63"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316" name="Textbox 1316"/>
                        <wps:cNvSpPr txBox="1"/>
                        <wps:spPr>
                          <a:xfrm>
                            <a:off x="873856" y="1907665"/>
                            <a:ext cx="18732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Rural</w:t>
                              </w:r>
                            </w:p>
                          </w:txbxContent>
                        </wps:txbx>
                        <wps:bodyPr wrap="square" lIns="0" tIns="0" rIns="0" bIns="0" rtlCol="0">
                          <a:noAutofit/>
                        </wps:bodyPr>
                      </wps:wsp>
                      <wps:wsp>
                        <wps:cNvPr id="1317" name="Textbox 1317"/>
                        <wps:cNvSpPr txBox="1"/>
                        <wps:spPr>
                          <a:xfrm>
                            <a:off x="2004366" y="1907665"/>
                            <a:ext cx="211454"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Urban</w:t>
                              </w:r>
                            </w:p>
                          </w:txbxContent>
                        </wps:txbx>
                        <wps:bodyPr wrap="square" lIns="0" tIns="0" rIns="0" bIns="0" rtlCol="0">
                          <a:noAutofit/>
                        </wps:bodyPr>
                      </wps:wsp>
                      <wps:wsp>
                        <wps:cNvPr id="1318" name="Textbox 1318"/>
                        <wps:cNvSpPr txBox="1"/>
                        <wps:spPr>
                          <a:xfrm>
                            <a:off x="3137827" y="1907665"/>
                            <a:ext cx="167005"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Total</w:t>
                              </w:r>
                            </w:p>
                          </w:txbxContent>
                        </wps:txbx>
                        <wps:bodyPr wrap="square" lIns="0" tIns="0" rIns="0" bIns="0" rtlCol="0">
                          <a:noAutofit/>
                        </wps:bodyPr>
                      </wps:wsp>
                    </wpg:wgp>
                  </a:graphicData>
                </a:graphic>
              </wp:anchor>
            </w:drawing>
          </mc:Choice>
          <mc:Fallback>
            <w:pict>
              <v:group style="position:absolute;margin-left:252.427933pt;margin-top:19.770752pt;width:307.1pt;height:165.2pt;mso-position-horizontal-relative:page;mso-position-vertical-relative:paragraph;z-index:15810560" id="docshapegroup1287" coordorigin="5049,395" coordsize="6142,3304">
                <v:shape style="position:absolute;left:5048;top:395;width:6142;height:3304" id="docshape1288" coordorigin="5049,395" coordsize="6142,3304" path="m11190,395l11181,395,11181,399,11181,400,11181,405,11181,405,11181,3691,5057,3692,5053,3692,5057,3691,5057,405,5053,405,5053,405,5057,405,11181,405,11181,400,5057,400,5053,400,5053,399,11181,399,11181,395,5049,395,5049,399,5049,405,5049,3691,5049,3695,5049,3699,11190,3699,11190,3696,11190,3695,11190,3692,11186,3692,11190,3691,11190,405,11186,405,11186,405,11190,405,11190,400,11186,400,11186,399,11190,399,11190,395xe" filled="true" fillcolor="#000000" stroked="false">
                  <v:path arrowok="t"/>
                  <v:fill type="solid"/>
                </v:shape>
                <v:rect style="position:absolute;left:5956;top:3119;width:402;height:196" id="docshape1289" filled="true" fillcolor="#2e614a" stroked="false">
                  <v:fill type="solid"/>
                </v:rect>
                <v:rect style="position:absolute;left:6361;top:2018;width:402;height:1297" id="docshape1290" filled="true" fillcolor="#9cbf3b" stroked="false">
                  <v:fill type="solid"/>
                </v:rect>
                <v:rect style="position:absolute;left:6765;top:3197;width:402;height:118" id="docshape1291" filled="true" fillcolor="#e3c626" stroked="false">
                  <v:fill type="solid"/>
                </v:rect>
                <v:rect style="position:absolute;left:7734;top:2424;width:402;height:891" id="docshape1292" filled="true" fillcolor="#2e614a" stroked="false">
                  <v:fill type="solid"/>
                </v:rect>
                <v:rect style="position:absolute;left:8138;top:1254;width:402;height:2061" id="docshape1293" filled="true" fillcolor="#9cbf3b" stroked="false">
                  <v:fill type="solid"/>
                </v:rect>
                <v:rect style="position:absolute;left:8543;top:2843;width:402;height:472" id="docshape1294" filled="true" fillcolor="#e3c626" stroked="false">
                  <v:fill type="solid"/>
                </v:rect>
                <v:rect style="position:absolute;left:9518;top:2959;width:402;height:356" id="docshape1295" filled="true" fillcolor="#2e614a" stroked="false">
                  <v:fill type="solid"/>
                </v:rect>
                <v:rect style="position:absolute;left:9923;top:1711;width:402;height:1604" id="docshape1296" filled="true" fillcolor="#9cbf3b" stroked="false">
                  <v:fill type="solid"/>
                </v:rect>
                <v:rect style="position:absolute;left:10327;top:3068;width:402;height:247" id="docshape1297" filled="true" fillcolor="#e3c626" stroked="false">
                  <v:fill type="solid"/>
                </v:rect>
                <v:shape style="position:absolute;left:5625;top:938;width:5394;height:2439" id="docshape1298" coordorigin="5626,938" coordsize="5394,2439" path="m11019,3314l11016,3314,11016,3310,5680,3310,5680,3032,5680,3021,5680,2724,5680,2714,5680,2434,5680,2423,5680,2138,5680,2128,5680,1849,5680,1838,5680,1535,5680,1525,5680,1250,5680,1240,5680,949,5680,938,5626,938,5626,949,5670,949,5670,1240,5626,1240,5626,1250,5670,1250,5670,1525,5626,1525,5626,1535,5670,1535,5670,1838,5626,1838,5626,1849,5670,1849,5670,2128,5626,2128,5626,2138,5670,2138,5670,2423,5626,2423,5626,2434,5670,2434,5670,2714,5626,2714,5626,2724,5670,2724,5670,3021,5626,3021,5626,3032,5670,3032,5670,3310,5627,3310,5627,3321,5670,3321,5670,3377,5680,3377,5680,3321,7443,3321,7443,3377,7453,3377,7453,3321,9235,3321,9235,3377,9245,3377,9245,3321,11009,3321,11009,3377,11019,3377,11019,3314xe" filled="true" fillcolor="#000000" stroked="false">
                  <v:path arrowok="t"/>
                  <v:fill type="solid"/>
                </v:shape>
                <v:rect style="position:absolute;left:9730;top:595;width:190;height:175" id="docshape1299" filled="true" fillcolor="#e3c626" stroked="false">
                  <v:fill type="solid"/>
                </v:rect>
                <v:rect style="position:absolute;left:7824;top:605;width:195;height:179" id="docshape1300" filled="true" fillcolor="#2e614a" stroked="false">
                  <v:fill type="solid"/>
                </v:rect>
                <v:rect style="position:absolute;left:8700;top:605;width:195;height:179" id="docshape1301" filled="true" fillcolor="#9cbf3b" stroked="false">
                  <v:fill type="solid"/>
                </v:rect>
                <v:shape style="position:absolute;left:8080;top:600;width:2849;height:161" type="#_x0000_t202" id="docshape1302" filled="false" stroked="false">
                  <v:textbox inset="0,0,0,0">
                    <w:txbxContent>
                      <w:p>
                        <w:pPr>
                          <w:tabs>
                            <w:tab w:pos="875" w:val="left" w:leader="none"/>
                            <w:tab w:pos="1889" w:val="left" w:leader="none"/>
                          </w:tabs>
                          <w:spacing w:line="161" w:lineRule="exact" w:before="0"/>
                          <w:ind w:left="0" w:right="0" w:firstLine="0"/>
                          <w:jc w:val="left"/>
                          <w:rPr>
                            <w:rFonts w:ascii="Arial MT"/>
                            <w:sz w:val="14"/>
                          </w:rPr>
                        </w:pPr>
                        <w:r>
                          <w:rPr>
                            <w:rFonts w:ascii="Arial MT"/>
                            <w:spacing w:val="-2"/>
                            <w:w w:val="90"/>
                            <w:sz w:val="14"/>
                          </w:rPr>
                          <w:t>Employed</w:t>
                        </w:r>
                        <w:r>
                          <w:rPr>
                            <w:rFonts w:ascii="Arial MT"/>
                            <w:sz w:val="14"/>
                          </w:rPr>
                          <w:tab/>
                        </w:r>
                        <w:r>
                          <w:rPr>
                            <w:rFonts w:ascii="Arial MT"/>
                            <w:spacing w:val="-2"/>
                            <w:w w:val="90"/>
                            <w:sz w:val="14"/>
                          </w:rPr>
                          <w:t>Unemployed</w:t>
                        </w:r>
                        <w:r>
                          <w:rPr>
                            <w:rFonts w:ascii="Arial MT"/>
                            <w:sz w:val="14"/>
                          </w:rPr>
                          <w:tab/>
                        </w:r>
                        <w:r>
                          <w:rPr>
                            <w:rFonts w:ascii="Arial MT"/>
                            <w:w w:val="80"/>
                            <w:sz w:val="14"/>
                          </w:rPr>
                          <w:t>Not</w:t>
                        </w:r>
                        <w:r>
                          <w:rPr>
                            <w:rFonts w:ascii="Arial MT"/>
                            <w:spacing w:val="-5"/>
                            <w:sz w:val="14"/>
                          </w:rPr>
                          <w:t> </w:t>
                        </w:r>
                        <w:r>
                          <w:rPr>
                            <w:rFonts w:ascii="Arial MT"/>
                            <w:w w:val="80"/>
                            <w:sz w:val="14"/>
                          </w:rPr>
                          <w:t>in</w:t>
                        </w:r>
                        <w:r>
                          <w:rPr>
                            <w:rFonts w:ascii="Arial MT"/>
                            <w:spacing w:val="-5"/>
                            <w:sz w:val="14"/>
                          </w:rPr>
                          <w:t> </w:t>
                        </w:r>
                        <w:r>
                          <w:rPr>
                            <w:rFonts w:ascii="Arial MT"/>
                            <w:w w:val="80"/>
                            <w:sz w:val="14"/>
                          </w:rPr>
                          <w:t>labour</w:t>
                        </w:r>
                        <w:r>
                          <w:rPr>
                            <w:rFonts w:ascii="Arial MT"/>
                            <w:spacing w:val="-4"/>
                            <w:sz w:val="14"/>
                          </w:rPr>
                          <w:t> </w:t>
                        </w:r>
                        <w:r>
                          <w:rPr>
                            <w:rFonts w:ascii="Arial MT"/>
                            <w:spacing w:val="-4"/>
                            <w:w w:val="80"/>
                            <w:sz w:val="14"/>
                          </w:rPr>
                          <w:t>force</w:t>
                        </w:r>
                      </w:p>
                    </w:txbxContent>
                  </v:textbox>
                  <w10:wrap type="none"/>
                </v:shape>
                <v:shape style="position:absolute;left:5402;top:908;width:148;height:2481" type="#_x0000_t202" id="docshape1303" filled="false" stroked="false">
                  <v:textbox inset="0,0,0,0">
                    <w:txbxContent>
                      <w:p>
                        <w:pPr>
                          <w:spacing w:line="161" w:lineRule="exact" w:before="0"/>
                          <w:ind w:left="0" w:right="0" w:firstLine="0"/>
                          <w:jc w:val="left"/>
                          <w:rPr>
                            <w:rFonts w:ascii="Arial MT"/>
                            <w:sz w:val="14"/>
                          </w:rPr>
                        </w:pPr>
                        <w:r>
                          <w:rPr>
                            <w:rFonts w:ascii="Arial MT"/>
                            <w:spacing w:val="-5"/>
                            <w:w w:val="90"/>
                            <w:sz w:val="14"/>
                          </w:rPr>
                          <w:t>16</w:t>
                        </w:r>
                      </w:p>
                      <w:p>
                        <w:pPr>
                          <w:spacing w:before="129"/>
                          <w:ind w:left="0" w:right="0" w:firstLine="0"/>
                          <w:jc w:val="left"/>
                          <w:rPr>
                            <w:rFonts w:ascii="Arial MT"/>
                            <w:sz w:val="14"/>
                          </w:rPr>
                        </w:pPr>
                        <w:r>
                          <w:rPr>
                            <w:rFonts w:ascii="Arial MT"/>
                            <w:spacing w:val="-5"/>
                            <w:w w:val="90"/>
                            <w:sz w:val="14"/>
                          </w:rPr>
                          <w:t>14</w:t>
                        </w:r>
                      </w:p>
                      <w:p>
                        <w:pPr>
                          <w:spacing w:before="129"/>
                          <w:ind w:left="0" w:right="0" w:firstLine="0"/>
                          <w:jc w:val="left"/>
                          <w:rPr>
                            <w:rFonts w:ascii="Arial MT"/>
                            <w:sz w:val="14"/>
                          </w:rPr>
                        </w:pPr>
                        <w:r>
                          <w:rPr>
                            <w:rFonts w:ascii="Arial MT"/>
                            <w:spacing w:val="-5"/>
                            <w:w w:val="90"/>
                            <w:sz w:val="14"/>
                          </w:rPr>
                          <w:t>12</w:t>
                        </w:r>
                      </w:p>
                      <w:p>
                        <w:pPr>
                          <w:spacing w:before="129"/>
                          <w:ind w:left="0" w:right="0" w:firstLine="0"/>
                          <w:jc w:val="left"/>
                          <w:rPr>
                            <w:rFonts w:ascii="Arial MT"/>
                            <w:sz w:val="14"/>
                          </w:rPr>
                        </w:pPr>
                        <w:r>
                          <w:rPr>
                            <w:rFonts w:ascii="Arial MT"/>
                            <w:spacing w:val="-5"/>
                            <w:w w:val="90"/>
                            <w:sz w:val="14"/>
                          </w:rPr>
                          <w:t>10</w:t>
                        </w:r>
                      </w:p>
                      <w:p>
                        <w:pPr>
                          <w:spacing w:before="129"/>
                          <w:ind w:left="63" w:right="0" w:firstLine="0"/>
                          <w:jc w:val="left"/>
                          <w:rPr>
                            <w:rFonts w:ascii="Arial MT"/>
                            <w:sz w:val="14"/>
                          </w:rPr>
                        </w:pPr>
                        <w:r>
                          <w:rPr>
                            <w:rFonts w:ascii="Arial MT"/>
                            <w:spacing w:val="-10"/>
                            <w:w w:val="90"/>
                            <w:sz w:val="14"/>
                          </w:rPr>
                          <w:t>8</w:t>
                        </w:r>
                      </w:p>
                      <w:p>
                        <w:pPr>
                          <w:spacing w:before="129"/>
                          <w:ind w:left="63" w:right="0" w:firstLine="0"/>
                          <w:jc w:val="left"/>
                          <w:rPr>
                            <w:rFonts w:ascii="Arial MT"/>
                            <w:sz w:val="14"/>
                          </w:rPr>
                        </w:pPr>
                        <w:r>
                          <w:rPr>
                            <w:rFonts w:ascii="Arial MT"/>
                            <w:spacing w:val="-10"/>
                            <w:w w:val="90"/>
                            <w:sz w:val="14"/>
                          </w:rPr>
                          <w:t>6</w:t>
                        </w:r>
                      </w:p>
                      <w:p>
                        <w:pPr>
                          <w:spacing w:before="129"/>
                          <w:ind w:left="63" w:right="0" w:firstLine="0"/>
                          <w:jc w:val="left"/>
                          <w:rPr>
                            <w:rFonts w:ascii="Arial MT"/>
                            <w:sz w:val="14"/>
                          </w:rPr>
                        </w:pPr>
                        <w:r>
                          <w:rPr>
                            <w:rFonts w:ascii="Arial MT"/>
                            <w:spacing w:val="-10"/>
                            <w:w w:val="90"/>
                            <w:sz w:val="14"/>
                          </w:rPr>
                          <w:t>4</w:t>
                        </w:r>
                      </w:p>
                      <w:p>
                        <w:pPr>
                          <w:spacing w:before="129"/>
                          <w:ind w:left="63" w:right="0" w:firstLine="0"/>
                          <w:jc w:val="left"/>
                          <w:rPr>
                            <w:rFonts w:ascii="Arial MT"/>
                            <w:sz w:val="14"/>
                          </w:rPr>
                        </w:pPr>
                        <w:r>
                          <w:rPr>
                            <w:rFonts w:ascii="Arial MT"/>
                            <w:spacing w:val="-10"/>
                            <w:w w:val="90"/>
                            <w:sz w:val="14"/>
                          </w:rPr>
                          <w:t>2</w:t>
                        </w:r>
                      </w:p>
                      <w:p>
                        <w:pPr>
                          <w:spacing w:before="129"/>
                          <w:ind w:left="63" w:right="0" w:firstLine="0"/>
                          <w:jc w:val="left"/>
                          <w:rPr>
                            <w:rFonts w:ascii="Arial MT"/>
                            <w:sz w:val="14"/>
                          </w:rPr>
                        </w:pPr>
                        <w:r>
                          <w:rPr>
                            <w:rFonts w:ascii="Arial MT"/>
                            <w:spacing w:val="-10"/>
                            <w:w w:val="90"/>
                            <w:sz w:val="14"/>
                          </w:rPr>
                          <w:t>0</w:t>
                        </w:r>
                      </w:p>
                    </w:txbxContent>
                  </v:textbox>
                  <w10:wrap type="none"/>
                </v:shape>
                <v:shape style="position:absolute;left:6424;top:3399;width:295;height:161" type="#_x0000_t202" id="docshape1304" filled="false" stroked="false">
                  <v:textbox inset="0,0,0,0">
                    <w:txbxContent>
                      <w:p>
                        <w:pPr>
                          <w:spacing w:line="161" w:lineRule="exact" w:before="0"/>
                          <w:ind w:left="0" w:right="0" w:firstLine="0"/>
                          <w:jc w:val="left"/>
                          <w:rPr>
                            <w:rFonts w:ascii="Arial MT"/>
                            <w:sz w:val="14"/>
                          </w:rPr>
                        </w:pPr>
                        <w:r>
                          <w:rPr>
                            <w:rFonts w:ascii="Arial MT"/>
                            <w:spacing w:val="-2"/>
                            <w:w w:val="85"/>
                            <w:sz w:val="14"/>
                          </w:rPr>
                          <w:t>Rural</w:t>
                        </w:r>
                      </w:p>
                    </w:txbxContent>
                  </v:textbox>
                  <w10:wrap type="none"/>
                </v:shape>
                <v:shape style="position:absolute;left:8205;top:3399;width:333;height:161" type="#_x0000_t202" id="docshape1305" filled="false" stroked="false">
                  <v:textbox inset="0,0,0,0">
                    <w:txbxContent>
                      <w:p>
                        <w:pPr>
                          <w:spacing w:line="161" w:lineRule="exact" w:before="0"/>
                          <w:ind w:left="0" w:right="0" w:firstLine="0"/>
                          <w:jc w:val="left"/>
                          <w:rPr>
                            <w:rFonts w:ascii="Arial MT"/>
                            <w:sz w:val="14"/>
                          </w:rPr>
                        </w:pPr>
                        <w:r>
                          <w:rPr>
                            <w:rFonts w:ascii="Arial MT"/>
                            <w:spacing w:val="-4"/>
                            <w:w w:val="85"/>
                            <w:sz w:val="14"/>
                          </w:rPr>
                          <w:t>Urban</w:t>
                        </w:r>
                      </w:p>
                    </w:txbxContent>
                  </v:textbox>
                  <w10:wrap type="none"/>
                </v:shape>
                <v:shape style="position:absolute;left:9990;top:3399;width:263;height:161" type="#_x0000_t202" id="docshape1306" filled="false" stroked="false">
                  <v:textbox inset="0,0,0,0">
                    <w:txbxContent>
                      <w:p>
                        <w:pPr>
                          <w:spacing w:line="161" w:lineRule="exact" w:before="0"/>
                          <w:ind w:left="0" w:right="0" w:firstLine="0"/>
                          <w:jc w:val="left"/>
                          <w:rPr>
                            <w:rFonts w:ascii="Arial MT"/>
                            <w:sz w:val="14"/>
                          </w:rPr>
                        </w:pPr>
                        <w:r>
                          <w:rPr>
                            <w:rFonts w:ascii="Arial MT"/>
                            <w:spacing w:val="-4"/>
                            <w:w w:val="85"/>
                            <w:sz w:val="14"/>
                          </w:rPr>
                          <w:t>Total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1584">
                <wp:simplePos x="0" y="0"/>
                <wp:positionH relativeFrom="page">
                  <wp:posOffset>3268151</wp:posOffset>
                </wp:positionH>
                <wp:positionV relativeFrom="paragraph">
                  <wp:posOffset>681582</wp:posOffset>
                </wp:positionV>
                <wp:extent cx="127635" cy="1370965"/>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127635" cy="1370965"/>
                        </a:xfrm>
                        <a:prstGeom prst="rect">
                          <a:avLst/>
                        </a:prstGeom>
                      </wps:spPr>
                      <wps:txbx>
                        <w:txbxContent>
                          <w:p>
                            <w:pPr>
                              <w:spacing w:before="19"/>
                              <w:ind w:left="20" w:right="0" w:firstLine="0"/>
                              <w:jc w:val="left"/>
                              <w:rPr>
                                <w:rFonts w:ascii="Arial MT"/>
                                <w:sz w:val="14"/>
                              </w:rPr>
                            </w:pPr>
                            <w:r>
                              <w:rPr>
                                <w:rFonts w:ascii="Arial MT"/>
                                <w:w w:val="80"/>
                                <w:sz w:val="14"/>
                              </w:rPr>
                              <w:t>%</w:t>
                            </w:r>
                            <w:r>
                              <w:rPr>
                                <w:rFonts w:ascii="Arial MT"/>
                                <w:spacing w:val="-3"/>
                                <w:sz w:val="14"/>
                              </w:rPr>
                              <w:t> </w:t>
                            </w:r>
                            <w:r>
                              <w:rPr>
                                <w:rFonts w:ascii="Arial MT"/>
                                <w:w w:val="80"/>
                                <w:sz w:val="14"/>
                              </w:rPr>
                              <w:t>who</w:t>
                            </w:r>
                            <w:r>
                              <w:rPr>
                                <w:rFonts w:ascii="Arial MT"/>
                                <w:spacing w:val="-3"/>
                                <w:sz w:val="14"/>
                              </w:rPr>
                              <w:t> </w:t>
                            </w:r>
                            <w:r>
                              <w:rPr>
                                <w:rFonts w:ascii="Arial MT"/>
                                <w:w w:val="80"/>
                                <w:sz w:val="14"/>
                              </w:rPr>
                              <w:t>received</w:t>
                            </w:r>
                            <w:r>
                              <w:rPr>
                                <w:rFonts w:ascii="Arial MT"/>
                                <w:spacing w:val="-3"/>
                                <w:sz w:val="14"/>
                              </w:rPr>
                              <w:t> </w:t>
                            </w:r>
                            <w:r>
                              <w:rPr>
                                <w:rFonts w:ascii="Arial MT"/>
                                <w:w w:val="80"/>
                                <w:sz w:val="14"/>
                              </w:rPr>
                              <w:t>formal</w:t>
                            </w:r>
                            <w:r>
                              <w:rPr>
                                <w:rFonts w:ascii="Arial MT"/>
                                <w:spacing w:val="-3"/>
                                <w:sz w:val="14"/>
                              </w:rPr>
                              <w:t> </w:t>
                            </w:r>
                            <w:r>
                              <w:rPr>
                                <w:rFonts w:ascii="Arial MT"/>
                                <w:w w:val="80"/>
                                <w:sz w:val="14"/>
                              </w:rPr>
                              <w:t>vocational</w:t>
                            </w:r>
                            <w:r>
                              <w:rPr>
                                <w:rFonts w:ascii="Arial MT"/>
                                <w:spacing w:val="-3"/>
                                <w:sz w:val="14"/>
                              </w:rPr>
                              <w:t> </w:t>
                            </w:r>
                            <w:r>
                              <w:rPr>
                                <w:rFonts w:ascii="Arial MT"/>
                                <w:spacing w:val="-2"/>
                                <w:w w:val="80"/>
                                <w:sz w:val="14"/>
                              </w:rPr>
                              <w:t>training</w:t>
                            </w:r>
                          </w:p>
                        </w:txbxContent>
                      </wps:txbx>
                      <wps:bodyPr wrap="square" lIns="0" tIns="0" rIns="0" bIns="0" rtlCol="0" vert="vert270">
                        <a:noAutofit/>
                      </wps:bodyPr>
                    </wps:wsp>
                  </a:graphicData>
                </a:graphic>
              </wp:anchor>
            </w:drawing>
          </mc:Choice>
          <mc:Fallback>
            <w:pict>
              <v:shape style="position:absolute;margin-left:257.334778pt;margin-top:53.667946pt;width:10.050pt;height:107.95pt;mso-position-horizontal-relative:page;mso-position-vertical-relative:paragraph;z-index:15811584" type="#_x0000_t202" id="docshape1307"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w:t>
                      </w:r>
                      <w:r>
                        <w:rPr>
                          <w:rFonts w:ascii="Arial MT"/>
                          <w:spacing w:val="-3"/>
                          <w:sz w:val="14"/>
                        </w:rPr>
                        <w:t> </w:t>
                      </w:r>
                      <w:r>
                        <w:rPr>
                          <w:rFonts w:ascii="Arial MT"/>
                          <w:w w:val="80"/>
                          <w:sz w:val="14"/>
                        </w:rPr>
                        <w:t>who</w:t>
                      </w:r>
                      <w:r>
                        <w:rPr>
                          <w:rFonts w:ascii="Arial MT"/>
                          <w:spacing w:val="-3"/>
                          <w:sz w:val="14"/>
                        </w:rPr>
                        <w:t> </w:t>
                      </w:r>
                      <w:r>
                        <w:rPr>
                          <w:rFonts w:ascii="Arial MT"/>
                          <w:w w:val="80"/>
                          <w:sz w:val="14"/>
                        </w:rPr>
                        <w:t>received</w:t>
                      </w:r>
                      <w:r>
                        <w:rPr>
                          <w:rFonts w:ascii="Arial MT"/>
                          <w:spacing w:val="-3"/>
                          <w:sz w:val="14"/>
                        </w:rPr>
                        <w:t> </w:t>
                      </w:r>
                      <w:r>
                        <w:rPr>
                          <w:rFonts w:ascii="Arial MT"/>
                          <w:w w:val="80"/>
                          <w:sz w:val="14"/>
                        </w:rPr>
                        <w:t>formal</w:t>
                      </w:r>
                      <w:r>
                        <w:rPr>
                          <w:rFonts w:ascii="Arial MT"/>
                          <w:spacing w:val="-3"/>
                          <w:sz w:val="14"/>
                        </w:rPr>
                        <w:t> </w:t>
                      </w:r>
                      <w:r>
                        <w:rPr>
                          <w:rFonts w:ascii="Arial MT"/>
                          <w:w w:val="80"/>
                          <w:sz w:val="14"/>
                        </w:rPr>
                        <w:t>vocational</w:t>
                      </w:r>
                      <w:r>
                        <w:rPr>
                          <w:rFonts w:ascii="Arial MT"/>
                          <w:spacing w:val="-3"/>
                          <w:sz w:val="14"/>
                        </w:rPr>
                        <w:t> </w:t>
                      </w:r>
                      <w:r>
                        <w:rPr>
                          <w:rFonts w:ascii="Arial MT"/>
                          <w:spacing w:val="-2"/>
                          <w:w w:val="80"/>
                          <w:sz w:val="14"/>
                        </w:rPr>
                        <w:t>training</w:t>
                      </w:r>
                    </w:p>
                  </w:txbxContent>
                </v:textbox>
                <w10:wrap type="none"/>
              </v:shape>
            </w:pict>
          </mc:Fallback>
        </mc:AlternateContent>
      </w:r>
      <w:r>
        <w:rPr>
          <w:spacing w:val="-4"/>
          <w:w w:val="90"/>
        </w:rPr>
        <w:t>Figure</w:t>
      </w:r>
      <w:r>
        <w:rPr>
          <w:spacing w:val="-9"/>
        </w:rPr>
        <w:t> </w:t>
      </w:r>
      <w:r>
        <w:rPr>
          <w:spacing w:val="-4"/>
          <w:w w:val="90"/>
        </w:rPr>
        <w:t>12:</w:t>
      </w:r>
      <w:r>
        <w:rPr>
          <w:spacing w:val="-6"/>
        </w:rPr>
        <w:t> </w:t>
      </w:r>
      <w:r>
        <w:rPr>
          <w:color w:val="2E614A"/>
          <w:spacing w:val="-4"/>
          <w:w w:val="90"/>
        </w:rPr>
        <w:t>Activity</w:t>
      </w:r>
      <w:r>
        <w:rPr>
          <w:color w:val="2E614A"/>
          <w:spacing w:val="-6"/>
        </w:rPr>
        <w:t> </w:t>
      </w:r>
      <w:r>
        <w:rPr>
          <w:color w:val="2E614A"/>
          <w:spacing w:val="-4"/>
          <w:w w:val="90"/>
        </w:rPr>
        <w:t>status</w:t>
      </w:r>
      <w:r>
        <w:rPr>
          <w:color w:val="2E614A"/>
          <w:spacing w:val="-6"/>
        </w:rPr>
        <w:t> </w:t>
      </w:r>
      <w:r>
        <w:rPr>
          <w:color w:val="2E614A"/>
          <w:spacing w:val="-4"/>
          <w:w w:val="90"/>
        </w:rPr>
        <w:t>of</w:t>
      </w:r>
      <w:r>
        <w:rPr>
          <w:color w:val="2E614A"/>
          <w:spacing w:val="-6"/>
        </w:rPr>
        <w:t> </w:t>
      </w:r>
      <w:r>
        <w:rPr>
          <w:color w:val="2E614A"/>
          <w:spacing w:val="-4"/>
          <w:w w:val="90"/>
        </w:rPr>
        <w:t>persons</w:t>
      </w:r>
      <w:r>
        <w:rPr>
          <w:color w:val="2E614A"/>
          <w:spacing w:val="-6"/>
        </w:rPr>
        <w:t> </w:t>
      </w:r>
      <w:r>
        <w:rPr>
          <w:color w:val="2E614A"/>
          <w:spacing w:val="-4"/>
          <w:w w:val="90"/>
        </w:rPr>
        <w:t>receiving</w:t>
      </w:r>
      <w:r>
        <w:rPr>
          <w:color w:val="2E614A"/>
          <w:spacing w:val="-6"/>
        </w:rPr>
        <w:t> </w:t>
      </w:r>
      <w:r>
        <w:rPr>
          <w:color w:val="2E614A"/>
          <w:spacing w:val="-4"/>
          <w:w w:val="90"/>
        </w:rPr>
        <w:t>vocational</w:t>
      </w:r>
      <w:r>
        <w:rPr>
          <w:color w:val="2E614A"/>
          <w:spacing w:val="-6"/>
        </w:rPr>
        <w:t> </w:t>
      </w:r>
      <w:r>
        <w:rPr>
          <w:color w:val="2E614A"/>
          <w:spacing w:val="-4"/>
          <w:w w:val="90"/>
        </w:rPr>
        <w:t>training</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92"/>
        <w:rPr>
          <w:b/>
          <w:sz w:val="24"/>
        </w:rPr>
      </w:pPr>
    </w:p>
    <w:p>
      <w:pPr>
        <w:spacing w:before="0"/>
        <w:ind w:left="242" w:right="0" w:firstLine="0"/>
        <w:jc w:val="left"/>
        <w:rPr>
          <w:sz w:val="16"/>
        </w:rPr>
      </w:pPr>
      <w:r>
        <w:rPr>
          <w:i/>
          <w:spacing w:val="-4"/>
          <w:sz w:val="16"/>
        </w:rPr>
        <w:t>Source:</w:t>
      </w:r>
      <w:r>
        <w:rPr>
          <w:i/>
          <w:spacing w:val="2"/>
          <w:sz w:val="16"/>
        </w:rPr>
        <w:t> </w:t>
      </w:r>
      <w:r>
        <w:rPr>
          <w:spacing w:val="-4"/>
          <w:sz w:val="16"/>
        </w:rPr>
        <w:t>Status</w:t>
      </w:r>
      <w:r>
        <w:rPr>
          <w:spacing w:val="2"/>
          <w:sz w:val="16"/>
        </w:rPr>
        <w:t> </w:t>
      </w:r>
      <w:r>
        <w:rPr>
          <w:spacing w:val="-4"/>
          <w:sz w:val="16"/>
        </w:rPr>
        <w:t>of</w:t>
      </w:r>
      <w:r>
        <w:rPr>
          <w:spacing w:val="2"/>
          <w:sz w:val="16"/>
        </w:rPr>
        <w:t> </w:t>
      </w:r>
      <w:r>
        <w:rPr>
          <w:spacing w:val="-4"/>
          <w:sz w:val="16"/>
        </w:rPr>
        <w:t>Education</w:t>
      </w:r>
      <w:r>
        <w:rPr>
          <w:spacing w:val="3"/>
          <w:sz w:val="16"/>
        </w:rPr>
        <w:t> </w:t>
      </w:r>
      <w:r>
        <w:rPr>
          <w:spacing w:val="-4"/>
          <w:sz w:val="16"/>
        </w:rPr>
        <w:t>and</w:t>
      </w:r>
      <w:r>
        <w:rPr>
          <w:spacing w:val="-1"/>
          <w:sz w:val="16"/>
        </w:rPr>
        <w:t> </w:t>
      </w:r>
      <w:r>
        <w:rPr>
          <w:spacing w:val="-4"/>
          <w:sz w:val="16"/>
        </w:rPr>
        <w:t>Vocational</w:t>
      </w:r>
      <w:r>
        <w:rPr>
          <w:spacing w:val="-6"/>
          <w:sz w:val="16"/>
        </w:rPr>
        <w:t> </w:t>
      </w:r>
      <w:r>
        <w:rPr>
          <w:spacing w:val="-4"/>
          <w:sz w:val="16"/>
        </w:rPr>
        <w:t>Training</w:t>
      </w:r>
      <w:r>
        <w:rPr>
          <w:spacing w:val="2"/>
          <w:sz w:val="16"/>
        </w:rPr>
        <w:t> </w:t>
      </w:r>
      <w:r>
        <w:rPr>
          <w:spacing w:val="-4"/>
          <w:sz w:val="16"/>
        </w:rPr>
        <w:t>in</w:t>
      </w:r>
      <w:r>
        <w:rPr>
          <w:spacing w:val="2"/>
          <w:sz w:val="16"/>
        </w:rPr>
        <w:t> </w:t>
      </w:r>
      <w:r>
        <w:rPr>
          <w:spacing w:val="-4"/>
          <w:sz w:val="16"/>
        </w:rPr>
        <w:t>India,</w:t>
      </w:r>
      <w:r>
        <w:rPr>
          <w:spacing w:val="3"/>
          <w:sz w:val="16"/>
        </w:rPr>
        <w:t> </w:t>
      </w:r>
      <w:r>
        <w:rPr>
          <w:spacing w:val="-4"/>
          <w:sz w:val="16"/>
        </w:rPr>
        <w:t>2004-05,</w:t>
      </w:r>
      <w:r>
        <w:rPr>
          <w:spacing w:val="2"/>
          <w:sz w:val="16"/>
        </w:rPr>
        <w:t> </w:t>
      </w:r>
      <w:r>
        <w:rPr>
          <w:spacing w:val="-4"/>
          <w:sz w:val="16"/>
        </w:rPr>
        <w:t>NSS</w:t>
      </w:r>
      <w:r>
        <w:rPr>
          <w:spacing w:val="2"/>
          <w:sz w:val="16"/>
        </w:rPr>
        <w:t> </w:t>
      </w:r>
      <w:r>
        <w:rPr>
          <w:spacing w:val="-4"/>
          <w:sz w:val="16"/>
        </w:rPr>
        <w:t>61</w:t>
      </w:r>
      <w:r>
        <w:rPr>
          <w:spacing w:val="-4"/>
          <w:position w:val="5"/>
          <w:sz w:val="9"/>
        </w:rPr>
        <w:t>st</w:t>
      </w:r>
      <w:r>
        <w:rPr>
          <w:spacing w:val="20"/>
          <w:position w:val="5"/>
          <w:sz w:val="9"/>
        </w:rPr>
        <w:t> </w:t>
      </w:r>
      <w:r>
        <w:rPr>
          <w:spacing w:val="-4"/>
          <w:sz w:val="16"/>
        </w:rPr>
        <w:t>Round</w:t>
      </w:r>
    </w:p>
    <w:p>
      <w:pPr>
        <w:spacing w:after="0"/>
        <w:jc w:val="left"/>
        <w:rPr>
          <w:sz w:val="16"/>
        </w:rPr>
        <w:sectPr>
          <w:pgSz w:w="11910" w:h="16840"/>
          <w:pgMar w:header="0" w:footer="675" w:top="940" w:bottom="860" w:left="0" w:right="0"/>
          <w:cols w:num="2" w:equalWidth="0">
            <w:col w:w="4771" w:space="40"/>
            <w:col w:w="7099"/>
          </w:cols>
        </w:sectPr>
      </w:pPr>
    </w:p>
    <w:p>
      <w:pPr>
        <w:pStyle w:val="Heading8"/>
        <w:spacing w:before="73"/>
      </w:pPr>
      <w:r>
        <w:rPr>
          <w:w w:val="90"/>
        </w:rPr>
        <w:t>Table</w:t>
      </w:r>
      <w:r>
        <w:rPr>
          <w:spacing w:val="8"/>
        </w:rPr>
        <w:t> </w:t>
      </w:r>
      <w:r>
        <w:rPr>
          <w:w w:val="90"/>
        </w:rPr>
        <w:t>7:</w:t>
      </w:r>
      <w:r>
        <w:rPr>
          <w:spacing w:val="8"/>
        </w:rPr>
        <w:t> </w:t>
      </w:r>
      <w:r>
        <w:rPr>
          <w:color w:val="2E614A"/>
          <w:w w:val="90"/>
        </w:rPr>
        <w:t>International</w:t>
      </w:r>
      <w:r>
        <w:rPr>
          <w:color w:val="2E614A"/>
          <w:spacing w:val="9"/>
        </w:rPr>
        <w:t> </w:t>
      </w:r>
      <w:r>
        <w:rPr>
          <w:color w:val="2E614A"/>
          <w:w w:val="90"/>
        </w:rPr>
        <w:t>comparisons</w:t>
      </w:r>
      <w:r>
        <w:rPr>
          <w:color w:val="2E614A"/>
          <w:spacing w:val="8"/>
        </w:rPr>
        <w:t> </w:t>
      </w:r>
      <w:r>
        <w:rPr>
          <w:color w:val="2E614A"/>
          <w:w w:val="90"/>
        </w:rPr>
        <w:t>on</w:t>
      </w:r>
      <w:r>
        <w:rPr>
          <w:color w:val="2E614A"/>
          <w:spacing w:val="8"/>
        </w:rPr>
        <w:t> </w:t>
      </w:r>
      <w:r>
        <w:rPr>
          <w:color w:val="2E614A"/>
          <w:w w:val="90"/>
        </w:rPr>
        <w:t>size</w:t>
      </w:r>
      <w:r>
        <w:rPr>
          <w:color w:val="2E614A"/>
          <w:spacing w:val="9"/>
        </w:rPr>
        <w:t> </w:t>
      </w:r>
      <w:r>
        <w:rPr>
          <w:color w:val="2E614A"/>
          <w:w w:val="90"/>
        </w:rPr>
        <w:t>of</w:t>
      </w:r>
      <w:r>
        <w:rPr>
          <w:color w:val="2E614A"/>
          <w:spacing w:val="8"/>
        </w:rPr>
        <w:t> </w:t>
      </w:r>
      <w:r>
        <w:rPr>
          <w:color w:val="2E614A"/>
          <w:w w:val="90"/>
        </w:rPr>
        <w:t>vocational-secondary</w:t>
      </w:r>
      <w:r>
        <w:rPr>
          <w:color w:val="2E614A"/>
          <w:spacing w:val="9"/>
        </w:rPr>
        <w:t> </w:t>
      </w:r>
      <w:r>
        <w:rPr>
          <w:color w:val="2E614A"/>
          <w:spacing w:val="-2"/>
          <w:w w:val="90"/>
        </w:rPr>
        <w:t>education</w:t>
      </w:r>
    </w:p>
    <w:p>
      <w:pPr>
        <w:pStyle w:val="BodyText"/>
        <w:spacing w:before="3"/>
        <w:rPr>
          <w:b/>
          <w:sz w:val="10"/>
        </w:rPr>
      </w:pPr>
    </w:p>
    <w:tbl>
      <w:tblPr>
        <w:tblW w:w="0" w:type="auto"/>
        <w:jc w:val="left"/>
        <w:tblInd w:w="10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80"/>
        <w:gridCol w:w="2620"/>
        <w:gridCol w:w="2620"/>
        <w:gridCol w:w="2620"/>
      </w:tblGrid>
      <w:tr>
        <w:trPr>
          <w:trHeight w:val="881" w:hRule="atLeast"/>
        </w:trPr>
        <w:tc>
          <w:tcPr>
            <w:tcW w:w="1880" w:type="dxa"/>
            <w:shd w:val="clear" w:color="auto" w:fill="D0D5CD"/>
          </w:tcPr>
          <w:p>
            <w:pPr>
              <w:pStyle w:val="TableParagraph"/>
              <w:ind w:left="90"/>
              <w:rPr>
                <w:b/>
                <w:sz w:val="20"/>
              </w:rPr>
            </w:pPr>
            <w:r>
              <w:rPr>
                <w:b/>
                <w:spacing w:val="-2"/>
                <w:sz w:val="20"/>
              </w:rPr>
              <w:t>Country</w:t>
            </w:r>
          </w:p>
        </w:tc>
        <w:tc>
          <w:tcPr>
            <w:tcW w:w="2620" w:type="dxa"/>
            <w:shd w:val="clear" w:color="auto" w:fill="D0D5CD"/>
          </w:tcPr>
          <w:p>
            <w:pPr>
              <w:pStyle w:val="TableParagraph"/>
              <w:ind w:left="111" w:right="107"/>
              <w:jc w:val="center"/>
              <w:rPr>
                <w:b/>
                <w:sz w:val="20"/>
              </w:rPr>
            </w:pPr>
            <w:r>
              <w:rPr>
                <w:b/>
                <w:w w:val="90"/>
                <w:sz w:val="20"/>
              </w:rPr>
              <w:t>Secondary</w:t>
            </w:r>
            <w:r>
              <w:rPr>
                <w:b/>
                <w:spacing w:val="12"/>
                <w:sz w:val="20"/>
              </w:rPr>
              <w:t> </w:t>
            </w:r>
            <w:r>
              <w:rPr>
                <w:b/>
                <w:w w:val="90"/>
                <w:sz w:val="20"/>
              </w:rPr>
              <w:t>enrolment</w:t>
            </w:r>
            <w:r>
              <w:rPr>
                <w:b/>
                <w:spacing w:val="13"/>
                <w:sz w:val="20"/>
              </w:rPr>
              <w:t> </w:t>
            </w:r>
            <w:r>
              <w:rPr>
                <w:b/>
                <w:spacing w:val="-2"/>
                <w:w w:val="90"/>
                <w:sz w:val="20"/>
              </w:rPr>
              <w:t>ratio</w:t>
            </w:r>
          </w:p>
        </w:tc>
        <w:tc>
          <w:tcPr>
            <w:tcW w:w="2620" w:type="dxa"/>
            <w:shd w:val="clear" w:color="auto" w:fill="D0D5CD"/>
          </w:tcPr>
          <w:p>
            <w:pPr>
              <w:pStyle w:val="TableParagraph"/>
              <w:spacing w:line="292" w:lineRule="auto"/>
              <w:ind w:left="844" w:right="501" w:hanging="330"/>
              <w:rPr>
                <w:b/>
                <w:sz w:val="20"/>
              </w:rPr>
            </w:pPr>
            <w:r>
              <w:rPr>
                <w:b/>
                <w:spacing w:val="-6"/>
                <w:sz w:val="20"/>
              </w:rPr>
              <w:t>Number</w:t>
            </w:r>
            <w:r>
              <w:rPr>
                <w:b/>
                <w:spacing w:val="-7"/>
                <w:sz w:val="20"/>
              </w:rPr>
              <w:t> </w:t>
            </w:r>
            <w:r>
              <w:rPr>
                <w:b/>
                <w:spacing w:val="-6"/>
                <w:sz w:val="20"/>
              </w:rPr>
              <w:t>of </w:t>
            </w:r>
            <w:r>
              <w:rPr>
                <w:b/>
                <w:spacing w:val="-6"/>
                <w:sz w:val="20"/>
              </w:rPr>
              <w:t>students </w:t>
            </w:r>
            <w:r>
              <w:rPr>
                <w:b/>
                <w:spacing w:val="-2"/>
                <w:sz w:val="20"/>
              </w:rPr>
              <w:t>(thousands)</w:t>
            </w:r>
          </w:p>
        </w:tc>
        <w:tc>
          <w:tcPr>
            <w:tcW w:w="2620" w:type="dxa"/>
            <w:shd w:val="clear" w:color="auto" w:fill="D0D5CD"/>
          </w:tcPr>
          <w:p>
            <w:pPr>
              <w:pStyle w:val="TableParagraph"/>
              <w:spacing w:line="280" w:lineRule="exact" w:before="9"/>
              <w:ind w:left="111" w:right="103"/>
              <w:jc w:val="center"/>
              <w:rPr>
                <w:b/>
                <w:sz w:val="20"/>
              </w:rPr>
            </w:pPr>
            <w:r>
              <w:rPr>
                <w:b/>
                <w:spacing w:val="-6"/>
                <w:sz w:val="20"/>
              </w:rPr>
              <w:t>Vocational-technical share </w:t>
            </w:r>
            <w:r>
              <w:rPr>
                <w:b/>
                <w:spacing w:val="-8"/>
                <w:sz w:val="20"/>
              </w:rPr>
              <w:t>(per</w:t>
            </w:r>
            <w:r>
              <w:rPr>
                <w:b/>
                <w:spacing w:val="-4"/>
                <w:sz w:val="20"/>
              </w:rPr>
              <w:t> </w:t>
            </w:r>
            <w:r>
              <w:rPr>
                <w:b/>
                <w:spacing w:val="-8"/>
                <w:sz w:val="20"/>
              </w:rPr>
              <w:t>cent</w:t>
            </w:r>
            <w:r>
              <w:rPr>
                <w:b/>
                <w:spacing w:val="-4"/>
                <w:sz w:val="20"/>
              </w:rPr>
              <w:t> </w:t>
            </w:r>
            <w:r>
              <w:rPr>
                <w:b/>
                <w:spacing w:val="-8"/>
                <w:sz w:val="20"/>
              </w:rPr>
              <w:t>of</w:t>
            </w:r>
            <w:r>
              <w:rPr>
                <w:b/>
                <w:spacing w:val="-4"/>
                <w:sz w:val="20"/>
              </w:rPr>
              <w:t> </w:t>
            </w:r>
            <w:r>
              <w:rPr>
                <w:b/>
                <w:spacing w:val="-8"/>
                <w:sz w:val="20"/>
              </w:rPr>
              <w:t>total</w:t>
            </w:r>
            <w:r>
              <w:rPr>
                <w:b/>
                <w:spacing w:val="-4"/>
                <w:sz w:val="20"/>
              </w:rPr>
              <w:t> </w:t>
            </w:r>
            <w:r>
              <w:rPr>
                <w:b/>
                <w:spacing w:val="-8"/>
                <w:sz w:val="20"/>
              </w:rPr>
              <w:t>secondary </w:t>
            </w:r>
            <w:r>
              <w:rPr>
                <w:b/>
                <w:spacing w:val="-2"/>
                <w:sz w:val="20"/>
              </w:rPr>
              <w:t>enrolments)</w:t>
            </w:r>
          </w:p>
        </w:tc>
      </w:tr>
      <w:tr>
        <w:trPr>
          <w:trHeight w:val="321" w:hRule="atLeast"/>
        </w:trPr>
        <w:tc>
          <w:tcPr>
            <w:tcW w:w="1880" w:type="dxa"/>
            <w:shd w:val="clear" w:color="auto" w:fill="E9E9E9"/>
          </w:tcPr>
          <w:p>
            <w:pPr>
              <w:pStyle w:val="TableParagraph"/>
              <w:ind w:left="90"/>
              <w:rPr>
                <w:sz w:val="20"/>
              </w:rPr>
            </w:pPr>
            <w:r>
              <w:rPr>
                <w:spacing w:val="-2"/>
                <w:sz w:val="20"/>
              </w:rPr>
              <w:t>Russia</w:t>
            </w:r>
          </w:p>
        </w:tc>
        <w:tc>
          <w:tcPr>
            <w:tcW w:w="2620" w:type="dxa"/>
            <w:shd w:val="clear" w:color="auto" w:fill="E9E9E9"/>
          </w:tcPr>
          <w:p>
            <w:pPr>
              <w:pStyle w:val="TableParagraph"/>
              <w:ind w:left="188" w:right="103"/>
              <w:jc w:val="center"/>
              <w:rPr>
                <w:sz w:val="20"/>
              </w:rPr>
            </w:pPr>
            <w:r>
              <w:rPr>
                <w:spacing w:val="-5"/>
                <w:sz w:val="20"/>
              </w:rPr>
              <w:t>88</w:t>
            </w:r>
          </w:p>
        </w:tc>
        <w:tc>
          <w:tcPr>
            <w:tcW w:w="2620" w:type="dxa"/>
            <w:shd w:val="clear" w:color="auto" w:fill="E9E9E9"/>
          </w:tcPr>
          <w:p>
            <w:pPr>
              <w:pStyle w:val="TableParagraph"/>
              <w:ind w:right="1162"/>
              <w:jc w:val="right"/>
              <w:rPr>
                <w:sz w:val="20"/>
              </w:rPr>
            </w:pPr>
            <w:r>
              <w:rPr>
                <w:spacing w:val="-4"/>
                <w:sz w:val="20"/>
              </w:rPr>
              <w:t>6277</w:t>
            </w:r>
          </w:p>
        </w:tc>
        <w:tc>
          <w:tcPr>
            <w:tcW w:w="2620" w:type="dxa"/>
            <w:shd w:val="clear" w:color="auto" w:fill="E9E9E9"/>
          </w:tcPr>
          <w:p>
            <w:pPr>
              <w:pStyle w:val="TableParagraph"/>
              <w:ind w:right="1162"/>
              <w:jc w:val="right"/>
              <w:rPr>
                <w:sz w:val="20"/>
              </w:rPr>
            </w:pPr>
            <w:r>
              <w:rPr>
                <w:spacing w:val="-5"/>
                <w:sz w:val="20"/>
              </w:rPr>
              <w:t>60</w:t>
            </w:r>
          </w:p>
        </w:tc>
      </w:tr>
      <w:tr>
        <w:trPr>
          <w:trHeight w:val="321" w:hRule="atLeast"/>
        </w:trPr>
        <w:tc>
          <w:tcPr>
            <w:tcW w:w="1880" w:type="dxa"/>
            <w:shd w:val="clear" w:color="auto" w:fill="D0D5CD"/>
          </w:tcPr>
          <w:p>
            <w:pPr>
              <w:pStyle w:val="TableParagraph"/>
              <w:ind w:left="90"/>
              <w:rPr>
                <w:sz w:val="20"/>
              </w:rPr>
            </w:pPr>
            <w:r>
              <w:rPr>
                <w:spacing w:val="-2"/>
                <w:sz w:val="20"/>
              </w:rPr>
              <w:t>China</w:t>
            </w:r>
          </w:p>
        </w:tc>
        <w:tc>
          <w:tcPr>
            <w:tcW w:w="2620" w:type="dxa"/>
            <w:shd w:val="clear" w:color="auto" w:fill="D0D5CD"/>
          </w:tcPr>
          <w:p>
            <w:pPr>
              <w:pStyle w:val="TableParagraph"/>
              <w:ind w:left="188" w:right="103"/>
              <w:jc w:val="center"/>
              <w:rPr>
                <w:sz w:val="20"/>
              </w:rPr>
            </w:pPr>
            <w:r>
              <w:rPr>
                <w:spacing w:val="-5"/>
                <w:sz w:val="20"/>
              </w:rPr>
              <w:t>52</w:t>
            </w:r>
          </w:p>
        </w:tc>
        <w:tc>
          <w:tcPr>
            <w:tcW w:w="2620" w:type="dxa"/>
            <w:shd w:val="clear" w:color="auto" w:fill="D0D5CD"/>
          </w:tcPr>
          <w:p>
            <w:pPr>
              <w:pStyle w:val="TableParagraph"/>
              <w:ind w:right="1162"/>
              <w:jc w:val="right"/>
              <w:rPr>
                <w:sz w:val="20"/>
              </w:rPr>
            </w:pPr>
            <w:r>
              <w:rPr>
                <w:spacing w:val="-2"/>
                <w:sz w:val="20"/>
              </w:rPr>
              <w:t>15300</w:t>
            </w:r>
          </w:p>
        </w:tc>
        <w:tc>
          <w:tcPr>
            <w:tcW w:w="2620" w:type="dxa"/>
            <w:shd w:val="clear" w:color="auto" w:fill="D0D5CD"/>
          </w:tcPr>
          <w:p>
            <w:pPr>
              <w:pStyle w:val="TableParagraph"/>
              <w:ind w:right="1162"/>
              <w:jc w:val="right"/>
              <w:rPr>
                <w:sz w:val="20"/>
              </w:rPr>
            </w:pPr>
            <w:r>
              <w:rPr>
                <w:spacing w:val="-5"/>
                <w:sz w:val="20"/>
              </w:rPr>
              <w:t>55</w:t>
            </w:r>
          </w:p>
        </w:tc>
      </w:tr>
      <w:tr>
        <w:trPr>
          <w:trHeight w:val="321" w:hRule="atLeast"/>
        </w:trPr>
        <w:tc>
          <w:tcPr>
            <w:tcW w:w="1880" w:type="dxa"/>
            <w:shd w:val="clear" w:color="auto" w:fill="E9E9E9"/>
          </w:tcPr>
          <w:p>
            <w:pPr>
              <w:pStyle w:val="TableParagraph"/>
              <w:ind w:left="90"/>
              <w:rPr>
                <w:sz w:val="20"/>
              </w:rPr>
            </w:pPr>
            <w:r>
              <w:rPr>
                <w:spacing w:val="-2"/>
                <w:sz w:val="20"/>
              </w:rPr>
              <w:t>Chile</w:t>
            </w:r>
          </w:p>
        </w:tc>
        <w:tc>
          <w:tcPr>
            <w:tcW w:w="2620" w:type="dxa"/>
            <w:shd w:val="clear" w:color="auto" w:fill="E9E9E9"/>
          </w:tcPr>
          <w:p>
            <w:pPr>
              <w:pStyle w:val="TableParagraph"/>
              <w:ind w:left="188" w:right="103"/>
              <w:jc w:val="center"/>
              <w:rPr>
                <w:sz w:val="20"/>
              </w:rPr>
            </w:pPr>
            <w:r>
              <w:rPr>
                <w:spacing w:val="-5"/>
                <w:sz w:val="20"/>
              </w:rPr>
              <w:t>70</w:t>
            </w:r>
          </w:p>
        </w:tc>
        <w:tc>
          <w:tcPr>
            <w:tcW w:w="2620" w:type="dxa"/>
            <w:shd w:val="clear" w:color="auto" w:fill="E9E9E9"/>
          </w:tcPr>
          <w:p>
            <w:pPr>
              <w:pStyle w:val="TableParagraph"/>
              <w:ind w:right="1162"/>
              <w:jc w:val="right"/>
              <w:rPr>
                <w:sz w:val="20"/>
              </w:rPr>
            </w:pPr>
            <w:r>
              <w:rPr>
                <w:spacing w:val="-5"/>
                <w:sz w:val="20"/>
              </w:rPr>
              <w:t>652</w:t>
            </w:r>
          </w:p>
        </w:tc>
        <w:tc>
          <w:tcPr>
            <w:tcW w:w="2620" w:type="dxa"/>
            <w:shd w:val="clear" w:color="auto" w:fill="E9E9E9"/>
          </w:tcPr>
          <w:p>
            <w:pPr>
              <w:pStyle w:val="TableParagraph"/>
              <w:ind w:right="1162"/>
              <w:jc w:val="right"/>
              <w:rPr>
                <w:sz w:val="20"/>
              </w:rPr>
            </w:pPr>
            <w:r>
              <w:rPr>
                <w:spacing w:val="-5"/>
                <w:sz w:val="20"/>
              </w:rPr>
              <w:t>40</w:t>
            </w:r>
          </w:p>
        </w:tc>
      </w:tr>
      <w:tr>
        <w:trPr>
          <w:trHeight w:val="321" w:hRule="atLeast"/>
        </w:trPr>
        <w:tc>
          <w:tcPr>
            <w:tcW w:w="1880" w:type="dxa"/>
            <w:shd w:val="clear" w:color="auto" w:fill="D0D5CD"/>
          </w:tcPr>
          <w:p>
            <w:pPr>
              <w:pStyle w:val="TableParagraph"/>
              <w:ind w:left="89"/>
              <w:rPr>
                <w:sz w:val="20"/>
              </w:rPr>
            </w:pPr>
            <w:r>
              <w:rPr>
                <w:spacing w:val="-2"/>
                <w:sz w:val="20"/>
              </w:rPr>
              <w:t>Indonesia</w:t>
            </w:r>
          </w:p>
        </w:tc>
        <w:tc>
          <w:tcPr>
            <w:tcW w:w="2620" w:type="dxa"/>
            <w:shd w:val="clear" w:color="auto" w:fill="D0D5CD"/>
          </w:tcPr>
          <w:p>
            <w:pPr>
              <w:pStyle w:val="TableParagraph"/>
              <w:ind w:left="188" w:right="103"/>
              <w:jc w:val="center"/>
              <w:rPr>
                <w:sz w:val="20"/>
              </w:rPr>
            </w:pPr>
            <w:r>
              <w:rPr>
                <w:spacing w:val="-5"/>
                <w:sz w:val="20"/>
              </w:rPr>
              <w:t>43</w:t>
            </w:r>
          </w:p>
        </w:tc>
        <w:tc>
          <w:tcPr>
            <w:tcW w:w="2620" w:type="dxa"/>
            <w:shd w:val="clear" w:color="auto" w:fill="D0D5CD"/>
          </w:tcPr>
          <w:p>
            <w:pPr>
              <w:pStyle w:val="TableParagraph"/>
              <w:ind w:right="1162"/>
              <w:jc w:val="right"/>
              <w:rPr>
                <w:sz w:val="20"/>
              </w:rPr>
            </w:pPr>
            <w:r>
              <w:rPr>
                <w:spacing w:val="-4"/>
                <w:sz w:val="20"/>
              </w:rPr>
              <w:t>4109</w:t>
            </w:r>
          </w:p>
        </w:tc>
        <w:tc>
          <w:tcPr>
            <w:tcW w:w="2620" w:type="dxa"/>
            <w:shd w:val="clear" w:color="auto" w:fill="D0D5CD"/>
          </w:tcPr>
          <w:p>
            <w:pPr>
              <w:pStyle w:val="TableParagraph"/>
              <w:ind w:right="1162"/>
              <w:jc w:val="right"/>
              <w:rPr>
                <w:sz w:val="20"/>
              </w:rPr>
            </w:pPr>
            <w:r>
              <w:rPr>
                <w:spacing w:val="-5"/>
                <w:sz w:val="20"/>
              </w:rPr>
              <w:t>33</w:t>
            </w:r>
          </w:p>
        </w:tc>
      </w:tr>
      <w:tr>
        <w:trPr>
          <w:trHeight w:val="321" w:hRule="atLeast"/>
        </w:trPr>
        <w:tc>
          <w:tcPr>
            <w:tcW w:w="1880" w:type="dxa"/>
            <w:shd w:val="clear" w:color="auto" w:fill="E9E9E9"/>
          </w:tcPr>
          <w:p>
            <w:pPr>
              <w:pStyle w:val="TableParagraph"/>
              <w:ind w:left="89"/>
              <w:rPr>
                <w:sz w:val="20"/>
              </w:rPr>
            </w:pPr>
            <w:r>
              <w:rPr>
                <w:spacing w:val="-2"/>
                <w:sz w:val="20"/>
              </w:rPr>
              <w:t>Korea</w:t>
            </w:r>
          </w:p>
        </w:tc>
        <w:tc>
          <w:tcPr>
            <w:tcW w:w="2620" w:type="dxa"/>
            <w:shd w:val="clear" w:color="auto" w:fill="E9E9E9"/>
          </w:tcPr>
          <w:p>
            <w:pPr>
              <w:pStyle w:val="TableParagraph"/>
              <w:ind w:left="188" w:right="103"/>
              <w:jc w:val="center"/>
              <w:rPr>
                <w:sz w:val="20"/>
              </w:rPr>
            </w:pPr>
            <w:r>
              <w:rPr>
                <w:spacing w:val="-5"/>
                <w:sz w:val="20"/>
              </w:rPr>
              <w:t>93</w:t>
            </w:r>
          </w:p>
        </w:tc>
        <w:tc>
          <w:tcPr>
            <w:tcW w:w="2620" w:type="dxa"/>
            <w:shd w:val="clear" w:color="auto" w:fill="E9E9E9"/>
          </w:tcPr>
          <w:p>
            <w:pPr>
              <w:pStyle w:val="TableParagraph"/>
              <w:ind w:right="1162"/>
              <w:jc w:val="right"/>
              <w:rPr>
                <w:sz w:val="20"/>
              </w:rPr>
            </w:pPr>
            <w:r>
              <w:rPr>
                <w:spacing w:val="-4"/>
                <w:sz w:val="20"/>
              </w:rPr>
              <w:t>2060</w:t>
            </w:r>
          </w:p>
        </w:tc>
        <w:tc>
          <w:tcPr>
            <w:tcW w:w="2620" w:type="dxa"/>
            <w:shd w:val="clear" w:color="auto" w:fill="E9E9E9"/>
          </w:tcPr>
          <w:p>
            <w:pPr>
              <w:pStyle w:val="TableParagraph"/>
              <w:ind w:right="1162"/>
              <w:jc w:val="right"/>
              <w:rPr>
                <w:sz w:val="20"/>
              </w:rPr>
            </w:pPr>
            <w:r>
              <w:rPr>
                <w:spacing w:val="-5"/>
                <w:sz w:val="20"/>
              </w:rPr>
              <w:t>31</w:t>
            </w:r>
          </w:p>
        </w:tc>
      </w:tr>
      <w:tr>
        <w:trPr>
          <w:trHeight w:val="321" w:hRule="atLeast"/>
        </w:trPr>
        <w:tc>
          <w:tcPr>
            <w:tcW w:w="1880" w:type="dxa"/>
            <w:shd w:val="clear" w:color="auto" w:fill="D0D5CD"/>
          </w:tcPr>
          <w:p>
            <w:pPr>
              <w:pStyle w:val="TableParagraph"/>
              <w:ind w:left="89"/>
              <w:rPr>
                <w:sz w:val="20"/>
              </w:rPr>
            </w:pPr>
            <w:r>
              <w:rPr>
                <w:spacing w:val="-2"/>
                <w:sz w:val="20"/>
              </w:rPr>
              <w:t>Mexico</w:t>
            </w:r>
          </w:p>
        </w:tc>
        <w:tc>
          <w:tcPr>
            <w:tcW w:w="2620" w:type="dxa"/>
            <w:shd w:val="clear" w:color="auto" w:fill="D0D5CD"/>
          </w:tcPr>
          <w:p>
            <w:pPr>
              <w:pStyle w:val="TableParagraph"/>
              <w:ind w:left="188" w:right="103"/>
              <w:jc w:val="center"/>
              <w:rPr>
                <w:sz w:val="20"/>
              </w:rPr>
            </w:pPr>
            <w:r>
              <w:rPr>
                <w:spacing w:val="-5"/>
                <w:sz w:val="20"/>
              </w:rPr>
              <w:t>58</w:t>
            </w:r>
          </w:p>
        </w:tc>
        <w:tc>
          <w:tcPr>
            <w:tcW w:w="2620" w:type="dxa"/>
            <w:shd w:val="clear" w:color="auto" w:fill="D0D5CD"/>
          </w:tcPr>
          <w:p>
            <w:pPr>
              <w:pStyle w:val="TableParagraph"/>
              <w:ind w:right="1162"/>
              <w:jc w:val="right"/>
              <w:rPr>
                <w:sz w:val="20"/>
              </w:rPr>
            </w:pPr>
            <w:r>
              <w:rPr>
                <w:spacing w:val="-10"/>
                <w:sz w:val="20"/>
              </w:rPr>
              <w:t>-</w:t>
            </w:r>
          </w:p>
        </w:tc>
        <w:tc>
          <w:tcPr>
            <w:tcW w:w="2620" w:type="dxa"/>
            <w:shd w:val="clear" w:color="auto" w:fill="D0D5CD"/>
          </w:tcPr>
          <w:p>
            <w:pPr>
              <w:pStyle w:val="TableParagraph"/>
              <w:ind w:right="1162"/>
              <w:jc w:val="right"/>
              <w:rPr>
                <w:sz w:val="20"/>
              </w:rPr>
            </w:pPr>
            <w:r>
              <w:rPr>
                <w:spacing w:val="-5"/>
                <w:sz w:val="20"/>
              </w:rPr>
              <w:t>12</w:t>
            </w:r>
          </w:p>
        </w:tc>
      </w:tr>
      <w:tr>
        <w:trPr>
          <w:trHeight w:val="321" w:hRule="atLeast"/>
        </w:trPr>
        <w:tc>
          <w:tcPr>
            <w:tcW w:w="1880" w:type="dxa"/>
            <w:shd w:val="clear" w:color="auto" w:fill="E9E9E9"/>
          </w:tcPr>
          <w:p>
            <w:pPr>
              <w:pStyle w:val="TableParagraph"/>
              <w:ind w:left="89"/>
              <w:rPr>
                <w:sz w:val="20"/>
              </w:rPr>
            </w:pPr>
            <w:r>
              <w:rPr>
                <w:spacing w:val="-2"/>
                <w:sz w:val="20"/>
              </w:rPr>
              <w:t>Malaysia</w:t>
            </w:r>
          </w:p>
        </w:tc>
        <w:tc>
          <w:tcPr>
            <w:tcW w:w="2620" w:type="dxa"/>
            <w:shd w:val="clear" w:color="auto" w:fill="E9E9E9"/>
          </w:tcPr>
          <w:p>
            <w:pPr>
              <w:pStyle w:val="TableParagraph"/>
              <w:ind w:left="188" w:right="103"/>
              <w:jc w:val="center"/>
              <w:rPr>
                <w:sz w:val="20"/>
              </w:rPr>
            </w:pPr>
            <w:r>
              <w:rPr>
                <w:spacing w:val="-5"/>
                <w:sz w:val="20"/>
              </w:rPr>
              <w:t>59</w:t>
            </w:r>
          </w:p>
        </w:tc>
        <w:tc>
          <w:tcPr>
            <w:tcW w:w="2620" w:type="dxa"/>
            <w:shd w:val="clear" w:color="auto" w:fill="E9E9E9"/>
          </w:tcPr>
          <w:p>
            <w:pPr>
              <w:pStyle w:val="TableParagraph"/>
              <w:ind w:right="1162"/>
              <w:jc w:val="right"/>
              <w:rPr>
                <w:sz w:val="20"/>
              </w:rPr>
            </w:pPr>
            <w:r>
              <w:rPr>
                <w:spacing w:val="-5"/>
                <w:sz w:val="20"/>
              </w:rPr>
              <w:t>533</w:t>
            </w:r>
          </w:p>
        </w:tc>
        <w:tc>
          <w:tcPr>
            <w:tcW w:w="2620" w:type="dxa"/>
            <w:shd w:val="clear" w:color="auto" w:fill="E9E9E9"/>
          </w:tcPr>
          <w:p>
            <w:pPr>
              <w:pStyle w:val="TableParagraph"/>
              <w:ind w:right="1162"/>
              <w:jc w:val="right"/>
              <w:rPr>
                <w:sz w:val="20"/>
              </w:rPr>
            </w:pPr>
            <w:r>
              <w:rPr>
                <w:spacing w:val="-5"/>
                <w:sz w:val="20"/>
              </w:rPr>
              <w:t>11</w:t>
            </w:r>
          </w:p>
        </w:tc>
      </w:tr>
      <w:tr>
        <w:trPr>
          <w:trHeight w:val="321" w:hRule="atLeast"/>
        </w:trPr>
        <w:tc>
          <w:tcPr>
            <w:tcW w:w="1880" w:type="dxa"/>
            <w:shd w:val="clear" w:color="auto" w:fill="D0D5CD"/>
          </w:tcPr>
          <w:p>
            <w:pPr>
              <w:pStyle w:val="TableParagraph"/>
              <w:ind w:left="89"/>
              <w:rPr>
                <w:sz w:val="20"/>
              </w:rPr>
            </w:pPr>
            <w:r>
              <w:rPr>
                <w:sz w:val="20"/>
              </w:rPr>
              <w:t>South</w:t>
            </w:r>
            <w:r>
              <w:rPr>
                <w:spacing w:val="-11"/>
                <w:sz w:val="20"/>
              </w:rPr>
              <w:t> </w:t>
            </w:r>
            <w:r>
              <w:rPr>
                <w:spacing w:val="-2"/>
                <w:sz w:val="20"/>
              </w:rPr>
              <w:t>Africa</w:t>
            </w:r>
          </w:p>
        </w:tc>
        <w:tc>
          <w:tcPr>
            <w:tcW w:w="2620" w:type="dxa"/>
            <w:shd w:val="clear" w:color="auto" w:fill="D0D5CD"/>
          </w:tcPr>
          <w:p>
            <w:pPr>
              <w:pStyle w:val="TableParagraph"/>
              <w:ind w:left="188" w:right="103"/>
              <w:jc w:val="center"/>
              <w:rPr>
                <w:sz w:val="20"/>
              </w:rPr>
            </w:pPr>
            <w:r>
              <w:rPr>
                <w:spacing w:val="-5"/>
                <w:sz w:val="20"/>
              </w:rPr>
              <w:t>77</w:t>
            </w:r>
          </w:p>
        </w:tc>
        <w:tc>
          <w:tcPr>
            <w:tcW w:w="2620" w:type="dxa"/>
            <w:shd w:val="clear" w:color="auto" w:fill="D0D5CD"/>
          </w:tcPr>
          <w:p>
            <w:pPr>
              <w:pStyle w:val="TableParagraph"/>
              <w:ind w:right="1162"/>
              <w:jc w:val="right"/>
              <w:rPr>
                <w:sz w:val="20"/>
              </w:rPr>
            </w:pPr>
            <w:r>
              <w:rPr>
                <w:spacing w:val="-10"/>
                <w:sz w:val="20"/>
              </w:rPr>
              <w:t>-</w:t>
            </w:r>
          </w:p>
        </w:tc>
        <w:tc>
          <w:tcPr>
            <w:tcW w:w="2620" w:type="dxa"/>
            <w:shd w:val="clear" w:color="auto" w:fill="D0D5CD"/>
          </w:tcPr>
          <w:p>
            <w:pPr>
              <w:pStyle w:val="TableParagraph"/>
              <w:ind w:right="1162"/>
              <w:jc w:val="right"/>
              <w:rPr>
                <w:sz w:val="20"/>
              </w:rPr>
            </w:pPr>
            <w:r>
              <w:rPr>
                <w:spacing w:val="-10"/>
                <w:sz w:val="20"/>
              </w:rPr>
              <w:t>1</w:t>
            </w:r>
          </w:p>
        </w:tc>
      </w:tr>
    </w:tbl>
    <w:p>
      <w:pPr>
        <w:spacing w:before="54"/>
        <w:ind w:left="1079" w:right="0" w:firstLine="0"/>
        <w:jc w:val="left"/>
        <w:rPr>
          <w:sz w:val="16"/>
        </w:rPr>
      </w:pPr>
      <w:r>
        <w:rPr>
          <w:i/>
          <w:w w:val="90"/>
          <w:sz w:val="16"/>
        </w:rPr>
        <w:t>Source:</w:t>
      </w:r>
      <w:r>
        <w:rPr>
          <w:i/>
          <w:spacing w:val="2"/>
          <w:sz w:val="16"/>
        </w:rPr>
        <w:t> </w:t>
      </w:r>
      <w:r>
        <w:rPr>
          <w:w w:val="90"/>
          <w:sz w:val="16"/>
        </w:rPr>
        <w:t>World</w:t>
      </w:r>
      <w:r>
        <w:rPr>
          <w:spacing w:val="4"/>
          <w:sz w:val="16"/>
        </w:rPr>
        <w:t> </w:t>
      </w:r>
      <w:r>
        <w:rPr>
          <w:w w:val="90"/>
          <w:sz w:val="16"/>
        </w:rPr>
        <w:t>Bank,</w:t>
      </w:r>
      <w:r>
        <w:rPr>
          <w:spacing w:val="4"/>
          <w:sz w:val="16"/>
        </w:rPr>
        <w:t> </w:t>
      </w:r>
      <w:r>
        <w:rPr>
          <w:spacing w:val="-4"/>
          <w:w w:val="90"/>
          <w:sz w:val="16"/>
        </w:rPr>
        <w:t>2006</w:t>
      </w:r>
    </w:p>
    <w:p>
      <w:pPr>
        <w:pStyle w:val="BodyText"/>
        <w:spacing w:before="138"/>
        <w:rPr>
          <w:sz w:val="24"/>
        </w:rPr>
      </w:pPr>
    </w:p>
    <w:p>
      <w:pPr>
        <w:pStyle w:val="Heading8"/>
      </w:pPr>
      <w:r>
        <w:rPr>
          <w:w w:val="90"/>
        </w:rPr>
        <w:t>Table</w:t>
      </w:r>
      <w:r>
        <w:rPr>
          <w:spacing w:val="3"/>
        </w:rPr>
        <w:t> </w:t>
      </w:r>
      <w:r>
        <w:rPr>
          <w:w w:val="90"/>
        </w:rPr>
        <w:t>8:</w:t>
      </w:r>
      <w:r>
        <w:rPr>
          <w:spacing w:val="4"/>
        </w:rPr>
        <w:t> </w:t>
      </w:r>
      <w:r>
        <w:rPr>
          <w:color w:val="2E614A"/>
          <w:w w:val="90"/>
        </w:rPr>
        <w:t>All</w:t>
      </w:r>
      <w:r>
        <w:rPr>
          <w:color w:val="2E614A"/>
          <w:spacing w:val="4"/>
        </w:rPr>
        <w:t> </w:t>
      </w:r>
      <w:r>
        <w:rPr>
          <w:color w:val="2E614A"/>
          <w:w w:val="90"/>
        </w:rPr>
        <w:t>India</w:t>
      </w:r>
      <w:r>
        <w:rPr>
          <w:color w:val="2E614A"/>
          <w:spacing w:val="4"/>
        </w:rPr>
        <w:t> </w:t>
      </w:r>
      <w:r>
        <w:rPr>
          <w:color w:val="2E614A"/>
          <w:w w:val="90"/>
        </w:rPr>
        <w:t>seats</w:t>
      </w:r>
      <w:r>
        <w:rPr>
          <w:color w:val="2E614A"/>
          <w:spacing w:val="4"/>
        </w:rPr>
        <w:t> </w:t>
      </w:r>
      <w:r>
        <w:rPr>
          <w:color w:val="2E614A"/>
          <w:w w:val="90"/>
        </w:rPr>
        <w:t>utilisation</w:t>
      </w:r>
      <w:r>
        <w:rPr>
          <w:color w:val="2E614A"/>
          <w:spacing w:val="4"/>
        </w:rPr>
        <w:t> </w:t>
      </w:r>
      <w:r>
        <w:rPr>
          <w:color w:val="2E614A"/>
          <w:w w:val="90"/>
        </w:rPr>
        <w:t>in</w:t>
      </w:r>
      <w:r>
        <w:rPr>
          <w:color w:val="2E614A"/>
          <w:spacing w:val="4"/>
        </w:rPr>
        <w:t> </w:t>
      </w:r>
      <w:r>
        <w:rPr>
          <w:color w:val="2E614A"/>
          <w:w w:val="90"/>
        </w:rPr>
        <w:t>respect</w:t>
      </w:r>
      <w:r>
        <w:rPr>
          <w:color w:val="2E614A"/>
          <w:spacing w:val="4"/>
        </w:rPr>
        <w:t> </w:t>
      </w:r>
      <w:r>
        <w:rPr>
          <w:color w:val="2E614A"/>
          <w:w w:val="90"/>
        </w:rPr>
        <w:t>of</w:t>
      </w:r>
      <w:r>
        <w:rPr>
          <w:color w:val="2E614A"/>
          <w:spacing w:val="4"/>
        </w:rPr>
        <w:t> </w:t>
      </w:r>
      <w:r>
        <w:rPr>
          <w:color w:val="2E614A"/>
          <w:w w:val="90"/>
        </w:rPr>
        <w:t>technician,</w:t>
      </w:r>
      <w:r>
        <w:rPr>
          <w:color w:val="2E614A"/>
          <w:spacing w:val="4"/>
        </w:rPr>
        <w:t> </w:t>
      </w:r>
      <w:r>
        <w:rPr>
          <w:color w:val="2E614A"/>
          <w:w w:val="90"/>
        </w:rPr>
        <w:t>trade</w:t>
      </w:r>
      <w:r>
        <w:rPr>
          <w:color w:val="2E614A"/>
          <w:spacing w:val="4"/>
        </w:rPr>
        <w:t> </w:t>
      </w:r>
      <w:r>
        <w:rPr>
          <w:color w:val="2E614A"/>
          <w:w w:val="90"/>
        </w:rPr>
        <w:t>and</w:t>
      </w:r>
      <w:r>
        <w:rPr>
          <w:color w:val="2E614A"/>
          <w:spacing w:val="4"/>
        </w:rPr>
        <w:t> </w:t>
      </w:r>
      <w:r>
        <w:rPr>
          <w:color w:val="2E614A"/>
          <w:w w:val="90"/>
        </w:rPr>
        <w:t>graduate</w:t>
      </w:r>
      <w:r>
        <w:rPr>
          <w:color w:val="2E614A"/>
          <w:spacing w:val="4"/>
        </w:rPr>
        <w:t> </w:t>
      </w:r>
      <w:r>
        <w:rPr>
          <w:color w:val="2E614A"/>
          <w:spacing w:val="-2"/>
          <w:w w:val="90"/>
        </w:rPr>
        <w:t>apprentices</w:t>
      </w:r>
    </w:p>
    <w:p>
      <w:pPr>
        <w:pStyle w:val="BodyText"/>
        <w:spacing w:before="3"/>
        <w:rPr>
          <w:b/>
          <w:sz w:val="10"/>
        </w:rPr>
      </w:pPr>
    </w:p>
    <w:tbl>
      <w:tblPr>
        <w:tblW w:w="0" w:type="auto"/>
        <w:jc w:val="left"/>
        <w:tblInd w:w="10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140"/>
        <w:gridCol w:w="2533"/>
        <w:gridCol w:w="2533"/>
        <w:gridCol w:w="2533"/>
      </w:tblGrid>
      <w:tr>
        <w:trPr>
          <w:trHeight w:val="321" w:hRule="atLeast"/>
        </w:trPr>
        <w:tc>
          <w:tcPr>
            <w:tcW w:w="2140" w:type="dxa"/>
            <w:shd w:val="clear" w:color="auto" w:fill="D0D5CD"/>
          </w:tcPr>
          <w:p>
            <w:pPr>
              <w:pStyle w:val="TableParagraph"/>
              <w:spacing w:before="0"/>
              <w:rPr>
                <w:sz w:val="20"/>
              </w:rPr>
            </w:pPr>
          </w:p>
        </w:tc>
        <w:tc>
          <w:tcPr>
            <w:tcW w:w="2533" w:type="dxa"/>
            <w:shd w:val="clear" w:color="auto" w:fill="D0D5CD"/>
          </w:tcPr>
          <w:p>
            <w:pPr>
              <w:pStyle w:val="TableParagraph"/>
              <w:ind w:left="761"/>
              <w:rPr>
                <w:b/>
                <w:sz w:val="20"/>
              </w:rPr>
            </w:pPr>
            <w:r>
              <w:rPr>
                <w:b/>
                <w:w w:val="90"/>
                <w:sz w:val="20"/>
              </w:rPr>
              <w:t>Seats</w:t>
            </w:r>
            <w:r>
              <w:rPr>
                <w:b/>
                <w:spacing w:val="-1"/>
                <w:w w:val="90"/>
                <w:sz w:val="20"/>
              </w:rPr>
              <w:t> </w:t>
            </w:r>
            <w:r>
              <w:rPr>
                <w:b/>
                <w:spacing w:val="-2"/>
                <w:sz w:val="20"/>
              </w:rPr>
              <w:t>located</w:t>
            </w:r>
          </w:p>
        </w:tc>
        <w:tc>
          <w:tcPr>
            <w:tcW w:w="2533" w:type="dxa"/>
            <w:shd w:val="clear" w:color="auto" w:fill="D0D5CD"/>
          </w:tcPr>
          <w:p>
            <w:pPr>
              <w:pStyle w:val="TableParagraph"/>
              <w:ind w:left="752"/>
              <w:rPr>
                <w:b/>
                <w:sz w:val="20"/>
              </w:rPr>
            </w:pPr>
            <w:r>
              <w:rPr>
                <w:b/>
                <w:w w:val="90"/>
                <w:sz w:val="20"/>
              </w:rPr>
              <w:t>Seats</w:t>
            </w:r>
            <w:r>
              <w:rPr>
                <w:b/>
                <w:spacing w:val="-1"/>
                <w:w w:val="90"/>
                <w:sz w:val="20"/>
              </w:rPr>
              <w:t> </w:t>
            </w:r>
            <w:r>
              <w:rPr>
                <w:b/>
                <w:spacing w:val="-2"/>
                <w:sz w:val="20"/>
              </w:rPr>
              <w:t>utilised</w:t>
            </w:r>
          </w:p>
        </w:tc>
        <w:tc>
          <w:tcPr>
            <w:tcW w:w="2533" w:type="dxa"/>
            <w:shd w:val="clear" w:color="auto" w:fill="D0D5CD"/>
          </w:tcPr>
          <w:p>
            <w:pPr>
              <w:pStyle w:val="TableParagraph"/>
              <w:ind w:left="545"/>
              <w:rPr>
                <w:b/>
                <w:sz w:val="20"/>
              </w:rPr>
            </w:pPr>
            <w:r>
              <w:rPr>
                <w:b/>
                <w:w w:val="90"/>
                <w:sz w:val="20"/>
              </w:rPr>
              <w:t>Per</w:t>
            </w:r>
            <w:r>
              <w:rPr>
                <w:b/>
                <w:sz w:val="20"/>
              </w:rPr>
              <w:t> </w:t>
            </w:r>
            <w:r>
              <w:rPr>
                <w:b/>
                <w:w w:val="90"/>
                <w:sz w:val="20"/>
              </w:rPr>
              <w:t>cent</w:t>
            </w:r>
            <w:r>
              <w:rPr>
                <w:b/>
                <w:sz w:val="20"/>
              </w:rPr>
              <w:t> </w:t>
            </w:r>
            <w:r>
              <w:rPr>
                <w:b/>
                <w:spacing w:val="-2"/>
                <w:w w:val="90"/>
                <w:sz w:val="20"/>
              </w:rPr>
              <w:t>utilisation</w:t>
            </w:r>
          </w:p>
        </w:tc>
      </w:tr>
      <w:tr>
        <w:trPr>
          <w:trHeight w:val="321" w:hRule="atLeast"/>
        </w:trPr>
        <w:tc>
          <w:tcPr>
            <w:tcW w:w="2140" w:type="dxa"/>
            <w:shd w:val="clear" w:color="auto" w:fill="E9E9E9"/>
          </w:tcPr>
          <w:p>
            <w:pPr>
              <w:pStyle w:val="TableParagraph"/>
              <w:ind w:left="90"/>
              <w:rPr>
                <w:sz w:val="20"/>
              </w:rPr>
            </w:pPr>
            <w:r>
              <w:rPr>
                <w:spacing w:val="-5"/>
                <w:sz w:val="20"/>
              </w:rPr>
              <w:t>Technician</w:t>
            </w:r>
            <w:r>
              <w:rPr>
                <w:spacing w:val="5"/>
                <w:sz w:val="20"/>
              </w:rPr>
              <w:t> </w:t>
            </w:r>
            <w:r>
              <w:rPr>
                <w:spacing w:val="-2"/>
                <w:sz w:val="20"/>
              </w:rPr>
              <w:t>apprentices</w:t>
            </w:r>
          </w:p>
        </w:tc>
        <w:tc>
          <w:tcPr>
            <w:tcW w:w="2533" w:type="dxa"/>
            <w:shd w:val="clear" w:color="auto" w:fill="E9E9E9"/>
          </w:tcPr>
          <w:p>
            <w:pPr>
              <w:pStyle w:val="TableParagraph"/>
              <w:ind w:left="340" w:right="101"/>
              <w:jc w:val="center"/>
              <w:rPr>
                <w:sz w:val="20"/>
              </w:rPr>
            </w:pPr>
            <w:r>
              <w:rPr>
                <w:spacing w:val="-2"/>
                <w:sz w:val="20"/>
              </w:rPr>
              <w:t>39004</w:t>
            </w:r>
          </w:p>
        </w:tc>
        <w:tc>
          <w:tcPr>
            <w:tcW w:w="2533" w:type="dxa"/>
            <w:shd w:val="clear" w:color="auto" w:fill="E9E9E9"/>
          </w:tcPr>
          <w:p>
            <w:pPr>
              <w:pStyle w:val="TableParagraph"/>
              <w:ind w:left="340" w:right="100"/>
              <w:jc w:val="center"/>
              <w:rPr>
                <w:sz w:val="20"/>
              </w:rPr>
            </w:pPr>
            <w:r>
              <w:rPr>
                <w:spacing w:val="-2"/>
                <w:sz w:val="20"/>
              </w:rPr>
              <w:t>22837</w:t>
            </w:r>
          </w:p>
        </w:tc>
        <w:tc>
          <w:tcPr>
            <w:tcW w:w="2533" w:type="dxa"/>
            <w:shd w:val="clear" w:color="auto" w:fill="E9E9E9"/>
          </w:tcPr>
          <w:p>
            <w:pPr>
              <w:pStyle w:val="TableParagraph"/>
              <w:ind w:left="761"/>
              <w:rPr>
                <w:sz w:val="20"/>
              </w:rPr>
            </w:pPr>
            <w:r>
              <w:rPr>
                <w:sz w:val="20"/>
              </w:rPr>
              <w:t>59</w:t>
            </w:r>
            <w:r>
              <w:rPr>
                <w:spacing w:val="-6"/>
                <w:sz w:val="20"/>
              </w:rPr>
              <w:t> </w:t>
            </w:r>
            <w:r>
              <w:rPr>
                <w:sz w:val="20"/>
              </w:rPr>
              <w:t>per</w:t>
            </w:r>
            <w:r>
              <w:rPr>
                <w:spacing w:val="-5"/>
                <w:sz w:val="20"/>
              </w:rPr>
              <w:t> </w:t>
            </w:r>
            <w:r>
              <w:rPr>
                <w:spacing w:val="-4"/>
                <w:sz w:val="20"/>
              </w:rPr>
              <w:t>cent</w:t>
            </w:r>
          </w:p>
        </w:tc>
      </w:tr>
      <w:tr>
        <w:trPr>
          <w:trHeight w:val="321" w:hRule="atLeast"/>
        </w:trPr>
        <w:tc>
          <w:tcPr>
            <w:tcW w:w="2140" w:type="dxa"/>
            <w:shd w:val="clear" w:color="auto" w:fill="D0D5CD"/>
          </w:tcPr>
          <w:p>
            <w:pPr>
              <w:pStyle w:val="TableParagraph"/>
              <w:ind w:left="90"/>
              <w:rPr>
                <w:sz w:val="20"/>
              </w:rPr>
            </w:pPr>
            <w:r>
              <w:rPr>
                <w:spacing w:val="-6"/>
                <w:sz w:val="20"/>
              </w:rPr>
              <w:t>Trade</w:t>
            </w:r>
            <w:r>
              <w:rPr>
                <w:spacing w:val="-4"/>
                <w:sz w:val="20"/>
              </w:rPr>
              <w:t> </w:t>
            </w:r>
            <w:r>
              <w:rPr>
                <w:spacing w:val="-2"/>
                <w:sz w:val="20"/>
              </w:rPr>
              <w:t>apprentices</w:t>
            </w:r>
          </w:p>
        </w:tc>
        <w:tc>
          <w:tcPr>
            <w:tcW w:w="2533" w:type="dxa"/>
            <w:shd w:val="clear" w:color="auto" w:fill="D0D5CD"/>
          </w:tcPr>
          <w:p>
            <w:pPr>
              <w:pStyle w:val="TableParagraph"/>
              <w:ind w:left="340" w:right="201"/>
              <w:jc w:val="center"/>
              <w:rPr>
                <w:sz w:val="20"/>
              </w:rPr>
            </w:pPr>
            <w:r>
              <w:rPr>
                <w:spacing w:val="-2"/>
                <w:sz w:val="20"/>
              </w:rPr>
              <w:t>182046</w:t>
            </w:r>
          </w:p>
        </w:tc>
        <w:tc>
          <w:tcPr>
            <w:tcW w:w="2533" w:type="dxa"/>
            <w:shd w:val="clear" w:color="auto" w:fill="D0D5CD"/>
          </w:tcPr>
          <w:p>
            <w:pPr>
              <w:pStyle w:val="TableParagraph"/>
              <w:ind w:left="340" w:right="200"/>
              <w:jc w:val="center"/>
              <w:rPr>
                <w:sz w:val="20"/>
              </w:rPr>
            </w:pPr>
            <w:r>
              <w:rPr>
                <w:spacing w:val="-2"/>
                <w:sz w:val="20"/>
              </w:rPr>
              <w:t>127741</w:t>
            </w:r>
          </w:p>
        </w:tc>
        <w:tc>
          <w:tcPr>
            <w:tcW w:w="2533" w:type="dxa"/>
            <w:shd w:val="clear" w:color="auto" w:fill="D0D5CD"/>
          </w:tcPr>
          <w:p>
            <w:pPr>
              <w:pStyle w:val="TableParagraph"/>
              <w:ind w:left="761"/>
              <w:rPr>
                <w:sz w:val="20"/>
              </w:rPr>
            </w:pPr>
            <w:r>
              <w:rPr>
                <w:sz w:val="20"/>
              </w:rPr>
              <w:t>70</w:t>
            </w:r>
            <w:r>
              <w:rPr>
                <w:spacing w:val="-6"/>
                <w:sz w:val="20"/>
              </w:rPr>
              <w:t> </w:t>
            </w:r>
            <w:r>
              <w:rPr>
                <w:sz w:val="20"/>
              </w:rPr>
              <w:t>per</w:t>
            </w:r>
            <w:r>
              <w:rPr>
                <w:spacing w:val="-5"/>
                <w:sz w:val="20"/>
              </w:rPr>
              <w:t> </w:t>
            </w:r>
            <w:r>
              <w:rPr>
                <w:spacing w:val="-4"/>
                <w:sz w:val="20"/>
              </w:rPr>
              <w:t>cent</w:t>
            </w:r>
          </w:p>
        </w:tc>
      </w:tr>
      <w:tr>
        <w:trPr>
          <w:trHeight w:val="321" w:hRule="atLeast"/>
        </w:trPr>
        <w:tc>
          <w:tcPr>
            <w:tcW w:w="2140" w:type="dxa"/>
            <w:shd w:val="clear" w:color="auto" w:fill="E9E9E9"/>
          </w:tcPr>
          <w:p>
            <w:pPr>
              <w:pStyle w:val="TableParagraph"/>
              <w:ind w:left="90"/>
              <w:rPr>
                <w:sz w:val="20"/>
              </w:rPr>
            </w:pPr>
            <w:r>
              <w:rPr>
                <w:spacing w:val="-2"/>
                <w:sz w:val="20"/>
              </w:rPr>
              <w:t>Graduate</w:t>
            </w:r>
            <w:r>
              <w:rPr>
                <w:spacing w:val="-3"/>
                <w:sz w:val="20"/>
              </w:rPr>
              <w:t> </w:t>
            </w:r>
            <w:r>
              <w:rPr>
                <w:spacing w:val="-2"/>
                <w:sz w:val="20"/>
              </w:rPr>
              <w:t>apprentices</w:t>
            </w:r>
          </w:p>
        </w:tc>
        <w:tc>
          <w:tcPr>
            <w:tcW w:w="2533" w:type="dxa"/>
            <w:shd w:val="clear" w:color="auto" w:fill="E9E9E9"/>
          </w:tcPr>
          <w:p>
            <w:pPr>
              <w:pStyle w:val="TableParagraph"/>
              <w:ind w:left="340" w:right="101"/>
              <w:jc w:val="center"/>
              <w:rPr>
                <w:sz w:val="20"/>
              </w:rPr>
            </w:pPr>
            <w:r>
              <w:rPr>
                <w:spacing w:val="-2"/>
                <w:sz w:val="20"/>
              </w:rPr>
              <w:t>20420</w:t>
            </w:r>
          </w:p>
        </w:tc>
        <w:tc>
          <w:tcPr>
            <w:tcW w:w="2533" w:type="dxa"/>
            <w:shd w:val="clear" w:color="auto" w:fill="E9E9E9"/>
          </w:tcPr>
          <w:p>
            <w:pPr>
              <w:pStyle w:val="TableParagraph"/>
              <w:ind w:left="340"/>
              <w:jc w:val="center"/>
              <w:rPr>
                <w:sz w:val="20"/>
              </w:rPr>
            </w:pPr>
            <w:r>
              <w:rPr>
                <w:spacing w:val="-4"/>
                <w:sz w:val="20"/>
              </w:rPr>
              <w:t>6084</w:t>
            </w:r>
          </w:p>
        </w:tc>
        <w:tc>
          <w:tcPr>
            <w:tcW w:w="2533" w:type="dxa"/>
            <w:shd w:val="clear" w:color="auto" w:fill="E9E9E9"/>
          </w:tcPr>
          <w:p>
            <w:pPr>
              <w:pStyle w:val="TableParagraph"/>
              <w:ind w:left="761"/>
              <w:rPr>
                <w:sz w:val="20"/>
              </w:rPr>
            </w:pPr>
            <w:r>
              <w:rPr>
                <w:sz w:val="20"/>
              </w:rPr>
              <w:t>22</w:t>
            </w:r>
            <w:r>
              <w:rPr>
                <w:spacing w:val="-6"/>
                <w:sz w:val="20"/>
              </w:rPr>
              <w:t> </w:t>
            </w:r>
            <w:r>
              <w:rPr>
                <w:sz w:val="20"/>
              </w:rPr>
              <w:t>per</w:t>
            </w:r>
            <w:r>
              <w:rPr>
                <w:spacing w:val="-5"/>
                <w:sz w:val="20"/>
              </w:rPr>
              <w:t> </w:t>
            </w:r>
            <w:r>
              <w:rPr>
                <w:spacing w:val="-4"/>
                <w:sz w:val="20"/>
              </w:rPr>
              <w:t>cent</w:t>
            </w:r>
          </w:p>
        </w:tc>
      </w:tr>
    </w:tbl>
    <w:p>
      <w:pPr>
        <w:spacing w:before="53"/>
        <w:ind w:left="1079" w:right="0" w:firstLine="0"/>
        <w:jc w:val="left"/>
        <w:rPr>
          <w:sz w:val="16"/>
        </w:rPr>
      </w:pPr>
      <w:r>
        <w:rPr>
          <w:i/>
          <w:spacing w:val="-4"/>
          <w:sz w:val="16"/>
        </w:rPr>
        <w:t>Source:</w:t>
      </w:r>
      <w:r>
        <w:rPr>
          <w:i/>
          <w:spacing w:val="1"/>
          <w:sz w:val="16"/>
        </w:rPr>
        <w:t> </w:t>
      </w:r>
      <w:r>
        <w:rPr>
          <w:spacing w:val="-4"/>
          <w:sz w:val="16"/>
        </w:rPr>
        <w:t>Annual</w:t>
      </w:r>
      <w:r>
        <w:rPr>
          <w:spacing w:val="2"/>
          <w:sz w:val="16"/>
        </w:rPr>
        <w:t> </w:t>
      </w:r>
      <w:r>
        <w:rPr>
          <w:spacing w:val="-4"/>
          <w:sz w:val="16"/>
        </w:rPr>
        <w:t>Report</w:t>
      </w:r>
      <w:r>
        <w:rPr>
          <w:spacing w:val="1"/>
          <w:sz w:val="16"/>
        </w:rPr>
        <w:t> </w:t>
      </w:r>
      <w:r>
        <w:rPr>
          <w:spacing w:val="-4"/>
          <w:sz w:val="16"/>
        </w:rPr>
        <w:t>2002-03,</w:t>
      </w:r>
      <w:r>
        <w:rPr>
          <w:spacing w:val="2"/>
          <w:sz w:val="16"/>
        </w:rPr>
        <w:t> </w:t>
      </w:r>
      <w:r>
        <w:rPr>
          <w:spacing w:val="-4"/>
          <w:sz w:val="16"/>
        </w:rPr>
        <w:t>Ministry</w:t>
      </w:r>
      <w:r>
        <w:rPr>
          <w:spacing w:val="1"/>
          <w:sz w:val="16"/>
        </w:rPr>
        <w:t> </w:t>
      </w:r>
      <w:r>
        <w:rPr>
          <w:spacing w:val="-4"/>
          <w:sz w:val="16"/>
        </w:rPr>
        <w:t>of</w:t>
      </w:r>
      <w:r>
        <w:rPr>
          <w:spacing w:val="2"/>
          <w:sz w:val="16"/>
        </w:rPr>
        <w:t> </w:t>
      </w:r>
      <w:r>
        <w:rPr>
          <w:spacing w:val="-4"/>
          <w:sz w:val="16"/>
        </w:rPr>
        <w:t>Labour,</w:t>
      </w:r>
      <w:r>
        <w:rPr>
          <w:spacing w:val="1"/>
          <w:sz w:val="16"/>
        </w:rPr>
        <w:t> </w:t>
      </w:r>
      <w:r>
        <w:rPr>
          <w:spacing w:val="-4"/>
          <w:sz w:val="16"/>
        </w:rPr>
        <w:t>Govt.</w:t>
      </w:r>
      <w:r>
        <w:rPr>
          <w:spacing w:val="2"/>
          <w:sz w:val="16"/>
        </w:rPr>
        <w:t> </w:t>
      </w:r>
      <w:r>
        <w:rPr>
          <w:spacing w:val="-4"/>
          <w:sz w:val="16"/>
        </w:rPr>
        <w:t>of</w:t>
      </w:r>
      <w:r>
        <w:rPr>
          <w:spacing w:val="2"/>
          <w:sz w:val="16"/>
        </w:rPr>
        <w:t> </w:t>
      </w:r>
      <w:r>
        <w:rPr>
          <w:spacing w:val="-4"/>
          <w:sz w:val="16"/>
        </w:rPr>
        <w:t>India</w:t>
      </w:r>
    </w:p>
    <w:p>
      <w:pPr>
        <w:pStyle w:val="BodyText"/>
        <w:rPr>
          <w:sz w:val="16"/>
        </w:rPr>
      </w:pPr>
    </w:p>
    <w:p>
      <w:pPr>
        <w:pStyle w:val="BodyText"/>
        <w:spacing w:before="136"/>
        <w:rPr>
          <w:sz w:val="16"/>
        </w:rPr>
      </w:pPr>
    </w:p>
    <w:p>
      <w:pPr>
        <w:pStyle w:val="Heading8"/>
        <w:ind w:left="1976"/>
      </w:pPr>
      <w:r>
        <w:rPr/>
        <mc:AlternateContent>
          <mc:Choice Requires="wps">
            <w:drawing>
              <wp:anchor distT="0" distB="0" distL="0" distR="0" allowOverlap="1" layoutInCell="1" locked="0" behindDoc="1" simplePos="0" relativeHeight="479389696">
                <wp:simplePos x="0" y="0"/>
                <wp:positionH relativeFrom="page">
                  <wp:posOffset>1251684</wp:posOffset>
                </wp:positionH>
                <wp:positionV relativeFrom="paragraph">
                  <wp:posOffset>249731</wp:posOffset>
                </wp:positionV>
                <wp:extent cx="5052060" cy="2442210"/>
                <wp:effectExtent l="0" t="0" r="0" b="0"/>
                <wp:wrapNone/>
                <wp:docPr id="1320" name="Group 1320"/>
                <wp:cNvGraphicFramePr>
                  <a:graphicFrameLocks/>
                </wp:cNvGraphicFramePr>
                <a:graphic>
                  <a:graphicData uri="http://schemas.microsoft.com/office/word/2010/wordprocessingGroup">
                    <wpg:wgp>
                      <wpg:cNvPr id="1320" name="Group 1320"/>
                      <wpg:cNvGrpSpPr/>
                      <wpg:grpSpPr>
                        <a:xfrm>
                          <a:off x="0" y="0"/>
                          <a:ext cx="5052060" cy="2442210"/>
                          <a:chExt cx="5052060" cy="2442210"/>
                        </a:xfrm>
                      </wpg:grpSpPr>
                      <wps:wsp>
                        <wps:cNvPr id="1321" name="Graphic 1321"/>
                        <wps:cNvSpPr/>
                        <wps:spPr>
                          <a:xfrm>
                            <a:off x="-10" y="0"/>
                            <a:ext cx="5052060" cy="2442210"/>
                          </a:xfrm>
                          <a:custGeom>
                            <a:avLst/>
                            <a:gdLst/>
                            <a:ahLst/>
                            <a:cxnLst/>
                            <a:rect l="l" t="t" r="r" b="b"/>
                            <a:pathLst>
                              <a:path w="5052060" h="2442210">
                                <a:moveTo>
                                  <a:pt x="5051755" y="0"/>
                                </a:moveTo>
                                <a:lnTo>
                                  <a:pt x="5045405" y="0"/>
                                </a:lnTo>
                                <a:lnTo>
                                  <a:pt x="5045405" y="2540"/>
                                </a:lnTo>
                                <a:lnTo>
                                  <a:pt x="5045405" y="3035"/>
                                </a:lnTo>
                                <a:lnTo>
                                  <a:pt x="5045405" y="2439670"/>
                                </a:lnTo>
                                <a:lnTo>
                                  <a:pt x="3175" y="2439670"/>
                                </a:lnTo>
                                <a:lnTo>
                                  <a:pt x="3175" y="2439238"/>
                                </a:lnTo>
                                <a:lnTo>
                                  <a:pt x="6350" y="2439238"/>
                                </a:lnTo>
                                <a:lnTo>
                                  <a:pt x="5045405" y="2439238"/>
                                </a:lnTo>
                                <a:lnTo>
                                  <a:pt x="5045405" y="2436063"/>
                                </a:lnTo>
                                <a:lnTo>
                                  <a:pt x="6350" y="2436063"/>
                                </a:lnTo>
                                <a:lnTo>
                                  <a:pt x="3175" y="2436063"/>
                                </a:lnTo>
                                <a:lnTo>
                                  <a:pt x="3175" y="2435860"/>
                                </a:lnTo>
                                <a:lnTo>
                                  <a:pt x="6350" y="2435860"/>
                                </a:lnTo>
                                <a:lnTo>
                                  <a:pt x="6350" y="6350"/>
                                </a:lnTo>
                                <a:lnTo>
                                  <a:pt x="3175" y="6350"/>
                                </a:lnTo>
                                <a:lnTo>
                                  <a:pt x="3175" y="6210"/>
                                </a:lnTo>
                                <a:lnTo>
                                  <a:pt x="6350" y="6210"/>
                                </a:lnTo>
                                <a:lnTo>
                                  <a:pt x="5045405" y="6210"/>
                                </a:lnTo>
                                <a:lnTo>
                                  <a:pt x="5045405" y="3035"/>
                                </a:lnTo>
                                <a:lnTo>
                                  <a:pt x="6350" y="3035"/>
                                </a:lnTo>
                                <a:lnTo>
                                  <a:pt x="3175" y="3035"/>
                                </a:lnTo>
                                <a:lnTo>
                                  <a:pt x="3175" y="2540"/>
                                </a:lnTo>
                                <a:lnTo>
                                  <a:pt x="5045405" y="2540"/>
                                </a:lnTo>
                                <a:lnTo>
                                  <a:pt x="5045405" y="0"/>
                                </a:lnTo>
                                <a:lnTo>
                                  <a:pt x="0" y="0"/>
                                </a:lnTo>
                                <a:lnTo>
                                  <a:pt x="0" y="2540"/>
                                </a:lnTo>
                                <a:lnTo>
                                  <a:pt x="0" y="6350"/>
                                </a:lnTo>
                                <a:lnTo>
                                  <a:pt x="0" y="2435860"/>
                                </a:lnTo>
                                <a:lnTo>
                                  <a:pt x="0" y="2439670"/>
                                </a:lnTo>
                                <a:lnTo>
                                  <a:pt x="0" y="2442210"/>
                                </a:lnTo>
                                <a:lnTo>
                                  <a:pt x="5051755" y="2442210"/>
                                </a:lnTo>
                                <a:lnTo>
                                  <a:pt x="5051755" y="2439670"/>
                                </a:lnTo>
                                <a:lnTo>
                                  <a:pt x="5048580" y="2439670"/>
                                </a:lnTo>
                                <a:lnTo>
                                  <a:pt x="5048580" y="2439238"/>
                                </a:lnTo>
                                <a:lnTo>
                                  <a:pt x="5051755" y="2439238"/>
                                </a:lnTo>
                                <a:lnTo>
                                  <a:pt x="5051755" y="2436063"/>
                                </a:lnTo>
                                <a:lnTo>
                                  <a:pt x="5048580" y="2436063"/>
                                </a:lnTo>
                                <a:lnTo>
                                  <a:pt x="5048580" y="2435860"/>
                                </a:lnTo>
                                <a:lnTo>
                                  <a:pt x="5051755" y="2435860"/>
                                </a:lnTo>
                                <a:lnTo>
                                  <a:pt x="5051755" y="6350"/>
                                </a:lnTo>
                                <a:lnTo>
                                  <a:pt x="5048580" y="6350"/>
                                </a:lnTo>
                                <a:lnTo>
                                  <a:pt x="5048580" y="6210"/>
                                </a:lnTo>
                                <a:lnTo>
                                  <a:pt x="5051755" y="6210"/>
                                </a:lnTo>
                                <a:lnTo>
                                  <a:pt x="5051755" y="3035"/>
                                </a:lnTo>
                                <a:lnTo>
                                  <a:pt x="5048580" y="3035"/>
                                </a:lnTo>
                                <a:lnTo>
                                  <a:pt x="5048580" y="2540"/>
                                </a:lnTo>
                                <a:lnTo>
                                  <a:pt x="5051755" y="2540"/>
                                </a:lnTo>
                                <a:lnTo>
                                  <a:pt x="5051755" y="0"/>
                                </a:lnTo>
                                <a:close/>
                              </a:path>
                            </a:pathLst>
                          </a:custGeom>
                          <a:solidFill>
                            <a:srgbClr val="000000"/>
                          </a:solidFill>
                        </wps:spPr>
                        <wps:bodyPr wrap="square" lIns="0" tIns="0" rIns="0" bIns="0" rtlCol="0">
                          <a:prstTxWarp prst="textNoShape">
                            <a:avLst/>
                          </a:prstTxWarp>
                          <a:noAutofit/>
                        </wps:bodyPr>
                      </wps:wsp>
                      <wps:wsp>
                        <wps:cNvPr id="1322" name="Textbox 1322"/>
                        <wps:cNvSpPr txBox="1"/>
                        <wps:spPr>
                          <a:xfrm>
                            <a:off x="684227" y="156034"/>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60</w:t>
                              </w:r>
                            </w:p>
                          </w:txbxContent>
                        </wps:txbx>
                        <wps:bodyPr wrap="square" lIns="0" tIns="0" rIns="0" bIns="0" rtlCol="0">
                          <a:noAutofit/>
                        </wps:bodyPr>
                      </wps:wsp>
                      <wps:wsp>
                        <wps:cNvPr id="1323" name="Textbox 1323"/>
                        <wps:cNvSpPr txBox="1"/>
                        <wps:spPr>
                          <a:xfrm>
                            <a:off x="1430676" y="299006"/>
                            <a:ext cx="158750"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51%</w:t>
                              </w:r>
                            </w:p>
                          </w:txbxContent>
                        </wps:txbx>
                        <wps:bodyPr wrap="square" lIns="0" tIns="0" rIns="0" bIns="0" rtlCol="0">
                          <a:noAutofit/>
                        </wps:bodyPr>
                      </wps:wsp>
                      <wps:wsp>
                        <wps:cNvPr id="1324" name="Textbox 1324"/>
                        <wps:cNvSpPr txBox="1"/>
                        <wps:spPr>
                          <a:xfrm>
                            <a:off x="684227" y="492584"/>
                            <a:ext cx="93980" cy="7753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50</w:t>
                              </w:r>
                            </w:p>
                            <w:p>
                              <w:pPr>
                                <w:spacing w:line="240" w:lineRule="auto" w:before="0"/>
                                <w:rPr>
                                  <w:rFonts w:ascii="Arial MT"/>
                                  <w:sz w:val="14"/>
                                </w:rPr>
                              </w:pPr>
                            </w:p>
                            <w:p>
                              <w:pPr>
                                <w:spacing w:line="240" w:lineRule="auto" w:before="47"/>
                                <w:rPr>
                                  <w:rFonts w:ascii="Arial MT"/>
                                  <w:sz w:val="14"/>
                                </w:rPr>
                              </w:pPr>
                            </w:p>
                            <w:p>
                              <w:pPr>
                                <w:spacing w:before="0"/>
                                <w:ind w:left="0" w:right="0" w:firstLine="0"/>
                                <w:jc w:val="left"/>
                                <w:rPr>
                                  <w:rFonts w:ascii="Arial MT"/>
                                  <w:sz w:val="14"/>
                                </w:rPr>
                              </w:pPr>
                              <w:r>
                                <w:rPr>
                                  <w:rFonts w:ascii="Arial MT"/>
                                  <w:spacing w:val="-5"/>
                                  <w:w w:val="90"/>
                                  <w:sz w:val="14"/>
                                </w:rPr>
                                <w:t>40</w:t>
                              </w:r>
                            </w:p>
                            <w:p>
                              <w:pPr>
                                <w:spacing w:line="240" w:lineRule="auto" w:before="0"/>
                                <w:rPr>
                                  <w:rFonts w:ascii="Arial MT"/>
                                  <w:sz w:val="14"/>
                                </w:rPr>
                              </w:pPr>
                            </w:p>
                            <w:p>
                              <w:pPr>
                                <w:spacing w:line="240" w:lineRule="auto" w:before="47"/>
                                <w:rPr>
                                  <w:rFonts w:ascii="Arial MT"/>
                                  <w:sz w:val="14"/>
                                </w:rPr>
                              </w:pPr>
                            </w:p>
                            <w:p>
                              <w:pPr>
                                <w:spacing w:before="0"/>
                                <w:ind w:left="0" w:right="0" w:firstLine="0"/>
                                <w:jc w:val="left"/>
                                <w:rPr>
                                  <w:rFonts w:ascii="Arial MT"/>
                                  <w:sz w:val="14"/>
                                </w:rPr>
                              </w:pPr>
                              <w:r>
                                <w:rPr>
                                  <w:rFonts w:ascii="Arial MT"/>
                                  <w:spacing w:val="-5"/>
                                  <w:w w:val="90"/>
                                  <w:sz w:val="14"/>
                                </w:rPr>
                                <w:t>30</w:t>
                              </w:r>
                            </w:p>
                          </w:txbxContent>
                        </wps:txbx>
                        <wps:bodyPr wrap="square" lIns="0" tIns="0" rIns="0" bIns="0" rtlCol="0">
                          <a:noAutofit/>
                        </wps:bodyPr>
                      </wps:wsp>
                      <wps:wsp>
                        <wps:cNvPr id="1325" name="Textbox 1325"/>
                        <wps:cNvSpPr txBox="1"/>
                        <wps:spPr>
                          <a:xfrm>
                            <a:off x="2677130" y="1198188"/>
                            <a:ext cx="158750"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24%</w:t>
                              </w:r>
                            </w:p>
                          </w:txbxContent>
                        </wps:txbx>
                        <wps:bodyPr wrap="square" lIns="0" tIns="0" rIns="0" bIns="0" rtlCol="0">
                          <a:noAutofit/>
                        </wps:bodyPr>
                      </wps:wsp>
                      <wps:wsp>
                        <wps:cNvPr id="1326" name="Textbox 1326"/>
                        <wps:cNvSpPr txBox="1"/>
                        <wps:spPr>
                          <a:xfrm>
                            <a:off x="3963276" y="1198188"/>
                            <a:ext cx="158750"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25%</w:t>
                              </w:r>
                            </w:p>
                          </w:txbxContent>
                        </wps:txbx>
                        <wps:bodyPr wrap="square" lIns="0" tIns="0" rIns="0" bIns="0" rtlCol="0">
                          <a:noAutofit/>
                        </wps:bodyPr>
                      </wps:wsp>
                      <wps:wsp>
                        <wps:cNvPr id="1327" name="Textbox 1327"/>
                        <wps:cNvSpPr txBox="1"/>
                        <wps:spPr>
                          <a:xfrm>
                            <a:off x="684227" y="1502234"/>
                            <a:ext cx="93980" cy="7753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w:t>
                              </w:r>
                            </w:p>
                            <w:p>
                              <w:pPr>
                                <w:spacing w:line="240" w:lineRule="auto" w:before="0"/>
                                <w:rPr>
                                  <w:rFonts w:ascii="Arial MT"/>
                                  <w:sz w:val="14"/>
                                </w:rPr>
                              </w:pPr>
                            </w:p>
                            <w:p>
                              <w:pPr>
                                <w:spacing w:line="240" w:lineRule="auto" w:before="47"/>
                                <w:rPr>
                                  <w:rFonts w:ascii="Arial MT"/>
                                  <w:sz w:val="14"/>
                                </w:rPr>
                              </w:pPr>
                            </w:p>
                            <w:p>
                              <w:pPr>
                                <w:spacing w:before="0"/>
                                <w:ind w:left="0" w:right="0" w:firstLine="0"/>
                                <w:jc w:val="left"/>
                                <w:rPr>
                                  <w:rFonts w:ascii="Arial MT"/>
                                  <w:sz w:val="14"/>
                                </w:rPr>
                              </w:pPr>
                              <w:r>
                                <w:rPr>
                                  <w:rFonts w:ascii="Arial MT"/>
                                  <w:spacing w:val="-5"/>
                                  <w:w w:val="90"/>
                                  <w:sz w:val="14"/>
                                </w:rPr>
                                <w:t>10</w:t>
                              </w:r>
                            </w:p>
                            <w:p>
                              <w:pPr>
                                <w:spacing w:line="240" w:lineRule="auto" w:before="0"/>
                                <w:rPr>
                                  <w:rFonts w:ascii="Arial MT"/>
                                  <w:sz w:val="14"/>
                                </w:rPr>
                              </w:pPr>
                            </w:p>
                            <w:p>
                              <w:pPr>
                                <w:spacing w:line="240" w:lineRule="auto" w:before="47"/>
                                <w:rPr>
                                  <w:rFonts w:ascii="Arial MT"/>
                                  <w:sz w:val="14"/>
                                </w:rPr>
                              </w:pPr>
                            </w:p>
                            <w:p>
                              <w:pPr>
                                <w:spacing w:before="0"/>
                                <w:ind w:left="63"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328" name="Textbox 1328"/>
                        <wps:cNvSpPr txBox="1"/>
                        <wps:spPr>
                          <a:xfrm>
                            <a:off x="1181588" y="2279584"/>
                            <a:ext cx="53594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Under</w:t>
                              </w:r>
                              <w:r>
                                <w:rPr>
                                  <w:rFonts w:ascii="Arial MT"/>
                                  <w:spacing w:val="-4"/>
                                  <w:sz w:val="14"/>
                                </w:rPr>
                                <w:t> </w:t>
                              </w:r>
                              <w:r>
                                <w:rPr>
                                  <w:rFonts w:ascii="Arial MT"/>
                                  <w:spacing w:val="-2"/>
                                  <w:w w:val="85"/>
                                  <w:sz w:val="14"/>
                                </w:rPr>
                                <w:t>utilisation</w:t>
                              </w:r>
                            </w:p>
                          </w:txbxContent>
                        </wps:txbx>
                        <wps:bodyPr wrap="square" lIns="0" tIns="0" rIns="0" bIns="0" rtlCol="0">
                          <a:noAutofit/>
                        </wps:bodyPr>
                      </wps:wsp>
                      <wps:wsp>
                        <wps:cNvPr id="1329" name="Textbox 1329"/>
                        <wps:cNvSpPr txBox="1"/>
                        <wps:spPr>
                          <a:xfrm>
                            <a:off x="2569217" y="2279584"/>
                            <a:ext cx="454659"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Full</w:t>
                              </w:r>
                              <w:r>
                                <w:rPr>
                                  <w:rFonts w:ascii="Arial MT"/>
                                  <w:spacing w:val="-6"/>
                                  <w:sz w:val="14"/>
                                </w:rPr>
                                <w:t> </w:t>
                              </w:r>
                              <w:r>
                                <w:rPr>
                                  <w:rFonts w:ascii="Arial MT"/>
                                  <w:spacing w:val="-2"/>
                                  <w:w w:val="85"/>
                                  <w:sz w:val="14"/>
                                </w:rPr>
                                <w:t>utilisation</w:t>
                              </w:r>
                            </w:p>
                          </w:txbxContent>
                        </wps:txbx>
                        <wps:bodyPr wrap="square" lIns="0" tIns="0" rIns="0" bIns="0" rtlCol="0">
                          <a:noAutofit/>
                        </wps:bodyPr>
                      </wps:wsp>
                      <wps:wsp>
                        <wps:cNvPr id="1330" name="Textbox 1330"/>
                        <wps:cNvSpPr txBox="1"/>
                        <wps:spPr>
                          <a:xfrm>
                            <a:off x="3871560" y="2279584"/>
                            <a:ext cx="49530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Over</w:t>
                              </w:r>
                              <w:r>
                                <w:rPr>
                                  <w:rFonts w:ascii="Arial MT"/>
                                  <w:spacing w:val="-1"/>
                                  <w:sz w:val="14"/>
                                </w:rPr>
                                <w:t> </w:t>
                              </w:r>
                              <w:r>
                                <w:rPr>
                                  <w:rFonts w:ascii="Arial MT"/>
                                  <w:spacing w:val="-2"/>
                                  <w:w w:val="85"/>
                                  <w:sz w:val="14"/>
                                </w:rPr>
                                <w:t>utilisation</w:t>
                              </w:r>
                            </w:p>
                          </w:txbxContent>
                        </wps:txbx>
                        <wps:bodyPr wrap="square" lIns="0" tIns="0" rIns="0" bIns="0" rtlCol="0">
                          <a:noAutofit/>
                        </wps:bodyPr>
                      </wps:wsp>
                    </wpg:wgp>
                  </a:graphicData>
                </a:graphic>
              </wp:anchor>
            </w:drawing>
          </mc:Choice>
          <mc:Fallback>
            <w:pict>
              <v:group style="position:absolute;margin-left:98.557823pt;margin-top:19.663914pt;width:397.8pt;height:192.3pt;mso-position-horizontal-relative:page;mso-position-vertical-relative:paragraph;z-index:-23926784" id="docshapegroup1308" coordorigin="1971,393" coordsize="7956,3846">
                <v:shape style="position:absolute;left:1971;top:393;width:7956;height:3846" id="docshape1309" coordorigin="1971,393" coordsize="7956,3846" path="m9927,393l9917,393,9917,397,9917,398,9917,4235,1976,4235,1976,4235,1981,4235,9917,4235,9917,4230,1981,4230,1976,4230,1976,4229,1981,4229,1981,403,1976,403,1976,403,1981,403,9917,403,9917,398,1981,398,1976,398,1976,397,9917,397,9917,393,1971,393,1971,397,1971,403,1971,4229,1971,4235,1971,4239,9927,4239,9927,4235,9922,4235,9922,4235,9927,4235,9927,4230,9922,4230,9922,4229,9927,4229,9927,403,9922,403,9922,403,9927,403,9927,398,9922,398,9922,397,9927,397,9927,393xe" filled="true" fillcolor="#000000" stroked="false">
                  <v:path arrowok="t"/>
                  <v:fill type="solid"/>
                </v:shape>
                <v:shape style="position:absolute;left:3048;top:639;width:148;height:161" type="#_x0000_t202" id="docshape1310" filled="false" stroked="false">
                  <v:textbox inset="0,0,0,0">
                    <w:txbxContent>
                      <w:p>
                        <w:pPr>
                          <w:spacing w:line="161" w:lineRule="exact" w:before="0"/>
                          <w:ind w:left="0" w:right="0" w:firstLine="0"/>
                          <w:jc w:val="left"/>
                          <w:rPr>
                            <w:rFonts w:ascii="Arial MT"/>
                            <w:sz w:val="14"/>
                          </w:rPr>
                        </w:pPr>
                        <w:r>
                          <w:rPr>
                            <w:rFonts w:ascii="Arial MT"/>
                            <w:spacing w:val="-5"/>
                            <w:w w:val="90"/>
                            <w:sz w:val="14"/>
                          </w:rPr>
                          <w:t>60</w:t>
                        </w:r>
                      </w:p>
                    </w:txbxContent>
                  </v:textbox>
                  <w10:wrap type="none"/>
                </v:shape>
                <v:shape style="position:absolute;left:4224;top:864;width:250;height:161" type="#_x0000_t202" id="docshape1311" filled="false" stroked="false">
                  <v:textbox inset="0,0,0,0">
                    <w:txbxContent>
                      <w:p>
                        <w:pPr>
                          <w:spacing w:line="161" w:lineRule="exact" w:before="0"/>
                          <w:ind w:left="0" w:right="0" w:firstLine="0"/>
                          <w:jc w:val="left"/>
                          <w:rPr>
                            <w:rFonts w:ascii="Arial MT"/>
                            <w:sz w:val="14"/>
                          </w:rPr>
                        </w:pPr>
                        <w:r>
                          <w:rPr>
                            <w:rFonts w:ascii="Arial MT"/>
                            <w:spacing w:val="-5"/>
                            <w:w w:val="85"/>
                            <w:sz w:val="14"/>
                          </w:rPr>
                          <w:t>51%</w:t>
                        </w:r>
                      </w:p>
                    </w:txbxContent>
                  </v:textbox>
                  <w10:wrap type="none"/>
                </v:shape>
                <v:shape style="position:absolute;left:3048;top:1169;width:148;height:1221" type="#_x0000_t202" id="docshape1312" filled="false" stroked="false">
                  <v:textbox inset="0,0,0,0">
                    <w:txbxContent>
                      <w:p>
                        <w:pPr>
                          <w:spacing w:line="161" w:lineRule="exact" w:before="0"/>
                          <w:ind w:left="0" w:right="0" w:firstLine="0"/>
                          <w:jc w:val="left"/>
                          <w:rPr>
                            <w:rFonts w:ascii="Arial MT"/>
                            <w:sz w:val="14"/>
                          </w:rPr>
                        </w:pPr>
                        <w:r>
                          <w:rPr>
                            <w:rFonts w:ascii="Arial MT"/>
                            <w:spacing w:val="-5"/>
                            <w:w w:val="90"/>
                            <w:sz w:val="14"/>
                          </w:rPr>
                          <w:t>50</w:t>
                        </w:r>
                      </w:p>
                      <w:p>
                        <w:pPr>
                          <w:spacing w:line="240" w:lineRule="auto" w:before="0"/>
                          <w:rPr>
                            <w:rFonts w:ascii="Arial MT"/>
                            <w:sz w:val="14"/>
                          </w:rPr>
                        </w:pPr>
                      </w:p>
                      <w:p>
                        <w:pPr>
                          <w:spacing w:line="240" w:lineRule="auto" w:before="47"/>
                          <w:rPr>
                            <w:rFonts w:ascii="Arial MT"/>
                            <w:sz w:val="14"/>
                          </w:rPr>
                        </w:pPr>
                      </w:p>
                      <w:p>
                        <w:pPr>
                          <w:spacing w:before="0"/>
                          <w:ind w:left="0" w:right="0" w:firstLine="0"/>
                          <w:jc w:val="left"/>
                          <w:rPr>
                            <w:rFonts w:ascii="Arial MT"/>
                            <w:sz w:val="14"/>
                          </w:rPr>
                        </w:pPr>
                        <w:r>
                          <w:rPr>
                            <w:rFonts w:ascii="Arial MT"/>
                            <w:spacing w:val="-5"/>
                            <w:w w:val="90"/>
                            <w:sz w:val="14"/>
                          </w:rPr>
                          <w:t>40</w:t>
                        </w:r>
                      </w:p>
                      <w:p>
                        <w:pPr>
                          <w:spacing w:line="240" w:lineRule="auto" w:before="0"/>
                          <w:rPr>
                            <w:rFonts w:ascii="Arial MT"/>
                            <w:sz w:val="14"/>
                          </w:rPr>
                        </w:pPr>
                      </w:p>
                      <w:p>
                        <w:pPr>
                          <w:spacing w:line="240" w:lineRule="auto" w:before="47"/>
                          <w:rPr>
                            <w:rFonts w:ascii="Arial MT"/>
                            <w:sz w:val="14"/>
                          </w:rPr>
                        </w:pPr>
                      </w:p>
                      <w:p>
                        <w:pPr>
                          <w:spacing w:before="0"/>
                          <w:ind w:left="0" w:right="0" w:firstLine="0"/>
                          <w:jc w:val="left"/>
                          <w:rPr>
                            <w:rFonts w:ascii="Arial MT"/>
                            <w:sz w:val="14"/>
                          </w:rPr>
                        </w:pPr>
                        <w:r>
                          <w:rPr>
                            <w:rFonts w:ascii="Arial MT"/>
                            <w:spacing w:val="-5"/>
                            <w:w w:val="90"/>
                            <w:sz w:val="14"/>
                          </w:rPr>
                          <w:t>30</w:t>
                        </w:r>
                      </w:p>
                    </w:txbxContent>
                  </v:textbox>
                  <w10:wrap type="none"/>
                </v:shape>
                <v:shape style="position:absolute;left:6187;top:2280;width:250;height:161" type="#_x0000_t202" id="docshape1313" filled="false" stroked="false">
                  <v:textbox inset="0,0,0,0">
                    <w:txbxContent>
                      <w:p>
                        <w:pPr>
                          <w:spacing w:line="161" w:lineRule="exact" w:before="0"/>
                          <w:ind w:left="0" w:right="0" w:firstLine="0"/>
                          <w:jc w:val="left"/>
                          <w:rPr>
                            <w:rFonts w:ascii="Arial MT"/>
                            <w:sz w:val="14"/>
                          </w:rPr>
                        </w:pPr>
                        <w:r>
                          <w:rPr>
                            <w:rFonts w:ascii="Arial MT"/>
                            <w:spacing w:val="-5"/>
                            <w:w w:val="85"/>
                            <w:sz w:val="14"/>
                          </w:rPr>
                          <w:t>24%</w:t>
                        </w:r>
                      </w:p>
                    </w:txbxContent>
                  </v:textbox>
                  <w10:wrap type="none"/>
                </v:shape>
                <v:shape style="position:absolute;left:8212;top:2280;width:250;height:161" type="#_x0000_t202" id="docshape1314" filled="false" stroked="false">
                  <v:textbox inset="0,0,0,0">
                    <w:txbxContent>
                      <w:p>
                        <w:pPr>
                          <w:spacing w:line="161" w:lineRule="exact" w:before="0"/>
                          <w:ind w:left="0" w:right="0" w:firstLine="0"/>
                          <w:jc w:val="left"/>
                          <w:rPr>
                            <w:rFonts w:ascii="Arial MT"/>
                            <w:sz w:val="14"/>
                          </w:rPr>
                        </w:pPr>
                        <w:r>
                          <w:rPr>
                            <w:rFonts w:ascii="Arial MT"/>
                            <w:spacing w:val="-5"/>
                            <w:w w:val="85"/>
                            <w:sz w:val="14"/>
                          </w:rPr>
                          <w:t>25%</w:t>
                        </w:r>
                      </w:p>
                    </w:txbxContent>
                  </v:textbox>
                  <w10:wrap type="none"/>
                </v:shape>
                <v:shape style="position:absolute;left:3048;top:2759;width:148;height:1221" type="#_x0000_t202" id="docshape1315" filled="false" stroked="false">
                  <v:textbox inset="0,0,0,0">
                    <w:txbxContent>
                      <w:p>
                        <w:pPr>
                          <w:spacing w:line="161" w:lineRule="exact" w:before="0"/>
                          <w:ind w:left="0" w:right="0" w:firstLine="0"/>
                          <w:jc w:val="left"/>
                          <w:rPr>
                            <w:rFonts w:ascii="Arial MT"/>
                            <w:sz w:val="14"/>
                          </w:rPr>
                        </w:pPr>
                        <w:r>
                          <w:rPr>
                            <w:rFonts w:ascii="Arial MT"/>
                            <w:spacing w:val="-5"/>
                            <w:w w:val="90"/>
                            <w:sz w:val="14"/>
                          </w:rPr>
                          <w:t>20</w:t>
                        </w:r>
                      </w:p>
                      <w:p>
                        <w:pPr>
                          <w:spacing w:line="240" w:lineRule="auto" w:before="0"/>
                          <w:rPr>
                            <w:rFonts w:ascii="Arial MT"/>
                            <w:sz w:val="14"/>
                          </w:rPr>
                        </w:pPr>
                      </w:p>
                      <w:p>
                        <w:pPr>
                          <w:spacing w:line="240" w:lineRule="auto" w:before="47"/>
                          <w:rPr>
                            <w:rFonts w:ascii="Arial MT"/>
                            <w:sz w:val="14"/>
                          </w:rPr>
                        </w:pPr>
                      </w:p>
                      <w:p>
                        <w:pPr>
                          <w:spacing w:before="0"/>
                          <w:ind w:left="0" w:right="0" w:firstLine="0"/>
                          <w:jc w:val="left"/>
                          <w:rPr>
                            <w:rFonts w:ascii="Arial MT"/>
                            <w:sz w:val="14"/>
                          </w:rPr>
                        </w:pPr>
                        <w:r>
                          <w:rPr>
                            <w:rFonts w:ascii="Arial MT"/>
                            <w:spacing w:val="-5"/>
                            <w:w w:val="90"/>
                            <w:sz w:val="14"/>
                          </w:rPr>
                          <w:t>10</w:t>
                        </w:r>
                      </w:p>
                      <w:p>
                        <w:pPr>
                          <w:spacing w:line="240" w:lineRule="auto" w:before="0"/>
                          <w:rPr>
                            <w:rFonts w:ascii="Arial MT"/>
                            <w:sz w:val="14"/>
                          </w:rPr>
                        </w:pPr>
                      </w:p>
                      <w:p>
                        <w:pPr>
                          <w:spacing w:line="240" w:lineRule="auto" w:before="47"/>
                          <w:rPr>
                            <w:rFonts w:ascii="Arial MT"/>
                            <w:sz w:val="14"/>
                          </w:rPr>
                        </w:pPr>
                      </w:p>
                      <w:p>
                        <w:pPr>
                          <w:spacing w:before="0"/>
                          <w:ind w:left="63" w:right="0" w:firstLine="0"/>
                          <w:jc w:val="left"/>
                          <w:rPr>
                            <w:rFonts w:ascii="Arial MT"/>
                            <w:sz w:val="14"/>
                          </w:rPr>
                        </w:pPr>
                        <w:r>
                          <w:rPr>
                            <w:rFonts w:ascii="Arial MT"/>
                            <w:spacing w:val="-10"/>
                            <w:w w:val="90"/>
                            <w:sz w:val="14"/>
                          </w:rPr>
                          <w:t>0</w:t>
                        </w:r>
                      </w:p>
                    </w:txbxContent>
                  </v:textbox>
                  <w10:wrap type="none"/>
                </v:shape>
                <v:shape style="position:absolute;left:3831;top:3983;width:844;height:161" type="#_x0000_t202" id="docshape1316" filled="false" stroked="false">
                  <v:textbox inset="0,0,0,0">
                    <w:txbxContent>
                      <w:p>
                        <w:pPr>
                          <w:spacing w:line="161" w:lineRule="exact" w:before="0"/>
                          <w:ind w:left="0" w:right="0" w:firstLine="0"/>
                          <w:jc w:val="left"/>
                          <w:rPr>
                            <w:rFonts w:ascii="Arial MT"/>
                            <w:sz w:val="14"/>
                          </w:rPr>
                        </w:pPr>
                        <w:r>
                          <w:rPr>
                            <w:rFonts w:ascii="Arial MT"/>
                            <w:w w:val="80"/>
                            <w:sz w:val="14"/>
                          </w:rPr>
                          <w:t>Under</w:t>
                        </w:r>
                        <w:r>
                          <w:rPr>
                            <w:rFonts w:ascii="Arial MT"/>
                            <w:spacing w:val="-4"/>
                            <w:sz w:val="14"/>
                          </w:rPr>
                          <w:t> </w:t>
                        </w:r>
                        <w:r>
                          <w:rPr>
                            <w:rFonts w:ascii="Arial MT"/>
                            <w:spacing w:val="-2"/>
                            <w:w w:val="85"/>
                            <w:sz w:val="14"/>
                          </w:rPr>
                          <w:t>utilisation</w:t>
                        </w:r>
                      </w:p>
                    </w:txbxContent>
                  </v:textbox>
                  <w10:wrap type="none"/>
                </v:shape>
                <v:shape style="position:absolute;left:6017;top:3983;width:716;height:161" type="#_x0000_t202" id="docshape1317" filled="false" stroked="false">
                  <v:textbox inset="0,0,0,0">
                    <w:txbxContent>
                      <w:p>
                        <w:pPr>
                          <w:spacing w:line="161" w:lineRule="exact" w:before="0"/>
                          <w:ind w:left="0" w:right="0" w:firstLine="0"/>
                          <w:jc w:val="left"/>
                          <w:rPr>
                            <w:rFonts w:ascii="Arial MT"/>
                            <w:sz w:val="14"/>
                          </w:rPr>
                        </w:pPr>
                        <w:r>
                          <w:rPr>
                            <w:rFonts w:ascii="Arial MT"/>
                            <w:w w:val="80"/>
                            <w:sz w:val="14"/>
                          </w:rPr>
                          <w:t>Full</w:t>
                        </w:r>
                        <w:r>
                          <w:rPr>
                            <w:rFonts w:ascii="Arial MT"/>
                            <w:spacing w:val="-6"/>
                            <w:sz w:val="14"/>
                          </w:rPr>
                          <w:t> </w:t>
                        </w:r>
                        <w:r>
                          <w:rPr>
                            <w:rFonts w:ascii="Arial MT"/>
                            <w:spacing w:val="-2"/>
                            <w:w w:val="85"/>
                            <w:sz w:val="14"/>
                          </w:rPr>
                          <w:t>utilisation</w:t>
                        </w:r>
                      </w:p>
                    </w:txbxContent>
                  </v:textbox>
                  <w10:wrap type="none"/>
                </v:shape>
                <v:shape style="position:absolute;left:8068;top:3983;width:780;height:161" type="#_x0000_t202" id="docshape1318" filled="false" stroked="false">
                  <v:textbox inset="0,0,0,0">
                    <w:txbxContent>
                      <w:p>
                        <w:pPr>
                          <w:spacing w:line="161" w:lineRule="exact" w:before="0"/>
                          <w:ind w:left="0" w:right="0" w:firstLine="0"/>
                          <w:jc w:val="left"/>
                          <w:rPr>
                            <w:rFonts w:ascii="Arial MT"/>
                            <w:sz w:val="14"/>
                          </w:rPr>
                        </w:pPr>
                        <w:r>
                          <w:rPr>
                            <w:rFonts w:ascii="Arial MT"/>
                            <w:w w:val="80"/>
                            <w:sz w:val="14"/>
                          </w:rPr>
                          <w:t>Over</w:t>
                        </w:r>
                        <w:r>
                          <w:rPr>
                            <w:rFonts w:ascii="Arial MT"/>
                            <w:spacing w:val="-1"/>
                            <w:sz w:val="14"/>
                          </w:rPr>
                          <w:t> </w:t>
                        </w:r>
                        <w:r>
                          <w:rPr>
                            <w:rFonts w:ascii="Arial MT"/>
                            <w:spacing w:val="-2"/>
                            <w:w w:val="85"/>
                            <w:sz w:val="14"/>
                          </w:rPr>
                          <w:t>utilisation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3632">
                <wp:simplePos x="0" y="0"/>
                <wp:positionH relativeFrom="page">
                  <wp:posOffset>1600867</wp:posOffset>
                </wp:positionH>
                <wp:positionV relativeFrom="paragraph">
                  <wp:posOffset>1069657</wp:posOffset>
                </wp:positionV>
                <wp:extent cx="127635" cy="621665"/>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127635" cy="621665"/>
                        </a:xfrm>
                        <a:prstGeom prst="rect">
                          <a:avLst/>
                        </a:prstGeom>
                      </wps:spPr>
                      <wps:txbx>
                        <w:txbxContent>
                          <w:p>
                            <w:pPr>
                              <w:spacing w:before="19"/>
                              <w:ind w:left="20" w:right="0" w:firstLine="0"/>
                              <w:jc w:val="left"/>
                              <w:rPr>
                                <w:rFonts w:ascii="Arial MT"/>
                                <w:sz w:val="14"/>
                              </w:rPr>
                            </w:pPr>
                            <w:r>
                              <w:rPr>
                                <w:rFonts w:ascii="Arial MT"/>
                                <w:w w:val="80"/>
                                <w:sz w:val="14"/>
                              </w:rPr>
                              <w:t>Percentage</w:t>
                            </w:r>
                            <w:r>
                              <w:rPr>
                                <w:rFonts w:ascii="Arial MT"/>
                                <w:spacing w:val="1"/>
                                <w:sz w:val="14"/>
                              </w:rPr>
                              <w:t> </w:t>
                            </w:r>
                            <w:r>
                              <w:rPr>
                                <w:rFonts w:ascii="Arial MT"/>
                                <w:w w:val="80"/>
                                <w:sz w:val="14"/>
                              </w:rPr>
                              <w:t>of</w:t>
                            </w:r>
                            <w:r>
                              <w:rPr>
                                <w:rFonts w:ascii="Arial MT"/>
                                <w:spacing w:val="1"/>
                                <w:sz w:val="14"/>
                              </w:rPr>
                              <w:t> </w:t>
                            </w:r>
                            <w:r>
                              <w:rPr>
                                <w:rFonts w:ascii="Arial MT"/>
                                <w:spacing w:val="-4"/>
                                <w:w w:val="80"/>
                                <w:sz w:val="14"/>
                              </w:rPr>
                              <w:t>ITIs</w:t>
                            </w:r>
                          </w:p>
                        </w:txbxContent>
                      </wps:txbx>
                      <wps:bodyPr wrap="square" lIns="0" tIns="0" rIns="0" bIns="0" rtlCol="0" vert="vert270">
                        <a:noAutofit/>
                      </wps:bodyPr>
                    </wps:wsp>
                  </a:graphicData>
                </a:graphic>
              </wp:anchor>
            </w:drawing>
          </mc:Choice>
          <mc:Fallback>
            <w:pict>
              <v:shape style="position:absolute;margin-left:126.052559pt;margin-top:84.225021pt;width:10.050pt;height:48.95pt;mso-position-horizontal-relative:page;mso-position-vertical-relative:paragraph;z-index:15813632" type="#_x0000_t202" id="docshape1319"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Percentage</w:t>
                      </w:r>
                      <w:r>
                        <w:rPr>
                          <w:rFonts w:ascii="Arial MT"/>
                          <w:spacing w:val="1"/>
                          <w:sz w:val="14"/>
                        </w:rPr>
                        <w:t> </w:t>
                      </w:r>
                      <w:r>
                        <w:rPr>
                          <w:rFonts w:ascii="Arial MT"/>
                          <w:w w:val="80"/>
                          <w:sz w:val="14"/>
                        </w:rPr>
                        <w:t>of</w:t>
                      </w:r>
                      <w:r>
                        <w:rPr>
                          <w:rFonts w:ascii="Arial MT"/>
                          <w:spacing w:val="1"/>
                          <w:sz w:val="14"/>
                        </w:rPr>
                        <w:t> </w:t>
                      </w:r>
                      <w:r>
                        <w:rPr>
                          <w:rFonts w:ascii="Arial MT"/>
                          <w:spacing w:val="-4"/>
                          <w:w w:val="80"/>
                          <w:sz w:val="14"/>
                        </w:rPr>
                        <w:t>ITIs</w:t>
                      </w:r>
                    </w:p>
                  </w:txbxContent>
                </v:textbox>
                <w10:wrap type="none"/>
              </v:shape>
            </w:pict>
          </mc:Fallback>
        </mc:AlternateContent>
      </w:r>
      <w:r>
        <w:rPr>
          <w:w w:val="90"/>
        </w:rPr>
        <w:t>Figure</w:t>
      </w:r>
      <w:r>
        <w:rPr>
          <w:spacing w:val="9"/>
        </w:rPr>
        <w:t> </w:t>
      </w:r>
      <w:r>
        <w:rPr>
          <w:w w:val="90"/>
        </w:rPr>
        <w:t>13:</w:t>
      </w:r>
      <w:r>
        <w:rPr>
          <w:spacing w:val="10"/>
        </w:rPr>
        <w:t> </w:t>
      </w:r>
      <w:r>
        <w:rPr>
          <w:color w:val="2E614A"/>
          <w:w w:val="90"/>
        </w:rPr>
        <w:t>Seat</w:t>
      </w:r>
      <w:r>
        <w:rPr>
          <w:color w:val="2E614A"/>
          <w:spacing w:val="10"/>
        </w:rPr>
        <w:t> </w:t>
      </w:r>
      <w:r>
        <w:rPr>
          <w:color w:val="2E614A"/>
          <w:w w:val="90"/>
        </w:rPr>
        <w:t>utilisation</w:t>
      </w:r>
      <w:r>
        <w:rPr>
          <w:color w:val="2E614A"/>
          <w:spacing w:val="9"/>
        </w:rPr>
        <w:t> </w:t>
      </w:r>
      <w:r>
        <w:rPr>
          <w:color w:val="2E614A"/>
          <w:w w:val="90"/>
        </w:rPr>
        <w:t>against</w:t>
      </w:r>
      <w:r>
        <w:rPr>
          <w:color w:val="2E614A"/>
          <w:spacing w:val="10"/>
        </w:rPr>
        <w:t> </w:t>
      </w:r>
      <w:r>
        <w:rPr>
          <w:color w:val="2E614A"/>
          <w:w w:val="90"/>
        </w:rPr>
        <w:t>sanctioned</w:t>
      </w:r>
      <w:r>
        <w:rPr>
          <w:color w:val="2E614A"/>
          <w:spacing w:val="10"/>
        </w:rPr>
        <w:t> </w:t>
      </w:r>
      <w:r>
        <w:rPr>
          <w:color w:val="2E614A"/>
          <w:spacing w:val="-2"/>
          <w:w w:val="90"/>
        </w:rPr>
        <w:t>strength</w:t>
      </w:r>
    </w:p>
    <w:p>
      <w:pPr>
        <w:pStyle w:val="BodyText"/>
        <w:spacing w:before="166"/>
        <w:rPr>
          <w:b/>
          <w:sz w:val="20"/>
        </w:rPr>
      </w:pPr>
      <w:r>
        <w:rPr/>
        <mc:AlternateContent>
          <mc:Choice Requires="wps">
            <w:drawing>
              <wp:anchor distT="0" distB="0" distL="0" distR="0" allowOverlap="1" layoutInCell="1" locked="0" behindDoc="1" simplePos="0" relativeHeight="487671808">
                <wp:simplePos x="0" y="0"/>
                <wp:positionH relativeFrom="page">
                  <wp:posOffset>2048236</wp:posOffset>
                </wp:positionH>
                <wp:positionV relativeFrom="paragraph">
                  <wp:posOffset>266834</wp:posOffset>
                </wp:positionV>
                <wp:extent cx="3916679" cy="2078355"/>
                <wp:effectExtent l="0" t="0" r="0" b="0"/>
                <wp:wrapTopAndBottom/>
                <wp:docPr id="1332" name="Group 1332"/>
                <wp:cNvGraphicFramePr>
                  <a:graphicFrameLocks/>
                </wp:cNvGraphicFramePr>
                <a:graphic>
                  <a:graphicData uri="http://schemas.microsoft.com/office/word/2010/wordprocessingGroup">
                    <wpg:wgp>
                      <wpg:cNvPr id="1332" name="Group 1332"/>
                      <wpg:cNvGrpSpPr/>
                      <wpg:grpSpPr>
                        <a:xfrm>
                          <a:off x="0" y="0"/>
                          <a:ext cx="3916679" cy="2078355"/>
                          <a:chExt cx="3916679" cy="2078355"/>
                        </a:xfrm>
                      </wpg:grpSpPr>
                      <wps:wsp>
                        <wps:cNvPr id="1333" name="Graphic 1333"/>
                        <wps:cNvSpPr/>
                        <wps:spPr>
                          <a:xfrm>
                            <a:off x="507105" y="310153"/>
                            <a:ext cx="2931160" cy="1739264"/>
                          </a:xfrm>
                          <a:custGeom>
                            <a:avLst/>
                            <a:gdLst/>
                            <a:ahLst/>
                            <a:cxnLst/>
                            <a:rect l="l" t="t" r="r" b="b"/>
                            <a:pathLst>
                              <a:path w="2931160" h="1739264">
                                <a:moveTo>
                                  <a:pt x="342900" y="0"/>
                                </a:moveTo>
                                <a:lnTo>
                                  <a:pt x="0" y="0"/>
                                </a:lnTo>
                                <a:lnTo>
                                  <a:pt x="0" y="1738731"/>
                                </a:lnTo>
                                <a:lnTo>
                                  <a:pt x="342900" y="1738731"/>
                                </a:lnTo>
                                <a:lnTo>
                                  <a:pt x="342900" y="0"/>
                                </a:lnTo>
                                <a:close/>
                              </a:path>
                              <a:path w="2931160" h="1739264">
                                <a:moveTo>
                                  <a:pt x="1636750" y="920508"/>
                                </a:moveTo>
                                <a:lnTo>
                                  <a:pt x="1293850" y="920508"/>
                                </a:lnTo>
                                <a:lnTo>
                                  <a:pt x="1293850" y="1738731"/>
                                </a:lnTo>
                                <a:lnTo>
                                  <a:pt x="1636750" y="1738731"/>
                                </a:lnTo>
                                <a:lnTo>
                                  <a:pt x="1636750" y="920508"/>
                                </a:lnTo>
                                <a:close/>
                              </a:path>
                              <a:path w="2931160" h="1739264">
                                <a:moveTo>
                                  <a:pt x="2930601" y="886409"/>
                                </a:moveTo>
                                <a:lnTo>
                                  <a:pt x="2587701" y="886409"/>
                                </a:lnTo>
                                <a:lnTo>
                                  <a:pt x="2587701" y="1738731"/>
                                </a:lnTo>
                                <a:lnTo>
                                  <a:pt x="2930601" y="1738731"/>
                                </a:lnTo>
                                <a:lnTo>
                                  <a:pt x="2930601" y="886409"/>
                                </a:lnTo>
                                <a:close/>
                              </a:path>
                            </a:pathLst>
                          </a:custGeom>
                          <a:solidFill>
                            <a:srgbClr val="2E614A"/>
                          </a:solidFill>
                        </wps:spPr>
                        <wps:bodyPr wrap="square" lIns="0" tIns="0" rIns="0" bIns="0" rtlCol="0">
                          <a:prstTxWarp prst="textNoShape">
                            <a:avLst/>
                          </a:prstTxWarp>
                          <a:noAutofit/>
                        </wps:bodyPr>
                      </wps:wsp>
                      <wps:wsp>
                        <wps:cNvPr id="1334" name="Graphic 1334"/>
                        <wps:cNvSpPr/>
                        <wps:spPr>
                          <a:xfrm>
                            <a:off x="-5" y="6"/>
                            <a:ext cx="3916679" cy="2078355"/>
                          </a:xfrm>
                          <a:custGeom>
                            <a:avLst/>
                            <a:gdLst/>
                            <a:ahLst/>
                            <a:cxnLst/>
                            <a:rect l="l" t="t" r="r" b="b"/>
                            <a:pathLst>
                              <a:path w="3916679" h="2078355">
                                <a:moveTo>
                                  <a:pt x="3916502" y="2045563"/>
                                </a:moveTo>
                                <a:lnTo>
                                  <a:pt x="3916502" y="2045563"/>
                                </a:lnTo>
                                <a:lnTo>
                                  <a:pt x="34950" y="2045563"/>
                                </a:lnTo>
                                <a:lnTo>
                                  <a:pt x="34950" y="0"/>
                                </a:lnTo>
                                <a:lnTo>
                                  <a:pt x="28321" y="0"/>
                                </a:lnTo>
                                <a:lnTo>
                                  <a:pt x="0" y="0"/>
                                </a:lnTo>
                                <a:lnTo>
                                  <a:pt x="0" y="6629"/>
                                </a:lnTo>
                                <a:lnTo>
                                  <a:pt x="28321" y="6629"/>
                                </a:lnTo>
                                <a:lnTo>
                                  <a:pt x="28321" y="340931"/>
                                </a:lnTo>
                                <a:lnTo>
                                  <a:pt x="0" y="340931"/>
                                </a:lnTo>
                                <a:lnTo>
                                  <a:pt x="0" y="347548"/>
                                </a:lnTo>
                                <a:lnTo>
                                  <a:pt x="28321" y="347548"/>
                                </a:lnTo>
                                <a:lnTo>
                                  <a:pt x="28321" y="681850"/>
                                </a:lnTo>
                                <a:lnTo>
                                  <a:pt x="0" y="681850"/>
                                </a:lnTo>
                                <a:lnTo>
                                  <a:pt x="0" y="688467"/>
                                </a:lnTo>
                                <a:lnTo>
                                  <a:pt x="28321" y="688467"/>
                                </a:lnTo>
                                <a:lnTo>
                                  <a:pt x="28321" y="1022794"/>
                                </a:lnTo>
                                <a:lnTo>
                                  <a:pt x="0" y="1022794"/>
                                </a:lnTo>
                                <a:lnTo>
                                  <a:pt x="0" y="1029411"/>
                                </a:lnTo>
                                <a:lnTo>
                                  <a:pt x="28321" y="1029411"/>
                                </a:lnTo>
                                <a:lnTo>
                                  <a:pt x="28321" y="1363713"/>
                                </a:lnTo>
                                <a:lnTo>
                                  <a:pt x="0" y="1363713"/>
                                </a:lnTo>
                                <a:lnTo>
                                  <a:pt x="0" y="1370330"/>
                                </a:lnTo>
                                <a:lnTo>
                                  <a:pt x="28321" y="1370330"/>
                                </a:lnTo>
                                <a:lnTo>
                                  <a:pt x="28321" y="1704644"/>
                                </a:lnTo>
                                <a:lnTo>
                                  <a:pt x="0" y="1704644"/>
                                </a:lnTo>
                                <a:lnTo>
                                  <a:pt x="0" y="1711261"/>
                                </a:lnTo>
                                <a:lnTo>
                                  <a:pt x="28321" y="1711261"/>
                                </a:lnTo>
                                <a:lnTo>
                                  <a:pt x="28321" y="2045563"/>
                                </a:lnTo>
                                <a:lnTo>
                                  <a:pt x="0" y="2045563"/>
                                </a:lnTo>
                                <a:lnTo>
                                  <a:pt x="0" y="2052193"/>
                                </a:lnTo>
                                <a:lnTo>
                                  <a:pt x="28321" y="2052193"/>
                                </a:lnTo>
                                <a:lnTo>
                                  <a:pt x="28321" y="2077758"/>
                                </a:lnTo>
                                <a:lnTo>
                                  <a:pt x="34950" y="2077758"/>
                                </a:lnTo>
                                <a:lnTo>
                                  <a:pt x="34950" y="2052193"/>
                                </a:lnTo>
                                <a:lnTo>
                                  <a:pt x="1322184" y="2052193"/>
                                </a:lnTo>
                                <a:lnTo>
                                  <a:pt x="1322184" y="2077758"/>
                                </a:lnTo>
                                <a:lnTo>
                                  <a:pt x="1328813" y="2077758"/>
                                </a:lnTo>
                                <a:lnTo>
                                  <a:pt x="1328813" y="2052193"/>
                                </a:lnTo>
                                <a:lnTo>
                                  <a:pt x="2616022" y="2052193"/>
                                </a:lnTo>
                                <a:lnTo>
                                  <a:pt x="2616022" y="2077758"/>
                                </a:lnTo>
                                <a:lnTo>
                                  <a:pt x="2622651" y="2077758"/>
                                </a:lnTo>
                                <a:lnTo>
                                  <a:pt x="2622651" y="2052193"/>
                                </a:lnTo>
                                <a:lnTo>
                                  <a:pt x="3909885" y="2052193"/>
                                </a:lnTo>
                                <a:lnTo>
                                  <a:pt x="3909885" y="2077758"/>
                                </a:lnTo>
                                <a:lnTo>
                                  <a:pt x="3916502" y="2077758"/>
                                </a:lnTo>
                                <a:lnTo>
                                  <a:pt x="3916502" y="204556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1.278442pt;margin-top:21.010555pt;width:308.4pt;height:163.65pt;mso-position-horizontal-relative:page;mso-position-vertical-relative:paragraph;z-index:-15644672;mso-wrap-distance-left:0;mso-wrap-distance-right:0" id="docshapegroup1320" coordorigin="3226,420" coordsize="6168,3273">
                <v:shape style="position:absolute;left:4024;top:908;width:4616;height:2739" id="docshape1321" coordorigin="4024,909" coordsize="4616,2739" path="m4564,909l4024,909,4024,3647,4564,3647,4564,909xm6602,2358l6062,2358,6062,3647,6602,3647,6602,2358xm8639,2305l8099,2305,8099,3647,8639,3647,8639,2305xe" filled="true" fillcolor="#2e614a" stroked="false">
                  <v:path arrowok="t"/>
                  <v:fill type="solid"/>
                </v:shape>
                <v:shape style="position:absolute;left:3225;top:420;width:6168;height:3273" id="docshape1322" coordorigin="3226,420" coordsize="6168,3273" path="m9393,3642l9393,3642,3281,3642,3281,420,3270,420,3226,420,3226,431,3270,431,3270,957,3226,957,3226,968,3270,968,3270,1494,3226,1494,3226,1504,3270,1504,3270,2031,3226,2031,3226,2041,3270,2041,3270,2568,3226,2568,3226,2578,3270,2578,3270,3105,3226,3105,3226,3115,3270,3115,3270,3642,3226,3642,3226,3652,3270,3652,3270,3692,3281,3692,3281,3652,5308,3652,5308,3692,5318,3692,5318,3652,7345,3652,7345,3692,7356,3692,7356,3652,9383,3652,9383,3692,9393,3692,9393,3642xe" filled="true" fillcolor="#000000" stroked="false">
                  <v:path arrowok="t"/>
                  <v:fill type="solid"/>
                </v:shape>
                <w10:wrap type="topAndBottom"/>
              </v:group>
            </w:pict>
          </mc:Fallback>
        </mc:AlternateContent>
      </w:r>
    </w:p>
    <w:p>
      <w:pPr>
        <w:pStyle w:val="BodyText"/>
        <w:spacing w:before="62"/>
        <w:rPr>
          <w:b/>
          <w:sz w:val="24"/>
        </w:rPr>
      </w:pPr>
    </w:p>
    <w:p>
      <w:pPr>
        <w:spacing w:before="1"/>
        <w:ind w:left="1976" w:right="0" w:firstLine="0"/>
        <w:jc w:val="left"/>
        <w:rPr>
          <w:sz w:val="16"/>
        </w:rPr>
      </w:pPr>
      <w:r>
        <w:rPr>
          <w:i/>
          <w:w w:val="90"/>
          <w:sz w:val="16"/>
        </w:rPr>
        <w:t>Source:</w:t>
      </w:r>
      <w:r>
        <w:rPr>
          <w:i/>
          <w:spacing w:val="2"/>
          <w:sz w:val="16"/>
        </w:rPr>
        <w:t> </w:t>
      </w:r>
      <w:r>
        <w:rPr>
          <w:w w:val="90"/>
          <w:sz w:val="16"/>
        </w:rPr>
        <w:t>FICCI</w:t>
      </w:r>
      <w:r>
        <w:rPr>
          <w:spacing w:val="3"/>
          <w:sz w:val="16"/>
        </w:rPr>
        <w:t> </w:t>
      </w:r>
      <w:r>
        <w:rPr>
          <w:w w:val="90"/>
          <w:sz w:val="16"/>
        </w:rPr>
        <w:t>Survey,</w:t>
      </w:r>
      <w:r>
        <w:rPr>
          <w:spacing w:val="3"/>
          <w:sz w:val="16"/>
        </w:rPr>
        <w:t> </w:t>
      </w:r>
      <w:r>
        <w:rPr>
          <w:spacing w:val="-4"/>
          <w:w w:val="90"/>
          <w:sz w:val="16"/>
        </w:rPr>
        <w:t>2006</w:t>
      </w:r>
    </w:p>
    <w:p>
      <w:pPr>
        <w:pStyle w:val="BodyText"/>
        <w:spacing w:before="169"/>
        <w:rPr>
          <w:sz w:val="20"/>
        </w:rPr>
      </w:pPr>
    </w:p>
    <w:p>
      <w:pPr>
        <w:spacing w:after="0"/>
        <w:rPr>
          <w:sz w:val="20"/>
        </w:rPr>
        <w:sectPr>
          <w:pgSz w:w="11910" w:h="16840"/>
          <w:pgMar w:header="0" w:footer="675" w:top="940" w:bottom="860" w:left="0" w:right="0"/>
        </w:sectPr>
      </w:pPr>
    </w:p>
    <w:p>
      <w:pPr>
        <w:pStyle w:val="BodyText"/>
        <w:spacing w:line="266" w:lineRule="auto" w:before="82"/>
        <w:ind w:left="1080"/>
        <w:jc w:val="both"/>
      </w:pPr>
      <w:r>
        <w:rPr>
          <w:spacing w:val="-2"/>
        </w:rPr>
        <w:t>from</w:t>
      </w:r>
      <w:r>
        <w:rPr>
          <w:spacing w:val="-12"/>
        </w:rPr>
        <w:t> </w:t>
      </w:r>
      <w:r>
        <w:rPr>
          <w:spacing w:val="-2"/>
        </w:rPr>
        <w:t>Class</w:t>
      </w:r>
      <w:r>
        <w:rPr>
          <w:spacing w:val="-12"/>
        </w:rPr>
        <w:t> </w:t>
      </w:r>
      <w:r>
        <w:rPr>
          <w:spacing w:val="-2"/>
        </w:rPr>
        <w:t>VIII</w:t>
      </w:r>
      <w:r>
        <w:rPr>
          <w:spacing w:val="-12"/>
        </w:rPr>
        <w:t> </w:t>
      </w:r>
      <w:r>
        <w:rPr>
          <w:spacing w:val="-2"/>
        </w:rPr>
        <w:t>–</w:t>
      </w:r>
      <w:r>
        <w:rPr>
          <w:spacing w:val="-11"/>
        </w:rPr>
        <w:t> </w:t>
      </w:r>
      <w:r>
        <w:rPr>
          <w:spacing w:val="-2"/>
        </w:rPr>
        <w:t>Class</w:t>
      </w:r>
      <w:r>
        <w:rPr>
          <w:spacing w:val="-12"/>
        </w:rPr>
        <w:t> </w:t>
      </w:r>
      <w:r>
        <w:rPr>
          <w:spacing w:val="-2"/>
        </w:rPr>
        <w:t>XII,</w:t>
      </w:r>
      <w:r>
        <w:rPr>
          <w:spacing w:val="-11"/>
        </w:rPr>
        <w:t> </w:t>
      </w:r>
      <w:r>
        <w:rPr>
          <w:spacing w:val="-2"/>
        </w:rPr>
        <w:t>for</w:t>
      </w:r>
      <w:r>
        <w:rPr>
          <w:spacing w:val="-12"/>
        </w:rPr>
        <w:t> </w:t>
      </w:r>
      <w:r>
        <w:rPr>
          <w:spacing w:val="-2"/>
        </w:rPr>
        <w:t>participation</w:t>
      </w:r>
      <w:r>
        <w:rPr>
          <w:spacing w:val="-11"/>
        </w:rPr>
        <w:t> </w:t>
      </w:r>
      <w:r>
        <w:rPr>
          <w:spacing w:val="-2"/>
        </w:rPr>
        <w:t>in</w:t>
      </w:r>
      <w:r>
        <w:rPr>
          <w:spacing w:val="-12"/>
        </w:rPr>
        <w:t> </w:t>
      </w:r>
      <w:r>
        <w:rPr>
          <w:spacing w:val="-2"/>
        </w:rPr>
        <w:t>formal </w:t>
      </w:r>
      <w:r>
        <w:rPr/>
        <w:t>vocational training. While this may be necessary for certain</w:t>
      </w:r>
      <w:r>
        <w:rPr>
          <w:spacing w:val="-3"/>
        </w:rPr>
        <w:t> </w:t>
      </w:r>
      <w:r>
        <w:rPr/>
        <w:t>trades,</w:t>
      </w:r>
      <w:r>
        <w:rPr>
          <w:spacing w:val="-3"/>
        </w:rPr>
        <w:t> </w:t>
      </w:r>
      <w:r>
        <w:rPr/>
        <w:t>it</w:t>
      </w:r>
      <w:r>
        <w:rPr>
          <w:spacing w:val="-3"/>
        </w:rPr>
        <w:t> </w:t>
      </w:r>
      <w:r>
        <w:rPr/>
        <w:t>is</w:t>
      </w:r>
      <w:r>
        <w:rPr>
          <w:spacing w:val="-3"/>
        </w:rPr>
        <w:t> </w:t>
      </w:r>
      <w:r>
        <w:rPr/>
        <w:t>unnecessarily</w:t>
      </w:r>
      <w:r>
        <w:rPr>
          <w:spacing w:val="-3"/>
        </w:rPr>
        <w:t> </w:t>
      </w:r>
      <w:r>
        <w:rPr/>
        <w:t>restrictive</w:t>
      </w:r>
      <w:r>
        <w:rPr>
          <w:spacing w:val="-3"/>
        </w:rPr>
        <w:t> </w:t>
      </w:r>
      <w:r>
        <w:rPr/>
        <w:t>in</w:t>
      </w:r>
      <w:r>
        <w:rPr>
          <w:spacing w:val="-3"/>
        </w:rPr>
        <w:t> </w:t>
      </w:r>
      <w:r>
        <w:rPr/>
        <w:t>others. Also,</w:t>
      </w:r>
      <w:r>
        <w:rPr>
          <w:spacing w:val="-14"/>
        </w:rPr>
        <w:t> </w:t>
      </w:r>
      <w:r>
        <w:rPr/>
        <w:t>once</w:t>
      </w:r>
      <w:r>
        <w:rPr>
          <w:spacing w:val="-14"/>
        </w:rPr>
        <w:t> </w:t>
      </w:r>
      <w:r>
        <w:rPr/>
        <w:t>an</w:t>
      </w:r>
      <w:r>
        <w:rPr>
          <w:spacing w:val="-14"/>
        </w:rPr>
        <w:t> </w:t>
      </w:r>
      <w:r>
        <w:rPr/>
        <w:t>individual</w:t>
      </w:r>
      <w:r>
        <w:rPr>
          <w:spacing w:val="-13"/>
        </w:rPr>
        <w:t> </w:t>
      </w:r>
      <w:r>
        <w:rPr/>
        <w:t>leaves</w:t>
      </w:r>
      <w:r>
        <w:rPr>
          <w:spacing w:val="-14"/>
        </w:rPr>
        <w:t> </w:t>
      </w:r>
      <w:r>
        <w:rPr/>
        <w:t>mainstream</w:t>
      </w:r>
      <w:r>
        <w:rPr>
          <w:spacing w:val="-14"/>
        </w:rPr>
        <w:t> </w:t>
      </w:r>
      <w:r>
        <w:rPr/>
        <w:t>education for vocational training, there is no provision for him/ her to return to the former at a later stage. Not only does</w:t>
      </w:r>
      <w:r>
        <w:rPr>
          <w:spacing w:val="-8"/>
        </w:rPr>
        <w:t> </w:t>
      </w:r>
      <w:r>
        <w:rPr/>
        <w:t>this</w:t>
      </w:r>
      <w:r>
        <w:rPr>
          <w:spacing w:val="-8"/>
        </w:rPr>
        <w:t> </w:t>
      </w:r>
      <w:r>
        <w:rPr/>
        <w:t>encourage</w:t>
      </w:r>
      <w:r>
        <w:rPr>
          <w:spacing w:val="-8"/>
        </w:rPr>
        <w:t> </w:t>
      </w:r>
      <w:r>
        <w:rPr/>
        <w:t>a</w:t>
      </w:r>
      <w:r>
        <w:rPr>
          <w:spacing w:val="-8"/>
        </w:rPr>
        <w:t> </w:t>
      </w:r>
      <w:r>
        <w:rPr/>
        <w:t>general</w:t>
      </w:r>
      <w:r>
        <w:rPr>
          <w:spacing w:val="-8"/>
        </w:rPr>
        <w:t> </w:t>
      </w:r>
      <w:r>
        <w:rPr/>
        <w:t>view</w:t>
      </w:r>
      <w:r>
        <w:rPr>
          <w:spacing w:val="-8"/>
        </w:rPr>
        <w:t> </w:t>
      </w:r>
      <w:r>
        <w:rPr/>
        <w:t>of</w:t>
      </w:r>
      <w:r>
        <w:rPr>
          <w:spacing w:val="-8"/>
        </w:rPr>
        <w:t> </w:t>
      </w:r>
      <w:r>
        <w:rPr/>
        <w:t>work</w:t>
      </w:r>
      <w:r>
        <w:rPr>
          <w:spacing w:val="-8"/>
        </w:rPr>
        <w:t> </w:t>
      </w:r>
      <w:r>
        <w:rPr/>
        <w:t>and</w:t>
      </w:r>
      <w:r>
        <w:rPr>
          <w:spacing w:val="-8"/>
        </w:rPr>
        <w:t> </w:t>
      </w:r>
      <w:r>
        <w:rPr/>
        <w:t>study being mutually exclusive options, it also increases the perceived risk of taking up vocational training. The</w:t>
      </w:r>
      <w:r>
        <w:rPr>
          <w:spacing w:val="27"/>
        </w:rPr>
        <w:t> </w:t>
      </w:r>
      <w:r>
        <w:rPr/>
        <w:t>system</w:t>
      </w:r>
      <w:r>
        <w:rPr>
          <w:spacing w:val="28"/>
        </w:rPr>
        <w:t> </w:t>
      </w:r>
      <w:r>
        <w:rPr/>
        <w:t>is</w:t>
      </w:r>
      <w:r>
        <w:rPr>
          <w:spacing w:val="28"/>
        </w:rPr>
        <w:t> </w:t>
      </w:r>
      <w:r>
        <w:rPr/>
        <w:t>also</w:t>
      </w:r>
      <w:r>
        <w:rPr>
          <w:spacing w:val="27"/>
        </w:rPr>
        <w:t> </w:t>
      </w:r>
      <w:r>
        <w:rPr/>
        <w:t>not</w:t>
      </w:r>
      <w:r>
        <w:rPr>
          <w:spacing w:val="28"/>
        </w:rPr>
        <w:t> </w:t>
      </w:r>
      <w:r>
        <w:rPr/>
        <w:t>responsive</w:t>
      </w:r>
      <w:r>
        <w:rPr>
          <w:spacing w:val="28"/>
        </w:rPr>
        <w:t> </w:t>
      </w:r>
      <w:r>
        <w:rPr/>
        <w:t>to</w:t>
      </w:r>
      <w:r>
        <w:rPr>
          <w:spacing w:val="28"/>
        </w:rPr>
        <w:t> </w:t>
      </w:r>
      <w:r>
        <w:rPr/>
        <w:t>labour</w:t>
      </w:r>
      <w:r>
        <w:rPr>
          <w:spacing w:val="27"/>
        </w:rPr>
        <w:t> </w:t>
      </w:r>
      <w:r>
        <w:rPr>
          <w:spacing w:val="-2"/>
        </w:rPr>
        <w:t>market</w:t>
      </w:r>
    </w:p>
    <w:p>
      <w:pPr>
        <w:pStyle w:val="BodyText"/>
        <w:spacing w:line="266" w:lineRule="auto" w:before="82"/>
        <w:ind w:left="319" w:right="1077"/>
        <w:jc w:val="both"/>
      </w:pPr>
      <w:r>
        <w:rPr/>
        <w:br w:type="column"/>
      </w:r>
      <w:r>
        <w:rPr/>
        <w:t>demand conditions. The inflexibilities in the </w:t>
      </w:r>
      <w:r>
        <w:rPr/>
        <w:t>course/ curriculum</w:t>
      </w:r>
      <w:r>
        <w:rPr>
          <w:spacing w:val="-2"/>
        </w:rPr>
        <w:t> </w:t>
      </w:r>
      <w:r>
        <w:rPr/>
        <w:t>set-up,</w:t>
      </w:r>
      <w:r>
        <w:rPr>
          <w:spacing w:val="-2"/>
        </w:rPr>
        <w:t> </w:t>
      </w:r>
      <w:r>
        <w:rPr/>
        <w:t>lead</w:t>
      </w:r>
      <w:r>
        <w:rPr>
          <w:spacing w:val="-2"/>
        </w:rPr>
        <w:t> </w:t>
      </w:r>
      <w:r>
        <w:rPr/>
        <w:t>to</w:t>
      </w:r>
      <w:r>
        <w:rPr>
          <w:spacing w:val="-2"/>
        </w:rPr>
        <w:t> </w:t>
      </w:r>
      <w:r>
        <w:rPr/>
        <w:t>over</w:t>
      </w:r>
      <w:r>
        <w:rPr>
          <w:spacing w:val="-2"/>
        </w:rPr>
        <w:t> </w:t>
      </w:r>
      <w:r>
        <w:rPr/>
        <w:t>supply</w:t>
      </w:r>
      <w:r>
        <w:rPr>
          <w:spacing w:val="-2"/>
        </w:rPr>
        <w:t> </w:t>
      </w:r>
      <w:r>
        <w:rPr/>
        <w:t>in</w:t>
      </w:r>
      <w:r>
        <w:rPr>
          <w:spacing w:val="-2"/>
        </w:rPr>
        <w:t> </w:t>
      </w:r>
      <w:r>
        <w:rPr/>
        <w:t>some</w:t>
      </w:r>
      <w:r>
        <w:rPr>
          <w:spacing w:val="-2"/>
        </w:rPr>
        <w:t> </w:t>
      </w:r>
      <w:r>
        <w:rPr/>
        <w:t>trades and</w:t>
      </w:r>
      <w:r>
        <w:rPr>
          <w:spacing w:val="-16"/>
        </w:rPr>
        <w:t> </w:t>
      </w:r>
      <w:r>
        <w:rPr/>
        <w:t>shortages</w:t>
      </w:r>
      <w:r>
        <w:rPr>
          <w:spacing w:val="-14"/>
        </w:rPr>
        <w:t> </w:t>
      </w:r>
      <w:r>
        <w:rPr/>
        <w:t>in</w:t>
      </w:r>
      <w:r>
        <w:rPr>
          <w:spacing w:val="-14"/>
        </w:rPr>
        <w:t> </w:t>
      </w:r>
      <w:r>
        <w:rPr/>
        <w:t>others.</w:t>
      </w:r>
      <w:r>
        <w:rPr>
          <w:spacing w:val="-13"/>
        </w:rPr>
        <w:t> </w:t>
      </w:r>
      <w:r>
        <w:rPr/>
        <w:t>Moreover,</w:t>
      </w:r>
      <w:r>
        <w:rPr>
          <w:spacing w:val="-14"/>
        </w:rPr>
        <w:t> </w:t>
      </w:r>
      <w:r>
        <w:rPr/>
        <w:t>there</w:t>
      </w:r>
      <w:r>
        <w:rPr>
          <w:spacing w:val="-14"/>
        </w:rPr>
        <w:t> </w:t>
      </w:r>
      <w:r>
        <w:rPr/>
        <w:t>is</w:t>
      </w:r>
      <w:r>
        <w:rPr>
          <w:spacing w:val="-14"/>
        </w:rPr>
        <w:t> </w:t>
      </w:r>
      <w:r>
        <w:rPr/>
        <w:t>not</w:t>
      </w:r>
      <w:r>
        <w:rPr>
          <w:spacing w:val="-13"/>
        </w:rPr>
        <w:t> </w:t>
      </w:r>
      <w:r>
        <w:rPr/>
        <w:t>enough emphasis on short training course designed to impart specific</w:t>
      </w:r>
      <w:r>
        <w:rPr>
          <w:spacing w:val="40"/>
        </w:rPr>
        <w:t> </w:t>
      </w:r>
      <w:r>
        <w:rPr/>
        <w:t>skills.</w:t>
      </w:r>
      <w:r>
        <w:rPr>
          <w:spacing w:val="40"/>
        </w:rPr>
        <w:t> </w:t>
      </w:r>
      <w:r>
        <w:rPr/>
        <w:t>Vocational</w:t>
      </w:r>
      <w:r>
        <w:rPr>
          <w:spacing w:val="40"/>
        </w:rPr>
        <w:t> </w:t>
      </w:r>
      <w:r>
        <w:rPr/>
        <w:t>education</w:t>
      </w:r>
      <w:r>
        <w:rPr>
          <w:spacing w:val="40"/>
        </w:rPr>
        <w:t> </w:t>
      </w:r>
      <w:r>
        <w:rPr/>
        <w:t>and</w:t>
      </w:r>
      <w:r>
        <w:rPr>
          <w:spacing w:val="40"/>
        </w:rPr>
        <w:t> </w:t>
      </w:r>
      <w:r>
        <w:rPr/>
        <w:t>training</w:t>
      </w:r>
      <w:r>
        <w:rPr>
          <w:spacing w:val="40"/>
        </w:rPr>
        <w:t> </w:t>
      </w:r>
      <w:r>
        <w:rPr/>
        <w:t>in India relies exclusively on a few training courses with</w:t>
      </w:r>
      <w:r>
        <w:rPr>
          <w:spacing w:val="-9"/>
        </w:rPr>
        <w:t> </w:t>
      </w:r>
      <w:r>
        <w:rPr/>
        <w:t>long</w:t>
      </w:r>
      <w:r>
        <w:rPr>
          <w:spacing w:val="-7"/>
        </w:rPr>
        <w:t> </w:t>
      </w:r>
      <w:r>
        <w:rPr/>
        <w:t>duration</w:t>
      </w:r>
      <w:r>
        <w:rPr>
          <w:spacing w:val="-7"/>
        </w:rPr>
        <w:t> </w:t>
      </w:r>
      <w:r>
        <w:rPr/>
        <w:t>(2</w:t>
      </w:r>
      <w:r>
        <w:rPr>
          <w:spacing w:val="-7"/>
        </w:rPr>
        <w:t> </w:t>
      </w:r>
      <w:r>
        <w:rPr/>
        <w:t>to</w:t>
      </w:r>
      <w:r>
        <w:rPr>
          <w:spacing w:val="-7"/>
        </w:rPr>
        <w:t> </w:t>
      </w:r>
      <w:r>
        <w:rPr/>
        <w:t>3</w:t>
      </w:r>
      <w:r>
        <w:rPr>
          <w:spacing w:val="-7"/>
        </w:rPr>
        <w:t> </w:t>
      </w:r>
      <w:r>
        <w:rPr/>
        <w:t>years)</w:t>
      </w:r>
      <w:r>
        <w:rPr>
          <w:spacing w:val="-7"/>
        </w:rPr>
        <w:t> </w:t>
      </w:r>
      <w:r>
        <w:rPr/>
        <w:t>covering</w:t>
      </w:r>
      <w:r>
        <w:rPr>
          <w:spacing w:val="-7"/>
        </w:rPr>
        <w:t> </w:t>
      </w:r>
      <w:r>
        <w:rPr/>
        <w:t>around</w:t>
      </w:r>
      <w:r>
        <w:rPr>
          <w:spacing w:val="-7"/>
        </w:rPr>
        <w:t> </w:t>
      </w:r>
      <w:r>
        <w:rPr/>
        <w:t>100 skills. In China, on the other hand, there exist about </w:t>
      </w:r>
      <w:r>
        <w:rPr>
          <w:w w:val="90"/>
        </w:rPr>
        <w:t>4000 short duration modular courses which provide skills </w:t>
      </w:r>
      <w:r>
        <w:rPr/>
        <w:t>more</w:t>
      </w:r>
      <w:r>
        <w:rPr>
          <w:spacing w:val="-4"/>
        </w:rPr>
        <w:t> </w:t>
      </w:r>
      <w:r>
        <w:rPr/>
        <w:t>closely</w:t>
      </w:r>
      <w:r>
        <w:rPr>
          <w:spacing w:val="-4"/>
        </w:rPr>
        <w:t> </w:t>
      </w:r>
      <w:r>
        <w:rPr/>
        <w:t>tailored</w:t>
      </w:r>
      <w:r>
        <w:rPr>
          <w:spacing w:val="-4"/>
        </w:rPr>
        <w:t> </w:t>
      </w:r>
      <w:r>
        <w:rPr/>
        <w:t>to</w:t>
      </w:r>
      <w:r>
        <w:rPr>
          <w:spacing w:val="-4"/>
        </w:rPr>
        <w:t> </w:t>
      </w:r>
      <w:r>
        <w:rPr/>
        <w:t>employment</w:t>
      </w:r>
      <w:r>
        <w:rPr>
          <w:spacing w:val="-4"/>
        </w:rPr>
        <w:t> </w:t>
      </w:r>
      <w:r>
        <w:rPr/>
        <w:t>requirements.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ListParagraph"/>
        <w:numPr>
          <w:ilvl w:val="1"/>
          <w:numId w:val="70"/>
        </w:numPr>
        <w:tabs>
          <w:tab w:pos="1298" w:val="left" w:leader="none"/>
        </w:tabs>
        <w:spacing w:line="266" w:lineRule="auto" w:before="57" w:after="0"/>
        <w:ind w:left="1080" w:right="0" w:firstLine="0"/>
        <w:jc w:val="both"/>
        <w:rPr>
          <w:sz w:val="22"/>
        </w:rPr>
      </w:pPr>
      <w:r>
        <w:rPr>
          <w:b/>
          <w:spacing w:val="-4"/>
          <w:sz w:val="22"/>
        </w:rPr>
        <w:t>Impact:</w:t>
      </w:r>
      <w:r>
        <w:rPr>
          <w:b/>
          <w:spacing w:val="-7"/>
          <w:sz w:val="22"/>
        </w:rPr>
        <w:t> </w:t>
      </w:r>
      <w:r>
        <w:rPr>
          <w:spacing w:val="-4"/>
          <w:sz w:val="22"/>
        </w:rPr>
        <w:t>Of</w:t>
      </w:r>
      <w:r>
        <w:rPr>
          <w:spacing w:val="-8"/>
          <w:sz w:val="22"/>
        </w:rPr>
        <w:t> </w:t>
      </w:r>
      <w:r>
        <w:rPr>
          <w:spacing w:val="-4"/>
          <w:sz w:val="22"/>
        </w:rPr>
        <w:t>the</w:t>
      </w:r>
      <w:r>
        <w:rPr>
          <w:spacing w:val="-8"/>
          <w:sz w:val="22"/>
        </w:rPr>
        <w:t> </w:t>
      </w:r>
      <w:r>
        <w:rPr>
          <w:spacing w:val="-4"/>
          <w:sz w:val="22"/>
        </w:rPr>
        <w:t>trained</w:t>
      </w:r>
      <w:r>
        <w:rPr>
          <w:spacing w:val="-8"/>
          <w:sz w:val="22"/>
        </w:rPr>
        <w:t> </w:t>
      </w:r>
      <w:r>
        <w:rPr>
          <w:spacing w:val="-4"/>
          <w:sz w:val="22"/>
        </w:rPr>
        <w:t>candidates,</w:t>
      </w:r>
      <w:r>
        <w:rPr>
          <w:spacing w:val="-8"/>
          <w:sz w:val="22"/>
        </w:rPr>
        <w:t> </w:t>
      </w:r>
      <w:r>
        <w:rPr>
          <w:spacing w:val="-4"/>
          <w:sz w:val="22"/>
        </w:rPr>
        <w:t>the</w:t>
      </w:r>
      <w:r>
        <w:rPr>
          <w:spacing w:val="-8"/>
          <w:sz w:val="22"/>
        </w:rPr>
        <w:t> </w:t>
      </w:r>
      <w:r>
        <w:rPr>
          <w:spacing w:val="-4"/>
          <w:sz w:val="22"/>
        </w:rPr>
        <w:t>labour</w:t>
      </w:r>
      <w:r>
        <w:rPr>
          <w:spacing w:val="-8"/>
          <w:sz w:val="22"/>
        </w:rPr>
        <w:t> </w:t>
      </w:r>
      <w:r>
        <w:rPr>
          <w:spacing w:val="-4"/>
          <w:sz w:val="22"/>
        </w:rPr>
        <w:t>market </w:t>
      </w:r>
      <w:r>
        <w:rPr>
          <w:sz w:val="22"/>
        </w:rPr>
        <w:t>outcomes as seen from placement/ absorption rates </w:t>
      </w:r>
      <w:r>
        <w:rPr>
          <w:spacing w:val="-2"/>
          <w:sz w:val="22"/>
        </w:rPr>
        <w:t>are</w:t>
      </w:r>
      <w:r>
        <w:rPr>
          <w:spacing w:val="-12"/>
          <w:sz w:val="22"/>
        </w:rPr>
        <w:t> </w:t>
      </w:r>
      <w:r>
        <w:rPr>
          <w:spacing w:val="-2"/>
          <w:sz w:val="22"/>
        </w:rPr>
        <w:t>reportedly</w:t>
      </w:r>
      <w:r>
        <w:rPr>
          <w:spacing w:val="-12"/>
          <w:sz w:val="22"/>
        </w:rPr>
        <w:t> </w:t>
      </w:r>
      <w:r>
        <w:rPr>
          <w:spacing w:val="-2"/>
          <w:sz w:val="22"/>
        </w:rPr>
        <w:t>very</w:t>
      </w:r>
      <w:r>
        <w:rPr>
          <w:spacing w:val="-12"/>
          <w:sz w:val="22"/>
        </w:rPr>
        <w:t> </w:t>
      </w:r>
      <w:r>
        <w:rPr>
          <w:spacing w:val="-2"/>
          <w:sz w:val="22"/>
        </w:rPr>
        <w:t>low.</w:t>
      </w:r>
      <w:r>
        <w:rPr>
          <w:spacing w:val="-11"/>
          <w:sz w:val="22"/>
        </w:rPr>
        <w:t> </w:t>
      </w:r>
      <w:r>
        <w:rPr>
          <w:spacing w:val="-2"/>
          <w:sz w:val="22"/>
        </w:rPr>
        <w:t>Although</w:t>
      </w:r>
      <w:r>
        <w:rPr>
          <w:spacing w:val="-12"/>
          <w:sz w:val="22"/>
        </w:rPr>
        <w:t> </w:t>
      </w:r>
      <w:r>
        <w:rPr>
          <w:spacing w:val="-2"/>
          <w:sz w:val="22"/>
        </w:rPr>
        <w:t>countrywide</w:t>
      </w:r>
      <w:r>
        <w:rPr>
          <w:spacing w:val="-12"/>
          <w:sz w:val="22"/>
        </w:rPr>
        <w:t> </w:t>
      </w:r>
      <w:r>
        <w:rPr>
          <w:spacing w:val="-2"/>
          <w:sz w:val="22"/>
        </w:rPr>
        <w:t>figures </w:t>
      </w:r>
      <w:r>
        <w:rPr>
          <w:sz w:val="22"/>
        </w:rPr>
        <w:t>on the labour market success of ITI/ITC graduates are difficult to come by, an ILO study reports that in the</w:t>
      </w:r>
      <w:r>
        <w:rPr>
          <w:spacing w:val="-14"/>
          <w:sz w:val="22"/>
        </w:rPr>
        <w:t> </w:t>
      </w:r>
      <w:r>
        <w:rPr>
          <w:sz w:val="22"/>
        </w:rPr>
        <w:t>states</w:t>
      </w:r>
      <w:r>
        <w:rPr>
          <w:spacing w:val="-14"/>
          <w:sz w:val="22"/>
        </w:rPr>
        <w:t> </w:t>
      </w:r>
      <w:r>
        <w:rPr>
          <w:sz w:val="22"/>
        </w:rPr>
        <w:t>of</w:t>
      </w:r>
      <w:r>
        <w:rPr>
          <w:spacing w:val="-14"/>
          <w:sz w:val="22"/>
        </w:rPr>
        <w:t> </w:t>
      </w:r>
      <w:r>
        <w:rPr>
          <w:sz w:val="22"/>
        </w:rPr>
        <w:t>Orissa,</w:t>
      </w:r>
      <w:r>
        <w:rPr>
          <w:spacing w:val="-13"/>
          <w:sz w:val="22"/>
        </w:rPr>
        <w:t> </w:t>
      </w:r>
      <w:r>
        <w:rPr>
          <w:sz w:val="22"/>
        </w:rPr>
        <w:t>Andhra</w:t>
      </w:r>
      <w:r>
        <w:rPr>
          <w:spacing w:val="-14"/>
          <w:sz w:val="22"/>
        </w:rPr>
        <w:t> </w:t>
      </w:r>
      <w:r>
        <w:rPr>
          <w:sz w:val="22"/>
        </w:rPr>
        <w:t>Pradesh</w:t>
      </w:r>
      <w:r>
        <w:rPr>
          <w:spacing w:val="-14"/>
          <w:sz w:val="22"/>
        </w:rPr>
        <w:t> </w:t>
      </w:r>
      <w:r>
        <w:rPr>
          <w:sz w:val="22"/>
        </w:rPr>
        <w:t>and</w:t>
      </w:r>
      <w:r>
        <w:rPr>
          <w:spacing w:val="-14"/>
          <w:sz w:val="22"/>
        </w:rPr>
        <w:t> </w:t>
      </w:r>
      <w:r>
        <w:rPr>
          <w:sz w:val="22"/>
        </w:rPr>
        <w:t>Maharashtra, the percentages of graduates found to be in wage employment/self-employment upon graduation from ITIs were 16.2 per cent, 41 per cent and 35 per cent respectively.</w:t>
      </w:r>
      <w:r>
        <w:rPr>
          <w:spacing w:val="-14"/>
          <w:sz w:val="22"/>
        </w:rPr>
        <w:t> </w:t>
      </w:r>
      <w:r>
        <w:rPr>
          <w:sz w:val="22"/>
        </w:rPr>
        <w:t>The</w:t>
      </w:r>
      <w:r>
        <w:rPr>
          <w:spacing w:val="-14"/>
          <w:sz w:val="22"/>
        </w:rPr>
        <w:t> </w:t>
      </w:r>
      <w:r>
        <w:rPr>
          <w:sz w:val="22"/>
        </w:rPr>
        <w:t>corresponding</w:t>
      </w:r>
      <w:r>
        <w:rPr>
          <w:spacing w:val="-14"/>
          <w:sz w:val="22"/>
        </w:rPr>
        <w:t> </w:t>
      </w:r>
      <w:r>
        <w:rPr>
          <w:sz w:val="22"/>
        </w:rPr>
        <w:t>percentages</w:t>
      </w:r>
      <w:r>
        <w:rPr>
          <w:spacing w:val="-13"/>
          <w:sz w:val="22"/>
        </w:rPr>
        <w:t> </w:t>
      </w:r>
      <w:r>
        <w:rPr>
          <w:sz w:val="22"/>
        </w:rPr>
        <w:t>for</w:t>
      </w:r>
      <w:r>
        <w:rPr>
          <w:spacing w:val="-14"/>
          <w:sz w:val="22"/>
        </w:rPr>
        <w:t> </w:t>
      </w:r>
      <w:r>
        <w:rPr>
          <w:sz w:val="22"/>
        </w:rPr>
        <w:t>those </w:t>
      </w:r>
      <w:r>
        <w:rPr>
          <w:spacing w:val="-2"/>
          <w:sz w:val="22"/>
        </w:rPr>
        <w:t>graduating</w:t>
      </w:r>
      <w:r>
        <w:rPr>
          <w:spacing w:val="-12"/>
          <w:sz w:val="22"/>
        </w:rPr>
        <w:t> </w:t>
      </w:r>
      <w:r>
        <w:rPr>
          <w:spacing w:val="-2"/>
          <w:sz w:val="22"/>
        </w:rPr>
        <w:t>from</w:t>
      </w:r>
      <w:r>
        <w:rPr>
          <w:spacing w:val="-12"/>
          <w:sz w:val="22"/>
        </w:rPr>
        <w:t> </w:t>
      </w:r>
      <w:r>
        <w:rPr>
          <w:spacing w:val="-2"/>
          <w:sz w:val="22"/>
        </w:rPr>
        <w:t>ITCs</w:t>
      </w:r>
      <w:r>
        <w:rPr>
          <w:spacing w:val="-12"/>
          <w:sz w:val="22"/>
        </w:rPr>
        <w:t> </w:t>
      </w:r>
      <w:r>
        <w:rPr>
          <w:spacing w:val="-2"/>
          <w:sz w:val="22"/>
        </w:rPr>
        <w:t>were</w:t>
      </w:r>
      <w:r>
        <w:rPr>
          <w:spacing w:val="-11"/>
          <w:sz w:val="22"/>
        </w:rPr>
        <w:t> </w:t>
      </w:r>
      <w:r>
        <w:rPr>
          <w:spacing w:val="-2"/>
          <w:sz w:val="22"/>
        </w:rPr>
        <w:t>21.3</w:t>
      </w:r>
      <w:r>
        <w:rPr>
          <w:spacing w:val="-12"/>
          <w:sz w:val="22"/>
        </w:rPr>
        <w:t> </w:t>
      </w:r>
      <w:r>
        <w:rPr>
          <w:spacing w:val="-2"/>
          <w:sz w:val="22"/>
        </w:rPr>
        <w:t>per</w:t>
      </w:r>
      <w:r>
        <w:rPr>
          <w:spacing w:val="-12"/>
          <w:sz w:val="22"/>
        </w:rPr>
        <w:t> </w:t>
      </w:r>
      <w:r>
        <w:rPr>
          <w:spacing w:val="-2"/>
          <w:sz w:val="22"/>
        </w:rPr>
        <w:t>cent,</w:t>
      </w:r>
      <w:r>
        <w:rPr>
          <w:spacing w:val="-12"/>
          <w:sz w:val="22"/>
        </w:rPr>
        <w:t> </w:t>
      </w:r>
      <w:r>
        <w:rPr>
          <w:spacing w:val="-2"/>
          <w:sz w:val="22"/>
        </w:rPr>
        <w:t>22.8</w:t>
      </w:r>
      <w:r>
        <w:rPr>
          <w:spacing w:val="-11"/>
          <w:sz w:val="22"/>
        </w:rPr>
        <w:t> </w:t>
      </w:r>
      <w:r>
        <w:rPr>
          <w:spacing w:val="-2"/>
          <w:sz w:val="22"/>
        </w:rPr>
        <w:t>per</w:t>
      </w:r>
      <w:r>
        <w:rPr>
          <w:spacing w:val="-12"/>
          <w:sz w:val="22"/>
        </w:rPr>
        <w:t> </w:t>
      </w:r>
      <w:r>
        <w:rPr>
          <w:spacing w:val="-2"/>
          <w:sz w:val="22"/>
        </w:rPr>
        <w:t>cent </w:t>
      </w:r>
      <w:r>
        <w:rPr>
          <w:sz w:val="22"/>
        </w:rPr>
        <w:t>and 35.6 per cent respectively</w:t>
      </w:r>
    </w:p>
    <w:p>
      <w:pPr>
        <w:pStyle w:val="BodyText"/>
        <w:spacing w:before="18"/>
      </w:pPr>
    </w:p>
    <w:p>
      <w:pPr>
        <w:pStyle w:val="ListParagraph"/>
        <w:numPr>
          <w:ilvl w:val="1"/>
          <w:numId w:val="70"/>
        </w:numPr>
        <w:tabs>
          <w:tab w:pos="1315" w:val="left" w:leader="none"/>
        </w:tabs>
        <w:spacing w:line="266" w:lineRule="auto" w:before="0" w:after="0"/>
        <w:ind w:left="1080" w:right="0" w:firstLine="0"/>
        <w:jc w:val="both"/>
        <w:rPr>
          <w:sz w:val="22"/>
        </w:rPr>
      </w:pPr>
      <w:r>
        <w:rPr>
          <w:b/>
          <w:spacing w:val="-4"/>
          <w:sz w:val="22"/>
        </w:rPr>
        <w:t>Industry</w:t>
      </w:r>
      <w:r>
        <w:rPr>
          <w:b/>
          <w:spacing w:val="-10"/>
          <w:sz w:val="22"/>
        </w:rPr>
        <w:t> </w:t>
      </w:r>
      <w:r>
        <w:rPr>
          <w:b/>
          <w:spacing w:val="-4"/>
          <w:sz w:val="22"/>
        </w:rPr>
        <w:t>linkages:</w:t>
      </w:r>
      <w:r>
        <w:rPr>
          <w:b/>
          <w:spacing w:val="-10"/>
          <w:sz w:val="22"/>
        </w:rPr>
        <w:t> </w:t>
      </w:r>
      <w:r>
        <w:rPr>
          <w:spacing w:val="-4"/>
          <w:sz w:val="22"/>
        </w:rPr>
        <w:t>Although</w:t>
      </w:r>
      <w:r>
        <w:rPr>
          <w:spacing w:val="-10"/>
          <w:sz w:val="22"/>
        </w:rPr>
        <w:t> </w:t>
      </w:r>
      <w:r>
        <w:rPr>
          <w:spacing w:val="-4"/>
          <w:sz w:val="22"/>
        </w:rPr>
        <w:t>provisions</w:t>
      </w:r>
      <w:r>
        <w:rPr>
          <w:spacing w:val="-9"/>
          <w:sz w:val="22"/>
        </w:rPr>
        <w:t> </w:t>
      </w:r>
      <w:r>
        <w:rPr>
          <w:spacing w:val="-4"/>
          <w:sz w:val="22"/>
        </w:rPr>
        <w:t>exist</w:t>
      </w:r>
      <w:r>
        <w:rPr>
          <w:spacing w:val="-10"/>
          <w:sz w:val="22"/>
        </w:rPr>
        <w:t> </w:t>
      </w:r>
      <w:r>
        <w:rPr>
          <w:spacing w:val="-4"/>
          <w:sz w:val="22"/>
        </w:rPr>
        <w:t>for</w:t>
      </w:r>
      <w:r>
        <w:rPr>
          <w:spacing w:val="-10"/>
          <w:sz w:val="22"/>
        </w:rPr>
        <w:t> </w:t>
      </w:r>
      <w:r>
        <w:rPr>
          <w:spacing w:val="-4"/>
          <w:sz w:val="22"/>
        </w:rPr>
        <w:t>the </w:t>
      </w:r>
      <w:r>
        <w:rPr>
          <w:sz w:val="22"/>
        </w:rPr>
        <w:t>participation</w:t>
      </w:r>
      <w:r>
        <w:rPr>
          <w:spacing w:val="-14"/>
          <w:sz w:val="22"/>
        </w:rPr>
        <w:t> </w:t>
      </w:r>
      <w:r>
        <w:rPr>
          <w:sz w:val="22"/>
        </w:rPr>
        <w:t>of</w:t>
      </w:r>
      <w:r>
        <w:rPr>
          <w:spacing w:val="-14"/>
          <w:sz w:val="22"/>
        </w:rPr>
        <w:t> </w:t>
      </w:r>
      <w:r>
        <w:rPr>
          <w:sz w:val="22"/>
        </w:rPr>
        <w:t>industry</w:t>
      </w:r>
      <w:r>
        <w:rPr>
          <w:spacing w:val="-14"/>
          <w:sz w:val="22"/>
        </w:rPr>
        <w:t> </w:t>
      </w:r>
      <w:r>
        <w:rPr>
          <w:sz w:val="22"/>
        </w:rPr>
        <w:t>representatives/experts</w:t>
      </w:r>
      <w:r>
        <w:rPr>
          <w:spacing w:val="-13"/>
          <w:sz w:val="22"/>
        </w:rPr>
        <w:t> </w:t>
      </w:r>
      <w:r>
        <w:rPr>
          <w:sz w:val="22"/>
        </w:rPr>
        <w:t>in</w:t>
      </w:r>
      <w:r>
        <w:rPr>
          <w:spacing w:val="-14"/>
          <w:sz w:val="22"/>
        </w:rPr>
        <w:t> </w:t>
      </w:r>
      <w:r>
        <w:rPr>
          <w:sz w:val="22"/>
        </w:rPr>
        <w:t>the </w:t>
      </w:r>
      <w:r>
        <w:rPr>
          <w:spacing w:val="-6"/>
          <w:sz w:val="22"/>
        </w:rPr>
        <w:t>setting of curriculum and hiring of apprentices, there is a </w:t>
      </w:r>
      <w:r>
        <w:rPr>
          <w:w w:val="90"/>
          <w:sz w:val="22"/>
        </w:rPr>
        <w:t>significant mismatch between industry skill requirements </w:t>
      </w:r>
      <w:r>
        <w:rPr>
          <w:sz w:val="22"/>
        </w:rPr>
        <w:t>and the talent pool emerging from ITIs/ITCs.</w:t>
      </w:r>
      <w:r>
        <w:rPr>
          <w:spacing w:val="-4"/>
          <w:sz w:val="22"/>
        </w:rPr>
        <w:t> </w:t>
      </w:r>
      <w:r>
        <w:rPr>
          <w:sz w:val="22"/>
        </w:rPr>
        <w:t>This is one of the factors contributing to low success in the labour market for VET graduates.</w:t>
      </w:r>
      <w:r>
        <w:rPr>
          <w:spacing w:val="-1"/>
          <w:sz w:val="22"/>
        </w:rPr>
        <w:t> </w:t>
      </w:r>
      <w:r>
        <w:rPr>
          <w:sz w:val="22"/>
        </w:rPr>
        <w:t>The private sector does undertake in-house training programs and to a </w:t>
      </w:r>
      <w:r>
        <w:rPr>
          <w:spacing w:val="-6"/>
          <w:sz w:val="22"/>
        </w:rPr>
        <w:t>very</w:t>
      </w:r>
      <w:r>
        <w:rPr>
          <w:spacing w:val="-8"/>
          <w:sz w:val="22"/>
        </w:rPr>
        <w:t> </w:t>
      </w:r>
      <w:r>
        <w:rPr>
          <w:spacing w:val="-6"/>
          <w:sz w:val="22"/>
        </w:rPr>
        <w:t>limited</w:t>
      </w:r>
      <w:r>
        <w:rPr>
          <w:spacing w:val="-8"/>
          <w:sz w:val="22"/>
        </w:rPr>
        <w:t> </w:t>
      </w:r>
      <w:r>
        <w:rPr>
          <w:spacing w:val="-6"/>
          <w:sz w:val="22"/>
        </w:rPr>
        <w:t>extent</w:t>
      </w:r>
      <w:r>
        <w:rPr>
          <w:spacing w:val="-8"/>
          <w:sz w:val="22"/>
        </w:rPr>
        <w:t> </w:t>
      </w:r>
      <w:r>
        <w:rPr>
          <w:spacing w:val="-6"/>
          <w:sz w:val="22"/>
        </w:rPr>
        <w:t>also</w:t>
      </w:r>
      <w:r>
        <w:rPr>
          <w:spacing w:val="-7"/>
          <w:sz w:val="22"/>
        </w:rPr>
        <w:t> </w:t>
      </w:r>
      <w:r>
        <w:rPr>
          <w:spacing w:val="-6"/>
          <w:sz w:val="22"/>
        </w:rPr>
        <w:t>trains</w:t>
      </w:r>
      <w:r>
        <w:rPr>
          <w:spacing w:val="-8"/>
          <w:sz w:val="22"/>
        </w:rPr>
        <w:t> </w:t>
      </w:r>
      <w:r>
        <w:rPr>
          <w:spacing w:val="-6"/>
          <w:sz w:val="22"/>
        </w:rPr>
        <w:t>‘outsiders’.</w:t>
      </w:r>
      <w:r>
        <w:rPr>
          <w:spacing w:val="-8"/>
          <w:sz w:val="22"/>
        </w:rPr>
        <w:t> </w:t>
      </w:r>
      <w:r>
        <w:rPr>
          <w:spacing w:val="-6"/>
          <w:sz w:val="22"/>
        </w:rPr>
        <w:t>However,</w:t>
      </w:r>
      <w:r>
        <w:rPr>
          <w:spacing w:val="-8"/>
          <w:sz w:val="22"/>
        </w:rPr>
        <w:t> </w:t>
      </w:r>
      <w:r>
        <w:rPr>
          <w:spacing w:val="-6"/>
          <w:sz w:val="22"/>
        </w:rPr>
        <w:t>such </w:t>
      </w:r>
      <w:r>
        <w:rPr>
          <w:spacing w:val="-4"/>
          <w:sz w:val="22"/>
        </w:rPr>
        <w:t>programs</w:t>
      </w:r>
      <w:r>
        <w:rPr>
          <w:spacing w:val="-6"/>
          <w:sz w:val="22"/>
        </w:rPr>
        <w:t> </w:t>
      </w:r>
      <w:r>
        <w:rPr>
          <w:spacing w:val="-4"/>
          <w:sz w:val="22"/>
        </w:rPr>
        <w:t>are</w:t>
      </w:r>
      <w:r>
        <w:rPr>
          <w:spacing w:val="-6"/>
          <w:sz w:val="22"/>
        </w:rPr>
        <w:t> </w:t>
      </w:r>
      <w:r>
        <w:rPr>
          <w:spacing w:val="-4"/>
          <w:sz w:val="22"/>
        </w:rPr>
        <w:t>limited</w:t>
      </w:r>
      <w:r>
        <w:rPr>
          <w:spacing w:val="-6"/>
          <w:sz w:val="22"/>
        </w:rPr>
        <w:t> </w:t>
      </w:r>
      <w:r>
        <w:rPr>
          <w:spacing w:val="-4"/>
          <w:sz w:val="22"/>
        </w:rPr>
        <w:t>to</w:t>
      </w:r>
      <w:r>
        <w:rPr>
          <w:spacing w:val="-6"/>
          <w:sz w:val="22"/>
        </w:rPr>
        <w:t> </w:t>
      </w:r>
      <w:r>
        <w:rPr>
          <w:spacing w:val="-4"/>
          <w:sz w:val="22"/>
        </w:rPr>
        <w:t>catering</w:t>
      </w:r>
      <w:r>
        <w:rPr>
          <w:spacing w:val="-6"/>
          <w:sz w:val="22"/>
        </w:rPr>
        <w:t> </w:t>
      </w:r>
      <w:r>
        <w:rPr>
          <w:spacing w:val="-4"/>
          <w:sz w:val="22"/>
        </w:rPr>
        <w:t>to</w:t>
      </w:r>
      <w:r>
        <w:rPr>
          <w:spacing w:val="-6"/>
          <w:sz w:val="22"/>
        </w:rPr>
        <w:t> </w:t>
      </w:r>
      <w:r>
        <w:rPr>
          <w:spacing w:val="-4"/>
          <w:sz w:val="22"/>
        </w:rPr>
        <w:t>their</w:t>
      </w:r>
      <w:r>
        <w:rPr>
          <w:spacing w:val="-6"/>
          <w:sz w:val="22"/>
        </w:rPr>
        <w:t> </w:t>
      </w:r>
      <w:r>
        <w:rPr>
          <w:spacing w:val="-4"/>
          <w:sz w:val="22"/>
        </w:rPr>
        <w:t>own</w:t>
      </w:r>
      <w:r>
        <w:rPr>
          <w:spacing w:val="-6"/>
          <w:sz w:val="22"/>
        </w:rPr>
        <w:t> </w:t>
      </w:r>
      <w:r>
        <w:rPr>
          <w:spacing w:val="-4"/>
          <w:sz w:val="22"/>
        </w:rPr>
        <w:t>felt</w:t>
      </w:r>
      <w:r>
        <w:rPr>
          <w:spacing w:val="-6"/>
          <w:sz w:val="22"/>
        </w:rPr>
        <w:t> </w:t>
      </w:r>
      <w:r>
        <w:rPr>
          <w:spacing w:val="-4"/>
          <w:sz w:val="22"/>
        </w:rPr>
        <w:t>needs,</w:t>
      </w:r>
    </w:p>
    <w:p>
      <w:pPr>
        <w:pStyle w:val="BodyText"/>
        <w:spacing w:line="266" w:lineRule="auto" w:before="57"/>
        <w:ind w:left="305" w:right="1077"/>
        <w:jc w:val="both"/>
      </w:pPr>
      <w:r>
        <w:rPr/>
        <w:br w:type="column"/>
      </w:r>
      <w:r>
        <w:rPr>
          <w:spacing w:val="-2"/>
        </w:rPr>
        <w:t>in</w:t>
      </w:r>
      <w:r>
        <w:rPr>
          <w:spacing w:val="-7"/>
        </w:rPr>
        <w:t> </w:t>
      </w:r>
      <w:r>
        <w:rPr>
          <w:spacing w:val="-2"/>
        </w:rPr>
        <w:t>the</w:t>
      </w:r>
      <w:r>
        <w:rPr>
          <w:spacing w:val="-7"/>
        </w:rPr>
        <w:t> </w:t>
      </w:r>
      <w:r>
        <w:rPr>
          <w:spacing w:val="-2"/>
        </w:rPr>
        <w:t>nature</w:t>
      </w:r>
      <w:r>
        <w:rPr>
          <w:spacing w:val="-7"/>
        </w:rPr>
        <w:t> </w:t>
      </w:r>
      <w:r>
        <w:rPr>
          <w:spacing w:val="-2"/>
        </w:rPr>
        <w:t>of</w:t>
      </w:r>
      <w:r>
        <w:rPr>
          <w:spacing w:val="-7"/>
        </w:rPr>
        <w:t> </w:t>
      </w:r>
      <w:r>
        <w:rPr>
          <w:spacing w:val="-2"/>
        </w:rPr>
        <w:t>captive</w:t>
      </w:r>
      <w:r>
        <w:rPr>
          <w:spacing w:val="-7"/>
        </w:rPr>
        <w:t> </w:t>
      </w:r>
      <w:r>
        <w:rPr>
          <w:spacing w:val="-2"/>
        </w:rPr>
        <w:t>skill</w:t>
      </w:r>
      <w:r>
        <w:rPr>
          <w:spacing w:val="-7"/>
        </w:rPr>
        <w:t> </w:t>
      </w:r>
      <w:r>
        <w:rPr>
          <w:spacing w:val="-2"/>
        </w:rPr>
        <w:t>development.</w:t>
      </w:r>
      <w:r>
        <w:rPr>
          <w:spacing w:val="-7"/>
        </w:rPr>
        <w:t> </w:t>
      </w:r>
      <w:r>
        <w:rPr>
          <w:spacing w:val="-2"/>
        </w:rPr>
        <w:t>Low</w:t>
      </w:r>
      <w:r>
        <w:rPr>
          <w:spacing w:val="-7"/>
        </w:rPr>
        <w:t> </w:t>
      </w:r>
      <w:r>
        <w:rPr>
          <w:spacing w:val="-2"/>
        </w:rPr>
        <w:t>paying </w:t>
      </w:r>
      <w:r>
        <w:rPr/>
        <w:t>capacity</w:t>
      </w:r>
      <w:r>
        <w:rPr>
          <w:spacing w:val="-10"/>
        </w:rPr>
        <w:t> </w:t>
      </w:r>
      <w:r>
        <w:rPr/>
        <w:t>of</w:t>
      </w:r>
      <w:r>
        <w:rPr>
          <w:spacing w:val="-10"/>
        </w:rPr>
        <w:t> </w:t>
      </w:r>
      <w:r>
        <w:rPr/>
        <w:t>learners</w:t>
      </w:r>
      <w:r>
        <w:rPr>
          <w:spacing w:val="-10"/>
        </w:rPr>
        <w:t> </w:t>
      </w:r>
      <w:r>
        <w:rPr/>
        <w:t>and</w:t>
      </w:r>
      <w:r>
        <w:rPr>
          <w:spacing w:val="-10"/>
        </w:rPr>
        <w:t> </w:t>
      </w:r>
      <w:r>
        <w:rPr/>
        <w:t>the</w:t>
      </w:r>
      <w:r>
        <w:rPr>
          <w:spacing w:val="-10"/>
        </w:rPr>
        <w:t> </w:t>
      </w:r>
      <w:r>
        <w:rPr/>
        <w:t>reluctance</w:t>
      </w:r>
      <w:r>
        <w:rPr>
          <w:spacing w:val="-10"/>
        </w:rPr>
        <w:t> </w:t>
      </w:r>
      <w:r>
        <w:rPr/>
        <w:t>of</w:t>
      </w:r>
      <w:r>
        <w:rPr>
          <w:spacing w:val="-10"/>
        </w:rPr>
        <w:t> </w:t>
      </w:r>
      <w:r>
        <w:rPr/>
        <w:t>industries</w:t>
      </w:r>
      <w:r>
        <w:rPr>
          <w:spacing w:val="-10"/>
        </w:rPr>
        <w:t> </w:t>
      </w:r>
      <w:r>
        <w:rPr/>
        <w:t>to </w:t>
      </w:r>
      <w:r>
        <w:rPr>
          <w:spacing w:val="-2"/>
        </w:rPr>
        <w:t>train</w:t>
      </w:r>
      <w:r>
        <w:rPr>
          <w:spacing w:val="-12"/>
        </w:rPr>
        <w:t> </w:t>
      </w:r>
      <w:r>
        <w:rPr>
          <w:spacing w:val="-2"/>
        </w:rPr>
        <w:t>workers</w:t>
      </w:r>
      <w:r>
        <w:rPr>
          <w:spacing w:val="-12"/>
        </w:rPr>
        <w:t> </w:t>
      </w:r>
      <w:r>
        <w:rPr>
          <w:spacing w:val="-2"/>
        </w:rPr>
        <w:t>for</w:t>
      </w:r>
      <w:r>
        <w:rPr>
          <w:spacing w:val="-12"/>
        </w:rPr>
        <w:t> </w:t>
      </w:r>
      <w:r>
        <w:rPr>
          <w:spacing w:val="-2"/>
        </w:rPr>
        <w:t>fear</w:t>
      </w:r>
      <w:r>
        <w:rPr>
          <w:spacing w:val="-11"/>
        </w:rPr>
        <w:t> </w:t>
      </w:r>
      <w:r>
        <w:rPr>
          <w:spacing w:val="-2"/>
        </w:rPr>
        <w:t>of</w:t>
      </w:r>
      <w:r>
        <w:rPr>
          <w:spacing w:val="-12"/>
        </w:rPr>
        <w:t> </w:t>
      </w:r>
      <w:r>
        <w:rPr>
          <w:spacing w:val="-2"/>
        </w:rPr>
        <w:t>losing</w:t>
      </w:r>
      <w:r>
        <w:rPr>
          <w:spacing w:val="-12"/>
        </w:rPr>
        <w:t> </w:t>
      </w:r>
      <w:r>
        <w:rPr>
          <w:spacing w:val="-2"/>
        </w:rPr>
        <w:t>them</w:t>
      </w:r>
      <w:r>
        <w:rPr>
          <w:spacing w:val="-12"/>
        </w:rPr>
        <w:t> </w:t>
      </w:r>
      <w:r>
        <w:rPr>
          <w:spacing w:val="-2"/>
        </w:rPr>
        <w:t>to</w:t>
      </w:r>
      <w:r>
        <w:rPr>
          <w:spacing w:val="-11"/>
        </w:rPr>
        <w:t> </w:t>
      </w:r>
      <w:r>
        <w:rPr>
          <w:spacing w:val="-2"/>
        </w:rPr>
        <w:t>competition</w:t>
      </w:r>
      <w:r>
        <w:rPr>
          <w:spacing w:val="-12"/>
        </w:rPr>
        <w:t> </w:t>
      </w:r>
      <w:r>
        <w:rPr>
          <w:spacing w:val="-2"/>
        </w:rPr>
        <w:t>has </w:t>
      </w:r>
      <w:r>
        <w:rPr/>
        <w:t>resulted</w:t>
      </w:r>
      <w:r>
        <w:rPr>
          <w:spacing w:val="-11"/>
        </w:rPr>
        <w:t> </w:t>
      </w:r>
      <w:r>
        <w:rPr/>
        <w:t>in</w:t>
      </w:r>
      <w:r>
        <w:rPr>
          <w:spacing w:val="-11"/>
        </w:rPr>
        <w:t> </w:t>
      </w:r>
      <w:r>
        <w:rPr/>
        <w:t>chronic</w:t>
      </w:r>
      <w:r>
        <w:rPr>
          <w:spacing w:val="-11"/>
        </w:rPr>
        <w:t> </w:t>
      </w:r>
      <w:r>
        <w:rPr/>
        <w:t>deficiency</w:t>
      </w:r>
      <w:r>
        <w:rPr>
          <w:spacing w:val="-11"/>
        </w:rPr>
        <w:t> </w:t>
      </w:r>
      <w:r>
        <w:rPr/>
        <w:t>in</w:t>
      </w:r>
      <w:r>
        <w:rPr>
          <w:spacing w:val="-11"/>
        </w:rPr>
        <w:t> </w:t>
      </w:r>
      <w:r>
        <w:rPr/>
        <w:t>private</w:t>
      </w:r>
      <w:r>
        <w:rPr>
          <w:spacing w:val="-11"/>
        </w:rPr>
        <w:t> </w:t>
      </w:r>
      <w:r>
        <w:rPr/>
        <w:t>investment</w:t>
      </w:r>
      <w:r>
        <w:rPr>
          <w:spacing w:val="-11"/>
        </w:rPr>
        <w:t> </w:t>
      </w:r>
      <w:r>
        <w:rPr/>
        <w:t>in this area.</w:t>
      </w:r>
    </w:p>
    <w:p>
      <w:pPr>
        <w:pStyle w:val="BodyText"/>
        <w:spacing w:before="23"/>
      </w:pPr>
    </w:p>
    <w:p>
      <w:pPr>
        <w:pStyle w:val="ListParagraph"/>
        <w:numPr>
          <w:ilvl w:val="1"/>
          <w:numId w:val="70"/>
        </w:numPr>
        <w:tabs>
          <w:tab w:pos="523" w:val="left" w:leader="none"/>
        </w:tabs>
        <w:spacing w:line="266" w:lineRule="auto" w:before="0" w:after="0"/>
        <w:ind w:left="305" w:right="1077" w:firstLine="0"/>
        <w:jc w:val="both"/>
        <w:rPr>
          <w:sz w:val="22"/>
        </w:rPr>
      </w:pPr>
      <w:r>
        <w:rPr>
          <w:b/>
          <w:spacing w:val="-8"/>
          <w:sz w:val="22"/>
        </w:rPr>
        <w:t>Quality</w:t>
      </w:r>
      <w:r>
        <w:rPr>
          <w:b/>
          <w:spacing w:val="-2"/>
          <w:sz w:val="22"/>
        </w:rPr>
        <w:t> </w:t>
      </w:r>
      <w:r>
        <w:rPr>
          <w:b/>
          <w:spacing w:val="-8"/>
          <w:sz w:val="22"/>
        </w:rPr>
        <w:t>and</w:t>
      </w:r>
      <w:r>
        <w:rPr>
          <w:b/>
          <w:spacing w:val="-2"/>
          <w:sz w:val="22"/>
        </w:rPr>
        <w:t> </w:t>
      </w:r>
      <w:r>
        <w:rPr>
          <w:b/>
          <w:spacing w:val="-8"/>
          <w:sz w:val="22"/>
        </w:rPr>
        <w:t>accreditation:</w:t>
      </w:r>
      <w:r>
        <w:rPr>
          <w:b/>
          <w:spacing w:val="-2"/>
          <w:sz w:val="22"/>
        </w:rPr>
        <w:t> </w:t>
      </w:r>
      <w:r>
        <w:rPr>
          <w:spacing w:val="-8"/>
          <w:sz w:val="22"/>
        </w:rPr>
        <w:t>The</w:t>
      </w:r>
      <w:r>
        <w:rPr>
          <w:spacing w:val="-3"/>
          <w:sz w:val="22"/>
        </w:rPr>
        <w:t> </w:t>
      </w:r>
      <w:r>
        <w:rPr>
          <w:spacing w:val="-8"/>
          <w:sz w:val="22"/>
        </w:rPr>
        <w:t>quality</w:t>
      </w:r>
      <w:r>
        <w:rPr>
          <w:spacing w:val="-3"/>
          <w:sz w:val="22"/>
        </w:rPr>
        <w:t> </w:t>
      </w:r>
      <w:r>
        <w:rPr>
          <w:spacing w:val="-8"/>
          <w:sz w:val="22"/>
        </w:rPr>
        <w:t>of</w:t>
      </w:r>
      <w:r>
        <w:rPr>
          <w:spacing w:val="-3"/>
          <w:sz w:val="22"/>
        </w:rPr>
        <w:t> </w:t>
      </w:r>
      <w:r>
        <w:rPr>
          <w:spacing w:val="-8"/>
          <w:sz w:val="22"/>
        </w:rPr>
        <w:t>the</w:t>
      </w:r>
      <w:r>
        <w:rPr>
          <w:spacing w:val="-3"/>
          <w:sz w:val="22"/>
        </w:rPr>
        <w:t> </w:t>
      </w:r>
      <w:r>
        <w:rPr>
          <w:spacing w:val="-8"/>
          <w:sz w:val="22"/>
        </w:rPr>
        <w:t>training </w:t>
      </w:r>
      <w:r>
        <w:rPr>
          <w:sz w:val="22"/>
        </w:rPr>
        <w:t>imparted is also a matter of concern, as the toolkits, </w:t>
      </w:r>
      <w:r>
        <w:rPr>
          <w:spacing w:val="-6"/>
          <w:sz w:val="22"/>
        </w:rPr>
        <w:t>faculty, and curriculum are reportedly sub-standard.</w:t>
      </w:r>
      <w:r>
        <w:rPr>
          <w:spacing w:val="-8"/>
          <w:sz w:val="22"/>
        </w:rPr>
        <w:t> </w:t>
      </w:r>
      <w:r>
        <w:rPr>
          <w:spacing w:val="-6"/>
          <w:sz w:val="22"/>
        </w:rPr>
        <w:t>The existing</w:t>
      </w:r>
      <w:r>
        <w:rPr>
          <w:spacing w:val="-8"/>
          <w:sz w:val="22"/>
        </w:rPr>
        <w:t> </w:t>
      </w:r>
      <w:r>
        <w:rPr>
          <w:spacing w:val="-6"/>
          <w:sz w:val="22"/>
        </w:rPr>
        <w:t>institutions</w:t>
      </w:r>
      <w:r>
        <w:rPr>
          <w:spacing w:val="-8"/>
          <w:sz w:val="22"/>
        </w:rPr>
        <w:t> </w:t>
      </w:r>
      <w:r>
        <w:rPr>
          <w:spacing w:val="-6"/>
          <w:sz w:val="22"/>
        </w:rPr>
        <w:t>also</w:t>
      </w:r>
      <w:r>
        <w:rPr>
          <w:spacing w:val="-8"/>
          <w:sz w:val="22"/>
        </w:rPr>
        <w:t> </w:t>
      </w:r>
      <w:r>
        <w:rPr>
          <w:spacing w:val="-6"/>
          <w:sz w:val="22"/>
        </w:rPr>
        <w:t>lack</w:t>
      </w:r>
      <w:r>
        <w:rPr>
          <w:spacing w:val="-7"/>
          <w:sz w:val="22"/>
        </w:rPr>
        <w:t> </w:t>
      </w:r>
      <w:r>
        <w:rPr>
          <w:spacing w:val="-6"/>
          <w:sz w:val="22"/>
        </w:rPr>
        <w:t>financial</w:t>
      </w:r>
      <w:r>
        <w:rPr>
          <w:spacing w:val="-8"/>
          <w:sz w:val="22"/>
        </w:rPr>
        <w:t> </w:t>
      </w:r>
      <w:r>
        <w:rPr>
          <w:spacing w:val="-6"/>
          <w:sz w:val="22"/>
        </w:rPr>
        <w:t>and</w:t>
      </w:r>
      <w:r>
        <w:rPr>
          <w:spacing w:val="-8"/>
          <w:sz w:val="22"/>
        </w:rPr>
        <w:t> </w:t>
      </w:r>
      <w:r>
        <w:rPr>
          <w:spacing w:val="-6"/>
          <w:sz w:val="22"/>
        </w:rPr>
        <w:t>administrative </w:t>
      </w:r>
      <w:r>
        <w:rPr>
          <w:sz w:val="22"/>
        </w:rPr>
        <w:t>autonomy. The testing, certification &amp; accreditation system is reportedly weak, and since the deliverables </w:t>
      </w:r>
      <w:r>
        <w:rPr>
          <w:spacing w:val="-4"/>
          <w:sz w:val="22"/>
        </w:rPr>
        <w:t>are</w:t>
      </w:r>
      <w:r>
        <w:rPr>
          <w:spacing w:val="-6"/>
          <w:sz w:val="22"/>
        </w:rPr>
        <w:t> </w:t>
      </w:r>
      <w:r>
        <w:rPr>
          <w:spacing w:val="-4"/>
          <w:sz w:val="22"/>
        </w:rPr>
        <w:t>not</w:t>
      </w:r>
      <w:r>
        <w:rPr>
          <w:spacing w:val="-6"/>
          <w:sz w:val="22"/>
        </w:rPr>
        <w:t> </w:t>
      </w:r>
      <w:r>
        <w:rPr>
          <w:spacing w:val="-4"/>
          <w:sz w:val="22"/>
        </w:rPr>
        <w:t>precisely</w:t>
      </w:r>
      <w:r>
        <w:rPr>
          <w:spacing w:val="-6"/>
          <w:sz w:val="22"/>
        </w:rPr>
        <w:t> </w:t>
      </w:r>
      <w:r>
        <w:rPr>
          <w:spacing w:val="-4"/>
          <w:sz w:val="22"/>
        </w:rPr>
        <w:t>defined,</w:t>
      </w:r>
      <w:r>
        <w:rPr>
          <w:spacing w:val="-6"/>
          <w:sz w:val="22"/>
        </w:rPr>
        <w:t> </w:t>
      </w:r>
      <w:r>
        <w:rPr>
          <w:spacing w:val="-4"/>
          <w:sz w:val="22"/>
        </w:rPr>
        <w:t>there</w:t>
      </w:r>
      <w:r>
        <w:rPr>
          <w:spacing w:val="-6"/>
          <w:sz w:val="22"/>
        </w:rPr>
        <w:t> </w:t>
      </w:r>
      <w:r>
        <w:rPr>
          <w:spacing w:val="-4"/>
          <w:sz w:val="22"/>
        </w:rPr>
        <w:t>is</w:t>
      </w:r>
      <w:r>
        <w:rPr>
          <w:spacing w:val="-6"/>
          <w:sz w:val="22"/>
        </w:rPr>
        <w:t> </w:t>
      </w:r>
      <w:r>
        <w:rPr>
          <w:spacing w:val="-4"/>
          <w:sz w:val="22"/>
        </w:rPr>
        <w:t>no</w:t>
      </w:r>
      <w:r>
        <w:rPr>
          <w:spacing w:val="-6"/>
          <w:sz w:val="22"/>
        </w:rPr>
        <w:t> </w:t>
      </w:r>
      <w:r>
        <w:rPr>
          <w:spacing w:val="-4"/>
          <w:sz w:val="22"/>
        </w:rPr>
        <w:t>effort</w:t>
      </w:r>
      <w:r>
        <w:rPr>
          <w:spacing w:val="-6"/>
          <w:sz w:val="22"/>
        </w:rPr>
        <w:t> </w:t>
      </w:r>
      <w:r>
        <w:rPr>
          <w:spacing w:val="-4"/>
          <w:sz w:val="22"/>
        </w:rPr>
        <w:t>at</w:t>
      </w:r>
      <w:r>
        <w:rPr>
          <w:spacing w:val="-6"/>
          <w:sz w:val="22"/>
        </w:rPr>
        <w:t> </w:t>
      </w:r>
      <w:r>
        <w:rPr>
          <w:spacing w:val="-4"/>
          <w:sz w:val="22"/>
        </w:rPr>
        <w:t>evaluating </w:t>
      </w:r>
      <w:r>
        <w:rPr>
          <w:sz w:val="22"/>
        </w:rPr>
        <w:t>outcomes</w:t>
      </w:r>
      <w:r>
        <w:rPr>
          <w:spacing w:val="40"/>
          <w:sz w:val="22"/>
        </w:rPr>
        <w:t> </w:t>
      </w:r>
      <w:r>
        <w:rPr>
          <w:sz w:val="22"/>
        </w:rPr>
        <w:t>and</w:t>
      </w:r>
      <w:r>
        <w:rPr>
          <w:spacing w:val="40"/>
          <w:sz w:val="22"/>
        </w:rPr>
        <w:t> </w:t>
      </w:r>
      <w:r>
        <w:rPr>
          <w:sz w:val="22"/>
        </w:rPr>
        <w:t>tracking</w:t>
      </w:r>
      <w:r>
        <w:rPr>
          <w:spacing w:val="40"/>
          <w:sz w:val="22"/>
        </w:rPr>
        <w:t> </w:t>
      </w:r>
      <w:r>
        <w:rPr>
          <w:sz w:val="22"/>
        </w:rPr>
        <w:t>placements.</w:t>
      </w:r>
      <w:r>
        <w:rPr>
          <w:spacing w:val="40"/>
          <w:sz w:val="22"/>
        </w:rPr>
        <w:t> </w:t>
      </w:r>
      <w:r>
        <w:rPr>
          <w:sz w:val="22"/>
        </w:rPr>
        <w:t>The</w:t>
      </w:r>
      <w:r>
        <w:rPr>
          <w:spacing w:val="40"/>
          <w:sz w:val="22"/>
        </w:rPr>
        <w:t> </w:t>
      </w:r>
      <w:r>
        <w:rPr>
          <w:sz w:val="22"/>
        </w:rPr>
        <w:t>problem</w:t>
      </w:r>
      <w:r>
        <w:rPr>
          <w:spacing w:val="80"/>
          <w:sz w:val="22"/>
        </w:rPr>
        <w:t> </w:t>
      </w:r>
      <w:r>
        <w:rPr>
          <w:sz w:val="22"/>
        </w:rPr>
        <w:t>is further complicated with lack of industry-faculty interaction on course curricula and other factors.</w:t>
      </w:r>
      <w:r>
        <w:rPr>
          <w:spacing w:val="-5"/>
          <w:sz w:val="22"/>
        </w:rPr>
        <w:t> </w:t>
      </w:r>
      <w:r>
        <w:rPr>
          <w:sz w:val="22"/>
        </w:rPr>
        <w:t>The </w:t>
      </w:r>
      <w:r>
        <w:rPr>
          <w:spacing w:val="-8"/>
          <w:sz w:val="22"/>
        </w:rPr>
        <w:t>system</w:t>
      </w:r>
      <w:r>
        <w:rPr>
          <w:spacing w:val="-2"/>
          <w:sz w:val="22"/>
        </w:rPr>
        <w:t> </w:t>
      </w:r>
      <w:r>
        <w:rPr>
          <w:spacing w:val="-8"/>
          <w:sz w:val="22"/>
        </w:rPr>
        <w:t>of</w:t>
      </w:r>
      <w:r>
        <w:rPr>
          <w:spacing w:val="-2"/>
          <w:sz w:val="22"/>
        </w:rPr>
        <w:t> </w:t>
      </w:r>
      <w:r>
        <w:rPr>
          <w:spacing w:val="-8"/>
          <w:sz w:val="22"/>
        </w:rPr>
        <w:t>vocational</w:t>
      </w:r>
      <w:r>
        <w:rPr>
          <w:spacing w:val="-2"/>
          <w:sz w:val="22"/>
        </w:rPr>
        <w:t> </w:t>
      </w:r>
      <w:r>
        <w:rPr>
          <w:spacing w:val="-8"/>
          <w:sz w:val="22"/>
        </w:rPr>
        <w:t>training</w:t>
      </w:r>
      <w:r>
        <w:rPr>
          <w:spacing w:val="-2"/>
          <w:sz w:val="22"/>
        </w:rPr>
        <w:t> </w:t>
      </w:r>
      <w:r>
        <w:rPr>
          <w:spacing w:val="-8"/>
          <w:sz w:val="22"/>
        </w:rPr>
        <w:t>is</w:t>
      </w:r>
      <w:r>
        <w:rPr>
          <w:spacing w:val="-2"/>
          <w:sz w:val="22"/>
        </w:rPr>
        <w:t> </w:t>
      </w:r>
      <w:r>
        <w:rPr>
          <w:spacing w:val="-8"/>
          <w:sz w:val="22"/>
        </w:rPr>
        <w:t>currently</w:t>
      </w:r>
      <w:r>
        <w:rPr>
          <w:spacing w:val="-2"/>
          <w:sz w:val="22"/>
        </w:rPr>
        <w:t> </w:t>
      </w:r>
      <w:r>
        <w:rPr>
          <w:spacing w:val="-8"/>
          <w:sz w:val="22"/>
        </w:rPr>
        <w:t>characterised</w:t>
      </w:r>
      <w:r>
        <w:rPr>
          <w:spacing w:val="-2"/>
          <w:sz w:val="22"/>
        </w:rPr>
        <w:t> </w:t>
      </w:r>
      <w:r>
        <w:rPr>
          <w:spacing w:val="-8"/>
          <w:sz w:val="22"/>
        </w:rPr>
        <w:t>by </w:t>
      </w:r>
      <w:r>
        <w:rPr>
          <w:sz w:val="22"/>
        </w:rPr>
        <w:t>a</w:t>
      </w:r>
      <w:r>
        <w:rPr>
          <w:spacing w:val="-16"/>
          <w:sz w:val="22"/>
        </w:rPr>
        <w:t> </w:t>
      </w:r>
      <w:r>
        <w:rPr>
          <w:sz w:val="22"/>
        </w:rPr>
        <w:t>lack</w:t>
      </w:r>
      <w:r>
        <w:rPr>
          <w:spacing w:val="-14"/>
          <w:sz w:val="22"/>
        </w:rPr>
        <w:t> </w:t>
      </w:r>
      <w:r>
        <w:rPr>
          <w:sz w:val="22"/>
        </w:rPr>
        <w:t>of</w:t>
      </w:r>
      <w:r>
        <w:rPr>
          <w:spacing w:val="-14"/>
          <w:sz w:val="22"/>
        </w:rPr>
        <w:t> </w:t>
      </w:r>
      <w:r>
        <w:rPr>
          <w:sz w:val="22"/>
        </w:rPr>
        <w:t>ongoing</w:t>
      </w:r>
      <w:r>
        <w:rPr>
          <w:spacing w:val="-13"/>
          <w:sz w:val="22"/>
        </w:rPr>
        <w:t> </w:t>
      </w:r>
      <w:r>
        <w:rPr>
          <w:sz w:val="22"/>
        </w:rPr>
        <w:t>monitoring</w:t>
      </w:r>
      <w:r>
        <w:rPr>
          <w:spacing w:val="-14"/>
          <w:sz w:val="22"/>
        </w:rPr>
        <w:t> </w:t>
      </w:r>
      <w:r>
        <w:rPr>
          <w:sz w:val="22"/>
        </w:rPr>
        <w:t>for</w:t>
      </w:r>
      <w:r>
        <w:rPr>
          <w:spacing w:val="-14"/>
          <w:sz w:val="22"/>
        </w:rPr>
        <w:t> </w:t>
      </w:r>
      <w:r>
        <w:rPr>
          <w:sz w:val="22"/>
        </w:rPr>
        <w:t>quality</w:t>
      </w:r>
      <w:r>
        <w:rPr>
          <w:spacing w:val="-14"/>
          <w:sz w:val="22"/>
        </w:rPr>
        <w:t> </w:t>
      </w:r>
      <w:r>
        <w:rPr>
          <w:sz w:val="22"/>
        </w:rPr>
        <w:t>in</w:t>
      </w:r>
      <w:r>
        <w:rPr>
          <w:spacing w:val="-13"/>
          <w:sz w:val="22"/>
        </w:rPr>
        <w:t> </w:t>
      </w:r>
      <w:r>
        <w:rPr>
          <w:sz w:val="22"/>
        </w:rPr>
        <w:t>institutions imparting VET. Although a system of inspections by </w:t>
      </w:r>
      <w:r>
        <w:rPr>
          <w:spacing w:val="-6"/>
          <w:sz w:val="22"/>
        </w:rPr>
        <w:t>State</w:t>
      </w:r>
      <w:r>
        <w:rPr>
          <w:spacing w:val="-10"/>
          <w:sz w:val="22"/>
        </w:rPr>
        <w:t> </w:t>
      </w:r>
      <w:r>
        <w:rPr>
          <w:spacing w:val="-6"/>
          <w:sz w:val="22"/>
        </w:rPr>
        <w:t>governments</w:t>
      </w:r>
      <w:r>
        <w:rPr>
          <w:spacing w:val="-8"/>
          <w:sz w:val="22"/>
        </w:rPr>
        <w:t> </w:t>
      </w:r>
      <w:r>
        <w:rPr>
          <w:spacing w:val="-6"/>
          <w:sz w:val="22"/>
        </w:rPr>
        <w:t>is</w:t>
      </w:r>
      <w:r>
        <w:rPr>
          <w:spacing w:val="-8"/>
          <w:sz w:val="22"/>
        </w:rPr>
        <w:t> </w:t>
      </w:r>
      <w:r>
        <w:rPr>
          <w:spacing w:val="-6"/>
          <w:sz w:val="22"/>
        </w:rPr>
        <w:t>in</w:t>
      </w:r>
      <w:r>
        <w:rPr>
          <w:spacing w:val="-7"/>
          <w:sz w:val="22"/>
        </w:rPr>
        <w:t> </w:t>
      </w:r>
      <w:r>
        <w:rPr>
          <w:spacing w:val="-6"/>
          <w:sz w:val="22"/>
        </w:rPr>
        <w:t>place,</w:t>
      </w:r>
      <w:r>
        <w:rPr>
          <w:spacing w:val="-8"/>
          <w:sz w:val="22"/>
        </w:rPr>
        <w:t> </w:t>
      </w:r>
      <w:r>
        <w:rPr>
          <w:spacing w:val="-6"/>
          <w:sz w:val="22"/>
        </w:rPr>
        <w:t>this</w:t>
      </w:r>
      <w:r>
        <w:rPr>
          <w:spacing w:val="-8"/>
          <w:sz w:val="22"/>
        </w:rPr>
        <w:t> </w:t>
      </w:r>
      <w:r>
        <w:rPr>
          <w:spacing w:val="-6"/>
          <w:sz w:val="22"/>
        </w:rPr>
        <w:t>is</w:t>
      </w:r>
      <w:r>
        <w:rPr>
          <w:spacing w:val="-8"/>
          <w:sz w:val="22"/>
        </w:rPr>
        <w:t> </w:t>
      </w:r>
      <w:r>
        <w:rPr>
          <w:spacing w:val="-6"/>
          <w:sz w:val="22"/>
        </w:rPr>
        <w:t>sub-optimal</w:t>
      </w:r>
      <w:r>
        <w:rPr>
          <w:spacing w:val="-7"/>
          <w:sz w:val="22"/>
        </w:rPr>
        <w:t> </w:t>
      </w:r>
      <w:r>
        <w:rPr>
          <w:spacing w:val="-6"/>
          <w:sz w:val="22"/>
        </w:rPr>
        <w:t>because </w:t>
      </w:r>
      <w:r>
        <w:rPr>
          <w:spacing w:val="-4"/>
          <w:sz w:val="22"/>
        </w:rPr>
        <w:t>it permits the proliferation of rent-seeking practices and </w:t>
      </w:r>
      <w:r>
        <w:rPr>
          <w:sz w:val="22"/>
        </w:rPr>
        <w:t>does</w:t>
      </w:r>
      <w:r>
        <w:rPr>
          <w:spacing w:val="-12"/>
          <w:sz w:val="22"/>
        </w:rPr>
        <w:t> </w:t>
      </w:r>
      <w:r>
        <w:rPr>
          <w:sz w:val="22"/>
        </w:rPr>
        <w:t>not</w:t>
      </w:r>
      <w:r>
        <w:rPr>
          <w:spacing w:val="-12"/>
          <w:sz w:val="22"/>
        </w:rPr>
        <w:t> </w:t>
      </w:r>
      <w:r>
        <w:rPr>
          <w:sz w:val="22"/>
        </w:rPr>
        <w:t>achieve</w:t>
      </w:r>
      <w:r>
        <w:rPr>
          <w:spacing w:val="-12"/>
          <w:sz w:val="22"/>
        </w:rPr>
        <w:t> </w:t>
      </w:r>
      <w:r>
        <w:rPr>
          <w:sz w:val="22"/>
        </w:rPr>
        <w:t>its</w:t>
      </w:r>
      <w:r>
        <w:rPr>
          <w:spacing w:val="-12"/>
          <w:sz w:val="22"/>
        </w:rPr>
        <w:t> </w:t>
      </w:r>
      <w:r>
        <w:rPr>
          <w:sz w:val="22"/>
        </w:rPr>
        <w:t>stated</w:t>
      </w:r>
      <w:r>
        <w:rPr>
          <w:spacing w:val="-12"/>
          <w:sz w:val="22"/>
        </w:rPr>
        <w:t> </w:t>
      </w:r>
      <w:r>
        <w:rPr>
          <w:sz w:val="22"/>
        </w:rPr>
        <w:t>objectives.</w:t>
      </w:r>
      <w:r>
        <w:rPr>
          <w:spacing w:val="-12"/>
          <w:sz w:val="22"/>
        </w:rPr>
        <w:t> </w:t>
      </w:r>
      <w:r>
        <w:rPr>
          <w:sz w:val="22"/>
        </w:rPr>
        <w:t>An</w:t>
      </w:r>
      <w:r>
        <w:rPr>
          <w:spacing w:val="-12"/>
          <w:sz w:val="22"/>
        </w:rPr>
        <w:t> </w:t>
      </w:r>
      <w:r>
        <w:rPr>
          <w:sz w:val="22"/>
        </w:rPr>
        <w:t>autonomous </w:t>
      </w:r>
      <w:r>
        <w:rPr>
          <w:spacing w:val="-2"/>
          <w:sz w:val="22"/>
        </w:rPr>
        <w:t>system</w:t>
      </w:r>
      <w:r>
        <w:rPr>
          <w:spacing w:val="-12"/>
          <w:sz w:val="22"/>
        </w:rPr>
        <w:t> </w:t>
      </w:r>
      <w:r>
        <w:rPr>
          <w:spacing w:val="-2"/>
          <w:sz w:val="22"/>
        </w:rPr>
        <w:t>of</w:t>
      </w:r>
      <w:r>
        <w:rPr>
          <w:spacing w:val="-12"/>
          <w:sz w:val="22"/>
        </w:rPr>
        <w:t> </w:t>
      </w:r>
      <w:r>
        <w:rPr>
          <w:spacing w:val="-2"/>
          <w:sz w:val="22"/>
        </w:rPr>
        <w:t>accreditation</w:t>
      </w:r>
      <w:r>
        <w:rPr>
          <w:spacing w:val="-12"/>
          <w:sz w:val="22"/>
        </w:rPr>
        <w:t> </w:t>
      </w:r>
      <w:r>
        <w:rPr>
          <w:spacing w:val="-2"/>
          <w:sz w:val="22"/>
        </w:rPr>
        <w:t>is</w:t>
      </w:r>
      <w:r>
        <w:rPr>
          <w:spacing w:val="-11"/>
          <w:sz w:val="22"/>
        </w:rPr>
        <w:t> </w:t>
      </w:r>
      <w:r>
        <w:rPr>
          <w:spacing w:val="-2"/>
          <w:sz w:val="22"/>
        </w:rPr>
        <w:t>missing</w:t>
      </w:r>
      <w:r>
        <w:rPr>
          <w:spacing w:val="-12"/>
          <w:sz w:val="22"/>
        </w:rPr>
        <w:t> </w:t>
      </w:r>
      <w:r>
        <w:rPr>
          <w:spacing w:val="-2"/>
          <w:sz w:val="22"/>
        </w:rPr>
        <w:t>in</w:t>
      </w:r>
      <w:r>
        <w:rPr>
          <w:spacing w:val="-12"/>
          <w:sz w:val="22"/>
        </w:rPr>
        <w:t> </w:t>
      </w:r>
      <w:r>
        <w:rPr>
          <w:spacing w:val="-2"/>
          <w:sz w:val="22"/>
        </w:rPr>
        <w:t>the</w:t>
      </w:r>
      <w:r>
        <w:rPr>
          <w:spacing w:val="-12"/>
          <w:sz w:val="22"/>
        </w:rPr>
        <w:t> </w:t>
      </w:r>
      <w:r>
        <w:rPr>
          <w:spacing w:val="-2"/>
          <w:sz w:val="22"/>
        </w:rPr>
        <w:t>VET</w:t>
      </w:r>
      <w:r>
        <w:rPr>
          <w:spacing w:val="-11"/>
          <w:sz w:val="22"/>
        </w:rPr>
        <w:t> </w:t>
      </w:r>
      <w:r>
        <w:rPr>
          <w:spacing w:val="-2"/>
          <w:sz w:val="22"/>
        </w:rPr>
        <w:t>sector.</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spacing w:before="174"/>
        <w:rPr>
          <w:sz w:val="24"/>
        </w:rPr>
      </w:pPr>
    </w:p>
    <w:p>
      <w:pPr>
        <w:pStyle w:val="Heading8"/>
        <w:ind w:left="2018"/>
      </w:pPr>
      <w:r>
        <w:rPr/>
        <mc:AlternateContent>
          <mc:Choice Requires="wps">
            <w:drawing>
              <wp:anchor distT="0" distB="0" distL="0" distR="0" allowOverlap="1" layoutInCell="1" locked="0" behindDoc="0" simplePos="0" relativeHeight="15814144">
                <wp:simplePos x="0" y="0"/>
                <wp:positionH relativeFrom="page">
                  <wp:posOffset>1278415</wp:posOffset>
                </wp:positionH>
                <wp:positionV relativeFrom="paragraph">
                  <wp:posOffset>264991</wp:posOffset>
                </wp:positionV>
                <wp:extent cx="5052060" cy="2472690"/>
                <wp:effectExtent l="0" t="0" r="0" b="0"/>
                <wp:wrapNone/>
                <wp:docPr id="1335" name="Group 1335"/>
                <wp:cNvGraphicFramePr>
                  <a:graphicFrameLocks/>
                </wp:cNvGraphicFramePr>
                <a:graphic>
                  <a:graphicData uri="http://schemas.microsoft.com/office/word/2010/wordprocessingGroup">
                    <wpg:wgp>
                      <wpg:cNvPr id="1335" name="Group 1335"/>
                      <wpg:cNvGrpSpPr/>
                      <wpg:grpSpPr>
                        <a:xfrm>
                          <a:off x="0" y="0"/>
                          <a:ext cx="5052060" cy="2472690"/>
                          <a:chExt cx="5052060" cy="2472690"/>
                        </a:xfrm>
                      </wpg:grpSpPr>
                      <wps:wsp>
                        <wps:cNvPr id="1336" name="Graphic 1336"/>
                        <wps:cNvSpPr/>
                        <wps:spPr>
                          <a:xfrm>
                            <a:off x="1043322" y="1493519"/>
                            <a:ext cx="321310" cy="629920"/>
                          </a:xfrm>
                          <a:custGeom>
                            <a:avLst/>
                            <a:gdLst/>
                            <a:ahLst/>
                            <a:cxnLst/>
                            <a:rect l="l" t="t" r="r" b="b"/>
                            <a:pathLst>
                              <a:path w="321310" h="629920">
                                <a:moveTo>
                                  <a:pt x="320725" y="0"/>
                                </a:moveTo>
                                <a:lnTo>
                                  <a:pt x="0" y="0"/>
                                </a:lnTo>
                                <a:lnTo>
                                  <a:pt x="0" y="5080"/>
                                </a:lnTo>
                                <a:lnTo>
                                  <a:pt x="0" y="8890"/>
                                </a:lnTo>
                                <a:lnTo>
                                  <a:pt x="0" y="621030"/>
                                </a:lnTo>
                                <a:lnTo>
                                  <a:pt x="0" y="624840"/>
                                </a:lnTo>
                                <a:lnTo>
                                  <a:pt x="0" y="629920"/>
                                </a:lnTo>
                                <a:lnTo>
                                  <a:pt x="320725" y="629920"/>
                                </a:lnTo>
                                <a:lnTo>
                                  <a:pt x="320725" y="624840"/>
                                </a:lnTo>
                                <a:lnTo>
                                  <a:pt x="318401" y="624840"/>
                                </a:lnTo>
                                <a:lnTo>
                                  <a:pt x="318401" y="621030"/>
                                </a:lnTo>
                                <a:lnTo>
                                  <a:pt x="318401" y="8890"/>
                                </a:lnTo>
                                <a:lnTo>
                                  <a:pt x="316534" y="8890"/>
                                </a:lnTo>
                                <a:lnTo>
                                  <a:pt x="316534" y="8724"/>
                                </a:lnTo>
                                <a:lnTo>
                                  <a:pt x="318401" y="8724"/>
                                </a:lnTo>
                                <a:lnTo>
                                  <a:pt x="318401" y="5080"/>
                                </a:lnTo>
                                <a:lnTo>
                                  <a:pt x="320725" y="5080"/>
                                </a:lnTo>
                                <a:lnTo>
                                  <a:pt x="320725" y="0"/>
                                </a:lnTo>
                                <a:close/>
                              </a:path>
                            </a:pathLst>
                          </a:custGeom>
                          <a:solidFill>
                            <a:srgbClr val="2E614A"/>
                          </a:solidFill>
                        </wps:spPr>
                        <wps:bodyPr wrap="square" lIns="0" tIns="0" rIns="0" bIns="0" rtlCol="0">
                          <a:prstTxWarp prst="textNoShape">
                            <a:avLst/>
                          </a:prstTxWarp>
                          <a:noAutofit/>
                        </wps:bodyPr>
                      </wps:wsp>
                      <wps:wsp>
                        <wps:cNvPr id="1337" name="Graphic 1337"/>
                        <wps:cNvSpPr/>
                        <wps:spPr>
                          <a:xfrm>
                            <a:off x="1361734" y="1271593"/>
                            <a:ext cx="306070" cy="847725"/>
                          </a:xfrm>
                          <a:custGeom>
                            <a:avLst/>
                            <a:gdLst/>
                            <a:ahLst/>
                            <a:cxnLst/>
                            <a:rect l="l" t="t" r="r" b="b"/>
                            <a:pathLst>
                              <a:path w="306070" h="847725">
                                <a:moveTo>
                                  <a:pt x="306049" y="0"/>
                                </a:moveTo>
                                <a:lnTo>
                                  <a:pt x="0" y="0"/>
                                </a:lnTo>
                                <a:lnTo>
                                  <a:pt x="0" y="847128"/>
                                </a:lnTo>
                                <a:lnTo>
                                  <a:pt x="306049" y="847128"/>
                                </a:lnTo>
                                <a:lnTo>
                                  <a:pt x="306049" y="0"/>
                                </a:lnTo>
                                <a:close/>
                              </a:path>
                            </a:pathLst>
                          </a:custGeom>
                          <a:solidFill>
                            <a:srgbClr val="9CBF3B"/>
                          </a:solidFill>
                        </wps:spPr>
                        <wps:bodyPr wrap="square" lIns="0" tIns="0" rIns="0" bIns="0" rtlCol="0">
                          <a:prstTxWarp prst="textNoShape">
                            <a:avLst/>
                          </a:prstTxWarp>
                          <a:noAutofit/>
                        </wps:bodyPr>
                      </wps:wsp>
                      <wps:wsp>
                        <wps:cNvPr id="1338" name="Graphic 1338"/>
                        <wps:cNvSpPr/>
                        <wps:spPr>
                          <a:xfrm>
                            <a:off x="1357533" y="1267459"/>
                            <a:ext cx="314960" cy="855980"/>
                          </a:xfrm>
                          <a:custGeom>
                            <a:avLst/>
                            <a:gdLst/>
                            <a:ahLst/>
                            <a:cxnLst/>
                            <a:rect l="l" t="t" r="r" b="b"/>
                            <a:pathLst>
                              <a:path w="314960" h="855980">
                                <a:moveTo>
                                  <a:pt x="314439" y="0"/>
                                </a:moveTo>
                                <a:lnTo>
                                  <a:pt x="306044" y="0"/>
                                </a:lnTo>
                                <a:lnTo>
                                  <a:pt x="306044" y="3810"/>
                                </a:lnTo>
                                <a:lnTo>
                                  <a:pt x="306044" y="4140"/>
                                </a:lnTo>
                                <a:lnTo>
                                  <a:pt x="306044" y="8331"/>
                                </a:lnTo>
                                <a:lnTo>
                                  <a:pt x="306044" y="8890"/>
                                </a:lnTo>
                                <a:lnTo>
                                  <a:pt x="306044" y="847077"/>
                                </a:lnTo>
                                <a:lnTo>
                                  <a:pt x="8394" y="847077"/>
                                </a:lnTo>
                                <a:lnTo>
                                  <a:pt x="8394" y="8890"/>
                                </a:lnTo>
                                <a:lnTo>
                                  <a:pt x="4191" y="8890"/>
                                </a:lnTo>
                                <a:lnTo>
                                  <a:pt x="4191" y="8331"/>
                                </a:lnTo>
                                <a:lnTo>
                                  <a:pt x="8394" y="8331"/>
                                </a:lnTo>
                                <a:lnTo>
                                  <a:pt x="306044" y="8331"/>
                                </a:lnTo>
                                <a:lnTo>
                                  <a:pt x="306044" y="4140"/>
                                </a:lnTo>
                                <a:lnTo>
                                  <a:pt x="8394" y="4140"/>
                                </a:lnTo>
                                <a:lnTo>
                                  <a:pt x="4191" y="4140"/>
                                </a:lnTo>
                                <a:lnTo>
                                  <a:pt x="4191" y="3810"/>
                                </a:lnTo>
                                <a:lnTo>
                                  <a:pt x="306044" y="3810"/>
                                </a:lnTo>
                                <a:lnTo>
                                  <a:pt x="306044" y="0"/>
                                </a:lnTo>
                                <a:lnTo>
                                  <a:pt x="0" y="0"/>
                                </a:lnTo>
                                <a:lnTo>
                                  <a:pt x="0" y="3810"/>
                                </a:lnTo>
                                <a:lnTo>
                                  <a:pt x="0" y="8890"/>
                                </a:lnTo>
                                <a:lnTo>
                                  <a:pt x="0" y="847090"/>
                                </a:lnTo>
                                <a:lnTo>
                                  <a:pt x="0" y="850900"/>
                                </a:lnTo>
                                <a:lnTo>
                                  <a:pt x="0" y="855980"/>
                                </a:lnTo>
                                <a:lnTo>
                                  <a:pt x="314439" y="855980"/>
                                </a:lnTo>
                                <a:lnTo>
                                  <a:pt x="314439" y="8890"/>
                                </a:lnTo>
                                <a:lnTo>
                                  <a:pt x="310248" y="8890"/>
                                </a:lnTo>
                                <a:lnTo>
                                  <a:pt x="310248" y="8331"/>
                                </a:lnTo>
                                <a:lnTo>
                                  <a:pt x="314439" y="8331"/>
                                </a:lnTo>
                                <a:lnTo>
                                  <a:pt x="314439" y="4140"/>
                                </a:lnTo>
                                <a:lnTo>
                                  <a:pt x="310248" y="4140"/>
                                </a:lnTo>
                                <a:lnTo>
                                  <a:pt x="310248" y="3810"/>
                                </a:lnTo>
                                <a:lnTo>
                                  <a:pt x="314439" y="3810"/>
                                </a:lnTo>
                                <a:lnTo>
                                  <a:pt x="314439" y="0"/>
                                </a:lnTo>
                                <a:close/>
                              </a:path>
                            </a:pathLst>
                          </a:custGeom>
                          <a:solidFill>
                            <a:srgbClr val="A2B0A2"/>
                          </a:solidFill>
                        </wps:spPr>
                        <wps:bodyPr wrap="square" lIns="0" tIns="0" rIns="0" bIns="0" rtlCol="0">
                          <a:prstTxWarp prst="textNoShape">
                            <a:avLst/>
                          </a:prstTxWarp>
                          <a:noAutofit/>
                        </wps:bodyPr>
                      </wps:wsp>
                      <wps:wsp>
                        <wps:cNvPr id="1339" name="Graphic 1339"/>
                        <wps:cNvSpPr/>
                        <wps:spPr>
                          <a:xfrm>
                            <a:off x="2455628" y="539792"/>
                            <a:ext cx="314325" cy="1585595"/>
                          </a:xfrm>
                          <a:custGeom>
                            <a:avLst/>
                            <a:gdLst/>
                            <a:ahLst/>
                            <a:cxnLst/>
                            <a:rect l="l" t="t" r="r" b="b"/>
                            <a:pathLst>
                              <a:path w="314325" h="1585595">
                                <a:moveTo>
                                  <a:pt x="314312" y="0"/>
                                </a:moveTo>
                                <a:lnTo>
                                  <a:pt x="0" y="0"/>
                                </a:lnTo>
                                <a:lnTo>
                                  <a:pt x="0" y="1585230"/>
                                </a:lnTo>
                                <a:lnTo>
                                  <a:pt x="314312" y="1585230"/>
                                </a:lnTo>
                                <a:lnTo>
                                  <a:pt x="314312" y="0"/>
                                </a:lnTo>
                                <a:close/>
                              </a:path>
                            </a:pathLst>
                          </a:custGeom>
                          <a:solidFill>
                            <a:srgbClr val="2E614A"/>
                          </a:solidFill>
                        </wps:spPr>
                        <wps:bodyPr wrap="square" lIns="0" tIns="0" rIns="0" bIns="0" rtlCol="0">
                          <a:prstTxWarp prst="textNoShape">
                            <a:avLst/>
                          </a:prstTxWarp>
                          <a:noAutofit/>
                        </wps:bodyPr>
                      </wps:wsp>
                      <wps:wsp>
                        <wps:cNvPr id="1340" name="Graphic 1340"/>
                        <wps:cNvSpPr/>
                        <wps:spPr>
                          <a:xfrm>
                            <a:off x="2769941" y="1235948"/>
                            <a:ext cx="314960" cy="889635"/>
                          </a:xfrm>
                          <a:custGeom>
                            <a:avLst/>
                            <a:gdLst/>
                            <a:ahLst/>
                            <a:cxnLst/>
                            <a:rect l="l" t="t" r="r" b="b"/>
                            <a:pathLst>
                              <a:path w="314960" h="889635">
                                <a:moveTo>
                                  <a:pt x="314337" y="0"/>
                                </a:moveTo>
                                <a:lnTo>
                                  <a:pt x="0" y="0"/>
                                </a:lnTo>
                                <a:lnTo>
                                  <a:pt x="0" y="889073"/>
                                </a:lnTo>
                                <a:lnTo>
                                  <a:pt x="314337" y="889073"/>
                                </a:lnTo>
                                <a:lnTo>
                                  <a:pt x="314337" y="0"/>
                                </a:lnTo>
                                <a:close/>
                              </a:path>
                            </a:pathLst>
                          </a:custGeom>
                          <a:solidFill>
                            <a:srgbClr val="9CBF3B"/>
                          </a:solidFill>
                        </wps:spPr>
                        <wps:bodyPr wrap="square" lIns="0" tIns="0" rIns="0" bIns="0" rtlCol="0">
                          <a:prstTxWarp prst="textNoShape">
                            <a:avLst/>
                          </a:prstTxWarp>
                          <a:noAutofit/>
                        </wps:bodyPr>
                      </wps:wsp>
                      <wps:wsp>
                        <wps:cNvPr id="1341" name="Graphic 1341"/>
                        <wps:cNvSpPr/>
                        <wps:spPr>
                          <a:xfrm>
                            <a:off x="3867917" y="732698"/>
                            <a:ext cx="317500" cy="1392555"/>
                          </a:xfrm>
                          <a:custGeom>
                            <a:avLst/>
                            <a:gdLst/>
                            <a:ahLst/>
                            <a:cxnLst/>
                            <a:rect l="l" t="t" r="r" b="b"/>
                            <a:pathLst>
                              <a:path w="317500" h="1392555">
                                <a:moveTo>
                                  <a:pt x="317497" y="0"/>
                                </a:moveTo>
                                <a:lnTo>
                                  <a:pt x="0" y="0"/>
                                </a:lnTo>
                                <a:lnTo>
                                  <a:pt x="0" y="1392323"/>
                                </a:lnTo>
                                <a:lnTo>
                                  <a:pt x="317497" y="1392323"/>
                                </a:lnTo>
                                <a:lnTo>
                                  <a:pt x="317497" y="0"/>
                                </a:lnTo>
                                <a:close/>
                              </a:path>
                            </a:pathLst>
                          </a:custGeom>
                          <a:solidFill>
                            <a:srgbClr val="2E614A"/>
                          </a:solidFill>
                        </wps:spPr>
                        <wps:bodyPr wrap="square" lIns="0" tIns="0" rIns="0" bIns="0" rtlCol="0">
                          <a:prstTxWarp prst="textNoShape">
                            <a:avLst/>
                          </a:prstTxWarp>
                          <a:noAutofit/>
                        </wps:bodyPr>
                      </wps:wsp>
                      <wps:wsp>
                        <wps:cNvPr id="1342" name="Graphic 1342"/>
                        <wps:cNvSpPr/>
                        <wps:spPr>
                          <a:xfrm>
                            <a:off x="4185415" y="732698"/>
                            <a:ext cx="311150" cy="1392555"/>
                          </a:xfrm>
                          <a:custGeom>
                            <a:avLst/>
                            <a:gdLst/>
                            <a:ahLst/>
                            <a:cxnLst/>
                            <a:rect l="l" t="t" r="r" b="b"/>
                            <a:pathLst>
                              <a:path w="311150" h="1392555">
                                <a:moveTo>
                                  <a:pt x="311152" y="0"/>
                                </a:moveTo>
                                <a:lnTo>
                                  <a:pt x="0" y="0"/>
                                </a:lnTo>
                                <a:lnTo>
                                  <a:pt x="0" y="1392323"/>
                                </a:lnTo>
                                <a:lnTo>
                                  <a:pt x="311152" y="1392323"/>
                                </a:lnTo>
                                <a:lnTo>
                                  <a:pt x="311152" y="0"/>
                                </a:lnTo>
                                <a:close/>
                              </a:path>
                            </a:pathLst>
                          </a:custGeom>
                          <a:solidFill>
                            <a:srgbClr val="9CBF3B"/>
                          </a:solidFill>
                        </wps:spPr>
                        <wps:bodyPr wrap="square" lIns="0" tIns="0" rIns="0" bIns="0" rtlCol="0">
                          <a:prstTxWarp prst="textNoShape">
                            <a:avLst/>
                          </a:prstTxWarp>
                          <a:noAutofit/>
                        </wps:bodyPr>
                      </wps:wsp>
                      <wps:wsp>
                        <wps:cNvPr id="1343" name="Graphic 1343"/>
                        <wps:cNvSpPr/>
                        <wps:spPr>
                          <a:xfrm>
                            <a:off x="-7" y="0"/>
                            <a:ext cx="5052060" cy="2472690"/>
                          </a:xfrm>
                          <a:custGeom>
                            <a:avLst/>
                            <a:gdLst/>
                            <a:ahLst/>
                            <a:cxnLst/>
                            <a:rect l="l" t="t" r="r" b="b"/>
                            <a:pathLst>
                              <a:path w="5052060" h="2472690">
                                <a:moveTo>
                                  <a:pt x="660755" y="1928952"/>
                                </a:moveTo>
                                <a:lnTo>
                                  <a:pt x="622033" y="1928952"/>
                                </a:lnTo>
                                <a:lnTo>
                                  <a:pt x="622033" y="1935302"/>
                                </a:lnTo>
                                <a:lnTo>
                                  <a:pt x="660755" y="1935302"/>
                                </a:lnTo>
                                <a:lnTo>
                                  <a:pt x="660755" y="1928952"/>
                                </a:lnTo>
                                <a:close/>
                              </a:path>
                              <a:path w="5052060" h="2472690">
                                <a:moveTo>
                                  <a:pt x="660755" y="1736026"/>
                                </a:moveTo>
                                <a:lnTo>
                                  <a:pt x="622033" y="1736026"/>
                                </a:lnTo>
                                <a:lnTo>
                                  <a:pt x="622033" y="1742376"/>
                                </a:lnTo>
                                <a:lnTo>
                                  <a:pt x="660755" y="1742376"/>
                                </a:lnTo>
                                <a:lnTo>
                                  <a:pt x="660755" y="1736026"/>
                                </a:lnTo>
                                <a:close/>
                              </a:path>
                              <a:path w="5052060" h="2472690">
                                <a:moveTo>
                                  <a:pt x="660755" y="1543126"/>
                                </a:moveTo>
                                <a:lnTo>
                                  <a:pt x="622033" y="1543126"/>
                                </a:lnTo>
                                <a:lnTo>
                                  <a:pt x="622033" y="1549476"/>
                                </a:lnTo>
                                <a:lnTo>
                                  <a:pt x="660755" y="1549476"/>
                                </a:lnTo>
                                <a:lnTo>
                                  <a:pt x="660755" y="1543126"/>
                                </a:lnTo>
                                <a:close/>
                              </a:path>
                              <a:path w="5052060" h="2472690">
                                <a:moveTo>
                                  <a:pt x="660755" y="1350200"/>
                                </a:moveTo>
                                <a:lnTo>
                                  <a:pt x="622033" y="1350200"/>
                                </a:lnTo>
                                <a:lnTo>
                                  <a:pt x="622033" y="1356550"/>
                                </a:lnTo>
                                <a:lnTo>
                                  <a:pt x="660755" y="1356550"/>
                                </a:lnTo>
                                <a:lnTo>
                                  <a:pt x="660755" y="1350200"/>
                                </a:lnTo>
                                <a:close/>
                              </a:path>
                              <a:path w="5052060" h="2472690">
                                <a:moveTo>
                                  <a:pt x="660755" y="1157300"/>
                                </a:moveTo>
                                <a:lnTo>
                                  <a:pt x="622033" y="1157300"/>
                                </a:lnTo>
                                <a:lnTo>
                                  <a:pt x="622033" y="1163650"/>
                                </a:lnTo>
                                <a:lnTo>
                                  <a:pt x="660755" y="1163650"/>
                                </a:lnTo>
                                <a:lnTo>
                                  <a:pt x="660755" y="1157300"/>
                                </a:lnTo>
                                <a:close/>
                              </a:path>
                              <a:path w="5052060" h="2472690">
                                <a:moveTo>
                                  <a:pt x="660755" y="964387"/>
                                </a:moveTo>
                                <a:lnTo>
                                  <a:pt x="622033" y="964387"/>
                                </a:lnTo>
                                <a:lnTo>
                                  <a:pt x="622033" y="970737"/>
                                </a:lnTo>
                                <a:lnTo>
                                  <a:pt x="660755" y="970737"/>
                                </a:lnTo>
                                <a:lnTo>
                                  <a:pt x="660755" y="964387"/>
                                </a:lnTo>
                                <a:close/>
                              </a:path>
                              <a:path w="5052060" h="2472690">
                                <a:moveTo>
                                  <a:pt x="660755" y="771461"/>
                                </a:moveTo>
                                <a:lnTo>
                                  <a:pt x="622033" y="771461"/>
                                </a:lnTo>
                                <a:lnTo>
                                  <a:pt x="622033" y="777811"/>
                                </a:lnTo>
                                <a:lnTo>
                                  <a:pt x="660755" y="777811"/>
                                </a:lnTo>
                                <a:lnTo>
                                  <a:pt x="660755" y="771461"/>
                                </a:lnTo>
                                <a:close/>
                              </a:path>
                              <a:path w="5052060" h="2472690">
                                <a:moveTo>
                                  <a:pt x="660755" y="578561"/>
                                </a:moveTo>
                                <a:lnTo>
                                  <a:pt x="622033" y="578561"/>
                                </a:lnTo>
                                <a:lnTo>
                                  <a:pt x="622033" y="584911"/>
                                </a:lnTo>
                                <a:lnTo>
                                  <a:pt x="660755" y="584911"/>
                                </a:lnTo>
                                <a:lnTo>
                                  <a:pt x="660755" y="578561"/>
                                </a:lnTo>
                                <a:close/>
                              </a:path>
                              <a:path w="5052060" h="2472690">
                                <a:moveTo>
                                  <a:pt x="660755" y="385648"/>
                                </a:moveTo>
                                <a:lnTo>
                                  <a:pt x="622033" y="385648"/>
                                </a:lnTo>
                                <a:lnTo>
                                  <a:pt x="622033" y="391998"/>
                                </a:lnTo>
                                <a:lnTo>
                                  <a:pt x="660755" y="391998"/>
                                </a:lnTo>
                                <a:lnTo>
                                  <a:pt x="660755" y="385648"/>
                                </a:lnTo>
                                <a:close/>
                              </a:path>
                              <a:path w="5052060" h="2472690">
                                <a:moveTo>
                                  <a:pt x="4893589" y="2121852"/>
                                </a:moveTo>
                                <a:lnTo>
                                  <a:pt x="4893589" y="2121852"/>
                                </a:lnTo>
                                <a:lnTo>
                                  <a:pt x="622033" y="2121852"/>
                                </a:lnTo>
                                <a:lnTo>
                                  <a:pt x="622033" y="2128202"/>
                                </a:lnTo>
                                <a:lnTo>
                                  <a:pt x="654405" y="2128202"/>
                                </a:lnTo>
                                <a:lnTo>
                                  <a:pt x="654405" y="2161756"/>
                                </a:lnTo>
                                <a:lnTo>
                                  <a:pt x="660755" y="2161756"/>
                                </a:lnTo>
                                <a:lnTo>
                                  <a:pt x="660755" y="2128202"/>
                                </a:lnTo>
                                <a:lnTo>
                                  <a:pt x="2062657" y="2128202"/>
                                </a:lnTo>
                                <a:lnTo>
                                  <a:pt x="2062657" y="2161756"/>
                                </a:lnTo>
                                <a:lnTo>
                                  <a:pt x="2069007" y="2161756"/>
                                </a:lnTo>
                                <a:lnTo>
                                  <a:pt x="2069007" y="2128202"/>
                                </a:lnTo>
                                <a:lnTo>
                                  <a:pt x="3478987" y="2128202"/>
                                </a:lnTo>
                                <a:lnTo>
                                  <a:pt x="3478987" y="2161756"/>
                                </a:lnTo>
                                <a:lnTo>
                                  <a:pt x="3485337" y="2161756"/>
                                </a:lnTo>
                                <a:lnTo>
                                  <a:pt x="3485337" y="2128202"/>
                                </a:lnTo>
                                <a:lnTo>
                                  <a:pt x="4887239" y="2128202"/>
                                </a:lnTo>
                                <a:lnTo>
                                  <a:pt x="4887239" y="2161756"/>
                                </a:lnTo>
                                <a:lnTo>
                                  <a:pt x="4893589" y="2161756"/>
                                </a:lnTo>
                                <a:lnTo>
                                  <a:pt x="4893589" y="2121852"/>
                                </a:lnTo>
                                <a:close/>
                              </a:path>
                              <a:path w="5052060" h="2472690">
                                <a:moveTo>
                                  <a:pt x="5051755" y="0"/>
                                </a:moveTo>
                                <a:lnTo>
                                  <a:pt x="5045405" y="0"/>
                                </a:lnTo>
                                <a:lnTo>
                                  <a:pt x="5045405" y="2540"/>
                                </a:lnTo>
                                <a:lnTo>
                                  <a:pt x="5045405" y="2997"/>
                                </a:lnTo>
                                <a:lnTo>
                                  <a:pt x="5045405" y="6172"/>
                                </a:lnTo>
                                <a:lnTo>
                                  <a:pt x="5045405" y="6350"/>
                                </a:lnTo>
                                <a:lnTo>
                                  <a:pt x="5045405" y="2465743"/>
                                </a:lnTo>
                                <a:lnTo>
                                  <a:pt x="6350" y="2465743"/>
                                </a:lnTo>
                                <a:lnTo>
                                  <a:pt x="6350" y="6350"/>
                                </a:lnTo>
                                <a:lnTo>
                                  <a:pt x="3175" y="6350"/>
                                </a:lnTo>
                                <a:lnTo>
                                  <a:pt x="3175" y="6172"/>
                                </a:lnTo>
                                <a:lnTo>
                                  <a:pt x="6350" y="6172"/>
                                </a:lnTo>
                                <a:lnTo>
                                  <a:pt x="5045405" y="6172"/>
                                </a:lnTo>
                                <a:lnTo>
                                  <a:pt x="5045405" y="2997"/>
                                </a:lnTo>
                                <a:lnTo>
                                  <a:pt x="6350" y="2997"/>
                                </a:lnTo>
                                <a:lnTo>
                                  <a:pt x="3175" y="2997"/>
                                </a:lnTo>
                                <a:lnTo>
                                  <a:pt x="3175" y="2540"/>
                                </a:lnTo>
                                <a:lnTo>
                                  <a:pt x="5045405" y="2540"/>
                                </a:lnTo>
                                <a:lnTo>
                                  <a:pt x="5045405" y="0"/>
                                </a:lnTo>
                                <a:lnTo>
                                  <a:pt x="0" y="0"/>
                                </a:lnTo>
                                <a:lnTo>
                                  <a:pt x="0" y="2540"/>
                                </a:lnTo>
                                <a:lnTo>
                                  <a:pt x="0" y="6350"/>
                                </a:lnTo>
                                <a:lnTo>
                                  <a:pt x="0" y="2466340"/>
                                </a:lnTo>
                                <a:lnTo>
                                  <a:pt x="0" y="2468880"/>
                                </a:lnTo>
                                <a:lnTo>
                                  <a:pt x="0" y="2472690"/>
                                </a:lnTo>
                                <a:lnTo>
                                  <a:pt x="5051755" y="2472690"/>
                                </a:lnTo>
                                <a:lnTo>
                                  <a:pt x="5051755" y="6350"/>
                                </a:lnTo>
                                <a:lnTo>
                                  <a:pt x="5048580" y="6350"/>
                                </a:lnTo>
                                <a:lnTo>
                                  <a:pt x="5048580" y="6172"/>
                                </a:lnTo>
                                <a:lnTo>
                                  <a:pt x="5051755" y="6172"/>
                                </a:lnTo>
                                <a:lnTo>
                                  <a:pt x="5051755" y="2997"/>
                                </a:lnTo>
                                <a:lnTo>
                                  <a:pt x="5048580" y="2997"/>
                                </a:lnTo>
                                <a:lnTo>
                                  <a:pt x="5048580" y="2540"/>
                                </a:lnTo>
                                <a:lnTo>
                                  <a:pt x="5051755" y="2540"/>
                                </a:lnTo>
                                <a:lnTo>
                                  <a:pt x="5051755"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4441246" y="120133"/>
                            <a:ext cx="57150" cy="59055"/>
                          </a:xfrm>
                          <a:custGeom>
                            <a:avLst/>
                            <a:gdLst/>
                            <a:ahLst/>
                            <a:cxnLst/>
                            <a:rect l="l" t="t" r="r" b="b"/>
                            <a:pathLst>
                              <a:path w="57150" h="59055">
                                <a:moveTo>
                                  <a:pt x="56654" y="0"/>
                                </a:moveTo>
                                <a:lnTo>
                                  <a:pt x="0" y="0"/>
                                </a:lnTo>
                                <a:lnTo>
                                  <a:pt x="0" y="58713"/>
                                </a:lnTo>
                                <a:lnTo>
                                  <a:pt x="56654" y="58713"/>
                                </a:lnTo>
                                <a:lnTo>
                                  <a:pt x="56654" y="0"/>
                                </a:lnTo>
                                <a:close/>
                              </a:path>
                            </a:pathLst>
                          </a:custGeom>
                          <a:solidFill>
                            <a:srgbClr val="2E614A"/>
                          </a:solidFill>
                        </wps:spPr>
                        <wps:bodyPr wrap="square" lIns="0" tIns="0" rIns="0" bIns="0" rtlCol="0">
                          <a:prstTxWarp prst="textNoShape">
                            <a:avLst/>
                          </a:prstTxWarp>
                          <a:noAutofit/>
                        </wps:bodyPr>
                      </wps:wsp>
                      <wps:wsp>
                        <wps:cNvPr id="1345" name="Graphic 1345"/>
                        <wps:cNvSpPr/>
                        <wps:spPr>
                          <a:xfrm>
                            <a:off x="4697304" y="120133"/>
                            <a:ext cx="57150" cy="59055"/>
                          </a:xfrm>
                          <a:custGeom>
                            <a:avLst/>
                            <a:gdLst/>
                            <a:ahLst/>
                            <a:cxnLst/>
                            <a:rect l="l" t="t" r="r" b="b"/>
                            <a:pathLst>
                              <a:path w="57150" h="59055">
                                <a:moveTo>
                                  <a:pt x="56654" y="0"/>
                                </a:moveTo>
                                <a:lnTo>
                                  <a:pt x="0" y="0"/>
                                </a:lnTo>
                                <a:lnTo>
                                  <a:pt x="0" y="58713"/>
                                </a:lnTo>
                                <a:lnTo>
                                  <a:pt x="56654" y="58713"/>
                                </a:lnTo>
                                <a:lnTo>
                                  <a:pt x="56654" y="0"/>
                                </a:lnTo>
                                <a:close/>
                              </a:path>
                            </a:pathLst>
                          </a:custGeom>
                          <a:solidFill>
                            <a:srgbClr val="9CBF3B"/>
                          </a:solidFill>
                        </wps:spPr>
                        <wps:bodyPr wrap="square" lIns="0" tIns="0" rIns="0" bIns="0" rtlCol="0">
                          <a:prstTxWarp prst="textNoShape">
                            <a:avLst/>
                          </a:prstTxWarp>
                          <a:noAutofit/>
                        </wps:bodyPr>
                      </wps:wsp>
                      <wps:wsp>
                        <wps:cNvPr id="1346" name="Graphic 1346"/>
                        <wps:cNvSpPr/>
                        <wps:spPr>
                          <a:xfrm>
                            <a:off x="653000" y="385615"/>
                            <a:ext cx="6350" cy="1739900"/>
                          </a:xfrm>
                          <a:custGeom>
                            <a:avLst/>
                            <a:gdLst/>
                            <a:ahLst/>
                            <a:cxnLst/>
                            <a:rect l="l" t="t" r="r" b="b"/>
                            <a:pathLst>
                              <a:path w="6350" h="1739900">
                                <a:moveTo>
                                  <a:pt x="6350" y="0"/>
                                </a:moveTo>
                                <a:lnTo>
                                  <a:pt x="0" y="0"/>
                                </a:lnTo>
                                <a:lnTo>
                                  <a:pt x="0" y="1739900"/>
                                </a:lnTo>
                                <a:lnTo>
                                  <a:pt x="6350" y="1739900"/>
                                </a:lnTo>
                                <a:lnTo>
                                  <a:pt x="6350" y="0"/>
                                </a:lnTo>
                                <a:close/>
                              </a:path>
                            </a:pathLst>
                          </a:custGeom>
                          <a:solidFill>
                            <a:srgbClr val="000000"/>
                          </a:solidFill>
                        </wps:spPr>
                        <wps:bodyPr wrap="square" lIns="0" tIns="0" rIns="0" bIns="0" rtlCol="0">
                          <a:prstTxWarp prst="textNoShape">
                            <a:avLst/>
                          </a:prstTxWarp>
                          <a:noAutofit/>
                        </wps:bodyPr>
                      </wps:wsp>
                      <wps:wsp>
                        <wps:cNvPr id="1347" name="Textbox 1347"/>
                        <wps:cNvSpPr txBox="1"/>
                        <wps:spPr>
                          <a:xfrm>
                            <a:off x="4545821" y="90846"/>
                            <a:ext cx="367665" cy="102235"/>
                          </a:xfrm>
                          <a:prstGeom prst="rect">
                            <a:avLst/>
                          </a:prstGeom>
                        </wps:spPr>
                        <wps:txbx>
                          <w:txbxContent>
                            <w:p>
                              <w:pPr>
                                <w:tabs>
                                  <w:tab w:pos="373" w:val="left" w:leader="none"/>
                                </w:tabs>
                                <w:spacing w:line="161" w:lineRule="exact" w:before="0"/>
                                <w:ind w:left="0" w:right="0" w:firstLine="0"/>
                                <w:jc w:val="left"/>
                                <w:rPr>
                                  <w:rFonts w:ascii="Arial MT"/>
                                  <w:sz w:val="14"/>
                                </w:rPr>
                              </w:pPr>
                              <w:r>
                                <w:rPr>
                                  <w:rFonts w:ascii="Arial MT"/>
                                  <w:spacing w:val="-5"/>
                                  <w:w w:val="90"/>
                                  <w:sz w:val="14"/>
                                </w:rPr>
                                <w:t>ITI</w:t>
                              </w:r>
                              <w:r>
                                <w:rPr>
                                  <w:rFonts w:ascii="Arial MT"/>
                                  <w:sz w:val="14"/>
                                </w:rPr>
                                <w:tab/>
                              </w:r>
                              <w:r>
                                <w:rPr>
                                  <w:rFonts w:ascii="Arial MT"/>
                                  <w:spacing w:val="-5"/>
                                  <w:w w:val="90"/>
                                  <w:sz w:val="14"/>
                                </w:rPr>
                                <w:t>ITC</w:t>
                              </w:r>
                            </w:p>
                          </w:txbxContent>
                        </wps:txbx>
                        <wps:bodyPr wrap="square" lIns="0" tIns="0" rIns="0" bIns="0" rtlCol="0">
                          <a:noAutofit/>
                        </wps:bodyPr>
                      </wps:wsp>
                      <wps:wsp>
                        <wps:cNvPr id="1348" name="Textbox 1348"/>
                        <wps:cNvSpPr txBox="1"/>
                        <wps:spPr>
                          <a:xfrm>
                            <a:off x="469795" y="356309"/>
                            <a:ext cx="93980" cy="179387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45</w:t>
                              </w:r>
                            </w:p>
                            <w:p>
                              <w:pPr>
                                <w:spacing w:before="135"/>
                                <w:ind w:left="0" w:right="0" w:firstLine="0"/>
                                <w:jc w:val="left"/>
                                <w:rPr>
                                  <w:rFonts w:ascii="Arial MT"/>
                                  <w:sz w:val="14"/>
                                </w:rPr>
                              </w:pPr>
                              <w:r>
                                <w:rPr>
                                  <w:rFonts w:ascii="Arial MT"/>
                                  <w:spacing w:val="-5"/>
                                  <w:w w:val="90"/>
                                  <w:sz w:val="14"/>
                                </w:rPr>
                                <w:t>40</w:t>
                              </w:r>
                            </w:p>
                            <w:p>
                              <w:pPr>
                                <w:spacing w:before="135"/>
                                <w:ind w:left="0" w:right="0" w:firstLine="0"/>
                                <w:jc w:val="left"/>
                                <w:rPr>
                                  <w:rFonts w:ascii="Arial MT"/>
                                  <w:sz w:val="14"/>
                                </w:rPr>
                              </w:pPr>
                              <w:r>
                                <w:rPr>
                                  <w:rFonts w:ascii="Arial MT"/>
                                  <w:spacing w:val="-5"/>
                                  <w:w w:val="90"/>
                                  <w:sz w:val="14"/>
                                </w:rPr>
                                <w:t>35</w:t>
                              </w:r>
                            </w:p>
                            <w:p>
                              <w:pPr>
                                <w:spacing w:before="135"/>
                                <w:ind w:left="0" w:right="0" w:firstLine="0"/>
                                <w:jc w:val="left"/>
                                <w:rPr>
                                  <w:rFonts w:ascii="Arial MT"/>
                                  <w:sz w:val="14"/>
                                </w:rPr>
                              </w:pPr>
                              <w:r>
                                <w:rPr>
                                  <w:rFonts w:ascii="Arial MT"/>
                                  <w:spacing w:val="-5"/>
                                  <w:w w:val="90"/>
                                  <w:sz w:val="14"/>
                                </w:rPr>
                                <w:t>30</w:t>
                              </w:r>
                            </w:p>
                            <w:p>
                              <w:pPr>
                                <w:spacing w:before="135"/>
                                <w:ind w:left="0" w:right="0" w:firstLine="0"/>
                                <w:jc w:val="left"/>
                                <w:rPr>
                                  <w:rFonts w:ascii="Arial MT"/>
                                  <w:sz w:val="14"/>
                                </w:rPr>
                              </w:pPr>
                              <w:r>
                                <w:rPr>
                                  <w:rFonts w:ascii="Arial MT"/>
                                  <w:spacing w:val="-5"/>
                                  <w:w w:val="90"/>
                                  <w:sz w:val="14"/>
                                </w:rPr>
                                <w:t>25</w:t>
                              </w:r>
                            </w:p>
                            <w:p>
                              <w:pPr>
                                <w:spacing w:before="135"/>
                                <w:ind w:left="0" w:right="0" w:firstLine="0"/>
                                <w:jc w:val="left"/>
                                <w:rPr>
                                  <w:rFonts w:ascii="Arial MT"/>
                                  <w:sz w:val="14"/>
                                </w:rPr>
                              </w:pPr>
                              <w:r>
                                <w:rPr>
                                  <w:rFonts w:ascii="Arial MT"/>
                                  <w:spacing w:val="-5"/>
                                  <w:w w:val="90"/>
                                  <w:sz w:val="14"/>
                                </w:rPr>
                                <w:t>20</w:t>
                              </w:r>
                            </w:p>
                            <w:p>
                              <w:pPr>
                                <w:spacing w:before="135"/>
                                <w:ind w:left="0" w:right="0" w:firstLine="0"/>
                                <w:jc w:val="left"/>
                                <w:rPr>
                                  <w:rFonts w:ascii="Arial MT"/>
                                  <w:sz w:val="14"/>
                                </w:rPr>
                              </w:pPr>
                              <w:r>
                                <w:rPr>
                                  <w:rFonts w:ascii="Arial MT"/>
                                  <w:spacing w:val="-5"/>
                                  <w:w w:val="90"/>
                                  <w:sz w:val="14"/>
                                </w:rPr>
                                <w:t>15</w:t>
                              </w:r>
                            </w:p>
                            <w:p>
                              <w:pPr>
                                <w:spacing w:before="135"/>
                                <w:ind w:left="0" w:right="0" w:firstLine="0"/>
                                <w:jc w:val="left"/>
                                <w:rPr>
                                  <w:rFonts w:ascii="Arial MT"/>
                                  <w:sz w:val="14"/>
                                </w:rPr>
                              </w:pPr>
                              <w:r>
                                <w:rPr>
                                  <w:rFonts w:ascii="Arial MT"/>
                                  <w:spacing w:val="-5"/>
                                  <w:w w:val="90"/>
                                  <w:sz w:val="14"/>
                                </w:rPr>
                                <w:t>10</w:t>
                              </w:r>
                            </w:p>
                            <w:p>
                              <w:pPr>
                                <w:spacing w:before="135"/>
                                <w:ind w:left="63" w:right="0" w:firstLine="0"/>
                                <w:jc w:val="left"/>
                                <w:rPr>
                                  <w:rFonts w:ascii="Arial MT"/>
                                  <w:sz w:val="14"/>
                                </w:rPr>
                              </w:pPr>
                              <w:r>
                                <w:rPr>
                                  <w:rFonts w:ascii="Arial MT"/>
                                  <w:spacing w:val="-10"/>
                                  <w:w w:val="90"/>
                                  <w:sz w:val="14"/>
                                </w:rPr>
                                <w:t>5</w:t>
                              </w:r>
                            </w:p>
                            <w:p>
                              <w:pPr>
                                <w:spacing w:before="135"/>
                                <w:ind w:left="63"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349" name="Textbox 1349"/>
                        <wps:cNvSpPr txBox="1"/>
                        <wps:spPr>
                          <a:xfrm>
                            <a:off x="1332129" y="2180303"/>
                            <a:ext cx="2235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Orissa</w:t>
                              </w:r>
                            </w:p>
                          </w:txbxContent>
                        </wps:txbx>
                        <wps:bodyPr wrap="square" lIns="0" tIns="0" rIns="0" bIns="0" rtlCol="0">
                          <a:noAutofit/>
                        </wps:bodyPr>
                      </wps:wsp>
                      <wps:wsp>
                        <wps:cNvPr id="1350" name="Textbox 1350"/>
                        <wps:cNvSpPr txBox="1"/>
                        <wps:spPr>
                          <a:xfrm>
                            <a:off x="2479809" y="2180303"/>
                            <a:ext cx="53975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Andhra</w:t>
                              </w:r>
                              <w:r>
                                <w:rPr>
                                  <w:rFonts w:ascii="Arial MT"/>
                                  <w:spacing w:val="-3"/>
                                  <w:sz w:val="14"/>
                                </w:rPr>
                                <w:t> </w:t>
                              </w:r>
                              <w:r>
                                <w:rPr>
                                  <w:rFonts w:ascii="Arial MT"/>
                                  <w:spacing w:val="-2"/>
                                  <w:w w:val="85"/>
                                  <w:sz w:val="14"/>
                                </w:rPr>
                                <w:t>Pradesh</w:t>
                              </w:r>
                            </w:p>
                          </w:txbxContent>
                        </wps:txbx>
                        <wps:bodyPr wrap="square" lIns="0" tIns="0" rIns="0" bIns="0" rtlCol="0">
                          <a:noAutofit/>
                        </wps:bodyPr>
                      </wps:wsp>
                      <wps:wsp>
                        <wps:cNvPr id="1351" name="Textbox 1351"/>
                        <wps:cNvSpPr txBox="1"/>
                        <wps:spPr>
                          <a:xfrm>
                            <a:off x="3996814" y="2180303"/>
                            <a:ext cx="42227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0"/>
                                  <w:sz w:val="14"/>
                                </w:rPr>
                                <w:t>Maharashtra</w:t>
                              </w:r>
                            </w:p>
                          </w:txbxContent>
                        </wps:txbx>
                        <wps:bodyPr wrap="square" lIns="0" tIns="0" rIns="0" bIns="0" rtlCol="0">
                          <a:noAutofit/>
                        </wps:bodyPr>
                      </wps:wsp>
                    </wpg:wgp>
                  </a:graphicData>
                </a:graphic>
              </wp:anchor>
            </w:drawing>
          </mc:Choice>
          <mc:Fallback>
            <w:pict>
              <v:group style="position:absolute;margin-left:100.662613pt;margin-top:20.865479pt;width:397.8pt;height:194.7pt;mso-position-horizontal-relative:page;mso-position-vertical-relative:paragraph;z-index:15814144" id="docshapegroup1323" coordorigin="2013,417" coordsize="7956,3894">
                <v:shape style="position:absolute;left:3656;top:2769;width:506;height:992" id="docshape1324" coordorigin="3656,2769" coordsize="506,992" path="m4161,2769l3656,2769,3656,2777,3656,2783,3656,3747,3656,3753,3656,3761,4161,3761,4161,3753,4158,3753,4158,3747,4158,2783,4155,2783,4155,2783,4158,2783,4158,2777,4161,2777,4161,2769xe" filled="true" fillcolor="#2e614a" stroked="false">
                  <v:path arrowok="t"/>
                  <v:fill type="solid"/>
                </v:shape>
                <v:rect style="position:absolute;left:4157;top:2419;width:482;height:1335" id="docshape1325" filled="true" fillcolor="#9cbf3b" stroked="false">
                  <v:fill type="solid"/>
                </v:rect>
                <v:shape style="position:absolute;left:4151;top:2413;width:496;height:1348" id="docshape1326" coordorigin="4151,2413" coordsize="496,1348" path="m4646,2413l4633,2413,4633,2419,4633,2420,4633,2426,4633,2427,4633,3747,4164,3747,4164,2427,4158,2427,4158,2426,4164,2426,4633,2426,4633,2420,4164,2420,4158,2420,4158,2419,4633,2419,4633,2413,4151,2413,4151,2419,4151,2427,4151,3747,4151,3753,4151,3761,4646,3761,4646,2427,4640,2427,4640,2426,4646,2426,4646,2420,4640,2420,4640,2419,4646,2419,4646,2413xe" filled="true" fillcolor="#a2b0a2" stroked="false">
                  <v:path arrowok="t"/>
                  <v:fill type="solid"/>
                </v:shape>
                <v:rect style="position:absolute;left:5880;top:1267;width:495;height:2497" id="docshape1327" filled="true" fillcolor="#2e614a" stroked="false">
                  <v:fill type="solid"/>
                </v:rect>
                <v:rect style="position:absolute;left:6375;top:2363;width:496;height:1401" id="docshape1328" filled="true" fillcolor="#9cbf3b" stroked="false">
                  <v:fill type="solid"/>
                </v:rect>
                <v:rect style="position:absolute;left:8104;top:1571;width:500;height:2193" id="docshape1329" filled="true" fillcolor="#2e614a" stroked="false">
                  <v:fill type="solid"/>
                </v:rect>
                <v:rect style="position:absolute;left:8604;top:1571;width:490;height:2193" id="docshape1330" filled="true" fillcolor="#9cbf3b" stroked="false">
                  <v:fill type="solid"/>
                </v:rect>
                <v:shape style="position:absolute;left:2013;top:417;width:7956;height:3894" id="docshape1331" coordorigin="2013,417" coordsize="7956,3894" path="m3054,3455l2993,3455,2993,3465,3054,3465,3054,3455xm3054,3151l2993,3151,2993,3161,3054,3161,3054,3151xm3054,2847l2993,2847,2993,2857,3054,2857,3054,2847xm3054,2544l2993,2544,2993,2554,3054,2554,3054,2544xm3054,2240l2993,2240,2993,2250,3054,2250,3054,2240xm3054,1936l2993,1936,2993,1946,3054,1946,3054,1936xm3054,1632l2993,1632,2993,1642,3054,1642,3054,1632xm3054,1328l2993,1328,2993,1338,3054,1338,3054,1328xm3054,1025l2993,1025,2993,1035,3054,1035,3054,1025xm9720,3759l9710,3759,7502,3759,7492,3759,5272,3759,5262,3759,3054,3759,3044,3759,2993,3759,2993,3769,3044,3769,3044,3822,3054,3822,3054,3769,5262,3769,5262,3822,5272,3822,5272,3769,7492,3769,7492,3822,7502,3822,7502,3769,9710,3769,9710,3822,9720,3822,9720,3759xm9969,417l9959,417,9959,421,9959,422,9959,427,9959,427,9959,4300,2023,4300,2023,427,2018,427,2018,427,2023,427,9959,427,9959,422,2023,422,2018,422,2018,421,9959,421,9959,417,2013,417,2013,421,2013,427,2013,4301,2013,4305,2013,4311,9969,4311,9969,4305,9969,4305,9969,4301,9969,4300,9969,427,9964,427,9964,427,9969,427,9969,422,9964,422,9964,421,9969,421,9969,417xe" filled="true" fillcolor="#000000" stroked="false">
                  <v:path arrowok="t"/>
                  <v:fill type="solid"/>
                </v:shape>
                <v:rect style="position:absolute;left:9007;top:606;width:90;height:93" id="docshape1332" filled="true" fillcolor="#2e614a" stroked="false">
                  <v:fill type="solid"/>
                </v:rect>
                <v:rect style="position:absolute;left:9410;top:606;width:90;height:93" id="docshape1333" filled="true" fillcolor="#9cbf3b" stroked="false">
                  <v:fill type="solid"/>
                </v:rect>
                <v:rect style="position:absolute;left:3041;top:1024;width:10;height:2740" id="docshape1334" filled="true" fillcolor="#000000" stroked="false">
                  <v:fill type="solid"/>
                </v:rect>
                <v:shape style="position:absolute;left:9172;top:560;width:579;height:161" type="#_x0000_t202" id="docshape1335" filled="false" stroked="false">
                  <v:textbox inset="0,0,0,0">
                    <w:txbxContent>
                      <w:p>
                        <w:pPr>
                          <w:tabs>
                            <w:tab w:pos="373" w:val="left" w:leader="none"/>
                          </w:tabs>
                          <w:spacing w:line="161" w:lineRule="exact" w:before="0"/>
                          <w:ind w:left="0" w:right="0" w:firstLine="0"/>
                          <w:jc w:val="left"/>
                          <w:rPr>
                            <w:rFonts w:ascii="Arial MT"/>
                            <w:sz w:val="14"/>
                          </w:rPr>
                        </w:pPr>
                        <w:r>
                          <w:rPr>
                            <w:rFonts w:ascii="Arial MT"/>
                            <w:spacing w:val="-5"/>
                            <w:w w:val="90"/>
                            <w:sz w:val="14"/>
                          </w:rPr>
                          <w:t>ITI</w:t>
                        </w:r>
                        <w:r>
                          <w:rPr>
                            <w:rFonts w:ascii="Arial MT"/>
                            <w:sz w:val="14"/>
                          </w:rPr>
                          <w:tab/>
                        </w:r>
                        <w:r>
                          <w:rPr>
                            <w:rFonts w:ascii="Arial MT"/>
                            <w:spacing w:val="-5"/>
                            <w:w w:val="90"/>
                            <w:sz w:val="14"/>
                          </w:rPr>
                          <w:t>ITC</w:t>
                        </w:r>
                      </w:p>
                    </w:txbxContent>
                  </v:textbox>
                  <w10:wrap type="none"/>
                </v:shape>
                <v:shape style="position:absolute;left:2753;top:978;width:148;height:2825" type="#_x0000_t202" id="docshape1336" filled="false" stroked="false">
                  <v:textbox inset="0,0,0,0">
                    <w:txbxContent>
                      <w:p>
                        <w:pPr>
                          <w:spacing w:line="161" w:lineRule="exact" w:before="0"/>
                          <w:ind w:left="0" w:right="0" w:firstLine="0"/>
                          <w:jc w:val="left"/>
                          <w:rPr>
                            <w:rFonts w:ascii="Arial MT"/>
                            <w:sz w:val="14"/>
                          </w:rPr>
                        </w:pPr>
                        <w:r>
                          <w:rPr>
                            <w:rFonts w:ascii="Arial MT"/>
                            <w:spacing w:val="-5"/>
                            <w:w w:val="90"/>
                            <w:sz w:val="14"/>
                          </w:rPr>
                          <w:t>45</w:t>
                        </w:r>
                      </w:p>
                      <w:p>
                        <w:pPr>
                          <w:spacing w:before="135"/>
                          <w:ind w:left="0" w:right="0" w:firstLine="0"/>
                          <w:jc w:val="left"/>
                          <w:rPr>
                            <w:rFonts w:ascii="Arial MT"/>
                            <w:sz w:val="14"/>
                          </w:rPr>
                        </w:pPr>
                        <w:r>
                          <w:rPr>
                            <w:rFonts w:ascii="Arial MT"/>
                            <w:spacing w:val="-5"/>
                            <w:w w:val="90"/>
                            <w:sz w:val="14"/>
                          </w:rPr>
                          <w:t>40</w:t>
                        </w:r>
                      </w:p>
                      <w:p>
                        <w:pPr>
                          <w:spacing w:before="135"/>
                          <w:ind w:left="0" w:right="0" w:firstLine="0"/>
                          <w:jc w:val="left"/>
                          <w:rPr>
                            <w:rFonts w:ascii="Arial MT"/>
                            <w:sz w:val="14"/>
                          </w:rPr>
                        </w:pPr>
                        <w:r>
                          <w:rPr>
                            <w:rFonts w:ascii="Arial MT"/>
                            <w:spacing w:val="-5"/>
                            <w:w w:val="90"/>
                            <w:sz w:val="14"/>
                          </w:rPr>
                          <w:t>35</w:t>
                        </w:r>
                      </w:p>
                      <w:p>
                        <w:pPr>
                          <w:spacing w:before="135"/>
                          <w:ind w:left="0" w:right="0" w:firstLine="0"/>
                          <w:jc w:val="left"/>
                          <w:rPr>
                            <w:rFonts w:ascii="Arial MT"/>
                            <w:sz w:val="14"/>
                          </w:rPr>
                        </w:pPr>
                        <w:r>
                          <w:rPr>
                            <w:rFonts w:ascii="Arial MT"/>
                            <w:spacing w:val="-5"/>
                            <w:w w:val="90"/>
                            <w:sz w:val="14"/>
                          </w:rPr>
                          <w:t>30</w:t>
                        </w:r>
                      </w:p>
                      <w:p>
                        <w:pPr>
                          <w:spacing w:before="135"/>
                          <w:ind w:left="0" w:right="0" w:firstLine="0"/>
                          <w:jc w:val="left"/>
                          <w:rPr>
                            <w:rFonts w:ascii="Arial MT"/>
                            <w:sz w:val="14"/>
                          </w:rPr>
                        </w:pPr>
                        <w:r>
                          <w:rPr>
                            <w:rFonts w:ascii="Arial MT"/>
                            <w:spacing w:val="-5"/>
                            <w:w w:val="90"/>
                            <w:sz w:val="14"/>
                          </w:rPr>
                          <w:t>25</w:t>
                        </w:r>
                      </w:p>
                      <w:p>
                        <w:pPr>
                          <w:spacing w:before="135"/>
                          <w:ind w:left="0" w:right="0" w:firstLine="0"/>
                          <w:jc w:val="left"/>
                          <w:rPr>
                            <w:rFonts w:ascii="Arial MT"/>
                            <w:sz w:val="14"/>
                          </w:rPr>
                        </w:pPr>
                        <w:r>
                          <w:rPr>
                            <w:rFonts w:ascii="Arial MT"/>
                            <w:spacing w:val="-5"/>
                            <w:w w:val="90"/>
                            <w:sz w:val="14"/>
                          </w:rPr>
                          <w:t>20</w:t>
                        </w:r>
                      </w:p>
                      <w:p>
                        <w:pPr>
                          <w:spacing w:before="135"/>
                          <w:ind w:left="0" w:right="0" w:firstLine="0"/>
                          <w:jc w:val="left"/>
                          <w:rPr>
                            <w:rFonts w:ascii="Arial MT"/>
                            <w:sz w:val="14"/>
                          </w:rPr>
                        </w:pPr>
                        <w:r>
                          <w:rPr>
                            <w:rFonts w:ascii="Arial MT"/>
                            <w:spacing w:val="-5"/>
                            <w:w w:val="90"/>
                            <w:sz w:val="14"/>
                          </w:rPr>
                          <w:t>15</w:t>
                        </w:r>
                      </w:p>
                      <w:p>
                        <w:pPr>
                          <w:spacing w:before="135"/>
                          <w:ind w:left="0" w:right="0" w:firstLine="0"/>
                          <w:jc w:val="left"/>
                          <w:rPr>
                            <w:rFonts w:ascii="Arial MT"/>
                            <w:sz w:val="14"/>
                          </w:rPr>
                        </w:pPr>
                        <w:r>
                          <w:rPr>
                            <w:rFonts w:ascii="Arial MT"/>
                            <w:spacing w:val="-5"/>
                            <w:w w:val="90"/>
                            <w:sz w:val="14"/>
                          </w:rPr>
                          <w:t>10</w:t>
                        </w:r>
                      </w:p>
                      <w:p>
                        <w:pPr>
                          <w:spacing w:before="135"/>
                          <w:ind w:left="63" w:right="0" w:firstLine="0"/>
                          <w:jc w:val="left"/>
                          <w:rPr>
                            <w:rFonts w:ascii="Arial MT"/>
                            <w:sz w:val="14"/>
                          </w:rPr>
                        </w:pPr>
                        <w:r>
                          <w:rPr>
                            <w:rFonts w:ascii="Arial MT"/>
                            <w:spacing w:val="-10"/>
                            <w:w w:val="90"/>
                            <w:sz w:val="14"/>
                          </w:rPr>
                          <w:t>5</w:t>
                        </w:r>
                      </w:p>
                      <w:p>
                        <w:pPr>
                          <w:spacing w:before="135"/>
                          <w:ind w:left="63" w:right="0" w:firstLine="0"/>
                          <w:jc w:val="left"/>
                          <w:rPr>
                            <w:rFonts w:ascii="Arial MT"/>
                            <w:sz w:val="14"/>
                          </w:rPr>
                        </w:pPr>
                        <w:r>
                          <w:rPr>
                            <w:rFonts w:ascii="Arial MT"/>
                            <w:spacing w:val="-10"/>
                            <w:w w:val="90"/>
                            <w:sz w:val="14"/>
                          </w:rPr>
                          <w:t>0</w:t>
                        </w:r>
                      </w:p>
                    </w:txbxContent>
                  </v:textbox>
                  <w10:wrap type="none"/>
                </v:shape>
                <v:shape style="position:absolute;left:4111;top:3850;width:352;height:161" type="#_x0000_t202" id="docshape1337" filled="false" stroked="false">
                  <v:textbox inset="0,0,0,0">
                    <w:txbxContent>
                      <w:p>
                        <w:pPr>
                          <w:spacing w:line="161" w:lineRule="exact" w:before="0"/>
                          <w:ind w:left="0" w:right="0" w:firstLine="0"/>
                          <w:jc w:val="left"/>
                          <w:rPr>
                            <w:rFonts w:ascii="Arial MT"/>
                            <w:sz w:val="14"/>
                          </w:rPr>
                        </w:pPr>
                        <w:r>
                          <w:rPr>
                            <w:rFonts w:ascii="Arial MT"/>
                            <w:spacing w:val="-2"/>
                            <w:w w:val="85"/>
                            <w:sz w:val="14"/>
                          </w:rPr>
                          <w:t>Orissa</w:t>
                        </w:r>
                      </w:p>
                    </w:txbxContent>
                  </v:textbox>
                  <w10:wrap type="none"/>
                </v:shape>
                <v:shape style="position:absolute;left:5918;top:3850;width:850;height:161" type="#_x0000_t202" id="docshape1338" filled="false" stroked="false">
                  <v:textbox inset="0,0,0,0">
                    <w:txbxContent>
                      <w:p>
                        <w:pPr>
                          <w:spacing w:line="161" w:lineRule="exact" w:before="0"/>
                          <w:ind w:left="0" w:right="0" w:firstLine="0"/>
                          <w:jc w:val="left"/>
                          <w:rPr>
                            <w:rFonts w:ascii="Arial MT"/>
                            <w:sz w:val="14"/>
                          </w:rPr>
                        </w:pPr>
                        <w:r>
                          <w:rPr>
                            <w:rFonts w:ascii="Arial MT"/>
                            <w:w w:val="80"/>
                            <w:sz w:val="14"/>
                          </w:rPr>
                          <w:t>Andhra</w:t>
                        </w:r>
                        <w:r>
                          <w:rPr>
                            <w:rFonts w:ascii="Arial MT"/>
                            <w:spacing w:val="-3"/>
                            <w:sz w:val="14"/>
                          </w:rPr>
                          <w:t> </w:t>
                        </w:r>
                        <w:r>
                          <w:rPr>
                            <w:rFonts w:ascii="Arial MT"/>
                            <w:spacing w:val="-2"/>
                            <w:w w:val="85"/>
                            <w:sz w:val="14"/>
                          </w:rPr>
                          <w:t>Pradesh</w:t>
                        </w:r>
                      </w:p>
                    </w:txbxContent>
                  </v:textbox>
                  <w10:wrap type="none"/>
                </v:shape>
                <v:shape style="position:absolute;left:8307;top:3850;width:665;height:161" type="#_x0000_t202" id="docshape1339" filled="false" stroked="false">
                  <v:textbox inset="0,0,0,0">
                    <w:txbxContent>
                      <w:p>
                        <w:pPr>
                          <w:spacing w:line="161" w:lineRule="exact" w:before="0"/>
                          <w:ind w:left="0" w:right="0" w:firstLine="0"/>
                          <w:jc w:val="left"/>
                          <w:rPr>
                            <w:rFonts w:ascii="Arial MT"/>
                            <w:sz w:val="14"/>
                          </w:rPr>
                        </w:pPr>
                        <w:r>
                          <w:rPr>
                            <w:rFonts w:ascii="Arial MT"/>
                            <w:spacing w:val="-2"/>
                            <w:w w:val="80"/>
                            <w:sz w:val="14"/>
                          </w:rPr>
                          <w:t>Maharashtra</w:t>
                        </w:r>
                      </w:p>
                    </w:txbxContent>
                  </v:textbox>
                  <w10:wrap type="none"/>
                </v:shape>
                <w10:wrap type="none"/>
              </v:group>
            </w:pict>
          </mc:Fallback>
        </mc:AlternateContent>
      </w:r>
      <w:r>
        <w:rPr>
          <w:spacing w:val="-8"/>
        </w:rPr>
        <w:t>Figure</w:t>
      </w:r>
      <w:r>
        <w:rPr>
          <w:spacing w:val="-1"/>
        </w:rPr>
        <w:t> </w:t>
      </w:r>
      <w:r>
        <w:rPr>
          <w:spacing w:val="-8"/>
        </w:rPr>
        <w:t>14:</w:t>
      </w:r>
      <w:r>
        <w:rPr>
          <w:spacing w:val="-1"/>
        </w:rPr>
        <w:t> </w:t>
      </w:r>
      <w:r>
        <w:rPr>
          <w:color w:val="2E614A"/>
          <w:spacing w:val="-8"/>
        </w:rPr>
        <w:t>Employment</w:t>
      </w:r>
      <w:r>
        <w:rPr>
          <w:color w:val="2E614A"/>
        </w:rPr>
        <w:t> </w:t>
      </w:r>
      <w:r>
        <w:rPr>
          <w:color w:val="2E614A"/>
          <w:spacing w:val="-8"/>
        </w:rPr>
        <w:t>status</w:t>
      </w:r>
      <w:r>
        <w:rPr>
          <w:color w:val="2E614A"/>
          <w:spacing w:val="-1"/>
        </w:rPr>
        <w:t> </w:t>
      </w:r>
      <w:r>
        <w:rPr>
          <w:color w:val="2E614A"/>
          <w:spacing w:val="-8"/>
        </w:rPr>
        <w:t>of</w:t>
      </w:r>
      <w:r>
        <w:rPr>
          <w:color w:val="2E614A"/>
          <w:spacing w:val="-1"/>
        </w:rPr>
        <w:t> </w:t>
      </w:r>
      <w:r>
        <w:rPr>
          <w:color w:val="2E614A"/>
          <w:spacing w:val="-8"/>
        </w:rPr>
        <w:t>ITI/ITC</w:t>
      </w:r>
      <w:r>
        <w:rPr>
          <w:color w:val="2E614A"/>
        </w:rPr>
        <w:t> </w:t>
      </w:r>
      <w:r>
        <w:rPr>
          <w:color w:val="2E614A"/>
          <w:spacing w:val="-8"/>
        </w:rPr>
        <w:t>graduates</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3"/>
        <w:rPr>
          <w:b/>
          <w:sz w:val="16"/>
        </w:rPr>
      </w:pPr>
    </w:p>
    <w:p>
      <w:pPr>
        <w:spacing w:before="0"/>
        <w:ind w:left="2031" w:right="0" w:firstLine="0"/>
        <w:jc w:val="left"/>
        <w:rPr>
          <w:sz w:val="16"/>
        </w:rPr>
      </w:pPr>
      <w:r>
        <w:rPr/>
        <mc:AlternateContent>
          <mc:Choice Requires="wps">
            <w:drawing>
              <wp:anchor distT="0" distB="0" distL="0" distR="0" allowOverlap="1" layoutInCell="1" locked="0" behindDoc="0" simplePos="0" relativeHeight="15814656">
                <wp:simplePos x="0" y="0"/>
                <wp:positionH relativeFrom="page">
                  <wp:posOffset>1460761</wp:posOffset>
                </wp:positionH>
                <wp:positionV relativeFrom="paragraph">
                  <wp:posOffset>-1975388</wp:posOffset>
                </wp:positionV>
                <wp:extent cx="127635" cy="1488440"/>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127635" cy="1488440"/>
                        </a:xfrm>
                        <a:prstGeom prst="rect">
                          <a:avLst/>
                        </a:prstGeom>
                      </wps:spPr>
                      <wps:txbx>
                        <w:txbxContent>
                          <w:p>
                            <w:pPr>
                              <w:spacing w:before="19"/>
                              <w:ind w:left="20" w:right="0" w:firstLine="0"/>
                              <w:jc w:val="left"/>
                              <w:rPr>
                                <w:rFonts w:ascii="Arial MT"/>
                                <w:sz w:val="14"/>
                              </w:rPr>
                            </w:pPr>
                            <w:r>
                              <w:rPr>
                                <w:rFonts w:ascii="Arial MT"/>
                                <w:w w:val="80"/>
                                <w:sz w:val="14"/>
                              </w:rPr>
                              <w:t>%</w:t>
                            </w:r>
                            <w:r>
                              <w:rPr>
                                <w:rFonts w:ascii="Arial MT"/>
                                <w:spacing w:val="-2"/>
                                <w:sz w:val="14"/>
                              </w:rPr>
                              <w:t> </w:t>
                            </w:r>
                            <w:r>
                              <w:rPr>
                                <w:rFonts w:ascii="Arial MT"/>
                                <w:w w:val="80"/>
                                <w:sz w:val="14"/>
                              </w:rPr>
                              <w:t>of</w:t>
                            </w:r>
                            <w:r>
                              <w:rPr>
                                <w:rFonts w:ascii="Arial MT"/>
                                <w:spacing w:val="-1"/>
                                <w:sz w:val="14"/>
                              </w:rPr>
                              <w:t> </w:t>
                            </w:r>
                            <w:r>
                              <w:rPr>
                                <w:rFonts w:ascii="Arial MT"/>
                                <w:w w:val="80"/>
                                <w:sz w:val="14"/>
                              </w:rPr>
                              <w:t>graduates</w:t>
                            </w:r>
                            <w:r>
                              <w:rPr>
                                <w:rFonts w:ascii="Arial MT"/>
                                <w:spacing w:val="-2"/>
                                <w:sz w:val="14"/>
                              </w:rPr>
                              <w:t> </w:t>
                            </w:r>
                            <w:r>
                              <w:rPr>
                                <w:rFonts w:ascii="Arial MT"/>
                                <w:w w:val="80"/>
                                <w:sz w:val="14"/>
                              </w:rPr>
                              <w:t>employed</w:t>
                            </w:r>
                            <w:r>
                              <w:rPr>
                                <w:rFonts w:ascii="Arial MT"/>
                                <w:spacing w:val="-1"/>
                                <w:sz w:val="14"/>
                              </w:rPr>
                              <w:t> </w:t>
                            </w:r>
                            <w:r>
                              <w:rPr>
                                <w:rFonts w:ascii="Arial MT"/>
                                <w:w w:val="80"/>
                                <w:sz w:val="14"/>
                              </w:rPr>
                              <w:t>in</w:t>
                            </w:r>
                            <w:r>
                              <w:rPr>
                                <w:rFonts w:ascii="Arial MT"/>
                                <w:spacing w:val="-2"/>
                                <w:sz w:val="14"/>
                              </w:rPr>
                              <w:t> </w:t>
                            </w:r>
                            <w:r>
                              <w:rPr>
                                <w:rFonts w:ascii="Arial MT"/>
                                <w:w w:val="80"/>
                                <w:sz w:val="14"/>
                              </w:rPr>
                              <w:t>organised</w:t>
                            </w:r>
                            <w:r>
                              <w:rPr>
                                <w:rFonts w:ascii="Arial MT"/>
                                <w:spacing w:val="-1"/>
                                <w:sz w:val="14"/>
                              </w:rPr>
                              <w:t> </w:t>
                            </w:r>
                            <w:r>
                              <w:rPr>
                                <w:rFonts w:ascii="Arial MT"/>
                                <w:spacing w:val="-2"/>
                                <w:w w:val="80"/>
                                <w:sz w:val="14"/>
                              </w:rPr>
                              <w:t>sector</w:t>
                            </w:r>
                          </w:p>
                        </w:txbxContent>
                      </wps:txbx>
                      <wps:bodyPr wrap="square" lIns="0" tIns="0" rIns="0" bIns="0" rtlCol="0" vert="vert270">
                        <a:noAutofit/>
                      </wps:bodyPr>
                    </wps:wsp>
                  </a:graphicData>
                </a:graphic>
              </wp:anchor>
            </w:drawing>
          </mc:Choice>
          <mc:Fallback>
            <w:pict>
              <v:shape style="position:absolute;margin-left:115.020554pt;margin-top:-155.542435pt;width:10.050pt;height:117.2pt;mso-position-horizontal-relative:page;mso-position-vertical-relative:paragraph;z-index:15814656" type="#_x0000_t202" id="docshape1340"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w:t>
                      </w:r>
                      <w:r>
                        <w:rPr>
                          <w:rFonts w:ascii="Arial MT"/>
                          <w:spacing w:val="-2"/>
                          <w:sz w:val="14"/>
                        </w:rPr>
                        <w:t> </w:t>
                      </w:r>
                      <w:r>
                        <w:rPr>
                          <w:rFonts w:ascii="Arial MT"/>
                          <w:w w:val="80"/>
                          <w:sz w:val="14"/>
                        </w:rPr>
                        <w:t>of</w:t>
                      </w:r>
                      <w:r>
                        <w:rPr>
                          <w:rFonts w:ascii="Arial MT"/>
                          <w:spacing w:val="-1"/>
                          <w:sz w:val="14"/>
                        </w:rPr>
                        <w:t> </w:t>
                      </w:r>
                      <w:r>
                        <w:rPr>
                          <w:rFonts w:ascii="Arial MT"/>
                          <w:w w:val="80"/>
                          <w:sz w:val="14"/>
                        </w:rPr>
                        <w:t>graduates</w:t>
                      </w:r>
                      <w:r>
                        <w:rPr>
                          <w:rFonts w:ascii="Arial MT"/>
                          <w:spacing w:val="-2"/>
                          <w:sz w:val="14"/>
                        </w:rPr>
                        <w:t> </w:t>
                      </w:r>
                      <w:r>
                        <w:rPr>
                          <w:rFonts w:ascii="Arial MT"/>
                          <w:w w:val="80"/>
                          <w:sz w:val="14"/>
                        </w:rPr>
                        <w:t>employed</w:t>
                      </w:r>
                      <w:r>
                        <w:rPr>
                          <w:rFonts w:ascii="Arial MT"/>
                          <w:spacing w:val="-1"/>
                          <w:sz w:val="14"/>
                        </w:rPr>
                        <w:t> </w:t>
                      </w:r>
                      <w:r>
                        <w:rPr>
                          <w:rFonts w:ascii="Arial MT"/>
                          <w:w w:val="80"/>
                          <w:sz w:val="14"/>
                        </w:rPr>
                        <w:t>in</w:t>
                      </w:r>
                      <w:r>
                        <w:rPr>
                          <w:rFonts w:ascii="Arial MT"/>
                          <w:spacing w:val="-2"/>
                          <w:sz w:val="14"/>
                        </w:rPr>
                        <w:t> </w:t>
                      </w:r>
                      <w:r>
                        <w:rPr>
                          <w:rFonts w:ascii="Arial MT"/>
                          <w:w w:val="80"/>
                          <w:sz w:val="14"/>
                        </w:rPr>
                        <w:t>organised</w:t>
                      </w:r>
                      <w:r>
                        <w:rPr>
                          <w:rFonts w:ascii="Arial MT"/>
                          <w:spacing w:val="-1"/>
                          <w:sz w:val="14"/>
                        </w:rPr>
                        <w:t> </w:t>
                      </w:r>
                      <w:r>
                        <w:rPr>
                          <w:rFonts w:ascii="Arial MT"/>
                          <w:spacing w:val="-2"/>
                          <w:w w:val="80"/>
                          <w:sz w:val="14"/>
                        </w:rPr>
                        <w:t>sector</w:t>
                      </w:r>
                    </w:p>
                  </w:txbxContent>
                </v:textbox>
                <w10:wrap type="none"/>
              </v:shape>
            </w:pict>
          </mc:Fallback>
        </mc:AlternateContent>
      </w:r>
      <w:r>
        <w:rPr>
          <w:i/>
          <w:spacing w:val="-4"/>
          <w:sz w:val="16"/>
        </w:rPr>
        <w:t>Source:</w:t>
      </w:r>
      <w:r>
        <w:rPr>
          <w:i/>
          <w:spacing w:val="2"/>
          <w:sz w:val="16"/>
        </w:rPr>
        <w:t> </w:t>
      </w:r>
      <w:r>
        <w:rPr>
          <w:spacing w:val="-4"/>
          <w:sz w:val="16"/>
        </w:rPr>
        <w:t>Industrial</w:t>
      </w:r>
      <w:r>
        <w:rPr>
          <w:spacing w:val="-5"/>
          <w:sz w:val="16"/>
        </w:rPr>
        <w:t> </w:t>
      </w:r>
      <w:r>
        <w:rPr>
          <w:spacing w:val="-4"/>
          <w:sz w:val="16"/>
        </w:rPr>
        <w:t>Training</w:t>
      </w:r>
      <w:r>
        <w:rPr>
          <w:spacing w:val="3"/>
          <w:sz w:val="16"/>
        </w:rPr>
        <w:t> </w:t>
      </w:r>
      <w:r>
        <w:rPr>
          <w:spacing w:val="-4"/>
          <w:sz w:val="16"/>
        </w:rPr>
        <w:t>Institutes</w:t>
      </w:r>
      <w:r>
        <w:rPr>
          <w:spacing w:val="3"/>
          <w:sz w:val="16"/>
        </w:rPr>
        <w:t> </w:t>
      </w:r>
      <w:r>
        <w:rPr>
          <w:spacing w:val="-4"/>
          <w:sz w:val="16"/>
        </w:rPr>
        <w:t>of</w:t>
      </w:r>
      <w:r>
        <w:rPr>
          <w:spacing w:val="3"/>
          <w:sz w:val="16"/>
        </w:rPr>
        <w:t> </w:t>
      </w:r>
      <w:r>
        <w:rPr>
          <w:spacing w:val="-4"/>
          <w:sz w:val="16"/>
        </w:rPr>
        <w:t>India:</w:t>
      </w:r>
      <w:r>
        <w:rPr>
          <w:spacing w:val="-6"/>
          <w:sz w:val="16"/>
        </w:rPr>
        <w:t> </w:t>
      </w:r>
      <w:r>
        <w:rPr>
          <w:spacing w:val="-4"/>
          <w:sz w:val="16"/>
        </w:rPr>
        <w:t>The</w:t>
      </w:r>
      <w:r>
        <w:rPr>
          <w:spacing w:val="3"/>
          <w:sz w:val="16"/>
        </w:rPr>
        <w:t> </w:t>
      </w:r>
      <w:r>
        <w:rPr>
          <w:spacing w:val="-4"/>
          <w:sz w:val="16"/>
        </w:rPr>
        <w:t>Efficiency</w:t>
      </w:r>
      <w:r>
        <w:rPr>
          <w:spacing w:val="3"/>
          <w:sz w:val="16"/>
        </w:rPr>
        <w:t> </w:t>
      </w:r>
      <w:r>
        <w:rPr>
          <w:spacing w:val="-4"/>
          <w:sz w:val="16"/>
        </w:rPr>
        <w:t>Study</w:t>
      </w:r>
      <w:r>
        <w:rPr>
          <w:spacing w:val="3"/>
          <w:sz w:val="16"/>
        </w:rPr>
        <w:t> </w:t>
      </w:r>
      <w:r>
        <w:rPr>
          <w:spacing w:val="-4"/>
          <w:sz w:val="16"/>
        </w:rPr>
        <w:t>Report,</w:t>
      </w:r>
      <w:r>
        <w:rPr>
          <w:spacing w:val="3"/>
          <w:sz w:val="16"/>
        </w:rPr>
        <w:t> </w:t>
      </w:r>
      <w:r>
        <w:rPr>
          <w:spacing w:val="-4"/>
          <w:sz w:val="16"/>
        </w:rPr>
        <w:t>ILO,</w:t>
      </w:r>
      <w:r>
        <w:rPr>
          <w:spacing w:val="3"/>
          <w:sz w:val="16"/>
        </w:rPr>
        <w:t> </w:t>
      </w:r>
      <w:r>
        <w:rPr>
          <w:spacing w:val="-4"/>
          <w:sz w:val="16"/>
        </w:rPr>
        <w:t>2003</w:t>
      </w:r>
    </w:p>
    <w:p>
      <w:pPr>
        <w:pStyle w:val="BodyText"/>
        <w:spacing w:before="153"/>
        <w:rPr>
          <w:sz w:val="24"/>
        </w:rPr>
      </w:pPr>
    </w:p>
    <w:p>
      <w:pPr>
        <w:pStyle w:val="Heading8"/>
        <w:spacing w:before="1"/>
        <w:ind w:left="1080"/>
      </w:pPr>
      <w:r>
        <w:rPr>
          <w:spacing w:val="-8"/>
        </w:rPr>
        <w:t>Table</w:t>
      </w:r>
      <w:r>
        <w:rPr>
          <w:spacing w:val="-5"/>
        </w:rPr>
        <w:t> </w:t>
      </w:r>
      <w:r>
        <w:rPr>
          <w:spacing w:val="-8"/>
        </w:rPr>
        <w:t>9:</w:t>
      </w:r>
      <w:r>
        <w:rPr>
          <w:spacing w:val="-4"/>
        </w:rPr>
        <w:t> </w:t>
      </w:r>
      <w:r>
        <w:rPr>
          <w:color w:val="2E614A"/>
          <w:spacing w:val="-8"/>
        </w:rPr>
        <w:t>Internal</w:t>
      </w:r>
      <w:r>
        <w:rPr>
          <w:color w:val="2E614A"/>
          <w:spacing w:val="-4"/>
        </w:rPr>
        <w:t> </w:t>
      </w:r>
      <w:r>
        <w:rPr>
          <w:color w:val="2E614A"/>
          <w:spacing w:val="-8"/>
        </w:rPr>
        <w:t>efficiency</w:t>
      </w:r>
      <w:r>
        <w:rPr>
          <w:color w:val="2E614A"/>
          <w:spacing w:val="-4"/>
        </w:rPr>
        <w:t> </w:t>
      </w:r>
      <w:r>
        <w:rPr>
          <w:color w:val="2E614A"/>
          <w:spacing w:val="-8"/>
        </w:rPr>
        <w:t>of</w:t>
      </w:r>
      <w:r>
        <w:rPr>
          <w:color w:val="2E614A"/>
          <w:spacing w:val="-4"/>
        </w:rPr>
        <w:t> </w:t>
      </w:r>
      <w:r>
        <w:rPr>
          <w:color w:val="2E614A"/>
          <w:spacing w:val="-8"/>
        </w:rPr>
        <w:t>ITIs</w:t>
      </w:r>
      <w:r>
        <w:rPr>
          <w:color w:val="2E614A"/>
          <w:spacing w:val="-4"/>
        </w:rPr>
        <w:t> </w:t>
      </w:r>
      <w:r>
        <w:rPr>
          <w:color w:val="2E614A"/>
          <w:spacing w:val="-8"/>
        </w:rPr>
        <w:t>and</w:t>
      </w:r>
      <w:r>
        <w:rPr>
          <w:color w:val="2E614A"/>
          <w:spacing w:val="-4"/>
        </w:rPr>
        <w:t> </w:t>
      </w:r>
      <w:r>
        <w:rPr>
          <w:color w:val="2E614A"/>
          <w:spacing w:val="-8"/>
        </w:rPr>
        <w:t>ITCs</w:t>
      </w:r>
      <w:r>
        <w:rPr>
          <w:color w:val="2E614A"/>
          <w:spacing w:val="-5"/>
        </w:rPr>
        <w:t> </w:t>
      </w:r>
      <w:r>
        <w:rPr>
          <w:color w:val="2E614A"/>
          <w:spacing w:val="-8"/>
        </w:rPr>
        <w:t>in</w:t>
      </w:r>
      <w:r>
        <w:rPr>
          <w:color w:val="2E614A"/>
          <w:spacing w:val="-4"/>
        </w:rPr>
        <w:t> </w:t>
      </w:r>
      <w:r>
        <w:rPr>
          <w:color w:val="2E614A"/>
          <w:spacing w:val="-8"/>
        </w:rPr>
        <w:t>3</w:t>
      </w:r>
      <w:r>
        <w:rPr>
          <w:color w:val="2E614A"/>
          <w:spacing w:val="-4"/>
        </w:rPr>
        <w:t> </w:t>
      </w:r>
      <w:r>
        <w:rPr>
          <w:color w:val="2E614A"/>
          <w:spacing w:val="-8"/>
        </w:rPr>
        <w:t>states</w:t>
      </w:r>
    </w:p>
    <w:p>
      <w:pPr>
        <w:pStyle w:val="BodyText"/>
        <w:spacing w:before="3"/>
        <w:rPr>
          <w:b/>
          <w:sz w:val="10"/>
        </w:rPr>
      </w:pPr>
    </w:p>
    <w:tbl>
      <w:tblPr>
        <w:tblW w:w="0" w:type="auto"/>
        <w:jc w:val="left"/>
        <w:tblInd w:w="10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19"/>
        <w:gridCol w:w="1223"/>
        <w:gridCol w:w="1223"/>
        <w:gridCol w:w="1223"/>
        <w:gridCol w:w="1223"/>
        <w:gridCol w:w="1223"/>
        <w:gridCol w:w="1223"/>
      </w:tblGrid>
      <w:tr>
        <w:trPr>
          <w:trHeight w:val="321" w:hRule="atLeast"/>
        </w:trPr>
        <w:tc>
          <w:tcPr>
            <w:tcW w:w="2419" w:type="dxa"/>
            <w:shd w:val="clear" w:color="auto" w:fill="D0D5CD"/>
          </w:tcPr>
          <w:p>
            <w:pPr>
              <w:pStyle w:val="TableParagraph"/>
              <w:ind w:left="90"/>
              <w:rPr>
                <w:b/>
                <w:sz w:val="20"/>
              </w:rPr>
            </w:pPr>
            <w:r>
              <w:rPr>
                <w:b/>
                <w:spacing w:val="-2"/>
                <w:sz w:val="20"/>
              </w:rPr>
              <w:t>Indicator</w:t>
            </w:r>
          </w:p>
        </w:tc>
        <w:tc>
          <w:tcPr>
            <w:tcW w:w="2446" w:type="dxa"/>
            <w:gridSpan w:val="2"/>
            <w:shd w:val="clear" w:color="auto" w:fill="D0D5CD"/>
          </w:tcPr>
          <w:p>
            <w:pPr>
              <w:pStyle w:val="TableParagraph"/>
              <w:ind w:left="5"/>
              <w:jc w:val="center"/>
              <w:rPr>
                <w:b/>
                <w:sz w:val="20"/>
              </w:rPr>
            </w:pPr>
            <w:r>
              <w:rPr>
                <w:b/>
                <w:spacing w:val="-2"/>
                <w:sz w:val="20"/>
              </w:rPr>
              <w:t>Orissa</w:t>
            </w:r>
          </w:p>
        </w:tc>
        <w:tc>
          <w:tcPr>
            <w:tcW w:w="2446" w:type="dxa"/>
            <w:gridSpan w:val="2"/>
            <w:shd w:val="clear" w:color="auto" w:fill="D0D5CD"/>
          </w:tcPr>
          <w:p>
            <w:pPr>
              <w:pStyle w:val="TableParagraph"/>
              <w:ind w:left="589"/>
              <w:rPr>
                <w:b/>
                <w:sz w:val="20"/>
              </w:rPr>
            </w:pPr>
            <w:r>
              <w:rPr>
                <w:b/>
                <w:w w:val="90"/>
                <w:sz w:val="20"/>
              </w:rPr>
              <w:t>Andhra</w:t>
            </w:r>
            <w:r>
              <w:rPr>
                <w:b/>
                <w:spacing w:val="-8"/>
                <w:w w:val="90"/>
                <w:sz w:val="20"/>
              </w:rPr>
              <w:t> </w:t>
            </w:r>
            <w:r>
              <w:rPr>
                <w:b/>
                <w:spacing w:val="-2"/>
                <w:sz w:val="20"/>
              </w:rPr>
              <w:t>Pradesh</w:t>
            </w:r>
          </w:p>
        </w:tc>
        <w:tc>
          <w:tcPr>
            <w:tcW w:w="2446" w:type="dxa"/>
            <w:gridSpan w:val="2"/>
            <w:shd w:val="clear" w:color="auto" w:fill="D0D5CD"/>
          </w:tcPr>
          <w:p>
            <w:pPr>
              <w:pStyle w:val="TableParagraph"/>
              <w:ind w:left="722"/>
              <w:rPr>
                <w:b/>
                <w:sz w:val="20"/>
              </w:rPr>
            </w:pPr>
            <w:r>
              <w:rPr>
                <w:b/>
                <w:spacing w:val="-2"/>
                <w:w w:val="95"/>
                <w:sz w:val="20"/>
              </w:rPr>
              <w:t>Maharashtra</w:t>
            </w:r>
          </w:p>
        </w:tc>
      </w:tr>
      <w:tr>
        <w:trPr>
          <w:trHeight w:val="321" w:hRule="atLeast"/>
        </w:trPr>
        <w:tc>
          <w:tcPr>
            <w:tcW w:w="2419" w:type="dxa"/>
            <w:shd w:val="clear" w:color="auto" w:fill="E9E9E9"/>
          </w:tcPr>
          <w:p>
            <w:pPr>
              <w:pStyle w:val="TableParagraph"/>
              <w:spacing w:before="0"/>
              <w:rPr>
                <w:sz w:val="20"/>
              </w:rPr>
            </w:pPr>
          </w:p>
        </w:tc>
        <w:tc>
          <w:tcPr>
            <w:tcW w:w="1223" w:type="dxa"/>
            <w:shd w:val="clear" w:color="auto" w:fill="E9E9E9"/>
          </w:tcPr>
          <w:p>
            <w:pPr>
              <w:pStyle w:val="TableParagraph"/>
              <w:ind w:right="432"/>
              <w:jc w:val="right"/>
              <w:rPr>
                <w:b/>
                <w:sz w:val="20"/>
              </w:rPr>
            </w:pPr>
            <w:r>
              <w:rPr>
                <w:b/>
                <w:spacing w:val="-4"/>
                <w:sz w:val="20"/>
              </w:rPr>
              <w:t>ITIs</w:t>
            </w:r>
          </w:p>
        </w:tc>
        <w:tc>
          <w:tcPr>
            <w:tcW w:w="1223" w:type="dxa"/>
            <w:shd w:val="clear" w:color="auto" w:fill="E9E9E9"/>
          </w:tcPr>
          <w:p>
            <w:pPr>
              <w:pStyle w:val="TableParagraph"/>
              <w:ind w:left="78" w:right="73"/>
              <w:jc w:val="center"/>
              <w:rPr>
                <w:b/>
                <w:sz w:val="20"/>
              </w:rPr>
            </w:pPr>
            <w:r>
              <w:rPr>
                <w:b/>
                <w:spacing w:val="-4"/>
                <w:sz w:val="20"/>
              </w:rPr>
              <w:t>ITCs</w:t>
            </w:r>
          </w:p>
        </w:tc>
        <w:tc>
          <w:tcPr>
            <w:tcW w:w="1223" w:type="dxa"/>
            <w:shd w:val="clear" w:color="auto" w:fill="E9E9E9"/>
          </w:tcPr>
          <w:p>
            <w:pPr>
              <w:pStyle w:val="TableParagraph"/>
              <w:ind w:left="78" w:right="74"/>
              <w:jc w:val="center"/>
              <w:rPr>
                <w:b/>
                <w:sz w:val="20"/>
              </w:rPr>
            </w:pPr>
            <w:r>
              <w:rPr>
                <w:b/>
                <w:spacing w:val="-4"/>
                <w:sz w:val="20"/>
              </w:rPr>
              <w:t>ITIs</w:t>
            </w:r>
          </w:p>
        </w:tc>
        <w:tc>
          <w:tcPr>
            <w:tcW w:w="1223" w:type="dxa"/>
            <w:shd w:val="clear" w:color="auto" w:fill="E9E9E9"/>
          </w:tcPr>
          <w:p>
            <w:pPr>
              <w:pStyle w:val="TableParagraph"/>
              <w:ind w:left="78" w:right="74"/>
              <w:jc w:val="center"/>
              <w:rPr>
                <w:b/>
                <w:sz w:val="20"/>
              </w:rPr>
            </w:pPr>
            <w:r>
              <w:rPr>
                <w:b/>
                <w:spacing w:val="-4"/>
                <w:sz w:val="20"/>
              </w:rPr>
              <w:t>ITCs</w:t>
            </w:r>
          </w:p>
        </w:tc>
        <w:tc>
          <w:tcPr>
            <w:tcW w:w="1223" w:type="dxa"/>
            <w:shd w:val="clear" w:color="auto" w:fill="E9E9E9"/>
          </w:tcPr>
          <w:p>
            <w:pPr>
              <w:pStyle w:val="TableParagraph"/>
              <w:ind w:right="432"/>
              <w:jc w:val="right"/>
              <w:rPr>
                <w:b/>
                <w:sz w:val="20"/>
              </w:rPr>
            </w:pPr>
            <w:r>
              <w:rPr>
                <w:b/>
                <w:spacing w:val="-4"/>
                <w:sz w:val="20"/>
              </w:rPr>
              <w:t>ITIs</w:t>
            </w:r>
          </w:p>
        </w:tc>
        <w:tc>
          <w:tcPr>
            <w:tcW w:w="1223" w:type="dxa"/>
            <w:shd w:val="clear" w:color="auto" w:fill="E9E9E9"/>
          </w:tcPr>
          <w:p>
            <w:pPr>
              <w:pStyle w:val="TableParagraph"/>
              <w:ind w:right="400"/>
              <w:jc w:val="right"/>
              <w:rPr>
                <w:b/>
                <w:sz w:val="20"/>
              </w:rPr>
            </w:pPr>
            <w:r>
              <w:rPr>
                <w:b/>
                <w:spacing w:val="-4"/>
                <w:sz w:val="20"/>
              </w:rPr>
              <w:t>ITCs</w:t>
            </w:r>
          </w:p>
        </w:tc>
      </w:tr>
      <w:tr>
        <w:trPr>
          <w:trHeight w:val="321" w:hRule="atLeast"/>
        </w:trPr>
        <w:tc>
          <w:tcPr>
            <w:tcW w:w="2419" w:type="dxa"/>
            <w:shd w:val="clear" w:color="auto" w:fill="D0D5CD"/>
          </w:tcPr>
          <w:p>
            <w:pPr>
              <w:pStyle w:val="TableParagraph"/>
              <w:ind w:left="90"/>
              <w:rPr>
                <w:sz w:val="20"/>
              </w:rPr>
            </w:pPr>
            <w:r>
              <w:rPr>
                <w:sz w:val="20"/>
              </w:rPr>
              <w:t>Student</w:t>
            </w:r>
            <w:r>
              <w:rPr>
                <w:spacing w:val="-10"/>
                <w:sz w:val="20"/>
              </w:rPr>
              <w:t> </w:t>
            </w:r>
            <w:r>
              <w:rPr>
                <w:spacing w:val="-2"/>
                <w:sz w:val="20"/>
              </w:rPr>
              <w:t>retention</w:t>
            </w:r>
          </w:p>
        </w:tc>
        <w:tc>
          <w:tcPr>
            <w:tcW w:w="1223" w:type="dxa"/>
            <w:shd w:val="clear" w:color="auto" w:fill="D0D5CD"/>
          </w:tcPr>
          <w:p>
            <w:pPr>
              <w:pStyle w:val="TableParagraph"/>
              <w:ind w:right="442"/>
              <w:jc w:val="right"/>
              <w:rPr>
                <w:sz w:val="20"/>
              </w:rPr>
            </w:pPr>
            <w:r>
              <w:rPr>
                <w:spacing w:val="-4"/>
                <w:sz w:val="20"/>
              </w:rPr>
              <w:t>80.9</w:t>
            </w:r>
          </w:p>
        </w:tc>
        <w:tc>
          <w:tcPr>
            <w:tcW w:w="1223" w:type="dxa"/>
            <w:shd w:val="clear" w:color="auto" w:fill="D0D5CD"/>
          </w:tcPr>
          <w:p>
            <w:pPr>
              <w:pStyle w:val="TableParagraph"/>
              <w:ind w:left="78" w:right="97"/>
              <w:jc w:val="center"/>
              <w:rPr>
                <w:sz w:val="20"/>
              </w:rPr>
            </w:pPr>
            <w:r>
              <w:rPr>
                <w:spacing w:val="-4"/>
                <w:sz w:val="20"/>
              </w:rPr>
              <w:t>94.9</w:t>
            </w:r>
          </w:p>
        </w:tc>
        <w:tc>
          <w:tcPr>
            <w:tcW w:w="1223" w:type="dxa"/>
            <w:shd w:val="clear" w:color="auto" w:fill="D0D5CD"/>
          </w:tcPr>
          <w:p>
            <w:pPr>
              <w:pStyle w:val="TableParagraph"/>
              <w:ind w:left="78" w:right="98"/>
              <w:jc w:val="center"/>
              <w:rPr>
                <w:sz w:val="20"/>
              </w:rPr>
            </w:pPr>
            <w:r>
              <w:rPr>
                <w:spacing w:val="-4"/>
                <w:sz w:val="20"/>
              </w:rPr>
              <w:t>68.3</w:t>
            </w:r>
          </w:p>
        </w:tc>
        <w:tc>
          <w:tcPr>
            <w:tcW w:w="1223" w:type="dxa"/>
            <w:shd w:val="clear" w:color="auto" w:fill="D0D5CD"/>
          </w:tcPr>
          <w:p>
            <w:pPr>
              <w:pStyle w:val="TableParagraph"/>
              <w:ind w:left="78" w:right="98"/>
              <w:jc w:val="center"/>
              <w:rPr>
                <w:sz w:val="20"/>
              </w:rPr>
            </w:pPr>
            <w:r>
              <w:rPr>
                <w:spacing w:val="-4"/>
                <w:sz w:val="20"/>
              </w:rPr>
              <w:t>84.8</w:t>
            </w:r>
          </w:p>
        </w:tc>
        <w:tc>
          <w:tcPr>
            <w:tcW w:w="1223" w:type="dxa"/>
            <w:shd w:val="clear" w:color="auto" w:fill="D0D5CD"/>
          </w:tcPr>
          <w:p>
            <w:pPr>
              <w:pStyle w:val="TableParagraph"/>
              <w:ind w:right="443"/>
              <w:jc w:val="right"/>
              <w:rPr>
                <w:sz w:val="20"/>
              </w:rPr>
            </w:pPr>
            <w:r>
              <w:rPr>
                <w:spacing w:val="-4"/>
                <w:sz w:val="20"/>
              </w:rPr>
              <w:t>85.6</w:t>
            </w:r>
          </w:p>
        </w:tc>
        <w:tc>
          <w:tcPr>
            <w:tcW w:w="1223" w:type="dxa"/>
            <w:shd w:val="clear" w:color="auto" w:fill="D0D5CD"/>
          </w:tcPr>
          <w:p>
            <w:pPr>
              <w:pStyle w:val="TableParagraph"/>
              <w:ind w:right="443"/>
              <w:jc w:val="right"/>
              <w:rPr>
                <w:sz w:val="20"/>
              </w:rPr>
            </w:pPr>
            <w:r>
              <w:rPr>
                <w:spacing w:val="-5"/>
                <w:sz w:val="20"/>
              </w:rPr>
              <w:t>89</w:t>
            </w:r>
          </w:p>
        </w:tc>
      </w:tr>
      <w:tr>
        <w:trPr>
          <w:trHeight w:val="321" w:hRule="atLeast"/>
        </w:trPr>
        <w:tc>
          <w:tcPr>
            <w:tcW w:w="2419" w:type="dxa"/>
            <w:shd w:val="clear" w:color="auto" w:fill="E9E9E9"/>
          </w:tcPr>
          <w:p>
            <w:pPr>
              <w:pStyle w:val="TableParagraph"/>
              <w:ind w:left="90"/>
              <w:rPr>
                <w:sz w:val="20"/>
              </w:rPr>
            </w:pPr>
            <w:r>
              <w:rPr>
                <w:spacing w:val="-2"/>
                <w:sz w:val="20"/>
              </w:rPr>
              <w:t>Graduation</w:t>
            </w:r>
            <w:r>
              <w:rPr>
                <w:spacing w:val="4"/>
                <w:sz w:val="20"/>
              </w:rPr>
              <w:t> </w:t>
            </w:r>
            <w:r>
              <w:rPr>
                <w:spacing w:val="-4"/>
                <w:sz w:val="20"/>
              </w:rPr>
              <w:t>rate</w:t>
            </w:r>
          </w:p>
        </w:tc>
        <w:tc>
          <w:tcPr>
            <w:tcW w:w="1223" w:type="dxa"/>
            <w:shd w:val="clear" w:color="auto" w:fill="E9E9E9"/>
          </w:tcPr>
          <w:p>
            <w:pPr>
              <w:pStyle w:val="TableParagraph"/>
              <w:ind w:right="442"/>
              <w:jc w:val="right"/>
              <w:rPr>
                <w:sz w:val="20"/>
              </w:rPr>
            </w:pPr>
            <w:r>
              <w:rPr>
                <w:spacing w:val="-4"/>
                <w:sz w:val="20"/>
              </w:rPr>
              <w:t>88.3</w:t>
            </w:r>
          </w:p>
        </w:tc>
        <w:tc>
          <w:tcPr>
            <w:tcW w:w="1223" w:type="dxa"/>
            <w:shd w:val="clear" w:color="auto" w:fill="E9E9E9"/>
          </w:tcPr>
          <w:p>
            <w:pPr>
              <w:pStyle w:val="TableParagraph"/>
              <w:ind w:left="78" w:right="97"/>
              <w:jc w:val="center"/>
              <w:rPr>
                <w:sz w:val="20"/>
              </w:rPr>
            </w:pPr>
            <w:r>
              <w:rPr>
                <w:spacing w:val="-4"/>
                <w:sz w:val="20"/>
              </w:rPr>
              <w:t>95.6</w:t>
            </w:r>
          </w:p>
        </w:tc>
        <w:tc>
          <w:tcPr>
            <w:tcW w:w="1223" w:type="dxa"/>
            <w:shd w:val="clear" w:color="auto" w:fill="E9E9E9"/>
          </w:tcPr>
          <w:p>
            <w:pPr>
              <w:pStyle w:val="TableParagraph"/>
              <w:ind w:left="78" w:right="98"/>
              <w:jc w:val="center"/>
              <w:rPr>
                <w:sz w:val="20"/>
              </w:rPr>
            </w:pPr>
            <w:r>
              <w:rPr>
                <w:spacing w:val="-4"/>
                <w:sz w:val="20"/>
              </w:rPr>
              <w:t>62.9</w:t>
            </w:r>
          </w:p>
        </w:tc>
        <w:tc>
          <w:tcPr>
            <w:tcW w:w="1223" w:type="dxa"/>
            <w:shd w:val="clear" w:color="auto" w:fill="E9E9E9"/>
          </w:tcPr>
          <w:p>
            <w:pPr>
              <w:pStyle w:val="TableParagraph"/>
              <w:ind w:left="78" w:right="98"/>
              <w:jc w:val="center"/>
              <w:rPr>
                <w:sz w:val="20"/>
              </w:rPr>
            </w:pPr>
            <w:r>
              <w:rPr>
                <w:spacing w:val="-4"/>
                <w:sz w:val="20"/>
              </w:rPr>
              <w:t>62.7</w:t>
            </w:r>
          </w:p>
        </w:tc>
        <w:tc>
          <w:tcPr>
            <w:tcW w:w="1223" w:type="dxa"/>
            <w:shd w:val="clear" w:color="auto" w:fill="E9E9E9"/>
          </w:tcPr>
          <w:p>
            <w:pPr>
              <w:pStyle w:val="TableParagraph"/>
              <w:ind w:right="443"/>
              <w:jc w:val="right"/>
              <w:rPr>
                <w:sz w:val="20"/>
              </w:rPr>
            </w:pPr>
            <w:r>
              <w:rPr>
                <w:spacing w:val="-4"/>
                <w:sz w:val="20"/>
              </w:rPr>
              <w:t>77.5</w:t>
            </w:r>
          </w:p>
        </w:tc>
        <w:tc>
          <w:tcPr>
            <w:tcW w:w="1223" w:type="dxa"/>
            <w:shd w:val="clear" w:color="auto" w:fill="E9E9E9"/>
          </w:tcPr>
          <w:p>
            <w:pPr>
              <w:pStyle w:val="TableParagraph"/>
              <w:ind w:right="443"/>
              <w:jc w:val="right"/>
              <w:rPr>
                <w:sz w:val="20"/>
              </w:rPr>
            </w:pPr>
            <w:r>
              <w:rPr>
                <w:spacing w:val="-4"/>
                <w:sz w:val="20"/>
              </w:rPr>
              <w:t>79.4</w:t>
            </w:r>
          </w:p>
        </w:tc>
      </w:tr>
      <w:tr>
        <w:trPr>
          <w:trHeight w:val="321" w:hRule="atLeast"/>
        </w:trPr>
        <w:tc>
          <w:tcPr>
            <w:tcW w:w="2419" w:type="dxa"/>
            <w:shd w:val="clear" w:color="auto" w:fill="D0D5CD"/>
          </w:tcPr>
          <w:p>
            <w:pPr>
              <w:pStyle w:val="TableParagraph"/>
              <w:ind w:left="90"/>
              <w:rPr>
                <w:sz w:val="20"/>
              </w:rPr>
            </w:pPr>
            <w:r>
              <w:rPr>
                <w:spacing w:val="-4"/>
                <w:sz w:val="20"/>
              </w:rPr>
              <w:t>Capacity</w:t>
            </w:r>
            <w:r>
              <w:rPr>
                <w:spacing w:val="3"/>
                <w:sz w:val="20"/>
              </w:rPr>
              <w:t> </w:t>
            </w:r>
            <w:r>
              <w:rPr>
                <w:spacing w:val="-2"/>
                <w:sz w:val="20"/>
              </w:rPr>
              <w:t>utilisation</w:t>
            </w:r>
          </w:p>
        </w:tc>
        <w:tc>
          <w:tcPr>
            <w:tcW w:w="1223" w:type="dxa"/>
            <w:shd w:val="clear" w:color="auto" w:fill="D0D5CD"/>
          </w:tcPr>
          <w:p>
            <w:pPr>
              <w:pStyle w:val="TableParagraph"/>
              <w:ind w:right="442"/>
              <w:jc w:val="right"/>
              <w:rPr>
                <w:sz w:val="20"/>
              </w:rPr>
            </w:pPr>
            <w:r>
              <w:rPr>
                <w:spacing w:val="-2"/>
                <w:sz w:val="20"/>
              </w:rPr>
              <w:t>102.1</w:t>
            </w:r>
          </w:p>
        </w:tc>
        <w:tc>
          <w:tcPr>
            <w:tcW w:w="1223" w:type="dxa"/>
            <w:shd w:val="clear" w:color="auto" w:fill="D0D5CD"/>
          </w:tcPr>
          <w:p>
            <w:pPr>
              <w:pStyle w:val="TableParagraph"/>
              <w:ind w:left="78" w:right="50"/>
              <w:jc w:val="center"/>
              <w:rPr>
                <w:sz w:val="20"/>
              </w:rPr>
            </w:pPr>
            <w:r>
              <w:rPr>
                <w:spacing w:val="-5"/>
                <w:sz w:val="20"/>
              </w:rPr>
              <w:t>101</w:t>
            </w:r>
          </w:p>
        </w:tc>
        <w:tc>
          <w:tcPr>
            <w:tcW w:w="1223" w:type="dxa"/>
            <w:shd w:val="clear" w:color="auto" w:fill="D0D5CD"/>
          </w:tcPr>
          <w:p>
            <w:pPr>
              <w:pStyle w:val="TableParagraph"/>
              <w:ind w:left="78" w:right="98"/>
              <w:jc w:val="center"/>
              <w:rPr>
                <w:sz w:val="20"/>
              </w:rPr>
            </w:pPr>
            <w:r>
              <w:rPr>
                <w:spacing w:val="-4"/>
                <w:sz w:val="20"/>
              </w:rPr>
              <w:t>77.4</w:t>
            </w:r>
          </w:p>
        </w:tc>
        <w:tc>
          <w:tcPr>
            <w:tcW w:w="1223" w:type="dxa"/>
            <w:shd w:val="clear" w:color="auto" w:fill="D0D5CD"/>
          </w:tcPr>
          <w:p>
            <w:pPr>
              <w:pStyle w:val="TableParagraph"/>
              <w:ind w:left="78" w:right="98"/>
              <w:jc w:val="center"/>
              <w:rPr>
                <w:sz w:val="20"/>
              </w:rPr>
            </w:pPr>
            <w:r>
              <w:rPr>
                <w:spacing w:val="-4"/>
                <w:sz w:val="20"/>
              </w:rPr>
              <w:t>83.3</w:t>
            </w:r>
          </w:p>
        </w:tc>
        <w:tc>
          <w:tcPr>
            <w:tcW w:w="1223" w:type="dxa"/>
            <w:shd w:val="clear" w:color="auto" w:fill="D0D5CD"/>
          </w:tcPr>
          <w:p>
            <w:pPr>
              <w:pStyle w:val="TableParagraph"/>
              <w:ind w:right="443"/>
              <w:jc w:val="right"/>
              <w:rPr>
                <w:sz w:val="20"/>
              </w:rPr>
            </w:pPr>
            <w:r>
              <w:rPr>
                <w:spacing w:val="-4"/>
                <w:sz w:val="20"/>
              </w:rPr>
              <w:t>92.2</w:t>
            </w:r>
          </w:p>
        </w:tc>
        <w:tc>
          <w:tcPr>
            <w:tcW w:w="1223" w:type="dxa"/>
            <w:shd w:val="clear" w:color="auto" w:fill="D0D5CD"/>
          </w:tcPr>
          <w:p>
            <w:pPr>
              <w:pStyle w:val="TableParagraph"/>
              <w:ind w:right="443"/>
              <w:jc w:val="right"/>
              <w:rPr>
                <w:sz w:val="20"/>
              </w:rPr>
            </w:pPr>
            <w:r>
              <w:rPr>
                <w:spacing w:val="-5"/>
                <w:sz w:val="20"/>
              </w:rPr>
              <w:t>91</w:t>
            </w:r>
          </w:p>
        </w:tc>
      </w:tr>
      <w:tr>
        <w:trPr>
          <w:trHeight w:val="321" w:hRule="atLeast"/>
        </w:trPr>
        <w:tc>
          <w:tcPr>
            <w:tcW w:w="2419" w:type="dxa"/>
            <w:shd w:val="clear" w:color="auto" w:fill="E9E9E9"/>
          </w:tcPr>
          <w:p>
            <w:pPr>
              <w:pStyle w:val="TableParagraph"/>
              <w:ind w:left="90"/>
              <w:rPr>
                <w:sz w:val="20"/>
              </w:rPr>
            </w:pPr>
            <w:r>
              <w:rPr>
                <w:spacing w:val="-5"/>
                <w:sz w:val="20"/>
              </w:rPr>
              <w:t>Student:Teacher</w:t>
            </w:r>
            <w:r>
              <w:rPr>
                <w:spacing w:val="10"/>
                <w:sz w:val="20"/>
              </w:rPr>
              <w:t> </w:t>
            </w:r>
            <w:r>
              <w:rPr>
                <w:spacing w:val="-2"/>
                <w:sz w:val="20"/>
              </w:rPr>
              <w:t>ratio</w:t>
            </w:r>
          </w:p>
        </w:tc>
        <w:tc>
          <w:tcPr>
            <w:tcW w:w="1223" w:type="dxa"/>
            <w:shd w:val="clear" w:color="auto" w:fill="E9E9E9"/>
          </w:tcPr>
          <w:p>
            <w:pPr>
              <w:pStyle w:val="TableParagraph"/>
              <w:ind w:right="442"/>
              <w:jc w:val="right"/>
              <w:rPr>
                <w:sz w:val="20"/>
              </w:rPr>
            </w:pPr>
            <w:r>
              <w:rPr>
                <w:spacing w:val="-5"/>
                <w:sz w:val="20"/>
              </w:rPr>
              <w:t>9.3</w:t>
            </w:r>
          </w:p>
        </w:tc>
        <w:tc>
          <w:tcPr>
            <w:tcW w:w="1223" w:type="dxa"/>
            <w:shd w:val="clear" w:color="auto" w:fill="E9E9E9"/>
          </w:tcPr>
          <w:p>
            <w:pPr>
              <w:pStyle w:val="TableParagraph"/>
              <w:ind w:left="98" w:right="20"/>
              <w:jc w:val="center"/>
              <w:rPr>
                <w:sz w:val="20"/>
              </w:rPr>
            </w:pPr>
            <w:r>
              <w:rPr>
                <w:spacing w:val="-5"/>
                <w:sz w:val="20"/>
              </w:rPr>
              <w:t>5.4</w:t>
            </w:r>
          </w:p>
        </w:tc>
        <w:tc>
          <w:tcPr>
            <w:tcW w:w="1223" w:type="dxa"/>
            <w:shd w:val="clear" w:color="auto" w:fill="E9E9E9"/>
          </w:tcPr>
          <w:p>
            <w:pPr>
              <w:pStyle w:val="TableParagraph"/>
              <w:ind w:left="97" w:right="20"/>
              <w:jc w:val="center"/>
              <w:rPr>
                <w:sz w:val="20"/>
              </w:rPr>
            </w:pPr>
            <w:r>
              <w:rPr>
                <w:spacing w:val="-5"/>
                <w:sz w:val="20"/>
              </w:rPr>
              <w:t>5.5</w:t>
            </w:r>
          </w:p>
        </w:tc>
        <w:tc>
          <w:tcPr>
            <w:tcW w:w="1223" w:type="dxa"/>
            <w:shd w:val="clear" w:color="auto" w:fill="E9E9E9"/>
          </w:tcPr>
          <w:p>
            <w:pPr>
              <w:pStyle w:val="TableParagraph"/>
              <w:ind w:left="97" w:right="20"/>
              <w:jc w:val="center"/>
              <w:rPr>
                <w:sz w:val="20"/>
              </w:rPr>
            </w:pPr>
            <w:r>
              <w:rPr>
                <w:spacing w:val="-5"/>
                <w:sz w:val="20"/>
              </w:rPr>
              <w:t>9.6</w:t>
            </w:r>
          </w:p>
        </w:tc>
        <w:tc>
          <w:tcPr>
            <w:tcW w:w="1223" w:type="dxa"/>
            <w:shd w:val="clear" w:color="auto" w:fill="E9E9E9"/>
          </w:tcPr>
          <w:p>
            <w:pPr>
              <w:pStyle w:val="TableParagraph"/>
              <w:ind w:right="443"/>
              <w:jc w:val="right"/>
              <w:rPr>
                <w:sz w:val="20"/>
              </w:rPr>
            </w:pPr>
            <w:r>
              <w:rPr>
                <w:spacing w:val="-10"/>
                <w:sz w:val="20"/>
              </w:rPr>
              <w:t>-</w:t>
            </w:r>
          </w:p>
        </w:tc>
        <w:tc>
          <w:tcPr>
            <w:tcW w:w="1223" w:type="dxa"/>
            <w:shd w:val="clear" w:color="auto" w:fill="E9E9E9"/>
          </w:tcPr>
          <w:p>
            <w:pPr>
              <w:pStyle w:val="TableParagraph"/>
              <w:ind w:right="443"/>
              <w:jc w:val="right"/>
              <w:rPr>
                <w:sz w:val="20"/>
              </w:rPr>
            </w:pPr>
            <w:r>
              <w:rPr>
                <w:spacing w:val="-10"/>
                <w:sz w:val="20"/>
              </w:rPr>
              <w:t>-</w:t>
            </w:r>
          </w:p>
        </w:tc>
      </w:tr>
      <w:tr>
        <w:trPr>
          <w:trHeight w:val="321" w:hRule="atLeast"/>
        </w:trPr>
        <w:tc>
          <w:tcPr>
            <w:tcW w:w="2419" w:type="dxa"/>
            <w:shd w:val="clear" w:color="auto" w:fill="D0D5CD"/>
          </w:tcPr>
          <w:p>
            <w:pPr>
              <w:pStyle w:val="TableParagraph"/>
              <w:ind w:left="90"/>
              <w:rPr>
                <w:sz w:val="20"/>
              </w:rPr>
            </w:pPr>
            <w:r>
              <w:rPr>
                <w:spacing w:val="-4"/>
                <w:sz w:val="20"/>
              </w:rPr>
              <w:t>Overall</w:t>
            </w:r>
            <w:r>
              <w:rPr>
                <w:spacing w:val="3"/>
                <w:sz w:val="20"/>
              </w:rPr>
              <w:t> </w:t>
            </w:r>
            <w:r>
              <w:rPr>
                <w:spacing w:val="-4"/>
                <w:sz w:val="20"/>
              </w:rPr>
              <w:t>internal</w:t>
            </w:r>
            <w:r>
              <w:rPr>
                <w:spacing w:val="4"/>
                <w:sz w:val="20"/>
              </w:rPr>
              <w:t> </w:t>
            </w:r>
            <w:r>
              <w:rPr>
                <w:spacing w:val="-4"/>
                <w:sz w:val="20"/>
              </w:rPr>
              <w:t>efficiency</w:t>
            </w:r>
          </w:p>
        </w:tc>
        <w:tc>
          <w:tcPr>
            <w:tcW w:w="1223" w:type="dxa"/>
            <w:shd w:val="clear" w:color="auto" w:fill="D0D5CD"/>
          </w:tcPr>
          <w:p>
            <w:pPr>
              <w:pStyle w:val="TableParagraph"/>
              <w:ind w:right="442"/>
              <w:jc w:val="right"/>
              <w:rPr>
                <w:sz w:val="20"/>
              </w:rPr>
            </w:pPr>
            <w:r>
              <w:rPr>
                <w:spacing w:val="-4"/>
                <w:sz w:val="20"/>
              </w:rPr>
              <w:t>73.8</w:t>
            </w:r>
          </w:p>
        </w:tc>
        <w:tc>
          <w:tcPr>
            <w:tcW w:w="1223" w:type="dxa"/>
            <w:shd w:val="clear" w:color="auto" w:fill="D0D5CD"/>
          </w:tcPr>
          <w:p>
            <w:pPr>
              <w:pStyle w:val="TableParagraph"/>
              <w:ind w:left="78" w:right="97"/>
              <w:jc w:val="center"/>
              <w:rPr>
                <w:sz w:val="20"/>
              </w:rPr>
            </w:pPr>
            <w:r>
              <w:rPr>
                <w:spacing w:val="-4"/>
                <w:sz w:val="20"/>
              </w:rPr>
              <w:t>90.9</w:t>
            </w:r>
          </w:p>
        </w:tc>
        <w:tc>
          <w:tcPr>
            <w:tcW w:w="1223" w:type="dxa"/>
            <w:shd w:val="clear" w:color="auto" w:fill="D0D5CD"/>
          </w:tcPr>
          <w:p>
            <w:pPr>
              <w:pStyle w:val="TableParagraph"/>
              <w:ind w:left="78" w:right="98"/>
              <w:jc w:val="center"/>
              <w:rPr>
                <w:sz w:val="20"/>
              </w:rPr>
            </w:pPr>
            <w:r>
              <w:rPr>
                <w:spacing w:val="-4"/>
                <w:sz w:val="20"/>
              </w:rPr>
              <w:t>31.8</w:t>
            </w:r>
          </w:p>
        </w:tc>
        <w:tc>
          <w:tcPr>
            <w:tcW w:w="1223" w:type="dxa"/>
            <w:shd w:val="clear" w:color="auto" w:fill="D0D5CD"/>
          </w:tcPr>
          <w:p>
            <w:pPr>
              <w:pStyle w:val="TableParagraph"/>
              <w:ind w:left="78" w:right="98"/>
              <w:jc w:val="center"/>
              <w:rPr>
                <w:sz w:val="20"/>
              </w:rPr>
            </w:pPr>
            <w:r>
              <w:rPr>
                <w:spacing w:val="-4"/>
                <w:sz w:val="20"/>
              </w:rPr>
              <w:t>45.7</w:t>
            </w:r>
          </w:p>
        </w:tc>
        <w:tc>
          <w:tcPr>
            <w:tcW w:w="1223" w:type="dxa"/>
            <w:shd w:val="clear" w:color="auto" w:fill="D0D5CD"/>
          </w:tcPr>
          <w:p>
            <w:pPr>
              <w:pStyle w:val="TableParagraph"/>
              <w:ind w:right="443"/>
              <w:jc w:val="right"/>
              <w:rPr>
                <w:sz w:val="20"/>
              </w:rPr>
            </w:pPr>
            <w:r>
              <w:rPr>
                <w:spacing w:val="-4"/>
                <w:sz w:val="20"/>
              </w:rPr>
              <w:t>62.6</w:t>
            </w:r>
          </w:p>
        </w:tc>
        <w:tc>
          <w:tcPr>
            <w:tcW w:w="1223" w:type="dxa"/>
            <w:shd w:val="clear" w:color="auto" w:fill="D0D5CD"/>
          </w:tcPr>
          <w:p>
            <w:pPr>
              <w:pStyle w:val="TableParagraph"/>
              <w:ind w:right="443"/>
              <w:jc w:val="right"/>
              <w:rPr>
                <w:sz w:val="20"/>
              </w:rPr>
            </w:pPr>
            <w:r>
              <w:rPr>
                <w:spacing w:val="-4"/>
                <w:sz w:val="20"/>
              </w:rPr>
              <w:t>61.1</w:t>
            </w:r>
          </w:p>
        </w:tc>
      </w:tr>
    </w:tbl>
    <w:p>
      <w:pPr>
        <w:spacing w:before="54"/>
        <w:ind w:left="1080" w:right="0" w:firstLine="0"/>
        <w:jc w:val="left"/>
        <w:rPr>
          <w:sz w:val="16"/>
        </w:rPr>
      </w:pPr>
      <w:r>
        <w:rPr>
          <w:i/>
          <w:spacing w:val="-4"/>
          <w:sz w:val="16"/>
        </w:rPr>
        <w:t>Source:</w:t>
      </w:r>
      <w:r>
        <w:rPr>
          <w:i/>
          <w:spacing w:val="2"/>
          <w:sz w:val="16"/>
        </w:rPr>
        <w:t> </w:t>
      </w:r>
      <w:r>
        <w:rPr>
          <w:spacing w:val="-4"/>
          <w:sz w:val="16"/>
        </w:rPr>
        <w:t>Industrial</w:t>
      </w:r>
      <w:r>
        <w:rPr>
          <w:spacing w:val="-5"/>
          <w:sz w:val="16"/>
        </w:rPr>
        <w:t> </w:t>
      </w:r>
      <w:r>
        <w:rPr>
          <w:spacing w:val="-4"/>
          <w:sz w:val="16"/>
        </w:rPr>
        <w:t>Training</w:t>
      </w:r>
      <w:r>
        <w:rPr>
          <w:spacing w:val="3"/>
          <w:sz w:val="16"/>
        </w:rPr>
        <w:t> </w:t>
      </w:r>
      <w:r>
        <w:rPr>
          <w:spacing w:val="-4"/>
          <w:sz w:val="16"/>
        </w:rPr>
        <w:t>Institutes</w:t>
      </w:r>
      <w:r>
        <w:rPr>
          <w:spacing w:val="3"/>
          <w:sz w:val="16"/>
        </w:rPr>
        <w:t> </w:t>
      </w:r>
      <w:r>
        <w:rPr>
          <w:spacing w:val="-4"/>
          <w:sz w:val="16"/>
        </w:rPr>
        <w:t>of</w:t>
      </w:r>
      <w:r>
        <w:rPr>
          <w:spacing w:val="3"/>
          <w:sz w:val="16"/>
        </w:rPr>
        <w:t> </w:t>
      </w:r>
      <w:r>
        <w:rPr>
          <w:spacing w:val="-4"/>
          <w:sz w:val="16"/>
        </w:rPr>
        <w:t>India:</w:t>
      </w:r>
      <w:r>
        <w:rPr>
          <w:spacing w:val="-6"/>
          <w:sz w:val="16"/>
        </w:rPr>
        <w:t> </w:t>
      </w:r>
      <w:r>
        <w:rPr>
          <w:spacing w:val="-4"/>
          <w:sz w:val="16"/>
        </w:rPr>
        <w:t>The</w:t>
      </w:r>
      <w:r>
        <w:rPr>
          <w:spacing w:val="3"/>
          <w:sz w:val="16"/>
        </w:rPr>
        <w:t> </w:t>
      </w:r>
      <w:r>
        <w:rPr>
          <w:spacing w:val="-4"/>
          <w:sz w:val="16"/>
        </w:rPr>
        <w:t>Efficiency</w:t>
      </w:r>
      <w:r>
        <w:rPr>
          <w:spacing w:val="3"/>
          <w:sz w:val="16"/>
        </w:rPr>
        <w:t> </w:t>
      </w:r>
      <w:r>
        <w:rPr>
          <w:spacing w:val="-4"/>
          <w:sz w:val="16"/>
        </w:rPr>
        <w:t>Study</w:t>
      </w:r>
      <w:r>
        <w:rPr>
          <w:spacing w:val="3"/>
          <w:sz w:val="16"/>
        </w:rPr>
        <w:t> </w:t>
      </w:r>
      <w:r>
        <w:rPr>
          <w:spacing w:val="-4"/>
          <w:sz w:val="16"/>
        </w:rPr>
        <w:t>Report,</w:t>
      </w:r>
      <w:r>
        <w:rPr>
          <w:spacing w:val="3"/>
          <w:sz w:val="16"/>
        </w:rPr>
        <w:t> </w:t>
      </w:r>
      <w:r>
        <w:rPr>
          <w:spacing w:val="-4"/>
          <w:sz w:val="16"/>
        </w:rPr>
        <w:t>ILO,</w:t>
      </w:r>
      <w:r>
        <w:rPr>
          <w:spacing w:val="3"/>
          <w:sz w:val="16"/>
        </w:rPr>
        <w:t> </w:t>
      </w:r>
      <w:r>
        <w:rPr>
          <w:spacing w:val="-4"/>
          <w:sz w:val="16"/>
        </w:rPr>
        <w:t>2003</w:t>
      </w:r>
    </w:p>
    <w:p>
      <w:pPr>
        <w:spacing w:after="0"/>
        <w:jc w:val="left"/>
        <w:rPr>
          <w:sz w:val="16"/>
        </w:rPr>
        <w:sectPr>
          <w:type w:val="continuous"/>
          <w:pgSz w:w="11910" w:h="16840"/>
          <w:pgMar w:header="0" w:footer="675"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9"/>
        <w:rPr>
          <w:sz w:val="20"/>
        </w:rPr>
      </w:pPr>
    </w:p>
    <w:p>
      <w:pPr>
        <w:spacing w:after="0"/>
        <w:rPr>
          <w:sz w:val="20"/>
        </w:rPr>
        <w:sectPr>
          <w:pgSz w:w="11910" w:h="16840"/>
          <w:pgMar w:header="0" w:footer="675" w:top="0" w:bottom="860" w:left="0" w:right="0"/>
        </w:sectPr>
      </w:pPr>
    </w:p>
    <w:p>
      <w:pPr>
        <w:pStyle w:val="Heading6"/>
        <w:spacing w:before="79"/>
        <w:ind w:left="1079" w:firstLine="0"/>
      </w:pPr>
      <w:r>
        <w:rPr/>
        <mc:AlternateContent>
          <mc:Choice Requires="wps">
            <w:drawing>
              <wp:anchor distT="0" distB="0" distL="0" distR="0" allowOverlap="1" layoutInCell="1" locked="0" behindDoc="0" simplePos="0" relativeHeight="15815680">
                <wp:simplePos x="0" y="0"/>
                <wp:positionH relativeFrom="page">
                  <wp:posOffset>0</wp:posOffset>
                </wp:positionH>
                <wp:positionV relativeFrom="paragraph">
                  <wp:posOffset>-2194855</wp:posOffset>
                </wp:positionV>
                <wp:extent cx="7560309" cy="1752600"/>
                <wp:effectExtent l="0" t="0" r="0" b="0"/>
                <wp:wrapNone/>
                <wp:docPr id="1353" name="Group 1353"/>
                <wp:cNvGraphicFramePr>
                  <a:graphicFrameLocks/>
                </wp:cNvGraphicFramePr>
                <a:graphic>
                  <a:graphicData uri="http://schemas.microsoft.com/office/word/2010/wordprocessingGroup">
                    <wpg:wgp>
                      <wpg:cNvPr id="1353" name="Group 1353"/>
                      <wpg:cNvGrpSpPr/>
                      <wpg:grpSpPr>
                        <a:xfrm>
                          <a:off x="0" y="0"/>
                          <a:ext cx="7560309" cy="1752600"/>
                          <a:chExt cx="7560309" cy="1752600"/>
                        </a:xfrm>
                      </wpg:grpSpPr>
                      <pic:pic>
                        <pic:nvPicPr>
                          <pic:cNvPr id="1354" name="Image 1354"/>
                          <pic:cNvPicPr/>
                        </pic:nvPicPr>
                        <pic:blipFill>
                          <a:blip r:embed="rId612" cstate="print"/>
                          <a:stretch>
                            <a:fillRect/>
                          </a:stretch>
                        </pic:blipFill>
                        <pic:spPr>
                          <a:xfrm>
                            <a:off x="0" y="0"/>
                            <a:ext cx="7559916" cy="1752562"/>
                          </a:xfrm>
                          <a:prstGeom prst="rect">
                            <a:avLst/>
                          </a:prstGeom>
                        </pic:spPr>
                      </pic:pic>
                      <wps:wsp>
                        <wps:cNvPr id="1355" name="Textbox 1355"/>
                        <wps:cNvSpPr txBox="1"/>
                        <wps:spPr>
                          <a:xfrm>
                            <a:off x="0" y="0"/>
                            <a:ext cx="7560309" cy="1752600"/>
                          </a:xfrm>
                          <a:prstGeom prst="rect">
                            <a:avLst/>
                          </a:prstGeom>
                        </wps:spPr>
                        <wps:txbx>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Higher</w:t>
                              </w:r>
                              <w:r>
                                <w:rPr>
                                  <w:rFonts w:ascii="Trebuchet MS"/>
                                  <w:b/>
                                  <w:color w:val="FFFFFF"/>
                                  <w:spacing w:val="-6"/>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0pt;margin-top:-172.823288pt;width:595.3pt;height:138pt;mso-position-horizontal-relative:page;mso-position-vertical-relative:paragraph;z-index:15815680" id="docshapegroup1341" coordorigin="0,-3456" coordsize="11906,2760">
                <v:shape style="position:absolute;left:0;top:-3457;width:11906;height:2760" type="#_x0000_t75" id="docshape1342" stroked="false">
                  <v:imagedata r:id="rId612" o:title=""/>
                </v:shape>
                <v:shape style="position:absolute;left:0;top:-3457;width:11906;height:2760" type="#_x0000_t202" id="docshape1343" filled="false" stroked="false">
                  <v:textbox inset="0,0,0,0">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Higher</w:t>
                        </w:r>
                        <w:r>
                          <w:rPr>
                            <w:rFonts w:ascii="Trebuchet MS"/>
                            <w:b/>
                            <w:color w:val="FFFFFF"/>
                            <w:spacing w:val="-6"/>
                            <w:sz w:val="68"/>
                          </w:rPr>
                          <w:t> </w:t>
                        </w:r>
                        <w:r>
                          <w:rPr>
                            <w:rFonts w:ascii="Trebuchet MS"/>
                            <w:b/>
                            <w:color w:val="FFFFFF"/>
                            <w:spacing w:val="-2"/>
                            <w:sz w:val="68"/>
                          </w:rPr>
                          <w:t>Education</w:t>
                        </w:r>
                      </w:p>
                    </w:txbxContent>
                  </v:textbox>
                  <w10:wrap type="none"/>
                </v:shape>
                <w10:wrap type="none"/>
              </v:group>
            </w:pict>
          </mc:Fallback>
        </mc:AlternateContent>
      </w:r>
      <w:r>
        <w:rPr>
          <w:color w:val="2E614A"/>
          <w:spacing w:val="-2"/>
        </w:rPr>
        <w:t>Introduction</w:t>
      </w:r>
    </w:p>
    <w:p>
      <w:pPr>
        <w:pStyle w:val="BodyText"/>
        <w:spacing w:line="266" w:lineRule="auto" w:before="285"/>
        <w:ind w:left="1764"/>
        <w:jc w:val="both"/>
      </w:pPr>
      <w:r>
        <w:rPr/>
        <mc:AlternateContent>
          <mc:Choice Requires="wps">
            <w:drawing>
              <wp:anchor distT="0" distB="0" distL="0" distR="0" allowOverlap="1" layoutInCell="1" locked="0" behindDoc="1" simplePos="0" relativeHeight="479392768">
                <wp:simplePos x="0" y="0"/>
                <wp:positionH relativeFrom="page">
                  <wp:posOffset>685799</wp:posOffset>
                </wp:positionH>
                <wp:positionV relativeFrom="paragraph">
                  <wp:posOffset>91979</wp:posOffset>
                </wp:positionV>
                <wp:extent cx="421640" cy="757555"/>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421640" cy="757555"/>
                        </a:xfrm>
                        <a:prstGeom prst="rect">
                          <a:avLst/>
                        </a:prstGeom>
                      </wps:spPr>
                      <wps:txbx>
                        <w:txbxContent>
                          <w:p>
                            <w:pPr>
                              <w:spacing w:line="1135" w:lineRule="exact" w:before="0"/>
                              <w:ind w:left="0" w:right="0" w:firstLine="0"/>
                              <w:jc w:val="left"/>
                              <w:rPr>
                                <w:sz w:val="106"/>
                              </w:rPr>
                            </w:pPr>
                            <w:r>
                              <w:rPr>
                                <w:color w:val="9CBF3B"/>
                                <w:spacing w:val="-10"/>
                                <w:w w:val="85"/>
                                <w:sz w:val="106"/>
                              </w:rPr>
                              <w:t>A</w:t>
                            </w:r>
                          </w:p>
                        </w:txbxContent>
                      </wps:txbx>
                      <wps:bodyPr wrap="square" lIns="0" tIns="0" rIns="0" bIns="0" rtlCol="0">
                        <a:noAutofit/>
                      </wps:bodyPr>
                    </wps:wsp>
                  </a:graphicData>
                </a:graphic>
              </wp:anchor>
            </w:drawing>
          </mc:Choice>
          <mc:Fallback>
            <w:pict>
              <v:shape style="position:absolute;margin-left:53.999981pt;margin-top:7.242476pt;width:33.2pt;height:59.65pt;mso-position-horizontal-relative:page;mso-position-vertical-relative:paragraph;z-index:-23923712" type="#_x0000_t202" id="docshape1344" filled="false" stroked="false">
                <v:textbox inset="0,0,0,0">
                  <w:txbxContent>
                    <w:p>
                      <w:pPr>
                        <w:spacing w:line="1135" w:lineRule="exact" w:before="0"/>
                        <w:ind w:left="0" w:right="0" w:firstLine="0"/>
                        <w:jc w:val="left"/>
                        <w:rPr>
                          <w:sz w:val="106"/>
                        </w:rPr>
                      </w:pPr>
                      <w:r>
                        <w:rPr>
                          <w:color w:val="9CBF3B"/>
                          <w:spacing w:val="-10"/>
                          <w:w w:val="85"/>
                          <w:sz w:val="106"/>
                        </w:rPr>
                        <w:t>A</w:t>
                      </w:r>
                    </w:p>
                  </w:txbxContent>
                </v:textbox>
                <w10:wrap type="none"/>
              </v:shape>
            </w:pict>
          </mc:Fallback>
        </mc:AlternateContent>
      </w:r>
      <w:r>
        <w:rPr/>
        <w:t>demographic explosion in the young population of the country means that higher education</w:t>
      </w:r>
      <w:r>
        <w:rPr>
          <w:spacing w:val="63"/>
          <w:w w:val="150"/>
        </w:rPr>
        <w:t> </w:t>
      </w:r>
      <w:r>
        <w:rPr/>
        <w:t>needs</w:t>
      </w:r>
      <w:r>
        <w:rPr>
          <w:spacing w:val="64"/>
          <w:w w:val="150"/>
        </w:rPr>
        <w:t> </w:t>
      </w:r>
      <w:r>
        <w:rPr/>
        <w:t>to</w:t>
      </w:r>
      <w:r>
        <w:rPr>
          <w:spacing w:val="63"/>
          <w:w w:val="150"/>
        </w:rPr>
        <w:t> </w:t>
      </w:r>
      <w:r>
        <w:rPr/>
        <w:t>keep</w:t>
      </w:r>
      <w:r>
        <w:rPr>
          <w:spacing w:val="64"/>
          <w:w w:val="150"/>
        </w:rPr>
        <w:t> </w:t>
      </w:r>
      <w:r>
        <w:rPr/>
        <w:t>apace</w:t>
      </w:r>
      <w:r>
        <w:rPr>
          <w:spacing w:val="63"/>
          <w:w w:val="150"/>
        </w:rPr>
        <w:t> </w:t>
      </w:r>
      <w:r>
        <w:rPr/>
        <w:t>with</w:t>
      </w:r>
      <w:r>
        <w:rPr>
          <w:spacing w:val="64"/>
          <w:w w:val="150"/>
        </w:rPr>
        <w:t> </w:t>
      </w:r>
      <w:r>
        <w:rPr>
          <w:spacing w:val="-5"/>
        </w:rPr>
        <w:t>the</w:t>
      </w:r>
    </w:p>
    <w:p>
      <w:pPr>
        <w:pStyle w:val="BodyText"/>
        <w:spacing w:line="266" w:lineRule="auto"/>
        <w:ind w:left="1079"/>
        <w:jc w:val="both"/>
      </w:pPr>
      <w:r>
        <w:rPr/>
        <w:t>growth in the relevant population. As per the 2001 Census, 31.2 per cent of the country or 337 million were</w:t>
      </w:r>
      <w:r>
        <w:rPr>
          <w:spacing w:val="-9"/>
        </w:rPr>
        <w:t> </w:t>
      </w:r>
      <w:r>
        <w:rPr/>
        <w:t>below</w:t>
      </w:r>
      <w:r>
        <w:rPr>
          <w:spacing w:val="-9"/>
        </w:rPr>
        <w:t> </w:t>
      </w:r>
      <w:r>
        <w:rPr/>
        <w:t>the</w:t>
      </w:r>
      <w:r>
        <w:rPr>
          <w:spacing w:val="-9"/>
        </w:rPr>
        <w:t> </w:t>
      </w:r>
      <w:r>
        <w:rPr/>
        <w:t>age</w:t>
      </w:r>
      <w:r>
        <w:rPr>
          <w:spacing w:val="-9"/>
        </w:rPr>
        <w:t> </w:t>
      </w:r>
      <w:r>
        <w:rPr/>
        <w:t>of</w:t>
      </w:r>
      <w:r>
        <w:rPr>
          <w:spacing w:val="-9"/>
        </w:rPr>
        <w:t> </w:t>
      </w:r>
      <w:r>
        <w:rPr/>
        <w:t>15.</w:t>
      </w:r>
      <w:r>
        <w:rPr>
          <w:spacing w:val="-9"/>
        </w:rPr>
        <w:t> </w:t>
      </w:r>
      <w:r>
        <w:rPr/>
        <w:t>Providing</w:t>
      </w:r>
      <w:r>
        <w:rPr>
          <w:spacing w:val="-9"/>
        </w:rPr>
        <w:t> </w:t>
      </w:r>
      <w:r>
        <w:rPr/>
        <w:t>higher</w:t>
      </w:r>
      <w:r>
        <w:rPr>
          <w:spacing w:val="-9"/>
        </w:rPr>
        <w:t> </w:t>
      </w:r>
      <w:r>
        <w:rPr/>
        <w:t>education for</w:t>
      </w:r>
      <w:r>
        <w:rPr>
          <w:spacing w:val="-7"/>
        </w:rPr>
        <w:t> </w:t>
      </w:r>
      <w:r>
        <w:rPr/>
        <w:t>this</w:t>
      </w:r>
      <w:r>
        <w:rPr>
          <w:spacing w:val="-7"/>
        </w:rPr>
        <w:t> </w:t>
      </w:r>
      <w:r>
        <w:rPr/>
        <w:t>group</w:t>
      </w:r>
      <w:r>
        <w:rPr>
          <w:spacing w:val="-7"/>
        </w:rPr>
        <w:t> </w:t>
      </w:r>
      <w:r>
        <w:rPr/>
        <w:t>is</w:t>
      </w:r>
      <w:r>
        <w:rPr>
          <w:spacing w:val="-7"/>
        </w:rPr>
        <w:t> </w:t>
      </w:r>
      <w:r>
        <w:rPr/>
        <w:t>imperative</w:t>
      </w:r>
      <w:r>
        <w:rPr>
          <w:spacing w:val="-7"/>
        </w:rPr>
        <w:t> </w:t>
      </w:r>
      <w:r>
        <w:rPr/>
        <w:t>and</w:t>
      </w:r>
      <w:r>
        <w:rPr>
          <w:spacing w:val="-7"/>
        </w:rPr>
        <w:t> </w:t>
      </w:r>
      <w:r>
        <w:rPr/>
        <w:t>has</w:t>
      </w:r>
      <w:r>
        <w:rPr>
          <w:spacing w:val="-7"/>
        </w:rPr>
        <w:t> </w:t>
      </w:r>
      <w:r>
        <w:rPr/>
        <w:t>to</w:t>
      </w:r>
      <w:r>
        <w:rPr>
          <w:spacing w:val="-7"/>
        </w:rPr>
        <w:t> </w:t>
      </w:r>
      <w:r>
        <w:rPr/>
        <w:t>be</w:t>
      </w:r>
      <w:r>
        <w:rPr>
          <w:spacing w:val="-7"/>
        </w:rPr>
        <w:t> </w:t>
      </w:r>
      <w:r>
        <w:rPr/>
        <w:t>provided</w:t>
      </w:r>
      <w:r>
        <w:rPr>
          <w:spacing w:val="-7"/>
        </w:rPr>
        <w:t> </w:t>
      </w:r>
      <w:r>
        <w:rPr/>
        <w:t>on an</w:t>
      </w:r>
      <w:r>
        <w:rPr>
          <w:spacing w:val="-2"/>
        </w:rPr>
        <w:t> </w:t>
      </w:r>
      <w:r>
        <w:rPr/>
        <w:t>unprecedented</w:t>
      </w:r>
      <w:r>
        <w:rPr>
          <w:spacing w:val="-2"/>
        </w:rPr>
        <w:t> </w:t>
      </w:r>
      <w:r>
        <w:rPr/>
        <w:t>scale</w:t>
      </w:r>
      <w:r>
        <w:rPr>
          <w:spacing w:val="-2"/>
        </w:rPr>
        <w:t> </w:t>
      </w:r>
      <w:r>
        <w:rPr/>
        <w:t>to</w:t>
      </w:r>
      <w:r>
        <w:rPr>
          <w:spacing w:val="-2"/>
        </w:rPr>
        <w:t> </w:t>
      </w:r>
      <w:r>
        <w:rPr/>
        <w:t>meet</w:t>
      </w:r>
      <w:r>
        <w:rPr>
          <w:spacing w:val="-2"/>
        </w:rPr>
        <w:t> </w:t>
      </w:r>
      <w:r>
        <w:rPr/>
        <w:t>the</w:t>
      </w:r>
      <w:r>
        <w:rPr>
          <w:spacing w:val="-2"/>
        </w:rPr>
        <w:t> </w:t>
      </w:r>
      <w:r>
        <w:rPr/>
        <w:t>challenges</w:t>
      </w:r>
      <w:r>
        <w:rPr>
          <w:spacing w:val="-2"/>
        </w:rPr>
        <w:t> </w:t>
      </w:r>
      <w:r>
        <w:rPr/>
        <w:t>of</w:t>
      </w:r>
      <w:r>
        <w:rPr>
          <w:spacing w:val="-2"/>
        </w:rPr>
        <w:t> </w:t>
      </w:r>
      <w:r>
        <w:rPr/>
        <w:t>this unique demographic trend. The higher education sector</w:t>
      </w:r>
      <w:r>
        <w:rPr>
          <w:spacing w:val="-8"/>
        </w:rPr>
        <w:t> </w:t>
      </w:r>
      <w:r>
        <w:rPr/>
        <w:t>currently</w:t>
      </w:r>
      <w:r>
        <w:rPr>
          <w:spacing w:val="-8"/>
        </w:rPr>
        <w:t> </w:t>
      </w:r>
      <w:r>
        <w:rPr/>
        <w:t>faces</w:t>
      </w:r>
      <w:r>
        <w:rPr>
          <w:spacing w:val="-8"/>
        </w:rPr>
        <w:t> </w:t>
      </w:r>
      <w:r>
        <w:rPr/>
        <w:t>major</w:t>
      </w:r>
      <w:r>
        <w:rPr>
          <w:spacing w:val="-8"/>
        </w:rPr>
        <w:t> </w:t>
      </w:r>
      <w:r>
        <w:rPr/>
        <w:t>challenges</w:t>
      </w:r>
      <w:r>
        <w:rPr>
          <w:spacing w:val="-8"/>
        </w:rPr>
        <w:t> </w:t>
      </w:r>
      <w:r>
        <w:rPr/>
        <w:t>of</w:t>
      </w:r>
      <w:r>
        <w:rPr>
          <w:spacing w:val="-8"/>
        </w:rPr>
        <w:t> </w:t>
      </w:r>
      <w:r>
        <w:rPr/>
        <w:t>quality</w:t>
      </w:r>
      <w:r>
        <w:rPr>
          <w:spacing w:val="-8"/>
        </w:rPr>
        <w:t> </w:t>
      </w:r>
      <w:r>
        <w:rPr/>
        <w:t>and </w:t>
      </w:r>
      <w:r>
        <w:rPr>
          <w:w w:val="90"/>
        </w:rPr>
        <w:t>excellence, and of improving access with inclusiveness. </w:t>
      </w:r>
      <w:r>
        <w:rPr/>
        <w:t>The proportion of our population, in the relevant age group, that enters the world of higher education is only about 10 per cent (2004-05). Access to higher education</w:t>
      </w:r>
      <w:r>
        <w:rPr>
          <w:spacing w:val="-7"/>
        </w:rPr>
        <w:t> </w:t>
      </w:r>
      <w:r>
        <w:rPr/>
        <w:t>in</w:t>
      </w:r>
      <w:r>
        <w:rPr>
          <w:spacing w:val="-7"/>
        </w:rPr>
        <w:t> </w:t>
      </w:r>
      <w:r>
        <w:rPr/>
        <w:t>terms</w:t>
      </w:r>
      <w:r>
        <w:rPr>
          <w:spacing w:val="-7"/>
        </w:rPr>
        <w:t> </w:t>
      </w:r>
      <w:r>
        <w:rPr/>
        <w:t>of</w:t>
      </w:r>
      <w:r>
        <w:rPr>
          <w:spacing w:val="-7"/>
        </w:rPr>
        <w:t> </w:t>
      </w:r>
      <w:r>
        <w:rPr/>
        <w:t>the</w:t>
      </w:r>
      <w:r>
        <w:rPr>
          <w:spacing w:val="-7"/>
        </w:rPr>
        <w:t> </w:t>
      </w:r>
      <w:r>
        <w:rPr/>
        <w:t>available</w:t>
      </w:r>
      <w:r>
        <w:rPr>
          <w:spacing w:val="-7"/>
        </w:rPr>
        <w:t> </w:t>
      </w:r>
      <w:r>
        <w:rPr/>
        <w:t>number</w:t>
      </w:r>
      <w:r>
        <w:rPr>
          <w:spacing w:val="-7"/>
        </w:rPr>
        <w:t> </w:t>
      </w:r>
      <w:r>
        <w:rPr/>
        <w:t>of</w:t>
      </w:r>
      <w:r>
        <w:rPr>
          <w:spacing w:val="-7"/>
        </w:rPr>
        <w:t> </w:t>
      </w:r>
      <w:r>
        <w:rPr/>
        <w:t>seats</w:t>
      </w:r>
      <w:r>
        <w:rPr>
          <w:spacing w:val="-7"/>
        </w:rPr>
        <w:t> </w:t>
      </w:r>
      <w:r>
        <w:rPr/>
        <w:t>in universities is simply not adequate in relation to the current demand. There are also large disparities in enrolment rates across states, urban and rural areas, sex, caste and poor-non-poor.</w:t>
      </w:r>
    </w:p>
    <w:p>
      <w:pPr>
        <w:pStyle w:val="Heading6"/>
        <w:spacing w:before="171"/>
        <w:ind w:left="1079" w:firstLine="0"/>
      </w:pPr>
      <w:r>
        <w:rPr>
          <w:color w:val="2E614A"/>
          <w:w w:val="90"/>
        </w:rPr>
        <w:t>Current</w:t>
      </w:r>
      <w:r>
        <w:rPr>
          <w:color w:val="2E614A"/>
          <w:spacing w:val="-1"/>
          <w:w w:val="90"/>
        </w:rPr>
        <w:t> </w:t>
      </w:r>
      <w:r>
        <w:rPr>
          <w:color w:val="2E614A"/>
          <w:spacing w:val="-2"/>
        </w:rPr>
        <w:t>Scenario</w:t>
      </w:r>
    </w:p>
    <w:p>
      <w:pPr>
        <w:pStyle w:val="BodyText"/>
        <w:spacing w:line="266" w:lineRule="auto" w:before="265"/>
        <w:ind w:left="1079"/>
        <w:jc w:val="both"/>
      </w:pPr>
      <w:r>
        <w:rPr>
          <w:b/>
        </w:rPr>
        <w:t>Institutions:</w:t>
      </w:r>
      <w:r>
        <w:rPr>
          <w:b/>
          <w:spacing w:val="-5"/>
        </w:rPr>
        <w:t> </w:t>
      </w:r>
      <w:r>
        <w:rPr/>
        <w:t>As</w:t>
      </w:r>
      <w:r>
        <w:rPr>
          <w:spacing w:val="-6"/>
        </w:rPr>
        <w:t> </w:t>
      </w:r>
      <w:r>
        <w:rPr/>
        <w:t>in</w:t>
      </w:r>
      <w:r>
        <w:rPr>
          <w:spacing w:val="-6"/>
        </w:rPr>
        <w:t> </w:t>
      </w:r>
      <w:r>
        <w:rPr/>
        <w:t>2006,</w:t>
      </w:r>
      <w:r>
        <w:rPr>
          <w:spacing w:val="-6"/>
        </w:rPr>
        <w:t> </w:t>
      </w:r>
      <w:r>
        <w:rPr/>
        <w:t>the</w:t>
      </w:r>
      <w:r>
        <w:rPr>
          <w:spacing w:val="-6"/>
        </w:rPr>
        <w:t> </w:t>
      </w:r>
      <w:r>
        <w:rPr/>
        <w:t>Indian</w:t>
      </w:r>
      <w:r>
        <w:rPr>
          <w:spacing w:val="-6"/>
        </w:rPr>
        <w:t> </w:t>
      </w:r>
      <w:r>
        <w:rPr/>
        <w:t>higher</w:t>
      </w:r>
      <w:r>
        <w:rPr>
          <w:spacing w:val="-6"/>
        </w:rPr>
        <w:t> </w:t>
      </w:r>
      <w:r>
        <w:rPr/>
        <w:t>education system</w:t>
      </w:r>
      <w:r>
        <w:rPr>
          <w:spacing w:val="77"/>
        </w:rPr>
        <w:t> </w:t>
      </w:r>
      <w:r>
        <w:rPr/>
        <w:t>consisted</w:t>
      </w:r>
      <w:r>
        <w:rPr>
          <w:spacing w:val="77"/>
        </w:rPr>
        <w:t> </w:t>
      </w:r>
      <w:r>
        <w:rPr/>
        <w:t>of</w:t>
      </w:r>
      <w:r>
        <w:rPr>
          <w:spacing w:val="78"/>
        </w:rPr>
        <w:t> </w:t>
      </w:r>
      <w:r>
        <w:rPr/>
        <w:t>355</w:t>
      </w:r>
      <w:r>
        <w:rPr>
          <w:spacing w:val="77"/>
        </w:rPr>
        <w:t> </w:t>
      </w:r>
      <w:r>
        <w:rPr/>
        <w:t>universities</w:t>
      </w:r>
      <w:r>
        <w:rPr>
          <w:spacing w:val="77"/>
        </w:rPr>
        <w:t> </w:t>
      </w:r>
      <w:r>
        <w:rPr/>
        <w:t>and</w:t>
      </w:r>
      <w:r>
        <w:rPr>
          <w:spacing w:val="78"/>
        </w:rPr>
        <w:t> </w:t>
      </w:r>
      <w:r>
        <w:rPr>
          <w:spacing w:val="-2"/>
        </w:rPr>
        <w:t>18,064</w:t>
      </w:r>
    </w:p>
    <w:p>
      <w:pPr>
        <w:pStyle w:val="BodyText"/>
        <w:spacing w:line="266" w:lineRule="auto" w:before="150"/>
        <w:ind w:left="319" w:right="1077"/>
        <w:jc w:val="both"/>
      </w:pPr>
      <w:r>
        <w:rPr/>
        <w:br w:type="column"/>
      </w:r>
      <w:r>
        <w:rPr>
          <w:spacing w:val="-2"/>
        </w:rPr>
        <w:t>colleges</w:t>
      </w:r>
      <w:r>
        <w:rPr>
          <w:spacing w:val="-11"/>
        </w:rPr>
        <w:t> </w:t>
      </w:r>
      <w:r>
        <w:rPr>
          <w:spacing w:val="-2"/>
        </w:rPr>
        <w:t>-</w:t>
      </w:r>
      <w:r>
        <w:rPr>
          <w:spacing w:val="-11"/>
        </w:rPr>
        <w:t> </w:t>
      </w:r>
      <w:r>
        <w:rPr>
          <w:spacing w:val="-2"/>
        </w:rPr>
        <w:t>there</w:t>
      </w:r>
      <w:r>
        <w:rPr>
          <w:spacing w:val="-11"/>
        </w:rPr>
        <w:t> </w:t>
      </w:r>
      <w:r>
        <w:rPr>
          <w:spacing w:val="-2"/>
        </w:rPr>
        <w:t>exist</w:t>
      </w:r>
      <w:r>
        <w:rPr>
          <w:spacing w:val="-11"/>
        </w:rPr>
        <w:t> </w:t>
      </w:r>
      <w:r>
        <w:rPr>
          <w:spacing w:val="-2"/>
        </w:rPr>
        <w:t>20</w:t>
      </w:r>
      <w:r>
        <w:rPr>
          <w:spacing w:val="-11"/>
        </w:rPr>
        <w:t> </w:t>
      </w:r>
      <w:r>
        <w:rPr>
          <w:spacing w:val="-2"/>
        </w:rPr>
        <w:t>Central</w:t>
      </w:r>
      <w:r>
        <w:rPr>
          <w:spacing w:val="-11"/>
        </w:rPr>
        <w:t> </w:t>
      </w:r>
      <w:r>
        <w:rPr>
          <w:spacing w:val="-2"/>
        </w:rPr>
        <w:t>Universities,</w:t>
      </w:r>
      <w:r>
        <w:rPr>
          <w:spacing w:val="-11"/>
        </w:rPr>
        <w:t> </w:t>
      </w:r>
      <w:r>
        <w:rPr>
          <w:spacing w:val="-2"/>
        </w:rPr>
        <w:t>216</w:t>
      </w:r>
      <w:r>
        <w:rPr>
          <w:spacing w:val="-11"/>
        </w:rPr>
        <w:t> </w:t>
      </w:r>
      <w:r>
        <w:rPr>
          <w:spacing w:val="-2"/>
        </w:rPr>
        <w:t>State </w:t>
      </w:r>
      <w:r>
        <w:rPr/>
        <w:t>Universities,</w:t>
      </w:r>
      <w:r>
        <w:rPr>
          <w:spacing w:val="-3"/>
        </w:rPr>
        <w:t> </w:t>
      </w:r>
      <w:r>
        <w:rPr/>
        <w:t>101</w:t>
      </w:r>
      <w:r>
        <w:rPr>
          <w:spacing w:val="-3"/>
        </w:rPr>
        <w:t> </w:t>
      </w:r>
      <w:r>
        <w:rPr/>
        <w:t>Deemed</w:t>
      </w:r>
      <w:r>
        <w:rPr>
          <w:spacing w:val="-3"/>
        </w:rPr>
        <w:t> </w:t>
      </w:r>
      <w:r>
        <w:rPr/>
        <w:t>Universities,</w:t>
      </w:r>
      <w:r>
        <w:rPr>
          <w:spacing w:val="-3"/>
        </w:rPr>
        <w:t> </w:t>
      </w:r>
      <w:r>
        <w:rPr/>
        <w:t>5</w:t>
      </w:r>
      <w:r>
        <w:rPr>
          <w:spacing w:val="-3"/>
        </w:rPr>
        <w:t> </w:t>
      </w:r>
      <w:r>
        <w:rPr/>
        <w:t>Institutions </w:t>
      </w:r>
      <w:r>
        <w:rPr>
          <w:spacing w:val="-4"/>
        </w:rPr>
        <w:t>established</w:t>
      </w:r>
      <w:r>
        <w:rPr>
          <w:spacing w:val="-10"/>
        </w:rPr>
        <w:t> </w:t>
      </w:r>
      <w:r>
        <w:rPr>
          <w:spacing w:val="-4"/>
        </w:rPr>
        <w:t>through</w:t>
      </w:r>
      <w:r>
        <w:rPr>
          <w:spacing w:val="-10"/>
        </w:rPr>
        <w:t> </w:t>
      </w:r>
      <w:r>
        <w:rPr>
          <w:spacing w:val="-4"/>
        </w:rPr>
        <w:t>State</w:t>
      </w:r>
      <w:r>
        <w:rPr>
          <w:spacing w:val="-10"/>
        </w:rPr>
        <w:t> </w:t>
      </w:r>
      <w:r>
        <w:rPr>
          <w:spacing w:val="-4"/>
        </w:rPr>
        <w:t>Legislation</w:t>
      </w:r>
      <w:r>
        <w:rPr>
          <w:spacing w:val="-9"/>
        </w:rPr>
        <w:t> </w:t>
      </w:r>
      <w:r>
        <w:rPr>
          <w:spacing w:val="-4"/>
        </w:rPr>
        <w:t>and</w:t>
      </w:r>
      <w:r>
        <w:rPr>
          <w:spacing w:val="-10"/>
        </w:rPr>
        <w:t> </w:t>
      </w:r>
      <w:r>
        <w:rPr>
          <w:spacing w:val="-4"/>
        </w:rPr>
        <w:t>13</w:t>
      </w:r>
      <w:r>
        <w:rPr>
          <w:spacing w:val="-10"/>
        </w:rPr>
        <w:t> </w:t>
      </w:r>
      <w:r>
        <w:rPr>
          <w:spacing w:val="-4"/>
        </w:rPr>
        <w:t>Institutions </w:t>
      </w:r>
      <w:r>
        <w:rPr/>
        <w:t>of National Importance.</w:t>
      </w:r>
    </w:p>
    <w:p>
      <w:pPr>
        <w:pStyle w:val="BodyText"/>
        <w:spacing w:before="24"/>
      </w:pPr>
    </w:p>
    <w:p>
      <w:pPr>
        <w:pStyle w:val="BodyText"/>
        <w:spacing w:line="266" w:lineRule="auto"/>
        <w:ind w:left="319" w:right="1078"/>
        <w:jc w:val="both"/>
      </w:pPr>
      <w:r>
        <w:rPr>
          <w:b/>
          <w:spacing w:val="-2"/>
        </w:rPr>
        <w:t>Enrolment:</w:t>
      </w:r>
      <w:r>
        <w:rPr>
          <w:b/>
          <w:spacing w:val="-7"/>
        </w:rPr>
        <w:t> </w:t>
      </w:r>
      <w:r>
        <w:rPr>
          <w:spacing w:val="-2"/>
        </w:rPr>
        <w:t>Around</w:t>
      </w:r>
      <w:r>
        <w:rPr>
          <w:spacing w:val="-8"/>
        </w:rPr>
        <w:t> </w:t>
      </w:r>
      <w:r>
        <w:rPr>
          <w:spacing w:val="-2"/>
        </w:rPr>
        <w:t>110</w:t>
      </w:r>
      <w:r>
        <w:rPr>
          <w:spacing w:val="-8"/>
        </w:rPr>
        <w:t> </w:t>
      </w:r>
      <w:r>
        <w:rPr>
          <w:spacing w:val="-2"/>
        </w:rPr>
        <w:t>lakh</w:t>
      </w:r>
      <w:r>
        <w:rPr>
          <w:spacing w:val="-8"/>
        </w:rPr>
        <w:t> </w:t>
      </w:r>
      <w:r>
        <w:rPr>
          <w:spacing w:val="-2"/>
        </w:rPr>
        <w:t>students</w:t>
      </w:r>
      <w:r>
        <w:rPr>
          <w:spacing w:val="-8"/>
        </w:rPr>
        <w:t> </w:t>
      </w:r>
      <w:r>
        <w:rPr>
          <w:spacing w:val="-2"/>
        </w:rPr>
        <w:t>were</w:t>
      </w:r>
      <w:r>
        <w:rPr>
          <w:spacing w:val="-8"/>
        </w:rPr>
        <w:t> </w:t>
      </w:r>
      <w:r>
        <w:rPr>
          <w:spacing w:val="-2"/>
        </w:rPr>
        <w:t>estimated </w:t>
      </w:r>
      <w:r>
        <w:rPr/>
        <w:t>to</w:t>
      </w:r>
      <w:r>
        <w:rPr>
          <w:spacing w:val="-12"/>
        </w:rPr>
        <w:t> </w:t>
      </w:r>
      <w:r>
        <w:rPr/>
        <w:t>be</w:t>
      </w:r>
      <w:r>
        <w:rPr>
          <w:spacing w:val="-12"/>
        </w:rPr>
        <w:t> </w:t>
      </w:r>
      <w:r>
        <w:rPr/>
        <w:t>currently</w:t>
      </w:r>
      <w:r>
        <w:rPr>
          <w:spacing w:val="-12"/>
        </w:rPr>
        <w:t> </w:t>
      </w:r>
      <w:r>
        <w:rPr/>
        <w:t>enrolled</w:t>
      </w:r>
      <w:r>
        <w:rPr>
          <w:spacing w:val="-12"/>
        </w:rPr>
        <w:t> </w:t>
      </w:r>
      <w:r>
        <w:rPr/>
        <w:t>in</w:t>
      </w:r>
      <w:r>
        <w:rPr>
          <w:spacing w:val="-12"/>
        </w:rPr>
        <w:t> </w:t>
      </w:r>
      <w:r>
        <w:rPr/>
        <w:t>the</w:t>
      </w:r>
      <w:r>
        <w:rPr>
          <w:spacing w:val="-12"/>
        </w:rPr>
        <w:t> </w:t>
      </w:r>
      <w:r>
        <w:rPr/>
        <w:t>Indian</w:t>
      </w:r>
      <w:r>
        <w:rPr>
          <w:spacing w:val="-12"/>
        </w:rPr>
        <w:t> </w:t>
      </w:r>
      <w:r>
        <w:rPr/>
        <w:t>higher</w:t>
      </w:r>
      <w:r>
        <w:rPr>
          <w:spacing w:val="-12"/>
        </w:rPr>
        <w:t> </w:t>
      </w:r>
      <w:r>
        <w:rPr/>
        <w:t>education system in 2005-06.</w:t>
      </w:r>
      <w:r>
        <w:rPr>
          <w:spacing w:val="-3"/>
        </w:rPr>
        <w:t> </w:t>
      </w:r>
      <w:r>
        <w:rPr/>
        <w:t>The growth of student enrolment </w:t>
      </w:r>
      <w:r>
        <w:rPr>
          <w:spacing w:val="-2"/>
        </w:rPr>
        <w:t>in</w:t>
      </w:r>
      <w:r>
        <w:rPr>
          <w:spacing w:val="-10"/>
        </w:rPr>
        <w:t> </w:t>
      </w:r>
      <w:r>
        <w:rPr>
          <w:spacing w:val="-2"/>
        </w:rPr>
        <w:t>higher</w:t>
      </w:r>
      <w:r>
        <w:rPr>
          <w:spacing w:val="-10"/>
        </w:rPr>
        <w:t> </w:t>
      </w:r>
      <w:r>
        <w:rPr>
          <w:spacing w:val="-2"/>
        </w:rPr>
        <w:t>education</w:t>
      </w:r>
      <w:r>
        <w:rPr>
          <w:spacing w:val="-10"/>
        </w:rPr>
        <w:t> </w:t>
      </w:r>
      <w:r>
        <w:rPr>
          <w:spacing w:val="-2"/>
        </w:rPr>
        <w:t>in</w:t>
      </w:r>
      <w:r>
        <w:rPr>
          <w:spacing w:val="-10"/>
        </w:rPr>
        <w:t> </w:t>
      </w:r>
      <w:r>
        <w:rPr>
          <w:spacing w:val="-2"/>
        </w:rPr>
        <w:t>India</w:t>
      </w:r>
      <w:r>
        <w:rPr>
          <w:spacing w:val="-10"/>
        </w:rPr>
        <w:t> </w:t>
      </w:r>
      <w:r>
        <w:rPr>
          <w:spacing w:val="-2"/>
        </w:rPr>
        <w:t>has</w:t>
      </w:r>
      <w:r>
        <w:rPr>
          <w:spacing w:val="-10"/>
        </w:rPr>
        <w:t> </w:t>
      </w:r>
      <w:r>
        <w:rPr>
          <w:spacing w:val="-2"/>
        </w:rPr>
        <w:t>been</w:t>
      </w:r>
      <w:r>
        <w:rPr>
          <w:spacing w:val="-10"/>
        </w:rPr>
        <w:t> </w:t>
      </w:r>
      <w:r>
        <w:rPr>
          <w:spacing w:val="-2"/>
        </w:rPr>
        <w:t>uneven</w:t>
      </w:r>
      <w:r>
        <w:rPr>
          <w:spacing w:val="-10"/>
        </w:rPr>
        <w:t> </w:t>
      </w:r>
      <w:r>
        <w:rPr>
          <w:spacing w:val="-2"/>
        </w:rPr>
        <w:t>and</w:t>
      </w:r>
      <w:r>
        <w:rPr>
          <w:spacing w:val="-10"/>
        </w:rPr>
        <w:t> </w:t>
      </w:r>
      <w:r>
        <w:rPr>
          <w:spacing w:val="-2"/>
        </w:rPr>
        <w:t>slow. </w:t>
      </w:r>
      <w:r>
        <w:rPr/>
        <w:t>For</w:t>
      </w:r>
      <w:r>
        <w:rPr>
          <w:spacing w:val="-14"/>
        </w:rPr>
        <w:t> </w:t>
      </w:r>
      <w:r>
        <w:rPr/>
        <w:t>instance,</w:t>
      </w:r>
      <w:r>
        <w:rPr>
          <w:spacing w:val="-14"/>
        </w:rPr>
        <w:t> </w:t>
      </w:r>
      <w:r>
        <w:rPr/>
        <w:t>while</w:t>
      </w:r>
      <w:r>
        <w:rPr>
          <w:spacing w:val="-14"/>
        </w:rPr>
        <w:t> </w:t>
      </w:r>
      <w:r>
        <w:rPr/>
        <w:t>the</w:t>
      </w:r>
      <w:r>
        <w:rPr>
          <w:spacing w:val="-13"/>
        </w:rPr>
        <w:t> </w:t>
      </w:r>
      <w:r>
        <w:rPr/>
        <w:t>enrolment</w:t>
      </w:r>
      <w:r>
        <w:rPr>
          <w:spacing w:val="-14"/>
        </w:rPr>
        <w:t> </w:t>
      </w:r>
      <w:r>
        <w:rPr/>
        <w:t>grew</w:t>
      </w:r>
      <w:r>
        <w:rPr>
          <w:spacing w:val="-14"/>
        </w:rPr>
        <w:t> </w:t>
      </w:r>
      <w:r>
        <w:rPr/>
        <w:t>by</w:t>
      </w:r>
      <w:r>
        <w:rPr>
          <w:spacing w:val="-14"/>
        </w:rPr>
        <w:t> </w:t>
      </w:r>
      <w:r>
        <w:rPr/>
        <w:t>6.7</w:t>
      </w:r>
      <w:r>
        <w:rPr>
          <w:spacing w:val="-13"/>
        </w:rPr>
        <w:t> </w:t>
      </w:r>
      <w:r>
        <w:rPr/>
        <w:t>per</w:t>
      </w:r>
      <w:r>
        <w:rPr>
          <w:spacing w:val="-14"/>
        </w:rPr>
        <w:t> </w:t>
      </w:r>
      <w:r>
        <w:rPr/>
        <w:t>cent in 2001-2002, in 2005-06 it grew by 5.2 per cent.</w:t>
      </w:r>
    </w:p>
    <w:p>
      <w:pPr>
        <w:pStyle w:val="BodyText"/>
        <w:spacing w:before="22"/>
      </w:pPr>
    </w:p>
    <w:p>
      <w:pPr>
        <w:pStyle w:val="BodyText"/>
        <w:spacing w:line="266" w:lineRule="auto"/>
        <w:ind w:left="319" w:right="1077"/>
        <w:jc w:val="both"/>
      </w:pPr>
      <w:r>
        <w:rPr>
          <w:b/>
        </w:rPr>
        <w:t>Teachers:</w:t>
      </w:r>
      <w:r>
        <w:rPr>
          <w:b/>
          <w:spacing w:val="-2"/>
        </w:rPr>
        <w:t> </w:t>
      </w:r>
      <w:r>
        <w:rPr/>
        <w:t>The</w:t>
      </w:r>
      <w:r>
        <w:rPr>
          <w:spacing w:val="-3"/>
        </w:rPr>
        <w:t> </w:t>
      </w:r>
      <w:r>
        <w:rPr/>
        <w:t>total</w:t>
      </w:r>
      <w:r>
        <w:rPr>
          <w:spacing w:val="-3"/>
        </w:rPr>
        <w:t> </w:t>
      </w:r>
      <w:r>
        <w:rPr/>
        <w:t>number</w:t>
      </w:r>
      <w:r>
        <w:rPr>
          <w:spacing w:val="-3"/>
        </w:rPr>
        <w:t> </w:t>
      </w:r>
      <w:r>
        <w:rPr/>
        <w:t>of</w:t>
      </w:r>
      <w:r>
        <w:rPr>
          <w:spacing w:val="-3"/>
        </w:rPr>
        <w:t> </w:t>
      </w:r>
      <w:r>
        <w:rPr/>
        <w:t>teachers</w:t>
      </w:r>
      <w:r>
        <w:rPr>
          <w:spacing w:val="-3"/>
        </w:rPr>
        <w:t> </w:t>
      </w:r>
      <w:r>
        <w:rPr/>
        <w:t>in</w:t>
      </w:r>
      <w:r>
        <w:rPr>
          <w:spacing w:val="-3"/>
        </w:rPr>
        <w:t> </w:t>
      </w:r>
      <w:r>
        <w:rPr/>
        <w:t>the</w:t>
      </w:r>
      <w:r>
        <w:rPr>
          <w:spacing w:val="-3"/>
        </w:rPr>
        <w:t> </w:t>
      </w:r>
      <w:r>
        <w:rPr/>
        <w:t>higher </w:t>
      </w:r>
      <w:r>
        <w:rPr>
          <w:spacing w:val="-4"/>
        </w:rPr>
        <w:t>education</w:t>
      </w:r>
      <w:r>
        <w:rPr>
          <w:spacing w:val="-9"/>
        </w:rPr>
        <w:t> </w:t>
      </w:r>
      <w:r>
        <w:rPr>
          <w:spacing w:val="-4"/>
        </w:rPr>
        <w:t>system</w:t>
      </w:r>
      <w:r>
        <w:rPr>
          <w:spacing w:val="-9"/>
        </w:rPr>
        <w:t> </w:t>
      </w:r>
      <w:r>
        <w:rPr>
          <w:spacing w:val="-4"/>
        </w:rPr>
        <w:t>is</w:t>
      </w:r>
      <w:r>
        <w:rPr>
          <w:spacing w:val="-9"/>
        </w:rPr>
        <w:t> </w:t>
      </w:r>
      <w:r>
        <w:rPr>
          <w:spacing w:val="-4"/>
        </w:rPr>
        <w:t>4.88</w:t>
      </w:r>
      <w:r>
        <w:rPr>
          <w:spacing w:val="-9"/>
        </w:rPr>
        <w:t> </w:t>
      </w:r>
      <w:r>
        <w:rPr>
          <w:spacing w:val="-4"/>
        </w:rPr>
        <w:t>lakhs.</w:t>
      </w:r>
      <w:r>
        <w:rPr>
          <w:spacing w:val="-9"/>
        </w:rPr>
        <w:t> </w:t>
      </w:r>
      <w:r>
        <w:rPr>
          <w:spacing w:val="-4"/>
        </w:rPr>
        <w:t>Out</w:t>
      </w:r>
      <w:r>
        <w:rPr>
          <w:spacing w:val="-9"/>
        </w:rPr>
        <w:t> </w:t>
      </w:r>
      <w:r>
        <w:rPr>
          <w:spacing w:val="-4"/>
        </w:rPr>
        <w:t>of</w:t>
      </w:r>
      <w:r>
        <w:rPr>
          <w:spacing w:val="-9"/>
        </w:rPr>
        <w:t> </w:t>
      </w:r>
      <w:r>
        <w:rPr>
          <w:spacing w:val="-4"/>
        </w:rPr>
        <w:t>the</w:t>
      </w:r>
      <w:r>
        <w:rPr>
          <w:spacing w:val="-9"/>
        </w:rPr>
        <w:t> </w:t>
      </w:r>
      <w:r>
        <w:rPr>
          <w:spacing w:val="-4"/>
        </w:rPr>
        <w:t>total</w:t>
      </w:r>
      <w:r>
        <w:rPr>
          <w:spacing w:val="-9"/>
        </w:rPr>
        <w:t> </w:t>
      </w:r>
      <w:r>
        <w:rPr>
          <w:spacing w:val="-4"/>
        </w:rPr>
        <w:t>teaching faculty,</w:t>
      </w:r>
      <w:r>
        <w:rPr>
          <w:spacing w:val="-12"/>
        </w:rPr>
        <w:t> </w:t>
      </w:r>
      <w:r>
        <w:rPr>
          <w:spacing w:val="-4"/>
        </w:rPr>
        <w:t>84</w:t>
      </w:r>
      <w:r>
        <w:rPr>
          <w:spacing w:val="-10"/>
        </w:rPr>
        <w:t> </w:t>
      </w:r>
      <w:r>
        <w:rPr>
          <w:spacing w:val="-4"/>
        </w:rPr>
        <w:t>per</w:t>
      </w:r>
      <w:r>
        <w:rPr>
          <w:spacing w:val="-10"/>
        </w:rPr>
        <w:t> </w:t>
      </w:r>
      <w:r>
        <w:rPr>
          <w:spacing w:val="-4"/>
        </w:rPr>
        <w:t>cent</w:t>
      </w:r>
      <w:r>
        <w:rPr>
          <w:spacing w:val="-9"/>
        </w:rPr>
        <w:t> </w:t>
      </w:r>
      <w:r>
        <w:rPr>
          <w:spacing w:val="-4"/>
        </w:rPr>
        <w:t>were</w:t>
      </w:r>
      <w:r>
        <w:rPr>
          <w:spacing w:val="-10"/>
        </w:rPr>
        <w:t> </w:t>
      </w:r>
      <w:r>
        <w:rPr>
          <w:spacing w:val="-4"/>
        </w:rPr>
        <w:t>employed</w:t>
      </w:r>
      <w:r>
        <w:rPr>
          <w:spacing w:val="-10"/>
        </w:rPr>
        <w:t> </w:t>
      </w:r>
      <w:r>
        <w:rPr>
          <w:spacing w:val="-4"/>
        </w:rPr>
        <w:t>in</w:t>
      </w:r>
      <w:r>
        <w:rPr>
          <w:spacing w:val="-10"/>
        </w:rPr>
        <w:t> </w:t>
      </w:r>
      <w:r>
        <w:rPr>
          <w:spacing w:val="-4"/>
        </w:rPr>
        <w:t>affiliated</w:t>
      </w:r>
      <w:r>
        <w:rPr>
          <w:spacing w:val="-9"/>
        </w:rPr>
        <w:t> </w:t>
      </w:r>
      <w:r>
        <w:rPr>
          <w:spacing w:val="-4"/>
        </w:rPr>
        <w:t>colleges </w:t>
      </w:r>
      <w:r>
        <w:rPr/>
        <w:t>and</w:t>
      </w:r>
      <w:r>
        <w:rPr>
          <w:spacing w:val="-9"/>
        </w:rPr>
        <w:t> </w:t>
      </w:r>
      <w:r>
        <w:rPr/>
        <w:t>only</w:t>
      </w:r>
      <w:r>
        <w:rPr>
          <w:spacing w:val="-7"/>
        </w:rPr>
        <w:t> </w:t>
      </w:r>
      <w:r>
        <w:rPr/>
        <w:t>16</w:t>
      </w:r>
      <w:r>
        <w:rPr>
          <w:spacing w:val="-7"/>
        </w:rPr>
        <w:t> </w:t>
      </w:r>
      <w:r>
        <w:rPr/>
        <w:t>per</w:t>
      </w:r>
      <w:r>
        <w:rPr>
          <w:spacing w:val="-7"/>
        </w:rPr>
        <w:t> </w:t>
      </w:r>
      <w:r>
        <w:rPr/>
        <w:t>cent</w:t>
      </w:r>
      <w:r>
        <w:rPr>
          <w:spacing w:val="-7"/>
        </w:rPr>
        <w:t> </w:t>
      </w:r>
      <w:r>
        <w:rPr/>
        <w:t>in</w:t>
      </w:r>
      <w:r>
        <w:rPr>
          <w:spacing w:val="-7"/>
        </w:rPr>
        <w:t> </w:t>
      </w:r>
      <w:r>
        <w:rPr/>
        <w:t>the</w:t>
      </w:r>
      <w:r>
        <w:rPr>
          <w:spacing w:val="-7"/>
        </w:rPr>
        <w:t> </w:t>
      </w:r>
      <w:r>
        <w:rPr/>
        <w:t>universities</w:t>
      </w:r>
      <w:r>
        <w:rPr>
          <w:spacing w:val="-7"/>
        </w:rPr>
        <w:t> </w:t>
      </w:r>
      <w:r>
        <w:rPr/>
        <w:t>and</w:t>
      </w:r>
      <w:r>
        <w:rPr>
          <w:spacing w:val="-7"/>
        </w:rPr>
        <w:t> </w:t>
      </w:r>
      <w:r>
        <w:rPr/>
        <w:t>university colleges.</w:t>
      </w:r>
      <w:r>
        <w:rPr>
          <w:spacing w:val="-10"/>
        </w:rPr>
        <w:t> </w:t>
      </w:r>
      <w:r>
        <w:rPr/>
        <w:t>The</w:t>
      </w:r>
      <w:r>
        <w:rPr>
          <w:spacing w:val="-3"/>
        </w:rPr>
        <w:t> </w:t>
      </w:r>
      <w:r>
        <w:rPr/>
        <w:t>student-teacher</w:t>
      </w:r>
      <w:r>
        <w:rPr>
          <w:spacing w:val="-3"/>
        </w:rPr>
        <w:t> </w:t>
      </w:r>
      <w:r>
        <w:rPr/>
        <w:t>ratio</w:t>
      </w:r>
      <w:r>
        <w:rPr>
          <w:spacing w:val="-3"/>
        </w:rPr>
        <w:t> </w:t>
      </w:r>
      <w:r>
        <w:rPr/>
        <w:t>works</w:t>
      </w:r>
      <w:r>
        <w:rPr>
          <w:spacing w:val="-3"/>
        </w:rPr>
        <w:t> </w:t>
      </w:r>
      <w:r>
        <w:rPr/>
        <w:t>out</w:t>
      </w:r>
      <w:r>
        <w:rPr>
          <w:spacing w:val="-3"/>
        </w:rPr>
        <w:t> </w:t>
      </w:r>
      <w:r>
        <w:rPr/>
        <w:t>to</w:t>
      </w:r>
      <w:r>
        <w:rPr>
          <w:spacing w:val="-3"/>
        </w:rPr>
        <w:t> </w:t>
      </w:r>
      <w:r>
        <w:rPr/>
        <w:t>18</w:t>
      </w:r>
      <w:r>
        <w:rPr>
          <w:spacing w:val="-3"/>
        </w:rPr>
        <w:t> </w:t>
      </w:r>
      <w:r>
        <w:rPr/>
        <w:t>in the</w:t>
      </w:r>
      <w:r>
        <w:rPr>
          <w:spacing w:val="-3"/>
        </w:rPr>
        <w:t> </w:t>
      </w:r>
      <w:r>
        <w:rPr/>
        <w:t>university</w:t>
      </w:r>
      <w:r>
        <w:rPr>
          <w:spacing w:val="-3"/>
        </w:rPr>
        <w:t> </w:t>
      </w:r>
      <w:r>
        <w:rPr/>
        <w:t>departments</w:t>
      </w:r>
      <w:r>
        <w:rPr>
          <w:spacing w:val="-3"/>
        </w:rPr>
        <w:t> </w:t>
      </w:r>
      <w:r>
        <w:rPr/>
        <w:t>and</w:t>
      </w:r>
      <w:r>
        <w:rPr>
          <w:spacing w:val="-3"/>
        </w:rPr>
        <w:t> </w:t>
      </w:r>
      <w:r>
        <w:rPr/>
        <w:t>colleges</w:t>
      </w:r>
      <w:r>
        <w:rPr>
          <w:spacing w:val="-3"/>
        </w:rPr>
        <w:t> </w:t>
      </w:r>
      <w:r>
        <w:rPr/>
        <w:t>and</w:t>
      </w:r>
      <w:r>
        <w:rPr>
          <w:spacing w:val="-3"/>
        </w:rPr>
        <w:t> </w:t>
      </w:r>
      <w:r>
        <w:rPr/>
        <w:t>23</w:t>
      </w:r>
      <w:r>
        <w:rPr>
          <w:spacing w:val="-3"/>
        </w:rPr>
        <w:t> </w:t>
      </w:r>
      <w:r>
        <w:rPr/>
        <w:t>in</w:t>
      </w:r>
      <w:r>
        <w:rPr>
          <w:spacing w:val="-3"/>
        </w:rPr>
        <w:t> </w:t>
      </w:r>
      <w:r>
        <w:rPr/>
        <w:t>the affiliated colleges.</w:t>
      </w:r>
    </w:p>
    <w:p>
      <w:pPr>
        <w:pStyle w:val="Heading6"/>
        <w:spacing w:before="181"/>
        <w:ind w:left="319" w:firstLine="0"/>
        <w:jc w:val="both"/>
      </w:pPr>
      <w:r>
        <w:rPr>
          <w:color w:val="2E614A"/>
          <w:w w:val="90"/>
        </w:rPr>
        <w:t>Issues</w:t>
      </w:r>
      <w:r>
        <w:rPr>
          <w:color w:val="2E614A"/>
          <w:spacing w:val="4"/>
        </w:rPr>
        <w:t> </w:t>
      </w:r>
      <w:r>
        <w:rPr>
          <w:color w:val="2E614A"/>
          <w:w w:val="90"/>
        </w:rPr>
        <w:t>in</w:t>
      </w:r>
      <w:r>
        <w:rPr>
          <w:color w:val="2E614A"/>
          <w:spacing w:val="4"/>
        </w:rPr>
        <w:t> </w:t>
      </w:r>
      <w:r>
        <w:rPr>
          <w:color w:val="2E614A"/>
          <w:w w:val="90"/>
        </w:rPr>
        <w:t>the</w:t>
      </w:r>
      <w:r>
        <w:rPr>
          <w:color w:val="2E614A"/>
          <w:spacing w:val="4"/>
        </w:rPr>
        <w:t> </w:t>
      </w:r>
      <w:r>
        <w:rPr>
          <w:color w:val="2E614A"/>
          <w:w w:val="90"/>
        </w:rPr>
        <w:t>Current</w:t>
      </w:r>
      <w:r>
        <w:rPr>
          <w:color w:val="2E614A"/>
          <w:spacing w:val="5"/>
        </w:rPr>
        <w:t> </w:t>
      </w:r>
      <w:r>
        <w:rPr>
          <w:color w:val="2E614A"/>
          <w:spacing w:val="-2"/>
          <w:w w:val="90"/>
        </w:rPr>
        <w:t>Framework</w:t>
      </w:r>
    </w:p>
    <w:p>
      <w:pPr>
        <w:pStyle w:val="BodyText"/>
        <w:spacing w:line="266" w:lineRule="auto" w:before="285"/>
        <w:ind w:left="319" w:right="1077"/>
        <w:jc w:val="both"/>
      </w:pPr>
      <w:r>
        <w:rPr>
          <w:b/>
          <w:spacing w:val="-2"/>
        </w:rPr>
        <w:t>Expansion:</w:t>
      </w:r>
      <w:r>
        <w:rPr>
          <w:b/>
          <w:spacing w:val="-12"/>
        </w:rPr>
        <w:t> </w:t>
      </w:r>
      <w:r>
        <w:rPr>
          <w:spacing w:val="-2"/>
        </w:rPr>
        <w:t>The</w:t>
      </w:r>
      <w:r>
        <w:rPr>
          <w:spacing w:val="-12"/>
        </w:rPr>
        <w:t> </w:t>
      </w:r>
      <w:r>
        <w:rPr>
          <w:spacing w:val="-2"/>
        </w:rPr>
        <w:t>current</w:t>
      </w:r>
      <w:r>
        <w:rPr>
          <w:spacing w:val="-12"/>
        </w:rPr>
        <w:t> </w:t>
      </w:r>
      <w:r>
        <w:rPr>
          <w:spacing w:val="-2"/>
        </w:rPr>
        <w:t>enrolment</w:t>
      </w:r>
      <w:r>
        <w:rPr>
          <w:spacing w:val="-11"/>
        </w:rPr>
        <w:t> </w:t>
      </w:r>
      <w:r>
        <w:rPr>
          <w:spacing w:val="-2"/>
        </w:rPr>
        <w:t>in</w:t>
      </w:r>
      <w:r>
        <w:rPr>
          <w:spacing w:val="-12"/>
        </w:rPr>
        <w:t> </w:t>
      </w:r>
      <w:r>
        <w:rPr>
          <w:spacing w:val="-2"/>
        </w:rPr>
        <w:t>higher</w:t>
      </w:r>
      <w:r>
        <w:rPr>
          <w:spacing w:val="-12"/>
        </w:rPr>
        <w:t> </w:t>
      </w:r>
      <w:r>
        <w:rPr>
          <w:spacing w:val="-2"/>
        </w:rPr>
        <w:t>education </w:t>
      </w:r>
      <w:r>
        <w:rPr/>
        <w:t>stands at about 11 million. While there has been a </w:t>
      </w:r>
      <w:r>
        <w:rPr>
          <w:spacing w:val="-4"/>
        </w:rPr>
        <w:t>consistent</w:t>
      </w:r>
      <w:r>
        <w:rPr>
          <w:spacing w:val="-10"/>
        </w:rPr>
        <w:t> </w:t>
      </w:r>
      <w:r>
        <w:rPr>
          <w:spacing w:val="-4"/>
        </w:rPr>
        <w:t>growth</w:t>
      </w:r>
      <w:r>
        <w:rPr>
          <w:spacing w:val="-10"/>
        </w:rPr>
        <w:t> </w:t>
      </w:r>
      <w:r>
        <w:rPr>
          <w:spacing w:val="-4"/>
        </w:rPr>
        <w:t>in</w:t>
      </w:r>
      <w:r>
        <w:rPr>
          <w:spacing w:val="-10"/>
        </w:rPr>
        <w:t> </w:t>
      </w:r>
      <w:r>
        <w:rPr>
          <w:spacing w:val="-4"/>
        </w:rPr>
        <w:t>enrolment</w:t>
      </w:r>
      <w:r>
        <w:rPr>
          <w:spacing w:val="-9"/>
        </w:rPr>
        <w:t> </w:t>
      </w:r>
      <w:r>
        <w:rPr>
          <w:spacing w:val="-4"/>
        </w:rPr>
        <w:t>in</w:t>
      </w:r>
      <w:r>
        <w:rPr>
          <w:spacing w:val="-10"/>
        </w:rPr>
        <w:t> </w:t>
      </w:r>
      <w:r>
        <w:rPr>
          <w:spacing w:val="-4"/>
        </w:rPr>
        <w:t>higher</w:t>
      </w:r>
      <w:r>
        <w:rPr>
          <w:spacing w:val="-10"/>
        </w:rPr>
        <w:t> </w:t>
      </w:r>
      <w:r>
        <w:rPr>
          <w:spacing w:val="-4"/>
        </w:rPr>
        <w:t>education</w:t>
      </w:r>
      <w:r>
        <w:rPr>
          <w:spacing w:val="-10"/>
        </w:rPr>
        <w:t> </w:t>
      </w:r>
      <w:r>
        <w:rPr>
          <w:spacing w:val="-4"/>
        </w:rPr>
        <w:t>over </w:t>
      </w:r>
      <w:r>
        <w:rPr/>
        <w:t>the</w:t>
      </w:r>
      <w:r>
        <w:rPr>
          <w:spacing w:val="4"/>
        </w:rPr>
        <w:t> </w:t>
      </w:r>
      <w:r>
        <w:rPr/>
        <w:t>last</w:t>
      </w:r>
      <w:r>
        <w:rPr>
          <w:spacing w:val="5"/>
        </w:rPr>
        <w:t> </w:t>
      </w:r>
      <w:r>
        <w:rPr/>
        <w:t>few</w:t>
      </w:r>
      <w:r>
        <w:rPr>
          <w:spacing w:val="4"/>
        </w:rPr>
        <w:t> </w:t>
      </w:r>
      <w:r>
        <w:rPr/>
        <w:t>years,</w:t>
      </w:r>
      <w:r>
        <w:rPr>
          <w:spacing w:val="5"/>
        </w:rPr>
        <w:t> </w:t>
      </w:r>
      <w:r>
        <w:rPr/>
        <w:t>this</w:t>
      </w:r>
      <w:r>
        <w:rPr>
          <w:spacing w:val="5"/>
        </w:rPr>
        <w:t> </w:t>
      </w:r>
      <w:r>
        <w:rPr/>
        <w:t>is</w:t>
      </w:r>
      <w:r>
        <w:rPr>
          <w:spacing w:val="4"/>
        </w:rPr>
        <w:t> </w:t>
      </w:r>
      <w:r>
        <w:rPr/>
        <w:t>not</w:t>
      </w:r>
      <w:r>
        <w:rPr>
          <w:spacing w:val="5"/>
        </w:rPr>
        <w:t> </w:t>
      </w:r>
      <w:r>
        <w:rPr/>
        <w:t>enough</w:t>
      </w:r>
      <w:r>
        <w:rPr>
          <w:spacing w:val="5"/>
        </w:rPr>
        <w:t> </w:t>
      </w:r>
      <w:r>
        <w:rPr/>
        <w:t>when</w:t>
      </w:r>
      <w:r>
        <w:rPr>
          <w:spacing w:val="4"/>
        </w:rPr>
        <w:t> </w:t>
      </w:r>
      <w:r>
        <w:rPr>
          <w:spacing w:val="-2"/>
        </w:rPr>
        <w:t>compared</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108"/>
        <w:rPr>
          <w:sz w:val="24"/>
        </w:rPr>
      </w:pPr>
    </w:p>
    <w:p>
      <w:pPr>
        <w:pStyle w:val="Heading8"/>
        <w:ind w:left="1677"/>
      </w:pPr>
      <w:r>
        <w:rPr>
          <w:w w:val="90"/>
        </w:rPr>
        <w:t>Figure</w:t>
      </w:r>
      <w:r>
        <w:rPr>
          <w:spacing w:val="11"/>
        </w:rPr>
        <w:t> </w:t>
      </w:r>
      <w:r>
        <w:rPr>
          <w:w w:val="90"/>
        </w:rPr>
        <w:t>15:</w:t>
      </w:r>
      <w:r>
        <w:rPr>
          <w:spacing w:val="11"/>
        </w:rPr>
        <w:t> </w:t>
      </w:r>
      <w:r>
        <w:rPr>
          <w:color w:val="2E614A"/>
          <w:w w:val="90"/>
        </w:rPr>
        <w:t>Growth</w:t>
      </w:r>
      <w:r>
        <w:rPr>
          <w:color w:val="2E614A"/>
          <w:spacing w:val="11"/>
        </w:rPr>
        <w:t> </w:t>
      </w:r>
      <w:r>
        <w:rPr>
          <w:color w:val="2E614A"/>
          <w:w w:val="90"/>
        </w:rPr>
        <w:t>of</w:t>
      </w:r>
      <w:r>
        <w:rPr>
          <w:color w:val="2E614A"/>
          <w:spacing w:val="11"/>
        </w:rPr>
        <w:t> </w:t>
      </w:r>
      <w:r>
        <w:rPr>
          <w:color w:val="2E614A"/>
          <w:w w:val="90"/>
        </w:rPr>
        <w:t>higher</w:t>
      </w:r>
      <w:r>
        <w:rPr>
          <w:color w:val="2E614A"/>
          <w:spacing w:val="11"/>
        </w:rPr>
        <w:t> </w:t>
      </w:r>
      <w:r>
        <w:rPr>
          <w:color w:val="2E614A"/>
          <w:w w:val="90"/>
        </w:rPr>
        <w:t>education</w:t>
      </w:r>
      <w:r>
        <w:rPr>
          <w:color w:val="2E614A"/>
          <w:spacing w:val="11"/>
        </w:rPr>
        <w:t> </w:t>
      </w:r>
      <w:r>
        <w:rPr>
          <w:color w:val="2E614A"/>
          <w:spacing w:val="-2"/>
          <w:w w:val="90"/>
        </w:rPr>
        <w:t>system</w:t>
      </w:r>
    </w:p>
    <w:p>
      <w:pPr>
        <w:pStyle w:val="BodyText"/>
        <w:spacing w:before="6"/>
        <w:rPr>
          <w:b/>
          <w:sz w:val="8"/>
        </w:rPr>
      </w:pPr>
      <w:r>
        <w:rPr/>
        <mc:AlternateContent>
          <mc:Choice Requires="wps">
            <w:drawing>
              <wp:anchor distT="0" distB="0" distL="0" distR="0" allowOverlap="1" layoutInCell="1" locked="0" behindDoc="1" simplePos="0" relativeHeight="487674368">
                <wp:simplePos x="0" y="0"/>
                <wp:positionH relativeFrom="page">
                  <wp:posOffset>1077599</wp:posOffset>
                </wp:positionH>
                <wp:positionV relativeFrom="paragraph">
                  <wp:posOffset>77758</wp:posOffset>
                </wp:positionV>
                <wp:extent cx="5422900" cy="2381250"/>
                <wp:effectExtent l="0" t="0" r="0" b="0"/>
                <wp:wrapTopAndBottom/>
                <wp:docPr id="1357" name="Group 1357"/>
                <wp:cNvGraphicFramePr>
                  <a:graphicFrameLocks/>
                </wp:cNvGraphicFramePr>
                <a:graphic>
                  <a:graphicData uri="http://schemas.microsoft.com/office/word/2010/wordprocessingGroup">
                    <wpg:wgp>
                      <wpg:cNvPr id="1357" name="Group 1357"/>
                      <wpg:cNvGrpSpPr/>
                      <wpg:grpSpPr>
                        <a:xfrm>
                          <a:off x="0" y="0"/>
                          <a:ext cx="5422900" cy="2381250"/>
                          <a:chExt cx="5422900" cy="2381250"/>
                        </a:xfrm>
                      </wpg:grpSpPr>
                      <wps:wsp>
                        <wps:cNvPr id="1358" name="Graphic 1358"/>
                        <wps:cNvSpPr/>
                        <wps:spPr>
                          <a:xfrm>
                            <a:off x="-4" y="0"/>
                            <a:ext cx="5422900" cy="2381250"/>
                          </a:xfrm>
                          <a:custGeom>
                            <a:avLst/>
                            <a:gdLst/>
                            <a:ahLst/>
                            <a:cxnLst/>
                            <a:rect l="l" t="t" r="r" b="b"/>
                            <a:pathLst>
                              <a:path w="5422900" h="2381250">
                                <a:moveTo>
                                  <a:pt x="5422900" y="0"/>
                                </a:moveTo>
                                <a:lnTo>
                                  <a:pt x="5416550" y="0"/>
                                </a:lnTo>
                                <a:lnTo>
                                  <a:pt x="5416550" y="2540"/>
                                </a:lnTo>
                                <a:lnTo>
                                  <a:pt x="5416550" y="2870"/>
                                </a:lnTo>
                                <a:lnTo>
                                  <a:pt x="5416550" y="2378710"/>
                                </a:lnTo>
                                <a:lnTo>
                                  <a:pt x="3175" y="2378710"/>
                                </a:lnTo>
                                <a:lnTo>
                                  <a:pt x="6350" y="2378595"/>
                                </a:lnTo>
                                <a:lnTo>
                                  <a:pt x="5416550" y="2378595"/>
                                </a:lnTo>
                                <a:lnTo>
                                  <a:pt x="5416550" y="2375420"/>
                                </a:lnTo>
                                <a:lnTo>
                                  <a:pt x="6350" y="2375420"/>
                                </a:lnTo>
                                <a:lnTo>
                                  <a:pt x="3175" y="2375420"/>
                                </a:lnTo>
                                <a:lnTo>
                                  <a:pt x="3175" y="2374900"/>
                                </a:lnTo>
                                <a:lnTo>
                                  <a:pt x="6350" y="2374900"/>
                                </a:lnTo>
                                <a:lnTo>
                                  <a:pt x="6350" y="6350"/>
                                </a:lnTo>
                                <a:lnTo>
                                  <a:pt x="3175" y="6350"/>
                                </a:lnTo>
                                <a:lnTo>
                                  <a:pt x="3175" y="6045"/>
                                </a:lnTo>
                                <a:lnTo>
                                  <a:pt x="6350" y="6045"/>
                                </a:lnTo>
                                <a:lnTo>
                                  <a:pt x="5416550" y="6045"/>
                                </a:lnTo>
                                <a:lnTo>
                                  <a:pt x="5416550" y="2870"/>
                                </a:lnTo>
                                <a:lnTo>
                                  <a:pt x="6350" y="2870"/>
                                </a:lnTo>
                                <a:lnTo>
                                  <a:pt x="3175" y="2870"/>
                                </a:lnTo>
                                <a:lnTo>
                                  <a:pt x="3175" y="2540"/>
                                </a:lnTo>
                                <a:lnTo>
                                  <a:pt x="5416550" y="2540"/>
                                </a:lnTo>
                                <a:lnTo>
                                  <a:pt x="5416550" y="0"/>
                                </a:lnTo>
                                <a:lnTo>
                                  <a:pt x="0" y="0"/>
                                </a:lnTo>
                                <a:lnTo>
                                  <a:pt x="0" y="2540"/>
                                </a:lnTo>
                                <a:lnTo>
                                  <a:pt x="0" y="6350"/>
                                </a:lnTo>
                                <a:lnTo>
                                  <a:pt x="0" y="2374900"/>
                                </a:lnTo>
                                <a:lnTo>
                                  <a:pt x="0" y="2378710"/>
                                </a:lnTo>
                                <a:lnTo>
                                  <a:pt x="0" y="2381250"/>
                                </a:lnTo>
                                <a:lnTo>
                                  <a:pt x="5422900" y="2381250"/>
                                </a:lnTo>
                                <a:lnTo>
                                  <a:pt x="5422900" y="2378710"/>
                                </a:lnTo>
                                <a:lnTo>
                                  <a:pt x="5419725" y="2378710"/>
                                </a:lnTo>
                                <a:lnTo>
                                  <a:pt x="5422900" y="2378595"/>
                                </a:lnTo>
                                <a:lnTo>
                                  <a:pt x="5422900" y="2375420"/>
                                </a:lnTo>
                                <a:lnTo>
                                  <a:pt x="5419725" y="2375420"/>
                                </a:lnTo>
                                <a:lnTo>
                                  <a:pt x="5419725" y="2374900"/>
                                </a:lnTo>
                                <a:lnTo>
                                  <a:pt x="5422900" y="2374900"/>
                                </a:lnTo>
                                <a:lnTo>
                                  <a:pt x="5422900" y="6350"/>
                                </a:lnTo>
                                <a:lnTo>
                                  <a:pt x="5419725" y="6350"/>
                                </a:lnTo>
                                <a:lnTo>
                                  <a:pt x="5419725" y="6045"/>
                                </a:lnTo>
                                <a:lnTo>
                                  <a:pt x="5422900" y="6045"/>
                                </a:lnTo>
                                <a:lnTo>
                                  <a:pt x="5422900" y="2870"/>
                                </a:lnTo>
                                <a:lnTo>
                                  <a:pt x="5419725" y="2870"/>
                                </a:lnTo>
                                <a:lnTo>
                                  <a:pt x="5419725" y="2540"/>
                                </a:lnTo>
                                <a:lnTo>
                                  <a:pt x="5422900" y="2540"/>
                                </a:lnTo>
                                <a:lnTo>
                                  <a:pt x="5422900" y="0"/>
                                </a:lnTo>
                                <a:close/>
                              </a:path>
                            </a:pathLst>
                          </a:custGeom>
                          <a:solidFill>
                            <a:srgbClr val="000000"/>
                          </a:solidFill>
                        </wps:spPr>
                        <wps:bodyPr wrap="square" lIns="0" tIns="0" rIns="0" bIns="0" rtlCol="0">
                          <a:prstTxWarp prst="textNoShape">
                            <a:avLst/>
                          </a:prstTxWarp>
                          <a:noAutofit/>
                        </wps:bodyPr>
                      </wps:wsp>
                      <wps:wsp>
                        <wps:cNvPr id="1359" name="Graphic 1359"/>
                        <wps:cNvSpPr/>
                        <wps:spPr>
                          <a:xfrm>
                            <a:off x="595612" y="606107"/>
                            <a:ext cx="4147185" cy="1480185"/>
                          </a:xfrm>
                          <a:custGeom>
                            <a:avLst/>
                            <a:gdLst/>
                            <a:ahLst/>
                            <a:cxnLst/>
                            <a:rect l="l" t="t" r="r" b="b"/>
                            <a:pathLst>
                              <a:path w="4147185" h="1480185">
                                <a:moveTo>
                                  <a:pt x="151244" y="1347431"/>
                                </a:moveTo>
                                <a:lnTo>
                                  <a:pt x="0" y="1347431"/>
                                </a:lnTo>
                                <a:lnTo>
                                  <a:pt x="0" y="1479638"/>
                                </a:lnTo>
                                <a:lnTo>
                                  <a:pt x="151244" y="1479638"/>
                                </a:lnTo>
                                <a:lnTo>
                                  <a:pt x="151244" y="1347431"/>
                                </a:lnTo>
                                <a:close/>
                              </a:path>
                              <a:path w="4147185" h="1480185">
                                <a:moveTo>
                                  <a:pt x="510476" y="1322222"/>
                                </a:moveTo>
                                <a:lnTo>
                                  <a:pt x="365531" y="1322222"/>
                                </a:lnTo>
                                <a:lnTo>
                                  <a:pt x="365531" y="1479638"/>
                                </a:lnTo>
                                <a:lnTo>
                                  <a:pt x="510476" y="1479638"/>
                                </a:lnTo>
                                <a:lnTo>
                                  <a:pt x="510476" y="1322222"/>
                                </a:lnTo>
                                <a:close/>
                              </a:path>
                              <a:path w="4147185" h="1480185">
                                <a:moveTo>
                                  <a:pt x="875995" y="1246695"/>
                                </a:moveTo>
                                <a:lnTo>
                                  <a:pt x="724750" y="1246695"/>
                                </a:lnTo>
                                <a:lnTo>
                                  <a:pt x="724750" y="1479638"/>
                                </a:lnTo>
                                <a:lnTo>
                                  <a:pt x="875995" y="1479638"/>
                                </a:lnTo>
                                <a:lnTo>
                                  <a:pt x="875995" y="1246695"/>
                                </a:lnTo>
                                <a:close/>
                              </a:path>
                              <a:path w="4147185" h="1480185">
                                <a:moveTo>
                                  <a:pt x="1241526" y="1120762"/>
                                </a:moveTo>
                                <a:lnTo>
                                  <a:pt x="1090269" y="1120762"/>
                                </a:lnTo>
                                <a:lnTo>
                                  <a:pt x="1090269" y="1479638"/>
                                </a:lnTo>
                                <a:lnTo>
                                  <a:pt x="1241526" y="1479638"/>
                                </a:lnTo>
                                <a:lnTo>
                                  <a:pt x="1241526" y="1120762"/>
                                </a:lnTo>
                                <a:close/>
                              </a:path>
                              <a:path w="4147185" h="1480185">
                                <a:moveTo>
                                  <a:pt x="1600746" y="1051483"/>
                                </a:moveTo>
                                <a:lnTo>
                                  <a:pt x="1455788" y="1051483"/>
                                </a:lnTo>
                                <a:lnTo>
                                  <a:pt x="1455788" y="1479638"/>
                                </a:lnTo>
                                <a:lnTo>
                                  <a:pt x="1600746" y="1479638"/>
                                </a:lnTo>
                                <a:lnTo>
                                  <a:pt x="1600746" y="1051483"/>
                                </a:lnTo>
                                <a:close/>
                              </a:path>
                              <a:path w="4147185" h="1480185">
                                <a:moveTo>
                                  <a:pt x="1966252" y="982230"/>
                                </a:moveTo>
                                <a:lnTo>
                                  <a:pt x="1815007" y="982230"/>
                                </a:lnTo>
                                <a:lnTo>
                                  <a:pt x="1815007" y="1479638"/>
                                </a:lnTo>
                                <a:lnTo>
                                  <a:pt x="1966252" y="1479638"/>
                                </a:lnTo>
                                <a:lnTo>
                                  <a:pt x="1966252" y="982230"/>
                                </a:lnTo>
                                <a:close/>
                              </a:path>
                              <a:path w="4147185" h="1480185">
                                <a:moveTo>
                                  <a:pt x="2331796" y="925563"/>
                                </a:moveTo>
                                <a:lnTo>
                                  <a:pt x="2180539" y="925563"/>
                                </a:lnTo>
                                <a:lnTo>
                                  <a:pt x="2180539" y="1479638"/>
                                </a:lnTo>
                                <a:lnTo>
                                  <a:pt x="2331796" y="1479638"/>
                                </a:lnTo>
                                <a:lnTo>
                                  <a:pt x="2331796" y="925563"/>
                                </a:lnTo>
                                <a:close/>
                              </a:path>
                              <a:path w="4147185" h="1480185">
                                <a:moveTo>
                                  <a:pt x="2691003" y="818527"/>
                                </a:moveTo>
                                <a:lnTo>
                                  <a:pt x="2546058" y="818527"/>
                                </a:lnTo>
                                <a:lnTo>
                                  <a:pt x="2546058" y="1479638"/>
                                </a:lnTo>
                                <a:lnTo>
                                  <a:pt x="2691003" y="1479638"/>
                                </a:lnTo>
                                <a:lnTo>
                                  <a:pt x="2691003" y="818527"/>
                                </a:lnTo>
                                <a:close/>
                              </a:path>
                              <a:path w="4147185" h="1480185">
                                <a:moveTo>
                                  <a:pt x="3056521" y="686308"/>
                                </a:moveTo>
                                <a:lnTo>
                                  <a:pt x="2905264" y="686308"/>
                                </a:lnTo>
                                <a:lnTo>
                                  <a:pt x="2905264" y="1479638"/>
                                </a:lnTo>
                                <a:lnTo>
                                  <a:pt x="3056521" y="1479638"/>
                                </a:lnTo>
                                <a:lnTo>
                                  <a:pt x="3056521" y="686308"/>
                                </a:lnTo>
                                <a:close/>
                              </a:path>
                              <a:path w="4147185" h="1480185">
                                <a:moveTo>
                                  <a:pt x="3422027" y="566674"/>
                                </a:moveTo>
                                <a:lnTo>
                                  <a:pt x="3270783" y="566674"/>
                                </a:lnTo>
                                <a:lnTo>
                                  <a:pt x="3270783" y="1479638"/>
                                </a:lnTo>
                                <a:lnTo>
                                  <a:pt x="3422027" y="1479638"/>
                                </a:lnTo>
                                <a:lnTo>
                                  <a:pt x="3422027" y="566674"/>
                                </a:lnTo>
                                <a:close/>
                              </a:path>
                              <a:path w="4147185" h="1480185">
                                <a:moveTo>
                                  <a:pt x="3781272" y="409270"/>
                                </a:moveTo>
                                <a:lnTo>
                                  <a:pt x="3636314" y="409270"/>
                                </a:lnTo>
                                <a:lnTo>
                                  <a:pt x="3636314" y="1479638"/>
                                </a:lnTo>
                                <a:lnTo>
                                  <a:pt x="3781272" y="1479638"/>
                                </a:lnTo>
                                <a:lnTo>
                                  <a:pt x="3781272" y="409270"/>
                                </a:lnTo>
                                <a:close/>
                              </a:path>
                              <a:path w="4147185" h="1480185">
                                <a:moveTo>
                                  <a:pt x="4146804" y="0"/>
                                </a:moveTo>
                                <a:lnTo>
                                  <a:pt x="3995534" y="0"/>
                                </a:lnTo>
                                <a:lnTo>
                                  <a:pt x="3995534" y="1479638"/>
                                </a:lnTo>
                                <a:lnTo>
                                  <a:pt x="4146804" y="1479638"/>
                                </a:lnTo>
                                <a:lnTo>
                                  <a:pt x="4146804" y="0"/>
                                </a:lnTo>
                                <a:close/>
                              </a:path>
                            </a:pathLst>
                          </a:custGeom>
                          <a:solidFill>
                            <a:srgbClr val="2E614A"/>
                          </a:solidFill>
                        </wps:spPr>
                        <wps:bodyPr wrap="square" lIns="0" tIns="0" rIns="0" bIns="0" rtlCol="0">
                          <a:prstTxWarp prst="textNoShape">
                            <a:avLst/>
                          </a:prstTxWarp>
                          <a:noAutofit/>
                        </wps:bodyPr>
                      </wps:wsp>
                      <wps:wsp>
                        <wps:cNvPr id="1360" name="Graphic 1360"/>
                        <wps:cNvSpPr/>
                        <wps:spPr>
                          <a:xfrm>
                            <a:off x="433547" y="414019"/>
                            <a:ext cx="4470400" cy="1727200"/>
                          </a:xfrm>
                          <a:custGeom>
                            <a:avLst/>
                            <a:gdLst/>
                            <a:ahLst/>
                            <a:cxnLst/>
                            <a:rect l="l" t="t" r="r" b="b"/>
                            <a:pathLst>
                              <a:path w="4470400" h="1727200">
                                <a:moveTo>
                                  <a:pt x="4469777" y="1504835"/>
                                </a:moveTo>
                                <a:lnTo>
                                  <a:pt x="4419168" y="1504835"/>
                                </a:lnTo>
                                <a:lnTo>
                                  <a:pt x="4419168" y="1341196"/>
                                </a:lnTo>
                                <a:lnTo>
                                  <a:pt x="4419168" y="1334846"/>
                                </a:lnTo>
                                <a:lnTo>
                                  <a:pt x="4412996" y="1334846"/>
                                </a:lnTo>
                                <a:lnTo>
                                  <a:pt x="4419168" y="1334770"/>
                                </a:lnTo>
                                <a:lnTo>
                                  <a:pt x="4419168" y="1177290"/>
                                </a:lnTo>
                                <a:lnTo>
                                  <a:pt x="4412996" y="1177290"/>
                                </a:lnTo>
                                <a:lnTo>
                                  <a:pt x="4412996" y="1170940"/>
                                </a:lnTo>
                                <a:lnTo>
                                  <a:pt x="4419168" y="1170940"/>
                                </a:lnTo>
                                <a:lnTo>
                                  <a:pt x="4419168" y="1007110"/>
                                </a:lnTo>
                                <a:lnTo>
                                  <a:pt x="4412996" y="1007110"/>
                                </a:lnTo>
                                <a:lnTo>
                                  <a:pt x="4412996" y="1000760"/>
                                </a:lnTo>
                                <a:lnTo>
                                  <a:pt x="4419168" y="1000760"/>
                                </a:lnTo>
                                <a:lnTo>
                                  <a:pt x="4419168" y="843280"/>
                                </a:lnTo>
                                <a:lnTo>
                                  <a:pt x="4412996" y="843280"/>
                                </a:lnTo>
                                <a:lnTo>
                                  <a:pt x="4412996" y="836930"/>
                                </a:lnTo>
                                <a:lnTo>
                                  <a:pt x="4419168" y="836930"/>
                                </a:lnTo>
                                <a:lnTo>
                                  <a:pt x="4419168" y="674370"/>
                                </a:lnTo>
                                <a:lnTo>
                                  <a:pt x="4412996" y="674370"/>
                                </a:lnTo>
                                <a:lnTo>
                                  <a:pt x="4412996" y="668020"/>
                                </a:lnTo>
                                <a:lnTo>
                                  <a:pt x="4419168" y="668020"/>
                                </a:lnTo>
                                <a:lnTo>
                                  <a:pt x="4419168" y="510540"/>
                                </a:lnTo>
                                <a:lnTo>
                                  <a:pt x="4412996" y="510540"/>
                                </a:lnTo>
                                <a:lnTo>
                                  <a:pt x="4412996" y="504190"/>
                                </a:lnTo>
                                <a:lnTo>
                                  <a:pt x="4419168" y="504190"/>
                                </a:lnTo>
                                <a:lnTo>
                                  <a:pt x="4419168" y="340360"/>
                                </a:lnTo>
                                <a:lnTo>
                                  <a:pt x="4412996" y="340360"/>
                                </a:lnTo>
                                <a:lnTo>
                                  <a:pt x="4412996" y="334010"/>
                                </a:lnTo>
                                <a:lnTo>
                                  <a:pt x="4419168" y="334010"/>
                                </a:lnTo>
                                <a:lnTo>
                                  <a:pt x="4419168" y="176530"/>
                                </a:lnTo>
                                <a:lnTo>
                                  <a:pt x="4412996" y="176530"/>
                                </a:lnTo>
                                <a:lnTo>
                                  <a:pt x="4412996" y="170180"/>
                                </a:lnTo>
                                <a:lnTo>
                                  <a:pt x="4419168" y="170180"/>
                                </a:lnTo>
                                <a:lnTo>
                                  <a:pt x="4419168" y="6350"/>
                                </a:lnTo>
                                <a:lnTo>
                                  <a:pt x="4412996" y="6350"/>
                                </a:lnTo>
                                <a:lnTo>
                                  <a:pt x="4412996" y="0"/>
                                </a:lnTo>
                                <a:lnTo>
                                  <a:pt x="4412818" y="0"/>
                                </a:lnTo>
                                <a:lnTo>
                                  <a:pt x="4412818" y="6350"/>
                                </a:lnTo>
                                <a:lnTo>
                                  <a:pt x="4412818" y="170180"/>
                                </a:lnTo>
                                <a:lnTo>
                                  <a:pt x="4412818" y="1668551"/>
                                </a:lnTo>
                                <a:lnTo>
                                  <a:pt x="4387596" y="1668551"/>
                                </a:lnTo>
                                <a:lnTo>
                                  <a:pt x="4387596" y="1668780"/>
                                </a:lnTo>
                                <a:lnTo>
                                  <a:pt x="83312" y="1668780"/>
                                </a:lnTo>
                                <a:lnTo>
                                  <a:pt x="83312" y="1668551"/>
                                </a:lnTo>
                                <a:lnTo>
                                  <a:pt x="58115" y="1668551"/>
                                </a:lnTo>
                                <a:lnTo>
                                  <a:pt x="58115" y="1467129"/>
                                </a:lnTo>
                                <a:lnTo>
                                  <a:pt x="58115" y="1466850"/>
                                </a:lnTo>
                                <a:lnTo>
                                  <a:pt x="58115" y="1460779"/>
                                </a:lnTo>
                                <a:lnTo>
                                  <a:pt x="56769" y="1460779"/>
                                </a:lnTo>
                                <a:lnTo>
                                  <a:pt x="56769" y="1460500"/>
                                </a:lnTo>
                                <a:lnTo>
                                  <a:pt x="58115" y="1460500"/>
                                </a:lnTo>
                                <a:lnTo>
                                  <a:pt x="58115" y="1259840"/>
                                </a:lnTo>
                                <a:lnTo>
                                  <a:pt x="56769" y="1259840"/>
                                </a:lnTo>
                                <a:lnTo>
                                  <a:pt x="56769" y="1253490"/>
                                </a:lnTo>
                                <a:lnTo>
                                  <a:pt x="58115" y="1253490"/>
                                </a:lnTo>
                                <a:lnTo>
                                  <a:pt x="58115" y="1051560"/>
                                </a:lnTo>
                                <a:lnTo>
                                  <a:pt x="56769" y="1051560"/>
                                </a:lnTo>
                                <a:lnTo>
                                  <a:pt x="56769" y="1045210"/>
                                </a:lnTo>
                                <a:lnTo>
                                  <a:pt x="58115" y="1045210"/>
                                </a:lnTo>
                                <a:lnTo>
                                  <a:pt x="58115" y="843280"/>
                                </a:lnTo>
                                <a:lnTo>
                                  <a:pt x="56769" y="843280"/>
                                </a:lnTo>
                                <a:lnTo>
                                  <a:pt x="56769" y="836930"/>
                                </a:lnTo>
                                <a:lnTo>
                                  <a:pt x="58115" y="836930"/>
                                </a:lnTo>
                                <a:lnTo>
                                  <a:pt x="58115" y="629920"/>
                                </a:lnTo>
                                <a:lnTo>
                                  <a:pt x="56769" y="629920"/>
                                </a:lnTo>
                                <a:lnTo>
                                  <a:pt x="56769" y="623570"/>
                                </a:lnTo>
                                <a:lnTo>
                                  <a:pt x="58115" y="623570"/>
                                </a:lnTo>
                                <a:lnTo>
                                  <a:pt x="58115" y="421640"/>
                                </a:lnTo>
                                <a:lnTo>
                                  <a:pt x="56769" y="421640"/>
                                </a:lnTo>
                                <a:lnTo>
                                  <a:pt x="56769" y="415290"/>
                                </a:lnTo>
                                <a:lnTo>
                                  <a:pt x="58115" y="415290"/>
                                </a:lnTo>
                                <a:lnTo>
                                  <a:pt x="58115" y="214630"/>
                                </a:lnTo>
                                <a:lnTo>
                                  <a:pt x="56769" y="214630"/>
                                </a:lnTo>
                                <a:lnTo>
                                  <a:pt x="56769" y="208280"/>
                                </a:lnTo>
                                <a:lnTo>
                                  <a:pt x="58115" y="208280"/>
                                </a:lnTo>
                                <a:lnTo>
                                  <a:pt x="58115" y="6350"/>
                                </a:lnTo>
                                <a:lnTo>
                                  <a:pt x="56769" y="6350"/>
                                </a:lnTo>
                                <a:lnTo>
                                  <a:pt x="56769" y="0"/>
                                </a:lnTo>
                                <a:lnTo>
                                  <a:pt x="51765" y="0"/>
                                </a:lnTo>
                                <a:lnTo>
                                  <a:pt x="51765" y="1460779"/>
                                </a:lnTo>
                                <a:lnTo>
                                  <a:pt x="0" y="1460779"/>
                                </a:lnTo>
                                <a:lnTo>
                                  <a:pt x="0" y="1467129"/>
                                </a:lnTo>
                                <a:lnTo>
                                  <a:pt x="51765" y="1467129"/>
                                </a:lnTo>
                                <a:lnTo>
                                  <a:pt x="51765" y="1668551"/>
                                </a:lnTo>
                                <a:lnTo>
                                  <a:pt x="26543" y="1668551"/>
                                </a:lnTo>
                                <a:lnTo>
                                  <a:pt x="508" y="1668551"/>
                                </a:lnTo>
                                <a:lnTo>
                                  <a:pt x="508" y="1674901"/>
                                </a:lnTo>
                                <a:lnTo>
                                  <a:pt x="26543" y="1674901"/>
                                </a:lnTo>
                                <a:lnTo>
                                  <a:pt x="51765" y="1674901"/>
                                </a:lnTo>
                                <a:lnTo>
                                  <a:pt x="51765" y="1700530"/>
                                </a:lnTo>
                                <a:lnTo>
                                  <a:pt x="58115" y="1700530"/>
                                </a:lnTo>
                                <a:lnTo>
                                  <a:pt x="58115" y="1674901"/>
                                </a:lnTo>
                                <a:lnTo>
                                  <a:pt x="83312" y="1674901"/>
                                </a:lnTo>
                                <a:lnTo>
                                  <a:pt x="83312" y="1675130"/>
                                </a:lnTo>
                                <a:lnTo>
                                  <a:pt x="417283" y="1675130"/>
                                </a:lnTo>
                                <a:lnTo>
                                  <a:pt x="417283" y="1726641"/>
                                </a:lnTo>
                                <a:lnTo>
                                  <a:pt x="423633" y="1726641"/>
                                </a:lnTo>
                                <a:lnTo>
                                  <a:pt x="423633" y="1674901"/>
                                </a:lnTo>
                                <a:lnTo>
                                  <a:pt x="776503" y="1674901"/>
                                </a:lnTo>
                                <a:lnTo>
                                  <a:pt x="776503" y="1726641"/>
                                </a:lnTo>
                                <a:lnTo>
                                  <a:pt x="782853" y="1726641"/>
                                </a:lnTo>
                                <a:lnTo>
                                  <a:pt x="782853" y="1674901"/>
                                </a:lnTo>
                                <a:lnTo>
                                  <a:pt x="1142022" y="1674901"/>
                                </a:lnTo>
                                <a:lnTo>
                                  <a:pt x="1142022" y="1726641"/>
                                </a:lnTo>
                                <a:lnTo>
                                  <a:pt x="1148372" y="1726641"/>
                                </a:lnTo>
                                <a:lnTo>
                                  <a:pt x="1148372" y="1674901"/>
                                </a:lnTo>
                                <a:lnTo>
                                  <a:pt x="1507540" y="1674901"/>
                                </a:lnTo>
                                <a:lnTo>
                                  <a:pt x="1507540" y="1726641"/>
                                </a:lnTo>
                                <a:lnTo>
                                  <a:pt x="1513890" y="1726641"/>
                                </a:lnTo>
                                <a:lnTo>
                                  <a:pt x="1513890" y="1674901"/>
                                </a:lnTo>
                                <a:lnTo>
                                  <a:pt x="1866760" y="1674901"/>
                                </a:lnTo>
                                <a:lnTo>
                                  <a:pt x="1866760" y="1726641"/>
                                </a:lnTo>
                                <a:lnTo>
                                  <a:pt x="1873110" y="1726641"/>
                                </a:lnTo>
                                <a:lnTo>
                                  <a:pt x="1873110" y="1674901"/>
                                </a:lnTo>
                                <a:lnTo>
                                  <a:pt x="2232291" y="1674901"/>
                                </a:lnTo>
                                <a:lnTo>
                                  <a:pt x="2232291" y="1726641"/>
                                </a:lnTo>
                                <a:lnTo>
                                  <a:pt x="2238641" y="1726641"/>
                                </a:lnTo>
                                <a:lnTo>
                                  <a:pt x="2238641" y="1674901"/>
                                </a:lnTo>
                                <a:lnTo>
                                  <a:pt x="2597810" y="1674901"/>
                                </a:lnTo>
                                <a:lnTo>
                                  <a:pt x="2597810" y="1726641"/>
                                </a:lnTo>
                                <a:lnTo>
                                  <a:pt x="2604160" y="1726641"/>
                                </a:lnTo>
                                <a:lnTo>
                                  <a:pt x="2604160" y="1674901"/>
                                </a:lnTo>
                                <a:lnTo>
                                  <a:pt x="2957017" y="1674901"/>
                                </a:lnTo>
                                <a:lnTo>
                                  <a:pt x="2957017" y="1726641"/>
                                </a:lnTo>
                                <a:lnTo>
                                  <a:pt x="2963367" y="1726641"/>
                                </a:lnTo>
                                <a:lnTo>
                                  <a:pt x="2963367" y="1674901"/>
                                </a:lnTo>
                                <a:lnTo>
                                  <a:pt x="3322561" y="1674901"/>
                                </a:lnTo>
                                <a:lnTo>
                                  <a:pt x="3322561" y="1726641"/>
                                </a:lnTo>
                                <a:lnTo>
                                  <a:pt x="3328911" y="1726641"/>
                                </a:lnTo>
                                <a:lnTo>
                                  <a:pt x="3328911" y="1674901"/>
                                </a:lnTo>
                                <a:lnTo>
                                  <a:pt x="3688080" y="1674901"/>
                                </a:lnTo>
                                <a:lnTo>
                                  <a:pt x="3688080" y="1726641"/>
                                </a:lnTo>
                                <a:lnTo>
                                  <a:pt x="3694430" y="1726641"/>
                                </a:lnTo>
                                <a:lnTo>
                                  <a:pt x="3694430" y="1674901"/>
                                </a:lnTo>
                                <a:lnTo>
                                  <a:pt x="4047299" y="1674901"/>
                                </a:lnTo>
                                <a:lnTo>
                                  <a:pt x="4047299" y="1726641"/>
                                </a:lnTo>
                                <a:lnTo>
                                  <a:pt x="4053649" y="1726641"/>
                                </a:lnTo>
                                <a:lnTo>
                                  <a:pt x="4053649" y="1674901"/>
                                </a:lnTo>
                                <a:lnTo>
                                  <a:pt x="4387596" y="1674901"/>
                                </a:lnTo>
                                <a:lnTo>
                                  <a:pt x="4412818" y="1674901"/>
                                </a:lnTo>
                                <a:lnTo>
                                  <a:pt x="4412818" y="1718310"/>
                                </a:lnTo>
                                <a:lnTo>
                                  <a:pt x="4419168" y="1718310"/>
                                </a:lnTo>
                                <a:lnTo>
                                  <a:pt x="4419168" y="1674901"/>
                                </a:lnTo>
                                <a:lnTo>
                                  <a:pt x="4444377" y="1674901"/>
                                </a:lnTo>
                                <a:lnTo>
                                  <a:pt x="4462983" y="1674901"/>
                                </a:lnTo>
                                <a:lnTo>
                                  <a:pt x="4462983" y="1668551"/>
                                </a:lnTo>
                                <a:lnTo>
                                  <a:pt x="4444377" y="1668551"/>
                                </a:lnTo>
                                <a:lnTo>
                                  <a:pt x="4419168" y="1668551"/>
                                </a:lnTo>
                                <a:lnTo>
                                  <a:pt x="4419168" y="1511300"/>
                                </a:lnTo>
                                <a:lnTo>
                                  <a:pt x="4412996" y="1511300"/>
                                </a:lnTo>
                                <a:lnTo>
                                  <a:pt x="4419168" y="1511185"/>
                                </a:lnTo>
                                <a:lnTo>
                                  <a:pt x="4469777" y="1511185"/>
                                </a:lnTo>
                                <a:lnTo>
                                  <a:pt x="4469777" y="1504835"/>
                                </a:lnTo>
                                <a:close/>
                              </a:path>
                            </a:pathLst>
                          </a:custGeom>
                          <a:solidFill>
                            <a:srgbClr val="000000"/>
                          </a:solidFill>
                        </wps:spPr>
                        <wps:bodyPr wrap="square" lIns="0" tIns="0" rIns="0" bIns="0" rtlCol="0">
                          <a:prstTxWarp prst="textNoShape">
                            <a:avLst/>
                          </a:prstTxWarp>
                          <a:noAutofit/>
                        </wps:bodyPr>
                      </wps:wsp>
                      <wps:wsp>
                        <wps:cNvPr id="1361" name="Graphic 1361"/>
                        <wps:cNvSpPr/>
                        <wps:spPr>
                          <a:xfrm>
                            <a:off x="433547" y="414045"/>
                            <a:ext cx="4470400" cy="1341755"/>
                          </a:xfrm>
                          <a:custGeom>
                            <a:avLst/>
                            <a:gdLst/>
                            <a:ahLst/>
                            <a:cxnLst/>
                            <a:rect l="l" t="t" r="r" b="b"/>
                            <a:pathLst>
                              <a:path w="4470400" h="1341755">
                                <a:moveTo>
                                  <a:pt x="51765" y="1252969"/>
                                </a:moveTo>
                                <a:lnTo>
                                  <a:pt x="0" y="1252969"/>
                                </a:lnTo>
                                <a:lnTo>
                                  <a:pt x="0" y="1259319"/>
                                </a:lnTo>
                                <a:lnTo>
                                  <a:pt x="51765" y="1259319"/>
                                </a:lnTo>
                                <a:lnTo>
                                  <a:pt x="51765" y="1252969"/>
                                </a:lnTo>
                                <a:close/>
                              </a:path>
                              <a:path w="4470400" h="1341755">
                                <a:moveTo>
                                  <a:pt x="51765" y="1045184"/>
                                </a:moveTo>
                                <a:lnTo>
                                  <a:pt x="0" y="1045184"/>
                                </a:lnTo>
                                <a:lnTo>
                                  <a:pt x="0" y="1051534"/>
                                </a:lnTo>
                                <a:lnTo>
                                  <a:pt x="51765" y="1051534"/>
                                </a:lnTo>
                                <a:lnTo>
                                  <a:pt x="51765" y="1045184"/>
                                </a:lnTo>
                                <a:close/>
                              </a:path>
                              <a:path w="4470400" h="1341755">
                                <a:moveTo>
                                  <a:pt x="51765" y="837412"/>
                                </a:moveTo>
                                <a:lnTo>
                                  <a:pt x="0" y="837412"/>
                                </a:lnTo>
                                <a:lnTo>
                                  <a:pt x="0" y="843762"/>
                                </a:lnTo>
                                <a:lnTo>
                                  <a:pt x="51765" y="843762"/>
                                </a:lnTo>
                                <a:lnTo>
                                  <a:pt x="51765" y="837412"/>
                                </a:lnTo>
                                <a:close/>
                              </a:path>
                              <a:path w="4470400" h="1341755">
                                <a:moveTo>
                                  <a:pt x="51765" y="623328"/>
                                </a:moveTo>
                                <a:lnTo>
                                  <a:pt x="0" y="623328"/>
                                </a:lnTo>
                                <a:lnTo>
                                  <a:pt x="0" y="629678"/>
                                </a:lnTo>
                                <a:lnTo>
                                  <a:pt x="51765" y="629678"/>
                                </a:lnTo>
                                <a:lnTo>
                                  <a:pt x="51765" y="623328"/>
                                </a:lnTo>
                                <a:close/>
                              </a:path>
                              <a:path w="4470400" h="1341755">
                                <a:moveTo>
                                  <a:pt x="51765" y="415569"/>
                                </a:moveTo>
                                <a:lnTo>
                                  <a:pt x="0" y="415569"/>
                                </a:lnTo>
                                <a:lnTo>
                                  <a:pt x="0" y="421919"/>
                                </a:lnTo>
                                <a:lnTo>
                                  <a:pt x="51765" y="421919"/>
                                </a:lnTo>
                                <a:lnTo>
                                  <a:pt x="51765" y="415569"/>
                                </a:lnTo>
                                <a:close/>
                              </a:path>
                              <a:path w="4470400" h="1341755">
                                <a:moveTo>
                                  <a:pt x="51765" y="207772"/>
                                </a:moveTo>
                                <a:lnTo>
                                  <a:pt x="0" y="207772"/>
                                </a:lnTo>
                                <a:lnTo>
                                  <a:pt x="0" y="214122"/>
                                </a:lnTo>
                                <a:lnTo>
                                  <a:pt x="51765" y="214122"/>
                                </a:lnTo>
                                <a:lnTo>
                                  <a:pt x="51765" y="207772"/>
                                </a:lnTo>
                                <a:close/>
                              </a:path>
                              <a:path w="4470400" h="1341755">
                                <a:moveTo>
                                  <a:pt x="51765" y="0"/>
                                </a:moveTo>
                                <a:lnTo>
                                  <a:pt x="0" y="0"/>
                                </a:lnTo>
                                <a:lnTo>
                                  <a:pt x="0" y="6350"/>
                                </a:lnTo>
                                <a:lnTo>
                                  <a:pt x="51765" y="6350"/>
                                </a:lnTo>
                                <a:lnTo>
                                  <a:pt x="51765" y="0"/>
                                </a:lnTo>
                                <a:close/>
                              </a:path>
                              <a:path w="4470400" h="1341755">
                                <a:moveTo>
                                  <a:pt x="58115" y="1252969"/>
                                </a:moveTo>
                                <a:lnTo>
                                  <a:pt x="56769" y="1252969"/>
                                </a:lnTo>
                                <a:lnTo>
                                  <a:pt x="56769" y="1259319"/>
                                </a:lnTo>
                                <a:lnTo>
                                  <a:pt x="58115" y="1259319"/>
                                </a:lnTo>
                                <a:lnTo>
                                  <a:pt x="58115" y="1252969"/>
                                </a:lnTo>
                                <a:close/>
                              </a:path>
                              <a:path w="4470400" h="1341755">
                                <a:moveTo>
                                  <a:pt x="58115" y="1045184"/>
                                </a:moveTo>
                                <a:lnTo>
                                  <a:pt x="56769" y="1045184"/>
                                </a:lnTo>
                                <a:lnTo>
                                  <a:pt x="56769" y="1051534"/>
                                </a:lnTo>
                                <a:lnTo>
                                  <a:pt x="58115" y="1051534"/>
                                </a:lnTo>
                                <a:lnTo>
                                  <a:pt x="58115" y="1045184"/>
                                </a:lnTo>
                                <a:close/>
                              </a:path>
                              <a:path w="4470400" h="1341755">
                                <a:moveTo>
                                  <a:pt x="58115" y="837412"/>
                                </a:moveTo>
                                <a:lnTo>
                                  <a:pt x="56769" y="837412"/>
                                </a:lnTo>
                                <a:lnTo>
                                  <a:pt x="56769" y="843762"/>
                                </a:lnTo>
                                <a:lnTo>
                                  <a:pt x="58115" y="843762"/>
                                </a:lnTo>
                                <a:lnTo>
                                  <a:pt x="58115" y="837412"/>
                                </a:lnTo>
                                <a:close/>
                              </a:path>
                              <a:path w="4470400" h="1341755">
                                <a:moveTo>
                                  <a:pt x="58115" y="623328"/>
                                </a:moveTo>
                                <a:lnTo>
                                  <a:pt x="56769" y="623328"/>
                                </a:lnTo>
                                <a:lnTo>
                                  <a:pt x="56769" y="629678"/>
                                </a:lnTo>
                                <a:lnTo>
                                  <a:pt x="58115" y="629678"/>
                                </a:lnTo>
                                <a:lnTo>
                                  <a:pt x="58115" y="623328"/>
                                </a:lnTo>
                                <a:close/>
                              </a:path>
                              <a:path w="4470400" h="1341755">
                                <a:moveTo>
                                  <a:pt x="58115" y="415569"/>
                                </a:moveTo>
                                <a:lnTo>
                                  <a:pt x="56769" y="415569"/>
                                </a:lnTo>
                                <a:lnTo>
                                  <a:pt x="56769" y="421919"/>
                                </a:lnTo>
                                <a:lnTo>
                                  <a:pt x="58115" y="421919"/>
                                </a:lnTo>
                                <a:lnTo>
                                  <a:pt x="58115" y="415569"/>
                                </a:lnTo>
                                <a:close/>
                              </a:path>
                              <a:path w="4470400" h="1341755">
                                <a:moveTo>
                                  <a:pt x="58115" y="207772"/>
                                </a:moveTo>
                                <a:lnTo>
                                  <a:pt x="56769" y="207772"/>
                                </a:lnTo>
                                <a:lnTo>
                                  <a:pt x="56769" y="214122"/>
                                </a:lnTo>
                                <a:lnTo>
                                  <a:pt x="58115" y="214122"/>
                                </a:lnTo>
                                <a:lnTo>
                                  <a:pt x="58115" y="207772"/>
                                </a:lnTo>
                                <a:close/>
                              </a:path>
                              <a:path w="4470400" h="1341755">
                                <a:moveTo>
                                  <a:pt x="58115" y="0"/>
                                </a:moveTo>
                                <a:lnTo>
                                  <a:pt x="56769" y="0"/>
                                </a:lnTo>
                                <a:lnTo>
                                  <a:pt x="56769" y="6350"/>
                                </a:lnTo>
                                <a:lnTo>
                                  <a:pt x="58115" y="6350"/>
                                </a:lnTo>
                                <a:lnTo>
                                  <a:pt x="58115" y="0"/>
                                </a:lnTo>
                                <a:close/>
                              </a:path>
                              <a:path w="4470400" h="1341755">
                                <a:moveTo>
                                  <a:pt x="4469777" y="1334820"/>
                                </a:moveTo>
                                <a:lnTo>
                                  <a:pt x="4419168" y="1334820"/>
                                </a:lnTo>
                                <a:lnTo>
                                  <a:pt x="4412996" y="1334820"/>
                                </a:lnTo>
                                <a:lnTo>
                                  <a:pt x="4412996" y="1341170"/>
                                </a:lnTo>
                                <a:lnTo>
                                  <a:pt x="4419168" y="1341170"/>
                                </a:lnTo>
                                <a:lnTo>
                                  <a:pt x="4469777" y="1341170"/>
                                </a:lnTo>
                                <a:lnTo>
                                  <a:pt x="4469777" y="1334820"/>
                                </a:lnTo>
                                <a:close/>
                              </a:path>
                              <a:path w="4470400" h="1341755">
                                <a:moveTo>
                                  <a:pt x="4469777" y="1171117"/>
                                </a:moveTo>
                                <a:lnTo>
                                  <a:pt x="4419168" y="1171117"/>
                                </a:lnTo>
                                <a:lnTo>
                                  <a:pt x="4412996" y="1171117"/>
                                </a:lnTo>
                                <a:lnTo>
                                  <a:pt x="4412996" y="1177467"/>
                                </a:lnTo>
                                <a:lnTo>
                                  <a:pt x="4419168" y="1177467"/>
                                </a:lnTo>
                                <a:lnTo>
                                  <a:pt x="4469777" y="1177467"/>
                                </a:lnTo>
                                <a:lnTo>
                                  <a:pt x="4469777" y="1171117"/>
                                </a:lnTo>
                                <a:close/>
                              </a:path>
                              <a:path w="4470400" h="1341755">
                                <a:moveTo>
                                  <a:pt x="4469777" y="1001115"/>
                                </a:moveTo>
                                <a:lnTo>
                                  <a:pt x="4419168" y="1001115"/>
                                </a:lnTo>
                                <a:lnTo>
                                  <a:pt x="4412996" y="1001115"/>
                                </a:lnTo>
                                <a:lnTo>
                                  <a:pt x="4412996" y="1007465"/>
                                </a:lnTo>
                                <a:lnTo>
                                  <a:pt x="4419168" y="1007465"/>
                                </a:lnTo>
                                <a:lnTo>
                                  <a:pt x="4469777" y="1007465"/>
                                </a:lnTo>
                                <a:lnTo>
                                  <a:pt x="4469777" y="1001115"/>
                                </a:lnTo>
                                <a:close/>
                              </a:path>
                              <a:path w="4470400" h="1341755">
                                <a:moveTo>
                                  <a:pt x="4469777" y="837412"/>
                                </a:moveTo>
                                <a:lnTo>
                                  <a:pt x="4419168" y="837412"/>
                                </a:lnTo>
                                <a:lnTo>
                                  <a:pt x="4412996" y="837412"/>
                                </a:lnTo>
                                <a:lnTo>
                                  <a:pt x="4412996" y="843762"/>
                                </a:lnTo>
                                <a:lnTo>
                                  <a:pt x="4419168" y="843762"/>
                                </a:lnTo>
                                <a:lnTo>
                                  <a:pt x="4469777" y="843762"/>
                                </a:lnTo>
                                <a:lnTo>
                                  <a:pt x="4469777" y="837412"/>
                                </a:lnTo>
                                <a:close/>
                              </a:path>
                              <a:path w="4470400" h="1341755">
                                <a:moveTo>
                                  <a:pt x="4469777" y="667410"/>
                                </a:moveTo>
                                <a:lnTo>
                                  <a:pt x="4419168" y="667410"/>
                                </a:lnTo>
                                <a:lnTo>
                                  <a:pt x="4412996" y="667410"/>
                                </a:lnTo>
                                <a:lnTo>
                                  <a:pt x="4412996" y="673760"/>
                                </a:lnTo>
                                <a:lnTo>
                                  <a:pt x="4419168" y="673760"/>
                                </a:lnTo>
                                <a:lnTo>
                                  <a:pt x="4469777" y="673760"/>
                                </a:lnTo>
                                <a:lnTo>
                                  <a:pt x="4469777" y="667410"/>
                                </a:lnTo>
                                <a:close/>
                              </a:path>
                              <a:path w="4470400" h="1341755">
                                <a:moveTo>
                                  <a:pt x="4469777" y="503707"/>
                                </a:moveTo>
                                <a:lnTo>
                                  <a:pt x="4419168" y="503707"/>
                                </a:lnTo>
                                <a:lnTo>
                                  <a:pt x="4412996" y="503707"/>
                                </a:lnTo>
                                <a:lnTo>
                                  <a:pt x="4412996" y="510057"/>
                                </a:lnTo>
                                <a:lnTo>
                                  <a:pt x="4419168" y="510057"/>
                                </a:lnTo>
                                <a:lnTo>
                                  <a:pt x="4469777" y="510057"/>
                                </a:lnTo>
                                <a:lnTo>
                                  <a:pt x="4469777" y="503707"/>
                                </a:lnTo>
                                <a:close/>
                              </a:path>
                              <a:path w="4470400" h="1341755">
                                <a:moveTo>
                                  <a:pt x="4469777" y="333705"/>
                                </a:moveTo>
                                <a:lnTo>
                                  <a:pt x="4419168" y="333705"/>
                                </a:lnTo>
                                <a:lnTo>
                                  <a:pt x="4412996" y="333705"/>
                                </a:lnTo>
                                <a:lnTo>
                                  <a:pt x="4412996" y="340055"/>
                                </a:lnTo>
                                <a:lnTo>
                                  <a:pt x="4419168" y="340055"/>
                                </a:lnTo>
                                <a:lnTo>
                                  <a:pt x="4469777" y="340055"/>
                                </a:lnTo>
                                <a:lnTo>
                                  <a:pt x="4469777" y="333705"/>
                                </a:lnTo>
                                <a:close/>
                              </a:path>
                              <a:path w="4470400" h="1341755">
                                <a:moveTo>
                                  <a:pt x="4469777" y="169989"/>
                                </a:moveTo>
                                <a:lnTo>
                                  <a:pt x="4419168" y="169989"/>
                                </a:lnTo>
                                <a:lnTo>
                                  <a:pt x="4412996" y="169989"/>
                                </a:lnTo>
                                <a:lnTo>
                                  <a:pt x="4412996" y="176339"/>
                                </a:lnTo>
                                <a:lnTo>
                                  <a:pt x="4419168" y="176339"/>
                                </a:lnTo>
                                <a:lnTo>
                                  <a:pt x="4469777" y="176339"/>
                                </a:lnTo>
                                <a:lnTo>
                                  <a:pt x="4469777" y="169989"/>
                                </a:lnTo>
                                <a:close/>
                              </a:path>
                              <a:path w="4470400" h="1341755">
                                <a:moveTo>
                                  <a:pt x="4469777" y="0"/>
                                </a:moveTo>
                                <a:lnTo>
                                  <a:pt x="4419168" y="0"/>
                                </a:lnTo>
                                <a:lnTo>
                                  <a:pt x="4412996" y="0"/>
                                </a:lnTo>
                                <a:lnTo>
                                  <a:pt x="4412996" y="6350"/>
                                </a:lnTo>
                                <a:lnTo>
                                  <a:pt x="4419168" y="6350"/>
                                </a:lnTo>
                                <a:lnTo>
                                  <a:pt x="4469777" y="6350"/>
                                </a:lnTo>
                                <a:lnTo>
                                  <a:pt x="4469777" y="0"/>
                                </a:lnTo>
                                <a:close/>
                              </a:path>
                            </a:pathLst>
                          </a:custGeom>
                          <a:solidFill>
                            <a:srgbClr val="000000"/>
                          </a:solidFill>
                        </wps:spPr>
                        <wps:bodyPr wrap="square" lIns="0" tIns="0" rIns="0" bIns="0" rtlCol="0">
                          <a:prstTxWarp prst="textNoShape">
                            <a:avLst/>
                          </a:prstTxWarp>
                          <a:noAutofit/>
                        </wps:bodyPr>
                      </wps:wsp>
                      <wps:wsp>
                        <wps:cNvPr id="1362" name="Graphic 1362"/>
                        <wps:cNvSpPr/>
                        <wps:spPr>
                          <a:xfrm>
                            <a:off x="646031" y="555739"/>
                            <a:ext cx="4046220" cy="1498600"/>
                          </a:xfrm>
                          <a:custGeom>
                            <a:avLst/>
                            <a:gdLst/>
                            <a:ahLst/>
                            <a:cxnLst/>
                            <a:rect l="l" t="t" r="r" b="b"/>
                            <a:pathLst>
                              <a:path w="4046220" h="1498600">
                                <a:moveTo>
                                  <a:pt x="4045953" y="25184"/>
                                </a:moveTo>
                                <a:lnTo>
                                  <a:pt x="4020743" y="0"/>
                                </a:lnTo>
                                <a:lnTo>
                                  <a:pt x="3995547" y="25184"/>
                                </a:lnTo>
                                <a:lnTo>
                                  <a:pt x="4004818" y="34467"/>
                                </a:lnTo>
                                <a:lnTo>
                                  <a:pt x="3668395" y="441337"/>
                                </a:lnTo>
                                <a:lnTo>
                                  <a:pt x="3661511" y="434454"/>
                                </a:lnTo>
                                <a:lnTo>
                                  <a:pt x="3636314" y="459638"/>
                                </a:lnTo>
                                <a:lnTo>
                                  <a:pt x="3643058" y="466394"/>
                                </a:lnTo>
                                <a:lnTo>
                                  <a:pt x="3305403" y="739775"/>
                                </a:lnTo>
                                <a:lnTo>
                                  <a:pt x="3296005" y="730377"/>
                                </a:lnTo>
                                <a:lnTo>
                                  <a:pt x="3270783" y="755561"/>
                                </a:lnTo>
                                <a:lnTo>
                                  <a:pt x="3273768" y="758558"/>
                                </a:lnTo>
                                <a:lnTo>
                                  <a:pt x="2943060" y="906665"/>
                                </a:lnTo>
                                <a:lnTo>
                                  <a:pt x="2930461" y="894080"/>
                                </a:lnTo>
                                <a:lnTo>
                                  <a:pt x="2905290" y="919264"/>
                                </a:lnTo>
                                <a:lnTo>
                                  <a:pt x="2906839" y="920826"/>
                                </a:lnTo>
                                <a:lnTo>
                                  <a:pt x="2584932" y="1033678"/>
                                </a:lnTo>
                                <a:lnTo>
                                  <a:pt x="2571267" y="1020000"/>
                                </a:lnTo>
                                <a:lnTo>
                                  <a:pt x="2546667" y="1044587"/>
                                </a:lnTo>
                                <a:lnTo>
                                  <a:pt x="2220772" y="1123175"/>
                                </a:lnTo>
                                <a:lnTo>
                                  <a:pt x="2205736" y="1108163"/>
                                </a:lnTo>
                                <a:lnTo>
                                  <a:pt x="2184743" y="1129131"/>
                                </a:lnTo>
                                <a:lnTo>
                                  <a:pt x="1857248" y="1162977"/>
                                </a:lnTo>
                                <a:lnTo>
                                  <a:pt x="1840204" y="1145946"/>
                                </a:lnTo>
                                <a:lnTo>
                                  <a:pt x="1817928" y="1168209"/>
                                </a:lnTo>
                                <a:lnTo>
                                  <a:pt x="1497203" y="1218819"/>
                                </a:lnTo>
                                <a:lnTo>
                                  <a:pt x="1480997" y="1202601"/>
                                </a:lnTo>
                                <a:lnTo>
                                  <a:pt x="1456385" y="1227201"/>
                                </a:lnTo>
                                <a:lnTo>
                                  <a:pt x="1130515" y="1305775"/>
                                </a:lnTo>
                                <a:lnTo>
                                  <a:pt x="1115479" y="1290739"/>
                                </a:lnTo>
                                <a:lnTo>
                                  <a:pt x="1090841" y="1315339"/>
                                </a:lnTo>
                                <a:lnTo>
                                  <a:pt x="764971" y="1393926"/>
                                </a:lnTo>
                                <a:lnTo>
                                  <a:pt x="749947" y="1378915"/>
                                </a:lnTo>
                                <a:lnTo>
                                  <a:pt x="728916" y="1399921"/>
                                </a:lnTo>
                                <a:lnTo>
                                  <a:pt x="407758" y="1433703"/>
                                </a:lnTo>
                                <a:lnTo>
                                  <a:pt x="390740" y="1416697"/>
                                </a:lnTo>
                                <a:lnTo>
                                  <a:pt x="370116" y="1437284"/>
                                </a:lnTo>
                                <a:lnTo>
                                  <a:pt x="42545" y="1465478"/>
                                </a:lnTo>
                                <a:lnTo>
                                  <a:pt x="25209" y="1448155"/>
                                </a:lnTo>
                                <a:lnTo>
                                  <a:pt x="0" y="1473339"/>
                                </a:lnTo>
                                <a:lnTo>
                                  <a:pt x="25209" y="1498523"/>
                                </a:lnTo>
                                <a:lnTo>
                                  <a:pt x="45808" y="1477949"/>
                                </a:lnTo>
                                <a:lnTo>
                                  <a:pt x="373405" y="1449755"/>
                                </a:lnTo>
                                <a:lnTo>
                                  <a:pt x="390740" y="1467053"/>
                                </a:lnTo>
                                <a:lnTo>
                                  <a:pt x="411759" y="1446047"/>
                                </a:lnTo>
                                <a:lnTo>
                                  <a:pt x="516750" y="1434998"/>
                                </a:lnTo>
                                <a:lnTo>
                                  <a:pt x="732917" y="1412265"/>
                                </a:lnTo>
                                <a:lnTo>
                                  <a:pt x="749947" y="1429270"/>
                                </a:lnTo>
                                <a:lnTo>
                                  <a:pt x="774560" y="1404683"/>
                                </a:lnTo>
                                <a:lnTo>
                                  <a:pt x="805980" y="1397101"/>
                                </a:lnTo>
                                <a:lnTo>
                                  <a:pt x="1100429" y="1326095"/>
                                </a:lnTo>
                                <a:lnTo>
                                  <a:pt x="1115479" y="1341120"/>
                                </a:lnTo>
                                <a:lnTo>
                                  <a:pt x="1140066" y="1316545"/>
                                </a:lnTo>
                                <a:lnTo>
                                  <a:pt x="1465961" y="1237957"/>
                                </a:lnTo>
                                <a:lnTo>
                                  <a:pt x="1480997" y="1252956"/>
                                </a:lnTo>
                                <a:lnTo>
                                  <a:pt x="1503286" y="1230718"/>
                                </a:lnTo>
                                <a:lnTo>
                                  <a:pt x="1823986" y="1180109"/>
                                </a:lnTo>
                                <a:lnTo>
                                  <a:pt x="1840204" y="1196301"/>
                                </a:lnTo>
                                <a:lnTo>
                                  <a:pt x="1861197" y="1175346"/>
                                </a:lnTo>
                                <a:lnTo>
                                  <a:pt x="2188680" y="1141501"/>
                                </a:lnTo>
                                <a:lnTo>
                                  <a:pt x="2205736" y="1158532"/>
                                </a:lnTo>
                                <a:lnTo>
                                  <a:pt x="2230348" y="1133944"/>
                                </a:lnTo>
                                <a:lnTo>
                                  <a:pt x="2261717" y="1126375"/>
                                </a:lnTo>
                                <a:lnTo>
                                  <a:pt x="2556230" y="1055357"/>
                                </a:lnTo>
                                <a:lnTo>
                                  <a:pt x="2571267" y="1070368"/>
                                </a:lnTo>
                                <a:lnTo>
                                  <a:pt x="2596464" y="1045197"/>
                                </a:lnTo>
                                <a:lnTo>
                                  <a:pt x="2594889" y="1043635"/>
                                </a:lnTo>
                                <a:lnTo>
                                  <a:pt x="2612313" y="1037526"/>
                                </a:lnTo>
                                <a:lnTo>
                                  <a:pt x="2916796" y="930795"/>
                                </a:lnTo>
                                <a:lnTo>
                                  <a:pt x="2930461" y="944448"/>
                                </a:lnTo>
                                <a:lnTo>
                                  <a:pt x="2955683" y="919264"/>
                                </a:lnTo>
                                <a:lnTo>
                                  <a:pt x="2952673" y="916279"/>
                                </a:lnTo>
                                <a:lnTo>
                                  <a:pt x="2964065" y="911174"/>
                                </a:lnTo>
                                <a:lnTo>
                                  <a:pt x="3283394" y="768172"/>
                                </a:lnTo>
                                <a:lnTo>
                                  <a:pt x="3296005" y="780757"/>
                                </a:lnTo>
                                <a:lnTo>
                                  <a:pt x="3321215" y="755561"/>
                                </a:lnTo>
                                <a:lnTo>
                                  <a:pt x="3314446" y="748804"/>
                                </a:lnTo>
                                <a:lnTo>
                                  <a:pt x="3316465" y="747166"/>
                                </a:lnTo>
                                <a:lnTo>
                                  <a:pt x="3652101" y="475424"/>
                                </a:lnTo>
                                <a:lnTo>
                                  <a:pt x="3661511" y="484809"/>
                                </a:lnTo>
                                <a:lnTo>
                                  <a:pt x="3686746" y="459638"/>
                                </a:lnTo>
                                <a:lnTo>
                                  <a:pt x="3677424" y="450342"/>
                                </a:lnTo>
                                <a:lnTo>
                                  <a:pt x="4013847" y="43484"/>
                                </a:lnTo>
                                <a:lnTo>
                                  <a:pt x="4020743" y="50368"/>
                                </a:lnTo>
                                <a:lnTo>
                                  <a:pt x="4045953" y="25184"/>
                                </a:lnTo>
                                <a:close/>
                              </a:path>
                            </a:pathLst>
                          </a:custGeom>
                          <a:solidFill>
                            <a:srgbClr val="E3C626"/>
                          </a:solidFill>
                        </wps:spPr>
                        <wps:bodyPr wrap="square" lIns="0" tIns="0" rIns="0" bIns="0" rtlCol="0">
                          <a:prstTxWarp prst="textNoShape">
                            <a:avLst/>
                          </a:prstTxWarp>
                          <a:noAutofit/>
                        </wps:bodyPr>
                      </wps:wsp>
                      <wps:wsp>
                        <wps:cNvPr id="1363" name="Graphic 1363"/>
                        <wps:cNvSpPr/>
                        <wps:spPr>
                          <a:xfrm>
                            <a:off x="3988218" y="141948"/>
                            <a:ext cx="170180" cy="44450"/>
                          </a:xfrm>
                          <a:custGeom>
                            <a:avLst/>
                            <a:gdLst/>
                            <a:ahLst/>
                            <a:cxnLst/>
                            <a:rect l="l" t="t" r="r" b="b"/>
                            <a:pathLst>
                              <a:path w="170180" h="44450">
                                <a:moveTo>
                                  <a:pt x="170166" y="0"/>
                                </a:moveTo>
                                <a:lnTo>
                                  <a:pt x="0" y="0"/>
                                </a:lnTo>
                                <a:lnTo>
                                  <a:pt x="0" y="44078"/>
                                </a:lnTo>
                                <a:lnTo>
                                  <a:pt x="170166" y="44078"/>
                                </a:lnTo>
                                <a:lnTo>
                                  <a:pt x="170166" y="0"/>
                                </a:lnTo>
                                <a:close/>
                              </a:path>
                            </a:pathLst>
                          </a:custGeom>
                          <a:solidFill>
                            <a:srgbClr val="2E614A"/>
                          </a:solidFill>
                        </wps:spPr>
                        <wps:bodyPr wrap="square" lIns="0" tIns="0" rIns="0" bIns="0" rtlCol="0">
                          <a:prstTxWarp prst="textNoShape">
                            <a:avLst/>
                          </a:prstTxWarp>
                          <a:noAutofit/>
                        </wps:bodyPr>
                      </wps:wsp>
                      <wps:wsp>
                        <wps:cNvPr id="1364" name="Graphic 1364"/>
                        <wps:cNvSpPr/>
                        <wps:spPr>
                          <a:xfrm>
                            <a:off x="4627609" y="141960"/>
                            <a:ext cx="183515" cy="50800"/>
                          </a:xfrm>
                          <a:custGeom>
                            <a:avLst/>
                            <a:gdLst/>
                            <a:ahLst/>
                            <a:cxnLst/>
                            <a:rect l="l" t="t" r="r" b="b"/>
                            <a:pathLst>
                              <a:path w="183515" h="50800">
                                <a:moveTo>
                                  <a:pt x="183299" y="21755"/>
                                </a:moveTo>
                                <a:lnTo>
                                  <a:pt x="113436" y="21755"/>
                                </a:lnTo>
                                <a:lnTo>
                                  <a:pt x="91655" y="0"/>
                                </a:lnTo>
                                <a:lnTo>
                                  <a:pt x="69862" y="21755"/>
                                </a:lnTo>
                                <a:lnTo>
                                  <a:pt x="0" y="21755"/>
                                </a:lnTo>
                                <a:lnTo>
                                  <a:pt x="0" y="28600"/>
                                </a:lnTo>
                                <a:lnTo>
                                  <a:pt x="69875" y="28600"/>
                                </a:lnTo>
                                <a:lnTo>
                                  <a:pt x="91655" y="50355"/>
                                </a:lnTo>
                                <a:lnTo>
                                  <a:pt x="113423" y="28600"/>
                                </a:lnTo>
                                <a:lnTo>
                                  <a:pt x="183299" y="28600"/>
                                </a:lnTo>
                                <a:lnTo>
                                  <a:pt x="183299" y="21755"/>
                                </a:lnTo>
                                <a:close/>
                              </a:path>
                            </a:pathLst>
                          </a:custGeom>
                          <a:solidFill>
                            <a:srgbClr val="E3C626"/>
                          </a:solidFill>
                        </wps:spPr>
                        <wps:bodyPr wrap="square" lIns="0" tIns="0" rIns="0" bIns="0" rtlCol="0">
                          <a:prstTxWarp prst="textNoShape">
                            <a:avLst/>
                          </a:prstTxWarp>
                          <a:noAutofit/>
                        </wps:bodyPr>
                      </wps:wsp>
                      <wps:wsp>
                        <wps:cNvPr id="1365" name="Textbox 1365"/>
                        <wps:cNvSpPr txBox="1"/>
                        <wps:spPr>
                          <a:xfrm>
                            <a:off x="4186900" y="108971"/>
                            <a:ext cx="38989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Universities</w:t>
                              </w:r>
                            </w:p>
                          </w:txbxContent>
                        </wps:txbx>
                        <wps:bodyPr wrap="square" lIns="0" tIns="0" rIns="0" bIns="0" rtlCol="0">
                          <a:noAutofit/>
                        </wps:bodyPr>
                      </wps:wsp>
                      <wps:wsp>
                        <wps:cNvPr id="1366" name="Textbox 1366"/>
                        <wps:cNvSpPr txBox="1"/>
                        <wps:spPr>
                          <a:xfrm>
                            <a:off x="4851549" y="108971"/>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Colleges</w:t>
                              </w:r>
                            </w:p>
                          </w:txbxContent>
                        </wps:txbx>
                        <wps:bodyPr wrap="square" lIns="0" tIns="0" rIns="0" bIns="0" rtlCol="0">
                          <a:noAutofit/>
                        </wps:bodyPr>
                      </wps:wsp>
                      <wps:wsp>
                        <wps:cNvPr id="1367" name="Textbox 1367"/>
                        <wps:cNvSpPr txBox="1"/>
                        <wps:spPr>
                          <a:xfrm>
                            <a:off x="276070" y="381071"/>
                            <a:ext cx="134620" cy="174815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400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350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300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250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200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150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100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90"/>
                                  <w:sz w:val="14"/>
                                </w:rPr>
                                <w:t>50</w:t>
                              </w:r>
                            </w:p>
                            <w:p>
                              <w:pPr>
                                <w:spacing w:line="240" w:lineRule="auto" w:before="2"/>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1368" name="Textbox 1368"/>
                        <wps:cNvSpPr txBox="1"/>
                        <wps:spPr>
                          <a:xfrm>
                            <a:off x="4947499" y="384283"/>
                            <a:ext cx="215900" cy="1753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20000</w:t>
                              </w:r>
                            </w:p>
                            <w:p>
                              <w:pPr>
                                <w:spacing w:before="99"/>
                                <w:ind w:left="0" w:right="0" w:firstLine="0"/>
                                <w:jc w:val="left"/>
                                <w:rPr>
                                  <w:rFonts w:ascii="Arial MT"/>
                                  <w:sz w:val="14"/>
                                </w:rPr>
                              </w:pPr>
                              <w:r>
                                <w:rPr>
                                  <w:rFonts w:ascii="Arial MT"/>
                                  <w:spacing w:val="-2"/>
                                  <w:w w:val="85"/>
                                  <w:sz w:val="14"/>
                                </w:rPr>
                                <w:t>18000</w:t>
                              </w:r>
                            </w:p>
                            <w:p>
                              <w:pPr>
                                <w:spacing w:before="99"/>
                                <w:ind w:left="0" w:right="0" w:firstLine="0"/>
                                <w:jc w:val="left"/>
                                <w:rPr>
                                  <w:rFonts w:ascii="Arial MT"/>
                                  <w:sz w:val="14"/>
                                </w:rPr>
                              </w:pPr>
                              <w:r>
                                <w:rPr>
                                  <w:rFonts w:ascii="Arial MT"/>
                                  <w:spacing w:val="-2"/>
                                  <w:w w:val="85"/>
                                  <w:sz w:val="14"/>
                                </w:rPr>
                                <w:t>16000</w:t>
                              </w:r>
                            </w:p>
                            <w:p>
                              <w:pPr>
                                <w:spacing w:before="99"/>
                                <w:ind w:left="0" w:right="0" w:firstLine="0"/>
                                <w:jc w:val="left"/>
                                <w:rPr>
                                  <w:rFonts w:ascii="Arial MT"/>
                                  <w:sz w:val="14"/>
                                </w:rPr>
                              </w:pPr>
                              <w:r>
                                <w:rPr>
                                  <w:rFonts w:ascii="Arial MT"/>
                                  <w:spacing w:val="-2"/>
                                  <w:w w:val="85"/>
                                  <w:sz w:val="14"/>
                                </w:rPr>
                                <w:t>14000</w:t>
                              </w:r>
                            </w:p>
                            <w:p>
                              <w:pPr>
                                <w:spacing w:before="99"/>
                                <w:ind w:left="0" w:right="0" w:firstLine="0"/>
                                <w:jc w:val="left"/>
                                <w:rPr>
                                  <w:rFonts w:ascii="Arial MT"/>
                                  <w:sz w:val="14"/>
                                </w:rPr>
                              </w:pPr>
                              <w:r>
                                <w:rPr>
                                  <w:rFonts w:ascii="Arial MT"/>
                                  <w:spacing w:val="-2"/>
                                  <w:w w:val="85"/>
                                  <w:sz w:val="14"/>
                                </w:rPr>
                                <w:t>12000</w:t>
                              </w:r>
                            </w:p>
                            <w:p>
                              <w:pPr>
                                <w:spacing w:before="99"/>
                                <w:ind w:left="0" w:right="0" w:firstLine="0"/>
                                <w:jc w:val="left"/>
                                <w:rPr>
                                  <w:rFonts w:ascii="Arial MT"/>
                                  <w:sz w:val="14"/>
                                </w:rPr>
                              </w:pPr>
                              <w:r>
                                <w:rPr>
                                  <w:rFonts w:ascii="Arial MT"/>
                                  <w:spacing w:val="-2"/>
                                  <w:w w:val="85"/>
                                  <w:sz w:val="14"/>
                                </w:rPr>
                                <w:t>10000</w:t>
                              </w:r>
                            </w:p>
                            <w:p>
                              <w:pPr>
                                <w:spacing w:before="99"/>
                                <w:ind w:left="0" w:right="0" w:firstLine="0"/>
                                <w:jc w:val="left"/>
                                <w:rPr>
                                  <w:rFonts w:ascii="Arial MT"/>
                                  <w:sz w:val="14"/>
                                </w:rPr>
                              </w:pPr>
                              <w:r>
                                <w:rPr>
                                  <w:rFonts w:ascii="Arial MT"/>
                                  <w:spacing w:val="-4"/>
                                  <w:w w:val="90"/>
                                  <w:sz w:val="14"/>
                                </w:rPr>
                                <w:t>8000</w:t>
                              </w:r>
                            </w:p>
                            <w:p>
                              <w:pPr>
                                <w:spacing w:before="99"/>
                                <w:ind w:left="0" w:right="0" w:firstLine="0"/>
                                <w:jc w:val="left"/>
                                <w:rPr>
                                  <w:rFonts w:ascii="Arial MT"/>
                                  <w:sz w:val="14"/>
                                </w:rPr>
                              </w:pPr>
                              <w:r>
                                <w:rPr>
                                  <w:rFonts w:ascii="Arial MT"/>
                                  <w:spacing w:val="-4"/>
                                  <w:w w:val="90"/>
                                  <w:sz w:val="14"/>
                                </w:rPr>
                                <w:t>6000</w:t>
                              </w:r>
                            </w:p>
                            <w:p>
                              <w:pPr>
                                <w:spacing w:before="99"/>
                                <w:ind w:left="0" w:right="0" w:firstLine="0"/>
                                <w:jc w:val="left"/>
                                <w:rPr>
                                  <w:rFonts w:ascii="Arial MT"/>
                                  <w:sz w:val="14"/>
                                </w:rPr>
                              </w:pPr>
                              <w:r>
                                <w:rPr>
                                  <w:rFonts w:ascii="Arial MT"/>
                                  <w:spacing w:val="-4"/>
                                  <w:w w:val="90"/>
                                  <w:sz w:val="14"/>
                                </w:rPr>
                                <w:t>4000</w:t>
                              </w:r>
                            </w:p>
                            <w:p>
                              <w:pPr>
                                <w:spacing w:before="99"/>
                                <w:ind w:left="0" w:right="0" w:firstLine="0"/>
                                <w:jc w:val="left"/>
                                <w:rPr>
                                  <w:rFonts w:ascii="Arial MT"/>
                                  <w:sz w:val="14"/>
                                </w:rPr>
                              </w:pPr>
                              <w:r>
                                <w:rPr>
                                  <w:rFonts w:ascii="Arial MT"/>
                                  <w:spacing w:val="-4"/>
                                  <w:w w:val="90"/>
                                  <w:sz w:val="14"/>
                                </w:rPr>
                                <w:t>2000</w:t>
                              </w:r>
                            </w:p>
                            <w:p>
                              <w:pPr>
                                <w:spacing w:before="99"/>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369" name="Textbox 1369"/>
                        <wps:cNvSpPr txBox="1"/>
                        <wps:spPr>
                          <a:xfrm>
                            <a:off x="534887" y="2129971"/>
                            <a:ext cx="4293870" cy="102235"/>
                          </a:xfrm>
                          <a:prstGeom prst="rect">
                            <a:avLst/>
                          </a:prstGeom>
                        </wps:spPr>
                        <wps:txbx>
                          <w:txbxContent>
                            <w:p>
                              <w:pPr>
                                <w:tabs>
                                  <w:tab w:pos="5179" w:val="left" w:leader="none"/>
                                </w:tabs>
                                <w:spacing w:line="161" w:lineRule="exact" w:before="0"/>
                                <w:ind w:left="0" w:right="0" w:firstLine="0"/>
                                <w:jc w:val="left"/>
                                <w:rPr>
                                  <w:rFonts w:ascii="Arial MT"/>
                                  <w:sz w:val="14"/>
                                </w:rPr>
                              </w:pPr>
                              <w:r>
                                <w:rPr>
                                  <w:rFonts w:ascii="Arial MT"/>
                                  <w:w w:val="90"/>
                                  <w:sz w:val="14"/>
                                </w:rPr>
                                <w:t>1950-51</w:t>
                              </w:r>
                              <w:r>
                                <w:rPr>
                                  <w:rFonts w:ascii="Arial MT"/>
                                  <w:spacing w:val="57"/>
                                  <w:sz w:val="14"/>
                                </w:rPr>
                                <w:t> </w:t>
                              </w:r>
                              <w:r>
                                <w:rPr>
                                  <w:rFonts w:ascii="Arial MT"/>
                                  <w:w w:val="90"/>
                                  <w:sz w:val="14"/>
                                </w:rPr>
                                <w:t>1955-56</w:t>
                              </w:r>
                              <w:r>
                                <w:rPr>
                                  <w:rFonts w:ascii="Arial MT"/>
                                  <w:spacing w:val="51"/>
                                  <w:sz w:val="14"/>
                                </w:rPr>
                                <w:t> </w:t>
                              </w:r>
                              <w:r>
                                <w:rPr>
                                  <w:rFonts w:ascii="Arial MT"/>
                                  <w:w w:val="90"/>
                                  <w:sz w:val="14"/>
                                </w:rPr>
                                <w:t>1960-61</w:t>
                              </w:r>
                              <w:r>
                                <w:rPr>
                                  <w:rFonts w:ascii="Arial MT"/>
                                  <w:spacing w:val="71"/>
                                  <w:sz w:val="14"/>
                                </w:rPr>
                                <w:t> </w:t>
                              </w:r>
                              <w:r>
                                <w:rPr>
                                  <w:rFonts w:ascii="Arial MT"/>
                                  <w:w w:val="90"/>
                                  <w:sz w:val="14"/>
                                </w:rPr>
                                <w:t>1965-66</w:t>
                              </w:r>
                              <w:r>
                                <w:rPr>
                                  <w:rFonts w:ascii="Arial MT"/>
                                  <w:spacing w:val="51"/>
                                  <w:sz w:val="14"/>
                                </w:rPr>
                                <w:t> </w:t>
                              </w:r>
                              <w:r>
                                <w:rPr>
                                  <w:rFonts w:ascii="Arial MT"/>
                                  <w:w w:val="90"/>
                                  <w:sz w:val="14"/>
                                </w:rPr>
                                <w:t>1970-71</w:t>
                              </w:r>
                              <w:r>
                                <w:rPr>
                                  <w:rFonts w:ascii="Arial MT"/>
                                  <w:spacing w:val="71"/>
                                  <w:sz w:val="14"/>
                                </w:rPr>
                                <w:t> </w:t>
                              </w:r>
                              <w:r>
                                <w:rPr>
                                  <w:rFonts w:ascii="Arial MT"/>
                                  <w:w w:val="90"/>
                                  <w:sz w:val="14"/>
                                </w:rPr>
                                <w:t>1975-76</w:t>
                              </w:r>
                              <w:r>
                                <w:rPr>
                                  <w:rFonts w:ascii="Arial MT"/>
                                  <w:spacing w:val="58"/>
                                  <w:sz w:val="14"/>
                                </w:rPr>
                                <w:t> </w:t>
                              </w:r>
                              <w:r>
                                <w:rPr>
                                  <w:rFonts w:ascii="Arial MT"/>
                                  <w:w w:val="90"/>
                                  <w:sz w:val="14"/>
                                </w:rPr>
                                <w:t>1980-81</w:t>
                              </w:r>
                              <w:r>
                                <w:rPr>
                                  <w:rFonts w:ascii="Arial MT"/>
                                  <w:spacing w:val="58"/>
                                  <w:sz w:val="14"/>
                                </w:rPr>
                                <w:t> </w:t>
                              </w:r>
                              <w:r>
                                <w:rPr>
                                  <w:rFonts w:ascii="Arial MT"/>
                                  <w:w w:val="90"/>
                                  <w:sz w:val="14"/>
                                </w:rPr>
                                <w:t>1985-86</w:t>
                              </w:r>
                              <w:r>
                                <w:rPr>
                                  <w:rFonts w:ascii="Arial MT"/>
                                  <w:spacing w:val="31"/>
                                  <w:sz w:val="14"/>
                                </w:rPr>
                                <w:t> </w:t>
                              </w:r>
                              <w:r>
                                <w:rPr>
                                  <w:rFonts w:ascii="Arial MT"/>
                                  <w:w w:val="90"/>
                                  <w:sz w:val="14"/>
                                </w:rPr>
                                <w:t>1990-</w:t>
                              </w:r>
                              <w:r>
                                <w:rPr>
                                  <w:rFonts w:ascii="Arial MT"/>
                                  <w:spacing w:val="-5"/>
                                  <w:w w:val="90"/>
                                  <w:sz w:val="14"/>
                                </w:rPr>
                                <w:t>91</w:t>
                              </w:r>
                              <w:r>
                                <w:rPr>
                                  <w:rFonts w:ascii="Arial MT"/>
                                  <w:sz w:val="14"/>
                                </w:rPr>
                                <w:tab/>
                              </w:r>
                              <w:r>
                                <w:rPr>
                                  <w:rFonts w:ascii="Arial MT"/>
                                  <w:w w:val="85"/>
                                  <w:sz w:val="14"/>
                                </w:rPr>
                                <w:t>1995-96</w:t>
                              </w:r>
                              <w:r>
                                <w:rPr>
                                  <w:rFonts w:ascii="Arial MT"/>
                                  <w:spacing w:val="56"/>
                                  <w:sz w:val="14"/>
                                </w:rPr>
                                <w:t> </w:t>
                              </w:r>
                              <w:r>
                                <w:rPr>
                                  <w:rFonts w:ascii="Arial MT"/>
                                  <w:w w:val="85"/>
                                  <w:sz w:val="14"/>
                                </w:rPr>
                                <w:t>2000-01</w:t>
                              </w:r>
                              <w:r>
                                <w:rPr>
                                  <w:rFonts w:ascii="Arial MT"/>
                                  <w:spacing w:val="33"/>
                                  <w:sz w:val="14"/>
                                </w:rPr>
                                <w:t>  </w:t>
                              </w:r>
                              <w:r>
                                <w:rPr>
                                  <w:rFonts w:ascii="Arial MT"/>
                                  <w:w w:val="85"/>
                                  <w:sz w:val="14"/>
                                </w:rPr>
                                <w:t>2005-</w:t>
                              </w:r>
                              <w:r>
                                <w:rPr>
                                  <w:rFonts w:ascii="Arial MT"/>
                                  <w:spacing w:val="-5"/>
                                  <w:w w:val="85"/>
                                  <w:sz w:val="14"/>
                                </w:rPr>
                                <w:t>06</w:t>
                              </w:r>
                            </w:p>
                          </w:txbxContent>
                        </wps:txbx>
                        <wps:bodyPr wrap="square" lIns="0" tIns="0" rIns="0" bIns="0" rtlCol="0">
                          <a:noAutofit/>
                        </wps:bodyPr>
                      </wps:wsp>
                    </wpg:wgp>
                  </a:graphicData>
                </a:graphic>
              </wp:anchor>
            </w:drawing>
          </mc:Choice>
          <mc:Fallback>
            <w:pict>
              <v:group style="position:absolute;margin-left:84.850372pt;margin-top:6.122681pt;width:427pt;height:187.5pt;mso-position-horizontal-relative:page;mso-position-vertical-relative:paragraph;z-index:-15642112;mso-wrap-distance-left:0;mso-wrap-distance-right:0" id="docshapegroup1345" coordorigin="1697,122" coordsize="8540,3750">
                <v:shape style="position:absolute;left:1697;top:122;width:8540;height:3750" id="docshape1346" coordorigin="1697,122" coordsize="8540,3750" path="m10237,122l10227,122,10227,126,10227,127,10227,3868,1702,3868,1707,3868,10227,3868,10227,3863,1707,3863,1702,3863,1702,3862,1707,3862,1707,132,1702,132,1702,132,1707,132,10227,132,10227,127,1707,127,1702,127,1702,126,10227,126,10227,122,1697,122,1697,126,1697,132,1697,3862,1697,3868,1697,3872,10237,3872,10237,3868,10232,3868,10237,3868,10237,3863,10232,3863,10232,3862,10237,3862,10237,132,10232,132,10232,132,10237,132,10237,127,10232,127,10232,126,10237,126,10237,122xe" filled="true" fillcolor="#000000" stroked="false">
                  <v:path arrowok="t"/>
                  <v:fill type="solid"/>
                </v:shape>
                <v:shape style="position:absolute;left:2634;top:1076;width:6531;height:2331" id="docshape1347" coordorigin="2635,1077" coordsize="6531,2331" path="m2873,3199l2635,3199,2635,3407,2873,3407,2873,3199xm3439,3159l3211,3159,3211,3407,3439,3407,3439,3159xm4015,3040l3776,3040,3776,3407,4015,3407,4015,3040xm4590,2842l4352,2842,4352,3407,4590,3407,4590,2842xm5156,2733l4928,2733,4928,3407,5156,3407,5156,2733xm5731,2624l5493,2624,5493,3407,5731,3407,5731,2624xm6307,2535l6069,2535,6069,3407,6307,3407,6307,2535xm6873,2366l6645,2366,6645,3407,6873,3407,6873,2366xm7448,2158l7210,2158,7210,3407,7448,3407,7448,2158xm8024,1969l7786,1969,7786,3407,8024,3407,8024,1969xm8590,1721l8361,1721,8361,3407,8590,3407,8590,1721xm9165,1077l8927,1077,8927,3407,9165,3407,9165,1077xe" filled="true" fillcolor="#2e614a" stroked="false">
                  <v:path arrowok="t"/>
                  <v:fill type="solid"/>
                </v:shape>
                <v:shape style="position:absolute;left:2379;top:774;width:7040;height:2720" id="docshape1348" coordorigin="2380,774" coordsize="7040,2720" path="m9419,3144l9339,3144,9339,2887,9339,2877,9329,2877,9339,2876,9339,2628,9329,2628,9329,2618,9339,2618,9339,2360,9329,2360,9329,2350,9339,2350,9339,2102,9329,2102,9329,2092,9339,2092,9339,1836,9329,1836,9329,1826,9339,1826,9339,1578,9329,1578,9329,1568,9339,1568,9339,1310,9329,1310,9329,1300,9339,1300,9339,1052,9329,1052,9329,1042,9339,1042,9339,784,9329,784,9329,774,9329,774,9329,784,9329,1042,9329,3402,9289,3402,9289,3402,2511,3402,2511,3402,2471,3402,2471,3085,2471,3084,2471,3075,2469,3075,2469,3074,2471,3074,2471,2758,2469,2758,2469,2748,2471,2748,2471,2430,2469,2430,2469,2420,2471,2420,2471,2102,2469,2102,2469,2092,2471,2092,2471,1766,2469,1766,2469,1756,2471,1756,2471,1438,2469,1438,2469,1428,2471,1428,2471,1112,2469,1112,2469,1102,2471,1102,2471,784,2469,784,2469,774,2461,774,2461,3075,2380,3075,2380,3085,2461,3085,2461,3402,2422,3402,2381,3402,2381,3412,2422,3412,2461,3412,2461,3452,2471,3452,2471,3412,2511,3412,2511,3412,3037,3412,3037,3494,3047,3494,3047,3412,3603,3412,3603,3494,3613,3494,3613,3412,4178,3412,4178,3494,4188,3494,4188,3412,4754,3412,4754,3494,4764,3494,4764,3412,5320,3412,5320,3494,5330,3494,5330,3412,5895,3412,5895,3494,5905,3494,5905,3412,6471,3412,6471,3494,6481,3494,6481,3412,7036,3412,7036,3494,7046,3494,7046,3412,7612,3412,7612,3494,7622,3494,7622,3412,8188,3412,8188,3494,8198,3494,8198,3412,8753,3412,8753,3494,8763,3494,8763,3412,9289,3412,9329,3412,9329,3480,9339,3480,9339,3412,9379,3412,9408,3412,9408,3402,9379,3402,9339,3402,9339,3154,9329,3154,9339,3154,9419,3154,9419,3144xe" filled="true" fillcolor="#000000" stroked="false">
                  <v:path arrowok="t"/>
                  <v:fill type="solid"/>
                </v:shape>
                <v:shape style="position:absolute;left:2379;top:774;width:7040;height:2113" id="docshape1349" coordorigin="2380,774" coordsize="7040,2113" path="m2461,2748l2380,2748,2380,2758,2461,2758,2461,2748xm2461,2420l2380,2420,2380,2430,2461,2430,2461,2420xm2461,2093l2380,2093,2380,2103,2461,2103,2461,2093xm2461,1756l2380,1756,2380,1766,2461,1766,2461,1756xm2461,1429l2380,1429,2380,1439,2461,1439,2461,1429xm2461,1102l2380,1102,2380,1112,2461,1112,2461,1102xm2461,774l2380,774,2380,784,2461,784,2461,774xm2471,2748l2469,2748,2469,2758,2471,2758,2471,2748xm2471,2420l2469,2420,2469,2430,2471,2430,2471,2420xm2471,2093l2469,2093,2469,2103,2471,2103,2471,2093xm2471,1756l2469,1756,2469,1766,2471,1766,2471,1756xm2471,1429l2469,1429,2469,1439,2471,1439,2471,1429xm2471,1102l2469,1102,2469,1112,2471,1112,2471,1102xm2471,774l2469,774,2469,784,2471,784,2471,774xm9419,2877l9339,2877,9329,2877,9329,2887,9339,2887,9419,2887,9419,2877xm9419,2619l9339,2619,9329,2619,9329,2629,9339,2629,9419,2629,9419,2619xm9419,2351l9339,2351,9329,2351,9329,2361,9339,2361,9419,2361,9419,2351xm9419,2093l9339,2093,9329,2093,9329,2103,9339,2103,9419,2103,9419,2093xm9419,1826l9339,1826,9329,1826,9329,1836,9339,1836,9419,1836,9419,1826xm9419,1568l9339,1568,9329,1568,9329,1578,9339,1578,9419,1578,9419,1568xm9419,1300l9339,1300,9329,1300,9329,1310,9339,1310,9419,1310,9419,1300xm9419,1042l9339,1042,9329,1042,9329,1052,9339,1052,9419,1052,9419,1042xm9419,774l9339,774,9329,774,9329,784,9339,784,9419,784,9419,774xe" filled="true" fillcolor="#000000" stroked="false">
                  <v:path arrowok="t"/>
                  <v:fill type="solid"/>
                </v:shape>
                <v:shape style="position:absolute;left:2714;top:997;width:6372;height:2360" id="docshape1350" coordorigin="2714,998" coordsize="6372,2360" path="m9086,1037l9046,998,9007,1037,9021,1052,8491,1693,8481,1682,8441,1721,8451,1732,7920,2163,7905,2148,7865,2187,7870,2192,7349,2425,7329,2406,7290,2445,7292,2448,6785,2625,6764,2604,6725,2643,6212,2766,6188,2743,6155,2776,5639,2829,5612,2802,5577,2837,5072,2917,5047,2891,5008,2930,4495,3054,4471,3030,4432,3069,3919,3193,3895,3169,3862,3202,3357,3255,3330,3229,3297,3261,2781,3305,2754,3278,2714,3318,2754,3358,2787,3325,3302,3281,3330,3308,3363,3275,3528,3257,3869,3222,3895,3248,3934,3210,3984,3198,4447,3086,4471,3110,4510,3071,5023,2947,5047,2971,5082,2936,5587,2856,5612,2882,5645,2849,6161,2795,6188,2822,6227,2783,6276,2771,6740,2660,6764,2683,6803,2644,6801,2641,6828,2632,7308,2463,7329,2485,7369,2445,7364,2441,7382,2433,7885,2207,7905,2227,7945,2187,7934,2177,7937,2174,8466,1746,8481,1761,8520,1721,8506,1707,9035,1066,9046,1077,9086,1037xe" filled="true" fillcolor="#e3c626" stroked="false">
                  <v:path arrowok="t"/>
                  <v:fill type="solid"/>
                </v:shape>
                <v:rect style="position:absolute;left:7977;top:346;width:268;height:70" id="docshape1351" filled="true" fillcolor="#2e614a" stroked="false">
                  <v:fill type="solid"/>
                </v:rect>
                <v:shape style="position:absolute;left:8984;top:346;width:289;height:80" id="docshape1352" coordorigin="8985,346" coordsize="289,80" path="m9273,380l9163,380,9129,346,9095,380,8985,380,8985,391,9095,391,9129,425,9163,391,9273,391,9273,380xe" filled="true" fillcolor="#e3c626" stroked="false">
                  <v:path arrowok="t"/>
                  <v:fill type="solid"/>
                </v:shape>
                <v:shape style="position:absolute;left:8290;top:294;width:614;height:161" type="#_x0000_t202" id="docshape1353" filled="false" stroked="false">
                  <v:textbox inset="0,0,0,0">
                    <w:txbxContent>
                      <w:p>
                        <w:pPr>
                          <w:spacing w:line="161" w:lineRule="exact" w:before="0"/>
                          <w:ind w:left="0" w:right="0" w:firstLine="0"/>
                          <w:jc w:val="left"/>
                          <w:rPr>
                            <w:rFonts w:ascii="Arial MT"/>
                            <w:sz w:val="14"/>
                          </w:rPr>
                        </w:pPr>
                        <w:r>
                          <w:rPr>
                            <w:rFonts w:ascii="Arial MT"/>
                            <w:spacing w:val="-2"/>
                            <w:w w:val="85"/>
                            <w:sz w:val="14"/>
                          </w:rPr>
                          <w:t>Universities</w:t>
                        </w:r>
                      </w:p>
                    </w:txbxContent>
                  </v:textbox>
                  <w10:wrap type="none"/>
                </v:shape>
                <v:shape style="position:absolute;left:9337;top:294;width:467;height:161" type="#_x0000_t202" id="docshape1354" filled="false" stroked="false">
                  <v:textbox inset="0,0,0,0">
                    <w:txbxContent>
                      <w:p>
                        <w:pPr>
                          <w:spacing w:line="161" w:lineRule="exact" w:before="0"/>
                          <w:ind w:left="0" w:right="0" w:firstLine="0"/>
                          <w:jc w:val="left"/>
                          <w:rPr>
                            <w:rFonts w:ascii="Arial MT"/>
                            <w:sz w:val="14"/>
                          </w:rPr>
                        </w:pPr>
                        <w:r>
                          <w:rPr>
                            <w:rFonts w:ascii="Arial MT"/>
                            <w:spacing w:val="-2"/>
                            <w:w w:val="85"/>
                            <w:sz w:val="14"/>
                          </w:rPr>
                          <w:t>Colleges</w:t>
                        </w:r>
                      </w:p>
                    </w:txbxContent>
                  </v:textbox>
                  <w10:wrap type="none"/>
                </v:shape>
                <v:shape style="position:absolute;left:2131;top:722;width:212;height:2753" type="#_x0000_t202" id="docshape1355" filled="false" stroked="false">
                  <v:textbox inset="0,0,0,0">
                    <w:txbxContent>
                      <w:p>
                        <w:pPr>
                          <w:spacing w:line="161" w:lineRule="exact" w:before="0"/>
                          <w:ind w:left="0" w:right="0" w:firstLine="0"/>
                          <w:jc w:val="left"/>
                          <w:rPr>
                            <w:rFonts w:ascii="Arial MT"/>
                            <w:sz w:val="14"/>
                          </w:rPr>
                        </w:pPr>
                        <w:r>
                          <w:rPr>
                            <w:rFonts w:ascii="Arial MT"/>
                            <w:spacing w:val="-5"/>
                            <w:w w:val="90"/>
                            <w:sz w:val="14"/>
                          </w:rPr>
                          <w:t>400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350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300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250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200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150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80"/>
                            <w:sz w:val="14"/>
                          </w:rPr>
                          <w:t>100</w:t>
                        </w:r>
                      </w:p>
                      <w:p>
                        <w:pPr>
                          <w:spacing w:line="240" w:lineRule="auto" w:before="2"/>
                          <w:rPr>
                            <w:rFonts w:ascii="Arial MT"/>
                            <w:sz w:val="14"/>
                          </w:rPr>
                        </w:pPr>
                      </w:p>
                      <w:p>
                        <w:pPr>
                          <w:spacing w:before="0"/>
                          <w:ind w:left="0" w:right="18" w:firstLine="0"/>
                          <w:jc w:val="right"/>
                          <w:rPr>
                            <w:rFonts w:ascii="Arial MT"/>
                            <w:sz w:val="14"/>
                          </w:rPr>
                        </w:pPr>
                        <w:r>
                          <w:rPr>
                            <w:rFonts w:ascii="Arial MT"/>
                            <w:spacing w:val="-5"/>
                            <w:w w:val="90"/>
                            <w:sz w:val="14"/>
                          </w:rPr>
                          <w:t>50</w:t>
                        </w:r>
                      </w:p>
                      <w:p>
                        <w:pPr>
                          <w:spacing w:line="240" w:lineRule="auto" w:before="2"/>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v:shape style="position:absolute;left:9488;top:727;width:340;height:2761" type="#_x0000_t202" id="docshape1356" filled="false" stroked="false">
                  <v:textbox inset="0,0,0,0">
                    <w:txbxContent>
                      <w:p>
                        <w:pPr>
                          <w:spacing w:line="161" w:lineRule="exact" w:before="0"/>
                          <w:ind w:left="0" w:right="0" w:firstLine="0"/>
                          <w:jc w:val="left"/>
                          <w:rPr>
                            <w:rFonts w:ascii="Arial MT"/>
                            <w:sz w:val="14"/>
                          </w:rPr>
                        </w:pPr>
                        <w:r>
                          <w:rPr>
                            <w:rFonts w:ascii="Arial MT"/>
                            <w:spacing w:val="-2"/>
                            <w:w w:val="85"/>
                            <w:sz w:val="14"/>
                          </w:rPr>
                          <w:t>20000</w:t>
                        </w:r>
                      </w:p>
                      <w:p>
                        <w:pPr>
                          <w:spacing w:before="99"/>
                          <w:ind w:left="0" w:right="0" w:firstLine="0"/>
                          <w:jc w:val="left"/>
                          <w:rPr>
                            <w:rFonts w:ascii="Arial MT"/>
                            <w:sz w:val="14"/>
                          </w:rPr>
                        </w:pPr>
                        <w:r>
                          <w:rPr>
                            <w:rFonts w:ascii="Arial MT"/>
                            <w:spacing w:val="-2"/>
                            <w:w w:val="85"/>
                            <w:sz w:val="14"/>
                          </w:rPr>
                          <w:t>18000</w:t>
                        </w:r>
                      </w:p>
                      <w:p>
                        <w:pPr>
                          <w:spacing w:before="99"/>
                          <w:ind w:left="0" w:right="0" w:firstLine="0"/>
                          <w:jc w:val="left"/>
                          <w:rPr>
                            <w:rFonts w:ascii="Arial MT"/>
                            <w:sz w:val="14"/>
                          </w:rPr>
                        </w:pPr>
                        <w:r>
                          <w:rPr>
                            <w:rFonts w:ascii="Arial MT"/>
                            <w:spacing w:val="-2"/>
                            <w:w w:val="85"/>
                            <w:sz w:val="14"/>
                          </w:rPr>
                          <w:t>16000</w:t>
                        </w:r>
                      </w:p>
                      <w:p>
                        <w:pPr>
                          <w:spacing w:before="99"/>
                          <w:ind w:left="0" w:right="0" w:firstLine="0"/>
                          <w:jc w:val="left"/>
                          <w:rPr>
                            <w:rFonts w:ascii="Arial MT"/>
                            <w:sz w:val="14"/>
                          </w:rPr>
                        </w:pPr>
                        <w:r>
                          <w:rPr>
                            <w:rFonts w:ascii="Arial MT"/>
                            <w:spacing w:val="-2"/>
                            <w:w w:val="85"/>
                            <w:sz w:val="14"/>
                          </w:rPr>
                          <w:t>14000</w:t>
                        </w:r>
                      </w:p>
                      <w:p>
                        <w:pPr>
                          <w:spacing w:before="99"/>
                          <w:ind w:left="0" w:right="0" w:firstLine="0"/>
                          <w:jc w:val="left"/>
                          <w:rPr>
                            <w:rFonts w:ascii="Arial MT"/>
                            <w:sz w:val="14"/>
                          </w:rPr>
                        </w:pPr>
                        <w:r>
                          <w:rPr>
                            <w:rFonts w:ascii="Arial MT"/>
                            <w:spacing w:val="-2"/>
                            <w:w w:val="85"/>
                            <w:sz w:val="14"/>
                          </w:rPr>
                          <w:t>12000</w:t>
                        </w:r>
                      </w:p>
                      <w:p>
                        <w:pPr>
                          <w:spacing w:before="99"/>
                          <w:ind w:left="0" w:right="0" w:firstLine="0"/>
                          <w:jc w:val="left"/>
                          <w:rPr>
                            <w:rFonts w:ascii="Arial MT"/>
                            <w:sz w:val="14"/>
                          </w:rPr>
                        </w:pPr>
                        <w:r>
                          <w:rPr>
                            <w:rFonts w:ascii="Arial MT"/>
                            <w:spacing w:val="-2"/>
                            <w:w w:val="85"/>
                            <w:sz w:val="14"/>
                          </w:rPr>
                          <w:t>10000</w:t>
                        </w:r>
                      </w:p>
                      <w:p>
                        <w:pPr>
                          <w:spacing w:before="99"/>
                          <w:ind w:left="0" w:right="0" w:firstLine="0"/>
                          <w:jc w:val="left"/>
                          <w:rPr>
                            <w:rFonts w:ascii="Arial MT"/>
                            <w:sz w:val="14"/>
                          </w:rPr>
                        </w:pPr>
                        <w:r>
                          <w:rPr>
                            <w:rFonts w:ascii="Arial MT"/>
                            <w:spacing w:val="-4"/>
                            <w:w w:val="90"/>
                            <w:sz w:val="14"/>
                          </w:rPr>
                          <w:t>8000</w:t>
                        </w:r>
                      </w:p>
                      <w:p>
                        <w:pPr>
                          <w:spacing w:before="99"/>
                          <w:ind w:left="0" w:right="0" w:firstLine="0"/>
                          <w:jc w:val="left"/>
                          <w:rPr>
                            <w:rFonts w:ascii="Arial MT"/>
                            <w:sz w:val="14"/>
                          </w:rPr>
                        </w:pPr>
                        <w:r>
                          <w:rPr>
                            <w:rFonts w:ascii="Arial MT"/>
                            <w:spacing w:val="-4"/>
                            <w:w w:val="90"/>
                            <w:sz w:val="14"/>
                          </w:rPr>
                          <w:t>6000</w:t>
                        </w:r>
                      </w:p>
                      <w:p>
                        <w:pPr>
                          <w:spacing w:before="99"/>
                          <w:ind w:left="0" w:right="0" w:firstLine="0"/>
                          <w:jc w:val="left"/>
                          <w:rPr>
                            <w:rFonts w:ascii="Arial MT"/>
                            <w:sz w:val="14"/>
                          </w:rPr>
                        </w:pPr>
                        <w:r>
                          <w:rPr>
                            <w:rFonts w:ascii="Arial MT"/>
                            <w:spacing w:val="-4"/>
                            <w:w w:val="90"/>
                            <w:sz w:val="14"/>
                          </w:rPr>
                          <w:t>4000</w:t>
                        </w:r>
                      </w:p>
                      <w:p>
                        <w:pPr>
                          <w:spacing w:before="99"/>
                          <w:ind w:left="0" w:right="0" w:firstLine="0"/>
                          <w:jc w:val="left"/>
                          <w:rPr>
                            <w:rFonts w:ascii="Arial MT"/>
                            <w:sz w:val="14"/>
                          </w:rPr>
                        </w:pPr>
                        <w:r>
                          <w:rPr>
                            <w:rFonts w:ascii="Arial MT"/>
                            <w:spacing w:val="-4"/>
                            <w:w w:val="90"/>
                            <w:sz w:val="14"/>
                          </w:rPr>
                          <w:t>2000</w:t>
                        </w:r>
                      </w:p>
                      <w:p>
                        <w:pPr>
                          <w:spacing w:before="99"/>
                          <w:ind w:left="0" w:right="0" w:firstLine="0"/>
                          <w:jc w:val="left"/>
                          <w:rPr>
                            <w:rFonts w:ascii="Arial MT"/>
                            <w:sz w:val="14"/>
                          </w:rPr>
                        </w:pPr>
                        <w:r>
                          <w:rPr>
                            <w:rFonts w:ascii="Arial MT"/>
                            <w:spacing w:val="-10"/>
                            <w:w w:val="90"/>
                            <w:sz w:val="14"/>
                          </w:rPr>
                          <w:t>0</w:t>
                        </w:r>
                      </w:p>
                    </w:txbxContent>
                  </v:textbox>
                  <w10:wrap type="none"/>
                </v:shape>
                <v:shape style="position:absolute;left:2539;top:3476;width:6762;height:161" type="#_x0000_t202" id="docshape1357" filled="false" stroked="false">
                  <v:textbox inset="0,0,0,0">
                    <w:txbxContent>
                      <w:p>
                        <w:pPr>
                          <w:tabs>
                            <w:tab w:pos="5179" w:val="left" w:leader="none"/>
                          </w:tabs>
                          <w:spacing w:line="161" w:lineRule="exact" w:before="0"/>
                          <w:ind w:left="0" w:right="0" w:firstLine="0"/>
                          <w:jc w:val="left"/>
                          <w:rPr>
                            <w:rFonts w:ascii="Arial MT"/>
                            <w:sz w:val="14"/>
                          </w:rPr>
                        </w:pPr>
                        <w:r>
                          <w:rPr>
                            <w:rFonts w:ascii="Arial MT"/>
                            <w:w w:val="90"/>
                            <w:sz w:val="14"/>
                          </w:rPr>
                          <w:t>1950-51</w:t>
                        </w:r>
                        <w:r>
                          <w:rPr>
                            <w:rFonts w:ascii="Arial MT"/>
                            <w:spacing w:val="57"/>
                            <w:sz w:val="14"/>
                          </w:rPr>
                          <w:t> </w:t>
                        </w:r>
                        <w:r>
                          <w:rPr>
                            <w:rFonts w:ascii="Arial MT"/>
                            <w:w w:val="90"/>
                            <w:sz w:val="14"/>
                          </w:rPr>
                          <w:t>1955-56</w:t>
                        </w:r>
                        <w:r>
                          <w:rPr>
                            <w:rFonts w:ascii="Arial MT"/>
                            <w:spacing w:val="51"/>
                            <w:sz w:val="14"/>
                          </w:rPr>
                          <w:t> </w:t>
                        </w:r>
                        <w:r>
                          <w:rPr>
                            <w:rFonts w:ascii="Arial MT"/>
                            <w:w w:val="90"/>
                            <w:sz w:val="14"/>
                          </w:rPr>
                          <w:t>1960-61</w:t>
                        </w:r>
                        <w:r>
                          <w:rPr>
                            <w:rFonts w:ascii="Arial MT"/>
                            <w:spacing w:val="71"/>
                            <w:sz w:val="14"/>
                          </w:rPr>
                          <w:t> </w:t>
                        </w:r>
                        <w:r>
                          <w:rPr>
                            <w:rFonts w:ascii="Arial MT"/>
                            <w:w w:val="90"/>
                            <w:sz w:val="14"/>
                          </w:rPr>
                          <w:t>1965-66</w:t>
                        </w:r>
                        <w:r>
                          <w:rPr>
                            <w:rFonts w:ascii="Arial MT"/>
                            <w:spacing w:val="51"/>
                            <w:sz w:val="14"/>
                          </w:rPr>
                          <w:t> </w:t>
                        </w:r>
                        <w:r>
                          <w:rPr>
                            <w:rFonts w:ascii="Arial MT"/>
                            <w:w w:val="90"/>
                            <w:sz w:val="14"/>
                          </w:rPr>
                          <w:t>1970-71</w:t>
                        </w:r>
                        <w:r>
                          <w:rPr>
                            <w:rFonts w:ascii="Arial MT"/>
                            <w:spacing w:val="71"/>
                            <w:sz w:val="14"/>
                          </w:rPr>
                          <w:t> </w:t>
                        </w:r>
                        <w:r>
                          <w:rPr>
                            <w:rFonts w:ascii="Arial MT"/>
                            <w:w w:val="90"/>
                            <w:sz w:val="14"/>
                          </w:rPr>
                          <w:t>1975-76</w:t>
                        </w:r>
                        <w:r>
                          <w:rPr>
                            <w:rFonts w:ascii="Arial MT"/>
                            <w:spacing w:val="58"/>
                            <w:sz w:val="14"/>
                          </w:rPr>
                          <w:t> </w:t>
                        </w:r>
                        <w:r>
                          <w:rPr>
                            <w:rFonts w:ascii="Arial MT"/>
                            <w:w w:val="90"/>
                            <w:sz w:val="14"/>
                          </w:rPr>
                          <w:t>1980-81</w:t>
                        </w:r>
                        <w:r>
                          <w:rPr>
                            <w:rFonts w:ascii="Arial MT"/>
                            <w:spacing w:val="58"/>
                            <w:sz w:val="14"/>
                          </w:rPr>
                          <w:t> </w:t>
                        </w:r>
                        <w:r>
                          <w:rPr>
                            <w:rFonts w:ascii="Arial MT"/>
                            <w:w w:val="90"/>
                            <w:sz w:val="14"/>
                          </w:rPr>
                          <w:t>1985-86</w:t>
                        </w:r>
                        <w:r>
                          <w:rPr>
                            <w:rFonts w:ascii="Arial MT"/>
                            <w:spacing w:val="31"/>
                            <w:sz w:val="14"/>
                          </w:rPr>
                          <w:t> </w:t>
                        </w:r>
                        <w:r>
                          <w:rPr>
                            <w:rFonts w:ascii="Arial MT"/>
                            <w:w w:val="90"/>
                            <w:sz w:val="14"/>
                          </w:rPr>
                          <w:t>1990-</w:t>
                        </w:r>
                        <w:r>
                          <w:rPr>
                            <w:rFonts w:ascii="Arial MT"/>
                            <w:spacing w:val="-5"/>
                            <w:w w:val="90"/>
                            <w:sz w:val="14"/>
                          </w:rPr>
                          <w:t>91</w:t>
                        </w:r>
                        <w:r>
                          <w:rPr>
                            <w:rFonts w:ascii="Arial MT"/>
                            <w:sz w:val="14"/>
                          </w:rPr>
                          <w:tab/>
                        </w:r>
                        <w:r>
                          <w:rPr>
                            <w:rFonts w:ascii="Arial MT"/>
                            <w:w w:val="85"/>
                            <w:sz w:val="14"/>
                          </w:rPr>
                          <w:t>1995-96</w:t>
                        </w:r>
                        <w:r>
                          <w:rPr>
                            <w:rFonts w:ascii="Arial MT"/>
                            <w:spacing w:val="56"/>
                            <w:sz w:val="14"/>
                          </w:rPr>
                          <w:t> </w:t>
                        </w:r>
                        <w:r>
                          <w:rPr>
                            <w:rFonts w:ascii="Arial MT"/>
                            <w:w w:val="85"/>
                            <w:sz w:val="14"/>
                          </w:rPr>
                          <w:t>2000-01</w:t>
                        </w:r>
                        <w:r>
                          <w:rPr>
                            <w:rFonts w:ascii="Arial MT"/>
                            <w:spacing w:val="33"/>
                            <w:sz w:val="14"/>
                          </w:rPr>
                          <w:t>  </w:t>
                        </w:r>
                        <w:r>
                          <w:rPr>
                            <w:rFonts w:ascii="Arial MT"/>
                            <w:w w:val="85"/>
                            <w:sz w:val="14"/>
                          </w:rPr>
                          <w:t>2005-</w:t>
                        </w:r>
                        <w:r>
                          <w:rPr>
                            <w:rFonts w:ascii="Arial MT"/>
                            <w:spacing w:val="-5"/>
                            <w:w w:val="85"/>
                            <w:sz w:val="14"/>
                          </w:rPr>
                          <w:t>06</w:t>
                        </w:r>
                      </w:p>
                    </w:txbxContent>
                  </v:textbox>
                  <w10:wrap type="none"/>
                </v:shape>
                <w10:wrap type="topAndBottom"/>
              </v:group>
            </w:pict>
          </mc:Fallback>
        </mc:AlternateContent>
      </w:r>
    </w:p>
    <w:p>
      <w:pPr>
        <w:spacing w:before="39"/>
        <w:ind w:left="1697" w:right="0" w:firstLine="0"/>
        <w:jc w:val="left"/>
        <w:rPr>
          <w:sz w:val="16"/>
        </w:rPr>
      </w:pPr>
      <w:r>
        <w:rPr>
          <w:i/>
          <w:w w:val="85"/>
          <w:sz w:val="16"/>
        </w:rPr>
        <w:t>Source:</w:t>
      </w:r>
      <w:r>
        <w:rPr>
          <w:i/>
          <w:spacing w:val="-5"/>
          <w:sz w:val="16"/>
        </w:rPr>
        <w:t> </w:t>
      </w:r>
      <w:r>
        <w:rPr>
          <w:spacing w:val="-5"/>
          <w:sz w:val="16"/>
        </w:rPr>
        <w:t>UGC</w:t>
      </w:r>
    </w:p>
    <w:p>
      <w:pPr>
        <w:spacing w:after="0"/>
        <w:jc w:val="left"/>
        <w:rPr>
          <w:sz w:val="16"/>
        </w:rPr>
        <w:sectPr>
          <w:type w:val="continuous"/>
          <w:pgSz w:w="11910" w:h="16840"/>
          <w:pgMar w:header="0" w:footer="675" w:top="1920" w:bottom="280" w:left="0" w:right="0"/>
        </w:sectPr>
      </w:pPr>
    </w:p>
    <w:p>
      <w:pPr>
        <w:pStyle w:val="Heading8"/>
        <w:spacing w:line="242" w:lineRule="auto" w:before="73"/>
        <w:ind w:left="2776" w:right="3595" w:hanging="1029"/>
      </w:pPr>
      <w:r>
        <w:rPr/>
        <mc:AlternateContent>
          <mc:Choice Requires="wps">
            <w:drawing>
              <wp:anchor distT="0" distB="0" distL="0" distR="0" allowOverlap="1" layoutInCell="1" locked="0" behindDoc="0" simplePos="0" relativeHeight="15816704">
                <wp:simplePos x="0" y="0"/>
                <wp:positionH relativeFrom="page">
                  <wp:posOffset>1109714</wp:posOffset>
                </wp:positionH>
                <wp:positionV relativeFrom="paragraph">
                  <wp:posOffset>500380</wp:posOffset>
                </wp:positionV>
                <wp:extent cx="5384800" cy="3268979"/>
                <wp:effectExtent l="0" t="0" r="0" b="0"/>
                <wp:wrapNone/>
                <wp:docPr id="1370" name="Group 1370"/>
                <wp:cNvGraphicFramePr>
                  <a:graphicFrameLocks/>
                </wp:cNvGraphicFramePr>
                <a:graphic>
                  <a:graphicData uri="http://schemas.microsoft.com/office/word/2010/wordprocessingGroup">
                    <wpg:wgp>
                      <wpg:cNvPr id="1370" name="Group 1370"/>
                      <wpg:cNvGrpSpPr/>
                      <wpg:grpSpPr>
                        <a:xfrm>
                          <a:off x="0" y="0"/>
                          <a:ext cx="5384800" cy="3268979"/>
                          <a:chExt cx="5384800" cy="3268979"/>
                        </a:xfrm>
                      </wpg:grpSpPr>
                      <wps:wsp>
                        <wps:cNvPr id="1371" name="Graphic 1371"/>
                        <wps:cNvSpPr/>
                        <wps:spPr>
                          <a:xfrm>
                            <a:off x="0" y="0"/>
                            <a:ext cx="5384800" cy="3268979"/>
                          </a:xfrm>
                          <a:custGeom>
                            <a:avLst/>
                            <a:gdLst/>
                            <a:ahLst/>
                            <a:cxnLst/>
                            <a:rect l="l" t="t" r="r" b="b"/>
                            <a:pathLst>
                              <a:path w="5384800" h="3268979">
                                <a:moveTo>
                                  <a:pt x="5384800" y="0"/>
                                </a:moveTo>
                                <a:lnTo>
                                  <a:pt x="5378450" y="0"/>
                                </a:lnTo>
                                <a:lnTo>
                                  <a:pt x="5378450" y="2540"/>
                                </a:lnTo>
                                <a:lnTo>
                                  <a:pt x="5378450" y="2819"/>
                                </a:lnTo>
                                <a:lnTo>
                                  <a:pt x="5378450" y="3266440"/>
                                </a:lnTo>
                                <a:lnTo>
                                  <a:pt x="3175" y="3266440"/>
                                </a:lnTo>
                                <a:lnTo>
                                  <a:pt x="3175" y="3265868"/>
                                </a:lnTo>
                                <a:lnTo>
                                  <a:pt x="6350" y="3265868"/>
                                </a:lnTo>
                                <a:lnTo>
                                  <a:pt x="5378450" y="3265868"/>
                                </a:lnTo>
                                <a:lnTo>
                                  <a:pt x="5378450" y="3262693"/>
                                </a:lnTo>
                                <a:lnTo>
                                  <a:pt x="6350" y="3262693"/>
                                </a:lnTo>
                                <a:lnTo>
                                  <a:pt x="3175" y="3262693"/>
                                </a:lnTo>
                                <a:lnTo>
                                  <a:pt x="6350" y="3262630"/>
                                </a:lnTo>
                                <a:lnTo>
                                  <a:pt x="6350" y="6350"/>
                                </a:lnTo>
                                <a:lnTo>
                                  <a:pt x="3175" y="6350"/>
                                </a:lnTo>
                                <a:lnTo>
                                  <a:pt x="3175" y="5994"/>
                                </a:lnTo>
                                <a:lnTo>
                                  <a:pt x="6350" y="5994"/>
                                </a:lnTo>
                                <a:lnTo>
                                  <a:pt x="5378450" y="5994"/>
                                </a:lnTo>
                                <a:lnTo>
                                  <a:pt x="5378450" y="2819"/>
                                </a:lnTo>
                                <a:lnTo>
                                  <a:pt x="6350" y="2819"/>
                                </a:lnTo>
                                <a:lnTo>
                                  <a:pt x="3175" y="2819"/>
                                </a:lnTo>
                                <a:lnTo>
                                  <a:pt x="3175" y="2540"/>
                                </a:lnTo>
                                <a:lnTo>
                                  <a:pt x="5378450" y="2540"/>
                                </a:lnTo>
                                <a:lnTo>
                                  <a:pt x="5378450" y="0"/>
                                </a:lnTo>
                                <a:lnTo>
                                  <a:pt x="0" y="0"/>
                                </a:lnTo>
                                <a:lnTo>
                                  <a:pt x="0" y="2540"/>
                                </a:lnTo>
                                <a:lnTo>
                                  <a:pt x="0" y="6350"/>
                                </a:lnTo>
                                <a:lnTo>
                                  <a:pt x="0" y="3262630"/>
                                </a:lnTo>
                                <a:lnTo>
                                  <a:pt x="0" y="3266440"/>
                                </a:lnTo>
                                <a:lnTo>
                                  <a:pt x="0" y="3268980"/>
                                </a:lnTo>
                                <a:lnTo>
                                  <a:pt x="5384800" y="3268980"/>
                                </a:lnTo>
                                <a:lnTo>
                                  <a:pt x="5384800" y="3266440"/>
                                </a:lnTo>
                                <a:lnTo>
                                  <a:pt x="5381625" y="3266440"/>
                                </a:lnTo>
                                <a:lnTo>
                                  <a:pt x="5381625" y="3265868"/>
                                </a:lnTo>
                                <a:lnTo>
                                  <a:pt x="5384800" y="3265868"/>
                                </a:lnTo>
                                <a:lnTo>
                                  <a:pt x="5384800" y="3262693"/>
                                </a:lnTo>
                                <a:lnTo>
                                  <a:pt x="5381625" y="3262693"/>
                                </a:lnTo>
                                <a:lnTo>
                                  <a:pt x="5384800" y="3262630"/>
                                </a:lnTo>
                                <a:lnTo>
                                  <a:pt x="5384800" y="6350"/>
                                </a:lnTo>
                                <a:lnTo>
                                  <a:pt x="5381625" y="6350"/>
                                </a:lnTo>
                                <a:lnTo>
                                  <a:pt x="5381625" y="5994"/>
                                </a:lnTo>
                                <a:lnTo>
                                  <a:pt x="5384800" y="5994"/>
                                </a:lnTo>
                                <a:lnTo>
                                  <a:pt x="5384800" y="2819"/>
                                </a:lnTo>
                                <a:lnTo>
                                  <a:pt x="5381625" y="2819"/>
                                </a:lnTo>
                                <a:lnTo>
                                  <a:pt x="5381625" y="2540"/>
                                </a:lnTo>
                                <a:lnTo>
                                  <a:pt x="5384800" y="2540"/>
                                </a:lnTo>
                                <a:lnTo>
                                  <a:pt x="5384800" y="0"/>
                                </a:lnTo>
                                <a:close/>
                              </a:path>
                            </a:pathLst>
                          </a:custGeom>
                          <a:solidFill>
                            <a:srgbClr val="000000"/>
                          </a:solidFill>
                        </wps:spPr>
                        <wps:bodyPr wrap="square" lIns="0" tIns="0" rIns="0" bIns="0" rtlCol="0">
                          <a:prstTxWarp prst="textNoShape">
                            <a:avLst/>
                          </a:prstTxWarp>
                          <a:noAutofit/>
                        </wps:bodyPr>
                      </wps:wsp>
                      <wps:wsp>
                        <wps:cNvPr id="1372" name="Graphic 1372"/>
                        <wps:cNvSpPr/>
                        <wps:spPr>
                          <a:xfrm>
                            <a:off x="725893" y="1050327"/>
                            <a:ext cx="3938270" cy="1918335"/>
                          </a:xfrm>
                          <a:custGeom>
                            <a:avLst/>
                            <a:gdLst/>
                            <a:ahLst/>
                            <a:cxnLst/>
                            <a:rect l="l" t="t" r="r" b="b"/>
                            <a:pathLst>
                              <a:path w="3938270" h="1918335">
                                <a:moveTo>
                                  <a:pt x="37363" y="492556"/>
                                </a:moveTo>
                                <a:lnTo>
                                  <a:pt x="0" y="492556"/>
                                </a:lnTo>
                                <a:lnTo>
                                  <a:pt x="0" y="1917979"/>
                                </a:lnTo>
                                <a:lnTo>
                                  <a:pt x="37363" y="1917979"/>
                                </a:lnTo>
                                <a:lnTo>
                                  <a:pt x="37363" y="492556"/>
                                </a:lnTo>
                                <a:close/>
                              </a:path>
                              <a:path w="3938270" h="1918335">
                                <a:moveTo>
                                  <a:pt x="104609" y="1067206"/>
                                </a:moveTo>
                                <a:lnTo>
                                  <a:pt x="74714" y="1067206"/>
                                </a:lnTo>
                                <a:lnTo>
                                  <a:pt x="74714" y="1917979"/>
                                </a:lnTo>
                                <a:lnTo>
                                  <a:pt x="104609" y="1917979"/>
                                </a:lnTo>
                                <a:lnTo>
                                  <a:pt x="104609" y="1067206"/>
                                </a:lnTo>
                                <a:close/>
                              </a:path>
                              <a:path w="3938270" h="1918335">
                                <a:moveTo>
                                  <a:pt x="179324" y="880630"/>
                                </a:moveTo>
                                <a:lnTo>
                                  <a:pt x="141973" y="880630"/>
                                </a:lnTo>
                                <a:lnTo>
                                  <a:pt x="141973" y="1917979"/>
                                </a:lnTo>
                                <a:lnTo>
                                  <a:pt x="179324" y="1917979"/>
                                </a:lnTo>
                                <a:lnTo>
                                  <a:pt x="179324" y="880630"/>
                                </a:lnTo>
                                <a:close/>
                              </a:path>
                              <a:path w="3938270" h="1918335">
                                <a:moveTo>
                                  <a:pt x="254063" y="970191"/>
                                </a:moveTo>
                                <a:lnTo>
                                  <a:pt x="216700" y="970191"/>
                                </a:lnTo>
                                <a:lnTo>
                                  <a:pt x="216700" y="1917979"/>
                                </a:lnTo>
                                <a:lnTo>
                                  <a:pt x="254063" y="1917979"/>
                                </a:lnTo>
                                <a:lnTo>
                                  <a:pt x="254063" y="970191"/>
                                </a:lnTo>
                                <a:close/>
                              </a:path>
                              <a:path w="3938270" h="1918335">
                                <a:moveTo>
                                  <a:pt x="321310" y="589584"/>
                                </a:moveTo>
                                <a:lnTo>
                                  <a:pt x="291414" y="589584"/>
                                </a:lnTo>
                                <a:lnTo>
                                  <a:pt x="291414" y="1917979"/>
                                </a:lnTo>
                                <a:lnTo>
                                  <a:pt x="321310" y="1917979"/>
                                </a:lnTo>
                                <a:lnTo>
                                  <a:pt x="321310" y="589584"/>
                                </a:lnTo>
                                <a:close/>
                              </a:path>
                              <a:path w="3938270" h="1918335">
                                <a:moveTo>
                                  <a:pt x="396024" y="828395"/>
                                </a:moveTo>
                                <a:lnTo>
                                  <a:pt x="358673" y="828395"/>
                                </a:lnTo>
                                <a:lnTo>
                                  <a:pt x="358673" y="1917979"/>
                                </a:lnTo>
                                <a:lnTo>
                                  <a:pt x="396024" y="1917979"/>
                                </a:lnTo>
                                <a:lnTo>
                                  <a:pt x="396024" y="828395"/>
                                </a:lnTo>
                                <a:close/>
                              </a:path>
                              <a:path w="3938270" h="1918335">
                                <a:moveTo>
                                  <a:pt x="470763" y="559714"/>
                                </a:moveTo>
                                <a:lnTo>
                                  <a:pt x="433400" y="559714"/>
                                </a:lnTo>
                                <a:lnTo>
                                  <a:pt x="433400" y="1917979"/>
                                </a:lnTo>
                                <a:lnTo>
                                  <a:pt x="470763" y="1917979"/>
                                </a:lnTo>
                                <a:lnTo>
                                  <a:pt x="470763" y="559714"/>
                                </a:lnTo>
                                <a:close/>
                              </a:path>
                              <a:path w="3938270" h="1918335">
                                <a:moveTo>
                                  <a:pt x="538010" y="403009"/>
                                </a:moveTo>
                                <a:lnTo>
                                  <a:pt x="508114" y="403009"/>
                                </a:lnTo>
                                <a:lnTo>
                                  <a:pt x="508114" y="1917979"/>
                                </a:lnTo>
                                <a:lnTo>
                                  <a:pt x="538010" y="1917979"/>
                                </a:lnTo>
                                <a:lnTo>
                                  <a:pt x="538010" y="403009"/>
                                </a:lnTo>
                                <a:close/>
                              </a:path>
                              <a:path w="3938270" h="1918335">
                                <a:moveTo>
                                  <a:pt x="612724" y="671664"/>
                                </a:moveTo>
                                <a:lnTo>
                                  <a:pt x="575373" y="671664"/>
                                </a:lnTo>
                                <a:lnTo>
                                  <a:pt x="575373" y="1917979"/>
                                </a:lnTo>
                                <a:lnTo>
                                  <a:pt x="612724" y="1917979"/>
                                </a:lnTo>
                                <a:lnTo>
                                  <a:pt x="612724" y="671664"/>
                                </a:lnTo>
                                <a:close/>
                              </a:path>
                              <a:path w="3938270" h="1918335">
                                <a:moveTo>
                                  <a:pt x="687463" y="365683"/>
                                </a:moveTo>
                                <a:lnTo>
                                  <a:pt x="650100" y="365683"/>
                                </a:lnTo>
                                <a:lnTo>
                                  <a:pt x="650100" y="1917979"/>
                                </a:lnTo>
                                <a:lnTo>
                                  <a:pt x="687463" y="1917979"/>
                                </a:lnTo>
                                <a:lnTo>
                                  <a:pt x="687463" y="365683"/>
                                </a:lnTo>
                                <a:close/>
                              </a:path>
                              <a:path w="3938270" h="1918335">
                                <a:moveTo>
                                  <a:pt x="754710" y="0"/>
                                </a:moveTo>
                                <a:lnTo>
                                  <a:pt x="724814" y="0"/>
                                </a:lnTo>
                                <a:lnTo>
                                  <a:pt x="724814" y="1917979"/>
                                </a:lnTo>
                                <a:lnTo>
                                  <a:pt x="754710" y="1917979"/>
                                </a:lnTo>
                                <a:lnTo>
                                  <a:pt x="754710" y="0"/>
                                </a:lnTo>
                                <a:close/>
                              </a:path>
                              <a:path w="3938270" h="1918335">
                                <a:moveTo>
                                  <a:pt x="829437" y="589584"/>
                                </a:moveTo>
                                <a:lnTo>
                                  <a:pt x="792073" y="589584"/>
                                </a:lnTo>
                                <a:lnTo>
                                  <a:pt x="792073" y="1917979"/>
                                </a:lnTo>
                                <a:lnTo>
                                  <a:pt x="829437" y="1917979"/>
                                </a:lnTo>
                                <a:lnTo>
                                  <a:pt x="829437" y="589584"/>
                                </a:lnTo>
                                <a:close/>
                              </a:path>
                              <a:path w="3938270" h="1918335">
                                <a:moveTo>
                                  <a:pt x="904163" y="723900"/>
                                </a:moveTo>
                                <a:lnTo>
                                  <a:pt x="866800" y="723900"/>
                                </a:lnTo>
                                <a:lnTo>
                                  <a:pt x="866800" y="1917979"/>
                                </a:lnTo>
                                <a:lnTo>
                                  <a:pt x="904163" y="1917979"/>
                                </a:lnTo>
                                <a:lnTo>
                                  <a:pt x="904163" y="723900"/>
                                </a:lnTo>
                                <a:close/>
                              </a:path>
                              <a:path w="3938270" h="1918335">
                                <a:moveTo>
                                  <a:pt x="978877" y="641807"/>
                                </a:moveTo>
                                <a:lnTo>
                                  <a:pt x="941514" y="641807"/>
                                </a:lnTo>
                                <a:lnTo>
                                  <a:pt x="941514" y="1917979"/>
                                </a:lnTo>
                                <a:lnTo>
                                  <a:pt x="978877" y="1917979"/>
                                </a:lnTo>
                                <a:lnTo>
                                  <a:pt x="978877" y="641807"/>
                                </a:lnTo>
                                <a:close/>
                              </a:path>
                              <a:path w="3938270" h="1918335">
                                <a:moveTo>
                                  <a:pt x="1046137" y="694067"/>
                                </a:moveTo>
                                <a:lnTo>
                                  <a:pt x="1016241" y="694067"/>
                                </a:lnTo>
                                <a:lnTo>
                                  <a:pt x="1016241" y="1917979"/>
                                </a:lnTo>
                                <a:lnTo>
                                  <a:pt x="1046137" y="1917979"/>
                                </a:lnTo>
                                <a:lnTo>
                                  <a:pt x="1046137" y="694067"/>
                                </a:lnTo>
                                <a:close/>
                              </a:path>
                              <a:path w="3938270" h="1918335">
                                <a:moveTo>
                                  <a:pt x="1120863" y="761225"/>
                                </a:moveTo>
                                <a:lnTo>
                                  <a:pt x="1083500" y="761225"/>
                                </a:lnTo>
                                <a:lnTo>
                                  <a:pt x="1083500" y="1917979"/>
                                </a:lnTo>
                                <a:lnTo>
                                  <a:pt x="1120863" y="1917979"/>
                                </a:lnTo>
                                <a:lnTo>
                                  <a:pt x="1120863" y="761225"/>
                                </a:lnTo>
                                <a:close/>
                              </a:path>
                              <a:path w="3938270" h="1918335">
                                <a:moveTo>
                                  <a:pt x="1195578" y="410476"/>
                                </a:moveTo>
                                <a:lnTo>
                                  <a:pt x="1158214" y="410476"/>
                                </a:lnTo>
                                <a:lnTo>
                                  <a:pt x="1158214" y="1917979"/>
                                </a:lnTo>
                                <a:lnTo>
                                  <a:pt x="1195578" y="1917979"/>
                                </a:lnTo>
                                <a:lnTo>
                                  <a:pt x="1195578" y="410476"/>
                                </a:lnTo>
                                <a:close/>
                              </a:path>
                              <a:path w="3938270" h="1918335">
                                <a:moveTo>
                                  <a:pt x="1262837" y="492556"/>
                                </a:moveTo>
                                <a:lnTo>
                                  <a:pt x="1232941" y="492556"/>
                                </a:lnTo>
                                <a:lnTo>
                                  <a:pt x="1232941" y="1917979"/>
                                </a:lnTo>
                                <a:lnTo>
                                  <a:pt x="1262837" y="1917979"/>
                                </a:lnTo>
                                <a:lnTo>
                                  <a:pt x="1262837" y="492556"/>
                                </a:lnTo>
                                <a:close/>
                              </a:path>
                              <a:path w="3938270" h="1918335">
                                <a:moveTo>
                                  <a:pt x="1337551" y="470179"/>
                                </a:moveTo>
                                <a:lnTo>
                                  <a:pt x="1300200" y="470179"/>
                                </a:lnTo>
                                <a:lnTo>
                                  <a:pt x="1300200" y="1917979"/>
                                </a:lnTo>
                                <a:lnTo>
                                  <a:pt x="1337551" y="1917979"/>
                                </a:lnTo>
                                <a:lnTo>
                                  <a:pt x="1337551" y="470179"/>
                                </a:lnTo>
                                <a:close/>
                              </a:path>
                              <a:path w="3938270" h="1918335">
                                <a:moveTo>
                                  <a:pt x="1412278" y="1022426"/>
                                </a:moveTo>
                                <a:lnTo>
                                  <a:pt x="1374914" y="1022426"/>
                                </a:lnTo>
                                <a:lnTo>
                                  <a:pt x="1374914" y="1917979"/>
                                </a:lnTo>
                                <a:lnTo>
                                  <a:pt x="1412278" y="1917979"/>
                                </a:lnTo>
                                <a:lnTo>
                                  <a:pt x="1412278" y="1022426"/>
                                </a:lnTo>
                                <a:close/>
                              </a:path>
                              <a:path w="3938270" h="1918335">
                                <a:moveTo>
                                  <a:pt x="1479537" y="1350810"/>
                                </a:moveTo>
                                <a:lnTo>
                                  <a:pt x="1449641" y="1350810"/>
                                </a:lnTo>
                                <a:lnTo>
                                  <a:pt x="1449641" y="1917979"/>
                                </a:lnTo>
                                <a:lnTo>
                                  <a:pt x="1479537" y="1917979"/>
                                </a:lnTo>
                                <a:lnTo>
                                  <a:pt x="1479537" y="1350810"/>
                                </a:lnTo>
                                <a:close/>
                              </a:path>
                              <a:path w="3938270" h="1918335">
                                <a:moveTo>
                                  <a:pt x="1554251" y="1417967"/>
                                </a:moveTo>
                                <a:lnTo>
                                  <a:pt x="1516900" y="1417967"/>
                                </a:lnTo>
                                <a:lnTo>
                                  <a:pt x="1516900" y="1917979"/>
                                </a:lnTo>
                                <a:lnTo>
                                  <a:pt x="1554251" y="1917979"/>
                                </a:lnTo>
                                <a:lnTo>
                                  <a:pt x="1554251" y="1417967"/>
                                </a:lnTo>
                                <a:close/>
                              </a:path>
                              <a:path w="3938270" h="1918335">
                                <a:moveTo>
                                  <a:pt x="1628978" y="1612011"/>
                                </a:moveTo>
                                <a:lnTo>
                                  <a:pt x="1591614" y="1612011"/>
                                </a:lnTo>
                                <a:lnTo>
                                  <a:pt x="1591614" y="1917979"/>
                                </a:lnTo>
                                <a:lnTo>
                                  <a:pt x="1628978" y="1917979"/>
                                </a:lnTo>
                                <a:lnTo>
                                  <a:pt x="1628978" y="1612011"/>
                                </a:lnTo>
                                <a:close/>
                              </a:path>
                              <a:path w="3938270" h="1918335">
                                <a:moveTo>
                                  <a:pt x="1696237" y="1328407"/>
                                </a:moveTo>
                                <a:lnTo>
                                  <a:pt x="1666354" y="1328407"/>
                                </a:lnTo>
                                <a:lnTo>
                                  <a:pt x="1666354" y="1917979"/>
                                </a:lnTo>
                                <a:lnTo>
                                  <a:pt x="1696237" y="1917979"/>
                                </a:lnTo>
                                <a:lnTo>
                                  <a:pt x="1696237" y="1328407"/>
                                </a:lnTo>
                                <a:close/>
                              </a:path>
                              <a:path w="3938270" h="1918335">
                                <a:moveTo>
                                  <a:pt x="1770951" y="1671701"/>
                                </a:moveTo>
                                <a:lnTo>
                                  <a:pt x="1733600" y="1671701"/>
                                </a:lnTo>
                                <a:lnTo>
                                  <a:pt x="1733600" y="1917979"/>
                                </a:lnTo>
                                <a:lnTo>
                                  <a:pt x="1770951" y="1917979"/>
                                </a:lnTo>
                                <a:lnTo>
                                  <a:pt x="1770951" y="1671701"/>
                                </a:lnTo>
                                <a:close/>
                              </a:path>
                              <a:path w="3938270" h="1918335">
                                <a:moveTo>
                                  <a:pt x="1845678" y="1895589"/>
                                </a:moveTo>
                                <a:lnTo>
                                  <a:pt x="1808327" y="1895589"/>
                                </a:lnTo>
                                <a:lnTo>
                                  <a:pt x="1808327" y="1917979"/>
                                </a:lnTo>
                                <a:lnTo>
                                  <a:pt x="1845678" y="1917979"/>
                                </a:lnTo>
                                <a:lnTo>
                                  <a:pt x="1845678" y="1895589"/>
                                </a:lnTo>
                                <a:close/>
                              </a:path>
                              <a:path w="3938270" h="1918335">
                                <a:moveTo>
                                  <a:pt x="1912937" y="1373187"/>
                                </a:moveTo>
                                <a:lnTo>
                                  <a:pt x="1883041" y="1373187"/>
                                </a:lnTo>
                                <a:lnTo>
                                  <a:pt x="1883041" y="1917979"/>
                                </a:lnTo>
                                <a:lnTo>
                                  <a:pt x="1912937" y="1917979"/>
                                </a:lnTo>
                                <a:lnTo>
                                  <a:pt x="1912937" y="1373187"/>
                                </a:lnTo>
                                <a:close/>
                              </a:path>
                              <a:path w="3938270" h="1918335">
                                <a:moveTo>
                                  <a:pt x="1987651" y="1709026"/>
                                </a:moveTo>
                                <a:lnTo>
                                  <a:pt x="1950300" y="1709026"/>
                                </a:lnTo>
                                <a:lnTo>
                                  <a:pt x="1950300" y="1917979"/>
                                </a:lnTo>
                                <a:lnTo>
                                  <a:pt x="1987651" y="1917979"/>
                                </a:lnTo>
                                <a:lnTo>
                                  <a:pt x="1987651" y="1709026"/>
                                </a:lnTo>
                                <a:close/>
                              </a:path>
                              <a:path w="3938270" h="1918335">
                                <a:moveTo>
                                  <a:pt x="2062391" y="1798574"/>
                                </a:moveTo>
                                <a:lnTo>
                                  <a:pt x="2025015" y="1798574"/>
                                </a:lnTo>
                                <a:lnTo>
                                  <a:pt x="2025015" y="1917979"/>
                                </a:lnTo>
                                <a:lnTo>
                                  <a:pt x="2062391" y="1917979"/>
                                </a:lnTo>
                                <a:lnTo>
                                  <a:pt x="2062391" y="1798574"/>
                                </a:lnTo>
                                <a:close/>
                              </a:path>
                              <a:path w="3938270" h="1918335">
                                <a:moveTo>
                                  <a:pt x="2129637" y="1529905"/>
                                </a:moveTo>
                                <a:lnTo>
                                  <a:pt x="2099741" y="1529905"/>
                                </a:lnTo>
                                <a:lnTo>
                                  <a:pt x="2099741" y="1917979"/>
                                </a:lnTo>
                                <a:lnTo>
                                  <a:pt x="2129637" y="1917979"/>
                                </a:lnTo>
                                <a:lnTo>
                                  <a:pt x="2129637" y="1529905"/>
                                </a:lnTo>
                                <a:close/>
                              </a:path>
                              <a:path w="3938270" h="1918335">
                                <a:moveTo>
                                  <a:pt x="2204351" y="1186611"/>
                                </a:moveTo>
                                <a:lnTo>
                                  <a:pt x="2167001" y="1186611"/>
                                </a:lnTo>
                                <a:lnTo>
                                  <a:pt x="2167001" y="1917979"/>
                                </a:lnTo>
                                <a:lnTo>
                                  <a:pt x="2204351" y="1917979"/>
                                </a:lnTo>
                                <a:lnTo>
                                  <a:pt x="2204351" y="1186611"/>
                                </a:lnTo>
                                <a:close/>
                              </a:path>
                              <a:path w="3938270" h="1918335">
                                <a:moveTo>
                                  <a:pt x="2279091" y="1313484"/>
                                </a:moveTo>
                                <a:lnTo>
                                  <a:pt x="2241727" y="1313484"/>
                                </a:lnTo>
                                <a:lnTo>
                                  <a:pt x="2241727" y="1917979"/>
                                </a:lnTo>
                                <a:lnTo>
                                  <a:pt x="2279091" y="1917979"/>
                                </a:lnTo>
                                <a:lnTo>
                                  <a:pt x="2279091" y="1313484"/>
                                </a:lnTo>
                                <a:close/>
                              </a:path>
                              <a:path w="3938270" h="1918335">
                                <a:moveTo>
                                  <a:pt x="2346325" y="1358252"/>
                                </a:moveTo>
                                <a:lnTo>
                                  <a:pt x="2316454" y="1358252"/>
                                </a:lnTo>
                                <a:lnTo>
                                  <a:pt x="2316454" y="1917979"/>
                                </a:lnTo>
                                <a:lnTo>
                                  <a:pt x="2346325" y="1917979"/>
                                </a:lnTo>
                                <a:lnTo>
                                  <a:pt x="2346325" y="1358252"/>
                                </a:lnTo>
                                <a:close/>
                              </a:path>
                              <a:path w="3938270" h="1918335">
                                <a:moveTo>
                                  <a:pt x="2421051" y="1626933"/>
                                </a:moveTo>
                                <a:lnTo>
                                  <a:pt x="2383713" y="1626933"/>
                                </a:lnTo>
                                <a:lnTo>
                                  <a:pt x="2383713" y="1917979"/>
                                </a:lnTo>
                                <a:lnTo>
                                  <a:pt x="2421051" y="1917979"/>
                                </a:lnTo>
                                <a:lnTo>
                                  <a:pt x="2421051" y="1626933"/>
                                </a:lnTo>
                                <a:close/>
                              </a:path>
                              <a:path w="3938270" h="1918335">
                                <a:moveTo>
                                  <a:pt x="2495804" y="1328407"/>
                                </a:moveTo>
                                <a:lnTo>
                                  <a:pt x="2458415" y="1328407"/>
                                </a:lnTo>
                                <a:lnTo>
                                  <a:pt x="2458415" y="1917979"/>
                                </a:lnTo>
                                <a:lnTo>
                                  <a:pt x="2495804" y="1917979"/>
                                </a:lnTo>
                                <a:lnTo>
                                  <a:pt x="2495804" y="1328407"/>
                                </a:lnTo>
                                <a:close/>
                              </a:path>
                              <a:path w="3938270" h="1918335">
                                <a:moveTo>
                                  <a:pt x="2563037" y="1500060"/>
                                </a:moveTo>
                                <a:lnTo>
                                  <a:pt x="2533142" y="1500060"/>
                                </a:lnTo>
                                <a:lnTo>
                                  <a:pt x="2533142" y="1917979"/>
                                </a:lnTo>
                                <a:lnTo>
                                  <a:pt x="2563037" y="1917979"/>
                                </a:lnTo>
                                <a:lnTo>
                                  <a:pt x="2563037" y="1500060"/>
                                </a:lnTo>
                                <a:close/>
                              </a:path>
                              <a:path w="3938270" h="1918335">
                                <a:moveTo>
                                  <a:pt x="2637752" y="1216456"/>
                                </a:moveTo>
                                <a:lnTo>
                                  <a:pt x="2600401" y="1216456"/>
                                </a:lnTo>
                                <a:lnTo>
                                  <a:pt x="2600401" y="1917979"/>
                                </a:lnTo>
                                <a:lnTo>
                                  <a:pt x="2637752" y="1917979"/>
                                </a:lnTo>
                                <a:lnTo>
                                  <a:pt x="2637752" y="1216456"/>
                                </a:lnTo>
                                <a:close/>
                              </a:path>
                              <a:path w="3938270" h="1918335">
                                <a:moveTo>
                                  <a:pt x="2712491" y="1261249"/>
                                </a:moveTo>
                                <a:lnTo>
                                  <a:pt x="2675128" y="1261249"/>
                                </a:lnTo>
                                <a:lnTo>
                                  <a:pt x="2675128" y="1917979"/>
                                </a:lnTo>
                                <a:lnTo>
                                  <a:pt x="2712491" y="1917979"/>
                                </a:lnTo>
                                <a:lnTo>
                                  <a:pt x="2712491" y="1261249"/>
                                </a:lnTo>
                                <a:close/>
                              </a:path>
                              <a:path w="3938270" h="1918335">
                                <a:moveTo>
                                  <a:pt x="2779725" y="1179156"/>
                                </a:moveTo>
                                <a:lnTo>
                                  <a:pt x="2749854" y="1179156"/>
                                </a:lnTo>
                                <a:lnTo>
                                  <a:pt x="2749854" y="1917979"/>
                                </a:lnTo>
                                <a:lnTo>
                                  <a:pt x="2779725" y="1917979"/>
                                </a:lnTo>
                                <a:lnTo>
                                  <a:pt x="2779725" y="1179156"/>
                                </a:lnTo>
                                <a:close/>
                              </a:path>
                              <a:path w="3938270" h="1918335">
                                <a:moveTo>
                                  <a:pt x="2854452" y="1216456"/>
                                </a:moveTo>
                                <a:lnTo>
                                  <a:pt x="2817101" y="1216456"/>
                                </a:lnTo>
                                <a:lnTo>
                                  <a:pt x="2817101" y="1917979"/>
                                </a:lnTo>
                                <a:lnTo>
                                  <a:pt x="2854452" y="1917979"/>
                                </a:lnTo>
                                <a:lnTo>
                                  <a:pt x="2854452" y="1216456"/>
                                </a:lnTo>
                                <a:close/>
                              </a:path>
                              <a:path w="3938270" h="1918335">
                                <a:moveTo>
                                  <a:pt x="2929204" y="1231379"/>
                                </a:moveTo>
                                <a:lnTo>
                                  <a:pt x="2891815" y="1231379"/>
                                </a:lnTo>
                                <a:lnTo>
                                  <a:pt x="2891815" y="1917979"/>
                                </a:lnTo>
                                <a:lnTo>
                                  <a:pt x="2929204" y="1917979"/>
                                </a:lnTo>
                                <a:lnTo>
                                  <a:pt x="2929204" y="1231379"/>
                                </a:lnTo>
                                <a:close/>
                              </a:path>
                              <a:path w="3938270" h="1918335">
                                <a:moveTo>
                                  <a:pt x="3003905" y="1410500"/>
                                </a:moveTo>
                                <a:lnTo>
                                  <a:pt x="2966542" y="1410500"/>
                                </a:lnTo>
                                <a:lnTo>
                                  <a:pt x="2966542" y="1917979"/>
                                </a:lnTo>
                                <a:lnTo>
                                  <a:pt x="3003905" y="1917979"/>
                                </a:lnTo>
                                <a:lnTo>
                                  <a:pt x="3003905" y="1410500"/>
                                </a:lnTo>
                                <a:close/>
                              </a:path>
                              <a:path w="3938270" h="1918335">
                                <a:moveTo>
                                  <a:pt x="3071152" y="1410500"/>
                                </a:moveTo>
                                <a:lnTo>
                                  <a:pt x="3041269" y="1410500"/>
                                </a:lnTo>
                                <a:lnTo>
                                  <a:pt x="3041269" y="1917979"/>
                                </a:lnTo>
                                <a:lnTo>
                                  <a:pt x="3071152" y="1917979"/>
                                </a:lnTo>
                                <a:lnTo>
                                  <a:pt x="3071152" y="1410500"/>
                                </a:lnTo>
                                <a:close/>
                              </a:path>
                              <a:path w="3938270" h="1918335">
                                <a:moveTo>
                                  <a:pt x="3145891" y="1410500"/>
                                </a:moveTo>
                                <a:lnTo>
                                  <a:pt x="3108528" y="1410500"/>
                                </a:lnTo>
                                <a:lnTo>
                                  <a:pt x="3108528" y="1917979"/>
                                </a:lnTo>
                                <a:lnTo>
                                  <a:pt x="3145891" y="1917979"/>
                                </a:lnTo>
                                <a:lnTo>
                                  <a:pt x="3145891" y="1410500"/>
                                </a:lnTo>
                                <a:close/>
                              </a:path>
                              <a:path w="3938270" h="1918335">
                                <a:moveTo>
                                  <a:pt x="3220618" y="1171689"/>
                                </a:moveTo>
                                <a:lnTo>
                                  <a:pt x="3183255" y="1171689"/>
                                </a:lnTo>
                                <a:lnTo>
                                  <a:pt x="3183255" y="1917979"/>
                                </a:lnTo>
                                <a:lnTo>
                                  <a:pt x="3220618" y="1917979"/>
                                </a:lnTo>
                                <a:lnTo>
                                  <a:pt x="3220618" y="1171689"/>
                                </a:lnTo>
                                <a:close/>
                              </a:path>
                              <a:path w="3938270" h="1918335">
                                <a:moveTo>
                                  <a:pt x="3287852" y="1507515"/>
                                </a:moveTo>
                                <a:lnTo>
                                  <a:pt x="3257956" y="1507515"/>
                                </a:lnTo>
                                <a:lnTo>
                                  <a:pt x="3257956" y="1917979"/>
                                </a:lnTo>
                                <a:lnTo>
                                  <a:pt x="3287852" y="1917979"/>
                                </a:lnTo>
                                <a:lnTo>
                                  <a:pt x="3287852" y="1507515"/>
                                </a:lnTo>
                                <a:close/>
                              </a:path>
                              <a:path w="3938270" h="1918335">
                                <a:moveTo>
                                  <a:pt x="3362604" y="1313484"/>
                                </a:moveTo>
                                <a:lnTo>
                                  <a:pt x="3325215" y="1313484"/>
                                </a:lnTo>
                                <a:lnTo>
                                  <a:pt x="3325215" y="1917979"/>
                                </a:lnTo>
                                <a:lnTo>
                                  <a:pt x="3362604" y="1917979"/>
                                </a:lnTo>
                                <a:lnTo>
                                  <a:pt x="3362604" y="1313484"/>
                                </a:lnTo>
                                <a:close/>
                              </a:path>
                              <a:path w="3938270" h="1918335">
                                <a:moveTo>
                                  <a:pt x="3437305" y="1313484"/>
                                </a:moveTo>
                                <a:lnTo>
                                  <a:pt x="3399942" y="1313484"/>
                                </a:lnTo>
                                <a:lnTo>
                                  <a:pt x="3399942" y="1917979"/>
                                </a:lnTo>
                                <a:lnTo>
                                  <a:pt x="3437305" y="1917979"/>
                                </a:lnTo>
                                <a:lnTo>
                                  <a:pt x="3437305" y="1313484"/>
                                </a:lnTo>
                                <a:close/>
                              </a:path>
                              <a:path w="3938270" h="1918335">
                                <a:moveTo>
                                  <a:pt x="3504552" y="1470202"/>
                                </a:moveTo>
                                <a:lnTo>
                                  <a:pt x="3474669" y="1470202"/>
                                </a:lnTo>
                                <a:lnTo>
                                  <a:pt x="3474669" y="1917979"/>
                                </a:lnTo>
                                <a:lnTo>
                                  <a:pt x="3504552" y="1917979"/>
                                </a:lnTo>
                                <a:lnTo>
                                  <a:pt x="3504552" y="1470202"/>
                                </a:lnTo>
                                <a:close/>
                              </a:path>
                              <a:path w="3938270" h="1918335">
                                <a:moveTo>
                                  <a:pt x="3579291" y="1492592"/>
                                </a:moveTo>
                                <a:lnTo>
                                  <a:pt x="3541928" y="1492592"/>
                                </a:lnTo>
                                <a:lnTo>
                                  <a:pt x="3541928" y="1917979"/>
                                </a:lnTo>
                                <a:lnTo>
                                  <a:pt x="3579291" y="1917979"/>
                                </a:lnTo>
                                <a:lnTo>
                                  <a:pt x="3579291" y="1492592"/>
                                </a:lnTo>
                                <a:close/>
                              </a:path>
                              <a:path w="3938270" h="1918335">
                                <a:moveTo>
                                  <a:pt x="3654018" y="1246314"/>
                                </a:moveTo>
                                <a:lnTo>
                                  <a:pt x="3616655" y="1246314"/>
                                </a:lnTo>
                                <a:lnTo>
                                  <a:pt x="3616655" y="1917979"/>
                                </a:lnTo>
                                <a:lnTo>
                                  <a:pt x="3654018" y="1917979"/>
                                </a:lnTo>
                                <a:lnTo>
                                  <a:pt x="3654018" y="1246314"/>
                                </a:lnTo>
                                <a:close/>
                              </a:path>
                              <a:path w="3938270" h="1918335">
                                <a:moveTo>
                                  <a:pt x="3721252" y="1298549"/>
                                </a:moveTo>
                                <a:lnTo>
                                  <a:pt x="3691356" y="1298549"/>
                                </a:lnTo>
                                <a:lnTo>
                                  <a:pt x="3691356" y="1917979"/>
                                </a:lnTo>
                                <a:lnTo>
                                  <a:pt x="3721252" y="1917979"/>
                                </a:lnTo>
                                <a:lnTo>
                                  <a:pt x="3721252" y="1298549"/>
                                </a:lnTo>
                                <a:close/>
                              </a:path>
                              <a:path w="3938270" h="1918335">
                                <a:moveTo>
                                  <a:pt x="3796004" y="1462747"/>
                                </a:moveTo>
                                <a:lnTo>
                                  <a:pt x="3758615" y="1462747"/>
                                </a:lnTo>
                                <a:lnTo>
                                  <a:pt x="3758615" y="1917979"/>
                                </a:lnTo>
                                <a:lnTo>
                                  <a:pt x="3796004" y="1917979"/>
                                </a:lnTo>
                                <a:lnTo>
                                  <a:pt x="3796004" y="1462747"/>
                                </a:lnTo>
                                <a:close/>
                              </a:path>
                              <a:path w="3938270" h="1918335">
                                <a:moveTo>
                                  <a:pt x="3870706" y="1388122"/>
                                </a:moveTo>
                                <a:lnTo>
                                  <a:pt x="3833342" y="1388122"/>
                                </a:lnTo>
                                <a:lnTo>
                                  <a:pt x="3833342" y="1917979"/>
                                </a:lnTo>
                                <a:lnTo>
                                  <a:pt x="3870706" y="1917979"/>
                                </a:lnTo>
                                <a:lnTo>
                                  <a:pt x="3870706" y="1388122"/>
                                </a:lnTo>
                                <a:close/>
                              </a:path>
                              <a:path w="3938270" h="1918335">
                                <a:moveTo>
                                  <a:pt x="3937978" y="1403045"/>
                                </a:moveTo>
                                <a:lnTo>
                                  <a:pt x="3908069" y="1403045"/>
                                </a:lnTo>
                                <a:lnTo>
                                  <a:pt x="3908069" y="1917979"/>
                                </a:lnTo>
                                <a:lnTo>
                                  <a:pt x="3937978" y="1917979"/>
                                </a:lnTo>
                                <a:lnTo>
                                  <a:pt x="3937978" y="1403045"/>
                                </a:lnTo>
                                <a:close/>
                              </a:path>
                            </a:pathLst>
                          </a:custGeom>
                          <a:solidFill>
                            <a:srgbClr val="2E614A"/>
                          </a:solidFill>
                        </wps:spPr>
                        <wps:bodyPr wrap="square" lIns="0" tIns="0" rIns="0" bIns="0" rtlCol="0">
                          <a:prstTxWarp prst="textNoShape">
                            <a:avLst/>
                          </a:prstTxWarp>
                          <a:noAutofit/>
                        </wps:bodyPr>
                      </wps:wsp>
                      <wps:wsp>
                        <wps:cNvPr id="1373" name="Graphic 1373"/>
                        <wps:cNvSpPr/>
                        <wps:spPr>
                          <a:xfrm>
                            <a:off x="671152" y="479270"/>
                            <a:ext cx="4141470" cy="2540000"/>
                          </a:xfrm>
                          <a:custGeom>
                            <a:avLst/>
                            <a:gdLst/>
                            <a:ahLst/>
                            <a:cxnLst/>
                            <a:rect l="l" t="t" r="r" b="b"/>
                            <a:pathLst>
                              <a:path w="4141470" h="2540000">
                                <a:moveTo>
                                  <a:pt x="42974" y="0"/>
                                </a:moveTo>
                                <a:lnTo>
                                  <a:pt x="36624" y="0"/>
                                </a:lnTo>
                                <a:lnTo>
                                  <a:pt x="36624" y="2540000"/>
                                </a:lnTo>
                                <a:lnTo>
                                  <a:pt x="42974" y="2540000"/>
                                </a:lnTo>
                                <a:lnTo>
                                  <a:pt x="42974" y="0"/>
                                </a:lnTo>
                                <a:close/>
                              </a:path>
                              <a:path w="4141470" h="2540000">
                                <a:moveTo>
                                  <a:pt x="117692" y="2489200"/>
                                </a:moveTo>
                                <a:lnTo>
                                  <a:pt x="111342" y="2489200"/>
                                </a:lnTo>
                                <a:lnTo>
                                  <a:pt x="111342" y="2540000"/>
                                </a:lnTo>
                                <a:lnTo>
                                  <a:pt x="117692" y="2540000"/>
                                </a:lnTo>
                                <a:lnTo>
                                  <a:pt x="117692" y="2489200"/>
                                </a:lnTo>
                                <a:close/>
                              </a:path>
                              <a:path w="4141470" h="2540000">
                                <a:moveTo>
                                  <a:pt x="184949" y="2489200"/>
                                </a:moveTo>
                                <a:lnTo>
                                  <a:pt x="178599" y="2489200"/>
                                </a:lnTo>
                                <a:lnTo>
                                  <a:pt x="178599" y="2540000"/>
                                </a:lnTo>
                                <a:lnTo>
                                  <a:pt x="184949" y="2540000"/>
                                </a:lnTo>
                                <a:lnTo>
                                  <a:pt x="184949" y="2489200"/>
                                </a:lnTo>
                                <a:close/>
                              </a:path>
                              <a:path w="4141470" h="2540000">
                                <a:moveTo>
                                  <a:pt x="259674" y="2489200"/>
                                </a:moveTo>
                                <a:lnTo>
                                  <a:pt x="253324" y="2489200"/>
                                </a:lnTo>
                                <a:lnTo>
                                  <a:pt x="253324" y="2540000"/>
                                </a:lnTo>
                                <a:lnTo>
                                  <a:pt x="259674" y="2540000"/>
                                </a:lnTo>
                                <a:lnTo>
                                  <a:pt x="259674" y="2489200"/>
                                </a:lnTo>
                                <a:close/>
                              </a:path>
                              <a:path w="4141470" h="2540000">
                                <a:moveTo>
                                  <a:pt x="334392" y="2489200"/>
                                </a:moveTo>
                                <a:lnTo>
                                  <a:pt x="328042" y="2489200"/>
                                </a:lnTo>
                                <a:lnTo>
                                  <a:pt x="328042" y="2540000"/>
                                </a:lnTo>
                                <a:lnTo>
                                  <a:pt x="334392" y="2540000"/>
                                </a:lnTo>
                                <a:lnTo>
                                  <a:pt x="334392" y="2489200"/>
                                </a:lnTo>
                                <a:close/>
                              </a:path>
                              <a:path w="4141470" h="2540000">
                                <a:moveTo>
                                  <a:pt x="401650" y="2489200"/>
                                </a:moveTo>
                                <a:lnTo>
                                  <a:pt x="395300" y="2489200"/>
                                </a:lnTo>
                                <a:lnTo>
                                  <a:pt x="395300" y="2540000"/>
                                </a:lnTo>
                                <a:lnTo>
                                  <a:pt x="401650" y="2540000"/>
                                </a:lnTo>
                                <a:lnTo>
                                  <a:pt x="401650" y="2489200"/>
                                </a:lnTo>
                                <a:close/>
                              </a:path>
                              <a:path w="4141470" h="2540000">
                                <a:moveTo>
                                  <a:pt x="476373" y="2489200"/>
                                </a:moveTo>
                                <a:lnTo>
                                  <a:pt x="470023" y="2489200"/>
                                </a:lnTo>
                                <a:lnTo>
                                  <a:pt x="470023" y="2540000"/>
                                </a:lnTo>
                                <a:lnTo>
                                  <a:pt x="476373" y="2540000"/>
                                </a:lnTo>
                                <a:lnTo>
                                  <a:pt x="476373" y="2489200"/>
                                </a:lnTo>
                                <a:close/>
                              </a:path>
                              <a:path w="4141470" h="2540000">
                                <a:moveTo>
                                  <a:pt x="551090" y="2489200"/>
                                </a:moveTo>
                                <a:lnTo>
                                  <a:pt x="544740" y="2489200"/>
                                </a:lnTo>
                                <a:lnTo>
                                  <a:pt x="544740" y="2540000"/>
                                </a:lnTo>
                                <a:lnTo>
                                  <a:pt x="551090" y="2540000"/>
                                </a:lnTo>
                                <a:lnTo>
                                  <a:pt x="551090" y="2489200"/>
                                </a:lnTo>
                                <a:close/>
                              </a:path>
                              <a:path w="4141470" h="2540000">
                                <a:moveTo>
                                  <a:pt x="618348" y="2489200"/>
                                </a:moveTo>
                                <a:lnTo>
                                  <a:pt x="611998" y="2489200"/>
                                </a:lnTo>
                                <a:lnTo>
                                  <a:pt x="611998" y="2540000"/>
                                </a:lnTo>
                                <a:lnTo>
                                  <a:pt x="618348" y="2540000"/>
                                </a:lnTo>
                                <a:lnTo>
                                  <a:pt x="618348" y="2489200"/>
                                </a:lnTo>
                                <a:close/>
                              </a:path>
                              <a:path w="4141470" h="2540000">
                                <a:moveTo>
                                  <a:pt x="693073" y="2489200"/>
                                </a:moveTo>
                                <a:lnTo>
                                  <a:pt x="686723" y="2489200"/>
                                </a:lnTo>
                                <a:lnTo>
                                  <a:pt x="686723" y="2540000"/>
                                </a:lnTo>
                                <a:lnTo>
                                  <a:pt x="693073" y="2540000"/>
                                </a:lnTo>
                                <a:lnTo>
                                  <a:pt x="693073" y="2489200"/>
                                </a:lnTo>
                                <a:close/>
                              </a:path>
                              <a:path w="4141470" h="2540000">
                                <a:moveTo>
                                  <a:pt x="767797" y="2489200"/>
                                </a:moveTo>
                                <a:lnTo>
                                  <a:pt x="761447" y="2489200"/>
                                </a:lnTo>
                                <a:lnTo>
                                  <a:pt x="761447" y="2540000"/>
                                </a:lnTo>
                                <a:lnTo>
                                  <a:pt x="767797" y="2540000"/>
                                </a:lnTo>
                                <a:lnTo>
                                  <a:pt x="767797" y="2489200"/>
                                </a:lnTo>
                                <a:close/>
                              </a:path>
                              <a:path w="4141470" h="2540000">
                                <a:moveTo>
                                  <a:pt x="835049" y="2489200"/>
                                </a:moveTo>
                                <a:lnTo>
                                  <a:pt x="828699" y="2489200"/>
                                </a:lnTo>
                                <a:lnTo>
                                  <a:pt x="828699" y="2540000"/>
                                </a:lnTo>
                                <a:lnTo>
                                  <a:pt x="835049" y="2540000"/>
                                </a:lnTo>
                                <a:lnTo>
                                  <a:pt x="835049" y="2489200"/>
                                </a:lnTo>
                                <a:close/>
                              </a:path>
                              <a:path w="4141470" h="2540000">
                                <a:moveTo>
                                  <a:pt x="909773" y="2489200"/>
                                </a:moveTo>
                                <a:lnTo>
                                  <a:pt x="903423" y="2489200"/>
                                </a:lnTo>
                                <a:lnTo>
                                  <a:pt x="903423" y="2540000"/>
                                </a:lnTo>
                                <a:lnTo>
                                  <a:pt x="909773" y="2540000"/>
                                </a:lnTo>
                                <a:lnTo>
                                  <a:pt x="909773" y="2489200"/>
                                </a:lnTo>
                                <a:close/>
                              </a:path>
                              <a:path w="4141470" h="2540000">
                                <a:moveTo>
                                  <a:pt x="984497" y="2489200"/>
                                </a:moveTo>
                                <a:lnTo>
                                  <a:pt x="978147" y="2489200"/>
                                </a:lnTo>
                                <a:lnTo>
                                  <a:pt x="978147" y="2540000"/>
                                </a:lnTo>
                                <a:lnTo>
                                  <a:pt x="984497" y="2540000"/>
                                </a:lnTo>
                                <a:lnTo>
                                  <a:pt x="984497" y="2489200"/>
                                </a:lnTo>
                                <a:close/>
                              </a:path>
                              <a:path w="4141470" h="2540000">
                                <a:moveTo>
                                  <a:pt x="1059221" y="2489200"/>
                                </a:moveTo>
                                <a:lnTo>
                                  <a:pt x="1052871" y="2489200"/>
                                </a:lnTo>
                                <a:lnTo>
                                  <a:pt x="1052871" y="2540000"/>
                                </a:lnTo>
                                <a:lnTo>
                                  <a:pt x="1059221" y="2540000"/>
                                </a:lnTo>
                                <a:lnTo>
                                  <a:pt x="1059221" y="2489200"/>
                                </a:lnTo>
                                <a:close/>
                              </a:path>
                              <a:path w="4141470" h="2540000">
                                <a:moveTo>
                                  <a:pt x="1126473" y="2489200"/>
                                </a:moveTo>
                                <a:lnTo>
                                  <a:pt x="1120123" y="2489200"/>
                                </a:lnTo>
                                <a:lnTo>
                                  <a:pt x="1120123" y="2540000"/>
                                </a:lnTo>
                                <a:lnTo>
                                  <a:pt x="1126473" y="2540000"/>
                                </a:lnTo>
                                <a:lnTo>
                                  <a:pt x="1126473" y="2489200"/>
                                </a:lnTo>
                                <a:close/>
                              </a:path>
                              <a:path w="4141470" h="2540000">
                                <a:moveTo>
                                  <a:pt x="1201197" y="2489200"/>
                                </a:moveTo>
                                <a:lnTo>
                                  <a:pt x="1194847" y="2489200"/>
                                </a:lnTo>
                                <a:lnTo>
                                  <a:pt x="1194847" y="2540000"/>
                                </a:lnTo>
                                <a:lnTo>
                                  <a:pt x="1201197" y="2540000"/>
                                </a:lnTo>
                                <a:lnTo>
                                  <a:pt x="1201197" y="2489200"/>
                                </a:lnTo>
                                <a:close/>
                              </a:path>
                              <a:path w="4141470" h="2540000">
                                <a:moveTo>
                                  <a:pt x="1275921" y="2489200"/>
                                </a:moveTo>
                                <a:lnTo>
                                  <a:pt x="1269571" y="2489200"/>
                                </a:lnTo>
                                <a:lnTo>
                                  <a:pt x="1269571" y="2540000"/>
                                </a:lnTo>
                                <a:lnTo>
                                  <a:pt x="1275921" y="2540000"/>
                                </a:lnTo>
                                <a:lnTo>
                                  <a:pt x="1275921" y="2489200"/>
                                </a:lnTo>
                                <a:close/>
                              </a:path>
                              <a:path w="4141470" h="2540000">
                                <a:moveTo>
                                  <a:pt x="1343173" y="2489200"/>
                                </a:moveTo>
                                <a:lnTo>
                                  <a:pt x="1336823" y="2489200"/>
                                </a:lnTo>
                                <a:lnTo>
                                  <a:pt x="1336823" y="2540000"/>
                                </a:lnTo>
                                <a:lnTo>
                                  <a:pt x="1343173" y="2540000"/>
                                </a:lnTo>
                                <a:lnTo>
                                  <a:pt x="1343173" y="2489200"/>
                                </a:lnTo>
                                <a:close/>
                              </a:path>
                              <a:path w="4141470" h="2540000">
                                <a:moveTo>
                                  <a:pt x="1417904" y="2489200"/>
                                </a:moveTo>
                                <a:lnTo>
                                  <a:pt x="1411554" y="2489200"/>
                                </a:lnTo>
                                <a:lnTo>
                                  <a:pt x="1411554" y="2540000"/>
                                </a:lnTo>
                                <a:lnTo>
                                  <a:pt x="1417904" y="2540000"/>
                                </a:lnTo>
                                <a:lnTo>
                                  <a:pt x="1417904" y="2489200"/>
                                </a:lnTo>
                                <a:close/>
                              </a:path>
                              <a:path w="4141470" h="2540000">
                                <a:moveTo>
                                  <a:pt x="1492621" y="2489200"/>
                                </a:moveTo>
                                <a:lnTo>
                                  <a:pt x="1486271" y="2489200"/>
                                </a:lnTo>
                                <a:lnTo>
                                  <a:pt x="1486271" y="2540000"/>
                                </a:lnTo>
                                <a:lnTo>
                                  <a:pt x="1492621" y="2540000"/>
                                </a:lnTo>
                                <a:lnTo>
                                  <a:pt x="1492621" y="2489200"/>
                                </a:lnTo>
                                <a:close/>
                              </a:path>
                              <a:path w="4141470" h="2540000">
                                <a:moveTo>
                                  <a:pt x="1559873" y="2489200"/>
                                </a:moveTo>
                                <a:lnTo>
                                  <a:pt x="1553523" y="2489200"/>
                                </a:lnTo>
                                <a:lnTo>
                                  <a:pt x="1553523" y="2540000"/>
                                </a:lnTo>
                                <a:lnTo>
                                  <a:pt x="1559873" y="2540000"/>
                                </a:lnTo>
                                <a:lnTo>
                                  <a:pt x="1559873" y="2489200"/>
                                </a:lnTo>
                                <a:close/>
                              </a:path>
                              <a:path w="4141470" h="2540000">
                                <a:moveTo>
                                  <a:pt x="1634604" y="2489200"/>
                                </a:moveTo>
                                <a:lnTo>
                                  <a:pt x="1628254" y="2489200"/>
                                </a:lnTo>
                                <a:lnTo>
                                  <a:pt x="1628254" y="2540000"/>
                                </a:lnTo>
                                <a:lnTo>
                                  <a:pt x="1634604" y="2540000"/>
                                </a:lnTo>
                                <a:lnTo>
                                  <a:pt x="1634604" y="2489200"/>
                                </a:lnTo>
                                <a:close/>
                              </a:path>
                              <a:path w="4141470" h="2540000">
                                <a:moveTo>
                                  <a:pt x="1709321" y="2489200"/>
                                </a:moveTo>
                                <a:lnTo>
                                  <a:pt x="1702971" y="2489200"/>
                                </a:lnTo>
                                <a:lnTo>
                                  <a:pt x="1702971" y="2540000"/>
                                </a:lnTo>
                                <a:lnTo>
                                  <a:pt x="1709321" y="2540000"/>
                                </a:lnTo>
                                <a:lnTo>
                                  <a:pt x="1709321" y="2489200"/>
                                </a:lnTo>
                                <a:close/>
                              </a:path>
                              <a:path w="4141470" h="2540000">
                                <a:moveTo>
                                  <a:pt x="1776573" y="2489200"/>
                                </a:moveTo>
                                <a:lnTo>
                                  <a:pt x="1770223" y="2489200"/>
                                </a:lnTo>
                                <a:lnTo>
                                  <a:pt x="1770223" y="2540000"/>
                                </a:lnTo>
                                <a:lnTo>
                                  <a:pt x="1776573" y="2540000"/>
                                </a:lnTo>
                                <a:lnTo>
                                  <a:pt x="1776573" y="2489200"/>
                                </a:lnTo>
                                <a:close/>
                              </a:path>
                              <a:path w="4141470" h="2540000">
                                <a:moveTo>
                                  <a:pt x="1851302" y="2489200"/>
                                </a:moveTo>
                                <a:lnTo>
                                  <a:pt x="1844952" y="2489200"/>
                                </a:lnTo>
                                <a:lnTo>
                                  <a:pt x="1844952" y="2540000"/>
                                </a:lnTo>
                                <a:lnTo>
                                  <a:pt x="1851302" y="2540000"/>
                                </a:lnTo>
                                <a:lnTo>
                                  <a:pt x="1851302" y="2489200"/>
                                </a:lnTo>
                                <a:close/>
                              </a:path>
                              <a:path w="4141470" h="2540000">
                                <a:moveTo>
                                  <a:pt x="1926020" y="2489200"/>
                                </a:moveTo>
                                <a:lnTo>
                                  <a:pt x="1919670" y="2489200"/>
                                </a:lnTo>
                                <a:lnTo>
                                  <a:pt x="1919670" y="2540000"/>
                                </a:lnTo>
                                <a:lnTo>
                                  <a:pt x="1926020" y="2540000"/>
                                </a:lnTo>
                                <a:lnTo>
                                  <a:pt x="1926020" y="2489200"/>
                                </a:lnTo>
                                <a:close/>
                              </a:path>
                              <a:path w="4141470" h="2540000">
                                <a:moveTo>
                                  <a:pt x="1993278" y="2489200"/>
                                </a:moveTo>
                                <a:lnTo>
                                  <a:pt x="1986928" y="2489200"/>
                                </a:lnTo>
                                <a:lnTo>
                                  <a:pt x="1986928" y="2540000"/>
                                </a:lnTo>
                                <a:lnTo>
                                  <a:pt x="1993278" y="2540000"/>
                                </a:lnTo>
                                <a:lnTo>
                                  <a:pt x="1993278" y="2489200"/>
                                </a:lnTo>
                                <a:close/>
                              </a:path>
                              <a:path w="4141470" h="2540000">
                                <a:moveTo>
                                  <a:pt x="2067996" y="2489200"/>
                                </a:moveTo>
                                <a:lnTo>
                                  <a:pt x="2061646" y="2489200"/>
                                </a:lnTo>
                                <a:lnTo>
                                  <a:pt x="2061646" y="2540000"/>
                                </a:lnTo>
                                <a:lnTo>
                                  <a:pt x="2067996" y="2540000"/>
                                </a:lnTo>
                                <a:lnTo>
                                  <a:pt x="2067996" y="2489200"/>
                                </a:lnTo>
                                <a:close/>
                              </a:path>
                              <a:path w="4141470" h="2540000">
                                <a:moveTo>
                                  <a:pt x="2142721" y="2489200"/>
                                </a:moveTo>
                                <a:lnTo>
                                  <a:pt x="2136371" y="2489200"/>
                                </a:lnTo>
                                <a:lnTo>
                                  <a:pt x="2136371" y="2540000"/>
                                </a:lnTo>
                                <a:lnTo>
                                  <a:pt x="2142721" y="2540000"/>
                                </a:lnTo>
                                <a:lnTo>
                                  <a:pt x="2142721" y="2489200"/>
                                </a:lnTo>
                                <a:close/>
                              </a:path>
                              <a:path w="4141470" h="2540000">
                                <a:moveTo>
                                  <a:pt x="2209979" y="2489200"/>
                                </a:moveTo>
                                <a:lnTo>
                                  <a:pt x="2203629" y="2489200"/>
                                </a:lnTo>
                                <a:lnTo>
                                  <a:pt x="2203629" y="2540000"/>
                                </a:lnTo>
                                <a:lnTo>
                                  <a:pt x="2209979" y="2540000"/>
                                </a:lnTo>
                                <a:lnTo>
                                  <a:pt x="2209979" y="2489200"/>
                                </a:lnTo>
                                <a:close/>
                              </a:path>
                              <a:path w="4141470" h="2540000">
                                <a:moveTo>
                                  <a:pt x="2284703" y="2489200"/>
                                </a:moveTo>
                                <a:lnTo>
                                  <a:pt x="2278353" y="2489200"/>
                                </a:lnTo>
                                <a:lnTo>
                                  <a:pt x="2278353" y="2540000"/>
                                </a:lnTo>
                                <a:lnTo>
                                  <a:pt x="2284703" y="2540000"/>
                                </a:lnTo>
                                <a:lnTo>
                                  <a:pt x="2284703" y="2489200"/>
                                </a:lnTo>
                                <a:close/>
                              </a:path>
                              <a:path w="4141470" h="2540000">
                                <a:moveTo>
                                  <a:pt x="2359427" y="2489200"/>
                                </a:moveTo>
                                <a:lnTo>
                                  <a:pt x="2353077" y="2489200"/>
                                </a:lnTo>
                                <a:lnTo>
                                  <a:pt x="2353077" y="2540000"/>
                                </a:lnTo>
                                <a:lnTo>
                                  <a:pt x="2359427" y="2540000"/>
                                </a:lnTo>
                                <a:lnTo>
                                  <a:pt x="2359427" y="2489200"/>
                                </a:lnTo>
                                <a:close/>
                              </a:path>
                              <a:path w="4141470" h="2540000">
                                <a:moveTo>
                                  <a:pt x="2426685" y="2489200"/>
                                </a:moveTo>
                                <a:lnTo>
                                  <a:pt x="2420335" y="2489200"/>
                                </a:lnTo>
                                <a:lnTo>
                                  <a:pt x="2420335" y="2540000"/>
                                </a:lnTo>
                                <a:lnTo>
                                  <a:pt x="2426685" y="2540000"/>
                                </a:lnTo>
                                <a:lnTo>
                                  <a:pt x="2426685" y="2489200"/>
                                </a:lnTo>
                                <a:close/>
                              </a:path>
                              <a:path w="4141470" h="2540000">
                                <a:moveTo>
                                  <a:pt x="2501396" y="2489200"/>
                                </a:moveTo>
                                <a:lnTo>
                                  <a:pt x="2495046" y="2489200"/>
                                </a:lnTo>
                                <a:lnTo>
                                  <a:pt x="2495046" y="2540000"/>
                                </a:lnTo>
                                <a:lnTo>
                                  <a:pt x="2501396" y="2540000"/>
                                </a:lnTo>
                                <a:lnTo>
                                  <a:pt x="2501396" y="2489200"/>
                                </a:lnTo>
                                <a:close/>
                              </a:path>
                              <a:path w="4141470" h="2540000">
                                <a:moveTo>
                                  <a:pt x="2576121" y="2489200"/>
                                </a:moveTo>
                                <a:lnTo>
                                  <a:pt x="2569771" y="2489200"/>
                                </a:lnTo>
                                <a:lnTo>
                                  <a:pt x="2569771" y="2540000"/>
                                </a:lnTo>
                                <a:lnTo>
                                  <a:pt x="2576121" y="2540000"/>
                                </a:lnTo>
                                <a:lnTo>
                                  <a:pt x="2576121" y="2489200"/>
                                </a:lnTo>
                                <a:close/>
                              </a:path>
                              <a:path w="4141470" h="2540000">
                                <a:moveTo>
                                  <a:pt x="2643379" y="2489200"/>
                                </a:moveTo>
                                <a:lnTo>
                                  <a:pt x="2637029" y="2489200"/>
                                </a:lnTo>
                                <a:lnTo>
                                  <a:pt x="2637029" y="2540000"/>
                                </a:lnTo>
                                <a:lnTo>
                                  <a:pt x="2643379" y="2540000"/>
                                </a:lnTo>
                                <a:lnTo>
                                  <a:pt x="2643379" y="2489200"/>
                                </a:lnTo>
                                <a:close/>
                              </a:path>
                              <a:path w="4141470" h="2540000">
                                <a:moveTo>
                                  <a:pt x="2718103" y="2489200"/>
                                </a:moveTo>
                                <a:lnTo>
                                  <a:pt x="2711753" y="2489200"/>
                                </a:lnTo>
                                <a:lnTo>
                                  <a:pt x="2711753" y="2540000"/>
                                </a:lnTo>
                                <a:lnTo>
                                  <a:pt x="2718103" y="2540000"/>
                                </a:lnTo>
                                <a:lnTo>
                                  <a:pt x="2718103" y="2489200"/>
                                </a:lnTo>
                                <a:close/>
                              </a:path>
                              <a:path w="4141470" h="2540000">
                                <a:moveTo>
                                  <a:pt x="2792827" y="2489200"/>
                                </a:moveTo>
                                <a:lnTo>
                                  <a:pt x="2786477" y="2489200"/>
                                </a:lnTo>
                                <a:lnTo>
                                  <a:pt x="2786477" y="2540000"/>
                                </a:lnTo>
                                <a:lnTo>
                                  <a:pt x="2792827" y="2540000"/>
                                </a:lnTo>
                                <a:lnTo>
                                  <a:pt x="2792827" y="2489200"/>
                                </a:lnTo>
                                <a:close/>
                              </a:path>
                              <a:path w="4141470" h="2540000">
                                <a:moveTo>
                                  <a:pt x="2860085" y="2489200"/>
                                </a:moveTo>
                                <a:lnTo>
                                  <a:pt x="2853735" y="2489200"/>
                                </a:lnTo>
                                <a:lnTo>
                                  <a:pt x="2853735" y="2540000"/>
                                </a:lnTo>
                                <a:lnTo>
                                  <a:pt x="2860085" y="2540000"/>
                                </a:lnTo>
                                <a:lnTo>
                                  <a:pt x="2860085" y="2489200"/>
                                </a:lnTo>
                                <a:close/>
                              </a:path>
                              <a:path w="4141470" h="2540000">
                                <a:moveTo>
                                  <a:pt x="2934797" y="2489200"/>
                                </a:moveTo>
                                <a:lnTo>
                                  <a:pt x="2928447" y="2489200"/>
                                </a:lnTo>
                                <a:lnTo>
                                  <a:pt x="2928447" y="2540000"/>
                                </a:lnTo>
                                <a:lnTo>
                                  <a:pt x="2934797" y="2540000"/>
                                </a:lnTo>
                                <a:lnTo>
                                  <a:pt x="2934797" y="2489200"/>
                                </a:lnTo>
                                <a:close/>
                              </a:path>
                              <a:path w="4141470" h="2540000">
                                <a:moveTo>
                                  <a:pt x="3009521" y="2489200"/>
                                </a:moveTo>
                                <a:lnTo>
                                  <a:pt x="3003171" y="2489200"/>
                                </a:lnTo>
                                <a:lnTo>
                                  <a:pt x="3003171" y="2540000"/>
                                </a:lnTo>
                                <a:lnTo>
                                  <a:pt x="3009521" y="2540000"/>
                                </a:lnTo>
                                <a:lnTo>
                                  <a:pt x="3009521" y="2489200"/>
                                </a:lnTo>
                                <a:close/>
                              </a:path>
                              <a:path w="4141470" h="2540000">
                                <a:moveTo>
                                  <a:pt x="3084245" y="2489200"/>
                                </a:moveTo>
                                <a:lnTo>
                                  <a:pt x="3077895" y="2489200"/>
                                </a:lnTo>
                                <a:lnTo>
                                  <a:pt x="3077895" y="2540000"/>
                                </a:lnTo>
                                <a:lnTo>
                                  <a:pt x="3084245" y="2540000"/>
                                </a:lnTo>
                                <a:lnTo>
                                  <a:pt x="3084245" y="2489200"/>
                                </a:lnTo>
                                <a:close/>
                              </a:path>
                              <a:path w="4141470" h="2540000">
                                <a:moveTo>
                                  <a:pt x="3151503" y="2489200"/>
                                </a:moveTo>
                                <a:lnTo>
                                  <a:pt x="3145153" y="2489200"/>
                                </a:lnTo>
                                <a:lnTo>
                                  <a:pt x="3145153" y="2540000"/>
                                </a:lnTo>
                                <a:lnTo>
                                  <a:pt x="3151503" y="2540000"/>
                                </a:lnTo>
                                <a:lnTo>
                                  <a:pt x="3151503" y="2489200"/>
                                </a:lnTo>
                                <a:close/>
                              </a:path>
                              <a:path w="4141470" h="2540000">
                                <a:moveTo>
                                  <a:pt x="3226227" y="2489200"/>
                                </a:moveTo>
                                <a:lnTo>
                                  <a:pt x="3219877" y="2489200"/>
                                </a:lnTo>
                                <a:lnTo>
                                  <a:pt x="3219877" y="2540000"/>
                                </a:lnTo>
                                <a:lnTo>
                                  <a:pt x="3226227" y="2540000"/>
                                </a:lnTo>
                                <a:lnTo>
                                  <a:pt x="3226227" y="2489200"/>
                                </a:lnTo>
                                <a:close/>
                              </a:path>
                              <a:path w="4141470" h="2540000">
                                <a:moveTo>
                                  <a:pt x="3300939" y="2489200"/>
                                </a:moveTo>
                                <a:lnTo>
                                  <a:pt x="3294589" y="2489200"/>
                                </a:lnTo>
                                <a:lnTo>
                                  <a:pt x="3294589" y="2540000"/>
                                </a:lnTo>
                                <a:lnTo>
                                  <a:pt x="3300939" y="2540000"/>
                                </a:lnTo>
                                <a:lnTo>
                                  <a:pt x="3300939" y="2489200"/>
                                </a:lnTo>
                                <a:close/>
                              </a:path>
                              <a:path w="4141470" h="2540000">
                                <a:moveTo>
                                  <a:pt x="3368197" y="2489200"/>
                                </a:moveTo>
                                <a:lnTo>
                                  <a:pt x="3361847" y="2489200"/>
                                </a:lnTo>
                                <a:lnTo>
                                  <a:pt x="3361847" y="2540000"/>
                                </a:lnTo>
                                <a:lnTo>
                                  <a:pt x="3368197" y="2540000"/>
                                </a:lnTo>
                                <a:lnTo>
                                  <a:pt x="3368197" y="2489200"/>
                                </a:lnTo>
                                <a:close/>
                              </a:path>
                              <a:path w="4141470" h="2540000">
                                <a:moveTo>
                                  <a:pt x="3442921" y="2489200"/>
                                </a:moveTo>
                                <a:lnTo>
                                  <a:pt x="3436571" y="2489200"/>
                                </a:lnTo>
                                <a:lnTo>
                                  <a:pt x="3436571" y="2540000"/>
                                </a:lnTo>
                                <a:lnTo>
                                  <a:pt x="3442921" y="2540000"/>
                                </a:lnTo>
                                <a:lnTo>
                                  <a:pt x="3442921" y="2489200"/>
                                </a:lnTo>
                                <a:close/>
                              </a:path>
                              <a:path w="4141470" h="2540000">
                                <a:moveTo>
                                  <a:pt x="3517645" y="2489200"/>
                                </a:moveTo>
                                <a:lnTo>
                                  <a:pt x="3511295" y="2489200"/>
                                </a:lnTo>
                                <a:lnTo>
                                  <a:pt x="3511295" y="2540000"/>
                                </a:lnTo>
                                <a:lnTo>
                                  <a:pt x="3517645" y="2540000"/>
                                </a:lnTo>
                                <a:lnTo>
                                  <a:pt x="3517645" y="2489200"/>
                                </a:lnTo>
                                <a:close/>
                              </a:path>
                              <a:path w="4141470" h="2540000">
                                <a:moveTo>
                                  <a:pt x="3584903" y="2489200"/>
                                </a:moveTo>
                                <a:lnTo>
                                  <a:pt x="3578553" y="2489200"/>
                                </a:lnTo>
                                <a:lnTo>
                                  <a:pt x="3578553" y="2540000"/>
                                </a:lnTo>
                                <a:lnTo>
                                  <a:pt x="3584903" y="2540000"/>
                                </a:lnTo>
                                <a:lnTo>
                                  <a:pt x="3584903" y="2489200"/>
                                </a:lnTo>
                                <a:close/>
                              </a:path>
                              <a:path w="4141470" h="2540000">
                                <a:moveTo>
                                  <a:pt x="3659626" y="2489200"/>
                                </a:moveTo>
                                <a:lnTo>
                                  <a:pt x="3653276" y="2489200"/>
                                </a:lnTo>
                                <a:lnTo>
                                  <a:pt x="3653276" y="2540000"/>
                                </a:lnTo>
                                <a:lnTo>
                                  <a:pt x="3659626" y="2540000"/>
                                </a:lnTo>
                                <a:lnTo>
                                  <a:pt x="3659626" y="2489200"/>
                                </a:lnTo>
                                <a:close/>
                              </a:path>
                              <a:path w="4141470" h="2540000">
                                <a:moveTo>
                                  <a:pt x="3734339" y="2489200"/>
                                </a:moveTo>
                                <a:lnTo>
                                  <a:pt x="3727989" y="2489200"/>
                                </a:lnTo>
                                <a:lnTo>
                                  <a:pt x="3727989" y="2540000"/>
                                </a:lnTo>
                                <a:lnTo>
                                  <a:pt x="3734339" y="2540000"/>
                                </a:lnTo>
                                <a:lnTo>
                                  <a:pt x="3734339" y="2489200"/>
                                </a:lnTo>
                                <a:close/>
                              </a:path>
                              <a:path w="4141470" h="2540000">
                                <a:moveTo>
                                  <a:pt x="3801608" y="2489200"/>
                                </a:moveTo>
                                <a:lnTo>
                                  <a:pt x="3795258" y="2489200"/>
                                </a:lnTo>
                                <a:lnTo>
                                  <a:pt x="3795258" y="2540000"/>
                                </a:lnTo>
                                <a:lnTo>
                                  <a:pt x="3801608" y="2540000"/>
                                </a:lnTo>
                                <a:lnTo>
                                  <a:pt x="3801608" y="2489200"/>
                                </a:lnTo>
                                <a:close/>
                              </a:path>
                              <a:path w="4141470" h="2540000">
                                <a:moveTo>
                                  <a:pt x="3876320" y="2489200"/>
                                </a:moveTo>
                                <a:lnTo>
                                  <a:pt x="3869970" y="2489200"/>
                                </a:lnTo>
                                <a:lnTo>
                                  <a:pt x="3869970" y="2540000"/>
                                </a:lnTo>
                                <a:lnTo>
                                  <a:pt x="3876320" y="2540000"/>
                                </a:lnTo>
                                <a:lnTo>
                                  <a:pt x="3876320" y="2489200"/>
                                </a:lnTo>
                                <a:close/>
                              </a:path>
                              <a:path w="4141470" h="2540000">
                                <a:moveTo>
                                  <a:pt x="3951044" y="2489200"/>
                                </a:moveTo>
                                <a:lnTo>
                                  <a:pt x="3944694" y="2489200"/>
                                </a:lnTo>
                                <a:lnTo>
                                  <a:pt x="3944694" y="2540000"/>
                                </a:lnTo>
                                <a:lnTo>
                                  <a:pt x="3951044" y="2540000"/>
                                </a:lnTo>
                                <a:lnTo>
                                  <a:pt x="3951044" y="2489200"/>
                                </a:lnTo>
                                <a:close/>
                              </a:path>
                              <a:path w="4141470" h="2540000">
                                <a:moveTo>
                                  <a:pt x="4018302" y="2489200"/>
                                </a:moveTo>
                                <a:lnTo>
                                  <a:pt x="4011952" y="2489200"/>
                                </a:lnTo>
                                <a:lnTo>
                                  <a:pt x="4011952" y="2540000"/>
                                </a:lnTo>
                                <a:lnTo>
                                  <a:pt x="4018302" y="2540000"/>
                                </a:lnTo>
                                <a:lnTo>
                                  <a:pt x="4018302" y="2489200"/>
                                </a:lnTo>
                                <a:close/>
                              </a:path>
                              <a:path w="4141470" h="2540000">
                                <a:moveTo>
                                  <a:pt x="4093026" y="0"/>
                                </a:moveTo>
                                <a:lnTo>
                                  <a:pt x="4086676" y="0"/>
                                </a:lnTo>
                                <a:lnTo>
                                  <a:pt x="4086676" y="2540000"/>
                                </a:lnTo>
                                <a:lnTo>
                                  <a:pt x="4093026" y="2540000"/>
                                </a:lnTo>
                                <a:lnTo>
                                  <a:pt x="4093026" y="2501900"/>
                                </a:lnTo>
                                <a:lnTo>
                                  <a:pt x="4089666" y="2501900"/>
                                </a:lnTo>
                                <a:lnTo>
                                  <a:pt x="4089666" y="2489200"/>
                                </a:lnTo>
                                <a:lnTo>
                                  <a:pt x="4093026" y="2489200"/>
                                </a:lnTo>
                                <a:lnTo>
                                  <a:pt x="4093026" y="2082800"/>
                                </a:lnTo>
                                <a:lnTo>
                                  <a:pt x="4089666" y="2082800"/>
                                </a:lnTo>
                                <a:lnTo>
                                  <a:pt x="4089666" y="2070100"/>
                                </a:lnTo>
                                <a:lnTo>
                                  <a:pt x="4093026" y="2070100"/>
                                </a:lnTo>
                                <a:lnTo>
                                  <a:pt x="4093026" y="1676400"/>
                                </a:lnTo>
                                <a:lnTo>
                                  <a:pt x="4089666" y="1676400"/>
                                </a:lnTo>
                                <a:lnTo>
                                  <a:pt x="4089666" y="1663700"/>
                                </a:lnTo>
                                <a:lnTo>
                                  <a:pt x="4093026" y="1663700"/>
                                </a:lnTo>
                                <a:lnTo>
                                  <a:pt x="4093026" y="1257300"/>
                                </a:lnTo>
                                <a:lnTo>
                                  <a:pt x="4089666" y="1257300"/>
                                </a:lnTo>
                                <a:lnTo>
                                  <a:pt x="4089666" y="1244600"/>
                                </a:lnTo>
                                <a:lnTo>
                                  <a:pt x="4093026" y="1244600"/>
                                </a:lnTo>
                                <a:lnTo>
                                  <a:pt x="4093026" y="838200"/>
                                </a:lnTo>
                                <a:lnTo>
                                  <a:pt x="4089666" y="838200"/>
                                </a:lnTo>
                                <a:lnTo>
                                  <a:pt x="4089666" y="825500"/>
                                </a:lnTo>
                                <a:lnTo>
                                  <a:pt x="4093026" y="825500"/>
                                </a:lnTo>
                                <a:lnTo>
                                  <a:pt x="4093026" y="0"/>
                                </a:lnTo>
                                <a:close/>
                              </a:path>
                              <a:path w="4141470" h="2540000">
                                <a:moveTo>
                                  <a:pt x="36624" y="2489200"/>
                                </a:moveTo>
                                <a:lnTo>
                                  <a:pt x="14199" y="2489200"/>
                                </a:lnTo>
                                <a:lnTo>
                                  <a:pt x="14199" y="2501900"/>
                                </a:lnTo>
                                <a:lnTo>
                                  <a:pt x="36624" y="2501900"/>
                                </a:lnTo>
                                <a:lnTo>
                                  <a:pt x="36624" y="2489200"/>
                                </a:lnTo>
                                <a:close/>
                              </a:path>
                              <a:path w="4141470" h="2540000">
                                <a:moveTo>
                                  <a:pt x="65390" y="2489200"/>
                                </a:moveTo>
                                <a:lnTo>
                                  <a:pt x="42974" y="2489200"/>
                                </a:lnTo>
                                <a:lnTo>
                                  <a:pt x="42974" y="2501900"/>
                                </a:lnTo>
                                <a:lnTo>
                                  <a:pt x="65390" y="2501900"/>
                                </a:lnTo>
                                <a:lnTo>
                                  <a:pt x="65390" y="2489200"/>
                                </a:lnTo>
                                <a:close/>
                              </a:path>
                              <a:path w="4141470" h="2540000">
                                <a:moveTo>
                                  <a:pt x="111342" y="2489200"/>
                                </a:moveTo>
                                <a:lnTo>
                                  <a:pt x="65390" y="2489200"/>
                                </a:lnTo>
                                <a:lnTo>
                                  <a:pt x="65390" y="2501900"/>
                                </a:lnTo>
                                <a:lnTo>
                                  <a:pt x="111342" y="2501900"/>
                                </a:lnTo>
                                <a:lnTo>
                                  <a:pt x="111342" y="2489200"/>
                                </a:lnTo>
                                <a:close/>
                              </a:path>
                              <a:path w="4141470" h="2540000">
                                <a:moveTo>
                                  <a:pt x="178599" y="2489200"/>
                                </a:moveTo>
                                <a:lnTo>
                                  <a:pt x="117692" y="2489200"/>
                                </a:lnTo>
                                <a:lnTo>
                                  <a:pt x="117692" y="2501900"/>
                                </a:lnTo>
                                <a:lnTo>
                                  <a:pt x="178599" y="2501900"/>
                                </a:lnTo>
                                <a:lnTo>
                                  <a:pt x="178599" y="2489200"/>
                                </a:lnTo>
                                <a:close/>
                              </a:path>
                              <a:path w="4141470" h="2540000">
                                <a:moveTo>
                                  <a:pt x="253324" y="2489200"/>
                                </a:moveTo>
                                <a:lnTo>
                                  <a:pt x="184949" y="2489200"/>
                                </a:lnTo>
                                <a:lnTo>
                                  <a:pt x="184949" y="2501900"/>
                                </a:lnTo>
                                <a:lnTo>
                                  <a:pt x="253324" y="2501900"/>
                                </a:lnTo>
                                <a:lnTo>
                                  <a:pt x="253324" y="2489200"/>
                                </a:lnTo>
                                <a:close/>
                              </a:path>
                              <a:path w="4141470" h="2540000">
                                <a:moveTo>
                                  <a:pt x="328042" y="2489200"/>
                                </a:moveTo>
                                <a:lnTo>
                                  <a:pt x="259674" y="2489200"/>
                                </a:lnTo>
                                <a:lnTo>
                                  <a:pt x="259674" y="2501900"/>
                                </a:lnTo>
                                <a:lnTo>
                                  <a:pt x="328042" y="2501900"/>
                                </a:lnTo>
                                <a:lnTo>
                                  <a:pt x="328042" y="2489200"/>
                                </a:lnTo>
                                <a:close/>
                              </a:path>
                              <a:path w="4141470" h="2540000">
                                <a:moveTo>
                                  <a:pt x="395300" y="2489200"/>
                                </a:moveTo>
                                <a:lnTo>
                                  <a:pt x="334392" y="2489200"/>
                                </a:lnTo>
                                <a:lnTo>
                                  <a:pt x="334392" y="2501900"/>
                                </a:lnTo>
                                <a:lnTo>
                                  <a:pt x="395300" y="2501900"/>
                                </a:lnTo>
                                <a:lnTo>
                                  <a:pt x="395300" y="2489200"/>
                                </a:lnTo>
                                <a:close/>
                              </a:path>
                              <a:path w="4141470" h="2540000">
                                <a:moveTo>
                                  <a:pt x="470023" y="2489200"/>
                                </a:moveTo>
                                <a:lnTo>
                                  <a:pt x="401650" y="2489200"/>
                                </a:lnTo>
                                <a:lnTo>
                                  <a:pt x="401650" y="2501900"/>
                                </a:lnTo>
                                <a:lnTo>
                                  <a:pt x="470023" y="2501900"/>
                                </a:lnTo>
                                <a:lnTo>
                                  <a:pt x="470023" y="2489200"/>
                                </a:lnTo>
                                <a:close/>
                              </a:path>
                              <a:path w="4141470" h="2540000">
                                <a:moveTo>
                                  <a:pt x="544740" y="2489200"/>
                                </a:moveTo>
                                <a:lnTo>
                                  <a:pt x="476373" y="2489200"/>
                                </a:lnTo>
                                <a:lnTo>
                                  <a:pt x="476373" y="2501900"/>
                                </a:lnTo>
                                <a:lnTo>
                                  <a:pt x="544740" y="2501900"/>
                                </a:lnTo>
                                <a:lnTo>
                                  <a:pt x="544740" y="2489200"/>
                                </a:lnTo>
                                <a:close/>
                              </a:path>
                              <a:path w="4141470" h="2540000">
                                <a:moveTo>
                                  <a:pt x="611998" y="2489200"/>
                                </a:moveTo>
                                <a:lnTo>
                                  <a:pt x="551090" y="2489200"/>
                                </a:lnTo>
                                <a:lnTo>
                                  <a:pt x="551090" y="2501900"/>
                                </a:lnTo>
                                <a:lnTo>
                                  <a:pt x="611998" y="2501900"/>
                                </a:lnTo>
                                <a:lnTo>
                                  <a:pt x="611998" y="2489200"/>
                                </a:lnTo>
                                <a:close/>
                              </a:path>
                              <a:path w="4141470" h="2540000">
                                <a:moveTo>
                                  <a:pt x="686723" y="2489200"/>
                                </a:moveTo>
                                <a:lnTo>
                                  <a:pt x="618348" y="2489200"/>
                                </a:lnTo>
                                <a:lnTo>
                                  <a:pt x="618348" y="2501900"/>
                                </a:lnTo>
                                <a:lnTo>
                                  <a:pt x="686723" y="2501900"/>
                                </a:lnTo>
                                <a:lnTo>
                                  <a:pt x="686723" y="2489200"/>
                                </a:lnTo>
                                <a:close/>
                              </a:path>
                              <a:path w="4141470" h="2540000">
                                <a:moveTo>
                                  <a:pt x="761447" y="2489200"/>
                                </a:moveTo>
                                <a:lnTo>
                                  <a:pt x="693073" y="2489200"/>
                                </a:lnTo>
                                <a:lnTo>
                                  <a:pt x="693073" y="2501900"/>
                                </a:lnTo>
                                <a:lnTo>
                                  <a:pt x="761447" y="2501900"/>
                                </a:lnTo>
                                <a:lnTo>
                                  <a:pt x="761447" y="2489200"/>
                                </a:lnTo>
                                <a:close/>
                              </a:path>
                              <a:path w="4141470" h="2540000">
                                <a:moveTo>
                                  <a:pt x="828699" y="2489200"/>
                                </a:moveTo>
                                <a:lnTo>
                                  <a:pt x="767797" y="2489200"/>
                                </a:lnTo>
                                <a:lnTo>
                                  <a:pt x="767797" y="2501900"/>
                                </a:lnTo>
                                <a:lnTo>
                                  <a:pt x="828699" y="2501900"/>
                                </a:lnTo>
                                <a:lnTo>
                                  <a:pt x="828699" y="2489200"/>
                                </a:lnTo>
                                <a:close/>
                              </a:path>
                              <a:path w="4141470" h="2540000">
                                <a:moveTo>
                                  <a:pt x="903423" y="2489200"/>
                                </a:moveTo>
                                <a:lnTo>
                                  <a:pt x="835049" y="2489200"/>
                                </a:lnTo>
                                <a:lnTo>
                                  <a:pt x="835049" y="2501900"/>
                                </a:lnTo>
                                <a:lnTo>
                                  <a:pt x="903423" y="2501900"/>
                                </a:lnTo>
                                <a:lnTo>
                                  <a:pt x="903423" y="2489200"/>
                                </a:lnTo>
                                <a:close/>
                              </a:path>
                              <a:path w="4141470" h="2540000">
                                <a:moveTo>
                                  <a:pt x="978147" y="2489200"/>
                                </a:moveTo>
                                <a:lnTo>
                                  <a:pt x="909773" y="2489200"/>
                                </a:lnTo>
                                <a:lnTo>
                                  <a:pt x="909773" y="2501900"/>
                                </a:lnTo>
                                <a:lnTo>
                                  <a:pt x="978147" y="2501900"/>
                                </a:lnTo>
                                <a:lnTo>
                                  <a:pt x="978147" y="2489200"/>
                                </a:lnTo>
                                <a:close/>
                              </a:path>
                              <a:path w="4141470" h="2540000">
                                <a:moveTo>
                                  <a:pt x="1052871" y="2489200"/>
                                </a:moveTo>
                                <a:lnTo>
                                  <a:pt x="984497" y="2489200"/>
                                </a:lnTo>
                                <a:lnTo>
                                  <a:pt x="984497" y="2501900"/>
                                </a:lnTo>
                                <a:lnTo>
                                  <a:pt x="1052871" y="2501900"/>
                                </a:lnTo>
                                <a:lnTo>
                                  <a:pt x="1052871" y="2489200"/>
                                </a:lnTo>
                                <a:close/>
                              </a:path>
                              <a:path w="4141470" h="2540000">
                                <a:moveTo>
                                  <a:pt x="1120123" y="2489200"/>
                                </a:moveTo>
                                <a:lnTo>
                                  <a:pt x="1059221" y="2489200"/>
                                </a:lnTo>
                                <a:lnTo>
                                  <a:pt x="1059221" y="2501900"/>
                                </a:lnTo>
                                <a:lnTo>
                                  <a:pt x="1120123" y="2501900"/>
                                </a:lnTo>
                                <a:lnTo>
                                  <a:pt x="1120123" y="2489200"/>
                                </a:lnTo>
                                <a:close/>
                              </a:path>
                              <a:path w="4141470" h="2540000">
                                <a:moveTo>
                                  <a:pt x="1194847" y="2489200"/>
                                </a:moveTo>
                                <a:lnTo>
                                  <a:pt x="1126473" y="2489200"/>
                                </a:lnTo>
                                <a:lnTo>
                                  <a:pt x="1126473" y="2501900"/>
                                </a:lnTo>
                                <a:lnTo>
                                  <a:pt x="1194847" y="2501900"/>
                                </a:lnTo>
                                <a:lnTo>
                                  <a:pt x="1194847" y="2489200"/>
                                </a:lnTo>
                                <a:close/>
                              </a:path>
                              <a:path w="4141470" h="2540000">
                                <a:moveTo>
                                  <a:pt x="1269571" y="2489200"/>
                                </a:moveTo>
                                <a:lnTo>
                                  <a:pt x="1201197" y="2489200"/>
                                </a:lnTo>
                                <a:lnTo>
                                  <a:pt x="1201197" y="2501900"/>
                                </a:lnTo>
                                <a:lnTo>
                                  <a:pt x="1269571" y="2501900"/>
                                </a:lnTo>
                                <a:lnTo>
                                  <a:pt x="1269571" y="2489200"/>
                                </a:lnTo>
                                <a:close/>
                              </a:path>
                              <a:path w="4141470" h="2540000">
                                <a:moveTo>
                                  <a:pt x="1336823" y="2489200"/>
                                </a:moveTo>
                                <a:lnTo>
                                  <a:pt x="1275921" y="2489200"/>
                                </a:lnTo>
                                <a:lnTo>
                                  <a:pt x="1275921" y="2501900"/>
                                </a:lnTo>
                                <a:lnTo>
                                  <a:pt x="1336823" y="2501900"/>
                                </a:lnTo>
                                <a:lnTo>
                                  <a:pt x="1336823" y="2489200"/>
                                </a:lnTo>
                                <a:close/>
                              </a:path>
                              <a:path w="4141470" h="2540000">
                                <a:moveTo>
                                  <a:pt x="1411554" y="2489200"/>
                                </a:moveTo>
                                <a:lnTo>
                                  <a:pt x="1343173" y="2489200"/>
                                </a:lnTo>
                                <a:lnTo>
                                  <a:pt x="1343173" y="2501900"/>
                                </a:lnTo>
                                <a:lnTo>
                                  <a:pt x="1411554" y="2501900"/>
                                </a:lnTo>
                                <a:lnTo>
                                  <a:pt x="1411554" y="2489200"/>
                                </a:lnTo>
                                <a:close/>
                              </a:path>
                              <a:path w="4141470" h="2540000">
                                <a:moveTo>
                                  <a:pt x="1486271" y="2489200"/>
                                </a:moveTo>
                                <a:lnTo>
                                  <a:pt x="1417904" y="2489200"/>
                                </a:lnTo>
                                <a:lnTo>
                                  <a:pt x="1417904" y="2501900"/>
                                </a:lnTo>
                                <a:lnTo>
                                  <a:pt x="1486271" y="2501900"/>
                                </a:lnTo>
                                <a:lnTo>
                                  <a:pt x="1486271" y="2489200"/>
                                </a:lnTo>
                                <a:close/>
                              </a:path>
                              <a:path w="4141470" h="2540000">
                                <a:moveTo>
                                  <a:pt x="1553523" y="2489200"/>
                                </a:moveTo>
                                <a:lnTo>
                                  <a:pt x="1492621" y="2489200"/>
                                </a:lnTo>
                                <a:lnTo>
                                  <a:pt x="1492621" y="2501900"/>
                                </a:lnTo>
                                <a:lnTo>
                                  <a:pt x="1553523" y="2501900"/>
                                </a:lnTo>
                                <a:lnTo>
                                  <a:pt x="1553523" y="2489200"/>
                                </a:lnTo>
                                <a:close/>
                              </a:path>
                              <a:path w="4141470" h="2540000">
                                <a:moveTo>
                                  <a:pt x="1628254" y="2489200"/>
                                </a:moveTo>
                                <a:lnTo>
                                  <a:pt x="1559873" y="2489200"/>
                                </a:lnTo>
                                <a:lnTo>
                                  <a:pt x="1559873" y="2501900"/>
                                </a:lnTo>
                                <a:lnTo>
                                  <a:pt x="1628254" y="2501900"/>
                                </a:lnTo>
                                <a:lnTo>
                                  <a:pt x="1628254" y="2489200"/>
                                </a:lnTo>
                                <a:close/>
                              </a:path>
                              <a:path w="4141470" h="2540000">
                                <a:moveTo>
                                  <a:pt x="1702971" y="2489200"/>
                                </a:moveTo>
                                <a:lnTo>
                                  <a:pt x="1634604" y="2489200"/>
                                </a:lnTo>
                                <a:lnTo>
                                  <a:pt x="1634604" y="2501900"/>
                                </a:lnTo>
                                <a:lnTo>
                                  <a:pt x="1702971" y="2501900"/>
                                </a:lnTo>
                                <a:lnTo>
                                  <a:pt x="1702971" y="2489200"/>
                                </a:lnTo>
                                <a:close/>
                              </a:path>
                              <a:path w="4141470" h="2540000">
                                <a:moveTo>
                                  <a:pt x="1770223" y="2489200"/>
                                </a:moveTo>
                                <a:lnTo>
                                  <a:pt x="1709321" y="2489200"/>
                                </a:lnTo>
                                <a:lnTo>
                                  <a:pt x="1709321" y="2501900"/>
                                </a:lnTo>
                                <a:lnTo>
                                  <a:pt x="1770223" y="2501900"/>
                                </a:lnTo>
                                <a:lnTo>
                                  <a:pt x="1770223" y="2489200"/>
                                </a:lnTo>
                                <a:close/>
                              </a:path>
                              <a:path w="4141470" h="2540000">
                                <a:moveTo>
                                  <a:pt x="1844952" y="2489200"/>
                                </a:moveTo>
                                <a:lnTo>
                                  <a:pt x="1776573" y="2489200"/>
                                </a:lnTo>
                                <a:lnTo>
                                  <a:pt x="1776573" y="2501900"/>
                                </a:lnTo>
                                <a:lnTo>
                                  <a:pt x="1844952" y="2501900"/>
                                </a:lnTo>
                                <a:lnTo>
                                  <a:pt x="1844952" y="2489200"/>
                                </a:lnTo>
                                <a:close/>
                              </a:path>
                              <a:path w="4141470" h="2540000">
                                <a:moveTo>
                                  <a:pt x="1919670" y="2489200"/>
                                </a:moveTo>
                                <a:lnTo>
                                  <a:pt x="1851302" y="2489200"/>
                                </a:lnTo>
                                <a:lnTo>
                                  <a:pt x="1851302" y="2501900"/>
                                </a:lnTo>
                                <a:lnTo>
                                  <a:pt x="1919670" y="2501900"/>
                                </a:lnTo>
                                <a:lnTo>
                                  <a:pt x="1919670" y="2489200"/>
                                </a:lnTo>
                                <a:close/>
                              </a:path>
                              <a:path w="4141470" h="2540000">
                                <a:moveTo>
                                  <a:pt x="1986928" y="2489200"/>
                                </a:moveTo>
                                <a:lnTo>
                                  <a:pt x="1926020" y="2489200"/>
                                </a:lnTo>
                                <a:lnTo>
                                  <a:pt x="1926020" y="2501900"/>
                                </a:lnTo>
                                <a:lnTo>
                                  <a:pt x="1986928" y="2501900"/>
                                </a:lnTo>
                                <a:lnTo>
                                  <a:pt x="1986928" y="2489200"/>
                                </a:lnTo>
                                <a:close/>
                              </a:path>
                              <a:path w="4141470" h="2540000">
                                <a:moveTo>
                                  <a:pt x="2061646" y="2489200"/>
                                </a:moveTo>
                                <a:lnTo>
                                  <a:pt x="1993278" y="2489200"/>
                                </a:lnTo>
                                <a:lnTo>
                                  <a:pt x="1993278" y="2501900"/>
                                </a:lnTo>
                                <a:lnTo>
                                  <a:pt x="2061646" y="2501900"/>
                                </a:lnTo>
                                <a:lnTo>
                                  <a:pt x="2061646" y="2489200"/>
                                </a:lnTo>
                                <a:close/>
                              </a:path>
                              <a:path w="4141470" h="2540000">
                                <a:moveTo>
                                  <a:pt x="2136371" y="2489200"/>
                                </a:moveTo>
                                <a:lnTo>
                                  <a:pt x="2067996" y="2489200"/>
                                </a:lnTo>
                                <a:lnTo>
                                  <a:pt x="2067996" y="2501900"/>
                                </a:lnTo>
                                <a:lnTo>
                                  <a:pt x="2136371" y="2501900"/>
                                </a:lnTo>
                                <a:lnTo>
                                  <a:pt x="2136371" y="2489200"/>
                                </a:lnTo>
                                <a:close/>
                              </a:path>
                              <a:path w="4141470" h="2540000">
                                <a:moveTo>
                                  <a:pt x="2203629" y="2489200"/>
                                </a:moveTo>
                                <a:lnTo>
                                  <a:pt x="2142721" y="2489200"/>
                                </a:lnTo>
                                <a:lnTo>
                                  <a:pt x="2142721" y="2501900"/>
                                </a:lnTo>
                                <a:lnTo>
                                  <a:pt x="2203629" y="2501900"/>
                                </a:lnTo>
                                <a:lnTo>
                                  <a:pt x="2203629" y="2489200"/>
                                </a:lnTo>
                                <a:close/>
                              </a:path>
                              <a:path w="4141470" h="2540000">
                                <a:moveTo>
                                  <a:pt x="2278353" y="2489200"/>
                                </a:moveTo>
                                <a:lnTo>
                                  <a:pt x="2209979" y="2489200"/>
                                </a:lnTo>
                                <a:lnTo>
                                  <a:pt x="2209979" y="2501900"/>
                                </a:lnTo>
                                <a:lnTo>
                                  <a:pt x="2278353" y="2501900"/>
                                </a:lnTo>
                                <a:lnTo>
                                  <a:pt x="2278353" y="2489200"/>
                                </a:lnTo>
                                <a:close/>
                              </a:path>
                              <a:path w="4141470" h="2540000">
                                <a:moveTo>
                                  <a:pt x="2353077" y="2489200"/>
                                </a:moveTo>
                                <a:lnTo>
                                  <a:pt x="2284703" y="2489200"/>
                                </a:lnTo>
                                <a:lnTo>
                                  <a:pt x="2284703" y="2501900"/>
                                </a:lnTo>
                                <a:lnTo>
                                  <a:pt x="2353077" y="2501900"/>
                                </a:lnTo>
                                <a:lnTo>
                                  <a:pt x="2353077" y="2489200"/>
                                </a:lnTo>
                                <a:close/>
                              </a:path>
                              <a:path w="4141470" h="2540000">
                                <a:moveTo>
                                  <a:pt x="2420335" y="2489200"/>
                                </a:moveTo>
                                <a:lnTo>
                                  <a:pt x="2359427" y="2489200"/>
                                </a:lnTo>
                                <a:lnTo>
                                  <a:pt x="2359427" y="2501900"/>
                                </a:lnTo>
                                <a:lnTo>
                                  <a:pt x="2420335" y="2501900"/>
                                </a:lnTo>
                                <a:lnTo>
                                  <a:pt x="2420335" y="2489200"/>
                                </a:lnTo>
                                <a:close/>
                              </a:path>
                              <a:path w="4141470" h="2540000">
                                <a:moveTo>
                                  <a:pt x="2495046" y="2489200"/>
                                </a:moveTo>
                                <a:lnTo>
                                  <a:pt x="2426685" y="2489200"/>
                                </a:lnTo>
                                <a:lnTo>
                                  <a:pt x="2426685" y="2501900"/>
                                </a:lnTo>
                                <a:lnTo>
                                  <a:pt x="2495046" y="2501900"/>
                                </a:lnTo>
                                <a:lnTo>
                                  <a:pt x="2495046" y="2489200"/>
                                </a:lnTo>
                                <a:close/>
                              </a:path>
                              <a:path w="4141470" h="2540000">
                                <a:moveTo>
                                  <a:pt x="2569771" y="2489200"/>
                                </a:moveTo>
                                <a:lnTo>
                                  <a:pt x="2501396" y="2489200"/>
                                </a:lnTo>
                                <a:lnTo>
                                  <a:pt x="2501396" y="2501900"/>
                                </a:lnTo>
                                <a:lnTo>
                                  <a:pt x="2569771" y="2501900"/>
                                </a:lnTo>
                                <a:lnTo>
                                  <a:pt x="2569771" y="2489200"/>
                                </a:lnTo>
                                <a:close/>
                              </a:path>
                              <a:path w="4141470" h="2540000">
                                <a:moveTo>
                                  <a:pt x="2637029" y="2489200"/>
                                </a:moveTo>
                                <a:lnTo>
                                  <a:pt x="2576121" y="2489200"/>
                                </a:lnTo>
                                <a:lnTo>
                                  <a:pt x="2576121" y="2501900"/>
                                </a:lnTo>
                                <a:lnTo>
                                  <a:pt x="2637029" y="2501900"/>
                                </a:lnTo>
                                <a:lnTo>
                                  <a:pt x="2637029" y="2489200"/>
                                </a:lnTo>
                                <a:close/>
                              </a:path>
                              <a:path w="4141470" h="2540000">
                                <a:moveTo>
                                  <a:pt x="2711753" y="2489200"/>
                                </a:moveTo>
                                <a:lnTo>
                                  <a:pt x="2643379" y="2489200"/>
                                </a:lnTo>
                                <a:lnTo>
                                  <a:pt x="2643379" y="2501900"/>
                                </a:lnTo>
                                <a:lnTo>
                                  <a:pt x="2711753" y="2501900"/>
                                </a:lnTo>
                                <a:lnTo>
                                  <a:pt x="2711753" y="2489200"/>
                                </a:lnTo>
                                <a:close/>
                              </a:path>
                              <a:path w="4141470" h="2540000">
                                <a:moveTo>
                                  <a:pt x="2786477" y="2489200"/>
                                </a:moveTo>
                                <a:lnTo>
                                  <a:pt x="2718103" y="2489200"/>
                                </a:lnTo>
                                <a:lnTo>
                                  <a:pt x="2718103" y="2501900"/>
                                </a:lnTo>
                                <a:lnTo>
                                  <a:pt x="2786477" y="2501900"/>
                                </a:lnTo>
                                <a:lnTo>
                                  <a:pt x="2786477" y="2489200"/>
                                </a:lnTo>
                                <a:close/>
                              </a:path>
                              <a:path w="4141470" h="2540000">
                                <a:moveTo>
                                  <a:pt x="2853735" y="2489200"/>
                                </a:moveTo>
                                <a:lnTo>
                                  <a:pt x="2792827" y="2489200"/>
                                </a:lnTo>
                                <a:lnTo>
                                  <a:pt x="2792827" y="2501900"/>
                                </a:lnTo>
                                <a:lnTo>
                                  <a:pt x="2853735" y="2501900"/>
                                </a:lnTo>
                                <a:lnTo>
                                  <a:pt x="2853735" y="2489200"/>
                                </a:lnTo>
                                <a:close/>
                              </a:path>
                              <a:path w="4141470" h="2540000">
                                <a:moveTo>
                                  <a:pt x="2928447" y="2489200"/>
                                </a:moveTo>
                                <a:lnTo>
                                  <a:pt x="2860085" y="2489200"/>
                                </a:lnTo>
                                <a:lnTo>
                                  <a:pt x="2860085" y="2501900"/>
                                </a:lnTo>
                                <a:lnTo>
                                  <a:pt x="2928447" y="2501900"/>
                                </a:lnTo>
                                <a:lnTo>
                                  <a:pt x="2928447" y="2489200"/>
                                </a:lnTo>
                                <a:close/>
                              </a:path>
                              <a:path w="4141470" h="2540000">
                                <a:moveTo>
                                  <a:pt x="3003171" y="2489200"/>
                                </a:moveTo>
                                <a:lnTo>
                                  <a:pt x="2934797" y="2489200"/>
                                </a:lnTo>
                                <a:lnTo>
                                  <a:pt x="2934797" y="2501900"/>
                                </a:lnTo>
                                <a:lnTo>
                                  <a:pt x="3003171" y="2501900"/>
                                </a:lnTo>
                                <a:lnTo>
                                  <a:pt x="3003171" y="2489200"/>
                                </a:lnTo>
                                <a:close/>
                              </a:path>
                              <a:path w="4141470" h="2540000">
                                <a:moveTo>
                                  <a:pt x="3077895" y="2489200"/>
                                </a:moveTo>
                                <a:lnTo>
                                  <a:pt x="3009521" y="2489200"/>
                                </a:lnTo>
                                <a:lnTo>
                                  <a:pt x="3009521" y="2501900"/>
                                </a:lnTo>
                                <a:lnTo>
                                  <a:pt x="3077895" y="2501900"/>
                                </a:lnTo>
                                <a:lnTo>
                                  <a:pt x="3077895" y="2489200"/>
                                </a:lnTo>
                                <a:close/>
                              </a:path>
                              <a:path w="4141470" h="2540000">
                                <a:moveTo>
                                  <a:pt x="3145153" y="2489200"/>
                                </a:moveTo>
                                <a:lnTo>
                                  <a:pt x="3084245" y="2489200"/>
                                </a:lnTo>
                                <a:lnTo>
                                  <a:pt x="3084245" y="2501900"/>
                                </a:lnTo>
                                <a:lnTo>
                                  <a:pt x="3145153" y="2501900"/>
                                </a:lnTo>
                                <a:lnTo>
                                  <a:pt x="3145153" y="2489200"/>
                                </a:lnTo>
                                <a:close/>
                              </a:path>
                              <a:path w="4141470" h="2540000">
                                <a:moveTo>
                                  <a:pt x="3219877" y="2489200"/>
                                </a:moveTo>
                                <a:lnTo>
                                  <a:pt x="3151503" y="2489200"/>
                                </a:lnTo>
                                <a:lnTo>
                                  <a:pt x="3151503" y="2501900"/>
                                </a:lnTo>
                                <a:lnTo>
                                  <a:pt x="3219877" y="2501900"/>
                                </a:lnTo>
                                <a:lnTo>
                                  <a:pt x="3219877" y="2489200"/>
                                </a:lnTo>
                                <a:close/>
                              </a:path>
                              <a:path w="4141470" h="2540000">
                                <a:moveTo>
                                  <a:pt x="3294589" y="2489200"/>
                                </a:moveTo>
                                <a:lnTo>
                                  <a:pt x="3226227" y="2489200"/>
                                </a:lnTo>
                                <a:lnTo>
                                  <a:pt x="3226227" y="2501900"/>
                                </a:lnTo>
                                <a:lnTo>
                                  <a:pt x="3294589" y="2501900"/>
                                </a:lnTo>
                                <a:lnTo>
                                  <a:pt x="3294589" y="2489200"/>
                                </a:lnTo>
                                <a:close/>
                              </a:path>
                              <a:path w="4141470" h="2540000">
                                <a:moveTo>
                                  <a:pt x="3361847" y="2489200"/>
                                </a:moveTo>
                                <a:lnTo>
                                  <a:pt x="3300939" y="2489200"/>
                                </a:lnTo>
                                <a:lnTo>
                                  <a:pt x="3300939" y="2501900"/>
                                </a:lnTo>
                                <a:lnTo>
                                  <a:pt x="3361847" y="2501900"/>
                                </a:lnTo>
                                <a:lnTo>
                                  <a:pt x="3361847" y="2489200"/>
                                </a:lnTo>
                                <a:close/>
                              </a:path>
                              <a:path w="4141470" h="2540000">
                                <a:moveTo>
                                  <a:pt x="3436571" y="2489200"/>
                                </a:moveTo>
                                <a:lnTo>
                                  <a:pt x="3368197" y="2489200"/>
                                </a:lnTo>
                                <a:lnTo>
                                  <a:pt x="3368197" y="2501900"/>
                                </a:lnTo>
                                <a:lnTo>
                                  <a:pt x="3436571" y="2501900"/>
                                </a:lnTo>
                                <a:lnTo>
                                  <a:pt x="3436571" y="2489200"/>
                                </a:lnTo>
                                <a:close/>
                              </a:path>
                              <a:path w="4141470" h="2540000">
                                <a:moveTo>
                                  <a:pt x="3511295" y="2489200"/>
                                </a:moveTo>
                                <a:lnTo>
                                  <a:pt x="3442921" y="2489200"/>
                                </a:lnTo>
                                <a:lnTo>
                                  <a:pt x="3442921" y="2501900"/>
                                </a:lnTo>
                                <a:lnTo>
                                  <a:pt x="3511295" y="2501900"/>
                                </a:lnTo>
                                <a:lnTo>
                                  <a:pt x="3511295" y="2489200"/>
                                </a:lnTo>
                                <a:close/>
                              </a:path>
                              <a:path w="4141470" h="2540000">
                                <a:moveTo>
                                  <a:pt x="3578553" y="2489200"/>
                                </a:moveTo>
                                <a:lnTo>
                                  <a:pt x="3517645" y="2489200"/>
                                </a:lnTo>
                                <a:lnTo>
                                  <a:pt x="3517645" y="2501900"/>
                                </a:lnTo>
                                <a:lnTo>
                                  <a:pt x="3578553" y="2501900"/>
                                </a:lnTo>
                                <a:lnTo>
                                  <a:pt x="3578553" y="2489200"/>
                                </a:lnTo>
                                <a:close/>
                              </a:path>
                              <a:path w="4141470" h="2540000">
                                <a:moveTo>
                                  <a:pt x="3653276" y="2489200"/>
                                </a:moveTo>
                                <a:lnTo>
                                  <a:pt x="3584903" y="2489200"/>
                                </a:lnTo>
                                <a:lnTo>
                                  <a:pt x="3584903" y="2501900"/>
                                </a:lnTo>
                                <a:lnTo>
                                  <a:pt x="3653276" y="2501900"/>
                                </a:lnTo>
                                <a:lnTo>
                                  <a:pt x="3653276" y="2489200"/>
                                </a:lnTo>
                                <a:close/>
                              </a:path>
                              <a:path w="4141470" h="2540000">
                                <a:moveTo>
                                  <a:pt x="3727989" y="2489200"/>
                                </a:moveTo>
                                <a:lnTo>
                                  <a:pt x="3659626" y="2489200"/>
                                </a:lnTo>
                                <a:lnTo>
                                  <a:pt x="3659626" y="2501900"/>
                                </a:lnTo>
                                <a:lnTo>
                                  <a:pt x="3727989" y="2501900"/>
                                </a:lnTo>
                                <a:lnTo>
                                  <a:pt x="3727989" y="2489200"/>
                                </a:lnTo>
                                <a:close/>
                              </a:path>
                              <a:path w="4141470" h="2540000">
                                <a:moveTo>
                                  <a:pt x="3795258" y="2489200"/>
                                </a:moveTo>
                                <a:lnTo>
                                  <a:pt x="3734339" y="2489200"/>
                                </a:lnTo>
                                <a:lnTo>
                                  <a:pt x="3734339" y="2501900"/>
                                </a:lnTo>
                                <a:lnTo>
                                  <a:pt x="3795258" y="2501900"/>
                                </a:lnTo>
                                <a:lnTo>
                                  <a:pt x="3795258" y="2489200"/>
                                </a:lnTo>
                                <a:close/>
                              </a:path>
                              <a:path w="4141470" h="2540000">
                                <a:moveTo>
                                  <a:pt x="3869970" y="2489200"/>
                                </a:moveTo>
                                <a:lnTo>
                                  <a:pt x="3801608" y="2489200"/>
                                </a:lnTo>
                                <a:lnTo>
                                  <a:pt x="3801608" y="2501900"/>
                                </a:lnTo>
                                <a:lnTo>
                                  <a:pt x="3869970" y="2501900"/>
                                </a:lnTo>
                                <a:lnTo>
                                  <a:pt x="3869970" y="2489200"/>
                                </a:lnTo>
                                <a:close/>
                              </a:path>
                              <a:path w="4141470" h="2540000">
                                <a:moveTo>
                                  <a:pt x="3944694" y="2489200"/>
                                </a:moveTo>
                                <a:lnTo>
                                  <a:pt x="3876320" y="2489200"/>
                                </a:lnTo>
                                <a:lnTo>
                                  <a:pt x="3876320" y="2501900"/>
                                </a:lnTo>
                                <a:lnTo>
                                  <a:pt x="3944694" y="2501900"/>
                                </a:lnTo>
                                <a:lnTo>
                                  <a:pt x="3944694" y="2489200"/>
                                </a:lnTo>
                                <a:close/>
                              </a:path>
                              <a:path w="4141470" h="2540000">
                                <a:moveTo>
                                  <a:pt x="4011952" y="2489200"/>
                                </a:moveTo>
                                <a:lnTo>
                                  <a:pt x="3951044" y="2489200"/>
                                </a:lnTo>
                                <a:lnTo>
                                  <a:pt x="3951044" y="2501900"/>
                                </a:lnTo>
                                <a:lnTo>
                                  <a:pt x="4011952" y="2501900"/>
                                </a:lnTo>
                                <a:lnTo>
                                  <a:pt x="4011952" y="2489200"/>
                                </a:lnTo>
                                <a:close/>
                              </a:path>
                              <a:path w="4141470" h="2540000">
                                <a:moveTo>
                                  <a:pt x="4086676" y="2489200"/>
                                </a:moveTo>
                                <a:lnTo>
                                  <a:pt x="4018302" y="2489200"/>
                                </a:lnTo>
                                <a:lnTo>
                                  <a:pt x="4018302" y="2501900"/>
                                </a:lnTo>
                                <a:lnTo>
                                  <a:pt x="4086676" y="2501900"/>
                                </a:lnTo>
                                <a:lnTo>
                                  <a:pt x="4086676" y="2489200"/>
                                </a:lnTo>
                                <a:close/>
                              </a:path>
                              <a:path w="4141470" h="2540000">
                                <a:moveTo>
                                  <a:pt x="4093026" y="2489200"/>
                                </a:moveTo>
                                <a:lnTo>
                                  <a:pt x="4089666" y="2489200"/>
                                </a:lnTo>
                                <a:lnTo>
                                  <a:pt x="4089666" y="2501900"/>
                                </a:lnTo>
                                <a:lnTo>
                                  <a:pt x="4093026" y="2501900"/>
                                </a:lnTo>
                                <a:lnTo>
                                  <a:pt x="4093026" y="2489200"/>
                                </a:lnTo>
                                <a:close/>
                              </a:path>
                              <a:path w="4141470" h="2540000">
                                <a:moveTo>
                                  <a:pt x="4140850" y="2489200"/>
                                </a:moveTo>
                                <a:lnTo>
                                  <a:pt x="4093026" y="2489200"/>
                                </a:lnTo>
                                <a:lnTo>
                                  <a:pt x="4093026" y="2501900"/>
                                </a:lnTo>
                                <a:lnTo>
                                  <a:pt x="4140850" y="2501900"/>
                                </a:lnTo>
                                <a:lnTo>
                                  <a:pt x="4140850" y="2489200"/>
                                </a:lnTo>
                                <a:close/>
                              </a:path>
                              <a:path w="4141470" h="2540000">
                                <a:moveTo>
                                  <a:pt x="4093026" y="2070100"/>
                                </a:moveTo>
                                <a:lnTo>
                                  <a:pt x="4089666" y="2070100"/>
                                </a:lnTo>
                                <a:lnTo>
                                  <a:pt x="4089666" y="2082800"/>
                                </a:lnTo>
                                <a:lnTo>
                                  <a:pt x="4093026" y="2082800"/>
                                </a:lnTo>
                                <a:lnTo>
                                  <a:pt x="4093026" y="2070100"/>
                                </a:lnTo>
                                <a:close/>
                              </a:path>
                              <a:path w="4141470" h="2540000">
                                <a:moveTo>
                                  <a:pt x="4140850" y="2070100"/>
                                </a:moveTo>
                                <a:lnTo>
                                  <a:pt x="4093026" y="2070100"/>
                                </a:lnTo>
                                <a:lnTo>
                                  <a:pt x="4093026" y="2082800"/>
                                </a:lnTo>
                                <a:lnTo>
                                  <a:pt x="4140850" y="2082800"/>
                                </a:lnTo>
                                <a:lnTo>
                                  <a:pt x="4140850" y="2070100"/>
                                </a:lnTo>
                                <a:close/>
                              </a:path>
                              <a:path w="4141470" h="2540000">
                                <a:moveTo>
                                  <a:pt x="4093026" y="1663700"/>
                                </a:moveTo>
                                <a:lnTo>
                                  <a:pt x="4089666" y="1663700"/>
                                </a:lnTo>
                                <a:lnTo>
                                  <a:pt x="4089666" y="1676400"/>
                                </a:lnTo>
                                <a:lnTo>
                                  <a:pt x="4093026" y="1676400"/>
                                </a:lnTo>
                                <a:lnTo>
                                  <a:pt x="4093026" y="1663700"/>
                                </a:lnTo>
                                <a:close/>
                              </a:path>
                              <a:path w="4141470" h="2540000">
                                <a:moveTo>
                                  <a:pt x="4140850" y="1663700"/>
                                </a:moveTo>
                                <a:lnTo>
                                  <a:pt x="4093026" y="1663700"/>
                                </a:lnTo>
                                <a:lnTo>
                                  <a:pt x="4093026" y="1676400"/>
                                </a:lnTo>
                                <a:lnTo>
                                  <a:pt x="4140850" y="1676400"/>
                                </a:lnTo>
                                <a:lnTo>
                                  <a:pt x="4140850" y="1663700"/>
                                </a:lnTo>
                                <a:close/>
                              </a:path>
                              <a:path w="4141470" h="2540000">
                                <a:moveTo>
                                  <a:pt x="31569" y="1485900"/>
                                </a:moveTo>
                                <a:lnTo>
                                  <a:pt x="0" y="1485900"/>
                                </a:lnTo>
                                <a:lnTo>
                                  <a:pt x="0" y="1498600"/>
                                </a:lnTo>
                                <a:lnTo>
                                  <a:pt x="31569" y="1498600"/>
                                </a:lnTo>
                                <a:lnTo>
                                  <a:pt x="31569" y="1485900"/>
                                </a:lnTo>
                                <a:close/>
                              </a:path>
                              <a:path w="4141470" h="2540000">
                                <a:moveTo>
                                  <a:pt x="4093026" y="1244600"/>
                                </a:moveTo>
                                <a:lnTo>
                                  <a:pt x="4089666" y="1244600"/>
                                </a:lnTo>
                                <a:lnTo>
                                  <a:pt x="4089666" y="1257300"/>
                                </a:lnTo>
                                <a:lnTo>
                                  <a:pt x="4093026" y="1257300"/>
                                </a:lnTo>
                                <a:lnTo>
                                  <a:pt x="4093026" y="1244600"/>
                                </a:lnTo>
                                <a:close/>
                              </a:path>
                              <a:path w="4141470" h="2540000">
                                <a:moveTo>
                                  <a:pt x="4140850" y="1244600"/>
                                </a:moveTo>
                                <a:lnTo>
                                  <a:pt x="4093026" y="1244600"/>
                                </a:lnTo>
                                <a:lnTo>
                                  <a:pt x="4093026" y="1257300"/>
                                </a:lnTo>
                                <a:lnTo>
                                  <a:pt x="4140850" y="1257300"/>
                                </a:lnTo>
                                <a:lnTo>
                                  <a:pt x="4140850" y="1244600"/>
                                </a:lnTo>
                                <a:close/>
                              </a:path>
                              <a:path w="4141470" h="2540000">
                                <a:moveTo>
                                  <a:pt x="4093026" y="825500"/>
                                </a:moveTo>
                                <a:lnTo>
                                  <a:pt x="4089666" y="825500"/>
                                </a:lnTo>
                                <a:lnTo>
                                  <a:pt x="4089666" y="838200"/>
                                </a:lnTo>
                                <a:lnTo>
                                  <a:pt x="4093026" y="838200"/>
                                </a:lnTo>
                                <a:lnTo>
                                  <a:pt x="4093026" y="825500"/>
                                </a:lnTo>
                                <a:close/>
                              </a:path>
                              <a:path w="4141470" h="2540000">
                                <a:moveTo>
                                  <a:pt x="4140850" y="825500"/>
                                </a:moveTo>
                                <a:lnTo>
                                  <a:pt x="4093026" y="825500"/>
                                </a:lnTo>
                                <a:lnTo>
                                  <a:pt x="4093026" y="838200"/>
                                </a:lnTo>
                                <a:lnTo>
                                  <a:pt x="4140850" y="838200"/>
                                </a:lnTo>
                                <a:lnTo>
                                  <a:pt x="4140850" y="825500"/>
                                </a:lnTo>
                                <a:close/>
                              </a:path>
                              <a:path w="4141470" h="2540000">
                                <a:moveTo>
                                  <a:pt x="31569" y="495300"/>
                                </a:moveTo>
                                <a:lnTo>
                                  <a:pt x="0" y="495300"/>
                                </a:lnTo>
                                <a:lnTo>
                                  <a:pt x="0" y="508000"/>
                                </a:lnTo>
                                <a:lnTo>
                                  <a:pt x="31569" y="508000"/>
                                </a:lnTo>
                                <a:lnTo>
                                  <a:pt x="31569" y="495300"/>
                                </a:lnTo>
                                <a:close/>
                              </a:path>
                            </a:pathLst>
                          </a:custGeom>
                          <a:solidFill>
                            <a:srgbClr val="000000"/>
                          </a:solidFill>
                        </wps:spPr>
                        <wps:bodyPr wrap="square" lIns="0" tIns="0" rIns="0" bIns="0" rtlCol="0">
                          <a:prstTxWarp prst="textNoShape">
                            <a:avLst/>
                          </a:prstTxWarp>
                          <a:noAutofit/>
                        </wps:bodyPr>
                      </wps:wsp>
                      <wps:wsp>
                        <wps:cNvPr id="1374" name="Graphic 1374"/>
                        <wps:cNvSpPr/>
                        <wps:spPr>
                          <a:xfrm>
                            <a:off x="734993" y="671008"/>
                            <a:ext cx="4005579" cy="2273300"/>
                          </a:xfrm>
                          <a:custGeom>
                            <a:avLst/>
                            <a:gdLst/>
                            <a:ahLst/>
                            <a:cxnLst/>
                            <a:rect l="l" t="t" r="r" b="b"/>
                            <a:pathLst>
                              <a:path w="4005579" h="2273300">
                                <a:moveTo>
                                  <a:pt x="75872" y="2250861"/>
                                </a:moveTo>
                                <a:lnTo>
                                  <a:pt x="0" y="2260600"/>
                                </a:lnTo>
                                <a:lnTo>
                                  <a:pt x="2419" y="2273300"/>
                                </a:lnTo>
                                <a:lnTo>
                                  <a:pt x="75872" y="2273300"/>
                                </a:lnTo>
                                <a:lnTo>
                                  <a:pt x="75872" y="2250861"/>
                                </a:lnTo>
                                <a:close/>
                              </a:path>
                              <a:path w="4005579" h="2273300">
                                <a:moveTo>
                                  <a:pt x="98943" y="2247900"/>
                                </a:moveTo>
                                <a:lnTo>
                                  <a:pt x="75872" y="2250861"/>
                                </a:lnTo>
                                <a:lnTo>
                                  <a:pt x="75872" y="2273300"/>
                                </a:lnTo>
                                <a:lnTo>
                                  <a:pt x="101362" y="2273300"/>
                                </a:lnTo>
                                <a:lnTo>
                                  <a:pt x="98943" y="2247900"/>
                                </a:lnTo>
                                <a:close/>
                              </a:path>
                              <a:path w="4005579" h="2273300">
                                <a:moveTo>
                                  <a:pt x="141971" y="2247900"/>
                                </a:moveTo>
                                <a:lnTo>
                                  <a:pt x="98943" y="2247900"/>
                                </a:lnTo>
                                <a:lnTo>
                                  <a:pt x="101362" y="2273300"/>
                                </a:lnTo>
                                <a:lnTo>
                                  <a:pt x="144387" y="2273300"/>
                                </a:lnTo>
                                <a:lnTo>
                                  <a:pt x="141971" y="2247900"/>
                                </a:lnTo>
                                <a:close/>
                              </a:path>
                              <a:path w="4005579" h="2273300">
                                <a:moveTo>
                                  <a:pt x="217848" y="2238161"/>
                                </a:moveTo>
                                <a:lnTo>
                                  <a:pt x="141971" y="2247900"/>
                                </a:lnTo>
                                <a:lnTo>
                                  <a:pt x="144387" y="2273300"/>
                                </a:lnTo>
                                <a:lnTo>
                                  <a:pt x="167459" y="2270338"/>
                                </a:lnTo>
                                <a:lnTo>
                                  <a:pt x="167459" y="2247900"/>
                                </a:lnTo>
                                <a:lnTo>
                                  <a:pt x="217848" y="2247900"/>
                                </a:lnTo>
                                <a:lnTo>
                                  <a:pt x="217848" y="2238161"/>
                                </a:lnTo>
                                <a:close/>
                              </a:path>
                              <a:path w="4005579" h="2273300">
                                <a:moveTo>
                                  <a:pt x="167459" y="2270338"/>
                                </a:moveTo>
                                <a:lnTo>
                                  <a:pt x="144387" y="2273300"/>
                                </a:lnTo>
                                <a:lnTo>
                                  <a:pt x="167459" y="2273300"/>
                                </a:lnTo>
                                <a:lnTo>
                                  <a:pt x="167459" y="2270338"/>
                                </a:lnTo>
                                <a:close/>
                              </a:path>
                              <a:path w="4005579" h="2273300">
                                <a:moveTo>
                                  <a:pt x="217848" y="2247900"/>
                                </a:moveTo>
                                <a:lnTo>
                                  <a:pt x="167459" y="2247900"/>
                                </a:lnTo>
                                <a:lnTo>
                                  <a:pt x="167459" y="2270338"/>
                                </a:lnTo>
                                <a:lnTo>
                                  <a:pt x="243336" y="2260600"/>
                                </a:lnTo>
                                <a:lnTo>
                                  <a:pt x="217848" y="2260600"/>
                                </a:lnTo>
                                <a:lnTo>
                                  <a:pt x="217848" y="2247900"/>
                                </a:lnTo>
                                <a:close/>
                              </a:path>
                              <a:path w="4005579" h="2273300">
                                <a:moveTo>
                                  <a:pt x="240920" y="2235200"/>
                                </a:moveTo>
                                <a:lnTo>
                                  <a:pt x="217848" y="2238161"/>
                                </a:lnTo>
                                <a:lnTo>
                                  <a:pt x="217848" y="2260600"/>
                                </a:lnTo>
                                <a:lnTo>
                                  <a:pt x="243336" y="2260600"/>
                                </a:lnTo>
                                <a:lnTo>
                                  <a:pt x="240920" y="2235200"/>
                                </a:lnTo>
                                <a:close/>
                              </a:path>
                              <a:path w="4005579" h="2273300">
                                <a:moveTo>
                                  <a:pt x="291302" y="2235200"/>
                                </a:moveTo>
                                <a:lnTo>
                                  <a:pt x="240920" y="2235200"/>
                                </a:lnTo>
                                <a:lnTo>
                                  <a:pt x="243336" y="2260600"/>
                                </a:lnTo>
                                <a:lnTo>
                                  <a:pt x="293992" y="2260600"/>
                                </a:lnTo>
                                <a:lnTo>
                                  <a:pt x="291302" y="2235200"/>
                                </a:lnTo>
                                <a:close/>
                              </a:path>
                              <a:path w="4005579" h="2273300">
                                <a:moveTo>
                                  <a:pt x="316913" y="2235200"/>
                                </a:moveTo>
                                <a:lnTo>
                                  <a:pt x="291302" y="2235200"/>
                                </a:lnTo>
                                <a:lnTo>
                                  <a:pt x="293992" y="2260600"/>
                                </a:lnTo>
                                <a:lnTo>
                                  <a:pt x="316913" y="2260600"/>
                                </a:lnTo>
                                <a:lnTo>
                                  <a:pt x="316913" y="2235200"/>
                                </a:lnTo>
                                <a:close/>
                              </a:path>
                              <a:path w="4005579" h="2273300">
                                <a:moveTo>
                                  <a:pt x="358676" y="2235200"/>
                                </a:moveTo>
                                <a:lnTo>
                                  <a:pt x="316913" y="2235200"/>
                                </a:lnTo>
                                <a:lnTo>
                                  <a:pt x="316913" y="2260600"/>
                                </a:lnTo>
                                <a:lnTo>
                                  <a:pt x="361092" y="2260600"/>
                                </a:lnTo>
                                <a:lnTo>
                                  <a:pt x="358676" y="2235200"/>
                                </a:lnTo>
                                <a:close/>
                              </a:path>
                              <a:path w="4005579" h="2273300">
                                <a:moveTo>
                                  <a:pt x="433691" y="2225571"/>
                                </a:moveTo>
                                <a:lnTo>
                                  <a:pt x="358676" y="2235200"/>
                                </a:lnTo>
                                <a:lnTo>
                                  <a:pt x="361092" y="2260600"/>
                                </a:lnTo>
                                <a:lnTo>
                                  <a:pt x="385108" y="2257517"/>
                                </a:lnTo>
                                <a:lnTo>
                                  <a:pt x="382745" y="2235200"/>
                                </a:lnTo>
                                <a:lnTo>
                                  <a:pt x="434608" y="2235200"/>
                                </a:lnTo>
                                <a:lnTo>
                                  <a:pt x="433691" y="2225571"/>
                                </a:lnTo>
                                <a:close/>
                              </a:path>
                              <a:path w="4005579" h="2273300">
                                <a:moveTo>
                                  <a:pt x="385108" y="2257517"/>
                                </a:moveTo>
                                <a:lnTo>
                                  <a:pt x="361092" y="2260600"/>
                                </a:lnTo>
                                <a:lnTo>
                                  <a:pt x="385435" y="2260600"/>
                                </a:lnTo>
                                <a:lnTo>
                                  <a:pt x="385108" y="2257517"/>
                                </a:lnTo>
                                <a:close/>
                              </a:path>
                              <a:path w="4005579" h="2273300">
                                <a:moveTo>
                                  <a:pt x="434608" y="2235200"/>
                                </a:moveTo>
                                <a:lnTo>
                                  <a:pt x="382745" y="2235200"/>
                                </a:lnTo>
                                <a:lnTo>
                                  <a:pt x="385108" y="2257517"/>
                                </a:lnTo>
                                <a:lnTo>
                                  <a:pt x="460037" y="2247900"/>
                                </a:lnTo>
                                <a:lnTo>
                                  <a:pt x="435818" y="2247900"/>
                                </a:lnTo>
                                <a:lnTo>
                                  <a:pt x="434608" y="2235200"/>
                                </a:lnTo>
                                <a:close/>
                              </a:path>
                              <a:path w="4005579" h="2273300">
                                <a:moveTo>
                                  <a:pt x="98943" y="2247900"/>
                                </a:moveTo>
                                <a:lnTo>
                                  <a:pt x="75872" y="2247900"/>
                                </a:lnTo>
                                <a:lnTo>
                                  <a:pt x="75872" y="2250861"/>
                                </a:lnTo>
                                <a:lnTo>
                                  <a:pt x="98943" y="2247900"/>
                                </a:lnTo>
                                <a:close/>
                              </a:path>
                              <a:path w="4005579" h="2273300">
                                <a:moveTo>
                                  <a:pt x="457621" y="2222500"/>
                                </a:moveTo>
                                <a:lnTo>
                                  <a:pt x="433691" y="2225571"/>
                                </a:lnTo>
                                <a:lnTo>
                                  <a:pt x="435818" y="2247900"/>
                                </a:lnTo>
                                <a:lnTo>
                                  <a:pt x="459745" y="2244828"/>
                                </a:lnTo>
                                <a:lnTo>
                                  <a:pt x="457621" y="2222500"/>
                                </a:lnTo>
                                <a:close/>
                              </a:path>
                              <a:path w="4005579" h="2273300">
                                <a:moveTo>
                                  <a:pt x="459745" y="2244828"/>
                                </a:moveTo>
                                <a:lnTo>
                                  <a:pt x="435818" y="2247900"/>
                                </a:lnTo>
                                <a:lnTo>
                                  <a:pt x="460037" y="2247900"/>
                                </a:lnTo>
                                <a:lnTo>
                                  <a:pt x="459745" y="2244828"/>
                                </a:lnTo>
                                <a:close/>
                              </a:path>
                              <a:path w="4005579" h="2273300">
                                <a:moveTo>
                                  <a:pt x="575959" y="2203234"/>
                                </a:moveTo>
                                <a:lnTo>
                                  <a:pt x="532863" y="2215261"/>
                                </a:lnTo>
                                <a:lnTo>
                                  <a:pt x="534763" y="2235200"/>
                                </a:lnTo>
                                <a:lnTo>
                                  <a:pt x="510215" y="2238350"/>
                                </a:lnTo>
                                <a:lnTo>
                                  <a:pt x="512197" y="2247900"/>
                                </a:lnTo>
                                <a:lnTo>
                                  <a:pt x="603212" y="2222500"/>
                                </a:lnTo>
                                <a:lnTo>
                                  <a:pt x="577794" y="2222500"/>
                                </a:lnTo>
                                <a:lnTo>
                                  <a:pt x="575959" y="2203234"/>
                                </a:lnTo>
                                <a:close/>
                              </a:path>
                              <a:path w="4005579" h="2273300">
                                <a:moveTo>
                                  <a:pt x="506925" y="2222500"/>
                                </a:moveTo>
                                <a:lnTo>
                                  <a:pt x="457621" y="2222500"/>
                                </a:lnTo>
                                <a:lnTo>
                                  <a:pt x="459745" y="2244828"/>
                                </a:lnTo>
                                <a:lnTo>
                                  <a:pt x="510215" y="2238350"/>
                                </a:lnTo>
                                <a:lnTo>
                                  <a:pt x="506925" y="2222500"/>
                                </a:lnTo>
                                <a:close/>
                              </a:path>
                              <a:path w="4005579" h="2273300">
                                <a:moveTo>
                                  <a:pt x="532863" y="2215261"/>
                                </a:moveTo>
                                <a:lnTo>
                                  <a:pt x="506925" y="2222500"/>
                                </a:lnTo>
                                <a:lnTo>
                                  <a:pt x="510215" y="2238350"/>
                                </a:lnTo>
                                <a:lnTo>
                                  <a:pt x="534763" y="2235200"/>
                                </a:lnTo>
                                <a:lnTo>
                                  <a:pt x="532863" y="2215261"/>
                                </a:lnTo>
                                <a:close/>
                              </a:path>
                              <a:path w="4005579" h="2273300">
                                <a:moveTo>
                                  <a:pt x="240920" y="2235200"/>
                                </a:moveTo>
                                <a:lnTo>
                                  <a:pt x="217848" y="2235200"/>
                                </a:lnTo>
                                <a:lnTo>
                                  <a:pt x="217848" y="2238161"/>
                                </a:lnTo>
                                <a:lnTo>
                                  <a:pt x="240920" y="2235200"/>
                                </a:lnTo>
                                <a:close/>
                              </a:path>
                              <a:path w="4005579" h="2273300">
                                <a:moveTo>
                                  <a:pt x="532342" y="2209800"/>
                                </a:moveTo>
                                <a:lnTo>
                                  <a:pt x="433398" y="2222500"/>
                                </a:lnTo>
                                <a:lnTo>
                                  <a:pt x="433691" y="2225571"/>
                                </a:lnTo>
                                <a:lnTo>
                                  <a:pt x="457621" y="2222500"/>
                                </a:lnTo>
                                <a:lnTo>
                                  <a:pt x="506925" y="2222500"/>
                                </a:lnTo>
                                <a:lnTo>
                                  <a:pt x="532863" y="2215261"/>
                                </a:lnTo>
                                <a:lnTo>
                                  <a:pt x="532342" y="2209800"/>
                                </a:lnTo>
                                <a:close/>
                              </a:path>
                              <a:path w="4005579" h="2273300">
                                <a:moveTo>
                                  <a:pt x="597940" y="2197100"/>
                                </a:moveTo>
                                <a:lnTo>
                                  <a:pt x="575959" y="2203234"/>
                                </a:lnTo>
                                <a:lnTo>
                                  <a:pt x="577794" y="2222500"/>
                                </a:lnTo>
                                <a:lnTo>
                                  <a:pt x="603212" y="2222500"/>
                                </a:lnTo>
                                <a:lnTo>
                                  <a:pt x="597940" y="2197100"/>
                                </a:lnTo>
                                <a:close/>
                              </a:path>
                              <a:path w="4005579" h="2273300">
                                <a:moveTo>
                                  <a:pt x="649099" y="2197100"/>
                                </a:moveTo>
                                <a:lnTo>
                                  <a:pt x="597940" y="2197100"/>
                                </a:lnTo>
                                <a:lnTo>
                                  <a:pt x="603212" y="2222500"/>
                                </a:lnTo>
                                <a:lnTo>
                                  <a:pt x="653869" y="2222500"/>
                                </a:lnTo>
                                <a:lnTo>
                                  <a:pt x="649099" y="2197100"/>
                                </a:lnTo>
                                <a:close/>
                              </a:path>
                              <a:path w="4005579" h="2273300">
                                <a:moveTo>
                                  <a:pt x="747692" y="2171700"/>
                                </a:moveTo>
                                <a:lnTo>
                                  <a:pt x="649099" y="2197100"/>
                                </a:lnTo>
                                <a:lnTo>
                                  <a:pt x="653869" y="2222500"/>
                                </a:lnTo>
                                <a:lnTo>
                                  <a:pt x="676190" y="2216749"/>
                                </a:lnTo>
                                <a:lnTo>
                                  <a:pt x="674318" y="2197100"/>
                                </a:lnTo>
                                <a:lnTo>
                                  <a:pt x="726595" y="2197100"/>
                                </a:lnTo>
                                <a:lnTo>
                                  <a:pt x="722751" y="2184400"/>
                                </a:lnTo>
                                <a:lnTo>
                                  <a:pt x="748707" y="2177102"/>
                                </a:lnTo>
                                <a:lnTo>
                                  <a:pt x="747692" y="2171700"/>
                                </a:lnTo>
                                <a:close/>
                              </a:path>
                              <a:path w="4005579" h="2273300">
                                <a:moveTo>
                                  <a:pt x="676190" y="2216749"/>
                                </a:moveTo>
                                <a:lnTo>
                                  <a:pt x="653869" y="2222500"/>
                                </a:lnTo>
                                <a:lnTo>
                                  <a:pt x="676738" y="2222500"/>
                                </a:lnTo>
                                <a:lnTo>
                                  <a:pt x="676190" y="2216749"/>
                                </a:lnTo>
                                <a:close/>
                              </a:path>
                              <a:path w="4005579" h="2273300">
                                <a:moveTo>
                                  <a:pt x="726595" y="2197100"/>
                                </a:moveTo>
                                <a:lnTo>
                                  <a:pt x="674318" y="2197100"/>
                                </a:lnTo>
                                <a:lnTo>
                                  <a:pt x="676190" y="2216749"/>
                                </a:lnTo>
                                <a:lnTo>
                                  <a:pt x="728466" y="2203281"/>
                                </a:lnTo>
                                <a:lnTo>
                                  <a:pt x="726595" y="2197100"/>
                                </a:lnTo>
                                <a:close/>
                              </a:path>
                              <a:path w="4005579" h="2273300">
                                <a:moveTo>
                                  <a:pt x="791883" y="2164964"/>
                                </a:moveTo>
                                <a:lnTo>
                                  <a:pt x="748707" y="2177102"/>
                                </a:lnTo>
                                <a:lnTo>
                                  <a:pt x="752462" y="2197100"/>
                                </a:lnTo>
                                <a:lnTo>
                                  <a:pt x="728466" y="2203281"/>
                                </a:lnTo>
                                <a:lnTo>
                                  <a:pt x="730439" y="2209800"/>
                                </a:lnTo>
                                <a:lnTo>
                                  <a:pt x="796547" y="2181921"/>
                                </a:lnTo>
                                <a:lnTo>
                                  <a:pt x="791883" y="2164964"/>
                                </a:lnTo>
                                <a:close/>
                              </a:path>
                              <a:path w="4005579" h="2273300">
                                <a:moveTo>
                                  <a:pt x="748707" y="2177102"/>
                                </a:moveTo>
                                <a:lnTo>
                                  <a:pt x="722751" y="2184400"/>
                                </a:lnTo>
                                <a:lnTo>
                                  <a:pt x="728466" y="2203281"/>
                                </a:lnTo>
                                <a:lnTo>
                                  <a:pt x="752462" y="2197100"/>
                                </a:lnTo>
                                <a:lnTo>
                                  <a:pt x="748707" y="2177102"/>
                                </a:lnTo>
                                <a:close/>
                              </a:path>
                              <a:path w="4005579" h="2273300">
                                <a:moveTo>
                                  <a:pt x="597940" y="2197100"/>
                                </a:moveTo>
                                <a:lnTo>
                                  <a:pt x="575374" y="2197100"/>
                                </a:lnTo>
                                <a:lnTo>
                                  <a:pt x="575959" y="2203234"/>
                                </a:lnTo>
                                <a:lnTo>
                                  <a:pt x="597940" y="2197100"/>
                                </a:lnTo>
                                <a:close/>
                              </a:path>
                              <a:path w="4005579" h="2273300">
                                <a:moveTo>
                                  <a:pt x="894425" y="2155927"/>
                                </a:moveTo>
                                <a:lnTo>
                                  <a:pt x="870569" y="2159000"/>
                                </a:lnTo>
                                <a:lnTo>
                                  <a:pt x="813098" y="2159000"/>
                                </a:lnTo>
                                <a:lnTo>
                                  <a:pt x="820785" y="2171700"/>
                                </a:lnTo>
                                <a:lnTo>
                                  <a:pt x="796547" y="2181921"/>
                                </a:lnTo>
                                <a:lnTo>
                                  <a:pt x="797228" y="2184400"/>
                                </a:lnTo>
                                <a:lnTo>
                                  <a:pt x="895270" y="2159000"/>
                                </a:lnTo>
                                <a:lnTo>
                                  <a:pt x="894425" y="2155927"/>
                                </a:lnTo>
                                <a:close/>
                              </a:path>
                              <a:path w="4005579" h="2273300">
                                <a:moveTo>
                                  <a:pt x="813098" y="2159000"/>
                                </a:moveTo>
                                <a:lnTo>
                                  <a:pt x="791883" y="2164964"/>
                                </a:lnTo>
                                <a:lnTo>
                                  <a:pt x="796547" y="2181921"/>
                                </a:lnTo>
                                <a:lnTo>
                                  <a:pt x="820785" y="2171700"/>
                                </a:lnTo>
                                <a:lnTo>
                                  <a:pt x="813098" y="2159000"/>
                                </a:lnTo>
                                <a:close/>
                              </a:path>
                              <a:path w="4005579" h="2273300">
                                <a:moveTo>
                                  <a:pt x="866842" y="2139155"/>
                                </a:moveTo>
                                <a:lnTo>
                                  <a:pt x="790243" y="2159000"/>
                                </a:lnTo>
                                <a:lnTo>
                                  <a:pt x="791883" y="2164964"/>
                                </a:lnTo>
                                <a:lnTo>
                                  <a:pt x="813098" y="2159000"/>
                                </a:lnTo>
                                <a:lnTo>
                                  <a:pt x="870569" y="2159000"/>
                                </a:lnTo>
                                <a:lnTo>
                                  <a:pt x="866842" y="2139155"/>
                                </a:lnTo>
                                <a:close/>
                              </a:path>
                              <a:path w="4005579" h="2273300">
                                <a:moveTo>
                                  <a:pt x="888284" y="2133600"/>
                                </a:moveTo>
                                <a:lnTo>
                                  <a:pt x="866842" y="2139155"/>
                                </a:lnTo>
                                <a:lnTo>
                                  <a:pt x="870569" y="2159000"/>
                                </a:lnTo>
                                <a:lnTo>
                                  <a:pt x="894425" y="2155927"/>
                                </a:lnTo>
                                <a:lnTo>
                                  <a:pt x="888284" y="2133600"/>
                                </a:lnTo>
                                <a:close/>
                              </a:path>
                              <a:path w="4005579" h="2273300">
                                <a:moveTo>
                                  <a:pt x="943295" y="2133600"/>
                                </a:moveTo>
                                <a:lnTo>
                                  <a:pt x="888284" y="2133600"/>
                                </a:lnTo>
                                <a:lnTo>
                                  <a:pt x="894425" y="2155927"/>
                                </a:lnTo>
                                <a:lnTo>
                                  <a:pt x="969162" y="2146300"/>
                                </a:lnTo>
                                <a:lnTo>
                                  <a:pt x="947137" y="2146300"/>
                                </a:lnTo>
                                <a:lnTo>
                                  <a:pt x="943295" y="2133600"/>
                                </a:lnTo>
                                <a:close/>
                              </a:path>
                              <a:path w="4005579" h="2273300">
                                <a:moveTo>
                                  <a:pt x="964392" y="2120900"/>
                                </a:moveTo>
                                <a:lnTo>
                                  <a:pt x="940388" y="2123992"/>
                                </a:lnTo>
                                <a:lnTo>
                                  <a:pt x="947137" y="2146300"/>
                                </a:lnTo>
                                <a:lnTo>
                                  <a:pt x="968058" y="2140418"/>
                                </a:lnTo>
                                <a:lnTo>
                                  <a:pt x="964392" y="2120900"/>
                                </a:lnTo>
                                <a:close/>
                              </a:path>
                              <a:path w="4005579" h="2273300">
                                <a:moveTo>
                                  <a:pt x="968058" y="2140418"/>
                                </a:moveTo>
                                <a:lnTo>
                                  <a:pt x="947137" y="2146300"/>
                                </a:lnTo>
                                <a:lnTo>
                                  <a:pt x="969162" y="2146300"/>
                                </a:lnTo>
                                <a:lnTo>
                                  <a:pt x="968058" y="2140418"/>
                                </a:lnTo>
                                <a:close/>
                              </a:path>
                              <a:path w="4005579" h="2273300">
                                <a:moveTo>
                                  <a:pt x="1035136" y="2113138"/>
                                </a:moveTo>
                                <a:lnTo>
                                  <a:pt x="1015310" y="2120900"/>
                                </a:lnTo>
                                <a:lnTo>
                                  <a:pt x="964392" y="2120900"/>
                                </a:lnTo>
                                <a:lnTo>
                                  <a:pt x="968058" y="2140418"/>
                                </a:lnTo>
                                <a:lnTo>
                                  <a:pt x="1037484" y="2120900"/>
                                </a:lnTo>
                                <a:lnTo>
                                  <a:pt x="1035136" y="2113138"/>
                                </a:lnTo>
                                <a:close/>
                              </a:path>
                              <a:path w="4005579" h="2273300">
                                <a:moveTo>
                                  <a:pt x="940388" y="2123992"/>
                                </a:moveTo>
                                <a:lnTo>
                                  <a:pt x="865799" y="2133600"/>
                                </a:lnTo>
                                <a:lnTo>
                                  <a:pt x="866842" y="2139155"/>
                                </a:lnTo>
                                <a:lnTo>
                                  <a:pt x="888284" y="2133600"/>
                                </a:lnTo>
                                <a:lnTo>
                                  <a:pt x="943295" y="2133600"/>
                                </a:lnTo>
                                <a:lnTo>
                                  <a:pt x="940388" y="2123992"/>
                                </a:lnTo>
                                <a:close/>
                              </a:path>
                              <a:path w="4005579" h="2273300">
                                <a:moveTo>
                                  <a:pt x="1029800" y="2095500"/>
                                </a:moveTo>
                                <a:lnTo>
                                  <a:pt x="939453" y="2120900"/>
                                </a:lnTo>
                                <a:lnTo>
                                  <a:pt x="940388" y="2123992"/>
                                </a:lnTo>
                                <a:lnTo>
                                  <a:pt x="964392" y="2120900"/>
                                </a:lnTo>
                                <a:lnTo>
                                  <a:pt x="1015310" y="2120900"/>
                                </a:lnTo>
                                <a:lnTo>
                                  <a:pt x="1006276" y="2108200"/>
                                </a:lnTo>
                                <a:lnTo>
                                  <a:pt x="1030745" y="2098621"/>
                                </a:lnTo>
                                <a:lnTo>
                                  <a:pt x="1029800" y="2095500"/>
                                </a:lnTo>
                                <a:close/>
                              </a:path>
                              <a:path w="4005579" h="2273300">
                                <a:moveTo>
                                  <a:pt x="1030745" y="2098621"/>
                                </a:moveTo>
                                <a:lnTo>
                                  <a:pt x="1006276" y="2108200"/>
                                </a:lnTo>
                                <a:lnTo>
                                  <a:pt x="1015310" y="2120900"/>
                                </a:lnTo>
                                <a:lnTo>
                                  <a:pt x="1035136" y="2113138"/>
                                </a:lnTo>
                                <a:lnTo>
                                  <a:pt x="1030745" y="2098621"/>
                                </a:lnTo>
                                <a:close/>
                              </a:path>
                              <a:path w="4005579" h="2273300">
                                <a:moveTo>
                                  <a:pt x="1083799" y="2077852"/>
                                </a:moveTo>
                                <a:lnTo>
                                  <a:pt x="1030745" y="2098621"/>
                                </a:lnTo>
                                <a:lnTo>
                                  <a:pt x="1035136" y="2113138"/>
                                </a:lnTo>
                                <a:lnTo>
                                  <a:pt x="1087831" y="2092510"/>
                                </a:lnTo>
                                <a:lnTo>
                                  <a:pt x="1083799" y="2077852"/>
                                </a:lnTo>
                                <a:close/>
                              </a:path>
                              <a:path w="4005579" h="2273300">
                                <a:moveTo>
                                  <a:pt x="1183984" y="2060244"/>
                                </a:moveTo>
                                <a:lnTo>
                                  <a:pt x="1166805" y="2070100"/>
                                </a:lnTo>
                                <a:lnTo>
                                  <a:pt x="1103603" y="2070100"/>
                                </a:lnTo>
                                <a:lnTo>
                                  <a:pt x="1112636" y="2082800"/>
                                </a:lnTo>
                                <a:lnTo>
                                  <a:pt x="1087831" y="2092510"/>
                                </a:lnTo>
                                <a:lnTo>
                                  <a:pt x="1088653" y="2095500"/>
                                </a:lnTo>
                                <a:lnTo>
                                  <a:pt x="1186694" y="2070100"/>
                                </a:lnTo>
                                <a:lnTo>
                                  <a:pt x="1183984" y="2060244"/>
                                </a:lnTo>
                                <a:close/>
                              </a:path>
                              <a:path w="4005579" h="2273300">
                                <a:moveTo>
                                  <a:pt x="1103603" y="2070100"/>
                                </a:moveTo>
                                <a:lnTo>
                                  <a:pt x="1083799" y="2077852"/>
                                </a:lnTo>
                                <a:lnTo>
                                  <a:pt x="1087831" y="2092510"/>
                                </a:lnTo>
                                <a:lnTo>
                                  <a:pt x="1112636" y="2082800"/>
                                </a:lnTo>
                                <a:lnTo>
                                  <a:pt x="1103603" y="2070100"/>
                                </a:lnTo>
                                <a:close/>
                              </a:path>
                              <a:path w="4005579" h="2273300">
                                <a:moveTo>
                                  <a:pt x="1175010" y="2045917"/>
                                </a:moveTo>
                                <a:lnTo>
                                  <a:pt x="1081667" y="2070100"/>
                                </a:lnTo>
                                <a:lnTo>
                                  <a:pt x="1083799" y="2077852"/>
                                </a:lnTo>
                                <a:lnTo>
                                  <a:pt x="1103603" y="2070100"/>
                                </a:lnTo>
                                <a:lnTo>
                                  <a:pt x="1166805" y="2070100"/>
                                </a:lnTo>
                                <a:lnTo>
                                  <a:pt x="1154996" y="2057400"/>
                                </a:lnTo>
                                <a:lnTo>
                                  <a:pt x="1175010" y="2045917"/>
                                </a:lnTo>
                                <a:close/>
                              </a:path>
                              <a:path w="4005579" h="2273300">
                                <a:moveTo>
                                  <a:pt x="1179709" y="2044700"/>
                                </a:moveTo>
                                <a:lnTo>
                                  <a:pt x="1175010" y="2045917"/>
                                </a:lnTo>
                                <a:lnTo>
                                  <a:pt x="1154996" y="2057400"/>
                                </a:lnTo>
                                <a:lnTo>
                                  <a:pt x="1166805" y="2070100"/>
                                </a:lnTo>
                                <a:lnTo>
                                  <a:pt x="1183984" y="2060244"/>
                                </a:lnTo>
                                <a:lnTo>
                                  <a:pt x="1179709" y="2044700"/>
                                </a:lnTo>
                                <a:close/>
                              </a:path>
                              <a:path w="4005579" h="2273300">
                                <a:moveTo>
                                  <a:pt x="1211076" y="2044700"/>
                                </a:moveTo>
                                <a:lnTo>
                                  <a:pt x="1179709" y="2044700"/>
                                </a:lnTo>
                                <a:lnTo>
                                  <a:pt x="1183984" y="2060244"/>
                                </a:lnTo>
                                <a:lnTo>
                                  <a:pt x="1211076" y="2044700"/>
                                </a:lnTo>
                                <a:close/>
                              </a:path>
                              <a:path w="4005579" h="2273300">
                                <a:moveTo>
                                  <a:pt x="1226560" y="2016340"/>
                                </a:moveTo>
                                <a:lnTo>
                                  <a:pt x="1175010" y="2045917"/>
                                </a:lnTo>
                                <a:lnTo>
                                  <a:pt x="1179709" y="2044700"/>
                                </a:lnTo>
                                <a:lnTo>
                                  <a:pt x="1211076" y="2044700"/>
                                </a:lnTo>
                                <a:lnTo>
                                  <a:pt x="1234110" y="2031485"/>
                                </a:lnTo>
                                <a:lnTo>
                                  <a:pt x="1222106" y="2019300"/>
                                </a:lnTo>
                                <a:lnTo>
                                  <a:pt x="1226560" y="2016340"/>
                                </a:lnTo>
                                <a:close/>
                              </a:path>
                              <a:path w="4005579" h="2273300">
                                <a:moveTo>
                                  <a:pt x="1282415" y="2006600"/>
                                </a:moveTo>
                                <a:lnTo>
                                  <a:pt x="1243538" y="2006600"/>
                                </a:lnTo>
                                <a:lnTo>
                                  <a:pt x="1255348" y="2019300"/>
                                </a:lnTo>
                                <a:lnTo>
                                  <a:pt x="1234110" y="2031485"/>
                                </a:lnTo>
                                <a:lnTo>
                                  <a:pt x="1234617" y="2032000"/>
                                </a:lnTo>
                                <a:lnTo>
                                  <a:pt x="1282415" y="2006600"/>
                                </a:lnTo>
                                <a:close/>
                              </a:path>
                              <a:path w="4005579" h="2273300">
                                <a:moveTo>
                                  <a:pt x="1243538" y="2006600"/>
                                </a:moveTo>
                                <a:lnTo>
                                  <a:pt x="1226560" y="2016340"/>
                                </a:lnTo>
                                <a:lnTo>
                                  <a:pt x="1222106" y="2019300"/>
                                </a:lnTo>
                                <a:lnTo>
                                  <a:pt x="1234110" y="2031485"/>
                                </a:lnTo>
                                <a:lnTo>
                                  <a:pt x="1255348" y="2019300"/>
                                </a:lnTo>
                                <a:lnTo>
                                  <a:pt x="1243538" y="2006600"/>
                                </a:lnTo>
                                <a:close/>
                              </a:path>
                              <a:path w="4005579" h="2273300">
                                <a:moveTo>
                                  <a:pt x="1297257" y="1969380"/>
                                </a:moveTo>
                                <a:lnTo>
                                  <a:pt x="1226560" y="2016340"/>
                                </a:lnTo>
                                <a:lnTo>
                                  <a:pt x="1243538" y="2006600"/>
                                </a:lnTo>
                                <a:lnTo>
                                  <a:pt x="1282415" y="2006600"/>
                                </a:lnTo>
                                <a:lnTo>
                                  <a:pt x="1308708" y="1992628"/>
                                </a:lnTo>
                                <a:lnTo>
                                  <a:pt x="1297257" y="1969380"/>
                                </a:lnTo>
                                <a:close/>
                              </a:path>
                              <a:path w="4005579" h="2273300">
                                <a:moveTo>
                                  <a:pt x="1321417" y="1985874"/>
                                </a:moveTo>
                                <a:lnTo>
                                  <a:pt x="1308708" y="1992628"/>
                                </a:lnTo>
                                <a:lnTo>
                                  <a:pt x="1309334" y="1993900"/>
                                </a:lnTo>
                                <a:lnTo>
                                  <a:pt x="1321417" y="1985874"/>
                                </a:lnTo>
                                <a:close/>
                              </a:path>
                              <a:path w="4005579" h="2273300">
                                <a:moveTo>
                                  <a:pt x="1318329" y="1957072"/>
                                </a:moveTo>
                                <a:lnTo>
                                  <a:pt x="1305619" y="1963826"/>
                                </a:lnTo>
                                <a:lnTo>
                                  <a:pt x="1297257" y="1969380"/>
                                </a:lnTo>
                                <a:lnTo>
                                  <a:pt x="1308708" y="1992628"/>
                                </a:lnTo>
                                <a:lnTo>
                                  <a:pt x="1321417" y="1985874"/>
                                </a:lnTo>
                                <a:lnTo>
                                  <a:pt x="1329780" y="1980319"/>
                                </a:lnTo>
                                <a:lnTo>
                                  <a:pt x="1318329" y="1957072"/>
                                </a:lnTo>
                                <a:close/>
                              </a:path>
                              <a:path w="4005579" h="2273300">
                                <a:moveTo>
                                  <a:pt x="1329780" y="1980319"/>
                                </a:moveTo>
                                <a:lnTo>
                                  <a:pt x="1321417" y="1985874"/>
                                </a:lnTo>
                                <a:lnTo>
                                  <a:pt x="1330214" y="1981200"/>
                                </a:lnTo>
                                <a:lnTo>
                                  <a:pt x="1329780" y="1980319"/>
                                </a:lnTo>
                                <a:close/>
                              </a:path>
                              <a:path w="4005579" h="2273300">
                                <a:moveTo>
                                  <a:pt x="1392427" y="1917700"/>
                                </a:moveTo>
                                <a:lnTo>
                                  <a:pt x="1318329" y="1957072"/>
                                </a:lnTo>
                                <a:lnTo>
                                  <a:pt x="1329780" y="1980319"/>
                                </a:lnTo>
                                <a:lnTo>
                                  <a:pt x="1385817" y="1943100"/>
                                </a:lnTo>
                                <a:lnTo>
                                  <a:pt x="1382056" y="1943100"/>
                                </a:lnTo>
                                <a:lnTo>
                                  <a:pt x="1372182" y="1930400"/>
                                </a:lnTo>
                                <a:lnTo>
                                  <a:pt x="1393191" y="1918475"/>
                                </a:lnTo>
                                <a:lnTo>
                                  <a:pt x="1392427" y="1917700"/>
                                </a:lnTo>
                                <a:close/>
                              </a:path>
                              <a:path w="4005579" h="2273300">
                                <a:moveTo>
                                  <a:pt x="1305619" y="1963826"/>
                                </a:moveTo>
                                <a:lnTo>
                                  <a:pt x="1296824" y="1968500"/>
                                </a:lnTo>
                                <a:lnTo>
                                  <a:pt x="1297257" y="1969380"/>
                                </a:lnTo>
                                <a:lnTo>
                                  <a:pt x="1305619" y="1963826"/>
                                </a:lnTo>
                                <a:close/>
                              </a:path>
                              <a:path w="4005579" h="2273300">
                                <a:moveTo>
                                  <a:pt x="1317703" y="1955800"/>
                                </a:moveTo>
                                <a:lnTo>
                                  <a:pt x="1305619" y="1963826"/>
                                </a:lnTo>
                                <a:lnTo>
                                  <a:pt x="1318329" y="1957072"/>
                                </a:lnTo>
                                <a:lnTo>
                                  <a:pt x="1317703" y="1955800"/>
                                </a:lnTo>
                                <a:close/>
                              </a:path>
                              <a:path w="4005579" h="2273300">
                                <a:moveTo>
                                  <a:pt x="1393191" y="1918475"/>
                                </a:moveTo>
                                <a:lnTo>
                                  <a:pt x="1372182" y="1930400"/>
                                </a:lnTo>
                                <a:lnTo>
                                  <a:pt x="1382056" y="1943100"/>
                                </a:lnTo>
                                <a:lnTo>
                                  <a:pt x="1392528" y="1938642"/>
                                </a:lnTo>
                                <a:lnTo>
                                  <a:pt x="1404938" y="1930400"/>
                                </a:lnTo>
                                <a:lnTo>
                                  <a:pt x="1393191" y="1918475"/>
                                </a:lnTo>
                                <a:close/>
                              </a:path>
                              <a:path w="4005579" h="2273300">
                                <a:moveTo>
                                  <a:pt x="1392528" y="1938642"/>
                                </a:moveTo>
                                <a:lnTo>
                                  <a:pt x="1382056" y="1943100"/>
                                </a:lnTo>
                                <a:lnTo>
                                  <a:pt x="1385817" y="1943100"/>
                                </a:lnTo>
                                <a:lnTo>
                                  <a:pt x="1392528" y="1938642"/>
                                </a:lnTo>
                                <a:close/>
                              </a:path>
                              <a:path w="4005579" h="2273300">
                                <a:moveTo>
                                  <a:pt x="1461688" y="1879600"/>
                                </a:moveTo>
                                <a:lnTo>
                                  <a:pt x="1393191" y="1918475"/>
                                </a:lnTo>
                                <a:lnTo>
                                  <a:pt x="1404938" y="1930400"/>
                                </a:lnTo>
                                <a:lnTo>
                                  <a:pt x="1392528" y="1938642"/>
                                </a:lnTo>
                                <a:lnTo>
                                  <a:pt x="1446749" y="1915562"/>
                                </a:lnTo>
                                <a:lnTo>
                                  <a:pt x="1440349" y="1892300"/>
                                </a:lnTo>
                                <a:lnTo>
                                  <a:pt x="1464220" y="1886114"/>
                                </a:lnTo>
                                <a:lnTo>
                                  <a:pt x="1461688" y="1879600"/>
                                </a:lnTo>
                                <a:close/>
                              </a:path>
                              <a:path w="4005579" h="2273300">
                                <a:moveTo>
                                  <a:pt x="1516619" y="1872538"/>
                                </a:moveTo>
                                <a:lnTo>
                                  <a:pt x="1464220" y="1886114"/>
                                </a:lnTo>
                                <a:lnTo>
                                  <a:pt x="1471562" y="1905000"/>
                                </a:lnTo>
                                <a:lnTo>
                                  <a:pt x="1446749" y="1915562"/>
                                </a:lnTo>
                                <a:lnTo>
                                  <a:pt x="1447338" y="1917700"/>
                                </a:lnTo>
                                <a:lnTo>
                                  <a:pt x="1545372" y="1892300"/>
                                </a:lnTo>
                                <a:lnTo>
                                  <a:pt x="1522053" y="1892300"/>
                                </a:lnTo>
                                <a:lnTo>
                                  <a:pt x="1516619" y="1872538"/>
                                </a:lnTo>
                                <a:close/>
                              </a:path>
                              <a:path w="4005579" h="2273300">
                                <a:moveTo>
                                  <a:pt x="1464220" y="1886114"/>
                                </a:moveTo>
                                <a:lnTo>
                                  <a:pt x="1440349" y="1892300"/>
                                </a:lnTo>
                                <a:lnTo>
                                  <a:pt x="1446749" y="1915562"/>
                                </a:lnTo>
                                <a:lnTo>
                                  <a:pt x="1471562" y="1905000"/>
                                </a:lnTo>
                                <a:lnTo>
                                  <a:pt x="1464220" y="1886114"/>
                                </a:lnTo>
                                <a:close/>
                              </a:path>
                              <a:path w="4005579" h="2273300">
                                <a:moveTo>
                                  <a:pt x="1538382" y="1866900"/>
                                </a:moveTo>
                                <a:lnTo>
                                  <a:pt x="1516619" y="1872538"/>
                                </a:lnTo>
                                <a:lnTo>
                                  <a:pt x="1522053" y="1892300"/>
                                </a:lnTo>
                                <a:lnTo>
                                  <a:pt x="1543820" y="1886660"/>
                                </a:lnTo>
                                <a:lnTo>
                                  <a:pt x="1538382" y="1866900"/>
                                </a:lnTo>
                                <a:close/>
                              </a:path>
                              <a:path w="4005579" h="2273300">
                                <a:moveTo>
                                  <a:pt x="1543820" y="1886660"/>
                                </a:moveTo>
                                <a:lnTo>
                                  <a:pt x="1522053" y="1892300"/>
                                </a:lnTo>
                                <a:lnTo>
                                  <a:pt x="1545372" y="1892300"/>
                                </a:lnTo>
                                <a:lnTo>
                                  <a:pt x="1543820" y="1886660"/>
                                </a:lnTo>
                                <a:close/>
                              </a:path>
                              <a:path w="4005579" h="2273300">
                                <a:moveTo>
                                  <a:pt x="1619192" y="1863622"/>
                                </a:moveTo>
                                <a:lnTo>
                                  <a:pt x="1595699" y="1866900"/>
                                </a:lnTo>
                                <a:lnTo>
                                  <a:pt x="1538382" y="1866900"/>
                                </a:lnTo>
                                <a:lnTo>
                                  <a:pt x="1543820" y="1886660"/>
                                </a:lnTo>
                                <a:lnTo>
                                  <a:pt x="1620094" y="1866900"/>
                                </a:lnTo>
                                <a:lnTo>
                                  <a:pt x="1619192" y="1863622"/>
                                </a:lnTo>
                                <a:close/>
                              </a:path>
                              <a:path w="4005579" h="2273300">
                                <a:moveTo>
                                  <a:pt x="1591582" y="1847076"/>
                                </a:moveTo>
                                <a:lnTo>
                                  <a:pt x="1515068" y="1866900"/>
                                </a:lnTo>
                                <a:lnTo>
                                  <a:pt x="1516619" y="1872538"/>
                                </a:lnTo>
                                <a:lnTo>
                                  <a:pt x="1538382" y="1866900"/>
                                </a:lnTo>
                                <a:lnTo>
                                  <a:pt x="1595699" y="1866900"/>
                                </a:lnTo>
                                <a:lnTo>
                                  <a:pt x="1591582" y="1847076"/>
                                </a:lnTo>
                                <a:close/>
                              </a:path>
                              <a:path w="4005579" h="2273300">
                                <a:moveTo>
                                  <a:pt x="1613109" y="1841500"/>
                                </a:moveTo>
                                <a:lnTo>
                                  <a:pt x="1591582" y="1847076"/>
                                </a:lnTo>
                                <a:lnTo>
                                  <a:pt x="1595699" y="1866900"/>
                                </a:lnTo>
                                <a:lnTo>
                                  <a:pt x="1619192" y="1863622"/>
                                </a:lnTo>
                                <a:lnTo>
                                  <a:pt x="1613109" y="1841500"/>
                                </a:lnTo>
                                <a:close/>
                              </a:path>
                              <a:path w="4005579" h="2273300">
                                <a:moveTo>
                                  <a:pt x="1660898" y="1841500"/>
                                </a:moveTo>
                                <a:lnTo>
                                  <a:pt x="1613109" y="1841500"/>
                                </a:lnTo>
                                <a:lnTo>
                                  <a:pt x="1619192" y="1863622"/>
                                </a:lnTo>
                                <a:lnTo>
                                  <a:pt x="1686720" y="1854200"/>
                                </a:lnTo>
                                <a:lnTo>
                                  <a:pt x="1665412" y="1854200"/>
                                </a:lnTo>
                                <a:lnTo>
                                  <a:pt x="1660898" y="1841500"/>
                                </a:lnTo>
                                <a:close/>
                              </a:path>
                              <a:path w="4005579" h="2273300">
                                <a:moveTo>
                                  <a:pt x="1681444" y="1828800"/>
                                </a:moveTo>
                                <a:lnTo>
                                  <a:pt x="1657569" y="1832131"/>
                                </a:lnTo>
                                <a:lnTo>
                                  <a:pt x="1665412" y="1854200"/>
                                </a:lnTo>
                                <a:lnTo>
                                  <a:pt x="1685117" y="1846485"/>
                                </a:lnTo>
                                <a:lnTo>
                                  <a:pt x="1681444" y="1828800"/>
                                </a:lnTo>
                                <a:close/>
                              </a:path>
                              <a:path w="4005579" h="2273300">
                                <a:moveTo>
                                  <a:pt x="1685117" y="1846485"/>
                                </a:moveTo>
                                <a:lnTo>
                                  <a:pt x="1665412" y="1854200"/>
                                </a:lnTo>
                                <a:lnTo>
                                  <a:pt x="1686720" y="1854200"/>
                                </a:lnTo>
                                <a:lnTo>
                                  <a:pt x="1685117" y="1846485"/>
                                </a:lnTo>
                                <a:close/>
                              </a:path>
                              <a:path w="4005579" h="2273300">
                                <a:moveTo>
                                  <a:pt x="1657569" y="1832131"/>
                                </a:moveTo>
                                <a:lnTo>
                                  <a:pt x="1590424" y="1841500"/>
                                </a:lnTo>
                                <a:lnTo>
                                  <a:pt x="1591582" y="1847076"/>
                                </a:lnTo>
                                <a:lnTo>
                                  <a:pt x="1613109" y="1841500"/>
                                </a:lnTo>
                                <a:lnTo>
                                  <a:pt x="1660898" y="1841500"/>
                                </a:lnTo>
                                <a:lnTo>
                                  <a:pt x="1657569" y="1832131"/>
                                </a:lnTo>
                                <a:close/>
                              </a:path>
                              <a:path w="4005579" h="2273300">
                                <a:moveTo>
                                  <a:pt x="1730294" y="1828800"/>
                                </a:moveTo>
                                <a:lnTo>
                                  <a:pt x="1681444" y="1828800"/>
                                </a:lnTo>
                                <a:lnTo>
                                  <a:pt x="1685117" y="1846485"/>
                                </a:lnTo>
                                <a:lnTo>
                                  <a:pt x="1730294" y="1828800"/>
                                </a:lnTo>
                                <a:close/>
                              </a:path>
                              <a:path w="4005579" h="2273300">
                                <a:moveTo>
                                  <a:pt x="1753707" y="1790700"/>
                                </a:moveTo>
                                <a:lnTo>
                                  <a:pt x="1656385" y="1828800"/>
                                </a:lnTo>
                                <a:lnTo>
                                  <a:pt x="1657569" y="1832131"/>
                                </a:lnTo>
                                <a:lnTo>
                                  <a:pt x="1681444" y="1828800"/>
                                </a:lnTo>
                                <a:lnTo>
                                  <a:pt x="1730294" y="1828800"/>
                                </a:lnTo>
                                <a:lnTo>
                                  <a:pt x="1736884" y="1826219"/>
                                </a:lnTo>
                                <a:lnTo>
                                  <a:pt x="1732600" y="1803400"/>
                                </a:lnTo>
                                <a:lnTo>
                                  <a:pt x="1756072" y="1797353"/>
                                </a:lnTo>
                                <a:lnTo>
                                  <a:pt x="1753707" y="1790700"/>
                                </a:lnTo>
                                <a:close/>
                              </a:path>
                              <a:path w="4005579" h="2273300">
                                <a:moveTo>
                                  <a:pt x="1809473" y="1783595"/>
                                </a:moveTo>
                                <a:lnTo>
                                  <a:pt x="1756072" y="1797353"/>
                                </a:lnTo>
                                <a:lnTo>
                                  <a:pt x="1762735" y="1816100"/>
                                </a:lnTo>
                                <a:lnTo>
                                  <a:pt x="1736884" y="1826219"/>
                                </a:lnTo>
                                <a:lnTo>
                                  <a:pt x="1737369" y="1828800"/>
                                </a:lnTo>
                                <a:lnTo>
                                  <a:pt x="1835962" y="1803400"/>
                                </a:lnTo>
                                <a:lnTo>
                                  <a:pt x="1809473" y="1803400"/>
                                </a:lnTo>
                                <a:lnTo>
                                  <a:pt x="1809473" y="1783595"/>
                                </a:lnTo>
                                <a:close/>
                              </a:path>
                              <a:path w="4005579" h="2273300">
                                <a:moveTo>
                                  <a:pt x="1756072" y="1797353"/>
                                </a:moveTo>
                                <a:lnTo>
                                  <a:pt x="1732600" y="1803400"/>
                                </a:lnTo>
                                <a:lnTo>
                                  <a:pt x="1736884" y="1826219"/>
                                </a:lnTo>
                                <a:lnTo>
                                  <a:pt x="1762735" y="1816100"/>
                                </a:lnTo>
                                <a:lnTo>
                                  <a:pt x="1756072" y="1797353"/>
                                </a:lnTo>
                                <a:close/>
                              </a:path>
                              <a:path w="4005579" h="2273300">
                                <a:moveTo>
                                  <a:pt x="1901065" y="1780082"/>
                                </a:moveTo>
                                <a:lnTo>
                                  <a:pt x="1873744" y="1790700"/>
                                </a:lnTo>
                                <a:lnTo>
                                  <a:pt x="1880727" y="1816100"/>
                                </a:lnTo>
                                <a:lnTo>
                                  <a:pt x="1913406" y="1803400"/>
                                </a:lnTo>
                                <a:lnTo>
                                  <a:pt x="1901065" y="1803400"/>
                                </a:lnTo>
                                <a:lnTo>
                                  <a:pt x="1901065" y="1780082"/>
                                </a:lnTo>
                                <a:close/>
                              </a:path>
                              <a:path w="4005579" h="2273300">
                                <a:moveTo>
                                  <a:pt x="1831193" y="1778000"/>
                                </a:moveTo>
                                <a:lnTo>
                                  <a:pt x="1809473" y="1783595"/>
                                </a:lnTo>
                                <a:lnTo>
                                  <a:pt x="1809473" y="1803400"/>
                                </a:lnTo>
                                <a:lnTo>
                                  <a:pt x="1835962" y="1803400"/>
                                </a:lnTo>
                                <a:lnTo>
                                  <a:pt x="1831193" y="1778000"/>
                                </a:lnTo>
                                <a:close/>
                              </a:path>
                              <a:path w="4005579" h="2273300">
                                <a:moveTo>
                                  <a:pt x="1901065" y="1778000"/>
                                </a:moveTo>
                                <a:lnTo>
                                  <a:pt x="1831193" y="1778000"/>
                                </a:lnTo>
                                <a:lnTo>
                                  <a:pt x="1835962" y="1803400"/>
                                </a:lnTo>
                                <a:lnTo>
                                  <a:pt x="1877236" y="1803400"/>
                                </a:lnTo>
                                <a:lnTo>
                                  <a:pt x="1873744" y="1790700"/>
                                </a:lnTo>
                                <a:lnTo>
                                  <a:pt x="1901065" y="1780082"/>
                                </a:lnTo>
                                <a:lnTo>
                                  <a:pt x="1901065" y="1778000"/>
                                </a:lnTo>
                                <a:close/>
                              </a:path>
                              <a:path w="4005579" h="2273300">
                                <a:moveTo>
                                  <a:pt x="1971780" y="1752600"/>
                                </a:moveTo>
                                <a:lnTo>
                                  <a:pt x="1901065" y="1780082"/>
                                </a:lnTo>
                                <a:lnTo>
                                  <a:pt x="1901065" y="1803400"/>
                                </a:lnTo>
                                <a:lnTo>
                                  <a:pt x="1913406" y="1803400"/>
                                </a:lnTo>
                                <a:lnTo>
                                  <a:pt x="1953519" y="1787810"/>
                                </a:lnTo>
                                <a:lnTo>
                                  <a:pt x="1949293" y="1765300"/>
                                </a:lnTo>
                                <a:lnTo>
                                  <a:pt x="1973553" y="1759050"/>
                                </a:lnTo>
                                <a:lnTo>
                                  <a:pt x="1971780" y="1752600"/>
                                </a:lnTo>
                                <a:close/>
                              </a:path>
                              <a:path w="4005579" h="2273300">
                                <a:moveTo>
                                  <a:pt x="2047899" y="1739900"/>
                                </a:moveTo>
                                <a:lnTo>
                                  <a:pt x="1973553" y="1759050"/>
                                </a:lnTo>
                                <a:lnTo>
                                  <a:pt x="1978763" y="1778000"/>
                                </a:lnTo>
                                <a:lnTo>
                                  <a:pt x="1953519" y="1787810"/>
                                </a:lnTo>
                                <a:lnTo>
                                  <a:pt x="1954062" y="1790700"/>
                                </a:lnTo>
                                <a:lnTo>
                                  <a:pt x="2026871" y="1771944"/>
                                </a:lnTo>
                                <a:lnTo>
                                  <a:pt x="2025028" y="1752600"/>
                                </a:lnTo>
                                <a:lnTo>
                                  <a:pt x="2049689" y="1749434"/>
                                </a:lnTo>
                                <a:lnTo>
                                  <a:pt x="2047899" y="1739900"/>
                                </a:lnTo>
                                <a:close/>
                              </a:path>
                              <a:path w="4005579" h="2273300">
                                <a:moveTo>
                                  <a:pt x="1973553" y="1759050"/>
                                </a:moveTo>
                                <a:lnTo>
                                  <a:pt x="1949293" y="1765300"/>
                                </a:lnTo>
                                <a:lnTo>
                                  <a:pt x="1953519" y="1787810"/>
                                </a:lnTo>
                                <a:lnTo>
                                  <a:pt x="1978763" y="1778000"/>
                                </a:lnTo>
                                <a:lnTo>
                                  <a:pt x="1973553" y="1759050"/>
                                </a:lnTo>
                                <a:close/>
                              </a:path>
                              <a:path w="4005579" h="2273300">
                                <a:moveTo>
                                  <a:pt x="1831193" y="1778000"/>
                                </a:moveTo>
                                <a:lnTo>
                                  <a:pt x="1809473" y="1778000"/>
                                </a:lnTo>
                                <a:lnTo>
                                  <a:pt x="1809473" y="1783595"/>
                                </a:lnTo>
                                <a:lnTo>
                                  <a:pt x="1831193" y="1778000"/>
                                </a:lnTo>
                                <a:close/>
                              </a:path>
                              <a:path w="4005579" h="2273300">
                                <a:moveTo>
                                  <a:pt x="2098663" y="1743148"/>
                                </a:moveTo>
                                <a:lnTo>
                                  <a:pt x="2049689" y="1749434"/>
                                </a:lnTo>
                                <a:lnTo>
                                  <a:pt x="2052667" y="1765300"/>
                                </a:lnTo>
                                <a:lnTo>
                                  <a:pt x="2026871" y="1771944"/>
                                </a:lnTo>
                                <a:lnTo>
                                  <a:pt x="2027448" y="1778000"/>
                                </a:lnTo>
                                <a:lnTo>
                                  <a:pt x="2126392" y="1765300"/>
                                </a:lnTo>
                                <a:lnTo>
                                  <a:pt x="2105372" y="1765300"/>
                                </a:lnTo>
                                <a:lnTo>
                                  <a:pt x="2098663" y="1743148"/>
                                </a:lnTo>
                                <a:close/>
                              </a:path>
                              <a:path w="4005579" h="2273300">
                                <a:moveTo>
                                  <a:pt x="2049689" y="1749434"/>
                                </a:moveTo>
                                <a:lnTo>
                                  <a:pt x="2025028" y="1752600"/>
                                </a:lnTo>
                                <a:lnTo>
                                  <a:pt x="2026871" y="1771944"/>
                                </a:lnTo>
                                <a:lnTo>
                                  <a:pt x="2052667" y="1765300"/>
                                </a:lnTo>
                                <a:lnTo>
                                  <a:pt x="2049689" y="1749434"/>
                                </a:lnTo>
                                <a:close/>
                              </a:path>
                              <a:path w="4005579" h="2273300">
                                <a:moveTo>
                                  <a:pt x="2123972" y="1739900"/>
                                </a:moveTo>
                                <a:lnTo>
                                  <a:pt x="2098663" y="1743148"/>
                                </a:lnTo>
                                <a:lnTo>
                                  <a:pt x="2105372" y="1765300"/>
                                </a:lnTo>
                                <a:lnTo>
                                  <a:pt x="2125844" y="1759543"/>
                                </a:lnTo>
                                <a:lnTo>
                                  <a:pt x="2123972" y="1739900"/>
                                </a:lnTo>
                                <a:close/>
                              </a:path>
                              <a:path w="4005579" h="2273300">
                                <a:moveTo>
                                  <a:pt x="2125844" y="1759543"/>
                                </a:moveTo>
                                <a:lnTo>
                                  <a:pt x="2105372" y="1765300"/>
                                </a:lnTo>
                                <a:lnTo>
                                  <a:pt x="2126392" y="1765300"/>
                                </a:lnTo>
                                <a:lnTo>
                                  <a:pt x="2125844" y="1759543"/>
                                </a:lnTo>
                                <a:close/>
                              </a:path>
                              <a:path w="4005579" h="2273300">
                                <a:moveTo>
                                  <a:pt x="2193485" y="1732549"/>
                                </a:moveTo>
                                <a:lnTo>
                                  <a:pt x="2174864" y="1739900"/>
                                </a:lnTo>
                                <a:lnTo>
                                  <a:pt x="2123972" y="1739900"/>
                                </a:lnTo>
                                <a:lnTo>
                                  <a:pt x="2125844" y="1759543"/>
                                </a:lnTo>
                                <a:lnTo>
                                  <a:pt x="2195711" y="1739900"/>
                                </a:lnTo>
                                <a:lnTo>
                                  <a:pt x="2193485" y="1732549"/>
                                </a:lnTo>
                                <a:close/>
                              </a:path>
                              <a:path w="4005579" h="2273300">
                                <a:moveTo>
                                  <a:pt x="2188018" y="1714500"/>
                                </a:moveTo>
                                <a:lnTo>
                                  <a:pt x="2097679" y="1739900"/>
                                </a:lnTo>
                                <a:lnTo>
                                  <a:pt x="2098663" y="1743148"/>
                                </a:lnTo>
                                <a:lnTo>
                                  <a:pt x="2123972" y="1739900"/>
                                </a:lnTo>
                                <a:lnTo>
                                  <a:pt x="2174864" y="1739900"/>
                                </a:lnTo>
                                <a:lnTo>
                                  <a:pt x="2163993" y="1727200"/>
                                </a:lnTo>
                                <a:lnTo>
                                  <a:pt x="2188033" y="1714546"/>
                                </a:lnTo>
                                <a:close/>
                              </a:path>
                              <a:path w="4005579" h="2273300">
                                <a:moveTo>
                                  <a:pt x="2188033" y="1714546"/>
                                </a:moveTo>
                                <a:lnTo>
                                  <a:pt x="2163993" y="1727200"/>
                                </a:lnTo>
                                <a:lnTo>
                                  <a:pt x="2174864" y="1739900"/>
                                </a:lnTo>
                                <a:lnTo>
                                  <a:pt x="2193485" y="1732549"/>
                                </a:lnTo>
                                <a:lnTo>
                                  <a:pt x="2188033" y="1714546"/>
                                </a:lnTo>
                                <a:close/>
                              </a:path>
                              <a:path w="4005579" h="2273300">
                                <a:moveTo>
                                  <a:pt x="2260508" y="1676400"/>
                                </a:moveTo>
                                <a:lnTo>
                                  <a:pt x="2188033" y="1714546"/>
                                </a:lnTo>
                                <a:lnTo>
                                  <a:pt x="2193485" y="1732549"/>
                                </a:lnTo>
                                <a:lnTo>
                                  <a:pt x="2271379" y="1701800"/>
                                </a:lnTo>
                                <a:lnTo>
                                  <a:pt x="2249605" y="1701800"/>
                                </a:lnTo>
                                <a:lnTo>
                                  <a:pt x="2238729" y="1689100"/>
                                </a:lnTo>
                                <a:lnTo>
                                  <a:pt x="2260940" y="1677407"/>
                                </a:lnTo>
                                <a:lnTo>
                                  <a:pt x="2260508" y="1676400"/>
                                </a:lnTo>
                                <a:close/>
                              </a:path>
                              <a:path w="4005579" h="2273300">
                                <a:moveTo>
                                  <a:pt x="2260940" y="1677407"/>
                                </a:moveTo>
                                <a:lnTo>
                                  <a:pt x="2238729" y="1689100"/>
                                </a:lnTo>
                                <a:lnTo>
                                  <a:pt x="2249605" y="1701800"/>
                                </a:lnTo>
                                <a:lnTo>
                                  <a:pt x="2268232" y="1694445"/>
                                </a:lnTo>
                                <a:lnTo>
                                  <a:pt x="2260940" y="1677407"/>
                                </a:lnTo>
                                <a:close/>
                              </a:path>
                              <a:path w="4005579" h="2273300">
                                <a:moveTo>
                                  <a:pt x="2268232" y="1694445"/>
                                </a:moveTo>
                                <a:lnTo>
                                  <a:pt x="2249605" y="1701800"/>
                                </a:lnTo>
                                <a:lnTo>
                                  <a:pt x="2271379" y="1701800"/>
                                </a:lnTo>
                                <a:lnTo>
                                  <a:pt x="2268232" y="1694445"/>
                                </a:lnTo>
                                <a:close/>
                              </a:path>
                              <a:path w="4005579" h="2273300">
                                <a:moveTo>
                                  <a:pt x="2335229" y="1638300"/>
                                </a:moveTo>
                                <a:lnTo>
                                  <a:pt x="2260940" y="1677407"/>
                                </a:lnTo>
                                <a:lnTo>
                                  <a:pt x="2268232" y="1694445"/>
                                </a:lnTo>
                                <a:lnTo>
                                  <a:pt x="2323321" y="1672695"/>
                                </a:lnTo>
                                <a:lnTo>
                                  <a:pt x="2313231" y="1651000"/>
                                </a:lnTo>
                                <a:lnTo>
                                  <a:pt x="2335255" y="1638360"/>
                                </a:lnTo>
                                <a:close/>
                              </a:path>
                              <a:path w="4005579" h="2273300">
                                <a:moveTo>
                                  <a:pt x="2401746" y="1600200"/>
                                </a:moveTo>
                                <a:lnTo>
                                  <a:pt x="2335255" y="1638360"/>
                                </a:lnTo>
                                <a:lnTo>
                                  <a:pt x="2346105" y="1663700"/>
                                </a:lnTo>
                                <a:lnTo>
                                  <a:pt x="2323321" y="1672695"/>
                                </a:lnTo>
                                <a:lnTo>
                                  <a:pt x="2325044" y="1676400"/>
                                </a:lnTo>
                                <a:lnTo>
                                  <a:pt x="2391430" y="1638300"/>
                                </a:lnTo>
                                <a:lnTo>
                                  <a:pt x="2388842" y="1638300"/>
                                </a:lnTo>
                                <a:lnTo>
                                  <a:pt x="2381862" y="1612900"/>
                                </a:lnTo>
                                <a:lnTo>
                                  <a:pt x="2403706" y="1604413"/>
                                </a:lnTo>
                                <a:lnTo>
                                  <a:pt x="2401746" y="1600200"/>
                                </a:lnTo>
                                <a:close/>
                              </a:path>
                              <a:path w="4005579" h="2273300">
                                <a:moveTo>
                                  <a:pt x="2335255" y="1638360"/>
                                </a:moveTo>
                                <a:lnTo>
                                  <a:pt x="2313231" y="1651000"/>
                                </a:lnTo>
                                <a:lnTo>
                                  <a:pt x="2323321" y="1672695"/>
                                </a:lnTo>
                                <a:lnTo>
                                  <a:pt x="2346105" y="1663700"/>
                                </a:lnTo>
                                <a:lnTo>
                                  <a:pt x="2335255" y="1638360"/>
                                </a:lnTo>
                                <a:close/>
                              </a:path>
                              <a:path w="4005579" h="2273300">
                                <a:moveTo>
                                  <a:pt x="2403706" y="1604413"/>
                                </a:moveTo>
                                <a:lnTo>
                                  <a:pt x="2381862" y="1612900"/>
                                </a:lnTo>
                                <a:lnTo>
                                  <a:pt x="2388842" y="1638300"/>
                                </a:lnTo>
                                <a:lnTo>
                                  <a:pt x="2396853" y="1635187"/>
                                </a:lnTo>
                                <a:lnTo>
                                  <a:pt x="2413559" y="1625600"/>
                                </a:lnTo>
                                <a:lnTo>
                                  <a:pt x="2403706" y="1604413"/>
                                </a:lnTo>
                                <a:close/>
                              </a:path>
                              <a:path w="4005579" h="2273300">
                                <a:moveTo>
                                  <a:pt x="2396853" y="1635187"/>
                                </a:moveTo>
                                <a:lnTo>
                                  <a:pt x="2388842" y="1638300"/>
                                </a:lnTo>
                                <a:lnTo>
                                  <a:pt x="2391430" y="1638300"/>
                                </a:lnTo>
                                <a:lnTo>
                                  <a:pt x="2396853" y="1635187"/>
                                </a:lnTo>
                                <a:close/>
                              </a:path>
                              <a:path w="4005579" h="2273300">
                                <a:moveTo>
                                  <a:pt x="2478505" y="1575353"/>
                                </a:moveTo>
                                <a:lnTo>
                                  <a:pt x="2403706" y="1604413"/>
                                </a:lnTo>
                                <a:lnTo>
                                  <a:pt x="2413559" y="1625600"/>
                                </a:lnTo>
                                <a:lnTo>
                                  <a:pt x="2396853" y="1635187"/>
                                </a:lnTo>
                                <a:lnTo>
                                  <a:pt x="2464587" y="1608872"/>
                                </a:lnTo>
                                <a:lnTo>
                                  <a:pt x="2455435" y="1587500"/>
                                </a:lnTo>
                                <a:lnTo>
                                  <a:pt x="2478505" y="1575353"/>
                                </a:lnTo>
                                <a:close/>
                              </a:path>
                              <a:path w="4005579" h="2273300">
                                <a:moveTo>
                                  <a:pt x="2538677" y="1574800"/>
                                </a:moveTo>
                                <a:lnTo>
                                  <a:pt x="2479931" y="1574800"/>
                                </a:lnTo>
                                <a:lnTo>
                                  <a:pt x="2486910" y="1600200"/>
                                </a:lnTo>
                                <a:lnTo>
                                  <a:pt x="2464587" y="1608872"/>
                                </a:lnTo>
                                <a:lnTo>
                                  <a:pt x="2466312" y="1612900"/>
                                </a:lnTo>
                                <a:lnTo>
                                  <a:pt x="2538677" y="1574800"/>
                                </a:lnTo>
                                <a:close/>
                              </a:path>
                              <a:path w="4005579" h="2273300">
                                <a:moveTo>
                                  <a:pt x="2479931" y="1574800"/>
                                </a:moveTo>
                                <a:lnTo>
                                  <a:pt x="2478505" y="1575353"/>
                                </a:lnTo>
                                <a:lnTo>
                                  <a:pt x="2455435" y="1587500"/>
                                </a:lnTo>
                                <a:lnTo>
                                  <a:pt x="2464587" y="1608872"/>
                                </a:lnTo>
                                <a:lnTo>
                                  <a:pt x="2486910" y="1600200"/>
                                </a:lnTo>
                                <a:lnTo>
                                  <a:pt x="2479931" y="1574800"/>
                                </a:lnTo>
                                <a:close/>
                              </a:path>
                              <a:path w="4005579" h="2273300">
                                <a:moveTo>
                                  <a:pt x="2551922" y="1536700"/>
                                </a:moveTo>
                                <a:lnTo>
                                  <a:pt x="2478505" y="1575353"/>
                                </a:lnTo>
                                <a:lnTo>
                                  <a:pt x="2479931" y="1574800"/>
                                </a:lnTo>
                                <a:lnTo>
                                  <a:pt x="2538677" y="1574800"/>
                                </a:lnTo>
                                <a:lnTo>
                                  <a:pt x="2541135" y="1573505"/>
                                </a:lnTo>
                                <a:lnTo>
                                  <a:pt x="2529925" y="1549400"/>
                                </a:lnTo>
                                <a:lnTo>
                                  <a:pt x="2551949" y="1536762"/>
                                </a:lnTo>
                                <a:close/>
                              </a:path>
                              <a:path w="4005579" h="2273300">
                                <a:moveTo>
                                  <a:pt x="2599431" y="1509515"/>
                                </a:moveTo>
                                <a:lnTo>
                                  <a:pt x="2551949" y="1536762"/>
                                </a:lnTo>
                                <a:lnTo>
                                  <a:pt x="2562799" y="1562100"/>
                                </a:lnTo>
                                <a:lnTo>
                                  <a:pt x="2541135" y="1573505"/>
                                </a:lnTo>
                                <a:lnTo>
                                  <a:pt x="2541737" y="1574800"/>
                                </a:lnTo>
                                <a:lnTo>
                                  <a:pt x="2610096" y="1535573"/>
                                </a:lnTo>
                                <a:lnTo>
                                  <a:pt x="2596770" y="1511300"/>
                                </a:lnTo>
                                <a:lnTo>
                                  <a:pt x="2599431" y="1509515"/>
                                </a:lnTo>
                                <a:close/>
                              </a:path>
                              <a:path w="4005579" h="2273300">
                                <a:moveTo>
                                  <a:pt x="2551949" y="1536762"/>
                                </a:moveTo>
                                <a:lnTo>
                                  <a:pt x="2529925" y="1549400"/>
                                </a:lnTo>
                                <a:lnTo>
                                  <a:pt x="2541135" y="1573505"/>
                                </a:lnTo>
                                <a:lnTo>
                                  <a:pt x="2562799" y="1562100"/>
                                </a:lnTo>
                                <a:lnTo>
                                  <a:pt x="2551949" y="1536762"/>
                                </a:lnTo>
                                <a:close/>
                              </a:path>
                              <a:path w="4005579" h="2273300">
                                <a:moveTo>
                                  <a:pt x="2626021" y="1526434"/>
                                </a:moveTo>
                                <a:lnTo>
                                  <a:pt x="2610096" y="1535573"/>
                                </a:lnTo>
                                <a:lnTo>
                                  <a:pt x="2610715" y="1536700"/>
                                </a:lnTo>
                                <a:lnTo>
                                  <a:pt x="2626021" y="1526434"/>
                                </a:lnTo>
                                <a:close/>
                              </a:path>
                              <a:path w="4005579" h="2273300">
                                <a:moveTo>
                                  <a:pt x="2618453" y="1498600"/>
                                </a:moveTo>
                                <a:lnTo>
                                  <a:pt x="2599431" y="1509515"/>
                                </a:lnTo>
                                <a:lnTo>
                                  <a:pt x="2596770" y="1511300"/>
                                </a:lnTo>
                                <a:lnTo>
                                  <a:pt x="2610096" y="1535573"/>
                                </a:lnTo>
                                <a:lnTo>
                                  <a:pt x="2626021" y="1526434"/>
                                </a:lnTo>
                                <a:lnTo>
                                  <a:pt x="2630119" y="1523686"/>
                                </a:lnTo>
                                <a:lnTo>
                                  <a:pt x="2618453" y="1498600"/>
                                </a:lnTo>
                                <a:close/>
                              </a:path>
                              <a:path w="4005579" h="2273300">
                                <a:moveTo>
                                  <a:pt x="2630119" y="1523686"/>
                                </a:moveTo>
                                <a:lnTo>
                                  <a:pt x="2626021" y="1526434"/>
                                </a:lnTo>
                                <a:lnTo>
                                  <a:pt x="2630265" y="1524000"/>
                                </a:lnTo>
                                <a:lnTo>
                                  <a:pt x="2630119" y="1523686"/>
                                </a:lnTo>
                                <a:close/>
                              </a:path>
                              <a:path w="4005579" h="2273300">
                                <a:moveTo>
                                  <a:pt x="2667527" y="1498600"/>
                                </a:moveTo>
                                <a:lnTo>
                                  <a:pt x="2618453" y="1498600"/>
                                </a:lnTo>
                                <a:lnTo>
                                  <a:pt x="2630119" y="1523686"/>
                                </a:lnTo>
                                <a:lnTo>
                                  <a:pt x="2667527" y="1498600"/>
                                </a:lnTo>
                                <a:close/>
                              </a:path>
                              <a:path w="4005579" h="2273300">
                                <a:moveTo>
                                  <a:pt x="2671780" y="1460996"/>
                                </a:moveTo>
                                <a:lnTo>
                                  <a:pt x="2599431" y="1509515"/>
                                </a:lnTo>
                                <a:lnTo>
                                  <a:pt x="2618453" y="1498600"/>
                                </a:lnTo>
                                <a:lnTo>
                                  <a:pt x="2667527" y="1498600"/>
                                </a:lnTo>
                                <a:lnTo>
                                  <a:pt x="2686465" y="1485900"/>
                                </a:lnTo>
                                <a:lnTo>
                                  <a:pt x="2685453" y="1485900"/>
                                </a:lnTo>
                                <a:lnTo>
                                  <a:pt x="2671780" y="1460996"/>
                                </a:lnTo>
                                <a:close/>
                              </a:path>
                              <a:path w="4005579" h="2273300">
                                <a:moveTo>
                                  <a:pt x="2691458" y="1447800"/>
                                </a:moveTo>
                                <a:lnTo>
                                  <a:pt x="2671780" y="1460996"/>
                                </a:lnTo>
                                <a:lnTo>
                                  <a:pt x="2685453" y="1485900"/>
                                </a:lnTo>
                                <a:lnTo>
                                  <a:pt x="2705129" y="1472702"/>
                                </a:lnTo>
                                <a:lnTo>
                                  <a:pt x="2691458" y="1447800"/>
                                </a:lnTo>
                                <a:close/>
                              </a:path>
                              <a:path w="4005579" h="2273300">
                                <a:moveTo>
                                  <a:pt x="2705129" y="1472702"/>
                                </a:moveTo>
                                <a:lnTo>
                                  <a:pt x="2685453" y="1485900"/>
                                </a:lnTo>
                                <a:lnTo>
                                  <a:pt x="2686465" y="1485900"/>
                                </a:lnTo>
                                <a:lnTo>
                                  <a:pt x="2705402" y="1473200"/>
                                </a:lnTo>
                                <a:lnTo>
                                  <a:pt x="2705129" y="1472702"/>
                                </a:lnTo>
                                <a:close/>
                              </a:path>
                              <a:path w="4005579" h="2273300">
                                <a:moveTo>
                                  <a:pt x="2742257" y="1447800"/>
                                </a:moveTo>
                                <a:lnTo>
                                  <a:pt x="2691458" y="1447800"/>
                                </a:lnTo>
                                <a:lnTo>
                                  <a:pt x="2705129" y="1472702"/>
                                </a:lnTo>
                                <a:lnTo>
                                  <a:pt x="2742257" y="1447800"/>
                                </a:lnTo>
                                <a:close/>
                              </a:path>
                              <a:path w="4005579" h="2273300">
                                <a:moveTo>
                                  <a:pt x="2746367" y="1410289"/>
                                </a:moveTo>
                                <a:lnTo>
                                  <a:pt x="2671507" y="1460500"/>
                                </a:lnTo>
                                <a:lnTo>
                                  <a:pt x="2671780" y="1460996"/>
                                </a:lnTo>
                                <a:lnTo>
                                  <a:pt x="2691458" y="1447800"/>
                                </a:lnTo>
                                <a:lnTo>
                                  <a:pt x="2742257" y="1447800"/>
                                </a:lnTo>
                                <a:lnTo>
                                  <a:pt x="2762553" y="1434187"/>
                                </a:lnTo>
                                <a:lnTo>
                                  <a:pt x="2746367" y="1410289"/>
                                </a:lnTo>
                                <a:close/>
                              </a:path>
                              <a:path w="4005579" h="2273300">
                                <a:moveTo>
                                  <a:pt x="2766647" y="1431441"/>
                                </a:moveTo>
                                <a:lnTo>
                                  <a:pt x="2762553" y="1434187"/>
                                </a:lnTo>
                                <a:lnTo>
                                  <a:pt x="2763171" y="1435100"/>
                                </a:lnTo>
                                <a:lnTo>
                                  <a:pt x="2766647" y="1431441"/>
                                </a:lnTo>
                                <a:close/>
                              </a:path>
                              <a:path w="4005579" h="2273300">
                                <a:moveTo>
                                  <a:pt x="2766181" y="1397000"/>
                                </a:moveTo>
                                <a:lnTo>
                                  <a:pt x="2746367" y="1410289"/>
                                </a:lnTo>
                                <a:lnTo>
                                  <a:pt x="2762553" y="1434187"/>
                                </a:lnTo>
                                <a:lnTo>
                                  <a:pt x="2766647" y="1431441"/>
                                </a:lnTo>
                                <a:lnTo>
                                  <a:pt x="2778335" y="1419137"/>
                                </a:lnTo>
                                <a:lnTo>
                                  <a:pt x="2766181" y="1397000"/>
                                </a:lnTo>
                                <a:close/>
                              </a:path>
                              <a:path w="4005579" h="2273300">
                                <a:moveTo>
                                  <a:pt x="2778335" y="1419137"/>
                                </a:moveTo>
                                <a:lnTo>
                                  <a:pt x="2766647" y="1431441"/>
                                </a:lnTo>
                                <a:lnTo>
                                  <a:pt x="2780127" y="1422400"/>
                                </a:lnTo>
                                <a:lnTo>
                                  <a:pt x="2778335" y="1419137"/>
                                </a:lnTo>
                                <a:close/>
                              </a:path>
                              <a:path w="4005579" h="2273300">
                                <a:moveTo>
                                  <a:pt x="2799365" y="1397000"/>
                                </a:moveTo>
                                <a:lnTo>
                                  <a:pt x="2766181" y="1397000"/>
                                </a:lnTo>
                                <a:lnTo>
                                  <a:pt x="2778335" y="1419137"/>
                                </a:lnTo>
                                <a:lnTo>
                                  <a:pt x="2799365" y="1397000"/>
                                </a:lnTo>
                                <a:close/>
                              </a:path>
                              <a:path w="4005579" h="2273300">
                                <a:moveTo>
                                  <a:pt x="2814367" y="1347983"/>
                                </a:moveTo>
                                <a:lnTo>
                                  <a:pt x="2745967" y="1409700"/>
                                </a:lnTo>
                                <a:lnTo>
                                  <a:pt x="2746367" y="1410289"/>
                                </a:lnTo>
                                <a:lnTo>
                                  <a:pt x="2766181" y="1397000"/>
                                </a:lnTo>
                                <a:lnTo>
                                  <a:pt x="2799365" y="1397000"/>
                                </a:lnTo>
                                <a:lnTo>
                                  <a:pt x="2827077" y="1367827"/>
                                </a:lnTo>
                                <a:lnTo>
                                  <a:pt x="2814367" y="1347983"/>
                                </a:lnTo>
                                <a:close/>
                              </a:path>
                              <a:path w="4005579" h="2273300">
                                <a:moveTo>
                                  <a:pt x="2869288" y="1333500"/>
                                </a:moveTo>
                                <a:lnTo>
                                  <a:pt x="2830419" y="1333500"/>
                                </a:lnTo>
                                <a:lnTo>
                                  <a:pt x="2847623" y="1346200"/>
                                </a:lnTo>
                                <a:lnTo>
                                  <a:pt x="2827077" y="1367827"/>
                                </a:lnTo>
                                <a:lnTo>
                                  <a:pt x="2829494" y="1371600"/>
                                </a:lnTo>
                                <a:lnTo>
                                  <a:pt x="2869288" y="1333500"/>
                                </a:lnTo>
                                <a:close/>
                              </a:path>
                              <a:path w="4005579" h="2273300">
                                <a:moveTo>
                                  <a:pt x="2830419" y="1333500"/>
                                </a:moveTo>
                                <a:lnTo>
                                  <a:pt x="2814367" y="1347983"/>
                                </a:lnTo>
                                <a:lnTo>
                                  <a:pt x="2827077" y="1367827"/>
                                </a:lnTo>
                                <a:lnTo>
                                  <a:pt x="2847623" y="1346200"/>
                                </a:lnTo>
                                <a:lnTo>
                                  <a:pt x="2830419" y="1333500"/>
                                </a:lnTo>
                                <a:close/>
                              </a:path>
                              <a:path w="4005579" h="2273300">
                                <a:moveTo>
                                  <a:pt x="2889346" y="1283731"/>
                                </a:moveTo>
                                <a:lnTo>
                                  <a:pt x="2813225" y="1346200"/>
                                </a:lnTo>
                                <a:lnTo>
                                  <a:pt x="2814367" y="1347983"/>
                                </a:lnTo>
                                <a:lnTo>
                                  <a:pt x="2830419" y="1333500"/>
                                </a:lnTo>
                                <a:lnTo>
                                  <a:pt x="2869288" y="1333500"/>
                                </a:lnTo>
                                <a:lnTo>
                                  <a:pt x="2909083" y="1295400"/>
                                </a:lnTo>
                                <a:lnTo>
                                  <a:pt x="2905151" y="1295400"/>
                                </a:lnTo>
                                <a:lnTo>
                                  <a:pt x="2889346" y="1283731"/>
                                </a:lnTo>
                                <a:close/>
                              </a:path>
                              <a:path w="4005579" h="2273300">
                                <a:moveTo>
                                  <a:pt x="2906079" y="1270000"/>
                                </a:moveTo>
                                <a:lnTo>
                                  <a:pt x="2889346" y="1283731"/>
                                </a:lnTo>
                                <a:lnTo>
                                  <a:pt x="2905151" y="1295400"/>
                                </a:lnTo>
                                <a:lnTo>
                                  <a:pt x="2920100" y="1280944"/>
                                </a:lnTo>
                                <a:lnTo>
                                  <a:pt x="2906079" y="1270000"/>
                                </a:lnTo>
                                <a:close/>
                              </a:path>
                              <a:path w="4005579" h="2273300">
                                <a:moveTo>
                                  <a:pt x="2920100" y="1280944"/>
                                </a:moveTo>
                                <a:lnTo>
                                  <a:pt x="2905151" y="1295400"/>
                                </a:lnTo>
                                <a:lnTo>
                                  <a:pt x="2909083" y="1295400"/>
                                </a:lnTo>
                                <a:lnTo>
                                  <a:pt x="2922348" y="1282700"/>
                                </a:lnTo>
                                <a:lnTo>
                                  <a:pt x="2920100" y="1280944"/>
                                </a:lnTo>
                                <a:close/>
                              </a:path>
                              <a:path w="4005579" h="2273300">
                                <a:moveTo>
                                  <a:pt x="2964899" y="1208289"/>
                                </a:moveTo>
                                <a:lnTo>
                                  <a:pt x="2887949" y="1282700"/>
                                </a:lnTo>
                                <a:lnTo>
                                  <a:pt x="2889346" y="1283731"/>
                                </a:lnTo>
                                <a:lnTo>
                                  <a:pt x="2906079" y="1270000"/>
                                </a:lnTo>
                                <a:lnTo>
                                  <a:pt x="2931418" y="1270000"/>
                                </a:lnTo>
                                <a:lnTo>
                                  <a:pt x="2983951" y="1219200"/>
                                </a:lnTo>
                                <a:lnTo>
                                  <a:pt x="2977728" y="1219200"/>
                                </a:lnTo>
                                <a:lnTo>
                                  <a:pt x="2964899" y="1208289"/>
                                </a:lnTo>
                                <a:close/>
                              </a:path>
                              <a:path w="4005579" h="2273300">
                                <a:moveTo>
                                  <a:pt x="2931418" y="1270000"/>
                                </a:moveTo>
                                <a:lnTo>
                                  <a:pt x="2906079" y="1270000"/>
                                </a:lnTo>
                                <a:lnTo>
                                  <a:pt x="2920100" y="1280944"/>
                                </a:lnTo>
                                <a:lnTo>
                                  <a:pt x="2931418" y="1270000"/>
                                </a:lnTo>
                                <a:close/>
                              </a:path>
                              <a:path w="4005579" h="2273300">
                                <a:moveTo>
                                  <a:pt x="2979986" y="1193875"/>
                                </a:moveTo>
                                <a:lnTo>
                                  <a:pt x="2979233" y="1194428"/>
                                </a:lnTo>
                                <a:lnTo>
                                  <a:pt x="2964899" y="1208289"/>
                                </a:lnTo>
                                <a:lnTo>
                                  <a:pt x="2977728" y="1219200"/>
                                </a:lnTo>
                                <a:lnTo>
                                  <a:pt x="2996056" y="1205740"/>
                                </a:lnTo>
                                <a:lnTo>
                                  <a:pt x="2979986" y="1193875"/>
                                </a:lnTo>
                                <a:close/>
                              </a:path>
                              <a:path w="4005579" h="2273300">
                                <a:moveTo>
                                  <a:pt x="2996056" y="1205740"/>
                                </a:moveTo>
                                <a:lnTo>
                                  <a:pt x="2977728" y="1219200"/>
                                </a:lnTo>
                                <a:lnTo>
                                  <a:pt x="2983951" y="1219200"/>
                                </a:lnTo>
                                <a:lnTo>
                                  <a:pt x="2997085" y="1206500"/>
                                </a:lnTo>
                                <a:lnTo>
                                  <a:pt x="2996056" y="1205740"/>
                                </a:lnTo>
                                <a:close/>
                              </a:path>
                              <a:path w="4005579" h="2273300">
                                <a:moveTo>
                                  <a:pt x="2979233" y="1194428"/>
                                </a:moveTo>
                                <a:lnTo>
                                  <a:pt x="2962795" y="1206500"/>
                                </a:lnTo>
                                <a:lnTo>
                                  <a:pt x="2964899" y="1208289"/>
                                </a:lnTo>
                                <a:lnTo>
                                  <a:pt x="2979233" y="1194428"/>
                                </a:lnTo>
                                <a:close/>
                              </a:path>
                              <a:path w="4005579" h="2273300">
                                <a:moveTo>
                                  <a:pt x="3030928" y="1156464"/>
                                </a:moveTo>
                                <a:lnTo>
                                  <a:pt x="2979986" y="1193875"/>
                                </a:lnTo>
                                <a:lnTo>
                                  <a:pt x="2996056" y="1205740"/>
                                </a:lnTo>
                                <a:lnTo>
                                  <a:pt x="3046902" y="1168400"/>
                                </a:lnTo>
                                <a:lnTo>
                                  <a:pt x="3045205" y="1168400"/>
                                </a:lnTo>
                                <a:lnTo>
                                  <a:pt x="3030928" y="1156464"/>
                                </a:lnTo>
                                <a:close/>
                              </a:path>
                              <a:path w="4005579" h="2273300">
                                <a:moveTo>
                                  <a:pt x="2979883" y="1193800"/>
                                </a:moveTo>
                                <a:lnTo>
                                  <a:pt x="2979233" y="1194428"/>
                                </a:lnTo>
                                <a:lnTo>
                                  <a:pt x="2979986" y="1193875"/>
                                </a:lnTo>
                                <a:close/>
                              </a:path>
                              <a:path w="4005579" h="2273300">
                                <a:moveTo>
                                  <a:pt x="3049263" y="1143000"/>
                                </a:moveTo>
                                <a:lnTo>
                                  <a:pt x="3030928" y="1156464"/>
                                </a:lnTo>
                                <a:lnTo>
                                  <a:pt x="3045205" y="1168400"/>
                                </a:lnTo>
                                <a:lnTo>
                                  <a:pt x="3062551" y="1154301"/>
                                </a:lnTo>
                                <a:lnTo>
                                  <a:pt x="3049263" y="1143000"/>
                                </a:lnTo>
                                <a:close/>
                              </a:path>
                              <a:path w="4005579" h="2273300">
                                <a:moveTo>
                                  <a:pt x="3062551" y="1154301"/>
                                </a:moveTo>
                                <a:lnTo>
                                  <a:pt x="3045205" y="1168400"/>
                                </a:lnTo>
                                <a:lnTo>
                                  <a:pt x="3046902" y="1168400"/>
                                </a:lnTo>
                                <a:lnTo>
                                  <a:pt x="3064196" y="1155700"/>
                                </a:lnTo>
                                <a:lnTo>
                                  <a:pt x="3062551" y="1154301"/>
                                </a:lnTo>
                                <a:close/>
                              </a:path>
                              <a:path w="4005579" h="2273300">
                                <a:moveTo>
                                  <a:pt x="3105859" y="1094055"/>
                                </a:moveTo>
                                <a:lnTo>
                                  <a:pt x="3030013" y="1155700"/>
                                </a:lnTo>
                                <a:lnTo>
                                  <a:pt x="3030928" y="1156464"/>
                                </a:lnTo>
                                <a:lnTo>
                                  <a:pt x="3049263" y="1143000"/>
                                </a:lnTo>
                                <a:lnTo>
                                  <a:pt x="3076457" y="1143000"/>
                                </a:lnTo>
                                <a:lnTo>
                                  <a:pt x="3115941" y="1110908"/>
                                </a:lnTo>
                                <a:lnTo>
                                  <a:pt x="3105859" y="1094055"/>
                                </a:lnTo>
                                <a:close/>
                              </a:path>
                              <a:path w="4005579" h="2273300">
                                <a:moveTo>
                                  <a:pt x="3076457" y="1143000"/>
                                </a:moveTo>
                                <a:lnTo>
                                  <a:pt x="3049263" y="1143000"/>
                                </a:lnTo>
                                <a:lnTo>
                                  <a:pt x="3062551" y="1154301"/>
                                </a:lnTo>
                                <a:lnTo>
                                  <a:pt x="3076457" y="1143000"/>
                                </a:lnTo>
                                <a:close/>
                              </a:path>
                              <a:path w="4005579" h="2273300">
                                <a:moveTo>
                                  <a:pt x="3166814" y="1079500"/>
                                </a:moveTo>
                                <a:lnTo>
                                  <a:pt x="3123768" y="1079500"/>
                                </a:lnTo>
                                <a:lnTo>
                                  <a:pt x="3138960" y="1092200"/>
                                </a:lnTo>
                                <a:lnTo>
                                  <a:pt x="3115941" y="1110908"/>
                                </a:lnTo>
                                <a:lnTo>
                                  <a:pt x="3119944" y="1117600"/>
                                </a:lnTo>
                                <a:lnTo>
                                  <a:pt x="3166814" y="1079500"/>
                                </a:lnTo>
                                <a:close/>
                              </a:path>
                              <a:path w="4005579" h="2273300">
                                <a:moveTo>
                                  <a:pt x="3123768" y="1079500"/>
                                </a:moveTo>
                                <a:lnTo>
                                  <a:pt x="3105859" y="1094055"/>
                                </a:lnTo>
                                <a:lnTo>
                                  <a:pt x="3115941" y="1110908"/>
                                </a:lnTo>
                                <a:lnTo>
                                  <a:pt x="3138960" y="1092200"/>
                                </a:lnTo>
                                <a:lnTo>
                                  <a:pt x="3123768" y="1079500"/>
                                </a:lnTo>
                                <a:close/>
                              </a:path>
                              <a:path w="4005579" h="2273300">
                                <a:moveTo>
                                  <a:pt x="3196542" y="1017584"/>
                                </a:moveTo>
                                <a:lnTo>
                                  <a:pt x="3104750" y="1092200"/>
                                </a:lnTo>
                                <a:lnTo>
                                  <a:pt x="3105859" y="1094055"/>
                                </a:lnTo>
                                <a:lnTo>
                                  <a:pt x="3123768" y="1079500"/>
                                </a:lnTo>
                                <a:lnTo>
                                  <a:pt x="3166814" y="1079500"/>
                                </a:lnTo>
                                <a:lnTo>
                                  <a:pt x="3198758" y="1053533"/>
                                </a:lnTo>
                                <a:lnTo>
                                  <a:pt x="3179644" y="1041400"/>
                                </a:lnTo>
                                <a:lnTo>
                                  <a:pt x="3196542" y="1017584"/>
                                </a:lnTo>
                                <a:close/>
                              </a:path>
                              <a:path w="4005579" h="2273300">
                                <a:moveTo>
                                  <a:pt x="3201815" y="1051048"/>
                                </a:moveTo>
                                <a:lnTo>
                                  <a:pt x="3198758" y="1053533"/>
                                </a:lnTo>
                                <a:lnTo>
                                  <a:pt x="3199650" y="1054100"/>
                                </a:lnTo>
                                <a:lnTo>
                                  <a:pt x="3201815" y="1051048"/>
                                </a:lnTo>
                                <a:close/>
                              </a:path>
                              <a:path w="4005579" h="2273300">
                                <a:moveTo>
                                  <a:pt x="3198490" y="1016000"/>
                                </a:moveTo>
                                <a:lnTo>
                                  <a:pt x="3196542" y="1017584"/>
                                </a:lnTo>
                                <a:lnTo>
                                  <a:pt x="3179644" y="1041400"/>
                                </a:lnTo>
                                <a:lnTo>
                                  <a:pt x="3198758" y="1053533"/>
                                </a:lnTo>
                                <a:lnTo>
                                  <a:pt x="3201815" y="1051048"/>
                                </a:lnTo>
                                <a:lnTo>
                                  <a:pt x="3211386" y="1037558"/>
                                </a:lnTo>
                                <a:lnTo>
                                  <a:pt x="3198490" y="1016000"/>
                                </a:lnTo>
                                <a:close/>
                              </a:path>
                              <a:path w="4005579" h="2273300">
                                <a:moveTo>
                                  <a:pt x="3211386" y="1037558"/>
                                </a:moveTo>
                                <a:lnTo>
                                  <a:pt x="3201815" y="1051048"/>
                                </a:lnTo>
                                <a:lnTo>
                                  <a:pt x="3213684" y="1041400"/>
                                </a:lnTo>
                                <a:lnTo>
                                  <a:pt x="3211386" y="1037558"/>
                                </a:lnTo>
                                <a:close/>
                              </a:path>
                              <a:path w="4005579" h="2273300">
                                <a:moveTo>
                                  <a:pt x="3226682" y="1016000"/>
                                </a:moveTo>
                                <a:lnTo>
                                  <a:pt x="3198490" y="1016000"/>
                                </a:lnTo>
                                <a:lnTo>
                                  <a:pt x="3211386" y="1037558"/>
                                </a:lnTo>
                                <a:lnTo>
                                  <a:pt x="3226682" y="1016000"/>
                                </a:lnTo>
                                <a:close/>
                              </a:path>
                              <a:path w="4005579" h="2273300">
                                <a:moveTo>
                                  <a:pt x="3249820" y="942492"/>
                                </a:moveTo>
                                <a:lnTo>
                                  <a:pt x="3196542" y="1017584"/>
                                </a:lnTo>
                                <a:lnTo>
                                  <a:pt x="3198490" y="1016000"/>
                                </a:lnTo>
                                <a:lnTo>
                                  <a:pt x="3226682" y="1016000"/>
                                </a:lnTo>
                                <a:lnTo>
                                  <a:pt x="3271736" y="952500"/>
                                </a:lnTo>
                                <a:lnTo>
                                  <a:pt x="3260809" y="952500"/>
                                </a:lnTo>
                                <a:lnTo>
                                  <a:pt x="3249820" y="942492"/>
                                </a:lnTo>
                                <a:close/>
                              </a:path>
                              <a:path w="4005579" h="2273300">
                                <a:moveTo>
                                  <a:pt x="3261806" y="927776"/>
                                </a:moveTo>
                                <a:lnTo>
                                  <a:pt x="3258205" y="930674"/>
                                </a:lnTo>
                                <a:lnTo>
                                  <a:pt x="3249820" y="942492"/>
                                </a:lnTo>
                                <a:lnTo>
                                  <a:pt x="3260809" y="952500"/>
                                </a:lnTo>
                                <a:lnTo>
                                  <a:pt x="3280234" y="939474"/>
                                </a:lnTo>
                                <a:lnTo>
                                  <a:pt x="3261806" y="927776"/>
                                </a:lnTo>
                                <a:close/>
                              </a:path>
                              <a:path w="4005579" h="2273300">
                                <a:moveTo>
                                  <a:pt x="3280234" y="939474"/>
                                </a:moveTo>
                                <a:lnTo>
                                  <a:pt x="3260809" y="952500"/>
                                </a:lnTo>
                                <a:lnTo>
                                  <a:pt x="3271736" y="952500"/>
                                </a:lnTo>
                                <a:lnTo>
                                  <a:pt x="3280747" y="939800"/>
                                </a:lnTo>
                                <a:lnTo>
                                  <a:pt x="3280234" y="939474"/>
                                </a:lnTo>
                                <a:close/>
                              </a:path>
                              <a:path w="4005579" h="2273300">
                                <a:moveTo>
                                  <a:pt x="3258205" y="930674"/>
                                </a:moveTo>
                                <a:lnTo>
                                  <a:pt x="3246864" y="939800"/>
                                </a:lnTo>
                                <a:lnTo>
                                  <a:pt x="3249820" y="942492"/>
                                </a:lnTo>
                                <a:lnTo>
                                  <a:pt x="3258205" y="930674"/>
                                </a:lnTo>
                                <a:close/>
                              </a:path>
                              <a:path w="4005579" h="2273300">
                                <a:moveTo>
                                  <a:pt x="3341353" y="863768"/>
                                </a:moveTo>
                                <a:lnTo>
                                  <a:pt x="3261806" y="927776"/>
                                </a:lnTo>
                                <a:lnTo>
                                  <a:pt x="3280234" y="939474"/>
                                </a:lnTo>
                                <a:lnTo>
                                  <a:pt x="3338350" y="900505"/>
                                </a:lnTo>
                                <a:lnTo>
                                  <a:pt x="3321418" y="889000"/>
                                </a:lnTo>
                                <a:lnTo>
                                  <a:pt x="3341353" y="863768"/>
                                </a:lnTo>
                                <a:close/>
                              </a:path>
                              <a:path w="4005579" h="2273300">
                                <a:moveTo>
                                  <a:pt x="3260741" y="927100"/>
                                </a:moveTo>
                                <a:lnTo>
                                  <a:pt x="3258205" y="930674"/>
                                </a:lnTo>
                                <a:lnTo>
                                  <a:pt x="3261806" y="927776"/>
                                </a:lnTo>
                                <a:lnTo>
                                  <a:pt x="3260741" y="927100"/>
                                </a:lnTo>
                                <a:close/>
                              </a:path>
                              <a:path w="4005579" h="2273300">
                                <a:moveTo>
                                  <a:pt x="3345331" y="895824"/>
                                </a:moveTo>
                                <a:lnTo>
                                  <a:pt x="3338350" y="900505"/>
                                </a:lnTo>
                                <a:lnTo>
                                  <a:pt x="3340108" y="901700"/>
                                </a:lnTo>
                                <a:lnTo>
                                  <a:pt x="3345331" y="895824"/>
                                </a:lnTo>
                                <a:close/>
                              </a:path>
                              <a:path w="4005579" h="2273300">
                                <a:moveTo>
                                  <a:pt x="3341563" y="863600"/>
                                </a:moveTo>
                                <a:lnTo>
                                  <a:pt x="3341353" y="863768"/>
                                </a:lnTo>
                                <a:lnTo>
                                  <a:pt x="3321418" y="889000"/>
                                </a:lnTo>
                                <a:lnTo>
                                  <a:pt x="3338350" y="900505"/>
                                </a:lnTo>
                                <a:lnTo>
                                  <a:pt x="3345331" y="895824"/>
                                </a:lnTo>
                                <a:lnTo>
                                  <a:pt x="3353938" y="886140"/>
                                </a:lnTo>
                                <a:lnTo>
                                  <a:pt x="3341563" y="863600"/>
                                </a:lnTo>
                                <a:close/>
                              </a:path>
                              <a:path w="4005579" h="2273300">
                                <a:moveTo>
                                  <a:pt x="3353938" y="886140"/>
                                </a:moveTo>
                                <a:lnTo>
                                  <a:pt x="3345331" y="895824"/>
                                </a:lnTo>
                                <a:lnTo>
                                  <a:pt x="3355508" y="889000"/>
                                </a:lnTo>
                                <a:lnTo>
                                  <a:pt x="3353938" y="886140"/>
                                </a:lnTo>
                                <a:close/>
                              </a:path>
                              <a:path w="4005579" h="2273300">
                                <a:moveTo>
                                  <a:pt x="3373973" y="863600"/>
                                </a:moveTo>
                                <a:lnTo>
                                  <a:pt x="3341563" y="863600"/>
                                </a:lnTo>
                                <a:lnTo>
                                  <a:pt x="3353938" y="886140"/>
                                </a:lnTo>
                                <a:lnTo>
                                  <a:pt x="3373973" y="863600"/>
                                </a:lnTo>
                                <a:close/>
                              </a:path>
                              <a:path w="4005579" h="2273300">
                                <a:moveTo>
                                  <a:pt x="3411725" y="774700"/>
                                </a:moveTo>
                                <a:lnTo>
                                  <a:pt x="3341353" y="863768"/>
                                </a:lnTo>
                                <a:lnTo>
                                  <a:pt x="3341563" y="863600"/>
                                </a:lnTo>
                                <a:lnTo>
                                  <a:pt x="3373973" y="863600"/>
                                </a:lnTo>
                                <a:lnTo>
                                  <a:pt x="3419127" y="812800"/>
                                </a:lnTo>
                                <a:lnTo>
                                  <a:pt x="3415698" y="812800"/>
                                </a:lnTo>
                                <a:lnTo>
                                  <a:pt x="3396233" y="800100"/>
                                </a:lnTo>
                                <a:lnTo>
                                  <a:pt x="3413093" y="776559"/>
                                </a:lnTo>
                                <a:lnTo>
                                  <a:pt x="3411725" y="774700"/>
                                </a:lnTo>
                                <a:close/>
                              </a:path>
                              <a:path w="4005579" h="2273300">
                                <a:moveTo>
                                  <a:pt x="3413093" y="776559"/>
                                </a:moveTo>
                                <a:lnTo>
                                  <a:pt x="3396233" y="800100"/>
                                </a:lnTo>
                                <a:lnTo>
                                  <a:pt x="3415698" y="812800"/>
                                </a:lnTo>
                                <a:lnTo>
                                  <a:pt x="3427566" y="796228"/>
                                </a:lnTo>
                                <a:lnTo>
                                  <a:pt x="3413093" y="776559"/>
                                </a:lnTo>
                                <a:close/>
                              </a:path>
                              <a:path w="4005579" h="2273300">
                                <a:moveTo>
                                  <a:pt x="3427566" y="796228"/>
                                </a:moveTo>
                                <a:lnTo>
                                  <a:pt x="3415698" y="812800"/>
                                </a:lnTo>
                                <a:lnTo>
                                  <a:pt x="3419127" y="812800"/>
                                </a:lnTo>
                                <a:lnTo>
                                  <a:pt x="3430415" y="800100"/>
                                </a:lnTo>
                                <a:lnTo>
                                  <a:pt x="3427566" y="796228"/>
                                </a:lnTo>
                                <a:close/>
                              </a:path>
                              <a:path w="4005579" h="2273300">
                                <a:moveTo>
                                  <a:pt x="3478094" y="685800"/>
                                </a:moveTo>
                                <a:lnTo>
                                  <a:pt x="3413093" y="776559"/>
                                </a:lnTo>
                                <a:lnTo>
                                  <a:pt x="3427566" y="796228"/>
                                </a:lnTo>
                                <a:lnTo>
                                  <a:pt x="3479761" y="723349"/>
                                </a:lnTo>
                                <a:lnTo>
                                  <a:pt x="3463307" y="711200"/>
                                </a:lnTo>
                                <a:lnTo>
                                  <a:pt x="3483251" y="689165"/>
                                </a:lnTo>
                                <a:lnTo>
                                  <a:pt x="3478094" y="685800"/>
                                </a:lnTo>
                                <a:close/>
                              </a:path>
                              <a:path w="4005579" h="2273300">
                                <a:moveTo>
                                  <a:pt x="3555267" y="609600"/>
                                </a:moveTo>
                                <a:lnTo>
                                  <a:pt x="3483251" y="689165"/>
                                </a:lnTo>
                                <a:lnTo>
                                  <a:pt x="3497558" y="698500"/>
                                </a:lnTo>
                                <a:lnTo>
                                  <a:pt x="3479761" y="723349"/>
                                </a:lnTo>
                                <a:lnTo>
                                  <a:pt x="3480505" y="723900"/>
                                </a:lnTo>
                                <a:lnTo>
                                  <a:pt x="3559328" y="647700"/>
                                </a:lnTo>
                                <a:lnTo>
                                  <a:pt x="3555242" y="647700"/>
                                </a:lnTo>
                                <a:lnTo>
                                  <a:pt x="3538042" y="635000"/>
                                </a:lnTo>
                                <a:lnTo>
                                  <a:pt x="3558846" y="614885"/>
                                </a:lnTo>
                                <a:lnTo>
                                  <a:pt x="3555267" y="609600"/>
                                </a:lnTo>
                                <a:close/>
                              </a:path>
                              <a:path w="4005579" h="2273300">
                                <a:moveTo>
                                  <a:pt x="3483251" y="689165"/>
                                </a:moveTo>
                                <a:lnTo>
                                  <a:pt x="3463307" y="711200"/>
                                </a:lnTo>
                                <a:lnTo>
                                  <a:pt x="3479761" y="723349"/>
                                </a:lnTo>
                                <a:lnTo>
                                  <a:pt x="3497558" y="698500"/>
                                </a:lnTo>
                                <a:lnTo>
                                  <a:pt x="3483251" y="689165"/>
                                </a:lnTo>
                                <a:close/>
                              </a:path>
                              <a:path w="4005579" h="2273300">
                                <a:moveTo>
                                  <a:pt x="3558846" y="614885"/>
                                </a:moveTo>
                                <a:lnTo>
                                  <a:pt x="3538042" y="635000"/>
                                </a:lnTo>
                                <a:lnTo>
                                  <a:pt x="3555242" y="647700"/>
                                </a:lnTo>
                                <a:lnTo>
                                  <a:pt x="3570848" y="632611"/>
                                </a:lnTo>
                                <a:lnTo>
                                  <a:pt x="3558846" y="614885"/>
                                </a:lnTo>
                                <a:close/>
                              </a:path>
                              <a:path w="4005579" h="2273300">
                                <a:moveTo>
                                  <a:pt x="3570848" y="632611"/>
                                </a:moveTo>
                                <a:lnTo>
                                  <a:pt x="3555242" y="647700"/>
                                </a:lnTo>
                                <a:lnTo>
                                  <a:pt x="3559328" y="647700"/>
                                </a:lnTo>
                                <a:lnTo>
                                  <a:pt x="3572465" y="635000"/>
                                </a:lnTo>
                                <a:lnTo>
                                  <a:pt x="3570848" y="632611"/>
                                </a:lnTo>
                                <a:close/>
                              </a:path>
                              <a:path w="4005579" h="2273300">
                                <a:moveTo>
                                  <a:pt x="3615534" y="560076"/>
                                </a:moveTo>
                                <a:lnTo>
                                  <a:pt x="3558846" y="614885"/>
                                </a:lnTo>
                                <a:lnTo>
                                  <a:pt x="3570848" y="632611"/>
                                </a:lnTo>
                                <a:lnTo>
                                  <a:pt x="3634268" y="571293"/>
                                </a:lnTo>
                                <a:lnTo>
                                  <a:pt x="3615534" y="560076"/>
                                </a:lnTo>
                                <a:close/>
                              </a:path>
                              <a:path w="4005579" h="2273300">
                                <a:moveTo>
                                  <a:pt x="3635290" y="570305"/>
                                </a:moveTo>
                                <a:lnTo>
                                  <a:pt x="3634268" y="571293"/>
                                </a:lnTo>
                                <a:lnTo>
                                  <a:pt x="3634613" y="571500"/>
                                </a:lnTo>
                                <a:lnTo>
                                  <a:pt x="3635290" y="570305"/>
                                </a:lnTo>
                                <a:close/>
                              </a:path>
                              <a:path w="4005579" h="2273300">
                                <a:moveTo>
                                  <a:pt x="3629990" y="546100"/>
                                </a:moveTo>
                                <a:lnTo>
                                  <a:pt x="3615534" y="560076"/>
                                </a:lnTo>
                                <a:lnTo>
                                  <a:pt x="3634268" y="571293"/>
                                </a:lnTo>
                                <a:lnTo>
                                  <a:pt x="3635290" y="570305"/>
                                </a:lnTo>
                                <a:lnTo>
                                  <a:pt x="3643397" y="555999"/>
                                </a:lnTo>
                                <a:lnTo>
                                  <a:pt x="3629990" y="546100"/>
                                </a:lnTo>
                                <a:close/>
                              </a:path>
                              <a:path w="4005579" h="2273300">
                                <a:moveTo>
                                  <a:pt x="3643397" y="555999"/>
                                </a:moveTo>
                                <a:lnTo>
                                  <a:pt x="3635290" y="570305"/>
                                </a:lnTo>
                                <a:lnTo>
                                  <a:pt x="3647190" y="558800"/>
                                </a:lnTo>
                                <a:lnTo>
                                  <a:pt x="3643397" y="555999"/>
                                </a:lnTo>
                                <a:close/>
                              </a:path>
                              <a:path w="4005579" h="2273300">
                                <a:moveTo>
                                  <a:pt x="3692577" y="419100"/>
                                </a:moveTo>
                                <a:lnTo>
                                  <a:pt x="3613402" y="558800"/>
                                </a:lnTo>
                                <a:lnTo>
                                  <a:pt x="3615534" y="560076"/>
                                </a:lnTo>
                                <a:lnTo>
                                  <a:pt x="3629990" y="546100"/>
                                </a:lnTo>
                                <a:lnTo>
                                  <a:pt x="3649008" y="546100"/>
                                </a:lnTo>
                                <a:lnTo>
                                  <a:pt x="3699703" y="456652"/>
                                </a:lnTo>
                                <a:lnTo>
                                  <a:pt x="3680332" y="444500"/>
                                </a:lnTo>
                                <a:lnTo>
                                  <a:pt x="3695337" y="420752"/>
                                </a:lnTo>
                                <a:lnTo>
                                  <a:pt x="3692577" y="419100"/>
                                </a:lnTo>
                                <a:close/>
                              </a:path>
                              <a:path w="4005579" h="2273300">
                                <a:moveTo>
                                  <a:pt x="3649008" y="546100"/>
                                </a:moveTo>
                                <a:lnTo>
                                  <a:pt x="3629990" y="546100"/>
                                </a:lnTo>
                                <a:lnTo>
                                  <a:pt x="3643397" y="555999"/>
                                </a:lnTo>
                                <a:lnTo>
                                  <a:pt x="3649008" y="546100"/>
                                </a:lnTo>
                                <a:close/>
                              </a:path>
                              <a:path w="4005579" h="2273300">
                                <a:moveTo>
                                  <a:pt x="3768598" y="304800"/>
                                </a:moveTo>
                                <a:lnTo>
                                  <a:pt x="3695337" y="420752"/>
                                </a:lnTo>
                                <a:lnTo>
                                  <a:pt x="3713788" y="431800"/>
                                </a:lnTo>
                                <a:lnTo>
                                  <a:pt x="3699703" y="456652"/>
                                </a:lnTo>
                                <a:lnTo>
                                  <a:pt x="3700575" y="457200"/>
                                </a:lnTo>
                                <a:lnTo>
                                  <a:pt x="3773007" y="342559"/>
                                </a:lnTo>
                                <a:lnTo>
                                  <a:pt x="3754819" y="330200"/>
                                </a:lnTo>
                                <a:lnTo>
                                  <a:pt x="3772804" y="307439"/>
                                </a:lnTo>
                                <a:lnTo>
                                  <a:pt x="3768598" y="304800"/>
                                </a:lnTo>
                                <a:close/>
                              </a:path>
                              <a:path w="4005579" h="2273300">
                                <a:moveTo>
                                  <a:pt x="3695337" y="420752"/>
                                </a:moveTo>
                                <a:lnTo>
                                  <a:pt x="3680332" y="444500"/>
                                </a:lnTo>
                                <a:lnTo>
                                  <a:pt x="3699703" y="456652"/>
                                </a:lnTo>
                                <a:lnTo>
                                  <a:pt x="3713788" y="431800"/>
                                </a:lnTo>
                                <a:lnTo>
                                  <a:pt x="3695337" y="420752"/>
                                </a:lnTo>
                                <a:close/>
                              </a:path>
                              <a:path w="4005579" h="2273300">
                                <a:moveTo>
                                  <a:pt x="3842797" y="218860"/>
                                </a:moveTo>
                                <a:lnTo>
                                  <a:pt x="3772804" y="307439"/>
                                </a:lnTo>
                                <a:lnTo>
                                  <a:pt x="3788840" y="317500"/>
                                </a:lnTo>
                                <a:lnTo>
                                  <a:pt x="3773007" y="342559"/>
                                </a:lnTo>
                                <a:lnTo>
                                  <a:pt x="3773508" y="342900"/>
                                </a:lnTo>
                                <a:lnTo>
                                  <a:pt x="3846060" y="251084"/>
                                </a:lnTo>
                                <a:lnTo>
                                  <a:pt x="3829985" y="241300"/>
                                </a:lnTo>
                                <a:lnTo>
                                  <a:pt x="3842797" y="218860"/>
                                </a:lnTo>
                                <a:close/>
                              </a:path>
                              <a:path w="4005579" h="2273300">
                                <a:moveTo>
                                  <a:pt x="3772804" y="307439"/>
                                </a:moveTo>
                                <a:lnTo>
                                  <a:pt x="3754819" y="330200"/>
                                </a:lnTo>
                                <a:lnTo>
                                  <a:pt x="3773007" y="342559"/>
                                </a:lnTo>
                                <a:lnTo>
                                  <a:pt x="3788840" y="317500"/>
                                </a:lnTo>
                                <a:lnTo>
                                  <a:pt x="3772804" y="307439"/>
                                </a:lnTo>
                                <a:close/>
                              </a:path>
                              <a:path w="4005579" h="2273300">
                                <a:moveTo>
                                  <a:pt x="3872605" y="215900"/>
                                </a:moveTo>
                                <a:lnTo>
                                  <a:pt x="3845137" y="215900"/>
                                </a:lnTo>
                                <a:lnTo>
                                  <a:pt x="3863827" y="228600"/>
                                </a:lnTo>
                                <a:lnTo>
                                  <a:pt x="3846060" y="251084"/>
                                </a:lnTo>
                                <a:lnTo>
                                  <a:pt x="3850851" y="254000"/>
                                </a:lnTo>
                                <a:lnTo>
                                  <a:pt x="3872605" y="215900"/>
                                </a:lnTo>
                                <a:close/>
                              </a:path>
                              <a:path w="4005579" h="2273300">
                                <a:moveTo>
                                  <a:pt x="3845137" y="215900"/>
                                </a:moveTo>
                                <a:lnTo>
                                  <a:pt x="3842797" y="218860"/>
                                </a:lnTo>
                                <a:lnTo>
                                  <a:pt x="3829985" y="241300"/>
                                </a:lnTo>
                                <a:lnTo>
                                  <a:pt x="3846060" y="251084"/>
                                </a:lnTo>
                                <a:lnTo>
                                  <a:pt x="3863827" y="228600"/>
                                </a:lnTo>
                                <a:lnTo>
                                  <a:pt x="3845137" y="215900"/>
                                </a:lnTo>
                                <a:close/>
                              </a:path>
                              <a:path w="4005579" h="2273300">
                                <a:moveTo>
                                  <a:pt x="3909751" y="101600"/>
                                </a:moveTo>
                                <a:lnTo>
                                  <a:pt x="3842797" y="218860"/>
                                </a:lnTo>
                                <a:lnTo>
                                  <a:pt x="3845137" y="215900"/>
                                </a:lnTo>
                                <a:lnTo>
                                  <a:pt x="3872605" y="215900"/>
                                </a:lnTo>
                                <a:lnTo>
                                  <a:pt x="3916422" y="139160"/>
                                </a:lnTo>
                                <a:lnTo>
                                  <a:pt x="3897038" y="127000"/>
                                </a:lnTo>
                                <a:lnTo>
                                  <a:pt x="3913221" y="103711"/>
                                </a:lnTo>
                                <a:lnTo>
                                  <a:pt x="3909751" y="101600"/>
                                </a:lnTo>
                                <a:close/>
                              </a:path>
                              <a:path w="4005579" h="2273300">
                                <a:moveTo>
                                  <a:pt x="3985289" y="0"/>
                                </a:moveTo>
                                <a:lnTo>
                                  <a:pt x="3913221" y="103711"/>
                                </a:lnTo>
                                <a:lnTo>
                                  <a:pt x="3930617" y="114300"/>
                                </a:lnTo>
                                <a:lnTo>
                                  <a:pt x="3916422" y="139160"/>
                                </a:lnTo>
                                <a:lnTo>
                                  <a:pt x="3917282" y="139700"/>
                                </a:lnTo>
                                <a:lnTo>
                                  <a:pt x="4005534" y="12700"/>
                                </a:lnTo>
                                <a:lnTo>
                                  <a:pt x="3985289" y="0"/>
                                </a:lnTo>
                                <a:close/>
                              </a:path>
                              <a:path w="4005579" h="2273300">
                                <a:moveTo>
                                  <a:pt x="3913221" y="103711"/>
                                </a:moveTo>
                                <a:lnTo>
                                  <a:pt x="3897038" y="127000"/>
                                </a:lnTo>
                                <a:lnTo>
                                  <a:pt x="3916422" y="139160"/>
                                </a:lnTo>
                                <a:lnTo>
                                  <a:pt x="3930617" y="114300"/>
                                </a:lnTo>
                                <a:lnTo>
                                  <a:pt x="3913221" y="103711"/>
                                </a:lnTo>
                                <a:close/>
                              </a:path>
                            </a:pathLst>
                          </a:custGeom>
                          <a:solidFill>
                            <a:srgbClr val="E3C626"/>
                          </a:solidFill>
                        </wps:spPr>
                        <wps:bodyPr wrap="square" lIns="0" tIns="0" rIns="0" bIns="0" rtlCol="0">
                          <a:prstTxWarp prst="textNoShape">
                            <a:avLst/>
                          </a:prstTxWarp>
                          <a:noAutofit/>
                        </wps:bodyPr>
                      </wps:wsp>
                      <wps:wsp>
                        <wps:cNvPr id="1375" name="Graphic 1375"/>
                        <wps:cNvSpPr/>
                        <wps:spPr>
                          <a:xfrm>
                            <a:off x="3281144" y="118560"/>
                            <a:ext cx="194310" cy="52705"/>
                          </a:xfrm>
                          <a:custGeom>
                            <a:avLst/>
                            <a:gdLst/>
                            <a:ahLst/>
                            <a:cxnLst/>
                            <a:rect l="l" t="t" r="r" b="b"/>
                            <a:pathLst>
                              <a:path w="194310" h="52705">
                                <a:moveTo>
                                  <a:pt x="194281" y="0"/>
                                </a:moveTo>
                                <a:lnTo>
                                  <a:pt x="0" y="0"/>
                                </a:lnTo>
                                <a:lnTo>
                                  <a:pt x="0" y="52226"/>
                                </a:lnTo>
                                <a:lnTo>
                                  <a:pt x="194281" y="52226"/>
                                </a:lnTo>
                                <a:lnTo>
                                  <a:pt x="194281" y="0"/>
                                </a:lnTo>
                                <a:close/>
                              </a:path>
                            </a:pathLst>
                          </a:custGeom>
                          <a:solidFill>
                            <a:srgbClr val="2E614A"/>
                          </a:solidFill>
                        </wps:spPr>
                        <wps:bodyPr wrap="square" lIns="0" tIns="0" rIns="0" bIns="0" rtlCol="0">
                          <a:prstTxWarp prst="textNoShape">
                            <a:avLst/>
                          </a:prstTxWarp>
                          <a:noAutofit/>
                        </wps:bodyPr>
                      </wps:wsp>
                      <wps:wsp>
                        <wps:cNvPr id="1376" name="Graphic 1376"/>
                        <wps:cNvSpPr/>
                        <wps:spPr>
                          <a:xfrm>
                            <a:off x="4345006" y="128763"/>
                            <a:ext cx="226695" cy="24765"/>
                          </a:xfrm>
                          <a:custGeom>
                            <a:avLst/>
                            <a:gdLst/>
                            <a:ahLst/>
                            <a:cxnLst/>
                            <a:rect l="l" t="t" r="r" b="b"/>
                            <a:pathLst>
                              <a:path w="226695" h="24765">
                                <a:moveTo>
                                  <a:pt x="226102" y="0"/>
                                </a:moveTo>
                                <a:lnTo>
                                  <a:pt x="0" y="0"/>
                                </a:lnTo>
                                <a:lnTo>
                                  <a:pt x="0" y="24341"/>
                                </a:lnTo>
                                <a:lnTo>
                                  <a:pt x="226102" y="24341"/>
                                </a:lnTo>
                                <a:lnTo>
                                  <a:pt x="226102" y="0"/>
                                </a:lnTo>
                                <a:close/>
                              </a:path>
                            </a:pathLst>
                          </a:custGeom>
                          <a:solidFill>
                            <a:srgbClr val="E3C626"/>
                          </a:solidFill>
                        </wps:spPr>
                        <wps:bodyPr wrap="square" lIns="0" tIns="0" rIns="0" bIns="0" rtlCol="0">
                          <a:prstTxWarp prst="textNoShape">
                            <a:avLst/>
                          </a:prstTxWarp>
                          <a:noAutofit/>
                        </wps:bodyPr>
                      </wps:wsp>
                      <wps:wsp>
                        <wps:cNvPr id="1377" name="Textbox 1377"/>
                        <wps:cNvSpPr txBox="1"/>
                        <wps:spPr>
                          <a:xfrm>
                            <a:off x="602964" y="2922234"/>
                            <a:ext cx="4272280" cy="204470"/>
                          </a:xfrm>
                          <a:prstGeom prst="rect">
                            <a:avLst/>
                          </a:prstGeom>
                        </wps:spPr>
                        <wps:txbx>
                          <w:txbxContent>
                            <w:p>
                              <w:pPr>
                                <w:tabs>
                                  <w:tab w:pos="6643" w:val="left" w:leader="none"/>
                                </w:tabs>
                                <w:spacing w:line="176" w:lineRule="exact" w:before="0"/>
                                <w:ind w:left="0" w:right="0" w:firstLine="0"/>
                                <w:jc w:val="left"/>
                                <w:rPr>
                                  <w:rFonts w:ascii="Arial MT"/>
                                  <w:sz w:val="14"/>
                                </w:rPr>
                              </w:pPr>
                              <w:r>
                                <w:rPr>
                                  <w:rFonts w:ascii="Arial MT"/>
                                  <w:spacing w:val="-10"/>
                                  <w:w w:val="90"/>
                                  <w:position w:val="-2"/>
                                  <w:sz w:val="14"/>
                                </w:rPr>
                                <w:t>0</w:t>
                              </w:r>
                              <w:r>
                                <w:rPr>
                                  <w:rFonts w:ascii="Arial MT"/>
                                  <w:position w:val="-2"/>
                                  <w:sz w:val="14"/>
                                </w:rPr>
                                <w:tab/>
                              </w:r>
                              <w:r>
                                <w:rPr>
                                  <w:rFonts w:ascii="Arial MT"/>
                                  <w:spacing w:val="-10"/>
                                  <w:w w:val="90"/>
                                  <w:sz w:val="14"/>
                                </w:rPr>
                                <w:t>0</w:t>
                              </w:r>
                            </w:p>
                            <w:p>
                              <w:pPr>
                                <w:spacing w:line="146" w:lineRule="exact" w:before="0"/>
                                <w:ind w:left="39" w:right="0" w:firstLine="0"/>
                                <w:jc w:val="left"/>
                                <w:rPr>
                                  <w:rFonts w:ascii="Arial MT"/>
                                  <w:sz w:val="14"/>
                                </w:rPr>
                              </w:pPr>
                              <w:r>
                                <w:rPr>
                                  <w:rFonts w:ascii="Arial MT"/>
                                  <w:w w:val="90"/>
                                  <w:sz w:val="14"/>
                                </w:rPr>
                                <w:t>1950-51</w:t>
                              </w:r>
                              <w:r>
                                <w:rPr>
                                  <w:rFonts w:ascii="Arial MT"/>
                                  <w:spacing w:val="55"/>
                                  <w:sz w:val="14"/>
                                </w:rPr>
                                <w:t> </w:t>
                              </w:r>
                              <w:r>
                                <w:rPr>
                                  <w:rFonts w:ascii="Arial MT"/>
                                  <w:w w:val="90"/>
                                  <w:sz w:val="14"/>
                                </w:rPr>
                                <w:t>1955-56</w:t>
                              </w:r>
                              <w:r>
                                <w:rPr>
                                  <w:rFonts w:ascii="Arial MT"/>
                                  <w:spacing w:val="56"/>
                                  <w:sz w:val="14"/>
                                </w:rPr>
                                <w:t> </w:t>
                              </w:r>
                              <w:r>
                                <w:rPr>
                                  <w:rFonts w:ascii="Arial MT"/>
                                  <w:w w:val="90"/>
                                  <w:sz w:val="14"/>
                                </w:rPr>
                                <w:t>1960-61</w:t>
                              </w:r>
                              <w:r>
                                <w:rPr>
                                  <w:rFonts w:ascii="Arial MT"/>
                                  <w:spacing w:val="56"/>
                                  <w:sz w:val="14"/>
                                </w:rPr>
                                <w:t> </w:t>
                              </w:r>
                              <w:r>
                                <w:rPr>
                                  <w:rFonts w:ascii="Arial MT"/>
                                  <w:w w:val="90"/>
                                  <w:sz w:val="14"/>
                                </w:rPr>
                                <w:t>1965-66</w:t>
                              </w:r>
                              <w:r>
                                <w:rPr>
                                  <w:rFonts w:ascii="Arial MT"/>
                                  <w:spacing w:val="55"/>
                                  <w:sz w:val="14"/>
                                </w:rPr>
                                <w:t> </w:t>
                              </w:r>
                              <w:r>
                                <w:rPr>
                                  <w:rFonts w:ascii="Arial MT"/>
                                  <w:w w:val="90"/>
                                  <w:sz w:val="14"/>
                                </w:rPr>
                                <w:t>1970-71</w:t>
                              </w:r>
                              <w:r>
                                <w:rPr>
                                  <w:rFonts w:ascii="Arial MT"/>
                                  <w:spacing w:val="56"/>
                                  <w:sz w:val="14"/>
                                </w:rPr>
                                <w:t> </w:t>
                              </w:r>
                              <w:r>
                                <w:rPr>
                                  <w:rFonts w:ascii="Arial MT"/>
                                  <w:w w:val="90"/>
                                  <w:sz w:val="14"/>
                                </w:rPr>
                                <w:t>1975-76</w:t>
                              </w:r>
                              <w:r>
                                <w:rPr>
                                  <w:rFonts w:ascii="Arial MT"/>
                                  <w:spacing w:val="56"/>
                                  <w:sz w:val="14"/>
                                </w:rPr>
                                <w:t> </w:t>
                              </w:r>
                              <w:r>
                                <w:rPr>
                                  <w:rFonts w:ascii="Arial MT"/>
                                  <w:w w:val="90"/>
                                  <w:sz w:val="14"/>
                                </w:rPr>
                                <w:t>1980-81</w:t>
                              </w:r>
                              <w:r>
                                <w:rPr>
                                  <w:rFonts w:ascii="Arial MT"/>
                                  <w:spacing w:val="56"/>
                                  <w:sz w:val="14"/>
                                </w:rPr>
                                <w:t> </w:t>
                              </w:r>
                              <w:r>
                                <w:rPr>
                                  <w:rFonts w:ascii="Arial MT"/>
                                  <w:w w:val="90"/>
                                  <w:sz w:val="14"/>
                                </w:rPr>
                                <w:t>1985-86</w:t>
                              </w:r>
                              <w:r>
                                <w:rPr>
                                  <w:rFonts w:ascii="Arial MT"/>
                                  <w:spacing w:val="55"/>
                                  <w:sz w:val="14"/>
                                </w:rPr>
                                <w:t> </w:t>
                              </w:r>
                              <w:r>
                                <w:rPr>
                                  <w:rFonts w:ascii="Arial MT"/>
                                  <w:w w:val="90"/>
                                  <w:sz w:val="14"/>
                                </w:rPr>
                                <w:t>1990-91</w:t>
                              </w:r>
                              <w:r>
                                <w:rPr>
                                  <w:rFonts w:ascii="Arial MT"/>
                                  <w:spacing w:val="56"/>
                                  <w:sz w:val="14"/>
                                </w:rPr>
                                <w:t> </w:t>
                              </w:r>
                              <w:r>
                                <w:rPr>
                                  <w:rFonts w:ascii="Arial MT"/>
                                  <w:w w:val="90"/>
                                  <w:sz w:val="14"/>
                                </w:rPr>
                                <w:t>1995-96</w:t>
                              </w:r>
                              <w:r>
                                <w:rPr>
                                  <w:rFonts w:ascii="Arial MT"/>
                                  <w:spacing w:val="56"/>
                                  <w:sz w:val="14"/>
                                </w:rPr>
                                <w:t> </w:t>
                              </w:r>
                              <w:r>
                                <w:rPr>
                                  <w:rFonts w:ascii="Arial MT"/>
                                  <w:w w:val="90"/>
                                  <w:sz w:val="14"/>
                                </w:rPr>
                                <w:t>2000-01</w:t>
                              </w:r>
                              <w:r>
                                <w:rPr>
                                  <w:rFonts w:ascii="Arial MT"/>
                                  <w:spacing w:val="56"/>
                                  <w:sz w:val="14"/>
                                </w:rPr>
                                <w:t> </w:t>
                              </w:r>
                              <w:r>
                                <w:rPr>
                                  <w:rFonts w:ascii="Arial MT"/>
                                  <w:w w:val="90"/>
                                  <w:sz w:val="14"/>
                                </w:rPr>
                                <w:t>2005-</w:t>
                              </w:r>
                              <w:r>
                                <w:rPr>
                                  <w:rFonts w:ascii="Arial MT"/>
                                  <w:spacing w:val="-5"/>
                                  <w:w w:val="90"/>
                                  <w:sz w:val="14"/>
                                </w:rPr>
                                <w:t>06</w:t>
                              </w:r>
                            </w:p>
                          </w:txbxContent>
                        </wps:txbx>
                        <wps:bodyPr wrap="square" lIns="0" tIns="0" rIns="0" bIns="0" rtlCol="0">
                          <a:noAutofit/>
                        </wps:bodyPr>
                      </wps:wsp>
                      <wps:wsp>
                        <wps:cNvPr id="1378" name="Textbox 1378"/>
                        <wps:cNvSpPr txBox="1"/>
                        <wps:spPr>
                          <a:xfrm>
                            <a:off x="4821699" y="2509484"/>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2000000</w:t>
                              </w:r>
                            </w:p>
                          </w:txbxContent>
                        </wps:txbx>
                        <wps:bodyPr wrap="square" lIns="0" tIns="0" rIns="0" bIns="0" rtlCol="0">
                          <a:noAutofit/>
                        </wps:bodyPr>
                      </wps:wsp>
                      <wps:wsp>
                        <wps:cNvPr id="1379" name="Textbox 1379"/>
                        <wps:cNvSpPr txBox="1"/>
                        <wps:spPr>
                          <a:xfrm>
                            <a:off x="602964" y="2436526"/>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5</w:t>
                              </w:r>
                            </w:p>
                          </w:txbxContent>
                        </wps:txbx>
                        <wps:bodyPr wrap="square" lIns="0" tIns="0" rIns="0" bIns="0" rtlCol="0">
                          <a:noAutofit/>
                        </wps:bodyPr>
                      </wps:wsp>
                      <wps:wsp>
                        <wps:cNvPr id="1380" name="Textbox 1380"/>
                        <wps:cNvSpPr txBox="1"/>
                        <wps:spPr>
                          <a:xfrm>
                            <a:off x="4821699" y="2096734"/>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4000000</w:t>
                              </w:r>
                            </w:p>
                          </w:txbxContent>
                        </wps:txbx>
                        <wps:bodyPr wrap="square" lIns="0" tIns="0" rIns="0" bIns="0" rtlCol="0">
                          <a:noAutofit/>
                        </wps:bodyPr>
                      </wps:wsp>
                      <wps:wsp>
                        <wps:cNvPr id="1381" name="Textbox 1381"/>
                        <wps:cNvSpPr txBox="1"/>
                        <wps:spPr>
                          <a:xfrm>
                            <a:off x="562421" y="1934876"/>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w:t>
                              </w:r>
                            </w:p>
                          </w:txbxContent>
                        </wps:txbx>
                        <wps:bodyPr wrap="square" lIns="0" tIns="0" rIns="0" bIns="0" rtlCol="0">
                          <a:noAutofit/>
                        </wps:bodyPr>
                      </wps:wsp>
                      <wps:wsp>
                        <wps:cNvPr id="1382" name="Textbox 1382"/>
                        <wps:cNvSpPr txBox="1"/>
                        <wps:spPr>
                          <a:xfrm>
                            <a:off x="4821699" y="1683984"/>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6000000</w:t>
                              </w:r>
                            </w:p>
                          </w:txbxContent>
                        </wps:txbx>
                        <wps:bodyPr wrap="square" lIns="0" tIns="0" rIns="0" bIns="0" rtlCol="0">
                          <a:noAutofit/>
                        </wps:bodyPr>
                      </wps:wsp>
                      <wps:wsp>
                        <wps:cNvPr id="1383" name="Textbox 1383"/>
                        <wps:cNvSpPr txBox="1"/>
                        <wps:spPr>
                          <a:xfrm>
                            <a:off x="562421" y="1433225"/>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15</w:t>
                              </w:r>
                            </w:p>
                          </w:txbxContent>
                        </wps:txbx>
                        <wps:bodyPr wrap="square" lIns="0" tIns="0" rIns="0" bIns="0" rtlCol="0">
                          <a:noAutofit/>
                        </wps:bodyPr>
                      </wps:wsp>
                      <wps:wsp>
                        <wps:cNvPr id="1384" name="Textbox 1384"/>
                        <wps:cNvSpPr txBox="1"/>
                        <wps:spPr>
                          <a:xfrm>
                            <a:off x="4821699" y="1271234"/>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8000000</w:t>
                              </w:r>
                            </w:p>
                          </w:txbxContent>
                        </wps:txbx>
                        <wps:bodyPr wrap="square" lIns="0" tIns="0" rIns="0" bIns="0" rtlCol="0">
                          <a:noAutofit/>
                        </wps:bodyPr>
                      </wps:wsp>
                      <wps:wsp>
                        <wps:cNvPr id="1385" name="Textbox 1385"/>
                        <wps:cNvSpPr txBox="1"/>
                        <wps:spPr>
                          <a:xfrm>
                            <a:off x="4821699" y="858484"/>
                            <a:ext cx="33718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10000000</w:t>
                              </w:r>
                            </w:p>
                          </w:txbxContent>
                        </wps:txbx>
                        <wps:bodyPr wrap="square" lIns="0" tIns="0" rIns="0" bIns="0" rtlCol="0">
                          <a:noAutofit/>
                        </wps:bodyPr>
                      </wps:wsp>
                      <wps:wsp>
                        <wps:cNvPr id="1386" name="Textbox 1386"/>
                        <wps:cNvSpPr txBox="1"/>
                        <wps:spPr>
                          <a:xfrm>
                            <a:off x="562421" y="931575"/>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w:t>
                              </w:r>
                            </w:p>
                          </w:txbxContent>
                        </wps:txbx>
                        <wps:bodyPr wrap="square" lIns="0" tIns="0" rIns="0" bIns="0" rtlCol="0">
                          <a:noAutofit/>
                        </wps:bodyPr>
                      </wps:wsp>
                      <wps:wsp>
                        <wps:cNvPr id="1387" name="Textbox 1387"/>
                        <wps:cNvSpPr txBox="1"/>
                        <wps:spPr>
                          <a:xfrm>
                            <a:off x="4821699" y="445734"/>
                            <a:ext cx="33718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12000000</w:t>
                              </w:r>
                            </w:p>
                          </w:txbxContent>
                        </wps:txbx>
                        <wps:bodyPr wrap="square" lIns="0" tIns="0" rIns="0" bIns="0" rtlCol="0">
                          <a:noAutofit/>
                        </wps:bodyPr>
                      </wps:wsp>
                      <wps:wsp>
                        <wps:cNvPr id="1388" name="Textbox 1388"/>
                        <wps:cNvSpPr txBox="1"/>
                        <wps:spPr>
                          <a:xfrm>
                            <a:off x="562421" y="429926"/>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25</w:t>
                              </w:r>
                            </w:p>
                          </w:txbxContent>
                        </wps:txbx>
                        <wps:bodyPr wrap="square" lIns="0" tIns="0" rIns="0" bIns="0" rtlCol="0">
                          <a:noAutofit/>
                        </wps:bodyPr>
                      </wps:wsp>
                      <wps:wsp>
                        <wps:cNvPr id="1389" name="Textbox 1389"/>
                        <wps:cNvSpPr txBox="1"/>
                        <wps:spPr>
                          <a:xfrm>
                            <a:off x="4616100" y="81283"/>
                            <a:ext cx="51943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0"/>
                                  <w:sz w:val="14"/>
                                </w:rPr>
                                <w:t>Total</w:t>
                              </w:r>
                              <w:r>
                                <w:rPr>
                                  <w:rFonts w:ascii="Arial MT"/>
                                  <w:spacing w:val="-7"/>
                                  <w:sz w:val="14"/>
                                </w:rPr>
                                <w:t> </w:t>
                              </w:r>
                              <w:r>
                                <w:rPr>
                                  <w:rFonts w:ascii="Arial MT"/>
                                  <w:spacing w:val="-2"/>
                                  <w:w w:val="85"/>
                                  <w:sz w:val="14"/>
                                </w:rPr>
                                <w:t>Enrolment</w:t>
                              </w:r>
                            </w:p>
                          </w:txbxContent>
                        </wps:txbx>
                        <wps:bodyPr wrap="square" lIns="0" tIns="0" rIns="0" bIns="0" rtlCol="0">
                          <a:noAutofit/>
                        </wps:bodyPr>
                      </wps:wsp>
                      <wps:wsp>
                        <wps:cNvPr id="1390" name="Textbox 1390"/>
                        <wps:cNvSpPr txBox="1"/>
                        <wps:spPr>
                          <a:xfrm>
                            <a:off x="3515950" y="82434"/>
                            <a:ext cx="62484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Annual</w:t>
                              </w:r>
                              <w:r>
                                <w:rPr>
                                  <w:rFonts w:ascii="Arial MT"/>
                                  <w:spacing w:val="-6"/>
                                  <w:sz w:val="14"/>
                                </w:rPr>
                                <w:t> </w:t>
                              </w:r>
                              <w:r>
                                <w:rPr>
                                  <w:rFonts w:ascii="Arial MT"/>
                                  <w:w w:val="80"/>
                                  <w:sz w:val="14"/>
                                </w:rPr>
                                <w:t>growth</w:t>
                              </w:r>
                              <w:r>
                                <w:rPr>
                                  <w:rFonts w:ascii="Arial MT"/>
                                  <w:spacing w:val="-5"/>
                                  <w:sz w:val="14"/>
                                </w:rPr>
                                <w:t> </w:t>
                              </w:r>
                              <w:r>
                                <w:rPr>
                                  <w:rFonts w:ascii="Arial MT"/>
                                  <w:spacing w:val="-4"/>
                                  <w:w w:val="80"/>
                                  <w:sz w:val="14"/>
                                </w:rPr>
                                <w:t>rate</w:t>
                              </w:r>
                            </w:p>
                          </w:txbxContent>
                        </wps:txbx>
                        <wps:bodyPr wrap="square" lIns="0" tIns="0" rIns="0" bIns="0" rtlCol="0">
                          <a:noAutofit/>
                        </wps:bodyPr>
                      </wps:wsp>
                    </wpg:wgp>
                  </a:graphicData>
                </a:graphic>
              </wp:anchor>
            </w:drawing>
          </mc:Choice>
          <mc:Fallback>
            <w:pict>
              <v:group style="position:absolute;margin-left:87.379059pt;margin-top:39.400002pt;width:424pt;height:257.4pt;mso-position-horizontal-relative:page;mso-position-vertical-relative:paragraph;z-index:15816704" id="docshapegroup1358" coordorigin="1748,788" coordsize="8480,5148">
                <v:shape style="position:absolute;left:1747;top:788;width:8480;height:5148" id="docshape1359" coordorigin="1748,788" coordsize="8480,5148" path="m10228,788l10218,788,10218,792,10218,792,10218,5932,1753,5932,1753,5931,1758,5931,10218,5931,10218,5926,1758,5926,1753,5926,1758,5926,1758,798,1753,798,1753,797,1758,797,10218,797,10218,792,1758,792,1753,792,1753,792,10218,792,10218,788,1748,788,1748,792,1748,798,1748,5926,1748,5932,1748,5936,10228,5936,10228,5932,10223,5932,10223,5931,10228,5931,10228,5926,10223,5926,10228,5926,10228,798,10223,798,10223,797,10228,797,10228,792,10223,792,10223,792,10228,792,10228,788xe" filled="true" fillcolor="#000000" stroked="false">
                  <v:path arrowok="t"/>
                  <v:fill type="solid"/>
                </v:shape>
                <v:shape style="position:absolute;left:2890;top:2442;width:6202;height:3021" id="docshape1360" coordorigin="2891,2442" coordsize="6202,3021" path="m2950,3218l2891,3218,2891,5462,2950,5462,2950,3218xm3055,4123l3008,4123,3008,5462,3055,5462,3055,4123xm3173,3829l3114,3829,3114,5462,3173,5462,3173,3829xm3291,3970l3232,3970,3232,5462,3291,5462,3291,3970xm3397,3371l3350,3371,3350,5462,3397,5462,3397,3371xm3514,3747l3456,3747,3456,5462,3514,5462,3514,3747xm3632,3323l3573,3323,3573,5462,3632,5462,3632,3323xm3738,3077l3691,3077,3691,5462,3738,5462,3738,3077xm3856,3500l3797,3500,3797,5462,3856,5462,3856,3500xm3973,3018l3915,3018,3915,5462,3973,5462,3973,3018xm4079,2442l4032,2442,4032,5462,4079,5462,4079,2442xm4197,3371l4138,3371,4138,5462,4197,5462,4197,3371xm4315,3582l4256,3582,4256,5462,4315,5462,4315,3582xm4432,3453l4373,3453,4373,5462,4432,5462,4432,3453xm4538,3535l4491,3535,4491,5462,4538,5462,4538,3535xm4656,3641l4597,3641,4597,5462,4656,5462,4656,3641xm4774,3088l4715,3088,4715,5462,4774,5462,4774,3088xm4879,3218l4832,3218,4832,5462,4879,5462,4879,3218xm4997,3182l4938,3182,4938,5462,4997,5462,4997,3182xm5115,4052l5056,4052,5056,5462,5115,5462,5115,4052xm5221,4569l5174,4569,5174,5462,5221,5462,5221,4569xm5338,4675l5280,4675,5280,5462,5338,5462,5338,4675xm5456,4981l5397,4981,5397,5462,5456,5462,5456,4981xm5562,4534l5515,4534,5515,5462,5562,5462,5562,4534xm5680,5075l5621,5075,5621,5462,5680,5462,5680,5075xm5797,5427l5738,5427,5738,5462,5797,5462,5797,5427xm5903,4605l5856,4605,5856,5462,5903,5462,5903,4605xm6021,5133l5962,5133,5962,5462,6021,5462,6021,5133xm6139,5274l6080,5274,6080,5462,6139,5462,6139,5274xm6244,4851l6197,4851,6197,5462,6244,5462,6244,4851xm6362,4311l6303,4311,6303,5462,6362,5462,6362,4311xm6480,4511l6421,4511,6421,5462,6480,5462,6480,4511xm6586,4581l6539,4581,6539,5462,6586,5462,6586,4581xm6703,5004l6645,5004,6645,5462,6703,5462,6703,5004xm6821,4534l6762,4534,6762,5462,6821,5462,6821,4534xm6927,4804l6880,4804,6880,5462,6927,5462,6927,4804xm7045,4358l6986,4358,6986,5462,7045,5462,7045,4358xm7162,4428l7104,4428,7104,5462,7162,5462,7162,4428xm7268,4299l7221,4299,7221,5462,7268,5462,7268,4299xm7386,4358l7327,4358,7327,5462,7386,5462,7386,4358xm7504,4381l7445,4381,7445,5462,7504,5462,7504,4381xm7621,4663l7562,4663,7562,5462,7621,5462,7621,4663xm7727,4663l7680,4663,7680,5462,7727,5462,7727,4663xm7845,4663l7786,4663,7786,5462,7845,5462,7845,4663xm7963,4287l7904,4287,7904,5462,7963,5462,7963,4287xm8068,4816l8021,4816,8021,5462,8068,5462,8068,4816xm8186,4511l8127,4511,8127,5462,8186,5462,8186,4511xm8304,4511l8245,4511,8245,5462,8304,5462,8304,4511xm8410,4757l8363,4757,8363,5462,8410,5462,8410,4757xm8527,4793l8469,4793,8469,5462,8527,5462,8527,4793xm8645,4405l8586,4405,8586,5462,8645,5462,8645,4405xm8751,4487l8704,4487,8704,5462,8751,5462,8751,4487xm8869,4746l8810,4746,8810,5462,8869,5462,8869,4746xm8986,4628l8927,4628,8927,5462,8986,5462,8986,4628xm9092,4652l9045,4652,9045,5462,9092,5462,9092,4652xe" filled="true" fillcolor="#2e614a" stroked="false">
                  <v:path arrowok="t"/>
                  <v:fill type="solid"/>
                </v:shape>
                <v:shape style="position:absolute;left:2804;top:1542;width:6522;height:4000" id="docshape1361" coordorigin="2805,1543" coordsize="6522,4000" path="m2872,1543l2862,1543,2862,5543,2872,5543,2872,1543xm2990,5463l2980,5463,2980,5543,2990,5543,2990,5463xm3096,5463l3086,5463,3086,5543,3096,5543,3096,5463xm3213,5463l3203,5463,3203,5543,3213,5543,3213,5463xm3331,5463l3321,5463,3321,5543,3331,5543,3331,5463xm3437,5463l3427,5463,3427,5543,3437,5543,3437,5463xm3555,5463l3545,5463,3545,5543,3555,5543,3555,5463xm3672,5463l3662,5463,3662,5543,3672,5543,3672,5463xm3778,5463l3768,5463,3768,5543,3778,5543,3778,5463xm3896,5463l3886,5463,3886,5543,3896,5543,3896,5463xm4014,5463l4004,5463,4004,5543,4014,5543,4014,5463xm4120,5463l4110,5463,4110,5543,4120,5543,4120,5463xm4237,5463l4227,5463,4227,5543,4237,5543,4237,5463xm4355,5463l4345,5463,4345,5543,4355,5543,4355,5463xm4473,5463l4463,5463,4463,5543,4473,5543,4473,5463xm4578,5463l4568,5463,4568,5543,4578,5543,4578,5463xm4696,5463l4686,5463,4686,5543,4696,5543,4696,5463xm4814,5463l4804,5463,4804,5543,4814,5543,4814,5463xm4920,5463l4910,5463,4910,5543,4920,5543,4920,5463xm5037,5463l5027,5463,5027,5543,5037,5543,5037,5463xm5155,5463l5145,5463,5145,5543,5155,5543,5155,5463xm5261,5463l5251,5463,5251,5543,5261,5543,5261,5463xm5379,5463l5369,5463,5369,5543,5379,5543,5379,5463xm5496,5463l5486,5463,5486,5543,5496,5543,5496,5463xm5602,5463l5592,5463,5592,5543,5602,5543,5602,5463xm5720,5463l5710,5463,5710,5543,5720,5543,5720,5463xm5838,5463l5828,5463,5828,5543,5838,5543,5838,5463xm5944,5463l5934,5463,5934,5543,5944,5543,5944,5463xm6061,5463l6051,5463,6051,5543,6061,5543,6061,5463xm6179,5463l6169,5463,6169,5543,6179,5543,6179,5463xm6285,5463l6275,5463,6275,5543,6285,5543,6285,5463xm6402,5463l6392,5463,6392,5543,6402,5543,6402,5463xm6520,5463l6510,5463,6510,5543,6520,5543,6520,5463xm6626,5463l6616,5463,6616,5543,6626,5543,6626,5463xm6744,5463l6734,5463,6734,5543,6744,5543,6744,5463xm6861,5463l6851,5463,6851,5543,6861,5543,6861,5463xm6967,5463l6957,5463,6957,5543,6967,5543,6967,5463xm7085,5463l7075,5463,7075,5543,7085,5543,7085,5463xm7203,5463l7193,5463,7193,5543,7203,5543,7203,5463xm7309,5463l7299,5463,7299,5543,7309,5543,7309,5463xm7426,5463l7416,5463,7416,5543,7426,5543,7426,5463xm7544,5463l7534,5463,7534,5543,7544,5543,7544,5463xm7662,5463l7652,5463,7652,5543,7662,5543,7662,5463xm7768,5463l7758,5463,7758,5543,7768,5543,7768,5463xm7885,5463l7875,5463,7875,5543,7885,5543,7885,5463xm8003,5463l7993,5463,7993,5543,8003,5543,8003,5463xm8109,5463l8099,5463,8099,5543,8109,5543,8109,5463xm8226,5463l8216,5463,8216,5543,8226,5543,8226,5463xm8344,5463l8334,5463,8334,5543,8344,5543,8344,5463xm8450,5463l8440,5463,8440,5543,8450,5543,8450,5463xm8568,5463l8558,5463,8558,5543,8568,5543,8568,5463xm8685,5463l8675,5463,8675,5543,8685,5543,8685,5463xm8791,5463l8781,5463,8781,5543,8791,5543,8791,5463xm8909,5463l8899,5463,8899,5543,8909,5543,8909,5463xm9027,5463l9017,5463,9017,5543,9027,5543,9027,5463xm9133,5463l9123,5463,9123,5543,9133,5543,9133,5463xm9250,1543l9240,1543,9240,5543,9250,5543,9250,5483,9245,5483,9245,5463,9250,5463,9250,4823,9245,4823,9245,4803,9250,4803,9250,4183,9245,4183,9245,4163,9250,4163,9250,3523,9245,3523,9245,3503,9250,3503,9250,2863,9245,2863,9245,2843,9250,2843,9250,1543xm2862,5463l2827,5463,2827,5483,2862,5483,2862,5463xm2907,5463l2872,5463,2872,5483,2907,5483,2907,5463xm2980,5463l2907,5463,2907,5483,2980,5483,2980,5463xm3086,5463l2990,5463,2990,5483,3086,5483,3086,5463xm3203,5463l3096,5463,3096,5483,3203,5483,3203,5463xm3321,5463l3213,5463,3213,5483,3321,5483,3321,5463xm3427,5463l3331,5463,3331,5483,3427,5483,3427,5463xm3545,5463l3437,5463,3437,5483,3545,5483,3545,5463xm3662,5463l3555,5463,3555,5483,3662,5483,3662,5463xm3768,5463l3672,5463,3672,5483,3768,5483,3768,5463xm3886,5463l3778,5463,3778,5483,3886,5483,3886,5463xm4004,5463l3896,5463,3896,5483,4004,5483,4004,5463xm4110,5463l4014,5463,4014,5483,4110,5483,4110,5463xm4227,5463l4120,5463,4120,5483,4227,5483,4227,5463xm4345,5463l4237,5463,4237,5483,4345,5483,4345,5463xm4463,5463l4355,5463,4355,5483,4463,5483,4463,5463xm4568,5463l4473,5463,4473,5483,4568,5483,4568,5463xm4686,5463l4578,5463,4578,5483,4686,5483,4686,5463xm4804,5463l4696,5463,4696,5483,4804,5483,4804,5463xm4910,5463l4814,5463,4814,5483,4910,5483,4910,5463xm5027,5463l4920,5463,4920,5483,5027,5483,5027,5463xm5145,5463l5037,5463,5037,5483,5145,5483,5145,5463xm5251,5463l5155,5463,5155,5483,5251,5483,5251,5463xm5369,5463l5261,5463,5261,5483,5369,5483,5369,5463xm5486,5463l5379,5463,5379,5483,5486,5483,5486,5463xm5592,5463l5496,5463,5496,5483,5592,5483,5592,5463xm5710,5463l5602,5463,5602,5483,5710,5483,5710,5463xm5828,5463l5720,5463,5720,5483,5828,5483,5828,5463xm5934,5463l5838,5463,5838,5483,5934,5483,5934,5463xm6051,5463l5944,5463,5944,5483,6051,5483,6051,5463xm6169,5463l6061,5463,6061,5483,6169,5483,6169,5463xm6275,5463l6179,5463,6179,5483,6275,5483,6275,5463xm6392,5463l6285,5463,6285,5483,6392,5483,6392,5463xm6510,5463l6402,5463,6402,5483,6510,5483,6510,5463xm6616,5463l6520,5463,6520,5483,6616,5483,6616,5463xm6734,5463l6626,5463,6626,5483,6734,5483,6734,5463xm6851,5463l6744,5463,6744,5483,6851,5483,6851,5463xm6957,5463l6861,5463,6861,5483,6957,5483,6957,5463xm7075,5463l6967,5463,6967,5483,7075,5483,7075,5463xm7193,5463l7085,5463,7085,5483,7193,5483,7193,5463xm7299,5463l7203,5463,7203,5483,7299,5483,7299,5463xm7416,5463l7309,5463,7309,5483,7416,5483,7416,5463xm7534,5463l7426,5463,7426,5483,7534,5483,7534,5463xm7652,5463l7544,5463,7544,5483,7652,5483,7652,5463xm7758,5463l7662,5463,7662,5483,7758,5483,7758,5463xm7875,5463l7768,5463,7768,5483,7875,5483,7875,5463xm7993,5463l7885,5463,7885,5483,7993,5483,7993,5463xm8099,5463l8003,5463,8003,5483,8099,5483,8099,5463xm8216,5463l8109,5463,8109,5483,8216,5483,8216,5463xm8334,5463l8226,5463,8226,5483,8334,5483,8334,5463xm8440,5463l8344,5463,8344,5483,8440,5483,8440,5463xm8558,5463l8450,5463,8450,5483,8558,5483,8558,5463xm8675,5463l8568,5463,8568,5483,8675,5483,8675,5463xm8781,5463l8685,5463,8685,5483,8781,5483,8781,5463xm8899,5463l8791,5463,8791,5483,8899,5483,8899,5463xm9017,5463l8909,5463,8909,5483,9017,5483,9017,5463xm9123,5463l9027,5463,9027,5483,9123,5483,9123,5463xm9240,5463l9133,5463,9133,5483,9240,5483,9240,5463xm9250,5463l9245,5463,9245,5483,9250,5483,9250,5463xm9326,5463l9250,5463,9250,5483,9326,5483,9326,5463xm9250,4803l9245,4803,9245,4823,9250,4823,9250,4803xm9326,4803l9250,4803,9250,4823,9326,4823,9326,4803xm9250,4163l9245,4163,9245,4183,9250,4183,9250,4163xm9326,4163l9250,4163,9250,4183,9326,4183,9326,4163xm2854,3883l2805,3883,2805,3903,2854,3903,2854,3883xm9250,3503l9245,3503,9245,3523,9250,3523,9250,3503xm9326,3503l9250,3503,9250,3523,9326,3523,9326,3503xm9250,2843l9245,2843,9245,2863,9250,2863,9250,2843xm9326,2843l9250,2843,9250,2863,9326,2863,9326,2843xm2854,2323l2805,2323,2805,2343,2854,2343,2854,2323xe" filled="true" fillcolor="#000000" stroked="false">
                  <v:path arrowok="t"/>
                  <v:fill type="solid"/>
                </v:shape>
                <v:shape style="position:absolute;left:2905;top:1844;width:6308;height:3580" id="docshape1362" coordorigin="2905,1845" coordsize="6308,3580" path="m3025,5389l2905,5405,2909,5425,3025,5425,3025,5389xm3061,5385l3025,5389,3025,5425,3065,5425,3061,5385xm3129,5385l3061,5385,3065,5425,3132,5425,3129,5385xm3248,5369l3129,5385,3132,5425,3169,5420,3169,5385,3248,5385,3248,5369xm3169,5420l3132,5425,3169,5425,3169,5420xm3248,5385l3169,5385,3169,5420,3288,5405,3248,5405,3248,5385xm3284,5365l3248,5369,3248,5405,3288,5405,3284,5365xm3364,5365l3284,5365,3288,5405,3368,5405,3364,5365xm3404,5365l3364,5365,3368,5405,3404,5405,3404,5365xm3470,5365l3404,5365,3404,5405,3474,5405,3470,5365xm3588,5350l3470,5365,3474,5405,3512,5400,3508,5365,3589,5365,3588,5350xm3512,5400l3474,5405,3512,5405,3512,5400xm3589,5365l3508,5365,3512,5400,3630,5385,3591,5385,3589,5365xm3061,5385l3025,5385,3025,5389,3061,5385xm3626,5345l3588,5350,3591,5385,3629,5380,3626,5345xm3629,5380l3591,5385,3630,5385,3629,5380xm3812,5314l3744,5333,3747,5365,3709,5370,3712,5385,3855,5345,3815,5345,3812,5314xm3703,5345l3626,5345,3629,5380,3709,5370,3703,5345xm3744,5333l3703,5345,3709,5370,3747,5365,3744,5333xm3284,5365l3248,5365,3248,5369,3284,5365xm3743,5325l3588,5345,3588,5350,3626,5345,3703,5345,3744,5333,3743,5325xm3847,5305l3812,5314,3815,5345,3855,5345,3847,5305xm3927,5305l3847,5305,3855,5345,3935,5345,3927,5305xm4083,5265l3927,5305,3935,5345,3970,5336,3967,5305,4049,5305,4043,5285,4084,5273,4083,5265xm3970,5336l3935,5345,3971,5345,3970,5336xm4049,5305l3967,5305,3970,5336,4052,5314,4049,5305xm4152,5254l4084,5273,4090,5305,4052,5314,4055,5325,4159,5281,4152,5254xm4084,5273l4043,5285,4052,5314,4090,5305,4084,5273xm3847,5305l3811,5305,3812,5314,3847,5305xm4314,5240l4276,5245,4186,5245,4198,5265,4159,5281,4161,5285,4315,5245,4314,5240xm4186,5245l4152,5254,4159,5281,4198,5265,4186,5245xm4270,5213l4150,5245,4152,5254,4186,5245,4276,5245,4270,5213xm4304,5205l4270,5213,4276,5245,4314,5240,4304,5205xm4391,5205l4304,5205,4314,5240,4431,5225,4397,5225,4391,5205xm4424,5185l4386,5190,4397,5225,4430,5215,4424,5185xm4430,5215l4397,5225,4431,5225,4430,5215xm4535,5172l4504,5185,4424,5185,4430,5215,4539,5185,4535,5172xm4386,5190l4269,5205,4270,5213,4304,5205,4391,5205,4386,5190xm4527,5145l4385,5185,4386,5190,4424,5185,4504,5185,4490,5165,4528,5150,4527,5145xm4528,5150l4490,5165,4504,5185,4535,5172,4528,5150xm4612,5117l4528,5150,4535,5172,4618,5140,4612,5117xm4770,5089l4743,5105,4643,5105,4657,5125,4618,5140,4619,5145,4774,5105,4770,5089xm4643,5105l4612,5117,4618,5140,4657,5125,4643,5105xm4755,5067l4608,5105,4612,5117,4643,5105,4743,5105,4724,5085,4755,5067xm4763,5065l4755,5067,4724,5085,4743,5105,4770,5089,4763,5065xm4812,5065l4763,5065,4770,5089,4812,5065xm4837,5020l4755,5067,4763,5065,4812,5065,4849,5044,4830,5025,4837,5020xm4925,5005l4863,5005,4882,5025,4849,5044,4849,5045,4925,5005xm4863,5005l4837,5020,4830,5025,4849,5044,4882,5025,4863,5005xm4948,4946l4837,5020,4863,5005,4925,5005,4966,4983,4948,4946xm4986,4972l4966,4983,4967,4985,4986,4972xm4981,4927l4961,4937,4948,4946,4966,4983,4986,4972,4999,4963,4981,4927xm4999,4963l4986,4972,5000,4965,4999,4963xm5098,4865l4981,4927,4999,4963,5087,4905,5082,4905,5066,4885,5099,4866,5098,4865xm4961,4937l4947,4945,4948,4946,4961,4937xm4980,4925l4961,4937,4981,4927,4980,4925xm5099,4866l5066,4885,5082,4905,5098,4898,5118,4885,5099,4866xm5098,4898l5082,4905,5087,4905,5098,4898xm5207,4805l5099,4866,5118,4885,5098,4898,5183,4861,5173,4825,5211,4815,5207,4805xm5293,4794l5211,4815,5222,4845,5183,4861,5184,4865,5339,4825,5302,4825,5293,4794xm5211,4815l5173,4825,5183,4861,5222,4845,5211,4815xm5328,4785l5293,4794,5302,4825,5336,4816,5328,4785xm5336,4816l5302,4825,5339,4825,5336,4816xm5455,4780l5418,4785,5328,4785,5336,4816,5456,4785,5455,4780xm5411,4753l5291,4785,5293,4794,5328,4785,5418,4785,5411,4753xm5445,4745l5411,4753,5418,4785,5455,4780,5445,4745xm5521,4745l5445,4745,5455,4780,5561,4765,5528,4765,5521,4745xm5553,4725l5515,4730,5528,4765,5559,4753,5553,4725xm5559,4753l5528,4765,5561,4765,5559,4753xm5515,4730l5410,4745,5411,4753,5445,4745,5521,4745,5515,4730xm5630,4725l5553,4725,5559,4753,5630,4725xm5667,4665l5514,4725,5515,4730,5553,4725,5630,4725,5640,4721,5634,4685,5671,4675,5667,4665xm5755,4654l5671,4675,5681,4705,5640,4721,5641,4725,5796,4685,5755,4685,5755,4654xm5671,4675l5634,4685,5640,4721,5681,4705,5671,4675xm5899,4648l5856,4665,5867,4705,5918,4685,5899,4685,5899,4648xm5789,4645l5755,4654,5755,4685,5796,4685,5789,4645xm5899,4645l5789,4645,5796,4685,5861,4685,5856,4665,5899,4648,5899,4645xm6010,4605l5899,4648,5899,4685,5918,4685,5981,4660,5975,4625,6013,4615,6010,4605xm6130,4585l6013,4615,6021,4645,5981,4660,5982,4665,6097,4635,6094,4605,6133,4600,6130,4585xm6013,4615l5975,4625,5981,4660,6021,4645,6013,4615xm5789,4645l5755,4645,5755,4654,5789,4645xm6210,4590l6133,4600,6138,4625,6097,4635,6098,4645,6254,4625,6221,4625,6210,4590xm6133,4600l6094,4605,6097,4635,6138,4625,6133,4600xm6250,4585l6210,4590,6221,4625,6253,4616,6250,4585xm6253,4616l6221,4625,6254,4625,6253,4616xm6359,4573l6330,4585,6250,4585,6253,4616,6363,4585,6359,4573xm6351,4545l6208,4585,6210,4590,6250,4585,6330,4585,6313,4565,6351,4545,6351,4545xm6351,4545l6313,4565,6330,4585,6359,4573,6351,4545xm6465,4485l6351,4545,6359,4573,6482,4525,6448,4525,6431,4505,6466,4486,6465,4485xm6466,4486l6431,4505,6448,4525,6477,4513,6466,4486xm6477,4513l6448,4525,6482,4525,6477,4513xm6583,4425l6466,4486,6477,4513,6564,4479,6548,4445,6583,4425,6583,4425xm6687,4365l6583,4425,6600,4465,6564,4479,6567,4485,6671,4425,6667,4425,6656,4385,6690,4371,6687,4365xm6583,4425l6548,4445,6564,4479,6600,4465,6583,4425xm6690,4371l6656,4385,6667,4425,6680,4420,6706,4405,6690,4371xm6680,4420l6667,4425,6671,4425,6680,4420xm6808,4326l6690,4371,6706,4405,6680,4420,6786,4378,6772,4345,6808,4326xm6903,4325l6810,4325,6821,4365,6786,4378,6789,4385,6903,4325xm6810,4325l6808,4326,6772,4345,6786,4378,6821,4365,6810,4325xm6924,4265l6808,4326,6810,4325,6903,4325,6907,4323,6889,4285,6924,4265,6924,4265xm6999,4222l6924,4265,6941,4305,6907,4323,6908,4325,7015,4263,6994,4225,6999,4222xm6924,4265l6889,4285,6907,4323,6941,4305,6924,4265xm7041,4249l7015,4263,7016,4265,7041,4249xm7029,4205l6999,4222,6994,4225,7015,4263,7041,4249,7047,4244,7029,4205xm7047,4244l7041,4249,7047,4245,7047,4244xm7106,4205l7029,4205,7047,4244,7106,4205xm7113,4145l6999,4222,7029,4205,7106,4205,7136,4185,7134,4185,7113,4145xm7144,4125l7113,4145,7134,4185,7165,4164,7144,4125xm7165,4164l7134,4185,7136,4185,7166,4165,7165,4164xm7224,4125l7144,4125,7165,4164,7224,4125xm7230,4066l7112,4145,7113,4145,7144,4125,7224,4125,7256,4103,7230,4066xm7262,4099l7256,4103,7257,4105,7262,4099xm7261,4045l7230,4066,7256,4103,7262,4099,7280,4080,7261,4045xm7280,4080l7262,4099,7283,4085,7280,4080xm7314,4045l7261,4045,7280,4080,7314,4045xm7337,3968l7229,4065,7230,4066,7261,4045,7314,4045,7357,3999,7337,3968xm7424,3945l7362,3945,7389,3965,7357,3999,7361,4005,7424,3945xm7362,3945l7337,3968,7357,3999,7389,3965,7362,3945xm7455,3866l7335,3965,7337,3968,7362,3945,7424,3945,7486,3885,7480,3885,7455,3866xm7482,3845l7455,3866,7480,3885,7504,3862,7482,3845xm7504,3862l7480,3885,7486,3885,7507,3865,7504,3862xm7574,3748l7453,3865,7455,3866,7482,3845,7521,3845,7604,3765,7594,3765,7574,3748xm7521,3845l7482,3845,7504,3862,7521,3845xm7598,3725l7597,3726,7574,3748,7594,3765,7623,3744,7598,3725xm7623,3744l7594,3765,7604,3765,7625,3745,7623,3744xm7597,3726l7571,3745,7574,3748,7597,3726xm7678,3666l7598,3725,7623,3744,7703,3685,7701,3685,7678,3666xm7598,3725l7597,3726,7598,3725,7598,3725xm7707,3645l7678,3666,7701,3685,7728,3663,7707,3645xm7728,3663l7701,3685,7703,3685,7731,3665,7728,3663xm7796,3568l7677,3665,7678,3666,7707,3645,7750,3645,7812,3594,7796,3568xm7750,3645l7707,3645,7728,3663,7750,3645xm7892,3545l7824,3545,7848,3565,7812,3594,7818,3605,7892,3545xm7824,3545l7796,3568,7812,3594,7848,3565,7824,3545xm7939,3447l7794,3565,7796,3568,7824,3545,7892,3545,7942,3504,7912,3485,7939,3447xm7947,3500l7942,3504,7944,3505,7947,3500xm7942,3445l7939,3447,7912,3485,7942,3504,7947,3500,7962,3479,7942,3445xm7962,3479l7947,3500,7966,3485,7962,3479xm7986,3445l7942,3445,7962,3479,7986,3445xm8023,3329l7939,3447,7942,3445,7986,3445,8057,3345,8040,3345,8023,3329xm8042,3306l8036,3310,8023,3329,8040,3345,8071,3324,8042,3306xm8071,3324l8040,3345,8057,3345,8072,3325,8071,3324xm8036,3310l8018,3325,8023,3329,8036,3310xm8167,3205l8042,3306,8071,3324,8162,3263,8136,3245,8167,3205xm8040,3305l8036,3310,8042,3306,8040,3305xm8173,3255l8162,3263,8165,3265,8173,3255xm8167,3205l8167,3205,8136,3245,8162,3263,8173,3255,8187,3240,8167,3205xm8187,3240l8173,3255,8189,3245,8187,3240xm8218,3205l8167,3205,8187,3240,8218,3205xm8278,3065l8167,3205,8167,3205,8218,3205,8290,3125,8284,3125,8253,3105,8280,3068,8278,3065xm8280,3068l8253,3105,8284,3125,8303,3099,8280,3068xm8303,3099l8284,3125,8290,3125,8307,3105,8303,3099xm8382,2925l8280,3068,8303,3099,8385,2984,8359,2965,8390,2930,8382,2925xm8504,2805l8390,2930,8413,2945,8385,2984,8386,2985,8510,2865,8504,2865,8477,2845,8510,2813,8504,2805xm8390,2930l8359,2965,8385,2984,8413,2945,8390,2930xm8510,2813l8477,2845,8504,2865,8528,2841,8510,2813xm8528,2841l8504,2865,8510,2865,8531,2845,8528,2841xm8599,2727l8510,2813,8528,2841,8628,2744,8599,2727xm8630,2743l8628,2744,8629,2745,8630,2743xm8622,2705l8599,2727,8628,2744,8630,2743,8643,2720,8622,2705xm8643,2720l8630,2743,8649,2725,8643,2720xm8720,2505l8595,2725,8599,2727,8622,2705,8652,2705,8731,2564,8701,2545,8724,2507,8720,2505xm8652,2705l8622,2705,8643,2720,8652,2705xm8840,2325l8724,2507,8754,2525,8731,2564,8733,2565,8847,2384,8818,2365,8846,2329,8840,2325xm8724,2507l8701,2545,8731,2564,8754,2525,8724,2507xm8957,2189l8846,2329,8872,2345,8847,2384,8848,2385,8962,2240,8937,2225,8957,2189xm8846,2329l8818,2365,8847,2384,8872,2345,8846,2329xm9004,2185l8960,2185,8990,2205,8962,2240,8969,2245,9004,2185xm8960,2185l8957,2189,8937,2225,8962,2240,8990,2205,8960,2185xm9062,2005l8957,2189,8960,2185,9004,2185,9073,2064,9042,2045,9068,2008,9062,2005xm9181,1845l9068,2008,9095,2025,9073,2064,9074,2065,9213,1865,9181,1845xm9068,2008l9042,2045,9073,2064,9095,2025,9068,2008xe" filled="true" fillcolor="#e3c626" stroked="false">
                  <v:path arrowok="t"/>
                  <v:fill type="solid"/>
                </v:shape>
                <v:rect style="position:absolute;left:6914;top:974;width:306;height:83" id="docshape1363" filled="true" fillcolor="#2e614a" stroked="false">
                  <v:fill type="solid"/>
                </v:rect>
                <v:rect style="position:absolute;left:8590;top:990;width:357;height:39" id="docshape1364" filled="true" fillcolor="#e3c626" stroked="false">
                  <v:fill type="solid"/>
                </v:rect>
                <v:shape style="position:absolute;left:2697;top:5389;width:6728;height:322" type="#_x0000_t202" id="docshape1365" filled="false" stroked="false">
                  <v:textbox inset="0,0,0,0">
                    <w:txbxContent>
                      <w:p>
                        <w:pPr>
                          <w:tabs>
                            <w:tab w:pos="6643" w:val="left" w:leader="none"/>
                          </w:tabs>
                          <w:spacing w:line="176" w:lineRule="exact" w:before="0"/>
                          <w:ind w:left="0" w:right="0" w:firstLine="0"/>
                          <w:jc w:val="left"/>
                          <w:rPr>
                            <w:rFonts w:ascii="Arial MT"/>
                            <w:sz w:val="14"/>
                          </w:rPr>
                        </w:pPr>
                        <w:r>
                          <w:rPr>
                            <w:rFonts w:ascii="Arial MT"/>
                            <w:spacing w:val="-10"/>
                            <w:w w:val="90"/>
                            <w:position w:val="-2"/>
                            <w:sz w:val="14"/>
                          </w:rPr>
                          <w:t>0</w:t>
                        </w:r>
                        <w:r>
                          <w:rPr>
                            <w:rFonts w:ascii="Arial MT"/>
                            <w:position w:val="-2"/>
                            <w:sz w:val="14"/>
                          </w:rPr>
                          <w:tab/>
                        </w:r>
                        <w:r>
                          <w:rPr>
                            <w:rFonts w:ascii="Arial MT"/>
                            <w:spacing w:val="-10"/>
                            <w:w w:val="90"/>
                            <w:sz w:val="14"/>
                          </w:rPr>
                          <w:t>0</w:t>
                        </w:r>
                      </w:p>
                      <w:p>
                        <w:pPr>
                          <w:spacing w:line="146" w:lineRule="exact" w:before="0"/>
                          <w:ind w:left="39" w:right="0" w:firstLine="0"/>
                          <w:jc w:val="left"/>
                          <w:rPr>
                            <w:rFonts w:ascii="Arial MT"/>
                            <w:sz w:val="14"/>
                          </w:rPr>
                        </w:pPr>
                        <w:r>
                          <w:rPr>
                            <w:rFonts w:ascii="Arial MT"/>
                            <w:w w:val="90"/>
                            <w:sz w:val="14"/>
                          </w:rPr>
                          <w:t>1950-51</w:t>
                        </w:r>
                        <w:r>
                          <w:rPr>
                            <w:rFonts w:ascii="Arial MT"/>
                            <w:spacing w:val="55"/>
                            <w:sz w:val="14"/>
                          </w:rPr>
                          <w:t> </w:t>
                        </w:r>
                        <w:r>
                          <w:rPr>
                            <w:rFonts w:ascii="Arial MT"/>
                            <w:w w:val="90"/>
                            <w:sz w:val="14"/>
                          </w:rPr>
                          <w:t>1955-56</w:t>
                        </w:r>
                        <w:r>
                          <w:rPr>
                            <w:rFonts w:ascii="Arial MT"/>
                            <w:spacing w:val="56"/>
                            <w:sz w:val="14"/>
                          </w:rPr>
                          <w:t> </w:t>
                        </w:r>
                        <w:r>
                          <w:rPr>
                            <w:rFonts w:ascii="Arial MT"/>
                            <w:w w:val="90"/>
                            <w:sz w:val="14"/>
                          </w:rPr>
                          <w:t>1960-61</w:t>
                        </w:r>
                        <w:r>
                          <w:rPr>
                            <w:rFonts w:ascii="Arial MT"/>
                            <w:spacing w:val="56"/>
                            <w:sz w:val="14"/>
                          </w:rPr>
                          <w:t> </w:t>
                        </w:r>
                        <w:r>
                          <w:rPr>
                            <w:rFonts w:ascii="Arial MT"/>
                            <w:w w:val="90"/>
                            <w:sz w:val="14"/>
                          </w:rPr>
                          <w:t>1965-66</w:t>
                        </w:r>
                        <w:r>
                          <w:rPr>
                            <w:rFonts w:ascii="Arial MT"/>
                            <w:spacing w:val="55"/>
                            <w:sz w:val="14"/>
                          </w:rPr>
                          <w:t> </w:t>
                        </w:r>
                        <w:r>
                          <w:rPr>
                            <w:rFonts w:ascii="Arial MT"/>
                            <w:w w:val="90"/>
                            <w:sz w:val="14"/>
                          </w:rPr>
                          <w:t>1970-71</w:t>
                        </w:r>
                        <w:r>
                          <w:rPr>
                            <w:rFonts w:ascii="Arial MT"/>
                            <w:spacing w:val="56"/>
                            <w:sz w:val="14"/>
                          </w:rPr>
                          <w:t> </w:t>
                        </w:r>
                        <w:r>
                          <w:rPr>
                            <w:rFonts w:ascii="Arial MT"/>
                            <w:w w:val="90"/>
                            <w:sz w:val="14"/>
                          </w:rPr>
                          <w:t>1975-76</w:t>
                        </w:r>
                        <w:r>
                          <w:rPr>
                            <w:rFonts w:ascii="Arial MT"/>
                            <w:spacing w:val="56"/>
                            <w:sz w:val="14"/>
                          </w:rPr>
                          <w:t> </w:t>
                        </w:r>
                        <w:r>
                          <w:rPr>
                            <w:rFonts w:ascii="Arial MT"/>
                            <w:w w:val="90"/>
                            <w:sz w:val="14"/>
                          </w:rPr>
                          <w:t>1980-81</w:t>
                        </w:r>
                        <w:r>
                          <w:rPr>
                            <w:rFonts w:ascii="Arial MT"/>
                            <w:spacing w:val="56"/>
                            <w:sz w:val="14"/>
                          </w:rPr>
                          <w:t> </w:t>
                        </w:r>
                        <w:r>
                          <w:rPr>
                            <w:rFonts w:ascii="Arial MT"/>
                            <w:w w:val="90"/>
                            <w:sz w:val="14"/>
                          </w:rPr>
                          <w:t>1985-86</w:t>
                        </w:r>
                        <w:r>
                          <w:rPr>
                            <w:rFonts w:ascii="Arial MT"/>
                            <w:spacing w:val="55"/>
                            <w:sz w:val="14"/>
                          </w:rPr>
                          <w:t> </w:t>
                        </w:r>
                        <w:r>
                          <w:rPr>
                            <w:rFonts w:ascii="Arial MT"/>
                            <w:w w:val="90"/>
                            <w:sz w:val="14"/>
                          </w:rPr>
                          <w:t>1990-91</w:t>
                        </w:r>
                        <w:r>
                          <w:rPr>
                            <w:rFonts w:ascii="Arial MT"/>
                            <w:spacing w:val="56"/>
                            <w:sz w:val="14"/>
                          </w:rPr>
                          <w:t> </w:t>
                        </w:r>
                        <w:r>
                          <w:rPr>
                            <w:rFonts w:ascii="Arial MT"/>
                            <w:w w:val="90"/>
                            <w:sz w:val="14"/>
                          </w:rPr>
                          <w:t>1995-96</w:t>
                        </w:r>
                        <w:r>
                          <w:rPr>
                            <w:rFonts w:ascii="Arial MT"/>
                            <w:spacing w:val="56"/>
                            <w:sz w:val="14"/>
                          </w:rPr>
                          <w:t> </w:t>
                        </w:r>
                        <w:r>
                          <w:rPr>
                            <w:rFonts w:ascii="Arial MT"/>
                            <w:w w:val="90"/>
                            <w:sz w:val="14"/>
                          </w:rPr>
                          <w:t>2000-01</w:t>
                        </w:r>
                        <w:r>
                          <w:rPr>
                            <w:rFonts w:ascii="Arial MT"/>
                            <w:spacing w:val="56"/>
                            <w:sz w:val="14"/>
                          </w:rPr>
                          <w:t> </w:t>
                        </w:r>
                        <w:r>
                          <w:rPr>
                            <w:rFonts w:ascii="Arial MT"/>
                            <w:w w:val="90"/>
                            <w:sz w:val="14"/>
                          </w:rPr>
                          <w:t>2005-</w:t>
                        </w:r>
                        <w:r>
                          <w:rPr>
                            <w:rFonts w:ascii="Arial MT"/>
                            <w:spacing w:val="-5"/>
                            <w:w w:val="90"/>
                            <w:sz w:val="14"/>
                          </w:rPr>
                          <w:t>06</w:t>
                        </w:r>
                      </w:p>
                    </w:txbxContent>
                  </v:textbox>
                  <w10:wrap type="none"/>
                </v:shape>
                <v:shape style="position:absolute;left:9340;top:4739;width:467;height:161" type="#_x0000_t202" id="docshape1366" filled="false" stroked="false">
                  <v:textbox inset="0,0,0,0">
                    <w:txbxContent>
                      <w:p>
                        <w:pPr>
                          <w:spacing w:line="161" w:lineRule="exact" w:before="0"/>
                          <w:ind w:left="0" w:right="0" w:firstLine="0"/>
                          <w:jc w:val="left"/>
                          <w:rPr>
                            <w:rFonts w:ascii="Arial MT"/>
                            <w:sz w:val="14"/>
                          </w:rPr>
                        </w:pPr>
                        <w:r>
                          <w:rPr>
                            <w:rFonts w:ascii="Arial MT"/>
                            <w:spacing w:val="-2"/>
                            <w:w w:val="85"/>
                            <w:sz w:val="14"/>
                          </w:rPr>
                          <w:t>2000000</w:t>
                        </w:r>
                      </w:p>
                    </w:txbxContent>
                  </v:textbox>
                  <w10:wrap type="none"/>
                </v:shape>
                <v:shape style="position:absolute;left:2697;top:4625;width:84;height:161" type="#_x0000_t202" id="docshape1367" filled="false" stroked="false">
                  <v:textbox inset="0,0,0,0">
                    <w:txbxContent>
                      <w:p>
                        <w:pPr>
                          <w:spacing w:line="161" w:lineRule="exact" w:before="0"/>
                          <w:ind w:left="0" w:right="0" w:firstLine="0"/>
                          <w:jc w:val="left"/>
                          <w:rPr>
                            <w:rFonts w:ascii="Arial MT"/>
                            <w:sz w:val="14"/>
                          </w:rPr>
                        </w:pPr>
                        <w:r>
                          <w:rPr>
                            <w:rFonts w:ascii="Arial MT"/>
                            <w:spacing w:val="-10"/>
                            <w:w w:val="90"/>
                            <w:sz w:val="14"/>
                          </w:rPr>
                          <w:t>5</w:t>
                        </w:r>
                      </w:p>
                    </w:txbxContent>
                  </v:textbox>
                  <w10:wrap type="none"/>
                </v:shape>
                <v:shape style="position:absolute;left:9340;top:4089;width:467;height:161" type="#_x0000_t202" id="docshape1368" filled="false" stroked="false">
                  <v:textbox inset="0,0,0,0">
                    <w:txbxContent>
                      <w:p>
                        <w:pPr>
                          <w:spacing w:line="161" w:lineRule="exact" w:before="0"/>
                          <w:ind w:left="0" w:right="0" w:firstLine="0"/>
                          <w:jc w:val="left"/>
                          <w:rPr>
                            <w:rFonts w:ascii="Arial MT"/>
                            <w:sz w:val="14"/>
                          </w:rPr>
                        </w:pPr>
                        <w:r>
                          <w:rPr>
                            <w:rFonts w:ascii="Arial MT"/>
                            <w:spacing w:val="-2"/>
                            <w:w w:val="85"/>
                            <w:sz w:val="14"/>
                          </w:rPr>
                          <w:t>4000000</w:t>
                        </w:r>
                      </w:p>
                    </w:txbxContent>
                  </v:textbox>
                  <w10:wrap type="none"/>
                </v:shape>
                <v:shape style="position:absolute;left:2633;top:3835;width:148;height:161" type="#_x0000_t202" id="docshape1369" filled="false" stroked="false">
                  <v:textbox inset="0,0,0,0">
                    <w:txbxContent>
                      <w:p>
                        <w:pPr>
                          <w:spacing w:line="161" w:lineRule="exact" w:before="0"/>
                          <w:ind w:left="0" w:right="0" w:firstLine="0"/>
                          <w:jc w:val="left"/>
                          <w:rPr>
                            <w:rFonts w:ascii="Arial MT"/>
                            <w:sz w:val="14"/>
                          </w:rPr>
                        </w:pPr>
                        <w:r>
                          <w:rPr>
                            <w:rFonts w:ascii="Arial MT"/>
                            <w:spacing w:val="-5"/>
                            <w:w w:val="90"/>
                            <w:sz w:val="14"/>
                          </w:rPr>
                          <w:t>10</w:t>
                        </w:r>
                      </w:p>
                    </w:txbxContent>
                  </v:textbox>
                  <w10:wrap type="none"/>
                </v:shape>
                <v:shape style="position:absolute;left:9340;top:3439;width:467;height:161" type="#_x0000_t202" id="docshape1370" filled="false" stroked="false">
                  <v:textbox inset="0,0,0,0">
                    <w:txbxContent>
                      <w:p>
                        <w:pPr>
                          <w:spacing w:line="161" w:lineRule="exact" w:before="0"/>
                          <w:ind w:left="0" w:right="0" w:firstLine="0"/>
                          <w:jc w:val="left"/>
                          <w:rPr>
                            <w:rFonts w:ascii="Arial MT"/>
                            <w:sz w:val="14"/>
                          </w:rPr>
                        </w:pPr>
                        <w:r>
                          <w:rPr>
                            <w:rFonts w:ascii="Arial MT"/>
                            <w:spacing w:val="-2"/>
                            <w:w w:val="85"/>
                            <w:sz w:val="14"/>
                          </w:rPr>
                          <w:t>6000000</w:t>
                        </w:r>
                      </w:p>
                    </w:txbxContent>
                  </v:textbox>
                  <w10:wrap type="none"/>
                </v:shape>
                <v:shape style="position:absolute;left:2633;top:3045;width:148;height:161" type="#_x0000_t202" id="docshape1371" filled="false" stroked="false">
                  <v:textbox inset="0,0,0,0">
                    <w:txbxContent>
                      <w:p>
                        <w:pPr>
                          <w:spacing w:line="161" w:lineRule="exact" w:before="0"/>
                          <w:ind w:left="0" w:right="0" w:firstLine="0"/>
                          <w:jc w:val="left"/>
                          <w:rPr>
                            <w:rFonts w:ascii="Arial MT"/>
                            <w:sz w:val="14"/>
                          </w:rPr>
                        </w:pPr>
                        <w:r>
                          <w:rPr>
                            <w:rFonts w:ascii="Arial MT"/>
                            <w:spacing w:val="-5"/>
                            <w:w w:val="90"/>
                            <w:sz w:val="14"/>
                          </w:rPr>
                          <w:t>15</w:t>
                        </w:r>
                      </w:p>
                    </w:txbxContent>
                  </v:textbox>
                  <w10:wrap type="none"/>
                </v:shape>
                <v:shape style="position:absolute;left:9340;top:2789;width:467;height:161" type="#_x0000_t202" id="docshape1372" filled="false" stroked="false">
                  <v:textbox inset="0,0,0,0">
                    <w:txbxContent>
                      <w:p>
                        <w:pPr>
                          <w:spacing w:line="161" w:lineRule="exact" w:before="0"/>
                          <w:ind w:left="0" w:right="0" w:firstLine="0"/>
                          <w:jc w:val="left"/>
                          <w:rPr>
                            <w:rFonts w:ascii="Arial MT"/>
                            <w:sz w:val="14"/>
                          </w:rPr>
                        </w:pPr>
                        <w:r>
                          <w:rPr>
                            <w:rFonts w:ascii="Arial MT"/>
                            <w:spacing w:val="-2"/>
                            <w:w w:val="85"/>
                            <w:sz w:val="14"/>
                          </w:rPr>
                          <w:t>8000000</w:t>
                        </w:r>
                      </w:p>
                    </w:txbxContent>
                  </v:textbox>
                  <w10:wrap type="none"/>
                </v:shape>
                <v:shape style="position:absolute;left:9340;top:2139;width:531;height:161" type="#_x0000_t202" id="docshape1373" filled="false" stroked="false">
                  <v:textbox inset="0,0,0,0">
                    <w:txbxContent>
                      <w:p>
                        <w:pPr>
                          <w:spacing w:line="161" w:lineRule="exact" w:before="0"/>
                          <w:ind w:left="0" w:right="0" w:firstLine="0"/>
                          <w:jc w:val="left"/>
                          <w:rPr>
                            <w:rFonts w:ascii="Arial MT"/>
                            <w:sz w:val="14"/>
                          </w:rPr>
                        </w:pPr>
                        <w:r>
                          <w:rPr>
                            <w:rFonts w:ascii="Arial MT"/>
                            <w:spacing w:val="-2"/>
                            <w:w w:val="85"/>
                            <w:sz w:val="14"/>
                          </w:rPr>
                          <w:t>10000000</w:t>
                        </w:r>
                      </w:p>
                    </w:txbxContent>
                  </v:textbox>
                  <w10:wrap type="none"/>
                </v:shape>
                <v:shape style="position:absolute;left:2633;top:2255;width:148;height:161" type="#_x0000_t202" id="docshape1374" filled="false" stroked="false">
                  <v:textbox inset="0,0,0,0">
                    <w:txbxContent>
                      <w:p>
                        <w:pPr>
                          <w:spacing w:line="161" w:lineRule="exact" w:before="0"/>
                          <w:ind w:left="0" w:right="0" w:firstLine="0"/>
                          <w:jc w:val="left"/>
                          <w:rPr>
                            <w:rFonts w:ascii="Arial MT"/>
                            <w:sz w:val="14"/>
                          </w:rPr>
                        </w:pPr>
                        <w:r>
                          <w:rPr>
                            <w:rFonts w:ascii="Arial MT"/>
                            <w:spacing w:val="-5"/>
                            <w:w w:val="90"/>
                            <w:sz w:val="14"/>
                          </w:rPr>
                          <w:t>20</w:t>
                        </w:r>
                      </w:p>
                    </w:txbxContent>
                  </v:textbox>
                  <w10:wrap type="none"/>
                </v:shape>
                <v:shape style="position:absolute;left:9340;top:1489;width:531;height:161" type="#_x0000_t202" id="docshape1375" filled="false" stroked="false">
                  <v:textbox inset="0,0,0,0">
                    <w:txbxContent>
                      <w:p>
                        <w:pPr>
                          <w:spacing w:line="161" w:lineRule="exact" w:before="0"/>
                          <w:ind w:left="0" w:right="0" w:firstLine="0"/>
                          <w:jc w:val="left"/>
                          <w:rPr>
                            <w:rFonts w:ascii="Arial MT"/>
                            <w:sz w:val="14"/>
                          </w:rPr>
                        </w:pPr>
                        <w:r>
                          <w:rPr>
                            <w:rFonts w:ascii="Arial MT"/>
                            <w:spacing w:val="-2"/>
                            <w:w w:val="85"/>
                            <w:sz w:val="14"/>
                          </w:rPr>
                          <w:t>12000000</w:t>
                        </w:r>
                      </w:p>
                    </w:txbxContent>
                  </v:textbox>
                  <w10:wrap type="none"/>
                </v:shape>
                <v:shape style="position:absolute;left:2633;top:1465;width:148;height:161" type="#_x0000_t202" id="docshape1376" filled="false" stroked="false">
                  <v:textbox inset="0,0,0,0">
                    <w:txbxContent>
                      <w:p>
                        <w:pPr>
                          <w:spacing w:line="161" w:lineRule="exact" w:before="0"/>
                          <w:ind w:left="0" w:right="0" w:firstLine="0"/>
                          <w:jc w:val="left"/>
                          <w:rPr>
                            <w:rFonts w:ascii="Arial MT"/>
                            <w:sz w:val="14"/>
                          </w:rPr>
                        </w:pPr>
                        <w:r>
                          <w:rPr>
                            <w:rFonts w:ascii="Arial MT"/>
                            <w:spacing w:val="-5"/>
                            <w:w w:val="90"/>
                            <w:sz w:val="14"/>
                          </w:rPr>
                          <w:t>25</w:t>
                        </w:r>
                      </w:p>
                    </w:txbxContent>
                  </v:textbox>
                  <w10:wrap type="none"/>
                </v:shape>
                <v:shape style="position:absolute;left:9017;top:916;width:818;height:161" type="#_x0000_t202" id="docshape1377" filled="false" stroked="false">
                  <v:textbox inset="0,0,0,0">
                    <w:txbxContent>
                      <w:p>
                        <w:pPr>
                          <w:spacing w:line="161" w:lineRule="exact" w:before="0"/>
                          <w:ind w:left="0" w:right="0" w:firstLine="0"/>
                          <w:jc w:val="left"/>
                          <w:rPr>
                            <w:rFonts w:ascii="Arial MT"/>
                            <w:sz w:val="14"/>
                          </w:rPr>
                        </w:pPr>
                        <w:r>
                          <w:rPr>
                            <w:rFonts w:ascii="Arial MT"/>
                            <w:spacing w:val="-2"/>
                            <w:w w:val="80"/>
                            <w:sz w:val="14"/>
                          </w:rPr>
                          <w:t>Total</w:t>
                        </w:r>
                        <w:r>
                          <w:rPr>
                            <w:rFonts w:ascii="Arial MT"/>
                            <w:spacing w:val="-7"/>
                            <w:sz w:val="14"/>
                          </w:rPr>
                          <w:t> </w:t>
                        </w:r>
                        <w:r>
                          <w:rPr>
                            <w:rFonts w:ascii="Arial MT"/>
                            <w:spacing w:val="-2"/>
                            <w:w w:val="85"/>
                            <w:sz w:val="14"/>
                          </w:rPr>
                          <w:t>Enrolment</w:t>
                        </w:r>
                      </w:p>
                    </w:txbxContent>
                  </v:textbox>
                  <w10:wrap type="none"/>
                </v:shape>
                <v:shape style="position:absolute;left:7284;top:917;width:984;height:161" type="#_x0000_t202" id="docshape1378" filled="false" stroked="false">
                  <v:textbox inset="0,0,0,0">
                    <w:txbxContent>
                      <w:p>
                        <w:pPr>
                          <w:spacing w:line="161" w:lineRule="exact" w:before="0"/>
                          <w:ind w:left="0" w:right="0" w:firstLine="0"/>
                          <w:jc w:val="left"/>
                          <w:rPr>
                            <w:rFonts w:ascii="Arial MT"/>
                            <w:sz w:val="14"/>
                          </w:rPr>
                        </w:pPr>
                        <w:r>
                          <w:rPr>
                            <w:rFonts w:ascii="Arial MT"/>
                            <w:w w:val="80"/>
                            <w:sz w:val="14"/>
                          </w:rPr>
                          <w:t>Annual</w:t>
                        </w:r>
                        <w:r>
                          <w:rPr>
                            <w:rFonts w:ascii="Arial MT"/>
                            <w:spacing w:val="-6"/>
                            <w:sz w:val="14"/>
                          </w:rPr>
                          <w:t> </w:t>
                        </w:r>
                        <w:r>
                          <w:rPr>
                            <w:rFonts w:ascii="Arial MT"/>
                            <w:w w:val="80"/>
                            <w:sz w:val="14"/>
                          </w:rPr>
                          <w:t>growth</w:t>
                        </w:r>
                        <w:r>
                          <w:rPr>
                            <w:rFonts w:ascii="Arial MT"/>
                            <w:spacing w:val="-5"/>
                            <w:sz w:val="14"/>
                          </w:rPr>
                          <w:t> </w:t>
                        </w:r>
                        <w:r>
                          <w:rPr>
                            <w:rFonts w:ascii="Arial MT"/>
                            <w:spacing w:val="-4"/>
                            <w:w w:val="80"/>
                            <w:sz w:val="14"/>
                          </w:rPr>
                          <w:t>rate</w:t>
                        </w:r>
                      </w:p>
                    </w:txbxContent>
                  </v:textbox>
                  <w10:wrap type="none"/>
                </v:shape>
                <w10:wrap type="none"/>
              </v:group>
            </w:pict>
          </mc:Fallback>
        </mc:AlternateContent>
      </w:r>
      <w:r>
        <w:rPr>
          <w:spacing w:val="-8"/>
        </w:rPr>
        <w:t>Figure</w:t>
      </w:r>
      <w:r>
        <w:rPr>
          <w:spacing w:val="-5"/>
        </w:rPr>
        <w:t> </w:t>
      </w:r>
      <w:r>
        <w:rPr>
          <w:spacing w:val="-8"/>
        </w:rPr>
        <w:t>16:</w:t>
      </w:r>
      <w:r>
        <w:rPr>
          <w:spacing w:val="-5"/>
        </w:rPr>
        <w:t> </w:t>
      </w:r>
      <w:r>
        <w:rPr>
          <w:color w:val="2E614A"/>
          <w:spacing w:val="-8"/>
        </w:rPr>
        <w:t>Growth</w:t>
      </w:r>
      <w:r>
        <w:rPr>
          <w:color w:val="2E614A"/>
          <w:spacing w:val="-5"/>
        </w:rPr>
        <w:t> </w:t>
      </w:r>
      <w:r>
        <w:rPr>
          <w:color w:val="2E614A"/>
          <w:spacing w:val="-8"/>
        </w:rPr>
        <w:t>of</w:t>
      </w:r>
      <w:r>
        <w:rPr>
          <w:color w:val="2E614A"/>
          <w:spacing w:val="-5"/>
        </w:rPr>
        <w:t> </w:t>
      </w:r>
      <w:r>
        <w:rPr>
          <w:color w:val="2E614A"/>
          <w:spacing w:val="-8"/>
        </w:rPr>
        <w:t>student</w:t>
      </w:r>
      <w:r>
        <w:rPr>
          <w:color w:val="2E614A"/>
          <w:spacing w:val="-5"/>
        </w:rPr>
        <w:t> </w:t>
      </w:r>
      <w:r>
        <w:rPr>
          <w:color w:val="2E614A"/>
          <w:spacing w:val="-8"/>
        </w:rPr>
        <w:t>enrolment</w:t>
      </w:r>
      <w:r>
        <w:rPr>
          <w:color w:val="2E614A"/>
          <w:spacing w:val="-5"/>
        </w:rPr>
        <w:t> </w:t>
      </w:r>
      <w:r>
        <w:rPr>
          <w:color w:val="2E614A"/>
          <w:spacing w:val="-8"/>
        </w:rPr>
        <w:t>in</w:t>
      </w:r>
      <w:r>
        <w:rPr>
          <w:color w:val="2E614A"/>
          <w:spacing w:val="-5"/>
        </w:rPr>
        <w:t> </w:t>
      </w:r>
      <w:r>
        <w:rPr>
          <w:color w:val="2E614A"/>
          <w:spacing w:val="-8"/>
        </w:rPr>
        <w:t>higher</w:t>
      </w:r>
      <w:r>
        <w:rPr>
          <w:color w:val="2E614A"/>
          <w:spacing w:val="-5"/>
        </w:rPr>
        <w:t> </w:t>
      </w:r>
      <w:r>
        <w:rPr>
          <w:color w:val="2E614A"/>
          <w:spacing w:val="-8"/>
        </w:rPr>
        <w:t>education</w:t>
      </w:r>
      <w:r>
        <w:rPr>
          <w:color w:val="2E614A"/>
          <w:spacing w:val="-5"/>
        </w:rPr>
        <w:t> </w:t>
      </w:r>
      <w:r>
        <w:rPr>
          <w:color w:val="2E614A"/>
          <w:spacing w:val="-8"/>
        </w:rPr>
        <w:t>in</w:t>
      </w:r>
      <w:r>
        <w:rPr>
          <w:color w:val="2E614A"/>
          <w:spacing w:val="-5"/>
        </w:rPr>
        <w:t> </w:t>
      </w:r>
      <w:r>
        <w:rPr>
          <w:color w:val="2E614A"/>
          <w:spacing w:val="-8"/>
        </w:rPr>
        <w:t>India </w:t>
      </w:r>
      <w:r>
        <w:rPr>
          <w:color w:val="2E614A"/>
        </w:rPr>
        <w:t>(1950-51 to 2005-06)</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1"/>
        <w:rPr>
          <w:b/>
          <w:sz w:val="24"/>
        </w:rPr>
      </w:pPr>
    </w:p>
    <w:p>
      <w:pPr>
        <w:spacing w:before="0"/>
        <w:ind w:left="1747" w:right="0" w:firstLine="0"/>
        <w:jc w:val="left"/>
        <w:rPr>
          <w:sz w:val="16"/>
        </w:rPr>
      </w:pPr>
      <w:r>
        <w:rPr/>
        <mc:AlternateContent>
          <mc:Choice Requires="wps">
            <w:drawing>
              <wp:anchor distT="0" distB="0" distL="0" distR="0" allowOverlap="1" layoutInCell="1" locked="0" behindDoc="0" simplePos="0" relativeHeight="15817216">
                <wp:simplePos x="0" y="0"/>
                <wp:positionH relativeFrom="page">
                  <wp:posOffset>1495464</wp:posOffset>
                </wp:positionH>
                <wp:positionV relativeFrom="paragraph">
                  <wp:posOffset>-1595601</wp:posOffset>
                </wp:positionV>
                <wp:extent cx="127635" cy="224154"/>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127635" cy="224154"/>
                        </a:xfrm>
                        <a:prstGeom prst="rect">
                          <a:avLst/>
                        </a:prstGeom>
                      </wps:spPr>
                      <wps:txbx>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wps:txbx>
                      <wps:bodyPr wrap="square" lIns="0" tIns="0" rIns="0" bIns="0" rtlCol="0" vert="vert270">
                        <a:noAutofit/>
                      </wps:bodyPr>
                    </wps:wsp>
                  </a:graphicData>
                </a:graphic>
              </wp:anchor>
            </w:drawing>
          </mc:Choice>
          <mc:Fallback>
            <w:pict>
              <v:shape style="position:absolute;margin-left:117.753105pt;margin-top:-125.637932pt;width:10.050pt;height:17.650pt;mso-position-horizontal-relative:page;mso-position-vertical-relative:paragraph;z-index:15817216" type="#_x0000_t202" id="docshape1379"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v:textbox>
                <w10:wrap type="none"/>
              </v:shape>
            </w:pict>
          </mc:Fallback>
        </mc:AlternateContent>
      </w:r>
      <w:r>
        <w:rPr>
          <w:i/>
          <w:w w:val="85"/>
          <w:sz w:val="16"/>
        </w:rPr>
        <w:t>Source:</w:t>
      </w:r>
      <w:r>
        <w:rPr>
          <w:i/>
          <w:spacing w:val="-5"/>
          <w:sz w:val="16"/>
        </w:rPr>
        <w:t> </w:t>
      </w:r>
      <w:r>
        <w:rPr>
          <w:spacing w:val="-5"/>
          <w:sz w:val="16"/>
        </w:rPr>
        <w:t>UGC</w:t>
      </w:r>
    </w:p>
    <w:p>
      <w:pPr>
        <w:pStyle w:val="BodyText"/>
        <w:spacing w:before="206"/>
        <w:rPr>
          <w:sz w:val="24"/>
        </w:rPr>
      </w:pPr>
    </w:p>
    <w:p>
      <w:pPr>
        <w:pStyle w:val="Heading8"/>
        <w:ind w:left="1072"/>
      </w:pPr>
      <w:r>
        <w:rPr>
          <w:spacing w:val="-6"/>
        </w:rPr>
        <w:t>Table</w:t>
      </w:r>
      <w:r>
        <w:rPr>
          <w:spacing w:val="-9"/>
        </w:rPr>
        <w:t> </w:t>
      </w:r>
      <w:r>
        <w:rPr>
          <w:spacing w:val="-6"/>
        </w:rPr>
        <w:t>10:</w:t>
      </w:r>
      <w:r>
        <w:rPr>
          <w:spacing w:val="-9"/>
        </w:rPr>
        <w:t> </w:t>
      </w:r>
      <w:r>
        <w:rPr>
          <w:color w:val="2E614A"/>
          <w:spacing w:val="-6"/>
        </w:rPr>
        <w:t>Number</w:t>
      </w:r>
      <w:r>
        <w:rPr>
          <w:color w:val="2E614A"/>
          <w:spacing w:val="-8"/>
        </w:rPr>
        <w:t> </w:t>
      </w:r>
      <w:r>
        <w:rPr>
          <w:color w:val="2E614A"/>
          <w:spacing w:val="-6"/>
        </w:rPr>
        <w:t>of</w:t>
      </w:r>
      <w:r>
        <w:rPr>
          <w:color w:val="2E614A"/>
          <w:spacing w:val="-9"/>
        </w:rPr>
        <w:t> </w:t>
      </w:r>
      <w:r>
        <w:rPr>
          <w:color w:val="2E614A"/>
          <w:spacing w:val="-6"/>
        </w:rPr>
        <w:t>teachers</w:t>
      </w:r>
      <w:r>
        <w:rPr>
          <w:color w:val="2E614A"/>
          <w:spacing w:val="-8"/>
        </w:rPr>
        <w:t> </w:t>
      </w:r>
      <w:r>
        <w:rPr>
          <w:color w:val="2E614A"/>
          <w:spacing w:val="-6"/>
        </w:rPr>
        <w:t>in</w:t>
      </w:r>
      <w:r>
        <w:rPr>
          <w:color w:val="2E614A"/>
          <w:spacing w:val="-9"/>
        </w:rPr>
        <w:t> </w:t>
      </w:r>
      <w:r>
        <w:rPr>
          <w:color w:val="2E614A"/>
          <w:spacing w:val="-6"/>
        </w:rPr>
        <w:t>institutions</w:t>
      </w:r>
      <w:r>
        <w:rPr>
          <w:color w:val="2E614A"/>
          <w:spacing w:val="-8"/>
        </w:rPr>
        <w:t> </w:t>
      </w:r>
      <w:r>
        <w:rPr>
          <w:color w:val="2E614A"/>
          <w:spacing w:val="-6"/>
        </w:rPr>
        <w:t>of</w:t>
      </w:r>
      <w:r>
        <w:rPr>
          <w:color w:val="2E614A"/>
          <w:spacing w:val="-9"/>
        </w:rPr>
        <w:t> </w:t>
      </w:r>
      <w:r>
        <w:rPr>
          <w:color w:val="2E614A"/>
          <w:spacing w:val="-6"/>
        </w:rPr>
        <w:t>higher</w:t>
      </w:r>
      <w:r>
        <w:rPr>
          <w:color w:val="2E614A"/>
          <w:spacing w:val="-8"/>
        </w:rPr>
        <w:t> </w:t>
      </w:r>
      <w:r>
        <w:rPr>
          <w:color w:val="2E614A"/>
          <w:spacing w:val="-6"/>
        </w:rPr>
        <w:t>education,</w:t>
      </w:r>
      <w:r>
        <w:rPr>
          <w:color w:val="2E614A"/>
          <w:spacing w:val="-9"/>
        </w:rPr>
        <w:t> </w:t>
      </w:r>
      <w:r>
        <w:rPr>
          <w:color w:val="2E614A"/>
          <w:spacing w:val="-6"/>
        </w:rPr>
        <w:t>2005-06</w:t>
      </w:r>
    </w:p>
    <w:p>
      <w:pPr>
        <w:pStyle w:val="BodyText"/>
        <w:spacing w:before="3"/>
        <w:rPr>
          <w:b/>
          <w:sz w:val="10"/>
        </w:rPr>
      </w:pPr>
    </w:p>
    <w:tbl>
      <w:tblPr>
        <w:tblW w:w="0" w:type="auto"/>
        <w:jc w:val="left"/>
        <w:tblInd w:w="10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142"/>
        <w:gridCol w:w="1867"/>
        <w:gridCol w:w="1867"/>
        <w:gridCol w:w="1867"/>
      </w:tblGrid>
      <w:tr>
        <w:trPr>
          <w:trHeight w:val="601" w:hRule="atLeast"/>
        </w:trPr>
        <w:tc>
          <w:tcPr>
            <w:tcW w:w="4142" w:type="dxa"/>
            <w:shd w:val="clear" w:color="auto" w:fill="D0D5CD"/>
          </w:tcPr>
          <w:p>
            <w:pPr>
              <w:pStyle w:val="TableParagraph"/>
              <w:ind w:left="90"/>
              <w:rPr>
                <w:b/>
                <w:sz w:val="20"/>
              </w:rPr>
            </w:pPr>
            <w:r>
              <w:rPr>
                <w:b/>
                <w:spacing w:val="-2"/>
                <w:sz w:val="20"/>
              </w:rPr>
              <w:t>Institution</w:t>
            </w:r>
          </w:p>
        </w:tc>
        <w:tc>
          <w:tcPr>
            <w:tcW w:w="1867" w:type="dxa"/>
            <w:shd w:val="clear" w:color="auto" w:fill="D0D5CD"/>
          </w:tcPr>
          <w:p>
            <w:pPr>
              <w:pStyle w:val="TableParagraph"/>
              <w:spacing w:line="280" w:lineRule="exact" w:before="9"/>
              <w:ind w:left="361" w:right="348" w:firstLine="144"/>
              <w:rPr>
                <w:b/>
                <w:sz w:val="20"/>
              </w:rPr>
            </w:pPr>
            <w:r>
              <w:rPr>
                <w:b/>
                <w:spacing w:val="-2"/>
                <w:sz w:val="20"/>
              </w:rPr>
              <w:t>Enrolment </w:t>
            </w:r>
            <w:r>
              <w:rPr>
                <w:b/>
                <w:spacing w:val="-6"/>
                <w:sz w:val="20"/>
              </w:rPr>
              <w:t>(in</w:t>
            </w:r>
            <w:r>
              <w:rPr>
                <w:b/>
                <w:spacing w:val="-7"/>
                <w:sz w:val="20"/>
              </w:rPr>
              <w:t> </w:t>
            </w:r>
            <w:r>
              <w:rPr>
                <w:b/>
                <w:spacing w:val="-6"/>
                <w:sz w:val="20"/>
              </w:rPr>
              <w:t>thousands)</w:t>
            </w:r>
          </w:p>
        </w:tc>
        <w:tc>
          <w:tcPr>
            <w:tcW w:w="1867" w:type="dxa"/>
            <w:shd w:val="clear" w:color="auto" w:fill="D0D5CD"/>
          </w:tcPr>
          <w:p>
            <w:pPr>
              <w:pStyle w:val="TableParagraph"/>
              <w:spacing w:line="280" w:lineRule="exact" w:before="9"/>
              <w:ind w:left="361" w:right="348" w:firstLine="229"/>
              <w:rPr>
                <w:b/>
                <w:sz w:val="20"/>
              </w:rPr>
            </w:pPr>
            <w:r>
              <w:rPr>
                <w:b/>
                <w:spacing w:val="-2"/>
                <w:sz w:val="20"/>
              </w:rPr>
              <w:t>Teachers </w:t>
            </w:r>
            <w:r>
              <w:rPr>
                <w:b/>
                <w:spacing w:val="-6"/>
                <w:sz w:val="20"/>
              </w:rPr>
              <w:t>(in</w:t>
            </w:r>
            <w:r>
              <w:rPr>
                <w:b/>
                <w:spacing w:val="-7"/>
                <w:sz w:val="20"/>
              </w:rPr>
              <w:t> </w:t>
            </w:r>
            <w:r>
              <w:rPr>
                <w:b/>
                <w:spacing w:val="-6"/>
                <w:sz w:val="20"/>
              </w:rPr>
              <w:t>thousands)</w:t>
            </w:r>
          </w:p>
        </w:tc>
        <w:tc>
          <w:tcPr>
            <w:tcW w:w="1867" w:type="dxa"/>
            <w:shd w:val="clear" w:color="auto" w:fill="D0D5CD"/>
          </w:tcPr>
          <w:p>
            <w:pPr>
              <w:pStyle w:val="TableParagraph"/>
              <w:spacing w:line="280" w:lineRule="exact" w:before="9"/>
              <w:ind w:left="746" w:hanging="458"/>
              <w:rPr>
                <w:b/>
                <w:sz w:val="20"/>
              </w:rPr>
            </w:pPr>
            <w:r>
              <w:rPr>
                <w:b/>
                <w:spacing w:val="-2"/>
                <w:w w:val="90"/>
                <w:sz w:val="20"/>
              </w:rPr>
              <w:t>Student:Teacher </w:t>
            </w:r>
            <w:r>
              <w:rPr>
                <w:b/>
                <w:spacing w:val="-2"/>
                <w:sz w:val="20"/>
              </w:rPr>
              <w:t>ratio</w:t>
            </w:r>
          </w:p>
        </w:tc>
      </w:tr>
      <w:tr>
        <w:trPr>
          <w:trHeight w:val="321" w:hRule="atLeast"/>
        </w:trPr>
        <w:tc>
          <w:tcPr>
            <w:tcW w:w="4142" w:type="dxa"/>
            <w:shd w:val="clear" w:color="auto" w:fill="E9E9E9"/>
          </w:tcPr>
          <w:p>
            <w:pPr>
              <w:pStyle w:val="TableParagraph"/>
              <w:ind w:left="90"/>
              <w:rPr>
                <w:sz w:val="20"/>
              </w:rPr>
            </w:pPr>
            <w:r>
              <w:rPr>
                <w:spacing w:val="-4"/>
                <w:sz w:val="20"/>
              </w:rPr>
              <w:t>University</w:t>
            </w:r>
            <w:r>
              <w:rPr>
                <w:spacing w:val="3"/>
                <w:sz w:val="20"/>
              </w:rPr>
              <w:t> </w:t>
            </w:r>
            <w:r>
              <w:rPr>
                <w:spacing w:val="-4"/>
                <w:sz w:val="20"/>
              </w:rPr>
              <w:t>Departments</w:t>
            </w:r>
            <w:r>
              <w:rPr>
                <w:spacing w:val="4"/>
                <w:sz w:val="20"/>
              </w:rPr>
              <w:t> </w:t>
            </w:r>
            <w:r>
              <w:rPr>
                <w:spacing w:val="-4"/>
                <w:sz w:val="20"/>
              </w:rPr>
              <w:t>&amp;</w:t>
            </w:r>
            <w:r>
              <w:rPr>
                <w:spacing w:val="4"/>
                <w:sz w:val="20"/>
              </w:rPr>
              <w:t> </w:t>
            </w:r>
            <w:r>
              <w:rPr>
                <w:spacing w:val="-4"/>
                <w:sz w:val="20"/>
              </w:rPr>
              <w:t>University</w:t>
            </w:r>
            <w:r>
              <w:rPr>
                <w:spacing w:val="4"/>
                <w:sz w:val="20"/>
              </w:rPr>
              <w:t> </w:t>
            </w:r>
            <w:r>
              <w:rPr>
                <w:spacing w:val="-4"/>
                <w:sz w:val="20"/>
              </w:rPr>
              <w:t>Colleges</w:t>
            </w:r>
          </w:p>
        </w:tc>
        <w:tc>
          <w:tcPr>
            <w:tcW w:w="1867" w:type="dxa"/>
            <w:shd w:val="clear" w:color="auto" w:fill="E9E9E9"/>
          </w:tcPr>
          <w:p>
            <w:pPr>
              <w:pStyle w:val="TableParagraph"/>
              <w:ind w:right="804"/>
              <w:jc w:val="right"/>
              <w:rPr>
                <w:sz w:val="20"/>
              </w:rPr>
            </w:pPr>
            <w:r>
              <w:rPr>
                <w:spacing w:val="-4"/>
                <w:sz w:val="20"/>
              </w:rPr>
              <w:t>1427</w:t>
            </w:r>
          </w:p>
        </w:tc>
        <w:tc>
          <w:tcPr>
            <w:tcW w:w="1867" w:type="dxa"/>
            <w:shd w:val="clear" w:color="auto" w:fill="E9E9E9"/>
          </w:tcPr>
          <w:p>
            <w:pPr>
              <w:pStyle w:val="TableParagraph"/>
              <w:ind w:left="97" w:right="49"/>
              <w:jc w:val="center"/>
              <w:rPr>
                <w:sz w:val="20"/>
              </w:rPr>
            </w:pPr>
            <w:r>
              <w:rPr>
                <w:spacing w:val="-5"/>
                <w:sz w:val="20"/>
              </w:rPr>
              <w:t>79</w:t>
            </w:r>
          </w:p>
        </w:tc>
        <w:tc>
          <w:tcPr>
            <w:tcW w:w="1867" w:type="dxa"/>
            <w:shd w:val="clear" w:color="auto" w:fill="E9E9E9"/>
          </w:tcPr>
          <w:p>
            <w:pPr>
              <w:pStyle w:val="TableParagraph"/>
              <w:ind w:left="96" w:right="49"/>
              <w:jc w:val="center"/>
              <w:rPr>
                <w:sz w:val="20"/>
              </w:rPr>
            </w:pPr>
            <w:r>
              <w:rPr>
                <w:spacing w:val="-5"/>
                <w:sz w:val="20"/>
              </w:rPr>
              <w:t>18</w:t>
            </w:r>
          </w:p>
        </w:tc>
      </w:tr>
      <w:tr>
        <w:trPr>
          <w:trHeight w:val="321" w:hRule="atLeast"/>
        </w:trPr>
        <w:tc>
          <w:tcPr>
            <w:tcW w:w="4142" w:type="dxa"/>
            <w:shd w:val="clear" w:color="auto" w:fill="D0D5CD"/>
          </w:tcPr>
          <w:p>
            <w:pPr>
              <w:pStyle w:val="TableParagraph"/>
              <w:ind w:left="90"/>
              <w:rPr>
                <w:sz w:val="20"/>
              </w:rPr>
            </w:pPr>
            <w:r>
              <w:rPr>
                <w:w w:val="90"/>
                <w:sz w:val="20"/>
              </w:rPr>
              <w:t>Affiliated</w:t>
            </w:r>
            <w:r>
              <w:rPr>
                <w:spacing w:val="8"/>
                <w:sz w:val="20"/>
              </w:rPr>
              <w:t> </w:t>
            </w:r>
            <w:r>
              <w:rPr>
                <w:spacing w:val="-2"/>
                <w:sz w:val="20"/>
              </w:rPr>
              <w:t>Colleges</w:t>
            </w:r>
          </w:p>
        </w:tc>
        <w:tc>
          <w:tcPr>
            <w:tcW w:w="1867" w:type="dxa"/>
            <w:shd w:val="clear" w:color="auto" w:fill="D0D5CD"/>
          </w:tcPr>
          <w:p>
            <w:pPr>
              <w:pStyle w:val="TableParagraph"/>
              <w:ind w:right="804"/>
              <w:jc w:val="right"/>
              <w:rPr>
                <w:sz w:val="20"/>
              </w:rPr>
            </w:pPr>
            <w:r>
              <w:rPr>
                <w:spacing w:val="-4"/>
                <w:sz w:val="20"/>
              </w:rPr>
              <w:t>9601</w:t>
            </w:r>
          </w:p>
        </w:tc>
        <w:tc>
          <w:tcPr>
            <w:tcW w:w="1867" w:type="dxa"/>
            <w:shd w:val="clear" w:color="auto" w:fill="D0D5CD"/>
          </w:tcPr>
          <w:p>
            <w:pPr>
              <w:pStyle w:val="TableParagraph"/>
              <w:ind w:left="48" w:right="97"/>
              <w:jc w:val="center"/>
              <w:rPr>
                <w:sz w:val="20"/>
              </w:rPr>
            </w:pPr>
            <w:r>
              <w:rPr>
                <w:spacing w:val="-5"/>
                <w:sz w:val="20"/>
              </w:rPr>
              <w:t>409</w:t>
            </w:r>
          </w:p>
        </w:tc>
        <w:tc>
          <w:tcPr>
            <w:tcW w:w="1867" w:type="dxa"/>
            <w:shd w:val="clear" w:color="auto" w:fill="D0D5CD"/>
          </w:tcPr>
          <w:p>
            <w:pPr>
              <w:pStyle w:val="TableParagraph"/>
              <w:ind w:left="96" w:right="49"/>
              <w:jc w:val="center"/>
              <w:rPr>
                <w:sz w:val="20"/>
              </w:rPr>
            </w:pPr>
            <w:r>
              <w:rPr>
                <w:spacing w:val="-5"/>
                <w:sz w:val="20"/>
              </w:rPr>
              <w:t>23</w:t>
            </w:r>
          </w:p>
        </w:tc>
      </w:tr>
      <w:tr>
        <w:trPr>
          <w:trHeight w:val="321" w:hRule="atLeast"/>
        </w:trPr>
        <w:tc>
          <w:tcPr>
            <w:tcW w:w="4142" w:type="dxa"/>
            <w:shd w:val="clear" w:color="auto" w:fill="E9E9E9"/>
          </w:tcPr>
          <w:p>
            <w:pPr>
              <w:pStyle w:val="TableParagraph"/>
              <w:ind w:left="90"/>
              <w:rPr>
                <w:sz w:val="20"/>
              </w:rPr>
            </w:pPr>
            <w:r>
              <w:rPr>
                <w:spacing w:val="-2"/>
                <w:sz w:val="20"/>
              </w:rPr>
              <w:t>Total</w:t>
            </w:r>
          </w:p>
        </w:tc>
        <w:tc>
          <w:tcPr>
            <w:tcW w:w="1867" w:type="dxa"/>
            <w:shd w:val="clear" w:color="auto" w:fill="E9E9E9"/>
          </w:tcPr>
          <w:p>
            <w:pPr>
              <w:pStyle w:val="TableParagraph"/>
              <w:ind w:right="804"/>
              <w:jc w:val="right"/>
              <w:rPr>
                <w:sz w:val="20"/>
              </w:rPr>
            </w:pPr>
            <w:r>
              <w:rPr>
                <w:spacing w:val="-2"/>
                <w:sz w:val="20"/>
              </w:rPr>
              <w:t>11028</w:t>
            </w:r>
          </w:p>
        </w:tc>
        <w:tc>
          <w:tcPr>
            <w:tcW w:w="1867" w:type="dxa"/>
            <w:shd w:val="clear" w:color="auto" w:fill="E9E9E9"/>
          </w:tcPr>
          <w:p>
            <w:pPr>
              <w:pStyle w:val="TableParagraph"/>
              <w:ind w:left="48" w:right="97"/>
              <w:jc w:val="center"/>
              <w:rPr>
                <w:sz w:val="20"/>
              </w:rPr>
            </w:pPr>
            <w:r>
              <w:rPr>
                <w:spacing w:val="-5"/>
                <w:sz w:val="20"/>
              </w:rPr>
              <w:t>488</w:t>
            </w:r>
          </w:p>
        </w:tc>
        <w:tc>
          <w:tcPr>
            <w:tcW w:w="1867" w:type="dxa"/>
            <w:shd w:val="clear" w:color="auto" w:fill="E9E9E9"/>
          </w:tcPr>
          <w:p>
            <w:pPr>
              <w:pStyle w:val="TableParagraph"/>
              <w:ind w:left="96" w:right="49"/>
              <w:jc w:val="center"/>
              <w:rPr>
                <w:sz w:val="20"/>
              </w:rPr>
            </w:pPr>
            <w:r>
              <w:rPr>
                <w:spacing w:val="-5"/>
                <w:sz w:val="20"/>
              </w:rPr>
              <w:t>22</w:t>
            </w:r>
          </w:p>
        </w:tc>
      </w:tr>
    </w:tbl>
    <w:p>
      <w:pPr>
        <w:spacing w:before="53"/>
        <w:ind w:left="1072" w:right="0" w:firstLine="0"/>
        <w:jc w:val="left"/>
        <w:rPr>
          <w:sz w:val="16"/>
        </w:rPr>
      </w:pPr>
      <w:r>
        <w:rPr>
          <w:i/>
          <w:spacing w:val="-4"/>
          <w:sz w:val="16"/>
        </w:rPr>
        <w:t>Source:</w:t>
      </w:r>
      <w:r>
        <w:rPr>
          <w:i/>
          <w:spacing w:val="2"/>
          <w:sz w:val="16"/>
        </w:rPr>
        <w:t> </w:t>
      </w:r>
      <w:r>
        <w:rPr>
          <w:spacing w:val="-4"/>
          <w:sz w:val="16"/>
        </w:rPr>
        <w:t>UGC</w:t>
      </w:r>
      <w:r>
        <w:rPr>
          <w:spacing w:val="2"/>
          <w:sz w:val="16"/>
        </w:rPr>
        <w:t> </w:t>
      </w:r>
      <w:r>
        <w:rPr>
          <w:spacing w:val="-4"/>
          <w:sz w:val="16"/>
        </w:rPr>
        <w:t>Annual</w:t>
      </w:r>
      <w:r>
        <w:rPr>
          <w:spacing w:val="2"/>
          <w:sz w:val="16"/>
        </w:rPr>
        <w:t> </w:t>
      </w:r>
      <w:r>
        <w:rPr>
          <w:spacing w:val="-4"/>
          <w:sz w:val="16"/>
        </w:rPr>
        <w:t>Report,</w:t>
      </w:r>
      <w:r>
        <w:rPr>
          <w:spacing w:val="2"/>
          <w:sz w:val="16"/>
        </w:rPr>
        <w:t> </w:t>
      </w:r>
      <w:r>
        <w:rPr>
          <w:spacing w:val="-4"/>
          <w:sz w:val="16"/>
        </w:rPr>
        <w:t>2005-</w:t>
      </w:r>
      <w:r>
        <w:rPr>
          <w:spacing w:val="-5"/>
          <w:sz w:val="16"/>
        </w:rPr>
        <w:t>06</w:t>
      </w:r>
    </w:p>
    <w:p>
      <w:pPr>
        <w:pStyle w:val="BodyText"/>
        <w:rPr>
          <w:sz w:val="20"/>
        </w:rPr>
      </w:pPr>
    </w:p>
    <w:p>
      <w:pPr>
        <w:pStyle w:val="BodyText"/>
        <w:spacing w:before="182"/>
        <w:rPr>
          <w:sz w:val="20"/>
        </w:rPr>
      </w:pPr>
    </w:p>
    <w:p>
      <w:pPr>
        <w:spacing w:after="0"/>
        <w:rPr>
          <w:sz w:val="20"/>
        </w:rPr>
        <w:sectPr>
          <w:pgSz w:w="11910" w:h="16840"/>
          <w:pgMar w:header="0" w:footer="675" w:top="940" w:bottom="860" w:left="0" w:right="0"/>
        </w:sectPr>
      </w:pPr>
    </w:p>
    <w:p>
      <w:pPr>
        <w:pStyle w:val="BodyText"/>
        <w:spacing w:line="266" w:lineRule="auto" w:before="82"/>
        <w:ind w:left="1072"/>
        <w:jc w:val="both"/>
      </w:pPr>
      <w:r>
        <w:rPr/>
        <w:t>to other countries. The gross enrolment ratio </w:t>
      </w:r>
      <w:r>
        <w:rPr/>
        <w:t>(GER) for higher education currently is around 10 per cent whereas it is 25 per cent for many other developing </w:t>
      </w:r>
      <w:r>
        <w:rPr>
          <w:spacing w:val="-2"/>
        </w:rPr>
        <w:t>countries.</w:t>
      </w:r>
      <w:r>
        <w:rPr>
          <w:spacing w:val="-12"/>
        </w:rPr>
        <w:t> </w:t>
      </w:r>
      <w:r>
        <w:rPr>
          <w:spacing w:val="-2"/>
        </w:rPr>
        <w:t>Even</w:t>
      </w:r>
      <w:r>
        <w:rPr>
          <w:spacing w:val="-12"/>
        </w:rPr>
        <w:t> </w:t>
      </w:r>
      <w:r>
        <w:rPr>
          <w:spacing w:val="-2"/>
        </w:rPr>
        <w:t>South-east</w:t>
      </w:r>
      <w:r>
        <w:rPr>
          <w:spacing w:val="-12"/>
        </w:rPr>
        <w:t> </w:t>
      </w:r>
      <w:r>
        <w:rPr>
          <w:spacing w:val="-2"/>
        </w:rPr>
        <w:t>Asian</w:t>
      </w:r>
      <w:r>
        <w:rPr>
          <w:spacing w:val="-11"/>
        </w:rPr>
        <w:t> </w:t>
      </w:r>
      <w:r>
        <w:rPr>
          <w:spacing w:val="-2"/>
        </w:rPr>
        <w:t>countries</w:t>
      </w:r>
      <w:r>
        <w:rPr>
          <w:spacing w:val="-12"/>
        </w:rPr>
        <w:t> </w:t>
      </w:r>
      <w:r>
        <w:rPr>
          <w:spacing w:val="-2"/>
        </w:rPr>
        <w:t>show</w:t>
      </w:r>
      <w:r>
        <w:rPr>
          <w:spacing w:val="-12"/>
        </w:rPr>
        <w:t> </w:t>
      </w:r>
      <w:r>
        <w:rPr>
          <w:spacing w:val="-2"/>
        </w:rPr>
        <w:t>much </w:t>
      </w:r>
      <w:r>
        <w:rPr/>
        <w:t>higher</w:t>
      </w:r>
      <w:r>
        <w:rPr>
          <w:spacing w:val="-5"/>
        </w:rPr>
        <w:t> </w:t>
      </w:r>
      <w:r>
        <w:rPr/>
        <w:t>enrolment:</w:t>
      </w:r>
      <w:r>
        <w:rPr>
          <w:spacing w:val="-5"/>
        </w:rPr>
        <w:t> </w:t>
      </w:r>
      <w:r>
        <w:rPr/>
        <w:t>Philippines</w:t>
      </w:r>
      <w:r>
        <w:rPr>
          <w:spacing w:val="-5"/>
        </w:rPr>
        <w:t> </w:t>
      </w:r>
      <w:r>
        <w:rPr/>
        <w:t>(31</w:t>
      </w:r>
      <w:r>
        <w:rPr>
          <w:spacing w:val="-5"/>
        </w:rPr>
        <w:t> </w:t>
      </w:r>
      <w:r>
        <w:rPr/>
        <w:t>per</w:t>
      </w:r>
      <w:r>
        <w:rPr>
          <w:spacing w:val="-5"/>
        </w:rPr>
        <w:t> </w:t>
      </w:r>
      <w:r>
        <w:rPr/>
        <w:t>cent),</w:t>
      </w:r>
      <w:r>
        <w:rPr>
          <w:spacing w:val="-11"/>
        </w:rPr>
        <w:t> </w:t>
      </w:r>
      <w:r>
        <w:rPr/>
        <w:t>Thailand </w:t>
      </w:r>
      <w:r>
        <w:rPr>
          <w:spacing w:val="-2"/>
        </w:rPr>
        <w:t>(19</w:t>
      </w:r>
      <w:r>
        <w:rPr>
          <w:spacing w:val="-12"/>
        </w:rPr>
        <w:t> </w:t>
      </w:r>
      <w:r>
        <w:rPr>
          <w:spacing w:val="-2"/>
        </w:rPr>
        <w:t>per</w:t>
      </w:r>
      <w:r>
        <w:rPr>
          <w:spacing w:val="-12"/>
        </w:rPr>
        <w:t> </w:t>
      </w:r>
      <w:r>
        <w:rPr>
          <w:spacing w:val="-2"/>
        </w:rPr>
        <w:t>cent),</w:t>
      </w:r>
      <w:r>
        <w:rPr>
          <w:spacing w:val="-11"/>
        </w:rPr>
        <w:t> </w:t>
      </w:r>
      <w:r>
        <w:rPr>
          <w:spacing w:val="-2"/>
        </w:rPr>
        <w:t>Malaysia</w:t>
      </w:r>
      <w:r>
        <w:rPr>
          <w:spacing w:val="-12"/>
        </w:rPr>
        <w:t> </w:t>
      </w:r>
      <w:r>
        <w:rPr>
          <w:spacing w:val="-2"/>
        </w:rPr>
        <w:t>(27</w:t>
      </w:r>
      <w:r>
        <w:rPr>
          <w:spacing w:val="-12"/>
        </w:rPr>
        <w:t> </w:t>
      </w:r>
      <w:r>
        <w:rPr>
          <w:spacing w:val="-2"/>
        </w:rPr>
        <w:t>per</w:t>
      </w:r>
      <w:r>
        <w:rPr>
          <w:spacing w:val="-11"/>
        </w:rPr>
        <w:t> </w:t>
      </w:r>
      <w:r>
        <w:rPr>
          <w:spacing w:val="-2"/>
        </w:rPr>
        <w:t>cent)</w:t>
      </w:r>
      <w:r>
        <w:rPr>
          <w:spacing w:val="-12"/>
        </w:rPr>
        <w:t> </w:t>
      </w:r>
      <w:r>
        <w:rPr>
          <w:spacing w:val="-2"/>
        </w:rPr>
        <w:t>and</w:t>
      </w:r>
      <w:r>
        <w:rPr>
          <w:spacing w:val="-12"/>
        </w:rPr>
        <w:t> </w:t>
      </w:r>
      <w:r>
        <w:rPr>
          <w:spacing w:val="-2"/>
        </w:rPr>
        <w:t>China</w:t>
      </w:r>
      <w:r>
        <w:rPr>
          <w:spacing w:val="-11"/>
        </w:rPr>
        <w:t> </w:t>
      </w:r>
      <w:r>
        <w:rPr>
          <w:spacing w:val="-2"/>
        </w:rPr>
        <w:t>(13</w:t>
      </w:r>
      <w:r>
        <w:rPr>
          <w:spacing w:val="-12"/>
        </w:rPr>
        <w:t> </w:t>
      </w:r>
      <w:r>
        <w:rPr>
          <w:spacing w:val="-2"/>
        </w:rPr>
        <w:t>per cent).</w:t>
      </w:r>
      <w:r>
        <w:rPr>
          <w:spacing w:val="-12"/>
        </w:rPr>
        <w:t> </w:t>
      </w:r>
      <w:r>
        <w:rPr>
          <w:spacing w:val="-2"/>
        </w:rPr>
        <w:t>The</w:t>
      </w:r>
      <w:r>
        <w:rPr>
          <w:spacing w:val="-12"/>
        </w:rPr>
        <w:t> </w:t>
      </w:r>
      <w:r>
        <w:rPr>
          <w:spacing w:val="-2"/>
        </w:rPr>
        <w:t>enrolment</w:t>
      </w:r>
      <w:r>
        <w:rPr>
          <w:spacing w:val="-11"/>
        </w:rPr>
        <w:t> </w:t>
      </w:r>
      <w:r>
        <w:rPr>
          <w:spacing w:val="-2"/>
        </w:rPr>
        <w:t>figure</w:t>
      </w:r>
      <w:r>
        <w:rPr>
          <w:spacing w:val="-9"/>
        </w:rPr>
        <w:t> </w:t>
      </w:r>
      <w:r>
        <w:rPr>
          <w:spacing w:val="-2"/>
        </w:rPr>
        <w:t>for</w:t>
      </w:r>
      <w:r>
        <w:rPr>
          <w:spacing w:val="-9"/>
        </w:rPr>
        <w:t> </w:t>
      </w:r>
      <w:r>
        <w:rPr>
          <w:spacing w:val="-2"/>
        </w:rPr>
        <w:t>the</w:t>
      </w:r>
      <w:r>
        <w:rPr>
          <w:spacing w:val="-9"/>
        </w:rPr>
        <w:t> </w:t>
      </w:r>
      <w:r>
        <w:rPr>
          <w:spacing w:val="-2"/>
        </w:rPr>
        <w:t>USA</w:t>
      </w:r>
      <w:r>
        <w:rPr>
          <w:spacing w:val="-9"/>
        </w:rPr>
        <w:t> </w:t>
      </w:r>
      <w:r>
        <w:rPr>
          <w:spacing w:val="-2"/>
        </w:rPr>
        <w:t>is</w:t>
      </w:r>
      <w:r>
        <w:rPr>
          <w:spacing w:val="-9"/>
        </w:rPr>
        <w:t> </w:t>
      </w:r>
      <w:r>
        <w:rPr>
          <w:spacing w:val="-2"/>
        </w:rPr>
        <w:t>81</w:t>
      </w:r>
      <w:r>
        <w:rPr>
          <w:spacing w:val="-9"/>
        </w:rPr>
        <w:t> </w:t>
      </w:r>
      <w:r>
        <w:rPr>
          <w:spacing w:val="-2"/>
        </w:rPr>
        <w:t>per</w:t>
      </w:r>
      <w:r>
        <w:rPr>
          <w:spacing w:val="-9"/>
        </w:rPr>
        <w:t> </w:t>
      </w:r>
      <w:r>
        <w:rPr>
          <w:spacing w:val="-2"/>
        </w:rPr>
        <w:t>cent, 54</w:t>
      </w:r>
      <w:r>
        <w:rPr>
          <w:spacing w:val="-14"/>
        </w:rPr>
        <w:t> </w:t>
      </w:r>
      <w:r>
        <w:rPr>
          <w:spacing w:val="-2"/>
        </w:rPr>
        <w:t>per</w:t>
      </w:r>
      <w:r>
        <w:rPr>
          <w:spacing w:val="-12"/>
        </w:rPr>
        <w:t> </w:t>
      </w:r>
      <w:r>
        <w:rPr>
          <w:spacing w:val="-2"/>
        </w:rPr>
        <w:t>cent</w:t>
      </w:r>
      <w:r>
        <w:rPr>
          <w:spacing w:val="-12"/>
        </w:rPr>
        <w:t> </w:t>
      </w:r>
      <w:r>
        <w:rPr>
          <w:spacing w:val="-2"/>
        </w:rPr>
        <w:t>in</w:t>
      </w:r>
      <w:r>
        <w:rPr>
          <w:spacing w:val="-11"/>
        </w:rPr>
        <w:t> </w:t>
      </w:r>
      <w:r>
        <w:rPr>
          <w:spacing w:val="-2"/>
        </w:rPr>
        <w:t>the</w:t>
      </w:r>
      <w:r>
        <w:rPr>
          <w:spacing w:val="-12"/>
        </w:rPr>
        <w:t> </w:t>
      </w:r>
      <w:r>
        <w:rPr>
          <w:spacing w:val="-2"/>
        </w:rPr>
        <w:t>UK</w:t>
      </w:r>
      <w:r>
        <w:rPr>
          <w:spacing w:val="-12"/>
        </w:rPr>
        <w:t> </w:t>
      </w:r>
      <w:r>
        <w:rPr>
          <w:spacing w:val="-2"/>
        </w:rPr>
        <w:t>and</w:t>
      </w:r>
      <w:r>
        <w:rPr>
          <w:spacing w:val="-12"/>
        </w:rPr>
        <w:t> </w:t>
      </w:r>
      <w:r>
        <w:rPr>
          <w:spacing w:val="-2"/>
        </w:rPr>
        <w:t>49</w:t>
      </w:r>
      <w:r>
        <w:rPr>
          <w:spacing w:val="-11"/>
        </w:rPr>
        <w:t> </w:t>
      </w:r>
      <w:r>
        <w:rPr>
          <w:spacing w:val="-2"/>
        </w:rPr>
        <w:t>per</w:t>
      </w:r>
      <w:r>
        <w:rPr>
          <w:spacing w:val="-12"/>
        </w:rPr>
        <w:t> </w:t>
      </w:r>
      <w:r>
        <w:rPr>
          <w:spacing w:val="-2"/>
        </w:rPr>
        <w:t>cent</w:t>
      </w:r>
      <w:r>
        <w:rPr>
          <w:spacing w:val="-12"/>
        </w:rPr>
        <w:t> </w:t>
      </w:r>
      <w:r>
        <w:rPr>
          <w:spacing w:val="-2"/>
        </w:rPr>
        <w:t>in</w:t>
      </w:r>
      <w:r>
        <w:rPr>
          <w:spacing w:val="-12"/>
        </w:rPr>
        <w:t> </w:t>
      </w:r>
      <w:r>
        <w:rPr>
          <w:spacing w:val="-2"/>
        </w:rPr>
        <w:t>Japan.</w:t>
      </w:r>
      <w:r>
        <w:rPr>
          <w:spacing w:val="-11"/>
        </w:rPr>
        <w:t> </w:t>
      </w:r>
      <w:r>
        <w:rPr>
          <w:spacing w:val="-2"/>
        </w:rPr>
        <w:t>Various </w:t>
      </w:r>
      <w:r>
        <w:rPr/>
        <w:t>committees that have examined the higher education scenario</w:t>
      </w:r>
      <w:r>
        <w:rPr>
          <w:spacing w:val="40"/>
        </w:rPr>
        <w:t> </w:t>
      </w:r>
      <w:r>
        <w:rPr/>
        <w:t>in</w:t>
      </w:r>
      <w:r>
        <w:rPr>
          <w:spacing w:val="40"/>
        </w:rPr>
        <w:t> </w:t>
      </w:r>
      <w:r>
        <w:rPr/>
        <w:t>India</w:t>
      </w:r>
      <w:r>
        <w:rPr>
          <w:spacing w:val="40"/>
        </w:rPr>
        <w:t> </w:t>
      </w:r>
      <w:r>
        <w:rPr/>
        <w:t>have</w:t>
      </w:r>
      <w:r>
        <w:rPr>
          <w:spacing w:val="40"/>
        </w:rPr>
        <w:t> </w:t>
      </w:r>
      <w:r>
        <w:rPr/>
        <w:t>recommended</w:t>
      </w:r>
      <w:r>
        <w:rPr>
          <w:spacing w:val="40"/>
        </w:rPr>
        <w:t> </w:t>
      </w:r>
      <w:r>
        <w:rPr/>
        <w:t>an</w:t>
      </w:r>
      <w:r>
        <w:rPr>
          <w:spacing w:val="40"/>
        </w:rPr>
        <w:t> </w:t>
      </w:r>
      <w:r>
        <w:rPr/>
        <w:t>increase in the GER to at least 20 per cent. For instance, the CABE</w:t>
      </w:r>
      <w:r>
        <w:rPr>
          <w:spacing w:val="-5"/>
        </w:rPr>
        <w:t> </w:t>
      </w:r>
      <w:r>
        <w:rPr/>
        <w:t>Committee</w:t>
      </w:r>
      <w:r>
        <w:rPr>
          <w:spacing w:val="-5"/>
        </w:rPr>
        <w:t> </w:t>
      </w:r>
      <w:r>
        <w:rPr/>
        <w:t>on</w:t>
      </w:r>
      <w:r>
        <w:rPr>
          <w:spacing w:val="-5"/>
        </w:rPr>
        <w:t> </w:t>
      </w:r>
      <w:r>
        <w:rPr/>
        <w:t>Financing</w:t>
      </w:r>
      <w:r>
        <w:rPr>
          <w:spacing w:val="-5"/>
        </w:rPr>
        <w:t> </w:t>
      </w:r>
      <w:r>
        <w:rPr/>
        <w:t>of</w:t>
      </w:r>
      <w:r>
        <w:rPr>
          <w:spacing w:val="-5"/>
        </w:rPr>
        <w:t> </w:t>
      </w:r>
      <w:r>
        <w:rPr/>
        <w:t>Higher</w:t>
      </w:r>
      <w:r>
        <w:rPr>
          <w:spacing w:val="-5"/>
        </w:rPr>
        <w:t> </w:t>
      </w:r>
      <w:r>
        <w:rPr/>
        <w:t>Education </w:t>
      </w:r>
      <w:r>
        <w:rPr>
          <w:spacing w:val="-2"/>
        </w:rPr>
        <w:t>concluded</w:t>
      </w:r>
      <w:r>
        <w:rPr>
          <w:spacing w:val="-7"/>
        </w:rPr>
        <w:t> </w:t>
      </w:r>
      <w:r>
        <w:rPr>
          <w:spacing w:val="-2"/>
        </w:rPr>
        <w:t>on</w:t>
      </w:r>
      <w:r>
        <w:rPr>
          <w:spacing w:val="-7"/>
        </w:rPr>
        <w:t> </w:t>
      </w:r>
      <w:r>
        <w:rPr>
          <w:spacing w:val="-2"/>
        </w:rPr>
        <w:t>the</w:t>
      </w:r>
      <w:r>
        <w:rPr>
          <w:spacing w:val="-7"/>
        </w:rPr>
        <w:t> </w:t>
      </w:r>
      <w:r>
        <w:rPr>
          <w:spacing w:val="-2"/>
        </w:rPr>
        <w:t>basis</w:t>
      </w:r>
      <w:r>
        <w:rPr>
          <w:spacing w:val="-7"/>
        </w:rPr>
        <w:t> </w:t>
      </w:r>
      <w:r>
        <w:rPr>
          <w:spacing w:val="-2"/>
        </w:rPr>
        <w:t>of</w:t>
      </w:r>
      <w:r>
        <w:rPr>
          <w:spacing w:val="-7"/>
        </w:rPr>
        <w:t> </w:t>
      </w:r>
      <w:r>
        <w:rPr>
          <w:spacing w:val="-2"/>
        </w:rPr>
        <w:t>international</w:t>
      </w:r>
      <w:r>
        <w:rPr>
          <w:spacing w:val="-7"/>
        </w:rPr>
        <w:t> </w:t>
      </w:r>
      <w:r>
        <w:rPr>
          <w:spacing w:val="-2"/>
        </w:rPr>
        <w:t>experience</w:t>
      </w:r>
      <w:r>
        <w:rPr>
          <w:spacing w:val="-7"/>
        </w:rPr>
        <w:t> </w:t>
      </w:r>
      <w:r>
        <w:rPr>
          <w:spacing w:val="-2"/>
        </w:rPr>
        <w:t>that </w:t>
      </w:r>
      <w:r>
        <w:rPr/>
        <w:t>an</w:t>
      </w:r>
      <w:r>
        <w:rPr>
          <w:spacing w:val="-4"/>
        </w:rPr>
        <w:t> </w:t>
      </w:r>
      <w:r>
        <w:rPr/>
        <w:t>enrolment</w:t>
      </w:r>
      <w:r>
        <w:rPr>
          <w:spacing w:val="-4"/>
        </w:rPr>
        <w:t> </w:t>
      </w:r>
      <w:r>
        <w:rPr/>
        <w:t>rate</w:t>
      </w:r>
      <w:r>
        <w:rPr>
          <w:spacing w:val="-4"/>
        </w:rPr>
        <w:t> </w:t>
      </w:r>
      <w:r>
        <w:rPr/>
        <w:t>of</w:t>
      </w:r>
      <w:r>
        <w:rPr>
          <w:spacing w:val="-4"/>
        </w:rPr>
        <w:t> </w:t>
      </w:r>
      <w:r>
        <w:rPr/>
        <w:t>20</w:t>
      </w:r>
      <w:r>
        <w:rPr>
          <w:spacing w:val="-4"/>
        </w:rPr>
        <w:t> </w:t>
      </w:r>
      <w:r>
        <w:rPr/>
        <w:t>per</w:t>
      </w:r>
      <w:r>
        <w:rPr>
          <w:spacing w:val="-4"/>
        </w:rPr>
        <w:t> </w:t>
      </w:r>
      <w:r>
        <w:rPr/>
        <w:t>cent</w:t>
      </w:r>
      <w:r>
        <w:rPr>
          <w:spacing w:val="-4"/>
        </w:rPr>
        <w:t> </w:t>
      </w:r>
      <w:r>
        <w:rPr/>
        <w:t>or</w:t>
      </w:r>
      <w:r>
        <w:rPr>
          <w:spacing w:val="-4"/>
        </w:rPr>
        <w:t> </w:t>
      </w:r>
      <w:r>
        <w:rPr/>
        <w:t>more</w:t>
      </w:r>
      <w:r>
        <w:rPr>
          <w:spacing w:val="-4"/>
        </w:rPr>
        <w:t> </w:t>
      </w:r>
      <w:r>
        <w:rPr/>
        <w:t>is</w:t>
      </w:r>
      <w:r>
        <w:rPr>
          <w:spacing w:val="-4"/>
        </w:rPr>
        <w:t> </w:t>
      </w:r>
      <w:r>
        <w:rPr/>
        <w:t>consistent with a turnaround in economic performance. If India has to achieve the target soon, it would imply more </w:t>
      </w:r>
      <w:r>
        <w:rPr>
          <w:spacing w:val="-4"/>
        </w:rPr>
        <w:t>than</w:t>
      </w:r>
      <w:r>
        <w:rPr>
          <w:spacing w:val="-6"/>
        </w:rPr>
        <w:t> </w:t>
      </w:r>
      <w:r>
        <w:rPr>
          <w:spacing w:val="-4"/>
        </w:rPr>
        <w:t>doubling</w:t>
      </w:r>
      <w:r>
        <w:rPr>
          <w:spacing w:val="-6"/>
        </w:rPr>
        <w:t> </w:t>
      </w:r>
      <w:r>
        <w:rPr>
          <w:spacing w:val="-4"/>
        </w:rPr>
        <w:t>the</w:t>
      </w:r>
      <w:r>
        <w:rPr>
          <w:spacing w:val="-6"/>
        </w:rPr>
        <w:t> </w:t>
      </w:r>
      <w:r>
        <w:rPr>
          <w:spacing w:val="-4"/>
        </w:rPr>
        <w:t>scale</w:t>
      </w:r>
      <w:r>
        <w:rPr>
          <w:spacing w:val="-6"/>
        </w:rPr>
        <w:t> </w:t>
      </w:r>
      <w:r>
        <w:rPr>
          <w:spacing w:val="-4"/>
        </w:rPr>
        <w:t>and</w:t>
      </w:r>
      <w:r>
        <w:rPr>
          <w:spacing w:val="-6"/>
        </w:rPr>
        <w:t> </w:t>
      </w:r>
      <w:r>
        <w:rPr>
          <w:spacing w:val="-4"/>
        </w:rPr>
        <w:t>size</w:t>
      </w:r>
      <w:r>
        <w:rPr>
          <w:spacing w:val="-6"/>
        </w:rPr>
        <w:t> </w:t>
      </w:r>
      <w:r>
        <w:rPr>
          <w:spacing w:val="-4"/>
        </w:rPr>
        <w:t>of</w:t>
      </w:r>
      <w:r>
        <w:rPr>
          <w:spacing w:val="-6"/>
        </w:rPr>
        <w:t> </w:t>
      </w:r>
      <w:r>
        <w:rPr>
          <w:spacing w:val="-4"/>
        </w:rPr>
        <w:t>the</w:t>
      </w:r>
      <w:r>
        <w:rPr>
          <w:spacing w:val="-6"/>
        </w:rPr>
        <w:t> </w:t>
      </w:r>
      <w:r>
        <w:rPr>
          <w:spacing w:val="-4"/>
        </w:rPr>
        <w:t>higher</w:t>
      </w:r>
      <w:r>
        <w:rPr>
          <w:spacing w:val="-6"/>
        </w:rPr>
        <w:t> </w:t>
      </w:r>
      <w:r>
        <w:rPr>
          <w:spacing w:val="-4"/>
        </w:rPr>
        <w:t>education </w:t>
      </w:r>
      <w:r>
        <w:rPr/>
        <w:t>system within the next 5 to 7 years.</w:t>
      </w:r>
    </w:p>
    <w:p>
      <w:pPr>
        <w:pStyle w:val="Heading8"/>
        <w:tabs>
          <w:tab w:pos="1983" w:val="left" w:leader="none"/>
          <w:tab w:pos="3196" w:val="left" w:leader="none"/>
          <w:tab w:pos="3914" w:val="left" w:leader="none"/>
          <w:tab w:pos="4742" w:val="left" w:leader="none"/>
        </w:tabs>
        <w:spacing w:line="242" w:lineRule="auto" w:before="158"/>
        <w:ind w:left="1244" w:right="1085" w:hanging="925"/>
      </w:pPr>
      <w:r>
        <w:rPr>
          <w:b w:val="0"/>
        </w:rPr>
        <w:br w:type="column"/>
      </w:r>
      <w:r>
        <w:rPr/>
        <w:t>Table</w:t>
      </w:r>
      <w:r>
        <w:rPr>
          <w:spacing w:val="-2"/>
        </w:rPr>
        <w:t> </w:t>
      </w:r>
      <w:r>
        <w:rPr/>
        <w:t>11:</w:t>
      </w:r>
      <w:r>
        <w:rPr>
          <w:spacing w:val="-2"/>
        </w:rPr>
        <w:t> </w:t>
      </w:r>
      <w:r>
        <w:rPr>
          <w:color w:val="2E614A"/>
        </w:rPr>
        <w:t>Gross</w:t>
        <w:tab/>
      </w:r>
      <w:r>
        <w:rPr>
          <w:color w:val="2E614A"/>
          <w:spacing w:val="-2"/>
        </w:rPr>
        <w:t>Enrolment</w:t>
      </w:r>
      <w:r>
        <w:rPr>
          <w:color w:val="2E614A"/>
        </w:rPr>
        <w:tab/>
      </w:r>
      <w:r>
        <w:rPr>
          <w:color w:val="2E614A"/>
          <w:spacing w:val="-4"/>
        </w:rPr>
        <w:t>Ratio</w:t>
      </w:r>
      <w:r>
        <w:rPr>
          <w:color w:val="2E614A"/>
        </w:rPr>
        <w:tab/>
      </w:r>
      <w:r>
        <w:rPr>
          <w:color w:val="2E614A"/>
          <w:spacing w:val="-4"/>
        </w:rPr>
        <w:t>(GER)</w:t>
      </w:r>
      <w:r>
        <w:rPr>
          <w:color w:val="2E614A"/>
        </w:rPr>
        <w:tab/>
      </w:r>
      <w:r>
        <w:rPr>
          <w:color w:val="2E614A"/>
          <w:spacing w:val="-14"/>
        </w:rPr>
        <w:t>for </w:t>
      </w:r>
      <w:r>
        <w:rPr>
          <w:color w:val="2E614A"/>
          <w:spacing w:val="-2"/>
        </w:rPr>
        <w:t>18-24</w:t>
      </w:r>
      <w:r>
        <w:rPr>
          <w:color w:val="2E614A"/>
          <w:spacing w:val="-13"/>
        </w:rPr>
        <w:t> </w:t>
      </w:r>
      <w:r>
        <w:rPr>
          <w:color w:val="2E614A"/>
          <w:spacing w:val="-2"/>
        </w:rPr>
        <w:t>years</w:t>
      </w:r>
      <w:r>
        <w:rPr>
          <w:color w:val="2E614A"/>
          <w:spacing w:val="-13"/>
        </w:rPr>
        <w:t> </w:t>
      </w:r>
      <w:r>
        <w:rPr>
          <w:color w:val="2E614A"/>
          <w:spacing w:val="-2"/>
        </w:rPr>
        <w:t>(in</w:t>
      </w:r>
      <w:r>
        <w:rPr>
          <w:color w:val="2E614A"/>
          <w:spacing w:val="-13"/>
        </w:rPr>
        <w:t> </w:t>
      </w:r>
      <w:r>
        <w:rPr>
          <w:color w:val="2E614A"/>
          <w:spacing w:val="-2"/>
        </w:rPr>
        <w:t>percentage)</w:t>
      </w:r>
    </w:p>
    <w:p>
      <w:pPr>
        <w:pStyle w:val="BodyText"/>
        <w:spacing w:before="1"/>
        <w:rPr>
          <w:b/>
          <w:sz w:val="10"/>
        </w:rPr>
      </w:pPr>
    </w:p>
    <w:tbl>
      <w:tblPr>
        <w:tblW w:w="0" w:type="auto"/>
        <w:jc w:val="left"/>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344"/>
        <w:gridCol w:w="2344"/>
      </w:tblGrid>
      <w:tr>
        <w:trPr>
          <w:trHeight w:val="321" w:hRule="atLeast"/>
        </w:trPr>
        <w:tc>
          <w:tcPr>
            <w:tcW w:w="2344" w:type="dxa"/>
            <w:shd w:val="clear" w:color="auto" w:fill="D0D5CD"/>
          </w:tcPr>
          <w:p>
            <w:pPr>
              <w:pStyle w:val="TableParagraph"/>
              <w:ind w:left="90"/>
              <w:rPr>
                <w:b/>
                <w:sz w:val="20"/>
              </w:rPr>
            </w:pPr>
            <w:r>
              <w:rPr>
                <w:b/>
                <w:spacing w:val="-4"/>
                <w:w w:val="95"/>
                <w:sz w:val="20"/>
              </w:rPr>
              <w:t>Year</w:t>
            </w:r>
          </w:p>
        </w:tc>
        <w:tc>
          <w:tcPr>
            <w:tcW w:w="2344" w:type="dxa"/>
            <w:shd w:val="clear" w:color="auto" w:fill="D0D5CD"/>
          </w:tcPr>
          <w:p>
            <w:pPr>
              <w:pStyle w:val="TableParagraph"/>
              <w:ind w:left="18" w:right="14"/>
              <w:jc w:val="center"/>
              <w:rPr>
                <w:b/>
                <w:sz w:val="20"/>
              </w:rPr>
            </w:pPr>
            <w:r>
              <w:rPr>
                <w:b/>
                <w:spacing w:val="-6"/>
                <w:sz w:val="20"/>
              </w:rPr>
              <w:t>Higher</w:t>
            </w:r>
            <w:r>
              <w:rPr>
                <w:b/>
                <w:spacing w:val="-5"/>
                <w:sz w:val="20"/>
              </w:rPr>
              <w:t> </w:t>
            </w:r>
            <w:r>
              <w:rPr>
                <w:b/>
                <w:spacing w:val="-2"/>
                <w:sz w:val="20"/>
              </w:rPr>
              <w:t>Education</w:t>
            </w:r>
          </w:p>
        </w:tc>
      </w:tr>
      <w:tr>
        <w:trPr>
          <w:trHeight w:val="321" w:hRule="atLeast"/>
        </w:trPr>
        <w:tc>
          <w:tcPr>
            <w:tcW w:w="2344" w:type="dxa"/>
            <w:shd w:val="clear" w:color="auto" w:fill="E9E9E9"/>
          </w:tcPr>
          <w:p>
            <w:pPr>
              <w:pStyle w:val="TableParagraph"/>
              <w:ind w:left="90"/>
              <w:rPr>
                <w:sz w:val="20"/>
              </w:rPr>
            </w:pPr>
            <w:r>
              <w:rPr>
                <w:spacing w:val="-2"/>
                <w:sz w:val="20"/>
              </w:rPr>
              <w:t>2001-</w:t>
            </w:r>
            <w:r>
              <w:rPr>
                <w:spacing w:val="-5"/>
                <w:sz w:val="20"/>
              </w:rPr>
              <w:t>02</w:t>
            </w:r>
          </w:p>
        </w:tc>
        <w:tc>
          <w:tcPr>
            <w:tcW w:w="2344" w:type="dxa"/>
            <w:shd w:val="clear" w:color="auto" w:fill="E9E9E9"/>
          </w:tcPr>
          <w:p>
            <w:pPr>
              <w:pStyle w:val="TableParagraph"/>
              <w:ind w:left="18"/>
              <w:jc w:val="center"/>
              <w:rPr>
                <w:sz w:val="20"/>
              </w:rPr>
            </w:pPr>
            <w:r>
              <w:rPr>
                <w:spacing w:val="-4"/>
                <w:sz w:val="20"/>
              </w:rPr>
              <w:t>8.07</w:t>
            </w:r>
          </w:p>
        </w:tc>
      </w:tr>
      <w:tr>
        <w:trPr>
          <w:trHeight w:val="321" w:hRule="atLeast"/>
        </w:trPr>
        <w:tc>
          <w:tcPr>
            <w:tcW w:w="2344" w:type="dxa"/>
            <w:shd w:val="clear" w:color="auto" w:fill="D0D5CD"/>
          </w:tcPr>
          <w:p>
            <w:pPr>
              <w:pStyle w:val="TableParagraph"/>
              <w:ind w:left="90"/>
              <w:rPr>
                <w:sz w:val="20"/>
              </w:rPr>
            </w:pPr>
            <w:r>
              <w:rPr>
                <w:spacing w:val="-2"/>
                <w:sz w:val="20"/>
              </w:rPr>
              <w:t>2002-</w:t>
            </w:r>
            <w:r>
              <w:rPr>
                <w:spacing w:val="-5"/>
                <w:sz w:val="20"/>
              </w:rPr>
              <w:t>03</w:t>
            </w:r>
          </w:p>
        </w:tc>
        <w:tc>
          <w:tcPr>
            <w:tcW w:w="2344" w:type="dxa"/>
            <w:shd w:val="clear" w:color="auto" w:fill="D0D5CD"/>
          </w:tcPr>
          <w:p>
            <w:pPr>
              <w:pStyle w:val="TableParagraph"/>
              <w:ind w:left="18"/>
              <w:jc w:val="center"/>
              <w:rPr>
                <w:sz w:val="20"/>
              </w:rPr>
            </w:pPr>
            <w:r>
              <w:rPr>
                <w:spacing w:val="-4"/>
                <w:sz w:val="20"/>
              </w:rPr>
              <w:t>8.97</w:t>
            </w:r>
          </w:p>
        </w:tc>
      </w:tr>
      <w:tr>
        <w:trPr>
          <w:trHeight w:val="321" w:hRule="atLeast"/>
        </w:trPr>
        <w:tc>
          <w:tcPr>
            <w:tcW w:w="2344" w:type="dxa"/>
            <w:shd w:val="clear" w:color="auto" w:fill="E9E9E9"/>
          </w:tcPr>
          <w:p>
            <w:pPr>
              <w:pStyle w:val="TableParagraph"/>
              <w:ind w:left="90"/>
              <w:rPr>
                <w:sz w:val="20"/>
              </w:rPr>
            </w:pPr>
            <w:r>
              <w:rPr>
                <w:spacing w:val="-2"/>
                <w:sz w:val="20"/>
              </w:rPr>
              <w:t>2003-</w:t>
            </w:r>
            <w:r>
              <w:rPr>
                <w:spacing w:val="-5"/>
                <w:sz w:val="20"/>
              </w:rPr>
              <w:t>04</w:t>
            </w:r>
          </w:p>
        </w:tc>
        <w:tc>
          <w:tcPr>
            <w:tcW w:w="2344" w:type="dxa"/>
            <w:shd w:val="clear" w:color="auto" w:fill="E9E9E9"/>
          </w:tcPr>
          <w:p>
            <w:pPr>
              <w:pStyle w:val="TableParagraph"/>
              <w:ind w:left="18"/>
              <w:jc w:val="center"/>
              <w:rPr>
                <w:sz w:val="20"/>
              </w:rPr>
            </w:pPr>
            <w:r>
              <w:rPr>
                <w:spacing w:val="-4"/>
                <w:sz w:val="20"/>
              </w:rPr>
              <w:t>9.21</w:t>
            </w:r>
          </w:p>
        </w:tc>
      </w:tr>
      <w:tr>
        <w:trPr>
          <w:trHeight w:val="321" w:hRule="atLeast"/>
        </w:trPr>
        <w:tc>
          <w:tcPr>
            <w:tcW w:w="2344" w:type="dxa"/>
            <w:shd w:val="clear" w:color="auto" w:fill="D0D5CD"/>
          </w:tcPr>
          <w:p>
            <w:pPr>
              <w:pStyle w:val="TableParagraph"/>
              <w:ind w:left="90"/>
              <w:rPr>
                <w:sz w:val="20"/>
              </w:rPr>
            </w:pPr>
            <w:r>
              <w:rPr>
                <w:spacing w:val="-2"/>
                <w:sz w:val="20"/>
              </w:rPr>
              <w:t>2004-</w:t>
            </w:r>
            <w:r>
              <w:rPr>
                <w:spacing w:val="-5"/>
                <w:sz w:val="20"/>
              </w:rPr>
              <w:t>05</w:t>
            </w:r>
          </w:p>
        </w:tc>
        <w:tc>
          <w:tcPr>
            <w:tcW w:w="2344" w:type="dxa"/>
            <w:shd w:val="clear" w:color="auto" w:fill="D0D5CD"/>
          </w:tcPr>
          <w:p>
            <w:pPr>
              <w:pStyle w:val="TableParagraph"/>
              <w:ind w:left="18"/>
              <w:jc w:val="center"/>
              <w:rPr>
                <w:sz w:val="20"/>
              </w:rPr>
            </w:pPr>
            <w:r>
              <w:rPr>
                <w:spacing w:val="-4"/>
                <w:sz w:val="20"/>
              </w:rPr>
              <w:t>9.97</w:t>
            </w:r>
          </w:p>
        </w:tc>
      </w:tr>
    </w:tbl>
    <w:p>
      <w:pPr>
        <w:spacing w:before="53"/>
        <w:ind w:left="319" w:right="0" w:firstLine="0"/>
        <w:jc w:val="both"/>
        <w:rPr>
          <w:sz w:val="16"/>
        </w:rPr>
      </w:pPr>
      <w:r>
        <w:rPr>
          <w:i/>
          <w:w w:val="85"/>
          <w:sz w:val="16"/>
        </w:rPr>
        <w:t>Source:</w:t>
      </w:r>
      <w:r>
        <w:rPr>
          <w:i/>
          <w:spacing w:val="-5"/>
          <w:sz w:val="16"/>
        </w:rPr>
        <w:t> </w:t>
      </w:r>
      <w:r>
        <w:rPr>
          <w:spacing w:val="-4"/>
          <w:sz w:val="16"/>
        </w:rPr>
        <w:t>MHRD</w:t>
      </w:r>
    </w:p>
    <w:p>
      <w:pPr>
        <w:pStyle w:val="BodyText"/>
        <w:rPr>
          <w:sz w:val="16"/>
        </w:rPr>
      </w:pPr>
    </w:p>
    <w:p>
      <w:pPr>
        <w:pStyle w:val="BodyText"/>
        <w:spacing w:before="85"/>
        <w:rPr>
          <w:sz w:val="16"/>
        </w:rPr>
      </w:pPr>
    </w:p>
    <w:p>
      <w:pPr>
        <w:pStyle w:val="BodyText"/>
        <w:spacing w:line="266" w:lineRule="auto"/>
        <w:ind w:left="319" w:right="1085"/>
        <w:jc w:val="both"/>
      </w:pPr>
      <w:r>
        <w:rPr>
          <w:b/>
        </w:rPr>
        <w:t>Access:</w:t>
      </w:r>
      <w:r>
        <w:rPr>
          <w:b/>
          <w:spacing w:val="-14"/>
        </w:rPr>
        <w:t> </w:t>
      </w:r>
      <w:r>
        <w:rPr/>
        <w:t>With</w:t>
      </w:r>
      <w:r>
        <w:rPr>
          <w:spacing w:val="-14"/>
        </w:rPr>
        <w:t> </w:t>
      </w:r>
      <w:r>
        <w:rPr/>
        <w:t>high</w:t>
      </w:r>
      <w:r>
        <w:rPr>
          <w:spacing w:val="-14"/>
        </w:rPr>
        <w:t> </w:t>
      </w:r>
      <w:r>
        <w:rPr/>
        <w:t>disparities,</w:t>
      </w:r>
      <w:r>
        <w:rPr>
          <w:spacing w:val="-13"/>
        </w:rPr>
        <w:t> </w:t>
      </w:r>
      <w:r>
        <w:rPr/>
        <w:t>inclusive</w:t>
      </w:r>
      <w:r>
        <w:rPr>
          <w:spacing w:val="-14"/>
        </w:rPr>
        <w:t> </w:t>
      </w:r>
      <w:r>
        <w:rPr/>
        <w:t>education</w:t>
      </w:r>
      <w:r>
        <w:rPr>
          <w:spacing w:val="-14"/>
        </w:rPr>
        <w:t> </w:t>
      </w:r>
      <w:r>
        <w:rPr/>
        <w:t>has </w:t>
      </w:r>
      <w:r>
        <w:rPr>
          <w:spacing w:val="-4"/>
        </w:rPr>
        <w:t>remained</w:t>
      </w:r>
      <w:r>
        <w:rPr>
          <w:spacing w:val="-10"/>
        </w:rPr>
        <w:t> </w:t>
      </w:r>
      <w:r>
        <w:rPr>
          <w:spacing w:val="-4"/>
        </w:rPr>
        <w:t>an</w:t>
      </w:r>
      <w:r>
        <w:rPr>
          <w:spacing w:val="-10"/>
        </w:rPr>
        <w:t> </w:t>
      </w:r>
      <w:r>
        <w:rPr>
          <w:spacing w:val="-4"/>
        </w:rPr>
        <w:t>elusive</w:t>
      </w:r>
      <w:r>
        <w:rPr>
          <w:spacing w:val="-10"/>
        </w:rPr>
        <w:t> </w:t>
      </w:r>
      <w:r>
        <w:rPr>
          <w:spacing w:val="-4"/>
        </w:rPr>
        <w:t>target.</w:t>
      </w:r>
      <w:r>
        <w:rPr>
          <w:spacing w:val="-9"/>
        </w:rPr>
        <w:t> </w:t>
      </w:r>
      <w:r>
        <w:rPr>
          <w:spacing w:val="-4"/>
        </w:rPr>
        <w:t>Inter-caste,</w:t>
      </w:r>
      <w:r>
        <w:rPr>
          <w:spacing w:val="-10"/>
        </w:rPr>
        <w:t> </w:t>
      </w:r>
      <w:r>
        <w:rPr>
          <w:spacing w:val="-4"/>
        </w:rPr>
        <w:t>male-female</w:t>
      </w:r>
      <w:r>
        <w:rPr>
          <w:spacing w:val="-10"/>
        </w:rPr>
        <w:t> </w:t>
      </w:r>
      <w:r>
        <w:rPr>
          <w:spacing w:val="-4"/>
        </w:rPr>
        <w:t>and regional</w:t>
      </w:r>
      <w:r>
        <w:rPr>
          <w:spacing w:val="-10"/>
        </w:rPr>
        <w:t> </w:t>
      </w:r>
      <w:r>
        <w:rPr>
          <w:spacing w:val="-4"/>
        </w:rPr>
        <w:t>disparities</w:t>
      </w:r>
      <w:r>
        <w:rPr>
          <w:spacing w:val="-9"/>
        </w:rPr>
        <w:t> </w:t>
      </w:r>
      <w:r>
        <w:rPr>
          <w:spacing w:val="-4"/>
        </w:rPr>
        <w:t>in</w:t>
      </w:r>
      <w:r>
        <w:rPr>
          <w:spacing w:val="-10"/>
        </w:rPr>
        <w:t> </w:t>
      </w:r>
      <w:r>
        <w:rPr>
          <w:spacing w:val="-4"/>
        </w:rPr>
        <w:t>enrolment</w:t>
      </w:r>
      <w:r>
        <w:rPr>
          <w:spacing w:val="-9"/>
        </w:rPr>
        <w:t> </w:t>
      </w:r>
      <w:r>
        <w:rPr>
          <w:spacing w:val="-4"/>
        </w:rPr>
        <w:t>still</w:t>
      </w:r>
      <w:r>
        <w:rPr>
          <w:spacing w:val="-10"/>
        </w:rPr>
        <w:t> </w:t>
      </w:r>
      <w:r>
        <w:rPr>
          <w:spacing w:val="-4"/>
        </w:rPr>
        <w:t>remain</w:t>
      </w:r>
      <w:r>
        <w:rPr>
          <w:spacing w:val="-9"/>
        </w:rPr>
        <w:t> </w:t>
      </w:r>
      <w:r>
        <w:rPr>
          <w:spacing w:val="-4"/>
        </w:rPr>
        <w:t>prominent. For</w:t>
      </w:r>
      <w:r>
        <w:rPr>
          <w:spacing w:val="-8"/>
        </w:rPr>
        <w:t> </w:t>
      </w:r>
      <w:r>
        <w:rPr>
          <w:spacing w:val="-4"/>
        </w:rPr>
        <w:t>example,</w:t>
      </w:r>
      <w:r>
        <w:rPr>
          <w:spacing w:val="-8"/>
        </w:rPr>
        <w:t> </w:t>
      </w:r>
      <w:r>
        <w:rPr>
          <w:spacing w:val="-4"/>
        </w:rPr>
        <w:t>while</w:t>
      </w:r>
      <w:r>
        <w:rPr>
          <w:spacing w:val="-8"/>
        </w:rPr>
        <w:t> </w:t>
      </w:r>
      <w:r>
        <w:rPr>
          <w:spacing w:val="-4"/>
        </w:rPr>
        <w:t>the</w:t>
      </w:r>
      <w:r>
        <w:rPr>
          <w:spacing w:val="-8"/>
        </w:rPr>
        <w:t> </w:t>
      </w:r>
      <w:r>
        <w:rPr>
          <w:spacing w:val="-4"/>
        </w:rPr>
        <w:t>gross</w:t>
      </w:r>
      <w:r>
        <w:rPr>
          <w:spacing w:val="-8"/>
        </w:rPr>
        <w:t> </w:t>
      </w:r>
      <w:r>
        <w:rPr>
          <w:spacing w:val="-4"/>
        </w:rPr>
        <w:t>enrolment</w:t>
      </w:r>
      <w:r>
        <w:rPr>
          <w:spacing w:val="-8"/>
        </w:rPr>
        <w:t> </w:t>
      </w:r>
      <w:r>
        <w:rPr>
          <w:spacing w:val="-4"/>
        </w:rPr>
        <w:t>ratio</w:t>
      </w:r>
      <w:r>
        <w:rPr>
          <w:spacing w:val="-8"/>
        </w:rPr>
        <w:t> </w:t>
      </w:r>
      <w:r>
        <w:rPr>
          <w:spacing w:val="-4"/>
        </w:rPr>
        <w:t>for</w:t>
      </w:r>
      <w:r>
        <w:rPr>
          <w:spacing w:val="-8"/>
        </w:rPr>
        <w:t> </w:t>
      </w:r>
      <w:r>
        <w:rPr>
          <w:spacing w:val="-4"/>
        </w:rPr>
        <w:t>people living</w:t>
      </w:r>
      <w:r>
        <w:rPr>
          <w:spacing w:val="-10"/>
        </w:rPr>
        <w:t> </w:t>
      </w:r>
      <w:r>
        <w:rPr>
          <w:spacing w:val="-4"/>
        </w:rPr>
        <w:t>in</w:t>
      </w:r>
      <w:r>
        <w:rPr>
          <w:spacing w:val="-10"/>
        </w:rPr>
        <w:t> </w:t>
      </w:r>
      <w:r>
        <w:rPr>
          <w:spacing w:val="-4"/>
        </w:rPr>
        <w:t>urban</w:t>
      </w:r>
      <w:r>
        <w:rPr>
          <w:spacing w:val="-10"/>
        </w:rPr>
        <w:t> </w:t>
      </w:r>
      <w:r>
        <w:rPr>
          <w:spacing w:val="-4"/>
        </w:rPr>
        <w:t>areas</w:t>
      </w:r>
      <w:r>
        <w:rPr>
          <w:spacing w:val="-9"/>
        </w:rPr>
        <w:t> </w:t>
      </w:r>
      <w:r>
        <w:rPr>
          <w:spacing w:val="-4"/>
        </w:rPr>
        <w:t>was</w:t>
      </w:r>
      <w:r>
        <w:rPr>
          <w:spacing w:val="-10"/>
        </w:rPr>
        <w:t> </w:t>
      </w:r>
      <w:r>
        <w:rPr>
          <w:spacing w:val="-4"/>
        </w:rPr>
        <w:t>almost</w:t>
      </w:r>
      <w:r>
        <w:rPr>
          <w:spacing w:val="-10"/>
        </w:rPr>
        <w:t> </w:t>
      </w:r>
      <w:r>
        <w:rPr>
          <w:spacing w:val="-4"/>
        </w:rPr>
        <w:t>20</w:t>
      </w:r>
      <w:r>
        <w:rPr>
          <w:spacing w:val="-10"/>
        </w:rPr>
        <w:t> </w:t>
      </w:r>
      <w:r>
        <w:rPr>
          <w:spacing w:val="-4"/>
        </w:rPr>
        <w:t>per</w:t>
      </w:r>
      <w:r>
        <w:rPr>
          <w:spacing w:val="-9"/>
        </w:rPr>
        <w:t> </w:t>
      </w:r>
      <w:r>
        <w:rPr>
          <w:spacing w:val="-4"/>
        </w:rPr>
        <w:t>cent,</w:t>
      </w:r>
      <w:r>
        <w:rPr>
          <w:spacing w:val="-10"/>
        </w:rPr>
        <w:t> </w:t>
      </w:r>
      <w:r>
        <w:rPr>
          <w:spacing w:val="-4"/>
        </w:rPr>
        <w:t>it</w:t>
      </w:r>
      <w:r>
        <w:rPr>
          <w:spacing w:val="-10"/>
        </w:rPr>
        <w:t> </w:t>
      </w:r>
      <w:r>
        <w:rPr>
          <w:spacing w:val="-4"/>
        </w:rPr>
        <w:t>was</w:t>
      </w:r>
      <w:r>
        <w:rPr>
          <w:spacing w:val="-10"/>
        </w:rPr>
        <w:t> </w:t>
      </w:r>
      <w:r>
        <w:rPr>
          <w:spacing w:val="-4"/>
        </w:rPr>
        <w:t>only </w:t>
      </w:r>
      <w:r>
        <w:rPr/>
        <w:t>6</w:t>
      </w:r>
      <w:r>
        <w:rPr>
          <w:spacing w:val="-11"/>
        </w:rPr>
        <w:t> </w:t>
      </w:r>
      <w:r>
        <w:rPr/>
        <w:t>per</w:t>
      </w:r>
      <w:r>
        <w:rPr>
          <w:spacing w:val="-11"/>
        </w:rPr>
        <w:t> </w:t>
      </w:r>
      <w:r>
        <w:rPr/>
        <w:t>cent</w:t>
      </w:r>
      <w:r>
        <w:rPr>
          <w:spacing w:val="-11"/>
        </w:rPr>
        <w:t> </w:t>
      </w:r>
      <w:r>
        <w:rPr/>
        <w:t>for</w:t>
      </w:r>
      <w:r>
        <w:rPr>
          <w:spacing w:val="-11"/>
        </w:rPr>
        <w:t> </w:t>
      </w:r>
      <w:r>
        <w:rPr/>
        <w:t>rural</w:t>
      </w:r>
      <w:r>
        <w:rPr>
          <w:spacing w:val="-11"/>
        </w:rPr>
        <w:t> </w:t>
      </w:r>
      <w:r>
        <w:rPr/>
        <w:t>areas.</w:t>
      </w:r>
      <w:r>
        <w:rPr>
          <w:spacing w:val="-11"/>
        </w:rPr>
        <w:t> </w:t>
      </w:r>
      <w:r>
        <w:rPr/>
        <w:t>Further,</w:t>
      </w:r>
      <w:r>
        <w:rPr>
          <w:spacing w:val="-11"/>
        </w:rPr>
        <w:t> </w:t>
      </w:r>
      <w:r>
        <w:rPr/>
        <w:t>the</w:t>
      </w:r>
      <w:r>
        <w:rPr>
          <w:spacing w:val="-11"/>
        </w:rPr>
        <w:t> </w:t>
      </w:r>
      <w:r>
        <w:rPr/>
        <w:t>gross</w:t>
      </w:r>
      <w:r>
        <w:rPr>
          <w:spacing w:val="-11"/>
        </w:rPr>
        <w:t> </w:t>
      </w:r>
      <w:r>
        <w:rPr/>
        <w:t>enrolment ration</w:t>
      </w:r>
      <w:r>
        <w:rPr>
          <w:spacing w:val="17"/>
        </w:rPr>
        <w:t> </w:t>
      </w:r>
      <w:r>
        <w:rPr/>
        <w:t>for</w:t>
      </w:r>
      <w:r>
        <w:rPr>
          <w:spacing w:val="18"/>
        </w:rPr>
        <w:t> </w:t>
      </w:r>
      <w:r>
        <w:rPr/>
        <w:t>Scheduled</w:t>
      </w:r>
      <w:r>
        <w:rPr>
          <w:spacing w:val="11"/>
        </w:rPr>
        <w:t> </w:t>
      </w:r>
      <w:r>
        <w:rPr/>
        <w:t>Tribes</w:t>
      </w:r>
      <w:r>
        <w:rPr>
          <w:spacing w:val="18"/>
        </w:rPr>
        <w:t> </w:t>
      </w:r>
      <w:r>
        <w:rPr/>
        <w:t>(STs),</w:t>
      </w:r>
      <w:r>
        <w:rPr>
          <w:spacing w:val="18"/>
        </w:rPr>
        <w:t> </w:t>
      </w:r>
      <w:r>
        <w:rPr/>
        <w:t>Scheduled</w:t>
      </w:r>
      <w:r>
        <w:rPr>
          <w:spacing w:val="18"/>
        </w:rPr>
        <w:t> </w:t>
      </w:r>
      <w:r>
        <w:rPr>
          <w:spacing w:val="-5"/>
        </w:rPr>
        <w:t>Castes</w:t>
      </w:r>
    </w:p>
    <w:p>
      <w:pPr>
        <w:spacing w:after="0" w:line="266" w:lineRule="auto"/>
        <w:jc w:val="both"/>
        <w:sectPr>
          <w:type w:val="continuous"/>
          <w:pgSz w:w="11910" w:h="16840"/>
          <w:pgMar w:header="0" w:footer="675" w:top="1920" w:bottom="280" w:left="0" w:right="0"/>
          <w:cols w:num="2" w:equalWidth="0">
            <w:col w:w="5766" w:space="40"/>
            <w:col w:w="6104"/>
          </w:cols>
        </w:sectPr>
      </w:pPr>
    </w:p>
    <w:p>
      <w:pPr>
        <w:pStyle w:val="BodyText"/>
        <w:spacing w:before="57"/>
        <w:ind w:left="1080"/>
        <w:jc w:val="both"/>
      </w:pPr>
      <w:r>
        <w:rPr>
          <w:spacing w:val="-2"/>
        </w:rPr>
        <w:t>(SCs)</w:t>
      </w:r>
      <w:r>
        <w:rPr>
          <w:spacing w:val="2"/>
        </w:rPr>
        <w:t> </w:t>
      </w:r>
      <w:r>
        <w:rPr>
          <w:spacing w:val="-2"/>
        </w:rPr>
        <w:t>and</w:t>
      </w:r>
      <w:r>
        <w:rPr>
          <w:spacing w:val="2"/>
        </w:rPr>
        <w:t> </w:t>
      </w:r>
      <w:r>
        <w:rPr>
          <w:spacing w:val="-2"/>
        </w:rPr>
        <w:t>Other</w:t>
      </w:r>
      <w:r>
        <w:rPr>
          <w:spacing w:val="3"/>
        </w:rPr>
        <w:t> </w:t>
      </w:r>
      <w:r>
        <w:rPr>
          <w:spacing w:val="-2"/>
        </w:rPr>
        <w:t>Backward</w:t>
      </w:r>
      <w:r>
        <w:rPr>
          <w:spacing w:val="2"/>
        </w:rPr>
        <w:t> </w:t>
      </w:r>
      <w:r>
        <w:rPr>
          <w:spacing w:val="-2"/>
        </w:rPr>
        <w:t>Classes</w:t>
      </w:r>
      <w:r>
        <w:rPr>
          <w:spacing w:val="2"/>
        </w:rPr>
        <w:t> </w:t>
      </w:r>
      <w:r>
        <w:rPr>
          <w:spacing w:val="-2"/>
        </w:rPr>
        <w:t>(OBCs)</w:t>
      </w:r>
      <w:r>
        <w:rPr>
          <w:spacing w:val="3"/>
        </w:rPr>
        <w:t> </w:t>
      </w:r>
      <w:r>
        <w:rPr>
          <w:spacing w:val="-2"/>
        </w:rPr>
        <w:t>was</w:t>
      </w:r>
      <w:r>
        <w:rPr>
          <w:spacing w:val="2"/>
        </w:rPr>
        <w:t> </w:t>
      </w:r>
      <w:r>
        <w:rPr>
          <w:spacing w:val="-2"/>
        </w:rPr>
        <w:t>6.57,</w:t>
      </w:r>
    </w:p>
    <w:p>
      <w:pPr>
        <w:pStyle w:val="BodyText"/>
        <w:spacing w:line="266" w:lineRule="auto" w:before="27"/>
        <w:ind w:left="1080"/>
      </w:pPr>
      <w:r>
        <w:rPr/>
        <w:t>6.52</w:t>
      </w:r>
      <w:r>
        <w:rPr>
          <w:spacing w:val="9"/>
        </w:rPr>
        <w:t> </w:t>
      </w:r>
      <w:r>
        <w:rPr/>
        <w:t>and</w:t>
      </w:r>
      <w:r>
        <w:rPr>
          <w:spacing w:val="9"/>
        </w:rPr>
        <w:t> </w:t>
      </w:r>
      <w:r>
        <w:rPr/>
        <w:t>8.77</w:t>
      </w:r>
      <w:r>
        <w:rPr>
          <w:spacing w:val="9"/>
        </w:rPr>
        <w:t> </w:t>
      </w:r>
      <w:r>
        <w:rPr/>
        <w:t>respectively,</w:t>
      </w:r>
      <w:r>
        <w:rPr>
          <w:spacing w:val="9"/>
        </w:rPr>
        <w:t> </w:t>
      </w:r>
      <w:r>
        <w:rPr/>
        <w:t>much</w:t>
      </w:r>
      <w:r>
        <w:rPr>
          <w:spacing w:val="9"/>
        </w:rPr>
        <w:t> </w:t>
      </w:r>
      <w:r>
        <w:rPr/>
        <w:t>lower</w:t>
      </w:r>
      <w:r>
        <w:rPr>
          <w:spacing w:val="9"/>
        </w:rPr>
        <w:t> </w:t>
      </w:r>
      <w:r>
        <w:rPr/>
        <w:t>than</w:t>
      </w:r>
      <w:r>
        <w:rPr>
          <w:spacing w:val="9"/>
        </w:rPr>
        <w:t> </w:t>
      </w:r>
      <w:r>
        <w:rPr/>
        <w:t>the</w:t>
      </w:r>
      <w:r>
        <w:rPr>
          <w:spacing w:val="9"/>
        </w:rPr>
        <w:t> </w:t>
      </w:r>
      <w:r>
        <w:rPr/>
        <w:t>all-</w:t>
      </w:r>
      <w:r>
        <w:rPr/>
        <w:t> India figure of 11.</w:t>
      </w:r>
    </w:p>
    <w:p>
      <w:pPr>
        <w:pStyle w:val="BodyText"/>
        <w:spacing w:before="26"/>
      </w:pPr>
    </w:p>
    <w:p>
      <w:pPr>
        <w:pStyle w:val="BodyText"/>
        <w:spacing w:line="266" w:lineRule="auto"/>
        <w:ind w:left="1080"/>
        <w:jc w:val="both"/>
      </w:pPr>
      <w:r>
        <w:rPr>
          <w:b/>
        </w:rPr>
        <w:t>Regulation: </w:t>
      </w:r>
      <w:r>
        <w:rPr/>
        <w:t>The regulatory structures in the current </w:t>
      </w:r>
      <w:r>
        <w:rPr>
          <w:spacing w:val="-6"/>
        </w:rPr>
        <w:t>higher</w:t>
      </w:r>
      <w:r>
        <w:rPr>
          <w:spacing w:val="-8"/>
        </w:rPr>
        <w:t> </w:t>
      </w:r>
      <w:r>
        <w:rPr>
          <w:spacing w:val="-6"/>
        </w:rPr>
        <w:t>education</w:t>
      </w:r>
      <w:r>
        <w:rPr>
          <w:spacing w:val="-7"/>
        </w:rPr>
        <w:t> </w:t>
      </w:r>
      <w:r>
        <w:rPr>
          <w:spacing w:val="-6"/>
        </w:rPr>
        <w:t>system</w:t>
      </w:r>
      <w:r>
        <w:rPr>
          <w:spacing w:val="-8"/>
        </w:rPr>
        <w:t> </w:t>
      </w:r>
      <w:r>
        <w:rPr>
          <w:spacing w:val="-6"/>
        </w:rPr>
        <w:t>are</w:t>
      </w:r>
      <w:r>
        <w:rPr>
          <w:spacing w:val="-7"/>
        </w:rPr>
        <w:t> </w:t>
      </w:r>
      <w:r>
        <w:rPr>
          <w:spacing w:val="-6"/>
        </w:rPr>
        <w:t>cumbersome.</w:t>
      </w:r>
      <w:r>
        <w:rPr>
          <w:spacing w:val="-8"/>
        </w:rPr>
        <w:t> </w:t>
      </w:r>
      <w:r>
        <w:rPr>
          <w:spacing w:val="-6"/>
        </w:rPr>
        <w:t>Entry</w:t>
      </w:r>
      <w:r>
        <w:rPr>
          <w:spacing w:val="-7"/>
        </w:rPr>
        <w:t> </w:t>
      </w:r>
      <w:r>
        <w:rPr>
          <w:spacing w:val="-6"/>
        </w:rPr>
        <w:t>through </w:t>
      </w:r>
      <w:r>
        <w:rPr/>
        <w:t>legislation</w:t>
      </w:r>
      <w:r>
        <w:rPr>
          <w:spacing w:val="-9"/>
        </w:rPr>
        <w:t> </w:t>
      </w:r>
      <w:r>
        <w:rPr/>
        <w:t>alone,</w:t>
      </w:r>
      <w:r>
        <w:rPr>
          <w:spacing w:val="-9"/>
        </w:rPr>
        <w:t> </w:t>
      </w:r>
      <w:r>
        <w:rPr/>
        <w:t>at</w:t>
      </w:r>
      <w:r>
        <w:rPr>
          <w:spacing w:val="-9"/>
        </w:rPr>
        <w:t> </w:t>
      </w:r>
      <w:r>
        <w:rPr/>
        <w:t>present,</w:t>
      </w:r>
      <w:r>
        <w:rPr>
          <w:spacing w:val="-9"/>
        </w:rPr>
        <w:t> </w:t>
      </w:r>
      <w:r>
        <w:rPr/>
        <w:t>is</w:t>
      </w:r>
      <w:r>
        <w:rPr>
          <w:spacing w:val="-9"/>
        </w:rPr>
        <w:t> </w:t>
      </w:r>
      <w:r>
        <w:rPr/>
        <w:t>a</w:t>
      </w:r>
      <w:r>
        <w:rPr>
          <w:spacing w:val="-9"/>
        </w:rPr>
        <w:t> </w:t>
      </w:r>
      <w:r>
        <w:rPr/>
        <w:t>formidable</w:t>
      </w:r>
      <w:r>
        <w:rPr>
          <w:spacing w:val="-9"/>
        </w:rPr>
        <w:t> </w:t>
      </w:r>
      <w:r>
        <w:rPr/>
        <w:t>barrier.</w:t>
      </w:r>
      <w:r>
        <w:rPr>
          <w:spacing w:val="-9"/>
        </w:rPr>
        <w:t> </w:t>
      </w:r>
      <w:r>
        <w:rPr/>
        <w:t>It requires</w:t>
      </w:r>
      <w:r>
        <w:rPr>
          <w:spacing w:val="-3"/>
        </w:rPr>
        <w:t> </w:t>
      </w:r>
      <w:r>
        <w:rPr/>
        <w:t>an</w:t>
      </w:r>
      <w:r>
        <w:rPr>
          <w:spacing w:val="-3"/>
        </w:rPr>
        <w:t> </w:t>
      </w:r>
      <w:r>
        <w:rPr/>
        <w:t>Act</w:t>
      </w:r>
      <w:r>
        <w:rPr>
          <w:spacing w:val="-3"/>
        </w:rPr>
        <w:t> </w:t>
      </w:r>
      <w:r>
        <w:rPr/>
        <w:t>of</w:t>
      </w:r>
      <w:r>
        <w:rPr>
          <w:spacing w:val="-3"/>
        </w:rPr>
        <w:t> </w:t>
      </w:r>
      <w:r>
        <w:rPr/>
        <w:t>Legislature</w:t>
      </w:r>
      <w:r>
        <w:rPr>
          <w:spacing w:val="-3"/>
        </w:rPr>
        <w:t> </w:t>
      </w:r>
      <w:r>
        <w:rPr/>
        <w:t>of</w:t>
      </w:r>
      <w:r>
        <w:rPr>
          <w:spacing w:val="-3"/>
        </w:rPr>
        <w:t> </w:t>
      </w:r>
      <w:r>
        <w:rPr/>
        <w:t>Parliament</w:t>
      </w:r>
      <w:r>
        <w:rPr>
          <w:spacing w:val="-3"/>
        </w:rPr>
        <w:t> </w:t>
      </w:r>
      <w:r>
        <w:rPr/>
        <w:t>to</w:t>
      </w:r>
      <w:r>
        <w:rPr>
          <w:spacing w:val="-3"/>
        </w:rPr>
        <w:t> </w:t>
      </w:r>
      <w:r>
        <w:rPr/>
        <w:t>set</w:t>
      </w:r>
      <w:r>
        <w:rPr>
          <w:spacing w:val="-3"/>
        </w:rPr>
        <w:t> </w:t>
      </w:r>
      <w:r>
        <w:rPr/>
        <w:t>up a</w:t>
      </w:r>
      <w:r>
        <w:rPr>
          <w:spacing w:val="-14"/>
        </w:rPr>
        <w:t> </w:t>
      </w:r>
      <w:r>
        <w:rPr/>
        <w:t>university.</w:t>
      </w:r>
      <w:r>
        <w:rPr>
          <w:spacing w:val="-14"/>
        </w:rPr>
        <w:t> </w:t>
      </w:r>
      <w:r>
        <w:rPr/>
        <w:t>The</w:t>
      </w:r>
      <w:r>
        <w:rPr>
          <w:spacing w:val="-11"/>
        </w:rPr>
        <w:t> </w:t>
      </w:r>
      <w:r>
        <w:rPr/>
        <w:t>deemed</w:t>
      </w:r>
      <w:r>
        <w:rPr>
          <w:spacing w:val="-11"/>
        </w:rPr>
        <w:t> </w:t>
      </w:r>
      <w:r>
        <w:rPr/>
        <w:t>university</w:t>
      </w:r>
      <w:r>
        <w:rPr>
          <w:spacing w:val="-11"/>
        </w:rPr>
        <w:t> </w:t>
      </w:r>
      <w:r>
        <w:rPr/>
        <w:t>route</w:t>
      </w:r>
      <w:r>
        <w:rPr>
          <w:spacing w:val="-11"/>
        </w:rPr>
        <w:t> </w:t>
      </w:r>
      <w:r>
        <w:rPr/>
        <w:t>is</w:t>
      </w:r>
      <w:r>
        <w:rPr>
          <w:spacing w:val="-11"/>
        </w:rPr>
        <w:t> </w:t>
      </w:r>
      <w:r>
        <w:rPr/>
        <w:t>much</w:t>
      </w:r>
      <w:r>
        <w:rPr>
          <w:spacing w:val="-11"/>
        </w:rPr>
        <w:t> </w:t>
      </w:r>
      <w:r>
        <w:rPr/>
        <w:t>too </w:t>
      </w:r>
      <w:r>
        <w:rPr>
          <w:w w:val="90"/>
        </w:rPr>
        <w:t>difficult for new institutions.</w:t>
      </w:r>
      <w:r>
        <w:rPr>
          <w:spacing w:val="-6"/>
          <w:w w:val="90"/>
        </w:rPr>
        <w:t> </w:t>
      </w:r>
      <w:r>
        <w:rPr>
          <w:w w:val="90"/>
        </w:rPr>
        <w:t>The consequence is a steady </w:t>
      </w:r>
      <w:r>
        <w:rPr>
          <w:spacing w:val="-4"/>
        </w:rPr>
        <w:t>increase</w:t>
      </w:r>
      <w:r>
        <w:rPr>
          <w:spacing w:val="-8"/>
        </w:rPr>
        <w:t> </w:t>
      </w:r>
      <w:r>
        <w:rPr>
          <w:spacing w:val="-4"/>
        </w:rPr>
        <w:t>in</w:t>
      </w:r>
      <w:r>
        <w:rPr>
          <w:spacing w:val="-8"/>
        </w:rPr>
        <w:t> </w:t>
      </w:r>
      <w:r>
        <w:rPr>
          <w:spacing w:val="-4"/>
        </w:rPr>
        <w:t>the</w:t>
      </w:r>
      <w:r>
        <w:rPr>
          <w:spacing w:val="-8"/>
        </w:rPr>
        <w:t> </w:t>
      </w:r>
      <w:r>
        <w:rPr>
          <w:spacing w:val="-4"/>
        </w:rPr>
        <w:t>average</w:t>
      </w:r>
      <w:r>
        <w:rPr>
          <w:spacing w:val="-8"/>
        </w:rPr>
        <w:t> </w:t>
      </w:r>
      <w:r>
        <w:rPr>
          <w:spacing w:val="-4"/>
        </w:rPr>
        <w:t>size</w:t>
      </w:r>
      <w:r>
        <w:rPr>
          <w:spacing w:val="-8"/>
        </w:rPr>
        <w:t> </w:t>
      </w:r>
      <w:r>
        <w:rPr>
          <w:spacing w:val="-4"/>
        </w:rPr>
        <w:t>of</w:t>
      </w:r>
      <w:r>
        <w:rPr>
          <w:spacing w:val="-8"/>
        </w:rPr>
        <w:t> </w:t>
      </w:r>
      <w:r>
        <w:rPr>
          <w:spacing w:val="-4"/>
        </w:rPr>
        <w:t>existing</w:t>
      </w:r>
      <w:r>
        <w:rPr>
          <w:spacing w:val="-8"/>
        </w:rPr>
        <w:t> </w:t>
      </w:r>
      <w:r>
        <w:rPr>
          <w:spacing w:val="-4"/>
        </w:rPr>
        <w:t>universities</w:t>
      </w:r>
      <w:r>
        <w:rPr>
          <w:spacing w:val="-8"/>
        </w:rPr>
        <w:t> </w:t>
      </w:r>
      <w:r>
        <w:rPr>
          <w:spacing w:val="-4"/>
        </w:rPr>
        <w:t>with </w:t>
      </w:r>
      <w:r>
        <w:rPr/>
        <w:t>a</w:t>
      </w:r>
      <w:r>
        <w:rPr>
          <w:spacing w:val="-4"/>
        </w:rPr>
        <w:t> </w:t>
      </w:r>
      <w:r>
        <w:rPr/>
        <w:t>steady</w:t>
      </w:r>
      <w:r>
        <w:rPr>
          <w:spacing w:val="-4"/>
        </w:rPr>
        <w:t> </w:t>
      </w:r>
      <w:r>
        <w:rPr/>
        <w:t>deterioration</w:t>
      </w:r>
      <w:r>
        <w:rPr>
          <w:spacing w:val="-4"/>
        </w:rPr>
        <w:t> </w:t>
      </w:r>
      <w:r>
        <w:rPr/>
        <w:t>in</w:t>
      </w:r>
      <w:r>
        <w:rPr>
          <w:spacing w:val="-4"/>
        </w:rPr>
        <w:t> </w:t>
      </w:r>
      <w:r>
        <w:rPr/>
        <w:t>their</w:t>
      </w:r>
      <w:r>
        <w:rPr>
          <w:spacing w:val="-4"/>
        </w:rPr>
        <w:t> </w:t>
      </w:r>
      <w:r>
        <w:rPr/>
        <w:t>quality.</w:t>
      </w:r>
      <w:r>
        <w:rPr>
          <w:spacing w:val="-10"/>
        </w:rPr>
        <w:t> </w:t>
      </w:r>
      <w:r>
        <w:rPr/>
        <w:t>The</w:t>
      </w:r>
      <w:r>
        <w:rPr>
          <w:spacing w:val="-4"/>
        </w:rPr>
        <w:t> </w:t>
      </w:r>
      <w:r>
        <w:rPr/>
        <w:t>absence</w:t>
      </w:r>
      <w:r>
        <w:rPr>
          <w:spacing w:val="-4"/>
        </w:rPr>
        <w:t> </w:t>
      </w:r>
      <w:r>
        <w:rPr/>
        <w:t>of </w:t>
      </w:r>
      <w:r>
        <w:rPr>
          <w:spacing w:val="-4"/>
        </w:rPr>
        <w:t>competition</w:t>
      </w:r>
      <w:r>
        <w:rPr>
          <w:spacing w:val="-10"/>
        </w:rPr>
        <w:t> </w:t>
      </w:r>
      <w:r>
        <w:rPr>
          <w:spacing w:val="-4"/>
        </w:rPr>
        <w:t>only</w:t>
      </w:r>
      <w:r>
        <w:rPr>
          <w:spacing w:val="-10"/>
        </w:rPr>
        <w:t> </w:t>
      </w:r>
      <w:r>
        <w:rPr>
          <w:spacing w:val="-4"/>
        </w:rPr>
        <w:t>compounds</w:t>
      </w:r>
      <w:r>
        <w:rPr>
          <w:spacing w:val="-10"/>
        </w:rPr>
        <w:t> </w:t>
      </w:r>
      <w:r>
        <w:rPr>
          <w:spacing w:val="-4"/>
        </w:rPr>
        <w:t>problems.</w:t>
      </w:r>
      <w:r>
        <w:rPr>
          <w:spacing w:val="-9"/>
        </w:rPr>
        <w:t> </w:t>
      </w:r>
      <w:r>
        <w:rPr>
          <w:spacing w:val="-4"/>
        </w:rPr>
        <w:t>A</w:t>
      </w:r>
      <w:r>
        <w:rPr>
          <w:spacing w:val="-10"/>
        </w:rPr>
        <w:t> </w:t>
      </w:r>
      <w:r>
        <w:rPr>
          <w:spacing w:val="-4"/>
        </w:rPr>
        <w:t>vast</w:t>
      </w:r>
      <w:r>
        <w:rPr>
          <w:spacing w:val="-10"/>
        </w:rPr>
        <w:t> </w:t>
      </w:r>
      <w:r>
        <w:rPr>
          <w:spacing w:val="-4"/>
        </w:rPr>
        <w:t>majority </w:t>
      </w:r>
      <w:r>
        <w:rPr/>
        <w:t>of the colleges are not recognised by UGC under section</w:t>
      </w:r>
      <w:r>
        <w:rPr>
          <w:spacing w:val="-8"/>
        </w:rPr>
        <w:t> </w:t>
      </w:r>
      <w:r>
        <w:rPr/>
        <w:t>2(f)</w:t>
      </w:r>
      <w:r>
        <w:rPr>
          <w:spacing w:val="-8"/>
        </w:rPr>
        <w:t> </w:t>
      </w:r>
      <w:r>
        <w:rPr/>
        <w:t>of</w:t>
      </w:r>
      <w:r>
        <w:rPr>
          <w:spacing w:val="-8"/>
        </w:rPr>
        <w:t> </w:t>
      </w:r>
      <w:r>
        <w:rPr/>
        <w:t>UGC</w:t>
      </w:r>
      <w:r>
        <w:rPr>
          <w:spacing w:val="-8"/>
        </w:rPr>
        <w:t> </w:t>
      </w:r>
      <w:r>
        <w:rPr/>
        <w:t>Act.</w:t>
      </w:r>
      <w:r>
        <w:rPr>
          <w:spacing w:val="-14"/>
        </w:rPr>
        <w:t> </w:t>
      </w:r>
      <w:r>
        <w:rPr/>
        <w:t>This</w:t>
      </w:r>
      <w:r>
        <w:rPr>
          <w:spacing w:val="-8"/>
        </w:rPr>
        <w:t> </w:t>
      </w:r>
      <w:r>
        <w:rPr/>
        <w:t>poses</w:t>
      </w:r>
      <w:r>
        <w:rPr>
          <w:spacing w:val="-8"/>
        </w:rPr>
        <w:t> </w:t>
      </w:r>
      <w:r>
        <w:rPr/>
        <w:t>a</w:t>
      </w:r>
      <w:r>
        <w:rPr>
          <w:spacing w:val="-8"/>
        </w:rPr>
        <w:t> </w:t>
      </w:r>
      <w:r>
        <w:rPr/>
        <w:t>great</w:t>
      </w:r>
      <w:r>
        <w:rPr>
          <w:spacing w:val="-8"/>
        </w:rPr>
        <w:t> </w:t>
      </w:r>
      <w:r>
        <w:rPr/>
        <w:t>challenge for</w:t>
      </w:r>
      <w:r>
        <w:rPr>
          <w:spacing w:val="-4"/>
        </w:rPr>
        <w:t> </w:t>
      </w:r>
      <w:r>
        <w:rPr/>
        <w:t>the</w:t>
      </w:r>
      <w:r>
        <w:rPr>
          <w:spacing w:val="-4"/>
        </w:rPr>
        <w:t> </w:t>
      </w:r>
      <w:r>
        <w:rPr/>
        <w:t>UGC</w:t>
      </w:r>
      <w:r>
        <w:rPr>
          <w:spacing w:val="-4"/>
        </w:rPr>
        <w:t> </w:t>
      </w:r>
      <w:r>
        <w:rPr/>
        <w:t>in</w:t>
      </w:r>
      <w:r>
        <w:rPr>
          <w:spacing w:val="-4"/>
        </w:rPr>
        <w:t> </w:t>
      </w:r>
      <w:r>
        <w:rPr/>
        <w:t>respect</w:t>
      </w:r>
      <w:r>
        <w:rPr>
          <w:spacing w:val="-4"/>
        </w:rPr>
        <w:t> </w:t>
      </w:r>
      <w:r>
        <w:rPr/>
        <w:t>of</w:t>
      </w:r>
      <w:r>
        <w:rPr>
          <w:spacing w:val="-4"/>
        </w:rPr>
        <w:t> </w:t>
      </w:r>
      <w:r>
        <w:rPr/>
        <w:t>maintenance</w:t>
      </w:r>
      <w:r>
        <w:rPr>
          <w:spacing w:val="-4"/>
        </w:rPr>
        <w:t> </w:t>
      </w:r>
      <w:r>
        <w:rPr/>
        <w:t>of</w:t>
      </w:r>
      <w:r>
        <w:rPr>
          <w:spacing w:val="-4"/>
        </w:rPr>
        <w:t> </w:t>
      </w:r>
      <w:r>
        <w:rPr/>
        <w:t>standard</w:t>
      </w:r>
      <w:r>
        <w:rPr>
          <w:spacing w:val="-4"/>
        </w:rPr>
        <w:t> </w:t>
      </w:r>
      <w:r>
        <w:rPr/>
        <w:t>of </w:t>
      </w:r>
      <w:r>
        <w:rPr>
          <w:spacing w:val="-4"/>
        </w:rPr>
        <w:t>teaching and examination in higher education. Also the </w:t>
      </w:r>
      <w:r>
        <w:rPr>
          <w:spacing w:val="-2"/>
        </w:rPr>
        <w:t>current</w:t>
      </w:r>
      <w:r>
        <w:rPr>
          <w:spacing w:val="-5"/>
        </w:rPr>
        <w:t> </w:t>
      </w:r>
      <w:r>
        <w:rPr>
          <w:spacing w:val="-2"/>
        </w:rPr>
        <w:t>system</w:t>
      </w:r>
      <w:r>
        <w:rPr>
          <w:spacing w:val="-5"/>
        </w:rPr>
        <w:t> </w:t>
      </w:r>
      <w:r>
        <w:rPr>
          <w:spacing w:val="-2"/>
        </w:rPr>
        <w:t>of</w:t>
      </w:r>
      <w:r>
        <w:rPr>
          <w:spacing w:val="-5"/>
        </w:rPr>
        <w:t> </w:t>
      </w:r>
      <w:r>
        <w:rPr>
          <w:spacing w:val="-2"/>
        </w:rPr>
        <w:t>affiliated</w:t>
      </w:r>
      <w:r>
        <w:rPr>
          <w:spacing w:val="-5"/>
        </w:rPr>
        <w:t> </w:t>
      </w:r>
      <w:r>
        <w:rPr>
          <w:spacing w:val="-2"/>
        </w:rPr>
        <w:t>colleges</w:t>
      </w:r>
      <w:r>
        <w:rPr>
          <w:spacing w:val="-5"/>
        </w:rPr>
        <w:t> </w:t>
      </w:r>
      <w:r>
        <w:rPr>
          <w:spacing w:val="-2"/>
        </w:rPr>
        <w:t>for</w:t>
      </w:r>
      <w:r>
        <w:rPr>
          <w:spacing w:val="-5"/>
        </w:rPr>
        <w:t> </w:t>
      </w:r>
      <w:r>
        <w:rPr>
          <w:spacing w:val="-2"/>
        </w:rPr>
        <w:t>undergraduate </w:t>
      </w:r>
      <w:r>
        <w:rPr/>
        <w:t>colleges is not adequate.</w:t>
      </w:r>
      <w:r>
        <w:rPr>
          <w:spacing w:val="-2"/>
        </w:rPr>
        <w:t> </w:t>
      </w:r>
      <w:r>
        <w:rPr/>
        <w:t>These are affiliated to large unwieldy universities, making it difficult to monitor the standard of education being imparted. Currently about</w:t>
      </w:r>
      <w:r>
        <w:rPr>
          <w:spacing w:val="-8"/>
        </w:rPr>
        <w:t> </w:t>
      </w:r>
      <w:r>
        <w:rPr/>
        <w:t>90</w:t>
      </w:r>
      <w:r>
        <w:rPr>
          <w:spacing w:val="-8"/>
        </w:rPr>
        <w:t> </w:t>
      </w:r>
      <w:r>
        <w:rPr/>
        <w:t>per</w:t>
      </w:r>
      <w:r>
        <w:rPr>
          <w:spacing w:val="-8"/>
        </w:rPr>
        <w:t> </w:t>
      </w:r>
      <w:r>
        <w:rPr/>
        <w:t>cent</w:t>
      </w:r>
      <w:r>
        <w:rPr>
          <w:spacing w:val="-8"/>
        </w:rPr>
        <w:t> </w:t>
      </w:r>
      <w:r>
        <w:rPr/>
        <w:t>of</w:t>
      </w:r>
      <w:r>
        <w:rPr>
          <w:spacing w:val="-8"/>
        </w:rPr>
        <w:t> </w:t>
      </w:r>
      <w:r>
        <w:rPr/>
        <w:t>the</w:t>
      </w:r>
      <w:r>
        <w:rPr>
          <w:spacing w:val="-8"/>
        </w:rPr>
        <w:t> </w:t>
      </w:r>
      <w:r>
        <w:rPr/>
        <w:t>undergraduate</w:t>
      </w:r>
      <w:r>
        <w:rPr>
          <w:spacing w:val="-8"/>
        </w:rPr>
        <w:t> </w:t>
      </w:r>
      <w:r>
        <w:rPr/>
        <w:t>enrolment</w:t>
      </w:r>
      <w:r>
        <w:rPr>
          <w:spacing w:val="-8"/>
        </w:rPr>
        <w:t> </w:t>
      </w:r>
      <w:r>
        <w:rPr/>
        <w:t>and 67 per cent of the postgraduate enrolment is in the </w:t>
      </w:r>
      <w:r>
        <w:rPr>
          <w:w w:val="90"/>
        </w:rPr>
        <w:t>affiliated</w:t>
      </w:r>
      <w:r>
        <w:rPr>
          <w:spacing w:val="-5"/>
          <w:w w:val="90"/>
        </w:rPr>
        <w:t> </w:t>
      </w:r>
      <w:r>
        <w:rPr>
          <w:w w:val="90"/>
        </w:rPr>
        <w:t>colleges.</w:t>
      </w:r>
      <w:r>
        <w:rPr>
          <w:spacing w:val="-9"/>
          <w:w w:val="90"/>
        </w:rPr>
        <w:t> </w:t>
      </w:r>
      <w:r>
        <w:rPr>
          <w:w w:val="90"/>
        </w:rPr>
        <w:t>There are a large number of institutions </w:t>
      </w:r>
      <w:r>
        <w:rPr/>
        <w:t>that</w:t>
      </w:r>
      <w:r>
        <w:rPr>
          <w:spacing w:val="-11"/>
        </w:rPr>
        <w:t> </w:t>
      </w:r>
      <w:r>
        <w:rPr/>
        <w:t>are</w:t>
      </w:r>
      <w:r>
        <w:rPr>
          <w:spacing w:val="-11"/>
        </w:rPr>
        <w:t> </w:t>
      </w:r>
      <w:r>
        <w:rPr/>
        <w:t>technically</w:t>
      </w:r>
      <w:r>
        <w:rPr>
          <w:spacing w:val="-11"/>
        </w:rPr>
        <w:t> </w:t>
      </w:r>
      <w:r>
        <w:rPr/>
        <w:t>under</w:t>
      </w:r>
      <w:r>
        <w:rPr>
          <w:spacing w:val="-11"/>
        </w:rPr>
        <w:t> </w:t>
      </w:r>
      <w:r>
        <w:rPr/>
        <w:t>the</w:t>
      </w:r>
      <w:r>
        <w:rPr>
          <w:spacing w:val="-11"/>
        </w:rPr>
        <w:t> </w:t>
      </w:r>
      <w:r>
        <w:rPr/>
        <w:t>purview</w:t>
      </w:r>
      <w:r>
        <w:rPr>
          <w:spacing w:val="-11"/>
        </w:rPr>
        <w:t> </w:t>
      </w:r>
      <w:r>
        <w:rPr/>
        <w:t>of</w:t>
      </w:r>
      <w:r>
        <w:rPr>
          <w:spacing w:val="-11"/>
        </w:rPr>
        <w:t> </w:t>
      </w:r>
      <w:r>
        <w:rPr/>
        <w:t>the</w:t>
      </w:r>
      <w:r>
        <w:rPr>
          <w:spacing w:val="-11"/>
        </w:rPr>
        <w:t> </w:t>
      </w:r>
      <w:r>
        <w:rPr/>
        <w:t>UGC</w:t>
      </w:r>
      <w:r>
        <w:rPr>
          <w:spacing w:val="-11"/>
        </w:rPr>
        <w:t> </w:t>
      </w:r>
      <w:r>
        <w:rPr/>
        <w:t>but </w:t>
      </w:r>
      <w:r>
        <w:rPr>
          <w:spacing w:val="-4"/>
        </w:rPr>
        <w:t>are</w:t>
      </w:r>
      <w:r>
        <w:rPr>
          <w:spacing w:val="-10"/>
        </w:rPr>
        <w:t> </w:t>
      </w:r>
      <w:r>
        <w:rPr>
          <w:spacing w:val="-4"/>
        </w:rPr>
        <w:t>not</w:t>
      </w:r>
      <w:r>
        <w:rPr>
          <w:spacing w:val="-10"/>
        </w:rPr>
        <w:t> </w:t>
      </w:r>
      <w:r>
        <w:rPr>
          <w:spacing w:val="-4"/>
        </w:rPr>
        <w:t>provided</w:t>
      </w:r>
      <w:r>
        <w:rPr>
          <w:spacing w:val="-10"/>
        </w:rPr>
        <w:t> </w:t>
      </w:r>
      <w:r>
        <w:rPr>
          <w:spacing w:val="-4"/>
        </w:rPr>
        <w:t>financial</w:t>
      </w:r>
      <w:r>
        <w:rPr>
          <w:spacing w:val="-9"/>
        </w:rPr>
        <w:t> </w:t>
      </w:r>
      <w:r>
        <w:rPr>
          <w:spacing w:val="-4"/>
        </w:rPr>
        <w:t>support</w:t>
      </w:r>
      <w:r>
        <w:rPr>
          <w:spacing w:val="-10"/>
        </w:rPr>
        <w:t> </w:t>
      </w:r>
      <w:r>
        <w:rPr>
          <w:spacing w:val="-4"/>
        </w:rPr>
        <w:t>by</w:t>
      </w:r>
      <w:r>
        <w:rPr>
          <w:spacing w:val="-10"/>
        </w:rPr>
        <w:t> </w:t>
      </w:r>
      <w:r>
        <w:rPr>
          <w:spacing w:val="-4"/>
        </w:rPr>
        <w:t>it</w:t>
      </w:r>
      <w:r>
        <w:rPr>
          <w:spacing w:val="-10"/>
        </w:rPr>
        <w:t> </w:t>
      </w:r>
      <w:r>
        <w:rPr>
          <w:spacing w:val="-4"/>
        </w:rPr>
        <w:t>because</w:t>
      </w:r>
      <w:r>
        <w:rPr>
          <w:spacing w:val="-9"/>
        </w:rPr>
        <w:t> </w:t>
      </w:r>
      <w:r>
        <w:rPr>
          <w:spacing w:val="-4"/>
        </w:rPr>
        <w:t>they</w:t>
      </w:r>
      <w:r>
        <w:rPr>
          <w:spacing w:val="-10"/>
        </w:rPr>
        <w:t> </w:t>
      </w:r>
      <w:r>
        <w:rPr>
          <w:spacing w:val="-4"/>
        </w:rPr>
        <w:t>fail </w:t>
      </w:r>
      <w:r>
        <w:rPr/>
        <w:t>to fulfill the minimum eligibility norms.</w:t>
      </w:r>
    </w:p>
    <w:p>
      <w:pPr>
        <w:pStyle w:val="BodyText"/>
        <w:spacing w:before="8"/>
      </w:pPr>
    </w:p>
    <w:p>
      <w:pPr>
        <w:pStyle w:val="BodyText"/>
        <w:spacing w:line="266" w:lineRule="auto"/>
        <w:ind w:left="1080"/>
        <w:jc w:val="both"/>
      </w:pPr>
      <w:r>
        <w:rPr>
          <w:b/>
          <w:spacing w:val="-2"/>
        </w:rPr>
        <w:t>Faculty:</w:t>
      </w:r>
      <w:r>
        <w:rPr>
          <w:b/>
          <w:spacing w:val="-8"/>
        </w:rPr>
        <w:t> </w:t>
      </w:r>
      <w:r>
        <w:rPr>
          <w:spacing w:val="-2"/>
        </w:rPr>
        <w:t>Shortage</w:t>
      </w:r>
      <w:r>
        <w:rPr>
          <w:spacing w:val="-9"/>
        </w:rPr>
        <w:t> </w:t>
      </w:r>
      <w:r>
        <w:rPr>
          <w:spacing w:val="-2"/>
        </w:rPr>
        <w:t>of</w:t>
      </w:r>
      <w:r>
        <w:rPr>
          <w:spacing w:val="-9"/>
        </w:rPr>
        <w:t> </w:t>
      </w:r>
      <w:r>
        <w:rPr>
          <w:spacing w:val="-2"/>
        </w:rPr>
        <w:t>quality</w:t>
      </w:r>
      <w:r>
        <w:rPr>
          <w:spacing w:val="-9"/>
        </w:rPr>
        <w:t> </w:t>
      </w:r>
      <w:r>
        <w:rPr>
          <w:spacing w:val="-2"/>
        </w:rPr>
        <w:t>faculty</w:t>
      </w:r>
      <w:r>
        <w:rPr>
          <w:spacing w:val="-9"/>
        </w:rPr>
        <w:t> </w:t>
      </w:r>
      <w:r>
        <w:rPr>
          <w:spacing w:val="-2"/>
        </w:rPr>
        <w:t>is</w:t>
      </w:r>
      <w:r>
        <w:rPr>
          <w:spacing w:val="-9"/>
        </w:rPr>
        <w:t> </w:t>
      </w:r>
      <w:r>
        <w:rPr>
          <w:spacing w:val="-2"/>
        </w:rPr>
        <w:t>one</w:t>
      </w:r>
      <w:r>
        <w:rPr>
          <w:spacing w:val="-9"/>
        </w:rPr>
        <w:t> </w:t>
      </w:r>
      <w:r>
        <w:rPr>
          <w:spacing w:val="-2"/>
        </w:rPr>
        <w:t>of</w:t>
      </w:r>
      <w:r>
        <w:rPr>
          <w:spacing w:val="-9"/>
        </w:rPr>
        <w:t> </w:t>
      </w:r>
      <w:r>
        <w:rPr>
          <w:spacing w:val="-2"/>
        </w:rPr>
        <w:t>the</w:t>
      </w:r>
      <w:r>
        <w:rPr>
          <w:spacing w:val="-9"/>
        </w:rPr>
        <w:t> </w:t>
      </w:r>
      <w:r>
        <w:rPr>
          <w:spacing w:val="-2"/>
        </w:rPr>
        <w:t>main </w:t>
      </w:r>
      <w:r>
        <w:rPr/>
        <w:t>problems afflicting higher education in India today. Teacher</w:t>
      </w:r>
      <w:r>
        <w:rPr>
          <w:spacing w:val="-3"/>
        </w:rPr>
        <w:t> </w:t>
      </w:r>
      <w:r>
        <w:rPr/>
        <w:t>shortages</w:t>
      </w:r>
      <w:r>
        <w:rPr>
          <w:spacing w:val="-3"/>
        </w:rPr>
        <w:t> </w:t>
      </w:r>
      <w:r>
        <w:rPr/>
        <w:t>often</w:t>
      </w:r>
      <w:r>
        <w:rPr>
          <w:spacing w:val="-3"/>
        </w:rPr>
        <w:t> </w:t>
      </w:r>
      <w:r>
        <w:rPr/>
        <w:t>occur</w:t>
      </w:r>
      <w:r>
        <w:rPr>
          <w:spacing w:val="-3"/>
        </w:rPr>
        <w:t> </w:t>
      </w:r>
      <w:r>
        <w:rPr/>
        <w:t>due</w:t>
      </w:r>
      <w:r>
        <w:rPr>
          <w:spacing w:val="-3"/>
        </w:rPr>
        <w:t> </w:t>
      </w:r>
      <w:r>
        <w:rPr/>
        <w:t>to</w:t>
      </w:r>
      <w:r>
        <w:rPr>
          <w:spacing w:val="-3"/>
        </w:rPr>
        <w:t> </w:t>
      </w:r>
      <w:r>
        <w:rPr/>
        <w:t>non</w:t>
      </w:r>
      <w:r>
        <w:rPr>
          <w:spacing w:val="-3"/>
        </w:rPr>
        <w:t> </w:t>
      </w:r>
      <w:r>
        <w:rPr/>
        <w:t>availability of suitably qualified people. Further, the academic profession has seen a steady decline in popularity – </w:t>
      </w:r>
      <w:r>
        <w:rPr>
          <w:spacing w:val="-2"/>
        </w:rPr>
        <w:t>possibly</w:t>
      </w:r>
      <w:r>
        <w:rPr>
          <w:spacing w:val="-6"/>
        </w:rPr>
        <w:t> </w:t>
      </w:r>
      <w:r>
        <w:rPr>
          <w:spacing w:val="-2"/>
        </w:rPr>
        <w:t>as</w:t>
      </w:r>
      <w:r>
        <w:rPr>
          <w:spacing w:val="-5"/>
        </w:rPr>
        <w:t> </w:t>
      </w:r>
      <w:r>
        <w:rPr>
          <w:spacing w:val="-2"/>
        </w:rPr>
        <w:t>a</w:t>
      </w:r>
      <w:r>
        <w:rPr>
          <w:spacing w:val="-5"/>
        </w:rPr>
        <w:t> </w:t>
      </w:r>
      <w:r>
        <w:rPr>
          <w:spacing w:val="-2"/>
        </w:rPr>
        <w:t>result</w:t>
      </w:r>
      <w:r>
        <w:rPr>
          <w:spacing w:val="-5"/>
        </w:rPr>
        <w:t> </w:t>
      </w:r>
      <w:r>
        <w:rPr>
          <w:spacing w:val="-2"/>
        </w:rPr>
        <w:t>of</w:t>
      </w:r>
      <w:r>
        <w:rPr>
          <w:spacing w:val="-6"/>
        </w:rPr>
        <w:t> </w:t>
      </w:r>
      <w:r>
        <w:rPr>
          <w:spacing w:val="-2"/>
        </w:rPr>
        <w:t>lack</w:t>
      </w:r>
      <w:r>
        <w:rPr>
          <w:spacing w:val="-5"/>
        </w:rPr>
        <w:t> </w:t>
      </w:r>
      <w:r>
        <w:rPr>
          <w:spacing w:val="-2"/>
        </w:rPr>
        <w:t>of</w:t>
      </w:r>
      <w:r>
        <w:rPr>
          <w:spacing w:val="-5"/>
        </w:rPr>
        <w:t> </w:t>
      </w:r>
      <w:r>
        <w:rPr>
          <w:spacing w:val="-2"/>
        </w:rPr>
        <w:t>incentives</w:t>
      </w:r>
      <w:r>
        <w:rPr>
          <w:spacing w:val="-5"/>
        </w:rPr>
        <w:t> </w:t>
      </w:r>
      <w:r>
        <w:rPr>
          <w:spacing w:val="-2"/>
        </w:rPr>
        <w:t>here</w:t>
      </w:r>
      <w:r>
        <w:rPr>
          <w:spacing w:val="-6"/>
        </w:rPr>
        <w:t> </w:t>
      </w:r>
      <w:r>
        <w:rPr>
          <w:spacing w:val="-2"/>
        </w:rPr>
        <w:t>and</w:t>
      </w:r>
      <w:r>
        <w:rPr>
          <w:spacing w:val="-5"/>
        </w:rPr>
        <w:t> </w:t>
      </w:r>
      <w:r>
        <w:rPr>
          <w:spacing w:val="-4"/>
        </w:rPr>
        <w:t>more</w:t>
      </w:r>
    </w:p>
    <w:p>
      <w:pPr>
        <w:pStyle w:val="BodyText"/>
        <w:spacing w:line="266" w:lineRule="auto" w:before="57"/>
        <w:ind w:left="319" w:right="1077"/>
        <w:jc w:val="both"/>
      </w:pPr>
      <w:r>
        <w:rPr/>
        <w:br w:type="column"/>
      </w:r>
      <w:r>
        <w:rPr>
          <w:spacing w:val="-4"/>
        </w:rPr>
        <w:t>lucrative opportunities in other professions. Apart from </w:t>
      </w:r>
      <w:r>
        <w:rPr>
          <w:spacing w:val="-6"/>
        </w:rPr>
        <w:t>increasing compensation of teachers, there is also a </w:t>
      </w:r>
      <w:r>
        <w:rPr>
          <w:spacing w:val="-6"/>
        </w:rPr>
        <w:t>need </w:t>
      </w:r>
      <w:r>
        <w:rPr/>
        <w:t>to</w:t>
      </w:r>
      <w:r>
        <w:rPr>
          <w:spacing w:val="-10"/>
        </w:rPr>
        <w:t> </w:t>
      </w:r>
      <w:r>
        <w:rPr/>
        <w:t>introduce</w:t>
      </w:r>
      <w:r>
        <w:rPr>
          <w:spacing w:val="-10"/>
        </w:rPr>
        <w:t> </w:t>
      </w:r>
      <w:r>
        <w:rPr/>
        <w:t>performance-based</w:t>
      </w:r>
      <w:r>
        <w:rPr>
          <w:spacing w:val="-10"/>
        </w:rPr>
        <w:t> </w:t>
      </w:r>
      <w:r>
        <w:rPr/>
        <w:t>incentives</w:t>
      </w:r>
      <w:r>
        <w:rPr>
          <w:spacing w:val="-10"/>
        </w:rPr>
        <w:t> </w:t>
      </w:r>
      <w:r>
        <w:rPr/>
        <w:t>in</w:t>
      </w:r>
      <w:r>
        <w:rPr>
          <w:spacing w:val="-10"/>
        </w:rPr>
        <w:t> </w:t>
      </w:r>
      <w:r>
        <w:rPr/>
        <w:t>order</w:t>
      </w:r>
      <w:r>
        <w:rPr>
          <w:spacing w:val="-10"/>
        </w:rPr>
        <w:t> </w:t>
      </w:r>
      <w:r>
        <w:rPr/>
        <w:t>to ensure teaching of superior quality.</w:t>
      </w:r>
    </w:p>
    <w:p>
      <w:pPr>
        <w:pStyle w:val="BodyText"/>
        <w:spacing w:before="24"/>
      </w:pPr>
    </w:p>
    <w:p>
      <w:pPr>
        <w:pStyle w:val="BodyText"/>
        <w:spacing w:line="266" w:lineRule="auto"/>
        <w:ind w:left="319" w:right="1077"/>
        <w:jc w:val="both"/>
      </w:pPr>
      <w:r>
        <w:rPr>
          <w:b/>
        </w:rPr>
        <w:t>Funding:</w:t>
      </w:r>
      <w:r>
        <w:rPr>
          <w:b/>
          <w:spacing w:val="40"/>
        </w:rPr>
        <w:t> </w:t>
      </w:r>
      <w:r>
        <w:rPr/>
        <w:t>Public</w:t>
      </w:r>
      <w:r>
        <w:rPr>
          <w:spacing w:val="40"/>
        </w:rPr>
        <w:t> </w:t>
      </w:r>
      <w:r>
        <w:rPr/>
        <w:t>expenditure</w:t>
      </w:r>
      <w:r>
        <w:rPr>
          <w:spacing w:val="40"/>
        </w:rPr>
        <w:t> </w:t>
      </w:r>
      <w:r>
        <w:rPr/>
        <w:t>(Centre</w:t>
      </w:r>
      <w:r>
        <w:rPr>
          <w:spacing w:val="40"/>
        </w:rPr>
        <w:t> </w:t>
      </w:r>
      <w:r>
        <w:rPr/>
        <w:t>and</w:t>
      </w:r>
      <w:r>
        <w:rPr>
          <w:spacing w:val="40"/>
        </w:rPr>
        <w:t> </w:t>
      </w:r>
      <w:r>
        <w:rPr/>
        <w:t>States) on education is only around 3.6 per cent of GDP. Government</w:t>
      </w:r>
      <w:r>
        <w:rPr>
          <w:spacing w:val="-14"/>
        </w:rPr>
        <w:t> </w:t>
      </w:r>
      <w:r>
        <w:rPr/>
        <w:t>funding</w:t>
      </w:r>
      <w:r>
        <w:rPr>
          <w:spacing w:val="-14"/>
        </w:rPr>
        <w:t> </w:t>
      </w:r>
      <w:r>
        <w:rPr/>
        <w:t>of</w:t>
      </w:r>
      <w:r>
        <w:rPr>
          <w:spacing w:val="-14"/>
        </w:rPr>
        <w:t> </w:t>
      </w:r>
      <w:r>
        <w:rPr/>
        <w:t>higher</w:t>
      </w:r>
      <w:r>
        <w:rPr>
          <w:spacing w:val="-13"/>
        </w:rPr>
        <w:t> </w:t>
      </w:r>
      <w:r>
        <w:rPr/>
        <w:t>education</w:t>
      </w:r>
      <w:r>
        <w:rPr>
          <w:spacing w:val="-14"/>
        </w:rPr>
        <w:t> </w:t>
      </w:r>
      <w:r>
        <w:rPr/>
        <w:t>is</w:t>
      </w:r>
      <w:r>
        <w:rPr>
          <w:spacing w:val="-14"/>
        </w:rPr>
        <w:t> </w:t>
      </w:r>
      <w:r>
        <w:rPr/>
        <w:t>still</w:t>
      </w:r>
      <w:r>
        <w:rPr>
          <w:spacing w:val="-14"/>
        </w:rPr>
        <w:t> </w:t>
      </w:r>
      <w:r>
        <w:rPr/>
        <w:t>below 1 per cent of GDP. The percentage expenditure on University</w:t>
      </w:r>
      <w:r>
        <w:rPr>
          <w:spacing w:val="3"/>
        </w:rPr>
        <w:t> </w:t>
      </w:r>
      <w:r>
        <w:rPr/>
        <w:t>and</w:t>
      </w:r>
      <w:r>
        <w:rPr>
          <w:spacing w:val="3"/>
        </w:rPr>
        <w:t> </w:t>
      </w:r>
      <w:r>
        <w:rPr/>
        <w:t>Higher</w:t>
      </w:r>
      <w:r>
        <w:rPr>
          <w:spacing w:val="3"/>
        </w:rPr>
        <w:t> </w:t>
      </w:r>
      <w:r>
        <w:rPr/>
        <w:t>Education</w:t>
      </w:r>
      <w:r>
        <w:rPr>
          <w:spacing w:val="3"/>
        </w:rPr>
        <w:t> </w:t>
      </w:r>
      <w:r>
        <w:rPr/>
        <w:t>to</w:t>
      </w:r>
      <w:r>
        <w:rPr>
          <w:spacing w:val="4"/>
        </w:rPr>
        <w:t> </w:t>
      </w:r>
      <w:r>
        <w:rPr/>
        <w:t>GDP,</w:t>
      </w:r>
      <w:r>
        <w:rPr>
          <w:spacing w:val="3"/>
        </w:rPr>
        <w:t> </w:t>
      </w:r>
      <w:r>
        <w:rPr/>
        <w:t>which</w:t>
      </w:r>
      <w:r>
        <w:rPr>
          <w:spacing w:val="3"/>
        </w:rPr>
        <w:t> </w:t>
      </w:r>
      <w:r>
        <w:rPr>
          <w:spacing w:val="-6"/>
        </w:rPr>
        <w:t>was</w:t>
      </w:r>
    </w:p>
    <w:p>
      <w:pPr>
        <w:pStyle w:val="BodyText"/>
        <w:spacing w:line="266" w:lineRule="auto"/>
        <w:ind w:left="319" w:right="1077"/>
        <w:jc w:val="both"/>
      </w:pPr>
      <w:r>
        <w:rPr/>
        <w:t>0.77 per cent in 1990-91 showed a gradual decrease to 0.66 per cent in 2004-2005. Various </w:t>
      </w:r>
      <w:r>
        <w:rPr/>
        <w:t>committees have unanimously recommended that state funding be</w:t>
      </w:r>
      <w:r>
        <w:rPr>
          <w:spacing w:val="-14"/>
        </w:rPr>
        <w:t> </w:t>
      </w:r>
      <w:r>
        <w:rPr/>
        <w:t>increased</w:t>
      </w:r>
      <w:r>
        <w:rPr>
          <w:spacing w:val="-14"/>
        </w:rPr>
        <w:t> </w:t>
      </w:r>
      <w:r>
        <w:rPr/>
        <w:t>to</w:t>
      </w:r>
      <w:r>
        <w:rPr>
          <w:spacing w:val="-14"/>
        </w:rPr>
        <w:t> </w:t>
      </w:r>
      <w:r>
        <w:rPr/>
        <w:t>6</w:t>
      </w:r>
      <w:r>
        <w:rPr>
          <w:spacing w:val="-13"/>
        </w:rPr>
        <w:t> </w:t>
      </w:r>
      <w:r>
        <w:rPr/>
        <w:t>per</w:t>
      </w:r>
      <w:r>
        <w:rPr>
          <w:spacing w:val="-14"/>
        </w:rPr>
        <w:t> </w:t>
      </w:r>
      <w:r>
        <w:rPr/>
        <w:t>cent.</w:t>
      </w:r>
      <w:r>
        <w:rPr>
          <w:spacing w:val="-14"/>
        </w:rPr>
        <w:t> </w:t>
      </w:r>
      <w:r>
        <w:rPr/>
        <w:t>While</w:t>
      </w:r>
      <w:r>
        <w:rPr>
          <w:spacing w:val="-14"/>
        </w:rPr>
        <w:t> </w:t>
      </w:r>
      <w:r>
        <w:rPr/>
        <w:t>the</w:t>
      </w:r>
      <w:r>
        <w:rPr>
          <w:spacing w:val="-13"/>
        </w:rPr>
        <w:t> </w:t>
      </w:r>
      <w:r>
        <w:rPr/>
        <w:t>Central</w:t>
      </w:r>
      <w:r>
        <w:rPr>
          <w:spacing w:val="-14"/>
        </w:rPr>
        <w:t> </w:t>
      </w:r>
      <w:r>
        <w:rPr/>
        <w:t>Advisory Board for Education (CABE) recommends spending 1 per cent to higher education and 0.5 per cent to technical</w:t>
      </w:r>
      <w:r>
        <w:rPr>
          <w:spacing w:val="8"/>
        </w:rPr>
        <w:t> </w:t>
      </w:r>
      <w:r>
        <w:rPr/>
        <w:t>education,</w:t>
      </w:r>
      <w:r>
        <w:rPr>
          <w:spacing w:val="9"/>
        </w:rPr>
        <w:t> </w:t>
      </w:r>
      <w:r>
        <w:rPr/>
        <w:t>the</w:t>
      </w:r>
      <w:r>
        <w:rPr>
          <w:spacing w:val="8"/>
        </w:rPr>
        <w:t> </w:t>
      </w:r>
      <w:r>
        <w:rPr/>
        <w:t>proportions</w:t>
      </w:r>
      <w:r>
        <w:rPr>
          <w:spacing w:val="9"/>
        </w:rPr>
        <w:t> </w:t>
      </w:r>
      <w:r>
        <w:rPr/>
        <w:t>in</w:t>
      </w:r>
      <w:r>
        <w:rPr>
          <w:spacing w:val="8"/>
        </w:rPr>
        <w:t> </w:t>
      </w:r>
      <w:r>
        <w:rPr/>
        <w:t>2004-05</w:t>
      </w:r>
      <w:r>
        <w:rPr>
          <w:spacing w:val="9"/>
        </w:rPr>
        <w:t> </w:t>
      </w:r>
      <w:r>
        <w:rPr>
          <w:spacing w:val="-4"/>
        </w:rPr>
        <w:t>were</w:t>
      </w:r>
    </w:p>
    <w:p>
      <w:pPr>
        <w:pStyle w:val="BodyText"/>
        <w:spacing w:line="266" w:lineRule="auto"/>
        <w:ind w:left="319" w:right="1078"/>
        <w:jc w:val="both"/>
      </w:pPr>
      <w:r>
        <w:rPr>
          <w:spacing w:val="-2"/>
        </w:rPr>
        <w:t>0.34</w:t>
      </w:r>
      <w:r>
        <w:rPr>
          <w:spacing w:val="-12"/>
        </w:rPr>
        <w:t> </w:t>
      </w:r>
      <w:r>
        <w:rPr>
          <w:spacing w:val="-2"/>
        </w:rPr>
        <w:t>per</w:t>
      </w:r>
      <w:r>
        <w:rPr>
          <w:spacing w:val="-11"/>
        </w:rPr>
        <w:t> </w:t>
      </w:r>
      <w:r>
        <w:rPr>
          <w:spacing w:val="-2"/>
        </w:rPr>
        <w:t>cent</w:t>
      </w:r>
      <w:r>
        <w:rPr>
          <w:spacing w:val="-12"/>
        </w:rPr>
        <w:t> </w:t>
      </w:r>
      <w:r>
        <w:rPr>
          <w:spacing w:val="-2"/>
        </w:rPr>
        <w:t>for</w:t>
      </w:r>
      <w:r>
        <w:rPr>
          <w:spacing w:val="-11"/>
        </w:rPr>
        <w:t> </w:t>
      </w:r>
      <w:r>
        <w:rPr>
          <w:spacing w:val="-2"/>
        </w:rPr>
        <w:t>higher</w:t>
      </w:r>
      <w:r>
        <w:rPr>
          <w:spacing w:val="-12"/>
        </w:rPr>
        <w:t> </w:t>
      </w:r>
      <w:r>
        <w:rPr>
          <w:spacing w:val="-2"/>
        </w:rPr>
        <w:t>education</w:t>
      </w:r>
      <w:r>
        <w:rPr>
          <w:spacing w:val="-11"/>
        </w:rPr>
        <w:t> </w:t>
      </w:r>
      <w:r>
        <w:rPr>
          <w:spacing w:val="-2"/>
        </w:rPr>
        <w:t>and</w:t>
      </w:r>
      <w:r>
        <w:rPr>
          <w:spacing w:val="-12"/>
        </w:rPr>
        <w:t> </w:t>
      </w:r>
      <w:r>
        <w:rPr>
          <w:spacing w:val="-2"/>
        </w:rPr>
        <w:t>0.03</w:t>
      </w:r>
      <w:r>
        <w:rPr>
          <w:spacing w:val="-11"/>
        </w:rPr>
        <w:t> </w:t>
      </w:r>
      <w:r>
        <w:rPr>
          <w:spacing w:val="-2"/>
        </w:rPr>
        <w:t>per</w:t>
      </w:r>
      <w:r>
        <w:rPr>
          <w:spacing w:val="-12"/>
        </w:rPr>
        <w:t> </w:t>
      </w:r>
      <w:r>
        <w:rPr>
          <w:spacing w:val="-2"/>
        </w:rPr>
        <w:t>cent</w:t>
      </w:r>
      <w:r>
        <w:rPr>
          <w:spacing w:val="-11"/>
        </w:rPr>
        <w:t> </w:t>
      </w:r>
      <w:r>
        <w:rPr>
          <w:spacing w:val="-2"/>
        </w:rPr>
        <w:t>for </w:t>
      </w:r>
      <w:r>
        <w:rPr/>
        <w:t>technical education.</w:t>
      </w:r>
    </w:p>
    <w:p>
      <w:pPr>
        <w:pStyle w:val="BodyText"/>
        <w:spacing w:before="16"/>
      </w:pPr>
    </w:p>
    <w:p>
      <w:pPr>
        <w:pStyle w:val="BodyText"/>
        <w:spacing w:line="266" w:lineRule="auto"/>
        <w:ind w:left="319" w:right="1077"/>
        <w:jc w:val="both"/>
      </w:pPr>
      <w:r>
        <w:rPr/>
        <w:t>India</w:t>
      </w:r>
      <w:r>
        <w:rPr>
          <w:spacing w:val="-10"/>
        </w:rPr>
        <w:t> </w:t>
      </w:r>
      <w:r>
        <w:rPr/>
        <w:t>also</w:t>
      </w:r>
      <w:r>
        <w:rPr>
          <w:spacing w:val="-10"/>
        </w:rPr>
        <w:t> </w:t>
      </w:r>
      <w:r>
        <w:rPr/>
        <w:t>has</w:t>
      </w:r>
      <w:r>
        <w:rPr>
          <w:spacing w:val="-10"/>
        </w:rPr>
        <w:t> </w:t>
      </w:r>
      <w:r>
        <w:rPr/>
        <w:t>one</w:t>
      </w:r>
      <w:r>
        <w:rPr>
          <w:spacing w:val="-10"/>
        </w:rPr>
        <w:t> </w:t>
      </w:r>
      <w:r>
        <w:rPr/>
        <w:t>of</w:t>
      </w:r>
      <w:r>
        <w:rPr>
          <w:spacing w:val="-10"/>
        </w:rPr>
        <w:t> </w:t>
      </w:r>
      <w:r>
        <w:rPr/>
        <w:t>the</w:t>
      </w:r>
      <w:r>
        <w:rPr>
          <w:spacing w:val="-10"/>
        </w:rPr>
        <w:t> </w:t>
      </w:r>
      <w:r>
        <w:rPr/>
        <w:t>lowest</w:t>
      </w:r>
      <w:r>
        <w:rPr>
          <w:spacing w:val="-10"/>
        </w:rPr>
        <w:t> </w:t>
      </w:r>
      <w:r>
        <w:rPr/>
        <w:t>public</w:t>
      </w:r>
      <w:r>
        <w:rPr>
          <w:spacing w:val="-10"/>
        </w:rPr>
        <w:t> </w:t>
      </w:r>
      <w:r>
        <w:rPr/>
        <w:t>expenditure</w:t>
      </w:r>
      <w:r>
        <w:rPr>
          <w:spacing w:val="-10"/>
        </w:rPr>
        <w:t> </w:t>
      </w:r>
      <w:r>
        <w:rPr/>
        <w:t>on higher</w:t>
      </w:r>
      <w:r>
        <w:rPr>
          <w:spacing w:val="-16"/>
        </w:rPr>
        <w:t> </w:t>
      </w:r>
      <w:r>
        <w:rPr/>
        <w:t>education</w:t>
      </w:r>
      <w:r>
        <w:rPr>
          <w:spacing w:val="-14"/>
        </w:rPr>
        <w:t> </w:t>
      </w:r>
      <w:r>
        <w:rPr/>
        <w:t>per</w:t>
      </w:r>
      <w:r>
        <w:rPr>
          <w:spacing w:val="-14"/>
        </w:rPr>
        <w:t> </w:t>
      </w:r>
      <w:r>
        <w:rPr/>
        <w:t>student</w:t>
      </w:r>
      <w:r>
        <w:rPr>
          <w:spacing w:val="-13"/>
        </w:rPr>
        <w:t> </w:t>
      </w:r>
      <w:r>
        <w:rPr/>
        <w:t>at</w:t>
      </w:r>
      <w:r>
        <w:rPr>
          <w:spacing w:val="-14"/>
        </w:rPr>
        <w:t> </w:t>
      </w:r>
      <w:r>
        <w:rPr/>
        <w:t>406</w:t>
      </w:r>
      <w:r>
        <w:rPr>
          <w:spacing w:val="-14"/>
        </w:rPr>
        <w:t> </w:t>
      </w:r>
      <w:r>
        <w:rPr/>
        <w:t>US</w:t>
      </w:r>
      <w:r>
        <w:rPr>
          <w:spacing w:val="-14"/>
        </w:rPr>
        <w:t> </w:t>
      </w:r>
      <w:r>
        <w:rPr/>
        <w:t>Dollars,</w:t>
      </w:r>
      <w:r>
        <w:rPr>
          <w:spacing w:val="-13"/>
        </w:rPr>
        <w:t> </w:t>
      </w:r>
      <w:r>
        <w:rPr/>
        <w:t>which </w:t>
      </w:r>
      <w:r>
        <w:rPr>
          <w:spacing w:val="-4"/>
        </w:rPr>
        <w:t>compares</w:t>
      </w:r>
      <w:r>
        <w:rPr>
          <w:spacing w:val="-9"/>
        </w:rPr>
        <w:t> </w:t>
      </w:r>
      <w:r>
        <w:rPr>
          <w:spacing w:val="-4"/>
        </w:rPr>
        <w:t>unfavourably</w:t>
      </w:r>
      <w:r>
        <w:rPr>
          <w:spacing w:val="-9"/>
        </w:rPr>
        <w:t> </w:t>
      </w:r>
      <w:r>
        <w:rPr>
          <w:spacing w:val="-4"/>
        </w:rPr>
        <w:t>with</w:t>
      </w:r>
      <w:r>
        <w:rPr>
          <w:spacing w:val="-9"/>
        </w:rPr>
        <w:t> </w:t>
      </w:r>
      <w:r>
        <w:rPr>
          <w:spacing w:val="-4"/>
        </w:rPr>
        <w:t>Malaysia</w:t>
      </w:r>
      <w:r>
        <w:rPr>
          <w:spacing w:val="-9"/>
        </w:rPr>
        <w:t> </w:t>
      </w:r>
      <w:r>
        <w:rPr>
          <w:spacing w:val="-4"/>
        </w:rPr>
        <w:t>(11,790</w:t>
      </w:r>
      <w:r>
        <w:rPr>
          <w:spacing w:val="-9"/>
        </w:rPr>
        <w:t> </w:t>
      </w:r>
      <w:r>
        <w:rPr>
          <w:spacing w:val="-4"/>
        </w:rPr>
        <w:t>dollars), </w:t>
      </w:r>
      <w:r>
        <w:rPr/>
        <w:t>China</w:t>
      </w:r>
      <w:r>
        <w:rPr>
          <w:spacing w:val="-12"/>
        </w:rPr>
        <w:t> </w:t>
      </w:r>
      <w:r>
        <w:rPr/>
        <w:t>(2728</w:t>
      </w:r>
      <w:r>
        <w:rPr>
          <w:spacing w:val="-12"/>
        </w:rPr>
        <w:t> </w:t>
      </w:r>
      <w:r>
        <w:rPr/>
        <w:t>dollars),</w:t>
      </w:r>
      <w:r>
        <w:rPr>
          <w:spacing w:val="-12"/>
        </w:rPr>
        <w:t> </w:t>
      </w:r>
      <w:r>
        <w:rPr/>
        <w:t>Brazil</w:t>
      </w:r>
      <w:r>
        <w:rPr>
          <w:spacing w:val="-12"/>
        </w:rPr>
        <w:t> </w:t>
      </w:r>
      <w:r>
        <w:rPr/>
        <w:t>(3986</w:t>
      </w:r>
      <w:r>
        <w:rPr>
          <w:spacing w:val="-12"/>
        </w:rPr>
        <w:t> </w:t>
      </w:r>
      <w:r>
        <w:rPr/>
        <w:t>dollars),</w:t>
      </w:r>
      <w:r>
        <w:rPr>
          <w:spacing w:val="-12"/>
        </w:rPr>
        <w:t> </w:t>
      </w:r>
      <w:r>
        <w:rPr/>
        <w:t>Indonesia (666 dollars) and the Philippines (625 dollars). In nominal terms the public expenditure per student in </w:t>
      </w:r>
      <w:r>
        <w:rPr>
          <w:spacing w:val="-6"/>
        </w:rPr>
        <w:t>higher</w:t>
      </w:r>
      <w:r>
        <w:rPr>
          <w:spacing w:val="-18"/>
        </w:rPr>
        <w:t> </w:t>
      </w:r>
      <w:r>
        <w:rPr>
          <w:spacing w:val="-6"/>
        </w:rPr>
        <w:t>education</w:t>
      </w:r>
      <w:r>
        <w:rPr>
          <w:spacing w:val="-18"/>
        </w:rPr>
        <w:t> </w:t>
      </w:r>
      <w:r>
        <w:rPr>
          <w:spacing w:val="-6"/>
        </w:rPr>
        <w:t>stood</w:t>
      </w:r>
      <w:r>
        <w:rPr>
          <w:spacing w:val="-18"/>
        </w:rPr>
        <w:t> </w:t>
      </w:r>
      <w:r>
        <w:rPr>
          <w:spacing w:val="-6"/>
        </w:rPr>
        <w:t>at</w:t>
      </w:r>
      <w:r>
        <w:rPr>
          <w:spacing w:val="-17"/>
        </w:rPr>
        <w:t> </w:t>
      </w:r>
      <w:r>
        <w:rPr>
          <w:spacing w:val="-6"/>
        </w:rPr>
        <w:t>Rs.</w:t>
      </w:r>
      <w:r>
        <w:rPr>
          <w:spacing w:val="-18"/>
        </w:rPr>
        <w:t> </w:t>
      </w:r>
      <w:r>
        <w:rPr>
          <w:spacing w:val="-6"/>
        </w:rPr>
        <w:t>12518</w:t>
      </w:r>
      <w:r>
        <w:rPr>
          <w:spacing w:val="-18"/>
        </w:rPr>
        <w:t> </w:t>
      </w:r>
      <w:r>
        <w:rPr>
          <w:spacing w:val="-6"/>
        </w:rPr>
        <w:t>respectively</w:t>
      </w:r>
      <w:r>
        <w:rPr>
          <w:spacing w:val="-17"/>
        </w:rPr>
        <w:t> </w:t>
      </w:r>
      <w:r>
        <w:rPr>
          <w:spacing w:val="-6"/>
        </w:rPr>
        <w:t>in</w:t>
      </w:r>
      <w:r>
        <w:rPr>
          <w:spacing w:val="-18"/>
        </w:rPr>
        <w:t> </w:t>
      </w:r>
      <w:r>
        <w:rPr>
          <w:spacing w:val="-6"/>
        </w:rPr>
        <w:t>2003-</w:t>
      </w:r>
    </w:p>
    <w:p>
      <w:pPr>
        <w:pStyle w:val="BodyText"/>
        <w:spacing w:line="266" w:lineRule="auto"/>
        <w:ind w:left="319" w:right="1078"/>
        <w:jc w:val="both"/>
      </w:pPr>
      <w:r>
        <w:rPr>
          <w:spacing w:val="-4"/>
        </w:rPr>
        <w:t>04.</w:t>
      </w:r>
      <w:r>
        <w:rPr>
          <w:spacing w:val="-10"/>
        </w:rPr>
        <w:t> </w:t>
      </w:r>
      <w:r>
        <w:rPr>
          <w:spacing w:val="-4"/>
        </w:rPr>
        <w:t>The</w:t>
      </w:r>
      <w:r>
        <w:rPr>
          <w:spacing w:val="-10"/>
        </w:rPr>
        <w:t> </w:t>
      </w:r>
      <w:r>
        <w:rPr>
          <w:spacing w:val="-4"/>
        </w:rPr>
        <w:t>trend</w:t>
      </w:r>
      <w:r>
        <w:rPr>
          <w:spacing w:val="-10"/>
        </w:rPr>
        <w:t> </w:t>
      </w:r>
      <w:r>
        <w:rPr>
          <w:spacing w:val="-4"/>
        </w:rPr>
        <w:t>analysis</w:t>
      </w:r>
      <w:r>
        <w:rPr>
          <w:spacing w:val="-9"/>
        </w:rPr>
        <w:t> </w:t>
      </w:r>
      <w:r>
        <w:rPr>
          <w:spacing w:val="-4"/>
        </w:rPr>
        <w:t>shows</w:t>
      </w:r>
      <w:r>
        <w:rPr>
          <w:spacing w:val="-10"/>
        </w:rPr>
        <w:t> </w:t>
      </w:r>
      <w:r>
        <w:rPr>
          <w:spacing w:val="-4"/>
        </w:rPr>
        <w:t>that</w:t>
      </w:r>
      <w:r>
        <w:rPr>
          <w:spacing w:val="-10"/>
        </w:rPr>
        <w:t> </w:t>
      </w:r>
      <w:r>
        <w:rPr>
          <w:spacing w:val="-4"/>
        </w:rPr>
        <w:t>the</w:t>
      </w:r>
      <w:r>
        <w:rPr>
          <w:spacing w:val="-10"/>
        </w:rPr>
        <w:t> </w:t>
      </w:r>
      <w:r>
        <w:rPr>
          <w:spacing w:val="-4"/>
        </w:rPr>
        <w:t>increase</w:t>
      </w:r>
      <w:r>
        <w:rPr>
          <w:spacing w:val="-9"/>
        </w:rPr>
        <w:t> </w:t>
      </w:r>
      <w:r>
        <w:rPr>
          <w:spacing w:val="-4"/>
        </w:rPr>
        <w:t>is</w:t>
      </w:r>
      <w:r>
        <w:rPr>
          <w:spacing w:val="-10"/>
        </w:rPr>
        <w:t> </w:t>
      </w:r>
      <w:r>
        <w:rPr>
          <w:spacing w:val="-4"/>
        </w:rPr>
        <w:t>not</w:t>
      </w:r>
      <w:r>
        <w:rPr>
          <w:spacing w:val="-10"/>
        </w:rPr>
        <w:t> </w:t>
      </w:r>
      <w:r>
        <w:rPr>
          <w:spacing w:val="-4"/>
        </w:rPr>
        <w:t>that </w:t>
      </w:r>
      <w:r>
        <w:rPr/>
        <w:t>marked if we consider the growth in enrolment, </w:t>
      </w:r>
      <w:r>
        <w:rPr/>
        <w:t>with the nominal public expenditure per student in higher education</w:t>
      </w:r>
      <w:r>
        <w:rPr>
          <w:spacing w:val="-6"/>
        </w:rPr>
        <w:t> </w:t>
      </w:r>
      <w:r>
        <w:rPr/>
        <w:t>going</w:t>
      </w:r>
      <w:r>
        <w:rPr>
          <w:spacing w:val="-6"/>
        </w:rPr>
        <w:t> </w:t>
      </w:r>
      <w:r>
        <w:rPr/>
        <w:t>up</w:t>
      </w:r>
      <w:r>
        <w:rPr>
          <w:spacing w:val="-6"/>
        </w:rPr>
        <w:t> </w:t>
      </w:r>
      <w:r>
        <w:rPr/>
        <w:t>by</w:t>
      </w:r>
      <w:r>
        <w:rPr>
          <w:spacing w:val="-6"/>
        </w:rPr>
        <w:t> </w:t>
      </w:r>
      <w:r>
        <w:rPr/>
        <w:t>only</w:t>
      </w:r>
      <w:r>
        <w:rPr>
          <w:spacing w:val="-6"/>
        </w:rPr>
        <w:t> </w:t>
      </w:r>
      <w:r>
        <w:rPr/>
        <w:t>40</w:t>
      </w:r>
      <w:r>
        <w:rPr>
          <w:spacing w:val="-6"/>
        </w:rPr>
        <w:t> </w:t>
      </w:r>
      <w:r>
        <w:rPr/>
        <w:t>per</w:t>
      </w:r>
      <w:r>
        <w:rPr>
          <w:spacing w:val="-6"/>
        </w:rPr>
        <w:t> </w:t>
      </w:r>
      <w:r>
        <w:rPr/>
        <w:t>cent</w:t>
      </w:r>
      <w:r>
        <w:rPr>
          <w:spacing w:val="-6"/>
        </w:rPr>
        <w:t> </w:t>
      </w:r>
      <w:r>
        <w:rPr/>
        <w:t>from</w:t>
      </w:r>
      <w:r>
        <w:rPr>
          <w:spacing w:val="-6"/>
        </w:rPr>
        <w:t> </w:t>
      </w:r>
      <w:r>
        <w:rPr/>
        <w:t>1993-94 to 2003-04. In fact, in real terms, public expenditure per student in higher education has declined from</w:t>
      </w:r>
      <w:r>
        <w:rPr>
          <w:spacing w:val="80"/>
        </w:rPr>
        <w:t> </w:t>
      </w:r>
      <w:r>
        <w:rPr/>
        <w:t>Rs. 8961 in 1993-94 to Rs. 7117 in 2003-04.</w:t>
      </w:r>
    </w:p>
    <w:p>
      <w:pPr>
        <w:spacing w:after="0" w:line="266" w:lineRule="auto"/>
        <w:jc w:val="both"/>
        <w:sectPr>
          <w:pgSz w:w="11910" w:h="16840"/>
          <w:pgMar w:header="0" w:footer="675" w:top="960" w:bottom="860" w:left="0" w:right="0"/>
          <w:cols w:num="2" w:equalWidth="0">
            <w:col w:w="5774" w:space="40"/>
            <w:col w:w="6096"/>
          </w:cols>
        </w:sectPr>
      </w:pPr>
    </w:p>
    <w:p>
      <w:pPr>
        <w:pStyle w:val="Heading8"/>
        <w:spacing w:before="224"/>
        <w:ind w:left="1997"/>
      </w:pPr>
      <w:r>
        <w:rPr/>
        <mc:AlternateContent>
          <mc:Choice Requires="wps">
            <w:drawing>
              <wp:anchor distT="0" distB="0" distL="0" distR="0" allowOverlap="1" layoutInCell="1" locked="0" behindDoc="1" simplePos="0" relativeHeight="479394816">
                <wp:simplePos x="0" y="0"/>
                <wp:positionH relativeFrom="page">
                  <wp:posOffset>1259949</wp:posOffset>
                </wp:positionH>
                <wp:positionV relativeFrom="paragraph">
                  <wp:posOffset>433861</wp:posOffset>
                </wp:positionV>
                <wp:extent cx="5042535" cy="2658110"/>
                <wp:effectExtent l="0" t="0" r="0" b="0"/>
                <wp:wrapNone/>
                <wp:docPr id="1392" name="Group 1392"/>
                <wp:cNvGraphicFramePr>
                  <a:graphicFrameLocks/>
                </wp:cNvGraphicFramePr>
                <a:graphic>
                  <a:graphicData uri="http://schemas.microsoft.com/office/word/2010/wordprocessingGroup">
                    <wpg:wgp>
                      <wpg:cNvPr id="1392" name="Group 1392"/>
                      <wpg:cNvGrpSpPr/>
                      <wpg:grpSpPr>
                        <a:xfrm>
                          <a:off x="0" y="0"/>
                          <a:ext cx="5042535" cy="2658110"/>
                          <a:chExt cx="5042535" cy="2658110"/>
                        </a:xfrm>
                      </wpg:grpSpPr>
                      <wps:wsp>
                        <wps:cNvPr id="1393" name="Graphic 1393"/>
                        <wps:cNvSpPr/>
                        <wps:spPr>
                          <a:xfrm>
                            <a:off x="-7" y="0"/>
                            <a:ext cx="5042535" cy="2658110"/>
                          </a:xfrm>
                          <a:custGeom>
                            <a:avLst/>
                            <a:gdLst/>
                            <a:ahLst/>
                            <a:cxnLst/>
                            <a:rect l="l" t="t" r="r" b="b"/>
                            <a:pathLst>
                              <a:path w="5042535" h="2658110">
                                <a:moveTo>
                                  <a:pt x="5042230" y="0"/>
                                </a:moveTo>
                                <a:lnTo>
                                  <a:pt x="5035880" y="0"/>
                                </a:lnTo>
                                <a:lnTo>
                                  <a:pt x="5035880" y="2540"/>
                                </a:lnTo>
                                <a:lnTo>
                                  <a:pt x="5035880" y="2692"/>
                                </a:lnTo>
                                <a:lnTo>
                                  <a:pt x="5035880" y="5867"/>
                                </a:lnTo>
                                <a:lnTo>
                                  <a:pt x="5035880" y="6350"/>
                                </a:lnTo>
                                <a:lnTo>
                                  <a:pt x="5035880" y="2651239"/>
                                </a:lnTo>
                                <a:lnTo>
                                  <a:pt x="6350" y="2651239"/>
                                </a:lnTo>
                                <a:lnTo>
                                  <a:pt x="6350" y="6350"/>
                                </a:lnTo>
                                <a:lnTo>
                                  <a:pt x="3175" y="6350"/>
                                </a:lnTo>
                                <a:lnTo>
                                  <a:pt x="3175" y="5867"/>
                                </a:lnTo>
                                <a:lnTo>
                                  <a:pt x="6350" y="5867"/>
                                </a:lnTo>
                                <a:lnTo>
                                  <a:pt x="5035880" y="5867"/>
                                </a:lnTo>
                                <a:lnTo>
                                  <a:pt x="5035880" y="2692"/>
                                </a:lnTo>
                                <a:lnTo>
                                  <a:pt x="6350" y="2692"/>
                                </a:lnTo>
                                <a:lnTo>
                                  <a:pt x="3175" y="2692"/>
                                </a:lnTo>
                                <a:lnTo>
                                  <a:pt x="3175" y="2540"/>
                                </a:lnTo>
                                <a:lnTo>
                                  <a:pt x="5035880" y="2540"/>
                                </a:lnTo>
                                <a:lnTo>
                                  <a:pt x="5035880" y="0"/>
                                </a:lnTo>
                                <a:lnTo>
                                  <a:pt x="0" y="0"/>
                                </a:lnTo>
                                <a:lnTo>
                                  <a:pt x="0" y="2540"/>
                                </a:lnTo>
                                <a:lnTo>
                                  <a:pt x="0" y="6350"/>
                                </a:lnTo>
                                <a:lnTo>
                                  <a:pt x="0" y="2651760"/>
                                </a:lnTo>
                                <a:lnTo>
                                  <a:pt x="0" y="2654300"/>
                                </a:lnTo>
                                <a:lnTo>
                                  <a:pt x="0" y="2658110"/>
                                </a:lnTo>
                                <a:lnTo>
                                  <a:pt x="5042230" y="2658110"/>
                                </a:lnTo>
                                <a:lnTo>
                                  <a:pt x="5042230" y="6350"/>
                                </a:lnTo>
                                <a:lnTo>
                                  <a:pt x="5039055" y="6350"/>
                                </a:lnTo>
                                <a:lnTo>
                                  <a:pt x="5039055" y="5867"/>
                                </a:lnTo>
                                <a:lnTo>
                                  <a:pt x="5042230" y="5867"/>
                                </a:lnTo>
                                <a:lnTo>
                                  <a:pt x="5042230" y="2692"/>
                                </a:lnTo>
                                <a:lnTo>
                                  <a:pt x="5039055" y="2692"/>
                                </a:lnTo>
                                <a:lnTo>
                                  <a:pt x="5039055" y="2540"/>
                                </a:lnTo>
                                <a:lnTo>
                                  <a:pt x="5042230" y="2540"/>
                                </a:lnTo>
                                <a:lnTo>
                                  <a:pt x="5042230" y="0"/>
                                </a:lnTo>
                                <a:close/>
                              </a:path>
                            </a:pathLst>
                          </a:custGeom>
                          <a:solidFill>
                            <a:srgbClr val="000000"/>
                          </a:solidFill>
                        </wps:spPr>
                        <wps:bodyPr wrap="square" lIns="0" tIns="0" rIns="0" bIns="0" rtlCol="0">
                          <a:prstTxWarp prst="textNoShape">
                            <a:avLst/>
                          </a:prstTxWarp>
                          <a:noAutofit/>
                        </wps:bodyPr>
                      </wps:wsp>
                      <wps:wsp>
                        <wps:cNvPr id="1394" name="Textbox 1394"/>
                        <wps:cNvSpPr txBox="1"/>
                        <wps:spPr>
                          <a:xfrm>
                            <a:off x="4509318" y="2462185"/>
                            <a:ext cx="27241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All</w:t>
                              </w:r>
                              <w:r>
                                <w:rPr>
                                  <w:rFonts w:ascii="Arial MT"/>
                                  <w:spacing w:val="-2"/>
                                  <w:w w:val="85"/>
                                  <w:sz w:val="14"/>
                                </w:rPr>
                                <w:t> </w:t>
                              </w:r>
                              <w:r>
                                <w:rPr>
                                  <w:rFonts w:ascii="Arial MT"/>
                                  <w:spacing w:val="-4"/>
                                  <w:w w:val="85"/>
                                  <w:sz w:val="14"/>
                                </w:rPr>
                                <w:t>India</w:t>
                              </w:r>
                            </w:p>
                          </w:txbxContent>
                        </wps:txbx>
                        <wps:bodyPr wrap="square" lIns="0" tIns="0" rIns="0" bIns="0" rtlCol="0">
                          <a:noAutofit/>
                        </wps:bodyPr>
                      </wps:wsp>
                      <wps:wsp>
                        <wps:cNvPr id="1395" name="Textbox 1395"/>
                        <wps:cNvSpPr txBox="1"/>
                        <wps:spPr>
                          <a:xfrm>
                            <a:off x="4027940" y="2462185"/>
                            <a:ext cx="23177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Others</w:t>
                              </w:r>
                            </w:p>
                          </w:txbxContent>
                        </wps:txbx>
                        <wps:bodyPr wrap="square" lIns="0" tIns="0" rIns="0" bIns="0" rtlCol="0">
                          <a:noAutofit/>
                        </wps:bodyPr>
                      </wps:wsp>
                      <wps:wsp>
                        <wps:cNvPr id="1396" name="Textbox 1396"/>
                        <wps:cNvSpPr txBox="1"/>
                        <wps:spPr>
                          <a:xfrm>
                            <a:off x="3570237" y="2462185"/>
                            <a:ext cx="207645"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OBCs</w:t>
                              </w:r>
                            </w:p>
                          </w:txbxContent>
                        </wps:txbx>
                        <wps:bodyPr wrap="square" lIns="0" tIns="0" rIns="0" bIns="0" rtlCol="0">
                          <a:noAutofit/>
                        </wps:bodyPr>
                      </wps:wsp>
                      <wps:wsp>
                        <wps:cNvPr id="1397" name="Textbox 1397"/>
                        <wps:cNvSpPr txBox="1"/>
                        <wps:spPr>
                          <a:xfrm>
                            <a:off x="3104096" y="2462185"/>
                            <a:ext cx="136525" cy="102235"/>
                          </a:xfrm>
                          <a:prstGeom prst="rect">
                            <a:avLst/>
                          </a:prstGeom>
                        </wps:spPr>
                        <wps:txbx>
                          <w:txbxContent>
                            <w:p>
                              <w:pPr>
                                <w:spacing w:line="161" w:lineRule="exact" w:before="0"/>
                                <w:ind w:left="0" w:right="0" w:firstLine="0"/>
                                <w:jc w:val="left"/>
                                <w:rPr>
                                  <w:rFonts w:ascii="Arial MT"/>
                                  <w:sz w:val="14"/>
                                </w:rPr>
                              </w:pPr>
                              <w:r>
                                <w:rPr>
                                  <w:rFonts w:ascii="Arial MT"/>
                                  <w:spacing w:val="-8"/>
                                  <w:w w:val="90"/>
                                  <w:sz w:val="14"/>
                                </w:rPr>
                                <w:t>STs</w:t>
                              </w:r>
                            </w:p>
                          </w:txbxContent>
                        </wps:txbx>
                        <wps:bodyPr wrap="square" lIns="0" tIns="0" rIns="0" bIns="0" rtlCol="0">
                          <a:noAutofit/>
                        </wps:bodyPr>
                      </wps:wsp>
                      <wps:wsp>
                        <wps:cNvPr id="1398" name="Textbox 1398"/>
                        <wps:cNvSpPr txBox="1"/>
                        <wps:spPr>
                          <a:xfrm>
                            <a:off x="2633405" y="2462185"/>
                            <a:ext cx="150495"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SCs</w:t>
                              </w:r>
                            </w:p>
                          </w:txbxContent>
                        </wps:txbx>
                        <wps:bodyPr wrap="square" lIns="0" tIns="0" rIns="0" bIns="0" rtlCol="0">
                          <a:noAutofit/>
                        </wps:bodyPr>
                      </wps:wsp>
                      <wps:wsp>
                        <wps:cNvPr id="1399" name="Textbox 1399"/>
                        <wps:cNvSpPr txBox="1"/>
                        <wps:spPr>
                          <a:xfrm>
                            <a:off x="2091757" y="2462185"/>
                            <a:ext cx="255904"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Female</w:t>
                              </w:r>
                            </w:p>
                          </w:txbxContent>
                        </wps:txbx>
                        <wps:bodyPr wrap="square" lIns="0" tIns="0" rIns="0" bIns="0" rtlCol="0">
                          <a:noAutofit/>
                        </wps:bodyPr>
                      </wps:wsp>
                      <wps:wsp>
                        <wps:cNvPr id="1400" name="Textbox 1400"/>
                        <wps:cNvSpPr txBox="1"/>
                        <wps:spPr>
                          <a:xfrm>
                            <a:off x="1645347" y="2462185"/>
                            <a:ext cx="170815"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Male</w:t>
                              </w:r>
                            </w:p>
                          </w:txbxContent>
                        </wps:txbx>
                        <wps:bodyPr wrap="square" lIns="0" tIns="0" rIns="0" bIns="0" rtlCol="0">
                          <a:noAutofit/>
                        </wps:bodyPr>
                      </wps:wsp>
                      <wps:wsp>
                        <wps:cNvPr id="1401" name="Textbox 1401"/>
                        <wps:cNvSpPr txBox="1"/>
                        <wps:spPr>
                          <a:xfrm>
                            <a:off x="1155197" y="2462185"/>
                            <a:ext cx="211454"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Urban</w:t>
                              </w:r>
                            </w:p>
                          </w:txbxContent>
                        </wps:txbx>
                        <wps:bodyPr wrap="square" lIns="0" tIns="0" rIns="0" bIns="0" rtlCol="0">
                          <a:noAutofit/>
                        </wps:bodyPr>
                      </wps:wsp>
                      <wps:wsp>
                        <wps:cNvPr id="1402" name="Textbox 1402"/>
                        <wps:cNvSpPr txBox="1"/>
                        <wps:spPr>
                          <a:xfrm>
                            <a:off x="672073" y="2462185"/>
                            <a:ext cx="18732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Rural</w:t>
                              </w:r>
                            </w:p>
                          </w:txbxContent>
                        </wps:txbx>
                        <wps:bodyPr wrap="square" lIns="0" tIns="0" rIns="0" bIns="0" rtlCol="0">
                          <a:noAutofit/>
                        </wps:bodyPr>
                      </wps:wsp>
                      <wps:wsp>
                        <wps:cNvPr id="1403" name="Textbox 1403"/>
                        <wps:cNvSpPr txBox="1"/>
                        <wps:spPr>
                          <a:xfrm>
                            <a:off x="413806" y="235793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404" name="Textbox 1404"/>
                        <wps:cNvSpPr txBox="1"/>
                        <wps:spPr>
                          <a:xfrm>
                            <a:off x="413806" y="192359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5</w:t>
                              </w:r>
                            </w:p>
                          </w:txbxContent>
                        </wps:txbx>
                        <wps:bodyPr wrap="square" lIns="0" tIns="0" rIns="0" bIns="0" rtlCol="0">
                          <a:noAutofit/>
                        </wps:bodyPr>
                      </wps:wsp>
                      <wps:wsp>
                        <wps:cNvPr id="1405" name="Textbox 1405"/>
                        <wps:cNvSpPr txBox="1"/>
                        <wps:spPr>
                          <a:xfrm>
                            <a:off x="373263" y="1489255"/>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w:t>
                              </w:r>
                            </w:p>
                          </w:txbxContent>
                        </wps:txbx>
                        <wps:bodyPr wrap="square" lIns="0" tIns="0" rIns="0" bIns="0" rtlCol="0">
                          <a:noAutofit/>
                        </wps:bodyPr>
                      </wps:wsp>
                      <wps:wsp>
                        <wps:cNvPr id="1406" name="Textbox 1406"/>
                        <wps:cNvSpPr txBox="1"/>
                        <wps:spPr>
                          <a:xfrm>
                            <a:off x="373263" y="1054915"/>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15</w:t>
                              </w:r>
                            </w:p>
                          </w:txbxContent>
                        </wps:txbx>
                        <wps:bodyPr wrap="square" lIns="0" tIns="0" rIns="0" bIns="0" rtlCol="0">
                          <a:noAutofit/>
                        </wps:bodyPr>
                      </wps:wsp>
                      <wps:wsp>
                        <wps:cNvPr id="1407" name="Textbox 1407"/>
                        <wps:cNvSpPr txBox="1"/>
                        <wps:spPr>
                          <a:xfrm>
                            <a:off x="373263" y="620575"/>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w:t>
                              </w:r>
                            </w:p>
                          </w:txbxContent>
                        </wps:txbx>
                        <wps:bodyPr wrap="square" lIns="0" tIns="0" rIns="0" bIns="0" rtlCol="0">
                          <a:noAutofit/>
                        </wps:bodyPr>
                      </wps:wsp>
                      <wps:wsp>
                        <wps:cNvPr id="1408" name="Textbox 1408"/>
                        <wps:cNvSpPr txBox="1"/>
                        <wps:spPr>
                          <a:xfrm>
                            <a:off x="373263" y="186235"/>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25</w:t>
                              </w:r>
                            </w:p>
                          </w:txbxContent>
                        </wps:txbx>
                        <wps:bodyPr wrap="square" lIns="0" tIns="0" rIns="0" bIns="0" rtlCol="0">
                          <a:noAutofit/>
                        </wps:bodyPr>
                      </wps:wsp>
                    </wpg:wgp>
                  </a:graphicData>
                </a:graphic>
              </wp:anchor>
            </w:drawing>
          </mc:Choice>
          <mc:Fallback>
            <w:pict>
              <v:group style="position:absolute;margin-left:99.208618pt;margin-top:34.162304pt;width:397.05pt;height:209.3pt;mso-position-horizontal-relative:page;mso-position-vertical-relative:paragraph;z-index:-23921664" id="docshapegroup1380" coordorigin="1984,683" coordsize="7941,4186">
                <v:shape style="position:absolute;left:1984;top:683;width:7941;height:4186" id="docshape1381" coordorigin="1984,683" coordsize="7941,4186" path="m9925,683l9915,683,9915,687,9915,687,9915,692,9915,693,9915,4858,1994,4858,1994,693,1989,693,1989,692,1994,692,9915,692,9915,687,1994,687,1989,687,1989,687,9915,687,9915,683,1984,683,1984,687,1984,693,1984,4859,1984,4863,1984,4869,9925,4869,9925,693,9920,693,9920,692,9925,692,9925,687,9920,687,9920,687,9925,687,9925,683xe" filled="true" fillcolor="#000000" stroked="false">
                  <v:path arrowok="t"/>
                  <v:fill type="solid"/>
                </v:shape>
                <v:shape style="position:absolute;left:9085;top:4560;width:429;height:161" type="#_x0000_t202" id="docshape1382" filled="false" stroked="false">
                  <v:textbox inset="0,0,0,0">
                    <w:txbxContent>
                      <w:p>
                        <w:pPr>
                          <w:spacing w:line="161" w:lineRule="exact" w:before="0"/>
                          <w:ind w:left="0" w:right="0" w:firstLine="0"/>
                          <w:jc w:val="left"/>
                          <w:rPr>
                            <w:rFonts w:ascii="Arial MT"/>
                            <w:sz w:val="14"/>
                          </w:rPr>
                        </w:pPr>
                        <w:r>
                          <w:rPr>
                            <w:rFonts w:ascii="Arial MT"/>
                            <w:w w:val="80"/>
                            <w:sz w:val="14"/>
                          </w:rPr>
                          <w:t>All</w:t>
                        </w:r>
                        <w:r>
                          <w:rPr>
                            <w:rFonts w:ascii="Arial MT"/>
                            <w:spacing w:val="-2"/>
                            <w:w w:val="85"/>
                            <w:sz w:val="14"/>
                          </w:rPr>
                          <w:t> </w:t>
                        </w:r>
                        <w:r>
                          <w:rPr>
                            <w:rFonts w:ascii="Arial MT"/>
                            <w:spacing w:val="-4"/>
                            <w:w w:val="85"/>
                            <w:sz w:val="14"/>
                          </w:rPr>
                          <w:t>India</w:t>
                        </w:r>
                      </w:p>
                    </w:txbxContent>
                  </v:textbox>
                  <w10:wrap type="none"/>
                </v:shape>
                <v:shape style="position:absolute;left:8327;top:4560;width:365;height:161" type="#_x0000_t202" id="docshape1383" filled="false" stroked="false">
                  <v:textbox inset="0,0,0,0">
                    <w:txbxContent>
                      <w:p>
                        <w:pPr>
                          <w:spacing w:line="161" w:lineRule="exact" w:before="0"/>
                          <w:ind w:left="0" w:right="0" w:firstLine="0"/>
                          <w:jc w:val="left"/>
                          <w:rPr>
                            <w:rFonts w:ascii="Arial MT"/>
                            <w:sz w:val="14"/>
                          </w:rPr>
                        </w:pPr>
                        <w:r>
                          <w:rPr>
                            <w:rFonts w:ascii="Arial MT"/>
                            <w:spacing w:val="-2"/>
                            <w:w w:val="85"/>
                            <w:sz w:val="14"/>
                          </w:rPr>
                          <w:t>Others</w:t>
                        </w:r>
                      </w:p>
                    </w:txbxContent>
                  </v:textbox>
                  <w10:wrap type="none"/>
                </v:shape>
                <v:shape style="position:absolute;left:7606;top:4560;width:327;height:161" type="#_x0000_t202" id="docshape1384" filled="false" stroked="false">
                  <v:textbox inset="0,0,0,0">
                    <w:txbxContent>
                      <w:p>
                        <w:pPr>
                          <w:spacing w:line="161" w:lineRule="exact" w:before="0"/>
                          <w:ind w:left="0" w:right="0" w:firstLine="0"/>
                          <w:jc w:val="left"/>
                          <w:rPr>
                            <w:rFonts w:ascii="Arial MT"/>
                            <w:sz w:val="14"/>
                          </w:rPr>
                        </w:pPr>
                        <w:r>
                          <w:rPr>
                            <w:rFonts w:ascii="Arial MT"/>
                            <w:spacing w:val="-4"/>
                            <w:w w:val="85"/>
                            <w:sz w:val="14"/>
                          </w:rPr>
                          <w:t>OBCs</w:t>
                        </w:r>
                      </w:p>
                    </w:txbxContent>
                  </v:textbox>
                  <w10:wrap type="none"/>
                </v:shape>
                <v:shape style="position:absolute;left:6872;top:4560;width:215;height:161" type="#_x0000_t202" id="docshape1385" filled="false" stroked="false">
                  <v:textbox inset="0,0,0,0">
                    <w:txbxContent>
                      <w:p>
                        <w:pPr>
                          <w:spacing w:line="161" w:lineRule="exact" w:before="0"/>
                          <w:ind w:left="0" w:right="0" w:firstLine="0"/>
                          <w:jc w:val="left"/>
                          <w:rPr>
                            <w:rFonts w:ascii="Arial MT"/>
                            <w:sz w:val="14"/>
                          </w:rPr>
                        </w:pPr>
                        <w:r>
                          <w:rPr>
                            <w:rFonts w:ascii="Arial MT"/>
                            <w:spacing w:val="-8"/>
                            <w:w w:val="90"/>
                            <w:sz w:val="14"/>
                          </w:rPr>
                          <w:t>STs</w:t>
                        </w:r>
                      </w:p>
                    </w:txbxContent>
                  </v:textbox>
                  <w10:wrap type="none"/>
                </v:shape>
                <v:shape style="position:absolute;left:6131;top:4560;width:237;height:161" type="#_x0000_t202" id="docshape1386" filled="false" stroked="false">
                  <v:textbox inset="0,0,0,0">
                    <w:txbxContent>
                      <w:p>
                        <w:pPr>
                          <w:spacing w:line="161" w:lineRule="exact" w:before="0"/>
                          <w:ind w:left="0" w:right="0" w:firstLine="0"/>
                          <w:jc w:val="left"/>
                          <w:rPr>
                            <w:rFonts w:ascii="Arial MT"/>
                            <w:sz w:val="14"/>
                          </w:rPr>
                        </w:pPr>
                        <w:r>
                          <w:rPr>
                            <w:rFonts w:ascii="Arial MT"/>
                            <w:spacing w:val="-5"/>
                            <w:w w:val="90"/>
                            <w:sz w:val="14"/>
                          </w:rPr>
                          <w:t>SCs</w:t>
                        </w:r>
                      </w:p>
                    </w:txbxContent>
                  </v:textbox>
                  <w10:wrap type="none"/>
                </v:shape>
                <v:shape style="position:absolute;left:5278;top:4560;width:403;height:161" type="#_x0000_t202" id="docshape1387" filled="false" stroked="false">
                  <v:textbox inset="0,0,0,0">
                    <w:txbxContent>
                      <w:p>
                        <w:pPr>
                          <w:spacing w:line="161" w:lineRule="exact" w:before="0"/>
                          <w:ind w:left="0" w:right="0" w:firstLine="0"/>
                          <w:jc w:val="left"/>
                          <w:rPr>
                            <w:rFonts w:ascii="Arial MT"/>
                            <w:sz w:val="14"/>
                          </w:rPr>
                        </w:pPr>
                        <w:r>
                          <w:rPr>
                            <w:rFonts w:ascii="Arial MT"/>
                            <w:spacing w:val="-2"/>
                            <w:w w:val="85"/>
                            <w:sz w:val="14"/>
                          </w:rPr>
                          <w:t>Female</w:t>
                        </w:r>
                      </w:p>
                    </w:txbxContent>
                  </v:textbox>
                  <w10:wrap type="none"/>
                </v:shape>
                <v:shape style="position:absolute;left:4575;top:4560;width:269;height:161" type="#_x0000_t202" id="docshape1388" filled="false" stroked="false">
                  <v:textbox inset="0,0,0,0">
                    <w:txbxContent>
                      <w:p>
                        <w:pPr>
                          <w:spacing w:line="161" w:lineRule="exact" w:before="0"/>
                          <w:ind w:left="0" w:right="0" w:firstLine="0"/>
                          <w:jc w:val="left"/>
                          <w:rPr>
                            <w:rFonts w:ascii="Arial MT"/>
                            <w:sz w:val="14"/>
                          </w:rPr>
                        </w:pPr>
                        <w:r>
                          <w:rPr>
                            <w:rFonts w:ascii="Arial MT"/>
                            <w:spacing w:val="-4"/>
                            <w:w w:val="85"/>
                            <w:sz w:val="14"/>
                          </w:rPr>
                          <w:t>Male</w:t>
                        </w:r>
                      </w:p>
                    </w:txbxContent>
                  </v:textbox>
                  <w10:wrap type="none"/>
                </v:shape>
                <v:shape style="position:absolute;left:3803;top:4560;width:333;height:161" type="#_x0000_t202" id="docshape1389" filled="false" stroked="false">
                  <v:textbox inset="0,0,0,0">
                    <w:txbxContent>
                      <w:p>
                        <w:pPr>
                          <w:spacing w:line="161" w:lineRule="exact" w:before="0"/>
                          <w:ind w:left="0" w:right="0" w:firstLine="0"/>
                          <w:jc w:val="left"/>
                          <w:rPr>
                            <w:rFonts w:ascii="Arial MT"/>
                            <w:sz w:val="14"/>
                          </w:rPr>
                        </w:pPr>
                        <w:r>
                          <w:rPr>
                            <w:rFonts w:ascii="Arial MT"/>
                            <w:spacing w:val="-4"/>
                            <w:w w:val="85"/>
                            <w:sz w:val="14"/>
                          </w:rPr>
                          <w:t>Urban</w:t>
                        </w:r>
                      </w:p>
                    </w:txbxContent>
                  </v:textbox>
                  <w10:wrap type="none"/>
                </v:shape>
                <v:shape style="position:absolute;left:3042;top:4560;width:295;height:161" type="#_x0000_t202" id="docshape1390" filled="false" stroked="false">
                  <v:textbox inset="0,0,0,0">
                    <w:txbxContent>
                      <w:p>
                        <w:pPr>
                          <w:spacing w:line="161" w:lineRule="exact" w:before="0"/>
                          <w:ind w:left="0" w:right="0" w:firstLine="0"/>
                          <w:jc w:val="left"/>
                          <w:rPr>
                            <w:rFonts w:ascii="Arial MT"/>
                            <w:sz w:val="14"/>
                          </w:rPr>
                        </w:pPr>
                        <w:r>
                          <w:rPr>
                            <w:rFonts w:ascii="Arial MT"/>
                            <w:spacing w:val="-2"/>
                            <w:w w:val="85"/>
                            <w:sz w:val="14"/>
                          </w:rPr>
                          <w:t>Rural</w:t>
                        </w:r>
                      </w:p>
                    </w:txbxContent>
                  </v:textbox>
                  <w10:wrap type="none"/>
                </v:shape>
                <v:shape style="position:absolute;left:2635;top:4396;width:84;height:161" type="#_x0000_t202" id="docshape1391"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2635;top:3712;width:84;height:161" type="#_x0000_t202" id="docshape1392" filled="false" stroked="false">
                  <v:textbox inset="0,0,0,0">
                    <w:txbxContent>
                      <w:p>
                        <w:pPr>
                          <w:spacing w:line="161" w:lineRule="exact" w:before="0"/>
                          <w:ind w:left="0" w:right="0" w:firstLine="0"/>
                          <w:jc w:val="left"/>
                          <w:rPr>
                            <w:rFonts w:ascii="Arial MT"/>
                            <w:sz w:val="14"/>
                          </w:rPr>
                        </w:pPr>
                        <w:r>
                          <w:rPr>
                            <w:rFonts w:ascii="Arial MT"/>
                            <w:spacing w:val="-10"/>
                            <w:w w:val="90"/>
                            <w:sz w:val="14"/>
                          </w:rPr>
                          <w:t>5</w:t>
                        </w:r>
                      </w:p>
                    </w:txbxContent>
                  </v:textbox>
                  <w10:wrap type="none"/>
                </v:shape>
                <v:shape style="position:absolute;left:2571;top:3028;width:148;height:161" type="#_x0000_t202" id="docshape1393" filled="false" stroked="false">
                  <v:textbox inset="0,0,0,0">
                    <w:txbxContent>
                      <w:p>
                        <w:pPr>
                          <w:spacing w:line="161" w:lineRule="exact" w:before="0"/>
                          <w:ind w:left="0" w:right="0" w:firstLine="0"/>
                          <w:jc w:val="left"/>
                          <w:rPr>
                            <w:rFonts w:ascii="Arial MT"/>
                            <w:sz w:val="14"/>
                          </w:rPr>
                        </w:pPr>
                        <w:r>
                          <w:rPr>
                            <w:rFonts w:ascii="Arial MT"/>
                            <w:spacing w:val="-5"/>
                            <w:w w:val="90"/>
                            <w:sz w:val="14"/>
                          </w:rPr>
                          <w:t>10</w:t>
                        </w:r>
                      </w:p>
                    </w:txbxContent>
                  </v:textbox>
                  <w10:wrap type="none"/>
                </v:shape>
                <v:shape style="position:absolute;left:2571;top:2344;width:148;height:161" type="#_x0000_t202" id="docshape1394" filled="false" stroked="false">
                  <v:textbox inset="0,0,0,0">
                    <w:txbxContent>
                      <w:p>
                        <w:pPr>
                          <w:spacing w:line="161" w:lineRule="exact" w:before="0"/>
                          <w:ind w:left="0" w:right="0" w:firstLine="0"/>
                          <w:jc w:val="left"/>
                          <w:rPr>
                            <w:rFonts w:ascii="Arial MT"/>
                            <w:sz w:val="14"/>
                          </w:rPr>
                        </w:pPr>
                        <w:r>
                          <w:rPr>
                            <w:rFonts w:ascii="Arial MT"/>
                            <w:spacing w:val="-5"/>
                            <w:w w:val="90"/>
                            <w:sz w:val="14"/>
                          </w:rPr>
                          <w:t>15</w:t>
                        </w:r>
                      </w:p>
                    </w:txbxContent>
                  </v:textbox>
                  <w10:wrap type="none"/>
                </v:shape>
                <v:shape style="position:absolute;left:2571;top:1660;width:148;height:161" type="#_x0000_t202" id="docshape1395" filled="false" stroked="false">
                  <v:textbox inset="0,0,0,0">
                    <w:txbxContent>
                      <w:p>
                        <w:pPr>
                          <w:spacing w:line="161" w:lineRule="exact" w:before="0"/>
                          <w:ind w:left="0" w:right="0" w:firstLine="0"/>
                          <w:jc w:val="left"/>
                          <w:rPr>
                            <w:rFonts w:ascii="Arial MT"/>
                            <w:sz w:val="14"/>
                          </w:rPr>
                        </w:pPr>
                        <w:r>
                          <w:rPr>
                            <w:rFonts w:ascii="Arial MT"/>
                            <w:spacing w:val="-5"/>
                            <w:w w:val="90"/>
                            <w:sz w:val="14"/>
                          </w:rPr>
                          <w:t>20</w:t>
                        </w:r>
                      </w:p>
                    </w:txbxContent>
                  </v:textbox>
                  <w10:wrap type="none"/>
                </v:shape>
                <v:shape style="position:absolute;left:2571;top:976;width:148;height:161" type="#_x0000_t202" id="docshape1396" filled="false" stroked="false">
                  <v:textbox inset="0,0,0,0">
                    <w:txbxContent>
                      <w:p>
                        <w:pPr>
                          <w:spacing w:line="161" w:lineRule="exact" w:before="0"/>
                          <w:ind w:left="0" w:right="0" w:firstLine="0"/>
                          <w:jc w:val="left"/>
                          <w:rPr>
                            <w:rFonts w:ascii="Arial MT"/>
                            <w:sz w:val="14"/>
                          </w:rPr>
                        </w:pPr>
                        <w:r>
                          <w:rPr>
                            <w:rFonts w:ascii="Arial MT"/>
                            <w:spacing w:val="-5"/>
                            <w:w w:val="90"/>
                            <w:sz w:val="14"/>
                          </w:rPr>
                          <w:t>25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8752">
                <wp:simplePos x="0" y="0"/>
                <wp:positionH relativeFrom="page">
                  <wp:posOffset>1456599</wp:posOffset>
                </wp:positionH>
                <wp:positionV relativeFrom="paragraph">
                  <wp:posOffset>1294055</wp:posOffset>
                </wp:positionV>
                <wp:extent cx="127635" cy="819785"/>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127635" cy="819785"/>
                        </a:xfrm>
                        <a:prstGeom prst="rect">
                          <a:avLst/>
                        </a:prstGeom>
                      </wps:spPr>
                      <wps:txbx>
                        <w:txbxContent>
                          <w:p>
                            <w:pPr>
                              <w:spacing w:before="19"/>
                              <w:ind w:left="20" w:right="0" w:firstLine="0"/>
                              <w:jc w:val="left"/>
                              <w:rPr>
                                <w:rFonts w:ascii="Arial"/>
                                <w:b/>
                                <w:sz w:val="14"/>
                              </w:rPr>
                            </w:pPr>
                            <w:r>
                              <w:rPr>
                                <w:rFonts w:ascii="Arial"/>
                                <w:b/>
                                <w:w w:val="80"/>
                                <w:sz w:val="14"/>
                              </w:rPr>
                              <w:t>Gross</w:t>
                            </w:r>
                            <w:r>
                              <w:rPr>
                                <w:rFonts w:ascii="Arial"/>
                                <w:b/>
                                <w:sz w:val="14"/>
                              </w:rPr>
                              <w:t> </w:t>
                            </w:r>
                            <w:r>
                              <w:rPr>
                                <w:rFonts w:ascii="Arial"/>
                                <w:b/>
                                <w:w w:val="80"/>
                                <w:sz w:val="14"/>
                              </w:rPr>
                              <w:t>Enrolment</w:t>
                            </w:r>
                            <w:r>
                              <w:rPr>
                                <w:rFonts w:ascii="Arial"/>
                                <w:b/>
                                <w:spacing w:val="1"/>
                                <w:sz w:val="14"/>
                              </w:rPr>
                              <w:t> </w:t>
                            </w:r>
                            <w:r>
                              <w:rPr>
                                <w:rFonts w:ascii="Arial"/>
                                <w:b/>
                                <w:spacing w:val="-2"/>
                                <w:w w:val="80"/>
                                <w:sz w:val="14"/>
                              </w:rPr>
                              <w:t>Ratio</w:t>
                            </w:r>
                          </w:p>
                        </w:txbxContent>
                      </wps:txbx>
                      <wps:bodyPr wrap="square" lIns="0" tIns="0" rIns="0" bIns="0" rtlCol="0" vert="vert270">
                        <a:noAutofit/>
                      </wps:bodyPr>
                    </wps:wsp>
                  </a:graphicData>
                </a:graphic>
              </wp:anchor>
            </w:drawing>
          </mc:Choice>
          <mc:Fallback>
            <w:pict>
              <v:shape style="position:absolute;margin-left:114.692902pt;margin-top:101.894142pt;width:10.050pt;height:64.55pt;mso-position-horizontal-relative:page;mso-position-vertical-relative:paragraph;z-index:15818752" type="#_x0000_t202" id="docshape1397"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Gross</w:t>
                      </w:r>
                      <w:r>
                        <w:rPr>
                          <w:rFonts w:ascii="Arial"/>
                          <w:b/>
                          <w:sz w:val="14"/>
                        </w:rPr>
                        <w:t> </w:t>
                      </w:r>
                      <w:r>
                        <w:rPr>
                          <w:rFonts w:ascii="Arial"/>
                          <w:b/>
                          <w:w w:val="80"/>
                          <w:sz w:val="14"/>
                        </w:rPr>
                        <w:t>Enrolment</w:t>
                      </w:r>
                      <w:r>
                        <w:rPr>
                          <w:rFonts w:ascii="Arial"/>
                          <w:b/>
                          <w:spacing w:val="1"/>
                          <w:sz w:val="14"/>
                        </w:rPr>
                        <w:t> </w:t>
                      </w:r>
                      <w:r>
                        <w:rPr>
                          <w:rFonts w:ascii="Arial"/>
                          <w:b/>
                          <w:spacing w:val="-2"/>
                          <w:w w:val="80"/>
                          <w:sz w:val="14"/>
                        </w:rPr>
                        <w:t>Ratio</w:t>
                      </w:r>
                    </w:p>
                  </w:txbxContent>
                </v:textbox>
                <w10:wrap type="none"/>
              </v:shape>
            </w:pict>
          </mc:Fallback>
        </mc:AlternateContent>
      </w:r>
      <w:r>
        <w:rPr>
          <w:spacing w:val="-8"/>
        </w:rPr>
        <w:t>Figure</w:t>
      </w:r>
      <w:r>
        <w:rPr>
          <w:spacing w:val="4"/>
        </w:rPr>
        <w:t> </w:t>
      </w:r>
      <w:r>
        <w:rPr>
          <w:spacing w:val="-8"/>
        </w:rPr>
        <w:t>17:</w:t>
      </w:r>
      <w:r>
        <w:rPr>
          <w:spacing w:val="4"/>
        </w:rPr>
        <w:t> </w:t>
      </w:r>
      <w:r>
        <w:rPr>
          <w:color w:val="2E614A"/>
          <w:spacing w:val="-8"/>
        </w:rPr>
        <w:t>Disparities</w:t>
      </w:r>
      <w:r>
        <w:rPr>
          <w:color w:val="2E614A"/>
          <w:spacing w:val="4"/>
        </w:rPr>
        <w:t> </w:t>
      </w:r>
      <w:r>
        <w:rPr>
          <w:color w:val="2E614A"/>
          <w:spacing w:val="-8"/>
        </w:rPr>
        <w:t>in</w:t>
      </w:r>
      <w:r>
        <w:rPr>
          <w:color w:val="2E614A"/>
          <w:spacing w:val="4"/>
        </w:rPr>
        <w:t> </w:t>
      </w:r>
      <w:r>
        <w:rPr>
          <w:color w:val="2E614A"/>
          <w:spacing w:val="-8"/>
        </w:rPr>
        <w:t>enrolment</w:t>
      </w:r>
      <w:r>
        <w:rPr>
          <w:color w:val="2E614A"/>
          <w:spacing w:val="5"/>
        </w:rPr>
        <w:t> </w:t>
      </w:r>
      <w:r>
        <w:rPr>
          <w:color w:val="2E614A"/>
          <w:spacing w:val="-8"/>
        </w:rPr>
        <w:t>in</w:t>
      </w:r>
      <w:r>
        <w:rPr>
          <w:color w:val="2E614A"/>
          <w:spacing w:val="4"/>
        </w:rPr>
        <w:t> </w:t>
      </w:r>
      <w:r>
        <w:rPr>
          <w:color w:val="2E614A"/>
          <w:spacing w:val="-8"/>
        </w:rPr>
        <w:t>higher</w:t>
      </w:r>
      <w:r>
        <w:rPr>
          <w:color w:val="2E614A"/>
          <w:spacing w:val="4"/>
        </w:rPr>
        <w:t> </w:t>
      </w:r>
      <w:r>
        <w:rPr>
          <w:color w:val="2E614A"/>
          <w:spacing w:val="-8"/>
        </w:rPr>
        <w:t>education</w:t>
      </w:r>
      <w:r>
        <w:rPr>
          <w:color w:val="2E614A"/>
          <w:spacing w:val="4"/>
        </w:rPr>
        <w:t> </w:t>
      </w:r>
      <w:r>
        <w:rPr>
          <w:color w:val="2E614A"/>
          <w:spacing w:val="-8"/>
        </w:rPr>
        <w:t>(2004-05)</w:t>
      </w:r>
    </w:p>
    <w:p>
      <w:pPr>
        <w:pStyle w:val="BodyText"/>
        <w:rPr>
          <w:b/>
          <w:sz w:val="20"/>
        </w:rPr>
      </w:pPr>
    </w:p>
    <w:p>
      <w:pPr>
        <w:pStyle w:val="BodyText"/>
        <w:spacing w:before="27"/>
        <w:rPr>
          <w:b/>
          <w:sz w:val="20"/>
        </w:rPr>
      </w:pPr>
      <w:r>
        <w:rPr/>
        <mc:AlternateContent>
          <mc:Choice Requires="wps">
            <w:drawing>
              <wp:anchor distT="0" distB="0" distL="0" distR="0" allowOverlap="1" layoutInCell="1" locked="0" behindDoc="1" simplePos="0" relativeHeight="487676928">
                <wp:simplePos x="0" y="0"/>
                <wp:positionH relativeFrom="page">
                  <wp:posOffset>1740905</wp:posOffset>
                </wp:positionH>
                <wp:positionV relativeFrom="paragraph">
                  <wp:posOffset>178908</wp:posOffset>
                </wp:positionV>
                <wp:extent cx="4391660" cy="2260600"/>
                <wp:effectExtent l="0" t="0" r="0" b="0"/>
                <wp:wrapTopAndBottom/>
                <wp:docPr id="1410" name="Group 1410"/>
                <wp:cNvGraphicFramePr>
                  <a:graphicFrameLocks/>
                </wp:cNvGraphicFramePr>
                <a:graphic>
                  <a:graphicData uri="http://schemas.microsoft.com/office/word/2010/wordprocessingGroup">
                    <wpg:wgp>
                      <wpg:cNvPr id="1410" name="Group 1410"/>
                      <wpg:cNvGrpSpPr/>
                      <wpg:grpSpPr>
                        <a:xfrm>
                          <a:off x="0" y="0"/>
                          <a:ext cx="4391660" cy="2260600"/>
                          <a:chExt cx="4391660" cy="2260600"/>
                        </a:xfrm>
                      </wpg:grpSpPr>
                      <wps:wsp>
                        <wps:cNvPr id="1411" name="Graphic 1411"/>
                        <wps:cNvSpPr/>
                        <wps:spPr>
                          <a:xfrm>
                            <a:off x="184287" y="459742"/>
                            <a:ext cx="4061460" cy="1760220"/>
                          </a:xfrm>
                          <a:custGeom>
                            <a:avLst/>
                            <a:gdLst/>
                            <a:ahLst/>
                            <a:cxnLst/>
                            <a:rect l="l" t="t" r="r" b="b"/>
                            <a:pathLst>
                              <a:path w="4061460" h="1760220">
                                <a:moveTo>
                                  <a:pt x="200190" y="1169898"/>
                                </a:moveTo>
                                <a:lnTo>
                                  <a:pt x="0" y="1169898"/>
                                </a:lnTo>
                                <a:lnTo>
                                  <a:pt x="0" y="1759623"/>
                                </a:lnTo>
                                <a:lnTo>
                                  <a:pt x="200190" y="1759623"/>
                                </a:lnTo>
                                <a:lnTo>
                                  <a:pt x="200190" y="1169898"/>
                                </a:lnTo>
                                <a:close/>
                              </a:path>
                              <a:path w="4061460" h="1760220">
                                <a:moveTo>
                                  <a:pt x="676821" y="0"/>
                                </a:moveTo>
                                <a:lnTo>
                                  <a:pt x="486168" y="0"/>
                                </a:lnTo>
                                <a:lnTo>
                                  <a:pt x="486168" y="1759623"/>
                                </a:lnTo>
                                <a:lnTo>
                                  <a:pt x="676821" y="1759623"/>
                                </a:lnTo>
                                <a:lnTo>
                                  <a:pt x="676821" y="0"/>
                                </a:lnTo>
                                <a:close/>
                              </a:path>
                              <a:path w="4061460" h="1760220">
                                <a:moveTo>
                                  <a:pt x="1163002" y="656285"/>
                                </a:moveTo>
                                <a:lnTo>
                                  <a:pt x="962812" y="656285"/>
                                </a:lnTo>
                                <a:lnTo>
                                  <a:pt x="962812" y="1759623"/>
                                </a:lnTo>
                                <a:lnTo>
                                  <a:pt x="1163002" y="1759623"/>
                                </a:lnTo>
                                <a:lnTo>
                                  <a:pt x="1163002" y="656285"/>
                                </a:lnTo>
                                <a:close/>
                              </a:path>
                              <a:path w="4061460" h="1760220">
                                <a:moveTo>
                                  <a:pt x="1649171" y="951128"/>
                                </a:moveTo>
                                <a:lnTo>
                                  <a:pt x="1448981" y="951128"/>
                                </a:lnTo>
                                <a:lnTo>
                                  <a:pt x="1448981" y="1759623"/>
                                </a:lnTo>
                                <a:lnTo>
                                  <a:pt x="1649171" y="1759623"/>
                                </a:lnTo>
                                <a:lnTo>
                                  <a:pt x="1649171" y="951128"/>
                                </a:lnTo>
                                <a:close/>
                              </a:path>
                              <a:path w="4061460" h="1760220">
                                <a:moveTo>
                                  <a:pt x="2125802" y="1179410"/>
                                </a:moveTo>
                                <a:lnTo>
                                  <a:pt x="1935149" y="1179410"/>
                                </a:lnTo>
                                <a:lnTo>
                                  <a:pt x="1935149" y="1759623"/>
                                </a:lnTo>
                                <a:lnTo>
                                  <a:pt x="2125802" y="1759623"/>
                                </a:lnTo>
                                <a:lnTo>
                                  <a:pt x="2125802" y="1179410"/>
                                </a:lnTo>
                                <a:close/>
                              </a:path>
                              <a:path w="4061460" h="1760220">
                                <a:moveTo>
                                  <a:pt x="2611971" y="1179410"/>
                                </a:moveTo>
                                <a:lnTo>
                                  <a:pt x="2411793" y="1179410"/>
                                </a:lnTo>
                                <a:lnTo>
                                  <a:pt x="2411793" y="1759623"/>
                                </a:lnTo>
                                <a:lnTo>
                                  <a:pt x="2611971" y="1759623"/>
                                </a:lnTo>
                                <a:lnTo>
                                  <a:pt x="2611971" y="1179410"/>
                                </a:lnTo>
                                <a:close/>
                              </a:path>
                              <a:path w="4061460" h="1760220">
                                <a:moveTo>
                                  <a:pt x="3098152" y="979678"/>
                                </a:moveTo>
                                <a:lnTo>
                                  <a:pt x="2897962" y="979678"/>
                                </a:lnTo>
                                <a:lnTo>
                                  <a:pt x="2897962" y="1759623"/>
                                </a:lnTo>
                                <a:lnTo>
                                  <a:pt x="3098152" y="1759623"/>
                                </a:lnTo>
                                <a:lnTo>
                                  <a:pt x="3098152" y="979678"/>
                                </a:lnTo>
                                <a:close/>
                              </a:path>
                              <a:path w="4061460" h="1760220">
                                <a:moveTo>
                                  <a:pt x="3574783" y="237782"/>
                                </a:moveTo>
                                <a:lnTo>
                                  <a:pt x="3384131" y="237782"/>
                                </a:lnTo>
                                <a:lnTo>
                                  <a:pt x="3384131" y="1759623"/>
                                </a:lnTo>
                                <a:lnTo>
                                  <a:pt x="3574783" y="1759623"/>
                                </a:lnTo>
                                <a:lnTo>
                                  <a:pt x="3574783" y="237782"/>
                                </a:lnTo>
                                <a:close/>
                              </a:path>
                              <a:path w="4061460" h="1760220">
                                <a:moveTo>
                                  <a:pt x="4060952" y="779932"/>
                                </a:moveTo>
                                <a:lnTo>
                                  <a:pt x="3860762" y="779932"/>
                                </a:lnTo>
                                <a:lnTo>
                                  <a:pt x="3860762" y="1759623"/>
                                </a:lnTo>
                                <a:lnTo>
                                  <a:pt x="4060952" y="1759623"/>
                                </a:lnTo>
                                <a:lnTo>
                                  <a:pt x="4060952" y="779932"/>
                                </a:lnTo>
                                <a:close/>
                              </a:path>
                            </a:pathLst>
                          </a:custGeom>
                          <a:solidFill>
                            <a:srgbClr val="2F7D41"/>
                          </a:solidFill>
                        </wps:spPr>
                        <wps:bodyPr wrap="square" lIns="0" tIns="0" rIns="0" bIns="0" rtlCol="0">
                          <a:prstTxWarp prst="textNoShape">
                            <a:avLst/>
                          </a:prstTxWarp>
                          <a:noAutofit/>
                        </wps:bodyPr>
                      </wps:wsp>
                      <wps:wsp>
                        <wps:cNvPr id="1412" name="Graphic 1412"/>
                        <wps:cNvSpPr/>
                        <wps:spPr>
                          <a:xfrm>
                            <a:off x="-1" y="2"/>
                            <a:ext cx="4391660" cy="2260600"/>
                          </a:xfrm>
                          <a:custGeom>
                            <a:avLst/>
                            <a:gdLst/>
                            <a:ahLst/>
                            <a:cxnLst/>
                            <a:rect l="l" t="t" r="r" b="b"/>
                            <a:pathLst>
                              <a:path w="4391660" h="2260600">
                                <a:moveTo>
                                  <a:pt x="4391406" y="2216188"/>
                                </a:moveTo>
                                <a:lnTo>
                                  <a:pt x="4391406" y="2216188"/>
                                </a:lnTo>
                                <a:lnTo>
                                  <a:pt x="44475" y="2216188"/>
                                </a:lnTo>
                                <a:lnTo>
                                  <a:pt x="44475" y="0"/>
                                </a:lnTo>
                                <a:lnTo>
                                  <a:pt x="38125" y="0"/>
                                </a:lnTo>
                                <a:lnTo>
                                  <a:pt x="0" y="0"/>
                                </a:lnTo>
                                <a:lnTo>
                                  <a:pt x="0" y="6350"/>
                                </a:lnTo>
                                <a:lnTo>
                                  <a:pt x="38125" y="6350"/>
                                </a:lnTo>
                                <a:lnTo>
                                  <a:pt x="38125" y="447040"/>
                                </a:lnTo>
                                <a:lnTo>
                                  <a:pt x="0" y="447040"/>
                                </a:lnTo>
                                <a:lnTo>
                                  <a:pt x="0" y="453390"/>
                                </a:lnTo>
                                <a:lnTo>
                                  <a:pt x="38125" y="453390"/>
                                </a:lnTo>
                                <a:lnTo>
                                  <a:pt x="38125" y="884580"/>
                                </a:lnTo>
                                <a:lnTo>
                                  <a:pt x="0" y="884580"/>
                                </a:lnTo>
                                <a:lnTo>
                                  <a:pt x="0" y="890930"/>
                                </a:lnTo>
                                <a:lnTo>
                                  <a:pt x="38125" y="890930"/>
                                </a:lnTo>
                                <a:lnTo>
                                  <a:pt x="38125" y="1331607"/>
                                </a:lnTo>
                                <a:lnTo>
                                  <a:pt x="0" y="1331607"/>
                                </a:lnTo>
                                <a:lnTo>
                                  <a:pt x="0" y="1337957"/>
                                </a:lnTo>
                                <a:lnTo>
                                  <a:pt x="38125" y="1337957"/>
                                </a:lnTo>
                                <a:lnTo>
                                  <a:pt x="38125" y="1769148"/>
                                </a:lnTo>
                                <a:lnTo>
                                  <a:pt x="0" y="1769148"/>
                                </a:lnTo>
                                <a:lnTo>
                                  <a:pt x="0" y="1775498"/>
                                </a:lnTo>
                                <a:lnTo>
                                  <a:pt x="38125" y="1775498"/>
                                </a:lnTo>
                                <a:lnTo>
                                  <a:pt x="38125" y="2216188"/>
                                </a:lnTo>
                                <a:lnTo>
                                  <a:pt x="0" y="2216188"/>
                                </a:lnTo>
                                <a:lnTo>
                                  <a:pt x="0" y="2222538"/>
                                </a:lnTo>
                                <a:lnTo>
                                  <a:pt x="38125" y="2222538"/>
                                </a:lnTo>
                                <a:lnTo>
                                  <a:pt x="38125" y="2260587"/>
                                </a:lnTo>
                                <a:lnTo>
                                  <a:pt x="44475" y="2260587"/>
                                </a:lnTo>
                                <a:lnTo>
                                  <a:pt x="44475" y="2222538"/>
                                </a:lnTo>
                                <a:lnTo>
                                  <a:pt x="524294" y="2222538"/>
                                </a:lnTo>
                                <a:lnTo>
                                  <a:pt x="524294" y="2260587"/>
                                </a:lnTo>
                                <a:lnTo>
                                  <a:pt x="530644" y="2260587"/>
                                </a:lnTo>
                                <a:lnTo>
                                  <a:pt x="530644" y="2222538"/>
                                </a:lnTo>
                                <a:lnTo>
                                  <a:pt x="1000937" y="2222538"/>
                                </a:lnTo>
                                <a:lnTo>
                                  <a:pt x="1000937" y="2260587"/>
                                </a:lnTo>
                                <a:lnTo>
                                  <a:pt x="1007287" y="2260587"/>
                                </a:lnTo>
                                <a:lnTo>
                                  <a:pt x="1007287" y="2222538"/>
                                </a:lnTo>
                                <a:lnTo>
                                  <a:pt x="1487106" y="2222538"/>
                                </a:lnTo>
                                <a:lnTo>
                                  <a:pt x="1487106" y="2260587"/>
                                </a:lnTo>
                                <a:lnTo>
                                  <a:pt x="1493456" y="2260587"/>
                                </a:lnTo>
                                <a:lnTo>
                                  <a:pt x="1493456" y="2222538"/>
                                </a:lnTo>
                                <a:lnTo>
                                  <a:pt x="1973275" y="2222538"/>
                                </a:lnTo>
                                <a:lnTo>
                                  <a:pt x="1973275" y="2260587"/>
                                </a:lnTo>
                                <a:lnTo>
                                  <a:pt x="1979625" y="2260587"/>
                                </a:lnTo>
                                <a:lnTo>
                                  <a:pt x="1979625" y="2222538"/>
                                </a:lnTo>
                                <a:lnTo>
                                  <a:pt x="2449906" y="2222538"/>
                                </a:lnTo>
                                <a:lnTo>
                                  <a:pt x="2449906" y="2260587"/>
                                </a:lnTo>
                                <a:lnTo>
                                  <a:pt x="2456256" y="2260587"/>
                                </a:lnTo>
                                <a:lnTo>
                                  <a:pt x="2456256" y="2222538"/>
                                </a:lnTo>
                                <a:lnTo>
                                  <a:pt x="2936075" y="2222538"/>
                                </a:lnTo>
                                <a:lnTo>
                                  <a:pt x="2936075" y="2260587"/>
                                </a:lnTo>
                                <a:lnTo>
                                  <a:pt x="2942425" y="2260587"/>
                                </a:lnTo>
                                <a:lnTo>
                                  <a:pt x="2942425" y="2222538"/>
                                </a:lnTo>
                                <a:lnTo>
                                  <a:pt x="3422243" y="2222538"/>
                                </a:lnTo>
                                <a:lnTo>
                                  <a:pt x="3422243" y="2260587"/>
                                </a:lnTo>
                                <a:lnTo>
                                  <a:pt x="3428593" y="2260587"/>
                                </a:lnTo>
                                <a:lnTo>
                                  <a:pt x="3428593" y="2222538"/>
                                </a:lnTo>
                                <a:lnTo>
                                  <a:pt x="3898900" y="2222538"/>
                                </a:lnTo>
                                <a:lnTo>
                                  <a:pt x="3898900" y="2260587"/>
                                </a:lnTo>
                                <a:lnTo>
                                  <a:pt x="3905250" y="2260587"/>
                                </a:lnTo>
                                <a:lnTo>
                                  <a:pt x="3905250" y="2222538"/>
                                </a:lnTo>
                                <a:lnTo>
                                  <a:pt x="4385056" y="2222538"/>
                                </a:lnTo>
                                <a:lnTo>
                                  <a:pt x="4385056" y="2260587"/>
                                </a:lnTo>
                                <a:lnTo>
                                  <a:pt x="4391406" y="2260587"/>
                                </a:lnTo>
                                <a:lnTo>
                                  <a:pt x="4391406" y="221618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7.079163pt;margin-top:14.087254pt;width:345.8pt;height:178pt;mso-position-horizontal-relative:page;mso-position-vertical-relative:paragraph;z-index:-15639552;mso-wrap-distance-left:0;mso-wrap-distance-right:0" id="docshapegroup1398" coordorigin="2742,282" coordsize="6916,3560">
                <v:shape style="position:absolute;left:3031;top:1005;width:6396;height:2772" id="docshape1399" coordorigin="3032,1006" coordsize="6396,2772" path="m3347,2848l3032,2848,3032,3777,3347,3777,3347,2848xm4098,1006l3797,1006,3797,3777,4098,3777,4098,1006xm4863,2039l4548,2039,4548,3777,4863,3777,4863,2039xm5629,2504l5314,2504,5314,3777,5629,3777,5629,2504xm6380,2863l6079,2863,6079,3777,6380,3777,6380,2863xm7145,2863l6830,2863,6830,3777,7145,3777,7145,2863xm7911,2549l7596,2549,7596,3777,7911,3777,7911,2549xm8661,1380l8361,1380,8361,3777,8661,3777,8661,1380xm9427,2234l9112,2234,9112,3777,9427,3777,9427,2234xe" filled="true" fillcolor="#2f7d41" stroked="false">
                  <v:path arrowok="t"/>
                  <v:fill type="solid"/>
                </v:shape>
                <v:shape style="position:absolute;left:2741;top:281;width:6916;height:3560" id="docshape1400" coordorigin="2742,282" coordsize="6916,3560" path="m9657,3772l9657,3772,2812,3772,2812,282,2802,282,2742,282,2742,292,2802,292,2802,986,2742,986,2742,996,2802,996,2802,1675,2742,1675,2742,1685,2802,1685,2802,2379,2742,2379,2742,2389,2802,2389,2802,3068,2742,3068,2742,3078,2802,3078,2802,3772,2742,3772,2742,3782,2802,3782,2802,3842,2812,3842,2812,3782,3567,3782,3567,3842,3577,3842,3577,3782,4318,3782,4318,3842,4328,3842,4328,3782,5083,3782,5083,3842,5093,3842,5093,3782,5849,3782,5849,3842,5859,3842,5859,3782,6600,3782,6600,3842,6610,3842,6610,3782,7365,3782,7365,3842,7375,3842,7375,3782,8131,3782,8131,3842,8141,3842,8141,3782,8882,3782,8882,3842,8892,3842,8892,3782,9647,3782,9647,3842,9657,3842,9657,3772xe" filled="true" fillcolor="#000000" stroked="false">
                  <v:path arrowok="t"/>
                  <v:fill type="solid"/>
                </v:shape>
                <w10:wrap type="topAndBottom"/>
              </v:group>
            </w:pict>
          </mc:Fallback>
        </mc:AlternateContent>
      </w:r>
    </w:p>
    <w:p>
      <w:pPr>
        <w:pStyle w:val="BodyText"/>
        <w:spacing w:before="61"/>
        <w:rPr>
          <w:b/>
          <w:sz w:val="24"/>
        </w:rPr>
      </w:pPr>
    </w:p>
    <w:p>
      <w:pPr>
        <w:spacing w:before="1"/>
        <w:ind w:left="1997" w:right="0" w:firstLine="0"/>
        <w:jc w:val="left"/>
        <w:rPr>
          <w:sz w:val="16"/>
        </w:rPr>
      </w:pPr>
      <w:r>
        <w:rPr>
          <w:i/>
          <w:w w:val="85"/>
          <w:sz w:val="16"/>
        </w:rPr>
        <w:t>Source:</w:t>
      </w:r>
      <w:r>
        <w:rPr>
          <w:i/>
          <w:spacing w:val="-5"/>
          <w:sz w:val="16"/>
        </w:rPr>
        <w:t> </w:t>
      </w:r>
      <w:r>
        <w:rPr>
          <w:spacing w:val="-5"/>
          <w:sz w:val="16"/>
        </w:rPr>
        <w:t>UGC</w:t>
      </w:r>
    </w:p>
    <w:p>
      <w:pPr>
        <w:spacing w:after="0"/>
        <w:jc w:val="left"/>
        <w:rPr>
          <w:sz w:val="16"/>
        </w:rPr>
        <w:sectPr>
          <w:type w:val="continuous"/>
          <w:pgSz w:w="11910" w:h="16840"/>
          <w:pgMar w:header="0" w:footer="675" w:top="1920" w:bottom="280" w:left="0" w:right="0"/>
        </w:sectPr>
      </w:pPr>
    </w:p>
    <w:p>
      <w:pPr>
        <w:pStyle w:val="Heading8"/>
        <w:spacing w:line="242" w:lineRule="auto" w:before="73"/>
        <w:ind w:left="3032" w:right="1944" w:hanging="1029"/>
      </w:pPr>
      <w:r>
        <w:rPr/>
        <mc:AlternateContent>
          <mc:Choice Requires="wps">
            <w:drawing>
              <wp:anchor distT="0" distB="0" distL="0" distR="0" allowOverlap="1" layoutInCell="1" locked="0" behindDoc="1" simplePos="0" relativeHeight="479396864">
                <wp:simplePos x="0" y="0"/>
                <wp:positionH relativeFrom="page">
                  <wp:posOffset>1275483</wp:posOffset>
                </wp:positionH>
                <wp:positionV relativeFrom="paragraph">
                  <wp:posOffset>513080</wp:posOffset>
                </wp:positionV>
                <wp:extent cx="5042535" cy="2329180"/>
                <wp:effectExtent l="0" t="0" r="0" b="0"/>
                <wp:wrapNone/>
                <wp:docPr id="1413" name="Group 1413"/>
                <wp:cNvGraphicFramePr>
                  <a:graphicFrameLocks/>
                </wp:cNvGraphicFramePr>
                <a:graphic>
                  <a:graphicData uri="http://schemas.microsoft.com/office/word/2010/wordprocessingGroup">
                    <wpg:wgp>
                      <wpg:cNvPr id="1413" name="Group 1413"/>
                      <wpg:cNvGrpSpPr/>
                      <wpg:grpSpPr>
                        <a:xfrm>
                          <a:off x="0" y="0"/>
                          <a:ext cx="5042535" cy="2329180"/>
                          <a:chExt cx="5042535" cy="2329180"/>
                        </a:xfrm>
                      </wpg:grpSpPr>
                      <wps:wsp>
                        <wps:cNvPr id="1414" name="Graphic 1414"/>
                        <wps:cNvSpPr/>
                        <wps:spPr>
                          <a:xfrm>
                            <a:off x="-9" y="0"/>
                            <a:ext cx="5042535" cy="2329180"/>
                          </a:xfrm>
                          <a:custGeom>
                            <a:avLst/>
                            <a:gdLst/>
                            <a:ahLst/>
                            <a:cxnLst/>
                            <a:rect l="l" t="t" r="r" b="b"/>
                            <a:pathLst>
                              <a:path w="5042535" h="2329180">
                                <a:moveTo>
                                  <a:pt x="5042230" y="0"/>
                                </a:moveTo>
                                <a:lnTo>
                                  <a:pt x="5035880" y="0"/>
                                </a:lnTo>
                                <a:lnTo>
                                  <a:pt x="5035880" y="2540"/>
                                </a:lnTo>
                                <a:lnTo>
                                  <a:pt x="5035880" y="2882"/>
                                </a:lnTo>
                                <a:lnTo>
                                  <a:pt x="5035880" y="2326640"/>
                                </a:lnTo>
                                <a:lnTo>
                                  <a:pt x="3175" y="2326640"/>
                                </a:lnTo>
                                <a:lnTo>
                                  <a:pt x="3175" y="2326500"/>
                                </a:lnTo>
                                <a:lnTo>
                                  <a:pt x="6350" y="2326500"/>
                                </a:lnTo>
                                <a:lnTo>
                                  <a:pt x="5035880" y="2326500"/>
                                </a:lnTo>
                                <a:lnTo>
                                  <a:pt x="5035880" y="2323325"/>
                                </a:lnTo>
                                <a:lnTo>
                                  <a:pt x="6350" y="2323325"/>
                                </a:lnTo>
                                <a:lnTo>
                                  <a:pt x="3175" y="2323325"/>
                                </a:lnTo>
                                <a:lnTo>
                                  <a:pt x="3175" y="2322830"/>
                                </a:lnTo>
                                <a:lnTo>
                                  <a:pt x="6350" y="2322830"/>
                                </a:lnTo>
                                <a:lnTo>
                                  <a:pt x="6350" y="6350"/>
                                </a:lnTo>
                                <a:lnTo>
                                  <a:pt x="3175" y="6350"/>
                                </a:lnTo>
                                <a:lnTo>
                                  <a:pt x="3175" y="6057"/>
                                </a:lnTo>
                                <a:lnTo>
                                  <a:pt x="6350" y="6057"/>
                                </a:lnTo>
                                <a:lnTo>
                                  <a:pt x="5035880" y="6057"/>
                                </a:lnTo>
                                <a:lnTo>
                                  <a:pt x="5035880" y="2882"/>
                                </a:lnTo>
                                <a:lnTo>
                                  <a:pt x="6350" y="2882"/>
                                </a:lnTo>
                                <a:lnTo>
                                  <a:pt x="3175" y="2882"/>
                                </a:lnTo>
                                <a:lnTo>
                                  <a:pt x="3175" y="2540"/>
                                </a:lnTo>
                                <a:lnTo>
                                  <a:pt x="5035880" y="2540"/>
                                </a:lnTo>
                                <a:lnTo>
                                  <a:pt x="5035880" y="0"/>
                                </a:lnTo>
                                <a:lnTo>
                                  <a:pt x="0" y="0"/>
                                </a:lnTo>
                                <a:lnTo>
                                  <a:pt x="0" y="2540"/>
                                </a:lnTo>
                                <a:lnTo>
                                  <a:pt x="0" y="6350"/>
                                </a:lnTo>
                                <a:lnTo>
                                  <a:pt x="0" y="2322830"/>
                                </a:lnTo>
                                <a:lnTo>
                                  <a:pt x="0" y="2326640"/>
                                </a:lnTo>
                                <a:lnTo>
                                  <a:pt x="0" y="2329180"/>
                                </a:lnTo>
                                <a:lnTo>
                                  <a:pt x="5042230" y="2329180"/>
                                </a:lnTo>
                                <a:lnTo>
                                  <a:pt x="5042230" y="2326640"/>
                                </a:lnTo>
                                <a:lnTo>
                                  <a:pt x="5039055" y="2326640"/>
                                </a:lnTo>
                                <a:lnTo>
                                  <a:pt x="5039055" y="2326500"/>
                                </a:lnTo>
                                <a:lnTo>
                                  <a:pt x="5042230" y="2326500"/>
                                </a:lnTo>
                                <a:lnTo>
                                  <a:pt x="5042230" y="2323325"/>
                                </a:lnTo>
                                <a:lnTo>
                                  <a:pt x="5039055" y="2323325"/>
                                </a:lnTo>
                                <a:lnTo>
                                  <a:pt x="5039055" y="2322830"/>
                                </a:lnTo>
                                <a:lnTo>
                                  <a:pt x="5042230" y="2322830"/>
                                </a:lnTo>
                                <a:lnTo>
                                  <a:pt x="5042230" y="6350"/>
                                </a:lnTo>
                                <a:lnTo>
                                  <a:pt x="5039055" y="6350"/>
                                </a:lnTo>
                                <a:lnTo>
                                  <a:pt x="5039055" y="6057"/>
                                </a:lnTo>
                                <a:lnTo>
                                  <a:pt x="5042230" y="6057"/>
                                </a:lnTo>
                                <a:lnTo>
                                  <a:pt x="5042230" y="2882"/>
                                </a:lnTo>
                                <a:lnTo>
                                  <a:pt x="5039055" y="2882"/>
                                </a:lnTo>
                                <a:lnTo>
                                  <a:pt x="5039055" y="2540"/>
                                </a:lnTo>
                                <a:lnTo>
                                  <a:pt x="5042230" y="2540"/>
                                </a:lnTo>
                                <a:lnTo>
                                  <a:pt x="5042230" y="0"/>
                                </a:lnTo>
                                <a:close/>
                              </a:path>
                            </a:pathLst>
                          </a:custGeom>
                          <a:solidFill>
                            <a:srgbClr val="000000"/>
                          </a:solidFill>
                        </wps:spPr>
                        <wps:bodyPr wrap="square" lIns="0" tIns="0" rIns="0" bIns="0" rtlCol="0">
                          <a:prstTxWarp prst="textNoShape">
                            <a:avLst/>
                          </a:prstTxWarp>
                          <a:noAutofit/>
                        </wps:bodyPr>
                      </wps:wsp>
                      <wps:wsp>
                        <wps:cNvPr id="1415" name="Graphic 1415"/>
                        <wps:cNvSpPr/>
                        <wps:spPr>
                          <a:xfrm>
                            <a:off x="2417918" y="127545"/>
                            <a:ext cx="233045" cy="60325"/>
                          </a:xfrm>
                          <a:custGeom>
                            <a:avLst/>
                            <a:gdLst/>
                            <a:ahLst/>
                            <a:cxnLst/>
                            <a:rect l="l" t="t" r="r" b="b"/>
                            <a:pathLst>
                              <a:path w="233045" h="60325">
                                <a:moveTo>
                                  <a:pt x="232727" y="21209"/>
                                </a:moveTo>
                                <a:lnTo>
                                  <a:pt x="133667" y="21209"/>
                                </a:lnTo>
                                <a:lnTo>
                                  <a:pt x="112382" y="0"/>
                                </a:lnTo>
                                <a:lnTo>
                                  <a:pt x="109270" y="3111"/>
                                </a:lnTo>
                                <a:lnTo>
                                  <a:pt x="91097" y="21209"/>
                                </a:lnTo>
                                <a:lnTo>
                                  <a:pt x="0" y="21209"/>
                                </a:lnTo>
                                <a:lnTo>
                                  <a:pt x="0" y="38862"/>
                                </a:lnTo>
                                <a:lnTo>
                                  <a:pt x="91097" y="38862"/>
                                </a:lnTo>
                                <a:lnTo>
                                  <a:pt x="112382" y="60071"/>
                                </a:lnTo>
                                <a:lnTo>
                                  <a:pt x="118630" y="53848"/>
                                </a:lnTo>
                                <a:lnTo>
                                  <a:pt x="133667" y="38862"/>
                                </a:lnTo>
                                <a:lnTo>
                                  <a:pt x="232727" y="38862"/>
                                </a:lnTo>
                                <a:lnTo>
                                  <a:pt x="232727" y="21209"/>
                                </a:lnTo>
                                <a:close/>
                              </a:path>
                            </a:pathLst>
                          </a:custGeom>
                          <a:solidFill>
                            <a:srgbClr val="3D619D"/>
                          </a:solidFill>
                        </wps:spPr>
                        <wps:bodyPr wrap="square" lIns="0" tIns="0" rIns="0" bIns="0" rtlCol="0">
                          <a:prstTxWarp prst="textNoShape">
                            <a:avLst/>
                          </a:prstTxWarp>
                          <a:noAutofit/>
                        </wps:bodyPr>
                      </wps:wsp>
                      <wps:wsp>
                        <wps:cNvPr id="1416" name="Graphic 1416"/>
                        <wps:cNvSpPr/>
                        <wps:spPr>
                          <a:xfrm>
                            <a:off x="3071278" y="150107"/>
                            <a:ext cx="210185" cy="15240"/>
                          </a:xfrm>
                          <a:custGeom>
                            <a:avLst/>
                            <a:gdLst/>
                            <a:ahLst/>
                            <a:cxnLst/>
                            <a:rect l="l" t="t" r="r" b="b"/>
                            <a:pathLst>
                              <a:path w="210185" h="15240">
                                <a:moveTo>
                                  <a:pt x="210025" y="0"/>
                                </a:moveTo>
                                <a:lnTo>
                                  <a:pt x="0" y="0"/>
                                </a:lnTo>
                                <a:lnTo>
                                  <a:pt x="0" y="15240"/>
                                </a:lnTo>
                                <a:lnTo>
                                  <a:pt x="210025" y="15240"/>
                                </a:lnTo>
                                <a:lnTo>
                                  <a:pt x="210025" y="0"/>
                                </a:lnTo>
                                <a:close/>
                              </a:path>
                            </a:pathLst>
                          </a:custGeom>
                          <a:solidFill>
                            <a:srgbClr val="2E614A"/>
                          </a:solidFill>
                        </wps:spPr>
                        <wps:bodyPr wrap="square" lIns="0" tIns="0" rIns="0" bIns="0" rtlCol="0">
                          <a:prstTxWarp prst="textNoShape">
                            <a:avLst/>
                          </a:prstTxWarp>
                          <a:noAutofit/>
                        </wps:bodyPr>
                      </wps:wsp>
                      <wps:wsp>
                        <wps:cNvPr id="1417" name="Graphic 1417"/>
                        <wps:cNvSpPr/>
                        <wps:spPr>
                          <a:xfrm>
                            <a:off x="3149234" y="135699"/>
                            <a:ext cx="48895" cy="48895"/>
                          </a:xfrm>
                          <a:custGeom>
                            <a:avLst/>
                            <a:gdLst/>
                            <a:ahLst/>
                            <a:cxnLst/>
                            <a:rect l="l" t="t" r="r" b="b"/>
                            <a:pathLst>
                              <a:path w="48895" h="48895">
                                <a:moveTo>
                                  <a:pt x="48666" y="0"/>
                                </a:moveTo>
                                <a:lnTo>
                                  <a:pt x="0" y="0"/>
                                </a:lnTo>
                                <a:lnTo>
                                  <a:pt x="0" y="48501"/>
                                </a:lnTo>
                                <a:lnTo>
                                  <a:pt x="48666" y="48501"/>
                                </a:lnTo>
                                <a:lnTo>
                                  <a:pt x="48666" y="44094"/>
                                </a:lnTo>
                                <a:lnTo>
                                  <a:pt x="48666" y="39687"/>
                                </a:lnTo>
                                <a:lnTo>
                                  <a:pt x="48666" y="8826"/>
                                </a:lnTo>
                                <a:lnTo>
                                  <a:pt x="48666" y="4406"/>
                                </a:lnTo>
                                <a:lnTo>
                                  <a:pt x="48666" y="0"/>
                                </a:lnTo>
                                <a:close/>
                              </a:path>
                            </a:pathLst>
                          </a:custGeom>
                          <a:solidFill>
                            <a:srgbClr val="2F7D41"/>
                          </a:solidFill>
                        </wps:spPr>
                        <wps:bodyPr wrap="square" lIns="0" tIns="0" rIns="0" bIns="0" rtlCol="0">
                          <a:prstTxWarp prst="textNoShape">
                            <a:avLst/>
                          </a:prstTxWarp>
                          <a:noAutofit/>
                        </wps:bodyPr>
                      </wps:wsp>
                      <pic:pic>
                        <pic:nvPicPr>
                          <pic:cNvPr id="1418" name="Image 1418"/>
                          <pic:cNvPicPr/>
                        </pic:nvPicPr>
                        <pic:blipFill>
                          <a:blip r:embed="rId651" cstate="print"/>
                          <a:stretch>
                            <a:fillRect/>
                          </a:stretch>
                        </pic:blipFill>
                        <pic:spPr>
                          <a:xfrm>
                            <a:off x="3747366" y="113625"/>
                            <a:ext cx="234125" cy="93611"/>
                          </a:xfrm>
                          <a:prstGeom prst="rect">
                            <a:avLst/>
                          </a:prstGeom>
                        </pic:spPr>
                      </pic:pic>
                      <pic:pic>
                        <pic:nvPicPr>
                          <pic:cNvPr id="1419" name="Image 1419"/>
                          <pic:cNvPicPr/>
                        </pic:nvPicPr>
                        <pic:blipFill>
                          <a:blip r:embed="rId652" cstate="print"/>
                          <a:stretch>
                            <a:fillRect/>
                          </a:stretch>
                        </pic:blipFill>
                        <pic:spPr>
                          <a:xfrm>
                            <a:off x="4298250" y="122295"/>
                            <a:ext cx="232726" cy="80250"/>
                          </a:xfrm>
                          <a:prstGeom prst="rect">
                            <a:avLst/>
                          </a:prstGeom>
                        </pic:spPr>
                      </pic:pic>
                      <wps:wsp>
                        <wps:cNvPr id="1420" name="Textbox 1420"/>
                        <wps:cNvSpPr txBox="1"/>
                        <wps:spPr>
                          <a:xfrm>
                            <a:off x="2669575" y="96972"/>
                            <a:ext cx="38163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Elementary</w:t>
                              </w:r>
                            </w:p>
                          </w:txbxContent>
                        </wps:txbx>
                        <wps:bodyPr wrap="square" lIns="0" tIns="0" rIns="0" bIns="0" rtlCol="0">
                          <a:noAutofit/>
                        </wps:bodyPr>
                      </wps:wsp>
                      <wps:wsp>
                        <wps:cNvPr id="1421" name="Textbox 1421"/>
                        <wps:cNvSpPr txBox="1"/>
                        <wps:spPr>
                          <a:xfrm>
                            <a:off x="3315813" y="96972"/>
                            <a:ext cx="36131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Secondary</w:t>
                              </w:r>
                            </w:p>
                          </w:txbxContent>
                        </wps:txbx>
                        <wps:bodyPr wrap="square" lIns="0" tIns="0" rIns="0" bIns="0" rtlCol="0">
                          <a:noAutofit/>
                        </wps:bodyPr>
                      </wps:wsp>
                      <wps:wsp>
                        <wps:cNvPr id="1422" name="Textbox 1422"/>
                        <wps:cNvSpPr txBox="1"/>
                        <wps:spPr>
                          <a:xfrm>
                            <a:off x="4016225" y="96972"/>
                            <a:ext cx="22796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Higher</w:t>
                              </w:r>
                            </w:p>
                          </w:txbxContent>
                        </wps:txbx>
                        <wps:bodyPr wrap="square" lIns="0" tIns="0" rIns="0" bIns="0" rtlCol="0">
                          <a:noAutofit/>
                        </wps:bodyPr>
                      </wps:wsp>
                      <wps:wsp>
                        <wps:cNvPr id="1423" name="Textbox 1423"/>
                        <wps:cNvSpPr txBox="1"/>
                        <wps:spPr>
                          <a:xfrm>
                            <a:off x="4584374" y="96972"/>
                            <a:ext cx="316865"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Technical</w:t>
                              </w:r>
                            </w:p>
                          </w:txbxContent>
                        </wps:txbx>
                        <wps:bodyPr wrap="square" lIns="0" tIns="0" rIns="0" bIns="0" rtlCol="0">
                          <a:noAutofit/>
                        </wps:bodyPr>
                      </wps:wsp>
                      <wps:wsp>
                        <wps:cNvPr id="1424" name="Textbox 1424"/>
                        <wps:cNvSpPr txBox="1"/>
                        <wps:spPr>
                          <a:xfrm>
                            <a:off x="341809" y="354722"/>
                            <a:ext cx="215900" cy="14738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45000</w:t>
                              </w:r>
                            </w:p>
                            <w:p>
                              <w:pPr>
                                <w:spacing w:before="109"/>
                                <w:ind w:left="0" w:right="0" w:firstLine="0"/>
                                <w:jc w:val="left"/>
                                <w:rPr>
                                  <w:rFonts w:ascii="Arial MT"/>
                                  <w:sz w:val="14"/>
                                </w:rPr>
                              </w:pPr>
                              <w:r>
                                <w:rPr>
                                  <w:rFonts w:ascii="Arial MT"/>
                                  <w:spacing w:val="-2"/>
                                  <w:w w:val="85"/>
                                  <w:sz w:val="14"/>
                                </w:rPr>
                                <w:t>40000</w:t>
                              </w:r>
                            </w:p>
                            <w:p>
                              <w:pPr>
                                <w:spacing w:before="109"/>
                                <w:ind w:left="0" w:right="0" w:firstLine="0"/>
                                <w:jc w:val="left"/>
                                <w:rPr>
                                  <w:rFonts w:ascii="Arial MT"/>
                                  <w:sz w:val="14"/>
                                </w:rPr>
                              </w:pPr>
                              <w:r>
                                <w:rPr>
                                  <w:rFonts w:ascii="Arial MT"/>
                                  <w:spacing w:val="-2"/>
                                  <w:w w:val="85"/>
                                  <w:sz w:val="14"/>
                                </w:rPr>
                                <w:t>35000</w:t>
                              </w:r>
                            </w:p>
                            <w:p>
                              <w:pPr>
                                <w:spacing w:before="109"/>
                                <w:ind w:left="0" w:right="0" w:firstLine="0"/>
                                <w:jc w:val="left"/>
                                <w:rPr>
                                  <w:rFonts w:ascii="Arial MT"/>
                                  <w:sz w:val="14"/>
                                </w:rPr>
                              </w:pPr>
                              <w:r>
                                <w:rPr>
                                  <w:rFonts w:ascii="Arial MT"/>
                                  <w:spacing w:val="-2"/>
                                  <w:w w:val="85"/>
                                  <w:sz w:val="14"/>
                                </w:rPr>
                                <w:t>30000</w:t>
                              </w:r>
                            </w:p>
                            <w:p>
                              <w:pPr>
                                <w:spacing w:before="109"/>
                                <w:ind w:left="0" w:right="0" w:firstLine="0"/>
                                <w:jc w:val="left"/>
                                <w:rPr>
                                  <w:rFonts w:ascii="Arial MT"/>
                                  <w:sz w:val="14"/>
                                </w:rPr>
                              </w:pPr>
                              <w:r>
                                <w:rPr>
                                  <w:rFonts w:ascii="Arial MT"/>
                                  <w:spacing w:val="-2"/>
                                  <w:w w:val="85"/>
                                  <w:sz w:val="14"/>
                                </w:rPr>
                                <w:t>25000</w:t>
                              </w:r>
                            </w:p>
                            <w:p>
                              <w:pPr>
                                <w:spacing w:before="109"/>
                                <w:ind w:left="0" w:right="0" w:firstLine="0"/>
                                <w:jc w:val="left"/>
                                <w:rPr>
                                  <w:rFonts w:ascii="Arial MT"/>
                                  <w:sz w:val="14"/>
                                </w:rPr>
                              </w:pPr>
                              <w:r>
                                <w:rPr>
                                  <w:rFonts w:ascii="Arial MT"/>
                                  <w:spacing w:val="-2"/>
                                  <w:w w:val="85"/>
                                  <w:sz w:val="14"/>
                                </w:rPr>
                                <w:t>20000</w:t>
                              </w:r>
                            </w:p>
                            <w:p>
                              <w:pPr>
                                <w:spacing w:before="109"/>
                                <w:ind w:left="0" w:right="0" w:firstLine="0"/>
                                <w:jc w:val="left"/>
                                <w:rPr>
                                  <w:rFonts w:ascii="Arial MT"/>
                                  <w:sz w:val="14"/>
                                </w:rPr>
                              </w:pPr>
                              <w:r>
                                <w:rPr>
                                  <w:rFonts w:ascii="Arial MT"/>
                                  <w:spacing w:val="-2"/>
                                  <w:w w:val="85"/>
                                  <w:sz w:val="14"/>
                                </w:rPr>
                                <w:t>15000</w:t>
                              </w:r>
                            </w:p>
                            <w:p>
                              <w:pPr>
                                <w:spacing w:before="109"/>
                                <w:ind w:left="0" w:right="0" w:firstLine="0"/>
                                <w:jc w:val="left"/>
                                <w:rPr>
                                  <w:rFonts w:ascii="Arial MT"/>
                                  <w:sz w:val="14"/>
                                </w:rPr>
                              </w:pPr>
                              <w:r>
                                <w:rPr>
                                  <w:rFonts w:ascii="Arial MT"/>
                                  <w:spacing w:val="-2"/>
                                  <w:w w:val="85"/>
                                  <w:sz w:val="14"/>
                                </w:rPr>
                                <w:t>10000</w:t>
                              </w:r>
                            </w:p>
                            <w:p>
                              <w:pPr>
                                <w:spacing w:before="109"/>
                                <w:ind w:left="63" w:right="0" w:firstLine="0"/>
                                <w:jc w:val="left"/>
                                <w:rPr>
                                  <w:rFonts w:ascii="Arial MT"/>
                                  <w:sz w:val="14"/>
                                </w:rPr>
                              </w:pPr>
                              <w:r>
                                <w:rPr>
                                  <w:rFonts w:ascii="Arial MT"/>
                                  <w:spacing w:val="-4"/>
                                  <w:w w:val="85"/>
                                  <w:sz w:val="14"/>
                                </w:rPr>
                                <w:t>5000</w:t>
                              </w:r>
                            </w:p>
                          </w:txbxContent>
                        </wps:txbx>
                        <wps:bodyPr wrap="square" lIns="0" tIns="0" rIns="0" bIns="0" rtlCol="0">
                          <a:noAutofit/>
                        </wps:bodyPr>
                      </wps:wsp>
                      <wps:wsp>
                        <wps:cNvPr id="1425" name="Textbox 1425"/>
                        <wps:cNvSpPr txBox="1"/>
                        <wps:spPr>
                          <a:xfrm>
                            <a:off x="503982" y="1897772"/>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426" name="Textbox 1426"/>
                        <wps:cNvSpPr txBox="1"/>
                        <wps:spPr>
                          <a:xfrm>
                            <a:off x="706881" y="1966573"/>
                            <a:ext cx="4043045" cy="208915"/>
                          </a:xfrm>
                          <a:prstGeom prst="rect">
                            <a:avLst/>
                          </a:prstGeom>
                        </wps:spPr>
                        <wps:txbx>
                          <w:txbxContent>
                            <w:p>
                              <w:pPr>
                                <w:tabs>
                                  <w:tab w:pos="550" w:val="left" w:leader="none"/>
                                  <w:tab w:pos="1100" w:val="left" w:leader="none"/>
                                  <w:tab w:pos="1650" w:val="left" w:leader="none"/>
                                  <w:tab w:pos="2201" w:val="left" w:leader="none"/>
                                  <w:tab w:pos="2751" w:val="left" w:leader="none"/>
                                  <w:tab w:pos="3301" w:val="left" w:leader="none"/>
                                  <w:tab w:pos="3852" w:val="left" w:leader="none"/>
                                  <w:tab w:pos="4402" w:val="left" w:leader="none"/>
                                  <w:tab w:pos="4952" w:val="left" w:leader="none"/>
                                  <w:tab w:pos="5502" w:val="left" w:leader="none"/>
                                  <w:tab w:pos="6053" w:val="left" w:leader="none"/>
                                </w:tabs>
                                <w:spacing w:line="161" w:lineRule="exact" w:before="0"/>
                                <w:ind w:left="0" w:right="0" w:firstLine="0"/>
                                <w:jc w:val="left"/>
                                <w:rPr>
                                  <w:rFonts w:ascii="Arial MT"/>
                                  <w:sz w:val="14"/>
                                </w:rPr>
                              </w:pPr>
                              <w:r>
                                <w:rPr>
                                  <w:rFonts w:ascii="Arial MT"/>
                                  <w:spacing w:val="-2"/>
                                  <w:w w:val="90"/>
                                  <w:sz w:val="14"/>
                                </w:rPr>
                                <w:t>1993-</w:t>
                              </w:r>
                              <w:r>
                                <w:rPr>
                                  <w:rFonts w:ascii="Arial MT"/>
                                  <w:sz w:val="14"/>
                                </w:rPr>
                                <w:tab/>
                              </w:r>
                              <w:r>
                                <w:rPr>
                                  <w:rFonts w:ascii="Arial MT"/>
                                  <w:spacing w:val="-2"/>
                                  <w:w w:val="85"/>
                                  <w:sz w:val="14"/>
                                </w:rPr>
                                <w:t>1994-</w:t>
                              </w:r>
                              <w:r>
                                <w:rPr>
                                  <w:rFonts w:ascii="Arial MT"/>
                                  <w:sz w:val="14"/>
                                </w:rPr>
                                <w:tab/>
                              </w:r>
                              <w:r>
                                <w:rPr>
                                  <w:rFonts w:ascii="Arial MT"/>
                                  <w:spacing w:val="-2"/>
                                  <w:w w:val="90"/>
                                  <w:sz w:val="14"/>
                                </w:rPr>
                                <w:t>1995-</w:t>
                              </w:r>
                              <w:r>
                                <w:rPr>
                                  <w:rFonts w:ascii="Arial MT"/>
                                  <w:sz w:val="14"/>
                                </w:rPr>
                                <w:tab/>
                              </w:r>
                              <w:r>
                                <w:rPr>
                                  <w:rFonts w:ascii="Arial MT"/>
                                  <w:spacing w:val="-2"/>
                                  <w:w w:val="90"/>
                                  <w:sz w:val="14"/>
                                </w:rPr>
                                <w:t>1996-</w:t>
                              </w:r>
                              <w:r>
                                <w:rPr>
                                  <w:rFonts w:ascii="Arial MT"/>
                                  <w:sz w:val="14"/>
                                </w:rPr>
                                <w:tab/>
                              </w:r>
                              <w:r>
                                <w:rPr>
                                  <w:rFonts w:ascii="Arial MT"/>
                                  <w:spacing w:val="-2"/>
                                  <w:w w:val="90"/>
                                  <w:sz w:val="14"/>
                                </w:rPr>
                                <w:t>1997-</w:t>
                              </w:r>
                              <w:r>
                                <w:rPr>
                                  <w:rFonts w:ascii="Arial MT"/>
                                  <w:sz w:val="14"/>
                                </w:rPr>
                                <w:tab/>
                              </w:r>
                              <w:r>
                                <w:rPr>
                                  <w:rFonts w:ascii="Arial MT"/>
                                  <w:spacing w:val="-2"/>
                                  <w:w w:val="90"/>
                                  <w:sz w:val="14"/>
                                </w:rPr>
                                <w:t>1998-</w:t>
                              </w:r>
                              <w:r>
                                <w:rPr>
                                  <w:rFonts w:ascii="Arial MT"/>
                                  <w:sz w:val="14"/>
                                </w:rPr>
                                <w:tab/>
                              </w:r>
                              <w:r>
                                <w:rPr>
                                  <w:rFonts w:ascii="Arial MT"/>
                                  <w:spacing w:val="-2"/>
                                  <w:w w:val="90"/>
                                  <w:sz w:val="14"/>
                                </w:rPr>
                                <w:t>1999-</w:t>
                              </w:r>
                              <w:r>
                                <w:rPr>
                                  <w:rFonts w:ascii="Arial MT"/>
                                  <w:sz w:val="14"/>
                                </w:rPr>
                                <w:tab/>
                              </w:r>
                              <w:r>
                                <w:rPr>
                                  <w:rFonts w:ascii="Arial MT"/>
                                  <w:spacing w:val="-2"/>
                                  <w:w w:val="90"/>
                                  <w:sz w:val="14"/>
                                </w:rPr>
                                <w:t>2000-</w:t>
                              </w:r>
                              <w:r>
                                <w:rPr>
                                  <w:rFonts w:ascii="Arial MT"/>
                                  <w:sz w:val="14"/>
                                </w:rPr>
                                <w:tab/>
                              </w:r>
                              <w:r>
                                <w:rPr>
                                  <w:rFonts w:ascii="Arial MT"/>
                                  <w:spacing w:val="-2"/>
                                  <w:w w:val="90"/>
                                  <w:sz w:val="14"/>
                                </w:rPr>
                                <w:t>2001-</w:t>
                              </w:r>
                              <w:r>
                                <w:rPr>
                                  <w:rFonts w:ascii="Arial MT"/>
                                  <w:sz w:val="14"/>
                                </w:rPr>
                                <w:tab/>
                              </w:r>
                              <w:r>
                                <w:rPr>
                                  <w:rFonts w:ascii="Arial MT"/>
                                  <w:spacing w:val="-4"/>
                                  <w:w w:val="90"/>
                                  <w:sz w:val="14"/>
                                </w:rPr>
                                <w:t>2002-</w:t>
                              </w:r>
                              <w:r>
                                <w:rPr>
                                  <w:rFonts w:ascii="Arial MT"/>
                                  <w:sz w:val="14"/>
                                </w:rPr>
                                <w:tab/>
                              </w:r>
                              <w:r>
                                <w:rPr>
                                  <w:rFonts w:ascii="Arial MT"/>
                                  <w:spacing w:val="-2"/>
                                  <w:w w:val="90"/>
                                  <w:sz w:val="14"/>
                                </w:rPr>
                                <w:t>2003-</w:t>
                              </w:r>
                              <w:r>
                                <w:rPr>
                                  <w:rFonts w:ascii="Arial MT"/>
                                  <w:sz w:val="14"/>
                                </w:rPr>
                                <w:tab/>
                              </w:r>
                              <w:r>
                                <w:rPr>
                                  <w:rFonts w:ascii="Arial MT"/>
                                  <w:spacing w:val="-2"/>
                                  <w:w w:val="85"/>
                                  <w:sz w:val="14"/>
                                </w:rPr>
                                <w:t>2004-</w:t>
                              </w:r>
                            </w:p>
                            <w:p>
                              <w:pPr>
                                <w:tabs>
                                  <w:tab w:pos="633" w:val="left" w:leader="none"/>
                                  <w:tab w:pos="1183" w:val="left" w:leader="none"/>
                                  <w:tab w:pos="1733" w:val="left" w:leader="none"/>
                                  <w:tab w:pos="2284" w:val="left" w:leader="none"/>
                                  <w:tab w:pos="2834" w:val="left" w:leader="none"/>
                                  <w:tab w:pos="3320" w:val="left" w:leader="none"/>
                                  <w:tab w:pos="3934" w:val="left" w:leader="none"/>
                                  <w:tab w:pos="4485" w:val="left" w:leader="none"/>
                                  <w:tab w:pos="5035" w:val="left" w:leader="none"/>
                                  <w:tab w:pos="5506" w:val="left" w:leader="none"/>
                                  <w:tab w:pos="6059" w:val="left" w:leader="none"/>
                                </w:tabs>
                                <w:spacing w:before="7"/>
                                <w:ind w:left="82" w:right="0" w:firstLine="0"/>
                                <w:jc w:val="left"/>
                                <w:rPr>
                                  <w:rFonts w:ascii="Arial MT"/>
                                  <w:sz w:val="14"/>
                                </w:rPr>
                              </w:pPr>
                              <w:r>
                                <w:rPr>
                                  <w:rFonts w:ascii="Arial MT"/>
                                  <w:spacing w:val="-5"/>
                                  <w:w w:val="90"/>
                                  <w:sz w:val="14"/>
                                </w:rPr>
                                <w:t>94</w:t>
                              </w:r>
                              <w:r>
                                <w:rPr>
                                  <w:rFonts w:ascii="Arial MT"/>
                                  <w:sz w:val="14"/>
                                </w:rPr>
                                <w:tab/>
                              </w:r>
                              <w:r>
                                <w:rPr>
                                  <w:rFonts w:ascii="Arial MT"/>
                                  <w:spacing w:val="-5"/>
                                  <w:w w:val="90"/>
                                  <w:sz w:val="14"/>
                                </w:rPr>
                                <w:t>95</w:t>
                              </w:r>
                              <w:r>
                                <w:rPr>
                                  <w:rFonts w:ascii="Arial MT"/>
                                  <w:sz w:val="14"/>
                                </w:rPr>
                                <w:tab/>
                              </w:r>
                              <w:r>
                                <w:rPr>
                                  <w:rFonts w:ascii="Arial MT"/>
                                  <w:spacing w:val="-5"/>
                                  <w:w w:val="90"/>
                                  <w:sz w:val="14"/>
                                </w:rPr>
                                <w:t>96</w:t>
                              </w:r>
                              <w:r>
                                <w:rPr>
                                  <w:rFonts w:ascii="Arial MT"/>
                                  <w:sz w:val="14"/>
                                </w:rPr>
                                <w:tab/>
                              </w:r>
                              <w:r>
                                <w:rPr>
                                  <w:rFonts w:ascii="Arial MT"/>
                                  <w:spacing w:val="-5"/>
                                  <w:w w:val="90"/>
                                  <w:sz w:val="14"/>
                                </w:rPr>
                                <w:t>97</w:t>
                              </w:r>
                              <w:r>
                                <w:rPr>
                                  <w:rFonts w:ascii="Arial MT"/>
                                  <w:sz w:val="14"/>
                                </w:rPr>
                                <w:tab/>
                              </w:r>
                              <w:r>
                                <w:rPr>
                                  <w:rFonts w:ascii="Arial MT"/>
                                  <w:spacing w:val="-5"/>
                                  <w:w w:val="90"/>
                                  <w:sz w:val="14"/>
                                </w:rPr>
                                <w:t>98</w:t>
                              </w:r>
                              <w:r>
                                <w:rPr>
                                  <w:rFonts w:ascii="Arial MT"/>
                                  <w:sz w:val="14"/>
                                </w:rPr>
                                <w:tab/>
                              </w:r>
                              <w:r>
                                <w:rPr>
                                  <w:rFonts w:ascii="Arial MT"/>
                                  <w:spacing w:val="-5"/>
                                  <w:w w:val="85"/>
                                  <w:sz w:val="14"/>
                                </w:rPr>
                                <w:t>99</w:t>
                              </w:r>
                              <w:r>
                                <w:rPr>
                                  <w:rFonts w:ascii="Arial MT"/>
                                  <w:sz w:val="14"/>
                                </w:rPr>
                                <w:tab/>
                              </w:r>
                              <w:r>
                                <w:rPr>
                                  <w:rFonts w:ascii="Arial MT"/>
                                  <w:spacing w:val="-4"/>
                                  <w:w w:val="90"/>
                                  <w:sz w:val="14"/>
                                </w:rPr>
                                <w:t>2000</w:t>
                              </w:r>
                              <w:r>
                                <w:rPr>
                                  <w:rFonts w:ascii="Arial MT"/>
                                  <w:sz w:val="14"/>
                                </w:rPr>
                                <w:tab/>
                              </w:r>
                              <w:r>
                                <w:rPr>
                                  <w:rFonts w:ascii="Arial MT"/>
                                  <w:spacing w:val="-5"/>
                                  <w:w w:val="90"/>
                                  <w:sz w:val="14"/>
                                </w:rPr>
                                <w:t>01</w:t>
                              </w:r>
                              <w:r>
                                <w:rPr>
                                  <w:rFonts w:ascii="Arial MT"/>
                                  <w:sz w:val="14"/>
                                </w:rPr>
                                <w:tab/>
                              </w:r>
                              <w:r>
                                <w:rPr>
                                  <w:rFonts w:ascii="Arial MT"/>
                                  <w:spacing w:val="-5"/>
                                  <w:w w:val="90"/>
                                  <w:sz w:val="14"/>
                                </w:rPr>
                                <w:t>02</w:t>
                              </w:r>
                              <w:r>
                                <w:rPr>
                                  <w:rFonts w:ascii="Arial MT"/>
                                  <w:sz w:val="14"/>
                                </w:rPr>
                                <w:tab/>
                              </w:r>
                              <w:r>
                                <w:rPr>
                                  <w:rFonts w:ascii="Arial MT"/>
                                  <w:spacing w:val="-5"/>
                                  <w:w w:val="90"/>
                                  <w:sz w:val="14"/>
                                </w:rPr>
                                <w:t>03</w:t>
                              </w:r>
                              <w:r>
                                <w:rPr>
                                  <w:rFonts w:ascii="Arial MT"/>
                                  <w:sz w:val="14"/>
                                </w:rPr>
                                <w:tab/>
                              </w:r>
                              <w:r>
                                <w:rPr>
                                  <w:rFonts w:ascii="Arial MT"/>
                                  <w:spacing w:val="-4"/>
                                  <w:w w:val="90"/>
                                  <w:sz w:val="14"/>
                                </w:rPr>
                                <w:t>04(R)</w:t>
                              </w:r>
                              <w:r>
                                <w:rPr>
                                  <w:rFonts w:ascii="Arial MT"/>
                                  <w:sz w:val="14"/>
                                </w:rPr>
                                <w:tab/>
                              </w:r>
                              <w:r>
                                <w:rPr>
                                  <w:rFonts w:ascii="Arial MT"/>
                                  <w:spacing w:val="-2"/>
                                  <w:w w:val="85"/>
                                  <w:sz w:val="14"/>
                                </w:rPr>
                                <w:t>05(B)</w:t>
                              </w:r>
                            </w:p>
                          </w:txbxContent>
                        </wps:txbx>
                        <wps:bodyPr wrap="square" lIns="0" tIns="0" rIns="0" bIns="0" rtlCol="0">
                          <a:noAutofit/>
                        </wps:bodyPr>
                      </wps:wsp>
                    </wpg:wgp>
                  </a:graphicData>
                </a:graphic>
              </wp:anchor>
            </w:drawing>
          </mc:Choice>
          <mc:Fallback>
            <w:pict>
              <v:group style="position:absolute;margin-left:100.431763pt;margin-top:40.400002pt;width:397.05pt;height:183.4pt;mso-position-horizontal-relative:page;mso-position-vertical-relative:paragraph;z-index:-23919616" id="docshapegroup1401" coordorigin="2009,808" coordsize="7941,3668">
                <v:shape style="position:absolute;left:2008;top:808;width:7941;height:3668" id="docshape1402" coordorigin="2009,808" coordsize="7941,3668" path="m9949,808l9939,808,9939,812,9939,813,9939,4472,2014,4472,2014,4472,2019,4472,9939,4472,9939,4467,2019,4467,2014,4467,2014,4466,2019,4466,2019,818,2014,818,2014,818,2019,818,9939,818,9939,813,2019,813,2014,813,2014,812,9939,812,9939,808,2009,808,2009,812,2009,818,2009,4466,2009,4472,2009,4476,9949,4476,9949,4472,9944,4472,9944,4472,9949,4472,9949,4467,9944,4467,9944,4466,9949,4466,9949,818,9944,818,9944,818,9949,818,9949,813,9944,813,9944,812,9949,812,9949,808xe" filled="true" fillcolor="#000000" stroked="false">
                  <v:path arrowok="t"/>
                  <v:fill type="solid"/>
                </v:shape>
                <v:shape style="position:absolute;left:5816;top:1008;width:367;height:95" id="docshape1403" coordorigin="5816,1009" coordsize="367,95" path="m6183,1042l6027,1042,5993,1009,5988,1014,5960,1042,5816,1042,5816,1070,5960,1070,5993,1103,6003,1094,6027,1070,6183,1070,6183,1042xe" filled="true" fillcolor="#3d619d" stroked="false">
                  <v:path arrowok="t"/>
                  <v:fill type="solid"/>
                </v:shape>
                <v:rect style="position:absolute;left:6845;top:1044;width:331;height:24" id="docshape1404" filled="true" fillcolor="#2e614a" stroked="false">
                  <v:fill type="solid"/>
                </v:rect>
                <v:shape style="position:absolute;left:6968;top:1021;width:77;height:77" id="docshape1405" coordorigin="6968,1022" coordsize="77,77" path="m7045,1022l6968,1022,6968,1098,7045,1098,7045,1091,7045,1084,7045,1036,7045,1029,7045,1022xe" filled="true" fillcolor="#2f7d41" stroked="false">
                  <v:path arrowok="t"/>
                  <v:fill type="solid"/>
                </v:shape>
                <v:shape style="position:absolute;left:7910;top:986;width:369;height:148" type="#_x0000_t75" id="docshape1406" stroked="false">
                  <v:imagedata r:id="rId651" o:title=""/>
                </v:shape>
                <v:shape style="position:absolute;left:8777;top:1000;width:367;height:127" type="#_x0000_t75" id="docshape1407" stroked="false">
                  <v:imagedata r:id="rId652" o:title=""/>
                </v:shape>
                <v:shape style="position:absolute;left:6212;top:960;width:601;height:161" type="#_x0000_t202" id="docshape1408" filled="false" stroked="false">
                  <v:textbox inset="0,0,0,0">
                    <w:txbxContent>
                      <w:p>
                        <w:pPr>
                          <w:spacing w:line="161" w:lineRule="exact" w:before="0"/>
                          <w:ind w:left="0" w:right="0" w:firstLine="0"/>
                          <w:jc w:val="left"/>
                          <w:rPr>
                            <w:rFonts w:ascii="Arial MT"/>
                            <w:sz w:val="14"/>
                          </w:rPr>
                        </w:pPr>
                        <w:r>
                          <w:rPr>
                            <w:rFonts w:ascii="Arial MT"/>
                            <w:spacing w:val="-2"/>
                            <w:w w:val="85"/>
                            <w:sz w:val="14"/>
                          </w:rPr>
                          <w:t>Elementary</w:t>
                        </w:r>
                      </w:p>
                    </w:txbxContent>
                  </v:textbox>
                  <w10:wrap type="none"/>
                </v:shape>
                <v:shape style="position:absolute;left:7230;top:960;width:569;height:161" type="#_x0000_t202" id="docshape1409" filled="false" stroked="false">
                  <v:textbox inset="0,0,0,0">
                    <w:txbxContent>
                      <w:p>
                        <w:pPr>
                          <w:spacing w:line="161" w:lineRule="exact" w:before="0"/>
                          <w:ind w:left="0" w:right="0" w:firstLine="0"/>
                          <w:jc w:val="left"/>
                          <w:rPr>
                            <w:rFonts w:ascii="Arial MT"/>
                            <w:sz w:val="14"/>
                          </w:rPr>
                        </w:pPr>
                        <w:r>
                          <w:rPr>
                            <w:rFonts w:ascii="Arial MT"/>
                            <w:spacing w:val="-2"/>
                            <w:w w:val="85"/>
                            <w:sz w:val="14"/>
                          </w:rPr>
                          <w:t>Secondary</w:t>
                        </w:r>
                      </w:p>
                    </w:txbxContent>
                  </v:textbox>
                  <w10:wrap type="none"/>
                </v:shape>
                <v:shape style="position:absolute;left:8333;top:960;width:359;height:161" type="#_x0000_t202" id="docshape1410" filled="false" stroked="false">
                  <v:textbox inset="0,0,0,0">
                    <w:txbxContent>
                      <w:p>
                        <w:pPr>
                          <w:spacing w:line="161" w:lineRule="exact" w:before="0"/>
                          <w:ind w:left="0" w:right="0" w:firstLine="0"/>
                          <w:jc w:val="left"/>
                          <w:rPr>
                            <w:rFonts w:ascii="Arial MT"/>
                            <w:sz w:val="14"/>
                          </w:rPr>
                        </w:pPr>
                        <w:r>
                          <w:rPr>
                            <w:rFonts w:ascii="Arial MT"/>
                            <w:spacing w:val="-2"/>
                            <w:w w:val="85"/>
                            <w:sz w:val="14"/>
                          </w:rPr>
                          <w:t>Higher</w:t>
                        </w:r>
                      </w:p>
                    </w:txbxContent>
                  </v:textbox>
                  <w10:wrap type="none"/>
                </v:shape>
                <v:shape style="position:absolute;left:9228;top:960;width:499;height:161" type="#_x0000_t202" id="docshape1411" filled="false" stroked="false">
                  <v:textbox inset="0,0,0,0">
                    <w:txbxContent>
                      <w:p>
                        <w:pPr>
                          <w:spacing w:line="161" w:lineRule="exact" w:before="0"/>
                          <w:ind w:left="0" w:right="0" w:firstLine="0"/>
                          <w:jc w:val="left"/>
                          <w:rPr>
                            <w:rFonts w:ascii="Arial MT"/>
                            <w:sz w:val="14"/>
                          </w:rPr>
                        </w:pPr>
                        <w:r>
                          <w:rPr>
                            <w:rFonts w:ascii="Arial MT"/>
                            <w:spacing w:val="-4"/>
                            <w:w w:val="85"/>
                            <w:sz w:val="14"/>
                          </w:rPr>
                          <w:t>Technical</w:t>
                        </w:r>
                      </w:p>
                    </w:txbxContent>
                  </v:textbox>
                  <w10:wrap type="none"/>
                </v:shape>
                <v:shape style="position:absolute;left:2546;top:1366;width:340;height:2321" type="#_x0000_t202" id="docshape1412" filled="false" stroked="false">
                  <v:textbox inset="0,0,0,0">
                    <w:txbxContent>
                      <w:p>
                        <w:pPr>
                          <w:spacing w:line="161" w:lineRule="exact" w:before="0"/>
                          <w:ind w:left="0" w:right="0" w:firstLine="0"/>
                          <w:jc w:val="left"/>
                          <w:rPr>
                            <w:rFonts w:ascii="Arial MT"/>
                            <w:sz w:val="14"/>
                          </w:rPr>
                        </w:pPr>
                        <w:r>
                          <w:rPr>
                            <w:rFonts w:ascii="Arial MT"/>
                            <w:spacing w:val="-2"/>
                            <w:w w:val="85"/>
                            <w:sz w:val="14"/>
                          </w:rPr>
                          <w:t>45000</w:t>
                        </w:r>
                      </w:p>
                      <w:p>
                        <w:pPr>
                          <w:spacing w:before="109"/>
                          <w:ind w:left="0" w:right="0" w:firstLine="0"/>
                          <w:jc w:val="left"/>
                          <w:rPr>
                            <w:rFonts w:ascii="Arial MT"/>
                            <w:sz w:val="14"/>
                          </w:rPr>
                        </w:pPr>
                        <w:r>
                          <w:rPr>
                            <w:rFonts w:ascii="Arial MT"/>
                            <w:spacing w:val="-2"/>
                            <w:w w:val="85"/>
                            <w:sz w:val="14"/>
                          </w:rPr>
                          <w:t>40000</w:t>
                        </w:r>
                      </w:p>
                      <w:p>
                        <w:pPr>
                          <w:spacing w:before="109"/>
                          <w:ind w:left="0" w:right="0" w:firstLine="0"/>
                          <w:jc w:val="left"/>
                          <w:rPr>
                            <w:rFonts w:ascii="Arial MT"/>
                            <w:sz w:val="14"/>
                          </w:rPr>
                        </w:pPr>
                        <w:r>
                          <w:rPr>
                            <w:rFonts w:ascii="Arial MT"/>
                            <w:spacing w:val="-2"/>
                            <w:w w:val="85"/>
                            <w:sz w:val="14"/>
                          </w:rPr>
                          <w:t>35000</w:t>
                        </w:r>
                      </w:p>
                      <w:p>
                        <w:pPr>
                          <w:spacing w:before="109"/>
                          <w:ind w:left="0" w:right="0" w:firstLine="0"/>
                          <w:jc w:val="left"/>
                          <w:rPr>
                            <w:rFonts w:ascii="Arial MT"/>
                            <w:sz w:val="14"/>
                          </w:rPr>
                        </w:pPr>
                        <w:r>
                          <w:rPr>
                            <w:rFonts w:ascii="Arial MT"/>
                            <w:spacing w:val="-2"/>
                            <w:w w:val="85"/>
                            <w:sz w:val="14"/>
                          </w:rPr>
                          <w:t>30000</w:t>
                        </w:r>
                      </w:p>
                      <w:p>
                        <w:pPr>
                          <w:spacing w:before="109"/>
                          <w:ind w:left="0" w:right="0" w:firstLine="0"/>
                          <w:jc w:val="left"/>
                          <w:rPr>
                            <w:rFonts w:ascii="Arial MT"/>
                            <w:sz w:val="14"/>
                          </w:rPr>
                        </w:pPr>
                        <w:r>
                          <w:rPr>
                            <w:rFonts w:ascii="Arial MT"/>
                            <w:spacing w:val="-2"/>
                            <w:w w:val="85"/>
                            <w:sz w:val="14"/>
                          </w:rPr>
                          <w:t>25000</w:t>
                        </w:r>
                      </w:p>
                      <w:p>
                        <w:pPr>
                          <w:spacing w:before="109"/>
                          <w:ind w:left="0" w:right="0" w:firstLine="0"/>
                          <w:jc w:val="left"/>
                          <w:rPr>
                            <w:rFonts w:ascii="Arial MT"/>
                            <w:sz w:val="14"/>
                          </w:rPr>
                        </w:pPr>
                        <w:r>
                          <w:rPr>
                            <w:rFonts w:ascii="Arial MT"/>
                            <w:spacing w:val="-2"/>
                            <w:w w:val="85"/>
                            <w:sz w:val="14"/>
                          </w:rPr>
                          <w:t>20000</w:t>
                        </w:r>
                      </w:p>
                      <w:p>
                        <w:pPr>
                          <w:spacing w:before="109"/>
                          <w:ind w:left="0" w:right="0" w:firstLine="0"/>
                          <w:jc w:val="left"/>
                          <w:rPr>
                            <w:rFonts w:ascii="Arial MT"/>
                            <w:sz w:val="14"/>
                          </w:rPr>
                        </w:pPr>
                        <w:r>
                          <w:rPr>
                            <w:rFonts w:ascii="Arial MT"/>
                            <w:spacing w:val="-2"/>
                            <w:w w:val="85"/>
                            <w:sz w:val="14"/>
                          </w:rPr>
                          <w:t>15000</w:t>
                        </w:r>
                      </w:p>
                      <w:p>
                        <w:pPr>
                          <w:spacing w:before="109"/>
                          <w:ind w:left="0" w:right="0" w:firstLine="0"/>
                          <w:jc w:val="left"/>
                          <w:rPr>
                            <w:rFonts w:ascii="Arial MT"/>
                            <w:sz w:val="14"/>
                          </w:rPr>
                        </w:pPr>
                        <w:r>
                          <w:rPr>
                            <w:rFonts w:ascii="Arial MT"/>
                            <w:spacing w:val="-2"/>
                            <w:w w:val="85"/>
                            <w:sz w:val="14"/>
                          </w:rPr>
                          <w:t>10000</w:t>
                        </w:r>
                      </w:p>
                      <w:p>
                        <w:pPr>
                          <w:spacing w:before="109"/>
                          <w:ind w:left="63" w:right="0" w:firstLine="0"/>
                          <w:jc w:val="left"/>
                          <w:rPr>
                            <w:rFonts w:ascii="Arial MT"/>
                            <w:sz w:val="14"/>
                          </w:rPr>
                        </w:pPr>
                        <w:r>
                          <w:rPr>
                            <w:rFonts w:ascii="Arial MT"/>
                            <w:spacing w:val="-4"/>
                            <w:w w:val="85"/>
                            <w:sz w:val="14"/>
                          </w:rPr>
                          <w:t>5000</w:t>
                        </w:r>
                      </w:p>
                    </w:txbxContent>
                  </v:textbox>
                  <w10:wrap type="none"/>
                </v:shape>
                <v:shape style="position:absolute;left:2802;top:3796;width:84;height:161" type="#_x0000_t202" id="docshape1413"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3121;top:3904;width:6367;height:329" type="#_x0000_t202" id="docshape1414" filled="false" stroked="false">
                  <v:textbox inset="0,0,0,0">
                    <w:txbxContent>
                      <w:p>
                        <w:pPr>
                          <w:tabs>
                            <w:tab w:pos="550" w:val="left" w:leader="none"/>
                            <w:tab w:pos="1100" w:val="left" w:leader="none"/>
                            <w:tab w:pos="1650" w:val="left" w:leader="none"/>
                            <w:tab w:pos="2201" w:val="left" w:leader="none"/>
                            <w:tab w:pos="2751" w:val="left" w:leader="none"/>
                            <w:tab w:pos="3301" w:val="left" w:leader="none"/>
                            <w:tab w:pos="3852" w:val="left" w:leader="none"/>
                            <w:tab w:pos="4402" w:val="left" w:leader="none"/>
                            <w:tab w:pos="4952" w:val="left" w:leader="none"/>
                            <w:tab w:pos="5502" w:val="left" w:leader="none"/>
                            <w:tab w:pos="6053" w:val="left" w:leader="none"/>
                          </w:tabs>
                          <w:spacing w:line="161" w:lineRule="exact" w:before="0"/>
                          <w:ind w:left="0" w:right="0" w:firstLine="0"/>
                          <w:jc w:val="left"/>
                          <w:rPr>
                            <w:rFonts w:ascii="Arial MT"/>
                            <w:sz w:val="14"/>
                          </w:rPr>
                        </w:pPr>
                        <w:r>
                          <w:rPr>
                            <w:rFonts w:ascii="Arial MT"/>
                            <w:spacing w:val="-2"/>
                            <w:w w:val="90"/>
                            <w:sz w:val="14"/>
                          </w:rPr>
                          <w:t>1993-</w:t>
                        </w:r>
                        <w:r>
                          <w:rPr>
                            <w:rFonts w:ascii="Arial MT"/>
                            <w:sz w:val="14"/>
                          </w:rPr>
                          <w:tab/>
                        </w:r>
                        <w:r>
                          <w:rPr>
                            <w:rFonts w:ascii="Arial MT"/>
                            <w:spacing w:val="-2"/>
                            <w:w w:val="85"/>
                            <w:sz w:val="14"/>
                          </w:rPr>
                          <w:t>1994-</w:t>
                        </w:r>
                        <w:r>
                          <w:rPr>
                            <w:rFonts w:ascii="Arial MT"/>
                            <w:sz w:val="14"/>
                          </w:rPr>
                          <w:tab/>
                        </w:r>
                        <w:r>
                          <w:rPr>
                            <w:rFonts w:ascii="Arial MT"/>
                            <w:spacing w:val="-2"/>
                            <w:w w:val="90"/>
                            <w:sz w:val="14"/>
                          </w:rPr>
                          <w:t>1995-</w:t>
                        </w:r>
                        <w:r>
                          <w:rPr>
                            <w:rFonts w:ascii="Arial MT"/>
                            <w:sz w:val="14"/>
                          </w:rPr>
                          <w:tab/>
                        </w:r>
                        <w:r>
                          <w:rPr>
                            <w:rFonts w:ascii="Arial MT"/>
                            <w:spacing w:val="-2"/>
                            <w:w w:val="90"/>
                            <w:sz w:val="14"/>
                          </w:rPr>
                          <w:t>1996-</w:t>
                        </w:r>
                        <w:r>
                          <w:rPr>
                            <w:rFonts w:ascii="Arial MT"/>
                            <w:sz w:val="14"/>
                          </w:rPr>
                          <w:tab/>
                        </w:r>
                        <w:r>
                          <w:rPr>
                            <w:rFonts w:ascii="Arial MT"/>
                            <w:spacing w:val="-2"/>
                            <w:w w:val="90"/>
                            <w:sz w:val="14"/>
                          </w:rPr>
                          <w:t>1997-</w:t>
                        </w:r>
                        <w:r>
                          <w:rPr>
                            <w:rFonts w:ascii="Arial MT"/>
                            <w:sz w:val="14"/>
                          </w:rPr>
                          <w:tab/>
                        </w:r>
                        <w:r>
                          <w:rPr>
                            <w:rFonts w:ascii="Arial MT"/>
                            <w:spacing w:val="-2"/>
                            <w:w w:val="90"/>
                            <w:sz w:val="14"/>
                          </w:rPr>
                          <w:t>1998-</w:t>
                        </w:r>
                        <w:r>
                          <w:rPr>
                            <w:rFonts w:ascii="Arial MT"/>
                            <w:sz w:val="14"/>
                          </w:rPr>
                          <w:tab/>
                        </w:r>
                        <w:r>
                          <w:rPr>
                            <w:rFonts w:ascii="Arial MT"/>
                            <w:spacing w:val="-2"/>
                            <w:w w:val="90"/>
                            <w:sz w:val="14"/>
                          </w:rPr>
                          <w:t>1999-</w:t>
                        </w:r>
                        <w:r>
                          <w:rPr>
                            <w:rFonts w:ascii="Arial MT"/>
                            <w:sz w:val="14"/>
                          </w:rPr>
                          <w:tab/>
                        </w:r>
                        <w:r>
                          <w:rPr>
                            <w:rFonts w:ascii="Arial MT"/>
                            <w:spacing w:val="-2"/>
                            <w:w w:val="90"/>
                            <w:sz w:val="14"/>
                          </w:rPr>
                          <w:t>2000-</w:t>
                        </w:r>
                        <w:r>
                          <w:rPr>
                            <w:rFonts w:ascii="Arial MT"/>
                            <w:sz w:val="14"/>
                          </w:rPr>
                          <w:tab/>
                        </w:r>
                        <w:r>
                          <w:rPr>
                            <w:rFonts w:ascii="Arial MT"/>
                            <w:spacing w:val="-2"/>
                            <w:w w:val="90"/>
                            <w:sz w:val="14"/>
                          </w:rPr>
                          <w:t>2001-</w:t>
                        </w:r>
                        <w:r>
                          <w:rPr>
                            <w:rFonts w:ascii="Arial MT"/>
                            <w:sz w:val="14"/>
                          </w:rPr>
                          <w:tab/>
                        </w:r>
                        <w:r>
                          <w:rPr>
                            <w:rFonts w:ascii="Arial MT"/>
                            <w:spacing w:val="-4"/>
                            <w:w w:val="90"/>
                            <w:sz w:val="14"/>
                          </w:rPr>
                          <w:t>2002-</w:t>
                        </w:r>
                        <w:r>
                          <w:rPr>
                            <w:rFonts w:ascii="Arial MT"/>
                            <w:sz w:val="14"/>
                          </w:rPr>
                          <w:tab/>
                        </w:r>
                        <w:r>
                          <w:rPr>
                            <w:rFonts w:ascii="Arial MT"/>
                            <w:spacing w:val="-2"/>
                            <w:w w:val="90"/>
                            <w:sz w:val="14"/>
                          </w:rPr>
                          <w:t>2003-</w:t>
                        </w:r>
                        <w:r>
                          <w:rPr>
                            <w:rFonts w:ascii="Arial MT"/>
                            <w:sz w:val="14"/>
                          </w:rPr>
                          <w:tab/>
                        </w:r>
                        <w:r>
                          <w:rPr>
                            <w:rFonts w:ascii="Arial MT"/>
                            <w:spacing w:val="-2"/>
                            <w:w w:val="85"/>
                            <w:sz w:val="14"/>
                          </w:rPr>
                          <w:t>2004-</w:t>
                        </w:r>
                      </w:p>
                      <w:p>
                        <w:pPr>
                          <w:tabs>
                            <w:tab w:pos="633" w:val="left" w:leader="none"/>
                            <w:tab w:pos="1183" w:val="left" w:leader="none"/>
                            <w:tab w:pos="1733" w:val="left" w:leader="none"/>
                            <w:tab w:pos="2284" w:val="left" w:leader="none"/>
                            <w:tab w:pos="2834" w:val="left" w:leader="none"/>
                            <w:tab w:pos="3320" w:val="left" w:leader="none"/>
                            <w:tab w:pos="3934" w:val="left" w:leader="none"/>
                            <w:tab w:pos="4485" w:val="left" w:leader="none"/>
                            <w:tab w:pos="5035" w:val="left" w:leader="none"/>
                            <w:tab w:pos="5506" w:val="left" w:leader="none"/>
                            <w:tab w:pos="6059" w:val="left" w:leader="none"/>
                          </w:tabs>
                          <w:spacing w:before="7"/>
                          <w:ind w:left="82" w:right="0" w:firstLine="0"/>
                          <w:jc w:val="left"/>
                          <w:rPr>
                            <w:rFonts w:ascii="Arial MT"/>
                            <w:sz w:val="14"/>
                          </w:rPr>
                        </w:pPr>
                        <w:r>
                          <w:rPr>
                            <w:rFonts w:ascii="Arial MT"/>
                            <w:spacing w:val="-5"/>
                            <w:w w:val="90"/>
                            <w:sz w:val="14"/>
                          </w:rPr>
                          <w:t>94</w:t>
                        </w:r>
                        <w:r>
                          <w:rPr>
                            <w:rFonts w:ascii="Arial MT"/>
                            <w:sz w:val="14"/>
                          </w:rPr>
                          <w:tab/>
                        </w:r>
                        <w:r>
                          <w:rPr>
                            <w:rFonts w:ascii="Arial MT"/>
                            <w:spacing w:val="-5"/>
                            <w:w w:val="90"/>
                            <w:sz w:val="14"/>
                          </w:rPr>
                          <w:t>95</w:t>
                        </w:r>
                        <w:r>
                          <w:rPr>
                            <w:rFonts w:ascii="Arial MT"/>
                            <w:sz w:val="14"/>
                          </w:rPr>
                          <w:tab/>
                        </w:r>
                        <w:r>
                          <w:rPr>
                            <w:rFonts w:ascii="Arial MT"/>
                            <w:spacing w:val="-5"/>
                            <w:w w:val="90"/>
                            <w:sz w:val="14"/>
                          </w:rPr>
                          <w:t>96</w:t>
                        </w:r>
                        <w:r>
                          <w:rPr>
                            <w:rFonts w:ascii="Arial MT"/>
                            <w:sz w:val="14"/>
                          </w:rPr>
                          <w:tab/>
                        </w:r>
                        <w:r>
                          <w:rPr>
                            <w:rFonts w:ascii="Arial MT"/>
                            <w:spacing w:val="-5"/>
                            <w:w w:val="90"/>
                            <w:sz w:val="14"/>
                          </w:rPr>
                          <w:t>97</w:t>
                        </w:r>
                        <w:r>
                          <w:rPr>
                            <w:rFonts w:ascii="Arial MT"/>
                            <w:sz w:val="14"/>
                          </w:rPr>
                          <w:tab/>
                        </w:r>
                        <w:r>
                          <w:rPr>
                            <w:rFonts w:ascii="Arial MT"/>
                            <w:spacing w:val="-5"/>
                            <w:w w:val="90"/>
                            <w:sz w:val="14"/>
                          </w:rPr>
                          <w:t>98</w:t>
                        </w:r>
                        <w:r>
                          <w:rPr>
                            <w:rFonts w:ascii="Arial MT"/>
                            <w:sz w:val="14"/>
                          </w:rPr>
                          <w:tab/>
                        </w:r>
                        <w:r>
                          <w:rPr>
                            <w:rFonts w:ascii="Arial MT"/>
                            <w:spacing w:val="-5"/>
                            <w:w w:val="85"/>
                            <w:sz w:val="14"/>
                          </w:rPr>
                          <w:t>99</w:t>
                        </w:r>
                        <w:r>
                          <w:rPr>
                            <w:rFonts w:ascii="Arial MT"/>
                            <w:sz w:val="14"/>
                          </w:rPr>
                          <w:tab/>
                        </w:r>
                        <w:r>
                          <w:rPr>
                            <w:rFonts w:ascii="Arial MT"/>
                            <w:spacing w:val="-4"/>
                            <w:w w:val="90"/>
                            <w:sz w:val="14"/>
                          </w:rPr>
                          <w:t>2000</w:t>
                        </w:r>
                        <w:r>
                          <w:rPr>
                            <w:rFonts w:ascii="Arial MT"/>
                            <w:sz w:val="14"/>
                          </w:rPr>
                          <w:tab/>
                        </w:r>
                        <w:r>
                          <w:rPr>
                            <w:rFonts w:ascii="Arial MT"/>
                            <w:spacing w:val="-5"/>
                            <w:w w:val="90"/>
                            <w:sz w:val="14"/>
                          </w:rPr>
                          <w:t>01</w:t>
                        </w:r>
                        <w:r>
                          <w:rPr>
                            <w:rFonts w:ascii="Arial MT"/>
                            <w:sz w:val="14"/>
                          </w:rPr>
                          <w:tab/>
                        </w:r>
                        <w:r>
                          <w:rPr>
                            <w:rFonts w:ascii="Arial MT"/>
                            <w:spacing w:val="-5"/>
                            <w:w w:val="90"/>
                            <w:sz w:val="14"/>
                          </w:rPr>
                          <w:t>02</w:t>
                        </w:r>
                        <w:r>
                          <w:rPr>
                            <w:rFonts w:ascii="Arial MT"/>
                            <w:sz w:val="14"/>
                          </w:rPr>
                          <w:tab/>
                        </w:r>
                        <w:r>
                          <w:rPr>
                            <w:rFonts w:ascii="Arial MT"/>
                            <w:spacing w:val="-5"/>
                            <w:w w:val="90"/>
                            <w:sz w:val="14"/>
                          </w:rPr>
                          <w:t>03</w:t>
                        </w:r>
                        <w:r>
                          <w:rPr>
                            <w:rFonts w:ascii="Arial MT"/>
                            <w:sz w:val="14"/>
                          </w:rPr>
                          <w:tab/>
                        </w:r>
                        <w:r>
                          <w:rPr>
                            <w:rFonts w:ascii="Arial MT"/>
                            <w:spacing w:val="-4"/>
                            <w:w w:val="90"/>
                            <w:sz w:val="14"/>
                          </w:rPr>
                          <w:t>04(R)</w:t>
                        </w:r>
                        <w:r>
                          <w:rPr>
                            <w:rFonts w:ascii="Arial MT"/>
                            <w:sz w:val="14"/>
                          </w:rPr>
                          <w:tab/>
                        </w:r>
                        <w:r>
                          <w:rPr>
                            <w:rFonts w:ascii="Arial MT"/>
                            <w:spacing w:val="-2"/>
                            <w:w w:val="85"/>
                            <w:sz w:val="14"/>
                          </w:rPr>
                          <w:t>05(B)</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0800">
                <wp:simplePos x="0" y="0"/>
                <wp:positionH relativeFrom="page">
                  <wp:posOffset>1424709</wp:posOffset>
                </wp:positionH>
                <wp:positionV relativeFrom="paragraph">
                  <wp:posOffset>1281747</wp:posOffset>
                </wp:positionV>
                <wp:extent cx="127635" cy="738505"/>
                <wp:effectExtent l="0" t="0" r="0" b="0"/>
                <wp:wrapNone/>
                <wp:docPr id="1427" name="Textbox 1427"/>
                <wp:cNvGraphicFramePr>
                  <a:graphicFrameLocks/>
                </wp:cNvGraphicFramePr>
                <a:graphic>
                  <a:graphicData uri="http://schemas.microsoft.com/office/word/2010/wordprocessingShape">
                    <wps:wsp>
                      <wps:cNvPr id="1427" name="Textbox 1427"/>
                      <wps:cNvSpPr txBox="1"/>
                      <wps:spPr>
                        <a:xfrm>
                          <a:off x="0" y="0"/>
                          <a:ext cx="127635" cy="738505"/>
                        </a:xfrm>
                        <a:prstGeom prst="rect">
                          <a:avLst/>
                        </a:prstGeom>
                      </wps:spPr>
                      <wps:txbx>
                        <w:txbxContent>
                          <w:p>
                            <w:pPr>
                              <w:spacing w:before="19"/>
                              <w:ind w:left="20" w:right="0" w:firstLine="0"/>
                              <w:jc w:val="left"/>
                              <w:rPr>
                                <w:rFonts w:ascii="Arial"/>
                                <w:b/>
                                <w:sz w:val="14"/>
                              </w:rPr>
                            </w:pPr>
                            <w:r>
                              <w:rPr>
                                <w:rFonts w:ascii="Arial"/>
                                <w:b/>
                                <w:w w:val="80"/>
                                <w:sz w:val="14"/>
                              </w:rPr>
                              <w:t>(Rs.</w:t>
                            </w:r>
                            <w:r>
                              <w:rPr>
                                <w:rFonts w:ascii="Arial"/>
                                <w:b/>
                                <w:sz w:val="14"/>
                              </w:rPr>
                              <w:t> </w:t>
                            </w:r>
                            <w:r>
                              <w:rPr>
                                <w:rFonts w:ascii="Arial"/>
                                <w:b/>
                                <w:w w:val="80"/>
                                <w:sz w:val="14"/>
                              </w:rPr>
                              <w:t>thousand</w:t>
                            </w:r>
                            <w:r>
                              <w:rPr>
                                <w:rFonts w:ascii="Arial"/>
                                <w:b/>
                                <w:spacing w:val="1"/>
                                <w:sz w:val="14"/>
                              </w:rPr>
                              <w:t> </w:t>
                            </w:r>
                            <w:r>
                              <w:rPr>
                                <w:rFonts w:ascii="Arial"/>
                                <w:b/>
                                <w:spacing w:val="-2"/>
                                <w:w w:val="80"/>
                                <w:sz w:val="14"/>
                              </w:rPr>
                              <w:t>crore)</w:t>
                            </w:r>
                          </w:p>
                        </w:txbxContent>
                      </wps:txbx>
                      <wps:bodyPr wrap="square" lIns="0" tIns="0" rIns="0" bIns="0" rtlCol="0" vert="vert270">
                        <a:noAutofit/>
                      </wps:bodyPr>
                    </wps:wsp>
                  </a:graphicData>
                </a:graphic>
              </wp:anchor>
            </w:drawing>
          </mc:Choice>
          <mc:Fallback>
            <w:pict>
              <v:shape style="position:absolute;margin-left:112.181824pt;margin-top:100.925011pt;width:10.050pt;height:58.15pt;mso-position-horizontal-relative:page;mso-position-vertical-relative:paragraph;z-index:15820800" type="#_x0000_t202" id="docshape1415"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(Rs.</w:t>
                      </w:r>
                      <w:r>
                        <w:rPr>
                          <w:rFonts w:ascii="Arial"/>
                          <w:b/>
                          <w:sz w:val="14"/>
                        </w:rPr>
                        <w:t> </w:t>
                      </w:r>
                      <w:r>
                        <w:rPr>
                          <w:rFonts w:ascii="Arial"/>
                          <w:b/>
                          <w:w w:val="80"/>
                          <w:sz w:val="14"/>
                        </w:rPr>
                        <w:t>thousand</w:t>
                      </w:r>
                      <w:r>
                        <w:rPr>
                          <w:rFonts w:ascii="Arial"/>
                          <w:b/>
                          <w:spacing w:val="1"/>
                          <w:sz w:val="14"/>
                        </w:rPr>
                        <w:t> </w:t>
                      </w:r>
                      <w:r>
                        <w:rPr>
                          <w:rFonts w:ascii="Arial"/>
                          <w:b/>
                          <w:spacing w:val="-2"/>
                          <w:w w:val="80"/>
                          <w:sz w:val="14"/>
                        </w:rPr>
                        <w:t>crore)</w:t>
                      </w:r>
                    </w:p>
                  </w:txbxContent>
                </v:textbox>
                <w10:wrap type="none"/>
              </v:shape>
            </w:pict>
          </mc:Fallback>
        </mc:AlternateContent>
      </w:r>
      <w:r>
        <w:rPr>
          <w:spacing w:val="-2"/>
        </w:rPr>
        <w:t>Figure</w:t>
      </w:r>
      <w:r>
        <w:rPr>
          <w:spacing w:val="-13"/>
        </w:rPr>
        <w:t> </w:t>
      </w:r>
      <w:r>
        <w:rPr>
          <w:spacing w:val="-2"/>
        </w:rPr>
        <w:t>18:</w:t>
      </w:r>
      <w:r>
        <w:rPr>
          <w:spacing w:val="-13"/>
        </w:rPr>
        <w:t> </w:t>
      </w:r>
      <w:r>
        <w:rPr>
          <w:color w:val="2E614A"/>
          <w:spacing w:val="-2"/>
        </w:rPr>
        <w:t>Sector-wise</w:t>
      </w:r>
      <w:r>
        <w:rPr>
          <w:color w:val="2E614A"/>
          <w:spacing w:val="47"/>
        </w:rPr>
        <w:t> </w:t>
      </w:r>
      <w:r>
        <w:rPr>
          <w:color w:val="2E614A"/>
          <w:spacing w:val="-2"/>
        </w:rPr>
        <w:t>plan</w:t>
      </w:r>
      <w:r>
        <w:rPr>
          <w:color w:val="2E614A"/>
          <w:spacing w:val="47"/>
        </w:rPr>
        <w:t> </w:t>
      </w:r>
      <w:r>
        <w:rPr>
          <w:color w:val="2E614A"/>
          <w:spacing w:val="-2"/>
        </w:rPr>
        <w:t>&amp;</w:t>
      </w:r>
      <w:r>
        <w:rPr>
          <w:color w:val="2E614A"/>
          <w:spacing w:val="47"/>
        </w:rPr>
        <w:t> </w:t>
      </w:r>
      <w:r>
        <w:rPr>
          <w:color w:val="2E614A"/>
          <w:spacing w:val="-2"/>
        </w:rPr>
        <w:t>non-plan</w:t>
      </w:r>
      <w:r>
        <w:rPr>
          <w:color w:val="2E614A"/>
          <w:spacing w:val="48"/>
        </w:rPr>
        <w:t> </w:t>
      </w:r>
      <w:r>
        <w:rPr>
          <w:color w:val="2E614A"/>
          <w:spacing w:val="-2"/>
        </w:rPr>
        <w:t>budgeted</w:t>
      </w:r>
      <w:r>
        <w:rPr>
          <w:color w:val="2E614A"/>
          <w:spacing w:val="47"/>
        </w:rPr>
        <w:t> </w:t>
      </w:r>
      <w:r>
        <w:rPr>
          <w:color w:val="2E614A"/>
          <w:spacing w:val="-2"/>
        </w:rPr>
        <w:t>expenditure</w:t>
      </w:r>
      <w:r>
        <w:rPr>
          <w:color w:val="2E614A"/>
          <w:spacing w:val="47"/>
        </w:rPr>
        <w:t> </w:t>
      </w:r>
      <w:r>
        <w:rPr>
          <w:color w:val="2E614A"/>
          <w:spacing w:val="-2"/>
        </w:rPr>
        <w:t>for</w:t>
      </w:r>
      <w:r>
        <w:rPr>
          <w:color w:val="2E614A"/>
          <w:spacing w:val="47"/>
        </w:rPr>
        <w:t> </w:t>
      </w:r>
      <w:r>
        <w:rPr>
          <w:color w:val="2E614A"/>
          <w:spacing w:val="-2"/>
        </w:rPr>
        <w:t>education </w:t>
      </w:r>
      <w:r>
        <w:rPr>
          <w:color w:val="2E614A"/>
          <w:spacing w:val="-4"/>
        </w:rPr>
        <w:t>departments</w:t>
      </w:r>
      <w:r>
        <w:rPr>
          <w:color w:val="2E614A"/>
          <w:spacing w:val="-8"/>
        </w:rPr>
        <w:t> </w:t>
      </w:r>
      <w:r>
        <w:rPr>
          <w:color w:val="2E614A"/>
          <w:spacing w:val="-4"/>
        </w:rPr>
        <w:t>of</w:t>
      </w:r>
      <w:r>
        <w:rPr>
          <w:color w:val="2E614A"/>
          <w:spacing w:val="-8"/>
        </w:rPr>
        <w:t> </w:t>
      </w:r>
      <w:r>
        <w:rPr>
          <w:color w:val="2E614A"/>
          <w:spacing w:val="-4"/>
        </w:rPr>
        <w:t>State</w:t>
      </w:r>
      <w:r>
        <w:rPr>
          <w:color w:val="2E614A"/>
          <w:spacing w:val="-8"/>
        </w:rPr>
        <w:t> </w:t>
      </w:r>
      <w:r>
        <w:rPr>
          <w:color w:val="2E614A"/>
          <w:spacing w:val="-4"/>
        </w:rPr>
        <w:t>&amp;</w:t>
      </w:r>
      <w:r>
        <w:rPr>
          <w:color w:val="2E614A"/>
          <w:spacing w:val="-8"/>
        </w:rPr>
        <w:t> </w:t>
      </w:r>
      <w:r>
        <w:rPr>
          <w:color w:val="2E614A"/>
          <w:spacing w:val="-4"/>
        </w:rPr>
        <w:t>Centre</w:t>
      </w:r>
      <w:r>
        <w:rPr>
          <w:color w:val="2E614A"/>
          <w:spacing w:val="-8"/>
        </w:rPr>
        <w:t> </w:t>
      </w:r>
      <w:r>
        <w:rPr>
          <w:color w:val="2E614A"/>
          <w:spacing w:val="-4"/>
        </w:rPr>
        <w:t>(Revenue</w:t>
      </w:r>
      <w:r>
        <w:rPr>
          <w:color w:val="2E614A"/>
          <w:spacing w:val="-8"/>
        </w:rPr>
        <w:t> </w:t>
      </w:r>
      <w:r>
        <w:rPr>
          <w:color w:val="2E614A"/>
          <w:spacing w:val="-4"/>
        </w:rPr>
        <w:t>Account)</w:t>
      </w:r>
    </w:p>
    <w:p>
      <w:pPr>
        <w:pStyle w:val="BodyText"/>
        <w:rPr>
          <w:b/>
          <w:sz w:val="20"/>
        </w:rPr>
      </w:pPr>
    </w:p>
    <w:p>
      <w:pPr>
        <w:pStyle w:val="BodyText"/>
        <w:rPr>
          <w:b/>
          <w:sz w:val="20"/>
        </w:rPr>
      </w:pPr>
    </w:p>
    <w:p>
      <w:pPr>
        <w:pStyle w:val="BodyText"/>
        <w:spacing w:before="69"/>
        <w:rPr>
          <w:b/>
          <w:sz w:val="20"/>
        </w:rPr>
      </w:pPr>
      <w:r>
        <w:rPr/>
        <mc:AlternateContent>
          <mc:Choice Requires="wps">
            <w:drawing>
              <wp:anchor distT="0" distB="0" distL="0" distR="0" allowOverlap="1" layoutInCell="1" locked="0" behindDoc="1" simplePos="0" relativeHeight="487678464">
                <wp:simplePos x="0" y="0"/>
                <wp:positionH relativeFrom="page">
                  <wp:posOffset>1864723</wp:posOffset>
                </wp:positionH>
                <wp:positionV relativeFrom="paragraph">
                  <wp:posOffset>205252</wp:posOffset>
                </wp:positionV>
                <wp:extent cx="4220210" cy="1586230"/>
                <wp:effectExtent l="0" t="0" r="0" b="0"/>
                <wp:wrapTopAndBottom/>
                <wp:docPr id="1428" name="Group 1428"/>
                <wp:cNvGraphicFramePr>
                  <a:graphicFrameLocks/>
                </wp:cNvGraphicFramePr>
                <a:graphic>
                  <a:graphicData uri="http://schemas.microsoft.com/office/word/2010/wordprocessingGroup">
                    <wpg:wgp>
                      <wpg:cNvPr id="1428" name="Group 1428"/>
                      <wpg:cNvGrpSpPr/>
                      <wpg:grpSpPr>
                        <a:xfrm>
                          <a:off x="0" y="0"/>
                          <a:ext cx="4220210" cy="1586230"/>
                          <a:chExt cx="4220210" cy="1586230"/>
                        </a:xfrm>
                      </wpg:grpSpPr>
                      <wps:wsp>
                        <wps:cNvPr id="1429" name="Graphic 1429"/>
                        <wps:cNvSpPr/>
                        <wps:spPr>
                          <a:xfrm>
                            <a:off x="-7" y="8"/>
                            <a:ext cx="4220210" cy="1586230"/>
                          </a:xfrm>
                          <a:custGeom>
                            <a:avLst/>
                            <a:gdLst/>
                            <a:ahLst/>
                            <a:cxnLst/>
                            <a:rect l="l" t="t" r="r" b="b"/>
                            <a:pathLst>
                              <a:path w="4220210" h="1586230">
                                <a:moveTo>
                                  <a:pt x="4220134" y="1555521"/>
                                </a:moveTo>
                                <a:lnTo>
                                  <a:pt x="4220134" y="1555521"/>
                                </a:lnTo>
                                <a:lnTo>
                                  <a:pt x="30251" y="1555521"/>
                                </a:lnTo>
                                <a:lnTo>
                                  <a:pt x="30251" y="0"/>
                                </a:lnTo>
                                <a:lnTo>
                                  <a:pt x="23901" y="0"/>
                                </a:lnTo>
                                <a:lnTo>
                                  <a:pt x="0" y="0"/>
                                </a:lnTo>
                                <a:lnTo>
                                  <a:pt x="0" y="6350"/>
                                </a:lnTo>
                                <a:lnTo>
                                  <a:pt x="23901" y="6350"/>
                                </a:lnTo>
                                <a:lnTo>
                                  <a:pt x="23901" y="174599"/>
                                </a:lnTo>
                                <a:lnTo>
                                  <a:pt x="0" y="174599"/>
                                </a:lnTo>
                                <a:lnTo>
                                  <a:pt x="0" y="180949"/>
                                </a:lnTo>
                                <a:lnTo>
                                  <a:pt x="23901" y="180949"/>
                                </a:lnTo>
                                <a:lnTo>
                                  <a:pt x="23901" y="349199"/>
                                </a:lnTo>
                                <a:lnTo>
                                  <a:pt x="0" y="349199"/>
                                </a:lnTo>
                                <a:lnTo>
                                  <a:pt x="0" y="355549"/>
                                </a:lnTo>
                                <a:lnTo>
                                  <a:pt x="23901" y="355549"/>
                                </a:lnTo>
                                <a:lnTo>
                                  <a:pt x="23901" y="515874"/>
                                </a:lnTo>
                                <a:lnTo>
                                  <a:pt x="0" y="515874"/>
                                </a:lnTo>
                                <a:lnTo>
                                  <a:pt x="0" y="522224"/>
                                </a:lnTo>
                                <a:lnTo>
                                  <a:pt x="23901" y="522224"/>
                                </a:lnTo>
                                <a:lnTo>
                                  <a:pt x="23901" y="690460"/>
                                </a:lnTo>
                                <a:lnTo>
                                  <a:pt x="0" y="690460"/>
                                </a:lnTo>
                                <a:lnTo>
                                  <a:pt x="0" y="696810"/>
                                </a:lnTo>
                                <a:lnTo>
                                  <a:pt x="23901" y="696810"/>
                                </a:lnTo>
                                <a:lnTo>
                                  <a:pt x="23901" y="865073"/>
                                </a:lnTo>
                                <a:lnTo>
                                  <a:pt x="0" y="865073"/>
                                </a:lnTo>
                                <a:lnTo>
                                  <a:pt x="0" y="871423"/>
                                </a:lnTo>
                                <a:lnTo>
                                  <a:pt x="23901" y="871423"/>
                                </a:lnTo>
                                <a:lnTo>
                                  <a:pt x="23901" y="1039672"/>
                                </a:lnTo>
                                <a:lnTo>
                                  <a:pt x="0" y="1039672"/>
                                </a:lnTo>
                                <a:lnTo>
                                  <a:pt x="0" y="1046022"/>
                                </a:lnTo>
                                <a:lnTo>
                                  <a:pt x="23901" y="1046022"/>
                                </a:lnTo>
                                <a:lnTo>
                                  <a:pt x="23901" y="1206322"/>
                                </a:lnTo>
                                <a:lnTo>
                                  <a:pt x="0" y="1206322"/>
                                </a:lnTo>
                                <a:lnTo>
                                  <a:pt x="0" y="1212672"/>
                                </a:lnTo>
                                <a:lnTo>
                                  <a:pt x="23901" y="1212672"/>
                                </a:lnTo>
                                <a:lnTo>
                                  <a:pt x="23901" y="1380921"/>
                                </a:lnTo>
                                <a:lnTo>
                                  <a:pt x="0" y="1380921"/>
                                </a:lnTo>
                                <a:lnTo>
                                  <a:pt x="0" y="1387271"/>
                                </a:lnTo>
                                <a:lnTo>
                                  <a:pt x="23901" y="1387271"/>
                                </a:lnTo>
                                <a:lnTo>
                                  <a:pt x="23901" y="1555521"/>
                                </a:lnTo>
                                <a:lnTo>
                                  <a:pt x="0" y="1555521"/>
                                </a:lnTo>
                                <a:lnTo>
                                  <a:pt x="0" y="1561871"/>
                                </a:lnTo>
                                <a:lnTo>
                                  <a:pt x="23901" y="1561871"/>
                                </a:lnTo>
                                <a:lnTo>
                                  <a:pt x="23901" y="1585683"/>
                                </a:lnTo>
                                <a:lnTo>
                                  <a:pt x="30251" y="1585683"/>
                                </a:lnTo>
                                <a:lnTo>
                                  <a:pt x="30251" y="1561871"/>
                                </a:lnTo>
                                <a:lnTo>
                                  <a:pt x="374383" y="1561871"/>
                                </a:lnTo>
                                <a:lnTo>
                                  <a:pt x="374383" y="1585683"/>
                                </a:lnTo>
                                <a:lnTo>
                                  <a:pt x="380733" y="1585683"/>
                                </a:lnTo>
                                <a:lnTo>
                                  <a:pt x="380733" y="1561871"/>
                                </a:lnTo>
                                <a:lnTo>
                                  <a:pt x="724852" y="1561871"/>
                                </a:lnTo>
                                <a:lnTo>
                                  <a:pt x="724852" y="1585683"/>
                                </a:lnTo>
                                <a:lnTo>
                                  <a:pt x="731202" y="1585683"/>
                                </a:lnTo>
                                <a:lnTo>
                                  <a:pt x="731202" y="1561871"/>
                                </a:lnTo>
                                <a:lnTo>
                                  <a:pt x="1075347" y="1561871"/>
                                </a:lnTo>
                                <a:lnTo>
                                  <a:pt x="1075347" y="1585683"/>
                                </a:lnTo>
                                <a:lnTo>
                                  <a:pt x="1081697" y="1585683"/>
                                </a:lnTo>
                                <a:lnTo>
                                  <a:pt x="1081697" y="1561871"/>
                                </a:lnTo>
                                <a:lnTo>
                                  <a:pt x="1417866" y="1561871"/>
                                </a:lnTo>
                                <a:lnTo>
                                  <a:pt x="1417866" y="1585683"/>
                                </a:lnTo>
                                <a:lnTo>
                                  <a:pt x="1424216" y="1585683"/>
                                </a:lnTo>
                                <a:lnTo>
                                  <a:pt x="1424216" y="1561871"/>
                                </a:lnTo>
                                <a:lnTo>
                                  <a:pt x="1768335" y="1561871"/>
                                </a:lnTo>
                                <a:lnTo>
                                  <a:pt x="1768335" y="1585683"/>
                                </a:lnTo>
                                <a:lnTo>
                                  <a:pt x="1774685" y="1585683"/>
                                </a:lnTo>
                                <a:lnTo>
                                  <a:pt x="1774685" y="1561871"/>
                                </a:lnTo>
                                <a:lnTo>
                                  <a:pt x="2118830" y="1561871"/>
                                </a:lnTo>
                                <a:lnTo>
                                  <a:pt x="2118830" y="1585683"/>
                                </a:lnTo>
                                <a:lnTo>
                                  <a:pt x="2125180" y="1585683"/>
                                </a:lnTo>
                                <a:lnTo>
                                  <a:pt x="2125180" y="1561871"/>
                                </a:lnTo>
                                <a:lnTo>
                                  <a:pt x="2469311" y="1561871"/>
                                </a:lnTo>
                                <a:lnTo>
                                  <a:pt x="2469311" y="1585683"/>
                                </a:lnTo>
                                <a:lnTo>
                                  <a:pt x="2475661" y="1585683"/>
                                </a:lnTo>
                                <a:lnTo>
                                  <a:pt x="2475661" y="1561871"/>
                                </a:lnTo>
                                <a:lnTo>
                                  <a:pt x="2819806" y="1561871"/>
                                </a:lnTo>
                                <a:lnTo>
                                  <a:pt x="2819806" y="1585683"/>
                                </a:lnTo>
                                <a:lnTo>
                                  <a:pt x="2826156" y="1585683"/>
                                </a:lnTo>
                                <a:lnTo>
                                  <a:pt x="2826156" y="1561871"/>
                                </a:lnTo>
                                <a:lnTo>
                                  <a:pt x="3170288" y="1561871"/>
                                </a:lnTo>
                                <a:lnTo>
                                  <a:pt x="3170288" y="1585683"/>
                                </a:lnTo>
                                <a:lnTo>
                                  <a:pt x="3176638" y="1585683"/>
                                </a:lnTo>
                                <a:lnTo>
                                  <a:pt x="3176638" y="1561871"/>
                                </a:lnTo>
                                <a:lnTo>
                                  <a:pt x="3512794" y="1561871"/>
                                </a:lnTo>
                                <a:lnTo>
                                  <a:pt x="3512794" y="1585683"/>
                                </a:lnTo>
                                <a:lnTo>
                                  <a:pt x="3519144" y="1585683"/>
                                </a:lnTo>
                                <a:lnTo>
                                  <a:pt x="3519144" y="1561871"/>
                                </a:lnTo>
                                <a:lnTo>
                                  <a:pt x="3863289" y="1561871"/>
                                </a:lnTo>
                                <a:lnTo>
                                  <a:pt x="3863289" y="1585683"/>
                                </a:lnTo>
                                <a:lnTo>
                                  <a:pt x="3869639" y="1585683"/>
                                </a:lnTo>
                                <a:lnTo>
                                  <a:pt x="3869639" y="1561871"/>
                                </a:lnTo>
                                <a:lnTo>
                                  <a:pt x="4213784" y="1561871"/>
                                </a:lnTo>
                                <a:lnTo>
                                  <a:pt x="4213784" y="1585683"/>
                                </a:lnTo>
                                <a:lnTo>
                                  <a:pt x="4220134" y="1585683"/>
                                </a:lnTo>
                                <a:lnTo>
                                  <a:pt x="4220134" y="1555521"/>
                                </a:lnTo>
                                <a:close/>
                              </a:path>
                            </a:pathLst>
                          </a:custGeom>
                          <a:solidFill>
                            <a:srgbClr val="000000"/>
                          </a:solidFill>
                        </wps:spPr>
                        <wps:bodyPr wrap="square" lIns="0" tIns="0" rIns="0" bIns="0" rtlCol="0">
                          <a:prstTxWarp prst="textNoShape">
                            <a:avLst/>
                          </a:prstTxWarp>
                          <a:noAutofit/>
                        </wps:bodyPr>
                      </wps:wsp>
                      <wps:wsp>
                        <wps:cNvPr id="1430" name="Graphic 1430"/>
                        <wps:cNvSpPr/>
                        <wps:spPr>
                          <a:xfrm>
                            <a:off x="192056" y="143419"/>
                            <a:ext cx="3860800" cy="1052830"/>
                          </a:xfrm>
                          <a:custGeom>
                            <a:avLst/>
                            <a:gdLst/>
                            <a:ahLst/>
                            <a:cxnLst/>
                            <a:rect l="l" t="t" r="r" b="b"/>
                            <a:pathLst>
                              <a:path w="3860800" h="1052830">
                                <a:moveTo>
                                  <a:pt x="358879" y="970156"/>
                                </a:moveTo>
                                <a:lnTo>
                                  <a:pt x="0" y="1035159"/>
                                </a:lnTo>
                                <a:lnTo>
                                  <a:pt x="3145" y="1052527"/>
                                </a:lnTo>
                                <a:lnTo>
                                  <a:pt x="354177" y="988946"/>
                                </a:lnTo>
                                <a:lnTo>
                                  <a:pt x="350044" y="972357"/>
                                </a:lnTo>
                                <a:lnTo>
                                  <a:pt x="358879" y="970156"/>
                                </a:lnTo>
                                <a:close/>
                              </a:path>
                              <a:path w="3860800" h="1052830">
                                <a:moveTo>
                                  <a:pt x="362598" y="987420"/>
                                </a:moveTo>
                                <a:lnTo>
                                  <a:pt x="354177" y="988946"/>
                                </a:lnTo>
                                <a:lnTo>
                                  <a:pt x="354311" y="989485"/>
                                </a:lnTo>
                                <a:lnTo>
                                  <a:pt x="362598" y="987420"/>
                                </a:lnTo>
                                <a:close/>
                              </a:path>
                              <a:path w="3860800" h="1052830">
                                <a:moveTo>
                                  <a:pt x="367852" y="968531"/>
                                </a:moveTo>
                                <a:lnTo>
                                  <a:pt x="358879" y="970156"/>
                                </a:lnTo>
                                <a:lnTo>
                                  <a:pt x="350044" y="972357"/>
                                </a:lnTo>
                                <a:lnTo>
                                  <a:pt x="354177" y="988946"/>
                                </a:lnTo>
                                <a:lnTo>
                                  <a:pt x="362598" y="987420"/>
                                </a:lnTo>
                                <a:lnTo>
                                  <a:pt x="370899" y="985353"/>
                                </a:lnTo>
                                <a:lnTo>
                                  <a:pt x="367852" y="968531"/>
                                </a:lnTo>
                                <a:close/>
                              </a:path>
                              <a:path w="3860800" h="1052830">
                                <a:moveTo>
                                  <a:pt x="370899" y="985353"/>
                                </a:moveTo>
                                <a:lnTo>
                                  <a:pt x="362598" y="987420"/>
                                </a:lnTo>
                                <a:lnTo>
                                  <a:pt x="370998" y="985899"/>
                                </a:lnTo>
                                <a:lnTo>
                                  <a:pt x="370899" y="985353"/>
                                </a:lnTo>
                                <a:close/>
                              </a:path>
                              <a:path w="3860800" h="1052830">
                                <a:moveTo>
                                  <a:pt x="438426" y="968531"/>
                                </a:moveTo>
                                <a:lnTo>
                                  <a:pt x="367852" y="968531"/>
                                </a:lnTo>
                                <a:lnTo>
                                  <a:pt x="370899" y="985353"/>
                                </a:lnTo>
                                <a:lnTo>
                                  <a:pt x="438426" y="968531"/>
                                </a:lnTo>
                                <a:close/>
                              </a:path>
                              <a:path w="3860800" h="1052830">
                                <a:moveTo>
                                  <a:pt x="708987" y="882942"/>
                                </a:moveTo>
                                <a:lnTo>
                                  <a:pt x="358879" y="970156"/>
                                </a:lnTo>
                                <a:lnTo>
                                  <a:pt x="367852" y="968531"/>
                                </a:lnTo>
                                <a:lnTo>
                                  <a:pt x="438426" y="968531"/>
                                </a:lnTo>
                                <a:lnTo>
                                  <a:pt x="705017" y="902122"/>
                                </a:lnTo>
                                <a:lnTo>
                                  <a:pt x="700352" y="885343"/>
                                </a:lnTo>
                                <a:lnTo>
                                  <a:pt x="708987" y="882942"/>
                                </a:lnTo>
                                <a:close/>
                              </a:path>
                              <a:path w="3860800" h="1052830">
                                <a:moveTo>
                                  <a:pt x="713457" y="900019"/>
                                </a:moveTo>
                                <a:lnTo>
                                  <a:pt x="705017" y="902122"/>
                                </a:lnTo>
                                <a:lnTo>
                                  <a:pt x="705080" y="902348"/>
                                </a:lnTo>
                                <a:lnTo>
                                  <a:pt x="713457" y="900019"/>
                                </a:lnTo>
                                <a:close/>
                              </a:path>
                              <a:path w="3860800" h="1052830">
                                <a:moveTo>
                                  <a:pt x="717649" y="880785"/>
                                </a:moveTo>
                                <a:lnTo>
                                  <a:pt x="708987" y="882942"/>
                                </a:lnTo>
                                <a:lnTo>
                                  <a:pt x="700352" y="885343"/>
                                </a:lnTo>
                                <a:lnTo>
                                  <a:pt x="705017" y="902122"/>
                                </a:lnTo>
                                <a:lnTo>
                                  <a:pt x="713457" y="900019"/>
                                </a:lnTo>
                                <a:lnTo>
                                  <a:pt x="721859" y="897683"/>
                                </a:lnTo>
                                <a:lnTo>
                                  <a:pt x="717649" y="880785"/>
                                </a:lnTo>
                                <a:close/>
                              </a:path>
                              <a:path w="3860800" h="1052830">
                                <a:moveTo>
                                  <a:pt x="721859" y="897683"/>
                                </a:moveTo>
                                <a:lnTo>
                                  <a:pt x="713457" y="900019"/>
                                </a:lnTo>
                                <a:lnTo>
                                  <a:pt x="721916" y="897912"/>
                                </a:lnTo>
                                <a:lnTo>
                                  <a:pt x="721859" y="897683"/>
                                </a:lnTo>
                                <a:close/>
                              </a:path>
                              <a:path w="3860800" h="1052830">
                                <a:moveTo>
                                  <a:pt x="782639" y="880785"/>
                                </a:moveTo>
                                <a:lnTo>
                                  <a:pt x="717649" y="880785"/>
                                </a:lnTo>
                                <a:lnTo>
                                  <a:pt x="721859" y="897683"/>
                                </a:lnTo>
                                <a:lnTo>
                                  <a:pt x="782639" y="880785"/>
                                </a:lnTo>
                                <a:close/>
                              </a:path>
                              <a:path w="3860800" h="1052830">
                                <a:moveTo>
                                  <a:pt x="1043101" y="790048"/>
                                </a:moveTo>
                                <a:lnTo>
                                  <a:pt x="708987" y="882942"/>
                                </a:lnTo>
                                <a:lnTo>
                                  <a:pt x="717649" y="880785"/>
                                </a:lnTo>
                                <a:lnTo>
                                  <a:pt x="782639" y="880785"/>
                                </a:lnTo>
                                <a:lnTo>
                                  <a:pt x="1048214" y="806946"/>
                                </a:lnTo>
                                <a:lnTo>
                                  <a:pt x="1047310" y="806946"/>
                                </a:lnTo>
                                <a:lnTo>
                                  <a:pt x="1043101" y="790048"/>
                                </a:lnTo>
                                <a:close/>
                              </a:path>
                              <a:path w="3860800" h="1052830">
                                <a:moveTo>
                                  <a:pt x="1059942" y="785610"/>
                                </a:moveTo>
                                <a:lnTo>
                                  <a:pt x="1051491" y="787715"/>
                                </a:lnTo>
                                <a:lnTo>
                                  <a:pt x="1043101" y="790048"/>
                                </a:lnTo>
                                <a:lnTo>
                                  <a:pt x="1047310" y="806946"/>
                                </a:lnTo>
                                <a:lnTo>
                                  <a:pt x="1055991" y="804784"/>
                                </a:lnTo>
                                <a:lnTo>
                                  <a:pt x="1064607" y="802388"/>
                                </a:lnTo>
                                <a:lnTo>
                                  <a:pt x="1059942" y="785610"/>
                                </a:lnTo>
                                <a:close/>
                              </a:path>
                              <a:path w="3860800" h="1052830">
                                <a:moveTo>
                                  <a:pt x="1055991" y="804784"/>
                                </a:moveTo>
                                <a:lnTo>
                                  <a:pt x="1047310" y="806946"/>
                                </a:lnTo>
                                <a:lnTo>
                                  <a:pt x="1048214" y="806946"/>
                                </a:lnTo>
                                <a:lnTo>
                                  <a:pt x="1055991" y="804784"/>
                                </a:lnTo>
                                <a:close/>
                              </a:path>
                              <a:path w="3860800" h="1052830">
                                <a:moveTo>
                                  <a:pt x="1401227" y="700601"/>
                                </a:moveTo>
                                <a:lnTo>
                                  <a:pt x="1059942" y="785610"/>
                                </a:lnTo>
                                <a:lnTo>
                                  <a:pt x="1064607" y="802388"/>
                                </a:lnTo>
                                <a:lnTo>
                                  <a:pt x="1055991" y="804784"/>
                                </a:lnTo>
                                <a:lnTo>
                                  <a:pt x="1399348" y="719259"/>
                                </a:lnTo>
                                <a:lnTo>
                                  <a:pt x="1392458" y="704770"/>
                                </a:lnTo>
                                <a:lnTo>
                                  <a:pt x="1401227" y="700601"/>
                                </a:lnTo>
                                <a:close/>
                              </a:path>
                              <a:path w="3860800" h="1052830">
                                <a:moveTo>
                                  <a:pt x="1051491" y="787715"/>
                                </a:moveTo>
                                <a:lnTo>
                                  <a:pt x="1043044" y="789819"/>
                                </a:lnTo>
                                <a:lnTo>
                                  <a:pt x="1043101" y="790048"/>
                                </a:lnTo>
                                <a:lnTo>
                                  <a:pt x="1051491" y="787715"/>
                                </a:lnTo>
                                <a:close/>
                              </a:path>
                              <a:path w="3860800" h="1052830">
                                <a:moveTo>
                                  <a:pt x="1059879" y="785383"/>
                                </a:moveTo>
                                <a:lnTo>
                                  <a:pt x="1051491" y="787715"/>
                                </a:lnTo>
                                <a:lnTo>
                                  <a:pt x="1059942" y="785610"/>
                                </a:lnTo>
                                <a:lnTo>
                                  <a:pt x="1059879" y="785383"/>
                                </a:lnTo>
                                <a:close/>
                              </a:path>
                              <a:path w="3860800" h="1052830">
                                <a:moveTo>
                                  <a:pt x="1407208" y="717301"/>
                                </a:moveTo>
                                <a:lnTo>
                                  <a:pt x="1399348" y="719259"/>
                                </a:lnTo>
                                <a:lnTo>
                                  <a:pt x="1400038" y="720711"/>
                                </a:lnTo>
                                <a:lnTo>
                                  <a:pt x="1407208" y="717301"/>
                                </a:lnTo>
                                <a:close/>
                              </a:path>
                              <a:path w="3860800" h="1052830">
                                <a:moveTo>
                                  <a:pt x="1410649" y="698254"/>
                                </a:moveTo>
                                <a:lnTo>
                                  <a:pt x="1401227" y="700601"/>
                                </a:lnTo>
                                <a:lnTo>
                                  <a:pt x="1392458" y="704770"/>
                                </a:lnTo>
                                <a:lnTo>
                                  <a:pt x="1399348" y="719259"/>
                                </a:lnTo>
                                <a:lnTo>
                                  <a:pt x="1407208" y="717301"/>
                                </a:lnTo>
                                <a:lnTo>
                                  <a:pt x="1414526" y="713821"/>
                                </a:lnTo>
                                <a:lnTo>
                                  <a:pt x="1410649" y="698254"/>
                                </a:lnTo>
                                <a:close/>
                              </a:path>
                              <a:path w="3860800" h="1052830">
                                <a:moveTo>
                                  <a:pt x="1414526" y="713821"/>
                                </a:moveTo>
                                <a:lnTo>
                                  <a:pt x="1407208" y="717301"/>
                                </a:lnTo>
                                <a:lnTo>
                                  <a:pt x="1414915" y="715381"/>
                                </a:lnTo>
                                <a:lnTo>
                                  <a:pt x="1414526" y="713821"/>
                                </a:lnTo>
                                <a:close/>
                              </a:path>
                              <a:path w="3860800" h="1052830">
                                <a:moveTo>
                                  <a:pt x="1447262" y="698254"/>
                                </a:moveTo>
                                <a:lnTo>
                                  <a:pt x="1410649" y="698254"/>
                                </a:lnTo>
                                <a:lnTo>
                                  <a:pt x="1414526" y="713821"/>
                                </a:lnTo>
                                <a:lnTo>
                                  <a:pt x="1447262" y="698254"/>
                                </a:lnTo>
                                <a:close/>
                              </a:path>
                              <a:path w="3860800" h="1052830">
                                <a:moveTo>
                                  <a:pt x="1744258" y="537478"/>
                                </a:moveTo>
                                <a:lnTo>
                                  <a:pt x="1401227" y="700601"/>
                                </a:lnTo>
                                <a:lnTo>
                                  <a:pt x="1410649" y="698254"/>
                                </a:lnTo>
                                <a:lnTo>
                                  <a:pt x="1447262" y="698254"/>
                                </a:lnTo>
                                <a:lnTo>
                                  <a:pt x="1752482" y="553111"/>
                                </a:lnTo>
                                <a:lnTo>
                                  <a:pt x="1748505" y="553111"/>
                                </a:lnTo>
                                <a:lnTo>
                                  <a:pt x="1744258" y="537478"/>
                                </a:lnTo>
                                <a:close/>
                              </a:path>
                              <a:path w="3860800" h="1052830">
                                <a:moveTo>
                                  <a:pt x="1759510" y="531831"/>
                                </a:moveTo>
                                <a:lnTo>
                                  <a:pt x="1751634" y="533971"/>
                                </a:lnTo>
                                <a:lnTo>
                                  <a:pt x="1744258" y="537478"/>
                                </a:lnTo>
                                <a:lnTo>
                                  <a:pt x="1748505" y="553111"/>
                                </a:lnTo>
                                <a:lnTo>
                                  <a:pt x="1757783" y="550590"/>
                                </a:lnTo>
                                <a:lnTo>
                                  <a:pt x="1766468" y="546461"/>
                                </a:lnTo>
                                <a:lnTo>
                                  <a:pt x="1759510" y="531831"/>
                                </a:lnTo>
                                <a:close/>
                              </a:path>
                              <a:path w="3860800" h="1052830">
                                <a:moveTo>
                                  <a:pt x="1757783" y="550590"/>
                                </a:moveTo>
                                <a:lnTo>
                                  <a:pt x="1748505" y="553111"/>
                                </a:lnTo>
                                <a:lnTo>
                                  <a:pt x="1752482" y="553111"/>
                                </a:lnTo>
                                <a:lnTo>
                                  <a:pt x="1757783" y="550590"/>
                                </a:lnTo>
                                <a:close/>
                              </a:path>
                              <a:path w="3860800" h="1052830">
                                <a:moveTo>
                                  <a:pt x="2095059" y="440656"/>
                                </a:moveTo>
                                <a:lnTo>
                                  <a:pt x="1759510" y="531831"/>
                                </a:lnTo>
                                <a:lnTo>
                                  <a:pt x="1766468" y="546461"/>
                                </a:lnTo>
                                <a:lnTo>
                                  <a:pt x="1757783" y="550590"/>
                                </a:lnTo>
                                <a:lnTo>
                                  <a:pt x="2101097" y="457306"/>
                                </a:lnTo>
                                <a:lnTo>
                                  <a:pt x="2098075" y="457306"/>
                                </a:lnTo>
                                <a:lnTo>
                                  <a:pt x="2095059" y="440656"/>
                                </a:lnTo>
                                <a:close/>
                              </a:path>
                              <a:path w="3860800" h="1052830">
                                <a:moveTo>
                                  <a:pt x="1751634" y="533971"/>
                                </a:moveTo>
                                <a:lnTo>
                                  <a:pt x="1743877" y="536078"/>
                                </a:lnTo>
                                <a:lnTo>
                                  <a:pt x="1744258" y="537478"/>
                                </a:lnTo>
                                <a:lnTo>
                                  <a:pt x="1751634" y="533971"/>
                                </a:lnTo>
                                <a:close/>
                              </a:path>
                              <a:path w="3860800" h="1052830">
                                <a:moveTo>
                                  <a:pt x="1758888" y="530521"/>
                                </a:moveTo>
                                <a:lnTo>
                                  <a:pt x="1751634" y="533971"/>
                                </a:lnTo>
                                <a:lnTo>
                                  <a:pt x="1759510" y="531831"/>
                                </a:lnTo>
                                <a:lnTo>
                                  <a:pt x="1758888" y="530521"/>
                                </a:lnTo>
                                <a:close/>
                              </a:path>
                              <a:path w="3860800" h="1052830">
                                <a:moveTo>
                                  <a:pt x="2111580" y="436923"/>
                                </a:moveTo>
                                <a:lnTo>
                                  <a:pt x="2103243" y="438433"/>
                                </a:lnTo>
                                <a:lnTo>
                                  <a:pt x="2095059" y="440656"/>
                                </a:lnTo>
                                <a:lnTo>
                                  <a:pt x="2098075" y="457306"/>
                                </a:lnTo>
                                <a:lnTo>
                                  <a:pt x="2107140" y="455665"/>
                                </a:lnTo>
                                <a:lnTo>
                                  <a:pt x="2116017" y="453252"/>
                                </a:lnTo>
                                <a:lnTo>
                                  <a:pt x="2111580" y="436923"/>
                                </a:lnTo>
                                <a:close/>
                              </a:path>
                              <a:path w="3860800" h="1052830">
                                <a:moveTo>
                                  <a:pt x="2107140" y="455665"/>
                                </a:moveTo>
                                <a:lnTo>
                                  <a:pt x="2098075" y="457306"/>
                                </a:lnTo>
                                <a:lnTo>
                                  <a:pt x="2101097" y="457306"/>
                                </a:lnTo>
                                <a:lnTo>
                                  <a:pt x="2107140" y="455665"/>
                                </a:lnTo>
                                <a:close/>
                              </a:path>
                              <a:path w="3860800" h="1052830">
                                <a:moveTo>
                                  <a:pt x="2453729" y="374947"/>
                                </a:moveTo>
                                <a:lnTo>
                                  <a:pt x="2111580" y="436923"/>
                                </a:lnTo>
                                <a:lnTo>
                                  <a:pt x="2116017" y="453252"/>
                                </a:lnTo>
                                <a:lnTo>
                                  <a:pt x="2107140" y="455665"/>
                                </a:lnTo>
                                <a:lnTo>
                                  <a:pt x="2449282" y="393690"/>
                                </a:lnTo>
                                <a:lnTo>
                                  <a:pt x="2444844" y="377361"/>
                                </a:lnTo>
                                <a:lnTo>
                                  <a:pt x="2453729" y="374947"/>
                                </a:lnTo>
                                <a:close/>
                              </a:path>
                              <a:path w="3860800" h="1052830">
                                <a:moveTo>
                                  <a:pt x="2103243" y="438433"/>
                                </a:moveTo>
                                <a:lnTo>
                                  <a:pt x="2094929" y="439939"/>
                                </a:lnTo>
                                <a:lnTo>
                                  <a:pt x="2095059" y="440656"/>
                                </a:lnTo>
                                <a:lnTo>
                                  <a:pt x="2103243" y="438433"/>
                                </a:lnTo>
                                <a:close/>
                              </a:path>
                              <a:path w="3860800" h="1052830">
                                <a:moveTo>
                                  <a:pt x="2111388" y="436219"/>
                                </a:moveTo>
                                <a:lnTo>
                                  <a:pt x="2103243" y="438433"/>
                                </a:lnTo>
                                <a:lnTo>
                                  <a:pt x="2111580" y="436923"/>
                                </a:lnTo>
                                <a:lnTo>
                                  <a:pt x="2111388" y="436219"/>
                                </a:lnTo>
                                <a:close/>
                              </a:path>
                              <a:path w="3860800" h="1052830">
                                <a:moveTo>
                                  <a:pt x="2457616" y="392180"/>
                                </a:moveTo>
                                <a:lnTo>
                                  <a:pt x="2449282" y="393690"/>
                                </a:lnTo>
                                <a:lnTo>
                                  <a:pt x="2449473" y="394393"/>
                                </a:lnTo>
                                <a:lnTo>
                                  <a:pt x="2457616" y="392180"/>
                                </a:lnTo>
                                <a:close/>
                              </a:path>
                              <a:path w="3860800" h="1052830">
                                <a:moveTo>
                                  <a:pt x="2462786" y="373306"/>
                                </a:moveTo>
                                <a:lnTo>
                                  <a:pt x="2453729" y="374947"/>
                                </a:lnTo>
                                <a:lnTo>
                                  <a:pt x="2444844" y="377361"/>
                                </a:lnTo>
                                <a:lnTo>
                                  <a:pt x="2449282" y="393690"/>
                                </a:lnTo>
                                <a:lnTo>
                                  <a:pt x="2457616" y="392180"/>
                                </a:lnTo>
                                <a:lnTo>
                                  <a:pt x="2465802" y="389956"/>
                                </a:lnTo>
                                <a:lnTo>
                                  <a:pt x="2462786" y="373306"/>
                                </a:lnTo>
                                <a:close/>
                              </a:path>
                              <a:path w="3860800" h="1052830">
                                <a:moveTo>
                                  <a:pt x="2465802" y="389956"/>
                                </a:moveTo>
                                <a:lnTo>
                                  <a:pt x="2457616" y="392180"/>
                                </a:lnTo>
                                <a:lnTo>
                                  <a:pt x="2465932" y="390674"/>
                                </a:lnTo>
                                <a:lnTo>
                                  <a:pt x="2465802" y="389956"/>
                                </a:lnTo>
                                <a:close/>
                              </a:path>
                              <a:path w="3860800" h="1052830">
                                <a:moveTo>
                                  <a:pt x="2527073" y="373306"/>
                                </a:moveTo>
                                <a:lnTo>
                                  <a:pt x="2462786" y="373306"/>
                                </a:lnTo>
                                <a:lnTo>
                                  <a:pt x="2465802" y="389956"/>
                                </a:lnTo>
                                <a:lnTo>
                                  <a:pt x="2527073" y="373306"/>
                                </a:lnTo>
                                <a:close/>
                              </a:path>
                              <a:path w="3860800" h="1052830">
                                <a:moveTo>
                                  <a:pt x="2796681" y="281753"/>
                                </a:moveTo>
                                <a:lnTo>
                                  <a:pt x="2453729" y="374947"/>
                                </a:lnTo>
                                <a:lnTo>
                                  <a:pt x="2462786" y="373306"/>
                                </a:lnTo>
                                <a:lnTo>
                                  <a:pt x="2527073" y="373306"/>
                                </a:lnTo>
                                <a:lnTo>
                                  <a:pt x="2804473" y="297925"/>
                                </a:lnTo>
                                <a:lnTo>
                                  <a:pt x="2798180" y="297925"/>
                                </a:lnTo>
                                <a:lnTo>
                                  <a:pt x="2796681" y="281753"/>
                                </a:lnTo>
                                <a:close/>
                              </a:path>
                              <a:path w="3860800" h="1052830">
                                <a:moveTo>
                                  <a:pt x="2812724" y="278851"/>
                                </a:moveTo>
                                <a:lnTo>
                                  <a:pt x="2804579" y="279607"/>
                                </a:lnTo>
                                <a:lnTo>
                                  <a:pt x="2796681" y="281753"/>
                                </a:lnTo>
                                <a:lnTo>
                                  <a:pt x="2798180" y="297925"/>
                                </a:lnTo>
                                <a:lnTo>
                                  <a:pt x="2807731" y="297040"/>
                                </a:lnTo>
                                <a:lnTo>
                                  <a:pt x="2816984" y="294526"/>
                                </a:lnTo>
                                <a:lnTo>
                                  <a:pt x="2812724" y="278851"/>
                                </a:lnTo>
                                <a:close/>
                              </a:path>
                              <a:path w="3860800" h="1052830">
                                <a:moveTo>
                                  <a:pt x="2807731" y="297040"/>
                                </a:moveTo>
                                <a:lnTo>
                                  <a:pt x="2798180" y="297925"/>
                                </a:lnTo>
                                <a:lnTo>
                                  <a:pt x="2804473" y="297925"/>
                                </a:lnTo>
                                <a:lnTo>
                                  <a:pt x="2807731" y="297040"/>
                                </a:lnTo>
                                <a:close/>
                              </a:path>
                              <a:path w="3860800" h="1052830">
                                <a:moveTo>
                                  <a:pt x="3146305" y="247931"/>
                                </a:moveTo>
                                <a:lnTo>
                                  <a:pt x="2812724" y="278851"/>
                                </a:lnTo>
                                <a:lnTo>
                                  <a:pt x="2816984" y="294526"/>
                                </a:lnTo>
                                <a:lnTo>
                                  <a:pt x="2807731" y="297040"/>
                                </a:lnTo>
                                <a:lnTo>
                                  <a:pt x="3143359" y="265930"/>
                                </a:lnTo>
                                <a:lnTo>
                                  <a:pt x="3136922" y="252393"/>
                                </a:lnTo>
                                <a:lnTo>
                                  <a:pt x="3146305" y="247931"/>
                                </a:lnTo>
                                <a:close/>
                              </a:path>
                              <a:path w="3860800" h="1052830">
                                <a:moveTo>
                                  <a:pt x="2804579" y="279607"/>
                                </a:moveTo>
                                <a:lnTo>
                                  <a:pt x="2796551" y="280351"/>
                                </a:lnTo>
                                <a:lnTo>
                                  <a:pt x="2796681" y="281753"/>
                                </a:lnTo>
                                <a:lnTo>
                                  <a:pt x="2804579" y="279607"/>
                                </a:lnTo>
                                <a:close/>
                              </a:path>
                              <a:path w="3860800" h="1052830">
                                <a:moveTo>
                                  <a:pt x="2812355" y="277493"/>
                                </a:moveTo>
                                <a:lnTo>
                                  <a:pt x="2804579" y="279607"/>
                                </a:lnTo>
                                <a:lnTo>
                                  <a:pt x="2812724" y="278851"/>
                                </a:lnTo>
                                <a:lnTo>
                                  <a:pt x="2812355" y="277493"/>
                                </a:lnTo>
                                <a:close/>
                              </a:path>
                              <a:path w="3860800" h="1052830">
                                <a:moveTo>
                                  <a:pt x="3151055" y="265217"/>
                                </a:moveTo>
                                <a:lnTo>
                                  <a:pt x="3143359" y="265930"/>
                                </a:lnTo>
                                <a:lnTo>
                                  <a:pt x="3144501" y="268333"/>
                                </a:lnTo>
                                <a:lnTo>
                                  <a:pt x="3151055" y="265217"/>
                                </a:lnTo>
                                <a:close/>
                              </a:path>
                              <a:path w="3860800" h="1052830">
                                <a:moveTo>
                                  <a:pt x="3156654" y="246972"/>
                                </a:moveTo>
                                <a:lnTo>
                                  <a:pt x="3146305" y="247931"/>
                                </a:lnTo>
                                <a:lnTo>
                                  <a:pt x="3136922" y="252393"/>
                                </a:lnTo>
                                <a:lnTo>
                                  <a:pt x="3143359" y="265930"/>
                                </a:lnTo>
                                <a:lnTo>
                                  <a:pt x="3151055" y="265217"/>
                                </a:lnTo>
                                <a:lnTo>
                                  <a:pt x="3158038" y="261897"/>
                                </a:lnTo>
                                <a:lnTo>
                                  <a:pt x="3156654" y="246972"/>
                                </a:lnTo>
                                <a:close/>
                              </a:path>
                              <a:path w="3860800" h="1052830">
                                <a:moveTo>
                                  <a:pt x="3158038" y="261897"/>
                                </a:moveTo>
                                <a:lnTo>
                                  <a:pt x="3151055" y="265217"/>
                                </a:lnTo>
                                <a:lnTo>
                                  <a:pt x="3158284" y="264547"/>
                                </a:lnTo>
                                <a:lnTo>
                                  <a:pt x="3158038" y="261897"/>
                                </a:lnTo>
                                <a:close/>
                              </a:path>
                              <a:path w="3860800" h="1052830">
                                <a:moveTo>
                                  <a:pt x="3189423" y="246972"/>
                                </a:moveTo>
                                <a:lnTo>
                                  <a:pt x="3156654" y="246972"/>
                                </a:lnTo>
                                <a:lnTo>
                                  <a:pt x="3158038" y="261897"/>
                                </a:lnTo>
                                <a:lnTo>
                                  <a:pt x="3189423" y="246972"/>
                                </a:lnTo>
                                <a:close/>
                              </a:path>
                              <a:path w="3860800" h="1052830">
                                <a:moveTo>
                                  <a:pt x="3488980" y="84980"/>
                                </a:moveTo>
                                <a:lnTo>
                                  <a:pt x="3146305" y="247931"/>
                                </a:lnTo>
                                <a:lnTo>
                                  <a:pt x="3156654" y="246972"/>
                                </a:lnTo>
                                <a:lnTo>
                                  <a:pt x="3189423" y="246972"/>
                                </a:lnTo>
                                <a:lnTo>
                                  <a:pt x="3497499" y="100474"/>
                                </a:lnTo>
                                <a:lnTo>
                                  <a:pt x="3492488" y="100474"/>
                                </a:lnTo>
                                <a:lnTo>
                                  <a:pt x="3488980" y="84980"/>
                                </a:lnTo>
                                <a:close/>
                              </a:path>
                              <a:path w="3860800" h="1052830">
                                <a:moveTo>
                                  <a:pt x="3504084" y="79751"/>
                                </a:moveTo>
                                <a:lnTo>
                                  <a:pt x="3496243" y="81527"/>
                                </a:lnTo>
                                <a:lnTo>
                                  <a:pt x="3488980" y="84980"/>
                                </a:lnTo>
                                <a:lnTo>
                                  <a:pt x="3492488" y="100474"/>
                                </a:lnTo>
                                <a:lnTo>
                                  <a:pt x="3502054" y="98308"/>
                                </a:lnTo>
                                <a:lnTo>
                                  <a:pt x="3510906" y="94098"/>
                                </a:lnTo>
                                <a:lnTo>
                                  <a:pt x="3504084" y="79751"/>
                                </a:lnTo>
                                <a:close/>
                              </a:path>
                              <a:path w="3860800" h="1052830">
                                <a:moveTo>
                                  <a:pt x="3502054" y="98308"/>
                                </a:moveTo>
                                <a:lnTo>
                                  <a:pt x="3492488" y="100474"/>
                                </a:lnTo>
                                <a:lnTo>
                                  <a:pt x="3497499" y="100474"/>
                                </a:lnTo>
                                <a:lnTo>
                                  <a:pt x="3502054" y="98308"/>
                                </a:lnTo>
                                <a:close/>
                              </a:path>
                              <a:path w="3860800" h="1052830">
                                <a:moveTo>
                                  <a:pt x="3856296" y="0"/>
                                </a:moveTo>
                                <a:lnTo>
                                  <a:pt x="3504084" y="79751"/>
                                </a:lnTo>
                                <a:lnTo>
                                  <a:pt x="3510906" y="94098"/>
                                </a:lnTo>
                                <a:lnTo>
                                  <a:pt x="3502054" y="98308"/>
                                </a:lnTo>
                                <a:lnTo>
                                  <a:pt x="3860194" y="17215"/>
                                </a:lnTo>
                                <a:lnTo>
                                  <a:pt x="3856296" y="0"/>
                                </a:lnTo>
                                <a:close/>
                              </a:path>
                              <a:path w="3860800" h="1052830">
                                <a:moveTo>
                                  <a:pt x="3496243" y="81527"/>
                                </a:moveTo>
                                <a:lnTo>
                                  <a:pt x="3488590" y="83259"/>
                                </a:lnTo>
                                <a:lnTo>
                                  <a:pt x="3488980" y="84980"/>
                                </a:lnTo>
                                <a:lnTo>
                                  <a:pt x="3496243" y="81527"/>
                                </a:lnTo>
                                <a:close/>
                              </a:path>
                              <a:path w="3860800" h="1052830">
                                <a:moveTo>
                                  <a:pt x="3503327" y="78158"/>
                                </a:moveTo>
                                <a:lnTo>
                                  <a:pt x="3496243" y="81527"/>
                                </a:lnTo>
                                <a:lnTo>
                                  <a:pt x="3504084" y="79751"/>
                                </a:lnTo>
                                <a:lnTo>
                                  <a:pt x="3503327" y="78158"/>
                                </a:lnTo>
                                <a:close/>
                              </a:path>
                            </a:pathLst>
                          </a:custGeom>
                          <a:solidFill>
                            <a:srgbClr val="3D619D"/>
                          </a:solidFill>
                        </wps:spPr>
                        <wps:bodyPr wrap="square" lIns="0" tIns="0" rIns="0" bIns="0" rtlCol="0">
                          <a:prstTxWarp prst="textNoShape">
                            <a:avLst/>
                          </a:prstTxWarp>
                          <a:noAutofit/>
                        </wps:bodyPr>
                      </wps:wsp>
                      <wps:wsp>
                        <wps:cNvPr id="1431" name="Graphic 1431"/>
                        <wps:cNvSpPr/>
                        <wps:spPr>
                          <a:xfrm>
                            <a:off x="192551" y="683876"/>
                            <a:ext cx="3859529" cy="615315"/>
                          </a:xfrm>
                          <a:custGeom>
                            <a:avLst/>
                            <a:gdLst/>
                            <a:ahLst/>
                            <a:cxnLst/>
                            <a:rect l="l" t="t" r="r" b="b"/>
                            <a:pathLst>
                              <a:path w="3859529" h="615315">
                                <a:moveTo>
                                  <a:pt x="359163" y="556554"/>
                                </a:moveTo>
                                <a:lnTo>
                                  <a:pt x="0" y="597218"/>
                                </a:lnTo>
                                <a:lnTo>
                                  <a:pt x="1985" y="614757"/>
                                </a:lnTo>
                                <a:lnTo>
                                  <a:pt x="352663" y="575053"/>
                                </a:lnTo>
                                <a:lnTo>
                                  <a:pt x="350313" y="557756"/>
                                </a:lnTo>
                                <a:lnTo>
                                  <a:pt x="359163" y="556554"/>
                                </a:lnTo>
                                <a:close/>
                              </a:path>
                              <a:path w="3859529" h="615315">
                                <a:moveTo>
                                  <a:pt x="361333" y="574071"/>
                                </a:moveTo>
                                <a:lnTo>
                                  <a:pt x="352663" y="575053"/>
                                </a:lnTo>
                                <a:lnTo>
                                  <a:pt x="352689" y="575246"/>
                                </a:lnTo>
                                <a:lnTo>
                                  <a:pt x="361333" y="574071"/>
                                </a:lnTo>
                                <a:close/>
                              </a:path>
                              <a:path w="3859529" h="615315">
                                <a:moveTo>
                                  <a:pt x="368022" y="555551"/>
                                </a:moveTo>
                                <a:lnTo>
                                  <a:pt x="359163" y="556554"/>
                                </a:lnTo>
                                <a:lnTo>
                                  <a:pt x="350313" y="557756"/>
                                </a:lnTo>
                                <a:lnTo>
                                  <a:pt x="352663" y="575053"/>
                                </a:lnTo>
                                <a:lnTo>
                                  <a:pt x="361333" y="574071"/>
                                </a:lnTo>
                                <a:lnTo>
                                  <a:pt x="369986" y="572896"/>
                                </a:lnTo>
                                <a:lnTo>
                                  <a:pt x="368022" y="555551"/>
                                </a:lnTo>
                                <a:close/>
                              </a:path>
                              <a:path w="3859529" h="615315">
                                <a:moveTo>
                                  <a:pt x="369986" y="572896"/>
                                </a:moveTo>
                                <a:lnTo>
                                  <a:pt x="361333" y="574071"/>
                                </a:lnTo>
                                <a:lnTo>
                                  <a:pt x="370008" y="573089"/>
                                </a:lnTo>
                                <a:lnTo>
                                  <a:pt x="369986" y="572896"/>
                                </a:lnTo>
                                <a:close/>
                              </a:path>
                              <a:path w="3859529" h="615315">
                                <a:moveTo>
                                  <a:pt x="497660" y="555551"/>
                                </a:moveTo>
                                <a:lnTo>
                                  <a:pt x="368022" y="555551"/>
                                </a:lnTo>
                                <a:lnTo>
                                  <a:pt x="369986" y="572896"/>
                                </a:lnTo>
                                <a:lnTo>
                                  <a:pt x="497660" y="555551"/>
                                </a:lnTo>
                                <a:close/>
                              </a:path>
                              <a:path w="3859529" h="615315">
                                <a:moveTo>
                                  <a:pt x="709394" y="508973"/>
                                </a:moveTo>
                                <a:lnTo>
                                  <a:pt x="359163" y="556554"/>
                                </a:lnTo>
                                <a:lnTo>
                                  <a:pt x="368022" y="555551"/>
                                </a:lnTo>
                                <a:lnTo>
                                  <a:pt x="497660" y="555551"/>
                                </a:lnTo>
                                <a:lnTo>
                                  <a:pt x="703194" y="527628"/>
                                </a:lnTo>
                                <a:lnTo>
                                  <a:pt x="700767" y="510173"/>
                                </a:lnTo>
                                <a:lnTo>
                                  <a:pt x="709394" y="508973"/>
                                </a:lnTo>
                                <a:close/>
                              </a:path>
                              <a:path w="3859529" h="615315">
                                <a:moveTo>
                                  <a:pt x="712011" y="526430"/>
                                </a:moveTo>
                                <a:lnTo>
                                  <a:pt x="703194" y="527628"/>
                                </a:lnTo>
                                <a:lnTo>
                                  <a:pt x="712011" y="526430"/>
                                </a:lnTo>
                                <a:close/>
                              </a:path>
                              <a:path w="3859529" h="615315">
                                <a:moveTo>
                                  <a:pt x="718281" y="507766"/>
                                </a:moveTo>
                                <a:lnTo>
                                  <a:pt x="700767" y="510173"/>
                                </a:lnTo>
                                <a:lnTo>
                                  <a:pt x="703194" y="527628"/>
                                </a:lnTo>
                                <a:lnTo>
                                  <a:pt x="720653" y="525229"/>
                                </a:lnTo>
                                <a:lnTo>
                                  <a:pt x="718281" y="507766"/>
                                </a:lnTo>
                                <a:close/>
                              </a:path>
                              <a:path w="3859529" h="615315">
                                <a:moveTo>
                                  <a:pt x="720653" y="525229"/>
                                </a:moveTo>
                                <a:lnTo>
                                  <a:pt x="712011" y="526430"/>
                                </a:lnTo>
                                <a:lnTo>
                                  <a:pt x="720657" y="525256"/>
                                </a:lnTo>
                                <a:close/>
                              </a:path>
                              <a:path w="3859529" h="615315">
                                <a:moveTo>
                                  <a:pt x="846244" y="507766"/>
                                </a:moveTo>
                                <a:lnTo>
                                  <a:pt x="718281" y="507766"/>
                                </a:lnTo>
                                <a:lnTo>
                                  <a:pt x="720653" y="525229"/>
                                </a:lnTo>
                                <a:lnTo>
                                  <a:pt x="846244" y="507766"/>
                                </a:lnTo>
                                <a:close/>
                              </a:path>
                              <a:path w="3859529" h="615315">
                                <a:moveTo>
                                  <a:pt x="1051972" y="461341"/>
                                </a:moveTo>
                                <a:lnTo>
                                  <a:pt x="709394" y="508973"/>
                                </a:lnTo>
                                <a:lnTo>
                                  <a:pt x="718281" y="507766"/>
                                </a:lnTo>
                                <a:lnTo>
                                  <a:pt x="846244" y="507766"/>
                                </a:lnTo>
                                <a:lnTo>
                                  <a:pt x="1045885" y="480008"/>
                                </a:lnTo>
                                <a:lnTo>
                                  <a:pt x="1043148" y="462739"/>
                                </a:lnTo>
                                <a:lnTo>
                                  <a:pt x="1051972" y="461341"/>
                                </a:lnTo>
                                <a:close/>
                              </a:path>
                              <a:path w="3859529" h="615315">
                                <a:moveTo>
                                  <a:pt x="1054526" y="478806"/>
                                </a:moveTo>
                                <a:lnTo>
                                  <a:pt x="1045885" y="480008"/>
                                </a:lnTo>
                                <a:lnTo>
                                  <a:pt x="1045911" y="480172"/>
                                </a:lnTo>
                                <a:lnTo>
                                  <a:pt x="1054526" y="478806"/>
                                </a:lnTo>
                                <a:close/>
                              </a:path>
                              <a:path w="3859529" h="615315">
                                <a:moveTo>
                                  <a:pt x="1060771" y="460117"/>
                                </a:moveTo>
                                <a:lnTo>
                                  <a:pt x="1051972" y="461341"/>
                                </a:lnTo>
                                <a:lnTo>
                                  <a:pt x="1043148" y="462739"/>
                                </a:lnTo>
                                <a:lnTo>
                                  <a:pt x="1045885" y="480008"/>
                                </a:lnTo>
                                <a:lnTo>
                                  <a:pt x="1054526" y="478806"/>
                                </a:lnTo>
                                <a:lnTo>
                                  <a:pt x="1063179" y="477434"/>
                                </a:lnTo>
                                <a:lnTo>
                                  <a:pt x="1060771" y="460117"/>
                                </a:lnTo>
                                <a:close/>
                              </a:path>
                              <a:path w="3859529" h="615315">
                                <a:moveTo>
                                  <a:pt x="1063179" y="477434"/>
                                </a:moveTo>
                                <a:lnTo>
                                  <a:pt x="1054526" y="478806"/>
                                </a:lnTo>
                                <a:lnTo>
                                  <a:pt x="1063202" y="477600"/>
                                </a:lnTo>
                                <a:lnTo>
                                  <a:pt x="1063179" y="477434"/>
                                </a:lnTo>
                                <a:close/>
                              </a:path>
                              <a:path w="3859529" h="615315">
                                <a:moveTo>
                                  <a:pt x="1172427" y="460117"/>
                                </a:moveTo>
                                <a:lnTo>
                                  <a:pt x="1060771" y="460117"/>
                                </a:lnTo>
                                <a:lnTo>
                                  <a:pt x="1063179" y="477434"/>
                                </a:lnTo>
                                <a:lnTo>
                                  <a:pt x="1172427" y="460117"/>
                                </a:lnTo>
                                <a:close/>
                              </a:path>
                              <a:path w="3859529" h="615315">
                                <a:moveTo>
                                  <a:pt x="1401596" y="405920"/>
                                </a:moveTo>
                                <a:lnTo>
                                  <a:pt x="1051972" y="461341"/>
                                </a:lnTo>
                                <a:lnTo>
                                  <a:pt x="1060771" y="460117"/>
                                </a:lnTo>
                                <a:lnTo>
                                  <a:pt x="1172427" y="460117"/>
                                </a:lnTo>
                                <a:lnTo>
                                  <a:pt x="1397759" y="424399"/>
                                </a:lnTo>
                                <a:lnTo>
                                  <a:pt x="1392529" y="409000"/>
                                </a:lnTo>
                                <a:lnTo>
                                  <a:pt x="1401596" y="405920"/>
                                </a:lnTo>
                                <a:close/>
                              </a:path>
                              <a:path w="3859529" h="615315">
                                <a:moveTo>
                                  <a:pt x="1405850" y="423116"/>
                                </a:moveTo>
                                <a:lnTo>
                                  <a:pt x="1397759" y="424399"/>
                                </a:lnTo>
                                <a:lnTo>
                                  <a:pt x="1398205" y="425713"/>
                                </a:lnTo>
                                <a:lnTo>
                                  <a:pt x="1405850" y="423116"/>
                                </a:lnTo>
                                <a:close/>
                              </a:path>
                              <a:path w="3859529" h="615315">
                                <a:moveTo>
                                  <a:pt x="1411058" y="404421"/>
                                </a:moveTo>
                                <a:lnTo>
                                  <a:pt x="1401596" y="405920"/>
                                </a:lnTo>
                                <a:lnTo>
                                  <a:pt x="1392529" y="409000"/>
                                </a:lnTo>
                                <a:lnTo>
                                  <a:pt x="1397759" y="424399"/>
                                </a:lnTo>
                                <a:lnTo>
                                  <a:pt x="1405850" y="423116"/>
                                </a:lnTo>
                                <a:lnTo>
                                  <a:pt x="1413604" y="420483"/>
                                </a:lnTo>
                                <a:lnTo>
                                  <a:pt x="1411058" y="404421"/>
                                </a:lnTo>
                                <a:close/>
                              </a:path>
                              <a:path w="3859529" h="615315">
                                <a:moveTo>
                                  <a:pt x="1413604" y="420483"/>
                                </a:moveTo>
                                <a:lnTo>
                                  <a:pt x="1405850" y="423116"/>
                                </a:lnTo>
                                <a:lnTo>
                                  <a:pt x="1413821" y="421853"/>
                                </a:lnTo>
                                <a:lnTo>
                                  <a:pt x="1413604" y="420483"/>
                                </a:lnTo>
                                <a:close/>
                              </a:path>
                              <a:path w="3859529" h="615315">
                                <a:moveTo>
                                  <a:pt x="1460895" y="404421"/>
                                </a:moveTo>
                                <a:lnTo>
                                  <a:pt x="1411058" y="404421"/>
                                </a:lnTo>
                                <a:lnTo>
                                  <a:pt x="1413604" y="420483"/>
                                </a:lnTo>
                                <a:lnTo>
                                  <a:pt x="1460895" y="404421"/>
                                </a:lnTo>
                                <a:close/>
                              </a:path>
                              <a:path w="3859529" h="615315">
                                <a:moveTo>
                                  <a:pt x="1751120" y="287204"/>
                                </a:moveTo>
                                <a:lnTo>
                                  <a:pt x="1401596" y="405920"/>
                                </a:lnTo>
                                <a:lnTo>
                                  <a:pt x="1411058" y="404421"/>
                                </a:lnTo>
                                <a:lnTo>
                                  <a:pt x="1460895" y="404421"/>
                                </a:lnTo>
                                <a:lnTo>
                                  <a:pt x="1749179" y="306505"/>
                                </a:lnTo>
                                <a:lnTo>
                                  <a:pt x="1742709" y="290633"/>
                                </a:lnTo>
                                <a:lnTo>
                                  <a:pt x="1751120" y="287204"/>
                                </a:lnTo>
                                <a:close/>
                              </a:path>
                              <a:path w="3859529" h="615315">
                                <a:moveTo>
                                  <a:pt x="1757291" y="303750"/>
                                </a:moveTo>
                                <a:lnTo>
                                  <a:pt x="1749179" y="306505"/>
                                </a:lnTo>
                                <a:lnTo>
                                  <a:pt x="1749371" y="306978"/>
                                </a:lnTo>
                                <a:lnTo>
                                  <a:pt x="1757291" y="303750"/>
                                </a:lnTo>
                                <a:close/>
                              </a:path>
                              <a:path w="3859529" h="615315">
                                <a:moveTo>
                                  <a:pt x="1759731" y="284280"/>
                                </a:moveTo>
                                <a:lnTo>
                                  <a:pt x="1751120" y="287204"/>
                                </a:lnTo>
                                <a:lnTo>
                                  <a:pt x="1742709" y="290633"/>
                                </a:lnTo>
                                <a:lnTo>
                                  <a:pt x="1749179" y="306505"/>
                                </a:lnTo>
                                <a:lnTo>
                                  <a:pt x="1757291" y="303750"/>
                                </a:lnTo>
                                <a:lnTo>
                                  <a:pt x="1765243" y="300508"/>
                                </a:lnTo>
                                <a:lnTo>
                                  <a:pt x="1759731" y="284280"/>
                                </a:lnTo>
                                <a:close/>
                              </a:path>
                              <a:path w="3859529" h="615315">
                                <a:moveTo>
                                  <a:pt x="1765243" y="300508"/>
                                </a:moveTo>
                                <a:lnTo>
                                  <a:pt x="1757291" y="303750"/>
                                </a:lnTo>
                                <a:lnTo>
                                  <a:pt x="1765408" y="300993"/>
                                </a:lnTo>
                                <a:lnTo>
                                  <a:pt x="1765243" y="300508"/>
                                </a:lnTo>
                                <a:close/>
                              </a:path>
                              <a:path w="3859529" h="615315">
                                <a:moveTo>
                                  <a:pt x="1805058" y="284280"/>
                                </a:moveTo>
                                <a:lnTo>
                                  <a:pt x="1759731" y="284280"/>
                                </a:lnTo>
                                <a:lnTo>
                                  <a:pt x="1765243" y="300508"/>
                                </a:lnTo>
                                <a:lnTo>
                                  <a:pt x="1805058" y="284280"/>
                                </a:lnTo>
                                <a:close/>
                              </a:path>
                              <a:path w="3859529" h="615315">
                                <a:moveTo>
                                  <a:pt x="2096511" y="146423"/>
                                </a:moveTo>
                                <a:lnTo>
                                  <a:pt x="1751120" y="287204"/>
                                </a:lnTo>
                                <a:lnTo>
                                  <a:pt x="1759731" y="284280"/>
                                </a:lnTo>
                                <a:lnTo>
                                  <a:pt x="1805058" y="284280"/>
                                </a:lnTo>
                                <a:lnTo>
                                  <a:pt x="2105937" y="161642"/>
                                </a:lnTo>
                                <a:lnTo>
                                  <a:pt x="2094929" y="160395"/>
                                </a:lnTo>
                                <a:lnTo>
                                  <a:pt x="2096511" y="146423"/>
                                </a:lnTo>
                                <a:close/>
                              </a:path>
                              <a:path w="3859529" h="615315">
                                <a:moveTo>
                                  <a:pt x="2463121" y="200613"/>
                                </a:moveTo>
                                <a:lnTo>
                                  <a:pt x="2454982" y="201166"/>
                                </a:lnTo>
                                <a:lnTo>
                                  <a:pt x="2462956" y="202069"/>
                                </a:lnTo>
                                <a:lnTo>
                                  <a:pt x="2463121" y="200613"/>
                                </a:lnTo>
                                <a:close/>
                              </a:path>
                              <a:path w="3859529" h="615315">
                                <a:moveTo>
                                  <a:pt x="2446874" y="200248"/>
                                </a:moveTo>
                                <a:lnTo>
                                  <a:pt x="2446973" y="201710"/>
                                </a:lnTo>
                                <a:lnTo>
                                  <a:pt x="2454982" y="201166"/>
                                </a:lnTo>
                                <a:lnTo>
                                  <a:pt x="2446874" y="200248"/>
                                </a:lnTo>
                                <a:close/>
                              </a:path>
                              <a:path w="3859529" h="615315">
                                <a:moveTo>
                                  <a:pt x="2455380" y="183447"/>
                                </a:moveTo>
                                <a:lnTo>
                                  <a:pt x="2445777" y="184100"/>
                                </a:lnTo>
                                <a:lnTo>
                                  <a:pt x="2446874" y="200248"/>
                                </a:lnTo>
                                <a:lnTo>
                                  <a:pt x="2454982" y="201166"/>
                                </a:lnTo>
                                <a:lnTo>
                                  <a:pt x="2463121" y="200613"/>
                                </a:lnTo>
                                <a:lnTo>
                                  <a:pt x="2464942" y="184530"/>
                                </a:lnTo>
                                <a:lnTo>
                                  <a:pt x="2455380" y="183447"/>
                                </a:lnTo>
                                <a:close/>
                              </a:path>
                              <a:path w="3859529" h="615315">
                                <a:moveTo>
                                  <a:pt x="2804649" y="159717"/>
                                </a:moveTo>
                                <a:lnTo>
                                  <a:pt x="2455380" y="183447"/>
                                </a:lnTo>
                                <a:lnTo>
                                  <a:pt x="2464942" y="184530"/>
                                </a:lnTo>
                                <a:lnTo>
                                  <a:pt x="2463121" y="200613"/>
                                </a:lnTo>
                                <a:lnTo>
                                  <a:pt x="2798235" y="177844"/>
                                </a:lnTo>
                                <a:lnTo>
                                  <a:pt x="2795534" y="161195"/>
                                </a:lnTo>
                                <a:lnTo>
                                  <a:pt x="2804649" y="159717"/>
                                </a:lnTo>
                                <a:close/>
                              </a:path>
                              <a:path w="3859529" h="615315">
                                <a:moveTo>
                                  <a:pt x="2110887" y="144439"/>
                                </a:moveTo>
                                <a:lnTo>
                                  <a:pt x="2116195" y="157460"/>
                                </a:lnTo>
                                <a:lnTo>
                                  <a:pt x="2105937" y="161642"/>
                                </a:lnTo>
                                <a:lnTo>
                                  <a:pt x="2446874" y="200248"/>
                                </a:lnTo>
                                <a:lnTo>
                                  <a:pt x="2445777" y="184100"/>
                                </a:lnTo>
                                <a:lnTo>
                                  <a:pt x="2455380" y="183447"/>
                                </a:lnTo>
                                <a:lnTo>
                                  <a:pt x="2110887" y="144439"/>
                                </a:lnTo>
                                <a:close/>
                              </a:path>
                              <a:path w="3859529" h="615315">
                                <a:moveTo>
                                  <a:pt x="2806667" y="177271"/>
                                </a:moveTo>
                                <a:lnTo>
                                  <a:pt x="2798235" y="177844"/>
                                </a:lnTo>
                                <a:lnTo>
                                  <a:pt x="2798360" y="178618"/>
                                </a:lnTo>
                                <a:lnTo>
                                  <a:pt x="2806667" y="177271"/>
                                </a:lnTo>
                                <a:close/>
                              </a:path>
                              <a:path w="3859529" h="615315">
                                <a:moveTo>
                                  <a:pt x="2813865" y="159091"/>
                                </a:moveTo>
                                <a:lnTo>
                                  <a:pt x="2804649" y="159717"/>
                                </a:lnTo>
                                <a:lnTo>
                                  <a:pt x="2795534" y="161195"/>
                                </a:lnTo>
                                <a:lnTo>
                                  <a:pt x="2798235" y="177844"/>
                                </a:lnTo>
                                <a:lnTo>
                                  <a:pt x="2806667" y="177271"/>
                                </a:lnTo>
                                <a:lnTo>
                                  <a:pt x="2815009" y="175918"/>
                                </a:lnTo>
                                <a:lnTo>
                                  <a:pt x="2813865" y="159091"/>
                                </a:lnTo>
                                <a:close/>
                              </a:path>
                              <a:path w="3859529" h="615315">
                                <a:moveTo>
                                  <a:pt x="2815009" y="175918"/>
                                </a:moveTo>
                                <a:lnTo>
                                  <a:pt x="2806667" y="177271"/>
                                </a:lnTo>
                                <a:lnTo>
                                  <a:pt x="2815062" y="176700"/>
                                </a:lnTo>
                                <a:lnTo>
                                  <a:pt x="2815009" y="175918"/>
                                </a:lnTo>
                                <a:close/>
                              </a:path>
                              <a:path w="3859529" h="615315">
                                <a:moveTo>
                                  <a:pt x="2918756" y="159091"/>
                                </a:moveTo>
                                <a:lnTo>
                                  <a:pt x="2813865" y="159091"/>
                                </a:lnTo>
                                <a:lnTo>
                                  <a:pt x="2815009" y="175918"/>
                                </a:lnTo>
                                <a:lnTo>
                                  <a:pt x="2918756" y="159091"/>
                                </a:lnTo>
                                <a:close/>
                              </a:path>
                              <a:path w="3859529" h="615315">
                                <a:moveTo>
                                  <a:pt x="2103447" y="143596"/>
                                </a:moveTo>
                                <a:lnTo>
                                  <a:pt x="2096511" y="146423"/>
                                </a:lnTo>
                                <a:lnTo>
                                  <a:pt x="2094929" y="160395"/>
                                </a:lnTo>
                                <a:lnTo>
                                  <a:pt x="2105937" y="161642"/>
                                </a:lnTo>
                                <a:lnTo>
                                  <a:pt x="2116195" y="157460"/>
                                </a:lnTo>
                                <a:lnTo>
                                  <a:pt x="2110887" y="144439"/>
                                </a:lnTo>
                                <a:lnTo>
                                  <a:pt x="2103447" y="143596"/>
                                </a:lnTo>
                                <a:close/>
                              </a:path>
                              <a:path w="3859529" h="615315">
                                <a:moveTo>
                                  <a:pt x="3146699" y="104238"/>
                                </a:moveTo>
                                <a:lnTo>
                                  <a:pt x="2804649" y="159717"/>
                                </a:lnTo>
                                <a:lnTo>
                                  <a:pt x="2813865" y="159091"/>
                                </a:lnTo>
                                <a:lnTo>
                                  <a:pt x="2918756" y="159091"/>
                                </a:lnTo>
                                <a:lnTo>
                                  <a:pt x="3141047" y="123036"/>
                                </a:lnTo>
                                <a:lnTo>
                                  <a:pt x="3137929" y="105827"/>
                                </a:lnTo>
                                <a:lnTo>
                                  <a:pt x="3146699" y="104238"/>
                                </a:lnTo>
                                <a:close/>
                              </a:path>
                              <a:path w="3859529" h="615315">
                                <a:moveTo>
                                  <a:pt x="2096915" y="142857"/>
                                </a:moveTo>
                                <a:lnTo>
                                  <a:pt x="2096511" y="146423"/>
                                </a:lnTo>
                                <a:lnTo>
                                  <a:pt x="2103447" y="143596"/>
                                </a:lnTo>
                                <a:lnTo>
                                  <a:pt x="2096915" y="142857"/>
                                </a:lnTo>
                                <a:close/>
                              </a:path>
                              <a:path w="3859529" h="615315">
                                <a:moveTo>
                                  <a:pt x="2109533" y="141116"/>
                                </a:moveTo>
                                <a:lnTo>
                                  <a:pt x="2103447" y="143596"/>
                                </a:lnTo>
                                <a:lnTo>
                                  <a:pt x="2110887" y="144439"/>
                                </a:lnTo>
                                <a:lnTo>
                                  <a:pt x="2109533" y="141116"/>
                                </a:lnTo>
                                <a:close/>
                              </a:path>
                              <a:path w="3859529" h="615315">
                                <a:moveTo>
                                  <a:pt x="3149644" y="121642"/>
                                </a:moveTo>
                                <a:lnTo>
                                  <a:pt x="3141047" y="123036"/>
                                </a:lnTo>
                                <a:lnTo>
                                  <a:pt x="3141076" y="123194"/>
                                </a:lnTo>
                                <a:lnTo>
                                  <a:pt x="3149644" y="121642"/>
                                </a:lnTo>
                                <a:close/>
                              </a:path>
                              <a:path w="3859529" h="615315">
                                <a:moveTo>
                                  <a:pt x="3155485" y="102813"/>
                                </a:moveTo>
                                <a:lnTo>
                                  <a:pt x="3146699" y="104238"/>
                                </a:lnTo>
                                <a:lnTo>
                                  <a:pt x="3137929" y="105827"/>
                                </a:lnTo>
                                <a:lnTo>
                                  <a:pt x="3141047" y="123036"/>
                                </a:lnTo>
                                <a:lnTo>
                                  <a:pt x="3149644" y="121642"/>
                                </a:lnTo>
                                <a:lnTo>
                                  <a:pt x="3158285" y="120077"/>
                                </a:lnTo>
                                <a:lnTo>
                                  <a:pt x="3155485" y="102813"/>
                                </a:lnTo>
                                <a:close/>
                              </a:path>
                              <a:path w="3859529" h="615315">
                                <a:moveTo>
                                  <a:pt x="3158285" y="120077"/>
                                </a:moveTo>
                                <a:lnTo>
                                  <a:pt x="3149644" y="121642"/>
                                </a:lnTo>
                                <a:lnTo>
                                  <a:pt x="3158311" y="120236"/>
                                </a:lnTo>
                                <a:lnTo>
                                  <a:pt x="3158285" y="120077"/>
                                </a:lnTo>
                                <a:close/>
                              </a:path>
                              <a:path w="3859529" h="615315">
                                <a:moveTo>
                                  <a:pt x="3253571" y="102813"/>
                                </a:moveTo>
                                <a:lnTo>
                                  <a:pt x="3155485" y="102813"/>
                                </a:lnTo>
                                <a:lnTo>
                                  <a:pt x="3158285" y="120077"/>
                                </a:lnTo>
                                <a:lnTo>
                                  <a:pt x="3253571" y="102813"/>
                                </a:lnTo>
                                <a:close/>
                              </a:path>
                              <a:path w="3859529" h="615315">
                                <a:moveTo>
                                  <a:pt x="3488954" y="42231"/>
                                </a:moveTo>
                                <a:lnTo>
                                  <a:pt x="3146699" y="104238"/>
                                </a:lnTo>
                                <a:lnTo>
                                  <a:pt x="3155485" y="102813"/>
                                </a:lnTo>
                                <a:lnTo>
                                  <a:pt x="3253571" y="102813"/>
                                </a:lnTo>
                                <a:lnTo>
                                  <a:pt x="3494272" y="59205"/>
                                </a:lnTo>
                                <a:lnTo>
                                  <a:pt x="3490876" y="59205"/>
                                </a:lnTo>
                                <a:lnTo>
                                  <a:pt x="3488954" y="42231"/>
                                </a:lnTo>
                                <a:close/>
                              </a:path>
                              <a:path w="3859529" h="615315">
                                <a:moveTo>
                                  <a:pt x="3505864" y="39745"/>
                                </a:moveTo>
                                <a:lnTo>
                                  <a:pt x="3497360" y="40708"/>
                                </a:lnTo>
                                <a:lnTo>
                                  <a:pt x="3488954" y="42231"/>
                                </a:lnTo>
                                <a:lnTo>
                                  <a:pt x="3490876" y="59205"/>
                                </a:lnTo>
                                <a:lnTo>
                                  <a:pt x="3499930" y="58180"/>
                                </a:lnTo>
                                <a:lnTo>
                                  <a:pt x="3508909" y="56553"/>
                                </a:lnTo>
                                <a:lnTo>
                                  <a:pt x="3505864" y="39745"/>
                                </a:lnTo>
                                <a:close/>
                              </a:path>
                              <a:path w="3859529" h="615315">
                                <a:moveTo>
                                  <a:pt x="3499930" y="58180"/>
                                </a:moveTo>
                                <a:lnTo>
                                  <a:pt x="3490876" y="59205"/>
                                </a:lnTo>
                                <a:lnTo>
                                  <a:pt x="3494272" y="59205"/>
                                </a:lnTo>
                                <a:lnTo>
                                  <a:pt x="3499930" y="58180"/>
                                </a:lnTo>
                                <a:close/>
                              </a:path>
                              <a:path w="3859529" h="615315">
                                <a:moveTo>
                                  <a:pt x="3856919" y="0"/>
                                </a:moveTo>
                                <a:lnTo>
                                  <a:pt x="3505864" y="39745"/>
                                </a:lnTo>
                                <a:lnTo>
                                  <a:pt x="3508909" y="56553"/>
                                </a:lnTo>
                                <a:lnTo>
                                  <a:pt x="3499930" y="58180"/>
                                </a:lnTo>
                                <a:lnTo>
                                  <a:pt x="3858904" y="17538"/>
                                </a:lnTo>
                                <a:lnTo>
                                  <a:pt x="3856919" y="0"/>
                                </a:lnTo>
                                <a:close/>
                              </a:path>
                              <a:path w="3859529" h="615315">
                                <a:moveTo>
                                  <a:pt x="3497360" y="40708"/>
                                </a:moveTo>
                                <a:lnTo>
                                  <a:pt x="3488890" y="41667"/>
                                </a:lnTo>
                                <a:lnTo>
                                  <a:pt x="3488954" y="42231"/>
                                </a:lnTo>
                                <a:lnTo>
                                  <a:pt x="3497360" y="40708"/>
                                </a:lnTo>
                                <a:close/>
                              </a:path>
                              <a:path w="3859529" h="615315">
                                <a:moveTo>
                                  <a:pt x="3505762" y="39185"/>
                                </a:moveTo>
                                <a:lnTo>
                                  <a:pt x="3497360" y="40708"/>
                                </a:lnTo>
                                <a:lnTo>
                                  <a:pt x="3505864" y="39745"/>
                                </a:lnTo>
                                <a:lnTo>
                                  <a:pt x="3505762" y="39185"/>
                                </a:lnTo>
                                <a:close/>
                              </a:path>
                            </a:pathLst>
                          </a:custGeom>
                          <a:solidFill>
                            <a:srgbClr val="2F7D41"/>
                          </a:solidFill>
                        </wps:spPr>
                        <wps:bodyPr wrap="square" lIns="0" tIns="0" rIns="0" bIns="0" rtlCol="0">
                          <a:prstTxWarp prst="textNoShape">
                            <a:avLst/>
                          </a:prstTxWarp>
                          <a:noAutofit/>
                        </wps:bodyPr>
                      </wps:wsp>
                      <wps:wsp>
                        <wps:cNvPr id="1432" name="Graphic 1432"/>
                        <wps:cNvSpPr/>
                        <wps:spPr>
                          <a:xfrm>
                            <a:off x="193290" y="1216355"/>
                            <a:ext cx="3857625" cy="240665"/>
                          </a:xfrm>
                          <a:custGeom>
                            <a:avLst/>
                            <a:gdLst/>
                            <a:ahLst/>
                            <a:cxnLst/>
                            <a:rect l="l" t="t" r="r" b="b"/>
                            <a:pathLst>
                              <a:path w="3857625" h="240665">
                                <a:moveTo>
                                  <a:pt x="359185" y="214483"/>
                                </a:moveTo>
                                <a:lnTo>
                                  <a:pt x="0" y="222624"/>
                                </a:lnTo>
                                <a:lnTo>
                                  <a:pt x="399" y="240269"/>
                                </a:lnTo>
                                <a:lnTo>
                                  <a:pt x="351081" y="232321"/>
                                </a:lnTo>
                                <a:lnTo>
                                  <a:pt x="350292" y="214886"/>
                                </a:lnTo>
                                <a:lnTo>
                                  <a:pt x="359185" y="214483"/>
                                </a:lnTo>
                                <a:close/>
                              </a:path>
                              <a:path w="3857625" h="240665">
                                <a:moveTo>
                                  <a:pt x="359798" y="232124"/>
                                </a:moveTo>
                                <a:lnTo>
                                  <a:pt x="351081" y="232321"/>
                                </a:lnTo>
                                <a:lnTo>
                                  <a:pt x="351090" y="232518"/>
                                </a:lnTo>
                                <a:lnTo>
                                  <a:pt x="359798" y="232124"/>
                                </a:lnTo>
                                <a:close/>
                              </a:path>
                              <a:path w="3857625" h="240665">
                                <a:moveTo>
                                  <a:pt x="368130" y="214280"/>
                                </a:moveTo>
                                <a:lnTo>
                                  <a:pt x="359185" y="214483"/>
                                </a:lnTo>
                                <a:lnTo>
                                  <a:pt x="350292" y="214886"/>
                                </a:lnTo>
                                <a:lnTo>
                                  <a:pt x="351081" y="232321"/>
                                </a:lnTo>
                                <a:lnTo>
                                  <a:pt x="359798" y="232124"/>
                                </a:lnTo>
                                <a:lnTo>
                                  <a:pt x="368525" y="231728"/>
                                </a:lnTo>
                                <a:lnTo>
                                  <a:pt x="368130" y="214280"/>
                                </a:lnTo>
                                <a:close/>
                              </a:path>
                              <a:path w="3857625" h="240665">
                                <a:moveTo>
                                  <a:pt x="368525" y="231728"/>
                                </a:moveTo>
                                <a:lnTo>
                                  <a:pt x="359798" y="232124"/>
                                </a:lnTo>
                                <a:lnTo>
                                  <a:pt x="368530" y="231926"/>
                                </a:lnTo>
                                <a:lnTo>
                                  <a:pt x="368525" y="231728"/>
                                </a:lnTo>
                                <a:close/>
                              </a:path>
                              <a:path w="3857625" h="240665">
                                <a:moveTo>
                                  <a:pt x="701467" y="214280"/>
                                </a:moveTo>
                                <a:lnTo>
                                  <a:pt x="368130" y="214280"/>
                                </a:lnTo>
                                <a:lnTo>
                                  <a:pt x="368525" y="231728"/>
                                </a:lnTo>
                                <a:lnTo>
                                  <a:pt x="701577" y="216649"/>
                                </a:lnTo>
                                <a:lnTo>
                                  <a:pt x="701467" y="214280"/>
                                </a:lnTo>
                                <a:close/>
                              </a:path>
                              <a:path w="3857625" h="240665">
                                <a:moveTo>
                                  <a:pt x="718402" y="198218"/>
                                </a:moveTo>
                                <a:lnTo>
                                  <a:pt x="700760" y="199027"/>
                                </a:lnTo>
                                <a:lnTo>
                                  <a:pt x="701577" y="216649"/>
                                </a:lnTo>
                                <a:lnTo>
                                  <a:pt x="719200" y="215842"/>
                                </a:lnTo>
                                <a:lnTo>
                                  <a:pt x="718402" y="198218"/>
                                </a:lnTo>
                                <a:close/>
                              </a:path>
                              <a:path w="3857625" h="240665">
                                <a:moveTo>
                                  <a:pt x="1043974" y="198218"/>
                                </a:moveTo>
                                <a:lnTo>
                                  <a:pt x="718402" y="198218"/>
                                </a:lnTo>
                                <a:lnTo>
                                  <a:pt x="719200" y="215842"/>
                                </a:lnTo>
                                <a:lnTo>
                                  <a:pt x="1044303" y="200774"/>
                                </a:lnTo>
                                <a:lnTo>
                                  <a:pt x="1044089" y="200774"/>
                                </a:lnTo>
                                <a:lnTo>
                                  <a:pt x="1043974" y="198218"/>
                                </a:lnTo>
                                <a:close/>
                              </a:path>
                              <a:path w="3857625" h="240665">
                                <a:moveTo>
                                  <a:pt x="709848" y="198606"/>
                                </a:moveTo>
                                <a:lnTo>
                                  <a:pt x="359185" y="214483"/>
                                </a:lnTo>
                                <a:lnTo>
                                  <a:pt x="368130" y="214280"/>
                                </a:lnTo>
                                <a:lnTo>
                                  <a:pt x="701467" y="214280"/>
                                </a:lnTo>
                                <a:lnTo>
                                  <a:pt x="700760" y="199027"/>
                                </a:lnTo>
                                <a:lnTo>
                                  <a:pt x="709848" y="198606"/>
                                </a:lnTo>
                                <a:close/>
                              </a:path>
                              <a:path w="3857625" h="240665">
                                <a:moveTo>
                                  <a:pt x="1060914" y="182344"/>
                                </a:moveTo>
                                <a:lnTo>
                                  <a:pt x="1043505" y="183142"/>
                                </a:lnTo>
                                <a:lnTo>
                                  <a:pt x="1043403" y="185623"/>
                                </a:lnTo>
                                <a:lnTo>
                                  <a:pt x="1044089" y="200774"/>
                                </a:lnTo>
                                <a:lnTo>
                                  <a:pt x="1061731" y="199966"/>
                                </a:lnTo>
                                <a:lnTo>
                                  <a:pt x="1060914" y="182344"/>
                                </a:lnTo>
                                <a:close/>
                              </a:path>
                              <a:path w="3857625" h="240665">
                                <a:moveTo>
                                  <a:pt x="1402188" y="166892"/>
                                </a:moveTo>
                                <a:lnTo>
                                  <a:pt x="1060914" y="182344"/>
                                </a:lnTo>
                                <a:lnTo>
                                  <a:pt x="1061731" y="199966"/>
                                </a:lnTo>
                                <a:lnTo>
                                  <a:pt x="1053361" y="200354"/>
                                </a:lnTo>
                                <a:lnTo>
                                  <a:pt x="1395325" y="184871"/>
                                </a:lnTo>
                                <a:lnTo>
                                  <a:pt x="1393051" y="168133"/>
                                </a:lnTo>
                                <a:lnTo>
                                  <a:pt x="1402188" y="166892"/>
                                </a:lnTo>
                                <a:close/>
                              </a:path>
                              <a:path w="3857625" h="240665">
                                <a:moveTo>
                                  <a:pt x="1043291" y="183152"/>
                                </a:moveTo>
                                <a:lnTo>
                                  <a:pt x="709848" y="198606"/>
                                </a:lnTo>
                                <a:lnTo>
                                  <a:pt x="718402" y="198218"/>
                                </a:lnTo>
                                <a:lnTo>
                                  <a:pt x="1043974" y="198218"/>
                                </a:lnTo>
                                <a:lnTo>
                                  <a:pt x="1043291" y="183152"/>
                                </a:lnTo>
                                <a:close/>
                              </a:path>
                              <a:path w="3857625" h="240665">
                                <a:moveTo>
                                  <a:pt x="1403781" y="184488"/>
                                </a:moveTo>
                                <a:lnTo>
                                  <a:pt x="1395325" y="184871"/>
                                </a:lnTo>
                                <a:lnTo>
                                  <a:pt x="1395427" y="185623"/>
                                </a:lnTo>
                                <a:lnTo>
                                  <a:pt x="1403781" y="184488"/>
                                </a:lnTo>
                                <a:close/>
                              </a:path>
                              <a:path w="3857625" h="240665">
                                <a:moveTo>
                                  <a:pt x="1411401" y="166475"/>
                                </a:moveTo>
                                <a:lnTo>
                                  <a:pt x="1402188" y="166892"/>
                                </a:lnTo>
                                <a:lnTo>
                                  <a:pt x="1393051" y="168133"/>
                                </a:lnTo>
                                <a:lnTo>
                                  <a:pt x="1395325" y="184871"/>
                                </a:lnTo>
                                <a:lnTo>
                                  <a:pt x="1403781" y="184488"/>
                                </a:lnTo>
                                <a:lnTo>
                                  <a:pt x="1412165" y="183349"/>
                                </a:lnTo>
                                <a:lnTo>
                                  <a:pt x="1411401" y="166475"/>
                                </a:lnTo>
                                <a:close/>
                              </a:path>
                              <a:path w="3857625" h="240665">
                                <a:moveTo>
                                  <a:pt x="1412165" y="183349"/>
                                </a:moveTo>
                                <a:lnTo>
                                  <a:pt x="1403781" y="184488"/>
                                </a:lnTo>
                                <a:lnTo>
                                  <a:pt x="1412199" y="184107"/>
                                </a:lnTo>
                                <a:lnTo>
                                  <a:pt x="1412165" y="183349"/>
                                </a:lnTo>
                                <a:close/>
                              </a:path>
                              <a:path w="3857625" h="240665">
                                <a:moveTo>
                                  <a:pt x="1536347" y="166475"/>
                                </a:moveTo>
                                <a:lnTo>
                                  <a:pt x="1411401" y="166475"/>
                                </a:lnTo>
                                <a:lnTo>
                                  <a:pt x="1412165" y="183349"/>
                                </a:lnTo>
                                <a:lnTo>
                                  <a:pt x="1536347" y="166475"/>
                                </a:lnTo>
                                <a:close/>
                              </a:path>
                              <a:path w="3857625" h="240665">
                                <a:moveTo>
                                  <a:pt x="1060914" y="182335"/>
                                </a:moveTo>
                                <a:lnTo>
                                  <a:pt x="1052565" y="182722"/>
                                </a:lnTo>
                                <a:lnTo>
                                  <a:pt x="1060914" y="182344"/>
                                </a:lnTo>
                                <a:close/>
                              </a:path>
                              <a:path w="3857625" h="240665">
                                <a:moveTo>
                                  <a:pt x="1751997" y="119359"/>
                                </a:moveTo>
                                <a:lnTo>
                                  <a:pt x="1402188" y="166892"/>
                                </a:lnTo>
                                <a:lnTo>
                                  <a:pt x="1411401" y="166475"/>
                                </a:lnTo>
                                <a:lnTo>
                                  <a:pt x="1536347" y="166475"/>
                                </a:lnTo>
                                <a:lnTo>
                                  <a:pt x="1746476" y="137922"/>
                                </a:lnTo>
                                <a:lnTo>
                                  <a:pt x="1743064" y="121180"/>
                                </a:lnTo>
                                <a:lnTo>
                                  <a:pt x="1751997" y="119359"/>
                                </a:lnTo>
                                <a:close/>
                              </a:path>
                              <a:path w="3857625" h="240665">
                                <a:moveTo>
                                  <a:pt x="1754952" y="136770"/>
                                </a:moveTo>
                                <a:lnTo>
                                  <a:pt x="1746476" y="137922"/>
                                </a:lnTo>
                                <a:lnTo>
                                  <a:pt x="1746588" y="138475"/>
                                </a:lnTo>
                                <a:lnTo>
                                  <a:pt x="1754952" y="136770"/>
                                </a:lnTo>
                                <a:close/>
                              </a:path>
                              <a:path w="3857625" h="240665">
                                <a:moveTo>
                                  <a:pt x="1761030" y="118132"/>
                                </a:moveTo>
                                <a:lnTo>
                                  <a:pt x="1751997" y="119359"/>
                                </a:lnTo>
                                <a:lnTo>
                                  <a:pt x="1743064" y="121180"/>
                                </a:lnTo>
                                <a:lnTo>
                                  <a:pt x="1746476" y="137922"/>
                                </a:lnTo>
                                <a:lnTo>
                                  <a:pt x="1754952" y="136770"/>
                                </a:lnTo>
                                <a:lnTo>
                                  <a:pt x="1763331" y="135063"/>
                                </a:lnTo>
                                <a:lnTo>
                                  <a:pt x="1761030" y="118132"/>
                                </a:lnTo>
                                <a:close/>
                              </a:path>
                              <a:path w="3857625" h="240665">
                                <a:moveTo>
                                  <a:pt x="1763331" y="135063"/>
                                </a:moveTo>
                                <a:lnTo>
                                  <a:pt x="1754952" y="136770"/>
                                </a:lnTo>
                                <a:lnTo>
                                  <a:pt x="1763407" y="135621"/>
                                </a:lnTo>
                                <a:lnTo>
                                  <a:pt x="1763331" y="135063"/>
                                </a:lnTo>
                                <a:close/>
                              </a:path>
                              <a:path w="3857625" h="240665">
                                <a:moveTo>
                                  <a:pt x="1846410" y="118132"/>
                                </a:moveTo>
                                <a:lnTo>
                                  <a:pt x="1761030" y="118132"/>
                                </a:lnTo>
                                <a:lnTo>
                                  <a:pt x="1763331" y="135063"/>
                                </a:lnTo>
                                <a:lnTo>
                                  <a:pt x="1846410" y="118132"/>
                                </a:lnTo>
                                <a:close/>
                              </a:path>
                              <a:path w="3857625" h="240665">
                                <a:moveTo>
                                  <a:pt x="2094451" y="49571"/>
                                </a:moveTo>
                                <a:lnTo>
                                  <a:pt x="1751997" y="119359"/>
                                </a:lnTo>
                                <a:lnTo>
                                  <a:pt x="1761030" y="118132"/>
                                </a:lnTo>
                                <a:lnTo>
                                  <a:pt x="1846410" y="118132"/>
                                </a:lnTo>
                                <a:lnTo>
                                  <a:pt x="2101114" y="66226"/>
                                </a:lnTo>
                                <a:lnTo>
                                  <a:pt x="2095959" y="66226"/>
                                </a:lnTo>
                                <a:lnTo>
                                  <a:pt x="2094451" y="49571"/>
                                </a:lnTo>
                                <a:close/>
                              </a:path>
                              <a:path w="3857625" h="240665">
                                <a:moveTo>
                                  <a:pt x="2812882" y="72697"/>
                                </a:moveTo>
                                <a:lnTo>
                                  <a:pt x="2804830" y="73443"/>
                                </a:lnTo>
                                <a:lnTo>
                                  <a:pt x="2812696" y="74333"/>
                                </a:lnTo>
                                <a:lnTo>
                                  <a:pt x="2812882" y="72697"/>
                                </a:lnTo>
                                <a:close/>
                              </a:path>
                              <a:path w="3857625" h="240665">
                                <a:moveTo>
                                  <a:pt x="2796794" y="72533"/>
                                </a:moveTo>
                                <a:lnTo>
                                  <a:pt x="2796946" y="74173"/>
                                </a:lnTo>
                                <a:lnTo>
                                  <a:pt x="2804830" y="73443"/>
                                </a:lnTo>
                                <a:lnTo>
                                  <a:pt x="2796794" y="72533"/>
                                </a:lnTo>
                                <a:close/>
                              </a:path>
                              <a:path w="3857625" h="240665">
                                <a:moveTo>
                                  <a:pt x="2805012" y="55700"/>
                                </a:moveTo>
                                <a:lnTo>
                                  <a:pt x="2795318" y="56598"/>
                                </a:lnTo>
                                <a:lnTo>
                                  <a:pt x="2796794" y="72533"/>
                                </a:lnTo>
                                <a:lnTo>
                                  <a:pt x="2804830" y="73443"/>
                                </a:lnTo>
                                <a:lnTo>
                                  <a:pt x="2812882" y="72697"/>
                                </a:lnTo>
                                <a:lnTo>
                                  <a:pt x="2814681" y="56795"/>
                                </a:lnTo>
                                <a:lnTo>
                                  <a:pt x="2805012" y="55700"/>
                                </a:lnTo>
                                <a:close/>
                              </a:path>
                              <a:path w="3857625" h="240665">
                                <a:moveTo>
                                  <a:pt x="3138250" y="24824"/>
                                </a:moveTo>
                                <a:lnTo>
                                  <a:pt x="2805012" y="55700"/>
                                </a:lnTo>
                                <a:lnTo>
                                  <a:pt x="2814681" y="56795"/>
                                </a:lnTo>
                                <a:lnTo>
                                  <a:pt x="2812882" y="72697"/>
                                </a:lnTo>
                                <a:lnTo>
                                  <a:pt x="3143638" y="42050"/>
                                </a:lnTo>
                                <a:lnTo>
                                  <a:pt x="3139030" y="42050"/>
                                </a:lnTo>
                                <a:lnTo>
                                  <a:pt x="3138250" y="24824"/>
                                </a:lnTo>
                                <a:close/>
                              </a:path>
                              <a:path w="3857625" h="240665">
                                <a:moveTo>
                                  <a:pt x="2462582" y="16943"/>
                                </a:moveTo>
                                <a:lnTo>
                                  <a:pt x="2464026" y="32897"/>
                                </a:lnTo>
                                <a:lnTo>
                                  <a:pt x="2454340" y="33774"/>
                                </a:lnTo>
                                <a:lnTo>
                                  <a:pt x="2796794" y="72533"/>
                                </a:lnTo>
                                <a:lnTo>
                                  <a:pt x="2795318" y="56598"/>
                                </a:lnTo>
                                <a:lnTo>
                                  <a:pt x="2805012" y="55700"/>
                                </a:lnTo>
                                <a:lnTo>
                                  <a:pt x="2462582" y="16943"/>
                                </a:lnTo>
                                <a:close/>
                              </a:path>
                              <a:path w="3857625" h="240665">
                                <a:moveTo>
                                  <a:pt x="2111022" y="47140"/>
                                </a:moveTo>
                                <a:lnTo>
                                  <a:pt x="2102671" y="47896"/>
                                </a:lnTo>
                                <a:lnTo>
                                  <a:pt x="2094451" y="49571"/>
                                </a:lnTo>
                                <a:lnTo>
                                  <a:pt x="2095959" y="66226"/>
                                </a:lnTo>
                                <a:lnTo>
                                  <a:pt x="2105235" y="65386"/>
                                </a:lnTo>
                                <a:lnTo>
                                  <a:pt x="2114362" y="63526"/>
                                </a:lnTo>
                                <a:lnTo>
                                  <a:pt x="2111022" y="47140"/>
                                </a:lnTo>
                                <a:close/>
                              </a:path>
                              <a:path w="3857625" h="240665">
                                <a:moveTo>
                                  <a:pt x="2105235" y="65386"/>
                                </a:moveTo>
                                <a:lnTo>
                                  <a:pt x="2095959" y="66226"/>
                                </a:lnTo>
                                <a:lnTo>
                                  <a:pt x="2101114" y="66226"/>
                                </a:lnTo>
                                <a:lnTo>
                                  <a:pt x="2105235" y="65386"/>
                                </a:lnTo>
                                <a:close/>
                              </a:path>
                              <a:path w="3857625" h="240665">
                                <a:moveTo>
                                  <a:pt x="2446481" y="16763"/>
                                </a:moveTo>
                                <a:lnTo>
                                  <a:pt x="2111022" y="47140"/>
                                </a:lnTo>
                                <a:lnTo>
                                  <a:pt x="2114362" y="63526"/>
                                </a:lnTo>
                                <a:lnTo>
                                  <a:pt x="2105235" y="65386"/>
                                </a:lnTo>
                                <a:lnTo>
                                  <a:pt x="2454340" y="33774"/>
                                </a:lnTo>
                                <a:lnTo>
                                  <a:pt x="2444679" y="32680"/>
                                </a:lnTo>
                                <a:lnTo>
                                  <a:pt x="2446481" y="16763"/>
                                </a:lnTo>
                                <a:close/>
                              </a:path>
                              <a:path w="3857625" h="240665">
                                <a:moveTo>
                                  <a:pt x="2102671" y="47896"/>
                                </a:moveTo>
                                <a:lnTo>
                                  <a:pt x="2094367" y="48648"/>
                                </a:lnTo>
                                <a:lnTo>
                                  <a:pt x="2094451" y="49571"/>
                                </a:lnTo>
                                <a:lnTo>
                                  <a:pt x="2102671" y="47896"/>
                                </a:lnTo>
                                <a:close/>
                              </a:path>
                              <a:path w="3857625" h="240665">
                                <a:moveTo>
                                  <a:pt x="2110837" y="46232"/>
                                </a:moveTo>
                                <a:lnTo>
                                  <a:pt x="2102671" y="47896"/>
                                </a:lnTo>
                                <a:lnTo>
                                  <a:pt x="2111022" y="47140"/>
                                </a:lnTo>
                                <a:lnTo>
                                  <a:pt x="2110837" y="46232"/>
                                </a:lnTo>
                                <a:close/>
                              </a:path>
                              <a:path w="3857625" h="240665">
                                <a:moveTo>
                                  <a:pt x="3155458" y="23637"/>
                                </a:moveTo>
                                <a:lnTo>
                                  <a:pt x="3146852" y="24027"/>
                                </a:lnTo>
                                <a:lnTo>
                                  <a:pt x="3138250" y="24824"/>
                                </a:lnTo>
                                <a:lnTo>
                                  <a:pt x="3139030" y="42050"/>
                                </a:lnTo>
                                <a:lnTo>
                                  <a:pt x="3148046" y="41642"/>
                                </a:lnTo>
                                <a:lnTo>
                                  <a:pt x="3157049" y="40808"/>
                                </a:lnTo>
                                <a:lnTo>
                                  <a:pt x="3155458" y="23637"/>
                                </a:lnTo>
                                <a:close/>
                              </a:path>
                              <a:path w="3857625" h="240665">
                                <a:moveTo>
                                  <a:pt x="3148046" y="41642"/>
                                </a:moveTo>
                                <a:lnTo>
                                  <a:pt x="3139030" y="42050"/>
                                </a:lnTo>
                                <a:lnTo>
                                  <a:pt x="3143638" y="42050"/>
                                </a:lnTo>
                                <a:lnTo>
                                  <a:pt x="3148046" y="41642"/>
                                </a:lnTo>
                                <a:close/>
                              </a:path>
                              <a:path w="3857625" h="240665">
                                <a:moveTo>
                                  <a:pt x="3488895" y="8534"/>
                                </a:moveTo>
                                <a:lnTo>
                                  <a:pt x="3155458" y="23637"/>
                                </a:lnTo>
                                <a:lnTo>
                                  <a:pt x="3157049" y="40808"/>
                                </a:lnTo>
                                <a:lnTo>
                                  <a:pt x="3148046" y="41642"/>
                                </a:lnTo>
                                <a:lnTo>
                                  <a:pt x="3493747" y="25982"/>
                                </a:lnTo>
                                <a:lnTo>
                                  <a:pt x="3489290" y="25982"/>
                                </a:lnTo>
                                <a:lnTo>
                                  <a:pt x="3488895" y="8534"/>
                                </a:lnTo>
                                <a:close/>
                              </a:path>
                              <a:path w="3857625" h="240665">
                                <a:moveTo>
                                  <a:pt x="2454541" y="16033"/>
                                </a:moveTo>
                                <a:lnTo>
                                  <a:pt x="2446481" y="16763"/>
                                </a:lnTo>
                                <a:lnTo>
                                  <a:pt x="2444679" y="32680"/>
                                </a:lnTo>
                                <a:lnTo>
                                  <a:pt x="2454340" y="33774"/>
                                </a:lnTo>
                                <a:lnTo>
                                  <a:pt x="2464026" y="32897"/>
                                </a:lnTo>
                                <a:lnTo>
                                  <a:pt x="2462582" y="16943"/>
                                </a:lnTo>
                                <a:lnTo>
                                  <a:pt x="2454541" y="16033"/>
                                </a:lnTo>
                                <a:close/>
                              </a:path>
                              <a:path w="3857625" h="240665">
                                <a:moveTo>
                                  <a:pt x="3506339" y="7941"/>
                                </a:moveTo>
                                <a:lnTo>
                                  <a:pt x="3497620" y="8138"/>
                                </a:lnTo>
                                <a:lnTo>
                                  <a:pt x="3488895" y="8534"/>
                                </a:lnTo>
                                <a:lnTo>
                                  <a:pt x="3489290" y="25982"/>
                                </a:lnTo>
                                <a:lnTo>
                                  <a:pt x="3498203" y="25781"/>
                                </a:lnTo>
                                <a:lnTo>
                                  <a:pt x="3507129" y="25376"/>
                                </a:lnTo>
                                <a:lnTo>
                                  <a:pt x="3506339" y="7941"/>
                                </a:lnTo>
                                <a:close/>
                              </a:path>
                              <a:path w="3857625" h="240665">
                                <a:moveTo>
                                  <a:pt x="3498203" y="25781"/>
                                </a:moveTo>
                                <a:lnTo>
                                  <a:pt x="3489290" y="25982"/>
                                </a:lnTo>
                                <a:lnTo>
                                  <a:pt x="3493747" y="25982"/>
                                </a:lnTo>
                                <a:lnTo>
                                  <a:pt x="3498203" y="25781"/>
                                </a:lnTo>
                                <a:close/>
                              </a:path>
                              <a:path w="3857625" h="240665">
                                <a:moveTo>
                                  <a:pt x="3857026" y="0"/>
                                </a:moveTo>
                                <a:lnTo>
                                  <a:pt x="3506339" y="7941"/>
                                </a:lnTo>
                                <a:lnTo>
                                  <a:pt x="3507129" y="25376"/>
                                </a:lnTo>
                                <a:lnTo>
                                  <a:pt x="3498203" y="25781"/>
                                </a:lnTo>
                                <a:lnTo>
                                  <a:pt x="3857426" y="17646"/>
                                </a:lnTo>
                                <a:lnTo>
                                  <a:pt x="3857026" y="0"/>
                                </a:lnTo>
                                <a:close/>
                              </a:path>
                              <a:path w="3857625" h="240665">
                                <a:moveTo>
                                  <a:pt x="3146852" y="24027"/>
                                </a:moveTo>
                                <a:lnTo>
                                  <a:pt x="3138232" y="24417"/>
                                </a:lnTo>
                                <a:lnTo>
                                  <a:pt x="3138250" y="24824"/>
                                </a:lnTo>
                                <a:lnTo>
                                  <a:pt x="3146852" y="24027"/>
                                </a:lnTo>
                                <a:close/>
                              </a:path>
                              <a:path w="3857625" h="240665">
                                <a:moveTo>
                                  <a:pt x="3155421" y="23233"/>
                                </a:moveTo>
                                <a:lnTo>
                                  <a:pt x="3146852" y="24027"/>
                                </a:lnTo>
                                <a:lnTo>
                                  <a:pt x="3155458" y="23637"/>
                                </a:lnTo>
                                <a:lnTo>
                                  <a:pt x="3155421" y="23233"/>
                                </a:lnTo>
                                <a:close/>
                              </a:path>
                              <a:path w="3857625" h="240665">
                                <a:moveTo>
                                  <a:pt x="2462435" y="15318"/>
                                </a:moveTo>
                                <a:lnTo>
                                  <a:pt x="2454541" y="16033"/>
                                </a:lnTo>
                                <a:lnTo>
                                  <a:pt x="2462582" y="16943"/>
                                </a:lnTo>
                                <a:lnTo>
                                  <a:pt x="2462435" y="15318"/>
                                </a:lnTo>
                                <a:close/>
                              </a:path>
                              <a:path w="3857625" h="240665">
                                <a:moveTo>
                                  <a:pt x="2446664" y="15141"/>
                                </a:moveTo>
                                <a:lnTo>
                                  <a:pt x="2446481" y="16763"/>
                                </a:lnTo>
                                <a:lnTo>
                                  <a:pt x="2454541" y="16033"/>
                                </a:lnTo>
                                <a:lnTo>
                                  <a:pt x="2446664" y="15141"/>
                                </a:lnTo>
                                <a:close/>
                              </a:path>
                              <a:path w="3857625" h="240665">
                                <a:moveTo>
                                  <a:pt x="3497620" y="8138"/>
                                </a:moveTo>
                                <a:lnTo>
                                  <a:pt x="3488890" y="8336"/>
                                </a:lnTo>
                                <a:lnTo>
                                  <a:pt x="3488895" y="8534"/>
                                </a:lnTo>
                                <a:lnTo>
                                  <a:pt x="3497620" y="8138"/>
                                </a:lnTo>
                                <a:close/>
                              </a:path>
                              <a:path w="3857625" h="240665">
                                <a:moveTo>
                                  <a:pt x="3506330" y="7744"/>
                                </a:moveTo>
                                <a:lnTo>
                                  <a:pt x="3497620" y="8138"/>
                                </a:lnTo>
                                <a:lnTo>
                                  <a:pt x="3506339" y="7941"/>
                                </a:lnTo>
                                <a:lnTo>
                                  <a:pt x="3506330" y="7744"/>
                                </a:lnTo>
                                <a:close/>
                              </a:path>
                            </a:pathLst>
                          </a:custGeom>
                          <a:solidFill>
                            <a:srgbClr val="E3C626"/>
                          </a:solidFill>
                        </wps:spPr>
                        <wps:bodyPr wrap="square" lIns="0" tIns="0" rIns="0" bIns="0" rtlCol="0">
                          <a:prstTxWarp prst="textNoShape">
                            <a:avLst/>
                          </a:prstTxWarp>
                          <a:noAutofit/>
                        </wps:bodyPr>
                      </wps:wsp>
                      <wps:wsp>
                        <wps:cNvPr id="1433" name="Graphic 1433"/>
                        <wps:cNvSpPr/>
                        <wps:spPr>
                          <a:xfrm>
                            <a:off x="193290" y="1430635"/>
                            <a:ext cx="3857625" cy="105410"/>
                          </a:xfrm>
                          <a:custGeom>
                            <a:avLst/>
                            <a:gdLst/>
                            <a:ahLst/>
                            <a:cxnLst/>
                            <a:rect l="l" t="t" r="r" b="b"/>
                            <a:pathLst>
                              <a:path w="3857625" h="105410">
                                <a:moveTo>
                                  <a:pt x="350484" y="79763"/>
                                </a:moveTo>
                                <a:lnTo>
                                  <a:pt x="0" y="87706"/>
                                </a:lnTo>
                                <a:lnTo>
                                  <a:pt x="399" y="105351"/>
                                </a:lnTo>
                                <a:lnTo>
                                  <a:pt x="350882" y="97409"/>
                                </a:lnTo>
                                <a:lnTo>
                                  <a:pt x="350484" y="79763"/>
                                </a:lnTo>
                                <a:close/>
                              </a:path>
                              <a:path w="3857625" h="105410">
                                <a:moveTo>
                                  <a:pt x="701160" y="79364"/>
                                </a:moveTo>
                                <a:lnTo>
                                  <a:pt x="368130" y="79364"/>
                                </a:lnTo>
                                <a:lnTo>
                                  <a:pt x="368530" y="97009"/>
                                </a:lnTo>
                                <a:lnTo>
                                  <a:pt x="350884" y="97409"/>
                                </a:lnTo>
                                <a:lnTo>
                                  <a:pt x="710075" y="89274"/>
                                </a:lnTo>
                                <a:lnTo>
                                  <a:pt x="701160" y="89274"/>
                                </a:lnTo>
                                <a:lnTo>
                                  <a:pt x="701160" y="79364"/>
                                </a:lnTo>
                                <a:close/>
                              </a:path>
                              <a:path w="3857625" h="105410">
                                <a:moveTo>
                                  <a:pt x="368130" y="79364"/>
                                </a:moveTo>
                                <a:lnTo>
                                  <a:pt x="350510" y="79763"/>
                                </a:lnTo>
                                <a:lnTo>
                                  <a:pt x="350529" y="81731"/>
                                </a:lnTo>
                                <a:lnTo>
                                  <a:pt x="350884" y="97409"/>
                                </a:lnTo>
                                <a:lnTo>
                                  <a:pt x="368530" y="97009"/>
                                </a:lnTo>
                                <a:lnTo>
                                  <a:pt x="368130" y="79364"/>
                                </a:lnTo>
                                <a:close/>
                              </a:path>
                              <a:path w="3857625" h="105410">
                                <a:moveTo>
                                  <a:pt x="1402674" y="63695"/>
                                </a:moveTo>
                                <a:lnTo>
                                  <a:pt x="1043484" y="71825"/>
                                </a:lnTo>
                                <a:lnTo>
                                  <a:pt x="1043883" y="89472"/>
                                </a:lnTo>
                                <a:lnTo>
                                  <a:pt x="1061332" y="89077"/>
                                </a:lnTo>
                                <a:lnTo>
                                  <a:pt x="1061332" y="71624"/>
                                </a:lnTo>
                                <a:lnTo>
                                  <a:pt x="1394109" y="71624"/>
                                </a:lnTo>
                                <a:lnTo>
                                  <a:pt x="1393769" y="64099"/>
                                </a:lnTo>
                                <a:lnTo>
                                  <a:pt x="1402674" y="63695"/>
                                </a:lnTo>
                                <a:close/>
                              </a:path>
                              <a:path w="3857625" h="105410">
                                <a:moveTo>
                                  <a:pt x="718608" y="71426"/>
                                </a:moveTo>
                                <a:lnTo>
                                  <a:pt x="701160" y="71821"/>
                                </a:lnTo>
                                <a:lnTo>
                                  <a:pt x="701160" y="89274"/>
                                </a:lnTo>
                                <a:lnTo>
                                  <a:pt x="710075" y="89274"/>
                                </a:lnTo>
                                <a:lnTo>
                                  <a:pt x="719008" y="89072"/>
                                </a:lnTo>
                                <a:lnTo>
                                  <a:pt x="718608" y="71426"/>
                                </a:lnTo>
                                <a:close/>
                              </a:path>
                              <a:path w="3857625" h="105410">
                                <a:moveTo>
                                  <a:pt x="1052388" y="71624"/>
                                </a:moveTo>
                                <a:lnTo>
                                  <a:pt x="718612" y="71624"/>
                                </a:lnTo>
                                <a:lnTo>
                                  <a:pt x="719008" y="89072"/>
                                </a:lnTo>
                                <a:lnTo>
                                  <a:pt x="710075" y="89274"/>
                                </a:lnTo>
                                <a:lnTo>
                                  <a:pt x="1043879" y="89274"/>
                                </a:lnTo>
                                <a:lnTo>
                                  <a:pt x="1043484" y="71825"/>
                                </a:lnTo>
                                <a:lnTo>
                                  <a:pt x="1052388" y="71624"/>
                                </a:lnTo>
                                <a:close/>
                              </a:path>
                              <a:path w="3857625" h="105410">
                                <a:moveTo>
                                  <a:pt x="1061332" y="89077"/>
                                </a:moveTo>
                                <a:lnTo>
                                  <a:pt x="1052613" y="89274"/>
                                </a:lnTo>
                                <a:lnTo>
                                  <a:pt x="1061332" y="89274"/>
                                </a:lnTo>
                                <a:lnTo>
                                  <a:pt x="1061332" y="89077"/>
                                </a:lnTo>
                                <a:close/>
                              </a:path>
                              <a:path w="3857625" h="105410">
                                <a:moveTo>
                                  <a:pt x="1394109" y="71624"/>
                                </a:moveTo>
                                <a:lnTo>
                                  <a:pt x="1061332" y="71624"/>
                                </a:lnTo>
                                <a:lnTo>
                                  <a:pt x="1061332" y="89077"/>
                                </a:lnTo>
                                <a:lnTo>
                                  <a:pt x="1394558" y="81534"/>
                                </a:lnTo>
                                <a:lnTo>
                                  <a:pt x="1394109" y="71624"/>
                                </a:lnTo>
                                <a:close/>
                              </a:path>
                              <a:path w="3857625" h="105410">
                                <a:moveTo>
                                  <a:pt x="1403287" y="81336"/>
                                </a:moveTo>
                                <a:lnTo>
                                  <a:pt x="1394558" y="81534"/>
                                </a:lnTo>
                                <a:lnTo>
                                  <a:pt x="1394567" y="81731"/>
                                </a:lnTo>
                                <a:lnTo>
                                  <a:pt x="1403287" y="81336"/>
                                </a:lnTo>
                                <a:close/>
                              </a:path>
                              <a:path w="3857625" h="105410">
                                <a:moveTo>
                                  <a:pt x="1411608" y="63493"/>
                                </a:moveTo>
                                <a:lnTo>
                                  <a:pt x="1402674" y="63695"/>
                                </a:lnTo>
                                <a:lnTo>
                                  <a:pt x="1393769" y="64099"/>
                                </a:lnTo>
                                <a:lnTo>
                                  <a:pt x="1394558" y="81534"/>
                                </a:lnTo>
                                <a:lnTo>
                                  <a:pt x="1403287" y="81336"/>
                                </a:lnTo>
                                <a:lnTo>
                                  <a:pt x="1412003" y="80941"/>
                                </a:lnTo>
                                <a:lnTo>
                                  <a:pt x="1411608" y="63493"/>
                                </a:lnTo>
                                <a:close/>
                              </a:path>
                              <a:path w="3857625" h="105410">
                                <a:moveTo>
                                  <a:pt x="1412003" y="80941"/>
                                </a:moveTo>
                                <a:lnTo>
                                  <a:pt x="1403287" y="81336"/>
                                </a:lnTo>
                                <a:lnTo>
                                  <a:pt x="1412007" y="81139"/>
                                </a:lnTo>
                                <a:lnTo>
                                  <a:pt x="1412003" y="80941"/>
                                </a:lnTo>
                                <a:close/>
                              </a:path>
                              <a:path w="3857625" h="105410">
                                <a:moveTo>
                                  <a:pt x="1744950" y="63493"/>
                                </a:moveTo>
                                <a:lnTo>
                                  <a:pt x="1411608" y="63493"/>
                                </a:lnTo>
                                <a:lnTo>
                                  <a:pt x="1412003" y="80941"/>
                                </a:lnTo>
                                <a:lnTo>
                                  <a:pt x="1745040" y="65863"/>
                                </a:lnTo>
                                <a:lnTo>
                                  <a:pt x="1744950" y="63493"/>
                                </a:lnTo>
                                <a:close/>
                              </a:path>
                              <a:path w="3857625" h="105410">
                                <a:moveTo>
                                  <a:pt x="701160" y="71821"/>
                                </a:moveTo>
                                <a:lnTo>
                                  <a:pt x="350484" y="79763"/>
                                </a:lnTo>
                                <a:lnTo>
                                  <a:pt x="368130" y="79364"/>
                                </a:lnTo>
                                <a:lnTo>
                                  <a:pt x="701160" y="79364"/>
                                </a:lnTo>
                                <a:lnTo>
                                  <a:pt x="701160" y="71821"/>
                                </a:lnTo>
                                <a:close/>
                              </a:path>
                              <a:path w="3857625" h="105410">
                                <a:moveTo>
                                  <a:pt x="709876" y="71624"/>
                                </a:moveTo>
                                <a:lnTo>
                                  <a:pt x="701160" y="71624"/>
                                </a:lnTo>
                                <a:lnTo>
                                  <a:pt x="701160" y="71821"/>
                                </a:lnTo>
                                <a:lnTo>
                                  <a:pt x="709876" y="71624"/>
                                </a:lnTo>
                                <a:close/>
                              </a:path>
                              <a:path w="3857625" h="105410">
                                <a:moveTo>
                                  <a:pt x="1761891" y="47431"/>
                                </a:moveTo>
                                <a:lnTo>
                                  <a:pt x="1744258" y="48231"/>
                                </a:lnTo>
                                <a:lnTo>
                                  <a:pt x="1745057" y="65862"/>
                                </a:lnTo>
                                <a:lnTo>
                                  <a:pt x="1762687" y="65064"/>
                                </a:lnTo>
                                <a:lnTo>
                                  <a:pt x="1761891" y="47431"/>
                                </a:lnTo>
                                <a:close/>
                              </a:path>
                              <a:path w="3857625" h="105410">
                                <a:moveTo>
                                  <a:pt x="1762689" y="65064"/>
                                </a:moveTo>
                                <a:lnTo>
                                  <a:pt x="1761131" y="65134"/>
                                </a:lnTo>
                                <a:lnTo>
                                  <a:pt x="1762689" y="65064"/>
                                </a:lnTo>
                                <a:close/>
                              </a:path>
                              <a:path w="3857625" h="105410">
                                <a:moveTo>
                                  <a:pt x="2095127" y="47431"/>
                                </a:moveTo>
                                <a:lnTo>
                                  <a:pt x="1761891" y="47431"/>
                                </a:lnTo>
                                <a:lnTo>
                                  <a:pt x="1762689" y="65064"/>
                                </a:lnTo>
                                <a:lnTo>
                                  <a:pt x="2104154" y="49586"/>
                                </a:lnTo>
                                <a:lnTo>
                                  <a:pt x="2095127" y="49586"/>
                                </a:lnTo>
                                <a:lnTo>
                                  <a:pt x="2095127" y="47431"/>
                                </a:lnTo>
                                <a:close/>
                              </a:path>
                              <a:path w="3857625" h="105410">
                                <a:moveTo>
                                  <a:pt x="1761272" y="47459"/>
                                </a:moveTo>
                                <a:lnTo>
                                  <a:pt x="1402674" y="63695"/>
                                </a:lnTo>
                                <a:lnTo>
                                  <a:pt x="1411608" y="63493"/>
                                </a:lnTo>
                                <a:lnTo>
                                  <a:pt x="1744950" y="63493"/>
                                </a:lnTo>
                                <a:lnTo>
                                  <a:pt x="1744258" y="48231"/>
                                </a:lnTo>
                                <a:lnTo>
                                  <a:pt x="1761272" y="47459"/>
                                </a:lnTo>
                                <a:close/>
                              </a:path>
                              <a:path w="3857625" h="105410">
                                <a:moveTo>
                                  <a:pt x="3147149" y="24014"/>
                                </a:moveTo>
                                <a:lnTo>
                                  <a:pt x="2795892" y="32142"/>
                                </a:lnTo>
                                <a:lnTo>
                                  <a:pt x="2796300" y="49789"/>
                                </a:lnTo>
                                <a:lnTo>
                                  <a:pt x="2813745" y="49385"/>
                                </a:lnTo>
                                <a:lnTo>
                                  <a:pt x="2813745" y="31936"/>
                                </a:lnTo>
                                <a:lnTo>
                                  <a:pt x="3138572" y="31936"/>
                                </a:lnTo>
                                <a:lnTo>
                                  <a:pt x="3138232" y="24417"/>
                                </a:lnTo>
                                <a:lnTo>
                                  <a:pt x="3147149" y="24014"/>
                                </a:lnTo>
                                <a:close/>
                              </a:path>
                              <a:path w="3857625" h="105410">
                                <a:moveTo>
                                  <a:pt x="2112369" y="31546"/>
                                </a:moveTo>
                                <a:lnTo>
                                  <a:pt x="2095127" y="32327"/>
                                </a:lnTo>
                                <a:lnTo>
                                  <a:pt x="2095127" y="49586"/>
                                </a:lnTo>
                                <a:lnTo>
                                  <a:pt x="2104154" y="49586"/>
                                </a:lnTo>
                                <a:lnTo>
                                  <a:pt x="2113168" y="49178"/>
                                </a:lnTo>
                                <a:lnTo>
                                  <a:pt x="2112369" y="31546"/>
                                </a:lnTo>
                                <a:close/>
                              </a:path>
                              <a:path w="3857625" h="105410">
                                <a:moveTo>
                                  <a:pt x="2445616" y="31936"/>
                                </a:moveTo>
                                <a:lnTo>
                                  <a:pt x="2112387" y="31936"/>
                                </a:lnTo>
                                <a:lnTo>
                                  <a:pt x="2113168" y="49178"/>
                                </a:lnTo>
                                <a:lnTo>
                                  <a:pt x="2104154" y="49586"/>
                                </a:lnTo>
                                <a:lnTo>
                                  <a:pt x="2445616" y="49586"/>
                                </a:lnTo>
                                <a:lnTo>
                                  <a:pt x="2445616" y="31936"/>
                                </a:lnTo>
                                <a:close/>
                              </a:path>
                              <a:path w="3857625" h="105410">
                                <a:moveTo>
                                  <a:pt x="2463267" y="31936"/>
                                </a:moveTo>
                                <a:lnTo>
                                  <a:pt x="2445616" y="31936"/>
                                </a:lnTo>
                                <a:lnTo>
                                  <a:pt x="2445616" y="49586"/>
                                </a:lnTo>
                                <a:lnTo>
                                  <a:pt x="2463267" y="49586"/>
                                </a:lnTo>
                                <a:lnTo>
                                  <a:pt x="2463267" y="31936"/>
                                </a:lnTo>
                                <a:close/>
                              </a:path>
                              <a:path w="3857625" h="105410">
                                <a:moveTo>
                                  <a:pt x="2804799" y="31936"/>
                                </a:moveTo>
                                <a:lnTo>
                                  <a:pt x="2463267" y="31936"/>
                                </a:lnTo>
                                <a:lnTo>
                                  <a:pt x="2463267" y="49586"/>
                                </a:lnTo>
                                <a:lnTo>
                                  <a:pt x="2796296" y="49586"/>
                                </a:lnTo>
                                <a:lnTo>
                                  <a:pt x="2795892" y="32142"/>
                                </a:lnTo>
                                <a:lnTo>
                                  <a:pt x="2804799" y="31936"/>
                                </a:lnTo>
                                <a:close/>
                              </a:path>
                              <a:path w="3857625" h="105410">
                                <a:moveTo>
                                  <a:pt x="2813745" y="49385"/>
                                </a:moveTo>
                                <a:lnTo>
                                  <a:pt x="2805043" y="49586"/>
                                </a:lnTo>
                                <a:lnTo>
                                  <a:pt x="2813745" y="49586"/>
                                </a:lnTo>
                                <a:lnTo>
                                  <a:pt x="2813745" y="49385"/>
                                </a:lnTo>
                                <a:close/>
                              </a:path>
                              <a:path w="3857625" h="105410">
                                <a:moveTo>
                                  <a:pt x="3138572" y="31936"/>
                                </a:moveTo>
                                <a:lnTo>
                                  <a:pt x="2813745" y="31936"/>
                                </a:lnTo>
                                <a:lnTo>
                                  <a:pt x="2813745" y="49385"/>
                                </a:lnTo>
                                <a:lnTo>
                                  <a:pt x="3139021" y="41857"/>
                                </a:lnTo>
                                <a:lnTo>
                                  <a:pt x="3138572" y="31936"/>
                                </a:lnTo>
                                <a:close/>
                              </a:path>
                              <a:path w="3857625" h="105410">
                                <a:moveTo>
                                  <a:pt x="2095127" y="32327"/>
                                </a:moveTo>
                                <a:lnTo>
                                  <a:pt x="1761272" y="47459"/>
                                </a:lnTo>
                                <a:lnTo>
                                  <a:pt x="1761891" y="47431"/>
                                </a:lnTo>
                                <a:lnTo>
                                  <a:pt x="2095127" y="47431"/>
                                </a:lnTo>
                                <a:lnTo>
                                  <a:pt x="2095127" y="32327"/>
                                </a:lnTo>
                                <a:close/>
                              </a:path>
                              <a:path w="3857625" h="105410">
                                <a:moveTo>
                                  <a:pt x="3147717" y="41656"/>
                                </a:moveTo>
                                <a:lnTo>
                                  <a:pt x="3139021" y="41857"/>
                                </a:lnTo>
                                <a:lnTo>
                                  <a:pt x="3139030" y="42050"/>
                                </a:lnTo>
                                <a:lnTo>
                                  <a:pt x="3147717" y="41656"/>
                                </a:lnTo>
                                <a:close/>
                              </a:path>
                              <a:path w="3857625" h="105410">
                                <a:moveTo>
                                  <a:pt x="3156066" y="23807"/>
                                </a:moveTo>
                                <a:lnTo>
                                  <a:pt x="3147149" y="24014"/>
                                </a:lnTo>
                                <a:lnTo>
                                  <a:pt x="3138232" y="24417"/>
                                </a:lnTo>
                                <a:lnTo>
                                  <a:pt x="3139021" y="41857"/>
                                </a:lnTo>
                                <a:lnTo>
                                  <a:pt x="3147717" y="41656"/>
                                </a:lnTo>
                                <a:lnTo>
                                  <a:pt x="3156470" y="41260"/>
                                </a:lnTo>
                                <a:lnTo>
                                  <a:pt x="3156066" y="23807"/>
                                </a:lnTo>
                                <a:close/>
                              </a:path>
                              <a:path w="3857625" h="105410">
                                <a:moveTo>
                                  <a:pt x="3156470" y="41260"/>
                                </a:moveTo>
                                <a:lnTo>
                                  <a:pt x="3147717" y="41656"/>
                                </a:lnTo>
                                <a:lnTo>
                                  <a:pt x="3156474" y="41454"/>
                                </a:lnTo>
                                <a:lnTo>
                                  <a:pt x="3156470" y="41260"/>
                                </a:lnTo>
                                <a:close/>
                              </a:path>
                              <a:path w="3857625" h="105410">
                                <a:moveTo>
                                  <a:pt x="3489240" y="23807"/>
                                </a:moveTo>
                                <a:lnTo>
                                  <a:pt x="3156066" y="23807"/>
                                </a:lnTo>
                                <a:lnTo>
                                  <a:pt x="3156470" y="41260"/>
                                </a:lnTo>
                                <a:lnTo>
                                  <a:pt x="3493741" y="25989"/>
                                </a:lnTo>
                                <a:lnTo>
                                  <a:pt x="3489290" y="25989"/>
                                </a:lnTo>
                                <a:lnTo>
                                  <a:pt x="3489240" y="23807"/>
                                </a:lnTo>
                                <a:close/>
                              </a:path>
                              <a:path w="3857625" h="105410">
                                <a:moveTo>
                                  <a:pt x="2103748" y="31936"/>
                                </a:moveTo>
                                <a:lnTo>
                                  <a:pt x="2095127" y="31936"/>
                                </a:lnTo>
                                <a:lnTo>
                                  <a:pt x="2095127" y="32327"/>
                                </a:lnTo>
                                <a:lnTo>
                                  <a:pt x="2103748" y="31936"/>
                                </a:lnTo>
                                <a:close/>
                              </a:path>
                              <a:path w="3857625" h="105410">
                                <a:moveTo>
                                  <a:pt x="3506339" y="7948"/>
                                </a:moveTo>
                                <a:lnTo>
                                  <a:pt x="3497588" y="8146"/>
                                </a:lnTo>
                                <a:lnTo>
                                  <a:pt x="3488894" y="8540"/>
                                </a:lnTo>
                                <a:lnTo>
                                  <a:pt x="3489290" y="25989"/>
                                </a:lnTo>
                                <a:lnTo>
                                  <a:pt x="3498202" y="25787"/>
                                </a:lnTo>
                                <a:lnTo>
                                  <a:pt x="3507128" y="25382"/>
                                </a:lnTo>
                                <a:lnTo>
                                  <a:pt x="3506339" y="7948"/>
                                </a:lnTo>
                                <a:close/>
                              </a:path>
                              <a:path w="3857625" h="105410">
                                <a:moveTo>
                                  <a:pt x="3498202" y="25787"/>
                                </a:moveTo>
                                <a:lnTo>
                                  <a:pt x="3489290" y="25989"/>
                                </a:lnTo>
                                <a:lnTo>
                                  <a:pt x="3493741" y="25989"/>
                                </a:lnTo>
                                <a:lnTo>
                                  <a:pt x="3498202" y="25787"/>
                                </a:lnTo>
                                <a:close/>
                              </a:path>
                              <a:path w="3857625" h="105410">
                                <a:moveTo>
                                  <a:pt x="3857026" y="0"/>
                                </a:moveTo>
                                <a:lnTo>
                                  <a:pt x="3506339" y="7948"/>
                                </a:lnTo>
                                <a:lnTo>
                                  <a:pt x="3507128" y="25382"/>
                                </a:lnTo>
                                <a:lnTo>
                                  <a:pt x="3498202" y="25787"/>
                                </a:lnTo>
                                <a:lnTo>
                                  <a:pt x="3857426" y="17645"/>
                                </a:lnTo>
                                <a:lnTo>
                                  <a:pt x="3857026" y="0"/>
                                </a:lnTo>
                                <a:close/>
                              </a:path>
                              <a:path w="3857625" h="105410">
                                <a:moveTo>
                                  <a:pt x="3488894" y="8540"/>
                                </a:moveTo>
                                <a:lnTo>
                                  <a:pt x="3147149" y="24014"/>
                                </a:lnTo>
                                <a:lnTo>
                                  <a:pt x="3156066" y="23807"/>
                                </a:lnTo>
                                <a:lnTo>
                                  <a:pt x="3489240" y="23807"/>
                                </a:lnTo>
                                <a:lnTo>
                                  <a:pt x="3488894" y="8540"/>
                                </a:lnTo>
                                <a:close/>
                              </a:path>
                              <a:path w="3857625" h="105410">
                                <a:moveTo>
                                  <a:pt x="3497588" y="8146"/>
                                </a:moveTo>
                                <a:lnTo>
                                  <a:pt x="3488890" y="8343"/>
                                </a:lnTo>
                                <a:lnTo>
                                  <a:pt x="3488894" y="8540"/>
                                </a:lnTo>
                                <a:lnTo>
                                  <a:pt x="3497588" y="8146"/>
                                </a:lnTo>
                                <a:close/>
                              </a:path>
                              <a:path w="3857625" h="105410">
                                <a:moveTo>
                                  <a:pt x="3506330" y="7750"/>
                                </a:moveTo>
                                <a:lnTo>
                                  <a:pt x="3497588" y="8146"/>
                                </a:lnTo>
                                <a:lnTo>
                                  <a:pt x="3506339" y="7948"/>
                                </a:lnTo>
                                <a:lnTo>
                                  <a:pt x="3506330" y="7750"/>
                                </a:lnTo>
                                <a:close/>
                              </a:path>
                            </a:pathLst>
                          </a:custGeom>
                          <a:solidFill>
                            <a:srgbClr val="9CBF3B"/>
                          </a:solidFill>
                        </wps:spPr>
                        <wps:bodyPr wrap="square" lIns="0" tIns="0" rIns="0" bIns="0" rtlCol="0">
                          <a:prstTxWarp prst="textNoShape">
                            <a:avLst/>
                          </a:prstTxWarp>
                          <a:noAutofit/>
                        </wps:bodyPr>
                      </wps:wsp>
                      <pic:pic>
                        <pic:nvPicPr>
                          <pic:cNvPr id="1434" name="Image 1434"/>
                          <pic:cNvPicPr/>
                        </pic:nvPicPr>
                        <pic:blipFill>
                          <a:blip r:embed="rId653" cstate="print"/>
                          <a:stretch>
                            <a:fillRect/>
                          </a:stretch>
                        </pic:blipFill>
                        <pic:spPr>
                          <a:xfrm>
                            <a:off x="156231" y="1139792"/>
                            <a:ext cx="92158" cy="91815"/>
                          </a:xfrm>
                          <a:prstGeom prst="rect">
                            <a:avLst/>
                          </a:prstGeom>
                        </pic:spPr>
                      </pic:pic>
                      <pic:pic>
                        <pic:nvPicPr>
                          <pic:cNvPr id="1435" name="Image 1435"/>
                          <pic:cNvPicPr/>
                        </pic:nvPicPr>
                        <pic:blipFill>
                          <a:blip r:embed="rId654" cstate="print"/>
                          <a:stretch>
                            <a:fillRect/>
                          </a:stretch>
                        </pic:blipFill>
                        <pic:spPr>
                          <a:xfrm>
                            <a:off x="506709" y="1076297"/>
                            <a:ext cx="92163" cy="91826"/>
                          </a:xfrm>
                          <a:prstGeom prst="rect">
                            <a:avLst/>
                          </a:prstGeom>
                        </pic:spPr>
                      </pic:pic>
                      <pic:pic>
                        <pic:nvPicPr>
                          <pic:cNvPr id="1436" name="Image 1436"/>
                          <pic:cNvPicPr/>
                        </pic:nvPicPr>
                        <pic:blipFill>
                          <a:blip r:embed="rId655" cstate="print"/>
                          <a:stretch>
                            <a:fillRect/>
                          </a:stretch>
                        </pic:blipFill>
                        <pic:spPr>
                          <a:xfrm>
                            <a:off x="857200" y="988991"/>
                            <a:ext cx="92164" cy="91826"/>
                          </a:xfrm>
                          <a:prstGeom prst="rect">
                            <a:avLst/>
                          </a:prstGeom>
                        </pic:spPr>
                      </pic:pic>
                      <pic:pic>
                        <pic:nvPicPr>
                          <pic:cNvPr id="1437" name="Image 1437"/>
                          <pic:cNvPicPr/>
                        </pic:nvPicPr>
                        <pic:blipFill>
                          <a:blip r:embed="rId656" cstate="print"/>
                          <a:stretch>
                            <a:fillRect/>
                          </a:stretch>
                        </pic:blipFill>
                        <pic:spPr>
                          <a:xfrm>
                            <a:off x="1199714" y="893760"/>
                            <a:ext cx="92158" cy="91819"/>
                          </a:xfrm>
                          <a:prstGeom prst="rect">
                            <a:avLst/>
                          </a:prstGeom>
                        </pic:spPr>
                      </pic:pic>
                      <pic:pic>
                        <pic:nvPicPr>
                          <pic:cNvPr id="1438" name="Image 1438"/>
                          <pic:cNvPicPr/>
                        </pic:nvPicPr>
                        <pic:blipFill>
                          <a:blip r:embed="rId657" cstate="print"/>
                          <a:stretch>
                            <a:fillRect/>
                          </a:stretch>
                        </pic:blipFill>
                        <pic:spPr>
                          <a:xfrm>
                            <a:off x="1550199" y="806461"/>
                            <a:ext cx="92165" cy="91819"/>
                          </a:xfrm>
                          <a:prstGeom prst="rect">
                            <a:avLst/>
                          </a:prstGeom>
                        </pic:spPr>
                      </pic:pic>
                      <pic:pic>
                        <pic:nvPicPr>
                          <pic:cNvPr id="1439" name="Image 1439"/>
                          <pic:cNvPicPr/>
                        </pic:nvPicPr>
                        <pic:blipFill>
                          <a:blip r:embed="rId658" cstate="print"/>
                          <a:stretch>
                            <a:fillRect/>
                          </a:stretch>
                        </pic:blipFill>
                        <pic:spPr>
                          <a:xfrm>
                            <a:off x="1900690" y="639791"/>
                            <a:ext cx="92150" cy="91820"/>
                          </a:xfrm>
                          <a:prstGeom prst="rect">
                            <a:avLst/>
                          </a:prstGeom>
                        </pic:spPr>
                      </pic:pic>
                      <pic:pic>
                        <pic:nvPicPr>
                          <pic:cNvPr id="1440" name="Image 1440"/>
                          <pic:cNvPicPr/>
                        </pic:nvPicPr>
                        <pic:blipFill>
                          <a:blip r:embed="rId659" cstate="print"/>
                          <a:stretch>
                            <a:fillRect/>
                          </a:stretch>
                        </pic:blipFill>
                        <pic:spPr>
                          <a:xfrm>
                            <a:off x="2251168" y="544552"/>
                            <a:ext cx="92150" cy="91827"/>
                          </a:xfrm>
                          <a:prstGeom prst="rect">
                            <a:avLst/>
                          </a:prstGeom>
                        </pic:spPr>
                      </pic:pic>
                      <pic:pic>
                        <pic:nvPicPr>
                          <pic:cNvPr id="1441" name="Image 1441"/>
                          <pic:cNvPicPr/>
                        </pic:nvPicPr>
                        <pic:blipFill>
                          <a:blip r:embed="rId660" cstate="print"/>
                          <a:stretch>
                            <a:fillRect/>
                          </a:stretch>
                        </pic:blipFill>
                        <pic:spPr>
                          <a:xfrm>
                            <a:off x="2601644" y="481066"/>
                            <a:ext cx="92165" cy="91825"/>
                          </a:xfrm>
                          <a:prstGeom prst="rect">
                            <a:avLst/>
                          </a:prstGeom>
                        </pic:spPr>
                      </pic:pic>
                      <pic:pic>
                        <pic:nvPicPr>
                          <pic:cNvPr id="1442" name="Image 1442"/>
                          <pic:cNvPicPr/>
                        </pic:nvPicPr>
                        <pic:blipFill>
                          <a:blip r:embed="rId661" cstate="print"/>
                          <a:stretch>
                            <a:fillRect/>
                          </a:stretch>
                        </pic:blipFill>
                        <pic:spPr>
                          <a:xfrm>
                            <a:off x="2952136" y="385834"/>
                            <a:ext cx="92151" cy="91821"/>
                          </a:xfrm>
                          <a:prstGeom prst="rect">
                            <a:avLst/>
                          </a:prstGeom>
                        </pic:spPr>
                      </pic:pic>
                      <pic:pic>
                        <pic:nvPicPr>
                          <pic:cNvPr id="1443" name="Image 1443"/>
                          <pic:cNvPicPr/>
                        </pic:nvPicPr>
                        <pic:blipFill>
                          <a:blip r:embed="rId662" cstate="print"/>
                          <a:stretch>
                            <a:fillRect/>
                          </a:stretch>
                        </pic:blipFill>
                        <pic:spPr>
                          <a:xfrm>
                            <a:off x="3294664" y="354084"/>
                            <a:ext cx="92151" cy="91826"/>
                          </a:xfrm>
                          <a:prstGeom prst="rect">
                            <a:avLst/>
                          </a:prstGeom>
                        </pic:spPr>
                      </pic:pic>
                      <pic:pic>
                        <pic:nvPicPr>
                          <pic:cNvPr id="1444" name="Image 1444"/>
                          <pic:cNvPicPr/>
                        </pic:nvPicPr>
                        <pic:blipFill>
                          <a:blip r:embed="rId660" cstate="print"/>
                          <a:stretch>
                            <a:fillRect/>
                          </a:stretch>
                        </pic:blipFill>
                        <pic:spPr>
                          <a:xfrm>
                            <a:off x="3645129" y="187428"/>
                            <a:ext cx="92151" cy="91819"/>
                          </a:xfrm>
                          <a:prstGeom prst="rect">
                            <a:avLst/>
                          </a:prstGeom>
                        </pic:spPr>
                      </pic:pic>
                      <pic:pic>
                        <pic:nvPicPr>
                          <pic:cNvPr id="1445" name="Image 1445"/>
                          <pic:cNvPicPr/>
                        </pic:nvPicPr>
                        <pic:blipFill>
                          <a:blip r:embed="rId660" cstate="print"/>
                          <a:stretch>
                            <a:fillRect/>
                          </a:stretch>
                        </pic:blipFill>
                        <pic:spPr>
                          <a:xfrm>
                            <a:off x="3995618" y="108059"/>
                            <a:ext cx="92151" cy="91827"/>
                          </a:xfrm>
                          <a:prstGeom prst="rect">
                            <a:avLst/>
                          </a:prstGeom>
                        </pic:spPr>
                      </pic:pic>
                      <wps:wsp>
                        <wps:cNvPr id="1446" name="Graphic 1446"/>
                        <wps:cNvSpPr/>
                        <wps:spPr>
                          <a:xfrm>
                            <a:off x="173995" y="665425"/>
                            <a:ext cx="3888104" cy="643890"/>
                          </a:xfrm>
                          <a:custGeom>
                            <a:avLst/>
                            <a:gdLst/>
                            <a:ahLst/>
                            <a:cxnLst/>
                            <a:rect l="l" t="t" r="r" b="b"/>
                            <a:pathLst>
                              <a:path w="3888104" h="643890">
                                <a:moveTo>
                                  <a:pt x="48653" y="595223"/>
                                </a:moveTo>
                                <a:lnTo>
                                  <a:pt x="0" y="595223"/>
                                </a:lnTo>
                                <a:lnTo>
                                  <a:pt x="0" y="643737"/>
                                </a:lnTo>
                                <a:lnTo>
                                  <a:pt x="48653" y="643737"/>
                                </a:lnTo>
                                <a:lnTo>
                                  <a:pt x="48653" y="639318"/>
                                </a:lnTo>
                                <a:lnTo>
                                  <a:pt x="48653" y="634911"/>
                                </a:lnTo>
                                <a:lnTo>
                                  <a:pt x="48653" y="604050"/>
                                </a:lnTo>
                                <a:lnTo>
                                  <a:pt x="48653" y="599643"/>
                                </a:lnTo>
                                <a:lnTo>
                                  <a:pt x="48653" y="595223"/>
                                </a:lnTo>
                                <a:close/>
                              </a:path>
                              <a:path w="3888104" h="643890">
                                <a:moveTo>
                                  <a:pt x="399135" y="555548"/>
                                </a:moveTo>
                                <a:lnTo>
                                  <a:pt x="350481" y="555548"/>
                                </a:lnTo>
                                <a:lnTo>
                                  <a:pt x="350481" y="604050"/>
                                </a:lnTo>
                                <a:lnTo>
                                  <a:pt x="399135" y="604050"/>
                                </a:lnTo>
                                <a:lnTo>
                                  <a:pt x="399135" y="599643"/>
                                </a:lnTo>
                                <a:lnTo>
                                  <a:pt x="399135" y="595223"/>
                                </a:lnTo>
                                <a:lnTo>
                                  <a:pt x="399135" y="564375"/>
                                </a:lnTo>
                                <a:lnTo>
                                  <a:pt x="399135" y="559955"/>
                                </a:lnTo>
                                <a:lnTo>
                                  <a:pt x="399135" y="555548"/>
                                </a:lnTo>
                                <a:close/>
                              </a:path>
                              <a:path w="3888104" h="643890">
                                <a:moveTo>
                                  <a:pt x="749617" y="507936"/>
                                </a:moveTo>
                                <a:lnTo>
                                  <a:pt x="700963" y="507936"/>
                                </a:lnTo>
                                <a:lnTo>
                                  <a:pt x="700963" y="556437"/>
                                </a:lnTo>
                                <a:lnTo>
                                  <a:pt x="749617" y="556437"/>
                                </a:lnTo>
                                <a:lnTo>
                                  <a:pt x="749617" y="552030"/>
                                </a:lnTo>
                                <a:lnTo>
                                  <a:pt x="749617" y="547611"/>
                                </a:lnTo>
                                <a:lnTo>
                                  <a:pt x="749617" y="516763"/>
                                </a:lnTo>
                                <a:lnTo>
                                  <a:pt x="749617" y="512343"/>
                                </a:lnTo>
                                <a:lnTo>
                                  <a:pt x="749617" y="507936"/>
                                </a:lnTo>
                                <a:close/>
                              </a:path>
                              <a:path w="3888104" h="643890">
                                <a:moveTo>
                                  <a:pt x="1092136" y="460311"/>
                                </a:moveTo>
                                <a:lnTo>
                                  <a:pt x="1043482" y="460311"/>
                                </a:lnTo>
                                <a:lnTo>
                                  <a:pt x="1043482" y="508812"/>
                                </a:lnTo>
                                <a:lnTo>
                                  <a:pt x="1092136" y="508812"/>
                                </a:lnTo>
                                <a:lnTo>
                                  <a:pt x="1092136" y="504405"/>
                                </a:lnTo>
                                <a:lnTo>
                                  <a:pt x="1092136" y="499986"/>
                                </a:lnTo>
                                <a:lnTo>
                                  <a:pt x="1092136" y="469138"/>
                                </a:lnTo>
                                <a:lnTo>
                                  <a:pt x="1092136" y="464718"/>
                                </a:lnTo>
                                <a:lnTo>
                                  <a:pt x="1092136" y="460311"/>
                                </a:lnTo>
                                <a:close/>
                              </a:path>
                              <a:path w="3888104" h="643890">
                                <a:moveTo>
                                  <a:pt x="1442618" y="404761"/>
                                </a:moveTo>
                                <a:lnTo>
                                  <a:pt x="1393964" y="404761"/>
                                </a:lnTo>
                                <a:lnTo>
                                  <a:pt x="1393964" y="453263"/>
                                </a:lnTo>
                                <a:lnTo>
                                  <a:pt x="1442618" y="453263"/>
                                </a:lnTo>
                                <a:lnTo>
                                  <a:pt x="1442618" y="448856"/>
                                </a:lnTo>
                                <a:lnTo>
                                  <a:pt x="1442618" y="444436"/>
                                </a:lnTo>
                                <a:lnTo>
                                  <a:pt x="1442618" y="413588"/>
                                </a:lnTo>
                                <a:lnTo>
                                  <a:pt x="1442618" y="409168"/>
                                </a:lnTo>
                                <a:lnTo>
                                  <a:pt x="1442618" y="404761"/>
                                </a:lnTo>
                                <a:close/>
                              </a:path>
                              <a:path w="3888104" h="643890">
                                <a:moveTo>
                                  <a:pt x="1793100" y="285711"/>
                                </a:moveTo>
                                <a:lnTo>
                                  <a:pt x="1744446" y="285711"/>
                                </a:lnTo>
                                <a:lnTo>
                                  <a:pt x="1744446" y="334213"/>
                                </a:lnTo>
                                <a:lnTo>
                                  <a:pt x="1793100" y="334213"/>
                                </a:lnTo>
                                <a:lnTo>
                                  <a:pt x="1793100" y="329806"/>
                                </a:lnTo>
                                <a:lnTo>
                                  <a:pt x="1793100" y="325386"/>
                                </a:lnTo>
                                <a:lnTo>
                                  <a:pt x="1793100" y="294538"/>
                                </a:lnTo>
                                <a:lnTo>
                                  <a:pt x="1793100" y="290131"/>
                                </a:lnTo>
                                <a:lnTo>
                                  <a:pt x="1793100" y="285711"/>
                                </a:lnTo>
                                <a:close/>
                              </a:path>
                              <a:path w="3888104" h="643890">
                                <a:moveTo>
                                  <a:pt x="2143595" y="142862"/>
                                </a:moveTo>
                                <a:lnTo>
                                  <a:pt x="2094928" y="142862"/>
                                </a:lnTo>
                                <a:lnTo>
                                  <a:pt x="2094928" y="191363"/>
                                </a:lnTo>
                                <a:lnTo>
                                  <a:pt x="2143595" y="191363"/>
                                </a:lnTo>
                                <a:lnTo>
                                  <a:pt x="2143595" y="186956"/>
                                </a:lnTo>
                                <a:lnTo>
                                  <a:pt x="2143595" y="182537"/>
                                </a:lnTo>
                                <a:lnTo>
                                  <a:pt x="2143595" y="151688"/>
                                </a:lnTo>
                                <a:lnTo>
                                  <a:pt x="2143595" y="147269"/>
                                </a:lnTo>
                                <a:lnTo>
                                  <a:pt x="2143595" y="142862"/>
                                </a:lnTo>
                                <a:close/>
                              </a:path>
                              <a:path w="3888104" h="643890">
                                <a:moveTo>
                                  <a:pt x="2494064" y="182537"/>
                                </a:moveTo>
                                <a:lnTo>
                                  <a:pt x="2445423" y="182537"/>
                                </a:lnTo>
                                <a:lnTo>
                                  <a:pt x="2445423" y="231051"/>
                                </a:lnTo>
                                <a:lnTo>
                                  <a:pt x="2494064" y="231051"/>
                                </a:lnTo>
                                <a:lnTo>
                                  <a:pt x="2494064" y="226631"/>
                                </a:lnTo>
                                <a:lnTo>
                                  <a:pt x="2494064" y="222224"/>
                                </a:lnTo>
                                <a:lnTo>
                                  <a:pt x="2494064" y="191363"/>
                                </a:lnTo>
                                <a:lnTo>
                                  <a:pt x="2494064" y="186956"/>
                                </a:lnTo>
                                <a:lnTo>
                                  <a:pt x="2494064" y="182537"/>
                                </a:lnTo>
                                <a:close/>
                              </a:path>
                              <a:path w="3888104" h="643890">
                                <a:moveTo>
                                  <a:pt x="2844546" y="158724"/>
                                </a:moveTo>
                                <a:lnTo>
                                  <a:pt x="2795892" y="158724"/>
                                </a:lnTo>
                                <a:lnTo>
                                  <a:pt x="2795892" y="207238"/>
                                </a:lnTo>
                                <a:lnTo>
                                  <a:pt x="2844546" y="207238"/>
                                </a:lnTo>
                                <a:lnTo>
                                  <a:pt x="2844546" y="202831"/>
                                </a:lnTo>
                                <a:lnTo>
                                  <a:pt x="2844546" y="198412"/>
                                </a:lnTo>
                                <a:lnTo>
                                  <a:pt x="2844546" y="167551"/>
                                </a:lnTo>
                                <a:lnTo>
                                  <a:pt x="2844546" y="163144"/>
                                </a:lnTo>
                                <a:lnTo>
                                  <a:pt x="2844546" y="158724"/>
                                </a:lnTo>
                                <a:close/>
                              </a:path>
                              <a:path w="3888104" h="643890">
                                <a:moveTo>
                                  <a:pt x="3187065" y="103174"/>
                                </a:moveTo>
                                <a:lnTo>
                                  <a:pt x="3138411" y="103174"/>
                                </a:lnTo>
                                <a:lnTo>
                                  <a:pt x="3138411" y="151688"/>
                                </a:lnTo>
                                <a:lnTo>
                                  <a:pt x="3187065" y="151688"/>
                                </a:lnTo>
                                <a:lnTo>
                                  <a:pt x="3187065" y="147269"/>
                                </a:lnTo>
                                <a:lnTo>
                                  <a:pt x="3187065" y="142862"/>
                                </a:lnTo>
                                <a:lnTo>
                                  <a:pt x="3187065" y="112001"/>
                                </a:lnTo>
                                <a:lnTo>
                                  <a:pt x="3187065" y="107581"/>
                                </a:lnTo>
                                <a:lnTo>
                                  <a:pt x="3187065" y="103174"/>
                                </a:lnTo>
                                <a:close/>
                              </a:path>
                              <a:path w="3888104" h="643890">
                                <a:moveTo>
                                  <a:pt x="3537547" y="39687"/>
                                </a:moveTo>
                                <a:lnTo>
                                  <a:pt x="3488906" y="39687"/>
                                </a:lnTo>
                                <a:lnTo>
                                  <a:pt x="3488906" y="88188"/>
                                </a:lnTo>
                                <a:lnTo>
                                  <a:pt x="3537547" y="88188"/>
                                </a:lnTo>
                                <a:lnTo>
                                  <a:pt x="3537547" y="83781"/>
                                </a:lnTo>
                                <a:lnTo>
                                  <a:pt x="3537547" y="79362"/>
                                </a:lnTo>
                                <a:lnTo>
                                  <a:pt x="3537547" y="48514"/>
                                </a:lnTo>
                                <a:lnTo>
                                  <a:pt x="3537547" y="44094"/>
                                </a:lnTo>
                                <a:lnTo>
                                  <a:pt x="3537547" y="39687"/>
                                </a:lnTo>
                                <a:close/>
                              </a:path>
                              <a:path w="3888104" h="643890">
                                <a:moveTo>
                                  <a:pt x="3888041" y="0"/>
                                </a:moveTo>
                                <a:lnTo>
                                  <a:pt x="3839387" y="0"/>
                                </a:lnTo>
                                <a:lnTo>
                                  <a:pt x="3839387" y="48514"/>
                                </a:lnTo>
                                <a:lnTo>
                                  <a:pt x="3888041" y="48514"/>
                                </a:lnTo>
                                <a:lnTo>
                                  <a:pt x="3888041" y="44094"/>
                                </a:lnTo>
                                <a:lnTo>
                                  <a:pt x="3888041" y="39687"/>
                                </a:lnTo>
                                <a:lnTo>
                                  <a:pt x="3888041" y="8826"/>
                                </a:lnTo>
                                <a:lnTo>
                                  <a:pt x="3888041" y="4419"/>
                                </a:lnTo>
                                <a:lnTo>
                                  <a:pt x="3888041" y="0"/>
                                </a:lnTo>
                                <a:close/>
                              </a:path>
                            </a:pathLst>
                          </a:custGeom>
                          <a:solidFill>
                            <a:srgbClr val="2F7D41"/>
                          </a:solidFill>
                        </wps:spPr>
                        <wps:bodyPr wrap="square" lIns="0" tIns="0" rIns="0" bIns="0" rtlCol="0">
                          <a:prstTxWarp prst="textNoShape">
                            <a:avLst/>
                          </a:prstTxWarp>
                          <a:noAutofit/>
                        </wps:bodyPr>
                      </wps:wsp>
                      <wps:wsp>
                        <wps:cNvPr id="1447" name="Graphic 1447"/>
                        <wps:cNvSpPr/>
                        <wps:spPr>
                          <a:xfrm>
                            <a:off x="155326" y="1358400"/>
                            <a:ext cx="1137920" cy="133350"/>
                          </a:xfrm>
                          <a:custGeom>
                            <a:avLst/>
                            <a:gdLst/>
                            <a:ahLst/>
                            <a:cxnLst/>
                            <a:rect l="l" t="t" r="r" b="b"/>
                            <a:pathLst>
                              <a:path w="1137920" h="133350">
                                <a:moveTo>
                                  <a:pt x="93954" y="133299"/>
                                </a:moveTo>
                                <a:lnTo>
                                  <a:pt x="92735" y="130873"/>
                                </a:lnTo>
                                <a:lnTo>
                                  <a:pt x="89535" y="124472"/>
                                </a:lnTo>
                                <a:lnTo>
                                  <a:pt x="46977" y="39687"/>
                                </a:lnTo>
                                <a:lnTo>
                                  <a:pt x="43040" y="47536"/>
                                </a:lnTo>
                                <a:lnTo>
                                  <a:pt x="0" y="133299"/>
                                </a:lnTo>
                                <a:lnTo>
                                  <a:pt x="93954" y="133299"/>
                                </a:lnTo>
                                <a:close/>
                              </a:path>
                              <a:path w="1137920" h="133350">
                                <a:moveTo>
                                  <a:pt x="444436" y="125361"/>
                                </a:moveTo>
                                <a:lnTo>
                                  <a:pt x="443217" y="122923"/>
                                </a:lnTo>
                                <a:lnTo>
                                  <a:pt x="440016" y="116535"/>
                                </a:lnTo>
                                <a:lnTo>
                                  <a:pt x="397471" y="31750"/>
                                </a:lnTo>
                                <a:lnTo>
                                  <a:pt x="393522" y="39598"/>
                                </a:lnTo>
                                <a:lnTo>
                                  <a:pt x="350481" y="125361"/>
                                </a:lnTo>
                                <a:lnTo>
                                  <a:pt x="444436" y="125361"/>
                                </a:lnTo>
                                <a:close/>
                              </a:path>
                              <a:path w="1137920" h="133350">
                                <a:moveTo>
                                  <a:pt x="794931" y="109486"/>
                                </a:moveTo>
                                <a:lnTo>
                                  <a:pt x="793711" y="107061"/>
                                </a:lnTo>
                                <a:lnTo>
                                  <a:pt x="790498" y="100660"/>
                                </a:lnTo>
                                <a:lnTo>
                                  <a:pt x="747941" y="15875"/>
                                </a:lnTo>
                                <a:lnTo>
                                  <a:pt x="744004" y="23723"/>
                                </a:lnTo>
                                <a:lnTo>
                                  <a:pt x="700963" y="109486"/>
                                </a:lnTo>
                                <a:lnTo>
                                  <a:pt x="794931" y="109486"/>
                                </a:lnTo>
                                <a:close/>
                              </a:path>
                              <a:path w="1137920" h="133350">
                                <a:moveTo>
                                  <a:pt x="1137437" y="93624"/>
                                </a:moveTo>
                                <a:lnTo>
                                  <a:pt x="1136218" y="91186"/>
                                </a:lnTo>
                                <a:lnTo>
                                  <a:pt x="1133017" y="84797"/>
                                </a:lnTo>
                                <a:lnTo>
                                  <a:pt x="1090460" y="0"/>
                                </a:lnTo>
                                <a:lnTo>
                                  <a:pt x="1086523" y="7861"/>
                                </a:lnTo>
                                <a:lnTo>
                                  <a:pt x="1043482" y="93624"/>
                                </a:lnTo>
                                <a:lnTo>
                                  <a:pt x="1137437" y="93624"/>
                                </a:lnTo>
                                <a:close/>
                              </a:path>
                            </a:pathLst>
                          </a:custGeom>
                          <a:solidFill>
                            <a:srgbClr val="E3C626"/>
                          </a:solidFill>
                        </wps:spPr>
                        <wps:bodyPr wrap="square" lIns="0" tIns="0" rIns="0" bIns="0" rtlCol="0">
                          <a:prstTxWarp prst="textNoShape">
                            <a:avLst/>
                          </a:prstTxWarp>
                          <a:noAutofit/>
                        </wps:bodyPr>
                      </wps:wsp>
                      <pic:pic>
                        <pic:nvPicPr>
                          <pic:cNvPr id="1448" name="Image 1448"/>
                          <pic:cNvPicPr/>
                        </pic:nvPicPr>
                        <pic:blipFill>
                          <a:blip r:embed="rId663" cstate="print"/>
                          <a:stretch>
                            <a:fillRect/>
                          </a:stretch>
                        </pic:blipFill>
                        <pic:spPr>
                          <a:xfrm>
                            <a:off x="1549299" y="1342528"/>
                            <a:ext cx="93965" cy="93611"/>
                          </a:xfrm>
                          <a:prstGeom prst="rect">
                            <a:avLst/>
                          </a:prstGeom>
                        </pic:spPr>
                      </pic:pic>
                      <pic:pic>
                        <pic:nvPicPr>
                          <pic:cNvPr id="1449" name="Image 1449"/>
                          <pic:cNvPicPr/>
                        </pic:nvPicPr>
                        <pic:blipFill>
                          <a:blip r:embed="rId663" cstate="print"/>
                          <a:stretch>
                            <a:fillRect/>
                          </a:stretch>
                        </pic:blipFill>
                        <pic:spPr>
                          <a:xfrm>
                            <a:off x="1899790" y="1294901"/>
                            <a:ext cx="93950" cy="93612"/>
                          </a:xfrm>
                          <a:prstGeom prst="rect">
                            <a:avLst/>
                          </a:prstGeom>
                        </pic:spPr>
                      </pic:pic>
                      <pic:pic>
                        <pic:nvPicPr>
                          <pic:cNvPr id="1450" name="Image 1450"/>
                          <pic:cNvPicPr/>
                        </pic:nvPicPr>
                        <pic:blipFill>
                          <a:blip r:embed="rId663" cstate="print"/>
                          <a:stretch>
                            <a:fillRect/>
                          </a:stretch>
                        </pic:blipFill>
                        <pic:spPr>
                          <a:xfrm>
                            <a:off x="2250267" y="1223476"/>
                            <a:ext cx="93950" cy="93620"/>
                          </a:xfrm>
                          <a:prstGeom prst="rect">
                            <a:avLst/>
                          </a:prstGeom>
                        </pic:spPr>
                      </pic:pic>
                      <pic:pic>
                        <pic:nvPicPr>
                          <pic:cNvPr id="1451" name="Image 1451"/>
                          <pic:cNvPicPr/>
                        </pic:nvPicPr>
                        <pic:blipFill>
                          <a:blip r:embed="rId664" cstate="print"/>
                          <a:stretch>
                            <a:fillRect/>
                          </a:stretch>
                        </pic:blipFill>
                        <pic:spPr>
                          <a:xfrm>
                            <a:off x="2600743" y="1191740"/>
                            <a:ext cx="93966" cy="93598"/>
                          </a:xfrm>
                          <a:prstGeom prst="rect">
                            <a:avLst/>
                          </a:prstGeom>
                        </pic:spPr>
                      </pic:pic>
                      <pic:pic>
                        <pic:nvPicPr>
                          <pic:cNvPr id="1452" name="Image 1452"/>
                          <pic:cNvPicPr/>
                        </pic:nvPicPr>
                        <pic:blipFill>
                          <a:blip r:embed="rId665" cstate="print"/>
                          <a:stretch>
                            <a:fillRect/>
                          </a:stretch>
                        </pic:blipFill>
                        <pic:spPr>
                          <a:xfrm>
                            <a:off x="2951235" y="1231421"/>
                            <a:ext cx="93952" cy="93598"/>
                          </a:xfrm>
                          <a:prstGeom prst="rect">
                            <a:avLst/>
                          </a:prstGeom>
                        </pic:spPr>
                      </pic:pic>
                      <pic:pic>
                        <pic:nvPicPr>
                          <pic:cNvPr id="1453" name="Image 1453"/>
                          <pic:cNvPicPr/>
                        </pic:nvPicPr>
                        <pic:blipFill>
                          <a:blip r:embed="rId663" cstate="print"/>
                          <a:stretch>
                            <a:fillRect/>
                          </a:stretch>
                        </pic:blipFill>
                        <pic:spPr>
                          <a:xfrm>
                            <a:off x="3293764" y="1199663"/>
                            <a:ext cx="93950" cy="93620"/>
                          </a:xfrm>
                          <a:prstGeom prst="rect">
                            <a:avLst/>
                          </a:prstGeom>
                        </pic:spPr>
                      </pic:pic>
                      <pic:pic>
                        <pic:nvPicPr>
                          <pic:cNvPr id="1454" name="Image 1454"/>
                          <pic:cNvPicPr/>
                        </pic:nvPicPr>
                        <pic:blipFill>
                          <a:blip r:embed="rId666" cstate="print"/>
                          <a:stretch>
                            <a:fillRect/>
                          </a:stretch>
                        </pic:blipFill>
                        <pic:spPr>
                          <a:xfrm>
                            <a:off x="3644228" y="1183795"/>
                            <a:ext cx="93951" cy="93613"/>
                          </a:xfrm>
                          <a:prstGeom prst="rect">
                            <a:avLst/>
                          </a:prstGeom>
                        </pic:spPr>
                      </pic:pic>
                      <pic:pic>
                        <pic:nvPicPr>
                          <pic:cNvPr id="1455" name="Image 1455"/>
                          <pic:cNvPicPr/>
                        </pic:nvPicPr>
                        <pic:blipFill>
                          <a:blip r:embed="rId663" cstate="print"/>
                          <a:stretch>
                            <a:fillRect/>
                          </a:stretch>
                        </pic:blipFill>
                        <pic:spPr>
                          <a:xfrm>
                            <a:off x="3994718" y="1175851"/>
                            <a:ext cx="93950" cy="93620"/>
                          </a:xfrm>
                          <a:prstGeom prst="rect">
                            <a:avLst/>
                          </a:prstGeom>
                        </pic:spPr>
                      </pic:pic>
                      <wps:wsp>
                        <wps:cNvPr id="1456" name="Graphic 1456"/>
                        <wps:cNvSpPr/>
                        <wps:spPr>
                          <a:xfrm>
                            <a:off x="158069" y="1466985"/>
                            <a:ext cx="1124585" cy="96520"/>
                          </a:xfrm>
                          <a:custGeom>
                            <a:avLst/>
                            <a:gdLst/>
                            <a:ahLst/>
                            <a:cxnLst/>
                            <a:rect l="l" t="t" r="r" b="b"/>
                            <a:pathLst>
                              <a:path w="1124585" h="96520">
                                <a:moveTo>
                                  <a:pt x="80518" y="56019"/>
                                </a:moveTo>
                                <a:lnTo>
                                  <a:pt x="55956" y="19024"/>
                                </a:lnTo>
                                <a:lnTo>
                                  <a:pt x="40246" y="15887"/>
                                </a:lnTo>
                                <a:lnTo>
                                  <a:pt x="32118" y="16700"/>
                                </a:lnTo>
                                <a:lnTo>
                                  <a:pt x="812" y="47904"/>
                                </a:lnTo>
                                <a:lnTo>
                                  <a:pt x="0" y="56019"/>
                                </a:lnTo>
                                <a:lnTo>
                                  <a:pt x="812" y="64122"/>
                                </a:lnTo>
                                <a:lnTo>
                                  <a:pt x="32118" y="95326"/>
                                </a:lnTo>
                                <a:lnTo>
                                  <a:pt x="40246" y="96139"/>
                                </a:lnTo>
                                <a:lnTo>
                                  <a:pt x="48387" y="95326"/>
                                </a:lnTo>
                                <a:lnTo>
                                  <a:pt x="79705" y="64122"/>
                                </a:lnTo>
                                <a:lnTo>
                                  <a:pt x="80518" y="56019"/>
                                </a:lnTo>
                                <a:close/>
                              </a:path>
                              <a:path w="1124585" h="96520">
                                <a:moveTo>
                                  <a:pt x="430987" y="48069"/>
                                </a:moveTo>
                                <a:lnTo>
                                  <a:pt x="406438" y="11074"/>
                                </a:lnTo>
                                <a:lnTo>
                                  <a:pt x="390740" y="7950"/>
                                </a:lnTo>
                                <a:lnTo>
                                  <a:pt x="382600" y="8750"/>
                                </a:lnTo>
                                <a:lnTo>
                                  <a:pt x="351282" y="39966"/>
                                </a:lnTo>
                                <a:lnTo>
                                  <a:pt x="350469" y="48069"/>
                                </a:lnTo>
                                <a:lnTo>
                                  <a:pt x="351282" y="56184"/>
                                </a:lnTo>
                                <a:lnTo>
                                  <a:pt x="382600" y="87388"/>
                                </a:lnTo>
                                <a:lnTo>
                                  <a:pt x="390740" y="88201"/>
                                </a:lnTo>
                                <a:lnTo>
                                  <a:pt x="398868" y="87388"/>
                                </a:lnTo>
                                <a:lnTo>
                                  <a:pt x="430174" y="56184"/>
                                </a:lnTo>
                                <a:lnTo>
                                  <a:pt x="430987" y="48069"/>
                                </a:lnTo>
                                <a:close/>
                              </a:path>
                              <a:path w="1124585" h="96520">
                                <a:moveTo>
                                  <a:pt x="781469" y="40144"/>
                                </a:moveTo>
                                <a:lnTo>
                                  <a:pt x="756932" y="3136"/>
                                </a:lnTo>
                                <a:lnTo>
                                  <a:pt x="741222" y="0"/>
                                </a:lnTo>
                                <a:lnTo>
                                  <a:pt x="733094" y="812"/>
                                </a:lnTo>
                                <a:lnTo>
                                  <a:pt x="701776" y="32029"/>
                                </a:lnTo>
                                <a:lnTo>
                                  <a:pt x="700963" y="40144"/>
                                </a:lnTo>
                                <a:lnTo>
                                  <a:pt x="701776" y="48260"/>
                                </a:lnTo>
                                <a:lnTo>
                                  <a:pt x="733094" y="79463"/>
                                </a:lnTo>
                                <a:lnTo>
                                  <a:pt x="741222" y="80264"/>
                                </a:lnTo>
                                <a:lnTo>
                                  <a:pt x="749350" y="79463"/>
                                </a:lnTo>
                                <a:lnTo>
                                  <a:pt x="756932" y="77139"/>
                                </a:lnTo>
                                <a:lnTo>
                                  <a:pt x="763778" y="73456"/>
                                </a:lnTo>
                                <a:lnTo>
                                  <a:pt x="766216" y="71437"/>
                                </a:lnTo>
                                <a:lnTo>
                                  <a:pt x="769721" y="68567"/>
                                </a:lnTo>
                                <a:lnTo>
                                  <a:pt x="774623" y="62636"/>
                                </a:lnTo>
                                <a:lnTo>
                                  <a:pt x="778332" y="55803"/>
                                </a:lnTo>
                                <a:lnTo>
                                  <a:pt x="780656" y="48247"/>
                                </a:lnTo>
                                <a:lnTo>
                                  <a:pt x="781469" y="40144"/>
                                </a:lnTo>
                                <a:close/>
                              </a:path>
                              <a:path w="1124585" h="96520">
                                <a:moveTo>
                                  <a:pt x="1124000" y="40144"/>
                                </a:moveTo>
                                <a:lnTo>
                                  <a:pt x="1099439" y="3136"/>
                                </a:lnTo>
                                <a:lnTo>
                                  <a:pt x="1083729" y="0"/>
                                </a:lnTo>
                                <a:lnTo>
                                  <a:pt x="1075601" y="812"/>
                                </a:lnTo>
                                <a:lnTo>
                                  <a:pt x="1044295" y="32029"/>
                                </a:lnTo>
                                <a:lnTo>
                                  <a:pt x="1043482" y="40144"/>
                                </a:lnTo>
                                <a:lnTo>
                                  <a:pt x="1044295" y="48260"/>
                                </a:lnTo>
                                <a:lnTo>
                                  <a:pt x="1075601" y="79463"/>
                                </a:lnTo>
                                <a:lnTo>
                                  <a:pt x="1083729" y="80264"/>
                                </a:lnTo>
                                <a:lnTo>
                                  <a:pt x="1091869" y="79463"/>
                                </a:lnTo>
                                <a:lnTo>
                                  <a:pt x="1099439" y="77139"/>
                                </a:lnTo>
                                <a:lnTo>
                                  <a:pt x="1106284" y="73456"/>
                                </a:lnTo>
                                <a:lnTo>
                                  <a:pt x="1108735" y="71437"/>
                                </a:lnTo>
                                <a:lnTo>
                                  <a:pt x="1112240" y="68567"/>
                                </a:lnTo>
                                <a:lnTo>
                                  <a:pt x="1117142" y="62636"/>
                                </a:lnTo>
                                <a:lnTo>
                                  <a:pt x="1120851" y="55803"/>
                                </a:lnTo>
                                <a:lnTo>
                                  <a:pt x="1123188" y="48260"/>
                                </a:lnTo>
                                <a:lnTo>
                                  <a:pt x="1124000" y="40144"/>
                                </a:lnTo>
                                <a:close/>
                              </a:path>
                            </a:pathLst>
                          </a:custGeom>
                          <a:solidFill>
                            <a:srgbClr val="9CBF3B"/>
                          </a:solidFill>
                        </wps:spPr>
                        <wps:bodyPr wrap="square" lIns="0" tIns="0" rIns="0" bIns="0" rtlCol="0">
                          <a:prstTxWarp prst="textNoShape">
                            <a:avLst/>
                          </a:prstTxWarp>
                          <a:noAutofit/>
                        </wps:bodyPr>
                      </wps:wsp>
                      <pic:pic>
                        <pic:nvPicPr>
                          <pic:cNvPr id="1457" name="Image 1457"/>
                          <pic:cNvPicPr/>
                        </pic:nvPicPr>
                        <pic:blipFill>
                          <a:blip r:embed="rId667" cstate="print"/>
                          <a:stretch>
                            <a:fillRect/>
                          </a:stretch>
                        </pic:blipFill>
                        <pic:spPr>
                          <a:xfrm>
                            <a:off x="1552037" y="1459058"/>
                            <a:ext cx="80517" cy="80245"/>
                          </a:xfrm>
                          <a:prstGeom prst="rect">
                            <a:avLst/>
                          </a:prstGeom>
                        </pic:spPr>
                      </pic:pic>
                      <pic:pic>
                        <pic:nvPicPr>
                          <pic:cNvPr id="1458" name="Image 1458"/>
                          <pic:cNvPicPr/>
                        </pic:nvPicPr>
                        <pic:blipFill>
                          <a:blip r:embed="rId668" cstate="print"/>
                          <a:stretch>
                            <a:fillRect/>
                          </a:stretch>
                        </pic:blipFill>
                        <pic:spPr>
                          <a:xfrm>
                            <a:off x="1902528" y="1443189"/>
                            <a:ext cx="80504" cy="80245"/>
                          </a:xfrm>
                          <a:prstGeom prst="rect">
                            <a:avLst/>
                          </a:prstGeom>
                        </pic:spPr>
                      </pic:pic>
                      <pic:pic>
                        <pic:nvPicPr>
                          <pic:cNvPr id="1459" name="Image 1459"/>
                          <pic:cNvPicPr/>
                        </pic:nvPicPr>
                        <pic:blipFill>
                          <a:blip r:embed="rId669" cstate="print"/>
                          <a:stretch>
                            <a:fillRect/>
                          </a:stretch>
                        </pic:blipFill>
                        <pic:spPr>
                          <a:xfrm>
                            <a:off x="2253005" y="1427314"/>
                            <a:ext cx="80511" cy="80250"/>
                          </a:xfrm>
                          <a:prstGeom prst="rect">
                            <a:avLst/>
                          </a:prstGeom>
                        </pic:spPr>
                      </pic:pic>
                      <pic:pic>
                        <pic:nvPicPr>
                          <pic:cNvPr id="1460" name="Image 1460"/>
                          <pic:cNvPicPr/>
                        </pic:nvPicPr>
                        <pic:blipFill>
                          <a:blip r:embed="rId669" cstate="print"/>
                          <a:stretch>
                            <a:fillRect/>
                          </a:stretch>
                        </pic:blipFill>
                        <pic:spPr>
                          <a:xfrm>
                            <a:off x="2603483" y="1427314"/>
                            <a:ext cx="80511" cy="80250"/>
                          </a:xfrm>
                          <a:prstGeom prst="rect">
                            <a:avLst/>
                          </a:prstGeom>
                        </pic:spPr>
                      </pic:pic>
                      <pic:pic>
                        <pic:nvPicPr>
                          <pic:cNvPr id="1461" name="Image 1461"/>
                          <pic:cNvPicPr/>
                        </pic:nvPicPr>
                        <pic:blipFill>
                          <a:blip r:embed="rId669" cstate="print"/>
                          <a:stretch>
                            <a:fillRect/>
                          </a:stretch>
                        </pic:blipFill>
                        <pic:spPr>
                          <a:xfrm>
                            <a:off x="2953974" y="1427314"/>
                            <a:ext cx="80510" cy="80250"/>
                          </a:xfrm>
                          <a:prstGeom prst="rect">
                            <a:avLst/>
                          </a:prstGeom>
                        </pic:spPr>
                      </pic:pic>
                      <pic:pic>
                        <pic:nvPicPr>
                          <pic:cNvPr id="1462" name="Image 1462"/>
                          <pic:cNvPicPr/>
                        </pic:nvPicPr>
                        <pic:blipFill>
                          <a:blip r:embed="rId668" cstate="print"/>
                          <a:stretch>
                            <a:fillRect/>
                          </a:stretch>
                        </pic:blipFill>
                        <pic:spPr>
                          <a:xfrm>
                            <a:off x="3296502" y="1419376"/>
                            <a:ext cx="80498" cy="80245"/>
                          </a:xfrm>
                          <a:prstGeom prst="rect">
                            <a:avLst/>
                          </a:prstGeom>
                        </pic:spPr>
                      </pic:pic>
                      <pic:pic>
                        <pic:nvPicPr>
                          <pic:cNvPr id="1463" name="Image 1463"/>
                          <pic:cNvPicPr/>
                        </pic:nvPicPr>
                        <pic:blipFill>
                          <a:blip r:embed="rId670" cstate="print"/>
                          <a:stretch>
                            <a:fillRect/>
                          </a:stretch>
                        </pic:blipFill>
                        <pic:spPr>
                          <a:xfrm>
                            <a:off x="3646967" y="1403501"/>
                            <a:ext cx="80510" cy="80250"/>
                          </a:xfrm>
                          <a:prstGeom prst="rect">
                            <a:avLst/>
                          </a:prstGeom>
                        </pic:spPr>
                      </pic:pic>
                      <pic:pic>
                        <pic:nvPicPr>
                          <pic:cNvPr id="1464" name="Image 1464"/>
                          <pic:cNvPicPr/>
                        </pic:nvPicPr>
                        <pic:blipFill>
                          <a:blip r:embed="rId669" cstate="print"/>
                          <a:stretch>
                            <a:fillRect/>
                          </a:stretch>
                        </pic:blipFill>
                        <pic:spPr>
                          <a:xfrm>
                            <a:off x="3997457" y="1395564"/>
                            <a:ext cx="80512" cy="80245"/>
                          </a:xfrm>
                          <a:prstGeom prst="rect">
                            <a:avLst/>
                          </a:prstGeom>
                        </pic:spPr>
                      </pic:pic>
                    </wpg:wgp>
                  </a:graphicData>
                </a:graphic>
              </wp:anchor>
            </w:drawing>
          </mc:Choice>
          <mc:Fallback>
            <w:pict>
              <v:group style="position:absolute;margin-left:146.828613pt;margin-top:16.16161pt;width:332.3pt;height:124.9pt;mso-position-horizontal-relative:page;mso-position-vertical-relative:paragraph;z-index:-15638016;mso-wrap-distance-left:0;mso-wrap-distance-right:0" id="docshapegroup1416" coordorigin="2937,323" coordsize="6646,2498">
                <v:shape style="position:absolute;left:2936;top:323;width:6646;height:2498" id="docshape1417" coordorigin="2937,323" coordsize="6646,2498" path="m9582,2773l9582,2773,2984,2773,2984,323,2974,323,2937,323,2937,333,2974,333,2974,598,2937,598,2937,608,2974,608,2974,873,2937,873,2937,883,2974,883,2974,1136,2937,1136,2937,1146,2974,1146,2974,1411,2937,1411,2937,1421,2974,1421,2974,1686,2937,1686,2937,1696,2974,1696,2974,1961,2937,1961,2937,1971,2974,1971,2974,2223,2937,2223,2937,2233,2974,2233,2974,2498,2937,2498,2937,2508,2974,2508,2974,2773,2937,2773,2937,2783,2974,2783,2974,2820,2984,2820,2984,2783,3526,2783,3526,2820,3536,2820,3536,2783,4078,2783,4078,2820,4088,2820,4088,2783,4630,2783,4630,2820,4640,2820,4640,2783,5169,2783,5169,2820,5179,2820,5179,2783,5721,2783,5721,2820,5731,2820,5731,2783,6273,2783,6273,2820,6283,2820,6283,2783,6825,2783,6825,2820,6835,2820,6835,2783,7377,2783,7377,2820,7387,2820,7387,2783,7929,2783,7929,2820,7939,2820,7939,2783,8469,2783,8469,2820,8479,2820,8479,2783,9020,2783,9020,2820,9030,2820,9030,2783,9572,2783,9572,2820,9582,2820,9582,2773xe" filled="true" fillcolor="#000000" stroked="false">
                  <v:path arrowok="t"/>
                  <v:fill type="solid"/>
                </v:shape>
                <v:shape style="position:absolute;left:3239;top:549;width:6080;height:1658" id="docshape1418" coordorigin="3239,549" coordsize="6080,1658" path="m3804,2077l3239,2179,3244,2207,3797,2106,3790,2080,3804,2077xm3810,2104l3797,2106,3797,2107,3810,2104xm3818,2074l3804,2077,3790,2080,3797,2106,3810,2104,3823,2101,3818,2074xm3823,2101l3810,2104,3823,2102,3823,2101xm3929,2074l3818,2074,3823,2101,3929,2074xm4356,1940l3804,2077,3818,2074,3929,2074,4349,1970,4342,1943,4356,1940xm4363,1966l4349,1970,4349,1970,4363,1966xm4369,1936l4356,1940,4342,1943,4349,1970,4363,1966,4376,1963,4369,1936xm4376,1963l4363,1966,4376,1963,4376,1963xm4472,1936l4369,1936,4376,1963,4472,1936xm4882,1793l4356,1940,4369,1936,4472,1936,4890,1820,4888,1820,4882,1793xm4908,1786l4895,1790,4882,1793,4888,1820,4902,1816,4916,1813,4908,1786xm4902,1816l4888,1820,4890,1820,4902,1816xm5446,1652l4908,1786,4916,1813,4902,1816,5443,1682,5432,1659,5446,1652xm4895,1790l4882,1793,4882,1793,4895,1790xm4908,1786l4895,1790,4908,1786,4908,1786xm5455,1679l5443,1682,5444,1684,5455,1679xm5461,1649l5446,1652,5432,1659,5443,1682,5455,1679,5467,1673,5461,1649xm5467,1673l5455,1679,5467,1676,5467,1673xm5518,1649l5461,1649,5467,1673,5518,1649xm5986,1396l5446,1652,5461,1649,5518,1649,5999,1420,5993,1420,5986,1396xm6010,1387l5998,1390,5986,1396,5993,1420,6007,1416,6021,1410,6010,1387xm6007,1416l5993,1420,5999,1420,6007,1416xm6538,1243l6010,1387,6021,1410,6007,1416,6548,1269,6543,1269,6538,1243xm5998,1390l5985,1393,5986,1396,5998,1390xm6009,1385l5998,1390,6010,1387,6009,1385xm6564,1237l6551,1240,6538,1243,6543,1269,6557,1267,6571,1263,6564,1237xm6557,1267l6543,1269,6548,1269,6557,1267xm7103,1140l6564,1237,6571,1263,6557,1267,7096,1169,7089,1143,7103,1140xm6551,1240l6538,1242,6538,1243,6551,1240xm6564,1236l6551,1240,6564,1237,6564,1236xm7109,1167l7096,1169,7096,1170,7109,1167xm7117,1137l7103,1140,7089,1143,7096,1169,7109,1167,7122,1163,7117,1137xm7122,1163l7109,1167,7122,1164,7122,1163xm7219,1137l7117,1137,7122,1163,7219,1137xm7643,993l7103,1140,7117,1137,7219,1137,7656,1018,7646,1018,7643,993xm7669,988l7656,989,7643,993,7646,1018,7661,1017,7675,1013,7669,988xm7661,1017l7646,1018,7656,1018,7661,1017xm8194,940l7669,988,7675,1013,7661,1017,8189,968,8179,947,8194,940xm7656,989l7643,991,7643,993,7656,989xm7668,986l7656,989,7669,988,7668,986xm8201,967l8189,968,8191,972,8201,967xm8210,938l8194,940,8179,947,8189,968,8201,967,8212,962,8210,938xm8212,962l8201,967,8213,966,8212,962xm8262,938l8210,938,8212,962,8262,938xm8733,683l8194,940,8210,938,8262,938,8747,707,8739,707,8733,683xm8757,675l8745,677,8733,683,8739,707,8754,704,8768,697,8757,675xm8754,704l8739,707,8747,707,8754,704xm9312,549l8757,675,8768,697,8754,704,9318,576,9312,549xm8745,677l8733,680,8733,683,8745,677xm8756,672l8745,677,8757,675,8756,672xe" filled="true" fillcolor="#3d619d" stroked="false">
                  <v:path arrowok="t"/>
                  <v:fill type="solid"/>
                </v:shape>
                <v:shape style="position:absolute;left:3239;top:1400;width:6078;height:969" id="docshape1419" coordorigin="3240,1400" coordsize="6078,969" path="m3805,2277l3240,2341,3243,2368,3795,2306,3791,2279,3805,2277xm3809,2304l3795,2306,3795,2306,3809,2304xm3819,2275l3805,2277,3791,2279,3795,2306,3809,2304,3822,2302,3819,2275xm3822,2302l3809,2304,3822,2303,3822,2302xm4024,2275l3819,2275,3822,2302,4024,2275xm4357,2202l3805,2277,3819,2275,4024,2275,4347,2231,4343,2204,4357,2202xm4361,2229l4347,2231,4347,2231,4361,2229xm4371,2200l4343,2204,4347,2231,4375,2227,4371,2200xm4375,2227l4361,2229,4375,2227,4375,2227xm4572,2200l4371,2200,4375,2227,4572,2200xm4896,2127l4357,2202,4371,2200,4572,2200,4887,2156,4883,2129,4896,2127xm4900,2154l4887,2156,4887,2156,4900,2154xm4910,2125l4896,2127,4883,2129,4887,2156,4900,2154,4914,2152,4910,2125xm4914,2152l4900,2154,4914,2152,4914,2152xm5086,2125l4910,2125,4914,2152,5086,2125xm5447,2039l4896,2127,4910,2125,5086,2125,5441,2069,5433,2044,5447,2039xm5454,2067l5441,2069,5442,2071,5454,2067xm5462,2037l5447,2039,5433,2044,5441,2069,5454,2067,5466,2062,5462,2037xm5466,2062l5454,2067,5466,2065,5466,2062xm5540,2037l5462,2037,5466,2062,5540,2037xm5997,1852l5447,2039,5462,2037,5540,2037,5994,1883,5984,1858,5997,1852xm6007,1879l5994,1883,5995,1884,6007,1879xm6011,1848l5997,1852,5984,1858,5994,1883,6007,1879,6020,1873,6011,1848xm6020,1873l6007,1879,6020,1874,6020,1873xm6082,1848l6011,1848,6020,1873,6082,1848xm6541,1631l5997,1852,6011,1848,6082,1848,6556,1655,6539,1653,6541,1631xm7119,1716l7106,1717,7118,1718,7119,1716xm7093,1716l7093,1718,7106,1717,7093,1716xm7107,1689l7091,1690,7093,1716,7106,1717,7119,1716,7122,1691,7107,1689xm7657,1652l7107,1689,7122,1691,7119,1716,7646,1680,7642,1654,7657,1652xm6564,1628l6572,1648,6556,1655,7093,1716,7091,1690,7107,1689,6564,1628xm7660,1679l7646,1680,7647,1681,7660,1679xm7671,1651l7657,1652,7642,1654,7646,1680,7660,1679,7673,1677,7671,1651xm7673,1677l7660,1679,7673,1678,7673,1677xm7836,1651l7671,1651,7673,1677,7836,1651xm6552,1626l6541,1631,6539,1653,6556,1655,6572,1648,6564,1628,6552,1626xm8195,1564l7657,1652,7671,1651,7836,1651,8186,1594,8181,1567,8195,1564xm6542,1625l6541,1631,6552,1626,6542,1625xm6562,1622l6552,1626,6564,1628,6562,1622xm8200,1592l8186,1594,8186,1594,8200,1592xm8209,1562l8195,1564,8181,1567,8186,1594,8200,1592,8213,1589,8209,1562xm8213,1589l8200,1592,8214,1590,8213,1589xm8364,1562l8209,1562,8213,1589,8364,1562xm8734,1467l8195,1564,8209,1562,8364,1562,8743,1493,8737,1493,8734,1467xm8761,1463l8747,1464,8734,1467,8737,1493,8752,1492,8766,1489,8761,1463xm8752,1492l8737,1493,8743,1493,8752,1492xm9314,1400l8761,1463,8766,1489,8752,1492,9317,1428,9314,1400xm8747,1464l8734,1466,8734,1467,8747,1464xm8761,1462l8747,1464,8761,1463,8761,1462xe" filled="true" fillcolor="#2f7d41" stroked="false">
                  <v:path arrowok="t"/>
                  <v:fill type="solid"/>
                </v:shape>
                <v:shape style="position:absolute;left:3240;top:2238;width:6075;height:379" id="docshape1420" coordorigin="3241,2239" coordsize="6075,379" path="m3807,2577l3241,2589,3242,2617,3794,2605,3793,2577,3807,2577xm3808,2604l3794,2605,3794,2605,3808,2604xm3821,2576l3807,2577,3793,2577,3794,2605,3808,2604,3821,2604,3821,2576xm3821,2604l3808,2604,3821,2604,3821,2604xm4346,2576l3821,2576,3821,2604,4346,2580,4346,2576xm4372,2551l4345,2552,4346,2580,4374,2579,4372,2551xm4885,2551l4372,2551,4374,2579,4886,2555,4885,2555,4885,2551xm4359,2552l3807,2577,3821,2576,4346,2576,4345,2552,4359,2552xm4912,2526l4884,2527,4884,2531,4885,2555,4913,2554,4912,2526xm5449,2502l4912,2526,4913,2554,4900,2554,5438,2530,5435,2504,5449,2502xm4884,2527l4359,2552,4372,2551,4885,2551,4884,2527xm5452,2529l5438,2530,5438,2531,5452,2529xm5464,2501l5449,2502,5435,2504,5438,2530,5452,2529,5465,2527,5464,2501xm5465,2527l5452,2529,5465,2529,5465,2527xm5660,2501l5464,2501,5465,2527,5660,2501xm4912,2526l4899,2527,4912,2526,4912,2526xm6000,2427l5449,2502,5464,2501,5660,2501,5991,2456,5986,2430,6000,2427xm6005,2454l5991,2456,5992,2457,6005,2454xm6014,2425l6000,2427,5986,2430,5991,2456,6005,2454,6018,2451,6014,2425xm6018,2451l6005,2454,6018,2452,6018,2451xm6149,2425l6014,2425,6018,2451,6149,2425xm6539,2317l6000,2427,6014,2425,6149,2425,6550,2343,6542,2343,6539,2317xm7671,2353l7658,2354,7670,2356,7671,2353xm7645,2353l7646,2356,7658,2354,7645,2353xm7658,2326l7643,2328,7645,2353,7658,2354,7671,2353,7674,2328,7658,2326xm8183,2278l7658,2326,7674,2328,7671,2353,8192,2305,8184,2305,8183,2278xm7119,2265l7121,2291,7106,2292,7645,2353,7643,2328,7658,2326,7119,2265xm6565,2313l6552,2314,6539,2317,6542,2343,6556,2342,6571,2339,6565,2313xm6556,2342l6542,2343,6550,2343,6556,2342xm7094,2265l6565,2313,6571,2339,6556,2342,7106,2292,7091,2290,7094,2265xm6552,2314l6539,2315,6539,2317,6552,2314xm6565,2312l6552,2314,6565,2313,6565,2312xm8210,2276l8197,2277,8183,2278,8184,2305,8199,2304,8213,2303,8210,2276xm8199,2304l8184,2305,8192,2305,8199,2304xm8735,2252l8210,2276,8213,2303,8199,2304,8743,2280,8736,2280,8735,2252xm7106,2264l7094,2265,7091,2290,7106,2292,7121,2291,7119,2265,7106,2264xm8763,2251l8749,2252,8735,2252,8736,2280,8750,2279,8764,2279,8763,2251xm8750,2279l8736,2280,8743,2280,8750,2279xm9315,2239l8763,2251,8764,2279,8750,2279,9316,2267,9315,2239xm8197,2277l8183,2277,8183,2278,8197,2277xm8210,2275l8197,2277,8210,2276,8210,2275xm7119,2263l7106,2264,7119,2265,7119,2263xm7094,2263l7094,2265,7106,2264,7094,2263xm8749,2252l8735,2252,8735,2252,8749,2252xm8763,2251l8749,2252,8763,2251,8763,2251xe" filled="true" fillcolor="#e3c626" stroked="false">
                  <v:path arrowok="t"/>
                  <v:fill type="solid"/>
                </v:shape>
                <v:shape style="position:absolute;left:3240;top:2576;width:6075;height:166" id="docshape1421" coordorigin="3241,2576" coordsize="6075,166" path="m3793,2702l3241,2714,3242,2742,3794,2730,3793,2702xm4345,2701l3821,2701,3821,2729,3794,2730,4359,2717,4345,2717,4345,2701xm3821,2701l3793,2702,3793,2705,3794,2730,3821,2729,3821,2701xm5450,2677l4884,2689,4885,2717,4912,2716,4912,2689,5436,2689,5436,2677,5450,2677xm4373,2689l4345,2689,4345,2717,4359,2717,4373,2716,4373,2689xm4898,2689l4373,2689,4373,2716,4359,2717,4885,2717,4884,2689,4898,2689xm4912,2716l4899,2717,4912,2717,4912,2716xm5436,2689l4912,2689,4912,2716,5437,2705,5436,2689xm5451,2704l5437,2705,5437,2705,5451,2704xm5464,2676l5450,2677,5436,2677,5437,2705,5451,2704,5465,2704,5464,2676xm5465,2704l5451,2704,5465,2704,5465,2704xm5989,2676l5464,2676,5465,2704,5989,2680,5989,2676xm4345,2689l3793,2702,3821,2701,4345,2701,4345,2689xm4359,2689l4345,2689,4345,2689,4359,2689xm6016,2651l5988,2652,5989,2680,6017,2679,6016,2651xm6017,2679l6014,2679,6017,2679,6017,2679xm6540,2651l6016,2651,6017,2679,6555,2654,6540,2654,6540,2651xm6015,2651l5450,2677,5464,2676,5989,2676,5988,2652,6015,2651xm8197,2614l7644,2627,7645,2655,7672,2654,7672,2626,8184,2626,8183,2615,8197,2614xm6568,2626l6540,2627,6540,2654,6555,2654,6569,2654,6568,2626xm7092,2626l6568,2626,6569,2654,6555,2654,7092,2654,7092,2626xm7120,2626l7092,2626,7092,2654,7120,2654,7120,2626xm7658,2626l7120,2626,7120,2654,7645,2654,7644,2627,7658,2626xm7672,2654l7658,2654,7672,2654,7672,2654xm8184,2626l7672,2626,7672,2654,8184,2642,8184,2626xm6540,2627l6015,2651,6016,2651,6540,2651,6540,2627xm8198,2642l8184,2642,8184,2642,8198,2642xm8211,2614l8197,2614,8183,2615,8184,2642,8198,2642,8212,2641,8211,2614xm8212,2641l8198,2642,8212,2641,8212,2641xm8736,2614l8211,2614,8212,2641,8743,2617,8736,2617,8736,2614xm6554,2626l6540,2626,6540,2627,6554,2626xm8763,2589l8749,2589,8735,2590,8736,2617,8750,2617,8764,2616,8763,2589xm8750,2617l8736,2617,8743,2617,8750,2617xm9315,2576l8763,2589,8764,2616,8750,2617,9316,2604,9315,2576xm8735,2590l8197,2614,8211,2614,8736,2614,8735,2590xm8749,2589l8735,2589,8735,2590,8749,2589xm8763,2588l8749,2589,8763,2589,8763,2588xe" filled="true" fillcolor="#9cbf3b" stroked="false">
                  <v:path arrowok="t"/>
                  <v:fill type="solid"/>
                </v:shape>
                <v:shape style="position:absolute;left:3182;top:2118;width:146;height:145" type="#_x0000_t75" id="docshape1422" stroked="false">
                  <v:imagedata r:id="rId653" o:title=""/>
                </v:shape>
                <v:shape style="position:absolute;left:3734;top:2018;width:146;height:145" type="#_x0000_t75" id="docshape1423" stroked="false">
                  <v:imagedata r:id="rId654" o:title=""/>
                </v:shape>
                <v:shape style="position:absolute;left:4286;top:1880;width:146;height:145" type="#_x0000_t75" id="docshape1424" stroked="false">
                  <v:imagedata r:id="rId655" o:title=""/>
                </v:shape>
                <v:shape style="position:absolute;left:4825;top:1730;width:146;height:145" type="#_x0000_t75" id="docshape1425" stroked="false">
                  <v:imagedata r:id="rId656" o:title=""/>
                </v:shape>
                <v:shape style="position:absolute;left:5377;top:1593;width:146;height:145" type="#_x0000_t75" id="docshape1426" stroked="false">
                  <v:imagedata r:id="rId657" o:title=""/>
                </v:shape>
                <v:shape style="position:absolute;left:5929;top:1330;width:146;height:145" type="#_x0000_t75" id="docshape1427" stroked="false">
                  <v:imagedata r:id="rId658" o:title=""/>
                </v:shape>
                <v:shape style="position:absolute;left:6481;top:1180;width:146;height:145" type="#_x0000_t75" id="docshape1428" stroked="false">
                  <v:imagedata r:id="rId659" o:title=""/>
                </v:shape>
                <v:shape style="position:absolute;left:7033;top:1080;width:146;height:145" type="#_x0000_t75" id="docshape1429" stroked="false">
                  <v:imagedata r:id="rId660" o:title=""/>
                </v:shape>
                <v:shape style="position:absolute;left:7585;top:930;width:146;height:145" type="#_x0000_t75" id="docshape1430" stroked="false">
                  <v:imagedata r:id="rId661" o:title=""/>
                </v:shape>
                <v:shape style="position:absolute;left:8125;top:880;width:146;height:145" type="#_x0000_t75" id="docshape1431" stroked="false">
                  <v:imagedata r:id="rId662" o:title=""/>
                </v:shape>
                <v:shape style="position:absolute;left:8676;top:618;width:146;height:145" type="#_x0000_t75" id="docshape1432" stroked="false">
                  <v:imagedata r:id="rId660" o:title=""/>
                </v:shape>
                <v:shape style="position:absolute;left:9228;top:493;width:146;height:145" type="#_x0000_t75" id="docshape1433" stroked="false">
                  <v:imagedata r:id="rId660" o:title=""/>
                </v:shape>
                <v:shape style="position:absolute;left:3210;top:1371;width:6123;height:1014" id="docshape1434" coordorigin="3211,1371" coordsize="6123,1014" path="m3287,2309l3211,2309,3211,2385,3287,2385,3287,2378,3287,2371,3287,2322,3287,2315,3287,2309xm3839,2246l3763,2246,3763,2322,3839,2322,3839,2315,3839,2309,3839,2260,3839,2253,3839,2246xm4391,2171l4314,2171,4314,2247,4391,2247,4391,2240,4391,2234,4391,2185,4391,2178,4391,2171xm4930,2096l4854,2096,4854,2172,4930,2172,4930,2165,4930,2159,4930,2110,4930,2103,4930,2096xm5482,2009l5406,2009,5406,2085,5482,2085,5482,2078,5482,2071,5482,2022,5482,2016,5482,2009xm6034,1821l5958,1821,5958,1897,6034,1897,6034,1891,6034,1884,6034,1835,6034,1828,6034,1821xm6586,1596l6510,1596,6510,1673,6586,1673,6586,1666,6586,1659,6586,1610,6586,1603,6586,1596xm7138,1659l7062,1659,7062,1735,7138,1735,7138,1728,7138,1721,7138,1673,7138,1666,7138,1659xm7690,1621l7614,1621,7614,1698,7690,1698,7690,1691,7690,1684,7690,1635,7690,1628,7690,1621xm8230,1534l8153,1534,8153,1610,8230,1610,8230,1603,8230,1596,8230,1548,8230,1541,8230,1534xm8782,1434l8705,1434,8705,1510,8782,1510,8782,1503,8782,1496,8782,1448,8782,1441,8782,1434xm9333,1371l9257,1371,9257,1448,9333,1448,9333,1441,9333,1434,9333,1385,9333,1378,9333,1371xe" filled="true" fillcolor="#2f7d41" stroked="false">
                  <v:path arrowok="t"/>
                  <v:fill type="solid"/>
                </v:shape>
                <v:shape style="position:absolute;left:3181;top:2462;width:1792;height:210" id="docshape1435" coordorigin="3181,2462" coordsize="1792,210" path="m3329,2672l3327,2669,3322,2658,3255,2525,3249,2537,3181,2672,3329,2672xm3881,2660l3879,2656,3874,2646,3807,2512,3801,2525,3733,2660,3881,2660xm4433,2635l4431,2631,4426,2621,4359,2487,4353,2500,4285,2635,4433,2635xm4972,2610l4971,2606,4965,2596,4898,2462,4892,2475,4824,2610,4972,2610xe" filled="true" fillcolor="#e3c626" stroked="false">
                  <v:path arrowok="t"/>
                  <v:fill type="solid"/>
                </v:shape>
                <v:shape style="position:absolute;left:5376;top:2437;width:148;height:148" type="#_x0000_t75" id="docshape1436" stroked="false">
                  <v:imagedata r:id="rId663" o:title=""/>
                </v:shape>
                <v:shape style="position:absolute;left:5928;top:2362;width:148;height:148" type="#_x0000_t75" id="docshape1437" stroked="false">
                  <v:imagedata r:id="rId663" o:title=""/>
                </v:shape>
                <v:shape style="position:absolute;left:6480;top:2249;width:148;height:148" type="#_x0000_t75" id="docshape1438" stroked="false">
                  <v:imagedata r:id="rId663" o:title=""/>
                </v:shape>
                <v:shape style="position:absolute;left:7032;top:2199;width:148;height:148" type="#_x0000_t75" id="docshape1439" stroked="false">
                  <v:imagedata r:id="rId664" o:title=""/>
                </v:shape>
                <v:shape style="position:absolute;left:7584;top:2262;width:148;height:148" type="#_x0000_t75" id="docshape1440" stroked="false">
                  <v:imagedata r:id="rId665" o:title=""/>
                </v:shape>
                <v:shape style="position:absolute;left:8123;top:2212;width:148;height:148" type="#_x0000_t75" id="docshape1441" stroked="false">
                  <v:imagedata r:id="rId663" o:title=""/>
                </v:shape>
                <v:shape style="position:absolute;left:8675;top:2187;width:148;height:148" type="#_x0000_t75" id="docshape1442" stroked="false">
                  <v:imagedata r:id="rId666" o:title=""/>
                </v:shape>
                <v:shape style="position:absolute;left:9227;top:2174;width:148;height:148" type="#_x0000_t75" id="docshape1443" stroked="false">
                  <v:imagedata r:id="rId663" o:title=""/>
                </v:shape>
                <v:shape style="position:absolute;left:3185;top:2633;width:1771;height:152" id="docshape1444" coordorigin="3186,2633" coordsize="1771,152" path="m3312,2722l3311,2709,3307,2697,3302,2686,3294,2677,3288,2672,3284,2669,3274,2663,3262,2660,3249,2658,3236,2660,3224,2663,3213,2669,3204,2677,3196,2686,3190,2697,3187,2709,3186,2722,3187,2734,3190,2746,3196,2757,3204,2766,3213,2774,3224,2780,3236,2784,3249,2785,3262,2784,3274,2780,3284,2774,3288,2771,3294,2766,3302,2757,3307,2746,3311,2734,3312,2722xm3864,2709l3863,2696,3859,2684,3853,2674,3846,2664,3840,2660,3836,2657,3826,2651,3814,2647,3801,2646,3788,2647,3776,2651,3765,2657,3756,2664,3748,2674,3742,2684,3739,2696,3737,2709,3739,2722,3742,2734,3748,2745,3756,2754,3765,2762,3776,2767,3788,2771,3801,2772,3814,2771,3826,2767,3836,2762,3840,2758,3846,2754,3853,2745,3859,2734,3863,2722,3864,2709xm4416,2697l4415,2684,4411,2672,4405,2661,4398,2652,4392,2647,4388,2644,4378,2638,4366,2635,4353,2633,4340,2635,4328,2638,4317,2644,4308,2652,4300,2661,4294,2672,4291,2684,4289,2697,4291,2709,4294,2721,4300,2732,4308,2741,4317,2749,4328,2755,4340,2759,4353,2760,4366,2759,4378,2755,4388,2749,4392,2746,4398,2741,4405,2732,4411,2721,4415,2709,4416,2697xm4956,2697l4954,2684,4951,2672,4945,2661,4937,2652,4932,2647,4928,2644,4917,2638,4905,2635,4892,2633,4879,2635,4867,2638,4857,2644,4847,2652,4840,2661,4834,2672,4830,2684,4829,2697,4830,2709,4834,2721,4840,2732,4847,2741,4857,2749,4867,2755,4879,2759,4892,2760,4905,2759,4917,2755,4928,2749,4932,2746,4937,2741,4945,2732,4951,2721,4954,2709,4956,2697xe" filled="true" fillcolor="#9cbf3b" stroked="false">
                  <v:path arrowok="t"/>
                  <v:fill type="solid"/>
                </v:shape>
                <v:shape style="position:absolute;left:5380;top:2620;width:127;height:127" type="#_x0000_t75" id="docshape1445" stroked="false">
                  <v:imagedata r:id="rId667" o:title=""/>
                </v:shape>
                <v:shape style="position:absolute;left:5932;top:2595;width:127;height:127" type="#_x0000_t75" id="docshape1446" stroked="false">
                  <v:imagedata r:id="rId668" o:title=""/>
                </v:shape>
                <v:shape style="position:absolute;left:6484;top:2570;width:127;height:127" type="#_x0000_t75" id="docshape1447" stroked="false">
                  <v:imagedata r:id="rId669" o:title=""/>
                </v:shape>
                <v:shape style="position:absolute;left:7036;top:2570;width:127;height:127" type="#_x0000_t75" id="docshape1448" stroked="false">
                  <v:imagedata r:id="rId669" o:title=""/>
                </v:shape>
                <v:shape style="position:absolute;left:7588;top:2570;width:127;height:127" type="#_x0000_t75" id="docshape1449" stroked="false">
                  <v:imagedata r:id="rId669" o:title=""/>
                </v:shape>
                <v:shape style="position:absolute;left:8127;top:2558;width:127;height:127" type="#_x0000_t75" id="docshape1450" stroked="false">
                  <v:imagedata r:id="rId668" o:title=""/>
                </v:shape>
                <v:shape style="position:absolute;left:8679;top:2533;width:127;height:127" type="#_x0000_t75" id="docshape1451" stroked="false">
                  <v:imagedata r:id="rId670" o:title=""/>
                </v:shape>
                <v:shape style="position:absolute;left:9231;top:2520;width:127;height:127" type="#_x0000_t75" id="docshape1452" stroked="false">
                  <v:imagedata r:id="rId669" o:title=""/>
                </v:shape>
                <w10:wrap type="topAndBottom"/>
              </v:group>
            </w:pict>
          </mc:Fallback>
        </mc:AlternateContent>
      </w:r>
    </w:p>
    <w:p>
      <w:pPr>
        <w:pStyle w:val="BodyText"/>
        <w:rPr>
          <w:b/>
          <w:sz w:val="24"/>
        </w:rPr>
      </w:pPr>
    </w:p>
    <w:p>
      <w:pPr>
        <w:pStyle w:val="BodyText"/>
        <w:spacing w:before="48"/>
        <w:rPr>
          <w:b/>
          <w:sz w:val="24"/>
        </w:rPr>
      </w:pPr>
    </w:p>
    <w:p>
      <w:pPr>
        <w:spacing w:before="0"/>
        <w:ind w:left="2003" w:right="0" w:firstLine="0"/>
        <w:jc w:val="left"/>
        <w:rPr>
          <w:sz w:val="16"/>
        </w:rPr>
      </w:pPr>
      <w:r>
        <w:rPr>
          <w:i/>
          <w:w w:val="85"/>
          <w:sz w:val="16"/>
        </w:rPr>
        <w:t>Source:</w:t>
      </w:r>
      <w:r>
        <w:rPr>
          <w:i/>
          <w:spacing w:val="-5"/>
          <w:sz w:val="16"/>
        </w:rPr>
        <w:t> </w:t>
      </w:r>
      <w:r>
        <w:rPr>
          <w:spacing w:val="-4"/>
          <w:sz w:val="16"/>
        </w:rPr>
        <w:t>MHRD</w:t>
      </w:r>
    </w:p>
    <w:p>
      <w:pPr>
        <w:pStyle w:val="BodyText"/>
        <w:spacing w:before="230"/>
        <w:rPr>
          <w:sz w:val="24"/>
        </w:rPr>
      </w:pPr>
    </w:p>
    <w:p>
      <w:pPr>
        <w:pStyle w:val="Heading8"/>
        <w:ind w:left="24" w:right="437"/>
        <w:jc w:val="center"/>
      </w:pPr>
      <w:r>
        <w:rPr>
          <w:w w:val="90"/>
        </w:rPr>
        <w:t>Figure</w:t>
      </w:r>
      <w:r>
        <w:rPr>
          <w:spacing w:val="-2"/>
          <w:w w:val="90"/>
        </w:rPr>
        <w:t> </w:t>
      </w:r>
      <w:r>
        <w:rPr>
          <w:w w:val="90"/>
        </w:rPr>
        <w:t>19:</w:t>
      </w:r>
      <w:r>
        <w:rPr>
          <w:spacing w:val="-1"/>
          <w:w w:val="90"/>
        </w:rPr>
        <w:t> </w:t>
      </w:r>
      <w:r>
        <w:rPr>
          <w:color w:val="2E614A"/>
          <w:w w:val="90"/>
        </w:rPr>
        <w:t>Public</w:t>
      </w:r>
      <w:r>
        <w:rPr>
          <w:color w:val="2E614A"/>
          <w:spacing w:val="-1"/>
          <w:w w:val="90"/>
        </w:rPr>
        <w:t> </w:t>
      </w:r>
      <w:r>
        <w:rPr>
          <w:color w:val="2E614A"/>
          <w:w w:val="90"/>
        </w:rPr>
        <w:t>expenditure</w:t>
      </w:r>
      <w:r>
        <w:rPr>
          <w:color w:val="2E614A"/>
          <w:spacing w:val="-1"/>
          <w:w w:val="90"/>
        </w:rPr>
        <w:t> </w:t>
      </w:r>
      <w:r>
        <w:rPr>
          <w:color w:val="2E614A"/>
          <w:w w:val="90"/>
        </w:rPr>
        <w:t>per</w:t>
      </w:r>
      <w:r>
        <w:rPr>
          <w:color w:val="2E614A"/>
          <w:spacing w:val="-1"/>
          <w:w w:val="90"/>
        </w:rPr>
        <w:t> </w:t>
      </w:r>
      <w:r>
        <w:rPr>
          <w:color w:val="2E614A"/>
          <w:w w:val="90"/>
        </w:rPr>
        <w:t>student</w:t>
      </w:r>
      <w:r>
        <w:rPr>
          <w:color w:val="2E614A"/>
          <w:spacing w:val="-1"/>
          <w:w w:val="90"/>
        </w:rPr>
        <w:t> </w:t>
      </w:r>
      <w:r>
        <w:rPr>
          <w:color w:val="2E614A"/>
          <w:w w:val="90"/>
        </w:rPr>
        <w:t>in</w:t>
      </w:r>
      <w:r>
        <w:rPr>
          <w:color w:val="2E614A"/>
          <w:spacing w:val="-1"/>
          <w:w w:val="90"/>
        </w:rPr>
        <w:t> </w:t>
      </w:r>
      <w:r>
        <w:rPr>
          <w:color w:val="2E614A"/>
          <w:w w:val="90"/>
        </w:rPr>
        <w:t>higher</w:t>
      </w:r>
      <w:r>
        <w:rPr>
          <w:color w:val="2E614A"/>
          <w:spacing w:val="-1"/>
          <w:w w:val="90"/>
        </w:rPr>
        <w:t> </w:t>
      </w:r>
      <w:r>
        <w:rPr>
          <w:color w:val="2E614A"/>
          <w:w w:val="90"/>
        </w:rPr>
        <w:t>education</w:t>
      </w:r>
      <w:r>
        <w:rPr>
          <w:color w:val="2E614A"/>
          <w:spacing w:val="-1"/>
          <w:w w:val="90"/>
        </w:rPr>
        <w:t> </w:t>
      </w:r>
      <w:r>
        <w:rPr>
          <w:color w:val="2E614A"/>
          <w:w w:val="90"/>
        </w:rPr>
        <w:t>-</w:t>
      </w:r>
      <w:r>
        <w:rPr>
          <w:color w:val="2E614A"/>
          <w:spacing w:val="-1"/>
          <w:w w:val="90"/>
        </w:rPr>
        <w:t> </w:t>
      </w:r>
      <w:r>
        <w:rPr>
          <w:color w:val="2E614A"/>
          <w:w w:val="90"/>
        </w:rPr>
        <w:t>nominal</w:t>
      </w:r>
      <w:r>
        <w:rPr>
          <w:color w:val="2E614A"/>
          <w:spacing w:val="-1"/>
          <w:w w:val="90"/>
        </w:rPr>
        <w:t> </w:t>
      </w:r>
      <w:r>
        <w:rPr>
          <w:color w:val="2E614A"/>
          <w:w w:val="90"/>
        </w:rPr>
        <w:t>and</w:t>
      </w:r>
      <w:r>
        <w:rPr>
          <w:color w:val="2E614A"/>
          <w:spacing w:val="-1"/>
          <w:w w:val="90"/>
        </w:rPr>
        <w:t> </w:t>
      </w:r>
      <w:r>
        <w:rPr>
          <w:color w:val="2E614A"/>
          <w:spacing w:val="-4"/>
          <w:w w:val="90"/>
        </w:rPr>
        <w:t>real</w:t>
      </w:r>
    </w:p>
    <w:p>
      <w:pPr>
        <w:pStyle w:val="BodyText"/>
        <w:spacing w:before="3"/>
        <w:rPr>
          <w:b/>
          <w:sz w:val="9"/>
        </w:rPr>
      </w:pPr>
      <w:r>
        <w:rPr/>
        <mc:AlternateContent>
          <mc:Choice Requires="wps">
            <w:drawing>
              <wp:anchor distT="0" distB="0" distL="0" distR="0" allowOverlap="1" layoutInCell="1" locked="0" behindDoc="1" simplePos="0" relativeHeight="487678976">
                <wp:simplePos x="0" y="0"/>
                <wp:positionH relativeFrom="page">
                  <wp:posOffset>1272308</wp:posOffset>
                </wp:positionH>
                <wp:positionV relativeFrom="paragraph">
                  <wp:posOffset>83370</wp:posOffset>
                </wp:positionV>
                <wp:extent cx="5042535" cy="2501900"/>
                <wp:effectExtent l="0" t="0" r="0" b="0"/>
                <wp:wrapTopAndBottom/>
                <wp:docPr id="1465" name="Group 1465"/>
                <wp:cNvGraphicFramePr>
                  <a:graphicFrameLocks/>
                </wp:cNvGraphicFramePr>
                <a:graphic>
                  <a:graphicData uri="http://schemas.microsoft.com/office/word/2010/wordprocessingGroup">
                    <wpg:wgp>
                      <wpg:cNvPr id="1465" name="Group 1465"/>
                      <wpg:cNvGrpSpPr/>
                      <wpg:grpSpPr>
                        <a:xfrm>
                          <a:off x="0" y="0"/>
                          <a:ext cx="5042535" cy="2501900"/>
                          <a:chExt cx="5042535" cy="2501900"/>
                        </a:xfrm>
                      </wpg:grpSpPr>
                      <wps:wsp>
                        <wps:cNvPr id="1466" name="Graphic 1466"/>
                        <wps:cNvSpPr/>
                        <wps:spPr>
                          <a:xfrm>
                            <a:off x="416245" y="546963"/>
                            <a:ext cx="4442460" cy="1565910"/>
                          </a:xfrm>
                          <a:custGeom>
                            <a:avLst/>
                            <a:gdLst/>
                            <a:ahLst/>
                            <a:cxnLst/>
                            <a:rect l="l" t="t" r="r" b="b"/>
                            <a:pathLst>
                              <a:path w="4442460" h="1565910">
                                <a:moveTo>
                                  <a:pt x="4442155" y="1527060"/>
                                </a:moveTo>
                                <a:lnTo>
                                  <a:pt x="4442155" y="1527060"/>
                                </a:lnTo>
                                <a:lnTo>
                                  <a:pt x="38785" y="1527060"/>
                                </a:lnTo>
                                <a:lnTo>
                                  <a:pt x="38785" y="0"/>
                                </a:lnTo>
                                <a:lnTo>
                                  <a:pt x="32435" y="0"/>
                                </a:lnTo>
                                <a:lnTo>
                                  <a:pt x="0" y="0"/>
                                </a:lnTo>
                                <a:lnTo>
                                  <a:pt x="0" y="6350"/>
                                </a:lnTo>
                                <a:lnTo>
                                  <a:pt x="32435" y="6350"/>
                                </a:lnTo>
                                <a:lnTo>
                                  <a:pt x="32435" y="218160"/>
                                </a:lnTo>
                                <a:lnTo>
                                  <a:pt x="0" y="218160"/>
                                </a:lnTo>
                                <a:lnTo>
                                  <a:pt x="0" y="224510"/>
                                </a:lnTo>
                                <a:lnTo>
                                  <a:pt x="32435" y="224510"/>
                                </a:lnTo>
                                <a:lnTo>
                                  <a:pt x="32435" y="436295"/>
                                </a:lnTo>
                                <a:lnTo>
                                  <a:pt x="0" y="436295"/>
                                </a:lnTo>
                                <a:lnTo>
                                  <a:pt x="0" y="442645"/>
                                </a:lnTo>
                                <a:lnTo>
                                  <a:pt x="32435" y="442645"/>
                                </a:lnTo>
                                <a:lnTo>
                                  <a:pt x="32435" y="654456"/>
                                </a:lnTo>
                                <a:lnTo>
                                  <a:pt x="0" y="654456"/>
                                </a:lnTo>
                                <a:lnTo>
                                  <a:pt x="0" y="660806"/>
                                </a:lnTo>
                                <a:lnTo>
                                  <a:pt x="32435" y="660806"/>
                                </a:lnTo>
                                <a:lnTo>
                                  <a:pt x="32435" y="872591"/>
                                </a:lnTo>
                                <a:lnTo>
                                  <a:pt x="0" y="872591"/>
                                </a:lnTo>
                                <a:lnTo>
                                  <a:pt x="0" y="878941"/>
                                </a:lnTo>
                                <a:lnTo>
                                  <a:pt x="32435" y="878941"/>
                                </a:lnTo>
                                <a:lnTo>
                                  <a:pt x="32435" y="1090752"/>
                                </a:lnTo>
                                <a:lnTo>
                                  <a:pt x="0" y="1090752"/>
                                </a:lnTo>
                                <a:lnTo>
                                  <a:pt x="0" y="1097102"/>
                                </a:lnTo>
                                <a:lnTo>
                                  <a:pt x="32435" y="1097102"/>
                                </a:lnTo>
                                <a:lnTo>
                                  <a:pt x="32435" y="1308900"/>
                                </a:lnTo>
                                <a:lnTo>
                                  <a:pt x="0" y="1308900"/>
                                </a:lnTo>
                                <a:lnTo>
                                  <a:pt x="0" y="1315250"/>
                                </a:lnTo>
                                <a:lnTo>
                                  <a:pt x="32435" y="1315250"/>
                                </a:lnTo>
                                <a:lnTo>
                                  <a:pt x="32435" y="1527060"/>
                                </a:lnTo>
                                <a:lnTo>
                                  <a:pt x="0" y="1527060"/>
                                </a:lnTo>
                                <a:lnTo>
                                  <a:pt x="0" y="1533410"/>
                                </a:lnTo>
                                <a:lnTo>
                                  <a:pt x="32435" y="1533410"/>
                                </a:lnTo>
                                <a:lnTo>
                                  <a:pt x="32435" y="1565719"/>
                                </a:lnTo>
                                <a:lnTo>
                                  <a:pt x="38785" y="1565719"/>
                                </a:lnTo>
                                <a:lnTo>
                                  <a:pt x="38785" y="1533410"/>
                                </a:lnTo>
                                <a:lnTo>
                                  <a:pt x="429793" y="1533410"/>
                                </a:lnTo>
                                <a:lnTo>
                                  <a:pt x="429793" y="1565719"/>
                                </a:lnTo>
                                <a:lnTo>
                                  <a:pt x="436143" y="1565719"/>
                                </a:lnTo>
                                <a:lnTo>
                                  <a:pt x="436143" y="1533410"/>
                                </a:lnTo>
                                <a:lnTo>
                                  <a:pt x="835266" y="1533410"/>
                                </a:lnTo>
                                <a:lnTo>
                                  <a:pt x="835266" y="1565719"/>
                                </a:lnTo>
                                <a:lnTo>
                                  <a:pt x="841616" y="1565719"/>
                                </a:lnTo>
                                <a:lnTo>
                                  <a:pt x="841616" y="1533410"/>
                                </a:lnTo>
                                <a:lnTo>
                                  <a:pt x="1232623" y="1533410"/>
                                </a:lnTo>
                                <a:lnTo>
                                  <a:pt x="1232623" y="1565719"/>
                                </a:lnTo>
                                <a:lnTo>
                                  <a:pt x="1238973" y="1565719"/>
                                </a:lnTo>
                                <a:lnTo>
                                  <a:pt x="1238973" y="1533410"/>
                                </a:lnTo>
                                <a:lnTo>
                                  <a:pt x="1629968" y="1533410"/>
                                </a:lnTo>
                                <a:lnTo>
                                  <a:pt x="1629968" y="1565719"/>
                                </a:lnTo>
                                <a:lnTo>
                                  <a:pt x="1636318" y="1565719"/>
                                </a:lnTo>
                                <a:lnTo>
                                  <a:pt x="1636318" y="1533410"/>
                                </a:lnTo>
                                <a:lnTo>
                                  <a:pt x="2035441" y="1533410"/>
                                </a:lnTo>
                                <a:lnTo>
                                  <a:pt x="2035441" y="1565719"/>
                                </a:lnTo>
                                <a:lnTo>
                                  <a:pt x="2041791" y="1565719"/>
                                </a:lnTo>
                                <a:lnTo>
                                  <a:pt x="2041791" y="1533410"/>
                                </a:lnTo>
                                <a:lnTo>
                                  <a:pt x="2432799" y="1533410"/>
                                </a:lnTo>
                                <a:lnTo>
                                  <a:pt x="2432799" y="1565719"/>
                                </a:lnTo>
                                <a:lnTo>
                                  <a:pt x="2439149" y="1565719"/>
                                </a:lnTo>
                                <a:lnTo>
                                  <a:pt x="2439149" y="1533410"/>
                                </a:lnTo>
                                <a:lnTo>
                                  <a:pt x="2838259" y="1533410"/>
                                </a:lnTo>
                                <a:lnTo>
                                  <a:pt x="2838259" y="1565719"/>
                                </a:lnTo>
                                <a:lnTo>
                                  <a:pt x="2844609" y="1565719"/>
                                </a:lnTo>
                                <a:lnTo>
                                  <a:pt x="2844609" y="1533410"/>
                                </a:lnTo>
                                <a:lnTo>
                                  <a:pt x="3235617" y="1533410"/>
                                </a:lnTo>
                                <a:lnTo>
                                  <a:pt x="3235617" y="1565719"/>
                                </a:lnTo>
                                <a:lnTo>
                                  <a:pt x="3241967" y="1565719"/>
                                </a:lnTo>
                                <a:lnTo>
                                  <a:pt x="3241967" y="1533410"/>
                                </a:lnTo>
                                <a:lnTo>
                                  <a:pt x="3632974" y="1533410"/>
                                </a:lnTo>
                                <a:lnTo>
                                  <a:pt x="3632974" y="1565719"/>
                                </a:lnTo>
                                <a:lnTo>
                                  <a:pt x="3639324" y="1565719"/>
                                </a:lnTo>
                                <a:lnTo>
                                  <a:pt x="3639324" y="1533410"/>
                                </a:lnTo>
                                <a:lnTo>
                                  <a:pt x="4038447" y="1533410"/>
                                </a:lnTo>
                                <a:lnTo>
                                  <a:pt x="4038447" y="1565719"/>
                                </a:lnTo>
                                <a:lnTo>
                                  <a:pt x="4044797" y="1565719"/>
                                </a:lnTo>
                                <a:lnTo>
                                  <a:pt x="4044797" y="1533410"/>
                                </a:lnTo>
                                <a:lnTo>
                                  <a:pt x="4435805" y="1533410"/>
                                </a:lnTo>
                                <a:lnTo>
                                  <a:pt x="4435805" y="1565719"/>
                                </a:lnTo>
                                <a:lnTo>
                                  <a:pt x="4442155" y="1565719"/>
                                </a:lnTo>
                                <a:lnTo>
                                  <a:pt x="4442155" y="1527060"/>
                                </a:lnTo>
                                <a:close/>
                              </a:path>
                            </a:pathLst>
                          </a:custGeom>
                          <a:solidFill>
                            <a:srgbClr val="000000"/>
                          </a:solidFill>
                        </wps:spPr>
                        <wps:bodyPr wrap="square" lIns="0" tIns="0" rIns="0" bIns="0" rtlCol="0">
                          <a:prstTxWarp prst="textNoShape">
                            <a:avLst/>
                          </a:prstTxWarp>
                          <a:noAutofit/>
                        </wps:bodyPr>
                      </wps:wsp>
                      <wps:wsp>
                        <wps:cNvPr id="1467" name="Graphic 1467"/>
                        <wps:cNvSpPr/>
                        <wps:spPr>
                          <a:xfrm>
                            <a:off x="643933" y="546382"/>
                            <a:ext cx="4018279" cy="621030"/>
                          </a:xfrm>
                          <a:custGeom>
                            <a:avLst/>
                            <a:gdLst/>
                            <a:ahLst/>
                            <a:cxnLst/>
                            <a:rect l="l" t="t" r="r" b="b"/>
                            <a:pathLst>
                              <a:path w="4018279" h="621030">
                                <a:moveTo>
                                  <a:pt x="1217946" y="617507"/>
                                </a:moveTo>
                                <a:lnTo>
                                  <a:pt x="1210431" y="618730"/>
                                </a:lnTo>
                                <a:lnTo>
                                  <a:pt x="1217177" y="620477"/>
                                </a:lnTo>
                                <a:lnTo>
                                  <a:pt x="1217946" y="617507"/>
                                </a:lnTo>
                                <a:close/>
                              </a:path>
                              <a:path w="4018279" h="621030">
                                <a:moveTo>
                                  <a:pt x="1203060" y="616820"/>
                                </a:moveTo>
                                <a:lnTo>
                                  <a:pt x="1203553" y="619849"/>
                                </a:lnTo>
                                <a:lnTo>
                                  <a:pt x="1210431" y="618730"/>
                                </a:lnTo>
                                <a:lnTo>
                                  <a:pt x="1203060" y="616820"/>
                                </a:lnTo>
                                <a:close/>
                              </a:path>
                              <a:path w="4018279" h="621030">
                                <a:moveTo>
                                  <a:pt x="1211263" y="600712"/>
                                </a:moveTo>
                                <a:lnTo>
                                  <a:pt x="1200719" y="602427"/>
                                </a:lnTo>
                                <a:lnTo>
                                  <a:pt x="1203060" y="616820"/>
                                </a:lnTo>
                                <a:lnTo>
                                  <a:pt x="1210431" y="618730"/>
                                </a:lnTo>
                                <a:lnTo>
                                  <a:pt x="1217946" y="617507"/>
                                </a:lnTo>
                                <a:lnTo>
                                  <a:pt x="1221603" y="603391"/>
                                </a:lnTo>
                                <a:lnTo>
                                  <a:pt x="1211263" y="600712"/>
                                </a:lnTo>
                                <a:close/>
                              </a:path>
                              <a:path w="4018279" h="621030">
                                <a:moveTo>
                                  <a:pt x="1606139" y="536480"/>
                                </a:moveTo>
                                <a:lnTo>
                                  <a:pt x="1211263" y="600712"/>
                                </a:lnTo>
                                <a:lnTo>
                                  <a:pt x="1221603" y="603391"/>
                                </a:lnTo>
                                <a:lnTo>
                                  <a:pt x="1217946" y="617507"/>
                                </a:lnTo>
                                <a:lnTo>
                                  <a:pt x="1602103" y="555019"/>
                                </a:lnTo>
                                <a:lnTo>
                                  <a:pt x="1597110" y="539358"/>
                                </a:lnTo>
                                <a:lnTo>
                                  <a:pt x="1606139" y="536480"/>
                                </a:lnTo>
                                <a:close/>
                              </a:path>
                              <a:path w="4018279" h="621030">
                                <a:moveTo>
                                  <a:pt x="803727" y="513376"/>
                                </a:moveTo>
                                <a:lnTo>
                                  <a:pt x="1203060" y="616820"/>
                                </a:lnTo>
                                <a:lnTo>
                                  <a:pt x="1200719" y="602427"/>
                                </a:lnTo>
                                <a:lnTo>
                                  <a:pt x="1211263" y="600712"/>
                                </a:lnTo>
                                <a:lnTo>
                                  <a:pt x="878512" y="514515"/>
                                </a:lnTo>
                                <a:lnTo>
                                  <a:pt x="813068" y="514515"/>
                                </a:lnTo>
                                <a:lnTo>
                                  <a:pt x="803727" y="513376"/>
                                </a:lnTo>
                                <a:close/>
                              </a:path>
                              <a:path w="4018279" h="621030">
                                <a:moveTo>
                                  <a:pt x="400003" y="449089"/>
                                </a:moveTo>
                                <a:lnTo>
                                  <a:pt x="0" y="546684"/>
                                </a:lnTo>
                                <a:lnTo>
                                  <a:pt x="4183" y="563831"/>
                                </a:lnTo>
                                <a:lnTo>
                                  <a:pt x="408552" y="465171"/>
                                </a:lnTo>
                                <a:lnTo>
                                  <a:pt x="398195" y="463908"/>
                                </a:lnTo>
                                <a:lnTo>
                                  <a:pt x="400003" y="449089"/>
                                </a:lnTo>
                                <a:close/>
                              </a:path>
                              <a:path w="4018279" h="621030">
                                <a:moveTo>
                                  <a:pt x="1610260" y="553692"/>
                                </a:moveTo>
                                <a:lnTo>
                                  <a:pt x="1602103" y="555019"/>
                                </a:lnTo>
                                <a:lnTo>
                                  <a:pt x="1602472" y="556175"/>
                                </a:lnTo>
                                <a:lnTo>
                                  <a:pt x="1610260" y="553692"/>
                                </a:lnTo>
                                <a:close/>
                              </a:path>
                              <a:path w="4018279" h="621030">
                                <a:moveTo>
                                  <a:pt x="1615493" y="534958"/>
                                </a:moveTo>
                                <a:lnTo>
                                  <a:pt x="1606139" y="536480"/>
                                </a:lnTo>
                                <a:lnTo>
                                  <a:pt x="1597110" y="539358"/>
                                </a:lnTo>
                                <a:lnTo>
                                  <a:pt x="1602103" y="555019"/>
                                </a:lnTo>
                                <a:lnTo>
                                  <a:pt x="1610260" y="553692"/>
                                </a:lnTo>
                                <a:lnTo>
                                  <a:pt x="1618132" y="551182"/>
                                </a:lnTo>
                                <a:lnTo>
                                  <a:pt x="1615493" y="534958"/>
                                </a:lnTo>
                                <a:close/>
                              </a:path>
                              <a:path w="4018279" h="621030">
                                <a:moveTo>
                                  <a:pt x="1618132" y="551182"/>
                                </a:moveTo>
                                <a:lnTo>
                                  <a:pt x="1610260" y="553692"/>
                                </a:lnTo>
                                <a:lnTo>
                                  <a:pt x="1618327" y="552380"/>
                                </a:lnTo>
                                <a:lnTo>
                                  <a:pt x="1618132" y="551182"/>
                                </a:lnTo>
                                <a:close/>
                              </a:path>
                              <a:path w="4018279" h="621030">
                                <a:moveTo>
                                  <a:pt x="1669019" y="534958"/>
                                </a:moveTo>
                                <a:lnTo>
                                  <a:pt x="1615493" y="534958"/>
                                </a:lnTo>
                                <a:lnTo>
                                  <a:pt x="1618132" y="551182"/>
                                </a:lnTo>
                                <a:lnTo>
                                  <a:pt x="1669019" y="534958"/>
                                </a:lnTo>
                                <a:close/>
                              </a:path>
                              <a:path w="4018279" h="621030">
                                <a:moveTo>
                                  <a:pt x="2009389" y="407916"/>
                                </a:moveTo>
                                <a:lnTo>
                                  <a:pt x="1606139" y="536480"/>
                                </a:lnTo>
                                <a:lnTo>
                                  <a:pt x="1615493" y="534958"/>
                                </a:lnTo>
                                <a:lnTo>
                                  <a:pt x="1669019" y="534958"/>
                                </a:lnTo>
                                <a:lnTo>
                                  <a:pt x="2010611" y="426052"/>
                                </a:lnTo>
                                <a:lnTo>
                                  <a:pt x="2001247" y="414539"/>
                                </a:lnTo>
                                <a:lnTo>
                                  <a:pt x="2009389" y="407916"/>
                                </a:lnTo>
                                <a:close/>
                              </a:path>
                              <a:path w="4018279" h="621030">
                                <a:moveTo>
                                  <a:pt x="798772" y="494990"/>
                                </a:moveTo>
                                <a:lnTo>
                                  <a:pt x="794620" y="511016"/>
                                </a:lnTo>
                                <a:lnTo>
                                  <a:pt x="803727" y="513376"/>
                                </a:lnTo>
                                <a:lnTo>
                                  <a:pt x="813068" y="514515"/>
                                </a:lnTo>
                                <a:lnTo>
                                  <a:pt x="815073" y="498081"/>
                                </a:lnTo>
                                <a:lnTo>
                                  <a:pt x="807024" y="495996"/>
                                </a:lnTo>
                                <a:lnTo>
                                  <a:pt x="798772" y="494990"/>
                                </a:lnTo>
                                <a:close/>
                              </a:path>
                              <a:path w="4018279" h="621030">
                                <a:moveTo>
                                  <a:pt x="815073" y="498081"/>
                                </a:moveTo>
                                <a:lnTo>
                                  <a:pt x="813068" y="514515"/>
                                </a:lnTo>
                                <a:lnTo>
                                  <a:pt x="878512" y="514515"/>
                                </a:lnTo>
                                <a:lnTo>
                                  <a:pt x="815073" y="498081"/>
                                </a:lnTo>
                                <a:close/>
                              </a:path>
                              <a:path w="4018279" h="621030">
                                <a:moveTo>
                                  <a:pt x="415151" y="448195"/>
                                </a:moveTo>
                                <a:lnTo>
                                  <a:pt x="418690" y="462698"/>
                                </a:lnTo>
                                <a:lnTo>
                                  <a:pt x="408552" y="465171"/>
                                </a:lnTo>
                                <a:lnTo>
                                  <a:pt x="803727" y="513376"/>
                                </a:lnTo>
                                <a:lnTo>
                                  <a:pt x="794620" y="511016"/>
                                </a:lnTo>
                                <a:lnTo>
                                  <a:pt x="798772" y="494990"/>
                                </a:lnTo>
                                <a:lnTo>
                                  <a:pt x="415151" y="448195"/>
                                </a:lnTo>
                                <a:close/>
                              </a:path>
                              <a:path w="4018279" h="621030">
                                <a:moveTo>
                                  <a:pt x="807024" y="495996"/>
                                </a:moveTo>
                                <a:lnTo>
                                  <a:pt x="815073" y="498081"/>
                                </a:lnTo>
                                <a:lnTo>
                                  <a:pt x="815205" y="496994"/>
                                </a:lnTo>
                                <a:lnTo>
                                  <a:pt x="807024" y="495996"/>
                                </a:lnTo>
                                <a:close/>
                              </a:path>
                              <a:path w="4018279" h="621030">
                                <a:moveTo>
                                  <a:pt x="799046" y="493930"/>
                                </a:moveTo>
                                <a:lnTo>
                                  <a:pt x="798772" y="494990"/>
                                </a:lnTo>
                                <a:lnTo>
                                  <a:pt x="807024" y="495996"/>
                                </a:lnTo>
                                <a:lnTo>
                                  <a:pt x="799046" y="493930"/>
                                </a:lnTo>
                                <a:close/>
                              </a:path>
                              <a:path w="4018279" h="621030">
                                <a:moveTo>
                                  <a:pt x="407495" y="447261"/>
                                </a:moveTo>
                                <a:lnTo>
                                  <a:pt x="400003" y="449089"/>
                                </a:lnTo>
                                <a:lnTo>
                                  <a:pt x="398195" y="463908"/>
                                </a:lnTo>
                                <a:lnTo>
                                  <a:pt x="408552" y="465171"/>
                                </a:lnTo>
                                <a:lnTo>
                                  <a:pt x="418690" y="462698"/>
                                </a:lnTo>
                                <a:lnTo>
                                  <a:pt x="415151" y="448195"/>
                                </a:lnTo>
                                <a:lnTo>
                                  <a:pt x="407495" y="447261"/>
                                </a:lnTo>
                                <a:close/>
                              </a:path>
                              <a:path w="4018279" h="621030">
                                <a:moveTo>
                                  <a:pt x="400332" y="446387"/>
                                </a:moveTo>
                                <a:lnTo>
                                  <a:pt x="400003" y="449089"/>
                                </a:lnTo>
                                <a:lnTo>
                                  <a:pt x="407495" y="447261"/>
                                </a:lnTo>
                                <a:lnTo>
                                  <a:pt x="400332" y="446387"/>
                                </a:lnTo>
                                <a:close/>
                              </a:path>
                              <a:path w="4018279" h="621030">
                                <a:moveTo>
                                  <a:pt x="414506" y="445551"/>
                                </a:moveTo>
                                <a:lnTo>
                                  <a:pt x="407495" y="447261"/>
                                </a:lnTo>
                                <a:lnTo>
                                  <a:pt x="415151" y="448195"/>
                                </a:lnTo>
                                <a:lnTo>
                                  <a:pt x="414506" y="445551"/>
                                </a:lnTo>
                                <a:close/>
                              </a:path>
                              <a:path w="4018279" h="621030">
                                <a:moveTo>
                                  <a:pt x="2017934" y="423717"/>
                                </a:moveTo>
                                <a:lnTo>
                                  <a:pt x="2010611" y="426052"/>
                                </a:lnTo>
                                <a:lnTo>
                                  <a:pt x="2012384" y="428232"/>
                                </a:lnTo>
                                <a:lnTo>
                                  <a:pt x="2017934" y="423717"/>
                                </a:lnTo>
                                <a:close/>
                              </a:path>
                              <a:path w="4018279" h="621030">
                                <a:moveTo>
                                  <a:pt x="2019390" y="404728"/>
                                </a:moveTo>
                                <a:lnTo>
                                  <a:pt x="2009389" y="407916"/>
                                </a:lnTo>
                                <a:lnTo>
                                  <a:pt x="2001247" y="414539"/>
                                </a:lnTo>
                                <a:lnTo>
                                  <a:pt x="2010611" y="426052"/>
                                </a:lnTo>
                                <a:lnTo>
                                  <a:pt x="2017934" y="423717"/>
                                </a:lnTo>
                                <a:lnTo>
                                  <a:pt x="2023898" y="418867"/>
                                </a:lnTo>
                                <a:lnTo>
                                  <a:pt x="2019390" y="404728"/>
                                </a:lnTo>
                                <a:close/>
                              </a:path>
                              <a:path w="4018279" h="621030">
                                <a:moveTo>
                                  <a:pt x="2023898" y="418867"/>
                                </a:moveTo>
                                <a:lnTo>
                                  <a:pt x="2017934" y="423717"/>
                                </a:lnTo>
                                <a:lnTo>
                                  <a:pt x="2024751" y="421544"/>
                                </a:lnTo>
                                <a:lnTo>
                                  <a:pt x="2023898" y="418867"/>
                                </a:lnTo>
                                <a:close/>
                              </a:path>
                              <a:path w="4018279" h="621030">
                                <a:moveTo>
                                  <a:pt x="2041282" y="404728"/>
                                </a:moveTo>
                                <a:lnTo>
                                  <a:pt x="2019390" y="404728"/>
                                </a:lnTo>
                                <a:lnTo>
                                  <a:pt x="2023898" y="418867"/>
                                </a:lnTo>
                                <a:lnTo>
                                  <a:pt x="2041282" y="404728"/>
                                </a:lnTo>
                                <a:close/>
                              </a:path>
                              <a:path w="4018279" h="621030">
                                <a:moveTo>
                                  <a:pt x="2401308" y="89153"/>
                                </a:moveTo>
                                <a:lnTo>
                                  <a:pt x="2009389" y="407916"/>
                                </a:lnTo>
                                <a:lnTo>
                                  <a:pt x="2019390" y="404728"/>
                                </a:lnTo>
                                <a:lnTo>
                                  <a:pt x="2041282" y="404728"/>
                                </a:lnTo>
                                <a:lnTo>
                                  <a:pt x="2412212" y="103036"/>
                                </a:lnTo>
                                <a:lnTo>
                                  <a:pt x="2404131" y="103036"/>
                                </a:lnTo>
                                <a:lnTo>
                                  <a:pt x="2401308" y="89153"/>
                                </a:lnTo>
                                <a:close/>
                              </a:path>
                              <a:path w="4018279" h="621030">
                                <a:moveTo>
                                  <a:pt x="3219476" y="222317"/>
                                </a:moveTo>
                                <a:lnTo>
                                  <a:pt x="3212029" y="222771"/>
                                </a:lnTo>
                                <a:lnTo>
                                  <a:pt x="3217814" y="225653"/>
                                </a:lnTo>
                                <a:lnTo>
                                  <a:pt x="3219476" y="222317"/>
                                </a:lnTo>
                                <a:close/>
                              </a:path>
                              <a:path w="4018279" h="621030">
                                <a:moveTo>
                                  <a:pt x="3205352" y="219445"/>
                                </a:moveTo>
                                <a:lnTo>
                                  <a:pt x="3205579" y="223165"/>
                                </a:lnTo>
                                <a:lnTo>
                                  <a:pt x="3212029" y="222771"/>
                                </a:lnTo>
                                <a:lnTo>
                                  <a:pt x="3205352" y="219445"/>
                                </a:lnTo>
                                <a:close/>
                              </a:path>
                              <a:path w="4018279" h="621030">
                                <a:moveTo>
                                  <a:pt x="3215670" y="204866"/>
                                </a:moveTo>
                                <a:lnTo>
                                  <a:pt x="3204504" y="205547"/>
                                </a:lnTo>
                                <a:lnTo>
                                  <a:pt x="3205352" y="219445"/>
                                </a:lnTo>
                                <a:lnTo>
                                  <a:pt x="3212029" y="222771"/>
                                </a:lnTo>
                                <a:lnTo>
                                  <a:pt x="3219476" y="222317"/>
                                </a:lnTo>
                                <a:lnTo>
                                  <a:pt x="3225684" y="209854"/>
                                </a:lnTo>
                                <a:lnTo>
                                  <a:pt x="3215670" y="204866"/>
                                </a:lnTo>
                                <a:close/>
                              </a:path>
                              <a:path w="4018279" h="621030">
                                <a:moveTo>
                                  <a:pt x="3601850" y="181307"/>
                                </a:moveTo>
                                <a:lnTo>
                                  <a:pt x="3215670" y="204866"/>
                                </a:lnTo>
                                <a:lnTo>
                                  <a:pt x="3225684" y="209854"/>
                                </a:lnTo>
                                <a:lnTo>
                                  <a:pt x="3219476" y="222317"/>
                                </a:lnTo>
                                <a:lnTo>
                                  <a:pt x="3602933" y="198924"/>
                                </a:lnTo>
                                <a:lnTo>
                                  <a:pt x="3601850" y="181307"/>
                                </a:lnTo>
                                <a:close/>
                              </a:path>
                              <a:path w="4018279" h="621030">
                                <a:moveTo>
                                  <a:pt x="2816157" y="5855"/>
                                </a:moveTo>
                                <a:lnTo>
                                  <a:pt x="2818774" y="18724"/>
                                </a:lnTo>
                                <a:lnTo>
                                  <a:pt x="2807150" y="21087"/>
                                </a:lnTo>
                                <a:lnTo>
                                  <a:pt x="3205352" y="219445"/>
                                </a:lnTo>
                                <a:lnTo>
                                  <a:pt x="3204504" y="205547"/>
                                </a:lnTo>
                                <a:lnTo>
                                  <a:pt x="3215670" y="204866"/>
                                </a:lnTo>
                                <a:lnTo>
                                  <a:pt x="2816157" y="5855"/>
                                </a:lnTo>
                                <a:close/>
                              </a:path>
                              <a:path w="4018279" h="621030">
                                <a:moveTo>
                                  <a:pt x="3619468" y="180232"/>
                                </a:moveTo>
                                <a:lnTo>
                                  <a:pt x="3601850" y="181307"/>
                                </a:lnTo>
                                <a:lnTo>
                                  <a:pt x="3602925" y="198924"/>
                                </a:lnTo>
                                <a:lnTo>
                                  <a:pt x="3620543" y="197850"/>
                                </a:lnTo>
                                <a:lnTo>
                                  <a:pt x="3619468" y="180232"/>
                                </a:lnTo>
                                <a:close/>
                              </a:path>
                              <a:path w="4018279" h="621030">
                                <a:moveTo>
                                  <a:pt x="3620543" y="197850"/>
                                </a:moveTo>
                                <a:lnTo>
                                  <a:pt x="3602925" y="198924"/>
                                </a:lnTo>
                                <a:lnTo>
                                  <a:pt x="3620543" y="197850"/>
                                </a:lnTo>
                                <a:close/>
                              </a:path>
                              <a:path w="4018279" h="621030">
                                <a:moveTo>
                                  <a:pt x="4016838" y="155998"/>
                                </a:moveTo>
                                <a:lnTo>
                                  <a:pt x="3619471" y="180232"/>
                                </a:lnTo>
                                <a:lnTo>
                                  <a:pt x="3620543" y="197850"/>
                                </a:lnTo>
                                <a:lnTo>
                                  <a:pt x="4017913" y="173616"/>
                                </a:lnTo>
                                <a:lnTo>
                                  <a:pt x="4016838" y="155998"/>
                                </a:lnTo>
                                <a:close/>
                              </a:path>
                              <a:path w="4018279" h="621030">
                                <a:moveTo>
                                  <a:pt x="3619468" y="180232"/>
                                </a:moveTo>
                                <a:lnTo>
                                  <a:pt x="3609073" y="180866"/>
                                </a:lnTo>
                                <a:lnTo>
                                  <a:pt x="3619468" y="180232"/>
                                </a:lnTo>
                                <a:close/>
                              </a:path>
                              <a:path w="4018279" h="621030">
                                <a:moveTo>
                                  <a:pt x="2414497" y="82916"/>
                                </a:moveTo>
                                <a:lnTo>
                                  <a:pt x="2407136" y="84413"/>
                                </a:lnTo>
                                <a:lnTo>
                                  <a:pt x="2401308" y="89153"/>
                                </a:lnTo>
                                <a:lnTo>
                                  <a:pt x="2404131" y="103036"/>
                                </a:lnTo>
                                <a:lnTo>
                                  <a:pt x="2414905" y="100845"/>
                                </a:lnTo>
                                <a:lnTo>
                                  <a:pt x="2423436" y="93907"/>
                                </a:lnTo>
                                <a:lnTo>
                                  <a:pt x="2414497" y="82916"/>
                                </a:lnTo>
                                <a:close/>
                              </a:path>
                              <a:path w="4018279" h="621030">
                                <a:moveTo>
                                  <a:pt x="2414905" y="100845"/>
                                </a:moveTo>
                                <a:lnTo>
                                  <a:pt x="2404131" y="103036"/>
                                </a:lnTo>
                                <a:lnTo>
                                  <a:pt x="2412212" y="103036"/>
                                </a:lnTo>
                                <a:lnTo>
                                  <a:pt x="2414905" y="100845"/>
                                </a:lnTo>
                                <a:close/>
                              </a:path>
                              <a:path w="4018279" h="621030">
                                <a:moveTo>
                                  <a:pt x="2802388" y="4044"/>
                                </a:moveTo>
                                <a:lnTo>
                                  <a:pt x="2414497" y="82916"/>
                                </a:lnTo>
                                <a:lnTo>
                                  <a:pt x="2423436" y="93907"/>
                                </a:lnTo>
                                <a:lnTo>
                                  <a:pt x="2414905" y="100845"/>
                                </a:lnTo>
                                <a:lnTo>
                                  <a:pt x="2807150" y="21087"/>
                                </a:lnTo>
                                <a:lnTo>
                                  <a:pt x="2796533" y="15799"/>
                                </a:lnTo>
                                <a:lnTo>
                                  <a:pt x="2802388" y="4044"/>
                                </a:lnTo>
                                <a:close/>
                              </a:path>
                              <a:path w="4018279" h="621030">
                                <a:moveTo>
                                  <a:pt x="2407136" y="84413"/>
                                </a:moveTo>
                                <a:lnTo>
                                  <a:pt x="2400614" y="85739"/>
                                </a:lnTo>
                                <a:lnTo>
                                  <a:pt x="2401308" y="89153"/>
                                </a:lnTo>
                                <a:lnTo>
                                  <a:pt x="2407136" y="84413"/>
                                </a:lnTo>
                                <a:close/>
                              </a:path>
                              <a:path w="4018279" h="621030">
                                <a:moveTo>
                                  <a:pt x="2412299" y="80214"/>
                                </a:moveTo>
                                <a:lnTo>
                                  <a:pt x="2407136" y="84413"/>
                                </a:lnTo>
                                <a:lnTo>
                                  <a:pt x="2414497" y="82916"/>
                                </a:lnTo>
                                <a:lnTo>
                                  <a:pt x="2412299" y="80214"/>
                                </a:lnTo>
                                <a:close/>
                              </a:path>
                              <a:path w="4018279" h="621030">
                                <a:moveTo>
                                  <a:pt x="2809584" y="2581"/>
                                </a:moveTo>
                                <a:lnTo>
                                  <a:pt x="2802388" y="4044"/>
                                </a:lnTo>
                                <a:lnTo>
                                  <a:pt x="2796533" y="15799"/>
                                </a:lnTo>
                                <a:lnTo>
                                  <a:pt x="2807150" y="21087"/>
                                </a:lnTo>
                                <a:lnTo>
                                  <a:pt x="2818774" y="18724"/>
                                </a:lnTo>
                                <a:lnTo>
                                  <a:pt x="2816157" y="5855"/>
                                </a:lnTo>
                                <a:lnTo>
                                  <a:pt x="2809584" y="2581"/>
                                </a:lnTo>
                                <a:close/>
                              </a:path>
                              <a:path w="4018279" h="621030">
                                <a:moveTo>
                                  <a:pt x="2815257" y="1427"/>
                                </a:moveTo>
                                <a:lnTo>
                                  <a:pt x="2809584" y="2581"/>
                                </a:lnTo>
                                <a:lnTo>
                                  <a:pt x="2816157" y="5855"/>
                                </a:lnTo>
                                <a:lnTo>
                                  <a:pt x="2815257" y="1427"/>
                                </a:lnTo>
                                <a:close/>
                              </a:path>
                              <a:path w="4018279" h="621030">
                                <a:moveTo>
                                  <a:pt x="2804402" y="0"/>
                                </a:moveTo>
                                <a:lnTo>
                                  <a:pt x="2802388" y="4044"/>
                                </a:lnTo>
                                <a:lnTo>
                                  <a:pt x="2809584" y="2581"/>
                                </a:lnTo>
                                <a:lnTo>
                                  <a:pt x="2804402" y="0"/>
                                </a:lnTo>
                                <a:close/>
                              </a:path>
                            </a:pathLst>
                          </a:custGeom>
                          <a:solidFill>
                            <a:srgbClr val="2F7D41"/>
                          </a:solidFill>
                        </wps:spPr>
                        <wps:bodyPr wrap="square" lIns="0" tIns="0" rIns="0" bIns="0" rtlCol="0">
                          <a:prstTxWarp prst="textNoShape">
                            <a:avLst/>
                          </a:prstTxWarp>
                          <a:noAutofit/>
                        </wps:bodyPr>
                      </wps:wsp>
                      <wps:wsp>
                        <wps:cNvPr id="1468" name="Graphic 1468"/>
                        <wps:cNvSpPr/>
                        <wps:spPr>
                          <a:xfrm>
                            <a:off x="645253" y="1071522"/>
                            <a:ext cx="4017010" cy="289560"/>
                          </a:xfrm>
                          <a:custGeom>
                            <a:avLst/>
                            <a:gdLst/>
                            <a:ahLst/>
                            <a:cxnLst/>
                            <a:rect l="l" t="t" r="r" b="b"/>
                            <a:pathLst>
                              <a:path w="4017010" h="289560">
                                <a:moveTo>
                                  <a:pt x="1216302" y="287054"/>
                                </a:moveTo>
                                <a:lnTo>
                                  <a:pt x="1208495" y="287372"/>
                                </a:lnTo>
                                <a:lnTo>
                                  <a:pt x="1215656" y="289370"/>
                                </a:lnTo>
                                <a:lnTo>
                                  <a:pt x="1216302" y="287054"/>
                                </a:lnTo>
                                <a:close/>
                              </a:path>
                              <a:path w="4017010" h="289560">
                                <a:moveTo>
                                  <a:pt x="1200970" y="285273"/>
                                </a:moveTo>
                                <a:lnTo>
                                  <a:pt x="1201068" y="287674"/>
                                </a:lnTo>
                                <a:lnTo>
                                  <a:pt x="1208495" y="287372"/>
                                </a:lnTo>
                                <a:lnTo>
                                  <a:pt x="1200970" y="285273"/>
                                </a:lnTo>
                                <a:close/>
                              </a:path>
                              <a:path w="4017010" h="289560">
                                <a:moveTo>
                                  <a:pt x="1210558" y="269623"/>
                                </a:moveTo>
                                <a:lnTo>
                                  <a:pt x="1200351" y="270038"/>
                                </a:lnTo>
                                <a:lnTo>
                                  <a:pt x="1200970" y="285273"/>
                                </a:lnTo>
                                <a:lnTo>
                                  <a:pt x="1208495" y="287372"/>
                                </a:lnTo>
                                <a:lnTo>
                                  <a:pt x="1216302" y="287054"/>
                                </a:lnTo>
                                <a:lnTo>
                                  <a:pt x="1220399" y="272369"/>
                                </a:lnTo>
                                <a:lnTo>
                                  <a:pt x="1210558" y="269623"/>
                                </a:lnTo>
                                <a:close/>
                              </a:path>
                              <a:path w="4017010" h="289560">
                                <a:moveTo>
                                  <a:pt x="1606178" y="253527"/>
                                </a:moveTo>
                                <a:lnTo>
                                  <a:pt x="1210558" y="269623"/>
                                </a:lnTo>
                                <a:lnTo>
                                  <a:pt x="1220399" y="272369"/>
                                </a:lnTo>
                                <a:lnTo>
                                  <a:pt x="1216302" y="287054"/>
                                </a:lnTo>
                                <a:lnTo>
                                  <a:pt x="1599085" y="271481"/>
                                </a:lnTo>
                                <a:lnTo>
                                  <a:pt x="1597069" y="254616"/>
                                </a:lnTo>
                                <a:lnTo>
                                  <a:pt x="1606178" y="253527"/>
                                </a:lnTo>
                                <a:close/>
                              </a:path>
                              <a:path w="4017010" h="289560">
                                <a:moveTo>
                                  <a:pt x="806436" y="156883"/>
                                </a:moveTo>
                                <a:lnTo>
                                  <a:pt x="814961" y="159310"/>
                                </a:lnTo>
                                <a:lnTo>
                                  <a:pt x="810141" y="176241"/>
                                </a:lnTo>
                                <a:lnTo>
                                  <a:pt x="1200970" y="285273"/>
                                </a:lnTo>
                                <a:lnTo>
                                  <a:pt x="1200351" y="270038"/>
                                </a:lnTo>
                                <a:lnTo>
                                  <a:pt x="1210558" y="269623"/>
                                </a:lnTo>
                                <a:lnTo>
                                  <a:pt x="806436" y="156883"/>
                                </a:lnTo>
                                <a:close/>
                              </a:path>
                              <a:path w="4017010" h="289560">
                                <a:moveTo>
                                  <a:pt x="1607584" y="271135"/>
                                </a:moveTo>
                                <a:lnTo>
                                  <a:pt x="1599085" y="271481"/>
                                </a:lnTo>
                                <a:lnTo>
                                  <a:pt x="1599164" y="272141"/>
                                </a:lnTo>
                                <a:lnTo>
                                  <a:pt x="1607584" y="271135"/>
                                </a:lnTo>
                                <a:close/>
                              </a:path>
                              <a:path w="4017010" h="289560">
                                <a:moveTo>
                                  <a:pt x="1615339" y="253154"/>
                                </a:moveTo>
                                <a:lnTo>
                                  <a:pt x="1606178" y="253527"/>
                                </a:lnTo>
                                <a:lnTo>
                                  <a:pt x="1597069" y="254616"/>
                                </a:lnTo>
                                <a:lnTo>
                                  <a:pt x="1599085" y="271481"/>
                                </a:lnTo>
                                <a:lnTo>
                                  <a:pt x="1607584" y="271135"/>
                                </a:lnTo>
                                <a:lnTo>
                                  <a:pt x="1616030" y="270125"/>
                                </a:lnTo>
                                <a:lnTo>
                                  <a:pt x="1615339" y="253154"/>
                                </a:lnTo>
                                <a:close/>
                              </a:path>
                              <a:path w="4017010" h="289560">
                                <a:moveTo>
                                  <a:pt x="1616030" y="270125"/>
                                </a:moveTo>
                                <a:lnTo>
                                  <a:pt x="1607584" y="271135"/>
                                </a:lnTo>
                                <a:lnTo>
                                  <a:pt x="1616057" y="270790"/>
                                </a:lnTo>
                                <a:lnTo>
                                  <a:pt x="1616030" y="270125"/>
                                </a:lnTo>
                                <a:close/>
                              </a:path>
                              <a:path w="4017010" h="289560">
                                <a:moveTo>
                                  <a:pt x="1758005" y="253154"/>
                                </a:moveTo>
                                <a:lnTo>
                                  <a:pt x="1615339" y="253154"/>
                                </a:lnTo>
                                <a:lnTo>
                                  <a:pt x="1616030" y="270125"/>
                                </a:lnTo>
                                <a:lnTo>
                                  <a:pt x="1758005" y="253154"/>
                                </a:lnTo>
                                <a:close/>
                              </a:path>
                              <a:path w="4017010" h="289560">
                                <a:moveTo>
                                  <a:pt x="2009739" y="205287"/>
                                </a:moveTo>
                                <a:lnTo>
                                  <a:pt x="1606178" y="253527"/>
                                </a:lnTo>
                                <a:lnTo>
                                  <a:pt x="1615339" y="253154"/>
                                </a:lnTo>
                                <a:lnTo>
                                  <a:pt x="1758005" y="253154"/>
                                </a:lnTo>
                                <a:lnTo>
                                  <a:pt x="2007269" y="223358"/>
                                </a:lnTo>
                                <a:lnTo>
                                  <a:pt x="2000476" y="209996"/>
                                </a:lnTo>
                                <a:lnTo>
                                  <a:pt x="2009739" y="205287"/>
                                </a:lnTo>
                                <a:close/>
                              </a:path>
                              <a:path w="4017010" h="289560">
                                <a:moveTo>
                                  <a:pt x="3609425" y="214596"/>
                                </a:moveTo>
                                <a:lnTo>
                                  <a:pt x="4015519" y="239362"/>
                                </a:lnTo>
                                <a:lnTo>
                                  <a:pt x="4016593" y="221745"/>
                                </a:lnTo>
                                <a:lnTo>
                                  <a:pt x="3905321" y="214958"/>
                                </a:lnTo>
                                <a:lnTo>
                                  <a:pt x="3618336" y="214958"/>
                                </a:lnTo>
                                <a:lnTo>
                                  <a:pt x="3609425" y="214596"/>
                                </a:lnTo>
                                <a:close/>
                              </a:path>
                              <a:path w="4017010" h="289560">
                                <a:moveTo>
                                  <a:pt x="2014946" y="222440"/>
                                </a:moveTo>
                                <a:lnTo>
                                  <a:pt x="2007269" y="223358"/>
                                </a:lnTo>
                                <a:lnTo>
                                  <a:pt x="2008475" y="225730"/>
                                </a:lnTo>
                                <a:lnTo>
                                  <a:pt x="2014946" y="222440"/>
                                </a:lnTo>
                                <a:close/>
                              </a:path>
                              <a:path w="4017010" h="289560">
                                <a:moveTo>
                                  <a:pt x="2020058" y="204053"/>
                                </a:moveTo>
                                <a:lnTo>
                                  <a:pt x="2009739" y="205287"/>
                                </a:lnTo>
                                <a:lnTo>
                                  <a:pt x="2000476" y="209996"/>
                                </a:lnTo>
                                <a:lnTo>
                                  <a:pt x="2007269" y="223358"/>
                                </a:lnTo>
                                <a:lnTo>
                                  <a:pt x="2014946" y="222440"/>
                                </a:lnTo>
                                <a:lnTo>
                                  <a:pt x="2021837" y="218937"/>
                                </a:lnTo>
                                <a:lnTo>
                                  <a:pt x="2020058" y="204053"/>
                                </a:lnTo>
                                <a:close/>
                              </a:path>
                              <a:path w="4017010" h="289560">
                                <a:moveTo>
                                  <a:pt x="2021837" y="218937"/>
                                </a:moveTo>
                                <a:lnTo>
                                  <a:pt x="2014946" y="222440"/>
                                </a:lnTo>
                                <a:lnTo>
                                  <a:pt x="2022153" y="221579"/>
                                </a:lnTo>
                                <a:lnTo>
                                  <a:pt x="2021837" y="218937"/>
                                </a:lnTo>
                                <a:close/>
                              </a:path>
                              <a:path w="4017010" h="289560">
                                <a:moveTo>
                                  <a:pt x="2051116" y="204053"/>
                                </a:moveTo>
                                <a:lnTo>
                                  <a:pt x="2020058" y="204053"/>
                                </a:lnTo>
                                <a:lnTo>
                                  <a:pt x="2021837" y="218937"/>
                                </a:lnTo>
                                <a:lnTo>
                                  <a:pt x="2051116" y="204053"/>
                                </a:lnTo>
                                <a:close/>
                              </a:path>
                              <a:path w="4017010" h="289560">
                                <a:moveTo>
                                  <a:pt x="3601595" y="196612"/>
                                </a:moveTo>
                                <a:lnTo>
                                  <a:pt x="3600530" y="214053"/>
                                </a:lnTo>
                                <a:lnTo>
                                  <a:pt x="3609425" y="214596"/>
                                </a:lnTo>
                                <a:lnTo>
                                  <a:pt x="3618336" y="214958"/>
                                </a:lnTo>
                                <a:lnTo>
                                  <a:pt x="3619046" y="197500"/>
                                </a:lnTo>
                                <a:lnTo>
                                  <a:pt x="3610317" y="196967"/>
                                </a:lnTo>
                                <a:lnTo>
                                  <a:pt x="3601595" y="196612"/>
                                </a:lnTo>
                                <a:close/>
                              </a:path>
                              <a:path w="4017010" h="289560">
                                <a:moveTo>
                                  <a:pt x="3619046" y="197500"/>
                                </a:moveTo>
                                <a:lnTo>
                                  <a:pt x="3618336" y="214958"/>
                                </a:lnTo>
                                <a:lnTo>
                                  <a:pt x="3905321" y="214958"/>
                                </a:lnTo>
                                <a:lnTo>
                                  <a:pt x="3619046" y="197500"/>
                                </a:lnTo>
                                <a:close/>
                              </a:path>
                              <a:path w="4017010" h="289560">
                                <a:moveTo>
                                  <a:pt x="3214396" y="180859"/>
                                </a:moveTo>
                                <a:lnTo>
                                  <a:pt x="3223996" y="184685"/>
                                </a:lnTo>
                                <a:lnTo>
                                  <a:pt x="3218415" y="198688"/>
                                </a:lnTo>
                                <a:lnTo>
                                  <a:pt x="3609425" y="214596"/>
                                </a:lnTo>
                                <a:lnTo>
                                  <a:pt x="3600530" y="214053"/>
                                </a:lnTo>
                                <a:lnTo>
                                  <a:pt x="3601595" y="196612"/>
                                </a:lnTo>
                                <a:lnTo>
                                  <a:pt x="3214396" y="180859"/>
                                </a:lnTo>
                                <a:close/>
                              </a:path>
                              <a:path w="4017010" h="289560">
                                <a:moveTo>
                                  <a:pt x="2401093" y="6342"/>
                                </a:moveTo>
                                <a:lnTo>
                                  <a:pt x="2009739" y="205287"/>
                                </a:lnTo>
                                <a:lnTo>
                                  <a:pt x="2020058" y="204053"/>
                                </a:lnTo>
                                <a:lnTo>
                                  <a:pt x="2051116" y="204053"/>
                                </a:lnTo>
                                <a:lnTo>
                                  <a:pt x="2411646" y="20777"/>
                                </a:lnTo>
                                <a:lnTo>
                                  <a:pt x="2400525" y="20325"/>
                                </a:lnTo>
                                <a:lnTo>
                                  <a:pt x="2401093" y="6342"/>
                                </a:lnTo>
                                <a:close/>
                              </a:path>
                              <a:path w="4017010" h="289560">
                                <a:moveTo>
                                  <a:pt x="3210665" y="198373"/>
                                </a:moveTo>
                                <a:lnTo>
                                  <a:pt x="3217462" y="201081"/>
                                </a:lnTo>
                                <a:lnTo>
                                  <a:pt x="3218415" y="198688"/>
                                </a:lnTo>
                                <a:lnTo>
                                  <a:pt x="3210665" y="198373"/>
                                </a:lnTo>
                                <a:close/>
                              </a:path>
                              <a:path w="4017010" h="289560">
                                <a:moveTo>
                                  <a:pt x="3204072" y="180439"/>
                                </a:moveTo>
                                <a:lnTo>
                                  <a:pt x="3203459" y="195501"/>
                                </a:lnTo>
                                <a:lnTo>
                                  <a:pt x="3210665" y="198373"/>
                                </a:lnTo>
                                <a:lnTo>
                                  <a:pt x="3218415" y="198688"/>
                                </a:lnTo>
                                <a:lnTo>
                                  <a:pt x="3223996" y="184685"/>
                                </a:lnTo>
                                <a:lnTo>
                                  <a:pt x="3214396" y="180859"/>
                                </a:lnTo>
                                <a:lnTo>
                                  <a:pt x="3204072" y="180439"/>
                                </a:lnTo>
                                <a:close/>
                              </a:path>
                              <a:path w="4017010" h="289560">
                                <a:moveTo>
                                  <a:pt x="3203459" y="195501"/>
                                </a:moveTo>
                                <a:lnTo>
                                  <a:pt x="3203354" y="198075"/>
                                </a:lnTo>
                                <a:lnTo>
                                  <a:pt x="3210665" y="198373"/>
                                </a:lnTo>
                                <a:lnTo>
                                  <a:pt x="3203459" y="195501"/>
                                </a:lnTo>
                                <a:close/>
                              </a:path>
                              <a:path w="4017010" h="289560">
                                <a:moveTo>
                                  <a:pt x="3610317" y="196967"/>
                                </a:moveTo>
                                <a:lnTo>
                                  <a:pt x="3619046" y="197500"/>
                                </a:lnTo>
                                <a:lnTo>
                                  <a:pt x="3619053" y="197323"/>
                                </a:lnTo>
                                <a:lnTo>
                                  <a:pt x="3610317" y="196967"/>
                                </a:lnTo>
                                <a:close/>
                              </a:path>
                              <a:path w="4017010" h="289560">
                                <a:moveTo>
                                  <a:pt x="3601606" y="196436"/>
                                </a:moveTo>
                                <a:lnTo>
                                  <a:pt x="3601595" y="196612"/>
                                </a:lnTo>
                                <a:lnTo>
                                  <a:pt x="3610317" y="196967"/>
                                </a:lnTo>
                                <a:lnTo>
                                  <a:pt x="3601606" y="196436"/>
                                </a:lnTo>
                                <a:close/>
                              </a:path>
                              <a:path w="4017010" h="289560">
                                <a:moveTo>
                                  <a:pt x="2805182" y="36782"/>
                                </a:moveTo>
                                <a:lnTo>
                                  <a:pt x="3203459" y="195501"/>
                                </a:lnTo>
                                <a:lnTo>
                                  <a:pt x="3204072" y="180439"/>
                                </a:lnTo>
                                <a:lnTo>
                                  <a:pt x="3213342" y="180439"/>
                                </a:lnTo>
                                <a:lnTo>
                                  <a:pt x="2853913" y="37202"/>
                                </a:lnTo>
                                <a:lnTo>
                                  <a:pt x="2815507" y="37202"/>
                                </a:lnTo>
                                <a:lnTo>
                                  <a:pt x="2805182" y="36782"/>
                                </a:lnTo>
                                <a:close/>
                              </a:path>
                              <a:path w="4017010" h="289560">
                                <a:moveTo>
                                  <a:pt x="3213342" y="180439"/>
                                </a:moveTo>
                                <a:lnTo>
                                  <a:pt x="3204072" y="180439"/>
                                </a:lnTo>
                                <a:lnTo>
                                  <a:pt x="3214396" y="180859"/>
                                </a:lnTo>
                                <a:lnTo>
                                  <a:pt x="3213342" y="180439"/>
                                </a:lnTo>
                                <a:close/>
                              </a:path>
                              <a:path w="4017010" h="289560">
                                <a:moveTo>
                                  <a:pt x="801620" y="173864"/>
                                </a:moveTo>
                                <a:lnTo>
                                  <a:pt x="810129" y="176286"/>
                                </a:lnTo>
                                <a:lnTo>
                                  <a:pt x="801620" y="173864"/>
                                </a:lnTo>
                                <a:close/>
                              </a:path>
                              <a:path w="4017010" h="289560">
                                <a:moveTo>
                                  <a:pt x="797928" y="154510"/>
                                </a:moveTo>
                                <a:lnTo>
                                  <a:pt x="793198" y="171467"/>
                                </a:lnTo>
                                <a:lnTo>
                                  <a:pt x="810141" y="176241"/>
                                </a:lnTo>
                                <a:lnTo>
                                  <a:pt x="814961" y="159310"/>
                                </a:lnTo>
                                <a:lnTo>
                                  <a:pt x="797928" y="154510"/>
                                </a:lnTo>
                                <a:close/>
                              </a:path>
                              <a:path w="4017010" h="289560">
                                <a:moveTo>
                                  <a:pt x="793198" y="171467"/>
                                </a:moveTo>
                                <a:lnTo>
                                  <a:pt x="801620" y="173864"/>
                                </a:lnTo>
                                <a:lnTo>
                                  <a:pt x="793198" y="171467"/>
                                </a:lnTo>
                                <a:close/>
                              </a:path>
                              <a:path w="4017010" h="289560">
                                <a:moveTo>
                                  <a:pt x="405210" y="61016"/>
                                </a:moveTo>
                                <a:lnTo>
                                  <a:pt x="793198" y="171467"/>
                                </a:lnTo>
                                <a:lnTo>
                                  <a:pt x="797928" y="154510"/>
                                </a:lnTo>
                                <a:lnTo>
                                  <a:pt x="798098" y="154510"/>
                                </a:lnTo>
                                <a:lnTo>
                                  <a:pt x="471769" y="61612"/>
                                </a:lnTo>
                                <a:lnTo>
                                  <a:pt x="414976" y="61612"/>
                                </a:lnTo>
                                <a:lnTo>
                                  <a:pt x="405210" y="61016"/>
                                </a:lnTo>
                                <a:close/>
                              </a:path>
                              <a:path w="4017010" h="289560">
                                <a:moveTo>
                                  <a:pt x="798098" y="154510"/>
                                </a:moveTo>
                                <a:lnTo>
                                  <a:pt x="797928" y="154510"/>
                                </a:lnTo>
                                <a:lnTo>
                                  <a:pt x="806436" y="156883"/>
                                </a:lnTo>
                                <a:lnTo>
                                  <a:pt x="798098" y="154510"/>
                                </a:lnTo>
                                <a:close/>
                              </a:path>
                              <a:path w="4017010" h="289560">
                                <a:moveTo>
                                  <a:pt x="400159" y="43025"/>
                                </a:moveTo>
                                <a:lnTo>
                                  <a:pt x="395800" y="58337"/>
                                </a:lnTo>
                                <a:lnTo>
                                  <a:pt x="405210" y="61016"/>
                                </a:lnTo>
                                <a:lnTo>
                                  <a:pt x="414976" y="61612"/>
                                </a:lnTo>
                                <a:lnTo>
                                  <a:pt x="415945" y="45721"/>
                                </a:lnTo>
                                <a:lnTo>
                                  <a:pt x="408198" y="43515"/>
                                </a:lnTo>
                                <a:lnTo>
                                  <a:pt x="400159" y="43025"/>
                                </a:lnTo>
                                <a:close/>
                              </a:path>
                              <a:path w="4017010" h="289560">
                                <a:moveTo>
                                  <a:pt x="415945" y="45721"/>
                                </a:moveTo>
                                <a:lnTo>
                                  <a:pt x="414976" y="61612"/>
                                </a:lnTo>
                                <a:lnTo>
                                  <a:pt x="471769" y="61612"/>
                                </a:lnTo>
                                <a:lnTo>
                                  <a:pt x="415945" y="45721"/>
                                </a:lnTo>
                                <a:close/>
                              </a:path>
                              <a:path w="4017010" h="289560">
                                <a:moveTo>
                                  <a:pt x="1074" y="18679"/>
                                </a:moveTo>
                                <a:lnTo>
                                  <a:pt x="0" y="36297"/>
                                </a:lnTo>
                                <a:lnTo>
                                  <a:pt x="405210" y="61016"/>
                                </a:lnTo>
                                <a:lnTo>
                                  <a:pt x="395800" y="58337"/>
                                </a:lnTo>
                                <a:lnTo>
                                  <a:pt x="400159" y="43025"/>
                                </a:lnTo>
                                <a:lnTo>
                                  <a:pt x="1074" y="18679"/>
                                </a:lnTo>
                                <a:close/>
                              </a:path>
                              <a:path w="4017010" h="289560">
                                <a:moveTo>
                                  <a:pt x="408198" y="43515"/>
                                </a:moveTo>
                                <a:lnTo>
                                  <a:pt x="415945" y="45721"/>
                                </a:lnTo>
                                <a:lnTo>
                                  <a:pt x="416051" y="43994"/>
                                </a:lnTo>
                                <a:lnTo>
                                  <a:pt x="408198" y="43515"/>
                                </a:lnTo>
                                <a:close/>
                              </a:path>
                              <a:path w="4017010" h="289560">
                                <a:moveTo>
                                  <a:pt x="400633" y="41361"/>
                                </a:moveTo>
                                <a:lnTo>
                                  <a:pt x="400159" y="43025"/>
                                </a:lnTo>
                                <a:lnTo>
                                  <a:pt x="408198" y="43515"/>
                                </a:lnTo>
                                <a:lnTo>
                                  <a:pt x="400633" y="41361"/>
                                </a:lnTo>
                                <a:close/>
                              </a:path>
                              <a:path w="4017010" h="289560">
                                <a:moveTo>
                                  <a:pt x="2801163" y="18954"/>
                                </a:moveTo>
                                <a:lnTo>
                                  <a:pt x="2795583" y="32956"/>
                                </a:lnTo>
                                <a:lnTo>
                                  <a:pt x="2805182" y="36782"/>
                                </a:lnTo>
                                <a:lnTo>
                                  <a:pt x="2815507" y="37202"/>
                                </a:lnTo>
                                <a:lnTo>
                                  <a:pt x="2816119" y="22141"/>
                                </a:lnTo>
                                <a:lnTo>
                                  <a:pt x="2808913" y="19269"/>
                                </a:lnTo>
                                <a:lnTo>
                                  <a:pt x="2801163" y="18954"/>
                                </a:lnTo>
                                <a:close/>
                              </a:path>
                              <a:path w="4017010" h="289560">
                                <a:moveTo>
                                  <a:pt x="2816119" y="22141"/>
                                </a:moveTo>
                                <a:lnTo>
                                  <a:pt x="2815507" y="37202"/>
                                </a:lnTo>
                                <a:lnTo>
                                  <a:pt x="2853913" y="37202"/>
                                </a:lnTo>
                                <a:lnTo>
                                  <a:pt x="2816119" y="22141"/>
                                </a:lnTo>
                                <a:close/>
                              </a:path>
                              <a:path w="4017010" h="289560">
                                <a:moveTo>
                                  <a:pt x="2415226" y="3258"/>
                                </a:moveTo>
                                <a:lnTo>
                                  <a:pt x="2421568" y="15734"/>
                                </a:lnTo>
                                <a:lnTo>
                                  <a:pt x="2411646" y="20777"/>
                                </a:lnTo>
                                <a:lnTo>
                                  <a:pt x="2805182" y="36782"/>
                                </a:lnTo>
                                <a:lnTo>
                                  <a:pt x="2795583" y="32956"/>
                                </a:lnTo>
                                <a:lnTo>
                                  <a:pt x="2801163" y="18954"/>
                                </a:lnTo>
                                <a:lnTo>
                                  <a:pt x="2415226" y="3258"/>
                                </a:lnTo>
                                <a:close/>
                              </a:path>
                              <a:path w="4017010" h="289560">
                                <a:moveTo>
                                  <a:pt x="2808913" y="19269"/>
                                </a:moveTo>
                                <a:lnTo>
                                  <a:pt x="2816119" y="22141"/>
                                </a:lnTo>
                                <a:lnTo>
                                  <a:pt x="2816224" y="19566"/>
                                </a:lnTo>
                                <a:lnTo>
                                  <a:pt x="2808913" y="19269"/>
                                </a:lnTo>
                                <a:close/>
                              </a:path>
                              <a:path w="4017010" h="289560">
                                <a:moveTo>
                                  <a:pt x="2407757" y="2954"/>
                                </a:moveTo>
                                <a:lnTo>
                                  <a:pt x="2401093" y="6342"/>
                                </a:lnTo>
                                <a:lnTo>
                                  <a:pt x="2400525" y="20325"/>
                                </a:lnTo>
                                <a:lnTo>
                                  <a:pt x="2411646" y="20777"/>
                                </a:lnTo>
                                <a:lnTo>
                                  <a:pt x="2421568" y="15734"/>
                                </a:lnTo>
                                <a:lnTo>
                                  <a:pt x="2415226" y="3258"/>
                                </a:lnTo>
                                <a:lnTo>
                                  <a:pt x="2407757" y="2954"/>
                                </a:lnTo>
                                <a:close/>
                              </a:path>
                              <a:path w="4017010" h="289560">
                                <a:moveTo>
                                  <a:pt x="2802116" y="16560"/>
                                </a:moveTo>
                                <a:lnTo>
                                  <a:pt x="2801163" y="18954"/>
                                </a:lnTo>
                                <a:lnTo>
                                  <a:pt x="2808913" y="19269"/>
                                </a:lnTo>
                                <a:lnTo>
                                  <a:pt x="2802116" y="16560"/>
                                </a:lnTo>
                                <a:close/>
                              </a:path>
                              <a:path w="4017010" h="289560">
                                <a:moveTo>
                                  <a:pt x="2401242" y="2689"/>
                                </a:moveTo>
                                <a:lnTo>
                                  <a:pt x="2401093" y="6342"/>
                                </a:lnTo>
                                <a:lnTo>
                                  <a:pt x="2407757" y="2954"/>
                                </a:lnTo>
                                <a:lnTo>
                                  <a:pt x="2401242" y="2689"/>
                                </a:lnTo>
                                <a:close/>
                              </a:path>
                              <a:path w="4017010" h="289560">
                                <a:moveTo>
                                  <a:pt x="2413569" y="0"/>
                                </a:moveTo>
                                <a:lnTo>
                                  <a:pt x="2407757" y="2954"/>
                                </a:lnTo>
                                <a:lnTo>
                                  <a:pt x="2415226" y="3258"/>
                                </a:lnTo>
                                <a:lnTo>
                                  <a:pt x="2413569" y="0"/>
                                </a:lnTo>
                                <a:close/>
                              </a:path>
                            </a:pathLst>
                          </a:custGeom>
                          <a:solidFill>
                            <a:srgbClr val="E3C626"/>
                          </a:solidFill>
                        </wps:spPr>
                        <wps:bodyPr wrap="square" lIns="0" tIns="0" rIns="0" bIns="0" rtlCol="0">
                          <a:prstTxWarp prst="textNoShape">
                            <a:avLst/>
                          </a:prstTxWarp>
                          <a:noAutofit/>
                        </wps:bodyPr>
                      </wps:wsp>
                      <wps:wsp>
                        <wps:cNvPr id="1469" name="Graphic 1469"/>
                        <wps:cNvSpPr/>
                        <wps:spPr>
                          <a:xfrm>
                            <a:off x="615902" y="1061008"/>
                            <a:ext cx="77470" cy="77470"/>
                          </a:xfrm>
                          <a:custGeom>
                            <a:avLst/>
                            <a:gdLst/>
                            <a:ahLst/>
                            <a:cxnLst/>
                            <a:rect l="l" t="t" r="r" b="b"/>
                            <a:pathLst>
                              <a:path w="77470" h="77470">
                                <a:moveTo>
                                  <a:pt x="77381" y="38544"/>
                                </a:moveTo>
                                <a:lnTo>
                                  <a:pt x="74244" y="35420"/>
                                </a:lnTo>
                                <a:lnTo>
                                  <a:pt x="38696" y="0"/>
                                </a:lnTo>
                                <a:lnTo>
                                  <a:pt x="35572" y="3098"/>
                                </a:lnTo>
                                <a:lnTo>
                                  <a:pt x="0" y="38544"/>
                                </a:lnTo>
                                <a:lnTo>
                                  <a:pt x="38696" y="77089"/>
                                </a:lnTo>
                                <a:lnTo>
                                  <a:pt x="44945" y="70866"/>
                                </a:lnTo>
                                <a:lnTo>
                                  <a:pt x="74244" y="41668"/>
                                </a:lnTo>
                                <a:lnTo>
                                  <a:pt x="77381" y="38544"/>
                                </a:lnTo>
                                <a:close/>
                              </a:path>
                            </a:pathLst>
                          </a:custGeom>
                          <a:solidFill>
                            <a:srgbClr val="2F7D41"/>
                          </a:solidFill>
                        </wps:spPr>
                        <wps:bodyPr wrap="square" lIns="0" tIns="0" rIns="0" bIns="0" rtlCol="0">
                          <a:prstTxWarp prst="textNoShape">
                            <a:avLst/>
                          </a:prstTxWarp>
                          <a:noAutofit/>
                        </wps:bodyPr>
                      </wps:wsp>
                      <pic:pic>
                        <pic:nvPicPr>
                          <pic:cNvPr id="1470" name="Image 1470"/>
                          <pic:cNvPicPr/>
                        </pic:nvPicPr>
                        <pic:blipFill>
                          <a:blip r:embed="rId671" cstate="print"/>
                          <a:stretch>
                            <a:fillRect/>
                          </a:stretch>
                        </pic:blipFill>
                        <pic:spPr>
                          <a:xfrm>
                            <a:off x="1013268" y="964042"/>
                            <a:ext cx="77380" cy="77099"/>
                          </a:xfrm>
                          <a:prstGeom prst="rect">
                            <a:avLst/>
                          </a:prstGeom>
                        </pic:spPr>
                      </pic:pic>
                      <pic:pic>
                        <pic:nvPicPr>
                          <pic:cNvPr id="1471" name="Image 1471"/>
                          <pic:cNvPicPr/>
                        </pic:nvPicPr>
                        <pic:blipFill>
                          <a:blip r:embed="rId672" cstate="print"/>
                          <a:stretch>
                            <a:fillRect/>
                          </a:stretch>
                        </pic:blipFill>
                        <pic:spPr>
                          <a:xfrm>
                            <a:off x="1410627" y="1012517"/>
                            <a:ext cx="77373" cy="77100"/>
                          </a:xfrm>
                          <a:prstGeom prst="rect">
                            <a:avLst/>
                          </a:prstGeom>
                        </pic:spPr>
                      </pic:pic>
                      <pic:pic>
                        <pic:nvPicPr>
                          <pic:cNvPr id="1472" name="Image 1472"/>
                          <pic:cNvPicPr/>
                        </pic:nvPicPr>
                        <pic:blipFill>
                          <a:blip r:embed="rId673" cstate="print"/>
                          <a:stretch>
                            <a:fillRect/>
                          </a:stretch>
                        </pic:blipFill>
                        <pic:spPr>
                          <a:xfrm>
                            <a:off x="1816091" y="1117559"/>
                            <a:ext cx="77380" cy="77092"/>
                          </a:xfrm>
                          <a:prstGeom prst="rect">
                            <a:avLst/>
                          </a:prstGeom>
                        </pic:spPr>
                      </pic:pic>
                      <pic:pic>
                        <pic:nvPicPr>
                          <pic:cNvPr id="1473" name="Image 1473"/>
                          <pic:cNvPicPr/>
                        </pic:nvPicPr>
                        <pic:blipFill>
                          <a:blip r:embed="rId674" cstate="print"/>
                          <a:stretch>
                            <a:fillRect/>
                          </a:stretch>
                        </pic:blipFill>
                        <pic:spPr>
                          <a:xfrm>
                            <a:off x="2213443" y="1052918"/>
                            <a:ext cx="77373" cy="77099"/>
                          </a:xfrm>
                          <a:prstGeom prst="rect">
                            <a:avLst/>
                          </a:prstGeom>
                        </pic:spPr>
                      </pic:pic>
                      <pic:pic>
                        <pic:nvPicPr>
                          <pic:cNvPr id="1474" name="Image 1474"/>
                          <pic:cNvPicPr/>
                        </pic:nvPicPr>
                        <pic:blipFill>
                          <a:blip r:embed="rId675" cstate="print"/>
                          <a:stretch>
                            <a:fillRect/>
                          </a:stretch>
                        </pic:blipFill>
                        <pic:spPr>
                          <a:xfrm>
                            <a:off x="2618913" y="923642"/>
                            <a:ext cx="77379" cy="77105"/>
                          </a:xfrm>
                          <a:prstGeom prst="rect">
                            <a:avLst/>
                          </a:prstGeom>
                        </pic:spPr>
                      </pic:pic>
                      <pic:pic>
                        <pic:nvPicPr>
                          <pic:cNvPr id="1475" name="Image 1475"/>
                          <pic:cNvPicPr/>
                        </pic:nvPicPr>
                        <pic:blipFill>
                          <a:blip r:embed="rId676" cstate="print"/>
                          <a:stretch>
                            <a:fillRect/>
                          </a:stretch>
                        </pic:blipFill>
                        <pic:spPr>
                          <a:xfrm>
                            <a:off x="3016258" y="600462"/>
                            <a:ext cx="77380" cy="77093"/>
                          </a:xfrm>
                          <a:prstGeom prst="rect">
                            <a:avLst/>
                          </a:prstGeom>
                        </pic:spPr>
                      </pic:pic>
                      <pic:pic>
                        <pic:nvPicPr>
                          <pic:cNvPr id="1476" name="Image 1476"/>
                          <pic:cNvPicPr/>
                        </pic:nvPicPr>
                        <pic:blipFill>
                          <a:blip r:embed="rId671" cstate="print"/>
                          <a:stretch>
                            <a:fillRect/>
                          </a:stretch>
                        </pic:blipFill>
                        <pic:spPr>
                          <a:xfrm>
                            <a:off x="3413618" y="519667"/>
                            <a:ext cx="77380" cy="77092"/>
                          </a:xfrm>
                          <a:prstGeom prst="rect">
                            <a:avLst/>
                          </a:prstGeom>
                        </pic:spPr>
                      </pic:pic>
                      <pic:pic>
                        <pic:nvPicPr>
                          <pic:cNvPr id="1477" name="Image 1477"/>
                          <pic:cNvPicPr/>
                        </pic:nvPicPr>
                        <pic:blipFill>
                          <a:blip r:embed="rId677" cstate="print"/>
                          <a:stretch>
                            <a:fillRect/>
                          </a:stretch>
                        </pic:blipFill>
                        <pic:spPr>
                          <a:xfrm>
                            <a:off x="3819088" y="721658"/>
                            <a:ext cx="77365" cy="77092"/>
                          </a:xfrm>
                          <a:prstGeom prst="rect">
                            <a:avLst/>
                          </a:prstGeom>
                        </pic:spPr>
                      </pic:pic>
                      <pic:pic>
                        <pic:nvPicPr>
                          <pic:cNvPr id="1478" name="Image 1478"/>
                          <pic:cNvPicPr/>
                        </pic:nvPicPr>
                        <pic:blipFill>
                          <a:blip r:embed="rId678" cstate="print"/>
                          <a:stretch>
                            <a:fillRect/>
                          </a:stretch>
                        </pic:blipFill>
                        <pic:spPr>
                          <a:xfrm>
                            <a:off x="4216448" y="697411"/>
                            <a:ext cx="77378" cy="77105"/>
                          </a:xfrm>
                          <a:prstGeom prst="rect">
                            <a:avLst/>
                          </a:prstGeom>
                        </pic:spPr>
                      </pic:pic>
                      <pic:pic>
                        <pic:nvPicPr>
                          <pic:cNvPr id="1479" name="Image 1479"/>
                          <pic:cNvPicPr/>
                        </pic:nvPicPr>
                        <pic:blipFill>
                          <a:blip r:embed="rId677" cstate="print"/>
                          <a:stretch>
                            <a:fillRect/>
                          </a:stretch>
                        </pic:blipFill>
                        <pic:spPr>
                          <a:xfrm>
                            <a:off x="4613792" y="673184"/>
                            <a:ext cx="77380" cy="77085"/>
                          </a:xfrm>
                          <a:prstGeom prst="rect">
                            <a:avLst/>
                          </a:prstGeom>
                        </pic:spPr>
                      </pic:pic>
                      <wps:wsp>
                        <wps:cNvPr id="1480" name="Graphic 1480"/>
                        <wps:cNvSpPr/>
                        <wps:spPr>
                          <a:xfrm>
                            <a:off x="615000" y="1057401"/>
                            <a:ext cx="79375" cy="79375"/>
                          </a:xfrm>
                          <a:custGeom>
                            <a:avLst/>
                            <a:gdLst/>
                            <a:ahLst/>
                            <a:cxnLst/>
                            <a:rect l="l" t="t" r="r" b="b"/>
                            <a:pathLst>
                              <a:path w="79375" h="79375">
                                <a:moveTo>
                                  <a:pt x="79184" y="78879"/>
                                </a:moveTo>
                                <a:lnTo>
                                  <a:pt x="77965" y="76441"/>
                                </a:lnTo>
                                <a:lnTo>
                                  <a:pt x="74752" y="70053"/>
                                </a:lnTo>
                                <a:lnTo>
                                  <a:pt x="39598" y="0"/>
                                </a:lnTo>
                                <a:lnTo>
                                  <a:pt x="35648" y="7848"/>
                                </a:lnTo>
                                <a:lnTo>
                                  <a:pt x="0" y="78879"/>
                                </a:lnTo>
                                <a:lnTo>
                                  <a:pt x="79184" y="78879"/>
                                </a:lnTo>
                                <a:close/>
                              </a:path>
                            </a:pathLst>
                          </a:custGeom>
                          <a:solidFill>
                            <a:srgbClr val="E3C626"/>
                          </a:solidFill>
                        </wps:spPr>
                        <wps:bodyPr wrap="square" lIns="0" tIns="0" rIns="0" bIns="0" rtlCol="0">
                          <a:prstTxWarp prst="textNoShape">
                            <a:avLst/>
                          </a:prstTxWarp>
                          <a:noAutofit/>
                        </wps:bodyPr>
                      </wps:wsp>
                      <pic:pic>
                        <pic:nvPicPr>
                          <pic:cNvPr id="1481" name="Image 1481"/>
                          <pic:cNvPicPr/>
                        </pic:nvPicPr>
                        <pic:blipFill>
                          <a:blip r:embed="rId679" cstate="print"/>
                          <a:stretch>
                            <a:fillRect/>
                          </a:stretch>
                        </pic:blipFill>
                        <pic:spPr>
                          <a:xfrm>
                            <a:off x="1012368" y="1081631"/>
                            <a:ext cx="79180" cy="78884"/>
                          </a:xfrm>
                          <a:prstGeom prst="rect">
                            <a:avLst/>
                          </a:prstGeom>
                        </pic:spPr>
                      </pic:pic>
                      <pic:pic>
                        <pic:nvPicPr>
                          <pic:cNvPr id="1482" name="Image 1482"/>
                          <pic:cNvPicPr/>
                        </pic:nvPicPr>
                        <pic:blipFill>
                          <a:blip r:embed="rId680" cstate="print"/>
                          <a:stretch>
                            <a:fillRect/>
                          </a:stretch>
                        </pic:blipFill>
                        <pic:spPr>
                          <a:xfrm>
                            <a:off x="1409727" y="1194745"/>
                            <a:ext cx="79173" cy="78886"/>
                          </a:xfrm>
                          <a:prstGeom prst="rect">
                            <a:avLst/>
                          </a:prstGeom>
                        </pic:spPr>
                      </pic:pic>
                      <pic:pic>
                        <pic:nvPicPr>
                          <pic:cNvPr id="1483" name="Image 1483"/>
                          <pic:cNvPicPr/>
                        </pic:nvPicPr>
                        <pic:blipFill>
                          <a:blip r:embed="rId680" cstate="print"/>
                          <a:stretch>
                            <a:fillRect/>
                          </a:stretch>
                        </pic:blipFill>
                        <pic:spPr>
                          <a:xfrm>
                            <a:off x="1815190" y="1307863"/>
                            <a:ext cx="79181" cy="78878"/>
                          </a:xfrm>
                          <a:prstGeom prst="rect">
                            <a:avLst/>
                          </a:prstGeom>
                        </pic:spPr>
                      </pic:pic>
                      <pic:pic>
                        <pic:nvPicPr>
                          <pic:cNvPr id="1484" name="Image 1484"/>
                          <pic:cNvPicPr/>
                        </pic:nvPicPr>
                        <pic:blipFill>
                          <a:blip r:embed="rId679" cstate="print"/>
                          <a:stretch>
                            <a:fillRect/>
                          </a:stretch>
                        </pic:blipFill>
                        <pic:spPr>
                          <a:xfrm>
                            <a:off x="2212543" y="1291701"/>
                            <a:ext cx="79174" cy="78879"/>
                          </a:xfrm>
                          <a:prstGeom prst="rect">
                            <a:avLst/>
                          </a:prstGeom>
                        </pic:spPr>
                      </pic:pic>
                      <pic:pic>
                        <pic:nvPicPr>
                          <pic:cNvPr id="1485" name="Image 1485"/>
                          <pic:cNvPicPr/>
                        </pic:nvPicPr>
                        <pic:blipFill>
                          <a:blip r:embed="rId681" cstate="print"/>
                          <a:stretch>
                            <a:fillRect/>
                          </a:stretch>
                        </pic:blipFill>
                        <pic:spPr>
                          <a:xfrm>
                            <a:off x="2618013" y="1243214"/>
                            <a:ext cx="79179" cy="78897"/>
                          </a:xfrm>
                          <a:prstGeom prst="rect">
                            <a:avLst/>
                          </a:prstGeom>
                        </pic:spPr>
                      </pic:pic>
                      <pic:pic>
                        <pic:nvPicPr>
                          <pic:cNvPr id="1486" name="Image 1486"/>
                          <pic:cNvPicPr/>
                        </pic:nvPicPr>
                        <pic:blipFill>
                          <a:blip r:embed="rId680" cstate="print"/>
                          <a:stretch>
                            <a:fillRect/>
                          </a:stretch>
                        </pic:blipFill>
                        <pic:spPr>
                          <a:xfrm>
                            <a:off x="3015358" y="1041231"/>
                            <a:ext cx="79180" cy="78883"/>
                          </a:xfrm>
                          <a:prstGeom prst="rect">
                            <a:avLst/>
                          </a:prstGeom>
                        </pic:spPr>
                      </pic:pic>
                      <pic:pic>
                        <pic:nvPicPr>
                          <pic:cNvPr id="1487" name="Image 1487"/>
                          <pic:cNvPicPr/>
                        </pic:nvPicPr>
                        <pic:blipFill>
                          <a:blip r:embed="rId681" cstate="print"/>
                          <a:stretch>
                            <a:fillRect/>
                          </a:stretch>
                        </pic:blipFill>
                        <pic:spPr>
                          <a:xfrm>
                            <a:off x="3412718" y="1057390"/>
                            <a:ext cx="79180" cy="78884"/>
                          </a:xfrm>
                          <a:prstGeom prst="rect">
                            <a:avLst/>
                          </a:prstGeom>
                        </pic:spPr>
                      </pic:pic>
                      <pic:pic>
                        <pic:nvPicPr>
                          <pic:cNvPr id="1488" name="Image 1488"/>
                          <pic:cNvPicPr/>
                        </pic:nvPicPr>
                        <pic:blipFill>
                          <a:blip r:embed="rId682" cstate="print"/>
                          <a:stretch>
                            <a:fillRect/>
                          </a:stretch>
                        </pic:blipFill>
                        <pic:spPr>
                          <a:xfrm>
                            <a:off x="3818187" y="1218978"/>
                            <a:ext cx="79165" cy="78887"/>
                          </a:xfrm>
                          <a:prstGeom prst="rect">
                            <a:avLst/>
                          </a:prstGeom>
                        </pic:spPr>
                      </pic:pic>
                      <pic:pic>
                        <pic:nvPicPr>
                          <pic:cNvPr id="1489" name="Image 1489"/>
                          <pic:cNvPicPr/>
                        </pic:nvPicPr>
                        <pic:blipFill>
                          <a:blip r:embed="rId683" cstate="print"/>
                          <a:stretch>
                            <a:fillRect/>
                          </a:stretch>
                        </pic:blipFill>
                        <pic:spPr>
                          <a:xfrm>
                            <a:off x="4215548" y="1235147"/>
                            <a:ext cx="79180" cy="78885"/>
                          </a:xfrm>
                          <a:prstGeom prst="rect">
                            <a:avLst/>
                          </a:prstGeom>
                        </pic:spPr>
                      </pic:pic>
                      <pic:pic>
                        <pic:nvPicPr>
                          <pic:cNvPr id="1490" name="Image 1490"/>
                          <pic:cNvPicPr/>
                        </pic:nvPicPr>
                        <pic:blipFill>
                          <a:blip r:embed="rId684" cstate="print"/>
                          <a:stretch>
                            <a:fillRect/>
                          </a:stretch>
                        </pic:blipFill>
                        <pic:spPr>
                          <a:xfrm>
                            <a:off x="4612892" y="1259381"/>
                            <a:ext cx="79179" cy="78884"/>
                          </a:xfrm>
                          <a:prstGeom prst="rect">
                            <a:avLst/>
                          </a:prstGeom>
                        </pic:spPr>
                      </pic:pic>
                      <wps:wsp>
                        <wps:cNvPr id="1491" name="Graphic 1491"/>
                        <wps:cNvSpPr/>
                        <wps:spPr>
                          <a:xfrm>
                            <a:off x="-9" y="0"/>
                            <a:ext cx="5042535" cy="2501900"/>
                          </a:xfrm>
                          <a:custGeom>
                            <a:avLst/>
                            <a:gdLst/>
                            <a:ahLst/>
                            <a:cxnLst/>
                            <a:rect l="l" t="t" r="r" b="b"/>
                            <a:pathLst>
                              <a:path w="5042535" h="2501900">
                                <a:moveTo>
                                  <a:pt x="5042230" y="0"/>
                                </a:moveTo>
                                <a:lnTo>
                                  <a:pt x="5035880" y="0"/>
                                </a:lnTo>
                                <a:lnTo>
                                  <a:pt x="5035880" y="2540"/>
                                </a:lnTo>
                                <a:lnTo>
                                  <a:pt x="5035880" y="2628"/>
                                </a:lnTo>
                                <a:lnTo>
                                  <a:pt x="5035880" y="2499360"/>
                                </a:lnTo>
                                <a:lnTo>
                                  <a:pt x="3175" y="2499360"/>
                                </a:lnTo>
                                <a:lnTo>
                                  <a:pt x="3175" y="2498953"/>
                                </a:lnTo>
                                <a:lnTo>
                                  <a:pt x="6350" y="2498953"/>
                                </a:lnTo>
                                <a:lnTo>
                                  <a:pt x="5035880" y="2498953"/>
                                </a:lnTo>
                                <a:lnTo>
                                  <a:pt x="5035880" y="2495778"/>
                                </a:lnTo>
                                <a:lnTo>
                                  <a:pt x="6350" y="2495778"/>
                                </a:lnTo>
                                <a:lnTo>
                                  <a:pt x="3175" y="2495778"/>
                                </a:lnTo>
                                <a:lnTo>
                                  <a:pt x="3175" y="2495550"/>
                                </a:lnTo>
                                <a:lnTo>
                                  <a:pt x="6350" y="2495550"/>
                                </a:lnTo>
                                <a:lnTo>
                                  <a:pt x="6350" y="6350"/>
                                </a:lnTo>
                                <a:lnTo>
                                  <a:pt x="3175" y="6350"/>
                                </a:lnTo>
                                <a:lnTo>
                                  <a:pt x="3175" y="5803"/>
                                </a:lnTo>
                                <a:lnTo>
                                  <a:pt x="6350" y="5803"/>
                                </a:lnTo>
                                <a:lnTo>
                                  <a:pt x="5035880" y="5803"/>
                                </a:lnTo>
                                <a:lnTo>
                                  <a:pt x="5035880" y="2628"/>
                                </a:lnTo>
                                <a:lnTo>
                                  <a:pt x="6350" y="2628"/>
                                </a:lnTo>
                                <a:lnTo>
                                  <a:pt x="3175" y="2628"/>
                                </a:lnTo>
                                <a:lnTo>
                                  <a:pt x="5035880" y="2540"/>
                                </a:lnTo>
                                <a:lnTo>
                                  <a:pt x="5035880" y="0"/>
                                </a:lnTo>
                                <a:lnTo>
                                  <a:pt x="0" y="0"/>
                                </a:lnTo>
                                <a:lnTo>
                                  <a:pt x="0" y="2540"/>
                                </a:lnTo>
                                <a:lnTo>
                                  <a:pt x="0" y="6350"/>
                                </a:lnTo>
                                <a:lnTo>
                                  <a:pt x="0" y="2495550"/>
                                </a:lnTo>
                                <a:lnTo>
                                  <a:pt x="0" y="2499360"/>
                                </a:lnTo>
                                <a:lnTo>
                                  <a:pt x="0" y="2501900"/>
                                </a:lnTo>
                                <a:lnTo>
                                  <a:pt x="5042230" y="2501900"/>
                                </a:lnTo>
                                <a:lnTo>
                                  <a:pt x="5042230" y="2499360"/>
                                </a:lnTo>
                                <a:lnTo>
                                  <a:pt x="5039055" y="2499360"/>
                                </a:lnTo>
                                <a:lnTo>
                                  <a:pt x="5039055" y="2498953"/>
                                </a:lnTo>
                                <a:lnTo>
                                  <a:pt x="5042230" y="2498953"/>
                                </a:lnTo>
                                <a:lnTo>
                                  <a:pt x="5042230" y="2495778"/>
                                </a:lnTo>
                                <a:lnTo>
                                  <a:pt x="5039055" y="2495778"/>
                                </a:lnTo>
                                <a:lnTo>
                                  <a:pt x="5039055" y="2495550"/>
                                </a:lnTo>
                                <a:lnTo>
                                  <a:pt x="5042230" y="2495550"/>
                                </a:lnTo>
                                <a:lnTo>
                                  <a:pt x="5042230" y="6350"/>
                                </a:lnTo>
                                <a:lnTo>
                                  <a:pt x="5039055" y="6350"/>
                                </a:lnTo>
                                <a:lnTo>
                                  <a:pt x="5039055" y="5803"/>
                                </a:lnTo>
                                <a:lnTo>
                                  <a:pt x="5042230" y="5803"/>
                                </a:lnTo>
                                <a:lnTo>
                                  <a:pt x="5042230" y="2628"/>
                                </a:lnTo>
                                <a:lnTo>
                                  <a:pt x="5039055" y="2628"/>
                                </a:lnTo>
                                <a:lnTo>
                                  <a:pt x="5042230" y="2540"/>
                                </a:lnTo>
                                <a:lnTo>
                                  <a:pt x="5042230" y="0"/>
                                </a:lnTo>
                                <a:close/>
                              </a:path>
                            </a:pathLst>
                          </a:custGeom>
                          <a:solidFill>
                            <a:srgbClr val="000000"/>
                          </a:solidFill>
                        </wps:spPr>
                        <wps:bodyPr wrap="square" lIns="0" tIns="0" rIns="0" bIns="0" rtlCol="0">
                          <a:prstTxWarp prst="textNoShape">
                            <a:avLst/>
                          </a:prstTxWarp>
                          <a:noAutofit/>
                        </wps:bodyPr>
                      </wps:wsp>
                      <pic:pic>
                        <pic:nvPicPr>
                          <pic:cNvPr id="1492" name="Image 1492"/>
                          <pic:cNvPicPr/>
                        </pic:nvPicPr>
                        <pic:blipFill>
                          <a:blip r:embed="rId685" cstate="print"/>
                          <a:stretch>
                            <a:fillRect/>
                          </a:stretch>
                        </pic:blipFill>
                        <pic:spPr>
                          <a:xfrm>
                            <a:off x="3774900" y="119882"/>
                            <a:ext cx="244712" cy="77085"/>
                          </a:xfrm>
                          <a:prstGeom prst="rect">
                            <a:avLst/>
                          </a:prstGeom>
                        </pic:spPr>
                      </pic:pic>
                      <pic:pic>
                        <pic:nvPicPr>
                          <pic:cNvPr id="1493" name="Image 1493"/>
                          <pic:cNvPicPr/>
                        </pic:nvPicPr>
                        <pic:blipFill>
                          <a:blip r:embed="rId686" cstate="print"/>
                          <a:stretch>
                            <a:fillRect/>
                          </a:stretch>
                        </pic:blipFill>
                        <pic:spPr>
                          <a:xfrm>
                            <a:off x="4456093" y="116273"/>
                            <a:ext cx="244699" cy="78879"/>
                          </a:xfrm>
                          <a:prstGeom prst="rect">
                            <a:avLst/>
                          </a:prstGeom>
                        </pic:spPr>
                      </pic:pic>
                      <wps:wsp>
                        <wps:cNvPr id="1494" name="Textbox 1494"/>
                        <wps:cNvSpPr txBox="1"/>
                        <wps:spPr>
                          <a:xfrm>
                            <a:off x="544956" y="2129596"/>
                            <a:ext cx="4234180" cy="208915"/>
                          </a:xfrm>
                          <a:prstGeom prst="rect">
                            <a:avLst/>
                          </a:prstGeom>
                        </wps:spPr>
                        <wps:txbx>
                          <w:txbxContent>
                            <w:p>
                              <w:pPr>
                                <w:tabs>
                                  <w:tab w:pos="635" w:val="left" w:leader="none"/>
                                  <w:tab w:pos="1270" w:val="left" w:leader="none"/>
                                  <w:tab w:pos="1905" w:val="left" w:leader="none"/>
                                  <w:tab w:pos="2541" w:val="left" w:leader="none"/>
                                  <w:tab w:pos="3176" w:val="left" w:leader="none"/>
                                  <w:tab w:pos="3811" w:val="left" w:leader="none"/>
                                  <w:tab w:pos="4447" w:val="left" w:leader="none"/>
                                  <w:tab w:pos="5082" w:val="left" w:leader="none"/>
                                  <w:tab w:pos="5718" w:val="left" w:leader="none"/>
                                  <w:tab w:pos="6353" w:val="left" w:leader="none"/>
                                </w:tabs>
                                <w:spacing w:line="161" w:lineRule="exact" w:before="0"/>
                                <w:ind w:left="0" w:right="0" w:firstLine="0"/>
                                <w:jc w:val="left"/>
                                <w:rPr>
                                  <w:rFonts w:ascii="Arial MT"/>
                                  <w:sz w:val="14"/>
                                </w:rPr>
                              </w:pPr>
                              <w:r>
                                <w:rPr>
                                  <w:rFonts w:ascii="Arial MT"/>
                                  <w:spacing w:val="-2"/>
                                  <w:w w:val="90"/>
                                  <w:sz w:val="14"/>
                                </w:rPr>
                                <w:t>1993-</w:t>
                              </w:r>
                              <w:r>
                                <w:rPr>
                                  <w:rFonts w:ascii="Arial MT"/>
                                  <w:sz w:val="14"/>
                                </w:rPr>
                                <w:tab/>
                              </w:r>
                              <w:r>
                                <w:rPr>
                                  <w:rFonts w:ascii="Arial MT"/>
                                  <w:spacing w:val="-2"/>
                                  <w:w w:val="85"/>
                                  <w:sz w:val="14"/>
                                </w:rPr>
                                <w:t>1994-</w:t>
                              </w:r>
                              <w:r>
                                <w:rPr>
                                  <w:rFonts w:ascii="Arial MT"/>
                                  <w:sz w:val="14"/>
                                </w:rPr>
                                <w:tab/>
                              </w:r>
                              <w:r>
                                <w:rPr>
                                  <w:rFonts w:ascii="Arial MT"/>
                                  <w:spacing w:val="-2"/>
                                  <w:w w:val="90"/>
                                  <w:sz w:val="14"/>
                                </w:rPr>
                                <w:t>1995-</w:t>
                              </w:r>
                              <w:r>
                                <w:rPr>
                                  <w:rFonts w:ascii="Arial MT"/>
                                  <w:sz w:val="14"/>
                                </w:rPr>
                                <w:tab/>
                              </w:r>
                              <w:r>
                                <w:rPr>
                                  <w:rFonts w:ascii="Arial MT"/>
                                  <w:spacing w:val="-2"/>
                                  <w:w w:val="90"/>
                                  <w:sz w:val="14"/>
                                </w:rPr>
                                <w:t>1996-</w:t>
                              </w:r>
                              <w:r>
                                <w:rPr>
                                  <w:rFonts w:ascii="Arial MT"/>
                                  <w:sz w:val="14"/>
                                </w:rPr>
                                <w:tab/>
                              </w:r>
                              <w:r>
                                <w:rPr>
                                  <w:rFonts w:ascii="Arial MT"/>
                                  <w:spacing w:val="-2"/>
                                  <w:w w:val="90"/>
                                  <w:sz w:val="14"/>
                                </w:rPr>
                                <w:t>1997-</w:t>
                              </w:r>
                              <w:r>
                                <w:rPr>
                                  <w:rFonts w:ascii="Arial MT"/>
                                  <w:sz w:val="14"/>
                                </w:rPr>
                                <w:tab/>
                              </w:r>
                              <w:r>
                                <w:rPr>
                                  <w:rFonts w:ascii="Arial MT"/>
                                  <w:spacing w:val="-2"/>
                                  <w:w w:val="90"/>
                                  <w:sz w:val="14"/>
                                </w:rPr>
                                <w:t>1998-</w:t>
                              </w:r>
                              <w:r>
                                <w:rPr>
                                  <w:rFonts w:ascii="Arial MT"/>
                                  <w:sz w:val="14"/>
                                </w:rPr>
                                <w:tab/>
                              </w:r>
                              <w:r>
                                <w:rPr>
                                  <w:rFonts w:ascii="Arial MT"/>
                                  <w:spacing w:val="-2"/>
                                  <w:w w:val="90"/>
                                  <w:sz w:val="14"/>
                                </w:rPr>
                                <w:t>1999-</w:t>
                              </w:r>
                              <w:r>
                                <w:rPr>
                                  <w:rFonts w:ascii="Arial MT"/>
                                  <w:sz w:val="14"/>
                                </w:rPr>
                                <w:tab/>
                              </w:r>
                              <w:r>
                                <w:rPr>
                                  <w:rFonts w:ascii="Arial MT"/>
                                  <w:spacing w:val="-2"/>
                                  <w:w w:val="90"/>
                                  <w:sz w:val="14"/>
                                </w:rPr>
                                <w:t>2000-</w:t>
                              </w:r>
                              <w:r>
                                <w:rPr>
                                  <w:rFonts w:ascii="Arial MT"/>
                                  <w:sz w:val="14"/>
                                </w:rPr>
                                <w:tab/>
                              </w:r>
                              <w:r>
                                <w:rPr>
                                  <w:rFonts w:ascii="Arial MT"/>
                                  <w:spacing w:val="-4"/>
                                  <w:w w:val="90"/>
                                  <w:sz w:val="14"/>
                                </w:rPr>
                                <w:t>2001-</w:t>
                              </w:r>
                              <w:r>
                                <w:rPr>
                                  <w:rFonts w:ascii="Arial MT"/>
                                  <w:sz w:val="14"/>
                                </w:rPr>
                                <w:tab/>
                              </w:r>
                              <w:r>
                                <w:rPr>
                                  <w:rFonts w:ascii="Arial MT"/>
                                  <w:spacing w:val="-2"/>
                                  <w:w w:val="90"/>
                                  <w:sz w:val="14"/>
                                </w:rPr>
                                <w:t>2002-</w:t>
                              </w:r>
                              <w:r>
                                <w:rPr>
                                  <w:rFonts w:ascii="Arial MT"/>
                                  <w:sz w:val="14"/>
                                </w:rPr>
                                <w:tab/>
                              </w:r>
                              <w:r>
                                <w:rPr>
                                  <w:rFonts w:ascii="Arial MT"/>
                                  <w:spacing w:val="-2"/>
                                  <w:w w:val="85"/>
                                  <w:sz w:val="14"/>
                                </w:rPr>
                                <w:t>2003-</w:t>
                              </w:r>
                            </w:p>
                            <w:p>
                              <w:pPr>
                                <w:tabs>
                                  <w:tab w:pos="718" w:val="left" w:leader="none"/>
                                  <w:tab w:pos="1353" w:val="left" w:leader="none"/>
                                  <w:tab w:pos="1988" w:val="left" w:leader="none"/>
                                  <w:tab w:pos="2624" w:val="left" w:leader="none"/>
                                  <w:tab w:pos="3259" w:val="left" w:leader="none"/>
                                  <w:tab w:pos="3831" w:val="left" w:leader="none"/>
                                  <w:tab w:pos="4530" w:val="left" w:leader="none"/>
                                  <w:tab w:pos="5165" w:val="left" w:leader="none"/>
                                  <w:tab w:pos="5800" w:val="left" w:leader="none"/>
                                  <w:tab w:pos="6436" w:val="left" w:leader="none"/>
                                </w:tabs>
                                <w:spacing w:before="7"/>
                                <w:ind w:left="82" w:right="0" w:firstLine="0"/>
                                <w:jc w:val="left"/>
                                <w:rPr>
                                  <w:rFonts w:ascii="Arial MT"/>
                                  <w:sz w:val="14"/>
                                </w:rPr>
                              </w:pPr>
                              <w:r>
                                <w:rPr>
                                  <w:rFonts w:ascii="Arial MT"/>
                                  <w:spacing w:val="-5"/>
                                  <w:w w:val="90"/>
                                  <w:sz w:val="14"/>
                                </w:rPr>
                                <w:t>94</w:t>
                              </w:r>
                              <w:r>
                                <w:rPr>
                                  <w:rFonts w:ascii="Arial MT"/>
                                  <w:sz w:val="14"/>
                                </w:rPr>
                                <w:tab/>
                              </w:r>
                              <w:r>
                                <w:rPr>
                                  <w:rFonts w:ascii="Arial MT"/>
                                  <w:spacing w:val="-5"/>
                                  <w:w w:val="90"/>
                                  <w:sz w:val="14"/>
                                </w:rPr>
                                <w:t>95</w:t>
                              </w:r>
                              <w:r>
                                <w:rPr>
                                  <w:rFonts w:ascii="Arial MT"/>
                                  <w:sz w:val="14"/>
                                </w:rPr>
                                <w:tab/>
                              </w:r>
                              <w:r>
                                <w:rPr>
                                  <w:rFonts w:ascii="Arial MT"/>
                                  <w:spacing w:val="-7"/>
                                  <w:w w:val="90"/>
                                  <w:sz w:val="14"/>
                                </w:rPr>
                                <w:t>96</w:t>
                              </w:r>
                              <w:r>
                                <w:rPr>
                                  <w:rFonts w:ascii="Arial MT"/>
                                  <w:sz w:val="14"/>
                                </w:rPr>
                                <w:tab/>
                              </w:r>
                              <w:r>
                                <w:rPr>
                                  <w:rFonts w:ascii="Arial MT"/>
                                  <w:spacing w:val="-5"/>
                                  <w:w w:val="90"/>
                                  <w:sz w:val="14"/>
                                </w:rPr>
                                <w:t>97</w:t>
                              </w:r>
                              <w:r>
                                <w:rPr>
                                  <w:rFonts w:ascii="Arial MT"/>
                                  <w:sz w:val="14"/>
                                </w:rPr>
                                <w:tab/>
                              </w:r>
                              <w:r>
                                <w:rPr>
                                  <w:rFonts w:ascii="Arial MT"/>
                                  <w:spacing w:val="-7"/>
                                  <w:w w:val="90"/>
                                  <w:sz w:val="14"/>
                                </w:rPr>
                                <w:t>98</w:t>
                              </w:r>
                              <w:r>
                                <w:rPr>
                                  <w:rFonts w:ascii="Arial MT"/>
                                  <w:sz w:val="14"/>
                                </w:rPr>
                                <w:tab/>
                              </w:r>
                              <w:r>
                                <w:rPr>
                                  <w:rFonts w:ascii="Arial MT"/>
                                  <w:spacing w:val="-5"/>
                                  <w:w w:val="90"/>
                                  <w:sz w:val="14"/>
                                </w:rPr>
                                <w:t>99</w:t>
                              </w:r>
                              <w:r>
                                <w:rPr>
                                  <w:rFonts w:ascii="Arial MT"/>
                                  <w:sz w:val="14"/>
                                </w:rPr>
                                <w:tab/>
                              </w:r>
                              <w:r>
                                <w:rPr>
                                  <w:rFonts w:ascii="Arial MT"/>
                                  <w:spacing w:val="-4"/>
                                  <w:w w:val="90"/>
                                  <w:sz w:val="14"/>
                                </w:rPr>
                                <w:t>2000</w:t>
                              </w:r>
                              <w:r>
                                <w:rPr>
                                  <w:rFonts w:ascii="Arial MT"/>
                                  <w:sz w:val="14"/>
                                </w:rPr>
                                <w:tab/>
                              </w:r>
                              <w:r>
                                <w:rPr>
                                  <w:rFonts w:ascii="Arial MT"/>
                                  <w:spacing w:val="-5"/>
                                  <w:w w:val="90"/>
                                  <w:sz w:val="14"/>
                                </w:rPr>
                                <w:t>01</w:t>
                              </w:r>
                              <w:r>
                                <w:rPr>
                                  <w:rFonts w:ascii="Arial MT"/>
                                  <w:sz w:val="14"/>
                                </w:rPr>
                                <w:tab/>
                              </w:r>
                              <w:r>
                                <w:rPr>
                                  <w:rFonts w:ascii="Arial MT"/>
                                  <w:spacing w:val="-5"/>
                                  <w:w w:val="90"/>
                                  <w:sz w:val="14"/>
                                </w:rPr>
                                <w:t>02</w:t>
                              </w:r>
                              <w:r>
                                <w:rPr>
                                  <w:rFonts w:ascii="Arial MT"/>
                                  <w:sz w:val="14"/>
                                </w:rPr>
                                <w:tab/>
                              </w:r>
                              <w:r>
                                <w:rPr>
                                  <w:rFonts w:ascii="Arial MT"/>
                                  <w:spacing w:val="-5"/>
                                  <w:w w:val="90"/>
                                  <w:sz w:val="14"/>
                                </w:rPr>
                                <w:t>03</w:t>
                              </w:r>
                              <w:r>
                                <w:rPr>
                                  <w:rFonts w:ascii="Arial MT"/>
                                  <w:sz w:val="14"/>
                                </w:rPr>
                                <w:tab/>
                              </w:r>
                              <w:r>
                                <w:rPr>
                                  <w:rFonts w:ascii="Arial MT"/>
                                  <w:spacing w:val="-5"/>
                                  <w:w w:val="90"/>
                                  <w:sz w:val="14"/>
                                </w:rPr>
                                <w:t>04</w:t>
                              </w:r>
                            </w:p>
                          </w:txbxContent>
                        </wps:txbx>
                        <wps:bodyPr wrap="square" lIns="0" tIns="0" rIns="0" bIns="0" rtlCol="0">
                          <a:noAutofit/>
                        </wps:bodyPr>
                      </wps:wsp>
                      <wps:wsp>
                        <wps:cNvPr id="1495" name="Textbox 1495"/>
                        <wps:cNvSpPr txBox="1"/>
                        <wps:spPr>
                          <a:xfrm>
                            <a:off x="4076275" y="103347"/>
                            <a:ext cx="28003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Nominal</w:t>
                              </w:r>
                            </w:p>
                          </w:txbxContent>
                        </wps:txbx>
                        <wps:bodyPr wrap="square" lIns="0" tIns="0" rIns="0" bIns="0" rtlCol="0">
                          <a:noAutofit/>
                        </wps:bodyPr>
                      </wps:wsp>
                      <wps:wsp>
                        <wps:cNvPr id="1496" name="Textbox 1496"/>
                        <wps:cNvSpPr txBox="1"/>
                        <wps:spPr>
                          <a:xfrm>
                            <a:off x="4713551" y="103347"/>
                            <a:ext cx="16256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Real</w:t>
                              </w:r>
                            </w:p>
                          </w:txbxContent>
                        </wps:txbx>
                        <wps:bodyPr wrap="square" lIns="0" tIns="0" rIns="0" bIns="0" rtlCol="0">
                          <a:noAutofit/>
                        </wps:bodyPr>
                      </wps:wsp>
                      <wps:wsp>
                        <wps:cNvPr id="1497" name="Textbox 1497"/>
                        <wps:cNvSpPr txBox="1"/>
                        <wps:spPr>
                          <a:xfrm>
                            <a:off x="184634" y="525146"/>
                            <a:ext cx="215900" cy="16135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14000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2"/>
                                  <w:w w:val="80"/>
                                  <w:sz w:val="14"/>
                                </w:rPr>
                                <w:t>12000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2"/>
                                  <w:w w:val="80"/>
                                  <w:sz w:val="14"/>
                                </w:rPr>
                                <w:t>10000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4"/>
                                  <w:w w:val="90"/>
                                  <w:sz w:val="14"/>
                                </w:rPr>
                                <w:t>8000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4"/>
                                  <w:w w:val="90"/>
                                  <w:sz w:val="14"/>
                                </w:rPr>
                                <w:t>6000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4"/>
                                  <w:w w:val="90"/>
                                  <w:sz w:val="14"/>
                                </w:rPr>
                                <w:t>4000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4"/>
                                  <w:w w:val="90"/>
                                  <w:sz w:val="14"/>
                                </w:rPr>
                                <w:t>2000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g:wgp>
                  </a:graphicData>
                </a:graphic>
              </wp:anchor>
            </w:drawing>
          </mc:Choice>
          <mc:Fallback>
            <w:pict>
              <v:group style="position:absolute;margin-left:100.181763pt;margin-top:6.564639pt;width:397.05pt;height:197pt;mso-position-horizontal-relative:page;mso-position-vertical-relative:paragraph;z-index:-15637504;mso-wrap-distance-left:0;mso-wrap-distance-right:0" id="docshapegroup1453" coordorigin="2004,131" coordsize="7941,3940">
                <v:shape style="position:absolute;left:2659;top:992;width:6996;height:2466" id="docshape1454" coordorigin="2659,993" coordsize="6996,2466" path="m9655,3397l9655,3397,2720,3397,2720,993,2710,993,2659,993,2659,1003,2710,1003,2710,1336,2659,1336,2659,1346,2710,1346,2710,1680,2659,1680,2659,1690,2710,1690,2710,2023,2659,2023,2659,2033,2710,2033,2710,2367,2659,2367,2659,2377,2710,2377,2710,2710,2659,2710,2659,2720,2710,2720,2710,3054,2659,3054,2659,3064,2710,3064,2710,3397,2659,3397,2659,3407,2710,3407,2710,3458,2720,3458,2720,3407,3336,3407,3336,3458,3346,3458,3346,3407,3975,3407,3975,3458,3985,3458,3985,3407,4600,3407,4600,3458,4610,3458,4610,3407,5226,3407,5226,3458,5236,3458,5236,3407,5865,3407,5865,3458,5875,3458,5875,3407,6490,3407,6490,3458,6500,3458,6500,3407,7129,3407,7129,3458,7139,3458,7139,3407,7755,3407,7755,3458,7765,3458,7765,3407,8380,3407,8380,3458,8390,3458,8390,3407,9019,3407,9019,3458,9029,3458,9029,3407,9645,3407,9645,3458,9655,3458,9655,3397xe" filled="true" fillcolor="#000000" stroked="false">
                  <v:path arrowok="t"/>
                  <v:fill type="solid"/>
                </v:shape>
                <v:shape style="position:absolute;left:3017;top:991;width:6328;height:978" id="docshape1455" coordorigin="3018,992" coordsize="6328,978" path="m4936,1964l4924,1966,4935,1969,4936,1964xm4912,1963l4913,1968,4924,1966,4912,1963xm4925,1938l4909,1940,4912,1963,4924,1966,4936,1964,4941,1942,4925,1938xm5547,1837l4925,1938,4941,1942,4936,1964,5541,1866,5533,1841,5547,1837xm4283,1800l4912,1963,4909,1940,4925,1938,4401,1802,4298,1802,4283,1800xm3648,1699l3018,1853,3024,1880,3661,1724,3645,1722,3648,1699xm5554,1864l5541,1866,5541,1868,5554,1864xm5562,1834l5547,1837,5533,1841,5541,1866,5554,1864,5566,1860,5562,1834xm5566,1860l5554,1864,5566,1862,5566,1860xm5646,1834l5562,1834,5566,1860,5646,1834xm6182,1634l5547,1837,5562,1834,5646,1834,6184,1663,6169,1645,6182,1634xm4276,1771l4269,1796,4283,1800,4298,1802,4301,1776,4289,1773,4276,1771xm4301,1776l4298,1802,4401,1802,4301,1776xm3671,1698l3677,1720,3661,1724,4283,1800,4269,1796,4276,1771,3671,1698xm4289,1773l4301,1776,4301,1774,4289,1773xm4276,1770l4276,1771,4289,1773,4276,1770xm3659,1696l3648,1699,3645,1722,3661,1724,3677,1720,3671,1698,3659,1696xm3648,1695l3648,1699,3659,1696,3648,1695xm3670,1693l3659,1696,3671,1698,3670,1693xm6196,1659l6184,1663,6187,1666,6196,1659xm6198,1629l6182,1634,6169,1645,6184,1663,6196,1659,6205,1651,6198,1629xm6205,1651l6196,1659,6206,1656,6205,1651xm6232,1629l6198,1629,6205,1651,6232,1629xm6799,1132l6182,1634,6198,1629,6232,1629,6816,1154,6804,1154,6799,1132xm8088,1342l8076,1343,8085,1347,8088,1342xm8066,1337l8066,1343,8076,1343,8066,1337xm8082,1314l8064,1315,8066,1337,8076,1343,8088,1342,8098,1322,8082,1314xm8690,1277l8082,1314,8098,1322,8088,1342,8692,1305,8690,1277xm7453,1001l7457,1021,7438,1025,8066,1337,8064,1315,8082,1314,7453,1001xm8718,1276l8690,1277,8692,1305,8719,1303,8718,1276xm8719,1303l8692,1305,8719,1303,8719,1303xm9343,1237l8718,1276,8719,1303,9345,1265,9343,1237xm8718,1276l8701,1277,8718,1276,8718,1276xm6820,1122l6808,1125,6799,1132,6804,1154,6821,1151,6834,1140,6820,1122xm6821,1151l6804,1154,6816,1154,6821,1151xm7431,998l6820,1122,6834,1140,6821,1151,7438,1025,7422,1017,7431,998xm6808,1125l6798,1127,6799,1132,6808,1125xm6817,1118l6808,1125,6820,1122,6817,1118xm7442,996l7431,998,7422,1017,7438,1025,7457,1021,7453,1001,7442,996xm7451,994l7442,996,7453,1001,7451,994xm7434,992l7431,998,7442,996,7434,992xe" filled="true" fillcolor="#2f7d41" stroked="false">
                  <v:path arrowok="t"/>
                  <v:fill type="solid"/>
                </v:shape>
                <v:shape style="position:absolute;left:3019;top:1818;width:6326;height:456" id="docshape1456" coordorigin="3020,1819" coordsize="6326,456" path="m4935,2271l4923,2271,4934,2274,4935,2271xm4911,2268l4911,2272,4923,2271,4911,2268xm4926,2243l4910,2244,4911,2268,4923,2271,4935,2271,4942,2248,4926,2243xm5549,2218l4926,2243,4942,2248,4935,2271,5538,2246,5535,2220,5549,2218xm4290,2066l4303,2070,4296,2096,4911,2268,4910,2244,4926,2243,4290,2066xm5551,2246l5538,2246,5538,2247,5551,2246xm5564,2217l5549,2218,5535,2220,5538,2246,5551,2246,5565,2244,5564,2217xm5565,2244l5551,2246,5565,2245,5565,2244xm5788,2217l5564,2217,5565,2244,5788,2217xm6185,2142l5549,2218,5564,2217,5788,2217,6181,2170,6170,2149,6185,2142xm8704,2157l9343,2196,9345,2168,9170,2157,8718,2157,8704,2157xm6193,2169l6181,2170,6183,2174,6193,2169xm6201,2140l6185,2142,6170,2149,6181,2170,6193,2169,6204,2164,6201,2140xm6204,2164l6193,2169,6204,2168,6204,2164xm6250,2140l6201,2140,6204,2164,6250,2140xm8692,2128l8690,2156,8704,2157,8718,2157,8719,2130,8705,2129,8692,2128xm8719,2130l8718,2157,9170,2157,8719,2130xm8082,2104l8097,2110,8088,2132,8704,2157,8690,2156,8692,2128,8082,2104xm6801,1829l6185,2142,6201,2140,6250,2140,6818,1851,6800,1851,6801,1829xm8076,2131l8087,2135,8088,2132,8076,2131xm8066,2103l8065,2127,8076,2131,8088,2132,8097,2110,8082,2104,8066,2103xm8065,2127l8064,2131,8076,2131,8065,2127xm8705,2129l8719,2130,8719,2129,8705,2129xm8692,2128l8692,2128,8705,2129,8692,2128xm7437,1877l8065,2127,8066,2103,8080,2103,7514,1877,7454,1877,7437,1877xm8080,2103l8066,2103,8082,2104,8080,2103xm4282,2093l4296,2096,4296,2096,4282,2093xm4276,2062l4269,2089,4296,2096,4303,2070,4276,2062xm4269,2089l4269,2089,4282,2093,4269,2089xm3658,1915l4269,2089,4276,2062,4277,2062,3763,1916,3673,1916,3658,1915xm4277,2062l4276,2062,4290,2066,4277,2062xm3650,1886l3643,1911,3658,1915,3673,1916,3675,1891,3663,1887,3650,1886xm3675,1891l3673,1916,3763,1916,3675,1891xm3021,1848l3020,1876,3658,1915,3643,1911,3650,1886,3021,1848xm3663,1887l3675,1891,3675,1888,3663,1887xm3651,1884l3650,1886,3663,1887,3651,1884xm7431,1849l7422,1871,7437,1877,7454,1877,7455,1854,7443,1849,7431,1849xm7455,1854l7454,1877,7514,1877,7455,1854xm6823,1824l6833,1844,6818,1851,7437,1877,7422,1871,7431,1849,6823,1824xm7443,1849l7455,1854,7455,1850,7443,1849xm6812,1823l6801,1829,6800,1851,6818,1851,6833,1844,6823,1824,6812,1823xm7433,1845l7431,1849,7443,1849,7433,1845xm6801,1823l6801,1829,6812,1823,6801,1823xm6821,1819l6812,1823,6823,1824,6821,1819xe" filled="true" fillcolor="#e3c626" stroked="false">
                  <v:path arrowok="t"/>
                  <v:fill type="solid"/>
                </v:shape>
                <v:shape style="position:absolute;left:2973;top:1802;width:122;height:122" id="docshape1457" coordorigin="2974,1802" coordsize="122,122" path="m3095,1863l3090,1858,3035,1802,3030,1807,2974,1863,3035,1924,3044,1914,3090,1868,3095,1863xe" filled="true" fillcolor="#2f7d41" stroked="false">
                  <v:path arrowok="t"/>
                  <v:fill type="solid"/>
                </v:shape>
                <v:shape style="position:absolute;left:3599;top:1649;width:122;height:122" type="#_x0000_t75" id="docshape1458" stroked="false">
                  <v:imagedata r:id="rId671" o:title=""/>
                </v:shape>
                <v:shape style="position:absolute;left:4225;top:1725;width:122;height:122" type="#_x0000_t75" id="docshape1459" stroked="false">
                  <v:imagedata r:id="rId672" o:title=""/>
                </v:shape>
                <v:shape style="position:absolute;left:4863;top:1891;width:122;height:122" type="#_x0000_t75" id="docshape1460" stroked="false">
                  <v:imagedata r:id="rId673" o:title=""/>
                </v:shape>
                <v:shape style="position:absolute;left:5489;top:1789;width:122;height:122" type="#_x0000_t75" id="docshape1461" stroked="false">
                  <v:imagedata r:id="rId674" o:title=""/>
                </v:shape>
                <v:shape style="position:absolute;left:6127;top:1585;width:122;height:122" type="#_x0000_t75" id="docshape1462" stroked="false">
                  <v:imagedata r:id="rId675" o:title=""/>
                </v:shape>
                <v:shape style="position:absolute;left:6753;top:1076;width:122;height:122" type="#_x0000_t75" id="docshape1463" stroked="false">
                  <v:imagedata r:id="rId676" o:title=""/>
                </v:shape>
                <v:shape style="position:absolute;left:7379;top:949;width:122;height:122" type="#_x0000_t75" id="docshape1464" stroked="false">
                  <v:imagedata r:id="rId671" o:title=""/>
                </v:shape>
                <v:shape style="position:absolute;left:8017;top:1267;width:122;height:122" type="#_x0000_t75" id="docshape1465" stroked="false">
                  <v:imagedata r:id="rId677" o:title=""/>
                </v:shape>
                <v:shape style="position:absolute;left:8643;top:1229;width:122;height:122" type="#_x0000_t75" id="docshape1466" stroked="false">
                  <v:imagedata r:id="rId678" o:title=""/>
                </v:shape>
                <v:shape style="position:absolute;left:9269;top:1191;width:122;height:122" type="#_x0000_t75" id="docshape1467" stroked="false">
                  <v:imagedata r:id="rId677" o:title=""/>
                </v:shape>
                <v:shape style="position:absolute;left:2972;top:1796;width:125;height:125" id="docshape1468" coordorigin="2972,1796" coordsize="125,125" path="m3097,1921l3095,1917,3090,1907,3035,1796,3028,1809,2972,1921,3097,1921xe" filled="true" fillcolor="#e3c626" stroked="false">
                  <v:path arrowok="t"/>
                  <v:fill type="solid"/>
                </v:shape>
                <v:shape style="position:absolute;left:3597;top:1834;width:125;height:125" type="#_x0000_t75" id="docshape1469" stroked="false">
                  <v:imagedata r:id="rId679" o:title=""/>
                </v:shape>
                <v:shape style="position:absolute;left:4223;top:2012;width:125;height:125" type="#_x0000_t75" id="docshape1470" stroked="false">
                  <v:imagedata r:id="rId680" o:title=""/>
                </v:shape>
                <v:shape style="position:absolute;left:4862;top:2190;width:125;height:125" type="#_x0000_t75" id="docshape1471" stroked="false">
                  <v:imagedata r:id="rId680" o:title=""/>
                </v:shape>
                <v:shape style="position:absolute;left:5487;top:2165;width:125;height:125" type="#_x0000_t75" id="docshape1472" stroked="false">
                  <v:imagedata r:id="rId679" o:title=""/>
                </v:shape>
                <v:shape style="position:absolute;left:6126;top:2089;width:125;height:125" type="#_x0000_t75" id="docshape1473" stroked="false">
                  <v:imagedata r:id="rId681" o:title=""/>
                </v:shape>
                <v:shape style="position:absolute;left:6752;top:1771;width:125;height:125" type="#_x0000_t75" id="docshape1474" stroked="false">
                  <v:imagedata r:id="rId680" o:title=""/>
                </v:shape>
                <v:shape style="position:absolute;left:7378;top:1796;width:125;height:125" type="#_x0000_t75" id="docshape1475" stroked="false">
                  <v:imagedata r:id="rId681" o:title=""/>
                </v:shape>
                <v:shape style="position:absolute;left:8016;top:2050;width:125;height:125" type="#_x0000_t75" id="docshape1476" stroked="false">
                  <v:imagedata r:id="rId682" o:title=""/>
                </v:shape>
                <v:shape style="position:absolute;left:8642;top:2076;width:125;height:125" type="#_x0000_t75" id="docshape1477" stroked="false">
                  <v:imagedata r:id="rId683" o:title=""/>
                </v:shape>
                <v:shape style="position:absolute;left:9268;top:2114;width:125;height:125" type="#_x0000_t75" id="docshape1478" stroked="false">
                  <v:imagedata r:id="rId684" o:title=""/>
                </v:shape>
                <v:shape style="position:absolute;left:2003;top:131;width:7941;height:3940" id="docshape1479" coordorigin="2004,131" coordsize="7941,3940" path="m9944,131l9934,131,9934,135,9934,135,9934,4067,2009,4067,2009,4067,2014,4067,9934,4067,9934,4062,2014,4062,2009,4062,2009,4061,2014,4061,2014,141,2009,141,2009,140,2014,140,9934,140,9934,135,2014,135,2009,135,9934,135,9934,131,2004,131,2004,135,2004,141,2004,4061,2004,4067,2004,4071,9944,4071,9944,4067,9939,4067,9939,4067,9944,4067,9944,4062,9939,4062,9939,4061,9944,4061,9944,141,9939,141,9939,140,9944,140,9944,135,9939,135,9944,135,9944,131xe" filled="true" fillcolor="#000000" stroked="false">
                  <v:path arrowok="t"/>
                  <v:fill type="solid"/>
                </v:shape>
                <v:shape style="position:absolute;left:7948;top:320;width:386;height:122" type="#_x0000_t75" id="docshape1480" stroked="false">
                  <v:imagedata r:id="rId685" o:title=""/>
                </v:shape>
                <v:shape style="position:absolute;left:9021;top:314;width:386;height:125" type="#_x0000_t75" id="docshape1481" stroked="false">
                  <v:imagedata r:id="rId686" o:title=""/>
                </v:shape>
                <v:shape style="position:absolute;left:2861;top:3484;width:6668;height:329" type="#_x0000_t202" id="docshape1482" filled="false" stroked="false">
                  <v:textbox inset="0,0,0,0">
                    <w:txbxContent>
                      <w:p>
                        <w:pPr>
                          <w:tabs>
                            <w:tab w:pos="635" w:val="left" w:leader="none"/>
                            <w:tab w:pos="1270" w:val="left" w:leader="none"/>
                            <w:tab w:pos="1905" w:val="left" w:leader="none"/>
                            <w:tab w:pos="2541" w:val="left" w:leader="none"/>
                            <w:tab w:pos="3176" w:val="left" w:leader="none"/>
                            <w:tab w:pos="3811" w:val="left" w:leader="none"/>
                            <w:tab w:pos="4447" w:val="left" w:leader="none"/>
                            <w:tab w:pos="5082" w:val="left" w:leader="none"/>
                            <w:tab w:pos="5718" w:val="left" w:leader="none"/>
                            <w:tab w:pos="6353" w:val="left" w:leader="none"/>
                          </w:tabs>
                          <w:spacing w:line="161" w:lineRule="exact" w:before="0"/>
                          <w:ind w:left="0" w:right="0" w:firstLine="0"/>
                          <w:jc w:val="left"/>
                          <w:rPr>
                            <w:rFonts w:ascii="Arial MT"/>
                            <w:sz w:val="14"/>
                          </w:rPr>
                        </w:pPr>
                        <w:r>
                          <w:rPr>
                            <w:rFonts w:ascii="Arial MT"/>
                            <w:spacing w:val="-2"/>
                            <w:w w:val="90"/>
                            <w:sz w:val="14"/>
                          </w:rPr>
                          <w:t>1993-</w:t>
                        </w:r>
                        <w:r>
                          <w:rPr>
                            <w:rFonts w:ascii="Arial MT"/>
                            <w:sz w:val="14"/>
                          </w:rPr>
                          <w:tab/>
                        </w:r>
                        <w:r>
                          <w:rPr>
                            <w:rFonts w:ascii="Arial MT"/>
                            <w:spacing w:val="-2"/>
                            <w:w w:val="85"/>
                            <w:sz w:val="14"/>
                          </w:rPr>
                          <w:t>1994-</w:t>
                        </w:r>
                        <w:r>
                          <w:rPr>
                            <w:rFonts w:ascii="Arial MT"/>
                            <w:sz w:val="14"/>
                          </w:rPr>
                          <w:tab/>
                        </w:r>
                        <w:r>
                          <w:rPr>
                            <w:rFonts w:ascii="Arial MT"/>
                            <w:spacing w:val="-2"/>
                            <w:w w:val="90"/>
                            <w:sz w:val="14"/>
                          </w:rPr>
                          <w:t>1995-</w:t>
                        </w:r>
                        <w:r>
                          <w:rPr>
                            <w:rFonts w:ascii="Arial MT"/>
                            <w:sz w:val="14"/>
                          </w:rPr>
                          <w:tab/>
                        </w:r>
                        <w:r>
                          <w:rPr>
                            <w:rFonts w:ascii="Arial MT"/>
                            <w:spacing w:val="-2"/>
                            <w:w w:val="90"/>
                            <w:sz w:val="14"/>
                          </w:rPr>
                          <w:t>1996-</w:t>
                        </w:r>
                        <w:r>
                          <w:rPr>
                            <w:rFonts w:ascii="Arial MT"/>
                            <w:sz w:val="14"/>
                          </w:rPr>
                          <w:tab/>
                        </w:r>
                        <w:r>
                          <w:rPr>
                            <w:rFonts w:ascii="Arial MT"/>
                            <w:spacing w:val="-2"/>
                            <w:w w:val="90"/>
                            <w:sz w:val="14"/>
                          </w:rPr>
                          <w:t>1997-</w:t>
                        </w:r>
                        <w:r>
                          <w:rPr>
                            <w:rFonts w:ascii="Arial MT"/>
                            <w:sz w:val="14"/>
                          </w:rPr>
                          <w:tab/>
                        </w:r>
                        <w:r>
                          <w:rPr>
                            <w:rFonts w:ascii="Arial MT"/>
                            <w:spacing w:val="-2"/>
                            <w:w w:val="90"/>
                            <w:sz w:val="14"/>
                          </w:rPr>
                          <w:t>1998-</w:t>
                        </w:r>
                        <w:r>
                          <w:rPr>
                            <w:rFonts w:ascii="Arial MT"/>
                            <w:sz w:val="14"/>
                          </w:rPr>
                          <w:tab/>
                        </w:r>
                        <w:r>
                          <w:rPr>
                            <w:rFonts w:ascii="Arial MT"/>
                            <w:spacing w:val="-2"/>
                            <w:w w:val="90"/>
                            <w:sz w:val="14"/>
                          </w:rPr>
                          <w:t>1999-</w:t>
                        </w:r>
                        <w:r>
                          <w:rPr>
                            <w:rFonts w:ascii="Arial MT"/>
                            <w:sz w:val="14"/>
                          </w:rPr>
                          <w:tab/>
                        </w:r>
                        <w:r>
                          <w:rPr>
                            <w:rFonts w:ascii="Arial MT"/>
                            <w:spacing w:val="-2"/>
                            <w:w w:val="90"/>
                            <w:sz w:val="14"/>
                          </w:rPr>
                          <w:t>2000-</w:t>
                        </w:r>
                        <w:r>
                          <w:rPr>
                            <w:rFonts w:ascii="Arial MT"/>
                            <w:sz w:val="14"/>
                          </w:rPr>
                          <w:tab/>
                        </w:r>
                        <w:r>
                          <w:rPr>
                            <w:rFonts w:ascii="Arial MT"/>
                            <w:spacing w:val="-4"/>
                            <w:w w:val="90"/>
                            <w:sz w:val="14"/>
                          </w:rPr>
                          <w:t>2001-</w:t>
                        </w:r>
                        <w:r>
                          <w:rPr>
                            <w:rFonts w:ascii="Arial MT"/>
                            <w:sz w:val="14"/>
                          </w:rPr>
                          <w:tab/>
                        </w:r>
                        <w:r>
                          <w:rPr>
                            <w:rFonts w:ascii="Arial MT"/>
                            <w:spacing w:val="-2"/>
                            <w:w w:val="90"/>
                            <w:sz w:val="14"/>
                          </w:rPr>
                          <w:t>2002-</w:t>
                        </w:r>
                        <w:r>
                          <w:rPr>
                            <w:rFonts w:ascii="Arial MT"/>
                            <w:sz w:val="14"/>
                          </w:rPr>
                          <w:tab/>
                        </w:r>
                        <w:r>
                          <w:rPr>
                            <w:rFonts w:ascii="Arial MT"/>
                            <w:spacing w:val="-2"/>
                            <w:w w:val="85"/>
                            <w:sz w:val="14"/>
                          </w:rPr>
                          <w:t>2003-</w:t>
                        </w:r>
                      </w:p>
                      <w:p>
                        <w:pPr>
                          <w:tabs>
                            <w:tab w:pos="718" w:val="left" w:leader="none"/>
                            <w:tab w:pos="1353" w:val="left" w:leader="none"/>
                            <w:tab w:pos="1988" w:val="left" w:leader="none"/>
                            <w:tab w:pos="2624" w:val="left" w:leader="none"/>
                            <w:tab w:pos="3259" w:val="left" w:leader="none"/>
                            <w:tab w:pos="3831" w:val="left" w:leader="none"/>
                            <w:tab w:pos="4530" w:val="left" w:leader="none"/>
                            <w:tab w:pos="5165" w:val="left" w:leader="none"/>
                            <w:tab w:pos="5800" w:val="left" w:leader="none"/>
                            <w:tab w:pos="6436" w:val="left" w:leader="none"/>
                          </w:tabs>
                          <w:spacing w:before="7"/>
                          <w:ind w:left="82" w:right="0" w:firstLine="0"/>
                          <w:jc w:val="left"/>
                          <w:rPr>
                            <w:rFonts w:ascii="Arial MT"/>
                            <w:sz w:val="14"/>
                          </w:rPr>
                        </w:pPr>
                        <w:r>
                          <w:rPr>
                            <w:rFonts w:ascii="Arial MT"/>
                            <w:spacing w:val="-5"/>
                            <w:w w:val="90"/>
                            <w:sz w:val="14"/>
                          </w:rPr>
                          <w:t>94</w:t>
                        </w:r>
                        <w:r>
                          <w:rPr>
                            <w:rFonts w:ascii="Arial MT"/>
                            <w:sz w:val="14"/>
                          </w:rPr>
                          <w:tab/>
                        </w:r>
                        <w:r>
                          <w:rPr>
                            <w:rFonts w:ascii="Arial MT"/>
                            <w:spacing w:val="-5"/>
                            <w:w w:val="90"/>
                            <w:sz w:val="14"/>
                          </w:rPr>
                          <w:t>95</w:t>
                        </w:r>
                        <w:r>
                          <w:rPr>
                            <w:rFonts w:ascii="Arial MT"/>
                            <w:sz w:val="14"/>
                          </w:rPr>
                          <w:tab/>
                        </w:r>
                        <w:r>
                          <w:rPr>
                            <w:rFonts w:ascii="Arial MT"/>
                            <w:spacing w:val="-7"/>
                            <w:w w:val="90"/>
                            <w:sz w:val="14"/>
                          </w:rPr>
                          <w:t>96</w:t>
                        </w:r>
                        <w:r>
                          <w:rPr>
                            <w:rFonts w:ascii="Arial MT"/>
                            <w:sz w:val="14"/>
                          </w:rPr>
                          <w:tab/>
                        </w:r>
                        <w:r>
                          <w:rPr>
                            <w:rFonts w:ascii="Arial MT"/>
                            <w:spacing w:val="-5"/>
                            <w:w w:val="90"/>
                            <w:sz w:val="14"/>
                          </w:rPr>
                          <w:t>97</w:t>
                        </w:r>
                        <w:r>
                          <w:rPr>
                            <w:rFonts w:ascii="Arial MT"/>
                            <w:sz w:val="14"/>
                          </w:rPr>
                          <w:tab/>
                        </w:r>
                        <w:r>
                          <w:rPr>
                            <w:rFonts w:ascii="Arial MT"/>
                            <w:spacing w:val="-7"/>
                            <w:w w:val="90"/>
                            <w:sz w:val="14"/>
                          </w:rPr>
                          <w:t>98</w:t>
                        </w:r>
                        <w:r>
                          <w:rPr>
                            <w:rFonts w:ascii="Arial MT"/>
                            <w:sz w:val="14"/>
                          </w:rPr>
                          <w:tab/>
                        </w:r>
                        <w:r>
                          <w:rPr>
                            <w:rFonts w:ascii="Arial MT"/>
                            <w:spacing w:val="-5"/>
                            <w:w w:val="90"/>
                            <w:sz w:val="14"/>
                          </w:rPr>
                          <w:t>99</w:t>
                        </w:r>
                        <w:r>
                          <w:rPr>
                            <w:rFonts w:ascii="Arial MT"/>
                            <w:sz w:val="14"/>
                          </w:rPr>
                          <w:tab/>
                        </w:r>
                        <w:r>
                          <w:rPr>
                            <w:rFonts w:ascii="Arial MT"/>
                            <w:spacing w:val="-4"/>
                            <w:w w:val="90"/>
                            <w:sz w:val="14"/>
                          </w:rPr>
                          <w:t>2000</w:t>
                        </w:r>
                        <w:r>
                          <w:rPr>
                            <w:rFonts w:ascii="Arial MT"/>
                            <w:sz w:val="14"/>
                          </w:rPr>
                          <w:tab/>
                        </w:r>
                        <w:r>
                          <w:rPr>
                            <w:rFonts w:ascii="Arial MT"/>
                            <w:spacing w:val="-5"/>
                            <w:w w:val="90"/>
                            <w:sz w:val="14"/>
                          </w:rPr>
                          <w:t>01</w:t>
                        </w:r>
                        <w:r>
                          <w:rPr>
                            <w:rFonts w:ascii="Arial MT"/>
                            <w:sz w:val="14"/>
                          </w:rPr>
                          <w:tab/>
                        </w:r>
                        <w:r>
                          <w:rPr>
                            <w:rFonts w:ascii="Arial MT"/>
                            <w:spacing w:val="-5"/>
                            <w:w w:val="90"/>
                            <w:sz w:val="14"/>
                          </w:rPr>
                          <w:t>02</w:t>
                        </w:r>
                        <w:r>
                          <w:rPr>
                            <w:rFonts w:ascii="Arial MT"/>
                            <w:sz w:val="14"/>
                          </w:rPr>
                          <w:tab/>
                        </w:r>
                        <w:r>
                          <w:rPr>
                            <w:rFonts w:ascii="Arial MT"/>
                            <w:spacing w:val="-5"/>
                            <w:w w:val="90"/>
                            <w:sz w:val="14"/>
                          </w:rPr>
                          <w:t>03</w:t>
                        </w:r>
                        <w:r>
                          <w:rPr>
                            <w:rFonts w:ascii="Arial MT"/>
                            <w:sz w:val="14"/>
                          </w:rPr>
                          <w:tab/>
                        </w:r>
                        <w:r>
                          <w:rPr>
                            <w:rFonts w:ascii="Arial MT"/>
                            <w:spacing w:val="-5"/>
                            <w:w w:val="90"/>
                            <w:sz w:val="14"/>
                          </w:rPr>
                          <w:t>04</w:t>
                        </w:r>
                      </w:p>
                    </w:txbxContent>
                  </v:textbox>
                  <w10:wrap type="none"/>
                </v:shape>
                <v:shape style="position:absolute;left:8422;top:294;width:441;height:161" type="#_x0000_t202" id="docshape1483" filled="false" stroked="false">
                  <v:textbox inset="0,0,0,0">
                    <w:txbxContent>
                      <w:p>
                        <w:pPr>
                          <w:spacing w:line="161" w:lineRule="exact" w:before="0"/>
                          <w:ind w:left="0" w:right="0" w:firstLine="0"/>
                          <w:jc w:val="left"/>
                          <w:rPr>
                            <w:rFonts w:ascii="Arial MT"/>
                            <w:sz w:val="14"/>
                          </w:rPr>
                        </w:pPr>
                        <w:r>
                          <w:rPr>
                            <w:rFonts w:ascii="Arial MT"/>
                            <w:spacing w:val="-2"/>
                            <w:w w:val="85"/>
                            <w:sz w:val="14"/>
                          </w:rPr>
                          <w:t>Nominal</w:t>
                        </w:r>
                      </w:p>
                    </w:txbxContent>
                  </v:textbox>
                  <w10:wrap type="none"/>
                </v:shape>
                <v:shape style="position:absolute;left:9426;top:294;width:256;height:161" type="#_x0000_t202" id="docshape1484" filled="false" stroked="false">
                  <v:textbox inset="0,0,0,0">
                    <w:txbxContent>
                      <w:p>
                        <w:pPr>
                          <w:spacing w:line="161" w:lineRule="exact" w:before="0"/>
                          <w:ind w:left="0" w:right="0" w:firstLine="0"/>
                          <w:jc w:val="left"/>
                          <w:rPr>
                            <w:rFonts w:ascii="Arial MT"/>
                            <w:sz w:val="14"/>
                          </w:rPr>
                        </w:pPr>
                        <w:r>
                          <w:rPr>
                            <w:rFonts w:ascii="Arial MT"/>
                            <w:spacing w:val="-5"/>
                            <w:w w:val="90"/>
                            <w:sz w:val="14"/>
                          </w:rPr>
                          <w:t>Real</w:t>
                        </w:r>
                      </w:p>
                    </w:txbxContent>
                  </v:textbox>
                  <w10:wrap type="none"/>
                </v:shape>
                <v:shape style="position:absolute;left:2294;top:958;width:340;height:2541" type="#_x0000_t202" id="docshape1485" filled="false" stroked="false">
                  <v:textbox inset="0,0,0,0">
                    <w:txbxContent>
                      <w:p>
                        <w:pPr>
                          <w:spacing w:line="161" w:lineRule="exact" w:before="0"/>
                          <w:ind w:left="0" w:right="0" w:firstLine="0"/>
                          <w:jc w:val="left"/>
                          <w:rPr>
                            <w:rFonts w:ascii="Arial MT"/>
                            <w:sz w:val="14"/>
                          </w:rPr>
                        </w:pPr>
                        <w:r>
                          <w:rPr>
                            <w:rFonts w:ascii="Arial MT"/>
                            <w:spacing w:val="-2"/>
                            <w:w w:val="85"/>
                            <w:sz w:val="14"/>
                          </w:rPr>
                          <w:t>14000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2"/>
                            <w:w w:val="80"/>
                            <w:sz w:val="14"/>
                          </w:rPr>
                          <w:t>12000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2"/>
                            <w:w w:val="80"/>
                            <w:sz w:val="14"/>
                          </w:rPr>
                          <w:t>10000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4"/>
                            <w:w w:val="90"/>
                            <w:sz w:val="14"/>
                          </w:rPr>
                          <w:t>8000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4"/>
                            <w:w w:val="90"/>
                            <w:sz w:val="14"/>
                          </w:rPr>
                          <w:t>6000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4"/>
                            <w:w w:val="90"/>
                            <w:sz w:val="14"/>
                          </w:rPr>
                          <w:t>4000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4"/>
                            <w:w w:val="90"/>
                            <w:sz w:val="14"/>
                          </w:rPr>
                          <w:t>2000</w:t>
                        </w:r>
                      </w:p>
                      <w:p>
                        <w:pPr>
                          <w:spacing w:line="240" w:lineRule="auto" w:before="18"/>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w10:wrap type="topAndBottom"/>
              </v:group>
            </w:pict>
          </mc:Fallback>
        </mc:AlternateContent>
      </w:r>
    </w:p>
    <w:p>
      <w:pPr>
        <w:spacing w:before="56"/>
        <w:ind w:left="2003" w:right="0" w:firstLine="0"/>
        <w:jc w:val="left"/>
        <w:rPr>
          <w:sz w:val="16"/>
        </w:rPr>
      </w:pPr>
      <w:r>
        <w:rPr>
          <w:i/>
          <w:spacing w:val="-4"/>
          <w:sz w:val="16"/>
        </w:rPr>
        <w:t>Source</w:t>
      </w:r>
      <w:r>
        <w:rPr>
          <w:spacing w:val="-4"/>
          <w:sz w:val="16"/>
        </w:rPr>
        <w:t>:</w:t>
      </w:r>
      <w:r>
        <w:rPr>
          <w:spacing w:val="2"/>
          <w:sz w:val="16"/>
        </w:rPr>
        <w:t> </w:t>
      </w:r>
      <w:r>
        <w:rPr>
          <w:spacing w:val="-4"/>
          <w:sz w:val="16"/>
        </w:rPr>
        <w:t>Analysis</w:t>
      </w:r>
      <w:r>
        <w:rPr>
          <w:spacing w:val="3"/>
          <w:sz w:val="16"/>
        </w:rPr>
        <w:t> </w:t>
      </w:r>
      <w:r>
        <w:rPr>
          <w:spacing w:val="-4"/>
          <w:sz w:val="16"/>
        </w:rPr>
        <w:t>of</w:t>
      </w:r>
      <w:r>
        <w:rPr>
          <w:spacing w:val="3"/>
          <w:sz w:val="16"/>
        </w:rPr>
        <w:t> </w:t>
      </w:r>
      <w:r>
        <w:rPr>
          <w:spacing w:val="-4"/>
          <w:sz w:val="16"/>
        </w:rPr>
        <w:t>Budgeted</w:t>
      </w:r>
      <w:r>
        <w:rPr>
          <w:spacing w:val="3"/>
          <w:sz w:val="16"/>
        </w:rPr>
        <w:t> </w:t>
      </w:r>
      <w:r>
        <w:rPr>
          <w:spacing w:val="-4"/>
          <w:sz w:val="16"/>
        </w:rPr>
        <w:t>Expenditure</w:t>
      </w:r>
      <w:r>
        <w:rPr>
          <w:spacing w:val="3"/>
          <w:sz w:val="16"/>
        </w:rPr>
        <w:t> </w:t>
      </w:r>
      <w:r>
        <w:rPr>
          <w:spacing w:val="-4"/>
          <w:sz w:val="16"/>
        </w:rPr>
        <w:t>on</w:t>
      </w:r>
      <w:r>
        <w:rPr>
          <w:spacing w:val="3"/>
          <w:sz w:val="16"/>
        </w:rPr>
        <w:t> </w:t>
      </w:r>
      <w:r>
        <w:rPr>
          <w:spacing w:val="-4"/>
          <w:sz w:val="16"/>
        </w:rPr>
        <w:t>Education,</w:t>
      </w:r>
      <w:r>
        <w:rPr>
          <w:spacing w:val="3"/>
          <w:sz w:val="16"/>
        </w:rPr>
        <w:t> </w:t>
      </w:r>
      <w:r>
        <w:rPr>
          <w:spacing w:val="-4"/>
          <w:sz w:val="16"/>
        </w:rPr>
        <w:t>MHRD,</w:t>
      </w:r>
      <w:r>
        <w:rPr>
          <w:spacing w:val="3"/>
          <w:sz w:val="16"/>
        </w:rPr>
        <w:t> </w:t>
      </w:r>
      <w:r>
        <w:rPr>
          <w:spacing w:val="-4"/>
          <w:sz w:val="16"/>
        </w:rPr>
        <w:t>Govt.</w:t>
      </w:r>
      <w:r>
        <w:rPr>
          <w:spacing w:val="3"/>
          <w:sz w:val="16"/>
        </w:rPr>
        <w:t> </w:t>
      </w:r>
      <w:r>
        <w:rPr>
          <w:spacing w:val="-4"/>
          <w:sz w:val="16"/>
        </w:rPr>
        <w:t>of</w:t>
      </w:r>
      <w:r>
        <w:rPr>
          <w:spacing w:val="3"/>
          <w:sz w:val="16"/>
        </w:rPr>
        <w:t> </w:t>
      </w:r>
      <w:r>
        <w:rPr>
          <w:spacing w:val="-4"/>
          <w:sz w:val="16"/>
        </w:rPr>
        <w:t>India</w:t>
      </w:r>
    </w:p>
    <w:p>
      <w:pPr>
        <w:pStyle w:val="BodyText"/>
        <w:spacing w:before="222"/>
        <w:rPr>
          <w:sz w:val="20"/>
        </w:rPr>
      </w:pPr>
    </w:p>
    <w:p>
      <w:pPr>
        <w:spacing w:after="0"/>
        <w:rPr>
          <w:sz w:val="20"/>
        </w:rPr>
        <w:sectPr>
          <w:pgSz w:w="11910" w:h="16840"/>
          <w:pgMar w:header="0" w:footer="675" w:top="940" w:bottom="860" w:left="0" w:right="0"/>
        </w:sectPr>
      </w:pPr>
    </w:p>
    <w:p>
      <w:pPr>
        <w:pStyle w:val="BodyText"/>
        <w:spacing w:line="266" w:lineRule="auto" w:before="88"/>
        <w:ind w:left="1080"/>
        <w:jc w:val="both"/>
      </w:pPr>
      <w:r>
        <w:rPr>
          <w:b/>
        </w:rPr>
        <w:t>Private institutions: </w:t>
      </w:r>
      <w:r>
        <w:rPr/>
        <w:t>The share of private </w:t>
      </w:r>
      <w:r>
        <w:rPr/>
        <w:t>unaided higher education institutions increased from 42.6 per cent in 2001 to 63.21 per cent in 2006. Their share</w:t>
      </w:r>
      <w:r>
        <w:rPr>
          <w:spacing w:val="80"/>
        </w:rPr>
        <w:t> </w:t>
      </w:r>
      <w:r>
        <w:rPr/>
        <w:t>of</w:t>
      </w:r>
      <w:r>
        <w:rPr>
          <w:spacing w:val="16"/>
        </w:rPr>
        <w:t> </w:t>
      </w:r>
      <w:r>
        <w:rPr/>
        <w:t>enrolments</w:t>
      </w:r>
      <w:r>
        <w:rPr>
          <w:spacing w:val="17"/>
        </w:rPr>
        <w:t> </w:t>
      </w:r>
      <w:r>
        <w:rPr/>
        <w:t>also</w:t>
      </w:r>
      <w:r>
        <w:rPr>
          <w:spacing w:val="17"/>
        </w:rPr>
        <w:t> </w:t>
      </w:r>
      <w:r>
        <w:rPr/>
        <w:t>increased</w:t>
      </w:r>
      <w:r>
        <w:rPr>
          <w:spacing w:val="16"/>
        </w:rPr>
        <w:t> </w:t>
      </w:r>
      <w:r>
        <w:rPr/>
        <w:t>from</w:t>
      </w:r>
      <w:r>
        <w:rPr>
          <w:spacing w:val="17"/>
        </w:rPr>
        <w:t> </w:t>
      </w:r>
      <w:r>
        <w:rPr/>
        <w:t>32.89</w:t>
      </w:r>
      <w:r>
        <w:rPr>
          <w:spacing w:val="17"/>
        </w:rPr>
        <w:t> </w:t>
      </w:r>
      <w:r>
        <w:rPr/>
        <w:t>per</w:t>
      </w:r>
      <w:r>
        <w:rPr>
          <w:spacing w:val="17"/>
        </w:rPr>
        <w:t> </w:t>
      </w:r>
      <w:r>
        <w:rPr/>
        <w:t>cent</w:t>
      </w:r>
      <w:r>
        <w:rPr>
          <w:spacing w:val="16"/>
        </w:rPr>
        <w:t> </w:t>
      </w:r>
      <w:r>
        <w:rPr>
          <w:spacing w:val="-5"/>
        </w:rPr>
        <w:t>to</w:t>
      </w:r>
    </w:p>
    <w:p>
      <w:pPr>
        <w:pStyle w:val="BodyText"/>
        <w:spacing w:line="266" w:lineRule="auto"/>
        <w:ind w:left="1080"/>
        <w:jc w:val="both"/>
      </w:pPr>
      <w:r>
        <w:rPr/>
        <w:t>51.53</w:t>
      </w:r>
      <w:r>
        <w:rPr>
          <w:spacing w:val="-4"/>
        </w:rPr>
        <w:t> </w:t>
      </w:r>
      <w:r>
        <w:rPr/>
        <w:t>per</w:t>
      </w:r>
      <w:r>
        <w:rPr>
          <w:spacing w:val="-4"/>
        </w:rPr>
        <w:t> </w:t>
      </w:r>
      <w:r>
        <w:rPr/>
        <w:t>cent</w:t>
      </w:r>
      <w:r>
        <w:rPr>
          <w:spacing w:val="-4"/>
        </w:rPr>
        <w:t> </w:t>
      </w:r>
      <w:r>
        <w:rPr/>
        <w:t>in</w:t>
      </w:r>
      <w:r>
        <w:rPr>
          <w:spacing w:val="-4"/>
        </w:rPr>
        <w:t> </w:t>
      </w:r>
      <w:r>
        <w:rPr/>
        <w:t>the</w:t>
      </w:r>
      <w:r>
        <w:rPr>
          <w:spacing w:val="-4"/>
        </w:rPr>
        <w:t> </w:t>
      </w:r>
      <w:r>
        <w:rPr/>
        <w:t>same</w:t>
      </w:r>
      <w:r>
        <w:rPr>
          <w:spacing w:val="-4"/>
        </w:rPr>
        <w:t> </w:t>
      </w:r>
      <w:r>
        <w:rPr/>
        <w:t>period.</w:t>
      </w:r>
      <w:r>
        <w:rPr>
          <w:spacing w:val="-11"/>
        </w:rPr>
        <w:t> </w:t>
      </w:r>
      <w:r>
        <w:rPr/>
        <w:t>This</w:t>
      </w:r>
      <w:r>
        <w:rPr>
          <w:spacing w:val="-4"/>
        </w:rPr>
        <w:t> </w:t>
      </w:r>
      <w:r>
        <w:rPr/>
        <w:t>trend</w:t>
      </w:r>
      <w:r>
        <w:rPr>
          <w:spacing w:val="-4"/>
        </w:rPr>
        <w:t> </w:t>
      </w:r>
      <w:r>
        <w:rPr/>
        <w:t>is</w:t>
      </w:r>
      <w:r>
        <w:rPr>
          <w:spacing w:val="-4"/>
        </w:rPr>
        <w:t> </w:t>
      </w:r>
      <w:r>
        <w:rPr/>
        <w:t>likely to continue and therefore, it is reasonable to expect that about half of incremental enrolment targeted for higher education will come from private providers. There is a need for the state to recognise the role of the private sector and encourage their participation. There</w:t>
      </w:r>
      <w:r>
        <w:rPr>
          <w:spacing w:val="-4"/>
        </w:rPr>
        <w:t> </w:t>
      </w:r>
      <w:r>
        <w:rPr/>
        <w:t>has</w:t>
      </w:r>
      <w:r>
        <w:rPr>
          <w:spacing w:val="-4"/>
        </w:rPr>
        <w:t> </w:t>
      </w:r>
      <w:r>
        <w:rPr/>
        <w:t>already</w:t>
      </w:r>
      <w:r>
        <w:rPr>
          <w:spacing w:val="-4"/>
        </w:rPr>
        <w:t> </w:t>
      </w:r>
      <w:r>
        <w:rPr/>
        <w:t>been</w:t>
      </w:r>
      <w:r>
        <w:rPr>
          <w:spacing w:val="-4"/>
        </w:rPr>
        <w:t> </w:t>
      </w:r>
      <w:r>
        <w:rPr/>
        <w:t>a</w:t>
      </w:r>
      <w:r>
        <w:rPr>
          <w:spacing w:val="-4"/>
        </w:rPr>
        <w:t> </w:t>
      </w:r>
      <w:r>
        <w:rPr/>
        <w:t>de-facto</w:t>
      </w:r>
      <w:r>
        <w:rPr>
          <w:spacing w:val="-4"/>
        </w:rPr>
        <w:t> </w:t>
      </w:r>
      <w:r>
        <w:rPr/>
        <w:t>privatisation</w:t>
      </w:r>
      <w:r>
        <w:rPr>
          <w:spacing w:val="-4"/>
        </w:rPr>
        <w:t> </w:t>
      </w:r>
      <w:r>
        <w:rPr/>
        <w:t>of</w:t>
      </w:r>
      <w:r>
        <w:rPr>
          <w:spacing w:val="-4"/>
        </w:rPr>
        <w:t> </w:t>
      </w:r>
      <w:r>
        <w:rPr/>
        <w:t>the professional education sector, with more than 80 per </w:t>
      </w:r>
      <w:r>
        <w:rPr>
          <w:spacing w:val="-2"/>
        </w:rPr>
        <w:t>cent</w:t>
      </w:r>
      <w:r>
        <w:rPr>
          <w:spacing w:val="-12"/>
        </w:rPr>
        <w:t> </w:t>
      </w:r>
      <w:r>
        <w:rPr>
          <w:spacing w:val="-2"/>
        </w:rPr>
        <w:t>of</w:t>
      </w:r>
      <w:r>
        <w:rPr>
          <w:spacing w:val="-12"/>
        </w:rPr>
        <w:t> </w:t>
      </w:r>
      <w:r>
        <w:rPr>
          <w:spacing w:val="-2"/>
        </w:rPr>
        <w:t>the</w:t>
      </w:r>
      <w:r>
        <w:rPr>
          <w:spacing w:val="-12"/>
        </w:rPr>
        <w:t> </w:t>
      </w:r>
      <w:r>
        <w:rPr>
          <w:spacing w:val="-2"/>
        </w:rPr>
        <w:t>engineering</w:t>
      </w:r>
      <w:r>
        <w:rPr>
          <w:spacing w:val="-11"/>
        </w:rPr>
        <w:t> </w:t>
      </w:r>
      <w:r>
        <w:rPr>
          <w:spacing w:val="-2"/>
        </w:rPr>
        <w:t>colleges</w:t>
      </w:r>
      <w:r>
        <w:rPr>
          <w:spacing w:val="-12"/>
        </w:rPr>
        <w:t> </w:t>
      </w:r>
      <w:r>
        <w:rPr>
          <w:spacing w:val="-2"/>
        </w:rPr>
        <w:t>being</w:t>
      </w:r>
      <w:r>
        <w:rPr>
          <w:spacing w:val="-12"/>
        </w:rPr>
        <w:t> </w:t>
      </w:r>
      <w:r>
        <w:rPr>
          <w:spacing w:val="-2"/>
        </w:rPr>
        <w:t>privately</w:t>
      </w:r>
      <w:r>
        <w:rPr>
          <w:spacing w:val="-12"/>
        </w:rPr>
        <w:t> </w:t>
      </w:r>
      <w:r>
        <w:rPr>
          <w:spacing w:val="-2"/>
        </w:rPr>
        <w:t>funded </w:t>
      </w:r>
      <w:r>
        <w:rPr/>
        <w:t>and</w:t>
      </w:r>
      <w:r>
        <w:rPr>
          <w:spacing w:val="-3"/>
        </w:rPr>
        <w:t> </w:t>
      </w:r>
      <w:r>
        <w:rPr/>
        <w:t>managed.</w:t>
      </w:r>
      <w:r>
        <w:rPr>
          <w:spacing w:val="-5"/>
        </w:rPr>
        <w:t> </w:t>
      </w:r>
      <w:r>
        <w:rPr/>
        <w:t>While</w:t>
      </w:r>
      <w:r>
        <w:rPr>
          <w:spacing w:val="-3"/>
        </w:rPr>
        <w:t> </w:t>
      </w:r>
      <w:r>
        <w:rPr/>
        <w:t>there</w:t>
      </w:r>
      <w:r>
        <w:rPr>
          <w:spacing w:val="-3"/>
        </w:rPr>
        <w:t> </w:t>
      </w:r>
      <w:r>
        <w:rPr/>
        <w:t>are</w:t>
      </w:r>
      <w:r>
        <w:rPr>
          <w:spacing w:val="-3"/>
        </w:rPr>
        <w:t> </w:t>
      </w:r>
      <w:r>
        <w:rPr/>
        <w:t>strict</w:t>
      </w:r>
      <w:r>
        <w:rPr>
          <w:spacing w:val="-3"/>
        </w:rPr>
        <w:t> </w:t>
      </w:r>
      <w:r>
        <w:rPr/>
        <w:t>entry</w:t>
      </w:r>
      <w:r>
        <w:rPr>
          <w:spacing w:val="-3"/>
        </w:rPr>
        <w:t> </w:t>
      </w:r>
      <w:r>
        <w:rPr/>
        <w:t>barriers</w:t>
      </w:r>
      <w:r>
        <w:rPr>
          <w:spacing w:val="-3"/>
        </w:rPr>
        <w:t> </w:t>
      </w:r>
      <w:r>
        <w:rPr/>
        <w:t>for </w:t>
      </w:r>
      <w:r>
        <w:rPr>
          <w:spacing w:val="-2"/>
        </w:rPr>
        <w:t>the</w:t>
      </w:r>
      <w:r>
        <w:rPr>
          <w:spacing w:val="-12"/>
        </w:rPr>
        <w:t> </w:t>
      </w:r>
      <w:r>
        <w:rPr>
          <w:spacing w:val="-2"/>
        </w:rPr>
        <w:t>private</w:t>
      </w:r>
      <w:r>
        <w:rPr>
          <w:spacing w:val="-11"/>
        </w:rPr>
        <w:t> </w:t>
      </w:r>
      <w:r>
        <w:rPr>
          <w:spacing w:val="-2"/>
        </w:rPr>
        <w:t>sector,</w:t>
      </w:r>
      <w:r>
        <w:rPr>
          <w:spacing w:val="-12"/>
        </w:rPr>
        <w:t> </w:t>
      </w:r>
      <w:r>
        <w:rPr>
          <w:spacing w:val="-2"/>
        </w:rPr>
        <w:t>there</w:t>
      </w:r>
      <w:r>
        <w:rPr>
          <w:spacing w:val="-11"/>
        </w:rPr>
        <w:t> </w:t>
      </w:r>
      <w:r>
        <w:rPr>
          <w:spacing w:val="-2"/>
        </w:rPr>
        <w:t>is</w:t>
      </w:r>
      <w:r>
        <w:rPr>
          <w:spacing w:val="-12"/>
        </w:rPr>
        <w:t> </w:t>
      </w:r>
      <w:r>
        <w:rPr>
          <w:spacing w:val="-2"/>
        </w:rPr>
        <w:t>not</w:t>
      </w:r>
      <w:r>
        <w:rPr>
          <w:spacing w:val="-11"/>
        </w:rPr>
        <w:t> </w:t>
      </w:r>
      <w:r>
        <w:rPr>
          <w:spacing w:val="-2"/>
        </w:rPr>
        <w:t>enough</w:t>
      </w:r>
      <w:r>
        <w:rPr>
          <w:spacing w:val="-12"/>
        </w:rPr>
        <w:t> </w:t>
      </w:r>
      <w:r>
        <w:rPr>
          <w:spacing w:val="-2"/>
        </w:rPr>
        <w:t>regulation</w:t>
      </w:r>
      <w:r>
        <w:rPr>
          <w:spacing w:val="-11"/>
        </w:rPr>
        <w:t> </w:t>
      </w:r>
      <w:r>
        <w:rPr>
          <w:spacing w:val="-2"/>
        </w:rPr>
        <w:t>on</w:t>
      </w:r>
      <w:r>
        <w:rPr>
          <w:spacing w:val="-12"/>
        </w:rPr>
        <w:t> </w:t>
      </w:r>
      <w:r>
        <w:rPr>
          <w:spacing w:val="-2"/>
        </w:rPr>
        <w:t>the </w:t>
      </w:r>
      <w:r>
        <w:rPr/>
        <w:t>products and outputs of the private sector.</w:t>
      </w:r>
    </w:p>
    <w:p>
      <w:pPr>
        <w:pStyle w:val="BodyText"/>
        <w:spacing w:line="266" w:lineRule="auto" w:before="85"/>
        <w:ind w:left="319" w:right="1077"/>
        <w:jc w:val="both"/>
      </w:pPr>
      <w:r>
        <w:rPr/>
        <w:br w:type="column"/>
      </w:r>
      <w:r>
        <w:rPr>
          <w:b/>
        </w:rPr>
        <w:t>Accreditation: </w:t>
      </w:r>
      <w:r>
        <w:rPr/>
        <w:t>Accreditation in higher education pertains to determining the quality of an institution. The</w:t>
      </w:r>
      <w:r>
        <w:rPr>
          <w:spacing w:val="-9"/>
        </w:rPr>
        <w:t> </w:t>
      </w:r>
      <w:r>
        <w:rPr/>
        <w:t>criteria</w:t>
      </w:r>
      <w:r>
        <w:rPr>
          <w:spacing w:val="-9"/>
        </w:rPr>
        <w:t> </w:t>
      </w:r>
      <w:r>
        <w:rPr/>
        <w:t>on</w:t>
      </w:r>
      <w:r>
        <w:rPr>
          <w:spacing w:val="-9"/>
        </w:rPr>
        <w:t> </w:t>
      </w:r>
      <w:r>
        <w:rPr/>
        <w:t>which</w:t>
      </w:r>
      <w:r>
        <w:rPr>
          <w:spacing w:val="-9"/>
        </w:rPr>
        <w:t> </w:t>
      </w:r>
      <w:r>
        <w:rPr/>
        <w:t>institutions</w:t>
      </w:r>
      <w:r>
        <w:rPr>
          <w:spacing w:val="-9"/>
        </w:rPr>
        <w:t> </w:t>
      </w:r>
      <w:r>
        <w:rPr/>
        <w:t>are</w:t>
      </w:r>
      <w:r>
        <w:rPr>
          <w:spacing w:val="-9"/>
        </w:rPr>
        <w:t> </w:t>
      </w:r>
      <w:r>
        <w:rPr/>
        <w:t>judged</w:t>
      </w:r>
      <w:r>
        <w:rPr>
          <w:spacing w:val="-9"/>
        </w:rPr>
        <w:t> </w:t>
      </w:r>
      <w:r>
        <w:rPr/>
        <w:t>typically involve expected student achievement, quality of </w:t>
      </w:r>
      <w:r>
        <w:rPr>
          <w:spacing w:val="-2"/>
        </w:rPr>
        <w:t>curriculum,</w:t>
      </w:r>
      <w:r>
        <w:rPr>
          <w:spacing w:val="-6"/>
        </w:rPr>
        <w:t> </w:t>
      </w:r>
      <w:r>
        <w:rPr>
          <w:spacing w:val="-2"/>
        </w:rPr>
        <w:t>faculty,</w:t>
      </w:r>
      <w:r>
        <w:rPr>
          <w:spacing w:val="-6"/>
        </w:rPr>
        <w:t> </w:t>
      </w:r>
      <w:r>
        <w:rPr>
          <w:spacing w:val="-2"/>
        </w:rPr>
        <w:t>academic</w:t>
      </w:r>
      <w:r>
        <w:rPr>
          <w:spacing w:val="-6"/>
        </w:rPr>
        <w:t> </w:t>
      </w:r>
      <w:r>
        <w:rPr>
          <w:spacing w:val="-2"/>
        </w:rPr>
        <w:t>support</w:t>
      </w:r>
      <w:r>
        <w:rPr>
          <w:spacing w:val="-6"/>
        </w:rPr>
        <w:t> </w:t>
      </w:r>
      <w:r>
        <w:rPr>
          <w:spacing w:val="-2"/>
        </w:rPr>
        <w:t>and</w:t>
      </w:r>
      <w:r>
        <w:rPr>
          <w:spacing w:val="-6"/>
        </w:rPr>
        <w:t> </w:t>
      </w:r>
      <w:r>
        <w:rPr>
          <w:spacing w:val="-2"/>
        </w:rPr>
        <w:t>services</w:t>
      </w:r>
      <w:r>
        <w:rPr>
          <w:spacing w:val="-6"/>
        </w:rPr>
        <w:t> </w:t>
      </w:r>
      <w:r>
        <w:rPr>
          <w:spacing w:val="-2"/>
        </w:rPr>
        <w:t>for </w:t>
      </w:r>
      <w:r>
        <w:rPr/>
        <w:t>students,</w:t>
      </w:r>
      <w:r>
        <w:rPr>
          <w:spacing w:val="-14"/>
        </w:rPr>
        <w:t> </w:t>
      </w:r>
      <w:r>
        <w:rPr/>
        <w:t>and</w:t>
      </w:r>
      <w:r>
        <w:rPr>
          <w:spacing w:val="-14"/>
        </w:rPr>
        <w:t> </w:t>
      </w:r>
      <w:r>
        <w:rPr/>
        <w:t>financial</w:t>
      </w:r>
      <w:r>
        <w:rPr>
          <w:spacing w:val="-14"/>
        </w:rPr>
        <w:t> </w:t>
      </w:r>
      <w:r>
        <w:rPr/>
        <w:t>capacity.</w:t>
      </w:r>
      <w:r>
        <w:rPr>
          <w:spacing w:val="-13"/>
        </w:rPr>
        <w:t> </w:t>
      </w:r>
      <w:r>
        <w:rPr/>
        <w:t>In</w:t>
      </w:r>
      <w:r>
        <w:rPr>
          <w:spacing w:val="-14"/>
        </w:rPr>
        <w:t> </w:t>
      </w:r>
      <w:r>
        <w:rPr/>
        <w:t>India</w:t>
      </w:r>
      <w:r>
        <w:rPr>
          <w:spacing w:val="-14"/>
        </w:rPr>
        <w:t> </w:t>
      </w:r>
      <w:r>
        <w:rPr/>
        <w:t>accreditation </w:t>
      </w:r>
      <w:r>
        <w:rPr>
          <w:spacing w:val="-2"/>
        </w:rPr>
        <w:t>(unlike</w:t>
      </w:r>
      <w:r>
        <w:rPr>
          <w:spacing w:val="-12"/>
        </w:rPr>
        <w:t> </w:t>
      </w:r>
      <w:r>
        <w:rPr>
          <w:spacing w:val="-2"/>
        </w:rPr>
        <w:t>in</w:t>
      </w:r>
      <w:r>
        <w:rPr>
          <w:spacing w:val="-12"/>
        </w:rPr>
        <w:t> </w:t>
      </w:r>
      <w:r>
        <w:rPr>
          <w:spacing w:val="-2"/>
        </w:rPr>
        <w:t>other</w:t>
      </w:r>
      <w:r>
        <w:rPr>
          <w:spacing w:val="-12"/>
        </w:rPr>
        <w:t> </w:t>
      </w:r>
      <w:r>
        <w:rPr>
          <w:spacing w:val="-2"/>
        </w:rPr>
        <w:t>countries</w:t>
      </w:r>
      <w:r>
        <w:rPr>
          <w:spacing w:val="-11"/>
        </w:rPr>
        <w:t> </w:t>
      </w:r>
      <w:r>
        <w:rPr>
          <w:spacing w:val="-2"/>
        </w:rPr>
        <w:t>such</w:t>
      </w:r>
      <w:r>
        <w:rPr>
          <w:spacing w:val="-12"/>
        </w:rPr>
        <w:t> </w:t>
      </w:r>
      <w:r>
        <w:rPr>
          <w:spacing w:val="-2"/>
        </w:rPr>
        <w:t>as</w:t>
      </w:r>
      <w:r>
        <w:rPr>
          <w:spacing w:val="-12"/>
        </w:rPr>
        <w:t> </w:t>
      </w:r>
      <w:r>
        <w:rPr>
          <w:spacing w:val="-2"/>
        </w:rPr>
        <w:t>the</w:t>
      </w:r>
      <w:r>
        <w:rPr>
          <w:spacing w:val="-12"/>
        </w:rPr>
        <w:t> </w:t>
      </w:r>
      <w:r>
        <w:rPr>
          <w:spacing w:val="-2"/>
        </w:rPr>
        <w:t>USA</w:t>
      </w:r>
      <w:r>
        <w:rPr>
          <w:spacing w:val="-11"/>
        </w:rPr>
        <w:t> </w:t>
      </w:r>
      <w:r>
        <w:rPr>
          <w:spacing w:val="-2"/>
        </w:rPr>
        <w:t>and</w:t>
      </w:r>
      <w:r>
        <w:rPr>
          <w:spacing w:val="-12"/>
        </w:rPr>
        <w:t> </w:t>
      </w:r>
      <w:r>
        <w:rPr>
          <w:spacing w:val="-2"/>
        </w:rPr>
        <w:t>the</w:t>
      </w:r>
      <w:r>
        <w:rPr>
          <w:spacing w:val="-12"/>
        </w:rPr>
        <w:t> </w:t>
      </w:r>
      <w:r>
        <w:rPr>
          <w:spacing w:val="-2"/>
        </w:rPr>
        <w:t>UK) </w:t>
      </w:r>
      <w:r>
        <w:rPr/>
        <w:t>is performed by government agencies. The National Assessment and Accreditation Council (NAAC) was set</w:t>
      </w:r>
      <w:r>
        <w:rPr>
          <w:spacing w:val="32"/>
        </w:rPr>
        <w:t> </w:t>
      </w:r>
      <w:r>
        <w:rPr/>
        <w:t>up</w:t>
      </w:r>
      <w:r>
        <w:rPr>
          <w:spacing w:val="32"/>
        </w:rPr>
        <w:t> </w:t>
      </w:r>
      <w:r>
        <w:rPr/>
        <w:t>by</w:t>
      </w:r>
      <w:r>
        <w:rPr>
          <w:spacing w:val="32"/>
        </w:rPr>
        <w:t> </w:t>
      </w:r>
      <w:r>
        <w:rPr/>
        <w:t>the</w:t>
      </w:r>
      <w:r>
        <w:rPr>
          <w:spacing w:val="32"/>
        </w:rPr>
        <w:t> </w:t>
      </w:r>
      <w:r>
        <w:rPr/>
        <w:t>UGC</w:t>
      </w:r>
      <w:r>
        <w:rPr>
          <w:spacing w:val="32"/>
        </w:rPr>
        <w:t> </w:t>
      </w:r>
      <w:r>
        <w:rPr/>
        <w:t>in</w:t>
      </w:r>
      <w:r>
        <w:rPr>
          <w:spacing w:val="32"/>
        </w:rPr>
        <w:t> </w:t>
      </w:r>
      <w:r>
        <w:rPr/>
        <w:t>1994</w:t>
      </w:r>
      <w:r>
        <w:rPr>
          <w:spacing w:val="32"/>
        </w:rPr>
        <w:t> </w:t>
      </w:r>
      <w:r>
        <w:rPr/>
        <w:t>to</w:t>
      </w:r>
      <w:r>
        <w:rPr>
          <w:spacing w:val="32"/>
        </w:rPr>
        <w:t> </w:t>
      </w:r>
      <w:r>
        <w:rPr/>
        <w:t>accredit</w:t>
      </w:r>
      <w:r>
        <w:rPr>
          <w:spacing w:val="32"/>
        </w:rPr>
        <w:t> </w:t>
      </w:r>
      <w:r>
        <w:rPr/>
        <w:t>institutions </w:t>
      </w:r>
      <w:r>
        <w:rPr>
          <w:spacing w:val="-2"/>
        </w:rPr>
        <w:t>of</w:t>
      </w:r>
      <w:r>
        <w:rPr>
          <w:spacing w:val="-6"/>
        </w:rPr>
        <w:t> </w:t>
      </w:r>
      <w:r>
        <w:rPr>
          <w:spacing w:val="-2"/>
        </w:rPr>
        <w:t>higher</w:t>
      </w:r>
      <w:r>
        <w:rPr>
          <w:spacing w:val="-5"/>
        </w:rPr>
        <w:t> </w:t>
      </w:r>
      <w:r>
        <w:rPr>
          <w:spacing w:val="-2"/>
        </w:rPr>
        <w:t>education.</w:t>
      </w:r>
      <w:r>
        <w:rPr>
          <w:spacing w:val="-12"/>
        </w:rPr>
        <w:t> </w:t>
      </w:r>
      <w:r>
        <w:rPr>
          <w:spacing w:val="-2"/>
        </w:rPr>
        <w:t>The</w:t>
      </w:r>
      <w:r>
        <w:rPr>
          <w:spacing w:val="-5"/>
        </w:rPr>
        <w:t> </w:t>
      </w:r>
      <w:r>
        <w:rPr>
          <w:spacing w:val="-2"/>
        </w:rPr>
        <w:t>NAAC’s</w:t>
      </w:r>
      <w:r>
        <w:rPr>
          <w:spacing w:val="-5"/>
        </w:rPr>
        <w:t> </w:t>
      </w:r>
      <w:r>
        <w:rPr>
          <w:spacing w:val="-2"/>
        </w:rPr>
        <w:t>assessment</w:t>
      </w:r>
      <w:r>
        <w:rPr>
          <w:spacing w:val="-5"/>
        </w:rPr>
        <w:t> </w:t>
      </w:r>
      <w:r>
        <w:rPr>
          <w:spacing w:val="-2"/>
        </w:rPr>
        <w:t>is</w:t>
      </w:r>
      <w:r>
        <w:rPr>
          <w:spacing w:val="-5"/>
        </w:rPr>
        <w:t> </w:t>
      </w:r>
      <w:r>
        <w:rPr>
          <w:spacing w:val="-2"/>
        </w:rPr>
        <w:t>based </w:t>
      </w:r>
      <w:r>
        <w:rPr/>
        <w:t>on pre-determined criteria that combine self-study and peer review. NAAC accredits and certifies for educational quality in institutions based on seven criteria with different weights for each criterion, and for</w:t>
      </w:r>
      <w:r>
        <w:rPr>
          <w:spacing w:val="23"/>
        </w:rPr>
        <w:t> </w:t>
      </w:r>
      <w:r>
        <w:rPr/>
        <w:t>different</w:t>
      </w:r>
      <w:r>
        <w:rPr>
          <w:spacing w:val="24"/>
        </w:rPr>
        <w:t> </w:t>
      </w:r>
      <w:r>
        <w:rPr/>
        <w:t>types</w:t>
      </w:r>
      <w:r>
        <w:rPr>
          <w:spacing w:val="23"/>
        </w:rPr>
        <w:t> </w:t>
      </w:r>
      <w:r>
        <w:rPr/>
        <w:t>of</w:t>
      </w:r>
      <w:r>
        <w:rPr>
          <w:spacing w:val="24"/>
        </w:rPr>
        <w:t> </w:t>
      </w:r>
      <w:r>
        <w:rPr/>
        <w:t>institutions.</w:t>
      </w:r>
      <w:r>
        <w:rPr>
          <w:spacing w:val="23"/>
        </w:rPr>
        <w:t> </w:t>
      </w:r>
      <w:r>
        <w:rPr/>
        <w:t>NAAC</w:t>
      </w:r>
      <w:r>
        <w:rPr>
          <w:spacing w:val="24"/>
        </w:rPr>
        <w:t> </w:t>
      </w:r>
      <w:r>
        <w:rPr/>
        <w:t>has</w:t>
      </w:r>
      <w:r>
        <w:rPr>
          <w:spacing w:val="24"/>
        </w:rPr>
        <w:t> </w:t>
      </w:r>
      <w:r>
        <w:rPr/>
        <w:t>so</w:t>
      </w:r>
      <w:r>
        <w:rPr>
          <w:spacing w:val="23"/>
        </w:rPr>
        <w:t> </w:t>
      </w:r>
      <w:r>
        <w:rPr>
          <w:spacing w:val="-5"/>
        </w:rPr>
        <w:t>far</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spacing w:before="15"/>
        <w:rPr>
          <w:sz w:val="20"/>
        </w:rPr>
      </w:pPr>
    </w:p>
    <w:p>
      <w:pPr>
        <w:spacing w:after="0"/>
        <w:rPr>
          <w:sz w:val="20"/>
        </w:rPr>
        <w:sectPr>
          <w:pgSz w:w="11910" w:h="16840"/>
          <w:pgMar w:header="0" w:footer="675" w:top="0" w:bottom="860" w:left="0" w:right="0"/>
        </w:sectPr>
      </w:pPr>
    </w:p>
    <w:p>
      <w:pPr>
        <w:pStyle w:val="BodyText"/>
        <w:spacing w:line="266" w:lineRule="auto" w:before="82"/>
        <w:ind w:left="1080"/>
        <w:jc w:val="both"/>
      </w:pPr>
      <w:r>
        <w:rPr/>
        <w:t>completed accreditation of only 140 out of the 355 universities</w:t>
      </w:r>
      <w:r>
        <w:rPr>
          <w:spacing w:val="-14"/>
        </w:rPr>
        <w:t> </w:t>
      </w:r>
      <w:r>
        <w:rPr/>
        <w:t>and</w:t>
      </w:r>
      <w:r>
        <w:rPr>
          <w:spacing w:val="-14"/>
        </w:rPr>
        <w:t> </w:t>
      </w:r>
      <w:r>
        <w:rPr/>
        <w:t>3,492</w:t>
      </w:r>
      <w:r>
        <w:rPr>
          <w:spacing w:val="-14"/>
        </w:rPr>
        <w:t> </w:t>
      </w:r>
      <w:r>
        <w:rPr/>
        <w:t>out</w:t>
      </w:r>
      <w:r>
        <w:rPr>
          <w:spacing w:val="-13"/>
        </w:rPr>
        <w:t> </w:t>
      </w:r>
      <w:r>
        <w:rPr/>
        <w:t>of</w:t>
      </w:r>
      <w:r>
        <w:rPr>
          <w:spacing w:val="-14"/>
        </w:rPr>
        <w:t> </w:t>
      </w:r>
      <w:r>
        <w:rPr/>
        <w:t>the</w:t>
      </w:r>
      <w:r>
        <w:rPr>
          <w:spacing w:val="-14"/>
        </w:rPr>
        <w:t> </w:t>
      </w:r>
      <w:r>
        <w:rPr/>
        <w:t>18,064</w:t>
      </w:r>
      <w:r>
        <w:rPr>
          <w:spacing w:val="-14"/>
        </w:rPr>
        <w:t> </w:t>
      </w:r>
      <w:r>
        <w:rPr/>
        <w:t>colleges.</w:t>
      </w:r>
      <w:r>
        <w:rPr>
          <w:spacing w:val="-13"/>
        </w:rPr>
        <w:t> </w:t>
      </w:r>
      <w:r>
        <w:rPr/>
        <w:t>This covered just over 10 per cent of all institutions, and </w:t>
      </w:r>
      <w:r>
        <w:rPr>
          <w:spacing w:val="-4"/>
        </w:rPr>
        <w:t>barely</w:t>
      </w:r>
      <w:r>
        <w:rPr>
          <w:spacing w:val="-7"/>
        </w:rPr>
        <w:t> </w:t>
      </w:r>
      <w:r>
        <w:rPr>
          <w:spacing w:val="-4"/>
        </w:rPr>
        <w:t>any private colleges and universities.</w:t>
      </w:r>
      <w:r>
        <w:rPr>
          <w:spacing w:val="-10"/>
        </w:rPr>
        <w:t> </w:t>
      </w:r>
      <w:r>
        <w:rPr>
          <w:spacing w:val="-4"/>
        </w:rPr>
        <w:t>The results </w:t>
      </w:r>
      <w:r>
        <w:rPr/>
        <w:t>of the accreditation process thus far indicate serious quality</w:t>
      </w:r>
      <w:r>
        <w:rPr>
          <w:spacing w:val="-2"/>
        </w:rPr>
        <w:t> </w:t>
      </w:r>
      <w:r>
        <w:rPr/>
        <w:t>problems.</w:t>
      </w:r>
      <w:r>
        <w:rPr>
          <w:spacing w:val="-2"/>
        </w:rPr>
        <w:t> </w:t>
      </w:r>
      <w:r>
        <w:rPr/>
        <w:t>Only</w:t>
      </w:r>
      <w:r>
        <w:rPr>
          <w:spacing w:val="-2"/>
        </w:rPr>
        <w:t> </w:t>
      </w:r>
      <w:r>
        <w:rPr/>
        <w:t>9</w:t>
      </w:r>
      <w:r>
        <w:rPr>
          <w:spacing w:val="-2"/>
        </w:rPr>
        <w:t> </w:t>
      </w:r>
      <w:r>
        <w:rPr/>
        <w:t>per</w:t>
      </w:r>
      <w:r>
        <w:rPr>
          <w:spacing w:val="-2"/>
        </w:rPr>
        <w:t> </w:t>
      </w:r>
      <w:r>
        <w:rPr/>
        <w:t>cent</w:t>
      </w:r>
      <w:r>
        <w:rPr>
          <w:spacing w:val="-2"/>
        </w:rPr>
        <w:t> </w:t>
      </w:r>
      <w:r>
        <w:rPr/>
        <w:t>of</w:t>
      </w:r>
      <w:r>
        <w:rPr>
          <w:spacing w:val="-2"/>
        </w:rPr>
        <w:t> </w:t>
      </w:r>
      <w:r>
        <w:rPr/>
        <w:t>the</w:t>
      </w:r>
      <w:r>
        <w:rPr>
          <w:spacing w:val="-2"/>
        </w:rPr>
        <w:t> </w:t>
      </w:r>
      <w:r>
        <w:rPr/>
        <w:t>colleges</w:t>
      </w:r>
      <w:r>
        <w:rPr>
          <w:spacing w:val="-2"/>
        </w:rPr>
        <w:t> </w:t>
      </w:r>
      <w:r>
        <w:rPr/>
        <w:t>and </w:t>
      </w:r>
      <w:r>
        <w:rPr>
          <w:spacing w:val="-4"/>
        </w:rPr>
        <w:t>31</w:t>
      </w:r>
      <w:r>
        <w:rPr>
          <w:spacing w:val="-10"/>
        </w:rPr>
        <w:t> </w:t>
      </w:r>
      <w:r>
        <w:rPr>
          <w:spacing w:val="-4"/>
        </w:rPr>
        <w:t>per</w:t>
      </w:r>
      <w:r>
        <w:rPr>
          <w:spacing w:val="-9"/>
        </w:rPr>
        <w:t> </w:t>
      </w:r>
      <w:r>
        <w:rPr>
          <w:spacing w:val="-4"/>
        </w:rPr>
        <w:t>cent</w:t>
      </w:r>
      <w:r>
        <w:rPr>
          <w:spacing w:val="-10"/>
        </w:rPr>
        <w:t> </w:t>
      </w:r>
      <w:r>
        <w:rPr>
          <w:spacing w:val="-4"/>
        </w:rPr>
        <w:t>of</w:t>
      </w:r>
      <w:r>
        <w:rPr>
          <w:spacing w:val="-9"/>
        </w:rPr>
        <w:t> </w:t>
      </w:r>
      <w:r>
        <w:rPr>
          <w:spacing w:val="-4"/>
        </w:rPr>
        <w:t>the</w:t>
      </w:r>
      <w:r>
        <w:rPr>
          <w:spacing w:val="-10"/>
        </w:rPr>
        <w:t> </w:t>
      </w:r>
      <w:r>
        <w:rPr>
          <w:spacing w:val="-4"/>
        </w:rPr>
        <w:t>universities</w:t>
      </w:r>
      <w:r>
        <w:rPr>
          <w:spacing w:val="-9"/>
        </w:rPr>
        <w:t> </w:t>
      </w:r>
      <w:r>
        <w:rPr>
          <w:spacing w:val="-4"/>
        </w:rPr>
        <w:t>are</w:t>
      </w:r>
      <w:r>
        <w:rPr>
          <w:spacing w:val="-10"/>
        </w:rPr>
        <w:t> </w:t>
      </w:r>
      <w:r>
        <w:rPr>
          <w:spacing w:val="-4"/>
        </w:rPr>
        <w:t>rated</w:t>
      </w:r>
      <w:r>
        <w:rPr>
          <w:spacing w:val="-9"/>
        </w:rPr>
        <w:t> </w:t>
      </w:r>
      <w:r>
        <w:rPr>
          <w:spacing w:val="-4"/>
        </w:rPr>
        <w:t>as</w:t>
      </w:r>
      <w:r>
        <w:rPr>
          <w:spacing w:val="-10"/>
        </w:rPr>
        <w:t> </w:t>
      </w:r>
      <w:r>
        <w:rPr>
          <w:spacing w:val="-4"/>
        </w:rPr>
        <w:t>‘A’</w:t>
      </w:r>
      <w:r>
        <w:rPr>
          <w:spacing w:val="-9"/>
        </w:rPr>
        <w:t> </w:t>
      </w:r>
      <w:r>
        <w:rPr>
          <w:spacing w:val="-4"/>
        </w:rPr>
        <w:t>grade</w:t>
      </w:r>
      <w:r>
        <w:rPr>
          <w:spacing w:val="-10"/>
        </w:rPr>
        <w:t> </w:t>
      </w:r>
      <w:r>
        <w:rPr>
          <w:spacing w:val="-4"/>
        </w:rPr>
        <w:t>and </w:t>
      </w:r>
      <w:r>
        <w:rPr>
          <w:spacing w:val="-2"/>
        </w:rPr>
        <w:t>the</w:t>
      </w:r>
      <w:r>
        <w:rPr>
          <w:spacing w:val="-8"/>
        </w:rPr>
        <w:t> </w:t>
      </w:r>
      <w:r>
        <w:rPr>
          <w:spacing w:val="-2"/>
        </w:rPr>
        <w:t>rest</w:t>
      </w:r>
      <w:r>
        <w:rPr>
          <w:spacing w:val="-8"/>
        </w:rPr>
        <w:t> </w:t>
      </w:r>
      <w:r>
        <w:rPr>
          <w:spacing w:val="-2"/>
        </w:rPr>
        <w:t>fall</w:t>
      </w:r>
      <w:r>
        <w:rPr>
          <w:spacing w:val="-8"/>
        </w:rPr>
        <w:t> </w:t>
      </w:r>
      <w:r>
        <w:rPr>
          <w:spacing w:val="-2"/>
        </w:rPr>
        <w:t>in</w:t>
      </w:r>
      <w:r>
        <w:rPr>
          <w:spacing w:val="-8"/>
        </w:rPr>
        <w:t> </w:t>
      </w:r>
      <w:r>
        <w:rPr>
          <w:spacing w:val="-2"/>
        </w:rPr>
        <w:t>‘B’</w:t>
      </w:r>
      <w:r>
        <w:rPr>
          <w:spacing w:val="-8"/>
        </w:rPr>
        <w:t> </w:t>
      </w:r>
      <w:r>
        <w:rPr>
          <w:spacing w:val="-2"/>
        </w:rPr>
        <w:t>and</w:t>
      </w:r>
      <w:r>
        <w:rPr>
          <w:spacing w:val="-8"/>
        </w:rPr>
        <w:t> </w:t>
      </w:r>
      <w:r>
        <w:rPr>
          <w:spacing w:val="-2"/>
        </w:rPr>
        <w:t>‘C’</w:t>
      </w:r>
      <w:r>
        <w:rPr>
          <w:spacing w:val="-8"/>
        </w:rPr>
        <w:t> </w:t>
      </w:r>
      <w:r>
        <w:rPr>
          <w:spacing w:val="-2"/>
        </w:rPr>
        <w:t>categories.</w:t>
      </w:r>
      <w:r>
        <w:rPr>
          <w:spacing w:val="-8"/>
        </w:rPr>
        <w:t> </w:t>
      </w:r>
      <w:r>
        <w:rPr>
          <w:spacing w:val="-2"/>
        </w:rPr>
        <w:t>Accreditation</w:t>
      </w:r>
      <w:r>
        <w:rPr>
          <w:spacing w:val="-8"/>
        </w:rPr>
        <w:t> </w:t>
      </w:r>
      <w:r>
        <w:rPr>
          <w:spacing w:val="-2"/>
        </w:rPr>
        <w:t>by </w:t>
      </w:r>
      <w:r>
        <w:rPr/>
        <w:t>NAAC</w:t>
      </w:r>
      <w:r>
        <w:rPr>
          <w:spacing w:val="-14"/>
        </w:rPr>
        <w:t> </w:t>
      </w:r>
      <w:r>
        <w:rPr/>
        <w:t>is</w:t>
      </w:r>
      <w:r>
        <w:rPr>
          <w:spacing w:val="-14"/>
        </w:rPr>
        <w:t> </w:t>
      </w:r>
      <w:r>
        <w:rPr/>
        <w:t>voluntary</w:t>
      </w:r>
      <w:r>
        <w:rPr>
          <w:spacing w:val="-14"/>
        </w:rPr>
        <w:t> </w:t>
      </w:r>
      <w:r>
        <w:rPr/>
        <w:t>and</w:t>
      </w:r>
      <w:r>
        <w:rPr>
          <w:spacing w:val="-13"/>
        </w:rPr>
        <w:t> </w:t>
      </w:r>
      <w:r>
        <w:rPr/>
        <w:t>valid</w:t>
      </w:r>
      <w:r>
        <w:rPr>
          <w:spacing w:val="-14"/>
        </w:rPr>
        <w:t> </w:t>
      </w:r>
      <w:r>
        <w:rPr/>
        <w:t>for</w:t>
      </w:r>
      <w:r>
        <w:rPr>
          <w:spacing w:val="-14"/>
        </w:rPr>
        <w:t> </w:t>
      </w:r>
      <w:r>
        <w:rPr/>
        <w:t>five</w:t>
      </w:r>
      <w:r>
        <w:rPr>
          <w:spacing w:val="-14"/>
        </w:rPr>
        <w:t> </w:t>
      </w:r>
      <w:r>
        <w:rPr/>
        <w:t>years.</w:t>
      </w:r>
      <w:r>
        <w:rPr>
          <w:spacing w:val="-13"/>
        </w:rPr>
        <w:t> </w:t>
      </w:r>
      <w:r>
        <w:rPr/>
        <w:t>However, very few institutions have applied for accreditation by NAAC.</w:t>
      </w:r>
    </w:p>
    <w:p>
      <w:pPr>
        <w:pStyle w:val="BodyText"/>
        <w:spacing w:before="18"/>
      </w:pPr>
    </w:p>
    <w:p>
      <w:pPr>
        <w:pStyle w:val="BodyText"/>
        <w:spacing w:line="266" w:lineRule="auto" w:before="1"/>
        <w:ind w:left="1079"/>
        <w:jc w:val="both"/>
      </w:pPr>
      <w:r>
        <w:rPr>
          <w:b/>
        </w:rPr>
        <w:t>Quality: </w:t>
      </w:r>
      <w:r>
        <w:rPr/>
        <w:t>There are concerns about the quality of higher</w:t>
      </w:r>
      <w:r>
        <w:rPr>
          <w:spacing w:val="-4"/>
        </w:rPr>
        <w:t> </w:t>
      </w:r>
      <w:r>
        <w:rPr/>
        <w:t>education</w:t>
      </w:r>
      <w:r>
        <w:rPr>
          <w:spacing w:val="-3"/>
        </w:rPr>
        <w:t> </w:t>
      </w:r>
      <w:r>
        <w:rPr/>
        <w:t>provided</w:t>
      </w:r>
      <w:r>
        <w:rPr>
          <w:spacing w:val="-3"/>
        </w:rPr>
        <w:t> </w:t>
      </w:r>
      <w:r>
        <w:rPr/>
        <w:t>in</w:t>
      </w:r>
      <w:r>
        <w:rPr>
          <w:spacing w:val="-3"/>
        </w:rPr>
        <w:t> </w:t>
      </w:r>
      <w:r>
        <w:rPr/>
        <w:t>India</w:t>
      </w:r>
      <w:r>
        <w:rPr>
          <w:spacing w:val="-4"/>
        </w:rPr>
        <w:t> </w:t>
      </w:r>
      <w:r>
        <w:rPr/>
        <w:t>currently.</w:t>
      </w:r>
      <w:r>
        <w:rPr>
          <w:spacing w:val="-11"/>
        </w:rPr>
        <w:t> </w:t>
      </w:r>
      <w:r>
        <w:rPr/>
        <w:t>There</w:t>
      </w:r>
      <w:r>
        <w:rPr>
          <w:spacing w:val="-3"/>
        </w:rPr>
        <w:t> </w:t>
      </w:r>
      <w:r>
        <w:rPr>
          <w:spacing w:val="-7"/>
        </w:rPr>
        <w:t>is</w:t>
      </w:r>
    </w:p>
    <w:p>
      <w:pPr>
        <w:pStyle w:val="BodyText"/>
        <w:spacing w:line="266" w:lineRule="auto" w:before="82"/>
        <w:ind w:left="319" w:right="1077"/>
        <w:jc w:val="both"/>
      </w:pPr>
      <w:r>
        <w:rPr/>
        <w:br w:type="column"/>
      </w:r>
      <w:r>
        <w:rPr/>
        <w:t>an annual outflow of more than 1,50,000 students to institutes in the west every year – driving out nearly 2-3 billion dollars in foreign exchange per annum. It makes</w:t>
      </w:r>
      <w:r>
        <w:rPr>
          <w:spacing w:val="-10"/>
        </w:rPr>
        <w:t> </w:t>
      </w:r>
      <w:r>
        <w:rPr/>
        <w:t>India</w:t>
      </w:r>
      <w:r>
        <w:rPr>
          <w:spacing w:val="-10"/>
        </w:rPr>
        <w:t> </w:t>
      </w:r>
      <w:r>
        <w:rPr/>
        <w:t>the</w:t>
      </w:r>
      <w:r>
        <w:rPr>
          <w:spacing w:val="-10"/>
        </w:rPr>
        <w:t> </w:t>
      </w:r>
      <w:r>
        <w:rPr/>
        <w:t>second-largest</w:t>
      </w:r>
      <w:r>
        <w:rPr>
          <w:spacing w:val="-10"/>
        </w:rPr>
        <w:t> </w:t>
      </w:r>
      <w:r>
        <w:rPr/>
        <w:t>target</w:t>
      </w:r>
      <w:r>
        <w:rPr>
          <w:spacing w:val="-10"/>
        </w:rPr>
        <w:t> </w:t>
      </w:r>
      <w:r>
        <w:rPr/>
        <w:t>market</w:t>
      </w:r>
      <w:r>
        <w:rPr>
          <w:spacing w:val="-10"/>
        </w:rPr>
        <w:t> </w:t>
      </w:r>
      <w:r>
        <w:rPr/>
        <w:t>globally for education institutes in the west. Though the problem of reaching world class standards is not as pressing</w:t>
      </w:r>
      <w:r>
        <w:rPr>
          <w:spacing w:val="-16"/>
        </w:rPr>
        <w:t> </w:t>
      </w:r>
      <w:r>
        <w:rPr/>
        <w:t>as</w:t>
      </w:r>
      <w:r>
        <w:rPr>
          <w:spacing w:val="-14"/>
        </w:rPr>
        <w:t> </w:t>
      </w:r>
      <w:r>
        <w:rPr/>
        <w:t>meeting</w:t>
      </w:r>
      <w:r>
        <w:rPr>
          <w:spacing w:val="-14"/>
        </w:rPr>
        <w:t> </w:t>
      </w:r>
      <w:r>
        <w:rPr/>
        <w:t>the</w:t>
      </w:r>
      <w:r>
        <w:rPr>
          <w:spacing w:val="-13"/>
        </w:rPr>
        <w:t> </w:t>
      </w:r>
      <w:r>
        <w:rPr/>
        <w:t>larger</w:t>
      </w:r>
      <w:r>
        <w:rPr>
          <w:spacing w:val="-14"/>
        </w:rPr>
        <w:t> </w:t>
      </w:r>
      <w:r>
        <w:rPr/>
        <w:t>needs</w:t>
      </w:r>
      <w:r>
        <w:rPr>
          <w:spacing w:val="-14"/>
        </w:rPr>
        <w:t> </w:t>
      </w:r>
      <w:r>
        <w:rPr/>
        <w:t>of</w:t>
      </w:r>
      <w:r>
        <w:rPr>
          <w:spacing w:val="-14"/>
        </w:rPr>
        <w:t> </w:t>
      </w:r>
      <w:r>
        <w:rPr/>
        <w:t>the</w:t>
      </w:r>
      <w:r>
        <w:rPr>
          <w:spacing w:val="-13"/>
        </w:rPr>
        <w:t> </w:t>
      </w:r>
      <w:r>
        <w:rPr/>
        <w:t>population, India’s standing in this regard is indicative perhaps</w:t>
      </w:r>
      <w:r>
        <w:rPr>
          <w:spacing w:val="40"/>
        </w:rPr>
        <w:t> </w:t>
      </w:r>
      <w:r>
        <w:rPr/>
        <w:t>of the generally low standards. In a London Times Higher</w:t>
      </w:r>
      <w:r>
        <w:rPr>
          <w:spacing w:val="61"/>
        </w:rPr>
        <w:t> </w:t>
      </w:r>
      <w:r>
        <w:rPr/>
        <w:t>Education</w:t>
      </w:r>
      <w:r>
        <w:rPr>
          <w:spacing w:val="62"/>
        </w:rPr>
        <w:t> </w:t>
      </w:r>
      <w:r>
        <w:rPr/>
        <w:t>Supplement</w:t>
      </w:r>
      <w:r>
        <w:rPr>
          <w:spacing w:val="62"/>
        </w:rPr>
        <w:t> </w:t>
      </w:r>
      <w:r>
        <w:rPr/>
        <w:t>ranking</w:t>
      </w:r>
      <w:r>
        <w:rPr>
          <w:spacing w:val="62"/>
        </w:rPr>
        <w:t> </w:t>
      </w:r>
      <w:r>
        <w:rPr/>
        <w:t>of</w:t>
      </w:r>
      <w:r>
        <w:rPr>
          <w:spacing w:val="61"/>
        </w:rPr>
        <w:t> </w:t>
      </w:r>
      <w:r>
        <w:rPr/>
        <w:t>the</w:t>
      </w:r>
      <w:r>
        <w:rPr>
          <w:spacing w:val="62"/>
        </w:rPr>
        <w:t> </w:t>
      </w:r>
      <w:r>
        <w:rPr>
          <w:spacing w:val="-5"/>
        </w:rPr>
        <w:t>top</w:t>
      </w:r>
    </w:p>
    <w:p>
      <w:pPr>
        <w:pStyle w:val="BodyText"/>
        <w:spacing w:line="266" w:lineRule="auto"/>
        <w:ind w:left="319" w:right="1077"/>
        <w:jc w:val="both"/>
      </w:pPr>
      <w:r>
        <w:rPr/>
        <w:drawing>
          <wp:anchor distT="0" distB="0" distL="0" distR="0" allowOverlap="1" layoutInCell="1" locked="0" behindDoc="0" simplePos="0" relativeHeight="15821824">
            <wp:simplePos x="0" y="0"/>
            <wp:positionH relativeFrom="page">
              <wp:posOffset>7557287</wp:posOffset>
            </wp:positionH>
            <wp:positionV relativeFrom="paragraph">
              <wp:posOffset>-2440128</wp:posOffset>
            </wp:positionV>
            <wp:extent cx="2712" cy="1752562"/>
            <wp:effectExtent l="0" t="0" r="0" b="0"/>
            <wp:wrapNone/>
            <wp:docPr id="1498" name="Image 1498"/>
            <wp:cNvGraphicFramePr>
              <a:graphicFrameLocks/>
            </wp:cNvGraphicFramePr>
            <a:graphic>
              <a:graphicData uri="http://schemas.openxmlformats.org/drawingml/2006/picture">
                <pic:pic>
                  <pic:nvPicPr>
                    <pic:cNvPr id="1498" name="Image 1498"/>
                    <pic:cNvPicPr/>
                  </pic:nvPicPr>
                  <pic:blipFill>
                    <a:blip r:embed="rId687" cstate="print"/>
                    <a:stretch>
                      <a:fillRect/>
                    </a:stretch>
                  </pic:blipFill>
                  <pic:spPr>
                    <a:xfrm>
                      <a:off x="0" y="0"/>
                      <a:ext cx="2712" cy="1752562"/>
                    </a:xfrm>
                    <a:prstGeom prst="rect">
                      <a:avLst/>
                    </a:prstGeom>
                  </pic:spPr>
                </pic:pic>
              </a:graphicData>
            </a:graphic>
          </wp:anchor>
        </w:drawing>
      </w:r>
      <w:r>
        <w:rPr/>
        <w:t>200</w:t>
      </w:r>
      <w:r>
        <w:rPr>
          <w:spacing w:val="40"/>
        </w:rPr>
        <w:t> </w:t>
      </w:r>
      <w:r>
        <w:rPr/>
        <w:t>universities,</w:t>
      </w:r>
      <w:r>
        <w:rPr>
          <w:spacing w:val="40"/>
        </w:rPr>
        <w:t> </w:t>
      </w:r>
      <w:r>
        <w:rPr/>
        <w:t>only</w:t>
      </w:r>
      <w:r>
        <w:rPr>
          <w:spacing w:val="40"/>
        </w:rPr>
        <w:t> </w:t>
      </w:r>
      <w:r>
        <w:rPr/>
        <w:t>1</w:t>
      </w:r>
      <w:r>
        <w:rPr>
          <w:spacing w:val="40"/>
        </w:rPr>
        <w:t> </w:t>
      </w:r>
      <w:r>
        <w:rPr/>
        <w:t>Indian</w:t>
      </w:r>
      <w:r>
        <w:rPr>
          <w:spacing w:val="40"/>
        </w:rPr>
        <w:t> </w:t>
      </w:r>
      <w:r>
        <w:rPr/>
        <w:t>institution</w:t>
      </w:r>
      <w:r>
        <w:rPr>
          <w:spacing w:val="40"/>
        </w:rPr>
        <w:t> </w:t>
      </w:r>
      <w:r>
        <w:rPr/>
        <w:t>was listed,</w:t>
      </w:r>
      <w:r>
        <w:rPr>
          <w:spacing w:val="76"/>
        </w:rPr>
        <w:t> </w:t>
      </w:r>
      <w:r>
        <w:rPr/>
        <w:t>while</w:t>
      </w:r>
      <w:r>
        <w:rPr>
          <w:spacing w:val="76"/>
        </w:rPr>
        <w:t> </w:t>
      </w:r>
      <w:r>
        <w:rPr/>
        <w:t>the</w:t>
      </w:r>
      <w:r>
        <w:rPr>
          <w:spacing w:val="76"/>
        </w:rPr>
        <w:t> </w:t>
      </w:r>
      <w:r>
        <w:rPr/>
        <w:t>Shanghai</w:t>
      </w:r>
      <w:r>
        <w:rPr>
          <w:spacing w:val="76"/>
        </w:rPr>
        <w:t> </w:t>
      </w:r>
      <w:r>
        <w:rPr/>
        <w:t>University</w:t>
      </w:r>
      <w:r>
        <w:rPr>
          <w:spacing w:val="76"/>
        </w:rPr>
        <w:t> </w:t>
      </w:r>
      <w:r>
        <w:rPr/>
        <w:t>ranking</w:t>
      </w:r>
      <w:r>
        <w:rPr>
          <w:spacing w:val="76"/>
        </w:rPr>
        <w:t> </w:t>
      </w:r>
      <w:r>
        <w:rPr>
          <w:spacing w:val="-5"/>
        </w:rPr>
        <w:t>of</w:t>
      </w:r>
    </w:p>
    <w:p>
      <w:pPr>
        <w:pStyle w:val="BodyText"/>
        <w:spacing w:line="266" w:lineRule="auto"/>
        <w:ind w:left="319" w:right="1077"/>
        <w:jc w:val="both"/>
      </w:pPr>
      <w:r>
        <w:rPr/>
        <w:t>500 world-class universities featured only 3 Indian </w:t>
      </w:r>
      <w:r>
        <w:rPr>
          <w:spacing w:val="-2"/>
        </w:rPr>
        <w:t>universities.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177"/>
        <w:rPr>
          <w:sz w:val="24"/>
        </w:rPr>
      </w:pPr>
    </w:p>
    <w:p>
      <w:pPr>
        <w:pStyle w:val="Heading8"/>
        <w:ind w:left="58" w:right="413"/>
        <w:jc w:val="center"/>
      </w:pPr>
      <w:r>
        <w:rPr>
          <w:spacing w:val="-6"/>
        </w:rPr>
        <w:t>Figure</w:t>
      </w:r>
      <w:r>
        <w:rPr>
          <w:spacing w:val="-9"/>
        </w:rPr>
        <w:t> </w:t>
      </w:r>
      <w:r>
        <w:rPr>
          <w:spacing w:val="-6"/>
        </w:rPr>
        <w:t>20:</w:t>
      </w:r>
      <w:r>
        <w:rPr>
          <w:spacing w:val="-9"/>
        </w:rPr>
        <w:t> </w:t>
      </w:r>
      <w:r>
        <w:rPr>
          <w:color w:val="2E614A"/>
          <w:spacing w:val="-6"/>
        </w:rPr>
        <w:t>Country</w:t>
      </w:r>
      <w:r>
        <w:rPr>
          <w:color w:val="2E614A"/>
          <w:spacing w:val="-9"/>
        </w:rPr>
        <w:t> </w:t>
      </w:r>
      <w:r>
        <w:rPr>
          <w:color w:val="2E614A"/>
          <w:spacing w:val="-6"/>
        </w:rPr>
        <w:t>wise</w:t>
      </w:r>
      <w:r>
        <w:rPr>
          <w:color w:val="2E614A"/>
          <w:spacing w:val="-9"/>
        </w:rPr>
        <w:t> </w:t>
      </w:r>
      <w:r>
        <w:rPr>
          <w:color w:val="2E614A"/>
          <w:spacing w:val="-6"/>
        </w:rPr>
        <w:t>Number</w:t>
      </w:r>
      <w:r>
        <w:rPr>
          <w:color w:val="2E614A"/>
          <w:spacing w:val="-9"/>
        </w:rPr>
        <w:t> </w:t>
      </w:r>
      <w:r>
        <w:rPr>
          <w:color w:val="2E614A"/>
          <w:spacing w:val="-6"/>
        </w:rPr>
        <w:t>of</w:t>
      </w:r>
      <w:r>
        <w:rPr>
          <w:color w:val="2E614A"/>
          <w:spacing w:val="-9"/>
        </w:rPr>
        <w:t> </w:t>
      </w:r>
      <w:r>
        <w:rPr>
          <w:color w:val="2E614A"/>
          <w:spacing w:val="-6"/>
        </w:rPr>
        <w:t>Universities</w:t>
      </w:r>
      <w:r>
        <w:rPr>
          <w:color w:val="2E614A"/>
          <w:spacing w:val="-9"/>
        </w:rPr>
        <w:t> </w:t>
      </w:r>
      <w:r>
        <w:rPr>
          <w:color w:val="2E614A"/>
          <w:spacing w:val="-6"/>
        </w:rPr>
        <w:t>in</w:t>
      </w:r>
      <w:r>
        <w:rPr>
          <w:color w:val="2E614A"/>
          <w:spacing w:val="-8"/>
        </w:rPr>
        <w:t> </w:t>
      </w:r>
      <w:r>
        <w:rPr>
          <w:color w:val="2E614A"/>
          <w:spacing w:val="-6"/>
        </w:rPr>
        <w:t>Times</w:t>
      </w:r>
      <w:r>
        <w:rPr>
          <w:color w:val="2E614A"/>
          <w:spacing w:val="-3"/>
        </w:rPr>
        <w:t> </w:t>
      </w:r>
      <w:r>
        <w:rPr>
          <w:color w:val="2E614A"/>
          <w:spacing w:val="-6"/>
        </w:rPr>
        <w:t>Top</w:t>
      </w:r>
      <w:r>
        <w:rPr>
          <w:color w:val="2E614A"/>
          <w:spacing w:val="-9"/>
        </w:rPr>
        <w:t> </w:t>
      </w:r>
      <w:r>
        <w:rPr>
          <w:color w:val="2E614A"/>
          <w:spacing w:val="-6"/>
        </w:rPr>
        <w:t>100</w:t>
      </w:r>
      <w:r>
        <w:rPr>
          <w:color w:val="2E614A"/>
          <w:spacing w:val="-9"/>
        </w:rPr>
        <w:t> </w:t>
      </w:r>
      <w:r>
        <w:rPr>
          <w:color w:val="2E614A"/>
          <w:spacing w:val="-6"/>
        </w:rPr>
        <w:t>Universities</w:t>
      </w:r>
    </w:p>
    <w:p>
      <w:pPr>
        <w:pStyle w:val="BodyText"/>
        <w:spacing w:before="8"/>
        <w:rPr>
          <w:b/>
          <w:sz w:val="4"/>
        </w:rPr>
      </w:pPr>
      <w:r>
        <w:rPr/>
        <mc:AlternateContent>
          <mc:Choice Requires="wps">
            <w:drawing>
              <wp:anchor distT="0" distB="0" distL="0" distR="0" allowOverlap="1" layoutInCell="1" locked="0" behindDoc="1" simplePos="0" relativeHeight="487680512">
                <wp:simplePos x="0" y="0"/>
                <wp:positionH relativeFrom="page">
                  <wp:posOffset>1263649</wp:posOffset>
                </wp:positionH>
                <wp:positionV relativeFrom="paragraph">
                  <wp:posOffset>50062</wp:posOffset>
                </wp:positionV>
                <wp:extent cx="5042535" cy="2481580"/>
                <wp:effectExtent l="0" t="0" r="0" b="0"/>
                <wp:wrapTopAndBottom/>
                <wp:docPr id="1499" name="Group 1499"/>
                <wp:cNvGraphicFramePr>
                  <a:graphicFrameLocks/>
                </wp:cNvGraphicFramePr>
                <a:graphic>
                  <a:graphicData uri="http://schemas.microsoft.com/office/word/2010/wordprocessingGroup">
                    <wpg:wgp>
                      <wpg:cNvPr id="1499" name="Group 1499"/>
                      <wpg:cNvGrpSpPr/>
                      <wpg:grpSpPr>
                        <a:xfrm>
                          <a:off x="0" y="0"/>
                          <a:ext cx="5042535" cy="2481580"/>
                          <a:chExt cx="5042535" cy="2481580"/>
                        </a:xfrm>
                      </wpg:grpSpPr>
                      <wps:wsp>
                        <wps:cNvPr id="1500" name="Graphic 1500"/>
                        <wps:cNvSpPr/>
                        <wps:spPr>
                          <a:xfrm>
                            <a:off x="539827" y="363181"/>
                            <a:ext cx="4062095" cy="1809750"/>
                          </a:xfrm>
                          <a:custGeom>
                            <a:avLst/>
                            <a:gdLst/>
                            <a:ahLst/>
                            <a:cxnLst/>
                            <a:rect l="l" t="t" r="r" b="b"/>
                            <a:pathLst>
                              <a:path w="4062095" h="1809750">
                                <a:moveTo>
                                  <a:pt x="225653" y="0"/>
                                </a:moveTo>
                                <a:lnTo>
                                  <a:pt x="0" y="0"/>
                                </a:lnTo>
                                <a:lnTo>
                                  <a:pt x="0" y="1809178"/>
                                </a:lnTo>
                                <a:lnTo>
                                  <a:pt x="225653" y="1809178"/>
                                </a:lnTo>
                                <a:lnTo>
                                  <a:pt x="225653" y="0"/>
                                </a:lnTo>
                                <a:close/>
                              </a:path>
                              <a:path w="4062095" h="1809750">
                                <a:moveTo>
                                  <a:pt x="770331" y="1050201"/>
                                </a:moveTo>
                                <a:lnTo>
                                  <a:pt x="552450" y="1050201"/>
                                </a:lnTo>
                                <a:lnTo>
                                  <a:pt x="552450" y="1809178"/>
                                </a:lnTo>
                                <a:lnTo>
                                  <a:pt x="770331" y="1809178"/>
                                </a:lnTo>
                                <a:lnTo>
                                  <a:pt x="770331" y="1050201"/>
                                </a:lnTo>
                                <a:close/>
                              </a:path>
                              <a:path w="4062095" h="1809750">
                                <a:moveTo>
                                  <a:pt x="1322781" y="1456169"/>
                                </a:moveTo>
                                <a:lnTo>
                                  <a:pt x="1097127" y="1456169"/>
                                </a:lnTo>
                                <a:lnTo>
                                  <a:pt x="1097127" y="1809178"/>
                                </a:lnTo>
                                <a:lnTo>
                                  <a:pt x="1322781" y="1809178"/>
                                </a:lnTo>
                                <a:lnTo>
                                  <a:pt x="1322781" y="1456169"/>
                                </a:lnTo>
                                <a:close/>
                              </a:path>
                              <a:path w="4062095" h="1809750">
                                <a:moveTo>
                                  <a:pt x="1867446" y="1517942"/>
                                </a:moveTo>
                                <a:lnTo>
                                  <a:pt x="1649577" y="1517942"/>
                                </a:lnTo>
                                <a:lnTo>
                                  <a:pt x="1649577" y="1809178"/>
                                </a:lnTo>
                                <a:lnTo>
                                  <a:pt x="1867446" y="1809178"/>
                                </a:lnTo>
                                <a:lnTo>
                                  <a:pt x="1867446" y="1517942"/>
                                </a:lnTo>
                                <a:close/>
                              </a:path>
                              <a:path w="4062095" h="1809750">
                                <a:moveTo>
                                  <a:pt x="2419908" y="1570901"/>
                                </a:moveTo>
                                <a:lnTo>
                                  <a:pt x="2194255" y="1570901"/>
                                </a:lnTo>
                                <a:lnTo>
                                  <a:pt x="2194255" y="1809178"/>
                                </a:lnTo>
                                <a:lnTo>
                                  <a:pt x="2419908" y="1809178"/>
                                </a:lnTo>
                                <a:lnTo>
                                  <a:pt x="2419908" y="1570901"/>
                                </a:lnTo>
                                <a:close/>
                              </a:path>
                              <a:path w="4062095" h="1809750">
                                <a:moveTo>
                                  <a:pt x="2964573" y="1632686"/>
                                </a:moveTo>
                                <a:lnTo>
                                  <a:pt x="2746718" y="1632686"/>
                                </a:lnTo>
                                <a:lnTo>
                                  <a:pt x="2746718" y="1809178"/>
                                </a:lnTo>
                                <a:lnTo>
                                  <a:pt x="2964573" y="1809178"/>
                                </a:lnTo>
                                <a:lnTo>
                                  <a:pt x="2964573" y="1632686"/>
                                </a:lnTo>
                                <a:close/>
                              </a:path>
                              <a:path w="4062095" h="1809750">
                                <a:moveTo>
                                  <a:pt x="3517023" y="1694459"/>
                                </a:moveTo>
                                <a:lnTo>
                                  <a:pt x="3291395" y="1694459"/>
                                </a:lnTo>
                                <a:lnTo>
                                  <a:pt x="3291395" y="1809178"/>
                                </a:lnTo>
                                <a:lnTo>
                                  <a:pt x="3517023" y="1809178"/>
                                </a:lnTo>
                                <a:lnTo>
                                  <a:pt x="3517023" y="1694459"/>
                                </a:lnTo>
                                <a:close/>
                              </a:path>
                              <a:path w="4062095" h="1809750">
                                <a:moveTo>
                                  <a:pt x="4061701" y="1747405"/>
                                </a:moveTo>
                                <a:lnTo>
                                  <a:pt x="3843845" y="1747405"/>
                                </a:lnTo>
                                <a:lnTo>
                                  <a:pt x="3843845" y="1809178"/>
                                </a:lnTo>
                                <a:lnTo>
                                  <a:pt x="4061701" y="1809178"/>
                                </a:lnTo>
                                <a:lnTo>
                                  <a:pt x="4061701" y="1747405"/>
                                </a:lnTo>
                                <a:close/>
                              </a:path>
                            </a:pathLst>
                          </a:custGeom>
                          <a:solidFill>
                            <a:srgbClr val="2F7D41"/>
                          </a:solidFill>
                        </wps:spPr>
                        <wps:bodyPr wrap="square" lIns="0" tIns="0" rIns="0" bIns="0" rtlCol="0">
                          <a:prstTxWarp prst="textNoShape">
                            <a:avLst/>
                          </a:prstTxWarp>
                          <a:noAutofit/>
                        </wps:bodyPr>
                      </wps:wsp>
                      <wps:wsp>
                        <wps:cNvPr id="1501" name="Graphic 1501"/>
                        <wps:cNvSpPr/>
                        <wps:spPr>
                          <a:xfrm>
                            <a:off x="-11" y="0"/>
                            <a:ext cx="5042535" cy="2481580"/>
                          </a:xfrm>
                          <a:custGeom>
                            <a:avLst/>
                            <a:gdLst/>
                            <a:ahLst/>
                            <a:cxnLst/>
                            <a:rect l="l" t="t" r="r" b="b"/>
                            <a:pathLst>
                              <a:path w="5042535" h="2481580">
                                <a:moveTo>
                                  <a:pt x="4768126" y="2169185"/>
                                </a:moveTo>
                                <a:lnTo>
                                  <a:pt x="4768126" y="2169185"/>
                                </a:lnTo>
                                <a:lnTo>
                                  <a:pt x="379615" y="2169185"/>
                                </a:lnTo>
                                <a:lnTo>
                                  <a:pt x="379615" y="121716"/>
                                </a:lnTo>
                                <a:lnTo>
                                  <a:pt x="373265" y="121716"/>
                                </a:lnTo>
                                <a:lnTo>
                                  <a:pt x="342138" y="121716"/>
                                </a:lnTo>
                                <a:lnTo>
                                  <a:pt x="342138" y="128066"/>
                                </a:lnTo>
                                <a:lnTo>
                                  <a:pt x="373265" y="128066"/>
                                </a:lnTo>
                                <a:lnTo>
                                  <a:pt x="373265" y="412953"/>
                                </a:lnTo>
                                <a:lnTo>
                                  <a:pt x="342138" y="412953"/>
                                </a:lnTo>
                                <a:lnTo>
                                  <a:pt x="342138" y="419303"/>
                                </a:lnTo>
                                <a:lnTo>
                                  <a:pt x="373265" y="419303"/>
                                </a:lnTo>
                                <a:lnTo>
                                  <a:pt x="373265" y="704189"/>
                                </a:lnTo>
                                <a:lnTo>
                                  <a:pt x="342138" y="704189"/>
                                </a:lnTo>
                                <a:lnTo>
                                  <a:pt x="342138" y="710539"/>
                                </a:lnTo>
                                <a:lnTo>
                                  <a:pt x="373265" y="710539"/>
                                </a:lnTo>
                                <a:lnTo>
                                  <a:pt x="373265" y="995426"/>
                                </a:lnTo>
                                <a:lnTo>
                                  <a:pt x="342138" y="995426"/>
                                </a:lnTo>
                                <a:lnTo>
                                  <a:pt x="342138" y="1001776"/>
                                </a:lnTo>
                                <a:lnTo>
                                  <a:pt x="373265" y="1001776"/>
                                </a:lnTo>
                                <a:lnTo>
                                  <a:pt x="373265" y="1295476"/>
                                </a:lnTo>
                                <a:lnTo>
                                  <a:pt x="342138" y="1295476"/>
                                </a:lnTo>
                                <a:lnTo>
                                  <a:pt x="342138" y="1301826"/>
                                </a:lnTo>
                                <a:lnTo>
                                  <a:pt x="373265" y="1301826"/>
                                </a:lnTo>
                                <a:lnTo>
                                  <a:pt x="373265" y="1586725"/>
                                </a:lnTo>
                                <a:lnTo>
                                  <a:pt x="342138" y="1586725"/>
                                </a:lnTo>
                                <a:lnTo>
                                  <a:pt x="342138" y="1593075"/>
                                </a:lnTo>
                                <a:lnTo>
                                  <a:pt x="373265" y="1593075"/>
                                </a:lnTo>
                                <a:lnTo>
                                  <a:pt x="373265" y="1877949"/>
                                </a:lnTo>
                                <a:lnTo>
                                  <a:pt x="342138" y="1877949"/>
                                </a:lnTo>
                                <a:lnTo>
                                  <a:pt x="342138" y="1884299"/>
                                </a:lnTo>
                                <a:lnTo>
                                  <a:pt x="373265" y="1884299"/>
                                </a:lnTo>
                                <a:lnTo>
                                  <a:pt x="373265" y="2169185"/>
                                </a:lnTo>
                                <a:lnTo>
                                  <a:pt x="342138" y="2169185"/>
                                </a:lnTo>
                                <a:lnTo>
                                  <a:pt x="342138" y="2175535"/>
                                </a:lnTo>
                                <a:lnTo>
                                  <a:pt x="373265" y="2175535"/>
                                </a:lnTo>
                                <a:lnTo>
                                  <a:pt x="373265" y="2210841"/>
                                </a:lnTo>
                                <a:lnTo>
                                  <a:pt x="379615" y="2210841"/>
                                </a:lnTo>
                                <a:lnTo>
                                  <a:pt x="379615" y="2175535"/>
                                </a:lnTo>
                                <a:lnTo>
                                  <a:pt x="925715" y="2175535"/>
                                </a:lnTo>
                                <a:lnTo>
                                  <a:pt x="925715" y="2210841"/>
                                </a:lnTo>
                                <a:lnTo>
                                  <a:pt x="932065" y="2210841"/>
                                </a:lnTo>
                                <a:lnTo>
                                  <a:pt x="932065" y="2175535"/>
                                </a:lnTo>
                                <a:lnTo>
                                  <a:pt x="1470393" y="2175535"/>
                                </a:lnTo>
                                <a:lnTo>
                                  <a:pt x="1470393" y="2210841"/>
                                </a:lnTo>
                                <a:lnTo>
                                  <a:pt x="1476743" y="2210841"/>
                                </a:lnTo>
                                <a:lnTo>
                                  <a:pt x="1476743" y="2175535"/>
                                </a:lnTo>
                                <a:lnTo>
                                  <a:pt x="2022843" y="2175535"/>
                                </a:lnTo>
                                <a:lnTo>
                                  <a:pt x="2022843" y="2210841"/>
                                </a:lnTo>
                                <a:lnTo>
                                  <a:pt x="2029193" y="2210841"/>
                                </a:lnTo>
                                <a:lnTo>
                                  <a:pt x="2029193" y="2175535"/>
                                </a:lnTo>
                                <a:lnTo>
                                  <a:pt x="2567521" y="2175535"/>
                                </a:lnTo>
                                <a:lnTo>
                                  <a:pt x="2567521" y="2210841"/>
                                </a:lnTo>
                                <a:lnTo>
                                  <a:pt x="2573871" y="2210841"/>
                                </a:lnTo>
                                <a:lnTo>
                                  <a:pt x="2573871" y="2175535"/>
                                </a:lnTo>
                                <a:lnTo>
                                  <a:pt x="3119971" y="2175535"/>
                                </a:lnTo>
                                <a:lnTo>
                                  <a:pt x="3119971" y="2210841"/>
                                </a:lnTo>
                                <a:lnTo>
                                  <a:pt x="3126321" y="2210841"/>
                                </a:lnTo>
                                <a:lnTo>
                                  <a:pt x="3126321" y="2175535"/>
                                </a:lnTo>
                                <a:lnTo>
                                  <a:pt x="3664648" y="2175535"/>
                                </a:lnTo>
                                <a:lnTo>
                                  <a:pt x="3664648" y="2210841"/>
                                </a:lnTo>
                                <a:lnTo>
                                  <a:pt x="3670998" y="2210841"/>
                                </a:lnTo>
                                <a:lnTo>
                                  <a:pt x="3670998" y="2175535"/>
                                </a:lnTo>
                                <a:lnTo>
                                  <a:pt x="4217111" y="2175535"/>
                                </a:lnTo>
                                <a:lnTo>
                                  <a:pt x="4217111" y="2210841"/>
                                </a:lnTo>
                                <a:lnTo>
                                  <a:pt x="4223461" y="2210841"/>
                                </a:lnTo>
                                <a:lnTo>
                                  <a:pt x="4223461" y="2175535"/>
                                </a:lnTo>
                                <a:lnTo>
                                  <a:pt x="4761776" y="2175535"/>
                                </a:lnTo>
                                <a:lnTo>
                                  <a:pt x="4761776" y="2210841"/>
                                </a:lnTo>
                                <a:lnTo>
                                  <a:pt x="4768126" y="2210841"/>
                                </a:lnTo>
                                <a:lnTo>
                                  <a:pt x="4768126" y="2169185"/>
                                </a:lnTo>
                                <a:close/>
                              </a:path>
                              <a:path w="5042535" h="2481580">
                                <a:moveTo>
                                  <a:pt x="5042230" y="0"/>
                                </a:moveTo>
                                <a:lnTo>
                                  <a:pt x="5035880" y="0"/>
                                </a:lnTo>
                                <a:lnTo>
                                  <a:pt x="5035880" y="2540"/>
                                </a:lnTo>
                                <a:lnTo>
                                  <a:pt x="5035880" y="3175"/>
                                </a:lnTo>
                                <a:lnTo>
                                  <a:pt x="5035880" y="6350"/>
                                </a:lnTo>
                                <a:lnTo>
                                  <a:pt x="5035880" y="2475230"/>
                                </a:lnTo>
                                <a:lnTo>
                                  <a:pt x="6350" y="2475230"/>
                                </a:lnTo>
                                <a:lnTo>
                                  <a:pt x="6350" y="6350"/>
                                </a:lnTo>
                                <a:lnTo>
                                  <a:pt x="5035880" y="6350"/>
                                </a:lnTo>
                                <a:lnTo>
                                  <a:pt x="5035880" y="3175"/>
                                </a:lnTo>
                                <a:lnTo>
                                  <a:pt x="6350" y="3175"/>
                                </a:lnTo>
                                <a:lnTo>
                                  <a:pt x="3175" y="3175"/>
                                </a:lnTo>
                                <a:lnTo>
                                  <a:pt x="3175" y="2540"/>
                                </a:lnTo>
                                <a:lnTo>
                                  <a:pt x="5035880" y="2540"/>
                                </a:lnTo>
                                <a:lnTo>
                                  <a:pt x="5035880" y="0"/>
                                </a:lnTo>
                                <a:lnTo>
                                  <a:pt x="0" y="0"/>
                                </a:lnTo>
                                <a:lnTo>
                                  <a:pt x="0" y="2540"/>
                                </a:lnTo>
                                <a:lnTo>
                                  <a:pt x="0" y="6350"/>
                                </a:lnTo>
                                <a:lnTo>
                                  <a:pt x="0" y="2475230"/>
                                </a:lnTo>
                                <a:lnTo>
                                  <a:pt x="0" y="2477770"/>
                                </a:lnTo>
                                <a:lnTo>
                                  <a:pt x="0" y="2481580"/>
                                </a:lnTo>
                                <a:lnTo>
                                  <a:pt x="5042230" y="2481580"/>
                                </a:lnTo>
                                <a:lnTo>
                                  <a:pt x="5042230" y="3175"/>
                                </a:lnTo>
                                <a:lnTo>
                                  <a:pt x="5039055" y="3175"/>
                                </a:lnTo>
                                <a:lnTo>
                                  <a:pt x="5039055" y="2540"/>
                                </a:lnTo>
                                <a:lnTo>
                                  <a:pt x="5042230" y="2540"/>
                                </a:lnTo>
                                <a:lnTo>
                                  <a:pt x="5042230" y="0"/>
                                </a:lnTo>
                                <a:close/>
                              </a:path>
                            </a:pathLst>
                          </a:custGeom>
                          <a:solidFill>
                            <a:srgbClr val="000000"/>
                          </a:solidFill>
                        </wps:spPr>
                        <wps:bodyPr wrap="square" lIns="0" tIns="0" rIns="0" bIns="0" rtlCol="0">
                          <a:prstTxWarp prst="textNoShape">
                            <a:avLst/>
                          </a:prstTxWarp>
                          <a:noAutofit/>
                        </wps:bodyPr>
                      </wps:wsp>
                      <wps:wsp>
                        <wps:cNvPr id="1502" name="Textbox 1502"/>
                        <wps:cNvSpPr txBox="1"/>
                        <wps:spPr>
                          <a:xfrm>
                            <a:off x="2196114" y="2197689"/>
                            <a:ext cx="240029"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France</w:t>
                              </w:r>
                            </w:p>
                          </w:txbxContent>
                        </wps:txbx>
                        <wps:bodyPr wrap="square" lIns="0" tIns="0" rIns="0" bIns="0" rtlCol="0">
                          <a:noAutofit/>
                        </wps:bodyPr>
                      </wps:wsp>
                      <wps:wsp>
                        <wps:cNvPr id="1503" name="Textbox 1503"/>
                        <wps:cNvSpPr txBox="1"/>
                        <wps:spPr>
                          <a:xfrm>
                            <a:off x="4421742" y="2197689"/>
                            <a:ext cx="17081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India</w:t>
                              </w:r>
                            </w:p>
                          </w:txbxContent>
                        </wps:txbx>
                        <wps:bodyPr wrap="square" lIns="0" tIns="0" rIns="0" bIns="0" rtlCol="0">
                          <a:noAutofit/>
                        </wps:bodyPr>
                      </wps:wsp>
                      <wps:wsp>
                        <wps:cNvPr id="1504" name="Textbox 1504"/>
                        <wps:cNvSpPr txBox="1"/>
                        <wps:spPr>
                          <a:xfrm>
                            <a:off x="3282025" y="2197689"/>
                            <a:ext cx="853440" cy="102235"/>
                          </a:xfrm>
                          <a:prstGeom prst="rect">
                            <a:avLst/>
                          </a:prstGeom>
                        </wps:spPr>
                        <wps:txbx>
                          <w:txbxContent>
                            <w:p>
                              <w:pPr>
                                <w:tabs>
                                  <w:tab w:pos="800" w:val="left" w:leader="none"/>
                                </w:tabs>
                                <w:spacing w:line="161" w:lineRule="exact" w:before="0"/>
                                <w:ind w:left="0" w:right="0" w:firstLine="0"/>
                                <w:jc w:val="left"/>
                                <w:rPr>
                                  <w:rFonts w:ascii="Arial MT"/>
                                  <w:sz w:val="14"/>
                                </w:rPr>
                              </w:pPr>
                              <w:r>
                                <w:rPr>
                                  <w:rFonts w:ascii="Arial MT"/>
                                  <w:spacing w:val="-2"/>
                                  <w:w w:val="90"/>
                                  <w:sz w:val="14"/>
                                </w:rPr>
                                <w:t>Canada</w:t>
                              </w:r>
                              <w:r>
                                <w:rPr>
                                  <w:rFonts w:ascii="Arial MT"/>
                                  <w:sz w:val="14"/>
                                </w:rPr>
                                <w:tab/>
                              </w:r>
                              <w:r>
                                <w:rPr>
                                  <w:rFonts w:ascii="Arial MT"/>
                                  <w:spacing w:val="-2"/>
                                  <w:w w:val="85"/>
                                  <w:sz w:val="14"/>
                                </w:rPr>
                                <w:t>Singapore</w:t>
                              </w:r>
                            </w:p>
                          </w:txbxContent>
                        </wps:txbx>
                        <wps:bodyPr wrap="square" lIns="0" tIns="0" rIns="0" bIns="0" rtlCol="0">
                          <a:noAutofit/>
                        </wps:bodyPr>
                      </wps:wsp>
                      <wps:wsp>
                        <wps:cNvPr id="1505" name="Textbox 1505"/>
                        <wps:cNvSpPr txBox="1"/>
                        <wps:spPr>
                          <a:xfrm>
                            <a:off x="2749823" y="2197689"/>
                            <a:ext cx="2032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China</w:t>
                              </w:r>
                            </w:p>
                          </w:txbxContent>
                        </wps:txbx>
                        <wps:bodyPr wrap="square" lIns="0" tIns="0" rIns="0" bIns="0" rtlCol="0">
                          <a:noAutofit/>
                        </wps:bodyPr>
                      </wps:wsp>
                      <wps:wsp>
                        <wps:cNvPr id="1506" name="Textbox 1506"/>
                        <wps:cNvSpPr txBox="1"/>
                        <wps:spPr>
                          <a:xfrm>
                            <a:off x="213464" y="104839"/>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35</w:t>
                              </w:r>
                            </w:p>
                          </w:txbxContent>
                        </wps:txbx>
                        <wps:bodyPr wrap="square" lIns="0" tIns="0" rIns="0" bIns="0" rtlCol="0">
                          <a:noAutofit/>
                        </wps:bodyPr>
                      </wps:wsp>
                      <wps:wsp>
                        <wps:cNvPr id="1507" name="Textbox 1507"/>
                        <wps:cNvSpPr txBox="1"/>
                        <wps:spPr>
                          <a:xfrm>
                            <a:off x="1607935" y="2197689"/>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Australia</w:t>
                              </w:r>
                            </w:p>
                          </w:txbxContent>
                        </wps:txbx>
                        <wps:bodyPr wrap="square" lIns="0" tIns="0" rIns="0" bIns="0" rtlCol="0">
                          <a:noAutofit/>
                        </wps:bodyPr>
                      </wps:wsp>
                      <wps:wsp>
                        <wps:cNvPr id="1508" name="Textbox 1508"/>
                        <wps:cNvSpPr txBox="1"/>
                        <wps:spPr>
                          <a:xfrm>
                            <a:off x="1152425" y="2197689"/>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UK</w:t>
                              </w:r>
                            </w:p>
                          </w:txbxContent>
                        </wps:txbx>
                        <wps:bodyPr wrap="square" lIns="0" tIns="0" rIns="0" bIns="0" rtlCol="0">
                          <a:noAutofit/>
                        </wps:bodyPr>
                      </wps:wsp>
                      <wps:wsp>
                        <wps:cNvPr id="1509" name="Textbox 1509"/>
                        <wps:cNvSpPr txBox="1"/>
                        <wps:spPr>
                          <a:xfrm>
                            <a:off x="594149" y="2197689"/>
                            <a:ext cx="163195"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USA</w:t>
                              </w:r>
                            </w:p>
                          </w:txbxContent>
                        </wps:txbx>
                        <wps:bodyPr wrap="square" lIns="0" tIns="0" rIns="0" bIns="0" rtlCol="0">
                          <a:noAutofit/>
                        </wps:bodyPr>
                      </wps:wsp>
                      <wps:wsp>
                        <wps:cNvPr id="1510" name="Textbox 1510"/>
                        <wps:cNvSpPr txBox="1"/>
                        <wps:spPr>
                          <a:xfrm>
                            <a:off x="254007" y="2105089"/>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511" name="Textbox 1511"/>
                        <wps:cNvSpPr txBox="1"/>
                        <wps:spPr>
                          <a:xfrm>
                            <a:off x="4472984" y="198741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1</w:t>
                              </w:r>
                            </w:p>
                          </w:txbxContent>
                        </wps:txbx>
                        <wps:bodyPr wrap="square" lIns="0" tIns="0" rIns="0" bIns="0" rtlCol="0">
                          <a:noAutofit/>
                        </wps:bodyPr>
                      </wps:wsp>
                      <wps:wsp>
                        <wps:cNvPr id="1512" name="Textbox 1512"/>
                        <wps:cNvSpPr txBox="1"/>
                        <wps:spPr>
                          <a:xfrm>
                            <a:off x="3936238" y="194241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2</w:t>
                              </w:r>
                            </w:p>
                          </w:txbxContent>
                        </wps:txbx>
                        <wps:bodyPr wrap="square" lIns="0" tIns="0" rIns="0" bIns="0" rtlCol="0">
                          <a:noAutofit/>
                        </wps:bodyPr>
                      </wps:wsp>
                      <wps:wsp>
                        <wps:cNvPr id="1513" name="Textbox 1513"/>
                        <wps:cNvSpPr txBox="1"/>
                        <wps:spPr>
                          <a:xfrm>
                            <a:off x="3356154" y="187941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3</w:t>
                              </w:r>
                            </w:p>
                          </w:txbxContent>
                        </wps:txbx>
                        <wps:bodyPr wrap="square" lIns="0" tIns="0" rIns="0" bIns="0" rtlCol="0">
                          <a:noAutofit/>
                        </wps:bodyPr>
                      </wps:wsp>
                      <wps:wsp>
                        <wps:cNvPr id="1514" name="Textbox 1514"/>
                        <wps:cNvSpPr txBox="1"/>
                        <wps:spPr>
                          <a:xfrm>
                            <a:off x="2841804" y="181641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4</w:t>
                              </w:r>
                            </w:p>
                          </w:txbxContent>
                        </wps:txbx>
                        <wps:bodyPr wrap="square" lIns="0" tIns="0" rIns="0" bIns="0" rtlCol="0">
                          <a:noAutofit/>
                        </wps:bodyPr>
                      </wps:wsp>
                      <wps:wsp>
                        <wps:cNvPr id="1515" name="Textbox 1515"/>
                        <wps:cNvSpPr txBox="1"/>
                        <wps:spPr>
                          <a:xfrm>
                            <a:off x="2281253" y="1753417"/>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5</w:t>
                              </w:r>
                            </w:p>
                          </w:txbxContent>
                        </wps:txbx>
                        <wps:bodyPr wrap="square" lIns="0" tIns="0" rIns="0" bIns="0" rtlCol="0">
                          <a:noAutofit/>
                        </wps:bodyPr>
                      </wps:wsp>
                      <wps:wsp>
                        <wps:cNvPr id="1516" name="Textbox 1516"/>
                        <wps:cNvSpPr txBox="1"/>
                        <wps:spPr>
                          <a:xfrm>
                            <a:off x="254007" y="1819339"/>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5</w:t>
                              </w:r>
                            </w:p>
                          </w:txbxContent>
                        </wps:txbx>
                        <wps:bodyPr wrap="square" lIns="0" tIns="0" rIns="0" bIns="0" rtlCol="0">
                          <a:noAutofit/>
                        </wps:bodyPr>
                      </wps:wsp>
                      <wps:wsp>
                        <wps:cNvPr id="1517" name="Textbox 1517"/>
                        <wps:cNvSpPr txBox="1"/>
                        <wps:spPr>
                          <a:xfrm>
                            <a:off x="1729576" y="168141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6</w:t>
                              </w:r>
                            </w:p>
                          </w:txbxContent>
                        </wps:txbx>
                        <wps:bodyPr wrap="square" lIns="0" tIns="0" rIns="0" bIns="0" rtlCol="0">
                          <a:noAutofit/>
                        </wps:bodyPr>
                      </wps:wsp>
                      <wps:wsp>
                        <wps:cNvPr id="1518" name="Textbox 1518"/>
                        <wps:cNvSpPr txBox="1"/>
                        <wps:spPr>
                          <a:xfrm>
                            <a:off x="213464" y="1533589"/>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w:t>
                              </w:r>
                            </w:p>
                          </w:txbxContent>
                        </wps:txbx>
                        <wps:bodyPr wrap="square" lIns="0" tIns="0" rIns="0" bIns="0" rtlCol="0">
                          <a:noAutofit/>
                        </wps:bodyPr>
                      </wps:wsp>
                      <wps:wsp>
                        <wps:cNvPr id="1519" name="Textbox 1519"/>
                        <wps:cNvSpPr txBox="1"/>
                        <wps:spPr>
                          <a:xfrm>
                            <a:off x="1154559" y="1276418"/>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13</w:t>
                              </w:r>
                            </w:p>
                          </w:txbxContent>
                        </wps:txbx>
                        <wps:bodyPr wrap="square" lIns="0" tIns="0" rIns="0" bIns="0" rtlCol="0">
                          <a:noAutofit/>
                        </wps:bodyPr>
                      </wps:wsp>
                      <wps:wsp>
                        <wps:cNvPr id="1520" name="Textbox 1520"/>
                        <wps:cNvSpPr txBox="1"/>
                        <wps:spPr>
                          <a:xfrm>
                            <a:off x="213464" y="390589"/>
                            <a:ext cx="93980" cy="95948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30</w:t>
                              </w:r>
                            </w:p>
                            <w:p>
                              <w:pPr>
                                <w:spacing w:line="240" w:lineRule="auto" w:before="128"/>
                                <w:rPr>
                                  <w:rFonts w:ascii="Arial MT"/>
                                  <w:sz w:val="14"/>
                                </w:rPr>
                              </w:pPr>
                            </w:p>
                            <w:p>
                              <w:pPr>
                                <w:spacing w:before="0"/>
                                <w:ind w:left="0" w:right="0" w:firstLine="0"/>
                                <w:jc w:val="left"/>
                                <w:rPr>
                                  <w:rFonts w:ascii="Arial MT"/>
                                  <w:sz w:val="14"/>
                                </w:rPr>
                              </w:pPr>
                              <w:r>
                                <w:rPr>
                                  <w:rFonts w:ascii="Arial MT"/>
                                  <w:spacing w:val="-5"/>
                                  <w:w w:val="90"/>
                                  <w:sz w:val="14"/>
                                </w:rPr>
                                <w:t>25</w:t>
                              </w:r>
                            </w:p>
                            <w:p>
                              <w:pPr>
                                <w:spacing w:line="240" w:lineRule="auto" w:before="128"/>
                                <w:rPr>
                                  <w:rFonts w:ascii="Arial MT"/>
                                  <w:sz w:val="14"/>
                                </w:rPr>
                              </w:pPr>
                            </w:p>
                            <w:p>
                              <w:pPr>
                                <w:spacing w:before="0"/>
                                <w:ind w:left="0" w:right="0" w:firstLine="0"/>
                                <w:jc w:val="left"/>
                                <w:rPr>
                                  <w:rFonts w:ascii="Arial MT"/>
                                  <w:sz w:val="14"/>
                                </w:rPr>
                              </w:pPr>
                              <w:r>
                                <w:rPr>
                                  <w:rFonts w:ascii="Arial MT"/>
                                  <w:spacing w:val="-5"/>
                                  <w:w w:val="90"/>
                                  <w:sz w:val="14"/>
                                </w:rPr>
                                <w:t>20</w:t>
                              </w:r>
                            </w:p>
                            <w:p>
                              <w:pPr>
                                <w:spacing w:line="240" w:lineRule="auto" w:before="128"/>
                                <w:rPr>
                                  <w:rFonts w:ascii="Arial MT"/>
                                  <w:sz w:val="14"/>
                                </w:rPr>
                              </w:pPr>
                            </w:p>
                            <w:p>
                              <w:pPr>
                                <w:spacing w:before="0"/>
                                <w:ind w:left="0" w:right="0" w:firstLine="0"/>
                                <w:jc w:val="left"/>
                                <w:rPr>
                                  <w:rFonts w:ascii="Arial MT"/>
                                  <w:sz w:val="14"/>
                                </w:rPr>
                              </w:pPr>
                              <w:r>
                                <w:rPr>
                                  <w:rFonts w:ascii="Arial MT"/>
                                  <w:spacing w:val="-5"/>
                                  <w:w w:val="90"/>
                                  <w:sz w:val="14"/>
                                </w:rPr>
                                <w:t>15</w:t>
                              </w:r>
                            </w:p>
                          </w:txbxContent>
                        </wps:txbx>
                        <wps:bodyPr wrap="square" lIns="0" tIns="0" rIns="0" bIns="0" rtlCol="0">
                          <a:noAutofit/>
                        </wps:bodyPr>
                      </wps:wsp>
                      <wps:wsp>
                        <wps:cNvPr id="1521" name="Textbox 1521"/>
                        <wps:cNvSpPr txBox="1"/>
                        <wps:spPr>
                          <a:xfrm>
                            <a:off x="613832" y="222839"/>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31</w:t>
                              </w:r>
                            </w:p>
                          </w:txbxContent>
                        </wps:txbx>
                        <wps:bodyPr wrap="square" lIns="0" tIns="0" rIns="0" bIns="0" rtlCol="0">
                          <a:noAutofit/>
                        </wps:bodyPr>
                      </wps:wsp>
                    </wpg:wgp>
                  </a:graphicData>
                </a:graphic>
              </wp:anchor>
            </w:drawing>
          </mc:Choice>
          <mc:Fallback>
            <w:pict>
              <v:group style="position:absolute;margin-left:99.499939pt;margin-top:3.941943pt;width:397.05pt;height:195.4pt;mso-position-horizontal-relative:page;mso-position-vertical-relative:paragraph;z-index:-15635968;mso-wrap-distance-left:0;mso-wrap-distance-right:0" id="docshapegroup1486" coordorigin="1990,79" coordsize="7941,3908">
                <v:shape style="position:absolute;left:2840;top:650;width:6397;height:2850" id="docshape1487" coordorigin="2840,651" coordsize="6397,2850" path="m3195,651l2840,651,2840,3500,3195,3500,3195,651xm4053,2305l3710,2305,3710,3500,4053,3500,4053,2305xm4923,2944l4568,2944,4568,3500,4923,3500,4923,2944xm5781,3041l5438,3041,5438,3500,5781,3500,5781,3041xm6651,3125l6296,3125,6296,3500,6651,3500,6651,3125xm7509,3222l7166,3222,7166,3500,7509,3500,7509,3222xm8379,3319l8023,3319,8023,3500,8379,3500,8379,3319xm9237,3403l8893,3403,8893,3500,9237,3500,9237,3403xe" filled="true" fillcolor="#2f7d41" stroked="false">
                  <v:path arrowok="t"/>
                  <v:fill type="solid"/>
                </v:shape>
                <v:shape style="position:absolute;left:1989;top:78;width:7941;height:3908" id="docshape1488" coordorigin="1990,79" coordsize="7941,3908" path="m9499,3495l9489,3495,8641,3495,8631,3495,7771,3495,7761,3495,6913,3495,6903,3495,6043,3495,6033,3495,5186,3495,5176,3495,4316,3495,4306,3495,3458,3495,3448,3495,2588,3495,2588,271,2578,271,2529,271,2529,281,2578,281,2578,729,2529,729,2529,739,2578,739,2578,1188,2529,1188,2529,1198,2578,1198,2578,1646,2529,1646,2529,1656,2578,1656,2578,2119,2529,2119,2529,2129,2578,2129,2578,2578,2529,2578,2529,2588,2578,2588,2578,3036,2529,3036,2529,3046,2578,3046,2578,3495,2529,3495,2529,3505,2578,3505,2578,3560,2588,3560,2588,3505,3448,3505,3448,3560,3458,3560,3458,3505,4306,3505,4306,3560,4316,3560,4316,3505,5176,3505,5176,3560,5186,3560,5186,3505,6033,3505,6033,3560,6043,3560,6043,3505,6903,3505,6903,3560,6913,3560,6913,3505,7761,3505,7761,3560,7771,3560,7771,3505,8631,3505,8631,3560,8641,3560,8641,3505,9489,3505,9489,3560,9499,3560,9499,3495xm9931,79l9921,79,9921,83,9921,84,9921,89,9921,3977,2000,3977,2000,89,9921,89,9921,84,2000,84,1995,84,1995,83,9921,83,9921,79,1990,79,1990,83,1990,89,1990,3977,1990,3981,1990,3987,9931,3987,9931,3982,9931,3981,9931,3977,9931,89,9931,84,9926,84,9926,83,9931,83,9931,79xe" filled="true" fillcolor="#000000" stroked="false">
                  <v:path arrowok="t"/>
                  <v:fill type="solid"/>
                </v:shape>
                <v:shape style="position:absolute;left:5448;top:3539;width:378;height:161" type="#_x0000_t202" id="docshape1489" filled="false" stroked="false">
                  <v:textbox inset="0,0,0,0">
                    <w:txbxContent>
                      <w:p>
                        <w:pPr>
                          <w:spacing w:line="161" w:lineRule="exact" w:before="0"/>
                          <w:ind w:left="0" w:right="0" w:firstLine="0"/>
                          <w:jc w:val="left"/>
                          <w:rPr>
                            <w:rFonts w:ascii="Arial MT"/>
                            <w:sz w:val="14"/>
                          </w:rPr>
                        </w:pPr>
                        <w:r>
                          <w:rPr>
                            <w:rFonts w:ascii="Arial MT"/>
                            <w:spacing w:val="-2"/>
                            <w:w w:val="85"/>
                            <w:sz w:val="14"/>
                          </w:rPr>
                          <w:t>France</w:t>
                        </w:r>
                      </w:p>
                    </w:txbxContent>
                  </v:textbox>
                  <w10:wrap type="none"/>
                </v:shape>
                <v:shape style="position:absolute;left:8953;top:3539;width:269;height:161" type="#_x0000_t202" id="docshape1490" filled="false" stroked="false">
                  <v:textbox inset="0,0,0,0">
                    <w:txbxContent>
                      <w:p>
                        <w:pPr>
                          <w:spacing w:line="161" w:lineRule="exact" w:before="0"/>
                          <w:ind w:left="0" w:right="0" w:firstLine="0"/>
                          <w:jc w:val="left"/>
                          <w:rPr>
                            <w:rFonts w:ascii="Arial MT"/>
                            <w:sz w:val="14"/>
                          </w:rPr>
                        </w:pPr>
                        <w:r>
                          <w:rPr>
                            <w:rFonts w:ascii="Arial MT"/>
                            <w:spacing w:val="-2"/>
                            <w:w w:val="85"/>
                            <w:sz w:val="14"/>
                          </w:rPr>
                          <w:t>India</w:t>
                        </w:r>
                      </w:p>
                    </w:txbxContent>
                  </v:textbox>
                  <w10:wrap type="none"/>
                </v:shape>
                <v:shape style="position:absolute;left:7158;top:3539;width:1344;height:161" type="#_x0000_t202" id="docshape1491" filled="false" stroked="false">
                  <v:textbox inset="0,0,0,0">
                    <w:txbxContent>
                      <w:p>
                        <w:pPr>
                          <w:tabs>
                            <w:tab w:pos="800" w:val="left" w:leader="none"/>
                          </w:tabs>
                          <w:spacing w:line="161" w:lineRule="exact" w:before="0"/>
                          <w:ind w:left="0" w:right="0" w:firstLine="0"/>
                          <w:jc w:val="left"/>
                          <w:rPr>
                            <w:rFonts w:ascii="Arial MT"/>
                            <w:sz w:val="14"/>
                          </w:rPr>
                        </w:pPr>
                        <w:r>
                          <w:rPr>
                            <w:rFonts w:ascii="Arial MT"/>
                            <w:spacing w:val="-2"/>
                            <w:w w:val="90"/>
                            <w:sz w:val="14"/>
                          </w:rPr>
                          <w:t>Canada</w:t>
                        </w:r>
                        <w:r>
                          <w:rPr>
                            <w:rFonts w:ascii="Arial MT"/>
                            <w:sz w:val="14"/>
                          </w:rPr>
                          <w:tab/>
                        </w:r>
                        <w:r>
                          <w:rPr>
                            <w:rFonts w:ascii="Arial MT"/>
                            <w:spacing w:val="-2"/>
                            <w:w w:val="85"/>
                            <w:sz w:val="14"/>
                          </w:rPr>
                          <w:t>Singapore</w:t>
                        </w:r>
                      </w:p>
                    </w:txbxContent>
                  </v:textbox>
                  <w10:wrap type="none"/>
                </v:shape>
                <v:shape style="position:absolute;left:6320;top:3539;width:320;height:161" type="#_x0000_t202" id="docshape1492" filled="false" stroked="false">
                  <v:textbox inset="0,0,0,0">
                    <w:txbxContent>
                      <w:p>
                        <w:pPr>
                          <w:spacing w:line="161" w:lineRule="exact" w:before="0"/>
                          <w:ind w:left="0" w:right="0" w:firstLine="0"/>
                          <w:jc w:val="left"/>
                          <w:rPr>
                            <w:rFonts w:ascii="Arial MT"/>
                            <w:sz w:val="14"/>
                          </w:rPr>
                        </w:pPr>
                        <w:r>
                          <w:rPr>
                            <w:rFonts w:ascii="Arial MT"/>
                            <w:spacing w:val="-2"/>
                            <w:w w:val="85"/>
                            <w:sz w:val="14"/>
                          </w:rPr>
                          <w:t>China</w:t>
                        </w:r>
                      </w:p>
                    </w:txbxContent>
                  </v:textbox>
                  <w10:wrap type="none"/>
                </v:shape>
                <v:shape style="position:absolute;left:2326;top:243;width:148;height:161" type="#_x0000_t202" id="docshape1493" filled="false" stroked="false">
                  <v:textbox inset="0,0,0,0">
                    <w:txbxContent>
                      <w:p>
                        <w:pPr>
                          <w:spacing w:line="161" w:lineRule="exact" w:before="0"/>
                          <w:ind w:left="0" w:right="0" w:firstLine="0"/>
                          <w:jc w:val="left"/>
                          <w:rPr>
                            <w:rFonts w:ascii="Arial MT"/>
                            <w:sz w:val="14"/>
                          </w:rPr>
                        </w:pPr>
                        <w:r>
                          <w:rPr>
                            <w:rFonts w:ascii="Arial MT"/>
                            <w:spacing w:val="-5"/>
                            <w:w w:val="90"/>
                            <w:sz w:val="14"/>
                          </w:rPr>
                          <w:t>35</w:t>
                        </w:r>
                      </w:p>
                    </w:txbxContent>
                  </v:textbox>
                  <w10:wrap type="none"/>
                </v:shape>
                <v:shape style="position:absolute;left:4522;top:3539;width:467;height:161" type="#_x0000_t202" id="docshape1494" filled="false" stroked="false">
                  <v:textbox inset="0,0,0,0">
                    <w:txbxContent>
                      <w:p>
                        <w:pPr>
                          <w:spacing w:line="161" w:lineRule="exact" w:before="0"/>
                          <w:ind w:left="0" w:right="0" w:firstLine="0"/>
                          <w:jc w:val="left"/>
                          <w:rPr>
                            <w:rFonts w:ascii="Arial MT"/>
                            <w:sz w:val="14"/>
                          </w:rPr>
                        </w:pPr>
                        <w:r>
                          <w:rPr>
                            <w:rFonts w:ascii="Arial MT"/>
                            <w:spacing w:val="-2"/>
                            <w:w w:val="85"/>
                            <w:sz w:val="14"/>
                          </w:rPr>
                          <w:t>Australia</w:t>
                        </w:r>
                      </w:p>
                    </w:txbxContent>
                  </v:textbox>
                  <w10:wrap type="none"/>
                </v:shape>
                <v:shape style="position:absolute;left:3804;top:3539;width:180;height:161" type="#_x0000_t202" id="docshape1495" filled="false" stroked="false">
                  <v:textbox inset="0,0,0,0">
                    <w:txbxContent>
                      <w:p>
                        <w:pPr>
                          <w:spacing w:line="161" w:lineRule="exact" w:before="0"/>
                          <w:ind w:left="0" w:right="0" w:firstLine="0"/>
                          <w:jc w:val="left"/>
                          <w:rPr>
                            <w:rFonts w:ascii="Arial MT"/>
                            <w:sz w:val="14"/>
                          </w:rPr>
                        </w:pPr>
                        <w:r>
                          <w:rPr>
                            <w:rFonts w:ascii="Arial MT"/>
                            <w:spacing w:val="-5"/>
                            <w:w w:val="90"/>
                            <w:sz w:val="14"/>
                          </w:rPr>
                          <w:t>UK</w:t>
                        </w:r>
                      </w:p>
                    </w:txbxContent>
                  </v:textbox>
                  <w10:wrap type="none"/>
                </v:shape>
                <v:shape style="position:absolute;left:2925;top:3539;width:257;height:161" type="#_x0000_t202" id="docshape1496" filled="false" stroked="false">
                  <v:textbox inset="0,0,0,0">
                    <w:txbxContent>
                      <w:p>
                        <w:pPr>
                          <w:spacing w:line="161" w:lineRule="exact" w:before="0"/>
                          <w:ind w:left="0" w:right="0" w:firstLine="0"/>
                          <w:jc w:val="left"/>
                          <w:rPr>
                            <w:rFonts w:ascii="Arial MT"/>
                            <w:sz w:val="14"/>
                          </w:rPr>
                        </w:pPr>
                        <w:r>
                          <w:rPr>
                            <w:rFonts w:ascii="Arial MT"/>
                            <w:spacing w:val="-5"/>
                            <w:w w:val="85"/>
                            <w:sz w:val="14"/>
                          </w:rPr>
                          <w:t>USA</w:t>
                        </w:r>
                      </w:p>
                    </w:txbxContent>
                  </v:textbox>
                  <w10:wrap type="none"/>
                </v:shape>
                <v:shape style="position:absolute;left:2390;top:3393;width:84;height:161" type="#_x0000_t202" id="docshape1497"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9034;top:3208;width:84;height:161" type="#_x0000_t202" id="docshape1498" filled="false" stroked="false">
                  <v:textbox inset="0,0,0,0">
                    <w:txbxContent>
                      <w:p>
                        <w:pPr>
                          <w:spacing w:line="161" w:lineRule="exact" w:before="0"/>
                          <w:ind w:left="0" w:right="0" w:firstLine="0"/>
                          <w:jc w:val="left"/>
                          <w:rPr>
                            <w:rFonts w:ascii="Arial MT"/>
                            <w:sz w:val="14"/>
                          </w:rPr>
                        </w:pPr>
                        <w:r>
                          <w:rPr>
                            <w:rFonts w:ascii="Arial MT"/>
                            <w:spacing w:val="-10"/>
                            <w:w w:val="90"/>
                            <w:sz w:val="14"/>
                          </w:rPr>
                          <w:t>1</w:t>
                        </w:r>
                      </w:p>
                    </w:txbxContent>
                  </v:textbox>
                  <w10:wrap type="none"/>
                </v:shape>
                <v:shape style="position:absolute;left:8188;top:3137;width:84;height:161" type="#_x0000_t202" id="docshape1499" filled="false" stroked="false">
                  <v:textbox inset="0,0,0,0">
                    <w:txbxContent>
                      <w:p>
                        <w:pPr>
                          <w:spacing w:line="161" w:lineRule="exact" w:before="0"/>
                          <w:ind w:left="0" w:right="0" w:firstLine="0"/>
                          <w:jc w:val="left"/>
                          <w:rPr>
                            <w:rFonts w:ascii="Arial MT"/>
                            <w:sz w:val="14"/>
                          </w:rPr>
                        </w:pPr>
                        <w:r>
                          <w:rPr>
                            <w:rFonts w:ascii="Arial MT"/>
                            <w:spacing w:val="-10"/>
                            <w:w w:val="90"/>
                            <w:sz w:val="14"/>
                          </w:rPr>
                          <w:t>2</w:t>
                        </w:r>
                      </w:p>
                    </w:txbxContent>
                  </v:textbox>
                  <w10:wrap type="none"/>
                </v:shape>
                <v:shape style="position:absolute;left:7275;top:3038;width:84;height:161" type="#_x0000_t202" id="docshape1500" filled="false" stroked="false">
                  <v:textbox inset="0,0,0,0">
                    <w:txbxContent>
                      <w:p>
                        <w:pPr>
                          <w:spacing w:line="161" w:lineRule="exact" w:before="0"/>
                          <w:ind w:left="0" w:right="0" w:firstLine="0"/>
                          <w:jc w:val="left"/>
                          <w:rPr>
                            <w:rFonts w:ascii="Arial MT"/>
                            <w:sz w:val="14"/>
                          </w:rPr>
                        </w:pPr>
                        <w:r>
                          <w:rPr>
                            <w:rFonts w:ascii="Arial MT"/>
                            <w:spacing w:val="-10"/>
                            <w:w w:val="90"/>
                            <w:sz w:val="14"/>
                          </w:rPr>
                          <w:t>3</w:t>
                        </w:r>
                      </w:p>
                    </w:txbxContent>
                  </v:textbox>
                  <w10:wrap type="none"/>
                </v:shape>
                <v:shape style="position:absolute;left:6465;top:2939;width:84;height:161" type="#_x0000_t202" id="docshape1501" filled="false" stroked="false">
                  <v:textbox inset="0,0,0,0">
                    <w:txbxContent>
                      <w:p>
                        <w:pPr>
                          <w:spacing w:line="161" w:lineRule="exact" w:before="0"/>
                          <w:ind w:left="0" w:right="0" w:firstLine="0"/>
                          <w:jc w:val="left"/>
                          <w:rPr>
                            <w:rFonts w:ascii="Arial MT"/>
                            <w:sz w:val="14"/>
                          </w:rPr>
                        </w:pPr>
                        <w:r>
                          <w:rPr>
                            <w:rFonts w:ascii="Arial MT"/>
                            <w:spacing w:val="-10"/>
                            <w:w w:val="90"/>
                            <w:sz w:val="14"/>
                          </w:rPr>
                          <w:t>4</w:t>
                        </w:r>
                      </w:p>
                    </w:txbxContent>
                  </v:textbox>
                  <w10:wrap type="none"/>
                </v:shape>
                <v:shape style="position:absolute;left:5582;top:2840;width:84;height:161" type="#_x0000_t202" id="docshape1502" filled="false" stroked="false">
                  <v:textbox inset="0,0,0,0">
                    <w:txbxContent>
                      <w:p>
                        <w:pPr>
                          <w:spacing w:line="161" w:lineRule="exact" w:before="0"/>
                          <w:ind w:left="0" w:right="0" w:firstLine="0"/>
                          <w:jc w:val="left"/>
                          <w:rPr>
                            <w:rFonts w:ascii="Arial MT"/>
                            <w:sz w:val="14"/>
                          </w:rPr>
                        </w:pPr>
                        <w:r>
                          <w:rPr>
                            <w:rFonts w:ascii="Arial MT"/>
                            <w:spacing w:val="-10"/>
                            <w:w w:val="90"/>
                            <w:sz w:val="14"/>
                          </w:rPr>
                          <w:t>5</w:t>
                        </w:r>
                      </w:p>
                    </w:txbxContent>
                  </v:textbox>
                  <w10:wrap type="none"/>
                </v:shape>
                <v:shape style="position:absolute;left:2390;top:2943;width:84;height:161" type="#_x0000_t202" id="docshape1503" filled="false" stroked="false">
                  <v:textbox inset="0,0,0,0">
                    <w:txbxContent>
                      <w:p>
                        <w:pPr>
                          <w:spacing w:line="161" w:lineRule="exact" w:before="0"/>
                          <w:ind w:left="0" w:right="0" w:firstLine="0"/>
                          <w:jc w:val="left"/>
                          <w:rPr>
                            <w:rFonts w:ascii="Arial MT"/>
                            <w:sz w:val="14"/>
                          </w:rPr>
                        </w:pPr>
                        <w:r>
                          <w:rPr>
                            <w:rFonts w:ascii="Arial MT"/>
                            <w:spacing w:val="-10"/>
                            <w:w w:val="90"/>
                            <w:sz w:val="14"/>
                          </w:rPr>
                          <w:t>5</w:t>
                        </w:r>
                      </w:p>
                    </w:txbxContent>
                  </v:textbox>
                  <w10:wrap type="none"/>
                </v:shape>
                <v:shape style="position:absolute;left:4713;top:2726;width:84;height:161" type="#_x0000_t202" id="docshape1504" filled="false" stroked="false">
                  <v:textbox inset="0,0,0,0">
                    <w:txbxContent>
                      <w:p>
                        <w:pPr>
                          <w:spacing w:line="161" w:lineRule="exact" w:before="0"/>
                          <w:ind w:left="0" w:right="0" w:firstLine="0"/>
                          <w:jc w:val="left"/>
                          <w:rPr>
                            <w:rFonts w:ascii="Arial MT"/>
                            <w:sz w:val="14"/>
                          </w:rPr>
                        </w:pPr>
                        <w:r>
                          <w:rPr>
                            <w:rFonts w:ascii="Arial MT"/>
                            <w:spacing w:val="-10"/>
                            <w:w w:val="90"/>
                            <w:sz w:val="14"/>
                          </w:rPr>
                          <w:t>6</w:t>
                        </w:r>
                      </w:p>
                    </w:txbxContent>
                  </v:textbox>
                  <w10:wrap type="none"/>
                </v:shape>
                <v:shape style="position:absolute;left:2326;top:2493;width:148;height:161" type="#_x0000_t202" id="docshape1505" filled="false" stroked="false">
                  <v:textbox inset="0,0,0,0">
                    <w:txbxContent>
                      <w:p>
                        <w:pPr>
                          <w:spacing w:line="161" w:lineRule="exact" w:before="0"/>
                          <w:ind w:left="0" w:right="0" w:firstLine="0"/>
                          <w:jc w:val="left"/>
                          <w:rPr>
                            <w:rFonts w:ascii="Arial MT"/>
                            <w:sz w:val="14"/>
                          </w:rPr>
                        </w:pPr>
                        <w:r>
                          <w:rPr>
                            <w:rFonts w:ascii="Arial MT"/>
                            <w:spacing w:val="-5"/>
                            <w:w w:val="90"/>
                            <w:sz w:val="14"/>
                          </w:rPr>
                          <w:t>10</w:t>
                        </w:r>
                      </w:p>
                    </w:txbxContent>
                  </v:textbox>
                  <w10:wrap type="none"/>
                </v:shape>
                <v:shape style="position:absolute;left:3808;top:2088;width:148;height:161" type="#_x0000_t202" id="docshape1506" filled="false" stroked="false">
                  <v:textbox inset="0,0,0,0">
                    <w:txbxContent>
                      <w:p>
                        <w:pPr>
                          <w:spacing w:line="161" w:lineRule="exact" w:before="0"/>
                          <w:ind w:left="0" w:right="0" w:firstLine="0"/>
                          <w:jc w:val="left"/>
                          <w:rPr>
                            <w:rFonts w:ascii="Arial MT"/>
                            <w:sz w:val="14"/>
                          </w:rPr>
                        </w:pPr>
                        <w:r>
                          <w:rPr>
                            <w:rFonts w:ascii="Arial MT"/>
                            <w:spacing w:val="-5"/>
                            <w:w w:val="90"/>
                            <w:sz w:val="14"/>
                          </w:rPr>
                          <w:t>13</w:t>
                        </w:r>
                      </w:p>
                    </w:txbxContent>
                  </v:textbox>
                  <w10:wrap type="none"/>
                </v:shape>
                <v:shape style="position:absolute;left:2326;top:693;width:148;height:1511" type="#_x0000_t202" id="docshape1507" filled="false" stroked="false">
                  <v:textbox inset="0,0,0,0">
                    <w:txbxContent>
                      <w:p>
                        <w:pPr>
                          <w:spacing w:line="161" w:lineRule="exact" w:before="0"/>
                          <w:ind w:left="0" w:right="0" w:firstLine="0"/>
                          <w:jc w:val="left"/>
                          <w:rPr>
                            <w:rFonts w:ascii="Arial MT"/>
                            <w:sz w:val="14"/>
                          </w:rPr>
                        </w:pPr>
                        <w:r>
                          <w:rPr>
                            <w:rFonts w:ascii="Arial MT"/>
                            <w:spacing w:val="-5"/>
                            <w:w w:val="90"/>
                            <w:sz w:val="14"/>
                          </w:rPr>
                          <w:t>30</w:t>
                        </w:r>
                      </w:p>
                      <w:p>
                        <w:pPr>
                          <w:spacing w:line="240" w:lineRule="auto" w:before="128"/>
                          <w:rPr>
                            <w:rFonts w:ascii="Arial MT"/>
                            <w:sz w:val="14"/>
                          </w:rPr>
                        </w:pPr>
                      </w:p>
                      <w:p>
                        <w:pPr>
                          <w:spacing w:before="0"/>
                          <w:ind w:left="0" w:right="0" w:firstLine="0"/>
                          <w:jc w:val="left"/>
                          <w:rPr>
                            <w:rFonts w:ascii="Arial MT"/>
                            <w:sz w:val="14"/>
                          </w:rPr>
                        </w:pPr>
                        <w:r>
                          <w:rPr>
                            <w:rFonts w:ascii="Arial MT"/>
                            <w:spacing w:val="-5"/>
                            <w:w w:val="90"/>
                            <w:sz w:val="14"/>
                          </w:rPr>
                          <w:t>25</w:t>
                        </w:r>
                      </w:p>
                      <w:p>
                        <w:pPr>
                          <w:spacing w:line="240" w:lineRule="auto" w:before="128"/>
                          <w:rPr>
                            <w:rFonts w:ascii="Arial MT"/>
                            <w:sz w:val="14"/>
                          </w:rPr>
                        </w:pPr>
                      </w:p>
                      <w:p>
                        <w:pPr>
                          <w:spacing w:before="0"/>
                          <w:ind w:left="0" w:right="0" w:firstLine="0"/>
                          <w:jc w:val="left"/>
                          <w:rPr>
                            <w:rFonts w:ascii="Arial MT"/>
                            <w:sz w:val="14"/>
                          </w:rPr>
                        </w:pPr>
                        <w:r>
                          <w:rPr>
                            <w:rFonts w:ascii="Arial MT"/>
                            <w:spacing w:val="-5"/>
                            <w:w w:val="90"/>
                            <w:sz w:val="14"/>
                          </w:rPr>
                          <w:t>20</w:t>
                        </w:r>
                      </w:p>
                      <w:p>
                        <w:pPr>
                          <w:spacing w:line="240" w:lineRule="auto" w:before="128"/>
                          <w:rPr>
                            <w:rFonts w:ascii="Arial MT"/>
                            <w:sz w:val="14"/>
                          </w:rPr>
                        </w:pPr>
                      </w:p>
                      <w:p>
                        <w:pPr>
                          <w:spacing w:before="0"/>
                          <w:ind w:left="0" w:right="0" w:firstLine="0"/>
                          <w:jc w:val="left"/>
                          <w:rPr>
                            <w:rFonts w:ascii="Arial MT"/>
                            <w:sz w:val="14"/>
                          </w:rPr>
                        </w:pPr>
                        <w:r>
                          <w:rPr>
                            <w:rFonts w:ascii="Arial MT"/>
                            <w:spacing w:val="-5"/>
                            <w:w w:val="90"/>
                            <w:sz w:val="14"/>
                          </w:rPr>
                          <w:t>15</w:t>
                        </w:r>
                      </w:p>
                    </w:txbxContent>
                  </v:textbox>
                  <w10:wrap type="none"/>
                </v:shape>
                <v:shape style="position:absolute;left:2956;top:429;width:148;height:161" type="#_x0000_t202" id="docshape1508" filled="false" stroked="false">
                  <v:textbox inset="0,0,0,0">
                    <w:txbxContent>
                      <w:p>
                        <w:pPr>
                          <w:spacing w:line="161" w:lineRule="exact" w:before="0"/>
                          <w:ind w:left="0" w:right="0" w:firstLine="0"/>
                          <w:jc w:val="left"/>
                          <w:rPr>
                            <w:rFonts w:ascii="Arial MT"/>
                            <w:sz w:val="14"/>
                          </w:rPr>
                        </w:pPr>
                        <w:r>
                          <w:rPr>
                            <w:rFonts w:ascii="Arial MT"/>
                            <w:spacing w:val="-5"/>
                            <w:w w:val="90"/>
                            <w:sz w:val="14"/>
                          </w:rPr>
                          <w:t>31</w:t>
                        </w:r>
                      </w:p>
                    </w:txbxContent>
                  </v:textbox>
                  <w10:wrap type="none"/>
                </v:shape>
                <w10:wrap type="topAndBottom"/>
              </v:group>
            </w:pict>
          </mc:Fallback>
        </mc:AlternateContent>
      </w:r>
    </w:p>
    <w:p>
      <w:pPr>
        <w:spacing w:before="58"/>
        <w:ind w:left="1989" w:right="0" w:firstLine="0"/>
        <w:jc w:val="left"/>
        <w:rPr>
          <w:sz w:val="16"/>
        </w:rPr>
      </w:pPr>
      <w:r>
        <w:rPr>
          <w:i/>
          <w:spacing w:val="-4"/>
          <w:sz w:val="16"/>
        </w:rPr>
        <w:t>Source</w:t>
      </w:r>
      <w:r>
        <w:rPr>
          <w:spacing w:val="-4"/>
          <w:sz w:val="16"/>
        </w:rPr>
        <w:t>:</w:t>
      </w:r>
      <w:r>
        <w:rPr>
          <w:spacing w:val="-6"/>
          <w:sz w:val="16"/>
        </w:rPr>
        <w:t> </w:t>
      </w:r>
      <w:r>
        <w:rPr>
          <w:spacing w:val="-4"/>
          <w:sz w:val="16"/>
        </w:rPr>
        <w:t>Times</w:t>
      </w:r>
      <w:r>
        <w:rPr>
          <w:spacing w:val="2"/>
          <w:sz w:val="16"/>
        </w:rPr>
        <w:t> </w:t>
      </w:r>
      <w:r>
        <w:rPr>
          <w:spacing w:val="-4"/>
          <w:sz w:val="16"/>
        </w:rPr>
        <w:t>Higher</w:t>
      </w:r>
      <w:r>
        <w:rPr>
          <w:spacing w:val="3"/>
          <w:sz w:val="16"/>
        </w:rPr>
        <w:t> </w:t>
      </w:r>
      <w:r>
        <w:rPr>
          <w:spacing w:val="-4"/>
          <w:sz w:val="16"/>
        </w:rPr>
        <w:t>Education</w:t>
      </w:r>
      <w:r>
        <w:rPr>
          <w:spacing w:val="2"/>
          <w:sz w:val="16"/>
        </w:rPr>
        <w:t> </w:t>
      </w:r>
      <w:r>
        <w:rPr>
          <w:spacing w:val="-4"/>
          <w:sz w:val="16"/>
        </w:rPr>
        <w:t>Supplement,</w:t>
      </w:r>
      <w:r>
        <w:rPr>
          <w:spacing w:val="3"/>
          <w:sz w:val="16"/>
        </w:rPr>
        <w:t> </w:t>
      </w:r>
      <w:r>
        <w:rPr>
          <w:spacing w:val="-4"/>
          <w:sz w:val="16"/>
        </w:rPr>
        <w:t>London</w:t>
      </w:r>
    </w:p>
    <w:p>
      <w:pPr>
        <w:pStyle w:val="BodyText"/>
        <w:spacing w:before="179"/>
        <w:rPr>
          <w:sz w:val="24"/>
        </w:rPr>
      </w:pPr>
    </w:p>
    <w:p>
      <w:pPr>
        <w:pStyle w:val="Heading8"/>
      </w:pPr>
      <w:r>
        <w:rPr>
          <w:spacing w:val="-8"/>
        </w:rPr>
        <w:t>Table</w:t>
      </w:r>
      <w:r>
        <w:rPr>
          <w:spacing w:val="-6"/>
        </w:rPr>
        <w:t> </w:t>
      </w:r>
      <w:r>
        <w:rPr>
          <w:spacing w:val="-8"/>
        </w:rPr>
        <w:t>12:</w:t>
      </w:r>
      <w:r>
        <w:rPr>
          <w:spacing w:val="-5"/>
        </w:rPr>
        <w:t> </w:t>
      </w:r>
      <w:r>
        <w:rPr>
          <w:color w:val="2E614A"/>
          <w:spacing w:val="-8"/>
        </w:rPr>
        <w:t>Current</w:t>
      </w:r>
      <w:r>
        <w:rPr>
          <w:color w:val="2E614A"/>
          <w:spacing w:val="-5"/>
        </w:rPr>
        <w:t> </w:t>
      </w:r>
      <w:r>
        <w:rPr>
          <w:color w:val="2E614A"/>
          <w:spacing w:val="-8"/>
        </w:rPr>
        <w:t>Quality</w:t>
      </w:r>
      <w:r>
        <w:rPr>
          <w:color w:val="2E614A"/>
          <w:spacing w:val="-5"/>
        </w:rPr>
        <w:t> </w:t>
      </w:r>
      <w:r>
        <w:rPr>
          <w:color w:val="2E614A"/>
          <w:spacing w:val="-8"/>
        </w:rPr>
        <w:t>Status</w:t>
      </w:r>
      <w:r>
        <w:rPr>
          <w:color w:val="2E614A"/>
          <w:spacing w:val="-6"/>
        </w:rPr>
        <w:t> </w:t>
      </w:r>
      <w:r>
        <w:rPr>
          <w:color w:val="2E614A"/>
          <w:spacing w:val="-8"/>
        </w:rPr>
        <w:t>in</w:t>
      </w:r>
      <w:r>
        <w:rPr>
          <w:color w:val="2E614A"/>
          <w:spacing w:val="-5"/>
        </w:rPr>
        <w:t> </w:t>
      </w:r>
      <w:r>
        <w:rPr>
          <w:color w:val="2E614A"/>
          <w:spacing w:val="-8"/>
        </w:rPr>
        <w:t>Colleges</w:t>
      </w:r>
      <w:r>
        <w:rPr>
          <w:color w:val="2E614A"/>
          <w:spacing w:val="-5"/>
        </w:rPr>
        <w:t> </w:t>
      </w:r>
      <w:r>
        <w:rPr>
          <w:color w:val="2E614A"/>
          <w:spacing w:val="-8"/>
        </w:rPr>
        <w:t>of</w:t>
      </w:r>
      <w:r>
        <w:rPr>
          <w:color w:val="2E614A"/>
          <w:spacing w:val="-5"/>
        </w:rPr>
        <w:t> </w:t>
      </w:r>
      <w:r>
        <w:rPr>
          <w:color w:val="2E614A"/>
          <w:spacing w:val="-8"/>
        </w:rPr>
        <w:t>Higher</w:t>
      </w:r>
      <w:r>
        <w:rPr>
          <w:color w:val="2E614A"/>
          <w:spacing w:val="-6"/>
        </w:rPr>
        <w:t> </w:t>
      </w:r>
      <w:r>
        <w:rPr>
          <w:color w:val="2E614A"/>
          <w:spacing w:val="-8"/>
        </w:rPr>
        <w:t>Education</w:t>
      </w:r>
      <w:r>
        <w:rPr>
          <w:color w:val="2E614A"/>
          <w:spacing w:val="-5"/>
        </w:rPr>
        <w:t> </w:t>
      </w:r>
      <w:r>
        <w:rPr>
          <w:color w:val="2E614A"/>
          <w:spacing w:val="-8"/>
        </w:rPr>
        <w:t>in</w:t>
      </w:r>
      <w:r>
        <w:rPr>
          <w:color w:val="2E614A"/>
          <w:spacing w:val="-5"/>
        </w:rPr>
        <w:t> </w:t>
      </w:r>
      <w:r>
        <w:rPr>
          <w:color w:val="2E614A"/>
          <w:spacing w:val="-8"/>
        </w:rPr>
        <w:t>India</w:t>
      </w:r>
      <w:r>
        <w:rPr>
          <w:color w:val="2E614A"/>
          <w:spacing w:val="-5"/>
        </w:rPr>
        <w:t> </w:t>
      </w:r>
      <w:r>
        <w:rPr>
          <w:color w:val="2E614A"/>
          <w:spacing w:val="-8"/>
        </w:rPr>
        <w:t>(2005)</w:t>
      </w:r>
    </w:p>
    <w:p>
      <w:pPr>
        <w:pStyle w:val="BodyText"/>
        <w:spacing w:before="3"/>
        <w:rPr>
          <w:b/>
          <w:sz w:val="10"/>
        </w:rPr>
      </w:pPr>
    </w:p>
    <w:tbl>
      <w:tblPr>
        <w:tblW w:w="0" w:type="auto"/>
        <w:jc w:val="left"/>
        <w:tblInd w:w="10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367"/>
        <w:gridCol w:w="2373"/>
      </w:tblGrid>
      <w:tr>
        <w:trPr>
          <w:trHeight w:val="321" w:hRule="atLeast"/>
        </w:trPr>
        <w:tc>
          <w:tcPr>
            <w:tcW w:w="7367" w:type="dxa"/>
            <w:shd w:val="clear" w:color="auto" w:fill="D0D5CD"/>
          </w:tcPr>
          <w:p>
            <w:pPr>
              <w:pStyle w:val="TableParagraph"/>
              <w:ind w:left="90"/>
              <w:rPr>
                <w:b/>
                <w:sz w:val="20"/>
              </w:rPr>
            </w:pPr>
            <w:r>
              <w:rPr>
                <w:b/>
                <w:spacing w:val="-2"/>
                <w:sz w:val="20"/>
              </w:rPr>
              <w:t>Details</w:t>
            </w:r>
          </w:p>
        </w:tc>
        <w:tc>
          <w:tcPr>
            <w:tcW w:w="2373" w:type="dxa"/>
            <w:shd w:val="clear" w:color="auto" w:fill="D0D5CD"/>
          </w:tcPr>
          <w:p>
            <w:pPr>
              <w:pStyle w:val="TableParagraph"/>
              <w:ind w:left="270"/>
              <w:rPr>
                <w:b/>
                <w:sz w:val="20"/>
              </w:rPr>
            </w:pPr>
            <w:r>
              <w:rPr>
                <w:b/>
                <w:spacing w:val="-2"/>
                <w:sz w:val="20"/>
              </w:rPr>
              <w:t>Number</w:t>
            </w:r>
          </w:p>
        </w:tc>
      </w:tr>
      <w:tr>
        <w:trPr>
          <w:trHeight w:val="321" w:hRule="atLeast"/>
        </w:trPr>
        <w:tc>
          <w:tcPr>
            <w:tcW w:w="7367" w:type="dxa"/>
            <w:shd w:val="clear" w:color="auto" w:fill="E9E9E9"/>
          </w:tcPr>
          <w:p>
            <w:pPr>
              <w:pStyle w:val="TableParagraph"/>
              <w:ind w:left="90"/>
              <w:rPr>
                <w:sz w:val="20"/>
              </w:rPr>
            </w:pPr>
            <w:r>
              <w:rPr>
                <w:spacing w:val="-2"/>
                <w:sz w:val="20"/>
              </w:rPr>
              <w:t>Total</w:t>
            </w:r>
            <w:r>
              <w:rPr>
                <w:spacing w:val="-6"/>
                <w:sz w:val="20"/>
              </w:rPr>
              <w:t> </w:t>
            </w:r>
            <w:r>
              <w:rPr>
                <w:spacing w:val="-2"/>
                <w:sz w:val="20"/>
              </w:rPr>
              <w:t>number</w:t>
            </w:r>
            <w:r>
              <w:rPr>
                <w:spacing w:val="-6"/>
                <w:sz w:val="20"/>
              </w:rPr>
              <w:t> </w:t>
            </w:r>
            <w:r>
              <w:rPr>
                <w:spacing w:val="-2"/>
                <w:sz w:val="20"/>
              </w:rPr>
              <w:t>of</w:t>
            </w:r>
            <w:r>
              <w:rPr>
                <w:spacing w:val="-6"/>
                <w:sz w:val="20"/>
              </w:rPr>
              <w:t> </w:t>
            </w:r>
            <w:r>
              <w:rPr>
                <w:spacing w:val="-2"/>
                <w:sz w:val="20"/>
              </w:rPr>
              <w:t>colleges</w:t>
            </w:r>
          </w:p>
        </w:tc>
        <w:tc>
          <w:tcPr>
            <w:tcW w:w="2373" w:type="dxa"/>
            <w:shd w:val="clear" w:color="auto" w:fill="E9E9E9"/>
          </w:tcPr>
          <w:p>
            <w:pPr>
              <w:pStyle w:val="TableParagraph"/>
              <w:ind w:left="270"/>
              <w:rPr>
                <w:sz w:val="20"/>
              </w:rPr>
            </w:pPr>
            <w:r>
              <w:rPr>
                <w:spacing w:val="-2"/>
                <w:sz w:val="20"/>
              </w:rPr>
              <w:t>17,625</w:t>
            </w:r>
          </w:p>
        </w:tc>
      </w:tr>
      <w:tr>
        <w:trPr>
          <w:trHeight w:val="321" w:hRule="atLeast"/>
        </w:trPr>
        <w:tc>
          <w:tcPr>
            <w:tcW w:w="7367" w:type="dxa"/>
            <w:shd w:val="clear" w:color="auto" w:fill="D0D5CD"/>
          </w:tcPr>
          <w:p>
            <w:pPr>
              <w:pStyle w:val="TableParagraph"/>
              <w:ind w:left="90"/>
              <w:rPr>
                <w:sz w:val="20"/>
              </w:rPr>
            </w:pPr>
            <w:r>
              <w:rPr>
                <w:spacing w:val="-2"/>
                <w:sz w:val="20"/>
              </w:rPr>
              <w:t>Number</w:t>
            </w:r>
            <w:r>
              <w:rPr>
                <w:spacing w:val="-7"/>
                <w:sz w:val="20"/>
              </w:rPr>
              <w:t> </w:t>
            </w:r>
            <w:r>
              <w:rPr>
                <w:spacing w:val="-2"/>
                <w:sz w:val="20"/>
              </w:rPr>
              <w:t>of</w:t>
            </w:r>
            <w:r>
              <w:rPr>
                <w:spacing w:val="-6"/>
                <w:sz w:val="20"/>
              </w:rPr>
              <w:t> </w:t>
            </w:r>
            <w:r>
              <w:rPr>
                <w:spacing w:val="-2"/>
                <w:sz w:val="20"/>
              </w:rPr>
              <w:t>colleges</w:t>
            </w:r>
            <w:r>
              <w:rPr>
                <w:spacing w:val="-7"/>
                <w:sz w:val="20"/>
              </w:rPr>
              <w:t> </w:t>
            </w:r>
            <w:r>
              <w:rPr>
                <w:spacing w:val="-2"/>
                <w:sz w:val="20"/>
              </w:rPr>
              <w:t>under</w:t>
            </w:r>
            <w:r>
              <w:rPr>
                <w:spacing w:val="-6"/>
                <w:sz w:val="20"/>
              </w:rPr>
              <w:t> </w:t>
            </w:r>
            <w:r>
              <w:rPr>
                <w:spacing w:val="-2"/>
                <w:sz w:val="20"/>
              </w:rPr>
              <w:t>UGC</w:t>
            </w:r>
            <w:r>
              <w:rPr>
                <w:spacing w:val="-7"/>
                <w:sz w:val="20"/>
              </w:rPr>
              <w:t> </w:t>
            </w:r>
            <w:r>
              <w:rPr>
                <w:spacing w:val="-2"/>
                <w:sz w:val="20"/>
              </w:rPr>
              <w:t>purview</w:t>
            </w:r>
          </w:p>
        </w:tc>
        <w:tc>
          <w:tcPr>
            <w:tcW w:w="2373" w:type="dxa"/>
            <w:shd w:val="clear" w:color="auto" w:fill="D0D5CD"/>
          </w:tcPr>
          <w:p>
            <w:pPr>
              <w:pStyle w:val="TableParagraph"/>
              <w:ind w:left="270"/>
              <w:rPr>
                <w:sz w:val="20"/>
              </w:rPr>
            </w:pPr>
            <w:r>
              <w:rPr>
                <w:spacing w:val="-2"/>
                <w:sz w:val="20"/>
              </w:rPr>
              <w:t>14,000</w:t>
            </w:r>
          </w:p>
        </w:tc>
      </w:tr>
      <w:tr>
        <w:trPr>
          <w:trHeight w:val="321" w:hRule="atLeast"/>
        </w:trPr>
        <w:tc>
          <w:tcPr>
            <w:tcW w:w="7367" w:type="dxa"/>
            <w:shd w:val="clear" w:color="auto" w:fill="E9E9E9"/>
          </w:tcPr>
          <w:p>
            <w:pPr>
              <w:pStyle w:val="TableParagraph"/>
              <w:ind w:left="90"/>
              <w:rPr>
                <w:sz w:val="20"/>
              </w:rPr>
            </w:pPr>
            <w:r>
              <w:rPr>
                <w:spacing w:val="-2"/>
                <w:sz w:val="20"/>
              </w:rPr>
              <w:t>Number</w:t>
            </w:r>
            <w:r>
              <w:rPr>
                <w:spacing w:val="-9"/>
                <w:sz w:val="20"/>
              </w:rPr>
              <w:t> </w:t>
            </w:r>
            <w:r>
              <w:rPr>
                <w:spacing w:val="-2"/>
                <w:sz w:val="20"/>
              </w:rPr>
              <w:t>of</w:t>
            </w:r>
            <w:r>
              <w:rPr>
                <w:spacing w:val="-9"/>
                <w:sz w:val="20"/>
              </w:rPr>
              <w:t> </w:t>
            </w:r>
            <w:r>
              <w:rPr>
                <w:spacing w:val="-2"/>
                <w:sz w:val="20"/>
              </w:rPr>
              <w:t>colleges</w:t>
            </w:r>
            <w:r>
              <w:rPr>
                <w:spacing w:val="-10"/>
                <w:sz w:val="20"/>
              </w:rPr>
              <w:t> </w:t>
            </w:r>
            <w:r>
              <w:rPr>
                <w:spacing w:val="-2"/>
                <w:sz w:val="20"/>
              </w:rPr>
              <w:t>recognised</w:t>
            </w:r>
            <w:r>
              <w:rPr>
                <w:spacing w:val="-9"/>
                <w:sz w:val="20"/>
              </w:rPr>
              <w:t> </w:t>
            </w:r>
            <w:r>
              <w:rPr>
                <w:spacing w:val="-2"/>
                <w:sz w:val="20"/>
              </w:rPr>
              <w:t>under</w:t>
            </w:r>
            <w:r>
              <w:rPr>
                <w:spacing w:val="-9"/>
                <w:sz w:val="20"/>
              </w:rPr>
              <w:t> </w:t>
            </w:r>
            <w:r>
              <w:rPr>
                <w:spacing w:val="-2"/>
                <w:sz w:val="20"/>
              </w:rPr>
              <w:t>Section</w:t>
            </w:r>
            <w:r>
              <w:rPr>
                <w:spacing w:val="-9"/>
                <w:sz w:val="20"/>
              </w:rPr>
              <w:t> </w:t>
            </w:r>
            <w:r>
              <w:rPr>
                <w:spacing w:val="-2"/>
                <w:sz w:val="20"/>
              </w:rPr>
              <w:t>2(f)</w:t>
            </w:r>
            <w:r>
              <w:rPr>
                <w:spacing w:val="-9"/>
                <w:sz w:val="20"/>
              </w:rPr>
              <w:t> </w:t>
            </w:r>
            <w:r>
              <w:rPr>
                <w:spacing w:val="-2"/>
                <w:sz w:val="20"/>
              </w:rPr>
              <w:t>of</w:t>
            </w:r>
            <w:r>
              <w:rPr>
                <w:spacing w:val="-9"/>
                <w:sz w:val="20"/>
              </w:rPr>
              <w:t> </w:t>
            </w:r>
            <w:r>
              <w:rPr>
                <w:spacing w:val="-2"/>
                <w:sz w:val="20"/>
              </w:rPr>
              <w:t>UGC</w:t>
            </w:r>
            <w:r>
              <w:rPr>
                <w:spacing w:val="-9"/>
                <w:sz w:val="20"/>
              </w:rPr>
              <w:t> </w:t>
            </w:r>
            <w:r>
              <w:rPr>
                <w:spacing w:val="-5"/>
                <w:sz w:val="20"/>
              </w:rPr>
              <w:t>Act</w:t>
            </w:r>
          </w:p>
        </w:tc>
        <w:tc>
          <w:tcPr>
            <w:tcW w:w="2373" w:type="dxa"/>
            <w:shd w:val="clear" w:color="auto" w:fill="E9E9E9"/>
          </w:tcPr>
          <w:p>
            <w:pPr>
              <w:pStyle w:val="TableParagraph"/>
              <w:ind w:left="270"/>
              <w:rPr>
                <w:sz w:val="20"/>
              </w:rPr>
            </w:pPr>
            <w:r>
              <w:rPr>
                <w:sz w:val="20"/>
              </w:rPr>
              <w:t>5,589</w:t>
            </w:r>
            <w:r>
              <w:rPr>
                <w:spacing w:val="-5"/>
                <w:sz w:val="20"/>
              </w:rPr>
              <w:t> </w:t>
            </w:r>
            <w:r>
              <w:rPr>
                <w:sz w:val="20"/>
              </w:rPr>
              <w:t>(40</w:t>
            </w:r>
            <w:r>
              <w:rPr>
                <w:spacing w:val="-4"/>
                <w:sz w:val="20"/>
              </w:rPr>
              <w:t> </w:t>
            </w:r>
            <w:r>
              <w:rPr>
                <w:sz w:val="20"/>
              </w:rPr>
              <w:t>per</w:t>
            </w:r>
            <w:r>
              <w:rPr>
                <w:spacing w:val="-4"/>
                <w:sz w:val="20"/>
              </w:rPr>
              <w:t> </w:t>
            </w:r>
            <w:r>
              <w:rPr>
                <w:spacing w:val="-2"/>
                <w:sz w:val="20"/>
              </w:rPr>
              <w:t>cent)</w:t>
            </w:r>
          </w:p>
        </w:tc>
      </w:tr>
      <w:tr>
        <w:trPr>
          <w:trHeight w:val="321" w:hRule="atLeast"/>
        </w:trPr>
        <w:tc>
          <w:tcPr>
            <w:tcW w:w="7367" w:type="dxa"/>
            <w:shd w:val="clear" w:color="auto" w:fill="D0D5CD"/>
          </w:tcPr>
          <w:p>
            <w:pPr>
              <w:pStyle w:val="TableParagraph"/>
              <w:ind w:left="90"/>
              <w:rPr>
                <w:sz w:val="20"/>
              </w:rPr>
            </w:pPr>
            <w:r>
              <w:rPr>
                <w:spacing w:val="-4"/>
                <w:sz w:val="20"/>
              </w:rPr>
              <w:t>Number</w:t>
            </w:r>
            <w:r>
              <w:rPr>
                <w:spacing w:val="-2"/>
                <w:sz w:val="20"/>
              </w:rPr>
              <w:t> </w:t>
            </w:r>
            <w:r>
              <w:rPr>
                <w:spacing w:val="-4"/>
                <w:sz w:val="20"/>
              </w:rPr>
              <w:t>of</w:t>
            </w:r>
            <w:r>
              <w:rPr>
                <w:spacing w:val="-1"/>
                <w:sz w:val="20"/>
              </w:rPr>
              <w:t> </w:t>
            </w:r>
            <w:r>
              <w:rPr>
                <w:spacing w:val="-4"/>
                <w:sz w:val="20"/>
              </w:rPr>
              <w:t>colleges</w:t>
            </w:r>
            <w:r>
              <w:rPr>
                <w:spacing w:val="-1"/>
                <w:sz w:val="20"/>
              </w:rPr>
              <w:t> </w:t>
            </w:r>
            <w:r>
              <w:rPr>
                <w:spacing w:val="-4"/>
                <w:sz w:val="20"/>
              </w:rPr>
              <w:t>recognised</w:t>
            </w:r>
            <w:r>
              <w:rPr>
                <w:spacing w:val="-1"/>
                <w:sz w:val="20"/>
              </w:rPr>
              <w:t> </w:t>
            </w:r>
            <w:r>
              <w:rPr>
                <w:spacing w:val="-4"/>
                <w:sz w:val="20"/>
              </w:rPr>
              <w:t>under</w:t>
            </w:r>
            <w:r>
              <w:rPr>
                <w:spacing w:val="-1"/>
                <w:sz w:val="20"/>
              </w:rPr>
              <w:t> </w:t>
            </w:r>
            <w:r>
              <w:rPr>
                <w:spacing w:val="-4"/>
                <w:sz w:val="20"/>
              </w:rPr>
              <w:t>Section</w:t>
            </w:r>
            <w:r>
              <w:rPr>
                <w:spacing w:val="-1"/>
                <w:sz w:val="20"/>
              </w:rPr>
              <w:t> </w:t>
            </w:r>
            <w:r>
              <w:rPr>
                <w:spacing w:val="-4"/>
                <w:sz w:val="20"/>
              </w:rPr>
              <w:t>12(B)</w:t>
            </w:r>
            <w:r>
              <w:rPr>
                <w:spacing w:val="-1"/>
                <w:sz w:val="20"/>
              </w:rPr>
              <w:t> </w:t>
            </w:r>
            <w:r>
              <w:rPr>
                <w:spacing w:val="-4"/>
                <w:sz w:val="20"/>
              </w:rPr>
              <w:t>of</w:t>
            </w:r>
            <w:r>
              <w:rPr>
                <w:spacing w:val="-1"/>
                <w:sz w:val="20"/>
              </w:rPr>
              <w:t> </w:t>
            </w:r>
            <w:r>
              <w:rPr>
                <w:spacing w:val="-4"/>
                <w:sz w:val="20"/>
              </w:rPr>
              <w:t>UGC</w:t>
            </w:r>
            <w:r>
              <w:rPr>
                <w:spacing w:val="-1"/>
                <w:sz w:val="20"/>
              </w:rPr>
              <w:t> </w:t>
            </w:r>
            <w:r>
              <w:rPr>
                <w:spacing w:val="-5"/>
                <w:sz w:val="20"/>
              </w:rPr>
              <w:t>Act</w:t>
            </w:r>
          </w:p>
        </w:tc>
        <w:tc>
          <w:tcPr>
            <w:tcW w:w="2373" w:type="dxa"/>
            <w:shd w:val="clear" w:color="auto" w:fill="D0D5CD"/>
          </w:tcPr>
          <w:p>
            <w:pPr>
              <w:pStyle w:val="TableParagraph"/>
              <w:ind w:left="270"/>
              <w:rPr>
                <w:sz w:val="20"/>
              </w:rPr>
            </w:pPr>
            <w:r>
              <w:rPr>
                <w:sz w:val="20"/>
              </w:rPr>
              <w:t>5,273</w:t>
            </w:r>
            <w:r>
              <w:rPr>
                <w:spacing w:val="-5"/>
                <w:sz w:val="20"/>
              </w:rPr>
              <w:t> </w:t>
            </w:r>
            <w:r>
              <w:rPr>
                <w:sz w:val="20"/>
              </w:rPr>
              <w:t>(38</w:t>
            </w:r>
            <w:r>
              <w:rPr>
                <w:spacing w:val="-4"/>
                <w:sz w:val="20"/>
              </w:rPr>
              <w:t> </w:t>
            </w:r>
            <w:r>
              <w:rPr>
                <w:sz w:val="20"/>
              </w:rPr>
              <w:t>per</w:t>
            </w:r>
            <w:r>
              <w:rPr>
                <w:spacing w:val="-4"/>
                <w:sz w:val="20"/>
              </w:rPr>
              <w:t> </w:t>
            </w:r>
            <w:r>
              <w:rPr>
                <w:spacing w:val="-2"/>
                <w:sz w:val="20"/>
              </w:rPr>
              <w:t>cent)</w:t>
            </w:r>
          </w:p>
        </w:tc>
      </w:tr>
      <w:tr>
        <w:trPr>
          <w:trHeight w:val="321" w:hRule="atLeast"/>
        </w:trPr>
        <w:tc>
          <w:tcPr>
            <w:tcW w:w="7367" w:type="dxa"/>
            <w:shd w:val="clear" w:color="auto" w:fill="E9E9E9"/>
          </w:tcPr>
          <w:p>
            <w:pPr>
              <w:pStyle w:val="TableParagraph"/>
              <w:ind w:left="90"/>
              <w:rPr>
                <w:sz w:val="20"/>
              </w:rPr>
            </w:pPr>
            <w:r>
              <w:rPr>
                <w:spacing w:val="-4"/>
                <w:sz w:val="20"/>
              </w:rPr>
              <w:t>Number of</w:t>
            </w:r>
            <w:r>
              <w:rPr>
                <w:spacing w:val="-3"/>
                <w:sz w:val="20"/>
              </w:rPr>
              <w:t> </w:t>
            </w:r>
            <w:r>
              <w:rPr>
                <w:spacing w:val="-4"/>
                <w:sz w:val="20"/>
              </w:rPr>
              <w:t>colleges</w:t>
            </w:r>
            <w:r>
              <w:rPr>
                <w:spacing w:val="-3"/>
                <w:sz w:val="20"/>
              </w:rPr>
              <w:t> </w:t>
            </w:r>
            <w:r>
              <w:rPr>
                <w:spacing w:val="-4"/>
                <w:sz w:val="20"/>
              </w:rPr>
              <w:t>actually</w:t>
            </w:r>
            <w:r>
              <w:rPr>
                <w:spacing w:val="-3"/>
                <w:sz w:val="20"/>
              </w:rPr>
              <w:t> </w:t>
            </w:r>
            <w:r>
              <w:rPr>
                <w:spacing w:val="-4"/>
                <w:sz w:val="20"/>
              </w:rPr>
              <w:t>funded</w:t>
            </w:r>
            <w:r>
              <w:rPr>
                <w:spacing w:val="-3"/>
                <w:sz w:val="20"/>
              </w:rPr>
              <w:t> </w:t>
            </w:r>
            <w:r>
              <w:rPr>
                <w:spacing w:val="-4"/>
                <w:sz w:val="20"/>
              </w:rPr>
              <w:t>by</w:t>
            </w:r>
            <w:r>
              <w:rPr>
                <w:spacing w:val="-3"/>
                <w:sz w:val="20"/>
              </w:rPr>
              <w:t> </w:t>
            </w:r>
            <w:r>
              <w:rPr>
                <w:spacing w:val="-4"/>
                <w:sz w:val="20"/>
              </w:rPr>
              <w:t>the</w:t>
            </w:r>
            <w:r>
              <w:rPr>
                <w:spacing w:val="-3"/>
                <w:sz w:val="20"/>
              </w:rPr>
              <w:t> </w:t>
            </w:r>
            <w:r>
              <w:rPr>
                <w:spacing w:val="-5"/>
                <w:sz w:val="20"/>
              </w:rPr>
              <w:t>UGC</w:t>
            </w:r>
          </w:p>
        </w:tc>
        <w:tc>
          <w:tcPr>
            <w:tcW w:w="2373" w:type="dxa"/>
            <w:shd w:val="clear" w:color="auto" w:fill="E9E9E9"/>
          </w:tcPr>
          <w:p>
            <w:pPr>
              <w:pStyle w:val="TableParagraph"/>
              <w:ind w:left="270"/>
              <w:rPr>
                <w:sz w:val="20"/>
              </w:rPr>
            </w:pPr>
            <w:r>
              <w:rPr>
                <w:sz w:val="20"/>
              </w:rPr>
              <w:t>4,870</w:t>
            </w:r>
            <w:r>
              <w:rPr>
                <w:spacing w:val="-5"/>
                <w:sz w:val="20"/>
              </w:rPr>
              <w:t> </w:t>
            </w:r>
            <w:r>
              <w:rPr>
                <w:sz w:val="20"/>
              </w:rPr>
              <w:t>(35</w:t>
            </w:r>
            <w:r>
              <w:rPr>
                <w:spacing w:val="-4"/>
                <w:sz w:val="20"/>
              </w:rPr>
              <w:t> </w:t>
            </w:r>
            <w:r>
              <w:rPr>
                <w:sz w:val="20"/>
              </w:rPr>
              <w:t>per</w:t>
            </w:r>
            <w:r>
              <w:rPr>
                <w:spacing w:val="-4"/>
                <w:sz w:val="20"/>
              </w:rPr>
              <w:t> </w:t>
            </w:r>
            <w:r>
              <w:rPr>
                <w:spacing w:val="-2"/>
                <w:sz w:val="20"/>
              </w:rPr>
              <w:t>cent)</w:t>
            </w:r>
          </w:p>
        </w:tc>
      </w:tr>
      <w:tr>
        <w:trPr>
          <w:trHeight w:val="321" w:hRule="atLeast"/>
        </w:trPr>
        <w:tc>
          <w:tcPr>
            <w:tcW w:w="7367" w:type="dxa"/>
            <w:shd w:val="clear" w:color="auto" w:fill="D0D5CD"/>
          </w:tcPr>
          <w:p>
            <w:pPr>
              <w:pStyle w:val="TableParagraph"/>
              <w:ind w:left="90"/>
              <w:rPr>
                <w:sz w:val="20"/>
              </w:rPr>
            </w:pPr>
            <w:r>
              <w:rPr>
                <w:spacing w:val="-4"/>
                <w:sz w:val="20"/>
              </w:rPr>
              <w:t>Number</w:t>
            </w:r>
            <w:r>
              <w:rPr>
                <w:spacing w:val="-5"/>
                <w:sz w:val="20"/>
              </w:rPr>
              <w:t> </w:t>
            </w:r>
            <w:r>
              <w:rPr>
                <w:spacing w:val="-4"/>
                <w:sz w:val="20"/>
              </w:rPr>
              <w:t>of colleges accredited by the</w:t>
            </w:r>
            <w:r>
              <w:rPr>
                <w:spacing w:val="-5"/>
                <w:sz w:val="20"/>
              </w:rPr>
              <w:t> </w:t>
            </w:r>
            <w:r>
              <w:rPr>
                <w:spacing w:val="-4"/>
                <w:sz w:val="20"/>
              </w:rPr>
              <w:t>NAAC</w:t>
            </w:r>
          </w:p>
        </w:tc>
        <w:tc>
          <w:tcPr>
            <w:tcW w:w="2373" w:type="dxa"/>
            <w:shd w:val="clear" w:color="auto" w:fill="D0D5CD"/>
          </w:tcPr>
          <w:p>
            <w:pPr>
              <w:pStyle w:val="TableParagraph"/>
              <w:ind w:left="270"/>
              <w:rPr>
                <w:sz w:val="20"/>
              </w:rPr>
            </w:pPr>
            <w:r>
              <w:rPr>
                <w:sz w:val="20"/>
              </w:rPr>
              <w:t>2,780</w:t>
            </w:r>
            <w:r>
              <w:rPr>
                <w:spacing w:val="-5"/>
                <w:sz w:val="20"/>
              </w:rPr>
              <w:t> </w:t>
            </w:r>
            <w:r>
              <w:rPr>
                <w:sz w:val="20"/>
              </w:rPr>
              <w:t>(20</w:t>
            </w:r>
            <w:r>
              <w:rPr>
                <w:spacing w:val="-4"/>
                <w:sz w:val="20"/>
              </w:rPr>
              <w:t> </w:t>
            </w:r>
            <w:r>
              <w:rPr>
                <w:sz w:val="20"/>
              </w:rPr>
              <w:t>per</w:t>
            </w:r>
            <w:r>
              <w:rPr>
                <w:spacing w:val="-4"/>
                <w:sz w:val="20"/>
              </w:rPr>
              <w:t> </w:t>
            </w:r>
            <w:r>
              <w:rPr>
                <w:spacing w:val="-2"/>
                <w:sz w:val="20"/>
              </w:rPr>
              <w:t>cent)</w:t>
            </w:r>
          </w:p>
        </w:tc>
      </w:tr>
      <w:tr>
        <w:trPr>
          <w:trHeight w:val="321" w:hRule="atLeast"/>
        </w:trPr>
        <w:tc>
          <w:tcPr>
            <w:tcW w:w="7367" w:type="dxa"/>
            <w:shd w:val="clear" w:color="auto" w:fill="E9E9E9"/>
          </w:tcPr>
          <w:p>
            <w:pPr>
              <w:pStyle w:val="TableParagraph"/>
              <w:ind w:left="90"/>
              <w:rPr>
                <w:sz w:val="20"/>
              </w:rPr>
            </w:pPr>
            <w:r>
              <w:rPr>
                <w:spacing w:val="-6"/>
                <w:sz w:val="20"/>
              </w:rPr>
              <w:t>Number of</w:t>
            </w:r>
            <w:r>
              <w:rPr>
                <w:spacing w:val="-5"/>
                <w:sz w:val="20"/>
              </w:rPr>
              <w:t> </w:t>
            </w:r>
            <w:r>
              <w:rPr>
                <w:spacing w:val="-6"/>
                <w:sz w:val="20"/>
              </w:rPr>
              <w:t>colleges</w:t>
            </w:r>
            <w:r>
              <w:rPr>
                <w:spacing w:val="-5"/>
                <w:sz w:val="20"/>
              </w:rPr>
              <w:t> </w:t>
            </w:r>
            <w:r>
              <w:rPr>
                <w:spacing w:val="-6"/>
                <w:sz w:val="20"/>
              </w:rPr>
              <w:t>accredited by</w:t>
            </w:r>
            <w:r>
              <w:rPr>
                <w:spacing w:val="-5"/>
                <w:sz w:val="20"/>
              </w:rPr>
              <w:t> </w:t>
            </w:r>
            <w:r>
              <w:rPr>
                <w:spacing w:val="-6"/>
                <w:sz w:val="20"/>
              </w:rPr>
              <w:t>the</w:t>
            </w:r>
            <w:r>
              <w:rPr>
                <w:spacing w:val="-5"/>
                <w:sz w:val="20"/>
              </w:rPr>
              <w:t> </w:t>
            </w:r>
            <w:r>
              <w:rPr>
                <w:spacing w:val="-6"/>
                <w:sz w:val="20"/>
              </w:rPr>
              <w:t>NAAC and</w:t>
            </w:r>
            <w:r>
              <w:rPr>
                <w:spacing w:val="-5"/>
                <w:sz w:val="20"/>
              </w:rPr>
              <w:t> </w:t>
            </w:r>
            <w:r>
              <w:rPr>
                <w:spacing w:val="-6"/>
                <w:sz w:val="20"/>
              </w:rPr>
              <w:t>scoring</w:t>
            </w:r>
            <w:r>
              <w:rPr>
                <w:spacing w:val="-5"/>
                <w:sz w:val="20"/>
              </w:rPr>
              <w:t> </w:t>
            </w:r>
            <w:r>
              <w:rPr>
                <w:spacing w:val="-6"/>
                <w:sz w:val="20"/>
              </w:rPr>
              <w:t>above</w:t>
            </w:r>
            <w:r>
              <w:rPr>
                <w:spacing w:val="-5"/>
                <w:sz w:val="20"/>
              </w:rPr>
              <w:t> </w:t>
            </w:r>
            <w:r>
              <w:rPr>
                <w:spacing w:val="-6"/>
                <w:sz w:val="20"/>
              </w:rPr>
              <w:t>60 per</w:t>
            </w:r>
            <w:r>
              <w:rPr>
                <w:spacing w:val="-5"/>
                <w:sz w:val="20"/>
              </w:rPr>
              <w:t> </w:t>
            </w:r>
            <w:r>
              <w:rPr>
                <w:spacing w:val="-6"/>
                <w:sz w:val="20"/>
              </w:rPr>
              <w:t>cent</w:t>
            </w:r>
          </w:p>
        </w:tc>
        <w:tc>
          <w:tcPr>
            <w:tcW w:w="2373" w:type="dxa"/>
            <w:shd w:val="clear" w:color="auto" w:fill="E9E9E9"/>
          </w:tcPr>
          <w:p>
            <w:pPr>
              <w:pStyle w:val="TableParagraph"/>
              <w:ind w:left="270"/>
              <w:rPr>
                <w:sz w:val="20"/>
              </w:rPr>
            </w:pPr>
            <w:r>
              <w:rPr>
                <w:sz w:val="20"/>
              </w:rPr>
              <w:t>2,506 </w:t>
            </w:r>
            <w:r>
              <w:rPr>
                <w:spacing w:val="-2"/>
                <w:sz w:val="20"/>
              </w:rPr>
              <w:t>(17.9)</w:t>
            </w:r>
          </w:p>
        </w:tc>
      </w:tr>
    </w:tbl>
    <w:p>
      <w:pPr>
        <w:spacing w:before="54"/>
        <w:ind w:left="1079" w:right="0" w:firstLine="0"/>
        <w:jc w:val="left"/>
        <w:rPr>
          <w:sz w:val="16"/>
        </w:rPr>
      </w:pPr>
      <w:r>
        <w:rPr>
          <w:i/>
          <w:w w:val="85"/>
          <w:sz w:val="16"/>
        </w:rPr>
        <w:t>Source</w:t>
      </w:r>
      <w:r>
        <w:rPr>
          <w:w w:val="85"/>
          <w:sz w:val="16"/>
        </w:rPr>
        <w:t>:</w:t>
      </w:r>
      <w:r>
        <w:rPr>
          <w:spacing w:val="3"/>
          <w:sz w:val="16"/>
        </w:rPr>
        <w:t> </w:t>
      </w:r>
      <w:r>
        <w:rPr>
          <w:spacing w:val="-4"/>
          <w:sz w:val="16"/>
        </w:rPr>
        <w:t>MHRD</w:t>
      </w:r>
    </w:p>
    <w:p>
      <w:pPr>
        <w:spacing w:after="0"/>
        <w:jc w:val="left"/>
        <w:rPr>
          <w:sz w:val="16"/>
        </w:rPr>
        <w:sectPr>
          <w:type w:val="continuous"/>
          <w:pgSz w:w="11910" w:h="16840"/>
          <w:pgMar w:header="0" w:footer="675"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
        <w:rPr>
          <w:sz w:val="20"/>
        </w:rPr>
      </w:pPr>
    </w:p>
    <w:p>
      <w:pPr>
        <w:spacing w:after="0"/>
        <w:rPr>
          <w:sz w:val="20"/>
        </w:rPr>
        <w:sectPr>
          <w:pgSz w:w="11910" w:h="16840"/>
          <w:pgMar w:header="0" w:footer="675" w:top="0" w:bottom="860" w:left="0" w:right="0"/>
        </w:sectPr>
      </w:pPr>
    </w:p>
    <w:p>
      <w:pPr>
        <w:pStyle w:val="Heading6"/>
        <w:spacing w:before="79"/>
        <w:ind w:left="1080" w:firstLine="0"/>
      </w:pPr>
      <w:r>
        <w:rPr/>
        <mc:AlternateContent>
          <mc:Choice Requires="wps">
            <w:drawing>
              <wp:anchor distT="0" distB="0" distL="0" distR="0" allowOverlap="1" layoutInCell="1" locked="0" behindDoc="0" simplePos="0" relativeHeight="15822336">
                <wp:simplePos x="0" y="0"/>
                <wp:positionH relativeFrom="page">
                  <wp:posOffset>0</wp:posOffset>
                </wp:positionH>
                <wp:positionV relativeFrom="paragraph">
                  <wp:posOffset>-2220243</wp:posOffset>
                </wp:positionV>
                <wp:extent cx="7560309" cy="1752600"/>
                <wp:effectExtent l="0" t="0" r="0" b="0"/>
                <wp:wrapNone/>
                <wp:docPr id="1522" name="Group 1522"/>
                <wp:cNvGraphicFramePr>
                  <a:graphicFrameLocks/>
                </wp:cNvGraphicFramePr>
                <a:graphic>
                  <a:graphicData uri="http://schemas.microsoft.com/office/word/2010/wordprocessingGroup">
                    <wpg:wgp>
                      <wpg:cNvPr id="1522" name="Group 1522"/>
                      <wpg:cNvGrpSpPr/>
                      <wpg:grpSpPr>
                        <a:xfrm>
                          <a:off x="0" y="0"/>
                          <a:ext cx="7560309" cy="1752600"/>
                          <a:chExt cx="7560309" cy="1752600"/>
                        </a:xfrm>
                      </wpg:grpSpPr>
                      <pic:pic>
                        <pic:nvPicPr>
                          <pic:cNvPr id="1523" name="Image 1523"/>
                          <pic:cNvPicPr/>
                        </pic:nvPicPr>
                        <pic:blipFill>
                          <a:blip r:embed="rId688" cstate="print"/>
                          <a:stretch>
                            <a:fillRect/>
                          </a:stretch>
                        </pic:blipFill>
                        <pic:spPr>
                          <a:xfrm>
                            <a:off x="0" y="0"/>
                            <a:ext cx="7559999" cy="1752562"/>
                          </a:xfrm>
                          <a:prstGeom prst="rect">
                            <a:avLst/>
                          </a:prstGeom>
                        </pic:spPr>
                      </pic:pic>
                      <wps:wsp>
                        <wps:cNvPr id="1524" name="Textbox 1524"/>
                        <wps:cNvSpPr txBox="1"/>
                        <wps:spPr>
                          <a:xfrm>
                            <a:off x="0" y="0"/>
                            <a:ext cx="7560309" cy="1752600"/>
                          </a:xfrm>
                          <a:prstGeom prst="rect">
                            <a:avLst/>
                          </a:prstGeom>
                        </wps:spPr>
                        <wps:txbx>
                          <w:txbxContent>
                            <w:p>
                              <w:pPr>
                                <w:spacing w:line="240" w:lineRule="auto" w:before="160"/>
                                <w:rPr>
                                  <w:sz w:val="68"/>
                                </w:rPr>
                              </w:pPr>
                            </w:p>
                            <w:p>
                              <w:pPr>
                                <w:spacing w:line="247" w:lineRule="auto" w:before="1"/>
                                <w:ind w:left="1080" w:right="3076" w:firstLine="0"/>
                                <w:jc w:val="left"/>
                                <w:rPr>
                                  <w:rFonts w:ascii="Trebuchet MS"/>
                                  <w:b/>
                                  <w:sz w:val="68"/>
                                </w:rPr>
                              </w:pPr>
                              <w:r>
                                <w:rPr>
                                  <w:rFonts w:ascii="Trebuchet MS"/>
                                  <w:b/>
                                  <w:color w:val="FFFFFF"/>
                                  <w:sz w:val="68"/>
                                </w:rPr>
                                <w:t>More</w:t>
                              </w:r>
                              <w:r>
                                <w:rPr>
                                  <w:rFonts w:ascii="Trebuchet MS"/>
                                  <w:b/>
                                  <w:color w:val="FFFFFF"/>
                                  <w:spacing w:val="-52"/>
                                  <w:sz w:val="68"/>
                                </w:rPr>
                                <w:t> </w:t>
                              </w:r>
                              <w:r>
                                <w:rPr>
                                  <w:rFonts w:ascii="Trebuchet MS"/>
                                  <w:b/>
                                  <w:color w:val="FFFFFF"/>
                                  <w:sz w:val="68"/>
                                </w:rPr>
                                <w:t>Talented</w:t>
                              </w:r>
                              <w:r>
                                <w:rPr>
                                  <w:rFonts w:ascii="Trebuchet MS"/>
                                  <w:b/>
                                  <w:color w:val="FFFFFF"/>
                                  <w:spacing w:val="-51"/>
                                  <w:sz w:val="68"/>
                                </w:rPr>
                                <w:t> </w:t>
                              </w:r>
                              <w:r>
                                <w:rPr>
                                  <w:rFonts w:ascii="Trebuchet MS"/>
                                  <w:b/>
                                  <w:color w:val="FFFFFF"/>
                                  <w:sz w:val="68"/>
                                </w:rPr>
                                <w:t>Students in Maths and Science</w:t>
                              </w:r>
                            </w:p>
                          </w:txbxContent>
                        </wps:txbx>
                        <wps:bodyPr wrap="square" lIns="0" tIns="0" rIns="0" bIns="0" rtlCol="0">
                          <a:noAutofit/>
                        </wps:bodyPr>
                      </wps:wsp>
                    </wpg:wgp>
                  </a:graphicData>
                </a:graphic>
              </wp:anchor>
            </w:drawing>
          </mc:Choice>
          <mc:Fallback>
            <w:pict>
              <v:group style="position:absolute;margin-left:0pt;margin-top:-174.822311pt;width:595.3pt;height:138pt;mso-position-horizontal-relative:page;mso-position-vertical-relative:paragraph;z-index:15822336" id="docshapegroup1509" coordorigin="0,-3496" coordsize="11906,2760">
                <v:shape style="position:absolute;left:0;top:-3497;width:11906;height:2760" type="#_x0000_t75" id="docshape1510" stroked="false">
                  <v:imagedata r:id="rId688" o:title=""/>
                </v:shape>
                <v:shape style="position:absolute;left:0;top:-3497;width:11906;height:2760" type="#_x0000_t202" id="docshape1511" filled="false" stroked="false">
                  <v:textbox inset="0,0,0,0">
                    <w:txbxContent>
                      <w:p>
                        <w:pPr>
                          <w:spacing w:line="240" w:lineRule="auto" w:before="160"/>
                          <w:rPr>
                            <w:sz w:val="68"/>
                          </w:rPr>
                        </w:pPr>
                      </w:p>
                      <w:p>
                        <w:pPr>
                          <w:spacing w:line="247" w:lineRule="auto" w:before="1"/>
                          <w:ind w:left="1080" w:right="3076" w:firstLine="0"/>
                          <w:jc w:val="left"/>
                          <w:rPr>
                            <w:rFonts w:ascii="Trebuchet MS"/>
                            <w:b/>
                            <w:sz w:val="68"/>
                          </w:rPr>
                        </w:pPr>
                        <w:r>
                          <w:rPr>
                            <w:rFonts w:ascii="Trebuchet MS"/>
                            <w:b/>
                            <w:color w:val="FFFFFF"/>
                            <w:sz w:val="68"/>
                          </w:rPr>
                          <w:t>More</w:t>
                        </w:r>
                        <w:r>
                          <w:rPr>
                            <w:rFonts w:ascii="Trebuchet MS"/>
                            <w:b/>
                            <w:color w:val="FFFFFF"/>
                            <w:spacing w:val="-52"/>
                            <w:sz w:val="68"/>
                          </w:rPr>
                          <w:t> </w:t>
                        </w:r>
                        <w:r>
                          <w:rPr>
                            <w:rFonts w:ascii="Trebuchet MS"/>
                            <w:b/>
                            <w:color w:val="FFFFFF"/>
                            <w:sz w:val="68"/>
                          </w:rPr>
                          <w:t>Talented</w:t>
                        </w:r>
                        <w:r>
                          <w:rPr>
                            <w:rFonts w:ascii="Trebuchet MS"/>
                            <w:b/>
                            <w:color w:val="FFFFFF"/>
                            <w:spacing w:val="-51"/>
                            <w:sz w:val="68"/>
                          </w:rPr>
                          <w:t> </w:t>
                        </w:r>
                        <w:r>
                          <w:rPr>
                            <w:rFonts w:ascii="Trebuchet MS"/>
                            <w:b/>
                            <w:color w:val="FFFFFF"/>
                            <w:sz w:val="68"/>
                          </w:rPr>
                          <w:t>Students in Maths and Science</w:t>
                        </w:r>
                      </w:p>
                    </w:txbxContent>
                  </v:textbox>
                  <w10:wrap type="none"/>
                </v:shape>
                <w10:wrap type="none"/>
              </v:group>
            </w:pict>
          </mc:Fallback>
        </mc:AlternateContent>
      </w:r>
      <w:r>
        <w:rPr>
          <w:color w:val="2E614A"/>
          <w:spacing w:val="-2"/>
        </w:rPr>
        <w:t>Introduction</w:t>
      </w:r>
    </w:p>
    <w:p>
      <w:pPr>
        <w:pStyle w:val="BodyText"/>
        <w:spacing w:line="266" w:lineRule="auto" w:before="285"/>
        <w:ind w:left="1754"/>
        <w:jc w:val="both"/>
      </w:pPr>
      <w:r>
        <w:rPr/>
        <mc:AlternateContent>
          <mc:Choice Requires="wps">
            <w:drawing>
              <wp:anchor distT="0" distB="0" distL="0" distR="0" allowOverlap="1" layoutInCell="1" locked="0" behindDoc="1" simplePos="0" relativeHeight="479400448">
                <wp:simplePos x="0" y="0"/>
                <wp:positionH relativeFrom="page">
                  <wp:posOffset>685935</wp:posOffset>
                </wp:positionH>
                <wp:positionV relativeFrom="paragraph">
                  <wp:posOffset>91998</wp:posOffset>
                </wp:positionV>
                <wp:extent cx="421640" cy="757555"/>
                <wp:effectExtent l="0" t="0" r="0" b="0"/>
                <wp:wrapNone/>
                <wp:docPr id="1525" name="Textbox 1525"/>
                <wp:cNvGraphicFramePr>
                  <a:graphicFrameLocks/>
                </wp:cNvGraphicFramePr>
                <a:graphic>
                  <a:graphicData uri="http://schemas.microsoft.com/office/word/2010/wordprocessingShape">
                    <wps:wsp>
                      <wps:cNvPr id="1525" name="Textbox 1525"/>
                      <wps:cNvSpPr txBox="1"/>
                      <wps:spPr>
                        <a:xfrm>
                          <a:off x="0" y="0"/>
                          <a:ext cx="421640" cy="757555"/>
                        </a:xfrm>
                        <a:prstGeom prst="rect">
                          <a:avLst/>
                        </a:prstGeom>
                      </wps:spPr>
                      <wps:txbx>
                        <w:txbxContent>
                          <w:p>
                            <w:pPr>
                              <w:spacing w:line="1135" w:lineRule="exact" w:before="0"/>
                              <w:ind w:left="0" w:right="0" w:firstLine="0"/>
                              <w:jc w:val="left"/>
                              <w:rPr>
                                <w:sz w:val="106"/>
                              </w:rPr>
                            </w:pPr>
                            <w:r>
                              <w:rPr>
                                <w:color w:val="9CBF3B"/>
                                <w:spacing w:val="-10"/>
                                <w:w w:val="85"/>
                                <w:sz w:val="106"/>
                              </w:rPr>
                              <w:t>A</w:t>
                            </w:r>
                          </w:p>
                        </w:txbxContent>
                      </wps:txbx>
                      <wps:bodyPr wrap="square" lIns="0" tIns="0" rIns="0" bIns="0" rtlCol="0">
                        <a:noAutofit/>
                      </wps:bodyPr>
                    </wps:wsp>
                  </a:graphicData>
                </a:graphic>
              </wp:anchor>
            </w:drawing>
          </mc:Choice>
          <mc:Fallback>
            <w:pict>
              <v:shape style="position:absolute;margin-left:54.010681pt;margin-top:7.243943pt;width:33.2pt;height:59.65pt;mso-position-horizontal-relative:page;mso-position-vertical-relative:paragraph;z-index:-23916032" type="#_x0000_t202" id="docshape1512" filled="false" stroked="false">
                <v:textbox inset="0,0,0,0">
                  <w:txbxContent>
                    <w:p>
                      <w:pPr>
                        <w:spacing w:line="1135" w:lineRule="exact" w:before="0"/>
                        <w:ind w:left="0" w:right="0" w:firstLine="0"/>
                        <w:jc w:val="left"/>
                        <w:rPr>
                          <w:sz w:val="106"/>
                        </w:rPr>
                      </w:pPr>
                      <w:r>
                        <w:rPr>
                          <w:color w:val="9CBF3B"/>
                          <w:spacing w:val="-10"/>
                          <w:w w:val="85"/>
                          <w:sz w:val="106"/>
                        </w:rPr>
                        <w:t>A</w:t>
                      </w:r>
                    </w:p>
                  </w:txbxContent>
                </v:textbox>
                <w10:wrap type="none"/>
              </v:shape>
            </w:pict>
          </mc:Fallback>
        </mc:AlternateContent>
      </w:r>
      <w:r>
        <w:rPr/>
        <w:t>s</w:t>
      </w:r>
      <w:r>
        <w:rPr>
          <w:spacing w:val="-13"/>
        </w:rPr>
        <w:t> </w:t>
      </w:r>
      <w:r>
        <w:rPr/>
        <w:t>India</w:t>
      </w:r>
      <w:r>
        <w:rPr>
          <w:spacing w:val="-13"/>
        </w:rPr>
        <w:t> </w:t>
      </w:r>
      <w:r>
        <w:rPr/>
        <w:t>seeks</w:t>
      </w:r>
      <w:r>
        <w:rPr>
          <w:spacing w:val="-13"/>
        </w:rPr>
        <w:t> </w:t>
      </w:r>
      <w:r>
        <w:rPr/>
        <w:t>to</w:t>
      </w:r>
      <w:r>
        <w:rPr>
          <w:spacing w:val="-13"/>
        </w:rPr>
        <w:t> </w:t>
      </w:r>
      <w:r>
        <w:rPr/>
        <w:t>establish</w:t>
      </w:r>
      <w:r>
        <w:rPr>
          <w:spacing w:val="-13"/>
        </w:rPr>
        <w:t> </w:t>
      </w:r>
      <w:r>
        <w:rPr/>
        <w:t>itself</w:t>
      </w:r>
      <w:r>
        <w:rPr>
          <w:spacing w:val="-13"/>
        </w:rPr>
        <w:t> </w:t>
      </w:r>
      <w:r>
        <w:rPr/>
        <w:t>as</w:t>
      </w:r>
      <w:r>
        <w:rPr>
          <w:spacing w:val="-13"/>
        </w:rPr>
        <w:t> </w:t>
      </w:r>
      <w:r>
        <w:rPr/>
        <w:t>a</w:t>
      </w:r>
      <w:r>
        <w:rPr>
          <w:spacing w:val="-13"/>
        </w:rPr>
        <w:t> </w:t>
      </w:r>
      <w:r>
        <w:rPr/>
        <w:t>knowledge superpower, it is essential for it to build </w:t>
      </w:r>
      <w:r>
        <w:rPr/>
        <w:t>on</w:t>
      </w:r>
      <w:r>
        <w:rPr>
          <w:spacing w:val="40"/>
        </w:rPr>
        <w:t> </w:t>
      </w:r>
      <w:r>
        <w:rPr/>
        <w:t>its</w:t>
      </w:r>
      <w:r>
        <w:rPr>
          <w:spacing w:val="-2"/>
        </w:rPr>
        <w:t> </w:t>
      </w:r>
      <w:r>
        <w:rPr/>
        <w:t>science</w:t>
      </w:r>
      <w:r>
        <w:rPr>
          <w:spacing w:val="-1"/>
        </w:rPr>
        <w:t> </w:t>
      </w:r>
      <w:r>
        <w:rPr/>
        <w:t>and</w:t>
      </w:r>
      <w:r>
        <w:rPr>
          <w:spacing w:val="-2"/>
        </w:rPr>
        <w:t> </w:t>
      </w:r>
      <w:r>
        <w:rPr/>
        <w:t>technology</w:t>
      </w:r>
      <w:r>
        <w:rPr>
          <w:spacing w:val="-1"/>
        </w:rPr>
        <w:t> </w:t>
      </w:r>
      <w:r>
        <w:rPr/>
        <w:t>base.</w:t>
      </w:r>
      <w:r>
        <w:rPr>
          <w:spacing w:val="-1"/>
        </w:rPr>
        <w:t> </w:t>
      </w:r>
      <w:r>
        <w:rPr/>
        <w:t>Pure</w:t>
      </w:r>
      <w:r>
        <w:rPr>
          <w:spacing w:val="-2"/>
        </w:rPr>
        <w:t> </w:t>
      </w:r>
      <w:r>
        <w:rPr>
          <w:spacing w:val="-7"/>
        </w:rPr>
        <w:t>sciences</w:t>
      </w:r>
    </w:p>
    <w:p>
      <w:pPr>
        <w:pStyle w:val="BodyText"/>
        <w:spacing w:line="266" w:lineRule="auto"/>
        <w:ind w:left="1080"/>
        <w:jc w:val="both"/>
      </w:pPr>
      <w:r>
        <w:rPr/>
        <w:t>has</w:t>
      </w:r>
      <w:r>
        <w:rPr>
          <w:spacing w:val="-5"/>
        </w:rPr>
        <w:t> </w:t>
      </w:r>
      <w:r>
        <w:rPr/>
        <w:t>a</w:t>
      </w:r>
      <w:r>
        <w:rPr>
          <w:spacing w:val="-5"/>
        </w:rPr>
        <w:t> </w:t>
      </w:r>
      <w:r>
        <w:rPr/>
        <w:t>critical</w:t>
      </w:r>
      <w:r>
        <w:rPr>
          <w:spacing w:val="-5"/>
        </w:rPr>
        <w:t> </w:t>
      </w:r>
      <w:r>
        <w:rPr/>
        <w:t>role</w:t>
      </w:r>
      <w:r>
        <w:rPr>
          <w:spacing w:val="-5"/>
        </w:rPr>
        <w:t> </w:t>
      </w:r>
      <w:r>
        <w:rPr/>
        <w:t>to</w:t>
      </w:r>
      <w:r>
        <w:rPr>
          <w:spacing w:val="-5"/>
        </w:rPr>
        <w:t> </w:t>
      </w:r>
      <w:r>
        <w:rPr/>
        <w:t>play</w:t>
      </w:r>
      <w:r>
        <w:rPr>
          <w:spacing w:val="-5"/>
        </w:rPr>
        <w:t> </w:t>
      </w:r>
      <w:r>
        <w:rPr/>
        <w:t>in</w:t>
      </w:r>
      <w:r>
        <w:rPr>
          <w:spacing w:val="-5"/>
        </w:rPr>
        <w:t> </w:t>
      </w:r>
      <w:r>
        <w:rPr/>
        <w:t>this</w:t>
      </w:r>
      <w:r>
        <w:rPr>
          <w:spacing w:val="-5"/>
        </w:rPr>
        <w:t> </w:t>
      </w:r>
      <w:r>
        <w:rPr/>
        <w:t>–</w:t>
      </w:r>
      <w:r>
        <w:rPr>
          <w:spacing w:val="-5"/>
        </w:rPr>
        <w:t> </w:t>
      </w:r>
      <w:r>
        <w:rPr/>
        <w:t>a</w:t>
      </w:r>
      <w:r>
        <w:rPr>
          <w:spacing w:val="-5"/>
        </w:rPr>
        <w:t> </w:t>
      </w:r>
      <w:r>
        <w:rPr/>
        <w:t>strong</w:t>
      </w:r>
      <w:r>
        <w:rPr>
          <w:spacing w:val="-5"/>
        </w:rPr>
        <w:t> </w:t>
      </w:r>
      <w:r>
        <w:rPr/>
        <w:t>foundation in</w:t>
      </w:r>
      <w:r>
        <w:rPr>
          <w:spacing w:val="-8"/>
        </w:rPr>
        <w:t> </w:t>
      </w:r>
      <w:r>
        <w:rPr/>
        <w:t>science</w:t>
      </w:r>
      <w:r>
        <w:rPr>
          <w:spacing w:val="-8"/>
        </w:rPr>
        <w:t> </w:t>
      </w:r>
      <w:r>
        <w:rPr/>
        <w:t>helps</w:t>
      </w:r>
      <w:r>
        <w:rPr>
          <w:spacing w:val="-8"/>
        </w:rPr>
        <w:t> </w:t>
      </w:r>
      <w:r>
        <w:rPr/>
        <w:t>in</w:t>
      </w:r>
      <w:r>
        <w:rPr>
          <w:spacing w:val="-8"/>
        </w:rPr>
        <w:t> </w:t>
      </w:r>
      <w:r>
        <w:rPr/>
        <w:t>building</w:t>
      </w:r>
      <w:r>
        <w:rPr>
          <w:spacing w:val="-8"/>
        </w:rPr>
        <w:t> </w:t>
      </w:r>
      <w:r>
        <w:rPr/>
        <w:t>excellence</w:t>
      </w:r>
      <w:r>
        <w:rPr>
          <w:spacing w:val="-8"/>
        </w:rPr>
        <w:t> </w:t>
      </w:r>
      <w:r>
        <w:rPr/>
        <w:t>in</w:t>
      </w:r>
      <w:r>
        <w:rPr>
          <w:spacing w:val="-8"/>
        </w:rPr>
        <w:t> </w:t>
      </w:r>
      <w:r>
        <w:rPr/>
        <w:t>technology, propelling economic growth and prosperity, and </w:t>
      </w:r>
      <w:r>
        <w:rPr>
          <w:spacing w:val="-2"/>
        </w:rPr>
        <w:t>consequently</w:t>
      </w:r>
      <w:r>
        <w:rPr>
          <w:spacing w:val="-4"/>
        </w:rPr>
        <w:t> </w:t>
      </w:r>
      <w:r>
        <w:rPr>
          <w:spacing w:val="-2"/>
        </w:rPr>
        <w:t>raising</w:t>
      </w:r>
      <w:r>
        <w:rPr>
          <w:spacing w:val="-4"/>
        </w:rPr>
        <w:t> </w:t>
      </w:r>
      <w:r>
        <w:rPr>
          <w:spacing w:val="-2"/>
        </w:rPr>
        <w:t>living</w:t>
      </w:r>
      <w:r>
        <w:rPr>
          <w:spacing w:val="-4"/>
        </w:rPr>
        <w:t> </w:t>
      </w:r>
      <w:r>
        <w:rPr>
          <w:spacing w:val="-2"/>
        </w:rPr>
        <w:t>standards.</w:t>
      </w:r>
      <w:r>
        <w:rPr>
          <w:spacing w:val="-7"/>
        </w:rPr>
        <w:t> </w:t>
      </w:r>
      <w:r>
        <w:rPr>
          <w:spacing w:val="-2"/>
        </w:rPr>
        <w:t>While</w:t>
      </w:r>
      <w:r>
        <w:rPr>
          <w:spacing w:val="-4"/>
        </w:rPr>
        <w:t> </w:t>
      </w:r>
      <w:r>
        <w:rPr>
          <w:spacing w:val="-2"/>
        </w:rPr>
        <w:t>India</w:t>
      </w:r>
      <w:r>
        <w:rPr>
          <w:spacing w:val="-4"/>
        </w:rPr>
        <w:t> </w:t>
      </w:r>
      <w:r>
        <w:rPr>
          <w:spacing w:val="-2"/>
        </w:rPr>
        <w:t>has </w:t>
      </w:r>
      <w:r>
        <w:rPr/>
        <w:t>had a rich heritage in abstract thinking and scientific discoveries,</w:t>
      </w:r>
      <w:r>
        <w:rPr>
          <w:spacing w:val="-1"/>
        </w:rPr>
        <w:t> </w:t>
      </w:r>
      <w:r>
        <w:rPr/>
        <w:t>of</w:t>
      </w:r>
      <w:r>
        <w:rPr>
          <w:spacing w:val="-1"/>
        </w:rPr>
        <w:t> </w:t>
      </w:r>
      <w:r>
        <w:rPr/>
        <w:t>late</w:t>
      </w:r>
      <w:r>
        <w:rPr>
          <w:spacing w:val="-1"/>
        </w:rPr>
        <w:t> </w:t>
      </w:r>
      <w:r>
        <w:rPr/>
        <w:t>the</w:t>
      </w:r>
      <w:r>
        <w:rPr>
          <w:spacing w:val="-1"/>
        </w:rPr>
        <w:t> </w:t>
      </w:r>
      <w:r>
        <w:rPr/>
        <w:t>progress</w:t>
      </w:r>
      <w:r>
        <w:rPr>
          <w:spacing w:val="-1"/>
        </w:rPr>
        <w:t> </w:t>
      </w:r>
      <w:r>
        <w:rPr/>
        <w:t>in</w:t>
      </w:r>
      <w:r>
        <w:rPr>
          <w:spacing w:val="-1"/>
        </w:rPr>
        <w:t> </w:t>
      </w:r>
      <w:r>
        <w:rPr/>
        <w:t>this</w:t>
      </w:r>
      <w:r>
        <w:rPr>
          <w:spacing w:val="-1"/>
        </w:rPr>
        <w:t> </w:t>
      </w:r>
      <w:r>
        <w:rPr/>
        <w:t>field</w:t>
      </w:r>
      <w:r>
        <w:rPr>
          <w:spacing w:val="-1"/>
        </w:rPr>
        <w:t> </w:t>
      </w:r>
      <w:r>
        <w:rPr/>
        <w:t>has</w:t>
      </w:r>
      <w:r>
        <w:rPr>
          <w:spacing w:val="-1"/>
        </w:rPr>
        <w:t> </w:t>
      </w:r>
      <w:r>
        <w:rPr/>
        <w:t>been on the decline. It is increasingly felt that with the </w:t>
      </w:r>
      <w:r>
        <w:rPr>
          <w:spacing w:val="-2"/>
        </w:rPr>
        <w:t>popularity</w:t>
      </w:r>
      <w:r>
        <w:rPr>
          <w:spacing w:val="-11"/>
        </w:rPr>
        <w:t> </w:t>
      </w:r>
      <w:r>
        <w:rPr>
          <w:spacing w:val="-2"/>
        </w:rPr>
        <w:t>of</w:t>
      </w:r>
      <w:r>
        <w:rPr>
          <w:spacing w:val="-11"/>
        </w:rPr>
        <w:t> </w:t>
      </w:r>
      <w:r>
        <w:rPr>
          <w:spacing w:val="-2"/>
        </w:rPr>
        <w:t>arts,</w:t>
      </w:r>
      <w:r>
        <w:rPr>
          <w:spacing w:val="-11"/>
        </w:rPr>
        <w:t> </w:t>
      </w:r>
      <w:r>
        <w:rPr>
          <w:spacing w:val="-2"/>
        </w:rPr>
        <w:t>commerce</w:t>
      </w:r>
      <w:r>
        <w:rPr>
          <w:spacing w:val="-11"/>
        </w:rPr>
        <w:t> </w:t>
      </w:r>
      <w:r>
        <w:rPr>
          <w:spacing w:val="-2"/>
        </w:rPr>
        <w:t>and</w:t>
      </w:r>
      <w:r>
        <w:rPr>
          <w:spacing w:val="-11"/>
        </w:rPr>
        <w:t> </w:t>
      </w:r>
      <w:r>
        <w:rPr>
          <w:spacing w:val="-2"/>
        </w:rPr>
        <w:t>professional</w:t>
      </w:r>
      <w:r>
        <w:rPr>
          <w:spacing w:val="-11"/>
        </w:rPr>
        <w:t> </w:t>
      </w:r>
      <w:r>
        <w:rPr>
          <w:spacing w:val="-2"/>
        </w:rPr>
        <w:t>courses, </w:t>
      </w:r>
      <w:r>
        <w:rPr>
          <w:spacing w:val="-4"/>
        </w:rPr>
        <w:t>and more lucrative opportunities in related professions, </w:t>
      </w:r>
      <w:r>
        <w:rPr/>
        <w:t>there has been a decline in students studying pure mathematics and science. In order to create a </w:t>
      </w:r>
      <w:r>
        <w:rPr/>
        <w:t>critical base of scientific professionals in the country it is necessary that immediate steps be taken to attract more quality students in mathematics and science.</w:t>
      </w:r>
    </w:p>
    <w:p>
      <w:pPr>
        <w:pStyle w:val="Heading6"/>
        <w:spacing w:before="173"/>
        <w:ind w:left="1080" w:firstLine="0"/>
      </w:pPr>
      <w:r>
        <w:rPr>
          <w:color w:val="2E614A"/>
          <w:w w:val="90"/>
        </w:rPr>
        <w:t>Current</w:t>
      </w:r>
      <w:r>
        <w:rPr>
          <w:color w:val="2E614A"/>
          <w:spacing w:val="-1"/>
          <w:w w:val="90"/>
        </w:rPr>
        <w:t> </w:t>
      </w:r>
      <w:r>
        <w:rPr>
          <w:color w:val="2E614A"/>
          <w:spacing w:val="-2"/>
        </w:rPr>
        <w:t>Scenario</w:t>
      </w:r>
    </w:p>
    <w:p>
      <w:pPr>
        <w:pStyle w:val="BodyText"/>
        <w:spacing w:line="266" w:lineRule="auto" w:before="286"/>
        <w:ind w:left="1080"/>
        <w:jc w:val="both"/>
      </w:pPr>
      <w:r>
        <w:rPr>
          <w:b/>
        </w:rPr>
        <w:t>School level: </w:t>
      </w:r>
      <w:r>
        <w:rPr/>
        <w:t>While science dominates as the </w:t>
      </w:r>
      <w:r>
        <w:rPr/>
        <w:t>most </w:t>
      </w:r>
      <w:r>
        <w:rPr>
          <w:spacing w:val="-6"/>
        </w:rPr>
        <w:t>preferred subject</w:t>
      </w:r>
      <w:r>
        <w:rPr>
          <w:spacing w:val="-5"/>
        </w:rPr>
        <w:t> </w:t>
      </w:r>
      <w:r>
        <w:rPr>
          <w:spacing w:val="-6"/>
        </w:rPr>
        <w:t>at the</w:t>
      </w:r>
      <w:r>
        <w:rPr>
          <w:spacing w:val="-5"/>
        </w:rPr>
        <w:t> </w:t>
      </w:r>
      <w:r>
        <w:rPr>
          <w:spacing w:val="-6"/>
        </w:rPr>
        <w:t>middle school</w:t>
      </w:r>
      <w:r>
        <w:rPr>
          <w:spacing w:val="-5"/>
        </w:rPr>
        <w:t> </w:t>
      </w:r>
      <w:r>
        <w:rPr>
          <w:spacing w:val="-6"/>
        </w:rPr>
        <w:t>level (class</w:t>
      </w:r>
      <w:r>
        <w:rPr>
          <w:spacing w:val="-5"/>
        </w:rPr>
        <w:t> </w:t>
      </w:r>
      <w:r>
        <w:rPr>
          <w:spacing w:val="-6"/>
        </w:rPr>
        <w:t>6-8), it</w:t>
      </w:r>
    </w:p>
    <w:p>
      <w:pPr>
        <w:pStyle w:val="BodyText"/>
        <w:spacing w:line="266" w:lineRule="auto" w:before="170"/>
        <w:ind w:left="319" w:right="1077"/>
        <w:jc w:val="both"/>
      </w:pPr>
      <w:r>
        <w:rPr/>
        <w:br w:type="column"/>
      </w:r>
      <w:r>
        <w:rPr>
          <w:spacing w:val="-6"/>
        </w:rPr>
        <w:t>becomes</w:t>
      </w:r>
      <w:r>
        <w:rPr>
          <w:spacing w:val="-8"/>
        </w:rPr>
        <w:t> </w:t>
      </w:r>
      <w:r>
        <w:rPr>
          <w:spacing w:val="-6"/>
        </w:rPr>
        <w:t>less</w:t>
      </w:r>
      <w:r>
        <w:rPr>
          <w:spacing w:val="-8"/>
        </w:rPr>
        <w:t> </w:t>
      </w:r>
      <w:r>
        <w:rPr>
          <w:spacing w:val="-6"/>
        </w:rPr>
        <w:t>popular</w:t>
      </w:r>
      <w:r>
        <w:rPr>
          <w:spacing w:val="-8"/>
        </w:rPr>
        <w:t> </w:t>
      </w:r>
      <w:r>
        <w:rPr>
          <w:spacing w:val="-6"/>
        </w:rPr>
        <w:t>at</w:t>
      </w:r>
      <w:r>
        <w:rPr>
          <w:spacing w:val="-7"/>
        </w:rPr>
        <w:t> </w:t>
      </w:r>
      <w:r>
        <w:rPr>
          <w:spacing w:val="-6"/>
        </w:rPr>
        <w:t>the</w:t>
      </w:r>
      <w:r>
        <w:rPr>
          <w:spacing w:val="-8"/>
        </w:rPr>
        <w:t> </w:t>
      </w:r>
      <w:r>
        <w:rPr>
          <w:spacing w:val="-6"/>
        </w:rPr>
        <w:t>higher</w:t>
      </w:r>
      <w:r>
        <w:rPr>
          <w:spacing w:val="-8"/>
        </w:rPr>
        <w:t> </w:t>
      </w:r>
      <w:r>
        <w:rPr>
          <w:spacing w:val="-6"/>
        </w:rPr>
        <w:t>secondary</w:t>
      </w:r>
      <w:r>
        <w:rPr>
          <w:spacing w:val="-8"/>
        </w:rPr>
        <w:t> </w:t>
      </w:r>
      <w:r>
        <w:rPr>
          <w:spacing w:val="-6"/>
        </w:rPr>
        <w:t>level</w:t>
      </w:r>
      <w:r>
        <w:rPr>
          <w:spacing w:val="-7"/>
        </w:rPr>
        <w:t> </w:t>
      </w:r>
      <w:r>
        <w:rPr>
          <w:spacing w:val="-6"/>
        </w:rPr>
        <w:t>(class </w:t>
      </w:r>
      <w:r>
        <w:rPr/>
        <w:t>11-12).</w:t>
      </w:r>
      <w:r>
        <w:rPr>
          <w:spacing w:val="-14"/>
        </w:rPr>
        <w:t> </w:t>
      </w:r>
      <w:r>
        <w:rPr/>
        <w:t>In</w:t>
      </w:r>
      <w:r>
        <w:rPr>
          <w:spacing w:val="-14"/>
        </w:rPr>
        <w:t> </w:t>
      </w:r>
      <w:r>
        <w:rPr/>
        <w:t>a</w:t>
      </w:r>
      <w:r>
        <w:rPr>
          <w:spacing w:val="-14"/>
        </w:rPr>
        <w:t> </w:t>
      </w:r>
      <w:r>
        <w:rPr/>
        <w:t>science</w:t>
      </w:r>
      <w:r>
        <w:rPr>
          <w:spacing w:val="-13"/>
        </w:rPr>
        <w:t> </w:t>
      </w:r>
      <w:r>
        <w:rPr/>
        <w:t>survey</w:t>
      </w:r>
      <w:r>
        <w:rPr>
          <w:spacing w:val="-14"/>
        </w:rPr>
        <w:t> </w:t>
      </w:r>
      <w:r>
        <w:rPr/>
        <w:t>conducted</w:t>
      </w:r>
      <w:r>
        <w:rPr>
          <w:spacing w:val="-14"/>
        </w:rPr>
        <w:t> </w:t>
      </w:r>
      <w:r>
        <w:rPr/>
        <w:t>by</w:t>
      </w:r>
      <w:r>
        <w:rPr>
          <w:spacing w:val="-14"/>
        </w:rPr>
        <w:t> </w:t>
      </w:r>
      <w:r>
        <w:rPr/>
        <w:t>the</w:t>
      </w:r>
      <w:r>
        <w:rPr>
          <w:spacing w:val="-13"/>
        </w:rPr>
        <w:t> </w:t>
      </w:r>
      <w:r>
        <w:rPr/>
        <w:t>NCAER, 22 per cent of the class 6-8 students said they would </w:t>
      </w:r>
      <w:r>
        <w:rPr>
          <w:spacing w:val="-2"/>
        </w:rPr>
        <w:t>like</w:t>
      </w:r>
      <w:r>
        <w:rPr>
          <w:spacing w:val="-11"/>
        </w:rPr>
        <w:t> </w:t>
      </w:r>
      <w:r>
        <w:rPr>
          <w:spacing w:val="-2"/>
        </w:rPr>
        <w:t>to</w:t>
      </w:r>
      <w:r>
        <w:rPr>
          <w:spacing w:val="-11"/>
        </w:rPr>
        <w:t> </w:t>
      </w:r>
      <w:r>
        <w:rPr>
          <w:spacing w:val="-2"/>
        </w:rPr>
        <w:t>study</w:t>
      </w:r>
      <w:r>
        <w:rPr>
          <w:spacing w:val="-11"/>
        </w:rPr>
        <w:t> </w:t>
      </w:r>
      <w:r>
        <w:rPr>
          <w:spacing w:val="-2"/>
        </w:rPr>
        <w:t>pure</w:t>
      </w:r>
      <w:r>
        <w:rPr>
          <w:spacing w:val="-11"/>
        </w:rPr>
        <w:t> </w:t>
      </w:r>
      <w:r>
        <w:rPr>
          <w:spacing w:val="-2"/>
        </w:rPr>
        <w:t>science</w:t>
      </w:r>
      <w:r>
        <w:rPr>
          <w:spacing w:val="-11"/>
        </w:rPr>
        <w:t> </w:t>
      </w:r>
      <w:r>
        <w:rPr>
          <w:spacing w:val="-2"/>
        </w:rPr>
        <w:t>in</w:t>
      </w:r>
      <w:r>
        <w:rPr>
          <w:spacing w:val="-11"/>
        </w:rPr>
        <w:t> </w:t>
      </w:r>
      <w:r>
        <w:rPr>
          <w:spacing w:val="-2"/>
        </w:rPr>
        <w:t>the</w:t>
      </w:r>
      <w:r>
        <w:rPr>
          <w:spacing w:val="-11"/>
        </w:rPr>
        <w:t> </w:t>
      </w:r>
      <w:r>
        <w:rPr>
          <w:spacing w:val="-2"/>
        </w:rPr>
        <w:t>future.</w:t>
      </w:r>
      <w:r>
        <w:rPr>
          <w:spacing w:val="-12"/>
        </w:rPr>
        <w:t> </w:t>
      </w:r>
      <w:r>
        <w:rPr>
          <w:spacing w:val="-2"/>
        </w:rPr>
        <w:t>Yet,</w:t>
      </w:r>
      <w:r>
        <w:rPr>
          <w:spacing w:val="-10"/>
        </w:rPr>
        <w:t> </w:t>
      </w:r>
      <w:r>
        <w:rPr>
          <w:spacing w:val="-2"/>
        </w:rPr>
        <w:t>at</w:t>
      </w:r>
      <w:r>
        <w:rPr>
          <w:spacing w:val="-11"/>
        </w:rPr>
        <w:t> </w:t>
      </w:r>
      <w:r>
        <w:rPr>
          <w:spacing w:val="-2"/>
        </w:rPr>
        <w:t>the</w:t>
      </w:r>
      <w:r>
        <w:rPr>
          <w:spacing w:val="-11"/>
        </w:rPr>
        <w:t> </w:t>
      </w:r>
      <w:r>
        <w:rPr>
          <w:spacing w:val="-2"/>
        </w:rPr>
        <w:t>level </w:t>
      </w:r>
      <w:r>
        <w:rPr/>
        <w:t>of</w:t>
      </w:r>
      <w:r>
        <w:rPr>
          <w:spacing w:val="-4"/>
        </w:rPr>
        <w:t> </w:t>
      </w:r>
      <w:r>
        <w:rPr/>
        <w:t>class</w:t>
      </w:r>
      <w:r>
        <w:rPr>
          <w:spacing w:val="-4"/>
        </w:rPr>
        <w:t> </w:t>
      </w:r>
      <w:r>
        <w:rPr/>
        <w:t>11</w:t>
      </w:r>
      <w:r>
        <w:rPr>
          <w:spacing w:val="-4"/>
        </w:rPr>
        <w:t> </w:t>
      </w:r>
      <w:r>
        <w:rPr/>
        <w:t>and</w:t>
      </w:r>
      <w:r>
        <w:rPr>
          <w:spacing w:val="-4"/>
        </w:rPr>
        <w:t> </w:t>
      </w:r>
      <w:r>
        <w:rPr/>
        <w:t>12,</w:t>
      </w:r>
      <w:r>
        <w:rPr>
          <w:spacing w:val="-4"/>
        </w:rPr>
        <w:t> </w:t>
      </w:r>
      <w:r>
        <w:rPr/>
        <w:t>only</w:t>
      </w:r>
      <w:r>
        <w:rPr>
          <w:spacing w:val="-4"/>
        </w:rPr>
        <w:t> </w:t>
      </w:r>
      <w:r>
        <w:rPr/>
        <w:t>13.4</w:t>
      </w:r>
      <w:r>
        <w:rPr>
          <w:spacing w:val="-4"/>
        </w:rPr>
        <w:t> </w:t>
      </w:r>
      <w:r>
        <w:rPr/>
        <w:t>per</w:t>
      </w:r>
      <w:r>
        <w:rPr>
          <w:spacing w:val="-4"/>
        </w:rPr>
        <w:t> </w:t>
      </w:r>
      <w:r>
        <w:rPr/>
        <w:t>cent</w:t>
      </w:r>
      <w:r>
        <w:rPr>
          <w:spacing w:val="-4"/>
        </w:rPr>
        <w:t> </w:t>
      </w:r>
      <w:r>
        <w:rPr/>
        <w:t>of</w:t>
      </w:r>
      <w:r>
        <w:rPr>
          <w:spacing w:val="-4"/>
        </w:rPr>
        <w:t> </w:t>
      </w:r>
      <w:r>
        <w:rPr/>
        <w:t>the</w:t>
      </w:r>
      <w:r>
        <w:rPr>
          <w:spacing w:val="-4"/>
        </w:rPr>
        <w:t> </w:t>
      </w:r>
      <w:r>
        <w:rPr/>
        <w:t>surveyed </w:t>
      </w:r>
      <w:r>
        <w:rPr>
          <w:spacing w:val="-2"/>
        </w:rPr>
        <w:t>students</w:t>
      </w:r>
      <w:r>
        <w:rPr>
          <w:spacing w:val="-8"/>
        </w:rPr>
        <w:t> </w:t>
      </w:r>
      <w:r>
        <w:rPr>
          <w:spacing w:val="-2"/>
        </w:rPr>
        <w:t>wanted</w:t>
      </w:r>
      <w:r>
        <w:rPr>
          <w:spacing w:val="-8"/>
        </w:rPr>
        <w:t> </w:t>
      </w:r>
      <w:r>
        <w:rPr>
          <w:spacing w:val="-2"/>
        </w:rPr>
        <w:t>to</w:t>
      </w:r>
      <w:r>
        <w:rPr>
          <w:spacing w:val="-8"/>
        </w:rPr>
        <w:t> </w:t>
      </w:r>
      <w:r>
        <w:rPr>
          <w:spacing w:val="-2"/>
        </w:rPr>
        <w:t>study</w:t>
      </w:r>
      <w:r>
        <w:rPr>
          <w:spacing w:val="-8"/>
        </w:rPr>
        <w:t> </w:t>
      </w:r>
      <w:r>
        <w:rPr>
          <w:spacing w:val="-2"/>
        </w:rPr>
        <w:t>pure</w:t>
      </w:r>
      <w:r>
        <w:rPr>
          <w:spacing w:val="-8"/>
        </w:rPr>
        <w:t> </w:t>
      </w:r>
      <w:r>
        <w:rPr>
          <w:spacing w:val="-2"/>
        </w:rPr>
        <w:t>sciences</w:t>
      </w:r>
      <w:r>
        <w:rPr>
          <w:spacing w:val="-8"/>
        </w:rPr>
        <w:t> </w:t>
      </w:r>
      <w:r>
        <w:rPr>
          <w:spacing w:val="-2"/>
        </w:rPr>
        <w:t>at</w:t>
      </w:r>
      <w:r>
        <w:rPr>
          <w:spacing w:val="-8"/>
        </w:rPr>
        <w:t> </w:t>
      </w:r>
      <w:r>
        <w:rPr>
          <w:spacing w:val="-2"/>
        </w:rPr>
        <w:t>the</w:t>
      </w:r>
      <w:r>
        <w:rPr>
          <w:spacing w:val="-8"/>
        </w:rPr>
        <w:t> </w:t>
      </w:r>
      <w:r>
        <w:rPr>
          <w:spacing w:val="-2"/>
        </w:rPr>
        <w:t>graduate/ </w:t>
      </w:r>
      <w:r>
        <w:rPr/>
        <w:t>postgraduate level.</w:t>
      </w:r>
      <w:r>
        <w:rPr>
          <w:spacing w:val="-2"/>
        </w:rPr>
        <w:t> </w:t>
      </w:r>
      <w:r>
        <w:rPr/>
        <w:t>This percentage is lower than the </w:t>
      </w:r>
      <w:r>
        <w:rPr>
          <w:spacing w:val="-4"/>
        </w:rPr>
        <w:t>figure</w:t>
      </w:r>
      <w:r>
        <w:rPr>
          <w:spacing w:val="-10"/>
        </w:rPr>
        <w:t> </w:t>
      </w:r>
      <w:r>
        <w:rPr>
          <w:spacing w:val="-4"/>
        </w:rPr>
        <w:t>for</w:t>
      </w:r>
      <w:r>
        <w:rPr>
          <w:spacing w:val="-10"/>
        </w:rPr>
        <w:t> </w:t>
      </w:r>
      <w:r>
        <w:rPr>
          <w:spacing w:val="-4"/>
        </w:rPr>
        <w:t>other</w:t>
      </w:r>
      <w:r>
        <w:rPr>
          <w:spacing w:val="-10"/>
        </w:rPr>
        <w:t> </w:t>
      </w:r>
      <w:r>
        <w:rPr>
          <w:spacing w:val="-4"/>
        </w:rPr>
        <w:t>disciplines</w:t>
      </w:r>
      <w:r>
        <w:rPr>
          <w:spacing w:val="-9"/>
        </w:rPr>
        <w:t> </w:t>
      </w:r>
      <w:r>
        <w:rPr>
          <w:spacing w:val="-4"/>
        </w:rPr>
        <w:t>–</w:t>
      </w:r>
      <w:r>
        <w:rPr>
          <w:spacing w:val="-10"/>
        </w:rPr>
        <w:t> </w:t>
      </w:r>
      <w:r>
        <w:rPr>
          <w:spacing w:val="-4"/>
        </w:rPr>
        <w:t>engineering,</w:t>
      </w:r>
      <w:r>
        <w:rPr>
          <w:spacing w:val="-10"/>
        </w:rPr>
        <w:t> </w:t>
      </w:r>
      <w:r>
        <w:rPr>
          <w:spacing w:val="-4"/>
        </w:rPr>
        <w:t>medicine,</w:t>
      </w:r>
      <w:r>
        <w:rPr>
          <w:spacing w:val="-10"/>
        </w:rPr>
        <w:t> </w:t>
      </w:r>
      <w:r>
        <w:rPr>
          <w:spacing w:val="-4"/>
        </w:rPr>
        <w:t>arts </w:t>
      </w:r>
      <w:r>
        <w:rPr/>
        <w:t>and commerce.</w:t>
      </w:r>
    </w:p>
    <w:p>
      <w:pPr>
        <w:pStyle w:val="BodyText"/>
        <w:spacing w:before="20"/>
      </w:pPr>
    </w:p>
    <w:p>
      <w:pPr>
        <w:pStyle w:val="BodyText"/>
        <w:spacing w:line="266" w:lineRule="auto"/>
        <w:ind w:left="319" w:right="1077"/>
        <w:jc w:val="both"/>
      </w:pPr>
      <w:r>
        <w:rPr/>
        <w:t>Further, the number of students opting for science after</w:t>
      </w:r>
      <w:r>
        <w:rPr>
          <w:spacing w:val="-4"/>
        </w:rPr>
        <w:t> </w:t>
      </w:r>
      <w:r>
        <w:rPr/>
        <w:t>the</w:t>
      </w:r>
      <w:r>
        <w:rPr>
          <w:spacing w:val="-4"/>
        </w:rPr>
        <w:t> </w:t>
      </w:r>
      <w:r>
        <w:rPr/>
        <w:t>secondary</w:t>
      </w:r>
      <w:r>
        <w:rPr>
          <w:spacing w:val="-4"/>
        </w:rPr>
        <w:t> </w:t>
      </w:r>
      <w:r>
        <w:rPr/>
        <w:t>school</w:t>
      </w:r>
      <w:r>
        <w:rPr>
          <w:spacing w:val="-4"/>
        </w:rPr>
        <w:t> </w:t>
      </w:r>
      <w:r>
        <w:rPr/>
        <w:t>stage</w:t>
      </w:r>
      <w:r>
        <w:rPr>
          <w:spacing w:val="-4"/>
        </w:rPr>
        <w:t> </w:t>
      </w:r>
      <w:r>
        <w:rPr/>
        <w:t>has</w:t>
      </w:r>
      <w:r>
        <w:rPr>
          <w:spacing w:val="-4"/>
        </w:rPr>
        <w:t> </w:t>
      </w:r>
      <w:r>
        <w:rPr/>
        <w:t>dropped</w:t>
      </w:r>
      <w:r>
        <w:rPr>
          <w:spacing w:val="-4"/>
        </w:rPr>
        <w:t> </w:t>
      </w:r>
      <w:r>
        <w:rPr/>
        <w:t>from</w:t>
      </w:r>
      <w:r>
        <w:rPr>
          <w:spacing w:val="-4"/>
        </w:rPr>
        <w:t> </w:t>
      </w:r>
      <w:r>
        <w:rPr/>
        <w:t>32 per cent in the early 1950s to 19.7 per cent in recent years. More significantly, while in the 1950s, the brightest</w:t>
      </w:r>
      <w:r>
        <w:rPr>
          <w:spacing w:val="-9"/>
        </w:rPr>
        <w:t> </w:t>
      </w:r>
      <w:r>
        <w:rPr/>
        <w:t>students</w:t>
      </w:r>
      <w:r>
        <w:rPr>
          <w:spacing w:val="-9"/>
        </w:rPr>
        <w:t> </w:t>
      </w:r>
      <w:r>
        <w:rPr/>
        <w:t>entered</w:t>
      </w:r>
      <w:r>
        <w:rPr>
          <w:spacing w:val="-9"/>
        </w:rPr>
        <w:t> </w:t>
      </w:r>
      <w:r>
        <w:rPr/>
        <w:t>science,</w:t>
      </w:r>
      <w:r>
        <w:rPr>
          <w:spacing w:val="-9"/>
        </w:rPr>
        <w:t> </w:t>
      </w:r>
      <w:r>
        <w:rPr/>
        <w:t>the</w:t>
      </w:r>
      <w:r>
        <w:rPr>
          <w:spacing w:val="-9"/>
        </w:rPr>
        <w:t> </w:t>
      </w:r>
      <w:r>
        <w:rPr/>
        <w:t>current</w:t>
      </w:r>
      <w:r>
        <w:rPr>
          <w:spacing w:val="-9"/>
        </w:rPr>
        <w:t> </w:t>
      </w:r>
      <w:r>
        <w:rPr/>
        <w:t>science students often take it as a last resort. This indicates that</w:t>
      </w:r>
      <w:r>
        <w:rPr>
          <w:spacing w:val="-13"/>
        </w:rPr>
        <w:t> </w:t>
      </w:r>
      <w:r>
        <w:rPr/>
        <w:t>young</w:t>
      </w:r>
      <w:r>
        <w:rPr>
          <w:spacing w:val="-13"/>
        </w:rPr>
        <w:t> </w:t>
      </w:r>
      <w:r>
        <w:rPr/>
        <w:t>students,</w:t>
      </w:r>
      <w:r>
        <w:rPr>
          <w:spacing w:val="-13"/>
        </w:rPr>
        <w:t> </w:t>
      </w:r>
      <w:r>
        <w:rPr/>
        <w:t>particularly</w:t>
      </w:r>
      <w:r>
        <w:rPr>
          <w:spacing w:val="-13"/>
        </w:rPr>
        <w:t> </w:t>
      </w:r>
      <w:r>
        <w:rPr/>
        <w:t>the</w:t>
      </w:r>
      <w:r>
        <w:rPr>
          <w:spacing w:val="-13"/>
        </w:rPr>
        <w:t> </w:t>
      </w:r>
      <w:r>
        <w:rPr/>
        <w:t>brighter</w:t>
      </w:r>
      <w:r>
        <w:rPr>
          <w:spacing w:val="-13"/>
        </w:rPr>
        <w:t> </w:t>
      </w:r>
      <w:r>
        <w:rPr/>
        <w:t>ones,</w:t>
      </w:r>
      <w:r>
        <w:rPr>
          <w:spacing w:val="-13"/>
        </w:rPr>
        <w:t> </w:t>
      </w:r>
      <w:r>
        <w:rPr/>
        <w:t>are drifting away from science. For instance, as reported by Homi Bhabha Centre for Science Education (HBCSE), very few students selected for Olympiads in Physics, Chemistry or Biology went on to opt for higher education in basic sciences.</w:t>
      </w:r>
      <w:r>
        <w:rPr>
          <w:spacing w:val="-4"/>
        </w:rPr>
        <w:t> </w:t>
      </w:r>
      <w:r>
        <w:rPr/>
        <w:t>The choice of the </w:t>
      </w:r>
      <w:r>
        <w:rPr>
          <w:spacing w:val="-4"/>
        </w:rPr>
        <w:t>National</w:t>
      </w:r>
      <w:r>
        <w:rPr>
          <w:spacing w:val="-10"/>
        </w:rPr>
        <w:t> </w:t>
      </w:r>
      <w:r>
        <w:rPr>
          <w:spacing w:val="-4"/>
        </w:rPr>
        <w:t>Talent</w:t>
      </w:r>
      <w:r>
        <w:rPr>
          <w:spacing w:val="-8"/>
        </w:rPr>
        <w:t> </w:t>
      </w:r>
      <w:r>
        <w:rPr>
          <w:spacing w:val="-4"/>
        </w:rPr>
        <w:t>Search</w:t>
      </w:r>
      <w:r>
        <w:rPr>
          <w:spacing w:val="-5"/>
        </w:rPr>
        <w:t> </w:t>
      </w:r>
      <w:r>
        <w:rPr>
          <w:spacing w:val="-4"/>
        </w:rPr>
        <w:t>awardees</w:t>
      </w:r>
      <w:r>
        <w:rPr>
          <w:spacing w:val="-5"/>
        </w:rPr>
        <w:t> </w:t>
      </w:r>
      <w:r>
        <w:rPr>
          <w:spacing w:val="-4"/>
        </w:rPr>
        <w:t>also</w:t>
      </w:r>
      <w:r>
        <w:rPr>
          <w:spacing w:val="-5"/>
        </w:rPr>
        <w:t> </w:t>
      </w:r>
      <w:r>
        <w:rPr>
          <w:spacing w:val="-4"/>
        </w:rPr>
        <w:t>reflects</w:t>
      </w:r>
      <w:r>
        <w:rPr>
          <w:spacing w:val="-5"/>
        </w:rPr>
        <w:t> </w:t>
      </w:r>
      <w:r>
        <w:rPr>
          <w:spacing w:val="-4"/>
        </w:rPr>
        <w:t>this</w:t>
      </w:r>
      <w:r>
        <w:rPr>
          <w:spacing w:val="-5"/>
        </w:rPr>
        <w:t> </w:t>
      </w:r>
      <w:r>
        <w:rPr>
          <w:spacing w:val="-4"/>
        </w:rPr>
        <w:t>trend </w:t>
      </w:r>
      <w:r>
        <w:rPr/>
        <w:t>in</w:t>
      </w:r>
      <w:r>
        <w:rPr>
          <w:spacing w:val="3"/>
        </w:rPr>
        <w:t> </w:t>
      </w:r>
      <w:r>
        <w:rPr/>
        <w:t>recent</w:t>
      </w:r>
      <w:r>
        <w:rPr>
          <w:spacing w:val="3"/>
        </w:rPr>
        <w:t> </w:t>
      </w:r>
      <w:r>
        <w:rPr/>
        <w:t>years.</w:t>
      </w:r>
      <w:r>
        <w:rPr>
          <w:spacing w:val="4"/>
        </w:rPr>
        <w:t> </w:t>
      </w:r>
      <w:r>
        <w:rPr/>
        <w:t>Of</w:t>
      </w:r>
      <w:r>
        <w:rPr>
          <w:spacing w:val="3"/>
        </w:rPr>
        <w:t> </w:t>
      </w:r>
      <w:r>
        <w:rPr/>
        <w:t>the</w:t>
      </w:r>
      <w:r>
        <w:rPr>
          <w:spacing w:val="4"/>
        </w:rPr>
        <w:t> </w:t>
      </w:r>
      <w:r>
        <w:rPr/>
        <w:t>750</w:t>
      </w:r>
      <w:r>
        <w:rPr>
          <w:spacing w:val="3"/>
        </w:rPr>
        <w:t> </w:t>
      </w:r>
      <w:r>
        <w:rPr/>
        <w:t>awardees,</w:t>
      </w:r>
      <w:r>
        <w:rPr>
          <w:spacing w:val="4"/>
        </w:rPr>
        <w:t> </w:t>
      </w:r>
      <w:r>
        <w:rPr/>
        <w:t>only</w:t>
      </w:r>
      <w:r>
        <w:rPr>
          <w:spacing w:val="3"/>
        </w:rPr>
        <w:t> </w:t>
      </w:r>
      <w:r>
        <w:rPr/>
        <w:t>about</w:t>
      </w:r>
      <w:r>
        <w:rPr>
          <w:spacing w:val="4"/>
        </w:rPr>
        <w:t> </w:t>
      </w:r>
      <w:r>
        <w:rPr>
          <w:spacing w:val="-5"/>
        </w:rPr>
        <w:t>100</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175"/>
        <w:rPr>
          <w:sz w:val="24"/>
        </w:rPr>
      </w:pPr>
    </w:p>
    <w:p>
      <w:pPr>
        <w:pStyle w:val="Heading8"/>
        <w:ind w:left="1995"/>
      </w:pPr>
      <w:r>
        <w:rPr/>
        <mc:AlternateContent>
          <mc:Choice Requires="wps">
            <w:drawing>
              <wp:anchor distT="0" distB="0" distL="0" distR="0" allowOverlap="1" layoutInCell="1" locked="0" behindDoc="0" simplePos="0" relativeHeight="15822848">
                <wp:simplePos x="0" y="0"/>
                <wp:positionH relativeFrom="page">
                  <wp:posOffset>1270460</wp:posOffset>
                </wp:positionH>
                <wp:positionV relativeFrom="paragraph">
                  <wp:posOffset>240535</wp:posOffset>
                </wp:positionV>
                <wp:extent cx="5042535" cy="2514600"/>
                <wp:effectExtent l="0" t="0" r="0" b="0"/>
                <wp:wrapNone/>
                <wp:docPr id="1526" name="Group 1526"/>
                <wp:cNvGraphicFramePr>
                  <a:graphicFrameLocks/>
                </wp:cNvGraphicFramePr>
                <a:graphic>
                  <a:graphicData uri="http://schemas.microsoft.com/office/word/2010/wordprocessingGroup">
                    <wpg:wgp>
                      <wpg:cNvPr id="1526" name="Group 1526"/>
                      <wpg:cNvGrpSpPr/>
                      <wpg:grpSpPr>
                        <a:xfrm>
                          <a:off x="0" y="0"/>
                          <a:ext cx="5042535" cy="2514600"/>
                          <a:chExt cx="5042535" cy="2514600"/>
                        </a:xfrm>
                      </wpg:grpSpPr>
                      <wps:wsp>
                        <wps:cNvPr id="1527" name="Graphic 1527"/>
                        <wps:cNvSpPr/>
                        <wps:spPr>
                          <a:xfrm>
                            <a:off x="-3" y="0"/>
                            <a:ext cx="5042535" cy="2514600"/>
                          </a:xfrm>
                          <a:custGeom>
                            <a:avLst/>
                            <a:gdLst/>
                            <a:ahLst/>
                            <a:cxnLst/>
                            <a:rect l="l" t="t" r="r" b="b"/>
                            <a:pathLst>
                              <a:path w="5042535" h="2514600">
                                <a:moveTo>
                                  <a:pt x="5042217" y="0"/>
                                </a:moveTo>
                                <a:lnTo>
                                  <a:pt x="5035867" y="0"/>
                                </a:lnTo>
                                <a:lnTo>
                                  <a:pt x="5035867" y="2540"/>
                                </a:lnTo>
                                <a:lnTo>
                                  <a:pt x="5035867" y="5778"/>
                                </a:lnTo>
                                <a:lnTo>
                                  <a:pt x="5035867" y="6350"/>
                                </a:lnTo>
                                <a:lnTo>
                                  <a:pt x="5035867" y="2507678"/>
                                </a:lnTo>
                                <a:lnTo>
                                  <a:pt x="6350" y="2507678"/>
                                </a:lnTo>
                                <a:lnTo>
                                  <a:pt x="6350" y="6350"/>
                                </a:lnTo>
                                <a:lnTo>
                                  <a:pt x="3175" y="6350"/>
                                </a:lnTo>
                                <a:lnTo>
                                  <a:pt x="3175" y="5778"/>
                                </a:lnTo>
                                <a:lnTo>
                                  <a:pt x="6350" y="5778"/>
                                </a:lnTo>
                                <a:lnTo>
                                  <a:pt x="5035867" y="5778"/>
                                </a:lnTo>
                                <a:lnTo>
                                  <a:pt x="5035867" y="2603"/>
                                </a:lnTo>
                                <a:lnTo>
                                  <a:pt x="6350" y="2603"/>
                                </a:lnTo>
                                <a:lnTo>
                                  <a:pt x="3175" y="2603"/>
                                </a:lnTo>
                                <a:lnTo>
                                  <a:pt x="5035867" y="2540"/>
                                </a:lnTo>
                                <a:lnTo>
                                  <a:pt x="5035867" y="0"/>
                                </a:lnTo>
                                <a:lnTo>
                                  <a:pt x="0" y="0"/>
                                </a:lnTo>
                                <a:lnTo>
                                  <a:pt x="0" y="2540"/>
                                </a:lnTo>
                                <a:lnTo>
                                  <a:pt x="0" y="6350"/>
                                </a:lnTo>
                                <a:lnTo>
                                  <a:pt x="0" y="2508250"/>
                                </a:lnTo>
                                <a:lnTo>
                                  <a:pt x="0" y="2510790"/>
                                </a:lnTo>
                                <a:lnTo>
                                  <a:pt x="0" y="2514600"/>
                                </a:lnTo>
                                <a:lnTo>
                                  <a:pt x="5042217" y="2514600"/>
                                </a:lnTo>
                                <a:lnTo>
                                  <a:pt x="5042217" y="6350"/>
                                </a:lnTo>
                                <a:lnTo>
                                  <a:pt x="5039042" y="6350"/>
                                </a:lnTo>
                                <a:lnTo>
                                  <a:pt x="5039042" y="5778"/>
                                </a:lnTo>
                                <a:lnTo>
                                  <a:pt x="5042217" y="5778"/>
                                </a:lnTo>
                                <a:lnTo>
                                  <a:pt x="5042217" y="2603"/>
                                </a:lnTo>
                                <a:lnTo>
                                  <a:pt x="5039042" y="2603"/>
                                </a:lnTo>
                                <a:lnTo>
                                  <a:pt x="5042217" y="2540"/>
                                </a:lnTo>
                                <a:lnTo>
                                  <a:pt x="5042217" y="0"/>
                                </a:lnTo>
                                <a:close/>
                              </a:path>
                            </a:pathLst>
                          </a:custGeom>
                          <a:solidFill>
                            <a:srgbClr val="000000"/>
                          </a:solidFill>
                        </wps:spPr>
                        <wps:bodyPr wrap="square" lIns="0" tIns="0" rIns="0" bIns="0" rtlCol="0">
                          <a:prstTxWarp prst="textNoShape">
                            <a:avLst/>
                          </a:prstTxWarp>
                          <a:noAutofit/>
                        </wps:bodyPr>
                      </wps:wsp>
                      <wps:wsp>
                        <wps:cNvPr id="1528" name="Graphic 1528"/>
                        <wps:cNvSpPr/>
                        <wps:spPr>
                          <a:xfrm>
                            <a:off x="838108" y="1756105"/>
                            <a:ext cx="3736340" cy="366395"/>
                          </a:xfrm>
                          <a:custGeom>
                            <a:avLst/>
                            <a:gdLst/>
                            <a:ahLst/>
                            <a:cxnLst/>
                            <a:rect l="l" t="t" r="r" b="b"/>
                            <a:pathLst>
                              <a:path w="3736340" h="366395">
                                <a:moveTo>
                                  <a:pt x="439928" y="7162"/>
                                </a:moveTo>
                                <a:lnTo>
                                  <a:pt x="0" y="7162"/>
                                </a:lnTo>
                                <a:lnTo>
                                  <a:pt x="0" y="365975"/>
                                </a:lnTo>
                                <a:lnTo>
                                  <a:pt x="439928" y="365975"/>
                                </a:lnTo>
                                <a:lnTo>
                                  <a:pt x="439928" y="7162"/>
                                </a:lnTo>
                                <a:close/>
                              </a:path>
                              <a:path w="3736340" h="366395">
                                <a:moveTo>
                                  <a:pt x="1543367" y="0"/>
                                </a:moveTo>
                                <a:lnTo>
                                  <a:pt x="1096225" y="0"/>
                                </a:lnTo>
                                <a:lnTo>
                                  <a:pt x="1096225" y="365975"/>
                                </a:lnTo>
                                <a:lnTo>
                                  <a:pt x="1543367" y="365975"/>
                                </a:lnTo>
                                <a:lnTo>
                                  <a:pt x="1543367" y="0"/>
                                </a:lnTo>
                                <a:close/>
                              </a:path>
                              <a:path w="3736340" h="366395">
                                <a:moveTo>
                                  <a:pt x="2639606" y="50228"/>
                                </a:moveTo>
                                <a:lnTo>
                                  <a:pt x="2199652" y="50228"/>
                                </a:lnTo>
                                <a:lnTo>
                                  <a:pt x="2199652" y="365975"/>
                                </a:lnTo>
                                <a:lnTo>
                                  <a:pt x="2639606" y="365975"/>
                                </a:lnTo>
                                <a:lnTo>
                                  <a:pt x="2639606" y="50228"/>
                                </a:lnTo>
                                <a:close/>
                              </a:path>
                              <a:path w="3736340" h="366395">
                                <a:moveTo>
                                  <a:pt x="3735806" y="150698"/>
                                </a:moveTo>
                                <a:lnTo>
                                  <a:pt x="3295878" y="150698"/>
                                </a:lnTo>
                                <a:lnTo>
                                  <a:pt x="3295878" y="365975"/>
                                </a:lnTo>
                                <a:lnTo>
                                  <a:pt x="3735806" y="365975"/>
                                </a:lnTo>
                                <a:lnTo>
                                  <a:pt x="3735806" y="150698"/>
                                </a:lnTo>
                                <a:close/>
                              </a:path>
                            </a:pathLst>
                          </a:custGeom>
                          <a:solidFill>
                            <a:srgbClr val="3D619D"/>
                          </a:solidFill>
                        </wps:spPr>
                        <wps:bodyPr wrap="square" lIns="0" tIns="0" rIns="0" bIns="0" rtlCol="0">
                          <a:prstTxWarp prst="textNoShape">
                            <a:avLst/>
                          </a:prstTxWarp>
                          <a:noAutofit/>
                        </wps:bodyPr>
                      </wps:wsp>
                      <wps:wsp>
                        <wps:cNvPr id="1529" name="Graphic 1529"/>
                        <wps:cNvSpPr/>
                        <wps:spPr>
                          <a:xfrm>
                            <a:off x="838108" y="1397292"/>
                            <a:ext cx="3736340" cy="509905"/>
                          </a:xfrm>
                          <a:custGeom>
                            <a:avLst/>
                            <a:gdLst/>
                            <a:ahLst/>
                            <a:cxnLst/>
                            <a:rect l="l" t="t" r="r" b="b"/>
                            <a:pathLst>
                              <a:path w="3736340" h="509905">
                                <a:moveTo>
                                  <a:pt x="439928" y="35877"/>
                                </a:moveTo>
                                <a:lnTo>
                                  <a:pt x="0" y="35877"/>
                                </a:lnTo>
                                <a:lnTo>
                                  <a:pt x="0" y="365975"/>
                                </a:lnTo>
                                <a:lnTo>
                                  <a:pt x="439928" y="365975"/>
                                </a:lnTo>
                                <a:lnTo>
                                  <a:pt x="439928" y="35877"/>
                                </a:lnTo>
                                <a:close/>
                              </a:path>
                              <a:path w="3736340" h="509905">
                                <a:moveTo>
                                  <a:pt x="1543367" y="0"/>
                                </a:moveTo>
                                <a:lnTo>
                                  <a:pt x="1096225" y="0"/>
                                </a:lnTo>
                                <a:lnTo>
                                  <a:pt x="1096225" y="358813"/>
                                </a:lnTo>
                                <a:lnTo>
                                  <a:pt x="1543367" y="358813"/>
                                </a:lnTo>
                                <a:lnTo>
                                  <a:pt x="1543367" y="0"/>
                                </a:lnTo>
                                <a:close/>
                              </a:path>
                              <a:path w="3736340" h="509905">
                                <a:moveTo>
                                  <a:pt x="2639606" y="28702"/>
                                </a:moveTo>
                                <a:lnTo>
                                  <a:pt x="2199652" y="28702"/>
                                </a:lnTo>
                                <a:lnTo>
                                  <a:pt x="2199652" y="409041"/>
                                </a:lnTo>
                                <a:lnTo>
                                  <a:pt x="2639606" y="409041"/>
                                </a:lnTo>
                                <a:lnTo>
                                  <a:pt x="2639606" y="28702"/>
                                </a:lnTo>
                                <a:close/>
                              </a:path>
                              <a:path w="3736340" h="509905">
                                <a:moveTo>
                                  <a:pt x="3735806" y="165049"/>
                                </a:moveTo>
                                <a:lnTo>
                                  <a:pt x="3295878" y="165049"/>
                                </a:lnTo>
                                <a:lnTo>
                                  <a:pt x="3295878" y="509511"/>
                                </a:lnTo>
                                <a:lnTo>
                                  <a:pt x="3735806" y="509511"/>
                                </a:lnTo>
                                <a:lnTo>
                                  <a:pt x="3735806" y="165049"/>
                                </a:lnTo>
                                <a:close/>
                              </a:path>
                            </a:pathLst>
                          </a:custGeom>
                          <a:solidFill>
                            <a:srgbClr val="2F7D41"/>
                          </a:solidFill>
                        </wps:spPr>
                        <wps:bodyPr wrap="square" lIns="0" tIns="0" rIns="0" bIns="0" rtlCol="0">
                          <a:prstTxWarp prst="textNoShape">
                            <a:avLst/>
                          </a:prstTxWarp>
                          <a:noAutofit/>
                        </wps:bodyPr>
                      </wps:wsp>
                      <wps:wsp>
                        <wps:cNvPr id="1530" name="Graphic 1530"/>
                        <wps:cNvSpPr/>
                        <wps:spPr>
                          <a:xfrm>
                            <a:off x="838108" y="1095882"/>
                            <a:ext cx="3736340" cy="466725"/>
                          </a:xfrm>
                          <a:custGeom>
                            <a:avLst/>
                            <a:gdLst/>
                            <a:ahLst/>
                            <a:cxnLst/>
                            <a:rect l="l" t="t" r="r" b="b"/>
                            <a:pathLst>
                              <a:path w="3736340" h="466725">
                                <a:moveTo>
                                  <a:pt x="439928" y="71767"/>
                                </a:moveTo>
                                <a:lnTo>
                                  <a:pt x="0" y="71767"/>
                                </a:lnTo>
                                <a:lnTo>
                                  <a:pt x="0" y="337286"/>
                                </a:lnTo>
                                <a:lnTo>
                                  <a:pt x="439928" y="337286"/>
                                </a:lnTo>
                                <a:lnTo>
                                  <a:pt x="439928" y="71767"/>
                                </a:lnTo>
                                <a:close/>
                              </a:path>
                              <a:path w="3736340" h="466725">
                                <a:moveTo>
                                  <a:pt x="1543367" y="14351"/>
                                </a:moveTo>
                                <a:lnTo>
                                  <a:pt x="1096225" y="14351"/>
                                </a:lnTo>
                                <a:lnTo>
                                  <a:pt x="1096225" y="301409"/>
                                </a:lnTo>
                                <a:lnTo>
                                  <a:pt x="1543367" y="301409"/>
                                </a:lnTo>
                                <a:lnTo>
                                  <a:pt x="1543367" y="14351"/>
                                </a:lnTo>
                                <a:close/>
                              </a:path>
                              <a:path w="3736340" h="466725">
                                <a:moveTo>
                                  <a:pt x="2639606" y="0"/>
                                </a:moveTo>
                                <a:lnTo>
                                  <a:pt x="2199652" y="0"/>
                                </a:lnTo>
                                <a:lnTo>
                                  <a:pt x="2199652" y="330111"/>
                                </a:lnTo>
                                <a:lnTo>
                                  <a:pt x="2639606" y="330111"/>
                                </a:lnTo>
                                <a:lnTo>
                                  <a:pt x="2639606" y="0"/>
                                </a:lnTo>
                                <a:close/>
                              </a:path>
                              <a:path w="3736340" h="466725">
                                <a:moveTo>
                                  <a:pt x="3735806" y="215290"/>
                                </a:moveTo>
                                <a:lnTo>
                                  <a:pt x="3295878" y="215290"/>
                                </a:lnTo>
                                <a:lnTo>
                                  <a:pt x="3295878" y="466458"/>
                                </a:lnTo>
                                <a:lnTo>
                                  <a:pt x="3735806" y="466458"/>
                                </a:lnTo>
                                <a:lnTo>
                                  <a:pt x="3735806" y="215290"/>
                                </a:lnTo>
                                <a:close/>
                              </a:path>
                            </a:pathLst>
                          </a:custGeom>
                          <a:solidFill>
                            <a:srgbClr val="A7B1D4"/>
                          </a:solidFill>
                        </wps:spPr>
                        <wps:bodyPr wrap="square" lIns="0" tIns="0" rIns="0" bIns="0" rtlCol="0">
                          <a:prstTxWarp prst="textNoShape">
                            <a:avLst/>
                          </a:prstTxWarp>
                          <a:noAutofit/>
                        </wps:bodyPr>
                      </wps:wsp>
                      <wps:wsp>
                        <wps:cNvPr id="1531" name="Graphic 1531"/>
                        <wps:cNvSpPr/>
                        <wps:spPr>
                          <a:xfrm>
                            <a:off x="838108" y="859065"/>
                            <a:ext cx="3736340" cy="452120"/>
                          </a:xfrm>
                          <a:custGeom>
                            <a:avLst/>
                            <a:gdLst/>
                            <a:ahLst/>
                            <a:cxnLst/>
                            <a:rect l="l" t="t" r="r" b="b"/>
                            <a:pathLst>
                              <a:path w="3736340" h="452120">
                                <a:moveTo>
                                  <a:pt x="439928" y="28702"/>
                                </a:moveTo>
                                <a:lnTo>
                                  <a:pt x="0" y="28702"/>
                                </a:lnTo>
                                <a:lnTo>
                                  <a:pt x="0" y="308584"/>
                                </a:lnTo>
                                <a:lnTo>
                                  <a:pt x="439928" y="308584"/>
                                </a:lnTo>
                                <a:lnTo>
                                  <a:pt x="439928" y="28702"/>
                                </a:lnTo>
                                <a:close/>
                              </a:path>
                              <a:path w="3736340" h="452120">
                                <a:moveTo>
                                  <a:pt x="1543367" y="0"/>
                                </a:moveTo>
                                <a:lnTo>
                                  <a:pt x="1096225" y="0"/>
                                </a:lnTo>
                                <a:lnTo>
                                  <a:pt x="1096225" y="251167"/>
                                </a:lnTo>
                                <a:lnTo>
                                  <a:pt x="1543367" y="251167"/>
                                </a:lnTo>
                                <a:lnTo>
                                  <a:pt x="1543367" y="0"/>
                                </a:lnTo>
                                <a:close/>
                              </a:path>
                              <a:path w="3736340" h="452120">
                                <a:moveTo>
                                  <a:pt x="2639606" y="0"/>
                                </a:moveTo>
                                <a:lnTo>
                                  <a:pt x="2199652" y="0"/>
                                </a:lnTo>
                                <a:lnTo>
                                  <a:pt x="2199652" y="236816"/>
                                </a:lnTo>
                                <a:lnTo>
                                  <a:pt x="2639606" y="236816"/>
                                </a:lnTo>
                                <a:lnTo>
                                  <a:pt x="2639606" y="0"/>
                                </a:lnTo>
                                <a:close/>
                              </a:path>
                              <a:path w="3736340" h="452120">
                                <a:moveTo>
                                  <a:pt x="3735806" y="136347"/>
                                </a:moveTo>
                                <a:lnTo>
                                  <a:pt x="3295878" y="136347"/>
                                </a:lnTo>
                                <a:lnTo>
                                  <a:pt x="3295878" y="452107"/>
                                </a:lnTo>
                                <a:lnTo>
                                  <a:pt x="3735806" y="452107"/>
                                </a:lnTo>
                                <a:lnTo>
                                  <a:pt x="3735806" y="136347"/>
                                </a:lnTo>
                                <a:close/>
                              </a:path>
                            </a:pathLst>
                          </a:custGeom>
                          <a:solidFill>
                            <a:srgbClr val="F2E499"/>
                          </a:solidFill>
                        </wps:spPr>
                        <wps:bodyPr wrap="square" lIns="0" tIns="0" rIns="0" bIns="0" rtlCol="0">
                          <a:prstTxWarp prst="textNoShape">
                            <a:avLst/>
                          </a:prstTxWarp>
                          <a:noAutofit/>
                        </wps:bodyPr>
                      </wps:wsp>
                      <wps:wsp>
                        <wps:cNvPr id="1532" name="Graphic 1532"/>
                        <wps:cNvSpPr/>
                        <wps:spPr>
                          <a:xfrm>
                            <a:off x="838108" y="729894"/>
                            <a:ext cx="3736340" cy="266065"/>
                          </a:xfrm>
                          <a:custGeom>
                            <a:avLst/>
                            <a:gdLst/>
                            <a:ahLst/>
                            <a:cxnLst/>
                            <a:rect l="l" t="t" r="r" b="b"/>
                            <a:pathLst>
                              <a:path w="3736340" h="266065">
                                <a:moveTo>
                                  <a:pt x="439928" y="78943"/>
                                </a:moveTo>
                                <a:lnTo>
                                  <a:pt x="0" y="78943"/>
                                </a:lnTo>
                                <a:lnTo>
                                  <a:pt x="0" y="157873"/>
                                </a:lnTo>
                                <a:lnTo>
                                  <a:pt x="439928" y="157873"/>
                                </a:lnTo>
                                <a:lnTo>
                                  <a:pt x="439928" y="78943"/>
                                </a:lnTo>
                                <a:close/>
                              </a:path>
                              <a:path w="3736340" h="266065">
                                <a:moveTo>
                                  <a:pt x="1543367" y="21526"/>
                                </a:moveTo>
                                <a:lnTo>
                                  <a:pt x="1096225" y="21526"/>
                                </a:lnTo>
                                <a:lnTo>
                                  <a:pt x="1096225" y="129171"/>
                                </a:lnTo>
                                <a:lnTo>
                                  <a:pt x="1543367" y="129171"/>
                                </a:lnTo>
                                <a:lnTo>
                                  <a:pt x="1543367" y="21526"/>
                                </a:lnTo>
                                <a:close/>
                              </a:path>
                              <a:path w="3736340" h="266065">
                                <a:moveTo>
                                  <a:pt x="2639606" y="0"/>
                                </a:moveTo>
                                <a:lnTo>
                                  <a:pt x="2199652" y="0"/>
                                </a:lnTo>
                                <a:lnTo>
                                  <a:pt x="2199652" y="129171"/>
                                </a:lnTo>
                                <a:lnTo>
                                  <a:pt x="2639606" y="129171"/>
                                </a:lnTo>
                                <a:lnTo>
                                  <a:pt x="2639606" y="0"/>
                                </a:lnTo>
                                <a:close/>
                              </a:path>
                              <a:path w="3736340" h="266065">
                                <a:moveTo>
                                  <a:pt x="3735806" y="35890"/>
                                </a:moveTo>
                                <a:lnTo>
                                  <a:pt x="3295878" y="35890"/>
                                </a:lnTo>
                                <a:lnTo>
                                  <a:pt x="3295878" y="265518"/>
                                </a:lnTo>
                                <a:lnTo>
                                  <a:pt x="3735806" y="265518"/>
                                </a:lnTo>
                                <a:lnTo>
                                  <a:pt x="3735806" y="35890"/>
                                </a:lnTo>
                                <a:close/>
                              </a:path>
                            </a:pathLst>
                          </a:custGeom>
                          <a:solidFill>
                            <a:srgbClr val="E3C626"/>
                          </a:solidFill>
                        </wps:spPr>
                        <wps:bodyPr wrap="square" lIns="0" tIns="0" rIns="0" bIns="0" rtlCol="0">
                          <a:prstTxWarp prst="textNoShape">
                            <a:avLst/>
                          </a:prstTxWarp>
                          <a:noAutofit/>
                        </wps:bodyPr>
                      </wps:wsp>
                      <wps:wsp>
                        <wps:cNvPr id="1533" name="Graphic 1533"/>
                        <wps:cNvSpPr/>
                        <wps:spPr>
                          <a:xfrm>
                            <a:off x="838108" y="543305"/>
                            <a:ext cx="3736340" cy="266065"/>
                          </a:xfrm>
                          <a:custGeom>
                            <a:avLst/>
                            <a:gdLst/>
                            <a:ahLst/>
                            <a:cxnLst/>
                            <a:rect l="l" t="t" r="r" b="b"/>
                            <a:pathLst>
                              <a:path w="3736340" h="266065">
                                <a:moveTo>
                                  <a:pt x="439928" y="0"/>
                                </a:moveTo>
                                <a:lnTo>
                                  <a:pt x="0" y="0"/>
                                </a:lnTo>
                                <a:lnTo>
                                  <a:pt x="0" y="265531"/>
                                </a:lnTo>
                                <a:lnTo>
                                  <a:pt x="439928" y="265531"/>
                                </a:lnTo>
                                <a:lnTo>
                                  <a:pt x="439928" y="0"/>
                                </a:lnTo>
                                <a:close/>
                              </a:path>
                              <a:path w="3736340" h="266065">
                                <a:moveTo>
                                  <a:pt x="1543367" y="0"/>
                                </a:moveTo>
                                <a:lnTo>
                                  <a:pt x="1096225" y="0"/>
                                </a:lnTo>
                                <a:lnTo>
                                  <a:pt x="1096225" y="208114"/>
                                </a:lnTo>
                                <a:lnTo>
                                  <a:pt x="1543367" y="208114"/>
                                </a:lnTo>
                                <a:lnTo>
                                  <a:pt x="1543367" y="0"/>
                                </a:lnTo>
                                <a:close/>
                              </a:path>
                              <a:path w="3736340" h="266065">
                                <a:moveTo>
                                  <a:pt x="2639606" y="0"/>
                                </a:moveTo>
                                <a:lnTo>
                                  <a:pt x="2199652" y="0"/>
                                </a:lnTo>
                                <a:lnTo>
                                  <a:pt x="2199652" y="186588"/>
                                </a:lnTo>
                                <a:lnTo>
                                  <a:pt x="2639606" y="186588"/>
                                </a:lnTo>
                                <a:lnTo>
                                  <a:pt x="2639606" y="0"/>
                                </a:lnTo>
                                <a:close/>
                              </a:path>
                              <a:path w="3736340" h="266065">
                                <a:moveTo>
                                  <a:pt x="3735806" y="0"/>
                                </a:moveTo>
                                <a:lnTo>
                                  <a:pt x="3295878" y="0"/>
                                </a:lnTo>
                                <a:lnTo>
                                  <a:pt x="3295878" y="222478"/>
                                </a:lnTo>
                                <a:lnTo>
                                  <a:pt x="3735806" y="222478"/>
                                </a:lnTo>
                                <a:lnTo>
                                  <a:pt x="3735806" y="0"/>
                                </a:lnTo>
                                <a:close/>
                              </a:path>
                            </a:pathLst>
                          </a:custGeom>
                          <a:solidFill>
                            <a:srgbClr val="9CBF3B"/>
                          </a:solidFill>
                        </wps:spPr>
                        <wps:bodyPr wrap="square" lIns="0" tIns="0" rIns="0" bIns="0" rtlCol="0">
                          <a:prstTxWarp prst="textNoShape">
                            <a:avLst/>
                          </a:prstTxWarp>
                          <a:noAutofit/>
                        </wps:bodyPr>
                      </wps:wsp>
                      <wps:wsp>
                        <wps:cNvPr id="1534" name="Graphic 1534"/>
                        <wps:cNvSpPr/>
                        <wps:spPr>
                          <a:xfrm>
                            <a:off x="481530" y="540130"/>
                            <a:ext cx="4427855" cy="1621155"/>
                          </a:xfrm>
                          <a:custGeom>
                            <a:avLst/>
                            <a:gdLst/>
                            <a:ahLst/>
                            <a:cxnLst/>
                            <a:rect l="l" t="t" r="r" b="b"/>
                            <a:pathLst>
                              <a:path w="4427855" h="1621155">
                                <a:moveTo>
                                  <a:pt x="4427334" y="1578775"/>
                                </a:moveTo>
                                <a:lnTo>
                                  <a:pt x="4427334" y="1578775"/>
                                </a:lnTo>
                                <a:lnTo>
                                  <a:pt x="35191" y="1578775"/>
                                </a:lnTo>
                                <a:lnTo>
                                  <a:pt x="35191" y="0"/>
                                </a:lnTo>
                                <a:lnTo>
                                  <a:pt x="28841" y="0"/>
                                </a:lnTo>
                                <a:lnTo>
                                  <a:pt x="0" y="0"/>
                                </a:lnTo>
                                <a:lnTo>
                                  <a:pt x="0" y="6350"/>
                                </a:lnTo>
                                <a:lnTo>
                                  <a:pt x="28841" y="6350"/>
                                </a:lnTo>
                                <a:lnTo>
                                  <a:pt x="28841" y="315760"/>
                                </a:lnTo>
                                <a:lnTo>
                                  <a:pt x="0" y="315760"/>
                                </a:lnTo>
                                <a:lnTo>
                                  <a:pt x="0" y="322110"/>
                                </a:lnTo>
                                <a:lnTo>
                                  <a:pt x="28841" y="322110"/>
                                </a:lnTo>
                                <a:lnTo>
                                  <a:pt x="28841" y="631520"/>
                                </a:lnTo>
                                <a:lnTo>
                                  <a:pt x="0" y="631520"/>
                                </a:lnTo>
                                <a:lnTo>
                                  <a:pt x="0" y="637870"/>
                                </a:lnTo>
                                <a:lnTo>
                                  <a:pt x="28841" y="637870"/>
                                </a:lnTo>
                                <a:lnTo>
                                  <a:pt x="28841" y="947280"/>
                                </a:lnTo>
                                <a:lnTo>
                                  <a:pt x="0" y="947280"/>
                                </a:lnTo>
                                <a:lnTo>
                                  <a:pt x="0" y="953630"/>
                                </a:lnTo>
                                <a:lnTo>
                                  <a:pt x="28841" y="953630"/>
                                </a:lnTo>
                                <a:lnTo>
                                  <a:pt x="28841" y="1263027"/>
                                </a:lnTo>
                                <a:lnTo>
                                  <a:pt x="0" y="1263027"/>
                                </a:lnTo>
                                <a:lnTo>
                                  <a:pt x="0" y="1269377"/>
                                </a:lnTo>
                                <a:lnTo>
                                  <a:pt x="28841" y="1269377"/>
                                </a:lnTo>
                                <a:lnTo>
                                  <a:pt x="28841" y="1578775"/>
                                </a:lnTo>
                                <a:lnTo>
                                  <a:pt x="0" y="1578775"/>
                                </a:lnTo>
                                <a:lnTo>
                                  <a:pt x="0" y="1585125"/>
                                </a:lnTo>
                                <a:lnTo>
                                  <a:pt x="28841" y="1585125"/>
                                </a:lnTo>
                                <a:lnTo>
                                  <a:pt x="28841" y="1621015"/>
                                </a:lnTo>
                                <a:lnTo>
                                  <a:pt x="35191" y="1621015"/>
                                </a:lnTo>
                                <a:lnTo>
                                  <a:pt x="35191" y="1585125"/>
                                </a:lnTo>
                                <a:lnTo>
                                  <a:pt x="1125080" y="1585125"/>
                                </a:lnTo>
                                <a:lnTo>
                                  <a:pt x="1125080" y="1621015"/>
                                </a:lnTo>
                                <a:lnTo>
                                  <a:pt x="1131430" y="1621015"/>
                                </a:lnTo>
                                <a:lnTo>
                                  <a:pt x="1131430" y="1585125"/>
                                </a:lnTo>
                                <a:lnTo>
                                  <a:pt x="2228519" y="1585125"/>
                                </a:lnTo>
                                <a:lnTo>
                                  <a:pt x="2228519" y="1621015"/>
                                </a:lnTo>
                                <a:lnTo>
                                  <a:pt x="2234869" y="1621015"/>
                                </a:lnTo>
                                <a:lnTo>
                                  <a:pt x="2234869" y="1585125"/>
                                </a:lnTo>
                                <a:lnTo>
                                  <a:pt x="3324745" y="1585125"/>
                                </a:lnTo>
                                <a:lnTo>
                                  <a:pt x="3324745" y="1621015"/>
                                </a:lnTo>
                                <a:lnTo>
                                  <a:pt x="3331095" y="1621015"/>
                                </a:lnTo>
                                <a:lnTo>
                                  <a:pt x="3331095" y="1585125"/>
                                </a:lnTo>
                                <a:lnTo>
                                  <a:pt x="4420984" y="1585125"/>
                                </a:lnTo>
                                <a:lnTo>
                                  <a:pt x="4420984" y="1621015"/>
                                </a:lnTo>
                                <a:lnTo>
                                  <a:pt x="4427334" y="1621015"/>
                                </a:lnTo>
                                <a:lnTo>
                                  <a:pt x="4427334" y="1578775"/>
                                </a:lnTo>
                                <a:close/>
                              </a:path>
                            </a:pathLst>
                          </a:custGeom>
                          <a:solidFill>
                            <a:srgbClr val="000000"/>
                          </a:solidFill>
                        </wps:spPr>
                        <wps:bodyPr wrap="square" lIns="0" tIns="0" rIns="0" bIns="0" rtlCol="0">
                          <a:prstTxWarp prst="textNoShape">
                            <a:avLst/>
                          </a:prstTxWarp>
                          <a:noAutofit/>
                        </wps:bodyPr>
                      </wps:wsp>
                      <wps:wsp>
                        <wps:cNvPr id="1535" name="Graphic 1535"/>
                        <wps:cNvSpPr/>
                        <wps:spPr>
                          <a:xfrm>
                            <a:off x="2006806" y="99602"/>
                            <a:ext cx="50800" cy="50800"/>
                          </a:xfrm>
                          <a:custGeom>
                            <a:avLst/>
                            <a:gdLst/>
                            <a:ahLst/>
                            <a:cxnLst/>
                            <a:rect l="l" t="t" r="r" b="b"/>
                            <a:pathLst>
                              <a:path w="50800" h="50800">
                                <a:moveTo>
                                  <a:pt x="50477" y="0"/>
                                </a:moveTo>
                                <a:lnTo>
                                  <a:pt x="0" y="0"/>
                                </a:lnTo>
                                <a:lnTo>
                                  <a:pt x="0" y="50242"/>
                                </a:lnTo>
                                <a:lnTo>
                                  <a:pt x="50477" y="50242"/>
                                </a:lnTo>
                                <a:lnTo>
                                  <a:pt x="50477" y="0"/>
                                </a:lnTo>
                                <a:close/>
                              </a:path>
                            </a:pathLst>
                          </a:custGeom>
                          <a:solidFill>
                            <a:srgbClr val="3D619D"/>
                          </a:solidFill>
                        </wps:spPr>
                        <wps:bodyPr wrap="square" lIns="0" tIns="0" rIns="0" bIns="0" rtlCol="0">
                          <a:prstTxWarp prst="textNoShape">
                            <a:avLst/>
                          </a:prstTxWarp>
                          <a:noAutofit/>
                        </wps:bodyPr>
                      </wps:wsp>
                      <wps:wsp>
                        <wps:cNvPr id="1536" name="Graphic 1536"/>
                        <wps:cNvSpPr/>
                        <wps:spPr>
                          <a:xfrm>
                            <a:off x="2504432" y="99602"/>
                            <a:ext cx="50800" cy="50800"/>
                          </a:xfrm>
                          <a:custGeom>
                            <a:avLst/>
                            <a:gdLst/>
                            <a:ahLst/>
                            <a:cxnLst/>
                            <a:rect l="l" t="t" r="r" b="b"/>
                            <a:pathLst>
                              <a:path w="50800" h="50800">
                                <a:moveTo>
                                  <a:pt x="50483" y="0"/>
                                </a:moveTo>
                                <a:lnTo>
                                  <a:pt x="0" y="0"/>
                                </a:lnTo>
                                <a:lnTo>
                                  <a:pt x="0" y="50242"/>
                                </a:lnTo>
                                <a:lnTo>
                                  <a:pt x="50483" y="50242"/>
                                </a:lnTo>
                                <a:lnTo>
                                  <a:pt x="50483" y="0"/>
                                </a:lnTo>
                                <a:close/>
                              </a:path>
                            </a:pathLst>
                          </a:custGeom>
                          <a:solidFill>
                            <a:srgbClr val="2F7D41"/>
                          </a:solidFill>
                        </wps:spPr>
                        <wps:bodyPr wrap="square" lIns="0" tIns="0" rIns="0" bIns="0" rtlCol="0">
                          <a:prstTxWarp prst="textNoShape">
                            <a:avLst/>
                          </a:prstTxWarp>
                          <a:noAutofit/>
                        </wps:bodyPr>
                      </wps:wsp>
                      <wps:wsp>
                        <wps:cNvPr id="1537" name="Graphic 1537"/>
                        <wps:cNvSpPr/>
                        <wps:spPr>
                          <a:xfrm>
                            <a:off x="3153508" y="99602"/>
                            <a:ext cx="50800" cy="50800"/>
                          </a:xfrm>
                          <a:custGeom>
                            <a:avLst/>
                            <a:gdLst/>
                            <a:ahLst/>
                            <a:cxnLst/>
                            <a:rect l="l" t="t" r="r" b="b"/>
                            <a:pathLst>
                              <a:path w="50800" h="50800">
                                <a:moveTo>
                                  <a:pt x="50483" y="0"/>
                                </a:moveTo>
                                <a:lnTo>
                                  <a:pt x="0" y="0"/>
                                </a:lnTo>
                                <a:lnTo>
                                  <a:pt x="0" y="50242"/>
                                </a:lnTo>
                                <a:lnTo>
                                  <a:pt x="50483" y="50242"/>
                                </a:lnTo>
                                <a:lnTo>
                                  <a:pt x="50483" y="0"/>
                                </a:lnTo>
                                <a:close/>
                              </a:path>
                            </a:pathLst>
                          </a:custGeom>
                          <a:solidFill>
                            <a:srgbClr val="A7B1D4"/>
                          </a:solidFill>
                        </wps:spPr>
                        <wps:bodyPr wrap="square" lIns="0" tIns="0" rIns="0" bIns="0" rtlCol="0">
                          <a:prstTxWarp prst="textNoShape">
                            <a:avLst/>
                          </a:prstTxWarp>
                          <a:noAutofit/>
                        </wps:bodyPr>
                      </wps:wsp>
                      <wps:wsp>
                        <wps:cNvPr id="1538" name="Graphic 1538"/>
                        <wps:cNvSpPr/>
                        <wps:spPr>
                          <a:xfrm>
                            <a:off x="3687218" y="99602"/>
                            <a:ext cx="50800" cy="50800"/>
                          </a:xfrm>
                          <a:custGeom>
                            <a:avLst/>
                            <a:gdLst/>
                            <a:ahLst/>
                            <a:cxnLst/>
                            <a:rect l="l" t="t" r="r" b="b"/>
                            <a:pathLst>
                              <a:path w="50800" h="50800">
                                <a:moveTo>
                                  <a:pt x="50465" y="0"/>
                                </a:moveTo>
                                <a:lnTo>
                                  <a:pt x="0" y="0"/>
                                </a:lnTo>
                                <a:lnTo>
                                  <a:pt x="0" y="50242"/>
                                </a:lnTo>
                                <a:lnTo>
                                  <a:pt x="50465" y="50242"/>
                                </a:lnTo>
                                <a:lnTo>
                                  <a:pt x="50465" y="0"/>
                                </a:lnTo>
                                <a:close/>
                              </a:path>
                            </a:pathLst>
                          </a:custGeom>
                          <a:solidFill>
                            <a:srgbClr val="F2E499"/>
                          </a:solidFill>
                        </wps:spPr>
                        <wps:bodyPr wrap="square" lIns="0" tIns="0" rIns="0" bIns="0" rtlCol="0">
                          <a:prstTxWarp prst="textNoShape">
                            <a:avLst/>
                          </a:prstTxWarp>
                          <a:noAutofit/>
                        </wps:bodyPr>
                      </wps:wsp>
                      <wps:wsp>
                        <wps:cNvPr id="1539" name="Graphic 1539"/>
                        <wps:cNvSpPr/>
                        <wps:spPr>
                          <a:xfrm>
                            <a:off x="4018956" y="99602"/>
                            <a:ext cx="50800" cy="50800"/>
                          </a:xfrm>
                          <a:custGeom>
                            <a:avLst/>
                            <a:gdLst/>
                            <a:ahLst/>
                            <a:cxnLst/>
                            <a:rect l="l" t="t" r="r" b="b"/>
                            <a:pathLst>
                              <a:path w="50800" h="50800">
                                <a:moveTo>
                                  <a:pt x="50489" y="0"/>
                                </a:moveTo>
                                <a:lnTo>
                                  <a:pt x="0" y="0"/>
                                </a:lnTo>
                                <a:lnTo>
                                  <a:pt x="0" y="50242"/>
                                </a:lnTo>
                                <a:lnTo>
                                  <a:pt x="50489" y="50242"/>
                                </a:lnTo>
                                <a:lnTo>
                                  <a:pt x="50489" y="0"/>
                                </a:lnTo>
                                <a:close/>
                              </a:path>
                            </a:pathLst>
                          </a:custGeom>
                          <a:solidFill>
                            <a:srgbClr val="E3C626"/>
                          </a:solidFill>
                        </wps:spPr>
                        <wps:bodyPr wrap="square" lIns="0" tIns="0" rIns="0" bIns="0" rtlCol="0">
                          <a:prstTxWarp prst="textNoShape">
                            <a:avLst/>
                          </a:prstTxWarp>
                          <a:noAutofit/>
                        </wps:bodyPr>
                      </wps:wsp>
                      <wps:wsp>
                        <wps:cNvPr id="1540" name="Graphic 1540"/>
                        <wps:cNvSpPr/>
                        <wps:spPr>
                          <a:xfrm>
                            <a:off x="4631967" y="99602"/>
                            <a:ext cx="50800" cy="50800"/>
                          </a:xfrm>
                          <a:custGeom>
                            <a:avLst/>
                            <a:gdLst/>
                            <a:ahLst/>
                            <a:cxnLst/>
                            <a:rect l="l" t="t" r="r" b="b"/>
                            <a:pathLst>
                              <a:path w="50800" h="50800">
                                <a:moveTo>
                                  <a:pt x="50489" y="0"/>
                                </a:moveTo>
                                <a:lnTo>
                                  <a:pt x="0" y="0"/>
                                </a:lnTo>
                                <a:lnTo>
                                  <a:pt x="0" y="50242"/>
                                </a:lnTo>
                                <a:lnTo>
                                  <a:pt x="50489" y="50242"/>
                                </a:lnTo>
                                <a:lnTo>
                                  <a:pt x="50489" y="0"/>
                                </a:lnTo>
                                <a:close/>
                              </a:path>
                            </a:pathLst>
                          </a:custGeom>
                          <a:solidFill>
                            <a:srgbClr val="9CBF3B"/>
                          </a:solidFill>
                        </wps:spPr>
                        <wps:bodyPr wrap="square" lIns="0" tIns="0" rIns="0" bIns="0" rtlCol="0">
                          <a:prstTxWarp prst="textNoShape">
                            <a:avLst/>
                          </a:prstTxWarp>
                          <a:noAutofit/>
                        </wps:bodyPr>
                      </wps:wsp>
                      <wps:wsp>
                        <wps:cNvPr id="1541" name="Textbox 1541"/>
                        <wps:cNvSpPr txBox="1"/>
                        <wps:spPr>
                          <a:xfrm>
                            <a:off x="2099425" y="69274"/>
                            <a:ext cx="902969" cy="102235"/>
                          </a:xfrm>
                          <a:prstGeom prst="rect">
                            <a:avLst/>
                          </a:prstGeom>
                        </wps:spPr>
                        <wps:txbx>
                          <w:txbxContent>
                            <w:p>
                              <w:pPr>
                                <w:tabs>
                                  <w:tab w:pos="788" w:val="left" w:leader="none"/>
                                </w:tabs>
                                <w:spacing w:line="161" w:lineRule="exact" w:before="0"/>
                                <w:ind w:left="0" w:right="0" w:firstLine="0"/>
                                <w:jc w:val="left"/>
                                <w:rPr>
                                  <w:rFonts w:ascii="Arial MT"/>
                                  <w:sz w:val="14"/>
                                </w:rPr>
                              </w:pPr>
                              <w:r>
                                <w:rPr>
                                  <w:rFonts w:ascii="Arial MT"/>
                                  <w:spacing w:val="-2"/>
                                  <w:w w:val="90"/>
                                  <w:sz w:val="14"/>
                                </w:rPr>
                                <w:t>Science</w:t>
                              </w:r>
                              <w:r>
                                <w:rPr>
                                  <w:rFonts w:ascii="Arial MT"/>
                                  <w:sz w:val="14"/>
                                </w:rPr>
                                <w:tab/>
                              </w:r>
                              <w:r>
                                <w:rPr>
                                  <w:rFonts w:ascii="Arial MT"/>
                                  <w:spacing w:val="-2"/>
                                  <w:w w:val="80"/>
                                  <w:sz w:val="14"/>
                                </w:rPr>
                                <w:t>Engineering</w:t>
                              </w:r>
                            </w:p>
                          </w:txbxContent>
                        </wps:txbx>
                        <wps:bodyPr wrap="square" lIns="0" tIns="0" rIns="0" bIns="0" rtlCol="0">
                          <a:noAutofit/>
                        </wps:bodyPr>
                      </wps:wsp>
                      <wps:wsp>
                        <wps:cNvPr id="1542" name="Textbox 1542"/>
                        <wps:cNvSpPr txBox="1"/>
                        <wps:spPr>
                          <a:xfrm>
                            <a:off x="3259175" y="69274"/>
                            <a:ext cx="1684020" cy="102235"/>
                          </a:xfrm>
                          <a:prstGeom prst="rect">
                            <a:avLst/>
                          </a:prstGeom>
                        </wps:spPr>
                        <wps:txbx>
                          <w:txbxContent>
                            <w:p>
                              <w:pPr>
                                <w:tabs>
                                  <w:tab w:pos="792" w:val="left" w:leader="none"/>
                                  <w:tab w:pos="1364" w:val="left" w:leader="none"/>
                                  <w:tab w:pos="2286" w:val="left" w:leader="none"/>
                                </w:tabs>
                                <w:spacing w:line="161" w:lineRule="exact" w:before="0"/>
                                <w:ind w:left="0" w:right="0" w:firstLine="0"/>
                                <w:jc w:val="left"/>
                                <w:rPr>
                                  <w:rFonts w:ascii="Arial MT"/>
                                  <w:sz w:val="14"/>
                                </w:rPr>
                              </w:pPr>
                              <w:r>
                                <w:rPr>
                                  <w:rFonts w:ascii="Arial MT"/>
                                  <w:spacing w:val="-2"/>
                                  <w:w w:val="90"/>
                                  <w:sz w:val="14"/>
                                </w:rPr>
                                <w:t>Medicine</w:t>
                              </w:r>
                              <w:r>
                                <w:rPr>
                                  <w:rFonts w:ascii="Arial MT"/>
                                  <w:sz w:val="14"/>
                                </w:rPr>
                                <w:tab/>
                              </w:r>
                              <w:r>
                                <w:rPr>
                                  <w:rFonts w:ascii="Arial MT"/>
                                  <w:spacing w:val="-4"/>
                                  <w:w w:val="85"/>
                                  <w:sz w:val="14"/>
                                </w:rPr>
                                <w:t>Arts</w:t>
                              </w:r>
                              <w:r>
                                <w:rPr>
                                  <w:rFonts w:ascii="Arial MT"/>
                                  <w:sz w:val="14"/>
                                </w:rPr>
                                <w:tab/>
                              </w:r>
                              <w:r>
                                <w:rPr>
                                  <w:rFonts w:ascii="Arial MT"/>
                                  <w:spacing w:val="-2"/>
                                  <w:w w:val="90"/>
                                  <w:sz w:val="14"/>
                                </w:rPr>
                                <w:t>Commerce</w:t>
                              </w:r>
                              <w:r>
                                <w:rPr>
                                  <w:rFonts w:ascii="Arial MT"/>
                                  <w:sz w:val="14"/>
                                </w:rPr>
                                <w:tab/>
                              </w:r>
                              <w:r>
                                <w:rPr>
                                  <w:rFonts w:ascii="Arial MT"/>
                                  <w:spacing w:val="-2"/>
                                  <w:w w:val="85"/>
                                  <w:sz w:val="14"/>
                                </w:rPr>
                                <w:t>Others</w:t>
                              </w:r>
                            </w:p>
                          </w:txbxContent>
                        </wps:txbx>
                        <wps:bodyPr wrap="square" lIns="0" tIns="0" rIns="0" bIns="0" rtlCol="0">
                          <a:noAutofit/>
                        </wps:bodyPr>
                      </wps:wsp>
                      <wps:wsp>
                        <wps:cNvPr id="1543" name="Textbox 1543"/>
                        <wps:cNvSpPr txBox="1"/>
                        <wps:spPr>
                          <a:xfrm>
                            <a:off x="323195" y="511724"/>
                            <a:ext cx="134620" cy="165798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100</w:t>
                              </w:r>
                            </w:p>
                            <w:p>
                              <w:pPr>
                                <w:spacing w:line="240" w:lineRule="auto" w:before="0"/>
                                <w:rPr>
                                  <w:rFonts w:ascii="Arial MT"/>
                                  <w:sz w:val="14"/>
                                </w:rPr>
                              </w:pPr>
                            </w:p>
                            <w:p>
                              <w:pPr>
                                <w:spacing w:line="240" w:lineRule="auto" w:before="7"/>
                                <w:rPr>
                                  <w:rFonts w:ascii="Arial MT"/>
                                  <w:sz w:val="14"/>
                                </w:rPr>
                              </w:pPr>
                            </w:p>
                            <w:p>
                              <w:pPr>
                                <w:spacing w:before="0"/>
                                <w:ind w:left="63" w:right="0" w:firstLine="0"/>
                                <w:jc w:val="left"/>
                                <w:rPr>
                                  <w:rFonts w:ascii="Arial MT"/>
                                  <w:sz w:val="14"/>
                                </w:rPr>
                              </w:pPr>
                              <w:r>
                                <w:rPr>
                                  <w:rFonts w:ascii="Arial MT"/>
                                  <w:spacing w:val="-5"/>
                                  <w:w w:val="90"/>
                                  <w:sz w:val="14"/>
                                </w:rPr>
                                <w:t>80</w:t>
                              </w:r>
                            </w:p>
                            <w:p>
                              <w:pPr>
                                <w:spacing w:line="240" w:lineRule="auto" w:before="0"/>
                                <w:rPr>
                                  <w:rFonts w:ascii="Arial MT"/>
                                  <w:sz w:val="14"/>
                                </w:rPr>
                              </w:pPr>
                            </w:p>
                            <w:p>
                              <w:pPr>
                                <w:spacing w:line="240" w:lineRule="auto" w:before="7"/>
                                <w:rPr>
                                  <w:rFonts w:ascii="Arial MT"/>
                                  <w:sz w:val="14"/>
                                </w:rPr>
                              </w:pPr>
                            </w:p>
                            <w:p>
                              <w:pPr>
                                <w:spacing w:before="0"/>
                                <w:ind w:left="63" w:right="0" w:firstLine="0"/>
                                <w:jc w:val="left"/>
                                <w:rPr>
                                  <w:rFonts w:ascii="Arial MT"/>
                                  <w:sz w:val="14"/>
                                </w:rPr>
                              </w:pPr>
                              <w:r>
                                <w:rPr>
                                  <w:rFonts w:ascii="Arial MT"/>
                                  <w:spacing w:val="-5"/>
                                  <w:w w:val="90"/>
                                  <w:sz w:val="14"/>
                                </w:rPr>
                                <w:t>60</w:t>
                              </w:r>
                            </w:p>
                            <w:p>
                              <w:pPr>
                                <w:spacing w:line="240" w:lineRule="auto" w:before="0"/>
                                <w:rPr>
                                  <w:rFonts w:ascii="Arial MT"/>
                                  <w:sz w:val="14"/>
                                </w:rPr>
                              </w:pPr>
                            </w:p>
                            <w:p>
                              <w:pPr>
                                <w:spacing w:line="240" w:lineRule="auto" w:before="7"/>
                                <w:rPr>
                                  <w:rFonts w:ascii="Arial MT"/>
                                  <w:sz w:val="14"/>
                                </w:rPr>
                              </w:pPr>
                            </w:p>
                            <w:p>
                              <w:pPr>
                                <w:spacing w:before="0"/>
                                <w:ind w:left="63" w:right="0" w:firstLine="0"/>
                                <w:jc w:val="left"/>
                                <w:rPr>
                                  <w:rFonts w:ascii="Arial MT"/>
                                  <w:sz w:val="14"/>
                                </w:rPr>
                              </w:pPr>
                              <w:r>
                                <w:rPr>
                                  <w:rFonts w:ascii="Arial MT"/>
                                  <w:spacing w:val="-5"/>
                                  <w:w w:val="90"/>
                                  <w:sz w:val="14"/>
                                </w:rPr>
                                <w:t>40</w:t>
                              </w:r>
                            </w:p>
                            <w:p>
                              <w:pPr>
                                <w:spacing w:line="240" w:lineRule="auto" w:before="0"/>
                                <w:rPr>
                                  <w:rFonts w:ascii="Arial MT"/>
                                  <w:sz w:val="14"/>
                                </w:rPr>
                              </w:pPr>
                            </w:p>
                            <w:p>
                              <w:pPr>
                                <w:spacing w:line="240" w:lineRule="auto" w:before="7"/>
                                <w:rPr>
                                  <w:rFonts w:ascii="Arial MT"/>
                                  <w:sz w:val="14"/>
                                </w:rPr>
                              </w:pPr>
                            </w:p>
                            <w:p>
                              <w:pPr>
                                <w:spacing w:before="0"/>
                                <w:ind w:left="63" w:right="0" w:firstLine="0"/>
                                <w:jc w:val="left"/>
                                <w:rPr>
                                  <w:rFonts w:ascii="Arial MT"/>
                                  <w:sz w:val="14"/>
                                </w:rPr>
                              </w:pPr>
                              <w:r>
                                <w:rPr>
                                  <w:rFonts w:ascii="Arial MT"/>
                                  <w:spacing w:val="-5"/>
                                  <w:w w:val="90"/>
                                  <w:sz w:val="14"/>
                                </w:rPr>
                                <w:t>20</w:t>
                              </w:r>
                            </w:p>
                            <w:p>
                              <w:pPr>
                                <w:spacing w:line="240" w:lineRule="auto" w:before="0"/>
                                <w:rPr>
                                  <w:rFonts w:ascii="Arial MT"/>
                                  <w:sz w:val="14"/>
                                </w:rPr>
                              </w:pPr>
                            </w:p>
                            <w:p>
                              <w:pPr>
                                <w:spacing w:line="240" w:lineRule="auto" w:before="7"/>
                                <w:rPr>
                                  <w:rFonts w:ascii="Arial MT"/>
                                  <w:sz w:val="14"/>
                                </w:rPr>
                              </w:pPr>
                            </w:p>
                            <w:p>
                              <w:pPr>
                                <w:spacing w:before="0"/>
                                <w:ind w:left="127"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544" name="Textbox 1544"/>
                        <wps:cNvSpPr txBox="1"/>
                        <wps:spPr>
                          <a:xfrm>
                            <a:off x="920662" y="2152674"/>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6th</w:t>
                              </w:r>
                              <w:r>
                                <w:rPr>
                                  <w:rFonts w:ascii="Arial MT"/>
                                  <w:spacing w:val="-5"/>
                                  <w:sz w:val="14"/>
                                </w:rPr>
                                <w:t> </w:t>
                              </w:r>
                              <w:r>
                                <w:rPr>
                                  <w:rFonts w:ascii="Arial MT"/>
                                  <w:w w:val="80"/>
                                  <w:sz w:val="14"/>
                                </w:rPr>
                                <w:t>-</w:t>
                              </w:r>
                              <w:r>
                                <w:rPr>
                                  <w:rFonts w:ascii="Arial MT"/>
                                  <w:spacing w:val="-5"/>
                                  <w:sz w:val="14"/>
                                </w:rPr>
                                <w:t> </w:t>
                              </w:r>
                              <w:r>
                                <w:rPr>
                                  <w:rFonts w:ascii="Arial MT"/>
                                  <w:spacing w:val="-5"/>
                                  <w:w w:val="80"/>
                                  <w:sz w:val="14"/>
                                </w:rPr>
                                <w:t>8th</w:t>
                              </w:r>
                            </w:p>
                          </w:txbxContent>
                        </wps:txbx>
                        <wps:bodyPr wrap="square" lIns="0" tIns="0" rIns="0" bIns="0" rtlCol="0">
                          <a:noAutofit/>
                        </wps:bodyPr>
                      </wps:wsp>
                      <wps:wsp>
                        <wps:cNvPr id="1545" name="Textbox 1545"/>
                        <wps:cNvSpPr txBox="1"/>
                        <wps:spPr>
                          <a:xfrm>
                            <a:off x="2127696" y="2152674"/>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9th</w:t>
                              </w:r>
                            </w:p>
                          </w:txbxContent>
                        </wps:txbx>
                        <wps:bodyPr wrap="square" lIns="0" tIns="0" rIns="0" bIns="0" rtlCol="0">
                          <a:noAutofit/>
                        </wps:bodyPr>
                      </wps:wsp>
                      <wps:wsp>
                        <wps:cNvPr id="1546" name="Textbox 1546"/>
                        <wps:cNvSpPr txBox="1"/>
                        <wps:spPr>
                          <a:xfrm>
                            <a:off x="3212324" y="2152674"/>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10th</w:t>
                              </w:r>
                            </w:p>
                          </w:txbxContent>
                        </wps:txbx>
                        <wps:bodyPr wrap="square" lIns="0" tIns="0" rIns="0" bIns="0" rtlCol="0">
                          <a:noAutofit/>
                        </wps:bodyPr>
                      </wps:wsp>
                      <wps:wsp>
                        <wps:cNvPr id="1547" name="Textbox 1547"/>
                        <wps:cNvSpPr txBox="1"/>
                        <wps:spPr>
                          <a:xfrm>
                            <a:off x="4223075" y="2152674"/>
                            <a:ext cx="35560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11th</w:t>
                              </w:r>
                              <w:r>
                                <w:rPr>
                                  <w:rFonts w:ascii="Arial MT"/>
                                  <w:spacing w:val="-2"/>
                                  <w:w w:val="80"/>
                                  <w:sz w:val="14"/>
                                </w:rPr>
                                <w:t> </w:t>
                              </w:r>
                              <w:r>
                                <w:rPr>
                                  <w:rFonts w:ascii="Arial MT"/>
                                  <w:w w:val="80"/>
                                  <w:sz w:val="14"/>
                                </w:rPr>
                                <w:t>-</w:t>
                              </w:r>
                              <w:r>
                                <w:rPr>
                                  <w:rFonts w:ascii="Arial MT"/>
                                  <w:spacing w:val="-2"/>
                                  <w:w w:val="80"/>
                                  <w:sz w:val="14"/>
                                </w:rPr>
                                <w:t> </w:t>
                              </w:r>
                              <w:r>
                                <w:rPr>
                                  <w:rFonts w:ascii="Arial MT"/>
                                  <w:spacing w:val="-4"/>
                                  <w:w w:val="80"/>
                                  <w:sz w:val="14"/>
                                </w:rPr>
                                <w:t>12th</w:t>
                              </w:r>
                            </w:p>
                          </w:txbxContent>
                        </wps:txbx>
                        <wps:bodyPr wrap="square" lIns="0" tIns="0" rIns="0" bIns="0" rtlCol="0">
                          <a:noAutofit/>
                        </wps:bodyPr>
                      </wps:wsp>
                      <wps:wsp>
                        <wps:cNvPr id="1548" name="Textbox 1548"/>
                        <wps:cNvSpPr txBox="1"/>
                        <wps:spPr>
                          <a:xfrm>
                            <a:off x="2634189" y="2263775"/>
                            <a:ext cx="1949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Class</w:t>
                              </w:r>
                            </w:p>
                          </w:txbxContent>
                        </wps:txbx>
                        <wps:bodyPr wrap="square" lIns="0" tIns="0" rIns="0" bIns="0" rtlCol="0">
                          <a:noAutofit/>
                        </wps:bodyPr>
                      </wps:wsp>
                    </wpg:wgp>
                  </a:graphicData>
                </a:graphic>
              </wp:anchor>
            </w:drawing>
          </mc:Choice>
          <mc:Fallback>
            <w:pict>
              <v:group style="position:absolute;margin-left:100.036247pt;margin-top:18.939819pt;width:397.05pt;height:198pt;mso-position-horizontal-relative:page;mso-position-vertical-relative:paragraph;z-index:15822848" id="docshapegroup1513" coordorigin="2001,379" coordsize="7941,3960">
                <v:shape style="position:absolute;left:2000;top:378;width:7941;height:3960" id="docshape1514" coordorigin="2001,379" coordsize="7941,3960" path="m9941,379l9931,379,9931,383,9931,388,9931,389,9931,4328,2011,4328,2011,389,2006,389,2006,388,2011,388,9931,388,9931,383,2011,383,2006,383,9931,383,9931,379,2001,379,2001,383,2001,389,2001,4329,2001,4333,2001,4339,9941,4339,9941,389,9936,389,9936,388,9941,388,9941,383,9936,383,9941,383,9941,379xe" filled="true" fillcolor="#000000" stroked="false">
                  <v:path arrowok="t"/>
                  <v:fill type="solid"/>
                </v:shape>
                <v:shape style="position:absolute;left:3320;top:3144;width:5884;height:577" id="docshape1515" coordorigin="3321,3144" coordsize="5884,577" path="m4013,3156l3321,3156,3321,3721,4013,3721,4013,3156xm5751,3144l5047,3144,5047,3721,5751,3721,5751,3144xm7477,3223l6785,3223,6785,3721,7477,3721,7477,3223xm9204,3382l8511,3382,8511,3721,9204,3721,9204,3382xe" filled="true" fillcolor="#3d619d" stroked="false">
                  <v:path arrowok="t"/>
                  <v:fill type="solid"/>
                </v:shape>
                <v:shape style="position:absolute;left:3320;top:2579;width:5884;height:803" id="docshape1516" coordorigin="3321,2579" coordsize="5884,803" path="m4013,2636l3321,2636,3321,3156,4013,3156,4013,2636xm5751,2579l5047,2579,5047,3144,5751,3144,5751,2579xm7477,2624l6785,2624,6785,3223,7477,3223,7477,2624xm9204,2839l8511,2839,8511,3382,9204,3382,9204,2839xe" filled="true" fillcolor="#2f7d41" stroked="false">
                  <v:path arrowok="t"/>
                  <v:fill type="solid"/>
                </v:shape>
                <v:shape style="position:absolute;left:3320;top:2104;width:5884;height:735" id="docshape1517" coordorigin="3321,2105" coordsize="5884,735" path="m4013,2218l3321,2218,3321,2636,4013,2636,4013,2218xm5751,2127l5047,2127,5047,2579,5751,2579,5751,2127xm7477,2105l6785,2105,6785,2624,7477,2624,7477,2105xm9204,2444l8511,2444,8511,2839,9204,2839,9204,2444xe" filled="true" fillcolor="#a7b1d4" stroked="false">
                  <v:path arrowok="t"/>
                  <v:fill type="solid"/>
                </v:shape>
                <v:shape style="position:absolute;left:3320;top:1731;width:5884;height:712" id="docshape1518" coordorigin="3321,1732" coordsize="5884,712" path="m4013,1777l3321,1777,3321,2218,4013,2218,4013,1777xm5751,1732l5047,1732,5047,2127,5751,2127,5751,1732xm7477,1732l6785,1732,6785,2105,7477,2105,7477,1732xm9204,1946l8511,1946,8511,2444,9204,2444,9204,1946xe" filled="true" fillcolor="#f2e499" stroked="false">
                  <v:path arrowok="t"/>
                  <v:fill type="solid"/>
                </v:shape>
                <v:shape style="position:absolute;left:3320;top:1528;width:5884;height:419" id="docshape1519" coordorigin="3321,1528" coordsize="5884,419" path="m4013,1653l3321,1653,3321,1777,4013,1777,4013,1653xm5751,1562l5047,1562,5047,1732,5751,1732,5751,1562xm7477,1528l6785,1528,6785,1732,7477,1732,7477,1528xm9204,1585l8511,1585,8511,1946,9204,1946,9204,1585xe" filled="true" fillcolor="#e3c626" stroked="false">
                  <v:path arrowok="t"/>
                  <v:fill type="solid"/>
                </v:shape>
                <v:shape style="position:absolute;left:3320;top:1234;width:5884;height:419" id="docshape1520" coordorigin="3321,1234" coordsize="5884,419" path="m4013,1234l3321,1234,3321,1653,4013,1653,4013,1234xm5751,1234l5047,1234,5047,1562,5751,1562,5751,1234xm7477,1234l6785,1234,6785,1528,7477,1528,7477,1234xm9204,1234l8511,1234,8511,1585,9204,1585,9204,1234xe" filled="true" fillcolor="#9cbf3b" stroked="false">
                  <v:path arrowok="t"/>
                  <v:fill type="solid"/>
                </v:shape>
                <v:shape style="position:absolute;left:2759;top:1229;width:6973;height:2553" id="docshape1521" coordorigin="2759,1229" coordsize="6973,2553" path="m9731,3716l9731,3716,2814,3716,2814,1229,2804,1229,2759,1229,2759,1239,2804,1239,2804,1727,2759,1727,2759,1737,2804,1737,2804,2224,2759,2224,2759,2234,2804,2234,2804,2721,2759,2721,2759,2731,2804,2731,2804,3218,2759,3218,2759,3228,2804,3228,2804,3716,2759,3716,2759,3726,2804,3726,2804,3782,2814,3782,2814,3726,4531,3726,4531,3782,4541,3782,4541,3726,6269,3726,6269,3782,6279,3782,6279,3726,7995,3726,7995,3782,8005,3782,8005,3726,9721,3726,9721,3782,9731,3782,9731,3716xe" filled="true" fillcolor="#000000" stroked="false">
                  <v:path arrowok="t"/>
                  <v:fill type="solid"/>
                </v:shape>
                <v:rect style="position:absolute;left:5161;top:535;width:80;height:80" id="docshape1522" filled="true" fillcolor="#3d619d" stroked="false">
                  <v:fill type="solid"/>
                </v:rect>
                <v:rect style="position:absolute;left:5944;top:535;width:80;height:80" id="docshape1523" filled="true" fillcolor="#2f7d41" stroked="false">
                  <v:fill type="solid"/>
                </v:rect>
                <v:rect style="position:absolute;left:6966;top:535;width:80;height:80" id="docshape1524" filled="true" fillcolor="#a7b1d4" stroked="false">
                  <v:fill type="solid"/>
                </v:rect>
                <v:rect style="position:absolute;left:7807;top:535;width:80;height:80" id="docshape1525" filled="true" fillcolor="#f2e499" stroked="false">
                  <v:fill type="solid"/>
                </v:rect>
                <v:rect style="position:absolute;left:8329;top:535;width:80;height:80" id="docshape1526" filled="true" fillcolor="#e3c626" stroked="false">
                  <v:fill type="solid"/>
                </v:rect>
                <v:rect style="position:absolute;left:9295;top:535;width:80;height:80" id="docshape1527" filled="true" fillcolor="#9cbf3b" stroked="false">
                  <v:fill type="solid"/>
                </v:rect>
                <v:shape style="position:absolute;left:5306;top:487;width:1422;height:161" type="#_x0000_t202" id="docshape1528" filled="false" stroked="false">
                  <v:textbox inset="0,0,0,0">
                    <w:txbxContent>
                      <w:p>
                        <w:pPr>
                          <w:tabs>
                            <w:tab w:pos="788" w:val="left" w:leader="none"/>
                          </w:tabs>
                          <w:spacing w:line="161" w:lineRule="exact" w:before="0"/>
                          <w:ind w:left="0" w:right="0" w:firstLine="0"/>
                          <w:jc w:val="left"/>
                          <w:rPr>
                            <w:rFonts w:ascii="Arial MT"/>
                            <w:sz w:val="14"/>
                          </w:rPr>
                        </w:pPr>
                        <w:r>
                          <w:rPr>
                            <w:rFonts w:ascii="Arial MT"/>
                            <w:spacing w:val="-2"/>
                            <w:w w:val="90"/>
                            <w:sz w:val="14"/>
                          </w:rPr>
                          <w:t>Science</w:t>
                        </w:r>
                        <w:r>
                          <w:rPr>
                            <w:rFonts w:ascii="Arial MT"/>
                            <w:sz w:val="14"/>
                          </w:rPr>
                          <w:tab/>
                        </w:r>
                        <w:r>
                          <w:rPr>
                            <w:rFonts w:ascii="Arial MT"/>
                            <w:spacing w:val="-2"/>
                            <w:w w:val="80"/>
                            <w:sz w:val="14"/>
                          </w:rPr>
                          <w:t>Engineering</w:t>
                        </w:r>
                      </w:p>
                    </w:txbxContent>
                  </v:textbox>
                  <w10:wrap type="none"/>
                </v:shape>
                <v:shape style="position:absolute;left:7133;top:487;width:2652;height:161" type="#_x0000_t202" id="docshape1529" filled="false" stroked="false">
                  <v:textbox inset="0,0,0,0">
                    <w:txbxContent>
                      <w:p>
                        <w:pPr>
                          <w:tabs>
                            <w:tab w:pos="792" w:val="left" w:leader="none"/>
                            <w:tab w:pos="1364" w:val="left" w:leader="none"/>
                            <w:tab w:pos="2286" w:val="left" w:leader="none"/>
                          </w:tabs>
                          <w:spacing w:line="161" w:lineRule="exact" w:before="0"/>
                          <w:ind w:left="0" w:right="0" w:firstLine="0"/>
                          <w:jc w:val="left"/>
                          <w:rPr>
                            <w:rFonts w:ascii="Arial MT"/>
                            <w:sz w:val="14"/>
                          </w:rPr>
                        </w:pPr>
                        <w:r>
                          <w:rPr>
                            <w:rFonts w:ascii="Arial MT"/>
                            <w:spacing w:val="-2"/>
                            <w:w w:val="90"/>
                            <w:sz w:val="14"/>
                          </w:rPr>
                          <w:t>Medicine</w:t>
                        </w:r>
                        <w:r>
                          <w:rPr>
                            <w:rFonts w:ascii="Arial MT"/>
                            <w:sz w:val="14"/>
                          </w:rPr>
                          <w:tab/>
                        </w:r>
                        <w:r>
                          <w:rPr>
                            <w:rFonts w:ascii="Arial MT"/>
                            <w:spacing w:val="-4"/>
                            <w:w w:val="85"/>
                            <w:sz w:val="14"/>
                          </w:rPr>
                          <w:t>Arts</w:t>
                        </w:r>
                        <w:r>
                          <w:rPr>
                            <w:rFonts w:ascii="Arial MT"/>
                            <w:sz w:val="14"/>
                          </w:rPr>
                          <w:tab/>
                        </w:r>
                        <w:r>
                          <w:rPr>
                            <w:rFonts w:ascii="Arial MT"/>
                            <w:spacing w:val="-2"/>
                            <w:w w:val="90"/>
                            <w:sz w:val="14"/>
                          </w:rPr>
                          <w:t>Commerce</w:t>
                        </w:r>
                        <w:r>
                          <w:rPr>
                            <w:rFonts w:ascii="Arial MT"/>
                            <w:sz w:val="14"/>
                          </w:rPr>
                          <w:tab/>
                        </w:r>
                        <w:r>
                          <w:rPr>
                            <w:rFonts w:ascii="Arial MT"/>
                            <w:spacing w:val="-2"/>
                            <w:w w:val="85"/>
                            <w:sz w:val="14"/>
                          </w:rPr>
                          <w:t>Others</w:t>
                        </w:r>
                      </w:p>
                    </w:txbxContent>
                  </v:textbox>
                  <w10:wrap type="none"/>
                </v:shape>
                <v:shape style="position:absolute;left:2509;top:1184;width:212;height:2611" type="#_x0000_t202" id="docshape1530" filled="false" stroked="false">
                  <v:textbox inset="0,0,0,0">
                    <w:txbxContent>
                      <w:p>
                        <w:pPr>
                          <w:spacing w:line="161" w:lineRule="exact" w:before="0"/>
                          <w:ind w:left="0" w:right="0" w:firstLine="0"/>
                          <w:jc w:val="left"/>
                          <w:rPr>
                            <w:rFonts w:ascii="Arial MT"/>
                            <w:sz w:val="14"/>
                          </w:rPr>
                        </w:pPr>
                        <w:r>
                          <w:rPr>
                            <w:rFonts w:ascii="Arial MT"/>
                            <w:spacing w:val="-5"/>
                            <w:w w:val="90"/>
                            <w:sz w:val="14"/>
                          </w:rPr>
                          <w:t>100</w:t>
                        </w:r>
                      </w:p>
                      <w:p>
                        <w:pPr>
                          <w:spacing w:line="240" w:lineRule="auto" w:before="0"/>
                          <w:rPr>
                            <w:rFonts w:ascii="Arial MT"/>
                            <w:sz w:val="14"/>
                          </w:rPr>
                        </w:pPr>
                      </w:p>
                      <w:p>
                        <w:pPr>
                          <w:spacing w:line="240" w:lineRule="auto" w:before="7"/>
                          <w:rPr>
                            <w:rFonts w:ascii="Arial MT"/>
                            <w:sz w:val="14"/>
                          </w:rPr>
                        </w:pPr>
                      </w:p>
                      <w:p>
                        <w:pPr>
                          <w:spacing w:before="0"/>
                          <w:ind w:left="63" w:right="0" w:firstLine="0"/>
                          <w:jc w:val="left"/>
                          <w:rPr>
                            <w:rFonts w:ascii="Arial MT"/>
                            <w:sz w:val="14"/>
                          </w:rPr>
                        </w:pPr>
                        <w:r>
                          <w:rPr>
                            <w:rFonts w:ascii="Arial MT"/>
                            <w:spacing w:val="-5"/>
                            <w:w w:val="90"/>
                            <w:sz w:val="14"/>
                          </w:rPr>
                          <w:t>80</w:t>
                        </w:r>
                      </w:p>
                      <w:p>
                        <w:pPr>
                          <w:spacing w:line="240" w:lineRule="auto" w:before="0"/>
                          <w:rPr>
                            <w:rFonts w:ascii="Arial MT"/>
                            <w:sz w:val="14"/>
                          </w:rPr>
                        </w:pPr>
                      </w:p>
                      <w:p>
                        <w:pPr>
                          <w:spacing w:line="240" w:lineRule="auto" w:before="7"/>
                          <w:rPr>
                            <w:rFonts w:ascii="Arial MT"/>
                            <w:sz w:val="14"/>
                          </w:rPr>
                        </w:pPr>
                      </w:p>
                      <w:p>
                        <w:pPr>
                          <w:spacing w:before="0"/>
                          <w:ind w:left="63" w:right="0" w:firstLine="0"/>
                          <w:jc w:val="left"/>
                          <w:rPr>
                            <w:rFonts w:ascii="Arial MT"/>
                            <w:sz w:val="14"/>
                          </w:rPr>
                        </w:pPr>
                        <w:r>
                          <w:rPr>
                            <w:rFonts w:ascii="Arial MT"/>
                            <w:spacing w:val="-5"/>
                            <w:w w:val="90"/>
                            <w:sz w:val="14"/>
                          </w:rPr>
                          <w:t>60</w:t>
                        </w:r>
                      </w:p>
                      <w:p>
                        <w:pPr>
                          <w:spacing w:line="240" w:lineRule="auto" w:before="0"/>
                          <w:rPr>
                            <w:rFonts w:ascii="Arial MT"/>
                            <w:sz w:val="14"/>
                          </w:rPr>
                        </w:pPr>
                      </w:p>
                      <w:p>
                        <w:pPr>
                          <w:spacing w:line="240" w:lineRule="auto" w:before="7"/>
                          <w:rPr>
                            <w:rFonts w:ascii="Arial MT"/>
                            <w:sz w:val="14"/>
                          </w:rPr>
                        </w:pPr>
                      </w:p>
                      <w:p>
                        <w:pPr>
                          <w:spacing w:before="0"/>
                          <w:ind w:left="63" w:right="0" w:firstLine="0"/>
                          <w:jc w:val="left"/>
                          <w:rPr>
                            <w:rFonts w:ascii="Arial MT"/>
                            <w:sz w:val="14"/>
                          </w:rPr>
                        </w:pPr>
                        <w:r>
                          <w:rPr>
                            <w:rFonts w:ascii="Arial MT"/>
                            <w:spacing w:val="-5"/>
                            <w:w w:val="90"/>
                            <w:sz w:val="14"/>
                          </w:rPr>
                          <w:t>40</w:t>
                        </w:r>
                      </w:p>
                      <w:p>
                        <w:pPr>
                          <w:spacing w:line="240" w:lineRule="auto" w:before="0"/>
                          <w:rPr>
                            <w:rFonts w:ascii="Arial MT"/>
                            <w:sz w:val="14"/>
                          </w:rPr>
                        </w:pPr>
                      </w:p>
                      <w:p>
                        <w:pPr>
                          <w:spacing w:line="240" w:lineRule="auto" w:before="7"/>
                          <w:rPr>
                            <w:rFonts w:ascii="Arial MT"/>
                            <w:sz w:val="14"/>
                          </w:rPr>
                        </w:pPr>
                      </w:p>
                      <w:p>
                        <w:pPr>
                          <w:spacing w:before="0"/>
                          <w:ind w:left="63" w:right="0" w:firstLine="0"/>
                          <w:jc w:val="left"/>
                          <w:rPr>
                            <w:rFonts w:ascii="Arial MT"/>
                            <w:sz w:val="14"/>
                          </w:rPr>
                        </w:pPr>
                        <w:r>
                          <w:rPr>
                            <w:rFonts w:ascii="Arial MT"/>
                            <w:spacing w:val="-5"/>
                            <w:w w:val="90"/>
                            <w:sz w:val="14"/>
                          </w:rPr>
                          <w:t>20</w:t>
                        </w:r>
                      </w:p>
                      <w:p>
                        <w:pPr>
                          <w:spacing w:line="240" w:lineRule="auto" w:before="0"/>
                          <w:rPr>
                            <w:rFonts w:ascii="Arial MT"/>
                            <w:sz w:val="14"/>
                          </w:rPr>
                        </w:pPr>
                      </w:p>
                      <w:p>
                        <w:pPr>
                          <w:spacing w:line="240" w:lineRule="auto" w:before="7"/>
                          <w:rPr>
                            <w:rFonts w:ascii="Arial MT"/>
                            <w:sz w:val="14"/>
                          </w:rPr>
                        </w:pPr>
                      </w:p>
                      <w:p>
                        <w:pPr>
                          <w:spacing w:before="0"/>
                          <w:ind w:left="127" w:right="0" w:firstLine="0"/>
                          <w:jc w:val="left"/>
                          <w:rPr>
                            <w:rFonts w:ascii="Arial MT"/>
                            <w:sz w:val="14"/>
                          </w:rPr>
                        </w:pPr>
                        <w:r>
                          <w:rPr>
                            <w:rFonts w:ascii="Arial MT"/>
                            <w:spacing w:val="-10"/>
                            <w:w w:val="90"/>
                            <w:sz w:val="14"/>
                          </w:rPr>
                          <w:t>0</w:t>
                        </w:r>
                      </w:p>
                    </w:txbxContent>
                  </v:textbox>
                  <w10:wrap type="none"/>
                </v:shape>
                <v:shape style="position:absolute;left:3450;top:3768;width:442;height:161" type="#_x0000_t202" id="docshape1531" filled="false" stroked="false">
                  <v:textbox inset="0,0,0,0">
                    <w:txbxContent>
                      <w:p>
                        <w:pPr>
                          <w:spacing w:line="161" w:lineRule="exact" w:before="0"/>
                          <w:ind w:left="0" w:right="0" w:firstLine="0"/>
                          <w:jc w:val="left"/>
                          <w:rPr>
                            <w:rFonts w:ascii="Arial MT"/>
                            <w:sz w:val="14"/>
                          </w:rPr>
                        </w:pPr>
                        <w:r>
                          <w:rPr>
                            <w:rFonts w:ascii="Arial MT"/>
                            <w:w w:val="80"/>
                            <w:sz w:val="14"/>
                          </w:rPr>
                          <w:t>6th</w:t>
                        </w:r>
                        <w:r>
                          <w:rPr>
                            <w:rFonts w:ascii="Arial MT"/>
                            <w:spacing w:val="-5"/>
                            <w:sz w:val="14"/>
                          </w:rPr>
                          <w:t> </w:t>
                        </w:r>
                        <w:r>
                          <w:rPr>
                            <w:rFonts w:ascii="Arial MT"/>
                            <w:w w:val="80"/>
                            <w:sz w:val="14"/>
                          </w:rPr>
                          <w:t>-</w:t>
                        </w:r>
                        <w:r>
                          <w:rPr>
                            <w:rFonts w:ascii="Arial MT"/>
                            <w:spacing w:val="-5"/>
                            <w:sz w:val="14"/>
                          </w:rPr>
                          <w:t> </w:t>
                        </w:r>
                        <w:r>
                          <w:rPr>
                            <w:rFonts w:ascii="Arial MT"/>
                            <w:spacing w:val="-5"/>
                            <w:w w:val="80"/>
                            <w:sz w:val="14"/>
                          </w:rPr>
                          <w:t>8th</w:t>
                        </w:r>
                      </w:p>
                    </w:txbxContent>
                  </v:textbox>
                  <w10:wrap type="none"/>
                </v:shape>
                <v:shape style="position:absolute;left:5351;top:3768;width:180;height:161" type="#_x0000_t202" id="docshape1532" filled="false" stroked="false">
                  <v:textbox inset="0,0,0,0">
                    <w:txbxContent>
                      <w:p>
                        <w:pPr>
                          <w:spacing w:line="161" w:lineRule="exact" w:before="0"/>
                          <w:ind w:left="0" w:right="0" w:firstLine="0"/>
                          <w:jc w:val="left"/>
                          <w:rPr>
                            <w:rFonts w:ascii="Arial MT"/>
                            <w:sz w:val="14"/>
                          </w:rPr>
                        </w:pPr>
                        <w:r>
                          <w:rPr>
                            <w:rFonts w:ascii="Arial MT"/>
                            <w:spacing w:val="-5"/>
                            <w:w w:val="90"/>
                            <w:sz w:val="14"/>
                          </w:rPr>
                          <w:t>9th</w:t>
                        </w:r>
                      </w:p>
                    </w:txbxContent>
                  </v:textbox>
                  <w10:wrap type="none"/>
                </v:shape>
                <v:shape style="position:absolute;left:7059;top:3768;width:244;height:161" type="#_x0000_t202" id="docshape1533" filled="false" stroked="false">
                  <v:textbox inset="0,0,0,0">
                    <w:txbxContent>
                      <w:p>
                        <w:pPr>
                          <w:spacing w:line="161" w:lineRule="exact" w:before="0"/>
                          <w:ind w:left="0" w:right="0" w:firstLine="0"/>
                          <w:jc w:val="left"/>
                          <w:rPr>
                            <w:rFonts w:ascii="Arial MT"/>
                            <w:sz w:val="14"/>
                          </w:rPr>
                        </w:pPr>
                        <w:r>
                          <w:rPr>
                            <w:rFonts w:ascii="Arial MT"/>
                            <w:spacing w:val="-4"/>
                            <w:w w:val="85"/>
                            <w:sz w:val="14"/>
                          </w:rPr>
                          <w:t>10th</w:t>
                        </w:r>
                      </w:p>
                    </w:txbxContent>
                  </v:textbox>
                  <w10:wrap type="none"/>
                </v:shape>
                <v:shape style="position:absolute;left:8651;top:3768;width:560;height:161" type="#_x0000_t202" id="docshape1534" filled="false" stroked="false">
                  <v:textbox inset="0,0,0,0">
                    <w:txbxContent>
                      <w:p>
                        <w:pPr>
                          <w:spacing w:line="161" w:lineRule="exact" w:before="0"/>
                          <w:ind w:left="0" w:right="0" w:firstLine="0"/>
                          <w:jc w:val="left"/>
                          <w:rPr>
                            <w:rFonts w:ascii="Arial MT"/>
                            <w:sz w:val="14"/>
                          </w:rPr>
                        </w:pPr>
                        <w:r>
                          <w:rPr>
                            <w:rFonts w:ascii="Arial MT"/>
                            <w:w w:val="80"/>
                            <w:sz w:val="14"/>
                          </w:rPr>
                          <w:t>11th</w:t>
                        </w:r>
                        <w:r>
                          <w:rPr>
                            <w:rFonts w:ascii="Arial MT"/>
                            <w:spacing w:val="-2"/>
                            <w:w w:val="80"/>
                            <w:sz w:val="14"/>
                          </w:rPr>
                          <w:t> </w:t>
                        </w:r>
                        <w:r>
                          <w:rPr>
                            <w:rFonts w:ascii="Arial MT"/>
                            <w:w w:val="80"/>
                            <w:sz w:val="14"/>
                          </w:rPr>
                          <w:t>-</w:t>
                        </w:r>
                        <w:r>
                          <w:rPr>
                            <w:rFonts w:ascii="Arial MT"/>
                            <w:spacing w:val="-2"/>
                            <w:w w:val="80"/>
                            <w:sz w:val="14"/>
                          </w:rPr>
                          <w:t> </w:t>
                        </w:r>
                        <w:r>
                          <w:rPr>
                            <w:rFonts w:ascii="Arial MT"/>
                            <w:spacing w:val="-4"/>
                            <w:w w:val="80"/>
                            <w:sz w:val="14"/>
                          </w:rPr>
                          <w:t>12th</w:t>
                        </w:r>
                      </w:p>
                    </w:txbxContent>
                  </v:textbox>
                  <w10:wrap type="none"/>
                </v:shape>
                <v:shape style="position:absolute;left:6149;top:3943;width:307;height:161" type="#_x0000_t202" id="docshape1535" filled="false" stroked="false">
                  <v:textbox inset="0,0,0,0">
                    <w:txbxContent>
                      <w:p>
                        <w:pPr>
                          <w:spacing w:line="161" w:lineRule="exact" w:before="0"/>
                          <w:ind w:left="0" w:right="0" w:firstLine="0"/>
                          <w:jc w:val="left"/>
                          <w:rPr>
                            <w:rFonts w:ascii="Arial MT"/>
                            <w:sz w:val="14"/>
                          </w:rPr>
                        </w:pPr>
                        <w:r>
                          <w:rPr>
                            <w:rFonts w:ascii="Arial MT"/>
                            <w:spacing w:val="-2"/>
                            <w:w w:val="85"/>
                            <w:sz w:val="14"/>
                          </w:rPr>
                          <w:t>Class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3360">
                <wp:simplePos x="0" y="0"/>
                <wp:positionH relativeFrom="page">
                  <wp:posOffset>1423185</wp:posOffset>
                </wp:positionH>
                <wp:positionV relativeFrom="paragraph">
                  <wp:posOffset>1378982</wp:posOffset>
                </wp:positionV>
                <wp:extent cx="127635" cy="503555"/>
                <wp:effectExtent l="0" t="0" r="0" b="0"/>
                <wp:wrapNone/>
                <wp:docPr id="1549" name="Textbox 1549"/>
                <wp:cNvGraphicFramePr>
                  <a:graphicFrameLocks/>
                </wp:cNvGraphicFramePr>
                <a:graphic>
                  <a:graphicData uri="http://schemas.microsoft.com/office/word/2010/wordprocessingShape">
                    <wps:wsp>
                      <wps:cNvPr id="1549" name="Textbox 1549"/>
                      <wps:cNvSpPr txBox="1"/>
                      <wps:spPr>
                        <a:xfrm>
                          <a:off x="0" y="0"/>
                          <a:ext cx="127635" cy="503555"/>
                        </a:xfrm>
                        <a:prstGeom prst="rect">
                          <a:avLst/>
                        </a:prstGeom>
                      </wps:spPr>
                      <wps:txbx>
                        <w:txbxContent>
                          <w:p>
                            <w:pPr>
                              <w:spacing w:before="19"/>
                              <w:ind w:left="20" w:right="0" w:firstLine="0"/>
                              <w:jc w:val="left"/>
                              <w:rPr>
                                <w:rFonts w:ascii="Arial"/>
                                <w:b/>
                                <w:sz w:val="14"/>
                              </w:rPr>
                            </w:pPr>
                            <w:r>
                              <w:rPr>
                                <w:rFonts w:ascii="Arial"/>
                                <w:b/>
                                <w:w w:val="80"/>
                                <w:sz w:val="14"/>
                              </w:rPr>
                              <w:t>%</w:t>
                            </w:r>
                            <w:r>
                              <w:rPr>
                                <w:rFonts w:ascii="Arial"/>
                                <w:b/>
                                <w:spacing w:val="-6"/>
                                <w:sz w:val="14"/>
                              </w:rPr>
                              <w:t> </w:t>
                            </w:r>
                            <w:r>
                              <w:rPr>
                                <w:rFonts w:ascii="Arial"/>
                                <w:b/>
                                <w:w w:val="80"/>
                                <w:sz w:val="14"/>
                              </w:rPr>
                              <w:t>of</w:t>
                            </w:r>
                            <w:r>
                              <w:rPr>
                                <w:rFonts w:ascii="Arial"/>
                                <w:b/>
                                <w:spacing w:val="-6"/>
                                <w:sz w:val="14"/>
                              </w:rPr>
                              <w:t> </w:t>
                            </w:r>
                            <w:r>
                              <w:rPr>
                                <w:rFonts w:ascii="Arial"/>
                                <w:b/>
                                <w:spacing w:val="-2"/>
                                <w:w w:val="80"/>
                                <w:sz w:val="14"/>
                              </w:rPr>
                              <w:t>students</w:t>
                            </w:r>
                          </w:p>
                        </w:txbxContent>
                      </wps:txbx>
                      <wps:bodyPr wrap="square" lIns="0" tIns="0" rIns="0" bIns="0" rtlCol="0" vert="vert270">
                        <a:noAutofit/>
                      </wps:bodyPr>
                    </wps:wsp>
                  </a:graphicData>
                </a:graphic>
              </wp:anchor>
            </w:drawing>
          </mc:Choice>
          <mc:Fallback>
            <w:pict>
              <v:shape style="position:absolute;margin-left:112.061874pt;margin-top:108.581261pt;width:10.050pt;height:39.65pt;mso-position-horizontal-relative:page;mso-position-vertical-relative:paragraph;z-index:15823360" type="#_x0000_t202" id="docshape1536"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w:t>
                      </w:r>
                      <w:r>
                        <w:rPr>
                          <w:rFonts w:ascii="Arial"/>
                          <w:b/>
                          <w:spacing w:val="-6"/>
                          <w:sz w:val="14"/>
                        </w:rPr>
                        <w:t> </w:t>
                      </w:r>
                      <w:r>
                        <w:rPr>
                          <w:rFonts w:ascii="Arial"/>
                          <w:b/>
                          <w:w w:val="80"/>
                          <w:sz w:val="14"/>
                        </w:rPr>
                        <w:t>of</w:t>
                      </w:r>
                      <w:r>
                        <w:rPr>
                          <w:rFonts w:ascii="Arial"/>
                          <w:b/>
                          <w:spacing w:val="-6"/>
                          <w:sz w:val="14"/>
                        </w:rPr>
                        <w:t> </w:t>
                      </w:r>
                      <w:r>
                        <w:rPr>
                          <w:rFonts w:ascii="Arial"/>
                          <w:b/>
                          <w:spacing w:val="-2"/>
                          <w:w w:val="80"/>
                          <w:sz w:val="14"/>
                        </w:rPr>
                        <w:t>students</w:t>
                      </w:r>
                    </w:p>
                  </w:txbxContent>
                </v:textbox>
                <w10:wrap type="none"/>
              </v:shape>
            </w:pict>
          </mc:Fallback>
        </mc:AlternateContent>
      </w:r>
      <w:r>
        <w:rPr>
          <w:w w:val="90"/>
        </w:rPr>
        <w:t>Figure</w:t>
      </w:r>
      <w:r>
        <w:rPr>
          <w:spacing w:val="4"/>
        </w:rPr>
        <w:t> </w:t>
      </w:r>
      <w:r>
        <w:rPr>
          <w:w w:val="90"/>
        </w:rPr>
        <w:t>21:</w:t>
      </w:r>
      <w:r>
        <w:rPr>
          <w:spacing w:val="4"/>
        </w:rPr>
        <w:t> </w:t>
      </w:r>
      <w:r>
        <w:rPr>
          <w:color w:val="2E614A"/>
          <w:w w:val="90"/>
        </w:rPr>
        <w:t>Preferred</w:t>
      </w:r>
      <w:r>
        <w:rPr>
          <w:color w:val="2E614A"/>
          <w:spacing w:val="4"/>
        </w:rPr>
        <w:t> </w:t>
      </w:r>
      <w:r>
        <w:rPr>
          <w:color w:val="2E614A"/>
          <w:w w:val="90"/>
        </w:rPr>
        <w:t>subject</w:t>
      </w:r>
      <w:r>
        <w:rPr>
          <w:color w:val="2E614A"/>
          <w:spacing w:val="4"/>
        </w:rPr>
        <w:t> </w:t>
      </w:r>
      <w:r>
        <w:rPr>
          <w:color w:val="2E614A"/>
          <w:w w:val="90"/>
        </w:rPr>
        <w:t>for</w:t>
      </w:r>
      <w:r>
        <w:rPr>
          <w:color w:val="2E614A"/>
          <w:spacing w:val="4"/>
        </w:rPr>
        <w:t> </w:t>
      </w:r>
      <w:r>
        <w:rPr>
          <w:color w:val="2E614A"/>
          <w:w w:val="90"/>
        </w:rPr>
        <w:t>higher</w:t>
      </w:r>
      <w:r>
        <w:rPr>
          <w:color w:val="2E614A"/>
          <w:spacing w:val="4"/>
        </w:rPr>
        <w:t> </w:t>
      </w:r>
      <w:r>
        <w:rPr>
          <w:color w:val="2E614A"/>
          <w:w w:val="90"/>
        </w:rPr>
        <w:t>education</w:t>
      </w:r>
      <w:r>
        <w:rPr>
          <w:color w:val="2E614A"/>
          <w:spacing w:val="4"/>
        </w:rPr>
        <w:t> </w:t>
      </w:r>
      <w:r>
        <w:rPr>
          <w:color w:val="2E614A"/>
          <w:w w:val="90"/>
        </w:rPr>
        <w:t>by</w:t>
      </w:r>
      <w:r>
        <w:rPr>
          <w:color w:val="2E614A"/>
          <w:spacing w:val="4"/>
        </w:rPr>
        <w:t> </w:t>
      </w:r>
      <w:r>
        <w:rPr>
          <w:color w:val="2E614A"/>
          <w:w w:val="90"/>
        </w:rPr>
        <w:t>level</w:t>
      </w:r>
      <w:r>
        <w:rPr>
          <w:color w:val="2E614A"/>
          <w:spacing w:val="4"/>
        </w:rPr>
        <w:t> </w:t>
      </w:r>
      <w:r>
        <w:rPr>
          <w:color w:val="2E614A"/>
          <w:w w:val="90"/>
        </w:rPr>
        <w:t>of</w:t>
      </w:r>
      <w:r>
        <w:rPr>
          <w:color w:val="2E614A"/>
          <w:spacing w:val="5"/>
        </w:rPr>
        <w:t> </w:t>
      </w:r>
      <w:r>
        <w:rPr>
          <w:color w:val="2E614A"/>
          <w:w w:val="90"/>
        </w:rPr>
        <w:t>students</w:t>
      </w:r>
      <w:r>
        <w:rPr>
          <w:color w:val="2E614A"/>
          <w:spacing w:val="4"/>
        </w:rPr>
        <w:t> </w:t>
      </w:r>
      <w:r>
        <w:rPr>
          <w:color w:val="2E614A"/>
          <w:spacing w:val="-2"/>
          <w:w w:val="90"/>
        </w:rPr>
        <w:t>(2004)</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58"/>
        <w:rPr>
          <w:b/>
          <w:sz w:val="24"/>
        </w:rPr>
      </w:pPr>
    </w:p>
    <w:p>
      <w:pPr>
        <w:spacing w:before="0"/>
        <w:ind w:left="1995" w:right="0" w:firstLine="0"/>
        <w:jc w:val="left"/>
        <w:rPr>
          <w:sz w:val="16"/>
        </w:rPr>
      </w:pPr>
      <w:r>
        <w:rPr>
          <w:i/>
          <w:spacing w:val="-4"/>
          <w:sz w:val="16"/>
        </w:rPr>
        <w:t>Source:</w:t>
      </w:r>
      <w:r>
        <w:rPr>
          <w:i/>
          <w:sz w:val="16"/>
        </w:rPr>
        <w:t> </w:t>
      </w:r>
      <w:r>
        <w:rPr>
          <w:spacing w:val="-4"/>
          <w:sz w:val="16"/>
        </w:rPr>
        <w:t>India</w:t>
      </w:r>
      <w:r>
        <w:rPr>
          <w:spacing w:val="1"/>
          <w:sz w:val="16"/>
        </w:rPr>
        <w:t> </w:t>
      </w:r>
      <w:r>
        <w:rPr>
          <w:spacing w:val="-4"/>
          <w:sz w:val="16"/>
        </w:rPr>
        <w:t>Science</w:t>
      </w:r>
      <w:r>
        <w:rPr>
          <w:sz w:val="16"/>
        </w:rPr>
        <w:t> </w:t>
      </w:r>
      <w:r>
        <w:rPr>
          <w:spacing w:val="-4"/>
          <w:sz w:val="16"/>
        </w:rPr>
        <w:t>Report,</w:t>
      </w:r>
      <w:r>
        <w:rPr>
          <w:spacing w:val="1"/>
          <w:sz w:val="16"/>
        </w:rPr>
        <w:t> </w:t>
      </w:r>
      <w:r>
        <w:rPr>
          <w:spacing w:val="-4"/>
          <w:sz w:val="16"/>
        </w:rPr>
        <w:t>National</w:t>
      </w:r>
      <w:r>
        <w:rPr>
          <w:sz w:val="16"/>
        </w:rPr>
        <w:t> </w:t>
      </w:r>
      <w:r>
        <w:rPr>
          <w:spacing w:val="-4"/>
          <w:sz w:val="16"/>
        </w:rPr>
        <w:t>Council</w:t>
      </w:r>
      <w:r>
        <w:rPr>
          <w:sz w:val="16"/>
        </w:rPr>
        <w:t> </w:t>
      </w:r>
      <w:r>
        <w:rPr>
          <w:spacing w:val="-4"/>
          <w:sz w:val="16"/>
        </w:rPr>
        <w:t>of</w:t>
      </w:r>
      <w:r>
        <w:rPr>
          <w:spacing w:val="1"/>
          <w:sz w:val="16"/>
        </w:rPr>
        <w:t> </w:t>
      </w:r>
      <w:r>
        <w:rPr>
          <w:spacing w:val="-4"/>
          <w:sz w:val="16"/>
        </w:rPr>
        <w:t>Applied</w:t>
      </w:r>
      <w:r>
        <w:rPr>
          <w:sz w:val="16"/>
        </w:rPr>
        <w:t> </w:t>
      </w:r>
      <w:r>
        <w:rPr>
          <w:spacing w:val="-4"/>
          <w:sz w:val="16"/>
        </w:rPr>
        <w:t>Economic</w:t>
      </w:r>
      <w:r>
        <w:rPr>
          <w:spacing w:val="1"/>
          <w:sz w:val="16"/>
        </w:rPr>
        <w:t> </w:t>
      </w:r>
      <w:r>
        <w:rPr>
          <w:spacing w:val="-4"/>
          <w:sz w:val="16"/>
        </w:rPr>
        <w:t>Research</w:t>
      </w:r>
    </w:p>
    <w:p>
      <w:pPr>
        <w:spacing w:after="0"/>
        <w:jc w:val="left"/>
        <w:rPr>
          <w:sz w:val="16"/>
        </w:rPr>
        <w:sectPr>
          <w:type w:val="continuous"/>
          <w:pgSz w:w="11910" w:h="16840"/>
          <w:pgMar w:header="0" w:footer="675" w:top="1920" w:bottom="280" w:left="0" w:right="0"/>
        </w:sectPr>
      </w:pPr>
    </w:p>
    <w:p>
      <w:pPr>
        <w:pStyle w:val="BodyText"/>
        <w:spacing w:line="266" w:lineRule="auto" w:before="77"/>
        <w:ind w:left="1080"/>
        <w:jc w:val="both"/>
      </w:pPr>
      <w:r>
        <w:rPr/>
        <w:t>opted for science and only 15 to 20 of the </w:t>
      </w:r>
      <w:r>
        <w:rPr/>
        <w:t>awardees pursued science to the post-graduation level.</w:t>
      </w:r>
    </w:p>
    <w:p>
      <w:pPr>
        <w:pStyle w:val="BodyText"/>
        <w:spacing w:before="26"/>
      </w:pPr>
    </w:p>
    <w:p>
      <w:pPr>
        <w:pStyle w:val="BodyText"/>
        <w:spacing w:line="266" w:lineRule="auto"/>
        <w:ind w:left="1080"/>
        <w:jc w:val="both"/>
      </w:pPr>
      <w:r>
        <w:rPr>
          <w:spacing w:val="-6"/>
        </w:rPr>
        <w:t>Further analysis of the reasons behind why students </w:t>
      </w:r>
      <w:r>
        <w:rPr>
          <w:spacing w:val="-6"/>
        </w:rPr>
        <w:t>take science</w:t>
      </w:r>
      <w:r>
        <w:rPr>
          <w:spacing w:val="-8"/>
        </w:rPr>
        <w:t> </w:t>
      </w:r>
      <w:r>
        <w:rPr>
          <w:spacing w:val="-6"/>
        </w:rPr>
        <w:t>or</w:t>
      </w:r>
      <w:r>
        <w:rPr>
          <w:spacing w:val="-8"/>
        </w:rPr>
        <w:t> </w:t>
      </w:r>
      <w:r>
        <w:rPr>
          <w:spacing w:val="-6"/>
        </w:rPr>
        <w:t>choose</w:t>
      </w:r>
      <w:r>
        <w:rPr>
          <w:spacing w:val="-8"/>
        </w:rPr>
        <w:t> </w:t>
      </w:r>
      <w:r>
        <w:rPr>
          <w:spacing w:val="-6"/>
        </w:rPr>
        <w:t>not</w:t>
      </w:r>
      <w:r>
        <w:rPr>
          <w:spacing w:val="-7"/>
        </w:rPr>
        <w:t> </w:t>
      </w:r>
      <w:r>
        <w:rPr>
          <w:spacing w:val="-6"/>
        </w:rPr>
        <w:t>to</w:t>
      </w:r>
      <w:r>
        <w:rPr>
          <w:spacing w:val="-8"/>
        </w:rPr>
        <w:t> </w:t>
      </w:r>
      <w:r>
        <w:rPr>
          <w:spacing w:val="-6"/>
        </w:rPr>
        <w:t>take</w:t>
      </w:r>
      <w:r>
        <w:rPr>
          <w:spacing w:val="-8"/>
        </w:rPr>
        <w:t> </w:t>
      </w:r>
      <w:r>
        <w:rPr>
          <w:spacing w:val="-6"/>
        </w:rPr>
        <w:t>science</w:t>
      </w:r>
      <w:r>
        <w:rPr>
          <w:spacing w:val="-8"/>
        </w:rPr>
        <w:t> </w:t>
      </w:r>
      <w:r>
        <w:rPr>
          <w:spacing w:val="-6"/>
        </w:rPr>
        <w:t>at</w:t>
      </w:r>
      <w:r>
        <w:rPr>
          <w:spacing w:val="-7"/>
        </w:rPr>
        <w:t> </w:t>
      </w:r>
      <w:r>
        <w:rPr>
          <w:spacing w:val="-6"/>
        </w:rPr>
        <w:t>higher</w:t>
      </w:r>
      <w:r>
        <w:rPr>
          <w:spacing w:val="-8"/>
        </w:rPr>
        <w:t> </w:t>
      </w:r>
      <w:r>
        <w:rPr>
          <w:spacing w:val="-6"/>
        </w:rPr>
        <w:t>secondary </w:t>
      </w:r>
      <w:r>
        <w:rPr>
          <w:w w:val="90"/>
        </w:rPr>
        <w:t>level</w:t>
      </w:r>
      <w:r>
        <w:rPr>
          <w:spacing w:val="-9"/>
          <w:w w:val="90"/>
        </w:rPr>
        <w:t> </w:t>
      </w:r>
      <w:r>
        <w:rPr>
          <w:w w:val="90"/>
        </w:rPr>
        <w:t>reveals</w:t>
      </w:r>
      <w:r>
        <w:rPr>
          <w:spacing w:val="-8"/>
          <w:w w:val="90"/>
        </w:rPr>
        <w:t> </w:t>
      </w:r>
      <w:r>
        <w:rPr>
          <w:w w:val="90"/>
        </w:rPr>
        <w:t>that</w:t>
      </w:r>
      <w:r>
        <w:rPr>
          <w:spacing w:val="-8"/>
          <w:w w:val="90"/>
        </w:rPr>
        <w:t> </w:t>
      </w:r>
      <w:r>
        <w:rPr>
          <w:w w:val="90"/>
        </w:rPr>
        <w:t>passion</w:t>
      </w:r>
      <w:r>
        <w:rPr>
          <w:spacing w:val="-8"/>
          <w:w w:val="90"/>
        </w:rPr>
        <w:t> </w:t>
      </w:r>
      <w:r>
        <w:rPr>
          <w:w w:val="90"/>
        </w:rPr>
        <w:t>for</w:t>
      </w:r>
      <w:r>
        <w:rPr>
          <w:spacing w:val="-9"/>
          <w:w w:val="90"/>
        </w:rPr>
        <w:t> </w:t>
      </w:r>
      <w:r>
        <w:rPr>
          <w:w w:val="90"/>
        </w:rPr>
        <w:t>science</w:t>
      </w:r>
      <w:r>
        <w:rPr>
          <w:spacing w:val="-8"/>
          <w:w w:val="90"/>
        </w:rPr>
        <w:t> </w:t>
      </w:r>
      <w:r>
        <w:rPr>
          <w:w w:val="90"/>
        </w:rPr>
        <w:t>is</w:t>
      </w:r>
      <w:r>
        <w:rPr>
          <w:spacing w:val="-8"/>
          <w:w w:val="90"/>
        </w:rPr>
        <w:t> </w:t>
      </w:r>
      <w:r>
        <w:rPr>
          <w:w w:val="90"/>
        </w:rPr>
        <w:t>the</w:t>
      </w:r>
      <w:r>
        <w:rPr>
          <w:spacing w:val="-8"/>
          <w:w w:val="90"/>
        </w:rPr>
        <w:t> </w:t>
      </w:r>
      <w:r>
        <w:rPr>
          <w:w w:val="90"/>
        </w:rPr>
        <w:t>primary</w:t>
      </w:r>
      <w:r>
        <w:rPr>
          <w:spacing w:val="-9"/>
          <w:w w:val="90"/>
        </w:rPr>
        <w:t> </w:t>
      </w:r>
      <w:r>
        <w:rPr>
          <w:w w:val="90"/>
        </w:rPr>
        <w:t>decision </w:t>
      </w:r>
      <w:r>
        <w:rPr>
          <w:spacing w:val="-4"/>
        </w:rPr>
        <w:t>factor.</w:t>
      </w:r>
      <w:r>
        <w:rPr>
          <w:spacing w:val="-5"/>
        </w:rPr>
        <w:t> </w:t>
      </w:r>
      <w:r>
        <w:rPr>
          <w:spacing w:val="-4"/>
        </w:rPr>
        <w:t>Not</w:t>
      </w:r>
      <w:r>
        <w:rPr>
          <w:spacing w:val="-5"/>
        </w:rPr>
        <w:t> </w:t>
      </w:r>
      <w:r>
        <w:rPr>
          <w:spacing w:val="-4"/>
        </w:rPr>
        <w:t>surprisingly,</w:t>
      </w:r>
      <w:r>
        <w:rPr>
          <w:spacing w:val="-5"/>
        </w:rPr>
        <w:t> </w:t>
      </w:r>
      <w:r>
        <w:rPr>
          <w:spacing w:val="-4"/>
        </w:rPr>
        <w:t>‘better</w:t>
      </w:r>
      <w:r>
        <w:rPr>
          <w:spacing w:val="-5"/>
        </w:rPr>
        <w:t> </w:t>
      </w:r>
      <w:r>
        <w:rPr>
          <w:spacing w:val="-4"/>
        </w:rPr>
        <w:t>job</w:t>
      </w:r>
      <w:r>
        <w:rPr>
          <w:spacing w:val="-5"/>
        </w:rPr>
        <w:t> </w:t>
      </w:r>
      <w:r>
        <w:rPr>
          <w:spacing w:val="-4"/>
        </w:rPr>
        <w:t>opportunities’</w:t>
      </w:r>
      <w:r>
        <w:rPr>
          <w:spacing w:val="-5"/>
        </w:rPr>
        <w:t> </w:t>
      </w:r>
      <w:r>
        <w:rPr>
          <w:spacing w:val="-4"/>
        </w:rPr>
        <w:t>is</w:t>
      </w:r>
      <w:r>
        <w:rPr>
          <w:spacing w:val="-5"/>
        </w:rPr>
        <w:t> </w:t>
      </w:r>
      <w:r>
        <w:rPr>
          <w:spacing w:val="-4"/>
        </w:rPr>
        <w:t>the </w:t>
      </w:r>
      <w:r>
        <w:rPr/>
        <w:t>second most important reason for taking up science at</w:t>
      </w:r>
      <w:r>
        <w:rPr>
          <w:spacing w:val="-12"/>
        </w:rPr>
        <w:t> </w:t>
      </w:r>
      <w:r>
        <w:rPr/>
        <w:t>higher</w:t>
      </w:r>
      <w:r>
        <w:rPr>
          <w:spacing w:val="-12"/>
        </w:rPr>
        <w:t> </w:t>
      </w:r>
      <w:r>
        <w:rPr/>
        <w:t>secondary</w:t>
      </w:r>
      <w:r>
        <w:rPr>
          <w:spacing w:val="-12"/>
        </w:rPr>
        <w:t> </w:t>
      </w:r>
      <w:r>
        <w:rPr/>
        <w:t>level.</w:t>
      </w:r>
      <w:r>
        <w:rPr>
          <w:spacing w:val="-12"/>
        </w:rPr>
        <w:t> </w:t>
      </w:r>
      <w:r>
        <w:rPr/>
        <w:t>Peer</w:t>
      </w:r>
      <w:r>
        <w:rPr>
          <w:spacing w:val="-12"/>
        </w:rPr>
        <w:t> </w:t>
      </w:r>
      <w:r>
        <w:rPr/>
        <w:t>pressure,</w:t>
      </w:r>
      <w:r>
        <w:rPr>
          <w:spacing w:val="-12"/>
        </w:rPr>
        <w:t> </w:t>
      </w:r>
      <w:r>
        <w:rPr/>
        <w:t>the</w:t>
      </w:r>
      <w:r>
        <w:rPr>
          <w:spacing w:val="-12"/>
        </w:rPr>
        <w:t> </w:t>
      </w:r>
      <w:r>
        <w:rPr/>
        <w:t>changing </w:t>
      </w:r>
      <w:r>
        <w:rPr>
          <w:spacing w:val="-4"/>
        </w:rPr>
        <w:t>socio-economic</w:t>
      </w:r>
      <w:r>
        <w:rPr>
          <w:spacing w:val="-10"/>
        </w:rPr>
        <w:t> </w:t>
      </w:r>
      <w:r>
        <w:rPr>
          <w:spacing w:val="-4"/>
        </w:rPr>
        <w:t>situation,</w:t>
      </w:r>
      <w:r>
        <w:rPr>
          <w:spacing w:val="-10"/>
        </w:rPr>
        <w:t> </w:t>
      </w:r>
      <w:r>
        <w:rPr>
          <w:spacing w:val="-4"/>
        </w:rPr>
        <w:t>and</w:t>
      </w:r>
      <w:r>
        <w:rPr>
          <w:spacing w:val="-10"/>
        </w:rPr>
        <w:t> </w:t>
      </w:r>
      <w:r>
        <w:rPr>
          <w:spacing w:val="-4"/>
        </w:rPr>
        <w:t>market</w:t>
      </w:r>
      <w:r>
        <w:rPr>
          <w:spacing w:val="-9"/>
        </w:rPr>
        <w:t> </w:t>
      </w:r>
      <w:r>
        <w:rPr>
          <w:spacing w:val="-4"/>
        </w:rPr>
        <w:t>mechanisms</w:t>
      </w:r>
      <w:r>
        <w:rPr>
          <w:spacing w:val="-10"/>
        </w:rPr>
        <w:t> </w:t>
      </w:r>
      <w:r>
        <w:rPr>
          <w:spacing w:val="-4"/>
        </w:rPr>
        <w:t>have </w:t>
      </w:r>
      <w:r>
        <w:rPr>
          <w:spacing w:val="-6"/>
        </w:rPr>
        <w:t>resulted in the drift of students away from basic sciences </w:t>
      </w:r>
      <w:r>
        <w:rPr>
          <w:spacing w:val="-4"/>
        </w:rPr>
        <w:t>to</w:t>
      </w:r>
      <w:r>
        <w:rPr>
          <w:spacing w:val="-10"/>
        </w:rPr>
        <w:t> </w:t>
      </w:r>
      <w:r>
        <w:rPr>
          <w:spacing w:val="-4"/>
        </w:rPr>
        <w:t>professional</w:t>
      </w:r>
      <w:r>
        <w:rPr>
          <w:spacing w:val="-9"/>
        </w:rPr>
        <w:t> </w:t>
      </w:r>
      <w:r>
        <w:rPr>
          <w:spacing w:val="-4"/>
        </w:rPr>
        <w:t>courses</w:t>
      </w:r>
      <w:r>
        <w:rPr>
          <w:spacing w:val="-7"/>
        </w:rPr>
        <w:t> </w:t>
      </w:r>
      <w:r>
        <w:rPr>
          <w:spacing w:val="-4"/>
        </w:rPr>
        <w:t>which</w:t>
      </w:r>
      <w:r>
        <w:rPr>
          <w:spacing w:val="-8"/>
        </w:rPr>
        <w:t> </w:t>
      </w:r>
      <w:r>
        <w:rPr>
          <w:spacing w:val="-4"/>
        </w:rPr>
        <w:t>lure</w:t>
      </w:r>
      <w:r>
        <w:rPr>
          <w:spacing w:val="-8"/>
        </w:rPr>
        <w:t> </w:t>
      </w:r>
      <w:r>
        <w:rPr>
          <w:spacing w:val="-4"/>
        </w:rPr>
        <w:t>the</w:t>
      </w:r>
      <w:r>
        <w:rPr>
          <w:spacing w:val="-8"/>
        </w:rPr>
        <w:t> </w:t>
      </w:r>
      <w:r>
        <w:rPr>
          <w:spacing w:val="-4"/>
        </w:rPr>
        <w:t>student</w:t>
      </w:r>
      <w:r>
        <w:rPr>
          <w:spacing w:val="-10"/>
        </w:rPr>
        <w:t> </w:t>
      </w:r>
      <w:r>
        <w:rPr>
          <w:spacing w:val="-4"/>
        </w:rPr>
        <w:t>pool</w:t>
      </w:r>
      <w:r>
        <w:rPr>
          <w:spacing w:val="-10"/>
        </w:rPr>
        <w:t> </w:t>
      </w:r>
      <w:r>
        <w:rPr>
          <w:spacing w:val="-4"/>
        </w:rPr>
        <w:t>with </w:t>
      </w:r>
      <w:r>
        <w:rPr>
          <w:spacing w:val="-2"/>
        </w:rPr>
        <w:t>high</w:t>
      </w:r>
      <w:r>
        <w:rPr>
          <w:spacing w:val="-12"/>
        </w:rPr>
        <w:t> </w:t>
      </w:r>
      <w:r>
        <w:rPr>
          <w:spacing w:val="-2"/>
        </w:rPr>
        <w:t>salaries.</w:t>
      </w:r>
      <w:r>
        <w:rPr>
          <w:spacing w:val="-12"/>
        </w:rPr>
        <w:t> </w:t>
      </w:r>
      <w:r>
        <w:rPr>
          <w:spacing w:val="-2"/>
        </w:rPr>
        <w:t>(See</w:t>
      </w:r>
      <w:r>
        <w:rPr>
          <w:spacing w:val="-15"/>
        </w:rPr>
        <w:t> </w:t>
      </w:r>
      <w:r>
        <w:rPr>
          <w:spacing w:val="-2"/>
        </w:rPr>
        <w:t>Tables</w:t>
      </w:r>
      <w:r>
        <w:rPr>
          <w:spacing w:val="-9"/>
        </w:rPr>
        <w:t> </w:t>
      </w:r>
      <w:r>
        <w:rPr>
          <w:spacing w:val="-2"/>
        </w:rPr>
        <w:t>13</w:t>
      </w:r>
      <w:r>
        <w:rPr>
          <w:spacing w:val="-10"/>
        </w:rPr>
        <w:t> </w:t>
      </w:r>
      <w:r>
        <w:rPr>
          <w:spacing w:val="-2"/>
        </w:rPr>
        <w:t>and</w:t>
      </w:r>
      <w:r>
        <w:rPr>
          <w:spacing w:val="-10"/>
        </w:rPr>
        <w:t> </w:t>
      </w:r>
      <w:r>
        <w:rPr>
          <w:spacing w:val="-2"/>
        </w:rPr>
        <w:t>14)</w:t>
      </w:r>
    </w:p>
    <w:p>
      <w:pPr>
        <w:pStyle w:val="BodyText"/>
      </w:pPr>
    </w:p>
    <w:p>
      <w:pPr>
        <w:pStyle w:val="Heading8"/>
        <w:ind w:left="1080"/>
      </w:pPr>
      <w:r>
        <w:rPr>
          <w:w w:val="90"/>
        </w:rPr>
        <w:t>Table</w:t>
      </w:r>
      <w:r>
        <w:rPr>
          <w:spacing w:val="-3"/>
          <w:w w:val="90"/>
        </w:rPr>
        <w:t> </w:t>
      </w:r>
      <w:r>
        <w:rPr>
          <w:w w:val="90"/>
        </w:rPr>
        <w:t>13:</w:t>
      </w:r>
      <w:r>
        <w:rPr>
          <w:spacing w:val="-2"/>
          <w:w w:val="90"/>
        </w:rPr>
        <w:t> </w:t>
      </w:r>
      <w:r>
        <w:rPr>
          <w:color w:val="2E614A"/>
          <w:w w:val="90"/>
        </w:rPr>
        <w:t>Reasons</w:t>
      </w:r>
      <w:r>
        <w:rPr>
          <w:color w:val="2E614A"/>
          <w:spacing w:val="-3"/>
          <w:w w:val="90"/>
        </w:rPr>
        <w:t> </w:t>
      </w:r>
      <w:r>
        <w:rPr>
          <w:color w:val="2E614A"/>
          <w:w w:val="90"/>
        </w:rPr>
        <w:t>for</w:t>
      </w:r>
      <w:r>
        <w:rPr>
          <w:color w:val="2E614A"/>
          <w:spacing w:val="-2"/>
          <w:w w:val="90"/>
        </w:rPr>
        <w:t> </w:t>
      </w:r>
      <w:r>
        <w:rPr>
          <w:color w:val="2E614A"/>
          <w:w w:val="90"/>
        </w:rPr>
        <w:t>taking</w:t>
      </w:r>
      <w:r>
        <w:rPr>
          <w:color w:val="2E614A"/>
          <w:spacing w:val="-3"/>
          <w:w w:val="90"/>
        </w:rPr>
        <w:t> </w:t>
      </w:r>
      <w:r>
        <w:rPr>
          <w:color w:val="2E614A"/>
          <w:w w:val="90"/>
        </w:rPr>
        <w:t>admission</w:t>
      </w:r>
      <w:r>
        <w:rPr>
          <w:color w:val="2E614A"/>
          <w:spacing w:val="-2"/>
          <w:w w:val="90"/>
        </w:rPr>
        <w:t> </w:t>
      </w:r>
      <w:r>
        <w:rPr>
          <w:color w:val="2E614A"/>
          <w:w w:val="90"/>
        </w:rPr>
        <w:t>in</w:t>
      </w:r>
      <w:r>
        <w:rPr>
          <w:color w:val="2E614A"/>
          <w:spacing w:val="-2"/>
          <w:w w:val="90"/>
        </w:rPr>
        <w:t> science</w:t>
      </w:r>
    </w:p>
    <w:p>
      <w:pPr>
        <w:pStyle w:val="BodyText"/>
        <w:spacing w:before="3"/>
        <w:rPr>
          <w:b/>
          <w:sz w:val="10"/>
        </w:rPr>
      </w:pPr>
    </w:p>
    <w:tbl>
      <w:tblPr>
        <w:tblW w:w="0" w:type="auto"/>
        <w:jc w:val="left"/>
        <w:tblInd w:w="10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90"/>
        <w:gridCol w:w="2098"/>
      </w:tblGrid>
      <w:tr>
        <w:trPr>
          <w:trHeight w:val="895" w:hRule="atLeast"/>
        </w:trPr>
        <w:tc>
          <w:tcPr>
            <w:tcW w:w="2590" w:type="dxa"/>
            <w:shd w:val="clear" w:color="auto" w:fill="D0D5CD"/>
          </w:tcPr>
          <w:p>
            <w:pPr>
              <w:pStyle w:val="TableParagraph"/>
              <w:ind w:left="90"/>
              <w:rPr>
                <w:b/>
                <w:sz w:val="20"/>
              </w:rPr>
            </w:pPr>
            <w:r>
              <w:rPr>
                <w:b/>
                <w:spacing w:val="-2"/>
                <w:sz w:val="20"/>
              </w:rPr>
              <w:t>Reason</w:t>
            </w:r>
          </w:p>
        </w:tc>
        <w:tc>
          <w:tcPr>
            <w:tcW w:w="2098" w:type="dxa"/>
            <w:shd w:val="clear" w:color="auto" w:fill="D0D5CD"/>
          </w:tcPr>
          <w:p>
            <w:pPr>
              <w:pStyle w:val="TableParagraph"/>
              <w:spacing w:line="266" w:lineRule="auto" w:before="43"/>
              <w:ind w:left="7"/>
              <w:jc w:val="center"/>
              <w:rPr>
                <w:b/>
                <w:sz w:val="22"/>
              </w:rPr>
            </w:pPr>
            <w:r>
              <w:rPr>
                <w:b/>
                <w:w w:val="90"/>
                <w:sz w:val="22"/>
              </w:rPr>
              <w:t>Percentage</w:t>
            </w:r>
            <w:r>
              <w:rPr>
                <w:b/>
                <w:spacing w:val="-2"/>
                <w:w w:val="90"/>
                <w:sz w:val="22"/>
              </w:rPr>
              <w:t> </w:t>
            </w:r>
            <w:r>
              <w:rPr>
                <w:b/>
                <w:w w:val="90"/>
                <w:sz w:val="22"/>
              </w:rPr>
              <w:t>of</w:t>
            </w:r>
            <w:r>
              <w:rPr>
                <w:b/>
                <w:spacing w:val="-2"/>
                <w:w w:val="90"/>
                <w:sz w:val="22"/>
              </w:rPr>
              <w:t> </w:t>
            </w:r>
            <w:r>
              <w:rPr>
                <w:b/>
                <w:w w:val="90"/>
                <w:sz w:val="22"/>
              </w:rPr>
              <w:t>science </w:t>
            </w:r>
            <w:r>
              <w:rPr>
                <w:b/>
                <w:spacing w:val="-2"/>
                <w:sz w:val="22"/>
              </w:rPr>
              <w:t>students</w:t>
            </w:r>
          </w:p>
          <w:p>
            <w:pPr>
              <w:pStyle w:val="TableParagraph"/>
              <w:spacing w:line="251" w:lineRule="exact" w:before="0"/>
              <w:ind w:left="7" w:right="3"/>
              <w:jc w:val="center"/>
              <w:rPr>
                <w:b/>
                <w:sz w:val="22"/>
              </w:rPr>
            </w:pPr>
            <w:r>
              <w:rPr>
                <w:b/>
                <w:spacing w:val="-2"/>
                <w:sz w:val="22"/>
              </w:rPr>
              <w:t>(Class</w:t>
            </w:r>
            <w:r>
              <w:rPr>
                <w:b/>
                <w:spacing w:val="-9"/>
                <w:sz w:val="22"/>
              </w:rPr>
              <w:t> </w:t>
            </w:r>
            <w:r>
              <w:rPr>
                <w:b/>
                <w:spacing w:val="-2"/>
                <w:sz w:val="22"/>
              </w:rPr>
              <w:t>11</w:t>
            </w:r>
            <w:r>
              <w:rPr>
                <w:b/>
                <w:spacing w:val="-9"/>
                <w:sz w:val="22"/>
              </w:rPr>
              <w:t> </w:t>
            </w:r>
            <w:r>
              <w:rPr>
                <w:b/>
                <w:spacing w:val="-2"/>
                <w:sz w:val="22"/>
              </w:rPr>
              <w:t>&amp;</w:t>
            </w:r>
            <w:r>
              <w:rPr>
                <w:b/>
                <w:spacing w:val="-9"/>
                <w:sz w:val="22"/>
              </w:rPr>
              <w:t> </w:t>
            </w:r>
            <w:r>
              <w:rPr>
                <w:b/>
                <w:spacing w:val="-5"/>
                <w:sz w:val="22"/>
              </w:rPr>
              <w:t>12)</w:t>
            </w:r>
          </w:p>
        </w:tc>
      </w:tr>
      <w:tr>
        <w:trPr>
          <w:trHeight w:val="321" w:hRule="atLeast"/>
        </w:trPr>
        <w:tc>
          <w:tcPr>
            <w:tcW w:w="2590" w:type="dxa"/>
            <w:shd w:val="clear" w:color="auto" w:fill="E9E9E9"/>
          </w:tcPr>
          <w:p>
            <w:pPr>
              <w:pStyle w:val="TableParagraph"/>
              <w:ind w:left="90"/>
              <w:rPr>
                <w:sz w:val="20"/>
              </w:rPr>
            </w:pPr>
            <w:r>
              <w:rPr>
                <w:spacing w:val="-4"/>
                <w:sz w:val="20"/>
              </w:rPr>
              <w:t>Interested in</w:t>
            </w:r>
            <w:r>
              <w:rPr>
                <w:spacing w:val="-3"/>
                <w:sz w:val="20"/>
              </w:rPr>
              <w:t> </w:t>
            </w:r>
            <w:r>
              <w:rPr>
                <w:spacing w:val="-4"/>
                <w:sz w:val="20"/>
              </w:rPr>
              <w:t>science subjects</w:t>
            </w:r>
          </w:p>
        </w:tc>
        <w:tc>
          <w:tcPr>
            <w:tcW w:w="2098" w:type="dxa"/>
            <w:shd w:val="clear" w:color="auto" w:fill="E9E9E9"/>
          </w:tcPr>
          <w:p>
            <w:pPr>
              <w:pStyle w:val="TableParagraph"/>
              <w:ind w:right="713"/>
              <w:jc w:val="right"/>
              <w:rPr>
                <w:sz w:val="20"/>
              </w:rPr>
            </w:pPr>
            <w:r>
              <w:rPr>
                <w:spacing w:val="-4"/>
                <w:sz w:val="20"/>
              </w:rPr>
              <w:t>66.6</w:t>
            </w:r>
          </w:p>
        </w:tc>
      </w:tr>
      <w:tr>
        <w:trPr>
          <w:trHeight w:val="335" w:hRule="atLeast"/>
        </w:trPr>
        <w:tc>
          <w:tcPr>
            <w:tcW w:w="2590" w:type="dxa"/>
            <w:shd w:val="clear" w:color="auto" w:fill="D0D5CD"/>
          </w:tcPr>
          <w:p>
            <w:pPr>
              <w:pStyle w:val="TableParagraph"/>
              <w:spacing w:before="43"/>
              <w:ind w:left="90"/>
              <w:rPr>
                <w:sz w:val="22"/>
              </w:rPr>
            </w:pPr>
            <w:r>
              <w:rPr>
                <w:spacing w:val="-2"/>
                <w:sz w:val="22"/>
              </w:rPr>
              <w:t>Better</w:t>
            </w:r>
            <w:r>
              <w:rPr>
                <w:spacing w:val="-11"/>
                <w:sz w:val="22"/>
              </w:rPr>
              <w:t> </w:t>
            </w:r>
            <w:r>
              <w:rPr>
                <w:spacing w:val="-2"/>
                <w:sz w:val="22"/>
              </w:rPr>
              <w:t>job</w:t>
            </w:r>
            <w:r>
              <w:rPr>
                <w:spacing w:val="-11"/>
                <w:sz w:val="22"/>
              </w:rPr>
              <w:t> </w:t>
            </w:r>
            <w:r>
              <w:rPr>
                <w:spacing w:val="-2"/>
                <w:sz w:val="22"/>
              </w:rPr>
              <w:t>opportunities</w:t>
            </w:r>
          </w:p>
        </w:tc>
        <w:tc>
          <w:tcPr>
            <w:tcW w:w="2098" w:type="dxa"/>
            <w:shd w:val="clear" w:color="auto" w:fill="D0D5CD"/>
          </w:tcPr>
          <w:p>
            <w:pPr>
              <w:pStyle w:val="TableParagraph"/>
              <w:ind w:right="713"/>
              <w:jc w:val="right"/>
              <w:rPr>
                <w:sz w:val="20"/>
              </w:rPr>
            </w:pPr>
            <w:r>
              <w:rPr>
                <w:spacing w:val="-4"/>
                <w:sz w:val="20"/>
              </w:rPr>
              <w:t>20.4</w:t>
            </w:r>
          </w:p>
        </w:tc>
      </w:tr>
      <w:tr>
        <w:trPr>
          <w:trHeight w:val="335" w:hRule="atLeast"/>
        </w:trPr>
        <w:tc>
          <w:tcPr>
            <w:tcW w:w="2590" w:type="dxa"/>
            <w:shd w:val="clear" w:color="auto" w:fill="E9E9E9"/>
          </w:tcPr>
          <w:p>
            <w:pPr>
              <w:pStyle w:val="TableParagraph"/>
              <w:spacing w:before="43"/>
              <w:ind w:left="90"/>
              <w:rPr>
                <w:sz w:val="22"/>
              </w:rPr>
            </w:pPr>
            <w:r>
              <w:rPr>
                <w:w w:val="90"/>
                <w:sz w:val="22"/>
              </w:rPr>
              <w:t>Parents’</w:t>
            </w:r>
            <w:r>
              <w:rPr>
                <w:spacing w:val="1"/>
                <w:sz w:val="22"/>
              </w:rPr>
              <w:t> </w:t>
            </w:r>
            <w:r>
              <w:rPr>
                <w:spacing w:val="-2"/>
                <w:w w:val="95"/>
                <w:sz w:val="22"/>
              </w:rPr>
              <w:t>desire</w:t>
            </w:r>
          </w:p>
        </w:tc>
        <w:tc>
          <w:tcPr>
            <w:tcW w:w="2098" w:type="dxa"/>
            <w:shd w:val="clear" w:color="auto" w:fill="E9E9E9"/>
          </w:tcPr>
          <w:p>
            <w:pPr>
              <w:pStyle w:val="TableParagraph"/>
              <w:ind w:right="713"/>
              <w:jc w:val="right"/>
              <w:rPr>
                <w:sz w:val="20"/>
              </w:rPr>
            </w:pPr>
            <w:r>
              <w:rPr>
                <w:spacing w:val="-5"/>
                <w:sz w:val="20"/>
              </w:rPr>
              <w:t>3.3</w:t>
            </w:r>
          </w:p>
        </w:tc>
      </w:tr>
      <w:tr>
        <w:trPr>
          <w:trHeight w:val="615" w:hRule="atLeast"/>
        </w:trPr>
        <w:tc>
          <w:tcPr>
            <w:tcW w:w="2590" w:type="dxa"/>
            <w:shd w:val="clear" w:color="auto" w:fill="D0D5CD"/>
          </w:tcPr>
          <w:p>
            <w:pPr>
              <w:pStyle w:val="TableParagraph"/>
              <w:spacing w:line="280" w:lineRule="atLeast" w:before="16"/>
              <w:ind w:left="90" w:right="36"/>
              <w:rPr>
                <w:sz w:val="22"/>
              </w:rPr>
            </w:pPr>
            <w:r>
              <w:rPr>
                <w:spacing w:val="-4"/>
                <w:sz w:val="22"/>
              </w:rPr>
              <w:t>Interested</w:t>
            </w:r>
            <w:r>
              <w:rPr>
                <w:spacing w:val="-10"/>
                <w:sz w:val="22"/>
              </w:rPr>
              <w:t> </w:t>
            </w:r>
            <w:r>
              <w:rPr>
                <w:spacing w:val="-4"/>
                <w:sz w:val="22"/>
              </w:rPr>
              <w:t>in</w:t>
            </w:r>
            <w:r>
              <w:rPr>
                <w:spacing w:val="-10"/>
                <w:sz w:val="22"/>
              </w:rPr>
              <w:t> </w:t>
            </w:r>
            <w:r>
              <w:rPr>
                <w:spacing w:val="-4"/>
                <w:sz w:val="22"/>
              </w:rPr>
              <w:t>doing</w:t>
            </w:r>
            <w:r>
              <w:rPr>
                <w:spacing w:val="-10"/>
                <w:sz w:val="22"/>
              </w:rPr>
              <w:t> </w:t>
            </w:r>
            <w:r>
              <w:rPr>
                <w:spacing w:val="-4"/>
                <w:sz w:val="22"/>
              </w:rPr>
              <w:t>research </w:t>
            </w:r>
            <w:r>
              <w:rPr>
                <w:sz w:val="22"/>
              </w:rPr>
              <w:t>in science</w:t>
            </w:r>
          </w:p>
        </w:tc>
        <w:tc>
          <w:tcPr>
            <w:tcW w:w="2098" w:type="dxa"/>
            <w:shd w:val="clear" w:color="auto" w:fill="D0D5CD"/>
          </w:tcPr>
          <w:p>
            <w:pPr>
              <w:pStyle w:val="TableParagraph"/>
              <w:ind w:right="713"/>
              <w:jc w:val="right"/>
              <w:rPr>
                <w:sz w:val="20"/>
              </w:rPr>
            </w:pPr>
            <w:r>
              <w:rPr>
                <w:spacing w:val="-5"/>
                <w:sz w:val="20"/>
              </w:rPr>
              <w:t>1.8</w:t>
            </w:r>
          </w:p>
        </w:tc>
      </w:tr>
      <w:tr>
        <w:trPr>
          <w:trHeight w:val="615" w:hRule="atLeast"/>
        </w:trPr>
        <w:tc>
          <w:tcPr>
            <w:tcW w:w="2590" w:type="dxa"/>
            <w:shd w:val="clear" w:color="auto" w:fill="E9E9E9"/>
          </w:tcPr>
          <w:p>
            <w:pPr>
              <w:pStyle w:val="TableParagraph"/>
              <w:spacing w:line="280" w:lineRule="atLeast" w:before="16"/>
              <w:ind w:left="90"/>
              <w:rPr>
                <w:sz w:val="22"/>
              </w:rPr>
            </w:pPr>
            <w:r>
              <w:rPr>
                <w:spacing w:val="-4"/>
                <w:sz w:val="22"/>
              </w:rPr>
              <w:t>Influenced</w:t>
            </w:r>
            <w:r>
              <w:rPr>
                <w:spacing w:val="-10"/>
                <w:sz w:val="22"/>
              </w:rPr>
              <w:t> </w:t>
            </w:r>
            <w:r>
              <w:rPr>
                <w:spacing w:val="-4"/>
                <w:sz w:val="22"/>
              </w:rPr>
              <w:t>by</w:t>
            </w:r>
            <w:r>
              <w:rPr>
                <w:spacing w:val="-10"/>
                <w:sz w:val="22"/>
              </w:rPr>
              <w:t> </w:t>
            </w:r>
            <w:r>
              <w:rPr>
                <w:spacing w:val="-4"/>
                <w:sz w:val="22"/>
              </w:rPr>
              <w:t>the</w:t>
            </w:r>
            <w:r>
              <w:rPr>
                <w:spacing w:val="-10"/>
                <w:sz w:val="22"/>
              </w:rPr>
              <w:t> </w:t>
            </w:r>
            <w:r>
              <w:rPr>
                <w:spacing w:val="-4"/>
                <w:sz w:val="22"/>
              </w:rPr>
              <w:t>work</w:t>
            </w:r>
            <w:r>
              <w:rPr>
                <w:spacing w:val="-9"/>
                <w:sz w:val="22"/>
              </w:rPr>
              <w:t> </w:t>
            </w:r>
            <w:r>
              <w:rPr>
                <w:spacing w:val="-4"/>
                <w:sz w:val="22"/>
              </w:rPr>
              <w:t>of </w:t>
            </w:r>
            <w:r>
              <w:rPr>
                <w:spacing w:val="-2"/>
                <w:sz w:val="22"/>
              </w:rPr>
              <w:t>scientists</w:t>
            </w:r>
          </w:p>
        </w:tc>
        <w:tc>
          <w:tcPr>
            <w:tcW w:w="2098" w:type="dxa"/>
            <w:shd w:val="clear" w:color="auto" w:fill="E9E9E9"/>
          </w:tcPr>
          <w:p>
            <w:pPr>
              <w:pStyle w:val="TableParagraph"/>
              <w:ind w:right="713"/>
              <w:jc w:val="right"/>
              <w:rPr>
                <w:sz w:val="20"/>
              </w:rPr>
            </w:pPr>
            <w:r>
              <w:rPr>
                <w:spacing w:val="-5"/>
                <w:sz w:val="20"/>
              </w:rPr>
              <w:t>1.3</w:t>
            </w:r>
          </w:p>
        </w:tc>
      </w:tr>
      <w:tr>
        <w:trPr>
          <w:trHeight w:val="615" w:hRule="atLeast"/>
        </w:trPr>
        <w:tc>
          <w:tcPr>
            <w:tcW w:w="2590" w:type="dxa"/>
            <w:shd w:val="clear" w:color="auto" w:fill="D0D5CD"/>
          </w:tcPr>
          <w:p>
            <w:pPr>
              <w:pStyle w:val="TableParagraph"/>
              <w:spacing w:line="280" w:lineRule="atLeast" w:before="16"/>
              <w:ind w:left="90" w:right="154"/>
              <w:rPr>
                <w:sz w:val="22"/>
              </w:rPr>
            </w:pPr>
            <w:r>
              <w:rPr>
                <w:spacing w:val="-6"/>
                <w:sz w:val="22"/>
              </w:rPr>
              <w:t>Quality of science </w:t>
            </w:r>
            <w:r>
              <w:rPr>
                <w:spacing w:val="-6"/>
                <w:sz w:val="22"/>
              </w:rPr>
              <w:t>teachers </w:t>
            </w:r>
            <w:r>
              <w:rPr>
                <w:sz w:val="22"/>
              </w:rPr>
              <w:t>is very good</w:t>
            </w:r>
          </w:p>
        </w:tc>
        <w:tc>
          <w:tcPr>
            <w:tcW w:w="2098" w:type="dxa"/>
            <w:shd w:val="clear" w:color="auto" w:fill="D0D5CD"/>
          </w:tcPr>
          <w:p>
            <w:pPr>
              <w:pStyle w:val="TableParagraph"/>
              <w:ind w:right="713"/>
              <w:jc w:val="right"/>
              <w:rPr>
                <w:sz w:val="20"/>
              </w:rPr>
            </w:pPr>
            <w:r>
              <w:rPr>
                <w:spacing w:val="-5"/>
                <w:sz w:val="20"/>
              </w:rPr>
              <w:t>0.8</w:t>
            </w:r>
          </w:p>
        </w:tc>
      </w:tr>
      <w:tr>
        <w:trPr>
          <w:trHeight w:val="335" w:hRule="atLeast"/>
        </w:trPr>
        <w:tc>
          <w:tcPr>
            <w:tcW w:w="2590" w:type="dxa"/>
            <w:shd w:val="clear" w:color="auto" w:fill="E9E9E9"/>
          </w:tcPr>
          <w:p>
            <w:pPr>
              <w:pStyle w:val="TableParagraph"/>
              <w:spacing w:before="43"/>
              <w:ind w:left="90"/>
              <w:rPr>
                <w:sz w:val="22"/>
              </w:rPr>
            </w:pPr>
            <w:r>
              <w:rPr>
                <w:spacing w:val="-4"/>
                <w:sz w:val="22"/>
              </w:rPr>
              <w:t>Influence</w:t>
            </w:r>
            <w:r>
              <w:rPr>
                <w:spacing w:val="-7"/>
                <w:sz w:val="22"/>
              </w:rPr>
              <w:t> </w:t>
            </w:r>
            <w:r>
              <w:rPr>
                <w:spacing w:val="-4"/>
                <w:sz w:val="22"/>
              </w:rPr>
              <w:t>of</w:t>
            </w:r>
            <w:r>
              <w:rPr>
                <w:spacing w:val="-6"/>
                <w:sz w:val="22"/>
              </w:rPr>
              <w:t> </w:t>
            </w:r>
            <w:r>
              <w:rPr>
                <w:spacing w:val="-4"/>
                <w:sz w:val="22"/>
              </w:rPr>
              <w:t>peer</w:t>
            </w:r>
            <w:r>
              <w:rPr>
                <w:spacing w:val="-6"/>
                <w:sz w:val="22"/>
              </w:rPr>
              <w:t> </w:t>
            </w:r>
            <w:r>
              <w:rPr>
                <w:spacing w:val="-4"/>
                <w:sz w:val="22"/>
              </w:rPr>
              <w:t>group</w:t>
            </w:r>
          </w:p>
        </w:tc>
        <w:tc>
          <w:tcPr>
            <w:tcW w:w="2098" w:type="dxa"/>
            <w:shd w:val="clear" w:color="auto" w:fill="E9E9E9"/>
          </w:tcPr>
          <w:p>
            <w:pPr>
              <w:pStyle w:val="TableParagraph"/>
              <w:ind w:right="713"/>
              <w:jc w:val="right"/>
              <w:rPr>
                <w:sz w:val="20"/>
              </w:rPr>
            </w:pPr>
            <w:r>
              <w:rPr>
                <w:spacing w:val="-5"/>
                <w:sz w:val="20"/>
              </w:rPr>
              <w:t>0.7</w:t>
            </w:r>
          </w:p>
        </w:tc>
      </w:tr>
      <w:tr>
        <w:trPr>
          <w:trHeight w:val="335" w:hRule="atLeast"/>
        </w:trPr>
        <w:tc>
          <w:tcPr>
            <w:tcW w:w="2590" w:type="dxa"/>
            <w:shd w:val="clear" w:color="auto" w:fill="D0D5CD"/>
          </w:tcPr>
          <w:p>
            <w:pPr>
              <w:pStyle w:val="TableParagraph"/>
              <w:spacing w:before="43"/>
              <w:ind w:left="90"/>
              <w:rPr>
                <w:sz w:val="22"/>
              </w:rPr>
            </w:pPr>
            <w:r>
              <w:rPr>
                <w:sz w:val="22"/>
              </w:rPr>
              <w:t>Intend</w:t>
            </w:r>
            <w:r>
              <w:rPr>
                <w:spacing w:val="-4"/>
                <w:sz w:val="22"/>
              </w:rPr>
              <w:t> </w:t>
            </w:r>
            <w:r>
              <w:rPr>
                <w:sz w:val="22"/>
              </w:rPr>
              <w:t>to</w:t>
            </w:r>
            <w:r>
              <w:rPr>
                <w:spacing w:val="-4"/>
                <w:sz w:val="22"/>
              </w:rPr>
              <w:t> </w:t>
            </w:r>
            <w:r>
              <w:rPr>
                <w:sz w:val="22"/>
              </w:rPr>
              <w:t>go</w:t>
            </w:r>
            <w:r>
              <w:rPr>
                <w:spacing w:val="-4"/>
                <w:sz w:val="22"/>
              </w:rPr>
              <w:t> </w:t>
            </w:r>
            <w:r>
              <w:rPr>
                <w:spacing w:val="-2"/>
                <w:sz w:val="22"/>
              </w:rPr>
              <w:t>abroad</w:t>
            </w:r>
          </w:p>
        </w:tc>
        <w:tc>
          <w:tcPr>
            <w:tcW w:w="2098" w:type="dxa"/>
            <w:shd w:val="clear" w:color="auto" w:fill="D0D5CD"/>
          </w:tcPr>
          <w:p>
            <w:pPr>
              <w:pStyle w:val="TableParagraph"/>
              <w:ind w:right="713"/>
              <w:jc w:val="right"/>
              <w:rPr>
                <w:sz w:val="20"/>
              </w:rPr>
            </w:pPr>
            <w:r>
              <w:rPr>
                <w:spacing w:val="-5"/>
                <w:sz w:val="20"/>
              </w:rPr>
              <w:t>0.2</w:t>
            </w:r>
          </w:p>
        </w:tc>
      </w:tr>
      <w:tr>
        <w:trPr>
          <w:trHeight w:val="335" w:hRule="atLeast"/>
        </w:trPr>
        <w:tc>
          <w:tcPr>
            <w:tcW w:w="2590" w:type="dxa"/>
            <w:shd w:val="clear" w:color="auto" w:fill="E9E9E9"/>
          </w:tcPr>
          <w:p>
            <w:pPr>
              <w:pStyle w:val="TableParagraph"/>
              <w:spacing w:before="43"/>
              <w:ind w:left="90"/>
              <w:rPr>
                <w:sz w:val="22"/>
              </w:rPr>
            </w:pPr>
            <w:r>
              <w:rPr>
                <w:spacing w:val="-2"/>
                <w:sz w:val="22"/>
              </w:rPr>
              <w:t>Others</w:t>
            </w:r>
          </w:p>
        </w:tc>
        <w:tc>
          <w:tcPr>
            <w:tcW w:w="2098" w:type="dxa"/>
            <w:shd w:val="clear" w:color="auto" w:fill="E9E9E9"/>
          </w:tcPr>
          <w:p>
            <w:pPr>
              <w:pStyle w:val="TableParagraph"/>
              <w:ind w:right="713"/>
              <w:jc w:val="right"/>
              <w:rPr>
                <w:sz w:val="20"/>
              </w:rPr>
            </w:pPr>
            <w:r>
              <w:rPr>
                <w:spacing w:val="-5"/>
                <w:sz w:val="20"/>
              </w:rPr>
              <w:t>4.8</w:t>
            </w:r>
          </w:p>
        </w:tc>
      </w:tr>
    </w:tbl>
    <w:p>
      <w:pPr>
        <w:spacing w:line="249" w:lineRule="auto" w:before="60"/>
        <w:ind w:left="1080" w:right="0" w:firstLine="0"/>
        <w:jc w:val="left"/>
        <w:rPr>
          <w:sz w:val="16"/>
        </w:rPr>
      </w:pPr>
      <w:r>
        <w:rPr>
          <w:i/>
          <w:spacing w:val="-4"/>
          <w:sz w:val="16"/>
        </w:rPr>
        <w:t>Source: </w:t>
      </w:r>
      <w:r>
        <w:rPr>
          <w:spacing w:val="-4"/>
          <w:sz w:val="16"/>
        </w:rPr>
        <w:t>India Science Report, National Council of Applied </w:t>
      </w:r>
      <w:r>
        <w:rPr>
          <w:spacing w:val="-4"/>
          <w:sz w:val="16"/>
        </w:rPr>
        <w:t>Economic</w:t>
      </w:r>
      <w:r>
        <w:rPr>
          <w:spacing w:val="40"/>
          <w:sz w:val="16"/>
        </w:rPr>
        <w:t> </w:t>
      </w:r>
      <w:r>
        <w:rPr>
          <w:spacing w:val="-2"/>
          <w:sz w:val="16"/>
        </w:rPr>
        <w:t>Research</w:t>
      </w:r>
    </w:p>
    <w:p>
      <w:pPr>
        <w:pStyle w:val="Heading8"/>
        <w:spacing w:line="242" w:lineRule="auto" w:before="73"/>
        <w:ind w:left="1268" w:right="1075" w:hanging="949"/>
      </w:pPr>
      <w:r>
        <w:rPr>
          <w:b w:val="0"/>
        </w:rPr>
        <w:br w:type="column"/>
      </w:r>
      <w:r>
        <w:rPr>
          <w:spacing w:val="-4"/>
        </w:rPr>
        <w:t>Table</w:t>
      </w:r>
      <w:r>
        <w:rPr>
          <w:spacing w:val="-11"/>
        </w:rPr>
        <w:t> </w:t>
      </w:r>
      <w:r>
        <w:rPr>
          <w:spacing w:val="-4"/>
        </w:rPr>
        <w:t>14:</w:t>
      </w:r>
      <w:r>
        <w:rPr>
          <w:spacing w:val="-11"/>
        </w:rPr>
        <w:t> </w:t>
      </w:r>
      <w:r>
        <w:rPr>
          <w:color w:val="2E614A"/>
          <w:spacing w:val="-4"/>
        </w:rPr>
        <w:t>Reasons</w:t>
      </w:r>
      <w:r>
        <w:rPr>
          <w:color w:val="2E614A"/>
          <w:spacing w:val="21"/>
        </w:rPr>
        <w:t> </w:t>
      </w:r>
      <w:r>
        <w:rPr>
          <w:color w:val="2E614A"/>
          <w:spacing w:val="-4"/>
        </w:rPr>
        <w:t>for</w:t>
      </w:r>
      <w:r>
        <w:rPr>
          <w:color w:val="2E614A"/>
          <w:spacing w:val="31"/>
        </w:rPr>
        <w:t> </w:t>
      </w:r>
      <w:r>
        <w:rPr>
          <w:color w:val="2E614A"/>
          <w:spacing w:val="-4"/>
        </w:rPr>
        <w:t>not</w:t>
      </w:r>
      <w:r>
        <w:rPr>
          <w:color w:val="2E614A"/>
          <w:spacing w:val="31"/>
        </w:rPr>
        <w:t> </w:t>
      </w:r>
      <w:r>
        <w:rPr>
          <w:color w:val="2E614A"/>
          <w:spacing w:val="-4"/>
        </w:rPr>
        <w:t>taking</w:t>
      </w:r>
      <w:r>
        <w:rPr>
          <w:color w:val="2E614A"/>
          <w:spacing w:val="31"/>
        </w:rPr>
        <w:t> </w:t>
      </w:r>
      <w:r>
        <w:rPr>
          <w:color w:val="2E614A"/>
          <w:spacing w:val="-4"/>
        </w:rPr>
        <w:t>admission</w:t>
      </w:r>
      <w:r>
        <w:rPr>
          <w:color w:val="2E614A"/>
          <w:spacing w:val="31"/>
        </w:rPr>
        <w:t> </w:t>
      </w:r>
      <w:r>
        <w:rPr>
          <w:color w:val="2E614A"/>
          <w:spacing w:val="-4"/>
        </w:rPr>
        <w:t>in </w:t>
      </w:r>
      <w:r>
        <w:rPr>
          <w:color w:val="2E614A"/>
          <w:spacing w:val="-2"/>
        </w:rPr>
        <w:t>science</w:t>
      </w:r>
    </w:p>
    <w:p>
      <w:pPr>
        <w:pStyle w:val="BodyText"/>
        <w:spacing w:before="2"/>
        <w:rPr>
          <w:b/>
          <w:sz w:val="10"/>
        </w:rPr>
      </w:pPr>
    </w:p>
    <w:tbl>
      <w:tblPr>
        <w:tblW w:w="0" w:type="auto"/>
        <w:jc w:val="left"/>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80"/>
        <w:gridCol w:w="1807"/>
      </w:tblGrid>
      <w:tr>
        <w:trPr>
          <w:trHeight w:val="867" w:hRule="atLeast"/>
        </w:trPr>
        <w:tc>
          <w:tcPr>
            <w:tcW w:w="2880" w:type="dxa"/>
            <w:shd w:val="clear" w:color="auto" w:fill="D0D5CD"/>
          </w:tcPr>
          <w:p>
            <w:pPr>
              <w:pStyle w:val="TableParagraph"/>
              <w:spacing w:before="32"/>
              <w:ind w:left="90"/>
              <w:rPr>
                <w:b/>
                <w:sz w:val="20"/>
              </w:rPr>
            </w:pPr>
            <w:r>
              <w:rPr>
                <w:b/>
                <w:spacing w:val="-2"/>
                <w:sz w:val="20"/>
              </w:rPr>
              <w:t>Reason</w:t>
            </w:r>
          </w:p>
        </w:tc>
        <w:tc>
          <w:tcPr>
            <w:tcW w:w="1807" w:type="dxa"/>
            <w:shd w:val="clear" w:color="auto" w:fill="D0D5CD"/>
          </w:tcPr>
          <w:p>
            <w:pPr>
              <w:pStyle w:val="TableParagraph"/>
              <w:spacing w:line="280" w:lineRule="atLeast" w:before="1"/>
              <w:ind w:left="90" w:right="72"/>
              <w:rPr>
                <w:b/>
                <w:sz w:val="22"/>
              </w:rPr>
            </w:pPr>
            <w:r>
              <w:rPr>
                <w:b/>
                <w:spacing w:val="-8"/>
                <w:sz w:val="22"/>
              </w:rPr>
              <w:t>Percentage</w:t>
            </w:r>
            <w:r>
              <w:rPr>
                <w:b/>
                <w:spacing w:val="-6"/>
                <w:sz w:val="22"/>
              </w:rPr>
              <w:t> </w:t>
            </w:r>
            <w:r>
              <w:rPr>
                <w:b/>
                <w:spacing w:val="-8"/>
                <w:sz w:val="22"/>
              </w:rPr>
              <w:t>of</w:t>
            </w:r>
            <w:r>
              <w:rPr>
                <w:b/>
                <w:spacing w:val="-6"/>
                <w:sz w:val="22"/>
              </w:rPr>
              <w:t> </w:t>
            </w:r>
            <w:r>
              <w:rPr>
                <w:b/>
                <w:spacing w:val="-8"/>
                <w:sz w:val="22"/>
              </w:rPr>
              <w:t>non- </w:t>
            </w:r>
            <w:r>
              <w:rPr>
                <w:b/>
                <w:sz w:val="22"/>
              </w:rPr>
              <w:t>science students (Class 11 &amp; 12)</w:t>
            </w:r>
          </w:p>
        </w:tc>
      </w:tr>
      <w:tr>
        <w:trPr>
          <w:trHeight w:val="292" w:hRule="atLeast"/>
        </w:trPr>
        <w:tc>
          <w:tcPr>
            <w:tcW w:w="2880" w:type="dxa"/>
            <w:shd w:val="clear" w:color="auto" w:fill="E9E9E9"/>
          </w:tcPr>
          <w:p>
            <w:pPr>
              <w:pStyle w:val="TableParagraph"/>
              <w:spacing w:before="32"/>
              <w:ind w:left="90"/>
              <w:rPr>
                <w:sz w:val="20"/>
              </w:rPr>
            </w:pPr>
            <w:r>
              <w:rPr>
                <w:spacing w:val="-2"/>
                <w:sz w:val="20"/>
              </w:rPr>
              <w:t>Not</w:t>
            </w:r>
            <w:r>
              <w:rPr>
                <w:spacing w:val="-10"/>
                <w:sz w:val="20"/>
              </w:rPr>
              <w:t> </w:t>
            </w:r>
            <w:r>
              <w:rPr>
                <w:spacing w:val="-2"/>
                <w:sz w:val="20"/>
              </w:rPr>
              <w:t>interested</w:t>
            </w:r>
            <w:r>
              <w:rPr>
                <w:spacing w:val="-9"/>
                <w:sz w:val="20"/>
              </w:rPr>
              <w:t> </w:t>
            </w:r>
            <w:r>
              <w:rPr>
                <w:spacing w:val="-2"/>
                <w:sz w:val="20"/>
              </w:rPr>
              <w:t>in</w:t>
            </w:r>
            <w:r>
              <w:rPr>
                <w:spacing w:val="-9"/>
                <w:sz w:val="20"/>
              </w:rPr>
              <w:t> </w:t>
            </w:r>
            <w:r>
              <w:rPr>
                <w:spacing w:val="-2"/>
                <w:sz w:val="20"/>
              </w:rPr>
              <w:t>science</w:t>
            </w:r>
            <w:r>
              <w:rPr>
                <w:spacing w:val="-9"/>
                <w:sz w:val="20"/>
              </w:rPr>
              <w:t> </w:t>
            </w:r>
            <w:r>
              <w:rPr>
                <w:spacing w:val="-2"/>
                <w:sz w:val="20"/>
              </w:rPr>
              <w:t>subjects</w:t>
            </w:r>
          </w:p>
        </w:tc>
        <w:tc>
          <w:tcPr>
            <w:tcW w:w="1807" w:type="dxa"/>
            <w:shd w:val="clear" w:color="auto" w:fill="E9E9E9"/>
          </w:tcPr>
          <w:p>
            <w:pPr>
              <w:pStyle w:val="TableParagraph"/>
              <w:spacing w:before="32"/>
              <w:ind w:right="802"/>
              <w:jc w:val="right"/>
              <w:rPr>
                <w:sz w:val="20"/>
              </w:rPr>
            </w:pPr>
            <w:r>
              <w:rPr>
                <w:spacing w:val="-4"/>
                <w:sz w:val="20"/>
              </w:rPr>
              <w:t>44.5</w:t>
            </w:r>
          </w:p>
        </w:tc>
      </w:tr>
      <w:tr>
        <w:trPr>
          <w:trHeight w:val="307" w:hRule="atLeast"/>
        </w:trPr>
        <w:tc>
          <w:tcPr>
            <w:tcW w:w="2880" w:type="dxa"/>
            <w:shd w:val="clear" w:color="auto" w:fill="D0D5CD"/>
          </w:tcPr>
          <w:p>
            <w:pPr>
              <w:pStyle w:val="TableParagraph"/>
              <w:spacing w:before="28"/>
              <w:ind w:left="90"/>
              <w:rPr>
                <w:sz w:val="22"/>
              </w:rPr>
            </w:pPr>
            <w:r>
              <w:rPr>
                <w:spacing w:val="-4"/>
                <w:sz w:val="22"/>
              </w:rPr>
              <w:t>Difficult</w:t>
            </w:r>
            <w:r>
              <w:rPr>
                <w:sz w:val="22"/>
              </w:rPr>
              <w:t> </w:t>
            </w:r>
            <w:r>
              <w:rPr>
                <w:spacing w:val="-2"/>
                <w:sz w:val="22"/>
              </w:rPr>
              <w:t>subject</w:t>
            </w:r>
          </w:p>
        </w:tc>
        <w:tc>
          <w:tcPr>
            <w:tcW w:w="1807" w:type="dxa"/>
            <w:shd w:val="clear" w:color="auto" w:fill="D0D5CD"/>
          </w:tcPr>
          <w:p>
            <w:pPr>
              <w:pStyle w:val="TableParagraph"/>
              <w:spacing w:before="32"/>
              <w:ind w:right="802"/>
              <w:jc w:val="right"/>
              <w:rPr>
                <w:sz w:val="20"/>
              </w:rPr>
            </w:pPr>
            <w:r>
              <w:rPr>
                <w:spacing w:val="-4"/>
                <w:sz w:val="20"/>
              </w:rPr>
              <w:t>20.4</w:t>
            </w:r>
          </w:p>
        </w:tc>
      </w:tr>
      <w:tr>
        <w:trPr>
          <w:trHeight w:val="307" w:hRule="atLeast"/>
        </w:trPr>
        <w:tc>
          <w:tcPr>
            <w:tcW w:w="2880" w:type="dxa"/>
            <w:shd w:val="clear" w:color="auto" w:fill="E9E9E9"/>
          </w:tcPr>
          <w:p>
            <w:pPr>
              <w:pStyle w:val="TableParagraph"/>
              <w:spacing w:before="28"/>
              <w:ind w:left="90"/>
              <w:rPr>
                <w:sz w:val="22"/>
              </w:rPr>
            </w:pPr>
            <w:r>
              <w:rPr>
                <w:spacing w:val="-4"/>
                <w:sz w:val="22"/>
              </w:rPr>
              <w:t>Higher studies</w:t>
            </w:r>
            <w:r>
              <w:rPr>
                <w:spacing w:val="-3"/>
                <w:sz w:val="22"/>
              </w:rPr>
              <w:t> </w:t>
            </w:r>
            <w:r>
              <w:rPr>
                <w:spacing w:val="-4"/>
                <w:sz w:val="22"/>
              </w:rPr>
              <w:t>are costly</w:t>
            </w:r>
          </w:p>
        </w:tc>
        <w:tc>
          <w:tcPr>
            <w:tcW w:w="1807" w:type="dxa"/>
            <w:shd w:val="clear" w:color="auto" w:fill="E9E9E9"/>
          </w:tcPr>
          <w:p>
            <w:pPr>
              <w:pStyle w:val="TableParagraph"/>
              <w:spacing w:before="32"/>
              <w:ind w:right="802"/>
              <w:jc w:val="right"/>
              <w:rPr>
                <w:sz w:val="20"/>
              </w:rPr>
            </w:pPr>
            <w:r>
              <w:rPr>
                <w:spacing w:val="-5"/>
                <w:sz w:val="20"/>
              </w:rPr>
              <w:t>9.9</w:t>
            </w:r>
          </w:p>
        </w:tc>
      </w:tr>
      <w:tr>
        <w:trPr>
          <w:trHeight w:val="307" w:hRule="atLeast"/>
        </w:trPr>
        <w:tc>
          <w:tcPr>
            <w:tcW w:w="2880" w:type="dxa"/>
            <w:shd w:val="clear" w:color="auto" w:fill="D0D5CD"/>
          </w:tcPr>
          <w:p>
            <w:pPr>
              <w:pStyle w:val="TableParagraph"/>
              <w:spacing w:before="28"/>
              <w:ind w:left="90"/>
              <w:rPr>
                <w:sz w:val="22"/>
              </w:rPr>
            </w:pPr>
            <w:r>
              <w:rPr>
                <w:spacing w:val="-2"/>
                <w:sz w:val="22"/>
              </w:rPr>
              <w:t>Interested</w:t>
            </w:r>
            <w:r>
              <w:rPr>
                <w:spacing w:val="-7"/>
                <w:sz w:val="22"/>
              </w:rPr>
              <w:t> </w:t>
            </w:r>
            <w:r>
              <w:rPr>
                <w:spacing w:val="-2"/>
                <w:sz w:val="22"/>
              </w:rPr>
              <w:t>in</w:t>
            </w:r>
            <w:r>
              <w:rPr>
                <w:spacing w:val="-6"/>
                <w:sz w:val="22"/>
              </w:rPr>
              <w:t> </w:t>
            </w:r>
            <w:r>
              <w:rPr>
                <w:spacing w:val="-2"/>
                <w:sz w:val="22"/>
              </w:rPr>
              <w:t>commerce</w:t>
            </w:r>
          </w:p>
        </w:tc>
        <w:tc>
          <w:tcPr>
            <w:tcW w:w="1807" w:type="dxa"/>
            <w:shd w:val="clear" w:color="auto" w:fill="D0D5CD"/>
          </w:tcPr>
          <w:p>
            <w:pPr>
              <w:pStyle w:val="TableParagraph"/>
              <w:spacing w:before="32"/>
              <w:ind w:right="802"/>
              <w:jc w:val="right"/>
              <w:rPr>
                <w:sz w:val="20"/>
              </w:rPr>
            </w:pPr>
            <w:r>
              <w:rPr>
                <w:spacing w:val="-5"/>
                <w:sz w:val="20"/>
              </w:rPr>
              <w:t>5.4</w:t>
            </w:r>
          </w:p>
        </w:tc>
      </w:tr>
      <w:tr>
        <w:trPr>
          <w:trHeight w:val="307" w:hRule="atLeast"/>
        </w:trPr>
        <w:tc>
          <w:tcPr>
            <w:tcW w:w="2880" w:type="dxa"/>
            <w:shd w:val="clear" w:color="auto" w:fill="E9E9E9"/>
          </w:tcPr>
          <w:p>
            <w:pPr>
              <w:pStyle w:val="TableParagraph"/>
              <w:spacing w:before="28"/>
              <w:ind w:left="90"/>
              <w:rPr>
                <w:sz w:val="22"/>
              </w:rPr>
            </w:pPr>
            <w:r>
              <w:rPr>
                <w:spacing w:val="-2"/>
                <w:sz w:val="22"/>
              </w:rPr>
              <w:t>Like</w:t>
            </w:r>
            <w:r>
              <w:rPr>
                <w:spacing w:val="-11"/>
                <w:sz w:val="22"/>
              </w:rPr>
              <w:t> </w:t>
            </w:r>
            <w:r>
              <w:rPr>
                <w:spacing w:val="-2"/>
                <w:sz w:val="22"/>
              </w:rPr>
              <w:t>art</w:t>
            </w:r>
            <w:r>
              <w:rPr>
                <w:spacing w:val="-11"/>
                <w:sz w:val="22"/>
              </w:rPr>
              <w:t> </w:t>
            </w:r>
            <w:r>
              <w:rPr>
                <w:spacing w:val="-2"/>
                <w:sz w:val="22"/>
              </w:rPr>
              <w:t>subjects</w:t>
            </w:r>
          </w:p>
        </w:tc>
        <w:tc>
          <w:tcPr>
            <w:tcW w:w="1807" w:type="dxa"/>
            <w:shd w:val="clear" w:color="auto" w:fill="E9E9E9"/>
          </w:tcPr>
          <w:p>
            <w:pPr>
              <w:pStyle w:val="TableParagraph"/>
              <w:spacing w:before="32"/>
              <w:ind w:right="802"/>
              <w:jc w:val="right"/>
              <w:rPr>
                <w:sz w:val="20"/>
              </w:rPr>
            </w:pPr>
            <w:r>
              <w:rPr>
                <w:spacing w:val="-5"/>
                <w:sz w:val="20"/>
              </w:rPr>
              <w:t>4.8</w:t>
            </w:r>
          </w:p>
        </w:tc>
      </w:tr>
      <w:tr>
        <w:trPr>
          <w:trHeight w:val="307" w:hRule="atLeast"/>
        </w:trPr>
        <w:tc>
          <w:tcPr>
            <w:tcW w:w="2880" w:type="dxa"/>
            <w:shd w:val="clear" w:color="auto" w:fill="D0D5CD"/>
          </w:tcPr>
          <w:p>
            <w:pPr>
              <w:pStyle w:val="TableParagraph"/>
              <w:spacing w:before="28"/>
              <w:ind w:left="90"/>
              <w:rPr>
                <w:sz w:val="22"/>
              </w:rPr>
            </w:pPr>
            <w:r>
              <w:rPr>
                <w:sz w:val="22"/>
              </w:rPr>
              <w:t>No</w:t>
            </w:r>
            <w:r>
              <w:rPr>
                <w:spacing w:val="-6"/>
                <w:sz w:val="22"/>
              </w:rPr>
              <w:t> </w:t>
            </w:r>
            <w:r>
              <w:rPr>
                <w:sz w:val="22"/>
              </w:rPr>
              <w:t>future</w:t>
            </w:r>
            <w:r>
              <w:rPr>
                <w:spacing w:val="-6"/>
                <w:sz w:val="22"/>
              </w:rPr>
              <w:t> </w:t>
            </w:r>
            <w:r>
              <w:rPr>
                <w:spacing w:val="-2"/>
                <w:sz w:val="22"/>
              </w:rPr>
              <w:t>opportunities</w:t>
            </w:r>
          </w:p>
        </w:tc>
        <w:tc>
          <w:tcPr>
            <w:tcW w:w="1807" w:type="dxa"/>
            <w:shd w:val="clear" w:color="auto" w:fill="D0D5CD"/>
          </w:tcPr>
          <w:p>
            <w:pPr>
              <w:pStyle w:val="TableParagraph"/>
              <w:spacing w:before="32"/>
              <w:ind w:right="802"/>
              <w:jc w:val="right"/>
              <w:rPr>
                <w:sz w:val="20"/>
              </w:rPr>
            </w:pPr>
            <w:r>
              <w:rPr>
                <w:spacing w:val="-5"/>
                <w:sz w:val="20"/>
              </w:rPr>
              <w:t>2.1</w:t>
            </w:r>
          </w:p>
        </w:tc>
      </w:tr>
      <w:tr>
        <w:trPr>
          <w:trHeight w:val="307" w:hRule="atLeast"/>
        </w:trPr>
        <w:tc>
          <w:tcPr>
            <w:tcW w:w="2880" w:type="dxa"/>
            <w:shd w:val="clear" w:color="auto" w:fill="E9E9E9"/>
          </w:tcPr>
          <w:p>
            <w:pPr>
              <w:pStyle w:val="TableParagraph"/>
              <w:spacing w:before="28"/>
              <w:ind w:left="90"/>
              <w:rPr>
                <w:sz w:val="22"/>
              </w:rPr>
            </w:pPr>
            <w:r>
              <w:rPr>
                <w:spacing w:val="-8"/>
                <w:sz w:val="22"/>
              </w:rPr>
              <w:t>No</w:t>
            </w:r>
            <w:r>
              <w:rPr>
                <w:spacing w:val="2"/>
                <w:sz w:val="22"/>
              </w:rPr>
              <w:t> </w:t>
            </w:r>
            <w:r>
              <w:rPr>
                <w:spacing w:val="-8"/>
                <w:sz w:val="22"/>
              </w:rPr>
              <w:t>science</w:t>
            </w:r>
            <w:r>
              <w:rPr>
                <w:spacing w:val="3"/>
                <w:sz w:val="22"/>
              </w:rPr>
              <w:t> </w:t>
            </w:r>
            <w:r>
              <w:rPr>
                <w:spacing w:val="-8"/>
                <w:sz w:val="22"/>
              </w:rPr>
              <w:t>college</w:t>
            </w:r>
            <w:r>
              <w:rPr>
                <w:spacing w:val="3"/>
                <w:sz w:val="22"/>
              </w:rPr>
              <w:t> </w:t>
            </w:r>
            <w:r>
              <w:rPr>
                <w:spacing w:val="-8"/>
                <w:sz w:val="22"/>
              </w:rPr>
              <w:t>nearby</w:t>
            </w:r>
          </w:p>
        </w:tc>
        <w:tc>
          <w:tcPr>
            <w:tcW w:w="1807" w:type="dxa"/>
            <w:shd w:val="clear" w:color="auto" w:fill="E9E9E9"/>
          </w:tcPr>
          <w:p>
            <w:pPr>
              <w:pStyle w:val="TableParagraph"/>
              <w:spacing w:before="32"/>
              <w:ind w:right="802"/>
              <w:jc w:val="right"/>
              <w:rPr>
                <w:sz w:val="20"/>
              </w:rPr>
            </w:pPr>
            <w:r>
              <w:rPr>
                <w:spacing w:val="-10"/>
                <w:sz w:val="20"/>
              </w:rPr>
              <w:t>2</w:t>
            </w:r>
          </w:p>
        </w:tc>
      </w:tr>
      <w:tr>
        <w:trPr>
          <w:trHeight w:val="587" w:hRule="atLeast"/>
        </w:trPr>
        <w:tc>
          <w:tcPr>
            <w:tcW w:w="2880" w:type="dxa"/>
            <w:shd w:val="clear" w:color="auto" w:fill="D0D5CD"/>
          </w:tcPr>
          <w:p>
            <w:pPr>
              <w:pStyle w:val="TableParagraph"/>
              <w:spacing w:line="280" w:lineRule="atLeast" w:before="1"/>
              <w:ind w:left="90"/>
              <w:rPr>
                <w:sz w:val="22"/>
              </w:rPr>
            </w:pPr>
            <w:r>
              <w:rPr>
                <w:sz w:val="22"/>
              </w:rPr>
              <w:t>Difficult to get through </w:t>
            </w:r>
            <w:r>
              <w:rPr>
                <w:spacing w:val="-5"/>
                <w:sz w:val="22"/>
              </w:rPr>
              <w:t>competitive</w:t>
            </w:r>
            <w:r>
              <w:rPr>
                <w:spacing w:val="4"/>
                <w:sz w:val="22"/>
              </w:rPr>
              <w:t> </w:t>
            </w:r>
            <w:r>
              <w:rPr>
                <w:spacing w:val="-5"/>
                <w:sz w:val="22"/>
              </w:rPr>
              <w:t>examination</w:t>
            </w:r>
          </w:p>
        </w:tc>
        <w:tc>
          <w:tcPr>
            <w:tcW w:w="1807" w:type="dxa"/>
            <w:shd w:val="clear" w:color="auto" w:fill="D0D5CD"/>
          </w:tcPr>
          <w:p>
            <w:pPr>
              <w:pStyle w:val="TableParagraph"/>
              <w:spacing w:before="32"/>
              <w:ind w:right="802"/>
              <w:jc w:val="right"/>
              <w:rPr>
                <w:sz w:val="20"/>
              </w:rPr>
            </w:pPr>
            <w:r>
              <w:rPr>
                <w:spacing w:val="-5"/>
                <w:sz w:val="20"/>
              </w:rPr>
              <w:t>1.1</w:t>
            </w:r>
          </w:p>
        </w:tc>
      </w:tr>
      <w:tr>
        <w:trPr>
          <w:trHeight w:val="307" w:hRule="atLeast"/>
        </w:trPr>
        <w:tc>
          <w:tcPr>
            <w:tcW w:w="2880" w:type="dxa"/>
            <w:shd w:val="clear" w:color="auto" w:fill="E9E9E9"/>
          </w:tcPr>
          <w:p>
            <w:pPr>
              <w:pStyle w:val="TableParagraph"/>
              <w:spacing w:before="28"/>
              <w:ind w:left="90"/>
              <w:rPr>
                <w:sz w:val="22"/>
              </w:rPr>
            </w:pPr>
            <w:r>
              <w:rPr>
                <w:spacing w:val="-10"/>
                <w:sz w:val="22"/>
              </w:rPr>
              <w:t>Poor</w:t>
            </w:r>
            <w:r>
              <w:rPr>
                <w:spacing w:val="-1"/>
                <w:sz w:val="22"/>
              </w:rPr>
              <w:t> </w:t>
            </w:r>
            <w:r>
              <w:rPr>
                <w:spacing w:val="-10"/>
                <w:sz w:val="22"/>
              </w:rPr>
              <w:t>quality</w:t>
            </w:r>
            <w:r>
              <w:rPr>
                <w:sz w:val="22"/>
              </w:rPr>
              <w:t> </w:t>
            </w:r>
            <w:r>
              <w:rPr>
                <w:spacing w:val="-10"/>
                <w:sz w:val="22"/>
              </w:rPr>
              <w:t>of</w:t>
            </w:r>
            <w:r>
              <w:rPr>
                <w:spacing w:val="-1"/>
                <w:sz w:val="22"/>
              </w:rPr>
              <w:t> </w:t>
            </w:r>
            <w:r>
              <w:rPr>
                <w:spacing w:val="-10"/>
                <w:sz w:val="22"/>
              </w:rPr>
              <w:t>teaching</w:t>
            </w:r>
            <w:r>
              <w:rPr>
                <w:sz w:val="22"/>
              </w:rPr>
              <w:t> </w:t>
            </w:r>
            <w:r>
              <w:rPr>
                <w:spacing w:val="-10"/>
                <w:sz w:val="22"/>
              </w:rPr>
              <w:t>at</w:t>
            </w:r>
            <w:r>
              <w:rPr>
                <w:sz w:val="22"/>
              </w:rPr>
              <w:t> </w:t>
            </w:r>
            <w:r>
              <w:rPr>
                <w:spacing w:val="-10"/>
                <w:sz w:val="22"/>
              </w:rPr>
              <w:t>school</w:t>
            </w:r>
          </w:p>
        </w:tc>
        <w:tc>
          <w:tcPr>
            <w:tcW w:w="1807" w:type="dxa"/>
            <w:shd w:val="clear" w:color="auto" w:fill="E9E9E9"/>
          </w:tcPr>
          <w:p>
            <w:pPr>
              <w:pStyle w:val="TableParagraph"/>
              <w:spacing w:before="32"/>
              <w:ind w:right="802"/>
              <w:jc w:val="right"/>
              <w:rPr>
                <w:sz w:val="20"/>
              </w:rPr>
            </w:pPr>
            <w:r>
              <w:rPr>
                <w:spacing w:val="-5"/>
                <w:sz w:val="20"/>
              </w:rPr>
              <w:t>1.1</w:t>
            </w:r>
          </w:p>
        </w:tc>
      </w:tr>
      <w:tr>
        <w:trPr>
          <w:trHeight w:val="307" w:hRule="atLeast"/>
        </w:trPr>
        <w:tc>
          <w:tcPr>
            <w:tcW w:w="2880" w:type="dxa"/>
            <w:shd w:val="clear" w:color="auto" w:fill="D0D5CD"/>
          </w:tcPr>
          <w:p>
            <w:pPr>
              <w:pStyle w:val="TableParagraph"/>
              <w:spacing w:before="28"/>
              <w:ind w:left="90"/>
              <w:rPr>
                <w:sz w:val="22"/>
              </w:rPr>
            </w:pPr>
            <w:r>
              <w:rPr>
                <w:spacing w:val="-2"/>
                <w:sz w:val="22"/>
              </w:rPr>
              <w:t>Others</w:t>
            </w:r>
          </w:p>
        </w:tc>
        <w:tc>
          <w:tcPr>
            <w:tcW w:w="1807" w:type="dxa"/>
            <w:shd w:val="clear" w:color="auto" w:fill="D0D5CD"/>
          </w:tcPr>
          <w:p>
            <w:pPr>
              <w:pStyle w:val="TableParagraph"/>
              <w:spacing w:before="32"/>
              <w:ind w:right="802"/>
              <w:jc w:val="right"/>
              <w:rPr>
                <w:sz w:val="20"/>
              </w:rPr>
            </w:pPr>
            <w:r>
              <w:rPr>
                <w:spacing w:val="-5"/>
                <w:sz w:val="20"/>
              </w:rPr>
              <w:t>8.9</w:t>
            </w:r>
          </w:p>
        </w:tc>
      </w:tr>
    </w:tbl>
    <w:p>
      <w:pPr>
        <w:spacing w:line="249" w:lineRule="auto" w:before="53"/>
        <w:ind w:left="319" w:right="1075" w:firstLine="0"/>
        <w:jc w:val="left"/>
        <w:rPr>
          <w:sz w:val="16"/>
        </w:rPr>
      </w:pPr>
      <w:r>
        <w:rPr>
          <w:i/>
          <w:spacing w:val="-2"/>
          <w:sz w:val="16"/>
        </w:rPr>
        <w:t>Source:</w:t>
      </w:r>
      <w:r>
        <w:rPr>
          <w:i/>
          <w:spacing w:val="-3"/>
          <w:sz w:val="16"/>
        </w:rPr>
        <w:t> </w:t>
      </w:r>
      <w:r>
        <w:rPr>
          <w:spacing w:val="-2"/>
          <w:sz w:val="16"/>
        </w:rPr>
        <w:t>India</w:t>
      </w:r>
      <w:r>
        <w:rPr>
          <w:spacing w:val="-3"/>
          <w:sz w:val="16"/>
        </w:rPr>
        <w:t> </w:t>
      </w:r>
      <w:r>
        <w:rPr>
          <w:spacing w:val="-2"/>
          <w:sz w:val="16"/>
        </w:rPr>
        <w:t>Science</w:t>
      </w:r>
      <w:r>
        <w:rPr>
          <w:spacing w:val="-3"/>
          <w:sz w:val="16"/>
        </w:rPr>
        <w:t> </w:t>
      </w:r>
      <w:r>
        <w:rPr>
          <w:spacing w:val="-2"/>
          <w:sz w:val="16"/>
        </w:rPr>
        <w:t>Report,</w:t>
      </w:r>
      <w:r>
        <w:rPr>
          <w:spacing w:val="-3"/>
          <w:sz w:val="16"/>
        </w:rPr>
        <w:t> </w:t>
      </w:r>
      <w:r>
        <w:rPr>
          <w:spacing w:val="-2"/>
          <w:sz w:val="16"/>
        </w:rPr>
        <w:t>National</w:t>
      </w:r>
      <w:r>
        <w:rPr>
          <w:spacing w:val="-3"/>
          <w:sz w:val="16"/>
        </w:rPr>
        <w:t> </w:t>
      </w:r>
      <w:r>
        <w:rPr>
          <w:spacing w:val="-2"/>
          <w:sz w:val="16"/>
        </w:rPr>
        <w:t>Council</w:t>
      </w:r>
      <w:r>
        <w:rPr>
          <w:spacing w:val="-3"/>
          <w:sz w:val="16"/>
        </w:rPr>
        <w:t> </w:t>
      </w:r>
      <w:r>
        <w:rPr>
          <w:spacing w:val="-2"/>
          <w:sz w:val="16"/>
        </w:rPr>
        <w:t>of</w:t>
      </w:r>
      <w:r>
        <w:rPr>
          <w:spacing w:val="-3"/>
          <w:sz w:val="16"/>
        </w:rPr>
        <w:t> </w:t>
      </w:r>
      <w:r>
        <w:rPr>
          <w:spacing w:val="-2"/>
          <w:sz w:val="16"/>
        </w:rPr>
        <w:t>Applied</w:t>
      </w:r>
      <w:r>
        <w:rPr>
          <w:spacing w:val="-3"/>
          <w:sz w:val="16"/>
        </w:rPr>
        <w:t> </w:t>
      </w:r>
      <w:r>
        <w:rPr>
          <w:spacing w:val="-2"/>
          <w:sz w:val="16"/>
        </w:rPr>
        <w:t>Economic</w:t>
      </w:r>
      <w:r>
        <w:rPr>
          <w:spacing w:val="40"/>
          <w:sz w:val="16"/>
        </w:rPr>
        <w:t> </w:t>
      </w:r>
      <w:r>
        <w:rPr>
          <w:spacing w:val="-2"/>
          <w:sz w:val="16"/>
        </w:rPr>
        <w:t>Research</w:t>
      </w:r>
    </w:p>
    <w:p>
      <w:pPr>
        <w:pStyle w:val="BodyText"/>
        <w:spacing w:before="115"/>
        <w:rPr>
          <w:sz w:val="16"/>
        </w:rPr>
      </w:pPr>
    </w:p>
    <w:p>
      <w:pPr>
        <w:pStyle w:val="BodyText"/>
        <w:spacing w:line="266" w:lineRule="auto" w:before="1"/>
        <w:ind w:left="319" w:right="1077"/>
        <w:jc w:val="both"/>
      </w:pPr>
      <w:r>
        <w:rPr>
          <w:b/>
        </w:rPr>
        <w:t>Higher education: </w:t>
      </w:r>
      <w:r>
        <w:rPr/>
        <w:t>Approximately 2.25 million students were enrolled in science in 2005-06 (UGC) – accounting for 19 per cent of the total enrolment</w:t>
      </w:r>
      <w:r>
        <w:rPr>
          <w:spacing w:val="80"/>
          <w:w w:val="150"/>
        </w:rPr>
        <w:t> </w:t>
      </w:r>
      <w:r>
        <w:rPr/>
        <w:t>in</w:t>
      </w:r>
      <w:r>
        <w:rPr>
          <w:spacing w:val="33"/>
        </w:rPr>
        <w:t> </w:t>
      </w:r>
      <w:r>
        <w:rPr/>
        <w:t>higher</w:t>
      </w:r>
      <w:r>
        <w:rPr>
          <w:spacing w:val="33"/>
        </w:rPr>
        <w:t> </w:t>
      </w:r>
      <w:r>
        <w:rPr/>
        <w:t>education. The</w:t>
      </w:r>
      <w:r>
        <w:rPr>
          <w:spacing w:val="33"/>
        </w:rPr>
        <w:t> </w:t>
      </w:r>
      <w:r>
        <w:rPr/>
        <w:t>number</w:t>
      </w:r>
      <w:r>
        <w:rPr>
          <w:spacing w:val="33"/>
        </w:rPr>
        <w:t> </w:t>
      </w:r>
      <w:r>
        <w:rPr/>
        <w:t>in</w:t>
      </w:r>
      <w:r>
        <w:rPr>
          <w:spacing w:val="33"/>
        </w:rPr>
        <w:t> </w:t>
      </w:r>
      <w:r>
        <w:rPr/>
        <w:t>absolute</w:t>
      </w:r>
      <w:r>
        <w:rPr>
          <w:spacing w:val="33"/>
        </w:rPr>
        <w:t> </w:t>
      </w:r>
      <w:r>
        <w:rPr/>
        <w:t>terms is not small. The stock situation in 2004 was also good. About a fourth of those qualified to the level</w:t>
      </w:r>
      <w:r>
        <w:rPr>
          <w:spacing w:val="40"/>
        </w:rPr>
        <w:t> </w:t>
      </w:r>
      <w:r>
        <w:rPr/>
        <w:t>of graduate and above had a background of science </w:t>
      </w:r>
      <w:r>
        <w:rPr>
          <w:spacing w:val="-2"/>
        </w:rPr>
        <w:t>education.</w:t>
      </w:r>
      <w:r>
        <w:rPr>
          <w:spacing w:val="-12"/>
        </w:rPr>
        <w:t> </w:t>
      </w:r>
      <w:r>
        <w:rPr>
          <w:spacing w:val="-2"/>
        </w:rPr>
        <w:t>There</w:t>
      </w:r>
      <w:r>
        <w:rPr>
          <w:spacing w:val="-12"/>
        </w:rPr>
        <w:t> </w:t>
      </w:r>
      <w:r>
        <w:rPr>
          <w:spacing w:val="-2"/>
        </w:rPr>
        <w:t>are</w:t>
      </w:r>
      <w:r>
        <w:rPr>
          <w:spacing w:val="-12"/>
        </w:rPr>
        <w:t> </w:t>
      </w:r>
      <w:r>
        <w:rPr>
          <w:spacing w:val="-2"/>
        </w:rPr>
        <w:t>8.74</w:t>
      </w:r>
      <w:r>
        <w:rPr>
          <w:spacing w:val="-11"/>
        </w:rPr>
        <w:t> </w:t>
      </w:r>
      <w:r>
        <w:rPr>
          <w:spacing w:val="-2"/>
        </w:rPr>
        <w:t>million</w:t>
      </w:r>
      <w:r>
        <w:rPr>
          <w:spacing w:val="-12"/>
        </w:rPr>
        <w:t> </w:t>
      </w:r>
      <w:r>
        <w:rPr>
          <w:spacing w:val="-2"/>
        </w:rPr>
        <w:t>graduates</w:t>
      </w:r>
      <w:r>
        <w:rPr>
          <w:spacing w:val="-11"/>
        </w:rPr>
        <w:t> </w:t>
      </w:r>
      <w:r>
        <w:rPr>
          <w:spacing w:val="-2"/>
        </w:rPr>
        <w:t>in</w:t>
      </w:r>
      <w:r>
        <w:rPr>
          <w:spacing w:val="-9"/>
        </w:rPr>
        <w:t> </w:t>
      </w:r>
      <w:r>
        <w:rPr>
          <w:spacing w:val="-2"/>
        </w:rPr>
        <w:t>all</w:t>
      </w:r>
      <w:r>
        <w:rPr>
          <w:spacing w:val="-10"/>
        </w:rPr>
        <w:t> </w:t>
      </w:r>
      <w:r>
        <w:rPr>
          <w:spacing w:val="-2"/>
        </w:rPr>
        <w:t>(22.3 </w:t>
      </w:r>
      <w:r>
        <w:rPr/>
        <w:t>per</w:t>
      </w:r>
      <w:r>
        <w:rPr>
          <w:spacing w:val="-6"/>
        </w:rPr>
        <w:t> </w:t>
      </w:r>
      <w:r>
        <w:rPr/>
        <w:t>cent</w:t>
      </w:r>
      <w:r>
        <w:rPr>
          <w:spacing w:val="-6"/>
        </w:rPr>
        <w:t> </w:t>
      </w:r>
      <w:r>
        <w:rPr/>
        <w:t>of</w:t>
      </w:r>
      <w:r>
        <w:rPr>
          <w:spacing w:val="-6"/>
        </w:rPr>
        <w:t> </w:t>
      </w:r>
      <w:r>
        <w:rPr/>
        <w:t>total</w:t>
      </w:r>
      <w:r>
        <w:rPr>
          <w:spacing w:val="-6"/>
        </w:rPr>
        <w:t> </w:t>
      </w:r>
      <w:r>
        <w:rPr/>
        <w:t>graduates),</w:t>
      </w:r>
      <w:r>
        <w:rPr>
          <w:spacing w:val="-6"/>
        </w:rPr>
        <w:t> </w:t>
      </w:r>
      <w:r>
        <w:rPr/>
        <w:t>1.8</w:t>
      </w:r>
      <w:r>
        <w:rPr>
          <w:spacing w:val="-6"/>
        </w:rPr>
        <w:t> </w:t>
      </w:r>
      <w:r>
        <w:rPr/>
        <w:t>million</w:t>
      </w:r>
      <w:r>
        <w:rPr>
          <w:spacing w:val="-6"/>
        </w:rPr>
        <w:t> </w:t>
      </w:r>
      <w:r>
        <w:rPr/>
        <w:t>postgraduates (19.4</w:t>
      </w:r>
      <w:r>
        <w:rPr>
          <w:spacing w:val="-10"/>
        </w:rPr>
        <w:t> </w:t>
      </w:r>
      <w:r>
        <w:rPr/>
        <w:t>per</w:t>
      </w:r>
      <w:r>
        <w:rPr>
          <w:spacing w:val="-10"/>
        </w:rPr>
        <w:t> </w:t>
      </w:r>
      <w:r>
        <w:rPr/>
        <w:t>cent</w:t>
      </w:r>
      <w:r>
        <w:rPr>
          <w:spacing w:val="-10"/>
        </w:rPr>
        <w:t> </w:t>
      </w:r>
      <w:r>
        <w:rPr/>
        <w:t>of</w:t>
      </w:r>
      <w:r>
        <w:rPr>
          <w:spacing w:val="-10"/>
        </w:rPr>
        <w:t> </w:t>
      </w:r>
      <w:r>
        <w:rPr/>
        <w:t>total</w:t>
      </w:r>
      <w:r>
        <w:rPr>
          <w:spacing w:val="-10"/>
        </w:rPr>
        <w:t> </w:t>
      </w:r>
      <w:r>
        <w:rPr/>
        <w:t>post</w:t>
      </w:r>
      <w:r>
        <w:rPr>
          <w:spacing w:val="-10"/>
        </w:rPr>
        <w:t> </w:t>
      </w:r>
      <w:r>
        <w:rPr/>
        <w:t>graduates),</w:t>
      </w:r>
      <w:r>
        <w:rPr>
          <w:spacing w:val="-10"/>
        </w:rPr>
        <w:t> </w:t>
      </w:r>
      <w:r>
        <w:rPr/>
        <w:t>and</w:t>
      </w:r>
      <w:r>
        <w:rPr>
          <w:spacing w:val="-10"/>
        </w:rPr>
        <w:t> </w:t>
      </w:r>
      <w:r>
        <w:rPr/>
        <w:t>0.1</w:t>
      </w:r>
      <w:r>
        <w:rPr>
          <w:spacing w:val="-10"/>
        </w:rPr>
        <w:t> </w:t>
      </w:r>
      <w:r>
        <w:rPr/>
        <w:t>million doctorates (one-third of total doctorates) in science. However</w:t>
      </w:r>
      <w:r>
        <w:rPr>
          <w:spacing w:val="-14"/>
        </w:rPr>
        <w:t> </w:t>
      </w:r>
      <w:r>
        <w:rPr/>
        <w:t>enrolments</w:t>
      </w:r>
      <w:r>
        <w:rPr>
          <w:spacing w:val="-14"/>
        </w:rPr>
        <w:t> </w:t>
      </w:r>
      <w:r>
        <w:rPr/>
        <w:t>in</w:t>
      </w:r>
      <w:r>
        <w:rPr>
          <w:spacing w:val="-14"/>
        </w:rPr>
        <w:t> </w:t>
      </w:r>
      <w:r>
        <w:rPr/>
        <w:t>pure</w:t>
      </w:r>
      <w:r>
        <w:rPr>
          <w:spacing w:val="-13"/>
        </w:rPr>
        <w:t> </w:t>
      </w:r>
      <w:r>
        <w:rPr/>
        <w:t>science</w:t>
      </w:r>
      <w:r>
        <w:rPr>
          <w:spacing w:val="-14"/>
        </w:rPr>
        <w:t> </w:t>
      </w:r>
      <w:r>
        <w:rPr/>
        <w:t>and</w:t>
      </w:r>
      <w:r>
        <w:rPr>
          <w:spacing w:val="-14"/>
        </w:rPr>
        <w:t> </w:t>
      </w:r>
      <w:r>
        <w:rPr/>
        <w:t>mathematics </w:t>
      </w:r>
      <w:r>
        <w:rPr>
          <w:spacing w:val="-2"/>
        </w:rPr>
        <w:t>have</w:t>
      </w:r>
      <w:r>
        <w:rPr>
          <w:spacing w:val="-12"/>
        </w:rPr>
        <w:t> </w:t>
      </w:r>
      <w:r>
        <w:rPr>
          <w:spacing w:val="-2"/>
        </w:rPr>
        <w:t>not</w:t>
      </w:r>
      <w:r>
        <w:rPr>
          <w:spacing w:val="-11"/>
        </w:rPr>
        <w:t> </w:t>
      </w:r>
      <w:r>
        <w:rPr>
          <w:spacing w:val="-2"/>
        </w:rPr>
        <w:t>grown</w:t>
      </w:r>
      <w:r>
        <w:rPr>
          <w:spacing w:val="-12"/>
        </w:rPr>
        <w:t> </w:t>
      </w:r>
      <w:r>
        <w:rPr>
          <w:spacing w:val="-2"/>
        </w:rPr>
        <w:t>as</w:t>
      </w:r>
      <w:r>
        <w:rPr>
          <w:spacing w:val="-11"/>
        </w:rPr>
        <w:t> </w:t>
      </w:r>
      <w:r>
        <w:rPr>
          <w:spacing w:val="-2"/>
        </w:rPr>
        <w:t>much</w:t>
      </w:r>
      <w:r>
        <w:rPr>
          <w:spacing w:val="-12"/>
        </w:rPr>
        <w:t> </w:t>
      </w:r>
      <w:r>
        <w:rPr>
          <w:spacing w:val="-2"/>
        </w:rPr>
        <w:t>as</w:t>
      </w:r>
      <w:r>
        <w:rPr>
          <w:spacing w:val="-11"/>
        </w:rPr>
        <w:t> </w:t>
      </w:r>
      <w:r>
        <w:rPr>
          <w:spacing w:val="-2"/>
        </w:rPr>
        <w:t>in</w:t>
      </w:r>
      <w:r>
        <w:rPr>
          <w:spacing w:val="-12"/>
        </w:rPr>
        <w:t> </w:t>
      </w:r>
      <w:r>
        <w:rPr>
          <w:spacing w:val="-2"/>
        </w:rPr>
        <w:t>professional</w:t>
      </w:r>
      <w:r>
        <w:rPr>
          <w:spacing w:val="-11"/>
        </w:rPr>
        <w:t> </w:t>
      </w:r>
      <w:r>
        <w:rPr>
          <w:spacing w:val="-2"/>
        </w:rPr>
        <w:t>fields.</w:t>
      </w:r>
      <w:r>
        <w:rPr>
          <w:spacing w:val="-12"/>
        </w:rPr>
        <w:t> </w:t>
      </w:r>
      <w:r>
        <w:rPr>
          <w:spacing w:val="-2"/>
        </w:rPr>
        <w:t>Even </w:t>
      </w:r>
      <w:r>
        <w:rPr/>
        <w:t>the</w:t>
      </w:r>
      <w:r>
        <w:rPr>
          <w:spacing w:val="28"/>
        </w:rPr>
        <w:t> </w:t>
      </w:r>
      <w:r>
        <w:rPr/>
        <w:t>number</w:t>
      </w:r>
      <w:r>
        <w:rPr>
          <w:spacing w:val="28"/>
        </w:rPr>
        <w:t> </w:t>
      </w:r>
      <w:r>
        <w:rPr/>
        <w:t>of</w:t>
      </w:r>
      <w:r>
        <w:rPr>
          <w:spacing w:val="28"/>
        </w:rPr>
        <w:t> </w:t>
      </w:r>
      <w:r>
        <w:rPr/>
        <w:t>students</w:t>
      </w:r>
      <w:r>
        <w:rPr>
          <w:spacing w:val="28"/>
        </w:rPr>
        <w:t> </w:t>
      </w:r>
      <w:r>
        <w:rPr/>
        <w:t>from</w:t>
      </w:r>
      <w:r>
        <w:rPr>
          <w:spacing w:val="28"/>
        </w:rPr>
        <w:t> </w:t>
      </w:r>
      <w:r>
        <w:rPr/>
        <w:t>India</w:t>
      </w:r>
      <w:r>
        <w:rPr>
          <w:spacing w:val="28"/>
        </w:rPr>
        <w:t> </w:t>
      </w:r>
      <w:r>
        <w:rPr/>
        <w:t>going</w:t>
      </w:r>
      <w:r>
        <w:rPr>
          <w:spacing w:val="28"/>
        </w:rPr>
        <w:t> </w:t>
      </w:r>
      <w:r>
        <w:rPr/>
        <w:t>abroad</w:t>
      </w:r>
      <w:r>
        <w:rPr>
          <w:spacing w:val="28"/>
        </w:rPr>
        <w:t> </w:t>
      </w:r>
      <w:r>
        <w:rPr>
          <w:spacing w:val="-5"/>
        </w:rPr>
        <w:t>to</w:t>
      </w:r>
    </w:p>
    <w:p>
      <w:pPr>
        <w:spacing w:after="0" w:line="266" w:lineRule="auto"/>
        <w:jc w:val="both"/>
        <w:sectPr>
          <w:pgSz w:w="11910" w:h="16840"/>
          <w:pgMar w:header="0" w:footer="675" w:top="940" w:bottom="860" w:left="0" w:right="0"/>
          <w:cols w:num="2" w:equalWidth="0">
            <w:col w:w="5774" w:space="40"/>
            <w:col w:w="6096"/>
          </w:cols>
        </w:sectPr>
      </w:pPr>
    </w:p>
    <w:p>
      <w:pPr>
        <w:pStyle w:val="BodyText"/>
        <w:spacing w:before="98"/>
        <w:rPr>
          <w:sz w:val="24"/>
        </w:rPr>
      </w:pPr>
    </w:p>
    <w:p>
      <w:pPr>
        <w:pStyle w:val="Heading8"/>
        <w:ind w:left="1949"/>
      </w:pPr>
      <w:r>
        <w:rPr>
          <w:w w:val="90"/>
        </w:rPr>
        <w:t>Figure</w:t>
      </w:r>
      <w:r>
        <w:rPr>
          <w:spacing w:val="8"/>
        </w:rPr>
        <w:t> </w:t>
      </w:r>
      <w:r>
        <w:rPr>
          <w:w w:val="90"/>
        </w:rPr>
        <w:t>22:</w:t>
      </w:r>
      <w:r>
        <w:rPr>
          <w:spacing w:val="9"/>
        </w:rPr>
        <w:t> </w:t>
      </w:r>
      <w:r>
        <w:rPr>
          <w:color w:val="2E614A"/>
          <w:w w:val="90"/>
        </w:rPr>
        <w:t>Gross</w:t>
      </w:r>
      <w:r>
        <w:rPr>
          <w:color w:val="2E614A"/>
          <w:spacing w:val="8"/>
        </w:rPr>
        <w:t> </w:t>
      </w:r>
      <w:r>
        <w:rPr>
          <w:color w:val="2E614A"/>
          <w:w w:val="90"/>
        </w:rPr>
        <w:t>enrolment</w:t>
      </w:r>
      <w:r>
        <w:rPr>
          <w:color w:val="2E614A"/>
          <w:spacing w:val="9"/>
        </w:rPr>
        <w:t> </w:t>
      </w:r>
      <w:r>
        <w:rPr>
          <w:color w:val="2E614A"/>
          <w:w w:val="90"/>
        </w:rPr>
        <w:t>in</w:t>
      </w:r>
      <w:r>
        <w:rPr>
          <w:color w:val="2E614A"/>
          <w:spacing w:val="9"/>
        </w:rPr>
        <w:t> </w:t>
      </w:r>
      <w:r>
        <w:rPr>
          <w:color w:val="2E614A"/>
          <w:w w:val="90"/>
        </w:rPr>
        <w:t>higher</w:t>
      </w:r>
      <w:r>
        <w:rPr>
          <w:color w:val="2E614A"/>
          <w:spacing w:val="8"/>
        </w:rPr>
        <w:t> </w:t>
      </w:r>
      <w:r>
        <w:rPr>
          <w:color w:val="2E614A"/>
          <w:spacing w:val="-2"/>
          <w:w w:val="90"/>
        </w:rPr>
        <w:t>education</w:t>
      </w:r>
    </w:p>
    <w:p>
      <w:pPr>
        <w:pStyle w:val="BodyText"/>
        <w:spacing w:before="10"/>
        <w:rPr>
          <w:b/>
          <w:sz w:val="11"/>
        </w:rPr>
      </w:pPr>
      <w:r>
        <w:rPr/>
        <mc:AlternateContent>
          <mc:Choice Requires="wps">
            <w:drawing>
              <wp:anchor distT="0" distB="0" distL="0" distR="0" allowOverlap="1" layoutInCell="1" locked="0" behindDoc="1" simplePos="0" relativeHeight="487683584">
                <wp:simplePos x="0" y="0"/>
                <wp:positionH relativeFrom="page">
                  <wp:posOffset>1238249</wp:posOffset>
                </wp:positionH>
                <wp:positionV relativeFrom="paragraph">
                  <wp:posOffset>102521</wp:posOffset>
                </wp:positionV>
                <wp:extent cx="5042535" cy="2514600"/>
                <wp:effectExtent l="0" t="0" r="0" b="0"/>
                <wp:wrapTopAndBottom/>
                <wp:docPr id="1550" name="Group 1550"/>
                <wp:cNvGraphicFramePr>
                  <a:graphicFrameLocks/>
                </wp:cNvGraphicFramePr>
                <a:graphic>
                  <a:graphicData uri="http://schemas.microsoft.com/office/word/2010/wordprocessingGroup">
                    <wpg:wgp>
                      <wpg:cNvPr id="1550" name="Group 1550"/>
                      <wpg:cNvGrpSpPr/>
                      <wpg:grpSpPr>
                        <a:xfrm>
                          <a:off x="0" y="0"/>
                          <a:ext cx="5042535" cy="2514600"/>
                          <a:chExt cx="5042535" cy="2514600"/>
                        </a:xfrm>
                      </wpg:grpSpPr>
                      <wps:wsp>
                        <wps:cNvPr id="1551" name="Graphic 1551"/>
                        <wps:cNvSpPr/>
                        <wps:spPr>
                          <a:xfrm>
                            <a:off x="775602" y="770229"/>
                            <a:ext cx="3205480" cy="1442085"/>
                          </a:xfrm>
                          <a:custGeom>
                            <a:avLst/>
                            <a:gdLst/>
                            <a:ahLst/>
                            <a:cxnLst/>
                            <a:rect l="l" t="t" r="r" b="b"/>
                            <a:pathLst>
                              <a:path w="3205480" h="1442085">
                                <a:moveTo>
                                  <a:pt x="318884" y="525754"/>
                                </a:moveTo>
                                <a:lnTo>
                                  <a:pt x="0" y="525754"/>
                                </a:lnTo>
                                <a:lnTo>
                                  <a:pt x="0" y="1441564"/>
                                </a:lnTo>
                                <a:lnTo>
                                  <a:pt x="318884" y="1441564"/>
                                </a:lnTo>
                                <a:lnTo>
                                  <a:pt x="318884" y="525754"/>
                                </a:lnTo>
                                <a:close/>
                              </a:path>
                              <a:path w="3205480" h="1442085">
                                <a:moveTo>
                                  <a:pt x="1757946" y="322237"/>
                                </a:moveTo>
                                <a:lnTo>
                                  <a:pt x="1439062" y="322237"/>
                                </a:lnTo>
                                <a:lnTo>
                                  <a:pt x="1439062" y="1441564"/>
                                </a:lnTo>
                                <a:lnTo>
                                  <a:pt x="1757946" y="1441564"/>
                                </a:lnTo>
                                <a:lnTo>
                                  <a:pt x="1757946" y="322237"/>
                                </a:lnTo>
                                <a:close/>
                              </a:path>
                              <a:path w="3205480" h="1442085">
                                <a:moveTo>
                                  <a:pt x="3205200" y="0"/>
                                </a:moveTo>
                                <a:lnTo>
                                  <a:pt x="2886303" y="0"/>
                                </a:lnTo>
                                <a:lnTo>
                                  <a:pt x="2886303" y="1441564"/>
                                </a:lnTo>
                                <a:lnTo>
                                  <a:pt x="3205200" y="1441564"/>
                                </a:lnTo>
                                <a:lnTo>
                                  <a:pt x="3205200" y="0"/>
                                </a:lnTo>
                                <a:close/>
                              </a:path>
                            </a:pathLst>
                          </a:custGeom>
                          <a:solidFill>
                            <a:srgbClr val="2F7D41"/>
                          </a:solidFill>
                        </wps:spPr>
                        <wps:bodyPr wrap="square" lIns="0" tIns="0" rIns="0" bIns="0" rtlCol="0">
                          <a:prstTxWarp prst="textNoShape">
                            <a:avLst/>
                          </a:prstTxWarp>
                          <a:noAutofit/>
                        </wps:bodyPr>
                      </wps:wsp>
                      <wps:wsp>
                        <wps:cNvPr id="1552" name="Graphic 1552"/>
                        <wps:cNvSpPr/>
                        <wps:spPr>
                          <a:xfrm>
                            <a:off x="1094486" y="1558848"/>
                            <a:ext cx="3205480" cy="653415"/>
                          </a:xfrm>
                          <a:custGeom>
                            <a:avLst/>
                            <a:gdLst/>
                            <a:ahLst/>
                            <a:cxnLst/>
                            <a:rect l="l" t="t" r="r" b="b"/>
                            <a:pathLst>
                              <a:path w="3205480" h="653415">
                                <a:moveTo>
                                  <a:pt x="318884" y="296799"/>
                                </a:moveTo>
                                <a:lnTo>
                                  <a:pt x="0" y="296799"/>
                                </a:lnTo>
                                <a:lnTo>
                                  <a:pt x="0" y="652945"/>
                                </a:lnTo>
                                <a:lnTo>
                                  <a:pt x="318884" y="652945"/>
                                </a:lnTo>
                                <a:lnTo>
                                  <a:pt x="318884" y="296799"/>
                                </a:lnTo>
                                <a:close/>
                              </a:path>
                              <a:path w="3205480" h="653415">
                                <a:moveTo>
                                  <a:pt x="1766125" y="169595"/>
                                </a:moveTo>
                                <a:lnTo>
                                  <a:pt x="1439062" y="169595"/>
                                </a:lnTo>
                                <a:lnTo>
                                  <a:pt x="1439062" y="652945"/>
                                </a:lnTo>
                                <a:lnTo>
                                  <a:pt x="1766125" y="652945"/>
                                </a:lnTo>
                                <a:lnTo>
                                  <a:pt x="1766125" y="169595"/>
                                </a:lnTo>
                                <a:close/>
                              </a:path>
                              <a:path w="3205480" h="653415">
                                <a:moveTo>
                                  <a:pt x="3205188" y="0"/>
                                </a:moveTo>
                                <a:lnTo>
                                  <a:pt x="2886316" y="0"/>
                                </a:lnTo>
                                <a:lnTo>
                                  <a:pt x="2886316" y="652945"/>
                                </a:lnTo>
                                <a:lnTo>
                                  <a:pt x="3205188" y="652945"/>
                                </a:lnTo>
                                <a:lnTo>
                                  <a:pt x="3205188" y="0"/>
                                </a:lnTo>
                                <a:close/>
                              </a:path>
                            </a:pathLst>
                          </a:custGeom>
                          <a:solidFill>
                            <a:srgbClr val="9CBF3B"/>
                          </a:solidFill>
                        </wps:spPr>
                        <wps:bodyPr wrap="square" lIns="0" tIns="0" rIns="0" bIns="0" rtlCol="0">
                          <a:prstTxWarp prst="textNoShape">
                            <a:avLst/>
                          </a:prstTxWarp>
                          <a:noAutofit/>
                        </wps:bodyPr>
                      </wps:wsp>
                      <wps:wsp>
                        <wps:cNvPr id="1553" name="Graphic 1553"/>
                        <wps:cNvSpPr/>
                        <wps:spPr>
                          <a:xfrm>
                            <a:off x="1413370" y="1635162"/>
                            <a:ext cx="3205480" cy="577215"/>
                          </a:xfrm>
                          <a:custGeom>
                            <a:avLst/>
                            <a:gdLst/>
                            <a:ahLst/>
                            <a:cxnLst/>
                            <a:rect l="l" t="t" r="r" b="b"/>
                            <a:pathLst>
                              <a:path w="3205480" h="577215">
                                <a:moveTo>
                                  <a:pt x="318884" y="254393"/>
                                </a:moveTo>
                                <a:lnTo>
                                  <a:pt x="0" y="254393"/>
                                </a:lnTo>
                                <a:lnTo>
                                  <a:pt x="0" y="576630"/>
                                </a:lnTo>
                                <a:lnTo>
                                  <a:pt x="318884" y="576630"/>
                                </a:lnTo>
                                <a:lnTo>
                                  <a:pt x="318884" y="254393"/>
                                </a:lnTo>
                                <a:close/>
                              </a:path>
                              <a:path w="3205480" h="577215">
                                <a:moveTo>
                                  <a:pt x="1766125" y="144157"/>
                                </a:moveTo>
                                <a:lnTo>
                                  <a:pt x="1447241" y="144157"/>
                                </a:lnTo>
                                <a:lnTo>
                                  <a:pt x="1447241" y="576630"/>
                                </a:lnTo>
                                <a:lnTo>
                                  <a:pt x="1766125" y="576630"/>
                                </a:lnTo>
                                <a:lnTo>
                                  <a:pt x="1766125" y="144157"/>
                                </a:lnTo>
                                <a:close/>
                              </a:path>
                              <a:path w="3205480" h="577215">
                                <a:moveTo>
                                  <a:pt x="3205200" y="0"/>
                                </a:moveTo>
                                <a:lnTo>
                                  <a:pt x="2886303" y="0"/>
                                </a:lnTo>
                                <a:lnTo>
                                  <a:pt x="2886303" y="576630"/>
                                </a:lnTo>
                                <a:lnTo>
                                  <a:pt x="3205200" y="576630"/>
                                </a:lnTo>
                                <a:lnTo>
                                  <a:pt x="3205200" y="0"/>
                                </a:lnTo>
                                <a:close/>
                              </a:path>
                            </a:pathLst>
                          </a:custGeom>
                          <a:solidFill>
                            <a:srgbClr val="E3C626"/>
                          </a:solidFill>
                        </wps:spPr>
                        <wps:bodyPr wrap="square" lIns="0" tIns="0" rIns="0" bIns="0" rtlCol="0">
                          <a:prstTxWarp prst="textNoShape">
                            <a:avLst/>
                          </a:prstTxWarp>
                          <a:noAutofit/>
                        </wps:bodyPr>
                      </wps:wsp>
                      <wps:wsp>
                        <wps:cNvPr id="1554" name="Graphic 1554"/>
                        <wps:cNvSpPr/>
                        <wps:spPr>
                          <a:xfrm>
                            <a:off x="502602" y="470268"/>
                            <a:ext cx="4364990" cy="1778635"/>
                          </a:xfrm>
                          <a:custGeom>
                            <a:avLst/>
                            <a:gdLst/>
                            <a:ahLst/>
                            <a:cxnLst/>
                            <a:rect l="l" t="t" r="r" b="b"/>
                            <a:pathLst>
                              <a:path w="4364990" h="1778635">
                                <a:moveTo>
                                  <a:pt x="4364418" y="1738350"/>
                                </a:moveTo>
                                <a:lnTo>
                                  <a:pt x="4364418" y="1738350"/>
                                </a:lnTo>
                                <a:lnTo>
                                  <a:pt x="39052" y="1738350"/>
                                </a:lnTo>
                                <a:lnTo>
                                  <a:pt x="39052" y="0"/>
                                </a:lnTo>
                                <a:lnTo>
                                  <a:pt x="32702" y="0"/>
                                </a:lnTo>
                                <a:lnTo>
                                  <a:pt x="0" y="0"/>
                                </a:lnTo>
                                <a:lnTo>
                                  <a:pt x="0" y="6350"/>
                                </a:lnTo>
                                <a:lnTo>
                                  <a:pt x="32702" y="6350"/>
                                </a:lnTo>
                                <a:lnTo>
                                  <a:pt x="32702" y="288315"/>
                                </a:lnTo>
                                <a:lnTo>
                                  <a:pt x="0" y="288315"/>
                                </a:lnTo>
                                <a:lnTo>
                                  <a:pt x="0" y="294665"/>
                                </a:lnTo>
                                <a:lnTo>
                                  <a:pt x="32702" y="294665"/>
                                </a:lnTo>
                                <a:lnTo>
                                  <a:pt x="32702" y="576618"/>
                                </a:lnTo>
                                <a:lnTo>
                                  <a:pt x="0" y="576618"/>
                                </a:lnTo>
                                <a:lnTo>
                                  <a:pt x="0" y="582968"/>
                                </a:lnTo>
                                <a:lnTo>
                                  <a:pt x="32702" y="582968"/>
                                </a:lnTo>
                                <a:lnTo>
                                  <a:pt x="32702" y="873417"/>
                                </a:lnTo>
                                <a:lnTo>
                                  <a:pt x="0" y="873417"/>
                                </a:lnTo>
                                <a:lnTo>
                                  <a:pt x="0" y="879767"/>
                                </a:lnTo>
                                <a:lnTo>
                                  <a:pt x="32702" y="879767"/>
                                </a:lnTo>
                                <a:lnTo>
                                  <a:pt x="32702" y="1161719"/>
                                </a:lnTo>
                                <a:lnTo>
                                  <a:pt x="0" y="1161719"/>
                                </a:lnTo>
                                <a:lnTo>
                                  <a:pt x="0" y="1168069"/>
                                </a:lnTo>
                                <a:lnTo>
                                  <a:pt x="32702" y="1168069"/>
                                </a:lnTo>
                                <a:lnTo>
                                  <a:pt x="32702" y="1450022"/>
                                </a:lnTo>
                                <a:lnTo>
                                  <a:pt x="0" y="1450022"/>
                                </a:lnTo>
                                <a:lnTo>
                                  <a:pt x="0" y="1456372"/>
                                </a:lnTo>
                                <a:lnTo>
                                  <a:pt x="32702" y="1456372"/>
                                </a:lnTo>
                                <a:lnTo>
                                  <a:pt x="32702" y="1738350"/>
                                </a:lnTo>
                                <a:lnTo>
                                  <a:pt x="0" y="1738350"/>
                                </a:lnTo>
                                <a:lnTo>
                                  <a:pt x="0" y="1744700"/>
                                </a:lnTo>
                                <a:lnTo>
                                  <a:pt x="32702" y="1744700"/>
                                </a:lnTo>
                                <a:lnTo>
                                  <a:pt x="32702" y="1778609"/>
                                </a:lnTo>
                                <a:lnTo>
                                  <a:pt x="39052" y="1778609"/>
                                </a:lnTo>
                                <a:lnTo>
                                  <a:pt x="39052" y="1744700"/>
                                </a:lnTo>
                                <a:lnTo>
                                  <a:pt x="1471764" y="1744700"/>
                                </a:lnTo>
                                <a:lnTo>
                                  <a:pt x="1471764" y="1778609"/>
                                </a:lnTo>
                                <a:lnTo>
                                  <a:pt x="1478114" y="1778609"/>
                                </a:lnTo>
                                <a:lnTo>
                                  <a:pt x="1478114" y="1744700"/>
                                </a:lnTo>
                                <a:lnTo>
                                  <a:pt x="2919018" y="1744700"/>
                                </a:lnTo>
                                <a:lnTo>
                                  <a:pt x="2919018" y="1778609"/>
                                </a:lnTo>
                                <a:lnTo>
                                  <a:pt x="2925368" y="1778609"/>
                                </a:lnTo>
                                <a:lnTo>
                                  <a:pt x="2925368" y="1744700"/>
                                </a:lnTo>
                                <a:lnTo>
                                  <a:pt x="4358068" y="1744700"/>
                                </a:lnTo>
                                <a:lnTo>
                                  <a:pt x="4358068" y="1778609"/>
                                </a:lnTo>
                                <a:lnTo>
                                  <a:pt x="4364418" y="1778609"/>
                                </a:lnTo>
                                <a:lnTo>
                                  <a:pt x="4364418" y="1738350"/>
                                </a:lnTo>
                                <a:close/>
                              </a:path>
                            </a:pathLst>
                          </a:custGeom>
                          <a:solidFill>
                            <a:srgbClr val="000000"/>
                          </a:solidFill>
                        </wps:spPr>
                        <wps:bodyPr wrap="square" lIns="0" tIns="0" rIns="0" bIns="0" rtlCol="0">
                          <a:prstTxWarp prst="textNoShape">
                            <a:avLst/>
                          </a:prstTxWarp>
                          <a:noAutofit/>
                        </wps:bodyPr>
                      </wps:wsp>
                      <wps:wsp>
                        <wps:cNvPr id="1555" name="Graphic 1555"/>
                        <wps:cNvSpPr/>
                        <wps:spPr>
                          <a:xfrm>
                            <a:off x="3196018" y="97207"/>
                            <a:ext cx="57785" cy="59690"/>
                          </a:xfrm>
                          <a:custGeom>
                            <a:avLst/>
                            <a:gdLst/>
                            <a:ahLst/>
                            <a:cxnLst/>
                            <a:rect l="l" t="t" r="r" b="b"/>
                            <a:pathLst>
                              <a:path w="57785" h="59690">
                                <a:moveTo>
                                  <a:pt x="57242" y="0"/>
                                </a:moveTo>
                                <a:lnTo>
                                  <a:pt x="0" y="0"/>
                                </a:lnTo>
                                <a:lnTo>
                                  <a:pt x="0" y="59363"/>
                                </a:lnTo>
                                <a:lnTo>
                                  <a:pt x="57242" y="59363"/>
                                </a:lnTo>
                                <a:lnTo>
                                  <a:pt x="57242" y="0"/>
                                </a:lnTo>
                                <a:close/>
                              </a:path>
                            </a:pathLst>
                          </a:custGeom>
                          <a:solidFill>
                            <a:srgbClr val="2F7D41"/>
                          </a:solidFill>
                        </wps:spPr>
                        <wps:bodyPr wrap="square" lIns="0" tIns="0" rIns="0" bIns="0" rtlCol="0">
                          <a:prstTxWarp prst="textNoShape">
                            <a:avLst/>
                          </a:prstTxWarp>
                          <a:noAutofit/>
                        </wps:bodyPr>
                      </wps:wsp>
                      <wps:wsp>
                        <wps:cNvPr id="1556" name="Graphic 1556"/>
                        <wps:cNvSpPr/>
                        <wps:spPr>
                          <a:xfrm>
                            <a:off x="3506728" y="97207"/>
                            <a:ext cx="57785" cy="59690"/>
                          </a:xfrm>
                          <a:custGeom>
                            <a:avLst/>
                            <a:gdLst/>
                            <a:ahLst/>
                            <a:cxnLst/>
                            <a:rect l="l" t="t" r="r" b="b"/>
                            <a:pathLst>
                              <a:path w="57785" h="59690">
                                <a:moveTo>
                                  <a:pt x="57236" y="0"/>
                                </a:moveTo>
                                <a:lnTo>
                                  <a:pt x="0" y="0"/>
                                </a:lnTo>
                                <a:lnTo>
                                  <a:pt x="0" y="59363"/>
                                </a:lnTo>
                                <a:lnTo>
                                  <a:pt x="57236" y="59363"/>
                                </a:lnTo>
                                <a:lnTo>
                                  <a:pt x="57236" y="0"/>
                                </a:lnTo>
                                <a:close/>
                              </a:path>
                            </a:pathLst>
                          </a:custGeom>
                          <a:solidFill>
                            <a:srgbClr val="9CBF3B"/>
                          </a:solidFill>
                        </wps:spPr>
                        <wps:bodyPr wrap="square" lIns="0" tIns="0" rIns="0" bIns="0" rtlCol="0">
                          <a:prstTxWarp prst="textNoShape">
                            <a:avLst/>
                          </a:prstTxWarp>
                          <a:noAutofit/>
                        </wps:bodyPr>
                      </wps:wsp>
                      <wps:wsp>
                        <wps:cNvPr id="1557" name="Graphic 1557"/>
                        <wps:cNvSpPr/>
                        <wps:spPr>
                          <a:xfrm>
                            <a:off x="4005493" y="97207"/>
                            <a:ext cx="57785" cy="59690"/>
                          </a:xfrm>
                          <a:custGeom>
                            <a:avLst/>
                            <a:gdLst/>
                            <a:ahLst/>
                            <a:cxnLst/>
                            <a:rect l="l" t="t" r="r" b="b"/>
                            <a:pathLst>
                              <a:path w="57785" h="59690">
                                <a:moveTo>
                                  <a:pt x="57249" y="0"/>
                                </a:moveTo>
                                <a:lnTo>
                                  <a:pt x="0" y="0"/>
                                </a:lnTo>
                                <a:lnTo>
                                  <a:pt x="0" y="59363"/>
                                </a:lnTo>
                                <a:lnTo>
                                  <a:pt x="57249" y="59363"/>
                                </a:lnTo>
                                <a:lnTo>
                                  <a:pt x="57249" y="0"/>
                                </a:lnTo>
                                <a:close/>
                              </a:path>
                            </a:pathLst>
                          </a:custGeom>
                          <a:solidFill>
                            <a:srgbClr val="E3C626"/>
                          </a:solidFill>
                        </wps:spPr>
                        <wps:bodyPr wrap="square" lIns="0" tIns="0" rIns="0" bIns="0" rtlCol="0">
                          <a:prstTxWarp prst="textNoShape">
                            <a:avLst/>
                          </a:prstTxWarp>
                          <a:noAutofit/>
                        </wps:bodyPr>
                      </wps:wsp>
                      <wps:wsp>
                        <wps:cNvPr id="1558" name="Graphic 1558"/>
                        <wps:cNvSpPr/>
                        <wps:spPr>
                          <a:xfrm>
                            <a:off x="-12" y="0"/>
                            <a:ext cx="5042535" cy="2514600"/>
                          </a:xfrm>
                          <a:custGeom>
                            <a:avLst/>
                            <a:gdLst/>
                            <a:ahLst/>
                            <a:cxnLst/>
                            <a:rect l="l" t="t" r="r" b="b"/>
                            <a:pathLst>
                              <a:path w="5042535" h="2514600">
                                <a:moveTo>
                                  <a:pt x="5042230" y="0"/>
                                </a:moveTo>
                                <a:lnTo>
                                  <a:pt x="5035880" y="0"/>
                                </a:lnTo>
                                <a:lnTo>
                                  <a:pt x="5035880" y="2540"/>
                                </a:lnTo>
                                <a:lnTo>
                                  <a:pt x="5035880" y="2959"/>
                                </a:lnTo>
                                <a:lnTo>
                                  <a:pt x="5035880" y="6134"/>
                                </a:lnTo>
                                <a:lnTo>
                                  <a:pt x="5035880" y="6350"/>
                                </a:lnTo>
                                <a:lnTo>
                                  <a:pt x="5035880" y="2508034"/>
                                </a:lnTo>
                                <a:lnTo>
                                  <a:pt x="6350" y="2508034"/>
                                </a:lnTo>
                                <a:lnTo>
                                  <a:pt x="6350" y="6350"/>
                                </a:lnTo>
                                <a:lnTo>
                                  <a:pt x="3175" y="6350"/>
                                </a:lnTo>
                                <a:lnTo>
                                  <a:pt x="3175" y="6134"/>
                                </a:lnTo>
                                <a:lnTo>
                                  <a:pt x="6350" y="6134"/>
                                </a:lnTo>
                                <a:lnTo>
                                  <a:pt x="5035880" y="6134"/>
                                </a:lnTo>
                                <a:lnTo>
                                  <a:pt x="5035880" y="2959"/>
                                </a:lnTo>
                                <a:lnTo>
                                  <a:pt x="6350" y="2959"/>
                                </a:lnTo>
                                <a:lnTo>
                                  <a:pt x="3175" y="2959"/>
                                </a:lnTo>
                                <a:lnTo>
                                  <a:pt x="3175" y="2540"/>
                                </a:lnTo>
                                <a:lnTo>
                                  <a:pt x="5035880" y="2540"/>
                                </a:lnTo>
                                <a:lnTo>
                                  <a:pt x="5035880" y="0"/>
                                </a:lnTo>
                                <a:lnTo>
                                  <a:pt x="0" y="0"/>
                                </a:lnTo>
                                <a:lnTo>
                                  <a:pt x="0" y="2540"/>
                                </a:lnTo>
                                <a:lnTo>
                                  <a:pt x="0" y="6350"/>
                                </a:lnTo>
                                <a:lnTo>
                                  <a:pt x="0" y="2508250"/>
                                </a:lnTo>
                                <a:lnTo>
                                  <a:pt x="0" y="2510790"/>
                                </a:lnTo>
                                <a:lnTo>
                                  <a:pt x="0" y="2514600"/>
                                </a:lnTo>
                                <a:lnTo>
                                  <a:pt x="5042230" y="2514600"/>
                                </a:lnTo>
                                <a:lnTo>
                                  <a:pt x="5042230" y="6350"/>
                                </a:lnTo>
                                <a:lnTo>
                                  <a:pt x="5039055" y="6350"/>
                                </a:lnTo>
                                <a:lnTo>
                                  <a:pt x="5039055" y="6134"/>
                                </a:lnTo>
                                <a:lnTo>
                                  <a:pt x="5042230" y="6134"/>
                                </a:lnTo>
                                <a:lnTo>
                                  <a:pt x="5042230" y="2959"/>
                                </a:lnTo>
                                <a:lnTo>
                                  <a:pt x="5039055" y="2959"/>
                                </a:lnTo>
                                <a:lnTo>
                                  <a:pt x="5039055" y="2540"/>
                                </a:lnTo>
                                <a:lnTo>
                                  <a:pt x="5042230" y="2540"/>
                                </a:lnTo>
                                <a:lnTo>
                                  <a:pt x="5042230" y="0"/>
                                </a:lnTo>
                                <a:close/>
                              </a:path>
                            </a:pathLst>
                          </a:custGeom>
                          <a:solidFill>
                            <a:srgbClr val="000000"/>
                          </a:solidFill>
                        </wps:spPr>
                        <wps:bodyPr wrap="square" lIns="0" tIns="0" rIns="0" bIns="0" rtlCol="0">
                          <a:prstTxWarp prst="textNoShape">
                            <a:avLst/>
                          </a:prstTxWarp>
                          <a:noAutofit/>
                        </wps:bodyPr>
                      </wps:wsp>
                      <wps:wsp>
                        <wps:cNvPr id="1559" name="Textbox 1559"/>
                        <wps:cNvSpPr txBox="1"/>
                        <wps:spPr>
                          <a:xfrm>
                            <a:off x="3961788" y="228002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2005-</w:t>
                              </w:r>
                              <w:r>
                                <w:rPr>
                                  <w:rFonts w:ascii="Arial MT"/>
                                  <w:spacing w:val="-5"/>
                                  <w:w w:val="90"/>
                                  <w:sz w:val="14"/>
                                </w:rPr>
                                <w:t>06</w:t>
                              </w:r>
                            </w:p>
                          </w:txbxContent>
                        </wps:txbx>
                        <wps:bodyPr wrap="square" lIns="0" tIns="0" rIns="0" bIns="0" rtlCol="0">
                          <a:noAutofit/>
                        </wps:bodyPr>
                      </wps:wsp>
                      <wps:wsp>
                        <wps:cNvPr id="1560" name="Textbox 1560"/>
                        <wps:cNvSpPr txBox="1"/>
                        <wps:spPr>
                          <a:xfrm>
                            <a:off x="3288750" y="73376"/>
                            <a:ext cx="1647825" cy="102235"/>
                          </a:xfrm>
                          <a:prstGeom prst="rect">
                            <a:avLst/>
                          </a:prstGeom>
                        </wps:spPr>
                        <wps:txbx>
                          <w:txbxContent>
                            <w:p>
                              <w:pPr>
                                <w:tabs>
                                  <w:tab w:pos="481" w:val="left" w:leader="none"/>
                                  <w:tab w:pos="1311" w:val="left" w:leader="none"/>
                                </w:tabs>
                                <w:spacing w:line="161" w:lineRule="exact" w:before="0"/>
                                <w:ind w:left="0" w:right="0" w:firstLine="0"/>
                                <w:jc w:val="left"/>
                                <w:rPr>
                                  <w:rFonts w:ascii="Arial MT"/>
                                  <w:sz w:val="14"/>
                                </w:rPr>
                              </w:pPr>
                              <w:r>
                                <w:rPr>
                                  <w:rFonts w:ascii="Arial MT"/>
                                  <w:spacing w:val="-4"/>
                                  <w:w w:val="90"/>
                                  <w:sz w:val="14"/>
                                </w:rPr>
                                <w:t>Arts</w:t>
                              </w:r>
                              <w:r>
                                <w:rPr>
                                  <w:rFonts w:ascii="Arial MT"/>
                                  <w:sz w:val="14"/>
                                </w:rPr>
                                <w:tab/>
                              </w:r>
                              <w:r>
                                <w:rPr>
                                  <w:rFonts w:ascii="Arial MT"/>
                                  <w:spacing w:val="-2"/>
                                  <w:w w:val="90"/>
                                  <w:sz w:val="14"/>
                                </w:rPr>
                                <w:t>Science</w:t>
                              </w:r>
                              <w:r>
                                <w:rPr>
                                  <w:rFonts w:ascii="Arial MT"/>
                                  <w:sz w:val="14"/>
                                </w:rPr>
                                <w:tab/>
                              </w:r>
                              <w:r>
                                <w:rPr>
                                  <w:rFonts w:ascii="Arial MT"/>
                                  <w:spacing w:val="-2"/>
                                  <w:w w:val="80"/>
                                  <w:sz w:val="14"/>
                                </w:rPr>
                                <w:t>Commerce/Management</w:t>
                              </w:r>
                            </w:p>
                          </w:txbxContent>
                        </wps:txbx>
                        <wps:bodyPr wrap="square" lIns="0" tIns="0" rIns="0" bIns="0" rtlCol="0">
                          <a:noAutofit/>
                        </wps:bodyPr>
                      </wps:wsp>
                      <wps:wsp>
                        <wps:cNvPr id="1561" name="Textbox 1561"/>
                        <wps:cNvSpPr txBox="1"/>
                        <wps:spPr>
                          <a:xfrm>
                            <a:off x="169497" y="445925"/>
                            <a:ext cx="296545" cy="18167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6000000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5000000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4000000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3000000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2000000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1000000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1562" name="Textbox 1562"/>
                        <wps:cNvSpPr txBox="1"/>
                        <wps:spPr>
                          <a:xfrm>
                            <a:off x="1118037" y="228002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1995-</w:t>
                              </w:r>
                              <w:r>
                                <w:rPr>
                                  <w:rFonts w:ascii="Arial MT"/>
                                  <w:spacing w:val="-5"/>
                                  <w:w w:val="90"/>
                                  <w:sz w:val="14"/>
                                </w:rPr>
                                <w:t>96</w:t>
                              </w:r>
                            </w:p>
                          </w:txbxContent>
                        </wps:txbx>
                        <wps:bodyPr wrap="square" lIns="0" tIns="0" rIns="0" bIns="0" rtlCol="0">
                          <a:noAutofit/>
                        </wps:bodyPr>
                      </wps:wsp>
                      <wps:wsp>
                        <wps:cNvPr id="1563" name="Textbox 1563"/>
                        <wps:cNvSpPr txBox="1"/>
                        <wps:spPr>
                          <a:xfrm>
                            <a:off x="2533038" y="228002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2000-</w:t>
                              </w:r>
                              <w:r>
                                <w:rPr>
                                  <w:rFonts w:ascii="Arial MT"/>
                                  <w:spacing w:val="-5"/>
                                  <w:w w:val="90"/>
                                  <w:sz w:val="14"/>
                                </w:rPr>
                                <w:t>01</w:t>
                              </w:r>
                            </w:p>
                          </w:txbxContent>
                        </wps:txbx>
                        <wps:bodyPr wrap="square" lIns="0" tIns="0" rIns="0" bIns="0" rtlCol="0">
                          <a:noAutofit/>
                        </wps:bodyPr>
                      </wps:wsp>
                    </wpg:wgp>
                  </a:graphicData>
                </a:graphic>
              </wp:anchor>
            </w:drawing>
          </mc:Choice>
          <mc:Fallback>
            <w:pict>
              <v:group style="position:absolute;margin-left:97.499969pt;margin-top:8.072543pt;width:397.05pt;height:198pt;mso-position-horizontal-relative:page;mso-position-vertical-relative:paragraph;z-index:-15632896;mso-wrap-distance-left:0;mso-wrap-distance-right:0" id="docshapegroup1537" coordorigin="1950,161" coordsize="7941,3960">
                <v:shape style="position:absolute;left:3171;top:1374;width:5048;height:2271" id="docshape1538" coordorigin="3171,1374" coordsize="5048,2271" path="m3674,2202l3171,2202,3171,3645,3674,3645,3674,2202xm5940,1882l5438,1882,5438,3645,5940,3645,5940,1882xm8219,1374l7717,1374,7717,3645,8219,3645,8219,1374xe" filled="true" fillcolor="#2f7d41" stroked="false">
                  <v:path arrowok="t"/>
                  <v:fill type="solid"/>
                </v:shape>
                <v:shape style="position:absolute;left:3673;top:2616;width:5048;height:1029" id="docshape1539" coordorigin="3674,2616" coordsize="5048,1029" path="m4176,3084l3674,3084,3674,3645,4176,3645,4176,3084xm6455,2883l5940,2883,5940,3645,6455,3645,6455,2883xm8721,2616l8219,2616,8219,3645,8721,3645,8721,2616xe" filled="true" fillcolor="#9cbf3b" stroked="false">
                  <v:path arrowok="t"/>
                  <v:fill type="solid"/>
                </v:shape>
                <v:shape style="position:absolute;left:4175;top:2736;width:5048;height:909" id="docshape1540" coordorigin="4176,2737" coordsize="5048,909" path="m4678,3137l4176,3137,4176,3645,4678,3645,4678,3137xm6957,2964l6455,2964,6455,3645,6957,3645,6957,2964xm9223,2737l8721,2737,8721,3645,9223,3645,9223,2737xe" filled="true" fillcolor="#e3c626" stroked="false">
                  <v:path arrowok="t"/>
                  <v:fill type="solid"/>
                </v:shape>
                <v:shape style="position:absolute;left:2741;top:902;width:6874;height:2801" id="docshape1541" coordorigin="2742,902" coordsize="6874,2801" path="m9615,3640l9615,3640,2803,3640,2803,902,2793,902,2742,902,2742,912,2793,912,2793,1356,2742,1356,2742,1366,2793,1366,2793,1810,2742,1810,2742,1820,2793,1820,2793,2277,2742,2277,2742,2287,2793,2287,2793,2732,2742,2732,2742,2742,2793,2742,2793,3186,2742,3186,2742,3196,2793,3196,2793,3640,2742,3640,2742,3650,2793,3650,2793,3703,2803,3703,2803,3650,5059,3650,5059,3703,5069,3703,5069,3650,7338,3650,7338,3703,7348,3703,7348,3650,9605,3650,9605,3703,9615,3703,9615,3640xe" filled="true" fillcolor="#000000" stroked="false">
                  <v:path arrowok="t"/>
                  <v:fill type="solid"/>
                </v:shape>
                <v:rect style="position:absolute;left:6983;top:314;width:91;height:94" id="docshape1542" filled="true" fillcolor="#2f7d41" stroked="false">
                  <v:fill type="solid"/>
                </v:rect>
                <v:rect style="position:absolute;left:7472;top:314;width:91;height:94" id="docshape1543" filled="true" fillcolor="#9cbf3b" stroked="false">
                  <v:fill type="solid"/>
                </v:rect>
                <v:rect style="position:absolute;left:8257;top:314;width:91;height:94" id="docshape1544" filled="true" fillcolor="#e3c626" stroked="false">
                  <v:fill type="solid"/>
                </v:rect>
                <v:shape style="position:absolute;left:1949;top:161;width:7941;height:3960" id="docshape1545" coordorigin="1950,161" coordsize="7941,3960" path="m9891,161l9881,161,9881,165,9881,166,9881,171,9881,171,9881,4111,1960,4111,1960,171,1955,171,1955,171,1960,171,9881,171,9881,166,1960,166,1955,166,1955,165,9881,165,9881,161,1950,161,1950,165,1950,171,1950,4111,1950,4115,1950,4121,9891,4121,9891,171,9886,171,9886,171,9891,171,9891,166,9886,166,9886,165,9891,165,9891,161xe" filled="true" fillcolor="#000000" stroked="false">
                  <v:path arrowok="t"/>
                  <v:fill type="solid"/>
                </v:shape>
                <v:shape style="position:absolute;left:8189;top:3752;width:442;height:161" type="#_x0000_t202" id="docshape1546" filled="false" stroked="false">
                  <v:textbox inset="0,0,0,0">
                    <w:txbxContent>
                      <w:p>
                        <w:pPr>
                          <w:spacing w:line="161" w:lineRule="exact" w:before="0"/>
                          <w:ind w:left="0" w:right="0" w:firstLine="0"/>
                          <w:jc w:val="left"/>
                          <w:rPr>
                            <w:rFonts w:ascii="Arial MT"/>
                            <w:sz w:val="14"/>
                          </w:rPr>
                        </w:pPr>
                        <w:r>
                          <w:rPr>
                            <w:rFonts w:ascii="Arial MT"/>
                            <w:w w:val="80"/>
                            <w:sz w:val="14"/>
                          </w:rPr>
                          <w:t>2005-</w:t>
                        </w:r>
                        <w:r>
                          <w:rPr>
                            <w:rFonts w:ascii="Arial MT"/>
                            <w:spacing w:val="-5"/>
                            <w:w w:val="90"/>
                            <w:sz w:val="14"/>
                          </w:rPr>
                          <w:t>06</w:t>
                        </w:r>
                      </w:p>
                    </w:txbxContent>
                  </v:textbox>
                  <w10:wrap type="none"/>
                </v:shape>
                <v:shape style="position:absolute;left:7129;top:277;width:2595;height:161" type="#_x0000_t202" id="docshape1547" filled="false" stroked="false">
                  <v:textbox inset="0,0,0,0">
                    <w:txbxContent>
                      <w:p>
                        <w:pPr>
                          <w:tabs>
                            <w:tab w:pos="481" w:val="left" w:leader="none"/>
                            <w:tab w:pos="1311" w:val="left" w:leader="none"/>
                          </w:tabs>
                          <w:spacing w:line="161" w:lineRule="exact" w:before="0"/>
                          <w:ind w:left="0" w:right="0" w:firstLine="0"/>
                          <w:jc w:val="left"/>
                          <w:rPr>
                            <w:rFonts w:ascii="Arial MT"/>
                            <w:sz w:val="14"/>
                          </w:rPr>
                        </w:pPr>
                        <w:r>
                          <w:rPr>
                            <w:rFonts w:ascii="Arial MT"/>
                            <w:spacing w:val="-4"/>
                            <w:w w:val="90"/>
                            <w:sz w:val="14"/>
                          </w:rPr>
                          <w:t>Arts</w:t>
                        </w:r>
                        <w:r>
                          <w:rPr>
                            <w:rFonts w:ascii="Arial MT"/>
                            <w:sz w:val="14"/>
                          </w:rPr>
                          <w:tab/>
                        </w:r>
                        <w:r>
                          <w:rPr>
                            <w:rFonts w:ascii="Arial MT"/>
                            <w:spacing w:val="-2"/>
                            <w:w w:val="90"/>
                            <w:sz w:val="14"/>
                          </w:rPr>
                          <w:t>Science</w:t>
                        </w:r>
                        <w:r>
                          <w:rPr>
                            <w:rFonts w:ascii="Arial MT"/>
                            <w:sz w:val="14"/>
                          </w:rPr>
                          <w:tab/>
                        </w:r>
                        <w:r>
                          <w:rPr>
                            <w:rFonts w:ascii="Arial MT"/>
                            <w:spacing w:val="-2"/>
                            <w:w w:val="80"/>
                            <w:sz w:val="14"/>
                          </w:rPr>
                          <w:t>Commerce/Management</w:t>
                        </w:r>
                      </w:p>
                    </w:txbxContent>
                  </v:textbox>
                  <w10:wrap type="none"/>
                </v:shape>
                <v:shape style="position:absolute;left:2216;top:863;width:467;height:2861" type="#_x0000_t202" id="docshape1548" filled="false" stroked="false">
                  <v:textbox inset="0,0,0,0">
                    <w:txbxContent>
                      <w:p>
                        <w:pPr>
                          <w:spacing w:line="161" w:lineRule="exact" w:before="0"/>
                          <w:ind w:left="0" w:right="0" w:firstLine="0"/>
                          <w:jc w:val="left"/>
                          <w:rPr>
                            <w:rFonts w:ascii="Arial MT"/>
                            <w:sz w:val="14"/>
                          </w:rPr>
                        </w:pPr>
                        <w:r>
                          <w:rPr>
                            <w:rFonts w:ascii="Arial MT"/>
                            <w:spacing w:val="-2"/>
                            <w:w w:val="85"/>
                            <w:sz w:val="14"/>
                          </w:rPr>
                          <w:t>6000000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5000000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4000000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3000000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2000000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2"/>
                            <w:w w:val="80"/>
                            <w:sz w:val="14"/>
                          </w:rPr>
                          <w:t>1000000</w:t>
                        </w:r>
                      </w:p>
                      <w:p>
                        <w:pPr>
                          <w:spacing w:line="240" w:lineRule="auto" w:before="128"/>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v:shape style="position:absolute;left:3710;top:3752;width:442;height:161" type="#_x0000_t202" id="docshape1549" filled="false" stroked="false">
                  <v:textbox inset="0,0,0,0">
                    <w:txbxContent>
                      <w:p>
                        <w:pPr>
                          <w:spacing w:line="161" w:lineRule="exact" w:before="0"/>
                          <w:ind w:left="0" w:right="0" w:firstLine="0"/>
                          <w:jc w:val="left"/>
                          <w:rPr>
                            <w:rFonts w:ascii="Arial MT"/>
                            <w:sz w:val="14"/>
                          </w:rPr>
                        </w:pPr>
                        <w:r>
                          <w:rPr>
                            <w:rFonts w:ascii="Arial MT"/>
                            <w:w w:val="80"/>
                            <w:sz w:val="14"/>
                          </w:rPr>
                          <w:t>1995-</w:t>
                        </w:r>
                        <w:r>
                          <w:rPr>
                            <w:rFonts w:ascii="Arial MT"/>
                            <w:spacing w:val="-5"/>
                            <w:w w:val="90"/>
                            <w:sz w:val="14"/>
                          </w:rPr>
                          <w:t>96</w:t>
                        </w:r>
                      </w:p>
                    </w:txbxContent>
                  </v:textbox>
                  <w10:wrap type="none"/>
                </v:shape>
                <v:shape style="position:absolute;left:5939;top:3752;width:442;height:161" type="#_x0000_t202" id="docshape1550" filled="false" stroked="false">
                  <v:textbox inset="0,0,0,0">
                    <w:txbxContent>
                      <w:p>
                        <w:pPr>
                          <w:spacing w:line="161" w:lineRule="exact" w:before="0"/>
                          <w:ind w:left="0" w:right="0" w:firstLine="0"/>
                          <w:jc w:val="left"/>
                          <w:rPr>
                            <w:rFonts w:ascii="Arial MT"/>
                            <w:sz w:val="14"/>
                          </w:rPr>
                        </w:pPr>
                        <w:r>
                          <w:rPr>
                            <w:rFonts w:ascii="Arial MT"/>
                            <w:w w:val="80"/>
                            <w:sz w:val="14"/>
                          </w:rPr>
                          <w:t>2000-</w:t>
                        </w:r>
                        <w:r>
                          <w:rPr>
                            <w:rFonts w:ascii="Arial MT"/>
                            <w:spacing w:val="-5"/>
                            <w:w w:val="90"/>
                            <w:sz w:val="14"/>
                          </w:rPr>
                          <w:t>01</w:t>
                        </w:r>
                      </w:p>
                    </w:txbxContent>
                  </v:textbox>
                  <w10:wrap type="none"/>
                </v:shape>
                <w10:wrap type="topAndBottom"/>
              </v:group>
            </w:pict>
          </mc:Fallback>
        </mc:AlternateContent>
      </w:r>
    </w:p>
    <w:p>
      <w:pPr>
        <w:spacing w:before="31"/>
        <w:ind w:left="1949" w:right="0" w:firstLine="0"/>
        <w:jc w:val="left"/>
        <w:rPr>
          <w:sz w:val="16"/>
        </w:rPr>
      </w:pPr>
      <w:r>
        <w:rPr>
          <w:i/>
          <w:w w:val="85"/>
          <w:sz w:val="16"/>
        </w:rPr>
        <w:t>Source:</w:t>
      </w:r>
      <w:r>
        <w:rPr>
          <w:i/>
          <w:spacing w:val="-5"/>
          <w:sz w:val="16"/>
        </w:rPr>
        <w:t> </w:t>
      </w:r>
      <w:r>
        <w:rPr>
          <w:spacing w:val="-5"/>
          <w:sz w:val="16"/>
        </w:rPr>
        <w:t>UGC</w:t>
      </w:r>
    </w:p>
    <w:p>
      <w:pPr>
        <w:spacing w:after="0"/>
        <w:jc w:val="left"/>
        <w:rPr>
          <w:sz w:val="16"/>
        </w:rPr>
        <w:sectPr>
          <w:type w:val="continuous"/>
          <w:pgSz w:w="11910" w:h="16840"/>
          <w:pgMar w:header="0" w:footer="675" w:top="1920" w:bottom="280" w:left="0" w:right="0"/>
        </w:sectPr>
      </w:pPr>
    </w:p>
    <w:p>
      <w:pPr>
        <w:pStyle w:val="Heading8"/>
        <w:spacing w:before="73"/>
        <w:ind w:left="1741"/>
      </w:pPr>
      <w:r>
        <w:rPr/>
        <mc:AlternateContent>
          <mc:Choice Requires="wps">
            <w:drawing>
              <wp:anchor distT="0" distB="0" distL="0" distR="0" allowOverlap="1" layoutInCell="1" locked="0" behindDoc="0" simplePos="0" relativeHeight="15825408">
                <wp:simplePos x="0" y="0"/>
                <wp:positionH relativeFrom="page">
                  <wp:posOffset>1105749</wp:posOffset>
                </wp:positionH>
                <wp:positionV relativeFrom="paragraph">
                  <wp:posOffset>307224</wp:posOffset>
                </wp:positionV>
                <wp:extent cx="5384800" cy="2882265"/>
                <wp:effectExtent l="0" t="0" r="0" b="0"/>
                <wp:wrapNone/>
                <wp:docPr id="1564" name="Group 1564"/>
                <wp:cNvGraphicFramePr>
                  <a:graphicFrameLocks/>
                </wp:cNvGraphicFramePr>
                <a:graphic>
                  <a:graphicData uri="http://schemas.microsoft.com/office/word/2010/wordprocessingGroup">
                    <wpg:wgp>
                      <wpg:cNvPr id="1564" name="Group 1564"/>
                      <wpg:cNvGrpSpPr/>
                      <wpg:grpSpPr>
                        <a:xfrm>
                          <a:off x="0" y="0"/>
                          <a:ext cx="5384800" cy="2882265"/>
                          <a:chExt cx="5384800" cy="2882265"/>
                        </a:xfrm>
                      </wpg:grpSpPr>
                      <wps:wsp>
                        <wps:cNvPr id="1565" name="Graphic 1565"/>
                        <wps:cNvSpPr/>
                        <wps:spPr>
                          <a:xfrm>
                            <a:off x="702425" y="467779"/>
                            <a:ext cx="4236085" cy="1763395"/>
                          </a:xfrm>
                          <a:custGeom>
                            <a:avLst/>
                            <a:gdLst/>
                            <a:ahLst/>
                            <a:cxnLst/>
                            <a:rect l="l" t="t" r="r" b="b"/>
                            <a:pathLst>
                              <a:path w="4236085" h="1763395">
                                <a:moveTo>
                                  <a:pt x="96418" y="0"/>
                                </a:moveTo>
                                <a:lnTo>
                                  <a:pt x="0" y="0"/>
                                </a:lnTo>
                                <a:lnTo>
                                  <a:pt x="0" y="1763280"/>
                                </a:lnTo>
                                <a:lnTo>
                                  <a:pt x="96418" y="1763280"/>
                                </a:lnTo>
                                <a:lnTo>
                                  <a:pt x="96418" y="0"/>
                                </a:lnTo>
                                <a:close/>
                              </a:path>
                              <a:path w="4236085" h="1763395">
                                <a:moveTo>
                                  <a:pt x="344360" y="153657"/>
                                </a:moveTo>
                                <a:lnTo>
                                  <a:pt x="241058" y="153657"/>
                                </a:lnTo>
                                <a:lnTo>
                                  <a:pt x="241058" y="1763280"/>
                                </a:lnTo>
                                <a:lnTo>
                                  <a:pt x="344360" y="1763280"/>
                                </a:lnTo>
                                <a:lnTo>
                                  <a:pt x="344360" y="153657"/>
                                </a:lnTo>
                                <a:close/>
                              </a:path>
                              <a:path w="4236085" h="1763395">
                                <a:moveTo>
                                  <a:pt x="585431" y="643864"/>
                                </a:moveTo>
                                <a:lnTo>
                                  <a:pt x="489013" y="643864"/>
                                </a:lnTo>
                                <a:lnTo>
                                  <a:pt x="489013" y="1763280"/>
                                </a:lnTo>
                                <a:lnTo>
                                  <a:pt x="585431" y="1763280"/>
                                </a:lnTo>
                                <a:lnTo>
                                  <a:pt x="585431" y="643864"/>
                                </a:lnTo>
                                <a:close/>
                              </a:path>
                              <a:path w="4236085" h="1763395">
                                <a:moveTo>
                                  <a:pt x="826490" y="775550"/>
                                </a:moveTo>
                                <a:lnTo>
                                  <a:pt x="730084" y="775550"/>
                                </a:lnTo>
                                <a:lnTo>
                                  <a:pt x="730084" y="1763280"/>
                                </a:lnTo>
                                <a:lnTo>
                                  <a:pt x="826490" y="1763280"/>
                                </a:lnTo>
                                <a:lnTo>
                                  <a:pt x="826490" y="775550"/>
                                </a:lnTo>
                                <a:close/>
                              </a:path>
                              <a:path w="4236085" h="1763395">
                                <a:moveTo>
                                  <a:pt x="1074445" y="1038948"/>
                                </a:moveTo>
                                <a:lnTo>
                                  <a:pt x="971130" y="1038948"/>
                                </a:lnTo>
                                <a:lnTo>
                                  <a:pt x="971130" y="1763280"/>
                                </a:lnTo>
                                <a:lnTo>
                                  <a:pt x="1074445" y="1763280"/>
                                </a:lnTo>
                                <a:lnTo>
                                  <a:pt x="1074445" y="1038948"/>
                                </a:lnTo>
                                <a:close/>
                              </a:path>
                              <a:path w="4236085" h="1763395">
                                <a:moveTo>
                                  <a:pt x="1315516" y="1075537"/>
                                </a:moveTo>
                                <a:lnTo>
                                  <a:pt x="1219085" y="1075537"/>
                                </a:lnTo>
                                <a:lnTo>
                                  <a:pt x="1219085" y="1763280"/>
                                </a:lnTo>
                                <a:lnTo>
                                  <a:pt x="1315516" y="1763280"/>
                                </a:lnTo>
                                <a:lnTo>
                                  <a:pt x="1315516" y="1075537"/>
                                </a:lnTo>
                                <a:close/>
                              </a:path>
                              <a:path w="4236085" h="1763395">
                                <a:moveTo>
                                  <a:pt x="1556575" y="1104798"/>
                                </a:moveTo>
                                <a:lnTo>
                                  <a:pt x="1460144" y="1104798"/>
                                </a:lnTo>
                                <a:lnTo>
                                  <a:pt x="1460144" y="1763280"/>
                                </a:lnTo>
                                <a:lnTo>
                                  <a:pt x="1556575" y="1763280"/>
                                </a:lnTo>
                                <a:lnTo>
                                  <a:pt x="1556575" y="1104798"/>
                                </a:lnTo>
                                <a:close/>
                              </a:path>
                              <a:path w="4236085" h="1763395">
                                <a:moveTo>
                                  <a:pt x="1804530" y="1207223"/>
                                </a:moveTo>
                                <a:lnTo>
                                  <a:pt x="1701215" y="1207223"/>
                                </a:lnTo>
                                <a:lnTo>
                                  <a:pt x="1701215" y="1763280"/>
                                </a:lnTo>
                                <a:lnTo>
                                  <a:pt x="1804530" y="1763280"/>
                                </a:lnTo>
                                <a:lnTo>
                                  <a:pt x="1804530" y="1207223"/>
                                </a:lnTo>
                                <a:close/>
                              </a:path>
                              <a:path w="4236085" h="1763395">
                                <a:moveTo>
                                  <a:pt x="2045589" y="1280401"/>
                                </a:moveTo>
                                <a:lnTo>
                                  <a:pt x="1949170" y="1280401"/>
                                </a:lnTo>
                                <a:lnTo>
                                  <a:pt x="1949170" y="1763280"/>
                                </a:lnTo>
                                <a:lnTo>
                                  <a:pt x="2045589" y="1763280"/>
                                </a:lnTo>
                                <a:lnTo>
                                  <a:pt x="2045589" y="1280401"/>
                                </a:lnTo>
                                <a:close/>
                              </a:path>
                              <a:path w="4236085" h="1763395">
                                <a:moveTo>
                                  <a:pt x="2286660" y="1390129"/>
                                </a:moveTo>
                                <a:lnTo>
                                  <a:pt x="2190229" y="1390129"/>
                                </a:lnTo>
                                <a:lnTo>
                                  <a:pt x="2190229" y="1763280"/>
                                </a:lnTo>
                                <a:lnTo>
                                  <a:pt x="2286660" y="1763280"/>
                                </a:lnTo>
                                <a:lnTo>
                                  <a:pt x="2286660" y="1390129"/>
                                </a:lnTo>
                                <a:close/>
                              </a:path>
                              <a:path w="4236085" h="1763395">
                                <a:moveTo>
                                  <a:pt x="2534602" y="1404772"/>
                                </a:moveTo>
                                <a:lnTo>
                                  <a:pt x="2431288" y="1404772"/>
                                </a:lnTo>
                                <a:lnTo>
                                  <a:pt x="2431288" y="1763280"/>
                                </a:lnTo>
                                <a:lnTo>
                                  <a:pt x="2534602" y="1763280"/>
                                </a:lnTo>
                                <a:lnTo>
                                  <a:pt x="2534602" y="1404772"/>
                                </a:lnTo>
                                <a:close/>
                              </a:path>
                              <a:path w="4236085" h="1763395">
                                <a:moveTo>
                                  <a:pt x="2775661" y="1455991"/>
                                </a:moveTo>
                                <a:lnTo>
                                  <a:pt x="2679242" y="1455991"/>
                                </a:lnTo>
                                <a:lnTo>
                                  <a:pt x="2679242" y="1763280"/>
                                </a:lnTo>
                                <a:lnTo>
                                  <a:pt x="2775661" y="1763280"/>
                                </a:lnTo>
                                <a:lnTo>
                                  <a:pt x="2775661" y="1455991"/>
                                </a:lnTo>
                                <a:close/>
                              </a:path>
                              <a:path w="4236085" h="1763395">
                                <a:moveTo>
                                  <a:pt x="3016732" y="1551101"/>
                                </a:moveTo>
                                <a:lnTo>
                                  <a:pt x="2920301" y="1551101"/>
                                </a:lnTo>
                                <a:lnTo>
                                  <a:pt x="2920301" y="1763280"/>
                                </a:lnTo>
                                <a:lnTo>
                                  <a:pt x="3016732" y="1763280"/>
                                </a:lnTo>
                                <a:lnTo>
                                  <a:pt x="3016732" y="1551101"/>
                                </a:lnTo>
                                <a:close/>
                              </a:path>
                              <a:path w="4236085" h="1763395">
                                <a:moveTo>
                                  <a:pt x="3264674" y="1573060"/>
                                </a:moveTo>
                                <a:lnTo>
                                  <a:pt x="3161373" y="1573060"/>
                                </a:lnTo>
                                <a:lnTo>
                                  <a:pt x="3161373" y="1763280"/>
                                </a:lnTo>
                                <a:lnTo>
                                  <a:pt x="3264674" y="1763280"/>
                                </a:lnTo>
                                <a:lnTo>
                                  <a:pt x="3264674" y="1573060"/>
                                </a:lnTo>
                                <a:close/>
                              </a:path>
                              <a:path w="4236085" h="1763395">
                                <a:moveTo>
                                  <a:pt x="3505758" y="1580375"/>
                                </a:moveTo>
                                <a:lnTo>
                                  <a:pt x="3409315" y="1580375"/>
                                </a:lnTo>
                                <a:lnTo>
                                  <a:pt x="3409315" y="1763280"/>
                                </a:lnTo>
                                <a:lnTo>
                                  <a:pt x="3505758" y="1763280"/>
                                </a:lnTo>
                                <a:lnTo>
                                  <a:pt x="3505758" y="1580375"/>
                                </a:lnTo>
                                <a:close/>
                              </a:path>
                              <a:path w="4236085" h="1763395">
                                <a:moveTo>
                                  <a:pt x="3746804" y="1602308"/>
                                </a:moveTo>
                                <a:lnTo>
                                  <a:pt x="3650373" y="1602308"/>
                                </a:lnTo>
                                <a:lnTo>
                                  <a:pt x="3650373" y="1763280"/>
                                </a:lnTo>
                                <a:lnTo>
                                  <a:pt x="3746804" y="1763280"/>
                                </a:lnTo>
                                <a:lnTo>
                                  <a:pt x="3746804" y="1602308"/>
                                </a:lnTo>
                                <a:close/>
                              </a:path>
                              <a:path w="4236085" h="1763395">
                                <a:moveTo>
                                  <a:pt x="3994759" y="1609636"/>
                                </a:moveTo>
                                <a:lnTo>
                                  <a:pt x="3891445" y="1609636"/>
                                </a:lnTo>
                                <a:lnTo>
                                  <a:pt x="3891445" y="1763280"/>
                                </a:lnTo>
                                <a:lnTo>
                                  <a:pt x="3994759" y="1763280"/>
                                </a:lnTo>
                                <a:lnTo>
                                  <a:pt x="3994759" y="1609636"/>
                                </a:lnTo>
                                <a:close/>
                              </a:path>
                              <a:path w="4236085" h="1763395">
                                <a:moveTo>
                                  <a:pt x="4235818" y="1638896"/>
                                </a:moveTo>
                                <a:lnTo>
                                  <a:pt x="4139387" y="1638896"/>
                                </a:lnTo>
                                <a:lnTo>
                                  <a:pt x="4139387" y="1763280"/>
                                </a:lnTo>
                                <a:lnTo>
                                  <a:pt x="4235818" y="1763280"/>
                                </a:lnTo>
                                <a:lnTo>
                                  <a:pt x="4235818" y="1638896"/>
                                </a:lnTo>
                                <a:close/>
                              </a:path>
                            </a:pathLst>
                          </a:custGeom>
                          <a:solidFill>
                            <a:srgbClr val="2F7D41"/>
                          </a:solidFill>
                        </wps:spPr>
                        <wps:bodyPr wrap="square" lIns="0" tIns="0" rIns="0" bIns="0" rtlCol="0">
                          <a:prstTxWarp prst="textNoShape">
                            <a:avLst/>
                          </a:prstTxWarp>
                          <a:noAutofit/>
                        </wps:bodyPr>
                      </wps:wsp>
                      <wps:wsp>
                        <wps:cNvPr id="1566" name="Graphic 1566"/>
                        <wps:cNvSpPr/>
                        <wps:spPr>
                          <a:xfrm>
                            <a:off x="602819" y="186589"/>
                            <a:ext cx="4414520" cy="2070100"/>
                          </a:xfrm>
                          <a:custGeom>
                            <a:avLst/>
                            <a:gdLst/>
                            <a:ahLst/>
                            <a:cxnLst/>
                            <a:rect l="l" t="t" r="r" b="b"/>
                            <a:pathLst>
                              <a:path w="4414520" h="2070100">
                                <a:moveTo>
                                  <a:pt x="4414380" y="2041296"/>
                                </a:moveTo>
                                <a:lnTo>
                                  <a:pt x="4414380" y="2041296"/>
                                </a:lnTo>
                                <a:lnTo>
                                  <a:pt x="33896" y="2041296"/>
                                </a:lnTo>
                                <a:lnTo>
                                  <a:pt x="33896" y="0"/>
                                </a:lnTo>
                                <a:lnTo>
                                  <a:pt x="27546" y="0"/>
                                </a:lnTo>
                                <a:lnTo>
                                  <a:pt x="0" y="0"/>
                                </a:lnTo>
                                <a:lnTo>
                                  <a:pt x="0" y="6350"/>
                                </a:lnTo>
                                <a:lnTo>
                                  <a:pt x="27546" y="6350"/>
                                </a:lnTo>
                                <a:lnTo>
                                  <a:pt x="27546" y="343865"/>
                                </a:lnTo>
                                <a:lnTo>
                                  <a:pt x="0" y="343865"/>
                                </a:lnTo>
                                <a:lnTo>
                                  <a:pt x="0" y="350215"/>
                                </a:lnTo>
                                <a:lnTo>
                                  <a:pt x="27546" y="350215"/>
                                </a:lnTo>
                                <a:lnTo>
                                  <a:pt x="27546" y="680427"/>
                                </a:lnTo>
                                <a:lnTo>
                                  <a:pt x="0" y="680427"/>
                                </a:lnTo>
                                <a:lnTo>
                                  <a:pt x="0" y="686777"/>
                                </a:lnTo>
                                <a:lnTo>
                                  <a:pt x="27546" y="686777"/>
                                </a:lnTo>
                                <a:lnTo>
                                  <a:pt x="27546" y="1024305"/>
                                </a:lnTo>
                                <a:lnTo>
                                  <a:pt x="0" y="1024305"/>
                                </a:lnTo>
                                <a:lnTo>
                                  <a:pt x="0" y="1030655"/>
                                </a:lnTo>
                                <a:lnTo>
                                  <a:pt x="27546" y="1030655"/>
                                </a:lnTo>
                                <a:lnTo>
                                  <a:pt x="27546" y="1360855"/>
                                </a:lnTo>
                                <a:lnTo>
                                  <a:pt x="0" y="1360855"/>
                                </a:lnTo>
                                <a:lnTo>
                                  <a:pt x="0" y="1367205"/>
                                </a:lnTo>
                                <a:lnTo>
                                  <a:pt x="27546" y="1367205"/>
                                </a:lnTo>
                                <a:lnTo>
                                  <a:pt x="27546" y="1704733"/>
                                </a:lnTo>
                                <a:lnTo>
                                  <a:pt x="0" y="1704733"/>
                                </a:lnTo>
                                <a:lnTo>
                                  <a:pt x="0" y="1711083"/>
                                </a:lnTo>
                                <a:lnTo>
                                  <a:pt x="27546" y="1711083"/>
                                </a:lnTo>
                                <a:lnTo>
                                  <a:pt x="27546" y="2041296"/>
                                </a:lnTo>
                                <a:lnTo>
                                  <a:pt x="0" y="2041296"/>
                                </a:lnTo>
                                <a:lnTo>
                                  <a:pt x="0" y="2047646"/>
                                </a:lnTo>
                                <a:lnTo>
                                  <a:pt x="27546" y="2047646"/>
                                </a:lnTo>
                                <a:lnTo>
                                  <a:pt x="27546" y="2069604"/>
                                </a:lnTo>
                                <a:lnTo>
                                  <a:pt x="33896" y="2069604"/>
                                </a:lnTo>
                                <a:lnTo>
                                  <a:pt x="33896" y="2047646"/>
                                </a:lnTo>
                                <a:lnTo>
                                  <a:pt x="268617" y="2047646"/>
                                </a:lnTo>
                                <a:lnTo>
                                  <a:pt x="268617" y="2069604"/>
                                </a:lnTo>
                                <a:lnTo>
                                  <a:pt x="274967" y="2069604"/>
                                </a:lnTo>
                                <a:lnTo>
                                  <a:pt x="274967" y="2047646"/>
                                </a:lnTo>
                                <a:lnTo>
                                  <a:pt x="516559" y="2047646"/>
                                </a:lnTo>
                                <a:lnTo>
                                  <a:pt x="516559" y="2069604"/>
                                </a:lnTo>
                                <a:lnTo>
                                  <a:pt x="522909" y="2069604"/>
                                </a:lnTo>
                                <a:lnTo>
                                  <a:pt x="522909" y="2047646"/>
                                </a:lnTo>
                                <a:lnTo>
                                  <a:pt x="757631" y="2047646"/>
                                </a:lnTo>
                                <a:lnTo>
                                  <a:pt x="757631" y="2069604"/>
                                </a:lnTo>
                                <a:lnTo>
                                  <a:pt x="763981" y="2069604"/>
                                </a:lnTo>
                                <a:lnTo>
                                  <a:pt x="763981" y="2047646"/>
                                </a:lnTo>
                                <a:lnTo>
                                  <a:pt x="998689" y="2047646"/>
                                </a:lnTo>
                                <a:lnTo>
                                  <a:pt x="998689" y="2069604"/>
                                </a:lnTo>
                                <a:lnTo>
                                  <a:pt x="1005039" y="2069604"/>
                                </a:lnTo>
                                <a:lnTo>
                                  <a:pt x="1005039" y="2047646"/>
                                </a:lnTo>
                                <a:lnTo>
                                  <a:pt x="1246644" y="2047646"/>
                                </a:lnTo>
                                <a:lnTo>
                                  <a:pt x="1246644" y="2069604"/>
                                </a:lnTo>
                                <a:lnTo>
                                  <a:pt x="1252994" y="2069604"/>
                                </a:lnTo>
                                <a:lnTo>
                                  <a:pt x="1252994" y="2047646"/>
                                </a:lnTo>
                                <a:lnTo>
                                  <a:pt x="1487703" y="2047646"/>
                                </a:lnTo>
                                <a:lnTo>
                                  <a:pt x="1487703" y="2069604"/>
                                </a:lnTo>
                                <a:lnTo>
                                  <a:pt x="1494053" y="2069604"/>
                                </a:lnTo>
                                <a:lnTo>
                                  <a:pt x="1494053" y="2047646"/>
                                </a:lnTo>
                                <a:lnTo>
                                  <a:pt x="1728762" y="2047646"/>
                                </a:lnTo>
                                <a:lnTo>
                                  <a:pt x="1728762" y="2069604"/>
                                </a:lnTo>
                                <a:lnTo>
                                  <a:pt x="1735112" y="2069604"/>
                                </a:lnTo>
                                <a:lnTo>
                                  <a:pt x="1735112" y="2047646"/>
                                </a:lnTo>
                                <a:lnTo>
                                  <a:pt x="1976716" y="2047646"/>
                                </a:lnTo>
                                <a:lnTo>
                                  <a:pt x="1976716" y="2069604"/>
                                </a:lnTo>
                                <a:lnTo>
                                  <a:pt x="1983066" y="2069604"/>
                                </a:lnTo>
                                <a:lnTo>
                                  <a:pt x="1983066" y="2047646"/>
                                </a:lnTo>
                                <a:lnTo>
                                  <a:pt x="2217788" y="2047646"/>
                                </a:lnTo>
                                <a:lnTo>
                                  <a:pt x="2217788" y="2069604"/>
                                </a:lnTo>
                                <a:lnTo>
                                  <a:pt x="2224138" y="2069604"/>
                                </a:lnTo>
                                <a:lnTo>
                                  <a:pt x="2224138" y="2047646"/>
                                </a:lnTo>
                                <a:lnTo>
                                  <a:pt x="2458834" y="2047646"/>
                                </a:lnTo>
                                <a:lnTo>
                                  <a:pt x="2458834" y="2069604"/>
                                </a:lnTo>
                                <a:lnTo>
                                  <a:pt x="2465184" y="2069604"/>
                                </a:lnTo>
                                <a:lnTo>
                                  <a:pt x="2465184" y="2047646"/>
                                </a:lnTo>
                                <a:lnTo>
                                  <a:pt x="2706814" y="2047646"/>
                                </a:lnTo>
                                <a:lnTo>
                                  <a:pt x="2706814" y="2069604"/>
                                </a:lnTo>
                                <a:lnTo>
                                  <a:pt x="2713164" y="2069604"/>
                                </a:lnTo>
                                <a:lnTo>
                                  <a:pt x="2713164" y="2047646"/>
                                </a:lnTo>
                                <a:lnTo>
                                  <a:pt x="2947860" y="2047646"/>
                                </a:lnTo>
                                <a:lnTo>
                                  <a:pt x="2947860" y="2069604"/>
                                </a:lnTo>
                                <a:lnTo>
                                  <a:pt x="2954210" y="2069604"/>
                                </a:lnTo>
                                <a:lnTo>
                                  <a:pt x="2954210" y="2047646"/>
                                </a:lnTo>
                                <a:lnTo>
                                  <a:pt x="3188919" y="2047646"/>
                                </a:lnTo>
                                <a:lnTo>
                                  <a:pt x="3188919" y="2069604"/>
                                </a:lnTo>
                                <a:lnTo>
                                  <a:pt x="3195269" y="2069604"/>
                                </a:lnTo>
                                <a:lnTo>
                                  <a:pt x="3195269" y="2047646"/>
                                </a:lnTo>
                                <a:lnTo>
                                  <a:pt x="3436874" y="2047646"/>
                                </a:lnTo>
                                <a:lnTo>
                                  <a:pt x="3436874" y="2069604"/>
                                </a:lnTo>
                                <a:lnTo>
                                  <a:pt x="3443224" y="2069604"/>
                                </a:lnTo>
                                <a:lnTo>
                                  <a:pt x="3443224" y="2047646"/>
                                </a:lnTo>
                                <a:lnTo>
                                  <a:pt x="3677958" y="2047646"/>
                                </a:lnTo>
                                <a:lnTo>
                                  <a:pt x="3677958" y="2069604"/>
                                </a:lnTo>
                                <a:lnTo>
                                  <a:pt x="3684308" y="2069604"/>
                                </a:lnTo>
                                <a:lnTo>
                                  <a:pt x="3684308" y="2047646"/>
                                </a:lnTo>
                                <a:lnTo>
                                  <a:pt x="3919004" y="2047646"/>
                                </a:lnTo>
                                <a:lnTo>
                                  <a:pt x="3919004" y="2069604"/>
                                </a:lnTo>
                                <a:lnTo>
                                  <a:pt x="3925354" y="2069604"/>
                                </a:lnTo>
                                <a:lnTo>
                                  <a:pt x="3925354" y="2047646"/>
                                </a:lnTo>
                                <a:lnTo>
                                  <a:pt x="4166946" y="2047646"/>
                                </a:lnTo>
                                <a:lnTo>
                                  <a:pt x="4166946" y="2069604"/>
                                </a:lnTo>
                                <a:lnTo>
                                  <a:pt x="4173296" y="2069604"/>
                                </a:lnTo>
                                <a:lnTo>
                                  <a:pt x="4173296" y="2047646"/>
                                </a:lnTo>
                                <a:lnTo>
                                  <a:pt x="4408030" y="2047646"/>
                                </a:lnTo>
                                <a:lnTo>
                                  <a:pt x="4408030" y="2069604"/>
                                </a:lnTo>
                                <a:lnTo>
                                  <a:pt x="4414380" y="2069604"/>
                                </a:lnTo>
                                <a:lnTo>
                                  <a:pt x="4414380" y="2041296"/>
                                </a:lnTo>
                                <a:close/>
                              </a:path>
                            </a:pathLst>
                          </a:custGeom>
                          <a:solidFill>
                            <a:srgbClr val="000000"/>
                          </a:solidFill>
                        </wps:spPr>
                        <wps:bodyPr wrap="square" lIns="0" tIns="0" rIns="0" bIns="0" rtlCol="0">
                          <a:prstTxWarp prst="textNoShape">
                            <a:avLst/>
                          </a:prstTxWarp>
                          <a:noAutofit/>
                        </wps:bodyPr>
                      </wps:wsp>
                      <wps:wsp>
                        <wps:cNvPr id="1567" name="Textbox 1567"/>
                        <wps:cNvSpPr txBox="1"/>
                        <wps:spPr>
                          <a:xfrm>
                            <a:off x="3175" y="3175"/>
                            <a:ext cx="5378450" cy="2875915"/>
                          </a:xfrm>
                          <a:prstGeom prst="rect">
                            <a:avLst/>
                          </a:prstGeom>
                          <a:ln w="6350">
                            <a:solidFill>
                              <a:srgbClr val="000000"/>
                            </a:solidFill>
                            <a:prstDash val="solid"/>
                          </a:ln>
                        </wps:spPr>
                        <wps:txbx>
                          <w:txbxContent>
                            <w:p>
                              <w:pPr>
                                <w:spacing w:line="240" w:lineRule="auto" w:before="69"/>
                                <w:rPr>
                                  <w:sz w:val="14"/>
                                </w:rPr>
                              </w:pPr>
                            </w:p>
                            <w:p>
                              <w:pPr>
                                <w:spacing w:before="0"/>
                                <w:ind w:left="0" w:right="7584" w:firstLine="0"/>
                                <w:jc w:val="right"/>
                                <w:rPr>
                                  <w:rFonts w:ascii="Arial MT"/>
                                  <w:sz w:val="14"/>
                                </w:rPr>
                              </w:pPr>
                              <w:r>
                                <w:rPr>
                                  <w:rFonts w:ascii="Arial MT"/>
                                  <w:spacing w:val="-2"/>
                                  <w:w w:val="90"/>
                                  <w:sz w:val="14"/>
                                </w:rPr>
                                <w:t>300000</w:t>
                              </w:r>
                            </w:p>
                            <w:p>
                              <w:pPr>
                                <w:spacing w:line="240" w:lineRule="auto" w:before="0"/>
                                <w:rPr>
                                  <w:rFonts w:ascii="Arial MT"/>
                                  <w:sz w:val="14"/>
                                </w:rPr>
                              </w:pPr>
                            </w:p>
                            <w:p>
                              <w:pPr>
                                <w:spacing w:line="240" w:lineRule="auto" w:before="47"/>
                                <w:rPr>
                                  <w:rFonts w:ascii="Arial MT"/>
                                  <w:sz w:val="14"/>
                                </w:rPr>
                              </w:pPr>
                            </w:p>
                            <w:p>
                              <w:pPr>
                                <w:spacing w:before="0"/>
                                <w:ind w:left="0" w:right="7584" w:firstLine="0"/>
                                <w:jc w:val="right"/>
                                <w:rPr>
                                  <w:rFonts w:ascii="Arial MT"/>
                                  <w:sz w:val="14"/>
                                </w:rPr>
                              </w:pPr>
                              <w:r>
                                <w:rPr>
                                  <w:rFonts w:ascii="Arial MT"/>
                                  <w:spacing w:val="-2"/>
                                  <w:w w:val="90"/>
                                  <w:sz w:val="14"/>
                                </w:rPr>
                                <w:t>250000</w:t>
                              </w:r>
                            </w:p>
                            <w:p>
                              <w:pPr>
                                <w:spacing w:line="240" w:lineRule="auto" w:before="0"/>
                                <w:rPr>
                                  <w:rFonts w:ascii="Arial MT"/>
                                  <w:sz w:val="14"/>
                                </w:rPr>
                              </w:pPr>
                            </w:p>
                            <w:p>
                              <w:pPr>
                                <w:spacing w:line="240" w:lineRule="auto" w:before="47"/>
                                <w:rPr>
                                  <w:rFonts w:ascii="Arial MT"/>
                                  <w:sz w:val="14"/>
                                </w:rPr>
                              </w:pPr>
                            </w:p>
                            <w:p>
                              <w:pPr>
                                <w:spacing w:before="0"/>
                                <w:ind w:left="0" w:right="7584" w:firstLine="0"/>
                                <w:jc w:val="right"/>
                                <w:rPr>
                                  <w:rFonts w:ascii="Arial MT"/>
                                  <w:sz w:val="14"/>
                                </w:rPr>
                              </w:pPr>
                              <w:r>
                                <w:rPr>
                                  <w:rFonts w:ascii="Arial MT"/>
                                  <w:spacing w:val="-2"/>
                                  <w:w w:val="90"/>
                                  <w:sz w:val="14"/>
                                </w:rPr>
                                <w:t>200000</w:t>
                              </w:r>
                            </w:p>
                            <w:p>
                              <w:pPr>
                                <w:spacing w:line="240" w:lineRule="auto" w:before="0"/>
                                <w:rPr>
                                  <w:rFonts w:ascii="Arial MT"/>
                                  <w:sz w:val="14"/>
                                </w:rPr>
                              </w:pPr>
                            </w:p>
                            <w:p>
                              <w:pPr>
                                <w:spacing w:line="240" w:lineRule="auto" w:before="47"/>
                                <w:rPr>
                                  <w:rFonts w:ascii="Arial MT"/>
                                  <w:sz w:val="14"/>
                                </w:rPr>
                              </w:pPr>
                            </w:p>
                            <w:p>
                              <w:pPr>
                                <w:spacing w:before="0"/>
                                <w:ind w:left="0" w:right="7584" w:firstLine="0"/>
                                <w:jc w:val="right"/>
                                <w:rPr>
                                  <w:rFonts w:ascii="Arial MT"/>
                                  <w:sz w:val="14"/>
                                </w:rPr>
                              </w:pPr>
                              <w:r>
                                <w:rPr>
                                  <w:rFonts w:ascii="Arial MT"/>
                                  <w:spacing w:val="-2"/>
                                  <w:w w:val="90"/>
                                  <w:sz w:val="14"/>
                                </w:rPr>
                                <w:t>150000</w:t>
                              </w:r>
                            </w:p>
                            <w:p>
                              <w:pPr>
                                <w:spacing w:line="240" w:lineRule="auto" w:before="0"/>
                                <w:rPr>
                                  <w:rFonts w:ascii="Arial MT"/>
                                  <w:sz w:val="14"/>
                                </w:rPr>
                              </w:pPr>
                            </w:p>
                            <w:p>
                              <w:pPr>
                                <w:spacing w:line="240" w:lineRule="auto" w:before="47"/>
                                <w:rPr>
                                  <w:rFonts w:ascii="Arial MT"/>
                                  <w:sz w:val="14"/>
                                </w:rPr>
                              </w:pPr>
                            </w:p>
                            <w:p>
                              <w:pPr>
                                <w:spacing w:before="1"/>
                                <w:ind w:left="0" w:right="7584" w:firstLine="0"/>
                                <w:jc w:val="right"/>
                                <w:rPr>
                                  <w:rFonts w:ascii="Arial MT"/>
                                  <w:sz w:val="14"/>
                                </w:rPr>
                              </w:pPr>
                              <w:r>
                                <w:rPr>
                                  <w:rFonts w:ascii="Arial MT"/>
                                  <w:spacing w:val="-2"/>
                                  <w:w w:val="90"/>
                                  <w:sz w:val="14"/>
                                </w:rPr>
                                <w:t>100000</w:t>
                              </w:r>
                            </w:p>
                            <w:p>
                              <w:pPr>
                                <w:spacing w:line="240" w:lineRule="auto" w:before="0"/>
                                <w:rPr>
                                  <w:rFonts w:ascii="Arial MT"/>
                                  <w:sz w:val="14"/>
                                </w:rPr>
                              </w:pPr>
                            </w:p>
                            <w:p>
                              <w:pPr>
                                <w:spacing w:line="240" w:lineRule="auto" w:before="46"/>
                                <w:rPr>
                                  <w:rFonts w:ascii="Arial MT"/>
                                  <w:sz w:val="14"/>
                                </w:rPr>
                              </w:pPr>
                            </w:p>
                            <w:p>
                              <w:pPr>
                                <w:spacing w:before="1"/>
                                <w:ind w:left="0" w:right="7584" w:firstLine="0"/>
                                <w:jc w:val="right"/>
                                <w:rPr>
                                  <w:rFonts w:ascii="Arial MT"/>
                                  <w:sz w:val="14"/>
                                </w:rPr>
                              </w:pPr>
                              <w:r>
                                <w:rPr>
                                  <w:rFonts w:ascii="Arial MT"/>
                                  <w:spacing w:val="-2"/>
                                  <w:w w:val="90"/>
                                  <w:sz w:val="14"/>
                                </w:rPr>
                                <w:t>50000</w:t>
                              </w:r>
                            </w:p>
                            <w:p>
                              <w:pPr>
                                <w:spacing w:line="240" w:lineRule="auto" w:before="0"/>
                                <w:rPr>
                                  <w:rFonts w:ascii="Arial MT"/>
                                  <w:sz w:val="14"/>
                                </w:rPr>
                              </w:pPr>
                            </w:p>
                            <w:p>
                              <w:pPr>
                                <w:spacing w:line="240" w:lineRule="auto" w:before="46"/>
                                <w:rPr>
                                  <w:rFonts w:ascii="Arial MT"/>
                                  <w:sz w:val="14"/>
                                </w:rPr>
                              </w:pPr>
                            </w:p>
                            <w:p>
                              <w:pPr>
                                <w:spacing w:before="1"/>
                                <w:ind w:left="0" w:right="7584" w:firstLine="0"/>
                                <w:jc w:val="right"/>
                                <w:rPr>
                                  <w:rFonts w:ascii="Arial MT"/>
                                  <w:sz w:val="14"/>
                                </w:rPr>
                              </w:pPr>
                              <w:r>
                                <w:rPr>
                                  <w:rFonts w:ascii="Arial MT"/>
                                  <w:spacing w:val="-10"/>
                                  <w:w w:val="90"/>
                                  <w:sz w:val="14"/>
                                </w:rPr>
                                <w:t>0</w:t>
                              </w:r>
                            </w:p>
                          </w:txbxContent>
                        </wps:txbx>
                        <wps:bodyPr wrap="square" lIns="0" tIns="0" rIns="0" bIns="0" rtlCol="0">
                          <a:noAutofit/>
                        </wps:bodyPr>
                      </wps:wsp>
                    </wpg:wgp>
                  </a:graphicData>
                </a:graphic>
              </wp:anchor>
            </w:drawing>
          </mc:Choice>
          <mc:Fallback>
            <w:pict>
              <v:group style="position:absolute;margin-left:87.06691pt;margin-top:24.19091pt;width:424pt;height:226.95pt;mso-position-horizontal-relative:page;mso-position-vertical-relative:paragraph;z-index:15825408" id="docshapegroup1551" coordorigin="1741,484" coordsize="8480,4539">
                <v:shape style="position:absolute;left:2847;top:1220;width:6671;height:2777" id="docshape1552" coordorigin="2848,1220" coordsize="6671,2777" path="m2999,1220l2848,1220,2848,3997,2999,3997,2999,1220xm3390,1462l3227,1462,3227,3997,3390,3997,3390,1462xm3769,2234l3618,2234,3618,3997,3769,3997,3769,2234xm4149,2442l3997,2442,3997,3997,4149,3997,4149,2442xm4540,2857l4377,2857,4377,3997,4540,3997,4540,2857xm4919,2914l4767,2914,4767,3997,4919,3997,4919,2914xm5299,2960l5147,2960,5147,3997,5299,3997,5299,2960xm5689,3122l5527,3122,5527,3997,5689,3997,5689,3122xm6069,3237l5917,3237,5917,3997,6069,3997,6069,3237xm6449,3410l6297,3410,6297,3997,6449,3997,6449,3410xm6839,3433l6676,3433,6676,3997,6839,3997,6839,3433xm7219,3513l7067,3513,7067,3997,7219,3997,7219,3513xm7598,3663l7446,3663,7446,3997,7598,3997,7598,3663xm7989,3698l7826,3698,7826,3997,7989,3997,7989,3698xm8368,3709l8217,3709,8217,3997,8368,3997,8368,3709xm8748,3744l8596,3744,8596,3997,8748,3997,8748,3744xm9138,3755l8976,3755,8976,3997,9138,3997,9138,3755xm9518,3801l9366,3801,9366,3997,9518,3997,9518,3801xe" filled="true" fillcolor="#2f7d41" stroked="false">
                  <v:path arrowok="t"/>
                  <v:fill type="solid"/>
                </v:shape>
                <v:shape style="position:absolute;left:2690;top:777;width:6952;height:3260" id="docshape1553" coordorigin="2691,778" coordsize="6952,3260" path="m9642,3992l9642,3992,2744,3992,2744,778,2734,778,2691,778,2691,788,2734,788,2734,1319,2691,1319,2691,1329,2734,1329,2734,1849,2691,1849,2691,1859,2734,1859,2734,2391,2691,2391,2691,2401,2734,2401,2734,2921,2691,2921,2691,2931,2734,2931,2734,3462,2691,3462,2691,3472,2734,3472,2734,3992,2691,3992,2691,4002,2734,4002,2734,4037,2744,4037,2744,4002,3114,4002,3114,4037,3124,4037,3124,4002,3504,4002,3504,4037,3514,4037,3514,4002,3884,4002,3884,4037,3894,4037,3894,4002,4263,4002,4263,4037,4273,4037,4273,4002,4654,4002,4654,4037,4664,4037,4664,4002,5034,4002,5034,4037,5044,4037,5044,4002,5413,4002,5413,4037,5423,4037,5423,4002,5804,4002,5804,4037,5814,4037,5814,4002,6183,4002,6183,4037,6193,4037,6193,4002,6563,4002,6563,4037,6573,4037,6573,4002,6953,4002,6953,4037,6963,4037,6963,4002,7333,4002,7333,4037,7343,4037,7343,4002,7713,4002,7713,4037,7723,4037,7723,4002,8103,4002,8103,4037,8113,4037,8113,4002,8483,4002,8483,4037,8493,4037,8493,4002,8862,4002,8862,4037,8872,4037,8872,4002,9253,4002,9253,4037,9263,4037,9263,4002,9632,4002,9632,4037,9642,4037,9642,3992xe" filled="true" fillcolor="#000000" stroked="false">
                  <v:path arrowok="t"/>
                  <v:fill type="solid"/>
                </v:shape>
                <v:shape style="position:absolute;left:1746;top:488;width:8470;height:4529" type="#_x0000_t202" id="docshape1554" filled="false" stroked="true" strokeweight=".5pt" strokecolor="#000000">
                  <v:textbox inset="0,0,0,0">
                    <w:txbxContent>
                      <w:p>
                        <w:pPr>
                          <w:spacing w:line="240" w:lineRule="auto" w:before="69"/>
                          <w:rPr>
                            <w:sz w:val="14"/>
                          </w:rPr>
                        </w:pPr>
                      </w:p>
                      <w:p>
                        <w:pPr>
                          <w:spacing w:before="0"/>
                          <w:ind w:left="0" w:right="7584" w:firstLine="0"/>
                          <w:jc w:val="right"/>
                          <w:rPr>
                            <w:rFonts w:ascii="Arial MT"/>
                            <w:sz w:val="14"/>
                          </w:rPr>
                        </w:pPr>
                        <w:r>
                          <w:rPr>
                            <w:rFonts w:ascii="Arial MT"/>
                            <w:spacing w:val="-2"/>
                            <w:w w:val="90"/>
                            <w:sz w:val="14"/>
                          </w:rPr>
                          <w:t>300000</w:t>
                        </w:r>
                      </w:p>
                      <w:p>
                        <w:pPr>
                          <w:spacing w:line="240" w:lineRule="auto" w:before="0"/>
                          <w:rPr>
                            <w:rFonts w:ascii="Arial MT"/>
                            <w:sz w:val="14"/>
                          </w:rPr>
                        </w:pPr>
                      </w:p>
                      <w:p>
                        <w:pPr>
                          <w:spacing w:line="240" w:lineRule="auto" w:before="47"/>
                          <w:rPr>
                            <w:rFonts w:ascii="Arial MT"/>
                            <w:sz w:val="14"/>
                          </w:rPr>
                        </w:pPr>
                      </w:p>
                      <w:p>
                        <w:pPr>
                          <w:spacing w:before="0"/>
                          <w:ind w:left="0" w:right="7584" w:firstLine="0"/>
                          <w:jc w:val="right"/>
                          <w:rPr>
                            <w:rFonts w:ascii="Arial MT"/>
                            <w:sz w:val="14"/>
                          </w:rPr>
                        </w:pPr>
                        <w:r>
                          <w:rPr>
                            <w:rFonts w:ascii="Arial MT"/>
                            <w:spacing w:val="-2"/>
                            <w:w w:val="90"/>
                            <w:sz w:val="14"/>
                          </w:rPr>
                          <w:t>250000</w:t>
                        </w:r>
                      </w:p>
                      <w:p>
                        <w:pPr>
                          <w:spacing w:line="240" w:lineRule="auto" w:before="0"/>
                          <w:rPr>
                            <w:rFonts w:ascii="Arial MT"/>
                            <w:sz w:val="14"/>
                          </w:rPr>
                        </w:pPr>
                      </w:p>
                      <w:p>
                        <w:pPr>
                          <w:spacing w:line="240" w:lineRule="auto" w:before="47"/>
                          <w:rPr>
                            <w:rFonts w:ascii="Arial MT"/>
                            <w:sz w:val="14"/>
                          </w:rPr>
                        </w:pPr>
                      </w:p>
                      <w:p>
                        <w:pPr>
                          <w:spacing w:before="0"/>
                          <w:ind w:left="0" w:right="7584" w:firstLine="0"/>
                          <w:jc w:val="right"/>
                          <w:rPr>
                            <w:rFonts w:ascii="Arial MT"/>
                            <w:sz w:val="14"/>
                          </w:rPr>
                        </w:pPr>
                        <w:r>
                          <w:rPr>
                            <w:rFonts w:ascii="Arial MT"/>
                            <w:spacing w:val="-2"/>
                            <w:w w:val="90"/>
                            <w:sz w:val="14"/>
                          </w:rPr>
                          <w:t>200000</w:t>
                        </w:r>
                      </w:p>
                      <w:p>
                        <w:pPr>
                          <w:spacing w:line="240" w:lineRule="auto" w:before="0"/>
                          <w:rPr>
                            <w:rFonts w:ascii="Arial MT"/>
                            <w:sz w:val="14"/>
                          </w:rPr>
                        </w:pPr>
                      </w:p>
                      <w:p>
                        <w:pPr>
                          <w:spacing w:line="240" w:lineRule="auto" w:before="47"/>
                          <w:rPr>
                            <w:rFonts w:ascii="Arial MT"/>
                            <w:sz w:val="14"/>
                          </w:rPr>
                        </w:pPr>
                      </w:p>
                      <w:p>
                        <w:pPr>
                          <w:spacing w:before="0"/>
                          <w:ind w:left="0" w:right="7584" w:firstLine="0"/>
                          <w:jc w:val="right"/>
                          <w:rPr>
                            <w:rFonts w:ascii="Arial MT"/>
                            <w:sz w:val="14"/>
                          </w:rPr>
                        </w:pPr>
                        <w:r>
                          <w:rPr>
                            <w:rFonts w:ascii="Arial MT"/>
                            <w:spacing w:val="-2"/>
                            <w:w w:val="90"/>
                            <w:sz w:val="14"/>
                          </w:rPr>
                          <w:t>150000</w:t>
                        </w:r>
                      </w:p>
                      <w:p>
                        <w:pPr>
                          <w:spacing w:line="240" w:lineRule="auto" w:before="0"/>
                          <w:rPr>
                            <w:rFonts w:ascii="Arial MT"/>
                            <w:sz w:val="14"/>
                          </w:rPr>
                        </w:pPr>
                      </w:p>
                      <w:p>
                        <w:pPr>
                          <w:spacing w:line="240" w:lineRule="auto" w:before="47"/>
                          <w:rPr>
                            <w:rFonts w:ascii="Arial MT"/>
                            <w:sz w:val="14"/>
                          </w:rPr>
                        </w:pPr>
                      </w:p>
                      <w:p>
                        <w:pPr>
                          <w:spacing w:before="1"/>
                          <w:ind w:left="0" w:right="7584" w:firstLine="0"/>
                          <w:jc w:val="right"/>
                          <w:rPr>
                            <w:rFonts w:ascii="Arial MT"/>
                            <w:sz w:val="14"/>
                          </w:rPr>
                        </w:pPr>
                        <w:r>
                          <w:rPr>
                            <w:rFonts w:ascii="Arial MT"/>
                            <w:spacing w:val="-2"/>
                            <w:w w:val="90"/>
                            <w:sz w:val="14"/>
                          </w:rPr>
                          <w:t>100000</w:t>
                        </w:r>
                      </w:p>
                      <w:p>
                        <w:pPr>
                          <w:spacing w:line="240" w:lineRule="auto" w:before="0"/>
                          <w:rPr>
                            <w:rFonts w:ascii="Arial MT"/>
                            <w:sz w:val="14"/>
                          </w:rPr>
                        </w:pPr>
                      </w:p>
                      <w:p>
                        <w:pPr>
                          <w:spacing w:line="240" w:lineRule="auto" w:before="46"/>
                          <w:rPr>
                            <w:rFonts w:ascii="Arial MT"/>
                            <w:sz w:val="14"/>
                          </w:rPr>
                        </w:pPr>
                      </w:p>
                      <w:p>
                        <w:pPr>
                          <w:spacing w:before="1"/>
                          <w:ind w:left="0" w:right="7584" w:firstLine="0"/>
                          <w:jc w:val="right"/>
                          <w:rPr>
                            <w:rFonts w:ascii="Arial MT"/>
                            <w:sz w:val="14"/>
                          </w:rPr>
                        </w:pPr>
                        <w:r>
                          <w:rPr>
                            <w:rFonts w:ascii="Arial MT"/>
                            <w:spacing w:val="-2"/>
                            <w:w w:val="90"/>
                            <w:sz w:val="14"/>
                          </w:rPr>
                          <w:t>50000</w:t>
                        </w:r>
                      </w:p>
                      <w:p>
                        <w:pPr>
                          <w:spacing w:line="240" w:lineRule="auto" w:before="0"/>
                          <w:rPr>
                            <w:rFonts w:ascii="Arial MT"/>
                            <w:sz w:val="14"/>
                          </w:rPr>
                        </w:pPr>
                      </w:p>
                      <w:p>
                        <w:pPr>
                          <w:spacing w:line="240" w:lineRule="auto" w:before="46"/>
                          <w:rPr>
                            <w:rFonts w:ascii="Arial MT"/>
                            <w:sz w:val="14"/>
                          </w:rPr>
                        </w:pPr>
                      </w:p>
                      <w:p>
                        <w:pPr>
                          <w:spacing w:before="1"/>
                          <w:ind w:left="0" w:right="7584" w:firstLine="0"/>
                          <w:jc w:val="right"/>
                          <w:rPr>
                            <w:rFonts w:ascii="Arial MT"/>
                            <w:sz w:val="14"/>
                          </w:rPr>
                        </w:pPr>
                        <w:r>
                          <w:rPr>
                            <w:rFonts w:ascii="Arial MT"/>
                            <w:spacing w:val="-10"/>
                            <w:w w:val="90"/>
                            <w:sz w:val="14"/>
                          </w:rPr>
                          <w:t>0</w:t>
                        </w:r>
                      </w:p>
                    </w:txbxContent>
                  </v:textbox>
                  <v:stroke dashstyle="solid"/>
                  <w10:wrap type="none"/>
                </v:shape>
                <w10:wrap type="none"/>
              </v:group>
            </w:pict>
          </mc:Fallback>
        </mc:AlternateContent>
      </w:r>
      <w:r>
        <w:rPr>
          <w:spacing w:val="-8"/>
        </w:rPr>
        <w:t>Figure</w:t>
      </w:r>
      <w:r>
        <w:rPr>
          <w:spacing w:val="3"/>
        </w:rPr>
        <w:t> </w:t>
      </w:r>
      <w:r>
        <w:rPr>
          <w:spacing w:val="-8"/>
        </w:rPr>
        <w:t>23:</w:t>
      </w:r>
      <w:r>
        <w:rPr>
          <w:spacing w:val="3"/>
        </w:rPr>
        <w:t> </w:t>
      </w:r>
      <w:r>
        <w:rPr>
          <w:color w:val="2E614A"/>
          <w:spacing w:val="-8"/>
        </w:rPr>
        <w:t>State-wise</w:t>
      </w:r>
      <w:r>
        <w:rPr>
          <w:color w:val="2E614A"/>
          <w:spacing w:val="3"/>
        </w:rPr>
        <w:t> </w:t>
      </w:r>
      <w:r>
        <w:rPr>
          <w:color w:val="2E614A"/>
          <w:spacing w:val="-8"/>
        </w:rPr>
        <w:t>enrolment</w:t>
      </w:r>
      <w:r>
        <w:rPr>
          <w:color w:val="2E614A"/>
          <w:spacing w:val="4"/>
        </w:rPr>
        <w:t> </w:t>
      </w:r>
      <w:r>
        <w:rPr>
          <w:color w:val="2E614A"/>
          <w:spacing w:val="-8"/>
        </w:rPr>
        <w:t>in</w:t>
      </w:r>
      <w:r>
        <w:rPr>
          <w:color w:val="2E614A"/>
          <w:spacing w:val="3"/>
        </w:rPr>
        <w:t> </w:t>
      </w:r>
      <w:r>
        <w:rPr>
          <w:color w:val="2E614A"/>
          <w:spacing w:val="-8"/>
        </w:rPr>
        <w:t>science</w:t>
      </w:r>
      <w:r>
        <w:rPr>
          <w:color w:val="2E614A"/>
          <w:spacing w:val="3"/>
        </w:rPr>
        <w:t> </w:t>
      </w:r>
      <w:r>
        <w:rPr>
          <w:color w:val="2E614A"/>
          <w:spacing w:val="-8"/>
        </w:rPr>
        <w:t>(2000-01)</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17"/>
        <w:rPr>
          <w:b/>
          <w:sz w:val="16"/>
        </w:rPr>
      </w:pPr>
    </w:p>
    <w:p>
      <w:pPr>
        <w:spacing w:before="1"/>
        <w:ind w:left="1741" w:right="0" w:firstLine="0"/>
        <w:jc w:val="left"/>
        <w:rPr>
          <w:sz w:val="16"/>
        </w:rPr>
      </w:pPr>
      <w:r>
        <w:rPr/>
        <mc:AlternateContent>
          <mc:Choice Requires="wps">
            <w:drawing>
              <wp:anchor distT="0" distB="0" distL="0" distR="0" allowOverlap="1" layoutInCell="1" locked="0" behindDoc="0" simplePos="0" relativeHeight="15825920">
                <wp:simplePos x="0" y="0"/>
                <wp:positionH relativeFrom="page">
                  <wp:posOffset>1770251</wp:posOffset>
                </wp:positionH>
                <wp:positionV relativeFrom="paragraph">
                  <wp:posOffset>-662479</wp:posOffset>
                </wp:positionV>
                <wp:extent cx="127635" cy="552450"/>
                <wp:effectExtent l="0" t="0" r="0" b="0"/>
                <wp:wrapNone/>
                <wp:docPr id="1568" name="Textbox 1568"/>
                <wp:cNvGraphicFramePr>
                  <a:graphicFrameLocks/>
                </wp:cNvGraphicFramePr>
                <a:graphic>
                  <a:graphicData uri="http://schemas.microsoft.com/office/word/2010/wordprocessingShape">
                    <wps:wsp>
                      <wps:cNvPr id="1568" name="Textbox 1568"/>
                      <wps:cNvSpPr txBox="1"/>
                      <wps:spPr>
                        <a:xfrm>
                          <a:off x="0" y="0"/>
                          <a:ext cx="127635" cy="552450"/>
                        </a:xfrm>
                        <a:prstGeom prst="rect">
                          <a:avLst/>
                        </a:prstGeom>
                      </wps:spPr>
                      <wps:txbx>
                        <w:txbxContent>
                          <w:p>
                            <w:pPr>
                              <w:spacing w:before="19"/>
                              <w:ind w:left="20" w:right="0" w:firstLine="0"/>
                              <w:jc w:val="left"/>
                              <w:rPr>
                                <w:rFonts w:ascii="Arial MT"/>
                                <w:sz w:val="14"/>
                              </w:rPr>
                            </w:pPr>
                            <w:r>
                              <w:rPr>
                                <w:rFonts w:ascii="Arial MT"/>
                                <w:w w:val="80"/>
                                <w:sz w:val="14"/>
                              </w:rPr>
                              <w:t>Andhra</w:t>
                            </w:r>
                            <w:r>
                              <w:rPr>
                                <w:rFonts w:ascii="Arial MT"/>
                                <w:spacing w:val="-3"/>
                                <w:sz w:val="14"/>
                              </w:rPr>
                              <w:t> </w:t>
                            </w:r>
                            <w:r>
                              <w:rPr>
                                <w:rFonts w:ascii="Arial MT"/>
                                <w:spacing w:val="-2"/>
                                <w:w w:val="85"/>
                                <w:sz w:val="14"/>
                              </w:rPr>
                              <w:t>Pradesh</w:t>
                            </w:r>
                          </w:p>
                        </w:txbxContent>
                      </wps:txbx>
                      <wps:bodyPr wrap="square" lIns="0" tIns="0" rIns="0" bIns="0" rtlCol="0" vert="vert270">
                        <a:noAutofit/>
                      </wps:bodyPr>
                    </wps:wsp>
                  </a:graphicData>
                </a:graphic>
              </wp:anchor>
            </w:drawing>
          </mc:Choice>
          <mc:Fallback>
            <w:pict>
              <v:shape style="position:absolute;margin-left:139.389877pt;margin-top:-52.163776pt;width:10.050pt;height:43.5pt;mso-position-horizontal-relative:page;mso-position-vertical-relative:paragraph;z-index:15825920" type="#_x0000_t202" id="docshape1555"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Andhra</w:t>
                      </w:r>
                      <w:r>
                        <w:rPr>
                          <w:rFonts w:ascii="Arial MT"/>
                          <w:spacing w:val="-3"/>
                          <w:sz w:val="14"/>
                        </w:rPr>
                        <w:t> </w:t>
                      </w:r>
                      <w:r>
                        <w:rPr>
                          <w:rFonts w:ascii="Arial MT"/>
                          <w:spacing w:val="-2"/>
                          <w:w w:val="85"/>
                          <w:sz w:val="14"/>
                        </w:rPr>
                        <w:t>Pradesh</w:t>
                      </w:r>
                    </w:p>
                  </w:txbxContent>
                </v:textbox>
                <w10:wrap type="none"/>
              </v:shape>
            </w:pict>
          </mc:Fallback>
        </mc:AlternateContent>
      </w:r>
      <w:r>
        <w:rPr/>
        <mc:AlternateContent>
          <mc:Choice Requires="wps">
            <w:drawing>
              <wp:anchor distT="0" distB="0" distL="0" distR="0" allowOverlap="1" layoutInCell="1" locked="0" behindDoc="0" simplePos="0" relativeHeight="15826432">
                <wp:simplePos x="0" y="0"/>
                <wp:positionH relativeFrom="page">
                  <wp:posOffset>2020551</wp:posOffset>
                </wp:positionH>
                <wp:positionV relativeFrom="paragraph">
                  <wp:posOffset>-662464</wp:posOffset>
                </wp:positionV>
                <wp:extent cx="127635" cy="390525"/>
                <wp:effectExtent l="0" t="0" r="0" b="0"/>
                <wp:wrapNone/>
                <wp:docPr id="1569" name="Textbox 1569"/>
                <wp:cNvGraphicFramePr>
                  <a:graphicFrameLocks/>
                </wp:cNvGraphicFramePr>
                <a:graphic>
                  <a:graphicData uri="http://schemas.microsoft.com/office/word/2010/wordprocessingShape">
                    <wps:wsp>
                      <wps:cNvPr id="1569" name="Textbox 1569"/>
                      <wps:cNvSpPr txBox="1"/>
                      <wps:spPr>
                        <a:xfrm>
                          <a:off x="0" y="0"/>
                          <a:ext cx="127635" cy="390525"/>
                        </a:xfrm>
                        <a:prstGeom prst="rect">
                          <a:avLst/>
                        </a:prstGeom>
                      </wps:spPr>
                      <wps:txbx>
                        <w:txbxContent>
                          <w:p>
                            <w:pPr>
                              <w:spacing w:before="19"/>
                              <w:ind w:left="20" w:right="0" w:firstLine="0"/>
                              <w:jc w:val="left"/>
                              <w:rPr>
                                <w:rFonts w:ascii="Arial MT"/>
                                <w:sz w:val="14"/>
                              </w:rPr>
                            </w:pPr>
                            <w:r>
                              <w:rPr>
                                <w:rFonts w:ascii="Arial MT"/>
                                <w:spacing w:val="-4"/>
                                <w:w w:val="80"/>
                                <w:sz w:val="14"/>
                              </w:rPr>
                              <w:t>Tamil</w:t>
                            </w:r>
                            <w:r>
                              <w:rPr>
                                <w:rFonts w:ascii="Arial MT"/>
                                <w:spacing w:val="1"/>
                                <w:sz w:val="14"/>
                              </w:rPr>
                              <w:t> </w:t>
                            </w:r>
                            <w:r>
                              <w:rPr>
                                <w:rFonts w:ascii="Arial MT"/>
                                <w:spacing w:val="-4"/>
                                <w:w w:val="85"/>
                                <w:sz w:val="14"/>
                              </w:rPr>
                              <w:t>Nadu</w:t>
                            </w:r>
                          </w:p>
                        </w:txbxContent>
                      </wps:txbx>
                      <wps:bodyPr wrap="square" lIns="0" tIns="0" rIns="0" bIns="0" rtlCol="0" vert="vert270">
                        <a:noAutofit/>
                      </wps:bodyPr>
                    </wps:wsp>
                  </a:graphicData>
                </a:graphic>
              </wp:anchor>
            </w:drawing>
          </mc:Choice>
          <mc:Fallback>
            <w:pict>
              <v:shape style="position:absolute;margin-left:159.098541pt;margin-top:-52.162521pt;width:10.050pt;height:30.75pt;mso-position-horizontal-relative:page;mso-position-vertical-relative:paragraph;z-index:15826432" type="#_x0000_t202" id="docshape1556" filled="false" stroked="false">
                <v:textbox inset="0,0,0,0" style="layout-flow:vertical;mso-layout-flow-alt:bottom-to-top">
                  <w:txbxContent>
                    <w:p>
                      <w:pPr>
                        <w:spacing w:before="19"/>
                        <w:ind w:left="20" w:right="0" w:firstLine="0"/>
                        <w:jc w:val="left"/>
                        <w:rPr>
                          <w:rFonts w:ascii="Arial MT"/>
                          <w:sz w:val="14"/>
                        </w:rPr>
                      </w:pPr>
                      <w:r>
                        <w:rPr>
                          <w:rFonts w:ascii="Arial MT"/>
                          <w:spacing w:val="-4"/>
                          <w:w w:val="80"/>
                          <w:sz w:val="14"/>
                        </w:rPr>
                        <w:t>Tamil</w:t>
                      </w:r>
                      <w:r>
                        <w:rPr>
                          <w:rFonts w:ascii="Arial MT"/>
                          <w:spacing w:val="1"/>
                          <w:sz w:val="14"/>
                        </w:rPr>
                        <w:t> </w:t>
                      </w:r>
                      <w:r>
                        <w:rPr>
                          <w:rFonts w:ascii="Arial MT"/>
                          <w:spacing w:val="-4"/>
                          <w:w w:val="85"/>
                          <w:sz w:val="14"/>
                        </w:rPr>
                        <w:t>Nadu</w:t>
                      </w:r>
                    </w:p>
                  </w:txbxContent>
                </v:textbox>
                <w10:wrap type="none"/>
              </v:shape>
            </w:pict>
          </mc:Fallback>
        </mc:AlternateContent>
      </w:r>
      <w:r>
        <w:rPr/>
        <mc:AlternateContent>
          <mc:Choice Requires="wps">
            <w:drawing>
              <wp:anchor distT="0" distB="0" distL="0" distR="0" allowOverlap="1" layoutInCell="1" locked="0" behindDoc="0" simplePos="0" relativeHeight="15826944">
                <wp:simplePos x="0" y="0"/>
                <wp:positionH relativeFrom="page">
                  <wp:posOffset>2261851</wp:posOffset>
                </wp:positionH>
                <wp:positionV relativeFrom="paragraph">
                  <wp:posOffset>-662531</wp:posOffset>
                </wp:positionV>
                <wp:extent cx="127635" cy="475615"/>
                <wp:effectExtent l="0" t="0" r="0" b="0"/>
                <wp:wrapNone/>
                <wp:docPr id="1570" name="Textbox 1570"/>
                <wp:cNvGraphicFramePr>
                  <a:graphicFrameLocks/>
                </wp:cNvGraphicFramePr>
                <a:graphic>
                  <a:graphicData uri="http://schemas.microsoft.com/office/word/2010/wordprocessingShape">
                    <wps:wsp>
                      <wps:cNvPr id="1570" name="Textbox 1570"/>
                      <wps:cNvSpPr txBox="1"/>
                      <wps:spPr>
                        <a:xfrm>
                          <a:off x="0" y="0"/>
                          <a:ext cx="127635" cy="475615"/>
                        </a:xfrm>
                        <a:prstGeom prst="rect">
                          <a:avLst/>
                        </a:prstGeom>
                      </wps:spPr>
                      <wps:txbx>
                        <w:txbxContent>
                          <w:p>
                            <w:pPr>
                              <w:spacing w:before="19"/>
                              <w:ind w:left="20" w:right="0" w:firstLine="0"/>
                              <w:jc w:val="left"/>
                              <w:rPr>
                                <w:rFonts w:ascii="Arial MT"/>
                                <w:sz w:val="14"/>
                              </w:rPr>
                            </w:pPr>
                            <w:r>
                              <w:rPr>
                                <w:rFonts w:ascii="Arial MT"/>
                                <w:w w:val="80"/>
                                <w:sz w:val="14"/>
                              </w:rPr>
                              <w:t>Uttar</w:t>
                            </w:r>
                            <w:r>
                              <w:rPr>
                                <w:rFonts w:ascii="Arial MT"/>
                                <w:spacing w:val="-4"/>
                                <w:sz w:val="14"/>
                              </w:rPr>
                              <w:t> </w:t>
                            </w:r>
                            <w:r>
                              <w:rPr>
                                <w:rFonts w:ascii="Arial MT"/>
                                <w:spacing w:val="-2"/>
                                <w:w w:val="85"/>
                                <w:sz w:val="14"/>
                              </w:rPr>
                              <w:t>Pradesh</w:t>
                            </w:r>
                          </w:p>
                        </w:txbxContent>
                      </wps:txbx>
                      <wps:bodyPr wrap="square" lIns="0" tIns="0" rIns="0" bIns="0" rtlCol="0" vert="vert270">
                        <a:noAutofit/>
                      </wps:bodyPr>
                    </wps:wsp>
                  </a:graphicData>
                </a:graphic>
              </wp:anchor>
            </w:drawing>
          </mc:Choice>
          <mc:Fallback>
            <w:pict>
              <v:shape style="position:absolute;margin-left:178.098541pt;margin-top:-52.16785pt;width:10.050pt;height:37.450pt;mso-position-horizontal-relative:page;mso-position-vertical-relative:paragraph;z-index:15826944" type="#_x0000_t202" id="docshape1557"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Uttar</w:t>
                      </w:r>
                      <w:r>
                        <w:rPr>
                          <w:rFonts w:ascii="Arial MT"/>
                          <w:spacing w:val="-4"/>
                          <w:sz w:val="14"/>
                        </w:rPr>
                        <w:t> </w:t>
                      </w:r>
                      <w:r>
                        <w:rPr>
                          <w:rFonts w:ascii="Arial MT"/>
                          <w:spacing w:val="-2"/>
                          <w:w w:val="85"/>
                          <w:sz w:val="14"/>
                        </w:rPr>
                        <w:t>Pradesh</w:t>
                      </w:r>
                    </w:p>
                  </w:txbxContent>
                </v:textbox>
                <w10:wrap type="none"/>
              </v:shape>
            </w:pict>
          </mc:Fallback>
        </mc:AlternateContent>
      </w:r>
      <w:r>
        <w:rPr/>
        <mc:AlternateContent>
          <mc:Choice Requires="wps">
            <w:drawing>
              <wp:anchor distT="0" distB="0" distL="0" distR="0" allowOverlap="1" layoutInCell="1" locked="0" behindDoc="0" simplePos="0" relativeHeight="15827456">
                <wp:simplePos x="0" y="0"/>
                <wp:positionH relativeFrom="page">
                  <wp:posOffset>2500501</wp:posOffset>
                </wp:positionH>
                <wp:positionV relativeFrom="paragraph">
                  <wp:posOffset>-662492</wp:posOffset>
                </wp:positionV>
                <wp:extent cx="127635" cy="434975"/>
                <wp:effectExtent l="0" t="0" r="0" b="0"/>
                <wp:wrapNone/>
                <wp:docPr id="1571" name="Textbox 1571"/>
                <wp:cNvGraphicFramePr>
                  <a:graphicFrameLocks/>
                </wp:cNvGraphicFramePr>
                <a:graphic>
                  <a:graphicData uri="http://schemas.microsoft.com/office/word/2010/wordprocessingShape">
                    <wps:wsp>
                      <wps:cNvPr id="1571" name="Textbox 1571"/>
                      <wps:cNvSpPr txBox="1"/>
                      <wps:spPr>
                        <a:xfrm>
                          <a:off x="0" y="0"/>
                          <a:ext cx="127635" cy="434975"/>
                        </a:xfrm>
                        <a:prstGeom prst="rect">
                          <a:avLst/>
                        </a:prstGeom>
                      </wps:spPr>
                      <wps:txbx>
                        <w:txbxContent>
                          <w:p>
                            <w:pPr>
                              <w:spacing w:before="19"/>
                              <w:ind w:left="20" w:right="0" w:firstLine="0"/>
                              <w:jc w:val="left"/>
                              <w:rPr>
                                <w:rFonts w:ascii="Arial MT"/>
                                <w:sz w:val="14"/>
                              </w:rPr>
                            </w:pPr>
                            <w:r>
                              <w:rPr>
                                <w:rFonts w:ascii="Arial MT"/>
                                <w:spacing w:val="-2"/>
                                <w:w w:val="80"/>
                                <w:sz w:val="14"/>
                              </w:rPr>
                              <w:t>Maharashtra</w:t>
                            </w:r>
                          </w:p>
                        </w:txbxContent>
                      </wps:txbx>
                      <wps:bodyPr wrap="square" lIns="0" tIns="0" rIns="0" bIns="0" rtlCol="0" vert="vert270">
                        <a:noAutofit/>
                      </wps:bodyPr>
                    </wps:wsp>
                  </a:graphicData>
                </a:graphic>
              </wp:anchor>
            </w:drawing>
          </mc:Choice>
          <mc:Fallback>
            <w:pict>
              <v:shape style="position:absolute;margin-left:196.889877pt;margin-top:-52.164738pt;width:10.050pt;height:34.25pt;mso-position-horizontal-relative:page;mso-position-vertical-relative:paragraph;z-index:15827456" type="#_x0000_t202" id="docshape1558"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0"/>
                          <w:sz w:val="14"/>
                        </w:rPr>
                        <w:t>Maharashtra</w:t>
                      </w:r>
                    </w:p>
                  </w:txbxContent>
                </v:textbox>
                <w10:wrap type="none"/>
              </v:shape>
            </w:pict>
          </mc:Fallback>
        </mc:AlternateContent>
      </w:r>
      <w:r>
        <w:rPr/>
        <mc:AlternateContent>
          <mc:Choice Requires="wps">
            <w:drawing>
              <wp:anchor distT="0" distB="0" distL="0" distR="0" allowOverlap="1" layoutInCell="1" locked="0" behindDoc="0" simplePos="0" relativeHeight="15827968">
                <wp:simplePos x="0" y="0"/>
                <wp:positionH relativeFrom="page">
                  <wp:posOffset>2754501</wp:posOffset>
                </wp:positionH>
                <wp:positionV relativeFrom="paragraph">
                  <wp:posOffset>-662528</wp:posOffset>
                </wp:positionV>
                <wp:extent cx="127635" cy="264795"/>
                <wp:effectExtent l="0" t="0" r="0" b="0"/>
                <wp:wrapNone/>
                <wp:docPr id="1572" name="Textbox 1572"/>
                <wp:cNvGraphicFramePr>
                  <a:graphicFrameLocks/>
                </wp:cNvGraphicFramePr>
                <a:graphic>
                  <a:graphicData uri="http://schemas.microsoft.com/office/word/2010/wordprocessingShape">
                    <wps:wsp>
                      <wps:cNvPr id="1572" name="Textbox 1572"/>
                      <wps:cNvSpPr txBox="1"/>
                      <wps:spPr>
                        <a:xfrm>
                          <a:off x="0" y="0"/>
                          <a:ext cx="127635" cy="264795"/>
                        </a:xfrm>
                        <a:prstGeom prst="rect">
                          <a:avLst/>
                        </a:prstGeom>
                      </wps:spPr>
                      <wps:txbx>
                        <w:txbxContent>
                          <w:p>
                            <w:pPr>
                              <w:spacing w:before="19"/>
                              <w:ind w:left="20" w:right="0" w:firstLine="0"/>
                              <w:jc w:val="left"/>
                              <w:rPr>
                                <w:rFonts w:ascii="Arial MT"/>
                                <w:sz w:val="14"/>
                              </w:rPr>
                            </w:pPr>
                            <w:r>
                              <w:rPr>
                                <w:rFonts w:ascii="Arial MT"/>
                                <w:spacing w:val="-2"/>
                                <w:w w:val="85"/>
                                <w:sz w:val="14"/>
                              </w:rPr>
                              <w:t>Gujarat</w:t>
                            </w:r>
                          </w:p>
                        </w:txbxContent>
                      </wps:txbx>
                      <wps:bodyPr wrap="square" lIns="0" tIns="0" rIns="0" bIns="0" rtlCol="0" vert="vert270">
                        <a:noAutofit/>
                      </wps:bodyPr>
                    </wps:wsp>
                  </a:graphicData>
                </a:graphic>
              </wp:anchor>
            </w:drawing>
          </mc:Choice>
          <mc:Fallback>
            <w:pict>
              <v:shape style="position:absolute;margin-left:216.889877pt;margin-top:-52.16761pt;width:10.050pt;height:20.85pt;mso-position-horizontal-relative:page;mso-position-vertical-relative:paragraph;z-index:15827968" type="#_x0000_t202" id="docshape1559"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Gujarat</w:t>
                      </w:r>
                    </w:p>
                  </w:txbxContent>
                </v:textbox>
                <w10:wrap type="none"/>
              </v:shape>
            </w:pict>
          </mc:Fallback>
        </mc:AlternateContent>
      </w:r>
      <w:r>
        <w:rPr/>
        <mc:AlternateContent>
          <mc:Choice Requires="wps">
            <w:drawing>
              <wp:anchor distT="0" distB="0" distL="0" distR="0" allowOverlap="1" layoutInCell="1" locked="0" behindDoc="0" simplePos="0" relativeHeight="15828480">
                <wp:simplePos x="0" y="0"/>
                <wp:positionH relativeFrom="page">
                  <wp:posOffset>2995801</wp:posOffset>
                </wp:positionH>
                <wp:positionV relativeFrom="paragraph">
                  <wp:posOffset>-662488</wp:posOffset>
                </wp:positionV>
                <wp:extent cx="127635" cy="437515"/>
                <wp:effectExtent l="0" t="0" r="0" b="0"/>
                <wp:wrapNone/>
                <wp:docPr id="1573" name="Textbox 1573"/>
                <wp:cNvGraphicFramePr>
                  <a:graphicFrameLocks/>
                </wp:cNvGraphicFramePr>
                <a:graphic>
                  <a:graphicData uri="http://schemas.microsoft.com/office/word/2010/wordprocessingShape">
                    <wps:wsp>
                      <wps:cNvPr id="1573" name="Textbox 1573"/>
                      <wps:cNvSpPr txBox="1"/>
                      <wps:spPr>
                        <a:xfrm>
                          <a:off x="0" y="0"/>
                          <a:ext cx="127635" cy="437515"/>
                        </a:xfrm>
                        <a:prstGeom prst="rect">
                          <a:avLst/>
                        </a:prstGeom>
                      </wps:spPr>
                      <wps:txbx>
                        <w:txbxContent>
                          <w:p>
                            <w:pPr>
                              <w:spacing w:before="19"/>
                              <w:ind w:left="20" w:right="0" w:firstLine="0"/>
                              <w:jc w:val="left"/>
                              <w:rPr>
                                <w:rFonts w:ascii="Arial MT"/>
                                <w:sz w:val="14"/>
                              </w:rPr>
                            </w:pPr>
                            <w:r>
                              <w:rPr>
                                <w:rFonts w:ascii="Arial MT"/>
                                <w:w w:val="80"/>
                                <w:sz w:val="14"/>
                              </w:rPr>
                              <w:t>West</w:t>
                            </w:r>
                            <w:r>
                              <w:rPr>
                                <w:rFonts w:ascii="Arial MT"/>
                                <w:spacing w:val="-4"/>
                                <w:sz w:val="14"/>
                              </w:rPr>
                              <w:t> </w:t>
                            </w:r>
                            <w:r>
                              <w:rPr>
                                <w:rFonts w:ascii="Arial MT"/>
                                <w:spacing w:val="-2"/>
                                <w:w w:val="85"/>
                                <w:sz w:val="14"/>
                              </w:rPr>
                              <w:t>Bengal</w:t>
                            </w:r>
                          </w:p>
                        </w:txbxContent>
                      </wps:txbx>
                      <wps:bodyPr wrap="square" lIns="0" tIns="0" rIns="0" bIns="0" rtlCol="0" vert="vert270">
                        <a:noAutofit/>
                      </wps:bodyPr>
                    </wps:wsp>
                  </a:graphicData>
                </a:graphic>
              </wp:anchor>
            </w:drawing>
          </mc:Choice>
          <mc:Fallback>
            <w:pict>
              <v:shape style="position:absolute;margin-left:235.889908pt;margin-top:-52.164417pt;width:10.050pt;height:34.450pt;mso-position-horizontal-relative:page;mso-position-vertical-relative:paragraph;z-index:15828480" type="#_x0000_t202" id="docshape1560"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West</w:t>
                      </w:r>
                      <w:r>
                        <w:rPr>
                          <w:rFonts w:ascii="Arial MT"/>
                          <w:spacing w:val="-4"/>
                          <w:sz w:val="14"/>
                        </w:rPr>
                        <w:t> </w:t>
                      </w:r>
                      <w:r>
                        <w:rPr>
                          <w:rFonts w:ascii="Arial MT"/>
                          <w:spacing w:val="-2"/>
                          <w:w w:val="85"/>
                          <w:sz w:val="14"/>
                        </w:rPr>
                        <w:t>Bengal</w:t>
                      </w:r>
                    </w:p>
                  </w:txbxContent>
                </v:textbox>
                <w10:wrap type="none"/>
              </v:shape>
            </w:pict>
          </mc:Fallback>
        </mc:AlternateContent>
      </w:r>
      <w:r>
        <w:rPr/>
        <mc:AlternateContent>
          <mc:Choice Requires="wps">
            <w:drawing>
              <wp:anchor distT="0" distB="0" distL="0" distR="0" allowOverlap="1" layoutInCell="1" locked="0" behindDoc="0" simplePos="0" relativeHeight="15828992">
                <wp:simplePos x="0" y="0"/>
                <wp:positionH relativeFrom="page">
                  <wp:posOffset>3243451</wp:posOffset>
                </wp:positionH>
                <wp:positionV relativeFrom="paragraph">
                  <wp:posOffset>-662489</wp:posOffset>
                </wp:positionV>
                <wp:extent cx="127635" cy="565150"/>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127635" cy="565150"/>
                        </a:xfrm>
                        <a:prstGeom prst="rect">
                          <a:avLst/>
                        </a:prstGeom>
                      </wps:spPr>
                      <wps:txbx>
                        <w:txbxContent>
                          <w:p>
                            <w:pPr>
                              <w:spacing w:before="19"/>
                              <w:ind w:left="20" w:right="0" w:firstLine="0"/>
                              <w:jc w:val="left"/>
                              <w:rPr>
                                <w:rFonts w:ascii="Arial MT"/>
                                <w:sz w:val="14"/>
                              </w:rPr>
                            </w:pPr>
                            <w:r>
                              <w:rPr>
                                <w:rFonts w:ascii="Arial MT"/>
                                <w:spacing w:val="-2"/>
                                <w:w w:val="80"/>
                                <w:sz w:val="14"/>
                              </w:rPr>
                              <w:t>Madhya</w:t>
                            </w:r>
                            <w:r>
                              <w:rPr>
                                <w:rFonts w:ascii="Arial MT"/>
                                <w:spacing w:val="1"/>
                                <w:sz w:val="14"/>
                              </w:rPr>
                              <w:t> </w:t>
                            </w:r>
                            <w:r>
                              <w:rPr>
                                <w:rFonts w:ascii="Arial MT"/>
                                <w:spacing w:val="-2"/>
                                <w:w w:val="85"/>
                                <w:sz w:val="14"/>
                              </w:rPr>
                              <w:t>Pradesh</w:t>
                            </w:r>
                          </w:p>
                        </w:txbxContent>
                      </wps:txbx>
                      <wps:bodyPr wrap="square" lIns="0" tIns="0" rIns="0" bIns="0" rtlCol="0" vert="vert270">
                        <a:noAutofit/>
                      </wps:bodyPr>
                    </wps:wsp>
                  </a:graphicData>
                </a:graphic>
              </wp:anchor>
            </w:drawing>
          </mc:Choice>
          <mc:Fallback>
            <w:pict>
              <v:shape style="position:absolute;margin-left:255.389877pt;margin-top:-52.164551pt;width:10.050pt;height:44.5pt;mso-position-horizontal-relative:page;mso-position-vertical-relative:paragraph;z-index:15828992" type="#_x0000_t202" id="docshape1561"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0"/>
                          <w:sz w:val="14"/>
                        </w:rPr>
                        <w:t>Madhya</w:t>
                      </w:r>
                      <w:r>
                        <w:rPr>
                          <w:rFonts w:ascii="Arial MT"/>
                          <w:spacing w:val="1"/>
                          <w:sz w:val="14"/>
                        </w:rPr>
                        <w:t> </w:t>
                      </w:r>
                      <w:r>
                        <w:rPr>
                          <w:rFonts w:ascii="Arial MT"/>
                          <w:spacing w:val="-2"/>
                          <w:w w:val="85"/>
                          <w:sz w:val="14"/>
                        </w:rPr>
                        <w:t>Pradesh</w:t>
                      </w:r>
                    </w:p>
                  </w:txbxContent>
                </v:textbox>
                <w10:wrap type="none"/>
              </v:shape>
            </w:pict>
          </mc:Fallback>
        </mc:AlternateContent>
      </w:r>
      <w:r>
        <w:rPr/>
        <mc:AlternateContent>
          <mc:Choice Requires="wps">
            <w:drawing>
              <wp:anchor distT="0" distB="0" distL="0" distR="0" allowOverlap="1" layoutInCell="1" locked="0" behindDoc="0" simplePos="0" relativeHeight="15829504">
                <wp:simplePos x="0" y="0"/>
                <wp:positionH relativeFrom="page">
                  <wp:posOffset>3472051</wp:posOffset>
                </wp:positionH>
                <wp:positionV relativeFrom="paragraph">
                  <wp:posOffset>-662516</wp:posOffset>
                </wp:positionV>
                <wp:extent cx="127635" cy="236220"/>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127635" cy="236220"/>
                        </a:xfrm>
                        <a:prstGeom prst="rect">
                          <a:avLst/>
                        </a:prstGeom>
                      </wps:spPr>
                      <wps:txbx>
                        <w:txbxContent>
                          <w:p>
                            <w:pPr>
                              <w:spacing w:before="19"/>
                              <w:ind w:left="20" w:right="0" w:firstLine="0"/>
                              <w:jc w:val="left"/>
                              <w:rPr>
                                <w:rFonts w:ascii="Arial MT"/>
                                <w:sz w:val="14"/>
                              </w:rPr>
                            </w:pPr>
                            <w:r>
                              <w:rPr>
                                <w:rFonts w:ascii="Arial MT"/>
                                <w:spacing w:val="-2"/>
                                <w:w w:val="85"/>
                                <w:sz w:val="14"/>
                              </w:rPr>
                              <w:t>Kerala</w:t>
                            </w:r>
                          </w:p>
                        </w:txbxContent>
                      </wps:txbx>
                      <wps:bodyPr wrap="square" lIns="0" tIns="0" rIns="0" bIns="0" rtlCol="0" vert="vert270">
                        <a:noAutofit/>
                      </wps:bodyPr>
                    </wps:wsp>
                  </a:graphicData>
                </a:graphic>
              </wp:anchor>
            </w:drawing>
          </mc:Choice>
          <mc:Fallback>
            <w:pict>
              <v:shape style="position:absolute;margin-left:273.389893pt;margin-top:-52.166653pt;width:10.050pt;height:18.6pt;mso-position-horizontal-relative:page;mso-position-vertical-relative:paragraph;z-index:15829504" type="#_x0000_t202" id="docshape1562"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Kerala</w:t>
                      </w:r>
                    </w:p>
                  </w:txbxContent>
                </v:textbox>
                <w10:wrap type="none"/>
              </v:shape>
            </w:pict>
          </mc:Fallback>
        </mc:AlternateContent>
      </w:r>
      <w:r>
        <w:rPr/>
        <mc:AlternateContent>
          <mc:Choice Requires="wps">
            <w:drawing>
              <wp:anchor distT="0" distB="0" distL="0" distR="0" allowOverlap="1" layoutInCell="1" locked="0" behindDoc="0" simplePos="0" relativeHeight="15830016">
                <wp:simplePos x="0" y="0"/>
                <wp:positionH relativeFrom="page">
                  <wp:posOffset>3713351</wp:posOffset>
                </wp:positionH>
                <wp:positionV relativeFrom="paragraph">
                  <wp:posOffset>-662501</wp:posOffset>
                </wp:positionV>
                <wp:extent cx="127635" cy="358140"/>
                <wp:effectExtent l="0" t="0" r="0" b="0"/>
                <wp:wrapNone/>
                <wp:docPr id="1576" name="Textbox 1576"/>
                <wp:cNvGraphicFramePr>
                  <a:graphicFrameLocks/>
                </wp:cNvGraphicFramePr>
                <a:graphic>
                  <a:graphicData uri="http://schemas.microsoft.com/office/word/2010/wordprocessingShape">
                    <wps:wsp>
                      <wps:cNvPr id="1576" name="Textbox 1576"/>
                      <wps:cNvSpPr txBox="1"/>
                      <wps:spPr>
                        <a:xfrm>
                          <a:off x="0" y="0"/>
                          <a:ext cx="127635" cy="358140"/>
                        </a:xfrm>
                        <a:prstGeom prst="rect">
                          <a:avLst/>
                        </a:prstGeom>
                      </wps:spPr>
                      <wps:txbx>
                        <w:txbxContent>
                          <w:p>
                            <w:pPr>
                              <w:spacing w:before="19"/>
                              <w:ind w:left="20" w:right="0" w:firstLine="0"/>
                              <w:jc w:val="left"/>
                              <w:rPr>
                                <w:rFonts w:ascii="Arial MT"/>
                                <w:sz w:val="14"/>
                              </w:rPr>
                            </w:pPr>
                            <w:r>
                              <w:rPr>
                                <w:rFonts w:ascii="Arial MT"/>
                                <w:spacing w:val="-2"/>
                                <w:w w:val="85"/>
                                <w:sz w:val="14"/>
                              </w:rPr>
                              <w:t>Karnataka</w:t>
                            </w:r>
                          </w:p>
                        </w:txbxContent>
                      </wps:txbx>
                      <wps:bodyPr wrap="square" lIns="0" tIns="0" rIns="0" bIns="0" rtlCol="0" vert="vert270">
                        <a:noAutofit/>
                      </wps:bodyPr>
                    </wps:wsp>
                  </a:graphicData>
                </a:graphic>
              </wp:anchor>
            </w:drawing>
          </mc:Choice>
          <mc:Fallback>
            <w:pict>
              <v:shape style="position:absolute;margin-left:292.389893pt;margin-top:-52.165501pt;width:10.050pt;height:28.2pt;mso-position-horizontal-relative:page;mso-position-vertical-relative:paragraph;z-index:15830016" type="#_x0000_t202" id="docshape1563"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Karnataka</w:t>
                      </w:r>
                    </w:p>
                  </w:txbxContent>
                </v:textbox>
                <w10:wrap type="none"/>
              </v:shape>
            </w:pict>
          </mc:Fallback>
        </mc:AlternateContent>
      </w:r>
      <w:r>
        <w:rPr/>
        <mc:AlternateContent>
          <mc:Choice Requires="wps">
            <w:drawing>
              <wp:anchor distT="0" distB="0" distL="0" distR="0" allowOverlap="1" layoutInCell="1" locked="0" behindDoc="0" simplePos="0" relativeHeight="15830528">
                <wp:simplePos x="0" y="0"/>
                <wp:positionH relativeFrom="page">
                  <wp:posOffset>3961001</wp:posOffset>
                </wp:positionH>
                <wp:positionV relativeFrom="paragraph">
                  <wp:posOffset>-662528</wp:posOffset>
                </wp:positionV>
                <wp:extent cx="127635" cy="264795"/>
                <wp:effectExtent l="0" t="0" r="0" b="0"/>
                <wp:wrapNone/>
                <wp:docPr id="1577" name="Textbox 1577"/>
                <wp:cNvGraphicFramePr>
                  <a:graphicFrameLocks/>
                </wp:cNvGraphicFramePr>
                <a:graphic>
                  <a:graphicData uri="http://schemas.microsoft.com/office/word/2010/wordprocessingShape">
                    <wps:wsp>
                      <wps:cNvPr id="1577" name="Textbox 1577"/>
                      <wps:cNvSpPr txBox="1"/>
                      <wps:spPr>
                        <a:xfrm>
                          <a:off x="0" y="0"/>
                          <a:ext cx="127635" cy="264795"/>
                        </a:xfrm>
                        <a:prstGeom prst="rect">
                          <a:avLst/>
                        </a:prstGeom>
                      </wps:spPr>
                      <wps:txbx>
                        <w:txbxContent>
                          <w:p>
                            <w:pPr>
                              <w:spacing w:before="19"/>
                              <w:ind w:left="20" w:right="0" w:firstLine="0"/>
                              <w:jc w:val="left"/>
                              <w:rPr>
                                <w:rFonts w:ascii="Arial MT"/>
                                <w:sz w:val="14"/>
                              </w:rPr>
                            </w:pPr>
                            <w:r>
                              <w:rPr>
                                <w:rFonts w:ascii="Arial MT"/>
                                <w:spacing w:val="-2"/>
                                <w:w w:val="85"/>
                                <w:sz w:val="14"/>
                              </w:rPr>
                              <w:t>Gujarat</w:t>
                            </w:r>
                          </w:p>
                        </w:txbxContent>
                      </wps:txbx>
                      <wps:bodyPr wrap="square" lIns="0" tIns="0" rIns="0" bIns="0" rtlCol="0" vert="vert270">
                        <a:noAutofit/>
                      </wps:bodyPr>
                    </wps:wsp>
                  </a:graphicData>
                </a:graphic>
              </wp:anchor>
            </w:drawing>
          </mc:Choice>
          <mc:Fallback>
            <w:pict>
              <v:shape style="position:absolute;margin-left:311.889893pt;margin-top:-52.16761pt;width:10.050pt;height:20.85pt;mso-position-horizontal-relative:page;mso-position-vertical-relative:paragraph;z-index:15830528" type="#_x0000_t202" id="docshape1564"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Gujarat</w:t>
                      </w:r>
                    </w:p>
                  </w:txbxContent>
                </v:textbox>
                <w10:wrap type="none"/>
              </v:shape>
            </w:pict>
          </mc:Fallback>
        </mc:AlternateContent>
      </w:r>
      <w:r>
        <w:rPr/>
        <mc:AlternateContent>
          <mc:Choice Requires="wps">
            <w:drawing>
              <wp:anchor distT="0" distB="0" distL="0" distR="0" allowOverlap="1" layoutInCell="1" locked="0" behindDoc="0" simplePos="0" relativeHeight="15831040">
                <wp:simplePos x="0" y="0"/>
                <wp:positionH relativeFrom="page">
                  <wp:posOffset>4183251</wp:posOffset>
                </wp:positionH>
                <wp:positionV relativeFrom="paragraph">
                  <wp:posOffset>-662516</wp:posOffset>
                </wp:positionV>
                <wp:extent cx="127635" cy="236220"/>
                <wp:effectExtent l="0" t="0" r="0" b="0"/>
                <wp:wrapNone/>
                <wp:docPr id="1578" name="Textbox 1578"/>
                <wp:cNvGraphicFramePr>
                  <a:graphicFrameLocks/>
                </wp:cNvGraphicFramePr>
                <a:graphic>
                  <a:graphicData uri="http://schemas.microsoft.com/office/word/2010/wordprocessingShape">
                    <wps:wsp>
                      <wps:cNvPr id="1578" name="Textbox 1578"/>
                      <wps:cNvSpPr txBox="1"/>
                      <wps:spPr>
                        <a:xfrm>
                          <a:off x="0" y="0"/>
                          <a:ext cx="127635" cy="236220"/>
                        </a:xfrm>
                        <a:prstGeom prst="rect">
                          <a:avLst/>
                        </a:prstGeom>
                      </wps:spPr>
                      <wps:txbx>
                        <w:txbxContent>
                          <w:p>
                            <w:pPr>
                              <w:spacing w:before="19"/>
                              <w:ind w:left="20" w:right="0" w:firstLine="0"/>
                              <w:jc w:val="left"/>
                              <w:rPr>
                                <w:rFonts w:ascii="Arial MT"/>
                                <w:sz w:val="14"/>
                              </w:rPr>
                            </w:pPr>
                            <w:r>
                              <w:rPr>
                                <w:rFonts w:ascii="Arial MT"/>
                                <w:spacing w:val="-2"/>
                                <w:w w:val="85"/>
                                <w:sz w:val="14"/>
                              </w:rPr>
                              <w:t>Orissa</w:t>
                            </w:r>
                          </w:p>
                        </w:txbxContent>
                      </wps:txbx>
                      <wps:bodyPr wrap="square" lIns="0" tIns="0" rIns="0" bIns="0" rtlCol="0" vert="vert270">
                        <a:noAutofit/>
                      </wps:bodyPr>
                    </wps:wsp>
                  </a:graphicData>
                </a:graphic>
              </wp:anchor>
            </w:drawing>
          </mc:Choice>
          <mc:Fallback>
            <w:pict>
              <v:shape style="position:absolute;margin-left:329.389893pt;margin-top:-52.166653pt;width:10.050pt;height:18.6pt;mso-position-horizontal-relative:page;mso-position-vertical-relative:paragraph;z-index:15831040" type="#_x0000_t202" id="docshape1565"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Orissa</w:t>
                      </w:r>
                    </w:p>
                  </w:txbxContent>
                </v:textbox>
                <w10:wrap type="none"/>
              </v:shape>
            </w:pict>
          </mc:Fallback>
        </mc:AlternateContent>
      </w:r>
      <w:r>
        <w:rPr/>
        <mc:AlternateContent>
          <mc:Choice Requires="wps">
            <w:drawing>
              <wp:anchor distT="0" distB="0" distL="0" distR="0" allowOverlap="1" layoutInCell="1" locked="0" behindDoc="0" simplePos="0" relativeHeight="15831552">
                <wp:simplePos x="0" y="0"/>
                <wp:positionH relativeFrom="page">
                  <wp:posOffset>4462651</wp:posOffset>
                </wp:positionH>
                <wp:positionV relativeFrom="paragraph">
                  <wp:posOffset>-662501</wp:posOffset>
                </wp:positionV>
                <wp:extent cx="127635" cy="353695"/>
                <wp:effectExtent l="0" t="0" r="0" b="0"/>
                <wp:wrapNone/>
                <wp:docPr id="1579" name="Textbox 1579"/>
                <wp:cNvGraphicFramePr>
                  <a:graphicFrameLocks/>
                </wp:cNvGraphicFramePr>
                <a:graphic>
                  <a:graphicData uri="http://schemas.microsoft.com/office/word/2010/wordprocessingShape">
                    <wps:wsp>
                      <wps:cNvPr id="1579" name="Textbox 1579"/>
                      <wps:cNvSpPr txBox="1"/>
                      <wps:spPr>
                        <a:xfrm>
                          <a:off x="0" y="0"/>
                          <a:ext cx="127635" cy="353695"/>
                        </a:xfrm>
                        <a:prstGeom prst="rect">
                          <a:avLst/>
                        </a:prstGeom>
                      </wps:spPr>
                      <wps:txbx>
                        <w:txbxContent>
                          <w:p>
                            <w:pPr>
                              <w:spacing w:before="19"/>
                              <w:ind w:left="20" w:right="0" w:firstLine="0"/>
                              <w:jc w:val="left"/>
                              <w:rPr>
                                <w:rFonts w:ascii="Arial MT"/>
                                <w:sz w:val="14"/>
                              </w:rPr>
                            </w:pPr>
                            <w:r>
                              <w:rPr>
                                <w:rFonts w:ascii="Arial MT"/>
                                <w:spacing w:val="-2"/>
                                <w:w w:val="85"/>
                                <w:sz w:val="14"/>
                              </w:rPr>
                              <w:t>Rajasthan</w:t>
                            </w:r>
                          </w:p>
                        </w:txbxContent>
                      </wps:txbx>
                      <wps:bodyPr wrap="square" lIns="0" tIns="0" rIns="0" bIns="0" rtlCol="0" vert="vert270">
                        <a:noAutofit/>
                      </wps:bodyPr>
                    </wps:wsp>
                  </a:graphicData>
                </a:graphic>
              </wp:anchor>
            </w:drawing>
          </mc:Choice>
          <mc:Fallback>
            <w:pict>
              <v:shape style="position:absolute;margin-left:351.389893pt;margin-top:-52.165501pt;width:10.050pt;height:27.85pt;mso-position-horizontal-relative:page;mso-position-vertical-relative:paragraph;z-index:15831552" type="#_x0000_t202" id="docshape1566"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Rajasthan</w:t>
                      </w:r>
                    </w:p>
                  </w:txbxContent>
                </v:textbox>
                <w10:wrap type="none"/>
              </v:shape>
            </w:pict>
          </mc:Fallback>
        </mc:AlternateContent>
      </w:r>
      <w:r>
        <w:rPr/>
        <mc:AlternateContent>
          <mc:Choice Requires="wps">
            <w:drawing>
              <wp:anchor distT="0" distB="0" distL="0" distR="0" allowOverlap="1" layoutInCell="1" locked="0" behindDoc="0" simplePos="0" relativeHeight="15832064">
                <wp:simplePos x="0" y="0"/>
                <wp:positionH relativeFrom="page">
                  <wp:posOffset>4672201</wp:posOffset>
                </wp:positionH>
                <wp:positionV relativeFrom="paragraph">
                  <wp:posOffset>-662501</wp:posOffset>
                </wp:positionV>
                <wp:extent cx="127635" cy="366395"/>
                <wp:effectExtent l="0" t="0" r="0" b="0"/>
                <wp:wrapNone/>
                <wp:docPr id="1580" name="Textbox 1580"/>
                <wp:cNvGraphicFramePr>
                  <a:graphicFrameLocks/>
                </wp:cNvGraphicFramePr>
                <a:graphic>
                  <a:graphicData uri="http://schemas.microsoft.com/office/word/2010/wordprocessingShape">
                    <wps:wsp>
                      <wps:cNvPr id="1580" name="Textbox 1580"/>
                      <wps:cNvSpPr txBox="1"/>
                      <wps:spPr>
                        <a:xfrm>
                          <a:off x="0" y="0"/>
                          <a:ext cx="127635" cy="366395"/>
                        </a:xfrm>
                        <a:prstGeom prst="rect">
                          <a:avLst/>
                        </a:prstGeom>
                      </wps:spPr>
                      <wps:txbx>
                        <w:txbxContent>
                          <w:p>
                            <w:pPr>
                              <w:spacing w:before="19"/>
                              <w:ind w:left="20" w:right="0" w:firstLine="0"/>
                              <w:jc w:val="left"/>
                              <w:rPr>
                                <w:rFonts w:ascii="Arial MT"/>
                                <w:sz w:val="14"/>
                              </w:rPr>
                            </w:pPr>
                            <w:r>
                              <w:rPr>
                                <w:rFonts w:ascii="Arial MT"/>
                                <w:spacing w:val="-2"/>
                                <w:w w:val="85"/>
                                <w:sz w:val="14"/>
                              </w:rPr>
                              <w:t>Jharkhand</w:t>
                            </w:r>
                          </w:p>
                        </w:txbxContent>
                      </wps:txbx>
                      <wps:bodyPr wrap="square" lIns="0" tIns="0" rIns="0" bIns="0" rtlCol="0" vert="vert270">
                        <a:noAutofit/>
                      </wps:bodyPr>
                    </wps:wsp>
                  </a:graphicData>
                </a:graphic>
              </wp:anchor>
            </w:drawing>
          </mc:Choice>
          <mc:Fallback>
            <w:pict>
              <v:shape style="position:absolute;margin-left:367.889893pt;margin-top:-52.165501pt;width:10.050pt;height:28.85pt;mso-position-horizontal-relative:page;mso-position-vertical-relative:paragraph;z-index:15832064" type="#_x0000_t202" id="docshape1567"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Jharkhand</w:t>
                      </w:r>
                    </w:p>
                  </w:txbxContent>
                </v:textbox>
                <w10:wrap type="none"/>
              </v:shape>
            </w:pict>
          </mc:Fallback>
        </mc:AlternateContent>
      </w:r>
      <w:r>
        <w:rPr/>
        <mc:AlternateContent>
          <mc:Choice Requires="wps">
            <w:drawing>
              <wp:anchor distT="0" distB="0" distL="0" distR="0" allowOverlap="1" layoutInCell="1" locked="0" behindDoc="0" simplePos="0" relativeHeight="15832576">
                <wp:simplePos x="0" y="0"/>
                <wp:positionH relativeFrom="page">
                  <wp:posOffset>4919851</wp:posOffset>
                </wp:positionH>
                <wp:positionV relativeFrom="paragraph">
                  <wp:posOffset>-662487</wp:posOffset>
                </wp:positionV>
                <wp:extent cx="127635" cy="438784"/>
                <wp:effectExtent l="0" t="0" r="0" b="0"/>
                <wp:wrapNone/>
                <wp:docPr id="1581" name="Textbox 1581"/>
                <wp:cNvGraphicFramePr>
                  <a:graphicFrameLocks/>
                </wp:cNvGraphicFramePr>
                <a:graphic>
                  <a:graphicData uri="http://schemas.microsoft.com/office/word/2010/wordprocessingShape">
                    <wps:wsp>
                      <wps:cNvPr id="1581" name="Textbox 1581"/>
                      <wps:cNvSpPr txBox="1"/>
                      <wps:spPr>
                        <a:xfrm>
                          <a:off x="0" y="0"/>
                          <a:ext cx="127635" cy="438784"/>
                        </a:xfrm>
                        <a:prstGeom prst="rect">
                          <a:avLst/>
                        </a:prstGeom>
                      </wps:spPr>
                      <wps:txbx>
                        <w:txbxContent>
                          <w:p>
                            <w:pPr>
                              <w:spacing w:before="19"/>
                              <w:ind w:left="20" w:right="0" w:firstLine="0"/>
                              <w:jc w:val="left"/>
                              <w:rPr>
                                <w:rFonts w:ascii="Arial MT"/>
                                <w:sz w:val="14"/>
                              </w:rPr>
                            </w:pPr>
                            <w:r>
                              <w:rPr>
                                <w:rFonts w:ascii="Arial MT"/>
                                <w:spacing w:val="-2"/>
                                <w:w w:val="80"/>
                                <w:sz w:val="14"/>
                              </w:rPr>
                              <w:t>Chhattisgarh</w:t>
                            </w:r>
                          </w:p>
                        </w:txbxContent>
                      </wps:txbx>
                      <wps:bodyPr wrap="square" lIns="0" tIns="0" rIns="0" bIns="0" rtlCol="0" vert="vert270">
                        <a:noAutofit/>
                      </wps:bodyPr>
                    </wps:wsp>
                  </a:graphicData>
                </a:graphic>
              </wp:anchor>
            </w:drawing>
          </mc:Choice>
          <mc:Fallback>
            <w:pict>
              <v:shape style="position:absolute;margin-left:387.389893pt;margin-top:-52.164352pt;width:10.050pt;height:34.550pt;mso-position-horizontal-relative:page;mso-position-vertical-relative:paragraph;z-index:15832576" type="#_x0000_t202" id="docshape1568"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0"/>
                          <w:sz w:val="14"/>
                        </w:rPr>
                        <w:t>Chhattisgarh</w:t>
                      </w:r>
                    </w:p>
                  </w:txbxContent>
                </v:textbox>
                <w10:wrap type="none"/>
              </v:shape>
            </w:pict>
          </mc:Fallback>
        </mc:AlternateContent>
      </w:r>
      <w:r>
        <w:rPr/>
        <mc:AlternateContent>
          <mc:Choice Requires="wps">
            <w:drawing>
              <wp:anchor distT="0" distB="0" distL="0" distR="0" allowOverlap="1" layoutInCell="1" locked="0" behindDoc="0" simplePos="0" relativeHeight="15833088">
                <wp:simplePos x="0" y="0"/>
                <wp:positionH relativeFrom="page">
                  <wp:posOffset>5154801</wp:posOffset>
                </wp:positionH>
                <wp:positionV relativeFrom="paragraph">
                  <wp:posOffset>-662516</wp:posOffset>
                </wp:positionV>
                <wp:extent cx="127635" cy="252729"/>
                <wp:effectExtent l="0" t="0" r="0" b="0"/>
                <wp:wrapNone/>
                <wp:docPr id="1582" name="Textbox 1582"/>
                <wp:cNvGraphicFramePr>
                  <a:graphicFrameLocks/>
                </wp:cNvGraphicFramePr>
                <a:graphic>
                  <a:graphicData uri="http://schemas.microsoft.com/office/word/2010/wordprocessingShape">
                    <wps:wsp>
                      <wps:cNvPr id="1582" name="Textbox 1582"/>
                      <wps:cNvSpPr txBox="1"/>
                      <wps:spPr>
                        <a:xfrm>
                          <a:off x="0" y="0"/>
                          <a:ext cx="127635" cy="252729"/>
                        </a:xfrm>
                        <a:prstGeom prst="rect">
                          <a:avLst/>
                        </a:prstGeom>
                      </wps:spPr>
                      <wps:txbx>
                        <w:txbxContent>
                          <w:p>
                            <w:pPr>
                              <w:spacing w:before="19"/>
                              <w:ind w:left="20" w:right="0" w:firstLine="0"/>
                              <w:jc w:val="left"/>
                              <w:rPr>
                                <w:rFonts w:ascii="Arial MT"/>
                                <w:sz w:val="14"/>
                              </w:rPr>
                            </w:pPr>
                            <w:r>
                              <w:rPr>
                                <w:rFonts w:ascii="Arial MT"/>
                                <w:spacing w:val="-2"/>
                                <w:w w:val="85"/>
                                <w:sz w:val="14"/>
                              </w:rPr>
                              <w:t>Punjab</w:t>
                            </w:r>
                          </w:p>
                        </w:txbxContent>
                      </wps:txbx>
                      <wps:bodyPr wrap="square" lIns="0" tIns="0" rIns="0" bIns="0" rtlCol="0" vert="vert270">
                        <a:noAutofit/>
                      </wps:bodyPr>
                    </wps:wsp>
                  </a:graphicData>
                </a:graphic>
              </wp:anchor>
            </w:drawing>
          </mc:Choice>
          <mc:Fallback>
            <w:pict>
              <v:shape style="position:absolute;margin-left:405.889893pt;margin-top:-52.166649pt;width:10.050pt;height:19.9pt;mso-position-horizontal-relative:page;mso-position-vertical-relative:paragraph;z-index:15833088" type="#_x0000_t202" id="docshape1569"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Punjab</w:t>
                      </w:r>
                    </w:p>
                  </w:txbxContent>
                </v:textbox>
                <w10:wrap type="none"/>
              </v:shape>
            </w:pict>
          </mc:Fallback>
        </mc:AlternateContent>
      </w:r>
      <w:r>
        <w:rPr/>
        <mc:AlternateContent>
          <mc:Choice Requires="wps">
            <w:drawing>
              <wp:anchor distT="0" distB="0" distL="0" distR="0" allowOverlap="1" layoutInCell="1" locked="0" behindDoc="0" simplePos="0" relativeHeight="15833600">
                <wp:simplePos x="0" y="0"/>
                <wp:positionH relativeFrom="page">
                  <wp:posOffset>5434201</wp:posOffset>
                </wp:positionH>
                <wp:positionV relativeFrom="paragraph">
                  <wp:posOffset>-662498</wp:posOffset>
                </wp:positionV>
                <wp:extent cx="127635" cy="248285"/>
                <wp:effectExtent l="0" t="0" r="0" b="0"/>
                <wp:wrapNone/>
                <wp:docPr id="1583" name="Textbox 1583"/>
                <wp:cNvGraphicFramePr>
                  <a:graphicFrameLocks/>
                </wp:cNvGraphicFramePr>
                <a:graphic>
                  <a:graphicData uri="http://schemas.microsoft.com/office/word/2010/wordprocessingShape">
                    <wps:wsp>
                      <wps:cNvPr id="1583" name="Textbox 1583"/>
                      <wps:cNvSpPr txBox="1"/>
                      <wps:spPr>
                        <a:xfrm>
                          <a:off x="0" y="0"/>
                          <a:ext cx="127635" cy="248285"/>
                        </a:xfrm>
                        <a:prstGeom prst="rect">
                          <a:avLst/>
                        </a:prstGeom>
                      </wps:spPr>
                      <wps:txbx>
                        <w:txbxContent>
                          <w:p>
                            <w:pPr>
                              <w:spacing w:before="19"/>
                              <w:ind w:left="20" w:right="0" w:firstLine="0"/>
                              <w:jc w:val="left"/>
                              <w:rPr>
                                <w:rFonts w:ascii="Arial MT"/>
                                <w:sz w:val="14"/>
                              </w:rPr>
                            </w:pPr>
                            <w:r>
                              <w:rPr>
                                <w:rFonts w:ascii="Arial MT"/>
                                <w:spacing w:val="-2"/>
                                <w:w w:val="85"/>
                                <w:sz w:val="14"/>
                              </w:rPr>
                              <w:t>Assam</w:t>
                            </w:r>
                          </w:p>
                        </w:txbxContent>
                      </wps:txbx>
                      <wps:bodyPr wrap="square" lIns="0" tIns="0" rIns="0" bIns="0" rtlCol="0" vert="vert270">
                        <a:noAutofit/>
                      </wps:bodyPr>
                    </wps:wsp>
                  </a:graphicData>
                </a:graphic>
              </wp:anchor>
            </w:drawing>
          </mc:Choice>
          <mc:Fallback>
            <w:pict>
              <v:shape style="position:absolute;margin-left:427.889893pt;margin-top:-52.165249pt;width:10.050pt;height:19.55pt;mso-position-horizontal-relative:page;mso-position-vertical-relative:paragraph;z-index:15833600" type="#_x0000_t202" id="docshape1570"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Assam</w:t>
                      </w:r>
                    </w:p>
                  </w:txbxContent>
                </v:textbox>
                <w10:wrap type="none"/>
              </v:shape>
            </w:pict>
          </mc:Fallback>
        </mc:AlternateContent>
      </w:r>
      <w:r>
        <w:rPr/>
        <mc:AlternateContent>
          <mc:Choice Requires="wps">
            <w:drawing>
              <wp:anchor distT="0" distB="0" distL="0" distR="0" allowOverlap="1" layoutInCell="1" locked="0" behindDoc="0" simplePos="0" relativeHeight="15834112">
                <wp:simplePos x="0" y="0"/>
                <wp:positionH relativeFrom="page">
                  <wp:posOffset>5662801</wp:posOffset>
                </wp:positionH>
                <wp:positionV relativeFrom="paragraph">
                  <wp:posOffset>-662511</wp:posOffset>
                </wp:positionV>
                <wp:extent cx="127635" cy="300990"/>
                <wp:effectExtent l="0" t="0" r="0" b="0"/>
                <wp:wrapNone/>
                <wp:docPr id="1584" name="Textbox 1584"/>
                <wp:cNvGraphicFramePr>
                  <a:graphicFrameLocks/>
                </wp:cNvGraphicFramePr>
                <a:graphic>
                  <a:graphicData uri="http://schemas.microsoft.com/office/word/2010/wordprocessingShape">
                    <wps:wsp>
                      <wps:cNvPr id="1584" name="Textbox 1584"/>
                      <wps:cNvSpPr txBox="1"/>
                      <wps:spPr>
                        <a:xfrm>
                          <a:off x="0" y="0"/>
                          <a:ext cx="127635" cy="300990"/>
                        </a:xfrm>
                        <a:prstGeom prst="rect">
                          <a:avLst/>
                        </a:prstGeom>
                      </wps:spPr>
                      <wps:txbx>
                        <w:txbxContent>
                          <w:p>
                            <w:pPr>
                              <w:spacing w:before="19"/>
                              <w:ind w:left="20" w:right="0" w:firstLine="0"/>
                              <w:jc w:val="left"/>
                              <w:rPr>
                                <w:rFonts w:ascii="Arial MT"/>
                                <w:sz w:val="14"/>
                              </w:rPr>
                            </w:pPr>
                            <w:r>
                              <w:rPr>
                                <w:rFonts w:ascii="Arial MT"/>
                                <w:spacing w:val="-2"/>
                                <w:w w:val="85"/>
                                <w:sz w:val="14"/>
                              </w:rPr>
                              <w:t>Haryana</w:t>
                            </w:r>
                          </w:p>
                        </w:txbxContent>
                      </wps:txbx>
                      <wps:bodyPr wrap="square" lIns="0" tIns="0" rIns="0" bIns="0" rtlCol="0" vert="vert270">
                        <a:noAutofit/>
                      </wps:bodyPr>
                    </wps:wsp>
                  </a:graphicData>
                </a:graphic>
              </wp:anchor>
            </w:drawing>
          </mc:Choice>
          <mc:Fallback>
            <w:pict>
              <v:shape style="position:absolute;margin-left:445.889893pt;margin-top:-52.166267pt;width:10.050pt;height:23.7pt;mso-position-horizontal-relative:page;mso-position-vertical-relative:paragraph;z-index:15834112" type="#_x0000_t202" id="docshape1571"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Haryana</w:t>
                      </w:r>
                    </w:p>
                  </w:txbxContent>
                </v:textbox>
                <w10:wrap type="none"/>
              </v:shape>
            </w:pict>
          </mc:Fallback>
        </mc:AlternateContent>
      </w:r>
      <w:r>
        <w:rPr/>
        <mc:AlternateContent>
          <mc:Choice Requires="wps">
            <w:drawing>
              <wp:anchor distT="0" distB="0" distL="0" distR="0" allowOverlap="1" layoutInCell="1" locked="0" behindDoc="0" simplePos="0" relativeHeight="15834624">
                <wp:simplePos x="0" y="0"/>
                <wp:positionH relativeFrom="page">
                  <wp:posOffset>5923151</wp:posOffset>
                </wp:positionH>
                <wp:positionV relativeFrom="paragraph">
                  <wp:posOffset>-662578</wp:posOffset>
                </wp:positionV>
                <wp:extent cx="127635" cy="159385"/>
                <wp:effectExtent l="0" t="0" r="0" b="0"/>
                <wp:wrapNone/>
                <wp:docPr id="1585" name="Textbox 1585"/>
                <wp:cNvGraphicFramePr>
                  <a:graphicFrameLocks/>
                </wp:cNvGraphicFramePr>
                <a:graphic>
                  <a:graphicData uri="http://schemas.microsoft.com/office/word/2010/wordprocessingShape">
                    <wps:wsp>
                      <wps:cNvPr id="1585" name="Textbox 1585"/>
                      <wps:cNvSpPr txBox="1"/>
                      <wps:spPr>
                        <a:xfrm>
                          <a:off x="0" y="0"/>
                          <a:ext cx="127635" cy="159385"/>
                        </a:xfrm>
                        <a:prstGeom prst="rect">
                          <a:avLst/>
                        </a:prstGeom>
                      </wps:spPr>
                      <wps:txbx>
                        <w:txbxContent>
                          <w:p>
                            <w:pPr>
                              <w:spacing w:before="19"/>
                              <w:ind w:left="20" w:right="0" w:firstLine="0"/>
                              <w:jc w:val="left"/>
                              <w:rPr>
                                <w:rFonts w:ascii="Arial MT"/>
                                <w:sz w:val="14"/>
                              </w:rPr>
                            </w:pPr>
                            <w:r>
                              <w:rPr>
                                <w:rFonts w:ascii="Arial MT"/>
                                <w:spacing w:val="-5"/>
                                <w:w w:val="85"/>
                                <w:sz w:val="14"/>
                              </w:rPr>
                              <w:t>J&amp;K</w:t>
                            </w:r>
                          </w:p>
                        </w:txbxContent>
                      </wps:txbx>
                      <wps:bodyPr wrap="square" lIns="0" tIns="0" rIns="0" bIns="0" rtlCol="0" vert="vert270">
                        <a:noAutofit/>
                      </wps:bodyPr>
                    </wps:wsp>
                  </a:graphicData>
                </a:graphic>
              </wp:anchor>
            </w:drawing>
          </mc:Choice>
          <mc:Fallback>
            <w:pict>
              <v:shape style="position:absolute;margin-left:466.389893pt;margin-top:-52.171566pt;width:10.050pt;height:12.55pt;mso-position-horizontal-relative:page;mso-position-vertical-relative:paragraph;z-index:15834624" type="#_x0000_t202" id="docshape1572" filled="false" stroked="false">
                <v:textbox inset="0,0,0,0" style="layout-flow:vertical;mso-layout-flow-alt:bottom-to-top">
                  <w:txbxContent>
                    <w:p>
                      <w:pPr>
                        <w:spacing w:before="19"/>
                        <w:ind w:left="20" w:right="0" w:firstLine="0"/>
                        <w:jc w:val="left"/>
                        <w:rPr>
                          <w:rFonts w:ascii="Arial MT"/>
                          <w:sz w:val="14"/>
                        </w:rPr>
                      </w:pPr>
                      <w:r>
                        <w:rPr>
                          <w:rFonts w:ascii="Arial MT"/>
                          <w:spacing w:val="-5"/>
                          <w:w w:val="85"/>
                          <w:sz w:val="14"/>
                        </w:rPr>
                        <w:t>J&amp;K</w:t>
                      </w:r>
                    </w:p>
                  </w:txbxContent>
                </v:textbox>
                <w10:wrap type="none"/>
              </v:shape>
            </w:pict>
          </mc:Fallback>
        </mc:AlternateContent>
      </w:r>
      <w:r>
        <w:rPr>
          <w:i/>
          <w:spacing w:val="-2"/>
          <w:sz w:val="16"/>
        </w:rPr>
        <w:t>Source:</w:t>
      </w:r>
      <w:r>
        <w:rPr>
          <w:i/>
          <w:spacing w:val="-8"/>
          <w:sz w:val="16"/>
        </w:rPr>
        <w:t> </w:t>
      </w:r>
      <w:r>
        <w:rPr>
          <w:spacing w:val="-2"/>
          <w:sz w:val="16"/>
        </w:rPr>
        <w:t>University</w:t>
      </w:r>
      <w:r>
        <w:rPr>
          <w:spacing w:val="-7"/>
          <w:sz w:val="16"/>
        </w:rPr>
        <w:t> </w:t>
      </w:r>
      <w:r>
        <w:rPr>
          <w:spacing w:val="-2"/>
          <w:sz w:val="16"/>
        </w:rPr>
        <w:t>Development</w:t>
      </w:r>
      <w:r>
        <w:rPr>
          <w:spacing w:val="-7"/>
          <w:sz w:val="16"/>
        </w:rPr>
        <w:t> </w:t>
      </w:r>
      <w:r>
        <w:rPr>
          <w:spacing w:val="-2"/>
          <w:sz w:val="16"/>
        </w:rPr>
        <w:t>in</w:t>
      </w:r>
      <w:r>
        <w:rPr>
          <w:spacing w:val="-7"/>
          <w:sz w:val="16"/>
        </w:rPr>
        <w:t> </w:t>
      </w:r>
      <w:r>
        <w:rPr>
          <w:spacing w:val="-2"/>
          <w:sz w:val="16"/>
        </w:rPr>
        <w:t>India,</w:t>
      </w:r>
      <w:r>
        <w:rPr>
          <w:spacing w:val="-7"/>
          <w:sz w:val="16"/>
        </w:rPr>
        <w:t> </w:t>
      </w:r>
      <w:r>
        <w:rPr>
          <w:spacing w:val="-2"/>
          <w:sz w:val="16"/>
        </w:rPr>
        <w:t>1995-95</w:t>
      </w:r>
      <w:r>
        <w:rPr>
          <w:spacing w:val="-7"/>
          <w:sz w:val="16"/>
        </w:rPr>
        <w:t> </w:t>
      </w:r>
      <w:r>
        <w:rPr>
          <w:spacing w:val="-2"/>
          <w:sz w:val="16"/>
        </w:rPr>
        <w:t>to</w:t>
      </w:r>
      <w:r>
        <w:rPr>
          <w:spacing w:val="-8"/>
          <w:sz w:val="16"/>
        </w:rPr>
        <w:t> </w:t>
      </w:r>
      <w:r>
        <w:rPr>
          <w:spacing w:val="-2"/>
          <w:sz w:val="16"/>
        </w:rPr>
        <w:t>2000-01,</w:t>
      </w:r>
      <w:r>
        <w:rPr>
          <w:spacing w:val="-7"/>
          <w:sz w:val="16"/>
        </w:rPr>
        <w:t> </w:t>
      </w:r>
      <w:r>
        <w:rPr>
          <w:spacing w:val="-5"/>
          <w:sz w:val="16"/>
        </w:rPr>
        <w:t>UGC</w:t>
      </w:r>
    </w:p>
    <w:p>
      <w:pPr>
        <w:pStyle w:val="BodyText"/>
        <w:spacing w:before="19"/>
        <w:rPr>
          <w:sz w:val="24"/>
        </w:rPr>
      </w:pPr>
    </w:p>
    <w:p>
      <w:pPr>
        <w:pStyle w:val="Heading8"/>
        <w:spacing w:line="242" w:lineRule="auto"/>
        <w:ind w:left="3000" w:right="1944" w:hanging="1029"/>
      </w:pPr>
      <w:r>
        <w:rPr>
          <w:spacing w:val="-6"/>
        </w:rPr>
        <w:t>Figure</w:t>
      </w:r>
      <w:r>
        <w:rPr>
          <w:spacing w:val="-9"/>
        </w:rPr>
        <w:t> </w:t>
      </w:r>
      <w:r>
        <w:rPr>
          <w:spacing w:val="-6"/>
        </w:rPr>
        <w:t>24:</w:t>
      </w:r>
      <w:r>
        <w:rPr>
          <w:spacing w:val="-9"/>
        </w:rPr>
        <w:t> </w:t>
      </w:r>
      <w:r>
        <w:rPr>
          <w:color w:val="2E614A"/>
          <w:spacing w:val="-6"/>
        </w:rPr>
        <w:t>Science</w:t>
      </w:r>
      <w:r>
        <w:rPr>
          <w:color w:val="2E614A"/>
          <w:spacing w:val="-9"/>
        </w:rPr>
        <w:t> </w:t>
      </w:r>
      <w:r>
        <w:rPr>
          <w:color w:val="2E614A"/>
          <w:spacing w:val="-6"/>
        </w:rPr>
        <w:t>and</w:t>
      </w:r>
      <w:r>
        <w:rPr>
          <w:color w:val="2E614A"/>
          <w:spacing w:val="-9"/>
        </w:rPr>
        <w:t> </w:t>
      </w:r>
      <w:r>
        <w:rPr>
          <w:color w:val="2E614A"/>
          <w:spacing w:val="-6"/>
        </w:rPr>
        <w:t>engineering</w:t>
      </w:r>
      <w:r>
        <w:rPr>
          <w:color w:val="2E614A"/>
          <w:spacing w:val="-8"/>
        </w:rPr>
        <w:t> </w:t>
      </w:r>
      <w:r>
        <w:rPr>
          <w:color w:val="2E614A"/>
          <w:spacing w:val="-6"/>
        </w:rPr>
        <w:t>doctoral</w:t>
      </w:r>
      <w:r>
        <w:rPr>
          <w:color w:val="2E614A"/>
          <w:spacing w:val="-9"/>
        </w:rPr>
        <w:t> </w:t>
      </w:r>
      <w:r>
        <w:rPr>
          <w:color w:val="2E614A"/>
          <w:spacing w:val="-6"/>
        </w:rPr>
        <w:t>degrees</w:t>
      </w:r>
      <w:r>
        <w:rPr>
          <w:color w:val="2E614A"/>
          <w:spacing w:val="-9"/>
        </w:rPr>
        <w:t> </w:t>
      </w:r>
      <w:r>
        <w:rPr>
          <w:color w:val="2E614A"/>
          <w:spacing w:val="-6"/>
        </w:rPr>
        <w:t>as</w:t>
      </w:r>
      <w:r>
        <w:rPr>
          <w:color w:val="2E614A"/>
          <w:spacing w:val="-8"/>
        </w:rPr>
        <w:t> </w:t>
      </w:r>
      <w:r>
        <w:rPr>
          <w:color w:val="2E614A"/>
          <w:spacing w:val="-6"/>
        </w:rPr>
        <w:t>a</w:t>
      </w:r>
      <w:r>
        <w:rPr>
          <w:color w:val="2E614A"/>
          <w:spacing w:val="-9"/>
        </w:rPr>
        <w:t> </w:t>
      </w:r>
      <w:r>
        <w:rPr>
          <w:color w:val="2E614A"/>
          <w:spacing w:val="-6"/>
        </w:rPr>
        <w:t>percentage</w:t>
      </w:r>
      <w:r>
        <w:rPr>
          <w:color w:val="2E614A"/>
          <w:spacing w:val="-9"/>
        </w:rPr>
        <w:t> </w:t>
      </w:r>
      <w:r>
        <w:rPr>
          <w:color w:val="2E614A"/>
          <w:spacing w:val="-6"/>
        </w:rPr>
        <w:t>of</w:t>
      </w:r>
      <w:r>
        <w:rPr>
          <w:color w:val="2E614A"/>
          <w:spacing w:val="-8"/>
        </w:rPr>
        <w:t> </w:t>
      </w:r>
      <w:r>
        <w:rPr>
          <w:color w:val="2E614A"/>
          <w:spacing w:val="-6"/>
        </w:rPr>
        <w:t>all</w:t>
      </w:r>
      <w:r>
        <w:rPr>
          <w:color w:val="2E614A"/>
          <w:spacing w:val="-9"/>
        </w:rPr>
        <w:t> </w:t>
      </w:r>
      <w:r>
        <w:rPr>
          <w:color w:val="2E614A"/>
          <w:spacing w:val="-6"/>
        </w:rPr>
        <w:t>doctoral </w:t>
      </w:r>
      <w:r>
        <w:rPr>
          <w:color w:val="2E614A"/>
        </w:rPr>
        <w:t>degrees</w:t>
      </w:r>
      <w:r>
        <w:rPr>
          <w:color w:val="2E614A"/>
          <w:spacing w:val="-15"/>
        </w:rPr>
        <w:t> </w:t>
      </w:r>
      <w:r>
        <w:rPr>
          <w:color w:val="2E614A"/>
        </w:rPr>
        <w:t>in</w:t>
      </w:r>
      <w:r>
        <w:rPr>
          <w:color w:val="2E614A"/>
          <w:spacing w:val="-15"/>
        </w:rPr>
        <w:t> </w:t>
      </w:r>
      <w:r>
        <w:rPr>
          <w:color w:val="2E614A"/>
        </w:rPr>
        <w:t>selected</w:t>
      </w:r>
      <w:r>
        <w:rPr>
          <w:color w:val="2E614A"/>
          <w:spacing w:val="-15"/>
        </w:rPr>
        <w:t> </w:t>
      </w:r>
      <w:r>
        <w:rPr>
          <w:color w:val="2E614A"/>
        </w:rPr>
        <w:t>countries</w:t>
      </w:r>
    </w:p>
    <w:p>
      <w:pPr>
        <w:pStyle w:val="BodyText"/>
        <w:spacing w:before="3"/>
        <w:rPr>
          <w:b/>
          <w:sz w:val="12"/>
        </w:rPr>
      </w:pPr>
      <w:r>
        <w:rPr/>
        <mc:AlternateContent>
          <mc:Choice Requires="wps">
            <w:drawing>
              <wp:anchor distT="0" distB="0" distL="0" distR="0" allowOverlap="1" layoutInCell="1" locked="0" behindDoc="1" simplePos="0" relativeHeight="487684096">
                <wp:simplePos x="0" y="0"/>
                <wp:positionH relativeFrom="page">
                  <wp:posOffset>1249150</wp:posOffset>
                </wp:positionH>
                <wp:positionV relativeFrom="paragraph">
                  <wp:posOffset>104762</wp:posOffset>
                </wp:positionV>
                <wp:extent cx="5080000" cy="2286000"/>
                <wp:effectExtent l="0" t="0" r="0" b="0"/>
                <wp:wrapTopAndBottom/>
                <wp:docPr id="1586" name="Group 1586"/>
                <wp:cNvGraphicFramePr>
                  <a:graphicFrameLocks/>
                </wp:cNvGraphicFramePr>
                <a:graphic>
                  <a:graphicData uri="http://schemas.microsoft.com/office/word/2010/wordprocessingGroup">
                    <wpg:wgp>
                      <wpg:cNvPr id="1586" name="Group 1586"/>
                      <wpg:cNvGrpSpPr/>
                      <wpg:grpSpPr>
                        <a:xfrm>
                          <a:off x="0" y="0"/>
                          <a:ext cx="5080000" cy="2286000"/>
                          <a:chExt cx="5080000" cy="2286000"/>
                        </a:xfrm>
                      </wpg:grpSpPr>
                      <wps:wsp>
                        <wps:cNvPr id="1587" name="Graphic 1587"/>
                        <wps:cNvSpPr/>
                        <wps:spPr>
                          <a:xfrm>
                            <a:off x="555900" y="269976"/>
                            <a:ext cx="4215130" cy="1766570"/>
                          </a:xfrm>
                          <a:custGeom>
                            <a:avLst/>
                            <a:gdLst/>
                            <a:ahLst/>
                            <a:cxnLst/>
                            <a:rect l="l" t="t" r="r" b="b"/>
                            <a:pathLst>
                              <a:path w="4215130" h="1766570">
                                <a:moveTo>
                                  <a:pt x="166116" y="0"/>
                                </a:moveTo>
                                <a:lnTo>
                                  <a:pt x="0" y="0"/>
                                </a:lnTo>
                                <a:lnTo>
                                  <a:pt x="0" y="1765973"/>
                                </a:lnTo>
                                <a:lnTo>
                                  <a:pt x="166116" y="1765973"/>
                                </a:lnTo>
                                <a:lnTo>
                                  <a:pt x="166116" y="0"/>
                                </a:lnTo>
                                <a:close/>
                              </a:path>
                              <a:path w="4215130" h="1766570">
                                <a:moveTo>
                                  <a:pt x="567537" y="152615"/>
                                </a:moveTo>
                                <a:lnTo>
                                  <a:pt x="408355" y="152615"/>
                                </a:lnTo>
                                <a:lnTo>
                                  <a:pt x="408355" y="1765973"/>
                                </a:lnTo>
                                <a:lnTo>
                                  <a:pt x="567537" y="1765973"/>
                                </a:lnTo>
                                <a:lnTo>
                                  <a:pt x="567537" y="152615"/>
                                </a:lnTo>
                                <a:close/>
                              </a:path>
                              <a:path w="4215130" h="1766570">
                                <a:moveTo>
                                  <a:pt x="975893" y="181673"/>
                                </a:moveTo>
                                <a:lnTo>
                                  <a:pt x="809790" y="181673"/>
                                </a:lnTo>
                                <a:lnTo>
                                  <a:pt x="809790" y="1765973"/>
                                </a:lnTo>
                                <a:lnTo>
                                  <a:pt x="975893" y="1765973"/>
                                </a:lnTo>
                                <a:lnTo>
                                  <a:pt x="975893" y="181673"/>
                                </a:lnTo>
                                <a:close/>
                              </a:path>
                              <a:path w="4215130" h="1766570">
                                <a:moveTo>
                                  <a:pt x="1377327" y="181673"/>
                                </a:moveTo>
                                <a:lnTo>
                                  <a:pt x="1218145" y="181673"/>
                                </a:lnTo>
                                <a:lnTo>
                                  <a:pt x="1218145" y="1765973"/>
                                </a:lnTo>
                                <a:lnTo>
                                  <a:pt x="1377327" y="1765973"/>
                                </a:lnTo>
                                <a:lnTo>
                                  <a:pt x="1377327" y="181673"/>
                                </a:lnTo>
                                <a:close/>
                              </a:path>
                              <a:path w="4215130" h="1766570">
                                <a:moveTo>
                                  <a:pt x="1785683" y="290690"/>
                                </a:moveTo>
                                <a:lnTo>
                                  <a:pt x="1619567" y="290690"/>
                                </a:lnTo>
                                <a:lnTo>
                                  <a:pt x="1619567" y="1765973"/>
                                </a:lnTo>
                                <a:lnTo>
                                  <a:pt x="1785683" y="1765973"/>
                                </a:lnTo>
                                <a:lnTo>
                                  <a:pt x="1785683" y="290690"/>
                                </a:lnTo>
                                <a:close/>
                              </a:path>
                              <a:path w="4215130" h="1766570">
                                <a:moveTo>
                                  <a:pt x="2187117" y="312496"/>
                                </a:moveTo>
                                <a:lnTo>
                                  <a:pt x="2027923" y="312496"/>
                                </a:lnTo>
                                <a:lnTo>
                                  <a:pt x="2027923" y="1765973"/>
                                </a:lnTo>
                                <a:lnTo>
                                  <a:pt x="2187117" y="1765973"/>
                                </a:lnTo>
                                <a:lnTo>
                                  <a:pt x="2187117" y="312496"/>
                                </a:lnTo>
                                <a:close/>
                              </a:path>
                              <a:path w="4215130" h="1766570">
                                <a:moveTo>
                                  <a:pt x="2595461" y="457847"/>
                                </a:moveTo>
                                <a:lnTo>
                                  <a:pt x="2429345" y="457847"/>
                                </a:lnTo>
                                <a:lnTo>
                                  <a:pt x="2429345" y="1765973"/>
                                </a:lnTo>
                                <a:lnTo>
                                  <a:pt x="2595461" y="1765973"/>
                                </a:lnTo>
                                <a:lnTo>
                                  <a:pt x="2595461" y="457847"/>
                                </a:lnTo>
                                <a:close/>
                              </a:path>
                              <a:path w="4215130" h="1766570">
                                <a:moveTo>
                                  <a:pt x="2996895" y="915682"/>
                                </a:moveTo>
                                <a:lnTo>
                                  <a:pt x="2837700" y="915682"/>
                                </a:lnTo>
                                <a:lnTo>
                                  <a:pt x="2837700" y="1765973"/>
                                </a:lnTo>
                                <a:lnTo>
                                  <a:pt x="2996895" y="1765973"/>
                                </a:lnTo>
                                <a:lnTo>
                                  <a:pt x="2996895" y="915682"/>
                                </a:lnTo>
                                <a:close/>
                              </a:path>
                              <a:path w="4215130" h="1766570">
                                <a:moveTo>
                                  <a:pt x="3405251" y="952030"/>
                                </a:moveTo>
                                <a:lnTo>
                                  <a:pt x="3239147" y="952030"/>
                                </a:lnTo>
                                <a:lnTo>
                                  <a:pt x="3239147" y="1765973"/>
                                </a:lnTo>
                                <a:lnTo>
                                  <a:pt x="3405251" y="1765973"/>
                                </a:lnTo>
                                <a:lnTo>
                                  <a:pt x="3405251" y="952030"/>
                                </a:lnTo>
                                <a:close/>
                              </a:path>
                              <a:path w="4215130" h="1766570">
                                <a:moveTo>
                                  <a:pt x="3806685" y="959294"/>
                                </a:moveTo>
                                <a:lnTo>
                                  <a:pt x="3647490" y="959294"/>
                                </a:lnTo>
                                <a:lnTo>
                                  <a:pt x="3647490" y="1765973"/>
                                </a:lnTo>
                                <a:lnTo>
                                  <a:pt x="3806685" y="1765973"/>
                                </a:lnTo>
                                <a:lnTo>
                                  <a:pt x="3806685" y="959294"/>
                                </a:lnTo>
                                <a:close/>
                              </a:path>
                              <a:path w="4215130" h="1766570">
                                <a:moveTo>
                                  <a:pt x="4215028" y="988352"/>
                                </a:moveTo>
                                <a:lnTo>
                                  <a:pt x="4048912" y="988352"/>
                                </a:lnTo>
                                <a:lnTo>
                                  <a:pt x="4048912" y="1765973"/>
                                </a:lnTo>
                                <a:lnTo>
                                  <a:pt x="4215028" y="1765973"/>
                                </a:lnTo>
                                <a:lnTo>
                                  <a:pt x="4215028" y="988352"/>
                                </a:lnTo>
                                <a:close/>
                              </a:path>
                            </a:pathLst>
                          </a:custGeom>
                          <a:solidFill>
                            <a:srgbClr val="2F7D41"/>
                          </a:solidFill>
                        </wps:spPr>
                        <wps:bodyPr wrap="square" lIns="0" tIns="0" rIns="0" bIns="0" rtlCol="0">
                          <a:prstTxWarp prst="textNoShape">
                            <a:avLst/>
                          </a:prstTxWarp>
                          <a:noAutofit/>
                        </wps:bodyPr>
                      </wps:wsp>
                      <wps:wsp>
                        <wps:cNvPr id="1588" name="Graphic 1588"/>
                        <wps:cNvSpPr/>
                        <wps:spPr>
                          <a:xfrm>
                            <a:off x="-3" y="0"/>
                            <a:ext cx="5080000" cy="2286000"/>
                          </a:xfrm>
                          <a:custGeom>
                            <a:avLst/>
                            <a:gdLst/>
                            <a:ahLst/>
                            <a:cxnLst/>
                            <a:rect l="l" t="t" r="r" b="b"/>
                            <a:pathLst>
                              <a:path w="5080000" h="2286000">
                                <a:moveTo>
                                  <a:pt x="4898695" y="2032774"/>
                                </a:moveTo>
                                <a:lnTo>
                                  <a:pt x="4898695" y="2032774"/>
                                </a:lnTo>
                                <a:lnTo>
                                  <a:pt x="441426" y="2032774"/>
                                </a:lnTo>
                                <a:lnTo>
                                  <a:pt x="441426" y="92379"/>
                                </a:lnTo>
                                <a:lnTo>
                                  <a:pt x="435076" y="92379"/>
                                </a:lnTo>
                                <a:lnTo>
                                  <a:pt x="407390" y="92379"/>
                                </a:lnTo>
                                <a:lnTo>
                                  <a:pt x="407390" y="98729"/>
                                </a:lnTo>
                                <a:lnTo>
                                  <a:pt x="435076" y="98729"/>
                                </a:lnTo>
                                <a:lnTo>
                                  <a:pt x="435076" y="332206"/>
                                </a:lnTo>
                                <a:lnTo>
                                  <a:pt x="407390" y="332206"/>
                                </a:lnTo>
                                <a:lnTo>
                                  <a:pt x="407390" y="338556"/>
                                </a:lnTo>
                                <a:lnTo>
                                  <a:pt x="435076" y="338556"/>
                                </a:lnTo>
                                <a:lnTo>
                                  <a:pt x="435076" y="579297"/>
                                </a:lnTo>
                                <a:lnTo>
                                  <a:pt x="407390" y="579297"/>
                                </a:lnTo>
                                <a:lnTo>
                                  <a:pt x="407390" y="585647"/>
                                </a:lnTo>
                                <a:lnTo>
                                  <a:pt x="435076" y="585647"/>
                                </a:lnTo>
                                <a:lnTo>
                                  <a:pt x="435076" y="819124"/>
                                </a:lnTo>
                                <a:lnTo>
                                  <a:pt x="407390" y="819124"/>
                                </a:lnTo>
                                <a:lnTo>
                                  <a:pt x="407390" y="825474"/>
                                </a:lnTo>
                                <a:lnTo>
                                  <a:pt x="435076" y="825474"/>
                                </a:lnTo>
                                <a:lnTo>
                                  <a:pt x="435076" y="1066215"/>
                                </a:lnTo>
                                <a:lnTo>
                                  <a:pt x="407390" y="1066215"/>
                                </a:lnTo>
                                <a:lnTo>
                                  <a:pt x="407390" y="1072565"/>
                                </a:lnTo>
                                <a:lnTo>
                                  <a:pt x="435076" y="1072565"/>
                                </a:lnTo>
                                <a:lnTo>
                                  <a:pt x="435076" y="1306029"/>
                                </a:lnTo>
                                <a:lnTo>
                                  <a:pt x="407390" y="1306029"/>
                                </a:lnTo>
                                <a:lnTo>
                                  <a:pt x="407390" y="1312379"/>
                                </a:lnTo>
                                <a:lnTo>
                                  <a:pt x="435076" y="1312379"/>
                                </a:lnTo>
                                <a:lnTo>
                                  <a:pt x="435076" y="1545856"/>
                                </a:lnTo>
                                <a:lnTo>
                                  <a:pt x="407390" y="1545856"/>
                                </a:lnTo>
                                <a:lnTo>
                                  <a:pt x="407390" y="1552206"/>
                                </a:lnTo>
                                <a:lnTo>
                                  <a:pt x="435076" y="1552206"/>
                                </a:lnTo>
                                <a:lnTo>
                                  <a:pt x="435076" y="1792947"/>
                                </a:lnTo>
                                <a:lnTo>
                                  <a:pt x="407390" y="1792947"/>
                                </a:lnTo>
                                <a:lnTo>
                                  <a:pt x="407390" y="1799297"/>
                                </a:lnTo>
                                <a:lnTo>
                                  <a:pt x="435076" y="1799297"/>
                                </a:lnTo>
                                <a:lnTo>
                                  <a:pt x="435076" y="2032774"/>
                                </a:lnTo>
                                <a:lnTo>
                                  <a:pt x="407390" y="2032774"/>
                                </a:lnTo>
                                <a:lnTo>
                                  <a:pt x="407390" y="2039124"/>
                                </a:lnTo>
                                <a:lnTo>
                                  <a:pt x="435076" y="2039124"/>
                                </a:lnTo>
                                <a:lnTo>
                                  <a:pt x="435076" y="2068195"/>
                                </a:lnTo>
                                <a:lnTo>
                                  <a:pt x="441426" y="2068195"/>
                                </a:lnTo>
                                <a:lnTo>
                                  <a:pt x="441426" y="2039124"/>
                                </a:lnTo>
                                <a:lnTo>
                                  <a:pt x="843432" y="2039124"/>
                                </a:lnTo>
                                <a:lnTo>
                                  <a:pt x="843432" y="2068195"/>
                                </a:lnTo>
                                <a:lnTo>
                                  <a:pt x="849782" y="2068195"/>
                                </a:lnTo>
                                <a:lnTo>
                                  <a:pt x="849782" y="2039124"/>
                                </a:lnTo>
                                <a:lnTo>
                                  <a:pt x="1244854" y="2039124"/>
                                </a:lnTo>
                                <a:lnTo>
                                  <a:pt x="1244854" y="2068195"/>
                                </a:lnTo>
                                <a:lnTo>
                                  <a:pt x="1251204" y="2068195"/>
                                </a:lnTo>
                                <a:lnTo>
                                  <a:pt x="1251204" y="2039124"/>
                                </a:lnTo>
                                <a:lnTo>
                                  <a:pt x="1653209" y="2039124"/>
                                </a:lnTo>
                                <a:lnTo>
                                  <a:pt x="1653209" y="2068195"/>
                                </a:lnTo>
                                <a:lnTo>
                                  <a:pt x="1659559" y="2068195"/>
                                </a:lnTo>
                                <a:lnTo>
                                  <a:pt x="1659559" y="2039124"/>
                                </a:lnTo>
                                <a:lnTo>
                                  <a:pt x="2054644" y="2039124"/>
                                </a:lnTo>
                                <a:lnTo>
                                  <a:pt x="2054644" y="2068195"/>
                                </a:lnTo>
                                <a:lnTo>
                                  <a:pt x="2060994" y="2068195"/>
                                </a:lnTo>
                                <a:lnTo>
                                  <a:pt x="2060994" y="2039124"/>
                                </a:lnTo>
                                <a:lnTo>
                                  <a:pt x="2462987" y="2039124"/>
                                </a:lnTo>
                                <a:lnTo>
                                  <a:pt x="2462987" y="2068195"/>
                                </a:lnTo>
                                <a:lnTo>
                                  <a:pt x="2469337" y="2068195"/>
                                </a:lnTo>
                                <a:lnTo>
                                  <a:pt x="2469337" y="2039124"/>
                                </a:lnTo>
                                <a:lnTo>
                                  <a:pt x="2864408" y="2039124"/>
                                </a:lnTo>
                                <a:lnTo>
                                  <a:pt x="2864408" y="2068195"/>
                                </a:lnTo>
                                <a:lnTo>
                                  <a:pt x="2870758" y="2068195"/>
                                </a:lnTo>
                                <a:lnTo>
                                  <a:pt x="2870758" y="2039124"/>
                                </a:lnTo>
                                <a:lnTo>
                                  <a:pt x="3272777" y="2039124"/>
                                </a:lnTo>
                                <a:lnTo>
                                  <a:pt x="3272777" y="2068195"/>
                                </a:lnTo>
                                <a:lnTo>
                                  <a:pt x="3279127" y="2068195"/>
                                </a:lnTo>
                                <a:lnTo>
                                  <a:pt x="3279127" y="2039124"/>
                                </a:lnTo>
                                <a:lnTo>
                                  <a:pt x="3674211" y="2039124"/>
                                </a:lnTo>
                                <a:lnTo>
                                  <a:pt x="3674211" y="2068195"/>
                                </a:lnTo>
                                <a:lnTo>
                                  <a:pt x="3680561" y="2068195"/>
                                </a:lnTo>
                                <a:lnTo>
                                  <a:pt x="3680561" y="2039124"/>
                                </a:lnTo>
                                <a:lnTo>
                                  <a:pt x="4082554" y="2039124"/>
                                </a:lnTo>
                                <a:lnTo>
                                  <a:pt x="4082554" y="2068195"/>
                                </a:lnTo>
                                <a:lnTo>
                                  <a:pt x="4088904" y="2068195"/>
                                </a:lnTo>
                                <a:lnTo>
                                  <a:pt x="4088904" y="2039124"/>
                                </a:lnTo>
                                <a:lnTo>
                                  <a:pt x="4483989" y="2039124"/>
                                </a:lnTo>
                                <a:lnTo>
                                  <a:pt x="4483989" y="2068195"/>
                                </a:lnTo>
                                <a:lnTo>
                                  <a:pt x="4490339" y="2068195"/>
                                </a:lnTo>
                                <a:lnTo>
                                  <a:pt x="4490339" y="2039124"/>
                                </a:lnTo>
                                <a:lnTo>
                                  <a:pt x="4892345" y="2039124"/>
                                </a:lnTo>
                                <a:lnTo>
                                  <a:pt x="4892345" y="2068195"/>
                                </a:lnTo>
                                <a:lnTo>
                                  <a:pt x="4898695" y="2068195"/>
                                </a:lnTo>
                                <a:lnTo>
                                  <a:pt x="4898695" y="2032774"/>
                                </a:lnTo>
                                <a:close/>
                              </a:path>
                              <a:path w="5080000" h="2286000">
                                <a:moveTo>
                                  <a:pt x="5080000" y="0"/>
                                </a:moveTo>
                                <a:lnTo>
                                  <a:pt x="5073650" y="0"/>
                                </a:lnTo>
                                <a:lnTo>
                                  <a:pt x="5073650" y="2540"/>
                                </a:lnTo>
                                <a:lnTo>
                                  <a:pt x="5073650" y="2781"/>
                                </a:lnTo>
                                <a:lnTo>
                                  <a:pt x="5073650" y="5956"/>
                                </a:lnTo>
                                <a:lnTo>
                                  <a:pt x="5073650" y="6350"/>
                                </a:lnTo>
                                <a:lnTo>
                                  <a:pt x="5073650" y="2279256"/>
                                </a:lnTo>
                                <a:lnTo>
                                  <a:pt x="6350" y="2279256"/>
                                </a:lnTo>
                                <a:lnTo>
                                  <a:pt x="6350" y="6350"/>
                                </a:lnTo>
                                <a:lnTo>
                                  <a:pt x="3175" y="6350"/>
                                </a:lnTo>
                                <a:lnTo>
                                  <a:pt x="3175" y="5956"/>
                                </a:lnTo>
                                <a:lnTo>
                                  <a:pt x="6350" y="5956"/>
                                </a:lnTo>
                                <a:lnTo>
                                  <a:pt x="5073650" y="5956"/>
                                </a:lnTo>
                                <a:lnTo>
                                  <a:pt x="5073650" y="2781"/>
                                </a:lnTo>
                                <a:lnTo>
                                  <a:pt x="6350" y="2781"/>
                                </a:lnTo>
                                <a:lnTo>
                                  <a:pt x="3175" y="2781"/>
                                </a:lnTo>
                                <a:lnTo>
                                  <a:pt x="3175" y="2540"/>
                                </a:lnTo>
                                <a:lnTo>
                                  <a:pt x="5073650" y="2540"/>
                                </a:lnTo>
                                <a:lnTo>
                                  <a:pt x="5073650" y="0"/>
                                </a:lnTo>
                                <a:lnTo>
                                  <a:pt x="0" y="0"/>
                                </a:lnTo>
                                <a:lnTo>
                                  <a:pt x="0" y="2540"/>
                                </a:lnTo>
                                <a:lnTo>
                                  <a:pt x="0" y="6350"/>
                                </a:lnTo>
                                <a:lnTo>
                                  <a:pt x="0" y="2279650"/>
                                </a:lnTo>
                                <a:lnTo>
                                  <a:pt x="0" y="2282190"/>
                                </a:lnTo>
                                <a:lnTo>
                                  <a:pt x="0" y="2286000"/>
                                </a:lnTo>
                                <a:lnTo>
                                  <a:pt x="5080000" y="2286000"/>
                                </a:lnTo>
                                <a:lnTo>
                                  <a:pt x="5080000" y="6350"/>
                                </a:lnTo>
                                <a:lnTo>
                                  <a:pt x="5076825" y="6350"/>
                                </a:lnTo>
                                <a:lnTo>
                                  <a:pt x="5076825" y="5956"/>
                                </a:lnTo>
                                <a:lnTo>
                                  <a:pt x="5080000" y="5956"/>
                                </a:lnTo>
                                <a:lnTo>
                                  <a:pt x="5080000" y="2781"/>
                                </a:lnTo>
                                <a:lnTo>
                                  <a:pt x="5076825" y="2781"/>
                                </a:lnTo>
                                <a:lnTo>
                                  <a:pt x="5076825" y="2540"/>
                                </a:lnTo>
                                <a:lnTo>
                                  <a:pt x="5080000" y="2540"/>
                                </a:lnTo>
                                <a:lnTo>
                                  <a:pt x="5080000" y="0"/>
                                </a:lnTo>
                                <a:close/>
                              </a:path>
                            </a:pathLst>
                          </a:custGeom>
                          <a:solidFill>
                            <a:srgbClr val="000000"/>
                          </a:solidFill>
                        </wps:spPr>
                        <wps:bodyPr wrap="square" lIns="0" tIns="0" rIns="0" bIns="0" rtlCol="0">
                          <a:prstTxWarp prst="textNoShape">
                            <a:avLst/>
                          </a:prstTxWarp>
                          <a:noAutofit/>
                        </wps:bodyPr>
                      </wps:wsp>
                      <wps:wsp>
                        <wps:cNvPr id="1589" name="Textbox 1589"/>
                        <wps:cNvSpPr txBox="1"/>
                        <wps:spPr>
                          <a:xfrm>
                            <a:off x="2613411" y="2060484"/>
                            <a:ext cx="2192020" cy="102235"/>
                          </a:xfrm>
                          <a:prstGeom prst="rect">
                            <a:avLst/>
                          </a:prstGeom>
                        </wps:spPr>
                        <wps:txbx>
                          <w:txbxContent>
                            <w:p>
                              <w:pPr>
                                <w:tabs>
                                  <w:tab w:pos="543" w:val="left" w:leader="none"/>
                                  <w:tab w:pos="1121" w:val="left" w:leader="none"/>
                                  <w:tab w:pos="1872" w:val="left" w:leader="none"/>
                                  <w:tab w:pos="2482" w:val="left" w:leader="none"/>
                                  <w:tab w:pos="3118" w:val="left" w:leader="none"/>
                                </w:tabs>
                                <w:spacing w:line="161" w:lineRule="exact" w:before="0"/>
                                <w:ind w:left="0" w:right="0" w:firstLine="0"/>
                                <w:jc w:val="left"/>
                                <w:rPr>
                                  <w:rFonts w:ascii="Arial MT"/>
                                  <w:sz w:val="14"/>
                                </w:rPr>
                              </w:pPr>
                              <w:r>
                                <w:rPr>
                                  <w:rFonts w:ascii="Arial MT"/>
                                  <w:spacing w:val="-5"/>
                                  <w:w w:val="90"/>
                                  <w:sz w:val="14"/>
                                </w:rPr>
                                <w:t>UK</w:t>
                              </w:r>
                              <w:r>
                                <w:rPr>
                                  <w:rFonts w:ascii="Arial MT"/>
                                  <w:sz w:val="14"/>
                                </w:rPr>
                                <w:tab/>
                              </w:r>
                              <w:r>
                                <w:rPr>
                                  <w:rFonts w:ascii="Arial MT"/>
                                  <w:spacing w:val="-2"/>
                                  <w:w w:val="90"/>
                                  <w:sz w:val="14"/>
                                </w:rPr>
                                <w:t>Russia</w:t>
                              </w:r>
                              <w:r>
                                <w:rPr>
                                  <w:rFonts w:ascii="Arial MT"/>
                                  <w:sz w:val="14"/>
                                </w:rPr>
                                <w:tab/>
                              </w:r>
                              <w:r>
                                <w:rPr>
                                  <w:rFonts w:ascii="Arial MT"/>
                                  <w:spacing w:val="-2"/>
                                  <w:w w:val="90"/>
                                  <w:sz w:val="14"/>
                                </w:rPr>
                                <w:t>Germany</w:t>
                              </w:r>
                              <w:r>
                                <w:rPr>
                                  <w:rFonts w:ascii="Arial MT"/>
                                  <w:sz w:val="14"/>
                                </w:rPr>
                                <w:tab/>
                              </w:r>
                              <w:r>
                                <w:rPr>
                                  <w:rFonts w:ascii="Arial MT"/>
                                  <w:spacing w:val="-2"/>
                                  <w:w w:val="90"/>
                                  <w:sz w:val="14"/>
                                </w:rPr>
                                <w:t>India</w:t>
                              </w:r>
                              <w:r>
                                <w:rPr>
                                  <w:rFonts w:ascii="Arial MT"/>
                                  <w:sz w:val="14"/>
                                </w:rPr>
                                <w:tab/>
                              </w:r>
                              <w:r>
                                <w:rPr>
                                  <w:rFonts w:ascii="Arial MT"/>
                                  <w:spacing w:val="-2"/>
                                  <w:w w:val="90"/>
                                  <w:sz w:val="14"/>
                                </w:rPr>
                                <w:t>Korea</w:t>
                              </w:r>
                              <w:r>
                                <w:rPr>
                                  <w:rFonts w:ascii="Arial MT"/>
                                  <w:sz w:val="14"/>
                                </w:rPr>
                                <w:tab/>
                              </w:r>
                              <w:r>
                                <w:rPr>
                                  <w:rFonts w:ascii="Arial MT"/>
                                  <w:spacing w:val="-2"/>
                                  <w:w w:val="85"/>
                                  <w:sz w:val="14"/>
                                </w:rPr>
                                <w:t>Japan</w:t>
                              </w:r>
                            </w:p>
                          </w:txbxContent>
                        </wps:txbx>
                        <wps:bodyPr wrap="square" lIns="0" tIns="0" rIns="0" bIns="0" rtlCol="0">
                          <a:noAutofit/>
                        </wps:bodyPr>
                      </wps:wsp>
                      <wps:wsp>
                        <wps:cNvPr id="1590" name="Textbox 1590"/>
                        <wps:cNvSpPr txBox="1"/>
                        <wps:spPr>
                          <a:xfrm>
                            <a:off x="263613" y="72934"/>
                            <a:ext cx="93980" cy="19818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70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65</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60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55</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50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45</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40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35</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30</w:t>
                              </w:r>
                            </w:p>
                          </w:txbxContent>
                        </wps:txbx>
                        <wps:bodyPr wrap="square" lIns="0" tIns="0" rIns="0" bIns="0" rtlCol="0">
                          <a:noAutofit/>
                        </wps:bodyPr>
                      </wps:wsp>
                      <wps:wsp>
                        <wps:cNvPr id="1591" name="Textbox 1591"/>
                        <wps:cNvSpPr txBox="1"/>
                        <wps:spPr>
                          <a:xfrm>
                            <a:off x="521752" y="2060484"/>
                            <a:ext cx="1840864" cy="102235"/>
                          </a:xfrm>
                          <a:prstGeom prst="rect">
                            <a:avLst/>
                          </a:prstGeom>
                        </wps:spPr>
                        <wps:txbx>
                          <w:txbxContent>
                            <w:p>
                              <w:pPr>
                                <w:tabs>
                                  <w:tab w:pos="635" w:val="left" w:leader="none"/>
                                  <w:tab w:pos="1306" w:val="left" w:leader="none"/>
                                  <w:tab w:pos="1980" w:val="left" w:leader="none"/>
                                  <w:tab w:pos="2591" w:val="left" w:leader="none"/>
                                </w:tabs>
                                <w:spacing w:line="161" w:lineRule="exact" w:before="0"/>
                                <w:ind w:left="0" w:right="0" w:firstLine="0"/>
                                <w:jc w:val="left"/>
                                <w:rPr>
                                  <w:rFonts w:ascii="Arial MT"/>
                                  <w:sz w:val="14"/>
                                </w:rPr>
                              </w:pPr>
                              <w:r>
                                <w:rPr>
                                  <w:rFonts w:ascii="Arial MT"/>
                                  <w:spacing w:val="-2"/>
                                  <w:w w:val="90"/>
                                  <w:sz w:val="14"/>
                                </w:rPr>
                                <w:t>France</w:t>
                              </w:r>
                              <w:r>
                                <w:rPr>
                                  <w:rFonts w:ascii="Arial MT"/>
                                  <w:sz w:val="14"/>
                                </w:rPr>
                                <w:tab/>
                              </w:r>
                              <w:r>
                                <w:rPr>
                                  <w:rFonts w:ascii="Arial MT"/>
                                  <w:spacing w:val="-2"/>
                                  <w:w w:val="85"/>
                                  <w:sz w:val="14"/>
                                </w:rPr>
                                <w:t>Mexico</w:t>
                              </w:r>
                              <w:r>
                                <w:rPr>
                                  <w:rFonts w:ascii="Arial MT"/>
                                  <w:sz w:val="14"/>
                                </w:rPr>
                                <w:tab/>
                              </w:r>
                              <w:r>
                                <w:rPr>
                                  <w:rFonts w:ascii="Arial MT"/>
                                  <w:spacing w:val="-2"/>
                                  <w:w w:val="90"/>
                                  <w:sz w:val="14"/>
                                </w:rPr>
                                <w:t>China</w:t>
                              </w:r>
                              <w:r>
                                <w:rPr>
                                  <w:rFonts w:ascii="Arial MT"/>
                                  <w:sz w:val="14"/>
                                </w:rPr>
                                <w:tab/>
                              </w:r>
                              <w:r>
                                <w:rPr>
                                  <w:rFonts w:ascii="Arial MT"/>
                                  <w:spacing w:val="-5"/>
                                  <w:w w:val="90"/>
                                  <w:sz w:val="14"/>
                                </w:rPr>
                                <w:t>USA</w:t>
                              </w:r>
                              <w:r>
                                <w:rPr>
                                  <w:rFonts w:ascii="Arial MT"/>
                                  <w:sz w:val="14"/>
                                </w:rPr>
                                <w:tab/>
                              </w:r>
                              <w:r>
                                <w:rPr>
                                  <w:rFonts w:ascii="Arial MT"/>
                                  <w:spacing w:val="-2"/>
                                  <w:w w:val="85"/>
                                  <w:sz w:val="14"/>
                                </w:rPr>
                                <w:t>Brazil</w:t>
                              </w:r>
                            </w:p>
                          </w:txbxContent>
                        </wps:txbx>
                        <wps:bodyPr wrap="square" lIns="0" tIns="0" rIns="0" bIns="0" rtlCol="0">
                          <a:noAutofit/>
                        </wps:bodyPr>
                      </wps:wsp>
                    </wpg:wgp>
                  </a:graphicData>
                </a:graphic>
              </wp:anchor>
            </w:drawing>
          </mc:Choice>
          <mc:Fallback>
            <w:pict>
              <v:group style="position:absolute;margin-left:98.358276pt;margin-top:8.249023pt;width:400pt;height:180pt;mso-position-horizontal-relative:page;mso-position-vertical-relative:paragraph;z-index:-15632384;mso-wrap-distance-left:0;mso-wrap-distance-right:0" id="docshapegroup1573" coordorigin="1967,165" coordsize="8000,3600">
                <v:shape style="position:absolute;left:2842;top:590;width:6638;height:2782" id="docshape1574" coordorigin="2843,590" coordsize="6638,2782" path="m3104,590l2843,590,2843,3371,3104,3371,3104,590xm3736,830l3486,830,3486,3371,3736,3371,3736,830xm4379,876l4118,876,4118,3371,4379,3371,4379,876xm5012,876l4761,876,4761,3371,5012,3371,5012,876xm5655,1048l5393,1048,5393,3371,5655,3371,5655,1048xm6287,1082l6036,1082,6036,3371,6287,3371,6287,1082xm6930,1311l6668,1311,6668,3371,6930,3371,6930,1311xm7562,2032l7311,2032,7311,3371,7562,3371,7562,2032xm8205,2089l7944,2089,7944,3371,8205,3371,8205,2089xm8837,2101l8587,2101,8587,3371,8837,3371,8837,2101xm9480,2147l9219,2147,9219,3371,9480,3371,9480,2147xe" filled="true" fillcolor="#2f7d41" stroked="false">
                  <v:path arrowok="t"/>
                  <v:fill type="solid"/>
                </v:shape>
                <v:shape style="position:absolute;left:1967;top:164;width:8000;height:3600" id="docshape1575" coordorigin="1967,165" coordsize="8000,3600" path="m9682,3366l9672,3366,9039,3366,9029,3366,8406,3366,8396,3366,7763,3366,7753,3366,7131,3366,7121,3366,6488,3366,6478,3366,5856,3366,5846,3366,5213,3366,5203,3366,4581,3366,4571,3366,3938,3366,3928,3366,3305,3366,3295,3366,2662,3366,2662,310,2652,310,2609,310,2609,320,2652,320,2652,688,2609,688,2609,698,2652,698,2652,1077,2609,1077,2609,1087,2652,1087,2652,1455,2609,1455,2609,1465,2652,1465,2652,1844,2609,1844,2609,1854,2652,1854,2652,2222,2609,2222,2609,2232,2652,2232,2652,2599,2609,2599,2609,2609,2652,2609,2652,2989,2609,2989,2609,2999,2652,2999,2652,3366,2609,3366,2609,3376,2652,3376,2652,3422,2662,3422,2662,3376,3295,3376,3295,3422,3305,3422,3305,3376,3928,3376,3928,3422,3938,3422,3938,3376,4571,3376,4571,3422,4581,3422,4581,3376,5203,3376,5203,3422,5213,3422,5213,3376,5846,3376,5846,3422,5856,3422,5856,3376,6478,3376,6478,3422,6488,3422,6488,3376,7121,3376,7121,3422,7131,3422,7131,3376,7753,3376,7753,3422,7763,3422,7763,3376,8396,3376,8396,3422,8406,3422,8406,3376,9029,3376,9029,3422,9039,3422,9039,3376,9672,3376,9672,3422,9682,3422,9682,3366xm9967,165l9957,165,9957,169,9957,169,9957,174,9957,175,9957,3754,1977,3754,1977,175,1972,175,1972,174,1977,174,9957,174,9957,169,1977,169,1972,169,1972,169,9957,169,9957,165,1967,165,1967,169,1967,175,1967,3755,1967,3759,1967,3765,9967,3765,9967,3759,9967,3759,9967,3755,9967,3754,9967,175,9962,175,9962,174,9967,174,9967,169,9962,169,9962,169,9967,169,9967,165xe" filled="true" fillcolor="#000000" stroked="false">
                  <v:path arrowok="t"/>
                  <v:fill type="solid"/>
                </v:shape>
                <v:shape style="position:absolute;left:6082;top:3409;width:3452;height:161" type="#_x0000_t202" id="docshape1576" filled="false" stroked="false">
                  <v:textbox inset="0,0,0,0">
                    <w:txbxContent>
                      <w:p>
                        <w:pPr>
                          <w:tabs>
                            <w:tab w:pos="543" w:val="left" w:leader="none"/>
                            <w:tab w:pos="1121" w:val="left" w:leader="none"/>
                            <w:tab w:pos="1872" w:val="left" w:leader="none"/>
                            <w:tab w:pos="2482" w:val="left" w:leader="none"/>
                            <w:tab w:pos="3118" w:val="left" w:leader="none"/>
                          </w:tabs>
                          <w:spacing w:line="161" w:lineRule="exact" w:before="0"/>
                          <w:ind w:left="0" w:right="0" w:firstLine="0"/>
                          <w:jc w:val="left"/>
                          <w:rPr>
                            <w:rFonts w:ascii="Arial MT"/>
                            <w:sz w:val="14"/>
                          </w:rPr>
                        </w:pPr>
                        <w:r>
                          <w:rPr>
                            <w:rFonts w:ascii="Arial MT"/>
                            <w:spacing w:val="-5"/>
                            <w:w w:val="90"/>
                            <w:sz w:val="14"/>
                          </w:rPr>
                          <w:t>UK</w:t>
                        </w:r>
                        <w:r>
                          <w:rPr>
                            <w:rFonts w:ascii="Arial MT"/>
                            <w:sz w:val="14"/>
                          </w:rPr>
                          <w:tab/>
                        </w:r>
                        <w:r>
                          <w:rPr>
                            <w:rFonts w:ascii="Arial MT"/>
                            <w:spacing w:val="-2"/>
                            <w:w w:val="90"/>
                            <w:sz w:val="14"/>
                          </w:rPr>
                          <w:t>Russia</w:t>
                        </w:r>
                        <w:r>
                          <w:rPr>
                            <w:rFonts w:ascii="Arial MT"/>
                            <w:sz w:val="14"/>
                          </w:rPr>
                          <w:tab/>
                        </w:r>
                        <w:r>
                          <w:rPr>
                            <w:rFonts w:ascii="Arial MT"/>
                            <w:spacing w:val="-2"/>
                            <w:w w:val="90"/>
                            <w:sz w:val="14"/>
                          </w:rPr>
                          <w:t>Germany</w:t>
                        </w:r>
                        <w:r>
                          <w:rPr>
                            <w:rFonts w:ascii="Arial MT"/>
                            <w:sz w:val="14"/>
                          </w:rPr>
                          <w:tab/>
                        </w:r>
                        <w:r>
                          <w:rPr>
                            <w:rFonts w:ascii="Arial MT"/>
                            <w:spacing w:val="-2"/>
                            <w:w w:val="90"/>
                            <w:sz w:val="14"/>
                          </w:rPr>
                          <w:t>India</w:t>
                        </w:r>
                        <w:r>
                          <w:rPr>
                            <w:rFonts w:ascii="Arial MT"/>
                            <w:sz w:val="14"/>
                          </w:rPr>
                          <w:tab/>
                        </w:r>
                        <w:r>
                          <w:rPr>
                            <w:rFonts w:ascii="Arial MT"/>
                            <w:spacing w:val="-2"/>
                            <w:w w:val="90"/>
                            <w:sz w:val="14"/>
                          </w:rPr>
                          <w:t>Korea</w:t>
                        </w:r>
                        <w:r>
                          <w:rPr>
                            <w:rFonts w:ascii="Arial MT"/>
                            <w:sz w:val="14"/>
                          </w:rPr>
                          <w:tab/>
                        </w:r>
                        <w:r>
                          <w:rPr>
                            <w:rFonts w:ascii="Arial MT"/>
                            <w:spacing w:val="-2"/>
                            <w:w w:val="85"/>
                            <w:sz w:val="14"/>
                          </w:rPr>
                          <w:t>Japan</w:t>
                        </w:r>
                      </w:p>
                    </w:txbxContent>
                  </v:textbox>
                  <w10:wrap type="none"/>
                </v:shape>
                <v:shape style="position:absolute;left:2382;top:279;width:148;height:3121" type="#_x0000_t202" id="docshape1577" filled="false" stroked="false">
                  <v:textbox inset="0,0,0,0">
                    <w:txbxContent>
                      <w:p>
                        <w:pPr>
                          <w:spacing w:line="161" w:lineRule="exact" w:before="0"/>
                          <w:ind w:left="0" w:right="0" w:firstLine="0"/>
                          <w:jc w:val="left"/>
                          <w:rPr>
                            <w:rFonts w:ascii="Arial MT"/>
                            <w:sz w:val="14"/>
                          </w:rPr>
                        </w:pPr>
                        <w:r>
                          <w:rPr>
                            <w:rFonts w:ascii="Arial MT"/>
                            <w:spacing w:val="-5"/>
                            <w:w w:val="90"/>
                            <w:sz w:val="14"/>
                          </w:rPr>
                          <w:t>70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65</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60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55</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50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45</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40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35</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30</w:t>
                        </w:r>
                      </w:p>
                    </w:txbxContent>
                  </v:textbox>
                  <w10:wrap type="none"/>
                </v:shape>
                <v:shape style="position:absolute;left:2788;top:3409;width:2899;height:161" type="#_x0000_t202" id="docshape1578" filled="false" stroked="false">
                  <v:textbox inset="0,0,0,0">
                    <w:txbxContent>
                      <w:p>
                        <w:pPr>
                          <w:tabs>
                            <w:tab w:pos="635" w:val="left" w:leader="none"/>
                            <w:tab w:pos="1306" w:val="left" w:leader="none"/>
                            <w:tab w:pos="1980" w:val="left" w:leader="none"/>
                            <w:tab w:pos="2591" w:val="left" w:leader="none"/>
                          </w:tabs>
                          <w:spacing w:line="161" w:lineRule="exact" w:before="0"/>
                          <w:ind w:left="0" w:right="0" w:firstLine="0"/>
                          <w:jc w:val="left"/>
                          <w:rPr>
                            <w:rFonts w:ascii="Arial MT"/>
                            <w:sz w:val="14"/>
                          </w:rPr>
                        </w:pPr>
                        <w:r>
                          <w:rPr>
                            <w:rFonts w:ascii="Arial MT"/>
                            <w:spacing w:val="-2"/>
                            <w:w w:val="90"/>
                            <w:sz w:val="14"/>
                          </w:rPr>
                          <w:t>France</w:t>
                        </w:r>
                        <w:r>
                          <w:rPr>
                            <w:rFonts w:ascii="Arial MT"/>
                            <w:sz w:val="14"/>
                          </w:rPr>
                          <w:tab/>
                        </w:r>
                        <w:r>
                          <w:rPr>
                            <w:rFonts w:ascii="Arial MT"/>
                            <w:spacing w:val="-2"/>
                            <w:w w:val="85"/>
                            <w:sz w:val="14"/>
                          </w:rPr>
                          <w:t>Mexico</w:t>
                        </w:r>
                        <w:r>
                          <w:rPr>
                            <w:rFonts w:ascii="Arial MT"/>
                            <w:sz w:val="14"/>
                          </w:rPr>
                          <w:tab/>
                        </w:r>
                        <w:r>
                          <w:rPr>
                            <w:rFonts w:ascii="Arial MT"/>
                            <w:spacing w:val="-2"/>
                            <w:w w:val="90"/>
                            <w:sz w:val="14"/>
                          </w:rPr>
                          <w:t>China</w:t>
                        </w:r>
                        <w:r>
                          <w:rPr>
                            <w:rFonts w:ascii="Arial MT"/>
                            <w:sz w:val="14"/>
                          </w:rPr>
                          <w:tab/>
                        </w:r>
                        <w:r>
                          <w:rPr>
                            <w:rFonts w:ascii="Arial MT"/>
                            <w:spacing w:val="-5"/>
                            <w:w w:val="90"/>
                            <w:sz w:val="14"/>
                          </w:rPr>
                          <w:t>USA</w:t>
                        </w:r>
                        <w:r>
                          <w:rPr>
                            <w:rFonts w:ascii="Arial MT"/>
                            <w:sz w:val="14"/>
                          </w:rPr>
                          <w:tab/>
                        </w:r>
                        <w:r>
                          <w:rPr>
                            <w:rFonts w:ascii="Arial MT"/>
                            <w:spacing w:val="-2"/>
                            <w:w w:val="85"/>
                            <w:sz w:val="14"/>
                          </w:rPr>
                          <w:t>Brazil</w:t>
                        </w:r>
                      </w:p>
                    </w:txbxContent>
                  </v:textbox>
                  <w10:wrap type="none"/>
                </v:shape>
                <w10:wrap type="topAndBottom"/>
              </v:group>
            </w:pict>
          </mc:Fallback>
        </mc:AlternateContent>
      </w:r>
    </w:p>
    <w:p>
      <w:pPr>
        <w:spacing w:before="54"/>
        <w:ind w:left="1971" w:right="0" w:firstLine="0"/>
        <w:jc w:val="left"/>
        <w:rPr>
          <w:sz w:val="16"/>
        </w:rPr>
      </w:pPr>
      <w:r>
        <w:rPr>
          <w:i/>
          <w:spacing w:val="-4"/>
          <w:sz w:val="16"/>
        </w:rPr>
        <w:t>Source:</w:t>
      </w:r>
      <w:r>
        <w:rPr>
          <w:i/>
          <w:spacing w:val="-2"/>
          <w:sz w:val="16"/>
        </w:rPr>
        <w:t> </w:t>
      </w:r>
      <w:r>
        <w:rPr>
          <w:spacing w:val="-4"/>
          <w:sz w:val="16"/>
        </w:rPr>
        <w:t>NSF,</w:t>
      </w:r>
      <w:r>
        <w:rPr>
          <w:spacing w:val="-2"/>
          <w:sz w:val="16"/>
        </w:rPr>
        <w:t> </w:t>
      </w:r>
      <w:r>
        <w:rPr>
          <w:spacing w:val="-4"/>
          <w:sz w:val="16"/>
        </w:rPr>
        <w:t>Science</w:t>
      </w:r>
      <w:r>
        <w:rPr>
          <w:spacing w:val="-2"/>
          <w:sz w:val="16"/>
        </w:rPr>
        <w:t> </w:t>
      </w:r>
      <w:r>
        <w:rPr>
          <w:spacing w:val="-4"/>
          <w:sz w:val="16"/>
        </w:rPr>
        <w:t>and</w:t>
      </w:r>
      <w:r>
        <w:rPr>
          <w:spacing w:val="-2"/>
          <w:sz w:val="16"/>
        </w:rPr>
        <w:t> </w:t>
      </w:r>
      <w:r>
        <w:rPr>
          <w:spacing w:val="-4"/>
          <w:sz w:val="16"/>
        </w:rPr>
        <w:t>Engineering</w:t>
      </w:r>
      <w:r>
        <w:rPr>
          <w:spacing w:val="-2"/>
          <w:sz w:val="16"/>
        </w:rPr>
        <w:t> </w:t>
      </w:r>
      <w:r>
        <w:rPr>
          <w:spacing w:val="-4"/>
          <w:sz w:val="16"/>
        </w:rPr>
        <w:t>Indicators</w:t>
      </w:r>
      <w:r>
        <w:rPr>
          <w:spacing w:val="-2"/>
          <w:sz w:val="16"/>
        </w:rPr>
        <w:t> </w:t>
      </w:r>
      <w:r>
        <w:rPr>
          <w:spacing w:val="-4"/>
          <w:sz w:val="16"/>
        </w:rPr>
        <w:t>2004,</w:t>
      </w:r>
      <w:r>
        <w:rPr>
          <w:spacing w:val="-2"/>
          <w:sz w:val="16"/>
        </w:rPr>
        <w:t> </w:t>
      </w:r>
      <w:r>
        <w:rPr>
          <w:spacing w:val="-4"/>
          <w:sz w:val="16"/>
        </w:rPr>
        <w:t>Appendix</w:t>
      </w:r>
      <w:r>
        <w:rPr>
          <w:spacing w:val="-2"/>
          <w:sz w:val="16"/>
        </w:rPr>
        <w:t> </w:t>
      </w:r>
      <w:r>
        <w:rPr>
          <w:spacing w:val="-4"/>
          <w:sz w:val="16"/>
        </w:rPr>
        <w:t>table</w:t>
      </w:r>
      <w:r>
        <w:rPr>
          <w:spacing w:val="-2"/>
          <w:sz w:val="16"/>
        </w:rPr>
        <w:t> </w:t>
      </w:r>
      <w:r>
        <w:rPr>
          <w:spacing w:val="-4"/>
          <w:sz w:val="16"/>
        </w:rPr>
        <w:t>2-</w:t>
      </w:r>
      <w:r>
        <w:rPr>
          <w:spacing w:val="-5"/>
          <w:sz w:val="16"/>
        </w:rPr>
        <w:t>36</w:t>
      </w:r>
    </w:p>
    <w:p>
      <w:pPr>
        <w:pStyle w:val="BodyText"/>
        <w:spacing w:before="18"/>
        <w:rPr>
          <w:sz w:val="20"/>
        </w:rPr>
      </w:pPr>
    </w:p>
    <w:p>
      <w:pPr>
        <w:spacing w:after="0"/>
        <w:rPr>
          <w:sz w:val="20"/>
        </w:rPr>
        <w:sectPr>
          <w:pgSz w:w="11910" w:h="16840"/>
          <w:pgMar w:header="0" w:footer="675" w:top="940" w:bottom="860" w:left="0" w:right="0"/>
        </w:sectPr>
      </w:pPr>
    </w:p>
    <w:p>
      <w:pPr>
        <w:pStyle w:val="BodyText"/>
        <w:spacing w:line="266" w:lineRule="auto" w:before="82"/>
        <w:ind w:left="1080"/>
        <w:jc w:val="both"/>
      </w:pPr>
      <w:r>
        <w:rPr/>
        <w:t>pursue maths and science has fallen. According to MHRD figures, there has been an absolute </w:t>
      </w:r>
      <w:r>
        <w:rPr/>
        <w:t>decrease of</w:t>
      </w:r>
      <w:r>
        <w:rPr>
          <w:spacing w:val="-7"/>
        </w:rPr>
        <w:t> </w:t>
      </w:r>
      <w:r>
        <w:rPr/>
        <w:t>33</w:t>
      </w:r>
      <w:r>
        <w:rPr>
          <w:spacing w:val="-7"/>
        </w:rPr>
        <w:t> </w:t>
      </w:r>
      <w:r>
        <w:rPr/>
        <w:t>per</w:t>
      </w:r>
      <w:r>
        <w:rPr>
          <w:spacing w:val="-7"/>
        </w:rPr>
        <w:t> </w:t>
      </w:r>
      <w:r>
        <w:rPr/>
        <w:t>cent</w:t>
      </w:r>
      <w:r>
        <w:rPr>
          <w:spacing w:val="-7"/>
        </w:rPr>
        <w:t> </w:t>
      </w:r>
      <w:r>
        <w:rPr/>
        <w:t>in</w:t>
      </w:r>
      <w:r>
        <w:rPr>
          <w:spacing w:val="-7"/>
        </w:rPr>
        <w:t> </w:t>
      </w:r>
      <w:r>
        <w:rPr/>
        <w:t>the</w:t>
      </w:r>
      <w:r>
        <w:rPr>
          <w:spacing w:val="-7"/>
        </w:rPr>
        <w:t> </w:t>
      </w:r>
      <w:r>
        <w:rPr/>
        <w:t>number</w:t>
      </w:r>
      <w:r>
        <w:rPr>
          <w:spacing w:val="-7"/>
        </w:rPr>
        <w:t> </w:t>
      </w:r>
      <w:r>
        <w:rPr/>
        <w:t>of</w:t>
      </w:r>
      <w:r>
        <w:rPr>
          <w:spacing w:val="-7"/>
        </w:rPr>
        <w:t> </w:t>
      </w:r>
      <w:r>
        <w:rPr/>
        <w:t>students</w:t>
      </w:r>
      <w:r>
        <w:rPr>
          <w:spacing w:val="-7"/>
        </w:rPr>
        <w:t> </w:t>
      </w:r>
      <w:r>
        <w:rPr/>
        <w:t>going</w:t>
      </w:r>
      <w:r>
        <w:rPr>
          <w:spacing w:val="-7"/>
        </w:rPr>
        <w:t> </w:t>
      </w:r>
      <w:r>
        <w:rPr/>
        <w:t>abroad in</w:t>
      </w:r>
      <w:r>
        <w:rPr>
          <w:spacing w:val="-4"/>
        </w:rPr>
        <w:t> </w:t>
      </w:r>
      <w:r>
        <w:rPr/>
        <w:t>the</w:t>
      </w:r>
      <w:r>
        <w:rPr>
          <w:spacing w:val="-4"/>
        </w:rPr>
        <w:t> </w:t>
      </w:r>
      <w:r>
        <w:rPr/>
        <w:t>science</w:t>
      </w:r>
      <w:r>
        <w:rPr>
          <w:spacing w:val="-4"/>
        </w:rPr>
        <w:t> </w:t>
      </w:r>
      <w:r>
        <w:rPr/>
        <w:t>stream</w:t>
      </w:r>
      <w:r>
        <w:rPr>
          <w:spacing w:val="-4"/>
        </w:rPr>
        <w:t> </w:t>
      </w:r>
      <w:r>
        <w:rPr/>
        <w:t>(between</w:t>
      </w:r>
      <w:r>
        <w:rPr>
          <w:spacing w:val="-4"/>
        </w:rPr>
        <w:t> </w:t>
      </w:r>
      <w:r>
        <w:rPr/>
        <w:t>1991</w:t>
      </w:r>
      <w:r>
        <w:rPr>
          <w:spacing w:val="-4"/>
        </w:rPr>
        <w:t> </w:t>
      </w:r>
      <w:r>
        <w:rPr/>
        <w:t>and</w:t>
      </w:r>
      <w:r>
        <w:rPr>
          <w:spacing w:val="-4"/>
        </w:rPr>
        <w:t> </w:t>
      </w:r>
      <w:r>
        <w:rPr/>
        <w:t>1998)</w:t>
      </w:r>
      <w:r>
        <w:rPr>
          <w:spacing w:val="-4"/>
        </w:rPr>
        <w:t> </w:t>
      </w:r>
      <w:r>
        <w:rPr/>
        <w:t>while the</w:t>
      </w:r>
      <w:r>
        <w:rPr>
          <w:spacing w:val="40"/>
        </w:rPr>
        <w:t> </w:t>
      </w:r>
      <w:r>
        <w:rPr/>
        <w:t>numbers</w:t>
      </w:r>
      <w:r>
        <w:rPr>
          <w:spacing w:val="40"/>
        </w:rPr>
        <w:t> </w:t>
      </w:r>
      <w:r>
        <w:rPr/>
        <w:t>in</w:t>
      </w:r>
      <w:r>
        <w:rPr>
          <w:spacing w:val="40"/>
        </w:rPr>
        <w:t> </w:t>
      </w:r>
      <w:r>
        <w:rPr/>
        <w:t>banking,</w:t>
      </w:r>
      <w:r>
        <w:rPr>
          <w:spacing w:val="40"/>
        </w:rPr>
        <w:t> </w:t>
      </w:r>
      <w:r>
        <w:rPr/>
        <w:t>technology,</w:t>
      </w:r>
      <w:r>
        <w:rPr>
          <w:spacing w:val="40"/>
        </w:rPr>
        <w:t> </w:t>
      </w:r>
      <w:r>
        <w:rPr/>
        <w:t>commerce and management have increased considerably. This could be a result of shift in student interest to pursue courses</w:t>
      </w:r>
      <w:r>
        <w:rPr>
          <w:spacing w:val="-12"/>
        </w:rPr>
        <w:t> </w:t>
      </w:r>
      <w:r>
        <w:rPr/>
        <w:t>which</w:t>
      </w:r>
      <w:r>
        <w:rPr>
          <w:spacing w:val="-11"/>
        </w:rPr>
        <w:t> </w:t>
      </w:r>
      <w:r>
        <w:rPr/>
        <w:t>have</w:t>
      </w:r>
      <w:r>
        <w:rPr>
          <w:spacing w:val="-11"/>
        </w:rPr>
        <w:t> </w:t>
      </w:r>
      <w:r>
        <w:rPr/>
        <w:t>better</w:t>
      </w:r>
      <w:r>
        <w:rPr>
          <w:spacing w:val="-12"/>
        </w:rPr>
        <w:t> </w:t>
      </w:r>
      <w:r>
        <w:rPr/>
        <w:t>career</w:t>
      </w:r>
      <w:r>
        <w:rPr>
          <w:spacing w:val="-11"/>
        </w:rPr>
        <w:t> </w:t>
      </w:r>
      <w:r>
        <w:rPr/>
        <w:t>options</w:t>
      </w:r>
      <w:r>
        <w:rPr>
          <w:spacing w:val="-11"/>
        </w:rPr>
        <w:t> </w:t>
      </w:r>
      <w:r>
        <w:rPr/>
        <w:t>than</w:t>
      </w:r>
      <w:r>
        <w:rPr>
          <w:spacing w:val="-12"/>
        </w:rPr>
        <w:t> </w:t>
      </w:r>
      <w:r>
        <w:rPr>
          <w:spacing w:val="-2"/>
        </w:rPr>
        <w:t>science.</w:t>
      </w:r>
    </w:p>
    <w:p>
      <w:pPr>
        <w:pStyle w:val="BodyText"/>
        <w:spacing w:before="20"/>
      </w:pPr>
    </w:p>
    <w:p>
      <w:pPr>
        <w:pStyle w:val="BodyText"/>
        <w:spacing w:line="266" w:lineRule="auto" w:before="1"/>
        <w:ind w:left="1080"/>
        <w:jc w:val="both"/>
      </w:pPr>
      <w:r>
        <w:rPr/>
        <w:t>There is also a striking regional imbalance in enrolment</w:t>
      </w:r>
      <w:r>
        <w:rPr>
          <w:spacing w:val="-4"/>
        </w:rPr>
        <w:t> </w:t>
      </w:r>
      <w:r>
        <w:rPr/>
        <w:t>in</w:t>
      </w:r>
      <w:r>
        <w:rPr>
          <w:spacing w:val="-4"/>
        </w:rPr>
        <w:t> </w:t>
      </w:r>
      <w:r>
        <w:rPr/>
        <w:t>science</w:t>
      </w:r>
      <w:r>
        <w:rPr>
          <w:spacing w:val="-4"/>
        </w:rPr>
        <w:t> </w:t>
      </w:r>
      <w:r>
        <w:rPr/>
        <w:t>with</w:t>
      </w:r>
      <w:r>
        <w:rPr>
          <w:spacing w:val="-4"/>
        </w:rPr>
        <w:t> </w:t>
      </w:r>
      <w:r>
        <w:rPr/>
        <w:t>Andhra</w:t>
      </w:r>
      <w:r>
        <w:rPr>
          <w:spacing w:val="-4"/>
        </w:rPr>
        <w:t> </w:t>
      </w:r>
      <w:r>
        <w:rPr/>
        <w:t>Pradesh</w:t>
      </w:r>
      <w:r>
        <w:rPr>
          <w:spacing w:val="-4"/>
        </w:rPr>
        <w:t> </w:t>
      </w:r>
      <w:r>
        <w:rPr/>
        <w:t>and</w:t>
      </w:r>
      <w:r>
        <w:rPr>
          <w:spacing w:val="-12"/>
        </w:rPr>
        <w:t> </w:t>
      </w:r>
      <w:r>
        <w:rPr/>
        <w:t>Tamil Nadu having much larger students taking up science than in the other states.</w:t>
      </w:r>
    </w:p>
    <w:p>
      <w:pPr>
        <w:pStyle w:val="BodyText"/>
        <w:spacing w:before="23"/>
      </w:pPr>
    </w:p>
    <w:p>
      <w:pPr>
        <w:pStyle w:val="BodyText"/>
        <w:spacing w:line="266" w:lineRule="auto"/>
        <w:ind w:left="1080"/>
        <w:jc w:val="both"/>
      </w:pPr>
      <w:r>
        <w:rPr>
          <w:b/>
          <w:w w:val="90"/>
        </w:rPr>
        <w:t>Research: </w:t>
      </w:r>
      <w:r>
        <w:rPr>
          <w:w w:val="90"/>
        </w:rPr>
        <w:t>While research in all areas requires attention, </w:t>
      </w:r>
      <w:r>
        <w:rPr/>
        <w:t>the</w:t>
      </w:r>
      <w:r>
        <w:rPr>
          <w:spacing w:val="28"/>
        </w:rPr>
        <w:t> </w:t>
      </w:r>
      <w:r>
        <w:rPr/>
        <w:t>condition</w:t>
      </w:r>
      <w:r>
        <w:rPr>
          <w:spacing w:val="29"/>
        </w:rPr>
        <w:t> </w:t>
      </w:r>
      <w:r>
        <w:rPr/>
        <w:t>of</w:t>
      </w:r>
      <w:r>
        <w:rPr>
          <w:spacing w:val="29"/>
        </w:rPr>
        <w:t> </w:t>
      </w:r>
      <w:r>
        <w:rPr/>
        <w:t>science</w:t>
      </w:r>
      <w:r>
        <w:rPr>
          <w:spacing w:val="28"/>
        </w:rPr>
        <w:t> </w:t>
      </w:r>
      <w:r>
        <w:rPr/>
        <w:t>is</w:t>
      </w:r>
      <w:r>
        <w:rPr>
          <w:spacing w:val="29"/>
        </w:rPr>
        <w:t> </w:t>
      </w:r>
      <w:r>
        <w:rPr/>
        <w:t>particularly</w:t>
      </w:r>
      <w:r>
        <w:rPr>
          <w:spacing w:val="29"/>
        </w:rPr>
        <w:t> </w:t>
      </w:r>
      <w:r>
        <w:rPr/>
        <w:t>dismal.</w:t>
      </w:r>
      <w:r>
        <w:rPr>
          <w:spacing w:val="20"/>
        </w:rPr>
        <w:t> </w:t>
      </w:r>
      <w:r>
        <w:rPr>
          <w:spacing w:val="-5"/>
        </w:rPr>
        <w:t>The</w:t>
      </w:r>
    </w:p>
    <w:p>
      <w:pPr>
        <w:pStyle w:val="BodyText"/>
        <w:spacing w:line="266" w:lineRule="auto" w:before="82"/>
        <w:ind w:left="319" w:right="1077"/>
        <w:jc w:val="both"/>
      </w:pPr>
      <w:r>
        <w:rPr/>
        <w:br w:type="column"/>
      </w:r>
      <w:r>
        <w:rPr/>
        <w:t>absolute number of science graduates is not small</w:t>
      </w:r>
      <w:r>
        <w:rPr>
          <w:spacing w:val="40"/>
        </w:rPr>
        <w:t> </w:t>
      </w:r>
      <w:r>
        <w:rPr/>
        <w:t>but the number of doctorates in science stream</w:t>
      </w:r>
      <w:r>
        <w:rPr>
          <w:spacing w:val="40"/>
        </w:rPr>
        <w:t> </w:t>
      </w:r>
      <w:r>
        <w:rPr/>
        <w:t>leaves much to be desired. According to 2005-06 UGC</w:t>
      </w:r>
      <w:r>
        <w:rPr>
          <w:spacing w:val="15"/>
        </w:rPr>
        <w:t> </w:t>
      </w:r>
      <w:r>
        <w:rPr/>
        <w:t>figures,</w:t>
      </w:r>
      <w:r>
        <w:rPr>
          <w:spacing w:val="16"/>
        </w:rPr>
        <w:t> </w:t>
      </w:r>
      <w:r>
        <w:rPr/>
        <w:t>science</w:t>
      </w:r>
      <w:r>
        <w:rPr>
          <w:spacing w:val="15"/>
        </w:rPr>
        <w:t> </w:t>
      </w:r>
      <w:r>
        <w:rPr/>
        <w:t>doctoral</w:t>
      </w:r>
      <w:r>
        <w:rPr>
          <w:spacing w:val="16"/>
        </w:rPr>
        <w:t> </w:t>
      </w:r>
      <w:r>
        <w:rPr/>
        <w:t>students</w:t>
      </w:r>
      <w:r>
        <w:rPr>
          <w:spacing w:val="16"/>
        </w:rPr>
        <w:t> </w:t>
      </w:r>
      <w:r>
        <w:rPr/>
        <w:t>formed</w:t>
      </w:r>
      <w:r>
        <w:rPr>
          <w:spacing w:val="15"/>
        </w:rPr>
        <w:t> </w:t>
      </w:r>
      <w:r>
        <w:rPr>
          <w:spacing w:val="-4"/>
        </w:rPr>
        <w:t>only</w:t>
      </w:r>
    </w:p>
    <w:p>
      <w:pPr>
        <w:pStyle w:val="BodyText"/>
        <w:spacing w:line="266" w:lineRule="auto"/>
        <w:ind w:left="319" w:right="1077"/>
        <w:jc w:val="both"/>
      </w:pPr>
      <w:r>
        <w:rPr>
          <w:spacing w:val="-4"/>
        </w:rPr>
        <w:t>1.1</w:t>
      </w:r>
      <w:r>
        <w:rPr>
          <w:spacing w:val="-10"/>
        </w:rPr>
        <w:t> </w:t>
      </w:r>
      <w:r>
        <w:rPr>
          <w:spacing w:val="-4"/>
        </w:rPr>
        <w:t>per</w:t>
      </w:r>
      <w:r>
        <w:rPr>
          <w:spacing w:val="-10"/>
        </w:rPr>
        <w:t> </w:t>
      </w:r>
      <w:r>
        <w:rPr>
          <w:spacing w:val="-4"/>
        </w:rPr>
        <w:t>cent</w:t>
      </w:r>
      <w:r>
        <w:rPr>
          <w:spacing w:val="-10"/>
        </w:rPr>
        <w:t> </w:t>
      </w:r>
      <w:r>
        <w:rPr>
          <w:spacing w:val="-4"/>
        </w:rPr>
        <w:t>of</w:t>
      </w:r>
      <w:r>
        <w:rPr>
          <w:spacing w:val="-9"/>
        </w:rPr>
        <w:t> </w:t>
      </w:r>
      <w:r>
        <w:rPr>
          <w:spacing w:val="-4"/>
        </w:rPr>
        <w:t>the</w:t>
      </w:r>
      <w:r>
        <w:rPr>
          <w:spacing w:val="-8"/>
        </w:rPr>
        <w:t> </w:t>
      </w:r>
      <w:r>
        <w:rPr>
          <w:spacing w:val="-4"/>
        </w:rPr>
        <w:t>graduate</w:t>
      </w:r>
      <w:r>
        <w:rPr>
          <w:spacing w:val="-9"/>
        </w:rPr>
        <w:t> </w:t>
      </w:r>
      <w:r>
        <w:rPr>
          <w:spacing w:val="-4"/>
        </w:rPr>
        <w:t>enrolment</w:t>
      </w:r>
      <w:r>
        <w:rPr>
          <w:spacing w:val="-9"/>
        </w:rPr>
        <w:t> </w:t>
      </w:r>
      <w:r>
        <w:rPr>
          <w:spacing w:val="-4"/>
        </w:rPr>
        <w:t>in</w:t>
      </w:r>
      <w:r>
        <w:rPr>
          <w:spacing w:val="-9"/>
        </w:rPr>
        <w:t> </w:t>
      </w:r>
      <w:r>
        <w:rPr>
          <w:spacing w:val="-4"/>
        </w:rPr>
        <w:t>science.</w:t>
      </w:r>
      <w:r>
        <w:rPr>
          <w:spacing w:val="-10"/>
        </w:rPr>
        <w:t> </w:t>
      </w:r>
      <w:r>
        <w:rPr>
          <w:spacing w:val="-4"/>
        </w:rPr>
        <w:t>While </w:t>
      </w:r>
      <w:r>
        <w:rPr/>
        <w:t>most advanced countries have more than 60 per cent of total doctoral degrees in science and engineering fields,</w:t>
      </w:r>
      <w:r>
        <w:rPr>
          <w:spacing w:val="-12"/>
        </w:rPr>
        <w:t> </w:t>
      </w:r>
      <w:r>
        <w:rPr/>
        <w:t>India</w:t>
      </w:r>
      <w:r>
        <w:rPr>
          <w:spacing w:val="-12"/>
        </w:rPr>
        <w:t> </w:t>
      </w:r>
      <w:r>
        <w:rPr/>
        <w:t>has</w:t>
      </w:r>
      <w:r>
        <w:rPr>
          <w:spacing w:val="-12"/>
        </w:rPr>
        <w:t> </w:t>
      </w:r>
      <w:r>
        <w:rPr/>
        <w:t>only</w:t>
      </w:r>
      <w:r>
        <w:rPr>
          <w:spacing w:val="-12"/>
        </w:rPr>
        <w:t> </w:t>
      </w:r>
      <w:r>
        <w:rPr/>
        <w:t>46</w:t>
      </w:r>
      <w:r>
        <w:rPr>
          <w:spacing w:val="-12"/>
        </w:rPr>
        <w:t> </w:t>
      </w:r>
      <w:r>
        <w:rPr/>
        <w:t>per</w:t>
      </w:r>
      <w:r>
        <w:rPr>
          <w:spacing w:val="-12"/>
        </w:rPr>
        <w:t> </w:t>
      </w:r>
      <w:r>
        <w:rPr/>
        <w:t>cent</w:t>
      </w:r>
      <w:r>
        <w:rPr>
          <w:spacing w:val="-12"/>
        </w:rPr>
        <w:t> </w:t>
      </w:r>
      <w:r>
        <w:rPr/>
        <w:t>doctorates</w:t>
      </w:r>
      <w:r>
        <w:rPr>
          <w:spacing w:val="-12"/>
        </w:rPr>
        <w:t> </w:t>
      </w:r>
      <w:r>
        <w:rPr/>
        <w:t>in</w:t>
      </w:r>
      <w:r>
        <w:rPr>
          <w:spacing w:val="-12"/>
        </w:rPr>
        <w:t> </w:t>
      </w:r>
      <w:r>
        <w:rPr/>
        <w:t>science and engineering (See Figure 24).</w:t>
      </w:r>
    </w:p>
    <w:p>
      <w:pPr>
        <w:pStyle w:val="BodyText"/>
        <w:spacing w:before="20"/>
      </w:pPr>
    </w:p>
    <w:p>
      <w:pPr>
        <w:pStyle w:val="BodyText"/>
        <w:spacing w:line="266" w:lineRule="auto"/>
        <w:ind w:left="319" w:right="1077"/>
        <w:jc w:val="both"/>
      </w:pPr>
      <w:r>
        <w:rPr/>
        <w:t>The declining interest in science and </w:t>
      </w:r>
      <w:r>
        <w:rPr/>
        <w:t>mathematics </w:t>
      </w:r>
      <w:r>
        <w:rPr>
          <w:spacing w:val="-2"/>
        </w:rPr>
        <w:t>needs</w:t>
      </w:r>
      <w:r>
        <w:rPr>
          <w:spacing w:val="-12"/>
        </w:rPr>
        <w:t> </w:t>
      </w:r>
      <w:r>
        <w:rPr>
          <w:spacing w:val="-2"/>
        </w:rPr>
        <w:t>to</w:t>
      </w:r>
      <w:r>
        <w:rPr>
          <w:spacing w:val="-12"/>
        </w:rPr>
        <w:t> </w:t>
      </w:r>
      <w:r>
        <w:rPr>
          <w:spacing w:val="-2"/>
        </w:rPr>
        <w:t>be</w:t>
      </w:r>
      <w:r>
        <w:rPr>
          <w:spacing w:val="-12"/>
        </w:rPr>
        <w:t> </w:t>
      </w:r>
      <w:r>
        <w:rPr>
          <w:spacing w:val="-2"/>
        </w:rPr>
        <w:t>addressed</w:t>
      </w:r>
      <w:r>
        <w:rPr>
          <w:spacing w:val="-11"/>
        </w:rPr>
        <w:t> </w:t>
      </w:r>
      <w:r>
        <w:rPr>
          <w:spacing w:val="-2"/>
        </w:rPr>
        <w:t>comprehensively.</w:t>
      </w:r>
      <w:r>
        <w:rPr>
          <w:spacing w:val="-12"/>
        </w:rPr>
        <w:t> </w:t>
      </w:r>
      <w:r>
        <w:rPr>
          <w:spacing w:val="-2"/>
        </w:rPr>
        <w:t>Issues</w:t>
      </w:r>
      <w:r>
        <w:rPr>
          <w:spacing w:val="-12"/>
        </w:rPr>
        <w:t> </w:t>
      </w:r>
      <w:r>
        <w:rPr>
          <w:spacing w:val="-2"/>
        </w:rPr>
        <w:t>relating </w:t>
      </w:r>
      <w:r>
        <w:rPr/>
        <w:t>to pedagogy, evaluation, curriculum, careers, and </w:t>
      </w:r>
      <w:r>
        <w:rPr>
          <w:spacing w:val="-4"/>
        </w:rPr>
        <w:t>infrastructure</w:t>
      </w:r>
      <w:r>
        <w:rPr>
          <w:spacing w:val="-10"/>
        </w:rPr>
        <w:t> </w:t>
      </w:r>
      <w:r>
        <w:rPr>
          <w:spacing w:val="-4"/>
        </w:rPr>
        <w:t>need</w:t>
      </w:r>
      <w:r>
        <w:rPr>
          <w:spacing w:val="-10"/>
        </w:rPr>
        <w:t> </w:t>
      </w:r>
      <w:r>
        <w:rPr>
          <w:spacing w:val="-4"/>
        </w:rPr>
        <w:t>to</w:t>
      </w:r>
      <w:r>
        <w:rPr>
          <w:spacing w:val="-10"/>
        </w:rPr>
        <w:t> </w:t>
      </w:r>
      <w:r>
        <w:rPr>
          <w:spacing w:val="-4"/>
        </w:rPr>
        <w:t>be</w:t>
      </w:r>
      <w:r>
        <w:rPr>
          <w:spacing w:val="-9"/>
        </w:rPr>
        <w:t> </w:t>
      </w:r>
      <w:r>
        <w:rPr>
          <w:spacing w:val="-4"/>
        </w:rPr>
        <w:t>tackled</w:t>
      </w:r>
      <w:r>
        <w:rPr>
          <w:spacing w:val="-10"/>
        </w:rPr>
        <w:t> </w:t>
      </w:r>
      <w:r>
        <w:rPr>
          <w:spacing w:val="-4"/>
        </w:rPr>
        <w:t>effectively.</w:t>
      </w:r>
      <w:r>
        <w:rPr>
          <w:spacing w:val="-10"/>
        </w:rPr>
        <w:t> </w:t>
      </w:r>
      <w:r>
        <w:rPr>
          <w:spacing w:val="-4"/>
        </w:rPr>
        <w:t>Large</w:t>
      </w:r>
      <w:r>
        <w:rPr>
          <w:spacing w:val="-10"/>
        </w:rPr>
        <w:t> </w:t>
      </w:r>
      <w:r>
        <w:rPr>
          <w:spacing w:val="-4"/>
        </w:rPr>
        <w:t>scale science popularisation programs could also re-establish </w:t>
      </w:r>
      <w:r>
        <w:rPr/>
        <w:t>the passion science once generated.</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
        <w:rPr>
          <w:sz w:val="20"/>
        </w:rPr>
      </w:pPr>
    </w:p>
    <w:p>
      <w:pPr>
        <w:spacing w:after="0"/>
        <w:rPr>
          <w:sz w:val="20"/>
        </w:rPr>
        <w:sectPr>
          <w:pgSz w:w="11910" w:h="16840"/>
          <w:pgMar w:header="0" w:footer="675" w:top="0" w:bottom="860" w:left="0" w:right="0"/>
        </w:sectPr>
      </w:pPr>
    </w:p>
    <w:p>
      <w:pPr>
        <w:pStyle w:val="Heading6"/>
        <w:spacing w:before="79"/>
        <w:ind w:left="1080" w:firstLine="0"/>
      </w:pPr>
      <w:r>
        <w:rPr/>
        <mc:AlternateContent>
          <mc:Choice Requires="wps">
            <w:drawing>
              <wp:anchor distT="0" distB="0" distL="0" distR="0" allowOverlap="1" layoutInCell="1" locked="0" behindDoc="0" simplePos="0" relativeHeight="15835648">
                <wp:simplePos x="0" y="0"/>
                <wp:positionH relativeFrom="page">
                  <wp:posOffset>0</wp:posOffset>
                </wp:positionH>
                <wp:positionV relativeFrom="paragraph">
                  <wp:posOffset>-2220243</wp:posOffset>
                </wp:positionV>
                <wp:extent cx="7560309" cy="1752600"/>
                <wp:effectExtent l="0" t="0" r="0" b="0"/>
                <wp:wrapNone/>
                <wp:docPr id="1592" name="Group 1592"/>
                <wp:cNvGraphicFramePr>
                  <a:graphicFrameLocks/>
                </wp:cNvGraphicFramePr>
                <a:graphic>
                  <a:graphicData uri="http://schemas.microsoft.com/office/word/2010/wordprocessingGroup">
                    <wpg:wgp>
                      <wpg:cNvPr id="1592" name="Group 1592"/>
                      <wpg:cNvGrpSpPr/>
                      <wpg:grpSpPr>
                        <a:xfrm>
                          <a:off x="0" y="0"/>
                          <a:ext cx="7560309" cy="1752600"/>
                          <a:chExt cx="7560309" cy="1752600"/>
                        </a:xfrm>
                      </wpg:grpSpPr>
                      <pic:pic>
                        <pic:nvPicPr>
                          <pic:cNvPr id="1593" name="Image 1593"/>
                          <pic:cNvPicPr/>
                        </pic:nvPicPr>
                        <pic:blipFill>
                          <a:blip r:embed="rId612" cstate="print"/>
                          <a:stretch>
                            <a:fillRect/>
                          </a:stretch>
                        </pic:blipFill>
                        <pic:spPr>
                          <a:xfrm>
                            <a:off x="0" y="0"/>
                            <a:ext cx="7559999" cy="1752562"/>
                          </a:xfrm>
                          <a:prstGeom prst="rect">
                            <a:avLst/>
                          </a:prstGeom>
                        </pic:spPr>
                      </pic:pic>
                      <wps:wsp>
                        <wps:cNvPr id="1594" name="Textbox 1594"/>
                        <wps:cNvSpPr txBox="1"/>
                        <wps:spPr>
                          <a:xfrm>
                            <a:off x="0" y="0"/>
                            <a:ext cx="7560309" cy="1752600"/>
                          </a:xfrm>
                          <a:prstGeom prst="rect">
                            <a:avLst/>
                          </a:prstGeom>
                        </wps:spPr>
                        <wps:txbx>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Legal</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0pt;margin-top:-174.822311pt;width:595.3pt;height:138pt;mso-position-horizontal-relative:page;mso-position-vertical-relative:paragraph;z-index:15835648" id="docshapegroup1579" coordorigin="0,-3496" coordsize="11906,2760">
                <v:shape style="position:absolute;left:0;top:-3497;width:11906;height:2760" type="#_x0000_t75" id="docshape1580" stroked="false">
                  <v:imagedata r:id="rId612" o:title=""/>
                </v:shape>
                <v:shape style="position:absolute;left:0;top:-3497;width:11906;height:2760" type="#_x0000_t202" id="docshape1581" filled="false" stroked="false">
                  <v:textbox inset="0,0,0,0">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Legal</w:t>
                        </w:r>
                        <w:r>
                          <w:rPr>
                            <w:rFonts w:ascii="Trebuchet MS"/>
                            <w:b/>
                            <w:color w:val="FFFFFF"/>
                            <w:spacing w:val="-1"/>
                            <w:sz w:val="68"/>
                          </w:rPr>
                          <w:t> </w:t>
                        </w:r>
                        <w:r>
                          <w:rPr>
                            <w:rFonts w:ascii="Trebuchet MS"/>
                            <w:b/>
                            <w:color w:val="FFFFFF"/>
                            <w:spacing w:val="-2"/>
                            <w:sz w:val="68"/>
                          </w:rPr>
                          <w:t>Education</w:t>
                        </w:r>
                      </w:p>
                    </w:txbxContent>
                  </v:textbox>
                  <w10:wrap type="none"/>
                </v:shape>
                <w10:wrap type="none"/>
              </v:group>
            </w:pict>
          </mc:Fallback>
        </mc:AlternateContent>
      </w:r>
      <w:r>
        <w:rPr>
          <w:color w:val="2E614A"/>
          <w:spacing w:val="-2"/>
        </w:rPr>
        <w:t>Introduction</w:t>
      </w:r>
    </w:p>
    <w:p>
      <w:pPr>
        <w:pStyle w:val="BodyText"/>
        <w:spacing w:line="266" w:lineRule="auto" w:before="285"/>
        <w:ind w:left="1668"/>
        <w:jc w:val="both"/>
      </w:pPr>
      <w:r>
        <w:rPr/>
        <mc:AlternateContent>
          <mc:Choice Requires="wps">
            <w:drawing>
              <wp:anchor distT="0" distB="0" distL="0" distR="0" allowOverlap="1" layoutInCell="1" locked="0" behindDoc="1" simplePos="0" relativeHeight="479412736">
                <wp:simplePos x="0" y="0"/>
                <wp:positionH relativeFrom="page">
                  <wp:posOffset>685800</wp:posOffset>
                </wp:positionH>
                <wp:positionV relativeFrom="paragraph">
                  <wp:posOffset>91998</wp:posOffset>
                </wp:positionV>
                <wp:extent cx="374015" cy="757555"/>
                <wp:effectExtent l="0" t="0" r="0" b="0"/>
                <wp:wrapNone/>
                <wp:docPr id="1595" name="Textbox 1595"/>
                <wp:cNvGraphicFramePr>
                  <a:graphicFrameLocks/>
                </wp:cNvGraphicFramePr>
                <a:graphic>
                  <a:graphicData uri="http://schemas.microsoft.com/office/word/2010/wordprocessingShape">
                    <wps:wsp>
                      <wps:cNvPr id="1595" name="Textbox 1595"/>
                      <wps:cNvSpPr txBox="1"/>
                      <wps:spPr>
                        <a:xfrm>
                          <a:off x="0" y="0"/>
                          <a:ext cx="374015" cy="757555"/>
                        </a:xfrm>
                        <a:prstGeom prst="rect">
                          <a:avLst/>
                        </a:prstGeom>
                      </wps:spPr>
                      <wps:txbx>
                        <w:txbxContent>
                          <w:p>
                            <w:pPr>
                              <w:spacing w:line="1135" w:lineRule="exact" w:before="0"/>
                              <w:ind w:left="0" w:right="0" w:firstLine="0"/>
                              <w:jc w:val="left"/>
                              <w:rPr>
                                <w:sz w:val="106"/>
                              </w:rPr>
                            </w:pPr>
                            <w:r>
                              <w:rPr>
                                <w:color w:val="9CBF3B"/>
                                <w:spacing w:val="-10"/>
                                <w:w w:val="90"/>
                                <w:sz w:val="106"/>
                              </w:rPr>
                              <w:t>L</w:t>
                            </w:r>
                          </w:p>
                        </w:txbxContent>
                      </wps:txbx>
                      <wps:bodyPr wrap="square" lIns="0" tIns="0" rIns="0" bIns="0" rtlCol="0">
                        <a:noAutofit/>
                      </wps:bodyPr>
                    </wps:wsp>
                  </a:graphicData>
                </a:graphic>
              </wp:anchor>
            </w:drawing>
          </mc:Choice>
          <mc:Fallback>
            <w:pict>
              <v:shape style="position:absolute;margin-left:54pt;margin-top:7.243943pt;width:29.45pt;height:59.65pt;mso-position-horizontal-relative:page;mso-position-vertical-relative:paragraph;z-index:-23903744" type="#_x0000_t202" id="docshape1582" filled="false" stroked="false">
                <v:textbox inset="0,0,0,0">
                  <w:txbxContent>
                    <w:p>
                      <w:pPr>
                        <w:spacing w:line="1135" w:lineRule="exact" w:before="0"/>
                        <w:ind w:left="0" w:right="0" w:firstLine="0"/>
                        <w:jc w:val="left"/>
                        <w:rPr>
                          <w:sz w:val="106"/>
                        </w:rPr>
                      </w:pPr>
                      <w:r>
                        <w:rPr>
                          <w:color w:val="9CBF3B"/>
                          <w:spacing w:val="-10"/>
                          <w:w w:val="90"/>
                          <w:sz w:val="106"/>
                        </w:rPr>
                        <w:t>L</w:t>
                      </w:r>
                    </w:p>
                  </w:txbxContent>
                </v:textbox>
                <w10:wrap type="none"/>
              </v:shape>
            </w:pict>
          </mc:Fallback>
        </mc:AlternateContent>
      </w:r>
      <w:r>
        <w:rPr/>
        <w:t>egal Education as an aspect of </w:t>
      </w:r>
      <w:r>
        <w:rPr/>
        <w:t>professional </w:t>
      </w:r>
      <w:r>
        <w:rPr>
          <w:spacing w:val="-6"/>
        </w:rPr>
        <w:t>education</w:t>
      </w:r>
      <w:r>
        <w:rPr>
          <w:spacing w:val="-7"/>
        </w:rPr>
        <w:t> </w:t>
      </w:r>
      <w:r>
        <w:rPr>
          <w:spacing w:val="-6"/>
        </w:rPr>
        <w:t>has</w:t>
      </w:r>
      <w:r>
        <w:rPr>
          <w:spacing w:val="-7"/>
        </w:rPr>
        <w:t> </w:t>
      </w:r>
      <w:r>
        <w:rPr>
          <w:spacing w:val="-6"/>
        </w:rPr>
        <w:t>assumed</w:t>
      </w:r>
      <w:r>
        <w:rPr>
          <w:spacing w:val="-7"/>
        </w:rPr>
        <w:t> </w:t>
      </w:r>
      <w:r>
        <w:rPr>
          <w:spacing w:val="-6"/>
        </w:rPr>
        <w:t>considerable</w:t>
      </w:r>
      <w:r>
        <w:rPr>
          <w:spacing w:val="-7"/>
        </w:rPr>
        <w:t> </w:t>
      </w:r>
      <w:r>
        <w:rPr>
          <w:spacing w:val="-6"/>
        </w:rPr>
        <w:t>significance, </w:t>
      </w:r>
      <w:r>
        <w:rPr>
          <w:spacing w:val="-4"/>
        </w:rPr>
        <w:t>not</w:t>
      </w:r>
      <w:r>
        <w:rPr>
          <w:spacing w:val="-11"/>
        </w:rPr>
        <w:t> </w:t>
      </w:r>
      <w:r>
        <w:rPr>
          <w:spacing w:val="-4"/>
        </w:rPr>
        <w:t>only</w:t>
      </w:r>
      <w:r>
        <w:rPr>
          <w:spacing w:val="-10"/>
        </w:rPr>
        <w:t> </w:t>
      </w:r>
      <w:r>
        <w:rPr>
          <w:spacing w:val="-4"/>
        </w:rPr>
        <w:t>in</w:t>
      </w:r>
      <w:r>
        <w:rPr>
          <w:spacing w:val="-10"/>
        </w:rPr>
        <w:t> </w:t>
      </w:r>
      <w:r>
        <w:rPr>
          <w:spacing w:val="-4"/>
        </w:rPr>
        <w:t>terms</w:t>
      </w:r>
      <w:r>
        <w:rPr>
          <w:spacing w:val="-10"/>
        </w:rPr>
        <w:t> </w:t>
      </w:r>
      <w:r>
        <w:rPr>
          <w:spacing w:val="-4"/>
        </w:rPr>
        <w:t>of</w:t>
      </w:r>
      <w:r>
        <w:rPr>
          <w:spacing w:val="-10"/>
        </w:rPr>
        <w:t> </w:t>
      </w:r>
      <w:r>
        <w:rPr>
          <w:spacing w:val="-4"/>
        </w:rPr>
        <w:t>the</w:t>
      </w:r>
      <w:r>
        <w:rPr>
          <w:spacing w:val="-10"/>
        </w:rPr>
        <w:t> </w:t>
      </w:r>
      <w:r>
        <w:rPr>
          <w:spacing w:val="-4"/>
        </w:rPr>
        <w:t>historical</w:t>
      </w:r>
      <w:r>
        <w:rPr>
          <w:spacing w:val="-11"/>
        </w:rPr>
        <w:t> </w:t>
      </w:r>
      <w:r>
        <w:rPr>
          <w:spacing w:val="-4"/>
        </w:rPr>
        <w:t>utility</w:t>
      </w:r>
      <w:r>
        <w:rPr>
          <w:spacing w:val="-10"/>
        </w:rPr>
        <w:t> </w:t>
      </w:r>
      <w:r>
        <w:rPr>
          <w:spacing w:val="-4"/>
        </w:rPr>
        <w:t>of</w:t>
      </w:r>
      <w:r>
        <w:rPr>
          <w:spacing w:val="-10"/>
        </w:rPr>
        <w:t> </w:t>
      </w:r>
      <w:r>
        <w:rPr>
          <w:spacing w:val="-4"/>
        </w:rPr>
        <w:t>law</w:t>
      </w:r>
      <w:r>
        <w:rPr>
          <w:spacing w:val="-10"/>
        </w:rPr>
        <w:t> </w:t>
      </w:r>
      <w:r>
        <w:rPr>
          <w:spacing w:val="-5"/>
        </w:rPr>
        <w:t>in</w:t>
      </w:r>
    </w:p>
    <w:p>
      <w:pPr>
        <w:pStyle w:val="BodyText"/>
        <w:spacing w:line="266" w:lineRule="auto"/>
        <w:ind w:left="1080"/>
        <w:jc w:val="both"/>
      </w:pPr>
      <w:r>
        <w:rPr/>
        <w:t>society</w:t>
      </w:r>
      <w:r>
        <w:rPr>
          <w:spacing w:val="-14"/>
        </w:rPr>
        <w:t> </w:t>
      </w:r>
      <w:r>
        <w:rPr/>
        <w:t>but</w:t>
      </w:r>
      <w:r>
        <w:rPr>
          <w:spacing w:val="-14"/>
        </w:rPr>
        <w:t> </w:t>
      </w:r>
      <w:r>
        <w:rPr/>
        <w:t>also</w:t>
      </w:r>
      <w:r>
        <w:rPr>
          <w:spacing w:val="-14"/>
        </w:rPr>
        <w:t> </w:t>
      </w:r>
      <w:r>
        <w:rPr/>
        <w:t>in</w:t>
      </w:r>
      <w:r>
        <w:rPr>
          <w:spacing w:val="-13"/>
        </w:rPr>
        <w:t> </w:t>
      </w:r>
      <w:r>
        <w:rPr/>
        <w:t>the</w:t>
      </w:r>
      <w:r>
        <w:rPr>
          <w:spacing w:val="-14"/>
        </w:rPr>
        <w:t> </w:t>
      </w:r>
      <w:r>
        <w:rPr/>
        <w:t>current</w:t>
      </w:r>
      <w:r>
        <w:rPr>
          <w:spacing w:val="-14"/>
        </w:rPr>
        <w:t> </w:t>
      </w:r>
      <w:r>
        <w:rPr/>
        <w:t>context</w:t>
      </w:r>
      <w:r>
        <w:rPr>
          <w:spacing w:val="-14"/>
        </w:rPr>
        <w:t> </w:t>
      </w:r>
      <w:r>
        <w:rPr/>
        <w:t>of</w:t>
      </w:r>
      <w:r>
        <w:rPr>
          <w:spacing w:val="-13"/>
        </w:rPr>
        <w:t> </w:t>
      </w:r>
      <w:r>
        <w:rPr/>
        <w:t>globalisation. Legal education is a vital link in the creation of </w:t>
      </w:r>
      <w:r>
        <w:rPr>
          <w:spacing w:val="-6"/>
        </w:rPr>
        <w:t>knowledge concepts as well as in the application of such </w:t>
      </w:r>
      <w:r>
        <w:rPr>
          <w:spacing w:val="-2"/>
        </w:rPr>
        <w:t>concepts</w:t>
      </w:r>
      <w:r>
        <w:rPr>
          <w:spacing w:val="-14"/>
        </w:rPr>
        <w:t> </w:t>
      </w:r>
      <w:r>
        <w:rPr>
          <w:spacing w:val="-2"/>
        </w:rPr>
        <w:t>in</w:t>
      </w:r>
      <w:r>
        <w:rPr>
          <w:spacing w:val="-12"/>
        </w:rPr>
        <w:t> </w:t>
      </w:r>
      <w:r>
        <w:rPr>
          <w:spacing w:val="-2"/>
        </w:rPr>
        <w:t>society.</w:t>
      </w:r>
      <w:r>
        <w:rPr>
          <w:spacing w:val="-12"/>
        </w:rPr>
        <w:t> </w:t>
      </w:r>
      <w:r>
        <w:rPr>
          <w:spacing w:val="-2"/>
        </w:rPr>
        <w:t>The</w:t>
      </w:r>
      <w:r>
        <w:rPr>
          <w:spacing w:val="-11"/>
        </w:rPr>
        <w:t> </w:t>
      </w:r>
      <w:r>
        <w:rPr>
          <w:spacing w:val="-2"/>
        </w:rPr>
        <w:t>need</w:t>
      </w:r>
      <w:r>
        <w:rPr>
          <w:spacing w:val="-12"/>
        </w:rPr>
        <w:t> </w:t>
      </w:r>
      <w:r>
        <w:rPr>
          <w:spacing w:val="-2"/>
        </w:rPr>
        <w:t>for</w:t>
      </w:r>
      <w:r>
        <w:rPr>
          <w:spacing w:val="-12"/>
        </w:rPr>
        <w:t> </w:t>
      </w:r>
      <w:r>
        <w:rPr>
          <w:spacing w:val="-2"/>
        </w:rPr>
        <w:t>trained</w:t>
      </w:r>
      <w:r>
        <w:rPr>
          <w:spacing w:val="-12"/>
        </w:rPr>
        <w:t> </w:t>
      </w:r>
      <w:r>
        <w:rPr>
          <w:spacing w:val="-2"/>
        </w:rPr>
        <w:t>law</w:t>
      </w:r>
      <w:r>
        <w:rPr>
          <w:spacing w:val="-11"/>
        </w:rPr>
        <w:t> </w:t>
      </w:r>
      <w:r>
        <w:rPr>
          <w:spacing w:val="-2"/>
        </w:rPr>
        <w:t>personnel in</w:t>
      </w:r>
      <w:r>
        <w:rPr>
          <w:spacing w:val="-12"/>
        </w:rPr>
        <w:t> </w:t>
      </w:r>
      <w:r>
        <w:rPr>
          <w:spacing w:val="-2"/>
        </w:rPr>
        <w:t>academia,</w:t>
      </w:r>
      <w:r>
        <w:rPr>
          <w:spacing w:val="-12"/>
        </w:rPr>
        <w:t> </w:t>
      </w:r>
      <w:r>
        <w:rPr>
          <w:spacing w:val="-2"/>
        </w:rPr>
        <w:t>litigation,</w:t>
      </w:r>
      <w:r>
        <w:rPr>
          <w:spacing w:val="-12"/>
        </w:rPr>
        <w:t> </w:t>
      </w:r>
      <w:r>
        <w:rPr>
          <w:spacing w:val="-2"/>
        </w:rPr>
        <w:t>corporate</w:t>
      </w:r>
      <w:r>
        <w:rPr>
          <w:spacing w:val="-11"/>
        </w:rPr>
        <w:t> </w:t>
      </w:r>
      <w:r>
        <w:rPr>
          <w:spacing w:val="-2"/>
        </w:rPr>
        <w:t>practice,</w:t>
      </w:r>
      <w:r>
        <w:rPr>
          <w:spacing w:val="-12"/>
        </w:rPr>
        <w:t> </w:t>
      </w:r>
      <w:r>
        <w:rPr>
          <w:spacing w:val="-2"/>
        </w:rPr>
        <w:t>government </w:t>
      </w:r>
      <w:r>
        <w:rPr/>
        <w:t>and civil society has increased significantly over the last</w:t>
      </w:r>
      <w:r>
        <w:rPr>
          <w:spacing w:val="-7"/>
        </w:rPr>
        <w:t> </w:t>
      </w:r>
      <w:r>
        <w:rPr/>
        <w:t>few</w:t>
      </w:r>
      <w:r>
        <w:rPr>
          <w:spacing w:val="-7"/>
        </w:rPr>
        <w:t> </w:t>
      </w:r>
      <w:r>
        <w:rPr/>
        <w:t>years</w:t>
      </w:r>
      <w:r>
        <w:rPr>
          <w:spacing w:val="-7"/>
        </w:rPr>
        <w:t> </w:t>
      </w:r>
      <w:r>
        <w:rPr/>
        <w:t>and</w:t>
      </w:r>
      <w:r>
        <w:rPr>
          <w:spacing w:val="-7"/>
        </w:rPr>
        <w:t> </w:t>
      </w:r>
      <w:r>
        <w:rPr/>
        <w:t>it</w:t>
      </w:r>
      <w:r>
        <w:rPr>
          <w:spacing w:val="-7"/>
        </w:rPr>
        <w:t> </w:t>
      </w:r>
      <w:r>
        <w:rPr/>
        <w:t>is</w:t>
      </w:r>
      <w:r>
        <w:rPr>
          <w:spacing w:val="-7"/>
        </w:rPr>
        <w:t> </w:t>
      </w:r>
      <w:r>
        <w:rPr/>
        <w:t>estimated</w:t>
      </w:r>
      <w:r>
        <w:rPr>
          <w:spacing w:val="-7"/>
        </w:rPr>
        <w:t> </w:t>
      </w:r>
      <w:r>
        <w:rPr/>
        <w:t>that</w:t>
      </w:r>
      <w:r>
        <w:rPr>
          <w:spacing w:val="-7"/>
        </w:rPr>
        <w:t> </w:t>
      </w:r>
      <w:r>
        <w:rPr/>
        <w:t>the</w:t>
      </w:r>
      <w:r>
        <w:rPr>
          <w:spacing w:val="-7"/>
        </w:rPr>
        <w:t> </w:t>
      </w:r>
      <w:r>
        <w:rPr/>
        <w:t>demands</w:t>
      </w:r>
      <w:r>
        <w:rPr>
          <w:spacing w:val="-7"/>
        </w:rPr>
        <w:t> </w:t>
      </w:r>
      <w:r>
        <w:rPr/>
        <w:t>for </w:t>
      </w:r>
      <w:r>
        <w:rPr>
          <w:spacing w:val="-2"/>
        </w:rPr>
        <w:t>such</w:t>
      </w:r>
      <w:r>
        <w:rPr>
          <w:spacing w:val="-9"/>
        </w:rPr>
        <w:t> </w:t>
      </w:r>
      <w:r>
        <w:rPr>
          <w:spacing w:val="-2"/>
        </w:rPr>
        <w:t>trained</w:t>
      </w:r>
      <w:r>
        <w:rPr>
          <w:spacing w:val="-9"/>
        </w:rPr>
        <w:t> </w:t>
      </w:r>
      <w:r>
        <w:rPr>
          <w:spacing w:val="-2"/>
        </w:rPr>
        <w:t>personnel</w:t>
      </w:r>
      <w:r>
        <w:rPr>
          <w:spacing w:val="-9"/>
        </w:rPr>
        <w:t> </w:t>
      </w:r>
      <w:r>
        <w:rPr>
          <w:spacing w:val="-2"/>
        </w:rPr>
        <w:t>will</w:t>
      </w:r>
      <w:r>
        <w:rPr>
          <w:spacing w:val="-9"/>
        </w:rPr>
        <w:t> </w:t>
      </w:r>
      <w:r>
        <w:rPr>
          <w:spacing w:val="-2"/>
        </w:rPr>
        <w:t>rise</w:t>
      </w:r>
      <w:r>
        <w:rPr>
          <w:spacing w:val="-9"/>
        </w:rPr>
        <w:t> </w:t>
      </w:r>
      <w:r>
        <w:rPr>
          <w:spacing w:val="-2"/>
        </w:rPr>
        <w:t>far</w:t>
      </w:r>
      <w:r>
        <w:rPr>
          <w:spacing w:val="-9"/>
        </w:rPr>
        <w:t> </w:t>
      </w:r>
      <w:r>
        <w:rPr>
          <w:spacing w:val="-2"/>
        </w:rPr>
        <w:t>more</w:t>
      </w:r>
      <w:r>
        <w:rPr>
          <w:spacing w:val="-9"/>
        </w:rPr>
        <w:t> </w:t>
      </w:r>
      <w:r>
        <w:rPr>
          <w:spacing w:val="-2"/>
        </w:rPr>
        <w:t>exponentially </w:t>
      </w:r>
      <w:r>
        <w:rPr/>
        <w:t>in the years to come. There is therefore a need to articulate a clear long term vision on legal education in India.</w:t>
      </w:r>
    </w:p>
    <w:p>
      <w:pPr>
        <w:pStyle w:val="Heading6"/>
        <w:spacing w:before="79"/>
        <w:ind w:left="319" w:firstLine="0"/>
        <w:jc w:val="both"/>
      </w:pPr>
      <w:r>
        <w:rPr>
          <w:b w:val="0"/>
        </w:rPr>
        <w:br w:type="column"/>
      </w:r>
      <w:r>
        <w:rPr>
          <w:color w:val="2E614A"/>
          <w:w w:val="90"/>
        </w:rPr>
        <w:t>Current</w:t>
      </w:r>
      <w:r>
        <w:rPr>
          <w:color w:val="2E614A"/>
          <w:spacing w:val="-1"/>
          <w:w w:val="90"/>
        </w:rPr>
        <w:t> </w:t>
      </w:r>
      <w:r>
        <w:rPr>
          <w:color w:val="2E614A"/>
          <w:spacing w:val="-2"/>
        </w:rPr>
        <w:t>Scenario</w:t>
      </w:r>
    </w:p>
    <w:p>
      <w:pPr>
        <w:pStyle w:val="BodyText"/>
        <w:spacing w:line="266" w:lineRule="auto" w:before="285"/>
        <w:ind w:left="319" w:right="1077"/>
        <w:jc w:val="both"/>
      </w:pPr>
      <w:r>
        <w:rPr>
          <w:b/>
        </w:rPr>
        <w:t>Institutions: </w:t>
      </w:r>
      <w:r>
        <w:rPr/>
        <w:t>As in 2006, there were roughly 750 institutions</w:t>
      </w:r>
      <w:r>
        <w:rPr>
          <w:spacing w:val="80"/>
        </w:rPr>
        <w:t> </w:t>
      </w:r>
      <w:r>
        <w:rPr/>
        <w:t>in</w:t>
      </w:r>
      <w:r>
        <w:rPr>
          <w:spacing w:val="80"/>
        </w:rPr>
        <w:t> </w:t>
      </w:r>
      <w:r>
        <w:rPr/>
        <w:t>India</w:t>
      </w:r>
      <w:r>
        <w:rPr>
          <w:spacing w:val="80"/>
        </w:rPr>
        <w:t> </w:t>
      </w:r>
      <w:r>
        <w:rPr/>
        <w:t>imparting</w:t>
      </w:r>
      <w:r>
        <w:rPr>
          <w:spacing w:val="80"/>
        </w:rPr>
        <w:t> </w:t>
      </w:r>
      <w:r>
        <w:rPr/>
        <w:t>legal</w:t>
      </w:r>
      <w:r>
        <w:rPr>
          <w:spacing w:val="80"/>
        </w:rPr>
        <w:t> </w:t>
      </w:r>
      <w:r>
        <w:rPr/>
        <w:t>education. Of</w:t>
      </w:r>
      <w:r>
        <w:rPr>
          <w:spacing w:val="80"/>
          <w:w w:val="150"/>
        </w:rPr>
        <w:t> </w:t>
      </w:r>
      <w:r>
        <w:rPr/>
        <w:t>these,</w:t>
      </w:r>
      <w:r>
        <w:rPr>
          <w:spacing w:val="80"/>
          <w:w w:val="150"/>
        </w:rPr>
        <w:t> </w:t>
      </w:r>
      <w:r>
        <w:rPr/>
        <w:t>153</w:t>
      </w:r>
      <w:r>
        <w:rPr>
          <w:spacing w:val="80"/>
          <w:w w:val="150"/>
        </w:rPr>
        <w:t> </w:t>
      </w:r>
      <w:r>
        <w:rPr/>
        <w:t>were</w:t>
      </w:r>
      <w:r>
        <w:rPr>
          <w:spacing w:val="80"/>
          <w:w w:val="150"/>
        </w:rPr>
        <w:t> </w:t>
      </w:r>
      <w:r>
        <w:rPr/>
        <w:t>government</w:t>
      </w:r>
      <w:r>
        <w:rPr>
          <w:spacing w:val="80"/>
          <w:w w:val="150"/>
        </w:rPr>
        <w:t> </w:t>
      </w:r>
      <w:r>
        <w:rPr/>
        <w:t>institutions</w:t>
      </w:r>
      <w:r>
        <w:rPr>
          <w:spacing w:val="40"/>
        </w:rPr>
        <w:t> </w:t>
      </w:r>
      <w:r>
        <w:rPr/>
        <w:t>and</w:t>
      </w:r>
      <w:r>
        <w:rPr>
          <w:spacing w:val="40"/>
        </w:rPr>
        <w:t> </w:t>
      </w:r>
      <w:r>
        <w:rPr/>
        <w:t>586</w:t>
      </w:r>
      <w:r>
        <w:rPr>
          <w:spacing w:val="40"/>
        </w:rPr>
        <w:t> </w:t>
      </w:r>
      <w:r>
        <w:rPr/>
        <w:t>were</w:t>
      </w:r>
      <w:r>
        <w:rPr>
          <w:spacing w:val="40"/>
        </w:rPr>
        <w:t> </w:t>
      </w:r>
      <w:r>
        <w:rPr/>
        <w:t>private</w:t>
      </w:r>
      <w:r>
        <w:rPr>
          <w:spacing w:val="40"/>
        </w:rPr>
        <w:t> </w:t>
      </w:r>
      <w:r>
        <w:rPr/>
        <w:t>institutions.</w:t>
      </w:r>
      <w:r>
        <w:rPr>
          <w:spacing w:val="40"/>
        </w:rPr>
        <w:t> </w:t>
      </w:r>
      <w:r>
        <w:rPr/>
        <w:t>There</w:t>
      </w:r>
      <w:r>
        <w:rPr>
          <w:spacing w:val="40"/>
        </w:rPr>
        <w:t> </w:t>
      </w:r>
      <w:r>
        <w:rPr/>
        <w:t>were</w:t>
      </w:r>
      <w:r>
        <w:rPr>
          <w:spacing w:val="40"/>
        </w:rPr>
        <w:t> </w:t>
      </w:r>
      <w:r>
        <w:rPr/>
        <w:t>a total</w:t>
      </w:r>
      <w:r>
        <w:rPr>
          <w:spacing w:val="-3"/>
        </w:rPr>
        <w:t> </w:t>
      </w:r>
      <w:r>
        <w:rPr/>
        <w:t>number</w:t>
      </w:r>
      <w:r>
        <w:rPr>
          <w:spacing w:val="-3"/>
        </w:rPr>
        <w:t> </w:t>
      </w:r>
      <w:r>
        <w:rPr/>
        <w:t>of</w:t>
      </w:r>
      <w:r>
        <w:rPr>
          <w:spacing w:val="-3"/>
        </w:rPr>
        <w:t> </w:t>
      </w:r>
      <w:r>
        <w:rPr/>
        <w:t>11</w:t>
      </w:r>
      <w:r>
        <w:rPr>
          <w:spacing w:val="-3"/>
        </w:rPr>
        <w:t> </w:t>
      </w:r>
      <w:r>
        <w:rPr/>
        <w:t>National</w:t>
      </w:r>
      <w:r>
        <w:rPr>
          <w:spacing w:val="-3"/>
        </w:rPr>
        <w:t> </w:t>
      </w:r>
      <w:r>
        <w:rPr/>
        <w:t>Law</w:t>
      </w:r>
      <w:r>
        <w:rPr>
          <w:spacing w:val="-3"/>
        </w:rPr>
        <w:t> </w:t>
      </w:r>
      <w:r>
        <w:rPr/>
        <w:t>School</w:t>
      </w:r>
      <w:r>
        <w:rPr>
          <w:spacing w:val="-3"/>
        </w:rPr>
        <w:t> </w:t>
      </w:r>
      <w:r>
        <w:rPr/>
        <w:t>Universities </w:t>
      </w:r>
      <w:r>
        <w:rPr>
          <w:spacing w:val="-2"/>
        </w:rPr>
        <w:t>(NLSUs).</w:t>
      </w:r>
    </w:p>
    <w:p>
      <w:pPr>
        <w:pStyle w:val="BodyText"/>
        <w:spacing w:before="22"/>
      </w:pPr>
    </w:p>
    <w:p>
      <w:pPr>
        <w:pStyle w:val="BodyText"/>
        <w:spacing w:line="266" w:lineRule="auto"/>
        <w:ind w:left="319" w:right="1077"/>
        <w:jc w:val="both"/>
      </w:pPr>
      <w:r>
        <w:rPr>
          <w:b/>
          <w:spacing w:val="-2"/>
        </w:rPr>
        <w:t>Enrolment:</w:t>
      </w:r>
      <w:r>
        <w:rPr>
          <w:b/>
          <w:spacing w:val="-6"/>
        </w:rPr>
        <w:t> </w:t>
      </w:r>
      <w:r>
        <w:rPr>
          <w:spacing w:val="-2"/>
        </w:rPr>
        <w:t>In</w:t>
      </w:r>
      <w:r>
        <w:rPr>
          <w:spacing w:val="-7"/>
        </w:rPr>
        <w:t> </w:t>
      </w:r>
      <w:r>
        <w:rPr>
          <w:spacing w:val="-2"/>
        </w:rPr>
        <w:t>2005-06,</w:t>
      </w:r>
      <w:r>
        <w:rPr>
          <w:spacing w:val="-7"/>
        </w:rPr>
        <w:t> </w:t>
      </w:r>
      <w:r>
        <w:rPr>
          <w:spacing w:val="-2"/>
        </w:rPr>
        <w:t>there</w:t>
      </w:r>
      <w:r>
        <w:rPr>
          <w:spacing w:val="-7"/>
        </w:rPr>
        <w:t> </w:t>
      </w:r>
      <w:r>
        <w:rPr>
          <w:spacing w:val="-2"/>
        </w:rPr>
        <w:t>were</w:t>
      </w:r>
      <w:r>
        <w:rPr>
          <w:spacing w:val="-7"/>
        </w:rPr>
        <w:t> </w:t>
      </w:r>
      <w:r>
        <w:rPr>
          <w:spacing w:val="-2"/>
        </w:rPr>
        <w:t>3.36</w:t>
      </w:r>
      <w:r>
        <w:rPr>
          <w:spacing w:val="-7"/>
        </w:rPr>
        <w:t> </w:t>
      </w:r>
      <w:r>
        <w:rPr>
          <w:spacing w:val="-2"/>
        </w:rPr>
        <w:t>lakh</w:t>
      </w:r>
      <w:r>
        <w:rPr>
          <w:spacing w:val="-7"/>
        </w:rPr>
        <w:t> </w:t>
      </w:r>
      <w:r>
        <w:rPr>
          <w:spacing w:val="-2"/>
        </w:rPr>
        <w:t>students </w:t>
      </w:r>
      <w:r>
        <w:rPr>
          <w:spacing w:val="-10"/>
        </w:rPr>
        <w:t>enrolled</w:t>
      </w:r>
      <w:r>
        <w:rPr>
          <w:spacing w:val="-4"/>
        </w:rPr>
        <w:t> </w:t>
      </w:r>
      <w:r>
        <w:rPr>
          <w:spacing w:val="-10"/>
        </w:rPr>
        <w:t>in</w:t>
      </w:r>
      <w:r>
        <w:rPr>
          <w:spacing w:val="-4"/>
        </w:rPr>
        <w:t> </w:t>
      </w:r>
      <w:r>
        <w:rPr>
          <w:spacing w:val="-10"/>
        </w:rPr>
        <w:t>legal</w:t>
      </w:r>
      <w:r>
        <w:rPr>
          <w:spacing w:val="-4"/>
        </w:rPr>
        <w:t> </w:t>
      </w:r>
      <w:r>
        <w:rPr>
          <w:spacing w:val="-10"/>
        </w:rPr>
        <w:t>education</w:t>
      </w:r>
      <w:r>
        <w:rPr>
          <w:spacing w:val="-3"/>
        </w:rPr>
        <w:t> </w:t>
      </w:r>
      <w:r>
        <w:rPr>
          <w:spacing w:val="-10"/>
        </w:rPr>
        <w:t>in</w:t>
      </w:r>
      <w:r>
        <w:rPr>
          <w:spacing w:val="-4"/>
        </w:rPr>
        <w:t> </w:t>
      </w:r>
      <w:r>
        <w:rPr>
          <w:spacing w:val="-10"/>
        </w:rPr>
        <w:t>India,</w:t>
      </w:r>
      <w:r>
        <w:rPr>
          <w:spacing w:val="-4"/>
        </w:rPr>
        <w:t> </w:t>
      </w:r>
      <w:r>
        <w:rPr>
          <w:spacing w:val="-10"/>
        </w:rPr>
        <w:t>accounting</w:t>
      </w:r>
      <w:r>
        <w:rPr>
          <w:spacing w:val="-4"/>
        </w:rPr>
        <w:t> </w:t>
      </w:r>
      <w:r>
        <w:rPr>
          <w:spacing w:val="-10"/>
        </w:rPr>
        <w:t>for</w:t>
      </w:r>
      <w:r>
        <w:rPr>
          <w:spacing w:val="-3"/>
        </w:rPr>
        <w:t> </w:t>
      </w:r>
      <w:r>
        <w:rPr>
          <w:spacing w:val="-10"/>
        </w:rPr>
        <w:t>3.05</w:t>
      </w:r>
      <w:r>
        <w:rPr>
          <w:spacing w:val="-4"/>
        </w:rPr>
        <w:t> </w:t>
      </w:r>
      <w:r>
        <w:rPr>
          <w:spacing w:val="-10"/>
        </w:rPr>
        <w:t>per </w:t>
      </w:r>
      <w:r>
        <w:rPr>
          <w:spacing w:val="-4"/>
        </w:rPr>
        <w:t>cent of the total enrolment in higher education. Further, </w:t>
      </w:r>
      <w:r>
        <w:rPr/>
        <w:t>a</w:t>
      </w:r>
      <w:r>
        <w:rPr>
          <w:spacing w:val="-9"/>
        </w:rPr>
        <w:t> </w:t>
      </w:r>
      <w:r>
        <w:rPr/>
        <w:t>total</w:t>
      </w:r>
      <w:r>
        <w:rPr>
          <w:spacing w:val="-9"/>
        </w:rPr>
        <w:t> </w:t>
      </w:r>
      <w:r>
        <w:rPr/>
        <w:t>of</w:t>
      </w:r>
      <w:r>
        <w:rPr>
          <w:spacing w:val="-9"/>
        </w:rPr>
        <w:t> </w:t>
      </w:r>
      <w:r>
        <w:rPr/>
        <w:t>936</w:t>
      </w:r>
      <w:r>
        <w:rPr>
          <w:spacing w:val="-9"/>
        </w:rPr>
        <w:t> </w:t>
      </w:r>
      <w:r>
        <w:rPr/>
        <w:t>students</w:t>
      </w:r>
      <w:r>
        <w:rPr>
          <w:spacing w:val="-9"/>
        </w:rPr>
        <w:t> </w:t>
      </w:r>
      <w:r>
        <w:rPr/>
        <w:t>were</w:t>
      </w:r>
      <w:r>
        <w:rPr>
          <w:spacing w:val="-9"/>
        </w:rPr>
        <w:t> </w:t>
      </w:r>
      <w:r>
        <w:rPr/>
        <w:t>admitted</w:t>
      </w:r>
      <w:r>
        <w:rPr>
          <w:spacing w:val="-9"/>
        </w:rPr>
        <w:t> </w:t>
      </w:r>
      <w:r>
        <w:rPr/>
        <w:t>to</w:t>
      </w:r>
      <w:r>
        <w:rPr>
          <w:spacing w:val="-9"/>
        </w:rPr>
        <w:t> </w:t>
      </w:r>
      <w:r>
        <w:rPr/>
        <w:t>the</w:t>
      </w:r>
      <w:r>
        <w:rPr>
          <w:spacing w:val="-9"/>
        </w:rPr>
        <w:t> </w:t>
      </w:r>
      <w:r>
        <w:rPr/>
        <w:t>NLSUs</w:t>
      </w:r>
      <w:r>
        <w:rPr>
          <w:spacing w:val="-9"/>
        </w:rPr>
        <w:t> </w:t>
      </w:r>
      <w:r>
        <w:rPr/>
        <w:t>in </w:t>
      </w:r>
      <w:r>
        <w:rPr>
          <w:spacing w:val="-2"/>
        </w:rPr>
        <w:t>2006.</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8"/>
        <w:spacing w:before="272"/>
        <w:ind w:left="1953"/>
      </w:pPr>
      <w:r>
        <w:rPr>
          <w:spacing w:val="-8"/>
        </w:rPr>
        <w:t>Figure</w:t>
      </w:r>
      <w:r>
        <w:rPr>
          <w:spacing w:val="-2"/>
        </w:rPr>
        <w:t> </w:t>
      </w:r>
      <w:r>
        <w:rPr>
          <w:spacing w:val="-8"/>
        </w:rPr>
        <w:t>25:</w:t>
      </w:r>
      <w:r>
        <w:rPr>
          <w:spacing w:val="-1"/>
        </w:rPr>
        <w:t> </w:t>
      </w:r>
      <w:r>
        <w:rPr>
          <w:color w:val="2E614A"/>
          <w:spacing w:val="-8"/>
        </w:rPr>
        <w:t>Number</w:t>
      </w:r>
      <w:r>
        <w:rPr>
          <w:color w:val="2E614A"/>
          <w:spacing w:val="-2"/>
        </w:rPr>
        <w:t> </w:t>
      </w:r>
      <w:r>
        <w:rPr>
          <w:color w:val="2E614A"/>
          <w:spacing w:val="-8"/>
        </w:rPr>
        <w:t>of</w:t>
      </w:r>
      <w:r>
        <w:rPr>
          <w:color w:val="2E614A"/>
          <w:spacing w:val="-1"/>
        </w:rPr>
        <w:t> </w:t>
      </w:r>
      <w:r>
        <w:rPr>
          <w:color w:val="2E614A"/>
          <w:spacing w:val="-8"/>
        </w:rPr>
        <w:t>institutions</w:t>
      </w:r>
      <w:r>
        <w:rPr>
          <w:color w:val="2E614A"/>
          <w:spacing w:val="-1"/>
        </w:rPr>
        <w:t> </w:t>
      </w:r>
      <w:r>
        <w:rPr>
          <w:color w:val="2E614A"/>
          <w:spacing w:val="-8"/>
        </w:rPr>
        <w:t>teaching</w:t>
      </w:r>
      <w:r>
        <w:rPr>
          <w:color w:val="2E614A"/>
          <w:spacing w:val="-2"/>
        </w:rPr>
        <w:t> </w:t>
      </w:r>
      <w:r>
        <w:rPr>
          <w:color w:val="2E614A"/>
          <w:spacing w:val="-8"/>
        </w:rPr>
        <w:t>law</w:t>
      </w:r>
      <w:r>
        <w:rPr>
          <w:color w:val="2E614A"/>
          <w:spacing w:val="-1"/>
        </w:rPr>
        <w:t> </w:t>
      </w:r>
      <w:r>
        <w:rPr>
          <w:color w:val="2E614A"/>
          <w:spacing w:val="-8"/>
        </w:rPr>
        <w:t>(2006)</w:t>
      </w:r>
    </w:p>
    <w:p>
      <w:pPr>
        <w:pStyle w:val="BodyText"/>
        <w:spacing w:before="2"/>
        <w:rPr>
          <w:b/>
          <w:sz w:val="16"/>
        </w:rPr>
      </w:pPr>
      <w:r>
        <w:rPr/>
        <mc:AlternateContent>
          <mc:Choice Requires="wps">
            <w:drawing>
              <wp:anchor distT="0" distB="0" distL="0" distR="0" allowOverlap="1" layoutInCell="1" locked="0" behindDoc="1" simplePos="0" relativeHeight="487694336">
                <wp:simplePos x="0" y="0"/>
                <wp:positionH relativeFrom="page">
                  <wp:posOffset>1255676</wp:posOffset>
                </wp:positionH>
                <wp:positionV relativeFrom="paragraph">
                  <wp:posOffset>133389</wp:posOffset>
                </wp:positionV>
                <wp:extent cx="5039360" cy="2510790"/>
                <wp:effectExtent l="0" t="0" r="0" b="0"/>
                <wp:wrapTopAndBottom/>
                <wp:docPr id="1596" name="Group 1596"/>
                <wp:cNvGraphicFramePr>
                  <a:graphicFrameLocks/>
                </wp:cNvGraphicFramePr>
                <a:graphic>
                  <a:graphicData uri="http://schemas.microsoft.com/office/word/2010/wordprocessingGroup">
                    <wpg:wgp>
                      <wpg:cNvPr id="1596" name="Group 1596"/>
                      <wpg:cNvGrpSpPr/>
                      <wpg:grpSpPr>
                        <a:xfrm>
                          <a:off x="0" y="0"/>
                          <a:ext cx="5039360" cy="2510790"/>
                          <a:chExt cx="5039360" cy="2510790"/>
                        </a:xfrm>
                      </wpg:grpSpPr>
                      <wps:wsp>
                        <wps:cNvPr id="1597" name="Graphic 1597"/>
                        <wps:cNvSpPr/>
                        <wps:spPr>
                          <a:xfrm>
                            <a:off x="806867" y="345363"/>
                            <a:ext cx="3641090" cy="1915160"/>
                          </a:xfrm>
                          <a:custGeom>
                            <a:avLst/>
                            <a:gdLst/>
                            <a:ahLst/>
                            <a:cxnLst/>
                            <a:rect l="l" t="t" r="r" b="b"/>
                            <a:pathLst>
                              <a:path w="3641090" h="1915160">
                                <a:moveTo>
                                  <a:pt x="312191" y="0"/>
                                </a:moveTo>
                                <a:lnTo>
                                  <a:pt x="0" y="0"/>
                                </a:lnTo>
                                <a:lnTo>
                                  <a:pt x="0" y="1915083"/>
                                </a:lnTo>
                                <a:lnTo>
                                  <a:pt x="312191" y="1915083"/>
                                </a:lnTo>
                                <a:lnTo>
                                  <a:pt x="312191" y="0"/>
                                </a:lnTo>
                                <a:close/>
                              </a:path>
                              <a:path w="3641090" h="1915160">
                                <a:moveTo>
                                  <a:pt x="1425930" y="1526781"/>
                                </a:moveTo>
                                <a:lnTo>
                                  <a:pt x="1108163" y="1526781"/>
                                </a:lnTo>
                                <a:lnTo>
                                  <a:pt x="1108163" y="1915083"/>
                                </a:lnTo>
                                <a:lnTo>
                                  <a:pt x="1425930" y="1915083"/>
                                </a:lnTo>
                                <a:lnTo>
                                  <a:pt x="1425930" y="1526781"/>
                                </a:lnTo>
                                <a:close/>
                              </a:path>
                              <a:path w="3641090" h="1915160">
                                <a:moveTo>
                                  <a:pt x="2534069" y="414782"/>
                                </a:moveTo>
                                <a:lnTo>
                                  <a:pt x="2221903" y="414782"/>
                                </a:lnTo>
                                <a:lnTo>
                                  <a:pt x="2221903" y="1915083"/>
                                </a:lnTo>
                                <a:lnTo>
                                  <a:pt x="2534069" y="1915083"/>
                                </a:lnTo>
                                <a:lnTo>
                                  <a:pt x="2534069" y="414782"/>
                                </a:lnTo>
                                <a:close/>
                              </a:path>
                              <a:path w="3641090" h="1915160">
                                <a:moveTo>
                                  <a:pt x="3641039" y="1888617"/>
                                </a:moveTo>
                                <a:lnTo>
                                  <a:pt x="3328860" y="1888617"/>
                                </a:lnTo>
                                <a:lnTo>
                                  <a:pt x="3328860" y="1915083"/>
                                </a:lnTo>
                                <a:lnTo>
                                  <a:pt x="3641039" y="1915083"/>
                                </a:lnTo>
                                <a:lnTo>
                                  <a:pt x="3641039" y="1888617"/>
                                </a:lnTo>
                                <a:close/>
                              </a:path>
                            </a:pathLst>
                          </a:custGeom>
                          <a:solidFill>
                            <a:srgbClr val="2F7D41"/>
                          </a:solidFill>
                        </wps:spPr>
                        <wps:bodyPr wrap="square" lIns="0" tIns="0" rIns="0" bIns="0" rtlCol="0">
                          <a:prstTxWarp prst="textNoShape">
                            <a:avLst/>
                          </a:prstTxWarp>
                          <a:noAutofit/>
                        </wps:bodyPr>
                      </wps:wsp>
                      <wps:wsp>
                        <wps:cNvPr id="1598" name="Graphic 1598"/>
                        <wps:cNvSpPr/>
                        <wps:spPr>
                          <a:xfrm>
                            <a:off x="-1" y="0"/>
                            <a:ext cx="5039360" cy="2510790"/>
                          </a:xfrm>
                          <a:custGeom>
                            <a:avLst/>
                            <a:gdLst/>
                            <a:ahLst/>
                            <a:cxnLst/>
                            <a:rect l="l" t="t" r="r" b="b"/>
                            <a:pathLst>
                              <a:path w="5039360" h="2510790">
                                <a:moveTo>
                                  <a:pt x="4852479" y="2257272"/>
                                </a:moveTo>
                                <a:lnTo>
                                  <a:pt x="4852479" y="2257272"/>
                                </a:lnTo>
                                <a:lnTo>
                                  <a:pt x="416636" y="2257272"/>
                                </a:lnTo>
                                <a:lnTo>
                                  <a:pt x="416636" y="209816"/>
                                </a:lnTo>
                                <a:lnTo>
                                  <a:pt x="410286" y="209816"/>
                                </a:lnTo>
                                <a:lnTo>
                                  <a:pt x="378447" y="209816"/>
                                </a:lnTo>
                                <a:lnTo>
                                  <a:pt x="378447" y="216166"/>
                                </a:lnTo>
                                <a:lnTo>
                                  <a:pt x="410286" y="216166"/>
                                </a:lnTo>
                                <a:lnTo>
                                  <a:pt x="410286" y="465747"/>
                                </a:lnTo>
                                <a:lnTo>
                                  <a:pt x="378447" y="465747"/>
                                </a:lnTo>
                                <a:lnTo>
                                  <a:pt x="378447" y="472097"/>
                                </a:lnTo>
                                <a:lnTo>
                                  <a:pt x="410286" y="472097"/>
                                </a:lnTo>
                                <a:lnTo>
                                  <a:pt x="410286" y="721677"/>
                                </a:lnTo>
                                <a:lnTo>
                                  <a:pt x="378447" y="721677"/>
                                </a:lnTo>
                                <a:lnTo>
                                  <a:pt x="378447" y="728027"/>
                                </a:lnTo>
                                <a:lnTo>
                                  <a:pt x="410286" y="728027"/>
                                </a:lnTo>
                                <a:lnTo>
                                  <a:pt x="410286" y="977607"/>
                                </a:lnTo>
                                <a:lnTo>
                                  <a:pt x="378447" y="977607"/>
                                </a:lnTo>
                                <a:lnTo>
                                  <a:pt x="378447" y="983957"/>
                                </a:lnTo>
                                <a:lnTo>
                                  <a:pt x="410286" y="983957"/>
                                </a:lnTo>
                                <a:lnTo>
                                  <a:pt x="410286" y="1233551"/>
                                </a:lnTo>
                                <a:lnTo>
                                  <a:pt x="378447" y="1233551"/>
                                </a:lnTo>
                                <a:lnTo>
                                  <a:pt x="378447" y="1239901"/>
                                </a:lnTo>
                                <a:lnTo>
                                  <a:pt x="410286" y="1239901"/>
                                </a:lnTo>
                                <a:lnTo>
                                  <a:pt x="410286" y="1489481"/>
                                </a:lnTo>
                                <a:lnTo>
                                  <a:pt x="378447" y="1489481"/>
                                </a:lnTo>
                                <a:lnTo>
                                  <a:pt x="378447" y="1495831"/>
                                </a:lnTo>
                                <a:lnTo>
                                  <a:pt x="410286" y="1495831"/>
                                </a:lnTo>
                                <a:lnTo>
                                  <a:pt x="410286" y="1745411"/>
                                </a:lnTo>
                                <a:lnTo>
                                  <a:pt x="378447" y="1745411"/>
                                </a:lnTo>
                                <a:lnTo>
                                  <a:pt x="378447" y="1751761"/>
                                </a:lnTo>
                                <a:lnTo>
                                  <a:pt x="410286" y="1751761"/>
                                </a:lnTo>
                                <a:lnTo>
                                  <a:pt x="410286" y="2001342"/>
                                </a:lnTo>
                                <a:lnTo>
                                  <a:pt x="378447" y="2001342"/>
                                </a:lnTo>
                                <a:lnTo>
                                  <a:pt x="378447" y="2007692"/>
                                </a:lnTo>
                                <a:lnTo>
                                  <a:pt x="410286" y="2007692"/>
                                </a:lnTo>
                                <a:lnTo>
                                  <a:pt x="410286" y="2257272"/>
                                </a:lnTo>
                                <a:lnTo>
                                  <a:pt x="378447" y="2257272"/>
                                </a:lnTo>
                                <a:lnTo>
                                  <a:pt x="378447" y="2263622"/>
                                </a:lnTo>
                                <a:lnTo>
                                  <a:pt x="410286" y="2263622"/>
                                </a:lnTo>
                                <a:lnTo>
                                  <a:pt x="410286" y="2298941"/>
                                </a:lnTo>
                                <a:lnTo>
                                  <a:pt x="416636" y="2298941"/>
                                </a:lnTo>
                                <a:lnTo>
                                  <a:pt x="416636" y="2263622"/>
                                </a:lnTo>
                                <a:lnTo>
                                  <a:pt x="1517256" y="2263622"/>
                                </a:lnTo>
                                <a:lnTo>
                                  <a:pt x="1517256" y="2298941"/>
                                </a:lnTo>
                                <a:lnTo>
                                  <a:pt x="1523606" y="2298941"/>
                                </a:lnTo>
                                <a:lnTo>
                                  <a:pt x="1523606" y="2263622"/>
                                </a:lnTo>
                                <a:lnTo>
                                  <a:pt x="2632189" y="2263622"/>
                                </a:lnTo>
                                <a:lnTo>
                                  <a:pt x="2632189" y="2298941"/>
                                </a:lnTo>
                                <a:lnTo>
                                  <a:pt x="2638539" y="2298941"/>
                                </a:lnTo>
                                <a:lnTo>
                                  <a:pt x="2638539" y="2263622"/>
                                </a:lnTo>
                                <a:lnTo>
                                  <a:pt x="3739159" y="2263622"/>
                                </a:lnTo>
                                <a:lnTo>
                                  <a:pt x="3739159" y="2298941"/>
                                </a:lnTo>
                                <a:lnTo>
                                  <a:pt x="3745509" y="2298941"/>
                                </a:lnTo>
                                <a:lnTo>
                                  <a:pt x="3745509" y="2263622"/>
                                </a:lnTo>
                                <a:lnTo>
                                  <a:pt x="4846129" y="2263622"/>
                                </a:lnTo>
                                <a:lnTo>
                                  <a:pt x="4846129" y="2298941"/>
                                </a:lnTo>
                                <a:lnTo>
                                  <a:pt x="4852479" y="2298941"/>
                                </a:lnTo>
                                <a:lnTo>
                                  <a:pt x="4852479" y="2257272"/>
                                </a:lnTo>
                                <a:close/>
                              </a:path>
                              <a:path w="5039360" h="2510790">
                                <a:moveTo>
                                  <a:pt x="5039042" y="0"/>
                                </a:moveTo>
                                <a:lnTo>
                                  <a:pt x="5032692" y="0"/>
                                </a:lnTo>
                                <a:lnTo>
                                  <a:pt x="5032692" y="6845"/>
                                </a:lnTo>
                                <a:lnTo>
                                  <a:pt x="5032692" y="2504440"/>
                                </a:lnTo>
                                <a:lnTo>
                                  <a:pt x="5032692" y="2504643"/>
                                </a:lnTo>
                                <a:lnTo>
                                  <a:pt x="5032692" y="2507818"/>
                                </a:lnTo>
                                <a:lnTo>
                                  <a:pt x="5032692" y="2508250"/>
                                </a:lnTo>
                                <a:lnTo>
                                  <a:pt x="3175" y="2508250"/>
                                </a:lnTo>
                                <a:lnTo>
                                  <a:pt x="3175" y="2507818"/>
                                </a:lnTo>
                                <a:lnTo>
                                  <a:pt x="6350" y="2507818"/>
                                </a:lnTo>
                                <a:lnTo>
                                  <a:pt x="5032692" y="2507818"/>
                                </a:lnTo>
                                <a:lnTo>
                                  <a:pt x="5032692" y="2504643"/>
                                </a:lnTo>
                                <a:lnTo>
                                  <a:pt x="6350" y="2504643"/>
                                </a:lnTo>
                                <a:lnTo>
                                  <a:pt x="3175" y="2504643"/>
                                </a:lnTo>
                                <a:lnTo>
                                  <a:pt x="3175" y="2504440"/>
                                </a:lnTo>
                                <a:lnTo>
                                  <a:pt x="6350" y="2504440"/>
                                </a:lnTo>
                                <a:lnTo>
                                  <a:pt x="6350" y="6845"/>
                                </a:lnTo>
                                <a:lnTo>
                                  <a:pt x="5032692" y="6845"/>
                                </a:lnTo>
                                <a:lnTo>
                                  <a:pt x="5032692" y="0"/>
                                </a:lnTo>
                                <a:lnTo>
                                  <a:pt x="0" y="0"/>
                                </a:lnTo>
                                <a:lnTo>
                                  <a:pt x="0" y="3810"/>
                                </a:lnTo>
                                <a:lnTo>
                                  <a:pt x="0" y="6350"/>
                                </a:lnTo>
                                <a:lnTo>
                                  <a:pt x="0" y="2504440"/>
                                </a:lnTo>
                                <a:lnTo>
                                  <a:pt x="0" y="2508250"/>
                                </a:lnTo>
                                <a:lnTo>
                                  <a:pt x="0" y="2510790"/>
                                </a:lnTo>
                                <a:lnTo>
                                  <a:pt x="5039042" y="2510790"/>
                                </a:lnTo>
                                <a:lnTo>
                                  <a:pt x="5039042" y="2508250"/>
                                </a:lnTo>
                                <a:lnTo>
                                  <a:pt x="5035867" y="2508250"/>
                                </a:lnTo>
                                <a:lnTo>
                                  <a:pt x="5035867" y="2507818"/>
                                </a:lnTo>
                                <a:lnTo>
                                  <a:pt x="5039042" y="2507818"/>
                                </a:lnTo>
                                <a:lnTo>
                                  <a:pt x="5039042" y="2504643"/>
                                </a:lnTo>
                                <a:lnTo>
                                  <a:pt x="5035867" y="2504643"/>
                                </a:lnTo>
                                <a:lnTo>
                                  <a:pt x="5035867" y="2504440"/>
                                </a:lnTo>
                                <a:lnTo>
                                  <a:pt x="5039042" y="2504440"/>
                                </a:lnTo>
                                <a:lnTo>
                                  <a:pt x="5039042" y="6845"/>
                                </a:lnTo>
                                <a:lnTo>
                                  <a:pt x="5039042" y="6350"/>
                                </a:lnTo>
                                <a:lnTo>
                                  <a:pt x="5039042" y="3810"/>
                                </a:lnTo>
                                <a:lnTo>
                                  <a:pt x="5039042" y="3670"/>
                                </a:lnTo>
                                <a:lnTo>
                                  <a:pt x="5039042" y="0"/>
                                </a:lnTo>
                                <a:close/>
                              </a:path>
                            </a:pathLst>
                          </a:custGeom>
                          <a:solidFill>
                            <a:srgbClr val="000000"/>
                          </a:solidFill>
                        </wps:spPr>
                        <wps:bodyPr wrap="square" lIns="0" tIns="0" rIns="0" bIns="0" rtlCol="0">
                          <a:prstTxWarp prst="textNoShape">
                            <a:avLst/>
                          </a:prstTxWarp>
                          <a:noAutofit/>
                        </wps:bodyPr>
                      </wps:wsp>
                      <wps:wsp>
                        <wps:cNvPr id="1599" name="Textbox 1599"/>
                        <wps:cNvSpPr txBox="1"/>
                        <wps:spPr>
                          <a:xfrm>
                            <a:off x="4136459" y="2114180"/>
                            <a:ext cx="207645" cy="291465"/>
                          </a:xfrm>
                          <a:prstGeom prst="rect">
                            <a:avLst/>
                          </a:prstGeom>
                        </wps:spPr>
                        <wps:txbx>
                          <w:txbxContent>
                            <w:p>
                              <w:pPr>
                                <w:spacing w:line="161" w:lineRule="exact" w:before="0"/>
                                <w:ind w:left="168" w:right="0" w:firstLine="0"/>
                                <w:jc w:val="left"/>
                                <w:rPr>
                                  <w:rFonts w:ascii="Arial MT"/>
                                  <w:sz w:val="14"/>
                                </w:rPr>
                              </w:pPr>
                              <w:r>
                                <w:rPr>
                                  <w:rFonts w:ascii="Arial MT"/>
                                  <w:spacing w:val="-5"/>
                                  <w:w w:val="90"/>
                                  <w:sz w:val="14"/>
                                </w:rPr>
                                <w:t>11</w:t>
                              </w:r>
                            </w:p>
                            <w:p>
                              <w:pPr>
                                <w:spacing w:before="137"/>
                                <w:ind w:left="0" w:right="0" w:firstLine="0"/>
                                <w:jc w:val="left"/>
                                <w:rPr>
                                  <w:rFonts w:ascii="Arial MT"/>
                                  <w:sz w:val="14"/>
                                </w:rPr>
                              </w:pPr>
                              <w:r>
                                <w:rPr>
                                  <w:rFonts w:ascii="Arial MT"/>
                                  <w:spacing w:val="-4"/>
                                  <w:w w:val="85"/>
                                  <w:sz w:val="14"/>
                                </w:rPr>
                                <w:t>NLSU</w:t>
                              </w:r>
                            </w:p>
                          </w:txbxContent>
                        </wps:txbx>
                        <wps:bodyPr wrap="square" lIns="0" tIns="0" rIns="0" bIns="0" rtlCol="0">
                          <a:noAutofit/>
                        </wps:bodyPr>
                      </wps:wsp>
                      <wps:wsp>
                        <wps:cNvPr id="1600" name="Textbox 1600"/>
                        <wps:cNvSpPr txBox="1"/>
                        <wps:spPr>
                          <a:xfrm>
                            <a:off x="209945" y="181612"/>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800</w:t>
                              </w:r>
                            </w:p>
                          </w:txbxContent>
                        </wps:txbx>
                        <wps:bodyPr wrap="square" lIns="0" tIns="0" rIns="0" bIns="0" rtlCol="0">
                          <a:noAutofit/>
                        </wps:bodyPr>
                      </wps:wsp>
                      <wps:wsp>
                        <wps:cNvPr id="1601" name="Textbox 1601"/>
                        <wps:cNvSpPr txBox="1"/>
                        <wps:spPr>
                          <a:xfrm>
                            <a:off x="917655" y="22933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749</w:t>
                              </w:r>
                            </w:p>
                          </w:txbxContent>
                        </wps:txbx>
                        <wps:bodyPr wrap="square" lIns="0" tIns="0" rIns="0" bIns="0" rtlCol="0">
                          <a:noAutofit/>
                        </wps:bodyPr>
                      </wps:wsp>
                      <wps:wsp>
                        <wps:cNvPr id="1602" name="Textbox 1602"/>
                        <wps:cNvSpPr txBox="1"/>
                        <wps:spPr>
                          <a:xfrm>
                            <a:off x="209945" y="435612"/>
                            <a:ext cx="134620" cy="356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700</w:t>
                              </w:r>
                            </w:p>
                            <w:p>
                              <w:pPr>
                                <w:spacing w:line="240" w:lineRule="auto" w:before="78"/>
                                <w:rPr>
                                  <w:rFonts w:ascii="Arial MT"/>
                                  <w:sz w:val="14"/>
                                </w:rPr>
                              </w:pPr>
                            </w:p>
                            <w:p>
                              <w:pPr>
                                <w:spacing w:before="0"/>
                                <w:ind w:left="0" w:right="0" w:firstLine="0"/>
                                <w:jc w:val="left"/>
                                <w:rPr>
                                  <w:rFonts w:ascii="Arial MT"/>
                                  <w:sz w:val="14"/>
                                </w:rPr>
                              </w:pPr>
                              <w:r>
                                <w:rPr>
                                  <w:rFonts w:ascii="Arial MT"/>
                                  <w:spacing w:val="-5"/>
                                  <w:w w:val="90"/>
                                  <w:sz w:val="14"/>
                                </w:rPr>
                                <w:t>600</w:t>
                              </w:r>
                            </w:p>
                          </w:txbxContent>
                        </wps:txbx>
                        <wps:bodyPr wrap="square" lIns="0" tIns="0" rIns="0" bIns="0" rtlCol="0">
                          <a:noAutofit/>
                        </wps:bodyPr>
                      </wps:wsp>
                      <wps:wsp>
                        <wps:cNvPr id="1603" name="Textbox 1603"/>
                        <wps:cNvSpPr txBox="1"/>
                        <wps:spPr>
                          <a:xfrm>
                            <a:off x="3115417" y="643998"/>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586</w:t>
                              </w:r>
                            </w:p>
                          </w:txbxContent>
                        </wps:txbx>
                        <wps:bodyPr wrap="square" lIns="0" tIns="0" rIns="0" bIns="0" rtlCol="0">
                          <a:noAutofit/>
                        </wps:bodyPr>
                      </wps:wsp>
                      <wps:wsp>
                        <wps:cNvPr id="1604" name="Textbox 1604"/>
                        <wps:cNvSpPr txBox="1"/>
                        <wps:spPr>
                          <a:xfrm>
                            <a:off x="209945" y="943612"/>
                            <a:ext cx="134620" cy="864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500</w:t>
                              </w:r>
                            </w:p>
                            <w:p>
                              <w:pPr>
                                <w:spacing w:line="240" w:lineRule="auto" w:before="78"/>
                                <w:rPr>
                                  <w:rFonts w:ascii="Arial MT"/>
                                  <w:sz w:val="14"/>
                                </w:rPr>
                              </w:pPr>
                            </w:p>
                            <w:p>
                              <w:pPr>
                                <w:spacing w:before="0"/>
                                <w:ind w:left="0" w:right="0" w:firstLine="0"/>
                                <w:jc w:val="left"/>
                                <w:rPr>
                                  <w:rFonts w:ascii="Arial MT"/>
                                  <w:sz w:val="14"/>
                                </w:rPr>
                              </w:pPr>
                              <w:r>
                                <w:rPr>
                                  <w:rFonts w:ascii="Arial MT"/>
                                  <w:spacing w:val="-5"/>
                                  <w:w w:val="90"/>
                                  <w:sz w:val="14"/>
                                </w:rPr>
                                <w:t>400</w:t>
                              </w:r>
                            </w:p>
                            <w:p>
                              <w:pPr>
                                <w:spacing w:line="240" w:lineRule="auto" w:before="78"/>
                                <w:rPr>
                                  <w:rFonts w:ascii="Arial MT"/>
                                  <w:sz w:val="14"/>
                                </w:rPr>
                              </w:pPr>
                            </w:p>
                            <w:p>
                              <w:pPr>
                                <w:spacing w:before="0"/>
                                <w:ind w:left="0" w:right="0" w:firstLine="0"/>
                                <w:jc w:val="left"/>
                                <w:rPr>
                                  <w:rFonts w:ascii="Arial MT"/>
                                  <w:sz w:val="14"/>
                                </w:rPr>
                              </w:pPr>
                              <w:r>
                                <w:rPr>
                                  <w:rFonts w:ascii="Arial MT"/>
                                  <w:spacing w:val="-5"/>
                                  <w:w w:val="90"/>
                                  <w:sz w:val="14"/>
                                </w:rPr>
                                <w:t>300</w:t>
                              </w:r>
                            </w:p>
                            <w:p>
                              <w:pPr>
                                <w:spacing w:line="240" w:lineRule="auto" w:before="78"/>
                                <w:rPr>
                                  <w:rFonts w:ascii="Arial MT"/>
                                  <w:sz w:val="14"/>
                                </w:rPr>
                              </w:pPr>
                            </w:p>
                            <w:p>
                              <w:pPr>
                                <w:spacing w:before="0"/>
                                <w:ind w:left="0" w:right="0" w:firstLine="0"/>
                                <w:jc w:val="left"/>
                                <w:rPr>
                                  <w:rFonts w:ascii="Arial MT"/>
                                  <w:sz w:val="14"/>
                                </w:rPr>
                              </w:pPr>
                              <w:r>
                                <w:rPr>
                                  <w:rFonts w:ascii="Arial MT"/>
                                  <w:spacing w:val="-5"/>
                                  <w:w w:val="90"/>
                                  <w:sz w:val="14"/>
                                </w:rPr>
                                <w:t>200</w:t>
                              </w:r>
                            </w:p>
                          </w:txbxContent>
                        </wps:txbx>
                        <wps:bodyPr wrap="square" lIns="0" tIns="0" rIns="0" bIns="0" rtlCol="0">
                          <a:noAutofit/>
                        </wps:bodyPr>
                      </wps:wsp>
                      <wps:wsp>
                        <wps:cNvPr id="1605" name="Textbox 1605"/>
                        <wps:cNvSpPr txBox="1"/>
                        <wps:spPr>
                          <a:xfrm>
                            <a:off x="2027992" y="1755916"/>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153</w:t>
                              </w:r>
                            </w:p>
                          </w:txbxContent>
                        </wps:txbx>
                        <wps:bodyPr wrap="square" lIns="0" tIns="0" rIns="0" bIns="0" rtlCol="0">
                          <a:noAutofit/>
                        </wps:bodyPr>
                      </wps:wsp>
                      <wps:wsp>
                        <wps:cNvPr id="1606" name="Textbox 1606"/>
                        <wps:cNvSpPr txBox="1"/>
                        <wps:spPr>
                          <a:xfrm>
                            <a:off x="209945" y="1959612"/>
                            <a:ext cx="134620" cy="356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100</w:t>
                              </w:r>
                            </w:p>
                            <w:p>
                              <w:pPr>
                                <w:spacing w:line="240" w:lineRule="auto" w:before="78"/>
                                <w:rPr>
                                  <w:rFonts w:ascii="Arial MT"/>
                                  <w:sz w:val="14"/>
                                </w:rPr>
                              </w:pPr>
                            </w:p>
                            <w:p>
                              <w:pPr>
                                <w:spacing w:before="0"/>
                                <w:ind w:left="127"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607" name="Textbox 1607"/>
                        <wps:cNvSpPr txBox="1"/>
                        <wps:spPr>
                          <a:xfrm>
                            <a:off x="873694" y="2303362"/>
                            <a:ext cx="167005"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Total</w:t>
                              </w:r>
                            </w:p>
                          </w:txbxContent>
                        </wps:txbx>
                        <wps:bodyPr wrap="square" lIns="0" tIns="0" rIns="0" bIns="0" rtlCol="0">
                          <a:noAutofit/>
                        </wps:bodyPr>
                      </wps:wsp>
                      <wps:wsp>
                        <wps:cNvPr id="1608" name="Textbox 1608"/>
                        <wps:cNvSpPr txBox="1"/>
                        <wps:spPr>
                          <a:xfrm>
                            <a:off x="1810561" y="2303362"/>
                            <a:ext cx="4140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0"/>
                                  <w:sz w:val="14"/>
                                </w:rPr>
                                <w:t>Government</w:t>
                              </w:r>
                            </w:p>
                          </w:txbxContent>
                        </wps:txbx>
                        <wps:bodyPr wrap="square" lIns="0" tIns="0" rIns="0" bIns="0" rtlCol="0">
                          <a:noAutofit/>
                        </wps:bodyPr>
                      </wps:wsp>
                      <wps:wsp>
                        <wps:cNvPr id="1609" name="Textbox 1609"/>
                        <wps:cNvSpPr txBox="1"/>
                        <wps:spPr>
                          <a:xfrm>
                            <a:off x="2989903" y="2303362"/>
                            <a:ext cx="240029"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Private</w:t>
                              </w:r>
                            </w:p>
                          </w:txbxContent>
                        </wps:txbx>
                        <wps:bodyPr wrap="square" lIns="0" tIns="0" rIns="0" bIns="0" rtlCol="0">
                          <a:noAutofit/>
                        </wps:bodyPr>
                      </wps:wsp>
                    </wpg:wgp>
                  </a:graphicData>
                </a:graphic>
              </wp:anchor>
            </w:drawing>
          </mc:Choice>
          <mc:Fallback>
            <w:pict>
              <v:group style="position:absolute;margin-left:98.872131pt;margin-top:10.503077pt;width:396.8pt;height:197.7pt;mso-position-horizontal-relative:page;mso-position-vertical-relative:paragraph;z-index:-15622144;mso-wrap-distance-left:0;mso-wrap-distance-right:0" id="docshapegroup1583" coordorigin="1977,210" coordsize="7936,3954">
                <v:shape style="position:absolute;left:3248;top:753;width:5734;height:3016" id="docshape1584" coordorigin="3248,754" coordsize="5734,3016" path="m3740,754l3248,754,3248,3770,3740,3770,3740,754xm5494,3158l4993,3158,4993,3770,5494,3770,5494,3158xm7239,1407l6747,1407,6747,3770,7239,3770,7239,1407xm8982,3728l8490,3728,8490,3770,8982,3770,8982,3728xe" filled="true" fillcolor="#2f7d41" stroked="false">
                  <v:path arrowok="t"/>
                  <v:fill type="solid"/>
                </v:shape>
                <v:shape style="position:absolute;left:1977;top:210;width:7936;height:3954" id="docshape1585" coordorigin="1977,210" coordsize="7936,3954" path="m9619,3765l9609,3765,7876,3765,7866,3765,6133,3765,6123,3765,4377,3765,4367,3765,2634,3765,2634,540,2624,540,2573,540,2573,550,2624,550,2624,944,2573,944,2573,954,2624,954,2624,1347,2573,1347,2573,1357,2624,1357,2624,1750,2573,1750,2573,1760,2624,1760,2624,2153,2573,2153,2573,2163,2624,2163,2624,2556,2573,2556,2573,2566,2624,2566,2624,2959,2573,2959,2573,2969,2624,2969,2624,3362,2573,3362,2573,3372,2624,3372,2624,3765,2573,3765,2573,3775,2624,3775,2624,3830,2634,3830,2634,3775,4367,3775,4367,3830,4377,3830,4377,3775,6123,3775,6123,3830,6133,3830,6133,3775,7866,3775,7866,3830,7876,3830,7876,3775,9609,3775,9609,3830,9619,3830,9619,3765xm9913,210l9903,210,9903,221,9903,4154,9903,4154,9903,4159,9903,4160,1982,4160,1982,4159,1987,4159,9903,4159,9903,4154,1987,4154,1982,4154,1982,4154,1987,4154,1987,221,9903,221,9903,210,1977,210,1977,216,1977,220,1977,4154,1977,4160,1977,4164,9913,4164,9913,4160,9908,4160,9908,4159,9913,4159,9913,4154,9908,4154,9908,4154,9913,4154,9913,221,9913,220,9913,216,9913,216,9913,210xe" filled="true" fillcolor="#000000" stroked="false">
                  <v:path arrowok="t"/>
                  <v:fill type="solid"/>
                </v:shape>
                <v:shape style="position:absolute;left:8491;top:3539;width:327;height:459" type="#_x0000_t202" id="docshape1586" filled="false" stroked="false">
                  <v:textbox inset="0,0,0,0">
                    <w:txbxContent>
                      <w:p>
                        <w:pPr>
                          <w:spacing w:line="161" w:lineRule="exact" w:before="0"/>
                          <w:ind w:left="168" w:right="0" w:firstLine="0"/>
                          <w:jc w:val="left"/>
                          <w:rPr>
                            <w:rFonts w:ascii="Arial MT"/>
                            <w:sz w:val="14"/>
                          </w:rPr>
                        </w:pPr>
                        <w:r>
                          <w:rPr>
                            <w:rFonts w:ascii="Arial MT"/>
                            <w:spacing w:val="-5"/>
                            <w:w w:val="90"/>
                            <w:sz w:val="14"/>
                          </w:rPr>
                          <w:t>11</w:t>
                        </w:r>
                      </w:p>
                      <w:p>
                        <w:pPr>
                          <w:spacing w:before="137"/>
                          <w:ind w:left="0" w:right="0" w:firstLine="0"/>
                          <w:jc w:val="left"/>
                          <w:rPr>
                            <w:rFonts w:ascii="Arial MT"/>
                            <w:sz w:val="14"/>
                          </w:rPr>
                        </w:pPr>
                        <w:r>
                          <w:rPr>
                            <w:rFonts w:ascii="Arial MT"/>
                            <w:spacing w:val="-4"/>
                            <w:w w:val="85"/>
                            <w:sz w:val="14"/>
                          </w:rPr>
                          <w:t>NLSU</w:t>
                        </w:r>
                      </w:p>
                    </w:txbxContent>
                  </v:textbox>
                  <w10:wrap type="none"/>
                </v:shape>
                <v:shape style="position:absolute;left:2308;top:496;width:212;height:161" type="#_x0000_t202" id="docshape1587" filled="false" stroked="false">
                  <v:textbox inset="0,0,0,0">
                    <w:txbxContent>
                      <w:p>
                        <w:pPr>
                          <w:spacing w:line="161" w:lineRule="exact" w:before="0"/>
                          <w:ind w:left="0" w:right="0" w:firstLine="0"/>
                          <w:jc w:val="left"/>
                          <w:rPr>
                            <w:rFonts w:ascii="Arial MT"/>
                            <w:sz w:val="14"/>
                          </w:rPr>
                        </w:pPr>
                        <w:r>
                          <w:rPr>
                            <w:rFonts w:ascii="Arial MT"/>
                            <w:spacing w:val="-5"/>
                            <w:w w:val="90"/>
                            <w:sz w:val="14"/>
                          </w:rPr>
                          <w:t>800</w:t>
                        </w:r>
                      </w:p>
                    </w:txbxContent>
                  </v:textbox>
                  <w10:wrap type="none"/>
                </v:shape>
                <v:shape style="position:absolute;left:3422;top:571;width:212;height:161" type="#_x0000_t202" id="docshape1588" filled="false" stroked="false">
                  <v:textbox inset="0,0,0,0">
                    <w:txbxContent>
                      <w:p>
                        <w:pPr>
                          <w:spacing w:line="161" w:lineRule="exact" w:before="0"/>
                          <w:ind w:left="0" w:right="0" w:firstLine="0"/>
                          <w:jc w:val="left"/>
                          <w:rPr>
                            <w:rFonts w:ascii="Arial MT"/>
                            <w:sz w:val="14"/>
                          </w:rPr>
                        </w:pPr>
                        <w:r>
                          <w:rPr>
                            <w:rFonts w:ascii="Arial MT"/>
                            <w:spacing w:val="-5"/>
                            <w:w w:val="90"/>
                            <w:sz w:val="14"/>
                          </w:rPr>
                          <w:t>749</w:t>
                        </w:r>
                      </w:p>
                    </w:txbxContent>
                  </v:textbox>
                  <w10:wrap type="none"/>
                </v:shape>
                <v:shape style="position:absolute;left:2308;top:896;width:212;height:561" type="#_x0000_t202" id="docshape1589" filled="false" stroked="false">
                  <v:textbox inset="0,0,0,0">
                    <w:txbxContent>
                      <w:p>
                        <w:pPr>
                          <w:spacing w:line="161" w:lineRule="exact" w:before="0"/>
                          <w:ind w:left="0" w:right="0" w:firstLine="0"/>
                          <w:jc w:val="left"/>
                          <w:rPr>
                            <w:rFonts w:ascii="Arial MT"/>
                            <w:sz w:val="14"/>
                          </w:rPr>
                        </w:pPr>
                        <w:r>
                          <w:rPr>
                            <w:rFonts w:ascii="Arial MT"/>
                            <w:spacing w:val="-5"/>
                            <w:w w:val="90"/>
                            <w:sz w:val="14"/>
                          </w:rPr>
                          <w:t>700</w:t>
                        </w:r>
                      </w:p>
                      <w:p>
                        <w:pPr>
                          <w:spacing w:line="240" w:lineRule="auto" w:before="78"/>
                          <w:rPr>
                            <w:rFonts w:ascii="Arial MT"/>
                            <w:sz w:val="14"/>
                          </w:rPr>
                        </w:pPr>
                      </w:p>
                      <w:p>
                        <w:pPr>
                          <w:spacing w:before="0"/>
                          <w:ind w:left="0" w:right="0" w:firstLine="0"/>
                          <w:jc w:val="left"/>
                          <w:rPr>
                            <w:rFonts w:ascii="Arial MT"/>
                            <w:sz w:val="14"/>
                          </w:rPr>
                        </w:pPr>
                        <w:r>
                          <w:rPr>
                            <w:rFonts w:ascii="Arial MT"/>
                            <w:spacing w:val="-5"/>
                            <w:w w:val="90"/>
                            <w:sz w:val="14"/>
                          </w:rPr>
                          <w:t>600</w:t>
                        </w:r>
                      </w:p>
                    </w:txbxContent>
                  </v:textbox>
                  <w10:wrap type="none"/>
                </v:shape>
                <v:shape style="position:absolute;left:6883;top:1224;width:212;height:161" type="#_x0000_t202" id="docshape1590" filled="false" stroked="false">
                  <v:textbox inset="0,0,0,0">
                    <w:txbxContent>
                      <w:p>
                        <w:pPr>
                          <w:spacing w:line="161" w:lineRule="exact" w:before="0"/>
                          <w:ind w:left="0" w:right="0" w:firstLine="0"/>
                          <w:jc w:val="left"/>
                          <w:rPr>
                            <w:rFonts w:ascii="Arial MT"/>
                            <w:sz w:val="14"/>
                          </w:rPr>
                        </w:pPr>
                        <w:r>
                          <w:rPr>
                            <w:rFonts w:ascii="Arial MT"/>
                            <w:spacing w:val="-5"/>
                            <w:w w:val="90"/>
                            <w:sz w:val="14"/>
                          </w:rPr>
                          <w:t>586</w:t>
                        </w:r>
                      </w:p>
                    </w:txbxContent>
                  </v:textbox>
                  <w10:wrap type="none"/>
                </v:shape>
                <v:shape style="position:absolute;left:2308;top:1696;width:212;height:1361" type="#_x0000_t202" id="docshape1591" filled="false" stroked="false">
                  <v:textbox inset="0,0,0,0">
                    <w:txbxContent>
                      <w:p>
                        <w:pPr>
                          <w:spacing w:line="161" w:lineRule="exact" w:before="0"/>
                          <w:ind w:left="0" w:right="0" w:firstLine="0"/>
                          <w:jc w:val="left"/>
                          <w:rPr>
                            <w:rFonts w:ascii="Arial MT"/>
                            <w:sz w:val="14"/>
                          </w:rPr>
                        </w:pPr>
                        <w:r>
                          <w:rPr>
                            <w:rFonts w:ascii="Arial MT"/>
                            <w:spacing w:val="-5"/>
                            <w:w w:val="90"/>
                            <w:sz w:val="14"/>
                          </w:rPr>
                          <w:t>500</w:t>
                        </w:r>
                      </w:p>
                      <w:p>
                        <w:pPr>
                          <w:spacing w:line="240" w:lineRule="auto" w:before="78"/>
                          <w:rPr>
                            <w:rFonts w:ascii="Arial MT"/>
                            <w:sz w:val="14"/>
                          </w:rPr>
                        </w:pPr>
                      </w:p>
                      <w:p>
                        <w:pPr>
                          <w:spacing w:before="0"/>
                          <w:ind w:left="0" w:right="0" w:firstLine="0"/>
                          <w:jc w:val="left"/>
                          <w:rPr>
                            <w:rFonts w:ascii="Arial MT"/>
                            <w:sz w:val="14"/>
                          </w:rPr>
                        </w:pPr>
                        <w:r>
                          <w:rPr>
                            <w:rFonts w:ascii="Arial MT"/>
                            <w:spacing w:val="-5"/>
                            <w:w w:val="90"/>
                            <w:sz w:val="14"/>
                          </w:rPr>
                          <w:t>400</w:t>
                        </w:r>
                      </w:p>
                      <w:p>
                        <w:pPr>
                          <w:spacing w:line="240" w:lineRule="auto" w:before="78"/>
                          <w:rPr>
                            <w:rFonts w:ascii="Arial MT"/>
                            <w:sz w:val="14"/>
                          </w:rPr>
                        </w:pPr>
                      </w:p>
                      <w:p>
                        <w:pPr>
                          <w:spacing w:before="0"/>
                          <w:ind w:left="0" w:right="0" w:firstLine="0"/>
                          <w:jc w:val="left"/>
                          <w:rPr>
                            <w:rFonts w:ascii="Arial MT"/>
                            <w:sz w:val="14"/>
                          </w:rPr>
                        </w:pPr>
                        <w:r>
                          <w:rPr>
                            <w:rFonts w:ascii="Arial MT"/>
                            <w:spacing w:val="-5"/>
                            <w:w w:val="90"/>
                            <w:sz w:val="14"/>
                          </w:rPr>
                          <w:t>300</w:t>
                        </w:r>
                      </w:p>
                      <w:p>
                        <w:pPr>
                          <w:spacing w:line="240" w:lineRule="auto" w:before="78"/>
                          <w:rPr>
                            <w:rFonts w:ascii="Arial MT"/>
                            <w:sz w:val="14"/>
                          </w:rPr>
                        </w:pPr>
                      </w:p>
                      <w:p>
                        <w:pPr>
                          <w:spacing w:before="0"/>
                          <w:ind w:left="0" w:right="0" w:firstLine="0"/>
                          <w:jc w:val="left"/>
                          <w:rPr>
                            <w:rFonts w:ascii="Arial MT"/>
                            <w:sz w:val="14"/>
                          </w:rPr>
                        </w:pPr>
                        <w:r>
                          <w:rPr>
                            <w:rFonts w:ascii="Arial MT"/>
                            <w:spacing w:val="-5"/>
                            <w:w w:val="90"/>
                            <w:sz w:val="14"/>
                          </w:rPr>
                          <w:t>200</w:t>
                        </w:r>
                      </w:p>
                    </w:txbxContent>
                  </v:textbox>
                  <w10:wrap type="none"/>
                </v:shape>
                <v:shape style="position:absolute;left:5171;top:2975;width:212;height:161" type="#_x0000_t202" id="docshape1592" filled="false" stroked="false">
                  <v:textbox inset="0,0,0,0">
                    <w:txbxContent>
                      <w:p>
                        <w:pPr>
                          <w:spacing w:line="161" w:lineRule="exact" w:before="0"/>
                          <w:ind w:left="0" w:right="0" w:firstLine="0"/>
                          <w:jc w:val="left"/>
                          <w:rPr>
                            <w:rFonts w:ascii="Arial MT"/>
                            <w:sz w:val="14"/>
                          </w:rPr>
                        </w:pPr>
                        <w:r>
                          <w:rPr>
                            <w:rFonts w:ascii="Arial MT"/>
                            <w:spacing w:val="-5"/>
                            <w:w w:val="90"/>
                            <w:sz w:val="14"/>
                          </w:rPr>
                          <w:t>153</w:t>
                        </w:r>
                      </w:p>
                    </w:txbxContent>
                  </v:textbox>
                  <w10:wrap type="none"/>
                </v:shape>
                <v:shape style="position:absolute;left:2308;top:3296;width:212;height:561" type="#_x0000_t202" id="docshape1593" filled="false" stroked="false">
                  <v:textbox inset="0,0,0,0">
                    <w:txbxContent>
                      <w:p>
                        <w:pPr>
                          <w:spacing w:line="161" w:lineRule="exact" w:before="0"/>
                          <w:ind w:left="0" w:right="0" w:firstLine="0"/>
                          <w:jc w:val="left"/>
                          <w:rPr>
                            <w:rFonts w:ascii="Arial MT"/>
                            <w:sz w:val="14"/>
                          </w:rPr>
                        </w:pPr>
                        <w:r>
                          <w:rPr>
                            <w:rFonts w:ascii="Arial MT"/>
                            <w:spacing w:val="-5"/>
                            <w:w w:val="90"/>
                            <w:sz w:val="14"/>
                          </w:rPr>
                          <w:t>100</w:t>
                        </w:r>
                      </w:p>
                      <w:p>
                        <w:pPr>
                          <w:spacing w:line="240" w:lineRule="auto" w:before="78"/>
                          <w:rPr>
                            <w:rFonts w:ascii="Arial MT"/>
                            <w:sz w:val="14"/>
                          </w:rPr>
                        </w:pPr>
                      </w:p>
                      <w:p>
                        <w:pPr>
                          <w:spacing w:before="0"/>
                          <w:ind w:left="127" w:right="0" w:firstLine="0"/>
                          <w:jc w:val="left"/>
                          <w:rPr>
                            <w:rFonts w:ascii="Arial MT"/>
                            <w:sz w:val="14"/>
                          </w:rPr>
                        </w:pPr>
                        <w:r>
                          <w:rPr>
                            <w:rFonts w:ascii="Arial MT"/>
                            <w:spacing w:val="-10"/>
                            <w:w w:val="90"/>
                            <w:sz w:val="14"/>
                          </w:rPr>
                          <w:t>0</w:t>
                        </w:r>
                      </w:p>
                    </w:txbxContent>
                  </v:textbox>
                  <w10:wrap type="none"/>
                </v:shape>
                <v:shape style="position:absolute;left:3353;top:3837;width:263;height:161" type="#_x0000_t202" id="docshape1594" filled="false" stroked="false">
                  <v:textbox inset="0,0,0,0">
                    <w:txbxContent>
                      <w:p>
                        <w:pPr>
                          <w:spacing w:line="161" w:lineRule="exact" w:before="0"/>
                          <w:ind w:left="0" w:right="0" w:firstLine="0"/>
                          <w:jc w:val="left"/>
                          <w:rPr>
                            <w:rFonts w:ascii="Arial MT"/>
                            <w:sz w:val="14"/>
                          </w:rPr>
                        </w:pPr>
                        <w:r>
                          <w:rPr>
                            <w:rFonts w:ascii="Arial MT"/>
                            <w:spacing w:val="-4"/>
                            <w:w w:val="85"/>
                            <w:sz w:val="14"/>
                          </w:rPr>
                          <w:t>Total</w:t>
                        </w:r>
                      </w:p>
                    </w:txbxContent>
                  </v:textbox>
                  <w10:wrap type="none"/>
                </v:shape>
                <v:shape style="position:absolute;left:4828;top:3837;width:652;height:161" type="#_x0000_t202" id="docshape1595" filled="false" stroked="false">
                  <v:textbox inset="0,0,0,0">
                    <w:txbxContent>
                      <w:p>
                        <w:pPr>
                          <w:spacing w:line="161" w:lineRule="exact" w:before="0"/>
                          <w:ind w:left="0" w:right="0" w:firstLine="0"/>
                          <w:jc w:val="left"/>
                          <w:rPr>
                            <w:rFonts w:ascii="Arial MT"/>
                            <w:sz w:val="14"/>
                          </w:rPr>
                        </w:pPr>
                        <w:r>
                          <w:rPr>
                            <w:rFonts w:ascii="Arial MT"/>
                            <w:spacing w:val="-2"/>
                            <w:w w:val="80"/>
                            <w:sz w:val="14"/>
                          </w:rPr>
                          <w:t>Government</w:t>
                        </w:r>
                      </w:p>
                    </w:txbxContent>
                  </v:textbox>
                  <w10:wrap type="none"/>
                </v:shape>
                <v:shape style="position:absolute;left:6685;top:3837;width:378;height:161" type="#_x0000_t202" id="docshape1596" filled="false" stroked="false">
                  <v:textbox inset="0,0,0,0">
                    <w:txbxContent>
                      <w:p>
                        <w:pPr>
                          <w:spacing w:line="161" w:lineRule="exact" w:before="0"/>
                          <w:ind w:left="0" w:right="0" w:firstLine="0"/>
                          <w:jc w:val="left"/>
                          <w:rPr>
                            <w:rFonts w:ascii="Arial MT"/>
                            <w:sz w:val="14"/>
                          </w:rPr>
                        </w:pPr>
                        <w:r>
                          <w:rPr>
                            <w:rFonts w:ascii="Arial MT"/>
                            <w:spacing w:val="-2"/>
                            <w:w w:val="85"/>
                            <w:sz w:val="14"/>
                          </w:rPr>
                          <w:t>Private</w:t>
                        </w:r>
                      </w:p>
                    </w:txbxContent>
                  </v:textbox>
                  <w10:wrap type="none"/>
                </v:shape>
                <w10:wrap type="topAndBottom"/>
              </v:group>
            </w:pict>
          </mc:Fallback>
        </mc:AlternateContent>
      </w:r>
    </w:p>
    <w:p>
      <w:pPr>
        <w:spacing w:before="37"/>
        <w:ind w:left="1972" w:right="0" w:firstLine="0"/>
        <w:jc w:val="left"/>
        <w:rPr>
          <w:sz w:val="16"/>
        </w:rPr>
      </w:pPr>
      <w:r>
        <w:rPr>
          <w:i/>
          <w:w w:val="90"/>
          <w:sz w:val="16"/>
        </w:rPr>
        <w:t>Source:</w:t>
      </w:r>
      <w:r>
        <w:rPr>
          <w:i/>
          <w:spacing w:val="4"/>
          <w:sz w:val="16"/>
        </w:rPr>
        <w:t> </w:t>
      </w:r>
      <w:r>
        <w:rPr>
          <w:w w:val="90"/>
          <w:sz w:val="16"/>
        </w:rPr>
        <w:t>Bar</w:t>
      </w:r>
      <w:r>
        <w:rPr>
          <w:spacing w:val="5"/>
          <w:sz w:val="16"/>
        </w:rPr>
        <w:t> </w:t>
      </w:r>
      <w:r>
        <w:rPr>
          <w:w w:val="90"/>
          <w:sz w:val="16"/>
        </w:rPr>
        <w:t>Council</w:t>
      </w:r>
      <w:r>
        <w:rPr>
          <w:spacing w:val="4"/>
          <w:sz w:val="16"/>
        </w:rPr>
        <w:t> </w:t>
      </w:r>
      <w:r>
        <w:rPr>
          <w:w w:val="90"/>
          <w:sz w:val="16"/>
        </w:rPr>
        <w:t>of</w:t>
      </w:r>
      <w:r>
        <w:rPr>
          <w:spacing w:val="5"/>
          <w:sz w:val="16"/>
        </w:rPr>
        <w:t> </w:t>
      </w:r>
      <w:r>
        <w:rPr>
          <w:spacing w:val="-2"/>
          <w:w w:val="90"/>
          <w:sz w:val="16"/>
        </w:rPr>
        <w:t>India</w:t>
      </w:r>
    </w:p>
    <w:p>
      <w:pPr>
        <w:spacing w:after="0"/>
        <w:jc w:val="left"/>
        <w:rPr>
          <w:sz w:val="16"/>
        </w:rPr>
        <w:sectPr>
          <w:type w:val="continuous"/>
          <w:pgSz w:w="11910" w:h="16840"/>
          <w:pgMar w:header="0" w:footer="675" w:top="1920" w:bottom="280" w:left="0" w:right="0"/>
        </w:sectPr>
      </w:pPr>
    </w:p>
    <w:p>
      <w:pPr>
        <w:pStyle w:val="Heading8"/>
        <w:spacing w:before="73"/>
        <w:ind w:left="1810"/>
      </w:pPr>
      <w:r>
        <w:rPr/>
        <w:drawing>
          <wp:anchor distT="0" distB="0" distL="0" distR="0" allowOverlap="1" layoutInCell="1" locked="0" behindDoc="1" simplePos="0" relativeHeight="479414272">
            <wp:simplePos x="0" y="0"/>
            <wp:positionH relativeFrom="page">
              <wp:posOffset>5216445</wp:posOffset>
            </wp:positionH>
            <wp:positionV relativeFrom="paragraph">
              <wp:posOffset>467824</wp:posOffset>
            </wp:positionV>
            <wp:extent cx="249869" cy="84200"/>
            <wp:effectExtent l="0" t="0" r="0" b="0"/>
            <wp:wrapNone/>
            <wp:docPr id="1610" name="Image 1610"/>
            <wp:cNvGraphicFramePr>
              <a:graphicFrameLocks/>
            </wp:cNvGraphicFramePr>
            <a:graphic>
              <a:graphicData uri="http://schemas.openxmlformats.org/drawingml/2006/picture">
                <pic:pic>
                  <pic:nvPicPr>
                    <pic:cNvPr id="1610" name="Image 1610"/>
                    <pic:cNvPicPr/>
                  </pic:nvPicPr>
                  <pic:blipFill>
                    <a:blip r:embed="rId689" cstate="print"/>
                    <a:stretch>
                      <a:fillRect/>
                    </a:stretch>
                  </pic:blipFill>
                  <pic:spPr>
                    <a:xfrm>
                      <a:off x="0" y="0"/>
                      <a:ext cx="249869" cy="84200"/>
                    </a:xfrm>
                    <a:prstGeom prst="rect">
                      <a:avLst/>
                    </a:prstGeom>
                  </pic:spPr>
                </pic:pic>
              </a:graphicData>
            </a:graphic>
          </wp:anchor>
        </w:drawing>
      </w:r>
      <w:r>
        <w:rPr>
          <w:spacing w:val="-8"/>
        </w:rPr>
        <w:t>Figure</w:t>
      </w:r>
      <w:r>
        <w:rPr>
          <w:spacing w:val="-7"/>
        </w:rPr>
        <w:t> </w:t>
      </w:r>
      <w:r>
        <w:rPr>
          <w:spacing w:val="-8"/>
        </w:rPr>
        <w:t>26:</w:t>
      </w:r>
      <w:r>
        <w:rPr>
          <w:spacing w:val="1"/>
        </w:rPr>
        <w:t> </w:t>
      </w:r>
      <w:r>
        <w:rPr>
          <w:color w:val="2E614A"/>
          <w:spacing w:val="-8"/>
        </w:rPr>
        <w:t>Total</w:t>
      </w:r>
      <w:r>
        <w:rPr>
          <w:color w:val="2E614A"/>
          <w:spacing w:val="-6"/>
        </w:rPr>
        <w:t> </w:t>
      </w:r>
      <w:r>
        <w:rPr>
          <w:color w:val="2E614A"/>
          <w:spacing w:val="-8"/>
        </w:rPr>
        <w:t>enrolment</w:t>
      </w:r>
      <w:r>
        <w:rPr>
          <w:color w:val="2E614A"/>
          <w:spacing w:val="-7"/>
        </w:rPr>
        <w:t> </w:t>
      </w:r>
      <w:r>
        <w:rPr>
          <w:color w:val="2E614A"/>
          <w:spacing w:val="-8"/>
        </w:rPr>
        <w:t>in</w:t>
      </w:r>
      <w:r>
        <w:rPr>
          <w:color w:val="2E614A"/>
          <w:spacing w:val="-6"/>
        </w:rPr>
        <w:t> </w:t>
      </w:r>
      <w:r>
        <w:rPr>
          <w:color w:val="2E614A"/>
          <w:spacing w:val="-8"/>
        </w:rPr>
        <w:t>law</w:t>
      </w:r>
    </w:p>
    <w:p>
      <w:pPr>
        <w:pStyle w:val="BodyText"/>
        <w:spacing w:before="2"/>
        <w:rPr>
          <w:b/>
          <w:sz w:val="15"/>
        </w:rPr>
      </w:pPr>
      <w:r>
        <w:rPr/>
        <mc:AlternateContent>
          <mc:Choice Requires="wps">
            <w:drawing>
              <wp:anchor distT="0" distB="0" distL="0" distR="0" allowOverlap="1" layoutInCell="1" locked="0" behindDoc="1" simplePos="0" relativeHeight="487695872">
                <wp:simplePos x="0" y="0"/>
                <wp:positionH relativeFrom="page">
                  <wp:posOffset>1149350</wp:posOffset>
                </wp:positionH>
                <wp:positionV relativeFrom="paragraph">
                  <wp:posOffset>126379</wp:posOffset>
                </wp:positionV>
                <wp:extent cx="5245100" cy="2592070"/>
                <wp:effectExtent l="0" t="0" r="0" b="0"/>
                <wp:wrapTopAndBottom/>
                <wp:docPr id="1611" name="Group 1611"/>
                <wp:cNvGraphicFramePr>
                  <a:graphicFrameLocks/>
                </wp:cNvGraphicFramePr>
                <a:graphic>
                  <a:graphicData uri="http://schemas.microsoft.com/office/word/2010/wordprocessingGroup">
                    <wpg:wgp>
                      <wpg:cNvPr id="1611" name="Group 1611"/>
                      <wpg:cNvGrpSpPr/>
                      <wpg:grpSpPr>
                        <a:xfrm>
                          <a:off x="0" y="0"/>
                          <a:ext cx="5245100" cy="2592070"/>
                          <a:chExt cx="5245100" cy="2592070"/>
                        </a:xfrm>
                      </wpg:grpSpPr>
                      <wps:wsp>
                        <wps:cNvPr id="1612" name="Graphic 1612"/>
                        <wps:cNvSpPr/>
                        <wps:spPr>
                          <a:xfrm>
                            <a:off x="670560" y="727658"/>
                            <a:ext cx="3758565" cy="1606550"/>
                          </a:xfrm>
                          <a:custGeom>
                            <a:avLst/>
                            <a:gdLst/>
                            <a:ahLst/>
                            <a:cxnLst/>
                            <a:rect l="l" t="t" r="r" b="b"/>
                            <a:pathLst>
                              <a:path w="3758565" h="1606550">
                                <a:moveTo>
                                  <a:pt x="287832" y="0"/>
                                </a:moveTo>
                                <a:lnTo>
                                  <a:pt x="0" y="0"/>
                                </a:lnTo>
                                <a:lnTo>
                                  <a:pt x="0" y="1606219"/>
                                </a:lnTo>
                                <a:lnTo>
                                  <a:pt x="287832" y="1606219"/>
                                </a:lnTo>
                                <a:lnTo>
                                  <a:pt x="287832" y="0"/>
                                </a:lnTo>
                                <a:close/>
                              </a:path>
                              <a:path w="3758565" h="1606550">
                                <a:moveTo>
                                  <a:pt x="978662" y="79438"/>
                                </a:moveTo>
                                <a:lnTo>
                                  <a:pt x="699046" y="79438"/>
                                </a:lnTo>
                                <a:lnTo>
                                  <a:pt x="699046" y="1606219"/>
                                </a:lnTo>
                                <a:lnTo>
                                  <a:pt x="978662" y="1606219"/>
                                </a:lnTo>
                                <a:lnTo>
                                  <a:pt x="978662" y="79438"/>
                                </a:lnTo>
                                <a:close/>
                              </a:path>
                              <a:path w="3758565" h="1606550">
                                <a:moveTo>
                                  <a:pt x="1677708" y="114731"/>
                                </a:moveTo>
                                <a:lnTo>
                                  <a:pt x="1389875" y="114731"/>
                                </a:lnTo>
                                <a:lnTo>
                                  <a:pt x="1389875" y="1606219"/>
                                </a:lnTo>
                                <a:lnTo>
                                  <a:pt x="1677708" y="1606219"/>
                                </a:lnTo>
                                <a:lnTo>
                                  <a:pt x="1677708" y="114731"/>
                                </a:lnTo>
                                <a:close/>
                              </a:path>
                              <a:path w="3758565" h="1606550">
                                <a:moveTo>
                                  <a:pt x="2368537" y="202984"/>
                                </a:moveTo>
                                <a:lnTo>
                                  <a:pt x="2088921" y="202984"/>
                                </a:lnTo>
                                <a:lnTo>
                                  <a:pt x="2088921" y="1606219"/>
                                </a:lnTo>
                                <a:lnTo>
                                  <a:pt x="2368537" y="1606219"/>
                                </a:lnTo>
                                <a:lnTo>
                                  <a:pt x="2368537" y="202984"/>
                                </a:lnTo>
                                <a:close/>
                              </a:path>
                              <a:path w="3758565" h="1606550">
                                <a:moveTo>
                                  <a:pt x="3067596" y="282422"/>
                                </a:moveTo>
                                <a:lnTo>
                                  <a:pt x="2779750" y="282422"/>
                                </a:lnTo>
                                <a:lnTo>
                                  <a:pt x="2779750" y="1606219"/>
                                </a:lnTo>
                                <a:lnTo>
                                  <a:pt x="3067596" y="1606219"/>
                                </a:lnTo>
                                <a:lnTo>
                                  <a:pt x="3067596" y="282422"/>
                                </a:lnTo>
                                <a:close/>
                              </a:path>
                              <a:path w="3758565" h="1606550">
                                <a:moveTo>
                                  <a:pt x="3758425" y="317715"/>
                                </a:moveTo>
                                <a:lnTo>
                                  <a:pt x="3478796" y="317715"/>
                                </a:lnTo>
                                <a:lnTo>
                                  <a:pt x="3478796" y="1606219"/>
                                </a:lnTo>
                                <a:lnTo>
                                  <a:pt x="3758425" y="1606219"/>
                                </a:lnTo>
                                <a:lnTo>
                                  <a:pt x="3758425" y="317715"/>
                                </a:lnTo>
                                <a:close/>
                              </a:path>
                            </a:pathLst>
                          </a:custGeom>
                          <a:solidFill>
                            <a:srgbClr val="2F7D41"/>
                          </a:solidFill>
                        </wps:spPr>
                        <wps:bodyPr wrap="square" lIns="0" tIns="0" rIns="0" bIns="0" rtlCol="0">
                          <a:prstTxWarp prst="textNoShape">
                            <a:avLst/>
                          </a:prstTxWarp>
                          <a:noAutofit/>
                        </wps:bodyPr>
                      </wps:wsp>
                      <wps:wsp>
                        <wps:cNvPr id="1613" name="Graphic 1613"/>
                        <wps:cNvSpPr/>
                        <wps:spPr>
                          <a:xfrm>
                            <a:off x="428866" y="521512"/>
                            <a:ext cx="4241800" cy="1851025"/>
                          </a:xfrm>
                          <a:custGeom>
                            <a:avLst/>
                            <a:gdLst/>
                            <a:ahLst/>
                            <a:cxnLst/>
                            <a:rect l="l" t="t" r="r" b="b"/>
                            <a:pathLst>
                              <a:path w="4241800" h="1851025">
                                <a:moveTo>
                                  <a:pt x="4241800" y="0"/>
                                </a:moveTo>
                                <a:lnTo>
                                  <a:pt x="4208894" y="0"/>
                                </a:lnTo>
                                <a:lnTo>
                                  <a:pt x="4202544" y="0"/>
                                </a:lnTo>
                                <a:lnTo>
                                  <a:pt x="4169638" y="0"/>
                                </a:lnTo>
                                <a:lnTo>
                                  <a:pt x="4169638" y="6350"/>
                                </a:lnTo>
                                <a:lnTo>
                                  <a:pt x="4202544" y="6350"/>
                                </a:lnTo>
                                <a:lnTo>
                                  <a:pt x="4202544" y="229450"/>
                                </a:lnTo>
                                <a:lnTo>
                                  <a:pt x="4169638" y="229450"/>
                                </a:lnTo>
                                <a:lnTo>
                                  <a:pt x="4169638" y="235800"/>
                                </a:lnTo>
                                <a:lnTo>
                                  <a:pt x="4202544" y="235800"/>
                                </a:lnTo>
                                <a:lnTo>
                                  <a:pt x="4202544" y="450088"/>
                                </a:lnTo>
                                <a:lnTo>
                                  <a:pt x="4169638" y="450088"/>
                                </a:lnTo>
                                <a:lnTo>
                                  <a:pt x="4169638" y="456438"/>
                                </a:lnTo>
                                <a:lnTo>
                                  <a:pt x="4202544" y="456438"/>
                                </a:lnTo>
                                <a:lnTo>
                                  <a:pt x="4202544" y="679538"/>
                                </a:lnTo>
                                <a:lnTo>
                                  <a:pt x="4169638" y="679538"/>
                                </a:lnTo>
                                <a:lnTo>
                                  <a:pt x="4169638" y="685888"/>
                                </a:lnTo>
                                <a:lnTo>
                                  <a:pt x="4202544" y="685888"/>
                                </a:lnTo>
                                <a:lnTo>
                                  <a:pt x="4202544" y="909002"/>
                                </a:lnTo>
                                <a:lnTo>
                                  <a:pt x="4169638" y="909002"/>
                                </a:lnTo>
                                <a:lnTo>
                                  <a:pt x="4169638" y="915352"/>
                                </a:lnTo>
                                <a:lnTo>
                                  <a:pt x="4202544" y="915352"/>
                                </a:lnTo>
                                <a:lnTo>
                                  <a:pt x="4202544" y="1129639"/>
                                </a:lnTo>
                                <a:lnTo>
                                  <a:pt x="4169638" y="1129639"/>
                                </a:lnTo>
                                <a:lnTo>
                                  <a:pt x="4169638" y="1135989"/>
                                </a:lnTo>
                                <a:lnTo>
                                  <a:pt x="4202544" y="1135989"/>
                                </a:lnTo>
                                <a:lnTo>
                                  <a:pt x="4202544" y="1359090"/>
                                </a:lnTo>
                                <a:lnTo>
                                  <a:pt x="4169638" y="1359090"/>
                                </a:lnTo>
                                <a:lnTo>
                                  <a:pt x="4169638" y="1365440"/>
                                </a:lnTo>
                                <a:lnTo>
                                  <a:pt x="4202544" y="1365440"/>
                                </a:lnTo>
                                <a:lnTo>
                                  <a:pt x="4202544" y="1579727"/>
                                </a:lnTo>
                                <a:lnTo>
                                  <a:pt x="4169638" y="1579727"/>
                                </a:lnTo>
                                <a:lnTo>
                                  <a:pt x="4169638" y="1586077"/>
                                </a:lnTo>
                                <a:lnTo>
                                  <a:pt x="4202544" y="1586077"/>
                                </a:lnTo>
                                <a:lnTo>
                                  <a:pt x="4202544" y="1809191"/>
                                </a:lnTo>
                                <a:lnTo>
                                  <a:pt x="4169638" y="1809191"/>
                                </a:lnTo>
                                <a:lnTo>
                                  <a:pt x="3518077" y="1809191"/>
                                </a:lnTo>
                                <a:lnTo>
                                  <a:pt x="3518077" y="1773885"/>
                                </a:lnTo>
                                <a:lnTo>
                                  <a:pt x="3511727" y="1773885"/>
                                </a:lnTo>
                                <a:lnTo>
                                  <a:pt x="3511727" y="1809191"/>
                                </a:lnTo>
                                <a:lnTo>
                                  <a:pt x="2819019" y="1809191"/>
                                </a:lnTo>
                                <a:lnTo>
                                  <a:pt x="2819019" y="1773885"/>
                                </a:lnTo>
                                <a:lnTo>
                                  <a:pt x="2812669" y="1773885"/>
                                </a:lnTo>
                                <a:lnTo>
                                  <a:pt x="2812669" y="1809191"/>
                                </a:lnTo>
                                <a:lnTo>
                                  <a:pt x="2128189" y="1809191"/>
                                </a:lnTo>
                                <a:lnTo>
                                  <a:pt x="2128189" y="1773885"/>
                                </a:lnTo>
                                <a:lnTo>
                                  <a:pt x="2121839" y="1773885"/>
                                </a:lnTo>
                                <a:lnTo>
                                  <a:pt x="2121839" y="1809191"/>
                                </a:lnTo>
                                <a:lnTo>
                                  <a:pt x="1429131" y="1809191"/>
                                </a:lnTo>
                                <a:lnTo>
                                  <a:pt x="1429131" y="1773885"/>
                                </a:lnTo>
                                <a:lnTo>
                                  <a:pt x="1422781" y="1773885"/>
                                </a:lnTo>
                                <a:lnTo>
                                  <a:pt x="1422781" y="1809191"/>
                                </a:lnTo>
                                <a:lnTo>
                                  <a:pt x="738314" y="1809191"/>
                                </a:lnTo>
                                <a:lnTo>
                                  <a:pt x="738314" y="1773885"/>
                                </a:lnTo>
                                <a:lnTo>
                                  <a:pt x="731964" y="1773885"/>
                                </a:lnTo>
                                <a:lnTo>
                                  <a:pt x="731964" y="1809191"/>
                                </a:lnTo>
                                <a:lnTo>
                                  <a:pt x="72148" y="1809191"/>
                                </a:lnTo>
                                <a:lnTo>
                                  <a:pt x="39255" y="1809191"/>
                                </a:lnTo>
                                <a:lnTo>
                                  <a:pt x="39255" y="1612544"/>
                                </a:lnTo>
                                <a:lnTo>
                                  <a:pt x="72148" y="1612544"/>
                                </a:lnTo>
                                <a:lnTo>
                                  <a:pt x="72148" y="1606194"/>
                                </a:lnTo>
                                <a:lnTo>
                                  <a:pt x="39255" y="1606194"/>
                                </a:lnTo>
                                <a:lnTo>
                                  <a:pt x="39255" y="1409573"/>
                                </a:lnTo>
                                <a:lnTo>
                                  <a:pt x="72148" y="1409573"/>
                                </a:lnTo>
                                <a:lnTo>
                                  <a:pt x="72148" y="1403223"/>
                                </a:lnTo>
                                <a:lnTo>
                                  <a:pt x="39255" y="1403223"/>
                                </a:lnTo>
                                <a:lnTo>
                                  <a:pt x="39255" y="1215415"/>
                                </a:lnTo>
                                <a:lnTo>
                                  <a:pt x="72148" y="1215415"/>
                                </a:lnTo>
                                <a:lnTo>
                                  <a:pt x="72148" y="1209065"/>
                                </a:lnTo>
                                <a:lnTo>
                                  <a:pt x="39255" y="1209065"/>
                                </a:lnTo>
                                <a:lnTo>
                                  <a:pt x="39255" y="1012431"/>
                                </a:lnTo>
                                <a:lnTo>
                                  <a:pt x="72148" y="1012431"/>
                                </a:lnTo>
                                <a:lnTo>
                                  <a:pt x="72148" y="1006081"/>
                                </a:lnTo>
                                <a:lnTo>
                                  <a:pt x="39255" y="1006081"/>
                                </a:lnTo>
                                <a:lnTo>
                                  <a:pt x="39255" y="809447"/>
                                </a:lnTo>
                                <a:lnTo>
                                  <a:pt x="72148" y="809447"/>
                                </a:lnTo>
                                <a:lnTo>
                                  <a:pt x="72148" y="803097"/>
                                </a:lnTo>
                                <a:lnTo>
                                  <a:pt x="39255" y="803097"/>
                                </a:lnTo>
                                <a:lnTo>
                                  <a:pt x="39255" y="606463"/>
                                </a:lnTo>
                                <a:lnTo>
                                  <a:pt x="72148" y="606463"/>
                                </a:lnTo>
                                <a:lnTo>
                                  <a:pt x="72148" y="600113"/>
                                </a:lnTo>
                                <a:lnTo>
                                  <a:pt x="39255" y="600113"/>
                                </a:lnTo>
                                <a:lnTo>
                                  <a:pt x="39255" y="412305"/>
                                </a:lnTo>
                                <a:lnTo>
                                  <a:pt x="72148" y="412305"/>
                                </a:lnTo>
                                <a:lnTo>
                                  <a:pt x="72148" y="405955"/>
                                </a:lnTo>
                                <a:lnTo>
                                  <a:pt x="39255" y="405955"/>
                                </a:lnTo>
                                <a:lnTo>
                                  <a:pt x="39255" y="209321"/>
                                </a:lnTo>
                                <a:lnTo>
                                  <a:pt x="72148" y="209321"/>
                                </a:lnTo>
                                <a:lnTo>
                                  <a:pt x="72148" y="202971"/>
                                </a:lnTo>
                                <a:lnTo>
                                  <a:pt x="39255" y="202971"/>
                                </a:lnTo>
                                <a:lnTo>
                                  <a:pt x="39255" y="6350"/>
                                </a:lnTo>
                                <a:lnTo>
                                  <a:pt x="72148" y="6350"/>
                                </a:lnTo>
                                <a:lnTo>
                                  <a:pt x="72148" y="0"/>
                                </a:lnTo>
                                <a:lnTo>
                                  <a:pt x="39255" y="0"/>
                                </a:lnTo>
                                <a:lnTo>
                                  <a:pt x="32905" y="0"/>
                                </a:lnTo>
                                <a:lnTo>
                                  <a:pt x="0" y="0"/>
                                </a:lnTo>
                                <a:lnTo>
                                  <a:pt x="0" y="6350"/>
                                </a:lnTo>
                                <a:lnTo>
                                  <a:pt x="32905" y="6350"/>
                                </a:lnTo>
                                <a:lnTo>
                                  <a:pt x="32905" y="202971"/>
                                </a:lnTo>
                                <a:lnTo>
                                  <a:pt x="0" y="202971"/>
                                </a:lnTo>
                                <a:lnTo>
                                  <a:pt x="0" y="209321"/>
                                </a:lnTo>
                                <a:lnTo>
                                  <a:pt x="32905" y="209321"/>
                                </a:lnTo>
                                <a:lnTo>
                                  <a:pt x="32905" y="405955"/>
                                </a:lnTo>
                                <a:lnTo>
                                  <a:pt x="0" y="405955"/>
                                </a:lnTo>
                                <a:lnTo>
                                  <a:pt x="0" y="412305"/>
                                </a:lnTo>
                                <a:lnTo>
                                  <a:pt x="32905" y="412305"/>
                                </a:lnTo>
                                <a:lnTo>
                                  <a:pt x="32905" y="600113"/>
                                </a:lnTo>
                                <a:lnTo>
                                  <a:pt x="0" y="600113"/>
                                </a:lnTo>
                                <a:lnTo>
                                  <a:pt x="0" y="606463"/>
                                </a:lnTo>
                                <a:lnTo>
                                  <a:pt x="32905" y="606463"/>
                                </a:lnTo>
                                <a:lnTo>
                                  <a:pt x="32905" y="803097"/>
                                </a:lnTo>
                                <a:lnTo>
                                  <a:pt x="0" y="803097"/>
                                </a:lnTo>
                                <a:lnTo>
                                  <a:pt x="0" y="809447"/>
                                </a:lnTo>
                                <a:lnTo>
                                  <a:pt x="32905" y="809447"/>
                                </a:lnTo>
                                <a:lnTo>
                                  <a:pt x="32905" y="1006081"/>
                                </a:lnTo>
                                <a:lnTo>
                                  <a:pt x="0" y="1006081"/>
                                </a:lnTo>
                                <a:lnTo>
                                  <a:pt x="0" y="1012431"/>
                                </a:lnTo>
                                <a:lnTo>
                                  <a:pt x="32905" y="1012431"/>
                                </a:lnTo>
                                <a:lnTo>
                                  <a:pt x="32905" y="1209065"/>
                                </a:lnTo>
                                <a:lnTo>
                                  <a:pt x="0" y="1209065"/>
                                </a:lnTo>
                                <a:lnTo>
                                  <a:pt x="0" y="1215415"/>
                                </a:lnTo>
                                <a:lnTo>
                                  <a:pt x="32905" y="1215415"/>
                                </a:lnTo>
                                <a:lnTo>
                                  <a:pt x="32905" y="1403223"/>
                                </a:lnTo>
                                <a:lnTo>
                                  <a:pt x="0" y="1403223"/>
                                </a:lnTo>
                                <a:lnTo>
                                  <a:pt x="0" y="1409573"/>
                                </a:lnTo>
                                <a:lnTo>
                                  <a:pt x="32905" y="1409573"/>
                                </a:lnTo>
                                <a:lnTo>
                                  <a:pt x="32905" y="1606194"/>
                                </a:lnTo>
                                <a:lnTo>
                                  <a:pt x="0" y="1606194"/>
                                </a:lnTo>
                                <a:lnTo>
                                  <a:pt x="0" y="1612544"/>
                                </a:lnTo>
                                <a:lnTo>
                                  <a:pt x="32905" y="1612544"/>
                                </a:lnTo>
                                <a:lnTo>
                                  <a:pt x="32905" y="1809191"/>
                                </a:lnTo>
                                <a:lnTo>
                                  <a:pt x="0" y="1809191"/>
                                </a:lnTo>
                                <a:lnTo>
                                  <a:pt x="0" y="1815541"/>
                                </a:lnTo>
                                <a:lnTo>
                                  <a:pt x="32905" y="1815541"/>
                                </a:lnTo>
                                <a:lnTo>
                                  <a:pt x="32905" y="1850834"/>
                                </a:lnTo>
                                <a:lnTo>
                                  <a:pt x="39255" y="1850834"/>
                                </a:lnTo>
                                <a:lnTo>
                                  <a:pt x="39255" y="1815541"/>
                                </a:lnTo>
                                <a:lnTo>
                                  <a:pt x="72148" y="1815541"/>
                                </a:lnTo>
                                <a:lnTo>
                                  <a:pt x="731964" y="1815541"/>
                                </a:lnTo>
                                <a:lnTo>
                                  <a:pt x="731964" y="1850834"/>
                                </a:lnTo>
                                <a:lnTo>
                                  <a:pt x="738314" y="1850834"/>
                                </a:lnTo>
                                <a:lnTo>
                                  <a:pt x="738314" y="1815541"/>
                                </a:lnTo>
                                <a:lnTo>
                                  <a:pt x="1422781" y="1815541"/>
                                </a:lnTo>
                                <a:lnTo>
                                  <a:pt x="1422781" y="1850834"/>
                                </a:lnTo>
                                <a:lnTo>
                                  <a:pt x="1429131" y="1850834"/>
                                </a:lnTo>
                                <a:lnTo>
                                  <a:pt x="1429131" y="1815541"/>
                                </a:lnTo>
                                <a:lnTo>
                                  <a:pt x="2121839" y="1815541"/>
                                </a:lnTo>
                                <a:lnTo>
                                  <a:pt x="2121839" y="1850834"/>
                                </a:lnTo>
                                <a:lnTo>
                                  <a:pt x="2128189" y="1850834"/>
                                </a:lnTo>
                                <a:lnTo>
                                  <a:pt x="2128189" y="1815541"/>
                                </a:lnTo>
                                <a:lnTo>
                                  <a:pt x="2812669" y="1815541"/>
                                </a:lnTo>
                                <a:lnTo>
                                  <a:pt x="2812669" y="1850834"/>
                                </a:lnTo>
                                <a:lnTo>
                                  <a:pt x="2819019" y="1850834"/>
                                </a:lnTo>
                                <a:lnTo>
                                  <a:pt x="2819019" y="1815541"/>
                                </a:lnTo>
                                <a:lnTo>
                                  <a:pt x="3511727" y="1815541"/>
                                </a:lnTo>
                                <a:lnTo>
                                  <a:pt x="3511727" y="1850834"/>
                                </a:lnTo>
                                <a:lnTo>
                                  <a:pt x="3518077" y="1850834"/>
                                </a:lnTo>
                                <a:lnTo>
                                  <a:pt x="3518077" y="1815541"/>
                                </a:lnTo>
                                <a:lnTo>
                                  <a:pt x="4169638" y="1815541"/>
                                </a:lnTo>
                                <a:lnTo>
                                  <a:pt x="4202544" y="1815541"/>
                                </a:lnTo>
                                <a:lnTo>
                                  <a:pt x="4202544" y="1850834"/>
                                </a:lnTo>
                                <a:lnTo>
                                  <a:pt x="4208894" y="1850834"/>
                                </a:lnTo>
                                <a:lnTo>
                                  <a:pt x="4208894" y="1815541"/>
                                </a:lnTo>
                                <a:lnTo>
                                  <a:pt x="4241800" y="1815541"/>
                                </a:lnTo>
                                <a:lnTo>
                                  <a:pt x="4241800" y="1809191"/>
                                </a:lnTo>
                                <a:lnTo>
                                  <a:pt x="4208894" y="1809191"/>
                                </a:lnTo>
                                <a:lnTo>
                                  <a:pt x="4208894" y="1586077"/>
                                </a:lnTo>
                                <a:lnTo>
                                  <a:pt x="4241800" y="1586077"/>
                                </a:lnTo>
                                <a:lnTo>
                                  <a:pt x="4241800" y="1579727"/>
                                </a:lnTo>
                                <a:lnTo>
                                  <a:pt x="4208894" y="1579727"/>
                                </a:lnTo>
                                <a:lnTo>
                                  <a:pt x="4208894" y="1365440"/>
                                </a:lnTo>
                                <a:lnTo>
                                  <a:pt x="4241800" y="1365440"/>
                                </a:lnTo>
                                <a:lnTo>
                                  <a:pt x="4241800" y="1359090"/>
                                </a:lnTo>
                                <a:lnTo>
                                  <a:pt x="4208894" y="1359090"/>
                                </a:lnTo>
                                <a:lnTo>
                                  <a:pt x="4208894" y="1135989"/>
                                </a:lnTo>
                                <a:lnTo>
                                  <a:pt x="4241800" y="1135989"/>
                                </a:lnTo>
                                <a:lnTo>
                                  <a:pt x="4241800" y="1129639"/>
                                </a:lnTo>
                                <a:lnTo>
                                  <a:pt x="4208894" y="1129639"/>
                                </a:lnTo>
                                <a:lnTo>
                                  <a:pt x="4208894" y="915352"/>
                                </a:lnTo>
                                <a:lnTo>
                                  <a:pt x="4241800" y="915352"/>
                                </a:lnTo>
                                <a:lnTo>
                                  <a:pt x="4241800" y="909002"/>
                                </a:lnTo>
                                <a:lnTo>
                                  <a:pt x="4208894" y="909002"/>
                                </a:lnTo>
                                <a:lnTo>
                                  <a:pt x="4208894" y="685888"/>
                                </a:lnTo>
                                <a:lnTo>
                                  <a:pt x="4241800" y="685888"/>
                                </a:lnTo>
                                <a:lnTo>
                                  <a:pt x="4241800" y="679538"/>
                                </a:lnTo>
                                <a:lnTo>
                                  <a:pt x="4208894" y="679538"/>
                                </a:lnTo>
                                <a:lnTo>
                                  <a:pt x="4208894" y="456438"/>
                                </a:lnTo>
                                <a:lnTo>
                                  <a:pt x="4241800" y="456438"/>
                                </a:lnTo>
                                <a:lnTo>
                                  <a:pt x="4241800" y="450088"/>
                                </a:lnTo>
                                <a:lnTo>
                                  <a:pt x="4208894" y="450088"/>
                                </a:lnTo>
                                <a:lnTo>
                                  <a:pt x="4208894" y="235800"/>
                                </a:lnTo>
                                <a:lnTo>
                                  <a:pt x="4241800" y="235800"/>
                                </a:lnTo>
                                <a:lnTo>
                                  <a:pt x="4241800" y="229450"/>
                                </a:lnTo>
                                <a:lnTo>
                                  <a:pt x="4208894" y="229450"/>
                                </a:lnTo>
                                <a:lnTo>
                                  <a:pt x="4208894" y="6350"/>
                                </a:lnTo>
                                <a:lnTo>
                                  <a:pt x="4241800" y="6350"/>
                                </a:lnTo>
                                <a:lnTo>
                                  <a:pt x="4241800" y="0"/>
                                </a:lnTo>
                                <a:close/>
                              </a:path>
                            </a:pathLst>
                          </a:custGeom>
                          <a:solidFill>
                            <a:srgbClr val="000000"/>
                          </a:solidFill>
                        </wps:spPr>
                        <wps:bodyPr wrap="square" lIns="0" tIns="0" rIns="0" bIns="0" rtlCol="0">
                          <a:prstTxWarp prst="textNoShape">
                            <a:avLst/>
                          </a:prstTxWarp>
                          <a:noAutofit/>
                        </wps:bodyPr>
                      </wps:wsp>
                      <wps:wsp>
                        <wps:cNvPr id="1614" name="Graphic 1614"/>
                        <wps:cNvSpPr/>
                        <wps:spPr>
                          <a:xfrm>
                            <a:off x="801213" y="688822"/>
                            <a:ext cx="3498215" cy="1071880"/>
                          </a:xfrm>
                          <a:custGeom>
                            <a:avLst/>
                            <a:gdLst/>
                            <a:ahLst/>
                            <a:cxnLst/>
                            <a:rect l="l" t="t" r="r" b="b"/>
                            <a:pathLst>
                              <a:path w="3498215" h="1071880">
                                <a:moveTo>
                                  <a:pt x="705223" y="1027382"/>
                                </a:moveTo>
                                <a:lnTo>
                                  <a:pt x="0" y="1054083"/>
                                </a:lnTo>
                                <a:lnTo>
                                  <a:pt x="667" y="1071721"/>
                                </a:lnTo>
                                <a:lnTo>
                                  <a:pt x="703790" y="1045099"/>
                                </a:lnTo>
                                <a:lnTo>
                                  <a:pt x="695891" y="1034058"/>
                                </a:lnTo>
                                <a:lnTo>
                                  <a:pt x="705223" y="1027382"/>
                                </a:lnTo>
                                <a:close/>
                              </a:path>
                              <a:path w="3498215" h="1071880">
                                <a:moveTo>
                                  <a:pt x="711185" y="1044819"/>
                                </a:moveTo>
                                <a:lnTo>
                                  <a:pt x="703790" y="1045099"/>
                                </a:lnTo>
                                <a:lnTo>
                                  <a:pt x="706161" y="1048413"/>
                                </a:lnTo>
                                <a:lnTo>
                                  <a:pt x="711185" y="1044819"/>
                                </a:lnTo>
                                <a:close/>
                              </a:path>
                              <a:path w="3498215" h="1071880">
                                <a:moveTo>
                                  <a:pt x="716689" y="1026948"/>
                                </a:moveTo>
                                <a:lnTo>
                                  <a:pt x="705223" y="1027382"/>
                                </a:lnTo>
                                <a:lnTo>
                                  <a:pt x="695891" y="1034058"/>
                                </a:lnTo>
                                <a:lnTo>
                                  <a:pt x="703790" y="1045099"/>
                                </a:lnTo>
                                <a:lnTo>
                                  <a:pt x="711185" y="1044819"/>
                                </a:lnTo>
                                <a:lnTo>
                                  <a:pt x="717202" y="1040514"/>
                                </a:lnTo>
                                <a:lnTo>
                                  <a:pt x="716689" y="1026948"/>
                                </a:lnTo>
                                <a:close/>
                              </a:path>
                              <a:path w="3498215" h="1071880">
                                <a:moveTo>
                                  <a:pt x="717202" y="1040514"/>
                                </a:moveTo>
                                <a:lnTo>
                                  <a:pt x="711185" y="1044819"/>
                                </a:lnTo>
                                <a:lnTo>
                                  <a:pt x="717356" y="1044585"/>
                                </a:lnTo>
                                <a:lnTo>
                                  <a:pt x="717202" y="1040514"/>
                                </a:lnTo>
                                <a:close/>
                              </a:path>
                              <a:path w="3498215" h="1071880">
                                <a:moveTo>
                                  <a:pt x="736166" y="1026948"/>
                                </a:moveTo>
                                <a:lnTo>
                                  <a:pt x="716689" y="1026948"/>
                                </a:lnTo>
                                <a:lnTo>
                                  <a:pt x="717202" y="1040514"/>
                                </a:lnTo>
                                <a:lnTo>
                                  <a:pt x="736166" y="1026948"/>
                                </a:lnTo>
                                <a:close/>
                              </a:path>
                              <a:path w="3498215" h="1071880">
                                <a:moveTo>
                                  <a:pt x="1393806" y="534769"/>
                                </a:moveTo>
                                <a:lnTo>
                                  <a:pt x="705223" y="1027382"/>
                                </a:lnTo>
                                <a:lnTo>
                                  <a:pt x="716689" y="1026948"/>
                                </a:lnTo>
                                <a:lnTo>
                                  <a:pt x="736166" y="1026948"/>
                                </a:lnTo>
                                <a:lnTo>
                                  <a:pt x="1397183" y="554055"/>
                                </a:lnTo>
                                <a:lnTo>
                                  <a:pt x="1386669" y="540174"/>
                                </a:lnTo>
                                <a:lnTo>
                                  <a:pt x="1393806" y="534769"/>
                                </a:lnTo>
                                <a:close/>
                              </a:path>
                              <a:path w="3498215" h="1071880">
                                <a:moveTo>
                                  <a:pt x="1404265" y="548988"/>
                                </a:moveTo>
                                <a:lnTo>
                                  <a:pt x="1397183" y="554055"/>
                                </a:lnTo>
                                <a:lnTo>
                                  <a:pt x="1397326" y="554244"/>
                                </a:lnTo>
                                <a:lnTo>
                                  <a:pt x="1404265" y="548988"/>
                                </a:lnTo>
                                <a:close/>
                              </a:path>
                              <a:path w="3498215" h="1071880">
                                <a:moveTo>
                                  <a:pt x="1401075" y="529568"/>
                                </a:moveTo>
                                <a:lnTo>
                                  <a:pt x="1393806" y="534769"/>
                                </a:lnTo>
                                <a:lnTo>
                                  <a:pt x="1386669" y="540174"/>
                                </a:lnTo>
                                <a:lnTo>
                                  <a:pt x="1397183" y="554055"/>
                                </a:lnTo>
                                <a:lnTo>
                                  <a:pt x="1404265" y="548988"/>
                                </a:lnTo>
                                <a:lnTo>
                                  <a:pt x="1411207" y="543730"/>
                                </a:lnTo>
                                <a:lnTo>
                                  <a:pt x="1401075" y="529568"/>
                                </a:lnTo>
                                <a:close/>
                              </a:path>
                              <a:path w="3498215" h="1071880">
                                <a:moveTo>
                                  <a:pt x="1411207" y="543730"/>
                                </a:moveTo>
                                <a:lnTo>
                                  <a:pt x="1404265" y="548988"/>
                                </a:lnTo>
                                <a:lnTo>
                                  <a:pt x="1411345" y="543923"/>
                                </a:lnTo>
                                <a:lnTo>
                                  <a:pt x="1411207" y="543730"/>
                                </a:lnTo>
                                <a:close/>
                              </a:path>
                              <a:path w="3498215" h="1071880">
                                <a:moveTo>
                                  <a:pt x="1429903" y="529568"/>
                                </a:moveTo>
                                <a:lnTo>
                                  <a:pt x="1401075" y="529568"/>
                                </a:lnTo>
                                <a:lnTo>
                                  <a:pt x="1411207" y="543730"/>
                                </a:lnTo>
                                <a:lnTo>
                                  <a:pt x="1429903" y="529568"/>
                                </a:lnTo>
                                <a:close/>
                              </a:path>
                              <a:path w="3498215" h="1071880">
                                <a:moveTo>
                                  <a:pt x="2090752" y="6851"/>
                                </a:moveTo>
                                <a:lnTo>
                                  <a:pt x="1393806" y="534769"/>
                                </a:lnTo>
                                <a:lnTo>
                                  <a:pt x="1401075" y="529568"/>
                                </a:lnTo>
                                <a:lnTo>
                                  <a:pt x="1429903" y="529568"/>
                                </a:lnTo>
                                <a:lnTo>
                                  <a:pt x="2099510" y="22359"/>
                                </a:lnTo>
                                <a:lnTo>
                                  <a:pt x="2086692" y="17446"/>
                                </a:lnTo>
                                <a:lnTo>
                                  <a:pt x="2090752" y="6851"/>
                                </a:lnTo>
                                <a:close/>
                              </a:path>
                              <a:path w="3498215" h="1071880">
                                <a:moveTo>
                                  <a:pt x="2791283" y="268578"/>
                                </a:moveTo>
                                <a:lnTo>
                                  <a:pt x="2800313" y="272039"/>
                                </a:lnTo>
                                <a:lnTo>
                                  <a:pt x="2794549" y="287079"/>
                                </a:lnTo>
                                <a:lnTo>
                                  <a:pt x="3495113" y="410901"/>
                                </a:lnTo>
                                <a:lnTo>
                                  <a:pt x="3498186" y="393520"/>
                                </a:lnTo>
                                <a:lnTo>
                                  <a:pt x="2791283" y="268578"/>
                                </a:lnTo>
                                <a:close/>
                              </a:path>
                              <a:path w="3498215" h="1071880">
                                <a:moveTo>
                                  <a:pt x="2786545" y="285665"/>
                                </a:moveTo>
                                <a:lnTo>
                                  <a:pt x="2793997" y="288521"/>
                                </a:lnTo>
                                <a:lnTo>
                                  <a:pt x="2794549" y="287079"/>
                                </a:lnTo>
                                <a:lnTo>
                                  <a:pt x="2786545" y="285665"/>
                                </a:lnTo>
                                <a:close/>
                              </a:path>
                              <a:path w="3498215" h="1071880">
                                <a:moveTo>
                                  <a:pt x="2781760" y="266895"/>
                                </a:moveTo>
                                <a:lnTo>
                                  <a:pt x="2778957" y="282756"/>
                                </a:lnTo>
                                <a:lnTo>
                                  <a:pt x="2786545" y="285665"/>
                                </a:lnTo>
                                <a:lnTo>
                                  <a:pt x="2794549" y="287079"/>
                                </a:lnTo>
                                <a:lnTo>
                                  <a:pt x="2800313" y="272039"/>
                                </a:lnTo>
                                <a:lnTo>
                                  <a:pt x="2791283" y="268578"/>
                                </a:lnTo>
                                <a:lnTo>
                                  <a:pt x="2781760" y="266895"/>
                                </a:lnTo>
                                <a:close/>
                              </a:path>
                              <a:path w="3498215" h="1071880">
                                <a:moveTo>
                                  <a:pt x="2778957" y="282756"/>
                                </a:moveTo>
                                <a:lnTo>
                                  <a:pt x="2778688" y="284276"/>
                                </a:lnTo>
                                <a:lnTo>
                                  <a:pt x="2786545" y="285665"/>
                                </a:lnTo>
                                <a:lnTo>
                                  <a:pt x="2778957" y="282756"/>
                                </a:lnTo>
                                <a:close/>
                              </a:path>
                              <a:path w="3498215" h="1071880">
                                <a:moveTo>
                                  <a:pt x="2103603" y="5024"/>
                                </a:moveTo>
                                <a:lnTo>
                                  <a:pt x="2110454" y="14069"/>
                                </a:lnTo>
                                <a:lnTo>
                                  <a:pt x="2099510" y="22359"/>
                                </a:lnTo>
                                <a:lnTo>
                                  <a:pt x="2778957" y="282756"/>
                                </a:lnTo>
                                <a:lnTo>
                                  <a:pt x="2781760" y="266895"/>
                                </a:lnTo>
                                <a:lnTo>
                                  <a:pt x="2786891" y="266895"/>
                                </a:lnTo>
                                <a:lnTo>
                                  <a:pt x="2103603" y="5024"/>
                                </a:lnTo>
                                <a:close/>
                              </a:path>
                              <a:path w="3498215" h="1071880">
                                <a:moveTo>
                                  <a:pt x="2786891" y="266895"/>
                                </a:moveTo>
                                <a:lnTo>
                                  <a:pt x="2781760" y="266895"/>
                                </a:lnTo>
                                <a:lnTo>
                                  <a:pt x="2791283" y="268578"/>
                                </a:lnTo>
                                <a:lnTo>
                                  <a:pt x="2786891" y="266895"/>
                                </a:lnTo>
                                <a:close/>
                              </a:path>
                              <a:path w="3498215" h="1071880">
                                <a:moveTo>
                                  <a:pt x="2096670" y="2368"/>
                                </a:moveTo>
                                <a:lnTo>
                                  <a:pt x="2090752" y="6851"/>
                                </a:lnTo>
                                <a:lnTo>
                                  <a:pt x="2086692" y="17446"/>
                                </a:lnTo>
                                <a:lnTo>
                                  <a:pt x="2099510" y="22359"/>
                                </a:lnTo>
                                <a:lnTo>
                                  <a:pt x="2110454" y="14069"/>
                                </a:lnTo>
                                <a:lnTo>
                                  <a:pt x="2103603" y="5024"/>
                                </a:lnTo>
                                <a:lnTo>
                                  <a:pt x="2096670" y="2368"/>
                                </a:lnTo>
                                <a:close/>
                              </a:path>
                              <a:path w="3498215" h="1071880">
                                <a:moveTo>
                                  <a:pt x="2093008" y="964"/>
                                </a:moveTo>
                                <a:lnTo>
                                  <a:pt x="2090752" y="6851"/>
                                </a:lnTo>
                                <a:lnTo>
                                  <a:pt x="2096670" y="2368"/>
                                </a:lnTo>
                                <a:lnTo>
                                  <a:pt x="2093008" y="964"/>
                                </a:lnTo>
                                <a:close/>
                              </a:path>
                              <a:path w="3498215" h="1071880">
                                <a:moveTo>
                                  <a:pt x="2099797" y="0"/>
                                </a:moveTo>
                                <a:lnTo>
                                  <a:pt x="2096670" y="2368"/>
                                </a:lnTo>
                                <a:lnTo>
                                  <a:pt x="2103603" y="5024"/>
                                </a:lnTo>
                                <a:lnTo>
                                  <a:pt x="2099797" y="0"/>
                                </a:lnTo>
                                <a:close/>
                              </a:path>
                            </a:pathLst>
                          </a:custGeom>
                          <a:solidFill>
                            <a:srgbClr val="E3C626"/>
                          </a:solidFill>
                        </wps:spPr>
                        <wps:bodyPr wrap="square" lIns="0" tIns="0" rIns="0" bIns="0" rtlCol="0">
                          <a:prstTxWarp prst="textNoShape">
                            <a:avLst/>
                          </a:prstTxWarp>
                          <a:noAutofit/>
                        </wps:bodyPr>
                      </wps:wsp>
                      <pic:pic>
                        <pic:nvPicPr>
                          <pic:cNvPr id="1615" name="Image 1615"/>
                          <pic:cNvPicPr/>
                        </pic:nvPicPr>
                        <pic:blipFill>
                          <a:blip r:embed="rId690" cstate="print"/>
                          <a:stretch>
                            <a:fillRect/>
                          </a:stretch>
                        </pic:blipFill>
                        <pic:spPr>
                          <a:xfrm>
                            <a:off x="763220" y="1700791"/>
                            <a:ext cx="94302" cy="101199"/>
                          </a:xfrm>
                          <a:prstGeom prst="rect">
                            <a:avLst/>
                          </a:prstGeom>
                        </pic:spPr>
                      </pic:pic>
                      <pic:pic>
                        <pic:nvPicPr>
                          <pic:cNvPr id="1616" name="Image 1616"/>
                          <pic:cNvPicPr/>
                        </pic:nvPicPr>
                        <pic:blipFill>
                          <a:blip r:embed="rId691" cstate="print"/>
                          <a:stretch>
                            <a:fillRect/>
                          </a:stretch>
                        </pic:blipFill>
                        <pic:spPr>
                          <a:xfrm>
                            <a:off x="1462274" y="1674324"/>
                            <a:ext cx="94301" cy="101201"/>
                          </a:xfrm>
                          <a:prstGeom prst="rect">
                            <a:avLst/>
                          </a:prstGeom>
                        </pic:spPr>
                      </pic:pic>
                      <pic:pic>
                        <pic:nvPicPr>
                          <pic:cNvPr id="1617" name="Image 1617"/>
                          <pic:cNvPicPr/>
                        </pic:nvPicPr>
                        <pic:blipFill>
                          <a:blip r:embed="rId692" cstate="print"/>
                          <a:stretch>
                            <a:fillRect/>
                          </a:stretch>
                        </pic:blipFill>
                        <pic:spPr>
                          <a:xfrm>
                            <a:off x="2153095" y="1180103"/>
                            <a:ext cx="94295" cy="101200"/>
                          </a:xfrm>
                          <a:prstGeom prst="rect">
                            <a:avLst/>
                          </a:prstGeom>
                        </pic:spPr>
                      </pic:pic>
                      <pic:pic>
                        <pic:nvPicPr>
                          <pic:cNvPr id="1618" name="Image 1618"/>
                          <pic:cNvPicPr/>
                        </pic:nvPicPr>
                        <pic:blipFill>
                          <a:blip r:embed="rId693" cstate="print"/>
                          <a:stretch>
                            <a:fillRect/>
                          </a:stretch>
                        </pic:blipFill>
                        <pic:spPr>
                          <a:xfrm>
                            <a:off x="2852148" y="650586"/>
                            <a:ext cx="94303" cy="101199"/>
                          </a:xfrm>
                          <a:prstGeom prst="rect">
                            <a:avLst/>
                          </a:prstGeom>
                        </pic:spPr>
                      </pic:pic>
                      <pic:pic>
                        <pic:nvPicPr>
                          <pic:cNvPr id="1619" name="Image 1619"/>
                          <pic:cNvPicPr/>
                        </pic:nvPicPr>
                        <pic:blipFill>
                          <a:blip r:embed="rId692" cstate="print"/>
                          <a:stretch>
                            <a:fillRect/>
                          </a:stretch>
                        </pic:blipFill>
                        <pic:spPr>
                          <a:xfrm>
                            <a:off x="3542971" y="915344"/>
                            <a:ext cx="94302" cy="101199"/>
                          </a:xfrm>
                          <a:prstGeom prst="rect">
                            <a:avLst/>
                          </a:prstGeom>
                        </pic:spPr>
                      </pic:pic>
                      <pic:pic>
                        <pic:nvPicPr>
                          <pic:cNvPr id="1620" name="Image 1620"/>
                          <pic:cNvPicPr/>
                        </pic:nvPicPr>
                        <pic:blipFill>
                          <a:blip r:embed="rId694" cstate="print"/>
                          <a:stretch>
                            <a:fillRect/>
                          </a:stretch>
                        </pic:blipFill>
                        <pic:spPr>
                          <a:xfrm>
                            <a:off x="4242029" y="1038895"/>
                            <a:ext cx="94289" cy="101202"/>
                          </a:xfrm>
                          <a:prstGeom prst="rect">
                            <a:avLst/>
                          </a:prstGeom>
                        </pic:spPr>
                      </pic:pic>
                      <wps:wsp>
                        <wps:cNvPr id="1621" name="Graphic 1621"/>
                        <wps:cNvSpPr/>
                        <wps:spPr>
                          <a:xfrm>
                            <a:off x="2079191" y="126317"/>
                            <a:ext cx="222250" cy="62230"/>
                          </a:xfrm>
                          <a:custGeom>
                            <a:avLst/>
                            <a:gdLst/>
                            <a:ahLst/>
                            <a:cxnLst/>
                            <a:rect l="l" t="t" r="r" b="b"/>
                            <a:pathLst>
                              <a:path w="222250" h="62230">
                                <a:moveTo>
                                  <a:pt x="222051" y="0"/>
                                </a:moveTo>
                                <a:lnTo>
                                  <a:pt x="0" y="0"/>
                                </a:lnTo>
                                <a:lnTo>
                                  <a:pt x="0" y="61775"/>
                                </a:lnTo>
                                <a:lnTo>
                                  <a:pt x="222051" y="61775"/>
                                </a:lnTo>
                                <a:lnTo>
                                  <a:pt x="222051" y="0"/>
                                </a:lnTo>
                                <a:close/>
                              </a:path>
                            </a:pathLst>
                          </a:custGeom>
                          <a:solidFill>
                            <a:srgbClr val="2F7D41"/>
                          </a:solidFill>
                        </wps:spPr>
                        <wps:bodyPr wrap="square" lIns="0" tIns="0" rIns="0" bIns="0" rtlCol="0">
                          <a:prstTxWarp prst="textNoShape">
                            <a:avLst/>
                          </a:prstTxWarp>
                          <a:noAutofit/>
                        </wps:bodyPr>
                      </wps:wsp>
                      <wps:wsp>
                        <wps:cNvPr id="1622" name="Graphic 1622"/>
                        <wps:cNvSpPr/>
                        <wps:spPr>
                          <a:xfrm>
                            <a:off x="0" y="0"/>
                            <a:ext cx="5245100" cy="2592070"/>
                          </a:xfrm>
                          <a:custGeom>
                            <a:avLst/>
                            <a:gdLst/>
                            <a:ahLst/>
                            <a:cxnLst/>
                            <a:rect l="l" t="t" r="r" b="b"/>
                            <a:pathLst>
                              <a:path w="5245100" h="2592070">
                                <a:moveTo>
                                  <a:pt x="5245100" y="0"/>
                                </a:moveTo>
                                <a:lnTo>
                                  <a:pt x="5238737" y="0"/>
                                </a:lnTo>
                                <a:lnTo>
                                  <a:pt x="5238737" y="6819"/>
                                </a:lnTo>
                                <a:lnTo>
                                  <a:pt x="5238737" y="2585720"/>
                                </a:lnTo>
                                <a:lnTo>
                                  <a:pt x="5238737" y="2586355"/>
                                </a:lnTo>
                                <a:lnTo>
                                  <a:pt x="6350" y="2586355"/>
                                </a:lnTo>
                                <a:lnTo>
                                  <a:pt x="3175" y="2586355"/>
                                </a:lnTo>
                                <a:lnTo>
                                  <a:pt x="3175" y="2585720"/>
                                </a:lnTo>
                                <a:lnTo>
                                  <a:pt x="6350" y="2585720"/>
                                </a:lnTo>
                                <a:lnTo>
                                  <a:pt x="6350" y="6819"/>
                                </a:lnTo>
                                <a:lnTo>
                                  <a:pt x="5238737" y="6819"/>
                                </a:lnTo>
                                <a:lnTo>
                                  <a:pt x="5238737" y="0"/>
                                </a:lnTo>
                                <a:lnTo>
                                  <a:pt x="0" y="0"/>
                                </a:lnTo>
                                <a:lnTo>
                                  <a:pt x="0" y="3810"/>
                                </a:lnTo>
                                <a:lnTo>
                                  <a:pt x="0" y="6350"/>
                                </a:lnTo>
                                <a:lnTo>
                                  <a:pt x="0" y="2585720"/>
                                </a:lnTo>
                                <a:lnTo>
                                  <a:pt x="0" y="2589530"/>
                                </a:lnTo>
                                <a:lnTo>
                                  <a:pt x="0" y="2592070"/>
                                </a:lnTo>
                                <a:lnTo>
                                  <a:pt x="5245100" y="2592070"/>
                                </a:lnTo>
                                <a:lnTo>
                                  <a:pt x="5245100" y="2589530"/>
                                </a:lnTo>
                                <a:lnTo>
                                  <a:pt x="5245100" y="2586355"/>
                                </a:lnTo>
                                <a:lnTo>
                                  <a:pt x="5241925" y="2586355"/>
                                </a:lnTo>
                                <a:lnTo>
                                  <a:pt x="5241925" y="2585720"/>
                                </a:lnTo>
                                <a:lnTo>
                                  <a:pt x="5245100" y="2585720"/>
                                </a:lnTo>
                                <a:lnTo>
                                  <a:pt x="5245100" y="6819"/>
                                </a:lnTo>
                                <a:lnTo>
                                  <a:pt x="5245100" y="6350"/>
                                </a:lnTo>
                                <a:lnTo>
                                  <a:pt x="5245100" y="3810"/>
                                </a:lnTo>
                                <a:lnTo>
                                  <a:pt x="5245100" y="3644"/>
                                </a:lnTo>
                                <a:lnTo>
                                  <a:pt x="5245100" y="0"/>
                                </a:lnTo>
                                <a:close/>
                              </a:path>
                            </a:pathLst>
                          </a:custGeom>
                          <a:solidFill>
                            <a:srgbClr val="000000"/>
                          </a:solidFill>
                        </wps:spPr>
                        <wps:bodyPr wrap="square" lIns="0" tIns="0" rIns="0" bIns="0" rtlCol="0">
                          <a:prstTxWarp prst="textNoShape">
                            <a:avLst/>
                          </a:prstTxWarp>
                          <a:noAutofit/>
                        </wps:bodyPr>
                      </wps:wsp>
                      <wps:wsp>
                        <wps:cNvPr id="1623" name="Textbox 1623"/>
                        <wps:cNvSpPr txBox="1"/>
                        <wps:spPr>
                          <a:xfrm>
                            <a:off x="340856" y="2254767"/>
                            <a:ext cx="4677410" cy="226060"/>
                          </a:xfrm>
                          <a:prstGeom prst="rect">
                            <a:avLst/>
                          </a:prstGeom>
                        </wps:spPr>
                        <wps:txbx>
                          <w:txbxContent>
                            <w:p>
                              <w:pPr>
                                <w:tabs>
                                  <w:tab w:pos="6962" w:val="left" w:leader="none"/>
                                </w:tabs>
                                <w:spacing w:line="181" w:lineRule="exact" w:before="0"/>
                                <w:ind w:left="0" w:right="0" w:firstLine="0"/>
                                <w:jc w:val="left"/>
                                <w:rPr>
                                  <w:rFonts w:ascii="Arial MT"/>
                                  <w:sz w:val="14"/>
                                </w:rPr>
                              </w:pPr>
                              <w:r>
                                <w:rPr>
                                  <w:rFonts w:ascii="Arial MT"/>
                                  <w:spacing w:val="-10"/>
                                  <w:w w:val="90"/>
                                  <w:position w:val="-1"/>
                                  <w:sz w:val="14"/>
                                </w:rPr>
                                <w:t>0</w:t>
                              </w:r>
                              <w:r>
                                <w:rPr>
                                  <w:rFonts w:ascii="Arial MT"/>
                                  <w:position w:val="-1"/>
                                  <w:sz w:val="14"/>
                                </w:rPr>
                                <w:tab/>
                              </w:r>
                              <w:r>
                                <w:rPr>
                                  <w:rFonts w:ascii="Arial MT"/>
                                  <w:spacing w:val="-2"/>
                                  <w:w w:val="85"/>
                                  <w:sz w:val="14"/>
                                </w:rPr>
                                <w:t>256000</w:t>
                              </w:r>
                            </w:p>
                            <w:p>
                              <w:pPr>
                                <w:tabs>
                                  <w:tab w:pos="1606" w:val="left" w:leader="none"/>
                                  <w:tab w:pos="2711" w:val="left" w:leader="none"/>
                                  <w:tab w:pos="3816" w:val="left" w:leader="none"/>
                                  <w:tab w:pos="4857" w:val="left" w:leader="none"/>
                                  <w:tab w:pos="6447" w:val="right" w:leader="none"/>
                                </w:tabs>
                                <w:spacing w:before="13"/>
                                <w:ind w:left="501" w:right="0" w:firstLine="0"/>
                                <w:jc w:val="left"/>
                                <w:rPr>
                                  <w:rFonts w:ascii="Arial MT"/>
                                  <w:sz w:val="14"/>
                                </w:rPr>
                              </w:pPr>
                              <w:r>
                                <w:rPr>
                                  <w:rFonts w:ascii="Arial MT"/>
                                  <w:w w:val="80"/>
                                  <w:sz w:val="14"/>
                                </w:rPr>
                                <w:t>1995-</w:t>
                              </w:r>
                              <w:r>
                                <w:rPr>
                                  <w:rFonts w:ascii="Arial MT"/>
                                  <w:spacing w:val="-5"/>
                                  <w:w w:val="90"/>
                                  <w:sz w:val="14"/>
                                </w:rPr>
                                <w:t>96</w:t>
                              </w:r>
                              <w:r>
                                <w:rPr>
                                  <w:rFonts w:ascii="Arial MT"/>
                                  <w:sz w:val="14"/>
                                </w:rPr>
                                <w:tab/>
                              </w:r>
                              <w:r>
                                <w:rPr>
                                  <w:rFonts w:ascii="Arial MT"/>
                                  <w:w w:val="80"/>
                                  <w:sz w:val="14"/>
                                </w:rPr>
                                <w:t>1996-</w:t>
                              </w:r>
                              <w:r>
                                <w:rPr>
                                  <w:rFonts w:ascii="Arial MT"/>
                                  <w:spacing w:val="-5"/>
                                  <w:w w:val="90"/>
                                  <w:sz w:val="14"/>
                                </w:rPr>
                                <w:t>97</w:t>
                              </w:r>
                              <w:r>
                                <w:rPr>
                                  <w:rFonts w:ascii="Arial MT"/>
                                  <w:sz w:val="14"/>
                                </w:rPr>
                                <w:tab/>
                              </w:r>
                              <w:r>
                                <w:rPr>
                                  <w:rFonts w:ascii="Arial MT"/>
                                  <w:w w:val="80"/>
                                  <w:sz w:val="14"/>
                                </w:rPr>
                                <w:t>1997-</w:t>
                              </w:r>
                              <w:r>
                                <w:rPr>
                                  <w:rFonts w:ascii="Arial MT"/>
                                  <w:spacing w:val="-5"/>
                                  <w:w w:val="90"/>
                                  <w:sz w:val="14"/>
                                </w:rPr>
                                <w:t>98</w:t>
                              </w:r>
                              <w:r>
                                <w:rPr>
                                  <w:rFonts w:ascii="Arial MT"/>
                                  <w:sz w:val="14"/>
                                </w:rPr>
                                <w:tab/>
                              </w:r>
                              <w:r>
                                <w:rPr>
                                  <w:rFonts w:ascii="Arial MT"/>
                                  <w:w w:val="80"/>
                                  <w:sz w:val="14"/>
                                </w:rPr>
                                <w:t>1998-</w:t>
                              </w:r>
                              <w:r>
                                <w:rPr>
                                  <w:rFonts w:ascii="Arial MT"/>
                                  <w:spacing w:val="-5"/>
                                  <w:w w:val="90"/>
                                  <w:sz w:val="14"/>
                                </w:rPr>
                                <w:t>99</w:t>
                              </w:r>
                              <w:r>
                                <w:rPr>
                                  <w:rFonts w:ascii="Arial MT"/>
                                  <w:sz w:val="14"/>
                                </w:rPr>
                                <w:tab/>
                              </w:r>
                              <w:r>
                                <w:rPr>
                                  <w:rFonts w:ascii="Arial MT"/>
                                  <w:w w:val="80"/>
                                  <w:sz w:val="14"/>
                                </w:rPr>
                                <w:t>1999-</w:t>
                              </w:r>
                              <w:r>
                                <w:rPr>
                                  <w:rFonts w:ascii="Arial MT"/>
                                  <w:spacing w:val="-4"/>
                                  <w:w w:val="90"/>
                                  <w:sz w:val="14"/>
                                </w:rPr>
                                <w:t>2000</w:t>
                              </w:r>
                              <w:r>
                                <w:rPr>
                                  <w:sz w:val="14"/>
                                </w:rPr>
                                <w:tab/>
                              </w:r>
                              <w:r>
                                <w:rPr>
                                  <w:rFonts w:ascii="Arial MT"/>
                                  <w:spacing w:val="-2"/>
                                  <w:w w:val="90"/>
                                  <w:sz w:val="14"/>
                                </w:rPr>
                                <w:t>2000-</w:t>
                              </w:r>
                              <w:r>
                                <w:rPr>
                                  <w:rFonts w:ascii="Arial MT"/>
                                  <w:w w:val="80"/>
                                  <w:sz w:val="14"/>
                                </w:rPr>
                                <w:t>01</w:t>
                              </w:r>
                            </w:p>
                          </w:txbxContent>
                        </wps:txbx>
                        <wps:bodyPr wrap="square" lIns="0" tIns="0" rIns="0" bIns="0" rtlCol="0">
                          <a:noAutofit/>
                        </wps:bodyPr>
                      </wps:wsp>
                      <wps:wsp>
                        <wps:cNvPr id="1624" name="Textbox 1624"/>
                        <wps:cNvSpPr txBox="1"/>
                        <wps:spPr>
                          <a:xfrm>
                            <a:off x="2356193" y="84838"/>
                            <a:ext cx="160591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Percentage</w:t>
                              </w:r>
                              <w:r>
                                <w:rPr>
                                  <w:rFonts w:ascii="Arial MT"/>
                                  <w:spacing w:val="-2"/>
                                  <w:sz w:val="14"/>
                                </w:rPr>
                                <w:t> </w:t>
                              </w:r>
                              <w:r>
                                <w:rPr>
                                  <w:rFonts w:ascii="Arial MT"/>
                                  <w:w w:val="80"/>
                                  <w:sz w:val="14"/>
                                </w:rPr>
                                <w:t>of</w:t>
                              </w:r>
                              <w:r>
                                <w:rPr>
                                  <w:rFonts w:ascii="Arial MT"/>
                                  <w:spacing w:val="-1"/>
                                  <w:sz w:val="14"/>
                                </w:rPr>
                                <w:t> </w:t>
                              </w:r>
                              <w:r>
                                <w:rPr>
                                  <w:rFonts w:ascii="Arial MT"/>
                                  <w:w w:val="80"/>
                                  <w:sz w:val="14"/>
                                </w:rPr>
                                <w:t>total</w:t>
                              </w:r>
                              <w:r>
                                <w:rPr>
                                  <w:rFonts w:ascii="Arial MT"/>
                                  <w:spacing w:val="-1"/>
                                  <w:sz w:val="14"/>
                                </w:rPr>
                                <w:t> </w:t>
                              </w:r>
                              <w:r>
                                <w:rPr>
                                  <w:rFonts w:ascii="Arial MT"/>
                                  <w:w w:val="80"/>
                                  <w:sz w:val="14"/>
                                </w:rPr>
                                <w:t>enrolment</w:t>
                              </w:r>
                              <w:r>
                                <w:rPr>
                                  <w:rFonts w:ascii="Arial MT"/>
                                  <w:spacing w:val="-1"/>
                                  <w:sz w:val="14"/>
                                </w:rPr>
                                <w:t> </w:t>
                              </w:r>
                              <w:r>
                                <w:rPr>
                                  <w:rFonts w:ascii="Arial MT"/>
                                  <w:w w:val="80"/>
                                  <w:sz w:val="14"/>
                                </w:rPr>
                                <w:t>in</w:t>
                              </w:r>
                              <w:r>
                                <w:rPr>
                                  <w:rFonts w:ascii="Arial MT"/>
                                  <w:spacing w:val="-1"/>
                                  <w:sz w:val="14"/>
                                </w:rPr>
                                <w:t> </w:t>
                              </w:r>
                              <w:r>
                                <w:rPr>
                                  <w:rFonts w:ascii="Arial MT"/>
                                  <w:w w:val="80"/>
                                  <w:sz w:val="14"/>
                                </w:rPr>
                                <w:t>higher</w:t>
                              </w:r>
                              <w:r>
                                <w:rPr>
                                  <w:rFonts w:ascii="Arial MT"/>
                                  <w:spacing w:val="-1"/>
                                  <w:sz w:val="14"/>
                                </w:rPr>
                                <w:t> </w:t>
                              </w:r>
                              <w:r>
                                <w:rPr>
                                  <w:rFonts w:ascii="Arial MT"/>
                                  <w:spacing w:val="-2"/>
                                  <w:w w:val="80"/>
                                  <w:sz w:val="14"/>
                                </w:rPr>
                                <w:t>education</w:t>
                              </w:r>
                            </w:p>
                          </w:txbxContent>
                        </wps:txbx>
                        <wps:bodyPr wrap="square" lIns="0" tIns="0" rIns="0" bIns="0" rtlCol="0">
                          <a:noAutofit/>
                        </wps:bodyPr>
                      </wps:wsp>
                      <wps:wsp>
                        <wps:cNvPr id="1625" name="Textbox 1625"/>
                        <wps:cNvSpPr txBox="1"/>
                        <wps:spPr>
                          <a:xfrm>
                            <a:off x="4355949" y="91188"/>
                            <a:ext cx="71818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Total</w:t>
                              </w:r>
                              <w:r>
                                <w:rPr>
                                  <w:rFonts w:ascii="Arial MT"/>
                                  <w:spacing w:val="-6"/>
                                  <w:sz w:val="14"/>
                                </w:rPr>
                                <w:t> </w:t>
                              </w:r>
                              <w:r>
                                <w:rPr>
                                  <w:rFonts w:ascii="Arial MT"/>
                                  <w:w w:val="80"/>
                                  <w:sz w:val="14"/>
                                </w:rPr>
                                <w:t>enrolment</w:t>
                              </w:r>
                              <w:r>
                                <w:rPr>
                                  <w:rFonts w:ascii="Arial MT"/>
                                  <w:spacing w:val="-6"/>
                                  <w:sz w:val="14"/>
                                </w:rPr>
                                <w:t> </w:t>
                              </w:r>
                              <w:r>
                                <w:rPr>
                                  <w:rFonts w:ascii="Arial MT"/>
                                  <w:w w:val="80"/>
                                  <w:sz w:val="14"/>
                                </w:rPr>
                                <w:t>in</w:t>
                              </w:r>
                              <w:r>
                                <w:rPr>
                                  <w:rFonts w:ascii="Arial MT"/>
                                  <w:spacing w:val="-6"/>
                                  <w:sz w:val="14"/>
                                </w:rPr>
                                <w:t> </w:t>
                              </w:r>
                              <w:r>
                                <w:rPr>
                                  <w:rFonts w:ascii="Arial MT"/>
                                  <w:spacing w:val="-5"/>
                                  <w:w w:val="80"/>
                                  <w:sz w:val="14"/>
                                </w:rPr>
                                <w:t>law</w:t>
                              </w:r>
                            </w:p>
                          </w:txbxContent>
                        </wps:txbx>
                        <wps:bodyPr wrap="square" lIns="0" tIns="0" rIns="0" bIns="0" rtlCol="0">
                          <a:noAutofit/>
                        </wps:bodyPr>
                      </wps:wsp>
                      <wps:wsp>
                        <wps:cNvPr id="1626" name="Textbox 1626"/>
                        <wps:cNvSpPr txBox="1"/>
                        <wps:spPr>
                          <a:xfrm>
                            <a:off x="280041" y="496038"/>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4.5</w:t>
                              </w:r>
                            </w:p>
                          </w:txbxContent>
                        </wps:txbx>
                        <wps:bodyPr wrap="square" lIns="0" tIns="0" rIns="0" bIns="0" rtlCol="0">
                          <a:noAutofit/>
                        </wps:bodyPr>
                      </wps:wsp>
                      <wps:wsp>
                        <wps:cNvPr id="1627" name="Textbox 1627"/>
                        <wps:cNvSpPr txBox="1"/>
                        <wps:spPr>
                          <a:xfrm>
                            <a:off x="4761850" y="49708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272000</w:t>
                              </w:r>
                            </w:p>
                          </w:txbxContent>
                        </wps:txbx>
                        <wps:bodyPr wrap="square" lIns="0" tIns="0" rIns="0" bIns="0" rtlCol="0">
                          <a:noAutofit/>
                        </wps:bodyPr>
                      </wps:wsp>
                      <wps:wsp>
                        <wps:cNvPr id="1628" name="Textbox 1628"/>
                        <wps:cNvSpPr txBox="1"/>
                        <wps:spPr>
                          <a:xfrm>
                            <a:off x="280041" y="692888"/>
                            <a:ext cx="114300" cy="299085"/>
                          </a:xfrm>
                          <a:prstGeom prst="rect">
                            <a:avLst/>
                          </a:prstGeom>
                        </wps:spPr>
                        <wps:txbx>
                          <w:txbxContent>
                            <w:p>
                              <w:pPr>
                                <w:spacing w:line="161" w:lineRule="exact" w:before="0"/>
                                <w:ind w:left="95" w:right="0" w:firstLine="0"/>
                                <w:jc w:val="left"/>
                                <w:rPr>
                                  <w:rFonts w:ascii="Arial MT"/>
                                  <w:sz w:val="14"/>
                                </w:rPr>
                              </w:pPr>
                              <w:r>
                                <w:rPr>
                                  <w:rFonts w:ascii="Arial MT"/>
                                  <w:spacing w:val="-10"/>
                                  <w:w w:val="90"/>
                                  <w:sz w:val="14"/>
                                </w:rPr>
                                <w:t>4</w:t>
                              </w:r>
                            </w:p>
                            <w:p>
                              <w:pPr>
                                <w:spacing w:before="149"/>
                                <w:ind w:left="0" w:right="0" w:firstLine="0"/>
                                <w:jc w:val="left"/>
                                <w:rPr>
                                  <w:rFonts w:ascii="Arial MT"/>
                                  <w:sz w:val="14"/>
                                </w:rPr>
                              </w:pPr>
                              <w:r>
                                <w:rPr>
                                  <w:rFonts w:ascii="Arial MT"/>
                                  <w:spacing w:val="-5"/>
                                  <w:w w:val="90"/>
                                  <w:sz w:val="14"/>
                                </w:rPr>
                                <w:t>3.5</w:t>
                              </w:r>
                            </w:p>
                          </w:txbxContent>
                        </wps:txbx>
                        <wps:bodyPr wrap="square" lIns="0" tIns="0" rIns="0" bIns="0" rtlCol="0">
                          <a:noAutofit/>
                        </wps:bodyPr>
                      </wps:wsp>
                      <wps:wsp>
                        <wps:cNvPr id="1629" name="Textbox 1629"/>
                        <wps:cNvSpPr txBox="1"/>
                        <wps:spPr>
                          <a:xfrm>
                            <a:off x="4761850" y="71679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270000</w:t>
                              </w:r>
                            </w:p>
                          </w:txbxContent>
                        </wps:txbx>
                        <wps:bodyPr wrap="square" lIns="0" tIns="0" rIns="0" bIns="0" rtlCol="0">
                          <a:noAutofit/>
                        </wps:bodyPr>
                      </wps:wsp>
                      <wps:wsp>
                        <wps:cNvPr id="1630" name="Textbox 1630"/>
                        <wps:cNvSpPr txBox="1"/>
                        <wps:spPr>
                          <a:xfrm>
                            <a:off x="4761850" y="93650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268000</w:t>
                              </w:r>
                            </w:p>
                          </w:txbxContent>
                        </wps:txbx>
                        <wps:bodyPr wrap="square" lIns="0" tIns="0" rIns="0" bIns="0" rtlCol="0">
                          <a:noAutofit/>
                        </wps:bodyPr>
                      </wps:wsp>
                      <wps:wsp>
                        <wps:cNvPr id="1631" name="Textbox 1631"/>
                        <wps:cNvSpPr txBox="1"/>
                        <wps:spPr>
                          <a:xfrm>
                            <a:off x="280041" y="1086588"/>
                            <a:ext cx="114300" cy="299085"/>
                          </a:xfrm>
                          <a:prstGeom prst="rect">
                            <a:avLst/>
                          </a:prstGeom>
                        </wps:spPr>
                        <wps:txbx>
                          <w:txbxContent>
                            <w:p>
                              <w:pPr>
                                <w:spacing w:line="161" w:lineRule="exact" w:before="0"/>
                                <w:ind w:left="95" w:right="0" w:firstLine="0"/>
                                <w:jc w:val="left"/>
                                <w:rPr>
                                  <w:rFonts w:ascii="Arial MT"/>
                                  <w:sz w:val="14"/>
                                </w:rPr>
                              </w:pPr>
                              <w:r>
                                <w:rPr>
                                  <w:rFonts w:ascii="Arial MT"/>
                                  <w:spacing w:val="-10"/>
                                  <w:w w:val="90"/>
                                  <w:sz w:val="14"/>
                                </w:rPr>
                                <w:t>3</w:t>
                              </w:r>
                            </w:p>
                            <w:p>
                              <w:pPr>
                                <w:spacing w:before="149"/>
                                <w:ind w:left="0" w:right="0" w:firstLine="0"/>
                                <w:jc w:val="left"/>
                                <w:rPr>
                                  <w:rFonts w:ascii="Arial MT"/>
                                  <w:sz w:val="14"/>
                                </w:rPr>
                              </w:pPr>
                              <w:r>
                                <w:rPr>
                                  <w:rFonts w:ascii="Arial MT"/>
                                  <w:spacing w:val="-5"/>
                                  <w:w w:val="90"/>
                                  <w:sz w:val="14"/>
                                </w:rPr>
                                <w:t>2.5</w:t>
                              </w:r>
                            </w:p>
                          </w:txbxContent>
                        </wps:txbx>
                        <wps:bodyPr wrap="square" lIns="0" tIns="0" rIns="0" bIns="0" rtlCol="0">
                          <a:noAutofit/>
                        </wps:bodyPr>
                      </wps:wsp>
                      <wps:wsp>
                        <wps:cNvPr id="1632" name="Textbox 1632"/>
                        <wps:cNvSpPr txBox="1"/>
                        <wps:spPr>
                          <a:xfrm>
                            <a:off x="4761850" y="1156218"/>
                            <a:ext cx="256540" cy="32194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266000</w:t>
                              </w:r>
                            </w:p>
                            <w:p>
                              <w:pPr>
                                <w:spacing w:line="240" w:lineRule="auto" w:before="24"/>
                                <w:rPr>
                                  <w:rFonts w:ascii="Arial MT"/>
                                  <w:sz w:val="14"/>
                                </w:rPr>
                              </w:pPr>
                            </w:p>
                            <w:p>
                              <w:pPr>
                                <w:spacing w:before="0"/>
                                <w:ind w:left="0" w:right="0" w:firstLine="0"/>
                                <w:jc w:val="left"/>
                                <w:rPr>
                                  <w:rFonts w:ascii="Arial MT"/>
                                  <w:sz w:val="14"/>
                                </w:rPr>
                              </w:pPr>
                              <w:r>
                                <w:rPr>
                                  <w:rFonts w:ascii="Arial MT"/>
                                  <w:spacing w:val="-2"/>
                                  <w:w w:val="85"/>
                                  <w:sz w:val="14"/>
                                </w:rPr>
                                <w:t>264000</w:t>
                              </w:r>
                            </w:p>
                          </w:txbxContent>
                        </wps:txbx>
                        <wps:bodyPr wrap="square" lIns="0" tIns="0" rIns="0" bIns="0" rtlCol="0">
                          <a:noAutofit/>
                        </wps:bodyPr>
                      </wps:wsp>
                      <wps:wsp>
                        <wps:cNvPr id="1633" name="Textbox 1633"/>
                        <wps:cNvSpPr txBox="1"/>
                        <wps:spPr>
                          <a:xfrm>
                            <a:off x="280041" y="1480288"/>
                            <a:ext cx="4737735" cy="299085"/>
                          </a:xfrm>
                          <a:prstGeom prst="rect">
                            <a:avLst/>
                          </a:prstGeom>
                        </wps:spPr>
                        <wps:txbx>
                          <w:txbxContent>
                            <w:p>
                              <w:pPr>
                                <w:spacing w:line="161" w:lineRule="exact" w:before="0"/>
                                <w:ind w:left="95" w:right="0" w:firstLine="0"/>
                                <w:jc w:val="left"/>
                                <w:rPr>
                                  <w:rFonts w:ascii="Arial MT"/>
                                  <w:sz w:val="14"/>
                                </w:rPr>
                              </w:pPr>
                              <w:r>
                                <w:rPr>
                                  <w:rFonts w:ascii="Arial MT"/>
                                  <w:spacing w:val="-10"/>
                                  <w:w w:val="90"/>
                                  <w:sz w:val="14"/>
                                </w:rPr>
                                <w:t>2</w:t>
                              </w:r>
                            </w:p>
                            <w:p>
                              <w:pPr>
                                <w:spacing w:line="145" w:lineRule="exact" w:before="20"/>
                                <w:ind w:left="7057" w:right="0" w:firstLine="0"/>
                                <w:jc w:val="left"/>
                                <w:rPr>
                                  <w:rFonts w:ascii="Arial MT"/>
                                  <w:sz w:val="14"/>
                                </w:rPr>
                              </w:pPr>
                              <w:r>
                                <w:rPr>
                                  <w:rFonts w:ascii="Arial MT"/>
                                  <w:spacing w:val="-2"/>
                                  <w:w w:val="85"/>
                                  <w:sz w:val="14"/>
                                </w:rPr>
                                <w:t>262000</w:t>
                              </w:r>
                            </w:p>
                            <w:p>
                              <w:pPr>
                                <w:spacing w:line="145" w:lineRule="exact" w:before="0"/>
                                <w:ind w:left="0" w:right="0" w:firstLine="0"/>
                                <w:jc w:val="left"/>
                                <w:rPr>
                                  <w:rFonts w:ascii="Arial MT"/>
                                  <w:sz w:val="14"/>
                                </w:rPr>
                              </w:pPr>
                              <w:r>
                                <w:rPr>
                                  <w:rFonts w:ascii="Arial MT"/>
                                  <w:spacing w:val="-5"/>
                                  <w:w w:val="90"/>
                                  <w:sz w:val="14"/>
                                </w:rPr>
                                <w:t>1.5</w:t>
                              </w:r>
                            </w:p>
                          </w:txbxContent>
                        </wps:txbx>
                        <wps:bodyPr wrap="square" lIns="0" tIns="0" rIns="0" bIns="0" rtlCol="0">
                          <a:noAutofit/>
                        </wps:bodyPr>
                      </wps:wsp>
                      <wps:wsp>
                        <wps:cNvPr id="1634" name="Textbox 1634"/>
                        <wps:cNvSpPr txBox="1"/>
                        <wps:spPr>
                          <a:xfrm>
                            <a:off x="280041" y="1873988"/>
                            <a:ext cx="114300" cy="299085"/>
                          </a:xfrm>
                          <a:prstGeom prst="rect">
                            <a:avLst/>
                          </a:prstGeom>
                        </wps:spPr>
                        <wps:txbx>
                          <w:txbxContent>
                            <w:p>
                              <w:pPr>
                                <w:spacing w:line="161" w:lineRule="exact" w:before="0"/>
                                <w:ind w:left="95" w:right="0" w:firstLine="0"/>
                                <w:jc w:val="left"/>
                                <w:rPr>
                                  <w:rFonts w:ascii="Arial MT"/>
                                  <w:sz w:val="14"/>
                                </w:rPr>
                              </w:pPr>
                              <w:r>
                                <w:rPr>
                                  <w:rFonts w:ascii="Arial MT"/>
                                  <w:spacing w:val="-10"/>
                                  <w:w w:val="90"/>
                                  <w:sz w:val="14"/>
                                </w:rPr>
                                <w:t>1</w:t>
                              </w:r>
                            </w:p>
                            <w:p>
                              <w:pPr>
                                <w:spacing w:before="149"/>
                                <w:ind w:left="0" w:right="0" w:firstLine="0"/>
                                <w:jc w:val="left"/>
                                <w:rPr>
                                  <w:rFonts w:ascii="Arial MT"/>
                                  <w:sz w:val="14"/>
                                </w:rPr>
                              </w:pPr>
                              <w:r>
                                <w:rPr>
                                  <w:rFonts w:ascii="Arial MT"/>
                                  <w:spacing w:val="-5"/>
                                  <w:w w:val="90"/>
                                  <w:sz w:val="14"/>
                                </w:rPr>
                                <w:t>0.5</w:t>
                              </w:r>
                            </w:p>
                          </w:txbxContent>
                        </wps:txbx>
                        <wps:bodyPr wrap="square" lIns="0" tIns="0" rIns="0" bIns="0" rtlCol="0">
                          <a:noAutofit/>
                        </wps:bodyPr>
                      </wps:wsp>
                      <wps:wsp>
                        <wps:cNvPr id="1635" name="Textbox 1635"/>
                        <wps:cNvSpPr txBox="1"/>
                        <wps:spPr>
                          <a:xfrm>
                            <a:off x="4761850" y="1815347"/>
                            <a:ext cx="256540" cy="32194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260000</w:t>
                              </w:r>
                            </w:p>
                            <w:p>
                              <w:pPr>
                                <w:spacing w:line="240" w:lineRule="auto" w:before="24"/>
                                <w:rPr>
                                  <w:rFonts w:ascii="Arial MT"/>
                                  <w:sz w:val="14"/>
                                </w:rPr>
                              </w:pPr>
                            </w:p>
                            <w:p>
                              <w:pPr>
                                <w:spacing w:before="0"/>
                                <w:ind w:left="0" w:right="0" w:firstLine="0"/>
                                <w:jc w:val="left"/>
                                <w:rPr>
                                  <w:rFonts w:ascii="Arial MT"/>
                                  <w:sz w:val="14"/>
                                </w:rPr>
                              </w:pPr>
                              <w:r>
                                <w:rPr>
                                  <w:rFonts w:ascii="Arial MT"/>
                                  <w:spacing w:val="-2"/>
                                  <w:w w:val="85"/>
                                  <w:sz w:val="14"/>
                                </w:rPr>
                                <w:t>258000</w:t>
                              </w:r>
                            </w:p>
                          </w:txbxContent>
                        </wps:txbx>
                        <wps:bodyPr wrap="square" lIns="0" tIns="0" rIns="0" bIns="0" rtlCol="0">
                          <a:noAutofit/>
                        </wps:bodyPr>
                      </wps:wsp>
                    </wpg:wgp>
                  </a:graphicData>
                </a:graphic>
              </wp:anchor>
            </w:drawing>
          </mc:Choice>
          <mc:Fallback>
            <w:pict>
              <v:group style="position:absolute;margin-left:90.5pt;margin-top:9.951172pt;width:413pt;height:204.1pt;mso-position-horizontal-relative:page;mso-position-vertical-relative:paragraph;z-index:-15620608;mso-wrap-distance-left:0;mso-wrap-distance-right:0" id="docshapegroup1597" coordorigin="1810,199" coordsize="8260,4082">
                <v:shape style="position:absolute;left:2866;top:1344;width:5919;height:2530" id="docshape1598" coordorigin="2866,1345" coordsize="5919,2530" path="m3319,1345l2866,1345,2866,3874,3319,3874,3319,1345xm4407,1470l3967,1470,3967,3874,4407,3874,4407,1470xm5508,1526l5055,1526,5055,3874,5508,3874,5508,1526xm6596,1665l6156,1665,6156,3874,6596,3874,6596,1665xm7697,1790l7244,1790,7244,3874,7697,3874,7697,1790xm8785,1845l8344,1845,8344,3874,8785,3874,8785,1845xe" filled="true" fillcolor="#2f7d41" stroked="false">
                  <v:path arrowok="t"/>
                  <v:fill type="solid"/>
                </v:shape>
                <v:shape style="position:absolute;left:2485;top:1020;width:6680;height:2915" id="docshape1599" coordorigin="2485,1020" coordsize="6680,2915" path="m9165,1020l9114,1020,9104,1020,9052,1020,9052,1030,9104,1030,9104,1382,9052,1382,9052,1392,9104,1392,9104,1729,9052,1729,9052,1739,9104,1739,9104,2090,9052,2090,9052,2100,9104,2100,9104,2452,9052,2452,9052,2462,9104,2462,9104,2799,9052,2799,9052,2809,9104,2809,9104,3161,9052,3161,9052,3171,9104,3171,9104,3508,9052,3508,9052,3518,9104,3518,9104,3869,9052,3869,8026,3869,8026,3814,8016,3814,8016,3869,6925,3869,6925,3814,6915,3814,6915,3869,5837,3869,5837,3814,5827,3814,5827,3869,4736,3869,4736,3814,4726,3814,4726,3869,3648,3869,3648,3814,3638,3814,3638,3869,2599,3869,2547,3869,2547,3560,2599,3560,2599,3550,2547,3550,2547,3240,2599,3240,2599,3230,2547,3230,2547,2934,2599,2934,2599,2924,2547,2924,2547,2615,2599,2615,2599,2605,2547,2605,2547,2295,2599,2295,2599,2285,2547,2285,2547,1975,2599,1975,2599,1965,2547,1965,2547,1670,2599,1670,2599,1660,2547,1660,2547,1350,2599,1350,2599,1340,2547,1340,2547,1030,2599,1030,2599,1020,2547,1020,2537,1020,2485,1020,2485,1030,2537,1030,2537,1340,2485,1340,2485,1350,2537,1350,2537,1660,2485,1660,2485,1670,2537,1670,2537,1965,2485,1965,2485,1975,2537,1975,2537,2285,2485,2285,2485,2295,2537,2295,2537,2605,2485,2605,2485,2615,2537,2615,2537,2924,2485,2924,2485,2934,2537,2934,2537,3230,2485,3230,2485,3240,2537,3240,2537,3550,2485,3550,2485,3560,2537,3560,2537,3869,2485,3869,2485,3879,2537,3879,2537,3935,2547,3935,2547,3879,2599,3879,3638,3879,3638,3935,3648,3935,3648,3879,4726,3879,4726,3935,4736,3935,4736,3879,5827,3879,5827,3935,5837,3935,5837,3879,6915,3879,6915,3935,6925,3935,6925,3879,8016,3879,8016,3935,8026,3935,8026,3879,9052,3879,9104,3879,9104,3935,9114,3935,9114,3879,9165,3879,9165,3869,9114,3869,9114,3518,9165,3518,9165,3508,9114,3508,9114,3171,9165,3171,9165,3161,9114,3161,9114,2809,9165,2809,9165,2799,9114,2799,9114,2462,9165,2462,9165,2452,9114,2452,9114,2100,9165,2100,9165,2090,9114,2090,9114,1739,9165,1739,9165,1729,9114,1729,9114,1392,9165,1392,9165,1382,9114,1382,9114,1030,9165,1030,9165,1020xe" filled="true" fillcolor="#000000" stroked="false">
                  <v:path arrowok="t"/>
                  <v:fill type="solid"/>
                </v:shape>
                <v:shape style="position:absolute;left:3071;top:1283;width:5509;height:1688" id="docshape1600" coordorigin="3072,1284" coordsize="5509,1688" path="m4182,2902l3072,2944,3073,2972,4180,2930,4168,2912,4182,2902xm4192,2929l4180,2930,4184,2935,4192,2929xm4200,2901l4182,2902,4168,2912,4180,2930,4192,2929,4201,2922,4200,2901xm4201,2922l4192,2929,4201,2929,4201,2922xm4231,2901l4200,2901,4201,2922,4231,2901xm5267,2126l4182,2902,4200,2901,4231,2901,5272,2156,5255,2134,5267,2126xm5283,2148l5272,2156,5272,2157,5283,2148xm5278,2118l5267,2126,5255,2134,5272,2156,5283,2148,5294,2140,5278,2118xm5294,2140l5283,2148,5294,2140,5294,2140xm5324,2118l5278,2118,5294,2140,5324,2118xm6364,1295l5267,2126,5278,2118,5324,2118,6378,1319,6358,1311,6364,1295xm7467,1707l7482,1712,7473,1736,8576,1931,8581,1904,7467,1707xm7460,1734l7472,1738,7473,1736,7460,1734xm7452,1704l7448,1729,7460,1734,7473,1736,7482,1712,7467,1707,7452,1704xm7448,1729l7448,1731,7460,1734,7448,1729xm6385,1292l6395,1306,6378,1319,7448,1729,7452,1704,7461,1704,6385,1292xm7461,1704l7452,1704,7467,1707,7461,1704xm6374,1288l6364,1295,6358,1311,6378,1319,6395,1306,6385,1292,6374,1288xm6368,1285l6364,1295,6374,1288,6368,1285xm6379,1284l6374,1288,6385,1292,6379,1284xe" filled="true" fillcolor="#e3c626" stroked="false">
                  <v:path arrowok="t"/>
                  <v:fill type="solid"/>
                </v:shape>
                <v:shape style="position:absolute;left:3011;top:2877;width:149;height:160" type="#_x0000_t75" id="docshape1601" stroked="false">
                  <v:imagedata r:id="rId690" o:title=""/>
                </v:shape>
                <v:shape style="position:absolute;left:4112;top:2835;width:149;height:160" type="#_x0000_t75" id="docshape1602" stroked="false">
                  <v:imagedata r:id="rId691" o:title=""/>
                </v:shape>
                <v:shape style="position:absolute;left:5200;top:2057;width:149;height:160" type="#_x0000_t75" id="docshape1603" stroked="false">
                  <v:imagedata r:id="rId692" o:title=""/>
                </v:shape>
                <v:shape style="position:absolute;left:6301;top:1223;width:149;height:160" type="#_x0000_t75" id="docshape1604" stroked="false">
                  <v:imagedata r:id="rId693" o:title=""/>
                </v:shape>
                <v:shape style="position:absolute;left:7389;top:1640;width:149;height:160" type="#_x0000_t75" id="docshape1605" stroked="false">
                  <v:imagedata r:id="rId692" o:title=""/>
                </v:shape>
                <v:shape style="position:absolute;left:8490;top:1835;width:149;height:160" type="#_x0000_t75" id="docshape1606" stroked="false">
                  <v:imagedata r:id="rId694" o:title=""/>
                </v:shape>
                <v:rect style="position:absolute;left:5084;top:397;width:350;height:98" id="docshape1607" filled="true" fillcolor="#2f7d41" stroked="false">
                  <v:fill type="solid"/>
                </v:rect>
                <v:shape style="position:absolute;left:1810;top:199;width:8260;height:4082" id="docshape1608" coordorigin="1810,199" coordsize="8260,4082" path="m10070,199l10060,199,10060,210,10060,4271,10060,4272,1820,4272,1815,4272,1815,4271,1820,4271,1820,210,10060,210,10060,199,1810,199,1810,205,1810,209,1810,4271,1810,4277,1810,4281,10070,4281,10070,4277,10070,4272,10065,4272,10065,4271,10070,4271,10070,210,10070,209,10070,205,10070,205,10070,199xe" filled="true" fillcolor="#000000" stroked="false">
                  <v:path arrowok="t"/>
                  <v:fill type="solid"/>
                </v:shape>
                <v:shape style="position:absolute;left:2346;top:3749;width:7366;height:356" type="#_x0000_t202" id="docshape1609" filled="false" stroked="false">
                  <v:textbox inset="0,0,0,0">
                    <w:txbxContent>
                      <w:p>
                        <w:pPr>
                          <w:tabs>
                            <w:tab w:pos="6962" w:val="left" w:leader="none"/>
                          </w:tabs>
                          <w:spacing w:line="181" w:lineRule="exact" w:before="0"/>
                          <w:ind w:left="0" w:right="0" w:firstLine="0"/>
                          <w:jc w:val="left"/>
                          <w:rPr>
                            <w:rFonts w:ascii="Arial MT"/>
                            <w:sz w:val="14"/>
                          </w:rPr>
                        </w:pPr>
                        <w:r>
                          <w:rPr>
                            <w:rFonts w:ascii="Arial MT"/>
                            <w:spacing w:val="-10"/>
                            <w:w w:val="90"/>
                            <w:position w:val="-1"/>
                            <w:sz w:val="14"/>
                          </w:rPr>
                          <w:t>0</w:t>
                        </w:r>
                        <w:r>
                          <w:rPr>
                            <w:rFonts w:ascii="Arial MT"/>
                            <w:position w:val="-1"/>
                            <w:sz w:val="14"/>
                          </w:rPr>
                          <w:tab/>
                        </w:r>
                        <w:r>
                          <w:rPr>
                            <w:rFonts w:ascii="Arial MT"/>
                            <w:spacing w:val="-2"/>
                            <w:w w:val="85"/>
                            <w:sz w:val="14"/>
                          </w:rPr>
                          <w:t>256000</w:t>
                        </w:r>
                      </w:p>
                      <w:p>
                        <w:pPr>
                          <w:tabs>
                            <w:tab w:pos="1606" w:val="left" w:leader="none"/>
                            <w:tab w:pos="2711" w:val="left" w:leader="none"/>
                            <w:tab w:pos="3816" w:val="left" w:leader="none"/>
                            <w:tab w:pos="4857" w:val="left" w:leader="none"/>
                            <w:tab w:pos="6447" w:val="right" w:leader="none"/>
                          </w:tabs>
                          <w:spacing w:before="13"/>
                          <w:ind w:left="501" w:right="0" w:firstLine="0"/>
                          <w:jc w:val="left"/>
                          <w:rPr>
                            <w:rFonts w:ascii="Arial MT"/>
                            <w:sz w:val="14"/>
                          </w:rPr>
                        </w:pPr>
                        <w:r>
                          <w:rPr>
                            <w:rFonts w:ascii="Arial MT"/>
                            <w:w w:val="80"/>
                            <w:sz w:val="14"/>
                          </w:rPr>
                          <w:t>1995-</w:t>
                        </w:r>
                        <w:r>
                          <w:rPr>
                            <w:rFonts w:ascii="Arial MT"/>
                            <w:spacing w:val="-5"/>
                            <w:w w:val="90"/>
                            <w:sz w:val="14"/>
                          </w:rPr>
                          <w:t>96</w:t>
                        </w:r>
                        <w:r>
                          <w:rPr>
                            <w:rFonts w:ascii="Arial MT"/>
                            <w:sz w:val="14"/>
                          </w:rPr>
                          <w:tab/>
                        </w:r>
                        <w:r>
                          <w:rPr>
                            <w:rFonts w:ascii="Arial MT"/>
                            <w:w w:val="80"/>
                            <w:sz w:val="14"/>
                          </w:rPr>
                          <w:t>1996-</w:t>
                        </w:r>
                        <w:r>
                          <w:rPr>
                            <w:rFonts w:ascii="Arial MT"/>
                            <w:spacing w:val="-5"/>
                            <w:w w:val="90"/>
                            <w:sz w:val="14"/>
                          </w:rPr>
                          <w:t>97</w:t>
                        </w:r>
                        <w:r>
                          <w:rPr>
                            <w:rFonts w:ascii="Arial MT"/>
                            <w:sz w:val="14"/>
                          </w:rPr>
                          <w:tab/>
                        </w:r>
                        <w:r>
                          <w:rPr>
                            <w:rFonts w:ascii="Arial MT"/>
                            <w:w w:val="80"/>
                            <w:sz w:val="14"/>
                          </w:rPr>
                          <w:t>1997-</w:t>
                        </w:r>
                        <w:r>
                          <w:rPr>
                            <w:rFonts w:ascii="Arial MT"/>
                            <w:spacing w:val="-5"/>
                            <w:w w:val="90"/>
                            <w:sz w:val="14"/>
                          </w:rPr>
                          <w:t>98</w:t>
                        </w:r>
                        <w:r>
                          <w:rPr>
                            <w:rFonts w:ascii="Arial MT"/>
                            <w:sz w:val="14"/>
                          </w:rPr>
                          <w:tab/>
                        </w:r>
                        <w:r>
                          <w:rPr>
                            <w:rFonts w:ascii="Arial MT"/>
                            <w:w w:val="80"/>
                            <w:sz w:val="14"/>
                          </w:rPr>
                          <w:t>1998-</w:t>
                        </w:r>
                        <w:r>
                          <w:rPr>
                            <w:rFonts w:ascii="Arial MT"/>
                            <w:spacing w:val="-5"/>
                            <w:w w:val="90"/>
                            <w:sz w:val="14"/>
                          </w:rPr>
                          <w:t>99</w:t>
                        </w:r>
                        <w:r>
                          <w:rPr>
                            <w:rFonts w:ascii="Arial MT"/>
                            <w:sz w:val="14"/>
                          </w:rPr>
                          <w:tab/>
                        </w:r>
                        <w:r>
                          <w:rPr>
                            <w:rFonts w:ascii="Arial MT"/>
                            <w:w w:val="80"/>
                            <w:sz w:val="14"/>
                          </w:rPr>
                          <w:t>1999-</w:t>
                        </w:r>
                        <w:r>
                          <w:rPr>
                            <w:rFonts w:ascii="Arial MT"/>
                            <w:spacing w:val="-4"/>
                            <w:w w:val="90"/>
                            <w:sz w:val="14"/>
                          </w:rPr>
                          <w:t>2000</w:t>
                        </w:r>
                        <w:r>
                          <w:rPr>
                            <w:sz w:val="14"/>
                          </w:rPr>
                          <w:tab/>
                        </w:r>
                        <w:r>
                          <w:rPr>
                            <w:rFonts w:ascii="Arial MT"/>
                            <w:spacing w:val="-2"/>
                            <w:w w:val="90"/>
                            <w:sz w:val="14"/>
                          </w:rPr>
                          <w:t>2000-</w:t>
                        </w:r>
                        <w:r>
                          <w:rPr>
                            <w:rFonts w:ascii="Arial MT"/>
                            <w:w w:val="80"/>
                            <w:sz w:val="14"/>
                          </w:rPr>
                          <w:t>01</w:t>
                        </w:r>
                      </w:p>
                    </w:txbxContent>
                  </v:textbox>
                  <w10:wrap type="none"/>
                </v:shape>
                <v:shape style="position:absolute;left:5520;top:332;width:2529;height:161" type="#_x0000_t202" id="docshape1610" filled="false" stroked="false">
                  <v:textbox inset="0,0,0,0">
                    <w:txbxContent>
                      <w:p>
                        <w:pPr>
                          <w:spacing w:line="161" w:lineRule="exact" w:before="0"/>
                          <w:ind w:left="0" w:right="0" w:firstLine="0"/>
                          <w:jc w:val="left"/>
                          <w:rPr>
                            <w:rFonts w:ascii="Arial MT"/>
                            <w:sz w:val="14"/>
                          </w:rPr>
                        </w:pPr>
                        <w:r>
                          <w:rPr>
                            <w:rFonts w:ascii="Arial MT"/>
                            <w:w w:val="80"/>
                            <w:sz w:val="14"/>
                          </w:rPr>
                          <w:t>Percentage</w:t>
                        </w:r>
                        <w:r>
                          <w:rPr>
                            <w:rFonts w:ascii="Arial MT"/>
                            <w:spacing w:val="-2"/>
                            <w:sz w:val="14"/>
                          </w:rPr>
                          <w:t> </w:t>
                        </w:r>
                        <w:r>
                          <w:rPr>
                            <w:rFonts w:ascii="Arial MT"/>
                            <w:w w:val="80"/>
                            <w:sz w:val="14"/>
                          </w:rPr>
                          <w:t>of</w:t>
                        </w:r>
                        <w:r>
                          <w:rPr>
                            <w:rFonts w:ascii="Arial MT"/>
                            <w:spacing w:val="-1"/>
                            <w:sz w:val="14"/>
                          </w:rPr>
                          <w:t> </w:t>
                        </w:r>
                        <w:r>
                          <w:rPr>
                            <w:rFonts w:ascii="Arial MT"/>
                            <w:w w:val="80"/>
                            <w:sz w:val="14"/>
                          </w:rPr>
                          <w:t>total</w:t>
                        </w:r>
                        <w:r>
                          <w:rPr>
                            <w:rFonts w:ascii="Arial MT"/>
                            <w:spacing w:val="-1"/>
                            <w:sz w:val="14"/>
                          </w:rPr>
                          <w:t> </w:t>
                        </w:r>
                        <w:r>
                          <w:rPr>
                            <w:rFonts w:ascii="Arial MT"/>
                            <w:w w:val="80"/>
                            <w:sz w:val="14"/>
                          </w:rPr>
                          <w:t>enrolment</w:t>
                        </w:r>
                        <w:r>
                          <w:rPr>
                            <w:rFonts w:ascii="Arial MT"/>
                            <w:spacing w:val="-1"/>
                            <w:sz w:val="14"/>
                          </w:rPr>
                          <w:t> </w:t>
                        </w:r>
                        <w:r>
                          <w:rPr>
                            <w:rFonts w:ascii="Arial MT"/>
                            <w:w w:val="80"/>
                            <w:sz w:val="14"/>
                          </w:rPr>
                          <w:t>in</w:t>
                        </w:r>
                        <w:r>
                          <w:rPr>
                            <w:rFonts w:ascii="Arial MT"/>
                            <w:spacing w:val="-1"/>
                            <w:sz w:val="14"/>
                          </w:rPr>
                          <w:t> </w:t>
                        </w:r>
                        <w:r>
                          <w:rPr>
                            <w:rFonts w:ascii="Arial MT"/>
                            <w:w w:val="80"/>
                            <w:sz w:val="14"/>
                          </w:rPr>
                          <w:t>higher</w:t>
                        </w:r>
                        <w:r>
                          <w:rPr>
                            <w:rFonts w:ascii="Arial MT"/>
                            <w:spacing w:val="-1"/>
                            <w:sz w:val="14"/>
                          </w:rPr>
                          <w:t> </w:t>
                        </w:r>
                        <w:r>
                          <w:rPr>
                            <w:rFonts w:ascii="Arial MT"/>
                            <w:spacing w:val="-2"/>
                            <w:w w:val="80"/>
                            <w:sz w:val="14"/>
                          </w:rPr>
                          <w:t>education</w:t>
                        </w:r>
                      </w:p>
                    </w:txbxContent>
                  </v:textbox>
                  <w10:wrap type="none"/>
                </v:shape>
                <v:shape style="position:absolute;left:8669;top:342;width:1131;height:161" type="#_x0000_t202" id="docshape1611" filled="false" stroked="false">
                  <v:textbox inset="0,0,0,0">
                    <w:txbxContent>
                      <w:p>
                        <w:pPr>
                          <w:spacing w:line="161" w:lineRule="exact" w:before="0"/>
                          <w:ind w:left="0" w:right="0" w:firstLine="0"/>
                          <w:jc w:val="left"/>
                          <w:rPr>
                            <w:rFonts w:ascii="Arial MT"/>
                            <w:sz w:val="14"/>
                          </w:rPr>
                        </w:pPr>
                        <w:r>
                          <w:rPr>
                            <w:rFonts w:ascii="Arial MT"/>
                            <w:w w:val="80"/>
                            <w:sz w:val="14"/>
                          </w:rPr>
                          <w:t>Total</w:t>
                        </w:r>
                        <w:r>
                          <w:rPr>
                            <w:rFonts w:ascii="Arial MT"/>
                            <w:spacing w:val="-6"/>
                            <w:sz w:val="14"/>
                          </w:rPr>
                          <w:t> </w:t>
                        </w:r>
                        <w:r>
                          <w:rPr>
                            <w:rFonts w:ascii="Arial MT"/>
                            <w:w w:val="80"/>
                            <w:sz w:val="14"/>
                          </w:rPr>
                          <w:t>enrolment</w:t>
                        </w:r>
                        <w:r>
                          <w:rPr>
                            <w:rFonts w:ascii="Arial MT"/>
                            <w:spacing w:val="-6"/>
                            <w:sz w:val="14"/>
                          </w:rPr>
                          <w:t> </w:t>
                        </w:r>
                        <w:r>
                          <w:rPr>
                            <w:rFonts w:ascii="Arial MT"/>
                            <w:w w:val="80"/>
                            <w:sz w:val="14"/>
                          </w:rPr>
                          <w:t>in</w:t>
                        </w:r>
                        <w:r>
                          <w:rPr>
                            <w:rFonts w:ascii="Arial MT"/>
                            <w:spacing w:val="-6"/>
                            <w:sz w:val="14"/>
                          </w:rPr>
                          <w:t> </w:t>
                        </w:r>
                        <w:r>
                          <w:rPr>
                            <w:rFonts w:ascii="Arial MT"/>
                            <w:spacing w:val="-5"/>
                            <w:w w:val="80"/>
                            <w:sz w:val="14"/>
                          </w:rPr>
                          <w:t>law</w:t>
                        </w:r>
                      </w:p>
                    </w:txbxContent>
                  </v:textbox>
                  <w10:wrap type="none"/>
                </v:shape>
                <v:shape style="position:absolute;left:2251;top:980;width:180;height:161" type="#_x0000_t202" id="docshape1612" filled="false" stroked="false">
                  <v:textbox inset="0,0,0,0">
                    <w:txbxContent>
                      <w:p>
                        <w:pPr>
                          <w:spacing w:line="161" w:lineRule="exact" w:before="0"/>
                          <w:ind w:left="0" w:right="0" w:firstLine="0"/>
                          <w:jc w:val="left"/>
                          <w:rPr>
                            <w:rFonts w:ascii="Arial MT"/>
                            <w:sz w:val="14"/>
                          </w:rPr>
                        </w:pPr>
                        <w:r>
                          <w:rPr>
                            <w:rFonts w:ascii="Arial MT"/>
                            <w:spacing w:val="-5"/>
                            <w:w w:val="90"/>
                            <w:sz w:val="14"/>
                          </w:rPr>
                          <w:t>4.5</w:t>
                        </w:r>
                      </w:p>
                    </w:txbxContent>
                  </v:textbox>
                  <w10:wrap type="none"/>
                </v:shape>
                <v:shape style="position:absolute;left:9308;top:981;width:404;height:161" type="#_x0000_t202" id="docshape1613" filled="false" stroked="false">
                  <v:textbox inset="0,0,0,0">
                    <w:txbxContent>
                      <w:p>
                        <w:pPr>
                          <w:spacing w:line="161" w:lineRule="exact" w:before="0"/>
                          <w:ind w:left="0" w:right="0" w:firstLine="0"/>
                          <w:jc w:val="left"/>
                          <w:rPr>
                            <w:rFonts w:ascii="Arial MT"/>
                            <w:sz w:val="14"/>
                          </w:rPr>
                        </w:pPr>
                        <w:r>
                          <w:rPr>
                            <w:rFonts w:ascii="Arial MT"/>
                            <w:spacing w:val="-2"/>
                            <w:w w:val="85"/>
                            <w:sz w:val="14"/>
                          </w:rPr>
                          <w:t>272000</w:t>
                        </w:r>
                      </w:p>
                    </w:txbxContent>
                  </v:textbox>
                  <w10:wrap type="none"/>
                </v:shape>
                <v:shape style="position:absolute;left:2251;top:1290;width:180;height:471" type="#_x0000_t202" id="docshape1614" filled="false" stroked="false">
                  <v:textbox inset="0,0,0,0">
                    <w:txbxContent>
                      <w:p>
                        <w:pPr>
                          <w:spacing w:line="161" w:lineRule="exact" w:before="0"/>
                          <w:ind w:left="95" w:right="0" w:firstLine="0"/>
                          <w:jc w:val="left"/>
                          <w:rPr>
                            <w:rFonts w:ascii="Arial MT"/>
                            <w:sz w:val="14"/>
                          </w:rPr>
                        </w:pPr>
                        <w:r>
                          <w:rPr>
                            <w:rFonts w:ascii="Arial MT"/>
                            <w:spacing w:val="-10"/>
                            <w:w w:val="90"/>
                            <w:sz w:val="14"/>
                          </w:rPr>
                          <w:t>4</w:t>
                        </w:r>
                      </w:p>
                      <w:p>
                        <w:pPr>
                          <w:spacing w:before="149"/>
                          <w:ind w:left="0" w:right="0" w:firstLine="0"/>
                          <w:jc w:val="left"/>
                          <w:rPr>
                            <w:rFonts w:ascii="Arial MT"/>
                            <w:sz w:val="14"/>
                          </w:rPr>
                        </w:pPr>
                        <w:r>
                          <w:rPr>
                            <w:rFonts w:ascii="Arial MT"/>
                            <w:spacing w:val="-5"/>
                            <w:w w:val="90"/>
                            <w:sz w:val="14"/>
                          </w:rPr>
                          <w:t>3.5</w:t>
                        </w:r>
                      </w:p>
                    </w:txbxContent>
                  </v:textbox>
                  <w10:wrap type="none"/>
                </v:shape>
                <v:shape style="position:absolute;left:9308;top:1327;width:404;height:161" type="#_x0000_t202" id="docshape1615" filled="false" stroked="false">
                  <v:textbox inset="0,0,0,0">
                    <w:txbxContent>
                      <w:p>
                        <w:pPr>
                          <w:spacing w:line="161" w:lineRule="exact" w:before="0"/>
                          <w:ind w:left="0" w:right="0" w:firstLine="0"/>
                          <w:jc w:val="left"/>
                          <w:rPr>
                            <w:rFonts w:ascii="Arial MT"/>
                            <w:sz w:val="14"/>
                          </w:rPr>
                        </w:pPr>
                        <w:r>
                          <w:rPr>
                            <w:rFonts w:ascii="Arial MT"/>
                            <w:spacing w:val="-2"/>
                            <w:w w:val="85"/>
                            <w:sz w:val="14"/>
                          </w:rPr>
                          <w:t>270000</w:t>
                        </w:r>
                      </w:p>
                    </w:txbxContent>
                  </v:textbox>
                  <w10:wrap type="none"/>
                </v:shape>
                <v:shape style="position:absolute;left:9308;top:1673;width:404;height:161" type="#_x0000_t202" id="docshape1616" filled="false" stroked="false">
                  <v:textbox inset="0,0,0,0">
                    <w:txbxContent>
                      <w:p>
                        <w:pPr>
                          <w:spacing w:line="161" w:lineRule="exact" w:before="0"/>
                          <w:ind w:left="0" w:right="0" w:firstLine="0"/>
                          <w:jc w:val="left"/>
                          <w:rPr>
                            <w:rFonts w:ascii="Arial MT"/>
                            <w:sz w:val="14"/>
                          </w:rPr>
                        </w:pPr>
                        <w:r>
                          <w:rPr>
                            <w:rFonts w:ascii="Arial MT"/>
                            <w:spacing w:val="-2"/>
                            <w:w w:val="85"/>
                            <w:sz w:val="14"/>
                          </w:rPr>
                          <w:t>268000</w:t>
                        </w:r>
                      </w:p>
                    </w:txbxContent>
                  </v:textbox>
                  <w10:wrap type="none"/>
                </v:shape>
                <v:shape style="position:absolute;left:2251;top:1910;width:180;height:471" type="#_x0000_t202" id="docshape1617" filled="false" stroked="false">
                  <v:textbox inset="0,0,0,0">
                    <w:txbxContent>
                      <w:p>
                        <w:pPr>
                          <w:spacing w:line="161" w:lineRule="exact" w:before="0"/>
                          <w:ind w:left="95" w:right="0" w:firstLine="0"/>
                          <w:jc w:val="left"/>
                          <w:rPr>
                            <w:rFonts w:ascii="Arial MT"/>
                            <w:sz w:val="14"/>
                          </w:rPr>
                        </w:pPr>
                        <w:r>
                          <w:rPr>
                            <w:rFonts w:ascii="Arial MT"/>
                            <w:spacing w:val="-10"/>
                            <w:w w:val="90"/>
                            <w:sz w:val="14"/>
                          </w:rPr>
                          <w:t>3</w:t>
                        </w:r>
                      </w:p>
                      <w:p>
                        <w:pPr>
                          <w:spacing w:before="149"/>
                          <w:ind w:left="0" w:right="0" w:firstLine="0"/>
                          <w:jc w:val="left"/>
                          <w:rPr>
                            <w:rFonts w:ascii="Arial MT"/>
                            <w:sz w:val="14"/>
                          </w:rPr>
                        </w:pPr>
                        <w:r>
                          <w:rPr>
                            <w:rFonts w:ascii="Arial MT"/>
                            <w:spacing w:val="-5"/>
                            <w:w w:val="90"/>
                            <w:sz w:val="14"/>
                          </w:rPr>
                          <w:t>2.5</w:t>
                        </w:r>
                      </w:p>
                    </w:txbxContent>
                  </v:textbox>
                  <w10:wrap type="none"/>
                </v:shape>
                <v:shape style="position:absolute;left:9308;top:2019;width:404;height:507" type="#_x0000_t202" id="docshape1618" filled="false" stroked="false">
                  <v:textbox inset="0,0,0,0">
                    <w:txbxContent>
                      <w:p>
                        <w:pPr>
                          <w:spacing w:line="161" w:lineRule="exact" w:before="0"/>
                          <w:ind w:left="0" w:right="0" w:firstLine="0"/>
                          <w:jc w:val="left"/>
                          <w:rPr>
                            <w:rFonts w:ascii="Arial MT"/>
                            <w:sz w:val="14"/>
                          </w:rPr>
                        </w:pPr>
                        <w:r>
                          <w:rPr>
                            <w:rFonts w:ascii="Arial MT"/>
                            <w:spacing w:val="-2"/>
                            <w:w w:val="85"/>
                            <w:sz w:val="14"/>
                          </w:rPr>
                          <w:t>266000</w:t>
                        </w:r>
                      </w:p>
                      <w:p>
                        <w:pPr>
                          <w:spacing w:line="240" w:lineRule="auto" w:before="24"/>
                          <w:rPr>
                            <w:rFonts w:ascii="Arial MT"/>
                            <w:sz w:val="14"/>
                          </w:rPr>
                        </w:pPr>
                      </w:p>
                      <w:p>
                        <w:pPr>
                          <w:spacing w:before="0"/>
                          <w:ind w:left="0" w:right="0" w:firstLine="0"/>
                          <w:jc w:val="left"/>
                          <w:rPr>
                            <w:rFonts w:ascii="Arial MT"/>
                            <w:sz w:val="14"/>
                          </w:rPr>
                        </w:pPr>
                        <w:r>
                          <w:rPr>
                            <w:rFonts w:ascii="Arial MT"/>
                            <w:spacing w:val="-2"/>
                            <w:w w:val="85"/>
                            <w:sz w:val="14"/>
                          </w:rPr>
                          <w:t>264000</w:t>
                        </w:r>
                      </w:p>
                    </w:txbxContent>
                  </v:textbox>
                  <w10:wrap type="none"/>
                </v:shape>
                <v:shape style="position:absolute;left:2251;top:2530;width:7461;height:471" type="#_x0000_t202" id="docshape1619" filled="false" stroked="false">
                  <v:textbox inset="0,0,0,0">
                    <w:txbxContent>
                      <w:p>
                        <w:pPr>
                          <w:spacing w:line="161" w:lineRule="exact" w:before="0"/>
                          <w:ind w:left="95" w:right="0" w:firstLine="0"/>
                          <w:jc w:val="left"/>
                          <w:rPr>
                            <w:rFonts w:ascii="Arial MT"/>
                            <w:sz w:val="14"/>
                          </w:rPr>
                        </w:pPr>
                        <w:r>
                          <w:rPr>
                            <w:rFonts w:ascii="Arial MT"/>
                            <w:spacing w:val="-10"/>
                            <w:w w:val="90"/>
                            <w:sz w:val="14"/>
                          </w:rPr>
                          <w:t>2</w:t>
                        </w:r>
                      </w:p>
                      <w:p>
                        <w:pPr>
                          <w:spacing w:line="145" w:lineRule="exact" w:before="20"/>
                          <w:ind w:left="7057" w:right="0" w:firstLine="0"/>
                          <w:jc w:val="left"/>
                          <w:rPr>
                            <w:rFonts w:ascii="Arial MT"/>
                            <w:sz w:val="14"/>
                          </w:rPr>
                        </w:pPr>
                        <w:r>
                          <w:rPr>
                            <w:rFonts w:ascii="Arial MT"/>
                            <w:spacing w:val="-2"/>
                            <w:w w:val="85"/>
                            <w:sz w:val="14"/>
                          </w:rPr>
                          <w:t>262000</w:t>
                        </w:r>
                      </w:p>
                      <w:p>
                        <w:pPr>
                          <w:spacing w:line="145" w:lineRule="exact" w:before="0"/>
                          <w:ind w:left="0" w:right="0" w:firstLine="0"/>
                          <w:jc w:val="left"/>
                          <w:rPr>
                            <w:rFonts w:ascii="Arial MT"/>
                            <w:sz w:val="14"/>
                          </w:rPr>
                        </w:pPr>
                        <w:r>
                          <w:rPr>
                            <w:rFonts w:ascii="Arial MT"/>
                            <w:spacing w:val="-5"/>
                            <w:w w:val="90"/>
                            <w:sz w:val="14"/>
                          </w:rPr>
                          <w:t>1.5</w:t>
                        </w:r>
                      </w:p>
                    </w:txbxContent>
                  </v:textbox>
                  <w10:wrap type="none"/>
                </v:shape>
                <v:shape style="position:absolute;left:2251;top:3150;width:180;height:471" type="#_x0000_t202" id="docshape1620" filled="false" stroked="false">
                  <v:textbox inset="0,0,0,0">
                    <w:txbxContent>
                      <w:p>
                        <w:pPr>
                          <w:spacing w:line="161" w:lineRule="exact" w:before="0"/>
                          <w:ind w:left="95" w:right="0" w:firstLine="0"/>
                          <w:jc w:val="left"/>
                          <w:rPr>
                            <w:rFonts w:ascii="Arial MT"/>
                            <w:sz w:val="14"/>
                          </w:rPr>
                        </w:pPr>
                        <w:r>
                          <w:rPr>
                            <w:rFonts w:ascii="Arial MT"/>
                            <w:spacing w:val="-10"/>
                            <w:w w:val="90"/>
                            <w:sz w:val="14"/>
                          </w:rPr>
                          <w:t>1</w:t>
                        </w:r>
                      </w:p>
                      <w:p>
                        <w:pPr>
                          <w:spacing w:before="149"/>
                          <w:ind w:left="0" w:right="0" w:firstLine="0"/>
                          <w:jc w:val="left"/>
                          <w:rPr>
                            <w:rFonts w:ascii="Arial MT"/>
                            <w:sz w:val="14"/>
                          </w:rPr>
                        </w:pPr>
                        <w:r>
                          <w:rPr>
                            <w:rFonts w:ascii="Arial MT"/>
                            <w:spacing w:val="-5"/>
                            <w:w w:val="90"/>
                            <w:sz w:val="14"/>
                          </w:rPr>
                          <w:t>0.5</w:t>
                        </w:r>
                      </w:p>
                    </w:txbxContent>
                  </v:textbox>
                  <w10:wrap type="none"/>
                </v:shape>
                <v:shape style="position:absolute;left:9308;top:3057;width:404;height:507" type="#_x0000_t202" id="docshape1621" filled="false" stroked="false">
                  <v:textbox inset="0,0,0,0">
                    <w:txbxContent>
                      <w:p>
                        <w:pPr>
                          <w:spacing w:line="161" w:lineRule="exact" w:before="0"/>
                          <w:ind w:left="0" w:right="0" w:firstLine="0"/>
                          <w:jc w:val="left"/>
                          <w:rPr>
                            <w:rFonts w:ascii="Arial MT"/>
                            <w:sz w:val="14"/>
                          </w:rPr>
                        </w:pPr>
                        <w:r>
                          <w:rPr>
                            <w:rFonts w:ascii="Arial MT"/>
                            <w:spacing w:val="-2"/>
                            <w:w w:val="85"/>
                            <w:sz w:val="14"/>
                          </w:rPr>
                          <w:t>260000</w:t>
                        </w:r>
                      </w:p>
                      <w:p>
                        <w:pPr>
                          <w:spacing w:line="240" w:lineRule="auto" w:before="24"/>
                          <w:rPr>
                            <w:rFonts w:ascii="Arial MT"/>
                            <w:sz w:val="14"/>
                          </w:rPr>
                        </w:pPr>
                      </w:p>
                      <w:p>
                        <w:pPr>
                          <w:spacing w:before="0"/>
                          <w:ind w:left="0" w:right="0" w:firstLine="0"/>
                          <w:jc w:val="left"/>
                          <w:rPr>
                            <w:rFonts w:ascii="Arial MT"/>
                            <w:sz w:val="14"/>
                          </w:rPr>
                        </w:pPr>
                        <w:r>
                          <w:rPr>
                            <w:rFonts w:ascii="Arial MT"/>
                            <w:spacing w:val="-2"/>
                            <w:w w:val="85"/>
                            <w:sz w:val="14"/>
                          </w:rPr>
                          <w:t>258000</w:t>
                        </w:r>
                      </w:p>
                    </w:txbxContent>
                  </v:textbox>
                  <w10:wrap type="none"/>
                </v:shape>
                <w10:wrap type="topAndBottom"/>
              </v:group>
            </w:pict>
          </mc:Fallback>
        </mc:AlternateContent>
      </w:r>
    </w:p>
    <w:p>
      <w:pPr>
        <w:spacing w:before="54"/>
        <w:ind w:left="1810" w:right="0" w:firstLine="0"/>
        <w:jc w:val="left"/>
        <w:rPr>
          <w:sz w:val="16"/>
        </w:rPr>
      </w:pPr>
      <w:r>
        <w:rPr>
          <w:i/>
          <w:spacing w:val="-2"/>
          <w:sz w:val="16"/>
        </w:rPr>
        <w:t>Source:</w:t>
      </w:r>
      <w:r>
        <w:rPr>
          <w:i/>
          <w:spacing w:val="-8"/>
          <w:sz w:val="16"/>
        </w:rPr>
        <w:t> </w:t>
      </w:r>
      <w:r>
        <w:rPr>
          <w:spacing w:val="-2"/>
          <w:sz w:val="16"/>
        </w:rPr>
        <w:t>University</w:t>
      </w:r>
      <w:r>
        <w:rPr>
          <w:spacing w:val="-7"/>
          <w:sz w:val="16"/>
        </w:rPr>
        <w:t> </w:t>
      </w:r>
      <w:r>
        <w:rPr>
          <w:spacing w:val="-2"/>
          <w:sz w:val="16"/>
        </w:rPr>
        <w:t>Development</w:t>
      </w:r>
      <w:r>
        <w:rPr>
          <w:spacing w:val="-7"/>
          <w:sz w:val="16"/>
        </w:rPr>
        <w:t> </w:t>
      </w:r>
      <w:r>
        <w:rPr>
          <w:spacing w:val="-2"/>
          <w:sz w:val="16"/>
        </w:rPr>
        <w:t>in</w:t>
      </w:r>
      <w:r>
        <w:rPr>
          <w:spacing w:val="-7"/>
          <w:sz w:val="16"/>
        </w:rPr>
        <w:t> </w:t>
      </w:r>
      <w:r>
        <w:rPr>
          <w:spacing w:val="-2"/>
          <w:sz w:val="16"/>
        </w:rPr>
        <w:t>India,</w:t>
      </w:r>
      <w:r>
        <w:rPr>
          <w:spacing w:val="-7"/>
          <w:sz w:val="16"/>
        </w:rPr>
        <w:t> </w:t>
      </w:r>
      <w:r>
        <w:rPr>
          <w:spacing w:val="-2"/>
          <w:sz w:val="16"/>
        </w:rPr>
        <w:t>1995-96</w:t>
      </w:r>
      <w:r>
        <w:rPr>
          <w:spacing w:val="-7"/>
          <w:sz w:val="16"/>
        </w:rPr>
        <w:t> </w:t>
      </w:r>
      <w:r>
        <w:rPr>
          <w:spacing w:val="-2"/>
          <w:sz w:val="16"/>
        </w:rPr>
        <w:t>to</w:t>
      </w:r>
      <w:r>
        <w:rPr>
          <w:spacing w:val="-8"/>
          <w:sz w:val="16"/>
        </w:rPr>
        <w:t> </w:t>
      </w:r>
      <w:r>
        <w:rPr>
          <w:spacing w:val="-2"/>
          <w:sz w:val="16"/>
        </w:rPr>
        <w:t>2000-01,</w:t>
      </w:r>
      <w:r>
        <w:rPr>
          <w:spacing w:val="-7"/>
          <w:sz w:val="16"/>
        </w:rPr>
        <w:t> </w:t>
      </w:r>
      <w:r>
        <w:rPr>
          <w:spacing w:val="-5"/>
          <w:sz w:val="16"/>
        </w:rPr>
        <w:t>UGC</w:t>
      </w:r>
    </w:p>
    <w:p>
      <w:pPr>
        <w:pStyle w:val="BodyText"/>
        <w:spacing w:before="197"/>
        <w:rPr>
          <w:sz w:val="24"/>
        </w:rPr>
      </w:pPr>
    </w:p>
    <w:p>
      <w:pPr>
        <w:pStyle w:val="Heading8"/>
        <w:ind w:left="1830"/>
      </w:pPr>
      <w:r>
        <w:rPr>
          <w:w w:val="90"/>
        </w:rPr>
        <w:t>Figure</w:t>
      </w:r>
      <w:r>
        <w:rPr>
          <w:spacing w:val="6"/>
        </w:rPr>
        <w:t> </w:t>
      </w:r>
      <w:r>
        <w:rPr>
          <w:w w:val="90"/>
        </w:rPr>
        <w:t>27:</w:t>
      </w:r>
      <w:r>
        <w:rPr>
          <w:spacing w:val="16"/>
        </w:rPr>
        <w:t> </w:t>
      </w:r>
      <w:r>
        <w:rPr>
          <w:color w:val="2E614A"/>
          <w:w w:val="90"/>
        </w:rPr>
        <w:t>Total</w:t>
      </w:r>
      <w:r>
        <w:rPr>
          <w:color w:val="2E614A"/>
          <w:spacing w:val="7"/>
        </w:rPr>
        <w:t> </w:t>
      </w:r>
      <w:r>
        <w:rPr>
          <w:color w:val="2E614A"/>
          <w:w w:val="90"/>
        </w:rPr>
        <w:t>number</w:t>
      </w:r>
      <w:r>
        <w:rPr>
          <w:color w:val="2E614A"/>
          <w:spacing w:val="6"/>
        </w:rPr>
        <w:t> </w:t>
      </w:r>
      <w:r>
        <w:rPr>
          <w:color w:val="2E614A"/>
          <w:w w:val="90"/>
        </w:rPr>
        <w:t>of</w:t>
      </w:r>
      <w:r>
        <w:rPr>
          <w:color w:val="2E614A"/>
          <w:spacing w:val="7"/>
        </w:rPr>
        <w:t> </w:t>
      </w:r>
      <w:r>
        <w:rPr>
          <w:color w:val="2E614A"/>
          <w:w w:val="90"/>
        </w:rPr>
        <w:t>law</w:t>
      </w:r>
      <w:r>
        <w:rPr>
          <w:color w:val="2E614A"/>
          <w:spacing w:val="7"/>
        </w:rPr>
        <w:t> </w:t>
      </w:r>
      <w:r>
        <w:rPr>
          <w:color w:val="2E614A"/>
          <w:w w:val="90"/>
        </w:rPr>
        <w:t>graduates</w:t>
      </w:r>
      <w:r>
        <w:rPr>
          <w:color w:val="2E614A"/>
          <w:spacing w:val="7"/>
        </w:rPr>
        <w:t> </w:t>
      </w:r>
      <w:r>
        <w:rPr>
          <w:color w:val="2E614A"/>
          <w:w w:val="90"/>
        </w:rPr>
        <w:t>admitted</w:t>
      </w:r>
      <w:r>
        <w:rPr>
          <w:color w:val="2E614A"/>
          <w:spacing w:val="7"/>
        </w:rPr>
        <w:t> </w:t>
      </w:r>
      <w:r>
        <w:rPr>
          <w:color w:val="2E614A"/>
          <w:w w:val="90"/>
        </w:rPr>
        <w:t>to</w:t>
      </w:r>
      <w:r>
        <w:rPr>
          <w:color w:val="2E614A"/>
          <w:spacing w:val="6"/>
        </w:rPr>
        <w:t> </w:t>
      </w:r>
      <w:r>
        <w:rPr>
          <w:color w:val="2E614A"/>
          <w:w w:val="90"/>
        </w:rPr>
        <w:t>the</w:t>
      </w:r>
      <w:r>
        <w:rPr>
          <w:color w:val="2E614A"/>
          <w:spacing w:val="7"/>
        </w:rPr>
        <w:t> </w:t>
      </w:r>
      <w:r>
        <w:rPr>
          <w:color w:val="2E614A"/>
          <w:spacing w:val="-5"/>
          <w:w w:val="90"/>
        </w:rPr>
        <w:t>Bar</w:t>
      </w:r>
    </w:p>
    <w:p>
      <w:pPr>
        <w:pStyle w:val="BodyText"/>
        <w:spacing w:before="8"/>
        <w:rPr>
          <w:b/>
          <w:sz w:val="11"/>
        </w:rPr>
      </w:pPr>
      <w:r>
        <w:rPr/>
        <mc:AlternateContent>
          <mc:Choice Requires="wps">
            <w:drawing>
              <wp:anchor distT="0" distB="0" distL="0" distR="0" allowOverlap="1" layoutInCell="1" locked="0" behindDoc="1" simplePos="0" relativeHeight="487696384">
                <wp:simplePos x="0" y="0"/>
                <wp:positionH relativeFrom="page">
                  <wp:posOffset>1162050</wp:posOffset>
                </wp:positionH>
                <wp:positionV relativeFrom="paragraph">
                  <wp:posOffset>101004</wp:posOffset>
                </wp:positionV>
                <wp:extent cx="5219700" cy="2649220"/>
                <wp:effectExtent l="0" t="0" r="0" b="0"/>
                <wp:wrapTopAndBottom/>
                <wp:docPr id="1636" name="Group 1636"/>
                <wp:cNvGraphicFramePr>
                  <a:graphicFrameLocks/>
                </wp:cNvGraphicFramePr>
                <a:graphic>
                  <a:graphicData uri="http://schemas.microsoft.com/office/word/2010/wordprocessingGroup">
                    <wpg:wgp>
                      <wpg:cNvPr id="1636" name="Group 1636"/>
                      <wpg:cNvGrpSpPr/>
                      <wpg:grpSpPr>
                        <a:xfrm>
                          <a:off x="0" y="0"/>
                          <a:ext cx="5219700" cy="2649220"/>
                          <a:chExt cx="5219700" cy="2649220"/>
                        </a:xfrm>
                      </wpg:grpSpPr>
                      <wps:wsp>
                        <wps:cNvPr id="1637" name="Graphic 1637"/>
                        <wps:cNvSpPr/>
                        <wps:spPr>
                          <a:xfrm>
                            <a:off x="1103249" y="316318"/>
                            <a:ext cx="3307715" cy="2054860"/>
                          </a:xfrm>
                          <a:custGeom>
                            <a:avLst/>
                            <a:gdLst/>
                            <a:ahLst/>
                            <a:cxnLst/>
                            <a:rect l="l" t="t" r="r" b="b"/>
                            <a:pathLst>
                              <a:path w="3307715" h="2054860">
                                <a:moveTo>
                                  <a:pt x="409562" y="798969"/>
                                </a:moveTo>
                                <a:lnTo>
                                  <a:pt x="0" y="798969"/>
                                </a:lnTo>
                                <a:lnTo>
                                  <a:pt x="0" y="2054479"/>
                                </a:lnTo>
                                <a:lnTo>
                                  <a:pt x="409562" y="2054479"/>
                                </a:lnTo>
                                <a:lnTo>
                                  <a:pt x="409562" y="798969"/>
                                </a:lnTo>
                                <a:close/>
                              </a:path>
                              <a:path w="3307715" h="2054860">
                                <a:moveTo>
                                  <a:pt x="1855330" y="561174"/>
                                </a:moveTo>
                                <a:lnTo>
                                  <a:pt x="1452181" y="561174"/>
                                </a:lnTo>
                                <a:lnTo>
                                  <a:pt x="1452181" y="2054479"/>
                                </a:lnTo>
                                <a:lnTo>
                                  <a:pt x="1855330" y="2054479"/>
                                </a:lnTo>
                                <a:lnTo>
                                  <a:pt x="1855330" y="561174"/>
                                </a:lnTo>
                                <a:close/>
                              </a:path>
                              <a:path w="3307715" h="2054860">
                                <a:moveTo>
                                  <a:pt x="3307537" y="0"/>
                                </a:moveTo>
                                <a:lnTo>
                                  <a:pt x="2897975" y="0"/>
                                </a:lnTo>
                                <a:lnTo>
                                  <a:pt x="2897975" y="2054479"/>
                                </a:lnTo>
                                <a:lnTo>
                                  <a:pt x="3307537" y="2054479"/>
                                </a:lnTo>
                                <a:lnTo>
                                  <a:pt x="3307537" y="0"/>
                                </a:lnTo>
                                <a:close/>
                              </a:path>
                            </a:pathLst>
                          </a:custGeom>
                          <a:solidFill>
                            <a:srgbClr val="2F7D41"/>
                          </a:solidFill>
                        </wps:spPr>
                        <wps:bodyPr wrap="square" lIns="0" tIns="0" rIns="0" bIns="0" rtlCol="0">
                          <a:prstTxWarp prst="textNoShape">
                            <a:avLst/>
                          </a:prstTxWarp>
                          <a:noAutofit/>
                        </wps:bodyPr>
                      </wps:wsp>
                      <wps:wsp>
                        <wps:cNvPr id="1638" name="Graphic 1638"/>
                        <wps:cNvSpPr/>
                        <wps:spPr>
                          <a:xfrm>
                            <a:off x="0" y="0"/>
                            <a:ext cx="5219700" cy="2649220"/>
                          </a:xfrm>
                          <a:custGeom>
                            <a:avLst/>
                            <a:gdLst/>
                            <a:ahLst/>
                            <a:cxnLst/>
                            <a:rect l="l" t="t" r="r" b="b"/>
                            <a:pathLst>
                              <a:path w="5219700" h="2649220">
                                <a:moveTo>
                                  <a:pt x="4940528" y="2367623"/>
                                </a:moveTo>
                                <a:lnTo>
                                  <a:pt x="4940528" y="2367623"/>
                                </a:lnTo>
                                <a:lnTo>
                                  <a:pt x="588987" y="2367623"/>
                                </a:lnTo>
                                <a:lnTo>
                                  <a:pt x="588987" y="151447"/>
                                </a:lnTo>
                                <a:lnTo>
                                  <a:pt x="582637" y="151447"/>
                                </a:lnTo>
                                <a:lnTo>
                                  <a:pt x="546074" y="151447"/>
                                </a:lnTo>
                                <a:lnTo>
                                  <a:pt x="546074" y="157797"/>
                                </a:lnTo>
                                <a:lnTo>
                                  <a:pt x="582637" y="157797"/>
                                </a:lnTo>
                                <a:lnTo>
                                  <a:pt x="582637" y="370217"/>
                                </a:lnTo>
                                <a:lnTo>
                                  <a:pt x="546074" y="370217"/>
                                </a:lnTo>
                                <a:lnTo>
                                  <a:pt x="546074" y="376567"/>
                                </a:lnTo>
                                <a:lnTo>
                                  <a:pt x="582637" y="376567"/>
                                </a:lnTo>
                                <a:lnTo>
                                  <a:pt x="582637" y="598487"/>
                                </a:lnTo>
                                <a:lnTo>
                                  <a:pt x="546074" y="598487"/>
                                </a:lnTo>
                                <a:lnTo>
                                  <a:pt x="546074" y="604837"/>
                                </a:lnTo>
                                <a:lnTo>
                                  <a:pt x="582637" y="604837"/>
                                </a:lnTo>
                                <a:lnTo>
                                  <a:pt x="582637" y="817257"/>
                                </a:lnTo>
                                <a:lnTo>
                                  <a:pt x="546074" y="817257"/>
                                </a:lnTo>
                                <a:lnTo>
                                  <a:pt x="546074" y="823607"/>
                                </a:lnTo>
                                <a:lnTo>
                                  <a:pt x="582637" y="823607"/>
                                </a:lnTo>
                                <a:lnTo>
                                  <a:pt x="582637" y="1036015"/>
                                </a:lnTo>
                                <a:lnTo>
                                  <a:pt x="546074" y="1036015"/>
                                </a:lnTo>
                                <a:lnTo>
                                  <a:pt x="546074" y="1042365"/>
                                </a:lnTo>
                                <a:lnTo>
                                  <a:pt x="582637" y="1042365"/>
                                </a:lnTo>
                                <a:lnTo>
                                  <a:pt x="582637" y="1264297"/>
                                </a:lnTo>
                                <a:lnTo>
                                  <a:pt x="546074" y="1264297"/>
                                </a:lnTo>
                                <a:lnTo>
                                  <a:pt x="546074" y="1270647"/>
                                </a:lnTo>
                                <a:lnTo>
                                  <a:pt x="582637" y="1270647"/>
                                </a:lnTo>
                                <a:lnTo>
                                  <a:pt x="582637" y="1483055"/>
                                </a:lnTo>
                                <a:lnTo>
                                  <a:pt x="546074" y="1483055"/>
                                </a:lnTo>
                                <a:lnTo>
                                  <a:pt x="546074" y="1489405"/>
                                </a:lnTo>
                                <a:lnTo>
                                  <a:pt x="582637" y="1489405"/>
                                </a:lnTo>
                                <a:lnTo>
                                  <a:pt x="582637" y="1701825"/>
                                </a:lnTo>
                                <a:lnTo>
                                  <a:pt x="546074" y="1701825"/>
                                </a:lnTo>
                                <a:lnTo>
                                  <a:pt x="546074" y="1708175"/>
                                </a:lnTo>
                                <a:lnTo>
                                  <a:pt x="582637" y="1708175"/>
                                </a:lnTo>
                                <a:lnTo>
                                  <a:pt x="582637" y="1920582"/>
                                </a:lnTo>
                                <a:lnTo>
                                  <a:pt x="546074" y="1920582"/>
                                </a:lnTo>
                                <a:lnTo>
                                  <a:pt x="546074" y="1926932"/>
                                </a:lnTo>
                                <a:lnTo>
                                  <a:pt x="582637" y="1926932"/>
                                </a:lnTo>
                                <a:lnTo>
                                  <a:pt x="582637" y="2148865"/>
                                </a:lnTo>
                                <a:lnTo>
                                  <a:pt x="546074" y="2148865"/>
                                </a:lnTo>
                                <a:lnTo>
                                  <a:pt x="546074" y="2155215"/>
                                </a:lnTo>
                                <a:lnTo>
                                  <a:pt x="582637" y="2155215"/>
                                </a:lnTo>
                                <a:lnTo>
                                  <a:pt x="582637" y="2367623"/>
                                </a:lnTo>
                                <a:lnTo>
                                  <a:pt x="546074" y="2367623"/>
                                </a:lnTo>
                                <a:lnTo>
                                  <a:pt x="546074" y="2373973"/>
                                </a:lnTo>
                                <a:lnTo>
                                  <a:pt x="582637" y="2373973"/>
                                </a:lnTo>
                                <a:lnTo>
                                  <a:pt x="582637" y="2412034"/>
                                </a:lnTo>
                                <a:lnTo>
                                  <a:pt x="588987" y="2412034"/>
                                </a:lnTo>
                                <a:lnTo>
                                  <a:pt x="588987" y="2373973"/>
                                </a:lnTo>
                                <a:lnTo>
                                  <a:pt x="2036203" y="2373973"/>
                                </a:lnTo>
                                <a:lnTo>
                                  <a:pt x="2036203" y="2412034"/>
                                </a:lnTo>
                                <a:lnTo>
                                  <a:pt x="2042553" y="2412034"/>
                                </a:lnTo>
                                <a:lnTo>
                                  <a:pt x="2042553" y="2373973"/>
                                </a:lnTo>
                                <a:lnTo>
                                  <a:pt x="3480612" y="2373973"/>
                                </a:lnTo>
                                <a:lnTo>
                                  <a:pt x="3480612" y="2412034"/>
                                </a:lnTo>
                                <a:lnTo>
                                  <a:pt x="3486962" y="2412034"/>
                                </a:lnTo>
                                <a:lnTo>
                                  <a:pt x="3486962" y="2373973"/>
                                </a:lnTo>
                                <a:lnTo>
                                  <a:pt x="4934178" y="2373973"/>
                                </a:lnTo>
                                <a:lnTo>
                                  <a:pt x="4934178" y="2412034"/>
                                </a:lnTo>
                                <a:lnTo>
                                  <a:pt x="4940528" y="2412034"/>
                                </a:lnTo>
                                <a:lnTo>
                                  <a:pt x="4940528" y="2367623"/>
                                </a:lnTo>
                                <a:close/>
                              </a:path>
                              <a:path w="5219700" h="2649220">
                                <a:moveTo>
                                  <a:pt x="5219700" y="0"/>
                                </a:moveTo>
                                <a:lnTo>
                                  <a:pt x="5213337" y="0"/>
                                </a:lnTo>
                                <a:lnTo>
                                  <a:pt x="5213337" y="2540"/>
                                </a:lnTo>
                                <a:lnTo>
                                  <a:pt x="5213337" y="3009"/>
                                </a:lnTo>
                                <a:lnTo>
                                  <a:pt x="5213337" y="6184"/>
                                </a:lnTo>
                                <a:lnTo>
                                  <a:pt x="5213337" y="6350"/>
                                </a:lnTo>
                                <a:lnTo>
                                  <a:pt x="5213337" y="2642870"/>
                                </a:lnTo>
                                <a:lnTo>
                                  <a:pt x="6350" y="2642870"/>
                                </a:lnTo>
                                <a:lnTo>
                                  <a:pt x="6350" y="6350"/>
                                </a:lnTo>
                                <a:lnTo>
                                  <a:pt x="3175" y="6350"/>
                                </a:lnTo>
                                <a:lnTo>
                                  <a:pt x="3175" y="6184"/>
                                </a:lnTo>
                                <a:lnTo>
                                  <a:pt x="6350" y="6184"/>
                                </a:lnTo>
                                <a:lnTo>
                                  <a:pt x="5213337" y="6184"/>
                                </a:lnTo>
                                <a:lnTo>
                                  <a:pt x="5213337" y="3009"/>
                                </a:lnTo>
                                <a:lnTo>
                                  <a:pt x="6350" y="3009"/>
                                </a:lnTo>
                                <a:lnTo>
                                  <a:pt x="3175" y="3009"/>
                                </a:lnTo>
                                <a:lnTo>
                                  <a:pt x="3175" y="2540"/>
                                </a:lnTo>
                                <a:lnTo>
                                  <a:pt x="5213337" y="2540"/>
                                </a:lnTo>
                                <a:lnTo>
                                  <a:pt x="5213337" y="0"/>
                                </a:lnTo>
                                <a:lnTo>
                                  <a:pt x="0" y="0"/>
                                </a:lnTo>
                                <a:lnTo>
                                  <a:pt x="0" y="2540"/>
                                </a:lnTo>
                                <a:lnTo>
                                  <a:pt x="0" y="6350"/>
                                </a:lnTo>
                                <a:lnTo>
                                  <a:pt x="0" y="2642870"/>
                                </a:lnTo>
                                <a:lnTo>
                                  <a:pt x="0" y="2645410"/>
                                </a:lnTo>
                                <a:lnTo>
                                  <a:pt x="0" y="2649220"/>
                                </a:lnTo>
                                <a:lnTo>
                                  <a:pt x="5219700" y="2649220"/>
                                </a:lnTo>
                                <a:lnTo>
                                  <a:pt x="5219700" y="2646045"/>
                                </a:lnTo>
                                <a:lnTo>
                                  <a:pt x="5219700" y="2645410"/>
                                </a:lnTo>
                                <a:lnTo>
                                  <a:pt x="5219700" y="2642870"/>
                                </a:lnTo>
                                <a:lnTo>
                                  <a:pt x="5219700" y="6350"/>
                                </a:lnTo>
                                <a:lnTo>
                                  <a:pt x="5216525" y="6350"/>
                                </a:lnTo>
                                <a:lnTo>
                                  <a:pt x="5216525" y="6184"/>
                                </a:lnTo>
                                <a:lnTo>
                                  <a:pt x="5219700" y="6184"/>
                                </a:lnTo>
                                <a:lnTo>
                                  <a:pt x="5219700" y="3009"/>
                                </a:lnTo>
                                <a:lnTo>
                                  <a:pt x="5216525" y="3009"/>
                                </a:lnTo>
                                <a:lnTo>
                                  <a:pt x="5216525" y="2540"/>
                                </a:lnTo>
                                <a:lnTo>
                                  <a:pt x="5219700" y="2540"/>
                                </a:lnTo>
                                <a:lnTo>
                                  <a:pt x="5219700" y="0"/>
                                </a:lnTo>
                                <a:close/>
                              </a:path>
                            </a:pathLst>
                          </a:custGeom>
                          <a:solidFill>
                            <a:srgbClr val="000000"/>
                          </a:solidFill>
                        </wps:spPr>
                        <wps:bodyPr wrap="square" lIns="0" tIns="0" rIns="0" bIns="0" rtlCol="0">
                          <a:prstTxWarp prst="textNoShape">
                            <a:avLst/>
                          </a:prstTxWarp>
                          <a:noAutofit/>
                        </wps:bodyPr>
                      </wps:wsp>
                      <wps:wsp>
                        <wps:cNvPr id="1639" name="Textbox 1639"/>
                        <wps:cNvSpPr txBox="1"/>
                        <wps:spPr>
                          <a:xfrm>
                            <a:off x="4132138" y="2421214"/>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2004</w:t>
                              </w:r>
                            </w:p>
                          </w:txbxContent>
                        </wps:txbx>
                        <wps:bodyPr wrap="square" lIns="0" tIns="0" rIns="0" bIns="0" rtlCol="0">
                          <a:noAutofit/>
                        </wps:bodyPr>
                      </wps:wsp>
                      <wps:wsp>
                        <wps:cNvPr id="1640" name="Textbox 1640"/>
                        <wps:cNvSpPr txBox="1"/>
                        <wps:spPr>
                          <a:xfrm>
                            <a:off x="265888" y="120353"/>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50,000</w:t>
                              </w:r>
                            </w:p>
                          </w:txbxContent>
                        </wps:txbx>
                        <wps:bodyPr wrap="square" lIns="0" tIns="0" rIns="0" bIns="0" rtlCol="0">
                          <a:noAutofit/>
                        </wps:bodyPr>
                      </wps:wsp>
                      <wps:wsp>
                        <wps:cNvPr id="1641" name="Textbox 1641"/>
                        <wps:cNvSpPr txBox="1"/>
                        <wps:spPr>
                          <a:xfrm>
                            <a:off x="4100823" y="173314"/>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46,438</w:t>
                              </w:r>
                            </w:p>
                          </w:txbxContent>
                        </wps:txbx>
                        <wps:bodyPr wrap="square" lIns="0" tIns="0" rIns="0" bIns="0" rtlCol="0">
                          <a:noAutofit/>
                        </wps:bodyPr>
                      </wps:wsp>
                      <wps:wsp>
                        <wps:cNvPr id="1642" name="Textbox 1642"/>
                        <wps:cNvSpPr txBox="1"/>
                        <wps:spPr>
                          <a:xfrm>
                            <a:off x="265888" y="340063"/>
                            <a:ext cx="236220" cy="54165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45,000</w:t>
                              </w:r>
                            </w:p>
                            <w:p>
                              <w:pPr>
                                <w:spacing w:line="240" w:lineRule="auto" w:before="24"/>
                                <w:rPr>
                                  <w:rFonts w:ascii="Arial MT"/>
                                  <w:sz w:val="14"/>
                                </w:rPr>
                              </w:pPr>
                            </w:p>
                            <w:p>
                              <w:pPr>
                                <w:spacing w:before="0"/>
                                <w:ind w:left="0" w:right="0" w:firstLine="0"/>
                                <w:jc w:val="left"/>
                                <w:rPr>
                                  <w:rFonts w:ascii="Arial MT"/>
                                  <w:sz w:val="14"/>
                                </w:rPr>
                              </w:pPr>
                              <w:r>
                                <w:rPr>
                                  <w:rFonts w:ascii="Arial MT"/>
                                  <w:spacing w:val="-2"/>
                                  <w:w w:val="85"/>
                                  <w:sz w:val="14"/>
                                </w:rPr>
                                <w:t>40,000</w:t>
                              </w:r>
                            </w:p>
                            <w:p>
                              <w:pPr>
                                <w:spacing w:line="240" w:lineRule="auto" w:before="24"/>
                                <w:rPr>
                                  <w:rFonts w:ascii="Arial MT"/>
                                  <w:sz w:val="14"/>
                                </w:rPr>
                              </w:pPr>
                            </w:p>
                            <w:p>
                              <w:pPr>
                                <w:spacing w:before="0"/>
                                <w:ind w:left="0" w:right="0" w:firstLine="0"/>
                                <w:jc w:val="left"/>
                                <w:rPr>
                                  <w:rFonts w:ascii="Arial MT"/>
                                  <w:sz w:val="14"/>
                                </w:rPr>
                              </w:pPr>
                              <w:r>
                                <w:rPr>
                                  <w:rFonts w:ascii="Arial MT"/>
                                  <w:spacing w:val="-2"/>
                                  <w:w w:val="85"/>
                                  <w:sz w:val="14"/>
                                </w:rPr>
                                <w:t>35,000</w:t>
                              </w:r>
                            </w:p>
                          </w:txbxContent>
                        </wps:txbx>
                        <wps:bodyPr wrap="square" lIns="0" tIns="0" rIns="0" bIns="0" rtlCol="0">
                          <a:noAutofit/>
                        </wps:bodyPr>
                      </wps:wsp>
                      <wps:wsp>
                        <wps:cNvPr id="1643" name="Textbox 1643"/>
                        <wps:cNvSpPr txBox="1"/>
                        <wps:spPr>
                          <a:xfrm>
                            <a:off x="2639805" y="728486"/>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33,657</w:t>
                              </w:r>
                            </w:p>
                          </w:txbxContent>
                        </wps:txbx>
                        <wps:bodyPr wrap="square" lIns="0" tIns="0" rIns="0" bIns="0" rtlCol="0">
                          <a:noAutofit/>
                        </wps:bodyPr>
                      </wps:wsp>
                      <wps:wsp>
                        <wps:cNvPr id="1644" name="Textbox 1644"/>
                        <wps:cNvSpPr txBox="1"/>
                        <wps:spPr>
                          <a:xfrm>
                            <a:off x="265888" y="999193"/>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30,000</w:t>
                              </w:r>
                            </w:p>
                          </w:txbxContent>
                        </wps:txbx>
                        <wps:bodyPr wrap="square" lIns="0" tIns="0" rIns="0" bIns="0" rtlCol="0">
                          <a:noAutofit/>
                        </wps:bodyPr>
                      </wps:wsp>
                      <wps:wsp>
                        <wps:cNvPr id="1645" name="Textbox 1645"/>
                        <wps:cNvSpPr txBox="1"/>
                        <wps:spPr>
                          <a:xfrm>
                            <a:off x="1187081" y="965250"/>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28,268</w:t>
                              </w:r>
                            </w:p>
                          </w:txbxContent>
                        </wps:txbx>
                        <wps:bodyPr wrap="square" lIns="0" tIns="0" rIns="0" bIns="0" rtlCol="0">
                          <a:noAutofit/>
                        </wps:bodyPr>
                      </wps:wsp>
                      <wps:wsp>
                        <wps:cNvPr id="1646" name="Textbox 1646"/>
                        <wps:cNvSpPr txBox="1"/>
                        <wps:spPr>
                          <a:xfrm>
                            <a:off x="265888" y="1218902"/>
                            <a:ext cx="236220" cy="120078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25,000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2"/>
                                  <w:w w:val="80"/>
                                  <w:sz w:val="14"/>
                                </w:rPr>
                                <w:t>20,000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2"/>
                                  <w:w w:val="80"/>
                                  <w:sz w:val="14"/>
                                </w:rPr>
                                <w:t>15,000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2"/>
                                  <w:w w:val="80"/>
                                  <w:sz w:val="14"/>
                                </w:rPr>
                                <w:t>10,000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2"/>
                                  <w:w w:val="90"/>
                                  <w:sz w:val="14"/>
                                </w:rPr>
                                <w:t>5,000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1647" name="Textbox 1647"/>
                        <wps:cNvSpPr txBox="1"/>
                        <wps:spPr>
                          <a:xfrm>
                            <a:off x="1217488" y="2421214"/>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2002</w:t>
                              </w:r>
                            </w:p>
                          </w:txbxContent>
                        </wps:txbx>
                        <wps:bodyPr wrap="square" lIns="0" tIns="0" rIns="0" bIns="0" rtlCol="0">
                          <a:noAutofit/>
                        </wps:bodyPr>
                      </wps:wsp>
                      <wps:wsp>
                        <wps:cNvPr id="1648" name="Textbox 1648"/>
                        <wps:cNvSpPr txBox="1"/>
                        <wps:spPr>
                          <a:xfrm>
                            <a:off x="2697038" y="2421214"/>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2003</w:t>
                              </w:r>
                            </w:p>
                          </w:txbxContent>
                        </wps:txbx>
                        <wps:bodyPr wrap="square" lIns="0" tIns="0" rIns="0" bIns="0" rtlCol="0">
                          <a:noAutofit/>
                        </wps:bodyPr>
                      </wps:wsp>
                    </wpg:wgp>
                  </a:graphicData>
                </a:graphic>
              </wp:anchor>
            </w:drawing>
          </mc:Choice>
          <mc:Fallback>
            <w:pict>
              <v:group style="position:absolute;margin-left:91.5pt;margin-top:7.953125pt;width:411pt;height:208.6pt;mso-position-horizontal-relative:page;mso-position-vertical-relative:paragraph;z-index:-15620096;mso-wrap-distance-left:0;mso-wrap-distance-right:0" id="docshapegroup1622" coordorigin="1830,159" coordsize="8220,4172">
                <v:shape style="position:absolute;left:3567;top:657;width:5209;height:3236" id="docshape1623" coordorigin="3567,657" coordsize="5209,3236" path="m4212,1915l3567,1915,3567,3893,4212,3893,4212,1915xm6489,1541l5854,1541,5854,3893,6489,3893,6489,1541xm8776,657l8131,657,8131,3893,8776,3893,8776,657xe" filled="true" fillcolor="#2f7d41" stroked="false">
                  <v:path arrowok="t"/>
                  <v:fill type="solid"/>
                </v:shape>
                <v:shape style="position:absolute;left:1830;top:159;width:8220;height:4172" id="docshape1624" coordorigin="1830,159" coordsize="8220,4172" path="m9610,3888l9600,3888,7321,3888,7311,3888,5047,3888,5037,3888,2758,3888,2758,398,2748,398,2690,398,2690,408,2748,408,2748,742,2690,742,2690,752,2748,752,2748,1102,2690,1102,2690,1112,2748,1112,2748,1446,2690,1446,2690,1456,2748,1456,2748,1791,2690,1791,2690,1801,2748,1801,2748,2150,2690,2150,2690,2160,2748,2160,2748,2495,2690,2495,2690,2505,2748,2505,2748,2839,2690,2839,2690,2849,2748,2849,2748,3184,2690,3184,2690,3194,2748,3194,2748,3543,2690,3543,2690,3553,2748,3553,2748,3888,2690,3888,2690,3898,2748,3898,2748,3958,2758,3958,2758,3898,5037,3898,5037,3958,5047,3958,5047,3898,7311,3898,7311,3958,7321,3958,7321,3898,9600,3898,9600,3958,9610,3958,9610,3888xm10050,159l10040,159,10040,163,10040,164,10040,169,10040,169,10040,4321,1840,4321,1840,169,1835,169,1835,169,1840,169,10040,169,10040,164,1840,164,1835,164,1835,163,10040,163,10040,159,1830,159,1830,163,1830,169,1830,4321,1830,4325,1830,4331,10050,4331,10050,4326,10050,4325,10050,4321,10050,169,10045,169,10045,169,10050,169,10050,164,10045,164,10045,163,10050,163,10050,159xe" filled="true" fillcolor="#000000" stroked="false">
                  <v:path arrowok="t"/>
                  <v:fill type="solid"/>
                </v:shape>
                <v:shape style="position:absolute;left:8337;top:3972;width:276;height:161" type="#_x0000_t202" id="docshape1625" filled="false" stroked="false">
                  <v:textbox inset="0,0,0,0">
                    <w:txbxContent>
                      <w:p>
                        <w:pPr>
                          <w:spacing w:line="161" w:lineRule="exact" w:before="0"/>
                          <w:ind w:left="0" w:right="0" w:firstLine="0"/>
                          <w:jc w:val="left"/>
                          <w:rPr>
                            <w:rFonts w:ascii="Arial MT"/>
                            <w:sz w:val="14"/>
                          </w:rPr>
                        </w:pPr>
                        <w:r>
                          <w:rPr>
                            <w:rFonts w:ascii="Arial MT"/>
                            <w:spacing w:val="-4"/>
                            <w:w w:val="85"/>
                            <w:sz w:val="14"/>
                          </w:rPr>
                          <w:t>2004</w:t>
                        </w:r>
                      </w:p>
                    </w:txbxContent>
                  </v:textbox>
                  <w10:wrap type="none"/>
                </v:shape>
                <v:shape style="position:absolute;left:2248;top:348;width:372;height:161" type="#_x0000_t202" id="docshape1626" filled="false" stroked="false">
                  <v:textbox inset="0,0,0,0">
                    <w:txbxContent>
                      <w:p>
                        <w:pPr>
                          <w:spacing w:line="161" w:lineRule="exact" w:before="0"/>
                          <w:ind w:left="0" w:right="0" w:firstLine="0"/>
                          <w:jc w:val="left"/>
                          <w:rPr>
                            <w:rFonts w:ascii="Arial MT"/>
                            <w:sz w:val="14"/>
                          </w:rPr>
                        </w:pPr>
                        <w:r>
                          <w:rPr>
                            <w:rFonts w:ascii="Arial MT"/>
                            <w:spacing w:val="-2"/>
                            <w:w w:val="85"/>
                            <w:sz w:val="14"/>
                          </w:rPr>
                          <w:t>50,000</w:t>
                        </w:r>
                      </w:p>
                    </w:txbxContent>
                  </v:textbox>
                  <w10:wrap type="none"/>
                </v:shape>
                <v:shape style="position:absolute;left:8288;top:432;width:372;height:161" type="#_x0000_t202" id="docshape1627" filled="false" stroked="false">
                  <v:textbox inset="0,0,0,0">
                    <w:txbxContent>
                      <w:p>
                        <w:pPr>
                          <w:spacing w:line="161" w:lineRule="exact" w:before="0"/>
                          <w:ind w:left="0" w:right="0" w:firstLine="0"/>
                          <w:jc w:val="left"/>
                          <w:rPr>
                            <w:rFonts w:ascii="Arial MT"/>
                            <w:sz w:val="14"/>
                          </w:rPr>
                        </w:pPr>
                        <w:r>
                          <w:rPr>
                            <w:rFonts w:ascii="Arial MT"/>
                            <w:spacing w:val="-2"/>
                            <w:w w:val="85"/>
                            <w:sz w:val="14"/>
                          </w:rPr>
                          <w:t>46,438</w:t>
                        </w:r>
                      </w:p>
                    </w:txbxContent>
                  </v:textbox>
                  <w10:wrap type="none"/>
                </v:shape>
                <v:shape style="position:absolute;left:2248;top:694;width:372;height:853" type="#_x0000_t202" id="docshape1628" filled="false" stroked="false">
                  <v:textbox inset="0,0,0,0">
                    <w:txbxContent>
                      <w:p>
                        <w:pPr>
                          <w:spacing w:line="161" w:lineRule="exact" w:before="0"/>
                          <w:ind w:left="0" w:right="0" w:firstLine="0"/>
                          <w:jc w:val="left"/>
                          <w:rPr>
                            <w:rFonts w:ascii="Arial MT"/>
                            <w:sz w:val="14"/>
                          </w:rPr>
                        </w:pPr>
                        <w:r>
                          <w:rPr>
                            <w:rFonts w:ascii="Arial MT"/>
                            <w:spacing w:val="-2"/>
                            <w:w w:val="85"/>
                            <w:sz w:val="14"/>
                          </w:rPr>
                          <w:t>45,000</w:t>
                        </w:r>
                      </w:p>
                      <w:p>
                        <w:pPr>
                          <w:spacing w:line="240" w:lineRule="auto" w:before="24"/>
                          <w:rPr>
                            <w:rFonts w:ascii="Arial MT"/>
                            <w:sz w:val="14"/>
                          </w:rPr>
                        </w:pPr>
                      </w:p>
                      <w:p>
                        <w:pPr>
                          <w:spacing w:before="0"/>
                          <w:ind w:left="0" w:right="0" w:firstLine="0"/>
                          <w:jc w:val="left"/>
                          <w:rPr>
                            <w:rFonts w:ascii="Arial MT"/>
                            <w:sz w:val="14"/>
                          </w:rPr>
                        </w:pPr>
                        <w:r>
                          <w:rPr>
                            <w:rFonts w:ascii="Arial MT"/>
                            <w:spacing w:val="-2"/>
                            <w:w w:val="85"/>
                            <w:sz w:val="14"/>
                          </w:rPr>
                          <w:t>40,000</w:t>
                        </w:r>
                      </w:p>
                      <w:p>
                        <w:pPr>
                          <w:spacing w:line="240" w:lineRule="auto" w:before="24"/>
                          <w:rPr>
                            <w:rFonts w:ascii="Arial MT"/>
                            <w:sz w:val="14"/>
                          </w:rPr>
                        </w:pPr>
                      </w:p>
                      <w:p>
                        <w:pPr>
                          <w:spacing w:before="0"/>
                          <w:ind w:left="0" w:right="0" w:firstLine="0"/>
                          <w:jc w:val="left"/>
                          <w:rPr>
                            <w:rFonts w:ascii="Arial MT"/>
                            <w:sz w:val="14"/>
                          </w:rPr>
                        </w:pPr>
                        <w:r>
                          <w:rPr>
                            <w:rFonts w:ascii="Arial MT"/>
                            <w:spacing w:val="-2"/>
                            <w:w w:val="85"/>
                            <w:sz w:val="14"/>
                          </w:rPr>
                          <w:t>35,000</w:t>
                        </w:r>
                      </w:p>
                    </w:txbxContent>
                  </v:textbox>
                  <w10:wrap type="none"/>
                </v:shape>
                <v:shape style="position:absolute;left:5987;top:1306;width:372;height:161" type="#_x0000_t202" id="docshape1629" filled="false" stroked="false">
                  <v:textbox inset="0,0,0,0">
                    <w:txbxContent>
                      <w:p>
                        <w:pPr>
                          <w:spacing w:line="161" w:lineRule="exact" w:before="0"/>
                          <w:ind w:left="0" w:right="0" w:firstLine="0"/>
                          <w:jc w:val="left"/>
                          <w:rPr>
                            <w:rFonts w:ascii="Arial MT"/>
                            <w:sz w:val="14"/>
                          </w:rPr>
                        </w:pPr>
                        <w:r>
                          <w:rPr>
                            <w:rFonts w:ascii="Arial MT"/>
                            <w:spacing w:val="-2"/>
                            <w:w w:val="85"/>
                            <w:sz w:val="14"/>
                          </w:rPr>
                          <w:t>33,657</w:t>
                        </w:r>
                      </w:p>
                    </w:txbxContent>
                  </v:textbox>
                  <w10:wrap type="none"/>
                </v:shape>
                <v:shape style="position:absolute;left:2248;top:1732;width:372;height:161" type="#_x0000_t202" id="docshape1630" filled="false" stroked="false">
                  <v:textbox inset="0,0,0,0">
                    <w:txbxContent>
                      <w:p>
                        <w:pPr>
                          <w:spacing w:line="161" w:lineRule="exact" w:before="0"/>
                          <w:ind w:left="0" w:right="0" w:firstLine="0"/>
                          <w:jc w:val="left"/>
                          <w:rPr>
                            <w:rFonts w:ascii="Arial MT"/>
                            <w:sz w:val="14"/>
                          </w:rPr>
                        </w:pPr>
                        <w:r>
                          <w:rPr>
                            <w:rFonts w:ascii="Arial MT"/>
                            <w:spacing w:val="-2"/>
                            <w:w w:val="85"/>
                            <w:sz w:val="14"/>
                          </w:rPr>
                          <w:t>30,000</w:t>
                        </w:r>
                      </w:p>
                    </w:txbxContent>
                  </v:textbox>
                  <w10:wrap type="none"/>
                </v:shape>
                <v:shape style="position:absolute;left:3699;top:1679;width:372;height:161" type="#_x0000_t202" id="docshape1631" filled="false" stroked="false">
                  <v:textbox inset="0,0,0,0">
                    <w:txbxContent>
                      <w:p>
                        <w:pPr>
                          <w:spacing w:line="161" w:lineRule="exact" w:before="0"/>
                          <w:ind w:left="0" w:right="0" w:firstLine="0"/>
                          <w:jc w:val="left"/>
                          <w:rPr>
                            <w:rFonts w:ascii="Arial MT"/>
                            <w:sz w:val="14"/>
                          </w:rPr>
                        </w:pPr>
                        <w:r>
                          <w:rPr>
                            <w:rFonts w:ascii="Arial MT"/>
                            <w:spacing w:val="-2"/>
                            <w:w w:val="85"/>
                            <w:sz w:val="14"/>
                          </w:rPr>
                          <w:t>28,268</w:t>
                        </w:r>
                      </w:p>
                    </w:txbxContent>
                  </v:textbox>
                  <w10:wrap type="none"/>
                </v:shape>
                <v:shape style="position:absolute;left:2248;top:2078;width:372;height:1891" type="#_x0000_t202" id="docshape1632" filled="false" stroked="false">
                  <v:textbox inset="0,0,0,0">
                    <w:txbxContent>
                      <w:p>
                        <w:pPr>
                          <w:spacing w:line="161" w:lineRule="exact" w:before="0"/>
                          <w:ind w:left="0" w:right="0" w:firstLine="0"/>
                          <w:jc w:val="left"/>
                          <w:rPr>
                            <w:rFonts w:ascii="Arial MT"/>
                            <w:sz w:val="14"/>
                          </w:rPr>
                        </w:pPr>
                        <w:r>
                          <w:rPr>
                            <w:rFonts w:ascii="Arial MT"/>
                            <w:spacing w:val="-2"/>
                            <w:w w:val="85"/>
                            <w:sz w:val="14"/>
                          </w:rPr>
                          <w:t>25,000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2"/>
                            <w:w w:val="80"/>
                            <w:sz w:val="14"/>
                          </w:rPr>
                          <w:t>20,000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2"/>
                            <w:w w:val="80"/>
                            <w:sz w:val="14"/>
                          </w:rPr>
                          <w:t>15,000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2"/>
                            <w:w w:val="80"/>
                            <w:sz w:val="14"/>
                          </w:rPr>
                          <w:t>10,000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2"/>
                            <w:w w:val="90"/>
                            <w:sz w:val="14"/>
                          </w:rPr>
                          <w:t>5,000</w:t>
                        </w:r>
                      </w:p>
                      <w:p>
                        <w:pPr>
                          <w:spacing w:line="240" w:lineRule="auto" w:before="24"/>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v:shape style="position:absolute;left:3747;top:3972;width:276;height:161" type="#_x0000_t202" id="docshape1633" filled="false" stroked="false">
                  <v:textbox inset="0,0,0,0">
                    <w:txbxContent>
                      <w:p>
                        <w:pPr>
                          <w:spacing w:line="161" w:lineRule="exact" w:before="0"/>
                          <w:ind w:left="0" w:right="0" w:firstLine="0"/>
                          <w:jc w:val="left"/>
                          <w:rPr>
                            <w:rFonts w:ascii="Arial MT"/>
                            <w:sz w:val="14"/>
                          </w:rPr>
                        </w:pPr>
                        <w:r>
                          <w:rPr>
                            <w:rFonts w:ascii="Arial MT"/>
                            <w:spacing w:val="-4"/>
                            <w:w w:val="85"/>
                            <w:sz w:val="14"/>
                          </w:rPr>
                          <w:t>2002</w:t>
                        </w:r>
                      </w:p>
                    </w:txbxContent>
                  </v:textbox>
                  <w10:wrap type="none"/>
                </v:shape>
                <v:shape style="position:absolute;left:6077;top:3972;width:276;height:161" type="#_x0000_t202" id="docshape1634" filled="false" stroked="false">
                  <v:textbox inset="0,0,0,0">
                    <w:txbxContent>
                      <w:p>
                        <w:pPr>
                          <w:spacing w:line="161" w:lineRule="exact" w:before="0"/>
                          <w:ind w:left="0" w:right="0" w:firstLine="0"/>
                          <w:jc w:val="left"/>
                          <w:rPr>
                            <w:rFonts w:ascii="Arial MT"/>
                            <w:sz w:val="14"/>
                          </w:rPr>
                        </w:pPr>
                        <w:r>
                          <w:rPr>
                            <w:rFonts w:ascii="Arial MT"/>
                            <w:spacing w:val="-4"/>
                            <w:w w:val="85"/>
                            <w:sz w:val="14"/>
                          </w:rPr>
                          <w:t>2003</w:t>
                        </w:r>
                      </w:p>
                    </w:txbxContent>
                  </v:textbox>
                  <w10:wrap type="none"/>
                </v:shape>
                <w10:wrap type="topAndBottom"/>
              </v:group>
            </w:pict>
          </mc:Fallback>
        </mc:AlternateContent>
      </w:r>
    </w:p>
    <w:p>
      <w:pPr>
        <w:spacing w:before="36"/>
        <w:ind w:left="1830" w:right="0" w:firstLine="0"/>
        <w:jc w:val="left"/>
        <w:rPr>
          <w:sz w:val="16"/>
        </w:rPr>
      </w:pPr>
      <w:r>
        <w:rPr>
          <w:i/>
          <w:w w:val="90"/>
          <w:sz w:val="16"/>
        </w:rPr>
        <w:t>Source:</w:t>
      </w:r>
      <w:r>
        <w:rPr>
          <w:i/>
          <w:spacing w:val="4"/>
          <w:sz w:val="16"/>
        </w:rPr>
        <w:t> </w:t>
      </w:r>
      <w:r>
        <w:rPr>
          <w:w w:val="90"/>
          <w:sz w:val="16"/>
        </w:rPr>
        <w:t>Bar</w:t>
      </w:r>
      <w:r>
        <w:rPr>
          <w:spacing w:val="5"/>
          <w:sz w:val="16"/>
        </w:rPr>
        <w:t> </w:t>
      </w:r>
      <w:r>
        <w:rPr>
          <w:w w:val="90"/>
          <w:sz w:val="16"/>
        </w:rPr>
        <w:t>Council</w:t>
      </w:r>
      <w:r>
        <w:rPr>
          <w:spacing w:val="4"/>
          <w:sz w:val="16"/>
        </w:rPr>
        <w:t> </w:t>
      </w:r>
      <w:r>
        <w:rPr>
          <w:w w:val="90"/>
          <w:sz w:val="16"/>
        </w:rPr>
        <w:t>of</w:t>
      </w:r>
      <w:r>
        <w:rPr>
          <w:spacing w:val="5"/>
          <w:sz w:val="16"/>
        </w:rPr>
        <w:t> </w:t>
      </w:r>
      <w:r>
        <w:rPr>
          <w:spacing w:val="-2"/>
          <w:w w:val="90"/>
          <w:sz w:val="16"/>
        </w:rPr>
        <w:t>India</w:t>
      </w:r>
    </w:p>
    <w:p>
      <w:pPr>
        <w:spacing w:after="0"/>
        <w:jc w:val="left"/>
        <w:rPr>
          <w:sz w:val="16"/>
        </w:rPr>
        <w:sectPr>
          <w:pgSz w:w="11910" w:h="16840"/>
          <w:pgMar w:header="0" w:footer="675" w:top="940" w:bottom="8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
        <w:rPr>
          <w:sz w:val="20"/>
        </w:rPr>
      </w:pPr>
    </w:p>
    <w:p>
      <w:pPr>
        <w:spacing w:after="0"/>
        <w:rPr>
          <w:sz w:val="20"/>
        </w:rPr>
        <w:sectPr>
          <w:pgSz w:w="11910" w:h="16840"/>
          <w:pgMar w:header="0" w:footer="675" w:top="0" w:bottom="860" w:left="0" w:right="0"/>
        </w:sectPr>
      </w:pPr>
    </w:p>
    <w:p>
      <w:pPr>
        <w:pStyle w:val="Heading6"/>
        <w:spacing w:before="79"/>
        <w:ind w:left="1080" w:firstLine="0"/>
      </w:pPr>
      <w:r>
        <w:rPr/>
        <mc:AlternateContent>
          <mc:Choice Requires="wps">
            <w:drawing>
              <wp:anchor distT="0" distB="0" distL="0" distR="0" allowOverlap="1" layoutInCell="1" locked="0" behindDoc="0" simplePos="0" relativeHeight="15838720">
                <wp:simplePos x="0" y="0"/>
                <wp:positionH relativeFrom="page">
                  <wp:posOffset>0</wp:posOffset>
                </wp:positionH>
                <wp:positionV relativeFrom="paragraph">
                  <wp:posOffset>-2220243</wp:posOffset>
                </wp:positionV>
                <wp:extent cx="7560309" cy="1752600"/>
                <wp:effectExtent l="0" t="0" r="0" b="0"/>
                <wp:wrapNone/>
                <wp:docPr id="1649" name="Group 1649"/>
                <wp:cNvGraphicFramePr>
                  <a:graphicFrameLocks/>
                </wp:cNvGraphicFramePr>
                <a:graphic>
                  <a:graphicData uri="http://schemas.microsoft.com/office/word/2010/wordprocessingGroup">
                    <wpg:wgp>
                      <wpg:cNvPr id="1649" name="Group 1649"/>
                      <wpg:cNvGrpSpPr/>
                      <wpg:grpSpPr>
                        <a:xfrm>
                          <a:off x="0" y="0"/>
                          <a:ext cx="7560309" cy="1752600"/>
                          <a:chExt cx="7560309" cy="1752600"/>
                        </a:xfrm>
                      </wpg:grpSpPr>
                      <pic:pic>
                        <pic:nvPicPr>
                          <pic:cNvPr id="1650" name="Image 1650"/>
                          <pic:cNvPicPr/>
                        </pic:nvPicPr>
                        <pic:blipFill>
                          <a:blip r:embed="rId612" cstate="print"/>
                          <a:stretch>
                            <a:fillRect/>
                          </a:stretch>
                        </pic:blipFill>
                        <pic:spPr>
                          <a:xfrm>
                            <a:off x="0" y="0"/>
                            <a:ext cx="7559999" cy="1752562"/>
                          </a:xfrm>
                          <a:prstGeom prst="rect">
                            <a:avLst/>
                          </a:prstGeom>
                        </pic:spPr>
                      </pic:pic>
                      <wps:wsp>
                        <wps:cNvPr id="1651" name="Textbox 1651"/>
                        <wps:cNvSpPr txBox="1"/>
                        <wps:spPr>
                          <a:xfrm>
                            <a:off x="0" y="0"/>
                            <a:ext cx="7560309" cy="1752600"/>
                          </a:xfrm>
                          <a:prstGeom prst="rect">
                            <a:avLst/>
                          </a:prstGeom>
                        </wps:spPr>
                        <wps:txbx>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Medical</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0pt;margin-top:-174.822311pt;width:595.3pt;height:138pt;mso-position-horizontal-relative:page;mso-position-vertical-relative:paragraph;z-index:15838720" id="docshapegroup1635" coordorigin="0,-3496" coordsize="11906,2760">
                <v:shape style="position:absolute;left:0;top:-3497;width:11906;height:2760" type="#_x0000_t75" id="docshape1636" stroked="false">
                  <v:imagedata r:id="rId612" o:title=""/>
                </v:shape>
                <v:shape style="position:absolute;left:0;top:-3497;width:11906;height:2760" type="#_x0000_t202" id="docshape1637" filled="false" stroked="false">
                  <v:textbox inset="0,0,0,0">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Medical</w:t>
                        </w:r>
                        <w:r>
                          <w:rPr>
                            <w:rFonts w:ascii="Trebuchet MS"/>
                            <w:b/>
                            <w:color w:val="FFFFFF"/>
                            <w:spacing w:val="-1"/>
                            <w:sz w:val="68"/>
                          </w:rPr>
                          <w:t> </w:t>
                        </w:r>
                        <w:r>
                          <w:rPr>
                            <w:rFonts w:ascii="Trebuchet MS"/>
                            <w:b/>
                            <w:color w:val="FFFFFF"/>
                            <w:spacing w:val="-2"/>
                            <w:sz w:val="68"/>
                          </w:rPr>
                          <w:t>Education</w:t>
                        </w:r>
                      </w:p>
                    </w:txbxContent>
                  </v:textbox>
                  <w10:wrap type="none"/>
                </v:shape>
                <w10:wrap type="none"/>
              </v:group>
            </w:pict>
          </mc:Fallback>
        </mc:AlternateContent>
      </w:r>
      <w:r>
        <w:rPr>
          <w:color w:val="2E614A"/>
          <w:spacing w:val="-2"/>
        </w:rPr>
        <w:t>Introduction</w:t>
      </w:r>
    </w:p>
    <w:p>
      <w:pPr>
        <w:pStyle w:val="BodyText"/>
        <w:spacing w:line="266" w:lineRule="auto" w:before="285"/>
        <w:ind w:left="1079" w:firstLine="673"/>
        <w:jc w:val="right"/>
      </w:pPr>
      <w:r>
        <w:rPr/>
        <mc:AlternateContent>
          <mc:Choice Requires="wps">
            <w:drawing>
              <wp:anchor distT="0" distB="0" distL="0" distR="0" allowOverlap="1" layoutInCell="1" locked="0" behindDoc="0" simplePos="0" relativeHeight="15839232">
                <wp:simplePos x="0" y="0"/>
                <wp:positionH relativeFrom="page">
                  <wp:posOffset>685800</wp:posOffset>
                </wp:positionH>
                <wp:positionV relativeFrom="paragraph">
                  <wp:posOffset>91985</wp:posOffset>
                </wp:positionV>
                <wp:extent cx="421640" cy="757555"/>
                <wp:effectExtent l="0" t="0" r="0" b="0"/>
                <wp:wrapNone/>
                <wp:docPr id="1652" name="Textbox 1652"/>
                <wp:cNvGraphicFramePr>
                  <a:graphicFrameLocks/>
                </wp:cNvGraphicFramePr>
                <a:graphic>
                  <a:graphicData uri="http://schemas.microsoft.com/office/word/2010/wordprocessingShape">
                    <wps:wsp>
                      <wps:cNvPr id="1652" name="Textbox 1652"/>
                      <wps:cNvSpPr txBox="1"/>
                      <wps:spPr>
                        <a:xfrm>
                          <a:off x="0" y="0"/>
                          <a:ext cx="421640" cy="757555"/>
                        </a:xfrm>
                        <a:prstGeom prst="rect">
                          <a:avLst/>
                        </a:prstGeom>
                      </wps:spPr>
                      <wps:txbx>
                        <w:txbxContent>
                          <w:p>
                            <w:pPr>
                              <w:spacing w:line="1135" w:lineRule="exact" w:before="0"/>
                              <w:ind w:left="0" w:right="0" w:firstLine="0"/>
                              <w:jc w:val="left"/>
                              <w:rPr>
                                <w:sz w:val="106"/>
                              </w:rPr>
                            </w:pPr>
                            <w:r>
                              <w:rPr>
                                <w:color w:val="9CBF3B"/>
                                <w:spacing w:val="-10"/>
                                <w:w w:val="85"/>
                                <w:sz w:val="106"/>
                              </w:rPr>
                              <w:t>A</w:t>
                            </w:r>
                          </w:p>
                        </w:txbxContent>
                      </wps:txbx>
                      <wps:bodyPr wrap="square" lIns="0" tIns="0" rIns="0" bIns="0" rtlCol="0">
                        <a:noAutofit/>
                      </wps:bodyPr>
                    </wps:wsp>
                  </a:graphicData>
                </a:graphic>
              </wp:anchor>
            </w:drawing>
          </mc:Choice>
          <mc:Fallback>
            <w:pict>
              <v:shape style="position:absolute;margin-left:54pt;margin-top:7.242963pt;width:33.2pt;height:59.65pt;mso-position-horizontal-relative:page;mso-position-vertical-relative:paragraph;z-index:15839232" type="#_x0000_t202" id="docshape1638" filled="false" stroked="false">
                <v:textbox inset="0,0,0,0">
                  <w:txbxContent>
                    <w:p>
                      <w:pPr>
                        <w:spacing w:line="1135" w:lineRule="exact" w:before="0"/>
                        <w:ind w:left="0" w:right="0" w:firstLine="0"/>
                        <w:jc w:val="left"/>
                        <w:rPr>
                          <w:sz w:val="106"/>
                        </w:rPr>
                      </w:pPr>
                      <w:r>
                        <w:rPr>
                          <w:color w:val="9CBF3B"/>
                          <w:spacing w:val="-10"/>
                          <w:w w:val="85"/>
                          <w:sz w:val="106"/>
                        </w:rPr>
                        <w:t>A</w:t>
                      </w:r>
                    </w:p>
                  </w:txbxContent>
                </v:textbox>
                <w10:wrap type="none"/>
              </v:shape>
            </w:pict>
          </mc:Fallback>
        </mc:AlternateContent>
      </w:r>
      <w:r>
        <w:rPr/>
        <w:t>ssuring</w:t>
      </w:r>
      <w:r>
        <w:rPr>
          <w:spacing w:val="15"/>
        </w:rPr>
        <w:t> </w:t>
      </w:r>
      <w:r>
        <w:rPr/>
        <w:t>a</w:t>
      </w:r>
      <w:r>
        <w:rPr>
          <w:spacing w:val="15"/>
        </w:rPr>
        <w:t> </w:t>
      </w:r>
      <w:r>
        <w:rPr/>
        <w:t>minimal</w:t>
      </w:r>
      <w:r>
        <w:rPr>
          <w:spacing w:val="15"/>
        </w:rPr>
        <w:t> </w:t>
      </w:r>
      <w:r>
        <w:rPr/>
        <w:t>level</w:t>
      </w:r>
      <w:r>
        <w:rPr>
          <w:spacing w:val="15"/>
        </w:rPr>
        <w:t> </w:t>
      </w:r>
      <w:r>
        <w:rPr/>
        <w:t>of</w:t>
      </w:r>
      <w:r>
        <w:rPr>
          <w:spacing w:val="15"/>
        </w:rPr>
        <w:t> </w:t>
      </w:r>
      <w:r>
        <w:rPr/>
        <w:t>health</w:t>
      </w:r>
      <w:r>
        <w:rPr>
          <w:spacing w:val="15"/>
        </w:rPr>
        <w:t> </w:t>
      </w:r>
      <w:r>
        <w:rPr/>
        <w:t>care</w:t>
      </w:r>
      <w:r>
        <w:rPr>
          <w:spacing w:val="15"/>
        </w:rPr>
        <w:t> </w:t>
      </w:r>
      <w:r>
        <w:rPr/>
        <w:t>to</w:t>
      </w:r>
      <w:r>
        <w:rPr>
          <w:spacing w:val="15"/>
        </w:rPr>
        <w:t> </w:t>
      </w:r>
      <w:r>
        <w:rPr/>
        <w:t>the population</w:t>
      </w:r>
      <w:r>
        <w:rPr>
          <w:spacing w:val="40"/>
        </w:rPr>
        <w:t> </w:t>
      </w:r>
      <w:r>
        <w:rPr/>
        <w:t>is</w:t>
      </w:r>
      <w:r>
        <w:rPr>
          <w:spacing w:val="40"/>
        </w:rPr>
        <w:t> </w:t>
      </w:r>
      <w:r>
        <w:rPr/>
        <w:t>a</w:t>
      </w:r>
      <w:r>
        <w:rPr>
          <w:spacing w:val="40"/>
        </w:rPr>
        <w:t> </w:t>
      </w:r>
      <w:r>
        <w:rPr/>
        <w:t>critical</w:t>
      </w:r>
      <w:r>
        <w:rPr>
          <w:spacing w:val="40"/>
        </w:rPr>
        <w:t> </w:t>
      </w:r>
      <w:r>
        <w:rPr/>
        <w:t>constituent</w:t>
      </w:r>
      <w:r>
        <w:rPr>
          <w:spacing w:val="40"/>
        </w:rPr>
        <w:t> </w:t>
      </w:r>
      <w:r>
        <w:rPr/>
        <w:t>of</w:t>
      </w:r>
      <w:r>
        <w:rPr>
          <w:spacing w:val="40"/>
        </w:rPr>
        <w:t> </w:t>
      </w:r>
      <w:r>
        <w:rPr/>
        <w:t>the</w:t>
      </w:r>
      <w:r>
        <w:rPr>
          <w:spacing w:val="40"/>
        </w:rPr>
        <w:t> </w:t>
      </w:r>
      <w:r>
        <w:rPr/>
        <w:t>development process. As a result, the goal and </w:t>
      </w:r>
      <w:r>
        <w:rPr>
          <w:spacing w:val="-2"/>
        </w:rPr>
        <w:t>objectives</w:t>
      </w:r>
      <w:r>
        <w:rPr>
          <w:spacing w:val="-21"/>
        </w:rPr>
        <w:t> </w:t>
      </w:r>
      <w:r>
        <w:rPr>
          <w:spacing w:val="-2"/>
        </w:rPr>
        <w:t>of</w:t>
      </w:r>
      <w:r>
        <w:rPr>
          <w:spacing w:val="-21"/>
        </w:rPr>
        <w:t> </w:t>
      </w:r>
      <w:r>
        <w:rPr>
          <w:spacing w:val="-2"/>
        </w:rPr>
        <w:t>medical</w:t>
      </w:r>
      <w:r>
        <w:rPr>
          <w:spacing w:val="-21"/>
        </w:rPr>
        <w:t> </w:t>
      </w:r>
      <w:r>
        <w:rPr>
          <w:spacing w:val="-2"/>
        </w:rPr>
        <w:t>education,</w:t>
      </w:r>
      <w:r>
        <w:rPr>
          <w:spacing w:val="-21"/>
        </w:rPr>
        <w:t> </w:t>
      </w:r>
      <w:r>
        <w:rPr>
          <w:spacing w:val="-2"/>
        </w:rPr>
        <w:t>its</w:t>
      </w:r>
      <w:r>
        <w:rPr>
          <w:spacing w:val="-21"/>
        </w:rPr>
        <w:t> </w:t>
      </w:r>
      <w:r>
        <w:rPr>
          <w:spacing w:val="-2"/>
        </w:rPr>
        <w:t>quality</w:t>
      </w:r>
      <w:r>
        <w:rPr>
          <w:spacing w:val="-21"/>
        </w:rPr>
        <w:t> </w:t>
      </w:r>
      <w:r>
        <w:rPr>
          <w:spacing w:val="-2"/>
        </w:rPr>
        <w:t>and</w:t>
      </w:r>
      <w:r>
        <w:rPr>
          <w:spacing w:val="-21"/>
        </w:rPr>
        <w:t> </w:t>
      </w:r>
      <w:r>
        <w:rPr>
          <w:spacing w:val="-2"/>
        </w:rPr>
        <w:t>quantity has</w:t>
      </w:r>
      <w:r>
        <w:rPr>
          <w:spacing w:val="-9"/>
        </w:rPr>
        <w:t> </w:t>
      </w:r>
      <w:r>
        <w:rPr>
          <w:spacing w:val="-2"/>
        </w:rPr>
        <w:t>wide</w:t>
      </w:r>
      <w:r>
        <w:rPr>
          <w:spacing w:val="-9"/>
        </w:rPr>
        <w:t> </w:t>
      </w:r>
      <w:r>
        <w:rPr>
          <w:spacing w:val="-2"/>
        </w:rPr>
        <w:t>ramifications</w:t>
      </w:r>
      <w:r>
        <w:rPr>
          <w:spacing w:val="-9"/>
        </w:rPr>
        <w:t> </w:t>
      </w:r>
      <w:r>
        <w:rPr>
          <w:spacing w:val="-2"/>
        </w:rPr>
        <w:t>for</w:t>
      </w:r>
      <w:r>
        <w:rPr>
          <w:spacing w:val="-9"/>
        </w:rPr>
        <w:t> </w:t>
      </w:r>
      <w:r>
        <w:rPr>
          <w:spacing w:val="-2"/>
        </w:rPr>
        <w:t>human</w:t>
      </w:r>
      <w:r>
        <w:rPr>
          <w:spacing w:val="-9"/>
        </w:rPr>
        <w:t> </w:t>
      </w:r>
      <w:r>
        <w:rPr>
          <w:spacing w:val="-2"/>
        </w:rPr>
        <w:t>development,</w:t>
      </w:r>
      <w:r>
        <w:rPr>
          <w:spacing w:val="-9"/>
        </w:rPr>
        <w:t> </w:t>
      </w:r>
      <w:r>
        <w:rPr>
          <w:spacing w:val="-2"/>
        </w:rPr>
        <w:t>health </w:t>
      </w:r>
      <w:r>
        <w:rPr/>
        <w:t>services</w:t>
      </w:r>
      <w:r>
        <w:rPr>
          <w:spacing w:val="30"/>
        </w:rPr>
        <w:t> </w:t>
      </w:r>
      <w:r>
        <w:rPr/>
        <w:t>and</w:t>
      </w:r>
      <w:r>
        <w:rPr>
          <w:spacing w:val="30"/>
        </w:rPr>
        <w:t> </w:t>
      </w:r>
      <w:r>
        <w:rPr/>
        <w:t>build</w:t>
      </w:r>
      <w:r>
        <w:rPr>
          <w:spacing w:val="30"/>
        </w:rPr>
        <w:t> </w:t>
      </w:r>
      <w:r>
        <w:rPr/>
        <w:t>up</w:t>
      </w:r>
      <w:r>
        <w:rPr>
          <w:spacing w:val="30"/>
        </w:rPr>
        <w:t> </w:t>
      </w:r>
      <w:r>
        <w:rPr/>
        <w:t>of</w:t>
      </w:r>
      <w:r>
        <w:rPr>
          <w:spacing w:val="30"/>
        </w:rPr>
        <w:t> </w:t>
      </w:r>
      <w:r>
        <w:rPr/>
        <w:t>intellectual</w:t>
      </w:r>
      <w:r>
        <w:rPr>
          <w:spacing w:val="30"/>
        </w:rPr>
        <w:t> </w:t>
      </w:r>
      <w:r>
        <w:rPr/>
        <w:t>capital</w:t>
      </w:r>
      <w:r>
        <w:rPr>
          <w:spacing w:val="30"/>
        </w:rPr>
        <w:t> </w:t>
      </w:r>
      <w:r>
        <w:rPr/>
        <w:t>for</w:t>
      </w:r>
      <w:r>
        <w:rPr>
          <w:spacing w:val="30"/>
        </w:rPr>
        <w:t> </w:t>
      </w:r>
      <w:r>
        <w:rPr/>
        <w:t>the </w:t>
      </w:r>
      <w:r>
        <w:rPr>
          <w:spacing w:val="-2"/>
        </w:rPr>
        <w:t>welfare</w:t>
      </w:r>
      <w:r>
        <w:rPr>
          <w:spacing w:val="-12"/>
        </w:rPr>
        <w:t> </w:t>
      </w:r>
      <w:r>
        <w:rPr>
          <w:spacing w:val="-2"/>
        </w:rPr>
        <w:t>of</w:t>
      </w:r>
      <w:r>
        <w:rPr>
          <w:spacing w:val="-12"/>
        </w:rPr>
        <w:t> </w:t>
      </w:r>
      <w:r>
        <w:rPr>
          <w:spacing w:val="-2"/>
        </w:rPr>
        <w:t>the</w:t>
      </w:r>
      <w:r>
        <w:rPr>
          <w:spacing w:val="-12"/>
        </w:rPr>
        <w:t> </w:t>
      </w:r>
      <w:r>
        <w:rPr>
          <w:spacing w:val="-2"/>
        </w:rPr>
        <w:t>whole</w:t>
      </w:r>
      <w:r>
        <w:rPr>
          <w:spacing w:val="-11"/>
        </w:rPr>
        <w:t> </w:t>
      </w:r>
      <w:r>
        <w:rPr>
          <w:spacing w:val="-2"/>
        </w:rPr>
        <w:t>country.</w:t>
      </w:r>
      <w:r>
        <w:rPr>
          <w:spacing w:val="-12"/>
        </w:rPr>
        <w:t> </w:t>
      </w:r>
      <w:r>
        <w:rPr>
          <w:spacing w:val="-2"/>
        </w:rPr>
        <w:t>While</w:t>
      </w:r>
      <w:r>
        <w:rPr>
          <w:spacing w:val="-12"/>
        </w:rPr>
        <w:t> </w:t>
      </w:r>
      <w:r>
        <w:rPr>
          <w:spacing w:val="-2"/>
        </w:rPr>
        <w:t>medical</w:t>
      </w:r>
      <w:r>
        <w:rPr>
          <w:spacing w:val="-12"/>
        </w:rPr>
        <w:t> </w:t>
      </w:r>
      <w:r>
        <w:rPr>
          <w:spacing w:val="-2"/>
        </w:rPr>
        <w:t>education </w:t>
      </w:r>
      <w:r>
        <w:rPr/>
        <w:t>in</w:t>
      </w:r>
      <w:r>
        <w:rPr>
          <w:spacing w:val="-11"/>
        </w:rPr>
        <w:t> </w:t>
      </w:r>
      <w:r>
        <w:rPr/>
        <w:t>India</w:t>
      </w:r>
      <w:r>
        <w:rPr>
          <w:spacing w:val="-10"/>
        </w:rPr>
        <w:t> </w:t>
      </w:r>
      <w:r>
        <w:rPr/>
        <w:t>has</w:t>
      </w:r>
      <w:r>
        <w:rPr>
          <w:spacing w:val="-10"/>
        </w:rPr>
        <w:t> </w:t>
      </w:r>
      <w:r>
        <w:rPr/>
        <w:t>expanded</w:t>
      </w:r>
      <w:r>
        <w:rPr>
          <w:spacing w:val="-11"/>
        </w:rPr>
        <w:t> </w:t>
      </w:r>
      <w:r>
        <w:rPr/>
        <w:t>in</w:t>
      </w:r>
      <w:r>
        <w:rPr>
          <w:spacing w:val="-11"/>
        </w:rPr>
        <w:t> </w:t>
      </w:r>
      <w:r>
        <w:rPr/>
        <w:t>the</w:t>
      </w:r>
      <w:r>
        <w:rPr>
          <w:spacing w:val="-10"/>
        </w:rPr>
        <w:t> </w:t>
      </w:r>
      <w:r>
        <w:rPr/>
        <w:t>last</w:t>
      </w:r>
      <w:r>
        <w:rPr>
          <w:spacing w:val="-11"/>
        </w:rPr>
        <w:t> </w:t>
      </w:r>
      <w:r>
        <w:rPr/>
        <w:t>60</w:t>
      </w:r>
      <w:r>
        <w:rPr>
          <w:spacing w:val="-11"/>
        </w:rPr>
        <w:t> </w:t>
      </w:r>
      <w:r>
        <w:rPr/>
        <w:t>years,</w:t>
      </w:r>
      <w:r>
        <w:rPr>
          <w:spacing w:val="-11"/>
        </w:rPr>
        <w:t> </w:t>
      </w:r>
      <w:r>
        <w:rPr/>
        <w:t>it</w:t>
      </w:r>
      <w:r>
        <w:rPr>
          <w:spacing w:val="-11"/>
        </w:rPr>
        <w:t> </w:t>
      </w:r>
      <w:r>
        <w:rPr/>
        <w:t>continues to remain inadequate given the needs of the country. </w:t>
      </w:r>
      <w:r>
        <w:rPr>
          <w:spacing w:val="-2"/>
        </w:rPr>
        <w:t>This</w:t>
      </w:r>
      <w:r>
        <w:rPr>
          <w:spacing w:val="-8"/>
        </w:rPr>
        <w:t> </w:t>
      </w:r>
      <w:r>
        <w:rPr>
          <w:spacing w:val="-2"/>
        </w:rPr>
        <w:t>is</w:t>
      </w:r>
      <w:r>
        <w:rPr>
          <w:spacing w:val="-8"/>
        </w:rPr>
        <w:t> </w:t>
      </w:r>
      <w:r>
        <w:rPr>
          <w:spacing w:val="-2"/>
        </w:rPr>
        <w:t>reflected</w:t>
      </w:r>
      <w:r>
        <w:rPr>
          <w:spacing w:val="-8"/>
        </w:rPr>
        <w:t> </w:t>
      </w:r>
      <w:r>
        <w:rPr>
          <w:spacing w:val="-2"/>
        </w:rPr>
        <w:t>in</w:t>
      </w:r>
      <w:r>
        <w:rPr>
          <w:spacing w:val="-8"/>
        </w:rPr>
        <w:t> </w:t>
      </w:r>
      <w:r>
        <w:rPr>
          <w:spacing w:val="-2"/>
        </w:rPr>
        <w:t>the</w:t>
      </w:r>
      <w:r>
        <w:rPr>
          <w:spacing w:val="-8"/>
        </w:rPr>
        <w:t> </w:t>
      </w:r>
      <w:r>
        <w:rPr>
          <w:spacing w:val="-2"/>
        </w:rPr>
        <w:t>shortage</w:t>
      </w:r>
      <w:r>
        <w:rPr>
          <w:spacing w:val="-8"/>
        </w:rPr>
        <w:t> </w:t>
      </w:r>
      <w:r>
        <w:rPr>
          <w:spacing w:val="-2"/>
        </w:rPr>
        <w:t>of</w:t>
      </w:r>
      <w:r>
        <w:rPr>
          <w:spacing w:val="-8"/>
        </w:rPr>
        <w:t> </w:t>
      </w:r>
      <w:r>
        <w:rPr>
          <w:spacing w:val="-2"/>
        </w:rPr>
        <w:t>health</w:t>
      </w:r>
      <w:r>
        <w:rPr>
          <w:spacing w:val="-8"/>
        </w:rPr>
        <w:t> </w:t>
      </w:r>
      <w:r>
        <w:rPr>
          <w:spacing w:val="-2"/>
        </w:rPr>
        <w:t>professionals </w:t>
      </w:r>
      <w:r>
        <w:rPr/>
        <w:t>and</w:t>
      </w:r>
      <w:r>
        <w:rPr>
          <w:spacing w:val="40"/>
        </w:rPr>
        <w:t> </w:t>
      </w:r>
      <w:r>
        <w:rPr/>
        <w:t>health</w:t>
      </w:r>
      <w:r>
        <w:rPr>
          <w:spacing w:val="40"/>
        </w:rPr>
        <w:t> </w:t>
      </w:r>
      <w:r>
        <w:rPr/>
        <w:t>services,</w:t>
      </w:r>
      <w:r>
        <w:rPr>
          <w:spacing w:val="40"/>
        </w:rPr>
        <w:t> </w:t>
      </w:r>
      <w:r>
        <w:rPr/>
        <w:t>with</w:t>
      </w:r>
      <w:r>
        <w:rPr>
          <w:spacing w:val="40"/>
        </w:rPr>
        <w:t> </w:t>
      </w:r>
      <w:r>
        <w:rPr/>
        <w:t>wide</w:t>
      </w:r>
      <w:r>
        <w:rPr>
          <w:spacing w:val="40"/>
        </w:rPr>
        <w:t> </w:t>
      </w:r>
      <w:r>
        <w:rPr/>
        <w:t>disparities</w:t>
      </w:r>
      <w:r>
        <w:rPr>
          <w:spacing w:val="40"/>
        </w:rPr>
        <w:t> </w:t>
      </w:r>
      <w:r>
        <w:rPr/>
        <w:t>between rural</w:t>
      </w:r>
      <w:r>
        <w:rPr>
          <w:spacing w:val="-9"/>
        </w:rPr>
        <w:t> </w:t>
      </w:r>
      <w:r>
        <w:rPr/>
        <w:t>and</w:t>
      </w:r>
      <w:r>
        <w:rPr>
          <w:spacing w:val="-9"/>
        </w:rPr>
        <w:t> </w:t>
      </w:r>
      <w:r>
        <w:rPr/>
        <w:t>urban</w:t>
      </w:r>
      <w:r>
        <w:rPr>
          <w:spacing w:val="-9"/>
        </w:rPr>
        <w:t> </w:t>
      </w:r>
      <w:r>
        <w:rPr/>
        <w:t>areas</w:t>
      </w:r>
      <w:r>
        <w:rPr>
          <w:spacing w:val="-9"/>
        </w:rPr>
        <w:t> </w:t>
      </w:r>
      <w:r>
        <w:rPr/>
        <w:t>and</w:t>
      </w:r>
      <w:r>
        <w:rPr>
          <w:spacing w:val="-9"/>
        </w:rPr>
        <w:t> </w:t>
      </w:r>
      <w:r>
        <w:rPr/>
        <w:t>also</w:t>
      </w:r>
      <w:r>
        <w:rPr>
          <w:spacing w:val="-9"/>
        </w:rPr>
        <w:t> </w:t>
      </w:r>
      <w:r>
        <w:rPr/>
        <w:t>between</w:t>
      </w:r>
      <w:r>
        <w:rPr>
          <w:spacing w:val="-9"/>
        </w:rPr>
        <w:t> </w:t>
      </w:r>
      <w:r>
        <w:rPr/>
        <w:t>various</w:t>
      </w:r>
      <w:r>
        <w:rPr>
          <w:spacing w:val="-9"/>
        </w:rPr>
        <w:t> </w:t>
      </w:r>
      <w:r>
        <w:rPr/>
        <w:t>states. </w:t>
      </w:r>
      <w:r>
        <w:rPr>
          <w:spacing w:val="-2"/>
        </w:rPr>
        <w:t>There</w:t>
      </w:r>
      <w:r>
        <w:rPr>
          <w:spacing w:val="-9"/>
        </w:rPr>
        <w:t> </w:t>
      </w:r>
      <w:r>
        <w:rPr>
          <w:spacing w:val="-2"/>
        </w:rPr>
        <w:t>is</w:t>
      </w:r>
      <w:r>
        <w:rPr>
          <w:spacing w:val="-9"/>
        </w:rPr>
        <w:t> </w:t>
      </w:r>
      <w:r>
        <w:rPr>
          <w:spacing w:val="-2"/>
        </w:rPr>
        <w:t>thus</w:t>
      </w:r>
      <w:r>
        <w:rPr>
          <w:spacing w:val="-9"/>
        </w:rPr>
        <w:t> </w:t>
      </w:r>
      <w:r>
        <w:rPr>
          <w:spacing w:val="-2"/>
        </w:rPr>
        <w:t>an</w:t>
      </w:r>
      <w:r>
        <w:rPr>
          <w:spacing w:val="-9"/>
        </w:rPr>
        <w:t> </w:t>
      </w:r>
      <w:r>
        <w:rPr>
          <w:spacing w:val="-2"/>
        </w:rPr>
        <w:t>urgent</w:t>
      </w:r>
      <w:r>
        <w:rPr>
          <w:spacing w:val="-9"/>
        </w:rPr>
        <w:t> </w:t>
      </w:r>
      <w:r>
        <w:rPr>
          <w:spacing w:val="-2"/>
        </w:rPr>
        <w:t>need</w:t>
      </w:r>
      <w:r>
        <w:rPr>
          <w:spacing w:val="-9"/>
        </w:rPr>
        <w:t> </w:t>
      </w:r>
      <w:r>
        <w:rPr>
          <w:spacing w:val="-2"/>
        </w:rPr>
        <w:t>to</w:t>
      </w:r>
      <w:r>
        <w:rPr>
          <w:spacing w:val="-9"/>
        </w:rPr>
        <w:t> </w:t>
      </w:r>
      <w:r>
        <w:rPr>
          <w:spacing w:val="-2"/>
        </w:rPr>
        <w:t>expand</w:t>
      </w:r>
      <w:r>
        <w:rPr>
          <w:spacing w:val="-9"/>
        </w:rPr>
        <w:t> </w:t>
      </w:r>
      <w:r>
        <w:rPr>
          <w:spacing w:val="-2"/>
        </w:rPr>
        <w:t>India’s</w:t>
      </w:r>
      <w:r>
        <w:rPr>
          <w:spacing w:val="-9"/>
        </w:rPr>
        <w:t> </w:t>
      </w:r>
      <w:r>
        <w:rPr>
          <w:spacing w:val="-2"/>
        </w:rPr>
        <w:t>medical </w:t>
      </w:r>
      <w:r>
        <w:rPr/>
        <w:t>education</w:t>
      </w:r>
      <w:r>
        <w:rPr>
          <w:spacing w:val="19"/>
        </w:rPr>
        <w:t> </w:t>
      </w:r>
      <w:r>
        <w:rPr/>
        <w:t>system</w:t>
      </w:r>
      <w:r>
        <w:rPr>
          <w:spacing w:val="20"/>
        </w:rPr>
        <w:t> </w:t>
      </w:r>
      <w:r>
        <w:rPr/>
        <w:t>while</w:t>
      </w:r>
      <w:r>
        <w:rPr>
          <w:spacing w:val="19"/>
        </w:rPr>
        <w:t> </w:t>
      </w:r>
      <w:r>
        <w:rPr/>
        <w:t>keeping</w:t>
      </w:r>
      <w:r>
        <w:rPr>
          <w:spacing w:val="20"/>
        </w:rPr>
        <w:t> </w:t>
      </w:r>
      <w:r>
        <w:rPr/>
        <w:t>issues</w:t>
      </w:r>
      <w:r>
        <w:rPr>
          <w:spacing w:val="19"/>
        </w:rPr>
        <w:t> </w:t>
      </w:r>
      <w:r>
        <w:rPr/>
        <w:t>of</w:t>
      </w:r>
      <w:r>
        <w:rPr>
          <w:spacing w:val="20"/>
        </w:rPr>
        <w:t> </w:t>
      </w:r>
      <w:r>
        <w:rPr/>
        <w:t>quality</w:t>
      </w:r>
      <w:r>
        <w:rPr>
          <w:spacing w:val="19"/>
        </w:rPr>
        <w:t> </w:t>
      </w:r>
      <w:r>
        <w:rPr>
          <w:spacing w:val="-5"/>
        </w:rPr>
        <w:t>in</w:t>
      </w:r>
    </w:p>
    <w:p>
      <w:pPr>
        <w:pStyle w:val="BodyText"/>
        <w:spacing w:line="242" w:lineRule="exact"/>
        <w:ind w:left="1079"/>
      </w:pPr>
      <w:r>
        <w:rPr>
          <w:spacing w:val="-2"/>
        </w:rPr>
        <w:t>consideration.</w:t>
      </w:r>
    </w:p>
    <w:p>
      <w:pPr>
        <w:pStyle w:val="Heading6"/>
        <w:spacing w:before="214"/>
        <w:ind w:left="1080" w:firstLine="0"/>
      </w:pPr>
      <w:r>
        <w:rPr>
          <w:color w:val="2E614A"/>
          <w:w w:val="90"/>
        </w:rPr>
        <w:t>Current</w:t>
      </w:r>
      <w:r>
        <w:rPr>
          <w:color w:val="2E614A"/>
          <w:spacing w:val="-1"/>
          <w:w w:val="90"/>
        </w:rPr>
        <w:t> </w:t>
      </w:r>
      <w:r>
        <w:rPr>
          <w:color w:val="2E614A"/>
          <w:spacing w:val="-2"/>
        </w:rPr>
        <w:t>Scenario</w:t>
      </w:r>
    </w:p>
    <w:p>
      <w:pPr>
        <w:pStyle w:val="BodyText"/>
        <w:spacing w:line="266" w:lineRule="auto" w:before="285"/>
        <w:ind w:left="1079"/>
        <w:jc w:val="both"/>
      </w:pPr>
      <w:r>
        <w:rPr>
          <w:b/>
          <w:spacing w:val="-6"/>
        </w:rPr>
        <w:t>Enrolment: </w:t>
      </w:r>
      <w:r>
        <w:rPr>
          <w:spacing w:val="-6"/>
        </w:rPr>
        <w:t>The</w:t>
      </w:r>
      <w:r>
        <w:rPr>
          <w:spacing w:val="-8"/>
        </w:rPr>
        <w:t> </w:t>
      </w:r>
      <w:r>
        <w:rPr>
          <w:spacing w:val="-6"/>
        </w:rPr>
        <w:t>number</w:t>
      </w:r>
      <w:r>
        <w:rPr>
          <w:spacing w:val="-7"/>
        </w:rPr>
        <w:t> </w:t>
      </w:r>
      <w:r>
        <w:rPr>
          <w:spacing w:val="-6"/>
        </w:rPr>
        <w:t>of</w:t>
      </w:r>
      <w:r>
        <w:rPr>
          <w:spacing w:val="-8"/>
        </w:rPr>
        <w:t> </w:t>
      </w:r>
      <w:r>
        <w:rPr>
          <w:spacing w:val="-6"/>
        </w:rPr>
        <w:t>students</w:t>
      </w:r>
      <w:r>
        <w:rPr>
          <w:spacing w:val="-7"/>
        </w:rPr>
        <w:t> </w:t>
      </w:r>
      <w:r>
        <w:rPr>
          <w:spacing w:val="-6"/>
        </w:rPr>
        <w:t>enrolled</w:t>
      </w:r>
      <w:r>
        <w:rPr>
          <w:spacing w:val="-8"/>
        </w:rPr>
        <w:t> </w:t>
      </w:r>
      <w:r>
        <w:rPr>
          <w:spacing w:val="-6"/>
        </w:rPr>
        <w:t>in</w:t>
      </w:r>
      <w:r>
        <w:rPr>
          <w:spacing w:val="-7"/>
        </w:rPr>
        <w:t> </w:t>
      </w:r>
      <w:r>
        <w:rPr>
          <w:spacing w:val="-6"/>
        </w:rPr>
        <w:t>medical </w:t>
      </w:r>
      <w:r>
        <w:rPr/>
        <w:t>education has increased by around 85 per cent in the last ten years, from 1,88,187 in 1995-96 to 3,48,485 in 2005-06. However, enrolment in medicine as a proportion to total enrolment in higher education has barely</w:t>
      </w:r>
      <w:r>
        <w:rPr>
          <w:spacing w:val="-6"/>
        </w:rPr>
        <w:t> </w:t>
      </w:r>
      <w:r>
        <w:rPr/>
        <w:t>increased</w:t>
      </w:r>
      <w:r>
        <w:rPr>
          <w:spacing w:val="-6"/>
        </w:rPr>
        <w:t> </w:t>
      </w:r>
      <w:r>
        <w:rPr/>
        <w:t>–</w:t>
      </w:r>
      <w:r>
        <w:rPr>
          <w:spacing w:val="-6"/>
        </w:rPr>
        <w:t> </w:t>
      </w:r>
      <w:r>
        <w:rPr/>
        <w:t>it</w:t>
      </w:r>
      <w:r>
        <w:rPr>
          <w:spacing w:val="-6"/>
        </w:rPr>
        <w:t> </w:t>
      </w:r>
      <w:r>
        <w:rPr/>
        <w:t>has</w:t>
      </w:r>
      <w:r>
        <w:rPr>
          <w:spacing w:val="-6"/>
        </w:rPr>
        <w:t> </w:t>
      </w:r>
      <w:r>
        <w:rPr/>
        <w:t>changed</w:t>
      </w:r>
      <w:r>
        <w:rPr>
          <w:spacing w:val="-6"/>
        </w:rPr>
        <w:t> </w:t>
      </w:r>
      <w:r>
        <w:rPr/>
        <w:t>from</w:t>
      </w:r>
      <w:r>
        <w:rPr>
          <w:spacing w:val="-6"/>
        </w:rPr>
        <w:t> </w:t>
      </w:r>
      <w:r>
        <w:rPr/>
        <w:t>2.9</w:t>
      </w:r>
      <w:r>
        <w:rPr>
          <w:spacing w:val="-6"/>
        </w:rPr>
        <w:t> </w:t>
      </w:r>
      <w:r>
        <w:rPr/>
        <w:t>per</w:t>
      </w:r>
      <w:r>
        <w:rPr>
          <w:spacing w:val="-6"/>
        </w:rPr>
        <w:t> </w:t>
      </w:r>
      <w:r>
        <w:rPr/>
        <w:t>cent</w:t>
      </w:r>
      <w:r>
        <w:rPr>
          <w:spacing w:val="-6"/>
        </w:rPr>
        <w:t> </w:t>
      </w:r>
      <w:r>
        <w:rPr/>
        <w:t>in 1995-96 to 3.1 per cent in 2005-06.</w:t>
      </w:r>
    </w:p>
    <w:p>
      <w:pPr>
        <w:pStyle w:val="BodyText"/>
        <w:spacing w:line="266" w:lineRule="auto" w:before="156"/>
        <w:ind w:left="319" w:right="1077"/>
        <w:jc w:val="both"/>
      </w:pPr>
      <w:r>
        <w:rPr/>
        <w:br w:type="column"/>
      </w:r>
      <w:r>
        <w:rPr>
          <w:b/>
        </w:rPr>
        <w:t>Institutions: </w:t>
      </w:r>
      <w:r>
        <w:rPr/>
        <w:t>The total number of medical </w:t>
      </w:r>
      <w:r>
        <w:rPr/>
        <w:t>colleges (allopathy, ayurveda, homeopathy, unani, dental, nursing</w:t>
      </w:r>
      <w:r>
        <w:rPr>
          <w:spacing w:val="39"/>
        </w:rPr>
        <w:t> </w:t>
      </w:r>
      <w:r>
        <w:rPr/>
        <w:t>and</w:t>
      </w:r>
      <w:r>
        <w:rPr>
          <w:spacing w:val="39"/>
        </w:rPr>
        <w:t> </w:t>
      </w:r>
      <w:r>
        <w:rPr/>
        <w:t>pharmacy)</w:t>
      </w:r>
      <w:r>
        <w:rPr>
          <w:spacing w:val="39"/>
        </w:rPr>
        <w:t> </w:t>
      </w:r>
      <w:r>
        <w:rPr/>
        <w:t>put</w:t>
      </w:r>
      <w:r>
        <w:rPr>
          <w:spacing w:val="39"/>
        </w:rPr>
        <w:t> </w:t>
      </w:r>
      <w:r>
        <w:rPr/>
        <w:t>together</w:t>
      </w:r>
      <w:r>
        <w:rPr>
          <w:spacing w:val="39"/>
        </w:rPr>
        <w:t> </w:t>
      </w:r>
      <w:r>
        <w:rPr/>
        <w:t>stood</w:t>
      </w:r>
      <w:r>
        <w:rPr>
          <w:spacing w:val="39"/>
        </w:rPr>
        <w:t> </w:t>
      </w:r>
      <w:r>
        <w:rPr/>
        <w:t>at</w:t>
      </w:r>
      <w:r>
        <w:rPr>
          <w:spacing w:val="39"/>
        </w:rPr>
        <w:t> </w:t>
      </w:r>
      <w:r>
        <w:rPr/>
        <w:t>2092 in 2005-06. This was a sharp increase from just 817 medical colleges in 2004-05.</w:t>
      </w:r>
    </w:p>
    <w:p>
      <w:pPr>
        <w:pStyle w:val="BodyText"/>
        <w:spacing w:before="23"/>
      </w:pPr>
    </w:p>
    <w:p>
      <w:pPr>
        <w:pStyle w:val="BodyText"/>
        <w:spacing w:line="266" w:lineRule="auto"/>
        <w:ind w:left="319" w:right="1077"/>
        <w:jc w:val="both"/>
      </w:pPr>
      <w:r>
        <w:rPr>
          <w:i/>
          <w:spacing w:val="-8"/>
        </w:rPr>
        <w:t>Allopathic</w:t>
      </w:r>
      <w:r>
        <w:rPr>
          <w:i/>
          <w:spacing w:val="-1"/>
        </w:rPr>
        <w:t> </w:t>
      </w:r>
      <w:r>
        <w:rPr>
          <w:i/>
          <w:spacing w:val="-8"/>
        </w:rPr>
        <w:t>Medical</w:t>
      </w:r>
      <w:r>
        <w:rPr>
          <w:i/>
          <w:spacing w:val="-1"/>
        </w:rPr>
        <w:t> </w:t>
      </w:r>
      <w:r>
        <w:rPr>
          <w:i/>
          <w:spacing w:val="-8"/>
        </w:rPr>
        <w:t>Colleges:</w:t>
      </w:r>
      <w:r>
        <w:rPr>
          <w:i/>
          <w:spacing w:val="-1"/>
        </w:rPr>
        <w:t> </w:t>
      </w:r>
      <w:r>
        <w:rPr>
          <w:spacing w:val="-8"/>
        </w:rPr>
        <w:t>As</w:t>
      </w:r>
      <w:r>
        <w:rPr>
          <w:spacing w:val="-1"/>
        </w:rPr>
        <w:t> </w:t>
      </w:r>
      <w:r>
        <w:rPr>
          <w:spacing w:val="-8"/>
        </w:rPr>
        <w:t>of</w:t>
      </w:r>
      <w:r>
        <w:rPr>
          <w:spacing w:val="-1"/>
        </w:rPr>
        <w:t> </w:t>
      </w:r>
      <w:r>
        <w:rPr>
          <w:spacing w:val="-8"/>
        </w:rPr>
        <w:t>2006,</w:t>
      </w:r>
      <w:r>
        <w:rPr>
          <w:spacing w:val="-1"/>
        </w:rPr>
        <w:t> </w:t>
      </w:r>
      <w:r>
        <w:rPr>
          <w:spacing w:val="-8"/>
        </w:rPr>
        <w:t>there</w:t>
      </w:r>
      <w:r>
        <w:rPr>
          <w:spacing w:val="-1"/>
        </w:rPr>
        <w:t> </w:t>
      </w:r>
      <w:r>
        <w:rPr>
          <w:spacing w:val="-8"/>
        </w:rPr>
        <w:t>were</w:t>
      </w:r>
      <w:r>
        <w:rPr>
          <w:spacing w:val="-1"/>
        </w:rPr>
        <w:t> </w:t>
      </w:r>
      <w:r>
        <w:rPr>
          <w:spacing w:val="-8"/>
        </w:rPr>
        <w:t>262 </w:t>
      </w:r>
      <w:r>
        <w:rPr>
          <w:spacing w:val="-4"/>
        </w:rPr>
        <w:t>allopathic</w:t>
      </w:r>
      <w:r>
        <w:rPr>
          <w:spacing w:val="-6"/>
        </w:rPr>
        <w:t> </w:t>
      </w:r>
      <w:r>
        <w:rPr>
          <w:spacing w:val="-4"/>
        </w:rPr>
        <w:t>medical</w:t>
      </w:r>
      <w:r>
        <w:rPr>
          <w:spacing w:val="-6"/>
        </w:rPr>
        <w:t> </w:t>
      </w:r>
      <w:r>
        <w:rPr>
          <w:spacing w:val="-4"/>
        </w:rPr>
        <w:t>colleges</w:t>
      </w:r>
      <w:r>
        <w:rPr>
          <w:spacing w:val="-6"/>
        </w:rPr>
        <w:t> </w:t>
      </w:r>
      <w:r>
        <w:rPr>
          <w:spacing w:val="-4"/>
        </w:rPr>
        <w:t>in</w:t>
      </w:r>
      <w:r>
        <w:rPr>
          <w:spacing w:val="-6"/>
        </w:rPr>
        <w:t> </w:t>
      </w:r>
      <w:r>
        <w:rPr>
          <w:spacing w:val="-4"/>
        </w:rPr>
        <w:t>the</w:t>
      </w:r>
      <w:r>
        <w:rPr>
          <w:spacing w:val="-6"/>
        </w:rPr>
        <w:t> </w:t>
      </w:r>
      <w:r>
        <w:rPr>
          <w:spacing w:val="-4"/>
        </w:rPr>
        <w:t>country,</w:t>
      </w:r>
      <w:r>
        <w:rPr>
          <w:spacing w:val="-6"/>
        </w:rPr>
        <w:t> </w:t>
      </w:r>
      <w:r>
        <w:rPr>
          <w:spacing w:val="-4"/>
        </w:rPr>
        <w:t>out</w:t>
      </w:r>
      <w:r>
        <w:rPr>
          <w:spacing w:val="-6"/>
        </w:rPr>
        <w:t> </w:t>
      </w:r>
      <w:r>
        <w:rPr>
          <w:spacing w:val="-4"/>
        </w:rPr>
        <w:t>of</w:t>
      </w:r>
      <w:r>
        <w:rPr>
          <w:spacing w:val="-6"/>
        </w:rPr>
        <w:t> </w:t>
      </w:r>
      <w:r>
        <w:rPr>
          <w:spacing w:val="-4"/>
        </w:rPr>
        <w:t>which </w:t>
      </w:r>
      <w:r>
        <w:rPr>
          <w:w w:val="90"/>
        </w:rPr>
        <w:t>174 medical colleges were recognised under Section 11(2) </w:t>
      </w:r>
      <w:r>
        <w:rPr>
          <w:spacing w:val="-4"/>
        </w:rPr>
        <w:t>of</w:t>
      </w:r>
      <w:r>
        <w:rPr>
          <w:spacing w:val="-10"/>
        </w:rPr>
        <w:t> </w:t>
      </w:r>
      <w:r>
        <w:rPr>
          <w:spacing w:val="-4"/>
        </w:rPr>
        <w:t>the</w:t>
      </w:r>
      <w:r>
        <w:rPr>
          <w:spacing w:val="-8"/>
        </w:rPr>
        <w:t> </w:t>
      </w:r>
      <w:r>
        <w:rPr>
          <w:spacing w:val="-4"/>
        </w:rPr>
        <w:t>IMC</w:t>
      </w:r>
      <w:r>
        <w:rPr>
          <w:spacing w:val="-6"/>
        </w:rPr>
        <w:t> </w:t>
      </w:r>
      <w:r>
        <w:rPr>
          <w:spacing w:val="-4"/>
        </w:rPr>
        <w:t>Act,</w:t>
      </w:r>
      <w:r>
        <w:rPr>
          <w:spacing w:val="-6"/>
        </w:rPr>
        <w:t> </w:t>
      </w:r>
      <w:r>
        <w:rPr>
          <w:spacing w:val="-4"/>
        </w:rPr>
        <w:t>1956</w:t>
      </w:r>
      <w:r>
        <w:rPr>
          <w:spacing w:val="-6"/>
        </w:rPr>
        <w:t> </w:t>
      </w:r>
      <w:r>
        <w:rPr>
          <w:spacing w:val="-4"/>
        </w:rPr>
        <w:t>by</w:t>
      </w:r>
      <w:r>
        <w:rPr>
          <w:spacing w:val="-6"/>
        </w:rPr>
        <w:t> </w:t>
      </w:r>
      <w:r>
        <w:rPr>
          <w:spacing w:val="-4"/>
        </w:rPr>
        <w:t>Medical</w:t>
      </w:r>
      <w:r>
        <w:rPr>
          <w:spacing w:val="-6"/>
        </w:rPr>
        <w:t> </w:t>
      </w:r>
      <w:r>
        <w:rPr>
          <w:spacing w:val="-4"/>
        </w:rPr>
        <w:t>Council</w:t>
      </w:r>
      <w:r>
        <w:rPr>
          <w:spacing w:val="-6"/>
        </w:rPr>
        <w:t> </w:t>
      </w:r>
      <w:r>
        <w:rPr>
          <w:spacing w:val="-4"/>
        </w:rPr>
        <w:t>of</w:t>
      </w:r>
      <w:r>
        <w:rPr>
          <w:spacing w:val="-6"/>
        </w:rPr>
        <w:t> </w:t>
      </w:r>
      <w:r>
        <w:rPr>
          <w:spacing w:val="-4"/>
        </w:rPr>
        <w:t>India.</w:t>
      </w:r>
      <w:r>
        <w:rPr>
          <w:spacing w:val="-10"/>
        </w:rPr>
        <w:t> </w:t>
      </w:r>
      <w:r>
        <w:rPr>
          <w:spacing w:val="-4"/>
        </w:rPr>
        <w:t>The remaining 88 colleges are permitted under Section 10A </w:t>
      </w:r>
      <w:r>
        <w:rPr>
          <w:spacing w:val="-6"/>
        </w:rPr>
        <w:t>of</w:t>
      </w:r>
      <w:r>
        <w:rPr>
          <w:spacing w:val="-7"/>
        </w:rPr>
        <w:t> </w:t>
      </w:r>
      <w:r>
        <w:rPr>
          <w:spacing w:val="-6"/>
        </w:rPr>
        <w:t>the</w:t>
      </w:r>
      <w:r>
        <w:rPr>
          <w:spacing w:val="-7"/>
        </w:rPr>
        <w:t> </w:t>
      </w:r>
      <w:r>
        <w:rPr>
          <w:spacing w:val="-6"/>
        </w:rPr>
        <w:t>IMC</w:t>
      </w:r>
      <w:r>
        <w:rPr>
          <w:spacing w:val="-7"/>
        </w:rPr>
        <w:t> </w:t>
      </w:r>
      <w:r>
        <w:rPr>
          <w:spacing w:val="-6"/>
        </w:rPr>
        <w:t>Act,</w:t>
      </w:r>
      <w:r>
        <w:rPr>
          <w:spacing w:val="-7"/>
        </w:rPr>
        <w:t> </w:t>
      </w:r>
      <w:r>
        <w:rPr>
          <w:spacing w:val="-6"/>
        </w:rPr>
        <w:t>1956</w:t>
      </w:r>
      <w:r>
        <w:rPr>
          <w:spacing w:val="-7"/>
        </w:rPr>
        <w:t> </w:t>
      </w:r>
      <w:r>
        <w:rPr>
          <w:spacing w:val="-6"/>
        </w:rPr>
        <w:t>for</w:t>
      </w:r>
      <w:r>
        <w:rPr>
          <w:spacing w:val="-7"/>
        </w:rPr>
        <w:t> </w:t>
      </w:r>
      <w:r>
        <w:rPr>
          <w:spacing w:val="-6"/>
        </w:rPr>
        <w:t>starting</w:t>
      </w:r>
      <w:r>
        <w:rPr>
          <w:spacing w:val="-7"/>
        </w:rPr>
        <w:t> </w:t>
      </w:r>
      <w:r>
        <w:rPr>
          <w:spacing w:val="-6"/>
        </w:rPr>
        <w:t>MBBS</w:t>
      </w:r>
      <w:r>
        <w:rPr>
          <w:spacing w:val="-7"/>
        </w:rPr>
        <w:t> </w:t>
      </w:r>
      <w:r>
        <w:rPr>
          <w:spacing w:val="-6"/>
        </w:rPr>
        <w:t>courses.</w:t>
      </w:r>
      <w:r>
        <w:rPr>
          <w:spacing w:val="-7"/>
        </w:rPr>
        <w:t> </w:t>
      </w:r>
      <w:r>
        <w:rPr>
          <w:spacing w:val="-6"/>
        </w:rPr>
        <w:t>Out</w:t>
      </w:r>
      <w:r>
        <w:rPr>
          <w:spacing w:val="-7"/>
        </w:rPr>
        <w:t> </w:t>
      </w:r>
      <w:r>
        <w:rPr>
          <w:spacing w:val="-6"/>
        </w:rPr>
        <w:t>of the 262 medical colleges, 131 were government medical </w:t>
      </w:r>
      <w:r>
        <w:rPr>
          <w:w w:val="90"/>
        </w:rPr>
        <w:t>colleges,</w:t>
      </w:r>
      <w:r>
        <w:rPr>
          <w:spacing w:val="-5"/>
          <w:w w:val="90"/>
        </w:rPr>
        <w:t> </w:t>
      </w:r>
      <w:r>
        <w:rPr>
          <w:w w:val="90"/>
        </w:rPr>
        <w:t>and</w:t>
      </w:r>
      <w:r>
        <w:rPr>
          <w:spacing w:val="-5"/>
          <w:w w:val="90"/>
        </w:rPr>
        <w:t> </w:t>
      </w:r>
      <w:r>
        <w:rPr>
          <w:w w:val="90"/>
        </w:rPr>
        <w:t>remaining</w:t>
      </w:r>
      <w:r>
        <w:rPr>
          <w:spacing w:val="-5"/>
          <w:w w:val="90"/>
        </w:rPr>
        <w:t> </w:t>
      </w:r>
      <w:r>
        <w:rPr>
          <w:w w:val="90"/>
        </w:rPr>
        <w:t>131</w:t>
      </w:r>
      <w:r>
        <w:rPr>
          <w:spacing w:val="-5"/>
          <w:w w:val="90"/>
        </w:rPr>
        <w:t> </w:t>
      </w:r>
      <w:r>
        <w:rPr>
          <w:w w:val="90"/>
        </w:rPr>
        <w:t>were</w:t>
      </w:r>
      <w:r>
        <w:rPr>
          <w:spacing w:val="-5"/>
          <w:w w:val="90"/>
        </w:rPr>
        <w:t> </w:t>
      </w:r>
      <w:r>
        <w:rPr>
          <w:w w:val="90"/>
        </w:rPr>
        <w:t>private</w:t>
      </w:r>
      <w:r>
        <w:rPr>
          <w:spacing w:val="-5"/>
          <w:w w:val="90"/>
        </w:rPr>
        <w:t> </w:t>
      </w:r>
      <w:r>
        <w:rPr>
          <w:w w:val="90"/>
        </w:rPr>
        <w:t>medical</w:t>
      </w:r>
      <w:r>
        <w:rPr>
          <w:spacing w:val="-5"/>
          <w:w w:val="90"/>
        </w:rPr>
        <w:t> </w:t>
      </w:r>
      <w:r>
        <w:rPr>
          <w:w w:val="90"/>
        </w:rPr>
        <w:t>colleges. </w:t>
      </w:r>
      <w:r>
        <w:rPr>
          <w:spacing w:val="-8"/>
        </w:rPr>
        <w:t>The</w:t>
      </w:r>
      <w:r>
        <w:rPr>
          <w:spacing w:val="-6"/>
        </w:rPr>
        <w:t> </w:t>
      </w:r>
      <w:r>
        <w:rPr>
          <w:spacing w:val="-8"/>
        </w:rPr>
        <w:t>admission</w:t>
      </w:r>
      <w:r>
        <w:rPr>
          <w:spacing w:val="-6"/>
        </w:rPr>
        <w:t> </w:t>
      </w:r>
      <w:r>
        <w:rPr>
          <w:spacing w:val="-8"/>
        </w:rPr>
        <w:t>capacity</w:t>
      </w:r>
      <w:r>
        <w:rPr>
          <w:spacing w:val="-6"/>
        </w:rPr>
        <w:t> </w:t>
      </w:r>
      <w:r>
        <w:rPr>
          <w:spacing w:val="-8"/>
        </w:rPr>
        <w:t>in</w:t>
      </w:r>
      <w:r>
        <w:rPr>
          <w:spacing w:val="-5"/>
        </w:rPr>
        <w:t> </w:t>
      </w:r>
      <w:r>
        <w:rPr>
          <w:spacing w:val="-8"/>
        </w:rPr>
        <w:t>these</w:t>
      </w:r>
      <w:r>
        <w:rPr>
          <w:spacing w:val="-6"/>
        </w:rPr>
        <w:t> </w:t>
      </w:r>
      <w:r>
        <w:rPr>
          <w:spacing w:val="-8"/>
        </w:rPr>
        <w:t>colleges</w:t>
      </w:r>
      <w:r>
        <w:rPr>
          <w:spacing w:val="-6"/>
        </w:rPr>
        <w:t> </w:t>
      </w:r>
      <w:r>
        <w:rPr>
          <w:spacing w:val="-8"/>
        </w:rPr>
        <w:t>is</w:t>
      </w:r>
      <w:r>
        <w:rPr>
          <w:spacing w:val="-6"/>
        </w:rPr>
        <w:t> </w:t>
      </w:r>
      <w:r>
        <w:rPr>
          <w:spacing w:val="-8"/>
        </w:rPr>
        <w:t>approximately </w:t>
      </w:r>
      <w:r>
        <w:rPr>
          <w:spacing w:val="-6"/>
        </w:rPr>
        <w:t>29,172</w:t>
      </w:r>
      <w:r>
        <w:rPr>
          <w:spacing w:val="-10"/>
        </w:rPr>
        <w:t> </w:t>
      </w:r>
      <w:r>
        <w:rPr>
          <w:spacing w:val="-6"/>
        </w:rPr>
        <w:t>students</w:t>
      </w:r>
      <w:r>
        <w:rPr>
          <w:spacing w:val="-8"/>
        </w:rPr>
        <w:t> </w:t>
      </w:r>
      <w:r>
        <w:rPr>
          <w:spacing w:val="-6"/>
        </w:rPr>
        <w:t>per</w:t>
      </w:r>
      <w:r>
        <w:rPr>
          <w:spacing w:val="-8"/>
        </w:rPr>
        <w:t> </w:t>
      </w:r>
      <w:r>
        <w:rPr>
          <w:spacing w:val="-6"/>
        </w:rPr>
        <w:t>year.</w:t>
      </w:r>
      <w:r>
        <w:rPr>
          <w:spacing w:val="-7"/>
        </w:rPr>
        <w:t> </w:t>
      </w:r>
      <w:r>
        <w:rPr>
          <w:spacing w:val="-6"/>
        </w:rPr>
        <w:t>The</w:t>
      </w:r>
      <w:r>
        <w:rPr>
          <w:spacing w:val="-8"/>
        </w:rPr>
        <w:t> </w:t>
      </w:r>
      <w:r>
        <w:rPr>
          <w:spacing w:val="-6"/>
        </w:rPr>
        <w:t>increase</w:t>
      </w:r>
      <w:r>
        <w:rPr>
          <w:spacing w:val="-8"/>
        </w:rPr>
        <w:t> </w:t>
      </w:r>
      <w:r>
        <w:rPr>
          <w:spacing w:val="-6"/>
        </w:rPr>
        <w:t>in</w:t>
      </w:r>
      <w:r>
        <w:rPr>
          <w:spacing w:val="-8"/>
        </w:rPr>
        <w:t> </w:t>
      </w:r>
      <w:r>
        <w:rPr>
          <w:spacing w:val="-6"/>
        </w:rPr>
        <w:t>private</w:t>
      </w:r>
      <w:r>
        <w:rPr>
          <w:spacing w:val="-7"/>
        </w:rPr>
        <w:t> </w:t>
      </w:r>
      <w:r>
        <w:rPr>
          <w:spacing w:val="-6"/>
        </w:rPr>
        <w:t>medical </w:t>
      </w:r>
      <w:r>
        <w:rPr>
          <w:spacing w:val="-2"/>
        </w:rPr>
        <w:t>colleges</w:t>
      </w:r>
      <w:r>
        <w:rPr>
          <w:spacing w:val="-12"/>
        </w:rPr>
        <w:t> </w:t>
      </w:r>
      <w:r>
        <w:rPr>
          <w:spacing w:val="-2"/>
        </w:rPr>
        <w:t>has</w:t>
      </w:r>
      <w:r>
        <w:rPr>
          <w:spacing w:val="-11"/>
        </w:rPr>
        <w:t> </w:t>
      </w:r>
      <w:r>
        <w:rPr>
          <w:spacing w:val="-2"/>
        </w:rPr>
        <w:t>been</w:t>
      </w:r>
      <w:r>
        <w:rPr>
          <w:spacing w:val="-12"/>
        </w:rPr>
        <w:t> </w:t>
      </w:r>
      <w:r>
        <w:rPr>
          <w:spacing w:val="-2"/>
        </w:rPr>
        <w:t>sharp</w:t>
      </w:r>
      <w:r>
        <w:rPr>
          <w:spacing w:val="-11"/>
        </w:rPr>
        <w:t> </w:t>
      </w:r>
      <w:r>
        <w:rPr>
          <w:spacing w:val="-2"/>
        </w:rPr>
        <w:t>–</w:t>
      </w:r>
      <w:r>
        <w:rPr>
          <w:spacing w:val="-12"/>
        </w:rPr>
        <w:t> </w:t>
      </w:r>
      <w:r>
        <w:rPr>
          <w:spacing w:val="-2"/>
        </w:rPr>
        <w:t>they</w:t>
      </w:r>
      <w:r>
        <w:rPr>
          <w:spacing w:val="-11"/>
        </w:rPr>
        <w:t> </w:t>
      </w:r>
      <w:r>
        <w:rPr>
          <w:spacing w:val="-2"/>
        </w:rPr>
        <w:t>grew</w:t>
      </w:r>
      <w:r>
        <w:rPr>
          <w:spacing w:val="-12"/>
        </w:rPr>
        <w:t> </w:t>
      </w:r>
      <w:r>
        <w:rPr>
          <w:spacing w:val="-2"/>
        </w:rPr>
        <w:t>from</w:t>
      </w:r>
      <w:r>
        <w:rPr>
          <w:spacing w:val="-11"/>
        </w:rPr>
        <w:t> </w:t>
      </w:r>
      <w:r>
        <w:rPr>
          <w:spacing w:val="-2"/>
        </w:rPr>
        <w:t>47</w:t>
      </w:r>
      <w:r>
        <w:rPr>
          <w:spacing w:val="-12"/>
        </w:rPr>
        <w:t> </w:t>
      </w:r>
      <w:r>
        <w:rPr>
          <w:spacing w:val="-2"/>
        </w:rPr>
        <w:t>in</w:t>
      </w:r>
      <w:r>
        <w:rPr>
          <w:spacing w:val="-11"/>
        </w:rPr>
        <w:t> </w:t>
      </w:r>
      <w:r>
        <w:rPr>
          <w:spacing w:val="-2"/>
        </w:rPr>
        <w:t>1995</w:t>
      </w:r>
      <w:r>
        <w:rPr>
          <w:spacing w:val="-12"/>
        </w:rPr>
        <w:t> </w:t>
      </w:r>
      <w:r>
        <w:rPr>
          <w:spacing w:val="-2"/>
        </w:rPr>
        <w:t>to </w:t>
      </w:r>
      <w:r>
        <w:rPr>
          <w:spacing w:val="-8"/>
        </w:rPr>
        <w:t>131</w:t>
      </w:r>
      <w:r>
        <w:rPr>
          <w:spacing w:val="-3"/>
        </w:rPr>
        <w:t> </w:t>
      </w:r>
      <w:r>
        <w:rPr>
          <w:spacing w:val="-8"/>
        </w:rPr>
        <w:t>in</w:t>
      </w:r>
      <w:r>
        <w:rPr>
          <w:spacing w:val="-3"/>
        </w:rPr>
        <w:t> </w:t>
      </w:r>
      <w:r>
        <w:rPr>
          <w:spacing w:val="-8"/>
        </w:rPr>
        <w:t>2006.</w:t>
      </w:r>
      <w:r>
        <w:rPr>
          <w:spacing w:val="-3"/>
        </w:rPr>
        <w:t> </w:t>
      </w:r>
      <w:r>
        <w:rPr>
          <w:spacing w:val="-8"/>
        </w:rPr>
        <w:t>In</w:t>
      </w:r>
      <w:r>
        <w:rPr>
          <w:spacing w:val="-3"/>
        </w:rPr>
        <w:t> </w:t>
      </w:r>
      <w:r>
        <w:rPr>
          <w:spacing w:val="-8"/>
        </w:rPr>
        <w:t>the</w:t>
      </w:r>
      <w:r>
        <w:rPr>
          <w:spacing w:val="-3"/>
        </w:rPr>
        <w:t> </w:t>
      </w:r>
      <w:r>
        <w:rPr>
          <w:spacing w:val="-8"/>
        </w:rPr>
        <w:t>same</w:t>
      </w:r>
      <w:r>
        <w:rPr>
          <w:spacing w:val="-3"/>
        </w:rPr>
        <w:t> </w:t>
      </w:r>
      <w:r>
        <w:rPr>
          <w:spacing w:val="-8"/>
        </w:rPr>
        <w:t>period,</w:t>
      </w:r>
      <w:r>
        <w:rPr>
          <w:spacing w:val="-3"/>
        </w:rPr>
        <w:t> </w:t>
      </w:r>
      <w:r>
        <w:rPr>
          <w:spacing w:val="-8"/>
        </w:rPr>
        <w:t>government</w:t>
      </w:r>
      <w:r>
        <w:rPr>
          <w:spacing w:val="-3"/>
        </w:rPr>
        <w:t> </w:t>
      </w:r>
      <w:r>
        <w:rPr>
          <w:spacing w:val="-8"/>
        </w:rPr>
        <w:t>run</w:t>
      </w:r>
      <w:r>
        <w:rPr>
          <w:spacing w:val="-3"/>
        </w:rPr>
        <w:t> </w:t>
      </w:r>
      <w:r>
        <w:rPr>
          <w:spacing w:val="-8"/>
        </w:rPr>
        <w:t>medical </w:t>
      </w:r>
      <w:r>
        <w:rPr>
          <w:spacing w:val="-2"/>
        </w:rPr>
        <w:t>colleges</w:t>
      </w:r>
      <w:r>
        <w:rPr>
          <w:spacing w:val="-11"/>
        </w:rPr>
        <w:t> </w:t>
      </w:r>
      <w:r>
        <w:rPr>
          <w:spacing w:val="-2"/>
        </w:rPr>
        <w:t>have</w:t>
      </w:r>
      <w:r>
        <w:rPr>
          <w:spacing w:val="-11"/>
        </w:rPr>
        <w:t> </w:t>
      </w:r>
      <w:r>
        <w:rPr>
          <w:spacing w:val="-2"/>
        </w:rPr>
        <w:t>increased</w:t>
      </w:r>
      <w:r>
        <w:rPr>
          <w:spacing w:val="-11"/>
        </w:rPr>
        <w:t> </w:t>
      </w:r>
      <w:r>
        <w:rPr>
          <w:spacing w:val="-2"/>
        </w:rPr>
        <w:t>only</w:t>
      </w:r>
      <w:r>
        <w:rPr>
          <w:spacing w:val="-11"/>
        </w:rPr>
        <w:t> </w:t>
      </w:r>
      <w:r>
        <w:rPr>
          <w:spacing w:val="-2"/>
        </w:rPr>
        <w:t>from</w:t>
      </w:r>
      <w:r>
        <w:rPr>
          <w:spacing w:val="-11"/>
        </w:rPr>
        <w:t> </w:t>
      </w:r>
      <w:r>
        <w:rPr>
          <w:spacing w:val="-2"/>
        </w:rPr>
        <w:t>109</w:t>
      </w:r>
      <w:r>
        <w:rPr>
          <w:spacing w:val="-11"/>
        </w:rPr>
        <w:t> </w:t>
      </w:r>
      <w:r>
        <w:rPr>
          <w:spacing w:val="-2"/>
        </w:rPr>
        <w:t>to</w:t>
      </w:r>
      <w:r>
        <w:rPr>
          <w:spacing w:val="-11"/>
        </w:rPr>
        <w:t> </w:t>
      </w:r>
      <w:r>
        <w:rPr>
          <w:spacing w:val="-2"/>
        </w:rPr>
        <w:t>131.</w:t>
      </w:r>
    </w:p>
    <w:p>
      <w:pPr>
        <w:pStyle w:val="BodyText"/>
        <w:spacing w:before="16"/>
      </w:pPr>
    </w:p>
    <w:p>
      <w:pPr>
        <w:pStyle w:val="BodyText"/>
        <w:spacing w:line="266" w:lineRule="auto"/>
        <w:ind w:left="319" w:right="1077"/>
        <w:jc w:val="both"/>
      </w:pPr>
      <w:r>
        <w:rPr>
          <w:i/>
          <w:spacing w:val="-4"/>
          <w:w w:val="90"/>
        </w:rPr>
        <w:t>AYUSH</w:t>
      </w:r>
      <w:r>
        <w:rPr>
          <w:i/>
          <w:spacing w:val="-5"/>
          <w:w w:val="90"/>
        </w:rPr>
        <w:t> </w:t>
      </w:r>
      <w:r>
        <w:rPr>
          <w:i/>
          <w:spacing w:val="-4"/>
          <w:w w:val="90"/>
        </w:rPr>
        <w:t>Medical</w:t>
      </w:r>
      <w:r>
        <w:rPr>
          <w:i/>
          <w:spacing w:val="-9"/>
        </w:rPr>
        <w:t> </w:t>
      </w:r>
      <w:r>
        <w:rPr>
          <w:i/>
          <w:spacing w:val="-4"/>
          <w:w w:val="90"/>
        </w:rPr>
        <w:t>Colleges:</w:t>
      </w:r>
      <w:r>
        <w:rPr>
          <w:i/>
          <w:spacing w:val="-5"/>
          <w:w w:val="90"/>
        </w:rPr>
        <w:t> </w:t>
      </w:r>
      <w:r>
        <w:rPr>
          <w:spacing w:val="-4"/>
          <w:w w:val="90"/>
        </w:rPr>
        <w:t>Ayurveda,</w:t>
      </w:r>
      <w:r>
        <w:rPr>
          <w:spacing w:val="-9"/>
        </w:rPr>
        <w:t> </w:t>
      </w:r>
      <w:r>
        <w:rPr>
          <w:spacing w:val="-4"/>
          <w:w w:val="90"/>
        </w:rPr>
        <w:t>Yoga</w:t>
      </w:r>
      <w:r>
        <w:rPr>
          <w:spacing w:val="-5"/>
          <w:w w:val="90"/>
        </w:rPr>
        <w:t> </w:t>
      </w:r>
      <w:r>
        <w:rPr>
          <w:spacing w:val="-4"/>
          <w:w w:val="90"/>
        </w:rPr>
        <w:t>and</w:t>
      </w:r>
      <w:r>
        <w:rPr>
          <w:spacing w:val="-9"/>
        </w:rPr>
        <w:t> </w:t>
      </w:r>
      <w:r>
        <w:rPr>
          <w:spacing w:val="-4"/>
          <w:w w:val="90"/>
        </w:rPr>
        <w:t>Naturopathy, </w:t>
      </w:r>
      <w:r>
        <w:rPr>
          <w:spacing w:val="-8"/>
        </w:rPr>
        <w:t>Unani,</w:t>
      </w:r>
      <w:r>
        <w:rPr>
          <w:spacing w:val="-3"/>
        </w:rPr>
        <w:t> </w:t>
      </w:r>
      <w:r>
        <w:rPr>
          <w:spacing w:val="-8"/>
        </w:rPr>
        <w:t>Siddha</w:t>
      </w:r>
      <w:r>
        <w:rPr>
          <w:spacing w:val="-3"/>
        </w:rPr>
        <w:t> </w:t>
      </w:r>
      <w:r>
        <w:rPr>
          <w:spacing w:val="-8"/>
        </w:rPr>
        <w:t>and</w:t>
      </w:r>
      <w:r>
        <w:rPr>
          <w:spacing w:val="-3"/>
        </w:rPr>
        <w:t> </w:t>
      </w:r>
      <w:r>
        <w:rPr>
          <w:spacing w:val="-8"/>
        </w:rPr>
        <w:t>Homeopathy</w:t>
      </w:r>
      <w:r>
        <w:rPr>
          <w:spacing w:val="-3"/>
        </w:rPr>
        <w:t> </w:t>
      </w:r>
      <w:r>
        <w:rPr>
          <w:spacing w:val="-8"/>
        </w:rPr>
        <w:t>(AYUSH)</w:t>
      </w:r>
      <w:r>
        <w:rPr>
          <w:spacing w:val="-3"/>
        </w:rPr>
        <w:t> </w:t>
      </w:r>
      <w:r>
        <w:rPr>
          <w:spacing w:val="-8"/>
        </w:rPr>
        <w:t>colleges</w:t>
      </w:r>
      <w:r>
        <w:rPr>
          <w:spacing w:val="-3"/>
        </w:rPr>
        <w:t> </w:t>
      </w:r>
      <w:r>
        <w:rPr>
          <w:spacing w:val="-8"/>
        </w:rPr>
        <w:t>have </w:t>
      </w:r>
      <w:r>
        <w:rPr>
          <w:spacing w:val="-10"/>
        </w:rPr>
        <w:t>seen</w:t>
      </w:r>
      <w:r>
        <w:rPr>
          <w:spacing w:val="-14"/>
        </w:rPr>
        <w:t> </w:t>
      </w:r>
      <w:r>
        <w:rPr>
          <w:spacing w:val="-10"/>
        </w:rPr>
        <w:t>a</w:t>
      </w:r>
      <w:r>
        <w:rPr>
          <w:spacing w:val="-14"/>
        </w:rPr>
        <w:t> </w:t>
      </w:r>
      <w:r>
        <w:rPr>
          <w:spacing w:val="-10"/>
        </w:rPr>
        <w:t>gradual</w:t>
      </w:r>
      <w:r>
        <w:rPr>
          <w:spacing w:val="-14"/>
        </w:rPr>
        <w:t> </w:t>
      </w:r>
      <w:r>
        <w:rPr>
          <w:spacing w:val="-10"/>
        </w:rPr>
        <w:t>increase</w:t>
      </w:r>
      <w:r>
        <w:rPr>
          <w:spacing w:val="-14"/>
        </w:rPr>
        <w:t> </w:t>
      </w:r>
      <w:r>
        <w:rPr>
          <w:spacing w:val="-10"/>
        </w:rPr>
        <w:t>in</w:t>
      </w:r>
      <w:r>
        <w:rPr>
          <w:spacing w:val="-14"/>
        </w:rPr>
        <w:t> </w:t>
      </w:r>
      <w:r>
        <w:rPr>
          <w:spacing w:val="-10"/>
        </w:rPr>
        <w:t>the</w:t>
      </w:r>
      <w:r>
        <w:rPr>
          <w:spacing w:val="-14"/>
        </w:rPr>
        <w:t> </w:t>
      </w:r>
      <w:r>
        <w:rPr>
          <w:spacing w:val="-10"/>
        </w:rPr>
        <w:t>last</w:t>
      </w:r>
      <w:r>
        <w:rPr>
          <w:spacing w:val="-14"/>
        </w:rPr>
        <w:t> </w:t>
      </w:r>
      <w:r>
        <w:rPr>
          <w:spacing w:val="-10"/>
        </w:rPr>
        <w:t>five</w:t>
      </w:r>
      <w:r>
        <w:rPr>
          <w:spacing w:val="-14"/>
        </w:rPr>
        <w:t> </w:t>
      </w:r>
      <w:r>
        <w:rPr>
          <w:spacing w:val="-10"/>
        </w:rPr>
        <w:t>years.</w:t>
      </w:r>
      <w:r>
        <w:rPr>
          <w:spacing w:val="-14"/>
        </w:rPr>
        <w:t> </w:t>
      </w:r>
      <w:r>
        <w:rPr>
          <w:spacing w:val="-10"/>
        </w:rPr>
        <w:t>(See</w:t>
      </w:r>
      <w:r>
        <w:rPr>
          <w:spacing w:val="-14"/>
        </w:rPr>
        <w:t> </w:t>
      </w:r>
      <w:r>
        <w:rPr>
          <w:spacing w:val="-10"/>
        </w:rPr>
        <w:t>Figure</w:t>
      </w:r>
      <w:r>
        <w:rPr>
          <w:spacing w:val="-14"/>
        </w:rPr>
        <w:t> </w:t>
      </w:r>
      <w:r>
        <w:rPr>
          <w:spacing w:val="-10"/>
        </w:rPr>
        <w:t>31)</w:t>
      </w:r>
    </w:p>
    <w:p>
      <w:pPr>
        <w:pStyle w:val="BodyText"/>
        <w:spacing w:before="25"/>
      </w:pPr>
    </w:p>
    <w:p>
      <w:pPr>
        <w:pStyle w:val="BodyText"/>
        <w:spacing w:line="266" w:lineRule="auto"/>
        <w:ind w:left="319" w:right="1077"/>
        <w:jc w:val="both"/>
      </w:pPr>
      <w:r>
        <w:rPr>
          <w:spacing w:val="-2"/>
        </w:rPr>
        <w:t>It</w:t>
      </w:r>
      <w:r>
        <w:rPr>
          <w:spacing w:val="-9"/>
        </w:rPr>
        <w:t> </w:t>
      </w:r>
      <w:r>
        <w:rPr>
          <w:spacing w:val="-2"/>
        </w:rPr>
        <w:t>is</w:t>
      </w:r>
      <w:r>
        <w:rPr>
          <w:spacing w:val="-9"/>
        </w:rPr>
        <w:t> </w:t>
      </w:r>
      <w:r>
        <w:rPr>
          <w:spacing w:val="-2"/>
        </w:rPr>
        <w:t>a</w:t>
      </w:r>
      <w:r>
        <w:rPr>
          <w:spacing w:val="-9"/>
        </w:rPr>
        <w:t> </w:t>
      </w:r>
      <w:r>
        <w:rPr>
          <w:spacing w:val="-2"/>
        </w:rPr>
        <w:t>matter</w:t>
      </w:r>
      <w:r>
        <w:rPr>
          <w:spacing w:val="-9"/>
        </w:rPr>
        <w:t> </w:t>
      </w:r>
      <w:r>
        <w:rPr>
          <w:spacing w:val="-2"/>
        </w:rPr>
        <w:t>of</w:t>
      </w:r>
      <w:r>
        <w:rPr>
          <w:spacing w:val="-9"/>
        </w:rPr>
        <w:t> </w:t>
      </w:r>
      <w:r>
        <w:rPr>
          <w:spacing w:val="-2"/>
        </w:rPr>
        <w:t>concern</w:t>
      </w:r>
      <w:r>
        <w:rPr>
          <w:spacing w:val="-9"/>
        </w:rPr>
        <w:t> </w:t>
      </w:r>
      <w:r>
        <w:rPr>
          <w:spacing w:val="-2"/>
        </w:rPr>
        <w:t>that</w:t>
      </w:r>
      <w:r>
        <w:rPr>
          <w:spacing w:val="-9"/>
        </w:rPr>
        <w:t> </w:t>
      </w:r>
      <w:r>
        <w:rPr>
          <w:spacing w:val="-2"/>
        </w:rPr>
        <w:t>a</w:t>
      </w:r>
      <w:r>
        <w:rPr>
          <w:spacing w:val="-9"/>
        </w:rPr>
        <w:t> </w:t>
      </w:r>
      <w:r>
        <w:rPr>
          <w:spacing w:val="-2"/>
        </w:rPr>
        <w:t>large</w:t>
      </w:r>
      <w:r>
        <w:rPr>
          <w:spacing w:val="-9"/>
        </w:rPr>
        <w:t> </w:t>
      </w:r>
      <w:r>
        <w:rPr>
          <w:spacing w:val="-2"/>
        </w:rPr>
        <w:t>number</w:t>
      </w:r>
      <w:r>
        <w:rPr>
          <w:spacing w:val="-9"/>
        </w:rPr>
        <w:t> </w:t>
      </w:r>
      <w:r>
        <w:rPr>
          <w:spacing w:val="-2"/>
        </w:rPr>
        <w:t>of</w:t>
      </w:r>
      <w:r>
        <w:rPr>
          <w:spacing w:val="-9"/>
        </w:rPr>
        <w:t> </w:t>
      </w:r>
      <w:r>
        <w:rPr>
          <w:spacing w:val="-2"/>
        </w:rPr>
        <w:t>medical </w:t>
      </w:r>
      <w:r>
        <w:rPr/>
        <w:t>colleges are concentrated in six states (Maharashtra, </w:t>
      </w:r>
      <w:r>
        <w:rPr>
          <w:spacing w:val="-2"/>
        </w:rPr>
        <w:t>Karnataka,</w:t>
      </w:r>
      <w:r>
        <w:rPr>
          <w:spacing w:val="13"/>
        </w:rPr>
        <w:t> </w:t>
      </w:r>
      <w:r>
        <w:rPr>
          <w:spacing w:val="-2"/>
        </w:rPr>
        <w:t>Andhra</w:t>
      </w:r>
      <w:r>
        <w:rPr>
          <w:spacing w:val="14"/>
        </w:rPr>
        <w:t> </w:t>
      </w:r>
      <w:r>
        <w:rPr>
          <w:spacing w:val="-2"/>
        </w:rPr>
        <w:t>Pradesh,</w:t>
      </w:r>
      <w:r>
        <w:rPr>
          <w:spacing w:val="7"/>
        </w:rPr>
        <w:t> </w:t>
      </w:r>
      <w:r>
        <w:rPr>
          <w:spacing w:val="-2"/>
        </w:rPr>
        <w:t>Tamil</w:t>
      </w:r>
      <w:r>
        <w:rPr>
          <w:spacing w:val="13"/>
        </w:rPr>
        <w:t> </w:t>
      </w:r>
      <w:r>
        <w:rPr>
          <w:spacing w:val="-2"/>
        </w:rPr>
        <w:t>Nadu,</w:t>
      </w:r>
      <w:r>
        <w:rPr>
          <w:spacing w:val="14"/>
        </w:rPr>
        <w:t> </w:t>
      </w:r>
      <w:r>
        <w:rPr>
          <w:spacing w:val="-2"/>
        </w:rPr>
        <w:t>Kerala</w:t>
      </w:r>
      <w:r>
        <w:rPr>
          <w:spacing w:val="13"/>
        </w:rPr>
        <w:t> </w:t>
      </w:r>
      <w:r>
        <w:rPr>
          <w:spacing w:val="-5"/>
        </w:rPr>
        <w:t>and</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34"/>
        <w:rPr>
          <w:sz w:val="24"/>
        </w:rPr>
      </w:pPr>
    </w:p>
    <w:p>
      <w:pPr>
        <w:pStyle w:val="Heading8"/>
        <w:ind w:left="1968"/>
      </w:pPr>
      <w:r>
        <w:rPr>
          <w:spacing w:val="-8"/>
        </w:rPr>
        <w:t>Figure</w:t>
      </w:r>
      <w:r>
        <w:rPr>
          <w:spacing w:val="-5"/>
        </w:rPr>
        <w:t> </w:t>
      </w:r>
      <w:r>
        <w:rPr>
          <w:spacing w:val="-8"/>
        </w:rPr>
        <w:t>28:</w:t>
      </w:r>
      <w:r>
        <w:rPr>
          <w:spacing w:val="-5"/>
        </w:rPr>
        <w:t> </w:t>
      </w:r>
      <w:r>
        <w:rPr>
          <w:color w:val="2E614A"/>
          <w:spacing w:val="-8"/>
        </w:rPr>
        <w:t>Growth</w:t>
      </w:r>
      <w:r>
        <w:rPr>
          <w:color w:val="2E614A"/>
          <w:spacing w:val="-5"/>
        </w:rPr>
        <w:t> </w:t>
      </w:r>
      <w:r>
        <w:rPr>
          <w:color w:val="2E614A"/>
          <w:spacing w:val="-8"/>
        </w:rPr>
        <w:t>in</w:t>
      </w:r>
      <w:r>
        <w:rPr>
          <w:color w:val="2E614A"/>
          <w:spacing w:val="-4"/>
        </w:rPr>
        <w:t> </w:t>
      </w:r>
      <w:r>
        <w:rPr>
          <w:color w:val="2E614A"/>
          <w:spacing w:val="-8"/>
        </w:rPr>
        <w:t>enrolment</w:t>
      </w:r>
      <w:r>
        <w:rPr>
          <w:color w:val="2E614A"/>
          <w:spacing w:val="-5"/>
        </w:rPr>
        <w:t> </w:t>
      </w:r>
      <w:r>
        <w:rPr>
          <w:color w:val="2E614A"/>
          <w:spacing w:val="-8"/>
        </w:rPr>
        <w:t>in</w:t>
      </w:r>
      <w:r>
        <w:rPr>
          <w:color w:val="2E614A"/>
          <w:spacing w:val="-5"/>
        </w:rPr>
        <w:t> </w:t>
      </w:r>
      <w:r>
        <w:rPr>
          <w:color w:val="2E614A"/>
          <w:spacing w:val="-8"/>
        </w:rPr>
        <w:t>medicine</w:t>
      </w:r>
    </w:p>
    <w:p>
      <w:pPr>
        <w:pStyle w:val="BodyText"/>
        <w:spacing w:before="6"/>
        <w:rPr>
          <w:b/>
          <w:sz w:val="10"/>
        </w:rPr>
      </w:pPr>
      <w:r>
        <w:rPr/>
        <mc:AlternateContent>
          <mc:Choice Requires="wps">
            <w:drawing>
              <wp:anchor distT="0" distB="0" distL="0" distR="0" allowOverlap="1" layoutInCell="1" locked="0" behindDoc="1" simplePos="0" relativeHeight="487697408">
                <wp:simplePos x="0" y="0"/>
                <wp:positionH relativeFrom="page">
                  <wp:posOffset>1253451</wp:posOffset>
                </wp:positionH>
                <wp:positionV relativeFrom="paragraph">
                  <wp:posOffset>92557</wp:posOffset>
                </wp:positionV>
                <wp:extent cx="5039360" cy="2239010"/>
                <wp:effectExtent l="0" t="0" r="0" b="0"/>
                <wp:wrapTopAndBottom/>
                <wp:docPr id="1653" name="Group 1653"/>
                <wp:cNvGraphicFramePr>
                  <a:graphicFrameLocks/>
                </wp:cNvGraphicFramePr>
                <a:graphic>
                  <a:graphicData uri="http://schemas.microsoft.com/office/word/2010/wordprocessingGroup">
                    <wpg:wgp>
                      <wpg:cNvPr id="1653" name="Group 1653"/>
                      <wpg:cNvGrpSpPr/>
                      <wpg:grpSpPr>
                        <a:xfrm>
                          <a:off x="0" y="0"/>
                          <a:ext cx="5039360" cy="2239010"/>
                          <a:chExt cx="5039360" cy="2239010"/>
                        </a:xfrm>
                      </wpg:grpSpPr>
                      <wps:wsp>
                        <wps:cNvPr id="1654" name="Graphic 1654"/>
                        <wps:cNvSpPr/>
                        <wps:spPr>
                          <a:xfrm>
                            <a:off x="976465" y="393280"/>
                            <a:ext cx="3407410" cy="1598930"/>
                          </a:xfrm>
                          <a:custGeom>
                            <a:avLst/>
                            <a:gdLst/>
                            <a:ahLst/>
                            <a:cxnLst/>
                            <a:rect l="l" t="t" r="r" b="b"/>
                            <a:pathLst>
                              <a:path w="3407410" h="1598930">
                                <a:moveTo>
                                  <a:pt x="571830" y="735901"/>
                                </a:moveTo>
                                <a:lnTo>
                                  <a:pt x="0" y="735901"/>
                                </a:lnTo>
                                <a:lnTo>
                                  <a:pt x="0" y="1598422"/>
                                </a:lnTo>
                                <a:lnTo>
                                  <a:pt x="571830" y="1598422"/>
                                </a:lnTo>
                                <a:lnTo>
                                  <a:pt x="571830" y="735901"/>
                                </a:lnTo>
                                <a:close/>
                              </a:path>
                              <a:path w="3407410" h="1598930">
                                <a:moveTo>
                                  <a:pt x="1985505" y="395655"/>
                                </a:moveTo>
                                <a:lnTo>
                                  <a:pt x="1421625" y="395655"/>
                                </a:lnTo>
                                <a:lnTo>
                                  <a:pt x="1421625" y="1598422"/>
                                </a:lnTo>
                                <a:lnTo>
                                  <a:pt x="1985505" y="1598422"/>
                                </a:lnTo>
                                <a:lnTo>
                                  <a:pt x="1985505" y="395655"/>
                                </a:lnTo>
                                <a:close/>
                              </a:path>
                              <a:path w="3407410" h="1598930">
                                <a:moveTo>
                                  <a:pt x="3407130" y="0"/>
                                </a:moveTo>
                                <a:lnTo>
                                  <a:pt x="2835300" y="0"/>
                                </a:lnTo>
                                <a:lnTo>
                                  <a:pt x="2835300" y="1598422"/>
                                </a:lnTo>
                                <a:lnTo>
                                  <a:pt x="3407130" y="1598422"/>
                                </a:lnTo>
                                <a:lnTo>
                                  <a:pt x="3407130" y="0"/>
                                </a:lnTo>
                                <a:close/>
                              </a:path>
                            </a:pathLst>
                          </a:custGeom>
                          <a:solidFill>
                            <a:srgbClr val="2F7D41"/>
                          </a:solidFill>
                        </wps:spPr>
                        <wps:bodyPr wrap="square" lIns="0" tIns="0" rIns="0" bIns="0" rtlCol="0">
                          <a:prstTxWarp prst="textNoShape">
                            <a:avLst/>
                          </a:prstTxWarp>
                          <a:noAutofit/>
                        </wps:bodyPr>
                      </wps:wsp>
                      <wps:wsp>
                        <wps:cNvPr id="1655" name="Graphic 1655"/>
                        <wps:cNvSpPr/>
                        <wps:spPr>
                          <a:xfrm>
                            <a:off x="-12" y="0"/>
                            <a:ext cx="5039360" cy="2239010"/>
                          </a:xfrm>
                          <a:custGeom>
                            <a:avLst/>
                            <a:gdLst/>
                            <a:ahLst/>
                            <a:cxnLst/>
                            <a:rect l="l" t="t" r="r" b="b"/>
                            <a:pathLst>
                              <a:path w="5039360" h="2239010">
                                <a:moveTo>
                                  <a:pt x="4815662" y="1988527"/>
                                </a:moveTo>
                                <a:lnTo>
                                  <a:pt x="4815662" y="1988527"/>
                                </a:lnTo>
                                <a:lnTo>
                                  <a:pt x="558723" y="1988527"/>
                                </a:lnTo>
                                <a:lnTo>
                                  <a:pt x="558723" y="152717"/>
                                </a:lnTo>
                                <a:lnTo>
                                  <a:pt x="552373" y="152717"/>
                                </a:lnTo>
                                <a:lnTo>
                                  <a:pt x="520598" y="152717"/>
                                </a:lnTo>
                                <a:lnTo>
                                  <a:pt x="520598" y="159067"/>
                                </a:lnTo>
                                <a:lnTo>
                                  <a:pt x="552373" y="159067"/>
                                </a:lnTo>
                                <a:lnTo>
                                  <a:pt x="552373" y="382193"/>
                                </a:lnTo>
                                <a:lnTo>
                                  <a:pt x="520598" y="382193"/>
                                </a:lnTo>
                                <a:lnTo>
                                  <a:pt x="520598" y="388543"/>
                                </a:lnTo>
                                <a:lnTo>
                                  <a:pt x="552373" y="388543"/>
                                </a:lnTo>
                                <a:lnTo>
                                  <a:pt x="552373" y="611670"/>
                                </a:lnTo>
                                <a:lnTo>
                                  <a:pt x="520598" y="611670"/>
                                </a:lnTo>
                                <a:lnTo>
                                  <a:pt x="520598" y="618020"/>
                                </a:lnTo>
                                <a:lnTo>
                                  <a:pt x="552373" y="618020"/>
                                </a:lnTo>
                                <a:lnTo>
                                  <a:pt x="552373" y="841146"/>
                                </a:lnTo>
                                <a:lnTo>
                                  <a:pt x="520598" y="841146"/>
                                </a:lnTo>
                                <a:lnTo>
                                  <a:pt x="520598" y="847496"/>
                                </a:lnTo>
                                <a:lnTo>
                                  <a:pt x="552373" y="847496"/>
                                </a:lnTo>
                                <a:lnTo>
                                  <a:pt x="552373" y="1070622"/>
                                </a:lnTo>
                                <a:lnTo>
                                  <a:pt x="520598" y="1070622"/>
                                </a:lnTo>
                                <a:lnTo>
                                  <a:pt x="520598" y="1076972"/>
                                </a:lnTo>
                                <a:lnTo>
                                  <a:pt x="552373" y="1076972"/>
                                </a:lnTo>
                                <a:lnTo>
                                  <a:pt x="552373" y="1300099"/>
                                </a:lnTo>
                                <a:lnTo>
                                  <a:pt x="520598" y="1300099"/>
                                </a:lnTo>
                                <a:lnTo>
                                  <a:pt x="520598" y="1306449"/>
                                </a:lnTo>
                                <a:lnTo>
                                  <a:pt x="552373" y="1306449"/>
                                </a:lnTo>
                                <a:lnTo>
                                  <a:pt x="552373" y="1529575"/>
                                </a:lnTo>
                                <a:lnTo>
                                  <a:pt x="520598" y="1529575"/>
                                </a:lnTo>
                                <a:lnTo>
                                  <a:pt x="520598" y="1535925"/>
                                </a:lnTo>
                                <a:lnTo>
                                  <a:pt x="552373" y="1535925"/>
                                </a:lnTo>
                                <a:lnTo>
                                  <a:pt x="552373" y="1759038"/>
                                </a:lnTo>
                                <a:lnTo>
                                  <a:pt x="520598" y="1759038"/>
                                </a:lnTo>
                                <a:lnTo>
                                  <a:pt x="520598" y="1765388"/>
                                </a:lnTo>
                                <a:lnTo>
                                  <a:pt x="552373" y="1765388"/>
                                </a:lnTo>
                                <a:lnTo>
                                  <a:pt x="552373" y="1988527"/>
                                </a:lnTo>
                                <a:lnTo>
                                  <a:pt x="520598" y="1988527"/>
                                </a:lnTo>
                                <a:lnTo>
                                  <a:pt x="520598" y="1994877"/>
                                </a:lnTo>
                                <a:lnTo>
                                  <a:pt x="552373" y="1994877"/>
                                </a:lnTo>
                                <a:lnTo>
                                  <a:pt x="552373" y="2026526"/>
                                </a:lnTo>
                                <a:lnTo>
                                  <a:pt x="558723" y="2026526"/>
                                </a:lnTo>
                                <a:lnTo>
                                  <a:pt x="558723" y="1994877"/>
                                </a:lnTo>
                                <a:lnTo>
                                  <a:pt x="1973999" y="1994877"/>
                                </a:lnTo>
                                <a:lnTo>
                                  <a:pt x="1973999" y="2026526"/>
                                </a:lnTo>
                                <a:lnTo>
                                  <a:pt x="1980349" y="2026526"/>
                                </a:lnTo>
                                <a:lnTo>
                                  <a:pt x="1980349" y="1994877"/>
                                </a:lnTo>
                                <a:lnTo>
                                  <a:pt x="3387674" y="1994877"/>
                                </a:lnTo>
                                <a:lnTo>
                                  <a:pt x="3387674" y="2026526"/>
                                </a:lnTo>
                                <a:lnTo>
                                  <a:pt x="3394024" y="2026526"/>
                                </a:lnTo>
                                <a:lnTo>
                                  <a:pt x="3394024" y="1994877"/>
                                </a:lnTo>
                                <a:lnTo>
                                  <a:pt x="4809312" y="1994877"/>
                                </a:lnTo>
                                <a:lnTo>
                                  <a:pt x="4809312" y="2026526"/>
                                </a:lnTo>
                                <a:lnTo>
                                  <a:pt x="4815662" y="2026526"/>
                                </a:lnTo>
                                <a:lnTo>
                                  <a:pt x="4815662" y="1988527"/>
                                </a:lnTo>
                                <a:close/>
                              </a:path>
                              <a:path w="5039360" h="2239010">
                                <a:moveTo>
                                  <a:pt x="5039055" y="0"/>
                                </a:moveTo>
                                <a:lnTo>
                                  <a:pt x="5032705" y="0"/>
                                </a:lnTo>
                                <a:lnTo>
                                  <a:pt x="5032705" y="6451"/>
                                </a:lnTo>
                                <a:lnTo>
                                  <a:pt x="5032705" y="2232126"/>
                                </a:lnTo>
                                <a:lnTo>
                                  <a:pt x="6350" y="2232126"/>
                                </a:lnTo>
                                <a:lnTo>
                                  <a:pt x="6350" y="6451"/>
                                </a:lnTo>
                                <a:lnTo>
                                  <a:pt x="5032705" y="6451"/>
                                </a:lnTo>
                                <a:lnTo>
                                  <a:pt x="5032705" y="0"/>
                                </a:lnTo>
                                <a:lnTo>
                                  <a:pt x="0" y="0"/>
                                </a:lnTo>
                                <a:lnTo>
                                  <a:pt x="0" y="3810"/>
                                </a:lnTo>
                                <a:lnTo>
                                  <a:pt x="0" y="6350"/>
                                </a:lnTo>
                                <a:lnTo>
                                  <a:pt x="0" y="2232660"/>
                                </a:lnTo>
                                <a:lnTo>
                                  <a:pt x="0" y="2235200"/>
                                </a:lnTo>
                                <a:lnTo>
                                  <a:pt x="0" y="2239010"/>
                                </a:lnTo>
                                <a:lnTo>
                                  <a:pt x="5039055" y="2239010"/>
                                </a:lnTo>
                                <a:lnTo>
                                  <a:pt x="5039055" y="3276"/>
                                </a:lnTo>
                                <a:lnTo>
                                  <a:pt x="5039055" y="0"/>
                                </a:lnTo>
                                <a:close/>
                              </a:path>
                            </a:pathLst>
                          </a:custGeom>
                          <a:solidFill>
                            <a:srgbClr val="000000"/>
                          </a:solidFill>
                        </wps:spPr>
                        <wps:bodyPr wrap="square" lIns="0" tIns="0" rIns="0" bIns="0" rtlCol="0">
                          <a:prstTxWarp prst="textNoShape">
                            <a:avLst/>
                          </a:prstTxWarp>
                          <a:noAutofit/>
                        </wps:bodyPr>
                      </wps:wsp>
                      <wps:wsp>
                        <wps:cNvPr id="1656" name="Textbox 1656"/>
                        <wps:cNvSpPr txBox="1"/>
                        <wps:spPr>
                          <a:xfrm>
                            <a:off x="4009938" y="204857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2005-</w:t>
                              </w:r>
                              <w:r>
                                <w:rPr>
                                  <w:rFonts w:ascii="Arial MT"/>
                                  <w:spacing w:val="-5"/>
                                  <w:w w:val="90"/>
                                  <w:sz w:val="14"/>
                                </w:rPr>
                                <w:t>06</w:t>
                              </w:r>
                            </w:p>
                          </w:txbxContent>
                        </wps:txbx>
                        <wps:bodyPr wrap="square" lIns="0" tIns="0" rIns="0" bIns="0" rtlCol="0">
                          <a:noAutofit/>
                        </wps:bodyPr>
                      </wps:wsp>
                      <wps:wsp>
                        <wps:cNvPr id="1657" name="Textbox 1657"/>
                        <wps:cNvSpPr txBox="1"/>
                        <wps:spPr>
                          <a:xfrm>
                            <a:off x="214266" y="130875"/>
                            <a:ext cx="256540" cy="1880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400000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350000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300000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250000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200000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150000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100000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90"/>
                                  <w:sz w:val="14"/>
                                </w:rPr>
                                <w:t>50000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1658" name="Textbox 1658"/>
                        <wps:cNvSpPr txBox="1"/>
                        <wps:spPr>
                          <a:xfrm>
                            <a:off x="1127038" y="204857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1995-</w:t>
                              </w:r>
                              <w:r>
                                <w:rPr>
                                  <w:rFonts w:ascii="Arial MT"/>
                                  <w:spacing w:val="-5"/>
                                  <w:w w:val="90"/>
                                  <w:sz w:val="14"/>
                                </w:rPr>
                                <w:t>96</w:t>
                              </w:r>
                            </w:p>
                          </w:txbxContent>
                        </wps:txbx>
                        <wps:bodyPr wrap="square" lIns="0" tIns="0" rIns="0" bIns="0" rtlCol="0">
                          <a:noAutofit/>
                        </wps:bodyPr>
                      </wps:wsp>
                      <wps:wsp>
                        <wps:cNvPr id="1659" name="Textbox 1659"/>
                        <wps:cNvSpPr txBox="1"/>
                        <wps:spPr>
                          <a:xfrm>
                            <a:off x="2509063" y="204857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2000-</w:t>
                              </w:r>
                              <w:r>
                                <w:rPr>
                                  <w:rFonts w:ascii="Arial MT"/>
                                  <w:spacing w:val="-5"/>
                                  <w:w w:val="90"/>
                                  <w:sz w:val="14"/>
                                </w:rPr>
                                <w:t>01</w:t>
                              </w:r>
                            </w:p>
                          </w:txbxContent>
                        </wps:txbx>
                        <wps:bodyPr wrap="square" lIns="0" tIns="0" rIns="0" bIns="0" rtlCol="0">
                          <a:noAutofit/>
                        </wps:bodyPr>
                      </wps:wsp>
                    </wpg:wgp>
                  </a:graphicData>
                </a:graphic>
              </wp:anchor>
            </w:drawing>
          </mc:Choice>
          <mc:Fallback>
            <w:pict>
              <v:group style="position:absolute;margin-left:98.69696pt;margin-top:7.28797pt;width:396.8pt;height:176.3pt;mso-position-horizontal-relative:page;mso-position-vertical-relative:paragraph;z-index:-15619072;mso-wrap-distance-left:0;mso-wrap-distance-right:0" id="docshapegroup1639" coordorigin="1974,146" coordsize="7936,3526">
                <v:shape style="position:absolute;left:3511;top:765;width:5366;height:2518" id="docshape1640" coordorigin="3512,765" coordsize="5366,2518" path="m4412,1924l3512,1924,3512,3282,4412,3282,4412,1924xm6638,1388l5750,1388,5750,3282,6638,3282,6638,1388xm8877,765l7977,765,7977,3282,8877,3282,8877,765xe" filled="true" fillcolor="#2f7d41" stroked="false">
                  <v:path arrowok="t"/>
                  <v:fill type="solid"/>
                </v:shape>
                <v:shape style="position:absolute;left:1973;top:145;width:7936;height:3526" id="docshape1641" coordorigin="1974,146" coordsize="7936,3526" path="m9558,3277l9548,3277,7319,3277,7309,3277,5093,3277,5083,3277,2854,3277,2854,386,2844,386,2794,386,2794,396,2844,396,2844,748,2794,748,2794,758,2844,758,2844,1109,2794,1109,2794,1119,2844,1119,2844,1470,2794,1470,2794,1480,2844,1480,2844,1832,2794,1832,2794,1842,2844,1842,2844,2193,2794,2193,2794,2203,2844,2203,2844,2555,2794,2555,2794,2565,2844,2565,2844,2916,2794,2916,2794,2926,2844,2926,2844,3277,2794,3277,2794,3287,2844,3287,2844,3337,2854,3337,2854,3287,5083,3287,5083,3337,5093,3337,5093,3287,7309,3287,7309,3337,7319,3337,7319,3287,9548,3287,9548,3337,9558,3337,9558,3277xm9909,146l9899,146,9899,156,9899,3661,1984,3661,1984,156,9899,156,9899,146,1974,146,1974,152,1974,156,1974,3662,1974,3666,1974,3672,9909,3672,9909,3666,9909,3666,9909,3662,9909,3661,9909,156,9909,156,9909,152,9909,151,9909,146xe" filled="true" fillcolor="#000000" stroked="false">
                  <v:path arrowok="t"/>
                  <v:fill type="solid"/>
                </v:shape>
                <v:shape style="position:absolute;left:8288;top:3371;width:442;height:161" type="#_x0000_t202" id="docshape1642" filled="false" stroked="false">
                  <v:textbox inset="0,0,0,0">
                    <w:txbxContent>
                      <w:p>
                        <w:pPr>
                          <w:spacing w:line="161" w:lineRule="exact" w:before="0"/>
                          <w:ind w:left="0" w:right="0" w:firstLine="0"/>
                          <w:jc w:val="left"/>
                          <w:rPr>
                            <w:rFonts w:ascii="Arial MT"/>
                            <w:sz w:val="14"/>
                          </w:rPr>
                        </w:pPr>
                        <w:r>
                          <w:rPr>
                            <w:rFonts w:ascii="Arial MT"/>
                            <w:w w:val="80"/>
                            <w:sz w:val="14"/>
                          </w:rPr>
                          <w:t>2005-</w:t>
                        </w:r>
                        <w:r>
                          <w:rPr>
                            <w:rFonts w:ascii="Arial MT"/>
                            <w:spacing w:val="-5"/>
                            <w:w w:val="90"/>
                            <w:sz w:val="14"/>
                          </w:rPr>
                          <w:t>06</w:t>
                        </w:r>
                      </w:p>
                    </w:txbxContent>
                  </v:textbox>
                  <w10:wrap type="none"/>
                </v:shape>
                <v:shape style="position:absolute;left:2311;top:351;width:404;height:2961" type="#_x0000_t202" id="docshape1643" filled="false" stroked="false">
                  <v:textbox inset="0,0,0,0">
                    <w:txbxContent>
                      <w:p>
                        <w:pPr>
                          <w:spacing w:line="161" w:lineRule="exact" w:before="0"/>
                          <w:ind w:left="0" w:right="0" w:firstLine="0"/>
                          <w:jc w:val="left"/>
                          <w:rPr>
                            <w:rFonts w:ascii="Arial MT"/>
                            <w:sz w:val="14"/>
                          </w:rPr>
                        </w:pPr>
                        <w:r>
                          <w:rPr>
                            <w:rFonts w:ascii="Arial MT"/>
                            <w:spacing w:val="-2"/>
                            <w:w w:val="85"/>
                            <w:sz w:val="14"/>
                          </w:rPr>
                          <w:t>400000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350000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300000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250000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200000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150000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80"/>
                            <w:sz w:val="14"/>
                          </w:rPr>
                          <w:t>100000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2"/>
                            <w:w w:val="90"/>
                            <w:sz w:val="14"/>
                          </w:rPr>
                          <w:t>50000</w:t>
                        </w:r>
                      </w:p>
                      <w:p>
                        <w:pPr>
                          <w:spacing w:line="240" w:lineRule="auto" w:before="28"/>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v:shape style="position:absolute;left:3748;top:3371;width:442;height:161" type="#_x0000_t202" id="docshape1644" filled="false" stroked="false">
                  <v:textbox inset="0,0,0,0">
                    <w:txbxContent>
                      <w:p>
                        <w:pPr>
                          <w:spacing w:line="161" w:lineRule="exact" w:before="0"/>
                          <w:ind w:left="0" w:right="0" w:firstLine="0"/>
                          <w:jc w:val="left"/>
                          <w:rPr>
                            <w:rFonts w:ascii="Arial MT"/>
                            <w:sz w:val="14"/>
                          </w:rPr>
                        </w:pPr>
                        <w:r>
                          <w:rPr>
                            <w:rFonts w:ascii="Arial MT"/>
                            <w:w w:val="80"/>
                            <w:sz w:val="14"/>
                          </w:rPr>
                          <w:t>1995-</w:t>
                        </w:r>
                        <w:r>
                          <w:rPr>
                            <w:rFonts w:ascii="Arial MT"/>
                            <w:spacing w:val="-5"/>
                            <w:w w:val="90"/>
                            <w:sz w:val="14"/>
                          </w:rPr>
                          <w:t>96</w:t>
                        </w:r>
                      </w:p>
                    </w:txbxContent>
                  </v:textbox>
                  <w10:wrap type="none"/>
                </v:shape>
                <v:shape style="position:absolute;left:5925;top:3371;width:442;height:161" type="#_x0000_t202" id="docshape1645" filled="false" stroked="false">
                  <v:textbox inset="0,0,0,0">
                    <w:txbxContent>
                      <w:p>
                        <w:pPr>
                          <w:spacing w:line="161" w:lineRule="exact" w:before="0"/>
                          <w:ind w:left="0" w:right="0" w:firstLine="0"/>
                          <w:jc w:val="left"/>
                          <w:rPr>
                            <w:rFonts w:ascii="Arial MT"/>
                            <w:sz w:val="14"/>
                          </w:rPr>
                        </w:pPr>
                        <w:r>
                          <w:rPr>
                            <w:rFonts w:ascii="Arial MT"/>
                            <w:w w:val="80"/>
                            <w:sz w:val="14"/>
                          </w:rPr>
                          <w:t>2000-</w:t>
                        </w:r>
                        <w:r>
                          <w:rPr>
                            <w:rFonts w:ascii="Arial MT"/>
                            <w:spacing w:val="-5"/>
                            <w:w w:val="90"/>
                            <w:sz w:val="14"/>
                          </w:rPr>
                          <w:t>01</w:t>
                        </w:r>
                      </w:p>
                    </w:txbxContent>
                  </v:textbox>
                  <w10:wrap type="none"/>
                </v:shape>
                <w10:wrap type="topAndBottom"/>
              </v:group>
            </w:pict>
          </mc:Fallback>
        </mc:AlternateContent>
      </w:r>
    </w:p>
    <w:p>
      <w:pPr>
        <w:spacing w:before="29"/>
        <w:ind w:left="1968" w:right="0" w:firstLine="0"/>
        <w:jc w:val="left"/>
        <w:rPr>
          <w:sz w:val="16"/>
        </w:rPr>
      </w:pPr>
      <w:r>
        <w:rPr>
          <w:i/>
          <w:w w:val="85"/>
          <w:sz w:val="16"/>
        </w:rPr>
        <w:t>Source:</w:t>
      </w:r>
      <w:r>
        <w:rPr>
          <w:i/>
          <w:spacing w:val="-5"/>
          <w:sz w:val="16"/>
        </w:rPr>
        <w:t> </w:t>
      </w:r>
      <w:r>
        <w:rPr>
          <w:spacing w:val="-5"/>
          <w:sz w:val="16"/>
        </w:rPr>
        <w:t>UGC</w:t>
      </w:r>
    </w:p>
    <w:p>
      <w:pPr>
        <w:spacing w:after="0"/>
        <w:jc w:val="left"/>
        <w:rPr>
          <w:sz w:val="16"/>
        </w:rPr>
        <w:sectPr>
          <w:type w:val="continuous"/>
          <w:pgSz w:w="11910" w:h="16840"/>
          <w:pgMar w:header="0" w:footer="675" w:top="1920" w:bottom="280" w:left="0" w:right="0"/>
        </w:sectPr>
      </w:pPr>
    </w:p>
    <w:p>
      <w:pPr>
        <w:pStyle w:val="Heading8"/>
        <w:spacing w:before="73"/>
        <w:ind w:left="1975"/>
      </w:pPr>
      <w:r>
        <w:rPr>
          <w:w w:val="90"/>
        </w:rPr>
        <w:t>Figure</w:t>
      </w:r>
      <w:r>
        <w:rPr>
          <w:spacing w:val="9"/>
        </w:rPr>
        <w:t> </w:t>
      </w:r>
      <w:r>
        <w:rPr>
          <w:w w:val="90"/>
        </w:rPr>
        <w:t>29:</w:t>
      </w:r>
      <w:r>
        <w:rPr>
          <w:spacing w:val="9"/>
        </w:rPr>
        <w:t> </w:t>
      </w:r>
      <w:r>
        <w:rPr>
          <w:color w:val="2E614A"/>
          <w:w w:val="90"/>
        </w:rPr>
        <w:t>Growth</w:t>
      </w:r>
      <w:r>
        <w:rPr>
          <w:color w:val="2E614A"/>
          <w:spacing w:val="9"/>
        </w:rPr>
        <w:t> </w:t>
      </w:r>
      <w:r>
        <w:rPr>
          <w:color w:val="2E614A"/>
          <w:w w:val="90"/>
        </w:rPr>
        <w:t>in</w:t>
      </w:r>
      <w:r>
        <w:rPr>
          <w:color w:val="2E614A"/>
          <w:spacing w:val="10"/>
        </w:rPr>
        <w:t> </w:t>
      </w:r>
      <w:r>
        <w:rPr>
          <w:color w:val="2E614A"/>
          <w:w w:val="90"/>
        </w:rPr>
        <w:t>medical</w:t>
      </w:r>
      <w:r>
        <w:rPr>
          <w:color w:val="2E614A"/>
          <w:spacing w:val="9"/>
        </w:rPr>
        <w:t> </w:t>
      </w:r>
      <w:r>
        <w:rPr>
          <w:color w:val="2E614A"/>
          <w:spacing w:val="-2"/>
          <w:w w:val="90"/>
        </w:rPr>
        <w:t>colleges</w:t>
      </w:r>
    </w:p>
    <w:p>
      <w:pPr>
        <w:pStyle w:val="BodyText"/>
        <w:spacing w:before="7"/>
        <w:rPr>
          <w:b/>
          <w:sz w:val="9"/>
        </w:rPr>
      </w:pPr>
      <w:r>
        <w:rPr/>
        <mc:AlternateContent>
          <mc:Choice Requires="wps">
            <w:drawing>
              <wp:anchor distT="0" distB="0" distL="0" distR="0" allowOverlap="1" layoutInCell="1" locked="0" behindDoc="1" simplePos="0" relativeHeight="487698944">
                <wp:simplePos x="0" y="0"/>
                <wp:positionH relativeFrom="page">
                  <wp:posOffset>1257774</wp:posOffset>
                </wp:positionH>
                <wp:positionV relativeFrom="paragraph">
                  <wp:posOffset>85739</wp:posOffset>
                </wp:positionV>
                <wp:extent cx="5039360" cy="2400300"/>
                <wp:effectExtent l="0" t="0" r="0" b="0"/>
                <wp:wrapTopAndBottom/>
                <wp:docPr id="1660" name="Group 1660"/>
                <wp:cNvGraphicFramePr>
                  <a:graphicFrameLocks/>
                </wp:cNvGraphicFramePr>
                <a:graphic>
                  <a:graphicData uri="http://schemas.microsoft.com/office/word/2010/wordprocessingGroup">
                    <wpg:wgp>
                      <wpg:cNvPr id="1660" name="Group 1660"/>
                      <wpg:cNvGrpSpPr/>
                      <wpg:grpSpPr>
                        <a:xfrm>
                          <a:off x="0" y="0"/>
                          <a:ext cx="5039360" cy="2400300"/>
                          <a:chExt cx="5039360" cy="2400300"/>
                        </a:xfrm>
                      </wpg:grpSpPr>
                      <wps:wsp>
                        <wps:cNvPr id="1661" name="Graphic 1661"/>
                        <wps:cNvSpPr/>
                        <wps:spPr>
                          <a:xfrm>
                            <a:off x="-5" y="0"/>
                            <a:ext cx="5039360" cy="2400300"/>
                          </a:xfrm>
                          <a:custGeom>
                            <a:avLst/>
                            <a:gdLst/>
                            <a:ahLst/>
                            <a:cxnLst/>
                            <a:rect l="l" t="t" r="r" b="b"/>
                            <a:pathLst>
                              <a:path w="5039360" h="2400300">
                                <a:moveTo>
                                  <a:pt x="5039055" y="0"/>
                                </a:moveTo>
                                <a:lnTo>
                                  <a:pt x="5032692" y="0"/>
                                </a:lnTo>
                                <a:lnTo>
                                  <a:pt x="5032692" y="6451"/>
                                </a:lnTo>
                                <a:lnTo>
                                  <a:pt x="5032692" y="2393950"/>
                                </a:lnTo>
                                <a:lnTo>
                                  <a:pt x="5032692" y="2394204"/>
                                </a:lnTo>
                                <a:lnTo>
                                  <a:pt x="5032692" y="2397379"/>
                                </a:lnTo>
                                <a:lnTo>
                                  <a:pt x="5032692" y="2397760"/>
                                </a:lnTo>
                                <a:lnTo>
                                  <a:pt x="3175" y="2397760"/>
                                </a:lnTo>
                                <a:lnTo>
                                  <a:pt x="3175" y="2397379"/>
                                </a:lnTo>
                                <a:lnTo>
                                  <a:pt x="6350" y="2397379"/>
                                </a:lnTo>
                                <a:lnTo>
                                  <a:pt x="5032692" y="2397379"/>
                                </a:lnTo>
                                <a:lnTo>
                                  <a:pt x="5032692" y="2394204"/>
                                </a:lnTo>
                                <a:lnTo>
                                  <a:pt x="6350" y="2394204"/>
                                </a:lnTo>
                                <a:lnTo>
                                  <a:pt x="3175" y="2394204"/>
                                </a:lnTo>
                                <a:lnTo>
                                  <a:pt x="3175" y="2393950"/>
                                </a:lnTo>
                                <a:lnTo>
                                  <a:pt x="6350" y="2393950"/>
                                </a:lnTo>
                                <a:lnTo>
                                  <a:pt x="6350" y="6451"/>
                                </a:lnTo>
                                <a:lnTo>
                                  <a:pt x="5032692" y="6451"/>
                                </a:lnTo>
                                <a:lnTo>
                                  <a:pt x="5032692" y="0"/>
                                </a:lnTo>
                                <a:lnTo>
                                  <a:pt x="0" y="0"/>
                                </a:lnTo>
                                <a:lnTo>
                                  <a:pt x="0" y="3810"/>
                                </a:lnTo>
                                <a:lnTo>
                                  <a:pt x="0" y="6350"/>
                                </a:lnTo>
                                <a:lnTo>
                                  <a:pt x="0" y="2393950"/>
                                </a:lnTo>
                                <a:lnTo>
                                  <a:pt x="0" y="2397760"/>
                                </a:lnTo>
                                <a:lnTo>
                                  <a:pt x="0" y="2400300"/>
                                </a:lnTo>
                                <a:lnTo>
                                  <a:pt x="5039055" y="2400300"/>
                                </a:lnTo>
                                <a:lnTo>
                                  <a:pt x="5039055" y="2397760"/>
                                </a:lnTo>
                                <a:lnTo>
                                  <a:pt x="5035880" y="2397760"/>
                                </a:lnTo>
                                <a:lnTo>
                                  <a:pt x="5035880" y="2397379"/>
                                </a:lnTo>
                                <a:lnTo>
                                  <a:pt x="5039055" y="2397379"/>
                                </a:lnTo>
                                <a:lnTo>
                                  <a:pt x="5039055" y="2394204"/>
                                </a:lnTo>
                                <a:lnTo>
                                  <a:pt x="5035880" y="2394204"/>
                                </a:lnTo>
                                <a:lnTo>
                                  <a:pt x="5035880" y="2393950"/>
                                </a:lnTo>
                                <a:lnTo>
                                  <a:pt x="5039055" y="2393950"/>
                                </a:lnTo>
                                <a:lnTo>
                                  <a:pt x="5039055" y="6451"/>
                                </a:lnTo>
                                <a:lnTo>
                                  <a:pt x="5039055" y="3810"/>
                                </a:lnTo>
                                <a:lnTo>
                                  <a:pt x="5039055" y="3276"/>
                                </a:lnTo>
                                <a:lnTo>
                                  <a:pt x="5039055" y="0"/>
                                </a:lnTo>
                                <a:close/>
                              </a:path>
                            </a:pathLst>
                          </a:custGeom>
                          <a:solidFill>
                            <a:srgbClr val="000000"/>
                          </a:solidFill>
                        </wps:spPr>
                        <wps:bodyPr wrap="square" lIns="0" tIns="0" rIns="0" bIns="0" rtlCol="0">
                          <a:prstTxWarp prst="textNoShape">
                            <a:avLst/>
                          </a:prstTxWarp>
                          <a:noAutofit/>
                        </wps:bodyPr>
                      </wps:wsp>
                      <wps:wsp>
                        <wps:cNvPr id="1662" name="Graphic 1662"/>
                        <wps:cNvSpPr/>
                        <wps:spPr>
                          <a:xfrm>
                            <a:off x="806305" y="506678"/>
                            <a:ext cx="3792854" cy="1566545"/>
                          </a:xfrm>
                          <a:custGeom>
                            <a:avLst/>
                            <a:gdLst/>
                            <a:ahLst/>
                            <a:cxnLst/>
                            <a:rect l="l" t="t" r="r" b="b"/>
                            <a:pathLst>
                              <a:path w="3792854" h="1566545">
                                <a:moveTo>
                                  <a:pt x="453783" y="1001141"/>
                                </a:moveTo>
                                <a:lnTo>
                                  <a:pt x="0" y="1001141"/>
                                </a:lnTo>
                                <a:lnTo>
                                  <a:pt x="0" y="1566303"/>
                                </a:lnTo>
                                <a:lnTo>
                                  <a:pt x="453783" y="1566303"/>
                                </a:lnTo>
                                <a:lnTo>
                                  <a:pt x="453783" y="1001141"/>
                                </a:lnTo>
                                <a:close/>
                              </a:path>
                              <a:path w="3792854" h="1566545">
                                <a:moveTo>
                                  <a:pt x="1563966" y="976922"/>
                                </a:moveTo>
                                <a:lnTo>
                                  <a:pt x="1118273" y="976922"/>
                                </a:lnTo>
                                <a:lnTo>
                                  <a:pt x="1118273" y="1566303"/>
                                </a:lnTo>
                                <a:lnTo>
                                  <a:pt x="1563966" y="1566303"/>
                                </a:lnTo>
                                <a:lnTo>
                                  <a:pt x="1563966" y="976922"/>
                                </a:lnTo>
                                <a:close/>
                              </a:path>
                              <a:path w="3792854" h="1566545">
                                <a:moveTo>
                                  <a:pt x="2682240" y="952703"/>
                                </a:moveTo>
                                <a:lnTo>
                                  <a:pt x="2228443" y="952703"/>
                                </a:lnTo>
                                <a:lnTo>
                                  <a:pt x="2228443" y="1566303"/>
                                </a:lnTo>
                                <a:lnTo>
                                  <a:pt x="2682240" y="1566303"/>
                                </a:lnTo>
                                <a:lnTo>
                                  <a:pt x="2682240" y="952703"/>
                                </a:lnTo>
                                <a:close/>
                              </a:path>
                              <a:path w="3792854" h="1566545">
                                <a:moveTo>
                                  <a:pt x="3792397" y="0"/>
                                </a:moveTo>
                                <a:lnTo>
                                  <a:pt x="3346716" y="0"/>
                                </a:lnTo>
                                <a:lnTo>
                                  <a:pt x="3346716" y="1566303"/>
                                </a:lnTo>
                                <a:lnTo>
                                  <a:pt x="3792397" y="1566303"/>
                                </a:lnTo>
                                <a:lnTo>
                                  <a:pt x="3792397" y="0"/>
                                </a:lnTo>
                                <a:close/>
                              </a:path>
                            </a:pathLst>
                          </a:custGeom>
                          <a:solidFill>
                            <a:srgbClr val="2B8E42"/>
                          </a:solidFill>
                        </wps:spPr>
                        <wps:bodyPr wrap="square" lIns="0" tIns="0" rIns="0" bIns="0" rtlCol="0">
                          <a:prstTxWarp prst="textNoShape">
                            <a:avLst/>
                          </a:prstTxWarp>
                          <a:noAutofit/>
                        </wps:bodyPr>
                      </wps:wsp>
                      <wps:wsp>
                        <wps:cNvPr id="1663" name="Graphic 1663"/>
                        <wps:cNvSpPr/>
                        <wps:spPr>
                          <a:xfrm>
                            <a:off x="438475" y="196697"/>
                            <a:ext cx="4495800" cy="1911985"/>
                          </a:xfrm>
                          <a:custGeom>
                            <a:avLst/>
                            <a:gdLst/>
                            <a:ahLst/>
                            <a:cxnLst/>
                            <a:rect l="l" t="t" r="r" b="b"/>
                            <a:pathLst>
                              <a:path w="4495800" h="1911985">
                                <a:moveTo>
                                  <a:pt x="4495660" y="1873110"/>
                                </a:moveTo>
                                <a:lnTo>
                                  <a:pt x="4495660" y="1873110"/>
                                </a:lnTo>
                                <a:lnTo>
                                  <a:pt x="38747" y="1873110"/>
                                </a:lnTo>
                                <a:lnTo>
                                  <a:pt x="38747" y="0"/>
                                </a:lnTo>
                                <a:lnTo>
                                  <a:pt x="32397" y="0"/>
                                </a:lnTo>
                                <a:lnTo>
                                  <a:pt x="0" y="0"/>
                                </a:lnTo>
                                <a:lnTo>
                                  <a:pt x="0" y="6350"/>
                                </a:lnTo>
                                <a:lnTo>
                                  <a:pt x="32397" y="6350"/>
                                </a:lnTo>
                                <a:lnTo>
                                  <a:pt x="32397" y="371386"/>
                                </a:lnTo>
                                <a:lnTo>
                                  <a:pt x="0" y="371386"/>
                                </a:lnTo>
                                <a:lnTo>
                                  <a:pt x="0" y="377736"/>
                                </a:lnTo>
                                <a:lnTo>
                                  <a:pt x="32397" y="377736"/>
                                </a:lnTo>
                                <a:lnTo>
                                  <a:pt x="32397" y="750862"/>
                                </a:lnTo>
                                <a:lnTo>
                                  <a:pt x="0" y="750862"/>
                                </a:lnTo>
                                <a:lnTo>
                                  <a:pt x="0" y="757212"/>
                                </a:lnTo>
                                <a:lnTo>
                                  <a:pt x="32397" y="757212"/>
                                </a:lnTo>
                                <a:lnTo>
                                  <a:pt x="32397" y="1122248"/>
                                </a:lnTo>
                                <a:lnTo>
                                  <a:pt x="0" y="1122248"/>
                                </a:lnTo>
                                <a:lnTo>
                                  <a:pt x="0" y="1128598"/>
                                </a:lnTo>
                                <a:lnTo>
                                  <a:pt x="32397" y="1128598"/>
                                </a:lnTo>
                                <a:lnTo>
                                  <a:pt x="32397" y="1501711"/>
                                </a:lnTo>
                                <a:lnTo>
                                  <a:pt x="0" y="1501711"/>
                                </a:lnTo>
                                <a:lnTo>
                                  <a:pt x="0" y="1508061"/>
                                </a:lnTo>
                                <a:lnTo>
                                  <a:pt x="32397" y="1508061"/>
                                </a:lnTo>
                                <a:lnTo>
                                  <a:pt x="32397" y="1873110"/>
                                </a:lnTo>
                                <a:lnTo>
                                  <a:pt x="0" y="1873110"/>
                                </a:lnTo>
                                <a:lnTo>
                                  <a:pt x="0" y="1879460"/>
                                </a:lnTo>
                                <a:lnTo>
                                  <a:pt x="32397" y="1879460"/>
                                </a:lnTo>
                                <a:lnTo>
                                  <a:pt x="32397" y="1911756"/>
                                </a:lnTo>
                                <a:lnTo>
                                  <a:pt x="38747" y="1911756"/>
                                </a:lnTo>
                                <a:lnTo>
                                  <a:pt x="38747" y="1879460"/>
                                </a:lnTo>
                                <a:lnTo>
                                  <a:pt x="1150683" y="1879460"/>
                                </a:lnTo>
                                <a:lnTo>
                                  <a:pt x="1150683" y="1911756"/>
                                </a:lnTo>
                                <a:lnTo>
                                  <a:pt x="1157033" y="1911756"/>
                                </a:lnTo>
                                <a:lnTo>
                                  <a:pt x="1157033" y="1879460"/>
                                </a:lnTo>
                                <a:lnTo>
                                  <a:pt x="2260854" y="1879460"/>
                                </a:lnTo>
                                <a:lnTo>
                                  <a:pt x="2260854" y="1911756"/>
                                </a:lnTo>
                                <a:lnTo>
                                  <a:pt x="2267204" y="1911756"/>
                                </a:lnTo>
                                <a:lnTo>
                                  <a:pt x="2267204" y="1879460"/>
                                </a:lnTo>
                                <a:lnTo>
                                  <a:pt x="3379127" y="1879460"/>
                                </a:lnTo>
                                <a:lnTo>
                                  <a:pt x="3379127" y="1911756"/>
                                </a:lnTo>
                                <a:lnTo>
                                  <a:pt x="3385477" y="1911756"/>
                                </a:lnTo>
                                <a:lnTo>
                                  <a:pt x="3385477" y="1879460"/>
                                </a:lnTo>
                                <a:lnTo>
                                  <a:pt x="4489310" y="1879460"/>
                                </a:lnTo>
                                <a:lnTo>
                                  <a:pt x="4489310" y="1911756"/>
                                </a:lnTo>
                                <a:lnTo>
                                  <a:pt x="4495660" y="1911756"/>
                                </a:lnTo>
                                <a:lnTo>
                                  <a:pt x="4495660" y="1873110"/>
                                </a:lnTo>
                                <a:close/>
                              </a:path>
                            </a:pathLst>
                          </a:custGeom>
                          <a:solidFill>
                            <a:srgbClr val="000000"/>
                          </a:solidFill>
                        </wps:spPr>
                        <wps:bodyPr wrap="square" lIns="0" tIns="0" rIns="0" bIns="0" rtlCol="0">
                          <a:prstTxWarp prst="textNoShape">
                            <a:avLst/>
                          </a:prstTxWarp>
                          <a:noAutofit/>
                        </wps:bodyPr>
                      </wps:wsp>
                      <wps:wsp>
                        <wps:cNvPr id="1664" name="Textbox 1664"/>
                        <wps:cNvSpPr txBox="1"/>
                        <wps:spPr>
                          <a:xfrm>
                            <a:off x="4241387" y="212681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2005-</w:t>
                              </w:r>
                              <w:r>
                                <w:rPr>
                                  <w:rFonts w:ascii="Arial MT"/>
                                  <w:spacing w:val="-5"/>
                                  <w:w w:val="90"/>
                                  <w:sz w:val="14"/>
                                </w:rPr>
                                <w:t>06</w:t>
                              </w:r>
                            </w:p>
                          </w:txbxContent>
                        </wps:txbx>
                        <wps:bodyPr wrap="square" lIns="0" tIns="0" rIns="0" bIns="0" rtlCol="0">
                          <a:noAutofit/>
                        </wps:bodyPr>
                      </wps:wsp>
                      <wps:wsp>
                        <wps:cNvPr id="1665" name="Textbox 1665"/>
                        <wps:cNvSpPr txBox="1"/>
                        <wps:spPr>
                          <a:xfrm>
                            <a:off x="3123787" y="212681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2004-</w:t>
                              </w:r>
                              <w:r>
                                <w:rPr>
                                  <w:rFonts w:ascii="Arial MT"/>
                                  <w:spacing w:val="-5"/>
                                  <w:w w:val="90"/>
                                  <w:sz w:val="14"/>
                                </w:rPr>
                                <w:t>05</w:t>
                              </w:r>
                            </w:p>
                          </w:txbxContent>
                        </wps:txbx>
                        <wps:bodyPr wrap="square" lIns="0" tIns="0" rIns="0" bIns="0" rtlCol="0">
                          <a:noAutofit/>
                        </wps:bodyPr>
                      </wps:wsp>
                      <wps:wsp>
                        <wps:cNvPr id="1666" name="Textbox 1666"/>
                        <wps:cNvSpPr txBox="1"/>
                        <wps:spPr>
                          <a:xfrm>
                            <a:off x="2006187" y="212681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2003-</w:t>
                              </w:r>
                              <w:r>
                                <w:rPr>
                                  <w:rFonts w:ascii="Arial MT"/>
                                  <w:spacing w:val="-5"/>
                                  <w:w w:val="90"/>
                                  <w:sz w:val="14"/>
                                </w:rPr>
                                <w:t>04</w:t>
                              </w:r>
                            </w:p>
                          </w:txbxContent>
                        </wps:txbx>
                        <wps:bodyPr wrap="square" lIns="0" tIns="0" rIns="0" bIns="0" rtlCol="0">
                          <a:noAutofit/>
                        </wps:bodyPr>
                      </wps:wsp>
                      <wps:wsp>
                        <wps:cNvPr id="1667" name="Textbox 1667"/>
                        <wps:cNvSpPr txBox="1"/>
                        <wps:spPr>
                          <a:xfrm>
                            <a:off x="888587" y="2126815"/>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2002-</w:t>
                              </w:r>
                              <w:r>
                                <w:rPr>
                                  <w:rFonts w:ascii="Arial MT"/>
                                  <w:spacing w:val="-5"/>
                                  <w:w w:val="90"/>
                                  <w:sz w:val="14"/>
                                </w:rPr>
                                <w:t>03</w:t>
                              </w:r>
                            </w:p>
                          </w:txbxContent>
                        </wps:txbx>
                        <wps:bodyPr wrap="square" lIns="0" tIns="0" rIns="0" bIns="0" rtlCol="0">
                          <a:noAutofit/>
                        </wps:bodyPr>
                      </wps:wsp>
                      <wps:wsp>
                        <wps:cNvPr id="1668" name="Textbox 1668"/>
                        <wps:cNvSpPr txBox="1"/>
                        <wps:spPr>
                          <a:xfrm>
                            <a:off x="362681" y="201831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669" name="Textbox 1669"/>
                        <wps:cNvSpPr txBox="1"/>
                        <wps:spPr>
                          <a:xfrm>
                            <a:off x="281595" y="164620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500</w:t>
                              </w:r>
                            </w:p>
                          </w:txbxContent>
                        </wps:txbx>
                        <wps:bodyPr wrap="square" lIns="0" tIns="0" rIns="0" bIns="0" rtlCol="0">
                          <a:noAutofit/>
                        </wps:bodyPr>
                      </wps:wsp>
                      <wps:wsp>
                        <wps:cNvPr id="1670" name="Textbox 1670"/>
                        <wps:cNvSpPr txBox="1"/>
                        <wps:spPr>
                          <a:xfrm>
                            <a:off x="3196735" y="133481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817</w:t>
                              </w:r>
                            </w:p>
                          </w:txbxContent>
                        </wps:txbx>
                        <wps:bodyPr wrap="square" lIns="0" tIns="0" rIns="0" bIns="0" rtlCol="0">
                          <a:noAutofit/>
                        </wps:bodyPr>
                      </wps:wsp>
                      <wps:wsp>
                        <wps:cNvPr id="1671" name="Textbox 1671"/>
                        <wps:cNvSpPr txBox="1"/>
                        <wps:spPr>
                          <a:xfrm>
                            <a:off x="2079135" y="136181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783</w:t>
                              </w:r>
                            </w:p>
                          </w:txbxContent>
                        </wps:txbx>
                        <wps:bodyPr wrap="square" lIns="0" tIns="0" rIns="0" bIns="0" rtlCol="0">
                          <a:noAutofit/>
                        </wps:bodyPr>
                      </wps:wsp>
                      <wps:wsp>
                        <wps:cNvPr id="1672" name="Textbox 1672"/>
                        <wps:cNvSpPr txBox="1"/>
                        <wps:spPr>
                          <a:xfrm>
                            <a:off x="961535" y="136181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759</w:t>
                              </w:r>
                            </w:p>
                          </w:txbxContent>
                        </wps:txbx>
                        <wps:bodyPr wrap="square" lIns="0" tIns="0" rIns="0" bIns="0" rtlCol="0">
                          <a:noAutofit/>
                        </wps:bodyPr>
                      </wps:wsp>
                      <wps:wsp>
                        <wps:cNvPr id="1673" name="Textbox 1673"/>
                        <wps:cNvSpPr txBox="1"/>
                        <wps:spPr>
                          <a:xfrm>
                            <a:off x="241051" y="1274096"/>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1000</w:t>
                              </w:r>
                            </w:p>
                          </w:txbxContent>
                        </wps:txbx>
                        <wps:bodyPr wrap="square" lIns="0" tIns="0" rIns="0" bIns="0" rtlCol="0">
                          <a:noAutofit/>
                        </wps:bodyPr>
                      </wps:wsp>
                      <wps:wsp>
                        <wps:cNvPr id="1674" name="Textbox 1674"/>
                        <wps:cNvSpPr txBox="1"/>
                        <wps:spPr>
                          <a:xfrm>
                            <a:off x="241051" y="901985"/>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1500</w:t>
                              </w:r>
                            </w:p>
                          </w:txbxContent>
                        </wps:txbx>
                        <wps:bodyPr wrap="square" lIns="0" tIns="0" rIns="0" bIns="0" rtlCol="0">
                          <a:noAutofit/>
                        </wps:bodyPr>
                      </wps:wsp>
                      <wps:wsp>
                        <wps:cNvPr id="1675" name="Textbox 1675"/>
                        <wps:cNvSpPr txBox="1"/>
                        <wps:spPr>
                          <a:xfrm>
                            <a:off x="241051" y="529875"/>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2000</w:t>
                              </w:r>
                            </w:p>
                          </w:txbxContent>
                        </wps:txbx>
                        <wps:bodyPr wrap="square" lIns="0" tIns="0" rIns="0" bIns="0" rtlCol="0">
                          <a:noAutofit/>
                        </wps:bodyPr>
                      </wps:wsp>
                      <wps:wsp>
                        <wps:cNvPr id="1676" name="Textbox 1676"/>
                        <wps:cNvSpPr txBox="1"/>
                        <wps:spPr>
                          <a:xfrm>
                            <a:off x="4294063" y="362816"/>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2092</w:t>
                              </w:r>
                            </w:p>
                          </w:txbxContent>
                        </wps:txbx>
                        <wps:bodyPr wrap="square" lIns="0" tIns="0" rIns="0" bIns="0" rtlCol="0">
                          <a:noAutofit/>
                        </wps:bodyPr>
                      </wps:wsp>
                      <wps:wsp>
                        <wps:cNvPr id="1677" name="Textbox 1677"/>
                        <wps:cNvSpPr txBox="1"/>
                        <wps:spPr>
                          <a:xfrm>
                            <a:off x="241051" y="157765"/>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2500</w:t>
                              </w:r>
                            </w:p>
                          </w:txbxContent>
                        </wps:txbx>
                        <wps:bodyPr wrap="square" lIns="0" tIns="0" rIns="0" bIns="0" rtlCol="0">
                          <a:noAutofit/>
                        </wps:bodyPr>
                      </wps:wsp>
                    </wpg:wgp>
                  </a:graphicData>
                </a:graphic>
              </wp:anchor>
            </w:drawing>
          </mc:Choice>
          <mc:Fallback>
            <w:pict>
              <v:group style="position:absolute;margin-left:99.037399pt;margin-top:6.751172pt;width:396.8pt;height:189pt;mso-position-horizontal-relative:page;mso-position-vertical-relative:paragraph;z-index:-15617536;mso-wrap-distance-left:0;mso-wrap-distance-right:0" id="docshapegroup1646" coordorigin="1981,135" coordsize="7936,3780">
                <v:shape style="position:absolute;left:1980;top:135;width:7936;height:3780" id="docshape1647" coordorigin="1981,135" coordsize="7936,3780" path="m9916,135l9906,135,9906,145,9906,3905,9906,3905,9906,3910,9906,3911,1986,3911,1986,3910,1991,3910,9906,3910,9906,3905,1991,3905,1986,3905,1986,3905,1991,3905,1991,145,9906,145,9906,135,1981,135,1981,141,1981,145,1981,3905,1981,3911,1981,3915,9916,3915,9916,3911,9911,3911,9911,3910,9916,3910,9916,3905,9911,3905,9911,3905,9916,3905,9916,145,9916,141,9916,140,9916,135xe" filled="true" fillcolor="#000000" stroked="false">
                  <v:path arrowok="t"/>
                  <v:fill type="solid"/>
                </v:shape>
                <v:shape style="position:absolute;left:3250;top:932;width:5973;height:2467" id="docshape1648" coordorigin="3251,933" coordsize="5973,2467" path="m3965,2510l3251,2510,3251,3400,3965,3400,3965,2510xm5713,2471l5012,2471,5012,3400,5713,3400,5713,2471xm7475,2433l6760,2433,6760,3400,7475,3400,7475,2433xm9223,933l8521,933,8521,3400,9223,3400,9223,933xe" filled="true" fillcolor="#2b8e42" stroked="false">
                  <v:path arrowok="t"/>
                  <v:fill type="solid"/>
                </v:shape>
                <v:shape style="position:absolute;left:2671;top:444;width:7080;height:3011" id="docshape1649" coordorigin="2671,445" coordsize="7080,3011" path="m9751,3395l9751,3395,2732,3395,2732,445,2722,445,2671,445,2671,455,2722,455,2722,1030,2671,1030,2671,1040,2722,1040,2722,1627,2671,1627,2671,1637,2722,1637,2722,2212,2671,2212,2671,2222,2722,2222,2722,2810,2671,2810,2671,2820,2722,2820,2722,3395,2671,3395,2671,3405,2722,3405,2722,3455,2732,3455,2732,3405,4483,3405,4483,3455,4493,3455,4493,3405,6232,3405,6232,3455,6242,3455,6242,3405,7993,3405,7993,3455,8003,3455,8003,3405,9741,3405,9741,3455,9751,3455,9751,3395xe" filled="true" fillcolor="#000000" stroked="false">
                  <v:path arrowok="t"/>
                  <v:fill type="solid"/>
                </v:shape>
                <v:shape style="position:absolute;left:8660;top:3484;width:442;height:161" type="#_x0000_t202" id="docshape1650" filled="false" stroked="false">
                  <v:textbox inset="0,0,0,0">
                    <w:txbxContent>
                      <w:p>
                        <w:pPr>
                          <w:spacing w:line="161" w:lineRule="exact" w:before="0"/>
                          <w:ind w:left="0" w:right="0" w:firstLine="0"/>
                          <w:jc w:val="left"/>
                          <w:rPr>
                            <w:rFonts w:ascii="Arial MT"/>
                            <w:sz w:val="14"/>
                          </w:rPr>
                        </w:pPr>
                        <w:r>
                          <w:rPr>
                            <w:rFonts w:ascii="Arial MT"/>
                            <w:w w:val="80"/>
                            <w:sz w:val="14"/>
                          </w:rPr>
                          <w:t>2005-</w:t>
                        </w:r>
                        <w:r>
                          <w:rPr>
                            <w:rFonts w:ascii="Arial MT"/>
                            <w:spacing w:val="-5"/>
                            <w:w w:val="90"/>
                            <w:sz w:val="14"/>
                          </w:rPr>
                          <w:t>06</w:t>
                        </w:r>
                      </w:p>
                    </w:txbxContent>
                  </v:textbox>
                  <w10:wrap type="none"/>
                </v:shape>
                <v:shape style="position:absolute;left:6900;top:3484;width:442;height:161" type="#_x0000_t202" id="docshape1651" filled="false" stroked="false">
                  <v:textbox inset="0,0,0,0">
                    <w:txbxContent>
                      <w:p>
                        <w:pPr>
                          <w:spacing w:line="161" w:lineRule="exact" w:before="0"/>
                          <w:ind w:left="0" w:right="0" w:firstLine="0"/>
                          <w:jc w:val="left"/>
                          <w:rPr>
                            <w:rFonts w:ascii="Arial MT"/>
                            <w:sz w:val="14"/>
                          </w:rPr>
                        </w:pPr>
                        <w:r>
                          <w:rPr>
                            <w:rFonts w:ascii="Arial MT"/>
                            <w:w w:val="80"/>
                            <w:sz w:val="14"/>
                          </w:rPr>
                          <w:t>2004-</w:t>
                        </w:r>
                        <w:r>
                          <w:rPr>
                            <w:rFonts w:ascii="Arial MT"/>
                            <w:spacing w:val="-5"/>
                            <w:w w:val="90"/>
                            <w:sz w:val="14"/>
                          </w:rPr>
                          <w:t>05</w:t>
                        </w:r>
                      </w:p>
                    </w:txbxContent>
                  </v:textbox>
                  <w10:wrap type="none"/>
                </v:shape>
                <v:shape style="position:absolute;left:5140;top:3484;width:442;height:161" type="#_x0000_t202" id="docshape1652" filled="false" stroked="false">
                  <v:textbox inset="0,0,0,0">
                    <w:txbxContent>
                      <w:p>
                        <w:pPr>
                          <w:spacing w:line="161" w:lineRule="exact" w:before="0"/>
                          <w:ind w:left="0" w:right="0" w:firstLine="0"/>
                          <w:jc w:val="left"/>
                          <w:rPr>
                            <w:rFonts w:ascii="Arial MT"/>
                            <w:sz w:val="14"/>
                          </w:rPr>
                        </w:pPr>
                        <w:r>
                          <w:rPr>
                            <w:rFonts w:ascii="Arial MT"/>
                            <w:w w:val="80"/>
                            <w:sz w:val="14"/>
                          </w:rPr>
                          <w:t>2003-</w:t>
                        </w:r>
                        <w:r>
                          <w:rPr>
                            <w:rFonts w:ascii="Arial MT"/>
                            <w:spacing w:val="-5"/>
                            <w:w w:val="90"/>
                            <w:sz w:val="14"/>
                          </w:rPr>
                          <w:t>04</w:t>
                        </w:r>
                      </w:p>
                    </w:txbxContent>
                  </v:textbox>
                  <w10:wrap type="none"/>
                </v:shape>
                <v:shape style="position:absolute;left:3380;top:3484;width:442;height:161" type="#_x0000_t202" id="docshape1653" filled="false" stroked="false">
                  <v:textbox inset="0,0,0,0">
                    <w:txbxContent>
                      <w:p>
                        <w:pPr>
                          <w:spacing w:line="161" w:lineRule="exact" w:before="0"/>
                          <w:ind w:left="0" w:right="0" w:firstLine="0"/>
                          <w:jc w:val="left"/>
                          <w:rPr>
                            <w:rFonts w:ascii="Arial MT"/>
                            <w:sz w:val="14"/>
                          </w:rPr>
                        </w:pPr>
                        <w:r>
                          <w:rPr>
                            <w:rFonts w:ascii="Arial MT"/>
                            <w:w w:val="80"/>
                            <w:sz w:val="14"/>
                          </w:rPr>
                          <w:t>2002-</w:t>
                        </w:r>
                        <w:r>
                          <w:rPr>
                            <w:rFonts w:ascii="Arial MT"/>
                            <w:spacing w:val="-5"/>
                            <w:w w:val="90"/>
                            <w:sz w:val="14"/>
                          </w:rPr>
                          <w:t>03</w:t>
                        </w:r>
                      </w:p>
                    </w:txbxContent>
                  </v:textbox>
                  <w10:wrap type="none"/>
                </v:shape>
                <v:shape style="position:absolute;left:2551;top:3313;width:84;height:161" type="#_x0000_t202" id="docshape1654"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2424;top:2727;width:212;height:161" type="#_x0000_t202" id="docshape1655" filled="false" stroked="false">
                  <v:textbox inset="0,0,0,0">
                    <w:txbxContent>
                      <w:p>
                        <w:pPr>
                          <w:spacing w:line="161" w:lineRule="exact" w:before="0"/>
                          <w:ind w:left="0" w:right="0" w:firstLine="0"/>
                          <w:jc w:val="left"/>
                          <w:rPr>
                            <w:rFonts w:ascii="Arial MT"/>
                            <w:sz w:val="14"/>
                          </w:rPr>
                        </w:pPr>
                        <w:r>
                          <w:rPr>
                            <w:rFonts w:ascii="Arial MT"/>
                            <w:spacing w:val="-5"/>
                            <w:w w:val="90"/>
                            <w:sz w:val="14"/>
                          </w:rPr>
                          <w:t>500</w:t>
                        </w:r>
                      </w:p>
                    </w:txbxContent>
                  </v:textbox>
                  <w10:wrap type="none"/>
                </v:shape>
                <v:shape style="position:absolute;left:7014;top:2237;width:212;height:161" type="#_x0000_t202" id="docshape1656" filled="false" stroked="false">
                  <v:textbox inset="0,0,0,0">
                    <w:txbxContent>
                      <w:p>
                        <w:pPr>
                          <w:spacing w:line="161" w:lineRule="exact" w:before="0"/>
                          <w:ind w:left="0" w:right="0" w:firstLine="0"/>
                          <w:jc w:val="left"/>
                          <w:rPr>
                            <w:rFonts w:ascii="Arial MT"/>
                            <w:sz w:val="14"/>
                          </w:rPr>
                        </w:pPr>
                        <w:r>
                          <w:rPr>
                            <w:rFonts w:ascii="Arial MT"/>
                            <w:spacing w:val="-5"/>
                            <w:w w:val="90"/>
                            <w:sz w:val="14"/>
                          </w:rPr>
                          <w:t>817</w:t>
                        </w:r>
                      </w:p>
                    </w:txbxContent>
                  </v:textbox>
                  <w10:wrap type="none"/>
                </v:shape>
                <v:shape style="position:absolute;left:5254;top:2279;width:212;height:161" type="#_x0000_t202" id="docshape1657" filled="false" stroked="false">
                  <v:textbox inset="0,0,0,0">
                    <w:txbxContent>
                      <w:p>
                        <w:pPr>
                          <w:spacing w:line="161" w:lineRule="exact" w:before="0"/>
                          <w:ind w:left="0" w:right="0" w:firstLine="0"/>
                          <w:jc w:val="left"/>
                          <w:rPr>
                            <w:rFonts w:ascii="Arial MT"/>
                            <w:sz w:val="14"/>
                          </w:rPr>
                        </w:pPr>
                        <w:r>
                          <w:rPr>
                            <w:rFonts w:ascii="Arial MT"/>
                            <w:spacing w:val="-5"/>
                            <w:w w:val="90"/>
                            <w:sz w:val="14"/>
                          </w:rPr>
                          <w:t>783</w:t>
                        </w:r>
                      </w:p>
                    </w:txbxContent>
                  </v:textbox>
                  <w10:wrap type="none"/>
                </v:shape>
                <v:shape style="position:absolute;left:3494;top:2279;width:212;height:161" type="#_x0000_t202" id="docshape1658" filled="false" stroked="false">
                  <v:textbox inset="0,0,0,0">
                    <w:txbxContent>
                      <w:p>
                        <w:pPr>
                          <w:spacing w:line="161" w:lineRule="exact" w:before="0"/>
                          <w:ind w:left="0" w:right="0" w:firstLine="0"/>
                          <w:jc w:val="left"/>
                          <w:rPr>
                            <w:rFonts w:ascii="Arial MT"/>
                            <w:sz w:val="14"/>
                          </w:rPr>
                        </w:pPr>
                        <w:r>
                          <w:rPr>
                            <w:rFonts w:ascii="Arial MT"/>
                            <w:spacing w:val="-5"/>
                            <w:w w:val="90"/>
                            <w:sz w:val="14"/>
                          </w:rPr>
                          <w:t>759</w:t>
                        </w:r>
                      </w:p>
                    </w:txbxContent>
                  </v:textbox>
                  <w10:wrap type="none"/>
                </v:shape>
                <v:shape style="position:absolute;left:2360;top:2141;width:276;height:161" type="#_x0000_t202" id="docshape1659" filled="false" stroked="false">
                  <v:textbox inset="0,0,0,0">
                    <w:txbxContent>
                      <w:p>
                        <w:pPr>
                          <w:spacing w:line="161" w:lineRule="exact" w:before="0"/>
                          <w:ind w:left="0" w:right="0" w:firstLine="0"/>
                          <w:jc w:val="left"/>
                          <w:rPr>
                            <w:rFonts w:ascii="Arial MT"/>
                            <w:sz w:val="14"/>
                          </w:rPr>
                        </w:pPr>
                        <w:r>
                          <w:rPr>
                            <w:rFonts w:ascii="Arial MT"/>
                            <w:spacing w:val="-4"/>
                            <w:w w:val="85"/>
                            <w:sz w:val="14"/>
                          </w:rPr>
                          <w:t>1000</w:t>
                        </w:r>
                      </w:p>
                    </w:txbxContent>
                  </v:textbox>
                  <w10:wrap type="none"/>
                </v:shape>
                <v:shape style="position:absolute;left:2360;top:1555;width:276;height:161" type="#_x0000_t202" id="docshape1660" filled="false" stroked="false">
                  <v:textbox inset="0,0,0,0">
                    <w:txbxContent>
                      <w:p>
                        <w:pPr>
                          <w:spacing w:line="161" w:lineRule="exact" w:before="0"/>
                          <w:ind w:left="0" w:right="0" w:firstLine="0"/>
                          <w:jc w:val="left"/>
                          <w:rPr>
                            <w:rFonts w:ascii="Arial MT"/>
                            <w:sz w:val="14"/>
                          </w:rPr>
                        </w:pPr>
                        <w:r>
                          <w:rPr>
                            <w:rFonts w:ascii="Arial MT"/>
                            <w:spacing w:val="-4"/>
                            <w:w w:val="85"/>
                            <w:sz w:val="14"/>
                          </w:rPr>
                          <w:t>1500</w:t>
                        </w:r>
                      </w:p>
                    </w:txbxContent>
                  </v:textbox>
                  <w10:wrap type="none"/>
                </v:shape>
                <v:shape style="position:absolute;left:2360;top:969;width:276;height:161" type="#_x0000_t202" id="docshape1661" filled="false" stroked="false">
                  <v:textbox inset="0,0,0,0">
                    <w:txbxContent>
                      <w:p>
                        <w:pPr>
                          <w:spacing w:line="161" w:lineRule="exact" w:before="0"/>
                          <w:ind w:left="0" w:right="0" w:firstLine="0"/>
                          <w:jc w:val="left"/>
                          <w:rPr>
                            <w:rFonts w:ascii="Arial MT"/>
                            <w:sz w:val="14"/>
                          </w:rPr>
                        </w:pPr>
                        <w:r>
                          <w:rPr>
                            <w:rFonts w:ascii="Arial MT"/>
                            <w:spacing w:val="-4"/>
                            <w:w w:val="85"/>
                            <w:sz w:val="14"/>
                          </w:rPr>
                          <w:t>2000</w:t>
                        </w:r>
                      </w:p>
                    </w:txbxContent>
                  </v:textbox>
                  <w10:wrap type="none"/>
                </v:shape>
                <v:shape style="position:absolute;left:8743;top:706;width:276;height:161" type="#_x0000_t202" id="docshape1662" filled="false" stroked="false">
                  <v:textbox inset="0,0,0,0">
                    <w:txbxContent>
                      <w:p>
                        <w:pPr>
                          <w:spacing w:line="161" w:lineRule="exact" w:before="0"/>
                          <w:ind w:left="0" w:right="0" w:firstLine="0"/>
                          <w:jc w:val="left"/>
                          <w:rPr>
                            <w:rFonts w:ascii="Arial MT"/>
                            <w:sz w:val="14"/>
                          </w:rPr>
                        </w:pPr>
                        <w:r>
                          <w:rPr>
                            <w:rFonts w:ascii="Arial MT"/>
                            <w:spacing w:val="-4"/>
                            <w:w w:val="85"/>
                            <w:sz w:val="14"/>
                          </w:rPr>
                          <w:t>2092</w:t>
                        </w:r>
                      </w:p>
                    </w:txbxContent>
                  </v:textbox>
                  <w10:wrap type="none"/>
                </v:shape>
                <v:shape style="position:absolute;left:2360;top:383;width:276;height:161" type="#_x0000_t202" id="docshape1663" filled="false" stroked="false">
                  <v:textbox inset="0,0,0,0">
                    <w:txbxContent>
                      <w:p>
                        <w:pPr>
                          <w:spacing w:line="161" w:lineRule="exact" w:before="0"/>
                          <w:ind w:left="0" w:right="0" w:firstLine="0"/>
                          <w:jc w:val="left"/>
                          <w:rPr>
                            <w:rFonts w:ascii="Arial MT"/>
                            <w:sz w:val="14"/>
                          </w:rPr>
                        </w:pPr>
                        <w:r>
                          <w:rPr>
                            <w:rFonts w:ascii="Arial MT"/>
                            <w:spacing w:val="-4"/>
                            <w:w w:val="85"/>
                            <w:sz w:val="14"/>
                          </w:rPr>
                          <w:t>2500</w:t>
                        </w:r>
                      </w:p>
                    </w:txbxContent>
                  </v:textbox>
                  <w10:wrap type="none"/>
                </v:shape>
                <w10:wrap type="topAndBottom"/>
              </v:group>
            </w:pict>
          </mc:Fallback>
        </mc:AlternateContent>
      </w:r>
    </w:p>
    <w:p>
      <w:pPr>
        <w:spacing w:before="54"/>
        <w:ind w:left="1975" w:right="0" w:firstLine="0"/>
        <w:jc w:val="left"/>
        <w:rPr>
          <w:sz w:val="16"/>
        </w:rPr>
      </w:pPr>
      <w:r>
        <w:rPr>
          <w:i/>
          <w:spacing w:val="-4"/>
          <w:sz w:val="16"/>
        </w:rPr>
        <w:t>Source: </w:t>
      </w:r>
      <w:r>
        <w:rPr>
          <w:spacing w:val="-4"/>
          <w:sz w:val="16"/>
        </w:rPr>
        <w:t>MHRD,</w:t>
      </w:r>
      <w:r>
        <w:rPr>
          <w:spacing w:val="-3"/>
          <w:sz w:val="16"/>
        </w:rPr>
        <w:t> </w:t>
      </w:r>
      <w:r>
        <w:rPr>
          <w:spacing w:val="-4"/>
          <w:sz w:val="16"/>
        </w:rPr>
        <w:t>Selected</w:t>
      </w:r>
      <w:r>
        <w:rPr>
          <w:spacing w:val="-3"/>
          <w:sz w:val="16"/>
        </w:rPr>
        <w:t> </w:t>
      </w:r>
      <w:r>
        <w:rPr>
          <w:spacing w:val="-4"/>
          <w:sz w:val="16"/>
        </w:rPr>
        <w:t>Statistics</w:t>
      </w:r>
      <w:r>
        <w:rPr>
          <w:spacing w:val="-3"/>
          <w:sz w:val="16"/>
        </w:rPr>
        <w:t> </w:t>
      </w:r>
      <w:r>
        <w:rPr>
          <w:spacing w:val="-4"/>
          <w:sz w:val="16"/>
        </w:rPr>
        <w:t>2005-</w:t>
      </w:r>
      <w:r>
        <w:rPr>
          <w:spacing w:val="-5"/>
          <w:sz w:val="16"/>
        </w:rPr>
        <w:t>06</w:t>
      </w:r>
    </w:p>
    <w:p>
      <w:pPr>
        <w:pStyle w:val="BodyText"/>
        <w:spacing w:before="272"/>
        <w:rPr>
          <w:sz w:val="24"/>
        </w:rPr>
      </w:pPr>
    </w:p>
    <w:p>
      <w:pPr>
        <w:pStyle w:val="Heading8"/>
        <w:ind w:left="1975"/>
      </w:pPr>
      <w:r>
        <w:rPr>
          <w:w w:val="90"/>
        </w:rPr>
        <w:t>Figure</w:t>
      </w:r>
      <w:r>
        <w:rPr>
          <w:spacing w:val="11"/>
        </w:rPr>
        <w:t> </w:t>
      </w:r>
      <w:r>
        <w:rPr>
          <w:w w:val="90"/>
        </w:rPr>
        <w:t>30:</w:t>
      </w:r>
      <w:r>
        <w:rPr>
          <w:spacing w:val="11"/>
        </w:rPr>
        <w:t> </w:t>
      </w:r>
      <w:r>
        <w:rPr>
          <w:color w:val="2E614A"/>
          <w:w w:val="90"/>
        </w:rPr>
        <w:t>Growth</w:t>
      </w:r>
      <w:r>
        <w:rPr>
          <w:color w:val="2E614A"/>
          <w:spacing w:val="11"/>
        </w:rPr>
        <w:t> </w:t>
      </w:r>
      <w:r>
        <w:rPr>
          <w:color w:val="2E614A"/>
          <w:w w:val="90"/>
        </w:rPr>
        <w:t>in</w:t>
      </w:r>
      <w:r>
        <w:rPr>
          <w:color w:val="2E614A"/>
          <w:spacing w:val="12"/>
        </w:rPr>
        <w:t> </w:t>
      </w:r>
      <w:r>
        <w:rPr>
          <w:color w:val="2E614A"/>
          <w:w w:val="90"/>
        </w:rPr>
        <w:t>medical</w:t>
      </w:r>
      <w:r>
        <w:rPr>
          <w:color w:val="2E614A"/>
          <w:spacing w:val="11"/>
        </w:rPr>
        <w:t> </w:t>
      </w:r>
      <w:r>
        <w:rPr>
          <w:color w:val="2E614A"/>
          <w:w w:val="90"/>
        </w:rPr>
        <w:t>colleges</w:t>
      </w:r>
      <w:r>
        <w:rPr>
          <w:color w:val="2E614A"/>
          <w:spacing w:val="11"/>
        </w:rPr>
        <w:t> </w:t>
      </w:r>
      <w:r>
        <w:rPr>
          <w:color w:val="2E614A"/>
          <w:w w:val="90"/>
        </w:rPr>
        <w:t>–</w:t>
      </w:r>
      <w:r>
        <w:rPr>
          <w:color w:val="2E614A"/>
          <w:spacing w:val="11"/>
        </w:rPr>
        <w:t> </w:t>
      </w:r>
      <w:r>
        <w:rPr>
          <w:color w:val="2E614A"/>
          <w:w w:val="90"/>
        </w:rPr>
        <w:t>government</w:t>
      </w:r>
      <w:r>
        <w:rPr>
          <w:color w:val="2E614A"/>
          <w:spacing w:val="12"/>
        </w:rPr>
        <w:t> </w:t>
      </w:r>
      <w:r>
        <w:rPr>
          <w:color w:val="2E614A"/>
          <w:w w:val="90"/>
        </w:rPr>
        <w:t>and</w:t>
      </w:r>
      <w:r>
        <w:rPr>
          <w:color w:val="2E614A"/>
          <w:spacing w:val="11"/>
        </w:rPr>
        <w:t> </w:t>
      </w:r>
      <w:r>
        <w:rPr>
          <w:color w:val="2E614A"/>
          <w:spacing w:val="-2"/>
          <w:w w:val="90"/>
        </w:rPr>
        <w:t>private</w:t>
      </w:r>
    </w:p>
    <w:p>
      <w:pPr>
        <w:pStyle w:val="BodyText"/>
        <w:spacing w:before="2"/>
        <w:rPr>
          <w:b/>
          <w:sz w:val="13"/>
        </w:rPr>
      </w:pPr>
      <w:r>
        <w:rPr/>
        <mc:AlternateContent>
          <mc:Choice Requires="wps">
            <w:drawing>
              <wp:anchor distT="0" distB="0" distL="0" distR="0" allowOverlap="1" layoutInCell="1" locked="0" behindDoc="1" simplePos="0" relativeHeight="487699456">
                <wp:simplePos x="0" y="0"/>
                <wp:positionH relativeFrom="page">
                  <wp:posOffset>1260949</wp:posOffset>
                </wp:positionH>
                <wp:positionV relativeFrom="paragraph">
                  <wp:posOffset>111799</wp:posOffset>
                </wp:positionV>
                <wp:extent cx="5039360" cy="2504440"/>
                <wp:effectExtent l="0" t="0" r="0" b="0"/>
                <wp:wrapTopAndBottom/>
                <wp:docPr id="1678" name="Group 1678"/>
                <wp:cNvGraphicFramePr>
                  <a:graphicFrameLocks/>
                </wp:cNvGraphicFramePr>
                <a:graphic>
                  <a:graphicData uri="http://schemas.microsoft.com/office/word/2010/wordprocessingGroup">
                    <wpg:wgp>
                      <wpg:cNvPr id="1678" name="Group 1678"/>
                      <wpg:cNvGrpSpPr/>
                      <wpg:grpSpPr>
                        <a:xfrm>
                          <a:off x="0" y="0"/>
                          <a:ext cx="5039360" cy="2504440"/>
                          <a:chExt cx="5039360" cy="2504440"/>
                        </a:xfrm>
                      </wpg:grpSpPr>
                      <wps:wsp>
                        <wps:cNvPr id="1679" name="Graphic 1679"/>
                        <wps:cNvSpPr/>
                        <wps:spPr>
                          <a:xfrm>
                            <a:off x="503181" y="564908"/>
                            <a:ext cx="4371975" cy="1612900"/>
                          </a:xfrm>
                          <a:custGeom>
                            <a:avLst/>
                            <a:gdLst/>
                            <a:ahLst/>
                            <a:cxnLst/>
                            <a:rect l="l" t="t" r="r" b="b"/>
                            <a:pathLst>
                              <a:path w="4371975" h="1612900">
                                <a:moveTo>
                                  <a:pt x="4371860" y="1576489"/>
                                </a:moveTo>
                                <a:lnTo>
                                  <a:pt x="4371860" y="1576489"/>
                                </a:lnTo>
                                <a:lnTo>
                                  <a:pt x="46126" y="1576489"/>
                                </a:lnTo>
                                <a:lnTo>
                                  <a:pt x="46126" y="0"/>
                                </a:lnTo>
                                <a:lnTo>
                                  <a:pt x="39776" y="0"/>
                                </a:lnTo>
                                <a:lnTo>
                                  <a:pt x="0" y="0"/>
                                </a:lnTo>
                                <a:lnTo>
                                  <a:pt x="0" y="6350"/>
                                </a:lnTo>
                                <a:lnTo>
                                  <a:pt x="39776" y="6350"/>
                                </a:lnTo>
                                <a:lnTo>
                                  <a:pt x="39776" y="228041"/>
                                </a:lnTo>
                                <a:lnTo>
                                  <a:pt x="0" y="228041"/>
                                </a:lnTo>
                                <a:lnTo>
                                  <a:pt x="0" y="234391"/>
                                </a:lnTo>
                                <a:lnTo>
                                  <a:pt x="39776" y="234391"/>
                                </a:lnTo>
                                <a:lnTo>
                                  <a:pt x="39776" y="446163"/>
                                </a:lnTo>
                                <a:lnTo>
                                  <a:pt x="0" y="446163"/>
                                </a:lnTo>
                                <a:lnTo>
                                  <a:pt x="0" y="452513"/>
                                </a:lnTo>
                                <a:lnTo>
                                  <a:pt x="39776" y="452513"/>
                                </a:lnTo>
                                <a:lnTo>
                                  <a:pt x="39776" y="674217"/>
                                </a:lnTo>
                                <a:lnTo>
                                  <a:pt x="0" y="674217"/>
                                </a:lnTo>
                                <a:lnTo>
                                  <a:pt x="0" y="680567"/>
                                </a:lnTo>
                                <a:lnTo>
                                  <a:pt x="39776" y="680567"/>
                                </a:lnTo>
                                <a:lnTo>
                                  <a:pt x="39776" y="902258"/>
                                </a:lnTo>
                                <a:lnTo>
                                  <a:pt x="0" y="902258"/>
                                </a:lnTo>
                                <a:lnTo>
                                  <a:pt x="0" y="908608"/>
                                </a:lnTo>
                                <a:lnTo>
                                  <a:pt x="39776" y="908608"/>
                                </a:lnTo>
                                <a:lnTo>
                                  <a:pt x="39776" y="1130312"/>
                                </a:lnTo>
                                <a:lnTo>
                                  <a:pt x="0" y="1130312"/>
                                </a:lnTo>
                                <a:lnTo>
                                  <a:pt x="0" y="1136662"/>
                                </a:lnTo>
                                <a:lnTo>
                                  <a:pt x="39776" y="1136662"/>
                                </a:lnTo>
                                <a:lnTo>
                                  <a:pt x="39776" y="1348435"/>
                                </a:lnTo>
                                <a:lnTo>
                                  <a:pt x="0" y="1348435"/>
                                </a:lnTo>
                                <a:lnTo>
                                  <a:pt x="0" y="1354785"/>
                                </a:lnTo>
                                <a:lnTo>
                                  <a:pt x="39776" y="1354785"/>
                                </a:lnTo>
                                <a:lnTo>
                                  <a:pt x="39776" y="1576489"/>
                                </a:lnTo>
                                <a:lnTo>
                                  <a:pt x="0" y="1576489"/>
                                </a:lnTo>
                                <a:lnTo>
                                  <a:pt x="0" y="1582839"/>
                                </a:lnTo>
                                <a:lnTo>
                                  <a:pt x="39776" y="1582839"/>
                                </a:lnTo>
                                <a:lnTo>
                                  <a:pt x="39776" y="1612569"/>
                                </a:lnTo>
                                <a:lnTo>
                                  <a:pt x="46126" y="1612569"/>
                                </a:lnTo>
                                <a:lnTo>
                                  <a:pt x="46126" y="1582839"/>
                                </a:lnTo>
                                <a:lnTo>
                                  <a:pt x="348043" y="1582839"/>
                                </a:lnTo>
                                <a:lnTo>
                                  <a:pt x="348043" y="1612569"/>
                                </a:lnTo>
                                <a:lnTo>
                                  <a:pt x="354393" y="1612569"/>
                                </a:lnTo>
                                <a:lnTo>
                                  <a:pt x="354393" y="1582839"/>
                                </a:lnTo>
                                <a:lnTo>
                                  <a:pt x="656323" y="1582839"/>
                                </a:lnTo>
                                <a:lnTo>
                                  <a:pt x="656323" y="1612569"/>
                                </a:lnTo>
                                <a:lnTo>
                                  <a:pt x="662673" y="1612569"/>
                                </a:lnTo>
                                <a:lnTo>
                                  <a:pt x="662673" y="1582839"/>
                                </a:lnTo>
                                <a:lnTo>
                                  <a:pt x="964590" y="1582839"/>
                                </a:lnTo>
                                <a:lnTo>
                                  <a:pt x="964590" y="1612569"/>
                                </a:lnTo>
                                <a:lnTo>
                                  <a:pt x="970940" y="1612569"/>
                                </a:lnTo>
                                <a:lnTo>
                                  <a:pt x="970940" y="1582839"/>
                                </a:lnTo>
                                <a:lnTo>
                                  <a:pt x="1272857" y="1582839"/>
                                </a:lnTo>
                                <a:lnTo>
                                  <a:pt x="1272857" y="1612569"/>
                                </a:lnTo>
                                <a:lnTo>
                                  <a:pt x="1279207" y="1612569"/>
                                </a:lnTo>
                                <a:lnTo>
                                  <a:pt x="1279207" y="1582839"/>
                                </a:lnTo>
                                <a:lnTo>
                                  <a:pt x="1581124" y="1582839"/>
                                </a:lnTo>
                                <a:lnTo>
                                  <a:pt x="1581124" y="1612569"/>
                                </a:lnTo>
                                <a:lnTo>
                                  <a:pt x="1587474" y="1612569"/>
                                </a:lnTo>
                                <a:lnTo>
                                  <a:pt x="1587474" y="1582839"/>
                                </a:lnTo>
                                <a:lnTo>
                                  <a:pt x="1889404" y="1582839"/>
                                </a:lnTo>
                                <a:lnTo>
                                  <a:pt x="1889404" y="1612569"/>
                                </a:lnTo>
                                <a:lnTo>
                                  <a:pt x="1895754" y="1612569"/>
                                </a:lnTo>
                                <a:lnTo>
                                  <a:pt x="1895754" y="1582839"/>
                                </a:lnTo>
                                <a:lnTo>
                                  <a:pt x="2207628" y="1582839"/>
                                </a:lnTo>
                                <a:lnTo>
                                  <a:pt x="2207628" y="1612569"/>
                                </a:lnTo>
                                <a:lnTo>
                                  <a:pt x="2213978" y="1612569"/>
                                </a:lnTo>
                                <a:lnTo>
                                  <a:pt x="2213978" y="1582839"/>
                                </a:lnTo>
                                <a:lnTo>
                                  <a:pt x="2515895" y="1582839"/>
                                </a:lnTo>
                                <a:lnTo>
                                  <a:pt x="2515895" y="1612569"/>
                                </a:lnTo>
                                <a:lnTo>
                                  <a:pt x="2522245" y="1612569"/>
                                </a:lnTo>
                                <a:lnTo>
                                  <a:pt x="2522245" y="1582839"/>
                                </a:lnTo>
                                <a:lnTo>
                                  <a:pt x="2824162" y="1582839"/>
                                </a:lnTo>
                                <a:lnTo>
                                  <a:pt x="2824162" y="1612569"/>
                                </a:lnTo>
                                <a:lnTo>
                                  <a:pt x="2830512" y="1612569"/>
                                </a:lnTo>
                                <a:lnTo>
                                  <a:pt x="2830512" y="1582839"/>
                                </a:lnTo>
                                <a:lnTo>
                                  <a:pt x="3132429" y="1582839"/>
                                </a:lnTo>
                                <a:lnTo>
                                  <a:pt x="3132429" y="1612569"/>
                                </a:lnTo>
                                <a:lnTo>
                                  <a:pt x="3138779" y="1612569"/>
                                </a:lnTo>
                                <a:lnTo>
                                  <a:pt x="3138779" y="1582839"/>
                                </a:lnTo>
                                <a:lnTo>
                                  <a:pt x="3440709" y="1582839"/>
                                </a:lnTo>
                                <a:lnTo>
                                  <a:pt x="3440709" y="1612569"/>
                                </a:lnTo>
                                <a:lnTo>
                                  <a:pt x="3447059" y="1612569"/>
                                </a:lnTo>
                                <a:lnTo>
                                  <a:pt x="3447059" y="1582839"/>
                                </a:lnTo>
                                <a:lnTo>
                                  <a:pt x="3748976" y="1582839"/>
                                </a:lnTo>
                                <a:lnTo>
                                  <a:pt x="3748976" y="1612569"/>
                                </a:lnTo>
                                <a:lnTo>
                                  <a:pt x="3755326" y="1612569"/>
                                </a:lnTo>
                                <a:lnTo>
                                  <a:pt x="3755326" y="1582839"/>
                                </a:lnTo>
                                <a:lnTo>
                                  <a:pt x="4057256" y="1582839"/>
                                </a:lnTo>
                                <a:lnTo>
                                  <a:pt x="4057256" y="1612569"/>
                                </a:lnTo>
                                <a:lnTo>
                                  <a:pt x="4063606" y="1612569"/>
                                </a:lnTo>
                                <a:lnTo>
                                  <a:pt x="4063606" y="1582839"/>
                                </a:lnTo>
                                <a:lnTo>
                                  <a:pt x="4365510" y="1582839"/>
                                </a:lnTo>
                                <a:lnTo>
                                  <a:pt x="4365510" y="1612569"/>
                                </a:lnTo>
                                <a:lnTo>
                                  <a:pt x="4371860" y="1612569"/>
                                </a:lnTo>
                                <a:lnTo>
                                  <a:pt x="4371860" y="1576489"/>
                                </a:lnTo>
                                <a:close/>
                              </a:path>
                            </a:pathLst>
                          </a:custGeom>
                          <a:solidFill>
                            <a:srgbClr val="000000"/>
                          </a:solidFill>
                        </wps:spPr>
                        <wps:bodyPr wrap="square" lIns="0" tIns="0" rIns="0" bIns="0" rtlCol="0">
                          <a:prstTxWarp prst="textNoShape">
                            <a:avLst/>
                          </a:prstTxWarp>
                          <a:noAutofit/>
                        </wps:bodyPr>
                      </wps:wsp>
                      <wps:wsp>
                        <wps:cNvPr id="1680" name="Graphic 1680"/>
                        <wps:cNvSpPr/>
                        <wps:spPr>
                          <a:xfrm>
                            <a:off x="695738" y="655639"/>
                            <a:ext cx="4029075" cy="309880"/>
                          </a:xfrm>
                          <a:custGeom>
                            <a:avLst/>
                            <a:gdLst/>
                            <a:ahLst/>
                            <a:cxnLst/>
                            <a:rect l="l" t="t" r="r" b="b"/>
                            <a:pathLst>
                              <a:path w="4029075" h="309880">
                                <a:moveTo>
                                  <a:pt x="616271" y="251129"/>
                                </a:moveTo>
                                <a:lnTo>
                                  <a:pt x="307136" y="290903"/>
                                </a:lnTo>
                                <a:lnTo>
                                  <a:pt x="309563" y="309762"/>
                                </a:lnTo>
                                <a:lnTo>
                                  <a:pt x="327286" y="307482"/>
                                </a:lnTo>
                                <a:lnTo>
                                  <a:pt x="327286" y="289612"/>
                                </a:lnTo>
                                <a:lnTo>
                                  <a:pt x="466171" y="289612"/>
                                </a:lnTo>
                                <a:lnTo>
                                  <a:pt x="624323" y="269264"/>
                                </a:lnTo>
                                <a:lnTo>
                                  <a:pt x="616855" y="269264"/>
                                </a:lnTo>
                                <a:lnTo>
                                  <a:pt x="616271" y="251129"/>
                                </a:lnTo>
                                <a:close/>
                              </a:path>
                              <a:path w="4029075" h="309880">
                                <a:moveTo>
                                  <a:pt x="317170" y="289612"/>
                                </a:moveTo>
                                <a:lnTo>
                                  <a:pt x="0" y="289612"/>
                                </a:lnTo>
                                <a:lnTo>
                                  <a:pt x="0" y="308627"/>
                                </a:lnTo>
                                <a:lnTo>
                                  <a:pt x="309416" y="308627"/>
                                </a:lnTo>
                                <a:lnTo>
                                  <a:pt x="307136" y="290903"/>
                                </a:lnTo>
                                <a:lnTo>
                                  <a:pt x="317170" y="289612"/>
                                </a:lnTo>
                                <a:close/>
                              </a:path>
                              <a:path w="4029075" h="309880">
                                <a:moveTo>
                                  <a:pt x="327286" y="307482"/>
                                </a:moveTo>
                                <a:lnTo>
                                  <a:pt x="318389" y="308627"/>
                                </a:lnTo>
                                <a:lnTo>
                                  <a:pt x="327286" y="308627"/>
                                </a:lnTo>
                                <a:lnTo>
                                  <a:pt x="327286" y="307482"/>
                                </a:lnTo>
                                <a:close/>
                              </a:path>
                              <a:path w="4029075" h="309880">
                                <a:moveTo>
                                  <a:pt x="466171" y="289612"/>
                                </a:moveTo>
                                <a:lnTo>
                                  <a:pt x="327286" y="289612"/>
                                </a:lnTo>
                                <a:lnTo>
                                  <a:pt x="327286" y="307482"/>
                                </a:lnTo>
                                <a:lnTo>
                                  <a:pt x="466171" y="289612"/>
                                </a:lnTo>
                                <a:close/>
                              </a:path>
                              <a:path w="4029075" h="309880">
                                <a:moveTo>
                                  <a:pt x="634378" y="249676"/>
                                </a:moveTo>
                                <a:lnTo>
                                  <a:pt x="625291" y="249968"/>
                                </a:lnTo>
                                <a:lnTo>
                                  <a:pt x="616271" y="251129"/>
                                </a:lnTo>
                                <a:lnTo>
                                  <a:pt x="616855" y="269264"/>
                                </a:lnTo>
                                <a:lnTo>
                                  <a:pt x="626813" y="268944"/>
                                </a:lnTo>
                                <a:lnTo>
                                  <a:pt x="636694" y="267672"/>
                                </a:lnTo>
                                <a:lnTo>
                                  <a:pt x="634378" y="249676"/>
                                </a:lnTo>
                                <a:close/>
                              </a:path>
                              <a:path w="4029075" h="309880">
                                <a:moveTo>
                                  <a:pt x="626813" y="268944"/>
                                </a:moveTo>
                                <a:lnTo>
                                  <a:pt x="616855" y="269264"/>
                                </a:lnTo>
                                <a:lnTo>
                                  <a:pt x="624323" y="269264"/>
                                </a:lnTo>
                                <a:lnTo>
                                  <a:pt x="626813" y="268944"/>
                                </a:lnTo>
                                <a:close/>
                              </a:path>
                              <a:path w="4029075" h="309880">
                                <a:moveTo>
                                  <a:pt x="924811" y="240333"/>
                                </a:moveTo>
                                <a:lnTo>
                                  <a:pt x="634378" y="249676"/>
                                </a:lnTo>
                                <a:lnTo>
                                  <a:pt x="636694" y="267672"/>
                                </a:lnTo>
                                <a:lnTo>
                                  <a:pt x="626813" y="268944"/>
                                </a:lnTo>
                                <a:lnTo>
                                  <a:pt x="934473" y="259047"/>
                                </a:lnTo>
                                <a:lnTo>
                                  <a:pt x="924811" y="259047"/>
                                </a:lnTo>
                                <a:lnTo>
                                  <a:pt x="924811" y="240333"/>
                                </a:lnTo>
                                <a:close/>
                              </a:path>
                              <a:path w="4029075" h="309880">
                                <a:moveTo>
                                  <a:pt x="1541056" y="230428"/>
                                </a:moveTo>
                                <a:lnTo>
                                  <a:pt x="1232789" y="240343"/>
                                </a:lnTo>
                                <a:lnTo>
                                  <a:pt x="1233400" y="259348"/>
                                </a:lnTo>
                                <a:lnTo>
                                  <a:pt x="1252104" y="258746"/>
                                </a:lnTo>
                                <a:lnTo>
                                  <a:pt x="1252104" y="240033"/>
                                </a:lnTo>
                                <a:lnTo>
                                  <a:pt x="1541365" y="240033"/>
                                </a:lnTo>
                                <a:lnTo>
                                  <a:pt x="1541056" y="230428"/>
                                </a:lnTo>
                                <a:close/>
                              </a:path>
                              <a:path w="4029075" h="309880">
                                <a:moveTo>
                                  <a:pt x="943515" y="239732"/>
                                </a:moveTo>
                                <a:lnTo>
                                  <a:pt x="924811" y="240333"/>
                                </a:lnTo>
                                <a:lnTo>
                                  <a:pt x="924811" y="259047"/>
                                </a:lnTo>
                                <a:lnTo>
                                  <a:pt x="934473" y="259047"/>
                                </a:lnTo>
                                <a:lnTo>
                                  <a:pt x="944126" y="258736"/>
                                </a:lnTo>
                                <a:lnTo>
                                  <a:pt x="943515" y="239732"/>
                                </a:lnTo>
                                <a:close/>
                              </a:path>
                              <a:path w="4029075" h="309880">
                                <a:moveTo>
                                  <a:pt x="1242439" y="240033"/>
                                </a:moveTo>
                                <a:lnTo>
                                  <a:pt x="943524" y="240033"/>
                                </a:lnTo>
                                <a:lnTo>
                                  <a:pt x="944126" y="258736"/>
                                </a:lnTo>
                                <a:lnTo>
                                  <a:pt x="934473" y="259047"/>
                                </a:lnTo>
                                <a:lnTo>
                                  <a:pt x="1233390" y="259047"/>
                                </a:lnTo>
                                <a:lnTo>
                                  <a:pt x="1232789" y="240343"/>
                                </a:lnTo>
                                <a:lnTo>
                                  <a:pt x="1242439" y="240033"/>
                                </a:lnTo>
                                <a:close/>
                              </a:path>
                              <a:path w="4029075" h="309880">
                                <a:moveTo>
                                  <a:pt x="1252104" y="258746"/>
                                </a:moveTo>
                                <a:lnTo>
                                  <a:pt x="1242750" y="259047"/>
                                </a:lnTo>
                                <a:lnTo>
                                  <a:pt x="1252104" y="259047"/>
                                </a:lnTo>
                                <a:lnTo>
                                  <a:pt x="1252104" y="258746"/>
                                </a:lnTo>
                                <a:close/>
                              </a:path>
                              <a:path w="4029075" h="309880">
                                <a:moveTo>
                                  <a:pt x="1541365" y="240033"/>
                                </a:moveTo>
                                <a:lnTo>
                                  <a:pt x="1252104" y="240033"/>
                                </a:lnTo>
                                <a:lnTo>
                                  <a:pt x="1252104" y="258746"/>
                                </a:lnTo>
                                <a:lnTo>
                                  <a:pt x="1541667" y="249433"/>
                                </a:lnTo>
                                <a:lnTo>
                                  <a:pt x="1541365" y="240033"/>
                                </a:lnTo>
                                <a:close/>
                              </a:path>
                              <a:path w="4029075" h="309880">
                                <a:moveTo>
                                  <a:pt x="625291" y="249968"/>
                                </a:moveTo>
                                <a:lnTo>
                                  <a:pt x="616243" y="250259"/>
                                </a:lnTo>
                                <a:lnTo>
                                  <a:pt x="616271" y="251129"/>
                                </a:lnTo>
                                <a:lnTo>
                                  <a:pt x="625291" y="249968"/>
                                </a:lnTo>
                                <a:close/>
                              </a:path>
                              <a:path w="4029075" h="309880">
                                <a:moveTo>
                                  <a:pt x="634267" y="248813"/>
                                </a:moveTo>
                                <a:lnTo>
                                  <a:pt x="625291" y="249968"/>
                                </a:lnTo>
                                <a:lnTo>
                                  <a:pt x="634378" y="249676"/>
                                </a:lnTo>
                                <a:lnTo>
                                  <a:pt x="634267" y="248813"/>
                                </a:lnTo>
                                <a:close/>
                              </a:path>
                              <a:path w="4029075" h="309880">
                                <a:moveTo>
                                  <a:pt x="1560060" y="229817"/>
                                </a:moveTo>
                                <a:lnTo>
                                  <a:pt x="1541056" y="230428"/>
                                </a:lnTo>
                                <a:lnTo>
                                  <a:pt x="1541667" y="249433"/>
                                </a:lnTo>
                                <a:lnTo>
                                  <a:pt x="1560671" y="248813"/>
                                </a:lnTo>
                                <a:lnTo>
                                  <a:pt x="1560060" y="229817"/>
                                </a:lnTo>
                                <a:close/>
                              </a:path>
                              <a:path w="4029075" h="309880">
                                <a:moveTo>
                                  <a:pt x="1560672" y="248821"/>
                                </a:moveTo>
                                <a:lnTo>
                                  <a:pt x="1541667" y="249433"/>
                                </a:lnTo>
                                <a:lnTo>
                                  <a:pt x="1560672" y="248821"/>
                                </a:lnTo>
                                <a:close/>
                              </a:path>
                              <a:path w="4029075" h="309880">
                                <a:moveTo>
                                  <a:pt x="1849524" y="229817"/>
                                </a:moveTo>
                                <a:lnTo>
                                  <a:pt x="1560060" y="229817"/>
                                </a:lnTo>
                                <a:lnTo>
                                  <a:pt x="1560672" y="248821"/>
                                </a:lnTo>
                                <a:lnTo>
                                  <a:pt x="1851078" y="239480"/>
                                </a:lnTo>
                                <a:lnTo>
                                  <a:pt x="1849524" y="229817"/>
                                </a:lnTo>
                                <a:close/>
                              </a:path>
                              <a:path w="4029075" h="309880">
                                <a:moveTo>
                                  <a:pt x="1860047" y="239192"/>
                                </a:moveTo>
                                <a:lnTo>
                                  <a:pt x="1851078" y="239480"/>
                                </a:lnTo>
                                <a:lnTo>
                                  <a:pt x="1851259" y="240605"/>
                                </a:lnTo>
                                <a:lnTo>
                                  <a:pt x="1860047" y="239192"/>
                                </a:lnTo>
                                <a:close/>
                              </a:path>
                              <a:path w="4029075" h="309880">
                                <a:moveTo>
                                  <a:pt x="934162" y="240033"/>
                                </a:moveTo>
                                <a:lnTo>
                                  <a:pt x="924811" y="240033"/>
                                </a:lnTo>
                                <a:lnTo>
                                  <a:pt x="924811" y="240333"/>
                                </a:lnTo>
                                <a:lnTo>
                                  <a:pt x="934162" y="240033"/>
                                </a:lnTo>
                                <a:close/>
                              </a:path>
                              <a:path w="4029075" h="309880">
                                <a:moveTo>
                                  <a:pt x="1868332" y="219901"/>
                                </a:moveTo>
                                <a:lnTo>
                                  <a:pt x="1858224" y="220226"/>
                                </a:lnTo>
                                <a:lnTo>
                                  <a:pt x="1848240" y="221832"/>
                                </a:lnTo>
                                <a:lnTo>
                                  <a:pt x="1851078" y="239480"/>
                                </a:lnTo>
                                <a:lnTo>
                                  <a:pt x="1860047" y="239192"/>
                                </a:lnTo>
                                <a:lnTo>
                                  <a:pt x="1868907" y="237767"/>
                                </a:lnTo>
                                <a:lnTo>
                                  <a:pt x="1868332" y="219901"/>
                                </a:lnTo>
                                <a:close/>
                              </a:path>
                              <a:path w="4029075" h="309880">
                                <a:moveTo>
                                  <a:pt x="1868907" y="237767"/>
                                </a:moveTo>
                                <a:lnTo>
                                  <a:pt x="1860047" y="239192"/>
                                </a:lnTo>
                                <a:lnTo>
                                  <a:pt x="1868944" y="238906"/>
                                </a:lnTo>
                                <a:lnTo>
                                  <a:pt x="1868907" y="237767"/>
                                </a:lnTo>
                                <a:close/>
                              </a:path>
                              <a:path w="4029075" h="309880">
                                <a:moveTo>
                                  <a:pt x="1979993" y="219901"/>
                                </a:moveTo>
                                <a:lnTo>
                                  <a:pt x="1868332" y="219901"/>
                                </a:lnTo>
                                <a:lnTo>
                                  <a:pt x="1868907" y="237767"/>
                                </a:lnTo>
                                <a:lnTo>
                                  <a:pt x="1979993" y="219901"/>
                                </a:lnTo>
                                <a:close/>
                              </a:path>
                              <a:path w="4029075" h="309880">
                                <a:moveTo>
                                  <a:pt x="1858224" y="220226"/>
                                </a:moveTo>
                                <a:lnTo>
                                  <a:pt x="1546295" y="230260"/>
                                </a:lnTo>
                                <a:lnTo>
                                  <a:pt x="1560060" y="229817"/>
                                </a:lnTo>
                                <a:lnTo>
                                  <a:pt x="1849524" y="229817"/>
                                </a:lnTo>
                                <a:lnTo>
                                  <a:pt x="1848240" y="221832"/>
                                </a:lnTo>
                                <a:lnTo>
                                  <a:pt x="1858224" y="220226"/>
                                </a:lnTo>
                                <a:close/>
                              </a:path>
                              <a:path w="4029075" h="309880">
                                <a:moveTo>
                                  <a:pt x="2157083" y="172161"/>
                                </a:moveTo>
                                <a:lnTo>
                                  <a:pt x="1858224" y="220226"/>
                                </a:lnTo>
                                <a:lnTo>
                                  <a:pt x="1868332" y="219901"/>
                                </a:lnTo>
                                <a:lnTo>
                                  <a:pt x="1979993" y="219901"/>
                                </a:lnTo>
                                <a:lnTo>
                                  <a:pt x="2162761" y="190507"/>
                                </a:lnTo>
                                <a:lnTo>
                                  <a:pt x="2158853" y="190507"/>
                                </a:lnTo>
                                <a:lnTo>
                                  <a:pt x="2157083" y="172161"/>
                                </a:lnTo>
                                <a:close/>
                              </a:path>
                              <a:path w="4029075" h="309880">
                                <a:moveTo>
                                  <a:pt x="2175373" y="169811"/>
                                </a:moveTo>
                                <a:lnTo>
                                  <a:pt x="2166190" y="170696"/>
                                </a:lnTo>
                                <a:lnTo>
                                  <a:pt x="2157083" y="172161"/>
                                </a:lnTo>
                                <a:lnTo>
                                  <a:pt x="2158853" y="190507"/>
                                </a:lnTo>
                                <a:lnTo>
                                  <a:pt x="2168618" y="189565"/>
                                </a:lnTo>
                                <a:lnTo>
                                  <a:pt x="2178299" y="188008"/>
                                </a:lnTo>
                                <a:lnTo>
                                  <a:pt x="2175373" y="169811"/>
                                </a:lnTo>
                                <a:close/>
                              </a:path>
                              <a:path w="4029075" h="309880">
                                <a:moveTo>
                                  <a:pt x="2168618" y="189565"/>
                                </a:moveTo>
                                <a:lnTo>
                                  <a:pt x="2158853" y="190507"/>
                                </a:lnTo>
                                <a:lnTo>
                                  <a:pt x="2162761" y="190507"/>
                                </a:lnTo>
                                <a:lnTo>
                                  <a:pt x="2168618" y="189565"/>
                                </a:lnTo>
                                <a:close/>
                              </a:path>
                              <a:path w="4029075" h="309880">
                                <a:moveTo>
                                  <a:pt x="2465899" y="141783"/>
                                </a:moveTo>
                                <a:lnTo>
                                  <a:pt x="2175373" y="169811"/>
                                </a:lnTo>
                                <a:lnTo>
                                  <a:pt x="2178299" y="188008"/>
                                </a:lnTo>
                                <a:lnTo>
                                  <a:pt x="2168618" y="189565"/>
                                </a:lnTo>
                                <a:lnTo>
                                  <a:pt x="2473027" y="160198"/>
                                </a:lnTo>
                                <a:lnTo>
                                  <a:pt x="2466491" y="160198"/>
                                </a:lnTo>
                                <a:lnTo>
                                  <a:pt x="2465899" y="141783"/>
                                </a:lnTo>
                                <a:close/>
                              </a:path>
                              <a:path w="4029075" h="309880">
                                <a:moveTo>
                                  <a:pt x="2166190" y="170696"/>
                                </a:moveTo>
                                <a:lnTo>
                                  <a:pt x="2157027" y="171580"/>
                                </a:lnTo>
                                <a:lnTo>
                                  <a:pt x="2157083" y="172161"/>
                                </a:lnTo>
                                <a:lnTo>
                                  <a:pt x="2166190" y="170696"/>
                                </a:lnTo>
                                <a:close/>
                              </a:path>
                              <a:path w="4029075" h="309880">
                                <a:moveTo>
                                  <a:pt x="2175280" y="169234"/>
                                </a:moveTo>
                                <a:lnTo>
                                  <a:pt x="2166190" y="170696"/>
                                </a:lnTo>
                                <a:lnTo>
                                  <a:pt x="2175373" y="169811"/>
                                </a:lnTo>
                                <a:lnTo>
                                  <a:pt x="2175280" y="169234"/>
                                </a:lnTo>
                                <a:close/>
                              </a:path>
                              <a:path w="4029075" h="309880">
                                <a:moveTo>
                                  <a:pt x="2484295" y="140601"/>
                                </a:moveTo>
                                <a:lnTo>
                                  <a:pt x="2475081" y="140897"/>
                                </a:lnTo>
                                <a:lnTo>
                                  <a:pt x="2465899" y="141783"/>
                                </a:lnTo>
                                <a:lnTo>
                                  <a:pt x="2466491" y="160198"/>
                                </a:lnTo>
                                <a:lnTo>
                                  <a:pt x="2476296" y="159882"/>
                                </a:lnTo>
                                <a:lnTo>
                                  <a:pt x="2486064" y="158940"/>
                                </a:lnTo>
                                <a:lnTo>
                                  <a:pt x="2484295" y="140601"/>
                                </a:lnTo>
                                <a:close/>
                              </a:path>
                              <a:path w="4029075" h="309880">
                                <a:moveTo>
                                  <a:pt x="2476296" y="159882"/>
                                </a:moveTo>
                                <a:lnTo>
                                  <a:pt x="2466491" y="160198"/>
                                </a:lnTo>
                                <a:lnTo>
                                  <a:pt x="2473027" y="160198"/>
                                </a:lnTo>
                                <a:lnTo>
                                  <a:pt x="2476296" y="159882"/>
                                </a:lnTo>
                                <a:close/>
                              </a:path>
                              <a:path w="4029075" h="309880">
                                <a:moveTo>
                                  <a:pt x="2783347" y="130983"/>
                                </a:moveTo>
                                <a:lnTo>
                                  <a:pt x="2484295" y="140601"/>
                                </a:lnTo>
                                <a:lnTo>
                                  <a:pt x="2486064" y="158940"/>
                                </a:lnTo>
                                <a:lnTo>
                                  <a:pt x="2476296" y="159882"/>
                                </a:lnTo>
                                <a:lnTo>
                                  <a:pt x="2775353" y="150264"/>
                                </a:lnTo>
                                <a:lnTo>
                                  <a:pt x="2773583" y="131925"/>
                                </a:lnTo>
                                <a:lnTo>
                                  <a:pt x="2783347" y="130983"/>
                                </a:lnTo>
                                <a:close/>
                              </a:path>
                              <a:path w="4029075" h="309880">
                                <a:moveTo>
                                  <a:pt x="2784569" y="149968"/>
                                </a:moveTo>
                                <a:lnTo>
                                  <a:pt x="2775353" y="150264"/>
                                </a:lnTo>
                                <a:lnTo>
                                  <a:pt x="2775410" y="150851"/>
                                </a:lnTo>
                                <a:lnTo>
                                  <a:pt x="2784569" y="149968"/>
                                </a:lnTo>
                                <a:close/>
                              </a:path>
                              <a:path w="4029075" h="309880">
                                <a:moveTo>
                                  <a:pt x="2793156" y="130667"/>
                                </a:moveTo>
                                <a:lnTo>
                                  <a:pt x="2783347" y="130983"/>
                                </a:lnTo>
                                <a:lnTo>
                                  <a:pt x="2773583" y="131925"/>
                                </a:lnTo>
                                <a:lnTo>
                                  <a:pt x="2775353" y="150264"/>
                                </a:lnTo>
                                <a:lnTo>
                                  <a:pt x="2784569" y="149968"/>
                                </a:lnTo>
                                <a:lnTo>
                                  <a:pt x="2793749" y="149082"/>
                                </a:lnTo>
                                <a:lnTo>
                                  <a:pt x="2793156" y="130667"/>
                                </a:lnTo>
                                <a:close/>
                              </a:path>
                              <a:path w="4029075" h="309880">
                                <a:moveTo>
                                  <a:pt x="2793749" y="149082"/>
                                </a:moveTo>
                                <a:lnTo>
                                  <a:pt x="2784569" y="149968"/>
                                </a:lnTo>
                                <a:lnTo>
                                  <a:pt x="2793768" y="149672"/>
                                </a:lnTo>
                                <a:lnTo>
                                  <a:pt x="2793749" y="149082"/>
                                </a:lnTo>
                                <a:close/>
                              </a:path>
                              <a:path w="4029075" h="309880">
                                <a:moveTo>
                                  <a:pt x="2984574" y="130667"/>
                                </a:moveTo>
                                <a:lnTo>
                                  <a:pt x="2793156" y="130667"/>
                                </a:lnTo>
                                <a:lnTo>
                                  <a:pt x="2793749" y="149082"/>
                                </a:lnTo>
                                <a:lnTo>
                                  <a:pt x="2984574" y="130667"/>
                                </a:lnTo>
                                <a:close/>
                              </a:path>
                              <a:path w="4029075" h="309880">
                                <a:moveTo>
                                  <a:pt x="2475081" y="140897"/>
                                </a:moveTo>
                                <a:lnTo>
                                  <a:pt x="2465880" y="141193"/>
                                </a:lnTo>
                                <a:lnTo>
                                  <a:pt x="2465899" y="141783"/>
                                </a:lnTo>
                                <a:lnTo>
                                  <a:pt x="2475081" y="140897"/>
                                </a:lnTo>
                                <a:close/>
                              </a:path>
                              <a:path w="4029075" h="309880">
                                <a:moveTo>
                                  <a:pt x="2484238" y="140014"/>
                                </a:moveTo>
                                <a:lnTo>
                                  <a:pt x="2475081" y="140897"/>
                                </a:lnTo>
                                <a:lnTo>
                                  <a:pt x="2484295" y="140601"/>
                                </a:lnTo>
                                <a:lnTo>
                                  <a:pt x="2484238" y="140014"/>
                                </a:lnTo>
                                <a:close/>
                              </a:path>
                              <a:path w="4029075" h="309880">
                                <a:moveTo>
                                  <a:pt x="3082713" y="102094"/>
                                </a:moveTo>
                                <a:lnTo>
                                  <a:pt x="2783347" y="130983"/>
                                </a:lnTo>
                                <a:lnTo>
                                  <a:pt x="2793156" y="130667"/>
                                </a:lnTo>
                                <a:lnTo>
                                  <a:pt x="2984574" y="130667"/>
                                </a:lnTo>
                                <a:lnTo>
                                  <a:pt x="3092678" y="120235"/>
                                </a:lnTo>
                                <a:lnTo>
                                  <a:pt x="3082713" y="120235"/>
                                </a:lnTo>
                                <a:lnTo>
                                  <a:pt x="3082713" y="102094"/>
                                </a:lnTo>
                                <a:close/>
                              </a:path>
                              <a:path w="4029075" h="309880">
                                <a:moveTo>
                                  <a:pt x="3707262" y="81472"/>
                                </a:moveTo>
                                <a:lnTo>
                                  <a:pt x="3390395" y="101851"/>
                                </a:lnTo>
                                <a:lnTo>
                                  <a:pt x="3391615" y="120826"/>
                                </a:lnTo>
                                <a:lnTo>
                                  <a:pt x="3410000" y="119643"/>
                                </a:lnTo>
                                <a:lnTo>
                                  <a:pt x="3410000" y="101221"/>
                                </a:lnTo>
                                <a:lnTo>
                                  <a:pt x="3696452" y="101221"/>
                                </a:lnTo>
                                <a:lnTo>
                                  <a:pt x="3701519" y="100895"/>
                                </a:lnTo>
                                <a:lnTo>
                                  <a:pt x="3697188" y="84064"/>
                                </a:lnTo>
                                <a:lnTo>
                                  <a:pt x="3707262" y="81472"/>
                                </a:lnTo>
                                <a:close/>
                              </a:path>
                              <a:path w="4029075" h="309880">
                                <a:moveTo>
                                  <a:pt x="3100770" y="100351"/>
                                </a:moveTo>
                                <a:lnTo>
                                  <a:pt x="3082713" y="102094"/>
                                </a:lnTo>
                                <a:lnTo>
                                  <a:pt x="3082713" y="120235"/>
                                </a:lnTo>
                                <a:lnTo>
                                  <a:pt x="3092678" y="120235"/>
                                </a:lnTo>
                                <a:lnTo>
                                  <a:pt x="3102597" y="119278"/>
                                </a:lnTo>
                                <a:lnTo>
                                  <a:pt x="3100770" y="100351"/>
                                </a:lnTo>
                                <a:close/>
                              </a:path>
                              <a:path w="4029075" h="309880">
                                <a:moveTo>
                                  <a:pt x="3400187" y="101221"/>
                                </a:moveTo>
                                <a:lnTo>
                                  <a:pt x="3100854" y="101221"/>
                                </a:lnTo>
                                <a:lnTo>
                                  <a:pt x="3102597" y="119278"/>
                                </a:lnTo>
                                <a:lnTo>
                                  <a:pt x="3092678" y="120235"/>
                                </a:lnTo>
                                <a:lnTo>
                                  <a:pt x="3391577" y="120235"/>
                                </a:lnTo>
                                <a:lnTo>
                                  <a:pt x="3390395" y="101851"/>
                                </a:lnTo>
                                <a:lnTo>
                                  <a:pt x="3400187" y="101221"/>
                                </a:lnTo>
                                <a:close/>
                              </a:path>
                              <a:path w="4029075" h="309880">
                                <a:moveTo>
                                  <a:pt x="3410000" y="119643"/>
                                </a:moveTo>
                                <a:lnTo>
                                  <a:pt x="3400800" y="120235"/>
                                </a:lnTo>
                                <a:lnTo>
                                  <a:pt x="3410000" y="120235"/>
                                </a:lnTo>
                                <a:lnTo>
                                  <a:pt x="3410000" y="119643"/>
                                </a:lnTo>
                                <a:close/>
                              </a:path>
                              <a:path w="4029075" h="309880">
                                <a:moveTo>
                                  <a:pt x="3696452" y="101221"/>
                                </a:moveTo>
                                <a:lnTo>
                                  <a:pt x="3410000" y="101221"/>
                                </a:lnTo>
                                <a:lnTo>
                                  <a:pt x="3410000" y="119643"/>
                                </a:lnTo>
                                <a:lnTo>
                                  <a:pt x="3696452" y="101221"/>
                                </a:lnTo>
                                <a:close/>
                              </a:path>
                              <a:path w="4029075" h="309880">
                                <a:moveTo>
                                  <a:pt x="3710267" y="100332"/>
                                </a:moveTo>
                                <a:lnTo>
                                  <a:pt x="3701519" y="100895"/>
                                </a:lnTo>
                                <a:lnTo>
                                  <a:pt x="3701927" y="102478"/>
                                </a:lnTo>
                                <a:lnTo>
                                  <a:pt x="3710267" y="100332"/>
                                </a:lnTo>
                                <a:close/>
                              </a:path>
                              <a:path w="4029075" h="309880">
                                <a:moveTo>
                                  <a:pt x="3091762" y="101221"/>
                                </a:moveTo>
                                <a:lnTo>
                                  <a:pt x="3082713" y="101221"/>
                                </a:lnTo>
                                <a:lnTo>
                                  <a:pt x="3082713" y="102094"/>
                                </a:lnTo>
                                <a:lnTo>
                                  <a:pt x="3091762" y="101221"/>
                                </a:lnTo>
                                <a:close/>
                              </a:path>
                              <a:path w="4029075" h="309880">
                                <a:moveTo>
                                  <a:pt x="3717642" y="80804"/>
                                </a:moveTo>
                                <a:lnTo>
                                  <a:pt x="3707262" y="81472"/>
                                </a:lnTo>
                                <a:lnTo>
                                  <a:pt x="3697188" y="84064"/>
                                </a:lnTo>
                                <a:lnTo>
                                  <a:pt x="3701519" y="100895"/>
                                </a:lnTo>
                                <a:lnTo>
                                  <a:pt x="3710267" y="100332"/>
                                </a:lnTo>
                                <a:lnTo>
                                  <a:pt x="3718758" y="98147"/>
                                </a:lnTo>
                                <a:lnTo>
                                  <a:pt x="3717642" y="80804"/>
                                </a:lnTo>
                                <a:close/>
                              </a:path>
                              <a:path w="4029075" h="309880">
                                <a:moveTo>
                                  <a:pt x="3718758" y="98147"/>
                                </a:moveTo>
                                <a:lnTo>
                                  <a:pt x="3710267" y="100332"/>
                                </a:lnTo>
                                <a:lnTo>
                                  <a:pt x="3718863" y="99779"/>
                                </a:lnTo>
                                <a:lnTo>
                                  <a:pt x="3718758" y="98147"/>
                                </a:lnTo>
                                <a:close/>
                              </a:path>
                              <a:path w="4029075" h="309880">
                                <a:moveTo>
                                  <a:pt x="3786156" y="80804"/>
                                </a:moveTo>
                                <a:lnTo>
                                  <a:pt x="3717642" y="80804"/>
                                </a:lnTo>
                                <a:lnTo>
                                  <a:pt x="3718758" y="98147"/>
                                </a:lnTo>
                                <a:lnTo>
                                  <a:pt x="3786156" y="80804"/>
                                </a:lnTo>
                                <a:close/>
                              </a:path>
                              <a:path w="4029075" h="309880">
                                <a:moveTo>
                                  <a:pt x="4023876" y="0"/>
                                </a:moveTo>
                                <a:lnTo>
                                  <a:pt x="3707262" y="81472"/>
                                </a:lnTo>
                                <a:lnTo>
                                  <a:pt x="3717642" y="80804"/>
                                </a:lnTo>
                                <a:lnTo>
                                  <a:pt x="3786156" y="80804"/>
                                </a:lnTo>
                                <a:lnTo>
                                  <a:pt x="4028615" y="18414"/>
                                </a:lnTo>
                                <a:lnTo>
                                  <a:pt x="4023876" y="0"/>
                                </a:lnTo>
                                <a:close/>
                              </a:path>
                            </a:pathLst>
                          </a:custGeom>
                          <a:solidFill>
                            <a:srgbClr val="E3C626"/>
                          </a:solidFill>
                        </wps:spPr>
                        <wps:bodyPr wrap="square" lIns="0" tIns="0" rIns="0" bIns="0" rtlCol="0">
                          <a:prstTxWarp prst="textNoShape">
                            <a:avLst/>
                          </a:prstTxWarp>
                          <a:noAutofit/>
                        </wps:bodyPr>
                      </wps:wsp>
                      <wps:wsp>
                        <wps:cNvPr id="1681" name="Graphic 1681"/>
                        <wps:cNvSpPr/>
                        <wps:spPr>
                          <a:xfrm>
                            <a:off x="695437" y="654521"/>
                            <a:ext cx="4030345" cy="1014094"/>
                          </a:xfrm>
                          <a:custGeom>
                            <a:avLst/>
                            <a:gdLst/>
                            <a:ahLst/>
                            <a:cxnLst/>
                            <a:rect l="l" t="t" r="r" b="b"/>
                            <a:pathLst>
                              <a:path w="4030345" h="1014094">
                                <a:moveTo>
                                  <a:pt x="317470" y="984792"/>
                                </a:moveTo>
                                <a:lnTo>
                                  <a:pt x="0" y="995009"/>
                                </a:lnTo>
                                <a:lnTo>
                                  <a:pt x="611" y="1014013"/>
                                </a:lnTo>
                                <a:lnTo>
                                  <a:pt x="309473" y="1004073"/>
                                </a:lnTo>
                                <a:lnTo>
                                  <a:pt x="307703" y="985734"/>
                                </a:lnTo>
                                <a:lnTo>
                                  <a:pt x="317470" y="984792"/>
                                </a:lnTo>
                                <a:close/>
                              </a:path>
                              <a:path w="4030345" h="1014094">
                                <a:moveTo>
                                  <a:pt x="318686" y="1003777"/>
                                </a:moveTo>
                                <a:lnTo>
                                  <a:pt x="309473" y="1004073"/>
                                </a:lnTo>
                                <a:lnTo>
                                  <a:pt x="309530" y="1004661"/>
                                </a:lnTo>
                                <a:lnTo>
                                  <a:pt x="318686" y="1003777"/>
                                </a:lnTo>
                                <a:close/>
                              </a:path>
                              <a:path w="4030345" h="1014094">
                                <a:moveTo>
                                  <a:pt x="327276" y="984476"/>
                                </a:moveTo>
                                <a:lnTo>
                                  <a:pt x="317470" y="984792"/>
                                </a:lnTo>
                                <a:lnTo>
                                  <a:pt x="307703" y="985734"/>
                                </a:lnTo>
                                <a:lnTo>
                                  <a:pt x="309473" y="1004073"/>
                                </a:lnTo>
                                <a:lnTo>
                                  <a:pt x="318686" y="1003777"/>
                                </a:lnTo>
                                <a:lnTo>
                                  <a:pt x="327869" y="1002891"/>
                                </a:lnTo>
                                <a:lnTo>
                                  <a:pt x="327276" y="984476"/>
                                </a:lnTo>
                                <a:close/>
                              </a:path>
                              <a:path w="4030345" h="1014094">
                                <a:moveTo>
                                  <a:pt x="327869" y="1002891"/>
                                </a:moveTo>
                                <a:lnTo>
                                  <a:pt x="318686" y="1003777"/>
                                </a:lnTo>
                                <a:lnTo>
                                  <a:pt x="327888" y="1003481"/>
                                </a:lnTo>
                                <a:lnTo>
                                  <a:pt x="327869" y="1002891"/>
                                </a:lnTo>
                                <a:close/>
                              </a:path>
                              <a:path w="4030345" h="1014094">
                                <a:moveTo>
                                  <a:pt x="518699" y="984476"/>
                                </a:moveTo>
                                <a:lnTo>
                                  <a:pt x="327276" y="984476"/>
                                </a:lnTo>
                                <a:lnTo>
                                  <a:pt x="327869" y="1002891"/>
                                </a:lnTo>
                                <a:lnTo>
                                  <a:pt x="518699" y="984476"/>
                                </a:lnTo>
                                <a:close/>
                              </a:path>
                              <a:path w="4030345" h="1014094">
                                <a:moveTo>
                                  <a:pt x="616273" y="955958"/>
                                </a:moveTo>
                                <a:lnTo>
                                  <a:pt x="317470" y="984792"/>
                                </a:lnTo>
                                <a:lnTo>
                                  <a:pt x="327276" y="984476"/>
                                </a:lnTo>
                                <a:lnTo>
                                  <a:pt x="518699" y="984476"/>
                                </a:lnTo>
                                <a:lnTo>
                                  <a:pt x="620687" y="974635"/>
                                </a:lnTo>
                                <a:lnTo>
                                  <a:pt x="617475" y="974635"/>
                                </a:lnTo>
                                <a:lnTo>
                                  <a:pt x="616273" y="955958"/>
                                </a:lnTo>
                                <a:close/>
                              </a:path>
                              <a:path w="4030345" h="1014094">
                                <a:moveTo>
                                  <a:pt x="634931" y="954458"/>
                                </a:moveTo>
                                <a:lnTo>
                                  <a:pt x="625587" y="955059"/>
                                </a:lnTo>
                                <a:lnTo>
                                  <a:pt x="616273" y="955958"/>
                                </a:lnTo>
                                <a:lnTo>
                                  <a:pt x="617475" y="974635"/>
                                </a:lnTo>
                                <a:lnTo>
                                  <a:pt x="627109" y="974015"/>
                                </a:lnTo>
                                <a:lnTo>
                                  <a:pt x="636728" y="973087"/>
                                </a:lnTo>
                                <a:lnTo>
                                  <a:pt x="634931" y="954458"/>
                                </a:lnTo>
                                <a:close/>
                              </a:path>
                              <a:path w="4030345" h="1014094">
                                <a:moveTo>
                                  <a:pt x="627109" y="974015"/>
                                </a:moveTo>
                                <a:lnTo>
                                  <a:pt x="617475" y="974635"/>
                                </a:lnTo>
                                <a:lnTo>
                                  <a:pt x="620687" y="974635"/>
                                </a:lnTo>
                                <a:lnTo>
                                  <a:pt x="627109" y="974015"/>
                                </a:lnTo>
                                <a:close/>
                              </a:path>
                              <a:path w="4030345" h="1014094">
                                <a:moveTo>
                                  <a:pt x="924521" y="935829"/>
                                </a:moveTo>
                                <a:lnTo>
                                  <a:pt x="634931" y="954458"/>
                                </a:lnTo>
                                <a:lnTo>
                                  <a:pt x="636728" y="973087"/>
                                </a:lnTo>
                                <a:lnTo>
                                  <a:pt x="627109" y="974015"/>
                                </a:lnTo>
                                <a:lnTo>
                                  <a:pt x="925744" y="954804"/>
                                </a:lnTo>
                                <a:lnTo>
                                  <a:pt x="924521" y="935829"/>
                                </a:lnTo>
                                <a:close/>
                              </a:path>
                              <a:path w="4030345" h="1014094">
                                <a:moveTo>
                                  <a:pt x="625587" y="955059"/>
                                </a:moveTo>
                                <a:lnTo>
                                  <a:pt x="616254" y="955659"/>
                                </a:lnTo>
                                <a:lnTo>
                                  <a:pt x="616273" y="955958"/>
                                </a:lnTo>
                                <a:lnTo>
                                  <a:pt x="625587" y="955059"/>
                                </a:lnTo>
                                <a:close/>
                              </a:path>
                              <a:path w="4030345" h="1014094">
                                <a:moveTo>
                                  <a:pt x="634902" y="954160"/>
                                </a:moveTo>
                                <a:lnTo>
                                  <a:pt x="625587" y="955059"/>
                                </a:lnTo>
                                <a:lnTo>
                                  <a:pt x="634931" y="954458"/>
                                </a:lnTo>
                                <a:lnTo>
                                  <a:pt x="634902" y="954160"/>
                                </a:lnTo>
                                <a:close/>
                              </a:path>
                              <a:path w="4030345" h="1014094">
                                <a:moveTo>
                                  <a:pt x="943496" y="934608"/>
                                </a:moveTo>
                                <a:lnTo>
                                  <a:pt x="924521" y="935829"/>
                                </a:lnTo>
                                <a:lnTo>
                                  <a:pt x="925741" y="954804"/>
                                </a:lnTo>
                                <a:lnTo>
                                  <a:pt x="944717" y="953583"/>
                                </a:lnTo>
                                <a:lnTo>
                                  <a:pt x="943496" y="934608"/>
                                </a:lnTo>
                                <a:close/>
                              </a:path>
                              <a:path w="4030345" h="1014094">
                                <a:moveTo>
                                  <a:pt x="1233699" y="934608"/>
                                </a:moveTo>
                                <a:lnTo>
                                  <a:pt x="943496" y="934608"/>
                                </a:lnTo>
                                <a:lnTo>
                                  <a:pt x="944717" y="953583"/>
                                </a:lnTo>
                                <a:lnTo>
                                  <a:pt x="936987" y="954081"/>
                                </a:lnTo>
                                <a:lnTo>
                                  <a:pt x="1238527" y="934688"/>
                                </a:lnTo>
                                <a:lnTo>
                                  <a:pt x="1233702" y="934688"/>
                                </a:lnTo>
                                <a:close/>
                              </a:path>
                              <a:path w="4030345" h="1014094">
                                <a:moveTo>
                                  <a:pt x="1233099" y="915983"/>
                                </a:moveTo>
                                <a:lnTo>
                                  <a:pt x="924521" y="935829"/>
                                </a:lnTo>
                                <a:lnTo>
                                  <a:pt x="943496" y="934608"/>
                                </a:lnTo>
                                <a:lnTo>
                                  <a:pt x="1233699" y="934608"/>
                                </a:lnTo>
                                <a:lnTo>
                                  <a:pt x="1233099" y="915983"/>
                                </a:lnTo>
                                <a:close/>
                              </a:path>
                              <a:path w="4030345" h="1014094">
                                <a:moveTo>
                                  <a:pt x="1251795" y="915082"/>
                                </a:moveTo>
                                <a:lnTo>
                                  <a:pt x="1242435" y="915383"/>
                                </a:lnTo>
                                <a:lnTo>
                                  <a:pt x="1233099" y="915983"/>
                                </a:lnTo>
                                <a:lnTo>
                                  <a:pt x="1233702" y="934688"/>
                                </a:lnTo>
                                <a:lnTo>
                                  <a:pt x="1243360" y="934377"/>
                                </a:lnTo>
                                <a:lnTo>
                                  <a:pt x="1252996" y="933758"/>
                                </a:lnTo>
                                <a:lnTo>
                                  <a:pt x="1251795" y="915082"/>
                                </a:lnTo>
                                <a:close/>
                              </a:path>
                              <a:path w="4030345" h="1014094">
                                <a:moveTo>
                                  <a:pt x="1243360" y="934377"/>
                                </a:moveTo>
                                <a:lnTo>
                                  <a:pt x="1233702" y="934688"/>
                                </a:lnTo>
                                <a:lnTo>
                                  <a:pt x="1238527" y="934688"/>
                                </a:lnTo>
                                <a:lnTo>
                                  <a:pt x="1243360" y="934377"/>
                                </a:lnTo>
                                <a:close/>
                              </a:path>
                              <a:path w="4030345" h="1014094">
                                <a:moveTo>
                                  <a:pt x="1550104" y="905481"/>
                                </a:moveTo>
                                <a:lnTo>
                                  <a:pt x="1251795" y="915082"/>
                                </a:lnTo>
                                <a:lnTo>
                                  <a:pt x="1252996" y="933758"/>
                                </a:lnTo>
                                <a:lnTo>
                                  <a:pt x="1243360" y="934377"/>
                                </a:lnTo>
                                <a:lnTo>
                                  <a:pt x="1543366" y="924722"/>
                                </a:lnTo>
                                <a:lnTo>
                                  <a:pt x="1540029" y="907425"/>
                                </a:lnTo>
                                <a:lnTo>
                                  <a:pt x="1550104" y="905481"/>
                                </a:lnTo>
                                <a:close/>
                              </a:path>
                              <a:path w="4030345" h="1014094">
                                <a:moveTo>
                                  <a:pt x="1552225" y="924437"/>
                                </a:moveTo>
                                <a:lnTo>
                                  <a:pt x="1543366" y="924722"/>
                                </a:lnTo>
                                <a:lnTo>
                                  <a:pt x="1543631" y="926095"/>
                                </a:lnTo>
                                <a:lnTo>
                                  <a:pt x="1552225" y="924437"/>
                                </a:lnTo>
                                <a:close/>
                              </a:path>
                              <a:path w="4030345" h="1014094">
                                <a:moveTo>
                                  <a:pt x="1560361" y="905151"/>
                                </a:moveTo>
                                <a:lnTo>
                                  <a:pt x="1550104" y="905481"/>
                                </a:lnTo>
                                <a:lnTo>
                                  <a:pt x="1540029" y="907425"/>
                                </a:lnTo>
                                <a:lnTo>
                                  <a:pt x="1543366" y="924722"/>
                                </a:lnTo>
                                <a:lnTo>
                                  <a:pt x="1552225" y="924437"/>
                                </a:lnTo>
                                <a:lnTo>
                                  <a:pt x="1560928" y="922758"/>
                                </a:lnTo>
                                <a:lnTo>
                                  <a:pt x="1560361" y="905151"/>
                                </a:lnTo>
                                <a:close/>
                              </a:path>
                              <a:path w="4030345" h="1014094">
                                <a:moveTo>
                                  <a:pt x="1560928" y="922758"/>
                                </a:moveTo>
                                <a:lnTo>
                                  <a:pt x="1552225" y="924437"/>
                                </a:lnTo>
                                <a:lnTo>
                                  <a:pt x="1560973" y="924155"/>
                                </a:lnTo>
                                <a:lnTo>
                                  <a:pt x="1560928" y="922758"/>
                                </a:lnTo>
                                <a:close/>
                              </a:path>
                              <a:path w="4030345" h="1014094">
                                <a:moveTo>
                                  <a:pt x="1652176" y="905151"/>
                                </a:moveTo>
                                <a:lnTo>
                                  <a:pt x="1560361" y="905151"/>
                                </a:lnTo>
                                <a:lnTo>
                                  <a:pt x="1560928" y="922758"/>
                                </a:lnTo>
                                <a:lnTo>
                                  <a:pt x="1652176" y="905151"/>
                                </a:lnTo>
                                <a:close/>
                              </a:path>
                              <a:path w="4030345" h="1014094">
                                <a:moveTo>
                                  <a:pt x="1242435" y="915383"/>
                                </a:moveTo>
                                <a:lnTo>
                                  <a:pt x="1233089" y="915684"/>
                                </a:lnTo>
                                <a:lnTo>
                                  <a:pt x="1233099" y="915983"/>
                                </a:lnTo>
                                <a:lnTo>
                                  <a:pt x="1242435" y="915383"/>
                                </a:lnTo>
                                <a:close/>
                              </a:path>
                              <a:path w="4030345" h="1014094">
                                <a:moveTo>
                                  <a:pt x="1251775" y="914782"/>
                                </a:moveTo>
                                <a:lnTo>
                                  <a:pt x="1242435" y="915383"/>
                                </a:lnTo>
                                <a:lnTo>
                                  <a:pt x="1251795" y="915082"/>
                                </a:lnTo>
                                <a:lnTo>
                                  <a:pt x="1251775" y="914782"/>
                                </a:lnTo>
                                <a:close/>
                              </a:path>
                              <a:path w="4030345" h="1014094">
                                <a:moveTo>
                                  <a:pt x="1848868" y="847833"/>
                                </a:moveTo>
                                <a:lnTo>
                                  <a:pt x="1550104" y="905481"/>
                                </a:lnTo>
                                <a:lnTo>
                                  <a:pt x="1560361" y="905151"/>
                                </a:lnTo>
                                <a:lnTo>
                                  <a:pt x="1652176" y="905151"/>
                                </a:lnTo>
                                <a:lnTo>
                                  <a:pt x="1854462" y="866119"/>
                                </a:lnTo>
                                <a:lnTo>
                                  <a:pt x="1851220" y="866119"/>
                                </a:lnTo>
                                <a:lnTo>
                                  <a:pt x="1848868" y="847833"/>
                                </a:lnTo>
                                <a:close/>
                              </a:path>
                              <a:path w="4030345" h="1014094">
                                <a:moveTo>
                                  <a:pt x="1867080" y="844908"/>
                                </a:moveTo>
                                <a:lnTo>
                                  <a:pt x="1857925" y="846086"/>
                                </a:lnTo>
                                <a:lnTo>
                                  <a:pt x="1848868" y="847833"/>
                                </a:lnTo>
                                <a:lnTo>
                                  <a:pt x="1851220" y="866119"/>
                                </a:lnTo>
                                <a:lnTo>
                                  <a:pt x="1860946" y="864868"/>
                                </a:lnTo>
                                <a:lnTo>
                                  <a:pt x="1870573" y="863010"/>
                                </a:lnTo>
                                <a:lnTo>
                                  <a:pt x="1867080" y="844908"/>
                                </a:lnTo>
                                <a:close/>
                              </a:path>
                              <a:path w="4030345" h="1014094">
                                <a:moveTo>
                                  <a:pt x="1860946" y="864868"/>
                                </a:moveTo>
                                <a:lnTo>
                                  <a:pt x="1851220" y="866119"/>
                                </a:lnTo>
                                <a:lnTo>
                                  <a:pt x="1854462" y="866119"/>
                                </a:lnTo>
                                <a:lnTo>
                                  <a:pt x="1860946" y="864868"/>
                                </a:lnTo>
                                <a:close/>
                              </a:path>
                              <a:path w="4030345" h="1014094">
                                <a:moveTo>
                                  <a:pt x="2165906" y="806466"/>
                                </a:moveTo>
                                <a:lnTo>
                                  <a:pt x="1867080" y="844908"/>
                                </a:lnTo>
                                <a:lnTo>
                                  <a:pt x="1870573" y="863010"/>
                                </a:lnTo>
                                <a:lnTo>
                                  <a:pt x="1860946" y="864868"/>
                                </a:lnTo>
                                <a:lnTo>
                                  <a:pt x="2160589" y="826321"/>
                                </a:lnTo>
                                <a:lnTo>
                                  <a:pt x="2156128" y="808982"/>
                                </a:lnTo>
                                <a:lnTo>
                                  <a:pt x="2165906" y="806466"/>
                                </a:lnTo>
                                <a:close/>
                              </a:path>
                              <a:path w="4030345" h="1014094">
                                <a:moveTo>
                                  <a:pt x="1857925" y="846086"/>
                                </a:moveTo>
                                <a:lnTo>
                                  <a:pt x="1848794" y="847260"/>
                                </a:lnTo>
                                <a:lnTo>
                                  <a:pt x="1848868" y="847833"/>
                                </a:lnTo>
                                <a:lnTo>
                                  <a:pt x="1857925" y="846086"/>
                                </a:lnTo>
                                <a:close/>
                              </a:path>
                              <a:path w="4030345" h="1014094">
                                <a:moveTo>
                                  <a:pt x="1866971" y="844340"/>
                                </a:moveTo>
                                <a:lnTo>
                                  <a:pt x="1857925" y="846086"/>
                                </a:lnTo>
                                <a:lnTo>
                                  <a:pt x="1867080" y="844908"/>
                                </a:lnTo>
                                <a:lnTo>
                                  <a:pt x="1866971" y="844340"/>
                                </a:lnTo>
                                <a:close/>
                              </a:path>
                              <a:path w="4030345" h="1014094">
                                <a:moveTo>
                                  <a:pt x="2169502" y="825175"/>
                                </a:moveTo>
                                <a:lnTo>
                                  <a:pt x="2160589" y="826321"/>
                                </a:lnTo>
                                <a:lnTo>
                                  <a:pt x="2160866" y="827397"/>
                                </a:lnTo>
                                <a:lnTo>
                                  <a:pt x="2169502" y="825175"/>
                                </a:lnTo>
                                <a:close/>
                              </a:path>
                              <a:path w="4030345" h="1014094">
                                <a:moveTo>
                                  <a:pt x="2175921" y="805177"/>
                                </a:moveTo>
                                <a:lnTo>
                                  <a:pt x="2165906" y="806466"/>
                                </a:lnTo>
                                <a:lnTo>
                                  <a:pt x="2156128" y="808982"/>
                                </a:lnTo>
                                <a:lnTo>
                                  <a:pt x="2160589" y="826321"/>
                                </a:lnTo>
                                <a:lnTo>
                                  <a:pt x="2169502" y="825175"/>
                                </a:lnTo>
                                <a:lnTo>
                                  <a:pt x="2178205" y="822935"/>
                                </a:lnTo>
                                <a:lnTo>
                                  <a:pt x="2175921" y="805177"/>
                                </a:lnTo>
                                <a:close/>
                              </a:path>
                              <a:path w="4030345" h="1014094">
                                <a:moveTo>
                                  <a:pt x="2178205" y="822935"/>
                                </a:moveTo>
                                <a:lnTo>
                                  <a:pt x="2169502" y="825175"/>
                                </a:lnTo>
                                <a:lnTo>
                                  <a:pt x="2178347" y="824037"/>
                                </a:lnTo>
                                <a:lnTo>
                                  <a:pt x="2178205" y="822935"/>
                                </a:lnTo>
                                <a:close/>
                              </a:path>
                              <a:path w="4030345" h="1014094">
                                <a:moveTo>
                                  <a:pt x="2247217" y="805177"/>
                                </a:moveTo>
                                <a:lnTo>
                                  <a:pt x="2175921" y="805177"/>
                                </a:lnTo>
                                <a:lnTo>
                                  <a:pt x="2178205" y="822935"/>
                                </a:lnTo>
                                <a:lnTo>
                                  <a:pt x="2247217" y="805177"/>
                                </a:lnTo>
                                <a:close/>
                              </a:path>
                              <a:path w="4030345" h="1014094">
                                <a:moveTo>
                                  <a:pt x="2472029" y="727696"/>
                                </a:moveTo>
                                <a:lnTo>
                                  <a:pt x="2165906" y="806466"/>
                                </a:lnTo>
                                <a:lnTo>
                                  <a:pt x="2175921" y="805177"/>
                                </a:lnTo>
                                <a:lnTo>
                                  <a:pt x="2247217" y="805177"/>
                                </a:lnTo>
                                <a:lnTo>
                                  <a:pt x="2471864" y="747373"/>
                                </a:lnTo>
                                <a:lnTo>
                                  <a:pt x="2462789" y="733938"/>
                                </a:lnTo>
                                <a:lnTo>
                                  <a:pt x="2472029" y="727696"/>
                                </a:lnTo>
                                <a:close/>
                              </a:path>
                              <a:path w="4030345" h="1014094">
                                <a:moveTo>
                                  <a:pt x="2479949" y="745293"/>
                                </a:moveTo>
                                <a:lnTo>
                                  <a:pt x="2471864" y="747373"/>
                                </a:lnTo>
                                <a:lnTo>
                                  <a:pt x="2473432" y="749694"/>
                                </a:lnTo>
                                <a:lnTo>
                                  <a:pt x="2479949" y="745293"/>
                                </a:lnTo>
                                <a:close/>
                              </a:path>
                              <a:path w="4030345" h="1014094">
                                <a:moveTo>
                                  <a:pt x="2482827" y="724918"/>
                                </a:moveTo>
                                <a:lnTo>
                                  <a:pt x="2472029" y="727696"/>
                                </a:lnTo>
                                <a:lnTo>
                                  <a:pt x="2462789" y="733938"/>
                                </a:lnTo>
                                <a:lnTo>
                                  <a:pt x="2471864" y="747373"/>
                                </a:lnTo>
                                <a:lnTo>
                                  <a:pt x="2479949" y="745293"/>
                                </a:lnTo>
                                <a:lnTo>
                                  <a:pt x="2486867" y="740620"/>
                                </a:lnTo>
                                <a:lnTo>
                                  <a:pt x="2482827" y="724918"/>
                                </a:lnTo>
                                <a:close/>
                              </a:path>
                              <a:path w="4030345" h="1014094">
                                <a:moveTo>
                                  <a:pt x="2486867" y="740620"/>
                                </a:moveTo>
                                <a:lnTo>
                                  <a:pt x="2479949" y="745293"/>
                                </a:lnTo>
                                <a:lnTo>
                                  <a:pt x="2487565" y="743333"/>
                                </a:lnTo>
                                <a:lnTo>
                                  <a:pt x="2486867" y="740620"/>
                                </a:lnTo>
                                <a:close/>
                              </a:path>
                              <a:path w="4030345" h="1014094">
                                <a:moveTo>
                                  <a:pt x="2510114" y="724918"/>
                                </a:moveTo>
                                <a:lnTo>
                                  <a:pt x="2482827" y="724918"/>
                                </a:lnTo>
                                <a:lnTo>
                                  <a:pt x="2486867" y="740620"/>
                                </a:lnTo>
                                <a:lnTo>
                                  <a:pt x="2510114" y="724918"/>
                                </a:lnTo>
                                <a:close/>
                              </a:path>
                              <a:path w="4030345" h="1014094">
                                <a:moveTo>
                                  <a:pt x="2772124" y="525003"/>
                                </a:moveTo>
                                <a:lnTo>
                                  <a:pt x="2472029" y="727696"/>
                                </a:lnTo>
                                <a:lnTo>
                                  <a:pt x="2482827" y="724918"/>
                                </a:lnTo>
                                <a:lnTo>
                                  <a:pt x="2510114" y="724918"/>
                                </a:lnTo>
                                <a:lnTo>
                                  <a:pt x="2782453" y="540972"/>
                                </a:lnTo>
                                <a:lnTo>
                                  <a:pt x="2779829" y="540972"/>
                                </a:lnTo>
                                <a:lnTo>
                                  <a:pt x="2772124" y="525003"/>
                                </a:lnTo>
                                <a:close/>
                              </a:path>
                              <a:path w="4030345" h="1014094">
                                <a:moveTo>
                                  <a:pt x="2787536" y="516142"/>
                                </a:moveTo>
                                <a:lnTo>
                                  <a:pt x="2779510" y="520014"/>
                                </a:lnTo>
                                <a:lnTo>
                                  <a:pt x="2772124" y="525003"/>
                                </a:lnTo>
                                <a:lnTo>
                                  <a:pt x="2779829" y="540972"/>
                                </a:lnTo>
                                <a:lnTo>
                                  <a:pt x="2789013" y="536541"/>
                                </a:lnTo>
                                <a:lnTo>
                                  <a:pt x="2797460" y="530835"/>
                                </a:lnTo>
                                <a:lnTo>
                                  <a:pt x="2787536" y="516142"/>
                                </a:lnTo>
                                <a:close/>
                              </a:path>
                              <a:path w="4030345" h="1014094">
                                <a:moveTo>
                                  <a:pt x="2789013" y="536541"/>
                                </a:moveTo>
                                <a:lnTo>
                                  <a:pt x="2779829" y="540972"/>
                                </a:lnTo>
                                <a:lnTo>
                                  <a:pt x="2782453" y="540972"/>
                                </a:lnTo>
                                <a:lnTo>
                                  <a:pt x="2789013" y="536541"/>
                                </a:lnTo>
                                <a:close/>
                              </a:path>
                              <a:path w="4030345" h="1014094">
                                <a:moveTo>
                                  <a:pt x="3080937" y="374583"/>
                                </a:moveTo>
                                <a:lnTo>
                                  <a:pt x="2787536" y="516142"/>
                                </a:lnTo>
                                <a:lnTo>
                                  <a:pt x="2797460" y="530835"/>
                                </a:lnTo>
                                <a:lnTo>
                                  <a:pt x="2789013" y="536541"/>
                                </a:lnTo>
                                <a:lnTo>
                                  <a:pt x="3089608" y="391512"/>
                                </a:lnTo>
                                <a:lnTo>
                                  <a:pt x="3086382" y="391512"/>
                                </a:lnTo>
                                <a:lnTo>
                                  <a:pt x="3080937" y="374583"/>
                                </a:lnTo>
                                <a:close/>
                              </a:path>
                              <a:path w="4030345" h="1014094">
                                <a:moveTo>
                                  <a:pt x="2779510" y="520014"/>
                                </a:moveTo>
                                <a:lnTo>
                                  <a:pt x="2771567" y="523847"/>
                                </a:lnTo>
                                <a:lnTo>
                                  <a:pt x="2772124" y="525003"/>
                                </a:lnTo>
                                <a:lnTo>
                                  <a:pt x="2779510" y="520014"/>
                                </a:lnTo>
                                <a:close/>
                              </a:path>
                              <a:path w="4030345" h="1014094">
                                <a:moveTo>
                                  <a:pt x="2786818" y="515078"/>
                                </a:moveTo>
                                <a:lnTo>
                                  <a:pt x="2779510" y="520014"/>
                                </a:lnTo>
                                <a:lnTo>
                                  <a:pt x="2787536" y="516142"/>
                                </a:lnTo>
                                <a:lnTo>
                                  <a:pt x="2786818" y="515078"/>
                                </a:lnTo>
                                <a:close/>
                              </a:path>
                              <a:path w="4030345" h="1014094">
                                <a:moveTo>
                                  <a:pt x="3097488" y="367966"/>
                                </a:moveTo>
                                <a:lnTo>
                                  <a:pt x="3088984" y="370701"/>
                                </a:lnTo>
                                <a:lnTo>
                                  <a:pt x="3080937" y="374583"/>
                                </a:lnTo>
                                <a:lnTo>
                                  <a:pt x="3086382" y="391512"/>
                                </a:lnTo>
                                <a:lnTo>
                                  <a:pt x="3096061" y="388398"/>
                                </a:lnTo>
                                <a:lnTo>
                                  <a:pt x="3105216" y="383981"/>
                                </a:lnTo>
                                <a:lnTo>
                                  <a:pt x="3097488" y="367966"/>
                                </a:lnTo>
                                <a:close/>
                              </a:path>
                              <a:path w="4030345" h="1014094">
                                <a:moveTo>
                                  <a:pt x="3096061" y="388398"/>
                                </a:moveTo>
                                <a:lnTo>
                                  <a:pt x="3086382" y="391512"/>
                                </a:lnTo>
                                <a:lnTo>
                                  <a:pt x="3089608" y="391512"/>
                                </a:lnTo>
                                <a:lnTo>
                                  <a:pt x="3096061" y="388398"/>
                                </a:lnTo>
                                <a:close/>
                              </a:path>
                              <a:path w="4030345" h="1014094">
                                <a:moveTo>
                                  <a:pt x="3397623" y="271431"/>
                                </a:moveTo>
                                <a:lnTo>
                                  <a:pt x="3097488" y="367966"/>
                                </a:lnTo>
                                <a:lnTo>
                                  <a:pt x="3105216" y="383981"/>
                                </a:lnTo>
                                <a:lnTo>
                                  <a:pt x="3096061" y="388398"/>
                                </a:lnTo>
                                <a:lnTo>
                                  <a:pt x="3395157" y="292198"/>
                                </a:lnTo>
                                <a:lnTo>
                                  <a:pt x="3388501" y="274951"/>
                                </a:lnTo>
                                <a:lnTo>
                                  <a:pt x="3397623" y="271431"/>
                                </a:lnTo>
                                <a:close/>
                              </a:path>
                              <a:path w="4030345" h="1014094">
                                <a:moveTo>
                                  <a:pt x="3088984" y="370701"/>
                                </a:moveTo>
                                <a:lnTo>
                                  <a:pt x="3080560" y="373410"/>
                                </a:lnTo>
                                <a:lnTo>
                                  <a:pt x="3080937" y="374583"/>
                                </a:lnTo>
                                <a:lnTo>
                                  <a:pt x="3088984" y="370701"/>
                                </a:lnTo>
                                <a:close/>
                              </a:path>
                              <a:path w="4030345" h="1014094">
                                <a:moveTo>
                                  <a:pt x="3096953" y="366856"/>
                                </a:moveTo>
                                <a:lnTo>
                                  <a:pt x="3088984" y="370701"/>
                                </a:lnTo>
                                <a:lnTo>
                                  <a:pt x="3097488" y="367966"/>
                                </a:lnTo>
                                <a:lnTo>
                                  <a:pt x="3096953" y="366856"/>
                                </a:lnTo>
                                <a:close/>
                              </a:path>
                              <a:path w="4030345" h="1014094">
                                <a:moveTo>
                                  <a:pt x="3403966" y="289364"/>
                                </a:moveTo>
                                <a:lnTo>
                                  <a:pt x="3395157" y="292198"/>
                                </a:lnTo>
                                <a:lnTo>
                                  <a:pt x="3395347" y="292691"/>
                                </a:lnTo>
                                <a:lnTo>
                                  <a:pt x="3403966" y="289364"/>
                                </a:lnTo>
                                <a:close/>
                              </a:path>
                              <a:path w="4030345" h="1014094">
                                <a:moveTo>
                                  <a:pt x="3406933" y="268436"/>
                                </a:moveTo>
                                <a:lnTo>
                                  <a:pt x="3397623" y="271431"/>
                                </a:lnTo>
                                <a:lnTo>
                                  <a:pt x="3388501" y="274951"/>
                                </a:lnTo>
                                <a:lnTo>
                                  <a:pt x="3395157" y="292198"/>
                                </a:lnTo>
                                <a:lnTo>
                                  <a:pt x="3403966" y="289364"/>
                                </a:lnTo>
                                <a:lnTo>
                                  <a:pt x="3412593" y="286035"/>
                                </a:lnTo>
                                <a:lnTo>
                                  <a:pt x="3406933" y="268436"/>
                                </a:lnTo>
                                <a:close/>
                              </a:path>
                              <a:path w="4030345" h="1014094">
                                <a:moveTo>
                                  <a:pt x="3412593" y="286035"/>
                                </a:moveTo>
                                <a:lnTo>
                                  <a:pt x="3403966" y="289364"/>
                                </a:lnTo>
                                <a:lnTo>
                                  <a:pt x="3412755" y="286537"/>
                                </a:lnTo>
                                <a:lnTo>
                                  <a:pt x="3412593" y="286035"/>
                                </a:lnTo>
                                <a:close/>
                              </a:path>
                              <a:path w="4030345" h="1014094">
                                <a:moveTo>
                                  <a:pt x="3458192" y="268436"/>
                                </a:moveTo>
                                <a:lnTo>
                                  <a:pt x="3406933" y="268436"/>
                                </a:lnTo>
                                <a:lnTo>
                                  <a:pt x="3412593" y="286035"/>
                                </a:lnTo>
                                <a:lnTo>
                                  <a:pt x="3458192" y="268436"/>
                                </a:lnTo>
                                <a:close/>
                              </a:path>
                              <a:path w="4030345" h="1014094">
                                <a:moveTo>
                                  <a:pt x="3705282" y="152692"/>
                                </a:moveTo>
                                <a:lnTo>
                                  <a:pt x="3397623" y="271431"/>
                                </a:lnTo>
                                <a:lnTo>
                                  <a:pt x="3406933" y="268436"/>
                                </a:lnTo>
                                <a:lnTo>
                                  <a:pt x="3458192" y="268436"/>
                                </a:lnTo>
                                <a:lnTo>
                                  <a:pt x="3704312" y="173448"/>
                                </a:lnTo>
                                <a:lnTo>
                                  <a:pt x="3696372" y="156991"/>
                                </a:lnTo>
                                <a:lnTo>
                                  <a:pt x="3705282" y="152692"/>
                                </a:lnTo>
                                <a:close/>
                              </a:path>
                              <a:path w="4030345" h="1014094">
                                <a:moveTo>
                                  <a:pt x="3712848" y="170154"/>
                                </a:moveTo>
                                <a:lnTo>
                                  <a:pt x="3704312" y="173448"/>
                                </a:lnTo>
                                <a:lnTo>
                                  <a:pt x="3704634" y="174117"/>
                                </a:lnTo>
                                <a:lnTo>
                                  <a:pt x="3712848" y="170154"/>
                                </a:lnTo>
                                <a:close/>
                              </a:path>
                              <a:path w="4030345" h="1014094">
                                <a:moveTo>
                                  <a:pt x="3714512" y="149130"/>
                                </a:moveTo>
                                <a:lnTo>
                                  <a:pt x="3705282" y="152692"/>
                                </a:lnTo>
                                <a:lnTo>
                                  <a:pt x="3696372" y="156991"/>
                                </a:lnTo>
                                <a:lnTo>
                                  <a:pt x="3704312" y="173448"/>
                                </a:lnTo>
                                <a:lnTo>
                                  <a:pt x="3712848" y="170154"/>
                                </a:lnTo>
                                <a:lnTo>
                                  <a:pt x="3721091" y="166177"/>
                                </a:lnTo>
                                <a:lnTo>
                                  <a:pt x="3714512" y="149130"/>
                                </a:lnTo>
                                <a:close/>
                              </a:path>
                              <a:path w="4030345" h="1014094">
                                <a:moveTo>
                                  <a:pt x="3721091" y="166177"/>
                                </a:moveTo>
                                <a:lnTo>
                                  <a:pt x="3712848" y="170154"/>
                                </a:lnTo>
                                <a:lnTo>
                                  <a:pt x="3721359" y="166869"/>
                                </a:lnTo>
                                <a:lnTo>
                                  <a:pt x="3721091" y="166177"/>
                                </a:lnTo>
                                <a:close/>
                              </a:path>
                              <a:path w="4030345" h="1014094">
                                <a:moveTo>
                                  <a:pt x="3756424" y="149130"/>
                                </a:moveTo>
                                <a:lnTo>
                                  <a:pt x="3714512" y="149130"/>
                                </a:lnTo>
                                <a:lnTo>
                                  <a:pt x="3721091" y="166177"/>
                                </a:lnTo>
                                <a:lnTo>
                                  <a:pt x="3756424" y="149130"/>
                                </a:lnTo>
                                <a:close/>
                              </a:path>
                              <a:path w="4030345" h="1014094">
                                <a:moveTo>
                                  <a:pt x="4021771" y="0"/>
                                </a:moveTo>
                                <a:lnTo>
                                  <a:pt x="3705282" y="152692"/>
                                </a:lnTo>
                                <a:lnTo>
                                  <a:pt x="3714512" y="149130"/>
                                </a:lnTo>
                                <a:lnTo>
                                  <a:pt x="3756424" y="149130"/>
                                </a:lnTo>
                                <a:lnTo>
                                  <a:pt x="4030034" y="17125"/>
                                </a:lnTo>
                                <a:lnTo>
                                  <a:pt x="4021771" y="0"/>
                                </a:lnTo>
                                <a:close/>
                              </a:path>
                            </a:pathLst>
                          </a:custGeom>
                          <a:solidFill>
                            <a:srgbClr val="2F7D41"/>
                          </a:solidFill>
                        </wps:spPr>
                        <wps:bodyPr wrap="square" lIns="0" tIns="0" rIns="0" bIns="0" rtlCol="0">
                          <a:prstTxWarp prst="textNoShape">
                            <a:avLst/>
                          </a:prstTxWarp>
                          <a:noAutofit/>
                        </wps:bodyPr>
                      </wps:wsp>
                      <wps:wsp>
                        <wps:cNvPr id="1682" name="Graphic 1682"/>
                        <wps:cNvSpPr/>
                        <wps:spPr>
                          <a:xfrm>
                            <a:off x="655518" y="617651"/>
                            <a:ext cx="4107179" cy="386715"/>
                          </a:xfrm>
                          <a:custGeom>
                            <a:avLst/>
                            <a:gdLst/>
                            <a:ahLst/>
                            <a:cxnLst/>
                            <a:rect l="l" t="t" r="r" b="b"/>
                            <a:pathLst>
                              <a:path w="4107179" h="386715">
                                <a:moveTo>
                                  <a:pt x="99441" y="337108"/>
                                </a:moveTo>
                                <a:lnTo>
                                  <a:pt x="49720" y="287528"/>
                                </a:lnTo>
                                <a:lnTo>
                                  <a:pt x="0" y="337108"/>
                                </a:lnTo>
                                <a:lnTo>
                                  <a:pt x="49720" y="386689"/>
                                </a:lnTo>
                                <a:lnTo>
                                  <a:pt x="99441" y="337108"/>
                                </a:lnTo>
                                <a:close/>
                              </a:path>
                              <a:path w="4107179" h="386715">
                                <a:moveTo>
                                  <a:pt x="407708" y="337108"/>
                                </a:moveTo>
                                <a:lnTo>
                                  <a:pt x="357987" y="287528"/>
                                </a:lnTo>
                                <a:lnTo>
                                  <a:pt x="308267" y="337108"/>
                                </a:lnTo>
                                <a:lnTo>
                                  <a:pt x="357987" y="386689"/>
                                </a:lnTo>
                                <a:lnTo>
                                  <a:pt x="407708" y="337108"/>
                                </a:lnTo>
                                <a:close/>
                              </a:path>
                              <a:path w="4107179" h="386715">
                                <a:moveTo>
                                  <a:pt x="715987" y="297446"/>
                                </a:moveTo>
                                <a:lnTo>
                                  <a:pt x="666267" y="247865"/>
                                </a:lnTo>
                                <a:lnTo>
                                  <a:pt x="616534" y="297446"/>
                                </a:lnTo>
                                <a:lnTo>
                                  <a:pt x="666267" y="347027"/>
                                </a:lnTo>
                                <a:lnTo>
                                  <a:pt x="715987" y="297446"/>
                                </a:lnTo>
                                <a:close/>
                              </a:path>
                              <a:path w="4107179" h="386715">
                                <a:moveTo>
                                  <a:pt x="1024255" y="287528"/>
                                </a:moveTo>
                                <a:lnTo>
                                  <a:pt x="974534" y="237959"/>
                                </a:lnTo>
                                <a:lnTo>
                                  <a:pt x="924814" y="287528"/>
                                </a:lnTo>
                                <a:lnTo>
                                  <a:pt x="974534" y="337108"/>
                                </a:lnTo>
                                <a:lnTo>
                                  <a:pt x="1024255" y="287528"/>
                                </a:lnTo>
                                <a:close/>
                              </a:path>
                              <a:path w="4107179" h="386715">
                                <a:moveTo>
                                  <a:pt x="1332522" y="287528"/>
                                </a:moveTo>
                                <a:lnTo>
                                  <a:pt x="1282814" y="237959"/>
                                </a:lnTo>
                                <a:lnTo>
                                  <a:pt x="1233081" y="287528"/>
                                </a:lnTo>
                                <a:lnTo>
                                  <a:pt x="1282814" y="337108"/>
                                </a:lnTo>
                                <a:lnTo>
                                  <a:pt x="1332522" y="287528"/>
                                </a:lnTo>
                                <a:close/>
                              </a:path>
                              <a:path w="4107179" h="386715">
                                <a:moveTo>
                                  <a:pt x="1640801" y="277622"/>
                                </a:moveTo>
                                <a:lnTo>
                                  <a:pt x="1591081" y="228041"/>
                                </a:lnTo>
                                <a:lnTo>
                                  <a:pt x="1541360" y="277622"/>
                                </a:lnTo>
                                <a:lnTo>
                                  <a:pt x="1591081" y="327190"/>
                                </a:lnTo>
                                <a:lnTo>
                                  <a:pt x="1640801" y="277622"/>
                                </a:lnTo>
                                <a:close/>
                              </a:path>
                              <a:path w="4107179" h="386715">
                                <a:moveTo>
                                  <a:pt x="1949069" y="267703"/>
                                </a:moveTo>
                                <a:lnTo>
                                  <a:pt x="1899348" y="218122"/>
                                </a:lnTo>
                                <a:lnTo>
                                  <a:pt x="1849640" y="267703"/>
                                </a:lnTo>
                                <a:lnTo>
                                  <a:pt x="1899348" y="317271"/>
                                </a:lnTo>
                                <a:lnTo>
                                  <a:pt x="1949069" y="267703"/>
                                </a:lnTo>
                                <a:close/>
                              </a:path>
                              <a:path w="4107179" h="386715">
                                <a:moveTo>
                                  <a:pt x="2257336" y="218122"/>
                                </a:moveTo>
                                <a:lnTo>
                                  <a:pt x="2207615" y="168554"/>
                                </a:lnTo>
                                <a:lnTo>
                                  <a:pt x="2157895" y="218122"/>
                                </a:lnTo>
                                <a:lnTo>
                                  <a:pt x="2207615" y="267703"/>
                                </a:lnTo>
                                <a:lnTo>
                                  <a:pt x="2257336" y="218122"/>
                                </a:lnTo>
                                <a:close/>
                              </a:path>
                              <a:path w="4107179" h="386715">
                                <a:moveTo>
                                  <a:pt x="2565628" y="188379"/>
                                </a:moveTo>
                                <a:lnTo>
                                  <a:pt x="2515908" y="138811"/>
                                </a:lnTo>
                                <a:lnTo>
                                  <a:pt x="2466175" y="188379"/>
                                </a:lnTo>
                                <a:lnTo>
                                  <a:pt x="2515908" y="237959"/>
                                </a:lnTo>
                                <a:lnTo>
                                  <a:pt x="2565628" y="188379"/>
                                </a:lnTo>
                                <a:close/>
                              </a:path>
                              <a:path w="4107179" h="386715">
                                <a:moveTo>
                                  <a:pt x="2873883" y="178473"/>
                                </a:moveTo>
                                <a:lnTo>
                                  <a:pt x="2824175" y="128892"/>
                                </a:lnTo>
                                <a:lnTo>
                                  <a:pt x="2774454" y="178473"/>
                                </a:lnTo>
                                <a:lnTo>
                                  <a:pt x="2824175" y="228041"/>
                                </a:lnTo>
                                <a:lnTo>
                                  <a:pt x="2873883" y="178473"/>
                                </a:lnTo>
                                <a:close/>
                              </a:path>
                              <a:path w="4107179" h="386715">
                                <a:moveTo>
                                  <a:pt x="3182150" y="148717"/>
                                </a:moveTo>
                                <a:lnTo>
                                  <a:pt x="3132429" y="99148"/>
                                </a:lnTo>
                                <a:lnTo>
                                  <a:pt x="3082709" y="148717"/>
                                </a:lnTo>
                                <a:lnTo>
                                  <a:pt x="3132429" y="198297"/>
                                </a:lnTo>
                                <a:lnTo>
                                  <a:pt x="3182150" y="148717"/>
                                </a:lnTo>
                                <a:close/>
                              </a:path>
                              <a:path w="4107179" h="386715">
                                <a:moveTo>
                                  <a:pt x="3490430" y="148717"/>
                                </a:moveTo>
                                <a:lnTo>
                                  <a:pt x="3440709" y="99148"/>
                                </a:lnTo>
                                <a:lnTo>
                                  <a:pt x="3390989" y="148717"/>
                                </a:lnTo>
                                <a:lnTo>
                                  <a:pt x="3440709" y="198297"/>
                                </a:lnTo>
                                <a:lnTo>
                                  <a:pt x="3490430" y="148717"/>
                                </a:lnTo>
                                <a:close/>
                              </a:path>
                              <a:path w="4107179" h="386715">
                                <a:moveTo>
                                  <a:pt x="3798697" y="128892"/>
                                </a:moveTo>
                                <a:lnTo>
                                  <a:pt x="3748976" y="79311"/>
                                </a:lnTo>
                                <a:lnTo>
                                  <a:pt x="3699256" y="128892"/>
                                </a:lnTo>
                                <a:lnTo>
                                  <a:pt x="3748976" y="178473"/>
                                </a:lnTo>
                                <a:lnTo>
                                  <a:pt x="3798697" y="128892"/>
                                </a:lnTo>
                                <a:close/>
                              </a:path>
                              <a:path w="4107179" h="386715">
                                <a:moveTo>
                                  <a:pt x="4106976" y="49568"/>
                                </a:moveTo>
                                <a:lnTo>
                                  <a:pt x="4057256" y="0"/>
                                </a:lnTo>
                                <a:lnTo>
                                  <a:pt x="4007535" y="49568"/>
                                </a:lnTo>
                                <a:lnTo>
                                  <a:pt x="4057256" y="99148"/>
                                </a:lnTo>
                                <a:lnTo>
                                  <a:pt x="4106976" y="49568"/>
                                </a:lnTo>
                                <a:close/>
                              </a:path>
                            </a:pathLst>
                          </a:custGeom>
                          <a:solidFill>
                            <a:srgbClr val="E3C626"/>
                          </a:solidFill>
                        </wps:spPr>
                        <wps:bodyPr wrap="square" lIns="0" tIns="0" rIns="0" bIns="0" rtlCol="0">
                          <a:prstTxWarp prst="textNoShape">
                            <a:avLst/>
                          </a:prstTxWarp>
                          <a:noAutofit/>
                        </wps:bodyPr>
                      </wps:wsp>
                      <wps:wsp>
                        <wps:cNvPr id="1683" name="Graphic 1683"/>
                        <wps:cNvSpPr/>
                        <wps:spPr>
                          <a:xfrm>
                            <a:off x="675406" y="637476"/>
                            <a:ext cx="4057650" cy="1041400"/>
                          </a:xfrm>
                          <a:custGeom>
                            <a:avLst/>
                            <a:gdLst/>
                            <a:ahLst/>
                            <a:cxnLst/>
                            <a:rect l="l" t="t" r="r" b="b"/>
                            <a:pathLst>
                              <a:path w="4057650" h="1041400">
                                <a:moveTo>
                                  <a:pt x="49720" y="991514"/>
                                </a:moveTo>
                                <a:lnTo>
                                  <a:pt x="0" y="991514"/>
                                </a:lnTo>
                                <a:lnTo>
                                  <a:pt x="0" y="1041082"/>
                                </a:lnTo>
                                <a:lnTo>
                                  <a:pt x="49720" y="1041082"/>
                                </a:lnTo>
                                <a:lnTo>
                                  <a:pt x="49720" y="991514"/>
                                </a:lnTo>
                                <a:close/>
                              </a:path>
                              <a:path w="4057650" h="1041400">
                                <a:moveTo>
                                  <a:pt x="358000" y="981583"/>
                                </a:moveTo>
                                <a:lnTo>
                                  <a:pt x="308267" y="981583"/>
                                </a:lnTo>
                                <a:lnTo>
                                  <a:pt x="308267" y="1031163"/>
                                </a:lnTo>
                                <a:lnTo>
                                  <a:pt x="358000" y="1031163"/>
                                </a:lnTo>
                                <a:lnTo>
                                  <a:pt x="358000" y="981583"/>
                                </a:lnTo>
                                <a:close/>
                              </a:path>
                              <a:path w="4057650" h="1041400">
                                <a:moveTo>
                                  <a:pt x="666267" y="951852"/>
                                </a:moveTo>
                                <a:lnTo>
                                  <a:pt x="616546" y="951852"/>
                                </a:lnTo>
                                <a:lnTo>
                                  <a:pt x="616546" y="1001420"/>
                                </a:lnTo>
                                <a:lnTo>
                                  <a:pt x="666267" y="1001420"/>
                                </a:lnTo>
                                <a:lnTo>
                                  <a:pt x="666267" y="951852"/>
                                </a:lnTo>
                                <a:close/>
                              </a:path>
                              <a:path w="4057650" h="1041400">
                                <a:moveTo>
                                  <a:pt x="974534" y="932014"/>
                                </a:moveTo>
                                <a:lnTo>
                                  <a:pt x="924814" y="932014"/>
                                </a:lnTo>
                                <a:lnTo>
                                  <a:pt x="924814" y="981583"/>
                                </a:lnTo>
                                <a:lnTo>
                                  <a:pt x="974534" y="981583"/>
                                </a:lnTo>
                                <a:lnTo>
                                  <a:pt x="974534" y="932014"/>
                                </a:lnTo>
                                <a:close/>
                              </a:path>
                              <a:path w="4057650" h="1041400">
                                <a:moveTo>
                                  <a:pt x="1282801" y="912190"/>
                                </a:moveTo>
                                <a:lnTo>
                                  <a:pt x="1233093" y="912190"/>
                                </a:lnTo>
                                <a:lnTo>
                                  <a:pt x="1233093" y="961758"/>
                                </a:lnTo>
                                <a:lnTo>
                                  <a:pt x="1282801" y="961758"/>
                                </a:lnTo>
                                <a:lnTo>
                                  <a:pt x="1282801" y="912190"/>
                                </a:lnTo>
                                <a:close/>
                              </a:path>
                              <a:path w="4057650" h="1041400">
                                <a:moveTo>
                                  <a:pt x="1591081" y="902271"/>
                                </a:moveTo>
                                <a:lnTo>
                                  <a:pt x="1541360" y="902271"/>
                                </a:lnTo>
                                <a:lnTo>
                                  <a:pt x="1541360" y="951852"/>
                                </a:lnTo>
                                <a:lnTo>
                                  <a:pt x="1591081" y="951852"/>
                                </a:lnTo>
                                <a:lnTo>
                                  <a:pt x="1591081" y="902271"/>
                                </a:lnTo>
                                <a:close/>
                              </a:path>
                              <a:path w="4057650" h="1041400">
                                <a:moveTo>
                                  <a:pt x="1899361" y="842784"/>
                                </a:moveTo>
                                <a:lnTo>
                                  <a:pt x="1849628" y="842784"/>
                                </a:lnTo>
                                <a:lnTo>
                                  <a:pt x="1849628" y="892352"/>
                                </a:lnTo>
                                <a:lnTo>
                                  <a:pt x="1899361" y="892352"/>
                                </a:lnTo>
                                <a:lnTo>
                                  <a:pt x="1899361" y="842784"/>
                                </a:lnTo>
                                <a:close/>
                              </a:path>
                              <a:path w="4057650" h="1041400">
                                <a:moveTo>
                                  <a:pt x="2207628" y="803122"/>
                                </a:moveTo>
                                <a:lnTo>
                                  <a:pt x="2157907" y="803122"/>
                                </a:lnTo>
                                <a:lnTo>
                                  <a:pt x="2157907" y="852703"/>
                                </a:lnTo>
                                <a:lnTo>
                                  <a:pt x="2207628" y="852703"/>
                                </a:lnTo>
                                <a:lnTo>
                                  <a:pt x="2207628" y="803122"/>
                                </a:lnTo>
                                <a:close/>
                              </a:path>
                              <a:path w="4057650" h="1041400">
                                <a:moveTo>
                                  <a:pt x="2515895" y="723798"/>
                                </a:moveTo>
                                <a:lnTo>
                                  <a:pt x="2466175" y="723798"/>
                                </a:lnTo>
                                <a:lnTo>
                                  <a:pt x="2466175" y="773379"/>
                                </a:lnTo>
                                <a:lnTo>
                                  <a:pt x="2515895" y="773379"/>
                                </a:lnTo>
                                <a:lnTo>
                                  <a:pt x="2515895" y="723798"/>
                                </a:lnTo>
                                <a:close/>
                              </a:path>
                              <a:path w="4057650" h="1041400">
                                <a:moveTo>
                                  <a:pt x="2824149" y="515581"/>
                                </a:moveTo>
                                <a:lnTo>
                                  <a:pt x="2774442" y="515581"/>
                                </a:lnTo>
                                <a:lnTo>
                                  <a:pt x="2774442" y="565162"/>
                                </a:lnTo>
                                <a:lnTo>
                                  <a:pt x="2824149" y="565162"/>
                                </a:lnTo>
                                <a:lnTo>
                                  <a:pt x="2824149" y="515581"/>
                                </a:lnTo>
                                <a:close/>
                              </a:path>
                              <a:path w="4057650" h="1041400">
                                <a:moveTo>
                                  <a:pt x="3132442" y="366864"/>
                                </a:moveTo>
                                <a:lnTo>
                                  <a:pt x="3082709" y="366864"/>
                                </a:lnTo>
                                <a:lnTo>
                                  <a:pt x="3082709" y="416433"/>
                                </a:lnTo>
                                <a:lnTo>
                                  <a:pt x="3132442" y="416433"/>
                                </a:lnTo>
                                <a:lnTo>
                                  <a:pt x="3132442" y="366864"/>
                                </a:lnTo>
                                <a:close/>
                              </a:path>
                              <a:path w="4057650" h="1041400">
                                <a:moveTo>
                                  <a:pt x="3440709" y="267703"/>
                                </a:moveTo>
                                <a:lnTo>
                                  <a:pt x="3390989" y="267703"/>
                                </a:lnTo>
                                <a:lnTo>
                                  <a:pt x="3390989" y="317284"/>
                                </a:lnTo>
                                <a:lnTo>
                                  <a:pt x="3440709" y="317284"/>
                                </a:lnTo>
                                <a:lnTo>
                                  <a:pt x="3440709" y="267703"/>
                                </a:lnTo>
                                <a:close/>
                              </a:path>
                              <a:path w="4057650" h="1041400">
                                <a:moveTo>
                                  <a:pt x="3748976" y="148729"/>
                                </a:moveTo>
                                <a:lnTo>
                                  <a:pt x="3699268" y="148729"/>
                                </a:lnTo>
                                <a:lnTo>
                                  <a:pt x="3699268" y="198297"/>
                                </a:lnTo>
                                <a:lnTo>
                                  <a:pt x="3748976" y="198297"/>
                                </a:lnTo>
                                <a:lnTo>
                                  <a:pt x="3748976" y="148729"/>
                                </a:lnTo>
                                <a:close/>
                              </a:path>
                              <a:path w="4057650" h="1041400">
                                <a:moveTo>
                                  <a:pt x="4057243" y="0"/>
                                </a:moveTo>
                                <a:lnTo>
                                  <a:pt x="4007523" y="0"/>
                                </a:lnTo>
                                <a:lnTo>
                                  <a:pt x="4007523" y="49580"/>
                                </a:lnTo>
                                <a:lnTo>
                                  <a:pt x="4057243" y="49580"/>
                                </a:lnTo>
                                <a:lnTo>
                                  <a:pt x="4057243" y="0"/>
                                </a:lnTo>
                                <a:close/>
                              </a:path>
                            </a:pathLst>
                          </a:custGeom>
                          <a:solidFill>
                            <a:srgbClr val="2F7D41"/>
                          </a:solidFill>
                        </wps:spPr>
                        <wps:bodyPr wrap="square" lIns="0" tIns="0" rIns="0" bIns="0" rtlCol="0">
                          <a:prstTxWarp prst="textNoShape">
                            <a:avLst/>
                          </a:prstTxWarp>
                          <a:noAutofit/>
                        </wps:bodyPr>
                      </wps:wsp>
                      <wps:wsp>
                        <wps:cNvPr id="1684" name="Graphic 1684"/>
                        <wps:cNvSpPr/>
                        <wps:spPr>
                          <a:xfrm>
                            <a:off x="-5" y="0"/>
                            <a:ext cx="5039360" cy="2504440"/>
                          </a:xfrm>
                          <a:custGeom>
                            <a:avLst/>
                            <a:gdLst/>
                            <a:ahLst/>
                            <a:cxnLst/>
                            <a:rect l="l" t="t" r="r" b="b"/>
                            <a:pathLst>
                              <a:path w="5039360" h="2504440">
                                <a:moveTo>
                                  <a:pt x="5039055" y="0"/>
                                </a:moveTo>
                                <a:lnTo>
                                  <a:pt x="5032692" y="0"/>
                                </a:lnTo>
                                <a:lnTo>
                                  <a:pt x="5032692" y="6705"/>
                                </a:lnTo>
                                <a:lnTo>
                                  <a:pt x="5032692" y="2498090"/>
                                </a:lnTo>
                                <a:lnTo>
                                  <a:pt x="5032692" y="2498217"/>
                                </a:lnTo>
                                <a:lnTo>
                                  <a:pt x="5032692" y="2501392"/>
                                </a:lnTo>
                                <a:lnTo>
                                  <a:pt x="5032692" y="2501900"/>
                                </a:lnTo>
                                <a:lnTo>
                                  <a:pt x="3175" y="2501900"/>
                                </a:lnTo>
                                <a:lnTo>
                                  <a:pt x="3175" y="2501392"/>
                                </a:lnTo>
                                <a:lnTo>
                                  <a:pt x="6350" y="2501392"/>
                                </a:lnTo>
                                <a:lnTo>
                                  <a:pt x="5032692" y="2501392"/>
                                </a:lnTo>
                                <a:lnTo>
                                  <a:pt x="5032692" y="2498217"/>
                                </a:lnTo>
                                <a:lnTo>
                                  <a:pt x="6350" y="2498217"/>
                                </a:lnTo>
                                <a:lnTo>
                                  <a:pt x="3175" y="2498217"/>
                                </a:lnTo>
                                <a:lnTo>
                                  <a:pt x="3175" y="2498090"/>
                                </a:lnTo>
                                <a:lnTo>
                                  <a:pt x="6350" y="2498090"/>
                                </a:lnTo>
                                <a:lnTo>
                                  <a:pt x="6350" y="6705"/>
                                </a:lnTo>
                                <a:lnTo>
                                  <a:pt x="5032692" y="6705"/>
                                </a:lnTo>
                                <a:lnTo>
                                  <a:pt x="5032692" y="0"/>
                                </a:lnTo>
                                <a:lnTo>
                                  <a:pt x="0" y="0"/>
                                </a:lnTo>
                                <a:lnTo>
                                  <a:pt x="0" y="3810"/>
                                </a:lnTo>
                                <a:lnTo>
                                  <a:pt x="0" y="6350"/>
                                </a:lnTo>
                                <a:lnTo>
                                  <a:pt x="0" y="2498090"/>
                                </a:lnTo>
                                <a:lnTo>
                                  <a:pt x="0" y="2501900"/>
                                </a:lnTo>
                                <a:lnTo>
                                  <a:pt x="0" y="2504440"/>
                                </a:lnTo>
                                <a:lnTo>
                                  <a:pt x="5039055" y="2504440"/>
                                </a:lnTo>
                                <a:lnTo>
                                  <a:pt x="5039055" y="2501900"/>
                                </a:lnTo>
                                <a:lnTo>
                                  <a:pt x="5035880" y="2501900"/>
                                </a:lnTo>
                                <a:lnTo>
                                  <a:pt x="5035880" y="2501392"/>
                                </a:lnTo>
                                <a:lnTo>
                                  <a:pt x="5039055" y="2501392"/>
                                </a:lnTo>
                                <a:lnTo>
                                  <a:pt x="5039055" y="2498217"/>
                                </a:lnTo>
                                <a:lnTo>
                                  <a:pt x="5035880" y="2498217"/>
                                </a:lnTo>
                                <a:lnTo>
                                  <a:pt x="5035880" y="2498090"/>
                                </a:lnTo>
                                <a:lnTo>
                                  <a:pt x="5039055" y="2498090"/>
                                </a:lnTo>
                                <a:lnTo>
                                  <a:pt x="5039055" y="6705"/>
                                </a:lnTo>
                                <a:lnTo>
                                  <a:pt x="5039055" y="6350"/>
                                </a:lnTo>
                                <a:lnTo>
                                  <a:pt x="5039055" y="3810"/>
                                </a:lnTo>
                                <a:lnTo>
                                  <a:pt x="5039055" y="3530"/>
                                </a:lnTo>
                                <a:lnTo>
                                  <a:pt x="5039055" y="0"/>
                                </a:lnTo>
                                <a:close/>
                              </a:path>
                            </a:pathLst>
                          </a:custGeom>
                          <a:solidFill>
                            <a:srgbClr val="000000"/>
                          </a:solidFill>
                        </wps:spPr>
                        <wps:bodyPr wrap="square" lIns="0" tIns="0" rIns="0" bIns="0" rtlCol="0">
                          <a:prstTxWarp prst="textNoShape">
                            <a:avLst/>
                          </a:prstTxWarp>
                          <a:noAutofit/>
                        </wps:bodyPr>
                      </wps:wsp>
                      <wps:wsp>
                        <wps:cNvPr id="1685" name="Graphic 1685"/>
                        <wps:cNvSpPr/>
                        <wps:spPr>
                          <a:xfrm>
                            <a:off x="3279325" y="137299"/>
                            <a:ext cx="297815" cy="79375"/>
                          </a:xfrm>
                          <a:custGeom>
                            <a:avLst/>
                            <a:gdLst/>
                            <a:ahLst/>
                            <a:cxnLst/>
                            <a:rect l="l" t="t" r="r" b="b"/>
                            <a:pathLst>
                              <a:path w="297815" h="79375">
                                <a:moveTo>
                                  <a:pt x="297446" y="30149"/>
                                </a:moveTo>
                                <a:lnTo>
                                  <a:pt x="178955" y="30149"/>
                                </a:lnTo>
                                <a:lnTo>
                                  <a:pt x="148717" y="0"/>
                                </a:lnTo>
                                <a:lnTo>
                                  <a:pt x="118478" y="30149"/>
                                </a:lnTo>
                                <a:lnTo>
                                  <a:pt x="0" y="30149"/>
                                </a:lnTo>
                                <a:lnTo>
                                  <a:pt x="0" y="49161"/>
                                </a:lnTo>
                                <a:lnTo>
                                  <a:pt x="118465" y="49161"/>
                                </a:lnTo>
                                <a:lnTo>
                                  <a:pt x="148717" y="79324"/>
                                </a:lnTo>
                                <a:lnTo>
                                  <a:pt x="178968" y="49161"/>
                                </a:lnTo>
                                <a:lnTo>
                                  <a:pt x="297446" y="49161"/>
                                </a:lnTo>
                                <a:lnTo>
                                  <a:pt x="297446" y="30149"/>
                                </a:lnTo>
                                <a:close/>
                              </a:path>
                            </a:pathLst>
                          </a:custGeom>
                          <a:solidFill>
                            <a:srgbClr val="E3C626"/>
                          </a:solidFill>
                        </wps:spPr>
                        <wps:bodyPr wrap="square" lIns="0" tIns="0" rIns="0" bIns="0" rtlCol="0">
                          <a:prstTxWarp prst="textNoShape">
                            <a:avLst/>
                          </a:prstTxWarp>
                          <a:noAutofit/>
                        </wps:bodyPr>
                      </wps:wsp>
                      <wps:wsp>
                        <wps:cNvPr id="1686" name="Textbox 1686"/>
                        <wps:cNvSpPr txBox="1"/>
                        <wps:spPr>
                          <a:xfrm>
                            <a:off x="620588" y="2177285"/>
                            <a:ext cx="4194810" cy="102235"/>
                          </a:xfrm>
                          <a:prstGeom prst="rect">
                            <a:avLst/>
                          </a:prstGeom>
                        </wps:spPr>
                        <wps:txbx>
                          <w:txbxContent>
                            <w:p>
                              <w:pPr>
                                <w:tabs>
                                  <w:tab w:pos="479" w:val="left" w:leader="none"/>
                                  <w:tab w:pos="969" w:val="left" w:leader="none"/>
                                  <w:tab w:pos="1439" w:val="left" w:leader="none"/>
                                  <w:tab w:pos="1939" w:val="left" w:leader="none"/>
                                  <w:tab w:pos="2432" w:val="left" w:leader="none"/>
                                  <w:tab w:pos="2922" w:val="left" w:leader="none"/>
                                  <w:tab w:pos="3409" w:val="left" w:leader="none"/>
                                  <w:tab w:pos="3899" w:val="left" w:leader="none"/>
                                  <w:tab w:pos="4379" w:val="left" w:leader="none"/>
                                  <w:tab w:pos="4869" w:val="left" w:leader="none"/>
                                  <w:tab w:pos="5829" w:val="left" w:leader="none"/>
                                  <w:tab w:pos="6329" w:val="left" w:leader="none"/>
                                </w:tabs>
                                <w:spacing w:line="161" w:lineRule="exact" w:before="0"/>
                                <w:ind w:left="0" w:right="0" w:firstLine="0"/>
                                <w:jc w:val="left"/>
                                <w:rPr>
                                  <w:rFonts w:ascii="Arial MT"/>
                                  <w:sz w:val="14"/>
                                </w:rPr>
                              </w:pPr>
                              <w:r>
                                <w:rPr>
                                  <w:rFonts w:ascii="Arial MT"/>
                                  <w:spacing w:val="-4"/>
                                  <w:w w:val="90"/>
                                  <w:sz w:val="14"/>
                                </w:rPr>
                                <w:t>1993</w:t>
                              </w:r>
                              <w:r>
                                <w:rPr>
                                  <w:rFonts w:ascii="Arial MT"/>
                                  <w:sz w:val="14"/>
                                </w:rPr>
                                <w:tab/>
                              </w:r>
                              <w:r>
                                <w:rPr>
                                  <w:rFonts w:ascii="Arial MT"/>
                                  <w:spacing w:val="-4"/>
                                  <w:w w:val="90"/>
                                  <w:sz w:val="14"/>
                                </w:rPr>
                                <w:t>1994</w:t>
                              </w:r>
                              <w:r>
                                <w:rPr>
                                  <w:rFonts w:ascii="Arial MT"/>
                                  <w:sz w:val="14"/>
                                </w:rPr>
                                <w:tab/>
                              </w:r>
                              <w:r>
                                <w:rPr>
                                  <w:rFonts w:ascii="Arial MT"/>
                                  <w:spacing w:val="-4"/>
                                  <w:w w:val="90"/>
                                  <w:sz w:val="14"/>
                                </w:rPr>
                                <w:t>1995</w:t>
                              </w:r>
                              <w:r>
                                <w:rPr>
                                  <w:rFonts w:ascii="Arial MT"/>
                                  <w:sz w:val="14"/>
                                </w:rPr>
                                <w:tab/>
                              </w:r>
                              <w:r>
                                <w:rPr>
                                  <w:rFonts w:ascii="Arial MT"/>
                                  <w:spacing w:val="-4"/>
                                  <w:w w:val="90"/>
                                  <w:sz w:val="14"/>
                                </w:rPr>
                                <w:t>1996</w:t>
                              </w:r>
                              <w:r>
                                <w:rPr>
                                  <w:rFonts w:ascii="Arial MT"/>
                                  <w:sz w:val="14"/>
                                </w:rPr>
                                <w:tab/>
                              </w:r>
                              <w:r>
                                <w:rPr>
                                  <w:rFonts w:ascii="Arial MT"/>
                                  <w:spacing w:val="-4"/>
                                  <w:w w:val="90"/>
                                  <w:sz w:val="14"/>
                                </w:rPr>
                                <w:t>1997</w:t>
                              </w:r>
                              <w:r>
                                <w:rPr>
                                  <w:rFonts w:ascii="Arial MT"/>
                                  <w:sz w:val="14"/>
                                </w:rPr>
                                <w:tab/>
                              </w:r>
                              <w:r>
                                <w:rPr>
                                  <w:rFonts w:ascii="Arial MT"/>
                                  <w:spacing w:val="-4"/>
                                  <w:w w:val="90"/>
                                  <w:sz w:val="14"/>
                                </w:rPr>
                                <w:t>1998</w:t>
                              </w:r>
                              <w:r>
                                <w:rPr>
                                  <w:rFonts w:ascii="Arial MT"/>
                                  <w:sz w:val="14"/>
                                </w:rPr>
                                <w:tab/>
                              </w:r>
                              <w:r>
                                <w:rPr>
                                  <w:rFonts w:ascii="Arial MT"/>
                                  <w:spacing w:val="-4"/>
                                  <w:w w:val="90"/>
                                  <w:sz w:val="14"/>
                                </w:rPr>
                                <w:t>1999</w:t>
                              </w:r>
                              <w:r>
                                <w:rPr>
                                  <w:rFonts w:ascii="Arial MT"/>
                                  <w:sz w:val="14"/>
                                </w:rPr>
                                <w:tab/>
                              </w:r>
                              <w:r>
                                <w:rPr>
                                  <w:rFonts w:ascii="Arial MT"/>
                                  <w:spacing w:val="-4"/>
                                  <w:w w:val="90"/>
                                  <w:sz w:val="14"/>
                                </w:rPr>
                                <w:t>2000</w:t>
                              </w:r>
                              <w:r>
                                <w:rPr>
                                  <w:rFonts w:ascii="Arial MT"/>
                                  <w:sz w:val="14"/>
                                </w:rPr>
                                <w:tab/>
                              </w:r>
                              <w:r>
                                <w:rPr>
                                  <w:rFonts w:ascii="Arial MT"/>
                                  <w:spacing w:val="-4"/>
                                  <w:w w:val="90"/>
                                  <w:sz w:val="14"/>
                                </w:rPr>
                                <w:t>2001</w:t>
                              </w:r>
                              <w:r>
                                <w:rPr>
                                  <w:rFonts w:ascii="Arial MT"/>
                                  <w:sz w:val="14"/>
                                </w:rPr>
                                <w:tab/>
                              </w:r>
                              <w:r>
                                <w:rPr>
                                  <w:rFonts w:ascii="Arial MT"/>
                                  <w:spacing w:val="-4"/>
                                  <w:w w:val="90"/>
                                  <w:sz w:val="14"/>
                                </w:rPr>
                                <w:t>2002</w:t>
                              </w:r>
                              <w:r>
                                <w:rPr>
                                  <w:rFonts w:ascii="Arial MT"/>
                                  <w:sz w:val="14"/>
                                </w:rPr>
                                <w:tab/>
                              </w:r>
                              <w:r>
                                <w:rPr>
                                  <w:rFonts w:ascii="Arial MT"/>
                                  <w:w w:val="90"/>
                                  <w:sz w:val="14"/>
                                </w:rPr>
                                <w:t>2003</w:t>
                              </w:r>
                              <w:r>
                                <w:rPr>
                                  <w:rFonts w:ascii="Arial MT"/>
                                  <w:spacing w:val="45"/>
                                  <w:sz w:val="14"/>
                                </w:rPr>
                                <w:t>  </w:t>
                              </w:r>
                              <w:r>
                                <w:rPr>
                                  <w:rFonts w:ascii="Arial MT"/>
                                  <w:spacing w:val="-4"/>
                                  <w:w w:val="90"/>
                                  <w:sz w:val="14"/>
                                </w:rPr>
                                <w:t>2004</w:t>
                              </w:r>
                              <w:r>
                                <w:rPr>
                                  <w:rFonts w:ascii="Arial MT"/>
                                  <w:sz w:val="14"/>
                                </w:rPr>
                                <w:tab/>
                              </w:r>
                              <w:r>
                                <w:rPr>
                                  <w:rFonts w:ascii="Arial MT"/>
                                  <w:spacing w:val="-4"/>
                                  <w:w w:val="90"/>
                                  <w:sz w:val="14"/>
                                </w:rPr>
                                <w:t>2005</w:t>
                              </w:r>
                              <w:r>
                                <w:rPr>
                                  <w:rFonts w:ascii="Arial MT"/>
                                  <w:sz w:val="14"/>
                                </w:rPr>
                                <w:tab/>
                              </w:r>
                              <w:r>
                                <w:rPr>
                                  <w:rFonts w:ascii="Arial MT"/>
                                  <w:spacing w:val="-4"/>
                                  <w:w w:val="85"/>
                                  <w:sz w:val="14"/>
                                </w:rPr>
                                <w:t>2006</w:t>
                              </w:r>
                            </w:p>
                          </w:txbxContent>
                        </wps:txbx>
                        <wps:bodyPr wrap="square" lIns="0" tIns="0" rIns="0" bIns="0" rtlCol="0">
                          <a:noAutofit/>
                        </wps:bodyPr>
                      </wps:wsp>
                      <wps:wsp>
                        <wps:cNvPr id="1687" name="Textbox 1687"/>
                        <wps:cNvSpPr txBox="1"/>
                        <wps:spPr>
                          <a:xfrm>
                            <a:off x="3641460" y="103985"/>
                            <a:ext cx="4140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0"/>
                                  <w:sz w:val="14"/>
                                </w:rPr>
                                <w:t>Government</w:t>
                              </w:r>
                            </w:p>
                          </w:txbxContent>
                        </wps:txbx>
                        <wps:bodyPr wrap="square" lIns="0" tIns="0" rIns="0" bIns="0" rtlCol="0">
                          <a:noAutofit/>
                        </wps:bodyPr>
                      </wps:wsp>
                      <wps:wsp>
                        <wps:cNvPr id="1688" name="Textbox 1688"/>
                        <wps:cNvSpPr txBox="1"/>
                        <wps:spPr>
                          <a:xfrm>
                            <a:off x="4313528" y="107935"/>
                            <a:ext cx="572135" cy="107314"/>
                          </a:xfrm>
                          <a:prstGeom prst="rect">
                            <a:avLst/>
                          </a:prstGeom>
                        </wps:spPr>
                        <wps:txbx>
                          <w:txbxContent>
                            <w:p>
                              <w:pPr>
                                <w:tabs>
                                  <w:tab w:pos="468" w:val="left" w:leader="none"/>
                                </w:tabs>
                                <w:spacing w:before="7"/>
                                <w:ind w:left="0" w:right="0" w:firstLine="0"/>
                                <w:jc w:val="left"/>
                                <w:rPr>
                                  <w:rFonts w:ascii="Arial MT"/>
                                  <w:sz w:val="14"/>
                                </w:rPr>
                              </w:pPr>
                              <w:r>
                                <w:rPr>
                                  <w:position w:val="1"/>
                                  <w:sz w:val="14"/>
                                  <w:u w:val="thick" w:color="2F7D41"/>
                                </w:rPr>
                                <w:tab/>
                              </w:r>
                              <w:r>
                                <w:rPr>
                                  <w:position w:val="1"/>
                                  <w:sz w:val="14"/>
                                </w:rPr>
                                <w:t> </w:t>
                              </w:r>
                              <w:r>
                                <w:rPr>
                                  <w:rFonts w:ascii="Arial MT"/>
                                  <w:spacing w:val="-2"/>
                                  <w:w w:val="90"/>
                                  <w:sz w:val="14"/>
                                </w:rPr>
                                <w:t>Private</w:t>
                              </w:r>
                            </w:p>
                          </w:txbxContent>
                        </wps:txbx>
                        <wps:bodyPr wrap="square" lIns="0" tIns="0" rIns="0" bIns="0" rtlCol="0">
                          <a:noAutofit/>
                        </wps:bodyPr>
                      </wps:wsp>
                      <wps:wsp>
                        <wps:cNvPr id="1689" name="Textbox 1689"/>
                        <wps:cNvSpPr txBox="1"/>
                        <wps:spPr>
                          <a:xfrm>
                            <a:off x="339551" y="520912"/>
                            <a:ext cx="134620" cy="165798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140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80"/>
                                  <w:sz w:val="14"/>
                                </w:rPr>
                                <w:t>120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80"/>
                                  <w:sz w:val="14"/>
                                </w:rPr>
                                <w:t>100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90"/>
                                  <w:sz w:val="14"/>
                                </w:rPr>
                                <w:t>80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90"/>
                                  <w:sz w:val="14"/>
                                </w:rPr>
                                <w:t>60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90"/>
                                  <w:sz w:val="14"/>
                                </w:rPr>
                                <w:t>40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90"/>
                                  <w:sz w:val="14"/>
                                </w:rPr>
                                <w:t>20</w:t>
                              </w:r>
                            </w:p>
                            <w:p>
                              <w:pPr>
                                <w:spacing w:line="240" w:lineRule="auto" w:before="28"/>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g:wgp>
                  </a:graphicData>
                </a:graphic>
              </wp:anchor>
            </w:drawing>
          </mc:Choice>
          <mc:Fallback>
            <w:pict>
              <v:group style="position:absolute;margin-left:99.287399pt;margin-top:8.803125pt;width:396.8pt;height:197.2pt;mso-position-horizontal-relative:page;mso-position-vertical-relative:paragraph;z-index:-15617024;mso-wrap-distance-left:0;mso-wrap-distance-right:0" id="docshapegroup1664" coordorigin="1986,176" coordsize="7936,3944">
                <v:shape style="position:absolute;left:2778;top:1065;width:6885;height:2540" id="docshape1665" coordorigin="2778,1066" coordsize="6885,2540" path="m9663,3548l9663,3548,2851,3548,2851,1066,2841,1066,2778,1066,2778,1076,2841,1076,2841,1425,2778,1425,2778,1435,2841,1435,2841,1768,2778,1768,2778,1778,2841,1778,2841,2127,2778,2127,2778,2137,2841,2137,2841,2487,2778,2487,2778,2497,2841,2497,2841,2846,2778,2846,2778,2856,2841,2856,2841,3189,2778,3189,2778,3199,2841,3199,2841,3548,2778,3548,2778,3558,2841,3558,2841,3605,2851,3605,2851,3558,3326,3558,3326,3605,3336,3605,3336,3558,3812,3558,3812,3605,3822,3605,3822,3558,4297,3558,4297,3605,4307,3605,4307,3558,4783,3558,4783,3605,4793,3605,4793,3558,5268,3558,5268,3605,5278,3605,5278,3558,5754,3558,5754,3605,5764,3605,5764,3558,6255,3558,6255,3605,6265,3605,6265,3558,6740,3558,6740,3605,6750,3605,6750,3558,7226,3558,7226,3605,7236,3605,7236,3558,7711,3558,7711,3605,7721,3605,7721,3558,8197,3558,8197,3605,8207,3605,8207,3558,8682,3558,8682,3605,8692,3605,8692,3558,9168,3558,9168,3605,9178,3605,9178,3558,9653,3558,9653,3605,9663,3605,9663,3548xe" filled="true" fillcolor="#000000" stroked="false">
                  <v:path arrowok="t"/>
                  <v:fill type="solid"/>
                </v:shape>
                <v:shape style="position:absolute;left:3081;top:1208;width:6345;height:488" id="docshape1666" coordorigin="3081,1209" coordsize="6345,488" path="m4052,1604l3565,1667,3569,1696,3597,1693,3597,1665,3816,1665,4065,1633,4053,1633,4052,1604xm3581,1665l3081,1665,3081,1695,3569,1695,3565,1667,3581,1665xm3597,1693l3583,1695,3597,1695,3597,1693xm3816,1665l3597,1665,3597,1693,3816,1665xm4080,1602l4066,1602,4052,1604,4053,1633,4069,1632,4084,1630,4080,1602xm4069,1632l4053,1633,4065,1633,4069,1632xm4538,1587l4080,1602,4084,1630,4069,1632,4553,1617,4538,1617,4538,1587xm5508,1571l5023,1587,5024,1617,5053,1616,5053,1587,5509,1587,5508,1571xm4567,1586l4538,1587,4538,1617,4553,1617,4568,1616,4567,1586xm5038,1587l4567,1587,4568,1616,4553,1617,5024,1617,5023,1587,5038,1587xm5053,1616l5038,1617,5053,1617,5053,1616xm5509,1587l5053,1587,5053,1616,5509,1601,5509,1601,5509,1587xm4066,1602l4052,1603,4052,1604,4066,1602xm4080,1600l4066,1602,4080,1602,4080,1600xm5538,1570l5508,1571,5509,1601,5509,1601,5539,1600,5538,1570xm5539,1600l5509,1601,5539,1600,5539,1600xm5994,1570l5538,1570,5539,1600,5996,1586,5994,1570xm6011,1585l5996,1586,5997,1587,6011,1585xm4553,1587l4538,1587,4538,1587,4553,1587xm6024,1555l6008,1555,5992,1558,5996,1586,6011,1585,6025,1583,6024,1555xm6025,1583l6011,1585,6025,1585,6025,1583xm6199,1555l6024,1555,6025,1583,6199,1555xm6008,1555l5517,1571,5538,1570,5994,1570,5992,1558,6008,1555xm6478,1480l6008,1555,6024,1555,6199,1555,6487,1509,6481,1509,6478,1480xm6507,1476l6493,1477,6478,1480,6481,1509,6497,1507,6512,1505,6507,1476xm6497,1507l6481,1509,6487,1509,6497,1507xm6965,1432l6507,1476,6512,1505,6497,1507,6976,1461,6966,1461,6965,1432xm6493,1477l6478,1479,6478,1480,6493,1477xm6507,1475l6493,1477,6507,1476,6507,1475xm6994,1430l6979,1430,6965,1432,6966,1461,6981,1460,6996,1459,6994,1430xm6981,1460l6966,1461,6976,1461,6981,1460xm7465,1415l6994,1430,6996,1459,6981,1460,7452,1445,7449,1416,7465,1415xm7467,1445l7452,1445,7452,1446,7467,1445xm7480,1414l7465,1415,7449,1416,7452,1445,7467,1445,7481,1443,7480,1414xm7481,1443l7467,1445,7481,1444,7481,1443xm7782,1414l7480,1414,7481,1443,7782,1414xm6979,1430l6965,1431,6965,1432,6979,1430xm6994,1429l6979,1430,6994,1430,6994,1429xm7936,1369l7465,1415,7480,1414,7782,1414,7952,1398,7936,1398,7936,1369xm8920,1337l8421,1369,8423,1399,8451,1397,8451,1368,8903,1368,8911,1367,8904,1341,8920,1337xm7965,1367l7936,1369,7936,1398,7952,1398,7967,1396,7965,1367xm8436,1368l7965,1368,7967,1396,7952,1398,8422,1398,8421,1369,8436,1368xm8451,1397l8437,1398,8451,1398,8451,1397xm8903,1368l8451,1368,8451,1397,8903,1368xm8924,1367l8911,1367,8911,1370,8924,1367xm7950,1368l7936,1368,7936,1369,7950,1368xm8936,1336l8920,1337,8904,1341,8911,1367,8924,1367,8938,1363,8936,1336xm8938,1363l8924,1367,8938,1366,8938,1363xm9044,1336l8936,1336,8938,1363,9044,1336xm9418,1209l8920,1337,8936,1336,9044,1336,9426,1238,9418,1209xe" filled="true" fillcolor="#e3c626" stroked="false">
                  <v:path arrowok="t"/>
                  <v:fill type="solid"/>
                </v:shape>
                <v:shape style="position:absolute;left:3080;top:1206;width:6347;height:1597" id="docshape1667" coordorigin="3081,1207" coordsize="6347,1597" path="m3581,2758l3081,2774,3082,2804,3568,2788,3565,2759,3581,2758xm3583,2788l3568,2788,3568,2789,3583,2788xm3596,2757l3581,2758,3565,2759,3568,2788,3583,2788,3597,2786,3596,2757xm3597,2786l3583,2788,3597,2787,3597,2786xm3898,2757l3596,2757,3597,2786,3898,2757xm4051,2712l3581,2758,3596,2757,3898,2757,4058,2742,4053,2742,4051,2712xm4081,2710l4066,2711,4051,2712,4053,2742,4069,2741,4084,2739,4081,2710xm4069,2741l4053,2742,4058,2742,4069,2741xm4537,2681l4081,2710,4084,2739,4069,2741,4539,2710,4537,2681xm4066,2711l4051,2712,4051,2712,4066,2711xm4081,2709l4066,2711,4081,2710,4081,2709xm4567,2679l4537,2681,4539,2710,4569,2709,4567,2679xm5024,2679l4567,2679,4569,2709,4556,2709,5031,2679,5024,2679,5024,2679xm5023,2649l4537,2681,4567,2679,5024,2679,5023,2649xm5052,2648l5038,2648,5023,2649,5024,2679,5039,2678,5054,2677,5052,2648xm5039,2678l5024,2679,5031,2679,5039,2678xm5522,2633l5052,2648,5054,2677,5039,2678,5511,2663,5506,2636,5522,2633xm5525,2663l5511,2663,5512,2665,5525,2663xm5538,2632l5522,2633,5506,2636,5511,2663,5525,2663,5539,2660,5538,2632xm5539,2660l5525,2663,5539,2662,5539,2660xm5683,2632l5538,2632,5539,2660,5683,2632xm5038,2648l5023,2649,5023,2649,5038,2648xm5052,2647l5038,2648,5052,2648,5052,2647xm5993,2542l5522,2633,5538,2632,5683,2632,6001,2571,5996,2571,5993,2542xm6021,2537l6007,2539,5993,2542,5996,2571,6012,2569,6027,2566,6021,2537xm6012,2569l5996,2571,6001,2571,6012,2569xm6492,2477l6021,2537,6027,2566,6012,2569,6483,2508,6476,2481,6492,2477xm6007,2539l5992,2541,5993,2542,6007,2539xm6021,2536l6007,2539,6021,2537,6021,2536xm6497,2506l6483,2508,6484,2510,6497,2506xm6508,2475l6492,2477,6476,2481,6483,2508,6497,2506,6511,2503,6508,2475xm6511,2503l6497,2506,6511,2505,6511,2503xm6620,2475l6508,2475,6511,2503,6620,2475xm6974,2353l6492,2477,6508,2475,6620,2475,6974,2384,6959,2363,6974,2353xm6986,2380l6974,2384,6976,2387,6986,2380xm6991,2348l6974,2353,6959,2363,6974,2384,6986,2380,6997,2373,6991,2348xm6997,2373l6986,2380,6998,2377,6997,2373xm7034,2348l6991,2348,6997,2373,7034,2348xm7446,2034l6974,2353,6991,2348,7034,2348,7463,2059,7459,2059,7446,2034xm7471,2020l7458,2026,7446,2034,7459,2059,7473,2052,7486,2043,7471,2020xm7473,2052l7459,2059,7463,2059,7473,2052xm7933,1797l7471,2020,7486,2043,7473,2052,7946,1823,7941,1823,7933,1797xm7458,2026l7446,2032,7446,2034,7458,2026xm7470,2018l7458,2026,7471,2020,7470,2018xm7959,1786l7945,1791,7933,1797,7941,1823,7957,1818,7971,1812,7959,1786xm7957,1818l7941,1823,7946,1823,7957,1818xm8432,1634l7959,1786,7971,1812,7957,1818,8428,1667,8417,1640,8432,1634xm7945,1791l7932,1795,7933,1797,7945,1791xm7958,1785l7945,1791,7959,1786,7958,1785xm8442,1662l8428,1667,8428,1668,8442,1662xm8446,1630l8432,1634,8417,1640,8428,1667,8442,1662,8455,1657,8446,1630xm8455,1657l8442,1662,8455,1658,8455,1657xm8527,1630l8446,1630,8455,1657,8527,1630xm8916,1447l8432,1634,8446,1630,8527,1630,8914,1480,8902,1454,8916,1447xm8928,1475l8914,1480,8915,1481,8928,1475xm8931,1442l8916,1447,8902,1454,8914,1480,8928,1475,8941,1469,8931,1442xm8941,1469l8928,1475,8941,1470,8941,1469xm8997,1442l8931,1442,8941,1469,8997,1442xm9414,1207l8916,1447,8931,1442,8997,1442,9427,1234,9414,1207xe" filled="true" fillcolor="#2f7d41" stroked="false">
                  <v:path arrowok="t"/>
                  <v:fill type="solid"/>
                </v:shape>
                <v:shape style="position:absolute;left:3018;top:1148;width:6468;height:609" id="docshape1668" coordorigin="3018,1149" coordsize="6468,609" path="m3175,1680l3096,1602,3018,1680,3096,1758,3175,1680xm3660,1680l3582,1602,3504,1680,3582,1758,3660,1680xm4146,1617l4067,1539,3989,1617,4067,1695,4146,1617xm4631,1602l4553,1523,4474,1602,4553,1680,4631,1602xm5117,1602l5038,1523,4960,1602,5038,1680,5117,1602xm5602,1586l5524,1508,5445,1586,5524,1664,5602,1586xm6087,1570l6009,1492,5931,1570,6009,1648,6087,1570xm6573,1492l6495,1414,6416,1492,6495,1570,6573,1492xm7058,1445l6980,1367,6902,1445,6980,1523,7058,1445xm7544,1430l7466,1352,7387,1430,7466,1508,7544,1430xm8029,1383l7951,1305,7873,1383,7951,1461,8029,1383xm8515,1383l8437,1305,8358,1383,8437,1461,8515,1383xm9000,1352l8922,1274,8844,1352,8922,1430,9000,1352xm9486,1227l9407,1149,9329,1227,9407,1305,9486,1227xe" filled="true" fillcolor="#e3c626" stroked="false">
                  <v:path arrowok="t"/>
                  <v:fill type="solid"/>
                </v:shape>
                <v:shape style="position:absolute;left:3049;top:1179;width:6390;height:1640" id="docshape1669" coordorigin="3049,1180" coordsize="6390,1640" path="m3128,2741l3049,2741,3049,2819,3128,2819,3128,2741xm3613,2726l3535,2726,3535,2804,3613,2804,3613,2726xm4099,2679l4020,2679,4020,2757,4099,2757,4099,2679xm4584,2648l4506,2648,4506,2726,4584,2726,4584,2648xm5070,2616l4991,2616,4991,2695,5070,2695,5070,2616xm5555,2601l5477,2601,5477,2679,5555,2679,5555,2601xm6041,2507l5962,2507,5962,2585,6041,2585,6041,2507xm6526,2445l6448,2445,6448,2523,6526,2523,6526,2445xm7011,2320l6933,2320,6933,2398,7011,2398,7011,2320xm7497,1992l7419,1992,7419,2070,7497,2070,7497,1992xm7982,1758l7904,1758,7904,1836,7982,1836,7982,1758xm8468,1602l8390,1602,8390,1680,8468,1680,8468,1602xm8953,1414l8875,1414,8875,1492,8953,1492,8953,1414xm9439,1180l9360,1180,9360,1258,9439,1258,9439,1180xe" filled="true" fillcolor="#2f7d41" stroked="false">
                  <v:path arrowok="t"/>
                  <v:fill type="solid"/>
                </v:shape>
                <v:shape style="position:absolute;left:1985;top:176;width:7936;height:3944" id="docshape1670" coordorigin="1986,176" coordsize="7936,3944" path="m9921,176l9911,176,9911,187,9911,4110,9911,4110,9911,4115,9911,4116,1991,4116,1991,4115,1996,4115,9911,4115,9911,4110,1996,4110,1991,4110,1991,4110,1996,4110,1996,187,9911,187,9911,176,1986,176,1986,182,1986,186,1986,4110,1986,4116,1986,4120,9921,4120,9921,4116,9916,4116,9916,4115,9921,4115,9921,4110,9916,4110,9916,4110,9921,4110,9921,187,9921,186,9921,182,9921,182,9921,176xe" filled="true" fillcolor="#000000" stroked="false">
                  <v:path arrowok="t"/>
                  <v:fill type="solid"/>
                </v:shape>
                <v:shape style="position:absolute;left:7150;top:392;width:469;height:125" id="docshape1671" coordorigin="7150,392" coordsize="469,125" path="m7618,440l7432,440,7384,392,7337,440,7150,440,7150,470,7337,470,7384,517,7432,470,7618,470,7618,440xe" filled="true" fillcolor="#e3c626" stroked="false">
                  <v:path arrowok="t"/>
                  <v:fill type="solid"/>
                </v:shape>
                <v:shape style="position:absolute;left:2963;top:3604;width:6606;height:161" type="#_x0000_t202" id="docshape1672" filled="false" stroked="false">
                  <v:textbox inset="0,0,0,0">
                    <w:txbxContent>
                      <w:p>
                        <w:pPr>
                          <w:tabs>
                            <w:tab w:pos="479" w:val="left" w:leader="none"/>
                            <w:tab w:pos="969" w:val="left" w:leader="none"/>
                            <w:tab w:pos="1439" w:val="left" w:leader="none"/>
                            <w:tab w:pos="1939" w:val="left" w:leader="none"/>
                            <w:tab w:pos="2432" w:val="left" w:leader="none"/>
                            <w:tab w:pos="2922" w:val="left" w:leader="none"/>
                            <w:tab w:pos="3409" w:val="left" w:leader="none"/>
                            <w:tab w:pos="3899" w:val="left" w:leader="none"/>
                            <w:tab w:pos="4379" w:val="left" w:leader="none"/>
                            <w:tab w:pos="4869" w:val="left" w:leader="none"/>
                            <w:tab w:pos="5829" w:val="left" w:leader="none"/>
                            <w:tab w:pos="6329" w:val="left" w:leader="none"/>
                          </w:tabs>
                          <w:spacing w:line="161" w:lineRule="exact" w:before="0"/>
                          <w:ind w:left="0" w:right="0" w:firstLine="0"/>
                          <w:jc w:val="left"/>
                          <w:rPr>
                            <w:rFonts w:ascii="Arial MT"/>
                            <w:sz w:val="14"/>
                          </w:rPr>
                        </w:pPr>
                        <w:r>
                          <w:rPr>
                            <w:rFonts w:ascii="Arial MT"/>
                            <w:spacing w:val="-4"/>
                            <w:w w:val="90"/>
                            <w:sz w:val="14"/>
                          </w:rPr>
                          <w:t>1993</w:t>
                        </w:r>
                        <w:r>
                          <w:rPr>
                            <w:rFonts w:ascii="Arial MT"/>
                            <w:sz w:val="14"/>
                          </w:rPr>
                          <w:tab/>
                        </w:r>
                        <w:r>
                          <w:rPr>
                            <w:rFonts w:ascii="Arial MT"/>
                            <w:spacing w:val="-4"/>
                            <w:w w:val="90"/>
                            <w:sz w:val="14"/>
                          </w:rPr>
                          <w:t>1994</w:t>
                        </w:r>
                        <w:r>
                          <w:rPr>
                            <w:rFonts w:ascii="Arial MT"/>
                            <w:sz w:val="14"/>
                          </w:rPr>
                          <w:tab/>
                        </w:r>
                        <w:r>
                          <w:rPr>
                            <w:rFonts w:ascii="Arial MT"/>
                            <w:spacing w:val="-4"/>
                            <w:w w:val="90"/>
                            <w:sz w:val="14"/>
                          </w:rPr>
                          <w:t>1995</w:t>
                        </w:r>
                        <w:r>
                          <w:rPr>
                            <w:rFonts w:ascii="Arial MT"/>
                            <w:sz w:val="14"/>
                          </w:rPr>
                          <w:tab/>
                        </w:r>
                        <w:r>
                          <w:rPr>
                            <w:rFonts w:ascii="Arial MT"/>
                            <w:spacing w:val="-4"/>
                            <w:w w:val="90"/>
                            <w:sz w:val="14"/>
                          </w:rPr>
                          <w:t>1996</w:t>
                        </w:r>
                        <w:r>
                          <w:rPr>
                            <w:rFonts w:ascii="Arial MT"/>
                            <w:sz w:val="14"/>
                          </w:rPr>
                          <w:tab/>
                        </w:r>
                        <w:r>
                          <w:rPr>
                            <w:rFonts w:ascii="Arial MT"/>
                            <w:spacing w:val="-4"/>
                            <w:w w:val="90"/>
                            <w:sz w:val="14"/>
                          </w:rPr>
                          <w:t>1997</w:t>
                        </w:r>
                        <w:r>
                          <w:rPr>
                            <w:rFonts w:ascii="Arial MT"/>
                            <w:sz w:val="14"/>
                          </w:rPr>
                          <w:tab/>
                        </w:r>
                        <w:r>
                          <w:rPr>
                            <w:rFonts w:ascii="Arial MT"/>
                            <w:spacing w:val="-4"/>
                            <w:w w:val="90"/>
                            <w:sz w:val="14"/>
                          </w:rPr>
                          <w:t>1998</w:t>
                        </w:r>
                        <w:r>
                          <w:rPr>
                            <w:rFonts w:ascii="Arial MT"/>
                            <w:sz w:val="14"/>
                          </w:rPr>
                          <w:tab/>
                        </w:r>
                        <w:r>
                          <w:rPr>
                            <w:rFonts w:ascii="Arial MT"/>
                            <w:spacing w:val="-4"/>
                            <w:w w:val="90"/>
                            <w:sz w:val="14"/>
                          </w:rPr>
                          <w:t>1999</w:t>
                        </w:r>
                        <w:r>
                          <w:rPr>
                            <w:rFonts w:ascii="Arial MT"/>
                            <w:sz w:val="14"/>
                          </w:rPr>
                          <w:tab/>
                        </w:r>
                        <w:r>
                          <w:rPr>
                            <w:rFonts w:ascii="Arial MT"/>
                            <w:spacing w:val="-4"/>
                            <w:w w:val="90"/>
                            <w:sz w:val="14"/>
                          </w:rPr>
                          <w:t>2000</w:t>
                        </w:r>
                        <w:r>
                          <w:rPr>
                            <w:rFonts w:ascii="Arial MT"/>
                            <w:sz w:val="14"/>
                          </w:rPr>
                          <w:tab/>
                        </w:r>
                        <w:r>
                          <w:rPr>
                            <w:rFonts w:ascii="Arial MT"/>
                            <w:spacing w:val="-4"/>
                            <w:w w:val="90"/>
                            <w:sz w:val="14"/>
                          </w:rPr>
                          <w:t>2001</w:t>
                        </w:r>
                        <w:r>
                          <w:rPr>
                            <w:rFonts w:ascii="Arial MT"/>
                            <w:sz w:val="14"/>
                          </w:rPr>
                          <w:tab/>
                        </w:r>
                        <w:r>
                          <w:rPr>
                            <w:rFonts w:ascii="Arial MT"/>
                            <w:spacing w:val="-4"/>
                            <w:w w:val="90"/>
                            <w:sz w:val="14"/>
                          </w:rPr>
                          <w:t>2002</w:t>
                        </w:r>
                        <w:r>
                          <w:rPr>
                            <w:rFonts w:ascii="Arial MT"/>
                            <w:sz w:val="14"/>
                          </w:rPr>
                          <w:tab/>
                        </w:r>
                        <w:r>
                          <w:rPr>
                            <w:rFonts w:ascii="Arial MT"/>
                            <w:w w:val="90"/>
                            <w:sz w:val="14"/>
                          </w:rPr>
                          <w:t>2003</w:t>
                        </w:r>
                        <w:r>
                          <w:rPr>
                            <w:rFonts w:ascii="Arial MT"/>
                            <w:spacing w:val="45"/>
                            <w:sz w:val="14"/>
                          </w:rPr>
                          <w:t>  </w:t>
                        </w:r>
                        <w:r>
                          <w:rPr>
                            <w:rFonts w:ascii="Arial MT"/>
                            <w:spacing w:val="-4"/>
                            <w:w w:val="90"/>
                            <w:sz w:val="14"/>
                          </w:rPr>
                          <w:t>2004</w:t>
                        </w:r>
                        <w:r>
                          <w:rPr>
                            <w:rFonts w:ascii="Arial MT"/>
                            <w:sz w:val="14"/>
                          </w:rPr>
                          <w:tab/>
                        </w:r>
                        <w:r>
                          <w:rPr>
                            <w:rFonts w:ascii="Arial MT"/>
                            <w:spacing w:val="-4"/>
                            <w:w w:val="90"/>
                            <w:sz w:val="14"/>
                          </w:rPr>
                          <w:t>2005</w:t>
                        </w:r>
                        <w:r>
                          <w:rPr>
                            <w:rFonts w:ascii="Arial MT"/>
                            <w:sz w:val="14"/>
                          </w:rPr>
                          <w:tab/>
                        </w:r>
                        <w:r>
                          <w:rPr>
                            <w:rFonts w:ascii="Arial MT"/>
                            <w:spacing w:val="-4"/>
                            <w:w w:val="85"/>
                            <w:sz w:val="14"/>
                          </w:rPr>
                          <w:t>2006</w:t>
                        </w:r>
                      </w:p>
                    </w:txbxContent>
                  </v:textbox>
                  <w10:wrap type="none"/>
                </v:shape>
                <v:shape style="position:absolute;left:7720;top:339;width:652;height:161" type="#_x0000_t202" id="docshape1673" filled="false" stroked="false">
                  <v:textbox inset="0,0,0,0">
                    <w:txbxContent>
                      <w:p>
                        <w:pPr>
                          <w:spacing w:line="161" w:lineRule="exact" w:before="0"/>
                          <w:ind w:left="0" w:right="0" w:firstLine="0"/>
                          <w:jc w:val="left"/>
                          <w:rPr>
                            <w:rFonts w:ascii="Arial MT"/>
                            <w:sz w:val="14"/>
                          </w:rPr>
                        </w:pPr>
                        <w:r>
                          <w:rPr>
                            <w:rFonts w:ascii="Arial MT"/>
                            <w:spacing w:val="-2"/>
                            <w:w w:val="80"/>
                            <w:sz w:val="14"/>
                          </w:rPr>
                          <w:t>Government</w:t>
                        </w:r>
                      </w:p>
                    </w:txbxContent>
                  </v:textbox>
                  <w10:wrap type="none"/>
                </v:shape>
                <v:shape style="position:absolute;left:8778;top:346;width:901;height:169" type="#_x0000_t202" id="docshape1674" filled="false" stroked="false">
                  <v:textbox inset="0,0,0,0">
                    <w:txbxContent>
                      <w:p>
                        <w:pPr>
                          <w:tabs>
                            <w:tab w:pos="468" w:val="left" w:leader="none"/>
                          </w:tabs>
                          <w:spacing w:before="7"/>
                          <w:ind w:left="0" w:right="0" w:firstLine="0"/>
                          <w:jc w:val="left"/>
                          <w:rPr>
                            <w:rFonts w:ascii="Arial MT"/>
                            <w:sz w:val="14"/>
                          </w:rPr>
                        </w:pPr>
                        <w:r>
                          <w:rPr>
                            <w:position w:val="1"/>
                            <w:sz w:val="14"/>
                            <w:u w:val="thick" w:color="2F7D41"/>
                          </w:rPr>
                          <w:tab/>
                        </w:r>
                        <w:r>
                          <w:rPr>
                            <w:position w:val="1"/>
                            <w:sz w:val="14"/>
                          </w:rPr>
                          <w:t> </w:t>
                        </w:r>
                        <w:r>
                          <w:rPr>
                            <w:rFonts w:ascii="Arial MT"/>
                            <w:spacing w:val="-2"/>
                            <w:w w:val="90"/>
                            <w:sz w:val="14"/>
                          </w:rPr>
                          <w:t>Private</w:t>
                        </w:r>
                      </w:p>
                    </w:txbxContent>
                  </v:textbox>
                  <w10:wrap type="none"/>
                </v:shape>
                <v:shape style="position:absolute;left:2520;top:996;width:212;height:2611" type="#_x0000_t202" id="docshape1675" filled="false" stroked="false">
                  <v:textbox inset="0,0,0,0">
                    <w:txbxContent>
                      <w:p>
                        <w:pPr>
                          <w:spacing w:line="161" w:lineRule="exact" w:before="0"/>
                          <w:ind w:left="0" w:right="0" w:firstLine="0"/>
                          <w:jc w:val="left"/>
                          <w:rPr>
                            <w:rFonts w:ascii="Arial MT"/>
                            <w:sz w:val="14"/>
                          </w:rPr>
                        </w:pPr>
                        <w:r>
                          <w:rPr>
                            <w:rFonts w:ascii="Arial MT"/>
                            <w:spacing w:val="-5"/>
                            <w:w w:val="90"/>
                            <w:sz w:val="14"/>
                          </w:rPr>
                          <w:t>140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80"/>
                            <w:sz w:val="14"/>
                          </w:rPr>
                          <w:t>120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80"/>
                            <w:sz w:val="14"/>
                          </w:rPr>
                          <w:t>100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90"/>
                            <w:sz w:val="14"/>
                          </w:rPr>
                          <w:t>80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90"/>
                            <w:sz w:val="14"/>
                          </w:rPr>
                          <w:t>60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90"/>
                            <w:sz w:val="14"/>
                          </w:rPr>
                          <w:t>40</w:t>
                        </w:r>
                      </w:p>
                      <w:p>
                        <w:pPr>
                          <w:spacing w:line="240" w:lineRule="auto" w:before="28"/>
                          <w:rPr>
                            <w:rFonts w:ascii="Arial MT"/>
                            <w:sz w:val="14"/>
                          </w:rPr>
                        </w:pPr>
                      </w:p>
                      <w:p>
                        <w:pPr>
                          <w:spacing w:before="0"/>
                          <w:ind w:left="0" w:right="18" w:firstLine="0"/>
                          <w:jc w:val="right"/>
                          <w:rPr>
                            <w:rFonts w:ascii="Arial MT"/>
                            <w:sz w:val="14"/>
                          </w:rPr>
                        </w:pPr>
                        <w:r>
                          <w:rPr>
                            <w:rFonts w:ascii="Arial MT"/>
                            <w:spacing w:val="-5"/>
                            <w:w w:val="90"/>
                            <w:sz w:val="14"/>
                          </w:rPr>
                          <w:t>20</w:t>
                        </w:r>
                      </w:p>
                      <w:p>
                        <w:pPr>
                          <w:spacing w:line="240" w:lineRule="auto" w:before="28"/>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w10:wrap type="topAndBottom"/>
              </v:group>
            </w:pict>
          </mc:Fallback>
        </mc:AlternateContent>
      </w:r>
    </w:p>
    <w:p>
      <w:pPr>
        <w:spacing w:before="55"/>
        <w:ind w:left="1975" w:right="0" w:firstLine="0"/>
        <w:jc w:val="left"/>
        <w:rPr>
          <w:sz w:val="16"/>
        </w:rPr>
      </w:pPr>
      <w:r>
        <w:rPr>
          <w:i/>
          <w:w w:val="90"/>
          <w:sz w:val="16"/>
        </w:rPr>
        <w:t>Source:</w:t>
      </w:r>
      <w:r>
        <w:rPr>
          <w:i/>
          <w:spacing w:val="8"/>
          <w:sz w:val="16"/>
        </w:rPr>
        <w:t> </w:t>
      </w:r>
      <w:r>
        <w:rPr>
          <w:w w:val="90"/>
          <w:sz w:val="16"/>
        </w:rPr>
        <w:t>Medical</w:t>
      </w:r>
      <w:r>
        <w:rPr>
          <w:spacing w:val="9"/>
          <w:sz w:val="16"/>
        </w:rPr>
        <w:t> </w:t>
      </w:r>
      <w:r>
        <w:rPr>
          <w:w w:val="90"/>
          <w:sz w:val="16"/>
        </w:rPr>
        <w:t>Council</w:t>
      </w:r>
      <w:r>
        <w:rPr>
          <w:spacing w:val="9"/>
          <w:sz w:val="16"/>
        </w:rPr>
        <w:t> </w:t>
      </w:r>
      <w:r>
        <w:rPr>
          <w:w w:val="90"/>
          <w:sz w:val="16"/>
        </w:rPr>
        <w:t>of</w:t>
      </w:r>
      <w:r>
        <w:rPr>
          <w:spacing w:val="9"/>
          <w:sz w:val="16"/>
        </w:rPr>
        <w:t> </w:t>
      </w:r>
      <w:r>
        <w:rPr>
          <w:spacing w:val="-2"/>
          <w:w w:val="90"/>
          <w:sz w:val="16"/>
        </w:rPr>
        <w:t>India</w:t>
      </w:r>
    </w:p>
    <w:p>
      <w:pPr>
        <w:pStyle w:val="BodyText"/>
        <w:rPr>
          <w:sz w:val="20"/>
        </w:rPr>
      </w:pPr>
    </w:p>
    <w:p>
      <w:pPr>
        <w:pStyle w:val="BodyText"/>
        <w:spacing w:before="30"/>
        <w:rPr>
          <w:sz w:val="20"/>
        </w:rPr>
      </w:pPr>
    </w:p>
    <w:p>
      <w:pPr>
        <w:spacing w:after="0"/>
        <w:rPr>
          <w:sz w:val="20"/>
        </w:rPr>
        <w:sectPr>
          <w:pgSz w:w="11910" w:h="16840"/>
          <w:pgMar w:header="0" w:footer="675" w:top="940" w:bottom="860" w:left="0" w:right="0"/>
        </w:sectPr>
      </w:pPr>
    </w:p>
    <w:p>
      <w:pPr>
        <w:pStyle w:val="BodyText"/>
        <w:spacing w:line="266" w:lineRule="auto" w:before="82"/>
        <w:ind w:left="1080"/>
        <w:jc w:val="both"/>
      </w:pPr>
      <w:r>
        <w:rPr>
          <w:spacing w:val="-6"/>
        </w:rPr>
        <w:t>Gujarat).</w:t>
      </w:r>
      <w:r>
        <w:rPr>
          <w:spacing w:val="-8"/>
        </w:rPr>
        <w:t> </w:t>
      </w:r>
      <w:r>
        <w:rPr>
          <w:spacing w:val="-6"/>
        </w:rPr>
        <w:t>These</w:t>
      </w:r>
      <w:r>
        <w:rPr>
          <w:spacing w:val="-8"/>
        </w:rPr>
        <w:t> </w:t>
      </w:r>
      <w:r>
        <w:rPr>
          <w:spacing w:val="-6"/>
        </w:rPr>
        <w:t>states</w:t>
      </w:r>
      <w:r>
        <w:rPr>
          <w:spacing w:val="-8"/>
        </w:rPr>
        <w:t> </w:t>
      </w:r>
      <w:r>
        <w:rPr>
          <w:spacing w:val="-6"/>
        </w:rPr>
        <w:t>cover</w:t>
      </w:r>
      <w:r>
        <w:rPr>
          <w:spacing w:val="-7"/>
        </w:rPr>
        <w:t> </w:t>
      </w:r>
      <w:r>
        <w:rPr>
          <w:spacing w:val="-6"/>
        </w:rPr>
        <w:t>about</w:t>
      </w:r>
      <w:r>
        <w:rPr>
          <w:spacing w:val="-8"/>
        </w:rPr>
        <w:t> </w:t>
      </w:r>
      <w:r>
        <w:rPr>
          <w:spacing w:val="-6"/>
        </w:rPr>
        <w:t>63</w:t>
      </w:r>
      <w:r>
        <w:rPr>
          <w:spacing w:val="-8"/>
        </w:rPr>
        <w:t> </w:t>
      </w:r>
      <w:r>
        <w:rPr>
          <w:spacing w:val="-6"/>
        </w:rPr>
        <w:t>per</w:t>
      </w:r>
      <w:r>
        <w:rPr>
          <w:spacing w:val="-8"/>
        </w:rPr>
        <w:t> </w:t>
      </w:r>
      <w:r>
        <w:rPr>
          <w:spacing w:val="-6"/>
        </w:rPr>
        <w:t>cent</w:t>
      </w:r>
      <w:r>
        <w:rPr>
          <w:spacing w:val="-7"/>
        </w:rPr>
        <w:t> </w:t>
      </w:r>
      <w:r>
        <w:rPr>
          <w:spacing w:val="-6"/>
        </w:rPr>
        <w:t>of</w:t>
      </w:r>
      <w:r>
        <w:rPr>
          <w:spacing w:val="-8"/>
        </w:rPr>
        <w:t> </w:t>
      </w:r>
      <w:r>
        <w:rPr>
          <w:spacing w:val="-6"/>
        </w:rPr>
        <w:t>the</w:t>
      </w:r>
      <w:r>
        <w:rPr>
          <w:spacing w:val="-8"/>
        </w:rPr>
        <w:t> </w:t>
      </w:r>
      <w:r>
        <w:rPr>
          <w:spacing w:val="-6"/>
        </w:rPr>
        <w:t>total </w:t>
      </w:r>
      <w:r>
        <w:rPr>
          <w:spacing w:val="-10"/>
        </w:rPr>
        <w:t>number</w:t>
      </w:r>
      <w:r>
        <w:rPr>
          <w:spacing w:val="-2"/>
        </w:rPr>
        <w:t> </w:t>
      </w:r>
      <w:r>
        <w:rPr>
          <w:spacing w:val="-10"/>
        </w:rPr>
        <w:t>of</w:t>
      </w:r>
      <w:r>
        <w:rPr>
          <w:spacing w:val="-2"/>
        </w:rPr>
        <w:t> </w:t>
      </w:r>
      <w:r>
        <w:rPr>
          <w:spacing w:val="-10"/>
        </w:rPr>
        <w:t>medical</w:t>
      </w:r>
      <w:r>
        <w:rPr>
          <w:spacing w:val="-2"/>
        </w:rPr>
        <w:t> </w:t>
      </w:r>
      <w:r>
        <w:rPr>
          <w:spacing w:val="-10"/>
        </w:rPr>
        <w:t>colleges</w:t>
      </w:r>
      <w:r>
        <w:rPr>
          <w:spacing w:val="-2"/>
        </w:rPr>
        <w:t> </w:t>
      </w:r>
      <w:r>
        <w:rPr>
          <w:spacing w:val="-10"/>
        </w:rPr>
        <w:t>and</w:t>
      </w:r>
      <w:r>
        <w:rPr>
          <w:spacing w:val="-2"/>
        </w:rPr>
        <w:t> </w:t>
      </w:r>
      <w:r>
        <w:rPr>
          <w:spacing w:val="-10"/>
        </w:rPr>
        <w:t>67</w:t>
      </w:r>
      <w:r>
        <w:rPr>
          <w:spacing w:val="-2"/>
        </w:rPr>
        <w:t> </w:t>
      </w:r>
      <w:r>
        <w:rPr>
          <w:spacing w:val="-10"/>
        </w:rPr>
        <w:t>per</w:t>
      </w:r>
      <w:r>
        <w:rPr>
          <w:spacing w:val="-2"/>
        </w:rPr>
        <w:t> </w:t>
      </w:r>
      <w:r>
        <w:rPr>
          <w:spacing w:val="-10"/>
        </w:rPr>
        <w:t>cent</w:t>
      </w:r>
      <w:r>
        <w:rPr>
          <w:spacing w:val="-2"/>
        </w:rPr>
        <w:t> </w:t>
      </w:r>
      <w:r>
        <w:rPr>
          <w:spacing w:val="-10"/>
        </w:rPr>
        <w:t>of</w:t>
      </w:r>
      <w:r>
        <w:rPr>
          <w:spacing w:val="-2"/>
        </w:rPr>
        <w:t> </w:t>
      </w:r>
      <w:r>
        <w:rPr>
          <w:spacing w:val="-10"/>
        </w:rPr>
        <w:t>the</w:t>
      </w:r>
      <w:r>
        <w:rPr>
          <w:spacing w:val="-2"/>
        </w:rPr>
        <w:t> </w:t>
      </w:r>
      <w:r>
        <w:rPr>
          <w:spacing w:val="-10"/>
        </w:rPr>
        <w:t>number </w:t>
      </w:r>
      <w:r>
        <w:rPr/>
        <w:t>of</w:t>
      </w:r>
      <w:r>
        <w:rPr>
          <w:spacing w:val="-8"/>
        </w:rPr>
        <w:t> </w:t>
      </w:r>
      <w:r>
        <w:rPr/>
        <w:t>seats.</w:t>
      </w:r>
      <w:r>
        <w:rPr>
          <w:spacing w:val="-8"/>
        </w:rPr>
        <w:t> </w:t>
      </w:r>
      <w:r>
        <w:rPr/>
        <w:t>In</w:t>
      </w:r>
      <w:r>
        <w:rPr>
          <w:spacing w:val="-8"/>
        </w:rPr>
        <w:t> </w:t>
      </w:r>
      <w:r>
        <w:rPr/>
        <w:t>contrast</w:t>
      </w:r>
      <w:r>
        <w:rPr>
          <w:spacing w:val="-8"/>
        </w:rPr>
        <w:t> </w:t>
      </w:r>
      <w:r>
        <w:rPr/>
        <w:t>to</w:t>
      </w:r>
      <w:r>
        <w:rPr>
          <w:spacing w:val="-8"/>
        </w:rPr>
        <w:t> </w:t>
      </w:r>
      <w:r>
        <w:rPr/>
        <w:t>this,</w:t>
      </w:r>
      <w:r>
        <w:rPr>
          <w:spacing w:val="-8"/>
        </w:rPr>
        <w:t> </w:t>
      </w:r>
      <w:r>
        <w:rPr/>
        <w:t>a</w:t>
      </w:r>
      <w:r>
        <w:rPr>
          <w:spacing w:val="-8"/>
        </w:rPr>
        <w:t> </w:t>
      </w:r>
      <w:r>
        <w:rPr/>
        <w:t>disproportionately</w:t>
      </w:r>
      <w:r>
        <w:rPr>
          <w:spacing w:val="-8"/>
        </w:rPr>
        <w:t> </w:t>
      </w:r>
      <w:r>
        <w:rPr/>
        <w:t>small number</w:t>
      </w:r>
      <w:r>
        <w:rPr>
          <w:spacing w:val="-16"/>
        </w:rPr>
        <w:t> </w:t>
      </w:r>
      <w:r>
        <w:rPr/>
        <w:t>of</w:t>
      </w:r>
      <w:r>
        <w:rPr>
          <w:spacing w:val="-14"/>
        </w:rPr>
        <w:t> </w:t>
      </w:r>
      <w:r>
        <w:rPr/>
        <w:t>colleges/seats</w:t>
      </w:r>
      <w:r>
        <w:rPr>
          <w:spacing w:val="-14"/>
        </w:rPr>
        <w:t> </w:t>
      </w:r>
      <w:r>
        <w:rPr/>
        <w:t>are</w:t>
      </w:r>
      <w:r>
        <w:rPr>
          <w:spacing w:val="-13"/>
        </w:rPr>
        <w:t> </w:t>
      </w:r>
      <w:r>
        <w:rPr/>
        <w:t>located</w:t>
      </w:r>
      <w:r>
        <w:rPr>
          <w:spacing w:val="-14"/>
        </w:rPr>
        <w:t> </w:t>
      </w:r>
      <w:r>
        <w:rPr/>
        <w:t>in</w:t>
      </w:r>
      <w:r>
        <w:rPr>
          <w:spacing w:val="-14"/>
        </w:rPr>
        <w:t> </w:t>
      </w:r>
      <w:r>
        <w:rPr/>
        <w:t>the</w:t>
      </w:r>
      <w:r>
        <w:rPr>
          <w:spacing w:val="-14"/>
        </w:rPr>
        <w:t> </w:t>
      </w:r>
      <w:r>
        <w:rPr/>
        <w:t>other</w:t>
      </w:r>
      <w:r>
        <w:rPr>
          <w:spacing w:val="-13"/>
        </w:rPr>
        <w:t> </w:t>
      </w:r>
      <w:r>
        <w:rPr/>
        <w:t>states </w:t>
      </w:r>
      <w:r>
        <w:rPr>
          <w:spacing w:val="-6"/>
        </w:rPr>
        <w:t>–</w:t>
      </w:r>
      <w:r>
        <w:rPr>
          <w:spacing w:val="-8"/>
        </w:rPr>
        <w:t> </w:t>
      </w:r>
      <w:r>
        <w:rPr>
          <w:spacing w:val="-6"/>
        </w:rPr>
        <w:t>20</w:t>
      </w:r>
      <w:r>
        <w:rPr>
          <w:spacing w:val="-7"/>
        </w:rPr>
        <w:t> </w:t>
      </w:r>
      <w:r>
        <w:rPr>
          <w:spacing w:val="-6"/>
        </w:rPr>
        <w:t>per</w:t>
      </w:r>
      <w:r>
        <w:rPr>
          <w:spacing w:val="-8"/>
        </w:rPr>
        <w:t> </w:t>
      </w:r>
      <w:r>
        <w:rPr>
          <w:spacing w:val="-6"/>
        </w:rPr>
        <w:t>cent</w:t>
      </w:r>
      <w:r>
        <w:rPr>
          <w:spacing w:val="-7"/>
        </w:rPr>
        <w:t> </w:t>
      </w:r>
      <w:r>
        <w:rPr>
          <w:spacing w:val="-6"/>
        </w:rPr>
        <w:t>of</w:t>
      </w:r>
      <w:r>
        <w:rPr>
          <w:spacing w:val="-8"/>
        </w:rPr>
        <w:t> </w:t>
      </w:r>
      <w:r>
        <w:rPr>
          <w:spacing w:val="-6"/>
        </w:rPr>
        <w:t>the</w:t>
      </w:r>
      <w:r>
        <w:rPr>
          <w:spacing w:val="-7"/>
        </w:rPr>
        <w:t> </w:t>
      </w:r>
      <w:r>
        <w:rPr>
          <w:spacing w:val="-6"/>
        </w:rPr>
        <w:t>aggregate</w:t>
      </w:r>
      <w:r>
        <w:rPr>
          <w:spacing w:val="-8"/>
        </w:rPr>
        <w:t> </w:t>
      </w:r>
      <w:r>
        <w:rPr>
          <w:spacing w:val="-6"/>
        </w:rPr>
        <w:t>number</w:t>
      </w:r>
      <w:r>
        <w:rPr>
          <w:spacing w:val="-7"/>
        </w:rPr>
        <w:t> </w:t>
      </w:r>
      <w:r>
        <w:rPr>
          <w:spacing w:val="-6"/>
        </w:rPr>
        <w:t>of</w:t>
      </w:r>
      <w:r>
        <w:rPr>
          <w:spacing w:val="-8"/>
        </w:rPr>
        <w:t> </w:t>
      </w:r>
      <w:r>
        <w:rPr>
          <w:spacing w:val="-6"/>
        </w:rPr>
        <w:t>colleges</w:t>
      </w:r>
      <w:r>
        <w:rPr>
          <w:spacing w:val="-7"/>
        </w:rPr>
        <w:t> </w:t>
      </w:r>
      <w:r>
        <w:rPr>
          <w:spacing w:val="-6"/>
        </w:rPr>
        <w:t>and</w:t>
      </w:r>
      <w:r>
        <w:rPr>
          <w:spacing w:val="-8"/>
        </w:rPr>
        <w:t> </w:t>
      </w:r>
      <w:r>
        <w:rPr>
          <w:spacing w:val="-6"/>
        </w:rPr>
        <w:t>18 </w:t>
      </w:r>
      <w:r>
        <w:rPr>
          <w:spacing w:val="-8"/>
        </w:rPr>
        <w:t>per</w:t>
      </w:r>
      <w:r>
        <w:rPr>
          <w:spacing w:val="-4"/>
        </w:rPr>
        <w:t> </w:t>
      </w:r>
      <w:r>
        <w:rPr>
          <w:spacing w:val="-8"/>
        </w:rPr>
        <w:t>cent</w:t>
      </w:r>
      <w:r>
        <w:rPr>
          <w:spacing w:val="-4"/>
        </w:rPr>
        <w:t> </w:t>
      </w:r>
      <w:r>
        <w:rPr>
          <w:spacing w:val="-8"/>
        </w:rPr>
        <w:t>of</w:t>
      </w:r>
      <w:r>
        <w:rPr>
          <w:spacing w:val="-4"/>
        </w:rPr>
        <w:t> </w:t>
      </w:r>
      <w:r>
        <w:rPr>
          <w:spacing w:val="-8"/>
        </w:rPr>
        <w:t>the</w:t>
      </w:r>
      <w:r>
        <w:rPr>
          <w:spacing w:val="-4"/>
        </w:rPr>
        <w:t> </w:t>
      </w:r>
      <w:r>
        <w:rPr>
          <w:spacing w:val="-8"/>
        </w:rPr>
        <w:t>seats</w:t>
      </w:r>
      <w:r>
        <w:rPr>
          <w:spacing w:val="-4"/>
        </w:rPr>
        <w:t> </w:t>
      </w:r>
      <w:r>
        <w:rPr>
          <w:spacing w:val="-8"/>
        </w:rPr>
        <w:t>in</w:t>
      </w:r>
      <w:r>
        <w:rPr>
          <w:spacing w:val="-4"/>
        </w:rPr>
        <w:t> </w:t>
      </w:r>
      <w:r>
        <w:rPr>
          <w:spacing w:val="-8"/>
        </w:rPr>
        <w:t>the</w:t>
      </w:r>
      <w:r>
        <w:rPr>
          <w:spacing w:val="-4"/>
        </w:rPr>
        <w:t> </w:t>
      </w:r>
      <w:r>
        <w:rPr>
          <w:spacing w:val="-8"/>
        </w:rPr>
        <w:t>case</w:t>
      </w:r>
      <w:r>
        <w:rPr>
          <w:spacing w:val="-4"/>
        </w:rPr>
        <w:t> </w:t>
      </w:r>
      <w:r>
        <w:rPr>
          <w:spacing w:val="-8"/>
        </w:rPr>
        <w:t>of</w:t>
      </w:r>
      <w:r>
        <w:rPr>
          <w:spacing w:val="-4"/>
        </w:rPr>
        <w:t> </w:t>
      </w:r>
      <w:r>
        <w:rPr>
          <w:spacing w:val="-8"/>
        </w:rPr>
        <w:t>the</w:t>
      </w:r>
      <w:r>
        <w:rPr>
          <w:spacing w:val="-4"/>
        </w:rPr>
        <w:t> </w:t>
      </w:r>
      <w:r>
        <w:rPr>
          <w:spacing w:val="-8"/>
        </w:rPr>
        <w:t>Empowered</w:t>
      </w:r>
      <w:r>
        <w:rPr>
          <w:spacing w:val="-4"/>
        </w:rPr>
        <w:t> </w:t>
      </w:r>
      <w:r>
        <w:rPr>
          <w:spacing w:val="-8"/>
        </w:rPr>
        <w:t>Action </w:t>
      </w:r>
      <w:r>
        <w:rPr>
          <w:spacing w:val="-4"/>
        </w:rPr>
        <w:t>Group</w:t>
      </w:r>
      <w:r>
        <w:rPr>
          <w:spacing w:val="-7"/>
        </w:rPr>
        <w:t> </w:t>
      </w:r>
      <w:r>
        <w:rPr>
          <w:spacing w:val="-4"/>
        </w:rPr>
        <w:t>states;</w:t>
      </w:r>
      <w:r>
        <w:rPr>
          <w:spacing w:val="-7"/>
        </w:rPr>
        <w:t> </w:t>
      </w:r>
      <w:r>
        <w:rPr>
          <w:spacing w:val="-4"/>
        </w:rPr>
        <w:t>and</w:t>
      </w:r>
      <w:r>
        <w:rPr>
          <w:spacing w:val="-7"/>
        </w:rPr>
        <w:t> </w:t>
      </w:r>
      <w:r>
        <w:rPr>
          <w:spacing w:val="-4"/>
        </w:rPr>
        <w:t>3</w:t>
      </w:r>
      <w:r>
        <w:rPr>
          <w:spacing w:val="-7"/>
        </w:rPr>
        <w:t> </w:t>
      </w:r>
      <w:r>
        <w:rPr>
          <w:spacing w:val="-4"/>
        </w:rPr>
        <w:t>per</w:t>
      </w:r>
      <w:r>
        <w:rPr>
          <w:spacing w:val="-7"/>
        </w:rPr>
        <w:t> </w:t>
      </w:r>
      <w:r>
        <w:rPr>
          <w:spacing w:val="-4"/>
        </w:rPr>
        <w:t>cent</w:t>
      </w:r>
      <w:r>
        <w:rPr>
          <w:spacing w:val="-7"/>
        </w:rPr>
        <w:t> </w:t>
      </w:r>
      <w:r>
        <w:rPr>
          <w:spacing w:val="-4"/>
        </w:rPr>
        <w:t>of</w:t>
      </w:r>
      <w:r>
        <w:rPr>
          <w:spacing w:val="-7"/>
        </w:rPr>
        <w:t> </w:t>
      </w:r>
      <w:r>
        <w:rPr>
          <w:spacing w:val="-4"/>
        </w:rPr>
        <w:t>the</w:t>
      </w:r>
      <w:r>
        <w:rPr>
          <w:spacing w:val="-7"/>
        </w:rPr>
        <w:t> </w:t>
      </w:r>
      <w:r>
        <w:rPr>
          <w:spacing w:val="-4"/>
        </w:rPr>
        <w:t>aggregate</w:t>
      </w:r>
      <w:r>
        <w:rPr>
          <w:spacing w:val="-7"/>
        </w:rPr>
        <w:t> </w:t>
      </w:r>
      <w:r>
        <w:rPr>
          <w:spacing w:val="-4"/>
        </w:rPr>
        <w:t>number</w:t>
      </w:r>
      <w:r>
        <w:rPr>
          <w:spacing w:val="-7"/>
        </w:rPr>
        <w:t> </w:t>
      </w:r>
      <w:r>
        <w:rPr>
          <w:spacing w:val="-4"/>
        </w:rPr>
        <w:t>of colleges</w:t>
      </w:r>
      <w:r>
        <w:rPr>
          <w:spacing w:val="-10"/>
        </w:rPr>
        <w:t> </w:t>
      </w:r>
      <w:r>
        <w:rPr>
          <w:spacing w:val="-4"/>
        </w:rPr>
        <w:t>and</w:t>
      </w:r>
      <w:r>
        <w:rPr>
          <w:spacing w:val="-10"/>
        </w:rPr>
        <w:t> </w:t>
      </w:r>
      <w:r>
        <w:rPr>
          <w:spacing w:val="-4"/>
        </w:rPr>
        <w:t>3</w:t>
      </w:r>
      <w:r>
        <w:rPr>
          <w:spacing w:val="-10"/>
        </w:rPr>
        <w:t> </w:t>
      </w:r>
      <w:r>
        <w:rPr>
          <w:spacing w:val="-4"/>
        </w:rPr>
        <w:t>per</w:t>
      </w:r>
      <w:r>
        <w:rPr>
          <w:spacing w:val="-9"/>
        </w:rPr>
        <w:t> </w:t>
      </w:r>
      <w:r>
        <w:rPr>
          <w:spacing w:val="-4"/>
        </w:rPr>
        <w:t>cent</w:t>
      </w:r>
      <w:r>
        <w:rPr>
          <w:spacing w:val="-10"/>
        </w:rPr>
        <w:t> </w:t>
      </w:r>
      <w:r>
        <w:rPr>
          <w:spacing w:val="-4"/>
        </w:rPr>
        <w:t>of</w:t>
      </w:r>
      <w:r>
        <w:rPr>
          <w:spacing w:val="-10"/>
        </w:rPr>
        <w:t> </w:t>
      </w:r>
      <w:r>
        <w:rPr>
          <w:spacing w:val="-4"/>
        </w:rPr>
        <w:t>the</w:t>
      </w:r>
      <w:r>
        <w:rPr>
          <w:spacing w:val="-10"/>
        </w:rPr>
        <w:t> </w:t>
      </w:r>
      <w:r>
        <w:rPr>
          <w:spacing w:val="-4"/>
        </w:rPr>
        <w:t>seats</w:t>
      </w:r>
      <w:r>
        <w:rPr>
          <w:spacing w:val="-9"/>
        </w:rPr>
        <w:t> </w:t>
      </w:r>
      <w:r>
        <w:rPr>
          <w:spacing w:val="-4"/>
        </w:rPr>
        <w:t>in</w:t>
      </w:r>
      <w:r>
        <w:rPr>
          <w:spacing w:val="-10"/>
        </w:rPr>
        <w:t> </w:t>
      </w:r>
      <w:r>
        <w:rPr>
          <w:spacing w:val="-4"/>
        </w:rPr>
        <w:t>the</w:t>
      </w:r>
      <w:r>
        <w:rPr>
          <w:spacing w:val="-10"/>
        </w:rPr>
        <w:t> </w:t>
      </w:r>
      <w:r>
        <w:rPr>
          <w:spacing w:val="-4"/>
        </w:rPr>
        <w:t>North</w:t>
      </w:r>
      <w:r>
        <w:rPr>
          <w:spacing w:val="-10"/>
        </w:rPr>
        <w:t> </w:t>
      </w:r>
      <w:r>
        <w:rPr>
          <w:spacing w:val="-4"/>
        </w:rPr>
        <w:t>Eastern/ Hilly</w:t>
      </w:r>
      <w:r>
        <w:rPr>
          <w:spacing w:val="-9"/>
        </w:rPr>
        <w:t> </w:t>
      </w:r>
      <w:r>
        <w:rPr>
          <w:spacing w:val="-4"/>
        </w:rPr>
        <w:t>states.</w:t>
      </w:r>
      <w:r>
        <w:rPr>
          <w:spacing w:val="-10"/>
        </w:rPr>
        <w:t> </w:t>
      </w:r>
      <w:r>
        <w:rPr>
          <w:spacing w:val="-4"/>
        </w:rPr>
        <w:t>There</w:t>
      </w:r>
      <w:r>
        <w:rPr>
          <w:spacing w:val="-5"/>
        </w:rPr>
        <w:t> </w:t>
      </w:r>
      <w:r>
        <w:rPr>
          <w:spacing w:val="-4"/>
        </w:rPr>
        <w:t>is</w:t>
      </w:r>
      <w:r>
        <w:rPr>
          <w:spacing w:val="-6"/>
        </w:rPr>
        <w:t> </w:t>
      </w:r>
      <w:r>
        <w:rPr>
          <w:spacing w:val="-4"/>
        </w:rPr>
        <w:t>also</w:t>
      </w:r>
      <w:r>
        <w:rPr>
          <w:spacing w:val="-6"/>
        </w:rPr>
        <w:t> </w:t>
      </w:r>
      <w:r>
        <w:rPr>
          <w:spacing w:val="-4"/>
        </w:rPr>
        <w:t>a</w:t>
      </w:r>
      <w:r>
        <w:rPr>
          <w:spacing w:val="-6"/>
        </w:rPr>
        <w:t> </w:t>
      </w:r>
      <w:r>
        <w:rPr>
          <w:spacing w:val="-4"/>
        </w:rPr>
        <w:t>rural</w:t>
      </w:r>
      <w:r>
        <w:rPr>
          <w:spacing w:val="-6"/>
        </w:rPr>
        <w:t> </w:t>
      </w:r>
      <w:r>
        <w:rPr>
          <w:spacing w:val="-4"/>
        </w:rPr>
        <w:t>urban</w:t>
      </w:r>
      <w:r>
        <w:rPr>
          <w:spacing w:val="-6"/>
        </w:rPr>
        <w:t> </w:t>
      </w:r>
      <w:r>
        <w:rPr>
          <w:spacing w:val="-4"/>
        </w:rPr>
        <w:t>divide</w:t>
      </w:r>
      <w:r>
        <w:rPr>
          <w:spacing w:val="-6"/>
        </w:rPr>
        <w:t> </w:t>
      </w:r>
      <w:r>
        <w:rPr>
          <w:spacing w:val="-4"/>
        </w:rPr>
        <w:t>with</w:t>
      </w:r>
      <w:r>
        <w:rPr>
          <w:spacing w:val="-6"/>
        </w:rPr>
        <w:t> </w:t>
      </w:r>
      <w:r>
        <w:rPr>
          <w:spacing w:val="-4"/>
        </w:rPr>
        <w:t>only </w:t>
      </w:r>
      <w:r>
        <w:rPr/>
        <w:t>30 per cent of the population in the urban areas with </w:t>
      </w:r>
      <w:r>
        <w:rPr>
          <w:spacing w:val="-6"/>
        </w:rPr>
        <w:t>96 per cent of educational institutes here, whereas where more</w:t>
      </w:r>
      <w:r>
        <w:rPr>
          <w:spacing w:val="-8"/>
        </w:rPr>
        <w:t> </w:t>
      </w:r>
      <w:r>
        <w:rPr>
          <w:spacing w:val="-6"/>
        </w:rPr>
        <w:t>than</w:t>
      </w:r>
      <w:r>
        <w:rPr>
          <w:spacing w:val="-8"/>
        </w:rPr>
        <w:t> </w:t>
      </w:r>
      <w:r>
        <w:rPr>
          <w:spacing w:val="-6"/>
        </w:rPr>
        <w:t>70</w:t>
      </w:r>
      <w:r>
        <w:rPr>
          <w:spacing w:val="-8"/>
        </w:rPr>
        <w:t> </w:t>
      </w:r>
      <w:r>
        <w:rPr>
          <w:spacing w:val="-6"/>
        </w:rPr>
        <w:t>per</w:t>
      </w:r>
      <w:r>
        <w:rPr>
          <w:spacing w:val="-7"/>
        </w:rPr>
        <w:t> </w:t>
      </w:r>
      <w:r>
        <w:rPr>
          <w:spacing w:val="-6"/>
        </w:rPr>
        <w:t>cent</w:t>
      </w:r>
      <w:r>
        <w:rPr>
          <w:spacing w:val="-8"/>
        </w:rPr>
        <w:t> </w:t>
      </w:r>
      <w:r>
        <w:rPr>
          <w:spacing w:val="-6"/>
        </w:rPr>
        <w:t>of</w:t>
      </w:r>
      <w:r>
        <w:rPr>
          <w:spacing w:val="-8"/>
        </w:rPr>
        <w:t> </w:t>
      </w:r>
      <w:r>
        <w:rPr>
          <w:spacing w:val="-6"/>
        </w:rPr>
        <w:t>the</w:t>
      </w:r>
      <w:r>
        <w:rPr>
          <w:spacing w:val="-8"/>
        </w:rPr>
        <w:t> </w:t>
      </w:r>
      <w:r>
        <w:rPr>
          <w:spacing w:val="-6"/>
        </w:rPr>
        <w:t>population</w:t>
      </w:r>
      <w:r>
        <w:rPr>
          <w:spacing w:val="-7"/>
        </w:rPr>
        <w:t> </w:t>
      </w:r>
      <w:r>
        <w:rPr>
          <w:spacing w:val="-6"/>
        </w:rPr>
        <w:t>lives,</w:t>
      </w:r>
      <w:r>
        <w:rPr>
          <w:spacing w:val="-8"/>
        </w:rPr>
        <w:t> </w:t>
      </w:r>
      <w:r>
        <w:rPr>
          <w:spacing w:val="-6"/>
        </w:rPr>
        <w:t>availability </w:t>
      </w:r>
      <w:r>
        <w:rPr>
          <w:spacing w:val="-2"/>
        </w:rPr>
        <w:t>of</w:t>
      </w:r>
      <w:r>
        <w:rPr>
          <w:spacing w:val="-12"/>
        </w:rPr>
        <w:t> </w:t>
      </w:r>
      <w:r>
        <w:rPr>
          <w:spacing w:val="-2"/>
        </w:rPr>
        <w:t>educational</w:t>
      </w:r>
      <w:r>
        <w:rPr>
          <w:spacing w:val="-12"/>
        </w:rPr>
        <w:t> </w:t>
      </w:r>
      <w:r>
        <w:rPr>
          <w:spacing w:val="-2"/>
        </w:rPr>
        <w:t>facilities</w:t>
      </w:r>
      <w:r>
        <w:rPr>
          <w:spacing w:val="-12"/>
        </w:rPr>
        <w:t> </w:t>
      </w:r>
      <w:r>
        <w:rPr>
          <w:spacing w:val="-2"/>
        </w:rPr>
        <w:t>is</w:t>
      </w:r>
      <w:r>
        <w:rPr>
          <w:spacing w:val="-11"/>
        </w:rPr>
        <w:t> </w:t>
      </w:r>
      <w:r>
        <w:rPr>
          <w:spacing w:val="-2"/>
        </w:rPr>
        <w:t>meager.</w:t>
      </w:r>
    </w:p>
    <w:p>
      <w:pPr>
        <w:pStyle w:val="BodyText"/>
        <w:spacing w:before="17"/>
      </w:pPr>
    </w:p>
    <w:p>
      <w:pPr>
        <w:pStyle w:val="BodyText"/>
        <w:spacing w:line="266" w:lineRule="auto"/>
        <w:ind w:left="1080"/>
        <w:jc w:val="both"/>
      </w:pPr>
      <w:r>
        <w:rPr>
          <w:b/>
        </w:rPr>
        <w:t>Regulation: </w:t>
      </w:r>
      <w:r>
        <w:rPr/>
        <w:t>A plethora of bodies exist to control medical</w:t>
      </w:r>
      <w:r>
        <w:rPr>
          <w:spacing w:val="79"/>
          <w:w w:val="150"/>
        </w:rPr>
        <w:t> </w:t>
      </w:r>
      <w:r>
        <w:rPr/>
        <w:t>education.</w:t>
      </w:r>
      <w:r>
        <w:rPr>
          <w:spacing w:val="79"/>
          <w:w w:val="150"/>
        </w:rPr>
        <w:t> </w:t>
      </w:r>
      <w:r>
        <w:rPr/>
        <w:t>Authorities</w:t>
      </w:r>
      <w:r>
        <w:rPr>
          <w:spacing w:val="79"/>
          <w:w w:val="150"/>
        </w:rPr>
        <w:t> </w:t>
      </w:r>
      <w:r>
        <w:rPr/>
        <w:t>involved</w:t>
      </w:r>
      <w:r>
        <w:rPr>
          <w:spacing w:val="79"/>
          <w:w w:val="150"/>
        </w:rPr>
        <w:t> </w:t>
      </w:r>
      <w:r>
        <w:rPr>
          <w:spacing w:val="-2"/>
        </w:rPr>
        <w:t>include</w:t>
      </w:r>
    </w:p>
    <w:p>
      <w:pPr>
        <w:pStyle w:val="BodyText"/>
        <w:spacing w:line="266" w:lineRule="auto" w:before="82"/>
        <w:ind w:left="319" w:right="1077"/>
        <w:jc w:val="both"/>
      </w:pPr>
      <w:r>
        <w:rPr/>
        <w:br w:type="column"/>
      </w:r>
      <w:r>
        <w:rPr/>
        <w:t>Ministry</w:t>
      </w:r>
      <w:r>
        <w:rPr>
          <w:spacing w:val="40"/>
        </w:rPr>
        <w:t> </w:t>
      </w:r>
      <w:r>
        <w:rPr/>
        <w:t>of</w:t>
      </w:r>
      <w:r>
        <w:rPr>
          <w:spacing w:val="40"/>
        </w:rPr>
        <w:t> </w:t>
      </w:r>
      <w:r>
        <w:rPr/>
        <w:t>Health,</w:t>
      </w:r>
      <w:r>
        <w:rPr>
          <w:spacing w:val="40"/>
        </w:rPr>
        <w:t> </w:t>
      </w:r>
      <w:r>
        <w:rPr/>
        <w:t>Medical</w:t>
      </w:r>
      <w:r>
        <w:rPr>
          <w:spacing w:val="40"/>
        </w:rPr>
        <w:t> </w:t>
      </w:r>
      <w:r>
        <w:rPr/>
        <w:t>Council</w:t>
      </w:r>
      <w:r>
        <w:rPr>
          <w:spacing w:val="40"/>
        </w:rPr>
        <w:t> </w:t>
      </w:r>
      <w:r>
        <w:rPr/>
        <w:t>of</w:t>
      </w:r>
      <w:r>
        <w:rPr>
          <w:spacing w:val="40"/>
        </w:rPr>
        <w:t> </w:t>
      </w:r>
      <w:r>
        <w:rPr/>
        <w:t>India (MCI), UGC, State Medical Education Departments and Councils, Medical Colleges/Institutes, NAMS and NBE (National Board of Examinations). The Medical Council of India (MCI) was established in 1933</w:t>
      </w:r>
      <w:r>
        <w:rPr>
          <w:spacing w:val="32"/>
        </w:rPr>
        <w:t> </w:t>
      </w:r>
      <w:r>
        <w:rPr/>
        <w:t>and</w:t>
      </w:r>
      <w:r>
        <w:rPr>
          <w:spacing w:val="32"/>
        </w:rPr>
        <w:t> </w:t>
      </w:r>
      <w:r>
        <w:rPr/>
        <w:t>as</w:t>
      </w:r>
      <w:r>
        <w:rPr>
          <w:spacing w:val="32"/>
        </w:rPr>
        <w:t> </w:t>
      </w:r>
      <w:r>
        <w:rPr/>
        <w:t>per</w:t>
      </w:r>
      <w:r>
        <w:rPr>
          <w:spacing w:val="32"/>
        </w:rPr>
        <w:t> </w:t>
      </w:r>
      <w:r>
        <w:rPr/>
        <w:t>Indian</w:t>
      </w:r>
      <w:r>
        <w:rPr>
          <w:spacing w:val="32"/>
        </w:rPr>
        <w:t> </w:t>
      </w:r>
      <w:r>
        <w:rPr/>
        <w:t>Medical</w:t>
      </w:r>
      <w:r>
        <w:rPr>
          <w:spacing w:val="32"/>
        </w:rPr>
        <w:t> </w:t>
      </w:r>
      <w:r>
        <w:rPr/>
        <w:t>Council</w:t>
      </w:r>
      <w:r>
        <w:rPr>
          <w:spacing w:val="32"/>
        </w:rPr>
        <w:t> </w:t>
      </w:r>
      <w:r>
        <w:rPr/>
        <w:t>Act</w:t>
      </w:r>
      <w:r>
        <w:rPr>
          <w:spacing w:val="32"/>
        </w:rPr>
        <w:t> </w:t>
      </w:r>
      <w:r>
        <w:rPr/>
        <w:t>1933 is the statutory recommending body. The MCI only recognises institutions to start a course and expand it according</w:t>
      </w:r>
      <w:r>
        <w:rPr>
          <w:spacing w:val="-1"/>
        </w:rPr>
        <w:t> </w:t>
      </w:r>
      <w:r>
        <w:rPr/>
        <w:t>to</w:t>
      </w:r>
      <w:r>
        <w:rPr>
          <w:spacing w:val="-1"/>
        </w:rPr>
        <w:t> </w:t>
      </w:r>
      <w:r>
        <w:rPr/>
        <w:t>laid</w:t>
      </w:r>
      <w:r>
        <w:rPr>
          <w:spacing w:val="-1"/>
        </w:rPr>
        <w:t> </w:t>
      </w:r>
      <w:r>
        <w:rPr/>
        <w:t>down</w:t>
      </w:r>
      <w:r>
        <w:rPr>
          <w:spacing w:val="-1"/>
        </w:rPr>
        <w:t> </w:t>
      </w:r>
      <w:r>
        <w:rPr/>
        <w:t>criteria</w:t>
      </w:r>
      <w:r>
        <w:rPr>
          <w:spacing w:val="-1"/>
        </w:rPr>
        <w:t> </w:t>
      </w:r>
      <w:r>
        <w:rPr/>
        <w:t>under</w:t>
      </w:r>
      <w:r>
        <w:rPr>
          <w:spacing w:val="-1"/>
        </w:rPr>
        <w:t> </w:t>
      </w:r>
      <w:r>
        <w:rPr/>
        <w:t>the</w:t>
      </w:r>
      <w:r>
        <w:rPr>
          <w:spacing w:val="-1"/>
        </w:rPr>
        <w:t> </w:t>
      </w:r>
      <w:r>
        <w:rPr/>
        <w:t>MCI</w:t>
      </w:r>
      <w:r>
        <w:rPr>
          <w:spacing w:val="-1"/>
        </w:rPr>
        <w:t> </w:t>
      </w:r>
      <w:r>
        <w:rPr/>
        <w:t>Act</w:t>
      </w:r>
      <w:r>
        <w:rPr>
          <w:spacing w:val="-1"/>
        </w:rPr>
        <w:t> </w:t>
      </w:r>
      <w:r>
        <w:rPr/>
        <w:t>of 1956. With the prior permission of the Government of India, it has no regulatory powers; it is only a recommendatory body. Over the years it has failed</w:t>
      </w:r>
      <w:r>
        <w:rPr>
          <w:spacing w:val="80"/>
        </w:rPr>
        <w:t> </w:t>
      </w:r>
      <w:r>
        <w:rPr/>
        <w:t>to serve the purpose and led to a progressive decline in medical education. The State Medical Education Departments and Councils grant licenses to practice without</w:t>
      </w:r>
      <w:r>
        <w:rPr>
          <w:spacing w:val="15"/>
        </w:rPr>
        <w:t> </w:t>
      </w:r>
      <w:r>
        <w:rPr/>
        <w:t>assessment.</w:t>
      </w:r>
      <w:r>
        <w:rPr>
          <w:spacing w:val="15"/>
        </w:rPr>
        <w:t> </w:t>
      </w:r>
      <w:r>
        <w:rPr/>
        <w:t>Medical</w:t>
      </w:r>
      <w:r>
        <w:rPr>
          <w:spacing w:val="16"/>
        </w:rPr>
        <w:t> </w:t>
      </w:r>
      <w:r>
        <w:rPr/>
        <w:t>colleges</w:t>
      </w:r>
      <w:r>
        <w:rPr>
          <w:spacing w:val="15"/>
        </w:rPr>
        <w:t> </w:t>
      </w:r>
      <w:r>
        <w:rPr/>
        <w:t>largely</w:t>
      </w:r>
      <w:r>
        <w:rPr>
          <w:spacing w:val="16"/>
        </w:rPr>
        <w:t> </w:t>
      </w:r>
      <w:r>
        <w:rPr>
          <w:spacing w:val="-2"/>
        </w:rPr>
        <w:t>follow</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t>the MCI with no attempt to upgrade or evaluate students or courses.</w:t>
      </w:r>
    </w:p>
    <w:p>
      <w:pPr>
        <w:pStyle w:val="BodyText"/>
        <w:spacing w:before="26"/>
      </w:pPr>
    </w:p>
    <w:p>
      <w:pPr>
        <w:pStyle w:val="BodyText"/>
        <w:spacing w:line="266" w:lineRule="auto"/>
        <w:ind w:left="1080"/>
        <w:jc w:val="both"/>
      </w:pPr>
      <w:r>
        <w:rPr>
          <w:b/>
        </w:rPr>
        <w:t>Quality: </w:t>
      </w:r>
      <w:r>
        <w:rPr/>
        <w:t>There is lack of consistent and regulated standards in medical education with many of the </w:t>
      </w:r>
      <w:r>
        <w:rPr>
          <w:spacing w:val="-2"/>
        </w:rPr>
        <w:t>colleges</w:t>
      </w:r>
      <w:r>
        <w:rPr>
          <w:spacing w:val="-12"/>
        </w:rPr>
        <w:t> </w:t>
      </w:r>
      <w:r>
        <w:rPr>
          <w:spacing w:val="-2"/>
        </w:rPr>
        <w:t>having</w:t>
      </w:r>
      <w:r>
        <w:rPr>
          <w:spacing w:val="-12"/>
        </w:rPr>
        <w:t> </w:t>
      </w:r>
      <w:r>
        <w:rPr>
          <w:spacing w:val="-2"/>
        </w:rPr>
        <w:t>questionable</w:t>
      </w:r>
      <w:r>
        <w:rPr>
          <w:spacing w:val="-12"/>
        </w:rPr>
        <w:t> </w:t>
      </w:r>
      <w:r>
        <w:rPr>
          <w:spacing w:val="-2"/>
        </w:rPr>
        <w:t>training</w:t>
      </w:r>
      <w:r>
        <w:rPr>
          <w:spacing w:val="-11"/>
        </w:rPr>
        <w:t> </w:t>
      </w:r>
      <w:r>
        <w:rPr>
          <w:spacing w:val="-2"/>
        </w:rPr>
        <w:t>capacities</w:t>
      </w:r>
      <w:r>
        <w:rPr>
          <w:spacing w:val="-12"/>
        </w:rPr>
        <w:t> </w:t>
      </w:r>
      <w:r>
        <w:rPr>
          <w:spacing w:val="-2"/>
        </w:rPr>
        <w:t>and</w:t>
      </w:r>
      <w:r>
        <w:rPr>
          <w:spacing w:val="-12"/>
        </w:rPr>
        <w:t> </w:t>
      </w:r>
      <w:r>
        <w:rPr>
          <w:spacing w:val="-2"/>
        </w:rPr>
        <w:t>no </w:t>
      </w:r>
      <w:r>
        <w:rPr/>
        <w:t>accreditation</w:t>
      </w:r>
      <w:r>
        <w:rPr>
          <w:spacing w:val="-8"/>
        </w:rPr>
        <w:t> </w:t>
      </w:r>
      <w:r>
        <w:rPr/>
        <w:t>system.</w:t>
      </w:r>
      <w:r>
        <w:rPr>
          <w:spacing w:val="-8"/>
        </w:rPr>
        <w:t> </w:t>
      </w:r>
      <w:r>
        <w:rPr/>
        <w:t>Medical</w:t>
      </w:r>
      <w:r>
        <w:rPr>
          <w:spacing w:val="-8"/>
        </w:rPr>
        <w:t> </w:t>
      </w:r>
      <w:r>
        <w:rPr/>
        <w:t>graduates</w:t>
      </w:r>
      <w:r>
        <w:rPr>
          <w:spacing w:val="-8"/>
        </w:rPr>
        <w:t> </w:t>
      </w:r>
      <w:r>
        <w:rPr/>
        <w:t>are</w:t>
      </w:r>
      <w:r>
        <w:rPr>
          <w:spacing w:val="-8"/>
        </w:rPr>
        <w:t> </w:t>
      </w:r>
      <w:r>
        <w:rPr/>
        <w:t>often</w:t>
      </w:r>
      <w:r>
        <w:rPr>
          <w:spacing w:val="-8"/>
        </w:rPr>
        <w:t> </w:t>
      </w:r>
      <w:r>
        <w:rPr/>
        <w:t>not assessed</w:t>
      </w:r>
      <w:r>
        <w:rPr>
          <w:spacing w:val="-14"/>
        </w:rPr>
        <w:t> </w:t>
      </w:r>
      <w:r>
        <w:rPr/>
        <w:t>for</w:t>
      </w:r>
      <w:r>
        <w:rPr>
          <w:spacing w:val="-14"/>
        </w:rPr>
        <w:t> </w:t>
      </w:r>
      <w:r>
        <w:rPr/>
        <w:t>clinical</w:t>
      </w:r>
      <w:r>
        <w:rPr>
          <w:spacing w:val="-14"/>
        </w:rPr>
        <w:t> </w:t>
      </w:r>
      <w:r>
        <w:rPr/>
        <w:t>skills</w:t>
      </w:r>
      <w:r>
        <w:rPr>
          <w:spacing w:val="-13"/>
        </w:rPr>
        <w:t> </w:t>
      </w:r>
      <w:r>
        <w:rPr/>
        <w:t>in</w:t>
      </w:r>
      <w:r>
        <w:rPr>
          <w:spacing w:val="-14"/>
        </w:rPr>
        <w:t> </w:t>
      </w:r>
      <w:r>
        <w:rPr/>
        <w:t>accordance</w:t>
      </w:r>
      <w:r>
        <w:rPr>
          <w:spacing w:val="-14"/>
        </w:rPr>
        <w:t> </w:t>
      </w:r>
      <w:r>
        <w:rPr/>
        <w:t>with</w:t>
      </w:r>
      <w:r>
        <w:rPr>
          <w:spacing w:val="-14"/>
        </w:rPr>
        <w:t> </w:t>
      </w:r>
      <w:r>
        <w:rPr/>
        <w:t>national </w:t>
      </w:r>
      <w:r>
        <w:rPr>
          <w:spacing w:val="-4"/>
        </w:rPr>
        <w:t>and</w:t>
      </w:r>
      <w:r>
        <w:rPr>
          <w:spacing w:val="-10"/>
        </w:rPr>
        <w:t> </w:t>
      </w:r>
      <w:r>
        <w:rPr>
          <w:spacing w:val="-4"/>
        </w:rPr>
        <w:t>international</w:t>
      </w:r>
      <w:r>
        <w:rPr>
          <w:spacing w:val="-10"/>
        </w:rPr>
        <w:t> </w:t>
      </w:r>
      <w:r>
        <w:rPr>
          <w:spacing w:val="-4"/>
        </w:rPr>
        <w:t>standards.</w:t>
      </w:r>
      <w:r>
        <w:rPr>
          <w:spacing w:val="-10"/>
        </w:rPr>
        <w:t> </w:t>
      </w:r>
      <w:r>
        <w:rPr>
          <w:spacing w:val="-4"/>
        </w:rPr>
        <w:t>There</w:t>
      </w:r>
      <w:r>
        <w:rPr>
          <w:spacing w:val="-7"/>
        </w:rPr>
        <w:t> </w:t>
      </w:r>
      <w:r>
        <w:rPr>
          <w:spacing w:val="-4"/>
        </w:rPr>
        <w:t>is</w:t>
      </w:r>
      <w:r>
        <w:rPr>
          <w:spacing w:val="-8"/>
        </w:rPr>
        <w:t> </w:t>
      </w:r>
      <w:r>
        <w:rPr>
          <w:spacing w:val="-4"/>
        </w:rPr>
        <w:t>lack</w:t>
      </w:r>
      <w:r>
        <w:rPr>
          <w:spacing w:val="-8"/>
        </w:rPr>
        <w:t> </w:t>
      </w:r>
      <w:r>
        <w:rPr>
          <w:spacing w:val="-4"/>
        </w:rPr>
        <w:t>of</w:t>
      </w:r>
      <w:r>
        <w:rPr>
          <w:spacing w:val="-8"/>
        </w:rPr>
        <w:t> </w:t>
      </w:r>
      <w:r>
        <w:rPr>
          <w:spacing w:val="-4"/>
        </w:rPr>
        <w:t>appropriate </w:t>
      </w:r>
      <w:r>
        <w:rPr/>
        <w:t>regulation and that further compounds the problem. </w:t>
      </w:r>
      <w:r>
        <w:rPr>
          <w:spacing w:val="-2"/>
        </w:rPr>
        <w:t>State</w:t>
      </w:r>
      <w:r>
        <w:rPr>
          <w:spacing w:val="-12"/>
        </w:rPr>
        <w:t> </w:t>
      </w:r>
      <w:r>
        <w:rPr>
          <w:spacing w:val="-2"/>
        </w:rPr>
        <w:t>governments</w:t>
      </w:r>
      <w:r>
        <w:rPr>
          <w:spacing w:val="-12"/>
        </w:rPr>
        <w:t> </w:t>
      </w:r>
      <w:r>
        <w:rPr>
          <w:spacing w:val="-2"/>
        </w:rPr>
        <w:t>can</w:t>
      </w:r>
      <w:r>
        <w:rPr>
          <w:spacing w:val="-12"/>
        </w:rPr>
        <w:t> </w:t>
      </w:r>
      <w:r>
        <w:rPr>
          <w:spacing w:val="-2"/>
        </w:rPr>
        <w:t>grant</w:t>
      </w:r>
      <w:r>
        <w:rPr>
          <w:spacing w:val="-11"/>
        </w:rPr>
        <w:t> </w:t>
      </w:r>
      <w:r>
        <w:rPr>
          <w:spacing w:val="-2"/>
        </w:rPr>
        <w:t>license</w:t>
      </w:r>
      <w:r>
        <w:rPr>
          <w:spacing w:val="-12"/>
        </w:rPr>
        <w:t> </w:t>
      </w:r>
      <w:r>
        <w:rPr>
          <w:spacing w:val="-2"/>
        </w:rPr>
        <w:t>to</w:t>
      </w:r>
      <w:r>
        <w:rPr>
          <w:spacing w:val="-12"/>
        </w:rPr>
        <w:t> </w:t>
      </w:r>
      <w:r>
        <w:rPr>
          <w:spacing w:val="-2"/>
        </w:rPr>
        <w:t>practice</w:t>
      </w:r>
      <w:r>
        <w:rPr>
          <w:spacing w:val="-12"/>
        </w:rPr>
        <w:t> </w:t>
      </w:r>
      <w:r>
        <w:rPr>
          <w:spacing w:val="-2"/>
        </w:rPr>
        <w:t>general </w:t>
      </w:r>
      <w:r>
        <w:rPr>
          <w:spacing w:val="-6"/>
        </w:rPr>
        <w:t>specialty, sub-specialty or super-specialty medicine with </w:t>
      </w:r>
      <w:r>
        <w:rPr/>
        <w:t>no assessment of clinical skills. With roughly 26000 </w:t>
      </w:r>
      <w:r>
        <w:rPr>
          <w:spacing w:val="-2"/>
        </w:rPr>
        <w:t>graduates</w:t>
      </w:r>
      <w:r>
        <w:rPr>
          <w:spacing w:val="-12"/>
        </w:rPr>
        <w:t> </w:t>
      </w:r>
      <w:r>
        <w:rPr>
          <w:spacing w:val="-2"/>
        </w:rPr>
        <w:t>passing</w:t>
      </w:r>
      <w:r>
        <w:rPr>
          <w:spacing w:val="-12"/>
        </w:rPr>
        <w:t> </w:t>
      </w:r>
      <w:r>
        <w:rPr>
          <w:spacing w:val="-2"/>
        </w:rPr>
        <w:t>out</w:t>
      </w:r>
      <w:r>
        <w:rPr>
          <w:spacing w:val="-12"/>
        </w:rPr>
        <w:t> </w:t>
      </w:r>
      <w:r>
        <w:rPr>
          <w:spacing w:val="-2"/>
        </w:rPr>
        <w:t>from</w:t>
      </w:r>
      <w:r>
        <w:rPr>
          <w:spacing w:val="-11"/>
        </w:rPr>
        <w:t> </w:t>
      </w:r>
      <w:r>
        <w:rPr>
          <w:spacing w:val="-2"/>
        </w:rPr>
        <w:t>MBBS</w:t>
      </w:r>
      <w:r>
        <w:rPr>
          <w:spacing w:val="-12"/>
        </w:rPr>
        <w:t> </w:t>
      </w:r>
      <w:r>
        <w:rPr>
          <w:spacing w:val="-2"/>
        </w:rPr>
        <w:t>every</w:t>
      </w:r>
      <w:r>
        <w:rPr>
          <w:spacing w:val="-12"/>
        </w:rPr>
        <w:t> </w:t>
      </w:r>
      <w:r>
        <w:rPr>
          <w:spacing w:val="-2"/>
        </w:rPr>
        <w:t>year</w:t>
      </w:r>
      <w:r>
        <w:rPr>
          <w:spacing w:val="-12"/>
        </w:rPr>
        <w:t> </w:t>
      </w:r>
      <w:r>
        <w:rPr>
          <w:spacing w:val="-2"/>
        </w:rPr>
        <w:t>and</w:t>
      </w:r>
      <w:r>
        <w:rPr>
          <w:spacing w:val="-11"/>
        </w:rPr>
        <w:t> </w:t>
      </w:r>
      <w:r>
        <w:rPr>
          <w:spacing w:val="-2"/>
        </w:rPr>
        <w:t>only </w:t>
      </w:r>
      <w:r>
        <w:rPr>
          <w:spacing w:val="-8"/>
        </w:rPr>
        <w:t>11-12</w:t>
      </w:r>
      <w:r>
        <w:rPr/>
        <w:t> </w:t>
      </w:r>
      <w:r>
        <w:rPr>
          <w:spacing w:val="-8"/>
        </w:rPr>
        <w:t>thousand</w:t>
      </w:r>
      <w:r>
        <w:rPr/>
        <w:t> </w:t>
      </w:r>
      <w:r>
        <w:rPr>
          <w:spacing w:val="-8"/>
        </w:rPr>
        <w:t>postgraduate</w:t>
      </w:r>
      <w:r>
        <w:rPr/>
        <w:t> </w:t>
      </w:r>
      <w:r>
        <w:rPr>
          <w:spacing w:val="-8"/>
        </w:rPr>
        <w:t>seats,</w:t>
      </w:r>
      <w:r>
        <w:rPr/>
        <w:t> </w:t>
      </w:r>
      <w:r>
        <w:rPr>
          <w:spacing w:val="-8"/>
        </w:rPr>
        <w:t>about</w:t>
      </w:r>
      <w:r>
        <w:rPr/>
        <w:t> </w:t>
      </w:r>
      <w:r>
        <w:rPr>
          <w:spacing w:val="-8"/>
        </w:rPr>
        <w:t>14-15</w:t>
      </w:r>
      <w:r>
        <w:rPr/>
        <w:t> </w:t>
      </w:r>
      <w:r>
        <w:rPr>
          <w:spacing w:val="-8"/>
        </w:rPr>
        <w:t>thousand </w:t>
      </w:r>
      <w:r>
        <w:rPr/>
        <w:t>graduates get into medical practice with theoretical </w:t>
      </w:r>
      <w:r>
        <w:rPr>
          <w:spacing w:val="-2"/>
        </w:rPr>
        <w:t>knowledge</w:t>
      </w:r>
      <w:r>
        <w:rPr>
          <w:spacing w:val="1"/>
        </w:rPr>
        <w:t> </w:t>
      </w:r>
      <w:r>
        <w:rPr>
          <w:spacing w:val="-2"/>
        </w:rPr>
        <w:t>but</w:t>
      </w:r>
      <w:r>
        <w:rPr>
          <w:spacing w:val="2"/>
        </w:rPr>
        <w:t> </w:t>
      </w:r>
      <w:r>
        <w:rPr>
          <w:spacing w:val="-2"/>
        </w:rPr>
        <w:t>no</w:t>
      </w:r>
      <w:r>
        <w:rPr>
          <w:spacing w:val="2"/>
        </w:rPr>
        <w:t> </w:t>
      </w:r>
      <w:r>
        <w:rPr>
          <w:spacing w:val="-2"/>
        </w:rPr>
        <w:t>application</w:t>
      </w:r>
      <w:r>
        <w:rPr>
          <w:spacing w:val="2"/>
        </w:rPr>
        <w:t> </w:t>
      </w:r>
      <w:r>
        <w:rPr>
          <w:spacing w:val="-2"/>
        </w:rPr>
        <w:t>of</w:t>
      </w:r>
      <w:r>
        <w:rPr>
          <w:spacing w:val="2"/>
        </w:rPr>
        <w:t> </w:t>
      </w:r>
      <w:r>
        <w:rPr>
          <w:spacing w:val="-2"/>
        </w:rPr>
        <w:t>knowledge.</w:t>
      </w:r>
      <w:r>
        <w:rPr>
          <w:spacing w:val="2"/>
        </w:rPr>
        <w:t> </w:t>
      </w:r>
      <w:r>
        <w:rPr>
          <w:spacing w:val="-2"/>
        </w:rPr>
        <w:t>MCI</w:t>
      </w:r>
      <w:r>
        <w:rPr>
          <w:spacing w:val="2"/>
        </w:rPr>
        <w:t> </w:t>
      </w:r>
      <w:r>
        <w:rPr>
          <w:spacing w:val="-5"/>
        </w:rPr>
        <w:t>has</w:t>
      </w:r>
    </w:p>
    <w:p>
      <w:pPr>
        <w:pStyle w:val="BodyText"/>
        <w:spacing w:line="266" w:lineRule="auto" w:before="57"/>
        <w:ind w:left="319" w:right="1077"/>
        <w:jc w:val="both"/>
      </w:pPr>
      <w:r>
        <w:rPr/>
        <w:br w:type="column"/>
      </w:r>
      <w:r>
        <w:rPr>
          <w:spacing w:val="-2"/>
        </w:rPr>
        <w:t>neither</w:t>
      </w:r>
      <w:r>
        <w:rPr>
          <w:spacing w:val="-12"/>
        </w:rPr>
        <w:t> </w:t>
      </w:r>
      <w:r>
        <w:rPr>
          <w:spacing w:val="-2"/>
        </w:rPr>
        <w:t>the</w:t>
      </w:r>
      <w:r>
        <w:rPr>
          <w:spacing w:val="-12"/>
        </w:rPr>
        <w:t> </w:t>
      </w:r>
      <w:r>
        <w:rPr>
          <w:spacing w:val="-2"/>
        </w:rPr>
        <w:t>power</w:t>
      </w:r>
      <w:r>
        <w:rPr>
          <w:spacing w:val="-12"/>
        </w:rPr>
        <w:t> </w:t>
      </w:r>
      <w:r>
        <w:rPr>
          <w:spacing w:val="-2"/>
        </w:rPr>
        <w:t>nor</w:t>
      </w:r>
      <w:r>
        <w:rPr>
          <w:spacing w:val="-11"/>
        </w:rPr>
        <w:t> </w:t>
      </w:r>
      <w:r>
        <w:rPr>
          <w:spacing w:val="-2"/>
        </w:rPr>
        <w:t>the</w:t>
      </w:r>
      <w:r>
        <w:rPr>
          <w:spacing w:val="-12"/>
        </w:rPr>
        <w:t> </w:t>
      </w:r>
      <w:r>
        <w:rPr>
          <w:spacing w:val="-2"/>
        </w:rPr>
        <w:t>infrastructure</w:t>
      </w:r>
      <w:r>
        <w:rPr>
          <w:spacing w:val="-12"/>
        </w:rPr>
        <w:t> </w:t>
      </w:r>
      <w:r>
        <w:rPr>
          <w:spacing w:val="-2"/>
        </w:rPr>
        <w:t>to</w:t>
      </w:r>
      <w:r>
        <w:rPr>
          <w:spacing w:val="-12"/>
        </w:rPr>
        <w:t> </w:t>
      </w:r>
      <w:r>
        <w:rPr>
          <w:spacing w:val="-2"/>
        </w:rPr>
        <w:t>continuously </w:t>
      </w:r>
      <w:r>
        <w:rPr/>
        <w:t>monitor and standards. Major reforms at each level are</w:t>
      </w:r>
      <w:r>
        <w:rPr>
          <w:spacing w:val="-9"/>
        </w:rPr>
        <w:t> </w:t>
      </w:r>
      <w:r>
        <w:rPr/>
        <w:t>needed</w:t>
      </w:r>
      <w:r>
        <w:rPr>
          <w:spacing w:val="-9"/>
        </w:rPr>
        <w:t> </w:t>
      </w:r>
      <w:r>
        <w:rPr/>
        <w:t>in</w:t>
      </w:r>
      <w:r>
        <w:rPr>
          <w:spacing w:val="-9"/>
        </w:rPr>
        <w:t> </w:t>
      </w:r>
      <w:r>
        <w:rPr/>
        <w:t>order</w:t>
      </w:r>
      <w:r>
        <w:rPr>
          <w:spacing w:val="-9"/>
        </w:rPr>
        <w:t> </w:t>
      </w:r>
      <w:r>
        <w:rPr/>
        <w:t>to</w:t>
      </w:r>
      <w:r>
        <w:rPr>
          <w:spacing w:val="-9"/>
        </w:rPr>
        <w:t> </w:t>
      </w:r>
      <w:r>
        <w:rPr/>
        <w:t>elevate</w:t>
      </w:r>
      <w:r>
        <w:rPr>
          <w:spacing w:val="-9"/>
        </w:rPr>
        <w:t> </w:t>
      </w:r>
      <w:r>
        <w:rPr/>
        <w:t>the</w:t>
      </w:r>
      <w:r>
        <w:rPr>
          <w:spacing w:val="-9"/>
        </w:rPr>
        <w:t> </w:t>
      </w:r>
      <w:r>
        <w:rPr/>
        <w:t>present</w:t>
      </w:r>
      <w:r>
        <w:rPr>
          <w:spacing w:val="-9"/>
        </w:rPr>
        <w:t> </w:t>
      </w:r>
      <w:r>
        <w:rPr/>
        <w:t>condition</w:t>
      </w:r>
      <w:r>
        <w:rPr>
          <w:spacing w:val="-9"/>
        </w:rPr>
        <w:t> </w:t>
      </w:r>
      <w:r>
        <w:rPr/>
        <w:t>of medical</w:t>
      </w:r>
      <w:r>
        <w:rPr>
          <w:spacing w:val="-14"/>
        </w:rPr>
        <w:t> </w:t>
      </w:r>
      <w:r>
        <w:rPr/>
        <w:t>education</w:t>
      </w:r>
      <w:r>
        <w:rPr>
          <w:spacing w:val="-14"/>
        </w:rPr>
        <w:t> </w:t>
      </w:r>
      <w:r>
        <w:rPr/>
        <w:t>in</w:t>
      </w:r>
      <w:r>
        <w:rPr>
          <w:spacing w:val="-14"/>
        </w:rPr>
        <w:t> </w:t>
      </w:r>
      <w:r>
        <w:rPr/>
        <w:t>India</w:t>
      </w:r>
      <w:r>
        <w:rPr>
          <w:spacing w:val="-13"/>
        </w:rPr>
        <w:t> </w:t>
      </w:r>
      <w:r>
        <w:rPr/>
        <w:t>to</w:t>
      </w:r>
      <w:r>
        <w:rPr>
          <w:spacing w:val="-14"/>
        </w:rPr>
        <w:t> </w:t>
      </w:r>
      <w:r>
        <w:rPr/>
        <w:t>international</w:t>
      </w:r>
      <w:r>
        <w:rPr>
          <w:spacing w:val="-14"/>
        </w:rPr>
        <w:t> </w:t>
      </w:r>
      <w:r>
        <w:rPr/>
        <w:t>standards.</w:t>
      </w:r>
    </w:p>
    <w:p>
      <w:pPr>
        <w:pStyle w:val="BodyText"/>
        <w:spacing w:before="24"/>
      </w:pPr>
    </w:p>
    <w:p>
      <w:pPr>
        <w:pStyle w:val="BodyText"/>
        <w:spacing w:line="266" w:lineRule="auto"/>
        <w:ind w:left="319" w:right="1077"/>
        <w:jc w:val="both"/>
      </w:pPr>
      <w:r>
        <w:rPr>
          <w:b/>
        </w:rPr>
        <w:t>Curriculum: </w:t>
      </w:r>
      <w:r>
        <w:rPr/>
        <w:t>The graduate course is 4½ years with </w:t>
      </w:r>
      <w:r>
        <w:rPr>
          <w:spacing w:val="-8"/>
        </w:rPr>
        <w:t>assessments</w:t>
      </w:r>
      <w:r>
        <w:rPr>
          <w:spacing w:val="-6"/>
        </w:rPr>
        <w:t> </w:t>
      </w:r>
      <w:r>
        <w:rPr>
          <w:spacing w:val="-8"/>
        </w:rPr>
        <w:t>in</w:t>
      </w:r>
      <w:r>
        <w:rPr>
          <w:spacing w:val="-6"/>
        </w:rPr>
        <w:t> </w:t>
      </w:r>
      <w:r>
        <w:rPr>
          <w:spacing w:val="-8"/>
        </w:rPr>
        <w:t>the</w:t>
      </w:r>
      <w:r>
        <w:rPr>
          <w:spacing w:val="-6"/>
        </w:rPr>
        <w:t> </w:t>
      </w:r>
      <w:r>
        <w:rPr>
          <w:spacing w:val="-8"/>
        </w:rPr>
        <w:t>1</w:t>
      </w:r>
      <w:r>
        <w:rPr>
          <w:spacing w:val="-8"/>
          <w:position w:val="7"/>
          <w:sz w:val="13"/>
        </w:rPr>
        <w:t>st</w:t>
      </w:r>
      <w:r>
        <w:rPr>
          <w:spacing w:val="9"/>
          <w:position w:val="7"/>
          <w:sz w:val="13"/>
        </w:rPr>
        <w:t> </w:t>
      </w:r>
      <w:r>
        <w:rPr>
          <w:spacing w:val="-8"/>
        </w:rPr>
        <w:t>year</w:t>
      </w:r>
      <w:r>
        <w:rPr>
          <w:spacing w:val="-6"/>
        </w:rPr>
        <w:t> </w:t>
      </w:r>
      <w:r>
        <w:rPr>
          <w:spacing w:val="-8"/>
        </w:rPr>
        <w:t>and</w:t>
      </w:r>
      <w:r>
        <w:rPr>
          <w:spacing w:val="-5"/>
        </w:rPr>
        <w:t> </w:t>
      </w:r>
      <w:r>
        <w:rPr>
          <w:spacing w:val="-8"/>
        </w:rPr>
        <w:t>2</w:t>
      </w:r>
      <w:r>
        <w:rPr>
          <w:spacing w:val="-8"/>
          <w:position w:val="7"/>
          <w:sz w:val="13"/>
        </w:rPr>
        <w:t>nd</w:t>
      </w:r>
      <w:r>
        <w:rPr>
          <w:spacing w:val="17"/>
          <w:position w:val="7"/>
          <w:sz w:val="13"/>
        </w:rPr>
        <w:t> </w:t>
      </w:r>
      <w:r>
        <w:rPr>
          <w:spacing w:val="-8"/>
        </w:rPr>
        <w:t>year</w:t>
      </w:r>
      <w:r>
        <w:rPr>
          <w:spacing w:val="-6"/>
        </w:rPr>
        <w:t> </w:t>
      </w:r>
      <w:r>
        <w:rPr>
          <w:spacing w:val="-8"/>
        </w:rPr>
        <w:t>and</w:t>
      </w:r>
      <w:r>
        <w:rPr>
          <w:spacing w:val="-6"/>
        </w:rPr>
        <w:t> </w:t>
      </w:r>
      <w:r>
        <w:rPr>
          <w:spacing w:val="-8"/>
        </w:rPr>
        <w:t>2½</w:t>
      </w:r>
      <w:r>
        <w:rPr>
          <w:spacing w:val="-6"/>
        </w:rPr>
        <w:t> </w:t>
      </w:r>
      <w:r>
        <w:rPr>
          <w:spacing w:val="-8"/>
        </w:rPr>
        <w:t>years</w:t>
      </w:r>
      <w:r>
        <w:rPr>
          <w:spacing w:val="-5"/>
        </w:rPr>
        <w:t> </w:t>
      </w:r>
      <w:r>
        <w:rPr>
          <w:spacing w:val="-8"/>
        </w:rPr>
        <w:t>later, </w:t>
      </w:r>
      <w:r>
        <w:rPr>
          <w:spacing w:val="-4"/>
        </w:rPr>
        <w:t>by</w:t>
      </w:r>
      <w:r>
        <w:rPr>
          <w:spacing w:val="-7"/>
        </w:rPr>
        <w:t> </w:t>
      </w:r>
      <w:r>
        <w:rPr>
          <w:spacing w:val="-4"/>
        </w:rPr>
        <w:t>internal</w:t>
      </w:r>
      <w:r>
        <w:rPr>
          <w:spacing w:val="-7"/>
        </w:rPr>
        <w:t> </w:t>
      </w:r>
      <w:r>
        <w:rPr>
          <w:spacing w:val="-4"/>
        </w:rPr>
        <w:t>and</w:t>
      </w:r>
      <w:r>
        <w:rPr>
          <w:spacing w:val="-7"/>
        </w:rPr>
        <w:t> </w:t>
      </w:r>
      <w:r>
        <w:rPr>
          <w:spacing w:val="-4"/>
        </w:rPr>
        <w:t>external</w:t>
      </w:r>
      <w:r>
        <w:rPr>
          <w:spacing w:val="-7"/>
        </w:rPr>
        <w:t> </w:t>
      </w:r>
      <w:r>
        <w:rPr>
          <w:spacing w:val="-4"/>
        </w:rPr>
        <w:t>examiners</w:t>
      </w:r>
      <w:r>
        <w:rPr>
          <w:spacing w:val="-7"/>
        </w:rPr>
        <w:t> </w:t>
      </w:r>
      <w:r>
        <w:rPr>
          <w:spacing w:val="-4"/>
        </w:rPr>
        <w:t>assessing</w:t>
      </w:r>
      <w:r>
        <w:rPr>
          <w:spacing w:val="-7"/>
        </w:rPr>
        <w:t> </w:t>
      </w:r>
      <w:r>
        <w:rPr>
          <w:spacing w:val="-4"/>
        </w:rPr>
        <w:t>theoretical </w:t>
      </w:r>
      <w:r>
        <w:rPr/>
        <w:t>knowledge acquired. Skill assessment is limited to a </w:t>
      </w:r>
      <w:r>
        <w:rPr>
          <w:spacing w:val="-4"/>
        </w:rPr>
        <w:t>case</w:t>
      </w:r>
      <w:r>
        <w:rPr>
          <w:spacing w:val="-6"/>
        </w:rPr>
        <w:t> </w:t>
      </w:r>
      <w:r>
        <w:rPr>
          <w:spacing w:val="-4"/>
        </w:rPr>
        <w:t>discussion.</w:t>
      </w:r>
      <w:r>
        <w:rPr>
          <w:spacing w:val="-6"/>
        </w:rPr>
        <w:t> </w:t>
      </w:r>
      <w:r>
        <w:rPr>
          <w:spacing w:val="-4"/>
        </w:rPr>
        <w:t>Internship</w:t>
      </w:r>
      <w:r>
        <w:rPr>
          <w:spacing w:val="-6"/>
        </w:rPr>
        <w:t> </w:t>
      </w:r>
      <w:r>
        <w:rPr>
          <w:spacing w:val="-4"/>
        </w:rPr>
        <w:t>is</w:t>
      </w:r>
      <w:r>
        <w:rPr>
          <w:spacing w:val="-6"/>
        </w:rPr>
        <w:t> </w:t>
      </w:r>
      <w:r>
        <w:rPr>
          <w:spacing w:val="-4"/>
        </w:rPr>
        <w:t>of</w:t>
      </w:r>
      <w:r>
        <w:rPr>
          <w:spacing w:val="-6"/>
        </w:rPr>
        <w:t> </w:t>
      </w:r>
      <w:r>
        <w:rPr>
          <w:spacing w:val="-4"/>
        </w:rPr>
        <w:t>1</w:t>
      </w:r>
      <w:r>
        <w:rPr>
          <w:spacing w:val="-6"/>
        </w:rPr>
        <w:t> </w:t>
      </w:r>
      <w:r>
        <w:rPr>
          <w:spacing w:val="-4"/>
        </w:rPr>
        <w:t>year</w:t>
      </w:r>
      <w:r>
        <w:rPr>
          <w:spacing w:val="-6"/>
        </w:rPr>
        <w:t> </w:t>
      </w:r>
      <w:r>
        <w:rPr>
          <w:spacing w:val="-4"/>
        </w:rPr>
        <w:t>duration</w:t>
      </w:r>
      <w:r>
        <w:rPr>
          <w:spacing w:val="-6"/>
        </w:rPr>
        <w:t> </w:t>
      </w:r>
      <w:r>
        <w:rPr>
          <w:spacing w:val="-4"/>
        </w:rPr>
        <w:t>with</w:t>
      </w:r>
      <w:r>
        <w:rPr>
          <w:spacing w:val="-6"/>
        </w:rPr>
        <w:t> </w:t>
      </w:r>
      <w:r>
        <w:rPr>
          <w:spacing w:val="-4"/>
        </w:rPr>
        <w:t>no </w:t>
      </w:r>
      <w:r>
        <w:rPr>
          <w:spacing w:val="-8"/>
        </w:rPr>
        <w:t>faculty</w:t>
      </w:r>
      <w:r>
        <w:rPr>
          <w:spacing w:val="-6"/>
        </w:rPr>
        <w:t> </w:t>
      </w:r>
      <w:r>
        <w:rPr>
          <w:spacing w:val="-8"/>
        </w:rPr>
        <w:t>supervision</w:t>
      </w:r>
      <w:r>
        <w:rPr>
          <w:spacing w:val="-6"/>
        </w:rPr>
        <w:t> </w:t>
      </w:r>
      <w:r>
        <w:rPr>
          <w:spacing w:val="-8"/>
        </w:rPr>
        <w:t>or</w:t>
      </w:r>
      <w:r>
        <w:rPr>
          <w:spacing w:val="-6"/>
        </w:rPr>
        <w:t> </w:t>
      </w:r>
      <w:r>
        <w:rPr>
          <w:spacing w:val="-8"/>
        </w:rPr>
        <w:t>system</w:t>
      </w:r>
      <w:r>
        <w:rPr>
          <w:spacing w:val="-5"/>
        </w:rPr>
        <w:t> </w:t>
      </w:r>
      <w:r>
        <w:rPr>
          <w:spacing w:val="-8"/>
        </w:rPr>
        <w:t>of</w:t>
      </w:r>
      <w:r>
        <w:rPr>
          <w:spacing w:val="-6"/>
        </w:rPr>
        <w:t> </w:t>
      </w:r>
      <w:r>
        <w:rPr>
          <w:spacing w:val="-8"/>
        </w:rPr>
        <w:t>assessment.</w:t>
      </w:r>
      <w:r>
        <w:rPr>
          <w:spacing w:val="-6"/>
        </w:rPr>
        <w:t> </w:t>
      </w:r>
      <w:r>
        <w:rPr>
          <w:spacing w:val="-8"/>
        </w:rPr>
        <w:t>The</w:t>
      </w:r>
      <w:r>
        <w:rPr>
          <w:spacing w:val="-6"/>
        </w:rPr>
        <w:t> </w:t>
      </w:r>
      <w:r>
        <w:rPr>
          <w:spacing w:val="-8"/>
        </w:rPr>
        <w:t>graduate acquires</w:t>
      </w:r>
      <w:r>
        <w:rPr/>
        <w:t> </w:t>
      </w:r>
      <w:r>
        <w:rPr>
          <w:spacing w:val="-8"/>
        </w:rPr>
        <w:t>unsupervised</w:t>
      </w:r>
      <w:r>
        <w:rPr/>
        <w:t> </w:t>
      </w:r>
      <w:r>
        <w:rPr>
          <w:spacing w:val="-8"/>
        </w:rPr>
        <w:t>clinical</w:t>
      </w:r>
      <w:r>
        <w:rPr/>
        <w:t> </w:t>
      </w:r>
      <w:r>
        <w:rPr>
          <w:spacing w:val="-8"/>
        </w:rPr>
        <w:t>skills</w:t>
      </w:r>
      <w:r>
        <w:rPr/>
        <w:t> </w:t>
      </w:r>
      <w:r>
        <w:rPr>
          <w:spacing w:val="-8"/>
        </w:rPr>
        <w:t>after</w:t>
      </w:r>
      <w:r>
        <w:rPr/>
        <w:t> </w:t>
      </w:r>
      <w:r>
        <w:rPr>
          <w:spacing w:val="-8"/>
        </w:rPr>
        <w:t>leaving</w:t>
      </w:r>
      <w:r>
        <w:rPr/>
        <w:t> </w:t>
      </w:r>
      <w:r>
        <w:rPr>
          <w:spacing w:val="-8"/>
        </w:rPr>
        <w:t>medical </w:t>
      </w:r>
      <w:r>
        <w:rPr>
          <w:spacing w:val="-4"/>
        </w:rPr>
        <w:t>school</w:t>
      </w:r>
      <w:r>
        <w:rPr>
          <w:spacing w:val="-5"/>
        </w:rPr>
        <w:t> </w:t>
      </w:r>
      <w:r>
        <w:rPr>
          <w:spacing w:val="-4"/>
        </w:rPr>
        <w:t>and</w:t>
      </w:r>
      <w:r>
        <w:rPr>
          <w:spacing w:val="-6"/>
        </w:rPr>
        <w:t> </w:t>
      </w:r>
      <w:r>
        <w:rPr>
          <w:spacing w:val="-4"/>
        </w:rPr>
        <w:t>before</w:t>
      </w:r>
      <w:r>
        <w:rPr>
          <w:spacing w:val="-5"/>
        </w:rPr>
        <w:t> </w:t>
      </w:r>
      <w:r>
        <w:rPr>
          <w:spacing w:val="-4"/>
        </w:rPr>
        <w:t>entering</w:t>
      </w:r>
      <w:r>
        <w:rPr>
          <w:spacing w:val="-6"/>
        </w:rPr>
        <w:t> </w:t>
      </w:r>
      <w:r>
        <w:rPr>
          <w:spacing w:val="-4"/>
        </w:rPr>
        <w:t>general</w:t>
      </w:r>
      <w:r>
        <w:rPr>
          <w:spacing w:val="-5"/>
        </w:rPr>
        <w:t> </w:t>
      </w:r>
      <w:r>
        <w:rPr>
          <w:spacing w:val="-4"/>
        </w:rPr>
        <w:t>practice.</w:t>
      </w:r>
      <w:r>
        <w:rPr>
          <w:spacing w:val="-6"/>
        </w:rPr>
        <w:t> </w:t>
      </w:r>
      <w:r>
        <w:rPr>
          <w:spacing w:val="-4"/>
        </w:rPr>
        <w:t>Only</w:t>
      </w:r>
      <w:r>
        <w:rPr>
          <w:spacing w:val="-5"/>
        </w:rPr>
        <w:t> </w:t>
      </w:r>
      <w:r>
        <w:rPr>
          <w:spacing w:val="-4"/>
        </w:rPr>
        <w:t>about </w:t>
      </w:r>
      <w:r>
        <w:rPr/>
        <w:t>five</w:t>
      </w:r>
      <w:r>
        <w:rPr>
          <w:spacing w:val="-3"/>
        </w:rPr>
        <w:t> </w:t>
      </w:r>
      <w:r>
        <w:rPr/>
        <w:t>thousand</w:t>
      </w:r>
      <w:r>
        <w:rPr>
          <w:spacing w:val="-3"/>
        </w:rPr>
        <w:t> </w:t>
      </w:r>
      <w:r>
        <w:rPr/>
        <w:t>can</w:t>
      </w:r>
      <w:r>
        <w:rPr>
          <w:spacing w:val="-3"/>
        </w:rPr>
        <w:t> </w:t>
      </w:r>
      <w:r>
        <w:rPr/>
        <w:t>get</w:t>
      </w:r>
      <w:r>
        <w:rPr>
          <w:spacing w:val="-3"/>
        </w:rPr>
        <w:t> </w:t>
      </w:r>
      <w:r>
        <w:rPr/>
        <w:t>a</w:t>
      </w:r>
      <w:r>
        <w:rPr>
          <w:spacing w:val="-3"/>
        </w:rPr>
        <w:t> </w:t>
      </w:r>
      <w:r>
        <w:rPr/>
        <w:t>postgraduate</w:t>
      </w:r>
      <w:r>
        <w:rPr>
          <w:spacing w:val="-3"/>
        </w:rPr>
        <w:t> </w:t>
      </w:r>
      <w:r>
        <w:rPr/>
        <w:t>seat</w:t>
      </w:r>
      <w:r>
        <w:rPr>
          <w:spacing w:val="-3"/>
        </w:rPr>
        <w:t> </w:t>
      </w:r>
      <w:r>
        <w:rPr/>
        <w:t>and</w:t>
      </w:r>
      <w:r>
        <w:rPr>
          <w:spacing w:val="-3"/>
        </w:rPr>
        <w:t> </w:t>
      </w:r>
      <w:r>
        <w:rPr/>
        <w:t>then</w:t>
      </w:r>
      <w:r>
        <w:rPr>
          <w:spacing w:val="-3"/>
        </w:rPr>
        <w:t> </w:t>
      </w:r>
      <w:r>
        <w:rPr/>
        <w:t>go through</w:t>
      </w:r>
      <w:r>
        <w:rPr>
          <w:spacing w:val="-12"/>
        </w:rPr>
        <w:t> </w:t>
      </w:r>
      <w:r>
        <w:rPr/>
        <w:t>a</w:t>
      </w:r>
      <w:r>
        <w:rPr>
          <w:spacing w:val="-12"/>
        </w:rPr>
        <w:t> </w:t>
      </w:r>
      <w:r>
        <w:rPr/>
        <w:t>graded</w:t>
      </w:r>
      <w:r>
        <w:rPr>
          <w:spacing w:val="-12"/>
        </w:rPr>
        <w:t> </w:t>
      </w:r>
      <w:r>
        <w:rPr/>
        <w:t>clinical</w:t>
      </w:r>
      <w:r>
        <w:rPr>
          <w:spacing w:val="-12"/>
        </w:rPr>
        <w:t> </w:t>
      </w:r>
      <w:r>
        <w:rPr/>
        <w:t>responsibility.</w:t>
      </w:r>
      <w:r>
        <w:rPr>
          <w:spacing w:val="-12"/>
        </w:rPr>
        <w:t> </w:t>
      </w:r>
      <w:r>
        <w:rPr/>
        <w:t>It</w:t>
      </w:r>
      <w:r>
        <w:rPr>
          <w:spacing w:val="-12"/>
        </w:rPr>
        <w:t> </w:t>
      </w:r>
      <w:r>
        <w:rPr/>
        <w:t>is</w:t>
      </w:r>
      <w:r>
        <w:rPr>
          <w:spacing w:val="-12"/>
        </w:rPr>
        <w:t> </w:t>
      </w:r>
      <w:r>
        <w:rPr/>
        <w:t>therefore not surprising that a series of studies conducted by </w:t>
      </w:r>
      <w:r>
        <w:rPr>
          <w:spacing w:val="-4"/>
        </w:rPr>
        <w:t>AIIMS</w:t>
      </w:r>
      <w:r>
        <w:rPr>
          <w:spacing w:val="-6"/>
        </w:rPr>
        <w:t> </w:t>
      </w:r>
      <w:r>
        <w:rPr>
          <w:spacing w:val="-4"/>
        </w:rPr>
        <w:t>and</w:t>
      </w:r>
      <w:r>
        <w:rPr>
          <w:spacing w:val="-5"/>
        </w:rPr>
        <w:t> </w:t>
      </w:r>
      <w:r>
        <w:rPr>
          <w:spacing w:val="-4"/>
        </w:rPr>
        <w:t>a</w:t>
      </w:r>
      <w:r>
        <w:rPr>
          <w:spacing w:val="-5"/>
        </w:rPr>
        <w:t> </w:t>
      </w:r>
      <w:r>
        <w:rPr>
          <w:spacing w:val="-4"/>
        </w:rPr>
        <w:t>consortium</w:t>
      </w:r>
      <w:r>
        <w:rPr>
          <w:spacing w:val="-5"/>
        </w:rPr>
        <w:t> </w:t>
      </w:r>
      <w:r>
        <w:rPr>
          <w:spacing w:val="-4"/>
        </w:rPr>
        <w:t>of</w:t>
      </w:r>
      <w:r>
        <w:rPr>
          <w:spacing w:val="-6"/>
        </w:rPr>
        <w:t> </w:t>
      </w:r>
      <w:r>
        <w:rPr>
          <w:spacing w:val="-4"/>
        </w:rPr>
        <w:t>16</w:t>
      </w:r>
      <w:r>
        <w:rPr>
          <w:spacing w:val="-5"/>
        </w:rPr>
        <w:t> </w:t>
      </w:r>
      <w:r>
        <w:rPr>
          <w:spacing w:val="-4"/>
        </w:rPr>
        <w:t>medical</w:t>
      </w:r>
      <w:r>
        <w:rPr>
          <w:spacing w:val="-5"/>
        </w:rPr>
        <w:t> </w:t>
      </w:r>
      <w:r>
        <w:rPr>
          <w:spacing w:val="-4"/>
        </w:rPr>
        <w:t>colleges</w:t>
      </w:r>
      <w:r>
        <w:rPr>
          <w:spacing w:val="-5"/>
        </w:rPr>
        <w:t> </w:t>
      </w:r>
      <w:r>
        <w:rPr>
          <w:spacing w:val="-4"/>
        </w:rPr>
        <w:t>during</w:t>
      </w:r>
    </w:p>
    <w:p>
      <w:pPr>
        <w:spacing w:after="0" w:line="266" w:lineRule="auto"/>
        <w:jc w:val="both"/>
        <w:sectPr>
          <w:pgSz w:w="11910" w:h="16840"/>
          <w:pgMar w:header="0" w:footer="675" w:top="960" w:bottom="860" w:left="0" w:right="0"/>
          <w:cols w:num="2" w:equalWidth="0">
            <w:col w:w="5774" w:space="40"/>
            <w:col w:w="6096"/>
          </w:cols>
        </w:sectPr>
      </w:pPr>
    </w:p>
    <w:p>
      <w:pPr>
        <w:pStyle w:val="Heading8"/>
        <w:spacing w:before="272"/>
        <w:ind w:left="1995"/>
      </w:pPr>
      <w:r>
        <w:rPr>
          <w:spacing w:val="-10"/>
        </w:rPr>
        <w:t>Figure</w:t>
      </w:r>
      <w:r>
        <w:rPr/>
        <w:t> </w:t>
      </w:r>
      <w:r>
        <w:rPr>
          <w:spacing w:val="-10"/>
        </w:rPr>
        <w:t>31:</w:t>
      </w:r>
      <w:r>
        <w:rPr>
          <w:spacing w:val="1"/>
        </w:rPr>
        <w:t> </w:t>
      </w:r>
      <w:r>
        <w:rPr>
          <w:color w:val="2E614A"/>
          <w:spacing w:val="-10"/>
        </w:rPr>
        <w:t>Growth</w:t>
      </w:r>
      <w:r>
        <w:rPr>
          <w:color w:val="2E614A"/>
          <w:spacing w:val="1"/>
        </w:rPr>
        <w:t> </w:t>
      </w:r>
      <w:r>
        <w:rPr>
          <w:color w:val="2E614A"/>
          <w:spacing w:val="-10"/>
        </w:rPr>
        <w:t>of</w:t>
      </w:r>
      <w:r>
        <w:rPr>
          <w:color w:val="2E614A"/>
          <w:spacing w:val="1"/>
        </w:rPr>
        <w:t> </w:t>
      </w:r>
      <w:r>
        <w:rPr>
          <w:color w:val="2E614A"/>
          <w:spacing w:val="-10"/>
        </w:rPr>
        <w:t>AYUSH</w:t>
      </w:r>
      <w:r>
        <w:rPr>
          <w:color w:val="2E614A"/>
          <w:spacing w:val="1"/>
        </w:rPr>
        <w:t> </w:t>
      </w:r>
      <w:r>
        <w:rPr>
          <w:color w:val="2E614A"/>
          <w:spacing w:val="-10"/>
        </w:rPr>
        <w:t>colleges</w:t>
      </w:r>
      <w:r>
        <w:rPr>
          <w:color w:val="2E614A"/>
          <w:spacing w:val="1"/>
        </w:rPr>
        <w:t> </w:t>
      </w:r>
      <w:r>
        <w:rPr>
          <w:color w:val="2E614A"/>
          <w:spacing w:val="-10"/>
        </w:rPr>
        <w:t>in</w:t>
      </w:r>
      <w:r>
        <w:rPr>
          <w:color w:val="2E614A"/>
          <w:spacing w:val="1"/>
        </w:rPr>
        <w:t> </w:t>
      </w:r>
      <w:r>
        <w:rPr>
          <w:color w:val="2E614A"/>
          <w:spacing w:val="-10"/>
        </w:rPr>
        <w:t>India</w:t>
      </w:r>
    </w:p>
    <w:p>
      <w:pPr>
        <w:pStyle w:val="BodyText"/>
        <w:rPr>
          <w:b/>
          <w:sz w:val="11"/>
        </w:rPr>
      </w:pPr>
      <w:r>
        <w:rPr/>
        <mc:AlternateContent>
          <mc:Choice Requires="wps">
            <w:drawing>
              <wp:anchor distT="0" distB="0" distL="0" distR="0" allowOverlap="1" layoutInCell="1" locked="0" behindDoc="1" simplePos="0" relativeHeight="487699968">
                <wp:simplePos x="0" y="0"/>
                <wp:positionH relativeFrom="page">
                  <wp:posOffset>1273499</wp:posOffset>
                </wp:positionH>
                <wp:positionV relativeFrom="paragraph">
                  <wp:posOffset>95978</wp:posOffset>
                </wp:positionV>
                <wp:extent cx="5039360" cy="2307590"/>
                <wp:effectExtent l="0" t="0" r="0" b="0"/>
                <wp:wrapTopAndBottom/>
                <wp:docPr id="1690" name="Group 1690"/>
                <wp:cNvGraphicFramePr>
                  <a:graphicFrameLocks/>
                </wp:cNvGraphicFramePr>
                <a:graphic>
                  <a:graphicData uri="http://schemas.microsoft.com/office/word/2010/wordprocessingGroup">
                    <wpg:wgp>
                      <wpg:cNvPr id="1690" name="Group 1690"/>
                      <wpg:cNvGrpSpPr/>
                      <wpg:grpSpPr>
                        <a:xfrm>
                          <a:off x="0" y="0"/>
                          <a:ext cx="5039360" cy="2307590"/>
                          <a:chExt cx="5039360" cy="2307590"/>
                        </a:xfrm>
                      </wpg:grpSpPr>
                      <wps:wsp>
                        <wps:cNvPr id="1691" name="Graphic 1691"/>
                        <wps:cNvSpPr/>
                        <wps:spPr>
                          <a:xfrm>
                            <a:off x="641330" y="491172"/>
                            <a:ext cx="4060190" cy="1469390"/>
                          </a:xfrm>
                          <a:custGeom>
                            <a:avLst/>
                            <a:gdLst/>
                            <a:ahLst/>
                            <a:cxnLst/>
                            <a:rect l="l" t="t" r="r" b="b"/>
                            <a:pathLst>
                              <a:path w="4060190" h="1469390">
                                <a:moveTo>
                                  <a:pt x="378612" y="828979"/>
                                </a:moveTo>
                                <a:lnTo>
                                  <a:pt x="0" y="828979"/>
                                </a:lnTo>
                                <a:lnTo>
                                  <a:pt x="0" y="1469085"/>
                                </a:lnTo>
                                <a:lnTo>
                                  <a:pt x="378612" y="1469085"/>
                                </a:lnTo>
                                <a:lnTo>
                                  <a:pt x="378612" y="828979"/>
                                </a:lnTo>
                                <a:close/>
                              </a:path>
                              <a:path w="4060190" h="1469390">
                                <a:moveTo>
                                  <a:pt x="1293596" y="661085"/>
                                </a:moveTo>
                                <a:lnTo>
                                  <a:pt x="925499" y="661085"/>
                                </a:lnTo>
                                <a:lnTo>
                                  <a:pt x="925499" y="1469085"/>
                                </a:lnTo>
                                <a:lnTo>
                                  <a:pt x="1293596" y="1469085"/>
                                </a:lnTo>
                                <a:lnTo>
                                  <a:pt x="1293596" y="661085"/>
                                </a:lnTo>
                                <a:close/>
                              </a:path>
                              <a:path w="4060190" h="1469390">
                                <a:moveTo>
                                  <a:pt x="2219109" y="157391"/>
                                </a:moveTo>
                                <a:lnTo>
                                  <a:pt x="1840484" y="157391"/>
                                </a:lnTo>
                                <a:lnTo>
                                  <a:pt x="1840484" y="1469085"/>
                                </a:lnTo>
                                <a:lnTo>
                                  <a:pt x="2219109" y="1469085"/>
                                </a:lnTo>
                                <a:lnTo>
                                  <a:pt x="2219109" y="157391"/>
                                </a:lnTo>
                                <a:close/>
                              </a:path>
                              <a:path w="4060190" h="1469390">
                                <a:moveTo>
                                  <a:pt x="3134106" y="157391"/>
                                </a:moveTo>
                                <a:lnTo>
                                  <a:pt x="2765983" y="157391"/>
                                </a:lnTo>
                                <a:lnTo>
                                  <a:pt x="2765983" y="1469085"/>
                                </a:lnTo>
                                <a:lnTo>
                                  <a:pt x="3134106" y="1469085"/>
                                </a:lnTo>
                                <a:lnTo>
                                  <a:pt x="3134106" y="157391"/>
                                </a:lnTo>
                                <a:close/>
                              </a:path>
                              <a:path w="4060190" h="1469390">
                                <a:moveTo>
                                  <a:pt x="4059593" y="0"/>
                                </a:moveTo>
                                <a:lnTo>
                                  <a:pt x="3680968" y="0"/>
                                </a:lnTo>
                                <a:lnTo>
                                  <a:pt x="3680968" y="1469085"/>
                                </a:lnTo>
                                <a:lnTo>
                                  <a:pt x="4059593" y="1469085"/>
                                </a:lnTo>
                                <a:lnTo>
                                  <a:pt x="4059593" y="0"/>
                                </a:lnTo>
                                <a:close/>
                              </a:path>
                            </a:pathLst>
                          </a:custGeom>
                          <a:solidFill>
                            <a:srgbClr val="2F7D41"/>
                          </a:solidFill>
                        </wps:spPr>
                        <wps:bodyPr wrap="square" lIns="0" tIns="0" rIns="0" bIns="0" rtlCol="0">
                          <a:prstTxWarp prst="textNoShape">
                            <a:avLst/>
                          </a:prstTxWarp>
                          <a:noAutofit/>
                        </wps:bodyPr>
                      </wps:wsp>
                      <wps:wsp>
                        <wps:cNvPr id="1692" name="Graphic 1692"/>
                        <wps:cNvSpPr/>
                        <wps:spPr>
                          <a:xfrm>
                            <a:off x="-6" y="0"/>
                            <a:ext cx="5039360" cy="2307590"/>
                          </a:xfrm>
                          <a:custGeom>
                            <a:avLst/>
                            <a:gdLst/>
                            <a:ahLst/>
                            <a:cxnLst/>
                            <a:rect l="l" t="t" r="r" b="b"/>
                            <a:pathLst>
                              <a:path w="5039360" h="2307590">
                                <a:moveTo>
                                  <a:pt x="4977574" y="1957082"/>
                                </a:moveTo>
                                <a:lnTo>
                                  <a:pt x="4977574" y="1957082"/>
                                </a:lnTo>
                                <a:lnTo>
                                  <a:pt x="371068" y="1957082"/>
                                </a:lnTo>
                                <a:lnTo>
                                  <a:pt x="371068" y="299110"/>
                                </a:lnTo>
                                <a:lnTo>
                                  <a:pt x="364718" y="299110"/>
                                </a:lnTo>
                                <a:lnTo>
                                  <a:pt x="322643" y="299110"/>
                                </a:lnTo>
                                <a:lnTo>
                                  <a:pt x="322643" y="305460"/>
                                </a:lnTo>
                                <a:lnTo>
                                  <a:pt x="364718" y="305460"/>
                                </a:lnTo>
                                <a:lnTo>
                                  <a:pt x="364718" y="540461"/>
                                </a:lnTo>
                                <a:lnTo>
                                  <a:pt x="322643" y="540461"/>
                                </a:lnTo>
                                <a:lnTo>
                                  <a:pt x="322643" y="546811"/>
                                </a:lnTo>
                                <a:lnTo>
                                  <a:pt x="364718" y="546811"/>
                                </a:lnTo>
                                <a:lnTo>
                                  <a:pt x="364718" y="771321"/>
                                </a:lnTo>
                                <a:lnTo>
                                  <a:pt x="322643" y="771321"/>
                                </a:lnTo>
                                <a:lnTo>
                                  <a:pt x="322643" y="777671"/>
                                </a:lnTo>
                                <a:lnTo>
                                  <a:pt x="364718" y="777671"/>
                                </a:lnTo>
                                <a:lnTo>
                                  <a:pt x="364718" y="1012672"/>
                                </a:lnTo>
                                <a:lnTo>
                                  <a:pt x="322643" y="1012672"/>
                                </a:lnTo>
                                <a:lnTo>
                                  <a:pt x="322643" y="1019022"/>
                                </a:lnTo>
                                <a:lnTo>
                                  <a:pt x="364718" y="1019022"/>
                                </a:lnTo>
                                <a:lnTo>
                                  <a:pt x="364718" y="1243533"/>
                                </a:lnTo>
                                <a:lnTo>
                                  <a:pt x="322643" y="1243533"/>
                                </a:lnTo>
                                <a:lnTo>
                                  <a:pt x="322643" y="1249883"/>
                                </a:lnTo>
                                <a:lnTo>
                                  <a:pt x="364718" y="1249883"/>
                                </a:lnTo>
                                <a:lnTo>
                                  <a:pt x="364718" y="1484871"/>
                                </a:lnTo>
                                <a:lnTo>
                                  <a:pt x="322643" y="1484871"/>
                                </a:lnTo>
                                <a:lnTo>
                                  <a:pt x="322643" y="1491221"/>
                                </a:lnTo>
                                <a:lnTo>
                                  <a:pt x="364718" y="1491221"/>
                                </a:lnTo>
                                <a:lnTo>
                                  <a:pt x="364718" y="1715731"/>
                                </a:lnTo>
                                <a:lnTo>
                                  <a:pt x="322643" y="1715731"/>
                                </a:lnTo>
                                <a:lnTo>
                                  <a:pt x="322643" y="1722081"/>
                                </a:lnTo>
                                <a:lnTo>
                                  <a:pt x="364718" y="1722081"/>
                                </a:lnTo>
                                <a:lnTo>
                                  <a:pt x="364718" y="1957082"/>
                                </a:lnTo>
                                <a:lnTo>
                                  <a:pt x="322643" y="1957082"/>
                                </a:lnTo>
                                <a:lnTo>
                                  <a:pt x="322643" y="1963432"/>
                                </a:lnTo>
                                <a:lnTo>
                                  <a:pt x="364718" y="1963432"/>
                                </a:lnTo>
                                <a:lnTo>
                                  <a:pt x="364718" y="2005406"/>
                                </a:lnTo>
                                <a:lnTo>
                                  <a:pt x="371068" y="2005406"/>
                                </a:lnTo>
                                <a:lnTo>
                                  <a:pt x="371068" y="1963432"/>
                                </a:lnTo>
                                <a:lnTo>
                                  <a:pt x="1290218" y="1963432"/>
                                </a:lnTo>
                                <a:lnTo>
                                  <a:pt x="1290218" y="2005406"/>
                                </a:lnTo>
                                <a:lnTo>
                                  <a:pt x="1296568" y="2005406"/>
                                </a:lnTo>
                                <a:lnTo>
                                  <a:pt x="1296568" y="1963432"/>
                                </a:lnTo>
                                <a:lnTo>
                                  <a:pt x="2205215" y="1963432"/>
                                </a:lnTo>
                                <a:lnTo>
                                  <a:pt x="2205215" y="2005406"/>
                                </a:lnTo>
                                <a:lnTo>
                                  <a:pt x="2211565" y="2005406"/>
                                </a:lnTo>
                                <a:lnTo>
                                  <a:pt x="2211565" y="1963432"/>
                                </a:lnTo>
                                <a:lnTo>
                                  <a:pt x="3130715" y="1963432"/>
                                </a:lnTo>
                                <a:lnTo>
                                  <a:pt x="3130715" y="2005406"/>
                                </a:lnTo>
                                <a:lnTo>
                                  <a:pt x="3137065" y="2005406"/>
                                </a:lnTo>
                                <a:lnTo>
                                  <a:pt x="3137065" y="1963432"/>
                                </a:lnTo>
                                <a:lnTo>
                                  <a:pt x="4045712" y="1963432"/>
                                </a:lnTo>
                                <a:lnTo>
                                  <a:pt x="4045712" y="2005406"/>
                                </a:lnTo>
                                <a:lnTo>
                                  <a:pt x="4052062" y="2005406"/>
                                </a:lnTo>
                                <a:lnTo>
                                  <a:pt x="4052062" y="1963432"/>
                                </a:lnTo>
                                <a:lnTo>
                                  <a:pt x="4971224" y="1963432"/>
                                </a:lnTo>
                                <a:lnTo>
                                  <a:pt x="4971224" y="2005406"/>
                                </a:lnTo>
                                <a:lnTo>
                                  <a:pt x="4977574" y="2005406"/>
                                </a:lnTo>
                                <a:lnTo>
                                  <a:pt x="4977574" y="1957082"/>
                                </a:lnTo>
                                <a:close/>
                              </a:path>
                              <a:path w="5039360" h="2307590">
                                <a:moveTo>
                                  <a:pt x="5039055" y="0"/>
                                </a:moveTo>
                                <a:lnTo>
                                  <a:pt x="5032705" y="0"/>
                                </a:lnTo>
                                <a:lnTo>
                                  <a:pt x="5032705" y="6781"/>
                                </a:lnTo>
                                <a:lnTo>
                                  <a:pt x="5032705" y="2300871"/>
                                </a:lnTo>
                                <a:lnTo>
                                  <a:pt x="6350" y="2300871"/>
                                </a:lnTo>
                                <a:lnTo>
                                  <a:pt x="6350" y="6781"/>
                                </a:lnTo>
                                <a:lnTo>
                                  <a:pt x="5032705" y="6781"/>
                                </a:lnTo>
                                <a:lnTo>
                                  <a:pt x="5032705" y="0"/>
                                </a:lnTo>
                                <a:lnTo>
                                  <a:pt x="0" y="0"/>
                                </a:lnTo>
                                <a:lnTo>
                                  <a:pt x="0" y="3810"/>
                                </a:lnTo>
                                <a:lnTo>
                                  <a:pt x="0" y="6350"/>
                                </a:lnTo>
                                <a:lnTo>
                                  <a:pt x="0" y="2301240"/>
                                </a:lnTo>
                                <a:lnTo>
                                  <a:pt x="0" y="2303780"/>
                                </a:lnTo>
                                <a:lnTo>
                                  <a:pt x="0" y="2307590"/>
                                </a:lnTo>
                                <a:lnTo>
                                  <a:pt x="5039055" y="2307590"/>
                                </a:lnTo>
                                <a:lnTo>
                                  <a:pt x="5039055" y="3606"/>
                                </a:lnTo>
                                <a:lnTo>
                                  <a:pt x="5039055" y="0"/>
                                </a:lnTo>
                                <a:close/>
                              </a:path>
                            </a:pathLst>
                          </a:custGeom>
                          <a:solidFill>
                            <a:srgbClr val="000000"/>
                          </a:solidFill>
                        </wps:spPr>
                        <wps:bodyPr wrap="square" lIns="0" tIns="0" rIns="0" bIns="0" rtlCol="0">
                          <a:prstTxWarp prst="textNoShape">
                            <a:avLst/>
                          </a:prstTxWarp>
                          <a:noAutofit/>
                        </wps:bodyPr>
                      </wps:wsp>
                      <wps:wsp>
                        <wps:cNvPr id="1693" name="Textbox 1693"/>
                        <wps:cNvSpPr txBox="1"/>
                        <wps:spPr>
                          <a:xfrm>
                            <a:off x="3460662" y="2011229"/>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2003-</w:t>
                              </w:r>
                              <w:r>
                                <w:rPr>
                                  <w:rFonts w:ascii="Arial MT"/>
                                  <w:spacing w:val="-5"/>
                                  <w:w w:val="90"/>
                                  <w:sz w:val="14"/>
                                </w:rPr>
                                <w:t>04</w:t>
                              </w:r>
                            </w:p>
                          </w:txbxContent>
                        </wps:txbx>
                        <wps:bodyPr wrap="square" lIns="0" tIns="0" rIns="0" bIns="0" rtlCol="0">
                          <a:noAutofit/>
                        </wps:bodyPr>
                      </wps:wsp>
                      <wps:wsp>
                        <wps:cNvPr id="1694" name="Textbox 1694"/>
                        <wps:cNvSpPr txBox="1"/>
                        <wps:spPr>
                          <a:xfrm>
                            <a:off x="4381412" y="2011229"/>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2004-</w:t>
                              </w:r>
                              <w:r>
                                <w:rPr>
                                  <w:rFonts w:ascii="Arial MT"/>
                                  <w:spacing w:val="-5"/>
                                  <w:w w:val="90"/>
                                  <w:sz w:val="14"/>
                                </w:rPr>
                                <w:t>05</w:t>
                              </w:r>
                            </w:p>
                          </w:txbxContent>
                        </wps:txbx>
                        <wps:bodyPr wrap="square" lIns="0" tIns="0" rIns="0" bIns="0" rtlCol="0">
                          <a:noAutofit/>
                        </wps:bodyPr>
                      </wps:wsp>
                      <wps:wsp>
                        <wps:cNvPr id="1695" name="Textbox 1695"/>
                        <wps:cNvSpPr txBox="1"/>
                        <wps:spPr>
                          <a:xfrm>
                            <a:off x="154920" y="49184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440</w:t>
                              </w:r>
                            </w:p>
                          </w:txbxContent>
                        </wps:txbx>
                        <wps:bodyPr wrap="square" lIns="0" tIns="0" rIns="0" bIns="0" rtlCol="0">
                          <a:noAutofit/>
                        </wps:bodyPr>
                      </wps:wsp>
                      <wps:wsp>
                        <wps:cNvPr id="1696" name="Textbox 1696"/>
                        <wps:cNvSpPr txBox="1"/>
                        <wps:spPr>
                          <a:xfrm>
                            <a:off x="2546262" y="2011229"/>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2002-</w:t>
                              </w:r>
                              <w:r>
                                <w:rPr>
                                  <w:rFonts w:ascii="Arial MT"/>
                                  <w:spacing w:val="-5"/>
                                  <w:w w:val="90"/>
                                  <w:sz w:val="14"/>
                                </w:rPr>
                                <w:t>03</w:t>
                              </w:r>
                            </w:p>
                          </w:txbxContent>
                        </wps:txbx>
                        <wps:bodyPr wrap="square" lIns="0" tIns="0" rIns="0" bIns="0" rtlCol="0">
                          <a:noAutofit/>
                        </wps:bodyPr>
                      </wps:wsp>
                      <wps:wsp>
                        <wps:cNvPr id="1697" name="Textbox 1697"/>
                        <wps:cNvSpPr txBox="1"/>
                        <wps:spPr>
                          <a:xfrm>
                            <a:off x="1606462" y="2011229"/>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2001-</w:t>
                              </w:r>
                              <w:r>
                                <w:rPr>
                                  <w:rFonts w:ascii="Arial MT"/>
                                  <w:spacing w:val="-5"/>
                                  <w:w w:val="90"/>
                                  <w:sz w:val="14"/>
                                </w:rPr>
                                <w:t>02</w:t>
                              </w:r>
                            </w:p>
                          </w:txbxContent>
                        </wps:txbx>
                        <wps:bodyPr wrap="square" lIns="0" tIns="0" rIns="0" bIns="0" rtlCol="0">
                          <a:noAutofit/>
                        </wps:bodyPr>
                      </wps:wsp>
                      <wps:wsp>
                        <wps:cNvPr id="1698" name="Textbox 1698"/>
                        <wps:cNvSpPr txBox="1"/>
                        <wps:spPr>
                          <a:xfrm>
                            <a:off x="685712" y="2011229"/>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2000-</w:t>
                              </w:r>
                              <w:r>
                                <w:rPr>
                                  <w:rFonts w:ascii="Arial MT"/>
                                  <w:spacing w:val="-5"/>
                                  <w:w w:val="90"/>
                                  <w:sz w:val="14"/>
                                </w:rPr>
                                <w:t>01</w:t>
                              </w:r>
                            </w:p>
                          </w:txbxContent>
                        </wps:txbx>
                        <wps:bodyPr wrap="square" lIns="0" tIns="0" rIns="0" bIns="0" rtlCol="0">
                          <a:noAutofit/>
                        </wps:bodyPr>
                      </wps:wsp>
                      <wps:wsp>
                        <wps:cNvPr id="1699" name="Textbox 1699"/>
                        <wps:cNvSpPr txBox="1"/>
                        <wps:spPr>
                          <a:xfrm>
                            <a:off x="154920" y="1431645"/>
                            <a:ext cx="134620" cy="5721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360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340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320</w:t>
                              </w:r>
                            </w:p>
                          </w:txbxContent>
                        </wps:txbx>
                        <wps:bodyPr wrap="square" lIns="0" tIns="0" rIns="0" bIns="0" rtlCol="0">
                          <a:noAutofit/>
                        </wps:bodyPr>
                      </wps:wsp>
                      <wps:wsp>
                        <wps:cNvPr id="1700" name="Textbox 1700"/>
                        <wps:cNvSpPr txBox="1"/>
                        <wps:spPr>
                          <a:xfrm>
                            <a:off x="758660" y="1198294"/>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374</w:t>
                              </w:r>
                            </w:p>
                          </w:txbxContent>
                        </wps:txbx>
                        <wps:bodyPr wrap="square" lIns="0" tIns="0" rIns="0" bIns="0" rtlCol="0">
                          <a:noAutofit/>
                        </wps:bodyPr>
                      </wps:wsp>
                      <wps:wsp>
                        <wps:cNvPr id="1701" name="Textbox 1701"/>
                        <wps:cNvSpPr txBox="1"/>
                        <wps:spPr>
                          <a:xfrm>
                            <a:off x="154920" y="119669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380</w:t>
                              </w:r>
                            </w:p>
                          </w:txbxContent>
                        </wps:txbx>
                        <wps:bodyPr wrap="square" lIns="0" tIns="0" rIns="0" bIns="0" rtlCol="0">
                          <a:noAutofit/>
                        </wps:bodyPr>
                      </wps:wsp>
                      <wps:wsp>
                        <wps:cNvPr id="1702" name="Textbox 1702"/>
                        <wps:cNvSpPr txBox="1"/>
                        <wps:spPr>
                          <a:xfrm>
                            <a:off x="1692110" y="104589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388</w:t>
                              </w:r>
                            </w:p>
                          </w:txbxContent>
                        </wps:txbx>
                        <wps:bodyPr wrap="square" lIns="0" tIns="0" rIns="0" bIns="0" rtlCol="0">
                          <a:noAutofit/>
                        </wps:bodyPr>
                      </wps:wsp>
                      <wps:wsp>
                        <wps:cNvPr id="1703" name="Textbox 1703"/>
                        <wps:cNvSpPr txBox="1"/>
                        <wps:spPr>
                          <a:xfrm>
                            <a:off x="154920" y="726795"/>
                            <a:ext cx="134620" cy="33718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420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400</w:t>
                              </w:r>
                            </w:p>
                          </w:txbxContent>
                        </wps:txbx>
                        <wps:bodyPr wrap="square" lIns="0" tIns="0" rIns="0" bIns="0" rtlCol="0">
                          <a:noAutofit/>
                        </wps:bodyPr>
                      </wps:wsp>
                      <wps:wsp>
                        <wps:cNvPr id="1704" name="Textbox 1704"/>
                        <wps:cNvSpPr txBox="1"/>
                        <wps:spPr>
                          <a:xfrm>
                            <a:off x="3532560" y="52994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431</w:t>
                              </w:r>
                            </w:p>
                          </w:txbxContent>
                        </wps:txbx>
                        <wps:bodyPr wrap="square" lIns="0" tIns="0" rIns="0" bIns="0" rtlCol="0">
                          <a:noAutofit/>
                        </wps:bodyPr>
                      </wps:wsp>
                      <wps:wsp>
                        <wps:cNvPr id="1705" name="Textbox 1705"/>
                        <wps:cNvSpPr txBox="1"/>
                        <wps:spPr>
                          <a:xfrm>
                            <a:off x="2606510" y="52994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431</w:t>
                              </w:r>
                            </w:p>
                          </w:txbxContent>
                        </wps:txbx>
                        <wps:bodyPr wrap="square" lIns="0" tIns="0" rIns="0" bIns="0" rtlCol="0">
                          <a:noAutofit/>
                        </wps:bodyPr>
                      </wps:wsp>
                      <wps:wsp>
                        <wps:cNvPr id="1706" name="Textbox 1706"/>
                        <wps:cNvSpPr txBox="1"/>
                        <wps:spPr>
                          <a:xfrm>
                            <a:off x="154920" y="25689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460</w:t>
                              </w:r>
                            </w:p>
                          </w:txbxContent>
                        </wps:txbx>
                        <wps:bodyPr wrap="square" lIns="0" tIns="0" rIns="0" bIns="0" rtlCol="0">
                          <a:noAutofit/>
                        </wps:bodyPr>
                      </wps:wsp>
                      <wps:wsp>
                        <wps:cNvPr id="1707" name="Textbox 1707"/>
                        <wps:cNvSpPr txBox="1"/>
                        <wps:spPr>
                          <a:xfrm>
                            <a:off x="4454360" y="38549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444</w:t>
                              </w:r>
                            </w:p>
                          </w:txbxContent>
                        </wps:txbx>
                        <wps:bodyPr wrap="square" lIns="0" tIns="0" rIns="0" bIns="0" rtlCol="0">
                          <a:noAutofit/>
                        </wps:bodyPr>
                      </wps:wsp>
                    </wpg:wgp>
                  </a:graphicData>
                </a:graphic>
              </wp:anchor>
            </w:drawing>
          </mc:Choice>
          <mc:Fallback>
            <w:pict>
              <v:group style="position:absolute;margin-left:100.275543pt;margin-top:7.557324pt;width:396.8pt;height:181.7pt;mso-position-horizontal-relative:page;mso-position-vertical-relative:paragraph;z-index:-15616512;mso-wrap-distance-left:0;mso-wrap-distance-right:0" id="docshapegroup1676" coordorigin="2006,151" coordsize="7936,3634">
                <v:shape style="position:absolute;left:3015;top:924;width:6394;height:2314" id="docshape1677" coordorigin="3015,925" coordsize="6394,2314" path="m3612,2230l3015,2230,3015,3238,3612,3238,3612,2230xm5053,1966l4473,1966,4473,3238,5053,3238,5053,1966xm6510,1173l5914,1173,5914,3238,6510,3238,6510,1173xm7951,1173l7371,1173,7371,3238,7951,3238,7951,1173xm9409,925l8812,925,8812,3238,9409,3238,9409,925xe" filled="true" fillcolor="#2f7d41" stroked="false">
                  <v:path arrowok="t"/>
                  <v:fill type="solid"/>
                </v:shape>
                <v:shape style="position:absolute;left:2005;top:151;width:7936;height:3634" id="docshape1678" coordorigin="2006,151" coordsize="7936,3634" path="m9844,3233l9834,3233,8387,3233,8377,3233,6946,3233,6936,3233,5488,3233,5478,3233,4047,3233,4037,3233,2590,3233,2590,622,2580,622,2514,622,2514,632,2580,632,2580,1002,2514,1002,2514,1012,2580,1012,2580,1366,2514,1366,2514,1376,2580,1376,2580,1746,2514,1746,2514,1756,2580,1756,2580,2109,2514,2109,2514,2119,2580,2119,2580,2490,2514,2490,2514,2500,2580,2500,2580,2853,2514,2853,2514,2863,2580,2863,2580,3233,2514,3233,2514,3243,2580,3243,2580,3309,2590,3309,2590,3243,4037,3243,4037,3309,4047,3309,4047,3243,5478,3243,5478,3309,5488,3309,5488,3243,6936,3243,6936,3309,6946,3309,6946,3243,8377,3243,8377,3309,8387,3309,8387,3243,9834,3243,9834,3309,9844,3309,9844,3233xm9941,151l9931,151,9931,162,9931,3775,2016,3775,2016,162,9931,162,9931,151,2006,151,2006,157,2006,161,2006,3775,2006,3779,2006,3785,9941,3785,9941,3780,9941,3779,9941,3775,9941,3775,9941,162,9941,161,9941,157,9941,157,9941,151xe" filled="true" fillcolor="#000000" stroked="false">
                  <v:path arrowok="t"/>
                  <v:fill type="solid"/>
                </v:shape>
                <v:shape style="position:absolute;left:7455;top:3318;width:442;height:161" type="#_x0000_t202" id="docshape1679" filled="false" stroked="false">
                  <v:textbox inset="0,0,0,0">
                    <w:txbxContent>
                      <w:p>
                        <w:pPr>
                          <w:spacing w:line="161" w:lineRule="exact" w:before="0"/>
                          <w:ind w:left="0" w:right="0" w:firstLine="0"/>
                          <w:jc w:val="left"/>
                          <w:rPr>
                            <w:rFonts w:ascii="Arial MT"/>
                            <w:sz w:val="14"/>
                          </w:rPr>
                        </w:pPr>
                        <w:r>
                          <w:rPr>
                            <w:rFonts w:ascii="Arial MT"/>
                            <w:w w:val="80"/>
                            <w:sz w:val="14"/>
                          </w:rPr>
                          <w:t>2003-</w:t>
                        </w:r>
                        <w:r>
                          <w:rPr>
                            <w:rFonts w:ascii="Arial MT"/>
                            <w:spacing w:val="-5"/>
                            <w:w w:val="90"/>
                            <w:sz w:val="14"/>
                          </w:rPr>
                          <w:t>04</w:t>
                        </w:r>
                      </w:p>
                    </w:txbxContent>
                  </v:textbox>
                  <w10:wrap type="none"/>
                </v:shape>
                <v:shape style="position:absolute;left:8905;top:3318;width:442;height:161" type="#_x0000_t202" id="docshape1680" filled="false" stroked="false">
                  <v:textbox inset="0,0,0,0">
                    <w:txbxContent>
                      <w:p>
                        <w:pPr>
                          <w:spacing w:line="161" w:lineRule="exact" w:before="0"/>
                          <w:ind w:left="0" w:right="0" w:firstLine="0"/>
                          <w:jc w:val="left"/>
                          <w:rPr>
                            <w:rFonts w:ascii="Arial MT"/>
                            <w:sz w:val="14"/>
                          </w:rPr>
                        </w:pPr>
                        <w:r>
                          <w:rPr>
                            <w:rFonts w:ascii="Arial MT"/>
                            <w:w w:val="80"/>
                            <w:sz w:val="14"/>
                          </w:rPr>
                          <w:t>2004-</w:t>
                        </w:r>
                        <w:r>
                          <w:rPr>
                            <w:rFonts w:ascii="Arial MT"/>
                            <w:spacing w:val="-5"/>
                            <w:w w:val="90"/>
                            <w:sz w:val="14"/>
                          </w:rPr>
                          <w:t>05</w:t>
                        </w:r>
                      </w:p>
                    </w:txbxContent>
                  </v:textbox>
                  <w10:wrap type="none"/>
                </v:shape>
                <v:shape style="position:absolute;left:2249;top:925;width:212;height:161" type="#_x0000_t202" id="docshape1681" filled="false" stroked="false">
                  <v:textbox inset="0,0,0,0">
                    <w:txbxContent>
                      <w:p>
                        <w:pPr>
                          <w:spacing w:line="161" w:lineRule="exact" w:before="0"/>
                          <w:ind w:left="0" w:right="0" w:firstLine="0"/>
                          <w:jc w:val="left"/>
                          <w:rPr>
                            <w:rFonts w:ascii="Arial MT"/>
                            <w:sz w:val="14"/>
                          </w:rPr>
                        </w:pPr>
                        <w:r>
                          <w:rPr>
                            <w:rFonts w:ascii="Arial MT"/>
                            <w:spacing w:val="-5"/>
                            <w:w w:val="90"/>
                            <w:sz w:val="14"/>
                          </w:rPr>
                          <w:t>440</w:t>
                        </w:r>
                      </w:p>
                    </w:txbxContent>
                  </v:textbox>
                  <w10:wrap type="none"/>
                </v:shape>
                <v:shape style="position:absolute;left:6015;top:3318;width:442;height:161" type="#_x0000_t202" id="docshape1682" filled="false" stroked="false">
                  <v:textbox inset="0,0,0,0">
                    <w:txbxContent>
                      <w:p>
                        <w:pPr>
                          <w:spacing w:line="161" w:lineRule="exact" w:before="0"/>
                          <w:ind w:left="0" w:right="0" w:firstLine="0"/>
                          <w:jc w:val="left"/>
                          <w:rPr>
                            <w:rFonts w:ascii="Arial MT"/>
                            <w:sz w:val="14"/>
                          </w:rPr>
                        </w:pPr>
                        <w:r>
                          <w:rPr>
                            <w:rFonts w:ascii="Arial MT"/>
                            <w:w w:val="80"/>
                            <w:sz w:val="14"/>
                          </w:rPr>
                          <w:t>2002-</w:t>
                        </w:r>
                        <w:r>
                          <w:rPr>
                            <w:rFonts w:ascii="Arial MT"/>
                            <w:spacing w:val="-5"/>
                            <w:w w:val="90"/>
                            <w:sz w:val="14"/>
                          </w:rPr>
                          <w:t>03</w:t>
                        </w:r>
                      </w:p>
                    </w:txbxContent>
                  </v:textbox>
                  <w10:wrap type="none"/>
                </v:shape>
                <v:shape style="position:absolute;left:4535;top:3318;width:442;height:161" type="#_x0000_t202" id="docshape1683" filled="false" stroked="false">
                  <v:textbox inset="0,0,0,0">
                    <w:txbxContent>
                      <w:p>
                        <w:pPr>
                          <w:spacing w:line="161" w:lineRule="exact" w:before="0"/>
                          <w:ind w:left="0" w:right="0" w:firstLine="0"/>
                          <w:jc w:val="left"/>
                          <w:rPr>
                            <w:rFonts w:ascii="Arial MT"/>
                            <w:sz w:val="14"/>
                          </w:rPr>
                        </w:pPr>
                        <w:r>
                          <w:rPr>
                            <w:rFonts w:ascii="Arial MT"/>
                            <w:w w:val="80"/>
                            <w:sz w:val="14"/>
                          </w:rPr>
                          <w:t>2001-</w:t>
                        </w:r>
                        <w:r>
                          <w:rPr>
                            <w:rFonts w:ascii="Arial MT"/>
                            <w:spacing w:val="-5"/>
                            <w:w w:val="90"/>
                            <w:sz w:val="14"/>
                          </w:rPr>
                          <w:t>02</w:t>
                        </w:r>
                      </w:p>
                    </w:txbxContent>
                  </v:textbox>
                  <w10:wrap type="none"/>
                </v:shape>
                <v:shape style="position:absolute;left:3085;top:3318;width:442;height:161" type="#_x0000_t202" id="docshape1684" filled="false" stroked="false">
                  <v:textbox inset="0,0,0,0">
                    <w:txbxContent>
                      <w:p>
                        <w:pPr>
                          <w:spacing w:line="161" w:lineRule="exact" w:before="0"/>
                          <w:ind w:left="0" w:right="0" w:firstLine="0"/>
                          <w:jc w:val="left"/>
                          <w:rPr>
                            <w:rFonts w:ascii="Arial MT"/>
                            <w:sz w:val="14"/>
                          </w:rPr>
                        </w:pPr>
                        <w:r>
                          <w:rPr>
                            <w:rFonts w:ascii="Arial MT"/>
                            <w:w w:val="80"/>
                            <w:sz w:val="14"/>
                          </w:rPr>
                          <w:t>2000-</w:t>
                        </w:r>
                        <w:r>
                          <w:rPr>
                            <w:rFonts w:ascii="Arial MT"/>
                            <w:spacing w:val="-5"/>
                            <w:w w:val="90"/>
                            <w:sz w:val="14"/>
                          </w:rPr>
                          <w:t>01</w:t>
                        </w:r>
                      </w:p>
                    </w:txbxContent>
                  </v:textbox>
                  <w10:wrap type="none"/>
                </v:shape>
                <v:shape style="position:absolute;left:2249;top:2405;width:212;height:901" type="#_x0000_t202" id="docshape1685" filled="false" stroked="false">
                  <v:textbox inset="0,0,0,0">
                    <w:txbxContent>
                      <w:p>
                        <w:pPr>
                          <w:spacing w:line="161" w:lineRule="exact" w:before="0"/>
                          <w:ind w:left="0" w:right="0" w:firstLine="0"/>
                          <w:jc w:val="left"/>
                          <w:rPr>
                            <w:rFonts w:ascii="Arial MT"/>
                            <w:sz w:val="14"/>
                          </w:rPr>
                        </w:pPr>
                        <w:r>
                          <w:rPr>
                            <w:rFonts w:ascii="Arial MT"/>
                            <w:spacing w:val="-5"/>
                            <w:w w:val="90"/>
                            <w:sz w:val="14"/>
                          </w:rPr>
                          <w:t>360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340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320</w:t>
                        </w:r>
                      </w:p>
                    </w:txbxContent>
                  </v:textbox>
                  <w10:wrap type="none"/>
                </v:shape>
                <v:shape style="position:absolute;left:3200;top:2038;width:212;height:161" type="#_x0000_t202" id="docshape1686" filled="false" stroked="false">
                  <v:textbox inset="0,0,0,0">
                    <w:txbxContent>
                      <w:p>
                        <w:pPr>
                          <w:spacing w:line="161" w:lineRule="exact" w:before="0"/>
                          <w:ind w:left="0" w:right="0" w:firstLine="0"/>
                          <w:jc w:val="left"/>
                          <w:rPr>
                            <w:rFonts w:ascii="Arial MT"/>
                            <w:sz w:val="14"/>
                          </w:rPr>
                        </w:pPr>
                        <w:r>
                          <w:rPr>
                            <w:rFonts w:ascii="Arial MT"/>
                            <w:spacing w:val="-5"/>
                            <w:w w:val="90"/>
                            <w:sz w:val="14"/>
                          </w:rPr>
                          <w:t>374</w:t>
                        </w:r>
                      </w:p>
                    </w:txbxContent>
                  </v:textbox>
                  <w10:wrap type="none"/>
                </v:shape>
                <v:shape style="position:absolute;left:2249;top:2035;width:212;height:161" type="#_x0000_t202" id="docshape1687" filled="false" stroked="false">
                  <v:textbox inset="0,0,0,0">
                    <w:txbxContent>
                      <w:p>
                        <w:pPr>
                          <w:spacing w:line="161" w:lineRule="exact" w:before="0"/>
                          <w:ind w:left="0" w:right="0" w:firstLine="0"/>
                          <w:jc w:val="left"/>
                          <w:rPr>
                            <w:rFonts w:ascii="Arial MT"/>
                            <w:sz w:val="14"/>
                          </w:rPr>
                        </w:pPr>
                        <w:r>
                          <w:rPr>
                            <w:rFonts w:ascii="Arial MT"/>
                            <w:spacing w:val="-5"/>
                            <w:w w:val="90"/>
                            <w:sz w:val="14"/>
                          </w:rPr>
                          <w:t>380</w:t>
                        </w:r>
                      </w:p>
                    </w:txbxContent>
                  </v:textbox>
                  <w10:wrap type="none"/>
                </v:shape>
                <v:shape style="position:absolute;left:4670;top:1798;width:212;height:161" type="#_x0000_t202" id="docshape1688" filled="false" stroked="false">
                  <v:textbox inset="0,0,0,0">
                    <w:txbxContent>
                      <w:p>
                        <w:pPr>
                          <w:spacing w:line="161" w:lineRule="exact" w:before="0"/>
                          <w:ind w:left="0" w:right="0" w:firstLine="0"/>
                          <w:jc w:val="left"/>
                          <w:rPr>
                            <w:rFonts w:ascii="Arial MT"/>
                            <w:sz w:val="14"/>
                          </w:rPr>
                        </w:pPr>
                        <w:r>
                          <w:rPr>
                            <w:rFonts w:ascii="Arial MT"/>
                            <w:spacing w:val="-5"/>
                            <w:w w:val="90"/>
                            <w:sz w:val="14"/>
                          </w:rPr>
                          <w:t>388</w:t>
                        </w:r>
                      </w:p>
                    </w:txbxContent>
                  </v:textbox>
                  <w10:wrap type="none"/>
                </v:shape>
                <v:shape style="position:absolute;left:2249;top:1295;width:212;height:531" type="#_x0000_t202" id="docshape1689" filled="false" stroked="false">
                  <v:textbox inset="0,0,0,0">
                    <w:txbxContent>
                      <w:p>
                        <w:pPr>
                          <w:spacing w:line="161" w:lineRule="exact" w:before="0"/>
                          <w:ind w:left="0" w:right="0" w:firstLine="0"/>
                          <w:jc w:val="left"/>
                          <w:rPr>
                            <w:rFonts w:ascii="Arial MT"/>
                            <w:sz w:val="14"/>
                          </w:rPr>
                        </w:pPr>
                        <w:r>
                          <w:rPr>
                            <w:rFonts w:ascii="Arial MT"/>
                            <w:spacing w:val="-5"/>
                            <w:w w:val="90"/>
                            <w:sz w:val="14"/>
                          </w:rPr>
                          <w:t>420</w:t>
                        </w:r>
                      </w:p>
                      <w:p>
                        <w:pPr>
                          <w:spacing w:line="240" w:lineRule="auto" w:before="48"/>
                          <w:rPr>
                            <w:rFonts w:ascii="Arial MT"/>
                            <w:sz w:val="14"/>
                          </w:rPr>
                        </w:pPr>
                      </w:p>
                      <w:p>
                        <w:pPr>
                          <w:spacing w:before="0"/>
                          <w:ind w:left="0" w:right="0" w:firstLine="0"/>
                          <w:jc w:val="left"/>
                          <w:rPr>
                            <w:rFonts w:ascii="Arial MT"/>
                            <w:sz w:val="14"/>
                          </w:rPr>
                        </w:pPr>
                        <w:r>
                          <w:rPr>
                            <w:rFonts w:ascii="Arial MT"/>
                            <w:spacing w:val="-5"/>
                            <w:w w:val="90"/>
                            <w:sz w:val="14"/>
                          </w:rPr>
                          <w:t>400</w:t>
                        </w:r>
                      </w:p>
                    </w:txbxContent>
                  </v:textbox>
                  <w10:wrap type="none"/>
                </v:shape>
                <v:shape style="position:absolute;left:7568;top:985;width:212;height:161" type="#_x0000_t202" id="docshape1690" filled="false" stroked="false">
                  <v:textbox inset="0,0,0,0">
                    <w:txbxContent>
                      <w:p>
                        <w:pPr>
                          <w:spacing w:line="161" w:lineRule="exact" w:before="0"/>
                          <w:ind w:left="0" w:right="0" w:firstLine="0"/>
                          <w:jc w:val="left"/>
                          <w:rPr>
                            <w:rFonts w:ascii="Arial MT"/>
                            <w:sz w:val="14"/>
                          </w:rPr>
                        </w:pPr>
                        <w:r>
                          <w:rPr>
                            <w:rFonts w:ascii="Arial MT"/>
                            <w:spacing w:val="-5"/>
                            <w:w w:val="90"/>
                            <w:sz w:val="14"/>
                          </w:rPr>
                          <w:t>431</w:t>
                        </w:r>
                      </w:p>
                    </w:txbxContent>
                  </v:textbox>
                  <w10:wrap type="none"/>
                </v:shape>
                <v:shape style="position:absolute;left:6110;top:985;width:212;height:161" type="#_x0000_t202" id="docshape1691" filled="false" stroked="false">
                  <v:textbox inset="0,0,0,0">
                    <w:txbxContent>
                      <w:p>
                        <w:pPr>
                          <w:spacing w:line="161" w:lineRule="exact" w:before="0"/>
                          <w:ind w:left="0" w:right="0" w:firstLine="0"/>
                          <w:jc w:val="left"/>
                          <w:rPr>
                            <w:rFonts w:ascii="Arial MT"/>
                            <w:sz w:val="14"/>
                          </w:rPr>
                        </w:pPr>
                        <w:r>
                          <w:rPr>
                            <w:rFonts w:ascii="Arial MT"/>
                            <w:spacing w:val="-5"/>
                            <w:w w:val="90"/>
                            <w:sz w:val="14"/>
                          </w:rPr>
                          <w:t>431</w:t>
                        </w:r>
                      </w:p>
                    </w:txbxContent>
                  </v:textbox>
                  <w10:wrap type="none"/>
                </v:shape>
                <v:shape style="position:absolute;left:2249;top:555;width:212;height:161" type="#_x0000_t202" id="docshape1692" filled="false" stroked="false">
                  <v:textbox inset="0,0,0,0">
                    <w:txbxContent>
                      <w:p>
                        <w:pPr>
                          <w:spacing w:line="161" w:lineRule="exact" w:before="0"/>
                          <w:ind w:left="0" w:right="0" w:firstLine="0"/>
                          <w:jc w:val="left"/>
                          <w:rPr>
                            <w:rFonts w:ascii="Arial MT"/>
                            <w:sz w:val="14"/>
                          </w:rPr>
                        </w:pPr>
                        <w:r>
                          <w:rPr>
                            <w:rFonts w:ascii="Arial MT"/>
                            <w:spacing w:val="-5"/>
                            <w:w w:val="90"/>
                            <w:sz w:val="14"/>
                          </w:rPr>
                          <w:t>460</w:t>
                        </w:r>
                      </w:p>
                    </w:txbxContent>
                  </v:textbox>
                  <w10:wrap type="none"/>
                </v:shape>
                <v:shape style="position:absolute;left:9020;top:758;width:212;height:161" type="#_x0000_t202" id="docshape1693" filled="false" stroked="false">
                  <v:textbox inset="0,0,0,0">
                    <w:txbxContent>
                      <w:p>
                        <w:pPr>
                          <w:spacing w:line="161" w:lineRule="exact" w:before="0"/>
                          <w:ind w:left="0" w:right="0" w:firstLine="0"/>
                          <w:jc w:val="left"/>
                          <w:rPr>
                            <w:rFonts w:ascii="Arial MT"/>
                            <w:sz w:val="14"/>
                          </w:rPr>
                        </w:pPr>
                        <w:r>
                          <w:rPr>
                            <w:rFonts w:ascii="Arial MT"/>
                            <w:spacing w:val="-5"/>
                            <w:w w:val="90"/>
                            <w:sz w:val="14"/>
                          </w:rPr>
                          <w:t>444</w:t>
                        </w:r>
                      </w:p>
                    </w:txbxContent>
                  </v:textbox>
                  <w10:wrap type="none"/>
                </v:shape>
                <w10:wrap type="topAndBottom"/>
              </v:group>
            </w:pict>
          </mc:Fallback>
        </mc:AlternateContent>
      </w:r>
    </w:p>
    <w:p>
      <w:pPr>
        <w:spacing w:before="44"/>
        <w:ind w:left="1995" w:right="0" w:firstLine="0"/>
        <w:jc w:val="left"/>
        <w:rPr>
          <w:sz w:val="16"/>
        </w:rPr>
      </w:pPr>
      <w:r>
        <w:rPr>
          <w:i/>
          <w:spacing w:val="-6"/>
          <w:sz w:val="16"/>
        </w:rPr>
        <w:t>Source</w:t>
      </w:r>
      <w:r>
        <w:rPr>
          <w:spacing w:val="-6"/>
          <w:sz w:val="16"/>
        </w:rPr>
        <w:t>:</w:t>
      </w:r>
      <w:r>
        <w:rPr>
          <w:spacing w:val="4"/>
          <w:sz w:val="16"/>
        </w:rPr>
        <w:t> </w:t>
      </w:r>
      <w:r>
        <w:rPr>
          <w:spacing w:val="-6"/>
          <w:sz w:val="16"/>
        </w:rPr>
        <w:t>Medical</w:t>
      </w:r>
      <w:r>
        <w:rPr>
          <w:spacing w:val="4"/>
          <w:sz w:val="16"/>
        </w:rPr>
        <w:t> </w:t>
      </w:r>
      <w:r>
        <w:rPr>
          <w:spacing w:val="-6"/>
          <w:sz w:val="16"/>
        </w:rPr>
        <w:t>Council</w:t>
      </w:r>
      <w:r>
        <w:rPr>
          <w:spacing w:val="4"/>
          <w:sz w:val="16"/>
        </w:rPr>
        <w:t> </w:t>
      </w:r>
      <w:r>
        <w:rPr>
          <w:spacing w:val="-6"/>
          <w:sz w:val="16"/>
        </w:rPr>
        <w:t>of</w:t>
      </w:r>
      <w:r>
        <w:rPr>
          <w:spacing w:val="5"/>
          <w:sz w:val="16"/>
        </w:rPr>
        <w:t> </w:t>
      </w:r>
      <w:r>
        <w:rPr>
          <w:spacing w:val="-6"/>
          <w:sz w:val="16"/>
        </w:rPr>
        <w:t>India</w:t>
      </w:r>
    </w:p>
    <w:p>
      <w:pPr>
        <w:pStyle w:val="BodyText"/>
        <w:spacing w:before="56"/>
        <w:rPr>
          <w:sz w:val="24"/>
        </w:rPr>
      </w:pPr>
    </w:p>
    <w:p>
      <w:pPr>
        <w:pStyle w:val="Heading8"/>
        <w:spacing w:before="1"/>
        <w:ind w:left="2004"/>
      </w:pPr>
      <w:r>
        <w:rPr>
          <w:w w:val="90"/>
        </w:rPr>
        <w:t>Figure</w:t>
      </w:r>
      <w:r>
        <w:rPr>
          <w:spacing w:val="11"/>
        </w:rPr>
        <w:t> </w:t>
      </w:r>
      <w:r>
        <w:rPr>
          <w:w w:val="90"/>
        </w:rPr>
        <w:t>32:</w:t>
      </w:r>
      <w:r>
        <w:rPr>
          <w:spacing w:val="12"/>
        </w:rPr>
        <w:t> </w:t>
      </w:r>
      <w:r>
        <w:rPr>
          <w:color w:val="2E614A"/>
          <w:w w:val="90"/>
        </w:rPr>
        <w:t>State</w:t>
      </w:r>
      <w:r>
        <w:rPr>
          <w:color w:val="2E614A"/>
          <w:spacing w:val="12"/>
        </w:rPr>
        <w:t> </w:t>
      </w:r>
      <w:r>
        <w:rPr>
          <w:color w:val="2E614A"/>
          <w:w w:val="90"/>
        </w:rPr>
        <w:t>wise</w:t>
      </w:r>
      <w:r>
        <w:rPr>
          <w:color w:val="2E614A"/>
          <w:spacing w:val="11"/>
        </w:rPr>
        <w:t> </w:t>
      </w:r>
      <w:r>
        <w:rPr>
          <w:color w:val="2E614A"/>
          <w:w w:val="90"/>
        </w:rPr>
        <w:t>distribution</w:t>
      </w:r>
      <w:r>
        <w:rPr>
          <w:color w:val="2E614A"/>
          <w:spacing w:val="12"/>
        </w:rPr>
        <w:t> </w:t>
      </w:r>
      <w:r>
        <w:rPr>
          <w:color w:val="2E614A"/>
          <w:w w:val="90"/>
        </w:rPr>
        <w:t>of</w:t>
      </w:r>
      <w:r>
        <w:rPr>
          <w:color w:val="2E614A"/>
          <w:spacing w:val="12"/>
        </w:rPr>
        <w:t> </w:t>
      </w:r>
      <w:r>
        <w:rPr>
          <w:color w:val="2E614A"/>
          <w:w w:val="90"/>
        </w:rPr>
        <w:t>medical</w:t>
      </w:r>
      <w:r>
        <w:rPr>
          <w:color w:val="2E614A"/>
          <w:spacing w:val="11"/>
        </w:rPr>
        <w:t> </w:t>
      </w:r>
      <w:r>
        <w:rPr>
          <w:color w:val="2E614A"/>
          <w:w w:val="90"/>
        </w:rPr>
        <w:t>colleges</w:t>
      </w:r>
      <w:r>
        <w:rPr>
          <w:color w:val="2E614A"/>
          <w:spacing w:val="12"/>
        </w:rPr>
        <w:t> </w:t>
      </w:r>
      <w:r>
        <w:rPr>
          <w:color w:val="2E614A"/>
          <w:spacing w:val="-2"/>
          <w:w w:val="90"/>
        </w:rPr>
        <w:t>(2005)</w:t>
      </w:r>
    </w:p>
    <w:p>
      <w:pPr>
        <w:pStyle w:val="BodyText"/>
        <w:spacing w:before="7"/>
        <w:rPr>
          <w:b/>
          <w:sz w:val="4"/>
        </w:rPr>
      </w:pPr>
      <w:r>
        <w:rPr/>
        <mc:AlternateContent>
          <mc:Choice Requires="wps">
            <w:drawing>
              <wp:anchor distT="0" distB="0" distL="0" distR="0" allowOverlap="1" layoutInCell="1" locked="0" behindDoc="1" simplePos="0" relativeHeight="487700480">
                <wp:simplePos x="0" y="0"/>
                <wp:positionH relativeFrom="page">
                  <wp:posOffset>1278949</wp:posOffset>
                </wp:positionH>
                <wp:positionV relativeFrom="paragraph">
                  <wp:posOffset>48934</wp:posOffset>
                </wp:positionV>
                <wp:extent cx="5039360" cy="2757170"/>
                <wp:effectExtent l="0" t="0" r="0" b="0"/>
                <wp:wrapTopAndBottom/>
                <wp:docPr id="1708" name="Group 1708"/>
                <wp:cNvGraphicFramePr>
                  <a:graphicFrameLocks/>
                </wp:cNvGraphicFramePr>
                <a:graphic>
                  <a:graphicData uri="http://schemas.microsoft.com/office/word/2010/wordprocessingGroup">
                    <wpg:wgp>
                      <wpg:cNvPr id="1708" name="Group 1708"/>
                      <wpg:cNvGrpSpPr/>
                      <wpg:grpSpPr>
                        <a:xfrm>
                          <a:off x="0" y="0"/>
                          <a:ext cx="5039360" cy="2757170"/>
                          <a:chExt cx="5039360" cy="2757170"/>
                        </a:xfrm>
                      </wpg:grpSpPr>
                      <wps:wsp>
                        <wps:cNvPr id="1709" name="Graphic 1709"/>
                        <wps:cNvSpPr/>
                        <wps:spPr>
                          <a:xfrm>
                            <a:off x="801589" y="155879"/>
                            <a:ext cx="3583940" cy="2342515"/>
                          </a:xfrm>
                          <a:custGeom>
                            <a:avLst/>
                            <a:gdLst/>
                            <a:ahLst/>
                            <a:cxnLst/>
                            <a:rect l="l" t="t" r="r" b="b"/>
                            <a:pathLst>
                              <a:path w="3583940" h="2342515">
                                <a:moveTo>
                                  <a:pt x="92671" y="2275230"/>
                                </a:moveTo>
                                <a:lnTo>
                                  <a:pt x="0" y="2275230"/>
                                </a:lnTo>
                                <a:lnTo>
                                  <a:pt x="0" y="2342134"/>
                                </a:lnTo>
                                <a:lnTo>
                                  <a:pt x="92671" y="2342134"/>
                                </a:lnTo>
                                <a:lnTo>
                                  <a:pt x="92671" y="2275230"/>
                                </a:lnTo>
                                <a:close/>
                              </a:path>
                              <a:path w="3583940" h="2342515">
                                <a:moveTo>
                                  <a:pt x="92671" y="2174837"/>
                                </a:moveTo>
                                <a:lnTo>
                                  <a:pt x="0" y="2174837"/>
                                </a:lnTo>
                                <a:lnTo>
                                  <a:pt x="0" y="2236190"/>
                                </a:lnTo>
                                <a:lnTo>
                                  <a:pt x="92671" y="2236190"/>
                                </a:lnTo>
                                <a:lnTo>
                                  <a:pt x="92671" y="2174837"/>
                                </a:lnTo>
                                <a:close/>
                              </a:path>
                              <a:path w="3583940" h="2342515">
                                <a:moveTo>
                                  <a:pt x="185343" y="2068906"/>
                                </a:moveTo>
                                <a:lnTo>
                                  <a:pt x="0" y="2068906"/>
                                </a:lnTo>
                                <a:lnTo>
                                  <a:pt x="0" y="2135809"/>
                                </a:lnTo>
                                <a:lnTo>
                                  <a:pt x="185343" y="2135809"/>
                                </a:lnTo>
                                <a:lnTo>
                                  <a:pt x="185343" y="2068906"/>
                                </a:lnTo>
                                <a:close/>
                              </a:path>
                              <a:path w="3583940" h="2342515">
                                <a:moveTo>
                                  <a:pt x="185343" y="1968525"/>
                                </a:moveTo>
                                <a:lnTo>
                                  <a:pt x="0" y="1968525"/>
                                </a:lnTo>
                                <a:lnTo>
                                  <a:pt x="0" y="2029853"/>
                                </a:lnTo>
                                <a:lnTo>
                                  <a:pt x="185343" y="2029853"/>
                                </a:lnTo>
                                <a:lnTo>
                                  <a:pt x="185343" y="1968525"/>
                                </a:lnTo>
                                <a:close/>
                              </a:path>
                              <a:path w="3583940" h="2342515">
                                <a:moveTo>
                                  <a:pt x="185343" y="1862569"/>
                                </a:moveTo>
                                <a:lnTo>
                                  <a:pt x="0" y="1862569"/>
                                </a:lnTo>
                                <a:lnTo>
                                  <a:pt x="0" y="1929485"/>
                                </a:lnTo>
                                <a:lnTo>
                                  <a:pt x="185343" y="1929485"/>
                                </a:lnTo>
                                <a:lnTo>
                                  <a:pt x="185343" y="1862569"/>
                                </a:lnTo>
                                <a:close/>
                              </a:path>
                              <a:path w="3583940" h="2342515">
                                <a:moveTo>
                                  <a:pt x="278041" y="1762188"/>
                                </a:moveTo>
                                <a:lnTo>
                                  <a:pt x="0" y="1762188"/>
                                </a:lnTo>
                                <a:lnTo>
                                  <a:pt x="0" y="1823516"/>
                                </a:lnTo>
                                <a:lnTo>
                                  <a:pt x="278041" y="1823516"/>
                                </a:lnTo>
                                <a:lnTo>
                                  <a:pt x="278041" y="1762188"/>
                                </a:lnTo>
                                <a:close/>
                              </a:path>
                              <a:path w="3583940" h="2342515">
                                <a:moveTo>
                                  <a:pt x="278041" y="1656219"/>
                                </a:moveTo>
                                <a:lnTo>
                                  <a:pt x="0" y="1656219"/>
                                </a:lnTo>
                                <a:lnTo>
                                  <a:pt x="0" y="1723161"/>
                                </a:lnTo>
                                <a:lnTo>
                                  <a:pt x="278041" y="1723161"/>
                                </a:lnTo>
                                <a:lnTo>
                                  <a:pt x="278041" y="1656219"/>
                                </a:lnTo>
                                <a:close/>
                              </a:path>
                              <a:path w="3583940" h="2342515">
                                <a:moveTo>
                                  <a:pt x="278041" y="1550276"/>
                                </a:moveTo>
                                <a:lnTo>
                                  <a:pt x="0" y="1550276"/>
                                </a:lnTo>
                                <a:lnTo>
                                  <a:pt x="0" y="1617192"/>
                                </a:lnTo>
                                <a:lnTo>
                                  <a:pt x="278041" y="1617192"/>
                                </a:lnTo>
                                <a:lnTo>
                                  <a:pt x="278041" y="1550276"/>
                                </a:lnTo>
                                <a:close/>
                              </a:path>
                              <a:path w="3583940" h="2342515">
                                <a:moveTo>
                                  <a:pt x="370713" y="1449895"/>
                                </a:moveTo>
                                <a:lnTo>
                                  <a:pt x="0" y="1449895"/>
                                </a:lnTo>
                                <a:lnTo>
                                  <a:pt x="0" y="1511236"/>
                                </a:lnTo>
                                <a:lnTo>
                                  <a:pt x="370713" y="1511236"/>
                                </a:lnTo>
                                <a:lnTo>
                                  <a:pt x="370713" y="1449895"/>
                                </a:lnTo>
                                <a:close/>
                              </a:path>
                              <a:path w="3583940" h="2342515">
                                <a:moveTo>
                                  <a:pt x="370713" y="1343952"/>
                                </a:moveTo>
                                <a:lnTo>
                                  <a:pt x="0" y="1343952"/>
                                </a:lnTo>
                                <a:lnTo>
                                  <a:pt x="0" y="1410855"/>
                                </a:lnTo>
                                <a:lnTo>
                                  <a:pt x="370713" y="1410855"/>
                                </a:lnTo>
                                <a:lnTo>
                                  <a:pt x="370713" y="1343952"/>
                                </a:lnTo>
                                <a:close/>
                              </a:path>
                              <a:path w="3583940" h="2342515">
                                <a:moveTo>
                                  <a:pt x="455650" y="1243558"/>
                                </a:moveTo>
                                <a:lnTo>
                                  <a:pt x="0" y="1243558"/>
                                </a:lnTo>
                                <a:lnTo>
                                  <a:pt x="0" y="1304899"/>
                                </a:lnTo>
                                <a:lnTo>
                                  <a:pt x="455650" y="1304899"/>
                                </a:lnTo>
                                <a:lnTo>
                                  <a:pt x="455650" y="1243558"/>
                                </a:lnTo>
                                <a:close/>
                              </a:path>
                              <a:path w="3583940" h="2342515">
                                <a:moveTo>
                                  <a:pt x="548335" y="1137615"/>
                                </a:moveTo>
                                <a:lnTo>
                                  <a:pt x="0" y="1137615"/>
                                </a:lnTo>
                                <a:lnTo>
                                  <a:pt x="0" y="1204531"/>
                                </a:lnTo>
                                <a:lnTo>
                                  <a:pt x="548335" y="1204531"/>
                                </a:lnTo>
                                <a:lnTo>
                                  <a:pt x="548335" y="1137615"/>
                                </a:lnTo>
                                <a:close/>
                              </a:path>
                              <a:path w="3583940" h="2342515">
                                <a:moveTo>
                                  <a:pt x="733691" y="1037234"/>
                                </a:moveTo>
                                <a:lnTo>
                                  <a:pt x="0" y="1037234"/>
                                </a:lnTo>
                                <a:lnTo>
                                  <a:pt x="0" y="1098575"/>
                                </a:lnTo>
                                <a:lnTo>
                                  <a:pt x="733691" y="1098575"/>
                                </a:lnTo>
                                <a:lnTo>
                                  <a:pt x="733691" y="1037234"/>
                                </a:lnTo>
                                <a:close/>
                              </a:path>
                              <a:path w="3583940" h="2342515">
                                <a:moveTo>
                                  <a:pt x="733691" y="931278"/>
                                </a:moveTo>
                                <a:lnTo>
                                  <a:pt x="0" y="931278"/>
                                </a:lnTo>
                                <a:lnTo>
                                  <a:pt x="0" y="998207"/>
                                </a:lnTo>
                                <a:lnTo>
                                  <a:pt x="733691" y="998207"/>
                                </a:lnTo>
                                <a:lnTo>
                                  <a:pt x="733691" y="931278"/>
                                </a:lnTo>
                                <a:close/>
                              </a:path>
                              <a:path w="3583940" h="2342515">
                                <a:moveTo>
                                  <a:pt x="733691" y="830910"/>
                                </a:moveTo>
                                <a:lnTo>
                                  <a:pt x="0" y="830910"/>
                                </a:lnTo>
                                <a:lnTo>
                                  <a:pt x="0" y="892251"/>
                                </a:lnTo>
                                <a:lnTo>
                                  <a:pt x="733691" y="892251"/>
                                </a:lnTo>
                                <a:lnTo>
                                  <a:pt x="733691" y="830910"/>
                                </a:lnTo>
                                <a:close/>
                              </a:path>
                              <a:path w="3583940" h="2342515">
                                <a:moveTo>
                                  <a:pt x="826376" y="724941"/>
                                </a:moveTo>
                                <a:lnTo>
                                  <a:pt x="0" y="724941"/>
                                </a:lnTo>
                                <a:lnTo>
                                  <a:pt x="0" y="791870"/>
                                </a:lnTo>
                                <a:lnTo>
                                  <a:pt x="826376" y="791870"/>
                                </a:lnTo>
                                <a:lnTo>
                                  <a:pt x="826376" y="724941"/>
                                </a:lnTo>
                                <a:close/>
                              </a:path>
                              <a:path w="3583940" h="2342515">
                                <a:moveTo>
                                  <a:pt x="1197076" y="618998"/>
                                </a:moveTo>
                                <a:lnTo>
                                  <a:pt x="0" y="618998"/>
                                </a:lnTo>
                                <a:lnTo>
                                  <a:pt x="0" y="685901"/>
                                </a:lnTo>
                                <a:lnTo>
                                  <a:pt x="1197076" y="685901"/>
                                </a:lnTo>
                                <a:lnTo>
                                  <a:pt x="1197076" y="618998"/>
                                </a:lnTo>
                                <a:close/>
                              </a:path>
                              <a:path w="3583940" h="2342515">
                                <a:moveTo>
                                  <a:pt x="1197076" y="518617"/>
                                </a:moveTo>
                                <a:lnTo>
                                  <a:pt x="0" y="518617"/>
                                </a:lnTo>
                                <a:lnTo>
                                  <a:pt x="0" y="579945"/>
                                </a:lnTo>
                                <a:lnTo>
                                  <a:pt x="1197076" y="579945"/>
                                </a:lnTo>
                                <a:lnTo>
                                  <a:pt x="1197076" y="518617"/>
                                </a:lnTo>
                                <a:close/>
                              </a:path>
                              <a:path w="3583940" h="2342515">
                                <a:moveTo>
                                  <a:pt x="1374711" y="412661"/>
                                </a:moveTo>
                                <a:lnTo>
                                  <a:pt x="0" y="412661"/>
                                </a:lnTo>
                                <a:lnTo>
                                  <a:pt x="0" y="479577"/>
                                </a:lnTo>
                                <a:lnTo>
                                  <a:pt x="1374711" y="479577"/>
                                </a:lnTo>
                                <a:lnTo>
                                  <a:pt x="1374711" y="412661"/>
                                </a:lnTo>
                                <a:close/>
                              </a:path>
                              <a:path w="3583940" h="2342515">
                                <a:moveTo>
                                  <a:pt x="2023427" y="312293"/>
                                </a:moveTo>
                                <a:lnTo>
                                  <a:pt x="0" y="312293"/>
                                </a:lnTo>
                                <a:lnTo>
                                  <a:pt x="0" y="373621"/>
                                </a:lnTo>
                                <a:lnTo>
                                  <a:pt x="2023427" y="373621"/>
                                </a:lnTo>
                                <a:lnTo>
                                  <a:pt x="2023427" y="312293"/>
                                </a:lnTo>
                                <a:close/>
                              </a:path>
                              <a:path w="3583940" h="2342515">
                                <a:moveTo>
                                  <a:pt x="2849816" y="206324"/>
                                </a:moveTo>
                                <a:lnTo>
                                  <a:pt x="0" y="206324"/>
                                </a:lnTo>
                                <a:lnTo>
                                  <a:pt x="0" y="273265"/>
                                </a:lnTo>
                                <a:lnTo>
                                  <a:pt x="2849816" y="273265"/>
                                </a:lnTo>
                                <a:lnTo>
                                  <a:pt x="2849816" y="206324"/>
                                </a:lnTo>
                                <a:close/>
                              </a:path>
                              <a:path w="3583940" h="2342515">
                                <a:moveTo>
                                  <a:pt x="2934754" y="105956"/>
                                </a:moveTo>
                                <a:lnTo>
                                  <a:pt x="0" y="105956"/>
                                </a:lnTo>
                                <a:lnTo>
                                  <a:pt x="0" y="167297"/>
                                </a:lnTo>
                                <a:lnTo>
                                  <a:pt x="2934754" y="167297"/>
                                </a:lnTo>
                                <a:lnTo>
                                  <a:pt x="2934754" y="105956"/>
                                </a:lnTo>
                                <a:close/>
                              </a:path>
                              <a:path w="3583940" h="2342515">
                                <a:moveTo>
                                  <a:pt x="3583495" y="0"/>
                                </a:moveTo>
                                <a:lnTo>
                                  <a:pt x="0" y="0"/>
                                </a:lnTo>
                                <a:lnTo>
                                  <a:pt x="0" y="66916"/>
                                </a:lnTo>
                                <a:lnTo>
                                  <a:pt x="3583495" y="66916"/>
                                </a:lnTo>
                                <a:lnTo>
                                  <a:pt x="3583495" y="0"/>
                                </a:lnTo>
                                <a:close/>
                              </a:path>
                            </a:pathLst>
                          </a:custGeom>
                          <a:solidFill>
                            <a:srgbClr val="2F7D41"/>
                          </a:solidFill>
                        </wps:spPr>
                        <wps:bodyPr wrap="square" lIns="0" tIns="0" rIns="0" bIns="0" rtlCol="0">
                          <a:prstTxWarp prst="textNoShape">
                            <a:avLst/>
                          </a:prstTxWarp>
                          <a:noAutofit/>
                        </wps:bodyPr>
                      </wps:wsp>
                      <wps:wsp>
                        <wps:cNvPr id="1710" name="Graphic 1710"/>
                        <wps:cNvSpPr/>
                        <wps:spPr>
                          <a:xfrm>
                            <a:off x="-8" y="0"/>
                            <a:ext cx="5039360" cy="2757170"/>
                          </a:xfrm>
                          <a:custGeom>
                            <a:avLst/>
                            <a:gdLst/>
                            <a:ahLst/>
                            <a:cxnLst/>
                            <a:rect l="l" t="t" r="r" b="b"/>
                            <a:pathLst>
                              <a:path w="5039360" h="2757170">
                                <a:moveTo>
                                  <a:pt x="4936604" y="2511577"/>
                                </a:moveTo>
                                <a:lnTo>
                                  <a:pt x="4936604" y="2511577"/>
                                </a:lnTo>
                                <a:lnTo>
                                  <a:pt x="804773" y="2511577"/>
                                </a:lnTo>
                                <a:lnTo>
                                  <a:pt x="804773" y="130403"/>
                                </a:lnTo>
                                <a:lnTo>
                                  <a:pt x="798423" y="130403"/>
                                </a:lnTo>
                                <a:lnTo>
                                  <a:pt x="775258" y="130403"/>
                                </a:lnTo>
                                <a:lnTo>
                                  <a:pt x="775258" y="136753"/>
                                </a:lnTo>
                                <a:lnTo>
                                  <a:pt x="798423" y="136753"/>
                                </a:lnTo>
                                <a:lnTo>
                                  <a:pt x="798423" y="236347"/>
                                </a:lnTo>
                                <a:lnTo>
                                  <a:pt x="775258" y="236347"/>
                                </a:lnTo>
                                <a:lnTo>
                                  <a:pt x="775258" y="242697"/>
                                </a:lnTo>
                                <a:lnTo>
                                  <a:pt x="798423" y="242697"/>
                                </a:lnTo>
                                <a:lnTo>
                                  <a:pt x="798423" y="336740"/>
                                </a:lnTo>
                                <a:lnTo>
                                  <a:pt x="775258" y="336740"/>
                                </a:lnTo>
                                <a:lnTo>
                                  <a:pt x="775258" y="343090"/>
                                </a:lnTo>
                                <a:lnTo>
                                  <a:pt x="798423" y="343090"/>
                                </a:lnTo>
                                <a:lnTo>
                                  <a:pt x="798423" y="442683"/>
                                </a:lnTo>
                                <a:lnTo>
                                  <a:pt x="775258" y="442683"/>
                                </a:lnTo>
                                <a:lnTo>
                                  <a:pt x="775258" y="449033"/>
                                </a:lnTo>
                                <a:lnTo>
                                  <a:pt x="798423" y="449033"/>
                                </a:lnTo>
                                <a:lnTo>
                                  <a:pt x="798423" y="543064"/>
                                </a:lnTo>
                                <a:lnTo>
                                  <a:pt x="775258" y="543064"/>
                                </a:lnTo>
                                <a:lnTo>
                                  <a:pt x="775258" y="549414"/>
                                </a:lnTo>
                                <a:lnTo>
                                  <a:pt x="798423" y="549414"/>
                                </a:lnTo>
                                <a:lnTo>
                                  <a:pt x="798423" y="649020"/>
                                </a:lnTo>
                                <a:lnTo>
                                  <a:pt x="775258" y="649020"/>
                                </a:lnTo>
                                <a:lnTo>
                                  <a:pt x="775258" y="655370"/>
                                </a:lnTo>
                                <a:lnTo>
                                  <a:pt x="798423" y="655370"/>
                                </a:lnTo>
                                <a:lnTo>
                                  <a:pt x="798423" y="749388"/>
                                </a:lnTo>
                                <a:lnTo>
                                  <a:pt x="775258" y="749388"/>
                                </a:lnTo>
                                <a:lnTo>
                                  <a:pt x="775258" y="755738"/>
                                </a:lnTo>
                                <a:lnTo>
                                  <a:pt x="798423" y="755738"/>
                                </a:lnTo>
                                <a:lnTo>
                                  <a:pt x="798423" y="855357"/>
                                </a:lnTo>
                                <a:lnTo>
                                  <a:pt x="775258" y="855357"/>
                                </a:lnTo>
                                <a:lnTo>
                                  <a:pt x="775258" y="861707"/>
                                </a:lnTo>
                                <a:lnTo>
                                  <a:pt x="798423" y="861707"/>
                                </a:lnTo>
                                <a:lnTo>
                                  <a:pt x="798423" y="961301"/>
                                </a:lnTo>
                                <a:lnTo>
                                  <a:pt x="775258" y="961301"/>
                                </a:lnTo>
                                <a:lnTo>
                                  <a:pt x="775258" y="967651"/>
                                </a:lnTo>
                                <a:lnTo>
                                  <a:pt x="798423" y="967651"/>
                                </a:lnTo>
                                <a:lnTo>
                                  <a:pt x="798423" y="1061681"/>
                                </a:lnTo>
                                <a:lnTo>
                                  <a:pt x="775258" y="1061681"/>
                                </a:lnTo>
                                <a:lnTo>
                                  <a:pt x="775258" y="1068031"/>
                                </a:lnTo>
                                <a:lnTo>
                                  <a:pt x="798423" y="1068031"/>
                                </a:lnTo>
                                <a:lnTo>
                                  <a:pt x="798423" y="1167638"/>
                                </a:lnTo>
                                <a:lnTo>
                                  <a:pt x="775258" y="1167638"/>
                                </a:lnTo>
                                <a:lnTo>
                                  <a:pt x="775258" y="1173988"/>
                                </a:lnTo>
                                <a:lnTo>
                                  <a:pt x="798423" y="1173988"/>
                                </a:lnTo>
                                <a:lnTo>
                                  <a:pt x="798423" y="1268006"/>
                                </a:lnTo>
                                <a:lnTo>
                                  <a:pt x="775258" y="1268006"/>
                                </a:lnTo>
                                <a:lnTo>
                                  <a:pt x="775258" y="1274356"/>
                                </a:lnTo>
                                <a:lnTo>
                                  <a:pt x="798423" y="1274356"/>
                                </a:lnTo>
                                <a:lnTo>
                                  <a:pt x="798423" y="1373974"/>
                                </a:lnTo>
                                <a:lnTo>
                                  <a:pt x="775258" y="1373974"/>
                                </a:lnTo>
                                <a:lnTo>
                                  <a:pt x="775258" y="1380324"/>
                                </a:lnTo>
                                <a:lnTo>
                                  <a:pt x="798423" y="1380324"/>
                                </a:lnTo>
                                <a:lnTo>
                                  <a:pt x="798423" y="1474330"/>
                                </a:lnTo>
                                <a:lnTo>
                                  <a:pt x="775258" y="1474330"/>
                                </a:lnTo>
                                <a:lnTo>
                                  <a:pt x="775258" y="1480680"/>
                                </a:lnTo>
                                <a:lnTo>
                                  <a:pt x="798423" y="1480680"/>
                                </a:lnTo>
                                <a:lnTo>
                                  <a:pt x="798423" y="1580299"/>
                                </a:lnTo>
                                <a:lnTo>
                                  <a:pt x="775258" y="1580299"/>
                                </a:lnTo>
                                <a:lnTo>
                                  <a:pt x="775258" y="1586649"/>
                                </a:lnTo>
                                <a:lnTo>
                                  <a:pt x="798423" y="1586649"/>
                                </a:lnTo>
                                <a:lnTo>
                                  <a:pt x="798423" y="1680667"/>
                                </a:lnTo>
                                <a:lnTo>
                                  <a:pt x="775258" y="1680667"/>
                                </a:lnTo>
                                <a:lnTo>
                                  <a:pt x="775258" y="1687017"/>
                                </a:lnTo>
                                <a:lnTo>
                                  <a:pt x="798423" y="1687017"/>
                                </a:lnTo>
                                <a:lnTo>
                                  <a:pt x="798423" y="1786636"/>
                                </a:lnTo>
                                <a:lnTo>
                                  <a:pt x="775258" y="1786636"/>
                                </a:lnTo>
                                <a:lnTo>
                                  <a:pt x="775258" y="1792986"/>
                                </a:lnTo>
                                <a:lnTo>
                                  <a:pt x="798423" y="1792986"/>
                                </a:lnTo>
                                <a:lnTo>
                                  <a:pt x="798423" y="1892579"/>
                                </a:lnTo>
                                <a:lnTo>
                                  <a:pt x="775258" y="1892579"/>
                                </a:lnTo>
                                <a:lnTo>
                                  <a:pt x="775258" y="1898929"/>
                                </a:lnTo>
                                <a:lnTo>
                                  <a:pt x="798423" y="1898929"/>
                                </a:lnTo>
                                <a:lnTo>
                                  <a:pt x="798423" y="1992960"/>
                                </a:lnTo>
                                <a:lnTo>
                                  <a:pt x="775258" y="1992960"/>
                                </a:lnTo>
                                <a:lnTo>
                                  <a:pt x="775258" y="1999310"/>
                                </a:lnTo>
                                <a:lnTo>
                                  <a:pt x="798423" y="1999310"/>
                                </a:lnTo>
                                <a:lnTo>
                                  <a:pt x="798423" y="2098916"/>
                                </a:lnTo>
                                <a:lnTo>
                                  <a:pt x="775258" y="2098916"/>
                                </a:lnTo>
                                <a:lnTo>
                                  <a:pt x="775258" y="2105266"/>
                                </a:lnTo>
                                <a:lnTo>
                                  <a:pt x="798423" y="2105266"/>
                                </a:lnTo>
                                <a:lnTo>
                                  <a:pt x="798423" y="2199284"/>
                                </a:lnTo>
                                <a:lnTo>
                                  <a:pt x="775258" y="2199284"/>
                                </a:lnTo>
                                <a:lnTo>
                                  <a:pt x="775258" y="2205634"/>
                                </a:lnTo>
                                <a:lnTo>
                                  <a:pt x="798423" y="2205634"/>
                                </a:lnTo>
                                <a:lnTo>
                                  <a:pt x="798423" y="2305253"/>
                                </a:lnTo>
                                <a:lnTo>
                                  <a:pt x="775258" y="2305253"/>
                                </a:lnTo>
                                <a:lnTo>
                                  <a:pt x="775258" y="2311603"/>
                                </a:lnTo>
                                <a:lnTo>
                                  <a:pt x="798423" y="2311603"/>
                                </a:lnTo>
                                <a:lnTo>
                                  <a:pt x="798423" y="2405621"/>
                                </a:lnTo>
                                <a:lnTo>
                                  <a:pt x="775258" y="2405621"/>
                                </a:lnTo>
                                <a:lnTo>
                                  <a:pt x="775258" y="2411971"/>
                                </a:lnTo>
                                <a:lnTo>
                                  <a:pt x="798423" y="2411971"/>
                                </a:lnTo>
                                <a:lnTo>
                                  <a:pt x="798423" y="2511577"/>
                                </a:lnTo>
                                <a:lnTo>
                                  <a:pt x="775258" y="2511577"/>
                                </a:lnTo>
                                <a:lnTo>
                                  <a:pt x="775258" y="2517927"/>
                                </a:lnTo>
                                <a:lnTo>
                                  <a:pt x="798423" y="2517927"/>
                                </a:lnTo>
                                <a:lnTo>
                                  <a:pt x="798423" y="2534653"/>
                                </a:lnTo>
                                <a:lnTo>
                                  <a:pt x="804773" y="2534653"/>
                                </a:lnTo>
                                <a:lnTo>
                                  <a:pt x="804773" y="2517927"/>
                                </a:lnTo>
                                <a:lnTo>
                                  <a:pt x="1254074" y="2517927"/>
                                </a:lnTo>
                                <a:lnTo>
                                  <a:pt x="1254074" y="2534653"/>
                                </a:lnTo>
                                <a:lnTo>
                                  <a:pt x="1260424" y="2534653"/>
                                </a:lnTo>
                                <a:lnTo>
                                  <a:pt x="1260424" y="2517927"/>
                                </a:lnTo>
                                <a:lnTo>
                                  <a:pt x="1717471" y="2517927"/>
                                </a:lnTo>
                                <a:lnTo>
                                  <a:pt x="1717471" y="2534653"/>
                                </a:lnTo>
                                <a:lnTo>
                                  <a:pt x="1723821" y="2534653"/>
                                </a:lnTo>
                                <a:lnTo>
                                  <a:pt x="1723821" y="2517927"/>
                                </a:lnTo>
                                <a:lnTo>
                                  <a:pt x="2173135" y="2517927"/>
                                </a:lnTo>
                                <a:lnTo>
                                  <a:pt x="2173135" y="2534653"/>
                                </a:lnTo>
                                <a:lnTo>
                                  <a:pt x="2179485" y="2534653"/>
                                </a:lnTo>
                                <a:lnTo>
                                  <a:pt x="2179485" y="2517927"/>
                                </a:lnTo>
                                <a:lnTo>
                                  <a:pt x="2636494" y="2517927"/>
                                </a:lnTo>
                                <a:lnTo>
                                  <a:pt x="2636494" y="2534653"/>
                                </a:lnTo>
                                <a:lnTo>
                                  <a:pt x="2642844" y="2534653"/>
                                </a:lnTo>
                                <a:lnTo>
                                  <a:pt x="2642844" y="2517927"/>
                                </a:lnTo>
                                <a:lnTo>
                                  <a:pt x="3092183" y="2517927"/>
                                </a:lnTo>
                                <a:lnTo>
                                  <a:pt x="3092183" y="2534653"/>
                                </a:lnTo>
                                <a:lnTo>
                                  <a:pt x="3098533" y="2534653"/>
                                </a:lnTo>
                                <a:lnTo>
                                  <a:pt x="3098533" y="2517927"/>
                                </a:lnTo>
                                <a:lnTo>
                                  <a:pt x="3555542" y="2517927"/>
                                </a:lnTo>
                                <a:lnTo>
                                  <a:pt x="3555542" y="2534653"/>
                                </a:lnTo>
                                <a:lnTo>
                                  <a:pt x="3561892" y="2534653"/>
                                </a:lnTo>
                                <a:lnTo>
                                  <a:pt x="3561892" y="2517927"/>
                                </a:lnTo>
                                <a:lnTo>
                                  <a:pt x="4011193" y="2517927"/>
                                </a:lnTo>
                                <a:lnTo>
                                  <a:pt x="4011193" y="2534653"/>
                                </a:lnTo>
                                <a:lnTo>
                                  <a:pt x="4017543" y="2534653"/>
                                </a:lnTo>
                                <a:lnTo>
                                  <a:pt x="4017543" y="2517927"/>
                                </a:lnTo>
                                <a:lnTo>
                                  <a:pt x="4474578" y="2517927"/>
                                </a:lnTo>
                                <a:lnTo>
                                  <a:pt x="4474578" y="2534653"/>
                                </a:lnTo>
                                <a:lnTo>
                                  <a:pt x="4480928" y="2534653"/>
                                </a:lnTo>
                                <a:lnTo>
                                  <a:pt x="4480928" y="2517927"/>
                                </a:lnTo>
                                <a:lnTo>
                                  <a:pt x="4930254" y="2517927"/>
                                </a:lnTo>
                                <a:lnTo>
                                  <a:pt x="4930254" y="2534653"/>
                                </a:lnTo>
                                <a:lnTo>
                                  <a:pt x="4936604" y="2534653"/>
                                </a:lnTo>
                                <a:lnTo>
                                  <a:pt x="4936604" y="2511577"/>
                                </a:lnTo>
                                <a:close/>
                              </a:path>
                              <a:path w="5039360" h="2757170">
                                <a:moveTo>
                                  <a:pt x="5039055" y="0"/>
                                </a:moveTo>
                                <a:lnTo>
                                  <a:pt x="5032705" y="0"/>
                                </a:lnTo>
                                <a:lnTo>
                                  <a:pt x="5032705" y="6438"/>
                                </a:lnTo>
                                <a:lnTo>
                                  <a:pt x="5032705" y="2750312"/>
                                </a:lnTo>
                                <a:lnTo>
                                  <a:pt x="6350" y="2750312"/>
                                </a:lnTo>
                                <a:lnTo>
                                  <a:pt x="6350" y="6438"/>
                                </a:lnTo>
                                <a:lnTo>
                                  <a:pt x="5032705" y="6438"/>
                                </a:lnTo>
                                <a:lnTo>
                                  <a:pt x="5032705" y="0"/>
                                </a:lnTo>
                                <a:lnTo>
                                  <a:pt x="0" y="0"/>
                                </a:lnTo>
                                <a:lnTo>
                                  <a:pt x="0" y="3810"/>
                                </a:lnTo>
                                <a:lnTo>
                                  <a:pt x="0" y="6350"/>
                                </a:lnTo>
                                <a:lnTo>
                                  <a:pt x="0" y="2750820"/>
                                </a:lnTo>
                                <a:lnTo>
                                  <a:pt x="0" y="2753360"/>
                                </a:lnTo>
                                <a:lnTo>
                                  <a:pt x="0" y="2757170"/>
                                </a:lnTo>
                                <a:lnTo>
                                  <a:pt x="5039055" y="2757170"/>
                                </a:lnTo>
                                <a:lnTo>
                                  <a:pt x="5039055" y="3263"/>
                                </a:lnTo>
                                <a:lnTo>
                                  <a:pt x="5039055" y="0"/>
                                </a:lnTo>
                                <a:close/>
                              </a:path>
                            </a:pathLst>
                          </a:custGeom>
                          <a:solidFill>
                            <a:srgbClr val="000000"/>
                          </a:solidFill>
                        </wps:spPr>
                        <wps:bodyPr wrap="square" lIns="0" tIns="0" rIns="0" bIns="0" rtlCol="0">
                          <a:prstTxWarp prst="textNoShape">
                            <a:avLst/>
                          </a:prstTxWarp>
                          <a:noAutofit/>
                        </wps:bodyPr>
                      </wps:wsp>
                      <wps:wsp>
                        <wps:cNvPr id="1711" name="Textbox 1711"/>
                        <wps:cNvSpPr txBox="1"/>
                        <wps:spPr>
                          <a:xfrm>
                            <a:off x="4893731" y="254885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45</w:t>
                              </w:r>
                            </w:p>
                          </w:txbxContent>
                        </wps:txbx>
                        <wps:bodyPr wrap="square" lIns="0" tIns="0" rIns="0" bIns="0" rtlCol="0">
                          <a:noAutofit/>
                        </wps:bodyPr>
                      </wps:wsp>
                      <wps:wsp>
                        <wps:cNvPr id="1712" name="Textbox 1712"/>
                        <wps:cNvSpPr txBox="1"/>
                        <wps:spPr>
                          <a:xfrm>
                            <a:off x="151903" y="108857"/>
                            <a:ext cx="608330" cy="2421255"/>
                          </a:xfrm>
                          <a:prstGeom prst="rect">
                            <a:avLst/>
                          </a:prstGeom>
                        </wps:spPr>
                        <wps:txbx>
                          <w:txbxContent>
                            <w:p>
                              <w:pPr>
                                <w:spacing w:line="247" w:lineRule="auto" w:before="0"/>
                                <w:ind w:left="108" w:right="18" w:firstLine="185"/>
                                <w:jc w:val="right"/>
                                <w:rPr>
                                  <w:rFonts w:ascii="Arial MT"/>
                                  <w:sz w:val="14"/>
                                </w:rPr>
                              </w:pPr>
                              <w:r>
                                <w:rPr>
                                  <w:rFonts w:ascii="Arial MT"/>
                                  <w:spacing w:val="-2"/>
                                  <w:w w:val="80"/>
                                  <w:sz w:val="14"/>
                                </w:rPr>
                                <w:t>Maharashtra</w:t>
                              </w:r>
                              <w:r>
                                <w:rPr>
                                  <w:rFonts w:ascii="Arial MT"/>
                                  <w:spacing w:val="40"/>
                                  <w:sz w:val="14"/>
                                </w:rPr>
                                <w:t> </w:t>
                              </w:r>
                              <w:r>
                                <w:rPr>
                                  <w:rFonts w:ascii="Arial MT"/>
                                  <w:spacing w:val="-2"/>
                                  <w:w w:val="90"/>
                                  <w:sz w:val="14"/>
                                </w:rPr>
                                <w:t>Karnataka</w:t>
                              </w:r>
                              <w:r>
                                <w:rPr>
                                  <w:rFonts w:ascii="Arial MT"/>
                                  <w:spacing w:val="40"/>
                                  <w:sz w:val="14"/>
                                </w:rPr>
                                <w:t> </w:t>
                              </w:r>
                              <w:r>
                                <w:rPr>
                                  <w:rFonts w:ascii="Arial MT"/>
                                  <w:w w:val="80"/>
                                  <w:sz w:val="14"/>
                                </w:rPr>
                                <w:t>Andhra</w:t>
                              </w:r>
                              <w:r>
                                <w:rPr>
                                  <w:rFonts w:ascii="Arial MT"/>
                                  <w:spacing w:val="2"/>
                                  <w:sz w:val="14"/>
                                </w:rPr>
                                <w:t> </w:t>
                              </w:r>
                              <w:r>
                                <w:rPr>
                                  <w:rFonts w:ascii="Arial MT"/>
                                  <w:spacing w:val="-5"/>
                                  <w:w w:val="85"/>
                                  <w:sz w:val="14"/>
                                </w:rPr>
                                <w:t>Pradesh</w:t>
                              </w:r>
                            </w:p>
                            <w:p>
                              <w:pPr>
                                <w:spacing w:before="0"/>
                                <w:ind w:left="0" w:right="18" w:firstLine="0"/>
                                <w:jc w:val="right"/>
                                <w:rPr>
                                  <w:rFonts w:ascii="Arial MT"/>
                                  <w:sz w:val="14"/>
                                </w:rPr>
                              </w:pPr>
                              <w:r>
                                <w:rPr>
                                  <w:rFonts w:ascii="Arial MT"/>
                                  <w:spacing w:val="-4"/>
                                  <w:w w:val="80"/>
                                  <w:sz w:val="14"/>
                                </w:rPr>
                                <w:t>Tamil</w:t>
                              </w:r>
                              <w:r>
                                <w:rPr>
                                  <w:rFonts w:ascii="Arial MT"/>
                                  <w:spacing w:val="1"/>
                                  <w:sz w:val="14"/>
                                </w:rPr>
                                <w:t> </w:t>
                              </w:r>
                              <w:r>
                                <w:rPr>
                                  <w:rFonts w:ascii="Arial MT"/>
                                  <w:spacing w:val="-4"/>
                                  <w:w w:val="90"/>
                                  <w:sz w:val="14"/>
                                </w:rPr>
                                <w:t>Nadu</w:t>
                              </w:r>
                            </w:p>
                            <w:p>
                              <w:pPr>
                                <w:spacing w:line="247" w:lineRule="auto" w:before="5"/>
                                <w:ind w:left="229" w:right="18" w:firstLine="376"/>
                                <w:jc w:val="right"/>
                                <w:rPr>
                                  <w:rFonts w:ascii="Arial MT"/>
                                  <w:sz w:val="14"/>
                                </w:rPr>
                              </w:pPr>
                              <w:r>
                                <w:rPr>
                                  <w:rFonts w:ascii="Arial MT"/>
                                  <w:spacing w:val="-2"/>
                                  <w:w w:val="80"/>
                                  <w:sz w:val="14"/>
                                </w:rPr>
                                <w:t>Kerala</w:t>
                              </w:r>
                              <w:r>
                                <w:rPr>
                                  <w:rFonts w:ascii="Arial MT"/>
                                  <w:spacing w:val="40"/>
                                  <w:sz w:val="14"/>
                                </w:rPr>
                                <w:t> </w:t>
                              </w:r>
                              <w:r>
                                <w:rPr>
                                  <w:rFonts w:ascii="Arial MT"/>
                                  <w:w w:val="80"/>
                                  <w:sz w:val="14"/>
                                </w:rPr>
                                <w:t>Uttar</w:t>
                              </w:r>
                              <w:r>
                                <w:rPr>
                                  <w:rFonts w:ascii="Arial MT"/>
                                  <w:spacing w:val="-4"/>
                                  <w:sz w:val="14"/>
                                </w:rPr>
                                <w:t> </w:t>
                              </w:r>
                              <w:r>
                                <w:rPr>
                                  <w:rFonts w:ascii="Arial MT"/>
                                  <w:spacing w:val="-4"/>
                                  <w:w w:val="85"/>
                                  <w:sz w:val="14"/>
                                </w:rPr>
                                <w:t>Pradesh</w:t>
                              </w:r>
                            </w:p>
                            <w:p>
                              <w:pPr>
                                <w:spacing w:line="247" w:lineRule="auto" w:before="0"/>
                                <w:ind w:left="70" w:right="18" w:firstLine="491"/>
                                <w:jc w:val="right"/>
                                <w:rPr>
                                  <w:rFonts w:ascii="Arial MT"/>
                                  <w:sz w:val="14"/>
                                </w:rPr>
                              </w:pPr>
                              <w:r>
                                <w:rPr>
                                  <w:rFonts w:ascii="Arial MT"/>
                                  <w:spacing w:val="-2"/>
                                  <w:w w:val="80"/>
                                  <w:sz w:val="14"/>
                                </w:rPr>
                                <w:t>Gujarat</w:t>
                              </w:r>
                              <w:r>
                                <w:rPr>
                                  <w:rFonts w:ascii="Arial MT"/>
                                  <w:spacing w:val="40"/>
                                  <w:sz w:val="14"/>
                                </w:rPr>
                                <w:t> </w:t>
                              </w:r>
                              <w:r>
                                <w:rPr>
                                  <w:rFonts w:ascii="Arial MT"/>
                                  <w:w w:val="90"/>
                                  <w:sz w:val="14"/>
                                </w:rPr>
                                <w:t>West</w:t>
                              </w:r>
                              <w:r>
                                <w:rPr>
                                  <w:rFonts w:ascii="Arial MT"/>
                                  <w:spacing w:val="-6"/>
                                  <w:w w:val="90"/>
                                  <w:sz w:val="14"/>
                                </w:rPr>
                                <w:t> </w:t>
                              </w:r>
                              <w:r>
                                <w:rPr>
                                  <w:rFonts w:ascii="Arial MT"/>
                                  <w:w w:val="90"/>
                                  <w:sz w:val="14"/>
                                </w:rPr>
                                <w:t>Bengal</w:t>
                              </w:r>
                              <w:r>
                                <w:rPr>
                                  <w:rFonts w:ascii="Arial MT"/>
                                  <w:spacing w:val="40"/>
                                  <w:sz w:val="14"/>
                                </w:rPr>
                                <w:t> </w:t>
                              </w:r>
                              <w:r>
                                <w:rPr>
                                  <w:rFonts w:ascii="Arial MT"/>
                                  <w:spacing w:val="-2"/>
                                  <w:w w:val="90"/>
                                  <w:sz w:val="14"/>
                                </w:rPr>
                                <w:t>Rajasthan</w:t>
                              </w:r>
                              <w:r>
                                <w:rPr>
                                  <w:rFonts w:ascii="Arial MT"/>
                                  <w:spacing w:val="40"/>
                                  <w:sz w:val="14"/>
                                </w:rPr>
                                <w:t> </w:t>
                              </w:r>
                              <w:r>
                                <w:rPr>
                                  <w:rFonts w:ascii="Arial MT"/>
                                  <w:w w:val="80"/>
                                  <w:sz w:val="14"/>
                                </w:rPr>
                                <w:t>Madhya</w:t>
                              </w:r>
                              <w:r>
                                <w:rPr>
                                  <w:rFonts w:ascii="Arial MT"/>
                                  <w:spacing w:val="-3"/>
                                  <w:sz w:val="14"/>
                                </w:rPr>
                                <w:t> </w:t>
                              </w:r>
                              <w:r>
                                <w:rPr>
                                  <w:rFonts w:ascii="Arial MT"/>
                                  <w:spacing w:val="-4"/>
                                  <w:w w:val="85"/>
                                  <w:sz w:val="14"/>
                                </w:rPr>
                                <w:t>Pradesh</w:t>
                              </w:r>
                            </w:p>
                            <w:p>
                              <w:pPr>
                                <w:spacing w:line="247" w:lineRule="auto" w:before="1"/>
                                <w:ind w:left="580" w:right="18" w:firstLine="89"/>
                                <w:jc w:val="right"/>
                                <w:rPr>
                                  <w:rFonts w:ascii="Arial MT"/>
                                  <w:sz w:val="14"/>
                                </w:rPr>
                              </w:pPr>
                              <w:r>
                                <w:rPr>
                                  <w:rFonts w:ascii="Arial MT"/>
                                  <w:spacing w:val="-2"/>
                                  <w:w w:val="80"/>
                                  <w:sz w:val="14"/>
                                </w:rPr>
                                <w:t>Bihar</w:t>
                              </w:r>
                              <w:r>
                                <w:rPr>
                                  <w:rFonts w:ascii="Arial MT"/>
                                  <w:spacing w:val="40"/>
                                  <w:sz w:val="14"/>
                                </w:rPr>
                                <w:t> </w:t>
                              </w:r>
                              <w:r>
                                <w:rPr>
                                  <w:rFonts w:ascii="Arial MT"/>
                                  <w:spacing w:val="-2"/>
                                  <w:w w:val="80"/>
                                  <w:sz w:val="14"/>
                                </w:rPr>
                                <w:t>Punjab</w:t>
                              </w:r>
                              <w:r>
                                <w:rPr>
                                  <w:rFonts w:ascii="Arial MT"/>
                                  <w:spacing w:val="40"/>
                                  <w:sz w:val="14"/>
                                </w:rPr>
                                <w:t> </w:t>
                              </w:r>
                              <w:r>
                                <w:rPr>
                                  <w:rFonts w:ascii="Arial MT"/>
                                  <w:spacing w:val="-2"/>
                                  <w:w w:val="90"/>
                                  <w:sz w:val="14"/>
                                </w:rPr>
                                <w:t>Delhi</w:t>
                              </w:r>
                            </w:p>
                            <w:p>
                              <w:pPr>
                                <w:spacing w:before="1"/>
                                <w:ind w:left="0" w:right="18" w:firstLine="0"/>
                                <w:jc w:val="right"/>
                                <w:rPr>
                                  <w:rFonts w:ascii="Arial MT"/>
                                  <w:sz w:val="14"/>
                                </w:rPr>
                              </w:pPr>
                              <w:r>
                                <w:rPr>
                                  <w:rFonts w:ascii="Arial MT"/>
                                  <w:w w:val="80"/>
                                  <w:sz w:val="14"/>
                                </w:rPr>
                                <w:t>Jammu</w:t>
                              </w:r>
                              <w:r>
                                <w:rPr>
                                  <w:rFonts w:ascii="Arial MT"/>
                                  <w:spacing w:val="-2"/>
                                  <w:sz w:val="14"/>
                                </w:rPr>
                                <w:t> </w:t>
                              </w:r>
                              <w:r>
                                <w:rPr>
                                  <w:rFonts w:ascii="Arial MT"/>
                                  <w:w w:val="80"/>
                                  <w:sz w:val="14"/>
                                </w:rPr>
                                <w:t>&amp;</w:t>
                              </w:r>
                              <w:r>
                                <w:rPr>
                                  <w:rFonts w:ascii="Arial MT"/>
                                  <w:spacing w:val="-2"/>
                                  <w:sz w:val="14"/>
                                </w:rPr>
                                <w:t> </w:t>
                              </w:r>
                              <w:r>
                                <w:rPr>
                                  <w:rFonts w:ascii="Arial MT"/>
                                  <w:spacing w:val="-2"/>
                                  <w:w w:val="80"/>
                                  <w:sz w:val="14"/>
                                </w:rPr>
                                <w:t>Kashmir</w:t>
                              </w:r>
                            </w:p>
                            <w:p>
                              <w:pPr>
                                <w:spacing w:line="247" w:lineRule="auto" w:before="5"/>
                                <w:ind w:left="350" w:right="18" w:firstLine="255"/>
                                <w:jc w:val="right"/>
                                <w:rPr>
                                  <w:rFonts w:ascii="Arial MT"/>
                                  <w:sz w:val="14"/>
                                </w:rPr>
                              </w:pPr>
                              <w:r>
                                <w:rPr>
                                  <w:rFonts w:ascii="Arial MT"/>
                                  <w:spacing w:val="-2"/>
                                  <w:w w:val="80"/>
                                  <w:sz w:val="14"/>
                                </w:rPr>
                                <w:t>Orissa</w:t>
                              </w:r>
                              <w:r>
                                <w:rPr>
                                  <w:rFonts w:ascii="Arial MT"/>
                                  <w:spacing w:val="40"/>
                                  <w:sz w:val="14"/>
                                </w:rPr>
                                <w:t> </w:t>
                              </w:r>
                              <w:r>
                                <w:rPr>
                                  <w:rFonts w:ascii="Arial MT"/>
                                  <w:spacing w:val="-2"/>
                                  <w:w w:val="90"/>
                                  <w:sz w:val="14"/>
                                </w:rPr>
                                <w:t>Jharkhand</w:t>
                              </w:r>
                              <w:r>
                                <w:rPr>
                                  <w:rFonts w:ascii="Arial MT"/>
                                  <w:spacing w:val="40"/>
                                  <w:sz w:val="14"/>
                                </w:rPr>
                                <w:t> </w:t>
                              </w:r>
                              <w:r>
                                <w:rPr>
                                  <w:rFonts w:ascii="Arial MT"/>
                                  <w:spacing w:val="-2"/>
                                  <w:w w:val="90"/>
                                  <w:sz w:val="14"/>
                                </w:rPr>
                                <w:t>Haryana</w:t>
                              </w:r>
                              <w:r>
                                <w:rPr>
                                  <w:rFonts w:ascii="Arial MT"/>
                                  <w:spacing w:val="40"/>
                                  <w:sz w:val="14"/>
                                </w:rPr>
                                <w:t> </w:t>
                              </w:r>
                              <w:r>
                                <w:rPr>
                                  <w:rFonts w:ascii="Arial MT"/>
                                  <w:spacing w:val="-2"/>
                                  <w:w w:val="90"/>
                                  <w:sz w:val="14"/>
                                </w:rPr>
                                <w:t>Assam</w:t>
                              </w:r>
                              <w:r>
                                <w:rPr>
                                  <w:rFonts w:ascii="Arial MT"/>
                                  <w:spacing w:val="40"/>
                                  <w:sz w:val="14"/>
                                </w:rPr>
                                <w:t> </w:t>
                              </w:r>
                              <w:r>
                                <w:rPr>
                                  <w:rFonts w:ascii="Arial MT"/>
                                  <w:spacing w:val="-2"/>
                                  <w:w w:val="80"/>
                                  <w:sz w:val="14"/>
                                </w:rPr>
                                <w:t>Uttaranchal</w:t>
                              </w:r>
                            </w:p>
                            <w:p>
                              <w:pPr>
                                <w:spacing w:before="1"/>
                                <w:ind w:left="0" w:right="18" w:firstLine="0"/>
                                <w:jc w:val="right"/>
                                <w:rPr>
                                  <w:rFonts w:ascii="Arial MT"/>
                                  <w:sz w:val="14"/>
                                </w:rPr>
                              </w:pPr>
                              <w:r>
                                <w:rPr>
                                  <w:rFonts w:ascii="Arial MT"/>
                                  <w:w w:val="80"/>
                                  <w:sz w:val="14"/>
                                </w:rPr>
                                <w:t>Himachal</w:t>
                              </w:r>
                              <w:r>
                                <w:rPr>
                                  <w:rFonts w:ascii="Arial MT"/>
                                  <w:spacing w:val="-1"/>
                                  <w:w w:val="80"/>
                                  <w:sz w:val="14"/>
                                </w:rPr>
                                <w:t> </w:t>
                              </w:r>
                              <w:r>
                                <w:rPr>
                                  <w:rFonts w:ascii="Arial MT"/>
                                  <w:spacing w:val="-2"/>
                                  <w:w w:val="85"/>
                                  <w:sz w:val="14"/>
                                </w:rPr>
                                <w:t>Pradesh</w:t>
                              </w:r>
                            </w:p>
                            <w:p>
                              <w:pPr>
                                <w:spacing w:before="5"/>
                                <w:ind w:left="0" w:right="18" w:firstLine="0"/>
                                <w:jc w:val="right"/>
                                <w:rPr>
                                  <w:rFonts w:ascii="Arial MT"/>
                                  <w:sz w:val="14"/>
                                </w:rPr>
                              </w:pPr>
                              <w:r>
                                <w:rPr>
                                  <w:rFonts w:ascii="Arial MT"/>
                                  <w:spacing w:val="-2"/>
                                  <w:w w:val="90"/>
                                  <w:sz w:val="14"/>
                                </w:rPr>
                                <w:t>Chhattisgarh</w:t>
                              </w:r>
                            </w:p>
                            <w:p>
                              <w:pPr>
                                <w:spacing w:line="247" w:lineRule="auto" w:before="0"/>
                                <w:ind w:left="720" w:right="18" w:hanging="143"/>
                                <w:jc w:val="right"/>
                                <w:rPr>
                                  <w:rFonts w:ascii="Arial MT"/>
                                  <w:sz w:val="14"/>
                                </w:rPr>
                              </w:pPr>
                              <w:r>
                                <w:rPr>
                                  <w:rFonts w:ascii="Arial MT"/>
                                  <w:spacing w:val="-2"/>
                                  <w:w w:val="80"/>
                                  <w:sz w:val="14"/>
                                </w:rPr>
                                <w:t>Tripura</w:t>
                              </w:r>
                              <w:r>
                                <w:rPr>
                                  <w:rFonts w:ascii="Arial MT"/>
                                  <w:spacing w:val="40"/>
                                  <w:sz w:val="14"/>
                                </w:rPr>
                                <w:t> </w:t>
                              </w:r>
                              <w:r>
                                <w:rPr>
                                  <w:rFonts w:ascii="Arial MT"/>
                                  <w:spacing w:val="-5"/>
                                  <w:w w:val="80"/>
                                  <w:sz w:val="14"/>
                                </w:rPr>
                                <w:t>Goa</w:t>
                              </w:r>
                            </w:p>
                          </w:txbxContent>
                        </wps:txbx>
                        <wps:bodyPr wrap="square" lIns="0" tIns="0" rIns="0" bIns="0" rtlCol="0">
                          <a:noAutofit/>
                        </wps:bodyPr>
                      </wps:wsp>
                      <wps:wsp>
                        <wps:cNvPr id="1713" name="Textbox 1713"/>
                        <wps:cNvSpPr txBox="1"/>
                        <wps:spPr>
                          <a:xfrm>
                            <a:off x="773803" y="2555207"/>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714" name="Textbox 1714"/>
                        <wps:cNvSpPr txBox="1"/>
                        <wps:spPr>
                          <a:xfrm>
                            <a:off x="1237353" y="2555207"/>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5</w:t>
                              </w:r>
                            </w:p>
                          </w:txbxContent>
                        </wps:txbx>
                        <wps:bodyPr wrap="square" lIns="0" tIns="0" rIns="0" bIns="0" rtlCol="0">
                          <a:noAutofit/>
                        </wps:bodyPr>
                      </wps:wsp>
                      <wps:wsp>
                        <wps:cNvPr id="1715" name="Textbox 1715"/>
                        <wps:cNvSpPr txBox="1"/>
                        <wps:spPr>
                          <a:xfrm>
                            <a:off x="1686981" y="255520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w:t>
                              </w:r>
                            </w:p>
                          </w:txbxContent>
                        </wps:txbx>
                        <wps:bodyPr wrap="square" lIns="0" tIns="0" rIns="0" bIns="0" rtlCol="0">
                          <a:noAutofit/>
                        </wps:bodyPr>
                      </wps:wsp>
                      <wps:wsp>
                        <wps:cNvPr id="1716" name="Textbox 1716"/>
                        <wps:cNvSpPr txBox="1"/>
                        <wps:spPr>
                          <a:xfrm>
                            <a:off x="2131481" y="255520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15</w:t>
                              </w:r>
                            </w:p>
                          </w:txbxContent>
                        </wps:txbx>
                        <wps:bodyPr wrap="square" lIns="0" tIns="0" rIns="0" bIns="0" rtlCol="0">
                          <a:noAutofit/>
                        </wps:bodyPr>
                      </wps:wsp>
                      <wps:wsp>
                        <wps:cNvPr id="1717" name="Textbox 1717"/>
                        <wps:cNvSpPr txBox="1"/>
                        <wps:spPr>
                          <a:xfrm>
                            <a:off x="2590106" y="255520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w:t>
                              </w:r>
                            </w:p>
                          </w:txbxContent>
                        </wps:txbx>
                        <wps:bodyPr wrap="square" lIns="0" tIns="0" rIns="0" bIns="0" rtlCol="0">
                          <a:noAutofit/>
                        </wps:bodyPr>
                      </wps:wsp>
                      <wps:wsp>
                        <wps:cNvPr id="1718" name="Textbox 1718"/>
                        <wps:cNvSpPr txBox="1"/>
                        <wps:spPr>
                          <a:xfrm>
                            <a:off x="3058581" y="255520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25</w:t>
                              </w:r>
                            </w:p>
                          </w:txbxContent>
                        </wps:txbx>
                        <wps:bodyPr wrap="square" lIns="0" tIns="0" rIns="0" bIns="0" rtlCol="0">
                          <a:noAutofit/>
                        </wps:bodyPr>
                      </wps:wsp>
                      <wps:wsp>
                        <wps:cNvPr id="1719" name="Textbox 1719"/>
                        <wps:cNvSpPr txBox="1"/>
                        <wps:spPr>
                          <a:xfrm>
                            <a:off x="3520531" y="255520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30</w:t>
                              </w:r>
                            </w:p>
                          </w:txbxContent>
                        </wps:txbx>
                        <wps:bodyPr wrap="square" lIns="0" tIns="0" rIns="0" bIns="0" rtlCol="0">
                          <a:noAutofit/>
                        </wps:bodyPr>
                      </wps:wsp>
                      <wps:wsp>
                        <wps:cNvPr id="1720" name="Textbox 1720"/>
                        <wps:cNvSpPr txBox="1"/>
                        <wps:spPr>
                          <a:xfrm>
                            <a:off x="3977731" y="254885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35</w:t>
                              </w:r>
                            </w:p>
                          </w:txbxContent>
                        </wps:txbx>
                        <wps:bodyPr wrap="square" lIns="0" tIns="0" rIns="0" bIns="0" rtlCol="0">
                          <a:noAutofit/>
                        </wps:bodyPr>
                      </wps:wsp>
                      <wps:wsp>
                        <wps:cNvPr id="1721" name="Textbox 1721"/>
                        <wps:cNvSpPr txBox="1"/>
                        <wps:spPr>
                          <a:xfrm>
                            <a:off x="4442881" y="254885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40</w:t>
                              </w:r>
                            </w:p>
                          </w:txbxContent>
                        </wps:txbx>
                        <wps:bodyPr wrap="square" lIns="0" tIns="0" rIns="0" bIns="0" rtlCol="0">
                          <a:noAutofit/>
                        </wps:bodyPr>
                      </wps:wsp>
                    </wpg:wgp>
                  </a:graphicData>
                </a:graphic>
              </wp:anchor>
            </w:drawing>
          </mc:Choice>
          <mc:Fallback>
            <w:pict>
              <v:group style="position:absolute;margin-left:100.704712pt;margin-top:3.853125pt;width:396.8pt;height:217.1pt;mso-position-horizontal-relative:page;mso-position-vertical-relative:paragraph;z-index:-15616000;mso-wrap-distance-left:0;mso-wrap-distance-right:0" id="docshapegroup1694" coordorigin="2014,77" coordsize="7936,4342">
                <v:shape style="position:absolute;left:3276;top:322;width:5644;height:3689" id="docshape1695" coordorigin="3276,323" coordsize="5644,3689" path="m3422,3906l3276,3906,3276,4011,3422,4011,3422,3906xm3422,3747l3276,3747,3276,3844,3422,3844,3422,3747xm3568,3581l3276,3581,3276,3686,3568,3686,3568,3581xm3568,3423l3276,3423,3276,3519,3568,3519,3568,3423xm3568,3256l3276,3256,3276,3361,3568,3361,3568,3256xm3714,3098l3276,3098,3276,3194,3714,3194,3714,3098xm3714,2931l3276,2931,3276,3036,3714,3036,3714,2931xm3714,2764l3276,2764,3276,2869,3714,2869,3714,2764xm3860,2606l3276,2606,3276,2702,3860,2702,3860,2606xm3860,2439l3276,2439,3276,2544,3860,2544,3860,2439xm3994,2281l3276,2281,3276,2378,3994,2378,3994,2281xm4140,2114l3276,2114,3276,2219,4140,2219,4140,2114xm4432,1956l3276,1956,3276,2053,4432,2053,4432,1956xm4432,1789l3276,1789,3276,1895,4432,1895,4432,1789xm4432,1631l3276,1631,3276,1728,4432,1728,4432,1631xm4578,1464l3276,1464,3276,1570,4578,1570,4578,1464xm5162,1297l3276,1297,3276,1403,5162,1403,5162,1297xm5162,1139l3276,1139,3276,1236,5162,1236,5162,1139xm5441,972l3276,972,3276,1078,5441,1078,5441,972xm6463,814l3276,814,3276,911,6463,911,6463,814xm7764,647l3276,647,3276,753,7764,753,7764,647xm7898,489l3276,489,3276,586,7898,586,7898,489xm8920,323l3276,323,3276,428,8920,428,8920,323xe" filled="true" fillcolor="#2f7d41" stroked="false">
                  <v:path arrowok="t"/>
                  <v:fill type="solid"/>
                </v:shape>
                <v:shape style="position:absolute;left:2014;top:77;width:7936;height:4342" id="docshape1696" coordorigin="2014,77" coordsize="7936,4342" path="m9788,4032l9778,4032,9071,4032,9061,4032,8341,4032,8331,4032,7623,4032,7613,4032,6894,4032,6884,4032,6176,4032,6166,4032,5446,4032,5436,4032,4729,4032,4719,4032,3999,4032,3989,4032,3281,4032,3281,282,3271,282,3235,282,3235,292,3271,292,3271,449,3235,449,3235,459,3271,459,3271,607,3235,607,3235,617,3271,617,3271,774,3235,774,3235,784,3271,784,3271,932,3235,932,3235,942,3271,942,3271,1099,3235,1099,3235,1109,3271,1109,3271,1257,3235,1257,3235,1267,3271,1267,3271,1424,3235,1424,3235,1434,3271,1434,3271,1591,3235,1591,3235,1601,3271,1601,3271,1749,3235,1749,3235,1759,3271,1759,3271,1916,3235,1916,3235,1926,3271,1926,3271,2074,3235,2074,3235,2084,3271,2084,3271,2241,3235,2241,3235,2251,3271,2251,3271,2399,3235,2399,3235,2409,3271,2409,3271,2566,3235,2566,3235,2576,3271,2576,3271,2724,3235,2724,3235,2734,3271,2734,3271,2891,3235,2891,3235,2901,3271,2901,3271,3058,3235,3058,3235,3068,3271,3068,3271,3216,3235,3216,3235,3226,3271,3226,3271,3382,3235,3382,3235,3392,3271,3392,3271,3541,3235,3541,3235,3551,3271,3551,3271,3707,3235,3707,3235,3717,3271,3717,3271,3865,3235,3865,3235,3875,3271,3875,3271,4032,3235,4032,3235,4042,3271,4042,3271,4069,3281,4069,3281,4042,3989,4042,3989,4069,3999,4069,3999,4042,4719,4042,4719,4069,4729,4069,4729,4042,5436,4042,5436,4069,5446,4069,5446,4042,6166,4042,6166,4069,6176,4069,6176,4042,6884,4042,6884,4069,6894,4069,6894,4042,7613,4042,7613,4069,7623,4069,7623,4042,8331,4042,8331,4069,8341,4069,8341,4042,9061,4042,9061,4069,9071,4069,9071,4042,9778,4042,9778,4069,9788,4069,9788,4032xm9950,77l9940,77,9940,87,9940,4408,2024,4408,2024,87,9940,87,9940,77,2014,77,2014,83,2014,87,2014,4409,2014,4413,2014,4419,9950,4419,9950,4413,9950,4413,9950,4409,9950,4408,9950,87,9950,87,9950,83,9950,82,9950,77xe" filled="true" fillcolor="#000000" stroked="false">
                  <v:path arrowok="t"/>
                  <v:fill type="solid"/>
                </v:shape>
                <v:shape style="position:absolute;left:9720;top:4091;width:148;height:161" type="#_x0000_t202" id="docshape1697" filled="false" stroked="false">
                  <v:textbox inset="0,0,0,0">
                    <w:txbxContent>
                      <w:p>
                        <w:pPr>
                          <w:spacing w:line="161" w:lineRule="exact" w:before="0"/>
                          <w:ind w:left="0" w:right="0" w:firstLine="0"/>
                          <w:jc w:val="left"/>
                          <w:rPr>
                            <w:rFonts w:ascii="Arial MT"/>
                            <w:sz w:val="14"/>
                          </w:rPr>
                        </w:pPr>
                        <w:r>
                          <w:rPr>
                            <w:rFonts w:ascii="Arial MT"/>
                            <w:spacing w:val="-5"/>
                            <w:w w:val="90"/>
                            <w:sz w:val="14"/>
                          </w:rPr>
                          <w:t>45</w:t>
                        </w:r>
                      </w:p>
                    </w:txbxContent>
                  </v:textbox>
                  <w10:wrap type="none"/>
                </v:shape>
                <v:shape style="position:absolute;left:2253;top:248;width:958;height:3813" type="#_x0000_t202" id="docshape1698" filled="false" stroked="false">
                  <v:textbox inset="0,0,0,0">
                    <w:txbxContent>
                      <w:p>
                        <w:pPr>
                          <w:spacing w:line="247" w:lineRule="auto" w:before="0"/>
                          <w:ind w:left="108" w:right="18" w:firstLine="185"/>
                          <w:jc w:val="right"/>
                          <w:rPr>
                            <w:rFonts w:ascii="Arial MT"/>
                            <w:sz w:val="14"/>
                          </w:rPr>
                        </w:pPr>
                        <w:r>
                          <w:rPr>
                            <w:rFonts w:ascii="Arial MT"/>
                            <w:spacing w:val="-2"/>
                            <w:w w:val="80"/>
                            <w:sz w:val="14"/>
                          </w:rPr>
                          <w:t>Maharashtra</w:t>
                        </w:r>
                        <w:r>
                          <w:rPr>
                            <w:rFonts w:ascii="Arial MT"/>
                            <w:spacing w:val="40"/>
                            <w:sz w:val="14"/>
                          </w:rPr>
                          <w:t> </w:t>
                        </w:r>
                        <w:r>
                          <w:rPr>
                            <w:rFonts w:ascii="Arial MT"/>
                            <w:spacing w:val="-2"/>
                            <w:w w:val="90"/>
                            <w:sz w:val="14"/>
                          </w:rPr>
                          <w:t>Karnataka</w:t>
                        </w:r>
                        <w:r>
                          <w:rPr>
                            <w:rFonts w:ascii="Arial MT"/>
                            <w:spacing w:val="40"/>
                            <w:sz w:val="14"/>
                          </w:rPr>
                          <w:t> </w:t>
                        </w:r>
                        <w:r>
                          <w:rPr>
                            <w:rFonts w:ascii="Arial MT"/>
                            <w:w w:val="80"/>
                            <w:sz w:val="14"/>
                          </w:rPr>
                          <w:t>Andhra</w:t>
                        </w:r>
                        <w:r>
                          <w:rPr>
                            <w:rFonts w:ascii="Arial MT"/>
                            <w:spacing w:val="2"/>
                            <w:sz w:val="14"/>
                          </w:rPr>
                          <w:t> </w:t>
                        </w:r>
                        <w:r>
                          <w:rPr>
                            <w:rFonts w:ascii="Arial MT"/>
                            <w:spacing w:val="-5"/>
                            <w:w w:val="85"/>
                            <w:sz w:val="14"/>
                          </w:rPr>
                          <w:t>Pradesh</w:t>
                        </w:r>
                      </w:p>
                      <w:p>
                        <w:pPr>
                          <w:spacing w:before="0"/>
                          <w:ind w:left="0" w:right="18" w:firstLine="0"/>
                          <w:jc w:val="right"/>
                          <w:rPr>
                            <w:rFonts w:ascii="Arial MT"/>
                            <w:sz w:val="14"/>
                          </w:rPr>
                        </w:pPr>
                        <w:r>
                          <w:rPr>
                            <w:rFonts w:ascii="Arial MT"/>
                            <w:spacing w:val="-4"/>
                            <w:w w:val="80"/>
                            <w:sz w:val="14"/>
                          </w:rPr>
                          <w:t>Tamil</w:t>
                        </w:r>
                        <w:r>
                          <w:rPr>
                            <w:rFonts w:ascii="Arial MT"/>
                            <w:spacing w:val="1"/>
                            <w:sz w:val="14"/>
                          </w:rPr>
                          <w:t> </w:t>
                        </w:r>
                        <w:r>
                          <w:rPr>
                            <w:rFonts w:ascii="Arial MT"/>
                            <w:spacing w:val="-4"/>
                            <w:w w:val="90"/>
                            <w:sz w:val="14"/>
                          </w:rPr>
                          <w:t>Nadu</w:t>
                        </w:r>
                      </w:p>
                      <w:p>
                        <w:pPr>
                          <w:spacing w:line="247" w:lineRule="auto" w:before="5"/>
                          <w:ind w:left="229" w:right="18" w:firstLine="376"/>
                          <w:jc w:val="right"/>
                          <w:rPr>
                            <w:rFonts w:ascii="Arial MT"/>
                            <w:sz w:val="14"/>
                          </w:rPr>
                        </w:pPr>
                        <w:r>
                          <w:rPr>
                            <w:rFonts w:ascii="Arial MT"/>
                            <w:spacing w:val="-2"/>
                            <w:w w:val="80"/>
                            <w:sz w:val="14"/>
                          </w:rPr>
                          <w:t>Kerala</w:t>
                        </w:r>
                        <w:r>
                          <w:rPr>
                            <w:rFonts w:ascii="Arial MT"/>
                            <w:spacing w:val="40"/>
                            <w:sz w:val="14"/>
                          </w:rPr>
                          <w:t> </w:t>
                        </w:r>
                        <w:r>
                          <w:rPr>
                            <w:rFonts w:ascii="Arial MT"/>
                            <w:w w:val="80"/>
                            <w:sz w:val="14"/>
                          </w:rPr>
                          <w:t>Uttar</w:t>
                        </w:r>
                        <w:r>
                          <w:rPr>
                            <w:rFonts w:ascii="Arial MT"/>
                            <w:spacing w:val="-4"/>
                            <w:sz w:val="14"/>
                          </w:rPr>
                          <w:t> </w:t>
                        </w:r>
                        <w:r>
                          <w:rPr>
                            <w:rFonts w:ascii="Arial MT"/>
                            <w:spacing w:val="-4"/>
                            <w:w w:val="85"/>
                            <w:sz w:val="14"/>
                          </w:rPr>
                          <w:t>Pradesh</w:t>
                        </w:r>
                      </w:p>
                      <w:p>
                        <w:pPr>
                          <w:spacing w:line="247" w:lineRule="auto" w:before="0"/>
                          <w:ind w:left="70" w:right="18" w:firstLine="491"/>
                          <w:jc w:val="right"/>
                          <w:rPr>
                            <w:rFonts w:ascii="Arial MT"/>
                            <w:sz w:val="14"/>
                          </w:rPr>
                        </w:pPr>
                        <w:r>
                          <w:rPr>
                            <w:rFonts w:ascii="Arial MT"/>
                            <w:spacing w:val="-2"/>
                            <w:w w:val="80"/>
                            <w:sz w:val="14"/>
                          </w:rPr>
                          <w:t>Gujarat</w:t>
                        </w:r>
                        <w:r>
                          <w:rPr>
                            <w:rFonts w:ascii="Arial MT"/>
                            <w:spacing w:val="40"/>
                            <w:sz w:val="14"/>
                          </w:rPr>
                          <w:t> </w:t>
                        </w:r>
                        <w:r>
                          <w:rPr>
                            <w:rFonts w:ascii="Arial MT"/>
                            <w:w w:val="90"/>
                            <w:sz w:val="14"/>
                          </w:rPr>
                          <w:t>West</w:t>
                        </w:r>
                        <w:r>
                          <w:rPr>
                            <w:rFonts w:ascii="Arial MT"/>
                            <w:spacing w:val="-6"/>
                            <w:w w:val="90"/>
                            <w:sz w:val="14"/>
                          </w:rPr>
                          <w:t> </w:t>
                        </w:r>
                        <w:r>
                          <w:rPr>
                            <w:rFonts w:ascii="Arial MT"/>
                            <w:w w:val="90"/>
                            <w:sz w:val="14"/>
                          </w:rPr>
                          <w:t>Bengal</w:t>
                        </w:r>
                        <w:r>
                          <w:rPr>
                            <w:rFonts w:ascii="Arial MT"/>
                            <w:spacing w:val="40"/>
                            <w:sz w:val="14"/>
                          </w:rPr>
                          <w:t> </w:t>
                        </w:r>
                        <w:r>
                          <w:rPr>
                            <w:rFonts w:ascii="Arial MT"/>
                            <w:spacing w:val="-2"/>
                            <w:w w:val="90"/>
                            <w:sz w:val="14"/>
                          </w:rPr>
                          <w:t>Rajasthan</w:t>
                        </w:r>
                        <w:r>
                          <w:rPr>
                            <w:rFonts w:ascii="Arial MT"/>
                            <w:spacing w:val="40"/>
                            <w:sz w:val="14"/>
                          </w:rPr>
                          <w:t> </w:t>
                        </w:r>
                        <w:r>
                          <w:rPr>
                            <w:rFonts w:ascii="Arial MT"/>
                            <w:w w:val="80"/>
                            <w:sz w:val="14"/>
                          </w:rPr>
                          <w:t>Madhya</w:t>
                        </w:r>
                        <w:r>
                          <w:rPr>
                            <w:rFonts w:ascii="Arial MT"/>
                            <w:spacing w:val="-3"/>
                            <w:sz w:val="14"/>
                          </w:rPr>
                          <w:t> </w:t>
                        </w:r>
                        <w:r>
                          <w:rPr>
                            <w:rFonts w:ascii="Arial MT"/>
                            <w:spacing w:val="-4"/>
                            <w:w w:val="85"/>
                            <w:sz w:val="14"/>
                          </w:rPr>
                          <w:t>Pradesh</w:t>
                        </w:r>
                      </w:p>
                      <w:p>
                        <w:pPr>
                          <w:spacing w:line="247" w:lineRule="auto" w:before="1"/>
                          <w:ind w:left="580" w:right="18" w:firstLine="89"/>
                          <w:jc w:val="right"/>
                          <w:rPr>
                            <w:rFonts w:ascii="Arial MT"/>
                            <w:sz w:val="14"/>
                          </w:rPr>
                        </w:pPr>
                        <w:r>
                          <w:rPr>
                            <w:rFonts w:ascii="Arial MT"/>
                            <w:spacing w:val="-2"/>
                            <w:w w:val="80"/>
                            <w:sz w:val="14"/>
                          </w:rPr>
                          <w:t>Bihar</w:t>
                        </w:r>
                        <w:r>
                          <w:rPr>
                            <w:rFonts w:ascii="Arial MT"/>
                            <w:spacing w:val="40"/>
                            <w:sz w:val="14"/>
                          </w:rPr>
                          <w:t> </w:t>
                        </w:r>
                        <w:r>
                          <w:rPr>
                            <w:rFonts w:ascii="Arial MT"/>
                            <w:spacing w:val="-2"/>
                            <w:w w:val="80"/>
                            <w:sz w:val="14"/>
                          </w:rPr>
                          <w:t>Punjab</w:t>
                        </w:r>
                        <w:r>
                          <w:rPr>
                            <w:rFonts w:ascii="Arial MT"/>
                            <w:spacing w:val="40"/>
                            <w:sz w:val="14"/>
                          </w:rPr>
                          <w:t> </w:t>
                        </w:r>
                        <w:r>
                          <w:rPr>
                            <w:rFonts w:ascii="Arial MT"/>
                            <w:spacing w:val="-2"/>
                            <w:w w:val="90"/>
                            <w:sz w:val="14"/>
                          </w:rPr>
                          <w:t>Delhi</w:t>
                        </w:r>
                      </w:p>
                      <w:p>
                        <w:pPr>
                          <w:spacing w:before="1"/>
                          <w:ind w:left="0" w:right="18" w:firstLine="0"/>
                          <w:jc w:val="right"/>
                          <w:rPr>
                            <w:rFonts w:ascii="Arial MT"/>
                            <w:sz w:val="14"/>
                          </w:rPr>
                        </w:pPr>
                        <w:r>
                          <w:rPr>
                            <w:rFonts w:ascii="Arial MT"/>
                            <w:w w:val="80"/>
                            <w:sz w:val="14"/>
                          </w:rPr>
                          <w:t>Jammu</w:t>
                        </w:r>
                        <w:r>
                          <w:rPr>
                            <w:rFonts w:ascii="Arial MT"/>
                            <w:spacing w:val="-2"/>
                            <w:sz w:val="14"/>
                          </w:rPr>
                          <w:t> </w:t>
                        </w:r>
                        <w:r>
                          <w:rPr>
                            <w:rFonts w:ascii="Arial MT"/>
                            <w:w w:val="80"/>
                            <w:sz w:val="14"/>
                          </w:rPr>
                          <w:t>&amp;</w:t>
                        </w:r>
                        <w:r>
                          <w:rPr>
                            <w:rFonts w:ascii="Arial MT"/>
                            <w:spacing w:val="-2"/>
                            <w:sz w:val="14"/>
                          </w:rPr>
                          <w:t> </w:t>
                        </w:r>
                        <w:r>
                          <w:rPr>
                            <w:rFonts w:ascii="Arial MT"/>
                            <w:spacing w:val="-2"/>
                            <w:w w:val="80"/>
                            <w:sz w:val="14"/>
                          </w:rPr>
                          <w:t>Kashmir</w:t>
                        </w:r>
                      </w:p>
                      <w:p>
                        <w:pPr>
                          <w:spacing w:line="247" w:lineRule="auto" w:before="5"/>
                          <w:ind w:left="350" w:right="18" w:firstLine="255"/>
                          <w:jc w:val="right"/>
                          <w:rPr>
                            <w:rFonts w:ascii="Arial MT"/>
                            <w:sz w:val="14"/>
                          </w:rPr>
                        </w:pPr>
                        <w:r>
                          <w:rPr>
                            <w:rFonts w:ascii="Arial MT"/>
                            <w:spacing w:val="-2"/>
                            <w:w w:val="80"/>
                            <w:sz w:val="14"/>
                          </w:rPr>
                          <w:t>Orissa</w:t>
                        </w:r>
                        <w:r>
                          <w:rPr>
                            <w:rFonts w:ascii="Arial MT"/>
                            <w:spacing w:val="40"/>
                            <w:sz w:val="14"/>
                          </w:rPr>
                          <w:t> </w:t>
                        </w:r>
                        <w:r>
                          <w:rPr>
                            <w:rFonts w:ascii="Arial MT"/>
                            <w:spacing w:val="-2"/>
                            <w:w w:val="90"/>
                            <w:sz w:val="14"/>
                          </w:rPr>
                          <w:t>Jharkhand</w:t>
                        </w:r>
                        <w:r>
                          <w:rPr>
                            <w:rFonts w:ascii="Arial MT"/>
                            <w:spacing w:val="40"/>
                            <w:sz w:val="14"/>
                          </w:rPr>
                          <w:t> </w:t>
                        </w:r>
                        <w:r>
                          <w:rPr>
                            <w:rFonts w:ascii="Arial MT"/>
                            <w:spacing w:val="-2"/>
                            <w:w w:val="90"/>
                            <w:sz w:val="14"/>
                          </w:rPr>
                          <w:t>Haryana</w:t>
                        </w:r>
                        <w:r>
                          <w:rPr>
                            <w:rFonts w:ascii="Arial MT"/>
                            <w:spacing w:val="40"/>
                            <w:sz w:val="14"/>
                          </w:rPr>
                          <w:t> </w:t>
                        </w:r>
                        <w:r>
                          <w:rPr>
                            <w:rFonts w:ascii="Arial MT"/>
                            <w:spacing w:val="-2"/>
                            <w:w w:val="90"/>
                            <w:sz w:val="14"/>
                          </w:rPr>
                          <w:t>Assam</w:t>
                        </w:r>
                        <w:r>
                          <w:rPr>
                            <w:rFonts w:ascii="Arial MT"/>
                            <w:spacing w:val="40"/>
                            <w:sz w:val="14"/>
                          </w:rPr>
                          <w:t> </w:t>
                        </w:r>
                        <w:r>
                          <w:rPr>
                            <w:rFonts w:ascii="Arial MT"/>
                            <w:spacing w:val="-2"/>
                            <w:w w:val="80"/>
                            <w:sz w:val="14"/>
                          </w:rPr>
                          <w:t>Uttaranchal</w:t>
                        </w:r>
                      </w:p>
                      <w:p>
                        <w:pPr>
                          <w:spacing w:before="1"/>
                          <w:ind w:left="0" w:right="18" w:firstLine="0"/>
                          <w:jc w:val="right"/>
                          <w:rPr>
                            <w:rFonts w:ascii="Arial MT"/>
                            <w:sz w:val="14"/>
                          </w:rPr>
                        </w:pPr>
                        <w:r>
                          <w:rPr>
                            <w:rFonts w:ascii="Arial MT"/>
                            <w:w w:val="80"/>
                            <w:sz w:val="14"/>
                          </w:rPr>
                          <w:t>Himachal</w:t>
                        </w:r>
                        <w:r>
                          <w:rPr>
                            <w:rFonts w:ascii="Arial MT"/>
                            <w:spacing w:val="-1"/>
                            <w:w w:val="80"/>
                            <w:sz w:val="14"/>
                          </w:rPr>
                          <w:t> </w:t>
                        </w:r>
                        <w:r>
                          <w:rPr>
                            <w:rFonts w:ascii="Arial MT"/>
                            <w:spacing w:val="-2"/>
                            <w:w w:val="85"/>
                            <w:sz w:val="14"/>
                          </w:rPr>
                          <w:t>Pradesh</w:t>
                        </w:r>
                      </w:p>
                      <w:p>
                        <w:pPr>
                          <w:spacing w:before="5"/>
                          <w:ind w:left="0" w:right="18" w:firstLine="0"/>
                          <w:jc w:val="right"/>
                          <w:rPr>
                            <w:rFonts w:ascii="Arial MT"/>
                            <w:sz w:val="14"/>
                          </w:rPr>
                        </w:pPr>
                        <w:r>
                          <w:rPr>
                            <w:rFonts w:ascii="Arial MT"/>
                            <w:spacing w:val="-2"/>
                            <w:w w:val="90"/>
                            <w:sz w:val="14"/>
                          </w:rPr>
                          <w:t>Chhattisgarh</w:t>
                        </w:r>
                      </w:p>
                      <w:p>
                        <w:pPr>
                          <w:spacing w:line="247" w:lineRule="auto" w:before="0"/>
                          <w:ind w:left="720" w:right="18" w:hanging="143"/>
                          <w:jc w:val="right"/>
                          <w:rPr>
                            <w:rFonts w:ascii="Arial MT"/>
                            <w:sz w:val="14"/>
                          </w:rPr>
                        </w:pPr>
                        <w:r>
                          <w:rPr>
                            <w:rFonts w:ascii="Arial MT"/>
                            <w:spacing w:val="-2"/>
                            <w:w w:val="80"/>
                            <w:sz w:val="14"/>
                          </w:rPr>
                          <w:t>Tripura</w:t>
                        </w:r>
                        <w:r>
                          <w:rPr>
                            <w:rFonts w:ascii="Arial MT"/>
                            <w:spacing w:val="40"/>
                            <w:sz w:val="14"/>
                          </w:rPr>
                          <w:t> </w:t>
                        </w:r>
                        <w:r>
                          <w:rPr>
                            <w:rFonts w:ascii="Arial MT"/>
                            <w:spacing w:val="-5"/>
                            <w:w w:val="80"/>
                            <w:sz w:val="14"/>
                          </w:rPr>
                          <w:t>Goa</w:t>
                        </w:r>
                      </w:p>
                    </w:txbxContent>
                  </v:textbox>
                  <w10:wrap type="none"/>
                </v:shape>
                <v:shape style="position:absolute;left:3232;top:4101;width:84;height:161" type="#_x0000_t202" id="docshape1699"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3962;top:4101;width:84;height:161" type="#_x0000_t202" id="docshape1700" filled="false" stroked="false">
                  <v:textbox inset="0,0,0,0">
                    <w:txbxContent>
                      <w:p>
                        <w:pPr>
                          <w:spacing w:line="161" w:lineRule="exact" w:before="0"/>
                          <w:ind w:left="0" w:right="0" w:firstLine="0"/>
                          <w:jc w:val="left"/>
                          <w:rPr>
                            <w:rFonts w:ascii="Arial MT"/>
                            <w:sz w:val="14"/>
                          </w:rPr>
                        </w:pPr>
                        <w:r>
                          <w:rPr>
                            <w:rFonts w:ascii="Arial MT"/>
                            <w:spacing w:val="-10"/>
                            <w:w w:val="90"/>
                            <w:sz w:val="14"/>
                          </w:rPr>
                          <w:t>5</w:t>
                        </w:r>
                      </w:p>
                    </w:txbxContent>
                  </v:textbox>
                  <w10:wrap type="none"/>
                </v:shape>
                <v:shape style="position:absolute;left:4670;top:4101;width:148;height:161" type="#_x0000_t202" id="docshape1701" filled="false" stroked="false">
                  <v:textbox inset="0,0,0,0">
                    <w:txbxContent>
                      <w:p>
                        <w:pPr>
                          <w:spacing w:line="161" w:lineRule="exact" w:before="0"/>
                          <w:ind w:left="0" w:right="0" w:firstLine="0"/>
                          <w:jc w:val="left"/>
                          <w:rPr>
                            <w:rFonts w:ascii="Arial MT"/>
                            <w:sz w:val="14"/>
                          </w:rPr>
                        </w:pPr>
                        <w:r>
                          <w:rPr>
                            <w:rFonts w:ascii="Arial MT"/>
                            <w:spacing w:val="-5"/>
                            <w:w w:val="90"/>
                            <w:sz w:val="14"/>
                          </w:rPr>
                          <w:t>10</w:t>
                        </w:r>
                      </w:p>
                    </w:txbxContent>
                  </v:textbox>
                  <w10:wrap type="none"/>
                </v:shape>
                <v:shape style="position:absolute;left:5370;top:4101;width:148;height:161" type="#_x0000_t202" id="docshape1702" filled="false" stroked="false">
                  <v:textbox inset="0,0,0,0">
                    <w:txbxContent>
                      <w:p>
                        <w:pPr>
                          <w:spacing w:line="161" w:lineRule="exact" w:before="0"/>
                          <w:ind w:left="0" w:right="0" w:firstLine="0"/>
                          <w:jc w:val="left"/>
                          <w:rPr>
                            <w:rFonts w:ascii="Arial MT"/>
                            <w:sz w:val="14"/>
                          </w:rPr>
                        </w:pPr>
                        <w:r>
                          <w:rPr>
                            <w:rFonts w:ascii="Arial MT"/>
                            <w:spacing w:val="-5"/>
                            <w:w w:val="90"/>
                            <w:sz w:val="14"/>
                          </w:rPr>
                          <w:t>15</w:t>
                        </w:r>
                      </w:p>
                    </w:txbxContent>
                  </v:textbox>
                  <w10:wrap type="none"/>
                </v:shape>
                <v:shape style="position:absolute;left:6093;top:4101;width:148;height:161" type="#_x0000_t202" id="docshape1703" filled="false" stroked="false">
                  <v:textbox inset="0,0,0,0">
                    <w:txbxContent>
                      <w:p>
                        <w:pPr>
                          <w:spacing w:line="161" w:lineRule="exact" w:before="0"/>
                          <w:ind w:left="0" w:right="0" w:firstLine="0"/>
                          <w:jc w:val="left"/>
                          <w:rPr>
                            <w:rFonts w:ascii="Arial MT"/>
                            <w:sz w:val="14"/>
                          </w:rPr>
                        </w:pPr>
                        <w:r>
                          <w:rPr>
                            <w:rFonts w:ascii="Arial MT"/>
                            <w:spacing w:val="-5"/>
                            <w:w w:val="90"/>
                            <w:sz w:val="14"/>
                          </w:rPr>
                          <w:t>20</w:t>
                        </w:r>
                      </w:p>
                    </w:txbxContent>
                  </v:textbox>
                  <w10:wrap type="none"/>
                </v:shape>
                <v:shape style="position:absolute;left:6830;top:4101;width:148;height:161" type="#_x0000_t202" id="docshape1704" filled="false" stroked="false">
                  <v:textbox inset="0,0,0,0">
                    <w:txbxContent>
                      <w:p>
                        <w:pPr>
                          <w:spacing w:line="161" w:lineRule="exact" w:before="0"/>
                          <w:ind w:left="0" w:right="0" w:firstLine="0"/>
                          <w:jc w:val="left"/>
                          <w:rPr>
                            <w:rFonts w:ascii="Arial MT"/>
                            <w:sz w:val="14"/>
                          </w:rPr>
                        </w:pPr>
                        <w:r>
                          <w:rPr>
                            <w:rFonts w:ascii="Arial MT"/>
                            <w:spacing w:val="-5"/>
                            <w:w w:val="90"/>
                            <w:sz w:val="14"/>
                          </w:rPr>
                          <w:t>25</w:t>
                        </w:r>
                      </w:p>
                    </w:txbxContent>
                  </v:textbox>
                  <w10:wrap type="none"/>
                </v:shape>
                <v:shape style="position:absolute;left:7558;top:4101;width:148;height:161" type="#_x0000_t202" id="docshape1705" filled="false" stroked="false">
                  <v:textbox inset="0,0,0,0">
                    <w:txbxContent>
                      <w:p>
                        <w:pPr>
                          <w:spacing w:line="161" w:lineRule="exact" w:before="0"/>
                          <w:ind w:left="0" w:right="0" w:firstLine="0"/>
                          <w:jc w:val="left"/>
                          <w:rPr>
                            <w:rFonts w:ascii="Arial MT"/>
                            <w:sz w:val="14"/>
                          </w:rPr>
                        </w:pPr>
                        <w:r>
                          <w:rPr>
                            <w:rFonts w:ascii="Arial MT"/>
                            <w:spacing w:val="-5"/>
                            <w:w w:val="90"/>
                            <w:sz w:val="14"/>
                          </w:rPr>
                          <w:t>30</w:t>
                        </w:r>
                      </w:p>
                    </w:txbxContent>
                  </v:textbox>
                  <w10:wrap type="none"/>
                </v:shape>
                <v:shape style="position:absolute;left:8278;top:4091;width:148;height:161" type="#_x0000_t202" id="docshape1706" filled="false" stroked="false">
                  <v:textbox inset="0,0,0,0">
                    <w:txbxContent>
                      <w:p>
                        <w:pPr>
                          <w:spacing w:line="161" w:lineRule="exact" w:before="0"/>
                          <w:ind w:left="0" w:right="0" w:firstLine="0"/>
                          <w:jc w:val="left"/>
                          <w:rPr>
                            <w:rFonts w:ascii="Arial MT"/>
                            <w:sz w:val="14"/>
                          </w:rPr>
                        </w:pPr>
                        <w:r>
                          <w:rPr>
                            <w:rFonts w:ascii="Arial MT"/>
                            <w:spacing w:val="-5"/>
                            <w:w w:val="90"/>
                            <w:sz w:val="14"/>
                          </w:rPr>
                          <w:t>35</w:t>
                        </w:r>
                      </w:p>
                    </w:txbxContent>
                  </v:textbox>
                  <w10:wrap type="none"/>
                </v:shape>
                <v:shape style="position:absolute;left:9010;top:4091;width:148;height:161" type="#_x0000_t202" id="docshape1707" filled="false" stroked="false">
                  <v:textbox inset="0,0,0,0">
                    <w:txbxContent>
                      <w:p>
                        <w:pPr>
                          <w:spacing w:line="161" w:lineRule="exact" w:before="0"/>
                          <w:ind w:left="0" w:right="0" w:firstLine="0"/>
                          <w:jc w:val="left"/>
                          <w:rPr>
                            <w:rFonts w:ascii="Arial MT"/>
                            <w:sz w:val="14"/>
                          </w:rPr>
                        </w:pPr>
                        <w:r>
                          <w:rPr>
                            <w:rFonts w:ascii="Arial MT"/>
                            <w:spacing w:val="-5"/>
                            <w:w w:val="90"/>
                            <w:sz w:val="14"/>
                          </w:rPr>
                          <w:t>40</w:t>
                        </w:r>
                      </w:p>
                    </w:txbxContent>
                  </v:textbox>
                  <w10:wrap type="none"/>
                </v:shape>
                <w10:wrap type="topAndBottom"/>
              </v:group>
            </w:pict>
          </mc:Fallback>
        </mc:AlternateContent>
      </w:r>
    </w:p>
    <w:p>
      <w:pPr>
        <w:spacing w:before="39"/>
        <w:ind w:left="2004" w:right="0" w:firstLine="0"/>
        <w:jc w:val="left"/>
        <w:rPr>
          <w:sz w:val="16"/>
        </w:rPr>
      </w:pPr>
      <w:r>
        <w:rPr>
          <w:i/>
          <w:w w:val="90"/>
          <w:sz w:val="16"/>
        </w:rPr>
        <w:t>Source:</w:t>
      </w:r>
      <w:r>
        <w:rPr>
          <w:i/>
          <w:spacing w:val="8"/>
          <w:sz w:val="16"/>
        </w:rPr>
        <w:t> </w:t>
      </w:r>
      <w:r>
        <w:rPr>
          <w:w w:val="90"/>
          <w:sz w:val="16"/>
        </w:rPr>
        <w:t>Medical</w:t>
      </w:r>
      <w:r>
        <w:rPr>
          <w:spacing w:val="9"/>
          <w:sz w:val="16"/>
        </w:rPr>
        <w:t> </w:t>
      </w:r>
      <w:r>
        <w:rPr>
          <w:w w:val="90"/>
          <w:sz w:val="16"/>
        </w:rPr>
        <w:t>Council</w:t>
      </w:r>
      <w:r>
        <w:rPr>
          <w:spacing w:val="9"/>
          <w:sz w:val="16"/>
        </w:rPr>
        <w:t> </w:t>
      </w:r>
      <w:r>
        <w:rPr>
          <w:w w:val="90"/>
          <w:sz w:val="16"/>
        </w:rPr>
        <w:t>of</w:t>
      </w:r>
      <w:r>
        <w:rPr>
          <w:spacing w:val="9"/>
          <w:sz w:val="16"/>
        </w:rPr>
        <w:t> </w:t>
      </w:r>
      <w:r>
        <w:rPr>
          <w:spacing w:val="-2"/>
          <w:w w:val="90"/>
          <w:sz w:val="16"/>
        </w:rPr>
        <w:t>India</w:t>
      </w:r>
    </w:p>
    <w:p>
      <w:pPr>
        <w:spacing w:after="0"/>
        <w:jc w:val="left"/>
        <w:rPr>
          <w:sz w:val="16"/>
        </w:rPr>
        <w:sectPr>
          <w:type w:val="continuous"/>
          <w:pgSz w:w="11910" w:h="16840"/>
          <w:pgMar w:header="0" w:footer="675" w:top="1920" w:bottom="280" w:left="0" w:right="0"/>
        </w:sectPr>
      </w:pPr>
    </w:p>
    <w:p>
      <w:pPr>
        <w:spacing w:line="266" w:lineRule="auto" w:before="57"/>
        <w:ind w:left="1080" w:right="0" w:firstLine="0"/>
        <w:jc w:val="both"/>
        <w:rPr>
          <w:sz w:val="22"/>
        </w:rPr>
      </w:pPr>
      <w:r>
        <w:rPr>
          <w:sz w:val="22"/>
        </w:rPr>
        <w:t>1989-1995</w:t>
      </w:r>
      <w:r>
        <w:rPr>
          <w:spacing w:val="-11"/>
          <w:sz w:val="22"/>
        </w:rPr>
        <w:t> </w:t>
      </w:r>
      <w:r>
        <w:rPr>
          <w:sz w:val="22"/>
        </w:rPr>
        <w:t>concluded</w:t>
      </w:r>
      <w:r>
        <w:rPr>
          <w:spacing w:val="-11"/>
          <w:sz w:val="22"/>
        </w:rPr>
        <w:t> </w:t>
      </w:r>
      <w:r>
        <w:rPr>
          <w:sz w:val="22"/>
        </w:rPr>
        <w:t>that</w:t>
      </w:r>
      <w:r>
        <w:rPr>
          <w:spacing w:val="-11"/>
          <w:sz w:val="22"/>
        </w:rPr>
        <w:t> </w:t>
      </w:r>
      <w:r>
        <w:rPr>
          <w:sz w:val="22"/>
        </w:rPr>
        <w:t>our</w:t>
      </w:r>
      <w:r>
        <w:rPr>
          <w:spacing w:val="-11"/>
          <w:sz w:val="22"/>
        </w:rPr>
        <w:t> </w:t>
      </w:r>
      <w:r>
        <w:rPr>
          <w:sz w:val="22"/>
        </w:rPr>
        <w:t>medical</w:t>
      </w:r>
      <w:r>
        <w:rPr>
          <w:spacing w:val="-11"/>
          <w:sz w:val="22"/>
        </w:rPr>
        <w:t> </w:t>
      </w:r>
      <w:r>
        <w:rPr>
          <w:sz w:val="22"/>
        </w:rPr>
        <w:t>graduates</w:t>
      </w:r>
      <w:r>
        <w:rPr>
          <w:spacing w:val="-11"/>
          <w:sz w:val="22"/>
        </w:rPr>
        <w:t> </w:t>
      </w:r>
      <w:r>
        <w:rPr>
          <w:sz w:val="22"/>
        </w:rPr>
        <w:t>lack clinical skills. As a follow up to these studies, WHO SEARO</w:t>
      </w:r>
      <w:r>
        <w:rPr>
          <w:spacing w:val="-13"/>
          <w:sz w:val="22"/>
        </w:rPr>
        <w:t> </w:t>
      </w:r>
      <w:r>
        <w:rPr>
          <w:sz w:val="22"/>
        </w:rPr>
        <w:t>conducted</w:t>
      </w:r>
      <w:r>
        <w:rPr>
          <w:spacing w:val="-13"/>
          <w:sz w:val="22"/>
        </w:rPr>
        <w:t> </w:t>
      </w:r>
      <w:r>
        <w:rPr>
          <w:sz w:val="22"/>
        </w:rPr>
        <w:t>a</w:t>
      </w:r>
      <w:r>
        <w:rPr>
          <w:spacing w:val="-13"/>
          <w:sz w:val="22"/>
        </w:rPr>
        <w:t> </w:t>
      </w:r>
      <w:r>
        <w:rPr>
          <w:sz w:val="22"/>
        </w:rPr>
        <w:t>study</w:t>
      </w:r>
      <w:r>
        <w:rPr>
          <w:spacing w:val="-13"/>
          <w:sz w:val="22"/>
        </w:rPr>
        <w:t> </w:t>
      </w:r>
      <w:r>
        <w:rPr>
          <w:i/>
          <w:sz w:val="22"/>
        </w:rPr>
        <w:t>General</w:t>
      </w:r>
      <w:r>
        <w:rPr>
          <w:i/>
          <w:spacing w:val="-13"/>
          <w:sz w:val="22"/>
        </w:rPr>
        <w:t> </w:t>
      </w:r>
      <w:r>
        <w:rPr>
          <w:i/>
          <w:sz w:val="22"/>
        </w:rPr>
        <w:t>Practice</w:t>
      </w:r>
      <w:r>
        <w:rPr>
          <w:i/>
          <w:spacing w:val="-13"/>
          <w:sz w:val="22"/>
        </w:rPr>
        <w:t> </w:t>
      </w:r>
      <w:r>
        <w:rPr>
          <w:i/>
          <w:sz w:val="22"/>
        </w:rPr>
        <w:t>in</w:t>
      </w:r>
      <w:r>
        <w:rPr>
          <w:i/>
          <w:spacing w:val="-13"/>
          <w:sz w:val="22"/>
        </w:rPr>
        <w:t> </w:t>
      </w:r>
      <w:r>
        <w:rPr>
          <w:i/>
          <w:sz w:val="22"/>
        </w:rPr>
        <w:t>India, </w:t>
      </w:r>
      <w:r>
        <w:rPr>
          <w:i/>
          <w:w w:val="90"/>
          <w:sz w:val="22"/>
        </w:rPr>
        <w:t>Nepal</w:t>
      </w:r>
      <w:r>
        <w:rPr>
          <w:i/>
          <w:spacing w:val="-4"/>
          <w:w w:val="90"/>
          <w:sz w:val="22"/>
        </w:rPr>
        <w:t> </w:t>
      </w:r>
      <w:r>
        <w:rPr>
          <w:i/>
          <w:w w:val="90"/>
          <w:sz w:val="22"/>
        </w:rPr>
        <w:t>&amp;</w:t>
      </w:r>
      <w:r>
        <w:rPr>
          <w:i/>
          <w:spacing w:val="-4"/>
          <w:w w:val="90"/>
          <w:sz w:val="22"/>
        </w:rPr>
        <w:t> </w:t>
      </w:r>
      <w:r>
        <w:rPr>
          <w:i/>
          <w:w w:val="90"/>
          <w:sz w:val="22"/>
        </w:rPr>
        <w:t>Sri</w:t>
      </w:r>
      <w:r>
        <w:rPr>
          <w:i/>
          <w:spacing w:val="-4"/>
          <w:w w:val="90"/>
          <w:sz w:val="22"/>
        </w:rPr>
        <w:t> </w:t>
      </w:r>
      <w:r>
        <w:rPr>
          <w:i/>
          <w:w w:val="90"/>
          <w:sz w:val="22"/>
        </w:rPr>
        <w:t>Lanka-</w:t>
      </w:r>
      <w:r>
        <w:rPr>
          <w:i/>
          <w:spacing w:val="-4"/>
          <w:w w:val="90"/>
          <w:sz w:val="22"/>
        </w:rPr>
        <w:t> </w:t>
      </w:r>
      <w:r>
        <w:rPr>
          <w:i/>
          <w:w w:val="90"/>
          <w:sz w:val="22"/>
        </w:rPr>
        <w:t>a</w:t>
      </w:r>
      <w:r>
        <w:rPr>
          <w:i/>
          <w:spacing w:val="-4"/>
          <w:w w:val="90"/>
          <w:sz w:val="22"/>
        </w:rPr>
        <w:t> </w:t>
      </w:r>
      <w:r>
        <w:rPr>
          <w:i/>
          <w:w w:val="90"/>
          <w:sz w:val="22"/>
        </w:rPr>
        <w:t>status</w:t>
      </w:r>
      <w:r>
        <w:rPr>
          <w:i/>
          <w:spacing w:val="-4"/>
          <w:w w:val="90"/>
          <w:sz w:val="22"/>
        </w:rPr>
        <w:t> </w:t>
      </w:r>
      <w:r>
        <w:rPr>
          <w:i/>
          <w:w w:val="90"/>
          <w:sz w:val="22"/>
        </w:rPr>
        <w:t>report</w:t>
      </w:r>
      <w:r>
        <w:rPr>
          <w:i/>
          <w:spacing w:val="-5"/>
          <w:w w:val="90"/>
          <w:sz w:val="22"/>
        </w:rPr>
        <w:t> </w:t>
      </w:r>
      <w:r>
        <w:rPr>
          <w:w w:val="90"/>
          <w:sz w:val="22"/>
        </w:rPr>
        <w:t>(1998)</w:t>
      </w:r>
      <w:r>
        <w:rPr>
          <w:spacing w:val="-4"/>
          <w:w w:val="90"/>
          <w:sz w:val="22"/>
        </w:rPr>
        <w:t> </w:t>
      </w:r>
      <w:r>
        <w:rPr>
          <w:w w:val="90"/>
          <w:sz w:val="22"/>
        </w:rPr>
        <w:t>which</w:t>
      </w:r>
      <w:r>
        <w:rPr>
          <w:spacing w:val="-4"/>
          <w:w w:val="90"/>
          <w:sz w:val="22"/>
        </w:rPr>
        <w:t> </w:t>
      </w:r>
      <w:r>
        <w:rPr>
          <w:w w:val="90"/>
          <w:sz w:val="22"/>
        </w:rPr>
        <w:t>found</w:t>
      </w:r>
      <w:r>
        <w:rPr>
          <w:spacing w:val="-4"/>
          <w:w w:val="90"/>
          <w:sz w:val="22"/>
        </w:rPr>
        <w:t> </w:t>
      </w:r>
      <w:r>
        <w:rPr>
          <w:w w:val="90"/>
          <w:sz w:val="22"/>
        </w:rPr>
        <w:t>the medical</w:t>
      </w:r>
      <w:r>
        <w:rPr>
          <w:spacing w:val="-3"/>
          <w:w w:val="90"/>
          <w:sz w:val="22"/>
        </w:rPr>
        <w:t> </w:t>
      </w:r>
      <w:r>
        <w:rPr>
          <w:w w:val="90"/>
          <w:sz w:val="22"/>
        </w:rPr>
        <w:t>care</w:t>
      </w:r>
      <w:r>
        <w:rPr>
          <w:spacing w:val="-3"/>
          <w:w w:val="90"/>
          <w:sz w:val="22"/>
        </w:rPr>
        <w:t> </w:t>
      </w:r>
      <w:r>
        <w:rPr>
          <w:w w:val="90"/>
          <w:sz w:val="22"/>
        </w:rPr>
        <w:t>delivered</w:t>
      </w:r>
      <w:r>
        <w:rPr>
          <w:spacing w:val="-3"/>
          <w:w w:val="90"/>
          <w:sz w:val="22"/>
        </w:rPr>
        <w:t> </w:t>
      </w:r>
      <w:r>
        <w:rPr>
          <w:w w:val="90"/>
          <w:sz w:val="22"/>
        </w:rPr>
        <w:t>by</w:t>
      </w:r>
      <w:r>
        <w:rPr>
          <w:spacing w:val="-3"/>
          <w:w w:val="90"/>
          <w:sz w:val="22"/>
        </w:rPr>
        <w:t> </w:t>
      </w:r>
      <w:r>
        <w:rPr>
          <w:w w:val="90"/>
          <w:sz w:val="22"/>
        </w:rPr>
        <w:t>a</w:t>
      </w:r>
      <w:r>
        <w:rPr>
          <w:spacing w:val="-3"/>
          <w:w w:val="90"/>
          <w:sz w:val="22"/>
        </w:rPr>
        <w:t> </w:t>
      </w:r>
      <w:r>
        <w:rPr>
          <w:w w:val="90"/>
          <w:sz w:val="22"/>
        </w:rPr>
        <w:t>sample</w:t>
      </w:r>
      <w:r>
        <w:rPr>
          <w:spacing w:val="-3"/>
          <w:w w:val="90"/>
          <w:sz w:val="22"/>
        </w:rPr>
        <w:t> </w:t>
      </w:r>
      <w:r>
        <w:rPr>
          <w:w w:val="90"/>
          <w:sz w:val="22"/>
        </w:rPr>
        <w:t>of</w:t>
      </w:r>
      <w:r>
        <w:rPr>
          <w:spacing w:val="-3"/>
          <w:w w:val="90"/>
          <w:sz w:val="22"/>
        </w:rPr>
        <w:t> </w:t>
      </w:r>
      <w:r>
        <w:rPr>
          <w:w w:val="90"/>
          <w:sz w:val="22"/>
        </w:rPr>
        <w:t>general</w:t>
      </w:r>
      <w:r>
        <w:rPr>
          <w:spacing w:val="-3"/>
          <w:w w:val="90"/>
          <w:sz w:val="22"/>
        </w:rPr>
        <w:t> </w:t>
      </w:r>
      <w:r>
        <w:rPr>
          <w:w w:val="90"/>
          <w:sz w:val="22"/>
        </w:rPr>
        <w:t>practitioners </w:t>
      </w:r>
      <w:r>
        <w:rPr>
          <w:sz w:val="22"/>
        </w:rPr>
        <w:t>to</w:t>
      </w:r>
      <w:r>
        <w:rPr>
          <w:spacing w:val="-8"/>
          <w:sz w:val="22"/>
        </w:rPr>
        <w:t> </w:t>
      </w:r>
      <w:r>
        <w:rPr>
          <w:sz w:val="22"/>
        </w:rPr>
        <w:t>be</w:t>
      </w:r>
      <w:r>
        <w:rPr>
          <w:spacing w:val="-8"/>
          <w:sz w:val="22"/>
        </w:rPr>
        <w:t> </w:t>
      </w:r>
      <w:r>
        <w:rPr>
          <w:sz w:val="22"/>
        </w:rPr>
        <w:t>of</w:t>
      </w:r>
      <w:r>
        <w:rPr>
          <w:spacing w:val="-8"/>
          <w:sz w:val="22"/>
        </w:rPr>
        <w:t> </w:t>
      </w:r>
      <w:r>
        <w:rPr>
          <w:sz w:val="22"/>
        </w:rPr>
        <w:t>questionable</w:t>
      </w:r>
      <w:r>
        <w:rPr>
          <w:spacing w:val="-8"/>
          <w:sz w:val="22"/>
        </w:rPr>
        <w:t> </w:t>
      </w:r>
      <w:r>
        <w:rPr>
          <w:sz w:val="22"/>
        </w:rPr>
        <w:t>quality.</w:t>
      </w:r>
    </w:p>
    <w:p>
      <w:pPr>
        <w:pStyle w:val="BodyText"/>
        <w:spacing w:before="22"/>
      </w:pPr>
    </w:p>
    <w:p>
      <w:pPr>
        <w:pStyle w:val="BodyText"/>
        <w:spacing w:line="266" w:lineRule="auto" w:before="1"/>
        <w:ind w:left="1080" w:right="1"/>
        <w:jc w:val="both"/>
      </w:pPr>
      <w:r>
        <w:rPr>
          <w:b/>
        </w:rPr>
        <w:t>Funding: </w:t>
      </w:r>
      <w:r>
        <w:rPr/>
        <w:t>The Central Budget allocation for </w:t>
      </w:r>
      <w:r>
        <w:rPr/>
        <w:t>health which</w:t>
      </w:r>
      <w:r>
        <w:rPr>
          <w:spacing w:val="11"/>
        </w:rPr>
        <w:t> </w:t>
      </w:r>
      <w:r>
        <w:rPr/>
        <w:t>includes</w:t>
      </w:r>
      <w:r>
        <w:rPr>
          <w:spacing w:val="11"/>
        </w:rPr>
        <w:t> </w:t>
      </w:r>
      <w:r>
        <w:rPr/>
        <w:t>medical</w:t>
      </w:r>
      <w:r>
        <w:rPr>
          <w:spacing w:val="12"/>
        </w:rPr>
        <w:t> </w:t>
      </w:r>
      <w:r>
        <w:rPr/>
        <w:t>education</w:t>
      </w:r>
      <w:r>
        <w:rPr>
          <w:spacing w:val="11"/>
        </w:rPr>
        <w:t> </w:t>
      </w:r>
      <w:r>
        <w:rPr/>
        <w:t>has</w:t>
      </w:r>
      <w:r>
        <w:rPr>
          <w:spacing w:val="12"/>
        </w:rPr>
        <w:t> </w:t>
      </w:r>
      <w:r>
        <w:rPr/>
        <w:t>declined</w:t>
      </w:r>
      <w:r>
        <w:rPr>
          <w:spacing w:val="11"/>
        </w:rPr>
        <w:t> </w:t>
      </w:r>
      <w:r>
        <w:rPr>
          <w:spacing w:val="-4"/>
        </w:rPr>
        <w:t>from</w:t>
      </w:r>
    </w:p>
    <w:p>
      <w:pPr>
        <w:pStyle w:val="BodyText"/>
        <w:spacing w:line="266" w:lineRule="auto"/>
        <w:ind w:left="1080"/>
        <w:jc w:val="both"/>
      </w:pPr>
      <w:r>
        <w:rPr/>
        <w:t>1.3 per cent of the GDP in 1999 to about 0.9 </w:t>
      </w:r>
      <w:r>
        <w:rPr/>
        <w:t>per</w:t>
      </w:r>
      <w:r>
        <w:rPr>
          <w:spacing w:val="80"/>
        </w:rPr>
        <w:t> </w:t>
      </w:r>
      <w:r>
        <w:rPr/>
        <w:t>cent</w:t>
      </w:r>
      <w:r>
        <w:rPr>
          <w:spacing w:val="-8"/>
        </w:rPr>
        <w:t> </w:t>
      </w:r>
      <w:r>
        <w:rPr/>
        <w:t>today.</w:t>
      </w:r>
      <w:r>
        <w:rPr>
          <w:spacing w:val="-8"/>
        </w:rPr>
        <w:t> </w:t>
      </w:r>
      <w:r>
        <w:rPr/>
        <w:t>As</w:t>
      </w:r>
      <w:r>
        <w:rPr>
          <w:spacing w:val="-8"/>
        </w:rPr>
        <w:t> </w:t>
      </w:r>
      <w:r>
        <w:rPr/>
        <w:t>a</w:t>
      </w:r>
      <w:r>
        <w:rPr>
          <w:spacing w:val="-8"/>
        </w:rPr>
        <w:t> </w:t>
      </w:r>
      <w:r>
        <w:rPr/>
        <w:t>percentage</w:t>
      </w:r>
      <w:r>
        <w:rPr>
          <w:spacing w:val="-8"/>
        </w:rPr>
        <w:t> </w:t>
      </w:r>
      <w:r>
        <w:rPr/>
        <w:t>share</w:t>
      </w:r>
      <w:r>
        <w:rPr>
          <w:spacing w:val="-8"/>
        </w:rPr>
        <w:t> </w:t>
      </w:r>
      <w:r>
        <w:rPr/>
        <w:t>of</w:t>
      </w:r>
      <w:r>
        <w:rPr>
          <w:spacing w:val="-8"/>
        </w:rPr>
        <w:t> </w:t>
      </w:r>
      <w:r>
        <w:rPr/>
        <w:t>the</w:t>
      </w:r>
      <w:r>
        <w:rPr>
          <w:spacing w:val="-14"/>
        </w:rPr>
        <w:t> </w:t>
      </w:r>
      <w:r>
        <w:rPr/>
        <w:t>Total</w:t>
      </w:r>
      <w:r>
        <w:rPr>
          <w:spacing w:val="-8"/>
        </w:rPr>
        <w:t> </w:t>
      </w:r>
      <w:r>
        <w:rPr/>
        <w:t>Central Budget, it has been stagnant at 1.3 per cent, while in </w:t>
      </w:r>
      <w:r>
        <w:rPr>
          <w:spacing w:val="-2"/>
        </w:rPr>
        <w:t>the</w:t>
      </w:r>
      <w:r>
        <w:rPr>
          <w:spacing w:val="-14"/>
        </w:rPr>
        <w:t> </w:t>
      </w:r>
      <w:r>
        <w:rPr>
          <w:spacing w:val="-2"/>
        </w:rPr>
        <w:t>states,</w:t>
      </w:r>
      <w:r>
        <w:rPr>
          <w:spacing w:val="-12"/>
        </w:rPr>
        <w:t> </w:t>
      </w:r>
      <w:r>
        <w:rPr>
          <w:spacing w:val="-2"/>
        </w:rPr>
        <w:t>it</w:t>
      </w:r>
      <w:r>
        <w:rPr>
          <w:spacing w:val="-12"/>
        </w:rPr>
        <w:t> </w:t>
      </w:r>
      <w:r>
        <w:rPr>
          <w:spacing w:val="-2"/>
        </w:rPr>
        <w:t>has</w:t>
      </w:r>
      <w:r>
        <w:rPr>
          <w:spacing w:val="-11"/>
        </w:rPr>
        <w:t> </w:t>
      </w:r>
      <w:r>
        <w:rPr>
          <w:spacing w:val="-2"/>
        </w:rPr>
        <w:t>declined</w:t>
      </w:r>
      <w:r>
        <w:rPr>
          <w:spacing w:val="-12"/>
        </w:rPr>
        <w:t> </w:t>
      </w:r>
      <w:r>
        <w:rPr>
          <w:spacing w:val="-2"/>
        </w:rPr>
        <w:t>from</w:t>
      </w:r>
      <w:r>
        <w:rPr>
          <w:spacing w:val="-12"/>
        </w:rPr>
        <w:t> </w:t>
      </w:r>
      <w:r>
        <w:rPr>
          <w:spacing w:val="-2"/>
        </w:rPr>
        <w:t>7</w:t>
      </w:r>
      <w:r>
        <w:rPr>
          <w:spacing w:val="-12"/>
        </w:rPr>
        <w:t> </w:t>
      </w:r>
      <w:r>
        <w:rPr>
          <w:spacing w:val="-2"/>
        </w:rPr>
        <w:t>per</w:t>
      </w:r>
      <w:r>
        <w:rPr>
          <w:spacing w:val="-11"/>
        </w:rPr>
        <w:t> </w:t>
      </w:r>
      <w:r>
        <w:rPr>
          <w:spacing w:val="-2"/>
        </w:rPr>
        <w:t>cent</w:t>
      </w:r>
      <w:r>
        <w:rPr>
          <w:spacing w:val="-12"/>
        </w:rPr>
        <w:t> </w:t>
      </w:r>
      <w:r>
        <w:rPr>
          <w:spacing w:val="-2"/>
        </w:rPr>
        <w:t>to</w:t>
      </w:r>
      <w:r>
        <w:rPr>
          <w:spacing w:val="-12"/>
        </w:rPr>
        <w:t> </w:t>
      </w:r>
      <w:r>
        <w:rPr>
          <w:spacing w:val="-2"/>
        </w:rPr>
        <w:t>5.5</w:t>
      </w:r>
      <w:r>
        <w:rPr>
          <w:spacing w:val="-12"/>
        </w:rPr>
        <w:t> </w:t>
      </w:r>
      <w:r>
        <w:rPr>
          <w:spacing w:val="-2"/>
        </w:rPr>
        <w:t>per</w:t>
      </w:r>
      <w:r>
        <w:rPr>
          <w:spacing w:val="-11"/>
        </w:rPr>
        <w:t> </w:t>
      </w:r>
      <w:r>
        <w:rPr>
          <w:spacing w:val="-2"/>
        </w:rPr>
        <w:t>cent </w:t>
      </w:r>
      <w:r>
        <w:rPr/>
        <w:t>(National Health Policy 2002). The results from the National</w:t>
      </w:r>
      <w:r>
        <w:rPr>
          <w:spacing w:val="-12"/>
        </w:rPr>
        <w:t> </w:t>
      </w:r>
      <w:r>
        <w:rPr/>
        <w:t>Health</w:t>
      </w:r>
      <w:r>
        <w:rPr>
          <w:spacing w:val="-12"/>
        </w:rPr>
        <w:t> </w:t>
      </w:r>
      <w:r>
        <w:rPr/>
        <w:t>Account</w:t>
      </w:r>
      <w:r>
        <w:rPr>
          <w:spacing w:val="-12"/>
        </w:rPr>
        <w:t> </w:t>
      </w:r>
      <w:r>
        <w:rPr/>
        <w:t>(NHA)</w:t>
      </w:r>
      <w:r>
        <w:rPr>
          <w:spacing w:val="-12"/>
        </w:rPr>
        <w:t> </w:t>
      </w:r>
      <w:r>
        <w:rPr/>
        <w:t>for</w:t>
      </w:r>
      <w:r>
        <w:rPr>
          <w:spacing w:val="-12"/>
        </w:rPr>
        <w:t> </w:t>
      </w:r>
      <w:r>
        <w:rPr/>
        <w:t>the</w:t>
      </w:r>
      <w:r>
        <w:rPr>
          <w:spacing w:val="-12"/>
        </w:rPr>
        <w:t> </w:t>
      </w:r>
      <w:r>
        <w:rPr/>
        <w:t>year</w:t>
      </w:r>
      <w:r>
        <w:rPr>
          <w:spacing w:val="-12"/>
        </w:rPr>
        <w:t> </w:t>
      </w:r>
      <w:r>
        <w:rPr/>
        <w:t>2001-02 </w:t>
      </w:r>
      <w:r>
        <w:rPr>
          <w:spacing w:val="-2"/>
        </w:rPr>
        <w:t>showed</w:t>
      </w:r>
      <w:r>
        <w:rPr>
          <w:spacing w:val="-12"/>
        </w:rPr>
        <w:t> </w:t>
      </w:r>
      <w:r>
        <w:rPr>
          <w:spacing w:val="-2"/>
        </w:rPr>
        <w:t>that</w:t>
      </w:r>
      <w:r>
        <w:rPr>
          <w:spacing w:val="-12"/>
        </w:rPr>
        <w:t> </w:t>
      </w:r>
      <w:r>
        <w:rPr>
          <w:spacing w:val="-2"/>
        </w:rPr>
        <w:t>total</w:t>
      </w:r>
      <w:r>
        <w:rPr>
          <w:spacing w:val="-12"/>
        </w:rPr>
        <w:t> </w:t>
      </w:r>
      <w:r>
        <w:rPr>
          <w:spacing w:val="-2"/>
        </w:rPr>
        <w:t>health</w:t>
      </w:r>
      <w:r>
        <w:rPr>
          <w:spacing w:val="-11"/>
        </w:rPr>
        <w:t> </w:t>
      </w:r>
      <w:r>
        <w:rPr>
          <w:spacing w:val="-2"/>
        </w:rPr>
        <w:t>expenditure</w:t>
      </w:r>
      <w:r>
        <w:rPr>
          <w:spacing w:val="-12"/>
        </w:rPr>
        <w:t> </w:t>
      </w:r>
      <w:r>
        <w:rPr>
          <w:spacing w:val="-2"/>
        </w:rPr>
        <w:t>in</w:t>
      </w:r>
      <w:r>
        <w:rPr>
          <w:spacing w:val="-12"/>
        </w:rPr>
        <w:t> </w:t>
      </w:r>
      <w:r>
        <w:rPr>
          <w:spacing w:val="-2"/>
        </w:rPr>
        <w:t>the</w:t>
      </w:r>
      <w:r>
        <w:rPr>
          <w:spacing w:val="-12"/>
        </w:rPr>
        <w:t> </w:t>
      </w:r>
      <w:r>
        <w:rPr>
          <w:spacing w:val="-2"/>
        </w:rPr>
        <w:t>country</w:t>
      </w:r>
      <w:r>
        <w:rPr>
          <w:spacing w:val="-11"/>
        </w:rPr>
        <w:t> </w:t>
      </w:r>
      <w:r>
        <w:rPr>
          <w:spacing w:val="-2"/>
        </w:rPr>
        <w:t>was </w:t>
      </w:r>
      <w:r>
        <w:rPr/>
        <w:t>Rs. 1,05,734 crore, accounting for 4.6 per cent of its </w:t>
      </w:r>
      <w:r>
        <w:rPr>
          <w:spacing w:val="-2"/>
        </w:rPr>
        <w:t>GDP.</w:t>
      </w:r>
      <w:r>
        <w:rPr>
          <w:spacing w:val="-12"/>
        </w:rPr>
        <w:t> </w:t>
      </w:r>
      <w:r>
        <w:rPr>
          <w:spacing w:val="-2"/>
        </w:rPr>
        <w:t>Out</w:t>
      </w:r>
      <w:r>
        <w:rPr>
          <w:spacing w:val="-12"/>
        </w:rPr>
        <w:t> </w:t>
      </w:r>
      <w:r>
        <w:rPr>
          <w:spacing w:val="-2"/>
        </w:rPr>
        <w:t>of</w:t>
      </w:r>
      <w:r>
        <w:rPr>
          <w:spacing w:val="-12"/>
        </w:rPr>
        <w:t> </w:t>
      </w:r>
      <w:r>
        <w:rPr>
          <w:spacing w:val="-2"/>
        </w:rPr>
        <w:t>this,</w:t>
      </w:r>
      <w:r>
        <w:rPr>
          <w:spacing w:val="-11"/>
        </w:rPr>
        <w:t> </w:t>
      </w:r>
      <w:r>
        <w:rPr>
          <w:spacing w:val="-2"/>
        </w:rPr>
        <w:t>public</w:t>
      </w:r>
      <w:r>
        <w:rPr>
          <w:spacing w:val="-12"/>
        </w:rPr>
        <w:t> </w:t>
      </w:r>
      <w:r>
        <w:rPr>
          <w:spacing w:val="-2"/>
        </w:rPr>
        <w:t>health</w:t>
      </w:r>
      <w:r>
        <w:rPr>
          <w:spacing w:val="-12"/>
        </w:rPr>
        <w:t> </w:t>
      </w:r>
      <w:r>
        <w:rPr>
          <w:spacing w:val="-2"/>
        </w:rPr>
        <w:t>expenditure</w:t>
      </w:r>
      <w:r>
        <w:rPr>
          <w:spacing w:val="-12"/>
        </w:rPr>
        <w:t> </w:t>
      </w:r>
      <w:r>
        <w:rPr>
          <w:spacing w:val="-2"/>
        </w:rPr>
        <w:t>constituted </w:t>
      </w:r>
      <w:r>
        <w:rPr/>
        <w:t>Rs.</w:t>
      </w:r>
      <w:r>
        <w:rPr>
          <w:spacing w:val="54"/>
          <w:w w:val="150"/>
        </w:rPr>
        <w:t> </w:t>
      </w:r>
      <w:r>
        <w:rPr/>
        <w:t>21,439</w:t>
      </w:r>
      <w:r>
        <w:rPr>
          <w:spacing w:val="54"/>
          <w:w w:val="150"/>
        </w:rPr>
        <w:t> </w:t>
      </w:r>
      <w:r>
        <w:rPr/>
        <w:t>crore</w:t>
      </w:r>
      <w:r>
        <w:rPr>
          <w:spacing w:val="55"/>
          <w:w w:val="150"/>
        </w:rPr>
        <w:t> </w:t>
      </w:r>
      <w:r>
        <w:rPr/>
        <w:t>(0.94</w:t>
      </w:r>
      <w:r>
        <w:rPr>
          <w:spacing w:val="54"/>
          <w:w w:val="150"/>
        </w:rPr>
        <w:t> </w:t>
      </w:r>
      <w:r>
        <w:rPr/>
        <w:t>per</w:t>
      </w:r>
      <w:r>
        <w:rPr>
          <w:spacing w:val="55"/>
          <w:w w:val="150"/>
        </w:rPr>
        <w:t> </w:t>
      </w:r>
      <w:r>
        <w:rPr/>
        <w:t>cent),</w:t>
      </w:r>
      <w:r>
        <w:rPr>
          <w:spacing w:val="54"/>
          <w:w w:val="150"/>
        </w:rPr>
        <w:t> </w:t>
      </w:r>
      <w:r>
        <w:rPr/>
        <w:t>private</w:t>
      </w:r>
      <w:r>
        <w:rPr>
          <w:spacing w:val="55"/>
          <w:w w:val="150"/>
        </w:rPr>
        <w:t> </w:t>
      </w:r>
      <w:r>
        <w:rPr>
          <w:spacing w:val="-2"/>
        </w:rPr>
        <w:t>health</w:t>
      </w:r>
    </w:p>
    <w:p>
      <w:pPr>
        <w:pStyle w:val="BodyText"/>
        <w:spacing w:line="266" w:lineRule="auto" w:before="57"/>
        <w:ind w:left="319" w:right="1077"/>
        <w:jc w:val="both"/>
      </w:pPr>
      <w:r>
        <w:rPr/>
        <w:br w:type="column"/>
      </w:r>
      <w:r>
        <w:rPr>
          <w:spacing w:val="-4"/>
        </w:rPr>
        <w:t>expenditure</w:t>
      </w:r>
      <w:r>
        <w:rPr>
          <w:spacing w:val="-8"/>
        </w:rPr>
        <w:t> </w:t>
      </w:r>
      <w:r>
        <w:rPr>
          <w:spacing w:val="-4"/>
        </w:rPr>
        <w:t>constituted</w:t>
      </w:r>
      <w:r>
        <w:rPr>
          <w:spacing w:val="-9"/>
        </w:rPr>
        <w:t> </w:t>
      </w:r>
      <w:r>
        <w:rPr>
          <w:spacing w:val="-4"/>
        </w:rPr>
        <w:t>Rs.</w:t>
      </w:r>
      <w:r>
        <w:rPr>
          <w:spacing w:val="-8"/>
        </w:rPr>
        <w:t> </w:t>
      </w:r>
      <w:r>
        <w:rPr>
          <w:spacing w:val="-4"/>
        </w:rPr>
        <w:t>81,810</w:t>
      </w:r>
      <w:r>
        <w:rPr>
          <w:spacing w:val="-9"/>
        </w:rPr>
        <w:t> </w:t>
      </w:r>
      <w:r>
        <w:rPr>
          <w:spacing w:val="-4"/>
        </w:rPr>
        <w:t>crore</w:t>
      </w:r>
      <w:r>
        <w:rPr>
          <w:spacing w:val="-8"/>
        </w:rPr>
        <w:t> </w:t>
      </w:r>
      <w:r>
        <w:rPr>
          <w:spacing w:val="-4"/>
        </w:rPr>
        <w:t>(3.58</w:t>
      </w:r>
      <w:r>
        <w:rPr>
          <w:spacing w:val="-9"/>
        </w:rPr>
        <w:t> </w:t>
      </w:r>
      <w:r>
        <w:rPr>
          <w:spacing w:val="-4"/>
        </w:rPr>
        <w:t>per</w:t>
      </w:r>
      <w:r>
        <w:rPr>
          <w:spacing w:val="-8"/>
        </w:rPr>
        <w:t> </w:t>
      </w:r>
      <w:r>
        <w:rPr>
          <w:spacing w:val="-4"/>
        </w:rPr>
        <w:t>cent) </w:t>
      </w:r>
      <w:r>
        <w:rPr/>
        <w:t>and external support Rs. 2,485 crore (0.11 per cent). In nominal terms, the per capita public health expenditure</w:t>
      </w:r>
      <w:r>
        <w:rPr>
          <w:spacing w:val="40"/>
        </w:rPr>
        <w:t> </w:t>
      </w:r>
      <w:r>
        <w:rPr/>
        <w:t>increased</w:t>
      </w:r>
      <w:r>
        <w:rPr>
          <w:spacing w:val="40"/>
        </w:rPr>
        <w:t> </w:t>
      </w:r>
      <w:r>
        <w:rPr/>
        <w:t>from</w:t>
      </w:r>
      <w:r>
        <w:rPr>
          <w:spacing w:val="40"/>
        </w:rPr>
        <w:t> </w:t>
      </w:r>
      <w:r>
        <w:rPr/>
        <w:t>Rs.</w:t>
      </w:r>
      <w:r>
        <w:rPr>
          <w:spacing w:val="40"/>
        </w:rPr>
        <w:t> </w:t>
      </w:r>
      <w:r>
        <w:rPr/>
        <w:t>89</w:t>
      </w:r>
      <w:r>
        <w:rPr>
          <w:spacing w:val="40"/>
        </w:rPr>
        <w:t> </w:t>
      </w:r>
      <w:r>
        <w:rPr/>
        <w:t>in</w:t>
      </w:r>
      <w:r>
        <w:rPr>
          <w:spacing w:val="40"/>
        </w:rPr>
        <w:t> </w:t>
      </w:r>
      <w:r>
        <w:rPr/>
        <w:t>1993-94</w:t>
      </w:r>
      <w:r>
        <w:rPr>
          <w:spacing w:val="40"/>
        </w:rPr>
        <w:t> </w:t>
      </w:r>
      <w:r>
        <w:rPr/>
        <w:t>to Rs. 214 in 2003-04, which in real terms is Rs. 122. Given these statistics, it is no surprise that the reach </w:t>
      </w:r>
      <w:r>
        <w:rPr>
          <w:spacing w:val="-4"/>
        </w:rPr>
        <w:t>and</w:t>
      </w:r>
      <w:r>
        <w:rPr>
          <w:spacing w:val="-8"/>
        </w:rPr>
        <w:t> </w:t>
      </w:r>
      <w:r>
        <w:rPr>
          <w:spacing w:val="-4"/>
        </w:rPr>
        <w:t>quality</w:t>
      </w:r>
      <w:r>
        <w:rPr>
          <w:spacing w:val="-8"/>
        </w:rPr>
        <w:t> </w:t>
      </w:r>
      <w:r>
        <w:rPr>
          <w:spacing w:val="-4"/>
        </w:rPr>
        <w:t>of</w:t>
      </w:r>
      <w:r>
        <w:rPr>
          <w:spacing w:val="-8"/>
        </w:rPr>
        <w:t> </w:t>
      </w:r>
      <w:r>
        <w:rPr>
          <w:spacing w:val="-4"/>
        </w:rPr>
        <w:t>public</w:t>
      </w:r>
      <w:r>
        <w:rPr>
          <w:spacing w:val="-8"/>
        </w:rPr>
        <w:t> </w:t>
      </w:r>
      <w:r>
        <w:rPr>
          <w:spacing w:val="-4"/>
        </w:rPr>
        <w:t>health</w:t>
      </w:r>
      <w:r>
        <w:rPr>
          <w:spacing w:val="-8"/>
        </w:rPr>
        <w:t> </w:t>
      </w:r>
      <w:r>
        <w:rPr>
          <w:spacing w:val="-4"/>
        </w:rPr>
        <w:t>services</w:t>
      </w:r>
      <w:r>
        <w:rPr>
          <w:spacing w:val="-8"/>
        </w:rPr>
        <w:t> </w:t>
      </w:r>
      <w:r>
        <w:rPr>
          <w:spacing w:val="-4"/>
        </w:rPr>
        <w:t>has</w:t>
      </w:r>
      <w:r>
        <w:rPr>
          <w:spacing w:val="-8"/>
        </w:rPr>
        <w:t> </w:t>
      </w:r>
      <w:r>
        <w:rPr>
          <w:spacing w:val="-4"/>
        </w:rPr>
        <w:t>been</w:t>
      </w:r>
      <w:r>
        <w:rPr>
          <w:spacing w:val="-8"/>
        </w:rPr>
        <w:t> </w:t>
      </w:r>
      <w:r>
        <w:rPr>
          <w:spacing w:val="-4"/>
        </w:rPr>
        <w:t>below</w:t>
      </w:r>
      <w:r>
        <w:rPr>
          <w:spacing w:val="-8"/>
        </w:rPr>
        <w:t> </w:t>
      </w:r>
      <w:r>
        <w:rPr>
          <w:spacing w:val="-4"/>
        </w:rPr>
        <w:t>the </w:t>
      </w:r>
      <w:r>
        <w:rPr/>
        <w:t>desirable standard.</w:t>
      </w:r>
    </w:p>
    <w:p>
      <w:pPr>
        <w:pStyle w:val="BodyText"/>
        <w:spacing w:before="21"/>
      </w:pPr>
    </w:p>
    <w:p>
      <w:pPr>
        <w:pStyle w:val="BodyText"/>
        <w:spacing w:line="266" w:lineRule="auto"/>
        <w:ind w:left="319" w:right="1077"/>
        <w:jc w:val="both"/>
      </w:pPr>
      <w:r>
        <w:rPr>
          <w:b/>
          <w:spacing w:val="-2"/>
        </w:rPr>
        <w:t>Health</w:t>
      </w:r>
      <w:r>
        <w:rPr>
          <w:b/>
          <w:spacing w:val="-12"/>
        </w:rPr>
        <w:t> </w:t>
      </w:r>
      <w:r>
        <w:rPr>
          <w:b/>
          <w:spacing w:val="-2"/>
        </w:rPr>
        <w:t>Services</w:t>
      </w:r>
      <w:r>
        <w:rPr>
          <w:b/>
          <w:spacing w:val="-12"/>
        </w:rPr>
        <w:t> </w:t>
      </w:r>
      <w:r>
        <w:rPr>
          <w:b/>
          <w:spacing w:val="-2"/>
        </w:rPr>
        <w:t>and</w:t>
      </w:r>
      <w:r>
        <w:rPr>
          <w:b/>
          <w:spacing w:val="-12"/>
        </w:rPr>
        <w:t> </w:t>
      </w:r>
      <w:r>
        <w:rPr>
          <w:b/>
          <w:spacing w:val="-2"/>
        </w:rPr>
        <w:t>Medical</w:t>
      </w:r>
      <w:r>
        <w:rPr>
          <w:b/>
          <w:spacing w:val="-11"/>
        </w:rPr>
        <w:t> </w:t>
      </w:r>
      <w:r>
        <w:rPr>
          <w:b/>
          <w:spacing w:val="-2"/>
        </w:rPr>
        <w:t>Personnel:</w:t>
      </w:r>
      <w:r>
        <w:rPr>
          <w:b/>
          <w:spacing w:val="-12"/>
        </w:rPr>
        <w:t> </w:t>
      </w:r>
      <w:r>
        <w:rPr>
          <w:spacing w:val="-2"/>
        </w:rPr>
        <w:t>While</w:t>
      </w:r>
      <w:r>
        <w:rPr>
          <w:spacing w:val="-12"/>
        </w:rPr>
        <w:t> </w:t>
      </w:r>
      <w:r>
        <w:rPr>
          <w:spacing w:val="-2"/>
        </w:rPr>
        <w:t>India </w:t>
      </w:r>
      <w:r>
        <w:rPr>
          <w:spacing w:val="-4"/>
        </w:rPr>
        <w:t>has</w:t>
      </w:r>
      <w:r>
        <w:rPr>
          <w:spacing w:val="-10"/>
        </w:rPr>
        <w:t> </w:t>
      </w:r>
      <w:r>
        <w:rPr>
          <w:spacing w:val="-4"/>
        </w:rPr>
        <w:t>seen</w:t>
      </w:r>
      <w:r>
        <w:rPr>
          <w:spacing w:val="-10"/>
        </w:rPr>
        <w:t> </w:t>
      </w:r>
      <w:r>
        <w:rPr>
          <w:spacing w:val="-4"/>
        </w:rPr>
        <w:t>considerable</w:t>
      </w:r>
      <w:r>
        <w:rPr>
          <w:spacing w:val="-10"/>
        </w:rPr>
        <w:t> </w:t>
      </w:r>
      <w:r>
        <w:rPr>
          <w:spacing w:val="-4"/>
        </w:rPr>
        <w:t>improvements</w:t>
      </w:r>
      <w:r>
        <w:rPr>
          <w:spacing w:val="-9"/>
        </w:rPr>
        <w:t> </w:t>
      </w:r>
      <w:r>
        <w:rPr>
          <w:spacing w:val="-4"/>
        </w:rPr>
        <w:t>in</w:t>
      </w:r>
      <w:r>
        <w:rPr>
          <w:spacing w:val="-10"/>
        </w:rPr>
        <w:t> </w:t>
      </w:r>
      <w:r>
        <w:rPr>
          <w:spacing w:val="-4"/>
        </w:rPr>
        <w:t>health</w:t>
      </w:r>
      <w:r>
        <w:rPr>
          <w:spacing w:val="-10"/>
        </w:rPr>
        <w:t> </w:t>
      </w:r>
      <w:r>
        <w:rPr>
          <w:spacing w:val="-4"/>
        </w:rPr>
        <w:t>standards </w:t>
      </w:r>
      <w:r>
        <w:rPr/>
        <w:t>in the last six decades, problems of access to quality healthcare</w:t>
      </w:r>
      <w:r>
        <w:rPr>
          <w:spacing w:val="-7"/>
        </w:rPr>
        <w:t> </w:t>
      </w:r>
      <w:r>
        <w:rPr/>
        <w:t>and</w:t>
      </w:r>
      <w:r>
        <w:rPr>
          <w:spacing w:val="-8"/>
        </w:rPr>
        <w:t> </w:t>
      </w:r>
      <w:r>
        <w:rPr/>
        <w:t>shortages</w:t>
      </w:r>
      <w:r>
        <w:rPr>
          <w:spacing w:val="-8"/>
        </w:rPr>
        <w:t> </w:t>
      </w:r>
      <w:r>
        <w:rPr/>
        <w:t>of</w:t>
      </w:r>
      <w:r>
        <w:rPr>
          <w:spacing w:val="-8"/>
        </w:rPr>
        <w:t> </w:t>
      </w:r>
      <w:r>
        <w:rPr/>
        <w:t>skilled</w:t>
      </w:r>
      <w:r>
        <w:rPr>
          <w:spacing w:val="-8"/>
        </w:rPr>
        <w:t> </w:t>
      </w:r>
      <w:r>
        <w:rPr/>
        <w:t>medical</w:t>
      </w:r>
      <w:r>
        <w:rPr>
          <w:spacing w:val="-8"/>
        </w:rPr>
        <w:t> </w:t>
      </w:r>
      <w:r>
        <w:rPr/>
        <w:t>personnel still persist. As per 2007 figures, India had 6.9 lakh </w:t>
      </w:r>
      <w:r>
        <w:rPr>
          <w:spacing w:val="-4"/>
        </w:rPr>
        <w:t>registered</w:t>
      </w:r>
      <w:r>
        <w:rPr>
          <w:spacing w:val="-5"/>
        </w:rPr>
        <w:t> </w:t>
      </w:r>
      <w:r>
        <w:rPr>
          <w:spacing w:val="-4"/>
        </w:rPr>
        <w:t>allopathic</w:t>
      </w:r>
      <w:r>
        <w:rPr>
          <w:spacing w:val="-5"/>
        </w:rPr>
        <w:t> </w:t>
      </w:r>
      <w:r>
        <w:rPr>
          <w:spacing w:val="-4"/>
        </w:rPr>
        <w:t>doctors,</w:t>
      </w:r>
      <w:r>
        <w:rPr>
          <w:spacing w:val="-5"/>
        </w:rPr>
        <w:t> </w:t>
      </w:r>
      <w:r>
        <w:rPr>
          <w:spacing w:val="-4"/>
        </w:rPr>
        <w:t>7.2</w:t>
      </w:r>
      <w:r>
        <w:rPr>
          <w:spacing w:val="-5"/>
        </w:rPr>
        <w:t> </w:t>
      </w:r>
      <w:r>
        <w:rPr>
          <w:spacing w:val="-4"/>
        </w:rPr>
        <w:t>lakh</w:t>
      </w:r>
      <w:r>
        <w:rPr>
          <w:spacing w:val="-5"/>
        </w:rPr>
        <w:t> </w:t>
      </w:r>
      <w:r>
        <w:rPr>
          <w:spacing w:val="-4"/>
        </w:rPr>
        <w:t>AYUSH</w:t>
      </w:r>
      <w:r>
        <w:rPr>
          <w:spacing w:val="-5"/>
        </w:rPr>
        <w:t> </w:t>
      </w:r>
      <w:r>
        <w:rPr>
          <w:spacing w:val="-4"/>
        </w:rPr>
        <w:t>doctors, </w:t>
      </w:r>
      <w:r>
        <w:rPr/>
        <w:t>15 lakh nurses and 6.8 lakh pharmacists. While the absolute number is not very low for a developing country, the numbers prove inadequate in view of India’s large population.</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before="94"/>
        <w:rPr>
          <w:sz w:val="24"/>
        </w:rPr>
      </w:pPr>
    </w:p>
    <w:p>
      <w:pPr>
        <w:pStyle w:val="Heading8"/>
        <w:ind w:left="2007"/>
      </w:pPr>
      <w:r>
        <w:rPr>
          <w:w w:val="90"/>
        </w:rPr>
        <w:t>Figure</w:t>
      </w:r>
      <w:r>
        <w:rPr>
          <w:spacing w:val="4"/>
        </w:rPr>
        <w:t> </w:t>
      </w:r>
      <w:r>
        <w:rPr>
          <w:w w:val="90"/>
        </w:rPr>
        <w:t>33:</w:t>
      </w:r>
      <w:r>
        <w:rPr>
          <w:spacing w:val="4"/>
        </w:rPr>
        <w:t> </w:t>
      </w:r>
      <w:r>
        <w:rPr>
          <w:color w:val="2E614A"/>
          <w:w w:val="90"/>
        </w:rPr>
        <w:t>Growth</w:t>
      </w:r>
      <w:r>
        <w:rPr>
          <w:color w:val="2E614A"/>
          <w:spacing w:val="5"/>
        </w:rPr>
        <w:t> </w:t>
      </w:r>
      <w:r>
        <w:rPr>
          <w:color w:val="2E614A"/>
          <w:w w:val="90"/>
        </w:rPr>
        <w:t>of</w:t>
      </w:r>
      <w:r>
        <w:rPr>
          <w:color w:val="2E614A"/>
          <w:spacing w:val="4"/>
        </w:rPr>
        <w:t> </w:t>
      </w:r>
      <w:r>
        <w:rPr>
          <w:color w:val="2E614A"/>
          <w:w w:val="90"/>
        </w:rPr>
        <w:t>per</w:t>
      </w:r>
      <w:r>
        <w:rPr>
          <w:color w:val="2E614A"/>
          <w:spacing w:val="5"/>
        </w:rPr>
        <w:t> </w:t>
      </w:r>
      <w:r>
        <w:rPr>
          <w:color w:val="2E614A"/>
          <w:w w:val="90"/>
        </w:rPr>
        <w:t>capital</w:t>
      </w:r>
      <w:r>
        <w:rPr>
          <w:color w:val="2E614A"/>
          <w:spacing w:val="4"/>
        </w:rPr>
        <w:t> </w:t>
      </w:r>
      <w:r>
        <w:rPr>
          <w:color w:val="2E614A"/>
          <w:w w:val="90"/>
        </w:rPr>
        <w:t>health</w:t>
      </w:r>
      <w:r>
        <w:rPr>
          <w:color w:val="2E614A"/>
          <w:spacing w:val="5"/>
        </w:rPr>
        <w:t> </w:t>
      </w:r>
      <w:r>
        <w:rPr>
          <w:color w:val="2E614A"/>
          <w:w w:val="90"/>
        </w:rPr>
        <w:t>expenditure</w:t>
      </w:r>
      <w:r>
        <w:rPr>
          <w:color w:val="2E614A"/>
          <w:spacing w:val="4"/>
        </w:rPr>
        <w:t> </w:t>
      </w:r>
      <w:r>
        <w:rPr>
          <w:color w:val="2E614A"/>
          <w:w w:val="90"/>
        </w:rPr>
        <w:t>by</w:t>
      </w:r>
      <w:r>
        <w:rPr>
          <w:color w:val="2E614A"/>
          <w:spacing w:val="5"/>
        </w:rPr>
        <w:t> </w:t>
      </w:r>
      <w:r>
        <w:rPr>
          <w:color w:val="2E614A"/>
          <w:w w:val="90"/>
        </w:rPr>
        <w:t>Centre</w:t>
      </w:r>
      <w:r>
        <w:rPr>
          <w:color w:val="2E614A"/>
          <w:spacing w:val="4"/>
        </w:rPr>
        <w:t> </w:t>
      </w:r>
      <w:r>
        <w:rPr>
          <w:color w:val="2E614A"/>
          <w:w w:val="90"/>
        </w:rPr>
        <w:t>and</w:t>
      </w:r>
      <w:r>
        <w:rPr>
          <w:color w:val="2E614A"/>
          <w:spacing w:val="5"/>
        </w:rPr>
        <w:t> </w:t>
      </w:r>
      <w:r>
        <w:rPr>
          <w:color w:val="2E614A"/>
          <w:spacing w:val="-2"/>
          <w:w w:val="90"/>
        </w:rPr>
        <w:t>States</w:t>
      </w:r>
    </w:p>
    <w:p>
      <w:pPr>
        <w:pStyle w:val="BodyText"/>
        <w:spacing w:before="8"/>
        <w:rPr>
          <w:b/>
          <w:sz w:val="12"/>
        </w:rPr>
      </w:pPr>
      <w:r>
        <w:rPr/>
        <mc:AlternateContent>
          <mc:Choice Requires="wps">
            <w:drawing>
              <wp:anchor distT="0" distB="0" distL="0" distR="0" allowOverlap="1" layoutInCell="1" locked="0" behindDoc="1" simplePos="0" relativeHeight="487700992">
                <wp:simplePos x="0" y="0"/>
                <wp:positionH relativeFrom="page">
                  <wp:posOffset>1281099</wp:posOffset>
                </wp:positionH>
                <wp:positionV relativeFrom="paragraph">
                  <wp:posOffset>108304</wp:posOffset>
                </wp:positionV>
                <wp:extent cx="5039360" cy="2188210"/>
                <wp:effectExtent l="0" t="0" r="0" b="0"/>
                <wp:wrapTopAndBottom/>
                <wp:docPr id="1722" name="Group 1722"/>
                <wp:cNvGraphicFramePr>
                  <a:graphicFrameLocks/>
                </wp:cNvGraphicFramePr>
                <a:graphic>
                  <a:graphicData uri="http://schemas.microsoft.com/office/word/2010/wordprocessingGroup">
                    <wpg:wgp>
                      <wpg:cNvPr id="1722" name="Group 1722"/>
                      <wpg:cNvGrpSpPr/>
                      <wpg:grpSpPr>
                        <a:xfrm>
                          <a:off x="0" y="0"/>
                          <a:ext cx="5039360" cy="2188210"/>
                          <a:chExt cx="5039360" cy="2188210"/>
                        </a:xfrm>
                      </wpg:grpSpPr>
                      <wps:wsp>
                        <wps:cNvPr id="1723" name="Graphic 1723"/>
                        <wps:cNvSpPr/>
                        <wps:spPr>
                          <a:xfrm>
                            <a:off x="0" y="0"/>
                            <a:ext cx="5039360" cy="2188210"/>
                          </a:xfrm>
                          <a:custGeom>
                            <a:avLst/>
                            <a:gdLst/>
                            <a:ahLst/>
                            <a:cxnLst/>
                            <a:rect l="l" t="t" r="r" b="b"/>
                            <a:pathLst>
                              <a:path w="5039360" h="2188210">
                                <a:moveTo>
                                  <a:pt x="4876000" y="1916188"/>
                                </a:moveTo>
                                <a:lnTo>
                                  <a:pt x="4876000" y="1916188"/>
                                </a:lnTo>
                                <a:lnTo>
                                  <a:pt x="360299" y="1916188"/>
                                </a:lnTo>
                                <a:lnTo>
                                  <a:pt x="360299" y="432206"/>
                                </a:lnTo>
                                <a:lnTo>
                                  <a:pt x="353949" y="432206"/>
                                </a:lnTo>
                                <a:lnTo>
                                  <a:pt x="321513" y="432206"/>
                                </a:lnTo>
                                <a:lnTo>
                                  <a:pt x="321513" y="438556"/>
                                </a:lnTo>
                                <a:lnTo>
                                  <a:pt x="353949" y="438556"/>
                                </a:lnTo>
                                <a:lnTo>
                                  <a:pt x="353949" y="728992"/>
                                </a:lnTo>
                                <a:lnTo>
                                  <a:pt x="321513" y="728992"/>
                                </a:lnTo>
                                <a:lnTo>
                                  <a:pt x="321513" y="735342"/>
                                </a:lnTo>
                                <a:lnTo>
                                  <a:pt x="353949" y="735342"/>
                                </a:lnTo>
                                <a:lnTo>
                                  <a:pt x="353949" y="1025804"/>
                                </a:lnTo>
                                <a:lnTo>
                                  <a:pt x="321513" y="1025804"/>
                                </a:lnTo>
                                <a:lnTo>
                                  <a:pt x="321513" y="1032154"/>
                                </a:lnTo>
                                <a:lnTo>
                                  <a:pt x="353949" y="1032154"/>
                                </a:lnTo>
                                <a:lnTo>
                                  <a:pt x="353949" y="1322603"/>
                                </a:lnTo>
                                <a:lnTo>
                                  <a:pt x="321513" y="1322603"/>
                                </a:lnTo>
                                <a:lnTo>
                                  <a:pt x="321513" y="1328953"/>
                                </a:lnTo>
                                <a:lnTo>
                                  <a:pt x="353949" y="1328953"/>
                                </a:lnTo>
                                <a:lnTo>
                                  <a:pt x="353949" y="1619402"/>
                                </a:lnTo>
                                <a:lnTo>
                                  <a:pt x="321513" y="1619402"/>
                                </a:lnTo>
                                <a:lnTo>
                                  <a:pt x="321513" y="1625752"/>
                                </a:lnTo>
                                <a:lnTo>
                                  <a:pt x="353949" y="1625752"/>
                                </a:lnTo>
                                <a:lnTo>
                                  <a:pt x="353949" y="1916188"/>
                                </a:lnTo>
                                <a:lnTo>
                                  <a:pt x="321513" y="1916188"/>
                                </a:lnTo>
                                <a:lnTo>
                                  <a:pt x="321513" y="1922538"/>
                                </a:lnTo>
                                <a:lnTo>
                                  <a:pt x="353949" y="1922538"/>
                                </a:lnTo>
                                <a:lnTo>
                                  <a:pt x="353949" y="1951494"/>
                                </a:lnTo>
                                <a:lnTo>
                                  <a:pt x="360299" y="1951494"/>
                                </a:lnTo>
                                <a:lnTo>
                                  <a:pt x="360299" y="1922538"/>
                                </a:lnTo>
                                <a:lnTo>
                                  <a:pt x="767410" y="1922538"/>
                                </a:lnTo>
                                <a:lnTo>
                                  <a:pt x="767410" y="1951494"/>
                                </a:lnTo>
                                <a:lnTo>
                                  <a:pt x="773760" y="1951494"/>
                                </a:lnTo>
                                <a:lnTo>
                                  <a:pt x="773760" y="1922538"/>
                                </a:lnTo>
                                <a:lnTo>
                                  <a:pt x="1172781" y="1922538"/>
                                </a:lnTo>
                                <a:lnTo>
                                  <a:pt x="1172781" y="1951494"/>
                                </a:lnTo>
                                <a:lnTo>
                                  <a:pt x="1179131" y="1951494"/>
                                </a:lnTo>
                                <a:lnTo>
                                  <a:pt x="1179131" y="1922538"/>
                                </a:lnTo>
                                <a:lnTo>
                                  <a:pt x="1586242" y="1922538"/>
                                </a:lnTo>
                                <a:lnTo>
                                  <a:pt x="1586242" y="1951494"/>
                                </a:lnTo>
                                <a:lnTo>
                                  <a:pt x="1592592" y="1951494"/>
                                </a:lnTo>
                                <a:lnTo>
                                  <a:pt x="1592592" y="1922538"/>
                                </a:lnTo>
                                <a:lnTo>
                                  <a:pt x="1999703" y="1922538"/>
                                </a:lnTo>
                                <a:lnTo>
                                  <a:pt x="1999703" y="1951494"/>
                                </a:lnTo>
                                <a:lnTo>
                                  <a:pt x="2006053" y="1951494"/>
                                </a:lnTo>
                                <a:lnTo>
                                  <a:pt x="2006053" y="1922538"/>
                                </a:lnTo>
                                <a:lnTo>
                                  <a:pt x="2405062" y="1922538"/>
                                </a:lnTo>
                                <a:lnTo>
                                  <a:pt x="2405062" y="1951494"/>
                                </a:lnTo>
                                <a:lnTo>
                                  <a:pt x="2411412" y="1951494"/>
                                </a:lnTo>
                                <a:lnTo>
                                  <a:pt x="2411412" y="1922538"/>
                                </a:lnTo>
                                <a:lnTo>
                                  <a:pt x="2818536" y="1922538"/>
                                </a:lnTo>
                                <a:lnTo>
                                  <a:pt x="2818536" y="1951494"/>
                                </a:lnTo>
                                <a:lnTo>
                                  <a:pt x="2824886" y="1951494"/>
                                </a:lnTo>
                                <a:lnTo>
                                  <a:pt x="2824886" y="1922538"/>
                                </a:lnTo>
                                <a:lnTo>
                                  <a:pt x="3223895" y="1922538"/>
                                </a:lnTo>
                                <a:lnTo>
                                  <a:pt x="3223895" y="1951494"/>
                                </a:lnTo>
                                <a:lnTo>
                                  <a:pt x="3230245" y="1951494"/>
                                </a:lnTo>
                                <a:lnTo>
                                  <a:pt x="3230245" y="1922538"/>
                                </a:lnTo>
                                <a:lnTo>
                                  <a:pt x="3637356" y="1922538"/>
                                </a:lnTo>
                                <a:lnTo>
                                  <a:pt x="3637356" y="1951494"/>
                                </a:lnTo>
                                <a:lnTo>
                                  <a:pt x="3643706" y="1951494"/>
                                </a:lnTo>
                                <a:lnTo>
                                  <a:pt x="3643706" y="1922538"/>
                                </a:lnTo>
                                <a:lnTo>
                                  <a:pt x="4050817" y="1922538"/>
                                </a:lnTo>
                                <a:lnTo>
                                  <a:pt x="4050817" y="1951494"/>
                                </a:lnTo>
                                <a:lnTo>
                                  <a:pt x="4057167" y="1951494"/>
                                </a:lnTo>
                                <a:lnTo>
                                  <a:pt x="4057167" y="1922538"/>
                                </a:lnTo>
                                <a:lnTo>
                                  <a:pt x="4456176" y="1922538"/>
                                </a:lnTo>
                                <a:lnTo>
                                  <a:pt x="4456176" y="1951494"/>
                                </a:lnTo>
                                <a:lnTo>
                                  <a:pt x="4462526" y="1951494"/>
                                </a:lnTo>
                                <a:lnTo>
                                  <a:pt x="4462526" y="1922538"/>
                                </a:lnTo>
                                <a:lnTo>
                                  <a:pt x="4869650" y="1922538"/>
                                </a:lnTo>
                                <a:lnTo>
                                  <a:pt x="4869650" y="1951494"/>
                                </a:lnTo>
                                <a:lnTo>
                                  <a:pt x="4876000" y="1951494"/>
                                </a:lnTo>
                                <a:lnTo>
                                  <a:pt x="4876000" y="1916188"/>
                                </a:lnTo>
                                <a:close/>
                              </a:path>
                              <a:path w="5039360" h="2188210">
                                <a:moveTo>
                                  <a:pt x="5039042" y="0"/>
                                </a:moveTo>
                                <a:lnTo>
                                  <a:pt x="5032692" y="0"/>
                                </a:lnTo>
                                <a:lnTo>
                                  <a:pt x="5032692" y="6477"/>
                                </a:lnTo>
                                <a:lnTo>
                                  <a:pt x="5032692" y="2181860"/>
                                </a:lnTo>
                                <a:lnTo>
                                  <a:pt x="5032692" y="2185111"/>
                                </a:lnTo>
                                <a:lnTo>
                                  <a:pt x="5032692" y="2185670"/>
                                </a:lnTo>
                                <a:lnTo>
                                  <a:pt x="3175" y="2185670"/>
                                </a:lnTo>
                                <a:lnTo>
                                  <a:pt x="3175" y="2185111"/>
                                </a:lnTo>
                                <a:lnTo>
                                  <a:pt x="6350" y="2185111"/>
                                </a:lnTo>
                                <a:lnTo>
                                  <a:pt x="5032692" y="2185111"/>
                                </a:lnTo>
                                <a:lnTo>
                                  <a:pt x="5032692" y="2181936"/>
                                </a:lnTo>
                                <a:lnTo>
                                  <a:pt x="6350" y="2181936"/>
                                </a:lnTo>
                                <a:lnTo>
                                  <a:pt x="3175" y="2181936"/>
                                </a:lnTo>
                                <a:lnTo>
                                  <a:pt x="6350" y="2181860"/>
                                </a:lnTo>
                                <a:lnTo>
                                  <a:pt x="6350" y="6477"/>
                                </a:lnTo>
                                <a:lnTo>
                                  <a:pt x="5032692" y="6477"/>
                                </a:lnTo>
                                <a:lnTo>
                                  <a:pt x="5032692" y="0"/>
                                </a:lnTo>
                                <a:lnTo>
                                  <a:pt x="0" y="0"/>
                                </a:lnTo>
                                <a:lnTo>
                                  <a:pt x="0" y="3810"/>
                                </a:lnTo>
                                <a:lnTo>
                                  <a:pt x="0" y="6350"/>
                                </a:lnTo>
                                <a:lnTo>
                                  <a:pt x="0" y="2181860"/>
                                </a:lnTo>
                                <a:lnTo>
                                  <a:pt x="0" y="2185670"/>
                                </a:lnTo>
                                <a:lnTo>
                                  <a:pt x="0" y="2188210"/>
                                </a:lnTo>
                                <a:lnTo>
                                  <a:pt x="5039042" y="2188210"/>
                                </a:lnTo>
                                <a:lnTo>
                                  <a:pt x="5039042" y="2185670"/>
                                </a:lnTo>
                                <a:lnTo>
                                  <a:pt x="5035867" y="2185670"/>
                                </a:lnTo>
                                <a:lnTo>
                                  <a:pt x="5035867" y="2185111"/>
                                </a:lnTo>
                                <a:lnTo>
                                  <a:pt x="5039042" y="2185111"/>
                                </a:lnTo>
                                <a:lnTo>
                                  <a:pt x="5039042" y="2181936"/>
                                </a:lnTo>
                                <a:lnTo>
                                  <a:pt x="5035867" y="2181936"/>
                                </a:lnTo>
                                <a:lnTo>
                                  <a:pt x="5039042" y="2181860"/>
                                </a:lnTo>
                                <a:lnTo>
                                  <a:pt x="5039042" y="6477"/>
                                </a:lnTo>
                                <a:lnTo>
                                  <a:pt x="5039042" y="6350"/>
                                </a:lnTo>
                                <a:lnTo>
                                  <a:pt x="5039042" y="3810"/>
                                </a:lnTo>
                                <a:lnTo>
                                  <a:pt x="5039042" y="3302"/>
                                </a:lnTo>
                                <a:lnTo>
                                  <a:pt x="5039042" y="0"/>
                                </a:lnTo>
                                <a:close/>
                              </a:path>
                            </a:pathLst>
                          </a:custGeom>
                          <a:solidFill>
                            <a:srgbClr val="000000"/>
                          </a:solidFill>
                        </wps:spPr>
                        <wps:bodyPr wrap="square" lIns="0" tIns="0" rIns="0" bIns="0" rtlCol="0">
                          <a:prstTxWarp prst="textNoShape">
                            <a:avLst/>
                          </a:prstTxWarp>
                          <a:noAutofit/>
                        </wps:bodyPr>
                      </wps:wsp>
                      <wps:wsp>
                        <wps:cNvPr id="1724" name="Graphic 1724"/>
                        <wps:cNvSpPr/>
                        <wps:spPr>
                          <a:xfrm>
                            <a:off x="550695" y="635954"/>
                            <a:ext cx="4129404" cy="764540"/>
                          </a:xfrm>
                          <a:custGeom>
                            <a:avLst/>
                            <a:gdLst/>
                            <a:ahLst/>
                            <a:cxnLst/>
                            <a:rect l="l" t="t" r="r" b="b"/>
                            <a:pathLst>
                              <a:path w="4129404" h="764540">
                                <a:moveTo>
                                  <a:pt x="421251" y="689088"/>
                                </a:moveTo>
                                <a:lnTo>
                                  <a:pt x="0" y="748086"/>
                                </a:lnTo>
                                <a:lnTo>
                                  <a:pt x="2239" y="764078"/>
                                </a:lnTo>
                                <a:lnTo>
                                  <a:pt x="416100" y="706115"/>
                                </a:lnTo>
                                <a:lnTo>
                                  <a:pt x="413122" y="690654"/>
                                </a:lnTo>
                                <a:lnTo>
                                  <a:pt x="421251" y="689088"/>
                                </a:lnTo>
                                <a:close/>
                              </a:path>
                              <a:path w="4129404" h="764540">
                                <a:moveTo>
                                  <a:pt x="423905" y="705022"/>
                                </a:moveTo>
                                <a:lnTo>
                                  <a:pt x="416100" y="706115"/>
                                </a:lnTo>
                                <a:lnTo>
                                  <a:pt x="416176" y="706511"/>
                                </a:lnTo>
                                <a:lnTo>
                                  <a:pt x="423905" y="705022"/>
                                </a:lnTo>
                                <a:close/>
                              </a:path>
                              <a:path w="4129404" h="764540">
                                <a:moveTo>
                                  <a:pt x="429454" y="687940"/>
                                </a:moveTo>
                                <a:lnTo>
                                  <a:pt x="421251" y="689088"/>
                                </a:lnTo>
                                <a:lnTo>
                                  <a:pt x="413122" y="690654"/>
                                </a:lnTo>
                                <a:lnTo>
                                  <a:pt x="416100" y="706115"/>
                                </a:lnTo>
                                <a:lnTo>
                                  <a:pt x="423905" y="705022"/>
                                </a:lnTo>
                                <a:lnTo>
                                  <a:pt x="431638" y="703533"/>
                                </a:lnTo>
                                <a:lnTo>
                                  <a:pt x="429454" y="687940"/>
                                </a:lnTo>
                                <a:close/>
                              </a:path>
                              <a:path w="4129404" h="764540">
                                <a:moveTo>
                                  <a:pt x="431638" y="703533"/>
                                </a:moveTo>
                                <a:lnTo>
                                  <a:pt x="423905" y="705022"/>
                                </a:lnTo>
                                <a:lnTo>
                                  <a:pt x="431693" y="703931"/>
                                </a:lnTo>
                                <a:lnTo>
                                  <a:pt x="431638" y="703533"/>
                                </a:lnTo>
                                <a:close/>
                              </a:path>
                              <a:path w="4129404" h="764540">
                                <a:moveTo>
                                  <a:pt x="512605" y="687940"/>
                                </a:moveTo>
                                <a:lnTo>
                                  <a:pt x="429454" y="687940"/>
                                </a:lnTo>
                                <a:lnTo>
                                  <a:pt x="431638" y="703533"/>
                                </a:lnTo>
                                <a:lnTo>
                                  <a:pt x="512605" y="687940"/>
                                </a:lnTo>
                                <a:close/>
                              </a:path>
                              <a:path w="4129404" h="764540">
                                <a:moveTo>
                                  <a:pt x="827229" y="610902"/>
                                </a:moveTo>
                                <a:lnTo>
                                  <a:pt x="421251" y="689088"/>
                                </a:lnTo>
                                <a:lnTo>
                                  <a:pt x="429454" y="687940"/>
                                </a:lnTo>
                                <a:lnTo>
                                  <a:pt x="512605" y="687940"/>
                                </a:lnTo>
                                <a:lnTo>
                                  <a:pt x="832589" y="626314"/>
                                </a:lnTo>
                                <a:lnTo>
                                  <a:pt x="828880" y="626314"/>
                                </a:lnTo>
                                <a:lnTo>
                                  <a:pt x="827229" y="610902"/>
                                </a:lnTo>
                                <a:close/>
                              </a:path>
                              <a:path w="4129404" h="764540">
                                <a:moveTo>
                                  <a:pt x="842572" y="608607"/>
                                </a:moveTo>
                                <a:lnTo>
                                  <a:pt x="834850" y="609434"/>
                                </a:lnTo>
                                <a:lnTo>
                                  <a:pt x="827229" y="610902"/>
                                </a:lnTo>
                                <a:lnTo>
                                  <a:pt x="828880" y="626314"/>
                                </a:lnTo>
                                <a:lnTo>
                                  <a:pt x="837241" y="625418"/>
                                </a:lnTo>
                                <a:lnTo>
                                  <a:pt x="845503" y="623827"/>
                                </a:lnTo>
                                <a:lnTo>
                                  <a:pt x="842572" y="608607"/>
                                </a:lnTo>
                                <a:close/>
                              </a:path>
                              <a:path w="4129404" h="764540">
                                <a:moveTo>
                                  <a:pt x="837241" y="625418"/>
                                </a:moveTo>
                                <a:lnTo>
                                  <a:pt x="828880" y="626314"/>
                                </a:lnTo>
                                <a:lnTo>
                                  <a:pt x="832589" y="626314"/>
                                </a:lnTo>
                                <a:lnTo>
                                  <a:pt x="837241" y="625418"/>
                                </a:lnTo>
                                <a:close/>
                              </a:path>
                              <a:path w="4129404" h="764540">
                                <a:moveTo>
                                  <a:pt x="1240139" y="566009"/>
                                </a:moveTo>
                                <a:lnTo>
                                  <a:pt x="842572" y="608607"/>
                                </a:lnTo>
                                <a:lnTo>
                                  <a:pt x="845503" y="623827"/>
                                </a:lnTo>
                                <a:lnTo>
                                  <a:pt x="837241" y="625418"/>
                                </a:lnTo>
                                <a:lnTo>
                                  <a:pt x="1235004" y="582799"/>
                                </a:lnTo>
                                <a:lnTo>
                                  <a:pt x="1231843" y="567752"/>
                                </a:lnTo>
                                <a:lnTo>
                                  <a:pt x="1240139" y="566009"/>
                                </a:lnTo>
                                <a:close/>
                              </a:path>
                              <a:path w="4129404" h="764540">
                                <a:moveTo>
                                  <a:pt x="834850" y="609434"/>
                                </a:moveTo>
                                <a:lnTo>
                                  <a:pt x="827160" y="610258"/>
                                </a:lnTo>
                                <a:lnTo>
                                  <a:pt x="827229" y="610902"/>
                                </a:lnTo>
                                <a:lnTo>
                                  <a:pt x="834850" y="609434"/>
                                </a:lnTo>
                                <a:close/>
                              </a:path>
                              <a:path w="4129404" h="764540">
                                <a:moveTo>
                                  <a:pt x="842449" y="607971"/>
                                </a:moveTo>
                                <a:lnTo>
                                  <a:pt x="834850" y="609434"/>
                                </a:lnTo>
                                <a:lnTo>
                                  <a:pt x="842572" y="608607"/>
                                </a:lnTo>
                                <a:lnTo>
                                  <a:pt x="842449" y="607971"/>
                                </a:lnTo>
                                <a:close/>
                              </a:path>
                              <a:path w="4129404" h="764540">
                                <a:moveTo>
                                  <a:pt x="1242667" y="581978"/>
                                </a:moveTo>
                                <a:lnTo>
                                  <a:pt x="1235004" y="582799"/>
                                </a:lnTo>
                                <a:lnTo>
                                  <a:pt x="1235163" y="583555"/>
                                </a:lnTo>
                                <a:lnTo>
                                  <a:pt x="1242667" y="581978"/>
                                </a:lnTo>
                                <a:close/>
                              </a:path>
                              <a:path w="4129404" h="764540">
                                <a:moveTo>
                                  <a:pt x="1248573" y="565105"/>
                                </a:moveTo>
                                <a:lnTo>
                                  <a:pt x="1240139" y="566009"/>
                                </a:lnTo>
                                <a:lnTo>
                                  <a:pt x="1231843" y="567752"/>
                                </a:lnTo>
                                <a:lnTo>
                                  <a:pt x="1235004" y="582799"/>
                                </a:lnTo>
                                <a:lnTo>
                                  <a:pt x="1242667" y="581978"/>
                                </a:lnTo>
                                <a:lnTo>
                                  <a:pt x="1250210" y="580393"/>
                                </a:lnTo>
                                <a:lnTo>
                                  <a:pt x="1248573" y="565105"/>
                                </a:lnTo>
                                <a:close/>
                              </a:path>
                              <a:path w="4129404" h="764540">
                                <a:moveTo>
                                  <a:pt x="1250210" y="580393"/>
                                </a:moveTo>
                                <a:lnTo>
                                  <a:pt x="1242667" y="581978"/>
                                </a:lnTo>
                                <a:lnTo>
                                  <a:pt x="1250293" y="581161"/>
                                </a:lnTo>
                                <a:lnTo>
                                  <a:pt x="1250210" y="580393"/>
                                </a:lnTo>
                                <a:close/>
                              </a:path>
                              <a:path w="4129404" h="764540">
                                <a:moveTo>
                                  <a:pt x="1322974" y="565105"/>
                                </a:moveTo>
                                <a:lnTo>
                                  <a:pt x="1248573" y="565105"/>
                                </a:lnTo>
                                <a:lnTo>
                                  <a:pt x="1250210" y="580393"/>
                                </a:lnTo>
                                <a:lnTo>
                                  <a:pt x="1322974" y="565105"/>
                                </a:lnTo>
                                <a:close/>
                              </a:path>
                              <a:path w="4129404" h="764540">
                                <a:moveTo>
                                  <a:pt x="1652829" y="479300"/>
                                </a:moveTo>
                                <a:lnTo>
                                  <a:pt x="1240139" y="566009"/>
                                </a:lnTo>
                                <a:lnTo>
                                  <a:pt x="1248573" y="565105"/>
                                </a:lnTo>
                                <a:lnTo>
                                  <a:pt x="1322974" y="565105"/>
                                </a:lnTo>
                                <a:lnTo>
                                  <a:pt x="1649374" y="496526"/>
                                </a:lnTo>
                                <a:lnTo>
                                  <a:pt x="1644747" y="481847"/>
                                </a:lnTo>
                                <a:lnTo>
                                  <a:pt x="1652829" y="479300"/>
                                </a:lnTo>
                                <a:close/>
                              </a:path>
                              <a:path w="4129404" h="764540">
                                <a:moveTo>
                                  <a:pt x="1656923" y="494940"/>
                                </a:moveTo>
                                <a:lnTo>
                                  <a:pt x="1649374" y="496526"/>
                                </a:lnTo>
                                <a:lnTo>
                                  <a:pt x="1649601" y="497248"/>
                                </a:lnTo>
                                <a:lnTo>
                                  <a:pt x="1656923" y="494940"/>
                                </a:lnTo>
                                <a:close/>
                              </a:path>
                              <a:path w="4129404" h="764540">
                                <a:moveTo>
                                  <a:pt x="1661116" y="477559"/>
                                </a:moveTo>
                                <a:lnTo>
                                  <a:pt x="1652829" y="479300"/>
                                </a:lnTo>
                                <a:lnTo>
                                  <a:pt x="1644747" y="481847"/>
                                </a:lnTo>
                                <a:lnTo>
                                  <a:pt x="1649374" y="496526"/>
                                </a:lnTo>
                                <a:lnTo>
                                  <a:pt x="1656923" y="494940"/>
                                </a:lnTo>
                                <a:lnTo>
                                  <a:pt x="1664281" y="492621"/>
                                </a:lnTo>
                                <a:lnTo>
                                  <a:pt x="1661116" y="477559"/>
                                </a:lnTo>
                                <a:close/>
                              </a:path>
                              <a:path w="4129404" h="764540">
                                <a:moveTo>
                                  <a:pt x="1664281" y="492621"/>
                                </a:moveTo>
                                <a:lnTo>
                                  <a:pt x="1656923" y="494940"/>
                                </a:lnTo>
                                <a:lnTo>
                                  <a:pt x="1664436" y="493362"/>
                                </a:lnTo>
                                <a:lnTo>
                                  <a:pt x="1664281" y="492621"/>
                                </a:lnTo>
                                <a:close/>
                              </a:path>
                              <a:path w="4129404" h="764540">
                                <a:moveTo>
                                  <a:pt x="1712076" y="477559"/>
                                </a:moveTo>
                                <a:lnTo>
                                  <a:pt x="1661116" y="477559"/>
                                </a:lnTo>
                                <a:lnTo>
                                  <a:pt x="1664281" y="492621"/>
                                </a:lnTo>
                                <a:lnTo>
                                  <a:pt x="1712076" y="477559"/>
                                </a:lnTo>
                                <a:close/>
                              </a:path>
                              <a:path w="4129404" h="764540">
                                <a:moveTo>
                                  <a:pt x="2058421" y="351477"/>
                                </a:moveTo>
                                <a:lnTo>
                                  <a:pt x="1652829" y="479300"/>
                                </a:lnTo>
                                <a:lnTo>
                                  <a:pt x="1661116" y="477559"/>
                                </a:lnTo>
                                <a:lnTo>
                                  <a:pt x="1712076" y="477559"/>
                                </a:lnTo>
                                <a:lnTo>
                                  <a:pt x="2063533" y="366797"/>
                                </a:lnTo>
                                <a:lnTo>
                                  <a:pt x="2062799" y="366797"/>
                                </a:lnTo>
                                <a:lnTo>
                                  <a:pt x="2058421" y="351477"/>
                                </a:lnTo>
                                <a:close/>
                              </a:path>
                              <a:path w="4129404" h="764540">
                                <a:moveTo>
                                  <a:pt x="2073682" y="346893"/>
                                </a:moveTo>
                                <a:lnTo>
                                  <a:pt x="2066021" y="349082"/>
                                </a:lnTo>
                                <a:lnTo>
                                  <a:pt x="2058421" y="351477"/>
                                </a:lnTo>
                                <a:lnTo>
                                  <a:pt x="2062799" y="366797"/>
                                </a:lnTo>
                                <a:lnTo>
                                  <a:pt x="2070660" y="364551"/>
                                </a:lnTo>
                                <a:lnTo>
                                  <a:pt x="2078471" y="362089"/>
                                </a:lnTo>
                                <a:lnTo>
                                  <a:pt x="2073682" y="346893"/>
                                </a:lnTo>
                                <a:close/>
                              </a:path>
                              <a:path w="4129404" h="764540">
                                <a:moveTo>
                                  <a:pt x="2070660" y="364551"/>
                                </a:moveTo>
                                <a:lnTo>
                                  <a:pt x="2062799" y="366797"/>
                                </a:lnTo>
                                <a:lnTo>
                                  <a:pt x="2063533" y="366797"/>
                                </a:lnTo>
                                <a:lnTo>
                                  <a:pt x="2070660" y="364551"/>
                                </a:lnTo>
                                <a:close/>
                              </a:path>
                              <a:path w="4129404" h="764540">
                                <a:moveTo>
                                  <a:pt x="2463886" y="235405"/>
                                </a:moveTo>
                                <a:lnTo>
                                  <a:pt x="2073682" y="346893"/>
                                </a:lnTo>
                                <a:lnTo>
                                  <a:pt x="2078471" y="362089"/>
                                </a:lnTo>
                                <a:lnTo>
                                  <a:pt x="2070660" y="364551"/>
                                </a:lnTo>
                                <a:lnTo>
                                  <a:pt x="2468582" y="250857"/>
                                </a:lnTo>
                                <a:lnTo>
                                  <a:pt x="2467944" y="250857"/>
                                </a:lnTo>
                                <a:lnTo>
                                  <a:pt x="2463886" y="235405"/>
                                </a:lnTo>
                                <a:close/>
                              </a:path>
                              <a:path w="4129404" h="764540">
                                <a:moveTo>
                                  <a:pt x="2066021" y="349082"/>
                                </a:moveTo>
                                <a:lnTo>
                                  <a:pt x="2058362" y="351270"/>
                                </a:lnTo>
                                <a:lnTo>
                                  <a:pt x="2058421" y="351477"/>
                                </a:lnTo>
                                <a:lnTo>
                                  <a:pt x="2066021" y="349082"/>
                                </a:lnTo>
                                <a:close/>
                              </a:path>
                              <a:path w="4129404" h="764540">
                                <a:moveTo>
                                  <a:pt x="2073617" y="346688"/>
                                </a:moveTo>
                                <a:lnTo>
                                  <a:pt x="2066021" y="349082"/>
                                </a:lnTo>
                                <a:lnTo>
                                  <a:pt x="2073682" y="346893"/>
                                </a:lnTo>
                                <a:lnTo>
                                  <a:pt x="2073617" y="346688"/>
                                </a:lnTo>
                                <a:close/>
                              </a:path>
                              <a:path w="4129404" h="764540">
                                <a:moveTo>
                                  <a:pt x="2479295" y="231180"/>
                                </a:moveTo>
                                <a:lnTo>
                                  <a:pt x="2471571" y="233209"/>
                                </a:lnTo>
                                <a:lnTo>
                                  <a:pt x="2463886" y="235405"/>
                                </a:lnTo>
                                <a:lnTo>
                                  <a:pt x="2467944" y="250857"/>
                                </a:lnTo>
                                <a:lnTo>
                                  <a:pt x="2475840" y="248783"/>
                                </a:lnTo>
                                <a:lnTo>
                                  <a:pt x="2483684" y="246542"/>
                                </a:lnTo>
                                <a:lnTo>
                                  <a:pt x="2479295" y="231180"/>
                                </a:lnTo>
                                <a:close/>
                              </a:path>
                              <a:path w="4129404" h="764540">
                                <a:moveTo>
                                  <a:pt x="2475840" y="248783"/>
                                </a:moveTo>
                                <a:lnTo>
                                  <a:pt x="2467944" y="250857"/>
                                </a:lnTo>
                                <a:lnTo>
                                  <a:pt x="2468582" y="250857"/>
                                </a:lnTo>
                                <a:lnTo>
                                  <a:pt x="2475840" y="248783"/>
                                </a:lnTo>
                                <a:close/>
                              </a:path>
                              <a:path w="4129404" h="764540">
                                <a:moveTo>
                                  <a:pt x="2880034" y="125940"/>
                                </a:moveTo>
                                <a:lnTo>
                                  <a:pt x="2479295" y="231180"/>
                                </a:lnTo>
                                <a:lnTo>
                                  <a:pt x="2483684" y="246542"/>
                                </a:lnTo>
                                <a:lnTo>
                                  <a:pt x="2475840" y="248783"/>
                                </a:lnTo>
                                <a:lnTo>
                                  <a:pt x="2887574" y="140655"/>
                                </a:lnTo>
                                <a:lnTo>
                                  <a:pt x="2877918" y="139103"/>
                                </a:lnTo>
                                <a:lnTo>
                                  <a:pt x="2880034" y="125940"/>
                                </a:lnTo>
                                <a:close/>
                              </a:path>
                              <a:path w="4129404" h="764540">
                                <a:moveTo>
                                  <a:pt x="2471571" y="233209"/>
                                </a:moveTo>
                                <a:lnTo>
                                  <a:pt x="2463842" y="235239"/>
                                </a:lnTo>
                                <a:lnTo>
                                  <a:pt x="2463886" y="235405"/>
                                </a:lnTo>
                                <a:lnTo>
                                  <a:pt x="2471571" y="233209"/>
                                </a:lnTo>
                                <a:close/>
                              </a:path>
                              <a:path w="4129404" h="764540">
                                <a:moveTo>
                                  <a:pt x="2479248" y="231016"/>
                                </a:moveTo>
                                <a:lnTo>
                                  <a:pt x="2471571" y="233209"/>
                                </a:lnTo>
                                <a:lnTo>
                                  <a:pt x="2479295" y="231180"/>
                                </a:lnTo>
                                <a:lnTo>
                                  <a:pt x="2479248" y="231016"/>
                                </a:lnTo>
                                <a:close/>
                              </a:path>
                              <a:path w="4129404" h="764540">
                                <a:moveTo>
                                  <a:pt x="3286136" y="204715"/>
                                </a:moveTo>
                                <a:lnTo>
                                  <a:pt x="3286920" y="207515"/>
                                </a:lnTo>
                                <a:lnTo>
                                  <a:pt x="3292986" y="205816"/>
                                </a:lnTo>
                                <a:lnTo>
                                  <a:pt x="3286136" y="204715"/>
                                </a:lnTo>
                                <a:close/>
                              </a:path>
                              <a:path w="4129404" h="764540">
                                <a:moveTo>
                                  <a:pt x="3299669" y="203944"/>
                                </a:moveTo>
                                <a:lnTo>
                                  <a:pt x="3292986" y="205816"/>
                                </a:lnTo>
                                <a:lnTo>
                                  <a:pt x="3299208" y="206816"/>
                                </a:lnTo>
                                <a:lnTo>
                                  <a:pt x="3299669" y="203944"/>
                                </a:lnTo>
                                <a:close/>
                              </a:path>
                              <a:path w="4129404" h="764540">
                                <a:moveTo>
                                  <a:pt x="3292047" y="189310"/>
                                </a:moveTo>
                                <a:lnTo>
                                  <a:pt x="3282564" y="191966"/>
                                </a:lnTo>
                                <a:lnTo>
                                  <a:pt x="3286136" y="204715"/>
                                </a:lnTo>
                                <a:lnTo>
                                  <a:pt x="3292986" y="205816"/>
                                </a:lnTo>
                                <a:lnTo>
                                  <a:pt x="3299669" y="203944"/>
                                </a:lnTo>
                                <a:lnTo>
                                  <a:pt x="3301770" y="190872"/>
                                </a:lnTo>
                                <a:lnTo>
                                  <a:pt x="3292047" y="189310"/>
                                </a:lnTo>
                                <a:close/>
                              </a:path>
                              <a:path w="4129404" h="764540">
                                <a:moveTo>
                                  <a:pt x="2893645" y="125276"/>
                                </a:moveTo>
                                <a:lnTo>
                                  <a:pt x="2897031" y="138172"/>
                                </a:lnTo>
                                <a:lnTo>
                                  <a:pt x="2887574" y="140655"/>
                                </a:lnTo>
                                <a:lnTo>
                                  <a:pt x="3286136" y="204715"/>
                                </a:lnTo>
                                <a:lnTo>
                                  <a:pt x="3282564" y="191966"/>
                                </a:lnTo>
                                <a:lnTo>
                                  <a:pt x="3292047" y="189310"/>
                                </a:lnTo>
                                <a:lnTo>
                                  <a:pt x="2893645" y="125276"/>
                                </a:lnTo>
                                <a:close/>
                              </a:path>
                              <a:path w="4129404" h="764540">
                                <a:moveTo>
                                  <a:pt x="3696774" y="75927"/>
                                </a:moveTo>
                                <a:lnTo>
                                  <a:pt x="3292047" y="189310"/>
                                </a:lnTo>
                                <a:lnTo>
                                  <a:pt x="3301770" y="190872"/>
                                </a:lnTo>
                                <a:lnTo>
                                  <a:pt x="3299669" y="203944"/>
                                </a:lnTo>
                                <a:lnTo>
                                  <a:pt x="3702557" y="91077"/>
                                </a:lnTo>
                                <a:lnTo>
                                  <a:pt x="3699426" y="91077"/>
                                </a:lnTo>
                                <a:lnTo>
                                  <a:pt x="3696774" y="75927"/>
                                </a:lnTo>
                                <a:close/>
                              </a:path>
                              <a:path w="4129404" h="764540">
                                <a:moveTo>
                                  <a:pt x="2886769" y="124171"/>
                                </a:moveTo>
                                <a:lnTo>
                                  <a:pt x="2880034" y="125940"/>
                                </a:lnTo>
                                <a:lnTo>
                                  <a:pt x="2877918" y="139103"/>
                                </a:lnTo>
                                <a:lnTo>
                                  <a:pt x="2887574" y="140655"/>
                                </a:lnTo>
                                <a:lnTo>
                                  <a:pt x="2897031" y="138172"/>
                                </a:lnTo>
                                <a:lnTo>
                                  <a:pt x="2893645" y="125276"/>
                                </a:lnTo>
                                <a:lnTo>
                                  <a:pt x="2886769" y="124171"/>
                                </a:lnTo>
                                <a:close/>
                              </a:path>
                              <a:path w="4129404" h="764540">
                                <a:moveTo>
                                  <a:pt x="2880480" y="123160"/>
                                </a:moveTo>
                                <a:lnTo>
                                  <a:pt x="2880034" y="125940"/>
                                </a:lnTo>
                                <a:lnTo>
                                  <a:pt x="2886769" y="124171"/>
                                </a:lnTo>
                                <a:lnTo>
                                  <a:pt x="2880480" y="123160"/>
                                </a:lnTo>
                                <a:close/>
                              </a:path>
                              <a:path w="4129404" h="764540">
                                <a:moveTo>
                                  <a:pt x="2892930" y="122553"/>
                                </a:moveTo>
                                <a:lnTo>
                                  <a:pt x="2886769" y="124171"/>
                                </a:lnTo>
                                <a:lnTo>
                                  <a:pt x="2893645" y="125276"/>
                                </a:lnTo>
                                <a:lnTo>
                                  <a:pt x="2892930" y="122553"/>
                                </a:lnTo>
                                <a:close/>
                              </a:path>
                              <a:path w="4129404" h="764540">
                                <a:moveTo>
                                  <a:pt x="3711791" y="72518"/>
                                </a:moveTo>
                                <a:lnTo>
                                  <a:pt x="3704197" y="73848"/>
                                </a:lnTo>
                                <a:lnTo>
                                  <a:pt x="3696774" y="75927"/>
                                </a:lnTo>
                                <a:lnTo>
                                  <a:pt x="3699426" y="91077"/>
                                </a:lnTo>
                                <a:lnTo>
                                  <a:pt x="3707775" y="89615"/>
                                </a:lnTo>
                                <a:lnTo>
                                  <a:pt x="3715939" y="87328"/>
                                </a:lnTo>
                                <a:lnTo>
                                  <a:pt x="3711791" y="72518"/>
                                </a:lnTo>
                                <a:close/>
                              </a:path>
                              <a:path w="4129404" h="764540">
                                <a:moveTo>
                                  <a:pt x="3707775" y="89615"/>
                                </a:moveTo>
                                <a:lnTo>
                                  <a:pt x="3699426" y="91077"/>
                                </a:lnTo>
                                <a:lnTo>
                                  <a:pt x="3702557" y="91077"/>
                                </a:lnTo>
                                <a:lnTo>
                                  <a:pt x="3707775" y="89615"/>
                                </a:lnTo>
                                <a:close/>
                              </a:path>
                              <a:path w="4129404" h="764540">
                                <a:moveTo>
                                  <a:pt x="4126017" y="0"/>
                                </a:moveTo>
                                <a:lnTo>
                                  <a:pt x="3711791" y="72518"/>
                                </a:lnTo>
                                <a:lnTo>
                                  <a:pt x="3715939" y="87328"/>
                                </a:lnTo>
                                <a:lnTo>
                                  <a:pt x="3707775" y="89615"/>
                                </a:lnTo>
                                <a:lnTo>
                                  <a:pt x="4128802" y="15906"/>
                                </a:lnTo>
                                <a:lnTo>
                                  <a:pt x="4126017" y="0"/>
                                </a:lnTo>
                                <a:close/>
                              </a:path>
                              <a:path w="4129404" h="764540">
                                <a:moveTo>
                                  <a:pt x="3704197" y="73848"/>
                                </a:moveTo>
                                <a:lnTo>
                                  <a:pt x="3696641" y="75170"/>
                                </a:lnTo>
                                <a:lnTo>
                                  <a:pt x="3696774" y="75927"/>
                                </a:lnTo>
                                <a:lnTo>
                                  <a:pt x="3704197" y="73848"/>
                                </a:lnTo>
                                <a:close/>
                              </a:path>
                              <a:path w="4129404" h="764540">
                                <a:moveTo>
                                  <a:pt x="3711584" y="71778"/>
                                </a:moveTo>
                                <a:lnTo>
                                  <a:pt x="3704197" y="73848"/>
                                </a:lnTo>
                                <a:lnTo>
                                  <a:pt x="3711791" y="72518"/>
                                </a:lnTo>
                                <a:lnTo>
                                  <a:pt x="3711584" y="71778"/>
                                </a:lnTo>
                                <a:close/>
                              </a:path>
                            </a:pathLst>
                          </a:custGeom>
                          <a:solidFill>
                            <a:srgbClr val="E3C626"/>
                          </a:solidFill>
                        </wps:spPr>
                        <wps:bodyPr wrap="square" lIns="0" tIns="0" rIns="0" bIns="0" rtlCol="0">
                          <a:prstTxWarp prst="textNoShape">
                            <a:avLst/>
                          </a:prstTxWarp>
                          <a:noAutofit/>
                        </wps:bodyPr>
                      </wps:wsp>
                      <wps:wsp>
                        <wps:cNvPr id="1725" name="Graphic 1725"/>
                        <wps:cNvSpPr/>
                        <wps:spPr>
                          <a:xfrm>
                            <a:off x="551459" y="1187253"/>
                            <a:ext cx="4127500" cy="227329"/>
                          </a:xfrm>
                          <a:custGeom>
                            <a:avLst/>
                            <a:gdLst/>
                            <a:ahLst/>
                            <a:cxnLst/>
                            <a:rect l="l" t="t" r="r" b="b"/>
                            <a:pathLst>
                              <a:path w="4127500" h="227329">
                                <a:moveTo>
                                  <a:pt x="414267" y="225957"/>
                                </a:moveTo>
                                <a:lnTo>
                                  <a:pt x="414323" y="226760"/>
                                </a:lnTo>
                                <a:lnTo>
                                  <a:pt x="421954" y="226226"/>
                                </a:lnTo>
                                <a:lnTo>
                                  <a:pt x="414267" y="225957"/>
                                </a:lnTo>
                                <a:close/>
                              </a:path>
                              <a:path w="4127500" h="227329">
                                <a:moveTo>
                                  <a:pt x="429628" y="225689"/>
                                </a:moveTo>
                                <a:lnTo>
                                  <a:pt x="421954" y="226226"/>
                                </a:lnTo>
                                <a:lnTo>
                                  <a:pt x="429600" y="226494"/>
                                </a:lnTo>
                                <a:lnTo>
                                  <a:pt x="429628" y="225689"/>
                                </a:lnTo>
                                <a:close/>
                              </a:path>
                              <a:path w="4127500" h="227329">
                                <a:moveTo>
                                  <a:pt x="421671" y="210059"/>
                                </a:moveTo>
                                <a:lnTo>
                                  <a:pt x="413195" y="210652"/>
                                </a:lnTo>
                                <a:lnTo>
                                  <a:pt x="414267" y="225957"/>
                                </a:lnTo>
                                <a:lnTo>
                                  <a:pt x="421954" y="226226"/>
                                </a:lnTo>
                                <a:lnTo>
                                  <a:pt x="429628" y="225689"/>
                                </a:lnTo>
                                <a:lnTo>
                                  <a:pt x="430165" y="210356"/>
                                </a:lnTo>
                                <a:lnTo>
                                  <a:pt x="421671" y="210059"/>
                                </a:lnTo>
                                <a:close/>
                              </a:path>
                              <a:path w="4127500" h="227329">
                                <a:moveTo>
                                  <a:pt x="565" y="195311"/>
                                </a:moveTo>
                                <a:lnTo>
                                  <a:pt x="0" y="211449"/>
                                </a:lnTo>
                                <a:lnTo>
                                  <a:pt x="414267" y="225957"/>
                                </a:lnTo>
                                <a:lnTo>
                                  <a:pt x="413195" y="210652"/>
                                </a:lnTo>
                                <a:lnTo>
                                  <a:pt x="421671" y="210059"/>
                                </a:lnTo>
                                <a:lnTo>
                                  <a:pt x="565" y="195311"/>
                                </a:lnTo>
                                <a:close/>
                              </a:path>
                              <a:path w="4127500" h="227329">
                                <a:moveTo>
                                  <a:pt x="826936" y="181679"/>
                                </a:moveTo>
                                <a:lnTo>
                                  <a:pt x="421671" y="210059"/>
                                </a:lnTo>
                                <a:lnTo>
                                  <a:pt x="430165" y="210356"/>
                                </a:lnTo>
                                <a:lnTo>
                                  <a:pt x="429628" y="225689"/>
                                </a:lnTo>
                                <a:lnTo>
                                  <a:pt x="831526" y="197546"/>
                                </a:lnTo>
                                <a:lnTo>
                                  <a:pt x="827503" y="197546"/>
                                </a:lnTo>
                                <a:lnTo>
                                  <a:pt x="826936" y="181679"/>
                                </a:lnTo>
                                <a:close/>
                              </a:path>
                              <a:path w="4127500" h="227329">
                                <a:moveTo>
                                  <a:pt x="842793" y="180841"/>
                                </a:moveTo>
                                <a:lnTo>
                                  <a:pt x="834849" y="181125"/>
                                </a:lnTo>
                                <a:lnTo>
                                  <a:pt x="826936" y="181679"/>
                                </a:lnTo>
                                <a:lnTo>
                                  <a:pt x="827503" y="197546"/>
                                </a:lnTo>
                                <a:lnTo>
                                  <a:pt x="835714" y="197252"/>
                                </a:lnTo>
                                <a:lnTo>
                                  <a:pt x="843902" y="196679"/>
                                </a:lnTo>
                                <a:lnTo>
                                  <a:pt x="842793" y="180841"/>
                                </a:lnTo>
                                <a:close/>
                              </a:path>
                              <a:path w="4127500" h="227329">
                                <a:moveTo>
                                  <a:pt x="835714" y="197252"/>
                                </a:moveTo>
                                <a:lnTo>
                                  <a:pt x="827503" y="197546"/>
                                </a:lnTo>
                                <a:lnTo>
                                  <a:pt x="831526" y="197546"/>
                                </a:lnTo>
                                <a:lnTo>
                                  <a:pt x="835714" y="197252"/>
                                </a:lnTo>
                                <a:close/>
                              </a:path>
                              <a:path w="4127500" h="227329">
                                <a:moveTo>
                                  <a:pt x="1240077" y="166650"/>
                                </a:moveTo>
                                <a:lnTo>
                                  <a:pt x="842793" y="180841"/>
                                </a:lnTo>
                                <a:lnTo>
                                  <a:pt x="843902" y="196679"/>
                                </a:lnTo>
                                <a:lnTo>
                                  <a:pt x="835714" y="197252"/>
                                </a:lnTo>
                                <a:lnTo>
                                  <a:pt x="1233398" y="183047"/>
                                </a:lnTo>
                                <a:lnTo>
                                  <a:pt x="1231767" y="167523"/>
                                </a:lnTo>
                                <a:lnTo>
                                  <a:pt x="1240077" y="166650"/>
                                </a:lnTo>
                                <a:close/>
                              </a:path>
                              <a:path w="4127500" h="227329">
                                <a:moveTo>
                                  <a:pt x="1241205" y="182768"/>
                                </a:moveTo>
                                <a:lnTo>
                                  <a:pt x="1233398" y="183047"/>
                                </a:lnTo>
                                <a:lnTo>
                                  <a:pt x="1233454" y="183582"/>
                                </a:lnTo>
                                <a:lnTo>
                                  <a:pt x="1241205" y="182768"/>
                                </a:lnTo>
                                <a:close/>
                              </a:path>
                              <a:path w="4127500" h="227329">
                                <a:moveTo>
                                  <a:pt x="1248421" y="166352"/>
                                </a:moveTo>
                                <a:lnTo>
                                  <a:pt x="1240077" y="166650"/>
                                </a:lnTo>
                                <a:lnTo>
                                  <a:pt x="1231767" y="167523"/>
                                </a:lnTo>
                                <a:lnTo>
                                  <a:pt x="1233398" y="183047"/>
                                </a:lnTo>
                                <a:lnTo>
                                  <a:pt x="1241205" y="182768"/>
                                </a:lnTo>
                                <a:lnTo>
                                  <a:pt x="1248978" y="181952"/>
                                </a:lnTo>
                                <a:lnTo>
                                  <a:pt x="1248421" y="166352"/>
                                </a:lnTo>
                                <a:close/>
                              </a:path>
                              <a:path w="4127500" h="227329">
                                <a:moveTo>
                                  <a:pt x="1248978" y="181952"/>
                                </a:moveTo>
                                <a:lnTo>
                                  <a:pt x="1241205" y="182768"/>
                                </a:lnTo>
                                <a:lnTo>
                                  <a:pt x="1248997" y="182490"/>
                                </a:lnTo>
                                <a:lnTo>
                                  <a:pt x="1248978" y="181952"/>
                                </a:lnTo>
                                <a:close/>
                              </a:path>
                              <a:path w="4127500" h="227329">
                                <a:moveTo>
                                  <a:pt x="1397485" y="166352"/>
                                </a:moveTo>
                                <a:lnTo>
                                  <a:pt x="1248421" y="166352"/>
                                </a:lnTo>
                                <a:lnTo>
                                  <a:pt x="1248978" y="181952"/>
                                </a:lnTo>
                                <a:lnTo>
                                  <a:pt x="1397485" y="166352"/>
                                </a:lnTo>
                                <a:close/>
                              </a:path>
                              <a:path w="4127500" h="227329">
                                <a:moveTo>
                                  <a:pt x="834849" y="181125"/>
                                </a:moveTo>
                                <a:lnTo>
                                  <a:pt x="826926" y="181408"/>
                                </a:lnTo>
                                <a:lnTo>
                                  <a:pt x="826936" y="181679"/>
                                </a:lnTo>
                                <a:lnTo>
                                  <a:pt x="834849" y="181125"/>
                                </a:lnTo>
                                <a:close/>
                              </a:path>
                              <a:path w="4127500" h="227329">
                                <a:moveTo>
                                  <a:pt x="842774" y="180570"/>
                                </a:moveTo>
                                <a:lnTo>
                                  <a:pt x="834849" y="181125"/>
                                </a:lnTo>
                                <a:lnTo>
                                  <a:pt x="842793" y="180841"/>
                                </a:lnTo>
                                <a:lnTo>
                                  <a:pt x="842774" y="180570"/>
                                </a:lnTo>
                                <a:close/>
                              </a:path>
                              <a:path w="4127500" h="227329">
                                <a:moveTo>
                                  <a:pt x="1653136" y="123260"/>
                                </a:moveTo>
                                <a:lnTo>
                                  <a:pt x="1240077" y="166650"/>
                                </a:lnTo>
                                <a:lnTo>
                                  <a:pt x="1248421" y="166352"/>
                                </a:lnTo>
                                <a:lnTo>
                                  <a:pt x="1397485" y="166352"/>
                                </a:lnTo>
                                <a:lnTo>
                                  <a:pt x="1647196" y="140122"/>
                                </a:lnTo>
                                <a:lnTo>
                                  <a:pt x="1644995" y="124401"/>
                                </a:lnTo>
                                <a:lnTo>
                                  <a:pt x="1653136" y="123260"/>
                                </a:lnTo>
                                <a:close/>
                              </a:path>
                              <a:path w="4127500" h="227329">
                                <a:moveTo>
                                  <a:pt x="1655086" y="139293"/>
                                </a:moveTo>
                                <a:lnTo>
                                  <a:pt x="1647196" y="140122"/>
                                </a:lnTo>
                                <a:lnTo>
                                  <a:pt x="1647234" y="140393"/>
                                </a:lnTo>
                                <a:lnTo>
                                  <a:pt x="1655086" y="139293"/>
                                </a:lnTo>
                                <a:close/>
                              </a:path>
                              <a:path w="4127500" h="227329">
                                <a:moveTo>
                                  <a:pt x="1661297" y="122403"/>
                                </a:moveTo>
                                <a:lnTo>
                                  <a:pt x="1653136" y="123260"/>
                                </a:lnTo>
                                <a:lnTo>
                                  <a:pt x="1644995" y="124401"/>
                                </a:lnTo>
                                <a:lnTo>
                                  <a:pt x="1647196" y="140122"/>
                                </a:lnTo>
                                <a:lnTo>
                                  <a:pt x="1655086" y="139293"/>
                                </a:lnTo>
                                <a:lnTo>
                                  <a:pt x="1662955" y="138191"/>
                                </a:lnTo>
                                <a:lnTo>
                                  <a:pt x="1661297" y="122403"/>
                                </a:lnTo>
                                <a:close/>
                              </a:path>
                              <a:path w="4127500" h="227329">
                                <a:moveTo>
                                  <a:pt x="1662955" y="138191"/>
                                </a:moveTo>
                                <a:lnTo>
                                  <a:pt x="1655086" y="139293"/>
                                </a:lnTo>
                                <a:lnTo>
                                  <a:pt x="1662984" y="138463"/>
                                </a:lnTo>
                                <a:lnTo>
                                  <a:pt x="1662955" y="138191"/>
                                </a:lnTo>
                                <a:close/>
                              </a:path>
                              <a:path w="4127500" h="227329">
                                <a:moveTo>
                                  <a:pt x="1775669" y="122403"/>
                                </a:moveTo>
                                <a:lnTo>
                                  <a:pt x="1661297" y="122403"/>
                                </a:lnTo>
                                <a:lnTo>
                                  <a:pt x="1662955" y="138191"/>
                                </a:lnTo>
                                <a:lnTo>
                                  <a:pt x="1775669" y="122403"/>
                                </a:lnTo>
                                <a:close/>
                              </a:path>
                              <a:path w="4127500" h="227329">
                                <a:moveTo>
                                  <a:pt x="2066431" y="65371"/>
                                </a:moveTo>
                                <a:lnTo>
                                  <a:pt x="1653136" y="123260"/>
                                </a:lnTo>
                                <a:lnTo>
                                  <a:pt x="1661297" y="122403"/>
                                </a:lnTo>
                                <a:lnTo>
                                  <a:pt x="1775669" y="122403"/>
                                </a:lnTo>
                                <a:lnTo>
                                  <a:pt x="2060725" y="82476"/>
                                </a:lnTo>
                                <a:lnTo>
                                  <a:pt x="2058445" y="66512"/>
                                </a:lnTo>
                                <a:lnTo>
                                  <a:pt x="2066431" y="65371"/>
                                </a:lnTo>
                                <a:close/>
                              </a:path>
                              <a:path w="4127500" h="227329">
                                <a:moveTo>
                                  <a:pt x="2068686" y="81361"/>
                                </a:moveTo>
                                <a:lnTo>
                                  <a:pt x="2060725" y="82476"/>
                                </a:lnTo>
                                <a:lnTo>
                                  <a:pt x="2068686" y="81361"/>
                                </a:lnTo>
                                <a:close/>
                              </a:path>
                              <a:path w="4127500" h="227329">
                                <a:moveTo>
                                  <a:pt x="2074455" y="64248"/>
                                </a:moveTo>
                                <a:lnTo>
                                  <a:pt x="2058445" y="66512"/>
                                </a:lnTo>
                                <a:lnTo>
                                  <a:pt x="2060725" y="82476"/>
                                </a:lnTo>
                                <a:lnTo>
                                  <a:pt x="2076692" y="80218"/>
                                </a:lnTo>
                                <a:lnTo>
                                  <a:pt x="2074455" y="64248"/>
                                </a:lnTo>
                                <a:close/>
                              </a:path>
                              <a:path w="4127500" h="227329">
                                <a:moveTo>
                                  <a:pt x="2076692" y="80218"/>
                                </a:moveTo>
                                <a:lnTo>
                                  <a:pt x="2068686" y="81361"/>
                                </a:lnTo>
                                <a:lnTo>
                                  <a:pt x="2076695" y="80240"/>
                                </a:lnTo>
                                <a:close/>
                              </a:path>
                              <a:path w="4127500" h="227329">
                                <a:moveTo>
                                  <a:pt x="2188476" y="64248"/>
                                </a:moveTo>
                                <a:lnTo>
                                  <a:pt x="2074455" y="64248"/>
                                </a:lnTo>
                                <a:lnTo>
                                  <a:pt x="2076692" y="80218"/>
                                </a:lnTo>
                                <a:lnTo>
                                  <a:pt x="2188476" y="64248"/>
                                </a:lnTo>
                                <a:close/>
                              </a:path>
                              <a:path w="4127500" h="227329">
                                <a:moveTo>
                                  <a:pt x="3284429" y="66456"/>
                                </a:moveTo>
                                <a:lnTo>
                                  <a:pt x="3284566" y="67758"/>
                                </a:lnTo>
                                <a:lnTo>
                                  <a:pt x="3291890" y="66988"/>
                                </a:lnTo>
                                <a:lnTo>
                                  <a:pt x="3284429" y="66456"/>
                                </a:lnTo>
                                <a:close/>
                              </a:path>
                              <a:path w="4127500" h="227329">
                                <a:moveTo>
                                  <a:pt x="3299324" y="66208"/>
                                </a:moveTo>
                                <a:lnTo>
                                  <a:pt x="3291890" y="66988"/>
                                </a:lnTo>
                                <a:lnTo>
                                  <a:pt x="3299231" y="67513"/>
                                </a:lnTo>
                                <a:lnTo>
                                  <a:pt x="3299324" y="66208"/>
                                </a:lnTo>
                                <a:close/>
                              </a:path>
                              <a:path w="4127500" h="227329">
                                <a:moveTo>
                                  <a:pt x="3291617" y="50780"/>
                                </a:moveTo>
                                <a:lnTo>
                                  <a:pt x="3282879" y="51698"/>
                                </a:lnTo>
                                <a:lnTo>
                                  <a:pt x="3284429" y="66456"/>
                                </a:lnTo>
                                <a:lnTo>
                                  <a:pt x="3291890" y="66988"/>
                                </a:lnTo>
                                <a:lnTo>
                                  <a:pt x="3299324" y="66208"/>
                                </a:lnTo>
                                <a:lnTo>
                                  <a:pt x="3300382" y="51406"/>
                                </a:lnTo>
                                <a:lnTo>
                                  <a:pt x="3291617" y="50780"/>
                                </a:lnTo>
                                <a:close/>
                              </a:path>
                              <a:path w="4127500" h="227329">
                                <a:moveTo>
                                  <a:pt x="2885970" y="37994"/>
                                </a:moveTo>
                                <a:lnTo>
                                  <a:pt x="3284429" y="66456"/>
                                </a:lnTo>
                                <a:lnTo>
                                  <a:pt x="3282879" y="51698"/>
                                </a:lnTo>
                                <a:lnTo>
                                  <a:pt x="3291617" y="50780"/>
                                </a:lnTo>
                                <a:lnTo>
                                  <a:pt x="3116648" y="38282"/>
                                </a:lnTo>
                                <a:lnTo>
                                  <a:pt x="2894193" y="38282"/>
                                </a:lnTo>
                                <a:lnTo>
                                  <a:pt x="2885970" y="37994"/>
                                </a:lnTo>
                                <a:close/>
                              </a:path>
                              <a:path w="4127500" h="227329">
                                <a:moveTo>
                                  <a:pt x="3697020" y="8195"/>
                                </a:moveTo>
                                <a:lnTo>
                                  <a:pt x="3291617" y="50780"/>
                                </a:lnTo>
                                <a:lnTo>
                                  <a:pt x="3300382" y="51406"/>
                                </a:lnTo>
                                <a:lnTo>
                                  <a:pt x="3299324" y="66208"/>
                                </a:lnTo>
                                <a:lnTo>
                                  <a:pt x="3704312" y="23666"/>
                                </a:lnTo>
                                <a:lnTo>
                                  <a:pt x="3697291" y="23666"/>
                                </a:lnTo>
                                <a:lnTo>
                                  <a:pt x="3697020" y="8195"/>
                                </a:lnTo>
                                <a:close/>
                              </a:path>
                              <a:path w="4127500" h="227329">
                                <a:moveTo>
                                  <a:pt x="2465106" y="8414"/>
                                </a:moveTo>
                                <a:lnTo>
                                  <a:pt x="2066431" y="65371"/>
                                </a:lnTo>
                                <a:lnTo>
                                  <a:pt x="2074455" y="64248"/>
                                </a:lnTo>
                                <a:lnTo>
                                  <a:pt x="2188476" y="64248"/>
                                </a:lnTo>
                                <a:lnTo>
                                  <a:pt x="2473371" y="23546"/>
                                </a:lnTo>
                                <a:lnTo>
                                  <a:pt x="2464586" y="23238"/>
                                </a:lnTo>
                                <a:lnTo>
                                  <a:pt x="2465106" y="8414"/>
                                </a:lnTo>
                                <a:close/>
                              </a:path>
                              <a:path w="4127500" h="227329">
                                <a:moveTo>
                                  <a:pt x="2878908" y="21589"/>
                                </a:moveTo>
                                <a:lnTo>
                                  <a:pt x="2877778" y="37409"/>
                                </a:lnTo>
                                <a:lnTo>
                                  <a:pt x="2885970" y="37994"/>
                                </a:lnTo>
                                <a:lnTo>
                                  <a:pt x="2894193" y="38282"/>
                                </a:lnTo>
                                <a:lnTo>
                                  <a:pt x="2894749" y="22432"/>
                                </a:lnTo>
                                <a:lnTo>
                                  <a:pt x="2886843" y="21867"/>
                                </a:lnTo>
                                <a:lnTo>
                                  <a:pt x="2878908" y="21589"/>
                                </a:lnTo>
                                <a:close/>
                              </a:path>
                              <a:path w="4127500" h="227329">
                                <a:moveTo>
                                  <a:pt x="2894749" y="22432"/>
                                </a:moveTo>
                                <a:lnTo>
                                  <a:pt x="2894193" y="38282"/>
                                </a:lnTo>
                                <a:lnTo>
                                  <a:pt x="3116648" y="38282"/>
                                </a:lnTo>
                                <a:lnTo>
                                  <a:pt x="2894749" y="22432"/>
                                </a:lnTo>
                                <a:close/>
                              </a:path>
                              <a:path w="4127500" h="227329">
                                <a:moveTo>
                                  <a:pt x="2479975" y="7619"/>
                                </a:moveTo>
                                <a:lnTo>
                                  <a:pt x="2482073" y="22302"/>
                                </a:lnTo>
                                <a:lnTo>
                                  <a:pt x="2473371" y="23546"/>
                                </a:lnTo>
                                <a:lnTo>
                                  <a:pt x="2885970" y="37994"/>
                                </a:lnTo>
                                <a:lnTo>
                                  <a:pt x="2877778" y="37409"/>
                                </a:lnTo>
                                <a:lnTo>
                                  <a:pt x="2878908" y="21589"/>
                                </a:lnTo>
                                <a:lnTo>
                                  <a:pt x="2479975" y="7619"/>
                                </a:lnTo>
                                <a:close/>
                              </a:path>
                              <a:path w="4127500" h="227329">
                                <a:moveTo>
                                  <a:pt x="3712480" y="7249"/>
                                </a:moveTo>
                                <a:lnTo>
                                  <a:pt x="3704731" y="7385"/>
                                </a:lnTo>
                                <a:lnTo>
                                  <a:pt x="3697020" y="8195"/>
                                </a:lnTo>
                                <a:lnTo>
                                  <a:pt x="3697291" y="23666"/>
                                </a:lnTo>
                                <a:lnTo>
                                  <a:pt x="3705716" y="23518"/>
                                </a:lnTo>
                                <a:lnTo>
                                  <a:pt x="3714096" y="22638"/>
                                </a:lnTo>
                                <a:lnTo>
                                  <a:pt x="3712480" y="7249"/>
                                </a:lnTo>
                                <a:close/>
                              </a:path>
                              <a:path w="4127500" h="227329">
                                <a:moveTo>
                                  <a:pt x="3705716" y="23518"/>
                                </a:moveTo>
                                <a:lnTo>
                                  <a:pt x="3697291" y="23666"/>
                                </a:lnTo>
                                <a:lnTo>
                                  <a:pt x="3704312" y="23666"/>
                                </a:lnTo>
                                <a:lnTo>
                                  <a:pt x="3705716" y="23518"/>
                                </a:lnTo>
                                <a:close/>
                              </a:path>
                              <a:path w="4127500" h="227329">
                                <a:moveTo>
                                  <a:pt x="2472504" y="7357"/>
                                </a:moveTo>
                                <a:lnTo>
                                  <a:pt x="2465106" y="8414"/>
                                </a:lnTo>
                                <a:lnTo>
                                  <a:pt x="2464586" y="23238"/>
                                </a:lnTo>
                                <a:lnTo>
                                  <a:pt x="2473371" y="23546"/>
                                </a:lnTo>
                                <a:lnTo>
                                  <a:pt x="2482073" y="22302"/>
                                </a:lnTo>
                                <a:lnTo>
                                  <a:pt x="2479975" y="7619"/>
                                </a:lnTo>
                                <a:lnTo>
                                  <a:pt x="2472504" y="7357"/>
                                </a:lnTo>
                                <a:close/>
                              </a:path>
                              <a:path w="4127500" h="227329">
                                <a:moveTo>
                                  <a:pt x="4126623" y="0"/>
                                </a:moveTo>
                                <a:lnTo>
                                  <a:pt x="3712480" y="7249"/>
                                </a:lnTo>
                                <a:lnTo>
                                  <a:pt x="3714096" y="22638"/>
                                </a:lnTo>
                                <a:lnTo>
                                  <a:pt x="3705716" y="23518"/>
                                </a:lnTo>
                                <a:lnTo>
                                  <a:pt x="4126906" y="16145"/>
                                </a:lnTo>
                                <a:lnTo>
                                  <a:pt x="4126623" y="0"/>
                                </a:lnTo>
                                <a:close/>
                              </a:path>
                              <a:path w="4127500" h="227329">
                                <a:moveTo>
                                  <a:pt x="2886843" y="21867"/>
                                </a:moveTo>
                                <a:lnTo>
                                  <a:pt x="2894749" y="22432"/>
                                </a:lnTo>
                                <a:lnTo>
                                  <a:pt x="2894759" y="22144"/>
                                </a:lnTo>
                                <a:lnTo>
                                  <a:pt x="2886843" y="21867"/>
                                </a:lnTo>
                                <a:close/>
                              </a:path>
                              <a:path w="4127500" h="227329">
                                <a:moveTo>
                                  <a:pt x="2878929" y="21302"/>
                                </a:moveTo>
                                <a:lnTo>
                                  <a:pt x="2878908" y="21589"/>
                                </a:lnTo>
                                <a:lnTo>
                                  <a:pt x="2886843" y="21867"/>
                                </a:lnTo>
                                <a:lnTo>
                                  <a:pt x="2878929" y="21302"/>
                                </a:lnTo>
                                <a:close/>
                              </a:path>
                              <a:path w="4127500" h="227329">
                                <a:moveTo>
                                  <a:pt x="2465152" y="7100"/>
                                </a:moveTo>
                                <a:lnTo>
                                  <a:pt x="2465106" y="8414"/>
                                </a:lnTo>
                                <a:lnTo>
                                  <a:pt x="2472504" y="7357"/>
                                </a:lnTo>
                                <a:lnTo>
                                  <a:pt x="2465152" y="7100"/>
                                </a:lnTo>
                                <a:close/>
                              </a:path>
                              <a:path w="4127500" h="227329">
                                <a:moveTo>
                                  <a:pt x="3704731" y="7385"/>
                                </a:moveTo>
                                <a:lnTo>
                                  <a:pt x="3697008" y="7520"/>
                                </a:lnTo>
                                <a:lnTo>
                                  <a:pt x="3697020" y="8195"/>
                                </a:lnTo>
                                <a:lnTo>
                                  <a:pt x="3704731" y="7385"/>
                                </a:lnTo>
                                <a:close/>
                              </a:path>
                              <a:path w="4127500" h="227329">
                                <a:moveTo>
                                  <a:pt x="2479789" y="6317"/>
                                </a:moveTo>
                                <a:lnTo>
                                  <a:pt x="2472504" y="7357"/>
                                </a:lnTo>
                                <a:lnTo>
                                  <a:pt x="2479975" y="7619"/>
                                </a:lnTo>
                                <a:lnTo>
                                  <a:pt x="2479789" y="6317"/>
                                </a:lnTo>
                                <a:close/>
                              </a:path>
                              <a:path w="4127500" h="227329">
                                <a:moveTo>
                                  <a:pt x="3712409" y="6578"/>
                                </a:moveTo>
                                <a:lnTo>
                                  <a:pt x="3704731" y="7385"/>
                                </a:lnTo>
                                <a:lnTo>
                                  <a:pt x="3712480" y="7249"/>
                                </a:lnTo>
                                <a:lnTo>
                                  <a:pt x="3712409" y="6578"/>
                                </a:lnTo>
                                <a:close/>
                              </a:path>
                            </a:pathLst>
                          </a:custGeom>
                          <a:solidFill>
                            <a:srgbClr val="2F7D41"/>
                          </a:solidFill>
                        </wps:spPr>
                        <wps:bodyPr wrap="square" lIns="0" tIns="0" rIns="0" bIns="0" rtlCol="0">
                          <a:prstTxWarp prst="textNoShape">
                            <a:avLst/>
                          </a:prstTxWarp>
                          <a:noAutofit/>
                        </wps:bodyPr>
                      </wps:wsp>
                      <wps:wsp>
                        <wps:cNvPr id="1726" name="Graphic 1726"/>
                        <wps:cNvSpPr/>
                        <wps:spPr>
                          <a:xfrm>
                            <a:off x="519264" y="609104"/>
                            <a:ext cx="4191635" cy="818515"/>
                          </a:xfrm>
                          <a:custGeom>
                            <a:avLst/>
                            <a:gdLst/>
                            <a:ahLst/>
                            <a:cxnLst/>
                            <a:rect l="l" t="t" r="r" b="b"/>
                            <a:pathLst>
                              <a:path w="4191635" h="818515">
                                <a:moveTo>
                                  <a:pt x="81076" y="781824"/>
                                </a:moveTo>
                                <a:lnTo>
                                  <a:pt x="40538" y="745629"/>
                                </a:lnTo>
                                <a:lnTo>
                                  <a:pt x="0" y="781824"/>
                                </a:lnTo>
                                <a:lnTo>
                                  <a:pt x="40538" y="818019"/>
                                </a:lnTo>
                                <a:lnTo>
                                  <a:pt x="81076" y="781824"/>
                                </a:lnTo>
                                <a:close/>
                              </a:path>
                              <a:path w="4191635" h="818515">
                                <a:moveTo>
                                  <a:pt x="494538" y="723912"/>
                                </a:moveTo>
                                <a:lnTo>
                                  <a:pt x="453999" y="687717"/>
                                </a:lnTo>
                                <a:lnTo>
                                  <a:pt x="413473" y="723912"/>
                                </a:lnTo>
                                <a:lnTo>
                                  <a:pt x="453999" y="760107"/>
                                </a:lnTo>
                                <a:lnTo>
                                  <a:pt x="494538" y="723912"/>
                                </a:lnTo>
                                <a:close/>
                              </a:path>
                              <a:path w="4191635" h="818515">
                                <a:moveTo>
                                  <a:pt x="908011" y="644283"/>
                                </a:moveTo>
                                <a:lnTo>
                                  <a:pt x="867473" y="608088"/>
                                </a:lnTo>
                                <a:lnTo>
                                  <a:pt x="826935" y="644283"/>
                                </a:lnTo>
                                <a:lnTo>
                                  <a:pt x="867473" y="680478"/>
                                </a:lnTo>
                                <a:lnTo>
                                  <a:pt x="908011" y="644283"/>
                                </a:lnTo>
                                <a:close/>
                              </a:path>
                              <a:path w="4191635" h="818515">
                                <a:moveTo>
                                  <a:pt x="1313370" y="600849"/>
                                </a:moveTo>
                                <a:lnTo>
                                  <a:pt x="1272832" y="564654"/>
                                </a:lnTo>
                                <a:lnTo>
                                  <a:pt x="1232293" y="600849"/>
                                </a:lnTo>
                                <a:lnTo>
                                  <a:pt x="1272832" y="637044"/>
                                </a:lnTo>
                                <a:lnTo>
                                  <a:pt x="1313370" y="600849"/>
                                </a:lnTo>
                                <a:close/>
                              </a:path>
                              <a:path w="4191635" h="818515">
                                <a:moveTo>
                                  <a:pt x="1726831" y="513981"/>
                                </a:moveTo>
                                <a:lnTo>
                                  <a:pt x="1686306" y="477786"/>
                                </a:lnTo>
                                <a:lnTo>
                                  <a:pt x="1645767" y="513981"/>
                                </a:lnTo>
                                <a:lnTo>
                                  <a:pt x="1686306" y="550176"/>
                                </a:lnTo>
                                <a:lnTo>
                                  <a:pt x="1726831" y="513981"/>
                                </a:lnTo>
                                <a:close/>
                              </a:path>
                              <a:path w="4191635" h="818515">
                                <a:moveTo>
                                  <a:pt x="2140305" y="383667"/>
                                </a:moveTo>
                                <a:lnTo>
                                  <a:pt x="2099767" y="347484"/>
                                </a:lnTo>
                                <a:lnTo>
                                  <a:pt x="2059228" y="383667"/>
                                </a:lnTo>
                                <a:lnTo>
                                  <a:pt x="2099767" y="419874"/>
                                </a:lnTo>
                                <a:lnTo>
                                  <a:pt x="2140305" y="383667"/>
                                </a:lnTo>
                                <a:close/>
                              </a:path>
                              <a:path w="4191635" h="818515">
                                <a:moveTo>
                                  <a:pt x="2545664" y="267855"/>
                                </a:moveTo>
                                <a:lnTo>
                                  <a:pt x="2505125" y="231660"/>
                                </a:lnTo>
                                <a:lnTo>
                                  <a:pt x="2464587" y="267855"/>
                                </a:lnTo>
                                <a:lnTo>
                                  <a:pt x="2505125" y="304050"/>
                                </a:lnTo>
                                <a:lnTo>
                                  <a:pt x="2545664" y="267855"/>
                                </a:lnTo>
                                <a:close/>
                              </a:path>
                              <a:path w="4191635" h="818515">
                                <a:moveTo>
                                  <a:pt x="2959125" y="159270"/>
                                </a:moveTo>
                                <a:lnTo>
                                  <a:pt x="2918599" y="123063"/>
                                </a:lnTo>
                                <a:lnTo>
                                  <a:pt x="2878048" y="159270"/>
                                </a:lnTo>
                                <a:lnTo>
                                  <a:pt x="2918599" y="195465"/>
                                </a:lnTo>
                                <a:lnTo>
                                  <a:pt x="2959125" y="159270"/>
                                </a:lnTo>
                                <a:close/>
                              </a:path>
                              <a:path w="4191635" h="818515">
                                <a:moveTo>
                                  <a:pt x="3364484" y="224421"/>
                                </a:moveTo>
                                <a:lnTo>
                                  <a:pt x="3323945" y="188226"/>
                                </a:lnTo>
                                <a:lnTo>
                                  <a:pt x="3283407" y="224421"/>
                                </a:lnTo>
                                <a:lnTo>
                                  <a:pt x="3323945" y="260604"/>
                                </a:lnTo>
                                <a:lnTo>
                                  <a:pt x="3364484" y="224421"/>
                                </a:lnTo>
                                <a:close/>
                              </a:path>
                              <a:path w="4191635" h="818515">
                                <a:moveTo>
                                  <a:pt x="3777958" y="108585"/>
                                </a:moveTo>
                                <a:lnTo>
                                  <a:pt x="3737406" y="72390"/>
                                </a:lnTo>
                                <a:lnTo>
                                  <a:pt x="3696881" y="108585"/>
                                </a:lnTo>
                                <a:lnTo>
                                  <a:pt x="3737406" y="144780"/>
                                </a:lnTo>
                                <a:lnTo>
                                  <a:pt x="3777958" y="108585"/>
                                </a:lnTo>
                                <a:close/>
                              </a:path>
                              <a:path w="4191635" h="818515">
                                <a:moveTo>
                                  <a:pt x="4191419" y="36207"/>
                                </a:moveTo>
                                <a:lnTo>
                                  <a:pt x="4150880" y="0"/>
                                </a:lnTo>
                                <a:lnTo>
                                  <a:pt x="4110355" y="36207"/>
                                </a:lnTo>
                                <a:lnTo>
                                  <a:pt x="4150880" y="72390"/>
                                </a:lnTo>
                                <a:lnTo>
                                  <a:pt x="4191419" y="36207"/>
                                </a:lnTo>
                                <a:close/>
                              </a:path>
                            </a:pathLst>
                          </a:custGeom>
                          <a:solidFill>
                            <a:srgbClr val="E3C626"/>
                          </a:solidFill>
                        </wps:spPr>
                        <wps:bodyPr wrap="square" lIns="0" tIns="0" rIns="0" bIns="0" rtlCol="0">
                          <a:prstTxWarp prst="textNoShape">
                            <a:avLst/>
                          </a:prstTxWarp>
                          <a:noAutofit/>
                        </wps:bodyPr>
                      </wps:wsp>
                      <wps:wsp>
                        <wps:cNvPr id="1727" name="Graphic 1727"/>
                        <wps:cNvSpPr/>
                        <wps:spPr>
                          <a:xfrm>
                            <a:off x="519264" y="1159281"/>
                            <a:ext cx="4183379" cy="275590"/>
                          </a:xfrm>
                          <a:custGeom>
                            <a:avLst/>
                            <a:gdLst/>
                            <a:ahLst/>
                            <a:cxnLst/>
                            <a:rect l="l" t="t" r="r" b="b"/>
                            <a:pathLst>
                              <a:path w="4183379" h="275590">
                                <a:moveTo>
                                  <a:pt x="72974" y="195453"/>
                                </a:moveTo>
                                <a:lnTo>
                                  <a:pt x="0" y="195453"/>
                                </a:lnTo>
                                <a:lnTo>
                                  <a:pt x="0" y="260604"/>
                                </a:lnTo>
                                <a:lnTo>
                                  <a:pt x="72974" y="260604"/>
                                </a:lnTo>
                                <a:lnTo>
                                  <a:pt x="72974" y="195453"/>
                                </a:lnTo>
                                <a:close/>
                              </a:path>
                              <a:path w="4183379" h="275590">
                                <a:moveTo>
                                  <a:pt x="486435" y="209931"/>
                                </a:moveTo>
                                <a:lnTo>
                                  <a:pt x="413473" y="209931"/>
                                </a:lnTo>
                                <a:lnTo>
                                  <a:pt x="413473" y="275069"/>
                                </a:lnTo>
                                <a:lnTo>
                                  <a:pt x="486435" y="275069"/>
                                </a:lnTo>
                                <a:lnTo>
                                  <a:pt x="486435" y="209931"/>
                                </a:lnTo>
                                <a:close/>
                              </a:path>
                              <a:path w="4183379" h="275590">
                                <a:moveTo>
                                  <a:pt x="899896" y="180975"/>
                                </a:moveTo>
                                <a:lnTo>
                                  <a:pt x="826935" y="180975"/>
                                </a:lnTo>
                                <a:lnTo>
                                  <a:pt x="826935" y="246126"/>
                                </a:lnTo>
                                <a:lnTo>
                                  <a:pt x="899896" y="246126"/>
                                </a:lnTo>
                                <a:lnTo>
                                  <a:pt x="899896" y="180975"/>
                                </a:lnTo>
                                <a:close/>
                              </a:path>
                              <a:path w="4183379" h="275590">
                                <a:moveTo>
                                  <a:pt x="1305267" y="166497"/>
                                </a:moveTo>
                                <a:lnTo>
                                  <a:pt x="1232293" y="166497"/>
                                </a:lnTo>
                                <a:lnTo>
                                  <a:pt x="1232293" y="231648"/>
                                </a:lnTo>
                                <a:lnTo>
                                  <a:pt x="1305267" y="231648"/>
                                </a:lnTo>
                                <a:lnTo>
                                  <a:pt x="1305267" y="166497"/>
                                </a:lnTo>
                                <a:close/>
                              </a:path>
                              <a:path w="4183379" h="275590">
                                <a:moveTo>
                                  <a:pt x="1718729" y="123063"/>
                                </a:moveTo>
                                <a:lnTo>
                                  <a:pt x="1645767" y="123063"/>
                                </a:lnTo>
                                <a:lnTo>
                                  <a:pt x="1645767" y="188214"/>
                                </a:lnTo>
                                <a:lnTo>
                                  <a:pt x="1718729" y="188214"/>
                                </a:lnTo>
                                <a:lnTo>
                                  <a:pt x="1718729" y="123063"/>
                                </a:lnTo>
                                <a:close/>
                              </a:path>
                              <a:path w="4183379" h="275590">
                                <a:moveTo>
                                  <a:pt x="2132190" y="65151"/>
                                </a:moveTo>
                                <a:lnTo>
                                  <a:pt x="2059228" y="65151"/>
                                </a:lnTo>
                                <a:lnTo>
                                  <a:pt x="2059228" y="130302"/>
                                </a:lnTo>
                                <a:lnTo>
                                  <a:pt x="2132190" y="130302"/>
                                </a:lnTo>
                                <a:lnTo>
                                  <a:pt x="2132190" y="65151"/>
                                </a:lnTo>
                                <a:close/>
                              </a:path>
                              <a:path w="4183379" h="275590">
                                <a:moveTo>
                                  <a:pt x="2537549" y="7239"/>
                                </a:moveTo>
                                <a:lnTo>
                                  <a:pt x="2464587" y="7239"/>
                                </a:lnTo>
                                <a:lnTo>
                                  <a:pt x="2464587" y="72390"/>
                                </a:lnTo>
                                <a:lnTo>
                                  <a:pt x="2537549" y="72390"/>
                                </a:lnTo>
                                <a:lnTo>
                                  <a:pt x="2537549" y="7239"/>
                                </a:lnTo>
                                <a:close/>
                              </a:path>
                              <a:path w="4183379" h="275590">
                                <a:moveTo>
                                  <a:pt x="2951022" y="21717"/>
                                </a:moveTo>
                                <a:lnTo>
                                  <a:pt x="2878048" y="21717"/>
                                </a:lnTo>
                                <a:lnTo>
                                  <a:pt x="2878048" y="86868"/>
                                </a:lnTo>
                                <a:lnTo>
                                  <a:pt x="2951022" y="86868"/>
                                </a:lnTo>
                                <a:lnTo>
                                  <a:pt x="2951022" y="21717"/>
                                </a:lnTo>
                                <a:close/>
                              </a:path>
                              <a:path w="4183379" h="275590">
                                <a:moveTo>
                                  <a:pt x="3356368" y="50673"/>
                                </a:moveTo>
                                <a:lnTo>
                                  <a:pt x="3283407" y="50673"/>
                                </a:lnTo>
                                <a:lnTo>
                                  <a:pt x="3283407" y="115824"/>
                                </a:lnTo>
                                <a:lnTo>
                                  <a:pt x="3356368" y="115824"/>
                                </a:lnTo>
                                <a:lnTo>
                                  <a:pt x="3356368" y="50673"/>
                                </a:lnTo>
                                <a:close/>
                              </a:path>
                              <a:path w="4183379" h="275590">
                                <a:moveTo>
                                  <a:pt x="3769842" y="7239"/>
                                </a:moveTo>
                                <a:lnTo>
                                  <a:pt x="3696881" y="7239"/>
                                </a:lnTo>
                                <a:lnTo>
                                  <a:pt x="3696881" y="72390"/>
                                </a:lnTo>
                                <a:lnTo>
                                  <a:pt x="3769842" y="72390"/>
                                </a:lnTo>
                                <a:lnTo>
                                  <a:pt x="3769842" y="7239"/>
                                </a:lnTo>
                                <a:close/>
                              </a:path>
                              <a:path w="4183379" h="275590">
                                <a:moveTo>
                                  <a:pt x="4183316" y="0"/>
                                </a:moveTo>
                                <a:lnTo>
                                  <a:pt x="4110355" y="0"/>
                                </a:lnTo>
                                <a:lnTo>
                                  <a:pt x="4110355" y="65151"/>
                                </a:lnTo>
                                <a:lnTo>
                                  <a:pt x="4183316" y="65151"/>
                                </a:lnTo>
                                <a:lnTo>
                                  <a:pt x="4183316" y="0"/>
                                </a:lnTo>
                                <a:close/>
                              </a:path>
                            </a:pathLst>
                          </a:custGeom>
                          <a:solidFill>
                            <a:srgbClr val="2B8E42"/>
                          </a:solidFill>
                        </wps:spPr>
                        <wps:bodyPr wrap="square" lIns="0" tIns="0" rIns="0" bIns="0" rtlCol="0">
                          <a:prstTxWarp prst="textNoShape">
                            <a:avLst/>
                          </a:prstTxWarp>
                          <a:noAutofit/>
                        </wps:bodyPr>
                      </wps:wsp>
                      <wps:wsp>
                        <wps:cNvPr id="1728" name="Graphic 1728"/>
                        <wps:cNvSpPr/>
                        <wps:spPr>
                          <a:xfrm>
                            <a:off x="3809238" y="133298"/>
                            <a:ext cx="243204" cy="58419"/>
                          </a:xfrm>
                          <a:custGeom>
                            <a:avLst/>
                            <a:gdLst/>
                            <a:ahLst/>
                            <a:cxnLst/>
                            <a:rect l="l" t="t" r="r" b="b"/>
                            <a:pathLst>
                              <a:path w="243204" h="58419">
                                <a:moveTo>
                                  <a:pt x="243141" y="20878"/>
                                </a:moveTo>
                                <a:lnTo>
                                  <a:pt x="144945" y="20878"/>
                                </a:lnTo>
                                <a:lnTo>
                                  <a:pt x="121577" y="0"/>
                                </a:lnTo>
                                <a:lnTo>
                                  <a:pt x="98183" y="20878"/>
                                </a:lnTo>
                                <a:lnTo>
                                  <a:pt x="0" y="20878"/>
                                </a:lnTo>
                                <a:lnTo>
                                  <a:pt x="0" y="37033"/>
                                </a:lnTo>
                                <a:lnTo>
                                  <a:pt x="98183" y="37033"/>
                                </a:lnTo>
                                <a:lnTo>
                                  <a:pt x="121577" y="57912"/>
                                </a:lnTo>
                                <a:lnTo>
                                  <a:pt x="144945" y="37033"/>
                                </a:lnTo>
                                <a:lnTo>
                                  <a:pt x="243141" y="37033"/>
                                </a:lnTo>
                                <a:lnTo>
                                  <a:pt x="243141" y="20878"/>
                                </a:lnTo>
                                <a:close/>
                              </a:path>
                            </a:pathLst>
                          </a:custGeom>
                          <a:solidFill>
                            <a:srgbClr val="E3C626"/>
                          </a:solidFill>
                        </wps:spPr>
                        <wps:bodyPr wrap="square" lIns="0" tIns="0" rIns="0" bIns="0" rtlCol="0">
                          <a:prstTxWarp prst="textNoShape">
                            <a:avLst/>
                          </a:prstTxWarp>
                          <a:noAutofit/>
                        </wps:bodyPr>
                      </wps:wsp>
                      <wps:wsp>
                        <wps:cNvPr id="1729" name="Graphic 1729"/>
                        <wps:cNvSpPr/>
                        <wps:spPr>
                          <a:xfrm>
                            <a:off x="4490249" y="154174"/>
                            <a:ext cx="243204" cy="16510"/>
                          </a:xfrm>
                          <a:custGeom>
                            <a:avLst/>
                            <a:gdLst/>
                            <a:ahLst/>
                            <a:cxnLst/>
                            <a:rect l="l" t="t" r="r" b="b"/>
                            <a:pathLst>
                              <a:path w="243204" h="16510">
                                <a:moveTo>
                                  <a:pt x="243147" y="0"/>
                                </a:moveTo>
                                <a:lnTo>
                                  <a:pt x="0" y="0"/>
                                </a:lnTo>
                                <a:lnTo>
                                  <a:pt x="0" y="16147"/>
                                </a:lnTo>
                                <a:lnTo>
                                  <a:pt x="243147" y="16147"/>
                                </a:lnTo>
                                <a:lnTo>
                                  <a:pt x="243147" y="0"/>
                                </a:lnTo>
                                <a:close/>
                              </a:path>
                            </a:pathLst>
                          </a:custGeom>
                          <a:solidFill>
                            <a:srgbClr val="2F7D41"/>
                          </a:solidFill>
                        </wps:spPr>
                        <wps:bodyPr wrap="square" lIns="0" tIns="0" rIns="0" bIns="0" rtlCol="0">
                          <a:prstTxWarp prst="textNoShape">
                            <a:avLst/>
                          </a:prstTxWarp>
                          <a:noAutofit/>
                        </wps:bodyPr>
                      </wps:wsp>
                      <wps:wsp>
                        <wps:cNvPr id="1730" name="Graphic 1730"/>
                        <wps:cNvSpPr/>
                        <wps:spPr>
                          <a:xfrm>
                            <a:off x="4579385" y="133288"/>
                            <a:ext cx="57150" cy="50800"/>
                          </a:xfrm>
                          <a:custGeom>
                            <a:avLst/>
                            <a:gdLst/>
                            <a:ahLst/>
                            <a:cxnLst/>
                            <a:rect l="l" t="t" r="r" b="b"/>
                            <a:pathLst>
                              <a:path w="57150" h="50800">
                                <a:moveTo>
                                  <a:pt x="56752" y="0"/>
                                </a:moveTo>
                                <a:lnTo>
                                  <a:pt x="0" y="0"/>
                                </a:lnTo>
                                <a:lnTo>
                                  <a:pt x="0" y="50675"/>
                                </a:lnTo>
                                <a:lnTo>
                                  <a:pt x="56752" y="50675"/>
                                </a:lnTo>
                                <a:lnTo>
                                  <a:pt x="56752" y="0"/>
                                </a:lnTo>
                                <a:close/>
                              </a:path>
                            </a:pathLst>
                          </a:custGeom>
                          <a:solidFill>
                            <a:srgbClr val="2B8E42"/>
                          </a:solidFill>
                        </wps:spPr>
                        <wps:bodyPr wrap="square" lIns="0" tIns="0" rIns="0" bIns="0" rtlCol="0">
                          <a:prstTxWarp prst="textNoShape">
                            <a:avLst/>
                          </a:prstTxWarp>
                          <a:noAutofit/>
                        </wps:bodyPr>
                      </wps:wsp>
                      <wps:wsp>
                        <wps:cNvPr id="1731" name="Textbox 1731"/>
                        <wps:cNvSpPr txBox="1"/>
                        <wps:spPr>
                          <a:xfrm>
                            <a:off x="4101500" y="97549"/>
                            <a:ext cx="28003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Nominal</w:t>
                              </w:r>
                            </w:p>
                          </w:txbxContent>
                        </wps:txbx>
                        <wps:bodyPr wrap="square" lIns="0" tIns="0" rIns="0" bIns="0" rtlCol="0">
                          <a:noAutofit/>
                        </wps:bodyPr>
                      </wps:wsp>
                      <wps:wsp>
                        <wps:cNvPr id="1732" name="Textbox 1732"/>
                        <wps:cNvSpPr txBox="1"/>
                        <wps:spPr>
                          <a:xfrm>
                            <a:off x="4760149" y="91199"/>
                            <a:ext cx="16256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Real</w:t>
                              </w:r>
                            </w:p>
                          </w:txbxContent>
                        </wps:txbx>
                        <wps:bodyPr wrap="square" lIns="0" tIns="0" rIns="0" bIns="0" rtlCol="0">
                          <a:noAutofit/>
                        </wps:bodyPr>
                      </wps:wsp>
                      <wps:wsp>
                        <wps:cNvPr id="1733" name="Textbox 1733"/>
                        <wps:cNvSpPr txBox="1"/>
                        <wps:spPr>
                          <a:xfrm>
                            <a:off x="161184" y="401299"/>
                            <a:ext cx="134620" cy="15627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250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200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150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100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50</w:t>
                              </w:r>
                            </w:p>
                            <w:p>
                              <w:pPr>
                                <w:spacing w:line="240" w:lineRule="auto" w:before="138"/>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1734" name="Textbox 1734"/>
                        <wps:cNvSpPr txBox="1"/>
                        <wps:spPr>
                          <a:xfrm>
                            <a:off x="421862" y="1978749"/>
                            <a:ext cx="4414520" cy="102235"/>
                          </a:xfrm>
                          <a:prstGeom prst="rect">
                            <a:avLst/>
                          </a:prstGeom>
                        </wps:spPr>
                        <wps:txbx>
                          <w:txbxContent>
                            <w:p>
                              <w:pPr>
                                <w:tabs>
                                  <w:tab w:pos="659" w:val="left" w:leader="none"/>
                                  <w:tab w:pos="1299" w:val="left" w:leader="none"/>
                                  <w:tab w:pos="1949" w:val="left" w:leader="none"/>
                                  <w:tab w:pos="2612" w:val="left" w:leader="none"/>
                                  <w:tab w:pos="3267" w:val="left" w:leader="none"/>
                                  <w:tab w:pos="5219" w:val="left" w:leader="none"/>
                                  <w:tab w:pos="6509" w:val="left" w:leader="none"/>
                                </w:tabs>
                                <w:spacing w:line="161" w:lineRule="exact" w:before="0"/>
                                <w:ind w:left="0" w:right="0" w:firstLine="0"/>
                                <w:jc w:val="left"/>
                                <w:rPr>
                                  <w:rFonts w:ascii="Arial MT"/>
                                  <w:sz w:val="14"/>
                                </w:rPr>
                              </w:pPr>
                              <w:r>
                                <w:rPr>
                                  <w:rFonts w:ascii="Arial MT"/>
                                  <w:w w:val="80"/>
                                  <w:sz w:val="14"/>
                                </w:rPr>
                                <w:t>1993-</w:t>
                              </w:r>
                              <w:r>
                                <w:rPr>
                                  <w:rFonts w:ascii="Arial MT"/>
                                  <w:spacing w:val="-5"/>
                                  <w:w w:val="90"/>
                                  <w:sz w:val="14"/>
                                </w:rPr>
                                <w:t>94</w:t>
                              </w:r>
                              <w:r>
                                <w:rPr>
                                  <w:rFonts w:ascii="Arial MT"/>
                                  <w:sz w:val="14"/>
                                </w:rPr>
                                <w:tab/>
                              </w:r>
                              <w:r>
                                <w:rPr>
                                  <w:rFonts w:ascii="Arial MT"/>
                                  <w:w w:val="80"/>
                                  <w:sz w:val="14"/>
                                </w:rPr>
                                <w:t>1994-</w:t>
                              </w:r>
                              <w:r>
                                <w:rPr>
                                  <w:rFonts w:ascii="Arial MT"/>
                                  <w:spacing w:val="-5"/>
                                  <w:w w:val="90"/>
                                  <w:sz w:val="14"/>
                                </w:rPr>
                                <w:t>95</w:t>
                              </w:r>
                              <w:r>
                                <w:rPr>
                                  <w:rFonts w:ascii="Arial MT"/>
                                  <w:sz w:val="14"/>
                                </w:rPr>
                                <w:tab/>
                              </w:r>
                              <w:r>
                                <w:rPr>
                                  <w:rFonts w:ascii="Arial MT"/>
                                  <w:w w:val="80"/>
                                  <w:sz w:val="14"/>
                                </w:rPr>
                                <w:t>1995-</w:t>
                              </w:r>
                              <w:r>
                                <w:rPr>
                                  <w:rFonts w:ascii="Arial MT"/>
                                  <w:spacing w:val="-5"/>
                                  <w:w w:val="90"/>
                                  <w:sz w:val="14"/>
                                </w:rPr>
                                <w:t>96</w:t>
                              </w:r>
                              <w:r>
                                <w:rPr>
                                  <w:rFonts w:ascii="Arial MT"/>
                                  <w:sz w:val="14"/>
                                </w:rPr>
                                <w:tab/>
                              </w:r>
                              <w:r>
                                <w:rPr>
                                  <w:rFonts w:ascii="Arial MT"/>
                                  <w:w w:val="80"/>
                                  <w:sz w:val="14"/>
                                </w:rPr>
                                <w:t>1996-</w:t>
                              </w:r>
                              <w:r>
                                <w:rPr>
                                  <w:rFonts w:ascii="Arial MT"/>
                                  <w:spacing w:val="-5"/>
                                  <w:w w:val="90"/>
                                  <w:sz w:val="14"/>
                                </w:rPr>
                                <w:t>97</w:t>
                              </w:r>
                              <w:r>
                                <w:rPr>
                                  <w:rFonts w:ascii="Arial MT"/>
                                  <w:sz w:val="14"/>
                                </w:rPr>
                                <w:tab/>
                              </w:r>
                              <w:r>
                                <w:rPr>
                                  <w:rFonts w:ascii="Arial MT"/>
                                  <w:w w:val="80"/>
                                  <w:sz w:val="14"/>
                                </w:rPr>
                                <w:t>1997-</w:t>
                              </w:r>
                              <w:r>
                                <w:rPr>
                                  <w:rFonts w:ascii="Arial MT"/>
                                  <w:spacing w:val="-5"/>
                                  <w:w w:val="90"/>
                                  <w:sz w:val="14"/>
                                </w:rPr>
                                <w:t>98</w:t>
                              </w:r>
                              <w:r>
                                <w:rPr>
                                  <w:rFonts w:ascii="Arial MT"/>
                                  <w:sz w:val="14"/>
                                </w:rPr>
                                <w:tab/>
                              </w:r>
                              <w:r>
                                <w:rPr>
                                  <w:rFonts w:ascii="Arial MT"/>
                                  <w:w w:val="85"/>
                                  <w:sz w:val="14"/>
                                </w:rPr>
                                <w:t>1998-99</w:t>
                              </w:r>
                              <w:r>
                                <w:rPr>
                                  <w:rFonts w:ascii="Arial MT"/>
                                  <w:spacing w:val="75"/>
                                  <w:sz w:val="14"/>
                                </w:rPr>
                                <w:t> </w:t>
                              </w:r>
                              <w:r>
                                <w:rPr>
                                  <w:rFonts w:ascii="Arial MT"/>
                                  <w:w w:val="85"/>
                                  <w:sz w:val="14"/>
                                </w:rPr>
                                <w:t>1999-2000</w:t>
                              </w:r>
                              <w:r>
                                <w:rPr>
                                  <w:rFonts w:ascii="Arial MT"/>
                                  <w:spacing w:val="78"/>
                                  <w:w w:val="150"/>
                                  <w:sz w:val="14"/>
                                </w:rPr>
                                <w:t> </w:t>
                              </w:r>
                              <w:r>
                                <w:rPr>
                                  <w:rFonts w:ascii="Arial MT"/>
                                  <w:w w:val="85"/>
                                  <w:sz w:val="14"/>
                                </w:rPr>
                                <w:t>2000-</w:t>
                              </w:r>
                              <w:r>
                                <w:rPr>
                                  <w:rFonts w:ascii="Arial MT"/>
                                  <w:spacing w:val="-5"/>
                                  <w:w w:val="85"/>
                                  <w:sz w:val="14"/>
                                </w:rPr>
                                <w:t>01</w:t>
                              </w:r>
                              <w:r>
                                <w:rPr>
                                  <w:rFonts w:ascii="Arial MT"/>
                                  <w:sz w:val="14"/>
                                </w:rPr>
                                <w:tab/>
                              </w:r>
                              <w:r>
                                <w:rPr>
                                  <w:rFonts w:ascii="Arial MT"/>
                                  <w:w w:val="85"/>
                                  <w:sz w:val="14"/>
                                </w:rPr>
                                <w:t>2001-02</w:t>
                              </w:r>
                              <w:r>
                                <w:rPr>
                                  <w:rFonts w:ascii="Arial MT"/>
                                  <w:spacing w:val="46"/>
                                  <w:sz w:val="14"/>
                                </w:rPr>
                                <w:t>  </w:t>
                              </w:r>
                              <w:r>
                                <w:rPr>
                                  <w:rFonts w:ascii="Arial MT"/>
                                  <w:w w:val="85"/>
                                  <w:sz w:val="14"/>
                                </w:rPr>
                                <w:t>2002-</w:t>
                              </w:r>
                              <w:r>
                                <w:rPr>
                                  <w:rFonts w:ascii="Arial MT"/>
                                  <w:spacing w:val="-5"/>
                                  <w:w w:val="85"/>
                                  <w:sz w:val="14"/>
                                </w:rPr>
                                <w:t>03</w:t>
                              </w:r>
                              <w:r>
                                <w:rPr>
                                  <w:rFonts w:ascii="Arial MT"/>
                                  <w:sz w:val="14"/>
                                </w:rPr>
                                <w:tab/>
                              </w:r>
                              <w:r>
                                <w:rPr>
                                  <w:rFonts w:ascii="Arial MT"/>
                                  <w:w w:val="80"/>
                                  <w:sz w:val="14"/>
                                </w:rPr>
                                <w:t>2003-</w:t>
                              </w:r>
                              <w:r>
                                <w:rPr>
                                  <w:rFonts w:ascii="Arial MT"/>
                                  <w:spacing w:val="-5"/>
                                  <w:w w:val="90"/>
                                  <w:sz w:val="14"/>
                                </w:rPr>
                                <w:t>04</w:t>
                              </w:r>
                            </w:p>
                          </w:txbxContent>
                        </wps:txbx>
                        <wps:bodyPr wrap="square" lIns="0" tIns="0" rIns="0" bIns="0" rtlCol="0">
                          <a:noAutofit/>
                        </wps:bodyPr>
                      </wps:wsp>
                    </wpg:wgp>
                  </a:graphicData>
                </a:graphic>
              </wp:anchor>
            </w:drawing>
          </mc:Choice>
          <mc:Fallback>
            <w:pict>
              <v:group style="position:absolute;margin-left:100.874008pt;margin-top:8.527881pt;width:396.8pt;height:172.3pt;mso-position-horizontal-relative:page;mso-position-vertical-relative:paragraph;z-index:-15615488;mso-wrap-distance-left:0;mso-wrap-distance-right:0" id="docshapegroup1708" coordorigin="2017,171" coordsize="7936,3446">
                <v:shape style="position:absolute;left:2017;top:170;width:7936;height:3446" id="docshape1709" coordorigin="2017,171" coordsize="7936,3446" path="m9696,3188l9686,3188,9045,3188,9035,3188,8407,3188,8397,3188,7756,3188,7746,3188,7104,3188,7094,3188,6466,3188,6456,3188,5815,3188,5805,3188,5177,3188,5167,3188,4526,3188,4516,3188,3874,3188,3864,3188,3236,3188,3226,3188,2585,3188,2585,851,2575,851,2524,851,2524,861,2575,861,2575,1319,2524,1319,2524,1329,2575,1329,2575,1786,2524,1786,2524,1796,2575,1796,2575,2253,2524,2253,2524,2263,2575,2263,2575,2721,2524,2721,2524,2731,2575,2731,2575,3188,2524,3188,2524,3198,2575,3198,2575,3244,2585,3244,2585,3198,3226,3198,3226,3244,3236,3244,3236,3198,3864,3198,3864,3244,3874,3244,3874,3198,4516,3198,4516,3244,4526,3244,4526,3198,5167,3198,5167,3244,5177,3244,5177,3198,5805,3198,5805,3244,5815,3244,5815,3198,6456,3198,6456,3244,6466,3244,6466,3198,7094,3198,7094,3244,7104,3244,7104,3198,7746,3198,7746,3244,7756,3244,7756,3198,8397,3198,8397,3244,8407,3244,8407,3198,9035,3198,9035,3244,9045,3244,9045,3198,9686,3198,9686,3244,9696,3244,9696,3188xm9953,171l9943,171,9943,181,9943,3607,9943,3607,9943,3612,9943,3613,2022,3613,2022,3612,2027,3612,9943,3612,9943,3607,2027,3607,2022,3607,2022,3607,2027,3607,2027,181,9943,181,9943,171,2017,171,2017,177,2017,181,2017,3607,2017,3613,2017,3617,9953,3617,9953,3613,9948,3613,9948,3612,9953,3612,9953,3607,9948,3607,9948,3607,9953,3607,9953,181,9953,181,9953,177,9953,176,9953,171xe" filled="true" fillcolor="#000000" stroked="false">
                  <v:path arrowok="t"/>
                  <v:fill type="solid"/>
                </v:shape>
                <v:shape style="position:absolute;left:2884;top:1172;width:6503;height:1204" id="docshape1710" coordorigin="2885,1172" coordsize="6503,1204" path="m3548,2257l2885,2350,2888,2375,3540,2284,3535,2260,3548,2257xm3552,2282l3540,2284,3540,2285,3552,2282xm3561,2255l3548,2257,3535,2260,3540,2284,3552,2282,3564,2280,3561,2255xm3564,2280l3552,2282,3565,2281,3564,2280xm3692,2255l3561,2255,3564,2280,3692,2255xm4187,2134l3548,2257,3561,2255,3692,2255,4196,2158,4190,2158,4187,2134xm4212,2130l4199,2132,4187,2134,4190,2158,4203,2157,4216,2154,4212,2130xm4203,2157l4190,2158,4196,2158,4203,2157xm4838,2063l4212,2130,4216,2154,4203,2157,4830,2090,4825,2066,4838,2063xm4199,2132l4187,2133,4187,2134,4199,2132xm4211,2129l4199,2132,4212,2130,4211,2129xm4842,2089l4830,2090,4830,2091,4842,2089xm4851,2062l4838,2063,4825,2066,4830,2090,4842,2089,4854,2086,4851,2062xm4854,2086l4842,2089,4854,2087,4854,2086xm4968,2062l4851,2062,4854,2086,4968,2062xm5488,1927l4838,2063,4851,2062,4968,2062,5482,1954,5475,1931,5488,1927xm5494,1951l5482,1954,5483,1955,5494,1951xm5501,1924l5488,1927,5475,1931,5482,1954,5494,1951,5506,1948,5501,1924xm5506,1948l5494,1951,5506,1949,5506,1948xm5581,1924l5501,1924,5506,1948,5581,1924xm6126,1726l5488,1927,5501,1924,5581,1924,6134,1750,6133,1750,6126,1726xm6150,1718l6138,1722,6126,1726,6133,1750,6146,1746,6158,1742,6150,1718xm6146,1746l6133,1750,6134,1750,6146,1746xm6765,1543l6150,1718,6158,1742,6146,1746,6772,1567,6771,1567,6765,1543xm6138,1722l6126,1725,6126,1726,6138,1722xm6150,1718l6138,1722,6150,1718,6150,1718xm6789,1536l6777,1539,6765,1543,6771,1567,6784,1564,6796,1560,6789,1536xm6784,1564l6771,1567,6772,1567,6784,1564xm7420,1370l6789,1536,6796,1560,6784,1564,7432,1394,7417,1391,7420,1370xm6777,1539l6765,1543,6765,1543,6777,1539xm6789,1536l6777,1539,6789,1536,6789,1536xm8060,1494l8061,1499,8071,1496,8060,1494xm8081,1493l8071,1496,8080,1498,8081,1493xm8069,1470l8054,1474,8060,1494,8071,1496,8081,1493,8084,1473,8069,1470xm7442,1369l7447,1390,7432,1394,8060,1494,8054,1474,8069,1470,7442,1369xm8706,1292l8069,1470,8084,1473,8081,1493,8716,1315,8711,1315,8706,1292xm7431,1368l7420,1370,7417,1391,7432,1394,7447,1390,7442,1369,7431,1368xm7421,1366l7420,1370,7431,1368,7421,1366xm7441,1365l7431,1368,7442,1369,7441,1365xm8730,1286l8718,1288,8706,1292,8711,1315,8724,1313,8737,1310,8730,1286xm8724,1313l8711,1315,8716,1315,8724,1313xm9382,1172l8730,1286,8737,1310,8724,1313,9387,1197,9382,1172xm8718,1288l8706,1290,8706,1292,8718,1288xm8730,1285l8718,1288,8730,1286,8730,1285xe" filled="true" fillcolor="#e3c626" stroked="false">
                  <v:path arrowok="t"/>
                  <v:fill type="solid"/>
                </v:shape>
                <v:shape style="position:absolute;left:2885;top:2040;width:6500;height:358" id="docshape1711" coordorigin="2886,2040" coordsize="6500,358" path="m3538,2396l3538,2397,3550,2397,3538,2396xm3563,2396l3550,2397,3562,2397,3563,2396xm3550,2371l3537,2372,3538,2396,3550,2397,3563,2396,3563,2372,3550,2371xm2887,2348l2886,2373,3538,2396,3537,2372,3550,2371,2887,2348xm4188,2326l3550,2371,3563,2372,3563,2396,4195,2351,4189,2351,4188,2326xm4213,2325l4201,2325,4188,2326,4189,2351,4202,2351,4215,2350,4213,2325xm4202,2351l4189,2351,4195,2351,4202,2351xm4839,2303l4213,2325,4215,2350,4202,2351,4828,2329,4826,2304,4839,2303xm4841,2328l4828,2329,4828,2329,4841,2328xm4852,2302l4839,2303,4826,2304,4828,2329,4841,2328,4853,2327,4852,2302xm4853,2327l4841,2328,4853,2328,4853,2327xm5087,2302l4852,2302,4853,2327,5087,2302xm4201,2325l4188,2326,4188,2326,4201,2325xm4213,2325l4201,2325,4213,2325,4213,2325xm5489,2234l4839,2303,4852,2302,5087,2302,5480,2261,5476,2236,5489,2234xm5492,2260l5480,2261,5480,2261,5492,2260xm5502,2233l5489,2234,5476,2236,5480,2261,5492,2260,5505,2258,5502,2233xm5505,2258l5492,2260,5505,2258,5505,2258xm5682,2233l5502,2233,5505,2258,5682,2233xm6140,2143l5489,2234,5502,2233,5682,2233,6131,2170,6128,2145,6140,2143xm6144,2168l6131,2170,6131,2170,6144,2168xm6153,2141l6128,2145,6131,2170,6156,2167,6153,2141xm6156,2167l6144,2168,6156,2167,6156,2167xm6332,2141l6153,2141,6156,2167,6332,2141xm8058,2145l8058,2147,8070,2146,8058,2145xm8082,2145l8070,2146,8082,2147,8082,2145xm8070,2120l8056,2122,8058,2145,8070,2146,8082,2145,8083,2121,8070,2120xm7431,2100l8058,2145,8056,2122,8070,2120,7794,2101,7444,2101,7431,2100xm8708,2053l8070,2120,8083,2121,8082,2145,8719,2078,8708,2078,8708,2053xm6768,2054l6140,2143,6153,2141,6332,2141,6781,2077,6767,2077,6768,2054xm7420,2074l7418,2099,7431,2100,7444,2101,7445,2076,7432,2075,7420,2074xm7445,2076l7444,2101,7794,2101,7445,2076xm6791,2052l6795,2075,6781,2077,7431,2100,7418,2099,7420,2074,6791,2052xm8732,2052l8720,2052,8708,2053,8708,2078,8722,2077,8735,2076,8732,2052xm8722,2077l8708,2078,8719,2078,8722,2077xm6780,2052l6768,2054,6767,2077,6781,2077,6795,2075,6791,2052,6780,2052xm9385,2040l8732,2052,8735,2076,8722,2077,9385,2066,9385,2040xm7432,2075l7445,2076,7445,2075,7432,2075xm7420,2074l7420,2074,7432,2075,7420,2074xm6768,2051l6768,2054,6780,2052,6768,2051xm8720,2052l8708,2052,8708,2053,8720,2052xm6791,2050l6780,2052,6791,2052,6791,2050xm8732,2051l8720,2052,8732,2052,8732,2051xe" filled="true" fillcolor="#2f7d41" stroked="false">
                  <v:path arrowok="t"/>
                  <v:fill type="solid"/>
                </v:shape>
                <v:shape style="position:absolute;left:2835;top:1129;width:6601;height:1289" id="docshape1712" coordorigin="2835,1130" coordsize="6601,1289" path="m2963,2361l2899,2304,2835,2361,2899,2418,2963,2361xm3614,2270l3550,2213,3486,2270,3550,2327,3614,2270xm4265,2144l4201,2087,4137,2144,4201,2201,4265,2144xm4904,2076l4840,2019,4776,2076,4840,2133,4904,2076xm5555,1939l5491,1882,5427,1939,5491,1996,5555,1939xm6206,1734l6142,1677,6078,1734,6142,1791,6206,1734xm6844,1552l6780,1495,6716,1552,6780,1609,6844,1552xm7495,1381l7431,1324,7368,1381,7431,1438,7495,1381xm8134,1483l8070,1426,8006,1483,8070,1540,8134,1483xm8785,1301l8721,1244,8657,1301,8721,1358,8785,1301xm9436,1187l9372,1130,9308,1187,9372,1244,9436,1187xe" filled="true" fillcolor="#e3c626" stroked="false">
                  <v:path arrowok="t"/>
                  <v:fill type="solid"/>
                </v:shape>
                <v:shape style="position:absolute;left:2835;top:1996;width:6588;height:434" id="docshape1713" coordorigin="2835,1996" coordsize="6588,434" path="m2950,2304l2835,2304,2835,2407,2950,2407,2950,2304xm3601,2327l3486,2327,3486,2429,3601,2429,3601,2327xm4252,2281l4137,2281,4137,2384,4252,2384,4252,2281xm4891,2258l4776,2258,4776,2361,4891,2361,4891,2258xm5542,2190l5427,2190,5427,2293,5542,2293,5542,2190xm6193,2099l6078,2099,6078,2201,6193,2201,6193,2099xm6831,2008l6716,2008,6716,2110,6831,2110,6831,2008xm7483,2030l7368,2030,7368,2133,7483,2133,7483,2030xm8121,2076l8006,2076,8006,2179,8121,2179,8121,2076xm8772,2008l8657,2008,8657,2110,8772,2110,8772,2008xm9423,1996l9308,1996,9308,2099,9423,2099,9423,1996xe" filled="true" fillcolor="#2b8e42" stroked="false">
                  <v:path arrowok="t"/>
                  <v:fill type="solid"/>
                </v:shape>
                <v:shape style="position:absolute;left:8016;top:380;width:383;height:92" id="docshape1714" coordorigin="8016,380" coordsize="383,92" path="m8399,413l8245,413,8208,380,8171,413,8016,413,8016,439,8171,439,8208,472,8245,439,8399,439,8399,413xe" filled="true" fillcolor="#e3c626" stroked="false">
                  <v:path arrowok="t"/>
                  <v:fill type="solid"/>
                </v:shape>
                <v:rect style="position:absolute;left:9088;top:413;width:383;height:26" id="docshape1715" filled="true" fillcolor="#2f7d41" stroked="false">
                  <v:fill type="solid"/>
                </v:rect>
                <v:rect style="position:absolute;left:9229;top:380;width:90;height:80" id="docshape1716" filled="true" fillcolor="#2b8e42" stroked="false">
                  <v:fill type="solid"/>
                </v:rect>
                <v:shape style="position:absolute;left:8476;top:324;width:441;height:161" type="#_x0000_t202" id="docshape1717" filled="false" stroked="false">
                  <v:textbox inset="0,0,0,0">
                    <w:txbxContent>
                      <w:p>
                        <w:pPr>
                          <w:spacing w:line="161" w:lineRule="exact" w:before="0"/>
                          <w:ind w:left="0" w:right="0" w:firstLine="0"/>
                          <w:jc w:val="left"/>
                          <w:rPr>
                            <w:rFonts w:ascii="Arial MT"/>
                            <w:sz w:val="14"/>
                          </w:rPr>
                        </w:pPr>
                        <w:r>
                          <w:rPr>
                            <w:rFonts w:ascii="Arial MT"/>
                            <w:spacing w:val="-2"/>
                            <w:w w:val="85"/>
                            <w:sz w:val="14"/>
                          </w:rPr>
                          <w:t>Nominal</w:t>
                        </w:r>
                      </w:p>
                    </w:txbxContent>
                  </v:textbox>
                  <w10:wrap type="none"/>
                </v:shape>
                <v:shape style="position:absolute;left:9513;top:314;width:256;height:161" type="#_x0000_t202" id="docshape1718" filled="false" stroked="false">
                  <v:textbox inset="0,0,0,0">
                    <w:txbxContent>
                      <w:p>
                        <w:pPr>
                          <w:spacing w:line="161" w:lineRule="exact" w:before="0"/>
                          <w:ind w:left="0" w:right="0" w:firstLine="0"/>
                          <w:jc w:val="left"/>
                          <w:rPr>
                            <w:rFonts w:ascii="Arial MT"/>
                            <w:sz w:val="14"/>
                          </w:rPr>
                        </w:pPr>
                        <w:r>
                          <w:rPr>
                            <w:rFonts w:ascii="Arial MT"/>
                            <w:spacing w:val="-5"/>
                            <w:w w:val="90"/>
                            <w:sz w:val="14"/>
                          </w:rPr>
                          <w:t>Real</w:t>
                        </w:r>
                      </w:p>
                    </w:txbxContent>
                  </v:textbox>
                  <w10:wrap type="none"/>
                </v:shape>
                <v:shape style="position:absolute;left:2271;top:802;width:212;height:2461" type="#_x0000_t202" id="docshape1719" filled="false" stroked="false">
                  <v:textbox inset="0,0,0,0">
                    <w:txbxContent>
                      <w:p>
                        <w:pPr>
                          <w:spacing w:line="161" w:lineRule="exact" w:before="0"/>
                          <w:ind w:left="0" w:right="0" w:firstLine="0"/>
                          <w:jc w:val="left"/>
                          <w:rPr>
                            <w:rFonts w:ascii="Arial MT"/>
                            <w:sz w:val="14"/>
                          </w:rPr>
                        </w:pPr>
                        <w:r>
                          <w:rPr>
                            <w:rFonts w:ascii="Arial MT"/>
                            <w:spacing w:val="-5"/>
                            <w:w w:val="90"/>
                            <w:sz w:val="14"/>
                          </w:rPr>
                          <w:t>250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200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150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100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50</w:t>
                        </w:r>
                      </w:p>
                      <w:p>
                        <w:pPr>
                          <w:spacing w:line="240" w:lineRule="auto" w:before="138"/>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v:shape style="position:absolute;left:2681;top:3286;width:6952;height:161" type="#_x0000_t202" id="docshape1720" filled="false" stroked="false">
                  <v:textbox inset="0,0,0,0">
                    <w:txbxContent>
                      <w:p>
                        <w:pPr>
                          <w:tabs>
                            <w:tab w:pos="659" w:val="left" w:leader="none"/>
                            <w:tab w:pos="1299" w:val="left" w:leader="none"/>
                            <w:tab w:pos="1949" w:val="left" w:leader="none"/>
                            <w:tab w:pos="2612" w:val="left" w:leader="none"/>
                            <w:tab w:pos="3267" w:val="left" w:leader="none"/>
                            <w:tab w:pos="5219" w:val="left" w:leader="none"/>
                            <w:tab w:pos="6509" w:val="left" w:leader="none"/>
                          </w:tabs>
                          <w:spacing w:line="161" w:lineRule="exact" w:before="0"/>
                          <w:ind w:left="0" w:right="0" w:firstLine="0"/>
                          <w:jc w:val="left"/>
                          <w:rPr>
                            <w:rFonts w:ascii="Arial MT"/>
                            <w:sz w:val="14"/>
                          </w:rPr>
                        </w:pPr>
                        <w:r>
                          <w:rPr>
                            <w:rFonts w:ascii="Arial MT"/>
                            <w:w w:val="80"/>
                            <w:sz w:val="14"/>
                          </w:rPr>
                          <w:t>1993-</w:t>
                        </w:r>
                        <w:r>
                          <w:rPr>
                            <w:rFonts w:ascii="Arial MT"/>
                            <w:spacing w:val="-5"/>
                            <w:w w:val="90"/>
                            <w:sz w:val="14"/>
                          </w:rPr>
                          <w:t>94</w:t>
                        </w:r>
                        <w:r>
                          <w:rPr>
                            <w:rFonts w:ascii="Arial MT"/>
                            <w:sz w:val="14"/>
                          </w:rPr>
                          <w:tab/>
                        </w:r>
                        <w:r>
                          <w:rPr>
                            <w:rFonts w:ascii="Arial MT"/>
                            <w:w w:val="80"/>
                            <w:sz w:val="14"/>
                          </w:rPr>
                          <w:t>1994-</w:t>
                        </w:r>
                        <w:r>
                          <w:rPr>
                            <w:rFonts w:ascii="Arial MT"/>
                            <w:spacing w:val="-5"/>
                            <w:w w:val="90"/>
                            <w:sz w:val="14"/>
                          </w:rPr>
                          <w:t>95</w:t>
                        </w:r>
                        <w:r>
                          <w:rPr>
                            <w:rFonts w:ascii="Arial MT"/>
                            <w:sz w:val="14"/>
                          </w:rPr>
                          <w:tab/>
                        </w:r>
                        <w:r>
                          <w:rPr>
                            <w:rFonts w:ascii="Arial MT"/>
                            <w:w w:val="80"/>
                            <w:sz w:val="14"/>
                          </w:rPr>
                          <w:t>1995-</w:t>
                        </w:r>
                        <w:r>
                          <w:rPr>
                            <w:rFonts w:ascii="Arial MT"/>
                            <w:spacing w:val="-5"/>
                            <w:w w:val="90"/>
                            <w:sz w:val="14"/>
                          </w:rPr>
                          <w:t>96</w:t>
                        </w:r>
                        <w:r>
                          <w:rPr>
                            <w:rFonts w:ascii="Arial MT"/>
                            <w:sz w:val="14"/>
                          </w:rPr>
                          <w:tab/>
                        </w:r>
                        <w:r>
                          <w:rPr>
                            <w:rFonts w:ascii="Arial MT"/>
                            <w:w w:val="80"/>
                            <w:sz w:val="14"/>
                          </w:rPr>
                          <w:t>1996-</w:t>
                        </w:r>
                        <w:r>
                          <w:rPr>
                            <w:rFonts w:ascii="Arial MT"/>
                            <w:spacing w:val="-5"/>
                            <w:w w:val="90"/>
                            <w:sz w:val="14"/>
                          </w:rPr>
                          <w:t>97</w:t>
                        </w:r>
                        <w:r>
                          <w:rPr>
                            <w:rFonts w:ascii="Arial MT"/>
                            <w:sz w:val="14"/>
                          </w:rPr>
                          <w:tab/>
                        </w:r>
                        <w:r>
                          <w:rPr>
                            <w:rFonts w:ascii="Arial MT"/>
                            <w:w w:val="80"/>
                            <w:sz w:val="14"/>
                          </w:rPr>
                          <w:t>1997-</w:t>
                        </w:r>
                        <w:r>
                          <w:rPr>
                            <w:rFonts w:ascii="Arial MT"/>
                            <w:spacing w:val="-5"/>
                            <w:w w:val="90"/>
                            <w:sz w:val="14"/>
                          </w:rPr>
                          <w:t>98</w:t>
                        </w:r>
                        <w:r>
                          <w:rPr>
                            <w:rFonts w:ascii="Arial MT"/>
                            <w:sz w:val="14"/>
                          </w:rPr>
                          <w:tab/>
                        </w:r>
                        <w:r>
                          <w:rPr>
                            <w:rFonts w:ascii="Arial MT"/>
                            <w:w w:val="85"/>
                            <w:sz w:val="14"/>
                          </w:rPr>
                          <w:t>1998-99</w:t>
                        </w:r>
                        <w:r>
                          <w:rPr>
                            <w:rFonts w:ascii="Arial MT"/>
                            <w:spacing w:val="75"/>
                            <w:sz w:val="14"/>
                          </w:rPr>
                          <w:t> </w:t>
                        </w:r>
                        <w:r>
                          <w:rPr>
                            <w:rFonts w:ascii="Arial MT"/>
                            <w:w w:val="85"/>
                            <w:sz w:val="14"/>
                          </w:rPr>
                          <w:t>1999-2000</w:t>
                        </w:r>
                        <w:r>
                          <w:rPr>
                            <w:rFonts w:ascii="Arial MT"/>
                            <w:spacing w:val="78"/>
                            <w:w w:val="150"/>
                            <w:sz w:val="14"/>
                          </w:rPr>
                          <w:t> </w:t>
                        </w:r>
                        <w:r>
                          <w:rPr>
                            <w:rFonts w:ascii="Arial MT"/>
                            <w:w w:val="85"/>
                            <w:sz w:val="14"/>
                          </w:rPr>
                          <w:t>2000-</w:t>
                        </w:r>
                        <w:r>
                          <w:rPr>
                            <w:rFonts w:ascii="Arial MT"/>
                            <w:spacing w:val="-5"/>
                            <w:w w:val="85"/>
                            <w:sz w:val="14"/>
                          </w:rPr>
                          <w:t>01</w:t>
                        </w:r>
                        <w:r>
                          <w:rPr>
                            <w:rFonts w:ascii="Arial MT"/>
                            <w:sz w:val="14"/>
                          </w:rPr>
                          <w:tab/>
                        </w:r>
                        <w:r>
                          <w:rPr>
                            <w:rFonts w:ascii="Arial MT"/>
                            <w:w w:val="85"/>
                            <w:sz w:val="14"/>
                          </w:rPr>
                          <w:t>2001-02</w:t>
                        </w:r>
                        <w:r>
                          <w:rPr>
                            <w:rFonts w:ascii="Arial MT"/>
                            <w:spacing w:val="46"/>
                            <w:sz w:val="14"/>
                          </w:rPr>
                          <w:t>  </w:t>
                        </w:r>
                        <w:r>
                          <w:rPr>
                            <w:rFonts w:ascii="Arial MT"/>
                            <w:w w:val="85"/>
                            <w:sz w:val="14"/>
                          </w:rPr>
                          <w:t>2002-</w:t>
                        </w:r>
                        <w:r>
                          <w:rPr>
                            <w:rFonts w:ascii="Arial MT"/>
                            <w:spacing w:val="-5"/>
                            <w:w w:val="85"/>
                            <w:sz w:val="14"/>
                          </w:rPr>
                          <w:t>03</w:t>
                        </w:r>
                        <w:r>
                          <w:rPr>
                            <w:rFonts w:ascii="Arial MT"/>
                            <w:sz w:val="14"/>
                          </w:rPr>
                          <w:tab/>
                        </w:r>
                        <w:r>
                          <w:rPr>
                            <w:rFonts w:ascii="Arial MT"/>
                            <w:w w:val="80"/>
                            <w:sz w:val="14"/>
                          </w:rPr>
                          <w:t>2003-</w:t>
                        </w:r>
                        <w:r>
                          <w:rPr>
                            <w:rFonts w:ascii="Arial MT"/>
                            <w:spacing w:val="-5"/>
                            <w:w w:val="90"/>
                            <w:sz w:val="14"/>
                          </w:rPr>
                          <w:t>04</w:t>
                        </w:r>
                      </w:p>
                    </w:txbxContent>
                  </v:textbox>
                  <w10:wrap type="none"/>
                </v:shape>
                <w10:wrap type="topAndBottom"/>
              </v:group>
            </w:pict>
          </mc:Fallback>
        </mc:AlternateContent>
      </w:r>
    </w:p>
    <w:p>
      <w:pPr>
        <w:pStyle w:val="BodyText"/>
        <w:spacing w:before="50"/>
        <w:rPr>
          <w:b/>
          <w:sz w:val="24"/>
        </w:rPr>
      </w:pPr>
    </w:p>
    <w:p>
      <w:pPr>
        <w:spacing w:before="0"/>
        <w:ind w:left="2029" w:right="0" w:firstLine="0"/>
        <w:jc w:val="left"/>
        <w:rPr>
          <w:b/>
          <w:sz w:val="24"/>
        </w:rPr>
      </w:pPr>
      <w:r>
        <w:rPr>
          <w:b/>
          <w:spacing w:val="-6"/>
          <w:sz w:val="24"/>
        </w:rPr>
        <w:t>Figure</w:t>
      </w:r>
      <w:r>
        <w:rPr>
          <w:b/>
          <w:spacing w:val="-9"/>
          <w:sz w:val="24"/>
        </w:rPr>
        <w:t> </w:t>
      </w:r>
      <w:r>
        <w:rPr>
          <w:b/>
          <w:spacing w:val="-6"/>
          <w:sz w:val="24"/>
        </w:rPr>
        <w:t>34:</w:t>
      </w:r>
      <w:r>
        <w:rPr>
          <w:b/>
          <w:spacing w:val="-9"/>
          <w:sz w:val="24"/>
        </w:rPr>
        <w:t> </w:t>
      </w:r>
      <w:r>
        <w:rPr>
          <w:b/>
          <w:color w:val="2E614A"/>
          <w:spacing w:val="-6"/>
          <w:sz w:val="24"/>
        </w:rPr>
        <w:t>Number</w:t>
      </w:r>
      <w:r>
        <w:rPr>
          <w:b/>
          <w:color w:val="2E614A"/>
          <w:spacing w:val="-9"/>
          <w:sz w:val="24"/>
        </w:rPr>
        <w:t> </w:t>
      </w:r>
      <w:r>
        <w:rPr>
          <w:b/>
          <w:color w:val="2E614A"/>
          <w:spacing w:val="-6"/>
          <w:sz w:val="24"/>
        </w:rPr>
        <w:t>of</w:t>
      </w:r>
      <w:r>
        <w:rPr>
          <w:b/>
          <w:color w:val="2E614A"/>
          <w:spacing w:val="-9"/>
          <w:sz w:val="24"/>
        </w:rPr>
        <w:t> </w:t>
      </w:r>
      <w:r>
        <w:rPr>
          <w:b/>
          <w:color w:val="2E614A"/>
          <w:spacing w:val="-6"/>
          <w:sz w:val="24"/>
        </w:rPr>
        <w:t>doctors</w:t>
      </w:r>
      <w:r>
        <w:rPr>
          <w:b/>
          <w:color w:val="2E614A"/>
          <w:spacing w:val="-9"/>
          <w:sz w:val="24"/>
        </w:rPr>
        <w:t> </w:t>
      </w:r>
      <w:r>
        <w:rPr>
          <w:b/>
          <w:color w:val="2E614A"/>
          <w:spacing w:val="-6"/>
          <w:sz w:val="24"/>
        </w:rPr>
        <w:t>per</w:t>
      </w:r>
      <w:r>
        <w:rPr>
          <w:b/>
          <w:color w:val="2E614A"/>
          <w:spacing w:val="-9"/>
          <w:sz w:val="24"/>
        </w:rPr>
        <w:t> </w:t>
      </w:r>
      <w:r>
        <w:rPr>
          <w:b/>
          <w:color w:val="2E614A"/>
          <w:spacing w:val="-6"/>
          <w:sz w:val="24"/>
        </w:rPr>
        <w:t>1000</w:t>
      </w:r>
      <w:r>
        <w:rPr>
          <w:b/>
          <w:color w:val="2E614A"/>
          <w:spacing w:val="-9"/>
          <w:sz w:val="24"/>
        </w:rPr>
        <w:t> </w:t>
      </w:r>
      <w:r>
        <w:rPr>
          <w:b/>
          <w:color w:val="2E614A"/>
          <w:spacing w:val="-6"/>
          <w:sz w:val="24"/>
        </w:rPr>
        <w:t>population</w:t>
      </w:r>
    </w:p>
    <w:p>
      <w:pPr>
        <w:pStyle w:val="BodyText"/>
        <w:spacing w:before="2"/>
        <w:rPr>
          <w:b/>
          <w:sz w:val="9"/>
        </w:rPr>
      </w:pPr>
      <w:r>
        <w:rPr/>
        <mc:AlternateContent>
          <mc:Choice Requires="wps">
            <w:drawing>
              <wp:anchor distT="0" distB="0" distL="0" distR="0" allowOverlap="1" layoutInCell="1" locked="0" behindDoc="1" simplePos="0" relativeHeight="487701504">
                <wp:simplePos x="0" y="0"/>
                <wp:positionH relativeFrom="page">
                  <wp:posOffset>1295399</wp:posOffset>
                </wp:positionH>
                <wp:positionV relativeFrom="paragraph">
                  <wp:posOffset>82579</wp:posOffset>
                </wp:positionV>
                <wp:extent cx="5039360" cy="2548890"/>
                <wp:effectExtent l="0" t="0" r="0" b="0"/>
                <wp:wrapTopAndBottom/>
                <wp:docPr id="1735" name="Group 1735"/>
                <wp:cNvGraphicFramePr>
                  <a:graphicFrameLocks/>
                </wp:cNvGraphicFramePr>
                <a:graphic>
                  <a:graphicData uri="http://schemas.microsoft.com/office/word/2010/wordprocessingGroup">
                    <wpg:wgp>
                      <wpg:cNvPr id="1735" name="Group 1735"/>
                      <wpg:cNvGrpSpPr/>
                      <wpg:grpSpPr>
                        <a:xfrm>
                          <a:off x="0" y="0"/>
                          <a:ext cx="5039360" cy="2548890"/>
                          <a:chExt cx="5039360" cy="2548890"/>
                        </a:xfrm>
                      </wpg:grpSpPr>
                      <wps:wsp>
                        <wps:cNvPr id="1736" name="Graphic 1736"/>
                        <wps:cNvSpPr/>
                        <wps:spPr>
                          <a:xfrm>
                            <a:off x="525513" y="194373"/>
                            <a:ext cx="3856354" cy="1917064"/>
                          </a:xfrm>
                          <a:custGeom>
                            <a:avLst/>
                            <a:gdLst/>
                            <a:ahLst/>
                            <a:cxnLst/>
                            <a:rect l="l" t="t" r="r" b="b"/>
                            <a:pathLst>
                              <a:path w="3856354" h="1917064">
                                <a:moveTo>
                                  <a:pt x="610146" y="1823732"/>
                                </a:moveTo>
                                <a:lnTo>
                                  <a:pt x="0" y="1823732"/>
                                </a:lnTo>
                                <a:lnTo>
                                  <a:pt x="0" y="1916607"/>
                                </a:lnTo>
                                <a:lnTo>
                                  <a:pt x="610146" y="1916607"/>
                                </a:lnTo>
                                <a:lnTo>
                                  <a:pt x="610146" y="1823732"/>
                                </a:lnTo>
                                <a:close/>
                              </a:path>
                              <a:path w="3856354" h="1917064">
                                <a:moveTo>
                                  <a:pt x="1745703" y="1595767"/>
                                </a:moveTo>
                                <a:lnTo>
                                  <a:pt x="0" y="1595767"/>
                                </a:lnTo>
                                <a:lnTo>
                                  <a:pt x="0" y="1688642"/>
                                </a:lnTo>
                                <a:lnTo>
                                  <a:pt x="1745703" y="1688642"/>
                                </a:lnTo>
                                <a:lnTo>
                                  <a:pt x="1745703" y="1595767"/>
                                </a:lnTo>
                                <a:close/>
                              </a:path>
                              <a:path w="3856354" h="1917064">
                                <a:moveTo>
                                  <a:pt x="1957565" y="1367802"/>
                                </a:moveTo>
                                <a:lnTo>
                                  <a:pt x="0" y="1367802"/>
                                </a:lnTo>
                                <a:lnTo>
                                  <a:pt x="0" y="1460677"/>
                                </a:lnTo>
                                <a:lnTo>
                                  <a:pt x="1957565" y="1460677"/>
                                </a:lnTo>
                                <a:lnTo>
                                  <a:pt x="1957565" y="1367802"/>
                                </a:lnTo>
                                <a:close/>
                              </a:path>
                              <a:path w="3856354" h="1917064">
                                <a:moveTo>
                                  <a:pt x="2093150" y="1139837"/>
                                </a:moveTo>
                                <a:lnTo>
                                  <a:pt x="0" y="1139837"/>
                                </a:lnTo>
                                <a:lnTo>
                                  <a:pt x="0" y="1232700"/>
                                </a:lnTo>
                                <a:lnTo>
                                  <a:pt x="2093150" y="1232700"/>
                                </a:lnTo>
                                <a:lnTo>
                                  <a:pt x="2093150" y="1139837"/>
                                </a:lnTo>
                                <a:close/>
                              </a:path>
                              <a:path w="3856354" h="1917064">
                                <a:moveTo>
                                  <a:pt x="2177897" y="911860"/>
                                </a:moveTo>
                                <a:lnTo>
                                  <a:pt x="0" y="911860"/>
                                </a:lnTo>
                                <a:lnTo>
                                  <a:pt x="0" y="1004735"/>
                                </a:lnTo>
                                <a:lnTo>
                                  <a:pt x="2177897" y="1004735"/>
                                </a:lnTo>
                                <a:lnTo>
                                  <a:pt x="2177897" y="911860"/>
                                </a:lnTo>
                                <a:close/>
                              </a:path>
                              <a:path w="3856354" h="1917064">
                                <a:moveTo>
                                  <a:pt x="3008376" y="683907"/>
                                </a:moveTo>
                                <a:lnTo>
                                  <a:pt x="0" y="683907"/>
                                </a:lnTo>
                                <a:lnTo>
                                  <a:pt x="0" y="776782"/>
                                </a:lnTo>
                                <a:lnTo>
                                  <a:pt x="3008376" y="776782"/>
                                </a:lnTo>
                                <a:lnTo>
                                  <a:pt x="3008376" y="683907"/>
                                </a:lnTo>
                                <a:close/>
                              </a:path>
                              <a:path w="3856354" h="1917064">
                                <a:moveTo>
                                  <a:pt x="3008376" y="455930"/>
                                </a:moveTo>
                                <a:lnTo>
                                  <a:pt x="0" y="455930"/>
                                </a:lnTo>
                                <a:lnTo>
                                  <a:pt x="0" y="548805"/>
                                </a:lnTo>
                                <a:lnTo>
                                  <a:pt x="3008376" y="548805"/>
                                </a:lnTo>
                                <a:lnTo>
                                  <a:pt x="3008376" y="455930"/>
                                </a:lnTo>
                                <a:close/>
                              </a:path>
                              <a:path w="3856354" h="1917064">
                                <a:moveTo>
                                  <a:pt x="3618522" y="227965"/>
                                </a:moveTo>
                                <a:lnTo>
                                  <a:pt x="0" y="227965"/>
                                </a:lnTo>
                                <a:lnTo>
                                  <a:pt x="0" y="320840"/>
                                </a:lnTo>
                                <a:lnTo>
                                  <a:pt x="3618522" y="320840"/>
                                </a:lnTo>
                                <a:lnTo>
                                  <a:pt x="3618522" y="227965"/>
                                </a:lnTo>
                                <a:close/>
                              </a:path>
                              <a:path w="3856354" h="1917064">
                                <a:moveTo>
                                  <a:pt x="3855796" y="0"/>
                                </a:moveTo>
                                <a:lnTo>
                                  <a:pt x="0" y="0"/>
                                </a:lnTo>
                                <a:lnTo>
                                  <a:pt x="0" y="92875"/>
                                </a:lnTo>
                                <a:lnTo>
                                  <a:pt x="3855796" y="92875"/>
                                </a:lnTo>
                                <a:lnTo>
                                  <a:pt x="3855796" y="0"/>
                                </a:lnTo>
                                <a:close/>
                              </a:path>
                            </a:pathLst>
                          </a:custGeom>
                          <a:solidFill>
                            <a:srgbClr val="2F7D41"/>
                          </a:solidFill>
                        </wps:spPr>
                        <wps:bodyPr wrap="square" lIns="0" tIns="0" rIns="0" bIns="0" rtlCol="0">
                          <a:prstTxWarp prst="textNoShape">
                            <a:avLst/>
                          </a:prstTxWarp>
                          <a:noAutofit/>
                        </wps:bodyPr>
                      </wps:wsp>
                      <wps:wsp>
                        <wps:cNvPr id="1737" name="Graphic 1737"/>
                        <wps:cNvSpPr/>
                        <wps:spPr>
                          <a:xfrm>
                            <a:off x="-12" y="0"/>
                            <a:ext cx="5039360" cy="2548890"/>
                          </a:xfrm>
                          <a:custGeom>
                            <a:avLst/>
                            <a:gdLst/>
                            <a:ahLst/>
                            <a:cxnLst/>
                            <a:rect l="l" t="t" r="r" b="b"/>
                            <a:pathLst>
                              <a:path w="5039360" h="2548890">
                                <a:moveTo>
                                  <a:pt x="4884471" y="2178532"/>
                                </a:moveTo>
                                <a:lnTo>
                                  <a:pt x="4881296" y="2178532"/>
                                </a:lnTo>
                                <a:lnTo>
                                  <a:pt x="4881296" y="2175357"/>
                                </a:lnTo>
                                <a:lnTo>
                                  <a:pt x="528701" y="2175357"/>
                                </a:lnTo>
                                <a:lnTo>
                                  <a:pt x="528701" y="126822"/>
                                </a:lnTo>
                                <a:lnTo>
                                  <a:pt x="525526" y="126822"/>
                                </a:lnTo>
                                <a:lnTo>
                                  <a:pt x="525526" y="123647"/>
                                </a:lnTo>
                                <a:lnTo>
                                  <a:pt x="491642" y="123647"/>
                                </a:lnTo>
                                <a:lnTo>
                                  <a:pt x="491642" y="129997"/>
                                </a:lnTo>
                                <a:lnTo>
                                  <a:pt x="522351" y="129997"/>
                                </a:lnTo>
                                <a:lnTo>
                                  <a:pt x="522351" y="351612"/>
                                </a:lnTo>
                                <a:lnTo>
                                  <a:pt x="491642" y="351612"/>
                                </a:lnTo>
                                <a:lnTo>
                                  <a:pt x="491642" y="357962"/>
                                </a:lnTo>
                                <a:lnTo>
                                  <a:pt x="522351" y="357962"/>
                                </a:lnTo>
                                <a:lnTo>
                                  <a:pt x="522351" y="579589"/>
                                </a:lnTo>
                                <a:lnTo>
                                  <a:pt x="491642" y="579589"/>
                                </a:lnTo>
                                <a:lnTo>
                                  <a:pt x="491642" y="585939"/>
                                </a:lnTo>
                                <a:lnTo>
                                  <a:pt x="522351" y="585939"/>
                                </a:lnTo>
                                <a:lnTo>
                                  <a:pt x="522351" y="807542"/>
                                </a:lnTo>
                                <a:lnTo>
                                  <a:pt x="491642" y="807542"/>
                                </a:lnTo>
                                <a:lnTo>
                                  <a:pt x="491642" y="813892"/>
                                </a:lnTo>
                                <a:lnTo>
                                  <a:pt x="522351" y="813892"/>
                                </a:lnTo>
                                <a:lnTo>
                                  <a:pt x="522351" y="1035519"/>
                                </a:lnTo>
                                <a:lnTo>
                                  <a:pt x="491642" y="1035519"/>
                                </a:lnTo>
                                <a:lnTo>
                                  <a:pt x="491642" y="1041869"/>
                                </a:lnTo>
                                <a:lnTo>
                                  <a:pt x="522351" y="1041869"/>
                                </a:lnTo>
                                <a:lnTo>
                                  <a:pt x="522351" y="1263484"/>
                                </a:lnTo>
                                <a:lnTo>
                                  <a:pt x="491642" y="1263484"/>
                                </a:lnTo>
                                <a:lnTo>
                                  <a:pt x="491642" y="1269834"/>
                                </a:lnTo>
                                <a:lnTo>
                                  <a:pt x="522351" y="1269834"/>
                                </a:lnTo>
                                <a:lnTo>
                                  <a:pt x="522351" y="1491449"/>
                                </a:lnTo>
                                <a:lnTo>
                                  <a:pt x="491642" y="1491449"/>
                                </a:lnTo>
                                <a:lnTo>
                                  <a:pt x="491642" y="1497799"/>
                                </a:lnTo>
                                <a:lnTo>
                                  <a:pt x="522351" y="1497799"/>
                                </a:lnTo>
                                <a:lnTo>
                                  <a:pt x="522351" y="1719427"/>
                                </a:lnTo>
                                <a:lnTo>
                                  <a:pt x="491642" y="1719427"/>
                                </a:lnTo>
                                <a:lnTo>
                                  <a:pt x="491642" y="1725777"/>
                                </a:lnTo>
                                <a:lnTo>
                                  <a:pt x="522351" y="1725777"/>
                                </a:lnTo>
                                <a:lnTo>
                                  <a:pt x="522351" y="1947392"/>
                                </a:lnTo>
                                <a:lnTo>
                                  <a:pt x="491642" y="1947392"/>
                                </a:lnTo>
                                <a:lnTo>
                                  <a:pt x="491642" y="1953742"/>
                                </a:lnTo>
                                <a:lnTo>
                                  <a:pt x="522351" y="1953742"/>
                                </a:lnTo>
                                <a:lnTo>
                                  <a:pt x="522351" y="2175357"/>
                                </a:lnTo>
                                <a:lnTo>
                                  <a:pt x="491642" y="2175357"/>
                                </a:lnTo>
                                <a:lnTo>
                                  <a:pt x="491642" y="2181707"/>
                                </a:lnTo>
                                <a:lnTo>
                                  <a:pt x="522351" y="2181707"/>
                                </a:lnTo>
                                <a:lnTo>
                                  <a:pt x="522351" y="2212302"/>
                                </a:lnTo>
                                <a:lnTo>
                                  <a:pt x="528701" y="2212302"/>
                                </a:lnTo>
                                <a:lnTo>
                                  <a:pt x="528701" y="2181707"/>
                                </a:lnTo>
                                <a:lnTo>
                                  <a:pt x="954544" y="2181707"/>
                                </a:lnTo>
                                <a:lnTo>
                                  <a:pt x="954544" y="2212302"/>
                                </a:lnTo>
                                <a:lnTo>
                                  <a:pt x="960894" y="2212302"/>
                                </a:lnTo>
                                <a:lnTo>
                                  <a:pt x="960894" y="2181707"/>
                                </a:lnTo>
                                <a:lnTo>
                                  <a:pt x="1395209" y="2181707"/>
                                </a:lnTo>
                                <a:lnTo>
                                  <a:pt x="1395209" y="2212302"/>
                                </a:lnTo>
                                <a:lnTo>
                                  <a:pt x="1401559" y="2212302"/>
                                </a:lnTo>
                                <a:lnTo>
                                  <a:pt x="1401559" y="2181707"/>
                                </a:lnTo>
                                <a:lnTo>
                                  <a:pt x="1827390" y="2181707"/>
                                </a:lnTo>
                                <a:lnTo>
                                  <a:pt x="1827390" y="2212302"/>
                                </a:lnTo>
                                <a:lnTo>
                                  <a:pt x="1833740" y="2212302"/>
                                </a:lnTo>
                                <a:lnTo>
                                  <a:pt x="1833740" y="2181707"/>
                                </a:lnTo>
                                <a:lnTo>
                                  <a:pt x="2268055" y="2181707"/>
                                </a:lnTo>
                                <a:lnTo>
                                  <a:pt x="2268055" y="2212302"/>
                                </a:lnTo>
                                <a:lnTo>
                                  <a:pt x="2274405" y="2212302"/>
                                </a:lnTo>
                                <a:lnTo>
                                  <a:pt x="2274405" y="2181707"/>
                                </a:lnTo>
                                <a:lnTo>
                                  <a:pt x="2700248" y="2181707"/>
                                </a:lnTo>
                                <a:lnTo>
                                  <a:pt x="2700248" y="2212302"/>
                                </a:lnTo>
                                <a:lnTo>
                                  <a:pt x="2706598" y="2212302"/>
                                </a:lnTo>
                                <a:lnTo>
                                  <a:pt x="2706598" y="2181707"/>
                                </a:lnTo>
                                <a:lnTo>
                                  <a:pt x="3132429" y="2181707"/>
                                </a:lnTo>
                                <a:lnTo>
                                  <a:pt x="3132429" y="2212302"/>
                                </a:lnTo>
                                <a:lnTo>
                                  <a:pt x="3138779" y="2212302"/>
                                </a:lnTo>
                                <a:lnTo>
                                  <a:pt x="3138779" y="2181707"/>
                                </a:lnTo>
                                <a:lnTo>
                                  <a:pt x="3573107" y="2181707"/>
                                </a:lnTo>
                                <a:lnTo>
                                  <a:pt x="3573107" y="2212302"/>
                                </a:lnTo>
                                <a:lnTo>
                                  <a:pt x="3579457" y="2212302"/>
                                </a:lnTo>
                                <a:lnTo>
                                  <a:pt x="3579457" y="2181707"/>
                                </a:lnTo>
                                <a:lnTo>
                                  <a:pt x="4005288" y="2181707"/>
                                </a:lnTo>
                                <a:lnTo>
                                  <a:pt x="4005288" y="2212302"/>
                                </a:lnTo>
                                <a:lnTo>
                                  <a:pt x="4011638" y="2212302"/>
                                </a:lnTo>
                                <a:lnTo>
                                  <a:pt x="4011638" y="2181707"/>
                                </a:lnTo>
                                <a:lnTo>
                                  <a:pt x="4445940" y="2181707"/>
                                </a:lnTo>
                                <a:lnTo>
                                  <a:pt x="4445940" y="2212302"/>
                                </a:lnTo>
                                <a:lnTo>
                                  <a:pt x="4452290" y="2212302"/>
                                </a:lnTo>
                                <a:lnTo>
                                  <a:pt x="4452290" y="2181707"/>
                                </a:lnTo>
                                <a:lnTo>
                                  <a:pt x="4878121" y="2181707"/>
                                </a:lnTo>
                                <a:lnTo>
                                  <a:pt x="4878121" y="2212302"/>
                                </a:lnTo>
                                <a:lnTo>
                                  <a:pt x="4884471" y="2212302"/>
                                </a:lnTo>
                                <a:lnTo>
                                  <a:pt x="4884471" y="2178532"/>
                                </a:lnTo>
                                <a:close/>
                              </a:path>
                              <a:path w="5039360" h="2548890">
                                <a:moveTo>
                                  <a:pt x="5039055" y="0"/>
                                </a:moveTo>
                                <a:lnTo>
                                  <a:pt x="5032705" y="0"/>
                                </a:lnTo>
                                <a:lnTo>
                                  <a:pt x="5032705" y="2540"/>
                                </a:lnTo>
                                <a:lnTo>
                                  <a:pt x="5032705" y="2628"/>
                                </a:lnTo>
                                <a:lnTo>
                                  <a:pt x="5032705" y="2546350"/>
                                </a:lnTo>
                                <a:lnTo>
                                  <a:pt x="3175" y="2546350"/>
                                </a:lnTo>
                                <a:lnTo>
                                  <a:pt x="6350" y="2546235"/>
                                </a:lnTo>
                                <a:lnTo>
                                  <a:pt x="5032705" y="2546235"/>
                                </a:lnTo>
                                <a:lnTo>
                                  <a:pt x="5032705" y="2543060"/>
                                </a:lnTo>
                                <a:lnTo>
                                  <a:pt x="6350" y="2543060"/>
                                </a:lnTo>
                                <a:lnTo>
                                  <a:pt x="3175" y="2543060"/>
                                </a:lnTo>
                                <a:lnTo>
                                  <a:pt x="3175" y="2542540"/>
                                </a:lnTo>
                                <a:lnTo>
                                  <a:pt x="6350" y="2542540"/>
                                </a:lnTo>
                                <a:lnTo>
                                  <a:pt x="6350" y="6350"/>
                                </a:lnTo>
                                <a:lnTo>
                                  <a:pt x="3175" y="6350"/>
                                </a:lnTo>
                                <a:lnTo>
                                  <a:pt x="3175" y="5803"/>
                                </a:lnTo>
                                <a:lnTo>
                                  <a:pt x="6350" y="5803"/>
                                </a:lnTo>
                                <a:lnTo>
                                  <a:pt x="5032705" y="5803"/>
                                </a:lnTo>
                                <a:lnTo>
                                  <a:pt x="5032705" y="2628"/>
                                </a:lnTo>
                                <a:lnTo>
                                  <a:pt x="6350" y="2628"/>
                                </a:lnTo>
                                <a:lnTo>
                                  <a:pt x="3175" y="2628"/>
                                </a:lnTo>
                                <a:lnTo>
                                  <a:pt x="5032705" y="2540"/>
                                </a:lnTo>
                                <a:lnTo>
                                  <a:pt x="5032705" y="0"/>
                                </a:lnTo>
                                <a:lnTo>
                                  <a:pt x="0" y="0"/>
                                </a:lnTo>
                                <a:lnTo>
                                  <a:pt x="0" y="2540"/>
                                </a:lnTo>
                                <a:lnTo>
                                  <a:pt x="0" y="6350"/>
                                </a:lnTo>
                                <a:lnTo>
                                  <a:pt x="0" y="2542540"/>
                                </a:lnTo>
                                <a:lnTo>
                                  <a:pt x="0" y="2546350"/>
                                </a:lnTo>
                                <a:lnTo>
                                  <a:pt x="0" y="2548890"/>
                                </a:lnTo>
                                <a:lnTo>
                                  <a:pt x="5039055" y="2548890"/>
                                </a:lnTo>
                                <a:lnTo>
                                  <a:pt x="5039055" y="2546350"/>
                                </a:lnTo>
                                <a:lnTo>
                                  <a:pt x="5035880" y="2546350"/>
                                </a:lnTo>
                                <a:lnTo>
                                  <a:pt x="5039055" y="2546235"/>
                                </a:lnTo>
                                <a:lnTo>
                                  <a:pt x="5039055" y="2543060"/>
                                </a:lnTo>
                                <a:lnTo>
                                  <a:pt x="5035880" y="2543060"/>
                                </a:lnTo>
                                <a:lnTo>
                                  <a:pt x="5035880" y="2542540"/>
                                </a:lnTo>
                                <a:lnTo>
                                  <a:pt x="5039055" y="2542540"/>
                                </a:lnTo>
                                <a:lnTo>
                                  <a:pt x="5039055" y="6350"/>
                                </a:lnTo>
                                <a:lnTo>
                                  <a:pt x="5035880" y="6350"/>
                                </a:lnTo>
                                <a:lnTo>
                                  <a:pt x="5035880" y="5803"/>
                                </a:lnTo>
                                <a:lnTo>
                                  <a:pt x="5039055" y="5803"/>
                                </a:lnTo>
                                <a:lnTo>
                                  <a:pt x="5039055" y="2628"/>
                                </a:lnTo>
                                <a:lnTo>
                                  <a:pt x="5035880" y="2628"/>
                                </a:lnTo>
                                <a:lnTo>
                                  <a:pt x="5039055" y="2540"/>
                                </a:lnTo>
                                <a:lnTo>
                                  <a:pt x="5039055" y="0"/>
                                </a:lnTo>
                                <a:close/>
                              </a:path>
                            </a:pathLst>
                          </a:custGeom>
                          <a:solidFill>
                            <a:srgbClr val="000000"/>
                          </a:solidFill>
                        </wps:spPr>
                        <wps:bodyPr wrap="square" lIns="0" tIns="0" rIns="0" bIns="0" rtlCol="0">
                          <a:prstTxWarp prst="textNoShape">
                            <a:avLst/>
                          </a:prstTxWarp>
                          <a:noAutofit/>
                        </wps:bodyPr>
                      </wps:wsp>
                      <wps:wsp>
                        <wps:cNvPr id="1738" name="Textbox 1738"/>
                        <wps:cNvSpPr txBox="1"/>
                        <wps:spPr>
                          <a:xfrm>
                            <a:off x="4853678" y="228214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5</w:t>
                              </w:r>
                            </w:p>
                          </w:txbxContent>
                        </wps:txbx>
                        <wps:bodyPr wrap="square" lIns="0" tIns="0" rIns="0" bIns="0" rtlCol="0">
                          <a:noAutofit/>
                        </wps:bodyPr>
                      </wps:wsp>
                      <wps:wsp>
                        <wps:cNvPr id="1739" name="Textbox 1739"/>
                        <wps:cNvSpPr txBox="1"/>
                        <wps:spPr>
                          <a:xfrm>
                            <a:off x="126062" y="148826"/>
                            <a:ext cx="313055" cy="2032635"/>
                          </a:xfrm>
                          <a:prstGeom prst="rect">
                            <a:avLst/>
                          </a:prstGeom>
                        </wps:spPr>
                        <wps:txbx>
                          <w:txbxContent>
                            <w:p>
                              <w:pPr>
                                <w:spacing w:line="566" w:lineRule="auto" w:before="0"/>
                                <w:ind w:left="0" w:right="18" w:firstLine="95"/>
                                <w:jc w:val="right"/>
                                <w:rPr>
                                  <w:rFonts w:ascii="Arial MT"/>
                                  <w:sz w:val="14"/>
                                </w:rPr>
                              </w:pPr>
                              <w:r>
                                <w:rPr>
                                  <w:rFonts w:ascii="Arial MT"/>
                                  <w:spacing w:val="-2"/>
                                  <w:w w:val="80"/>
                                  <w:sz w:val="14"/>
                                </w:rPr>
                                <w:t>Greece</w:t>
                              </w:r>
                              <w:r>
                                <w:rPr>
                                  <w:rFonts w:ascii="Arial MT"/>
                                  <w:spacing w:val="40"/>
                                  <w:sz w:val="14"/>
                                </w:rPr>
                                <w:t> </w:t>
                              </w:r>
                              <w:r>
                                <w:rPr>
                                  <w:rFonts w:ascii="Arial MT"/>
                                  <w:spacing w:val="-4"/>
                                  <w:w w:val="90"/>
                                  <w:sz w:val="14"/>
                                </w:rPr>
                                <w:t>Italy</w:t>
                              </w:r>
                              <w:r>
                                <w:rPr>
                                  <w:rFonts w:ascii="Arial MT"/>
                                  <w:spacing w:val="40"/>
                                  <w:sz w:val="14"/>
                                </w:rPr>
                                <w:t> </w:t>
                              </w:r>
                              <w:r>
                                <w:rPr>
                                  <w:rFonts w:ascii="Arial MT"/>
                                  <w:spacing w:val="-2"/>
                                  <w:w w:val="90"/>
                                  <w:sz w:val="14"/>
                                </w:rPr>
                                <w:t>France</w:t>
                              </w:r>
                              <w:r>
                                <w:rPr>
                                  <w:rFonts w:ascii="Arial MT"/>
                                  <w:spacing w:val="40"/>
                                  <w:sz w:val="14"/>
                                </w:rPr>
                                <w:t> </w:t>
                              </w:r>
                              <w:r>
                                <w:rPr>
                                  <w:rFonts w:ascii="Arial MT"/>
                                  <w:spacing w:val="-2"/>
                                  <w:w w:val="80"/>
                                  <w:sz w:val="14"/>
                                </w:rPr>
                                <w:t>Germany</w:t>
                              </w:r>
                              <w:r>
                                <w:rPr>
                                  <w:rFonts w:ascii="Arial MT"/>
                                  <w:spacing w:val="40"/>
                                  <w:sz w:val="14"/>
                                </w:rPr>
                                <w:t> </w:t>
                              </w:r>
                              <w:r>
                                <w:rPr>
                                  <w:rFonts w:ascii="Arial MT"/>
                                  <w:spacing w:val="-2"/>
                                  <w:w w:val="85"/>
                                  <w:sz w:val="14"/>
                                </w:rPr>
                                <w:t>Australia</w:t>
                              </w:r>
                            </w:p>
                            <w:p>
                              <w:pPr>
                                <w:spacing w:line="566" w:lineRule="auto" w:before="0"/>
                                <w:ind w:left="312" w:right="15" w:firstLine="0"/>
                                <w:jc w:val="left"/>
                                <w:rPr>
                                  <w:rFonts w:ascii="Arial MT"/>
                                  <w:sz w:val="14"/>
                                </w:rPr>
                              </w:pPr>
                              <w:r>
                                <w:rPr>
                                  <w:rFonts w:ascii="Arial MT"/>
                                  <w:spacing w:val="-6"/>
                                  <w:w w:val="80"/>
                                  <w:sz w:val="14"/>
                                </w:rPr>
                                <w:t>US</w:t>
                              </w:r>
                              <w:r>
                                <w:rPr>
                                  <w:rFonts w:ascii="Arial MT"/>
                                  <w:spacing w:val="40"/>
                                  <w:sz w:val="14"/>
                                </w:rPr>
                                <w:t> </w:t>
                              </w:r>
                              <w:r>
                                <w:rPr>
                                  <w:rFonts w:ascii="Arial MT"/>
                                  <w:spacing w:val="-5"/>
                                  <w:w w:val="80"/>
                                  <w:sz w:val="14"/>
                                </w:rPr>
                                <w:t>UK</w:t>
                              </w:r>
                            </w:p>
                            <w:p>
                              <w:pPr>
                                <w:spacing w:before="0"/>
                                <w:ind w:left="159" w:right="0" w:firstLine="0"/>
                                <w:jc w:val="left"/>
                                <w:rPr>
                                  <w:rFonts w:ascii="Arial MT"/>
                                  <w:sz w:val="14"/>
                                </w:rPr>
                              </w:pPr>
                              <w:r>
                                <w:rPr>
                                  <w:rFonts w:ascii="Arial MT"/>
                                  <w:spacing w:val="-2"/>
                                  <w:w w:val="85"/>
                                  <w:sz w:val="14"/>
                                </w:rPr>
                                <w:t>Japan</w:t>
                              </w:r>
                            </w:p>
                            <w:p>
                              <w:pPr>
                                <w:spacing w:line="240" w:lineRule="auto" w:before="58"/>
                                <w:rPr>
                                  <w:rFonts w:ascii="Arial MT"/>
                                  <w:sz w:val="14"/>
                                </w:rPr>
                              </w:pPr>
                            </w:p>
                            <w:p>
                              <w:pPr>
                                <w:spacing w:before="0"/>
                                <w:ind w:left="223" w:right="0" w:firstLine="0"/>
                                <w:jc w:val="left"/>
                                <w:rPr>
                                  <w:rFonts w:ascii="Arial MT"/>
                                  <w:sz w:val="14"/>
                                </w:rPr>
                              </w:pPr>
                              <w:r>
                                <w:rPr>
                                  <w:rFonts w:ascii="Arial MT"/>
                                  <w:spacing w:val="-2"/>
                                  <w:w w:val="85"/>
                                  <w:sz w:val="14"/>
                                </w:rPr>
                                <w:t>India</w:t>
                              </w:r>
                            </w:p>
                          </w:txbxContent>
                        </wps:txbx>
                        <wps:bodyPr wrap="square" lIns="0" tIns="0" rIns="0" bIns="0" rtlCol="0">
                          <a:noAutofit/>
                        </wps:bodyPr>
                      </wps:wsp>
                      <wps:wsp>
                        <wps:cNvPr id="1740" name="Textbox 1740"/>
                        <wps:cNvSpPr txBox="1"/>
                        <wps:spPr>
                          <a:xfrm>
                            <a:off x="507103" y="226784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741" name="Textbox 1741"/>
                        <wps:cNvSpPr txBox="1"/>
                        <wps:spPr>
                          <a:xfrm>
                            <a:off x="905871" y="2282145"/>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0.5</w:t>
                              </w:r>
                            </w:p>
                          </w:txbxContent>
                        </wps:txbx>
                        <wps:bodyPr wrap="square" lIns="0" tIns="0" rIns="0" bIns="0" rtlCol="0">
                          <a:noAutofit/>
                        </wps:bodyPr>
                      </wps:wsp>
                      <wps:wsp>
                        <wps:cNvPr id="1742" name="Textbox 1742"/>
                        <wps:cNvSpPr txBox="1"/>
                        <wps:spPr>
                          <a:xfrm>
                            <a:off x="1380228" y="228214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1</w:t>
                              </w:r>
                            </w:p>
                          </w:txbxContent>
                        </wps:txbx>
                        <wps:bodyPr wrap="square" lIns="0" tIns="0" rIns="0" bIns="0" rtlCol="0">
                          <a:noAutofit/>
                        </wps:bodyPr>
                      </wps:wsp>
                      <wps:wsp>
                        <wps:cNvPr id="1743" name="Textbox 1743"/>
                        <wps:cNvSpPr txBox="1"/>
                        <wps:spPr>
                          <a:xfrm>
                            <a:off x="1787971" y="2282145"/>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1.5</w:t>
                              </w:r>
                            </w:p>
                          </w:txbxContent>
                        </wps:txbx>
                        <wps:bodyPr wrap="square" lIns="0" tIns="0" rIns="0" bIns="0" rtlCol="0">
                          <a:noAutofit/>
                        </wps:bodyPr>
                      </wps:wsp>
                      <wps:wsp>
                        <wps:cNvPr id="1744" name="Textbox 1744"/>
                        <wps:cNvSpPr txBox="1"/>
                        <wps:spPr>
                          <a:xfrm>
                            <a:off x="2262878" y="228214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2</w:t>
                              </w:r>
                            </w:p>
                          </w:txbxContent>
                        </wps:txbx>
                        <wps:bodyPr wrap="square" lIns="0" tIns="0" rIns="0" bIns="0" rtlCol="0">
                          <a:noAutofit/>
                        </wps:bodyPr>
                      </wps:wsp>
                      <wps:wsp>
                        <wps:cNvPr id="1745" name="Textbox 1745"/>
                        <wps:cNvSpPr txBox="1"/>
                        <wps:spPr>
                          <a:xfrm>
                            <a:off x="2662520" y="2282145"/>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2.5</w:t>
                              </w:r>
                            </w:p>
                          </w:txbxContent>
                        </wps:txbx>
                        <wps:bodyPr wrap="square" lIns="0" tIns="0" rIns="0" bIns="0" rtlCol="0">
                          <a:noAutofit/>
                        </wps:bodyPr>
                      </wps:wsp>
                      <wps:wsp>
                        <wps:cNvPr id="1746" name="Textbox 1746"/>
                        <wps:cNvSpPr txBox="1"/>
                        <wps:spPr>
                          <a:xfrm>
                            <a:off x="3113778" y="228214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3</w:t>
                              </w:r>
                            </w:p>
                          </w:txbxContent>
                        </wps:txbx>
                        <wps:bodyPr wrap="square" lIns="0" tIns="0" rIns="0" bIns="0" rtlCol="0">
                          <a:noAutofit/>
                        </wps:bodyPr>
                      </wps:wsp>
                      <wps:wsp>
                        <wps:cNvPr id="1747" name="Textbox 1747"/>
                        <wps:cNvSpPr txBox="1"/>
                        <wps:spPr>
                          <a:xfrm>
                            <a:off x="3534221" y="2282145"/>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3.5</w:t>
                              </w:r>
                            </w:p>
                          </w:txbxContent>
                        </wps:txbx>
                        <wps:bodyPr wrap="square" lIns="0" tIns="0" rIns="0" bIns="0" rtlCol="0">
                          <a:noAutofit/>
                        </wps:bodyPr>
                      </wps:wsp>
                      <wps:wsp>
                        <wps:cNvPr id="1748" name="Textbox 1748"/>
                        <wps:cNvSpPr txBox="1"/>
                        <wps:spPr>
                          <a:xfrm>
                            <a:off x="3996428" y="2282145"/>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4</w:t>
                              </w:r>
                            </w:p>
                          </w:txbxContent>
                        </wps:txbx>
                        <wps:bodyPr wrap="square" lIns="0" tIns="0" rIns="0" bIns="0" rtlCol="0">
                          <a:noAutofit/>
                        </wps:bodyPr>
                      </wps:wsp>
                      <wps:wsp>
                        <wps:cNvPr id="1749" name="Textbox 1749"/>
                        <wps:cNvSpPr txBox="1"/>
                        <wps:spPr>
                          <a:xfrm>
                            <a:off x="4385121" y="2282145"/>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4.5</w:t>
                              </w:r>
                            </w:p>
                          </w:txbxContent>
                        </wps:txbx>
                        <wps:bodyPr wrap="square" lIns="0" tIns="0" rIns="0" bIns="0" rtlCol="0">
                          <a:noAutofit/>
                        </wps:bodyPr>
                      </wps:wsp>
                    </wpg:wgp>
                  </a:graphicData>
                </a:graphic>
              </wp:anchor>
            </w:drawing>
          </mc:Choice>
          <mc:Fallback>
            <w:pict>
              <v:group style="position:absolute;margin-left:101.999969pt;margin-top:6.502344pt;width:396.8pt;height:200.7pt;mso-position-horizontal-relative:page;mso-position-vertical-relative:paragraph;z-index:-15614976;mso-wrap-distance-left:0;mso-wrap-distance-right:0" id="docshapegroup1721" coordorigin="2040,130" coordsize="7936,4014">
                <v:shape style="position:absolute;left:2867;top:436;width:6073;height:3019" id="docshape1722" coordorigin="2868,436" coordsize="6073,3019" path="m3828,3308l2868,3308,2868,3454,3828,3454,3828,3308xm5617,2949l2868,2949,2868,3095,5617,3095,5617,2949xm5950,2590l2868,2590,2868,2736,5950,2736,5950,2590xm6164,2231l2868,2231,2868,2377,6164,2377,6164,2231xm6297,1872l2868,1872,2868,2018,6297,2018,6297,1872xm7605,1513l2868,1513,2868,1659,7605,1659,7605,1513xm7605,1154l2868,1154,2868,1300,7605,1300,7605,1154xm8566,795l2868,795,2868,941,8566,941,8566,795xm8940,436l2868,436,2868,582,8940,582,8940,436xe" filled="true" fillcolor="#2f7d41" stroked="false">
                  <v:path arrowok="t"/>
                  <v:fill type="solid"/>
                </v:shape>
                <v:shape style="position:absolute;left:2039;top:130;width:7936;height:4014" id="docshape1723" coordorigin="2040,130" coordsize="7936,4014" path="m9732,3561l9727,3561,9727,3556,2873,3556,2873,330,2868,330,2868,325,2814,325,2814,335,2863,335,2863,684,2814,684,2814,694,2863,694,2863,1043,2814,1043,2814,1053,2863,1053,2863,1402,2814,1402,2814,1412,2863,1412,2863,1761,2814,1761,2814,1771,2863,1771,2863,2120,2814,2120,2814,2130,2863,2130,2863,2479,2814,2479,2814,2489,2863,2489,2863,2838,2814,2838,2814,2848,2863,2848,2863,3197,2814,3197,2814,3207,2863,3207,2863,3556,2814,3556,2814,3566,2863,3566,2863,3614,2873,3614,2873,3566,3543,3566,3543,3614,3553,3614,3553,3566,4237,3566,4237,3614,4247,3614,4247,3566,4918,3566,4918,3614,4928,3614,4928,3566,5612,3566,5612,3614,5622,3614,5622,3566,6292,3566,6292,3614,6302,3614,6302,3566,6973,3566,6973,3614,6983,3614,6983,3566,7667,3566,7667,3614,7677,3614,7677,3566,8348,3566,8348,3614,8358,3614,8358,3566,9041,3566,9041,3614,9051,3614,9051,3566,9722,3566,9722,3614,9732,3614,9732,3561xm9976,130l9966,130,9966,134,9966,134,9966,139,9966,140,9966,4134,9966,4135,9966,4140,9966,4140,2045,4140,2045,4140,2050,4140,9966,4140,9966,4135,2050,4135,2045,4135,2045,4134,2050,4134,2050,140,2045,140,2045,139,2050,139,9966,139,9966,134,2050,134,2045,134,2045,134,9966,134,9966,130,2040,130,2040,134,2040,140,2040,4134,2040,4140,2040,4144,9976,4144,9976,4140,9971,4140,9971,4140,9976,4140,9976,4135,9971,4135,9971,4134,9976,4134,9976,140,9971,140,9971,139,9976,139,9976,134,9971,134,9971,134,9976,134,9976,130xe" filled="true" fillcolor="#000000" stroked="false">
                  <v:path arrowok="t"/>
                  <v:fill type="solid"/>
                </v:shape>
                <v:shape style="position:absolute;left:9683;top:3723;width:84;height:161" type="#_x0000_t202" id="docshape1724" filled="false" stroked="false">
                  <v:textbox inset="0,0,0,0">
                    <w:txbxContent>
                      <w:p>
                        <w:pPr>
                          <w:spacing w:line="161" w:lineRule="exact" w:before="0"/>
                          <w:ind w:left="0" w:right="0" w:firstLine="0"/>
                          <w:jc w:val="left"/>
                          <w:rPr>
                            <w:rFonts w:ascii="Arial MT"/>
                            <w:sz w:val="14"/>
                          </w:rPr>
                        </w:pPr>
                        <w:r>
                          <w:rPr>
                            <w:rFonts w:ascii="Arial MT"/>
                            <w:spacing w:val="-10"/>
                            <w:w w:val="90"/>
                            <w:sz w:val="14"/>
                          </w:rPr>
                          <w:t>5</w:t>
                        </w:r>
                      </w:p>
                    </w:txbxContent>
                  </v:textbox>
                  <w10:wrap type="none"/>
                </v:shape>
                <v:shape style="position:absolute;left:2238;top:364;width:493;height:3201" type="#_x0000_t202" id="docshape1725" filled="false" stroked="false">
                  <v:textbox inset="0,0,0,0">
                    <w:txbxContent>
                      <w:p>
                        <w:pPr>
                          <w:spacing w:line="566" w:lineRule="auto" w:before="0"/>
                          <w:ind w:left="0" w:right="18" w:firstLine="95"/>
                          <w:jc w:val="right"/>
                          <w:rPr>
                            <w:rFonts w:ascii="Arial MT"/>
                            <w:sz w:val="14"/>
                          </w:rPr>
                        </w:pPr>
                        <w:r>
                          <w:rPr>
                            <w:rFonts w:ascii="Arial MT"/>
                            <w:spacing w:val="-2"/>
                            <w:w w:val="80"/>
                            <w:sz w:val="14"/>
                          </w:rPr>
                          <w:t>Greece</w:t>
                        </w:r>
                        <w:r>
                          <w:rPr>
                            <w:rFonts w:ascii="Arial MT"/>
                            <w:spacing w:val="40"/>
                            <w:sz w:val="14"/>
                          </w:rPr>
                          <w:t> </w:t>
                        </w:r>
                        <w:r>
                          <w:rPr>
                            <w:rFonts w:ascii="Arial MT"/>
                            <w:spacing w:val="-4"/>
                            <w:w w:val="90"/>
                            <w:sz w:val="14"/>
                          </w:rPr>
                          <w:t>Italy</w:t>
                        </w:r>
                        <w:r>
                          <w:rPr>
                            <w:rFonts w:ascii="Arial MT"/>
                            <w:spacing w:val="40"/>
                            <w:sz w:val="14"/>
                          </w:rPr>
                          <w:t> </w:t>
                        </w:r>
                        <w:r>
                          <w:rPr>
                            <w:rFonts w:ascii="Arial MT"/>
                            <w:spacing w:val="-2"/>
                            <w:w w:val="90"/>
                            <w:sz w:val="14"/>
                          </w:rPr>
                          <w:t>France</w:t>
                        </w:r>
                        <w:r>
                          <w:rPr>
                            <w:rFonts w:ascii="Arial MT"/>
                            <w:spacing w:val="40"/>
                            <w:sz w:val="14"/>
                          </w:rPr>
                          <w:t> </w:t>
                        </w:r>
                        <w:r>
                          <w:rPr>
                            <w:rFonts w:ascii="Arial MT"/>
                            <w:spacing w:val="-2"/>
                            <w:w w:val="80"/>
                            <w:sz w:val="14"/>
                          </w:rPr>
                          <w:t>Germany</w:t>
                        </w:r>
                        <w:r>
                          <w:rPr>
                            <w:rFonts w:ascii="Arial MT"/>
                            <w:spacing w:val="40"/>
                            <w:sz w:val="14"/>
                          </w:rPr>
                          <w:t> </w:t>
                        </w:r>
                        <w:r>
                          <w:rPr>
                            <w:rFonts w:ascii="Arial MT"/>
                            <w:spacing w:val="-2"/>
                            <w:w w:val="85"/>
                            <w:sz w:val="14"/>
                          </w:rPr>
                          <w:t>Australia</w:t>
                        </w:r>
                      </w:p>
                      <w:p>
                        <w:pPr>
                          <w:spacing w:line="566" w:lineRule="auto" w:before="0"/>
                          <w:ind w:left="312" w:right="15" w:firstLine="0"/>
                          <w:jc w:val="left"/>
                          <w:rPr>
                            <w:rFonts w:ascii="Arial MT"/>
                            <w:sz w:val="14"/>
                          </w:rPr>
                        </w:pPr>
                        <w:r>
                          <w:rPr>
                            <w:rFonts w:ascii="Arial MT"/>
                            <w:spacing w:val="-6"/>
                            <w:w w:val="80"/>
                            <w:sz w:val="14"/>
                          </w:rPr>
                          <w:t>US</w:t>
                        </w:r>
                        <w:r>
                          <w:rPr>
                            <w:rFonts w:ascii="Arial MT"/>
                            <w:spacing w:val="40"/>
                            <w:sz w:val="14"/>
                          </w:rPr>
                          <w:t> </w:t>
                        </w:r>
                        <w:r>
                          <w:rPr>
                            <w:rFonts w:ascii="Arial MT"/>
                            <w:spacing w:val="-5"/>
                            <w:w w:val="80"/>
                            <w:sz w:val="14"/>
                          </w:rPr>
                          <w:t>UK</w:t>
                        </w:r>
                      </w:p>
                      <w:p>
                        <w:pPr>
                          <w:spacing w:before="0"/>
                          <w:ind w:left="159" w:right="0" w:firstLine="0"/>
                          <w:jc w:val="left"/>
                          <w:rPr>
                            <w:rFonts w:ascii="Arial MT"/>
                            <w:sz w:val="14"/>
                          </w:rPr>
                        </w:pPr>
                        <w:r>
                          <w:rPr>
                            <w:rFonts w:ascii="Arial MT"/>
                            <w:spacing w:val="-2"/>
                            <w:w w:val="85"/>
                            <w:sz w:val="14"/>
                          </w:rPr>
                          <w:t>Japan</w:t>
                        </w:r>
                      </w:p>
                      <w:p>
                        <w:pPr>
                          <w:spacing w:line="240" w:lineRule="auto" w:before="58"/>
                          <w:rPr>
                            <w:rFonts w:ascii="Arial MT"/>
                            <w:sz w:val="14"/>
                          </w:rPr>
                        </w:pPr>
                      </w:p>
                      <w:p>
                        <w:pPr>
                          <w:spacing w:before="0"/>
                          <w:ind w:left="223" w:right="0" w:firstLine="0"/>
                          <w:jc w:val="left"/>
                          <w:rPr>
                            <w:rFonts w:ascii="Arial MT"/>
                            <w:sz w:val="14"/>
                          </w:rPr>
                        </w:pPr>
                        <w:r>
                          <w:rPr>
                            <w:rFonts w:ascii="Arial MT"/>
                            <w:spacing w:val="-2"/>
                            <w:w w:val="85"/>
                            <w:sz w:val="14"/>
                          </w:rPr>
                          <w:t>India</w:t>
                        </w:r>
                      </w:p>
                    </w:txbxContent>
                  </v:textbox>
                  <w10:wrap type="none"/>
                </v:shape>
                <v:shape style="position:absolute;left:2838;top:3701;width:84;height:161" type="#_x0000_t202" id="docshape1726"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3466;top:3723;width:180;height:161" type="#_x0000_t202" id="docshape1727" filled="false" stroked="false">
                  <v:textbox inset="0,0,0,0">
                    <w:txbxContent>
                      <w:p>
                        <w:pPr>
                          <w:spacing w:line="161" w:lineRule="exact" w:before="0"/>
                          <w:ind w:left="0" w:right="0" w:firstLine="0"/>
                          <w:jc w:val="left"/>
                          <w:rPr>
                            <w:rFonts w:ascii="Arial MT"/>
                            <w:sz w:val="14"/>
                          </w:rPr>
                        </w:pPr>
                        <w:r>
                          <w:rPr>
                            <w:rFonts w:ascii="Arial MT"/>
                            <w:spacing w:val="-5"/>
                            <w:w w:val="90"/>
                            <w:sz w:val="14"/>
                          </w:rPr>
                          <w:t>0.5</w:t>
                        </w:r>
                      </w:p>
                    </w:txbxContent>
                  </v:textbox>
                  <w10:wrap type="none"/>
                </v:shape>
                <v:shape style="position:absolute;left:4213;top:3723;width:84;height:161" type="#_x0000_t202" id="docshape1728" filled="false" stroked="false">
                  <v:textbox inset="0,0,0,0">
                    <w:txbxContent>
                      <w:p>
                        <w:pPr>
                          <w:spacing w:line="161" w:lineRule="exact" w:before="0"/>
                          <w:ind w:left="0" w:right="0" w:firstLine="0"/>
                          <w:jc w:val="left"/>
                          <w:rPr>
                            <w:rFonts w:ascii="Arial MT"/>
                            <w:sz w:val="14"/>
                          </w:rPr>
                        </w:pPr>
                        <w:r>
                          <w:rPr>
                            <w:rFonts w:ascii="Arial MT"/>
                            <w:spacing w:val="-10"/>
                            <w:w w:val="90"/>
                            <w:sz w:val="14"/>
                          </w:rPr>
                          <w:t>1</w:t>
                        </w:r>
                      </w:p>
                    </w:txbxContent>
                  </v:textbox>
                  <w10:wrap type="none"/>
                </v:shape>
                <v:shape style="position:absolute;left:4855;top:3723;width:180;height:161" type="#_x0000_t202" id="docshape1729" filled="false" stroked="false">
                  <v:textbox inset="0,0,0,0">
                    <w:txbxContent>
                      <w:p>
                        <w:pPr>
                          <w:spacing w:line="161" w:lineRule="exact" w:before="0"/>
                          <w:ind w:left="0" w:right="0" w:firstLine="0"/>
                          <w:jc w:val="left"/>
                          <w:rPr>
                            <w:rFonts w:ascii="Arial MT"/>
                            <w:sz w:val="14"/>
                          </w:rPr>
                        </w:pPr>
                        <w:r>
                          <w:rPr>
                            <w:rFonts w:ascii="Arial MT"/>
                            <w:spacing w:val="-5"/>
                            <w:w w:val="90"/>
                            <w:sz w:val="14"/>
                          </w:rPr>
                          <w:t>1.5</w:t>
                        </w:r>
                      </w:p>
                    </w:txbxContent>
                  </v:textbox>
                  <w10:wrap type="none"/>
                </v:shape>
                <v:shape style="position:absolute;left:5603;top:3723;width:84;height:161" type="#_x0000_t202" id="docshape1730" filled="false" stroked="false">
                  <v:textbox inset="0,0,0,0">
                    <w:txbxContent>
                      <w:p>
                        <w:pPr>
                          <w:spacing w:line="161" w:lineRule="exact" w:before="0"/>
                          <w:ind w:left="0" w:right="0" w:firstLine="0"/>
                          <w:jc w:val="left"/>
                          <w:rPr>
                            <w:rFonts w:ascii="Arial MT"/>
                            <w:sz w:val="14"/>
                          </w:rPr>
                        </w:pPr>
                        <w:r>
                          <w:rPr>
                            <w:rFonts w:ascii="Arial MT"/>
                            <w:spacing w:val="-10"/>
                            <w:w w:val="90"/>
                            <w:sz w:val="14"/>
                          </w:rPr>
                          <w:t>2</w:t>
                        </w:r>
                      </w:p>
                    </w:txbxContent>
                  </v:textbox>
                  <w10:wrap type="none"/>
                </v:shape>
                <v:shape style="position:absolute;left:6232;top:3723;width:180;height:161" type="#_x0000_t202" id="docshape1731" filled="false" stroked="false">
                  <v:textbox inset="0,0,0,0">
                    <w:txbxContent>
                      <w:p>
                        <w:pPr>
                          <w:spacing w:line="161" w:lineRule="exact" w:before="0"/>
                          <w:ind w:left="0" w:right="0" w:firstLine="0"/>
                          <w:jc w:val="left"/>
                          <w:rPr>
                            <w:rFonts w:ascii="Arial MT"/>
                            <w:sz w:val="14"/>
                          </w:rPr>
                        </w:pPr>
                        <w:r>
                          <w:rPr>
                            <w:rFonts w:ascii="Arial MT"/>
                            <w:spacing w:val="-5"/>
                            <w:w w:val="90"/>
                            <w:sz w:val="14"/>
                          </w:rPr>
                          <w:t>2.5</w:t>
                        </w:r>
                      </w:p>
                    </w:txbxContent>
                  </v:textbox>
                  <w10:wrap type="none"/>
                </v:shape>
                <v:shape style="position:absolute;left:6943;top:3723;width:84;height:161" type="#_x0000_t202" id="docshape1732" filled="false" stroked="false">
                  <v:textbox inset="0,0,0,0">
                    <w:txbxContent>
                      <w:p>
                        <w:pPr>
                          <w:spacing w:line="161" w:lineRule="exact" w:before="0"/>
                          <w:ind w:left="0" w:right="0" w:firstLine="0"/>
                          <w:jc w:val="left"/>
                          <w:rPr>
                            <w:rFonts w:ascii="Arial MT"/>
                            <w:sz w:val="14"/>
                          </w:rPr>
                        </w:pPr>
                        <w:r>
                          <w:rPr>
                            <w:rFonts w:ascii="Arial MT"/>
                            <w:spacing w:val="-10"/>
                            <w:w w:val="90"/>
                            <w:sz w:val="14"/>
                          </w:rPr>
                          <w:t>3</w:t>
                        </w:r>
                      </w:p>
                    </w:txbxContent>
                  </v:textbox>
                  <w10:wrap type="none"/>
                </v:shape>
                <v:shape style="position:absolute;left:7605;top:3723;width:180;height:161" type="#_x0000_t202" id="docshape1733" filled="false" stroked="false">
                  <v:textbox inset="0,0,0,0">
                    <w:txbxContent>
                      <w:p>
                        <w:pPr>
                          <w:spacing w:line="161" w:lineRule="exact" w:before="0"/>
                          <w:ind w:left="0" w:right="0" w:firstLine="0"/>
                          <w:jc w:val="left"/>
                          <w:rPr>
                            <w:rFonts w:ascii="Arial MT"/>
                            <w:sz w:val="14"/>
                          </w:rPr>
                        </w:pPr>
                        <w:r>
                          <w:rPr>
                            <w:rFonts w:ascii="Arial MT"/>
                            <w:spacing w:val="-5"/>
                            <w:w w:val="90"/>
                            <w:sz w:val="14"/>
                          </w:rPr>
                          <w:t>3.5</w:t>
                        </w:r>
                      </w:p>
                    </w:txbxContent>
                  </v:textbox>
                  <w10:wrap type="none"/>
                </v:shape>
                <v:shape style="position:absolute;left:8333;top:3723;width:84;height:161" type="#_x0000_t202" id="docshape1734" filled="false" stroked="false">
                  <v:textbox inset="0,0,0,0">
                    <w:txbxContent>
                      <w:p>
                        <w:pPr>
                          <w:spacing w:line="161" w:lineRule="exact" w:before="0"/>
                          <w:ind w:left="0" w:right="0" w:firstLine="0"/>
                          <w:jc w:val="left"/>
                          <w:rPr>
                            <w:rFonts w:ascii="Arial MT"/>
                            <w:sz w:val="14"/>
                          </w:rPr>
                        </w:pPr>
                        <w:r>
                          <w:rPr>
                            <w:rFonts w:ascii="Arial MT"/>
                            <w:spacing w:val="-10"/>
                            <w:w w:val="90"/>
                            <w:sz w:val="14"/>
                          </w:rPr>
                          <w:t>4</w:t>
                        </w:r>
                      </w:p>
                    </w:txbxContent>
                  </v:textbox>
                  <w10:wrap type="none"/>
                </v:shape>
                <v:shape style="position:absolute;left:8945;top:3723;width:180;height:161" type="#_x0000_t202" id="docshape1735" filled="false" stroked="false">
                  <v:textbox inset="0,0,0,0">
                    <w:txbxContent>
                      <w:p>
                        <w:pPr>
                          <w:spacing w:line="161" w:lineRule="exact" w:before="0"/>
                          <w:ind w:left="0" w:right="0" w:firstLine="0"/>
                          <w:jc w:val="left"/>
                          <w:rPr>
                            <w:rFonts w:ascii="Arial MT"/>
                            <w:sz w:val="14"/>
                          </w:rPr>
                        </w:pPr>
                        <w:r>
                          <w:rPr>
                            <w:rFonts w:ascii="Arial MT"/>
                            <w:spacing w:val="-5"/>
                            <w:w w:val="90"/>
                            <w:sz w:val="14"/>
                          </w:rPr>
                          <w:t>4.5</w:t>
                        </w:r>
                      </w:p>
                    </w:txbxContent>
                  </v:textbox>
                  <w10:wrap type="none"/>
                </v:shape>
                <w10:wrap type="topAndBottom"/>
              </v:group>
            </w:pict>
          </mc:Fallback>
        </mc:AlternateContent>
      </w:r>
    </w:p>
    <w:p>
      <w:pPr>
        <w:spacing w:before="48"/>
        <w:ind w:left="2029" w:right="0" w:firstLine="0"/>
        <w:jc w:val="left"/>
        <w:rPr>
          <w:sz w:val="16"/>
        </w:rPr>
      </w:pPr>
      <w:r>
        <w:rPr>
          <w:i/>
          <w:spacing w:val="-6"/>
          <w:sz w:val="16"/>
        </w:rPr>
        <w:t>Source:</w:t>
      </w:r>
      <w:r>
        <w:rPr>
          <w:i/>
          <w:spacing w:val="2"/>
          <w:sz w:val="16"/>
        </w:rPr>
        <w:t> </w:t>
      </w:r>
      <w:r>
        <w:rPr>
          <w:spacing w:val="-6"/>
          <w:sz w:val="16"/>
        </w:rPr>
        <w:t>Journal</w:t>
      </w:r>
      <w:r>
        <w:rPr>
          <w:spacing w:val="3"/>
          <w:sz w:val="16"/>
        </w:rPr>
        <w:t> </w:t>
      </w:r>
      <w:r>
        <w:rPr>
          <w:spacing w:val="-6"/>
          <w:sz w:val="16"/>
        </w:rPr>
        <w:t>of</w:t>
      </w:r>
      <w:r>
        <w:rPr>
          <w:spacing w:val="2"/>
          <w:sz w:val="16"/>
        </w:rPr>
        <w:t> </w:t>
      </w:r>
      <w:r>
        <w:rPr>
          <w:spacing w:val="-6"/>
          <w:sz w:val="16"/>
        </w:rPr>
        <w:t>Royal</w:t>
      </w:r>
      <w:r>
        <w:rPr>
          <w:spacing w:val="3"/>
          <w:sz w:val="16"/>
        </w:rPr>
        <w:t> </w:t>
      </w:r>
      <w:r>
        <w:rPr>
          <w:spacing w:val="-6"/>
          <w:sz w:val="16"/>
        </w:rPr>
        <w:t>Society</w:t>
      </w:r>
      <w:r>
        <w:rPr>
          <w:spacing w:val="2"/>
          <w:sz w:val="16"/>
        </w:rPr>
        <w:t> </w:t>
      </w:r>
      <w:r>
        <w:rPr>
          <w:spacing w:val="-6"/>
          <w:sz w:val="16"/>
        </w:rPr>
        <w:t>of</w:t>
      </w:r>
      <w:r>
        <w:rPr>
          <w:spacing w:val="3"/>
          <w:sz w:val="16"/>
        </w:rPr>
        <w:t> </w:t>
      </w:r>
      <w:r>
        <w:rPr>
          <w:spacing w:val="-6"/>
          <w:sz w:val="16"/>
        </w:rPr>
        <w:t>Medicine</w:t>
      </w:r>
      <w:r>
        <w:rPr>
          <w:spacing w:val="-1"/>
          <w:sz w:val="16"/>
        </w:rPr>
        <w:t> </w:t>
      </w:r>
      <w:r>
        <w:rPr>
          <w:spacing w:val="-6"/>
          <w:sz w:val="16"/>
        </w:rPr>
        <w:t>Vol.</w:t>
      </w:r>
      <w:r>
        <w:rPr>
          <w:spacing w:val="3"/>
          <w:sz w:val="16"/>
        </w:rPr>
        <w:t> </w:t>
      </w:r>
      <w:r>
        <w:rPr>
          <w:spacing w:val="-6"/>
          <w:sz w:val="16"/>
        </w:rPr>
        <w:t>99,</w:t>
      </w:r>
      <w:r>
        <w:rPr>
          <w:spacing w:val="2"/>
          <w:sz w:val="16"/>
        </w:rPr>
        <w:t> </w:t>
      </w:r>
      <w:r>
        <w:rPr>
          <w:spacing w:val="-6"/>
          <w:sz w:val="16"/>
        </w:rPr>
        <w:t>June</w:t>
      </w:r>
      <w:r>
        <w:rPr>
          <w:spacing w:val="3"/>
          <w:sz w:val="16"/>
        </w:rPr>
        <w:t> </w:t>
      </w:r>
      <w:r>
        <w:rPr>
          <w:spacing w:val="-6"/>
          <w:sz w:val="16"/>
        </w:rPr>
        <w:t>2006</w:t>
      </w:r>
    </w:p>
    <w:p>
      <w:pPr>
        <w:spacing w:after="0"/>
        <w:jc w:val="left"/>
        <w:rPr>
          <w:sz w:val="16"/>
        </w:rPr>
        <w:sectPr>
          <w:type w:val="continuous"/>
          <w:pgSz w:w="11910" w:h="16840"/>
          <w:pgMar w:header="0" w:footer="675"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9"/>
        <w:rPr>
          <w:sz w:val="20"/>
        </w:rPr>
      </w:pPr>
    </w:p>
    <w:p>
      <w:pPr>
        <w:spacing w:after="0"/>
        <w:rPr>
          <w:sz w:val="20"/>
        </w:rPr>
        <w:sectPr>
          <w:pgSz w:w="11910" w:h="16840"/>
          <w:pgMar w:header="0" w:footer="675" w:top="0" w:bottom="860" w:left="0" w:right="0"/>
        </w:sectPr>
      </w:pPr>
    </w:p>
    <w:p>
      <w:pPr>
        <w:pStyle w:val="Heading6"/>
        <w:spacing w:before="79"/>
        <w:ind w:left="1080" w:firstLine="0"/>
      </w:pPr>
      <w:r>
        <w:rPr/>
        <mc:AlternateContent>
          <mc:Choice Requires="wps">
            <w:drawing>
              <wp:anchor distT="0" distB="0" distL="0" distR="0" allowOverlap="1" layoutInCell="1" locked="0" behindDoc="0" simplePos="0" relativeHeight="15843840">
                <wp:simplePos x="0" y="0"/>
                <wp:positionH relativeFrom="page">
                  <wp:posOffset>0</wp:posOffset>
                </wp:positionH>
                <wp:positionV relativeFrom="paragraph">
                  <wp:posOffset>-2302793</wp:posOffset>
                </wp:positionV>
                <wp:extent cx="7560309" cy="1752600"/>
                <wp:effectExtent l="0" t="0" r="0" b="0"/>
                <wp:wrapNone/>
                <wp:docPr id="1750" name="Group 1750"/>
                <wp:cNvGraphicFramePr>
                  <a:graphicFrameLocks/>
                </wp:cNvGraphicFramePr>
                <a:graphic>
                  <a:graphicData uri="http://schemas.microsoft.com/office/word/2010/wordprocessingGroup">
                    <wpg:wgp>
                      <wpg:cNvPr id="1750" name="Group 1750"/>
                      <wpg:cNvGrpSpPr/>
                      <wpg:grpSpPr>
                        <a:xfrm>
                          <a:off x="0" y="0"/>
                          <a:ext cx="7560309" cy="1752600"/>
                          <a:chExt cx="7560309" cy="1752600"/>
                        </a:xfrm>
                      </wpg:grpSpPr>
                      <pic:pic>
                        <pic:nvPicPr>
                          <pic:cNvPr id="1751" name="Image 1751"/>
                          <pic:cNvPicPr/>
                        </pic:nvPicPr>
                        <pic:blipFill>
                          <a:blip r:embed="rId612" cstate="print"/>
                          <a:stretch>
                            <a:fillRect/>
                          </a:stretch>
                        </pic:blipFill>
                        <pic:spPr>
                          <a:xfrm>
                            <a:off x="0" y="0"/>
                            <a:ext cx="7559999" cy="1752562"/>
                          </a:xfrm>
                          <a:prstGeom prst="rect">
                            <a:avLst/>
                          </a:prstGeom>
                        </pic:spPr>
                      </pic:pic>
                      <wps:wsp>
                        <wps:cNvPr id="1752" name="Textbox 1752"/>
                        <wps:cNvSpPr txBox="1"/>
                        <wps:spPr>
                          <a:xfrm>
                            <a:off x="0" y="0"/>
                            <a:ext cx="7560309" cy="1752600"/>
                          </a:xfrm>
                          <a:prstGeom prst="rect">
                            <a:avLst/>
                          </a:prstGeom>
                        </wps:spPr>
                        <wps:txbx>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Management</w:t>
                              </w:r>
                              <w:r>
                                <w:rPr>
                                  <w:rFonts w:ascii="Trebuchet MS"/>
                                  <w:b/>
                                  <w:color w:val="FFFFFF"/>
                                  <w:spacing w:val="-7"/>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0pt;margin-top:-181.322311pt;width:595.3pt;height:138pt;mso-position-horizontal-relative:page;mso-position-vertical-relative:paragraph;z-index:15843840" id="docshapegroup1736" coordorigin="0,-3626" coordsize="11906,2760">
                <v:shape style="position:absolute;left:0;top:-3627;width:11906;height:2760" type="#_x0000_t75" id="docshape1737" stroked="false">
                  <v:imagedata r:id="rId612" o:title=""/>
                </v:shape>
                <v:shape style="position:absolute;left:0;top:-3627;width:11906;height:2760" type="#_x0000_t202" id="docshape1738" filled="false" stroked="false">
                  <v:textbox inset="0,0,0,0">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Management</w:t>
                        </w:r>
                        <w:r>
                          <w:rPr>
                            <w:rFonts w:ascii="Trebuchet MS"/>
                            <w:b/>
                            <w:color w:val="FFFFFF"/>
                            <w:spacing w:val="-7"/>
                            <w:sz w:val="68"/>
                          </w:rPr>
                          <w:t> </w:t>
                        </w:r>
                        <w:r>
                          <w:rPr>
                            <w:rFonts w:ascii="Trebuchet MS"/>
                            <w:b/>
                            <w:color w:val="FFFFFF"/>
                            <w:spacing w:val="-2"/>
                            <w:sz w:val="68"/>
                          </w:rPr>
                          <w:t>Education</w:t>
                        </w:r>
                      </w:p>
                    </w:txbxContent>
                  </v:textbox>
                  <w10:wrap type="none"/>
                </v:shape>
                <w10:wrap type="none"/>
              </v:group>
            </w:pict>
          </mc:Fallback>
        </mc:AlternateContent>
      </w:r>
      <w:r>
        <w:rPr>
          <w:color w:val="2E614A"/>
          <w:spacing w:val="-2"/>
        </w:rPr>
        <w:t>Introduction</w:t>
      </w:r>
    </w:p>
    <w:p>
      <w:pPr>
        <w:pStyle w:val="BodyText"/>
        <w:spacing w:line="266" w:lineRule="auto" w:before="285"/>
        <w:ind w:left="1461"/>
        <w:jc w:val="both"/>
      </w:pPr>
      <w:r>
        <w:rPr/>
        <mc:AlternateContent>
          <mc:Choice Requires="wps">
            <w:drawing>
              <wp:anchor distT="0" distB="0" distL="0" distR="0" allowOverlap="1" layoutInCell="1" locked="0" behindDoc="1" simplePos="0" relativeHeight="479420928">
                <wp:simplePos x="0" y="0"/>
                <wp:positionH relativeFrom="page">
                  <wp:posOffset>685800</wp:posOffset>
                </wp:positionH>
                <wp:positionV relativeFrom="paragraph">
                  <wp:posOffset>92037</wp:posOffset>
                </wp:positionV>
                <wp:extent cx="228600" cy="757555"/>
                <wp:effectExtent l="0" t="0" r="0" b="0"/>
                <wp:wrapNone/>
                <wp:docPr id="1753" name="Textbox 1753"/>
                <wp:cNvGraphicFramePr>
                  <a:graphicFrameLocks/>
                </wp:cNvGraphicFramePr>
                <a:graphic>
                  <a:graphicData uri="http://schemas.microsoft.com/office/word/2010/wordprocessingShape">
                    <wps:wsp>
                      <wps:cNvPr id="1753" name="Textbox 1753"/>
                      <wps:cNvSpPr txBox="1"/>
                      <wps:spPr>
                        <a:xfrm>
                          <a:off x="0" y="0"/>
                          <a:ext cx="228600" cy="757555"/>
                        </a:xfrm>
                        <a:prstGeom prst="rect">
                          <a:avLst/>
                        </a:prstGeom>
                      </wps:spPr>
                      <wps:txbx>
                        <w:txbxContent>
                          <w:p>
                            <w:pPr>
                              <w:spacing w:line="1135" w:lineRule="exact" w:before="0"/>
                              <w:ind w:left="0" w:right="0" w:firstLine="0"/>
                              <w:jc w:val="left"/>
                              <w:rPr>
                                <w:sz w:val="106"/>
                              </w:rPr>
                            </w:pPr>
                            <w:r>
                              <w:rPr>
                                <w:color w:val="9CBF3B"/>
                                <w:spacing w:val="-10"/>
                                <w:sz w:val="106"/>
                              </w:rPr>
                              <w:t>I</w:t>
                            </w:r>
                          </w:p>
                        </w:txbxContent>
                      </wps:txbx>
                      <wps:bodyPr wrap="square" lIns="0" tIns="0" rIns="0" bIns="0" rtlCol="0">
                        <a:noAutofit/>
                      </wps:bodyPr>
                    </wps:wsp>
                  </a:graphicData>
                </a:graphic>
              </wp:anchor>
            </w:drawing>
          </mc:Choice>
          <mc:Fallback>
            <w:pict>
              <v:shape style="position:absolute;margin-left:54pt;margin-top:7.247053pt;width:18pt;height:59.65pt;mso-position-horizontal-relative:page;mso-position-vertical-relative:paragraph;z-index:-23895552" type="#_x0000_t202" id="docshape1739" filled="false" stroked="false">
                <v:textbox inset="0,0,0,0">
                  <w:txbxContent>
                    <w:p>
                      <w:pPr>
                        <w:spacing w:line="1135" w:lineRule="exact" w:before="0"/>
                        <w:ind w:left="0" w:right="0" w:firstLine="0"/>
                        <w:jc w:val="left"/>
                        <w:rPr>
                          <w:sz w:val="106"/>
                        </w:rPr>
                      </w:pPr>
                      <w:r>
                        <w:rPr>
                          <w:color w:val="9CBF3B"/>
                          <w:spacing w:val="-10"/>
                          <w:sz w:val="106"/>
                        </w:rPr>
                        <w:t>I</w:t>
                      </w:r>
                    </w:p>
                  </w:txbxContent>
                </v:textbox>
                <w10:wrap type="none"/>
              </v:shape>
            </w:pict>
          </mc:Fallback>
        </mc:AlternateContent>
      </w:r>
      <w:r>
        <w:rPr/>
        <w:t>n recent years there has been an unprecedented number</w:t>
      </w:r>
      <w:r>
        <w:rPr>
          <w:spacing w:val="-14"/>
        </w:rPr>
        <w:t> </w:t>
      </w:r>
      <w:r>
        <w:rPr/>
        <w:t>of</w:t>
      </w:r>
      <w:r>
        <w:rPr>
          <w:spacing w:val="-14"/>
        </w:rPr>
        <w:t> </w:t>
      </w:r>
      <w:r>
        <w:rPr/>
        <w:t>technical</w:t>
      </w:r>
      <w:r>
        <w:rPr>
          <w:spacing w:val="-14"/>
        </w:rPr>
        <w:t> </w:t>
      </w:r>
      <w:r>
        <w:rPr/>
        <w:t>and</w:t>
      </w:r>
      <w:r>
        <w:rPr>
          <w:spacing w:val="-13"/>
        </w:rPr>
        <w:t> </w:t>
      </w:r>
      <w:r>
        <w:rPr/>
        <w:t>management</w:t>
      </w:r>
      <w:r>
        <w:rPr>
          <w:spacing w:val="-14"/>
        </w:rPr>
        <w:t> </w:t>
      </w:r>
      <w:r>
        <w:rPr/>
        <w:t>institutions being</w:t>
      </w:r>
      <w:r>
        <w:rPr>
          <w:spacing w:val="23"/>
        </w:rPr>
        <w:t> </w:t>
      </w:r>
      <w:r>
        <w:rPr/>
        <w:t>set</w:t>
      </w:r>
      <w:r>
        <w:rPr>
          <w:spacing w:val="24"/>
        </w:rPr>
        <w:t> </w:t>
      </w:r>
      <w:r>
        <w:rPr/>
        <w:t>up,</w:t>
      </w:r>
      <w:r>
        <w:rPr>
          <w:spacing w:val="23"/>
        </w:rPr>
        <w:t> </w:t>
      </w:r>
      <w:r>
        <w:rPr/>
        <w:t>mostly</w:t>
      </w:r>
      <w:r>
        <w:rPr>
          <w:spacing w:val="24"/>
        </w:rPr>
        <w:t> </w:t>
      </w:r>
      <w:r>
        <w:rPr/>
        <w:t>through</w:t>
      </w:r>
      <w:r>
        <w:rPr>
          <w:spacing w:val="24"/>
        </w:rPr>
        <w:t> </w:t>
      </w:r>
      <w:r>
        <w:rPr/>
        <w:t>private</w:t>
      </w:r>
      <w:r>
        <w:rPr>
          <w:spacing w:val="23"/>
        </w:rPr>
        <w:t> </w:t>
      </w:r>
      <w:r>
        <w:rPr/>
        <w:t>capital.</w:t>
      </w:r>
      <w:r>
        <w:rPr>
          <w:spacing w:val="24"/>
        </w:rPr>
        <w:t> </w:t>
      </w:r>
      <w:r>
        <w:rPr>
          <w:spacing w:val="-5"/>
        </w:rPr>
        <w:t>In</w:t>
      </w:r>
    </w:p>
    <w:p>
      <w:pPr>
        <w:pStyle w:val="BodyText"/>
        <w:spacing w:line="266" w:lineRule="auto"/>
        <w:ind w:left="1080"/>
        <w:jc w:val="both"/>
      </w:pPr>
      <w:r>
        <w:rPr/>
        <w:t>the field of management education, India has around 1200</w:t>
      </w:r>
      <w:r>
        <w:rPr>
          <w:spacing w:val="40"/>
        </w:rPr>
        <w:t> </w:t>
      </w:r>
      <w:r>
        <w:rPr/>
        <w:t>institutions</w:t>
      </w:r>
      <w:r>
        <w:rPr>
          <w:spacing w:val="40"/>
        </w:rPr>
        <w:t> </w:t>
      </w:r>
      <w:r>
        <w:rPr/>
        <w:t>providing</w:t>
      </w:r>
      <w:r>
        <w:rPr>
          <w:spacing w:val="40"/>
        </w:rPr>
        <w:t> </w:t>
      </w:r>
      <w:r>
        <w:rPr/>
        <w:t>undergraduate</w:t>
      </w:r>
      <w:r>
        <w:rPr>
          <w:spacing w:val="40"/>
        </w:rPr>
        <w:t> </w:t>
      </w:r>
      <w:r>
        <w:rPr/>
        <w:t>and</w:t>
      </w:r>
      <w:r>
        <w:rPr>
          <w:spacing w:val="40"/>
        </w:rPr>
        <w:t> </w:t>
      </w:r>
      <w:r>
        <w:rPr/>
        <w:t>post-graduate level courses. Since the management graduates and post-graduates produced by these institutions</w:t>
      </w:r>
      <w:r>
        <w:rPr>
          <w:spacing w:val="40"/>
        </w:rPr>
        <w:t> </w:t>
      </w:r>
      <w:r>
        <w:rPr/>
        <w:t>are</w:t>
      </w:r>
      <w:r>
        <w:rPr>
          <w:spacing w:val="40"/>
        </w:rPr>
        <w:t> </w:t>
      </w:r>
      <w:r>
        <w:rPr/>
        <w:t>primarily</w:t>
      </w:r>
      <w:r>
        <w:rPr>
          <w:spacing w:val="40"/>
        </w:rPr>
        <w:t> </w:t>
      </w:r>
      <w:r>
        <w:rPr/>
        <w:t>absorbed</w:t>
      </w:r>
      <w:r>
        <w:rPr>
          <w:spacing w:val="40"/>
        </w:rPr>
        <w:t> </w:t>
      </w:r>
      <w:r>
        <w:rPr/>
        <w:t>by</w:t>
      </w:r>
      <w:r>
        <w:rPr>
          <w:spacing w:val="40"/>
        </w:rPr>
        <w:t> </w:t>
      </w:r>
      <w:r>
        <w:rPr/>
        <w:t>industry, there is a growing need to match the curriculum and structure of management education to better fit the needs of India and to the changes in the industrial and</w:t>
      </w:r>
      <w:r>
        <w:rPr>
          <w:spacing w:val="34"/>
        </w:rPr>
        <w:t> </w:t>
      </w:r>
      <w:r>
        <w:rPr/>
        <w:t>services</w:t>
      </w:r>
      <w:r>
        <w:rPr>
          <w:spacing w:val="34"/>
        </w:rPr>
        <w:t> </w:t>
      </w:r>
      <w:r>
        <w:rPr/>
        <w:t>sectors</w:t>
      </w:r>
      <w:r>
        <w:rPr>
          <w:spacing w:val="34"/>
        </w:rPr>
        <w:t> </w:t>
      </w:r>
      <w:r>
        <w:rPr/>
        <w:t>within</w:t>
      </w:r>
      <w:r>
        <w:rPr>
          <w:spacing w:val="34"/>
        </w:rPr>
        <w:t> </w:t>
      </w:r>
      <w:r>
        <w:rPr/>
        <w:t>the</w:t>
      </w:r>
      <w:r>
        <w:rPr>
          <w:spacing w:val="34"/>
        </w:rPr>
        <w:t> </w:t>
      </w:r>
      <w:r>
        <w:rPr/>
        <w:t>country.</w:t>
      </w:r>
      <w:r>
        <w:rPr>
          <w:spacing w:val="34"/>
        </w:rPr>
        <w:t> </w:t>
      </w:r>
      <w:r>
        <w:rPr/>
        <w:t>Moreover, it is important to properly assess the quality of management education imparted to the students of various institutions.</w:t>
      </w:r>
    </w:p>
    <w:p>
      <w:pPr>
        <w:pStyle w:val="Heading6"/>
        <w:spacing w:before="175"/>
        <w:ind w:left="1080" w:firstLine="0"/>
      </w:pPr>
      <w:r>
        <w:rPr>
          <w:color w:val="2E614A"/>
          <w:w w:val="90"/>
        </w:rPr>
        <w:t>Current</w:t>
      </w:r>
      <w:r>
        <w:rPr>
          <w:color w:val="2E614A"/>
          <w:spacing w:val="-1"/>
          <w:w w:val="90"/>
        </w:rPr>
        <w:t> </w:t>
      </w:r>
      <w:r>
        <w:rPr>
          <w:color w:val="2E614A"/>
          <w:spacing w:val="-2"/>
        </w:rPr>
        <w:t>Scenario</w:t>
      </w:r>
    </w:p>
    <w:p>
      <w:pPr>
        <w:pStyle w:val="BodyText"/>
        <w:spacing w:line="266" w:lineRule="auto" w:before="285"/>
        <w:ind w:left="1080"/>
        <w:jc w:val="both"/>
      </w:pPr>
      <w:r>
        <w:rPr>
          <w:spacing w:val="-6"/>
        </w:rPr>
        <w:t>As in 2006-07, there were over 1100 business schools in </w:t>
      </w:r>
      <w:r>
        <w:rPr>
          <w:spacing w:val="-4"/>
        </w:rPr>
        <w:t>the</w:t>
      </w:r>
      <w:r>
        <w:rPr>
          <w:spacing w:val="-5"/>
        </w:rPr>
        <w:t> </w:t>
      </w:r>
      <w:r>
        <w:rPr>
          <w:spacing w:val="-4"/>
        </w:rPr>
        <w:t>country. Of these, 5 were private aided institutions,</w:t>
      </w:r>
    </w:p>
    <w:p>
      <w:pPr>
        <w:pStyle w:val="BodyText"/>
        <w:spacing w:line="266" w:lineRule="auto" w:before="170"/>
        <w:ind w:left="319" w:right="1078"/>
        <w:jc w:val="both"/>
      </w:pPr>
      <w:r>
        <w:rPr/>
        <w:br w:type="column"/>
      </w:r>
      <w:r>
        <w:rPr/>
        <w:t>903 were private unaided and 149 were government </w:t>
      </w:r>
      <w:r>
        <w:rPr>
          <w:spacing w:val="-2"/>
        </w:rPr>
        <w:t>institutions.</w:t>
      </w:r>
    </w:p>
    <w:p>
      <w:pPr>
        <w:pStyle w:val="BodyText"/>
        <w:spacing w:before="25"/>
      </w:pPr>
    </w:p>
    <w:p>
      <w:pPr>
        <w:pStyle w:val="BodyText"/>
        <w:spacing w:line="266" w:lineRule="auto"/>
        <w:ind w:left="319" w:right="1077"/>
        <w:jc w:val="both"/>
      </w:pPr>
      <w:r>
        <w:rPr/>
        <w:t>In the last decade, the country has witnessed </w:t>
      </w:r>
      <w:r>
        <w:rPr/>
        <w:t>a phenomenal growth in enrolment in management </w:t>
      </w:r>
      <w:r>
        <w:rPr>
          <w:spacing w:val="-2"/>
        </w:rPr>
        <w:t>education.</w:t>
      </w:r>
      <w:r>
        <w:rPr>
          <w:spacing w:val="-12"/>
        </w:rPr>
        <w:t> </w:t>
      </w:r>
      <w:r>
        <w:rPr>
          <w:spacing w:val="-2"/>
        </w:rPr>
        <w:t>The</w:t>
      </w:r>
      <w:r>
        <w:rPr>
          <w:spacing w:val="-12"/>
        </w:rPr>
        <w:t> </w:t>
      </w:r>
      <w:r>
        <w:rPr>
          <w:spacing w:val="-2"/>
        </w:rPr>
        <w:t>current</w:t>
      </w:r>
      <w:r>
        <w:rPr>
          <w:spacing w:val="-12"/>
        </w:rPr>
        <w:t> </w:t>
      </w:r>
      <w:r>
        <w:rPr>
          <w:spacing w:val="-2"/>
        </w:rPr>
        <w:t>intake</w:t>
      </w:r>
      <w:r>
        <w:rPr>
          <w:spacing w:val="-11"/>
        </w:rPr>
        <w:t> </w:t>
      </w:r>
      <w:r>
        <w:rPr>
          <w:spacing w:val="-2"/>
        </w:rPr>
        <w:t>stands</w:t>
      </w:r>
      <w:r>
        <w:rPr>
          <w:spacing w:val="-12"/>
        </w:rPr>
        <w:t> </w:t>
      </w:r>
      <w:r>
        <w:rPr>
          <w:spacing w:val="-2"/>
        </w:rPr>
        <w:t>at</w:t>
      </w:r>
      <w:r>
        <w:rPr>
          <w:spacing w:val="-12"/>
        </w:rPr>
        <w:t> </w:t>
      </w:r>
      <w:r>
        <w:rPr>
          <w:spacing w:val="-2"/>
        </w:rPr>
        <w:t>roughly</w:t>
      </w:r>
      <w:r>
        <w:rPr>
          <w:spacing w:val="-12"/>
        </w:rPr>
        <w:t> </w:t>
      </w:r>
      <w:r>
        <w:rPr>
          <w:spacing w:val="-2"/>
        </w:rPr>
        <w:t>92,000, </w:t>
      </w:r>
      <w:r>
        <w:rPr/>
        <w:t>with the majority of the students enrolled in private management colleges.</w:t>
      </w:r>
    </w:p>
    <w:p>
      <w:pPr>
        <w:pStyle w:val="BodyText"/>
        <w:spacing w:before="23"/>
      </w:pPr>
    </w:p>
    <w:p>
      <w:pPr>
        <w:pStyle w:val="BodyText"/>
        <w:spacing w:line="266" w:lineRule="auto"/>
        <w:ind w:left="319" w:right="1077"/>
        <w:jc w:val="both"/>
      </w:pPr>
      <w:r>
        <w:rPr/>
        <w:t>The distribution of management institutions shows a regional imbalance, with 86 per cent of the colleges concentrated in north and south India.</w:t>
      </w:r>
      <w:r>
        <w:rPr>
          <w:spacing w:val="-4"/>
        </w:rPr>
        <w:t> </w:t>
      </w:r>
      <w:r>
        <w:rPr/>
        <w:t>There appears to be a correlation between the number of schools in a state and its economic and industrial development. The regional imbalances in development and the creation</w:t>
      </w:r>
      <w:r>
        <w:rPr>
          <w:spacing w:val="-4"/>
        </w:rPr>
        <w:t> </w:t>
      </w:r>
      <w:r>
        <w:rPr/>
        <w:t>of</w:t>
      </w:r>
      <w:r>
        <w:rPr>
          <w:spacing w:val="-4"/>
        </w:rPr>
        <w:t> </w:t>
      </w:r>
      <w:r>
        <w:rPr/>
        <w:t>capacity</w:t>
      </w:r>
      <w:r>
        <w:rPr>
          <w:spacing w:val="-4"/>
        </w:rPr>
        <w:t> </w:t>
      </w:r>
      <w:r>
        <w:rPr/>
        <w:t>for</w:t>
      </w:r>
      <w:r>
        <w:rPr>
          <w:spacing w:val="-4"/>
        </w:rPr>
        <w:t> </w:t>
      </w:r>
      <w:r>
        <w:rPr/>
        <w:t>management</w:t>
      </w:r>
      <w:r>
        <w:rPr>
          <w:spacing w:val="-4"/>
        </w:rPr>
        <w:t> </w:t>
      </w:r>
      <w:r>
        <w:rPr/>
        <w:t>education</w:t>
      </w:r>
      <w:r>
        <w:rPr>
          <w:spacing w:val="-4"/>
        </w:rPr>
        <w:t> </w:t>
      </w:r>
      <w:r>
        <w:rPr/>
        <w:t>in</w:t>
      </w:r>
      <w:r>
        <w:rPr>
          <w:spacing w:val="-4"/>
        </w:rPr>
        <w:t> </w:t>
      </w:r>
      <w:r>
        <w:rPr/>
        <w:t>the state are probably related.</w:t>
      </w:r>
    </w:p>
    <w:p>
      <w:pPr>
        <w:pStyle w:val="BodyText"/>
        <w:spacing w:before="21"/>
      </w:pPr>
    </w:p>
    <w:p>
      <w:pPr>
        <w:pStyle w:val="BodyText"/>
        <w:spacing w:line="266" w:lineRule="auto"/>
        <w:ind w:left="319" w:right="1077"/>
        <w:jc w:val="both"/>
      </w:pPr>
      <w:r>
        <w:rPr/>
        <w:t>A</w:t>
      </w:r>
      <w:r>
        <w:rPr>
          <w:spacing w:val="-14"/>
        </w:rPr>
        <w:t> </w:t>
      </w:r>
      <w:r>
        <w:rPr/>
        <w:t>large</w:t>
      </w:r>
      <w:r>
        <w:rPr>
          <w:spacing w:val="-14"/>
        </w:rPr>
        <w:t> </w:t>
      </w:r>
      <w:r>
        <w:rPr/>
        <w:t>proportion</w:t>
      </w:r>
      <w:r>
        <w:rPr>
          <w:spacing w:val="-14"/>
        </w:rPr>
        <w:t> </w:t>
      </w:r>
      <w:r>
        <w:rPr/>
        <w:t>of</w:t>
      </w:r>
      <w:r>
        <w:rPr>
          <w:spacing w:val="-13"/>
        </w:rPr>
        <w:t> </w:t>
      </w:r>
      <w:r>
        <w:rPr/>
        <w:t>the</w:t>
      </w:r>
      <w:r>
        <w:rPr>
          <w:spacing w:val="-14"/>
        </w:rPr>
        <w:t> </w:t>
      </w:r>
      <w:r>
        <w:rPr/>
        <w:t>capacity</w:t>
      </w:r>
      <w:r>
        <w:rPr>
          <w:spacing w:val="-14"/>
        </w:rPr>
        <w:t> </w:t>
      </w:r>
      <w:r>
        <w:rPr/>
        <w:t>is</w:t>
      </w:r>
      <w:r>
        <w:rPr>
          <w:spacing w:val="-14"/>
        </w:rPr>
        <w:t> </w:t>
      </w:r>
      <w:r>
        <w:rPr/>
        <w:t>filled</w:t>
      </w:r>
      <w:r>
        <w:rPr>
          <w:spacing w:val="-13"/>
        </w:rPr>
        <w:t> </w:t>
      </w:r>
      <w:r>
        <w:rPr/>
        <w:t>through</w:t>
      </w:r>
      <w:r>
        <w:rPr>
          <w:spacing w:val="-14"/>
        </w:rPr>
        <w:t> </w:t>
      </w:r>
      <w:r>
        <w:rPr/>
        <w:t>all- </w:t>
      </w:r>
      <w:r>
        <w:rPr>
          <w:spacing w:val="-2"/>
        </w:rPr>
        <w:t>India</w:t>
      </w:r>
      <w:r>
        <w:rPr>
          <w:spacing w:val="-10"/>
        </w:rPr>
        <w:t> </w:t>
      </w:r>
      <w:r>
        <w:rPr>
          <w:spacing w:val="-2"/>
        </w:rPr>
        <w:t>examinations</w:t>
      </w:r>
      <w:r>
        <w:rPr>
          <w:spacing w:val="-10"/>
        </w:rPr>
        <w:t> </w:t>
      </w:r>
      <w:r>
        <w:rPr>
          <w:spacing w:val="-2"/>
        </w:rPr>
        <w:t>conducted</w:t>
      </w:r>
      <w:r>
        <w:rPr>
          <w:spacing w:val="-10"/>
        </w:rPr>
        <w:t> </w:t>
      </w:r>
      <w:r>
        <w:rPr>
          <w:spacing w:val="-2"/>
        </w:rPr>
        <w:t>at</w:t>
      </w:r>
      <w:r>
        <w:rPr>
          <w:spacing w:val="-10"/>
        </w:rPr>
        <w:t> </w:t>
      </w:r>
      <w:r>
        <w:rPr>
          <w:spacing w:val="-2"/>
        </w:rPr>
        <w:t>a</w:t>
      </w:r>
      <w:r>
        <w:rPr>
          <w:spacing w:val="-10"/>
        </w:rPr>
        <w:t> </w:t>
      </w:r>
      <w:r>
        <w:rPr>
          <w:spacing w:val="-2"/>
        </w:rPr>
        <w:t>number</w:t>
      </w:r>
      <w:r>
        <w:rPr>
          <w:spacing w:val="-10"/>
        </w:rPr>
        <w:t> </w:t>
      </w:r>
      <w:r>
        <w:rPr>
          <w:spacing w:val="-2"/>
        </w:rPr>
        <w:t>of</w:t>
      </w:r>
      <w:r>
        <w:rPr>
          <w:spacing w:val="-10"/>
        </w:rPr>
        <w:t> </w:t>
      </w:r>
      <w:r>
        <w:rPr>
          <w:spacing w:val="-2"/>
        </w:rPr>
        <w:t>locations </w:t>
      </w:r>
      <w:r>
        <w:rPr>
          <w:spacing w:val="-4"/>
        </w:rPr>
        <w:t>throughout</w:t>
      </w:r>
      <w:r>
        <w:rPr>
          <w:spacing w:val="-12"/>
        </w:rPr>
        <w:t> </w:t>
      </w:r>
      <w:r>
        <w:rPr>
          <w:spacing w:val="-4"/>
        </w:rPr>
        <w:t>the</w:t>
      </w:r>
      <w:r>
        <w:rPr>
          <w:spacing w:val="-10"/>
        </w:rPr>
        <w:t> </w:t>
      </w:r>
      <w:r>
        <w:rPr>
          <w:spacing w:val="-4"/>
        </w:rPr>
        <w:t>country.</w:t>
      </w:r>
      <w:r>
        <w:rPr>
          <w:spacing w:val="-10"/>
        </w:rPr>
        <w:t> </w:t>
      </w:r>
      <w:r>
        <w:rPr>
          <w:spacing w:val="-4"/>
        </w:rPr>
        <w:t>Therefore,</w:t>
      </w:r>
      <w:r>
        <w:rPr>
          <w:spacing w:val="-9"/>
        </w:rPr>
        <w:t> </w:t>
      </w:r>
      <w:r>
        <w:rPr>
          <w:spacing w:val="-4"/>
        </w:rPr>
        <w:t>a</w:t>
      </w:r>
      <w:r>
        <w:rPr>
          <w:spacing w:val="-10"/>
        </w:rPr>
        <w:t> </w:t>
      </w:r>
      <w:r>
        <w:rPr>
          <w:spacing w:val="-4"/>
        </w:rPr>
        <w:t>high</w:t>
      </w:r>
      <w:r>
        <w:rPr>
          <w:spacing w:val="-10"/>
        </w:rPr>
        <w:t> </w:t>
      </w:r>
      <w:r>
        <w:rPr>
          <w:spacing w:val="-4"/>
        </w:rPr>
        <w:t>per</w:t>
      </w:r>
      <w:r>
        <w:rPr>
          <w:spacing w:val="-10"/>
        </w:rPr>
        <w:t> </w:t>
      </w:r>
      <w:r>
        <w:rPr>
          <w:spacing w:val="-4"/>
        </w:rPr>
        <w:t>capita</w:t>
      </w:r>
      <w:r>
        <w:rPr>
          <w:spacing w:val="-9"/>
        </w:rPr>
        <w:t> </w:t>
      </w:r>
      <w:r>
        <w:rPr>
          <w:spacing w:val="-4"/>
        </w:rPr>
        <w:t>seat </w:t>
      </w:r>
      <w:r>
        <w:rPr>
          <w:spacing w:val="-2"/>
        </w:rPr>
        <w:t>capacity for a</w:t>
      </w:r>
      <w:r>
        <w:rPr>
          <w:spacing w:val="-1"/>
        </w:rPr>
        <w:t> </w:t>
      </w:r>
      <w:r>
        <w:rPr>
          <w:spacing w:val="-2"/>
        </w:rPr>
        <w:t>state does</w:t>
      </w:r>
      <w:r>
        <w:rPr>
          <w:spacing w:val="-1"/>
        </w:rPr>
        <w:t> </w:t>
      </w:r>
      <w:r>
        <w:rPr>
          <w:spacing w:val="-2"/>
        </w:rPr>
        <w:t>not necessarily</w:t>
      </w:r>
      <w:r>
        <w:rPr>
          <w:spacing w:val="-1"/>
        </w:rPr>
        <w:t> </w:t>
      </w:r>
      <w:r>
        <w:rPr>
          <w:spacing w:val="-2"/>
        </w:rPr>
        <w:t>mean a</w:t>
      </w:r>
      <w:r>
        <w:rPr>
          <w:spacing w:val="-1"/>
        </w:rPr>
        <w:t> </w:t>
      </w:r>
      <w:r>
        <w:rPr>
          <w:spacing w:val="-2"/>
        </w:rPr>
        <w:t>higher</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92"/>
        <w:rPr>
          <w:sz w:val="20"/>
        </w:rPr>
      </w:pPr>
    </w:p>
    <w:p>
      <w:pPr>
        <w:spacing w:after="0"/>
        <w:rPr>
          <w:sz w:val="20"/>
        </w:rPr>
        <w:sectPr>
          <w:type w:val="continuous"/>
          <w:pgSz w:w="11910" w:h="16840"/>
          <w:pgMar w:header="0" w:footer="675" w:top="1920" w:bottom="280" w:left="0" w:right="0"/>
        </w:sectPr>
      </w:pPr>
    </w:p>
    <w:p>
      <w:pPr>
        <w:pStyle w:val="Heading8"/>
        <w:spacing w:line="242" w:lineRule="auto" w:before="84"/>
        <w:ind w:left="2108" w:hanging="1029"/>
      </w:pPr>
      <w:r>
        <w:rPr>
          <w:spacing w:val="-6"/>
        </w:rPr>
        <w:t>Figure</w:t>
      </w:r>
      <w:r>
        <w:rPr>
          <w:spacing w:val="-9"/>
        </w:rPr>
        <w:t> </w:t>
      </w:r>
      <w:r>
        <w:rPr>
          <w:spacing w:val="-6"/>
        </w:rPr>
        <w:t>35:</w:t>
      </w:r>
      <w:r>
        <w:rPr>
          <w:spacing w:val="-9"/>
        </w:rPr>
        <w:t> </w:t>
      </w:r>
      <w:r>
        <w:rPr>
          <w:color w:val="2E614A"/>
          <w:spacing w:val="-6"/>
        </w:rPr>
        <w:t>Number</w:t>
      </w:r>
      <w:r>
        <w:rPr>
          <w:color w:val="2E614A"/>
          <w:spacing w:val="23"/>
        </w:rPr>
        <w:t> </w:t>
      </w:r>
      <w:r>
        <w:rPr>
          <w:color w:val="2E614A"/>
          <w:spacing w:val="-6"/>
        </w:rPr>
        <w:t>of</w:t>
      </w:r>
      <w:r>
        <w:rPr>
          <w:color w:val="2E614A"/>
          <w:spacing w:val="31"/>
        </w:rPr>
        <w:t> </w:t>
      </w:r>
      <w:r>
        <w:rPr>
          <w:color w:val="2E614A"/>
          <w:spacing w:val="-6"/>
        </w:rPr>
        <w:t>management</w:t>
      </w:r>
      <w:r>
        <w:rPr>
          <w:color w:val="2E614A"/>
          <w:spacing w:val="31"/>
        </w:rPr>
        <w:t> </w:t>
      </w:r>
      <w:r>
        <w:rPr>
          <w:color w:val="2E614A"/>
          <w:spacing w:val="-6"/>
        </w:rPr>
        <w:t>institutions </w:t>
      </w:r>
      <w:r>
        <w:rPr>
          <w:color w:val="2E614A"/>
          <w:spacing w:val="-2"/>
        </w:rPr>
        <w:t>(2006-07)</w:t>
      </w:r>
    </w:p>
    <w:p>
      <w:pPr>
        <w:spacing w:line="242" w:lineRule="auto" w:before="137"/>
        <w:ind w:left="1348" w:right="1810" w:hanging="1029"/>
        <w:jc w:val="left"/>
        <w:rPr>
          <w:b/>
          <w:sz w:val="24"/>
        </w:rPr>
      </w:pPr>
      <w:r>
        <w:rPr/>
        <w:br w:type="column"/>
      </w:r>
      <w:r>
        <w:rPr>
          <w:b/>
          <w:w w:val="90"/>
          <w:sz w:val="24"/>
        </w:rPr>
        <w:t>Figure 36: </w:t>
      </w:r>
      <w:r>
        <w:rPr>
          <w:b/>
          <w:color w:val="2E614A"/>
          <w:w w:val="90"/>
          <w:sz w:val="24"/>
        </w:rPr>
        <w:t>Intake in management </w:t>
      </w:r>
      <w:r>
        <w:rPr>
          <w:b/>
          <w:color w:val="2E614A"/>
          <w:w w:val="90"/>
          <w:sz w:val="24"/>
        </w:rPr>
        <w:t>colleges </w:t>
      </w:r>
      <w:r>
        <w:rPr>
          <w:b/>
          <w:color w:val="2E614A"/>
          <w:spacing w:val="-2"/>
          <w:sz w:val="24"/>
        </w:rPr>
        <w:t>(2006-07)</w:t>
      </w:r>
    </w:p>
    <w:p>
      <w:pPr>
        <w:spacing w:after="0" w:line="242" w:lineRule="auto"/>
        <w:jc w:val="left"/>
        <w:rPr>
          <w:sz w:val="24"/>
        </w:rPr>
        <w:sectPr>
          <w:type w:val="continuous"/>
          <w:pgSz w:w="11910" w:h="16840"/>
          <w:pgMar w:header="0" w:footer="675" w:top="1920" w:bottom="280" w:left="0" w:right="0"/>
          <w:cols w:num="2" w:equalWidth="0">
            <w:col w:w="5773" w:space="40"/>
            <w:col w:w="6097"/>
          </w:cols>
        </w:sectPr>
      </w:pPr>
    </w:p>
    <w:p>
      <w:pPr>
        <w:pStyle w:val="BodyText"/>
        <w:rPr>
          <w:b/>
          <w:sz w:val="3"/>
        </w:rPr>
      </w:pPr>
    </w:p>
    <w:p>
      <w:pPr>
        <w:tabs>
          <w:tab w:pos="6128" w:val="left" w:leader="none"/>
        </w:tabs>
        <w:spacing w:line="240" w:lineRule="auto"/>
        <w:ind w:left="1090" w:right="0" w:firstLine="0"/>
        <w:rPr>
          <w:sz w:val="20"/>
        </w:rPr>
      </w:pPr>
      <w:r>
        <w:rPr>
          <w:position w:val="2"/>
          <w:sz w:val="20"/>
        </w:rPr>
        <mc:AlternateContent>
          <mc:Choice Requires="wps">
            <w:drawing>
              <wp:inline distT="0" distB="0" distL="0" distR="0">
                <wp:extent cx="2973705" cy="2311400"/>
                <wp:effectExtent l="0" t="0" r="0" b="3175"/>
                <wp:docPr id="1754" name="Group 1754"/>
                <wp:cNvGraphicFramePr>
                  <a:graphicFrameLocks/>
                </wp:cNvGraphicFramePr>
                <a:graphic>
                  <a:graphicData uri="http://schemas.microsoft.com/office/word/2010/wordprocessingGroup">
                    <wpg:wgp>
                      <wpg:cNvPr id="1754" name="Group 1754"/>
                      <wpg:cNvGrpSpPr/>
                      <wpg:grpSpPr>
                        <a:xfrm>
                          <a:off x="0" y="0"/>
                          <a:ext cx="2973705" cy="2311400"/>
                          <a:chExt cx="2973705" cy="2311400"/>
                        </a:xfrm>
                      </wpg:grpSpPr>
                      <wps:wsp>
                        <wps:cNvPr id="1755" name="Graphic 1755"/>
                        <wps:cNvSpPr/>
                        <wps:spPr>
                          <a:xfrm>
                            <a:off x="650887" y="377075"/>
                            <a:ext cx="1940560" cy="1652905"/>
                          </a:xfrm>
                          <a:custGeom>
                            <a:avLst/>
                            <a:gdLst/>
                            <a:ahLst/>
                            <a:cxnLst/>
                            <a:rect l="l" t="t" r="r" b="b"/>
                            <a:pathLst>
                              <a:path w="1940560" h="1652905">
                                <a:moveTo>
                                  <a:pt x="285750" y="1409306"/>
                                </a:moveTo>
                                <a:lnTo>
                                  <a:pt x="0" y="1409306"/>
                                </a:lnTo>
                                <a:lnTo>
                                  <a:pt x="0" y="1650555"/>
                                </a:lnTo>
                                <a:lnTo>
                                  <a:pt x="285750" y="1650555"/>
                                </a:lnTo>
                                <a:lnTo>
                                  <a:pt x="285750" y="1409306"/>
                                </a:lnTo>
                                <a:close/>
                              </a:path>
                              <a:path w="1940560" h="1652905">
                                <a:moveTo>
                                  <a:pt x="1113066" y="226847"/>
                                </a:moveTo>
                                <a:lnTo>
                                  <a:pt x="827316" y="226847"/>
                                </a:lnTo>
                                <a:lnTo>
                                  <a:pt x="827316" y="1652714"/>
                                </a:lnTo>
                                <a:lnTo>
                                  <a:pt x="1113066" y="1652714"/>
                                </a:lnTo>
                                <a:lnTo>
                                  <a:pt x="1113066" y="226847"/>
                                </a:lnTo>
                                <a:close/>
                              </a:path>
                              <a:path w="1940560" h="1652905">
                                <a:moveTo>
                                  <a:pt x="1940382" y="0"/>
                                </a:moveTo>
                                <a:lnTo>
                                  <a:pt x="1654632" y="0"/>
                                </a:lnTo>
                                <a:lnTo>
                                  <a:pt x="1654632" y="1652714"/>
                                </a:lnTo>
                                <a:lnTo>
                                  <a:pt x="1940382" y="1652714"/>
                                </a:lnTo>
                                <a:lnTo>
                                  <a:pt x="1940382" y="0"/>
                                </a:lnTo>
                                <a:close/>
                              </a:path>
                            </a:pathLst>
                          </a:custGeom>
                          <a:solidFill>
                            <a:srgbClr val="2F7D41"/>
                          </a:solidFill>
                        </wps:spPr>
                        <wps:bodyPr wrap="square" lIns="0" tIns="0" rIns="0" bIns="0" rtlCol="0">
                          <a:prstTxWarp prst="textNoShape">
                            <a:avLst/>
                          </a:prstTxWarp>
                          <a:noAutofit/>
                        </wps:bodyPr>
                      </wps:wsp>
                      <wps:wsp>
                        <wps:cNvPr id="1756" name="Graphic 1756"/>
                        <wps:cNvSpPr/>
                        <wps:spPr>
                          <a:xfrm>
                            <a:off x="0" y="0"/>
                            <a:ext cx="2973705" cy="2311400"/>
                          </a:xfrm>
                          <a:custGeom>
                            <a:avLst/>
                            <a:gdLst/>
                            <a:ahLst/>
                            <a:cxnLst/>
                            <a:rect l="l" t="t" r="r" b="b"/>
                            <a:pathLst>
                              <a:path w="2973705" h="2311400">
                                <a:moveTo>
                                  <a:pt x="2860992" y="2026196"/>
                                </a:moveTo>
                                <a:lnTo>
                                  <a:pt x="387667" y="2026196"/>
                                </a:lnTo>
                                <a:lnTo>
                                  <a:pt x="387667" y="149771"/>
                                </a:lnTo>
                                <a:lnTo>
                                  <a:pt x="384492" y="149771"/>
                                </a:lnTo>
                                <a:lnTo>
                                  <a:pt x="381317" y="149771"/>
                                </a:lnTo>
                                <a:lnTo>
                                  <a:pt x="346392" y="149771"/>
                                </a:lnTo>
                                <a:lnTo>
                                  <a:pt x="346392" y="156121"/>
                                </a:lnTo>
                                <a:lnTo>
                                  <a:pt x="381317" y="156121"/>
                                </a:lnTo>
                                <a:lnTo>
                                  <a:pt x="381317" y="467271"/>
                                </a:lnTo>
                                <a:lnTo>
                                  <a:pt x="346392" y="467271"/>
                                </a:lnTo>
                                <a:lnTo>
                                  <a:pt x="346392" y="473621"/>
                                </a:lnTo>
                                <a:lnTo>
                                  <a:pt x="381317" y="473621"/>
                                </a:lnTo>
                                <a:lnTo>
                                  <a:pt x="381317" y="765721"/>
                                </a:lnTo>
                                <a:lnTo>
                                  <a:pt x="346392" y="765721"/>
                                </a:lnTo>
                                <a:lnTo>
                                  <a:pt x="346392" y="772071"/>
                                </a:lnTo>
                                <a:lnTo>
                                  <a:pt x="381317" y="772071"/>
                                </a:lnTo>
                                <a:lnTo>
                                  <a:pt x="381317" y="1089571"/>
                                </a:lnTo>
                                <a:lnTo>
                                  <a:pt x="346392" y="1089571"/>
                                </a:lnTo>
                                <a:lnTo>
                                  <a:pt x="346392" y="1095921"/>
                                </a:lnTo>
                                <a:lnTo>
                                  <a:pt x="381317" y="1095921"/>
                                </a:lnTo>
                                <a:lnTo>
                                  <a:pt x="381317" y="1407071"/>
                                </a:lnTo>
                                <a:lnTo>
                                  <a:pt x="346392" y="1407071"/>
                                </a:lnTo>
                                <a:lnTo>
                                  <a:pt x="346392" y="1413421"/>
                                </a:lnTo>
                                <a:lnTo>
                                  <a:pt x="381317" y="1413421"/>
                                </a:lnTo>
                                <a:lnTo>
                                  <a:pt x="381317" y="1705521"/>
                                </a:lnTo>
                                <a:lnTo>
                                  <a:pt x="346392" y="1705521"/>
                                </a:lnTo>
                                <a:lnTo>
                                  <a:pt x="346392" y="1711871"/>
                                </a:lnTo>
                                <a:lnTo>
                                  <a:pt x="381317" y="1711871"/>
                                </a:lnTo>
                                <a:lnTo>
                                  <a:pt x="381317" y="2026196"/>
                                </a:lnTo>
                                <a:lnTo>
                                  <a:pt x="346392" y="2026196"/>
                                </a:lnTo>
                                <a:lnTo>
                                  <a:pt x="346392" y="2032546"/>
                                </a:lnTo>
                                <a:lnTo>
                                  <a:pt x="381317" y="2032546"/>
                                </a:lnTo>
                                <a:lnTo>
                                  <a:pt x="381317" y="2086521"/>
                                </a:lnTo>
                                <a:lnTo>
                                  <a:pt x="387667" y="2086521"/>
                                </a:lnTo>
                                <a:lnTo>
                                  <a:pt x="387667" y="2032546"/>
                                </a:lnTo>
                                <a:lnTo>
                                  <a:pt x="1205763" y="2032546"/>
                                </a:lnTo>
                                <a:lnTo>
                                  <a:pt x="1205763" y="2086521"/>
                                </a:lnTo>
                                <a:lnTo>
                                  <a:pt x="1212113" y="2086521"/>
                                </a:lnTo>
                                <a:lnTo>
                                  <a:pt x="1212113" y="2032546"/>
                                </a:lnTo>
                                <a:lnTo>
                                  <a:pt x="2030196" y="2032546"/>
                                </a:lnTo>
                                <a:lnTo>
                                  <a:pt x="2030196" y="2086521"/>
                                </a:lnTo>
                                <a:lnTo>
                                  <a:pt x="2036546" y="2086521"/>
                                </a:lnTo>
                                <a:lnTo>
                                  <a:pt x="2036546" y="2032546"/>
                                </a:lnTo>
                                <a:lnTo>
                                  <a:pt x="2854642" y="2032546"/>
                                </a:lnTo>
                                <a:lnTo>
                                  <a:pt x="2854642" y="2086521"/>
                                </a:lnTo>
                                <a:lnTo>
                                  <a:pt x="2860992" y="2086521"/>
                                </a:lnTo>
                                <a:lnTo>
                                  <a:pt x="2860992" y="2032546"/>
                                </a:lnTo>
                                <a:lnTo>
                                  <a:pt x="2860992" y="2028215"/>
                                </a:lnTo>
                                <a:lnTo>
                                  <a:pt x="2860992" y="2026196"/>
                                </a:lnTo>
                                <a:close/>
                              </a:path>
                              <a:path w="2973705" h="2311400">
                                <a:moveTo>
                                  <a:pt x="2973540" y="0"/>
                                </a:moveTo>
                                <a:lnTo>
                                  <a:pt x="2967190" y="0"/>
                                </a:lnTo>
                                <a:lnTo>
                                  <a:pt x="2967190" y="6743"/>
                                </a:lnTo>
                                <a:lnTo>
                                  <a:pt x="2967190" y="2305050"/>
                                </a:lnTo>
                                <a:lnTo>
                                  <a:pt x="2967190" y="2305443"/>
                                </a:lnTo>
                                <a:lnTo>
                                  <a:pt x="2967190" y="2308618"/>
                                </a:lnTo>
                                <a:lnTo>
                                  <a:pt x="2967190" y="2308860"/>
                                </a:lnTo>
                                <a:lnTo>
                                  <a:pt x="3175" y="2308860"/>
                                </a:lnTo>
                                <a:lnTo>
                                  <a:pt x="3175" y="2308618"/>
                                </a:lnTo>
                                <a:lnTo>
                                  <a:pt x="6350" y="2308618"/>
                                </a:lnTo>
                                <a:lnTo>
                                  <a:pt x="2967190" y="2308618"/>
                                </a:lnTo>
                                <a:lnTo>
                                  <a:pt x="2967190" y="2305443"/>
                                </a:lnTo>
                                <a:lnTo>
                                  <a:pt x="6350" y="2305443"/>
                                </a:lnTo>
                                <a:lnTo>
                                  <a:pt x="3175" y="2305443"/>
                                </a:lnTo>
                                <a:lnTo>
                                  <a:pt x="3175" y="2305050"/>
                                </a:lnTo>
                                <a:lnTo>
                                  <a:pt x="6350" y="2305050"/>
                                </a:lnTo>
                                <a:lnTo>
                                  <a:pt x="6350" y="6743"/>
                                </a:lnTo>
                                <a:lnTo>
                                  <a:pt x="2967190" y="6743"/>
                                </a:lnTo>
                                <a:lnTo>
                                  <a:pt x="2967190" y="0"/>
                                </a:lnTo>
                                <a:lnTo>
                                  <a:pt x="0" y="0"/>
                                </a:lnTo>
                                <a:lnTo>
                                  <a:pt x="0" y="3810"/>
                                </a:lnTo>
                                <a:lnTo>
                                  <a:pt x="0" y="6350"/>
                                </a:lnTo>
                                <a:lnTo>
                                  <a:pt x="0" y="2305050"/>
                                </a:lnTo>
                                <a:lnTo>
                                  <a:pt x="0" y="2308860"/>
                                </a:lnTo>
                                <a:lnTo>
                                  <a:pt x="0" y="2311400"/>
                                </a:lnTo>
                                <a:lnTo>
                                  <a:pt x="2973540" y="2311400"/>
                                </a:lnTo>
                                <a:lnTo>
                                  <a:pt x="2973540" y="2308860"/>
                                </a:lnTo>
                                <a:lnTo>
                                  <a:pt x="2970365" y="2308860"/>
                                </a:lnTo>
                                <a:lnTo>
                                  <a:pt x="2970365" y="2308618"/>
                                </a:lnTo>
                                <a:lnTo>
                                  <a:pt x="2973540" y="2308618"/>
                                </a:lnTo>
                                <a:lnTo>
                                  <a:pt x="2973540" y="2305443"/>
                                </a:lnTo>
                                <a:lnTo>
                                  <a:pt x="2970365" y="2305443"/>
                                </a:lnTo>
                                <a:lnTo>
                                  <a:pt x="2970365" y="2305050"/>
                                </a:lnTo>
                                <a:lnTo>
                                  <a:pt x="2973540" y="2305050"/>
                                </a:lnTo>
                                <a:lnTo>
                                  <a:pt x="2973540" y="6743"/>
                                </a:lnTo>
                                <a:lnTo>
                                  <a:pt x="2973540" y="6350"/>
                                </a:lnTo>
                                <a:lnTo>
                                  <a:pt x="2973540" y="3810"/>
                                </a:lnTo>
                                <a:lnTo>
                                  <a:pt x="2973540" y="3568"/>
                                </a:lnTo>
                                <a:lnTo>
                                  <a:pt x="2973540" y="0"/>
                                </a:lnTo>
                                <a:close/>
                              </a:path>
                            </a:pathLst>
                          </a:custGeom>
                          <a:solidFill>
                            <a:srgbClr val="000000"/>
                          </a:solidFill>
                        </wps:spPr>
                        <wps:bodyPr wrap="square" lIns="0" tIns="0" rIns="0" bIns="0" rtlCol="0">
                          <a:prstTxWarp prst="textNoShape">
                            <a:avLst/>
                          </a:prstTxWarp>
                          <a:noAutofit/>
                        </wps:bodyPr>
                      </wps:wsp>
                      <wps:wsp>
                        <wps:cNvPr id="1757" name="Textbox 1757"/>
                        <wps:cNvSpPr txBox="1"/>
                        <wps:spPr>
                          <a:xfrm>
                            <a:off x="126941" y="112642"/>
                            <a:ext cx="175260" cy="19691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1200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6"/>
                                  <w:w w:val="85"/>
                                  <w:sz w:val="14"/>
                                </w:rPr>
                                <w:t>1000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5"/>
                                  <w:sz w:val="14"/>
                                </w:rPr>
                                <w:t>800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5"/>
                                  <w:sz w:val="14"/>
                                </w:rPr>
                                <w:t>600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5"/>
                                  <w:sz w:val="14"/>
                                </w:rPr>
                                <w:t>400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5"/>
                                  <w:sz w:val="14"/>
                                </w:rPr>
                                <w:t>200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10"/>
                                  <w:sz w:val="14"/>
                                </w:rPr>
                                <w:t>0</w:t>
                              </w:r>
                            </w:p>
                          </w:txbxContent>
                        </wps:txbx>
                        <wps:bodyPr wrap="square" lIns="0" tIns="0" rIns="0" bIns="0" rtlCol="0">
                          <a:noAutofit/>
                        </wps:bodyPr>
                      </wps:wsp>
                      <wps:wsp>
                        <wps:cNvPr id="1758" name="Textbox 1758"/>
                        <wps:cNvSpPr txBox="1"/>
                        <wps:spPr>
                          <a:xfrm>
                            <a:off x="593583" y="2069627"/>
                            <a:ext cx="4140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Government</w:t>
                              </w:r>
                            </w:p>
                          </w:txbxContent>
                        </wps:txbx>
                        <wps:bodyPr wrap="square" lIns="0" tIns="0" rIns="0" bIns="0" rtlCol="0">
                          <a:noAutofit/>
                        </wps:bodyPr>
                      </wps:wsp>
                      <wps:wsp>
                        <wps:cNvPr id="1759" name="Textbox 1759"/>
                        <wps:cNvSpPr txBox="1"/>
                        <wps:spPr>
                          <a:xfrm>
                            <a:off x="1506806" y="2069627"/>
                            <a:ext cx="240029"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Private</w:t>
                              </w:r>
                            </w:p>
                          </w:txbxContent>
                        </wps:txbx>
                        <wps:bodyPr wrap="square" lIns="0" tIns="0" rIns="0" bIns="0" rtlCol="0">
                          <a:noAutofit/>
                        </wps:bodyPr>
                      </wps:wsp>
                      <wps:wsp>
                        <wps:cNvPr id="1760" name="Textbox 1760"/>
                        <wps:cNvSpPr txBox="1"/>
                        <wps:spPr>
                          <a:xfrm>
                            <a:off x="2369328" y="2069627"/>
                            <a:ext cx="167005" cy="102235"/>
                          </a:xfrm>
                          <a:prstGeom prst="rect">
                            <a:avLst/>
                          </a:prstGeom>
                        </wps:spPr>
                        <wps:txbx>
                          <w:txbxContent>
                            <w:p>
                              <w:pPr>
                                <w:spacing w:line="161" w:lineRule="exact" w:before="0"/>
                                <w:ind w:left="0" w:right="0" w:firstLine="0"/>
                                <w:jc w:val="left"/>
                                <w:rPr>
                                  <w:rFonts w:ascii="Arial MT"/>
                                  <w:sz w:val="14"/>
                                </w:rPr>
                              </w:pPr>
                              <w:r>
                                <w:rPr>
                                  <w:rFonts w:ascii="Arial MT"/>
                                  <w:spacing w:val="-7"/>
                                  <w:w w:val="90"/>
                                  <w:sz w:val="14"/>
                                </w:rPr>
                                <w:t>Total</w:t>
                              </w:r>
                            </w:p>
                          </w:txbxContent>
                        </wps:txbx>
                        <wps:bodyPr wrap="square" lIns="0" tIns="0" rIns="0" bIns="0" rtlCol="0">
                          <a:noAutofit/>
                        </wps:bodyPr>
                      </wps:wsp>
                    </wpg:wgp>
                  </a:graphicData>
                </a:graphic>
              </wp:inline>
            </w:drawing>
          </mc:Choice>
          <mc:Fallback>
            <w:pict>
              <v:group style="width:234.15pt;height:182pt;mso-position-horizontal-relative:char;mso-position-vertical-relative:line" id="docshapegroup1740" coordorigin="0,0" coordsize="4683,3640">
                <v:shape style="position:absolute;left:1025;top:593;width:3056;height:2603" id="docshape1741" coordorigin="1025,594" coordsize="3056,2603" path="m1475,2813l1025,2813,1025,3193,1475,3193,1475,2813xm2778,951l2328,951,2328,3197,2778,3197,2778,951xm4081,594l3631,594,3631,3197,4081,3197,4081,594xe" filled="true" fillcolor="#2f7d41" stroked="false">
                  <v:path arrowok="t"/>
                  <v:fill type="solid"/>
                </v:shape>
                <v:shape style="position:absolute;left:0;top:0;width:4683;height:3640" id="docshape1742" coordorigin="0,0" coordsize="4683,3640" path="m4506,3191l611,3191,611,236,606,236,601,236,546,236,546,246,601,246,601,736,546,736,546,746,601,746,601,1206,546,1206,546,1216,601,1216,601,1716,546,1716,546,1726,601,1726,601,2216,546,2216,546,2226,601,2226,601,2686,546,2686,546,2696,601,2696,601,3191,546,3191,546,3201,601,3201,601,3286,611,3286,611,3201,1899,3201,1899,3286,1909,3286,1909,3201,3197,3201,3197,3286,3207,3286,3207,3201,4496,3201,4496,3286,4506,3286,4506,3201,4506,3194,4506,3191xm4683,0l4673,0,4673,11,4673,3630,4673,3631,4673,3636,4673,3636,5,3636,5,3636,10,3636,4673,3636,4673,3631,10,3631,5,3631,5,3630,10,3630,10,11,4673,11,4673,0,0,0,0,6,0,10,0,3630,0,3636,0,3640,4683,3640,4683,3636,4678,3636,4678,3636,4683,3636,4683,3631,4678,3631,4678,3630,4683,3630,4683,11,4683,10,4683,6,4683,6,4683,0xe" filled="true" fillcolor="#000000" stroked="false">
                  <v:path arrowok="t"/>
                  <v:fill type="solid"/>
                </v:shape>
                <v:shape style="position:absolute;left:199;top:177;width:276;height:3101" type="#_x0000_t202" id="docshape1743" filled="false" stroked="false">
                  <v:textbox inset="0,0,0,0">
                    <w:txbxContent>
                      <w:p>
                        <w:pPr>
                          <w:spacing w:line="161" w:lineRule="exact" w:before="0"/>
                          <w:ind w:left="0" w:right="0" w:firstLine="0"/>
                          <w:jc w:val="left"/>
                          <w:rPr>
                            <w:rFonts w:ascii="Arial MT"/>
                            <w:sz w:val="14"/>
                          </w:rPr>
                        </w:pPr>
                        <w:r>
                          <w:rPr>
                            <w:rFonts w:ascii="Arial MT"/>
                            <w:spacing w:val="-5"/>
                            <w:w w:val="90"/>
                            <w:sz w:val="14"/>
                          </w:rPr>
                          <w:t>1200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6"/>
                            <w:w w:val="85"/>
                            <w:sz w:val="14"/>
                          </w:rPr>
                          <w:t>1000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5"/>
                            <w:sz w:val="14"/>
                          </w:rPr>
                          <w:t>800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5"/>
                            <w:sz w:val="14"/>
                          </w:rPr>
                          <w:t>600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5"/>
                            <w:sz w:val="14"/>
                          </w:rPr>
                          <w:t>400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5"/>
                            <w:sz w:val="14"/>
                          </w:rPr>
                          <w:t>200</w:t>
                        </w:r>
                      </w:p>
                      <w:p>
                        <w:pPr>
                          <w:spacing w:line="240" w:lineRule="auto" w:before="0"/>
                          <w:rPr>
                            <w:rFonts w:ascii="Arial MT"/>
                            <w:sz w:val="14"/>
                          </w:rPr>
                        </w:pPr>
                      </w:p>
                      <w:p>
                        <w:pPr>
                          <w:spacing w:line="240" w:lineRule="auto" w:before="7"/>
                          <w:rPr>
                            <w:rFonts w:ascii="Arial MT"/>
                            <w:sz w:val="14"/>
                          </w:rPr>
                        </w:pPr>
                      </w:p>
                      <w:p>
                        <w:pPr>
                          <w:spacing w:before="0"/>
                          <w:ind w:left="0" w:right="18" w:firstLine="0"/>
                          <w:jc w:val="right"/>
                          <w:rPr>
                            <w:rFonts w:ascii="Arial MT"/>
                            <w:sz w:val="14"/>
                          </w:rPr>
                        </w:pPr>
                        <w:r>
                          <w:rPr>
                            <w:rFonts w:ascii="Arial MT"/>
                            <w:spacing w:val="-10"/>
                            <w:sz w:val="14"/>
                          </w:rPr>
                          <w:t>0</w:t>
                        </w:r>
                      </w:p>
                    </w:txbxContent>
                  </v:textbox>
                  <w10:wrap type="none"/>
                </v:shape>
                <v:shape style="position:absolute;left:934;top:3259;width:652;height:161" type="#_x0000_t202" id="docshape1744" filled="false" stroked="false">
                  <v:textbox inset="0,0,0,0">
                    <w:txbxContent>
                      <w:p>
                        <w:pPr>
                          <w:spacing w:line="161" w:lineRule="exact" w:before="0"/>
                          <w:ind w:left="0" w:right="0" w:firstLine="0"/>
                          <w:jc w:val="left"/>
                          <w:rPr>
                            <w:rFonts w:ascii="Arial MT"/>
                            <w:sz w:val="14"/>
                          </w:rPr>
                        </w:pPr>
                        <w:r>
                          <w:rPr>
                            <w:rFonts w:ascii="Arial MT"/>
                            <w:spacing w:val="-2"/>
                            <w:w w:val="85"/>
                            <w:sz w:val="14"/>
                          </w:rPr>
                          <w:t>Government</w:t>
                        </w:r>
                      </w:p>
                    </w:txbxContent>
                  </v:textbox>
                  <w10:wrap type="none"/>
                </v:shape>
                <v:shape style="position:absolute;left:2372;top:3259;width:378;height:161" type="#_x0000_t202" id="docshape1745" filled="false" stroked="false">
                  <v:textbox inset="0,0,0,0">
                    <w:txbxContent>
                      <w:p>
                        <w:pPr>
                          <w:spacing w:line="161" w:lineRule="exact" w:before="0"/>
                          <w:ind w:left="0" w:right="0" w:firstLine="0"/>
                          <w:jc w:val="left"/>
                          <w:rPr>
                            <w:rFonts w:ascii="Arial MT"/>
                            <w:sz w:val="14"/>
                          </w:rPr>
                        </w:pPr>
                        <w:r>
                          <w:rPr>
                            <w:rFonts w:ascii="Arial MT"/>
                            <w:spacing w:val="-2"/>
                            <w:w w:val="85"/>
                            <w:sz w:val="14"/>
                          </w:rPr>
                          <w:t>Private</w:t>
                        </w:r>
                      </w:p>
                    </w:txbxContent>
                  </v:textbox>
                  <w10:wrap type="none"/>
                </v:shape>
                <v:shape style="position:absolute;left:3731;top:3259;width:263;height:161" type="#_x0000_t202" id="docshape1746" filled="false" stroked="false">
                  <v:textbox inset="0,0,0,0">
                    <w:txbxContent>
                      <w:p>
                        <w:pPr>
                          <w:spacing w:line="161" w:lineRule="exact" w:before="0"/>
                          <w:ind w:left="0" w:right="0" w:firstLine="0"/>
                          <w:jc w:val="left"/>
                          <w:rPr>
                            <w:rFonts w:ascii="Arial MT"/>
                            <w:sz w:val="14"/>
                          </w:rPr>
                        </w:pPr>
                        <w:r>
                          <w:rPr>
                            <w:rFonts w:ascii="Arial MT"/>
                            <w:spacing w:val="-7"/>
                            <w:w w:val="90"/>
                            <w:sz w:val="14"/>
                          </w:rPr>
                          <w:t>Total</w:t>
                        </w:r>
                      </w:p>
                    </w:txbxContent>
                  </v:textbox>
                  <w10:wrap type="none"/>
                </v:shape>
              </v:group>
            </w:pict>
          </mc:Fallback>
        </mc:AlternateContent>
      </w:r>
      <w:r>
        <w:rPr>
          <w:position w:val="2"/>
          <w:sz w:val="20"/>
        </w:rPr>
      </w:r>
      <w:r>
        <w:rPr>
          <w:position w:val="2"/>
          <w:sz w:val="20"/>
        </w:rPr>
        <w:tab/>
      </w:r>
      <w:r>
        <w:rPr>
          <w:sz w:val="20"/>
        </w:rPr>
        <mc:AlternateContent>
          <mc:Choice Requires="wps">
            <w:drawing>
              <wp:inline distT="0" distB="0" distL="0" distR="0">
                <wp:extent cx="2982595" cy="2298700"/>
                <wp:effectExtent l="9525" t="0" r="0" b="6350"/>
                <wp:docPr id="1761" name="Group 1761"/>
                <wp:cNvGraphicFramePr>
                  <a:graphicFrameLocks/>
                </wp:cNvGraphicFramePr>
                <a:graphic>
                  <a:graphicData uri="http://schemas.microsoft.com/office/word/2010/wordprocessingGroup">
                    <wpg:wgp>
                      <wpg:cNvPr id="1761" name="Group 1761"/>
                      <wpg:cNvGrpSpPr/>
                      <wpg:grpSpPr>
                        <a:xfrm>
                          <a:off x="0" y="0"/>
                          <a:ext cx="2982595" cy="2298700"/>
                          <a:chExt cx="2982595" cy="2298700"/>
                        </a:xfrm>
                      </wpg:grpSpPr>
                      <wps:wsp>
                        <wps:cNvPr id="1762" name="Graphic 1762"/>
                        <wps:cNvSpPr/>
                        <wps:spPr>
                          <a:xfrm>
                            <a:off x="-1" y="0"/>
                            <a:ext cx="2982595" cy="2298700"/>
                          </a:xfrm>
                          <a:custGeom>
                            <a:avLst/>
                            <a:gdLst/>
                            <a:ahLst/>
                            <a:cxnLst/>
                            <a:rect l="l" t="t" r="r" b="b"/>
                            <a:pathLst>
                              <a:path w="2982595" h="2298700">
                                <a:moveTo>
                                  <a:pt x="2982544" y="0"/>
                                </a:moveTo>
                                <a:lnTo>
                                  <a:pt x="2976194" y="0"/>
                                </a:lnTo>
                                <a:lnTo>
                                  <a:pt x="2976194" y="6654"/>
                                </a:lnTo>
                                <a:lnTo>
                                  <a:pt x="2976194" y="2292350"/>
                                </a:lnTo>
                                <a:lnTo>
                                  <a:pt x="2976194" y="2292654"/>
                                </a:lnTo>
                                <a:lnTo>
                                  <a:pt x="2976194" y="2295829"/>
                                </a:lnTo>
                                <a:lnTo>
                                  <a:pt x="2976194" y="2296160"/>
                                </a:lnTo>
                                <a:lnTo>
                                  <a:pt x="3175" y="2296160"/>
                                </a:lnTo>
                                <a:lnTo>
                                  <a:pt x="3175" y="2295829"/>
                                </a:lnTo>
                                <a:lnTo>
                                  <a:pt x="6350" y="2295829"/>
                                </a:lnTo>
                                <a:lnTo>
                                  <a:pt x="2976194" y="2295829"/>
                                </a:lnTo>
                                <a:lnTo>
                                  <a:pt x="2976194" y="2292654"/>
                                </a:lnTo>
                                <a:lnTo>
                                  <a:pt x="6350" y="2292654"/>
                                </a:lnTo>
                                <a:lnTo>
                                  <a:pt x="3175" y="2292654"/>
                                </a:lnTo>
                                <a:lnTo>
                                  <a:pt x="3175" y="2292350"/>
                                </a:lnTo>
                                <a:lnTo>
                                  <a:pt x="6350" y="2292350"/>
                                </a:lnTo>
                                <a:lnTo>
                                  <a:pt x="6350" y="6654"/>
                                </a:lnTo>
                                <a:lnTo>
                                  <a:pt x="2976194" y="6654"/>
                                </a:lnTo>
                                <a:lnTo>
                                  <a:pt x="2976194" y="0"/>
                                </a:lnTo>
                                <a:lnTo>
                                  <a:pt x="0" y="0"/>
                                </a:lnTo>
                                <a:lnTo>
                                  <a:pt x="0" y="3810"/>
                                </a:lnTo>
                                <a:lnTo>
                                  <a:pt x="0" y="6350"/>
                                </a:lnTo>
                                <a:lnTo>
                                  <a:pt x="0" y="2292350"/>
                                </a:lnTo>
                                <a:lnTo>
                                  <a:pt x="0" y="2296160"/>
                                </a:lnTo>
                                <a:lnTo>
                                  <a:pt x="0" y="2298700"/>
                                </a:lnTo>
                                <a:lnTo>
                                  <a:pt x="2982544" y="2298700"/>
                                </a:lnTo>
                                <a:lnTo>
                                  <a:pt x="2982544" y="2296160"/>
                                </a:lnTo>
                                <a:lnTo>
                                  <a:pt x="2979369" y="2296160"/>
                                </a:lnTo>
                                <a:lnTo>
                                  <a:pt x="2979369" y="2295829"/>
                                </a:lnTo>
                                <a:lnTo>
                                  <a:pt x="2982544" y="2295829"/>
                                </a:lnTo>
                                <a:lnTo>
                                  <a:pt x="2982544" y="2292654"/>
                                </a:lnTo>
                                <a:lnTo>
                                  <a:pt x="2979369" y="2292654"/>
                                </a:lnTo>
                                <a:lnTo>
                                  <a:pt x="2979369" y="2292350"/>
                                </a:lnTo>
                                <a:lnTo>
                                  <a:pt x="2982544" y="2292350"/>
                                </a:lnTo>
                                <a:lnTo>
                                  <a:pt x="2982544" y="6654"/>
                                </a:lnTo>
                                <a:lnTo>
                                  <a:pt x="2982544" y="6350"/>
                                </a:lnTo>
                                <a:lnTo>
                                  <a:pt x="2982544" y="3810"/>
                                </a:lnTo>
                                <a:lnTo>
                                  <a:pt x="2982544" y="3479"/>
                                </a:lnTo>
                                <a:lnTo>
                                  <a:pt x="2982544" y="0"/>
                                </a:lnTo>
                                <a:close/>
                              </a:path>
                            </a:pathLst>
                          </a:custGeom>
                          <a:solidFill>
                            <a:srgbClr val="000000"/>
                          </a:solidFill>
                        </wps:spPr>
                        <wps:bodyPr wrap="square" lIns="0" tIns="0" rIns="0" bIns="0" rtlCol="0">
                          <a:prstTxWarp prst="textNoShape">
                            <a:avLst/>
                          </a:prstTxWarp>
                          <a:noAutofit/>
                        </wps:bodyPr>
                      </wps:wsp>
                      <wps:wsp>
                        <wps:cNvPr id="1763" name="Graphic 1763"/>
                        <wps:cNvSpPr/>
                        <wps:spPr>
                          <a:xfrm>
                            <a:off x="1528316" y="254774"/>
                            <a:ext cx="1113155" cy="1736089"/>
                          </a:xfrm>
                          <a:custGeom>
                            <a:avLst/>
                            <a:gdLst/>
                            <a:ahLst/>
                            <a:cxnLst/>
                            <a:rect l="l" t="t" r="r" b="b"/>
                            <a:pathLst>
                              <a:path w="1113155" h="1736089">
                                <a:moveTo>
                                  <a:pt x="285750" y="177584"/>
                                </a:moveTo>
                                <a:lnTo>
                                  <a:pt x="0" y="177584"/>
                                </a:lnTo>
                                <a:lnTo>
                                  <a:pt x="0" y="1735810"/>
                                </a:lnTo>
                                <a:lnTo>
                                  <a:pt x="285750" y="1735810"/>
                                </a:lnTo>
                                <a:lnTo>
                                  <a:pt x="285750" y="177584"/>
                                </a:lnTo>
                                <a:close/>
                              </a:path>
                              <a:path w="1113155" h="1736089">
                                <a:moveTo>
                                  <a:pt x="1113078" y="0"/>
                                </a:moveTo>
                                <a:lnTo>
                                  <a:pt x="827328" y="0"/>
                                </a:lnTo>
                                <a:lnTo>
                                  <a:pt x="827328" y="1735810"/>
                                </a:lnTo>
                                <a:lnTo>
                                  <a:pt x="1113078" y="1735810"/>
                                </a:lnTo>
                                <a:lnTo>
                                  <a:pt x="1113078" y="0"/>
                                </a:lnTo>
                                <a:close/>
                              </a:path>
                            </a:pathLst>
                          </a:custGeom>
                          <a:solidFill>
                            <a:srgbClr val="2F7D41"/>
                          </a:solidFill>
                        </wps:spPr>
                        <wps:bodyPr wrap="square" lIns="0" tIns="0" rIns="0" bIns="0" rtlCol="0">
                          <a:prstTxWarp prst="textNoShape">
                            <a:avLst/>
                          </a:prstTxWarp>
                          <a:noAutofit/>
                        </wps:bodyPr>
                      </wps:wsp>
                      <wps:wsp>
                        <wps:cNvPr id="1764" name="Graphic 1764"/>
                        <wps:cNvSpPr/>
                        <wps:spPr>
                          <a:xfrm>
                            <a:off x="396518" y="114591"/>
                            <a:ext cx="2514600" cy="1936750"/>
                          </a:xfrm>
                          <a:custGeom>
                            <a:avLst/>
                            <a:gdLst/>
                            <a:ahLst/>
                            <a:cxnLst/>
                            <a:rect l="l" t="t" r="r" b="b"/>
                            <a:pathLst>
                              <a:path w="2514600" h="1936750">
                                <a:moveTo>
                                  <a:pt x="2514600" y="1876425"/>
                                </a:moveTo>
                                <a:lnTo>
                                  <a:pt x="41275" y="1876425"/>
                                </a:lnTo>
                                <a:lnTo>
                                  <a:pt x="41275" y="0"/>
                                </a:lnTo>
                                <a:lnTo>
                                  <a:pt x="38100" y="0"/>
                                </a:lnTo>
                                <a:lnTo>
                                  <a:pt x="34925" y="0"/>
                                </a:lnTo>
                                <a:lnTo>
                                  <a:pt x="0" y="0"/>
                                </a:lnTo>
                                <a:lnTo>
                                  <a:pt x="0" y="6350"/>
                                </a:lnTo>
                                <a:lnTo>
                                  <a:pt x="34925" y="6350"/>
                                </a:lnTo>
                                <a:lnTo>
                                  <a:pt x="34925" y="375285"/>
                                </a:lnTo>
                                <a:lnTo>
                                  <a:pt x="0" y="375285"/>
                                </a:lnTo>
                                <a:lnTo>
                                  <a:pt x="0" y="381635"/>
                                </a:lnTo>
                                <a:lnTo>
                                  <a:pt x="34925" y="381635"/>
                                </a:lnTo>
                                <a:lnTo>
                                  <a:pt x="34925" y="750570"/>
                                </a:lnTo>
                                <a:lnTo>
                                  <a:pt x="0" y="750570"/>
                                </a:lnTo>
                                <a:lnTo>
                                  <a:pt x="0" y="756920"/>
                                </a:lnTo>
                                <a:lnTo>
                                  <a:pt x="34925" y="756920"/>
                                </a:lnTo>
                                <a:lnTo>
                                  <a:pt x="34925" y="1125855"/>
                                </a:lnTo>
                                <a:lnTo>
                                  <a:pt x="0" y="1125855"/>
                                </a:lnTo>
                                <a:lnTo>
                                  <a:pt x="0" y="1132205"/>
                                </a:lnTo>
                                <a:lnTo>
                                  <a:pt x="34925" y="1132205"/>
                                </a:lnTo>
                                <a:lnTo>
                                  <a:pt x="34925" y="1501140"/>
                                </a:lnTo>
                                <a:lnTo>
                                  <a:pt x="0" y="1501140"/>
                                </a:lnTo>
                                <a:lnTo>
                                  <a:pt x="0" y="1507490"/>
                                </a:lnTo>
                                <a:lnTo>
                                  <a:pt x="34925" y="1507490"/>
                                </a:lnTo>
                                <a:lnTo>
                                  <a:pt x="34925" y="1876425"/>
                                </a:lnTo>
                                <a:lnTo>
                                  <a:pt x="0" y="1876425"/>
                                </a:lnTo>
                                <a:lnTo>
                                  <a:pt x="0" y="1882775"/>
                                </a:lnTo>
                                <a:lnTo>
                                  <a:pt x="34925" y="1882775"/>
                                </a:lnTo>
                                <a:lnTo>
                                  <a:pt x="34925" y="1936750"/>
                                </a:lnTo>
                                <a:lnTo>
                                  <a:pt x="41275" y="1936750"/>
                                </a:lnTo>
                                <a:lnTo>
                                  <a:pt x="41275" y="1882775"/>
                                </a:lnTo>
                                <a:lnTo>
                                  <a:pt x="859358" y="1882775"/>
                                </a:lnTo>
                                <a:lnTo>
                                  <a:pt x="859358" y="1936750"/>
                                </a:lnTo>
                                <a:lnTo>
                                  <a:pt x="865708" y="1936750"/>
                                </a:lnTo>
                                <a:lnTo>
                                  <a:pt x="865708" y="1882775"/>
                                </a:lnTo>
                                <a:lnTo>
                                  <a:pt x="1683804" y="1882775"/>
                                </a:lnTo>
                                <a:lnTo>
                                  <a:pt x="1683804" y="1936750"/>
                                </a:lnTo>
                                <a:lnTo>
                                  <a:pt x="1690154" y="1936750"/>
                                </a:lnTo>
                                <a:lnTo>
                                  <a:pt x="1690154" y="1882775"/>
                                </a:lnTo>
                                <a:lnTo>
                                  <a:pt x="2508250" y="1882775"/>
                                </a:lnTo>
                                <a:lnTo>
                                  <a:pt x="2508250" y="1936750"/>
                                </a:lnTo>
                                <a:lnTo>
                                  <a:pt x="2514600" y="1936750"/>
                                </a:lnTo>
                                <a:lnTo>
                                  <a:pt x="2514600" y="1882775"/>
                                </a:lnTo>
                                <a:lnTo>
                                  <a:pt x="2514600" y="1878444"/>
                                </a:lnTo>
                                <a:lnTo>
                                  <a:pt x="2514600" y="1876425"/>
                                </a:lnTo>
                                <a:close/>
                              </a:path>
                            </a:pathLst>
                          </a:custGeom>
                          <a:solidFill>
                            <a:srgbClr val="000000"/>
                          </a:solidFill>
                        </wps:spPr>
                        <wps:bodyPr wrap="square" lIns="0" tIns="0" rIns="0" bIns="0" rtlCol="0">
                          <a:prstTxWarp prst="textNoShape">
                            <a:avLst/>
                          </a:prstTxWarp>
                          <a:noAutofit/>
                        </wps:bodyPr>
                      </wps:wsp>
                      <wps:wsp>
                        <wps:cNvPr id="1765" name="Graphic 1765"/>
                        <wps:cNvSpPr/>
                        <wps:spPr>
                          <a:xfrm>
                            <a:off x="702706" y="1749572"/>
                            <a:ext cx="285750" cy="241300"/>
                          </a:xfrm>
                          <a:custGeom>
                            <a:avLst/>
                            <a:gdLst/>
                            <a:ahLst/>
                            <a:cxnLst/>
                            <a:rect l="l" t="t" r="r" b="b"/>
                            <a:pathLst>
                              <a:path w="285750" h="241300">
                                <a:moveTo>
                                  <a:pt x="285750" y="0"/>
                                </a:moveTo>
                                <a:lnTo>
                                  <a:pt x="0" y="0"/>
                                </a:lnTo>
                                <a:lnTo>
                                  <a:pt x="0" y="241005"/>
                                </a:lnTo>
                                <a:lnTo>
                                  <a:pt x="285750" y="241005"/>
                                </a:lnTo>
                                <a:lnTo>
                                  <a:pt x="285750" y="0"/>
                                </a:lnTo>
                                <a:close/>
                              </a:path>
                            </a:pathLst>
                          </a:custGeom>
                          <a:solidFill>
                            <a:srgbClr val="2F7D41"/>
                          </a:solidFill>
                        </wps:spPr>
                        <wps:bodyPr wrap="square" lIns="0" tIns="0" rIns="0" bIns="0" rtlCol="0">
                          <a:prstTxWarp prst="textNoShape">
                            <a:avLst/>
                          </a:prstTxWarp>
                          <a:noAutofit/>
                        </wps:bodyPr>
                      </wps:wsp>
                      <wps:wsp>
                        <wps:cNvPr id="1766" name="Textbox 1766"/>
                        <wps:cNvSpPr txBox="1"/>
                        <wps:spPr>
                          <a:xfrm>
                            <a:off x="2419446" y="2034444"/>
                            <a:ext cx="167005" cy="102235"/>
                          </a:xfrm>
                          <a:prstGeom prst="rect">
                            <a:avLst/>
                          </a:prstGeom>
                        </wps:spPr>
                        <wps:txbx>
                          <w:txbxContent>
                            <w:p>
                              <w:pPr>
                                <w:spacing w:line="161" w:lineRule="exact" w:before="0"/>
                                <w:ind w:left="0" w:right="0" w:firstLine="0"/>
                                <w:jc w:val="left"/>
                                <w:rPr>
                                  <w:rFonts w:ascii="Arial MT"/>
                                  <w:sz w:val="14"/>
                                </w:rPr>
                              </w:pPr>
                              <w:r>
                                <w:rPr>
                                  <w:rFonts w:ascii="Arial MT"/>
                                  <w:spacing w:val="-7"/>
                                  <w:w w:val="90"/>
                                  <w:sz w:val="14"/>
                                </w:rPr>
                                <w:t>Total</w:t>
                              </w:r>
                            </w:p>
                          </w:txbxContent>
                        </wps:txbx>
                        <wps:bodyPr wrap="square" lIns="0" tIns="0" rIns="0" bIns="0" rtlCol="0">
                          <a:noAutofit/>
                        </wps:bodyPr>
                      </wps:wsp>
                      <wps:wsp>
                        <wps:cNvPr id="1767" name="Textbox 1767"/>
                        <wps:cNvSpPr txBox="1"/>
                        <wps:spPr>
                          <a:xfrm>
                            <a:off x="1556924" y="2034444"/>
                            <a:ext cx="240029"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Private</w:t>
                              </w:r>
                            </w:p>
                          </w:txbxContent>
                        </wps:txbx>
                        <wps:bodyPr wrap="square" lIns="0" tIns="0" rIns="0" bIns="0" rtlCol="0">
                          <a:noAutofit/>
                        </wps:bodyPr>
                      </wps:wsp>
                      <wps:wsp>
                        <wps:cNvPr id="1768" name="Textbox 1768"/>
                        <wps:cNvSpPr txBox="1"/>
                        <wps:spPr>
                          <a:xfrm>
                            <a:off x="643701" y="2034444"/>
                            <a:ext cx="4140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Government</w:t>
                              </w:r>
                            </w:p>
                          </w:txbxContent>
                        </wps:txbx>
                        <wps:bodyPr wrap="square" lIns="0" tIns="0" rIns="0" bIns="0" rtlCol="0">
                          <a:noAutofit/>
                        </wps:bodyPr>
                      </wps:wsp>
                      <wps:wsp>
                        <wps:cNvPr id="1769" name="Textbox 1769"/>
                        <wps:cNvSpPr txBox="1"/>
                        <wps:spPr>
                          <a:xfrm>
                            <a:off x="315839" y="1929610"/>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sz w:val="14"/>
                                </w:rPr>
                                <w:t>0</w:t>
                              </w:r>
                            </w:p>
                          </w:txbxContent>
                        </wps:txbx>
                        <wps:bodyPr wrap="square" lIns="0" tIns="0" rIns="0" bIns="0" rtlCol="0">
                          <a:noAutofit/>
                        </wps:bodyPr>
                      </wps:wsp>
                      <wps:wsp>
                        <wps:cNvPr id="1770" name="Textbox 1770"/>
                        <wps:cNvSpPr txBox="1"/>
                        <wps:spPr>
                          <a:xfrm>
                            <a:off x="153666" y="1561310"/>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20000</w:t>
                              </w:r>
                            </w:p>
                          </w:txbxContent>
                        </wps:txbx>
                        <wps:bodyPr wrap="square" lIns="0" tIns="0" rIns="0" bIns="0" rtlCol="0">
                          <a:noAutofit/>
                        </wps:bodyPr>
                      </wps:wsp>
                      <wps:wsp>
                        <wps:cNvPr id="1771" name="Textbox 1771"/>
                        <wps:cNvSpPr txBox="1"/>
                        <wps:spPr>
                          <a:xfrm>
                            <a:off x="153666" y="1193010"/>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40000</w:t>
                              </w:r>
                            </w:p>
                          </w:txbxContent>
                        </wps:txbx>
                        <wps:bodyPr wrap="square" lIns="0" tIns="0" rIns="0" bIns="0" rtlCol="0">
                          <a:noAutofit/>
                        </wps:bodyPr>
                      </wps:wsp>
                      <wps:wsp>
                        <wps:cNvPr id="1772" name="Textbox 1772"/>
                        <wps:cNvSpPr txBox="1"/>
                        <wps:spPr>
                          <a:xfrm>
                            <a:off x="153666" y="824710"/>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60000</w:t>
                              </w:r>
                            </w:p>
                          </w:txbxContent>
                        </wps:txbx>
                        <wps:bodyPr wrap="square" lIns="0" tIns="0" rIns="0" bIns="0" rtlCol="0">
                          <a:noAutofit/>
                        </wps:bodyPr>
                      </wps:wsp>
                      <wps:wsp>
                        <wps:cNvPr id="1773" name="Textbox 1773"/>
                        <wps:cNvSpPr txBox="1"/>
                        <wps:spPr>
                          <a:xfrm>
                            <a:off x="153666" y="456410"/>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80000</w:t>
                              </w:r>
                            </w:p>
                          </w:txbxContent>
                        </wps:txbx>
                        <wps:bodyPr wrap="square" lIns="0" tIns="0" rIns="0" bIns="0" rtlCol="0">
                          <a:noAutofit/>
                        </wps:bodyPr>
                      </wps:wsp>
                      <wps:wsp>
                        <wps:cNvPr id="1774" name="Textbox 1774"/>
                        <wps:cNvSpPr txBox="1"/>
                        <wps:spPr>
                          <a:xfrm>
                            <a:off x="113122" y="88110"/>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100000</w:t>
                              </w:r>
                            </w:p>
                          </w:txbxContent>
                        </wps:txbx>
                        <wps:bodyPr wrap="square" lIns="0" tIns="0" rIns="0" bIns="0" rtlCol="0">
                          <a:noAutofit/>
                        </wps:bodyPr>
                      </wps:wsp>
                    </wpg:wgp>
                  </a:graphicData>
                </a:graphic>
              </wp:inline>
            </w:drawing>
          </mc:Choice>
          <mc:Fallback>
            <w:pict>
              <v:group style="width:234.85pt;height:181pt;mso-position-horizontal-relative:char;mso-position-vertical-relative:line" id="docshapegroup1747" coordorigin="0,0" coordsize="4697,3620">
                <v:shape style="position:absolute;left:0;top:0;width:4697;height:3620" id="docshape1748" coordorigin="0,0" coordsize="4697,3620" path="m4697,0l4687,0,4687,10,4687,3610,4687,3610,4687,3615,4687,3616,5,3616,5,3615,10,3615,4687,3615,4687,3610,10,3610,5,3610,5,3610,10,3610,10,10,4687,10,4687,0,0,0,0,6,0,10,0,3610,0,3616,0,3620,4697,3620,4697,3616,4692,3616,4692,3615,4697,3615,4697,3610,4692,3610,4692,3610,4697,3610,4697,10,4697,10,4697,6,4697,5,4697,0xe" filled="true" fillcolor="#000000" stroked="false">
                  <v:path arrowok="t"/>
                  <v:fill type="solid"/>
                </v:shape>
                <v:shape style="position:absolute;left:2406;top:401;width:1753;height:2734" id="docshape1749" coordorigin="2407,401" coordsize="1753,2734" path="m2857,681l2407,681,2407,3135,2857,3135,2857,681xm4160,401l3710,401,3710,3135,4160,3135,4160,401xe" filled="true" fillcolor="#2f7d41" stroked="false">
                  <v:path arrowok="t"/>
                  <v:fill type="solid"/>
                </v:shape>
                <v:shape style="position:absolute;left:624;top:180;width:3960;height:3050" id="docshape1750" coordorigin="624,180" coordsize="3960,3050" path="m4584,3135l689,3135,689,180,684,180,679,180,624,180,624,190,679,190,679,771,624,771,624,781,679,781,679,1362,624,1362,624,1372,679,1372,679,1953,624,1953,624,1963,679,1963,679,2544,624,2544,624,2554,679,2554,679,3135,624,3135,624,3145,679,3145,679,3230,689,3230,689,3145,1978,3145,1978,3230,1988,3230,1988,3145,3276,3145,3276,3230,3286,3230,3286,3145,4574,3145,4574,3230,4584,3230,4584,3145,4584,3139,4584,3135xe" filled="true" fillcolor="#000000" stroked="false">
                  <v:path arrowok="t"/>
                  <v:fill type="solid"/>
                </v:shape>
                <v:rect style="position:absolute;left:1106;top:2755;width:450;height:380" id="docshape1751" filled="true" fillcolor="#2f7d41" stroked="false">
                  <v:fill type="solid"/>
                </v:rect>
                <v:shape style="position:absolute;left:3810;top:3203;width:263;height:161" type="#_x0000_t202" id="docshape1752" filled="false" stroked="false">
                  <v:textbox inset="0,0,0,0">
                    <w:txbxContent>
                      <w:p>
                        <w:pPr>
                          <w:spacing w:line="161" w:lineRule="exact" w:before="0"/>
                          <w:ind w:left="0" w:right="0" w:firstLine="0"/>
                          <w:jc w:val="left"/>
                          <w:rPr>
                            <w:rFonts w:ascii="Arial MT"/>
                            <w:sz w:val="14"/>
                          </w:rPr>
                        </w:pPr>
                        <w:r>
                          <w:rPr>
                            <w:rFonts w:ascii="Arial MT"/>
                            <w:spacing w:val="-7"/>
                            <w:w w:val="90"/>
                            <w:sz w:val="14"/>
                          </w:rPr>
                          <w:t>Total</w:t>
                        </w:r>
                      </w:p>
                    </w:txbxContent>
                  </v:textbox>
                  <w10:wrap type="none"/>
                </v:shape>
                <v:shape style="position:absolute;left:2451;top:3203;width:378;height:161" type="#_x0000_t202" id="docshape1753" filled="false" stroked="false">
                  <v:textbox inset="0,0,0,0">
                    <w:txbxContent>
                      <w:p>
                        <w:pPr>
                          <w:spacing w:line="161" w:lineRule="exact" w:before="0"/>
                          <w:ind w:left="0" w:right="0" w:firstLine="0"/>
                          <w:jc w:val="left"/>
                          <w:rPr>
                            <w:rFonts w:ascii="Arial MT"/>
                            <w:sz w:val="14"/>
                          </w:rPr>
                        </w:pPr>
                        <w:r>
                          <w:rPr>
                            <w:rFonts w:ascii="Arial MT"/>
                            <w:spacing w:val="-2"/>
                            <w:w w:val="85"/>
                            <w:sz w:val="14"/>
                          </w:rPr>
                          <w:t>Private</w:t>
                        </w:r>
                      </w:p>
                    </w:txbxContent>
                  </v:textbox>
                  <w10:wrap type="none"/>
                </v:shape>
                <v:shape style="position:absolute;left:1013;top:3203;width:652;height:161" type="#_x0000_t202" id="docshape1754" filled="false" stroked="false">
                  <v:textbox inset="0,0,0,0">
                    <w:txbxContent>
                      <w:p>
                        <w:pPr>
                          <w:spacing w:line="161" w:lineRule="exact" w:before="0"/>
                          <w:ind w:left="0" w:right="0" w:firstLine="0"/>
                          <w:jc w:val="left"/>
                          <w:rPr>
                            <w:rFonts w:ascii="Arial MT"/>
                            <w:sz w:val="14"/>
                          </w:rPr>
                        </w:pPr>
                        <w:r>
                          <w:rPr>
                            <w:rFonts w:ascii="Arial MT"/>
                            <w:spacing w:val="-2"/>
                            <w:w w:val="85"/>
                            <w:sz w:val="14"/>
                          </w:rPr>
                          <w:t>Government</w:t>
                        </w:r>
                      </w:p>
                    </w:txbxContent>
                  </v:textbox>
                  <w10:wrap type="none"/>
                </v:shape>
                <v:shape style="position:absolute;left:497;top:3038;width:84;height:161" type="#_x0000_t202" id="docshape1755" filled="false" stroked="false">
                  <v:textbox inset="0,0,0,0">
                    <w:txbxContent>
                      <w:p>
                        <w:pPr>
                          <w:spacing w:line="161" w:lineRule="exact" w:before="0"/>
                          <w:ind w:left="0" w:right="0" w:firstLine="0"/>
                          <w:jc w:val="left"/>
                          <w:rPr>
                            <w:rFonts w:ascii="Arial MT"/>
                            <w:sz w:val="14"/>
                          </w:rPr>
                        </w:pPr>
                        <w:r>
                          <w:rPr>
                            <w:rFonts w:ascii="Arial MT"/>
                            <w:spacing w:val="-10"/>
                            <w:sz w:val="14"/>
                          </w:rPr>
                          <w:t>0</w:t>
                        </w:r>
                      </w:p>
                    </w:txbxContent>
                  </v:textbox>
                  <w10:wrap type="none"/>
                </v:shape>
                <v:shape style="position:absolute;left:242;top:2458;width:340;height:161" type="#_x0000_t202" id="docshape1756" filled="false" stroked="false">
                  <v:textbox inset="0,0,0,0">
                    <w:txbxContent>
                      <w:p>
                        <w:pPr>
                          <w:spacing w:line="161" w:lineRule="exact" w:before="0"/>
                          <w:ind w:left="0" w:right="0" w:firstLine="0"/>
                          <w:jc w:val="left"/>
                          <w:rPr>
                            <w:rFonts w:ascii="Arial MT"/>
                            <w:sz w:val="14"/>
                          </w:rPr>
                        </w:pPr>
                        <w:r>
                          <w:rPr>
                            <w:rFonts w:ascii="Arial MT"/>
                            <w:spacing w:val="-2"/>
                            <w:w w:val="85"/>
                            <w:sz w:val="14"/>
                          </w:rPr>
                          <w:t>20000</w:t>
                        </w:r>
                      </w:p>
                    </w:txbxContent>
                  </v:textbox>
                  <w10:wrap type="none"/>
                </v:shape>
                <v:shape style="position:absolute;left:242;top:1878;width:340;height:161" type="#_x0000_t202" id="docshape1757" filled="false" stroked="false">
                  <v:textbox inset="0,0,0,0">
                    <w:txbxContent>
                      <w:p>
                        <w:pPr>
                          <w:spacing w:line="161" w:lineRule="exact" w:before="0"/>
                          <w:ind w:left="0" w:right="0" w:firstLine="0"/>
                          <w:jc w:val="left"/>
                          <w:rPr>
                            <w:rFonts w:ascii="Arial MT"/>
                            <w:sz w:val="14"/>
                          </w:rPr>
                        </w:pPr>
                        <w:r>
                          <w:rPr>
                            <w:rFonts w:ascii="Arial MT"/>
                            <w:spacing w:val="-2"/>
                            <w:w w:val="85"/>
                            <w:sz w:val="14"/>
                          </w:rPr>
                          <w:t>40000</w:t>
                        </w:r>
                      </w:p>
                    </w:txbxContent>
                  </v:textbox>
                  <w10:wrap type="none"/>
                </v:shape>
                <v:shape style="position:absolute;left:242;top:1298;width:340;height:161" type="#_x0000_t202" id="docshape1758" filled="false" stroked="false">
                  <v:textbox inset="0,0,0,0">
                    <w:txbxContent>
                      <w:p>
                        <w:pPr>
                          <w:spacing w:line="161" w:lineRule="exact" w:before="0"/>
                          <w:ind w:left="0" w:right="0" w:firstLine="0"/>
                          <w:jc w:val="left"/>
                          <w:rPr>
                            <w:rFonts w:ascii="Arial MT"/>
                            <w:sz w:val="14"/>
                          </w:rPr>
                        </w:pPr>
                        <w:r>
                          <w:rPr>
                            <w:rFonts w:ascii="Arial MT"/>
                            <w:spacing w:val="-2"/>
                            <w:w w:val="85"/>
                            <w:sz w:val="14"/>
                          </w:rPr>
                          <w:t>60000</w:t>
                        </w:r>
                      </w:p>
                    </w:txbxContent>
                  </v:textbox>
                  <w10:wrap type="none"/>
                </v:shape>
                <v:shape style="position:absolute;left:242;top:718;width:340;height:161" type="#_x0000_t202" id="docshape1759" filled="false" stroked="false">
                  <v:textbox inset="0,0,0,0">
                    <w:txbxContent>
                      <w:p>
                        <w:pPr>
                          <w:spacing w:line="161" w:lineRule="exact" w:before="0"/>
                          <w:ind w:left="0" w:right="0" w:firstLine="0"/>
                          <w:jc w:val="left"/>
                          <w:rPr>
                            <w:rFonts w:ascii="Arial MT"/>
                            <w:sz w:val="14"/>
                          </w:rPr>
                        </w:pPr>
                        <w:r>
                          <w:rPr>
                            <w:rFonts w:ascii="Arial MT"/>
                            <w:spacing w:val="-2"/>
                            <w:w w:val="85"/>
                            <w:sz w:val="14"/>
                          </w:rPr>
                          <w:t>80000</w:t>
                        </w:r>
                      </w:p>
                    </w:txbxContent>
                  </v:textbox>
                  <w10:wrap type="none"/>
                </v:shape>
                <v:shape style="position:absolute;left:178;top:138;width:404;height:161" type="#_x0000_t202" id="docshape1760" filled="false" stroked="false">
                  <v:textbox inset="0,0,0,0">
                    <w:txbxContent>
                      <w:p>
                        <w:pPr>
                          <w:spacing w:line="161" w:lineRule="exact" w:before="0"/>
                          <w:ind w:left="0" w:right="0" w:firstLine="0"/>
                          <w:jc w:val="left"/>
                          <w:rPr>
                            <w:rFonts w:ascii="Arial MT"/>
                            <w:sz w:val="14"/>
                          </w:rPr>
                        </w:pPr>
                        <w:r>
                          <w:rPr>
                            <w:rFonts w:ascii="Arial MT"/>
                            <w:spacing w:val="-2"/>
                            <w:w w:val="85"/>
                            <w:sz w:val="14"/>
                          </w:rPr>
                          <w:t>100000</w:t>
                        </w:r>
                      </w:p>
                    </w:txbxContent>
                  </v:textbox>
                  <w10:wrap type="none"/>
                </v:shape>
              </v:group>
            </w:pict>
          </mc:Fallback>
        </mc:AlternateContent>
      </w:r>
      <w:r>
        <w:rPr>
          <w:sz w:val="20"/>
        </w:rPr>
      </w:r>
    </w:p>
    <w:p>
      <w:pPr>
        <w:spacing w:after="0" w:line="240" w:lineRule="auto"/>
        <w:rPr>
          <w:sz w:val="20"/>
        </w:rPr>
        <w:sectPr>
          <w:type w:val="continuous"/>
          <w:pgSz w:w="11910" w:h="16840"/>
          <w:pgMar w:header="0" w:footer="675" w:top="1920" w:bottom="280" w:left="0" w:right="0"/>
        </w:sectPr>
      </w:pPr>
    </w:p>
    <w:p>
      <w:pPr>
        <w:spacing w:before="12"/>
        <w:ind w:left="1079" w:right="0" w:firstLine="0"/>
        <w:jc w:val="left"/>
        <w:rPr>
          <w:sz w:val="16"/>
        </w:rPr>
      </w:pPr>
      <w:r>
        <w:rPr>
          <w:i/>
          <w:w w:val="85"/>
          <w:sz w:val="16"/>
        </w:rPr>
        <w:t>Source:</w:t>
      </w:r>
      <w:r>
        <w:rPr>
          <w:i/>
          <w:spacing w:val="-5"/>
          <w:sz w:val="16"/>
        </w:rPr>
        <w:t> </w:t>
      </w:r>
      <w:r>
        <w:rPr>
          <w:spacing w:val="-4"/>
          <w:sz w:val="16"/>
        </w:rPr>
        <w:t>MHRD</w:t>
      </w:r>
    </w:p>
    <w:p>
      <w:pPr>
        <w:spacing w:before="39"/>
        <w:ind w:left="1079" w:right="0" w:firstLine="0"/>
        <w:jc w:val="left"/>
        <w:rPr>
          <w:sz w:val="16"/>
        </w:rPr>
      </w:pPr>
      <w:r>
        <w:rPr/>
        <w:br w:type="column"/>
      </w:r>
      <w:r>
        <w:rPr>
          <w:i/>
          <w:w w:val="85"/>
          <w:sz w:val="16"/>
        </w:rPr>
        <w:t>Source:</w:t>
      </w:r>
      <w:r>
        <w:rPr>
          <w:i/>
          <w:spacing w:val="-5"/>
          <w:sz w:val="16"/>
        </w:rPr>
        <w:t> </w:t>
      </w:r>
      <w:r>
        <w:rPr>
          <w:spacing w:val="-4"/>
          <w:sz w:val="16"/>
        </w:rPr>
        <w:t>MHRD</w:t>
      </w:r>
    </w:p>
    <w:p>
      <w:pPr>
        <w:spacing w:after="0"/>
        <w:jc w:val="left"/>
        <w:rPr>
          <w:sz w:val="16"/>
        </w:rPr>
        <w:sectPr>
          <w:type w:val="continuous"/>
          <w:pgSz w:w="11910" w:h="16840"/>
          <w:pgMar w:header="0" w:footer="675" w:top="1920" w:bottom="280" w:left="0" w:right="0"/>
          <w:cols w:num="2" w:equalWidth="0">
            <w:col w:w="2085" w:space="2968"/>
            <w:col w:w="6857"/>
          </w:cols>
        </w:sectPr>
      </w:pPr>
    </w:p>
    <w:p>
      <w:pPr>
        <w:pStyle w:val="Heading8"/>
        <w:spacing w:line="242" w:lineRule="auto" w:before="73"/>
        <w:ind w:left="2108" w:hanging="1029"/>
      </w:pPr>
      <w:r>
        <w:rPr>
          <w:w w:val="90"/>
        </w:rPr>
        <w:t>Figure 37: </w:t>
      </w:r>
      <w:r>
        <w:rPr>
          <w:color w:val="2E614A"/>
          <w:w w:val="90"/>
        </w:rPr>
        <w:t>Regional distribution of </w:t>
      </w:r>
      <w:r>
        <w:rPr>
          <w:color w:val="2E614A"/>
          <w:w w:val="90"/>
        </w:rPr>
        <w:t>management </w:t>
      </w:r>
      <w:r>
        <w:rPr>
          <w:color w:val="2E614A"/>
        </w:rPr>
        <w:t>colleges (2006-07)</w:t>
      </w:r>
    </w:p>
    <w:p>
      <w:pPr>
        <w:pStyle w:val="BodyText"/>
        <w:spacing w:before="9"/>
        <w:rPr>
          <w:b/>
          <w:sz w:val="13"/>
        </w:rPr>
      </w:pPr>
      <w:r>
        <w:rPr/>
        <mc:AlternateContent>
          <mc:Choice Requires="wps">
            <w:drawing>
              <wp:anchor distT="0" distB="0" distL="0" distR="0" allowOverlap="1" layoutInCell="1" locked="0" behindDoc="1" simplePos="0" relativeHeight="487704064">
                <wp:simplePos x="0" y="0"/>
                <wp:positionH relativeFrom="page">
                  <wp:posOffset>685800</wp:posOffset>
                </wp:positionH>
                <wp:positionV relativeFrom="paragraph">
                  <wp:posOffset>116492</wp:posOffset>
                </wp:positionV>
                <wp:extent cx="2980055" cy="2667000"/>
                <wp:effectExtent l="0" t="0" r="0" b="0"/>
                <wp:wrapTopAndBottom/>
                <wp:docPr id="1775" name="Group 1775"/>
                <wp:cNvGraphicFramePr>
                  <a:graphicFrameLocks/>
                </wp:cNvGraphicFramePr>
                <a:graphic>
                  <a:graphicData uri="http://schemas.microsoft.com/office/word/2010/wordprocessingGroup">
                    <wpg:wgp>
                      <wpg:cNvPr id="1775" name="Group 1775"/>
                      <wpg:cNvGrpSpPr/>
                      <wpg:grpSpPr>
                        <a:xfrm>
                          <a:off x="0" y="0"/>
                          <a:ext cx="2980055" cy="2667000"/>
                          <a:chExt cx="2980055" cy="2667000"/>
                        </a:xfrm>
                      </wpg:grpSpPr>
                      <wps:wsp>
                        <wps:cNvPr id="1776" name="Graphic 1776"/>
                        <wps:cNvSpPr/>
                        <wps:spPr>
                          <a:xfrm>
                            <a:off x="1492910" y="560877"/>
                            <a:ext cx="948690" cy="1200785"/>
                          </a:xfrm>
                          <a:custGeom>
                            <a:avLst/>
                            <a:gdLst/>
                            <a:ahLst/>
                            <a:cxnLst/>
                            <a:rect l="l" t="t" r="r" b="b"/>
                            <a:pathLst>
                              <a:path w="948690" h="1200785">
                                <a:moveTo>
                                  <a:pt x="0" y="0"/>
                                </a:moveTo>
                                <a:lnTo>
                                  <a:pt x="768" y="944302"/>
                                </a:lnTo>
                                <a:lnTo>
                                  <a:pt x="913817" y="1200398"/>
                                </a:lnTo>
                                <a:lnTo>
                                  <a:pt x="926126" y="1151064"/>
                                </a:lnTo>
                                <a:lnTo>
                                  <a:pt x="935828" y="1100715"/>
                                </a:lnTo>
                                <a:lnTo>
                                  <a:pt x="942849" y="1049422"/>
                                </a:lnTo>
                                <a:lnTo>
                                  <a:pt x="947116" y="997260"/>
                                </a:lnTo>
                                <a:lnTo>
                                  <a:pt x="948555" y="944302"/>
                                </a:lnTo>
                                <a:lnTo>
                                  <a:pt x="947330" y="895436"/>
                                </a:lnTo>
                                <a:lnTo>
                                  <a:pt x="943696" y="847243"/>
                                </a:lnTo>
                                <a:lnTo>
                                  <a:pt x="937708" y="799780"/>
                                </a:lnTo>
                                <a:lnTo>
                                  <a:pt x="929427" y="753105"/>
                                </a:lnTo>
                                <a:lnTo>
                                  <a:pt x="918908" y="707275"/>
                                </a:lnTo>
                                <a:lnTo>
                                  <a:pt x="906210" y="662348"/>
                                </a:lnTo>
                                <a:lnTo>
                                  <a:pt x="891392" y="618381"/>
                                </a:lnTo>
                                <a:lnTo>
                                  <a:pt x="874510" y="575433"/>
                                </a:lnTo>
                                <a:lnTo>
                                  <a:pt x="855622" y="533561"/>
                                </a:lnTo>
                                <a:lnTo>
                                  <a:pt x="834787" y="492822"/>
                                </a:lnTo>
                                <a:lnTo>
                                  <a:pt x="812063" y="453275"/>
                                </a:lnTo>
                                <a:lnTo>
                                  <a:pt x="787506" y="414976"/>
                                </a:lnTo>
                                <a:lnTo>
                                  <a:pt x="761176" y="377983"/>
                                </a:lnTo>
                                <a:lnTo>
                                  <a:pt x="733129" y="342355"/>
                                </a:lnTo>
                                <a:lnTo>
                                  <a:pt x="703424" y="308148"/>
                                </a:lnTo>
                                <a:lnTo>
                                  <a:pt x="672119" y="275421"/>
                                </a:lnTo>
                                <a:lnTo>
                                  <a:pt x="639271" y="244230"/>
                                </a:lnTo>
                                <a:lnTo>
                                  <a:pt x="604938" y="214634"/>
                                </a:lnTo>
                                <a:lnTo>
                                  <a:pt x="569178" y="186691"/>
                                </a:lnTo>
                                <a:lnTo>
                                  <a:pt x="532049" y="160457"/>
                                </a:lnTo>
                                <a:lnTo>
                                  <a:pt x="493609" y="135991"/>
                                </a:lnTo>
                                <a:lnTo>
                                  <a:pt x="453915" y="113349"/>
                                </a:lnTo>
                                <a:lnTo>
                                  <a:pt x="413026" y="92591"/>
                                </a:lnTo>
                                <a:lnTo>
                                  <a:pt x="370999" y="73773"/>
                                </a:lnTo>
                                <a:lnTo>
                                  <a:pt x="327892" y="56953"/>
                                </a:lnTo>
                                <a:lnTo>
                                  <a:pt x="283764" y="42189"/>
                                </a:lnTo>
                                <a:lnTo>
                                  <a:pt x="238671" y="29538"/>
                                </a:lnTo>
                                <a:lnTo>
                                  <a:pt x="192671" y="19058"/>
                                </a:lnTo>
                                <a:lnTo>
                                  <a:pt x="145824" y="10806"/>
                                </a:lnTo>
                                <a:lnTo>
                                  <a:pt x="98185" y="4841"/>
                                </a:lnTo>
                                <a:lnTo>
                                  <a:pt x="49814" y="1219"/>
                                </a:lnTo>
                                <a:lnTo>
                                  <a:pt x="0" y="0"/>
                                </a:lnTo>
                                <a:close/>
                              </a:path>
                            </a:pathLst>
                          </a:custGeom>
                          <a:solidFill>
                            <a:srgbClr val="2F7D41"/>
                          </a:solidFill>
                        </wps:spPr>
                        <wps:bodyPr wrap="square" lIns="0" tIns="0" rIns="0" bIns="0" rtlCol="0">
                          <a:prstTxWarp prst="textNoShape">
                            <a:avLst/>
                          </a:prstTxWarp>
                          <a:noAutofit/>
                        </wps:bodyPr>
                      </wps:wsp>
                      <wps:wsp>
                        <wps:cNvPr id="1777" name="Graphic 1777"/>
                        <wps:cNvSpPr/>
                        <wps:spPr>
                          <a:xfrm>
                            <a:off x="545904" y="1407374"/>
                            <a:ext cx="1861185" cy="1042669"/>
                          </a:xfrm>
                          <a:custGeom>
                            <a:avLst/>
                            <a:gdLst/>
                            <a:ahLst/>
                            <a:cxnLst/>
                            <a:rect l="l" t="t" r="r" b="b"/>
                            <a:pathLst>
                              <a:path w="1861185" h="1042669">
                                <a:moveTo>
                                  <a:pt x="4935" y="0"/>
                                </a:moveTo>
                                <a:lnTo>
                                  <a:pt x="2788" y="24192"/>
                                </a:lnTo>
                                <a:lnTo>
                                  <a:pt x="1244" y="48562"/>
                                </a:lnTo>
                                <a:lnTo>
                                  <a:pt x="312" y="73103"/>
                                </a:lnTo>
                                <a:lnTo>
                                  <a:pt x="0" y="97804"/>
                                </a:lnTo>
                                <a:lnTo>
                                  <a:pt x="1224" y="146671"/>
                                </a:lnTo>
                                <a:lnTo>
                                  <a:pt x="4859" y="194864"/>
                                </a:lnTo>
                                <a:lnTo>
                                  <a:pt x="10846" y="242328"/>
                                </a:lnTo>
                                <a:lnTo>
                                  <a:pt x="19128" y="289004"/>
                                </a:lnTo>
                                <a:lnTo>
                                  <a:pt x="29646" y="334834"/>
                                </a:lnTo>
                                <a:lnTo>
                                  <a:pt x="42344" y="379762"/>
                                </a:lnTo>
                                <a:lnTo>
                                  <a:pt x="57162" y="423729"/>
                                </a:lnTo>
                                <a:lnTo>
                                  <a:pt x="74044" y="466677"/>
                                </a:lnTo>
                                <a:lnTo>
                                  <a:pt x="92931" y="508550"/>
                                </a:lnTo>
                                <a:lnTo>
                                  <a:pt x="113766" y="549290"/>
                                </a:lnTo>
                                <a:lnTo>
                                  <a:pt x="136491" y="588838"/>
                                </a:lnTo>
                                <a:lnTo>
                                  <a:pt x="161047" y="627137"/>
                                </a:lnTo>
                                <a:lnTo>
                                  <a:pt x="187377" y="664130"/>
                                </a:lnTo>
                                <a:lnTo>
                                  <a:pt x="215424" y="699759"/>
                                </a:lnTo>
                                <a:lnTo>
                                  <a:pt x="245128" y="733966"/>
                                </a:lnTo>
                                <a:lnTo>
                                  <a:pt x="276433" y="766694"/>
                                </a:lnTo>
                                <a:lnTo>
                                  <a:pt x="309281" y="797885"/>
                                </a:lnTo>
                                <a:lnTo>
                                  <a:pt x="343614" y="827481"/>
                                </a:lnTo>
                                <a:lnTo>
                                  <a:pt x="379373" y="855425"/>
                                </a:lnTo>
                                <a:lnTo>
                                  <a:pt x="416502" y="881659"/>
                                </a:lnTo>
                                <a:lnTo>
                                  <a:pt x="454941" y="906125"/>
                                </a:lnTo>
                                <a:lnTo>
                                  <a:pt x="494634" y="928767"/>
                                </a:lnTo>
                                <a:lnTo>
                                  <a:pt x="535523" y="949526"/>
                                </a:lnTo>
                                <a:lnTo>
                                  <a:pt x="577549" y="968344"/>
                                </a:lnTo>
                                <a:lnTo>
                                  <a:pt x="620655" y="985164"/>
                                </a:lnTo>
                                <a:lnTo>
                                  <a:pt x="664783" y="999928"/>
                                </a:lnTo>
                                <a:lnTo>
                                  <a:pt x="709876" y="1012580"/>
                                </a:lnTo>
                                <a:lnTo>
                                  <a:pt x="755874" y="1023060"/>
                                </a:lnTo>
                                <a:lnTo>
                                  <a:pt x="802721" y="1031311"/>
                                </a:lnTo>
                                <a:lnTo>
                                  <a:pt x="850358" y="1037277"/>
                                </a:lnTo>
                                <a:lnTo>
                                  <a:pt x="898729" y="1040898"/>
                                </a:lnTo>
                                <a:lnTo>
                                  <a:pt x="947774" y="1042118"/>
                                </a:lnTo>
                                <a:lnTo>
                                  <a:pt x="997902" y="1040843"/>
                                </a:lnTo>
                                <a:lnTo>
                                  <a:pt x="1047324" y="1037061"/>
                                </a:lnTo>
                                <a:lnTo>
                                  <a:pt x="1095978" y="1030831"/>
                                </a:lnTo>
                                <a:lnTo>
                                  <a:pt x="1143802" y="1022217"/>
                                </a:lnTo>
                                <a:lnTo>
                                  <a:pt x="1190734" y="1011279"/>
                                </a:lnTo>
                                <a:lnTo>
                                  <a:pt x="1236712" y="998080"/>
                                </a:lnTo>
                                <a:lnTo>
                                  <a:pt x="1281674" y="982680"/>
                                </a:lnTo>
                                <a:lnTo>
                                  <a:pt x="1325559" y="965141"/>
                                </a:lnTo>
                                <a:lnTo>
                                  <a:pt x="1368305" y="945525"/>
                                </a:lnTo>
                                <a:lnTo>
                                  <a:pt x="1409850" y="923894"/>
                                </a:lnTo>
                                <a:lnTo>
                                  <a:pt x="1450133" y="900308"/>
                                </a:lnTo>
                                <a:lnTo>
                                  <a:pt x="1489091" y="874830"/>
                                </a:lnTo>
                                <a:lnTo>
                                  <a:pt x="1526663" y="847521"/>
                                </a:lnTo>
                                <a:lnTo>
                                  <a:pt x="1562786" y="818443"/>
                                </a:lnTo>
                                <a:lnTo>
                                  <a:pt x="1597400" y="787657"/>
                                </a:lnTo>
                                <a:lnTo>
                                  <a:pt x="1630442" y="755224"/>
                                </a:lnTo>
                                <a:lnTo>
                                  <a:pt x="1661850" y="721207"/>
                                </a:lnTo>
                                <a:lnTo>
                                  <a:pt x="1691563" y="685667"/>
                                </a:lnTo>
                                <a:lnTo>
                                  <a:pt x="1719519" y="648665"/>
                                </a:lnTo>
                                <a:lnTo>
                                  <a:pt x="1745657" y="610263"/>
                                </a:lnTo>
                                <a:lnTo>
                                  <a:pt x="1769913" y="570523"/>
                                </a:lnTo>
                                <a:lnTo>
                                  <a:pt x="1792227" y="529506"/>
                                </a:lnTo>
                                <a:lnTo>
                                  <a:pt x="1812537" y="487274"/>
                                </a:lnTo>
                                <a:lnTo>
                                  <a:pt x="1830781" y="443888"/>
                                </a:lnTo>
                                <a:lnTo>
                                  <a:pt x="1846896" y="399409"/>
                                </a:lnTo>
                                <a:lnTo>
                                  <a:pt x="1860823" y="353900"/>
                                </a:lnTo>
                                <a:lnTo>
                                  <a:pt x="947774" y="97804"/>
                                </a:lnTo>
                                <a:lnTo>
                                  <a:pt x="4935" y="0"/>
                                </a:lnTo>
                                <a:close/>
                              </a:path>
                            </a:pathLst>
                          </a:custGeom>
                          <a:solidFill>
                            <a:srgbClr val="A7B1D4"/>
                          </a:solidFill>
                        </wps:spPr>
                        <wps:bodyPr wrap="square" lIns="0" tIns="0" rIns="0" bIns="0" rtlCol="0">
                          <a:prstTxWarp prst="textNoShape">
                            <a:avLst/>
                          </a:prstTxWarp>
                          <a:noAutofit/>
                        </wps:bodyPr>
                      </wps:wsp>
                      <wps:wsp>
                        <wps:cNvPr id="1778" name="Graphic 1778"/>
                        <wps:cNvSpPr/>
                        <wps:spPr>
                          <a:xfrm>
                            <a:off x="550809" y="1030690"/>
                            <a:ext cx="942975" cy="474980"/>
                          </a:xfrm>
                          <a:custGeom>
                            <a:avLst/>
                            <a:gdLst/>
                            <a:ahLst/>
                            <a:cxnLst/>
                            <a:rect l="l" t="t" r="r" b="b"/>
                            <a:pathLst>
                              <a:path w="942975" h="474980">
                                <a:moveTo>
                                  <a:pt x="121772" y="0"/>
                                </a:moveTo>
                                <a:lnTo>
                                  <a:pt x="98350" y="42950"/>
                                </a:lnTo>
                                <a:lnTo>
                                  <a:pt x="77129" y="87235"/>
                                </a:lnTo>
                                <a:lnTo>
                                  <a:pt x="58179" y="132783"/>
                                </a:lnTo>
                                <a:lnTo>
                                  <a:pt x="41573" y="179523"/>
                                </a:lnTo>
                                <a:lnTo>
                                  <a:pt x="27381" y="227385"/>
                                </a:lnTo>
                                <a:lnTo>
                                  <a:pt x="15674" y="276298"/>
                                </a:lnTo>
                                <a:lnTo>
                                  <a:pt x="6523" y="326191"/>
                                </a:lnTo>
                                <a:lnTo>
                                  <a:pt x="0" y="376994"/>
                                </a:lnTo>
                                <a:lnTo>
                                  <a:pt x="942869" y="474489"/>
                                </a:lnTo>
                                <a:lnTo>
                                  <a:pt x="121772" y="0"/>
                                </a:lnTo>
                                <a:close/>
                              </a:path>
                            </a:pathLst>
                          </a:custGeom>
                          <a:solidFill>
                            <a:srgbClr val="F2E499"/>
                          </a:solidFill>
                        </wps:spPr>
                        <wps:bodyPr wrap="square" lIns="0" tIns="0" rIns="0" bIns="0" rtlCol="0">
                          <a:prstTxWarp prst="textNoShape">
                            <a:avLst/>
                          </a:prstTxWarp>
                          <a:noAutofit/>
                        </wps:bodyPr>
                      </wps:wsp>
                      <wps:wsp>
                        <wps:cNvPr id="1779" name="Graphic 1779"/>
                        <wps:cNvSpPr/>
                        <wps:spPr>
                          <a:xfrm>
                            <a:off x="672463" y="560877"/>
                            <a:ext cx="821690" cy="944880"/>
                          </a:xfrm>
                          <a:custGeom>
                            <a:avLst/>
                            <a:gdLst/>
                            <a:ahLst/>
                            <a:cxnLst/>
                            <a:rect l="l" t="t" r="r" b="b"/>
                            <a:pathLst>
                              <a:path w="821690" h="944880">
                                <a:moveTo>
                                  <a:pt x="820446" y="0"/>
                                </a:moveTo>
                                <a:lnTo>
                                  <a:pt x="767975" y="1437"/>
                                </a:lnTo>
                                <a:lnTo>
                                  <a:pt x="716284" y="5622"/>
                                </a:lnTo>
                                <a:lnTo>
                                  <a:pt x="665442" y="12483"/>
                                </a:lnTo>
                                <a:lnTo>
                                  <a:pt x="615522" y="21949"/>
                                </a:lnTo>
                                <a:lnTo>
                                  <a:pt x="566594" y="33949"/>
                                </a:lnTo>
                                <a:lnTo>
                                  <a:pt x="518729" y="48413"/>
                                </a:lnTo>
                                <a:lnTo>
                                  <a:pt x="471998" y="65270"/>
                                </a:lnTo>
                                <a:lnTo>
                                  <a:pt x="426472" y="84450"/>
                                </a:lnTo>
                                <a:lnTo>
                                  <a:pt x="382222" y="105882"/>
                                </a:lnTo>
                                <a:lnTo>
                                  <a:pt x="339320" y="129494"/>
                                </a:lnTo>
                                <a:lnTo>
                                  <a:pt x="297835" y="155217"/>
                                </a:lnTo>
                                <a:lnTo>
                                  <a:pt x="257840" y="182979"/>
                                </a:lnTo>
                                <a:lnTo>
                                  <a:pt x="219404" y="212710"/>
                                </a:lnTo>
                                <a:lnTo>
                                  <a:pt x="182600" y="244340"/>
                                </a:lnTo>
                                <a:lnTo>
                                  <a:pt x="147497" y="277796"/>
                                </a:lnTo>
                                <a:lnTo>
                                  <a:pt x="114168" y="313010"/>
                                </a:lnTo>
                                <a:lnTo>
                                  <a:pt x="82682" y="349909"/>
                                </a:lnTo>
                                <a:lnTo>
                                  <a:pt x="53112" y="388424"/>
                                </a:lnTo>
                                <a:lnTo>
                                  <a:pt x="25527" y="428483"/>
                                </a:lnTo>
                                <a:lnTo>
                                  <a:pt x="0" y="470017"/>
                                </a:lnTo>
                                <a:lnTo>
                                  <a:pt x="821215" y="944302"/>
                                </a:lnTo>
                                <a:lnTo>
                                  <a:pt x="820446" y="0"/>
                                </a:lnTo>
                                <a:close/>
                              </a:path>
                            </a:pathLst>
                          </a:custGeom>
                          <a:solidFill>
                            <a:srgbClr val="E3C626"/>
                          </a:solidFill>
                        </wps:spPr>
                        <wps:bodyPr wrap="square" lIns="0" tIns="0" rIns="0" bIns="0" rtlCol="0">
                          <a:prstTxWarp prst="textNoShape">
                            <a:avLst/>
                          </a:prstTxWarp>
                          <a:noAutofit/>
                        </wps:bodyPr>
                      </wps:wsp>
                      <wps:wsp>
                        <wps:cNvPr id="1780" name="Graphic 1780"/>
                        <wps:cNvSpPr/>
                        <wps:spPr>
                          <a:xfrm>
                            <a:off x="1496588" y="108109"/>
                            <a:ext cx="62230" cy="62230"/>
                          </a:xfrm>
                          <a:custGeom>
                            <a:avLst/>
                            <a:gdLst/>
                            <a:ahLst/>
                            <a:cxnLst/>
                            <a:rect l="l" t="t" r="r" b="b"/>
                            <a:pathLst>
                              <a:path w="62230" h="62230">
                                <a:moveTo>
                                  <a:pt x="62005" y="0"/>
                                </a:moveTo>
                                <a:lnTo>
                                  <a:pt x="0" y="0"/>
                                </a:lnTo>
                                <a:lnTo>
                                  <a:pt x="0" y="61776"/>
                                </a:lnTo>
                                <a:lnTo>
                                  <a:pt x="62005" y="61776"/>
                                </a:lnTo>
                                <a:lnTo>
                                  <a:pt x="62005" y="0"/>
                                </a:lnTo>
                                <a:close/>
                              </a:path>
                            </a:pathLst>
                          </a:custGeom>
                          <a:solidFill>
                            <a:srgbClr val="2F7D41"/>
                          </a:solidFill>
                        </wps:spPr>
                        <wps:bodyPr wrap="square" lIns="0" tIns="0" rIns="0" bIns="0" rtlCol="0">
                          <a:prstTxWarp prst="textNoShape">
                            <a:avLst/>
                          </a:prstTxWarp>
                          <a:noAutofit/>
                        </wps:bodyPr>
                      </wps:wsp>
                      <wps:wsp>
                        <wps:cNvPr id="1781" name="Graphic 1781"/>
                        <wps:cNvSpPr/>
                        <wps:spPr>
                          <a:xfrm>
                            <a:off x="1840759" y="108109"/>
                            <a:ext cx="62230" cy="62230"/>
                          </a:xfrm>
                          <a:custGeom>
                            <a:avLst/>
                            <a:gdLst/>
                            <a:ahLst/>
                            <a:cxnLst/>
                            <a:rect l="l" t="t" r="r" b="b"/>
                            <a:pathLst>
                              <a:path w="62230" h="62230">
                                <a:moveTo>
                                  <a:pt x="62005" y="0"/>
                                </a:moveTo>
                                <a:lnTo>
                                  <a:pt x="0" y="0"/>
                                </a:lnTo>
                                <a:lnTo>
                                  <a:pt x="0" y="61776"/>
                                </a:lnTo>
                                <a:lnTo>
                                  <a:pt x="62005" y="61776"/>
                                </a:lnTo>
                                <a:lnTo>
                                  <a:pt x="62005" y="0"/>
                                </a:lnTo>
                                <a:close/>
                              </a:path>
                            </a:pathLst>
                          </a:custGeom>
                          <a:solidFill>
                            <a:srgbClr val="A7B1D4"/>
                          </a:solidFill>
                        </wps:spPr>
                        <wps:bodyPr wrap="square" lIns="0" tIns="0" rIns="0" bIns="0" rtlCol="0">
                          <a:prstTxWarp prst="textNoShape">
                            <a:avLst/>
                          </a:prstTxWarp>
                          <a:noAutofit/>
                        </wps:bodyPr>
                      </wps:wsp>
                      <wps:wsp>
                        <wps:cNvPr id="1782" name="Graphic 1782"/>
                        <wps:cNvSpPr/>
                        <wps:spPr>
                          <a:xfrm>
                            <a:off x="2184502" y="108109"/>
                            <a:ext cx="62230" cy="62230"/>
                          </a:xfrm>
                          <a:custGeom>
                            <a:avLst/>
                            <a:gdLst/>
                            <a:ahLst/>
                            <a:cxnLst/>
                            <a:rect l="l" t="t" r="r" b="b"/>
                            <a:pathLst>
                              <a:path w="62230" h="62230">
                                <a:moveTo>
                                  <a:pt x="62011" y="0"/>
                                </a:moveTo>
                                <a:lnTo>
                                  <a:pt x="0" y="0"/>
                                </a:lnTo>
                                <a:lnTo>
                                  <a:pt x="0" y="61776"/>
                                </a:lnTo>
                                <a:lnTo>
                                  <a:pt x="62011" y="61776"/>
                                </a:lnTo>
                                <a:lnTo>
                                  <a:pt x="62011" y="0"/>
                                </a:lnTo>
                                <a:close/>
                              </a:path>
                            </a:pathLst>
                          </a:custGeom>
                          <a:solidFill>
                            <a:srgbClr val="F2E499"/>
                          </a:solidFill>
                        </wps:spPr>
                        <wps:bodyPr wrap="square" lIns="0" tIns="0" rIns="0" bIns="0" rtlCol="0">
                          <a:prstTxWarp prst="textNoShape">
                            <a:avLst/>
                          </a:prstTxWarp>
                          <a:noAutofit/>
                        </wps:bodyPr>
                      </wps:wsp>
                      <wps:wsp>
                        <wps:cNvPr id="1783" name="Graphic 1783"/>
                        <wps:cNvSpPr/>
                        <wps:spPr>
                          <a:xfrm>
                            <a:off x="2519680" y="108109"/>
                            <a:ext cx="62230" cy="62230"/>
                          </a:xfrm>
                          <a:custGeom>
                            <a:avLst/>
                            <a:gdLst/>
                            <a:ahLst/>
                            <a:cxnLst/>
                            <a:rect l="l" t="t" r="r" b="b"/>
                            <a:pathLst>
                              <a:path w="62230" h="62230">
                                <a:moveTo>
                                  <a:pt x="61998" y="0"/>
                                </a:moveTo>
                                <a:lnTo>
                                  <a:pt x="0" y="0"/>
                                </a:lnTo>
                                <a:lnTo>
                                  <a:pt x="0" y="61776"/>
                                </a:lnTo>
                                <a:lnTo>
                                  <a:pt x="61998" y="61776"/>
                                </a:lnTo>
                                <a:lnTo>
                                  <a:pt x="61998" y="0"/>
                                </a:lnTo>
                                <a:close/>
                              </a:path>
                            </a:pathLst>
                          </a:custGeom>
                          <a:solidFill>
                            <a:srgbClr val="E3C626"/>
                          </a:solidFill>
                        </wps:spPr>
                        <wps:bodyPr wrap="square" lIns="0" tIns="0" rIns="0" bIns="0" rtlCol="0">
                          <a:prstTxWarp prst="textNoShape">
                            <a:avLst/>
                          </a:prstTxWarp>
                          <a:noAutofit/>
                        </wps:bodyPr>
                      </wps:wsp>
                      <wps:wsp>
                        <wps:cNvPr id="1784" name="Textbox 1784"/>
                        <wps:cNvSpPr txBox="1"/>
                        <wps:spPr>
                          <a:xfrm>
                            <a:off x="3174" y="3174"/>
                            <a:ext cx="2973705" cy="2660650"/>
                          </a:xfrm>
                          <a:prstGeom prst="rect">
                            <a:avLst/>
                          </a:prstGeom>
                          <a:ln w="6349">
                            <a:solidFill>
                              <a:srgbClr val="000000"/>
                            </a:solidFill>
                            <a:prstDash val="solid"/>
                          </a:ln>
                        </wps:spPr>
                        <wps:txbx>
                          <w:txbxContent>
                            <w:p>
                              <w:pPr>
                                <w:tabs>
                                  <w:tab w:pos="3039" w:val="left" w:leader="none"/>
                                  <w:tab w:pos="3571" w:val="left" w:leader="none"/>
                                  <w:tab w:pos="4091" w:val="left" w:leader="none"/>
                                </w:tabs>
                                <w:spacing w:before="122"/>
                                <w:ind w:left="2527" w:right="0" w:firstLine="0"/>
                                <w:jc w:val="left"/>
                                <w:rPr>
                                  <w:rFonts w:ascii="Arial MT"/>
                                  <w:sz w:val="14"/>
                                </w:rPr>
                              </w:pPr>
                              <w:r>
                                <w:rPr>
                                  <w:rFonts w:ascii="Arial MT"/>
                                  <w:spacing w:val="-2"/>
                                  <w:w w:val="90"/>
                                  <w:sz w:val="14"/>
                                </w:rPr>
                                <w:t>North</w:t>
                              </w:r>
                              <w:r>
                                <w:rPr>
                                  <w:rFonts w:ascii="Arial MT"/>
                                  <w:sz w:val="14"/>
                                </w:rPr>
                                <w:tab/>
                              </w:r>
                              <w:r>
                                <w:rPr>
                                  <w:rFonts w:ascii="Arial MT"/>
                                  <w:spacing w:val="-2"/>
                                  <w:w w:val="90"/>
                                  <w:sz w:val="14"/>
                                </w:rPr>
                                <w:t>South</w:t>
                              </w:r>
                              <w:r>
                                <w:rPr>
                                  <w:rFonts w:ascii="Arial MT"/>
                                  <w:sz w:val="14"/>
                                </w:rPr>
                                <w:tab/>
                              </w:r>
                              <w:r>
                                <w:rPr>
                                  <w:rFonts w:ascii="Arial MT"/>
                                  <w:spacing w:val="-4"/>
                                  <w:w w:val="90"/>
                                  <w:sz w:val="14"/>
                                </w:rPr>
                                <w:t>East</w:t>
                              </w:r>
                              <w:r>
                                <w:rPr>
                                  <w:rFonts w:ascii="Arial MT"/>
                                  <w:sz w:val="14"/>
                                </w:rPr>
                                <w:tab/>
                              </w:r>
                              <w:r>
                                <w:rPr>
                                  <w:rFonts w:ascii="Arial MT"/>
                                  <w:spacing w:val="-4"/>
                                  <w:w w:val="90"/>
                                  <w:sz w:val="14"/>
                                </w:rPr>
                                <w:t>West</w:t>
                              </w:r>
                            </w:p>
                            <w:p>
                              <w:pPr>
                                <w:spacing w:line="240" w:lineRule="auto" w:before="0"/>
                                <w:rPr>
                                  <w:rFonts w:ascii="Arial MT"/>
                                  <w:sz w:val="14"/>
                                </w:rPr>
                              </w:pPr>
                            </w:p>
                            <w:p>
                              <w:pPr>
                                <w:spacing w:line="240" w:lineRule="auto" w:before="0"/>
                                <w:rPr>
                                  <w:rFonts w:ascii="Arial MT"/>
                                  <w:sz w:val="14"/>
                                </w:rPr>
                              </w:pPr>
                            </w:p>
                            <w:p>
                              <w:pPr>
                                <w:spacing w:line="240" w:lineRule="auto" w:before="84"/>
                                <w:rPr>
                                  <w:rFonts w:ascii="Arial MT"/>
                                  <w:sz w:val="14"/>
                                </w:rPr>
                              </w:pPr>
                            </w:p>
                            <w:p>
                              <w:pPr>
                                <w:spacing w:before="0"/>
                                <w:ind w:left="1255" w:right="0" w:firstLine="0"/>
                                <w:jc w:val="left"/>
                                <w:rPr>
                                  <w:rFonts w:ascii="Arial MT"/>
                                  <w:sz w:val="14"/>
                                </w:rPr>
                              </w:pPr>
                              <w:r>
                                <w:rPr>
                                  <w:rFonts w:ascii="Arial MT"/>
                                  <w:spacing w:val="-5"/>
                                  <w:w w:val="90"/>
                                  <w:sz w:val="14"/>
                                </w:rPr>
                                <w:t>17%</w:t>
                              </w:r>
                            </w:p>
                            <w:p>
                              <w:pPr>
                                <w:spacing w:line="240" w:lineRule="auto" w:before="18"/>
                                <w:rPr>
                                  <w:rFonts w:ascii="Arial MT"/>
                                  <w:sz w:val="14"/>
                                </w:rPr>
                              </w:pPr>
                            </w:p>
                            <w:p>
                              <w:pPr>
                                <w:spacing w:before="0"/>
                                <w:ind w:left="0" w:right="945" w:firstLine="0"/>
                                <w:jc w:val="right"/>
                                <w:rPr>
                                  <w:rFonts w:ascii="Arial MT"/>
                                  <w:sz w:val="14"/>
                                </w:rPr>
                              </w:pPr>
                              <w:r>
                                <w:rPr>
                                  <w:rFonts w:ascii="Arial MT"/>
                                  <w:spacing w:val="-5"/>
                                  <w:w w:val="90"/>
                                  <w:sz w:val="14"/>
                                </w:rPr>
                                <w:t>30%</w:t>
                              </w:r>
                            </w:p>
                            <w:p>
                              <w:pPr>
                                <w:spacing w:line="240" w:lineRule="auto" w:before="0"/>
                                <w:rPr>
                                  <w:rFonts w:ascii="Arial MT"/>
                                  <w:sz w:val="14"/>
                                </w:rPr>
                              </w:pPr>
                            </w:p>
                            <w:p>
                              <w:pPr>
                                <w:spacing w:line="240" w:lineRule="auto" w:before="27"/>
                                <w:rPr>
                                  <w:rFonts w:ascii="Arial MT"/>
                                  <w:sz w:val="14"/>
                                </w:rPr>
                              </w:pPr>
                            </w:p>
                            <w:p>
                              <w:pPr>
                                <w:spacing w:before="0"/>
                                <w:ind w:left="717" w:right="0" w:firstLine="0"/>
                                <w:jc w:val="left"/>
                                <w:rPr>
                                  <w:rFonts w:ascii="Arial MT"/>
                                  <w:sz w:val="14"/>
                                </w:rPr>
                              </w:pPr>
                              <w:r>
                                <w:rPr>
                                  <w:rFonts w:ascii="Arial MT"/>
                                  <w:spacing w:val="-5"/>
                                  <w:w w:val="90"/>
                                  <w:sz w:val="14"/>
                                </w:rPr>
                                <w:t>7%</w:t>
                              </w: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89"/>
                                <w:rPr>
                                  <w:rFonts w:ascii="Arial MT"/>
                                  <w:sz w:val="14"/>
                                </w:rPr>
                              </w:pPr>
                            </w:p>
                            <w:p>
                              <w:pPr>
                                <w:spacing w:before="1"/>
                                <w:ind w:left="1195" w:right="0" w:firstLine="0"/>
                                <w:jc w:val="left"/>
                                <w:rPr>
                                  <w:rFonts w:ascii="Arial MT"/>
                                  <w:sz w:val="14"/>
                                </w:rPr>
                              </w:pPr>
                              <w:r>
                                <w:rPr>
                                  <w:rFonts w:ascii="Arial MT"/>
                                  <w:spacing w:val="-5"/>
                                  <w:w w:val="90"/>
                                  <w:sz w:val="14"/>
                                </w:rPr>
                                <w:t>46%</w:t>
                              </w:r>
                            </w:p>
                          </w:txbxContent>
                        </wps:txbx>
                        <wps:bodyPr wrap="square" lIns="0" tIns="0" rIns="0" bIns="0" rtlCol="0">
                          <a:noAutofit/>
                        </wps:bodyPr>
                      </wps:wsp>
                    </wpg:wgp>
                  </a:graphicData>
                </a:graphic>
              </wp:anchor>
            </w:drawing>
          </mc:Choice>
          <mc:Fallback>
            <w:pict>
              <v:group style="position:absolute;margin-left:54.000015pt;margin-top:9.172632pt;width:234.65pt;height:210pt;mso-position-horizontal-relative:page;mso-position-vertical-relative:paragraph;z-index:-15612416;mso-wrap-distance-left:0;mso-wrap-distance-right:0" id="docshapegroup1761" coordorigin="1080,183" coordsize="4693,4200">
                <v:shape style="position:absolute;left:3431;top:1066;width:1494;height:1891" id="docshape1762" coordorigin="3431,1067" coordsize="1494,1891" path="m3431,1067l3432,2554,4870,2957,4890,2879,4905,2800,4916,2719,4923,2637,4925,2554,4923,2477,4917,2401,4908,2326,4895,2253,4878,2181,4858,2110,4835,2041,4808,1973,4778,1907,4746,1843,4710,1781,4671,1720,4630,1662,4586,1606,4539,1552,4489,1500,4438,1451,4384,1405,4327,1361,4269,1319,4208,1281,4146,1245,4081,1213,4015,1183,3947,1156,3878,1133,3807,1113,3734,1097,3661,1084,3586,1074,3509,1069,3431,1067xe" filled="true" fillcolor="#2f7d41" stroked="false">
                  <v:path arrowok="t"/>
                  <v:fill type="solid"/>
                </v:shape>
                <v:shape style="position:absolute;left:1939;top:2399;width:2931;height:1642" id="docshape1763" coordorigin="1940,2400" coordsize="2931,1642" path="m1947,2400l1944,2438,1942,2476,1940,2515,1940,2554,1942,2631,1947,2707,1957,2781,1970,2855,1986,2927,2006,2998,2030,3067,2056,3135,2086,3201,2119,3265,2155,3327,2193,3387,2235,3446,2279,3502,2326,3556,2375,3607,2427,3656,2481,3703,2537,3747,2596,3788,2656,3827,2719,3862,2783,3895,2849,3925,2917,3951,2987,3974,3058,3994,3130,4011,3204,4024,3279,4033,3355,4039,3432,4041,3511,4039,3589,4033,3666,4023,3741,4010,3815,3992,3887,3972,3958,3947,4027,3920,4095,3889,4160,3855,4223,3818,4285,3777,4344,3734,4401,3689,4455,3640,4507,3589,4557,3536,4604,3480,4648,3421,4689,3361,4727,3298,4762,3234,4794,3167,4823,3099,4848,3029,4870,2957,3432,2554,1947,2400xe" filled="true" fillcolor="#a7b1d4" stroked="false">
                  <v:path arrowok="t"/>
                  <v:fill type="solid"/>
                </v:shape>
                <v:shape style="position:absolute;left:1947;top:1806;width:1485;height:748" id="docshape1764" coordorigin="1947,1807" coordsize="1485,748" path="m2139,1807l2102,1874,2069,1944,2039,2016,2013,2089,1991,2165,1972,2242,1958,2320,1947,2400,3432,2554,2139,1807xe" filled="true" fillcolor="#f2e499" stroked="false">
                  <v:path arrowok="t"/>
                  <v:fill type="solid"/>
                </v:shape>
                <v:shape style="position:absolute;left:2139;top:1066;width:1294;height:1488" id="docshape1765" coordorigin="2139,1067" coordsize="1294,1488" path="m3431,1067l3348,1069,3267,1076,3187,1086,3108,1101,3031,1120,2956,1143,2882,1170,2811,1200,2741,1233,2673,1271,2608,1311,2545,1355,2485,1402,2427,1452,2371,1504,2319,1560,2269,1618,2223,1678,2179,1742,2139,1807,3432,2554,3431,1067xe" filled="true" fillcolor="#e3c626" stroked="false">
                  <v:path arrowok="t"/>
                  <v:fill type="solid"/>
                </v:shape>
                <v:rect style="position:absolute;left:3436;top:353;width:98;height:98" id="docshape1766" filled="true" fillcolor="#2f7d41" stroked="false">
                  <v:fill type="solid"/>
                </v:rect>
                <v:rect style="position:absolute;left:3978;top:353;width:98;height:98" id="docshape1767" filled="true" fillcolor="#a7b1d4" stroked="false">
                  <v:fill type="solid"/>
                </v:rect>
                <v:rect style="position:absolute;left:4520;top:353;width:98;height:98" id="docshape1768" filled="true" fillcolor="#f2e499" stroked="false">
                  <v:fill type="solid"/>
                </v:rect>
                <v:rect style="position:absolute;left:5048;top:353;width:98;height:98" id="docshape1769" filled="true" fillcolor="#e3c626" stroked="false">
                  <v:fill type="solid"/>
                </v:rect>
                <v:shape style="position:absolute;left:1085;top:188;width:4683;height:4190" type="#_x0000_t202" id="docshape1770" filled="false" stroked="true" strokeweight=".49997pt" strokecolor="#000000">
                  <v:textbox inset="0,0,0,0">
                    <w:txbxContent>
                      <w:p>
                        <w:pPr>
                          <w:tabs>
                            <w:tab w:pos="3039" w:val="left" w:leader="none"/>
                            <w:tab w:pos="3571" w:val="left" w:leader="none"/>
                            <w:tab w:pos="4091" w:val="left" w:leader="none"/>
                          </w:tabs>
                          <w:spacing w:before="122"/>
                          <w:ind w:left="2527" w:right="0" w:firstLine="0"/>
                          <w:jc w:val="left"/>
                          <w:rPr>
                            <w:rFonts w:ascii="Arial MT"/>
                            <w:sz w:val="14"/>
                          </w:rPr>
                        </w:pPr>
                        <w:r>
                          <w:rPr>
                            <w:rFonts w:ascii="Arial MT"/>
                            <w:spacing w:val="-2"/>
                            <w:w w:val="90"/>
                            <w:sz w:val="14"/>
                          </w:rPr>
                          <w:t>North</w:t>
                        </w:r>
                        <w:r>
                          <w:rPr>
                            <w:rFonts w:ascii="Arial MT"/>
                            <w:sz w:val="14"/>
                          </w:rPr>
                          <w:tab/>
                        </w:r>
                        <w:r>
                          <w:rPr>
                            <w:rFonts w:ascii="Arial MT"/>
                            <w:spacing w:val="-2"/>
                            <w:w w:val="90"/>
                            <w:sz w:val="14"/>
                          </w:rPr>
                          <w:t>South</w:t>
                        </w:r>
                        <w:r>
                          <w:rPr>
                            <w:rFonts w:ascii="Arial MT"/>
                            <w:sz w:val="14"/>
                          </w:rPr>
                          <w:tab/>
                        </w:r>
                        <w:r>
                          <w:rPr>
                            <w:rFonts w:ascii="Arial MT"/>
                            <w:spacing w:val="-4"/>
                            <w:w w:val="90"/>
                            <w:sz w:val="14"/>
                          </w:rPr>
                          <w:t>East</w:t>
                        </w:r>
                        <w:r>
                          <w:rPr>
                            <w:rFonts w:ascii="Arial MT"/>
                            <w:sz w:val="14"/>
                          </w:rPr>
                          <w:tab/>
                        </w:r>
                        <w:r>
                          <w:rPr>
                            <w:rFonts w:ascii="Arial MT"/>
                            <w:spacing w:val="-4"/>
                            <w:w w:val="90"/>
                            <w:sz w:val="14"/>
                          </w:rPr>
                          <w:t>West</w:t>
                        </w:r>
                      </w:p>
                      <w:p>
                        <w:pPr>
                          <w:spacing w:line="240" w:lineRule="auto" w:before="0"/>
                          <w:rPr>
                            <w:rFonts w:ascii="Arial MT"/>
                            <w:sz w:val="14"/>
                          </w:rPr>
                        </w:pPr>
                      </w:p>
                      <w:p>
                        <w:pPr>
                          <w:spacing w:line="240" w:lineRule="auto" w:before="0"/>
                          <w:rPr>
                            <w:rFonts w:ascii="Arial MT"/>
                            <w:sz w:val="14"/>
                          </w:rPr>
                        </w:pPr>
                      </w:p>
                      <w:p>
                        <w:pPr>
                          <w:spacing w:line="240" w:lineRule="auto" w:before="84"/>
                          <w:rPr>
                            <w:rFonts w:ascii="Arial MT"/>
                            <w:sz w:val="14"/>
                          </w:rPr>
                        </w:pPr>
                      </w:p>
                      <w:p>
                        <w:pPr>
                          <w:spacing w:before="0"/>
                          <w:ind w:left="1255" w:right="0" w:firstLine="0"/>
                          <w:jc w:val="left"/>
                          <w:rPr>
                            <w:rFonts w:ascii="Arial MT"/>
                            <w:sz w:val="14"/>
                          </w:rPr>
                        </w:pPr>
                        <w:r>
                          <w:rPr>
                            <w:rFonts w:ascii="Arial MT"/>
                            <w:spacing w:val="-5"/>
                            <w:w w:val="90"/>
                            <w:sz w:val="14"/>
                          </w:rPr>
                          <w:t>17%</w:t>
                        </w:r>
                      </w:p>
                      <w:p>
                        <w:pPr>
                          <w:spacing w:line="240" w:lineRule="auto" w:before="18"/>
                          <w:rPr>
                            <w:rFonts w:ascii="Arial MT"/>
                            <w:sz w:val="14"/>
                          </w:rPr>
                        </w:pPr>
                      </w:p>
                      <w:p>
                        <w:pPr>
                          <w:spacing w:before="0"/>
                          <w:ind w:left="0" w:right="945" w:firstLine="0"/>
                          <w:jc w:val="right"/>
                          <w:rPr>
                            <w:rFonts w:ascii="Arial MT"/>
                            <w:sz w:val="14"/>
                          </w:rPr>
                        </w:pPr>
                        <w:r>
                          <w:rPr>
                            <w:rFonts w:ascii="Arial MT"/>
                            <w:spacing w:val="-5"/>
                            <w:w w:val="90"/>
                            <w:sz w:val="14"/>
                          </w:rPr>
                          <w:t>30%</w:t>
                        </w:r>
                      </w:p>
                      <w:p>
                        <w:pPr>
                          <w:spacing w:line="240" w:lineRule="auto" w:before="0"/>
                          <w:rPr>
                            <w:rFonts w:ascii="Arial MT"/>
                            <w:sz w:val="14"/>
                          </w:rPr>
                        </w:pPr>
                      </w:p>
                      <w:p>
                        <w:pPr>
                          <w:spacing w:line="240" w:lineRule="auto" w:before="27"/>
                          <w:rPr>
                            <w:rFonts w:ascii="Arial MT"/>
                            <w:sz w:val="14"/>
                          </w:rPr>
                        </w:pPr>
                      </w:p>
                      <w:p>
                        <w:pPr>
                          <w:spacing w:before="0"/>
                          <w:ind w:left="717" w:right="0" w:firstLine="0"/>
                          <w:jc w:val="left"/>
                          <w:rPr>
                            <w:rFonts w:ascii="Arial MT"/>
                            <w:sz w:val="14"/>
                          </w:rPr>
                        </w:pPr>
                        <w:r>
                          <w:rPr>
                            <w:rFonts w:ascii="Arial MT"/>
                            <w:spacing w:val="-5"/>
                            <w:w w:val="90"/>
                            <w:sz w:val="14"/>
                          </w:rPr>
                          <w:t>7%</w:t>
                        </w: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89"/>
                          <w:rPr>
                            <w:rFonts w:ascii="Arial MT"/>
                            <w:sz w:val="14"/>
                          </w:rPr>
                        </w:pPr>
                      </w:p>
                      <w:p>
                        <w:pPr>
                          <w:spacing w:before="1"/>
                          <w:ind w:left="1195" w:right="0" w:firstLine="0"/>
                          <w:jc w:val="left"/>
                          <w:rPr>
                            <w:rFonts w:ascii="Arial MT"/>
                            <w:sz w:val="14"/>
                          </w:rPr>
                        </w:pPr>
                        <w:r>
                          <w:rPr>
                            <w:rFonts w:ascii="Arial MT"/>
                            <w:spacing w:val="-5"/>
                            <w:w w:val="90"/>
                            <w:sz w:val="14"/>
                          </w:rPr>
                          <w:t>46%</w:t>
                        </w:r>
                      </w:p>
                    </w:txbxContent>
                  </v:textbox>
                  <v:stroke dashstyle="solid"/>
                  <w10:wrap type="none"/>
                </v:shape>
                <w10:wrap type="topAndBottom"/>
              </v:group>
            </w:pict>
          </mc:Fallback>
        </mc:AlternateContent>
      </w:r>
    </w:p>
    <w:p>
      <w:pPr>
        <w:spacing w:before="70"/>
        <w:ind w:left="1080" w:right="0" w:firstLine="0"/>
        <w:jc w:val="both"/>
        <w:rPr>
          <w:sz w:val="16"/>
        </w:rPr>
      </w:pPr>
      <w:r>
        <w:rPr>
          <w:i/>
          <w:w w:val="85"/>
          <w:sz w:val="16"/>
        </w:rPr>
        <w:t>Source:</w:t>
      </w:r>
      <w:r>
        <w:rPr>
          <w:i/>
          <w:spacing w:val="-5"/>
          <w:sz w:val="16"/>
        </w:rPr>
        <w:t> </w:t>
      </w:r>
      <w:r>
        <w:rPr>
          <w:spacing w:val="-4"/>
          <w:sz w:val="16"/>
        </w:rPr>
        <w:t>MHRD</w:t>
      </w:r>
    </w:p>
    <w:p>
      <w:pPr>
        <w:pStyle w:val="BodyText"/>
        <w:spacing w:before="59"/>
        <w:rPr>
          <w:sz w:val="16"/>
        </w:rPr>
      </w:pPr>
    </w:p>
    <w:p>
      <w:pPr>
        <w:pStyle w:val="BodyText"/>
        <w:spacing w:line="266" w:lineRule="auto"/>
        <w:ind w:left="1080"/>
        <w:jc w:val="both"/>
      </w:pPr>
      <w:r>
        <w:rPr/>
        <w:t>level</w:t>
      </w:r>
      <w:r>
        <w:rPr>
          <w:spacing w:val="-2"/>
        </w:rPr>
        <w:t> </w:t>
      </w:r>
      <w:r>
        <w:rPr/>
        <w:t>of</w:t>
      </w:r>
      <w:r>
        <w:rPr>
          <w:spacing w:val="-2"/>
        </w:rPr>
        <w:t> </w:t>
      </w:r>
      <w:r>
        <w:rPr/>
        <w:t>opportunity</w:t>
      </w:r>
      <w:r>
        <w:rPr>
          <w:spacing w:val="-2"/>
        </w:rPr>
        <w:t> </w:t>
      </w:r>
      <w:r>
        <w:rPr/>
        <w:t>for</w:t>
      </w:r>
      <w:r>
        <w:rPr>
          <w:spacing w:val="-2"/>
        </w:rPr>
        <w:t> </w:t>
      </w:r>
      <w:r>
        <w:rPr/>
        <w:t>aspirants</w:t>
      </w:r>
      <w:r>
        <w:rPr>
          <w:spacing w:val="-2"/>
        </w:rPr>
        <w:t> </w:t>
      </w:r>
      <w:r>
        <w:rPr/>
        <w:t>from</w:t>
      </w:r>
      <w:r>
        <w:rPr>
          <w:spacing w:val="-2"/>
        </w:rPr>
        <w:t> </w:t>
      </w:r>
      <w:r>
        <w:rPr/>
        <w:t>that</w:t>
      </w:r>
      <w:r>
        <w:rPr>
          <w:spacing w:val="-2"/>
        </w:rPr>
        <w:t> </w:t>
      </w:r>
      <w:r>
        <w:rPr/>
        <w:t>state.</w:t>
      </w:r>
      <w:r>
        <w:rPr>
          <w:spacing w:val="-9"/>
        </w:rPr>
        <w:t> </w:t>
      </w:r>
      <w:r>
        <w:rPr/>
        <w:t>The per capita seats per lakh of population may be partly a reflection of the state’s capacity to absorb a higher percentage of management graduates.</w:t>
      </w:r>
    </w:p>
    <w:p>
      <w:pPr>
        <w:pStyle w:val="BodyText"/>
        <w:spacing w:before="24"/>
      </w:pPr>
    </w:p>
    <w:p>
      <w:pPr>
        <w:pStyle w:val="BodyText"/>
        <w:spacing w:line="266" w:lineRule="auto"/>
        <w:ind w:left="1080"/>
        <w:jc w:val="both"/>
      </w:pPr>
      <w:r>
        <w:rPr/>
        <w:t>Growth in the number of business schools has </w:t>
      </w:r>
      <w:r>
        <w:rPr>
          <w:w w:val="90"/>
        </w:rPr>
        <w:t>accelerated over the last two decades. This acceleration, </w:t>
      </w:r>
      <w:r>
        <w:rPr/>
        <w:t>propelled by the increase in the rate of growth of the Indian economy, speaks also for the entrepreneurial initiative</w:t>
      </w:r>
      <w:r>
        <w:rPr>
          <w:spacing w:val="63"/>
        </w:rPr>
        <w:t>  </w:t>
      </w:r>
      <w:r>
        <w:rPr/>
        <w:t>of</w:t>
      </w:r>
      <w:r>
        <w:rPr>
          <w:spacing w:val="64"/>
        </w:rPr>
        <w:t>  </w:t>
      </w:r>
      <w:r>
        <w:rPr/>
        <w:t>promoters</w:t>
      </w:r>
      <w:r>
        <w:rPr>
          <w:spacing w:val="64"/>
        </w:rPr>
        <w:t>  </w:t>
      </w:r>
      <w:r>
        <w:rPr/>
        <w:t>to</w:t>
      </w:r>
      <w:r>
        <w:rPr>
          <w:spacing w:val="64"/>
        </w:rPr>
        <w:t>  </w:t>
      </w:r>
      <w:r>
        <w:rPr/>
        <w:t>seize</w:t>
      </w:r>
      <w:r>
        <w:rPr>
          <w:spacing w:val="64"/>
        </w:rPr>
        <w:t>  </w:t>
      </w:r>
      <w:r>
        <w:rPr>
          <w:spacing w:val="-2"/>
        </w:rPr>
        <w:t>commercial</w:t>
      </w:r>
    </w:p>
    <w:p>
      <w:pPr>
        <w:pStyle w:val="BodyText"/>
        <w:spacing w:line="266" w:lineRule="auto" w:before="77"/>
        <w:ind w:left="317" w:right="1077"/>
        <w:jc w:val="both"/>
      </w:pPr>
      <w:r>
        <w:rPr/>
        <w:br w:type="column"/>
      </w:r>
      <w:r>
        <w:rPr/>
        <w:t>opportunities in education. The imbalance between demand</w:t>
      </w:r>
      <w:r>
        <w:rPr>
          <w:spacing w:val="-14"/>
        </w:rPr>
        <w:t> </w:t>
      </w:r>
      <w:r>
        <w:rPr/>
        <w:t>and</w:t>
      </w:r>
      <w:r>
        <w:rPr>
          <w:spacing w:val="-14"/>
        </w:rPr>
        <w:t> </w:t>
      </w:r>
      <w:r>
        <w:rPr/>
        <w:t>supply</w:t>
      </w:r>
      <w:r>
        <w:rPr>
          <w:spacing w:val="-14"/>
        </w:rPr>
        <w:t> </w:t>
      </w:r>
      <w:r>
        <w:rPr/>
        <w:t>for</w:t>
      </w:r>
      <w:r>
        <w:rPr>
          <w:spacing w:val="-13"/>
        </w:rPr>
        <w:t> </w:t>
      </w:r>
      <w:r>
        <w:rPr/>
        <w:t>management</w:t>
      </w:r>
      <w:r>
        <w:rPr>
          <w:spacing w:val="-14"/>
        </w:rPr>
        <w:t> </w:t>
      </w:r>
      <w:r>
        <w:rPr/>
        <w:t>graduates</w:t>
      </w:r>
      <w:r>
        <w:rPr>
          <w:spacing w:val="-14"/>
        </w:rPr>
        <w:t> </w:t>
      </w:r>
      <w:r>
        <w:rPr/>
        <w:t>has</w:t>
      </w:r>
      <w:r>
        <w:rPr>
          <w:spacing w:val="-14"/>
        </w:rPr>
        <w:t> </w:t>
      </w:r>
      <w:r>
        <w:rPr/>
        <w:t>led </w:t>
      </w:r>
      <w:r>
        <w:rPr>
          <w:spacing w:val="-2"/>
        </w:rPr>
        <w:t>to</w:t>
      </w:r>
      <w:r>
        <w:rPr>
          <w:spacing w:val="-4"/>
        </w:rPr>
        <w:t> </w:t>
      </w:r>
      <w:r>
        <w:rPr>
          <w:spacing w:val="-2"/>
        </w:rPr>
        <w:t>an</w:t>
      </w:r>
      <w:r>
        <w:rPr>
          <w:spacing w:val="-4"/>
        </w:rPr>
        <w:t> </w:t>
      </w:r>
      <w:r>
        <w:rPr>
          <w:spacing w:val="-2"/>
        </w:rPr>
        <w:t>overly</w:t>
      </w:r>
      <w:r>
        <w:rPr>
          <w:spacing w:val="-4"/>
        </w:rPr>
        <w:t> </w:t>
      </w:r>
      <w:r>
        <w:rPr>
          <w:spacing w:val="-2"/>
        </w:rPr>
        <w:t>commercial</w:t>
      </w:r>
      <w:r>
        <w:rPr>
          <w:spacing w:val="-4"/>
        </w:rPr>
        <w:t> </w:t>
      </w:r>
      <w:r>
        <w:rPr>
          <w:spacing w:val="-2"/>
        </w:rPr>
        <w:t>and</w:t>
      </w:r>
      <w:r>
        <w:rPr>
          <w:spacing w:val="-4"/>
        </w:rPr>
        <w:t> </w:t>
      </w:r>
      <w:r>
        <w:rPr>
          <w:spacing w:val="-2"/>
        </w:rPr>
        <w:t>exploitative</w:t>
      </w:r>
      <w:r>
        <w:rPr>
          <w:spacing w:val="-4"/>
        </w:rPr>
        <w:t> </w:t>
      </w:r>
      <w:r>
        <w:rPr>
          <w:spacing w:val="-2"/>
        </w:rPr>
        <w:t>environment </w:t>
      </w:r>
      <w:r>
        <w:rPr/>
        <w:t>in</w:t>
      </w:r>
      <w:r>
        <w:rPr>
          <w:spacing w:val="-9"/>
        </w:rPr>
        <w:t> </w:t>
      </w:r>
      <w:r>
        <w:rPr/>
        <w:t>management</w:t>
      </w:r>
      <w:r>
        <w:rPr>
          <w:spacing w:val="-9"/>
        </w:rPr>
        <w:t> </w:t>
      </w:r>
      <w:r>
        <w:rPr/>
        <w:t>education.</w:t>
      </w:r>
      <w:r>
        <w:rPr>
          <w:spacing w:val="-9"/>
        </w:rPr>
        <w:t> </w:t>
      </w:r>
      <w:r>
        <w:rPr/>
        <w:t>It</w:t>
      </w:r>
      <w:r>
        <w:rPr>
          <w:spacing w:val="-9"/>
        </w:rPr>
        <w:t> </w:t>
      </w:r>
      <w:r>
        <w:rPr/>
        <w:t>is</w:t>
      </w:r>
      <w:r>
        <w:rPr>
          <w:spacing w:val="-9"/>
        </w:rPr>
        <w:t> </w:t>
      </w:r>
      <w:r>
        <w:rPr/>
        <w:t>not</w:t>
      </w:r>
      <w:r>
        <w:rPr>
          <w:spacing w:val="-9"/>
        </w:rPr>
        <w:t> </w:t>
      </w:r>
      <w:r>
        <w:rPr/>
        <w:t>clear</w:t>
      </w:r>
      <w:r>
        <w:rPr>
          <w:spacing w:val="-9"/>
        </w:rPr>
        <w:t> </w:t>
      </w:r>
      <w:r>
        <w:rPr/>
        <w:t>how</w:t>
      </w:r>
      <w:r>
        <w:rPr>
          <w:spacing w:val="-9"/>
        </w:rPr>
        <w:t> </w:t>
      </w:r>
      <w:r>
        <w:rPr/>
        <w:t>many</w:t>
      </w:r>
      <w:r>
        <w:rPr>
          <w:spacing w:val="-9"/>
        </w:rPr>
        <w:t> </w:t>
      </w:r>
      <w:r>
        <w:rPr/>
        <w:t>of the</w:t>
      </w:r>
      <w:r>
        <w:rPr>
          <w:spacing w:val="-14"/>
        </w:rPr>
        <w:t> </w:t>
      </w:r>
      <w:r>
        <w:rPr/>
        <w:t>recently</w:t>
      </w:r>
      <w:r>
        <w:rPr>
          <w:spacing w:val="-13"/>
        </w:rPr>
        <w:t> </w:t>
      </w:r>
      <w:r>
        <w:rPr/>
        <w:t>started</w:t>
      </w:r>
      <w:r>
        <w:rPr>
          <w:spacing w:val="-14"/>
        </w:rPr>
        <w:t> </w:t>
      </w:r>
      <w:r>
        <w:rPr/>
        <w:t>institutions</w:t>
      </w:r>
      <w:r>
        <w:rPr>
          <w:spacing w:val="-13"/>
        </w:rPr>
        <w:t> </w:t>
      </w:r>
      <w:r>
        <w:rPr/>
        <w:t>are</w:t>
      </w:r>
      <w:r>
        <w:rPr>
          <w:spacing w:val="-14"/>
        </w:rPr>
        <w:t> </w:t>
      </w:r>
      <w:r>
        <w:rPr/>
        <w:t>merely</w:t>
      </w:r>
      <w:r>
        <w:rPr>
          <w:spacing w:val="-13"/>
        </w:rPr>
        <w:t> </w:t>
      </w:r>
      <w:r>
        <w:rPr/>
        <w:t>speculative and</w:t>
      </w:r>
      <w:r>
        <w:rPr>
          <w:spacing w:val="-14"/>
        </w:rPr>
        <w:t> </w:t>
      </w:r>
      <w:r>
        <w:rPr/>
        <w:t>how</w:t>
      </w:r>
      <w:r>
        <w:rPr>
          <w:spacing w:val="-14"/>
        </w:rPr>
        <w:t> </w:t>
      </w:r>
      <w:r>
        <w:rPr/>
        <w:t>many</w:t>
      </w:r>
      <w:r>
        <w:rPr>
          <w:spacing w:val="-14"/>
        </w:rPr>
        <w:t> </w:t>
      </w:r>
      <w:r>
        <w:rPr/>
        <w:t>are</w:t>
      </w:r>
      <w:r>
        <w:rPr>
          <w:spacing w:val="-13"/>
        </w:rPr>
        <w:t> </w:t>
      </w:r>
      <w:r>
        <w:rPr/>
        <w:t>seriously</w:t>
      </w:r>
      <w:r>
        <w:rPr>
          <w:spacing w:val="-14"/>
        </w:rPr>
        <w:t> </w:t>
      </w:r>
      <w:r>
        <w:rPr/>
        <w:t>committed</w:t>
      </w:r>
      <w:r>
        <w:rPr>
          <w:spacing w:val="-14"/>
        </w:rPr>
        <w:t> </w:t>
      </w:r>
      <w:r>
        <w:rPr/>
        <w:t>to</w:t>
      </w:r>
      <w:r>
        <w:rPr>
          <w:spacing w:val="-14"/>
        </w:rPr>
        <w:t> </w:t>
      </w:r>
      <w:r>
        <w:rPr/>
        <w:t>the</w:t>
      </w:r>
      <w:r>
        <w:rPr>
          <w:spacing w:val="-13"/>
        </w:rPr>
        <w:t> </w:t>
      </w:r>
      <w:r>
        <w:rPr/>
        <w:t>cause</w:t>
      </w:r>
      <w:r>
        <w:rPr>
          <w:spacing w:val="-14"/>
        </w:rPr>
        <w:t> </w:t>
      </w:r>
      <w:r>
        <w:rPr/>
        <w:t>of management</w:t>
      </w:r>
      <w:r>
        <w:rPr>
          <w:spacing w:val="-3"/>
        </w:rPr>
        <w:t> </w:t>
      </w:r>
      <w:r>
        <w:rPr/>
        <w:t>education.</w:t>
      </w:r>
      <w:r>
        <w:rPr>
          <w:spacing w:val="-3"/>
        </w:rPr>
        <w:t> </w:t>
      </w:r>
      <w:r>
        <w:rPr/>
        <w:t>It</w:t>
      </w:r>
      <w:r>
        <w:rPr>
          <w:spacing w:val="-3"/>
        </w:rPr>
        <w:t> </w:t>
      </w:r>
      <w:r>
        <w:rPr/>
        <w:t>is</w:t>
      </w:r>
      <w:r>
        <w:rPr>
          <w:spacing w:val="-3"/>
        </w:rPr>
        <w:t> </w:t>
      </w:r>
      <w:r>
        <w:rPr/>
        <w:t>not</w:t>
      </w:r>
      <w:r>
        <w:rPr>
          <w:spacing w:val="-3"/>
        </w:rPr>
        <w:t> </w:t>
      </w:r>
      <w:r>
        <w:rPr/>
        <w:t>also</w:t>
      </w:r>
      <w:r>
        <w:rPr>
          <w:spacing w:val="-3"/>
        </w:rPr>
        <w:t> </w:t>
      </w:r>
      <w:r>
        <w:rPr/>
        <w:t>clear</w:t>
      </w:r>
      <w:r>
        <w:rPr>
          <w:spacing w:val="-3"/>
        </w:rPr>
        <w:t> </w:t>
      </w:r>
      <w:r>
        <w:rPr/>
        <w:t>how</w:t>
      </w:r>
      <w:r>
        <w:rPr>
          <w:spacing w:val="-3"/>
        </w:rPr>
        <w:t> </w:t>
      </w:r>
      <w:r>
        <w:rPr/>
        <w:t>many actually meet the norms and standards established</w:t>
      </w:r>
      <w:r>
        <w:rPr>
          <w:spacing w:val="80"/>
        </w:rPr>
        <w:t> </w:t>
      </w:r>
      <w:r>
        <w:rPr/>
        <w:t>by the All India Council for Technical Education. The regulatory framework and implementation has been unable to link the entrepreneurial initiative to performance in terms of educational quality. It has a control perspective focusing on inputs such as land, faculty, and other infrastructure rather than on the outcomes such as quality of education, research, access, cost effectiveness or relevance.</w:t>
      </w:r>
    </w:p>
    <w:p>
      <w:pPr>
        <w:pStyle w:val="BodyText"/>
        <w:spacing w:before="78"/>
      </w:pPr>
    </w:p>
    <w:p>
      <w:pPr>
        <w:pStyle w:val="Heading8"/>
        <w:spacing w:line="242" w:lineRule="auto"/>
        <w:ind w:left="1268" w:right="1075" w:hanging="949"/>
      </w:pPr>
      <w:r>
        <w:rPr>
          <w:spacing w:val="-2"/>
        </w:rPr>
        <w:t>Table</w:t>
      </w:r>
      <w:r>
        <w:rPr>
          <w:spacing w:val="-13"/>
        </w:rPr>
        <w:t> </w:t>
      </w:r>
      <w:r>
        <w:rPr>
          <w:spacing w:val="-2"/>
        </w:rPr>
        <w:t>15:</w:t>
      </w:r>
      <w:r>
        <w:rPr>
          <w:spacing w:val="-13"/>
        </w:rPr>
        <w:t> </w:t>
      </w:r>
      <w:r>
        <w:rPr>
          <w:color w:val="2E614A"/>
          <w:spacing w:val="-2"/>
        </w:rPr>
        <w:t>Growth</w:t>
      </w:r>
      <w:r>
        <w:rPr>
          <w:color w:val="2E614A"/>
          <w:spacing w:val="24"/>
        </w:rPr>
        <w:t> </w:t>
      </w:r>
      <w:r>
        <w:rPr>
          <w:color w:val="2E614A"/>
          <w:spacing w:val="-2"/>
        </w:rPr>
        <w:t>of</w:t>
      </w:r>
      <w:r>
        <w:rPr>
          <w:color w:val="2E614A"/>
          <w:spacing w:val="25"/>
        </w:rPr>
        <w:t> </w:t>
      </w:r>
      <w:r>
        <w:rPr>
          <w:color w:val="2E614A"/>
          <w:spacing w:val="-2"/>
        </w:rPr>
        <w:t>business</w:t>
      </w:r>
      <w:r>
        <w:rPr>
          <w:color w:val="2E614A"/>
          <w:spacing w:val="24"/>
        </w:rPr>
        <w:t> </w:t>
      </w:r>
      <w:r>
        <w:rPr>
          <w:color w:val="2E614A"/>
          <w:spacing w:val="-2"/>
        </w:rPr>
        <w:t>schools</w:t>
      </w:r>
      <w:r>
        <w:rPr>
          <w:color w:val="2E614A"/>
          <w:spacing w:val="25"/>
        </w:rPr>
        <w:t> </w:t>
      </w:r>
      <w:r>
        <w:rPr>
          <w:color w:val="2E614A"/>
          <w:spacing w:val="-2"/>
        </w:rPr>
        <w:t>in</w:t>
      </w:r>
      <w:r>
        <w:rPr>
          <w:color w:val="2E614A"/>
          <w:spacing w:val="24"/>
        </w:rPr>
        <w:t> </w:t>
      </w:r>
      <w:r>
        <w:rPr>
          <w:color w:val="2E614A"/>
          <w:spacing w:val="-2"/>
        </w:rPr>
        <w:t>India </w:t>
      </w:r>
      <w:r>
        <w:rPr>
          <w:color w:val="2E614A"/>
        </w:rPr>
        <w:t>during 1950-2006</w:t>
      </w:r>
    </w:p>
    <w:p>
      <w:pPr>
        <w:pStyle w:val="BodyText"/>
        <w:spacing w:before="1" w:after="1"/>
        <w:rPr>
          <w:b/>
          <w:sz w:val="10"/>
        </w:rPr>
      </w:pPr>
    </w:p>
    <w:tbl>
      <w:tblPr>
        <w:tblW w:w="0" w:type="auto"/>
        <w:jc w:val="left"/>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025"/>
        <w:gridCol w:w="1331"/>
        <w:gridCol w:w="1331"/>
      </w:tblGrid>
      <w:tr>
        <w:trPr>
          <w:trHeight w:val="895" w:hRule="atLeast"/>
        </w:trPr>
        <w:tc>
          <w:tcPr>
            <w:tcW w:w="2025" w:type="dxa"/>
            <w:shd w:val="clear" w:color="auto" w:fill="D0D5CD"/>
          </w:tcPr>
          <w:p>
            <w:pPr>
              <w:pStyle w:val="TableParagraph"/>
              <w:ind w:left="75"/>
              <w:rPr>
                <w:b/>
                <w:sz w:val="20"/>
              </w:rPr>
            </w:pPr>
            <w:r>
              <w:rPr>
                <w:b/>
                <w:spacing w:val="-2"/>
                <w:sz w:val="20"/>
              </w:rPr>
              <w:t>Period</w:t>
            </w:r>
          </w:p>
        </w:tc>
        <w:tc>
          <w:tcPr>
            <w:tcW w:w="1331" w:type="dxa"/>
            <w:shd w:val="clear" w:color="auto" w:fill="D0D5CD"/>
          </w:tcPr>
          <w:p>
            <w:pPr>
              <w:pStyle w:val="TableParagraph"/>
              <w:spacing w:line="280" w:lineRule="exact" w:before="9"/>
              <w:ind w:left="72" w:right="65"/>
              <w:jc w:val="center"/>
              <w:rPr>
                <w:b/>
                <w:sz w:val="20"/>
              </w:rPr>
            </w:pPr>
            <w:r>
              <w:rPr>
                <w:b/>
                <w:sz w:val="20"/>
              </w:rPr>
              <w:t>No. of </w:t>
            </w:r>
            <w:r>
              <w:rPr>
                <w:b/>
                <w:spacing w:val="-2"/>
                <w:sz w:val="20"/>
              </w:rPr>
              <w:t>Business </w:t>
            </w:r>
            <w:r>
              <w:rPr>
                <w:b/>
                <w:spacing w:val="-8"/>
                <w:sz w:val="20"/>
              </w:rPr>
              <w:t>schools</w:t>
            </w:r>
            <w:r>
              <w:rPr>
                <w:b/>
                <w:spacing w:val="-5"/>
                <w:sz w:val="20"/>
              </w:rPr>
              <w:t> </w:t>
            </w:r>
            <w:r>
              <w:rPr>
                <w:b/>
                <w:spacing w:val="-8"/>
                <w:sz w:val="20"/>
              </w:rPr>
              <w:t>added</w:t>
            </w:r>
          </w:p>
        </w:tc>
        <w:tc>
          <w:tcPr>
            <w:tcW w:w="1331" w:type="dxa"/>
            <w:shd w:val="clear" w:color="auto" w:fill="D0D5CD"/>
          </w:tcPr>
          <w:p>
            <w:pPr>
              <w:pStyle w:val="TableParagraph"/>
              <w:spacing w:line="280" w:lineRule="atLeast" w:before="16"/>
              <w:ind w:left="300" w:right="291" w:firstLine="29"/>
              <w:jc w:val="both"/>
              <w:rPr>
                <w:b/>
                <w:sz w:val="22"/>
              </w:rPr>
            </w:pPr>
            <w:r>
              <w:rPr>
                <w:b/>
                <w:spacing w:val="-2"/>
                <w:w w:val="90"/>
                <w:sz w:val="22"/>
              </w:rPr>
              <w:t>Average </w:t>
            </w:r>
            <w:r>
              <w:rPr>
                <w:b/>
                <w:spacing w:val="-2"/>
                <w:sz w:val="22"/>
              </w:rPr>
              <w:t>annual </w:t>
            </w:r>
            <w:r>
              <w:rPr>
                <w:b/>
                <w:spacing w:val="-2"/>
                <w:w w:val="90"/>
                <w:sz w:val="22"/>
              </w:rPr>
              <w:t>addition</w:t>
            </w:r>
          </w:p>
        </w:tc>
      </w:tr>
      <w:tr>
        <w:trPr>
          <w:trHeight w:val="321" w:hRule="atLeast"/>
        </w:trPr>
        <w:tc>
          <w:tcPr>
            <w:tcW w:w="2025" w:type="dxa"/>
            <w:shd w:val="clear" w:color="auto" w:fill="E9E9E9"/>
          </w:tcPr>
          <w:p>
            <w:pPr>
              <w:pStyle w:val="TableParagraph"/>
              <w:ind w:left="75"/>
              <w:rPr>
                <w:sz w:val="20"/>
              </w:rPr>
            </w:pPr>
            <w:r>
              <w:rPr>
                <w:sz w:val="20"/>
              </w:rPr>
              <w:t>1950-80</w:t>
            </w:r>
            <w:r>
              <w:rPr>
                <w:spacing w:val="-5"/>
                <w:sz w:val="20"/>
              </w:rPr>
              <w:t> </w:t>
            </w:r>
            <w:r>
              <w:rPr>
                <w:sz w:val="20"/>
              </w:rPr>
              <w:t>(30</w:t>
            </w:r>
            <w:r>
              <w:rPr>
                <w:spacing w:val="-5"/>
                <w:sz w:val="20"/>
              </w:rPr>
              <w:t> </w:t>
            </w:r>
            <w:r>
              <w:rPr>
                <w:spacing w:val="-2"/>
                <w:sz w:val="20"/>
              </w:rPr>
              <w:t>years)</w:t>
            </w:r>
          </w:p>
        </w:tc>
        <w:tc>
          <w:tcPr>
            <w:tcW w:w="1331" w:type="dxa"/>
            <w:shd w:val="clear" w:color="auto" w:fill="E9E9E9"/>
          </w:tcPr>
          <w:p>
            <w:pPr>
              <w:pStyle w:val="TableParagraph"/>
              <w:ind w:left="230" w:right="65"/>
              <w:jc w:val="center"/>
              <w:rPr>
                <w:sz w:val="20"/>
              </w:rPr>
            </w:pPr>
            <w:r>
              <w:rPr>
                <w:spacing w:val="-5"/>
                <w:sz w:val="20"/>
              </w:rPr>
              <w:t>118</w:t>
            </w:r>
          </w:p>
        </w:tc>
        <w:tc>
          <w:tcPr>
            <w:tcW w:w="1331" w:type="dxa"/>
            <w:shd w:val="clear" w:color="auto" w:fill="E9E9E9"/>
          </w:tcPr>
          <w:p>
            <w:pPr>
              <w:pStyle w:val="TableParagraph"/>
              <w:ind w:right="427"/>
              <w:jc w:val="right"/>
              <w:rPr>
                <w:sz w:val="20"/>
              </w:rPr>
            </w:pPr>
            <w:r>
              <w:rPr>
                <w:spacing w:val="-10"/>
                <w:sz w:val="20"/>
              </w:rPr>
              <w:t>4</w:t>
            </w:r>
          </w:p>
        </w:tc>
      </w:tr>
      <w:tr>
        <w:trPr>
          <w:trHeight w:val="335" w:hRule="atLeast"/>
        </w:trPr>
        <w:tc>
          <w:tcPr>
            <w:tcW w:w="2025" w:type="dxa"/>
            <w:shd w:val="clear" w:color="auto" w:fill="D0D5CD"/>
          </w:tcPr>
          <w:p>
            <w:pPr>
              <w:pStyle w:val="TableParagraph"/>
              <w:spacing w:before="43"/>
              <w:ind w:left="75"/>
              <w:rPr>
                <w:sz w:val="22"/>
              </w:rPr>
            </w:pPr>
            <w:r>
              <w:rPr>
                <w:sz w:val="22"/>
              </w:rPr>
              <w:t>1980-1995</w:t>
            </w:r>
            <w:r>
              <w:rPr>
                <w:spacing w:val="-7"/>
                <w:sz w:val="22"/>
              </w:rPr>
              <w:t> </w:t>
            </w:r>
            <w:r>
              <w:rPr>
                <w:sz w:val="22"/>
              </w:rPr>
              <w:t>(15</w:t>
            </w:r>
            <w:r>
              <w:rPr>
                <w:spacing w:val="-6"/>
                <w:sz w:val="22"/>
              </w:rPr>
              <w:t> </w:t>
            </w:r>
            <w:r>
              <w:rPr>
                <w:spacing w:val="-2"/>
                <w:sz w:val="22"/>
              </w:rPr>
              <w:t>years)</w:t>
            </w:r>
          </w:p>
        </w:tc>
        <w:tc>
          <w:tcPr>
            <w:tcW w:w="1331" w:type="dxa"/>
            <w:shd w:val="clear" w:color="auto" w:fill="D0D5CD"/>
          </w:tcPr>
          <w:p>
            <w:pPr>
              <w:pStyle w:val="TableParagraph"/>
              <w:ind w:left="230" w:right="65"/>
              <w:jc w:val="center"/>
              <w:rPr>
                <w:sz w:val="20"/>
              </w:rPr>
            </w:pPr>
            <w:r>
              <w:rPr>
                <w:spacing w:val="-5"/>
                <w:sz w:val="20"/>
              </w:rPr>
              <w:t>304</w:t>
            </w:r>
          </w:p>
        </w:tc>
        <w:tc>
          <w:tcPr>
            <w:tcW w:w="1331" w:type="dxa"/>
            <w:shd w:val="clear" w:color="auto" w:fill="D0D5CD"/>
          </w:tcPr>
          <w:p>
            <w:pPr>
              <w:pStyle w:val="TableParagraph"/>
              <w:ind w:right="427"/>
              <w:jc w:val="right"/>
              <w:rPr>
                <w:sz w:val="20"/>
              </w:rPr>
            </w:pPr>
            <w:r>
              <w:rPr>
                <w:spacing w:val="-5"/>
                <w:sz w:val="20"/>
              </w:rPr>
              <w:t>20</w:t>
            </w:r>
          </w:p>
        </w:tc>
      </w:tr>
      <w:tr>
        <w:trPr>
          <w:trHeight w:val="335" w:hRule="atLeast"/>
        </w:trPr>
        <w:tc>
          <w:tcPr>
            <w:tcW w:w="2025" w:type="dxa"/>
            <w:shd w:val="clear" w:color="auto" w:fill="E9E9E9"/>
          </w:tcPr>
          <w:p>
            <w:pPr>
              <w:pStyle w:val="TableParagraph"/>
              <w:spacing w:before="43"/>
              <w:ind w:left="75"/>
              <w:rPr>
                <w:sz w:val="22"/>
              </w:rPr>
            </w:pPr>
            <w:r>
              <w:rPr>
                <w:sz w:val="22"/>
              </w:rPr>
              <w:t>1995-2000</w:t>
            </w:r>
            <w:r>
              <w:rPr>
                <w:spacing w:val="-7"/>
                <w:sz w:val="22"/>
              </w:rPr>
              <w:t> </w:t>
            </w:r>
            <w:r>
              <w:rPr>
                <w:sz w:val="22"/>
              </w:rPr>
              <w:t>(5</w:t>
            </w:r>
            <w:r>
              <w:rPr>
                <w:spacing w:val="-7"/>
                <w:sz w:val="22"/>
              </w:rPr>
              <w:t> </w:t>
            </w:r>
            <w:r>
              <w:rPr>
                <w:spacing w:val="-2"/>
                <w:sz w:val="22"/>
              </w:rPr>
              <w:t>years)</w:t>
            </w:r>
          </w:p>
        </w:tc>
        <w:tc>
          <w:tcPr>
            <w:tcW w:w="1331" w:type="dxa"/>
            <w:shd w:val="clear" w:color="auto" w:fill="E9E9E9"/>
          </w:tcPr>
          <w:p>
            <w:pPr>
              <w:pStyle w:val="TableParagraph"/>
              <w:ind w:left="230" w:right="65"/>
              <w:jc w:val="center"/>
              <w:rPr>
                <w:sz w:val="20"/>
              </w:rPr>
            </w:pPr>
            <w:r>
              <w:rPr>
                <w:spacing w:val="-5"/>
                <w:sz w:val="20"/>
              </w:rPr>
              <w:t>322</w:t>
            </w:r>
          </w:p>
        </w:tc>
        <w:tc>
          <w:tcPr>
            <w:tcW w:w="1331" w:type="dxa"/>
            <w:shd w:val="clear" w:color="auto" w:fill="E9E9E9"/>
          </w:tcPr>
          <w:p>
            <w:pPr>
              <w:pStyle w:val="TableParagraph"/>
              <w:ind w:right="427"/>
              <w:jc w:val="right"/>
              <w:rPr>
                <w:sz w:val="20"/>
              </w:rPr>
            </w:pPr>
            <w:r>
              <w:rPr>
                <w:spacing w:val="-5"/>
                <w:sz w:val="20"/>
              </w:rPr>
              <w:t>64</w:t>
            </w:r>
          </w:p>
        </w:tc>
      </w:tr>
      <w:tr>
        <w:trPr>
          <w:trHeight w:val="335" w:hRule="atLeast"/>
        </w:trPr>
        <w:tc>
          <w:tcPr>
            <w:tcW w:w="2025" w:type="dxa"/>
            <w:shd w:val="clear" w:color="auto" w:fill="D0D5CD"/>
          </w:tcPr>
          <w:p>
            <w:pPr>
              <w:pStyle w:val="TableParagraph"/>
              <w:spacing w:before="43"/>
              <w:ind w:left="75"/>
              <w:rPr>
                <w:sz w:val="22"/>
              </w:rPr>
            </w:pPr>
            <w:r>
              <w:rPr>
                <w:sz w:val="22"/>
              </w:rPr>
              <w:t>2000-2006</w:t>
            </w:r>
            <w:r>
              <w:rPr>
                <w:spacing w:val="-7"/>
                <w:sz w:val="22"/>
              </w:rPr>
              <w:t> </w:t>
            </w:r>
            <w:r>
              <w:rPr>
                <w:sz w:val="22"/>
              </w:rPr>
              <w:t>(6</w:t>
            </w:r>
            <w:r>
              <w:rPr>
                <w:spacing w:val="-7"/>
                <w:sz w:val="22"/>
              </w:rPr>
              <w:t> </w:t>
            </w:r>
            <w:r>
              <w:rPr>
                <w:spacing w:val="-2"/>
                <w:sz w:val="22"/>
              </w:rPr>
              <w:t>years)</w:t>
            </w:r>
          </w:p>
        </w:tc>
        <w:tc>
          <w:tcPr>
            <w:tcW w:w="1331" w:type="dxa"/>
            <w:shd w:val="clear" w:color="auto" w:fill="D0D5CD"/>
          </w:tcPr>
          <w:p>
            <w:pPr>
              <w:pStyle w:val="TableParagraph"/>
              <w:ind w:left="65"/>
              <w:jc w:val="center"/>
              <w:rPr>
                <w:sz w:val="20"/>
              </w:rPr>
            </w:pPr>
            <w:r>
              <w:rPr>
                <w:spacing w:val="-4"/>
                <w:sz w:val="20"/>
              </w:rPr>
              <w:t>1017</w:t>
            </w:r>
          </w:p>
        </w:tc>
        <w:tc>
          <w:tcPr>
            <w:tcW w:w="1331" w:type="dxa"/>
            <w:shd w:val="clear" w:color="auto" w:fill="D0D5CD"/>
          </w:tcPr>
          <w:p>
            <w:pPr>
              <w:pStyle w:val="TableParagraph"/>
              <w:spacing w:before="43"/>
              <w:ind w:right="427"/>
              <w:jc w:val="right"/>
              <w:rPr>
                <w:sz w:val="22"/>
              </w:rPr>
            </w:pPr>
            <w:r>
              <w:rPr>
                <w:spacing w:val="-5"/>
                <w:sz w:val="22"/>
              </w:rPr>
              <w:t>169</w:t>
            </w:r>
          </w:p>
        </w:tc>
      </w:tr>
    </w:tbl>
    <w:p>
      <w:pPr>
        <w:spacing w:line="249" w:lineRule="auto" w:before="56"/>
        <w:ind w:left="319" w:right="1075" w:firstLine="0"/>
        <w:jc w:val="left"/>
        <w:rPr>
          <w:sz w:val="16"/>
        </w:rPr>
      </w:pPr>
      <w:r>
        <w:rPr>
          <w:i/>
          <w:spacing w:val="-4"/>
          <w:sz w:val="16"/>
        </w:rPr>
        <w:t>Source: </w:t>
      </w:r>
      <w:r>
        <w:rPr>
          <w:spacing w:val="-4"/>
          <w:sz w:val="16"/>
        </w:rPr>
        <w:t>Adapted from Dayal, I., “Developing Management Education </w:t>
      </w:r>
      <w:r>
        <w:rPr>
          <w:spacing w:val="-4"/>
          <w:sz w:val="16"/>
        </w:rPr>
        <w:t>in</w:t>
      </w:r>
      <w:r>
        <w:rPr>
          <w:spacing w:val="40"/>
          <w:sz w:val="16"/>
        </w:rPr>
        <w:t> </w:t>
      </w:r>
      <w:r>
        <w:rPr>
          <w:spacing w:val="-4"/>
          <w:sz w:val="16"/>
        </w:rPr>
        <w:t>India”, </w:t>
      </w:r>
      <w:r>
        <w:rPr>
          <w:i/>
          <w:spacing w:val="-4"/>
          <w:sz w:val="16"/>
        </w:rPr>
        <w:t>Journal of Management Research</w:t>
      </w:r>
      <w:r>
        <w:rPr>
          <w:spacing w:val="-4"/>
          <w:sz w:val="16"/>
        </w:rPr>
        <w:t>, 2(2), August 2002, page: 101.</w:t>
      </w:r>
    </w:p>
    <w:p>
      <w:pPr>
        <w:spacing w:after="0" w:line="249" w:lineRule="auto"/>
        <w:jc w:val="left"/>
        <w:rPr>
          <w:sz w:val="16"/>
        </w:rPr>
        <w:sectPr>
          <w:pgSz w:w="11910" w:h="16840"/>
          <w:pgMar w:header="0" w:footer="675" w:top="940" w:bottom="860" w:left="0" w:right="0"/>
          <w:cols w:num="2" w:equalWidth="0">
            <w:col w:w="5774" w:space="40"/>
            <w:col w:w="6096"/>
          </w:cols>
        </w:sectPr>
      </w:pPr>
    </w:p>
    <w:p>
      <w:pPr>
        <w:pStyle w:val="BodyText"/>
        <w:spacing w:before="30"/>
        <w:rPr>
          <w:sz w:val="24"/>
        </w:rPr>
      </w:pPr>
    </w:p>
    <w:p>
      <w:pPr>
        <w:pStyle w:val="Heading8"/>
        <w:ind w:left="1924"/>
      </w:pPr>
      <w:r>
        <w:rPr/>
        <mc:AlternateContent>
          <mc:Choice Requires="wps">
            <w:drawing>
              <wp:anchor distT="0" distB="0" distL="0" distR="0" allowOverlap="1" layoutInCell="1" locked="0" behindDoc="0" simplePos="0" relativeHeight="15845376">
                <wp:simplePos x="0" y="0"/>
                <wp:positionH relativeFrom="page">
                  <wp:posOffset>1213600</wp:posOffset>
                </wp:positionH>
                <wp:positionV relativeFrom="paragraph">
                  <wp:posOffset>246901</wp:posOffset>
                </wp:positionV>
                <wp:extent cx="5045710" cy="2292350"/>
                <wp:effectExtent l="0" t="0" r="0" b="0"/>
                <wp:wrapNone/>
                <wp:docPr id="1785" name="Group 1785"/>
                <wp:cNvGraphicFramePr>
                  <a:graphicFrameLocks/>
                </wp:cNvGraphicFramePr>
                <a:graphic>
                  <a:graphicData uri="http://schemas.microsoft.com/office/word/2010/wordprocessingGroup">
                    <wpg:wgp>
                      <wpg:cNvPr id="1785" name="Group 1785"/>
                      <wpg:cNvGrpSpPr/>
                      <wpg:grpSpPr>
                        <a:xfrm>
                          <a:off x="0" y="0"/>
                          <a:ext cx="5045710" cy="2292350"/>
                          <a:chExt cx="5045710" cy="2292350"/>
                        </a:xfrm>
                      </wpg:grpSpPr>
                      <wps:wsp>
                        <wps:cNvPr id="1786" name="Graphic 1786"/>
                        <wps:cNvSpPr/>
                        <wps:spPr>
                          <a:xfrm>
                            <a:off x="301395" y="260537"/>
                            <a:ext cx="4561205" cy="1322705"/>
                          </a:xfrm>
                          <a:custGeom>
                            <a:avLst/>
                            <a:gdLst/>
                            <a:ahLst/>
                            <a:cxnLst/>
                            <a:rect l="l" t="t" r="r" b="b"/>
                            <a:pathLst>
                              <a:path w="4561205" h="1322705">
                                <a:moveTo>
                                  <a:pt x="74447" y="0"/>
                                </a:moveTo>
                                <a:lnTo>
                                  <a:pt x="0" y="0"/>
                                </a:lnTo>
                                <a:lnTo>
                                  <a:pt x="0" y="1322247"/>
                                </a:lnTo>
                                <a:lnTo>
                                  <a:pt x="74447" y="1322247"/>
                                </a:lnTo>
                                <a:lnTo>
                                  <a:pt x="74447" y="0"/>
                                </a:lnTo>
                                <a:close/>
                              </a:path>
                              <a:path w="4561205" h="1322705">
                                <a:moveTo>
                                  <a:pt x="273024" y="216255"/>
                                </a:moveTo>
                                <a:lnTo>
                                  <a:pt x="192354" y="216255"/>
                                </a:lnTo>
                                <a:lnTo>
                                  <a:pt x="192354" y="1322247"/>
                                </a:lnTo>
                                <a:lnTo>
                                  <a:pt x="273024" y="1322247"/>
                                </a:lnTo>
                                <a:lnTo>
                                  <a:pt x="273024" y="216255"/>
                                </a:lnTo>
                                <a:close/>
                              </a:path>
                              <a:path w="4561205" h="1322705">
                                <a:moveTo>
                                  <a:pt x="465391" y="420154"/>
                                </a:moveTo>
                                <a:lnTo>
                                  <a:pt x="390918" y="420154"/>
                                </a:lnTo>
                                <a:lnTo>
                                  <a:pt x="390918" y="1322247"/>
                                </a:lnTo>
                                <a:lnTo>
                                  <a:pt x="465391" y="1322247"/>
                                </a:lnTo>
                                <a:lnTo>
                                  <a:pt x="465391" y="420154"/>
                                </a:lnTo>
                                <a:close/>
                              </a:path>
                              <a:path w="4561205" h="1322705">
                                <a:moveTo>
                                  <a:pt x="663943" y="426326"/>
                                </a:moveTo>
                                <a:lnTo>
                                  <a:pt x="583285" y="426326"/>
                                </a:lnTo>
                                <a:lnTo>
                                  <a:pt x="583285" y="1322247"/>
                                </a:lnTo>
                                <a:lnTo>
                                  <a:pt x="663943" y="1322247"/>
                                </a:lnTo>
                                <a:lnTo>
                                  <a:pt x="663943" y="426326"/>
                                </a:lnTo>
                                <a:close/>
                              </a:path>
                              <a:path w="4561205" h="1322705">
                                <a:moveTo>
                                  <a:pt x="856310" y="481939"/>
                                </a:moveTo>
                                <a:lnTo>
                                  <a:pt x="781850" y="481939"/>
                                </a:lnTo>
                                <a:lnTo>
                                  <a:pt x="781850" y="1322247"/>
                                </a:lnTo>
                                <a:lnTo>
                                  <a:pt x="856310" y="1322247"/>
                                </a:lnTo>
                                <a:lnTo>
                                  <a:pt x="856310" y="481939"/>
                                </a:lnTo>
                                <a:close/>
                              </a:path>
                              <a:path w="4561205" h="1322705">
                                <a:moveTo>
                                  <a:pt x="1054887" y="586981"/>
                                </a:moveTo>
                                <a:lnTo>
                                  <a:pt x="974204" y="586981"/>
                                </a:lnTo>
                                <a:lnTo>
                                  <a:pt x="974204" y="1322247"/>
                                </a:lnTo>
                                <a:lnTo>
                                  <a:pt x="1054887" y="1322247"/>
                                </a:lnTo>
                                <a:lnTo>
                                  <a:pt x="1054887" y="586981"/>
                                </a:lnTo>
                                <a:close/>
                              </a:path>
                              <a:path w="4561205" h="1322705">
                                <a:moveTo>
                                  <a:pt x="1247241" y="617867"/>
                                </a:moveTo>
                                <a:lnTo>
                                  <a:pt x="1172768" y="617867"/>
                                </a:lnTo>
                                <a:lnTo>
                                  <a:pt x="1172768" y="1322247"/>
                                </a:lnTo>
                                <a:lnTo>
                                  <a:pt x="1247241" y="1322247"/>
                                </a:lnTo>
                                <a:lnTo>
                                  <a:pt x="1247241" y="617867"/>
                                </a:lnTo>
                                <a:close/>
                              </a:path>
                              <a:path w="4561205" h="1322705">
                                <a:moveTo>
                                  <a:pt x="1439595" y="654939"/>
                                </a:moveTo>
                                <a:lnTo>
                                  <a:pt x="1365135" y="654939"/>
                                </a:lnTo>
                                <a:lnTo>
                                  <a:pt x="1365135" y="1322247"/>
                                </a:lnTo>
                                <a:lnTo>
                                  <a:pt x="1439595" y="1322247"/>
                                </a:lnTo>
                                <a:lnTo>
                                  <a:pt x="1439595" y="654939"/>
                                </a:lnTo>
                                <a:close/>
                              </a:path>
                              <a:path w="4561205" h="1322705">
                                <a:moveTo>
                                  <a:pt x="1638160" y="710552"/>
                                </a:moveTo>
                                <a:lnTo>
                                  <a:pt x="1557502" y="710552"/>
                                </a:lnTo>
                                <a:lnTo>
                                  <a:pt x="1557502" y="1322247"/>
                                </a:lnTo>
                                <a:lnTo>
                                  <a:pt x="1638160" y="1322247"/>
                                </a:lnTo>
                                <a:lnTo>
                                  <a:pt x="1638160" y="710552"/>
                                </a:lnTo>
                                <a:close/>
                              </a:path>
                              <a:path w="4561205" h="1322705">
                                <a:moveTo>
                                  <a:pt x="1830527" y="834136"/>
                                </a:moveTo>
                                <a:lnTo>
                                  <a:pt x="1756054" y="834136"/>
                                </a:lnTo>
                                <a:lnTo>
                                  <a:pt x="1756054" y="1322247"/>
                                </a:lnTo>
                                <a:lnTo>
                                  <a:pt x="1830527" y="1322247"/>
                                </a:lnTo>
                                <a:lnTo>
                                  <a:pt x="1830527" y="834136"/>
                                </a:lnTo>
                                <a:close/>
                              </a:path>
                              <a:path w="4561205" h="1322705">
                                <a:moveTo>
                                  <a:pt x="2029091" y="858837"/>
                                </a:moveTo>
                                <a:lnTo>
                                  <a:pt x="1948421" y="858837"/>
                                </a:lnTo>
                                <a:lnTo>
                                  <a:pt x="1948421" y="1322247"/>
                                </a:lnTo>
                                <a:lnTo>
                                  <a:pt x="2029091" y="1322247"/>
                                </a:lnTo>
                                <a:lnTo>
                                  <a:pt x="2029091" y="858837"/>
                                </a:lnTo>
                                <a:close/>
                              </a:path>
                              <a:path w="4561205" h="1322705">
                                <a:moveTo>
                                  <a:pt x="2221458" y="939165"/>
                                </a:moveTo>
                                <a:lnTo>
                                  <a:pt x="2146998" y="939165"/>
                                </a:lnTo>
                                <a:lnTo>
                                  <a:pt x="2146998" y="1322247"/>
                                </a:lnTo>
                                <a:lnTo>
                                  <a:pt x="2221458" y="1322247"/>
                                </a:lnTo>
                                <a:lnTo>
                                  <a:pt x="2221458" y="939165"/>
                                </a:lnTo>
                                <a:close/>
                              </a:path>
                              <a:path w="4561205" h="1322705">
                                <a:moveTo>
                                  <a:pt x="2413812" y="976236"/>
                                </a:moveTo>
                                <a:lnTo>
                                  <a:pt x="2339352" y="976236"/>
                                </a:lnTo>
                                <a:lnTo>
                                  <a:pt x="2339352" y="1322247"/>
                                </a:lnTo>
                                <a:lnTo>
                                  <a:pt x="2413812" y="1322247"/>
                                </a:lnTo>
                                <a:lnTo>
                                  <a:pt x="2413812" y="976236"/>
                                </a:lnTo>
                                <a:close/>
                              </a:path>
                              <a:path w="4561205" h="1322705">
                                <a:moveTo>
                                  <a:pt x="2612390" y="988593"/>
                                </a:moveTo>
                                <a:lnTo>
                                  <a:pt x="2531707" y="988593"/>
                                </a:lnTo>
                                <a:lnTo>
                                  <a:pt x="2531707" y="1322247"/>
                                </a:lnTo>
                                <a:lnTo>
                                  <a:pt x="2612390" y="1322247"/>
                                </a:lnTo>
                                <a:lnTo>
                                  <a:pt x="2612390" y="988593"/>
                                </a:lnTo>
                                <a:close/>
                              </a:path>
                              <a:path w="4561205" h="1322705">
                                <a:moveTo>
                                  <a:pt x="2804744" y="1081278"/>
                                </a:moveTo>
                                <a:lnTo>
                                  <a:pt x="2730271" y="1081278"/>
                                </a:lnTo>
                                <a:lnTo>
                                  <a:pt x="2730271" y="1322247"/>
                                </a:lnTo>
                                <a:lnTo>
                                  <a:pt x="2804744" y="1322247"/>
                                </a:lnTo>
                                <a:lnTo>
                                  <a:pt x="2804744" y="1081278"/>
                                </a:lnTo>
                                <a:close/>
                              </a:path>
                              <a:path w="4561205" h="1322705">
                                <a:moveTo>
                                  <a:pt x="3003308" y="1124534"/>
                                </a:moveTo>
                                <a:lnTo>
                                  <a:pt x="2922651" y="1124534"/>
                                </a:lnTo>
                                <a:lnTo>
                                  <a:pt x="2922651" y="1322247"/>
                                </a:lnTo>
                                <a:lnTo>
                                  <a:pt x="3003308" y="1322247"/>
                                </a:lnTo>
                                <a:lnTo>
                                  <a:pt x="3003308" y="1124534"/>
                                </a:lnTo>
                                <a:close/>
                              </a:path>
                              <a:path w="4561205" h="1322705">
                                <a:moveTo>
                                  <a:pt x="3195663" y="1149248"/>
                                </a:moveTo>
                                <a:lnTo>
                                  <a:pt x="3121202" y="1149248"/>
                                </a:lnTo>
                                <a:lnTo>
                                  <a:pt x="3121202" y="1322247"/>
                                </a:lnTo>
                                <a:lnTo>
                                  <a:pt x="3195663" y="1322247"/>
                                </a:lnTo>
                                <a:lnTo>
                                  <a:pt x="3195663" y="1149248"/>
                                </a:lnTo>
                                <a:close/>
                              </a:path>
                              <a:path w="4561205" h="1322705">
                                <a:moveTo>
                                  <a:pt x="3394240" y="1155407"/>
                                </a:moveTo>
                                <a:lnTo>
                                  <a:pt x="3313569" y="1155407"/>
                                </a:lnTo>
                                <a:lnTo>
                                  <a:pt x="3313569" y="1322247"/>
                                </a:lnTo>
                                <a:lnTo>
                                  <a:pt x="3394240" y="1322247"/>
                                </a:lnTo>
                                <a:lnTo>
                                  <a:pt x="3394240" y="1155407"/>
                                </a:lnTo>
                                <a:close/>
                              </a:path>
                              <a:path w="4561205" h="1322705">
                                <a:moveTo>
                                  <a:pt x="3586581" y="1155407"/>
                                </a:moveTo>
                                <a:lnTo>
                                  <a:pt x="3512121" y="1155407"/>
                                </a:lnTo>
                                <a:lnTo>
                                  <a:pt x="3512121" y="1322247"/>
                                </a:lnTo>
                                <a:lnTo>
                                  <a:pt x="3586581" y="1322247"/>
                                </a:lnTo>
                                <a:lnTo>
                                  <a:pt x="3586581" y="1155407"/>
                                </a:lnTo>
                                <a:close/>
                              </a:path>
                              <a:path w="4561205" h="1322705">
                                <a:moveTo>
                                  <a:pt x="3778961" y="1217206"/>
                                </a:moveTo>
                                <a:lnTo>
                                  <a:pt x="3704488" y="1217206"/>
                                </a:lnTo>
                                <a:lnTo>
                                  <a:pt x="3704488" y="1322247"/>
                                </a:lnTo>
                                <a:lnTo>
                                  <a:pt x="3778961" y="1322247"/>
                                </a:lnTo>
                                <a:lnTo>
                                  <a:pt x="3778961" y="1217206"/>
                                </a:lnTo>
                                <a:close/>
                              </a:path>
                              <a:path w="4561205" h="1322705">
                                <a:moveTo>
                                  <a:pt x="3977525" y="1229563"/>
                                </a:moveTo>
                                <a:lnTo>
                                  <a:pt x="3896855" y="1229563"/>
                                </a:lnTo>
                                <a:lnTo>
                                  <a:pt x="3896855" y="1322247"/>
                                </a:lnTo>
                                <a:lnTo>
                                  <a:pt x="3977525" y="1322247"/>
                                </a:lnTo>
                                <a:lnTo>
                                  <a:pt x="3977525" y="1229563"/>
                                </a:lnTo>
                                <a:close/>
                              </a:path>
                              <a:path w="4561205" h="1322705">
                                <a:moveTo>
                                  <a:pt x="4169880" y="1241920"/>
                                </a:moveTo>
                                <a:lnTo>
                                  <a:pt x="4095432" y="1241920"/>
                                </a:lnTo>
                                <a:lnTo>
                                  <a:pt x="4095432" y="1322247"/>
                                </a:lnTo>
                                <a:lnTo>
                                  <a:pt x="4169880" y="1322247"/>
                                </a:lnTo>
                                <a:lnTo>
                                  <a:pt x="4169880" y="1241920"/>
                                </a:lnTo>
                                <a:close/>
                              </a:path>
                              <a:path w="4561205" h="1322705">
                                <a:moveTo>
                                  <a:pt x="4368457" y="1254277"/>
                                </a:moveTo>
                                <a:lnTo>
                                  <a:pt x="4287774" y="1254277"/>
                                </a:lnTo>
                                <a:lnTo>
                                  <a:pt x="4287774" y="1322247"/>
                                </a:lnTo>
                                <a:lnTo>
                                  <a:pt x="4368457" y="1322247"/>
                                </a:lnTo>
                                <a:lnTo>
                                  <a:pt x="4368457" y="1254277"/>
                                </a:lnTo>
                                <a:close/>
                              </a:path>
                              <a:path w="4561205" h="1322705">
                                <a:moveTo>
                                  <a:pt x="4560811" y="1254277"/>
                                </a:moveTo>
                                <a:lnTo>
                                  <a:pt x="4486351" y="1254277"/>
                                </a:lnTo>
                                <a:lnTo>
                                  <a:pt x="4486351" y="1322247"/>
                                </a:lnTo>
                                <a:lnTo>
                                  <a:pt x="4560811" y="1322247"/>
                                </a:lnTo>
                                <a:lnTo>
                                  <a:pt x="4560811" y="1254277"/>
                                </a:lnTo>
                                <a:close/>
                              </a:path>
                            </a:pathLst>
                          </a:custGeom>
                          <a:solidFill>
                            <a:srgbClr val="2F7D41"/>
                          </a:solidFill>
                        </wps:spPr>
                        <wps:bodyPr wrap="square" lIns="0" tIns="0" rIns="0" bIns="0" rtlCol="0">
                          <a:prstTxWarp prst="textNoShape">
                            <a:avLst/>
                          </a:prstTxWarp>
                          <a:noAutofit/>
                        </wps:bodyPr>
                      </wps:wsp>
                      <wps:wsp>
                        <wps:cNvPr id="1787" name="Graphic 1787"/>
                        <wps:cNvSpPr/>
                        <wps:spPr>
                          <a:xfrm>
                            <a:off x="217550" y="90535"/>
                            <a:ext cx="4710430" cy="1514475"/>
                          </a:xfrm>
                          <a:custGeom>
                            <a:avLst/>
                            <a:gdLst/>
                            <a:ahLst/>
                            <a:cxnLst/>
                            <a:rect l="l" t="t" r="r" b="b"/>
                            <a:pathLst>
                              <a:path w="4710430" h="1514475">
                                <a:moveTo>
                                  <a:pt x="4709896" y="1489075"/>
                                </a:moveTo>
                                <a:lnTo>
                                  <a:pt x="4709896" y="1489075"/>
                                </a:lnTo>
                                <a:lnTo>
                                  <a:pt x="31165" y="1489075"/>
                                </a:lnTo>
                                <a:lnTo>
                                  <a:pt x="31165" y="0"/>
                                </a:lnTo>
                                <a:lnTo>
                                  <a:pt x="24815" y="0"/>
                                </a:lnTo>
                                <a:lnTo>
                                  <a:pt x="0" y="0"/>
                                </a:lnTo>
                                <a:lnTo>
                                  <a:pt x="0" y="6350"/>
                                </a:lnTo>
                                <a:lnTo>
                                  <a:pt x="24815" y="6350"/>
                                </a:lnTo>
                                <a:lnTo>
                                  <a:pt x="24815" y="296583"/>
                                </a:lnTo>
                                <a:lnTo>
                                  <a:pt x="0" y="296583"/>
                                </a:lnTo>
                                <a:lnTo>
                                  <a:pt x="0" y="302933"/>
                                </a:lnTo>
                                <a:lnTo>
                                  <a:pt x="24815" y="302933"/>
                                </a:lnTo>
                                <a:lnTo>
                                  <a:pt x="24815" y="593153"/>
                                </a:lnTo>
                                <a:lnTo>
                                  <a:pt x="0" y="593153"/>
                                </a:lnTo>
                                <a:lnTo>
                                  <a:pt x="0" y="599503"/>
                                </a:lnTo>
                                <a:lnTo>
                                  <a:pt x="24815" y="599503"/>
                                </a:lnTo>
                                <a:lnTo>
                                  <a:pt x="24815" y="895921"/>
                                </a:lnTo>
                                <a:lnTo>
                                  <a:pt x="0" y="895921"/>
                                </a:lnTo>
                                <a:lnTo>
                                  <a:pt x="0" y="902271"/>
                                </a:lnTo>
                                <a:lnTo>
                                  <a:pt x="24815" y="902271"/>
                                </a:lnTo>
                                <a:lnTo>
                                  <a:pt x="24815" y="1192491"/>
                                </a:lnTo>
                                <a:lnTo>
                                  <a:pt x="0" y="1192491"/>
                                </a:lnTo>
                                <a:lnTo>
                                  <a:pt x="0" y="1198841"/>
                                </a:lnTo>
                                <a:lnTo>
                                  <a:pt x="24815" y="1198841"/>
                                </a:lnTo>
                                <a:lnTo>
                                  <a:pt x="24815" y="1489075"/>
                                </a:lnTo>
                                <a:lnTo>
                                  <a:pt x="0" y="1489075"/>
                                </a:lnTo>
                                <a:lnTo>
                                  <a:pt x="0" y="1495425"/>
                                </a:lnTo>
                                <a:lnTo>
                                  <a:pt x="24815" y="1495425"/>
                                </a:lnTo>
                                <a:lnTo>
                                  <a:pt x="24815" y="1513967"/>
                                </a:lnTo>
                                <a:lnTo>
                                  <a:pt x="31165" y="1513967"/>
                                </a:lnTo>
                                <a:lnTo>
                                  <a:pt x="31165" y="1495425"/>
                                </a:lnTo>
                                <a:lnTo>
                                  <a:pt x="217182" y="1495425"/>
                                </a:lnTo>
                                <a:lnTo>
                                  <a:pt x="217182" y="1513967"/>
                                </a:lnTo>
                                <a:lnTo>
                                  <a:pt x="223532" y="1513967"/>
                                </a:lnTo>
                                <a:lnTo>
                                  <a:pt x="223532" y="1495425"/>
                                </a:lnTo>
                                <a:lnTo>
                                  <a:pt x="415747" y="1495425"/>
                                </a:lnTo>
                                <a:lnTo>
                                  <a:pt x="415747" y="1513967"/>
                                </a:lnTo>
                                <a:lnTo>
                                  <a:pt x="422097" y="1513967"/>
                                </a:lnTo>
                                <a:lnTo>
                                  <a:pt x="422097" y="1495425"/>
                                </a:lnTo>
                                <a:lnTo>
                                  <a:pt x="608114" y="1495425"/>
                                </a:lnTo>
                                <a:lnTo>
                                  <a:pt x="608114" y="1513967"/>
                                </a:lnTo>
                                <a:lnTo>
                                  <a:pt x="614464" y="1513967"/>
                                </a:lnTo>
                                <a:lnTo>
                                  <a:pt x="614464" y="1495425"/>
                                </a:lnTo>
                                <a:lnTo>
                                  <a:pt x="806678" y="1495425"/>
                                </a:lnTo>
                                <a:lnTo>
                                  <a:pt x="806678" y="1513967"/>
                                </a:lnTo>
                                <a:lnTo>
                                  <a:pt x="813028" y="1513967"/>
                                </a:lnTo>
                                <a:lnTo>
                                  <a:pt x="813028" y="1495425"/>
                                </a:lnTo>
                                <a:lnTo>
                                  <a:pt x="999032" y="1495425"/>
                                </a:lnTo>
                                <a:lnTo>
                                  <a:pt x="999032" y="1513967"/>
                                </a:lnTo>
                                <a:lnTo>
                                  <a:pt x="1005382" y="1513967"/>
                                </a:lnTo>
                                <a:lnTo>
                                  <a:pt x="1005382" y="1495425"/>
                                </a:lnTo>
                                <a:lnTo>
                                  <a:pt x="1197597" y="1495425"/>
                                </a:lnTo>
                                <a:lnTo>
                                  <a:pt x="1197597" y="1513967"/>
                                </a:lnTo>
                                <a:lnTo>
                                  <a:pt x="1203947" y="1513967"/>
                                </a:lnTo>
                                <a:lnTo>
                                  <a:pt x="1203947" y="1495425"/>
                                </a:lnTo>
                                <a:lnTo>
                                  <a:pt x="1389964" y="1495425"/>
                                </a:lnTo>
                                <a:lnTo>
                                  <a:pt x="1389964" y="1513967"/>
                                </a:lnTo>
                                <a:lnTo>
                                  <a:pt x="1396314" y="1513967"/>
                                </a:lnTo>
                                <a:lnTo>
                                  <a:pt x="1396314" y="1495425"/>
                                </a:lnTo>
                                <a:lnTo>
                                  <a:pt x="1582318" y="1495425"/>
                                </a:lnTo>
                                <a:lnTo>
                                  <a:pt x="1582318" y="1513967"/>
                                </a:lnTo>
                                <a:lnTo>
                                  <a:pt x="1588668" y="1513967"/>
                                </a:lnTo>
                                <a:lnTo>
                                  <a:pt x="1588668" y="1495425"/>
                                </a:lnTo>
                                <a:lnTo>
                                  <a:pt x="1780882" y="1495425"/>
                                </a:lnTo>
                                <a:lnTo>
                                  <a:pt x="1780882" y="1513967"/>
                                </a:lnTo>
                                <a:lnTo>
                                  <a:pt x="1787232" y="1513967"/>
                                </a:lnTo>
                                <a:lnTo>
                                  <a:pt x="1787232" y="1495425"/>
                                </a:lnTo>
                                <a:lnTo>
                                  <a:pt x="1973249" y="1495425"/>
                                </a:lnTo>
                                <a:lnTo>
                                  <a:pt x="1973249" y="1513967"/>
                                </a:lnTo>
                                <a:lnTo>
                                  <a:pt x="1979599" y="1513967"/>
                                </a:lnTo>
                                <a:lnTo>
                                  <a:pt x="1979599" y="1495425"/>
                                </a:lnTo>
                                <a:lnTo>
                                  <a:pt x="2171814" y="1495425"/>
                                </a:lnTo>
                                <a:lnTo>
                                  <a:pt x="2171814" y="1513967"/>
                                </a:lnTo>
                                <a:lnTo>
                                  <a:pt x="2178164" y="1513967"/>
                                </a:lnTo>
                                <a:lnTo>
                                  <a:pt x="2178164" y="1495425"/>
                                </a:lnTo>
                                <a:lnTo>
                                  <a:pt x="2364181" y="1495425"/>
                                </a:lnTo>
                                <a:lnTo>
                                  <a:pt x="2364181" y="1513967"/>
                                </a:lnTo>
                                <a:lnTo>
                                  <a:pt x="2370531" y="1513967"/>
                                </a:lnTo>
                                <a:lnTo>
                                  <a:pt x="2370531" y="1495425"/>
                                </a:lnTo>
                                <a:lnTo>
                                  <a:pt x="2556522" y="1495425"/>
                                </a:lnTo>
                                <a:lnTo>
                                  <a:pt x="2556522" y="1513967"/>
                                </a:lnTo>
                                <a:lnTo>
                                  <a:pt x="2562872" y="1513967"/>
                                </a:lnTo>
                                <a:lnTo>
                                  <a:pt x="2562872" y="1495425"/>
                                </a:lnTo>
                                <a:lnTo>
                                  <a:pt x="2755100" y="1495425"/>
                                </a:lnTo>
                                <a:lnTo>
                                  <a:pt x="2755100" y="1513967"/>
                                </a:lnTo>
                                <a:lnTo>
                                  <a:pt x="2761450" y="1513967"/>
                                </a:lnTo>
                                <a:lnTo>
                                  <a:pt x="2761450" y="1495425"/>
                                </a:lnTo>
                                <a:lnTo>
                                  <a:pt x="2947441" y="1495425"/>
                                </a:lnTo>
                                <a:lnTo>
                                  <a:pt x="2947441" y="1513967"/>
                                </a:lnTo>
                                <a:lnTo>
                                  <a:pt x="2953791" y="1513967"/>
                                </a:lnTo>
                                <a:lnTo>
                                  <a:pt x="2953791" y="1495425"/>
                                </a:lnTo>
                                <a:lnTo>
                                  <a:pt x="3146018" y="1495425"/>
                                </a:lnTo>
                                <a:lnTo>
                                  <a:pt x="3146018" y="1513967"/>
                                </a:lnTo>
                                <a:lnTo>
                                  <a:pt x="3152368" y="1513967"/>
                                </a:lnTo>
                                <a:lnTo>
                                  <a:pt x="3152368" y="1495425"/>
                                </a:lnTo>
                                <a:lnTo>
                                  <a:pt x="3338398" y="1495425"/>
                                </a:lnTo>
                                <a:lnTo>
                                  <a:pt x="3338398" y="1513967"/>
                                </a:lnTo>
                                <a:lnTo>
                                  <a:pt x="3344748" y="1513967"/>
                                </a:lnTo>
                                <a:lnTo>
                                  <a:pt x="3344748" y="1495425"/>
                                </a:lnTo>
                                <a:lnTo>
                                  <a:pt x="3536937" y="1495425"/>
                                </a:lnTo>
                                <a:lnTo>
                                  <a:pt x="3536937" y="1513967"/>
                                </a:lnTo>
                                <a:lnTo>
                                  <a:pt x="3543287" y="1513967"/>
                                </a:lnTo>
                                <a:lnTo>
                                  <a:pt x="3543287" y="1495425"/>
                                </a:lnTo>
                                <a:lnTo>
                                  <a:pt x="3729329" y="1495425"/>
                                </a:lnTo>
                                <a:lnTo>
                                  <a:pt x="3729329" y="1513967"/>
                                </a:lnTo>
                                <a:lnTo>
                                  <a:pt x="3735679" y="1513967"/>
                                </a:lnTo>
                                <a:lnTo>
                                  <a:pt x="3735679" y="1495425"/>
                                </a:lnTo>
                                <a:lnTo>
                                  <a:pt x="3921671" y="1495425"/>
                                </a:lnTo>
                                <a:lnTo>
                                  <a:pt x="3921671" y="1513967"/>
                                </a:lnTo>
                                <a:lnTo>
                                  <a:pt x="3928021" y="1513967"/>
                                </a:lnTo>
                                <a:lnTo>
                                  <a:pt x="3928021" y="1495425"/>
                                </a:lnTo>
                                <a:lnTo>
                                  <a:pt x="4120248" y="1495425"/>
                                </a:lnTo>
                                <a:lnTo>
                                  <a:pt x="4120248" y="1513967"/>
                                </a:lnTo>
                                <a:lnTo>
                                  <a:pt x="4126598" y="1513967"/>
                                </a:lnTo>
                                <a:lnTo>
                                  <a:pt x="4126598" y="1495425"/>
                                </a:lnTo>
                                <a:lnTo>
                                  <a:pt x="4312602" y="1495425"/>
                                </a:lnTo>
                                <a:lnTo>
                                  <a:pt x="4312602" y="1513967"/>
                                </a:lnTo>
                                <a:lnTo>
                                  <a:pt x="4318952" y="1513967"/>
                                </a:lnTo>
                                <a:lnTo>
                                  <a:pt x="4318952" y="1495425"/>
                                </a:lnTo>
                                <a:lnTo>
                                  <a:pt x="4511167" y="1495425"/>
                                </a:lnTo>
                                <a:lnTo>
                                  <a:pt x="4511167" y="1513967"/>
                                </a:lnTo>
                                <a:lnTo>
                                  <a:pt x="4517517" y="1513967"/>
                                </a:lnTo>
                                <a:lnTo>
                                  <a:pt x="4517517" y="1495425"/>
                                </a:lnTo>
                                <a:lnTo>
                                  <a:pt x="4703546" y="1495425"/>
                                </a:lnTo>
                                <a:lnTo>
                                  <a:pt x="4703546" y="1513967"/>
                                </a:lnTo>
                                <a:lnTo>
                                  <a:pt x="4709896" y="1513967"/>
                                </a:lnTo>
                                <a:lnTo>
                                  <a:pt x="4709896" y="1489075"/>
                                </a:lnTo>
                                <a:close/>
                              </a:path>
                            </a:pathLst>
                          </a:custGeom>
                          <a:solidFill>
                            <a:srgbClr val="000000"/>
                          </a:solidFill>
                        </wps:spPr>
                        <wps:bodyPr wrap="square" lIns="0" tIns="0" rIns="0" bIns="0" rtlCol="0">
                          <a:prstTxWarp prst="textNoShape">
                            <a:avLst/>
                          </a:prstTxWarp>
                          <a:noAutofit/>
                        </wps:bodyPr>
                      </wps:wsp>
                      <wps:wsp>
                        <wps:cNvPr id="1788" name="Textbox 1788"/>
                        <wps:cNvSpPr txBox="1"/>
                        <wps:spPr>
                          <a:xfrm>
                            <a:off x="3174" y="3174"/>
                            <a:ext cx="5039360" cy="2286000"/>
                          </a:xfrm>
                          <a:prstGeom prst="rect">
                            <a:avLst/>
                          </a:prstGeom>
                          <a:ln w="6349">
                            <a:solidFill>
                              <a:srgbClr val="000000"/>
                            </a:solidFill>
                            <a:prstDash val="solid"/>
                          </a:ln>
                        </wps:spPr>
                        <wps:txbx>
                          <w:txbxContent>
                            <w:p>
                              <w:pPr>
                                <w:spacing w:before="93"/>
                                <w:ind w:left="138" w:right="0" w:firstLine="0"/>
                                <w:jc w:val="left"/>
                                <w:rPr>
                                  <w:rFonts w:ascii="Arial MT"/>
                                  <w:sz w:val="14"/>
                                </w:rPr>
                              </w:pPr>
                              <w:r>
                                <w:rPr>
                                  <w:rFonts w:ascii="Arial MT"/>
                                  <w:spacing w:val="-5"/>
                                  <w:w w:val="90"/>
                                  <w:sz w:val="14"/>
                                </w:rPr>
                                <w:t>25</w:t>
                              </w:r>
                            </w:p>
                            <w:p>
                              <w:pPr>
                                <w:spacing w:line="240" w:lineRule="auto" w:before="138"/>
                                <w:rPr>
                                  <w:rFonts w:ascii="Arial MT"/>
                                  <w:sz w:val="14"/>
                                </w:rPr>
                              </w:pPr>
                            </w:p>
                            <w:p>
                              <w:pPr>
                                <w:spacing w:before="0"/>
                                <w:ind w:left="138" w:right="0" w:firstLine="0"/>
                                <w:jc w:val="left"/>
                                <w:rPr>
                                  <w:rFonts w:ascii="Arial MT"/>
                                  <w:sz w:val="14"/>
                                </w:rPr>
                              </w:pPr>
                              <w:r>
                                <w:rPr>
                                  <w:rFonts w:ascii="Arial MT"/>
                                  <w:spacing w:val="-5"/>
                                  <w:w w:val="90"/>
                                  <w:sz w:val="14"/>
                                </w:rPr>
                                <w:t>20</w:t>
                              </w:r>
                            </w:p>
                            <w:p>
                              <w:pPr>
                                <w:spacing w:line="240" w:lineRule="auto" w:before="138"/>
                                <w:rPr>
                                  <w:rFonts w:ascii="Arial MT"/>
                                  <w:sz w:val="14"/>
                                </w:rPr>
                              </w:pPr>
                            </w:p>
                            <w:p>
                              <w:pPr>
                                <w:spacing w:before="0"/>
                                <w:ind w:left="138" w:right="0" w:firstLine="0"/>
                                <w:jc w:val="left"/>
                                <w:rPr>
                                  <w:rFonts w:ascii="Arial MT"/>
                                  <w:sz w:val="14"/>
                                </w:rPr>
                              </w:pPr>
                              <w:r>
                                <w:rPr>
                                  <w:rFonts w:ascii="Arial MT"/>
                                  <w:spacing w:val="-5"/>
                                  <w:w w:val="90"/>
                                  <w:sz w:val="14"/>
                                </w:rPr>
                                <w:t>15</w:t>
                              </w:r>
                            </w:p>
                            <w:p>
                              <w:pPr>
                                <w:spacing w:line="240" w:lineRule="auto" w:before="138"/>
                                <w:rPr>
                                  <w:rFonts w:ascii="Arial MT"/>
                                  <w:sz w:val="14"/>
                                </w:rPr>
                              </w:pPr>
                            </w:p>
                            <w:p>
                              <w:pPr>
                                <w:spacing w:before="0"/>
                                <w:ind w:left="138" w:right="0" w:firstLine="0"/>
                                <w:jc w:val="left"/>
                                <w:rPr>
                                  <w:rFonts w:ascii="Arial MT"/>
                                  <w:sz w:val="14"/>
                                </w:rPr>
                              </w:pPr>
                              <w:r>
                                <w:rPr>
                                  <w:rFonts w:ascii="Arial MT"/>
                                  <w:spacing w:val="-5"/>
                                  <w:w w:val="90"/>
                                  <w:sz w:val="14"/>
                                </w:rPr>
                                <w:t>10</w:t>
                              </w:r>
                            </w:p>
                            <w:p>
                              <w:pPr>
                                <w:spacing w:line="240" w:lineRule="auto" w:before="138"/>
                                <w:rPr>
                                  <w:rFonts w:ascii="Arial MT"/>
                                  <w:sz w:val="14"/>
                                </w:rPr>
                              </w:pPr>
                            </w:p>
                            <w:p>
                              <w:pPr>
                                <w:spacing w:before="0"/>
                                <w:ind w:left="202" w:right="0" w:firstLine="0"/>
                                <w:jc w:val="left"/>
                                <w:rPr>
                                  <w:rFonts w:ascii="Arial MT"/>
                                  <w:sz w:val="14"/>
                                </w:rPr>
                              </w:pPr>
                              <w:r>
                                <w:rPr>
                                  <w:rFonts w:ascii="Arial MT"/>
                                  <w:spacing w:val="-10"/>
                                  <w:w w:val="90"/>
                                  <w:sz w:val="14"/>
                                </w:rPr>
                                <w:t>5</w:t>
                              </w:r>
                            </w:p>
                            <w:p>
                              <w:pPr>
                                <w:spacing w:line="240" w:lineRule="auto" w:before="138"/>
                                <w:rPr>
                                  <w:rFonts w:ascii="Arial MT"/>
                                  <w:sz w:val="14"/>
                                </w:rPr>
                              </w:pPr>
                            </w:p>
                            <w:p>
                              <w:pPr>
                                <w:spacing w:before="0"/>
                                <w:ind w:left="202" w:right="0" w:firstLine="0"/>
                                <w:jc w:val="left"/>
                                <w:rPr>
                                  <w:rFonts w:ascii="Arial MT"/>
                                  <w:sz w:val="14"/>
                                </w:rPr>
                              </w:pPr>
                              <w:r>
                                <w:rPr>
                                  <w:rFonts w:ascii="Arial MT"/>
                                  <w:spacing w:val="-10"/>
                                  <w:w w:val="90"/>
                                  <w:sz w:val="14"/>
                                </w:rPr>
                                <w:t>0</w:t>
                              </w:r>
                            </w:p>
                          </w:txbxContent>
                        </wps:txbx>
                        <wps:bodyPr wrap="square" lIns="0" tIns="0" rIns="0" bIns="0" rtlCol="0">
                          <a:noAutofit/>
                        </wps:bodyPr>
                      </wps:wsp>
                    </wpg:wgp>
                  </a:graphicData>
                </a:graphic>
              </wp:anchor>
            </w:drawing>
          </mc:Choice>
          <mc:Fallback>
            <w:pict>
              <v:group style="position:absolute;margin-left:95.559067pt;margin-top:19.441034pt;width:397.3pt;height:180.5pt;mso-position-horizontal-relative:page;mso-position-vertical-relative:paragraph;z-index:15845376" id="docshapegroup1771" coordorigin="1911,389" coordsize="7946,3610">
                <v:shape style="position:absolute;left:2385;top:799;width:7183;height:2083" id="docshape1772" coordorigin="2386,799" coordsize="7183,2083" path="m2503,799l2386,799,2386,2881,2503,2881,2503,799xm2816,1140l2689,1140,2689,2881,2816,2881,2816,1140xm3119,1461l3001,1461,3001,2881,3119,2881,3119,1461xm3431,1470l3304,1470,3304,2881,3431,2881,3431,1470xm3734,1558l3617,1558,3617,2881,3734,2881,3734,1558xm4047,1723l3920,1723,3920,2881,4047,2881,4047,1723xm4350,1772l4233,1772,4233,2881,4350,2881,4350,1772xm4653,1831l4536,1831,4536,2881,4653,2881,4653,1831xm4966,1918l4839,1918,4839,2881,4966,2881,4966,1918xm5269,2113l5151,2113,5151,2881,5269,2881,5269,2113xm5581,2152l5454,2152,5454,2881,5581,2881,5581,2152xm5884,2278l5767,2278,5767,2881,5884,2881,5884,2278xm6187,2336l6070,2336,6070,2881,6187,2881,6187,2336xm6500,2356l6373,2356,6373,2881,6500,2881,6500,2356xm6803,2502l6685,2502,6685,2881,6803,2881,6803,2502xm7115,2570l6988,2570,6988,2881,7115,2881,7115,2570xm7418,2609l7301,2609,7301,2881,7418,2881,7418,2609xm7731,2619l7604,2619,7604,2881,7731,2881,7731,2619xm8034,2619l7917,2619,7917,2881,8034,2881,8034,2619xm8337,2716l8220,2716,8220,2881,8337,2881,8337,2716xm8650,2735l8523,2735,8523,2881,8650,2881,8650,2735xm8953,2755l8835,2755,8835,2881,8953,2881,8953,2755xm9265,2774l9138,2774,9138,2881,9265,2881,9265,2774xm9568,2774l9451,2774,9451,2881,9568,2881,9568,2774xe" filled="true" fillcolor="#2f7d41" stroked="false">
                  <v:path arrowok="t"/>
                  <v:fill type="solid"/>
                </v:shape>
                <v:shape style="position:absolute;left:2253;top:531;width:7418;height:2385" id="docshape1773" coordorigin="2254,531" coordsize="7418,2385" path="m9671,2876l9671,2876,2303,2876,2303,531,2293,531,2254,531,2254,541,2293,541,2293,998,2254,998,2254,1008,2293,1008,2293,1465,2254,1465,2254,1475,2293,1475,2293,1942,2254,1942,2254,1952,2293,1952,2293,2409,2254,2409,2254,2419,2293,2419,2293,2876,2254,2876,2254,2886,2293,2886,2293,2916,2303,2916,2303,2886,2596,2886,2596,2916,2606,2916,2606,2886,2909,2886,2909,2916,2919,2916,2919,2886,3211,2886,3211,2916,3221,2916,3221,2886,3524,2886,3524,2916,3534,2916,3534,2886,3827,2886,3827,2916,3837,2916,3837,2886,4140,2886,4140,2916,4150,2916,4150,2886,4443,2886,4443,2916,4453,2916,4453,2886,4746,2886,4746,2916,4756,2916,4756,2886,5058,2886,5058,2916,5068,2916,5068,2886,5361,2886,5361,2916,5371,2916,5371,2886,5674,2886,5674,2916,5684,2916,5684,2886,5977,2886,5977,2916,5987,2916,5987,2886,6280,2886,6280,2916,6290,2916,6290,2886,6593,2886,6593,2916,6603,2916,6603,2886,6895,2886,6895,2916,6905,2916,6905,2886,7208,2886,7208,2916,7218,2916,7218,2886,7511,2886,7511,2916,7521,2916,7521,2886,7824,2886,7824,2916,7834,2916,7834,2886,8127,2886,8127,2916,8137,2916,8137,2886,8430,2886,8430,2916,8440,2916,8440,2886,8742,2886,8742,2916,8752,2916,8752,2886,9045,2886,9045,2916,9055,2916,9055,2886,9358,2886,9358,2916,9368,2916,9368,2886,9661,2886,9661,2916,9671,2916,9671,2876xe" filled="true" fillcolor="#000000" stroked="false">
                  <v:path arrowok="t"/>
                  <v:fill type="solid"/>
                </v:shape>
                <v:shape style="position:absolute;left:1916;top:393;width:7936;height:3600" type="#_x0000_t202" id="docshape1774" filled="false" stroked="true" strokeweight=".49997pt" strokecolor="#000000">
                  <v:textbox inset="0,0,0,0">
                    <w:txbxContent>
                      <w:p>
                        <w:pPr>
                          <w:spacing w:before="93"/>
                          <w:ind w:left="138" w:right="0" w:firstLine="0"/>
                          <w:jc w:val="left"/>
                          <w:rPr>
                            <w:rFonts w:ascii="Arial MT"/>
                            <w:sz w:val="14"/>
                          </w:rPr>
                        </w:pPr>
                        <w:r>
                          <w:rPr>
                            <w:rFonts w:ascii="Arial MT"/>
                            <w:spacing w:val="-5"/>
                            <w:w w:val="90"/>
                            <w:sz w:val="14"/>
                          </w:rPr>
                          <w:t>25</w:t>
                        </w:r>
                      </w:p>
                      <w:p>
                        <w:pPr>
                          <w:spacing w:line="240" w:lineRule="auto" w:before="138"/>
                          <w:rPr>
                            <w:rFonts w:ascii="Arial MT"/>
                            <w:sz w:val="14"/>
                          </w:rPr>
                        </w:pPr>
                      </w:p>
                      <w:p>
                        <w:pPr>
                          <w:spacing w:before="0"/>
                          <w:ind w:left="138" w:right="0" w:firstLine="0"/>
                          <w:jc w:val="left"/>
                          <w:rPr>
                            <w:rFonts w:ascii="Arial MT"/>
                            <w:sz w:val="14"/>
                          </w:rPr>
                        </w:pPr>
                        <w:r>
                          <w:rPr>
                            <w:rFonts w:ascii="Arial MT"/>
                            <w:spacing w:val="-5"/>
                            <w:w w:val="90"/>
                            <w:sz w:val="14"/>
                          </w:rPr>
                          <w:t>20</w:t>
                        </w:r>
                      </w:p>
                      <w:p>
                        <w:pPr>
                          <w:spacing w:line="240" w:lineRule="auto" w:before="138"/>
                          <w:rPr>
                            <w:rFonts w:ascii="Arial MT"/>
                            <w:sz w:val="14"/>
                          </w:rPr>
                        </w:pPr>
                      </w:p>
                      <w:p>
                        <w:pPr>
                          <w:spacing w:before="0"/>
                          <w:ind w:left="138" w:right="0" w:firstLine="0"/>
                          <w:jc w:val="left"/>
                          <w:rPr>
                            <w:rFonts w:ascii="Arial MT"/>
                            <w:sz w:val="14"/>
                          </w:rPr>
                        </w:pPr>
                        <w:r>
                          <w:rPr>
                            <w:rFonts w:ascii="Arial MT"/>
                            <w:spacing w:val="-5"/>
                            <w:w w:val="90"/>
                            <w:sz w:val="14"/>
                          </w:rPr>
                          <w:t>15</w:t>
                        </w:r>
                      </w:p>
                      <w:p>
                        <w:pPr>
                          <w:spacing w:line="240" w:lineRule="auto" w:before="138"/>
                          <w:rPr>
                            <w:rFonts w:ascii="Arial MT"/>
                            <w:sz w:val="14"/>
                          </w:rPr>
                        </w:pPr>
                      </w:p>
                      <w:p>
                        <w:pPr>
                          <w:spacing w:before="0"/>
                          <w:ind w:left="138" w:right="0" w:firstLine="0"/>
                          <w:jc w:val="left"/>
                          <w:rPr>
                            <w:rFonts w:ascii="Arial MT"/>
                            <w:sz w:val="14"/>
                          </w:rPr>
                        </w:pPr>
                        <w:r>
                          <w:rPr>
                            <w:rFonts w:ascii="Arial MT"/>
                            <w:spacing w:val="-5"/>
                            <w:w w:val="90"/>
                            <w:sz w:val="14"/>
                          </w:rPr>
                          <w:t>10</w:t>
                        </w:r>
                      </w:p>
                      <w:p>
                        <w:pPr>
                          <w:spacing w:line="240" w:lineRule="auto" w:before="138"/>
                          <w:rPr>
                            <w:rFonts w:ascii="Arial MT"/>
                            <w:sz w:val="14"/>
                          </w:rPr>
                        </w:pPr>
                      </w:p>
                      <w:p>
                        <w:pPr>
                          <w:spacing w:before="0"/>
                          <w:ind w:left="202" w:right="0" w:firstLine="0"/>
                          <w:jc w:val="left"/>
                          <w:rPr>
                            <w:rFonts w:ascii="Arial MT"/>
                            <w:sz w:val="14"/>
                          </w:rPr>
                        </w:pPr>
                        <w:r>
                          <w:rPr>
                            <w:rFonts w:ascii="Arial MT"/>
                            <w:spacing w:val="-10"/>
                            <w:w w:val="90"/>
                            <w:sz w:val="14"/>
                          </w:rPr>
                          <w:t>5</w:t>
                        </w:r>
                      </w:p>
                      <w:p>
                        <w:pPr>
                          <w:spacing w:line="240" w:lineRule="auto" w:before="138"/>
                          <w:rPr>
                            <w:rFonts w:ascii="Arial MT"/>
                            <w:sz w:val="14"/>
                          </w:rPr>
                        </w:pPr>
                      </w:p>
                      <w:p>
                        <w:pPr>
                          <w:spacing w:before="0"/>
                          <w:ind w:left="202" w:right="0" w:firstLine="0"/>
                          <w:jc w:val="left"/>
                          <w:rPr>
                            <w:rFonts w:ascii="Arial MT"/>
                            <w:sz w:val="14"/>
                          </w:rPr>
                        </w:pPr>
                        <w:r>
                          <w:rPr>
                            <w:rFonts w:ascii="Arial MT"/>
                            <w:spacing w:val="-10"/>
                            <w:w w:val="90"/>
                            <w:sz w:val="14"/>
                          </w:rPr>
                          <w:t>0</w:t>
                        </w:r>
                      </w:p>
                    </w:txbxContent>
                  </v:textbox>
                  <v:stroke dashstyle="solid"/>
                  <w10:wrap type="none"/>
                </v:shape>
                <w10:wrap type="none"/>
              </v:group>
            </w:pict>
          </mc:Fallback>
        </mc:AlternateContent>
      </w:r>
      <w:r>
        <w:rPr>
          <w:w w:val="90"/>
        </w:rPr>
        <w:t>Figure</w:t>
      </w:r>
      <w:r>
        <w:rPr>
          <w:spacing w:val="18"/>
        </w:rPr>
        <w:t> </w:t>
      </w:r>
      <w:r>
        <w:rPr>
          <w:w w:val="90"/>
        </w:rPr>
        <w:t>38:</w:t>
      </w:r>
      <w:r>
        <w:rPr>
          <w:spacing w:val="18"/>
        </w:rPr>
        <w:t> </w:t>
      </w:r>
      <w:r>
        <w:rPr>
          <w:color w:val="2E614A"/>
          <w:w w:val="90"/>
        </w:rPr>
        <w:t>State-wise</w:t>
      </w:r>
      <w:r>
        <w:rPr>
          <w:color w:val="2E614A"/>
          <w:spacing w:val="18"/>
        </w:rPr>
        <w:t> </w:t>
      </w:r>
      <w:r>
        <w:rPr>
          <w:color w:val="2E614A"/>
          <w:w w:val="90"/>
        </w:rPr>
        <w:t>MBA/PGDBM</w:t>
      </w:r>
      <w:r>
        <w:rPr>
          <w:color w:val="2E614A"/>
          <w:spacing w:val="19"/>
        </w:rPr>
        <w:t> </w:t>
      </w:r>
      <w:r>
        <w:rPr>
          <w:color w:val="2E614A"/>
          <w:w w:val="90"/>
        </w:rPr>
        <w:t>seats</w:t>
      </w:r>
      <w:r>
        <w:rPr>
          <w:color w:val="2E614A"/>
          <w:spacing w:val="18"/>
        </w:rPr>
        <w:t> </w:t>
      </w:r>
      <w:r>
        <w:rPr>
          <w:color w:val="2E614A"/>
          <w:w w:val="90"/>
        </w:rPr>
        <w:t>per</w:t>
      </w:r>
      <w:r>
        <w:rPr>
          <w:color w:val="2E614A"/>
          <w:spacing w:val="18"/>
        </w:rPr>
        <w:t> </w:t>
      </w:r>
      <w:r>
        <w:rPr>
          <w:color w:val="2E614A"/>
          <w:w w:val="90"/>
        </w:rPr>
        <w:t>lakh</w:t>
      </w:r>
      <w:r>
        <w:rPr>
          <w:color w:val="2E614A"/>
          <w:spacing w:val="18"/>
        </w:rPr>
        <w:t> </w:t>
      </w:r>
      <w:r>
        <w:rPr>
          <w:color w:val="2E614A"/>
          <w:w w:val="90"/>
        </w:rPr>
        <w:t>population</w:t>
      </w:r>
      <w:r>
        <w:rPr>
          <w:color w:val="2E614A"/>
          <w:spacing w:val="19"/>
        </w:rPr>
        <w:t> </w:t>
      </w:r>
      <w:r>
        <w:rPr>
          <w:color w:val="2E614A"/>
          <w:spacing w:val="-2"/>
          <w:w w:val="90"/>
        </w:rPr>
        <w:t>(2006)</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15"/>
        <w:rPr>
          <w:b/>
          <w:sz w:val="24"/>
        </w:rPr>
      </w:pPr>
    </w:p>
    <w:p>
      <w:pPr>
        <w:spacing w:before="0"/>
        <w:ind w:left="1910" w:right="0" w:firstLine="0"/>
        <w:jc w:val="left"/>
        <w:rPr>
          <w:sz w:val="16"/>
        </w:rPr>
      </w:pPr>
      <w:r>
        <w:rPr/>
        <mc:AlternateContent>
          <mc:Choice Requires="wps">
            <w:drawing>
              <wp:anchor distT="0" distB="0" distL="0" distR="0" allowOverlap="1" layoutInCell="1" locked="0" behindDoc="0" simplePos="0" relativeHeight="15845888">
                <wp:simplePos x="0" y="0"/>
                <wp:positionH relativeFrom="page">
                  <wp:posOffset>1473983</wp:posOffset>
                </wp:positionH>
                <wp:positionV relativeFrom="paragraph">
                  <wp:posOffset>-704746</wp:posOffset>
                </wp:positionV>
                <wp:extent cx="127635" cy="191770"/>
                <wp:effectExtent l="0" t="0" r="0" b="0"/>
                <wp:wrapNone/>
                <wp:docPr id="1789" name="Textbox 1789"/>
                <wp:cNvGraphicFramePr>
                  <a:graphicFrameLocks/>
                </wp:cNvGraphicFramePr>
                <a:graphic>
                  <a:graphicData uri="http://schemas.microsoft.com/office/word/2010/wordprocessingShape">
                    <wps:wsp>
                      <wps:cNvPr id="1789" name="Textbox 1789"/>
                      <wps:cNvSpPr txBox="1"/>
                      <wps:spPr>
                        <a:xfrm>
                          <a:off x="0" y="0"/>
                          <a:ext cx="127635" cy="191770"/>
                        </a:xfrm>
                        <a:prstGeom prst="rect">
                          <a:avLst/>
                        </a:prstGeom>
                      </wps:spPr>
                      <wps:txbx>
                        <w:txbxContent>
                          <w:p>
                            <w:pPr>
                              <w:spacing w:before="19"/>
                              <w:ind w:left="20" w:right="0" w:firstLine="0"/>
                              <w:jc w:val="left"/>
                              <w:rPr>
                                <w:rFonts w:ascii="Arial MT"/>
                                <w:sz w:val="14"/>
                              </w:rPr>
                            </w:pPr>
                            <w:r>
                              <w:rPr>
                                <w:rFonts w:ascii="Arial MT"/>
                                <w:spacing w:val="-2"/>
                                <w:w w:val="85"/>
                                <w:sz w:val="14"/>
                              </w:rPr>
                              <w:t>Delhi</w:t>
                            </w:r>
                          </w:p>
                        </w:txbxContent>
                      </wps:txbx>
                      <wps:bodyPr wrap="square" lIns="0" tIns="0" rIns="0" bIns="0" rtlCol="0" vert="vert270">
                        <a:noAutofit/>
                      </wps:bodyPr>
                    </wps:wsp>
                  </a:graphicData>
                </a:graphic>
              </wp:anchor>
            </w:drawing>
          </mc:Choice>
          <mc:Fallback>
            <w:pict>
              <v:shape style="position:absolute;margin-left:116.061668pt;margin-top:-55.491844pt;width:10.050pt;height:15.1pt;mso-position-horizontal-relative:page;mso-position-vertical-relative:paragraph;z-index:15845888" type="#_x0000_t202" id="docshape1775"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Delhi</w:t>
                      </w:r>
                    </w:p>
                  </w:txbxContent>
                </v:textbox>
                <w10:wrap type="none"/>
              </v:shape>
            </w:pict>
          </mc:Fallback>
        </mc:AlternateContent>
      </w:r>
      <w:r>
        <w:rPr/>
        <mc:AlternateContent>
          <mc:Choice Requires="wps">
            <w:drawing>
              <wp:anchor distT="0" distB="0" distL="0" distR="0" allowOverlap="1" layoutInCell="1" locked="0" behindDoc="0" simplePos="0" relativeHeight="15846400">
                <wp:simplePos x="0" y="0"/>
                <wp:positionH relativeFrom="page">
                  <wp:posOffset>1669308</wp:posOffset>
                </wp:positionH>
                <wp:positionV relativeFrom="paragraph">
                  <wp:posOffset>-704738</wp:posOffset>
                </wp:positionV>
                <wp:extent cx="127635" cy="552450"/>
                <wp:effectExtent l="0" t="0" r="0" b="0"/>
                <wp:wrapNone/>
                <wp:docPr id="1790" name="Textbox 1790"/>
                <wp:cNvGraphicFramePr>
                  <a:graphicFrameLocks/>
                </wp:cNvGraphicFramePr>
                <a:graphic>
                  <a:graphicData uri="http://schemas.microsoft.com/office/word/2010/wordprocessingShape">
                    <wps:wsp>
                      <wps:cNvPr id="1790" name="Textbox 1790"/>
                      <wps:cNvSpPr txBox="1"/>
                      <wps:spPr>
                        <a:xfrm>
                          <a:off x="0" y="0"/>
                          <a:ext cx="127635" cy="552450"/>
                        </a:xfrm>
                        <a:prstGeom prst="rect">
                          <a:avLst/>
                        </a:prstGeom>
                      </wps:spPr>
                      <wps:txbx>
                        <w:txbxContent>
                          <w:p>
                            <w:pPr>
                              <w:spacing w:before="19"/>
                              <w:ind w:left="20" w:right="0" w:firstLine="0"/>
                              <w:jc w:val="left"/>
                              <w:rPr>
                                <w:rFonts w:ascii="Arial MT"/>
                                <w:sz w:val="14"/>
                              </w:rPr>
                            </w:pPr>
                            <w:r>
                              <w:rPr>
                                <w:rFonts w:ascii="Arial MT"/>
                                <w:w w:val="80"/>
                                <w:sz w:val="14"/>
                              </w:rPr>
                              <w:t>Andhra</w:t>
                            </w:r>
                            <w:r>
                              <w:rPr>
                                <w:rFonts w:ascii="Arial MT"/>
                                <w:spacing w:val="-3"/>
                                <w:sz w:val="14"/>
                              </w:rPr>
                              <w:t> </w:t>
                            </w:r>
                            <w:r>
                              <w:rPr>
                                <w:rFonts w:ascii="Arial MT"/>
                                <w:spacing w:val="-2"/>
                                <w:w w:val="85"/>
                                <w:sz w:val="14"/>
                              </w:rPr>
                              <w:t>Pradesh</w:t>
                            </w:r>
                          </w:p>
                        </w:txbxContent>
                      </wps:txbx>
                      <wps:bodyPr wrap="square" lIns="0" tIns="0" rIns="0" bIns="0" rtlCol="0" vert="vert270">
                        <a:noAutofit/>
                      </wps:bodyPr>
                    </wps:wsp>
                  </a:graphicData>
                </a:graphic>
              </wp:anchor>
            </w:drawing>
          </mc:Choice>
          <mc:Fallback>
            <w:pict>
              <v:shape style="position:absolute;margin-left:131.441589pt;margin-top:-55.491188pt;width:10.050pt;height:43.5pt;mso-position-horizontal-relative:page;mso-position-vertical-relative:paragraph;z-index:15846400" type="#_x0000_t202" id="docshape1776"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Andhra</w:t>
                      </w:r>
                      <w:r>
                        <w:rPr>
                          <w:rFonts w:ascii="Arial MT"/>
                          <w:spacing w:val="-3"/>
                          <w:sz w:val="14"/>
                        </w:rPr>
                        <w:t> </w:t>
                      </w:r>
                      <w:r>
                        <w:rPr>
                          <w:rFonts w:ascii="Arial MT"/>
                          <w:spacing w:val="-2"/>
                          <w:w w:val="85"/>
                          <w:sz w:val="14"/>
                        </w:rPr>
                        <w:t>Pradesh</w:t>
                      </w:r>
                    </w:p>
                  </w:txbxContent>
                </v:textbox>
                <w10:wrap type="none"/>
              </v:shape>
            </w:pict>
          </mc:Fallback>
        </mc:AlternateContent>
      </w:r>
      <w:r>
        <w:rPr/>
        <mc:AlternateContent>
          <mc:Choice Requires="wps">
            <w:drawing>
              <wp:anchor distT="0" distB="0" distL="0" distR="0" allowOverlap="1" layoutInCell="1" locked="0" behindDoc="0" simplePos="0" relativeHeight="15846912">
                <wp:simplePos x="0" y="0"/>
                <wp:positionH relativeFrom="page">
                  <wp:posOffset>1864632</wp:posOffset>
                </wp:positionH>
                <wp:positionV relativeFrom="paragraph">
                  <wp:posOffset>-704750</wp:posOffset>
                </wp:positionV>
                <wp:extent cx="127635" cy="434975"/>
                <wp:effectExtent l="0" t="0" r="0" b="0"/>
                <wp:wrapNone/>
                <wp:docPr id="1791" name="Textbox 1791"/>
                <wp:cNvGraphicFramePr>
                  <a:graphicFrameLocks/>
                </wp:cNvGraphicFramePr>
                <a:graphic>
                  <a:graphicData uri="http://schemas.microsoft.com/office/word/2010/wordprocessingShape">
                    <wps:wsp>
                      <wps:cNvPr id="1791" name="Textbox 1791"/>
                      <wps:cNvSpPr txBox="1"/>
                      <wps:spPr>
                        <a:xfrm>
                          <a:off x="0" y="0"/>
                          <a:ext cx="127635" cy="434975"/>
                        </a:xfrm>
                        <a:prstGeom prst="rect">
                          <a:avLst/>
                        </a:prstGeom>
                      </wps:spPr>
                      <wps:txbx>
                        <w:txbxContent>
                          <w:p>
                            <w:pPr>
                              <w:spacing w:before="19"/>
                              <w:ind w:left="20" w:right="0" w:firstLine="0"/>
                              <w:jc w:val="left"/>
                              <w:rPr>
                                <w:rFonts w:ascii="Arial MT"/>
                                <w:sz w:val="14"/>
                              </w:rPr>
                            </w:pPr>
                            <w:r>
                              <w:rPr>
                                <w:rFonts w:ascii="Arial MT"/>
                                <w:spacing w:val="-2"/>
                                <w:w w:val="80"/>
                                <w:sz w:val="14"/>
                              </w:rPr>
                              <w:t>Maharashtra</w:t>
                            </w:r>
                          </w:p>
                        </w:txbxContent>
                      </wps:txbx>
                      <wps:bodyPr wrap="square" lIns="0" tIns="0" rIns="0" bIns="0" rtlCol="0" vert="vert270">
                        <a:noAutofit/>
                      </wps:bodyPr>
                    </wps:wsp>
                  </a:graphicData>
                </a:graphic>
              </wp:anchor>
            </w:drawing>
          </mc:Choice>
          <mc:Fallback>
            <w:pict>
              <v:shape style="position:absolute;margin-left:146.821472pt;margin-top:-55.492149pt;width:10.050pt;height:34.25pt;mso-position-horizontal-relative:page;mso-position-vertical-relative:paragraph;z-index:15846912" type="#_x0000_t202" id="docshape1777"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0"/>
                          <w:sz w:val="14"/>
                        </w:rPr>
                        <w:t>Maharashtra</w:t>
                      </w:r>
                    </w:p>
                  </w:txbxContent>
                </v:textbox>
                <w10:wrap type="none"/>
              </v:shape>
            </w:pict>
          </mc:Fallback>
        </mc:AlternateContent>
      </w:r>
      <w:r>
        <w:rPr/>
        <mc:AlternateContent>
          <mc:Choice Requires="wps">
            <w:drawing>
              <wp:anchor distT="0" distB="0" distL="0" distR="0" allowOverlap="1" layoutInCell="1" locked="0" behindDoc="0" simplePos="0" relativeHeight="15847424">
                <wp:simplePos x="0" y="0"/>
                <wp:positionH relativeFrom="page">
                  <wp:posOffset>2059957</wp:posOffset>
                </wp:positionH>
                <wp:positionV relativeFrom="paragraph">
                  <wp:posOffset>-704789</wp:posOffset>
                </wp:positionV>
                <wp:extent cx="323215" cy="390525"/>
                <wp:effectExtent l="0" t="0" r="0" b="0"/>
                <wp:wrapNone/>
                <wp:docPr id="1792" name="Textbox 1792"/>
                <wp:cNvGraphicFramePr>
                  <a:graphicFrameLocks/>
                </wp:cNvGraphicFramePr>
                <a:graphic>
                  <a:graphicData uri="http://schemas.microsoft.com/office/word/2010/wordprocessingShape">
                    <wps:wsp>
                      <wps:cNvPr id="1792" name="Textbox 1792"/>
                      <wps:cNvSpPr txBox="1"/>
                      <wps:spPr>
                        <a:xfrm>
                          <a:off x="0" y="0"/>
                          <a:ext cx="323215" cy="390525"/>
                        </a:xfrm>
                        <a:prstGeom prst="rect">
                          <a:avLst/>
                        </a:prstGeom>
                      </wps:spPr>
                      <wps:txbx>
                        <w:txbxContent>
                          <w:p>
                            <w:pPr>
                              <w:spacing w:before="19"/>
                              <w:ind w:left="20" w:right="0" w:firstLine="0"/>
                              <w:jc w:val="left"/>
                              <w:rPr>
                                <w:rFonts w:ascii="Arial MT"/>
                                <w:sz w:val="14"/>
                              </w:rPr>
                            </w:pPr>
                            <w:r>
                              <w:rPr>
                                <w:rFonts w:ascii="Arial MT"/>
                                <w:spacing w:val="-4"/>
                                <w:w w:val="80"/>
                                <w:sz w:val="14"/>
                              </w:rPr>
                              <w:t>Tamil</w:t>
                            </w:r>
                            <w:r>
                              <w:rPr>
                                <w:rFonts w:ascii="Arial MT"/>
                                <w:spacing w:val="1"/>
                                <w:sz w:val="14"/>
                              </w:rPr>
                              <w:t> </w:t>
                            </w:r>
                            <w:r>
                              <w:rPr>
                                <w:rFonts w:ascii="Arial MT"/>
                                <w:spacing w:val="-4"/>
                                <w:w w:val="85"/>
                                <w:sz w:val="14"/>
                              </w:rPr>
                              <w:t>Nadu</w:t>
                            </w:r>
                          </w:p>
                          <w:p>
                            <w:pPr>
                              <w:spacing w:before="147"/>
                              <w:ind w:left="377" w:right="0" w:firstLine="0"/>
                              <w:jc w:val="left"/>
                              <w:rPr>
                                <w:rFonts w:ascii="Arial MT"/>
                                <w:sz w:val="14"/>
                              </w:rPr>
                            </w:pPr>
                            <w:r>
                              <w:rPr>
                                <w:rFonts w:ascii="Arial MT"/>
                                <w:spacing w:val="-5"/>
                                <w:w w:val="85"/>
                                <w:sz w:val="14"/>
                              </w:rPr>
                              <w:t>Goa</w:t>
                            </w:r>
                          </w:p>
                        </w:txbxContent>
                      </wps:txbx>
                      <wps:bodyPr wrap="square" lIns="0" tIns="0" rIns="0" bIns="0" rtlCol="0" vert="vert270">
                        <a:noAutofit/>
                      </wps:bodyPr>
                    </wps:wsp>
                  </a:graphicData>
                </a:graphic>
              </wp:anchor>
            </w:drawing>
          </mc:Choice>
          <mc:Fallback>
            <w:pict>
              <v:shape style="position:absolute;margin-left:162.201416pt;margin-top:-55.495213pt;width:25.45pt;height:30.75pt;mso-position-horizontal-relative:page;mso-position-vertical-relative:paragraph;z-index:15847424" type="#_x0000_t202" id="docshape1778" filled="false" stroked="false">
                <v:textbox inset="0,0,0,0" style="layout-flow:vertical;mso-layout-flow-alt:bottom-to-top">
                  <w:txbxContent>
                    <w:p>
                      <w:pPr>
                        <w:spacing w:before="19"/>
                        <w:ind w:left="20" w:right="0" w:firstLine="0"/>
                        <w:jc w:val="left"/>
                        <w:rPr>
                          <w:rFonts w:ascii="Arial MT"/>
                          <w:sz w:val="14"/>
                        </w:rPr>
                      </w:pPr>
                      <w:r>
                        <w:rPr>
                          <w:rFonts w:ascii="Arial MT"/>
                          <w:spacing w:val="-4"/>
                          <w:w w:val="80"/>
                          <w:sz w:val="14"/>
                        </w:rPr>
                        <w:t>Tamil</w:t>
                      </w:r>
                      <w:r>
                        <w:rPr>
                          <w:rFonts w:ascii="Arial MT"/>
                          <w:spacing w:val="1"/>
                          <w:sz w:val="14"/>
                        </w:rPr>
                        <w:t> </w:t>
                      </w:r>
                      <w:r>
                        <w:rPr>
                          <w:rFonts w:ascii="Arial MT"/>
                          <w:spacing w:val="-4"/>
                          <w:w w:val="85"/>
                          <w:sz w:val="14"/>
                        </w:rPr>
                        <w:t>Nadu</w:t>
                      </w:r>
                    </w:p>
                    <w:p>
                      <w:pPr>
                        <w:spacing w:before="147"/>
                        <w:ind w:left="377" w:right="0" w:firstLine="0"/>
                        <w:jc w:val="left"/>
                        <w:rPr>
                          <w:rFonts w:ascii="Arial MT"/>
                          <w:sz w:val="14"/>
                        </w:rPr>
                      </w:pPr>
                      <w:r>
                        <w:rPr>
                          <w:rFonts w:ascii="Arial MT"/>
                          <w:spacing w:val="-5"/>
                          <w:w w:val="85"/>
                          <w:sz w:val="14"/>
                        </w:rPr>
                        <w:t>Goa</w:t>
                      </w:r>
                    </w:p>
                  </w:txbxContent>
                </v:textbox>
                <w10:wrap type="none"/>
              </v:shape>
            </w:pict>
          </mc:Fallback>
        </mc:AlternateContent>
      </w:r>
      <w:r>
        <w:rPr/>
        <mc:AlternateContent>
          <mc:Choice Requires="wps">
            <w:drawing>
              <wp:anchor distT="0" distB="0" distL="0" distR="0" allowOverlap="1" layoutInCell="1" locked="0" behindDoc="0" simplePos="0" relativeHeight="15847936">
                <wp:simplePos x="0" y="0"/>
                <wp:positionH relativeFrom="page">
                  <wp:posOffset>2450607</wp:posOffset>
                </wp:positionH>
                <wp:positionV relativeFrom="paragraph">
                  <wp:posOffset>-704759</wp:posOffset>
                </wp:positionV>
                <wp:extent cx="127635" cy="358140"/>
                <wp:effectExtent l="0" t="0" r="0" b="0"/>
                <wp:wrapNone/>
                <wp:docPr id="1793" name="Textbox 1793"/>
                <wp:cNvGraphicFramePr>
                  <a:graphicFrameLocks/>
                </wp:cNvGraphicFramePr>
                <a:graphic>
                  <a:graphicData uri="http://schemas.microsoft.com/office/word/2010/wordprocessingShape">
                    <wps:wsp>
                      <wps:cNvPr id="1793" name="Textbox 1793"/>
                      <wps:cNvSpPr txBox="1"/>
                      <wps:spPr>
                        <a:xfrm>
                          <a:off x="0" y="0"/>
                          <a:ext cx="127635" cy="358140"/>
                        </a:xfrm>
                        <a:prstGeom prst="rect">
                          <a:avLst/>
                        </a:prstGeom>
                      </wps:spPr>
                      <wps:txbx>
                        <w:txbxContent>
                          <w:p>
                            <w:pPr>
                              <w:spacing w:before="19"/>
                              <w:ind w:left="20" w:right="0" w:firstLine="0"/>
                              <w:jc w:val="left"/>
                              <w:rPr>
                                <w:rFonts w:ascii="Arial MT"/>
                                <w:sz w:val="14"/>
                              </w:rPr>
                            </w:pPr>
                            <w:r>
                              <w:rPr>
                                <w:rFonts w:ascii="Arial MT"/>
                                <w:spacing w:val="-2"/>
                                <w:w w:val="85"/>
                                <w:sz w:val="14"/>
                              </w:rPr>
                              <w:t>Karnataka</w:t>
                            </w:r>
                          </w:p>
                        </w:txbxContent>
                      </wps:txbx>
                      <wps:bodyPr wrap="square" lIns="0" tIns="0" rIns="0" bIns="0" rtlCol="0" vert="vert270">
                        <a:noAutofit/>
                      </wps:bodyPr>
                    </wps:wsp>
                  </a:graphicData>
                </a:graphic>
              </wp:anchor>
            </w:drawing>
          </mc:Choice>
          <mc:Fallback>
            <w:pict>
              <v:shape style="position:absolute;margin-left:192.961182pt;margin-top:-55.492912pt;width:10.050pt;height:28.2pt;mso-position-horizontal-relative:page;mso-position-vertical-relative:paragraph;z-index:15847936" type="#_x0000_t202" id="docshape1779"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Karnataka</w:t>
                      </w:r>
                    </w:p>
                  </w:txbxContent>
                </v:textbox>
                <w10:wrap type="none"/>
              </v:shape>
            </w:pict>
          </mc:Fallback>
        </mc:AlternateContent>
      </w:r>
      <w:r>
        <w:rPr/>
        <mc:AlternateContent>
          <mc:Choice Requires="wps">
            <w:drawing>
              <wp:anchor distT="0" distB="0" distL="0" distR="0" allowOverlap="1" layoutInCell="1" locked="0" behindDoc="0" simplePos="0" relativeHeight="15848448">
                <wp:simplePos x="0" y="0"/>
                <wp:positionH relativeFrom="page">
                  <wp:posOffset>2645931</wp:posOffset>
                </wp:positionH>
                <wp:positionV relativeFrom="paragraph">
                  <wp:posOffset>-704774</wp:posOffset>
                </wp:positionV>
                <wp:extent cx="323215" cy="300990"/>
                <wp:effectExtent l="0" t="0" r="0" b="0"/>
                <wp:wrapNone/>
                <wp:docPr id="1794" name="Textbox 1794"/>
                <wp:cNvGraphicFramePr>
                  <a:graphicFrameLocks/>
                </wp:cNvGraphicFramePr>
                <a:graphic>
                  <a:graphicData uri="http://schemas.microsoft.com/office/word/2010/wordprocessingShape">
                    <wps:wsp>
                      <wps:cNvPr id="1794" name="Textbox 1794"/>
                      <wps:cNvSpPr txBox="1"/>
                      <wps:spPr>
                        <a:xfrm>
                          <a:off x="0" y="0"/>
                          <a:ext cx="323215" cy="300990"/>
                        </a:xfrm>
                        <a:prstGeom prst="rect">
                          <a:avLst/>
                        </a:prstGeom>
                      </wps:spPr>
                      <wps:txbx>
                        <w:txbxContent>
                          <w:p>
                            <w:pPr>
                              <w:spacing w:before="19"/>
                              <w:ind w:left="96" w:right="0" w:firstLine="0"/>
                              <w:jc w:val="left"/>
                              <w:rPr>
                                <w:rFonts w:ascii="Arial MT"/>
                                <w:sz w:val="14"/>
                              </w:rPr>
                            </w:pPr>
                            <w:r>
                              <w:rPr>
                                <w:rFonts w:ascii="Arial MT"/>
                                <w:spacing w:val="-2"/>
                                <w:w w:val="85"/>
                                <w:sz w:val="14"/>
                              </w:rPr>
                              <w:t>Punjab</w:t>
                            </w:r>
                          </w:p>
                          <w:p>
                            <w:pPr>
                              <w:spacing w:before="147"/>
                              <w:ind w:left="20" w:right="0" w:firstLine="0"/>
                              <w:jc w:val="left"/>
                              <w:rPr>
                                <w:rFonts w:ascii="Arial MT"/>
                                <w:sz w:val="14"/>
                              </w:rPr>
                            </w:pPr>
                            <w:r>
                              <w:rPr>
                                <w:rFonts w:ascii="Arial MT"/>
                                <w:spacing w:val="-2"/>
                                <w:w w:val="85"/>
                                <w:sz w:val="14"/>
                              </w:rPr>
                              <w:t>Haryana</w:t>
                            </w:r>
                          </w:p>
                        </w:txbxContent>
                      </wps:txbx>
                      <wps:bodyPr wrap="square" lIns="0" tIns="0" rIns="0" bIns="0" rtlCol="0" vert="vert270">
                        <a:noAutofit/>
                      </wps:bodyPr>
                    </wps:wsp>
                  </a:graphicData>
                </a:graphic>
              </wp:anchor>
            </w:drawing>
          </mc:Choice>
          <mc:Fallback>
            <w:pict>
              <v:shape style="position:absolute;margin-left:208.341064pt;margin-top:-55.494061pt;width:25.45pt;height:23.7pt;mso-position-horizontal-relative:page;mso-position-vertical-relative:paragraph;z-index:15848448" type="#_x0000_t202" id="docshape1780" filled="false" stroked="false">
                <v:textbox inset="0,0,0,0" style="layout-flow:vertical;mso-layout-flow-alt:bottom-to-top">
                  <w:txbxContent>
                    <w:p>
                      <w:pPr>
                        <w:spacing w:before="19"/>
                        <w:ind w:left="96" w:right="0" w:firstLine="0"/>
                        <w:jc w:val="left"/>
                        <w:rPr>
                          <w:rFonts w:ascii="Arial MT"/>
                          <w:sz w:val="14"/>
                        </w:rPr>
                      </w:pPr>
                      <w:r>
                        <w:rPr>
                          <w:rFonts w:ascii="Arial MT"/>
                          <w:spacing w:val="-2"/>
                          <w:w w:val="85"/>
                          <w:sz w:val="14"/>
                        </w:rPr>
                        <w:t>Punjab</w:t>
                      </w:r>
                    </w:p>
                    <w:p>
                      <w:pPr>
                        <w:spacing w:before="147"/>
                        <w:ind w:left="20" w:right="0" w:firstLine="0"/>
                        <w:jc w:val="left"/>
                        <w:rPr>
                          <w:rFonts w:ascii="Arial MT"/>
                          <w:sz w:val="14"/>
                        </w:rPr>
                      </w:pPr>
                      <w:r>
                        <w:rPr>
                          <w:rFonts w:ascii="Arial MT"/>
                          <w:spacing w:val="-2"/>
                          <w:w w:val="85"/>
                          <w:sz w:val="14"/>
                        </w:rPr>
                        <w:t>Haryana</w:t>
                      </w:r>
                    </w:p>
                  </w:txbxContent>
                </v:textbox>
                <w10:wrap type="none"/>
              </v:shape>
            </w:pict>
          </mc:Fallback>
        </mc:AlternateContent>
      </w:r>
      <w:r>
        <w:rPr/>
        <mc:AlternateContent>
          <mc:Choice Requires="wps">
            <w:drawing>
              <wp:anchor distT="0" distB="0" distL="0" distR="0" allowOverlap="1" layoutInCell="1" locked="0" behindDoc="0" simplePos="0" relativeHeight="15848960">
                <wp:simplePos x="0" y="0"/>
                <wp:positionH relativeFrom="page">
                  <wp:posOffset>3036580</wp:posOffset>
                </wp:positionH>
                <wp:positionV relativeFrom="paragraph">
                  <wp:posOffset>-704677</wp:posOffset>
                </wp:positionV>
                <wp:extent cx="127635" cy="398145"/>
                <wp:effectExtent l="0" t="0" r="0" b="0"/>
                <wp:wrapNone/>
                <wp:docPr id="1795" name="Textbox 1795"/>
                <wp:cNvGraphicFramePr>
                  <a:graphicFrameLocks/>
                </wp:cNvGraphicFramePr>
                <a:graphic>
                  <a:graphicData uri="http://schemas.microsoft.com/office/word/2010/wordprocessingShape">
                    <wps:wsp>
                      <wps:cNvPr id="1795" name="Textbox 1795"/>
                      <wps:cNvSpPr txBox="1"/>
                      <wps:spPr>
                        <a:xfrm>
                          <a:off x="0" y="0"/>
                          <a:ext cx="127635" cy="398145"/>
                        </a:xfrm>
                        <a:prstGeom prst="rect">
                          <a:avLst/>
                        </a:prstGeom>
                      </wps:spPr>
                      <wps:txbx>
                        <w:txbxContent>
                          <w:p>
                            <w:pPr>
                              <w:spacing w:before="19"/>
                              <w:ind w:left="20" w:right="0" w:firstLine="0"/>
                              <w:jc w:val="left"/>
                              <w:rPr>
                                <w:rFonts w:ascii="Arial MT"/>
                                <w:sz w:val="14"/>
                              </w:rPr>
                            </w:pPr>
                            <w:r>
                              <w:rPr>
                                <w:rFonts w:ascii="Arial MT"/>
                                <w:spacing w:val="-2"/>
                                <w:w w:val="85"/>
                                <w:sz w:val="14"/>
                              </w:rPr>
                              <w:t>Uttaranchal</w:t>
                            </w:r>
                          </w:p>
                        </w:txbxContent>
                      </wps:txbx>
                      <wps:bodyPr wrap="square" lIns="0" tIns="0" rIns="0" bIns="0" rtlCol="0" vert="vert270">
                        <a:noAutofit/>
                      </wps:bodyPr>
                    </wps:wsp>
                  </a:graphicData>
                </a:graphic>
              </wp:anchor>
            </w:drawing>
          </mc:Choice>
          <mc:Fallback>
            <w:pict>
              <v:shape style="position:absolute;margin-left:239.100861pt;margin-top:-55.486431pt;width:10.050pt;height:31.35pt;mso-position-horizontal-relative:page;mso-position-vertical-relative:paragraph;z-index:15848960" type="#_x0000_t202" id="docshape1781"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Uttaranchal</w:t>
                      </w:r>
                    </w:p>
                  </w:txbxContent>
                </v:textbox>
                <w10:wrap type="none"/>
              </v:shape>
            </w:pict>
          </mc:Fallback>
        </mc:AlternateContent>
      </w:r>
      <w:r>
        <w:rPr/>
        <mc:AlternateContent>
          <mc:Choice Requires="wps">
            <w:drawing>
              <wp:anchor distT="0" distB="0" distL="0" distR="0" allowOverlap="1" layoutInCell="1" locked="0" behindDoc="0" simplePos="0" relativeHeight="15849472">
                <wp:simplePos x="0" y="0"/>
                <wp:positionH relativeFrom="page">
                  <wp:posOffset>3231905</wp:posOffset>
                </wp:positionH>
                <wp:positionV relativeFrom="paragraph">
                  <wp:posOffset>-704774</wp:posOffset>
                </wp:positionV>
                <wp:extent cx="127635" cy="236220"/>
                <wp:effectExtent l="0" t="0" r="0" b="0"/>
                <wp:wrapNone/>
                <wp:docPr id="1796" name="Textbox 1796"/>
                <wp:cNvGraphicFramePr>
                  <a:graphicFrameLocks/>
                </wp:cNvGraphicFramePr>
                <a:graphic>
                  <a:graphicData uri="http://schemas.microsoft.com/office/word/2010/wordprocessingShape">
                    <wps:wsp>
                      <wps:cNvPr id="1796" name="Textbox 1796"/>
                      <wps:cNvSpPr txBox="1"/>
                      <wps:spPr>
                        <a:xfrm>
                          <a:off x="0" y="0"/>
                          <a:ext cx="127635" cy="236220"/>
                        </a:xfrm>
                        <a:prstGeom prst="rect">
                          <a:avLst/>
                        </a:prstGeom>
                      </wps:spPr>
                      <wps:txbx>
                        <w:txbxContent>
                          <w:p>
                            <w:pPr>
                              <w:spacing w:before="19"/>
                              <w:ind w:left="20" w:right="0" w:firstLine="0"/>
                              <w:jc w:val="left"/>
                              <w:rPr>
                                <w:rFonts w:ascii="Arial MT"/>
                                <w:sz w:val="14"/>
                              </w:rPr>
                            </w:pPr>
                            <w:r>
                              <w:rPr>
                                <w:rFonts w:ascii="Arial MT"/>
                                <w:spacing w:val="-2"/>
                                <w:w w:val="85"/>
                                <w:sz w:val="14"/>
                              </w:rPr>
                              <w:t>Orissa</w:t>
                            </w:r>
                          </w:p>
                        </w:txbxContent>
                      </wps:txbx>
                      <wps:bodyPr wrap="square" lIns="0" tIns="0" rIns="0" bIns="0" rtlCol="0" vert="vert270">
                        <a:noAutofit/>
                      </wps:bodyPr>
                    </wps:wsp>
                  </a:graphicData>
                </a:graphic>
              </wp:anchor>
            </w:drawing>
          </mc:Choice>
          <mc:Fallback>
            <w:pict>
              <v:shape style="position:absolute;margin-left:254.480774pt;margin-top:-55.494064pt;width:10.050pt;height:18.6pt;mso-position-horizontal-relative:page;mso-position-vertical-relative:paragraph;z-index:15849472" type="#_x0000_t202" id="docshape1782"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Orissa</w:t>
                      </w:r>
                    </w:p>
                  </w:txbxContent>
                </v:textbox>
                <w10:wrap type="none"/>
              </v:shape>
            </w:pict>
          </mc:Fallback>
        </mc:AlternateContent>
      </w:r>
      <w:r>
        <w:rPr/>
        <mc:AlternateContent>
          <mc:Choice Requires="wps">
            <w:drawing>
              <wp:anchor distT="0" distB="0" distL="0" distR="0" allowOverlap="1" layoutInCell="1" locked="0" behindDoc="0" simplePos="0" relativeHeight="15849984">
                <wp:simplePos x="0" y="0"/>
                <wp:positionH relativeFrom="page">
                  <wp:posOffset>3427230</wp:posOffset>
                </wp:positionH>
                <wp:positionV relativeFrom="paragraph">
                  <wp:posOffset>-704789</wp:posOffset>
                </wp:positionV>
                <wp:extent cx="127635" cy="475615"/>
                <wp:effectExtent l="0" t="0" r="0" b="0"/>
                <wp:wrapNone/>
                <wp:docPr id="1797" name="Textbox 1797"/>
                <wp:cNvGraphicFramePr>
                  <a:graphicFrameLocks/>
                </wp:cNvGraphicFramePr>
                <a:graphic>
                  <a:graphicData uri="http://schemas.microsoft.com/office/word/2010/wordprocessingShape">
                    <wps:wsp>
                      <wps:cNvPr id="1797" name="Textbox 1797"/>
                      <wps:cNvSpPr txBox="1"/>
                      <wps:spPr>
                        <a:xfrm>
                          <a:off x="0" y="0"/>
                          <a:ext cx="127635" cy="475615"/>
                        </a:xfrm>
                        <a:prstGeom prst="rect">
                          <a:avLst/>
                        </a:prstGeom>
                      </wps:spPr>
                      <wps:txbx>
                        <w:txbxContent>
                          <w:p>
                            <w:pPr>
                              <w:spacing w:before="19"/>
                              <w:ind w:left="20" w:right="0" w:firstLine="0"/>
                              <w:jc w:val="left"/>
                              <w:rPr>
                                <w:rFonts w:ascii="Arial MT"/>
                                <w:sz w:val="14"/>
                              </w:rPr>
                            </w:pPr>
                            <w:r>
                              <w:rPr>
                                <w:rFonts w:ascii="Arial MT"/>
                                <w:w w:val="80"/>
                                <w:sz w:val="14"/>
                              </w:rPr>
                              <w:t>Uttar</w:t>
                            </w:r>
                            <w:r>
                              <w:rPr>
                                <w:rFonts w:ascii="Arial MT"/>
                                <w:spacing w:val="-4"/>
                                <w:sz w:val="14"/>
                              </w:rPr>
                              <w:t> </w:t>
                            </w:r>
                            <w:r>
                              <w:rPr>
                                <w:rFonts w:ascii="Arial MT"/>
                                <w:spacing w:val="-2"/>
                                <w:w w:val="85"/>
                                <w:sz w:val="14"/>
                              </w:rPr>
                              <w:t>Pradesh</w:t>
                            </w:r>
                          </w:p>
                        </w:txbxContent>
                      </wps:txbx>
                      <wps:bodyPr wrap="square" lIns="0" tIns="0" rIns="0" bIns="0" rtlCol="0" vert="vert270">
                        <a:noAutofit/>
                      </wps:bodyPr>
                    </wps:wsp>
                  </a:graphicData>
                </a:graphic>
              </wp:anchor>
            </w:drawing>
          </mc:Choice>
          <mc:Fallback>
            <w:pict>
              <v:shape style="position:absolute;margin-left:269.860657pt;margin-top:-55.495262pt;width:10.050pt;height:37.450pt;mso-position-horizontal-relative:page;mso-position-vertical-relative:paragraph;z-index:15849984" type="#_x0000_t202" id="docshape1783"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Uttar</w:t>
                      </w:r>
                      <w:r>
                        <w:rPr>
                          <w:rFonts w:ascii="Arial MT"/>
                          <w:spacing w:val="-4"/>
                          <w:sz w:val="14"/>
                        </w:rPr>
                        <w:t> </w:t>
                      </w:r>
                      <w:r>
                        <w:rPr>
                          <w:rFonts w:ascii="Arial MT"/>
                          <w:spacing w:val="-2"/>
                          <w:w w:val="85"/>
                          <w:sz w:val="14"/>
                        </w:rPr>
                        <w:t>Pradesh</w:t>
                      </w:r>
                    </w:p>
                  </w:txbxContent>
                </v:textbox>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3622555</wp:posOffset>
                </wp:positionH>
                <wp:positionV relativeFrom="paragraph">
                  <wp:posOffset>-704774</wp:posOffset>
                </wp:positionV>
                <wp:extent cx="323215" cy="565150"/>
                <wp:effectExtent l="0" t="0" r="0" b="0"/>
                <wp:wrapNone/>
                <wp:docPr id="1798" name="Textbox 1798"/>
                <wp:cNvGraphicFramePr>
                  <a:graphicFrameLocks/>
                </wp:cNvGraphicFramePr>
                <a:graphic>
                  <a:graphicData uri="http://schemas.microsoft.com/office/word/2010/wordprocessingShape">
                    <wps:wsp>
                      <wps:cNvPr id="1798" name="Textbox 1798"/>
                      <wps:cNvSpPr txBox="1"/>
                      <wps:spPr>
                        <a:xfrm>
                          <a:off x="0" y="0"/>
                          <a:ext cx="323215" cy="565150"/>
                        </a:xfrm>
                        <a:prstGeom prst="rect">
                          <a:avLst/>
                        </a:prstGeom>
                      </wps:spPr>
                      <wps:txbx>
                        <w:txbxContent>
                          <w:p>
                            <w:pPr>
                              <w:spacing w:before="19"/>
                              <w:ind w:left="0" w:right="18" w:firstLine="0"/>
                              <w:jc w:val="right"/>
                              <w:rPr>
                                <w:rFonts w:ascii="Arial MT"/>
                                <w:sz w:val="14"/>
                              </w:rPr>
                            </w:pPr>
                            <w:r>
                              <w:rPr>
                                <w:rFonts w:ascii="Arial MT"/>
                                <w:spacing w:val="-2"/>
                                <w:w w:val="90"/>
                                <w:sz w:val="14"/>
                              </w:rPr>
                              <w:t>Kerala</w:t>
                            </w:r>
                          </w:p>
                          <w:p>
                            <w:pPr>
                              <w:spacing w:before="147"/>
                              <w:ind w:left="0" w:right="18" w:firstLine="0"/>
                              <w:jc w:val="right"/>
                              <w:rPr>
                                <w:rFonts w:ascii="Arial MT"/>
                                <w:sz w:val="14"/>
                              </w:rPr>
                            </w:pPr>
                            <w:r>
                              <w:rPr>
                                <w:rFonts w:ascii="Arial MT"/>
                                <w:spacing w:val="-2"/>
                                <w:w w:val="80"/>
                                <w:sz w:val="14"/>
                              </w:rPr>
                              <w:t>Madhya</w:t>
                            </w:r>
                            <w:r>
                              <w:rPr>
                                <w:rFonts w:ascii="Arial MT"/>
                                <w:spacing w:val="1"/>
                                <w:sz w:val="14"/>
                              </w:rPr>
                              <w:t> </w:t>
                            </w:r>
                            <w:r>
                              <w:rPr>
                                <w:rFonts w:ascii="Arial MT"/>
                                <w:spacing w:val="-2"/>
                                <w:w w:val="85"/>
                                <w:sz w:val="14"/>
                              </w:rPr>
                              <w:t>Pradesh</w:t>
                            </w:r>
                          </w:p>
                        </w:txbxContent>
                      </wps:txbx>
                      <wps:bodyPr wrap="square" lIns="0" tIns="0" rIns="0" bIns="0" rtlCol="0" vert="vert270">
                        <a:noAutofit/>
                      </wps:bodyPr>
                    </wps:wsp>
                  </a:graphicData>
                </a:graphic>
              </wp:anchor>
            </w:drawing>
          </mc:Choice>
          <mc:Fallback>
            <w:pict>
              <v:shape style="position:absolute;margin-left:285.24057pt;margin-top:-55.494064pt;width:25.45pt;height:44.5pt;mso-position-horizontal-relative:page;mso-position-vertical-relative:paragraph;z-index:15850496" type="#_x0000_t202" id="docshape1784" filled="false" stroked="false">
                <v:textbox inset="0,0,0,0" style="layout-flow:vertical;mso-layout-flow-alt:bottom-to-top">
                  <w:txbxContent>
                    <w:p>
                      <w:pPr>
                        <w:spacing w:before="19"/>
                        <w:ind w:left="0" w:right="18" w:firstLine="0"/>
                        <w:jc w:val="right"/>
                        <w:rPr>
                          <w:rFonts w:ascii="Arial MT"/>
                          <w:sz w:val="14"/>
                        </w:rPr>
                      </w:pPr>
                      <w:r>
                        <w:rPr>
                          <w:rFonts w:ascii="Arial MT"/>
                          <w:spacing w:val="-2"/>
                          <w:w w:val="90"/>
                          <w:sz w:val="14"/>
                        </w:rPr>
                        <w:t>Kerala</w:t>
                      </w:r>
                    </w:p>
                    <w:p>
                      <w:pPr>
                        <w:spacing w:before="147"/>
                        <w:ind w:left="0" w:right="18" w:firstLine="0"/>
                        <w:jc w:val="right"/>
                        <w:rPr>
                          <w:rFonts w:ascii="Arial MT"/>
                          <w:sz w:val="14"/>
                        </w:rPr>
                      </w:pPr>
                      <w:r>
                        <w:rPr>
                          <w:rFonts w:ascii="Arial MT"/>
                          <w:spacing w:val="-2"/>
                          <w:w w:val="80"/>
                          <w:sz w:val="14"/>
                        </w:rPr>
                        <w:t>Madhya</w:t>
                      </w:r>
                      <w:r>
                        <w:rPr>
                          <w:rFonts w:ascii="Arial MT"/>
                          <w:spacing w:val="1"/>
                          <w:sz w:val="14"/>
                        </w:rPr>
                        <w:t> </w:t>
                      </w:r>
                      <w:r>
                        <w:rPr>
                          <w:rFonts w:ascii="Arial MT"/>
                          <w:spacing w:val="-2"/>
                          <w:w w:val="85"/>
                          <w:sz w:val="14"/>
                        </w:rPr>
                        <w:t>Pradesh</w:t>
                      </w:r>
                    </w:p>
                  </w:txbxContent>
                </v:textbox>
                <w10:wrap type="none"/>
              </v:shape>
            </w:pict>
          </mc:Fallback>
        </mc:AlternateContent>
      </w:r>
      <w:r>
        <w:rPr/>
        <mc:AlternateContent>
          <mc:Choice Requires="wps">
            <w:drawing>
              <wp:anchor distT="0" distB="0" distL="0" distR="0" allowOverlap="1" layoutInCell="1" locked="0" behindDoc="0" simplePos="0" relativeHeight="15851008">
                <wp:simplePos x="0" y="0"/>
                <wp:positionH relativeFrom="page">
                  <wp:posOffset>4013204</wp:posOffset>
                </wp:positionH>
                <wp:positionV relativeFrom="paragraph">
                  <wp:posOffset>-704786</wp:posOffset>
                </wp:positionV>
                <wp:extent cx="127635" cy="264795"/>
                <wp:effectExtent l="0" t="0" r="0" b="0"/>
                <wp:wrapNone/>
                <wp:docPr id="1799" name="Textbox 1799"/>
                <wp:cNvGraphicFramePr>
                  <a:graphicFrameLocks/>
                </wp:cNvGraphicFramePr>
                <a:graphic>
                  <a:graphicData uri="http://schemas.microsoft.com/office/word/2010/wordprocessingShape">
                    <wps:wsp>
                      <wps:cNvPr id="1799" name="Textbox 1799"/>
                      <wps:cNvSpPr txBox="1"/>
                      <wps:spPr>
                        <a:xfrm>
                          <a:off x="0" y="0"/>
                          <a:ext cx="127635" cy="264795"/>
                        </a:xfrm>
                        <a:prstGeom prst="rect">
                          <a:avLst/>
                        </a:prstGeom>
                      </wps:spPr>
                      <wps:txbx>
                        <w:txbxContent>
                          <w:p>
                            <w:pPr>
                              <w:spacing w:before="19"/>
                              <w:ind w:left="20" w:right="0" w:firstLine="0"/>
                              <w:jc w:val="left"/>
                              <w:rPr>
                                <w:rFonts w:ascii="Arial MT"/>
                                <w:sz w:val="14"/>
                              </w:rPr>
                            </w:pPr>
                            <w:r>
                              <w:rPr>
                                <w:rFonts w:ascii="Arial MT"/>
                                <w:spacing w:val="-2"/>
                                <w:w w:val="85"/>
                                <w:sz w:val="14"/>
                              </w:rPr>
                              <w:t>Gujarat</w:t>
                            </w:r>
                          </w:p>
                        </w:txbxContent>
                      </wps:txbx>
                      <wps:bodyPr wrap="square" lIns="0" tIns="0" rIns="0" bIns="0" rtlCol="0" vert="vert270">
                        <a:noAutofit/>
                      </wps:bodyPr>
                    </wps:wsp>
                  </a:graphicData>
                </a:graphic>
              </wp:anchor>
            </w:drawing>
          </mc:Choice>
          <mc:Fallback>
            <w:pict>
              <v:shape style="position:absolute;margin-left:316.000366pt;margin-top:-55.495022pt;width:10.050pt;height:20.85pt;mso-position-horizontal-relative:page;mso-position-vertical-relative:paragraph;z-index:15851008" type="#_x0000_t202" id="docshape1785"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Gujarat</w:t>
                      </w:r>
                    </w:p>
                  </w:txbxContent>
                </v:textbox>
                <w10:wrap type="none"/>
              </v:shape>
            </w:pict>
          </mc:Fallback>
        </mc:AlternateContent>
      </w:r>
      <w:r>
        <w:rPr/>
        <mc:AlternateContent>
          <mc:Choice Requires="wps">
            <w:drawing>
              <wp:anchor distT="0" distB="0" distL="0" distR="0" allowOverlap="1" layoutInCell="1" locked="0" behindDoc="0" simplePos="0" relativeHeight="15851520">
                <wp:simplePos x="0" y="0"/>
                <wp:positionH relativeFrom="page">
                  <wp:posOffset>4208529</wp:posOffset>
                </wp:positionH>
                <wp:positionV relativeFrom="paragraph">
                  <wp:posOffset>-704837</wp:posOffset>
                </wp:positionV>
                <wp:extent cx="323215" cy="366395"/>
                <wp:effectExtent l="0" t="0" r="0" b="0"/>
                <wp:wrapNone/>
                <wp:docPr id="1800" name="Textbox 1800"/>
                <wp:cNvGraphicFramePr>
                  <a:graphicFrameLocks/>
                </wp:cNvGraphicFramePr>
                <a:graphic>
                  <a:graphicData uri="http://schemas.microsoft.com/office/word/2010/wordprocessingShape">
                    <wps:wsp>
                      <wps:cNvPr id="1800" name="Textbox 1800"/>
                      <wps:cNvSpPr txBox="1"/>
                      <wps:spPr>
                        <a:xfrm>
                          <a:off x="0" y="0"/>
                          <a:ext cx="323215" cy="366395"/>
                        </a:xfrm>
                        <a:prstGeom prst="rect">
                          <a:avLst/>
                        </a:prstGeom>
                      </wps:spPr>
                      <wps:txbx>
                        <w:txbxContent>
                          <w:p>
                            <w:pPr>
                              <w:spacing w:before="19"/>
                              <w:ind w:left="345" w:right="0" w:firstLine="0"/>
                              <w:jc w:val="left"/>
                              <w:rPr>
                                <w:rFonts w:ascii="Arial MT"/>
                                <w:sz w:val="14"/>
                              </w:rPr>
                            </w:pPr>
                            <w:r>
                              <w:rPr>
                                <w:rFonts w:ascii="Arial MT"/>
                                <w:spacing w:val="-5"/>
                                <w:w w:val="90"/>
                                <w:sz w:val="14"/>
                              </w:rPr>
                              <w:t>J&amp;K</w:t>
                            </w:r>
                          </w:p>
                          <w:p>
                            <w:pPr>
                              <w:spacing w:before="147"/>
                              <w:ind w:left="20" w:right="0" w:firstLine="0"/>
                              <w:jc w:val="left"/>
                              <w:rPr>
                                <w:rFonts w:ascii="Arial MT"/>
                                <w:sz w:val="14"/>
                              </w:rPr>
                            </w:pPr>
                            <w:r>
                              <w:rPr>
                                <w:rFonts w:ascii="Arial MT"/>
                                <w:spacing w:val="-2"/>
                                <w:w w:val="85"/>
                                <w:sz w:val="14"/>
                              </w:rPr>
                              <w:t>Jharkhand</w:t>
                            </w:r>
                          </w:p>
                        </w:txbxContent>
                      </wps:txbx>
                      <wps:bodyPr wrap="square" lIns="0" tIns="0" rIns="0" bIns="0" rtlCol="0" vert="vert270">
                        <a:noAutofit/>
                      </wps:bodyPr>
                    </wps:wsp>
                  </a:graphicData>
                </a:graphic>
              </wp:anchor>
            </w:drawing>
          </mc:Choice>
          <mc:Fallback>
            <w:pict>
              <v:shape style="position:absolute;margin-left:331.380249pt;margin-top:-55.498978pt;width:25.45pt;height:28.85pt;mso-position-horizontal-relative:page;mso-position-vertical-relative:paragraph;z-index:15851520" type="#_x0000_t202" id="docshape1786" filled="false" stroked="false">
                <v:textbox inset="0,0,0,0" style="layout-flow:vertical;mso-layout-flow-alt:bottom-to-top">
                  <w:txbxContent>
                    <w:p>
                      <w:pPr>
                        <w:spacing w:before="19"/>
                        <w:ind w:left="345" w:right="0" w:firstLine="0"/>
                        <w:jc w:val="left"/>
                        <w:rPr>
                          <w:rFonts w:ascii="Arial MT"/>
                          <w:sz w:val="14"/>
                        </w:rPr>
                      </w:pPr>
                      <w:r>
                        <w:rPr>
                          <w:rFonts w:ascii="Arial MT"/>
                          <w:spacing w:val="-5"/>
                          <w:w w:val="90"/>
                          <w:sz w:val="14"/>
                        </w:rPr>
                        <w:t>J&amp;K</w:t>
                      </w:r>
                    </w:p>
                    <w:p>
                      <w:pPr>
                        <w:spacing w:before="147"/>
                        <w:ind w:left="20" w:right="0" w:firstLine="0"/>
                        <w:jc w:val="left"/>
                        <w:rPr>
                          <w:rFonts w:ascii="Arial MT"/>
                          <w:sz w:val="14"/>
                        </w:rPr>
                      </w:pPr>
                      <w:r>
                        <w:rPr>
                          <w:rFonts w:ascii="Arial MT"/>
                          <w:spacing w:val="-2"/>
                          <w:w w:val="85"/>
                          <w:sz w:val="14"/>
                        </w:rPr>
                        <w:t>Jharkhand</w:t>
                      </w:r>
                    </w:p>
                  </w:txbxContent>
                </v:textbox>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4599178</wp:posOffset>
                </wp:positionH>
                <wp:positionV relativeFrom="paragraph">
                  <wp:posOffset>-704746</wp:posOffset>
                </wp:positionV>
                <wp:extent cx="127635" cy="437515"/>
                <wp:effectExtent l="0" t="0" r="0" b="0"/>
                <wp:wrapNone/>
                <wp:docPr id="1801" name="Textbox 1801"/>
                <wp:cNvGraphicFramePr>
                  <a:graphicFrameLocks/>
                </wp:cNvGraphicFramePr>
                <a:graphic>
                  <a:graphicData uri="http://schemas.microsoft.com/office/word/2010/wordprocessingShape">
                    <wps:wsp>
                      <wps:cNvPr id="1801" name="Textbox 1801"/>
                      <wps:cNvSpPr txBox="1"/>
                      <wps:spPr>
                        <a:xfrm>
                          <a:off x="0" y="0"/>
                          <a:ext cx="127635" cy="437515"/>
                        </a:xfrm>
                        <a:prstGeom prst="rect">
                          <a:avLst/>
                        </a:prstGeom>
                      </wps:spPr>
                      <wps:txbx>
                        <w:txbxContent>
                          <w:p>
                            <w:pPr>
                              <w:spacing w:before="19"/>
                              <w:ind w:left="20" w:right="0" w:firstLine="0"/>
                              <w:jc w:val="left"/>
                              <w:rPr>
                                <w:rFonts w:ascii="Arial MT"/>
                                <w:sz w:val="14"/>
                              </w:rPr>
                            </w:pPr>
                            <w:r>
                              <w:rPr>
                                <w:rFonts w:ascii="Arial MT"/>
                                <w:w w:val="80"/>
                                <w:sz w:val="14"/>
                              </w:rPr>
                              <w:t>West</w:t>
                            </w:r>
                            <w:r>
                              <w:rPr>
                                <w:rFonts w:ascii="Arial MT"/>
                                <w:spacing w:val="-4"/>
                                <w:sz w:val="14"/>
                              </w:rPr>
                              <w:t> </w:t>
                            </w:r>
                            <w:r>
                              <w:rPr>
                                <w:rFonts w:ascii="Arial MT"/>
                                <w:spacing w:val="-2"/>
                                <w:w w:val="85"/>
                                <w:sz w:val="14"/>
                              </w:rPr>
                              <w:t>Bengal</w:t>
                            </w:r>
                          </w:p>
                        </w:txbxContent>
                      </wps:txbx>
                      <wps:bodyPr wrap="square" lIns="0" tIns="0" rIns="0" bIns="0" rtlCol="0" vert="vert270">
                        <a:noAutofit/>
                      </wps:bodyPr>
                    </wps:wsp>
                  </a:graphicData>
                </a:graphic>
              </wp:anchor>
            </w:drawing>
          </mc:Choice>
          <mc:Fallback>
            <w:pict>
              <v:shape style="position:absolute;margin-left:362.140076pt;margin-top:-55.491848pt;width:10.050pt;height:34.450pt;mso-position-horizontal-relative:page;mso-position-vertical-relative:paragraph;z-index:15852032" type="#_x0000_t202" id="docshape1787"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West</w:t>
                      </w:r>
                      <w:r>
                        <w:rPr>
                          <w:rFonts w:ascii="Arial MT"/>
                          <w:spacing w:val="-4"/>
                          <w:sz w:val="14"/>
                        </w:rPr>
                        <w:t> </w:t>
                      </w:r>
                      <w:r>
                        <w:rPr>
                          <w:rFonts w:ascii="Arial MT"/>
                          <w:spacing w:val="-2"/>
                          <w:w w:val="85"/>
                          <w:sz w:val="14"/>
                        </w:rPr>
                        <w:t>Bengal</w:t>
                      </w:r>
                    </w:p>
                  </w:txbxContent>
                </v:textbox>
                <w10:wrap type="none"/>
              </v:shape>
            </w:pict>
          </mc:Fallback>
        </mc:AlternateContent>
      </w:r>
      <w:r>
        <w:rPr/>
        <mc:AlternateContent>
          <mc:Choice Requires="wps">
            <w:drawing>
              <wp:anchor distT="0" distB="0" distL="0" distR="0" allowOverlap="1" layoutInCell="1" locked="0" behindDoc="0" simplePos="0" relativeHeight="15852544">
                <wp:simplePos x="0" y="0"/>
                <wp:positionH relativeFrom="page">
                  <wp:posOffset>4794503</wp:posOffset>
                </wp:positionH>
                <wp:positionV relativeFrom="paragraph">
                  <wp:posOffset>-704764</wp:posOffset>
                </wp:positionV>
                <wp:extent cx="127635" cy="337820"/>
                <wp:effectExtent l="0" t="0" r="0" b="0"/>
                <wp:wrapNone/>
                <wp:docPr id="1802" name="Textbox 1802"/>
                <wp:cNvGraphicFramePr>
                  <a:graphicFrameLocks/>
                </wp:cNvGraphicFramePr>
                <a:graphic>
                  <a:graphicData uri="http://schemas.microsoft.com/office/word/2010/wordprocessingShape">
                    <wps:wsp>
                      <wps:cNvPr id="1802" name="Textbox 1802"/>
                      <wps:cNvSpPr txBox="1"/>
                      <wps:spPr>
                        <a:xfrm>
                          <a:off x="0" y="0"/>
                          <a:ext cx="127635" cy="337820"/>
                        </a:xfrm>
                        <a:prstGeom prst="rect">
                          <a:avLst/>
                        </a:prstGeom>
                      </wps:spPr>
                      <wps:txbx>
                        <w:txbxContent>
                          <w:p>
                            <w:pPr>
                              <w:spacing w:before="19"/>
                              <w:ind w:left="20" w:right="0" w:firstLine="0"/>
                              <w:jc w:val="left"/>
                              <w:rPr>
                                <w:rFonts w:ascii="Arial MT"/>
                                <w:sz w:val="14"/>
                              </w:rPr>
                            </w:pPr>
                            <w:r>
                              <w:rPr>
                                <w:rFonts w:ascii="Arial MT"/>
                                <w:spacing w:val="-2"/>
                                <w:w w:val="85"/>
                                <w:sz w:val="14"/>
                              </w:rPr>
                              <w:t>Nagaland</w:t>
                            </w:r>
                          </w:p>
                        </w:txbxContent>
                      </wps:txbx>
                      <wps:bodyPr wrap="square" lIns="0" tIns="0" rIns="0" bIns="0" rtlCol="0" vert="vert270">
                        <a:noAutofit/>
                      </wps:bodyPr>
                    </wps:wsp>
                  </a:graphicData>
                </a:graphic>
              </wp:anchor>
            </w:drawing>
          </mc:Choice>
          <mc:Fallback>
            <w:pict>
              <v:shape style="position:absolute;margin-left:377.519958pt;margin-top:-55.493294pt;width:10.050pt;height:26.6pt;mso-position-horizontal-relative:page;mso-position-vertical-relative:paragraph;z-index:15852544" type="#_x0000_t202" id="docshape1788"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Nagaland</w:t>
                      </w:r>
                    </w:p>
                  </w:txbxContent>
                </v:textbox>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4989827</wp:posOffset>
                </wp:positionH>
                <wp:positionV relativeFrom="paragraph">
                  <wp:posOffset>-704675</wp:posOffset>
                </wp:positionV>
                <wp:extent cx="127635" cy="621030"/>
                <wp:effectExtent l="0" t="0" r="0" b="0"/>
                <wp:wrapNone/>
                <wp:docPr id="1803" name="Textbox 1803"/>
                <wp:cNvGraphicFramePr>
                  <a:graphicFrameLocks/>
                </wp:cNvGraphicFramePr>
                <a:graphic>
                  <a:graphicData uri="http://schemas.microsoft.com/office/word/2010/wordprocessingShape">
                    <wps:wsp>
                      <wps:cNvPr id="1803" name="Textbox 1803"/>
                      <wps:cNvSpPr txBox="1"/>
                      <wps:spPr>
                        <a:xfrm>
                          <a:off x="0" y="0"/>
                          <a:ext cx="127635" cy="621030"/>
                        </a:xfrm>
                        <a:prstGeom prst="rect">
                          <a:avLst/>
                        </a:prstGeom>
                      </wps:spPr>
                      <wps:txbx>
                        <w:txbxContent>
                          <w:p>
                            <w:pPr>
                              <w:spacing w:before="19"/>
                              <w:ind w:left="20" w:right="0" w:firstLine="0"/>
                              <w:jc w:val="left"/>
                              <w:rPr>
                                <w:rFonts w:ascii="Arial MT"/>
                                <w:sz w:val="14"/>
                              </w:rPr>
                            </w:pPr>
                            <w:r>
                              <w:rPr>
                                <w:rFonts w:ascii="Arial MT"/>
                                <w:w w:val="80"/>
                                <w:sz w:val="14"/>
                              </w:rPr>
                              <w:t>Himachal</w:t>
                            </w:r>
                            <w:r>
                              <w:rPr>
                                <w:rFonts w:ascii="Arial MT"/>
                                <w:spacing w:val="-1"/>
                                <w:w w:val="80"/>
                                <w:sz w:val="14"/>
                              </w:rPr>
                              <w:t> </w:t>
                            </w:r>
                            <w:r>
                              <w:rPr>
                                <w:rFonts w:ascii="Arial MT"/>
                                <w:spacing w:val="-2"/>
                                <w:w w:val="85"/>
                                <w:sz w:val="14"/>
                              </w:rPr>
                              <w:t>Pradesh</w:t>
                            </w:r>
                          </w:p>
                        </w:txbxContent>
                      </wps:txbx>
                      <wps:bodyPr wrap="square" lIns="0" tIns="0" rIns="0" bIns="0" rtlCol="0" vert="vert270">
                        <a:noAutofit/>
                      </wps:bodyPr>
                    </wps:wsp>
                  </a:graphicData>
                </a:graphic>
              </wp:anchor>
            </w:drawing>
          </mc:Choice>
          <mc:Fallback>
            <w:pict>
              <v:shape style="position:absolute;margin-left:392.899841pt;margin-top:-55.486271pt;width:10.050pt;height:48.9pt;mso-position-horizontal-relative:page;mso-position-vertical-relative:paragraph;z-index:15853056" type="#_x0000_t202" id="docshape1789"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Himachal</w:t>
                      </w:r>
                      <w:r>
                        <w:rPr>
                          <w:rFonts w:ascii="Arial MT"/>
                          <w:spacing w:val="-1"/>
                          <w:w w:val="80"/>
                          <w:sz w:val="14"/>
                        </w:rPr>
                        <w:t> </w:t>
                      </w:r>
                      <w:r>
                        <w:rPr>
                          <w:rFonts w:ascii="Arial MT"/>
                          <w:spacing w:val="-2"/>
                          <w:w w:val="85"/>
                          <w:sz w:val="14"/>
                        </w:rPr>
                        <w:t>Pradesh</w:t>
                      </w:r>
                    </w:p>
                  </w:txbxContent>
                </v:textbox>
                <w10:wrap type="none"/>
              </v:shape>
            </w:pict>
          </mc:Fallback>
        </mc:AlternateContent>
      </w:r>
      <w:r>
        <w:rPr/>
        <mc:AlternateContent>
          <mc:Choice Requires="wps">
            <w:drawing>
              <wp:anchor distT="0" distB="0" distL="0" distR="0" allowOverlap="1" layoutInCell="1" locked="0" behindDoc="0" simplePos="0" relativeHeight="15853568">
                <wp:simplePos x="0" y="0"/>
                <wp:positionH relativeFrom="page">
                  <wp:posOffset>5185152</wp:posOffset>
                </wp:positionH>
                <wp:positionV relativeFrom="paragraph">
                  <wp:posOffset>-704757</wp:posOffset>
                </wp:positionV>
                <wp:extent cx="323215" cy="438784"/>
                <wp:effectExtent l="0" t="0" r="0" b="0"/>
                <wp:wrapNone/>
                <wp:docPr id="1804" name="Textbox 1804"/>
                <wp:cNvGraphicFramePr>
                  <a:graphicFrameLocks/>
                </wp:cNvGraphicFramePr>
                <a:graphic>
                  <a:graphicData uri="http://schemas.microsoft.com/office/word/2010/wordprocessingShape">
                    <wps:wsp>
                      <wps:cNvPr id="1804" name="Textbox 1804"/>
                      <wps:cNvSpPr txBox="1"/>
                      <wps:spPr>
                        <a:xfrm>
                          <a:off x="0" y="0"/>
                          <a:ext cx="323215" cy="438784"/>
                        </a:xfrm>
                        <a:prstGeom prst="rect">
                          <a:avLst/>
                        </a:prstGeom>
                      </wps:spPr>
                      <wps:txbx>
                        <w:txbxContent>
                          <w:p>
                            <w:pPr>
                              <w:spacing w:before="19"/>
                              <w:ind w:left="0" w:right="18" w:firstLine="0"/>
                              <w:jc w:val="right"/>
                              <w:rPr>
                                <w:rFonts w:ascii="Arial MT"/>
                                <w:sz w:val="14"/>
                              </w:rPr>
                            </w:pPr>
                            <w:r>
                              <w:rPr>
                                <w:rFonts w:ascii="Arial MT"/>
                                <w:spacing w:val="-2"/>
                                <w:w w:val="90"/>
                                <w:sz w:val="14"/>
                              </w:rPr>
                              <w:t>Tripura</w:t>
                            </w:r>
                          </w:p>
                          <w:p>
                            <w:pPr>
                              <w:spacing w:before="147"/>
                              <w:ind w:left="0" w:right="18" w:firstLine="0"/>
                              <w:jc w:val="right"/>
                              <w:rPr>
                                <w:rFonts w:ascii="Arial MT"/>
                                <w:sz w:val="14"/>
                              </w:rPr>
                            </w:pPr>
                            <w:r>
                              <w:rPr>
                                <w:rFonts w:ascii="Arial MT"/>
                                <w:spacing w:val="-2"/>
                                <w:w w:val="80"/>
                                <w:sz w:val="14"/>
                              </w:rPr>
                              <w:t>Chhattisgarh</w:t>
                            </w:r>
                          </w:p>
                        </w:txbxContent>
                      </wps:txbx>
                      <wps:bodyPr wrap="square" lIns="0" tIns="0" rIns="0" bIns="0" rtlCol="0" vert="vert270">
                        <a:noAutofit/>
                      </wps:bodyPr>
                    </wps:wsp>
                  </a:graphicData>
                </a:graphic>
              </wp:anchor>
            </w:drawing>
          </mc:Choice>
          <mc:Fallback>
            <w:pict>
              <v:shape style="position:absolute;margin-left:408.279755pt;margin-top:-55.492691pt;width:25.45pt;height:34.550pt;mso-position-horizontal-relative:page;mso-position-vertical-relative:paragraph;z-index:15853568" type="#_x0000_t202" id="docshape1790" filled="false" stroked="false">
                <v:textbox inset="0,0,0,0" style="layout-flow:vertical;mso-layout-flow-alt:bottom-to-top">
                  <w:txbxContent>
                    <w:p>
                      <w:pPr>
                        <w:spacing w:before="19"/>
                        <w:ind w:left="0" w:right="18" w:firstLine="0"/>
                        <w:jc w:val="right"/>
                        <w:rPr>
                          <w:rFonts w:ascii="Arial MT"/>
                          <w:sz w:val="14"/>
                        </w:rPr>
                      </w:pPr>
                      <w:r>
                        <w:rPr>
                          <w:rFonts w:ascii="Arial MT"/>
                          <w:spacing w:val="-2"/>
                          <w:w w:val="90"/>
                          <w:sz w:val="14"/>
                        </w:rPr>
                        <w:t>Tripura</w:t>
                      </w:r>
                    </w:p>
                    <w:p>
                      <w:pPr>
                        <w:spacing w:before="147"/>
                        <w:ind w:left="0" w:right="18" w:firstLine="0"/>
                        <w:jc w:val="right"/>
                        <w:rPr>
                          <w:rFonts w:ascii="Arial MT"/>
                          <w:sz w:val="14"/>
                        </w:rPr>
                      </w:pPr>
                      <w:r>
                        <w:rPr>
                          <w:rFonts w:ascii="Arial MT"/>
                          <w:spacing w:val="-2"/>
                          <w:w w:val="80"/>
                          <w:sz w:val="14"/>
                        </w:rPr>
                        <w:t>Chhattisgarh</w:t>
                      </w:r>
                    </w:p>
                  </w:txbxContent>
                </v:textbox>
                <w10:wrap type="none"/>
              </v:shape>
            </w:pict>
          </mc:Fallback>
        </mc:AlternateContent>
      </w:r>
      <w:r>
        <w:rPr/>
        <mc:AlternateContent>
          <mc:Choice Requires="wps">
            <w:drawing>
              <wp:anchor distT="0" distB="0" distL="0" distR="0" allowOverlap="1" layoutInCell="1" locked="0" behindDoc="0" simplePos="0" relativeHeight="15854080">
                <wp:simplePos x="0" y="0"/>
                <wp:positionH relativeFrom="page">
                  <wp:posOffset>5575802</wp:posOffset>
                </wp:positionH>
                <wp:positionV relativeFrom="paragraph">
                  <wp:posOffset>-704835</wp:posOffset>
                </wp:positionV>
                <wp:extent cx="127635" cy="288925"/>
                <wp:effectExtent l="0" t="0" r="0" b="0"/>
                <wp:wrapNone/>
                <wp:docPr id="1805" name="Textbox 1805"/>
                <wp:cNvGraphicFramePr>
                  <a:graphicFrameLocks/>
                </wp:cNvGraphicFramePr>
                <a:graphic>
                  <a:graphicData uri="http://schemas.microsoft.com/office/word/2010/wordprocessingShape">
                    <wps:wsp>
                      <wps:cNvPr id="1805" name="Textbox 1805"/>
                      <wps:cNvSpPr txBox="1"/>
                      <wps:spPr>
                        <a:xfrm>
                          <a:off x="0" y="0"/>
                          <a:ext cx="127635" cy="288925"/>
                        </a:xfrm>
                        <a:prstGeom prst="rect">
                          <a:avLst/>
                        </a:prstGeom>
                      </wps:spPr>
                      <wps:txbx>
                        <w:txbxContent>
                          <w:p>
                            <w:pPr>
                              <w:spacing w:before="19"/>
                              <w:ind w:left="20" w:right="0" w:firstLine="0"/>
                              <w:jc w:val="left"/>
                              <w:rPr>
                                <w:rFonts w:ascii="Arial MT"/>
                                <w:sz w:val="14"/>
                              </w:rPr>
                            </w:pPr>
                            <w:r>
                              <w:rPr>
                                <w:rFonts w:ascii="Arial MT"/>
                                <w:spacing w:val="-2"/>
                                <w:w w:val="85"/>
                                <w:sz w:val="14"/>
                              </w:rPr>
                              <w:t>Manipur</w:t>
                            </w:r>
                          </w:p>
                        </w:txbxContent>
                      </wps:txbx>
                      <wps:bodyPr wrap="square" lIns="0" tIns="0" rIns="0" bIns="0" rtlCol="0" vert="vert270">
                        <a:noAutofit/>
                      </wps:bodyPr>
                    </wps:wsp>
                  </a:graphicData>
                </a:graphic>
              </wp:anchor>
            </w:drawing>
          </mc:Choice>
          <mc:Fallback>
            <w:pict>
              <v:shape style="position:absolute;margin-left:439.039551pt;margin-top:-55.498844pt;width:10.050pt;height:22.75pt;mso-position-horizontal-relative:page;mso-position-vertical-relative:paragraph;z-index:15854080" type="#_x0000_t202" id="docshape1791"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Manipur</w:t>
                      </w:r>
                    </w:p>
                  </w:txbxContent>
                </v:textbox>
                <w10:wrap type="none"/>
              </v:shape>
            </w:pict>
          </mc:Fallback>
        </mc:AlternateContent>
      </w:r>
      <w:r>
        <w:rPr/>
        <mc:AlternateContent>
          <mc:Choice Requires="wps">
            <w:drawing>
              <wp:anchor distT="0" distB="0" distL="0" distR="0" allowOverlap="1" layoutInCell="1" locked="0" behindDoc="0" simplePos="0" relativeHeight="15854592">
                <wp:simplePos x="0" y="0"/>
                <wp:positionH relativeFrom="page">
                  <wp:posOffset>5771126</wp:posOffset>
                </wp:positionH>
                <wp:positionV relativeFrom="paragraph">
                  <wp:posOffset>-704756</wp:posOffset>
                </wp:positionV>
                <wp:extent cx="127635" cy="248285"/>
                <wp:effectExtent l="0" t="0" r="0" b="0"/>
                <wp:wrapNone/>
                <wp:docPr id="1806" name="Textbox 1806"/>
                <wp:cNvGraphicFramePr>
                  <a:graphicFrameLocks/>
                </wp:cNvGraphicFramePr>
                <a:graphic>
                  <a:graphicData uri="http://schemas.microsoft.com/office/word/2010/wordprocessingShape">
                    <wps:wsp>
                      <wps:cNvPr id="1806" name="Textbox 1806"/>
                      <wps:cNvSpPr txBox="1"/>
                      <wps:spPr>
                        <a:xfrm>
                          <a:off x="0" y="0"/>
                          <a:ext cx="127635" cy="248285"/>
                        </a:xfrm>
                        <a:prstGeom prst="rect">
                          <a:avLst/>
                        </a:prstGeom>
                      </wps:spPr>
                      <wps:txbx>
                        <w:txbxContent>
                          <w:p>
                            <w:pPr>
                              <w:spacing w:before="19"/>
                              <w:ind w:left="20" w:right="0" w:firstLine="0"/>
                              <w:jc w:val="left"/>
                              <w:rPr>
                                <w:rFonts w:ascii="Arial MT"/>
                                <w:sz w:val="14"/>
                              </w:rPr>
                            </w:pPr>
                            <w:r>
                              <w:rPr>
                                <w:rFonts w:ascii="Arial MT"/>
                                <w:spacing w:val="-2"/>
                                <w:w w:val="85"/>
                                <w:sz w:val="14"/>
                              </w:rPr>
                              <w:t>Assam</w:t>
                            </w:r>
                          </w:p>
                        </w:txbxContent>
                      </wps:txbx>
                      <wps:bodyPr wrap="square" lIns="0" tIns="0" rIns="0" bIns="0" rtlCol="0" vert="vert270">
                        <a:noAutofit/>
                      </wps:bodyPr>
                    </wps:wsp>
                  </a:graphicData>
                </a:graphic>
              </wp:anchor>
            </w:drawing>
          </mc:Choice>
          <mc:Fallback>
            <w:pict>
              <v:shape style="position:absolute;margin-left:454.419434pt;margin-top:-55.492661pt;width:10.050pt;height:19.55pt;mso-position-horizontal-relative:page;mso-position-vertical-relative:paragraph;z-index:15854592" type="#_x0000_t202" id="docshape1792"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Assam</w:t>
                      </w:r>
                    </w:p>
                  </w:txbxContent>
                </v:textbox>
                <w10:wrap type="none"/>
              </v:shape>
            </w:pict>
          </mc:Fallback>
        </mc:AlternateContent>
      </w:r>
      <w:r>
        <w:rPr/>
        <mc:AlternateContent>
          <mc:Choice Requires="wps">
            <w:drawing>
              <wp:anchor distT="0" distB="0" distL="0" distR="0" allowOverlap="1" layoutInCell="1" locked="0" behindDoc="0" simplePos="0" relativeHeight="15855104">
                <wp:simplePos x="0" y="0"/>
                <wp:positionH relativeFrom="page">
                  <wp:posOffset>5966451</wp:posOffset>
                </wp:positionH>
                <wp:positionV relativeFrom="paragraph">
                  <wp:posOffset>-704826</wp:posOffset>
                </wp:positionV>
                <wp:extent cx="127635" cy="195580"/>
                <wp:effectExtent l="0" t="0" r="0" b="0"/>
                <wp:wrapNone/>
                <wp:docPr id="1807" name="Textbox 1807"/>
                <wp:cNvGraphicFramePr>
                  <a:graphicFrameLocks/>
                </wp:cNvGraphicFramePr>
                <a:graphic>
                  <a:graphicData uri="http://schemas.microsoft.com/office/word/2010/wordprocessingShape">
                    <wps:wsp>
                      <wps:cNvPr id="1807" name="Textbox 1807"/>
                      <wps:cNvSpPr txBox="1"/>
                      <wps:spPr>
                        <a:xfrm>
                          <a:off x="0" y="0"/>
                          <a:ext cx="127635" cy="195580"/>
                        </a:xfrm>
                        <a:prstGeom prst="rect">
                          <a:avLst/>
                        </a:prstGeom>
                      </wps:spPr>
                      <wps:txbx>
                        <w:txbxContent>
                          <w:p>
                            <w:pPr>
                              <w:spacing w:before="19"/>
                              <w:ind w:left="20" w:right="0" w:firstLine="0"/>
                              <w:jc w:val="left"/>
                              <w:rPr>
                                <w:rFonts w:ascii="Arial MT"/>
                                <w:sz w:val="14"/>
                              </w:rPr>
                            </w:pPr>
                            <w:r>
                              <w:rPr>
                                <w:rFonts w:ascii="Arial MT"/>
                                <w:spacing w:val="-2"/>
                                <w:w w:val="85"/>
                                <w:sz w:val="14"/>
                              </w:rPr>
                              <w:t>Bihar</w:t>
                            </w:r>
                          </w:p>
                        </w:txbxContent>
                      </wps:txbx>
                      <wps:bodyPr wrap="square" lIns="0" tIns="0" rIns="0" bIns="0" rtlCol="0" vert="vert270">
                        <a:noAutofit/>
                      </wps:bodyPr>
                    </wps:wsp>
                  </a:graphicData>
                </a:graphic>
              </wp:anchor>
            </w:drawing>
          </mc:Choice>
          <mc:Fallback>
            <w:pict>
              <v:shape style="position:absolute;margin-left:469.799347pt;margin-top:-55.498135pt;width:10.050pt;height:15.4pt;mso-position-horizontal-relative:page;mso-position-vertical-relative:paragraph;z-index:15855104" type="#_x0000_t202" id="docshape1793" filled="false" stroked="false">
                <v:textbox inset="0,0,0,0" style="layout-flow:vertical;mso-layout-flow-alt:bottom-to-top">
                  <w:txbxContent>
                    <w:p>
                      <w:pPr>
                        <w:spacing w:before="19"/>
                        <w:ind w:left="20" w:right="0" w:firstLine="0"/>
                        <w:jc w:val="left"/>
                        <w:rPr>
                          <w:rFonts w:ascii="Arial MT"/>
                          <w:sz w:val="14"/>
                        </w:rPr>
                      </w:pPr>
                      <w:r>
                        <w:rPr>
                          <w:rFonts w:ascii="Arial MT"/>
                          <w:spacing w:val="-2"/>
                          <w:w w:val="85"/>
                          <w:sz w:val="14"/>
                        </w:rPr>
                        <w:t>Bihar</w:t>
                      </w:r>
                    </w:p>
                  </w:txbxContent>
                </v:textbox>
                <w10:wrap type="none"/>
              </v:shape>
            </w:pict>
          </mc:Fallback>
        </mc:AlternateContent>
      </w:r>
      <w:r>
        <w:rPr>
          <w:i/>
          <w:spacing w:val="-4"/>
          <w:sz w:val="16"/>
        </w:rPr>
        <w:t>Source</w:t>
      </w:r>
      <w:r>
        <w:rPr>
          <w:spacing w:val="-4"/>
          <w:sz w:val="16"/>
        </w:rPr>
        <w:t>:</w:t>
      </w:r>
      <w:r>
        <w:rPr>
          <w:spacing w:val="4"/>
          <w:sz w:val="16"/>
        </w:rPr>
        <w:t> </w:t>
      </w:r>
      <w:r>
        <w:rPr>
          <w:spacing w:val="-4"/>
          <w:sz w:val="16"/>
        </w:rPr>
        <w:t>Report</w:t>
      </w:r>
      <w:r>
        <w:rPr>
          <w:spacing w:val="4"/>
          <w:sz w:val="16"/>
        </w:rPr>
        <w:t> </w:t>
      </w:r>
      <w:r>
        <w:rPr>
          <w:spacing w:val="-4"/>
          <w:sz w:val="16"/>
        </w:rPr>
        <w:t>of</w:t>
      </w:r>
      <w:r>
        <w:rPr>
          <w:spacing w:val="4"/>
          <w:sz w:val="16"/>
        </w:rPr>
        <w:t> </w:t>
      </w:r>
      <w:r>
        <w:rPr>
          <w:spacing w:val="-4"/>
          <w:sz w:val="16"/>
        </w:rPr>
        <w:t>the</w:t>
      </w:r>
      <w:r>
        <w:rPr>
          <w:spacing w:val="1"/>
          <w:sz w:val="16"/>
        </w:rPr>
        <w:t> </w:t>
      </w:r>
      <w:r>
        <w:rPr>
          <w:spacing w:val="-4"/>
          <w:sz w:val="16"/>
        </w:rPr>
        <w:t>Working</w:t>
      </w:r>
      <w:r>
        <w:rPr>
          <w:spacing w:val="4"/>
          <w:sz w:val="16"/>
        </w:rPr>
        <w:t> </w:t>
      </w:r>
      <w:r>
        <w:rPr>
          <w:spacing w:val="-4"/>
          <w:sz w:val="16"/>
        </w:rPr>
        <w:t>Group</w:t>
      </w:r>
      <w:r>
        <w:rPr>
          <w:spacing w:val="5"/>
          <w:sz w:val="16"/>
        </w:rPr>
        <w:t> </w:t>
      </w:r>
      <w:r>
        <w:rPr>
          <w:spacing w:val="-4"/>
          <w:sz w:val="16"/>
        </w:rPr>
        <w:t>on</w:t>
      </w:r>
      <w:r>
        <w:rPr>
          <w:spacing w:val="4"/>
          <w:sz w:val="16"/>
        </w:rPr>
        <w:t> </w:t>
      </w:r>
      <w:r>
        <w:rPr>
          <w:spacing w:val="-4"/>
          <w:sz w:val="16"/>
        </w:rPr>
        <w:t>Management</w:t>
      </w:r>
      <w:r>
        <w:rPr>
          <w:spacing w:val="4"/>
          <w:sz w:val="16"/>
        </w:rPr>
        <w:t> </w:t>
      </w:r>
      <w:r>
        <w:rPr>
          <w:spacing w:val="-4"/>
          <w:sz w:val="16"/>
        </w:rPr>
        <w:t>Education,</w:t>
      </w:r>
      <w:r>
        <w:rPr>
          <w:spacing w:val="4"/>
          <w:sz w:val="16"/>
        </w:rPr>
        <w:t> </w:t>
      </w:r>
      <w:r>
        <w:rPr>
          <w:spacing w:val="-4"/>
          <w:sz w:val="16"/>
        </w:rPr>
        <w:t>National</w:t>
      </w:r>
      <w:r>
        <w:rPr>
          <w:spacing w:val="4"/>
          <w:sz w:val="16"/>
        </w:rPr>
        <w:t> </w:t>
      </w:r>
      <w:r>
        <w:rPr>
          <w:spacing w:val="-4"/>
          <w:sz w:val="16"/>
        </w:rPr>
        <w:t>Knowledge</w:t>
      </w:r>
      <w:r>
        <w:rPr>
          <w:spacing w:val="5"/>
          <w:sz w:val="16"/>
        </w:rPr>
        <w:t> </w:t>
      </w:r>
      <w:r>
        <w:rPr>
          <w:spacing w:val="-4"/>
          <w:sz w:val="16"/>
        </w:rPr>
        <w:t>Commission</w:t>
      </w:r>
    </w:p>
    <w:p>
      <w:pPr>
        <w:spacing w:after="0"/>
        <w:jc w:val="left"/>
        <w:rPr>
          <w:sz w:val="16"/>
        </w:rPr>
        <w:sectPr>
          <w:type w:val="continuous"/>
          <w:pgSz w:w="11910" w:h="16840"/>
          <w:pgMar w:header="0" w:footer="675"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9"/>
        <w:rPr>
          <w:sz w:val="20"/>
        </w:rPr>
      </w:pPr>
    </w:p>
    <w:p>
      <w:pPr>
        <w:spacing w:after="0"/>
        <w:rPr>
          <w:sz w:val="20"/>
        </w:rPr>
        <w:sectPr>
          <w:pgSz w:w="11910" w:h="16840"/>
          <w:pgMar w:header="0" w:footer="675" w:top="0" w:bottom="860" w:left="0" w:right="0"/>
        </w:sectPr>
      </w:pPr>
    </w:p>
    <w:p>
      <w:pPr>
        <w:pStyle w:val="Heading6"/>
        <w:spacing w:before="78"/>
        <w:ind w:left="1080" w:firstLine="0"/>
      </w:pPr>
      <w:r>
        <w:rPr/>
        <mc:AlternateContent>
          <mc:Choice Requires="wps">
            <w:drawing>
              <wp:anchor distT="0" distB="0" distL="0" distR="0" allowOverlap="1" layoutInCell="1" locked="0" behindDoc="0" simplePos="0" relativeHeight="15856128">
                <wp:simplePos x="0" y="0"/>
                <wp:positionH relativeFrom="page">
                  <wp:posOffset>0</wp:posOffset>
                </wp:positionH>
                <wp:positionV relativeFrom="paragraph">
                  <wp:posOffset>-2309143</wp:posOffset>
                </wp:positionV>
                <wp:extent cx="7560309" cy="1752600"/>
                <wp:effectExtent l="0" t="0" r="0" b="0"/>
                <wp:wrapNone/>
                <wp:docPr id="1808" name="Group 1808"/>
                <wp:cNvGraphicFramePr>
                  <a:graphicFrameLocks/>
                </wp:cNvGraphicFramePr>
                <a:graphic>
                  <a:graphicData uri="http://schemas.microsoft.com/office/word/2010/wordprocessingGroup">
                    <wpg:wgp>
                      <wpg:cNvPr id="1808" name="Group 1808"/>
                      <wpg:cNvGrpSpPr/>
                      <wpg:grpSpPr>
                        <a:xfrm>
                          <a:off x="0" y="0"/>
                          <a:ext cx="7560309" cy="1752600"/>
                          <a:chExt cx="7560309" cy="1752600"/>
                        </a:xfrm>
                      </wpg:grpSpPr>
                      <pic:pic>
                        <pic:nvPicPr>
                          <pic:cNvPr id="1809" name="Image 1809"/>
                          <pic:cNvPicPr/>
                        </pic:nvPicPr>
                        <pic:blipFill>
                          <a:blip r:embed="rId695" cstate="print"/>
                          <a:stretch>
                            <a:fillRect/>
                          </a:stretch>
                        </pic:blipFill>
                        <pic:spPr>
                          <a:xfrm>
                            <a:off x="0" y="0"/>
                            <a:ext cx="7559999" cy="1752562"/>
                          </a:xfrm>
                          <a:prstGeom prst="rect">
                            <a:avLst/>
                          </a:prstGeom>
                        </pic:spPr>
                      </pic:pic>
                      <wps:wsp>
                        <wps:cNvPr id="1810" name="Textbox 1810"/>
                        <wps:cNvSpPr txBox="1"/>
                        <wps:spPr>
                          <a:xfrm>
                            <a:off x="0" y="0"/>
                            <a:ext cx="7560309" cy="1752600"/>
                          </a:xfrm>
                          <a:prstGeom prst="rect">
                            <a:avLst/>
                          </a:prstGeom>
                        </wps:spPr>
                        <wps:txbx>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Engineering</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0pt;margin-top:-181.822311pt;width:595.3pt;height:138pt;mso-position-horizontal-relative:page;mso-position-vertical-relative:paragraph;z-index:15856128" id="docshapegroup1794" coordorigin="0,-3636" coordsize="11906,2760">
                <v:shape style="position:absolute;left:0;top:-3637;width:11906;height:2760" type="#_x0000_t75" id="docshape1795" stroked="false">
                  <v:imagedata r:id="rId695" o:title=""/>
                </v:shape>
                <v:shape style="position:absolute;left:0;top:-3637;width:11906;height:2760" type="#_x0000_t202" id="docshape1796" filled="false" stroked="false">
                  <v:textbox inset="0,0,0,0">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z w:val="68"/>
                          </w:rPr>
                          <w:t>Engineering</w:t>
                        </w:r>
                        <w:r>
                          <w:rPr>
                            <w:rFonts w:ascii="Trebuchet MS"/>
                            <w:b/>
                            <w:color w:val="FFFFFF"/>
                            <w:spacing w:val="-1"/>
                            <w:sz w:val="68"/>
                          </w:rPr>
                          <w:t> </w:t>
                        </w:r>
                        <w:r>
                          <w:rPr>
                            <w:rFonts w:ascii="Trebuchet MS"/>
                            <w:b/>
                            <w:color w:val="FFFFFF"/>
                            <w:spacing w:val="-2"/>
                            <w:sz w:val="68"/>
                          </w:rPr>
                          <w:t>Education</w:t>
                        </w:r>
                      </w:p>
                    </w:txbxContent>
                  </v:textbox>
                  <w10:wrap type="none"/>
                </v:shape>
                <w10:wrap type="none"/>
              </v:group>
            </w:pict>
          </mc:Fallback>
        </mc:AlternateContent>
      </w:r>
      <w:r>
        <w:rPr>
          <w:color w:val="2E614A"/>
          <w:spacing w:val="-2"/>
        </w:rPr>
        <w:t>Introduction</w:t>
      </w:r>
    </w:p>
    <w:p>
      <w:pPr>
        <w:pStyle w:val="BodyText"/>
        <w:spacing w:line="266" w:lineRule="auto" w:before="286"/>
        <w:ind w:left="2102"/>
        <w:jc w:val="both"/>
      </w:pPr>
      <w:r>
        <w:rPr/>
        <mc:AlternateContent>
          <mc:Choice Requires="wps">
            <w:drawing>
              <wp:anchor distT="0" distB="0" distL="0" distR="0" allowOverlap="1" layoutInCell="1" locked="0" behindDoc="1" simplePos="0" relativeHeight="479434240">
                <wp:simplePos x="0" y="0"/>
                <wp:positionH relativeFrom="page">
                  <wp:posOffset>685800</wp:posOffset>
                </wp:positionH>
                <wp:positionV relativeFrom="paragraph">
                  <wp:posOffset>92433</wp:posOffset>
                </wp:positionV>
                <wp:extent cx="649605" cy="757555"/>
                <wp:effectExtent l="0" t="0" r="0" b="0"/>
                <wp:wrapNone/>
                <wp:docPr id="1811" name="Textbox 1811"/>
                <wp:cNvGraphicFramePr>
                  <a:graphicFrameLocks/>
                </wp:cNvGraphicFramePr>
                <a:graphic>
                  <a:graphicData uri="http://schemas.microsoft.com/office/word/2010/wordprocessingShape">
                    <wps:wsp>
                      <wps:cNvPr id="1811" name="Textbox 1811"/>
                      <wps:cNvSpPr txBox="1"/>
                      <wps:spPr>
                        <a:xfrm>
                          <a:off x="0" y="0"/>
                          <a:ext cx="649605" cy="757555"/>
                        </a:xfrm>
                        <a:prstGeom prst="rect">
                          <a:avLst/>
                        </a:prstGeom>
                      </wps:spPr>
                      <wps:txbx>
                        <w:txbxContent>
                          <w:p>
                            <w:pPr>
                              <w:spacing w:line="1135" w:lineRule="exact" w:before="0"/>
                              <w:ind w:left="0" w:right="0" w:firstLine="0"/>
                              <w:jc w:val="left"/>
                              <w:rPr>
                                <w:sz w:val="106"/>
                              </w:rPr>
                            </w:pPr>
                            <w:r>
                              <w:rPr>
                                <w:color w:val="9CBF3B"/>
                                <w:spacing w:val="-10"/>
                                <w:sz w:val="106"/>
                              </w:rPr>
                              <w:t>W</w:t>
                            </w:r>
                          </w:p>
                        </w:txbxContent>
                      </wps:txbx>
                      <wps:bodyPr wrap="square" lIns="0" tIns="0" rIns="0" bIns="0" rtlCol="0">
                        <a:noAutofit/>
                      </wps:bodyPr>
                    </wps:wsp>
                  </a:graphicData>
                </a:graphic>
              </wp:anchor>
            </w:drawing>
          </mc:Choice>
          <mc:Fallback>
            <w:pict>
              <v:shape style="position:absolute;margin-left:54pt;margin-top:7.278193pt;width:51.15pt;height:59.65pt;mso-position-horizontal-relative:page;mso-position-vertical-relative:paragraph;z-index:-23882240" type="#_x0000_t202" id="docshape1797" filled="false" stroked="false">
                <v:textbox inset="0,0,0,0">
                  <w:txbxContent>
                    <w:p>
                      <w:pPr>
                        <w:spacing w:line="1135" w:lineRule="exact" w:before="0"/>
                        <w:ind w:left="0" w:right="0" w:firstLine="0"/>
                        <w:jc w:val="left"/>
                        <w:rPr>
                          <w:sz w:val="106"/>
                        </w:rPr>
                      </w:pPr>
                      <w:r>
                        <w:rPr>
                          <w:color w:val="9CBF3B"/>
                          <w:spacing w:val="-10"/>
                          <w:sz w:val="106"/>
                        </w:rPr>
                        <w:t>W</w:t>
                      </w:r>
                    </w:p>
                  </w:txbxContent>
                </v:textbox>
                <w10:wrap type="none"/>
              </v:shape>
            </w:pict>
          </mc:Fallback>
        </mc:AlternateContent>
      </w:r>
      <w:r>
        <w:rPr/>
        <w:t>ith economic growth and the spread </w:t>
      </w:r>
      <w:r>
        <w:rPr/>
        <w:t>of technology,</w:t>
      </w:r>
      <w:r>
        <w:rPr>
          <w:spacing w:val="-7"/>
        </w:rPr>
        <w:t> </w:t>
      </w:r>
      <w:r>
        <w:rPr/>
        <w:t>the</w:t>
      </w:r>
      <w:r>
        <w:rPr>
          <w:spacing w:val="-7"/>
        </w:rPr>
        <w:t> </w:t>
      </w:r>
      <w:r>
        <w:rPr/>
        <w:t>demand</w:t>
      </w:r>
      <w:r>
        <w:rPr>
          <w:spacing w:val="-7"/>
        </w:rPr>
        <w:t> </w:t>
      </w:r>
      <w:r>
        <w:rPr/>
        <w:t>for</w:t>
      </w:r>
      <w:r>
        <w:rPr>
          <w:spacing w:val="-7"/>
        </w:rPr>
        <w:t> </w:t>
      </w:r>
      <w:r>
        <w:rPr/>
        <w:t>engineers</w:t>
      </w:r>
      <w:r>
        <w:rPr>
          <w:spacing w:val="-7"/>
        </w:rPr>
        <w:t> </w:t>
      </w:r>
      <w:r>
        <w:rPr/>
        <w:t>has </w:t>
      </w:r>
      <w:r>
        <w:rPr>
          <w:spacing w:val="-4"/>
        </w:rPr>
        <w:t>increased</w:t>
      </w:r>
      <w:r>
        <w:rPr>
          <w:spacing w:val="-1"/>
        </w:rPr>
        <w:t> </w:t>
      </w:r>
      <w:r>
        <w:rPr>
          <w:spacing w:val="-4"/>
        </w:rPr>
        <w:t>manifold.</w:t>
      </w:r>
      <w:r>
        <w:rPr>
          <w:spacing w:val="-10"/>
        </w:rPr>
        <w:t> </w:t>
      </w:r>
      <w:r>
        <w:rPr>
          <w:spacing w:val="-4"/>
        </w:rPr>
        <w:t>This</w:t>
      </w:r>
      <w:r>
        <w:rPr/>
        <w:t> </w:t>
      </w:r>
      <w:r>
        <w:rPr>
          <w:spacing w:val="-4"/>
        </w:rPr>
        <w:t>has</w:t>
      </w:r>
      <w:r>
        <w:rPr>
          <w:spacing w:val="-1"/>
        </w:rPr>
        <w:t> </w:t>
      </w:r>
      <w:r>
        <w:rPr>
          <w:spacing w:val="-4"/>
        </w:rPr>
        <w:t>been</w:t>
      </w:r>
      <w:r>
        <w:rPr/>
        <w:t> </w:t>
      </w:r>
      <w:r>
        <w:rPr>
          <w:spacing w:val="-4"/>
        </w:rPr>
        <w:t>matched</w:t>
      </w:r>
    </w:p>
    <w:p>
      <w:pPr>
        <w:pStyle w:val="BodyText"/>
        <w:spacing w:line="264" w:lineRule="auto"/>
        <w:ind w:left="1079"/>
        <w:jc w:val="both"/>
      </w:pPr>
      <w:r>
        <w:rPr>
          <w:w w:val="90"/>
        </w:rPr>
        <w:t>by an increase in enrolments in engineering as well as rise </w:t>
      </w:r>
      <w:r>
        <w:rPr/>
        <w:t>in</w:t>
      </w:r>
      <w:r>
        <w:rPr>
          <w:spacing w:val="-11"/>
        </w:rPr>
        <w:t> </w:t>
      </w:r>
      <w:r>
        <w:rPr/>
        <w:t>number</w:t>
      </w:r>
      <w:r>
        <w:rPr>
          <w:spacing w:val="-11"/>
        </w:rPr>
        <w:t> </w:t>
      </w:r>
      <w:r>
        <w:rPr/>
        <w:t>of</w:t>
      </w:r>
      <w:r>
        <w:rPr>
          <w:spacing w:val="-11"/>
        </w:rPr>
        <w:t> </w:t>
      </w:r>
      <w:r>
        <w:rPr/>
        <w:t>engineering</w:t>
      </w:r>
      <w:r>
        <w:rPr>
          <w:spacing w:val="-11"/>
        </w:rPr>
        <w:t> </w:t>
      </w:r>
      <w:r>
        <w:rPr/>
        <w:t>institutes</w:t>
      </w:r>
      <w:r>
        <w:rPr>
          <w:spacing w:val="-11"/>
        </w:rPr>
        <w:t> </w:t>
      </w:r>
      <w:r>
        <w:rPr/>
        <w:t>in</w:t>
      </w:r>
      <w:r>
        <w:rPr>
          <w:spacing w:val="-11"/>
        </w:rPr>
        <w:t> </w:t>
      </w:r>
      <w:r>
        <w:rPr/>
        <w:t>India.</w:t>
      </w:r>
      <w:r>
        <w:rPr>
          <w:spacing w:val="-11"/>
        </w:rPr>
        <w:t> </w:t>
      </w:r>
      <w:r>
        <w:rPr/>
        <w:t>However </w:t>
      </w:r>
      <w:r>
        <w:rPr>
          <w:spacing w:val="-6"/>
        </w:rPr>
        <w:t>keeping</w:t>
      </w:r>
      <w:r>
        <w:rPr>
          <w:spacing w:val="-8"/>
        </w:rPr>
        <w:t> </w:t>
      </w:r>
      <w:r>
        <w:rPr>
          <w:spacing w:val="-6"/>
        </w:rPr>
        <w:t>in</w:t>
      </w:r>
      <w:r>
        <w:rPr>
          <w:spacing w:val="-8"/>
        </w:rPr>
        <w:t> </w:t>
      </w:r>
      <w:r>
        <w:rPr>
          <w:spacing w:val="-6"/>
        </w:rPr>
        <w:t>mind</w:t>
      </w:r>
      <w:r>
        <w:rPr>
          <w:spacing w:val="-8"/>
        </w:rPr>
        <w:t> </w:t>
      </w:r>
      <w:r>
        <w:rPr>
          <w:spacing w:val="-6"/>
        </w:rPr>
        <w:t>the</w:t>
      </w:r>
      <w:r>
        <w:rPr>
          <w:spacing w:val="-7"/>
        </w:rPr>
        <w:t> </w:t>
      </w:r>
      <w:r>
        <w:rPr>
          <w:spacing w:val="-6"/>
        </w:rPr>
        <w:t>growing</w:t>
      </w:r>
      <w:r>
        <w:rPr>
          <w:spacing w:val="-8"/>
        </w:rPr>
        <w:t> </w:t>
      </w:r>
      <w:r>
        <w:rPr>
          <w:spacing w:val="-6"/>
        </w:rPr>
        <w:t>opportunities</w:t>
      </w:r>
      <w:r>
        <w:rPr>
          <w:spacing w:val="-8"/>
        </w:rPr>
        <w:t> </w:t>
      </w:r>
      <w:r>
        <w:rPr>
          <w:spacing w:val="-6"/>
        </w:rPr>
        <w:t>for</w:t>
      </w:r>
      <w:r>
        <w:rPr>
          <w:spacing w:val="-8"/>
        </w:rPr>
        <w:t> </w:t>
      </w:r>
      <w:r>
        <w:rPr>
          <w:spacing w:val="-6"/>
        </w:rPr>
        <w:t>engineers, </w:t>
      </w:r>
      <w:r>
        <w:rPr/>
        <w:t>particularly</w:t>
      </w:r>
      <w:r>
        <w:rPr>
          <w:spacing w:val="-14"/>
        </w:rPr>
        <w:t> </w:t>
      </w:r>
      <w:r>
        <w:rPr/>
        <w:t>in</w:t>
      </w:r>
      <w:r>
        <w:rPr>
          <w:spacing w:val="-14"/>
        </w:rPr>
        <w:t> </w:t>
      </w:r>
      <w:r>
        <w:rPr/>
        <w:t>the</w:t>
      </w:r>
      <w:r>
        <w:rPr>
          <w:spacing w:val="-14"/>
        </w:rPr>
        <w:t> </w:t>
      </w:r>
      <w:r>
        <w:rPr/>
        <w:t>field</w:t>
      </w:r>
      <w:r>
        <w:rPr>
          <w:spacing w:val="-13"/>
        </w:rPr>
        <w:t> </w:t>
      </w:r>
      <w:r>
        <w:rPr/>
        <w:t>of</w:t>
      </w:r>
      <w:r>
        <w:rPr>
          <w:spacing w:val="-14"/>
        </w:rPr>
        <w:t> </w:t>
      </w:r>
      <w:r>
        <w:rPr/>
        <w:t>information</w:t>
      </w:r>
      <w:r>
        <w:rPr>
          <w:spacing w:val="-14"/>
        </w:rPr>
        <w:t> </w:t>
      </w:r>
      <w:r>
        <w:rPr/>
        <w:t>technology</w:t>
      </w:r>
      <w:r>
        <w:rPr>
          <w:spacing w:val="-14"/>
        </w:rPr>
        <w:t> </w:t>
      </w:r>
      <w:r>
        <w:rPr/>
        <w:t>and </w:t>
      </w:r>
      <w:r>
        <w:rPr>
          <w:spacing w:val="-2"/>
        </w:rPr>
        <w:t>business</w:t>
      </w:r>
      <w:r>
        <w:rPr>
          <w:spacing w:val="-11"/>
        </w:rPr>
        <w:t> </w:t>
      </w:r>
      <w:r>
        <w:rPr>
          <w:spacing w:val="-2"/>
        </w:rPr>
        <w:t>process</w:t>
      </w:r>
      <w:r>
        <w:rPr>
          <w:spacing w:val="-11"/>
        </w:rPr>
        <w:t> </w:t>
      </w:r>
      <w:r>
        <w:rPr>
          <w:spacing w:val="-2"/>
        </w:rPr>
        <w:t>outsourcing,</w:t>
      </w:r>
      <w:r>
        <w:rPr>
          <w:spacing w:val="-11"/>
        </w:rPr>
        <w:t> </w:t>
      </w:r>
      <w:r>
        <w:rPr>
          <w:spacing w:val="-2"/>
        </w:rPr>
        <w:t>there</w:t>
      </w:r>
      <w:r>
        <w:rPr>
          <w:spacing w:val="-11"/>
        </w:rPr>
        <w:t> </w:t>
      </w:r>
      <w:r>
        <w:rPr>
          <w:spacing w:val="-2"/>
        </w:rPr>
        <w:t>is</w:t>
      </w:r>
      <w:r>
        <w:rPr>
          <w:spacing w:val="-11"/>
        </w:rPr>
        <w:t> </w:t>
      </w:r>
      <w:r>
        <w:rPr>
          <w:spacing w:val="-2"/>
        </w:rPr>
        <w:t>scope</w:t>
      </w:r>
      <w:r>
        <w:rPr>
          <w:spacing w:val="-11"/>
        </w:rPr>
        <w:t> </w:t>
      </w:r>
      <w:r>
        <w:rPr>
          <w:spacing w:val="-2"/>
        </w:rPr>
        <w:t>for</w:t>
      </w:r>
      <w:r>
        <w:rPr>
          <w:spacing w:val="-11"/>
        </w:rPr>
        <w:t> </w:t>
      </w:r>
      <w:r>
        <w:rPr>
          <w:spacing w:val="-2"/>
        </w:rPr>
        <w:t>further </w:t>
      </w:r>
      <w:r>
        <w:rPr/>
        <w:t>expansion.</w:t>
      </w:r>
      <w:r>
        <w:rPr>
          <w:spacing w:val="-14"/>
        </w:rPr>
        <w:t> </w:t>
      </w:r>
      <w:r>
        <w:rPr>
          <w:sz w:val="23"/>
        </w:rPr>
        <w:t>A</w:t>
      </w:r>
      <w:r>
        <w:rPr>
          <w:spacing w:val="-15"/>
          <w:sz w:val="23"/>
        </w:rPr>
        <w:t> </w:t>
      </w:r>
      <w:r>
        <w:rPr>
          <w:sz w:val="23"/>
        </w:rPr>
        <w:t>NASSCOM</w:t>
      </w:r>
      <w:r>
        <w:rPr>
          <w:spacing w:val="-14"/>
          <w:sz w:val="23"/>
        </w:rPr>
        <w:t> </w:t>
      </w:r>
      <w:r>
        <w:rPr>
          <w:sz w:val="23"/>
        </w:rPr>
        <w:t>report</w:t>
      </w:r>
      <w:r>
        <w:rPr>
          <w:spacing w:val="-14"/>
          <w:sz w:val="23"/>
        </w:rPr>
        <w:t> </w:t>
      </w:r>
      <w:r>
        <w:rPr>
          <w:sz w:val="23"/>
        </w:rPr>
        <w:t>foresees</w:t>
      </w:r>
      <w:r>
        <w:rPr>
          <w:spacing w:val="-15"/>
          <w:sz w:val="23"/>
        </w:rPr>
        <w:t> </w:t>
      </w:r>
      <w:r>
        <w:rPr>
          <w:sz w:val="23"/>
        </w:rPr>
        <w:t>a</w:t>
      </w:r>
      <w:r>
        <w:rPr>
          <w:spacing w:val="-14"/>
          <w:sz w:val="23"/>
        </w:rPr>
        <w:t> </w:t>
      </w:r>
      <w:r>
        <w:rPr>
          <w:sz w:val="23"/>
        </w:rPr>
        <w:t>shortage of 500,000 knowledge workers by 2010, 70 per cent</w:t>
      </w:r>
      <w:r>
        <w:rPr>
          <w:spacing w:val="-6"/>
          <w:sz w:val="23"/>
        </w:rPr>
        <w:t> </w:t>
      </w:r>
      <w:r>
        <w:rPr>
          <w:sz w:val="23"/>
        </w:rPr>
        <w:t>of</w:t>
      </w:r>
      <w:r>
        <w:rPr>
          <w:spacing w:val="-6"/>
          <w:sz w:val="23"/>
        </w:rPr>
        <w:t> </w:t>
      </w:r>
      <w:r>
        <w:rPr>
          <w:sz w:val="23"/>
        </w:rPr>
        <w:t>which</w:t>
      </w:r>
      <w:r>
        <w:rPr>
          <w:spacing w:val="-6"/>
          <w:sz w:val="23"/>
        </w:rPr>
        <w:t> </w:t>
      </w:r>
      <w:r>
        <w:rPr>
          <w:sz w:val="23"/>
        </w:rPr>
        <w:t>would</w:t>
      </w:r>
      <w:r>
        <w:rPr>
          <w:spacing w:val="-6"/>
          <w:sz w:val="23"/>
        </w:rPr>
        <w:t> </w:t>
      </w:r>
      <w:r>
        <w:rPr>
          <w:sz w:val="23"/>
        </w:rPr>
        <w:t>be</w:t>
      </w:r>
      <w:r>
        <w:rPr>
          <w:spacing w:val="-6"/>
          <w:sz w:val="23"/>
        </w:rPr>
        <w:t> </w:t>
      </w:r>
      <w:r>
        <w:rPr>
          <w:sz w:val="23"/>
        </w:rPr>
        <w:t>in</w:t>
      </w:r>
      <w:r>
        <w:rPr>
          <w:spacing w:val="-6"/>
          <w:sz w:val="23"/>
        </w:rPr>
        <w:t> </w:t>
      </w:r>
      <w:r>
        <w:rPr>
          <w:sz w:val="23"/>
        </w:rPr>
        <w:t>the</w:t>
      </w:r>
      <w:r>
        <w:rPr>
          <w:spacing w:val="-6"/>
          <w:sz w:val="23"/>
        </w:rPr>
        <w:t> </w:t>
      </w:r>
      <w:r>
        <w:rPr>
          <w:sz w:val="23"/>
        </w:rPr>
        <w:t>BPO</w:t>
      </w:r>
      <w:r>
        <w:rPr>
          <w:spacing w:val="-6"/>
          <w:sz w:val="23"/>
        </w:rPr>
        <w:t> </w:t>
      </w:r>
      <w:r>
        <w:rPr>
          <w:sz w:val="23"/>
        </w:rPr>
        <w:t>industry.</w:t>
      </w:r>
      <w:r>
        <w:rPr>
          <w:spacing w:val="-5"/>
          <w:sz w:val="23"/>
        </w:rPr>
        <w:t> </w:t>
      </w:r>
      <w:r>
        <w:rPr/>
        <w:t>At</w:t>
      </w:r>
      <w:r>
        <w:rPr>
          <w:spacing w:val="-5"/>
        </w:rPr>
        <w:t> </w:t>
      </w:r>
      <w:r>
        <w:rPr/>
        <w:t>the same time, the quality of engineering institutes and </w:t>
      </w:r>
      <w:r>
        <w:rPr>
          <w:spacing w:val="-6"/>
        </w:rPr>
        <w:t>engineering graduates needs to be improved. Apart from </w:t>
      </w:r>
      <w:r>
        <w:rPr/>
        <w:t>a</w:t>
      </w:r>
      <w:r>
        <w:rPr>
          <w:spacing w:val="-14"/>
        </w:rPr>
        <w:t> </w:t>
      </w:r>
      <w:r>
        <w:rPr/>
        <w:t>few</w:t>
      </w:r>
      <w:r>
        <w:rPr>
          <w:spacing w:val="-13"/>
        </w:rPr>
        <w:t> </w:t>
      </w:r>
      <w:r>
        <w:rPr/>
        <w:t>elite</w:t>
      </w:r>
      <w:r>
        <w:rPr>
          <w:spacing w:val="-14"/>
        </w:rPr>
        <w:t> </w:t>
      </w:r>
      <w:r>
        <w:rPr/>
        <w:t>institutes,</w:t>
      </w:r>
      <w:r>
        <w:rPr>
          <w:spacing w:val="-13"/>
        </w:rPr>
        <w:t> </w:t>
      </w:r>
      <w:r>
        <w:rPr/>
        <w:t>engineering</w:t>
      </w:r>
      <w:r>
        <w:rPr>
          <w:spacing w:val="-14"/>
        </w:rPr>
        <w:t> </w:t>
      </w:r>
      <w:r>
        <w:rPr/>
        <w:t>education</w:t>
      </w:r>
      <w:r>
        <w:rPr>
          <w:spacing w:val="-13"/>
        </w:rPr>
        <w:t> </w:t>
      </w:r>
      <w:r>
        <w:rPr/>
        <w:t>in</w:t>
      </w:r>
      <w:r>
        <w:rPr>
          <w:spacing w:val="-14"/>
        </w:rPr>
        <w:t> </w:t>
      </w:r>
      <w:r>
        <w:rPr/>
        <w:t>India</w:t>
      </w:r>
      <w:r>
        <w:rPr>
          <w:spacing w:val="-13"/>
        </w:rPr>
        <w:t> </w:t>
      </w:r>
      <w:r>
        <w:rPr/>
        <w:t>is </w:t>
      </w:r>
      <w:r>
        <w:rPr>
          <w:spacing w:val="-4"/>
        </w:rPr>
        <w:t>often</w:t>
      </w:r>
      <w:r>
        <w:rPr>
          <w:spacing w:val="-10"/>
        </w:rPr>
        <w:t> </w:t>
      </w:r>
      <w:r>
        <w:rPr>
          <w:spacing w:val="-4"/>
        </w:rPr>
        <w:t>seen</w:t>
      </w:r>
      <w:r>
        <w:rPr>
          <w:spacing w:val="-10"/>
        </w:rPr>
        <w:t> </w:t>
      </w:r>
      <w:r>
        <w:rPr>
          <w:spacing w:val="-4"/>
        </w:rPr>
        <w:t>as</w:t>
      </w:r>
      <w:r>
        <w:rPr>
          <w:spacing w:val="-10"/>
        </w:rPr>
        <w:t> </w:t>
      </w:r>
      <w:r>
        <w:rPr>
          <w:spacing w:val="-4"/>
        </w:rPr>
        <w:t>outdated</w:t>
      </w:r>
      <w:r>
        <w:rPr>
          <w:spacing w:val="-9"/>
        </w:rPr>
        <w:t> </w:t>
      </w:r>
      <w:r>
        <w:rPr>
          <w:spacing w:val="-4"/>
        </w:rPr>
        <w:t>and</w:t>
      </w:r>
      <w:r>
        <w:rPr>
          <w:spacing w:val="-10"/>
        </w:rPr>
        <w:t> </w:t>
      </w:r>
      <w:r>
        <w:rPr>
          <w:spacing w:val="-4"/>
        </w:rPr>
        <w:t>irrelevant.</w:t>
      </w:r>
      <w:r>
        <w:rPr>
          <w:spacing w:val="-10"/>
        </w:rPr>
        <w:t> </w:t>
      </w:r>
      <w:r>
        <w:rPr>
          <w:spacing w:val="-4"/>
        </w:rPr>
        <w:t>Most</w:t>
      </w:r>
      <w:r>
        <w:rPr>
          <w:spacing w:val="-10"/>
        </w:rPr>
        <w:t> </w:t>
      </w:r>
      <w:r>
        <w:rPr>
          <w:spacing w:val="-4"/>
        </w:rPr>
        <w:t>graduates</w:t>
      </w:r>
      <w:r>
        <w:rPr>
          <w:spacing w:val="-9"/>
        </w:rPr>
        <w:t> </w:t>
      </w:r>
      <w:r>
        <w:rPr>
          <w:spacing w:val="-4"/>
        </w:rPr>
        <w:t>do not</w:t>
      </w:r>
      <w:r>
        <w:rPr>
          <w:spacing w:val="-10"/>
        </w:rPr>
        <w:t> </w:t>
      </w:r>
      <w:r>
        <w:rPr>
          <w:spacing w:val="-4"/>
        </w:rPr>
        <w:t>possess</w:t>
      </w:r>
      <w:r>
        <w:rPr>
          <w:spacing w:val="-10"/>
        </w:rPr>
        <w:t> </w:t>
      </w:r>
      <w:r>
        <w:rPr>
          <w:spacing w:val="-4"/>
        </w:rPr>
        <w:t>the</w:t>
      </w:r>
      <w:r>
        <w:rPr>
          <w:spacing w:val="-9"/>
        </w:rPr>
        <w:t> </w:t>
      </w:r>
      <w:r>
        <w:rPr>
          <w:spacing w:val="-4"/>
        </w:rPr>
        <w:t>requisite</w:t>
      </w:r>
      <w:r>
        <w:rPr>
          <w:spacing w:val="-10"/>
        </w:rPr>
        <w:t> </w:t>
      </w:r>
      <w:r>
        <w:rPr>
          <w:spacing w:val="-4"/>
        </w:rPr>
        <w:t>skills,</w:t>
      </w:r>
      <w:r>
        <w:rPr>
          <w:spacing w:val="-10"/>
        </w:rPr>
        <w:t> </w:t>
      </w:r>
      <w:r>
        <w:rPr>
          <w:spacing w:val="-4"/>
        </w:rPr>
        <w:t>and</w:t>
      </w:r>
      <w:r>
        <w:rPr>
          <w:spacing w:val="-10"/>
        </w:rPr>
        <w:t> </w:t>
      </w:r>
      <w:r>
        <w:rPr>
          <w:spacing w:val="-4"/>
        </w:rPr>
        <w:t>industries</w:t>
      </w:r>
      <w:r>
        <w:rPr>
          <w:spacing w:val="-9"/>
        </w:rPr>
        <w:t> </w:t>
      </w:r>
      <w:r>
        <w:rPr>
          <w:spacing w:val="-4"/>
        </w:rPr>
        <w:t>have</w:t>
      </w:r>
      <w:r>
        <w:rPr>
          <w:spacing w:val="-10"/>
        </w:rPr>
        <w:t> </w:t>
      </w:r>
      <w:r>
        <w:rPr>
          <w:spacing w:val="-4"/>
        </w:rPr>
        <w:t>been </w:t>
      </w:r>
      <w:r>
        <w:rPr/>
        <w:t>facing</w:t>
      </w:r>
      <w:r>
        <w:rPr>
          <w:spacing w:val="-14"/>
        </w:rPr>
        <w:t> </w:t>
      </w:r>
      <w:r>
        <w:rPr/>
        <w:t>a</w:t>
      </w:r>
      <w:r>
        <w:rPr>
          <w:spacing w:val="-14"/>
        </w:rPr>
        <w:t> </w:t>
      </w:r>
      <w:r>
        <w:rPr/>
        <w:t>consistent</w:t>
      </w:r>
      <w:r>
        <w:rPr>
          <w:spacing w:val="-14"/>
        </w:rPr>
        <w:t> </w:t>
      </w:r>
      <w:r>
        <w:rPr/>
        <w:t>deficit</w:t>
      </w:r>
      <w:r>
        <w:rPr>
          <w:spacing w:val="-13"/>
        </w:rPr>
        <w:t> </w:t>
      </w:r>
      <w:r>
        <w:rPr/>
        <w:t>of</w:t>
      </w:r>
      <w:r>
        <w:rPr>
          <w:spacing w:val="-14"/>
        </w:rPr>
        <w:t> </w:t>
      </w:r>
      <w:r>
        <w:rPr/>
        <w:t>quality</w:t>
      </w:r>
      <w:r>
        <w:rPr>
          <w:spacing w:val="-14"/>
        </w:rPr>
        <w:t> </w:t>
      </w:r>
      <w:r>
        <w:rPr/>
        <w:t>trained</w:t>
      </w:r>
      <w:r>
        <w:rPr>
          <w:spacing w:val="-14"/>
        </w:rPr>
        <w:t> </w:t>
      </w:r>
      <w:r>
        <w:rPr/>
        <w:t>engineers. Also,</w:t>
      </w:r>
      <w:r>
        <w:rPr>
          <w:spacing w:val="-14"/>
        </w:rPr>
        <w:t> </w:t>
      </w:r>
      <w:r>
        <w:rPr/>
        <w:t>most</w:t>
      </w:r>
      <w:r>
        <w:rPr>
          <w:spacing w:val="-14"/>
        </w:rPr>
        <w:t> </w:t>
      </w:r>
      <w:r>
        <w:rPr/>
        <w:t>institutes,</w:t>
      </w:r>
      <w:r>
        <w:rPr>
          <w:spacing w:val="-13"/>
        </w:rPr>
        <w:t> </w:t>
      </w:r>
      <w:r>
        <w:rPr/>
        <w:t>including</w:t>
      </w:r>
      <w:r>
        <w:rPr>
          <w:spacing w:val="-14"/>
        </w:rPr>
        <w:t> </w:t>
      </w:r>
      <w:r>
        <w:rPr/>
        <w:t>premier</w:t>
      </w:r>
      <w:r>
        <w:rPr>
          <w:spacing w:val="-14"/>
        </w:rPr>
        <w:t> </w:t>
      </w:r>
      <w:r>
        <w:rPr/>
        <w:t>institutes,</w:t>
      </w:r>
      <w:r>
        <w:rPr>
          <w:spacing w:val="-13"/>
        </w:rPr>
        <w:t> </w:t>
      </w:r>
      <w:r>
        <w:rPr/>
        <w:t>fail </w:t>
      </w:r>
      <w:r>
        <w:rPr>
          <w:spacing w:val="-6"/>
        </w:rPr>
        <w:t>to</w:t>
      </w:r>
      <w:r>
        <w:rPr>
          <w:spacing w:val="-8"/>
        </w:rPr>
        <w:t> </w:t>
      </w:r>
      <w:r>
        <w:rPr>
          <w:spacing w:val="-6"/>
        </w:rPr>
        <w:t>attract and retain quality faculty.</w:t>
      </w:r>
      <w:r>
        <w:rPr>
          <w:spacing w:val="-8"/>
        </w:rPr>
        <w:t> </w:t>
      </w:r>
      <w:r>
        <w:rPr>
          <w:spacing w:val="-6"/>
        </w:rPr>
        <w:t>These deficiencies in </w:t>
      </w:r>
      <w:r>
        <w:rPr/>
        <w:t>engineering</w:t>
      </w:r>
      <w:r>
        <w:rPr>
          <w:spacing w:val="-14"/>
        </w:rPr>
        <w:t> </w:t>
      </w:r>
      <w:r>
        <w:rPr/>
        <w:t>education</w:t>
      </w:r>
      <w:r>
        <w:rPr>
          <w:spacing w:val="-14"/>
        </w:rPr>
        <w:t> </w:t>
      </w:r>
      <w:r>
        <w:rPr/>
        <w:t>need</w:t>
      </w:r>
      <w:r>
        <w:rPr>
          <w:spacing w:val="-14"/>
        </w:rPr>
        <w:t> </w:t>
      </w:r>
      <w:r>
        <w:rPr/>
        <w:t>to</w:t>
      </w:r>
      <w:r>
        <w:rPr>
          <w:spacing w:val="-13"/>
        </w:rPr>
        <w:t> </w:t>
      </w:r>
      <w:r>
        <w:rPr/>
        <w:t>be</w:t>
      </w:r>
      <w:r>
        <w:rPr>
          <w:spacing w:val="-14"/>
        </w:rPr>
        <w:t> </w:t>
      </w:r>
      <w:r>
        <w:rPr/>
        <w:t>tackled</w:t>
      </w:r>
      <w:r>
        <w:rPr>
          <w:spacing w:val="-14"/>
        </w:rPr>
        <w:t> </w:t>
      </w:r>
      <w:r>
        <w:rPr/>
        <w:t>immediately to ensure that India does not miss out on significant </w:t>
      </w:r>
      <w:r>
        <w:rPr>
          <w:spacing w:val="-2"/>
        </w:rPr>
        <w:t>opportunities.</w:t>
      </w:r>
    </w:p>
    <w:p>
      <w:pPr>
        <w:pStyle w:val="Heading6"/>
        <w:spacing w:before="78"/>
        <w:ind w:left="319" w:firstLine="0"/>
        <w:jc w:val="both"/>
      </w:pPr>
      <w:r>
        <w:rPr>
          <w:b w:val="0"/>
        </w:rPr>
        <w:br w:type="column"/>
      </w:r>
      <w:r>
        <w:rPr>
          <w:color w:val="2E614A"/>
          <w:w w:val="90"/>
        </w:rPr>
        <w:t>Current</w:t>
      </w:r>
      <w:r>
        <w:rPr>
          <w:color w:val="2E614A"/>
          <w:spacing w:val="-1"/>
          <w:w w:val="90"/>
        </w:rPr>
        <w:t> </w:t>
      </w:r>
      <w:r>
        <w:rPr>
          <w:color w:val="2E614A"/>
          <w:spacing w:val="-2"/>
        </w:rPr>
        <w:t>Scenario</w:t>
      </w:r>
    </w:p>
    <w:p>
      <w:pPr>
        <w:pStyle w:val="BodyText"/>
        <w:spacing w:line="266" w:lineRule="auto" w:before="286"/>
        <w:ind w:left="319" w:right="1078"/>
        <w:jc w:val="both"/>
      </w:pPr>
      <w:r>
        <w:rPr>
          <w:b/>
          <w:w w:val="90"/>
        </w:rPr>
        <w:t>Enrolment: </w:t>
      </w:r>
      <w:r>
        <w:rPr>
          <w:w w:val="90"/>
        </w:rPr>
        <w:t>Enrolment in engineering education has </w:t>
      </w:r>
      <w:r>
        <w:rPr>
          <w:w w:val="90"/>
        </w:rPr>
        <w:t>seen</w:t>
      </w:r>
      <w:r>
        <w:rPr>
          <w:spacing w:val="40"/>
        </w:rPr>
        <w:t> </w:t>
      </w:r>
      <w:r>
        <w:rPr/>
        <w:t>a</w:t>
      </w:r>
      <w:r>
        <w:rPr>
          <w:spacing w:val="-14"/>
        </w:rPr>
        <w:t> </w:t>
      </w:r>
      <w:r>
        <w:rPr/>
        <w:t>rapid</w:t>
      </w:r>
      <w:r>
        <w:rPr>
          <w:spacing w:val="-14"/>
        </w:rPr>
        <w:t> </w:t>
      </w:r>
      <w:r>
        <w:rPr/>
        <w:t>increase</w:t>
      </w:r>
      <w:r>
        <w:rPr>
          <w:spacing w:val="-14"/>
        </w:rPr>
        <w:t> </w:t>
      </w:r>
      <w:r>
        <w:rPr/>
        <w:t>in</w:t>
      </w:r>
      <w:r>
        <w:rPr>
          <w:spacing w:val="-13"/>
        </w:rPr>
        <w:t> </w:t>
      </w:r>
      <w:r>
        <w:rPr/>
        <w:t>the</w:t>
      </w:r>
      <w:r>
        <w:rPr>
          <w:spacing w:val="-14"/>
        </w:rPr>
        <w:t> </w:t>
      </w:r>
      <w:r>
        <w:rPr/>
        <w:t>last</w:t>
      </w:r>
      <w:r>
        <w:rPr>
          <w:spacing w:val="-14"/>
        </w:rPr>
        <w:t> </w:t>
      </w:r>
      <w:r>
        <w:rPr/>
        <w:t>decade.</w:t>
      </w:r>
      <w:r>
        <w:rPr>
          <w:spacing w:val="-14"/>
        </w:rPr>
        <w:t> </w:t>
      </w:r>
      <w:r>
        <w:rPr/>
        <w:t>The</w:t>
      </w:r>
      <w:r>
        <w:rPr>
          <w:spacing w:val="-13"/>
        </w:rPr>
        <w:t> </w:t>
      </w:r>
      <w:r>
        <w:rPr/>
        <w:t>total</w:t>
      </w:r>
      <w:r>
        <w:rPr>
          <w:spacing w:val="-14"/>
        </w:rPr>
        <w:t> </w:t>
      </w:r>
      <w:r>
        <w:rPr/>
        <w:t>enrolment in</w:t>
      </w:r>
      <w:r>
        <w:rPr>
          <w:spacing w:val="-4"/>
        </w:rPr>
        <w:t> </w:t>
      </w:r>
      <w:r>
        <w:rPr/>
        <w:t>2005-06</w:t>
      </w:r>
      <w:r>
        <w:rPr>
          <w:spacing w:val="-4"/>
        </w:rPr>
        <w:t> </w:t>
      </w:r>
      <w:r>
        <w:rPr/>
        <w:t>stood</w:t>
      </w:r>
      <w:r>
        <w:rPr>
          <w:spacing w:val="-4"/>
        </w:rPr>
        <w:t> </w:t>
      </w:r>
      <w:r>
        <w:rPr/>
        <w:t>at</w:t>
      </w:r>
      <w:r>
        <w:rPr>
          <w:spacing w:val="-4"/>
        </w:rPr>
        <w:t> </w:t>
      </w:r>
      <w:r>
        <w:rPr/>
        <w:t>795120</w:t>
      </w:r>
      <w:r>
        <w:rPr>
          <w:spacing w:val="-4"/>
        </w:rPr>
        <w:t> </w:t>
      </w:r>
      <w:r>
        <w:rPr/>
        <w:t>–</w:t>
      </w:r>
      <w:r>
        <w:rPr>
          <w:spacing w:val="-4"/>
        </w:rPr>
        <w:t> </w:t>
      </w:r>
      <w:r>
        <w:rPr/>
        <w:t>accounting</w:t>
      </w:r>
      <w:r>
        <w:rPr>
          <w:spacing w:val="-4"/>
        </w:rPr>
        <w:t> </w:t>
      </w:r>
      <w:r>
        <w:rPr/>
        <w:t>for</w:t>
      </w:r>
      <w:r>
        <w:rPr>
          <w:spacing w:val="-4"/>
        </w:rPr>
        <w:t> </w:t>
      </w:r>
      <w:r>
        <w:rPr/>
        <w:t>7.21</w:t>
      </w:r>
      <w:r>
        <w:rPr>
          <w:spacing w:val="-4"/>
        </w:rPr>
        <w:t> </w:t>
      </w:r>
      <w:r>
        <w:rPr/>
        <w:t>per cent of the total enrolment in higher education.</w:t>
      </w:r>
    </w:p>
    <w:p>
      <w:pPr>
        <w:pStyle w:val="BodyText"/>
        <w:spacing w:before="23"/>
      </w:pPr>
    </w:p>
    <w:p>
      <w:pPr>
        <w:pStyle w:val="BodyText"/>
        <w:spacing w:line="266" w:lineRule="auto" w:before="1"/>
        <w:ind w:left="319" w:right="1077"/>
        <w:jc w:val="both"/>
      </w:pPr>
      <w:r>
        <w:rPr>
          <w:b/>
        </w:rPr>
        <w:t>Institutions:</w:t>
      </w:r>
      <w:r>
        <w:rPr>
          <w:b/>
          <w:spacing w:val="-8"/>
        </w:rPr>
        <w:t> </w:t>
      </w:r>
      <w:r>
        <w:rPr/>
        <w:t>There</w:t>
      </w:r>
      <w:r>
        <w:rPr>
          <w:spacing w:val="-10"/>
        </w:rPr>
        <w:t> </w:t>
      </w:r>
      <w:r>
        <w:rPr/>
        <w:t>has</w:t>
      </w:r>
      <w:r>
        <w:rPr>
          <w:spacing w:val="-10"/>
        </w:rPr>
        <w:t> </w:t>
      </w:r>
      <w:r>
        <w:rPr/>
        <w:t>been</w:t>
      </w:r>
      <w:r>
        <w:rPr>
          <w:spacing w:val="-10"/>
        </w:rPr>
        <w:t> </w:t>
      </w:r>
      <w:r>
        <w:rPr/>
        <w:t>a</w:t>
      </w:r>
      <w:r>
        <w:rPr>
          <w:spacing w:val="-10"/>
        </w:rPr>
        <w:t> </w:t>
      </w:r>
      <w:r>
        <w:rPr/>
        <w:t>phenomenal</w:t>
      </w:r>
      <w:r>
        <w:rPr>
          <w:spacing w:val="-10"/>
        </w:rPr>
        <w:t> </w:t>
      </w:r>
      <w:r>
        <w:rPr/>
        <w:t>growth</w:t>
      </w:r>
      <w:r>
        <w:rPr>
          <w:spacing w:val="-10"/>
        </w:rPr>
        <w:t> </w:t>
      </w:r>
      <w:r>
        <w:rPr/>
        <w:t>in the</w:t>
      </w:r>
      <w:r>
        <w:rPr>
          <w:spacing w:val="-8"/>
        </w:rPr>
        <w:t> </w:t>
      </w:r>
      <w:r>
        <w:rPr/>
        <w:t>number</w:t>
      </w:r>
      <w:r>
        <w:rPr>
          <w:spacing w:val="-8"/>
        </w:rPr>
        <w:t> </w:t>
      </w:r>
      <w:r>
        <w:rPr/>
        <w:t>of</w:t>
      </w:r>
      <w:r>
        <w:rPr>
          <w:spacing w:val="-8"/>
        </w:rPr>
        <w:t> </w:t>
      </w:r>
      <w:r>
        <w:rPr/>
        <w:t>engineering</w:t>
      </w:r>
      <w:r>
        <w:rPr>
          <w:spacing w:val="-8"/>
        </w:rPr>
        <w:t> </w:t>
      </w:r>
      <w:r>
        <w:rPr/>
        <w:t>institutions</w:t>
      </w:r>
      <w:r>
        <w:rPr>
          <w:spacing w:val="-8"/>
        </w:rPr>
        <w:t> </w:t>
      </w:r>
      <w:r>
        <w:rPr/>
        <w:t>at</w:t>
      </w:r>
      <w:r>
        <w:rPr>
          <w:spacing w:val="-8"/>
        </w:rPr>
        <w:t> </w:t>
      </w:r>
      <w:r>
        <w:rPr/>
        <w:t>the</w:t>
      </w:r>
      <w:r>
        <w:rPr>
          <w:spacing w:val="-8"/>
        </w:rPr>
        <w:t> </w:t>
      </w:r>
      <w:r>
        <w:rPr/>
        <w:t>graduate </w:t>
      </w:r>
      <w:r>
        <w:rPr>
          <w:spacing w:val="-4"/>
        </w:rPr>
        <w:t>level,</w:t>
      </w:r>
      <w:r>
        <w:rPr>
          <w:spacing w:val="-10"/>
        </w:rPr>
        <w:t> </w:t>
      </w:r>
      <w:r>
        <w:rPr>
          <w:spacing w:val="-4"/>
        </w:rPr>
        <w:t>from</w:t>
      </w:r>
      <w:r>
        <w:rPr>
          <w:spacing w:val="-10"/>
        </w:rPr>
        <w:t> </w:t>
      </w:r>
      <w:r>
        <w:rPr>
          <w:spacing w:val="-4"/>
        </w:rPr>
        <w:t>158</w:t>
      </w:r>
      <w:r>
        <w:rPr>
          <w:spacing w:val="-10"/>
        </w:rPr>
        <w:t> </w:t>
      </w:r>
      <w:r>
        <w:rPr>
          <w:spacing w:val="-4"/>
        </w:rPr>
        <w:t>in</w:t>
      </w:r>
      <w:r>
        <w:rPr>
          <w:spacing w:val="-9"/>
        </w:rPr>
        <w:t> </w:t>
      </w:r>
      <w:r>
        <w:rPr>
          <w:spacing w:val="-4"/>
        </w:rPr>
        <w:t>1980-81</w:t>
      </w:r>
      <w:r>
        <w:rPr>
          <w:spacing w:val="-10"/>
        </w:rPr>
        <w:t> </w:t>
      </w:r>
      <w:r>
        <w:rPr>
          <w:spacing w:val="-4"/>
        </w:rPr>
        <w:t>to</w:t>
      </w:r>
      <w:r>
        <w:rPr>
          <w:spacing w:val="-10"/>
        </w:rPr>
        <w:t> </w:t>
      </w:r>
      <w:r>
        <w:rPr>
          <w:spacing w:val="-4"/>
        </w:rPr>
        <w:t>1512</w:t>
      </w:r>
      <w:r>
        <w:rPr>
          <w:spacing w:val="-10"/>
        </w:rPr>
        <w:t> </w:t>
      </w:r>
      <w:r>
        <w:rPr>
          <w:spacing w:val="-4"/>
        </w:rPr>
        <w:t>in</w:t>
      </w:r>
      <w:r>
        <w:rPr>
          <w:spacing w:val="-9"/>
        </w:rPr>
        <w:t> </w:t>
      </w:r>
      <w:r>
        <w:rPr>
          <w:spacing w:val="-4"/>
        </w:rPr>
        <w:t>2006-07.</w:t>
      </w:r>
      <w:r>
        <w:rPr>
          <w:spacing w:val="-10"/>
        </w:rPr>
        <w:t> </w:t>
      </w:r>
      <w:r>
        <w:rPr>
          <w:spacing w:val="-4"/>
        </w:rPr>
        <w:t>A</w:t>
      </w:r>
      <w:r>
        <w:rPr>
          <w:spacing w:val="-10"/>
        </w:rPr>
        <w:t> </w:t>
      </w:r>
      <w:r>
        <w:rPr>
          <w:spacing w:val="-4"/>
        </w:rPr>
        <w:t>major </w:t>
      </w:r>
      <w:r>
        <w:rPr/>
        <w:t>reason</w:t>
      </w:r>
      <w:r>
        <w:rPr>
          <w:spacing w:val="-12"/>
        </w:rPr>
        <w:t> </w:t>
      </w:r>
      <w:r>
        <w:rPr/>
        <w:t>for</w:t>
      </w:r>
      <w:r>
        <w:rPr>
          <w:spacing w:val="-12"/>
        </w:rPr>
        <w:t> </w:t>
      </w:r>
      <w:r>
        <w:rPr/>
        <w:t>this</w:t>
      </w:r>
      <w:r>
        <w:rPr>
          <w:spacing w:val="-12"/>
        </w:rPr>
        <w:t> </w:t>
      </w:r>
      <w:r>
        <w:rPr/>
        <w:t>explosive</w:t>
      </w:r>
      <w:r>
        <w:rPr>
          <w:spacing w:val="-12"/>
        </w:rPr>
        <w:t> </w:t>
      </w:r>
      <w:r>
        <w:rPr/>
        <w:t>growth</w:t>
      </w:r>
      <w:r>
        <w:rPr>
          <w:spacing w:val="-12"/>
        </w:rPr>
        <w:t> </w:t>
      </w:r>
      <w:r>
        <w:rPr/>
        <w:t>in</w:t>
      </w:r>
      <w:r>
        <w:rPr>
          <w:spacing w:val="-12"/>
        </w:rPr>
        <w:t> </w:t>
      </w:r>
      <w:r>
        <w:rPr/>
        <w:t>the</w:t>
      </w:r>
      <w:r>
        <w:rPr>
          <w:spacing w:val="-12"/>
        </w:rPr>
        <w:t> </w:t>
      </w:r>
      <w:r>
        <w:rPr/>
        <w:t>last</w:t>
      </w:r>
      <w:r>
        <w:rPr>
          <w:spacing w:val="-12"/>
        </w:rPr>
        <w:t> </w:t>
      </w:r>
      <w:r>
        <w:rPr/>
        <w:t>decade</w:t>
      </w:r>
      <w:r>
        <w:rPr>
          <w:spacing w:val="-12"/>
        </w:rPr>
        <w:t> </w:t>
      </w:r>
      <w:r>
        <w:rPr/>
        <w:t>has </w:t>
      </w:r>
      <w:r>
        <w:rPr>
          <w:spacing w:val="-6"/>
        </w:rPr>
        <w:t>been the entry of private (aided as well as self financing) </w:t>
      </w:r>
      <w:r>
        <w:rPr/>
        <w:t>institutions. With the growth in demand, the average sanctioned intake per institution has also increased with time.</w:t>
      </w:r>
    </w:p>
    <w:p>
      <w:pPr>
        <w:pStyle w:val="BodyText"/>
        <w:spacing w:before="20"/>
      </w:pPr>
    </w:p>
    <w:p>
      <w:pPr>
        <w:pStyle w:val="BodyText"/>
        <w:spacing w:line="266" w:lineRule="auto"/>
        <w:ind w:left="319" w:right="1077"/>
        <w:jc w:val="both"/>
      </w:pPr>
      <w:r>
        <w:rPr>
          <w:spacing w:val="-8"/>
        </w:rPr>
        <w:t>The</w:t>
      </w:r>
      <w:r>
        <w:rPr>
          <w:spacing w:val="-4"/>
        </w:rPr>
        <w:t> </w:t>
      </w:r>
      <w:r>
        <w:rPr>
          <w:spacing w:val="-8"/>
        </w:rPr>
        <w:t>investment</w:t>
      </w:r>
      <w:r>
        <w:rPr>
          <w:spacing w:val="-4"/>
        </w:rPr>
        <w:t> </w:t>
      </w:r>
      <w:r>
        <w:rPr>
          <w:spacing w:val="-8"/>
        </w:rPr>
        <w:t>from</w:t>
      </w:r>
      <w:r>
        <w:rPr>
          <w:spacing w:val="-4"/>
        </w:rPr>
        <w:t> </w:t>
      </w:r>
      <w:r>
        <w:rPr>
          <w:spacing w:val="-8"/>
        </w:rPr>
        <w:t>private</w:t>
      </w:r>
      <w:r>
        <w:rPr>
          <w:spacing w:val="-4"/>
        </w:rPr>
        <w:t> </w:t>
      </w:r>
      <w:r>
        <w:rPr>
          <w:spacing w:val="-8"/>
        </w:rPr>
        <w:t>sector</w:t>
      </w:r>
      <w:r>
        <w:rPr>
          <w:spacing w:val="-4"/>
        </w:rPr>
        <w:t> </w:t>
      </w:r>
      <w:r>
        <w:rPr>
          <w:spacing w:val="-8"/>
        </w:rPr>
        <w:t>has</w:t>
      </w:r>
      <w:r>
        <w:rPr>
          <w:spacing w:val="-4"/>
        </w:rPr>
        <w:t> </w:t>
      </w:r>
      <w:r>
        <w:rPr>
          <w:spacing w:val="-8"/>
        </w:rPr>
        <w:t>had</w:t>
      </w:r>
      <w:r>
        <w:rPr>
          <w:spacing w:val="-4"/>
        </w:rPr>
        <w:t> </w:t>
      </w:r>
      <w:r>
        <w:rPr>
          <w:spacing w:val="-8"/>
        </w:rPr>
        <w:t>a</w:t>
      </w:r>
      <w:r>
        <w:rPr>
          <w:spacing w:val="-4"/>
        </w:rPr>
        <w:t> </w:t>
      </w:r>
      <w:r>
        <w:rPr>
          <w:spacing w:val="-8"/>
        </w:rPr>
        <w:t>large</w:t>
      </w:r>
      <w:r>
        <w:rPr>
          <w:spacing w:val="-4"/>
        </w:rPr>
        <w:t> </w:t>
      </w:r>
      <w:r>
        <w:rPr>
          <w:spacing w:val="-8"/>
        </w:rPr>
        <w:t>role</w:t>
      </w:r>
      <w:r>
        <w:rPr>
          <w:spacing w:val="-4"/>
        </w:rPr>
        <w:t> </w:t>
      </w:r>
      <w:r>
        <w:rPr>
          <w:spacing w:val="-8"/>
        </w:rPr>
        <w:t>to </w:t>
      </w:r>
      <w:r>
        <w:rPr>
          <w:spacing w:val="-2"/>
        </w:rPr>
        <w:t>play</w:t>
      </w:r>
      <w:r>
        <w:rPr>
          <w:spacing w:val="-11"/>
        </w:rPr>
        <w:t> </w:t>
      </w:r>
      <w:r>
        <w:rPr>
          <w:spacing w:val="-2"/>
        </w:rPr>
        <w:t>in</w:t>
      </w:r>
      <w:r>
        <w:rPr>
          <w:spacing w:val="-11"/>
        </w:rPr>
        <w:t> </w:t>
      </w:r>
      <w:r>
        <w:rPr>
          <w:spacing w:val="-2"/>
        </w:rPr>
        <w:t>the</w:t>
      </w:r>
      <w:r>
        <w:rPr>
          <w:spacing w:val="-11"/>
        </w:rPr>
        <w:t> </w:t>
      </w:r>
      <w:r>
        <w:rPr>
          <w:spacing w:val="-2"/>
        </w:rPr>
        <w:t>growth</w:t>
      </w:r>
      <w:r>
        <w:rPr>
          <w:spacing w:val="-11"/>
        </w:rPr>
        <w:t> </w:t>
      </w:r>
      <w:r>
        <w:rPr>
          <w:spacing w:val="-2"/>
        </w:rPr>
        <w:t>of</w:t>
      </w:r>
      <w:r>
        <w:rPr>
          <w:spacing w:val="-11"/>
        </w:rPr>
        <w:t> </w:t>
      </w:r>
      <w:r>
        <w:rPr>
          <w:spacing w:val="-2"/>
        </w:rPr>
        <w:t>institutions.</w:t>
      </w:r>
      <w:r>
        <w:rPr>
          <w:spacing w:val="-11"/>
        </w:rPr>
        <w:t> </w:t>
      </w:r>
      <w:r>
        <w:rPr>
          <w:spacing w:val="-2"/>
        </w:rPr>
        <w:t>However,</w:t>
      </w:r>
      <w:r>
        <w:rPr>
          <w:spacing w:val="-11"/>
        </w:rPr>
        <w:t> </w:t>
      </w:r>
      <w:r>
        <w:rPr>
          <w:spacing w:val="-2"/>
        </w:rPr>
        <w:t>the</w:t>
      </w:r>
      <w:r>
        <w:rPr>
          <w:spacing w:val="-11"/>
        </w:rPr>
        <w:t> </w:t>
      </w:r>
      <w:r>
        <w:rPr>
          <w:spacing w:val="-2"/>
        </w:rPr>
        <w:t>quality </w:t>
      </w:r>
      <w:r>
        <w:rPr/>
        <w:t>of these many of these private institutions is suspect. This</w:t>
      </w:r>
      <w:r>
        <w:rPr>
          <w:spacing w:val="-9"/>
        </w:rPr>
        <w:t> </w:t>
      </w:r>
      <w:r>
        <w:rPr/>
        <w:t>has</w:t>
      </w:r>
      <w:r>
        <w:rPr>
          <w:spacing w:val="-9"/>
        </w:rPr>
        <w:t> </w:t>
      </w:r>
      <w:r>
        <w:rPr/>
        <w:t>also</w:t>
      </w:r>
      <w:r>
        <w:rPr>
          <w:spacing w:val="-9"/>
        </w:rPr>
        <w:t> </w:t>
      </w:r>
      <w:r>
        <w:rPr/>
        <w:t>been</w:t>
      </w:r>
      <w:r>
        <w:rPr>
          <w:spacing w:val="-9"/>
        </w:rPr>
        <w:t> </w:t>
      </w:r>
      <w:r>
        <w:rPr/>
        <w:t>a</w:t>
      </w:r>
      <w:r>
        <w:rPr>
          <w:spacing w:val="-9"/>
        </w:rPr>
        <w:t> </w:t>
      </w:r>
      <w:r>
        <w:rPr/>
        <w:t>major</w:t>
      </w:r>
      <w:r>
        <w:rPr>
          <w:spacing w:val="-9"/>
        </w:rPr>
        <w:t> </w:t>
      </w:r>
      <w:r>
        <w:rPr/>
        <w:t>reason</w:t>
      </w:r>
      <w:r>
        <w:rPr>
          <w:spacing w:val="-9"/>
        </w:rPr>
        <w:t> </w:t>
      </w:r>
      <w:r>
        <w:rPr/>
        <w:t>for</w:t>
      </w:r>
      <w:r>
        <w:rPr>
          <w:spacing w:val="-9"/>
        </w:rPr>
        <w:t> </w:t>
      </w:r>
      <w:r>
        <w:rPr/>
        <w:t>the</w:t>
      </w:r>
      <w:r>
        <w:rPr>
          <w:spacing w:val="-9"/>
        </w:rPr>
        <w:t> </w:t>
      </w:r>
      <w:r>
        <w:rPr/>
        <w:t>creation</w:t>
      </w:r>
      <w:r>
        <w:rPr>
          <w:spacing w:val="-9"/>
        </w:rPr>
        <w:t> </w:t>
      </w:r>
      <w:r>
        <w:rPr/>
        <w:t>of</w:t>
      </w:r>
      <w:r>
        <w:rPr>
          <w:spacing w:val="-9"/>
        </w:rPr>
        <w:t> </w:t>
      </w:r>
      <w:r>
        <w:rPr/>
        <w:t>a regional imbalance in the country.</w:t>
      </w:r>
    </w:p>
    <w:p>
      <w:pPr>
        <w:pStyle w:val="BodyText"/>
        <w:spacing w:before="23"/>
      </w:pPr>
    </w:p>
    <w:p>
      <w:pPr>
        <w:spacing w:line="266" w:lineRule="auto" w:before="0"/>
        <w:ind w:left="319" w:right="1077" w:firstLine="0"/>
        <w:jc w:val="both"/>
        <w:rPr>
          <w:sz w:val="22"/>
        </w:rPr>
      </w:pPr>
      <w:r>
        <w:rPr>
          <w:b/>
          <w:sz w:val="22"/>
        </w:rPr>
        <w:t>Regional imbalance: </w:t>
      </w:r>
      <w:r>
        <w:rPr>
          <w:sz w:val="22"/>
        </w:rPr>
        <w:t>Although the number </w:t>
      </w:r>
      <w:r>
        <w:rPr>
          <w:sz w:val="22"/>
        </w:rPr>
        <w:t>of engineering</w:t>
      </w:r>
      <w:r>
        <w:rPr>
          <w:spacing w:val="4"/>
          <w:sz w:val="22"/>
        </w:rPr>
        <w:t> </w:t>
      </w:r>
      <w:r>
        <w:rPr>
          <w:sz w:val="22"/>
        </w:rPr>
        <w:t>institutions</w:t>
      </w:r>
      <w:r>
        <w:rPr>
          <w:spacing w:val="4"/>
          <w:sz w:val="22"/>
        </w:rPr>
        <w:t> </w:t>
      </w:r>
      <w:r>
        <w:rPr>
          <w:sz w:val="22"/>
        </w:rPr>
        <w:t>is</w:t>
      </w:r>
      <w:r>
        <w:rPr>
          <w:spacing w:val="5"/>
          <w:sz w:val="22"/>
        </w:rPr>
        <w:t> </w:t>
      </w:r>
      <w:r>
        <w:rPr>
          <w:sz w:val="22"/>
        </w:rPr>
        <w:t>more</w:t>
      </w:r>
      <w:r>
        <w:rPr>
          <w:spacing w:val="4"/>
          <w:sz w:val="22"/>
        </w:rPr>
        <w:t> </w:t>
      </w:r>
      <w:r>
        <w:rPr>
          <w:sz w:val="22"/>
        </w:rPr>
        <w:t>than</w:t>
      </w:r>
      <w:r>
        <w:rPr>
          <w:spacing w:val="5"/>
          <w:sz w:val="22"/>
        </w:rPr>
        <w:t> </w:t>
      </w:r>
      <w:r>
        <w:rPr>
          <w:sz w:val="22"/>
        </w:rPr>
        <w:t>1500</w:t>
      </w:r>
      <w:r>
        <w:rPr>
          <w:spacing w:val="4"/>
          <w:sz w:val="22"/>
        </w:rPr>
        <w:t> </w:t>
      </w:r>
      <w:r>
        <w:rPr>
          <w:sz w:val="22"/>
        </w:rPr>
        <w:t>at</w:t>
      </w:r>
      <w:r>
        <w:rPr>
          <w:spacing w:val="5"/>
          <w:sz w:val="22"/>
        </w:rPr>
        <w:t> </w:t>
      </w:r>
      <w:r>
        <w:rPr>
          <w:spacing w:val="-2"/>
          <w:sz w:val="22"/>
        </w:rPr>
        <w:t>present,</w:t>
      </w:r>
    </w:p>
    <w:p>
      <w:pPr>
        <w:spacing w:after="0" w:line="266" w:lineRule="auto"/>
        <w:jc w:val="both"/>
        <w:rPr>
          <w:sz w:val="22"/>
        </w:rPr>
        <w:sectPr>
          <w:type w:val="continuous"/>
          <w:pgSz w:w="11910" w:h="16840"/>
          <w:pgMar w:header="0" w:footer="675" w:top="1920" w:bottom="280" w:left="0" w:right="0"/>
          <w:cols w:num="2" w:equalWidth="0">
            <w:col w:w="5774" w:space="40"/>
            <w:col w:w="6096"/>
          </w:cols>
        </w:sectPr>
      </w:pPr>
    </w:p>
    <w:p>
      <w:pPr>
        <w:pStyle w:val="BodyText"/>
        <w:spacing w:before="246"/>
        <w:rPr>
          <w:sz w:val="24"/>
        </w:rPr>
      </w:pPr>
    </w:p>
    <w:p>
      <w:pPr>
        <w:pStyle w:val="Heading8"/>
        <w:spacing w:before="1"/>
        <w:ind w:left="1967"/>
      </w:pPr>
      <w:r>
        <w:rPr/>
        <mc:AlternateContent>
          <mc:Choice Requires="wps">
            <w:drawing>
              <wp:anchor distT="0" distB="0" distL="0" distR="0" allowOverlap="1" layoutInCell="1" locked="0" behindDoc="1" simplePos="0" relativeHeight="479433216">
                <wp:simplePos x="0" y="0"/>
                <wp:positionH relativeFrom="page">
                  <wp:posOffset>1249050</wp:posOffset>
                </wp:positionH>
                <wp:positionV relativeFrom="paragraph">
                  <wp:posOffset>234779</wp:posOffset>
                </wp:positionV>
                <wp:extent cx="5045710" cy="2501900"/>
                <wp:effectExtent l="0" t="0" r="0" b="0"/>
                <wp:wrapNone/>
                <wp:docPr id="1812" name="Group 1812"/>
                <wp:cNvGraphicFramePr>
                  <a:graphicFrameLocks/>
                </wp:cNvGraphicFramePr>
                <a:graphic>
                  <a:graphicData uri="http://schemas.microsoft.com/office/word/2010/wordprocessingGroup">
                    <wpg:wgp>
                      <wpg:cNvPr id="1812" name="Group 1812"/>
                      <wpg:cNvGrpSpPr/>
                      <wpg:grpSpPr>
                        <a:xfrm>
                          <a:off x="0" y="0"/>
                          <a:ext cx="5045710" cy="2501900"/>
                          <a:chExt cx="5045710" cy="2501900"/>
                        </a:xfrm>
                      </wpg:grpSpPr>
                      <wps:wsp>
                        <wps:cNvPr id="1813" name="Graphic 1813"/>
                        <wps:cNvSpPr/>
                        <wps:spPr>
                          <a:xfrm>
                            <a:off x="-5" y="0"/>
                            <a:ext cx="5045710" cy="2501900"/>
                          </a:xfrm>
                          <a:custGeom>
                            <a:avLst/>
                            <a:gdLst/>
                            <a:ahLst/>
                            <a:cxnLst/>
                            <a:rect l="l" t="t" r="r" b="b"/>
                            <a:pathLst>
                              <a:path w="5045710" h="2501900">
                                <a:moveTo>
                                  <a:pt x="5045392" y="0"/>
                                </a:moveTo>
                                <a:lnTo>
                                  <a:pt x="5039055" y="0"/>
                                </a:lnTo>
                                <a:lnTo>
                                  <a:pt x="5039055" y="2540"/>
                                </a:lnTo>
                                <a:lnTo>
                                  <a:pt x="5039055" y="3098"/>
                                </a:lnTo>
                                <a:lnTo>
                                  <a:pt x="5039055" y="6273"/>
                                </a:lnTo>
                                <a:lnTo>
                                  <a:pt x="5039055" y="2495473"/>
                                </a:lnTo>
                                <a:lnTo>
                                  <a:pt x="6350" y="2495473"/>
                                </a:lnTo>
                                <a:lnTo>
                                  <a:pt x="6350" y="6350"/>
                                </a:lnTo>
                                <a:lnTo>
                                  <a:pt x="3175" y="6350"/>
                                </a:lnTo>
                                <a:lnTo>
                                  <a:pt x="6350" y="6273"/>
                                </a:lnTo>
                                <a:lnTo>
                                  <a:pt x="5039055" y="6273"/>
                                </a:lnTo>
                                <a:lnTo>
                                  <a:pt x="5039055" y="3098"/>
                                </a:lnTo>
                                <a:lnTo>
                                  <a:pt x="6350" y="3098"/>
                                </a:lnTo>
                                <a:lnTo>
                                  <a:pt x="3175" y="3098"/>
                                </a:lnTo>
                                <a:lnTo>
                                  <a:pt x="3175" y="2540"/>
                                </a:lnTo>
                                <a:lnTo>
                                  <a:pt x="5039055" y="2540"/>
                                </a:lnTo>
                                <a:lnTo>
                                  <a:pt x="5039055" y="0"/>
                                </a:lnTo>
                                <a:lnTo>
                                  <a:pt x="0" y="0"/>
                                </a:lnTo>
                                <a:lnTo>
                                  <a:pt x="0" y="2540"/>
                                </a:lnTo>
                                <a:lnTo>
                                  <a:pt x="0" y="6350"/>
                                </a:lnTo>
                                <a:lnTo>
                                  <a:pt x="0" y="2495550"/>
                                </a:lnTo>
                                <a:lnTo>
                                  <a:pt x="0" y="2498090"/>
                                </a:lnTo>
                                <a:lnTo>
                                  <a:pt x="0" y="2501900"/>
                                </a:lnTo>
                                <a:lnTo>
                                  <a:pt x="5045392" y="2501900"/>
                                </a:lnTo>
                                <a:lnTo>
                                  <a:pt x="5045392" y="6350"/>
                                </a:lnTo>
                                <a:lnTo>
                                  <a:pt x="5042230" y="6350"/>
                                </a:lnTo>
                                <a:lnTo>
                                  <a:pt x="5045392" y="6273"/>
                                </a:lnTo>
                                <a:lnTo>
                                  <a:pt x="5045392" y="3098"/>
                                </a:lnTo>
                                <a:lnTo>
                                  <a:pt x="5042230" y="3098"/>
                                </a:lnTo>
                                <a:lnTo>
                                  <a:pt x="5042230" y="2540"/>
                                </a:lnTo>
                                <a:lnTo>
                                  <a:pt x="5045392" y="2540"/>
                                </a:lnTo>
                                <a:lnTo>
                                  <a:pt x="5045392" y="0"/>
                                </a:lnTo>
                                <a:close/>
                              </a:path>
                            </a:pathLst>
                          </a:custGeom>
                          <a:solidFill>
                            <a:srgbClr val="000000"/>
                          </a:solidFill>
                        </wps:spPr>
                        <wps:bodyPr wrap="square" lIns="0" tIns="0" rIns="0" bIns="0" rtlCol="0">
                          <a:prstTxWarp prst="textNoShape">
                            <a:avLst/>
                          </a:prstTxWarp>
                          <a:noAutofit/>
                        </wps:bodyPr>
                      </wps:wsp>
                      <wps:wsp>
                        <wps:cNvPr id="1814" name="Graphic 1814"/>
                        <wps:cNvSpPr/>
                        <wps:spPr>
                          <a:xfrm>
                            <a:off x="1638453" y="149704"/>
                            <a:ext cx="224154" cy="58419"/>
                          </a:xfrm>
                          <a:custGeom>
                            <a:avLst/>
                            <a:gdLst/>
                            <a:ahLst/>
                            <a:cxnLst/>
                            <a:rect l="l" t="t" r="r" b="b"/>
                            <a:pathLst>
                              <a:path w="224154" h="58419">
                                <a:moveTo>
                                  <a:pt x="223807" y="0"/>
                                </a:moveTo>
                                <a:lnTo>
                                  <a:pt x="0" y="0"/>
                                </a:lnTo>
                                <a:lnTo>
                                  <a:pt x="0" y="57812"/>
                                </a:lnTo>
                                <a:lnTo>
                                  <a:pt x="223807" y="57812"/>
                                </a:lnTo>
                                <a:lnTo>
                                  <a:pt x="223807" y="0"/>
                                </a:lnTo>
                                <a:close/>
                              </a:path>
                            </a:pathLst>
                          </a:custGeom>
                          <a:solidFill>
                            <a:srgbClr val="2F7D41"/>
                          </a:solidFill>
                        </wps:spPr>
                        <wps:bodyPr wrap="square" lIns="0" tIns="0" rIns="0" bIns="0" rtlCol="0">
                          <a:prstTxWarp prst="textNoShape">
                            <a:avLst/>
                          </a:prstTxWarp>
                          <a:noAutofit/>
                        </wps:bodyPr>
                      </wps:wsp>
                      <wps:wsp>
                        <wps:cNvPr id="1815" name="Graphic 1815"/>
                        <wps:cNvSpPr/>
                        <wps:spPr>
                          <a:xfrm>
                            <a:off x="3801943" y="149707"/>
                            <a:ext cx="248920" cy="66675"/>
                          </a:xfrm>
                          <a:custGeom>
                            <a:avLst/>
                            <a:gdLst/>
                            <a:ahLst/>
                            <a:cxnLst/>
                            <a:rect l="l" t="t" r="r" b="b"/>
                            <a:pathLst>
                              <a:path w="248920" h="66675">
                                <a:moveTo>
                                  <a:pt x="248615" y="24777"/>
                                </a:moveTo>
                                <a:lnTo>
                                  <a:pt x="149174" y="24777"/>
                                </a:lnTo>
                                <a:lnTo>
                                  <a:pt x="124307" y="0"/>
                                </a:lnTo>
                                <a:lnTo>
                                  <a:pt x="99428" y="24777"/>
                                </a:lnTo>
                                <a:lnTo>
                                  <a:pt x="0" y="24777"/>
                                </a:lnTo>
                                <a:lnTo>
                                  <a:pt x="0" y="41300"/>
                                </a:lnTo>
                                <a:lnTo>
                                  <a:pt x="99441" y="41300"/>
                                </a:lnTo>
                                <a:lnTo>
                                  <a:pt x="124307" y="66078"/>
                                </a:lnTo>
                                <a:lnTo>
                                  <a:pt x="149161" y="41300"/>
                                </a:lnTo>
                                <a:lnTo>
                                  <a:pt x="248615" y="41300"/>
                                </a:lnTo>
                                <a:lnTo>
                                  <a:pt x="248615" y="24777"/>
                                </a:lnTo>
                                <a:close/>
                              </a:path>
                            </a:pathLst>
                          </a:custGeom>
                          <a:solidFill>
                            <a:srgbClr val="E3C626"/>
                          </a:solidFill>
                        </wps:spPr>
                        <wps:bodyPr wrap="square" lIns="0" tIns="0" rIns="0" bIns="0" rtlCol="0">
                          <a:prstTxWarp prst="textNoShape">
                            <a:avLst/>
                          </a:prstTxWarp>
                          <a:noAutofit/>
                        </wps:bodyPr>
                      </wps:wsp>
                      <wps:wsp>
                        <wps:cNvPr id="1816" name="Textbox 1816"/>
                        <wps:cNvSpPr txBox="1"/>
                        <wps:spPr>
                          <a:xfrm>
                            <a:off x="726987" y="2286517"/>
                            <a:ext cx="3627120" cy="102235"/>
                          </a:xfrm>
                          <a:prstGeom prst="rect">
                            <a:avLst/>
                          </a:prstGeom>
                        </wps:spPr>
                        <wps:txbx>
                          <w:txbxContent>
                            <w:p>
                              <w:pPr>
                                <w:tabs>
                                  <w:tab w:pos="1049" w:val="left" w:leader="none"/>
                                  <w:tab w:pos="2087" w:val="left" w:leader="none"/>
                                  <w:tab w:pos="3099" w:val="left" w:leader="none"/>
                                  <w:tab w:pos="4096" w:val="left" w:leader="none"/>
                                  <w:tab w:pos="5691" w:val="right" w:leader="none"/>
                                </w:tabs>
                                <w:spacing w:line="161" w:lineRule="exact" w:before="0"/>
                                <w:ind w:left="0" w:right="0" w:firstLine="0"/>
                                <w:jc w:val="left"/>
                                <w:rPr>
                                  <w:rFonts w:ascii="Arial MT"/>
                                  <w:sz w:val="14"/>
                                </w:rPr>
                              </w:pPr>
                              <w:r>
                                <w:rPr>
                                  <w:rFonts w:ascii="Arial MT"/>
                                  <w:w w:val="80"/>
                                  <w:sz w:val="14"/>
                                </w:rPr>
                                <w:t>1995-</w:t>
                              </w:r>
                              <w:r>
                                <w:rPr>
                                  <w:rFonts w:ascii="Arial MT"/>
                                  <w:spacing w:val="-5"/>
                                  <w:w w:val="90"/>
                                  <w:sz w:val="14"/>
                                </w:rPr>
                                <w:t>96</w:t>
                              </w:r>
                              <w:r>
                                <w:rPr>
                                  <w:rFonts w:ascii="Arial MT"/>
                                  <w:sz w:val="14"/>
                                </w:rPr>
                                <w:tab/>
                              </w:r>
                              <w:r>
                                <w:rPr>
                                  <w:rFonts w:ascii="Arial MT"/>
                                  <w:w w:val="80"/>
                                  <w:sz w:val="14"/>
                                </w:rPr>
                                <w:t>1996-</w:t>
                              </w:r>
                              <w:r>
                                <w:rPr>
                                  <w:rFonts w:ascii="Arial MT"/>
                                  <w:spacing w:val="-5"/>
                                  <w:w w:val="90"/>
                                  <w:sz w:val="14"/>
                                </w:rPr>
                                <w:t>97</w:t>
                              </w:r>
                              <w:r>
                                <w:rPr>
                                  <w:rFonts w:ascii="Arial MT"/>
                                  <w:sz w:val="14"/>
                                </w:rPr>
                                <w:tab/>
                              </w:r>
                              <w:r>
                                <w:rPr>
                                  <w:rFonts w:ascii="Arial MT"/>
                                  <w:w w:val="80"/>
                                  <w:sz w:val="14"/>
                                </w:rPr>
                                <w:t>1997-</w:t>
                              </w:r>
                              <w:r>
                                <w:rPr>
                                  <w:rFonts w:ascii="Arial MT"/>
                                  <w:spacing w:val="-5"/>
                                  <w:w w:val="90"/>
                                  <w:sz w:val="14"/>
                                </w:rPr>
                                <w:t>98</w:t>
                              </w:r>
                              <w:r>
                                <w:rPr>
                                  <w:rFonts w:ascii="Arial MT"/>
                                  <w:sz w:val="14"/>
                                </w:rPr>
                                <w:tab/>
                              </w:r>
                              <w:r>
                                <w:rPr>
                                  <w:rFonts w:ascii="Arial MT"/>
                                  <w:w w:val="80"/>
                                  <w:sz w:val="14"/>
                                </w:rPr>
                                <w:t>1998-</w:t>
                              </w:r>
                              <w:r>
                                <w:rPr>
                                  <w:rFonts w:ascii="Arial MT"/>
                                  <w:spacing w:val="-5"/>
                                  <w:w w:val="90"/>
                                  <w:sz w:val="14"/>
                                </w:rPr>
                                <w:t>99</w:t>
                              </w:r>
                              <w:r>
                                <w:rPr>
                                  <w:rFonts w:ascii="Arial MT"/>
                                  <w:sz w:val="14"/>
                                </w:rPr>
                                <w:tab/>
                              </w:r>
                              <w:r>
                                <w:rPr>
                                  <w:rFonts w:ascii="Arial MT"/>
                                  <w:w w:val="80"/>
                                  <w:sz w:val="14"/>
                                </w:rPr>
                                <w:t>1999-</w:t>
                              </w:r>
                              <w:r>
                                <w:rPr>
                                  <w:rFonts w:ascii="Arial MT"/>
                                  <w:spacing w:val="-4"/>
                                  <w:w w:val="90"/>
                                  <w:sz w:val="14"/>
                                </w:rPr>
                                <w:t>2000</w:t>
                              </w:r>
                              <w:r>
                                <w:rPr>
                                  <w:sz w:val="14"/>
                                </w:rPr>
                                <w:tab/>
                              </w:r>
                              <w:r>
                                <w:rPr>
                                  <w:rFonts w:ascii="Arial MT"/>
                                  <w:spacing w:val="-2"/>
                                  <w:w w:val="90"/>
                                  <w:sz w:val="14"/>
                                </w:rPr>
                                <w:t>2000-</w:t>
                              </w:r>
                              <w:r>
                                <w:rPr>
                                  <w:rFonts w:ascii="Arial MT"/>
                                  <w:w w:val="80"/>
                                  <w:sz w:val="14"/>
                                </w:rPr>
                                <w:t>01</w:t>
                              </w:r>
                            </w:p>
                          </w:txbxContent>
                        </wps:txbx>
                        <wps:bodyPr wrap="square" lIns="0" tIns="0" rIns="0" bIns="0" rtlCol="0">
                          <a:noAutofit/>
                        </wps:bodyPr>
                      </wps:wsp>
                      <wps:wsp>
                        <wps:cNvPr id="1817" name="Textbox 1817"/>
                        <wps:cNvSpPr txBox="1"/>
                        <wps:spPr>
                          <a:xfrm>
                            <a:off x="4634249" y="2207667"/>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818" name="Textbox 1818"/>
                        <wps:cNvSpPr txBox="1"/>
                        <wps:spPr>
                          <a:xfrm>
                            <a:off x="279655" y="218966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5.4</w:t>
                              </w:r>
                            </w:p>
                          </w:txbxContent>
                        </wps:txbx>
                        <wps:bodyPr wrap="square" lIns="0" tIns="0" rIns="0" bIns="0" rtlCol="0">
                          <a:noAutofit/>
                        </wps:bodyPr>
                      </wps:wsp>
                      <wps:wsp>
                        <wps:cNvPr id="1819" name="Textbox 1819"/>
                        <wps:cNvSpPr txBox="1"/>
                        <wps:spPr>
                          <a:xfrm>
                            <a:off x="279655" y="1966367"/>
                            <a:ext cx="4610735" cy="116205"/>
                          </a:xfrm>
                          <a:prstGeom prst="rect">
                            <a:avLst/>
                          </a:prstGeom>
                        </wps:spPr>
                        <wps:txbx>
                          <w:txbxContent>
                            <w:p>
                              <w:pPr>
                                <w:tabs>
                                  <w:tab w:pos="6857" w:val="left" w:leader="none"/>
                                </w:tabs>
                                <w:spacing w:line="181" w:lineRule="exact" w:before="0"/>
                                <w:ind w:left="0" w:right="0" w:firstLine="0"/>
                                <w:jc w:val="left"/>
                                <w:rPr>
                                  <w:rFonts w:ascii="Arial MT"/>
                                  <w:sz w:val="14"/>
                                </w:rPr>
                              </w:pPr>
                              <w:r>
                                <w:rPr>
                                  <w:rFonts w:ascii="Arial MT"/>
                                  <w:spacing w:val="-5"/>
                                  <w:w w:val="90"/>
                                  <w:position w:val="-1"/>
                                  <w:sz w:val="14"/>
                                </w:rPr>
                                <w:t>5.6</w:t>
                              </w:r>
                              <w:r>
                                <w:rPr>
                                  <w:rFonts w:ascii="Arial MT"/>
                                  <w:position w:val="-1"/>
                                  <w:sz w:val="14"/>
                                </w:rPr>
                                <w:tab/>
                              </w:r>
                              <w:r>
                                <w:rPr>
                                  <w:rFonts w:ascii="Arial MT"/>
                                  <w:spacing w:val="-2"/>
                                  <w:w w:val="85"/>
                                  <w:sz w:val="14"/>
                                </w:rPr>
                                <w:t>100000</w:t>
                              </w:r>
                            </w:p>
                          </w:txbxContent>
                        </wps:txbx>
                        <wps:bodyPr wrap="square" lIns="0" tIns="0" rIns="0" bIns="0" rtlCol="0">
                          <a:noAutofit/>
                        </wps:bodyPr>
                      </wps:wsp>
                      <wps:wsp>
                        <wps:cNvPr id="1820" name="Textbox 1820"/>
                        <wps:cNvSpPr txBox="1"/>
                        <wps:spPr>
                          <a:xfrm>
                            <a:off x="4634249" y="172506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200000</w:t>
                              </w:r>
                            </w:p>
                          </w:txbxContent>
                        </wps:txbx>
                        <wps:bodyPr wrap="square" lIns="0" tIns="0" rIns="0" bIns="0" rtlCol="0">
                          <a:noAutofit/>
                        </wps:bodyPr>
                      </wps:wsp>
                      <wps:wsp>
                        <wps:cNvPr id="1821" name="Textbox 1821"/>
                        <wps:cNvSpPr txBox="1"/>
                        <wps:spPr>
                          <a:xfrm>
                            <a:off x="279655" y="1561017"/>
                            <a:ext cx="114300" cy="311785"/>
                          </a:xfrm>
                          <a:prstGeom prst="rect">
                            <a:avLst/>
                          </a:prstGeom>
                        </wps:spPr>
                        <wps:txbx>
                          <w:txbxContent>
                            <w:p>
                              <w:pPr>
                                <w:spacing w:line="161" w:lineRule="exact" w:before="0"/>
                                <w:ind w:left="95" w:right="0" w:firstLine="0"/>
                                <w:jc w:val="left"/>
                                <w:rPr>
                                  <w:rFonts w:ascii="Arial MT"/>
                                  <w:sz w:val="14"/>
                                </w:rPr>
                              </w:pPr>
                              <w:r>
                                <w:rPr>
                                  <w:rFonts w:ascii="Arial MT"/>
                                  <w:spacing w:val="-10"/>
                                  <w:w w:val="90"/>
                                  <w:sz w:val="14"/>
                                </w:rPr>
                                <w:t>6</w:t>
                              </w:r>
                            </w:p>
                            <w:p>
                              <w:pPr>
                                <w:spacing w:line="240" w:lineRule="auto" w:before="8"/>
                                <w:rPr>
                                  <w:rFonts w:ascii="Arial MT"/>
                                  <w:sz w:val="14"/>
                                </w:rPr>
                              </w:pPr>
                            </w:p>
                            <w:p>
                              <w:pPr>
                                <w:spacing w:before="0"/>
                                <w:ind w:left="0" w:right="0" w:firstLine="0"/>
                                <w:jc w:val="left"/>
                                <w:rPr>
                                  <w:rFonts w:ascii="Arial MT"/>
                                  <w:sz w:val="14"/>
                                </w:rPr>
                              </w:pPr>
                              <w:r>
                                <w:rPr>
                                  <w:rFonts w:ascii="Arial MT"/>
                                  <w:spacing w:val="-5"/>
                                  <w:w w:val="90"/>
                                  <w:sz w:val="14"/>
                                </w:rPr>
                                <w:t>5.8</w:t>
                              </w:r>
                            </w:p>
                          </w:txbxContent>
                        </wps:txbx>
                        <wps:bodyPr wrap="square" lIns="0" tIns="0" rIns="0" bIns="0" rtlCol="0">
                          <a:noAutofit/>
                        </wps:bodyPr>
                      </wps:wsp>
                      <wps:wsp>
                        <wps:cNvPr id="1822" name="Textbox 1822"/>
                        <wps:cNvSpPr txBox="1"/>
                        <wps:spPr>
                          <a:xfrm>
                            <a:off x="4634249" y="148376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300000</w:t>
                              </w:r>
                            </w:p>
                          </w:txbxContent>
                        </wps:txbx>
                        <wps:bodyPr wrap="square" lIns="0" tIns="0" rIns="0" bIns="0" rtlCol="0">
                          <a:noAutofit/>
                        </wps:bodyPr>
                      </wps:wsp>
                      <wps:wsp>
                        <wps:cNvPr id="1823" name="Textbox 1823"/>
                        <wps:cNvSpPr txBox="1"/>
                        <wps:spPr>
                          <a:xfrm>
                            <a:off x="279655" y="135146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6.2</w:t>
                              </w:r>
                            </w:p>
                          </w:txbxContent>
                        </wps:txbx>
                        <wps:bodyPr wrap="square" lIns="0" tIns="0" rIns="0" bIns="0" rtlCol="0">
                          <a:noAutofit/>
                        </wps:bodyPr>
                      </wps:wsp>
                      <wps:wsp>
                        <wps:cNvPr id="1824" name="Textbox 1824"/>
                        <wps:cNvSpPr txBox="1"/>
                        <wps:spPr>
                          <a:xfrm>
                            <a:off x="4634249" y="124246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400000</w:t>
                              </w:r>
                            </w:p>
                          </w:txbxContent>
                        </wps:txbx>
                        <wps:bodyPr wrap="square" lIns="0" tIns="0" rIns="0" bIns="0" rtlCol="0">
                          <a:noAutofit/>
                        </wps:bodyPr>
                      </wps:wsp>
                      <wps:wsp>
                        <wps:cNvPr id="1825" name="Textbox 1825"/>
                        <wps:cNvSpPr txBox="1"/>
                        <wps:spPr>
                          <a:xfrm>
                            <a:off x="279655" y="114191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6.4</w:t>
                              </w:r>
                            </w:p>
                          </w:txbxContent>
                        </wps:txbx>
                        <wps:bodyPr wrap="square" lIns="0" tIns="0" rIns="0" bIns="0" rtlCol="0">
                          <a:noAutofit/>
                        </wps:bodyPr>
                      </wps:wsp>
                      <wps:wsp>
                        <wps:cNvPr id="1826" name="Textbox 1826"/>
                        <wps:cNvSpPr txBox="1"/>
                        <wps:spPr>
                          <a:xfrm>
                            <a:off x="4634249" y="100116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500000</w:t>
                              </w:r>
                            </w:p>
                          </w:txbxContent>
                        </wps:txbx>
                        <wps:bodyPr wrap="square" lIns="0" tIns="0" rIns="0" bIns="0" rtlCol="0">
                          <a:noAutofit/>
                        </wps:bodyPr>
                      </wps:wsp>
                      <wps:wsp>
                        <wps:cNvPr id="1827" name="Textbox 1827"/>
                        <wps:cNvSpPr txBox="1"/>
                        <wps:spPr>
                          <a:xfrm>
                            <a:off x="279655" y="93236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6.6</w:t>
                              </w:r>
                            </w:p>
                          </w:txbxContent>
                        </wps:txbx>
                        <wps:bodyPr wrap="square" lIns="0" tIns="0" rIns="0" bIns="0" rtlCol="0">
                          <a:noAutofit/>
                        </wps:bodyPr>
                      </wps:wsp>
                      <wps:wsp>
                        <wps:cNvPr id="1828" name="Textbox 1828"/>
                        <wps:cNvSpPr txBox="1"/>
                        <wps:spPr>
                          <a:xfrm>
                            <a:off x="4634249" y="75986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600000</w:t>
                              </w:r>
                            </w:p>
                          </w:txbxContent>
                        </wps:txbx>
                        <wps:bodyPr wrap="square" lIns="0" tIns="0" rIns="0" bIns="0" rtlCol="0">
                          <a:noAutofit/>
                        </wps:bodyPr>
                      </wps:wsp>
                      <wps:wsp>
                        <wps:cNvPr id="1829" name="Textbox 1829"/>
                        <wps:cNvSpPr txBox="1"/>
                        <wps:spPr>
                          <a:xfrm>
                            <a:off x="279655" y="72281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6.8</w:t>
                              </w:r>
                            </w:p>
                          </w:txbxContent>
                        </wps:txbx>
                        <wps:bodyPr wrap="square" lIns="0" tIns="0" rIns="0" bIns="0" rtlCol="0">
                          <a:noAutofit/>
                        </wps:bodyPr>
                      </wps:wsp>
                      <wps:wsp>
                        <wps:cNvPr id="1830" name="Textbox 1830"/>
                        <wps:cNvSpPr txBox="1"/>
                        <wps:spPr>
                          <a:xfrm>
                            <a:off x="4634249" y="518567"/>
                            <a:ext cx="2565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700000</w:t>
                              </w:r>
                            </w:p>
                          </w:txbxContent>
                        </wps:txbx>
                        <wps:bodyPr wrap="square" lIns="0" tIns="0" rIns="0" bIns="0" rtlCol="0">
                          <a:noAutofit/>
                        </wps:bodyPr>
                      </wps:wsp>
                      <wps:wsp>
                        <wps:cNvPr id="1831" name="Textbox 1831"/>
                        <wps:cNvSpPr txBox="1"/>
                        <wps:spPr>
                          <a:xfrm>
                            <a:off x="340470" y="513267"/>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7</w:t>
                              </w:r>
                            </w:p>
                          </w:txbxContent>
                        </wps:txbx>
                        <wps:bodyPr wrap="square" lIns="0" tIns="0" rIns="0" bIns="0" rtlCol="0">
                          <a:noAutofit/>
                        </wps:bodyPr>
                      </wps:wsp>
                      <wps:wsp>
                        <wps:cNvPr id="1832" name="Textbox 1832"/>
                        <wps:cNvSpPr txBox="1"/>
                        <wps:spPr>
                          <a:xfrm>
                            <a:off x="4087899" y="107368"/>
                            <a:ext cx="823594"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Enrolment</w:t>
                              </w:r>
                              <w:r>
                                <w:rPr>
                                  <w:rFonts w:ascii="Arial MT"/>
                                  <w:spacing w:val="-1"/>
                                  <w:sz w:val="14"/>
                                </w:rPr>
                                <w:t> </w:t>
                              </w:r>
                              <w:r>
                                <w:rPr>
                                  <w:rFonts w:ascii="Arial MT"/>
                                  <w:w w:val="80"/>
                                  <w:sz w:val="14"/>
                                </w:rPr>
                                <w:t>in</w:t>
                              </w:r>
                              <w:r>
                                <w:rPr>
                                  <w:rFonts w:ascii="Arial MT"/>
                                  <w:sz w:val="14"/>
                                </w:rPr>
                                <w:t> </w:t>
                              </w:r>
                              <w:r>
                                <w:rPr>
                                  <w:rFonts w:ascii="Arial MT"/>
                                  <w:spacing w:val="-2"/>
                                  <w:w w:val="80"/>
                                  <w:sz w:val="14"/>
                                </w:rPr>
                                <w:t>engineering</w:t>
                              </w:r>
                            </w:p>
                          </w:txbxContent>
                        </wps:txbx>
                        <wps:bodyPr wrap="square" lIns="0" tIns="0" rIns="0" bIns="0" rtlCol="0">
                          <a:noAutofit/>
                        </wps:bodyPr>
                      </wps:wsp>
                      <wps:wsp>
                        <wps:cNvPr id="1833" name="Textbox 1833"/>
                        <wps:cNvSpPr txBox="1"/>
                        <wps:spPr>
                          <a:xfrm>
                            <a:off x="1921953" y="113718"/>
                            <a:ext cx="17030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As</w:t>
                              </w:r>
                              <w:r>
                                <w:rPr>
                                  <w:rFonts w:ascii="Arial MT"/>
                                  <w:spacing w:val="-2"/>
                                  <w:sz w:val="14"/>
                                </w:rPr>
                                <w:t> </w:t>
                              </w:r>
                              <w:r>
                                <w:rPr>
                                  <w:rFonts w:ascii="Arial MT"/>
                                  <w:w w:val="80"/>
                                  <w:sz w:val="14"/>
                                </w:rPr>
                                <w:t>percentage</w:t>
                              </w:r>
                              <w:r>
                                <w:rPr>
                                  <w:rFonts w:ascii="Arial MT"/>
                                  <w:spacing w:val="-2"/>
                                  <w:sz w:val="14"/>
                                </w:rPr>
                                <w:t> </w:t>
                              </w:r>
                              <w:r>
                                <w:rPr>
                                  <w:rFonts w:ascii="Arial MT"/>
                                  <w:w w:val="80"/>
                                  <w:sz w:val="14"/>
                                </w:rPr>
                                <w:t>of</w:t>
                              </w:r>
                              <w:r>
                                <w:rPr>
                                  <w:rFonts w:ascii="Arial MT"/>
                                  <w:spacing w:val="-1"/>
                                  <w:sz w:val="14"/>
                                </w:rPr>
                                <w:t> </w:t>
                              </w:r>
                              <w:r>
                                <w:rPr>
                                  <w:rFonts w:ascii="Arial MT"/>
                                  <w:w w:val="80"/>
                                  <w:sz w:val="14"/>
                                </w:rPr>
                                <w:t>total</w:t>
                              </w:r>
                              <w:r>
                                <w:rPr>
                                  <w:rFonts w:ascii="Arial MT"/>
                                  <w:spacing w:val="-2"/>
                                  <w:sz w:val="14"/>
                                </w:rPr>
                                <w:t> </w:t>
                              </w:r>
                              <w:r>
                                <w:rPr>
                                  <w:rFonts w:ascii="Arial MT"/>
                                  <w:w w:val="80"/>
                                  <w:sz w:val="14"/>
                                </w:rPr>
                                <w:t>enrolment</w:t>
                              </w:r>
                              <w:r>
                                <w:rPr>
                                  <w:rFonts w:ascii="Arial MT"/>
                                  <w:spacing w:val="-2"/>
                                  <w:sz w:val="14"/>
                                </w:rPr>
                                <w:t> </w:t>
                              </w:r>
                              <w:r>
                                <w:rPr>
                                  <w:rFonts w:ascii="Arial MT"/>
                                  <w:w w:val="80"/>
                                  <w:sz w:val="14"/>
                                </w:rPr>
                                <w:t>in</w:t>
                              </w:r>
                              <w:r>
                                <w:rPr>
                                  <w:rFonts w:ascii="Arial MT"/>
                                  <w:spacing w:val="-1"/>
                                  <w:sz w:val="14"/>
                                </w:rPr>
                                <w:t> </w:t>
                              </w:r>
                              <w:r>
                                <w:rPr>
                                  <w:rFonts w:ascii="Arial MT"/>
                                  <w:w w:val="80"/>
                                  <w:sz w:val="14"/>
                                </w:rPr>
                                <w:t>higher</w:t>
                              </w:r>
                              <w:r>
                                <w:rPr>
                                  <w:rFonts w:ascii="Arial MT"/>
                                  <w:spacing w:val="-2"/>
                                  <w:sz w:val="14"/>
                                </w:rPr>
                                <w:t> </w:t>
                              </w:r>
                              <w:r>
                                <w:rPr>
                                  <w:rFonts w:ascii="Arial MT"/>
                                  <w:spacing w:val="-2"/>
                                  <w:w w:val="80"/>
                                  <w:sz w:val="14"/>
                                </w:rPr>
                                <w:t>education</w:t>
                              </w:r>
                            </w:p>
                          </w:txbxContent>
                        </wps:txbx>
                        <wps:bodyPr wrap="square" lIns="0" tIns="0" rIns="0" bIns="0" rtlCol="0">
                          <a:noAutofit/>
                        </wps:bodyPr>
                      </wps:wsp>
                    </wpg:wgp>
                  </a:graphicData>
                </a:graphic>
              </wp:anchor>
            </w:drawing>
          </mc:Choice>
          <mc:Fallback>
            <w:pict>
              <v:group style="position:absolute;margin-left:98.350403pt;margin-top:18.486572pt;width:397.3pt;height:197pt;mso-position-horizontal-relative:page;mso-position-vertical-relative:paragraph;z-index:-23883264" id="docshapegroup1798" coordorigin="1967,370" coordsize="7946,3940">
                <v:shape style="position:absolute;left:1967;top:369;width:7946;height:3940" id="docshape1799" coordorigin="1967,370" coordsize="7946,3940" path="m9913,370l9903,370,9903,374,9903,375,9903,380,9903,4300,1977,4300,1977,380,1972,380,1977,380,9903,380,9903,375,1977,375,1972,375,1972,374,9903,374,9903,370,1967,370,1967,374,1967,380,1967,4300,1967,4304,1967,4310,9913,4310,9913,380,9908,380,9913,380,9913,375,9908,375,9908,374,9913,374,9913,370xe" filled="true" fillcolor="#000000" stroked="false">
                  <v:path arrowok="t"/>
                  <v:fill type="solid"/>
                </v:shape>
                <v:rect style="position:absolute;left:4547;top:605;width:353;height:92" id="docshape1800" filled="true" fillcolor="#2f7d41" stroked="false">
                  <v:fill type="solid"/>
                </v:rect>
                <v:shape style="position:absolute;left:7954;top:605;width:392;height:105" id="docshape1801" coordorigin="7954,605" coordsize="392,105" path="m8346,645l8189,645,8150,605,8111,645,7954,645,7954,671,8111,671,8150,710,8189,671,8346,671,8346,645xe" filled="true" fillcolor="#e3c626" stroked="false">
                  <v:path arrowok="t"/>
                  <v:fill type="solid"/>
                </v:shape>
                <v:shape style="position:absolute;left:3111;top:3970;width:5712;height:161" type="#_x0000_t202" id="docshape1802" filled="false" stroked="false">
                  <v:textbox inset="0,0,0,0">
                    <w:txbxContent>
                      <w:p>
                        <w:pPr>
                          <w:tabs>
                            <w:tab w:pos="1049" w:val="left" w:leader="none"/>
                            <w:tab w:pos="2087" w:val="left" w:leader="none"/>
                            <w:tab w:pos="3099" w:val="left" w:leader="none"/>
                            <w:tab w:pos="4096" w:val="left" w:leader="none"/>
                            <w:tab w:pos="5691" w:val="right" w:leader="none"/>
                          </w:tabs>
                          <w:spacing w:line="161" w:lineRule="exact" w:before="0"/>
                          <w:ind w:left="0" w:right="0" w:firstLine="0"/>
                          <w:jc w:val="left"/>
                          <w:rPr>
                            <w:rFonts w:ascii="Arial MT"/>
                            <w:sz w:val="14"/>
                          </w:rPr>
                        </w:pPr>
                        <w:r>
                          <w:rPr>
                            <w:rFonts w:ascii="Arial MT"/>
                            <w:w w:val="80"/>
                            <w:sz w:val="14"/>
                          </w:rPr>
                          <w:t>1995-</w:t>
                        </w:r>
                        <w:r>
                          <w:rPr>
                            <w:rFonts w:ascii="Arial MT"/>
                            <w:spacing w:val="-5"/>
                            <w:w w:val="90"/>
                            <w:sz w:val="14"/>
                          </w:rPr>
                          <w:t>96</w:t>
                        </w:r>
                        <w:r>
                          <w:rPr>
                            <w:rFonts w:ascii="Arial MT"/>
                            <w:sz w:val="14"/>
                          </w:rPr>
                          <w:tab/>
                        </w:r>
                        <w:r>
                          <w:rPr>
                            <w:rFonts w:ascii="Arial MT"/>
                            <w:w w:val="80"/>
                            <w:sz w:val="14"/>
                          </w:rPr>
                          <w:t>1996-</w:t>
                        </w:r>
                        <w:r>
                          <w:rPr>
                            <w:rFonts w:ascii="Arial MT"/>
                            <w:spacing w:val="-5"/>
                            <w:w w:val="90"/>
                            <w:sz w:val="14"/>
                          </w:rPr>
                          <w:t>97</w:t>
                        </w:r>
                        <w:r>
                          <w:rPr>
                            <w:rFonts w:ascii="Arial MT"/>
                            <w:sz w:val="14"/>
                          </w:rPr>
                          <w:tab/>
                        </w:r>
                        <w:r>
                          <w:rPr>
                            <w:rFonts w:ascii="Arial MT"/>
                            <w:w w:val="80"/>
                            <w:sz w:val="14"/>
                          </w:rPr>
                          <w:t>1997-</w:t>
                        </w:r>
                        <w:r>
                          <w:rPr>
                            <w:rFonts w:ascii="Arial MT"/>
                            <w:spacing w:val="-5"/>
                            <w:w w:val="90"/>
                            <w:sz w:val="14"/>
                          </w:rPr>
                          <w:t>98</w:t>
                        </w:r>
                        <w:r>
                          <w:rPr>
                            <w:rFonts w:ascii="Arial MT"/>
                            <w:sz w:val="14"/>
                          </w:rPr>
                          <w:tab/>
                        </w:r>
                        <w:r>
                          <w:rPr>
                            <w:rFonts w:ascii="Arial MT"/>
                            <w:w w:val="80"/>
                            <w:sz w:val="14"/>
                          </w:rPr>
                          <w:t>1998-</w:t>
                        </w:r>
                        <w:r>
                          <w:rPr>
                            <w:rFonts w:ascii="Arial MT"/>
                            <w:spacing w:val="-5"/>
                            <w:w w:val="90"/>
                            <w:sz w:val="14"/>
                          </w:rPr>
                          <w:t>99</w:t>
                        </w:r>
                        <w:r>
                          <w:rPr>
                            <w:rFonts w:ascii="Arial MT"/>
                            <w:sz w:val="14"/>
                          </w:rPr>
                          <w:tab/>
                        </w:r>
                        <w:r>
                          <w:rPr>
                            <w:rFonts w:ascii="Arial MT"/>
                            <w:w w:val="80"/>
                            <w:sz w:val="14"/>
                          </w:rPr>
                          <w:t>1999-</w:t>
                        </w:r>
                        <w:r>
                          <w:rPr>
                            <w:rFonts w:ascii="Arial MT"/>
                            <w:spacing w:val="-4"/>
                            <w:w w:val="90"/>
                            <w:sz w:val="14"/>
                          </w:rPr>
                          <w:t>2000</w:t>
                        </w:r>
                        <w:r>
                          <w:rPr>
                            <w:sz w:val="14"/>
                          </w:rPr>
                          <w:tab/>
                        </w:r>
                        <w:r>
                          <w:rPr>
                            <w:rFonts w:ascii="Arial MT"/>
                            <w:spacing w:val="-2"/>
                            <w:w w:val="90"/>
                            <w:sz w:val="14"/>
                          </w:rPr>
                          <w:t>2000-</w:t>
                        </w:r>
                        <w:r>
                          <w:rPr>
                            <w:rFonts w:ascii="Arial MT"/>
                            <w:w w:val="80"/>
                            <w:sz w:val="14"/>
                          </w:rPr>
                          <w:t>01</w:t>
                        </w:r>
                      </w:p>
                    </w:txbxContent>
                  </v:textbox>
                  <w10:wrap type="none"/>
                </v:shape>
                <v:shape style="position:absolute;left:9265;top:3846;width:84;height:161" type="#_x0000_t202" id="docshape1803"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2407;top:3818;width:180;height:161" type="#_x0000_t202" id="docshape1804" filled="false" stroked="false">
                  <v:textbox inset="0,0,0,0">
                    <w:txbxContent>
                      <w:p>
                        <w:pPr>
                          <w:spacing w:line="161" w:lineRule="exact" w:before="0"/>
                          <w:ind w:left="0" w:right="0" w:firstLine="0"/>
                          <w:jc w:val="left"/>
                          <w:rPr>
                            <w:rFonts w:ascii="Arial MT"/>
                            <w:sz w:val="14"/>
                          </w:rPr>
                        </w:pPr>
                        <w:r>
                          <w:rPr>
                            <w:rFonts w:ascii="Arial MT"/>
                            <w:spacing w:val="-5"/>
                            <w:w w:val="90"/>
                            <w:sz w:val="14"/>
                          </w:rPr>
                          <w:t>5.4</w:t>
                        </w:r>
                      </w:p>
                    </w:txbxContent>
                  </v:textbox>
                  <w10:wrap type="none"/>
                </v:shape>
                <v:shape style="position:absolute;left:2407;top:3466;width:7261;height:183" type="#_x0000_t202" id="docshape1805" filled="false" stroked="false">
                  <v:textbox inset="0,0,0,0">
                    <w:txbxContent>
                      <w:p>
                        <w:pPr>
                          <w:tabs>
                            <w:tab w:pos="6857" w:val="left" w:leader="none"/>
                          </w:tabs>
                          <w:spacing w:line="181" w:lineRule="exact" w:before="0"/>
                          <w:ind w:left="0" w:right="0" w:firstLine="0"/>
                          <w:jc w:val="left"/>
                          <w:rPr>
                            <w:rFonts w:ascii="Arial MT"/>
                            <w:sz w:val="14"/>
                          </w:rPr>
                        </w:pPr>
                        <w:r>
                          <w:rPr>
                            <w:rFonts w:ascii="Arial MT"/>
                            <w:spacing w:val="-5"/>
                            <w:w w:val="90"/>
                            <w:position w:val="-1"/>
                            <w:sz w:val="14"/>
                          </w:rPr>
                          <w:t>5.6</w:t>
                        </w:r>
                        <w:r>
                          <w:rPr>
                            <w:rFonts w:ascii="Arial MT"/>
                            <w:position w:val="-1"/>
                            <w:sz w:val="14"/>
                          </w:rPr>
                          <w:tab/>
                        </w:r>
                        <w:r>
                          <w:rPr>
                            <w:rFonts w:ascii="Arial MT"/>
                            <w:spacing w:val="-2"/>
                            <w:w w:val="85"/>
                            <w:sz w:val="14"/>
                          </w:rPr>
                          <w:t>100000</w:t>
                        </w:r>
                      </w:p>
                    </w:txbxContent>
                  </v:textbox>
                  <w10:wrap type="none"/>
                </v:shape>
                <v:shape style="position:absolute;left:9265;top:3086;width:404;height:161" type="#_x0000_t202" id="docshape1806" filled="false" stroked="false">
                  <v:textbox inset="0,0,0,0">
                    <w:txbxContent>
                      <w:p>
                        <w:pPr>
                          <w:spacing w:line="161" w:lineRule="exact" w:before="0"/>
                          <w:ind w:left="0" w:right="0" w:firstLine="0"/>
                          <w:jc w:val="left"/>
                          <w:rPr>
                            <w:rFonts w:ascii="Arial MT"/>
                            <w:sz w:val="14"/>
                          </w:rPr>
                        </w:pPr>
                        <w:r>
                          <w:rPr>
                            <w:rFonts w:ascii="Arial MT"/>
                            <w:spacing w:val="-2"/>
                            <w:w w:val="85"/>
                            <w:sz w:val="14"/>
                          </w:rPr>
                          <w:t>200000</w:t>
                        </w:r>
                      </w:p>
                    </w:txbxContent>
                  </v:textbox>
                  <w10:wrap type="none"/>
                </v:shape>
                <v:shape style="position:absolute;left:2407;top:2828;width:180;height:491" type="#_x0000_t202" id="docshape1807" filled="false" stroked="false">
                  <v:textbox inset="0,0,0,0">
                    <w:txbxContent>
                      <w:p>
                        <w:pPr>
                          <w:spacing w:line="161" w:lineRule="exact" w:before="0"/>
                          <w:ind w:left="95" w:right="0" w:firstLine="0"/>
                          <w:jc w:val="left"/>
                          <w:rPr>
                            <w:rFonts w:ascii="Arial MT"/>
                            <w:sz w:val="14"/>
                          </w:rPr>
                        </w:pPr>
                        <w:r>
                          <w:rPr>
                            <w:rFonts w:ascii="Arial MT"/>
                            <w:spacing w:val="-10"/>
                            <w:w w:val="90"/>
                            <w:sz w:val="14"/>
                          </w:rPr>
                          <w:t>6</w:t>
                        </w:r>
                      </w:p>
                      <w:p>
                        <w:pPr>
                          <w:spacing w:line="240" w:lineRule="auto" w:before="8"/>
                          <w:rPr>
                            <w:rFonts w:ascii="Arial MT"/>
                            <w:sz w:val="14"/>
                          </w:rPr>
                        </w:pPr>
                      </w:p>
                      <w:p>
                        <w:pPr>
                          <w:spacing w:before="0"/>
                          <w:ind w:left="0" w:right="0" w:firstLine="0"/>
                          <w:jc w:val="left"/>
                          <w:rPr>
                            <w:rFonts w:ascii="Arial MT"/>
                            <w:sz w:val="14"/>
                          </w:rPr>
                        </w:pPr>
                        <w:r>
                          <w:rPr>
                            <w:rFonts w:ascii="Arial MT"/>
                            <w:spacing w:val="-5"/>
                            <w:w w:val="90"/>
                            <w:sz w:val="14"/>
                          </w:rPr>
                          <w:t>5.8</w:t>
                        </w:r>
                      </w:p>
                    </w:txbxContent>
                  </v:textbox>
                  <w10:wrap type="none"/>
                </v:shape>
                <v:shape style="position:absolute;left:9265;top:2706;width:404;height:161" type="#_x0000_t202" id="docshape1808" filled="false" stroked="false">
                  <v:textbox inset="0,0,0,0">
                    <w:txbxContent>
                      <w:p>
                        <w:pPr>
                          <w:spacing w:line="161" w:lineRule="exact" w:before="0"/>
                          <w:ind w:left="0" w:right="0" w:firstLine="0"/>
                          <w:jc w:val="left"/>
                          <w:rPr>
                            <w:rFonts w:ascii="Arial MT"/>
                            <w:sz w:val="14"/>
                          </w:rPr>
                        </w:pPr>
                        <w:r>
                          <w:rPr>
                            <w:rFonts w:ascii="Arial MT"/>
                            <w:spacing w:val="-2"/>
                            <w:w w:val="85"/>
                            <w:sz w:val="14"/>
                          </w:rPr>
                          <w:t>300000</w:t>
                        </w:r>
                      </w:p>
                    </w:txbxContent>
                  </v:textbox>
                  <w10:wrap type="none"/>
                </v:shape>
                <v:shape style="position:absolute;left:2407;top:2498;width:180;height:161" type="#_x0000_t202" id="docshape1809" filled="false" stroked="false">
                  <v:textbox inset="0,0,0,0">
                    <w:txbxContent>
                      <w:p>
                        <w:pPr>
                          <w:spacing w:line="161" w:lineRule="exact" w:before="0"/>
                          <w:ind w:left="0" w:right="0" w:firstLine="0"/>
                          <w:jc w:val="left"/>
                          <w:rPr>
                            <w:rFonts w:ascii="Arial MT"/>
                            <w:sz w:val="14"/>
                          </w:rPr>
                        </w:pPr>
                        <w:r>
                          <w:rPr>
                            <w:rFonts w:ascii="Arial MT"/>
                            <w:spacing w:val="-5"/>
                            <w:w w:val="90"/>
                            <w:sz w:val="14"/>
                          </w:rPr>
                          <w:t>6.2</w:t>
                        </w:r>
                      </w:p>
                    </w:txbxContent>
                  </v:textbox>
                  <w10:wrap type="none"/>
                </v:shape>
                <v:shape style="position:absolute;left:9265;top:2326;width:404;height:161" type="#_x0000_t202" id="docshape1810" filled="false" stroked="false">
                  <v:textbox inset="0,0,0,0">
                    <w:txbxContent>
                      <w:p>
                        <w:pPr>
                          <w:spacing w:line="161" w:lineRule="exact" w:before="0"/>
                          <w:ind w:left="0" w:right="0" w:firstLine="0"/>
                          <w:jc w:val="left"/>
                          <w:rPr>
                            <w:rFonts w:ascii="Arial MT"/>
                            <w:sz w:val="14"/>
                          </w:rPr>
                        </w:pPr>
                        <w:r>
                          <w:rPr>
                            <w:rFonts w:ascii="Arial MT"/>
                            <w:spacing w:val="-2"/>
                            <w:w w:val="85"/>
                            <w:sz w:val="14"/>
                          </w:rPr>
                          <w:t>400000</w:t>
                        </w:r>
                      </w:p>
                    </w:txbxContent>
                  </v:textbox>
                  <w10:wrap type="none"/>
                </v:shape>
                <v:shape style="position:absolute;left:2407;top:2168;width:180;height:161" type="#_x0000_t202" id="docshape1811" filled="false" stroked="false">
                  <v:textbox inset="0,0,0,0">
                    <w:txbxContent>
                      <w:p>
                        <w:pPr>
                          <w:spacing w:line="161" w:lineRule="exact" w:before="0"/>
                          <w:ind w:left="0" w:right="0" w:firstLine="0"/>
                          <w:jc w:val="left"/>
                          <w:rPr>
                            <w:rFonts w:ascii="Arial MT"/>
                            <w:sz w:val="14"/>
                          </w:rPr>
                        </w:pPr>
                        <w:r>
                          <w:rPr>
                            <w:rFonts w:ascii="Arial MT"/>
                            <w:spacing w:val="-5"/>
                            <w:w w:val="90"/>
                            <w:sz w:val="14"/>
                          </w:rPr>
                          <w:t>6.4</w:t>
                        </w:r>
                      </w:p>
                    </w:txbxContent>
                  </v:textbox>
                  <w10:wrap type="none"/>
                </v:shape>
                <v:shape style="position:absolute;left:9265;top:1946;width:404;height:161" type="#_x0000_t202" id="docshape1812" filled="false" stroked="false">
                  <v:textbox inset="0,0,0,0">
                    <w:txbxContent>
                      <w:p>
                        <w:pPr>
                          <w:spacing w:line="161" w:lineRule="exact" w:before="0"/>
                          <w:ind w:left="0" w:right="0" w:firstLine="0"/>
                          <w:jc w:val="left"/>
                          <w:rPr>
                            <w:rFonts w:ascii="Arial MT"/>
                            <w:sz w:val="14"/>
                          </w:rPr>
                        </w:pPr>
                        <w:r>
                          <w:rPr>
                            <w:rFonts w:ascii="Arial MT"/>
                            <w:spacing w:val="-2"/>
                            <w:w w:val="85"/>
                            <w:sz w:val="14"/>
                          </w:rPr>
                          <w:t>500000</w:t>
                        </w:r>
                      </w:p>
                    </w:txbxContent>
                  </v:textbox>
                  <w10:wrap type="none"/>
                </v:shape>
                <v:shape style="position:absolute;left:2407;top:1838;width:180;height:161" type="#_x0000_t202" id="docshape1813" filled="false" stroked="false">
                  <v:textbox inset="0,0,0,0">
                    <w:txbxContent>
                      <w:p>
                        <w:pPr>
                          <w:spacing w:line="161" w:lineRule="exact" w:before="0"/>
                          <w:ind w:left="0" w:right="0" w:firstLine="0"/>
                          <w:jc w:val="left"/>
                          <w:rPr>
                            <w:rFonts w:ascii="Arial MT"/>
                            <w:sz w:val="14"/>
                          </w:rPr>
                        </w:pPr>
                        <w:r>
                          <w:rPr>
                            <w:rFonts w:ascii="Arial MT"/>
                            <w:spacing w:val="-5"/>
                            <w:w w:val="90"/>
                            <w:sz w:val="14"/>
                          </w:rPr>
                          <w:t>6.6</w:t>
                        </w:r>
                      </w:p>
                    </w:txbxContent>
                  </v:textbox>
                  <w10:wrap type="none"/>
                </v:shape>
                <v:shape style="position:absolute;left:9265;top:1566;width:404;height:161" type="#_x0000_t202" id="docshape1814" filled="false" stroked="false">
                  <v:textbox inset="0,0,0,0">
                    <w:txbxContent>
                      <w:p>
                        <w:pPr>
                          <w:spacing w:line="161" w:lineRule="exact" w:before="0"/>
                          <w:ind w:left="0" w:right="0" w:firstLine="0"/>
                          <w:jc w:val="left"/>
                          <w:rPr>
                            <w:rFonts w:ascii="Arial MT"/>
                            <w:sz w:val="14"/>
                          </w:rPr>
                        </w:pPr>
                        <w:r>
                          <w:rPr>
                            <w:rFonts w:ascii="Arial MT"/>
                            <w:spacing w:val="-2"/>
                            <w:w w:val="85"/>
                            <w:sz w:val="14"/>
                          </w:rPr>
                          <w:t>600000</w:t>
                        </w:r>
                      </w:p>
                    </w:txbxContent>
                  </v:textbox>
                  <w10:wrap type="none"/>
                </v:shape>
                <v:shape style="position:absolute;left:2407;top:1508;width:180;height:161" type="#_x0000_t202" id="docshape1815" filled="false" stroked="false">
                  <v:textbox inset="0,0,0,0">
                    <w:txbxContent>
                      <w:p>
                        <w:pPr>
                          <w:spacing w:line="161" w:lineRule="exact" w:before="0"/>
                          <w:ind w:left="0" w:right="0" w:firstLine="0"/>
                          <w:jc w:val="left"/>
                          <w:rPr>
                            <w:rFonts w:ascii="Arial MT"/>
                            <w:sz w:val="14"/>
                          </w:rPr>
                        </w:pPr>
                        <w:r>
                          <w:rPr>
                            <w:rFonts w:ascii="Arial MT"/>
                            <w:spacing w:val="-5"/>
                            <w:w w:val="90"/>
                            <w:sz w:val="14"/>
                          </w:rPr>
                          <w:t>6.8</w:t>
                        </w:r>
                      </w:p>
                    </w:txbxContent>
                  </v:textbox>
                  <w10:wrap type="none"/>
                </v:shape>
                <v:shape style="position:absolute;left:9265;top:1186;width:404;height:161" type="#_x0000_t202" id="docshape1816" filled="false" stroked="false">
                  <v:textbox inset="0,0,0,0">
                    <w:txbxContent>
                      <w:p>
                        <w:pPr>
                          <w:spacing w:line="161" w:lineRule="exact" w:before="0"/>
                          <w:ind w:left="0" w:right="0" w:firstLine="0"/>
                          <w:jc w:val="left"/>
                          <w:rPr>
                            <w:rFonts w:ascii="Arial MT"/>
                            <w:sz w:val="14"/>
                          </w:rPr>
                        </w:pPr>
                        <w:r>
                          <w:rPr>
                            <w:rFonts w:ascii="Arial MT"/>
                            <w:spacing w:val="-2"/>
                            <w:w w:val="85"/>
                            <w:sz w:val="14"/>
                          </w:rPr>
                          <w:t>700000</w:t>
                        </w:r>
                      </w:p>
                    </w:txbxContent>
                  </v:textbox>
                  <w10:wrap type="none"/>
                </v:shape>
                <v:shape style="position:absolute;left:2503;top:1178;width:84;height:161" type="#_x0000_t202" id="docshape1817" filled="false" stroked="false">
                  <v:textbox inset="0,0,0,0">
                    <w:txbxContent>
                      <w:p>
                        <w:pPr>
                          <w:spacing w:line="161" w:lineRule="exact" w:before="0"/>
                          <w:ind w:left="0" w:right="0" w:firstLine="0"/>
                          <w:jc w:val="left"/>
                          <w:rPr>
                            <w:rFonts w:ascii="Arial MT"/>
                            <w:sz w:val="14"/>
                          </w:rPr>
                        </w:pPr>
                        <w:r>
                          <w:rPr>
                            <w:rFonts w:ascii="Arial MT"/>
                            <w:spacing w:val="-10"/>
                            <w:w w:val="90"/>
                            <w:sz w:val="14"/>
                          </w:rPr>
                          <w:t>7</w:t>
                        </w:r>
                      </w:p>
                    </w:txbxContent>
                  </v:textbox>
                  <w10:wrap type="none"/>
                </v:shape>
                <v:shape style="position:absolute;left:8404;top:538;width:1297;height:161" type="#_x0000_t202" id="docshape1818" filled="false" stroked="false">
                  <v:textbox inset="0,0,0,0">
                    <w:txbxContent>
                      <w:p>
                        <w:pPr>
                          <w:spacing w:line="161" w:lineRule="exact" w:before="0"/>
                          <w:ind w:left="0" w:right="0" w:firstLine="0"/>
                          <w:jc w:val="left"/>
                          <w:rPr>
                            <w:rFonts w:ascii="Arial MT"/>
                            <w:sz w:val="14"/>
                          </w:rPr>
                        </w:pPr>
                        <w:r>
                          <w:rPr>
                            <w:rFonts w:ascii="Arial MT"/>
                            <w:w w:val="80"/>
                            <w:sz w:val="14"/>
                          </w:rPr>
                          <w:t>Enrolment</w:t>
                        </w:r>
                        <w:r>
                          <w:rPr>
                            <w:rFonts w:ascii="Arial MT"/>
                            <w:spacing w:val="-1"/>
                            <w:sz w:val="14"/>
                          </w:rPr>
                          <w:t> </w:t>
                        </w:r>
                        <w:r>
                          <w:rPr>
                            <w:rFonts w:ascii="Arial MT"/>
                            <w:w w:val="80"/>
                            <w:sz w:val="14"/>
                          </w:rPr>
                          <w:t>in</w:t>
                        </w:r>
                        <w:r>
                          <w:rPr>
                            <w:rFonts w:ascii="Arial MT"/>
                            <w:sz w:val="14"/>
                          </w:rPr>
                          <w:t> </w:t>
                        </w:r>
                        <w:r>
                          <w:rPr>
                            <w:rFonts w:ascii="Arial MT"/>
                            <w:spacing w:val="-2"/>
                            <w:w w:val="80"/>
                            <w:sz w:val="14"/>
                          </w:rPr>
                          <w:t>engineering</w:t>
                        </w:r>
                      </w:p>
                    </w:txbxContent>
                  </v:textbox>
                  <w10:wrap type="none"/>
                </v:shape>
                <v:shape style="position:absolute;left:4993;top:548;width:2682;height:161" type="#_x0000_t202" id="docshape1819" filled="false" stroked="false">
                  <v:textbox inset="0,0,0,0">
                    <w:txbxContent>
                      <w:p>
                        <w:pPr>
                          <w:spacing w:line="161" w:lineRule="exact" w:before="0"/>
                          <w:ind w:left="0" w:right="0" w:firstLine="0"/>
                          <w:jc w:val="left"/>
                          <w:rPr>
                            <w:rFonts w:ascii="Arial MT"/>
                            <w:sz w:val="14"/>
                          </w:rPr>
                        </w:pPr>
                        <w:r>
                          <w:rPr>
                            <w:rFonts w:ascii="Arial MT"/>
                            <w:w w:val="80"/>
                            <w:sz w:val="14"/>
                          </w:rPr>
                          <w:t>As</w:t>
                        </w:r>
                        <w:r>
                          <w:rPr>
                            <w:rFonts w:ascii="Arial MT"/>
                            <w:spacing w:val="-2"/>
                            <w:sz w:val="14"/>
                          </w:rPr>
                          <w:t> </w:t>
                        </w:r>
                        <w:r>
                          <w:rPr>
                            <w:rFonts w:ascii="Arial MT"/>
                            <w:w w:val="80"/>
                            <w:sz w:val="14"/>
                          </w:rPr>
                          <w:t>percentage</w:t>
                        </w:r>
                        <w:r>
                          <w:rPr>
                            <w:rFonts w:ascii="Arial MT"/>
                            <w:spacing w:val="-2"/>
                            <w:sz w:val="14"/>
                          </w:rPr>
                          <w:t> </w:t>
                        </w:r>
                        <w:r>
                          <w:rPr>
                            <w:rFonts w:ascii="Arial MT"/>
                            <w:w w:val="80"/>
                            <w:sz w:val="14"/>
                          </w:rPr>
                          <w:t>of</w:t>
                        </w:r>
                        <w:r>
                          <w:rPr>
                            <w:rFonts w:ascii="Arial MT"/>
                            <w:spacing w:val="-1"/>
                            <w:sz w:val="14"/>
                          </w:rPr>
                          <w:t> </w:t>
                        </w:r>
                        <w:r>
                          <w:rPr>
                            <w:rFonts w:ascii="Arial MT"/>
                            <w:w w:val="80"/>
                            <w:sz w:val="14"/>
                          </w:rPr>
                          <w:t>total</w:t>
                        </w:r>
                        <w:r>
                          <w:rPr>
                            <w:rFonts w:ascii="Arial MT"/>
                            <w:spacing w:val="-2"/>
                            <w:sz w:val="14"/>
                          </w:rPr>
                          <w:t> </w:t>
                        </w:r>
                        <w:r>
                          <w:rPr>
                            <w:rFonts w:ascii="Arial MT"/>
                            <w:w w:val="80"/>
                            <w:sz w:val="14"/>
                          </w:rPr>
                          <w:t>enrolment</w:t>
                        </w:r>
                        <w:r>
                          <w:rPr>
                            <w:rFonts w:ascii="Arial MT"/>
                            <w:spacing w:val="-2"/>
                            <w:sz w:val="14"/>
                          </w:rPr>
                          <w:t> </w:t>
                        </w:r>
                        <w:r>
                          <w:rPr>
                            <w:rFonts w:ascii="Arial MT"/>
                            <w:w w:val="80"/>
                            <w:sz w:val="14"/>
                          </w:rPr>
                          <w:t>in</w:t>
                        </w:r>
                        <w:r>
                          <w:rPr>
                            <w:rFonts w:ascii="Arial MT"/>
                            <w:spacing w:val="-1"/>
                            <w:sz w:val="14"/>
                          </w:rPr>
                          <w:t> </w:t>
                        </w:r>
                        <w:r>
                          <w:rPr>
                            <w:rFonts w:ascii="Arial MT"/>
                            <w:w w:val="80"/>
                            <w:sz w:val="14"/>
                          </w:rPr>
                          <w:t>higher</w:t>
                        </w:r>
                        <w:r>
                          <w:rPr>
                            <w:rFonts w:ascii="Arial MT"/>
                            <w:spacing w:val="-2"/>
                            <w:sz w:val="14"/>
                          </w:rPr>
                          <w:t> </w:t>
                        </w:r>
                        <w:r>
                          <w:rPr>
                            <w:rFonts w:ascii="Arial MT"/>
                            <w:spacing w:val="-2"/>
                            <w:w w:val="80"/>
                            <w:sz w:val="14"/>
                          </w:rPr>
                          <w:t>education</w:t>
                        </w:r>
                      </w:p>
                    </w:txbxContent>
                  </v:textbox>
                  <w10:wrap type="none"/>
                </v:shape>
                <w10:wrap type="none"/>
              </v:group>
            </w:pict>
          </mc:Fallback>
        </mc:AlternateContent>
      </w:r>
      <w:r>
        <w:rPr>
          <w:w w:val="90"/>
        </w:rPr>
        <w:t>Figure</w:t>
      </w:r>
      <w:r>
        <w:rPr>
          <w:spacing w:val="9"/>
        </w:rPr>
        <w:t> </w:t>
      </w:r>
      <w:r>
        <w:rPr>
          <w:w w:val="90"/>
        </w:rPr>
        <w:t>39:</w:t>
      </w:r>
      <w:r>
        <w:rPr>
          <w:spacing w:val="18"/>
        </w:rPr>
        <w:t> </w:t>
      </w:r>
      <w:r>
        <w:rPr>
          <w:color w:val="2E614A"/>
          <w:w w:val="90"/>
        </w:rPr>
        <w:t>Time</w:t>
      </w:r>
      <w:r>
        <w:rPr>
          <w:color w:val="2E614A"/>
          <w:spacing w:val="9"/>
        </w:rPr>
        <w:t> </w:t>
      </w:r>
      <w:r>
        <w:rPr>
          <w:color w:val="2E614A"/>
          <w:w w:val="90"/>
        </w:rPr>
        <w:t>series</w:t>
      </w:r>
      <w:r>
        <w:rPr>
          <w:color w:val="2E614A"/>
          <w:spacing w:val="9"/>
        </w:rPr>
        <w:t> </w:t>
      </w:r>
      <w:r>
        <w:rPr>
          <w:color w:val="2E614A"/>
          <w:w w:val="90"/>
        </w:rPr>
        <w:t>trend</w:t>
      </w:r>
      <w:r>
        <w:rPr>
          <w:color w:val="2E614A"/>
          <w:spacing w:val="9"/>
        </w:rPr>
        <w:t> </w:t>
      </w:r>
      <w:r>
        <w:rPr>
          <w:color w:val="2E614A"/>
          <w:w w:val="90"/>
        </w:rPr>
        <w:t>in</w:t>
      </w:r>
      <w:r>
        <w:rPr>
          <w:color w:val="2E614A"/>
          <w:spacing w:val="9"/>
        </w:rPr>
        <w:t> </w:t>
      </w:r>
      <w:r>
        <w:rPr>
          <w:color w:val="2E614A"/>
          <w:w w:val="90"/>
        </w:rPr>
        <w:t>engineering</w:t>
      </w:r>
      <w:r>
        <w:rPr>
          <w:color w:val="2E614A"/>
          <w:spacing w:val="9"/>
        </w:rPr>
        <w:t> </w:t>
      </w:r>
      <w:r>
        <w:rPr>
          <w:color w:val="2E614A"/>
          <w:spacing w:val="-2"/>
          <w:w w:val="90"/>
        </w:rPr>
        <w:t>enrolments</w:t>
      </w:r>
    </w:p>
    <w:p>
      <w:pPr>
        <w:pStyle w:val="BodyText"/>
        <w:rPr>
          <w:b/>
          <w:sz w:val="20"/>
        </w:rPr>
      </w:pPr>
    </w:p>
    <w:p>
      <w:pPr>
        <w:pStyle w:val="BodyText"/>
        <w:rPr>
          <w:b/>
          <w:sz w:val="20"/>
        </w:rPr>
      </w:pPr>
    </w:p>
    <w:p>
      <w:pPr>
        <w:pStyle w:val="BodyText"/>
        <w:rPr>
          <w:b/>
          <w:sz w:val="20"/>
        </w:rPr>
      </w:pPr>
    </w:p>
    <w:p>
      <w:pPr>
        <w:pStyle w:val="BodyText"/>
        <w:spacing w:before="14"/>
        <w:rPr>
          <w:b/>
          <w:sz w:val="20"/>
        </w:rPr>
      </w:pPr>
      <w:r>
        <w:rPr/>
        <mc:AlternateContent>
          <mc:Choice Requires="wps">
            <w:drawing>
              <wp:anchor distT="0" distB="0" distL="0" distR="0" allowOverlap="1" layoutInCell="1" locked="0" behindDoc="1" simplePos="0" relativeHeight="487714816">
                <wp:simplePos x="0" y="0"/>
                <wp:positionH relativeFrom="page">
                  <wp:posOffset>1677404</wp:posOffset>
                </wp:positionH>
                <wp:positionV relativeFrom="paragraph">
                  <wp:posOffset>170696</wp:posOffset>
                </wp:positionV>
                <wp:extent cx="4152900" cy="1770380"/>
                <wp:effectExtent l="0" t="0" r="0" b="0"/>
                <wp:wrapTopAndBottom/>
                <wp:docPr id="1834" name="Group 1834"/>
                <wp:cNvGraphicFramePr>
                  <a:graphicFrameLocks/>
                </wp:cNvGraphicFramePr>
                <a:graphic>
                  <a:graphicData uri="http://schemas.microsoft.com/office/word/2010/wordprocessingGroup">
                    <wpg:wgp>
                      <wpg:cNvPr id="1834" name="Group 1834"/>
                      <wpg:cNvGrpSpPr/>
                      <wpg:grpSpPr>
                        <a:xfrm>
                          <a:off x="0" y="0"/>
                          <a:ext cx="4152900" cy="1770380"/>
                          <a:chExt cx="4152900" cy="1770380"/>
                        </a:xfrm>
                      </wpg:grpSpPr>
                      <wps:wsp>
                        <wps:cNvPr id="1835" name="Graphic 1835"/>
                        <wps:cNvSpPr/>
                        <wps:spPr>
                          <a:xfrm>
                            <a:off x="273366" y="111023"/>
                            <a:ext cx="3606165" cy="1586230"/>
                          </a:xfrm>
                          <a:custGeom>
                            <a:avLst/>
                            <a:gdLst/>
                            <a:ahLst/>
                            <a:cxnLst/>
                            <a:rect l="l" t="t" r="r" b="b"/>
                            <a:pathLst>
                              <a:path w="3606165" h="1586230">
                                <a:moveTo>
                                  <a:pt x="273545" y="1057186"/>
                                </a:moveTo>
                                <a:lnTo>
                                  <a:pt x="0" y="1057186"/>
                                </a:lnTo>
                                <a:lnTo>
                                  <a:pt x="0" y="1585798"/>
                                </a:lnTo>
                                <a:lnTo>
                                  <a:pt x="273545" y="1585798"/>
                                </a:lnTo>
                                <a:lnTo>
                                  <a:pt x="273545" y="1057186"/>
                                </a:lnTo>
                                <a:close/>
                              </a:path>
                              <a:path w="3606165" h="1586230">
                                <a:moveTo>
                                  <a:pt x="936688" y="842454"/>
                                </a:moveTo>
                                <a:lnTo>
                                  <a:pt x="671436" y="842454"/>
                                </a:lnTo>
                                <a:lnTo>
                                  <a:pt x="671436" y="1585798"/>
                                </a:lnTo>
                                <a:lnTo>
                                  <a:pt x="936688" y="1585798"/>
                                </a:lnTo>
                                <a:lnTo>
                                  <a:pt x="936688" y="842454"/>
                                </a:lnTo>
                                <a:close/>
                              </a:path>
                              <a:path w="3606165" h="1586230">
                                <a:moveTo>
                                  <a:pt x="1608112" y="635965"/>
                                </a:moveTo>
                                <a:lnTo>
                                  <a:pt x="1334566" y="635965"/>
                                </a:lnTo>
                                <a:lnTo>
                                  <a:pt x="1334566" y="1585798"/>
                                </a:lnTo>
                                <a:lnTo>
                                  <a:pt x="1608112" y="1585798"/>
                                </a:lnTo>
                                <a:lnTo>
                                  <a:pt x="1608112" y="635965"/>
                                </a:lnTo>
                                <a:close/>
                              </a:path>
                              <a:path w="3606165" h="1586230">
                                <a:moveTo>
                                  <a:pt x="2271255" y="421220"/>
                                </a:moveTo>
                                <a:lnTo>
                                  <a:pt x="2005990" y="421220"/>
                                </a:lnTo>
                                <a:lnTo>
                                  <a:pt x="2005990" y="1585798"/>
                                </a:lnTo>
                                <a:lnTo>
                                  <a:pt x="2271255" y="1585798"/>
                                </a:lnTo>
                                <a:lnTo>
                                  <a:pt x="2271255" y="421220"/>
                                </a:lnTo>
                                <a:close/>
                              </a:path>
                              <a:path w="3606165" h="1586230">
                                <a:moveTo>
                                  <a:pt x="2942679" y="206489"/>
                                </a:moveTo>
                                <a:lnTo>
                                  <a:pt x="2669133" y="206489"/>
                                </a:lnTo>
                                <a:lnTo>
                                  <a:pt x="2669133" y="1585798"/>
                                </a:lnTo>
                                <a:lnTo>
                                  <a:pt x="2942679" y="1585798"/>
                                </a:lnTo>
                                <a:lnTo>
                                  <a:pt x="2942679" y="206489"/>
                                </a:lnTo>
                                <a:close/>
                              </a:path>
                              <a:path w="3606165" h="1586230">
                                <a:moveTo>
                                  <a:pt x="3605822" y="0"/>
                                </a:moveTo>
                                <a:lnTo>
                                  <a:pt x="3340557" y="0"/>
                                </a:lnTo>
                                <a:lnTo>
                                  <a:pt x="3340557" y="1585798"/>
                                </a:lnTo>
                                <a:lnTo>
                                  <a:pt x="3605822" y="1585798"/>
                                </a:lnTo>
                                <a:lnTo>
                                  <a:pt x="3605822" y="0"/>
                                </a:lnTo>
                                <a:close/>
                              </a:path>
                            </a:pathLst>
                          </a:custGeom>
                          <a:solidFill>
                            <a:srgbClr val="2F7D41"/>
                          </a:solidFill>
                        </wps:spPr>
                        <wps:bodyPr wrap="square" lIns="0" tIns="0" rIns="0" bIns="0" rtlCol="0">
                          <a:prstTxWarp prst="textNoShape">
                            <a:avLst/>
                          </a:prstTxWarp>
                          <a:noAutofit/>
                        </wps:bodyPr>
                      </wps:wsp>
                      <wps:wsp>
                        <wps:cNvPr id="1836" name="Graphic 1836"/>
                        <wps:cNvSpPr/>
                        <wps:spPr>
                          <a:xfrm>
                            <a:off x="0" y="0"/>
                            <a:ext cx="4152900" cy="1770380"/>
                          </a:xfrm>
                          <a:custGeom>
                            <a:avLst/>
                            <a:gdLst/>
                            <a:ahLst/>
                            <a:cxnLst/>
                            <a:rect l="l" t="t" r="r" b="b"/>
                            <a:pathLst>
                              <a:path w="4152900" h="1770380">
                                <a:moveTo>
                                  <a:pt x="4152557" y="240004"/>
                                </a:moveTo>
                                <a:lnTo>
                                  <a:pt x="4081297" y="240004"/>
                                </a:lnTo>
                                <a:lnTo>
                                  <a:pt x="4081297" y="6350"/>
                                </a:lnTo>
                                <a:lnTo>
                                  <a:pt x="4079900" y="6350"/>
                                </a:lnTo>
                                <a:lnTo>
                                  <a:pt x="4079900" y="0"/>
                                </a:lnTo>
                                <a:lnTo>
                                  <a:pt x="4074947" y="0"/>
                                </a:lnTo>
                                <a:lnTo>
                                  <a:pt x="4074947" y="6350"/>
                                </a:lnTo>
                                <a:lnTo>
                                  <a:pt x="4074947" y="240030"/>
                                </a:lnTo>
                                <a:lnTo>
                                  <a:pt x="4074947" y="1693646"/>
                                </a:lnTo>
                                <a:lnTo>
                                  <a:pt x="4041800" y="1693646"/>
                                </a:lnTo>
                                <a:lnTo>
                                  <a:pt x="3418154" y="1693646"/>
                                </a:lnTo>
                                <a:lnTo>
                                  <a:pt x="3418154" y="1686001"/>
                                </a:lnTo>
                                <a:lnTo>
                                  <a:pt x="3411804" y="1686001"/>
                                </a:lnTo>
                                <a:lnTo>
                                  <a:pt x="3411804" y="1693646"/>
                                </a:lnTo>
                                <a:lnTo>
                                  <a:pt x="2746730" y="1693646"/>
                                </a:lnTo>
                                <a:lnTo>
                                  <a:pt x="2746730" y="1686001"/>
                                </a:lnTo>
                                <a:lnTo>
                                  <a:pt x="2740380" y="1686001"/>
                                </a:lnTo>
                                <a:lnTo>
                                  <a:pt x="2740380" y="1693646"/>
                                </a:lnTo>
                                <a:lnTo>
                                  <a:pt x="2083600" y="1693646"/>
                                </a:lnTo>
                                <a:lnTo>
                                  <a:pt x="2083600" y="1686001"/>
                                </a:lnTo>
                                <a:lnTo>
                                  <a:pt x="2077250" y="1686001"/>
                                </a:lnTo>
                                <a:lnTo>
                                  <a:pt x="2077250" y="1693646"/>
                                </a:lnTo>
                                <a:lnTo>
                                  <a:pt x="1412163" y="1693646"/>
                                </a:lnTo>
                                <a:lnTo>
                                  <a:pt x="1412163" y="1686001"/>
                                </a:lnTo>
                                <a:lnTo>
                                  <a:pt x="1405813" y="1686001"/>
                                </a:lnTo>
                                <a:lnTo>
                                  <a:pt x="1405813" y="1693646"/>
                                </a:lnTo>
                                <a:lnTo>
                                  <a:pt x="749033" y="1693646"/>
                                </a:lnTo>
                                <a:lnTo>
                                  <a:pt x="749033" y="1686001"/>
                                </a:lnTo>
                                <a:lnTo>
                                  <a:pt x="742683" y="1686001"/>
                                </a:lnTo>
                                <a:lnTo>
                                  <a:pt x="742683" y="1693646"/>
                                </a:lnTo>
                                <a:lnTo>
                                  <a:pt x="77597" y="1693646"/>
                                </a:lnTo>
                                <a:lnTo>
                                  <a:pt x="77597" y="1485239"/>
                                </a:lnTo>
                                <a:lnTo>
                                  <a:pt x="77597" y="1484630"/>
                                </a:lnTo>
                                <a:lnTo>
                                  <a:pt x="77597" y="1478889"/>
                                </a:lnTo>
                                <a:lnTo>
                                  <a:pt x="72656" y="1478889"/>
                                </a:lnTo>
                                <a:lnTo>
                                  <a:pt x="72656" y="1478280"/>
                                </a:lnTo>
                                <a:lnTo>
                                  <a:pt x="77597" y="1478280"/>
                                </a:lnTo>
                                <a:lnTo>
                                  <a:pt x="77597" y="1278890"/>
                                </a:lnTo>
                                <a:lnTo>
                                  <a:pt x="72656" y="1278890"/>
                                </a:lnTo>
                                <a:lnTo>
                                  <a:pt x="77597" y="1278775"/>
                                </a:lnTo>
                                <a:lnTo>
                                  <a:pt x="77597" y="1272540"/>
                                </a:lnTo>
                                <a:lnTo>
                                  <a:pt x="77597" y="1064260"/>
                                </a:lnTo>
                                <a:lnTo>
                                  <a:pt x="72656" y="1064260"/>
                                </a:lnTo>
                                <a:lnTo>
                                  <a:pt x="72656" y="1064018"/>
                                </a:lnTo>
                                <a:lnTo>
                                  <a:pt x="77597" y="1064018"/>
                                </a:lnTo>
                                <a:lnTo>
                                  <a:pt x="77597" y="1057910"/>
                                </a:lnTo>
                                <a:lnTo>
                                  <a:pt x="77597" y="1057668"/>
                                </a:lnTo>
                                <a:lnTo>
                                  <a:pt x="77597" y="849630"/>
                                </a:lnTo>
                                <a:lnTo>
                                  <a:pt x="72656" y="849630"/>
                                </a:lnTo>
                                <a:lnTo>
                                  <a:pt x="72656" y="849274"/>
                                </a:lnTo>
                                <a:lnTo>
                                  <a:pt x="77597" y="849274"/>
                                </a:lnTo>
                                <a:lnTo>
                                  <a:pt x="77597" y="843280"/>
                                </a:lnTo>
                                <a:lnTo>
                                  <a:pt x="77597" y="842924"/>
                                </a:lnTo>
                                <a:lnTo>
                                  <a:pt x="77597" y="642797"/>
                                </a:lnTo>
                                <a:lnTo>
                                  <a:pt x="77597" y="642620"/>
                                </a:lnTo>
                                <a:lnTo>
                                  <a:pt x="77597" y="636447"/>
                                </a:lnTo>
                                <a:lnTo>
                                  <a:pt x="72656" y="636447"/>
                                </a:lnTo>
                                <a:lnTo>
                                  <a:pt x="72656" y="636270"/>
                                </a:lnTo>
                                <a:lnTo>
                                  <a:pt x="77597" y="636270"/>
                                </a:lnTo>
                                <a:lnTo>
                                  <a:pt x="77597" y="428053"/>
                                </a:lnTo>
                                <a:lnTo>
                                  <a:pt x="77597" y="421703"/>
                                </a:lnTo>
                                <a:lnTo>
                                  <a:pt x="72656" y="421703"/>
                                </a:lnTo>
                                <a:lnTo>
                                  <a:pt x="77597" y="421640"/>
                                </a:lnTo>
                                <a:lnTo>
                                  <a:pt x="77597" y="220980"/>
                                </a:lnTo>
                                <a:lnTo>
                                  <a:pt x="72656" y="220980"/>
                                </a:lnTo>
                                <a:lnTo>
                                  <a:pt x="72656" y="214630"/>
                                </a:lnTo>
                                <a:lnTo>
                                  <a:pt x="77597" y="214630"/>
                                </a:lnTo>
                                <a:lnTo>
                                  <a:pt x="77597" y="6350"/>
                                </a:lnTo>
                                <a:lnTo>
                                  <a:pt x="72656" y="6350"/>
                                </a:lnTo>
                                <a:lnTo>
                                  <a:pt x="72656" y="0"/>
                                </a:lnTo>
                                <a:lnTo>
                                  <a:pt x="71247" y="0"/>
                                </a:lnTo>
                                <a:lnTo>
                                  <a:pt x="71247" y="421703"/>
                                </a:lnTo>
                                <a:lnTo>
                                  <a:pt x="0" y="421703"/>
                                </a:lnTo>
                                <a:lnTo>
                                  <a:pt x="0" y="428053"/>
                                </a:lnTo>
                                <a:lnTo>
                                  <a:pt x="71247" y="428053"/>
                                </a:lnTo>
                                <a:lnTo>
                                  <a:pt x="71247" y="636270"/>
                                </a:lnTo>
                                <a:lnTo>
                                  <a:pt x="71247" y="636447"/>
                                </a:lnTo>
                                <a:lnTo>
                                  <a:pt x="0" y="636447"/>
                                </a:lnTo>
                                <a:lnTo>
                                  <a:pt x="0" y="642797"/>
                                </a:lnTo>
                                <a:lnTo>
                                  <a:pt x="71247" y="642797"/>
                                </a:lnTo>
                                <a:lnTo>
                                  <a:pt x="71247" y="842924"/>
                                </a:lnTo>
                                <a:lnTo>
                                  <a:pt x="0" y="842924"/>
                                </a:lnTo>
                                <a:lnTo>
                                  <a:pt x="0" y="849274"/>
                                </a:lnTo>
                                <a:lnTo>
                                  <a:pt x="71247" y="849274"/>
                                </a:lnTo>
                                <a:lnTo>
                                  <a:pt x="71247" y="849630"/>
                                </a:lnTo>
                                <a:lnTo>
                                  <a:pt x="71247" y="1057668"/>
                                </a:lnTo>
                                <a:lnTo>
                                  <a:pt x="0" y="1057668"/>
                                </a:lnTo>
                                <a:lnTo>
                                  <a:pt x="0" y="1064018"/>
                                </a:lnTo>
                                <a:lnTo>
                                  <a:pt x="71247" y="1064018"/>
                                </a:lnTo>
                                <a:lnTo>
                                  <a:pt x="71247" y="1064260"/>
                                </a:lnTo>
                                <a:lnTo>
                                  <a:pt x="71247" y="1272425"/>
                                </a:lnTo>
                                <a:lnTo>
                                  <a:pt x="0" y="1272425"/>
                                </a:lnTo>
                                <a:lnTo>
                                  <a:pt x="0" y="1278775"/>
                                </a:lnTo>
                                <a:lnTo>
                                  <a:pt x="71247" y="1278775"/>
                                </a:lnTo>
                                <a:lnTo>
                                  <a:pt x="71247" y="1478280"/>
                                </a:lnTo>
                                <a:lnTo>
                                  <a:pt x="71247" y="1478889"/>
                                </a:lnTo>
                                <a:lnTo>
                                  <a:pt x="0" y="1478889"/>
                                </a:lnTo>
                                <a:lnTo>
                                  <a:pt x="0" y="1485239"/>
                                </a:lnTo>
                                <a:lnTo>
                                  <a:pt x="71247" y="1485239"/>
                                </a:lnTo>
                                <a:lnTo>
                                  <a:pt x="71247" y="1693646"/>
                                </a:lnTo>
                                <a:lnTo>
                                  <a:pt x="0" y="1693646"/>
                                </a:lnTo>
                                <a:lnTo>
                                  <a:pt x="0" y="1699996"/>
                                </a:lnTo>
                                <a:lnTo>
                                  <a:pt x="71247" y="1699996"/>
                                </a:lnTo>
                                <a:lnTo>
                                  <a:pt x="71247" y="1700530"/>
                                </a:lnTo>
                                <a:lnTo>
                                  <a:pt x="71247" y="1770380"/>
                                </a:lnTo>
                                <a:lnTo>
                                  <a:pt x="77597" y="1770380"/>
                                </a:lnTo>
                                <a:lnTo>
                                  <a:pt x="77597" y="1700530"/>
                                </a:lnTo>
                                <a:lnTo>
                                  <a:pt x="72656" y="1700530"/>
                                </a:lnTo>
                                <a:lnTo>
                                  <a:pt x="72656" y="1699996"/>
                                </a:lnTo>
                                <a:lnTo>
                                  <a:pt x="77597" y="1699996"/>
                                </a:lnTo>
                                <a:lnTo>
                                  <a:pt x="742683" y="1699996"/>
                                </a:lnTo>
                                <a:lnTo>
                                  <a:pt x="742683" y="1758429"/>
                                </a:lnTo>
                                <a:lnTo>
                                  <a:pt x="749033" y="1758429"/>
                                </a:lnTo>
                                <a:lnTo>
                                  <a:pt x="749033" y="1699996"/>
                                </a:lnTo>
                                <a:lnTo>
                                  <a:pt x="1405813" y="1699996"/>
                                </a:lnTo>
                                <a:lnTo>
                                  <a:pt x="1405813" y="1758429"/>
                                </a:lnTo>
                                <a:lnTo>
                                  <a:pt x="1412163" y="1758429"/>
                                </a:lnTo>
                                <a:lnTo>
                                  <a:pt x="1412163" y="1699996"/>
                                </a:lnTo>
                                <a:lnTo>
                                  <a:pt x="2077250" y="1699996"/>
                                </a:lnTo>
                                <a:lnTo>
                                  <a:pt x="2077250" y="1758429"/>
                                </a:lnTo>
                                <a:lnTo>
                                  <a:pt x="2083600" y="1758429"/>
                                </a:lnTo>
                                <a:lnTo>
                                  <a:pt x="2083600" y="1699996"/>
                                </a:lnTo>
                                <a:lnTo>
                                  <a:pt x="2740380" y="1699996"/>
                                </a:lnTo>
                                <a:lnTo>
                                  <a:pt x="2740380" y="1758429"/>
                                </a:lnTo>
                                <a:lnTo>
                                  <a:pt x="2746730" y="1758429"/>
                                </a:lnTo>
                                <a:lnTo>
                                  <a:pt x="2746730" y="1699996"/>
                                </a:lnTo>
                                <a:lnTo>
                                  <a:pt x="3411804" y="1699996"/>
                                </a:lnTo>
                                <a:lnTo>
                                  <a:pt x="3411804" y="1758429"/>
                                </a:lnTo>
                                <a:lnTo>
                                  <a:pt x="3418154" y="1758429"/>
                                </a:lnTo>
                                <a:lnTo>
                                  <a:pt x="3418154" y="1699996"/>
                                </a:lnTo>
                                <a:lnTo>
                                  <a:pt x="4041800" y="1699996"/>
                                </a:lnTo>
                                <a:lnTo>
                                  <a:pt x="4074947" y="1699996"/>
                                </a:lnTo>
                                <a:lnTo>
                                  <a:pt x="4074947" y="1758950"/>
                                </a:lnTo>
                                <a:lnTo>
                                  <a:pt x="4081297" y="1758950"/>
                                </a:lnTo>
                                <a:lnTo>
                                  <a:pt x="4081297" y="1699996"/>
                                </a:lnTo>
                                <a:lnTo>
                                  <a:pt x="4114457" y="1699996"/>
                                </a:lnTo>
                                <a:lnTo>
                                  <a:pt x="4114457" y="1693646"/>
                                </a:lnTo>
                                <a:lnTo>
                                  <a:pt x="4081297" y="1693646"/>
                                </a:lnTo>
                                <a:lnTo>
                                  <a:pt x="4081297" y="1460500"/>
                                </a:lnTo>
                                <a:lnTo>
                                  <a:pt x="4079900" y="1460500"/>
                                </a:lnTo>
                                <a:lnTo>
                                  <a:pt x="4081297" y="1460461"/>
                                </a:lnTo>
                                <a:lnTo>
                                  <a:pt x="4152557" y="1460461"/>
                                </a:lnTo>
                                <a:lnTo>
                                  <a:pt x="4152557" y="1454111"/>
                                </a:lnTo>
                                <a:lnTo>
                                  <a:pt x="4081297" y="1454111"/>
                                </a:lnTo>
                                <a:lnTo>
                                  <a:pt x="4081297" y="1212850"/>
                                </a:lnTo>
                                <a:lnTo>
                                  <a:pt x="4079900" y="1212850"/>
                                </a:lnTo>
                                <a:lnTo>
                                  <a:pt x="4079900" y="1212684"/>
                                </a:lnTo>
                                <a:lnTo>
                                  <a:pt x="4081297" y="1212684"/>
                                </a:lnTo>
                                <a:lnTo>
                                  <a:pt x="4152557" y="1212684"/>
                                </a:lnTo>
                                <a:lnTo>
                                  <a:pt x="4152557" y="1206334"/>
                                </a:lnTo>
                                <a:lnTo>
                                  <a:pt x="4081297" y="1206334"/>
                                </a:lnTo>
                                <a:lnTo>
                                  <a:pt x="4081297" y="973162"/>
                                </a:lnTo>
                                <a:lnTo>
                                  <a:pt x="4152557" y="973162"/>
                                </a:lnTo>
                                <a:lnTo>
                                  <a:pt x="4152557" y="966812"/>
                                </a:lnTo>
                                <a:lnTo>
                                  <a:pt x="4081297" y="966812"/>
                                </a:lnTo>
                                <a:lnTo>
                                  <a:pt x="4079900" y="966812"/>
                                </a:lnTo>
                                <a:lnTo>
                                  <a:pt x="4079900" y="966470"/>
                                </a:lnTo>
                                <a:lnTo>
                                  <a:pt x="4081297" y="966470"/>
                                </a:lnTo>
                                <a:lnTo>
                                  <a:pt x="4081297" y="734060"/>
                                </a:lnTo>
                                <a:lnTo>
                                  <a:pt x="4079900" y="734060"/>
                                </a:lnTo>
                                <a:lnTo>
                                  <a:pt x="4079900" y="733653"/>
                                </a:lnTo>
                                <a:lnTo>
                                  <a:pt x="4081297" y="733653"/>
                                </a:lnTo>
                                <a:lnTo>
                                  <a:pt x="4152557" y="733653"/>
                                </a:lnTo>
                                <a:lnTo>
                                  <a:pt x="4152557" y="727303"/>
                                </a:lnTo>
                                <a:lnTo>
                                  <a:pt x="4081297" y="727303"/>
                                </a:lnTo>
                                <a:lnTo>
                                  <a:pt x="4081297" y="494131"/>
                                </a:lnTo>
                                <a:lnTo>
                                  <a:pt x="4152557" y="494131"/>
                                </a:lnTo>
                                <a:lnTo>
                                  <a:pt x="4152557" y="487781"/>
                                </a:lnTo>
                                <a:lnTo>
                                  <a:pt x="4081297" y="487781"/>
                                </a:lnTo>
                                <a:lnTo>
                                  <a:pt x="4079900" y="487781"/>
                                </a:lnTo>
                                <a:lnTo>
                                  <a:pt x="4081297" y="487680"/>
                                </a:lnTo>
                                <a:lnTo>
                                  <a:pt x="4081297" y="246380"/>
                                </a:lnTo>
                                <a:lnTo>
                                  <a:pt x="4079900" y="246380"/>
                                </a:lnTo>
                                <a:lnTo>
                                  <a:pt x="4081297" y="246354"/>
                                </a:lnTo>
                                <a:lnTo>
                                  <a:pt x="4152557" y="246354"/>
                                </a:lnTo>
                                <a:lnTo>
                                  <a:pt x="4152557" y="240004"/>
                                </a:lnTo>
                                <a:close/>
                              </a:path>
                            </a:pathLst>
                          </a:custGeom>
                          <a:solidFill>
                            <a:srgbClr val="000000"/>
                          </a:solidFill>
                        </wps:spPr>
                        <wps:bodyPr wrap="square" lIns="0" tIns="0" rIns="0" bIns="0" rtlCol="0">
                          <a:prstTxWarp prst="textNoShape">
                            <a:avLst/>
                          </a:prstTxWarp>
                          <a:noAutofit/>
                        </wps:bodyPr>
                      </wps:wsp>
                      <wps:wsp>
                        <wps:cNvPr id="1837" name="Graphic 1837"/>
                        <wps:cNvSpPr/>
                        <wps:spPr>
                          <a:xfrm>
                            <a:off x="0" y="482"/>
                            <a:ext cx="4152900" cy="246379"/>
                          </a:xfrm>
                          <a:custGeom>
                            <a:avLst/>
                            <a:gdLst/>
                            <a:ahLst/>
                            <a:cxnLst/>
                            <a:rect l="l" t="t" r="r" b="b"/>
                            <a:pathLst>
                              <a:path w="4152900" h="246379">
                                <a:moveTo>
                                  <a:pt x="71247" y="214731"/>
                                </a:moveTo>
                                <a:lnTo>
                                  <a:pt x="0" y="214731"/>
                                </a:lnTo>
                                <a:lnTo>
                                  <a:pt x="0" y="221081"/>
                                </a:lnTo>
                                <a:lnTo>
                                  <a:pt x="71247" y="221081"/>
                                </a:lnTo>
                                <a:lnTo>
                                  <a:pt x="71247" y="214731"/>
                                </a:lnTo>
                                <a:close/>
                              </a:path>
                              <a:path w="4152900" h="246379">
                                <a:moveTo>
                                  <a:pt x="71247" y="0"/>
                                </a:moveTo>
                                <a:lnTo>
                                  <a:pt x="0" y="0"/>
                                </a:lnTo>
                                <a:lnTo>
                                  <a:pt x="0" y="6350"/>
                                </a:lnTo>
                                <a:lnTo>
                                  <a:pt x="71247" y="6350"/>
                                </a:lnTo>
                                <a:lnTo>
                                  <a:pt x="71247" y="0"/>
                                </a:lnTo>
                                <a:close/>
                              </a:path>
                              <a:path w="4152900" h="246379">
                                <a:moveTo>
                                  <a:pt x="77597" y="214731"/>
                                </a:moveTo>
                                <a:lnTo>
                                  <a:pt x="72656" y="214731"/>
                                </a:lnTo>
                                <a:lnTo>
                                  <a:pt x="72656" y="221081"/>
                                </a:lnTo>
                                <a:lnTo>
                                  <a:pt x="77597" y="221081"/>
                                </a:lnTo>
                                <a:lnTo>
                                  <a:pt x="77597" y="214731"/>
                                </a:lnTo>
                                <a:close/>
                              </a:path>
                              <a:path w="4152900" h="246379">
                                <a:moveTo>
                                  <a:pt x="77597" y="0"/>
                                </a:moveTo>
                                <a:lnTo>
                                  <a:pt x="72656" y="0"/>
                                </a:lnTo>
                                <a:lnTo>
                                  <a:pt x="72656" y="6350"/>
                                </a:lnTo>
                                <a:lnTo>
                                  <a:pt x="77597" y="6350"/>
                                </a:lnTo>
                                <a:lnTo>
                                  <a:pt x="77597" y="0"/>
                                </a:lnTo>
                                <a:close/>
                              </a:path>
                              <a:path w="4152900" h="246379">
                                <a:moveTo>
                                  <a:pt x="4152557" y="239522"/>
                                </a:moveTo>
                                <a:lnTo>
                                  <a:pt x="4081297" y="239522"/>
                                </a:lnTo>
                                <a:lnTo>
                                  <a:pt x="4081297" y="245872"/>
                                </a:lnTo>
                                <a:lnTo>
                                  <a:pt x="4152557" y="245872"/>
                                </a:lnTo>
                                <a:lnTo>
                                  <a:pt x="4152557" y="239522"/>
                                </a:lnTo>
                                <a:close/>
                              </a:path>
                              <a:path w="4152900" h="246379">
                                <a:moveTo>
                                  <a:pt x="4152557" y="0"/>
                                </a:moveTo>
                                <a:lnTo>
                                  <a:pt x="4081297" y="0"/>
                                </a:lnTo>
                                <a:lnTo>
                                  <a:pt x="4079900" y="0"/>
                                </a:lnTo>
                                <a:lnTo>
                                  <a:pt x="4079900" y="6350"/>
                                </a:lnTo>
                                <a:lnTo>
                                  <a:pt x="4081297" y="6350"/>
                                </a:lnTo>
                                <a:lnTo>
                                  <a:pt x="4152557" y="6350"/>
                                </a:lnTo>
                                <a:lnTo>
                                  <a:pt x="4152557" y="0"/>
                                </a:lnTo>
                                <a:close/>
                              </a:path>
                            </a:pathLst>
                          </a:custGeom>
                          <a:solidFill>
                            <a:srgbClr val="000000"/>
                          </a:solidFill>
                        </wps:spPr>
                        <wps:bodyPr wrap="square" lIns="0" tIns="0" rIns="0" bIns="0" rtlCol="0">
                          <a:prstTxWarp prst="textNoShape">
                            <a:avLst/>
                          </a:prstTxWarp>
                          <a:noAutofit/>
                        </wps:bodyPr>
                      </wps:wsp>
                      <wps:wsp>
                        <wps:cNvPr id="1838" name="Graphic 1838"/>
                        <wps:cNvSpPr/>
                        <wps:spPr>
                          <a:xfrm>
                            <a:off x="364552" y="259689"/>
                            <a:ext cx="3423920" cy="545465"/>
                          </a:xfrm>
                          <a:custGeom>
                            <a:avLst/>
                            <a:gdLst/>
                            <a:ahLst/>
                            <a:cxnLst/>
                            <a:rect l="l" t="t" r="r" b="b"/>
                            <a:pathLst>
                              <a:path w="3423920" h="545465">
                                <a:moveTo>
                                  <a:pt x="3423450" y="41300"/>
                                </a:moveTo>
                                <a:lnTo>
                                  <a:pt x="3381997" y="0"/>
                                </a:lnTo>
                                <a:lnTo>
                                  <a:pt x="3343186" y="38684"/>
                                </a:lnTo>
                                <a:lnTo>
                                  <a:pt x="2739390" y="127825"/>
                                </a:lnTo>
                                <a:lnTo>
                                  <a:pt x="2710573" y="99110"/>
                                </a:lnTo>
                                <a:lnTo>
                                  <a:pt x="2672207" y="137337"/>
                                </a:lnTo>
                                <a:lnTo>
                                  <a:pt x="2076513" y="218960"/>
                                </a:lnTo>
                                <a:lnTo>
                                  <a:pt x="2047430" y="189966"/>
                                </a:lnTo>
                                <a:lnTo>
                                  <a:pt x="2008606" y="228663"/>
                                </a:lnTo>
                                <a:lnTo>
                                  <a:pt x="1404810" y="317792"/>
                                </a:lnTo>
                                <a:lnTo>
                                  <a:pt x="1376006" y="289077"/>
                                </a:lnTo>
                                <a:lnTo>
                                  <a:pt x="1337094" y="327863"/>
                                </a:lnTo>
                                <a:lnTo>
                                  <a:pt x="741616" y="416852"/>
                                </a:lnTo>
                                <a:lnTo>
                                  <a:pt x="712863" y="388188"/>
                                </a:lnTo>
                                <a:lnTo>
                                  <a:pt x="675614" y="425310"/>
                                </a:lnTo>
                                <a:lnTo>
                                  <a:pt x="71234" y="492213"/>
                                </a:lnTo>
                                <a:lnTo>
                                  <a:pt x="41440" y="462521"/>
                                </a:lnTo>
                                <a:lnTo>
                                  <a:pt x="0" y="503821"/>
                                </a:lnTo>
                                <a:lnTo>
                                  <a:pt x="41440" y="545122"/>
                                </a:lnTo>
                                <a:lnTo>
                                  <a:pt x="78689" y="508012"/>
                                </a:lnTo>
                                <a:lnTo>
                                  <a:pt x="683069" y="441109"/>
                                </a:lnTo>
                                <a:lnTo>
                                  <a:pt x="712863" y="470789"/>
                                </a:lnTo>
                                <a:lnTo>
                                  <a:pt x="751763" y="432041"/>
                                </a:lnTo>
                                <a:lnTo>
                                  <a:pt x="1347254" y="343039"/>
                                </a:lnTo>
                                <a:lnTo>
                                  <a:pt x="1376006" y="371678"/>
                                </a:lnTo>
                                <a:lnTo>
                                  <a:pt x="1414818" y="333006"/>
                                </a:lnTo>
                                <a:lnTo>
                                  <a:pt x="2018626" y="243878"/>
                                </a:lnTo>
                                <a:lnTo>
                                  <a:pt x="2047430" y="272554"/>
                                </a:lnTo>
                                <a:lnTo>
                                  <a:pt x="2085784" y="234353"/>
                                </a:lnTo>
                                <a:lnTo>
                                  <a:pt x="2681490" y="152742"/>
                                </a:lnTo>
                                <a:lnTo>
                                  <a:pt x="2710573" y="181711"/>
                                </a:lnTo>
                                <a:lnTo>
                                  <a:pt x="2749385" y="143040"/>
                                </a:lnTo>
                                <a:lnTo>
                                  <a:pt x="3353193" y="53898"/>
                                </a:lnTo>
                                <a:lnTo>
                                  <a:pt x="3381997" y="82600"/>
                                </a:lnTo>
                                <a:lnTo>
                                  <a:pt x="3423450" y="41300"/>
                                </a:lnTo>
                                <a:close/>
                              </a:path>
                            </a:pathLst>
                          </a:custGeom>
                          <a:solidFill>
                            <a:srgbClr val="E3C626"/>
                          </a:solidFill>
                        </wps:spPr>
                        <wps:bodyPr wrap="square" lIns="0" tIns="0" rIns="0" bIns="0" rtlCol="0">
                          <a:prstTxWarp prst="textNoShape">
                            <a:avLst/>
                          </a:prstTxWarp>
                          <a:noAutofit/>
                        </wps:bodyPr>
                      </wps:wsp>
                    </wpg:wgp>
                  </a:graphicData>
                </a:graphic>
              </wp:anchor>
            </w:drawing>
          </mc:Choice>
          <mc:Fallback>
            <w:pict>
              <v:group style="position:absolute;margin-left:132.079071pt;margin-top:13.440674pt;width:327pt;height:139.4pt;mso-position-horizontal-relative:page;mso-position-vertical-relative:paragraph;z-index:-15601664;mso-wrap-distance-left:0;mso-wrap-distance-right:0" id="docshapegroup1820" coordorigin="2642,269" coordsize="6540,2788">
                <v:shape style="position:absolute;left:3072;top:443;width:5679;height:2498" id="docshape1821" coordorigin="3072,444" coordsize="5679,2498" path="m3503,2109l3072,2109,3072,2941,3503,2941,3503,2109xm4547,1770l4129,1770,4129,2941,4547,2941,4547,1770xm5605,1445l5174,1445,5174,2941,5605,2941,5605,1445xm6649,1107l6231,1107,6231,2941,6649,2941,6649,1107xm7706,769l7275,769,7275,2941,7706,2941,7706,769xm8751,444l8333,444,8333,2941,8751,2941,8751,444xe" filled="true" fillcolor="#2f7d41" stroked="false">
                  <v:path arrowok="t"/>
                  <v:fill type="solid"/>
                </v:shape>
                <v:shape style="position:absolute;left:2641;top:268;width:6540;height:2788" id="docshape1822" coordorigin="2642,269" coordsize="6540,2788" path="m9181,647l9069,647,9069,279,9067,279,9067,269,9059,269,9059,279,9059,647,9059,2936,9007,2936,8025,2936,8025,2924,8015,2924,8015,2936,6967,2936,6967,2924,6957,2924,6957,2936,5923,2936,5923,2924,5913,2924,5913,2936,4865,2936,4865,2924,4855,2924,4855,2936,3821,2936,3821,2924,3811,2924,3811,2936,2764,2936,2764,2608,2764,2607,2764,2598,2756,2598,2756,2597,2764,2597,2764,2283,2756,2283,2764,2283,2764,2273,2764,1945,2756,1945,2756,1944,2764,1944,2764,1935,2764,1934,2764,1607,2756,1607,2756,1606,2764,1606,2764,1597,2764,1596,2764,1281,2764,1281,2764,1271,2756,1271,2756,1271,2764,1271,2764,943,2764,933,2756,933,2764,933,2764,617,2756,617,2756,607,2764,607,2764,279,2756,279,2756,269,2754,269,2754,933,2642,933,2642,943,2754,943,2754,1271,2754,1271,2642,1271,2642,1281,2754,1281,2754,1596,2642,1596,2642,1606,2754,1606,2754,1607,2754,1934,2642,1934,2642,1944,2754,1944,2754,1945,2754,2273,2642,2273,2642,2283,2754,2283,2754,2597,2754,2598,2642,2598,2642,2608,2754,2608,2754,2936,2642,2936,2642,2946,2754,2946,2754,2947,2754,3057,2764,3057,2764,2947,2756,2947,2756,2946,2764,2946,3811,2946,3811,3038,3821,3038,3821,2946,4855,2946,4855,3038,4865,3038,4865,2946,5913,2946,5913,3038,5923,3038,5923,2946,6957,2946,6957,3038,6967,3038,6967,2946,8015,2946,8015,3038,8025,3038,8025,2946,9007,2946,9059,2946,9059,3039,9069,3039,9069,2946,9121,2946,9121,2936,9069,2936,9069,2569,9067,2569,9069,2569,9181,2569,9181,2559,9069,2559,9069,2179,9067,2179,9067,2179,9069,2179,9181,2179,9181,2169,9069,2169,9069,1801,9181,1801,9181,1791,9069,1791,9067,1791,9067,1791,9069,1791,9069,1425,9067,1425,9067,1424,9069,1424,9181,1424,9181,1414,9069,1414,9069,1047,9181,1047,9181,1037,9069,1037,9067,1037,9069,1037,9069,657,9067,657,9069,657,9181,657,9181,647xe" filled="true" fillcolor="#000000" stroked="false">
                  <v:path arrowok="t"/>
                  <v:fill type="solid"/>
                </v:shape>
                <v:shape style="position:absolute;left:2641;top:269;width:6540;height:388" id="docshape1823" coordorigin="2642,270" coordsize="6540,388" path="m2754,608l2642,608,2642,618,2754,618,2754,608xm2754,270l2642,270,2642,280,2754,280,2754,270xm2764,608l2756,608,2756,618,2764,618,2764,608xm2764,270l2756,270,2756,280,2764,280,2764,270xm9181,647l9069,647,9069,657,9181,657,9181,647xm9181,270l9069,270,9067,270,9067,280,9069,280,9181,280,9181,270xe" filled="true" fillcolor="#000000" stroked="false">
                  <v:path arrowok="t"/>
                  <v:fill type="solid"/>
                </v:shape>
                <v:shape style="position:absolute;left:3215;top:677;width:5392;height:859" id="docshape1824" coordorigin="3216,678" coordsize="5392,859" path="m8607,743l8542,678,8481,739,7530,879,7484,834,7424,894,6486,1023,6440,977,6379,1038,5428,1178,5383,1133,5321,1194,4384,1334,4338,1289,4280,1348,3328,1453,3281,1406,3216,1471,3281,1536,3340,1478,4291,1372,4338,1419,4400,1358,5337,1218,5383,1263,5444,1202,6395,1062,6440,1107,6500,1047,7439,918,7484,964,7545,903,8496,763,8542,808,8607,743xe" filled="true" fillcolor="#e3c626" stroked="false">
                  <v:path arrowok="t"/>
                  <v:fill type="solid"/>
                </v:shape>
                <w10:wrap type="topAndBottom"/>
              </v:group>
            </w:pict>
          </mc:Fallback>
        </mc:AlternateContent>
      </w:r>
    </w:p>
    <w:p>
      <w:pPr>
        <w:pStyle w:val="BodyText"/>
        <w:spacing w:before="160"/>
        <w:rPr>
          <w:b/>
          <w:sz w:val="16"/>
        </w:rPr>
      </w:pPr>
    </w:p>
    <w:p>
      <w:pPr>
        <w:spacing w:before="0"/>
        <w:ind w:left="1967" w:right="0" w:firstLine="0"/>
        <w:jc w:val="left"/>
        <w:rPr>
          <w:sz w:val="16"/>
        </w:rPr>
      </w:pPr>
      <w:r>
        <w:rPr/>
        <mc:AlternateContent>
          <mc:Choice Requires="wps">
            <w:drawing>
              <wp:anchor distT="0" distB="0" distL="0" distR="0" allowOverlap="1" layoutInCell="1" locked="0" behindDoc="0" simplePos="0" relativeHeight="15857152">
                <wp:simplePos x="0" y="0"/>
                <wp:positionH relativeFrom="page">
                  <wp:posOffset>1345149</wp:posOffset>
                </wp:positionH>
                <wp:positionV relativeFrom="paragraph">
                  <wp:posOffset>-1247376</wp:posOffset>
                </wp:positionV>
                <wp:extent cx="127635" cy="224154"/>
                <wp:effectExtent l="0" t="0" r="0" b="0"/>
                <wp:wrapNone/>
                <wp:docPr id="1839" name="Textbox 1839"/>
                <wp:cNvGraphicFramePr>
                  <a:graphicFrameLocks/>
                </wp:cNvGraphicFramePr>
                <a:graphic>
                  <a:graphicData uri="http://schemas.microsoft.com/office/word/2010/wordprocessingShape">
                    <wps:wsp>
                      <wps:cNvPr id="1839" name="Textbox 1839"/>
                      <wps:cNvSpPr txBox="1"/>
                      <wps:spPr>
                        <a:xfrm>
                          <a:off x="0" y="0"/>
                          <a:ext cx="127635" cy="224154"/>
                        </a:xfrm>
                        <a:prstGeom prst="rect">
                          <a:avLst/>
                        </a:prstGeom>
                      </wps:spPr>
                      <wps:txbx>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wps:txbx>
                      <wps:bodyPr wrap="square" lIns="0" tIns="0" rIns="0" bIns="0" rtlCol="0" vert="vert270">
                        <a:noAutofit/>
                      </wps:bodyPr>
                    </wps:wsp>
                  </a:graphicData>
                </a:graphic>
              </wp:anchor>
            </w:drawing>
          </mc:Choice>
          <mc:Fallback>
            <w:pict>
              <v:shape style="position:absolute;margin-left:105.917305pt;margin-top:-98.21859pt;width:10.050pt;height:17.650pt;mso-position-horizontal-relative:page;mso-position-vertical-relative:paragraph;z-index:15857152" type="#_x0000_t202" id="docshape1825"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(in</w:t>
                      </w:r>
                      <w:r>
                        <w:rPr>
                          <w:rFonts w:ascii="Arial"/>
                          <w:b/>
                          <w:spacing w:val="-4"/>
                          <w:sz w:val="14"/>
                        </w:rPr>
                        <w:t> </w:t>
                      </w:r>
                      <w:r>
                        <w:rPr>
                          <w:rFonts w:ascii="Arial"/>
                          <w:b/>
                          <w:spacing w:val="-5"/>
                          <w:w w:val="90"/>
                          <w:sz w:val="14"/>
                        </w:rPr>
                        <w:t>%)</w:t>
                      </w:r>
                    </w:p>
                  </w:txbxContent>
                </v:textbox>
                <w10:wrap type="none"/>
              </v:shape>
            </w:pict>
          </mc:Fallback>
        </mc:AlternateContent>
      </w:r>
      <w:r>
        <w:rPr>
          <w:i/>
          <w:spacing w:val="-2"/>
          <w:sz w:val="16"/>
        </w:rPr>
        <w:t>Source:</w:t>
      </w:r>
      <w:r>
        <w:rPr>
          <w:i/>
          <w:spacing w:val="-8"/>
          <w:sz w:val="16"/>
        </w:rPr>
        <w:t> </w:t>
      </w:r>
      <w:r>
        <w:rPr>
          <w:spacing w:val="-2"/>
          <w:sz w:val="16"/>
        </w:rPr>
        <w:t>University</w:t>
      </w:r>
      <w:r>
        <w:rPr>
          <w:spacing w:val="-7"/>
          <w:sz w:val="16"/>
        </w:rPr>
        <w:t> </w:t>
      </w:r>
      <w:r>
        <w:rPr>
          <w:spacing w:val="-2"/>
          <w:sz w:val="16"/>
        </w:rPr>
        <w:t>Development</w:t>
      </w:r>
      <w:r>
        <w:rPr>
          <w:spacing w:val="-7"/>
          <w:sz w:val="16"/>
        </w:rPr>
        <w:t> </w:t>
      </w:r>
      <w:r>
        <w:rPr>
          <w:spacing w:val="-2"/>
          <w:sz w:val="16"/>
        </w:rPr>
        <w:t>in</w:t>
      </w:r>
      <w:r>
        <w:rPr>
          <w:spacing w:val="-7"/>
          <w:sz w:val="16"/>
        </w:rPr>
        <w:t> </w:t>
      </w:r>
      <w:r>
        <w:rPr>
          <w:spacing w:val="-2"/>
          <w:sz w:val="16"/>
        </w:rPr>
        <w:t>India,</w:t>
      </w:r>
      <w:r>
        <w:rPr>
          <w:spacing w:val="-7"/>
          <w:sz w:val="16"/>
        </w:rPr>
        <w:t> </w:t>
      </w:r>
      <w:r>
        <w:rPr>
          <w:spacing w:val="-2"/>
          <w:sz w:val="16"/>
        </w:rPr>
        <w:t>1995-96</w:t>
      </w:r>
      <w:r>
        <w:rPr>
          <w:spacing w:val="-7"/>
          <w:sz w:val="16"/>
        </w:rPr>
        <w:t> </w:t>
      </w:r>
      <w:r>
        <w:rPr>
          <w:spacing w:val="-2"/>
          <w:sz w:val="16"/>
        </w:rPr>
        <w:t>to</w:t>
      </w:r>
      <w:r>
        <w:rPr>
          <w:spacing w:val="-8"/>
          <w:sz w:val="16"/>
        </w:rPr>
        <w:t> </w:t>
      </w:r>
      <w:r>
        <w:rPr>
          <w:spacing w:val="-2"/>
          <w:sz w:val="16"/>
        </w:rPr>
        <w:t>2001-01,</w:t>
      </w:r>
      <w:r>
        <w:rPr>
          <w:spacing w:val="-7"/>
          <w:sz w:val="16"/>
        </w:rPr>
        <w:t> </w:t>
      </w:r>
      <w:r>
        <w:rPr>
          <w:spacing w:val="-5"/>
          <w:sz w:val="16"/>
        </w:rPr>
        <w:t>UGC</w:t>
      </w:r>
    </w:p>
    <w:p>
      <w:pPr>
        <w:spacing w:after="0"/>
        <w:jc w:val="left"/>
        <w:rPr>
          <w:sz w:val="16"/>
        </w:rPr>
        <w:sectPr>
          <w:type w:val="continuous"/>
          <w:pgSz w:w="11910" w:h="16840"/>
          <w:pgMar w:header="0" w:footer="675" w:top="1920" w:bottom="280" w:left="0" w:right="0"/>
        </w:sectPr>
      </w:pPr>
    </w:p>
    <w:p>
      <w:pPr>
        <w:pStyle w:val="Heading8"/>
        <w:spacing w:before="73"/>
        <w:ind w:left="2004"/>
      </w:pPr>
      <w:r>
        <w:rPr>
          <w:w w:val="90"/>
        </w:rPr>
        <w:t>Figure</w:t>
      </w:r>
      <w:r>
        <w:rPr>
          <w:spacing w:val="11"/>
        </w:rPr>
        <w:t> </w:t>
      </w:r>
      <w:r>
        <w:rPr>
          <w:w w:val="90"/>
        </w:rPr>
        <w:t>40:</w:t>
      </w:r>
      <w:r>
        <w:rPr>
          <w:spacing w:val="12"/>
        </w:rPr>
        <w:t> </w:t>
      </w:r>
      <w:r>
        <w:rPr>
          <w:color w:val="2E614A"/>
          <w:w w:val="90"/>
        </w:rPr>
        <w:t>Growth</w:t>
      </w:r>
      <w:r>
        <w:rPr>
          <w:color w:val="2E614A"/>
          <w:spacing w:val="12"/>
        </w:rPr>
        <w:t> </w:t>
      </w:r>
      <w:r>
        <w:rPr>
          <w:color w:val="2E614A"/>
          <w:w w:val="90"/>
        </w:rPr>
        <w:t>in</w:t>
      </w:r>
      <w:r>
        <w:rPr>
          <w:color w:val="2E614A"/>
          <w:spacing w:val="12"/>
        </w:rPr>
        <w:t> </w:t>
      </w:r>
      <w:r>
        <w:rPr>
          <w:color w:val="2E614A"/>
          <w:w w:val="90"/>
        </w:rPr>
        <w:t>engineering</w:t>
      </w:r>
      <w:r>
        <w:rPr>
          <w:color w:val="2E614A"/>
          <w:spacing w:val="11"/>
        </w:rPr>
        <w:t> </w:t>
      </w:r>
      <w:r>
        <w:rPr>
          <w:color w:val="2E614A"/>
          <w:spacing w:val="-2"/>
          <w:w w:val="90"/>
        </w:rPr>
        <w:t>institutions</w:t>
      </w:r>
    </w:p>
    <w:p>
      <w:pPr>
        <w:pStyle w:val="BodyText"/>
        <w:spacing w:before="5"/>
        <w:rPr>
          <w:b/>
          <w:sz w:val="17"/>
        </w:rPr>
      </w:pPr>
    </w:p>
    <w:p>
      <w:pPr>
        <w:pStyle w:val="BodyText"/>
        <w:ind w:left="2004"/>
        <w:rPr>
          <w:sz w:val="20"/>
        </w:rPr>
      </w:pPr>
      <w:r>
        <w:rPr>
          <w:sz w:val="20"/>
        </w:rPr>
        <mc:AlternateContent>
          <mc:Choice Requires="wps">
            <w:drawing>
              <wp:inline distT="0" distB="0" distL="0" distR="0">
                <wp:extent cx="5045710" cy="2400300"/>
                <wp:effectExtent l="9525" t="0" r="0" b="0"/>
                <wp:docPr id="1840" name="Group 1840"/>
                <wp:cNvGraphicFramePr>
                  <a:graphicFrameLocks/>
                </wp:cNvGraphicFramePr>
                <a:graphic>
                  <a:graphicData uri="http://schemas.microsoft.com/office/word/2010/wordprocessingGroup">
                    <wpg:wgp>
                      <wpg:cNvPr id="1840" name="Group 1840"/>
                      <wpg:cNvGrpSpPr/>
                      <wpg:grpSpPr>
                        <a:xfrm>
                          <a:off x="0" y="0"/>
                          <a:ext cx="5045710" cy="2400300"/>
                          <a:chExt cx="5045710" cy="2400300"/>
                        </a:xfrm>
                      </wpg:grpSpPr>
                      <wps:wsp>
                        <wps:cNvPr id="1841" name="Graphic 1841"/>
                        <wps:cNvSpPr/>
                        <wps:spPr>
                          <a:xfrm>
                            <a:off x="837784" y="261644"/>
                            <a:ext cx="3744595" cy="1809114"/>
                          </a:xfrm>
                          <a:custGeom>
                            <a:avLst/>
                            <a:gdLst/>
                            <a:ahLst/>
                            <a:cxnLst/>
                            <a:rect l="l" t="t" r="r" b="b"/>
                            <a:pathLst>
                              <a:path w="3744595" h="1809114">
                                <a:moveTo>
                                  <a:pt x="324942" y="1618830"/>
                                </a:moveTo>
                                <a:lnTo>
                                  <a:pt x="0" y="1618830"/>
                                </a:lnTo>
                                <a:lnTo>
                                  <a:pt x="0" y="1808797"/>
                                </a:lnTo>
                                <a:lnTo>
                                  <a:pt x="324942" y="1808797"/>
                                </a:lnTo>
                                <a:lnTo>
                                  <a:pt x="324942" y="1618830"/>
                                </a:lnTo>
                                <a:close/>
                              </a:path>
                              <a:path w="3744595" h="1809114">
                                <a:moveTo>
                                  <a:pt x="1462773" y="1404073"/>
                                </a:moveTo>
                                <a:lnTo>
                                  <a:pt x="1143635" y="1404073"/>
                                </a:lnTo>
                                <a:lnTo>
                                  <a:pt x="1143635" y="1808797"/>
                                </a:lnTo>
                                <a:lnTo>
                                  <a:pt x="1462773" y="1808797"/>
                                </a:lnTo>
                                <a:lnTo>
                                  <a:pt x="1462773" y="1404073"/>
                                </a:lnTo>
                                <a:close/>
                              </a:path>
                              <a:path w="3744595" h="1809114">
                                <a:moveTo>
                                  <a:pt x="2606421" y="875487"/>
                                </a:moveTo>
                                <a:lnTo>
                                  <a:pt x="2281478" y="875487"/>
                                </a:lnTo>
                                <a:lnTo>
                                  <a:pt x="2281478" y="1808797"/>
                                </a:lnTo>
                                <a:lnTo>
                                  <a:pt x="2606421" y="1808797"/>
                                </a:lnTo>
                                <a:lnTo>
                                  <a:pt x="2606421" y="875487"/>
                                </a:lnTo>
                                <a:close/>
                              </a:path>
                              <a:path w="3744595" h="1809114">
                                <a:moveTo>
                                  <a:pt x="3744239" y="0"/>
                                </a:moveTo>
                                <a:lnTo>
                                  <a:pt x="3425101" y="0"/>
                                </a:lnTo>
                                <a:lnTo>
                                  <a:pt x="3425101" y="1808797"/>
                                </a:lnTo>
                                <a:lnTo>
                                  <a:pt x="3744239" y="1808797"/>
                                </a:lnTo>
                                <a:lnTo>
                                  <a:pt x="3744239" y="0"/>
                                </a:lnTo>
                                <a:close/>
                              </a:path>
                            </a:pathLst>
                          </a:custGeom>
                          <a:solidFill>
                            <a:srgbClr val="2F7D41"/>
                          </a:solidFill>
                        </wps:spPr>
                        <wps:bodyPr wrap="square" lIns="0" tIns="0" rIns="0" bIns="0" rtlCol="0">
                          <a:prstTxWarp prst="textNoShape">
                            <a:avLst/>
                          </a:prstTxWarp>
                          <a:noAutofit/>
                        </wps:bodyPr>
                      </wps:wsp>
                      <wps:wsp>
                        <wps:cNvPr id="1842" name="Graphic 1842"/>
                        <wps:cNvSpPr/>
                        <wps:spPr>
                          <a:xfrm>
                            <a:off x="-9" y="0"/>
                            <a:ext cx="5045710" cy="2400300"/>
                          </a:xfrm>
                          <a:custGeom>
                            <a:avLst/>
                            <a:gdLst/>
                            <a:ahLst/>
                            <a:cxnLst/>
                            <a:rect l="l" t="t" r="r" b="b"/>
                            <a:pathLst>
                              <a:path w="5045710" h="2400300">
                                <a:moveTo>
                                  <a:pt x="4986274" y="2067267"/>
                                </a:moveTo>
                                <a:lnTo>
                                  <a:pt x="4986274" y="2067267"/>
                                </a:lnTo>
                                <a:lnTo>
                                  <a:pt x="427202" y="2067267"/>
                                </a:lnTo>
                                <a:lnTo>
                                  <a:pt x="427202" y="151104"/>
                                </a:lnTo>
                                <a:lnTo>
                                  <a:pt x="420852" y="151104"/>
                                </a:lnTo>
                                <a:lnTo>
                                  <a:pt x="387692" y="151104"/>
                                </a:lnTo>
                                <a:lnTo>
                                  <a:pt x="387692" y="157454"/>
                                </a:lnTo>
                                <a:lnTo>
                                  <a:pt x="420852" y="157454"/>
                                </a:lnTo>
                                <a:lnTo>
                                  <a:pt x="420852" y="390626"/>
                                </a:lnTo>
                                <a:lnTo>
                                  <a:pt x="387692" y="390626"/>
                                </a:lnTo>
                                <a:lnTo>
                                  <a:pt x="387692" y="396976"/>
                                </a:lnTo>
                                <a:lnTo>
                                  <a:pt x="420852" y="396976"/>
                                </a:lnTo>
                                <a:lnTo>
                                  <a:pt x="420852" y="630135"/>
                                </a:lnTo>
                                <a:lnTo>
                                  <a:pt x="387692" y="630135"/>
                                </a:lnTo>
                                <a:lnTo>
                                  <a:pt x="387692" y="636485"/>
                                </a:lnTo>
                                <a:lnTo>
                                  <a:pt x="420852" y="636485"/>
                                </a:lnTo>
                                <a:lnTo>
                                  <a:pt x="420852" y="869657"/>
                                </a:lnTo>
                                <a:lnTo>
                                  <a:pt x="387692" y="869657"/>
                                </a:lnTo>
                                <a:lnTo>
                                  <a:pt x="387692" y="876007"/>
                                </a:lnTo>
                                <a:lnTo>
                                  <a:pt x="420852" y="876007"/>
                                </a:lnTo>
                                <a:lnTo>
                                  <a:pt x="420852" y="1109179"/>
                                </a:lnTo>
                                <a:lnTo>
                                  <a:pt x="387692" y="1109179"/>
                                </a:lnTo>
                                <a:lnTo>
                                  <a:pt x="387692" y="1115529"/>
                                </a:lnTo>
                                <a:lnTo>
                                  <a:pt x="420852" y="1115529"/>
                                </a:lnTo>
                                <a:lnTo>
                                  <a:pt x="420852" y="1348689"/>
                                </a:lnTo>
                                <a:lnTo>
                                  <a:pt x="387692" y="1348689"/>
                                </a:lnTo>
                                <a:lnTo>
                                  <a:pt x="387692" y="1355039"/>
                                </a:lnTo>
                                <a:lnTo>
                                  <a:pt x="420852" y="1355039"/>
                                </a:lnTo>
                                <a:lnTo>
                                  <a:pt x="420852" y="1588223"/>
                                </a:lnTo>
                                <a:lnTo>
                                  <a:pt x="387692" y="1588223"/>
                                </a:lnTo>
                                <a:lnTo>
                                  <a:pt x="387692" y="1594573"/>
                                </a:lnTo>
                                <a:lnTo>
                                  <a:pt x="420852" y="1594573"/>
                                </a:lnTo>
                                <a:lnTo>
                                  <a:pt x="420852" y="1827733"/>
                                </a:lnTo>
                                <a:lnTo>
                                  <a:pt x="387692" y="1827733"/>
                                </a:lnTo>
                                <a:lnTo>
                                  <a:pt x="387692" y="1834083"/>
                                </a:lnTo>
                                <a:lnTo>
                                  <a:pt x="420852" y="1834083"/>
                                </a:lnTo>
                                <a:lnTo>
                                  <a:pt x="420852" y="2067267"/>
                                </a:lnTo>
                                <a:lnTo>
                                  <a:pt x="387692" y="2067267"/>
                                </a:lnTo>
                                <a:lnTo>
                                  <a:pt x="387692" y="2073617"/>
                                </a:lnTo>
                                <a:lnTo>
                                  <a:pt x="420852" y="2073617"/>
                                </a:lnTo>
                                <a:lnTo>
                                  <a:pt x="420852" y="2106650"/>
                                </a:lnTo>
                                <a:lnTo>
                                  <a:pt x="427202" y="2106650"/>
                                </a:lnTo>
                                <a:lnTo>
                                  <a:pt x="427202" y="2073617"/>
                                </a:lnTo>
                                <a:lnTo>
                                  <a:pt x="1564767" y="2073617"/>
                                </a:lnTo>
                                <a:lnTo>
                                  <a:pt x="1564767" y="2106650"/>
                                </a:lnTo>
                                <a:lnTo>
                                  <a:pt x="1571117" y="2106650"/>
                                </a:lnTo>
                                <a:lnTo>
                                  <a:pt x="1571117" y="2073617"/>
                                </a:lnTo>
                                <a:lnTo>
                                  <a:pt x="2700388" y="2073617"/>
                                </a:lnTo>
                                <a:lnTo>
                                  <a:pt x="2700388" y="2106650"/>
                                </a:lnTo>
                                <a:lnTo>
                                  <a:pt x="2706738" y="2106650"/>
                                </a:lnTo>
                                <a:lnTo>
                                  <a:pt x="2706738" y="2073617"/>
                                </a:lnTo>
                                <a:lnTo>
                                  <a:pt x="3844302" y="2073617"/>
                                </a:lnTo>
                                <a:lnTo>
                                  <a:pt x="3844302" y="2106650"/>
                                </a:lnTo>
                                <a:lnTo>
                                  <a:pt x="3850652" y="2106650"/>
                                </a:lnTo>
                                <a:lnTo>
                                  <a:pt x="3850652" y="2073617"/>
                                </a:lnTo>
                                <a:lnTo>
                                  <a:pt x="4979924" y="2073617"/>
                                </a:lnTo>
                                <a:lnTo>
                                  <a:pt x="4979924" y="2106650"/>
                                </a:lnTo>
                                <a:lnTo>
                                  <a:pt x="4986274" y="2106650"/>
                                </a:lnTo>
                                <a:lnTo>
                                  <a:pt x="4986274" y="2067267"/>
                                </a:lnTo>
                                <a:close/>
                              </a:path>
                              <a:path w="5045710" h="2400300">
                                <a:moveTo>
                                  <a:pt x="5045405" y="0"/>
                                </a:moveTo>
                                <a:lnTo>
                                  <a:pt x="5039055" y="0"/>
                                </a:lnTo>
                                <a:lnTo>
                                  <a:pt x="5039055" y="2540"/>
                                </a:lnTo>
                                <a:lnTo>
                                  <a:pt x="5039055" y="3098"/>
                                </a:lnTo>
                                <a:lnTo>
                                  <a:pt x="5039055" y="6273"/>
                                </a:lnTo>
                                <a:lnTo>
                                  <a:pt x="5039055" y="2393873"/>
                                </a:lnTo>
                                <a:lnTo>
                                  <a:pt x="6350" y="2393873"/>
                                </a:lnTo>
                                <a:lnTo>
                                  <a:pt x="6350" y="6350"/>
                                </a:lnTo>
                                <a:lnTo>
                                  <a:pt x="3175" y="6350"/>
                                </a:lnTo>
                                <a:lnTo>
                                  <a:pt x="6350" y="6273"/>
                                </a:lnTo>
                                <a:lnTo>
                                  <a:pt x="5039055" y="6273"/>
                                </a:lnTo>
                                <a:lnTo>
                                  <a:pt x="5039055" y="3098"/>
                                </a:lnTo>
                                <a:lnTo>
                                  <a:pt x="6350" y="3098"/>
                                </a:lnTo>
                                <a:lnTo>
                                  <a:pt x="3175" y="3098"/>
                                </a:lnTo>
                                <a:lnTo>
                                  <a:pt x="3175" y="2540"/>
                                </a:lnTo>
                                <a:lnTo>
                                  <a:pt x="5039055" y="2540"/>
                                </a:lnTo>
                                <a:lnTo>
                                  <a:pt x="5039055" y="0"/>
                                </a:lnTo>
                                <a:lnTo>
                                  <a:pt x="0" y="0"/>
                                </a:lnTo>
                                <a:lnTo>
                                  <a:pt x="0" y="2540"/>
                                </a:lnTo>
                                <a:lnTo>
                                  <a:pt x="0" y="6350"/>
                                </a:lnTo>
                                <a:lnTo>
                                  <a:pt x="0" y="2393950"/>
                                </a:lnTo>
                                <a:lnTo>
                                  <a:pt x="0" y="2396490"/>
                                </a:lnTo>
                                <a:lnTo>
                                  <a:pt x="0" y="2400300"/>
                                </a:lnTo>
                                <a:lnTo>
                                  <a:pt x="5045405" y="2400300"/>
                                </a:lnTo>
                                <a:lnTo>
                                  <a:pt x="5045405" y="6350"/>
                                </a:lnTo>
                                <a:lnTo>
                                  <a:pt x="5042230" y="6350"/>
                                </a:lnTo>
                                <a:lnTo>
                                  <a:pt x="5045405" y="6273"/>
                                </a:lnTo>
                                <a:lnTo>
                                  <a:pt x="5045405" y="3098"/>
                                </a:lnTo>
                                <a:lnTo>
                                  <a:pt x="5042230" y="3098"/>
                                </a:lnTo>
                                <a:lnTo>
                                  <a:pt x="5042230" y="2540"/>
                                </a:lnTo>
                                <a:lnTo>
                                  <a:pt x="5045405" y="2540"/>
                                </a:lnTo>
                                <a:lnTo>
                                  <a:pt x="5045405" y="0"/>
                                </a:lnTo>
                                <a:close/>
                              </a:path>
                            </a:pathLst>
                          </a:custGeom>
                          <a:solidFill>
                            <a:srgbClr val="000000"/>
                          </a:solidFill>
                        </wps:spPr>
                        <wps:bodyPr wrap="square" lIns="0" tIns="0" rIns="0" bIns="0" rtlCol="0">
                          <a:prstTxWarp prst="textNoShape">
                            <a:avLst/>
                          </a:prstTxWarp>
                          <a:noAutofit/>
                        </wps:bodyPr>
                      </wps:wsp>
                      <wps:wsp>
                        <wps:cNvPr id="1843" name="Textbox 1843"/>
                        <wps:cNvSpPr txBox="1"/>
                        <wps:spPr>
                          <a:xfrm>
                            <a:off x="184976" y="118518"/>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1600</w:t>
                              </w:r>
                            </w:p>
                          </w:txbxContent>
                        </wps:txbx>
                        <wps:bodyPr wrap="square" lIns="0" tIns="0" rIns="0" bIns="0" rtlCol="0">
                          <a:noAutofit/>
                        </wps:bodyPr>
                      </wps:wsp>
                      <wps:wsp>
                        <wps:cNvPr id="1844" name="Textbox 1844"/>
                        <wps:cNvSpPr txBox="1"/>
                        <wps:spPr>
                          <a:xfrm>
                            <a:off x="2089188" y="2153167"/>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1990</w:t>
                              </w:r>
                            </w:p>
                          </w:txbxContent>
                        </wps:txbx>
                        <wps:bodyPr wrap="square" lIns="0" tIns="0" rIns="0" bIns="0" rtlCol="0">
                          <a:noAutofit/>
                        </wps:bodyPr>
                      </wps:wsp>
                      <wps:wsp>
                        <wps:cNvPr id="1845" name="Textbox 1845"/>
                        <wps:cNvSpPr txBox="1"/>
                        <wps:spPr>
                          <a:xfrm>
                            <a:off x="4343813" y="132818"/>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1512</w:t>
                              </w:r>
                            </w:p>
                          </w:txbxContent>
                        </wps:txbx>
                        <wps:bodyPr wrap="square" lIns="0" tIns="0" rIns="0" bIns="0" rtlCol="0">
                          <a:noAutofit/>
                        </wps:bodyPr>
                      </wps:wsp>
                      <wps:wsp>
                        <wps:cNvPr id="1846" name="Textbox 1846"/>
                        <wps:cNvSpPr txBox="1"/>
                        <wps:spPr>
                          <a:xfrm>
                            <a:off x="184976" y="354738"/>
                            <a:ext cx="175260" cy="81089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1400</w:t>
                              </w:r>
                            </w:p>
                            <w:p>
                              <w:pPr>
                                <w:spacing w:line="240" w:lineRule="auto" w:before="50"/>
                                <w:rPr>
                                  <w:rFonts w:ascii="Arial MT"/>
                                  <w:sz w:val="14"/>
                                </w:rPr>
                              </w:pPr>
                            </w:p>
                            <w:p>
                              <w:pPr>
                                <w:spacing w:before="0"/>
                                <w:ind w:left="0" w:right="0" w:firstLine="0"/>
                                <w:jc w:val="left"/>
                                <w:rPr>
                                  <w:rFonts w:ascii="Arial MT"/>
                                  <w:sz w:val="14"/>
                                </w:rPr>
                              </w:pPr>
                              <w:r>
                                <w:rPr>
                                  <w:rFonts w:ascii="Arial MT"/>
                                  <w:spacing w:val="-5"/>
                                  <w:w w:val="90"/>
                                  <w:sz w:val="14"/>
                                </w:rPr>
                                <w:t>1200</w:t>
                              </w:r>
                            </w:p>
                            <w:p>
                              <w:pPr>
                                <w:spacing w:line="240" w:lineRule="auto" w:before="50"/>
                                <w:rPr>
                                  <w:rFonts w:ascii="Arial MT"/>
                                  <w:sz w:val="14"/>
                                </w:rPr>
                              </w:pPr>
                            </w:p>
                            <w:p>
                              <w:pPr>
                                <w:spacing w:before="0"/>
                                <w:ind w:left="0" w:right="0" w:firstLine="0"/>
                                <w:jc w:val="left"/>
                                <w:rPr>
                                  <w:rFonts w:ascii="Arial MT"/>
                                  <w:sz w:val="14"/>
                                </w:rPr>
                              </w:pPr>
                              <w:r>
                                <w:rPr>
                                  <w:rFonts w:ascii="Arial MT"/>
                                  <w:spacing w:val="-5"/>
                                  <w:w w:val="90"/>
                                  <w:sz w:val="14"/>
                                </w:rPr>
                                <w:t>1000</w:t>
                              </w:r>
                            </w:p>
                            <w:p>
                              <w:pPr>
                                <w:spacing w:line="240" w:lineRule="auto" w:before="50"/>
                                <w:rPr>
                                  <w:rFonts w:ascii="Arial MT"/>
                                  <w:sz w:val="14"/>
                                </w:rPr>
                              </w:pPr>
                            </w:p>
                            <w:p>
                              <w:pPr>
                                <w:spacing w:before="0"/>
                                <w:ind w:left="63" w:right="0" w:firstLine="0"/>
                                <w:jc w:val="left"/>
                                <w:rPr>
                                  <w:rFonts w:ascii="Arial MT"/>
                                  <w:sz w:val="14"/>
                                </w:rPr>
                              </w:pPr>
                              <w:r>
                                <w:rPr>
                                  <w:rFonts w:ascii="Arial MT"/>
                                  <w:spacing w:val="-12"/>
                                  <w:sz w:val="14"/>
                                </w:rPr>
                                <w:t>800</w:t>
                              </w:r>
                            </w:p>
                          </w:txbxContent>
                        </wps:txbx>
                        <wps:bodyPr wrap="square" lIns="0" tIns="0" rIns="0" bIns="0" rtlCol="0">
                          <a:noAutofit/>
                        </wps:bodyPr>
                      </wps:wsp>
                      <wps:wsp>
                        <wps:cNvPr id="1847" name="Textbox 1847"/>
                        <wps:cNvSpPr txBox="1"/>
                        <wps:spPr>
                          <a:xfrm>
                            <a:off x="3209435" y="1010167"/>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12"/>
                                  <w:sz w:val="14"/>
                                </w:rPr>
                                <w:t>776</w:t>
                              </w:r>
                            </w:p>
                          </w:txbxContent>
                        </wps:txbx>
                        <wps:bodyPr wrap="square" lIns="0" tIns="0" rIns="0" bIns="0" rtlCol="0">
                          <a:noAutofit/>
                        </wps:bodyPr>
                      </wps:wsp>
                      <wps:wsp>
                        <wps:cNvPr id="1848" name="Textbox 1848"/>
                        <wps:cNvSpPr txBox="1"/>
                        <wps:spPr>
                          <a:xfrm>
                            <a:off x="225520" y="1299618"/>
                            <a:ext cx="134620" cy="338455"/>
                          </a:xfrm>
                          <a:prstGeom prst="rect">
                            <a:avLst/>
                          </a:prstGeom>
                        </wps:spPr>
                        <wps:txbx>
                          <w:txbxContent>
                            <w:p>
                              <w:pPr>
                                <w:spacing w:line="161" w:lineRule="exact" w:before="0"/>
                                <w:ind w:left="0" w:right="0" w:firstLine="0"/>
                                <w:jc w:val="left"/>
                                <w:rPr>
                                  <w:rFonts w:ascii="Arial MT"/>
                                  <w:sz w:val="14"/>
                                </w:rPr>
                              </w:pPr>
                              <w:r>
                                <w:rPr>
                                  <w:rFonts w:ascii="Arial MT"/>
                                  <w:spacing w:val="-12"/>
                                  <w:sz w:val="14"/>
                                </w:rPr>
                                <w:t>600</w:t>
                              </w:r>
                            </w:p>
                            <w:p>
                              <w:pPr>
                                <w:spacing w:line="240" w:lineRule="auto" w:before="50"/>
                                <w:rPr>
                                  <w:rFonts w:ascii="Arial MT"/>
                                  <w:sz w:val="14"/>
                                </w:rPr>
                              </w:pPr>
                            </w:p>
                            <w:p>
                              <w:pPr>
                                <w:spacing w:before="0"/>
                                <w:ind w:left="0" w:right="0" w:firstLine="0"/>
                                <w:jc w:val="left"/>
                                <w:rPr>
                                  <w:rFonts w:ascii="Arial MT"/>
                                  <w:sz w:val="14"/>
                                </w:rPr>
                              </w:pPr>
                              <w:r>
                                <w:rPr>
                                  <w:rFonts w:ascii="Arial MT"/>
                                  <w:spacing w:val="-12"/>
                                  <w:sz w:val="14"/>
                                </w:rPr>
                                <w:t>400</w:t>
                              </w:r>
                            </w:p>
                          </w:txbxContent>
                        </wps:txbx>
                        <wps:bodyPr wrap="square" lIns="0" tIns="0" rIns="0" bIns="0" rtlCol="0">
                          <a:noAutofit/>
                        </wps:bodyPr>
                      </wps:wsp>
                      <wps:wsp>
                        <wps:cNvPr id="1849" name="Textbox 1849"/>
                        <wps:cNvSpPr txBox="1"/>
                        <wps:spPr>
                          <a:xfrm>
                            <a:off x="2072785" y="1540918"/>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12"/>
                                  <w:sz w:val="14"/>
                                </w:rPr>
                                <w:t>337</w:t>
                              </w:r>
                            </w:p>
                          </w:txbxContent>
                        </wps:txbx>
                        <wps:bodyPr wrap="square" lIns="0" tIns="0" rIns="0" bIns="0" rtlCol="0">
                          <a:noAutofit/>
                        </wps:bodyPr>
                      </wps:wsp>
                      <wps:wsp>
                        <wps:cNvPr id="1850" name="Textbox 1850"/>
                        <wps:cNvSpPr txBox="1"/>
                        <wps:spPr>
                          <a:xfrm>
                            <a:off x="225520" y="1772058"/>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12"/>
                                  <w:sz w:val="14"/>
                                </w:rPr>
                                <w:t>200</w:t>
                              </w:r>
                            </w:p>
                          </w:txbxContent>
                        </wps:txbx>
                        <wps:bodyPr wrap="square" lIns="0" tIns="0" rIns="0" bIns="0" rtlCol="0">
                          <a:noAutofit/>
                        </wps:bodyPr>
                      </wps:wsp>
                      <wps:wsp>
                        <wps:cNvPr id="1851" name="Textbox 1851"/>
                        <wps:cNvSpPr txBox="1"/>
                        <wps:spPr>
                          <a:xfrm>
                            <a:off x="942484" y="1747918"/>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12"/>
                                  <w:sz w:val="14"/>
                                </w:rPr>
                                <w:t>158</w:t>
                              </w:r>
                            </w:p>
                          </w:txbxContent>
                        </wps:txbx>
                        <wps:bodyPr wrap="square" lIns="0" tIns="0" rIns="0" bIns="0" rtlCol="0">
                          <a:noAutofit/>
                        </wps:bodyPr>
                      </wps:wsp>
                      <wps:wsp>
                        <wps:cNvPr id="1852" name="Textbox 1852"/>
                        <wps:cNvSpPr txBox="1"/>
                        <wps:spPr>
                          <a:xfrm>
                            <a:off x="306606" y="200827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sz w:val="14"/>
                                </w:rPr>
                                <w:t>0</w:t>
                              </w:r>
                            </w:p>
                          </w:txbxContent>
                        </wps:txbx>
                        <wps:bodyPr wrap="square" lIns="0" tIns="0" rIns="0" bIns="0" rtlCol="0">
                          <a:noAutofit/>
                        </wps:bodyPr>
                      </wps:wsp>
                      <wps:wsp>
                        <wps:cNvPr id="1853" name="Textbox 1853"/>
                        <wps:cNvSpPr txBox="1"/>
                        <wps:spPr>
                          <a:xfrm>
                            <a:off x="931738" y="2153167"/>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1980</w:t>
                              </w:r>
                            </w:p>
                          </w:txbxContent>
                        </wps:txbx>
                        <wps:bodyPr wrap="square" lIns="0" tIns="0" rIns="0" bIns="0" rtlCol="0">
                          <a:noAutofit/>
                        </wps:bodyPr>
                      </wps:wsp>
                      <wps:wsp>
                        <wps:cNvPr id="1854" name="Textbox 1854"/>
                        <wps:cNvSpPr txBox="1"/>
                        <wps:spPr>
                          <a:xfrm>
                            <a:off x="4405188" y="2153167"/>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2006</w:t>
                              </w:r>
                            </w:p>
                          </w:txbxContent>
                        </wps:txbx>
                        <wps:bodyPr wrap="square" lIns="0" tIns="0" rIns="0" bIns="0" rtlCol="0">
                          <a:noAutofit/>
                        </wps:bodyPr>
                      </wps:wsp>
                      <wps:wsp>
                        <wps:cNvPr id="1855" name="Textbox 1855"/>
                        <wps:cNvSpPr txBox="1"/>
                        <wps:spPr>
                          <a:xfrm>
                            <a:off x="3217738" y="2153167"/>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2000</w:t>
                              </w:r>
                            </w:p>
                          </w:txbxContent>
                        </wps:txbx>
                        <wps:bodyPr wrap="square" lIns="0" tIns="0" rIns="0" bIns="0" rtlCol="0">
                          <a:noAutofit/>
                        </wps:bodyPr>
                      </wps:wsp>
                    </wpg:wgp>
                  </a:graphicData>
                </a:graphic>
              </wp:inline>
            </w:drawing>
          </mc:Choice>
          <mc:Fallback>
            <w:pict>
              <v:group style="width:397.3pt;height:189pt;mso-position-horizontal-relative:char;mso-position-vertical-relative:line" id="docshapegroup1826" coordorigin="0,0" coordsize="7946,3780">
                <v:shape style="position:absolute;left:1319;top:412;width:5897;height:2849" id="docshape1827" coordorigin="1319,412" coordsize="5897,2849" path="m1831,2961l1319,2961,1319,3261,1831,3261,1831,2961xm3623,2623l3120,2623,3120,3261,3623,3261,3623,2623xm5424,1791l4912,1791,4912,3261,5424,3261,5424,1791xm7216,412l6713,412,6713,3261,7216,3261,7216,412xe" filled="true" fillcolor="#2f7d41" stroked="false">
                  <v:path arrowok="t"/>
                  <v:fill type="solid"/>
                </v:shape>
                <v:shape style="position:absolute;left:-1;top:0;width:7946;height:3780" id="docshape1828" coordorigin="0,0" coordsize="7946,3780" path="m7852,3256l7842,3256,6064,3256,6054,3256,4263,3256,4253,3256,2474,3256,2464,3256,673,3256,673,238,663,238,611,238,611,248,663,248,663,615,611,615,611,625,663,625,663,992,611,992,611,1002,663,1002,663,1370,611,1370,611,1380,663,1380,663,1747,611,1747,611,1757,663,1757,663,2124,611,2124,611,2134,663,2134,663,2501,611,2501,611,2511,663,2511,663,2878,611,2878,611,2888,663,2888,663,3256,611,3256,611,3266,663,3266,663,3318,673,3318,673,3266,2464,3266,2464,3318,2474,3318,2474,3266,4253,3266,4253,3318,4263,3318,4263,3266,6054,3266,6054,3318,6064,3318,6064,3266,7842,3266,7842,3318,7852,3318,7852,3256xm7946,0l7936,0,7936,4,7936,5,7936,10,7936,10,7936,3770,10,3770,10,10,5,10,5,10,10,10,7936,10,7936,5,10,5,5,5,5,4,7936,4,7936,0,0,0,0,4,0,10,0,3770,0,3774,0,3780,7946,3780,7946,3775,7946,3774,7946,3770,7946,3770,7946,10,7941,10,7941,10,7946,10,7946,5,7941,5,7941,4,7946,4,7946,0xe" filled="true" fillcolor="#000000" stroked="false">
                  <v:path arrowok="t"/>
                  <v:fill type="solid"/>
                </v:shape>
                <v:shape style="position:absolute;left:291;top:186;width:276;height:161" type="#_x0000_t202" id="docshape1829" filled="false" stroked="false">
                  <v:textbox inset="0,0,0,0">
                    <w:txbxContent>
                      <w:p>
                        <w:pPr>
                          <w:spacing w:line="161" w:lineRule="exact" w:before="0"/>
                          <w:ind w:left="0" w:right="0" w:firstLine="0"/>
                          <w:jc w:val="left"/>
                          <w:rPr>
                            <w:rFonts w:ascii="Arial MT"/>
                            <w:sz w:val="14"/>
                          </w:rPr>
                        </w:pPr>
                        <w:r>
                          <w:rPr>
                            <w:rFonts w:ascii="Arial MT"/>
                            <w:spacing w:val="-5"/>
                            <w:w w:val="90"/>
                            <w:sz w:val="14"/>
                          </w:rPr>
                          <w:t>1600</w:t>
                        </w:r>
                      </w:p>
                    </w:txbxContent>
                  </v:textbox>
                  <w10:wrap type="none"/>
                </v:shape>
                <v:shape style="position:absolute;left:3290;top:3390;width:276;height:161" type="#_x0000_t202" id="docshape1830" filled="false" stroked="false">
                  <v:textbox inset="0,0,0,0">
                    <w:txbxContent>
                      <w:p>
                        <w:pPr>
                          <w:spacing w:line="161" w:lineRule="exact" w:before="0"/>
                          <w:ind w:left="0" w:right="0" w:firstLine="0"/>
                          <w:jc w:val="left"/>
                          <w:rPr>
                            <w:rFonts w:ascii="Arial MT"/>
                            <w:sz w:val="14"/>
                          </w:rPr>
                        </w:pPr>
                        <w:r>
                          <w:rPr>
                            <w:rFonts w:ascii="Arial MT"/>
                            <w:spacing w:val="-5"/>
                            <w:w w:val="90"/>
                            <w:sz w:val="14"/>
                          </w:rPr>
                          <w:t>1990</w:t>
                        </w:r>
                      </w:p>
                    </w:txbxContent>
                  </v:textbox>
                  <w10:wrap type="none"/>
                </v:shape>
                <v:shape style="position:absolute;left:6840;top:209;width:276;height:161" type="#_x0000_t202" id="docshape1831" filled="false" stroked="false">
                  <v:textbox inset="0,0,0,0">
                    <w:txbxContent>
                      <w:p>
                        <w:pPr>
                          <w:spacing w:line="161" w:lineRule="exact" w:before="0"/>
                          <w:ind w:left="0" w:right="0" w:firstLine="0"/>
                          <w:jc w:val="left"/>
                          <w:rPr>
                            <w:rFonts w:ascii="Arial MT"/>
                            <w:sz w:val="14"/>
                          </w:rPr>
                        </w:pPr>
                        <w:r>
                          <w:rPr>
                            <w:rFonts w:ascii="Arial MT"/>
                            <w:spacing w:val="-5"/>
                            <w:w w:val="90"/>
                            <w:sz w:val="14"/>
                          </w:rPr>
                          <w:t>1512</w:t>
                        </w:r>
                      </w:p>
                    </w:txbxContent>
                  </v:textbox>
                  <w10:wrap type="none"/>
                </v:shape>
                <v:shape style="position:absolute;left:291;top:558;width:276;height:1277" type="#_x0000_t202" id="docshape1832" filled="false" stroked="false">
                  <v:textbox inset="0,0,0,0">
                    <w:txbxContent>
                      <w:p>
                        <w:pPr>
                          <w:spacing w:line="161" w:lineRule="exact" w:before="0"/>
                          <w:ind w:left="0" w:right="0" w:firstLine="0"/>
                          <w:jc w:val="left"/>
                          <w:rPr>
                            <w:rFonts w:ascii="Arial MT"/>
                            <w:sz w:val="14"/>
                          </w:rPr>
                        </w:pPr>
                        <w:r>
                          <w:rPr>
                            <w:rFonts w:ascii="Arial MT"/>
                            <w:spacing w:val="-5"/>
                            <w:w w:val="90"/>
                            <w:sz w:val="14"/>
                          </w:rPr>
                          <w:t>1400</w:t>
                        </w:r>
                      </w:p>
                      <w:p>
                        <w:pPr>
                          <w:spacing w:line="240" w:lineRule="auto" w:before="50"/>
                          <w:rPr>
                            <w:rFonts w:ascii="Arial MT"/>
                            <w:sz w:val="14"/>
                          </w:rPr>
                        </w:pPr>
                      </w:p>
                      <w:p>
                        <w:pPr>
                          <w:spacing w:before="0"/>
                          <w:ind w:left="0" w:right="0" w:firstLine="0"/>
                          <w:jc w:val="left"/>
                          <w:rPr>
                            <w:rFonts w:ascii="Arial MT"/>
                            <w:sz w:val="14"/>
                          </w:rPr>
                        </w:pPr>
                        <w:r>
                          <w:rPr>
                            <w:rFonts w:ascii="Arial MT"/>
                            <w:spacing w:val="-5"/>
                            <w:w w:val="90"/>
                            <w:sz w:val="14"/>
                          </w:rPr>
                          <w:t>1200</w:t>
                        </w:r>
                      </w:p>
                      <w:p>
                        <w:pPr>
                          <w:spacing w:line="240" w:lineRule="auto" w:before="50"/>
                          <w:rPr>
                            <w:rFonts w:ascii="Arial MT"/>
                            <w:sz w:val="14"/>
                          </w:rPr>
                        </w:pPr>
                      </w:p>
                      <w:p>
                        <w:pPr>
                          <w:spacing w:before="0"/>
                          <w:ind w:left="0" w:right="0" w:firstLine="0"/>
                          <w:jc w:val="left"/>
                          <w:rPr>
                            <w:rFonts w:ascii="Arial MT"/>
                            <w:sz w:val="14"/>
                          </w:rPr>
                        </w:pPr>
                        <w:r>
                          <w:rPr>
                            <w:rFonts w:ascii="Arial MT"/>
                            <w:spacing w:val="-5"/>
                            <w:w w:val="90"/>
                            <w:sz w:val="14"/>
                          </w:rPr>
                          <w:t>1000</w:t>
                        </w:r>
                      </w:p>
                      <w:p>
                        <w:pPr>
                          <w:spacing w:line="240" w:lineRule="auto" w:before="50"/>
                          <w:rPr>
                            <w:rFonts w:ascii="Arial MT"/>
                            <w:sz w:val="14"/>
                          </w:rPr>
                        </w:pPr>
                      </w:p>
                      <w:p>
                        <w:pPr>
                          <w:spacing w:before="0"/>
                          <w:ind w:left="63" w:right="0" w:firstLine="0"/>
                          <w:jc w:val="left"/>
                          <w:rPr>
                            <w:rFonts w:ascii="Arial MT"/>
                            <w:sz w:val="14"/>
                          </w:rPr>
                        </w:pPr>
                        <w:r>
                          <w:rPr>
                            <w:rFonts w:ascii="Arial MT"/>
                            <w:spacing w:val="-12"/>
                            <w:sz w:val="14"/>
                          </w:rPr>
                          <w:t>800</w:t>
                        </w:r>
                      </w:p>
                    </w:txbxContent>
                  </v:textbox>
                  <w10:wrap type="none"/>
                </v:shape>
                <v:shape style="position:absolute;left:5054;top:1590;width:212;height:161" type="#_x0000_t202" id="docshape1833" filled="false" stroked="false">
                  <v:textbox inset="0,0,0,0">
                    <w:txbxContent>
                      <w:p>
                        <w:pPr>
                          <w:spacing w:line="161" w:lineRule="exact" w:before="0"/>
                          <w:ind w:left="0" w:right="0" w:firstLine="0"/>
                          <w:jc w:val="left"/>
                          <w:rPr>
                            <w:rFonts w:ascii="Arial MT"/>
                            <w:sz w:val="14"/>
                          </w:rPr>
                        </w:pPr>
                        <w:r>
                          <w:rPr>
                            <w:rFonts w:ascii="Arial MT"/>
                            <w:spacing w:val="-12"/>
                            <w:sz w:val="14"/>
                          </w:rPr>
                          <w:t>776</w:t>
                        </w:r>
                      </w:p>
                    </w:txbxContent>
                  </v:textbox>
                  <w10:wrap type="none"/>
                </v:shape>
                <v:shape style="position:absolute;left:355;top:2046;width:212;height:533" type="#_x0000_t202" id="docshape1834" filled="false" stroked="false">
                  <v:textbox inset="0,0,0,0">
                    <w:txbxContent>
                      <w:p>
                        <w:pPr>
                          <w:spacing w:line="161" w:lineRule="exact" w:before="0"/>
                          <w:ind w:left="0" w:right="0" w:firstLine="0"/>
                          <w:jc w:val="left"/>
                          <w:rPr>
                            <w:rFonts w:ascii="Arial MT"/>
                            <w:sz w:val="14"/>
                          </w:rPr>
                        </w:pPr>
                        <w:r>
                          <w:rPr>
                            <w:rFonts w:ascii="Arial MT"/>
                            <w:spacing w:val="-12"/>
                            <w:sz w:val="14"/>
                          </w:rPr>
                          <w:t>600</w:t>
                        </w:r>
                      </w:p>
                      <w:p>
                        <w:pPr>
                          <w:spacing w:line="240" w:lineRule="auto" w:before="50"/>
                          <w:rPr>
                            <w:rFonts w:ascii="Arial MT"/>
                            <w:sz w:val="14"/>
                          </w:rPr>
                        </w:pPr>
                      </w:p>
                      <w:p>
                        <w:pPr>
                          <w:spacing w:before="0"/>
                          <w:ind w:left="0" w:right="0" w:firstLine="0"/>
                          <w:jc w:val="left"/>
                          <w:rPr>
                            <w:rFonts w:ascii="Arial MT"/>
                            <w:sz w:val="14"/>
                          </w:rPr>
                        </w:pPr>
                        <w:r>
                          <w:rPr>
                            <w:rFonts w:ascii="Arial MT"/>
                            <w:spacing w:val="-12"/>
                            <w:sz w:val="14"/>
                          </w:rPr>
                          <w:t>400</w:t>
                        </w:r>
                      </w:p>
                    </w:txbxContent>
                  </v:textbox>
                  <w10:wrap type="none"/>
                </v:shape>
                <v:shape style="position:absolute;left:3264;top:2426;width:212;height:161" type="#_x0000_t202" id="docshape1835" filled="false" stroked="false">
                  <v:textbox inset="0,0,0,0">
                    <w:txbxContent>
                      <w:p>
                        <w:pPr>
                          <w:spacing w:line="161" w:lineRule="exact" w:before="0"/>
                          <w:ind w:left="0" w:right="0" w:firstLine="0"/>
                          <w:jc w:val="left"/>
                          <w:rPr>
                            <w:rFonts w:ascii="Arial MT"/>
                            <w:sz w:val="14"/>
                          </w:rPr>
                        </w:pPr>
                        <w:r>
                          <w:rPr>
                            <w:rFonts w:ascii="Arial MT"/>
                            <w:spacing w:val="-12"/>
                            <w:sz w:val="14"/>
                          </w:rPr>
                          <w:t>337</w:t>
                        </w:r>
                      </w:p>
                    </w:txbxContent>
                  </v:textbox>
                  <w10:wrap type="none"/>
                </v:shape>
                <v:shape style="position:absolute;left:355;top:2790;width:212;height:161" type="#_x0000_t202" id="docshape1836" filled="false" stroked="false">
                  <v:textbox inset="0,0,0,0">
                    <w:txbxContent>
                      <w:p>
                        <w:pPr>
                          <w:spacing w:line="161" w:lineRule="exact" w:before="0"/>
                          <w:ind w:left="0" w:right="0" w:firstLine="0"/>
                          <w:jc w:val="left"/>
                          <w:rPr>
                            <w:rFonts w:ascii="Arial MT"/>
                            <w:sz w:val="14"/>
                          </w:rPr>
                        </w:pPr>
                        <w:r>
                          <w:rPr>
                            <w:rFonts w:ascii="Arial MT"/>
                            <w:spacing w:val="-12"/>
                            <w:sz w:val="14"/>
                          </w:rPr>
                          <w:t>200</w:t>
                        </w:r>
                      </w:p>
                    </w:txbxContent>
                  </v:textbox>
                  <w10:wrap type="none"/>
                </v:shape>
                <v:shape style="position:absolute;left:1484;top:2752;width:212;height:161" type="#_x0000_t202" id="docshape1837" filled="false" stroked="false">
                  <v:textbox inset="0,0,0,0">
                    <w:txbxContent>
                      <w:p>
                        <w:pPr>
                          <w:spacing w:line="161" w:lineRule="exact" w:before="0"/>
                          <w:ind w:left="0" w:right="0" w:firstLine="0"/>
                          <w:jc w:val="left"/>
                          <w:rPr>
                            <w:rFonts w:ascii="Arial MT"/>
                            <w:sz w:val="14"/>
                          </w:rPr>
                        </w:pPr>
                        <w:r>
                          <w:rPr>
                            <w:rFonts w:ascii="Arial MT"/>
                            <w:spacing w:val="-12"/>
                            <w:sz w:val="14"/>
                          </w:rPr>
                          <w:t>158</w:t>
                        </w:r>
                      </w:p>
                    </w:txbxContent>
                  </v:textbox>
                  <w10:wrap type="none"/>
                </v:shape>
                <v:shape style="position:absolute;left:482;top:3162;width:84;height:161" type="#_x0000_t202" id="docshape1838" filled="false" stroked="false">
                  <v:textbox inset="0,0,0,0">
                    <w:txbxContent>
                      <w:p>
                        <w:pPr>
                          <w:spacing w:line="161" w:lineRule="exact" w:before="0"/>
                          <w:ind w:left="0" w:right="0" w:firstLine="0"/>
                          <w:jc w:val="left"/>
                          <w:rPr>
                            <w:rFonts w:ascii="Arial MT"/>
                            <w:sz w:val="14"/>
                          </w:rPr>
                        </w:pPr>
                        <w:r>
                          <w:rPr>
                            <w:rFonts w:ascii="Arial MT"/>
                            <w:spacing w:val="-10"/>
                            <w:sz w:val="14"/>
                          </w:rPr>
                          <w:t>0</w:t>
                        </w:r>
                      </w:p>
                    </w:txbxContent>
                  </v:textbox>
                  <w10:wrap type="none"/>
                </v:shape>
                <v:shape style="position:absolute;left:1467;top:3390;width:276;height:161" type="#_x0000_t202" id="docshape1839" filled="false" stroked="false">
                  <v:textbox inset="0,0,0,0">
                    <w:txbxContent>
                      <w:p>
                        <w:pPr>
                          <w:spacing w:line="161" w:lineRule="exact" w:before="0"/>
                          <w:ind w:left="0" w:right="0" w:firstLine="0"/>
                          <w:jc w:val="left"/>
                          <w:rPr>
                            <w:rFonts w:ascii="Arial MT"/>
                            <w:sz w:val="14"/>
                          </w:rPr>
                        </w:pPr>
                        <w:r>
                          <w:rPr>
                            <w:rFonts w:ascii="Arial MT"/>
                            <w:spacing w:val="-5"/>
                            <w:w w:val="90"/>
                            <w:sz w:val="14"/>
                          </w:rPr>
                          <w:t>1980</w:t>
                        </w:r>
                      </w:p>
                    </w:txbxContent>
                  </v:textbox>
                  <w10:wrap type="none"/>
                </v:shape>
                <v:shape style="position:absolute;left:6937;top:3390;width:276;height:161" type="#_x0000_t202" id="docshape1840" filled="false" stroked="false">
                  <v:textbox inset="0,0,0,0">
                    <w:txbxContent>
                      <w:p>
                        <w:pPr>
                          <w:spacing w:line="161" w:lineRule="exact" w:before="0"/>
                          <w:ind w:left="0" w:right="0" w:firstLine="0"/>
                          <w:jc w:val="left"/>
                          <w:rPr>
                            <w:rFonts w:ascii="Arial MT"/>
                            <w:sz w:val="14"/>
                          </w:rPr>
                        </w:pPr>
                        <w:r>
                          <w:rPr>
                            <w:rFonts w:ascii="Arial MT"/>
                            <w:spacing w:val="-5"/>
                            <w:w w:val="90"/>
                            <w:sz w:val="14"/>
                          </w:rPr>
                          <w:t>2006</w:t>
                        </w:r>
                      </w:p>
                    </w:txbxContent>
                  </v:textbox>
                  <w10:wrap type="none"/>
                </v:shape>
                <v:shape style="position:absolute;left:5067;top:3390;width:276;height:161" type="#_x0000_t202" id="docshape1841" filled="false" stroked="false">
                  <v:textbox inset="0,0,0,0">
                    <w:txbxContent>
                      <w:p>
                        <w:pPr>
                          <w:spacing w:line="161" w:lineRule="exact" w:before="0"/>
                          <w:ind w:left="0" w:right="0" w:firstLine="0"/>
                          <w:jc w:val="left"/>
                          <w:rPr>
                            <w:rFonts w:ascii="Arial MT"/>
                            <w:sz w:val="14"/>
                          </w:rPr>
                        </w:pPr>
                        <w:r>
                          <w:rPr>
                            <w:rFonts w:ascii="Arial MT"/>
                            <w:spacing w:val="-5"/>
                            <w:w w:val="90"/>
                            <w:sz w:val="14"/>
                          </w:rPr>
                          <w:t>2000</w:t>
                        </w:r>
                      </w:p>
                    </w:txbxContent>
                  </v:textbox>
                  <w10:wrap type="none"/>
                </v:shape>
              </v:group>
            </w:pict>
          </mc:Fallback>
        </mc:AlternateContent>
      </w:r>
      <w:r>
        <w:rPr>
          <w:sz w:val="20"/>
        </w:rPr>
      </w:r>
    </w:p>
    <w:p>
      <w:pPr>
        <w:spacing w:after="0"/>
        <w:rPr>
          <w:sz w:val="20"/>
        </w:rPr>
        <w:sectPr>
          <w:pgSz w:w="11910" w:h="16840"/>
          <w:pgMar w:header="0" w:footer="675" w:top="940" w:bottom="860" w:left="0" w:right="0"/>
        </w:sectPr>
      </w:pPr>
    </w:p>
    <w:p>
      <w:pPr>
        <w:spacing w:before="37"/>
        <w:ind w:left="0" w:right="26" w:firstLine="0"/>
        <w:jc w:val="center"/>
        <w:rPr>
          <w:sz w:val="16"/>
        </w:rPr>
      </w:pPr>
      <w:r>
        <w:rPr>
          <w:i/>
          <w:w w:val="85"/>
          <w:sz w:val="16"/>
        </w:rPr>
        <w:t>Source:</w:t>
      </w:r>
      <w:r>
        <w:rPr>
          <w:i/>
          <w:spacing w:val="-5"/>
          <w:sz w:val="16"/>
        </w:rPr>
        <w:t> </w:t>
      </w:r>
      <w:r>
        <w:rPr>
          <w:spacing w:val="-5"/>
          <w:sz w:val="16"/>
        </w:rPr>
        <w:t>UGC</w:t>
      </w:r>
    </w:p>
    <w:p>
      <w:pPr>
        <w:pStyle w:val="BodyText"/>
        <w:spacing w:before="151"/>
        <w:rPr>
          <w:sz w:val="16"/>
        </w:rPr>
      </w:pPr>
    </w:p>
    <w:p>
      <w:pPr>
        <w:pStyle w:val="BodyText"/>
        <w:spacing w:line="266" w:lineRule="auto"/>
        <w:ind w:left="1080"/>
        <w:jc w:val="both"/>
      </w:pPr>
      <w:r>
        <w:rPr/>
        <w:t>data on the region-wise distribution </w:t>
      </w:r>
      <w:r>
        <w:rPr/>
        <w:t>of institutions and sanctioned intake of students indicates regional disparity. On one hand, where there are around 268 institutions</w:t>
      </w:r>
      <w:r>
        <w:rPr>
          <w:spacing w:val="-14"/>
        </w:rPr>
        <w:t> </w:t>
      </w:r>
      <w:r>
        <w:rPr/>
        <w:t>in</w:t>
      </w:r>
      <w:r>
        <w:rPr>
          <w:spacing w:val="-14"/>
        </w:rPr>
        <w:t> </w:t>
      </w:r>
      <w:r>
        <w:rPr/>
        <w:t>the</w:t>
      </w:r>
      <w:r>
        <w:rPr>
          <w:spacing w:val="-14"/>
        </w:rPr>
        <w:t> </w:t>
      </w:r>
      <w:r>
        <w:rPr/>
        <w:t>southern</w:t>
      </w:r>
      <w:r>
        <w:rPr>
          <w:spacing w:val="-13"/>
        </w:rPr>
        <w:t> </w:t>
      </w:r>
      <w:r>
        <w:rPr/>
        <w:t>region,</w:t>
      </w:r>
      <w:r>
        <w:rPr>
          <w:spacing w:val="-14"/>
        </w:rPr>
        <w:t> </w:t>
      </w:r>
      <w:r>
        <w:rPr/>
        <w:t>there</w:t>
      </w:r>
      <w:r>
        <w:rPr>
          <w:spacing w:val="-14"/>
        </w:rPr>
        <w:t> </w:t>
      </w:r>
      <w:r>
        <w:rPr/>
        <w:t>are only</w:t>
      </w:r>
      <w:r>
        <w:rPr>
          <w:spacing w:val="-6"/>
        </w:rPr>
        <w:t> </w:t>
      </w:r>
      <w:r>
        <w:rPr/>
        <w:t>9</w:t>
      </w:r>
      <w:r>
        <w:rPr>
          <w:spacing w:val="-6"/>
        </w:rPr>
        <w:t> </w:t>
      </w:r>
      <w:r>
        <w:rPr/>
        <w:t>institutions</w:t>
      </w:r>
      <w:r>
        <w:rPr>
          <w:spacing w:val="-6"/>
        </w:rPr>
        <w:t> </w:t>
      </w:r>
      <w:r>
        <w:rPr/>
        <w:t>in</w:t>
      </w:r>
      <w:r>
        <w:rPr>
          <w:spacing w:val="-6"/>
        </w:rPr>
        <w:t> </w:t>
      </w:r>
      <w:r>
        <w:rPr/>
        <w:t>the</w:t>
      </w:r>
      <w:r>
        <w:rPr>
          <w:spacing w:val="-6"/>
        </w:rPr>
        <w:t> </w:t>
      </w:r>
      <w:r>
        <w:rPr/>
        <w:t>eastern</w:t>
      </w:r>
      <w:r>
        <w:rPr>
          <w:spacing w:val="-6"/>
        </w:rPr>
        <w:t> </w:t>
      </w:r>
      <w:r>
        <w:rPr/>
        <w:t>region.</w:t>
      </w:r>
      <w:r>
        <w:rPr>
          <w:spacing w:val="-6"/>
        </w:rPr>
        <w:t> </w:t>
      </w:r>
      <w:r>
        <w:rPr/>
        <w:t>At the</w:t>
      </w:r>
      <w:r>
        <w:rPr>
          <w:spacing w:val="-14"/>
        </w:rPr>
        <w:t> </w:t>
      </w:r>
      <w:r>
        <w:rPr/>
        <w:t>extreme</w:t>
      </w:r>
      <w:r>
        <w:rPr>
          <w:spacing w:val="-14"/>
        </w:rPr>
        <w:t> </w:t>
      </w:r>
      <w:r>
        <w:rPr/>
        <w:t>end</w:t>
      </w:r>
      <w:r>
        <w:rPr>
          <w:spacing w:val="-14"/>
        </w:rPr>
        <w:t> </w:t>
      </w:r>
      <w:r>
        <w:rPr/>
        <w:t>of</w:t>
      </w:r>
      <w:r>
        <w:rPr>
          <w:spacing w:val="-13"/>
        </w:rPr>
        <w:t> </w:t>
      </w:r>
      <w:r>
        <w:rPr/>
        <w:t>the</w:t>
      </w:r>
      <w:r>
        <w:rPr>
          <w:spacing w:val="-14"/>
        </w:rPr>
        <w:t> </w:t>
      </w:r>
      <w:r>
        <w:rPr/>
        <w:t>spectrum,</w:t>
      </w:r>
      <w:r>
        <w:rPr>
          <w:spacing w:val="-14"/>
        </w:rPr>
        <w:t> </w:t>
      </w:r>
      <w:r>
        <w:rPr/>
        <w:t>Nagaland, Andaman</w:t>
      </w:r>
      <w:r>
        <w:rPr>
          <w:spacing w:val="-14"/>
        </w:rPr>
        <w:t> </w:t>
      </w:r>
      <w:r>
        <w:rPr/>
        <w:t>and</w:t>
      </w:r>
      <w:r>
        <w:rPr>
          <w:spacing w:val="-14"/>
        </w:rPr>
        <w:t> </w:t>
      </w:r>
      <w:r>
        <w:rPr/>
        <w:t>Nicobar,</w:t>
      </w:r>
      <w:r>
        <w:rPr>
          <w:spacing w:val="-14"/>
        </w:rPr>
        <w:t> </w:t>
      </w:r>
      <w:r>
        <w:rPr/>
        <w:t>Daman</w:t>
      </w:r>
      <w:r>
        <w:rPr>
          <w:spacing w:val="-13"/>
        </w:rPr>
        <w:t> </w:t>
      </w:r>
      <w:r>
        <w:rPr/>
        <w:t>&amp;</w:t>
      </w:r>
      <w:r>
        <w:rPr>
          <w:spacing w:val="-14"/>
        </w:rPr>
        <w:t> </w:t>
      </w:r>
      <w:r>
        <w:rPr/>
        <w:t>Diu</w:t>
      </w:r>
      <w:r>
        <w:rPr>
          <w:spacing w:val="-14"/>
        </w:rPr>
        <w:t> </w:t>
      </w:r>
      <w:r>
        <w:rPr/>
        <w:t>have no</w:t>
      </w:r>
      <w:r>
        <w:rPr>
          <w:spacing w:val="-14"/>
        </w:rPr>
        <w:t> </w:t>
      </w:r>
      <w:r>
        <w:rPr/>
        <w:t>engineering</w:t>
      </w:r>
      <w:r>
        <w:rPr>
          <w:spacing w:val="-14"/>
        </w:rPr>
        <w:t> </w:t>
      </w:r>
      <w:r>
        <w:rPr/>
        <w:t>institutions</w:t>
      </w:r>
      <w:r>
        <w:rPr>
          <w:spacing w:val="-14"/>
        </w:rPr>
        <w:t> </w:t>
      </w:r>
      <w:r>
        <w:rPr/>
        <w:t>at</w:t>
      </w:r>
      <w:r>
        <w:rPr>
          <w:spacing w:val="-13"/>
        </w:rPr>
        <w:t> </w:t>
      </w:r>
      <w:r>
        <w:rPr/>
        <w:t>all.</w:t>
      </w:r>
      <w:r>
        <w:rPr>
          <w:spacing w:val="-14"/>
        </w:rPr>
        <w:t> </w:t>
      </w:r>
      <w:r>
        <w:rPr/>
        <w:t>Out</w:t>
      </w:r>
      <w:r>
        <w:rPr>
          <w:spacing w:val="-14"/>
        </w:rPr>
        <w:t> </w:t>
      </w:r>
      <w:r>
        <w:rPr/>
        <w:t>of</w:t>
      </w:r>
      <w:r>
        <w:rPr>
          <w:spacing w:val="-14"/>
        </w:rPr>
        <w:t> </w:t>
      </w:r>
      <w:r>
        <w:rPr/>
        <w:t>the </w:t>
      </w:r>
      <w:r>
        <w:rPr>
          <w:spacing w:val="-2"/>
        </w:rPr>
        <w:t>seven</w:t>
      </w:r>
      <w:r>
        <w:rPr>
          <w:spacing w:val="-12"/>
        </w:rPr>
        <w:t> </w:t>
      </w:r>
      <w:r>
        <w:rPr>
          <w:spacing w:val="-2"/>
        </w:rPr>
        <w:t>Indian</w:t>
      </w:r>
      <w:r>
        <w:rPr>
          <w:spacing w:val="-12"/>
        </w:rPr>
        <w:t> </w:t>
      </w:r>
      <w:r>
        <w:rPr>
          <w:spacing w:val="-2"/>
        </w:rPr>
        <w:t>Institutes</w:t>
      </w:r>
      <w:r>
        <w:rPr>
          <w:spacing w:val="-12"/>
        </w:rPr>
        <w:t> </w:t>
      </w:r>
      <w:r>
        <w:rPr>
          <w:spacing w:val="-2"/>
        </w:rPr>
        <w:t>of</w:t>
      </w:r>
      <w:r>
        <w:rPr>
          <w:spacing w:val="-11"/>
        </w:rPr>
        <w:t> </w:t>
      </w:r>
      <w:r>
        <w:rPr>
          <w:spacing w:val="-2"/>
        </w:rPr>
        <w:t>Technology,</w:t>
      </w:r>
      <w:r>
        <w:rPr>
          <w:spacing w:val="-12"/>
        </w:rPr>
        <w:t> </w:t>
      </w:r>
      <w:r>
        <w:rPr>
          <w:spacing w:val="-2"/>
        </w:rPr>
        <w:t>three </w:t>
      </w:r>
      <w:r>
        <w:rPr/>
        <w:t>(Delhi,</w:t>
      </w:r>
      <w:r>
        <w:rPr>
          <w:spacing w:val="-14"/>
        </w:rPr>
        <w:t> </w:t>
      </w:r>
      <w:r>
        <w:rPr/>
        <w:t>Kanpur</w:t>
      </w:r>
      <w:r>
        <w:rPr>
          <w:spacing w:val="-14"/>
        </w:rPr>
        <w:t> </w:t>
      </w:r>
      <w:r>
        <w:rPr/>
        <w:t>and</w:t>
      </w:r>
      <w:r>
        <w:rPr>
          <w:spacing w:val="-14"/>
        </w:rPr>
        <w:t> </w:t>
      </w:r>
      <w:r>
        <w:rPr/>
        <w:t>Roorkee)</w:t>
      </w:r>
      <w:r>
        <w:rPr>
          <w:spacing w:val="-13"/>
        </w:rPr>
        <w:t> </w:t>
      </w:r>
      <w:r>
        <w:rPr/>
        <w:t>are</w:t>
      </w:r>
      <w:r>
        <w:rPr>
          <w:spacing w:val="-14"/>
        </w:rPr>
        <w:t> </w:t>
      </w:r>
      <w:r>
        <w:rPr/>
        <w:t>located</w:t>
      </w:r>
      <w:r>
        <w:rPr>
          <w:spacing w:val="-14"/>
        </w:rPr>
        <w:t> </w:t>
      </w:r>
      <w:r>
        <w:rPr/>
        <w:t>in the North, two in the East (Kharagpur and Guwahati) and two in the South (Chennai and Mumbai).</w:t>
      </w:r>
    </w:p>
    <w:p>
      <w:pPr>
        <w:pStyle w:val="BodyText"/>
        <w:spacing w:before="15"/>
      </w:pPr>
    </w:p>
    <w:p>
      <w:pPr>
        <w:pStyle w:val="BodyText"/>
        <w:spacing w:line="266" w:lineRule="auto" w:before="1"/>
        <w:ind w:left="1079"/>
        <w:jc w:val="both"/>
      </w:pPr>
      <w:r>
        <w:rPr>
          <w:b/>
        </w:rPr>
        <w:t>Faculty: </w:t>
      </w:r>
      <w:r>
        <w:rPr/>
        <w:t>The rapid growth of </w:t>
      </w:r>
      <w:r>
        <w:rPr/>
        <w:t>engineering institutions and the inadequate supply of </w:t>
      </w:r>
      <w:r>
        <w:rPr>
          <w:spacing w:val="-2"/>
        </w:rPr>
        <w:t>teachers</w:t>
      </w:r>
      <w:r>
        <w:rPr>
          <w:spacing w:val="-7"/>
        </w:rPr>
        <w:t> </w:t>
      </w:r>
      <w:r>
        <w:rPr>
          <w:spacing w:val="-2"/>
        </w:rPr>
        <w:t>together</w:t>
      </w:r>
      <w:r>
        <w:rPr>
          <w:spacing w:val="-8"/>
        </w:rPr>
        <w:t> </w:t>
      </w:r>
      <w:r>
        <w:rPr>
          <w:spacing w:val="-2"/>
        </w:rPr>
        <w:t>have</w:t>
      </w:r>
      <w:r>
        <w:rPr>
          <w:spacing w:val="-7"/>
        </w:rPr>
        <w:t> </w:t>
      </w:r>
      <w:r>
        <w:rPr>
          <w:spacing w:val="-2"/>
        </w:rPr>
        <w:t>created</w:t>
      </w:r>
      <w:r>
        <w:rPr>
          <w:spacing w:val="-8"/>
        </w:rPr>
        <w:t> </w:t>
      </w:r>
      <w:r>
        <w:rPr>
          <w:spacing w:val="-2"/>
        </w:rPr>
        <w:t>a</w:t>
      </w:r>
      <w:r>
        <w:rPr>
          <w:spacing w:val="-7"/>
        </w:rPr>
        <w:t> </w:t>
      </w:r>
      <w:r>
        <w:rPr>
          <w:spacing w:val="-2"/>
        </w:rPr>
        <w:t>shortage</w:t>
      </w:r>
      <w:r>
        <w:rPr>
          <w:spacing w:val="-8"/>
        </w:rPr>
        <w:t> </w:t>
      </w:r>
      <w:r>
        <w:rPr>
          <w:spacing w:val="-2"/>
        </w:rPr>
        <w:t>of </w:t>
      </w:r>
      <w:r>
        <w:rPr/>
        <w:t>faculty across engineering disciplines and institutions. India has a faculty strength of around 67,000 in engineering. According to the AICTE Review Committee Report 2003, the increase in the sanctioned number of student intake has led to an escalation</w:t>
      </w:r>
      <w:r>
        <w:rPr>
          <w:spacing w:val="-8"/>
        </w:rPr>
        <w:t> </w:t>
      </w:r>
      <w:r>
        <w:rPr/>
        <w:t>of</w:t>
      </w:r>
      <w:r>
        <w:rPr>
          <w:spacing w:val="-8"/>
        </w:rPr>
        <w:t> </w:t>
      </w:r>
      <w:r>
        <w:rPr/>
        <w:t>faculty</w:t>
      </w:r>
      <w:r>
        <w:rPr>
          <w:spacing w:val="-8"/>
        </w:rPr>
        <w:t> </w:t>
      </w:r>
      <w:r>
        <w:rPr/>
        <w:t>requirements</w:t>
      </w:r>
      <w:r>
        <w:rPr>
          <w:spacing w:val="-8"/>
        </w:rPr>
        <w:t> </w:t>
      </w:r>
      <w:r>
        <w:rPr/>
        <w:t>of</w:t>
      </w:r>
      <w:r>
        <w:rPr>
          <w:spacing w:val="-8"/>
        </w:rPr>
        <w:t> </w:t>
      </w:r>
      <w:r>
        <w:rPr/>
        <w:t>about 95,924. This indicates a shortfall of over 26,000 engineering doctorates and 30,000 engineering postgraduates for meeting the teaching requirements.</w:t>
      </w:r>
    </w:p>
    <w:p>
      <w:pPr>
        <w:pStyle w:val="BodyText"/>
        <w:spacing w:before="15"/>
      </w:pPr>
    </w:p>
    <w:p>
      <w:pPr>
        <w:pStyle w:val="BodyText"/>
        <w:spacing w:line="266" w:lineRule="auto"/>
        <w:ind w:left="1079"/>
        <w:jc w:val="both"/>
      </w:pPr>
      <w:r>
        <w:rPr>
          <w:b/>
        </w:rPr>
        <w:t>Quality: </w:t>
      </w:r>
      <w:r>
        <w:rPr/>
        <w:t>Engineering education in </w:t>
      </w:r>
      <w:r>
        <w:rPr/>
        <w:t>India has</w:t>
      </w:r>
      <w:r>
        <w:rPr>
          <w:spacing w:val="40"/>
        </w:rPr>
        <w:t> </w:t>
      </w:r>
      <w:r>
        <w:rPr/>
        <w:t>a</w:t>
      </w:r>
      <w:r>
        <w:rPr>
          <w:spacing w:val="40"/>
        </w:rPr>
        <w:t> </w:t>
      </w:r>
      <w:r>
        <w:rPr/>
        <w:t>pyramidal</w:t>
      </w:r>
      <w:r>
        <w:rPr>
          <w:spacing w:val="40"/>
        </w:rPr>
        <w:t> </w:t>
      </w:r>
      <w:r>
        <w:rPr/>
        <w:t>structure,</w:t>
      </w:r>
      <w:r>
        <w:rPr>
          <w:spacing w:val="40"/>
        </w:rPr>
        <w:t> </w:t>
      </w:r>
      <w:r>
        <w:rPr/>
        <w:t>with</w:t>
      </w:r>
      <w:r>
        <w:rPr>
          <w:spacing w:val="40"/>
        </w:rPr>
        <w:t> </w:t>
      </w:r>
      <w:r>
        <w:rPr/>
        <w:t>a</w:t>
      </w:r>
      <w:r>
        <w:rPr>
          <w:spacing w:val="40"/>
        </w:rPr>
        <w:t> </w:t>
      </w:r>
      <w:r>
        <w:rPr/>
        <w:t>few elite institutions at the peak and a large proportion of institutions at the bottom of this</w:t>
      </w:r>
      <w:r>
        <w:rPr>
          <w:spacing w:val="44"/>
        </w:rPr>
        <w:t> </w:t>
      </w:r>
      <w:r>
        <w:rPr/>
        <w:t>pyramid.</w:t>
      </w:r>
      <w:r>
        <w:rPr>
          <w:spacing w:val="44"/>
        </w:rPr>
        <w:t> </w:t>
      </w:r>
      <w:r>
        <w:rPr/>
        <w:t>Flexible</w:t>
      </w:r>
      <w:r>
        <w:rPr>
          <w:spacing w:val="45"/>
        </w:rPr>
        <w:t> </w:t>
      </w:r>
      <w:r>
        <w:rPr/>
        <w:t>institutions,</w:t>
      </w:r>
      <w:r>
        <w:rPr>
          <w:spacing w:val="44"/>
        </w:rPr>
        <w:t> </w:t>
      </w:r>
      <w:r>
        <w:rPr>
          <w:spacing w:val="-4"/>
        </w:rPr>
        <w:t>world</w:t>
      </w:r>
    </w:p>
    <w:p>
      <w:pPr>
        <w:spacing w:line="240" w:lineRule="auto" w:before="220"/>
        <w:rPr>
          <w:sz w:val="24"/>
        </w:rPr>
      </w:pPr>
      <w:r>
        <w:rPr/>
        <w:br w:type="column"/>
      </w:r>
      <w:r>
        <w:rPr>
          <w:sz w:val="24"/>
        </w:rPr>
      </w:r>
    </w:p>
    <w:p>
      <w:pPr>
        <w:pStyle w:val="Heading8"/>
        <w:ind w:left="344"/>
      </w:pPr>
      <w:r>
        <w:rPr>
          <w:w w:val="90"/>
        </w:rPr>
        <w:t>Figure</w:t>
      </w:r>
      <w:r>
        <w:rPr>
          <w:spacing w:val="-2"/>
        </w:rPr>
        <w:t> </w:t>
      </w:r>
      <w:r>
        <w:rPr>
          <w:w w:val="90"/>
        </w:rPr>
        <w:t>41:</w:t>
      </w:r>
      <w:r>
        <w:rPr>
          <w:spacing w:val="-2"/>
        </w:rPr>
        <w:t> </w:t>
      </w:r>
      <w:r>
        <w:rPr>
          <w:color w:val="2E614A"/>
          <w:w w:val="90"/>
        </w:rPr>
        <w:t>Average</w:t>
      </w:r>
      <w:r>
        <w:rPr>
          <w:color w:val="2E614A"/>
          <w:spacing w:val="-2"/>
        </w:rPr>
        <w:t> </w:t>
      </w:r>
      <w:r>
        <w:rPr>
          <w:color w:val="2E614A"/>
          <w:w w:val="90"/>
        </w:rPr>
        <w:t>sanctioned</w:t>
      </w:r>
      <w:r>
        <w:rPr>
          <w:color w:val="2E614A"/>
          <w:spacing w:val="-2"/>
        </w:rPr>
        <w:t> </w:t>
      </w:r>
      <w:r>
        <w:rPr>
          <w:color w:val="2E614A"/>
          <w:w w:val="90"/>
        </w:rPr>
        <w:t>intake</w:t>
      </w:r>
      <w:r>
        <w:rPr>
          <w:color w:val="2E614A"/>
          <w:spacing w:val="-2"/>
        </w:rPr>
        <w:t> </w:t>
      </w:r>
      <w:r>
        <w:rPr>
          <w:color w:val="2E614A"/>
          <w:w w:val="90"/>
        </w:rPr>
        <w:t>per</w:t>
      </w:r>
      <w:r>
        <w:rPr>
          <w:color w:val="2E614A"/>
          <w:spacing w:val="-2"/>
        </w:rPr>
        <w:t> </w:t>
      </w:r>
      <w:r>
        <w:rPr>
          <w:color w:val="2E614A"/>
          <w:spacing w:val="-2"/>
          <w:w w:val="90"/>
        </w:rPr>
        <w:t>institution</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4"/>
        <w:rPr>
          <w:b/>
          <w:sz w:val="24"/>
        </w:rPr>
      </w:pPr>
    </w:p>
    <w:p>
      <w:pPr>
        <w:spacing w:before="0"/>
        <w:ind w:left="344" w:right="0" w:firstLine="0"/>
        <w:jc w:val="left"/>
        <w:rPr>
          <w:sz w:val="16"/>
        </w:rPr>
      </w:pPr>
      <w:r>
        <w:rPr/>
        <mc:AlternateContent>
          <mc:Choice Requires="wps">
            <w:drawing>
              <wp:anchor distT="0" distB="0" distL="0" distR="0" allowOverlap="1" layoutInCell="1" locked="0" behindDoc="0" simplePos="0" relativeHeight="15859200">
                <wp:simplePos x="0" y="0"/>
                <wp:positionH relativeFrom="page">
                  <wp:posOffset>3322800</wp:posOffset>
                </wp:positionH>
                <wp:positionV relativeFrom="paragraph">
                  <wp:posOffset>-2935364</wp:posOffset>
                </wp:positionV>
                <wp:extent cx="3780154" cy="2908300"/>
                <wp:effectExtent l="0" t="0" r="0" b="0"/>
                <wp:wrapNone/>
                <wp:docPr id="1856" name="Group 1856"/>
                <wp:cNvGraphicFramePr>
                  <a:graphicFrameLocks/>
                </wp:cNvGraphicFramePr>
                <a:graphic>
                  <a:graphicData uri="http://schemas.microsoft.com/office/word/2010/wordprocessingGroup">
                    <wpg:wgp>
                      <wpg:cNvPr id="1856" name="Group 1856"/>
                      <wpg:cNvGrpSpPr/>
                      <wpg:grpSpPr>
                        <a:xfrm>
                          <a:off x="0" y="0"/>
                          <a:ext cx="3780154" cy="2908300"/>
                          <a:chExt cx="3780154" cy="2908300"/>
                        </a:xfrm>
                      </wpg:grpSpPr>
                      <wps:wsp>
                        <wps:cNvPr id="1857" name="Graphic 1857"/>
                        <wps:cNvSpPr/>
                        <wps:spPr>
                          <a:xfrm>
                            <a:off x="462358" y="158664"/>
                            <a:ext cx="3200400" cy="2280920"/>
                          </a:xfrm>
                          <a:custGeom>
                            <a:avLst/>
                            <a:gdLst/>
                            <a:ahLst/>
                            <a:cxnLst/>
                            <a:rect l="l" t="t" r="r" b="b"/>
                            <a:pathLst>
                              <a:path w="3200400" h="2280920">
                                <a:moveTo>
                                  <a:pt x="3200006" y="2245626"/>
                                </a:moveTo>
                                <a:lnTo>
                                  <a:pt x="3200006" y="2245626"/>
                                </a:lnTo>
                                <a:lnTo>
                                  <a:pt x="34950" y="2245626"/>
                                </a:lnTo>
                                <a:lnTo>
                                  <a:pt x="34950" y="0"/>
                                </a:lnTo>
                                <a:lnTo>
                                  <a:pt x="28600" y="0"/>
                                </a:lnTo>
                                <a:lnTo>
                                  <a:pt x="0" y="0"/>
                                </a:lnTo>
                                <a:lnTo>
                                  <a:pt x="0" y="6350"/>
                                </a:lnTo>
                                <a:lnTo>
                                  <a:pt x="28600" y="6350"/>
                                </a:lnTo>
                                <a:lnTo>
                                  <a:pt x="28600" y="247408"/>
                                </a:lnTo>
                                <a:lnTo>
                                  <a:pt x="0" y="247408"/>
                                </a:lnTo>
                                <a:lnTo>
                                  <a:pt x="0" y="253758"/>
                                </a:lnTo>
                                <a:lnTo>
                                  <a:pt x="28600" y="253758"/>
                                </a:lnTo>
                                <a:lnTo>
                                  <a:pt x="28600" y="494792"/>
                                </a:lnTo>
                                <a:lnTo>
                                  <a:pt x="0" y="494792"/>
                                </a:lnTo>
                                <a:lnTo>
                                  <a:pt x="0" y="501142"/>
                                </a:lnTo>
                                <a:lnTo>
                                  <a:pt x="28600" y="501142"/>
                                </a:lnTo>
                                <a:lnTo>
                                  <a:pt x="28600" y="751713"/>
                                </a:lnTo>
                                <a:lnTo>
                                  <a:pt x="0" y="751713"/>
                                </a:lnTo>
                                <a:lnTo>
                                  <a:pt x="0" y="758063"/>
                                </a:lnTo>
                                <a:lnTo>
                                  <a:pt x="28600" y="758063"/>
                                </a:lnTo>
                                <a:lnTo>
                                  <a:pt x="28600" y="999109"/>
                                </a:lnTo>
                                <a:lnTo>
                                  <a:pt x="0" y="999109"/>
                                </a:lnTo>
                                <a:lnTo>
                                  <a:pt x="0" y="1005459"/>
                                </a:lnTo>
                                <a:lnTo>
                                  <a:pt x="28600" y="1005459"/>
                                </a:lnTo>
                                <a:lnTo>
                                  <a:pt x="28600" y="1246505"/>
                                </a:lnTo>
                                <a:lnTo>
                                  <a:pt x="0" y="1246505"/>
                                </a:lnTo>
                                <a:lnTo>
                                  <a:pt x="0" y="1252855"/>
                                </a:lnTo>
                                <a:lnTo>
                                  <a:pt x="28600" y="1252855"/>
                                </a:lnTo>
                                <a:lnTo>
                                  <a:pt x="28600" y="1493901"/>
                                </a:lnTo>
                                <a:lnTo>
                                  <a:pt x="0" y="1493901"/>
                                </a:lnTo>
                                <a:lnTo>
                                  <a:pt x="0" y="1500251"/>
                                </a:lnTo>
                                <a:lnTo>
                                  <a:pt x="28600" y="1500251"/>
                                </a:lnTo>
                                <a:lnTo>
                                  <a:pt x="28600" y="1750822"/>
                                </a:lnTo>
                                <a:lnTo>
                                  <a:pt x="0" y="1750822"/>
                                </a:lnTo>
                                <a:lnTo>
                                  <a:pt x="0" y="1757172"/>
                                </a:lnTo>
                                <a:lnTo>
                                  <a:pt x="28600" y="1757172"/>
                                </a:lnTo>
                                <a:lnTo>
                                  <a:pt x="28600" y="1998218"/>
                                </a:lnTo>
                                <a:lnTo>
                                  <a:pt x="0" y="1998218"/>
                                </a:lnTo>
                                <a:lnTo>
                                  <a:pt x="0" y="2004568"/>
                                </a:lnTo>
                                <a:lnTo>
                                  <a:pt x="28600" y="2004568"/>
                                </a:lnTo>
                                <a:lnTo>
                                  <a:pt x="28600" y="2245626"/>
                                </a:lnTo>
                                <a:lnTo>
                                  <a:pt x="0" y="2245626"/>
                                </a:lnTo>
                                <a:lnTo>
                                  <a:pt x="0" y="2251976"/>
                                </a:lnTo>
                                <a:lnTo>
                                  <a:pt x="28600" y="2251976"/>
                                </a:lnTo>
                                <a:lnTo>
                                  <a:pt x="28600" y="2280513"/>
                                </a:lnTo>
                                <a:lnTo>
                                  <a:pt x="34950" y="2280513"/>
                                </a:lnTo>
                                <a:lnTo>
                                  <a:pt x="34950" y="2251976"/>
                                </a:lnTo>
                                <a:lnTo>
                                  <a:pt x="476656" y="2251976"/>
                                </a:lnTo>
                                <a:lnTo>
                                  <a:pt x="476656" y="2280513"/>
                                </a:lnTo>
                                <a:lnTo>
                                  <a:pt x="483006" y="2280513"/>
                                </a:lnTo>
                                <a:lnTo>
                                  <a:pt x="483006" y="2251976"/>
                                </a:lnTo>
                                <a:lnTo>
                                  <a:pt x="934250" y="2251976"/>
                                </a:lnTo>
                                <a:lnTo>
                                  <a:pt x="934250" y="2280513"/>
                                </a:lnTo>
                                <a:lnTo>
                                  <a:pt x="940600" y="2280513"/>
                                </a:lnTo>
                                <a:lnTo>
                                  <a:pt x="940600" y="2251976"/>
                                </a:lnTo>
                                <a:lnTo>
                                  <a:pt x="1382318" y="2251976"/>
                                </a:lnTo>
                                <a:lnTo>
                                  <a:pt x="1382318" y="2280513"/>
                                </a:lnTo>
                                <a:lnTo>
                                  <a:pt x="1388668" y="2280513"/>
                                </a:lnTo>
                                <a:lnTo>
                                  <a:pt x="1388668" y="2251976"/>
                                </a:lnTo>
                                <a:lnTo>
                                  <a:pt x="1839912" y="2251976"/>
                                </a:lnTo>
                                <a:lnTo>
                                  <a:pt x="1839912" y="2280513"/>
                                </a:lnTo>
                                <a:lnTo>
                                  <a:pt x="1846262" y="2280513"/>
                                </a:lnTo>
                                <a:lnTo>
                                  <a:pt x="1846262" y="2251976"/>
                                </a:lnTo>
                                <a:lnTo>
                                  <a:pt x="2287994" y="2251976"/>
                                </a:lnTo>
                                <a:lnTo>
                                  <a:pt x="2287994" y="2280513"/>
                                </a:lnTo>
                                <a:lnTo>
                                  <a:pt x="2294344" y="2280513"/>
                                </a:lnTo>
                                <a:lnTo>
                                  <a:pt x="2294344" y="2251976"/>
                                </a:lnTo>
                                <a:lnTo>
                                  <a:pt x="2745587" y="2251976"/>
                                </a:lnTo>
                                <a:lnTo>
                                  <a:pt x="2745587" y="2280513"/>
                                </a:lnTo>
                                <a:lnTo>
                                  <a:pt x="2751937" y="2280513"/>
                                </a:lnTo>
                                <a:lnTo>
                                  <a:pt x="2751937" y="2251976"/>
                                </a:lnTo>
                                <a:lnTo>
                                  <a:pt x="3193656" y="2251976"/>
                                </a:lnTo>
                                <a:lnTo>
                                  <a:pt x="3193656" y="2280513"/>
                                </a:lnTo>
                                <a:lnTo>
                                  <a:pt x="3200006" y="2280513"/>
                                </a:lnTo>
                                <a:lnTo>
                                  <a:pt x="3200006" y="2245626"/>
                                </a:lnTo>
                                <a:close/>
                              </a:path>
                            </a:pathLst>
                          </a:custGeom>
                          <a:solidFill>
                            <a:srgbClr val="000000"/>
                          </a:solidFill>
                        </wps:spPr>
                        <wps:bodyPr wrap="square" lIns="0" tIns="0" rIns="0" bIns="0" rtlCol="0">
                          <a:prstTxWarp prst="textNoShape">
                            <a:avLst/>
                          </a:prstTxWarp>
                          <a:noAutofit/>
                        </wps:bodyPr>
                      </wps:wsp>
                      <wps:wsp>
                        <wps:cNvPr id="1858" name="Graphic 1858"/>
                        <wps:cNvSpPr/>
                        <wps:spPr>
                          <a:xfrm>
                            <a:off x="675261" y="276025"/>
                            <a:ext cx="2802890" cy="1303655"/>
                          </a:xfrm>
                          <a:custGeom>
                            <a:avLst/>
                            <a:gdLst/>
                            <a:ahLst/>
                            <a:cxnLst/>
                            <a:rect l="l" t="t" r="r" b="b"/>
                            <a:pathLst>
                              <a:path w="2802890" h="1303655">
                                <a:moveTo>
                                  <a:pt x="2802801" y="47574"/>
                                </a:moveTo>
                                <a:lnTo>
                                  <a:pt x="2755138" y="0"/>
                                </a:lnTo>
                                <a:lnTo>
                                  <a:pt x="2707462" y="47574"/>
                                </a:lnTo>
                                <a:lnTo>
                                  <a:pt x="2715996" y="56108"/>
                                </a:lnTo>
                                <a:lnTo>
                                  <a:pt x="2331936" y="243687"/>
                                </a:lnTo>
                                <a:lnTo>
                                  <a:pt x="2307056" y="218846"/>
                                </a:lnTo>
                                <a:lnTo>
                                  <a:pt x="2259393" y="266433"/>
                                </a:lnTo>
                                <a:lnTo>
                                  <a:pt x="2262454" y="269506"/>
                                </a:lnTo>
                                <a:lnTo>
                                  <a:pt x="1878672" y="381241"/>
                                </a:lnTo>
                                <a:lnTo>
                                  <a:pt x="1849462" y="352069"/>
                                </a:lnTo>
                                <a:lnTo>
                                  <a:pt x="1801799" y="399643"/>
                                </a:lnTo>
                                <a:lnTo>
                                  <a:pt x="1819617" y="417449"/>
                                </a:lnTo>
                                <a:lnTo>
                                  <a:pt x="1417751" y="844169"/>
                                </a:lnTo>
                                <a:lnTo>
                                  <a:pt x="1401394" y="827836"/>
                                </a:lnTo>
                                <a:lnTo>
                                  <a:pt x="1359738" y="869403"/>
                                </a:lnTo>
                                <a:lnTo>
                                  <a:pt x="988441" y="900950"/>
                                </a:lnTo>
                                <a:lnTo>
                                  <a:pt x="953338" y="865898"/>
                                </a:lnTo>
                                <a:lnTo>
                                  <a:pt x="905675" y="913472"/>
                                </a:lnTo>
                                <a:lnTo>
                                  <a:pt x="913968" y="921766"/>
                                </a:lnTo>
                                <a:lnTo>
                                  <a:pt x="520814" y="1109789"/>
                                </a:lnTo>
                                <a:lnTo>
                                  <a:pt x="495731" y="1084745"/>
                                </a:lnTo>
                                <a:lnTo>
                                  <a:pt x="448056" y="1132319"/>
                                </a:lnTo>
                                <a:lnTo>
                                  <a:pt x="450634" y="1134910"/>
                                </a:lnTo>
                                <a:lnTo>
                                  <a:pt x="77254" y="1237983"/>
                                </a:lnTo>
                                <a:lnTo>
                                  <a:pt x="47663" y="1208443"/>
                                </a:lnTo>
                                <a:lnTo>
                                  <a:pt x="0" y="1256017"/>
                                </a:lnTo>
                                <a:lnTo>
                                  <a:pt x="47663" y="1303591"/>
                                </a:lnTo>
                                <a:lnTo>
                                  <a:pt x="95338" y="1256017"/>
                                </a:lnTo>
                                <a:lnTo>
                                  <a:pt x="92748" y="1253451"/>
                                </a:lnTo>
                                <a:lnTo>
                                  <a:pt x="466140" y="1150378"/>
                                </a:lnTo>
                                <a:lnTo>
                                  <a:pt x="495731" y="1179893"/>
                                </a:lnTo>
                                <a:lnTo>
                                  <a:pt x="543394" y="1132319"/>
                                </a:lnTo>
                                <a:lnTo>
                                  <a:pt x="535101" y="1124051"/>
                                </a:lnTo>
                                <a:lnTo>
                                  <a:pt x="542264" y="1120622"/>
                                </a:lnTo>
                                <a:lnTo>
                                  <a:pt x="928255" y="936015"/>
                                </a:lnTo>
                                <a:lnTo>
                                  <a:pt x="953338" y="961047"/>
                                </a:lnTo>
                                <a:lnTo>
                                  <a:pt x="994968" y="919492"/>
                                </a:lnTo>
                                <a:lnTo>
                                  <a:pt x="1366278" y="887945"/>
                                </a:lnTo>
                                <a:lnTo>
                                  <a:pt x="1401394" y="922985"/>
                                </a:lnTo>
                                <a:lnTo>
                                  <a:pt x="1449070" y="875411"/>
                                </a:lnTo>
                                <a:lnTo>
                                  <a:pt x="1431226" y="857618"/>
                                </a:lnTo>
                                <a:lnTo>
                                  <a:pt x="1833105" y="430898"/>
                                </a:lnTo>
                                <a:lnTo>
                                  <a:pt x="1849462" y="447217"/>
                                </a:lnTo>
                                <a:lnTo>
                                  <a:pt x="1897126" y="399643"/>
                                </a:lnTo>
                                <a:lnTo>
                                  <a:pt x="1894039" y="396582"/>
                                </a:lnTo>
                                <a:lnTo>
                                  <a:pt x="2277834" y="284848"/>
                                </a:lnTo>
                                <a:lnTo>
                                  <a:pt x="2307056" y="314007"/>
                                </a:lnTo>
                                <a:lnTo>
                                  <a:pt x="2354732" y="266433"/>
                                </a:lnTo>
                                <a:lnTo>
                                  <a:pt x="2346185" y="257911"/>
                                </a:lnTo>
                                <a:lnTo>
                                  <a:pt x="2352891" y="254635"/>
                                </a:lnTo>
                                <a:lnTo>
                                  <a:pt x="2730258" y="70332"/>
                                </a:lnTo>
                                <a:lnTo>
                                  <a:pt x="2755138" y="95148"/>
                                </a:lnTo>
                                <a:lnTo>
                                  <a:pt x="2802801" y="47574"/>
                                </a:lnTo>
                                <a:close/>
                              </a:path>
                            </a:pathLst>
                          </a:custGeom>
                          <a:solidFill>
                            <a:srgbClr val="E3C626"/>
                          </a:solidFill>
                        </wps:spPr>
                        <wps:bodyPr wrap="square" lIns="0" tIns="0" rIns="0" bIns="0" rtlCol="0">
                          <a:prstTxWarp prst="textNoShape">
                            <a:avLst/>
                          </a:prstTxWarp>
                          <a:noAutofit/>
                        </wps:bodyPr>
                      </wps:wsp>
                      <wps:wsp>
                        <wps:cNvPr id="1859" name="Textbox 1859"/>
                        <wps:cNvSpPr txBox="1"/>
                        <wps:spPr>
                          <a:xfrm>
                            <a:off x="3175" y="3175"/>
                            <a:ext cx="3773804" cy="2901950"/>
                          </a:xfrm>
                          <a:prstGeom prst="rect">
                            <a:avLst/>
                          </a:prstGeom>
                          <a:ln w="6350">
                            <a:solidFill>
                              <a:srgbClr val="000000"/>
                            </a:solidFill>
                            <a:prstDash val="solid"/>
                          </a:ln>
                        </wps:spPr>
                        <wps:txbx>
                          <w:txbxContent>
                            <w:p>
                              <w:pPr>
                                <w:spacing w:line="240" w:lineRule="auto" w:before="29"/>
                                <w:rPr>
                                  <w:sz w:val="14"/>
                                </w:rPr>
                              </w:pPr>
                            </w:p>
                            <w:p>
                              <w:pPr>
                                <w:spacing w:before="0"/>
                                <w:ind w:left="461" w:right="0" w:firstLine="0"/>
                                <w:jc w:val="left"/>
                                <w:rPr>
                                  <w:rFonts w:ascii="Arial MT"/>
                                  <w:sz w:val="14"/>
                                </w:rPr>
                              </w:pPr>
                              <w:r>
                                <w:rPr>
                                  <w:rFonts w:ascii="Arial MT"/>
                                  <w:spacing w:val="-5"/>
                                  <w:w w:val="90"/>
                                  <w:sz w:val="14"/>
                                </w:rPr>
                                <w:t>380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360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340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320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300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280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260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240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220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200</w:t>
                              </w:r>
                            </w:p>
                            <w:p>
                              <w:pPr>
                                <w:tabs>
                                  <w:tab w:pos="1621" w:val="left" w:leader="none"/>
                                  <w:tab w:pos="2341" w:val="left" w:leader="none"/>
                                  <w:tab w:pos="3051" w:val="left" w:leader="none"/>
                                  <w:tab w:pos="3761" w:val="left" w:leader="none"/>
                                  <w:tab w:pos="4471" w:val="left" w:leader="none"/>
                                  <w:tab w:pos="5632" w:val="right" w:leader="none"/>
                                </w:tabs>
                                <w:spacing w:before="96"/>
                                <w:ind w:left="901" w:right="0" w:firstLine="0"/>
                                <w:jc w:val="left"/>
                                <w:rPr>
                                  <w:rFonts w:ascii="Arial MT"/>
                                  <w:sz w:val="14"/>
                                </w:rPr>
                              </w:pPr>
                              <w:r>
                                <w:rPr>
                                  <w:rFonts w:ascii="Arial MT"/>
                                  <w:w w:val="80"/>
                                  <w:sz w:val="14"/>
                                </w:rPr>
                                <w:t>2000-</w:t>
                              </w:r>
                              <w:r>
                                <w:rPr>
                                  <w:rFonts w:ascii="Arial MT"/>
                                  <w:spacing w:val="-5"/>
                                  <w:w w:val="90"/>
                                  <w:sz w:val="14"/>
                                </w:rPr>
                                <w:t>01</w:t>
                              </w:r>
                              <w:r>
                                <w:rPr>
                                  <w:rFonts w:ascii="Arial MT"/>
                                  <w:sz w:val="14"/>
                                </w:rPr>
                                <w:tab/>
                              </w:r>
                              <w:r>
                                <w:rPr>
                                  <w:rFonts w:ascii="Arial MT"/>
                                  <w:w w:val="80"/>
                                  <w:sz w:val="14"/>
                                </w:rPr>
                                <w:t>2001-</w:t>
                              </w:r>
                              <w:r>
                                <w:rPr>
                                  <w:rFonts w:ascii="Arial MT"/>
                                  <w:spacing w:val="-5"/>
                                  <w:w w:val="90"/>
                                  <w:sz w:val="14"/>
                                </w:rPr>
                                <w:t>02</w:t>
                              </w:r>
                              <w:r>
                                <w:rPr>
                                  <w:rFonts w:ascii="Arial MT"/>
                                  <w:sz w:val="14"/>
                                </w:rPr>
                                <w:tab/>
                              </w:r>
                              <w:r>
                                <w:rPr>
                                  <w:rFonts w:ascii="Arial MT"/>
                                  <w:w w:val="80"/>
                                  <w:sz w:val="14"/>
                                </w:rPr>
                                <w:t>2002-</w:t>
                              </w:r>
                              <w:r>
                                <w:rPr>
                                  <w:rFonts w:ascii="Arial MT"/>
                                  <w:spacing w:val="-5"/>
                                  <w:w w:val="90"/>
                                  <w:sz w:val="14"/>
                                </w:rPr>
                                <w:t>03</w:t>
                              </w:r>
                              <w:r>
                                <w:rPr>
                                  <w:rFonts w:ascii="Arial MT"/>
                                  <w:sz w:val="14"/>
                                </w:rPr>
                                <w:tab/>
                              </w:r>
                              <w:r>
                                <w:rPr>
                                  <w:rFonts w:ascii="Arial MT"/>
                                  <w:w w:val="80"/>
                                  <w:sz w:val="14"/>
                                </w:rPr>
                                <w:t>2003-</w:t>
                              </w:r>
                              <w:r>
                                <w:rPr>
                                  <w:rFonts w:ascii="Arial MT"/>
                                  <w:spacing w:val="-5"/>
                                  <w:w w:val="90"/>
                                  <w:sz w:val="14"/>
                                </w:rPr>
                                <w:t>04</w:t>
                              </w:r>
                              <w:r>
                                <w:rPr>
                                  <w:rFonts w:ascii="Arial MT"/>
                                  <w:sz w:val="14"/>
                                </w:rPr>
                                <w:tab/>
                              </w:r>
                              <w:r>
                                <w:rPr>
                                  <w:rFonts w:ascii="Arial MT"/>
                                  <w:w w:val="80"/>
                                  <w:sz w:val="14"/>
                                </w:rPr>
                                <w:t>2004-</w:t>
                              </w:r>
                              <w:r>
                                <w:rPr>
                                  <w:rFonts w:ascii="Arial MT"/>
                                  <w:spacing w:val="-5"/>
                                  <w:w w:val="90"/>
                                  <w:sz w:val="14"/>
                                </w:rPr>
                                <w:t>05</w:t>
                              </w:r>
                              <w:r>
                                <w:rPr>
                                  <w:rFonts w:ascii="Arial MT"/>
                                  <w:sz w:val="14"/>
                                </w:rPr>
                                <w:tab/>
                              </w:r>
                              <w:r>
                                <w:rPr>
                                  <w:rFonts w:ascii="Arial MT"/>
                                  <w:w w:val="80"/>
                                  <w:sz w:val="14"/>
                                </w:rPr>
                                <w:t>2005-</w:t>
                              </w:r>
                              <w:r>
                                <w:rPr>
                                  <w:rFonts w:ascii="Arial MT"/>
                                  <w:spacing w:val="-5"/>
                                  <w:w w:val="90"/>
                                  <w:sz w:val="14"/>
                                </w:rPr>
                                <w:t>06</w:t>
                              </w:r>
                              <w:r>
                                <w:rPr>
                                  <w:sz w:val="14"/>
                                </w:rPr>
                                <w:tab/>
                              </w:r>
                              <w:r>
                                <w:rPr>
                                  <w:rFonts w:ascii="Arial MT"/>
                                  <w:spacing w:val="-2"/>
                                  <w:w w:val="90"/>
                                  <w:sz w:val="14"/>
                                </w:rPr>
                                <w:t>2006-</w:t>
                              </w:r>
                              <w:r>
                                <w:rPr>
                                  <w:rFonts w:ascii="Arial MT"/>
                                  <w:w w:val="80"/>
                                  <w:sz w:val="14"/>
                                </w:rPr>
                                <w:t>07</w:t>
                              </w:r>
                            </w:p>
                          </w:txbxContent>
                        </wps:txbx>
                        <wps:bodyPr wrap="square" lIns="0" tIns="0" rIns="0" bIns="0" rtlCol="0">
                          <a:noAutofit/>
                        </wps:bodyPr>
                      </wps:wsp>
                    </wpg:wgp>
                  </a:graphicData>
                </a:graphic>
              </wp:anchor>
            </w:drawing>
          </mc:Choice>
          <mc:Fallback>
            <w:pict>
              <v:group style="position:absolute;margin-left:261.637817pt;margin-top:-231.131027pt;width:297.650pt;height:229pt;mso-position-horizontal-relative:page;mso-position-vertical-relative:paragraph;z-index:15859200" id="docshapegroup1842" coordorigin="5233,-4623" coordsize="5953,4580">
                <v:shape style="position:absolute;left:5960;top:-4373;width:5040;height:3592" id="docshape1843" coordorigin="5961,-4373" coordsize="5040,3592" path="m11000,-836l11000,-836,6016,-836,6016,-4373,6006,-4373,5961,-4373,5961,-4363,6006,-4363,6006,-3983,5961,-3983,5961,-3973,6006,-3973,6006,-3594,5961,-3594,5961,-3584,6006,-3584,6006,-3189,5961,-3189,5961,-3179,6006,-3179,6006,-2799,5961,-2799,5961,-2789,6006,-2789,6006,-2410,5961,-2410,5961,-2400,6006,-2400,6006,-2020,5961,-2020,5961,-2010,6006,-2010,6006,-1616,5961,-1616,5961,-1606,6006,-1606,6006,-1226,5961,-1226,5961,-1216,6006,-1216,6006,-836,5961,-836,5961,-826,6006,-826,6006,-781,6016,-781,6016,-826,6712,-826,6712,-781,6722,-781,6722,-826,7432,-826,7432,-781,7442,-781,7442,-826,8138,-826,8138,-781,8148,-781,8148,-826,8858,-826,8858,-781,8868,-781,8868,-826,9564,-826,9564,-781,9574,-781,9574,-826,10285,-826,10285,-781,10295,-781,10295,-826,10990,-826,10990,-781,11000,-781,11000,-836xe" filled="true" fillcolor="#000000" stroked="false">
                  <v:path arrowok="t"/>
                  <v:fill type="solid"/>
                </v:shape>
                <v:shape style="position:absolute;left:6296;top:-4188;width:4414;height:2053" id="docshape1844" coordorigin="6296,-4188" coordsize="4414,2053" path="m10710,-4113l10635,-4188,10560,-4113,10573,-4100,9969,-3804,9929,-3843,9854,-3768,9859,-3764,9255,-3588,9209,-3633,9134,-3559,9162,-3531,8529,-2859,8503,-2884,8437,-2819,7853,-2769,7797,-2824,7722,-2749,7735,-2736,7116,-2440,7077,-2480,7002,-2405,7006,-2401,6418,-2238,6371,-2285,6296,-2210,6371,-2135,6446,-2210,6442,-2214,7030,-2376,7077,-2330,7152,-2405,7139,-2418,7150,-2423,7758,-2714,7797,-2674,7863,-2740,8448,-2790,8503,-2734,8578,-2809,8550,-2837,9183,-3509,9209,-3484,9284,-3559,9279,-3563,9883,-3739,9929,-3693,10004,-3768,9991,-3782,10002,-3787,10596,-4077,10635,-4038,10710,-4113xe" filled="true" fillcolor="#e3c626" stroked="false">
                  <v:path arrowok="t"/>
                  <v:fill type="solid"/>
                </v:shape>
                <v:shape style="position:absolute;left:5237;top:-4618;width:5943;height:4570" type="#_x0000_t202" id="docshape1845" filled="false" stroked="true" strokeweight=".5pt" strokecolor="#000000">
                  <v:textbox inset="0,0,0,0">
                    <w:txbxContent>
                      <w:p>
                        <w:pPr>
                          <w:spacing w:line="240" w:lineRule="auto" w:before="29"/>
                          <w:rPr>
                            <w:sz w:val="14"/>
                          </w:rPr>
                        </w:pPr>
                      </w:p>
                      <w:p>
                        <w:pPr>
                          <w:spacing w:before="0"/>
                          <w:ind w:left="461" w:right="0" w:firstLine="0"/>
                          <w:jc w:val="left"/>
                          <w:rPr>
                            <w:rFonts w:ascii="Arial MT"/>
                            <w:sz w:val="14"/>
                          </w:rPr>
                        </w:pPr>
                        <w:r>
                          <w:rPr>
                            <w:rFonts w:ascii="Arial MT"/>
                            <w:spacing w:val="-5"/>
                            <w:w w:val="90"/>
                            <w:sz w:val="14"/>
                          </w:rPr>
                          <w:t>380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360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340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320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300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280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260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240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220</w:t>
                        </w:r>
                      </w:p>
                      <w:p>
                        <w:pPr>
                          <w:spacing w:line="240" w:lineRule="auto" w:before="64"/>
                          <w:rPr>
                            <w:rFonts w:ascii="Arial MT"/>
                            <w:sz w:val="14"/>
                          </w:rPr>
                        </w:pPr>
                      </w:p>
                      <w:p>
                        <w:pPr>
                          <w:spacing w:before="0"/>
                          <w:ind w:left="461" w:right="0" w:firstLine="0"/>
                          <w:jc w:val="left"/>
                          <w:rPr>
                            <w:rFonts w:ascii="Arial MT"/>
                            <w:sz w:val="14"/>
                          </w:rPr>
                        </w:pPr>
                        <w:r>
                          <w:rPr>
                            <w:rFonts w:ascii="Arial MT"/>
                            <w:spacing w:val="-5"/>
                            <w:w w:val="90"/>
                            <w:sz w:val="14"/>
                          </w:rPr>
                          <w:t>200</w:t>
                        </w:r>
                      </w:p>
                      <w:p>
                        <w:pPr>
                          <w:tabs>
                            <w:tab w:pos="1621" w:val="left" w:leader="none"/>
                            <w:tab w:pos="2341" w:val="left" w:leader="none"/>
                            <w:tab w:pos="3051" w:val="left" w:leader="none"/>
                            <w:tab w:pos="3761" w:val="left" w:leader="none"/>
                            <w:tab w:pos="4471" w:val="left" w:leader="none"/>
                            <w:tab w:pos="5632" w:val="right" w:leader="none"/>
                          </w:tabs>
                          <w:spacing w:before="96"/>
                          <w:ind w:left="901" w:right="0" w:firstLine="0"/>
                          <w:jc w:val="left"/>
                          <w:rPr>
                            <w:rFonts w:ascii="Arial MT"/>
                            <w:sz w:val="14"/>
                          </w:rPr>
                        </w:pPr>
                        <w:r>
                          <w:rPr>
                            <w:rFonts w:ascii="Arial MT"/>
                            <w:w w:val="80"/>
                            <w:sz w:val="14"/>
                          </w:rPr>
                          <w:t>2000-</w:t>
                        </w:r>
                        <w:r>
                          <w:rPr>
                            <w:rFonts w:ascii="Arial MT"/>
                            <w:spacing w:val="-5"/>
                            <w:w w:val="90"/>
                            <w:sz w:val="14"/>
                          </w:rPr>
                          <w:t>01</w:t>
                        </w:r>
                        <w:r>
                          <w:rPr>
                            <w:rFonts w:ascii="Arial MT"/>
                            <w:sz w:val="14"/>
                          </w:rPr>
                          <w:tab/>
                        </w:r>
                        <w:r>
                          <w:rPr>
                            <w:rFonts w:ascii="Arial MT"/>
                            <w:w w:val="80"/>
                            <w:sz w:val="14"/>
                          </w:rPr>
                          <w:t>2001-</w:t>
                        </w:r>
                        <w:r>
                          <w:rPr>
                            <w:rFonts w:ascii="Arial MT"/>
                            <w:spacing w:val="-5"/>
                            <w:w w:val="90"/>
                            <w:sz w:val="14"/>
                          </w:rPr>
                          <w:t>02</w:t>
                        </w:r>
                        <w:r>
                          <w:rPr>
                            <w:rFonts w:ascii="Arial MT"/>
                            <w:sz w:val="14"/>
                          </w:rPr>
                          <w:tab/>
                        </w:r>
                        <w:r>
                          <w:rPr>
                            <w:rFonts w:ascii="Arial MT"/>
                            <w:w w:val="80"/>
                            <w:sz w:val="14"/>
                          </w:rPr>
                          <w:t>2002-</w:t>
                        </w:r>
                        <w:r>
                          <w:rPr>
                            <w:rFonts w:ascii="Arial MT"/>
                            <w:spacing w:val="-5"/>
                            <w:w w:val="90"/>
                            <w:sz w:val="14"/>
                          </w:rPr>
                          <w:t>03</w:t>
                        </w:r>
                        <w:r>
                          <w:rPr>
                            <w:rFonts w:ascii="Arial MT"/>
                            <w:sz w:val="14"/>
                          </w:rPr>
                          <w:tab/>
                        </w:r>
                        <w:r>
                          <w:rPr>
                            <w:rFonts w:ascii="Arial MT"/>
                            <w:w w:val="80"/>
                            <w:sz w:val="14"/>
                          </w:rPr>
                          <w:t>2003-</w:t>
                        </w:r>
                        <w:r>
                          <w:rPr>
                            <w:rFonts w:ascii="Arial MT"/>
                            <w:spacing w:val="-5"/>
                            <w:w w:val="90"/>
                            <w:sz w:val="14"/>
                          </w:rPr>
                          <w:t>04</w:t>
                        </w:r>
                        <w:r>
                          <w:rPr>
                            <w:rFonts w:ascii="Arial MT"/>
                            <w:sz w:val="14"/>
                          </w:rPr>
                          <w:tab/>
                        </w:r>
                        <w:r>
                          <w:rPr>
                            <w:rFonts w:ascii="Arial MT"/>
                            <w:w w:val="80"/>
                            <w:sz w:val="14"/>
                          </w:rPr>
                          <w:t>2004-</w:t>
                        </w:r>
                        <w:r>
                          <w:rPr>
                            <w:rFonts w:ascii="Arial MT"/>
                            <w:spacing w:val="-5"/>
                            <w:w w:val="90"/>
                            <w:sz w:val="14"/>
                          </w:rPr>
                          <w:t>05</w:t>
                        </w:r>
                        <w:r>
                          <w:rPr>
                            <w:rFonts w:ascii="Arial MT"/>
                            <w:sz w:val="14"/>
                          </w:rPr>
                          <w:tab/>
                        </w:r>
                        <w:r>
                          <w:rPr>
                            <w:rFonts w:ascii="Arial MT"/>
                            <w:w w:val="80"/>
                            <w:sz w:val="14"/>
                          </w:rPr>
                          <w:t>2005-</w:t>
                        </w:r>
                        <w:r>
                          <w:rPr>
                            <w:rFonts w:ascii="Arial MT"/>
                            <w:spacing w:val="-5"/>
                            <w:w w:val="90"/>
                            <w:sz w:val="14"/>
                          </w:rPr>
                          <w:t>06</w:t>
                        </w:r>
                        <w:r>
                          <w:rPr>
                            <w:sz w:val="14"/>
                          </w:rPr>
                          <w:tab/>
                        </w:r>
                        <w:r>
                          <w:rPr>
                            <w:rFonts w:ascii="Arial MT"/>
                            <w:spacing w:val="-2"/>
                            <w:w w:val="90"/>
                            <w:sz w:val="14"/>
                          </w:rPr>
                          <w:t>2006-</w:t>
                        </w:r>
                        <w:r>
                          <w:rPr>
                            <w:rFonts w:ascii="Arial MT"/>
                            <w:w w:val="80"/>
                            <w:sz w:val="14"/>
                          </w:rPr>
                          <w:t>07</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59712">
                <wp:simplePos x="0" y="0"/>
                <wp:positionH relativeFrom="page">
                  <wp:posOffset>3403600</wp:posOffset>
                </wp:positionH>
                <wp:positionV relativeFrom="paragraph">
                  <wp:posOffset>-2026610</wp:posOffset>
                </wp:positionV>
                <wp:extent cx="127635" cy="955040"/>
                <wp:effectExtent l="0" t="0" r="0" b="0"/>
                <wp:wrapNone/>
                <wp:docPr id="1860" name="Textbox 1860"/>
                <wp:cNvGraphicFramePr>
                  <a:graphicFrameLocks/>
                </wp:cNvGraphicFramePr>
                <a:graphic>
                  <a:graphicData uri="http://schemas.microsoft.com/office/word/2010/wordprocessingShape">
                    <wps:wsp>
                      <wps:cNvPr id="1860" name="Textbox 1860"/>
                      <wps:cNvSpPr txBox="1"/>
                      <wps:spPr>
                        <a:xfrm>
                          <a:off x="0" y="0"/>
                          <a:ext cx="127635" cy="955040"/>
                        </a:xfrm>
                        <a:prstGeom prst="rect">
                          <a:avLst/>
                        </a:prstGeom>
                      </wps:spPr>
                      <wps:txbx>
                        <w:txbxContent>
                          <w:p>
                            <w:pPr>
                              <w:spacing w:before="19"/>
                              <w:ind w:left="20" w:right="0" w:firstLine="0"/>
                              <w:jc w:val="left"/>
                              <w:rPr>
                                <w:rFonts w:ascii="Arial"/>
                                <w:b/>
                                <w:sz w:val="14"/>
                              </w:rPr>
                            </w:pPr>
                            <w:r>
                              <w:rPr>
                                <w:rFonts w:ascii="Arial"/>
                                <w:b/>
                                <w:w w:val="80"/>
                                <w:sz w:val="14"/>
                              </w:rPr>
                              <w:t>Average</w:t>
                            </w:r>
                            <w:r>
                              <w:rPr>
                                <w:rFonts w:ascii="Arial"/>
                                <w:b/>
                                <w:sz w:val="14"/>
                              </w:rPr>
                              <w:t> </w:t>
                            </w:r>
                            <w:r>
                              <w:rPr>
                                <w:rFonts w:ascii="Arial"/>
                                <w:b/>
                                <w:w w:val="80"/>
                                <w:sz w:val="14"/>
                              </w:rPr>
                              <w:t>Sanctioned</w:t>
                            </w:r>
                            <w:r>
                              <w:rPr>
                                <w:rFonts w:ascii="Arial"/>
                                <w:b/>
                                <w:spacing w:val="1"/>
                                <w:sz w:val="14"/>
                              </w:rPr>
                              <w:t> </w:t>
                            </w:r>
                            <w:r>
                              <w:rPr>
                                <w:rFonts w:ascii="Arial"/>
                                <w:b/>
                                <w:spacing w:val="-2"/>
                                <w:w w:val="80"/>
                                <w:sz w:val="14"/>
                              </w:rPr>
                              <w:t>Intake</w:t>
                            </w:r>
                          </w:p>
                        </w:txbxContent>
                      </wps:txbx>
                      <wps:bodyPr wrap="square" lIns="0" tIns="0" rIns="0" bIns="0" rtlCol="0" vert="vert270">
                        <a:noAutofit/>
                      </wps:bodyPr>
                    </wps:wsp>
                  </a:graphicData>
                </a:graphic>
              </wp:anchor>
            </w:drawing>
          </mc:Choice>
          <mc:Fallback>
            <w:pict>
              <v:shape style="position:absolute;margin-left:268pt;margin-top:-159.575607pt;width:10.050pt;height:75.2pt;mso-position-horizontal-relative:page;mso-position-vertical-relative:paragraph;z-index:15859712" type="#_x0000_t202" id="docshape1846"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Average</w:t>
                      </w:r>
                      <w:r>
                        <w:rPr>
                          <w:rFonts w:ascii="Arial"/>
                          <w:b/>
                          <w:sz w:val="14"/>
                        </w:rPr>
                        <w:t> </w:t>
                      </w:r>
                      <w:r>
                        <w:rPr>
                          <w:rFonts w:ascii="Arial"/>
                          <w:b/>
                          <w:w w:val="80"/>
                          <w:sz w:val="14"/>
                        </w:rPr>
                        <w:t>Sanctioned</w:t>
                      </w:r>
                      <w:r>
                        <w:rPr>
                          <w:rFonts w:ascii="Arial"/>
                          <w:b/>
                          <w:spacing w:val="1"/>
                          <w:sz w:val="14"/>
                        </w:rPr>
                        <w:t> </w:t>
                      </w:r>
                      <w:r>
                        <w:rPr>
                          <w:rFonts w:ascii="Arial"/>
                          <w:b/>
                          <w:spacing w:val="-2"/>
                          <w:w w:val="80"/>
                          <w:sz w:val="14"/>
                        </w:rPr>
                        <w:t>Intake</w:t>
                      </w:r>
                    </w:p>
                  </w:txbxContent>
                </v:textbox>
                <w10:wrap type="none"/>
              </v:shape>
            </w:pict>
          </mc:Fallback>
        </mc:AlternateContent>
      </w:r>
      <w:r>
        <w:rPr>
          <w:i/>
          <w:w w:val="85"/>
          <w:sz w:val="16"/>
        </w:rPr>
        <w:t>Source:</w:t>
      </w:r>
      <w:r>
        <w:rPr>
          <w:i/>
          <w:spacing w:val="-5"/>
          <w:sz w:val="16"/>
        </w:rPr>
        <w:t> </w:t>
      </w:r>
      <w:r>
        <w:rPr>
          <w:spacing w:val="-2"/>
          <w:sz w:val="16"/>
        </w:rPr>
        <w:t>AICTE</w:t>
      </w:r>
    </w:p>
    <w:p>
      <w:pPr>
        <w:pStyle w:val="BodyText"/>
        <w:spacing w:before="84"/>
        <w:rPr>
          <w:sz w:val="16"/>
        </w:rPr>
      </w:pPr>
    </w:p>
    <w:p>
      <w:pPr>
        <w:pStyle w:val="Heading8"/>
        <w:ind w:left="344"/>
      </w:pPr>
      <w:r>
        <w:rPr>
          <w:spacing w:val="-8"/>
        </w:rPr>
        <w:t>Figure</w:t>
      </w:r>
      <w:r>
        <w:rPr/>
        <w:t> </w:t>
      </w:r>
      <w:r>
        <w:rPr>
          <w:spacing w:val="-8"/>
        </w:rPr>
        <w:t>42:</w:t>
      </w:r>
      <w:r>
        <w:rPr/>
        <w:t> </w:t>
      </w:r>
      <w:r>
        <w:rPr>
          <w:color w:val="2E614A"/>
          <w:spacing w:val="-8"/>
        </w:rPr>
        <w:t>Share</w:t>
      </w:r>
      <w:r>
        <w:rPr>
          <w:color w:val="2E614A"/>
        </w:rPr>
        <w:t> </w:t>
      </w:r>
      <w:r>
        <w:rPr>
          <w:color w:val="2E614A"/>
          <w:spacing w:val="-8"/>
        </w:rPr>
        <w:t>of</w:t>
      </w:r>
      <w:r>
        <w:rPr>
          <w:color w:val="2E614A"/>
          <w:spacing w:val="1"/>
        </w:rPr>
        <w:t> </w:t>
      </w:r>
      <w:r>
        <w:rPr>
          <w:color w:val="2E614A"/>
          <w:spacing w:val="-8"/>
        </w:rPr>
        <w:t>institutions</w:t>
      </w:r>
      <w:r>
        <w:rPr>
          <w:color w:val="2E614A"/>
        </w:rPr>
        <w:t> </w:t>
      </w:r>
      <w:r>
        <w:rPr>
          <w:color w:val="2E614A"/>
          <w:spacing w:val="-8"/>
        </w:rPr>
        <w:t>by</w:t>
      </w:r>
      <w:r>
        <w:rPr>
          <w:color w:val="2E614A"/>
        </w:rPr>
        <w:t> </w:t>
      </w:r>
      <w:r>
        <w:rPr>
          <w:color w:val="2E614A"/>
          <w:spacing w:val="-8"/>
        </w:rPr>
        <w:t>intake</w:t>
      </w:r>
      <w:r>
        <w:rPr>
          <w:color w:val="2E614A"/>
        </w:rPr>
        <w:t> </w:t>
      </w:r>
      <w:r>
        <w:rPr>
          <w:color w:val="2E614A"/>
          <w:spacing w:val="-8"/>
        </w:rPr>
        <w:t>(2006-07)</w:t>
      </w:r>
    </w:p>
    <w:p>
      <w:pPr>
        <w:pStyle w:val="BodyText"/>
        <w:spacing w:before="10"/>
        <w:rPr>
          <w:b/>
          <w:sz w:val="10"/>
        </w:rPr>
      </w:pPr>
      <w:r>
        <w:rPr/>
        <mc:AlternateContent>
          <mc:Choice Requires="wps">
            <w:drawing>
              <wp:anchor distT="0" distB="0" distL="0" distR="0" allowOverlap="1" layoutInCell="1" locked="0" behindDoc="1" simplePos="0" relativeHeight="487717888">
                <wp:simplePos x="0" y="0"/>
                <wp:positionH relativeFrom="page">
                  <wp:posOffset>3322800</wp:posOffset>
                </wp:positionH>
                <wp:positionV relativeFrom="paragraph">
                  <wp:posOffset>94932</wp:posOffset>
                </wp:positionV>
                <wp:extent cx="3780154" cy="2298700"/>
                <wp:effectExtent l="0" t="0" r="0" b="0"/>
                <wp:wrapTopAndBottom/>
                <wp:docPr id="1861" name="Group 1861"/>
                <wp:cNvGraphicFramePr>
                  <a:graphicFrameLocks/>
                </wp:cNvGraphicFramePr>
                <a:graphic>
                  <a:graphicData uri="http://schemas.microsoft.com/office/word/2010/wordprocessingGroup">
                    <wpg:wgp>
                      <wpg:cNvPr id="1861" name="Group 1861"/>
                      <wpg:cNvGrpSpPr/>
                      <wpg:grpSpPr>
                        <a:xfrm>
                          <a:off x="0" y="0"/>
                          <a:ext cx="3780154" cy="2298700"/>
                          <a:chExt cx="3780154" cy="2298700"/>
                        </a:xfrm>
                      </wpg:grpSpPr>
                      <wps:wsp>
                        <wps:cNvPr id="1862" name="Graphic 1862"/>
                        <wps:cNvSpPr/>
                        <wps:spPr>
                          <a:xfrm>
                            <a:off x="1379744" y="221649"/>
                            <a:ext cx="157480" cy="921385"/>
                          </a:xfrm>
                          <a:custGeom>
                            <a:avLst/>
                            <a:gdLst/>
                            <a:ahLst/>
                            <a:cxnLst/>
                            <a:rect l="l" t="t" r="r" b="b"/>
                            <a:pathLst>
                              <a:path w="157480" h="921385">
                                <a:moveTo>
                                  <a:pt x="0" y="0"/>
                                </a:moveTo>
                                <a:lnTo>
                                  <a:pt x="750" y="920824"/>
                                </a:lnTo>
                                <a:lnTo>
                                  <a:pt x="157039" y="12947"/>
                                </a:lnTo>
                                <a:lnTo>
                                  <a:pt x="118704" y="7332"/>
                                </a:lnTo>
                                <a:lnTo>
                                  <a:pt x="79855" y="3280"/>
                                </a:lnTo>
                                <a:lnTo>
                                  <a:pt x="40526" y="825"/>
                                </a:lnTo>
                                <a:lnTo>
                                  <a:pt x="0" y="0"/>
                                </a:lnTo>
                                <a:close/>
                              </a:path>
                            </a:pathLst>
                          </a:custGeom>
                          <a:solidFill>
                            <a:srgbClr val="A7B1D4"/>
                          </a:solidFill>
                        </wps:spPr>
                        <wps:bodyPr wrap="square" lIns="0" tIns="0" rIns="0" bIns="0" rtlCol="0">
                          <a:prstTxWarp prst="textNoShape">
                            <a:avLst/>
                          </a:prstTxWarp>
                          <a:noAutofit/>
                        </wps:bodyPr>
                      </wps:wsp>
                      <wps:wsp>
                        <wps:cNvPr id="1863" name="Graphic 1863"/>
                        <wps:cNvSpPr/>
                        <wps:spPr>
                          <a:xfrm>
                            <a:off x="457649" y="234596"/>
                            <a:ext cx="1845945" cy="1828800"/>
                          </a:xfrm>
                          <a:custGeom>
                            <a:avLst/>
                            <a:gdLst/>
                            <a:ahLst/>
                            <a:cxnLst/>
                            <a:rect l="l" t="t" r="r" b="b"/>
                            <a:pathLst>
                              <a:path w="1845945" h="1828800">
                                <a:moveTo>
                                  <a:pt x="1079134" y="0"/>
                                </a:moveTo>
                                <a:lnTo>
                                  <a:pt x="922845" y="907876"/>
                                </a:lnTo>
                                <a:lnTo>
                                  <a:pt x="364417" y="172838"/>
                                </a:lnTo>
                                <a:lnTo>
                                  <a:pt x="326086" y="203421"/>
                                </a:lnTo>
                                <a:lnTo>
                                  <a:pt x="289483" y="235969"/>
                                </a:lnTo>
                                <a:lnTo>
                                  <a:pt x="254683" y="270406"/>
                                </a:lnTo>
                                <a:lnTo>
                                  <a:pt x="221765" y="306655"/>
                                </a:lnTo>
                                <a:lnTo>
                                  <a:pt x="190805" y="344640"/>
                                </a:lnTo>
                                <a:lnTo>
                                  <a:pt x="161880" y="384283"/>
                                </a:lnTo>
                                <a:lnTo>
                                  <a:pt x="135066" y="425508"/>
                                </a:lnTo>
                                <a:lnTo>
                                  <a:pt x="110442" y="468238"/>
                                </a:lnTo>
                                <a:lnTo>
                                  <a:pt x="88083" y="512397"/>
                                </a:lnTo>
                                <a:lnTo>
                                  <a:pt x="68066" y="557907"/>
                                </a:lnTo>
                                <a:lnTo>
                                  <a:pt x="50469" y="604692"/>
                                </a:lnTo>
                                <a:lnTo>
                                  <a:pt x="35368" y="652675"/>
                                </a:lnTo>
                                <a:lnTo>
                                  <a:pt x="22840" y="701780"/>
                                </a:lnTo>
                                <a:lnTo>
                                  <a:pt x="12963" y="751929"/>
                                </a:lnTo>
                                <a:lnTo>
                                  <a:pt x="5812" y="803046"/>
                                </a:lnTo>
                                <a:lnTo>
                                  <a:pt x="1466" y="855054"/>
                                </a:lnTo>
                                <a:lnTo>
                                  <a:pt x="0" y="907876"/>
                                </a:lnTo>
                                <a:lnTo>
                                  <a:pt x="1192" y="955527"/>
                                </a:lnTo>
                                <a:lnTo>
                                  <a:pt x="4731" y="1002521"/>
                                </a:lnTo>
                                <a:lnTo>
                                  <a:pt x="10561" y="1048804"/>
                                </a:lnTo>
                                <a:lnTo>
                                  <a:pt x="18625" y="1094319"/>
                                </a:lnTo>
                                <a:lnTo>
                                  <a:pt x="28867" y="1139009"/>
                                </a:lnTo>
                                <a:lnTo>
                                  <a:pt x="41231" y="1182819"/>
                                </a:lnTo>
                                <a:lnTo>
                                  <a:pt x="55659" y="1225692"/>
                                </a:lnTo>
                                <a:lnTo>
                                  <a:pt x="72097" y="1267572"/>
                                </a:lnTo>
                                <a:lnTo>
                                  <a:pt x="90488" y="1308403"/>
                                </a:lnTo>
                                <a:lnTo>
                                  <a:pt x="110775" y="1348128"/>
                                </a:lnTo>
                                <a:lnTo>
                                  <a:pt x="132902" y="1386692"/>
                                </a:lnTo>
                                <a:lnTo>
                                  <a:pt x="156812" y="1424038"/>
                                </a:lnTo>
                                <a:lnTo>
                                  <a:pt x="182450" y="1460111"/>
                                </a:lnTo>
                                <a:lnTo>
                                  <a:pt x="209759" y="1494853"/>
                                </a:lnTo>
                                <a:lnTo>
                                  <a:pt x="238683" y="1528208"/>
                                </a:lnTo>
                                <a:lnTo>
                                  <a:pt x="269164" y="1560121"/>
                                </a:lnTo>
                                <a:lnTo>
                                  <a:pt x="301148" y="1590536"/>
                                </a:lnTo>
                                <a:lnTo>
                                  <a:pt x="334578" y="1619395"/>
                                </a:lnTo>
                                <a:lnTo>
                                  <a:pt x="369397" y="1646643"/>
                                </a:lnTo>
                                <a:lnTo>
                                  <a:pt x="405549" y="1672224"/>
                                </a:lnTo>
                                <a:lnTo>
                                  <a:pt x="442977" y="1696082"/>
                                </a:lnTo>
                                <a:lnTo>
                                  <a:pt x="481626" y="1718159"/>
                                </a:lnTo>
                                <a:lnTo>
                                  <a:pt x="521440" y="1738401"/>
                                </a:lnTo>
                                <a:lnTo>
                                  <a:pt x="562360" y="1756751"/>
                                </a:lnTo>
                                <a:lnTo>
                                  <a:pt x="604333" y="1773152"/>
                                </a:lnTo>
                                <a:lnTo>
                                  <a:pt x="647300" y="1787549"/>
                                </a:lnTo>
                                <a:lnTo>
                                  <a:pt x="691206" y="1799885"/>
                                </a:lnTo>
                                <a:lnTo>
                                  <a:pt x="735994" y="1810104"/>
                                </a:lnTo>
                                <a:lnTo>
                                  <a:pt x="781609" y="1818150"/>
                                </a:lnTo>
                                <a:lnTo>
                                  <a:pt x="827993" y="1823967"/>
                                </a:lnTo>
                                <a:lnTo>
                                  <a:pt x="875090" y="1827498"/>
                                </a:lnTo>
                                <a:lnTo>
                                  <a:pt x="922845" y="1828688"/>
                                </a:lnTo>
                                <a:lnTo>
                                  <a:pt x="970600" y="1827498"/>
                                </a:lnTo>
                                <a:lnTo>
                                  <a:pt x="1017698" y="1823967"/>
                                </a:lnTo>
                                <a:lnTo>
                                  <a:pt x="1064083" y="1818150"/>
                                </a:lnTo>
                                <a:lnTo>
                                  <a:pt x="1109697" y="1810104"/>
                                </a:lnTo>
                                <a:lnTo>
                                  <a:pt x="1154485" y="1799885"/>
                                </a:lnTo>
                                <a:lnTo>
                                  <a:pt x="1198391" y="1787549"/>
                                </a:lnTo>
                                <a:lnTo>
                                  <a:pt x="1241358" y="1773152"/>
                                </a:lnTo>
                                <a:lnTo>
                                  <a:pt x="1283330" y="1756751"/>
                                </a:lnTo>
                                <a:lnTo>
                                  <a:pt x="1324250" y="1738401"/>
                                </a:lnTo>
                                <a:lnTo>
                                  <a:pt x="1364062" y="1718159"/>
                                </a:lnTo>
                                <a:lnTo>
                                  <a:pt x="1402711" y="1696082"/>
                                </a:lnTo>
                                <a:lnTo>
                                  <a:pt x="1440138" y="1672224"/>
                                </a:lnTo>
                                <a:lnTo>
                                  <a:pt x="1476290" y="1646643"/>
                                </a:lnTo>
                                <a:lnTo>
                                  <a:pt x="1511108" y="1619395"/>
                                </a:lnTo>
                                <a:lnTo>
                                  <a:pt x="1544536" y="1590536"/>
                                </a:lnTo>
                                <a:lnTo>
                                  <a:pt x="1576519" y="1560121"/>
                                </a:lnTo>
                                <a:lnTo>
                                  <a:pt x="1607000" y="1528208"/>
                                </a:lnTo>
                                <a:lnTo>
                                  <a:pt x="1635923" y="1494853"/>
                                </a:lnTo>
                                <a:lnTo>
                                  <a:pt x="1663230" y="1460111"/>
                                </a:lnTo>
                                <a:lnTo>
                                  <a:pt x="1688867" y="1424038"/>
                                </a:lnTo>
                                <a:lnTo>
                                  <a:pt x="1712777" y="1386692"/>
                                </a:lnTo>
                                <a:lnTo>
                                  <a:pt x="1734903" y="1348128"/>
                                </a:lnTo>
                                <a:lnTo>
                                  <a:pt x="1755189" y="1308403"/>
                                </a:lnTo>
                                <a:lnTo>
                                  <a:pt x="1773579" y="1267572"/>
                                </a:lnTo>
                                <a:lnTo>
                                  <a:pt x="1790016" y="1225692"/>
                                </a:lnTo>
                                <a:lnTo>
                                  <a:pt x="1804444" y="1182819"/>
                                </a:lnTo>
                                <a:lnTo>
                                  <a:pt x="1816807" y="1139009"/>
                                </a:lnTo>
                                <a:lnTo>
                                  <a:pt x="1827049" y="1094319"/>
                                </a:lnTo>
                                <a:lnTo>
                                  <a:pt x="1835112" y="1048804"/>
                                </a:lnTo>
                                <a:lnTo>
                                  <a:pt x="1840942" y="1002521"/>
                                </a:lnTo>
                                <a:lnTo>
                                  <a:pt x="1844481" y="955527"/>
                                </a:lnTo>
                                <a:lnTo>
                                  <a:pt x="1845673" y="907876"/>
                                </a:lnTo>
                                <a:lnTo>
                                  <a:pt x="1844423" y="859091"/>
                                </a:lnTo>
                                <a:lnTo>
                                  <a:pt x="1840714" y="810995"/>
                                </a:lnTo>
                                <a:lnTo>
                                  <a:pt x="1834606" y="763648"/>
                                </a:lnTo>
                                <a:lnTo>
                                  <a:pt x="1826159" y="717110"/>
                                </a:lnTo>
                                <a:lnTo>
                                  <a:pt x="1815434" y="671442"/>
                                </a:lnTo>
                                <a:lnTo>
                                  <a:pt x="1802492" y="626705"/>
                                </a:lnTo>
                                <a:lnTo>
                                  <a:pt x="1787393" y="582958"/>
                                </a:lnTo>
                                <a:lnTo>
                                  <a:pt x="1770197" y="540262"/>
                                </a:lnTo>
                                <a:lnTo>
                                  <a:pt x="1750965" y="498678"/>
                                </a:lnTo>
                                <a:lnTo>
                                  <a:pt x="1729758" y="458265"/>
                                </a:lnTo>
                                <a:lnTo>
                                  <a:pt x="1706635" y="419084"/>
                                </a:lnTo>
                                <a:lnTo>
                                  <a:pt x="1681658" y="381196"/>
                                </a:lnTo>
                                <a:lnTo>
                                  <a:pt x="1654887" y="344660"/>
                                </a:lnTo>
                                <a:lnTo>
                                  <a:pt x="1626381" y="309537"/>
                                </a:lnTo>
                                <a:lnTo>
                                  <a:pt x="1596203" y="275888"/>
                                </a:lnTo>
                                <a:lnTo>
                                  <a:pt x="1564412" y="243773"/>
                                </a:lnTo>
                                <a:lnTo>
                                  <a:pt x="1531068" y="213252"/>
                                </a:lnTo>
                                <a:lnTo>
                                  <a:pt x="1496233" y="184385"/>
                                </a:lnTo>
                                <a:lnTo>
                                  <a:pt x="1459966" y="157234"/>
                                </a:lnTo>
                                <a:lnTo>
                                  <a:pt x="1422329" y="131857"/>
                                </a:lnTo>
                                <a:lnTo>
                                  <a:pt x="1383381" y="108317"/>
                                </a:lnTo>
                                <a:lnTo>
                                  <a:pt x="1343183" y="86672"/>
                                </a:lnTo>
                                <a:lnTo>
                                  <a:pt x="1301796" y="66983"/>
                                </a:lnTo>
                                <a:lnTo>
                                  <a:pt x="1259279" y="49312"/>
                                </a:lnTo>
                                <a:lnTo>
                                  <a:pt x="1215694" y="33717"/>
                                </a:lnTo>
                                <a:lnTo>
                                  <a:pt x="1171102" y="20260"/>
                                </a:lnTo>
                                <a:lnTo>
                                  <a:pt x="1125561" y="9001"/>
                                </a:lnTo>
                                <a:lnTo>
                                  <a:pt x="1079134" y="0"/>
                                </a:lnTo>
                                <a:close/>
                              </a:path>
                            </a:pathLst>
                          </a:custGeom>
                          <a:solidFill>
                            <a:srgbClr val="2F7D41"/>
                          </a:solidFill>
                        </wps:spPr>
                        <wps:bodyPr wrap="square" lIns="0" tIns="0" rIns="0" bIns="0" rtlCol="0">
                          <a:prstTxWarp prst="textNoShape">
                            <a:avLst/>
                          </a:prstTxWarp>
                          <a:noAutofit/>
                        </wps:bodyPr>
                      </wps:wsp>
                      <wps:wsp>
                        <wps:cNvPr id="1864" name="Graphic 1864"/>
                        <wps:cNvSpPr/>
                        <wps:spPr>
                          <a:xfrm>
                            <a:off x="822848" y="221649"/>
                            <a:ext cx="558165" cy="921385"/>
                          </a:xfrm>
                          <a:custGeom>
                            <a:avLst/>
                            <a:gdLst/>
                            <a:ahLst/>
                            <a:cxnLst/>
                            <a:rect l="l" t="t" r="r" b="b"/>
                            <a:pathLst>
                              <a:path w="558165" h="921385">
                                <a:moveTo>
                                  <a:pt x="556896" y="0"/>
                                </a:moveTo>
                                <a:lnTo>
                                  <a:pt x="504794" y="1458"/>
                                </a:lnTo>
                                <a:lnTo>
                                  <a:pt x="453483" y="5701"/>
                                </a:lnTo>
                                <a:lnTo>
                                  <a:pt x="403036" y="12656"/>
                                </a:lnTo>
                                <a:lnTo>
                                  <a:pt x="353526" y="22250"/>
                                </a:lnTo>
                                <a:lnTo>
                                  <a:pt x="305027" y="34408"/>
                                </a:lnTo>
                                <a:lnTo>
                                  <a:pt x="257612" y="49059"/>
                                </a:lnTo>
                                <a:lnTo>
                                  <a:pt x="211355" y="66128"/>
                                </a:lnTo>
                                <a:lnTo>
                                  <a:pt x="166328" y="85543"/>
                                </a:lnTo>
                                <a:lnTo>
                                  <a:pt x="122606" y="107231"/>
                                </a:lnTo>
                                <a:lnTo>
                                  <a:pt x="80262" y="131118"/>
                                </a:lnTo>
                                <a:lnTo>
                                  <a:pt x="39368" y="157131"/>
                                </a:lnTo>
                                <a:lnTo>
                                  <a:pt x="0" y="185197"/>
                                </a:lnTo>
                                <a:lnTo>
                                  <a:pt x="557646" y="920824"/>
                                </a:lnTo>
                                <a:lnTo>
                                  <a:pt x="556896" y="0"/>
                                </a:lnTo>
                                <a:close/>
                              </a:path>
                            </a:pathLst>
                          </a:custGeom>
                          <a:solidFill>
                            <a:srgbClr val="E3C626"/>
                          </a:solidFill>
                        </wps:spPr>
                        <wps:bodyPr wrap="square" lIns="0" tIns="0" rIns="0" bIns="0" rtlCol="0">
                          <a:prstTxWarp prst="textNoShape">
                            <a:avLst/>
                          </a:prstTxWarp>
                          <a:noAutofit/>
                        </wps:bodyPr>
                      </wps:wsp>
                      <wps:wsp>
                        <wps:cNvPr id="1865" name="Graphic 1865"/>
                        <wps:cNvSpPr/>
                        <wps:spPr>
                          <a:xfrm>
                            <a:off x="-10" y="0"/>
                            <a:ext cx="3780154" cy="2298700"/>
                          </a:xfrm>
                          <a:custGeom>
                            <a:avLst/>
                            <a:gdLst/>
                            <a:ahLst/>
                            <a:cxnLst/>
                            <a:rect l="l" t="t" r="r" b="b"/>
                            <a:pathLst>
                              <a:path w="3780154" h="2298700">
                                <a:moveTo>
                                  <a:pt x="3780002" y="0"/>
                                </a:moveTo>
                                <a:lnTo>
                                  <a:pt x="3773652" y="0"/>
                                </a:lnTo>
                                <a:lnTo>
                                  <a:pt x="3773652" y="2540"/>
                                </a:lnTo>
                                <a:lnTo>
                                  <a:pt x="3773652" y="3098"/>
                                </a:lnTo>
                                <a:lnTo>
                                  <a:pt x="3773652" y="6273"/>
                                </a:lnTo>
                                <a:lnTo>
                                  <a:pt x="3773652" y="2292273"/>
                                </a:lnTo>
                                <a:lnTo>
                                  <a:pt x="6350" y="2292273"/>
                                </a:lnTo>
                                <a:lnTo>
                                  <a:pt x="6350" y="6350"/>
                                </a:lnTo>
                                <a:lnTo>
                                  <a:pt x="3175" y="6350"/>
                                </a:lnTo>
                                <a:lnTo>
                                  <a:pt x="6350" y="6273"/>
                                </a:lnTo>
                                <a:lnTo>
                                  <a:pt x="3773652" y="6273"/>
                                </a:lnTo>
                                <a:lnTo>
                                  <a:pt x="3773652" y="3098"/>
                                </a:lnTo>
                                <a:lnTo>
                                  <a:pt x="6350" y="3098"/>
                                </a:lnTo>
                                <a:lnTo>
                                  <a:pt x="3175" y="3098"/>
                                </a:lnTo>
                                <a:lnTo>
                                  <a:pt x="3175" y="2540"/>
                                </a:lnTo>
                                <a:lnTo>
                                  <a:pt x="3773652" y="2540"/>
                                </a:lnTo>
                                <a:lnTo>
                                  <a:pt x="3773652" y="0"/>
                                </a:lnTo>
                                <a:lnTo>
                                  <a:pt x="0" y="0"/>
                                </a:lnTo>
                                <a:lnTo>
                                  <a:pt x="0" y="2540"/>
                                </a:lnTo>
                                <a:lnTo>
                                  <a:pt x="0" y="6350"/>
                                </a:lnTo>
                                <a:lnTo>
                                  <a:pt x="0" y="2292350"/>
                                </a:lnTo>
                                <a:lnTo>
                                  <a:pt x="0" y="2294890"/>
                                </a:lnTo>
                                <a:lnTo>
                                  <a:pt x="0" y="2298700"/>
                                </a:lnTo>
                                <a:lnTo>
                                  <a:pt x="3780002" y="2298700"/>
                                </a:lnTo>
                                <a:lnTo>
                                  <a:pt x="3780002" y="6350"/>
                                </a:lnTo>
                                <a:lnTo>
                                  <a:pt x="3776827" y="6350"/>
                                </a:lnTo>
                                <a:lnTo>
                                  <a:pt x="3780002" y="6273"/>
                                </a:lnTo>
                                <a:lnTo>
                                  <a:pt x="3780002" y="3098"/>
                                </a:lnTo>
                                <a:lnTo>
                                  <a:pt x="3776827" y="3098"/>
                                </a:lnTo>
                                <a:lnTo>
                                  <a:pt x="3776827" y="2540"/>
                                </a:lnTo>
                                <a:lnTo>
                                  <a:pt x="3780002" y="2540"/>
                                </a:lnTo>
                                <a:lnTo>
                                  <a:pt x="3780002" y="0"/>
                                </a:lnTo>
                                <a:close/>
                              </a:path>
                            </a:pathLst>
                          </a:custGeom>
                          <a:solidFill>
                            <a:srgbClr val="000000"/>
                          </a:solidFill>
                        </wps:spPr>
                        <wps:bodyPr wrap="square" lIns="0" tIns="0" rIns="0" bIns="0" rtlCol="0">
                          <a:prstTxWarp prst="textNoShape">
                            <a:avLst/>
                          </a:prstTxWarp>
                          <a:noAutofit/>
                        </wps:bodyPr>
                      </wps:wsp>
                      <wps:wsp>
                        <wps:cNvPr id="1866" name="Graphic 1866"/>
                        <wps:cNvSpPr/>
                        <wps:spPr>
                          <a:xfrm>
                            <a:off x="2595535" y="629357"/>
                            <a:ext cx="63500" cy="62865"/>
                          </a:xfrm>
                          <a:custGeom>
                            <a:avLst/>
                            <a:gdLst/>
                            <a:ahLst/>
                            <a:cxnLst/>
                            <a:rect l="l" t="t" r="r" b="b"/>
                            <a:pathLst>
                              <a:path w="63500" h="62865">
                                <a:moveTo>
                                  <a:pt x="62917" y="0"/>
                                </a:moveTo>
                                <a:lnTo>
                                  <a:pt x="0" y="0"/>
                                </a:lnTo>
                                <a:lnTo>
                                  <a:pt x="0" y="62787"/>
                                </a:lnTo>
                                <a:lnTo>
                                  <a:pt x="62917" y="62787"/>
                                </a:lnTo>
                                <a:lnTo>
                                  <a:pt x="62917" y="0"/>
                                </a:lnTo>
                                <a:close/>
                              </a:path>
                            </a:pathLst>
                          </a:custGeom>
                          <a:solidFill>
                            <a:srgbClr val="A7B1D4"/>
                          </a:solidFill>
                        </wps:spPr>
                        <wps:bodyPr wrap="square" lIns="0" tIns="0" rIns="0" bIns="0" rtlCol="0">
                          <a:prstTxWarp prst="textNoShape">
                            <a:avLst/>
                          </a:prstTxWarp>
                          <a:noAutofit/>
                        </wps:bodyPr>
                      </wps:wsp>
                      <wps:wsp>
                        <wps:cNvPr id="1867" name="Graphic 1867"/>
                        <wps:cNvSpPr/>
                        <wps:spPr>
                          <a:xfrm>
                            <a:off x="2595535" y="828173"/>
                            <a:ext cx="63500" cy="62865"/>
                          </a:xfrm>
                          <a:custGeom>
                            <a:avLst/>
                            <a:gdLst/>
                            <a:ahLst/>
                            <a:cxnLst/>
                            <a:rect l="l" t="t" r="r" b="b"/>
                            <a:pathLst>
                              <a:path w="63500" h="62865">
                                <a:moveTo>
                                  <a:pt x="62917" y="0"/>
                                </a:moveTo>
                                <a:lnTo>
                                  <a:pt x="0" y="0"/>
                                </a:lnTo>
                                <a:lnTo>
                                  <a:pt x="0" y="62779"/>
                                </a:lnTo>
                                <a:lnTo>
                                  <a:pt x="62917" y="62779"/>
                                </a:lnTo>
                                <a:lnTo>
                                  <a:pt x="62917" y="0"/>
                                </a:lnTo>
                                <a:close/>
                              </a:path>
                            </a:pathLst>
                          </a:custGeom>
                          <a:solidFill>
                            <a:srgbClr val="2F7D41"/>
                          </a:solidFill>
                        </wps:spPr>
                        <wps:bodyPr wrap="square" lIns="0" tIns="0" rIns="0" bIns="0" rtlCol="0">
                          <a:prstTxWarp prst="textNoShape">
                            <a:avLst/>
                          </a:prstTxWarp>
                          <a:noAutofit/>
                        </wps:bodyPr>
                      </wps:wsp>
                      <wps:wsp>
                        <wps:cNvPr id="1868" name="Graphic 1868"/>
                        <wps:cNvSpPr/>
                        <wps:spPr>
                          <a:xfrm>
                            <a:off x="2595535" y="1026982"/>
                            <a:ext cx="63500" cy="62865"/>
                          </a:xfrm>
                          <a:custGeom>
                            <a:avLst/>
                            <a:gdLst/>
                            <a:ahLst/>
                            <a:cxnLst/>
                            <a:rect l="l" t="t" r="r" b="b"/>
                            <a:pathLst>
                              <a:path w="63500" h="62865">
                                <a:moveTo>
                                  <a:pt x="62917" y="0"/>
                                </a:moveTo>
                                <a:lnTo>
                                  <a:pt x="0" y="0"/>
                                </a:lnTo>
                                <a:lnTo>
                                  <a:pt x="0" y="62779"/>
                                </a:lnTo>
                                <a:lnTo>
                                  <a:pt x="62917" y="62779"/>
                                </a:lnTo>
                                <a:lnTo>
                                  <a:pt x="62917" y="0"/>
                                </a:lnTo>
                                <a:close/>
                              </a:path>
                            </a:pathLst>
                          </a:custGeom>
                          <a:solidFill>
                            <a:srgbClr val="E3C626"/>
                          </a:solidFill>
                        </wps:spPr>
                        <wps:bodyPr wrap="square" lIns="0" tIns="0" rIns="0" bIns="0" rtlCol="0">
                          <a:prstTxWarp prst="textNoShape">
                            <a:avLst/>
                          </a:prstTxWarp>
                          <a:noAutofit/>
                        </wps:bodyPr>
                      </wps:wsp>
                      <wps:wsp>
                        <wps:cNvPr id="1869" name="Textbox 1869"/>
                        <wps:cNvSpPr txBox="1"/>
                        <wps:spPr>
                          <a:xfrm>
                            <a:off x="959377" y="127517"/>
                            <a:ext cx="158750"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10%</w:t>
                              </w:r>
                            </w:p>
                          </w:txbxContent>
                        </wps:txbx>
                        <wps:bodyPr wrap="square" lIns="0" tIns="0" rIns="0" bIns="0" rtlCol="0">
                          <a:noAutofit/>
                        </wps:bodyPr>
                      </wps:wsp>
                      <wps:wsp>
                        <wps:cNvPr id="1870" name="Textbox 1870"/>
                        <wps:cNvSpPr txBox="1"/>
                        <wps:spPr>
                          <a:xfrm>
                            <a:off x="1430499" y="91517"/>
                            <a:ext cx="11811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w:t>
                              </w:r>
                            </w:p>
                          </w:txbxContent>
                        </wps:txbx>
                        <wps:bodyPr wrap="square" lIns="0" tIns="0" rIns="0" bIns="0" rtlCol="0">
                          <a:noAutofit/>
                        </wps:bodyPr>
                      </wps:wsp>
                      <wps:wsp>
                        <wps:cNvPr id="1871" name="Textbox 1871"/>
                        <wps:cNvSpPr txBox="1"/>
                        <wps:spPr>
                          <a:xfrm>
                            <a:off x="2698050" y="605367"/>
                            <a:ext cx="551815" cy="508634"/>
                          </a:xfrm>
                          <a:prstGeom prst="rect">
                            <a:avLst/>
                          </a:prstGeom>
                        </wps:spPr>
                        <wps:txbx>
                          <w:txbxContent>
                            <w:p>
                              <w:pPr>
                                <w:spacing w:line="477" w:lineRule="auto" w:before="0"/>
                                <w:ind w:left="0" w:right="0" w:firstLine="0"/>
                                <w:jc w:val="left"/>
                                <w:rPr>
                                  <w:rFonts w:ascii="Arial MT"/>
                                  <w:sz w:val="14"/>
                                </w:rPr>
                              </w:pPr>
                              <w:r>
                                <w:rPr>
                                  <w:rFonts w:ascii="Arial MT"/>
                                  <w:w w:val="90"/>
                                  <w:sz w:val="14"/>
                                </w:rPr>
                                <w:t>Private</w:t>
                              </w:r>
                              <w:r>
                                <w:rPr>
                                  <w:rFonts w:ascii="Arial MT"/>
                                  <w:spacing w:val="-6"/>
                                  <w:w w:val="90"/>
                                  <w:sz w:val="14"/>
                                </w:rPr>
                                <w:t> </w:t>
                              </w:r>
                              <w:r>
                                <w:rPr>
                                  <w:rFonts w:ascii="Arial MT"/>
                                  <w:w w:val="90"/>
                                  <w:sz w:val="14"/>
                                </w:rPr>
                                <w:t>aided</w:t>
                              </w:r>
                              <w:r>
                                <w:rPr>
                                  <w:rFonts w:ascii="Arial MT"/>
                                  <w:spacing w:val="40"/>
                                  <w:sz w:val="14"/>
                                </w:rPr>
                                <w:t> </w:t>
                              </w:r>
                              <w:r>
                                <w:rPr>
                                  <w:rFonts w:ascii="Arial MT"/>
                                  <w:w w:val="80"/>
                                  <w:sz w:val="14"/>
                                </w:rPr>
                                <w:t>Private</w:t>
                              </w:r>
                              <w:r>
                                <w:rPr>
                                  <w:rFonts w:ascii="Arial MT"/>
                                  <w:spacing w:val="1"/>
                                  <w:sz w:val="14"/>
                                </w:rPr>
                                <w:t> </w:t>
                              </w:r>
                              <w:r>
                                <w:rPr>
                                  <w:rFonts w:ascii="Arial MT"/>
                                  <w:spacing w:val="-5"/>
                                  <w:w w:val="85"/>
                                  <w:sz w:val="14"/>
                                </w:rPr>
                                <w:t>unaided</w:t>
                              </w:r>
                            </w:p>
                            <w:p>
                              <w:pPr>
                                <w:spacing w:line="160" w:lineRule="exact" w:before="0"/>
                                <w:ind w:left="0" w:right="0" w:firstLine="0"/>
                                <w:jc w:val="left"/>
                                <w:rPr>
                                  <w:rFonts w:ascii="Arial MT"/>
                                  <w:sz w:val="14"/>
                                </w:rPr>
                              </w:pPr>
                              <w:r>
                                <w:rPr>
                                  <w:rFonts w:ascii="Arial MT"/>
                                  <w:w w:val="80"/>
                                  <w:sz w:val="14"/>
                                </w:rPr>
                                <w:t>Govt.</w:t>
                              </w:r>
                              <w:r>
                                <w:rPr>
                                  <w:rFonts w:ascii="Arial MT"/>
                                  <w:spacing w:val="-1"/>
                                  <w:sz w:val="14"/>
                                </w:rPr>
                                <w:t> </w:t>
                              </w:r>
                              <w:r>
                                <w:rPr>
                                  <w:rFonts w:ascii="Arial MT"/>
                                  <w:spacing w:val="-2"/>
                                  <w:w w:val="85"/>
                                  <w:sz w:val="14"/>
                                </w:rPr>
                                <w:t>institutions</w:t>
                              </w:r>
                            </w:p>
                          </w:txbxContent>
                        </wps:txbx>
                        <wps:bodyPr wrap="square" lIns="0" tIns="0" rIns="0" bIns="0" rtlCol="0">
                          <a:noAutofit/>
                        </wps:bodyPr>
                      </wps:wsp>
                      <wps:wsp>
                        <wps:cNvPr id="1872" name="Textbox 1872"/>
                        <wps:cNvSpPr txBox="1"/>
                        <wps:spPr>
                          <a:xfrm>
                            <a:off x="1588027" y="2038867"/>
                            <a:ext cx="158750"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87%</w:t>
                              </w:r>
                            </w:p>
                          </w:txbxContent>
                        </wps:txbx>
                        <wps:bodyPr wrap="square" lIns="0" tIns="0" rIns="0" bIns="0" rtlCol="0">
                          <a:noAutofit/>
                        </wps:bodyPr>
                      </wps:wsp>
                    </wpg:wgp>
                  </a:graphicData>
                </a:graphic>
              </wp:anchor>
            </w:drawing>
          </mc:Choice>
          <mc:Fallback>
            <w:pict>
              <v:group style="position:absolute;margin-left:261.637817pt;margin-top:7.475pt;width:297.650pt;height:181pt;mso-position-horizontal-relative:page;mso-position-vertical-relative:paragraph;z-index:-15598592;mso-wrap-distance-left:0;mso-wrap-distance-right:0" id="docshapegroup1847" coordorigin="5233,149" coordsize="5953,3620">
                <v:shape style="position:absolute;left:7405;top:498;width:248;height:1451" id="docshape1848" coordorigin="7406,499" coordsize="248,1451" path="m7406,499l7407,1949,7653,519,7593,510,7531,504,7469,500,7406,499xe" filled="true" fillcolor="#a7b1d4" stroked="false">
                  <v:path arrowok="t"/>
                  <v:fill type="solid"/>
                </v:shape>
                <v:shape style="position:absolute;left:5953;top:518;width:2907;height:2880" id="docshape1849" coordorigin="5953,519" coordsize="2907,2880" path="m7653,519l7407,1949,6527,791,6467,839,6409,891,6355,945,6303,1002,6254,1062,6208,1124,6166,1189,6127,1256,6092,1326,6061,1398,6033,1471,6009,1547,5989,1624,5974,1703,5963,1784,5956,1865,5953,1949,5955,2024,5961,2098,5970,2171,5983,2242,5999,2313,6018,2382,6041,2449,6067,2515,6096,2579,6128,2642,6163,2703,6200,2762,6241,2818,6284,2873,6329,2926,6377,2976,6428,3024,6480,3069,6535,3112,6592,3152,6651,3190,6712,3225,6775,3257,6839,3285,6905,3311,6973,3334,7042,3353,7113,3370,7184,3382,7257,3391,7332,3397,7407,3399,7482,3397,7556,3391,7629,3382,7701,3370,7772,3353,7841,3334,7908,3311,7974,3285,8039,3257,8102,3225,8162,3190,8221,3152,8278,3112,8333,3069,8386,3024,8436,2976,8484,2926,8530,2873,8573,2818,8613,2762,8651,2703,8686,2642,8718,2579,8747,2515,8772,2449,8795,2382,8815,2313,8831,2242,8843,2171,8853,2098,8858,2024,8860,1949,8858,1872,8852,1796,8843,1722,8829,1648,8812,1576,8792,1506,8768,1437,8741,1370,8711,1304,8677,1241,8641,1179,8602,1119,8560,1062,8515,1006,8467,953,8417,903,8365,855,8310,809,8253,767,8193,727,8132,690,8069,655,8004,624,7937,597,7868,572,7798,551,7726,533,7653,519xe" filled="true" fillcolor="#2f7d41" stroked="false">
                  <v:path arrowok="t"/>
                  <v:fill type="solid"/>
                </v:shape>
                <v:shape style="position:absolute;left:6528;top:498;width:879;height:1451" id="docshape1850" coordorigin="6529,499" coordsize="879,1451" path="m7406,499l7324,501,7243,508,7163,518,7085,534,7009,553,6934,576,6861,603,6791,633,6722,667,6655,705,6591,746,6529,790,7407,1949,7406,499xe" filled="true" fillcolor="#e3c626" stroked="false">
                  <v:path arrowok="t"/>
                  <v:fill type="solid"/>
                </v:shape>
                <v:shape style="position:absolute;left:5232;top:149;width:5953;height:3620" id="docshape1851" coordorigin="5233,149" coordsize="5953,3620" path="m11186,149l11176,149,11176,153,11176,154,11176,159,11176,3759,5243,3759,5243,159,5238,159,5243,159,11176,159,11176,154,5243,154,5238,154,5238,153,11176,153,11176,149,5233,149,5233,153,5233,159,5233,3759,5233,3763,5233,3769,11186,3769,11186,159,11181,159,11186,159,11186,154,11181,154,11181,153,11186,153,11186,149xe" filled="true" fillcolor="#000000" stroked="false">
                  <v:path arrowok="t"/>
                  <v:fill type="solid"/>
                </v:shape>
                <v:rect style="position:absolute;left:9320;top:1140;width:100;height:99" id="docshape1852" filled="true" fillcolor="#a7b1d4" stroked="false">
                  <v:fill type="solid"/>
                </v:rect>
                <v:rect style="position:absolute;left:9320;top:1453;width:100;height:99" id="docshape1853" filled="true" fillcolor="#2f7d41" stroked="false">
                  <v:fill type="solid"/>
                </v:rect>
                <v:rect style="position:absolute;left:9320;top:1766;width:100;height:99" id="docshape1854" filled="true" fillcolor="#e3c626" stroked="false">
                  <v:fill type="solid"/>
                </v:rect>
                <v:shape style="position:absolute;left:6743;top:350;width:250;height:161" type="#_x0000_t202" id="docshape1855" filled="false" stroked="false">
                  <v:textbox inset="0,0,0,0">
                    <w:txbxContent>
                      <w:p>
                        <w:pPr>
                          <w:spacing w:line="161" w:lineRule="exact" w:before="0"/>
                          <w:ind w:left="0" w:right="0" w:firstLine="0"/>
                          <w:jc w:val="left"/>
                          <w:rPr>
                            <w:rFonts w:ascii="Arial MT"/>
                            <w:sz w:val="14"/>
                          </w:rPr>
                        </w:pPr>
                        <w:r>
                          <w:rPr>
                            <w:rFonts w:ascii="Arial MT"/>
                            <w:spacing w:val="-5"/>
                            <w:w w:val="85"/>
                            <w:sz w:val="14"/>
                          </w:rPr>
                          <w:t>10%</w:t>
                        </w:r>
                      </w:p>
                    </w:txbxContent>
                  </v:textbox>
                  <w10:wrap type="none"/>
                </v:shape>
                <v:shape style="position:absolute;left:7485;top:293;width:186;height:161" type="#_x0000_t202" id="docshape1856" filled="false" stroked="false">
                  <v:textbox inset="0,0,0,0">
                    <w:txbxContent>
                      <w:p>
                        <w:pPr>
                          <w:spacing w:line="161" w:lineRule="exact" w:before="0"/>
                          <w:ind w:left="0" w:right="0" w:firstLine="0"/>
                          <w:jc w:val="left"/>
                          <w:rPr>
                            <w:rFonts w:ascii="Arial MT"/>
                            <w:sz w:val="14"/>
                          </w:rPr>
                        </w:pPr>
                        <w:r>
                          <w:rPr>
                            <w:rFonts w:ascii="Arial MT"/>
                            <w:spacing w:val="-5"/>
                            <w:w w:val="90"/>
                            <w:sz w:val="14"/>
                          </w:rPr>
                          <w:t>3%</w:t>
                        </w:r>
                      </w:p>
                    </w:txbxContent>
                  </v:textbox>
                  <w10:wrap type="none"/>
                </v:shape>
                <v:shape style="position:absolute;left:9481;top:1102;width:869;height:801" type="#_x0000_t202" id="docshape1857" filled="false" stroked="false">
                  <v:textbox inset="0,0,0,0">
                    <w:txbxContent>
                      <w:p>
                        <w:pPr>
                          <w:spacing w:line="477" w:lineRule="auto" w:before="0"/>
                          <w:ind w:left="0" w:right="0" w:firstLine="0"/>
                          <w:jc w:val="left"/>
                          <w:rPr>
                            <w:rFonts w:ascii="Arial MT"/>
                            <w:sz w:val="14"/>
                          </w:rPr>
                        </w:pPr>
                        <w:r>
                          <w:rPr>
                            <w:rFonts w:ascii="Arial MT"/>
                            <w:w w:val="90"/>
                            <w:sz w:val="14"/>
                          </w:rPr>
                          <w:t>Private</w:t>
                        </w:r>
                        <w:r>
                          <w:rPr>
                            <w:rFonts w:ascii="Arial MT"/>
                            <w:spacing w:val="-6"/>
                            <w:w w:val="90"/>
                            <w:sz w:val="14"/>
                          </w:rPr>
                          <w:t> </w:t>
                        </w:r>
                        <w:r>
                          <w:rPr>
                            <w:rFonts w:ascii="Arial MT"/>
                            <w:w w:val="90"/>
                            <w:sz w:val="14"/>
                          </w:rPr>
                          <w:t>aided</w:t>
                        </w:r>
                        <w:r>
                          <w:rPr>
                            <w:rFonts w:ascii="Arial MT"/>
                            <w:spacing w:val="40"/>
                            <w:sz w:val="14"/>
                          </w:rPr>
                          <w:t> </w:t>
                        </w:r>
                        <w:r>
                          <w:rPr>
                            <w:rFonts w:ascii="Arial MT"/>
                            <w:w w:val="80"/>
                            <w:sz w:val="14"/>
                          </w:rPr>
                          <w:t>Private</w:t>
                        </w:r>
                        <w:r>
                          <w:rPr>
                            <w:rFonts w:ascii="Arial MT"/>
                            <w:spacing w:val="1"/>
                            <w:sz w:val="14"/>
                          </w:rPr>
                          <w:t> </w:t>
                        </w:r>
                        <w:r>
                          <w:rPr>
                            <w:rFonts w:ascii="Arial MT"/>
                            <w:spacing w:val="-5"/>
                            <w:w w:val="85"/>
                            <w:sz w:val="14"/>
                          </w:rPr>
                          <w:t>unaided</w:t>
                        </w:r>
                      </w:p>
                      <w:p>
                        <w:pPr>
                          <w:spacing w:line="160" w:lineRule="exact" w:before="0"/>
                          <w:ind w:left="0" w:right="0" w:firstLine="0"/>
                          <w:jc w:val="left"/>
                          <w:rPr>
                            <w:rFonts w:ascii="Arial MT"/>
                            <w:sz w:val="14"/>
                          </w:rPr>
                        </w:pPr>
                        <w:r>
                          <w:rPr>
                            <w:rFonts w:ascii="Arial MT"/>
                            <w:w w:val="80"/>
                            <w:sz w:val="14"/>
                          </w:rPr>
                          <w:t>Govt.</w:t>
                        </w:r>
                        <w:r>
                          <w:rPr>
                            <w:rFonts w:ascii="Arial MT"/>
                            <w:spacing w:val="-1"/>
                            <w:sz w:val="14"/>
                          </w:rPr>
                          <w:t> </w:t>
                        </w:r>
                        <w:r>
                          <w:rPr>
                            <w:rFonts w:ascii="Arial MT"/>
                            <w:spacing w:val="-2"/>
                            <w:w w:val="85"/>
                            <w:sz w:val="14"/>
                          </w:rPr>
                          <w:t>institutions</w:t>
                        </w:r>
                      </w:p>
                    </w:txbxContent>
                  </v:textbox>
                  <w10:wrap type="none"/>
                </v:shape>
                <v:shape style="position:absolute;left:7733;top:3360;width:250;height:161" type="#_x0000_t202" id="docshape1858" filled="false" stroked="false">
                  <v:textbox inset="0,0,0,0">
                    <w:txbxContent>
                      <w:p>
                        <w:pPr>
                          <w:spacing w:line="161" w:lineRule="exact" w:before="0"/>
                          <w:ind w:left="0" w:right="0" w:firstLine="0"/>
                          <w:jc w:val="left"/>
                          <w:rPr>
                            <w:rFonts w:ascii="Arial MT"/>
                            <w:sz w:val="14"/>
                          </w:rPr>
                        </w:pPr>
                        <w:r>
                          <w:rPr>
                            <w:rFonts w:ascii="Arial MT"/>
                            <w:spacing w:val="-5"/>
                            <w:w w:val="85"/>
                            <w:sz w:val="14"/>
                          </w:rPr>
                          <w:t>87%</w:t>
                        </w:r>
                      </w:p>
                    </w:txbxContent>
                  </v:textbox>
                  <w10:wrap type="none"/>
                </v:shape>
                <w10:wrap type="topAndBottom"/>
              </v:group>
            </w:pict>
          </mc:Fallback>
        </mc:AlternateContent>
      </w:r>
    </w:p>
    <w:p>
      <w:pPr>
        <w:spacing w:before="62"/>
        <w:ind w:left="344" w:right="0" w:firstLine="0"/>
        <w:jc w:val="left"/>
        <w:rPr>
          <w:sz w:val="16"/>
        </w:rPr>
      </w:pPr>
      <w:r>
        <w:rPr>
          <w:i/>
          <w:w w:val="85"/>
          <w:sz w:val="16"/>
        </w:rPr>
        <w:t>Source:</w:t>
      </w:r>
      <w:r>
        <w:rPr>
          <w:i/>
          <w:spacing w:val="-5"/>
          <w:sz w:val="16"/>
        </w:rPr>
        <w:t> </w:t>
      </w:r>
      <w:r>
        <w:rPr>
          <w:spacing w:val="-2"/>
          <w:sz w:val="16"/>
        </w:rPr>
        <w:t>AICTE</w:t>
      </w:r>
    </w:p>
    <w:p>
      <w:pPr>
        <w:spacing w:after="0"/>
        <w:jc w:val="left"/>
        <w:rPr>
          <w:sz w:val="16"/>
        </w:rPr>
        <w:sectPr>
          <w:type w:val="continuous"/>
          <w:pgSz w:w="11910" w:h="16840"/>
          <w:pgMar w:header="0" w:footer="675" w:top="1920" w:bottom="280" w:left="0" w:right="0"/>
          <w:cols w:num="2" w:equalWidth="0">
            <w:col w:w="4849" w:space="40"/>
            <w:col w:w="7021"/>
          </w:cols>
        </w:sectPr>
      </w:pPr>
    </w:p>
    <w:p>
      <w:pPr>
        <w:pStyle w:val="Heading8"/>
        <w:spacing w:line="242" w:lineRule="auto" w:before="73"/>
        <w:ind w:left="1568" w:hanging="1029"/>
      </w:pPr>
      <w:r>
        <w:rPr/>
        <mc:AlternateContent>
          <mc:Choice Requires="wps">
            <w:drawing>
              <wp:anchor distT="0" distB="0" distL="0" distR="0" allowOverlap="1" layoutInCell="1" locked="0" behindDoc="0" simplePos="0" relativeHeight="15860224">
                <wp:simplePos x="0" y="0"/>
                <wp:positionH relativeFrom="page">
                  <wp:posOffset>342899</wp:posOffset>
                </wp:positionH>
                <wp:positionV relativeFrom="paragraph">
                  <wp:posOffset>501650</wp:posOffset>
                </wp:positionV>
                <wp:extent cx="3322954" cy="2463800"/>
                <wp:effectExtent l="0" t="0" r="0" b="0"/>
                <wp:wrapNone/>
                <wp:docPr id="1873" name="Group 1873"/>
                <wp:cNvGraphicFramePr>
                  <a:graphicFrameLocks/>
                </wp:cNvGraphicFramePr>
                <a:graphic>
                  <a:graphicData uri="http://schemas.microsoft.com/office/word/2010/wordprocessingGroup">
                    <wpg:wgp>
                      <wpg:cNvPr id="1873" name="Group 1873"/>
                      <wpg:cNvGrpSpPr/>
                      <wpg:grpSpPr>
                        <a:xfrm>
                          <a:off x="0" y="0"/>
                          <a:ext cx="3322954" cy="2463800"/>
                          <a:chExt cx="3322954" cy="2463800"/>
                        </a:xfrm>
                      </wpg:grpSpPr>
                      <wps:wsp>
                        <wps:cNvPr id="1874" name="Graphic 1874"/>
                        <wps:cNvSpPr/>
                        <wps:spPr>
                          <a:xfrm>
                            <a:off x="-12" y="0"/>
                            <a:ext cx="3322954" cy="2463800"/>
                          </a:xfrm>
                          <a:custGeom>
                            <a:avLst/>
                            <a:gdLst/>
                            <a:ahLst/>
                            <a:cxnLst/>
                            <a:rect l="l" t="t" r="r" b="b"/>
                            <a:pathLst>
                              <a:path w="3322954" h="2463800">
                                <a:moveTo>
                                  <a:pt x="3322802" y="0"/>
                                </a:moveTo>
                                <a:lnTo>
                                  <a:pt x="3316452" y="0"/>
                                </a:lnTo>
                                <a:lnTo>
                                  <a:pt x="3316452" y="2540"/>
                                </a:lnTo>
                                <a:lnTo>
                                  <a:pt x="3316452" y="3086"/>
                                </a:lnTo>
                                <a:lnTo>
                                  <a:pt x="3316452" y="6261"/>
                                </a:lnTo>
                                <a:lnTo>
                                  <a:pt x="3316452" y="2457361"/>
                                </a:lnTo>
                                <a:lnTo>
                                  <a:pt x="6350" y="2457361"/>
                                </a:lnTo>
                                <a:lnTo>
                                  <a:pt x="6350" y="6350"/>
                                </a:lnTo>
                                <a:lnTo>
                                  <a:pt x="3175" y="6350"/>
                                </a:lnTo>
                                <a:lnTo>
                                  <a:pt x="6350" y="6261"/>
                                </a:lnTo>
                                <a:lnTo>
                                  <a:pt x="3316452" y="6261"/>
                                </a:lnTo>
                                <a:lnTo>
                                  <a:pt x="3316452" y="3086"/>
                                </a:lnTo>
                                <a:lnTo>
                                  <a:pt x="6350" y="3086"/>
                                </a:lnTo>
                                <a:lnTo>
                                  <a:pt x="3175" y="3086"/>
                                </a:lnTo>
                                <a:lnTo>
                                  <a:pt x="3175" y="2540"/>
                                </a:lnTo>
                                <a:lnTo>
                                  <a:pt x="3316452" y="2540"/>
                                </a:lnTo>
                                <a:lnTo>
                                  <a:pt x="3316452" y="0"/>
                                </a:lnTo>
                                <a:lnTo>
                                  <a:pt x="0" y="0"/>
                                </a:lnTo>
                                <a:lnTo>
                                  <a:pt x="0" y="2540"/>
                                </a:lnTo>
                                <a:lnTo>
                                  <a:pt x="0" y="6350"/>
                                </a:lnTo>
                                <a:lnTo>
                                  <a:pt x="0" y="2457450"/>
                                </a:lnTo>
                                <a:lnTo>
                                  <a:pt x="0" y="2459990"/>
                                </a:lnTo>
                                <a:lnTo>
                                  <a:pt x="0" y="2463800"/>
                                </a:lnTo>
                                <a:lnTo>
                                  <a:pt x="3322802" y="2463800"/>
                                </a:lnTo>
                                <a:lnTo>
                                  <a:pt x="3322802" y="6350"/>
                                </a:lnTo>
                                <a:lnTo>
                                  <a:pt x="3319627" y="6350"/>
                                </a:lnTo>
                                <a:lnTo>
                                  <a:pt x="3322802" y="6261"/>
                                </a:lnTo>
                                <a:lnTo>
                                  <a:pt x="3322802" y="3086"/>
                                </a:lnTo>
                                <a:lnTo>
                                  <a:pt x="3319627" y="3086"/>
                                </a:lnTo>
                                <a:lnTo>
                                  <a:pt x="3319627" y="2540"/>
                                </a:lnTo>
                                <a:lnTo>
                                  <a:pt x="3322802" y="2540"/>
                                </a:lnTo>
                                <a:lnTo>
                                  <a:pt x="3322802" y="0"/>
                                </a:lnTo>
                                <a:close/>
                              </a:path>
                            </a:pathLst>
                          </a:custGeom>
                          <a:solidFill>
                            <a:srgbClr val="000000"/>
                          </a:solidFill>
                        </wps:spPr>
                        <wps:bodyPr wrap="square" lIns="0" tIns="0" rIns="0" bIns="0" rtlCol="0">
                          <a:prstTxWarp prst="textNoShape">
                            <a:avLst/>
                          </a:prstTxWarp>
                          <a:noAutofit/>
                        </wps:bodyPr>
                      </wps:wsp>
                      <wps:wsp>
                        <wps:cNvPr id="1875" name="Graphic 1875"/>
                        <wps:cNvSpPr/>
                        <wps:spPr>
                          <a:xfrm>
                            <a:off x="1240071" y="334480"/>
                            <a:ext cx="530225" cy="941069"/>
                          </a:xfrm>
                          <a:custGeom>
                            <a:avLst/>
                            <a:gdLst/>
                            <a:ahLst/>
                            <a:cxnLst/>
                            <a:rect l="l" t="t" r="r" b="b"/>
                            <a:pathLst>
                              <a:path w="530225" h="941069">
                                <a:moveTo>
                                  <a:pt x="0" y="0"/>
                                </a:moveTo>
                                <a:lnTo>
                                  <a:pt x="761" y="941065"/>
                                </a:lnTo>
                                <a:lnTo>
                                  <a:pt x="529902" y="160305"/>
                                </a:lnTo>
                                <a:lnTo>
                                  <a:pt x="488086" y="133730"/>
                                </a:lnTo>
                                <a:lnTo>
                                  <a:pt x="444787" y="109331"/>
                                </a:lnTo>
                                <a:lnTo>
                                  <a:pt x="400081" y="87183"/>
                                </a:lnTo>
                                <a:lnTo>
                                  <a:pt x="354042" y="67360"/>
                                </a:lnTo>
                                <a:lnTo>
                                  <a:pt x="306745" y="49938"/>
                                </a:lnTo>
                                <a:lnTo>
                                  <a:pt x="258266" y="34990"/>
                                </a:lnTo>
                                <a:lnTo>
                                  <a:pt x="208680" y="22593"/>
                                </a:lnTo>
                                <a:lnTo>
                                  <a:pt x="158061" y="12821"/>
                                </a:lnTo>
                                <a:lnTo>
                                  <a:pt x="106485" y="5748"/>
                                </a:lnTo>
                                <a:lnTo>
                                  <a:pt x="54027" y="1449"/>
                                </a:lnTo>
                                <a:lnTo>
                                  <a:pt x="0" y="0"/>
                                </a:lnTo>
                                <a:close/>
                              </a:path>
                            </a:pathLst>
                          </a:custGeom>
                          <a:solidFill>
                            <a:srgbClr val="A7B1D4"/>
                          </a:solidFill>
                        </wps:spPr>
                        <wps:bodyPr wrap="square" lIns="0" tIns="0" rIns="0" bIns="0" rtlCol="0">
                          <a:prstTxWarp prst="textNoShape">
                            <a:avLst/>
                          </a:prstTxWarp>
                          <a:noAutofit/>
                        </wps:bodyPr>
                      </wps:wsp>
                      <wps:wsp>
                        <wps:cNvPr id="1876" name="Graphic 1876"/>
                        <wps:cNvSpPr/>
                        <wps:spPr>
                          <a:xfrm>
                            <a:off x="1240833" y="494725"/>
                            <a:ext cx="835660" cy="781050"/>
                          </a:xfrm>
                          <a:custGeom>
                            <a:avLst/>
                            <a:gdLst/>
                            <a:ahLst/>
                            <a:cxnLst/>
                            <a:rect l="l" t="t" r="r" b="b"/>
                            <a:pathLst>
                              <a:path w="835660" h="781050">
                                <a:moveTo>
                                  <a:pt x="529052" y="0"/>
                                </a:moveTo>
                                <a:lnTo>
                                  <a:pt x="0" y="780819"/>
                                </a:lnTo>
                                <a:lnTo>
                                  <a:pt x="835428" y="341553"/>
                                </a:lnTo>
                                <a:lnTo>
                                  <a:pt x="810090" y="296393"/>
                                </a:lnTo>
                                <a:lnTo>
                                  <a:pt x="782377" y="252836"/>
                                </a:lnTo>
                                <a:lnTo>
                                  <a:pt x="752374" y="210969"/>
                                </a:lnTo>
                                <a:lnTo>
                                  <a:pt x="720168" y="170876"/>
                                </a:lnTo>
                                <a:lnTo>
                                  <a:pt x="685842" y="132642"/>
                                </a:lnTo>
                                <a:lnTo>
                                  <a:pt x="649482" y="96353"/>
                                </a:lnTo>
                                <a:lnTo>
                                  <a:pt x="611174" y="62092"/>
                                </a:lnTo>
                                <a:lnTo>
                                  <a:pt x="571002" y="29946"/>
                                </a:lnTo>
                                <a:lnTo>
                                  <a:pt x="529052" y="0"/>
                                </a:lnTo>
                                <a:close/>
                              </a:path>
                            </a:pathLst>
                          </a:custGeom>
                          <a:solidFill>
                            <a:srgbClr val="E3C626"/>
                          </a:solidFill>
                        </wps:spPr>
                        <wps:bodyPr wrap="square" lIns="0" tIns="0" rIns="0" bIns="0" rtlCol="0">
                          <a:prstTxWarp prst="textNoShape">
                            <a:avLst/>
                          </a:prstTxWarp>
                          <a:noAutofit/>
                        </wps:bodyPr>
                      </wps:wsp>
                      <wps:wsp>
                        <wps:cNvPr id="1877" name="Graphic 1877"/>
                        <wps:cNvSpPr/>
                        <wps:spPr>
                          <a:xfrm>
                            <a:off x="1240833" y="836279"/>
                            <a:ext cx="942975" cy="516255"/>
                          </a:xfrm>
                          <a:custGeom>
                            <a:avLst/>
                            <a:gdLst/>
                            <a:ahLst/>
                            <a:cxnLst/>
                            <a:rect l="l" t="t" r="r" b="b"/>
                            <a:pathLst>
                              <a:path w="942975" h="516255">
                                <a:moveTo>
                                  <a:pt x="835428" y="0"/>
                                </a:moveTo>
                                <a:lnTo>
                                  <a:pt x="0" y="439266"/>
                                </a:lnTo>
                                <a:lnTo>
                                  <a:pt x="939905" y="515813"/>
                                </a:lnTo>
                                <a:lnTo>
                                  <a:pt x="941218" y="496836"/>
                                </a:lnTo>
                                <a:lnTo>
                                  <a:pt x="942158" y="477749"/>
                                </a:lnTo>
                                <a:lnTo>
                                  <a:pt x="942723" y="458557"/>
                                </a:lnTo>
                                <a:lnTo>
                                  <a:pt x="942912" y="439266"/>
                                </a:lnTo>
                                <a:lnTo>
                                  <a:pt x="941488" y="386628"/>
                                </a:lnTo>
                                <a:lnTo>
                                  <a:pt x="937264" y="334777"/>
                                </a:lnTo>
                                <a:lnTo>
                                  <a:pt x="930313" y="283787"/>
                                </a:lnTo>
                                <a:lnTo>
                                  <a:pt x="920708" y="233731"/>
                                </a:lnTo>
                                <a:lnTo>
                                  <a:pt x="908523" y="184680"/>
                                </a:lnTo>
                                <a:lnTo>
                                  <a:pt x="893829" y="136709"/>
                                </a:lnTo>
                                <a:lnTo>
                                  <a:pt x="876700" y="89890"/>
                                </a:lnTo>
                                <a:lnTo>
                                  <a:pt x="857209" y="44296"/>
                                </a:lnTo>
                                <a:lnTo>
                                  <a:pt x="835428" y="0"/>
                                </a:lnTo>
                                <a:close/>
                              </a:path>
                            </a:pathLst>
                          </a:custGeom>
                          <a:solidFill>
                            <a:srgbClr val="F2E499"/>
                          </a:solidFill>
                        </wps:spPr>
                        <wps:bodyPr wrap="square" lIns="0" tIns="0" rIns="0" bIns="0" rtlCol="0">
                          <a:prstTxWarp prst="textNoShape">
                            <a:avLst/>
                          </a:prstTxWarp>
                          <a:noAutofit/>
                        </wps:bodyPr>
                      </wps:wsp>
                      <wps:wsp>
                        <wps:cNvPr id="1878" name="Graphic 1878"/>
                        <wps:cNvSpPr/>
                        <wps:spPr>
                          <a:xfrm>
                            <a:off x="1240833" y="1275545"/>
                            <a:ext cx="940435" cy="687705"/>
                          </a:xfrm>
                          <a:custGeom>
                            <a:avLst/>
                            <a:gdLst/>
                            <a:ahLst/>
                            <a:cxnLst/>
                            <a:rect l="l" t="t" r="r" b="b"/>
                            <a:pathLst>
                              <a:path w="940435" h="687705">
                                <a:moveTo>
                                  <a:pt x="0" y="0"/>
                                </a:moveTo>
                                <a:lnTo>
                                  <a:pt x="646106" y="687647"/>
                                </a:lnTo>
                                <a:lnTo>
                                  <a:pt x="680752" y="653507"/>
                                </a:lnTo>
                                <a:lnTo>
                                  <a:pt x="713587" y="617611"/>
                                </a:lnTo>
                                <a:lnTo>
                                  <a:pt x="744536" y="580033"/>
                                </a:lnTo>
                                <a:lnTo>
                                  <a:pt x="773528" y="540844"/>
                                </a:lnTo>
                                <a:lnTo>
                                  <a:pt x="800492" y="500116"/>
                                </a:lnTo>
                                <a:lnTo>
                                  <a:pt x="825353" y="457922"/>
                                </a:lnTo>
                                <a:lnTo>
                                  <a:pt x="848041" y="414333"/>
                                </a:lnTo>
                                <a:lnTo>
                                  <a:pt x="868483" y="369422"/>
                                </a:lnTo>
                                <a:lnTo>
                                  <a:pt x="886606" y="323261"/>
                                </a:lnTo>
                                <a:lnTo>
                                  <a:pt x="902339" y="275922"/>
                                </a:lnTo>
                                <a:lnTo>
                                  <a:pt x="915609" y="227476"/>
                                </a:lnTo>
                                <a:lnTo>
                                  <a:pt x="926343" y="177996"/>
                                </a:lnTo>
                                <a:lnTo>
                                  <a:pt x="934470" y="127555"/>
                                </a:lnTo>
                                <a:lnTo>
                                  <a:pt x="939918" y="76224"/>
                                </a:lnTo>
                                <a:lnTo>
                                  <a:pt x="0" y="0"/>
                                </a:lnTo>
                                <a:close/>
                              </a:path>
                            </a:pathLst>
                          </a:custGeom>
                          <a:solidFill>
                            <a:srgbClr val="3D619D"/>
                          </a:solidFill>
                        </wps:spPr>
                        <wps:bodyPr wrap="square" lIns="0" tIns="0" rIns="0" bIns="0" rtlCol="0">
                          <a:prstTxWarp prst="textNoShape">
                            <a:avLst/>
                          </a:prstTxWarp>
                          <a:noAutofit/>
                        </wps:bodyPr>
                      </wps:wsp>
                      <wps:wsp>
                        <wps:cNvPr id="1879" name="Graphic 1879"/>
                        <wps:cNvSpPr/>
                        <wps:spPr>
                          <a:xfrm>
                            <a:off x="297921" y="1274775"/>
                            <a:ext cx="1589405" cy="942340"/>
                          </a:xfrm>
                          <a:custGeom>
                            <a:avLst/>
                            <a:gdLst/>
                            <a:ahLst/>
                            <a:cxnLst/>
                            <a:rect l="l" t="t" r="r" b="b"/>
                            <a:pathLst>
                              <a:path w="1589405" h="942340">
                                <a:moveTo>
                                  <a:pt x="0" y="0"/>
                                </a:moveTo>
                                <a:lnTo>
                                  <a:pt x="1218" y="49469"/>
                                </a:lnTo>
                                <a:lnTo>
                                  <a:pt x="4834" y="97498"/>
                                </a:lnTo>
                                <a:lnTo>
                                  <a:pt x="10790" y="144800"/>
                                </a:lnTo>
                                <a:lnTo>
                                  <a:pt x="19030" y="191317"/>
                                </a:lnTo>
                                <a:lnTo>
                                  <a:pt x="29494" y="236991"/>
                                </a:lnTo>
                                <a:lnTo>
                                  <a:pt x="42126" y="281765"/>
                                </a:lnTo>
                                <a:lnTo>
                                  <a:pt x="56869" y="325581"/>
                                </a:lnTo>
                                <a:lnTo>
                                  <a:pt x="73664" y="368383"/>
                                </a:lnTo>
                                <a:lnTo>
                                  <a:pt x="92454" y="410113"/>
                                </a:lnTo>
                                <a:lnTo>
                                  <a:pt x="113182" y="450712"/>
                                </a:lnTo>
                                <a:lnTo>
                                  <a:pt x="135790" y="490125"/>
                                </a:lnTo>
                                <a:lnTo>
                                  <a:pt x="160220" y="528293"/>
                                </a:lnTo>
                                <a:lnTo>
                                  <a:pt x="186415" y="565159"/>
                                </a:lnTo>
                                <a:lnTo>
                                  <a:pt x="214318" y="600666"/>
                                </a:lnTo>
                                <a:lnTo>
                                  <a:pt x="243870" y="634755"/>
                                </a:lnTo>
                                <a:lnTo>
                                  <a:pt x="275015" y="667371"/>
                                </a:lnTo>
                                <a:lnTo>
                                  <a:pt x="307694" y="698454"/>
                                </a:lnTo>
                                <a:lnTo>
                                  <a:pt x="341850" y="727949"/>
                                </a:lnTo>
                                <a:lnTo>
                                  <a:pt x="377426" y="755797"/>
                                </a:lnTo>
                                <a:lnTo>
                                  <a:pt x="414364" y="781940"/>
                                </a:lnTo>
                                <a:lnTo>
                                  <a:pt x="452607" y="806323"/>
                                </a:lnTo>
                                <a:lnTo>
                                  <a:pt x="492096" y="828886"/>
                                </a:lnTo>
                                <a:lnTo>
                                  <a:pt x="532775" y="849573"/>
                                </a:lnTo>
                                <a:lnTo>
                                  <a:pt x="574586" y="868327"/>
                                </a:lnTo>
                                <a:lnTo>
                                  <a:pt x="617471" y="885089"/>
                                </a:lnTo>
                                <a:lnTo>
                                  <a:pt x="661372" y="899803"/>
                                </a:lnTo>
                                <a:lnTo>
                                  <a:pt x="706233" y="912410"/>
                                </a:lnTo>
                                <a:lnTo>
                                  <a:pt x="751996" y="922854"/>
                                </a:lnTo>
                                <a:lnTo>
                                  <a:pt x="798603" y="931077"/>
                                </a:lnTo>
                                <a:lnTo>
                                  <a:pt x="845996" y="937022"/>
                                </a:lnTo>
                                <a:lnTo>
                                  <a:pt x="894118" y="940631"/>
                                </a:lnTo>
                                <a:lnTo>
                                  <a:pt x="942912" y="941847"/>
                                </a:lnTo>
                                <a:lnTo>
                                  <a:pt x="996301" y="940390"/>
                                </a:lnTo>
                                <a:lnTo>
                                  <a:pt x="1048878" y="936071"/>
                                </a:lnTo>
                                <a:lnTo>
                                  <a:pt x="1100569" y="928966"/>
                                </a:lnTo>
                                <a:lnTo>
                                  <a:pt x="1151297" y="919148"/>
                                </a:lnTo>
                                <a:lnTo>
                                  <a:pt x="1200986" y="906694"/>
                                </a:lnTo>
                                <a:lnTo>
                                  <a:pt x="1249563" y="891680"/>
                                </a:lnTo>
                                <a:lnTo>
                                  <a:pt x="1296950" y="874179"/>
                                </a:lnTo>
                                <a:lnTo>
                                  <a:pt x="1343072" y="854269"/>
                                </a:lnTo>
                                <a:lnTo>
                                  <a:pt x="1387854" y="832024"/>
                                </a:lnTo>
                                <a:lnTo>
                                  <a:pt x="1431220" y="807520"/>
                                </a:lnTo>
                                <a:lnTo>
                                  <a:pt x="1473096" y="780832"/>
                                </a:lnTo>
                                <a:lnTo>
                                  <a:pt x="1513404" y="752035"/>
                                </a:lnTo>
                                <a:lnTo>
                                  <a:pt x="1552070" y="721205"/>
                                </a:lnTo>
                                <a:lnTo>
                                  <a:pt x="1589018" y="688417"/>
                                </a:lnTo>
                                <a:lnTo>
                                  <a:pt x="942912" y="769"/>
                                </a:lnTo>
                                <a:lnTo>
                                  <a:pt x="0" y="0"/>
                                </a:lnTo>
                                <a:close/>
                              </a:path>
                            </a:pathLst>
                          </a:custGeom>
                          <a:solidFill>
                            <a:srgbClr val="2F7D41"/>
                          </a:solidFill>
                        </wps:spPr>
                        <wps:bodyPr wrap="square" lIns="0" tIns="0" rIns="0" bIns="0" rtlCol="0">
                          <a:prstTxWarp prst="textNoShape">
                            <a:avLst/>
                          </a:prstTxWarp>
                          <a:noAutofit/>
                        </wps:bodyPr>
                      </wps:wsp>
                      <wps:wsp>
                        <wps:cNvPr id="1880" name="Graphic 1880"/>
                        <wps:cNvSpPr/>
                        <wps:spPr>
                          <a:xfrm>
                            <a:off x="297921" y="551527"/>
                            <a:ext cx="942975" cy="724535"/>
                          </a:xfrm>
                          <a:custGeom>
                            <a:avLst/>
                            <a:gdLst/>
                            <a:ahLst/>
                            <a:cxnLst/>
                            <a:rect l="l" t="t" r="r" b="b"/>
                            <a:pathLst>
                              <a:path w="942975" h="724535">
                                <a:moveTo>
                                  <a:pt x="338044" y="0"/>
                                </a:moveTo>
                                <a:lnTo>
                                  <a:pt x="302323" y="31253"/>
                                </a:lnTo>
                                <a:lnTo>
                                  <a:pt x="268247" y="64255"/>
                                </a:lnTo>
                                <a:lnTo>
                                  <a:pt x="235882" y="98938"/>
                                </a:lnTo>
                                <a:lnTo>
                                  <a:pt x="205295" y="135235"/>
                                </a:lnTo>
                                <a:lnTo>
                                  <a:pt x="176554" y="173079"/>
                                </a:lnTo>
                                <a:lnTo>
                                  <a:pt x="149726" y="212404"/>
                                </a:lnTo>
                                <a:lnTo>
                                  <a:pt x="124877" y="253143"/>
                                </a:lnTo>
                                <a:lnTo>
                                  <a:pt x="102074" y="295229"/>
                                </a:lnTo>
                                <a:lnTo>
                                  <a:pt x="81386" y="338595"/>
                                </a:lnTo>
                                <a:lnTo>
                                  <a:pt x="62877" y="383175"/>
                                </a:lnTo>
                                <a:lnTo>
                                  <a:pt x="46616" y="428901"/>
                                </a:lnTo>
                                <a:lnTo>
                                  <a:pt x="32670" y="475707"/>
                                </a:lnTo>
                                <a:lnTo>
                                  <a:pt x="21105" y="523526"/>
                                </a:lnTo>
                                <a:lnTo>
                                  <a:pt x="11988" y="572291"/>
                                </a:lnTo>
                                <a:lnTo>
                                  <a:pt x="5387" y="621936"/>
                                </a:lnTo>
                                <a:lnTo>
                                  <a:pt x="1369" y="672393"/>
                                </a:lnTo>
                                <a:lnTo>
                                  <a:pt x="0" y="723596"/>
                                </a:lnTo>
                                <a:lnTo>
                                  <a:pt x="942912" y="724017"/>
                                </a:lnTo>
                                <a:lnTo>
                                  <a:pt x="338044" y="0"/>
                                </a:lnTo>
                                <a:close/>
                              </a:path>
                            </a:pathLst>
                          </a:custGeom>
                          <a:solidFill>
                            <a:srgbClr val="CCDEA0"/>
                          </a:solidFill>
                        </wps:spPr>
                        <wps:bodyPr wrap="square" lIns="0" tIns="0" rIns="0" bIns="0" rtlCol="0">
                          <a:prstTxWarp prst="textNoShape">
                            <a:avLst/>
                          </a:prstTxWarp>
                          <a:noAutofit/>
                        </wps:bodyPr>
                      </wps:wsp>
                      <wps:wsp>
                        <wps:cNvPr id="1881" name="Graphic 1881"/>
                        <wps:cNvSpPr/>
                        <wps:spPr>
                          <a:xfrm>
                            <a:off x="635668" y="334480"/>
                            <a:ext cx="605790" cy="941069"/>
                          </a:xfrm>
                          <a:custGeom>
                            <a:avLst/>
                            <a:gdLst/>
                            <a:ahLst/>
                            <a:cxnLst/>
                            <a:rect l="l" t="t" r="r" b="b"/>
                            <a:pathLst>
                              <a:path w="605790" h="941069">
                                <a:moveTo>
                                  <a:pt x="604403" y="0"/>
                                </a:moveTo>
                                <a:lnTo>
                                  <a:pt x="551512" y="1472"/>
                                </a:lnTo>
                                <a:lnTo>
                                  <a:pt x="499418" y="5753"/>
                                </a:lnTo>
                                <a:lnTo>
                                  <a:pt x="448194" y="12771"/>
                                </a:lnTo>
                                <a:lnTo>
                                  <a:pt x="397914" y="22451"/>
                                </a:lnTo>
                                <a:lnTo>
                                  <a:pt x="348651" y="34721"/>
                                </a:lnTo>
                                <a:lnTo>
                                  <a:pt x="300480" y="49506"/>
                                </a:lnTo>
                                <a:lnTo>
                                  <a:pt x="253472" y="66735"/>
                                </a:lnTo>
                                <a:lnTo>
                                  <a:pt x="207703" y="86333"/>
                                </a:lnTo>
                                <a:lnTo>
                                  <a:pt x="163245" y="108226"/>
                                </a:lnTo>
                                <a:lnTo>
                                  <a:pt x="120172" y="132343"/>
                                </a:lnTo>
                                <a:lnTo>
                                  <a:pt x="78558" y="158608"/>
                                </a:lnTo>
                                <a:lnTo>
                                  <a:pt x="38476" y="186950"/>
                                </a:lnTo>
                                <a:lnTo>
                                  <a:pt x="0" y="217294"/>
                                </a:lnTo>
                                <a:lnTo>
                                  <a:pt x="605165" y="941065"/>
                                </a:lnTo>
                                <a:lnTo>
                                  <a:pt x="604403" y="0"/>
                                </a:lnTo>
                                <a:close/>
                              </a:path>
                            </a:pathLst>
                          </a:custGeom>
                          <a:solidFill>
                            <a:srgbClr val="D0CADE"/>
                          </a:solidFill>
                        </wps:spPr>
                        <wps:bodyPr wrap="square" lIns="0" tIns="0" rIns="0" bIns="0" rtlCol="0">
                          <a:prstTxWarp prst="textNoShape">
                            <a:avLst/>
                          </a:prstTxWarp>
                          <a:noAutofit/>
                        </wps:bodyPr>
                      </wps:wsp>
                      <wps:wsp>
                        <wps:cNvPr id="1882" name="Graphic 1882"/>
                        <wps:cNvSpPr/>
                        <wps:spPr>
                          <a:xfrm>
                            <a:off x="2727880" y="188929"/>
                            <a:ext cx="66040" cy="66040"/>
                          </a:xfrm>
                          <a:custGeom>
                            <a:avLst/>
                            <a:gdLst/>
                            <a:ahLst/>
                            <a:cxnLst/>
                            <a:rect l="l" t="t" r="r" b="b"/>
                            <a:pathLst>
                              <a:path w="66040" h="66040">
                                <a:moveTo>
                                  <a:pt x="65769" y="0"/>
                                </a:moveTo>
                                <a:lnTo>
                                  <a:pt x="0" y="0"/>
                                </a:lnTo>
                                <a:lnTo>
                                  <a:pt x="0" y="65668"/>
                                </a:lnTo>
                                <a:lnTo>
                                  <a:pt x="65769" y="65668"/>
                                </a:lnTo>
                                <a:lnTo>
                                  <a:pt x="65769" y="0"/>
                                </a:lnTo>
                                <a:close/>
                              </a:path>
                            </a:pathLst>
                          </a:custGeom>
                          <a:solidFill>
                            <a:srgbClr val="A7B1D4"/>
                          </a:solidFill>
                        </wps:spPr>
                        <wps:bodyPr wrap="square" lIns="0" tIns="0" rIns="0" bIns="0" rtlCol="0">
                          <a:prstTxWarp prst="textNoShape">
                            <a:avLst/>
                          </a:prstTxWarp>
                          <a:noAutofit/>
                        </wps:bodyPr>
                      </wps:wsp>
                      <wps:wsp>
                        <wps:cNvPr id="1883" name="Graphic 1883"/>
                        <wps:cNvSpPr/>
                        <wps:spPr>
                          <a:xfrm>
                            <a:off x="2727880" y="396854"/>
                            <a:ext cx="66040" cy="66040"/>
                          </a:xfrm>
                          <a:custGeom>
                            <a:avLst/>
                            <a:gdLst/>
                            <a:ahLst/>
                            <a:cxnLst/>
                            <a:rect l="l" t="t" r="r" b="b"/>
                            <a:pathLst>
                              <a:path w="66040" h="66040">
                                <a:moveTo>
                                  <a:pt x="65769" y="0"/>
                                </a:moveTo>
                                <a:lnTo>
                                  <a:pt x="0" y="0"/>
                                </a:lnTo>
                                <a:lnTo>
                                  <a:pt x="0" y="65633"/>
                                </a:lnTo>
                                <a:lnTo>
                                  <a:pt x="65769" y="65633"/>
                                </a:lnTo>
                                <a:lnTo>
                                  <a:pt x="65769" y="0"/>
                                </a:lnTo>
                                <a:close/>
                              </a:path>
                            </a:pathLst>
                          </a:custGeom>
                          <a:solidFill>
                            <a:srgbClr val="E3C626"/>
                          </a:solidFill>
                        </wps:spPr>
                        <wps:bodyPr wrap="square" lIns="0" tIns="0" rIns="0" bIns="0" rtlCol="0">
                          <a:prstTxWarp prst="textNoShape">
                            <a:avLst/>
                          </a:prstTxWarp>
                          <a:noAutofit/>
                        </wps:bodyPr>
                      </wps:wsp>
                      <wps:wsp>
                        <wps:cNvPr id="1884" name="Graphic 1884"/>
                        <wps:cNvSpPr/>
                        <wps:spPr>
                          <a:xfrm>
                            <a:off x="2727880" y="604742"/>
                            <a:ext cx="66040" cy="66040"/>
                          </a:xfrm>
                          <a:custGeom>
                            <a:avLst/>
                            <a:gdLst/>
                            <a:ahLst/>
                            <a:cxnLst/>
                            <a:rect l="l" t="t" r="r" b="b"/>
                            <a:pathLst>
                              <a:path w="66040" h="66040">
                                <a:moveTo>
                                  <a:pt x="65769" y="0"/>
                                </a:moveTo>
                                <a:lnTo>
                                  <a:pt x="0" y="0"/>
                                </a:lnTo>
                                <a:lnTo>
                                  <a:pt x="0" y="65670"/>
                                </a:lnTo>
                                <a:lnTo>
                                  <a:pt x="65769" y="65670"/>
                                </a:lnTo>
                                <a:lnTo>
                                  <a:pt x="65769" y="0"/>
                                </a:lnTo>
                                <a:close/>
                              </a:path>
                            </a:pathLst>
                          </a:custGeom>
                          <a:solidFill>
                            <a:srgbClr val="F2E499"/>
                          </a:solidFill>
                        </wps:spPr>
                        <wps:bodyPr wrap="square" lIns="0" tIns="0" rIns="0" bIns="0" rtlCol="0">
                          <a:prstTxWarp prst="textNoShape">
                            <a:avLst/>
                          </a:prstTxWarp>
                          <a:noAutofit/>
                        </wps:bodyPr>
                      </wps:wsp>
                      <wps:wsp>
                        <wps:cNvPr id="1885" name="Graphic 1885"/>
                        <wps:cNvSpPr/>
                        <wps:spPr>
                          <a:xfrm>
                            <a:off x="2727880" y="812667"/>
                            <a:ext cx="66040" cy="66040"/>
                          </a:xfrm>
                          <a:custGeom>
                            <a:avLst/>
                            <a:gdLst/>
                            <a:ahLst/>
                            <a:cxnLst/>
                            <a:rect l="l" t="t" r="r" b="b"/>
                            <a:pathLst>
                              <a:path w="66040" h="66040">
                                <a:moveTo>
                                  <a:pt x="65769" y="0"/>
                                </a:moveTo>
                                <a:lnTo>
                                  <a:pt x="0" y="0"/>
                                </a:lnTo>
                                <a:lnTo>
                                  <a:pt x="0" y="65645"/>
                                </a:lnTo>
                                <a:lnTo>
                                  <a:pt x="65769" y="65645"/>
                                </a:lnTo>
                                <a:lnTo>
                                  <a:pt x="65769" y="0"/>
                                </a:lnTo>
                                <a:close/>
                              </a:path>
                            </a:pathLst>
                          </a:custGeom>
                          <a:solidFill>
                            <a:srgbClr val="3D619D"/>
                          </a:solidFill>
                        </wps:spPr>
                        <wps:bodyPr wrap="square" lIns="0" tIns="0" rIns="0" bIns="0" rtlCol="0">
                          <a:prstTxWarp prst="textNoShape">
                            <a:avLst/>
                          </a:prstTxWarp>
                          <a:noAutofit/>
                        </wps:bodyPr>
                      </wps:wsp>
                      <wps:wsp>
                        <wps:cNvPr id="1886" name="Graphic 1886"/>
                        <wps:cNvSpPr/>
                        <wps:spPr>
                          <a:xfrm>
                            <a:off x="2727880" y="1020567"/>
                            <a:ext cx="66040" cy="66040"/>
                          </a:xfrm>
                          <a:custGeom>
                            <a:avLst/>
                            <a:gdLst/>
                            <a:ahLst/>
                            <a:cxnLst/>
                            <a:rect l="l" t="t" r="r" b="b"/>
                            <a:pathLst>
                              <a:path w="66040" h="66040">
                                <a:moveTo>
                                  <a:pt x="65769" y="0"/>
                                </a:moveTo>
                                <a:lnTo>
                                  <a:pt x="0" y="0"/>
                                </a:lnTo>
                                <a:lnTo>
                                  <a:pt x="0" y="65658"/>
                                </a:lnTo>
                                <a:lnTo>
                                  <a:pt x="65769" y="65658"/>
                                </a:lnTo>
                                <a:lnTo>
                                  <a:pt x="65769" y="0"/>
                                </a:lnTo>
                                <a:close/>
                              </a:path>
                            </a:pathLst>
                          </a:custGeom>
                          <a:solidFill>
                            <a:srgbClr val="2F7D41"/>
                          </a:solidFill>
                        </wps:spPr>
                        <wps:bodyPr wrap="square" lIns="0" tIns="0" rIns="0" bIns="0" rtlCol="0">
                          <a:prstTxWarp prst="textNoShape">
                            <a:avLst/>
                          </a:prstTxWarp>
                          <a:noAutofit/>
                        </wps:bodyPr>
                      </wps:wsp>
                      <wps:wsp>
                        <wps:cNvPr id="1887" name="Graphic 1887"/>
                        <wps:cNvSpPr/>
                        <wps:spPr>
                          <a:xfrm>
                            <a:off x="2727880" y="1228480"/>
                            <a:ext cx="66040" cy="66040"/>
                          </a:xfrm>
                          <a:custGeom>
                            <a:avLst/>
                            <a:gdLst/>
                            <a:ahLst/>
                            <a:cxnLst/>
                            <a:rect l="l" t="t" r="r" b="b"/>
                            <a:pathLst>
                              <a:path w="66040" h="66040">
                                <a:moveTo>
                                  <a:pt x="65769" y="0"/>
                                </a:moveTo>
                                <a:lnTo>
                                  <a:pt x="0" y="0"/>
                                </a:lnTo>
                                <a:lnTo>
                                  <a:pt x="0" y="65670"/>
                                </a:lnTo>
                                <a:lnTo>
                                  <a:pt x="65769" y="65670"/>
                                </a:lnTo>
                                <a:lnTo>
                                  <a:pt x="65769" y="0"/>
                                </a:lnTo>
                                <a:close/>
                              </a:path>
                            </a:pathLst>
                          </a:custGeom>
                          <a:solidFill>
                            <a:srgbClr val="CCDEA0"/>
                          </a:solidFill>
                        </wps:spPr>
                        <wps:bodyPr wrap="square" lIns="0" tIns="0" rIns="0" bIns="0" rtlCol="0">
                          <a:prstTxWarp prst="textNoShape">
                            <a:avLst/>
                          </a:prstTxWarp>
                          <a:noAutofit/>
                        </wps:bodyPr>
                      </wps:wsp>
                      <wps:wsp>
                        <wps:cNvPr id="1888" name="Graphic 1888"/>
                        <wps:cNvSpPr/>
                        <wps:spPr>
                          <a:xfrm>
                            <a:off x="2727880" y="1436406"/>
                            <a:ext cx="66040" cy="66040"/>
                          </a:xfrm>
                          <a:custGeom>
                            <a:avLst/>
                            <a:gdLst/>
                            <a:ahLst/>
                            <a:cxnLst/>
                            <a:rect l="l" t="t" r="r" b="b"/>
                            <a:pathLst>
                              <a:path w="66040" h="66040">
                                <a:moveTo>
                                  <a:pt x="65769" y="0"/>
                                </a:moveTo>
                                <a:lnTo>
                                  <a:pt x="0" y="0"/>
                                </a:lnTo>
                                <a:lnTo>
                                  <a:pt x="0" y="65646"/>
                                </a:lnTo>
                                <a:lnTo>
                                  <a:pt x="65769" y="65646"/>
                                </a:lnTo>
                                <a:lnTo>
                                  <a:pt x="65769" y="0"/>
                                </a:lnTo>
                                <a:close/>
                              </a:path>
                            </a:pathLst>
                          </a:custGeom>
                          <a:solidFill>
                            <a:srgbClr val="D0CADE"/>
                          </a:solidFill>
                        </wps:spPr>
                        <wps:bodyPr wrap="square" lIns="0" tIns="0" rIns="0" bIns="0" rtlCol="0">
                          <a:prstTxWarp prst="textNoShape">
                            <a:avLst/>
                          </a:prstTxWarp>
                          <a:noAutofit/>
                        </wps:bodyPr>
                      </wps:wsp>
                      <wps:wsp>
                        <wps:cNvPr id="1889" name="Textbox 1889"/>
                        <wps:cNvSpPr txBox="1"/>
                        <wps:spPr>
                          <a:xfrm>
                            <a:off x="752013" y="262723"/>
                            <a:ext cx="153670"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11%</w:t>
                              </w:r>
                            </w:p>
                          </w:txbxContent>
                        </wps:txbx>
                        <wps:bodyPr wrap="square" lIns="0" tIns="0" rIns="0" bIns="0" rtlCol="0">
                          <a:noAutofit/>
                        </wps:bodyPr>
                      </wps:wsp>
                      <wps:wsp>
                        <wps:cNvPr id="1890" name="Textbox 1890"/>
                        <wps:cNvSpPr txBox="1"/>
                        <wps:spPr>
                          <a:xfrm>
                            <a:off x="1553327" y="235828"/>
                            <a:ext cx="11811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9%</w:t>
                              </w:r>
                            </w:p>
                          </w:txbxContent>
                        </wps:txbx>
                        <wps:bodyPr wrap="square" lIns="0" tIns="0" rIns="0" bIns="0" rtlCol="0">
                          <a:noAutofit/>
                        </wps:bodyPr>
                      </wps:wsp>
                      <wps:wsp>
                        <wps:cNvPr id="1891" name="Textbox 1891"/>
                        <wps:cNvSpPr txBox="1"/>
                        <wps:spPr>
                          <a:xfrm>
                            <a:off x="2830341" y="159580"/>
                            <a:ext cx="264160" cy="314325"/>
                          </a:xfrm>
                          <a:prstGeom prst="rect">
                            <a:avLst/>
                          </a:prstGeom>
                        </wps:spPr>
                        <wps:txbx>
                          <w:txbxContent>
                            <w:p>
                              <w:pPr>
                                <w:spacing w:line="161" w:lineRule="exact" w:before="0"/>
                                <w:ind w:left="0" w:right="0" w:firstLine="0"/>
                                <w:jc w:val="left"/>
                                <w:rPr>
                                  <w:rFonts w:ascii="Arial MT"/>
                                  <w:sz w:val="14"/>
                                </w:rPr>
                              </w:pPr>
                              <w:r>
                                <w:rPr>
                                  <w:rFonts w:ascii="Arial MT"/>
                                  <w:spacing w:val="-2"/>
                                  <w:w w:val="90"/>
                                  <w:sz w:val="14"/>
                                </w:rPr>
                                <w:t>Central</w:t>
                              </w:r>
                            </w:p>
                            <w:p>
                              <w:pPr>
                                <w:spacing w:line="240" w:lineRule="auto" w:before="12"/>
                                <w:rPr>
                                  <w:rFonts w:ascii="Arial MT"/>
                                  <w:sz w:val="14"/>
                                </w:rPr>
                              </w:pPr>
                            </w:p>
                            <w:p>
                              <w:pPr>
                                <w:spacing w:before="0"/>
                                <w:ind w:left="0" w:right="0" w:firstLine="0"/>
                                <w:jc w:val="left"/>
                                <w:rPr>
                                  <w:rFonts w:ascii="Arial MT"/>
                                  <w:sz w:val="14"/>
                                </w:rPr>
                              </w:pPr>
                              <w:r>
                                <w:rPr>
                                  <w:rFonts w:ascii="Arial MT"/>
                                  <w:spacing w:val="-2"/>
                                  <w:w w:val="85"/>
                                  <w:sz w:val="14"/>
                                </w:rPr>
                                <w:t>Eastern</w:t>
                              </w:r>
                            </w:p>
                          </w:txbxContent>
                        </wps:txbx>
                        <wps:bodyPr wrap="square" lIns="0" tIns="0" rIns="0" bIns="0" rtlCol="0">
                          <a:noAutofit/>
                        </wps:bodyPr>
                      </wps:wsp>
                      <wps:wsp>
                        <wps:cNvPr id="1892" name="Textbox 1892"/>
                        <wps:cNvSpPr txBox="1"/>
                        <wps:spPr>
                          <a:xfrm>
                            <a:off x="1986994" y="508132"/>
                            <a:ext cx="11811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8%</w:t>
                              </w:r>
                            </w:p>
                          </w:txbxContent>
                        </wps:txbx>
                        <wps:bodyPr wrap="square" lIns="0" tIns="0" rIns="0" bIns="0" rtlCol="0">
                          <a:noAutofit/>
                        </wps:bodyPr>
                      </wps:wsp>
                      <wps:wsp>
                        <wps:cNvPr id="1893" name="Textbox 1893"/>
                        <wps:cNvSpPr txBox="1"/>
                        <wps:spPr>
                          <a:xfrm>
                            <a:off x="127838" y="637947"/>
                            <a:ext cx="158750"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14%</w:t>
                              </w:r>
                            </w:p>
                          </w:txbxContent>
                        </wps:txbx>
                        <wps:bodyPr wrap="square" lIns="0" tIns="0" rIns="0" bIns="0" rtlCol="0">
                          <a:noAutofit/>
                        </wps:bodyPr>
                      </wps:wsp>
                      <wps:wsp>
                        <wps:cNvPr id="1894" name="Textbox 1894"/>
                        <wps:cNvSpPr txBox="1"/>
                        <wps:spPr>
                          <a:xfrm>
                            <a:off x="2151620" y="584908"/>
                            <a:ext cx="1056640" cy="1229360"/>
                          </a:xfrm>
                          <a:prstGeom prst="rect">
                            <a:avLst/>
                          </a:prstGeom>
                        </wps:spPr>
                        <wps:txbx>
                          <w:txbxContent>
                            <w:p>
                              <w:pPr>
                                <w:spacing w:line="506" w:lineRule="auto" w:before="0"/>
                                <w:ind w:left="1068" w:right="37" w:firstLine="0"/>
                                <w:jc w:val="left"/>
                                <w:rPr>
                                  <w:rFonts w:ascii="Arial MT"/>
                                  <w:sz w:val="14"/>
                                </w:rPr>
                              </w:pPr>
                              <w:r>
                                <w:rPr>
                                  <w:rFonts w:ascii="Arial MT"/>
                                  <w:spacing w:val="-2"/>
                                  <w:w w:val="90"/>
                                  <w:sz w:val="14"/>
                                </w:rPr>
                                <w:t>Northern</w:t>
                              </w:r>
                              <w:r>
                                <w:rPr>
                                  <w:rFonts w:ascii="Arial MT"/>
                                  <w:spacing w:val="40"/>
                                  <w:sz w:val="14"/>
                                </w:rPr>
                                <w:t> </w:t>
                              </w:r>
                              <w:r>
                                <w:rPr>
                                  <w:rFonts w:ascii="Arial MT"/>
                                  <w:spacing w:val="-2"/>
                                  <w:w w:val="80"/>
                                  <w:sz w:val="14"/>
                                </w:rPr>
                                <w:t>North-west</w:t>
                              </w:r>
                            </w:p>
                            <w:p>
                              <w:pPr>
                                <w:tabs>
                                  <w:tab w:pos="1068" w:val="left" w:leader="none"/>
                                </w:tabs>
                                <w:spacing w:line="150" w:lineRule="exact" w:before="0"/>
                                <w:ind w:left="105" w:right="0" w:firstLine="0"/>
                                <w:jc w:val="left"/>
                                <w:rPr>
                                  <w:rFonts w:ascii="Arial MT"/>
                                  <w:sz w:val="14"/>
                                </w:rPr>
                              </w:pPr>
                              <w:r>
                                <w:rPr>
                                  <w:rFonts w:ascii="Arial MT"/>
                                  <w:spacing w:val="-5"/>
                                  <w:w w:val="90"/>
                                  <w:sz w:val="14"/>
                                </w:rPr>
                                <w:t>9%</w:t>
                              </w:r>
                              <w:r>
                                <w:rPr>
                                  <w:rFonts w:ascii="Arial MT"/>
                                  <w:sz w:val="14"/>
                                </w:rPr>
                                <w:tab/>
                              </w:r>
                              <w:r>
                                <w:rPr>
                                  <w:rFonts w:ascii="Arial MT"/>
                                  <w:spacing w:val="-2"/>
                                  <w:w w:val="90"/>
                                  <w:position w:val="2"/>
                                  <w:sz w:val="14"/>
                                </w:rPr>
                                <w:t>Southern</w:t>
                              </w:r>
                            </w:p>
                            <w:p>
                              <w:pPr>
                                <w:spacing w:line="496" w:lineRule="auto" w:before="154"/>
                                <w:ind w:left="1070" w:right="0" w:hanging="2"/>
                                <w:jc w:val="left"/>
                                <w:rPr>
                                  <w:rFonts w:ascii="Arial MT"/>
                                  <w:sz w:val="14"/>
                                </w:rPr>
                              </w:pPr>
                              <w:r>
                                <w:rPr>
                                  <w:rFonts w:ascii="Arial MT"/>
                                  <w:spacing w:val="-2"/>
                                  <w:w w:val="80"/>
                                  <w:sz w:val="14"/>
                                </w:rPr>
                                <w:t>South-west</w:t>
                              </w:r>
                              <w:r>
                                <w:rPr>
                                  <w:rFonts w:ascii="Arial MT"/>
                                  <w:spacing w:val="40"/>
                                  <w:sz w:val="14"/>
                                </w:rPr>
                                <w:t> </w:t>
                              </w:r>
                              <w:r>
                                <w:rPr>
                                  <w:rFonts w:ascii="Arial MT"/>
                                  <w:spacing w:val="-2"/>
                                  <w:w w:val="90"/>
                                  <w:sz w:val="14"/>
                                </w:rPr>
                                <w:t>Western</w:t>
                              </w:r>
                            </w:p>
                            <w:p>
                              <w:pPr>
                                <w:spacing w:before="124"/>
                                <w:ind w:left="0" w:right="0" w:firstLine="0"/>
                                <w:jc w:val="left"/>
                                <w:rPr>
                                  <w:rFonts w:ascii="Arial MT"/>
                                  <w:sz w:val="14"/>
                                </w:rPr>
                              </w:pPr>
                              <w:r>
                                <w:rPr>
                                  <w:rFonts w:ascii="Arial MT"/>
                                  <w:spacing w:val="-5"/>
                                  <w:w w:val="90"/>
                                  <w:sz w:val="14"/>
                                </w:rPr>
                                <w:t>12%</w:t>
                              </w:r>
                            </w:p>
                          </w:txbxContent>
                        </wps:txbx>
                        <wps:bodyPr wrap="square" lIns="0" tIns="0" rIns="0" bIns="0" rtlCol="0">
                          <a:noAutofit/>
                        </wps:bodyPr>
                      </wps:wsp>
                      <wps:wsp>
                        <wps:cNvPr id="1895" name="Textbox 1895"/>
                        <wps:cNvSpPr txBox="1"/>
                        <wps:spPr>
                          <a:xfrm>
                            <a:off x="843894" y="2190205"/>
                            <a:ext cx="158750" cy="102235"/>
                          </a:xfrm>
                          <a:prstGeom prst="rect">
                            <a:avLst/>
                          </a:prstGeom>
                        </wps:spPr>
                        <wps:txbx>
                          <w:txbxContent>
                            <w:p>
                              <w:pPr>
                                <w:spacing w:line="161" w:lineRule="exact" w:before="0"/>
                                <w:ind w:left="0" w:right="0" w:firstLine="0"/>
                                <w:jc w:val="left"/>
                                <w:rPr>
                                  <w:rFonts w:ascii="Arial MT"/>
                                  <w:sz w:val="14"/>
                                </w:rPr>
                              </w:pPr>
                              <w:r>
                                <w:rPr>
                                  <w:rFonts w:ascii="Arial MT"/>
                                  <w:spacing w:val="-5"/>
                                  <w:w w:val="85"/>
                                  <w:sz w:val="14"/>
                                </w:rPr>
                                <w:t>37%</w:t>
                              </w:r>
                            </w:p>
                          </w:txbxContent>
                        </wps:txbx>
                        <wps:bodyPr wrap="square" lIns="0" tIns="0" rIns="0" bIns="0" rtlCol="0">
                          <a:noAutofit/>
                        </wps:bodyPr>
                      </wps:wsp>
                    </wpg:wgp>
                  </a:graphicData>
                </a:graphic>
              </wp:anchor>
            </w:drawing>
          </mc:Choice>
          <mc:Fallback>
            <w:pict>
              <v:group style="position:absolute;margin-left:26.999981pt;margin-top:39.5pt;width:261.6500pt;height:194pt;mso-position-horizontal-relative:page;mso-position-vertical-relative:paragraph;z-index:15860224" id="docshapegroup1859" coordorigin="540,790" coordsize="5233,3880">
                <v:shape style="position:absolute;left:539;top:790;width:5233;height:3880" id="docshape1860" coordorigin="540,790" coordsize="5233,3880" path="m5773,790l5763,790,5763,794,5763,795,5763,800,5763,4660,550,4660,550,800,545,800,550,800,5763,800,5763,795,550,795,545,795,545,794,5763,794,5763,790,540,790,540,794,540,800,540,4660,540,4664,540,4670,5773,4670,5773,800,5768,800,5773,800,5773,795,5768,795,5768,794,5773,794,5773,790xe" filled="true" fillcolor="#000000" stroked="false">
                  <v:path arrowok="t"/>
                  <v:fill type="solid"/>
                </v:shape>
                <v:shape style="position:absolute;left:2492;top:1316;width:835;height:1482" id="docshape1861" coordorigin="2493,1317" coordsize="835,1482" path="m2493,1317l2494,2799,3327,1569,3262,1527,3193,1489,3123,1454,3050,1423,2976,1395,2900,1372,2821,1352,2742,1337,2661,1326,2578,1319,2493,1317xe" filled="true" fillcolor="#a7b1d4" stroked="false">
                  <v:path arrowok="t"/>
                  <v:fill type="solid"/>
                </v:shape>
                <v:shape style="position:absolute;left:2494;top:1569;width:1316;height:1230" id="docshape1862" coordorigin="2494,1569" coordsize="1316,1230" path="m3327,1569l2494,2799,3810,2107,3770,2036,3726,1967,3679,1901,3628,1838,3574,1778,3517,1721,3457,1667,3393,1616,3327,1569xe" filled="true" fillcolor="#e3c626" stroked="false">
                  <v:path arrowok="t"/>
                  <v:fill type="solid"/>
                </v:shape>
                <v:shape style="position:absolute;left:2494;top:2106;width:1485;height:813" id="docshape1863" coordorigin="2494,2107" coordsize="1485,813" path="m3810,2107l2494,2799,3974,2919,3976,2889,3978,2859,3979,2829,3979,2799,3977,2716,3970,2634,3959,2554,3944,2475,3925,2398,3902,2322,3875,2249,3844,2177,3810,2107xe" filled="true" fillcolor="#f2e499" stroked="false">
                  <v:path arrowok="t"/>
                  <v:fill type="solid"/>
                </v:shape>
                <v:shape style="position:absolute;left:2494;top:2798;width:1481;height:1083" id="docshape1864" coordorigin="2494,2799" coordsize="1481,1083" path="m2494,2799l3512,3882,3566,3828,3618,3771,3667,3712,3712,3650,3755,3586,3794,3520,3830,3451,3862,3381,3890,3308,3915,3233,3936,3157,3953,3079,3966,3000,3974,2919,2494,2799xe" filled="true" fillcolor="#3d619d" stroked="false">
                  <v:path arrowok="t"/>
                  <v:fill type="solid"/>
                </v:shape>
                <v:shape style="position:absolute;left:1009;top:2797;width:2503;height:1484" id="docshape1865" coordorigin="1009,2798" coordsize="2503,1484" path="m1009,2798l1011,2875,1017,2951,1026,3026,1039,3099,1056,3171,1076,3241,1099,3310,1125,3378,1155,3443,1187,3507,1223,3569,1261,3629,1303,3688,1347,3743,1393,3797,1442,3848,1494,3897,1548,3944,1604,3988,1662,4029,1722,4067,1784,4103,1848,4135,1914,4165,1982,4191,2051,4215,2121,4234,2193,4251,2267,4264,2341,4273,2417,4279,2494,4281,2578,4278,2661,4272,2742,4260,2822,4245,2900,4225,2977,4202,3052,4174,3124,4143,3195,4108,3263,4069,3329,4027,3392,3982,3453,3933,3512,3882,2494,2799,1009,2798xe" filled="true" fillcolor="#2f7d41" stroked="false">
                  <v:path arrowok="t"/>
                  <v:fill type="solid"/>
                </v:shape>
                <v:shape style="position:absolute;left:1009;top:1658;width:1485;height:1141" id="docshape1866" coordorigin="1009,1659" coordsize="1485,1141" path="m1542,1659l1485,1708,1432,1760,1381,1814,1332,1872,1287,1931,1245,1993,1206,2057,1170,2123,1137,2192,1108,2262,1083,2334,1061,2408,1042,2483,1028,2560,1018,2638,1011,2717,1009,2798,2494,2799,1542,1659xe" filled="true" fillcolor="#ccdea0" stroked="false">
                  <v:path arrowok="t"/>
                  <v:fill type="solid"/>
                </v:shape>
                <v:shape style="position:absolute;left:1541;top:1316;width:954;height:1482" id="docshape1867" coordorigin="1541,1317" coordsize="954,1482" path="m2493,1317l2410,1319,2328,1326,2247,1337,2168,1352,2090,1371,2014,1395,1940,1422,1868,1453,1798,1487,1730,1525,1665,1567,1602,1611,1541,1659,2494,2799,2493,1317xe" filled="true" fillcolor="#d0cade" stroked="false">
                  <v:path arrowok="t"/>
                  <v:fill type="solid"/>
                </v:shape>
                <v:rect style="position:absolute;left:4835;top:1087;width:104;height:104" id="docshape1868" filled="true" fillcolor="#a7b1d4" stroked="false">
                  <v:fill type="solid"/>
                </v:rect>
                <v:rect style="position:absolute;left:4835;top:1414;width:104;height:104" id="docshape1869" filled="true" fillcolor="#e3c626" stroked="false">
                  <v:fill type="solid"/>
                </v:rect>
                <v:rect style="position:absolute;left:4835;top:1742;width:104;height:104" id="docshape1870" filled="true" fillcolor="#f2e499" stroked="false">
                  <v:fill type="solid"/>
                </v:rect>
                <v:rect style="position:absolute;left:4835;top:2069;width:104;height:104" id="docshape1871" filled="true" fillcolor="#3d619d" stroked="false">
                  <v:fill type="solid"/>
                </v:rect>
                <v:rect style="position:absolute;left:4835;top:2397;width:104;height:104" id="docshape1872" filled="true" fillcolor="#2f7d41" stroked="false">
                  <v:fill type="solid"/>
                </v:rect>
                <v:rect style="position:absolute;left:4835;top:2724;width:104;height:104" id="docshape1873" filled="true" fillcolor="#ccdea0" stroked="false">
                  <v:fill type="solid"/>
                </v:rect>
                <v:rect style="position:absolute;left:4835;top:3052;width:104;height:104" id="docshape1874" filled="true" fillcolor="#d0cade" stroked="false">
                  <v:fill type="solid"/>
                </v:rect>
                <v:shape style="position:absolute;left:1724;top:1203;width:242;height:161" type="#_x0000_t202" id="docshape1875" filled="false" stroked="false">
                  <v:textbox inset="0,0,0,0">
                    <w:txbxContent>
                      <w:p>
                        <w:pPr>
                          <w:spacing w:line="161" w:lineRule="exact" w:before="0"/>
                          <w:ind w:left="0" w:right="0" w:firstLine="0"/>
                          <w:jc w:val="left"/>
                          <w:rPr>
                            <w:rFonts w:ascii="Arial MT"/>
                            <w:sz w:val="14"/>
                          </w:rPr>
                        </w:pPr>
                        <w:r>
                          <w:rPr>
                            <w:rFonts w:ascii="Arial MT"/>
                            <w:spacing w:val="-5"/>
                            <w:w w:val="85"/>
                            <w:sz w:val="14"/>
                          </w:rPr>
                          <w:t>11%</w:t>
                        </w:r>
                      </w:p>
                    </w:txbxContent>
                  </v:textbox>
                  <w10:wrap type="none"/>
                </v:shape>
                <v:shape style="position:absolute;left:2986;top:1161;width:186;height:161" type="#_x0000_t202" id="docshape1876" filled="false" stroked="false">
                  <v:textbox inset="0,0,0,0">
                    <w:txbxContent>
                      <w:p>
                        <w:pPr>
                          <w:spacing w:line="161" w:lineRule="exact" w:before="0"/>
                          <w:ind w:left="0" w:right="0" w:firstLine="0"/>
                          <w:jc w:val="left"/>
                          <w:rPr>
                            <w:rFonts w:ascii="Arial MT"/>
                            <w:sz w:val="14"/>
                          </w:rPr>
                        </w:pPr>
                        <w:r>
                          <w:rPr>
                            <w:rFonts w:ascii="Arial MT"/>
                            <w:spacing w:val="-5"/>
                            <w:w w:val="90"/>
                            <w:sz w:val="14"/>
                          </w:rPr>
                          <w:t>9%</w:t>
                        </w:r>
                      </w:p>
                    </w:txbxContent>
                  </v:textbox>
                  <w10:wrap type="none"/>
                </v:shape>
                <v:shape style="position:absolute;left:4997;top:1041;width:416;height:495" type="#_x0000_t202" id="docshape1877" filled="false" stroked="false">
                  <v:textbox inset="0,0,0,0">
                    <w:txbxContent>
                      <w:p>
                        <w:pPr>
                          <w:spacing w:line="161" w:lineRule="exact" w:before="0"/>
                          <w:ind w:left="0" w:right="0" w:firstLine="0"/>
                          <w:jc w:val="left"/>
                          <w:rPr>
                            <w:rFonts w:ascii="Arial MT"/>
                            <w:sz w:val="14"/>
                          </w:rPr>
                        </w:pPr>
                        <w:r>
                          <w:rPr>
                            <w:rFonts w:ascii="Arial MT"/>
                            <w:spacing w:val="-2"/>
                            <w:w w:val="90"/>
                            <w:sz w:val="14"/>
                          </w:rPr>
                          <w:t>Central</w:t>
                        </w:r>
                      </w:p>
                      <w:p>
                        <w:pPr>
                          <w:spacing w:line="240" w:lineRule="auto" w:before="12"/>
                          <w:rPr>
                            <w:rFonts w:ascii="Arial MT"/>
                            <w:sz w:val="14"/>
                          </w:rPr>
                        </w:pPr>
                      </w:p>
                      <w:p>
                        <w:pPr>
                          <w:spacing w:before="0"/>
                          <w:ind w:left="0" w:right="0" w:firstLine="0"/>
                          <w:jc w:val="left"/>
                          <w:rPr>
                            <w:rFonts w:ascii="Arial MT"/>
                            <w:sz w:val="14"/>
                          </w:rPr>
                        </w:pPr>
                        <w:r>
                          <w:rPr>
                            <w:rFonts w:ascii="Arial MT"/>
                            <w:spacing w:val="-2"/>
                            <w:w w:val="85"/>
                            <w:sz w:val="14"/>
                          </w:rPr>
                          <w:t>Eastern</w:t>
                        </w:r>
                      </w:p>
                    </w:txbxContent>
                  </v:textbox>
                  <w10:wrap type="none"/>
                </v:shape>
                <v:shape style="position:absolute;left:3669;top:1590;width:186;height:161" type="#_x0000_t202" id="docshape1878" filled="false" stroked="false">
                  <v:textbox inset="0,0,0,0">
                    <w:txbxContent>
                      <w:p>
                        <w:pPr>
                          <w:spacing w:line="161" w:lineRule="exact" w:before="0"/>
                          <w:ind w:left="0" w:right="0" w:firstLine="0"/>
                          <w:jc w:val="left"/>
                          <w:rPr>
                            <w:rFonts w:ascii="Arial MT"/>
                            <w:sz w:val="14"/>
                          </w:rPr>
                        </w:pPr>
                        <w:r>
                          <w:rPr>
                            <w:rFonts w:ascii="Arial MT"/>
                            <w:spacing w:val="-5"/>
                            <w:w w:val="90"/>
                            <w:sz w:val="14"/>
                          </w:rPr>
                          <w:t>8%</w:t>
                        </w:r>
                      </w:p>
                    </w:txbxContent>
                  </v:textbox>
                  <w10:wrap type="none"/>
                </v:shape>
                <v:shape style="position:absolute;left:741;top:1794;width:250;height:161" type="#_x0000_t202" id="docshape1879" filled="false" stroked="false">
                  <v:textbox inset="0,0,0,0">
                    <w:txbxContent>
                      <w:p>
                        <w:pPr>
                          <w:spacing w:line="161" w:lineRule="exact" w:before="0"/>
                          <w:ind w:left="0" w:right="0" w:firstLine="0"/>
                          <w:jc w:val="left"/>
                          <w:rPr>
                            <w:rFonts w:ascii="Arial MT"/>
                            <w:sz w:val="14"/>
                          </w:rPr>
                        </w:pPr>
                        <w:r>
                          <w:rPr>
                            <w:rFonts w:ascii="Arial MT"/>
                            <w:spacing w:val="-5"/>
                            <w:w w:val="85"/>
                            <w:sz w:val="14"/>
                          </w:rPr>
                          <w:t>14%</w:t>
                        </w:r>
                      </w:p>
                    </w:txbxContent>
                  </v:textbox>
                  <w10:wrap type="none"/>
                </v:shape>
                <v:shape style="position:absolute;left:3928;top:1711;width:1664;height:1936" type="#_x0000_t202" id="docshape1880" filled="false" stroked="false">
                  <v:textbox inset="0,0,0,0">
                    <w:txbxContent>
                      <w:p>
                        <w:pPr>
                          <w:spacing w:line="506" w:lineRule="auto" w:before="0"/>
                          <w:ind w:left="1068" w:right="37" w:firstLine="0"/>
                          <w:jc w:val="left"/>
                          <w:rPr>
                            <w:rFonts w:ascii="Arial MT"/>
                            <w:sz w:val="14"/>
                          </w:rPr>
                        </w:pPr>
                        <w:r>
                          <w:rPr>
                            <w:rFonts w:ascii="Arial MT"/>
                            <w:spacing w:val="-2"/>
                            <w:w w:val="90"/>
                            <w:sz w:val="14"/>
                          </w:rPr>
                          <w:t>Northern</w:t>
                        </w:r>
                        <w:r>
                          <w:rPr>
                            <w:rFonts w:ascii="Arial MT"/>
                            <w:spacing w:val="40"/>
                            <w:sz w:val="14"/>
                          </w:rPr>
                          <w:t> </w:t>
                        </w:r>
                        <w:r>
                          <w:rPr>
                            <w:rFonts w:ascii="Arial MT"/>
                            <w:spacing w:val="-2"/>
                            <w:w w:val="80"/>
                            <w:sz w:val="14"/>
                          </w:rPr>
                          <w:t>North-west</w:t>
                        </w:r>
                      </w:p>
                      <w:p>
                        <w:pPr>
                          <w:tabs>
                            <w:tab w:pos="1068" w:val="left" w:leader="none"/>
                          </w:tabs>
                          <w:spacing w:line="150" w:lineRule="exact" w:before="0"/>
                          <w:ind w:left="105" w:right="0" w:firstLine="0"/>
                          <w:jc w:val="left"/>
                          <w:rPr>
                            <w:rFonts w:ascii="Arial MT"/>
                            <w:sz w:val="14"/>
                          </w:rPr>
                        </w:pPr>
                        <w:r>
                          <w:rPr>
                            <w:rFonts w:ascii="Arial MT"/>
                            <w:spacing w:val="-5"/>
                            <w:w w:val="90"/>
                            <w:sz w:val="14"/>
                          </w:rPr>
                          <w:t>9%</w:t>
                        </w:r>
                        <w:r>
                          <w:rPr>
                            <w:rFonts w:ascii="Arial MT"/>
                            <w:sz w:val="14"/>
                          </w:rPr>
                          <w:tab/>
                        </w:r>
                        <w:r>
                          <w:rPr>
                            <w:rFonts w:ascii="Arial MT"/>
                            <w:spacing w:val="-2"/>
                            <w:w w:val="90"/>
                            <w:position w:val="2"/>
                            <w:sz w:val="14"/>
                          </w:rPr>
                          <w:t>Southern</w:t>
                        </w:r>
                      </w:p>
                      <w:p>
                        <w:pPr>
                          <w:spacing w:line="496" w:lineRule="auto" w:before="154"/>
                          <w:ind w:left="1070" w:right="0" w:hanging="2"/>
                          <w:jc w:val="left"/>
                          <w:rPr>
                            <w:rFonts w:ascii="Arial MT"/>
                            <w:sz w:val="14"/>
                          </w:rPr>
                        </w:pPr>
                        <w:r>
                          <w:rPr>
                            <w:rFonts w:ascii="Arial MT"/>
                            <w:spacing w:val="-2"/>
                            <w:w w:val="80"/>
                            <w:sz w:val="14"/>
                          </w:rPr>
                          <w:t>South-west</w:t>
                        </w:r>
                        <w:r>
                          <w:rPr>
                            <w:rFonts w:ascii="Arial MT"/>
                            <w:spacing w:val="40"/>
                            <w:sz w:val="14"/>
                          </w:rPr>
                          <w:t> </w:t>
                        </w:r>
                        <w:r>
                          <w:rPr>
                            <w:rFonts w:ascii="Arial MT"/>
                            <w:spacing w:val="-2"/>
                            <w:w w:val="90"/>
                            <w:sz w:val="14"/>
                          </w:rPr>
                          <w:t>Western</w:t>
                        </w:r>
                      </w:p>
                      <w:p>
                        <w:pPr>
                          <w:spacing w:before="124"/>
                          <w:ind w:left="0" w:right="0" w:firstLine="0"/>
                          <w:jc w:val="left"/>
                          <w:rPr>
                            <w:rFonts w:ascii="Arial MT"/>
                            <w:sz w:val="14"/>
                          </w:rPr>
                        </w:pPr>
                        <w:r>
                          <w:rPr>
                            <w:rFonts w:ascii="Arial MT"/>
                            <w:spacing w:val="-5"/>
                            <w:w w:val="90"/>
                            <w:sz w:val="14"/>
                          </w:rPr>
                          <w:t>12%</w:t>
                        </w:r>
                      </w:p>
                    </w:txbxContent>
                  </v:textbox>
                  <w10:wrap type="none"/>
                </v:shape>
                <v:shape style="position:absolute;left:1868;top:4239;width:250;height:161" type="#_x0000_t202" id="docshape1881" filled="false" stroked="false">
                  <v:textbox inset="0,0,0,0">
                    <w:txbxContent>
                      <w:p>
                        <w:pPr>
                          <w:spacing w:line="161" w:lineRule="exact" w:before="0"/>
                          <w:ind w:left="0" w:right="0" w:firstLine="0"/>
                          <w:jc w:val="left"/>
                          <w:rPr>
                            <w:rFonts w:ascii="Arial MT"/>
                            <w:sz w:val="14"/>
                          </w:rPr>
                        </w:pPr>
                        <w:r>
                          <w:rPr>
                            <w:rFonts w:ascii="Arial MT"/>
                            <w:spacing w:val="-5"/>
                            <w:w w:val="85"/>
                            <w:sz w:val="14"/>
                          </w:rPr>
                          <w:t>37%</w:t>
                        </w:r>
                      </w:p>
                    </w:txbxContent>
                  </v:textbox>
                  <w10:wrap type="none"/>
                </v:shape>
                <w10:wrap type="none"/>
              </v:group>
            </w:pict>
          </mc:Fallback>
        </mc:AlternateContent>
      </w:r>
      <w:r>
        <w:rPr>
          <w:spacing w:val="-8"/>
        </w:rPr>
        <w:t>Figure</w:t>
      </w:r>
      <w:r>
        <w:rPr>
          <w:spacing w:val="-6"/>
        </w:rPr>
        <w:t> </w:t>
      </w:r>
      <w:r>
        <w:rPr>
          <w:spacing w:val="-8"/>
        </w:rPr>
        <w:t>43:</w:t>
      </w:r>
      <w:r>
        <w:rPr>
          <w:spacing w:val="-6"/>
        </w:rPr>
        <w:t> </w:t>
      </w:r>
      <w:r>
        <w:rPr>
          <w:color w:val="2E614A"/>
          <w:spacing w:val="-8"/>
        </w:rPr>
        <w:t>Region-wise</w:t>
      </w:r>
      <w:r>
        <w:rPr>
          <w:color w:val="2E614A"/>
          <w:spacing w:val="-6"/>
        </w:rPr>
        <w:t> </w:t>
      </w:r>
      <w:r>
        <w:rPr>
          <w:color w:val="2E614A"/>
          <w:spacing w:val="-8"/>
        </w:rPr>
        <w:t>distribution</w:t>
      </w:r>
      <w:r>
        <w:rPr>
          <w:color w:val="2E614A"/>
          <w:spacing w:val="-6"/>
        </w:rPr>
        <w:t> </w:t>
      </w:r>
      <w:r>
        <w:rPr>
          <w:color w:val="2E614A"/>
          <w:spacing w:val="-8"/>
        </w:rPr>
        <w:t>of</w:t>
      </w:r>
      <w:r>
        <w:rPr>
          <w:color w:val="2E614A"/>
          <w:spacing w:val="-6"/>
        </w:rPr>
        <w:t> </w:t>
      </w:r>
      <w:r>
        <w:rPr>
          <w:color w:val="2E614A"/>
          <w:spacing w:val="-8"/>
        </w:rPr>
        <w:t>engineering </w:t>
      </w:r>
      <w:r>
        <w:rPr>
          <w:color w:val="2E614A"/>
        </w:rPr>
        <w:t>institutions in 2006-07</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13"/>
        <w:rPr>
          <w:b/>
          <w:sz w:val="24"/>
        </w:rPr>
      </w:pPr>
    </w:p>
    <w:p>
      <w:pPr>
        <w:spacing w:before="0"/>
        <w:ind w:left="539" w:right="0" w:firstLine="0"/>
        <w:jc w:val="left"/>
        <w:rPr>
          <w:sz w:val="16"/>
        </w:rPr>
      </w:pPr>
      <w:r>
        <w:rPr>
          <w:i/>
          <w:w w:val="85"/>
          <w:sz w:val="16"/>
        </w:rPr>
        <w:t>Source:</w:t>
      </w:r>
      <w:r>
        <w:rPr>
          <w:i/>
          <w:spacing w:val="-5"/>
          <w:sz w:val="16"/>
        </w:rPr>
        <w:t> </w:t>
      </w:r>
      <w:r>
        <w:rPr>
          <w:spacing w:val="-2"/>
          <w:sz w:val="16"/>
        </w:rPr>
        <w:t>AICTE</w:t>
      </w:r>
    </w:p>
    <w:p>
      <w:pPr>
        <w:pStyle w:val="BodyText"/>
        <w:spacing w:line="266" w:lineRule="auto" w:before="77"/>
        <w:ind w:left="539" w:right="1077"/>
        <w:jc w:val="both"/>
      </w:pPr>
      <w:r>
        <w:rPr/>
        <w:br w:type="column"/>
      </w:r>
      <w:r>
        <w:rPr/>
        <w:t>class</w:t>
      </w:r>
      <w:r>
        <w:rPr>
          <w:spacing w:val="-13"/>
        </w:rPr>
        <w:t> </w:t>
      </w:r>
      <w:r>
        <w:rPr/>
        <w:t>infrastructure,</w:t>
      </w:r>
      <w:r>
        <w:rPr>
          <w:spacing w:val="-13"/>
        </w:rPr>
        <w:t> </w:t>
      </w:r>
      <w:r>
        <w:rPr/>
        <w:t>relevant</w:t>
      </w:r>
      <w:r>
        <w:rPr>
          <w:spacing w:val="-13"/>
        </w:rPr>
        <w:t> </w:t>
      </w:r>
      <w:r>
        <w:rPr/>
        <w:t>curriculum,</w:t>
      </w:r>
      <w:r>
        <w:rPr>
          <w:spacing w:val="-13"/>
        </w:rPr>
        <w:t> </w:t>
      </w:r>
      <w:r>
        <w:rPr/>
        <w:t>good</w:t>
      </w:r>
      <w:r>
        <w:rPr>
          <w:spacing w:val="-13"/>
        </w:rPr>
        <w:t> </w:t>
      </w:r>
      <w:r>
        <w:rPr/>
        <w:t>faculty and industry linkages are crucial inputs needed to enhance quality of engineering education in India. Current engineering graduates are often found to be ill-equipped</w:t>
      </w:r>
      <w:r>
        <w:rPr>
          <w:spacing w:val="-6"/>
        </w:rPr>
        <w:t> </w:t>
      </w:r>
      <w:r>
        <w:rPr/>
        <w:t>to</w:t>
      </w:r>
      <w:r>
        <w:rPr>
          <w:spacing w:val="-6"/>
        </w:rPr>
        <w:t> </w:t>
      </w:r>
      <w:r>
        <w:rPr/>
        <w:t>meet</w:t>
      </w:r>
      <w:r>
        <w:rPr>
          <w:spacing w:val="-6"/>
        </w:rPr>
        <w:t> </w:t>
      </w:r>
      <w:r>
        <w:rPr/>
        <w:t>the</w:t>
      </w:r>
      <w:r>
        <w:rPr>
          <w:spacing w:val="-6"/>
        </w:rPr>
        <w:t> </w:t>
      </w:r>
      <w:r>
        <w:rPr/>
        <w:t>skill</w:t>
      </w:r>
      <w:r>
        <w:rPr>
          <w:spacing w:val="-6"/>
        </w:rPr>
        <w:t> </w:t>
      </w:r>
      <w:r>
        <w:rPr/>
        <w:t>demands</w:t>
      </w:r>
      <w:r>
        <w:rPr>
          <w:spacing w:val="-6"/>
        </w:rPr>
        <w:t> </w:t>
      </w:r>
      <w:r>
        <w:rPr/>
        <w:t>of</w:t>
      </w:r>
      <w:r>
        <w:rPr>
          <w:spacing w:val="-6"/>
        </w:rPr>
        <w:t> </w:t>
      </w:r>
      <w:r>
        <w:rPr/>
        <w:t>the</w:t>
      </w:r>
      <w:r>
        <w:rPr>
          <w:spacing w:val="-6"/>
        </w:rPr>
        <w:t> </w:t>
      </w:r>
      <w:r>
        <w:rPr/>
        <w:t>industry – a survey by the McKinsey Global Institute showed that multinationals found only 25 per cent of Indian engineers employable.</w:t>
      </w:r>
    </w:p>
    <w:p>
      <w:pPr>
        <w:pStyle w:val="BodyText"/>
        <w:spacing w:before="21"/>
      </w:pPr>
    </w:p>
    <w:p>
      <w:pPr>
        <w:pStyle w:val="BodyText"/>
        <w:spacing w:line="266" w:lineRule="auto"/>
        <w:ind w:left="539" w:right="1077"/>
        <w:jc w:val="both"/>
      </w:pPr>
      <w:r>
        <w:rPr>
          <w:b/>
        </w:rPr>
        <w:t>Research: </w:t>
      </w:r>
      <w:r>
        <w:rPr/>
        <w:t>Postgraduate education in engineering</w:t>
      </w:r>
      <w:r>
        <w:rPr>
          <w:spacing w:val="40"/>
        </w:rPr>
        <w:t> </w:t>
      </w:r>
      <w:r>
        <w:rPr/>
        <w:t>and</w:t>
      </w:r>
      <w:r>
        <w:rPr>
          <w:spacing w:val="38"/>
        </w:rPr>
        <w:t> </w:t>
      </w:r>
      <w:r>
        <w:rPr/>
        <w:t>technology</w:t>
      </w:r>
      <w:r>
        <w:rPr>
          <w:spacing w:val="38"/>
        </w:rPr>
        <w:t> </w:t>
      </w:r>
      <w:r>
        <w:rPr/>
        <w:t>had</w:t>
      </w:r>
      <w:r>
        <w:rPr>
          <w:spacing w:val="38"/>
        </w:rPr>
        <w:t> </w:t>
      </w:r>
      <w:r>
        <w:rPr/>
        <w:t>a</w:t>
      </w:r>
      <w:r>
        <w:rPr>
          <w:spacing w:val="38"/>
        </w:rPr>
        <w:t> </w:t>
      </w:r>
      <w:r>
        <w:rPr/>
        <w:t>late</w:t>
      </w:r>
      <w:r>
        <w:rPr>
          <w:spacing w:val="38"/>
        </w:rPr>
        <w:t> </w:t>
      </w:r>
      <w:r>
        <w:rPr/>
        <w:t>start</w:t>
      </w:r>
      <w:r>
        <w:rPr>
          <w:spacing w:val="38"/>
        </w:rPr>
        <w:t> </w:t>
      </w:r>
      <w:r>
        <w:rPr/>
        <w:t>in</w:t>
      </w:r>
      <w:r>
        <w:rPr>
          <w:spacing w:val="38"/>
        </w:rPr>
        <w:t> </w:t>
      </w:r>
      <w:r>
        <w:rPr/>
        <w:t>our</w:t>
      </w:r>
      <w:r>
        <w:rPr>
          <w:spacing w:val="38"/>
        </w:rPr>
        <w:t> </w:t>
      </w:r>
      <w:r>
        <w:rPr/>
        <w:t>country.</w:t>
      </w:r>
      <w:r>
        <w:rPr>
          <w:spacing w:val="38"/>
        </w:rPr>
        <w:t> </w:t>
      </w:r>
      <w:r>
        <w:rPr/>
        <w:t>At the time of India’s independence only 6 institutions offered postgraduate programs in engineering and technology to just about 70 students. In 2003, 1552 </w:t>
      </w:r>
      <w:r>
        <w:rPr>
          <w:spacing w:val="-2"/>
        </w:rPr>
        <w:t>postgraduate</w:t>
      </w:r>
      <w:r>
        <w:rPr>
          <w:spacing w:val="-12"/>
        </w:rPr>
        <w:t> </w:t>
      </w:r>
      <w:r>
        <w:rPr>
          <w:spacing w:val="-2"/>
        </w:rPr>
        <w:t>engineering</w:t>
      </w:r>
      <w:r>
        <w:rPr>
          <w:spacing w:val="-12"/>
        </w:rPr>
        <w:t> </w:t>
      </w:r>
      <w:r>
        <w:rPr>
          <w:spacing w:val="-2"/>
        </w:rPr>
        <w:t>programs</w:t>
      </w:r>
      <w:r>
        <w:rPr>
          <w:spacing w:val="-12"/>
        </w:rPr>
        <w:t> </w:t>
      </w:r>
      <w:r>
        <w:rPr>
          <w:spacing w:val="-2"/>
        </w:rPr>
        <w:t>were</w:t>
      </w:r>
      <w:r>
        <w:rPr>
          <w:spacing w:val="-11"/>
        </w:rPr>
        <w:t> </w:t>
      </w:r>
      <w:r>
        <w:rPr>
          <w:spacing w:val="-2"/>
        </w:rPr>
        <w:t>recognised</w:t>
      </w:r>
      <w:r>
        <w:rPr>
          <w:spacing w:val="-12"/>
        </w:rPr>
        <w:t> </w:t>
      </w:r>
      <w:r>
        <w:rPr>
          <w:spacing w:val="-2"/>
        </w:rPr>
        <w:t>in </w:t>
      </w:r>
      <w:r>
        <w:rPr/>
        <w:t>engineering, offered by 321 institutions with a total sanctioned intake of over 26,000. In 2004-05, only 968 doctorate degrees were awarded in engineering, the majority of which came either from the Indian Institutes of Technology or the Indian Institute of Science, Bangalore.</w:t>
      </w:r>
    </w:p>
    <w:p>
      <w:pPr>
        <w:spacing w:after="0" w:line="266" w:lineRule="auto"/>
        <w:jc w:val="both"/>
        <w:sectPr>
          <w:pgSz w:w="11910" w:h="16840"/>
          <w:pgMar w:header="0" w:footer="675" w:top="940" w:bottom="860" w:left="0" w:right="0"/>
          <w:cols w:num="2" w:equalWidth="0">
            <w:col w:w="5385" w:space="208"/>
            <w:col w:w="631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p>
    <w:p>
      <w:pPr>
        <w:spacing w:after="0"/>
        <w:rPr>
          <w:sz w:val="20"/>
        </w:rPr>
        <w:sectPr>
          <w:pgSz w:w="11910" w:h="16840"/>
          <w:pgMar w:header="0" w:footer="675" w:top="0" w:bottom="860" w:left="0" w:right="0"/>
        </w:sectPr>
      </w:pPr>
    </w:p>
    <w:p>
      <w:pPr>
        <w:pStyle w:val="Heading6"/>
        <w:spacing w:before="79"/>
        <w:ind w:left="1080" w:firstLine="0"/>
      </w:pPr>
      <w:r>
        <w:rPr/>
        <mc:AlternateContent>
          <mc:Choice Requires="wps">
            <w:drawing>
              <wp:anchor distT="0" distB="0" distL="0" distR="0" allowOverlap="1" layoutInCell="1" locked="0" behindDoc="0" simplePos="0" relativeHeight="15860736">
                <wp:simplePos x="0" y="0"/>
                <wp:positionH relativeFrom="page">
                  <wp:posOffset>9144</wp:posOffset>
                </wp:positionH>
                <wp:positionV relativeFrom="paragraph">
                  <wp:posOffset>-2368185</wp:posOffset>
                </wp:positionV>
                <wp:extent cx="7551420" cy="1752600"/>
                <wp:effectExtent l="0" t="0" r="0" b="0"/>
                <wp:wrapNone/>
                <wp:docPr id="1896" name="Group 1896"/>
                <wp:cNvGraphicFramePr>
                  <a:graphicFrameLocks/>
                </wp:cNvGraphicFramePr>
                <a:graphic>
                  <a:graphicData uri="http://schemas.microsoft.com/office/word/2010/wordprocessingGroup">
                    <wpg:wgp>
                      <wpg:cNvPr id="1896" name="Group 1896"/>
                      <wpg:cNvGrpSpPr/>
                      <wpg:grpSpPr>
                        <a:xfrm>
                          <a:off x="0" y="0"/>
                          <a:ext cx="7551420" cy="1752600"/>
                          <a:chExt cx="7551420" cy="1752600"/>
                        </a:xfrm>
                      </wpg:grpSpPr>
                      <pic:pic>
                        <pic:nvPicPr>
                          <pic:cNvPr id="1897" name="Image 1897"/>
                          <pic:cNvPicPr/>
                        </pic:nvPicPr>
                        <pic:blipFill>
                          <a:blip r:embed="rId619" cstate="print"/>
                          <a:stretch>
                            <a:fillRect/>
                          </a:stretch>
                        </pic:blipFill>
                        <pic:spPr>
                          <a:xfrm>
                            <a:off x="0" y="0"/>
                            <a:ext cx="7550855" cy="1752562"/>
                          </a:xfrm>
                          <a:prstGeom prst="rect">
                            <a:avLst/>
                          </a:prstGeom>
                        </pic:spPr>
                      </pic:pic>
                      <wps:wsp>
                        <wps:cNvPr id="1898" name="Textbox 1898"/>
                        <wps:cNvSpPr txBox="1"/>
                        <wps:spPr>
                          <a:xfrm>
                            <a:off x="0" y="0"/>
                            <a:ext cx="7551420" cy="1752600"/>
                          </a:xfrm>
                          <a:prstGeom prst="rect">
                            <a:avLst/>
                          </a:prstGeom>
                        </wps:spPr>
                        <wps:txbx>
                          <w:txbxContent>
                            <w:p>
                              <w:pPr>
                                <w:spacing w:line="240" w:lineRule="auto" w:before="160"/>
                                <w:rPr>
                                  <w:sz w:val="68"/>
                                </w:rPr>
                              </w:pPr>
                            </w:p>
                            <w:p>
                              <w:pPr>
                                <w:spacing w:before="1"/>
                                <w:ind w:left="1377" w:right="0" w:firstLine="0"/>
                                <w:jc w:val="left"/>
                                <w:rPr>
                                  <w:rFonts w:ascii="Trebuchet MS"/>
                                  <w:b/>
                                  <w:sz w:val="68"/>
                                </w:rPr>
                              </w:pPr>
                              <w:r>
                                <w:rPr>
                                  <w:rFonts w:ascii="Trebuchet MS"/>
                                  <w:b/>
                                  <w:color w:val="FFFFFF"/>
                                  <w:sz w:val="68"/>
                                </w:rPr>
                                <w:t>Open</w:t>
                              </w:r>
                              <w:r>
                                <w:rPr>
                                  <w:rFonts w:ascii="Trebuchet MS"/>
                                  <w:b/>
                                  <w:color w:val="FFFFFF"/>
                                  <w:spacing w:val="-2"/>
                                  <w:sz w:val="68"/>
                                </w:rPr>
                                <w:t> </w:t>
                              </w:r>
                              <w:r>
                                <w:rPr>
                                  <w:rFonts w:ascii="Trebuchet MS"/>
                                  <w:b/>
                                  <w:color w:val="FFFFFF"/>
                                  <w:sz w:val="68"/>
                                </w:rPr>
                                <w:t>and</w:t>
                              </w:r>
                              <w:r>
                                <w:rPr>
                                  <w:rFonts w:ascii="Trebuchet MS"/>
                                  <w:b/>
                                  <w:color w:val="FFFFFF"/>
                                  <w:spacing w:val="-1"/>
                                  <w:sz w:val="68"/>
                                </w:rPr>
                                <w:t> </w:t>
                              </w:r>
                              <w:r>
                                <w:rPr>
                                  <w:rFonts w:ascii="Trebuchet MS"/>
                                  <w:b/>
                                  <w:color w:val="FFFFFF"/>
                                  <w:sz w:val="68"/>
                                </w:rPr>
                                <w:t>Distance</w:t>
                              </w:r>
                              <w:r>
                                <w:rPr>
                                  <w:rFonts w:ascii="Trebuchet MS"/>
                                  <w:b/>
                                  <w:color w:val="FFFFFF"/>
                                  <w:spacing w:val="-1"/>
                                  <w:sz w:val="68"/>
                                </w:rPr>
                                <w:t> </w:t>
                              </w:r>
                              <w:r>
                                <w:rPr>
                                  <w:rFonts w:ascii="Trebuchet MS"/>
                                  <w:b/>
                                  <w:color w:val="FFFFFF"/>
                                  <w:spacing w:val="-2"/>
                                  <w:sz w:val="68"/>
                                </w:rPr>
                                <w:t>Education</w:t>
                              </w:r>
                            </w:p>
                          </w:txbxContent>
                        </wps:txbx>
                        <wps:bodyPr wrap="square" lIns="0" tIns="0" rIns="0" bIns="0" rtlCol="0">
                          <a:noAutofit/>
                        </wps:bodyPr>
                      </wps:wsp>
                    </wpg:wgp>
                  </a:graphicData>
                </a:graphic>
              </wp:anchor>
            </w:drawing>
          </mc:Choice>
          <mc:Fallback>
            <w:pict>
              <v:group style="position:absolute;margin-left:.72pt;margin-top:-186.471329pt;width:594.6pt;height:138pt;mso-position-horizontal-relative:page;mso-position-vertical-relative:paragraph;z-index:15860736" id="docshapegroup1882" coordorigin="14,-3729" coordsize="11892,2760">
                <v:shape style="position:absolute;left:14;top:-3730;width:11892;height:2760" type="#_x0000_t75" id="docshape1883" stroked="false">
                  <v:imagedata r:id="rId619" o:title=""/>
                </v:shape>
                <v:shape style="position:absolute;left:14;top:-3730;width:11892;height:2760" type="#_x0000_t202" id="docshape1884" filled="false" stroked="false">
                  <v:textbox inset="0,0,0,0">
                    <w:txbxContent>
                      <w:p>
                        <w:pPr>
                          <w:spacing w:line="240" w:lineRule="auto" w:before="160"/>
                          <w:rPr>
                            <w:sz w:val="68"/>
                          </w:rPr>
                        </w:pPr>
                      </w:p>
                      <w:p>
                        <w:pPr>
                          <w:spacing w:before="1"/>
                          <w:ind w:left="1377" w:right="0" w:firstLine="0"/>
                          <w:jc w:val="left"/>
                          <w:rPr>
                            <w:rFonts w:ascii="Trebuchet MS"/>
                            <w:b/>
                            <w:sz w:val="68"/>
                          </w:rPr>
                        </w:pPr>
                        <w:r>
                          <w:rPr>
                            <w:rFonts w:ascii="Trebuchet MS"/>
                            <w:b/>
                            <w:color w:val="FFFFFF"/>
                            <w:sz w:val="68"/>
                          </w:rPr>
                          <w:t>Open</w:t>
                        </w:r>
                        <w:r>
                          <w:rPr>
                            <w:rFonts w:ascii="Trebuchet MS"/>
                            <w:b/>
                            <w:color w:val="FFFFFF"/>
                            <w:spacing w:val="-2"/>
                            <w:sz w:val="68"/>
                          </w:rPr>
                          <w:t> </w:t>
                        </w:r>
                        <w:r>
                          <w:rPr>
                            <w:rFonts w:ascii="Trebuchet MS"/>
                            <w:b/>
                            <w:color w:val="FFFFFF"/>
                            <w:sz w:val="68"/>
                          </w:rPr>
                          <w:t>and</w:t>
                        </w:r>
                        <w:r>
                          <w:rPr>
                            <w:rFonts w:ascii="Trebuchet MS"/>
                            <w:b/>
                            <w:color w:val="FFFFFF"/>
                            <w:spacing w:val="-1"/>
                            <w:sz w:val="68"/>
                          </w:rPr>
                          <w:t> </w:t>
                        </w:r>
                        <w:r>
                          <w:rPr>
                            <w:rFonts w:ascii="Trebuchet MS"/>
                            <w:b/>
                            <w:color w:val="FFFFFF"/>
                            <w:sz w:val="68"/>
                          </w:rPr>
                          <w:t>Distance</w:t>
                        </w:r>
                        <w:r>
                          <w:rPr>
                            <w:rFonts w:ascii="Trebuchet MS"/>
                            <w:b/>
                            <w:color w:val="FFFFFF"/>
                            <w:spacing w:val="-1"/>
                            <w:sz w:val="68"/>
                          </w:rPr>
                          <w:t> </w:t>
                        </w:r>
                        <w:r>
                          <w:rPr>
                            <w:rFonts w:ascii="Trebuchet MS"/>
                            <w:b/>
                            <w:color w:val="FFFFFF"/>
                            <w:spacing w:val="-2"/>
                            <w:sz w:val="68"/>
                          </w:rPr>
                          <w:t>Education</w:t>
                        </w:r>
                      </w:p>
                    </w:txbxContent>
                  </v:textbox>
                  <w10:wrap type="none"/>
                </v:shape>
                <w10:wrap type="none"/>
              </v:group>
            </w:pict>
          </mc:Fallback>
        </mc:AlternateContent>
      </w:r>
      <w:r>
        <w:rPr>
          <w:color w:val="2E614A"/>
          <w:spacing w:val="-2"/>
        </w:rPr>
        <w:t>Introduction</w:t>
      </w:r>
    </w:p>
    <w:p>
      <w:pPr>
        <w:pStyle w:val="BodyText"/>
        <w:spacing w:line="266" w:lineRule="auto" w:before="285"/>
        <w:ind w:left="1921"/>
        <w:jc w:val="both"/>
      </w:pPr>
      <w:r>
        <w:rPr/>
        <mc:AlternateContent>
          <mc:Choice Requires="wps">
            <w:drawing>
              <wp:anchor distT="0" distB="0" distL="0" distR="0" allowOverlap="1" layoutInCell="1" locked="0" behindDoc="1" simplePos="0" relativeHeight="479439872">
                <wp:simplePos x="0" y="0"/>
                <wp:positionH relativeFrom="page">
                  <wp:posOffset>685800</wp:posOffset>
                </wp:positionH>
                <wp:positionV relativeFrom="paragraph">
                  <wp:posOffset>91959</wp:posOffset>
                </wp:positionV>
                <wp:extent cx="527685" cy="757555"/>
                <wp:effectExtent l="0" t="0" r="0" b="0"/>
                <wp:wrapNone/>
                <wp:docPr id="1899" name="Textbox 1899"/>
                <wp:cNvGraphicFramePr>
                  <a:graphicFrameLocks/>
                </wp:cNvGraphicFramePr>
                <a:graphic>
                  <a:graphicData uri="http://schemas.microsoft.com/office/word/2010/wordprocessingShape">
                    <wps:wsp>
                      <wps:cNvPr id="1899" name="Textbox 1899"/>
                      <wps:cNvSpPr txBox="1"/>
                      <wps:spPr>
                        <a:xfrm>
                          <a:off x="0" y="0"/>
                          <a:ext cx="527685" cy="757555"/>
                        </a:xfrm>
                        <a:prstGeom prst="rect">
                          <a:avLst/>
                        </a:prstGeom>
                      </wps:spPr>
                      <wps:txbx>
                        <w:txbxContent>
                          <w:p>
                            <w:pPr>
                              <w:spacing w:line="1135" w:lineRule="exact" w:before="0"/>
                              <w:ind w:left="0" w:right="0" w:firstLine="0"/>
                              <w:jc w:val="left"/>
                              <w:rPr>
                                <w:sz w:val="106"/>
                              </w:rPr>
                            </w:pPr>
                            <w:r>
                              <w:rPr>
                                <w:color w:val="9CBF3B"/>
                                <w:spacing w:val="-10"/>
                                <w:sz w:val="106"/>
                              </w:rPr>
                              <w:t>D</w:t>
                            </w:r>
                          </w:p>
                        </w:txbxContent>
                      </wps:txbx>
                      <wps:bodyPr wrap="square" lIns="0" tIns="0" rIns="0" bIns="0" rtlCol="0">
                        <a:noAutofit/>
                      </wps:bodyPr>
                    </wps:wsp>
                  </a:graphicData>
                </a:graphic>
              </wp:anchor>
            </w:drawing>
          </mc:Choice>
          <mc:Fallback>
            <w:pict>
              <v:shape style="position:absolute;margin-left:54pt;margin-top:7.240909pt;width:41.55pt;height:59.65pt;mso-position-horizontal-relative:page;mso-position-vertical-relative:paragraph;z-index:-23876608" type="#_x0000_t202" id="docshape1885" filled="false" stroked="false">
                <v:textbox inset="0,0,0,0">
                  <w:txbxContent>
                    <w:p>
                      <w:pPr>
                        <w:spacing w:line="1135" w:lineRule="exact" w:before="0"/>
                        <w:ind w:left="0" w:right="0" w:firstLine="0"/>
                        <w:jc w:val="left"/>
                        <w:rPr>
                          <w:sz w:val="106"/>
                        </w:rPr>
                      </w:pPr>
                      <w:r>
                        <w:rPr>
                          <w:color w:val="9CBF3B"/>
                          <w:spacing w:val="-10"/>
                          <w:sz w:val="106"/>
                        </w:rPr>
                        <w:t>D</w:t>
                      </w:r>
                    </w:p>
                  </w:txbxContent>
                </v:textbox>
                <w10:wrap type="none"/>
              </v:shape>
            </w:pict>
          </mc:Fallback>
        </mc:AlternateContent>
      </w:r>
      <w:r>
        <w:rPr/>
        <w:t>istance education is provided by open universities</w:t>
      </w:r>
      <w:r>
        <w:rPr>
          <w:spacing w:val="-14"/>
        </w:rPr>
        <w:t> </w:t>
      </w:r>
      <w:r>
        <w:rPr/>
        <w:t>and</w:t>
      </w:r>
      <w:r>
        <w:rPr>
          <w:spacing w:val="-14"/>
        </w:rPr>
        <w:t> </w:t>
      </w:r>
      <w:r>
        <w:rPr/>
        <w:t>correspondence</w:t>
      </w:r>
      <w:r>
        <w:rPr>
          <w:spacing w:val="-14"/>
        </w:rPr>
        <w:t> </w:t>
      </w:r>
      <w:r>
        <w:rPr/>
        <w:t>courses </w:t>
      </w:r>
      <w:r>
        <w:rPr>
          <w:spacing w:val="6"/>
          <w:w w:val="90"/>
        </w:rPr>
        <w:t>offeredby</w:t>
      </w:r>
      <w:r>
        <w:rPr>
          <w:spacing w:val="-15"/>
          <w:w w:val="90"/>
        </w:rPr>
        <w:t> </w:t>
      </w:r>
      <w:r>
        <w:rPr>
          <w:spacing w:val="6"/>
          <w:w w:val="90"/>
        </w:rPr>
        <w:t>Distance</w:t>
      </w:r>
      <w:r>
        <w:rPr>
          <w:spacing w:val="-14"/>
          <w:w w:val="90"/>
        </w:rPr>
        <w:t> </w:t>
      </w:r>
      <w:r>
        <w:rPr>
          <w:spacing w:val="-2"/>
          <w:w w:val="90"/>
        </w:rPr>
        <w:t>EducationInstitutions</w:t>
      </w:r>
    </w:p>
    <w:p>
      <w:pPr>
        <w:pStyle w:val="BodyText"/>
        <w:spacing w:line="266" w:lineRule="auto"/>
        <w:ind w:left="1079"/>
        <w:jc w:val="both"/>
      </w:pPr>
      <w:r>
        <w:rPr/>
        <w:t>(DEIs) of conventional universities. Almost one- fifth</w:t>
      </w:r>
      <w:r>
        <w:rPr>
          <w:spacing w:val="-14"/>
        </w:rPr>
        <w:t> </w:t>
      </w:r>
      <w:r>
        <w:rPr/>
        <w:t>students</w:t>
      </w:r>
      <w:r>
        <w:rPr>
          <w:spacing w:val="-14"/>
        </w:rPr>
        <w:t> </w:t>
      </w:r>
      <w:r>
        <w:rPr/>
        <w:t>enrolled</w:t>
      </w:r>
      <w:r>
        <w:rPr>
          <w:spacing w:val="-14"/>
        </w:rPr>
        <w:t> </w:t>
      </w:r>
      <w:r>
        <w:rPr/>
        <w:t>in</w:t>
      </w:r>
      <w:r>
        <w:rPr>
          <w:spacing w:val="-13"/>
        </w:rPr>
        <w:t> </w:t>
      </w:r>
      <w:r>
        <w:rPr/>
        <w:t>higher</w:t>
      </w:r>
      <w:r>
        <w:rPr>
          <w:spacing w:val="-14"/>
        </w:rPr>
        <w:t> </w:t>
      </w:r>
      <w:r>
        <w:rPr/>
        <w:t>education</w:t>
      </w:r>
      <w:r>
        <w:rPr>
          <w:spacing w:val="-14"/>
        </w:rPr>
        <w:t> </w:t>
      </w:r>
      <w:r>
        <w:rPr/>
        <w:t>in</w:t>
      </w:r>
      <w:r>
        <w:rPr>
          <w:spacing w:val="-14"/>
        </w:rPr>
        <w:t> </w:t>
      </w:r>
      <w:r>
        <w:rPr/>
        <w:t>India </w:t>
      </w:r>
      <w:r>
        <w:rPr>
          <w:spacing w:val="-4"/>
        </w:rPr>
        <w:t>are</w:t>
      </w:r>
      <w:r>
        <w:rPr>
          <w:spacing w:val="-3"/>
        </w:rPr>
        <w:t> </w:t>
      </w:r>
      <w:r>
        <w:rPr>
          <w:spacing w:val="-4"/>
        </w:rPr>
        <w:t>receiving</w:t>
      </w:r>
      <w:r>
        <w:rPr/>
        <w:t> </w:t>
      </w:r>
      <w:r>
        <w:rPr>
          <w:spacing w:val="-4"/>
        </w:rPr>
        <w:t>education</w:t>
      </w:r>
      <w:r>
        <w:rPr>
          <w:spacing w:val="-1"/>
        </w:rPr>
        <w:t> </w:t>
      </w:r>
      <w:r>
        <w:rPr>
          <w:spacing w:val="-4"/>
        </w:rPr>
        <w:t>through</w:t>
      </w:r>
      <w:r>
        <w:rPr/>
        <w:t> </w:t>
      </w:r>
      <w:r>
        <w:rPr>
          <w:spacing w:val="-4"/>
        </w:rPr>
        <w:t>the</w:t>
      </w:r>
      <w:r>
        <w:rPr>
          <w:spacing w:val="-1"/>
        </w:rPr>
        <w:t> </w:t>
      </w:r>
      <w:r>
        <w:rPr>
          <w:spacing w:val="-4"/>
        </w:rPr>
        <w:t>distance</w:t>
      </w:r>
      <w:r>
        <w:rPr/>
        <w:t> </w:t>
      </w:r>
      <w:r>
        <w:rPr>
          <w:spacing w:val="-4"/>
        </w:rPr>
        <w:t>mode,</w:t>
      </w:r>
    </w:p>
    <w:p>
      <w:pPr>
        <w:pStyle w:val="BodyText"/>
        <w:spacing w:line="266" w:lineRule="auto"/>
        <w:ind w:left="1079"/>
        <w:jc w:val="both"/>
      </w:pPr>
      <w:r>
        <w:rPr/>
        <w:t>i.e. through the open universities or though the </w:t>
      </w:r>
      <w:r>
        <w:rPr>
          <w:spacing w:val="-2"/>
        </w:rPr>
        <w:t>correspondence</w:t>
      </w:r>
      <w:r>
        <w:rPr>
          <w:spacing w:val="-3"/>
        </w:rPr>
        <w:t> </w:t>
      </w:r>
      <w:r>
        <w:rPr>
          <w:spacing w:val="-2"/>
        </w:rPr>
        <w:t>courses</w:t>
      </w:r>
      <w:r>
        <w:rPr>
          <w:spacing w:val="-3"/>
        </w:rPr>
        <w:t> </w:t>
      </w:r>
      <w:r>
        <w:rPr>
          <w:spacing w:val="-2"/>
        </w:rPr>
        <w:t>of</w:t>
      </w:r>
      <w:r>
        <w:rPr>
          <w:spacing w:val="-3"/>
        </w:rPr>
        <w:t> </w:t>
      </w:r>
      <w:r>
        <w:rPr>
          <w:spacing w:val="-2"/>
        </w:rPr>
        <w:t>traditional</w:t>
      </w:r>
      <w:r>
        <w:rPr>
          <w:spacing w:val="-3"/>
        </w:rPr>
        <w:t> </w:t>
      </w:r>
      <w:r>
        <w:rPr>
          <w:spacing w:val="-2"/>
        </w:rPr>
        <w:t>universities. </w:t>
      </w:r>
      <w:r>
        <w:rPr/>
        <w:t>Given the rapid expansion required in higher education in India, open and distance education can play an extremely significant role in meeting the increased demand for higher education. Moreover, there is an unprecedented opportunity with regard to technology especially in the form of open courseware. However, problems relating to quality as well as brand equity of distance education persist.</w:t>
      </w:r>
    </w:p>
    <w:p>
      <w:pPr>
        <w:pStyle w:val="Heading6"/>
        <w:spacing w:before="173"/>
        <w:ind w:left="1080" w:firstLine="0"/>
      </w:pPr>
      <w:r>
        <w:rPr>
          <w:color w:val="2E614A"/>
          <w:w w:val="90"/>
        </w:rPr>
        <w:t>Current</w:t>
      </w:r>
      <w:r>
        <w:rPr>
          <w:color w:val="2E614A"/>
          <w:spacing w:val="-1"/>
          <w:w w:val="90"/>
        </w:rPr>
        <w:t> </w:t>
      </w:r>
      <w:r>
        <w:rPr>
          <w:color w:val="2E614A"/>
          <w:spacing w:val="-2"/>
        </w:rPr>
        <w:t>Scenario</w:t>
      </w:r>
    </w:p>
    <w:p>
      <w:pPr>
        <w:pStyle w:val="BodyText"/>
        <w:spacing w:line="266" w:lineRule="auto" w:before="285"/>
        <w:ind w:left="1080" w:right="1"/>
        <w:jc w:val="both"/>
      </w:pPr>
      <w:r>
        <w:rPr>
          <w:b/>
        </w:rPr>
        <w:t>Enrolment: </w:t>
      </w:r>
      <w:r>
        <w:rPr/>
        <w:t>In 2004-05, around eleven million people were enrolled in higher education in</w:t>
      </w:r>
      <w:r>
        <w:rPr>
          <w:spacing w:val="40"/>
        </w:rPr>
        <w:t> </w:t>
      </w:r>
      <w:r>
        <w:rPr/>
        <w:t>India, of which the open and distance education </w:t>
      </w:r>
      <w:r>
        <w:rPr>
          <w:spacing w:val="-2"/>
        </w:rPr>
        <w:t>system</w:t>
      </w:r>
      <w:r>
        <w:rPr>
          <w:spacing w:val="-3"/>
        </w:rPr>
        <w:t> </w:t>
      </w:r>
      <w:r>
        <w:rPr>
          <w:spacing w:val="-2"/>
        </w:rPr>
        <w:t>(including</w:t>
      </w:r>
      <w:r>
        <w:rPr>
          <w:spacing w:val="-3"/>
        </w:rPr>
        <w:t> </w:t>
      </w:r>
      <w:r>
        <w:rPr>
          <w:spacing w:val="-2"/>
        </w:rPr>
        <w:t>correspondence</w:t>
      </w:r>
      <w:r>
        <w:rPr>
          <w:spacing w:val="-3"/>
        </w:rPr>
        <w:t> </w:t>
      </w:r>
      <w:r>
        <w:rPr>
          <w:spacing w:val="-2"/>
        </w:rPr>
        <w:t>courses</w:t>
      </w:r>
      <w:r>
        <w:rPr>
          <w:spacing w:val="-3"/>
        </w:rPr>
        <w:t> </w:t>
      </w:r>
      <w:r>
        <w:rPr>
          <w:spacing w:val="-2"/>
        </w:rPr>
        <w:t>offered </w:t>
      </w:r>
      <w:r>
        <w:rPr/>
        <w:t>by distance educational institutions (DEIs) of </w:t>
      </w:r>
      <w:r>
        <w:rPr>
          <w:spacing w:val="-2"/>
        </w:rPr>
        <w:t>conventional</w:t>
      </w:r>
      <w:r>
        <w:rPr>
          <w:spacing w:val="-7"/>
        </w:rPr>
        <w:t> </w:t>
      </w:r>
      <w:r>
        <w:rPr>
          <w:spacing w:val="-2"/>
        </w:rPr>
        <w:t>colleges)</w:t>
      </w:r>
      <w:r>
        <w:rPr>
          <w:spacing w:val="-7"/>
        </w:rPr>
        <w:t> </w:t>
      </w:r>
      <w:r>
        <w:rPr>
          <w:spacing w:val="-2"/>
        </w:rPr>
        <w:t>served</w:t>
      </w:r>
      <w:r>
        <w:rPr>
          <w:spacing w:val="-7"/>
        </w:rPr>
        <w:t> </w:t>
      </w:r>
      <w:r>
        <w:rPr>
          <w:spacing w:val="-2"/>
        </w:rPr>
        <w:t>roughly</w:t>
      </w:r>
      <w:r>
        <w:rPr>
          <w:spacing w:val="-7"/>
        </w:rPr>
        <w:t> </w:t>
      </w:r>
      <w:r>
        <w:rPr>
          <w:spacing w:val="-2"/>
        </w:rPr>
        <w:t>20</w:t>
      </w:r>
      <w:r>
        <w:rPr>
          <w:spacing w:val="-7"/>
        </w:rPr>
        <w:t> </w:t>
      </w:r>
      <w:r>
        <w:rPr>
          <w:spacing w:val="-2"/>
        </w:rPr>
        <w:t>per</w:t>
      </w:r>
      <w:r>
        <w:rPr>
          <w:spacing w:val="-7"/>
        </w:rPr>
        <w:t> </w:t>
      </w:r>
      <w:r>
        <w:rPr>
          <w:spacing w:val="-2"/>
        </w:rPr>
        <w:t>cent. </w:t>
      </w:r>
      <w:r>
        <w:rPr/>
        <w:t>Within this, open universities served 10 per cent of the higher education need. The figure below illustrates the growth in enrolment in higher education</w:t>
      </w:r>
      <w:r>
        <w:rPr>
          <w:spacing w:val="40"/>
        </w:rPr>
        <w:t> </w:t>
      </w:r>
      <w:r>
        <w:rPr/>
        <w:t>and</w:t>
      </w:r>
      <w:r>
        <w:rPr>
          <w:spacing w:val="40"/>
        </w:rPr>
        <w:t> </w:t>
      </w:r>
      <w:r>
        <w:rPr/>
        <w:t>open</w:t>
      </w:r>
      <w:r>
        <w:rPr>
          <w:spacing w:val="40"/>
        </w:rPr>
        <w:t> </w:t>
      </w:r>
      <w:r>
        <w:rPr/>
        <w:t>and</w:t>
      </w:r>
      <w:r>
        <w:rPr>
          <w:spacing w:val="40"/>
        </w:rPr>
        <w:t> </w:t>
      </w:r>
      <w:r>
        <w:rPr/>
        <w:t>distance</w:t>
      </w:r>
      <w:r>
        <w:rPr>
          <w:spacing w:val="40"/>
        </w:rPr>
        <w:t> </w:t>
      </w:r>
      <w:r>
        <w:rPr/>
        <w:t>education from</w:t>
      </w:r>
      <w:r>
        <w:rPr>
          <w:spacing w:val="40"/>
        </w:rPr>
        <w:t> </w:t>
      </w:r>
      <w:r>
        <w:rPr/>
        <w:t>1996</w:t>
      </w:r>
      <w:r>
        <w:rPr>
          <w:spacing w:val="40"/>
        </w:rPr>
        <w:t> </w:t>
      </w:r>
      <w:r>
        <w:rPr/>
        <w:t>to</w:t>
      </w:r>
      <w:r>
        <w:rPr>
          <w:spacing w:val="40"/>
        </w:rPr>
        <w:t> </w:t>
      </w:r>
      <w:r>
        <w:rPr/>
        <w:t>2004.</w:t>
      </w:r>
      <w:r>
        <w:rPr>
          <w:spacing w:val="40"/>
        </w:rPr>
        <w:t> </w:t>
      </w:r>
      <w:r>
        <w:rPr/>
        <w:t>In</w:t>
      </w:r>
      <w:r>
        <w:rPr>
          <w:spacing w:val="40"/>
        </w:rPr>
        <w:t> </w:t>
      </w:r>
      <w:r>
        <w:rPr/>
        <w:t>2000-01,</w:t>
      </w:r>
      <w:r>
        <w:rPr>
          <w:spacing w:val="40"/>
        </w:rPr>
        <w:t> </w:t>
      </w:r>
      <w:r>
        <w:rPr/>
        <w:t>only</w:t>
      </w:r>
      <w:r>
        <w:rPr>
          <w:spacing w:val="40"/>
        </w:rPr>
        <w:t> </w:t>
      </w:r>
      <w:r>
        <w:rPr/>
        <w:t>4</w:t>
      </w:r>
      <w:r>
        <w:rPr>
          <w:spacing w:val="40"/>
        </w:rPr>
        <w:t> </w:t>
      </w:r>
      <w:r>
        <w:rPr/>
        <w:t>per cent of the higher education need was served by open universities, but in 2003-04 the figure was around 10 per cent, while the overall distance education contribution is around nineteen per </w:t>
      </w:r>
      <w:r>
        <w:rPr>
          <w:spacing w:val="-2"/>
        </w:rPr>
        <w:t>cent.</w:t>
      </w:r>
      <w:r>
        <w:rPr>
          <w:spacing w:val="-12"/>
        </w:rPr>
        <w:t> </w:t>
      </w:r>
      <w:r>
        <w:rPr>
          <w:spacing w:val="-2"/>
        </w:rPr>
        <w:t>The</w:t>
      </w:r>
      <w:r>
        <w:rPr>
          <w:spacing w:val="-12"/>
        </w:rPr>
        <w:t> </w:t>
      </w:r>
      <w:r>
        <w:rPr>
          <w:spacing w:val="-2"/>
        </w:rPr>
        <w:t>figure</w:t>
      </w:r>
      <w:r>
        <w:rPr>
          <w:spacing w:val="-8"/>
        </w:rPr>
        <w:t> </w:t>
      </w:r>
      <w:r>
        <w:rPr>
          <w:spacing w:val="-2"/>
        </w:rPr>
        <w:t>below</w:t>
      </w:r>
      <w:r>
        <w:rPr>
          <w:spacing w:val="-8"/>
        </w:rPr>
        <w:t> </w:t>
      </w:r>
      <w:r>
        <w:rPr>
          <w:spacing w:val="-2"/>
        </w:rPr>
        <w:t>also</w:t>
      </w:r>
      <w:r>
        <w:rPr>
          <w:spacing w:val="-8"/>
        </w:rPr>
        <w:t> </w:t>
      </w:r>
      <w:r>
        <w:rPr>
          <w:spacing w:val="-2"/>
        </w:rPr>
        <w:t>shows</w:t>
      </w:r>
      <w:r>
        <w:rPr>
          <w:spacing w:val="-8"/>
        </w:rPr>
        <w:t> </w:t>
      </w:r>
      <w:r>
        <w:rPr>
          <w:spacing w:val="-2"/>
        </w:rPr>
        <w:t>the</w:t>
      </w:r>
      <w:r>
        <w:rPr>
          <w:spacing w:val="-8"/>
        </w:rPr>
        <w:t> </w:t>
      </w:r>
      <w:r>
        <w:rPr>
          <w:spacing w:val="-2"/>
        </w:rPr>
        <w:t>contribution </w:t>
      </w:r>
      <w:r>
        <w:rPr/>
        <w:t>to distance education by open universities and</w:t>
      </w:r>
      <w:r>
        <w:rPr>
          <w:spacing w:val="80"/>
        </w:rPr>
        <w:t> </w:t>
      </w:r>
      <w:r>
        <w:rPr/>
        <w:t>by correspondence courses of conventional </w:t>
      </w:r>
      <w:r>
        <w:rPr>
          <w:spacing w:val="-2"/>
        </w:rPr>
        <w:t>universities.</w:t>
      </w:r>
    </w:p>
    <w:p>
      <w:pPr>
        <w:pStyle w:val="Heading8"/>
        <w:spacing w:line="242" w:lineRule="auto" w:before="95"/>
        <w:ind w:left="1471" w:right="1525" w:hanging="1029"/>
      </w:pPr>
      <w:r>
        <w:rPr>
          <w:b w:val="0"/>
        </w:rPr>
        <w:br w:type="column"/>
      </w:r>
      <w:r>
        <w:rPr>
          <w:spacing w:val="-6"/>
        </w:rPr>
        <w:t>Figure</w:t>
      </w:r>
      <w:r>
        <w:rPr>
          <w:spacing w:val="-11"/>
        </w:rPr>
        <w:t> </w:t>
      </w:r>
      <w:r>
        <w:rPr>
          <w:spacing w:val="-6"/>
        </w:rPr>
        <w:t>44:</w:t>
      </w:r>
      <w:r>
        <w:rPr>
          <w:spacing w:val="-9"/>
        </w:rPr>
        <w:t> </w:t>
      </w:r>
      <w:r>
        <w:rPr>
          <w:color w:val="2E614A"/>
          <w:spacing w:val="-6"/>
        </w:rPr>
        <w:t>Contribution</w:t>
      </w:r>
      <w:r>
        <w:rPr>
          <w:color w:val="2E614A"/>
          <w:spacing w:val="-9"/>
        </w:rPr>
        <w:t> </w:t>
      </w:r>
      <w:r>
        <w:rPr>
          <w:color w:val="2E614A"/>
          <w:spacing w:val="-6"/>
        </w:rPr>
        <w:t>of</w:t>
      </w:r>
      <w:r>
        <w:rPr>
          <w:color w:val="2E614A"/>
          <w:spacing w:val="-9"/>
        </w:rPr>
        <w:t> </w:t>
      </w:r>
      <w:r>
        <w:rPr>
          <w:color w:val="2E614A"/>
          <w:spacing w:val="-6"/>
        </w:rPr>
        <w:t>Open</w:t>
      </w:r>
      <w:r>
        <w:rPr>
          <w:color w:val="2E614A"/>
          <w:spacing w:val="-9"/>
        </w:rPr>
        <w:t> </w:t>
      </w:r>
      <w:r>
        <w:rPr>
          <w:color w:val="2E614A"/>
          <w:spacing w:val="-6"/>
        </w:rPr>
        <w:t>and</w:t>
      </w:r>
      <w:r>
        <w:rPr>
          <w:color w:val="2E614A"/>
          <w:spacing w:val="-9"/>
        </w:rPr>
        <w:t> </w:t>
      </w:r>
      <w:r>
        <w:rPr>
          <w:color w:val="2E614A"/>
          <w:spacing w:val="-6"/>
        </w:rPr>
        <w:t>Distance </w:t>
      </w:r>
      <w:r>
        <w:rPr>
          <w:color w:val="2E614A"/>
        </w:rPr>
        <w:t>Education (ODE)</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74"/>
        <w:rPr>
          <w:b/>
          <w:sz w:val="24"/>
        </w:rPr>
      </w:pPr>
    </w:p>
    <w:p>
      <w:pPr>
        <w:spacing w:before="0"/>
        <w:ind w:left="462" w:right="0" w:firstLine="0"/>
        <w:jc w:val="left"/>
        <w:rPr>
          <w:sz w:val="16"/>
        </w:rPr>
      </w:pPr>
      <w:r>
        <w:rPr/>
        <mc:AlternateContent>
          <mc:Choice Requires="wps">
            <w:drawing>
              <wp:anchor distT="0" distB="0" distL="0" distR="0" allowOverlap="1" layoutInCell="1" locked="0" behindDoc="0" simplePos="0" relativeHeight="15861760">
                <wp:simplePos x="0" y="0"/>
                <wp:positionH relativeFrom="page">
                  <wp:posOffset>3756349</wp:posOffset>
                </wp:positionH>
                <wp:positionV relativeFrom="paragraph">
                  <wp:posOffset>-2729108</wp:posOffset>
                </wp:positionV>
                <wp:extent cx="3346450" cy="2684780"/>
                <wp:effectExtent l="0" t="0" r="0" b="0"/>
                <wp:wrapNone/>
                <wp:docPr id="1900" name="Group 1900"/>
                <wp:cNvGraphicFramePr>
                  <a:graphicFrameLocks/>
                </wp:cNvGraphicFramePr>
                <a:graphic>
                  <a:graphicData uri="http://schemas.microsoft.com/office/word/2010/wordprocessingGroup">
                    <wpg:wgp>
                      <wpg:cNvPr id="1900" name="Group 1900"/>
                      <wpg:cNvGrpSpPr/>
                      <wpg:grpSpPr>
                        <a:xfrm>
                          <a:off x="0" y="0"/>
                          <a:ext cx="3346450" cy="2684780"/>
                          <a:chExt cx="3346450" cy="2684780"/>
                        </a:xfrm>
                      </wpg:grpSpPr>
                      <wps:wsp>
                        <wps:cNvPr id="1901" name="Graphic 1901"/>
                        <wps:cNvSpPr/>
                        <wps:spPr>
                          <a:xfrm>
                            <a:off x="-7" y="0"/>
                            <a:ext cx="3346450" cy="2684780"/>
                          </a:xfrm>
                          <a:custGeom>
                            <a:avLst/>
                            <a:gdLst/>
                            <a:ahLst/>
                            <a:cxnLst/>
                            <a:rect l="l" t="t" r="r" b="b"/>
                            <a:pathLst>
                              <a:path w="3346450" h="2684780">
                                <a:moveTo>
                                  <a:pt x="3346450" y="0"/>
                                </a:moveTo>
                                <a:lnTo>
                                  <a:pt x="3340100" y="0"/>
                                </a:lnTo>
                                <a:lnTo>
                                  <a:pt x="3340100" y="6578"/>
                                </a:lnTo>
                                <a:lnTo>
                                  <a:pt x="3340100" y="2678430"/>
                                </a:lnTo>
                                <a:lnTo>
                                  <a:pt x="3340100" y="2678747"/>
                                </a:lnTo>
                                <a:lnTo>
                                  <a:pt x="3340100" y="2681922"/>
                                </a:lnTo>
                                <a:lnTo>
                                  <a:pt x="3340100" y="2682240"/>
                                </a:lnTo>
                                <a:lnTo>
                                  <a:pt x="3175" y="2682240"/>
                                </a:lnTo>
                                <a:lnTo>
                                  <a:pt x="3175" y="2681922"/>
                                </a:lnTo>
                                <a:lnTo>
                                  <a:pt x="6350" y="2681922"/>
                                </a:lnTo>
                                <a:lnTo>
                                  <a:pt x="3340100" y="2681922"/>
                                </a:lnTo>
                                <a:lnTo>
                                  <a:pt x="3340100" y="2678747"/>
                                </a:lnTo>
                                <a:lnTo>
                                  <a:pt x="6350" y="2678747"/>
                                </a:lnTo>
                                <a:lnTo>
                                  <a:pt x="3175" y="2678747"/>
                                </a:lnTo>
                                <a:lnTo>
                                  <a:pt x="3175" y="2678430"/>
                                </a:lnTo>
                                <a:lnTo>
                                  <a:pt x="6350" y="2678430"/>
                                </a:lnTo>
                                <a:lnTo>
                                  <a:pt x="6350" y="6578"/>
                                </a:lnTo>
                                <a:lnTo>
                                  <a:pt x="3340100" y="6578"/>
                                </a:lnTo>
                                <a:lnTo>
                                  <a:pt x="3340100" y="0"/>
                                </a:lnTo>
                                <a:lnTo>
                                  <a:pt x="0" y="0"/>
                                </a:lnTo>
                                <a:lnTo>
                                  <a:pt x="0" y="3810"/>
                                </a:lnTo>
                                <a:lnTo>
                                  <a:pt x="0" y="6350"/>
                                </a:lnTo>
                                <a:lnTo>
                                  <a:pt x="0" y="2678430"/>
                                </a:lnTo>
                                <a:lnTo>
                                  <a:pt x="0" y="2682240"/>
                                </a:lnTo>
                                <a:lnTo>
                                  <a:pt x="0" y="2684780"/>
                                </a:lnTo>
                                <a:lnTo>
                                  <a:pt x="3346450" y="2684780"/>
                                </a:lnTo>
                                <a:lnTo>
                                  <a:pt x="3346450" y="2682240"/>
                                </a:lnTo>
                                <a:lnTo>
                                  <a:pt x="3343275" y="2682240"/>
                                </a:lnTo>
                                <a:lnTo>
                                  <a:pt x="3343275" y="2681922"/>
                                </a:lnTo>
                                <a:lnTo>
                                  <a:pt x="3346450" y="2681922"/>
                                </a:lnTo>
                                <a:lnTo>
                                  <a:pt x="3346450" y="2678747"/>
                                </a:lnTo>
                                <a:lnTo>
                                  <a:pt x="3343275" y="2678747"/>
                                </a:lnTo>
                                <a:lnTo>
                                  <a:pt x="3343275" y="2678430"/>
                                </a:lnTo>
                                <a:lnTo>
                                  <a:pt x="3346450" y="2678430"/>
                                </a:lnTo>
                                <a:lnTo>
                                  <a:pt x="3346450" y="6578"/>
                                </a:lnTo>
                                <a:lnTo>
                                  <a:pt x="3346450" y="6350"/>
                                </a:lnTo>
                                <a:lnTo>
                                  <a:pt x="3346450" y="3810"/>
                                </a:lnTo>
                                <a:lnTo>
                                  <a:pt x="3346450" y="3403"/>
                                </a:lnTo>
                                <a:lnTo>
                                  <a:pt x="3346450" y="0"/>
                                </a:lnTo>
                                <a:close/>
                              </a:path>
                            </a:pathLst>
                          </a:custGeom>
                          <a:solidFill>
                            <a:srgbClr val="000000"/>
                          </a:solidFill>
                        </wps:spPr>
                        <wps:bodyPr wrap="square" lIns="0" tIns="0" rIns="0" bIns="0" rtlCol="0">
                          <a:prstTxWarp prst="textNoShape">
                            <a:avLst/>
                          </a:prstTxWarp>
                          <a:noAutofit/>
                        </wps:bodyPr>
                      </wps:wsp>
                      <wps:wsp>
                        <wps:cNvPr id="1902" name="Graphic 1902"/>
                        <wps:cNvSpPr/>
                        <wps:spPr>
                          <a:xfrm>
                            <a:off x="749700" y="1406011"/>
                            <a:ext cx="85725" cy="1038225"/>
                          </a:xfrm>
                          <a:custGeom>
                            <a:avLst/>
                            <a:gdLst/>
                            <a:ahLst/>
                            <a:cxnLst/>
                            <a:rect l="l" t="t" r="r" b="b"/>
                            <a:pathLst>
                              <a:path w="85725" h="1038225">
                                <a:moveTo>
                                  <a:pt x="85725" y="0"/>
                                </a:moveTo>
                                <a:lnTo>
                                  <a:pt x="0" y="0"/>
                                </a:lnTo>
                                <a:lnTo>
                                  <a:pt x="0" y="1038225"/>
                                </a:lnTo>
                                <a:lnTo>
                                  <a:pt x="85725" y="1038225"/>
                                </a:lnTo>
                                <a:lnTo>
                                  <a:pt x="85725" y="0"/>
                                </a:lnTo>
                                <a:close/>
                              </a:path>
                            </a:pathLst>
                          </a:custGeom>
                          <a:solidFill>
                            <a:srgbClr val="2E614A"/>
                          </a:solidFill>
                        </wps:spPr>
                        <wps:bodyPr wrap="square" lIns="0" tIns="0" rIns="0" bIns="0" rtlCol="0">
                          <a:prstTxWarp prst="textNoShape">
                            <a:avLst/>
                          </a:prstTxWarp>
                          <a:noAutofit/>
                        </wps:bodyPr>
                      </wps:wsp>
                      <wps:wsp>
                        <wps:cNvPr id="1903" name="Graphic 1903"/>
                        <wps:cNvSpPr/>
                        <wps:spPr>
                          <a:xfrm>
                            <a:off x="835425" y="2279136"/>
                            <a:ext cx="85725" cy="165100"/>
                          </a:xfrm>
                          <a:custGeom>
                            <a:avLst/>
                            <a:gdLst/>
                            <a:ahLst/>
                            <a:cxnLst/>
                            <a:rect l="l" t="t" r="r" b="b"/>
                            <a:pathLst>
                              <a:path w="85725" h="165100">
                                <a:moveTo>
                                  <a:pt x="85725" y="0"/>
                                </a:moveTo>
                                <a:lnTo>
                                  <a:pt x="0" y="0"/>
                                </a:lnTo>
                                <a:lnTo>
                                  <a:pt x="0" y="165100"/>
                                </a:lnTo>
                                <a:lnTo>
                                  <a:pt x="85725" y="165100"/>
                                </a:lnTo>
                                <a:lnTo>
                                  <a:pt x="85725" y="0"/>
                                </a:lnTo>
                                <a:close/>
                              </a:path>
                            </a:pathLst>
                          </a:custGeom>
                          <a:solidFill>
                            <a:srgbClr val="9CBF3B"/>
                          </a:solidFill>
                        </wps:spPr>
                        <wps:bodyPr wrap="square" lIns="0" tIns="0" rIns="0" bIns="0" rtlCol="0">
                          <a:prstTxWarp prst="textNoShape">
                            <a:avLst/>
                          </a:prstTxWarp>
                          <a:noAutofit/>
                        </wps:bodyPr>
                      </wps:wsp>
                      <wps:wsp>
                        <wps:cNvPr id="1904" name="Graphic 1904"/>
                        <wps:cNvSpPr/>
                        <wps:spPr>
                          <a:xfrm>
                            <a:off x="1045407" y="1317636"/>
                            <a:ext cx="85725" cy="1127125"/>
                          </a:xfrm>
                          <a:custGeom>
                            <a:avLst/>
                            <a:gdLst/>
                            <a:ahLst/>
                            <a:cxnLst/>
                            <a:rect l="l" t="t" r="r" b="b"/>
                            <a:pathLst>
                              <a:path w="85725" h="1127125">
                                <a:moveTo>
                                  <a:pt x="85725" y="0"/>
                                </a:moveTo>
                                <a:lnTo>
                                  <a:pt x="0" y="0"/>
                                </a:lnTo>
                                <a:lnTo>
                                  <a:pt x="0" y="1126600"/>
                                </a:lnTo>
                                <a:lnTo>
                                  <a:pt x="85725" y="1126600"/>
                                </a:lnTo>
                                <a:lnTo>
                                  <a:pt x="85725" y="0"/>
                                </a:lnTo>
                                <a:close/>
                              </a:path>
                            </a:pathLst>
                          </a:custGeom>
                          <a:solidFill>
                            <a:srgbClr val="2E614A"/>
                          </a:solidFill>
                        </wps:spPr>
                        <wps:bodyPr wrap="square" lIns="0" tIns="0" rIns="0" bIns="0" rtlCol="0">
                          <a:prstTxWarp prst="textNoShape">
                            <a:avLst/>
                          </a:prstTxWarp>
                          <a:noAutofit/>
                        </wps:bodyPr>
                      </wps:wsp>
                      <wps:wsp>
                        <wps:cNvPr id="1905" name="Graphic 1905"/>
                        <wps:cNvSpPr/>
                        <wps:spPr>
                          <a:xfrm>
                            <a:off x="1131132" y="2241561"/>
                            <a:ext cx="85725" cy="203200"/>
                          </a:xfrm>
                          <a:custGeom>
                            <a:avLst/>
                            <a:gdLst/>
                            <a:ahLst/>
                            <a:cxnLst/>
                            <a:rect l="l" t="t" r="r" b="b"/>
                            <a:pathLst>
                              <a:path w="85725" h="203200">
                                <a:moveTo>
                                  <a:pt x="85725" y="0"/>
                                </a:moveTo>
                                <a:lnTo>
                                  <a:pt x="0" y="0"/>
                                </a:lnTo>
                                <a:lnTo>
                                  <a:pt x="0" y="202675"/>
                                </a:lnTo>
                                <a:lnTo>
                                  <a:pt x="85725" y="202675"/>
                                </a:lnTo>
                                <a:lnTo>
                                  <a:pt x="85725" y="0"/>
                                </a:lnTo>
                                <a:close/>
                              </a:path>
                            </a:pathLst>
                          </a:custGeom>
                          <a:solidFill>
                            <a:srgbClr val="9CBF3B"/>
                          </a:solidFill>
                        </wps:spPr>
                        <wps:bodyPr wrap="square" lIns="0" tIns="0" rIns="0" bIns="0" rtlCol="0">
                          <a:prstTxWarp prst="textNoShape">
                            <a:avLst/>
                          </a:prstTxWarp>
                          <a:noAutofit/>
                        </wps:bodyPr>
                      </wps:wsp>
                      <wps:wsp>
                        <wps:cNvPr id="1906" name="Graphic 1906"/>
                        <wps:cNvSpPr/>
                        <wps:spPr>
                          <a:xfrm>
                            <a:off x="1341114" y="1247786"/>
                            <a:ext cx="85725" cy="1196975"/>
                          </a:xfrm>
                          <a:custGeom>
                            <a:avLst/>
                            <a:gdLst/>
                            <a:ahLst/>
                            <a:cxnLst/>
                            <a:rect l="l" t="t" r="r" b="b"/>
                            <a:pathLst>
                              <a:path w="85725" h="1196975">
                                <a:moveTo>
                                  <a:pt x="85725" y="0"/>
                                </a:moveTo>
                                <a:lnTo>
                                  <a:pt x="0" y="0"/>
                                </a:lnTo>
                                <a:lnTo>
                                  <a:pt x="0" y="1196450"/>
                                </a:lnTo>
                                <a:lnTo>
                                  <a:pt x="85725" y="1196450"/>
                                </a:lnTo>
                                <a:lnTo>
                                  <a:pt x="85725" y="0"/>
                                </a:lnTo>
                                <a:close/>
                              </a:path>
                            </a:pathLst>
                          </a:custGeom>
                          <a:solidFill>
                            <a:srgbClr val="2E614A"/>
                          </a:solidFill>
                        </wps:spPr>
                        <wps:bodyPr wrap="square" lIns="0" tIns="0" rIns="0" bIns="0" rtlCol="0">
                          <a:prstTxWarp prst="textNoShape">
                            <a:avLst/>
                          </a:prstTxWarp>
                          <a:noAutofit/>
                        </wps:bodyPr>
                      </wps:wsp>
                      <wps:wsp>
                        <wps:cNvPr id="1907" name="Graphic 1907"/>
                        <wps:cNvSpPr/>
                        <wps:spPr>
                          <a:xfrm>
                            <a:off x="1426839" y="2270136"/>
                            <a:ext cx="85725" cy="174625"/>
                          </a:xfrm>
                          <a:custGeom>
                            <a:avLst/>
                            <a:gdLst/>
                            <a:ahLst/>
                            <a:cxnLst/>
                            <a:rect l="l" t="t" r="r" b="b"/>
                            <a:pathLst>
                              <a:path w="85725" h="174625">
                                <a:moveTo>
                                  <a:pt x="85725" y="0"/>
                                </a:moveTo>
                                <a:lnTo>
                                  <a:pt x="0" y="0"/>
                                </a:lnTo>
                                <a:lnTo>
                                  <a:pt x="0" y="174100"/>
                                </a:lnTo>
                                <a:lnTo>
                                  <a:pt x="85725" y="174100"/>
                                </a:lnTo>
                                <a:lnTo>
                                  <a:pt x="85725" y="0"/>
                                </a:lnTo>
                                <a:close/>
                              </a:path>
                            </a:pathLst>
                          </a:custGeom>
                          <a:solidFill>
                            <a:srgbClr val="9CBF3B"/>
                          </a:solidFill>
                        </wps:spPr>
                        <wps:bodyPr wrap="square" lIns="0" tIns="0" rIns="0" bIns="0" rtlCol="0">
                          <a:prstTxWarp prst="textNoShape">
                            <a:avLst/>
                          </a:prstTxWarp>
                          <a:noAutofit/>
                        </wps:bodyPr>
                      </wps:wsp>
                      <wps:wsp>
                        <wps:cNvPr id="1908" name="Graphic 1908"/>
                        <wps:cNvSpPr/>
                        <wps:spPr>
                          <a:xfrm>
                            <a:off x="1636821" y="1190636"/>
                            <a:ext cx="85725" cy="1254125"/>
                          </a:xfrm>
                          <a:custGeom>
                            <a:avLst/>
                            <a:gdLst/>
                            <a:ahLst/>
                            <a:cxnLst/>
                            <a:rect l="l" t="t" r="r" b="b"/>
                            <a:pathLst>
                              <a:path w="85725" h="1254125">
                                <a:moveTo>
                                  <a:pt x="85725" y="0"/>
                                </a:moveTo>
                                <a:lnTo>
                                  <a:pt x="0" y="0"/>
                                </a:lnTo>
                                <a:lnTo>
                                  <a:pt x="0" y="1253600"/>
                                </a:lnTo>
                                <a:lnTo>
                                  <a:pt x="85725" y="1253600"/>
                                </a:lnTo>
                                <a:lnTo>
                                  <a:pt x="85725" y="0"/>
                                </a:lnTo>
                                <a:close/>
                              </a:path>
                            </a:pathLst>
                          </a:custGeom>
                          <a:solidFill>
                            <a:srgbClr val="2E614A"/>
                          </a:solidFill>
                        </wps:spPr>
                        <wps:bodyPr wrap="square" lIns="0" tIns="0" rIns="0" bIns="0" rtlCol="0">
                          <a:prstTxWarp prst="textNoShape">
                            <a:avLst/>
                          </a:prstTxWarp>
                          <a:noAutofit/>
                        </wps:bodyPr>
                      </wps:wsp>
                      <wps:wsp>
                        <wps:cNvPr id="1909" name="Graphic 1909"/>
                        <wps:cNvSpPr/>
                        <wps:spPr>
                          <a:xfrm>
                            <a:off x="1722546" y="2228861"/>
                            <a:ext cx="85725" cy="215900"/>
                          </a:xfrm>
                          <a:custGeom>
                            <a:avLst/>
                            <a:gdLst/>
                            <a:ahLst/>
                            <a:cxnLst/>
                            <a:rect l="l" t="t" r="r" b="b"/>
                            <a:pathLst>
                              <a:path w="85725" h="215900">
                                <a:moveTo>
                                  <a:pt x="85725" y="0"/>
                                </a:moveTo>
                                <a:lnTo>
                                  <a:pt x="0" y="0"/>
                                </a:lnTo>
                                <a:lnTo>
                                  <a:pt x="0" y="215375"/>
                                </a:lnTo>
                                <a:lnTo>
                                  <a:pt x="85725" y="215375"/>
                                </a:lnTo>
                                <a:lnTo>
                                  <a:pt x="85725" y="0"/>
                                </a:lnTo>
                                <a:close/>
                              </a:path>
                            </a:pathLst>
                          </a:custGeom>
                          <a:solidFill>
                            <a:srgbClr val="9CBF3B"/>
                          </a:solidFill>
                        </wps:spPr>
                        <wps:bodyPr wrap="square" lIns="0" tIns="0" rIns="0" bIns="0" rtlCol="0">
                          <a:prstTxWarp prst="textNoShape">
                            <a:avLst/>
                          </a:prstTxWarp>
                          <a:noAutofit/>
                        </wps:bodyPr>
                      </wps:wsp>
                      <wps:wsp>
                        <wps:cNvPr id="1910" name="Graphic 1910"/>
                        <wps:cNvSpPr/>
                        <wps:spPr>
                          <a:xfrm>
                            <a:off x="1932528" y="1149361"/>
                            <a:ext cx="85725" cy="1295400"/>
                          </a:xfrm>
                          <a:custGeom>
                            <a:avLst/>
                            <a:gdLst/>
                            <a:ahLst/>
                            <a:cxnLst/>
                            <a:rect l="l" t="t" r="r" b="b"/>
                            <a:pathLst>
                              <a:path w="85725" h="1295400">
                                <a:moveTo>
                                  <a:pt x="85725" y="0"/>
                                </a:moveTo>
                                <a:lnTo>
                                  <a:pt x="0" y="0"/>
                                </a:lnTo>
                                <a:lnTo>
                                  <a:pt x="0" y="1294875"/>
                                </a:lnTo>
                                <a:lnTo>
                                  <a:pt x="85725" y="1294875"/>
                                </a:lnTo>
                                <a:lnTo>
                                  <a:pt x="85725" y="0"/>
                                </a:lnTo>
                                <a:close/>
                              </a:path>
                            </a:pathLst>
                          </a:custGeom>
                          <a:solidFill>
                            <a:srgbClr val="2E614A"/>
                          </a:solidFill>
                        </wps:spPr>
                        <wps:bodyPr wrap="square" lIns="0" tIns="0" rIns="0" bIns="0" rtlCol="0">
                          <a:prstTxWarp prst="textNoShape">
                            <a:avLst/>
                          </a:prstTxWarp>
                          <a:noAutofit/>
                        </wps:bodyPr>
                      </wps:wsp>
                      <wps:wsp>
                        <wps:cNvPr id="1911" name="Graphic 1911"/>
                        <wps:cNvSpPr/>
                        <wps:spPr>
                          <a:xfrm>
                            <a:off x="2018253" y="2212986"/>
                            <a:ext cx="85725" cy="231775"/>
                          </a:xfrm>
                          <a:custGeom>
                            <a:avLst/>
                            <a:gdLst/>
                            <a:ahLst/>
                            <a:cxnLst/>
                            <a:rect l="l" t="t" r="r" b="b"/>
                            <a:pathLst>
                              <a:path w="85725" h="231775">
                                <a:moveTo>
                                  <a:pt x="85725" y="0"/>
                                </a:moveTo>
                                <a:lnTo>
                                  <a:pt x="0" y="0"/>
                                </a:lnTo>
                                <a:lnTo>
                                  <a:pt x="0" y="231250"/>
                                </a:lnTo>
                                <a:lnTo>
                                  <a:pt x="85725" y="231250"/>
                                </a:lnTo>
                                <a:lnTo>
                                  <a:pt x="85725" y="0"/>
                                </a:lnTo>
                                <a:close/>
                              </a:path>
                            </a:pathLst>
                          </a:custGeom>
                          <a:solidFill>
                            <a:srgbClr val="9CBF3B"/>
                          </a:solidFill>
                        </wps:spPr>
                        <wps:bodyPr wrap="square" lIns="0" tIns="0" rIns="0" bIns="0" rtlCol="0">
                          <a:prstTxWarp prst="textNoShape">
                            <a:avLst/>
                          </a:prstTxWarp>
                          <a:noAutofit/>
                        </wps:bodyPr>
                      </wps:wsp>
                      <wps:wsp>
                        <wps:cNvPr id="1912" name="Graphic 1912"/>
                        <wps:cNvSpPr/>
                        <wps:spPr>
                          <a:xfrm>
                            <a:off x="2228236" y="1076336"/>
                            <a:ext cx="85725" cy="1368425"/>
                          </a:xfrm>
                          <a:custGeom>
                            <a:avLst/>
                            <a:gdLst/>
                            <a:ahLst/>
                            <a:cxnLst/>
                            <a:rect l="l" t="t" r="r" b="b"/>
                            <a:pathLst>
                              <a:path w="85725" h="1368425">
                                <a:moveTo>
                                  <a:pt x="85725" y="0"/>
                                </a:moveTo>
                                <a:lnTo>
                                  <a:pt x="0" y="0"/>
                                </a:lnTo>
                                <a:lnTo>
                                  <a:pt x="0" y="1367900"/>
                                </a:lnTo>
                                <a:lnTo>
                                  <a:pt x="85725" y="1367900"/>
                                </a:lnTo>
                                <a:lnTo>
                                  <a:pt x="85725" y="0"/>
                                </a:lnTo>
                                <a:close/>
                              </a:path>
                            </a:pathLst>
                          </a:custGeom>
                          <a:solidFill>
                            <a:srgbClr val="2E614A"/>
                          </a:solidFill>
                        </wps:spPr>
                        <wps:bodyPr wrap="square" lIns="0" tIns="0" rIns="0" bIns="0" rtlCol="0">
                          <a:prstTxWarp prst="textNoShape">
                            <a:avLst/>
                          </a:prstTxWarp>
                          <a:noAutofit/>
                        </wps:bodyPr>
                      </wps:wsp>
                      <wps:wsp>
                        <wps:cNvPr id="1913" name="Graphic 1913"/>
                        <wps:cNvSpPr/>
                        <wps:spPr>
                          <a:xfrm>
                            <a:off x="2313961" y="2171711"/>
                            <a:ext cx="85725" cy="273050"/>
                          </a:xfrm>
                          <a:custGeom>
                            <a:avLst/>
                            <a:gdLst/>
                            <a:ahLst/>
                            <a:cxnLst/>
                            <a:rect l="l" t="t" r="r" b="b"/>
                            <a:pathLst>
                              <a:path w="85725" h="273050">
                                <a:moveTo>
                                  <a:pt x="85725" y="0"/>
                                </a:moveTo>
                                <a:lnTo>
                                  <a:pt x="0" y="0"/>
                                </a:lnTo>
                                <a:lnTo>
                                  <a:pt x="0" y="272525"/>
                                </a:lnTo>
                                <a:lnTo>
                                  <a:pt x="85725" y="272525"/>
                                </a:lnTo>
                                <a:lnTo>
                                  <a:pt x="85725" y="0"/>
                                </a:lnTo>
                                <a:close/>
                              </a:path>
                            </a:pathLst>
                          </a:custGeom>
                          <a:solidFill>
                            <a:srgbClr val="9CBF3B"/>
                          </a:solidFill>
                        </wps:spPr>
                        <wps:bodyPr wrap="square" lIns="0" tIns="0" rIns="0" bIns="0" rtlCol="0">
                          <a:prstTxWarp prst="textNoShape">
                            <a:avLst/>
                          </a:prstTxWarp>
                          <a:noAutofit/>
                        </wps:bodyPr>
                      </wps:wsp>
                      <wps:wsp>
                        <wps:cNvPr id="1914" name="Graphic 1914"/>
                        <wps:cNvSpPr/>
                        <wps:spPr>
                          <a:xfrm>
                            <a:off x="2523942" y="977911"/>
                            <a:ext cx="85725" cy="1466850"/>
                          </a:xfrm>
                          <a:custGeom>
                            <a:avLst/>
                            <a:gdLst/>
                            <a:ahLst/>
                            <a:cxnLst/>
                            <a:rect l="l" t="t" r="r" b="b"/>
                            <a:pathLst>
                              <a:path w="85725" h="1466850">
                                <a:moveTo>
                                  <a:pt x="85725" y="0"/>
                                </a:moveTo>
                                <a:lnTo>
                                  <a:pt x="0" y="0"/>
                                </a:lnTo>
                                <a:lnTo>
                                  <a:pt x="0" y="1466325"/>
                                </a:lnTo>
                                <a:lnTo>
                                  <a:pt x="85725" y="1466325"/>
                                </a:lnTo>
                                <a:lnTo>
                                  <a:pt x="85725" y="0"/>
                                </a:lnTo>
                                <a:close/>
                              </a:path>
                            </a:pathLst>
                          </a:custGeom>
                          <a:solidFill>
                            <a:srgbClr val="2E614A"/>
                          </a:solidFill>
                        </wps:spPr>
                        <wps:bodyPr wrap="square" lIns="0" tIns="0" rIns="0" bIns="0" rtlCol="0">
                          <a:prstTxWarp prst="textNoShape">
                            <a:avLst/>
                          </a:prstTxWarp>
                          <a:noAutofit/>
                        </wps:bodyPr>
                      </wps:wsp>
                      <wps:wsp>
                        <wps:cNvPr id="1915" name="Graphic 1915"/>
                        <wps:cNvSpPr/>
                        <wps:spPr>
                          <a:xfrm>
                            <a:off x="2609667" y="2155836"/>
                            <a:ext cx="85725" cy="288925"/>
                          </a:xfrm>
                          <a:custGeom>
                            <a:avLst/>
                            <a:gdLst/>
                            <a:ahLst/>
                            <a:cxnLst/>
                            <a:rect l="l" t="t" r="r" b="b"/>
                            <a:pathLst>
                              <a:path w="85725" h="288925">
                                <a:moveTo>
                                  <a:pt x="85725" y="0"/>
                                </a:moveTo>
                                <a:lnTo>
                                  <a:pt x="0" y="0"/>
                                </a:lnTo>
                                <a:lnTo>
                                  <a:pt x="0" y="288400"/>
                                </a:lnTo>
                                <a:lnTo>
                                  <a:pt x="85725" y="288400"/>
                                </a:lnTo>
                                <a:lnTo>
                                  <a:pt x="85725" y="0"/>
                                </a:lnTo>
                                <a:close/>
                              </a:path>
                            </a:pathLst>
                          </a:custGeom>
                          <a:solidFill>
                            <a:srgbClr val="9CBF3B"/>
                          </a:solidFill>
                        </wps:spPr>
                        <wps:bodyPr wrap="square" lIns="0" tIns="0" rIns="0" bIns="0" rtlCol="0">
                          <a:prstTxWarp prst="textNoShape">
                            <a:avLst/>
                          </a:prstTxWarp>
                          <a:noAutofit/>
                        </wps:bodyPr>
                      </wps:wsp>
                      <wps:wsp>
                        <wps:cNvPr id="1916" name="Graphic 1916"/>
                        <wps:cNvSpPr/>
                        <wps:spPr>
                          <a:xfrm>
                            <a:off x="2819650" y="889011"/>
                            <a:ext cx="85725" cy="1555750"/>
                          </a:xfrm>
                          <a:custGeom>
                            <a:avLst/>
                            <a:gdLst/>
                            <a:ahLst/>
                            <a:cxnLst/>
                            <a:rect l="l" t="t" r="r" b="b"/>
                            <a:pathLst>
                              <a:path w="85725" h="1555750">
                                <a:moveTo>
                                  <a:pt x="85725" y="0"/>
                                </a:moveTo>
                                <a:lnTo>
                                  <a:pt x="0" y="0"/>
                                </a:lnTo>
                                <a:lnTo>
                                  <a:pt x="0" y="1555225"/>
                                </a:lnTo>
                                <a:lnTo>
                                  <a:pt x="85725" y="1555225"/>
                                </a:lnTo>
                                <a:lnTo>
                                  <a:pt x="85725" y="0"/>
                                </a:lnTo>
                                <a:close/>
                              </a:path>
                            </a:pathLst>
                          </a:custGeom>
                          <a:solidFill>
                            <a:srgbClr val="2E614A"/>
                          </a:solidFill>
                        </wps:spPr>
                        <wps:bodyPr wrap="square" lIns="0" tIns="0" rIns="0" bIns="0" rtlCol="0">
                          <a:prstTxWarp prst="textNoShape">
                            <a:avLst/>
                          </a:prstTxWarp>
                          <a:noAutofit/>
                        </wps:bodyPr>
                      </wps:wsp>
                      <wps:wsp>
                        <wps:cNvPr id="1917" name="Graphic 1917"/>
                        <wps:cNvSpPr/>
                        <wps:spPr>
                          <a:xfrm>
                            <a:off x="2905375" y="2130436"/>
                            <a:ext cx="85725" cy="314325"/>
                          </a:xfrm>
                          <a:custGeom>
                            <a:avLst/>
                            <a:gdLst/>
                            <a:ahLst/>
                            <a:cxnLst/>
                            <a:rect l="l" t="t" r="r" b="b"/>
                            <a:pathLst>
                              <a:path w="85725" h="314325">
                                <a:moveTo>
                                  <a:pt x="85725" y="0"/>
                                </a:moveTo>
                                <a:lnTo>
                                  <a:pt x="0" y="0"/>
                                </a:lnTo>
                                <a:lnTo>
                                  <a:pt x="0" y="313800"/>
                                </a:lnTo>
                                <a:lnTo>
                                  <a:pt x="85725" y="313800"/>
                                </a:lnTo>
                                <a:lnTo>
                                  <a:pt x="85725" y="0"/>
                                </a:lnTo>
                                <a:close/>
                              </a:path>
                            </a:pathLst>
                          </a:custGeom>
                          <a:solidFill>
                            <a:srgbClr val="9CBF3B"/>
                          </a:solidFill>
                        </wps:spPr>
                        <wps:bodyPr wrap="square" lIns="0" tIns="0" rIns="0" bIns="0" rtlCol="0">
                          <a:prstTxWarp prst="textNoShape">
                            <a:avLst/>
                          </a:prstTxWarp>
                          <a:noAutofit/>
                        </wps:bodyPr>
                      </wps:wsp>
                      <wps:wsp>
                        <wps:cNvPr id="1918" name="Graphic 1918"/>
                        <wps:cNvSpPr/>
                        <wps:spPr>
                          <a:xfrm>
                            <a:off x="640365" y="593737"/>
                            <a:ext cx="2470785" cy="1889125"/>
                          </a:xfrm>
                          <a:custGeom>
                            <a:avLst/>
                            <a:gdLst/>
                            <a:ahLst/>
                            <a:cxnLst/>
                            <a:rect l="l" t="t" r="r" b="b"/>
                            <a:pathLst>
                              <a:path w="2470785" h="1889125">
                                <a:moveTo>
                                  <a:pt x="2463800" y="1851025"/>
                                </a:moveTo>
                                <a:lnTo>
                                  <a:pt x="53975" y="1851025"/>
                                </a:lnTo>
                                <a:lnTo>
                                  <a:pt x="53975" y="3175"/>
                                </a:lnTo>
                                <a:lnTo>
                                  <a:pt x="47625" y="3175"/>
                                </a:lnTo>
                                <a:lnTo>
                                  <a:pt x="47625" y="0"/>
                                </a:lnTo>
                                <a:lnTo>
                                  <a:pt x="0" y="0"/>
                                </a:lnTo>
                                <a:lnTo>
                                  <a:pt x="0" y="6350"/>
                                </a:lnTo>
                                <a:lnTo>
                                  <a:pt x="47625" y="6350"/>
                                </a:lnTo>
                                <a:lnTo>
                                  <a:pt x="47625" y="295275"/>
                                </a:lnTo>
                                <a:lnTo>
                                  <a:pt x="0" y="295275"/>
                                </a:lnTo>
                                <a:lnTo>
                                  <a:pt x="0" y="301625"/>
                                </a:lnTo>
                                <a:lnTo>
                                  <a:pt x="47625" y="301625"/>
                                </a:lnTo>
                                <a:lnTo>
                                  <a:pt x="47625" y="612775"/>
                                </a:lnTo>
                                <a:lnTo>
                                  <a:pt x="0" y="612775"/>
                                </a:lnTo>
                                <a:lnTo>
                                  <a:pt x="0" y="619125"/>
                                </a:lnTo>
                                <a:lnTo>
                                  <a:pt x="47625" y="619125"/>
                                </a:lnTo>
                                <a:lnTo>
                                  <a:pt x="47625" y="923925"/>
                                </a:lnTo>
                                <a:lnTo>
                                  <a:pt x="0" y="923925"/>
                                </a:lnTo>
                                <a:lnTo>
                                  <a:pt x="0" y="930275"/>
                                </a:lnTo>
                                <a:lnTo>
                                  <a:pt x="47625" y="930275"/>
                                </a:lnTo>
                                <a:lnTo>
                                  <a:pt x="47625" y="1225550"/>
                                </a:lnTo>
                                <a:lnTo>
                                  <a:pt x="0" y="1225550"/>
                                </a:lnTo>
                                <a:lnTo>
                                  <a:pt x="0" y="1231900"/>
                                </a:lnTo>
                                <a:lnTo>
                                  <a:pt x="47625" y="1231900"/>
                                </a:lnTo>
                                <a:lnTo>
                                  <a:pt x="47625" y="1533525"/>
                                </a:lnTo>
                                <a:lnTo>
                                  <a:pt x="0" y="1533525"/>
                                </a:lnTo>
                                <a:lnTo>
                                  <a:pt x="0" y="1539875"/>
                                </a:lnTo>
                                <a:lnTo>
                                  <a:pt x="47625" y="1539875"/>
                                </a:lnTo>
                                <a:lnTo>
                                  <a:pt x="47625" y="1851025"/>
                                </a:lnTo>
                                <a:lnTo>
                                  <a:pt x="0" y="1851025"/>
                                </a:lnTo>
                                <a:lnTo>
                                  <a:pt x="0" y="1857375"/>
                                </a:lnTo>
                                <a:lnTo>
                                  <a:pt x="47625" y="1857375"/>
                                </a:lnTo>
                                <a:lnTo>
                                  <a:pt x="47625" y="1889125"/>
                                </a:lnTo>
                                <a:lnTo>
                                  <a:pt x="53975" y="1889125"/>
                                </a:lnTo>
                                <a:lnTo>
                                  <a:pt x="53975" y="1857375"/>
                                </a:lnTo>
                                <a:lnTo>
                                  <a:pt x="2463800" y="1857375"/>
                                </a:lnTo>
                                <a:lnTo>
                                  <a:pt x="2463800" y="1851025"/>
                                </a:lnTo>
                                <a:close/>
                              </a:path>
                              <a:path w="2470785" h="1889125">
                                <a:moveTo>
                                  <a:pt x="2470404" y="1482725"/>
                                </a:moveTo>
                                <a:lnTo>
                                  <a:pt x="2410739" y="1482725"/>
                                </a:lnTo>
                                <a:lnTo>
                                  <a:pt x="2410739" y="1489075"/>
                                </a:lnTo>
                                <a:lnTo>
                                  <a:pt x="2470404" y="1489075"/>
                                </a:lnTo>
                                <a:lnTo>
                                  <a:pt x="2470404" y="1482725"/>
                                </a:lnTo>
                                <a:close/>
                              </a:path>
                              <a:path w="2470785" h="1889125">
                                <a:moveTo>
                                  <a:pt x="2470404" y="1106716"/>
                                </a:moveTo>
                                <a:lnTo>
                                  <a:pt x="2410739" y="1106716"/>
                                </a:lnTo>
                                <a:lnTo>
                                  <a:pt x="2410739" y="1113066"/>
                                </a:lnTo>
                                <a:lnTo>
                                  <a:pt x="2470404" y="1113066"/>
                                </a:lnTo>
                                <a:lnTo>
                                  <a:pt x="2470404" y="1106716"/>
                                </a:lnTo>
                                <a:close/>
                              </a:path>
                              <a:path w="2470785" h="1889125">
                                <a:moveTo>
                                  <a:pt x="2470404" y="741146"/>
                                </a:moveTo>
                                <a:lnTo>
                                  <a:pt x="2410739" y="741146"/>
                                </a:lnTo>
                                <a:lnTo>
                                  <a:pt x="2410739" y="747496"/>
                                </a:lnTo>
                                <a:lnTo>
                                  <a:pt x="2470404" y="747496"/>
                                </a:lnTo>
                                <a:lnTo>
                                  <a:pt x="2470404" y="741146"/>
                                </a:lnTo>
                                <a:close/>
                              </a:path>
                              <a:path w="2470785" h="1889125">
                                <a:moveTo>
                                  <a:pt x="2470404" y="370573"/>
                                </a:moveTo>
                                <a:lnTo>
                                  <a:pt x="2410739" y="370573"/>
                                </a:lnTo>
                                <a:lnTo>
                                  <a:pt x="2410739" y="376923"/>
                                </a:lnTo>
                                <a:lnTo>
                                  <a:pt x="2470404" y="376923"/>
                                </a:lnTo>
                                <a:lnTo>
                                  <a:pt x="2470404" y="370573"/>
                                </a:lnTo>
                                <a:close/>
                              </a:path>
                              <a:path w="2470785" h="1889125">
                                <a:moveTo>
                                  <a:pt x="2470404" y="0"/>
                                </a:moveTo>
                                <a:lnTo>
                                  <a:pt x="2410739" y="0"/>
                                </a:lnTo>
                                <a:lnTo>
                                  <a:pt x="2410739" y="6350"/>
                                </a:lnTo>
                                <a:lnTo>
                                  <a:pt x="2470404" y="6350"/>
                                </a:lnTo>
                                <a:lnTo>
                                  <a:pt x="2470404" y="0"/>
                                </a:lnTo>
                                <a:close/>
                              </a:path>
                            </a:pathLst>
                          </a:custGeom>
                          <a:solidFill>
                            <a:srgbClr val="000000"/>
                          </a:solidFill>
                        </wps:spPr>
                        <wps:bodyPr wrap="square" lIns="0" tIns="0" rIns="0" bIns="0" rtlCol="0">
                          <a:prstTxWarp prst="textNoShape">
                            <a:avLst/>
                          </a:prstTxWarp>
                          <a:noAutofit/>
                        </wps:bodyPr>
                      </wps:wsp>
                      <wps:wsp>
                        <wps:cNvPr id="1919" name="Graphic 1919"/>
                        <wps:cNvSpPr/>
                        <wps:spPr>
                          <a:xfrm>
                            <a:off x="844898" y="943787"/>
                            <a:ext cx="2142490" cy="445770"/>
                          </a:xfrm>
                          <a:custGeom>
                            <a:avLst/>
                            <a:gdLst/>
                            <a:ahLst/>
                            <a:cxnLst/>
                            <a:rect l="l" t="t" r="r" b="b"/>
                            <a:pathLst>
                              <a:path w="2142490" h="445770">
                                <a:moveTo>
                                  <a:pt x="2142172" y="15405"/>
                                </a:moveTo>
                                <a:lnTo>
                                  <a:pt x="2058098" y="10375"/>
                                </a:lnTo>
                                <a:lnTo>
                                  <a:pt x="2047735" y="0"/>
                                </a:lnTo>
                                <a:lnTo>
                                  <a:pt x="2033193" y="14541"/>
                                </a:lnTo>
                                <a:lnTo>
                                  <a:pt x="1797697" y="108737"/>
                                </a:lnTo>
                                <a:lnTo>
                                  <a:pt x="1791360" y="102387"/>
                                </a:lnTo>
                                <a:lnTo>
                                  <a:pt x="1783257" y="110490"/>
                                </a:lnTo>
                                <a:lnTo>
                                  <a:pt x="1503781" y="27774"/>
                                </a:lnTo>
                                <a:lnTo>
                                  <a:pt x="1491703" y="24206"/>
                                </a:lnTo>
                                <a:lnTo>
                                  <a:pt x="1481797" y="14287"/>
                                </a:lnTo>
                                <a:lnTo>
                                  <a:pt x="1464729" y="31356"/>
                                </a:lnTo>
                                <a:lnTo>
                                  <a:pt x="1465427" y="32067"/>
                                </a:lnTo>
                                <a:lnTo>
                                  <a:pt x="1201572" y="235724"/>
                                </a:lnTo>
                                <a:lnTo>
                                  <a:pt x="1195247" y="229387"/>
                                </a:lnTo>
                                <a:lnTo>
                                  <a:pt x="1180960" y="243674"/>
                                </a:lnTo>
                                <a:lnTo>
                                  <a:pt x="908799" y="243674"/>
                                </a:lnTo>
                                <a:lnTo>
                                  <a:pt x="900772" y="235635"/>
                                </a:lnTo>
                                <a:lnTo>
                                  <a:pt x="883983" y="252425"/>
                                </a:lnTo>
                                <a:lnTo>
                                  <a:pt x="606869" y="418109"/>
                                </a:lnTo>
                                <a:lnTo>
                                  <a:pt x="599935" y="411162"/>
                                </a:lnTo>
                                <a:lnTo>
                                  <a:pt x="593344" y="417753"/>
                                </a:lnTo>
                                <a:lnTo>
                                  <a:pt x="330009" y="202057"/>
                                </a:lnTo>
                                <a:lnTo>
                                  <a:pt x="331254" y="200812"/>
                                </a:lnTo>
                                <a:lnTo>
                                  <a:pt x="314185" y="183756"/>
                                </a:lnTo>
                                <a:lnTo>
                                  <a:pt x="301066" y="196862"/>
                                </a:lnTo>
                                <a:lnTo>
                                  <a:pt x="0" y="288404"/>
                                </a:lnTo>
                                <a:lnTo>
                                  <a:pt x="3695" y="300558"/>
                                </a:lnTo>
                                <a:lnTo>
                                  <a:pt x="305193" y="208902"/>
                                </a:lnTo>
                                <a:lnTo>
                                  <a:pt x="314185" y="217881"/>
                                </a:lnTo>
                                <a:lnTo>
                                  <a:pt x="320979" y="211086"/>
                                </a:lnTo>
                                <a:lnTo>
                                  <a:pt x="584314" y="426783"/>
                                </a:lnTo>
                                <a:lnTo>
                                  <a:pt x="582866" y="428231"/>
                                </a:lnTo>
                                <a:lnTo>
                                  <a:pt x="599935" y="445287"/>
                                </a:lnTo>
                                <a:lnTo>
                                  <a:pt x="617004" y="428231"/>
                                </a:lnTo>
                                <a:lnTo>
                                  <a:pt x="616127" y="427367"/>
                                </a:lnTo>
                                <a:lnTo>
                                  <a:pt x="892886" y="261899"/>
                                </a:lnTo>
                                <a:lnTo>
                                  <a:pt x="900772" y="269773"/>
                                </a:lnTo>
                                <a:lnTo>
                                  <a:pt x="914158" y="256374"/>
                                </a:lnTo>
                                <a:lnTo>
                                  <a:pt x="1188097" y="256374"/>
                                </a:lnTo>
                                <a:lnTo>
                                  <a:pt x="1195247" y="263525"/>
                                </a:lnTo>
                                <a:lnTo>
                                  <a:pt x="1212316" y="246456"/>
                                </a:lnTo>
                                <a:lnTo>
                                  <a:pt x="1210627" y="244779"/>
                                </a:lnTo>
                                <a:lnTo>
                                  <a:pt x="1212049" y="243674"/>
                                </a:lnTo>
                                <a:lnTo>
                                  <a:pt x="1474495" y="41122"/>
                                </a:lnTo>
                                <a:lnTo>
                                  <a:pt x="1481797" y="48412"/>
                                </a:lnTo>
                                <a:lnTo>
                                  <a:pt x="1492516" y="37693"/>
                                </a:lnTo>
                                <a:lnTo>
                                  <a:pt x="1776564" y="121742"/>
                                </a:lnTo>
                                <a:lnTo>
                                  <a:pt x="1791360" y="136525"/>
                                </a:lnTo>
                                <a:lnTo>
                                  <a:pt x="1808416" y="119456"/>
                                </a:lnTo>
                                <a:lnTo>
                                  <a:pt x="1807451" y="118503"/>
                                </a:lnTo>
                                <a:lnTo>
                                  <a:pt x="2039340" y="25755"/>
                                </a:lnTo>
                                <a:lnTo>
                                  <a:pt x="2047735" y="34124"/>
                                </a:lnTo>
                                <a:lnTo>
                                  <a:pt x="2058733" y="23126"/>
                                </a:lnTo>
                                <a:lnTo>
                                  <a:pt x="2141410" y="28092"/>
                                </a:lnTo>
                                <a:lnTo>
                                  <a:pt x="2142134" y="16027"/>
                                </a:lnTo>
                                <a:lnTo>
                                  <a:pt x="2142172" y="15405"/>
                                </a:lnTo>
                                <a:close/>
                              </a:path>
                            </a:pathLst>
                          </a:custGeom>
                          <a:solidFill>
                            <a:srgbClr val="E3C626"/>
                          </a:solidFill>
                        </wps:spPr>
                        <wps:bodyPr wrap="square" lIns="0" tIns="0" rIns="0" bIns="0" rtlCol="0">
                          <a:prstTxWarp prst="textNoShape">
                            <a:avLst/>
                          </a:prstTxWarp>
                          <a:noAutofit/>
                        </wps:bodyPr>
                      </wps:wsp>
                      <wps:wsp>
                        <wps:cNvPr id="1920" name="Graphic 1920"/>
                        <wps:cNvSpPr/>
                        <wps:spPr>
                          <a:xfrm>
                            <a:off x="976470" y="596912"/>
                            <a:ext cx="2075180" cy="1885950"/>
                          </a:xfrm>
                          <a:custGeom>
                            <a:avLst/>
                            <a:gdLst/>
                            <a:ahLst/>
                            <a:cxnLst/>
                            <a:rect l="l" t="t" r="r" b="b"/>
                            <a:pathLst>
                              <a:path w="2075180" h="1885950">
                                <a:moveTo>
                                  <a:pt x="6350" y="1853298"/>
                                </a:moveTo>
                                <a:lnTo>
                                  <a:pt x="0" y="1853298"/>
                                </a:lnTo>
                                <a:lnTo>
                                  <a:pt x="0" y="1885950"/>
                                </a:lnTo>
                                <a:lnTo>
                                  <a:pt x="6350" y="1885950"/>
                                </a:lnTo>
                                <a:lnTo>
                                  <a:pt x="6350" y="1853298"/>
                                </a:lnTo>
                                <a:close/>
                              </a:path>
                              <a:path w="2075180" h="1885950">
                                <a:moveTo>
                                  <a:pt x="301866" y="1853298"/>
                                </a:moveTo>
                                <a:lnTo>
                                  <a:pt x="295516" y="1853298"/>
                                </a:lnTo>
                                <a:lnTo>
                                  <a:pt x="295516" y="1885950"/>
                                </a:lnTo>
                                <a:lnTo>
                                  <a:pt x="301866" y="1885950"/>
                                </a:lnTo>
                                <a:lnTo>
                                  <a:pt x="301866" y="1853298"/>
                                </a:lnTo>
                                <a:close/>
                              </a:path>
                              <a:path w="2075180" h="1885950">
                                <a:moveTo>
                                  <a:pt x="597395" y="1853298"/>
                                </a:moveTo>
                                <a:lnTo>
                                  <a:pt x="591045" y="1853298"/>
                                </a:lnTo>
                                <a:lnTo>
                                  <a:pt x="591045" y="1885950"/>
                                </a:lnTo>
                                <a:lnTo>
                                  <a:pt x="597395" y="1885950"/>
                                </a:lnTo>
                                <a:lnTo>
                                  <a:pt x="597395" y="1853298"/>
                                </a:lnTo>
                                <a:close/>
                              </a:path>
                              <a:path w="2075180" h="1885950">
                                <a:moveTo>
                                  <a:pt x="892911" y="1853298"/>
                                </a:moveTo>
                                <a:lnTo>
                                  <a:pt x="886561" y="1853298"/>
                                </a:lnTo>
                                <a:lnTo>
                                  <a:pt x="886561" y="1885950"/>
                                </a:lnTo>
                                <a:lnTo>
                                  <a:pt x="892911" y="1885950"/>
                                </a:lnTo>
                                <a:lnTo>
                                  <a:pt x="892911" y="1853298"/>
                                </a:lnTo>
                                <a:close/>
                              </a:path>
                              <a:path w="2075180" h="1885950">
                                <a:moveTo>
                                  <a:pt x="1188427" y="1853298"/>
                                </a:moveTo>
                                <a:lnTo>
                                  <a:pt x="1182077" y="1853298"/>
                                </a:lnTo>
                                <a:lnTo>
                                  <a:pt x="1182077" y="1885950"/>
                                </a:lnTo>
                                <a:lnTo>
                                  <a:pt x="1188427" y="1885950"/>
                                </a:lnTo>
                                <a:lnTo>
                                  <a:pt x="1188427" y="1853298"/>
                                </a:lnTo>
                                <a:close/>
                              </a:path>
                              <a:path w="2075180" h="1885950">
                                <a:moveTo>
                                  <a:pt x="1483956" y="1853298"/>
                                </a:moveTo>
                                <a:lnTo>
                                  <a:pt x="1477606" y="1853298"/>
                                </a:lnTo>
                                <a:lnTo>
                                  <a:pt x="1477606" y="1885950"/>
                                </a:lnTo>
                                <a:lnTo>
                                  <a:pt x="1483956" y="1885950"/>
                                </a:lnTo>
                                <a:lnTo>
                                  <a:pt x="1483956" y="1853298"/>
                                </a:lnTo>
                                <a:close/>
                              </a:path>
                              <a:path w="2075180" h="1885950">
                                <a:moveTo>
                                  <a:pt x="1779473" y="1853298"/>
                                </a:moveTo>
                                <a:lnTo>
                                  <a:pt x="1773123" y="1853298"/>
                                </a:lnTo>
                                <a:lnTo>
                                  <a:pt x="1773123" y="1885950"/>
                                </a:lnTo>
                                <a:lnTo>
                                  <a:pt x="1779473" y="1885950"/>
                                </a:lnTo>
                                <a:lnTo>
                                  <a:pt x="1779473" y="1853298"/>
                                </a:lnTo>
                                <a:close/>
                              </a:path>
                              <a:path w="2075180" h="1885950">
                                <a:moveTo>
                                  <a:pt x="2075002" y="0"/>
                                </a:moveTo>
                                <a:lnTo>
                                  <a:pt x="2068652" y="0"/>
                                </a:lnTo>
                                <a:lnTo>
                                  <a:pt x="2068652" y="1885950"/>
                                </a:lnTo>
                                <a:lnTo>
                                  <a:pt x="2075002" y="1885950"/>
                                </a:lnTo>
                                <a:lnTo>
                                  <a:pt x="2075002" y="0"/>
                                </a:lnTo>
                                <a:close/>
                              </a:path>
                            </a:pathLst>
                          </a:custGeom>
                          <a:solidFill>
                            <a:srgbClr val="000000"/>
                          </a:solidFill>
                        </wps:spPr>
                        <wps:bodyPr wrap="square" lIns="0" tIns="0" rIns="0" bIns="0" rtlCol="0">
                          <a:prstTxWarp prst="textNoShape">
                            <a:avLst/>
                          </a:prstTxWarp>
                          <a:noAutofit/>
                        </wps:bodyPr>
                      </wps:wsp>
                      <wps:wsp>
                        <wps:cNvPr id="1921" name="Graphic 1921"/>
                        <wps:cNvSpPr/>
                        <wps:spPr>
                          <a:xfrm>
                            <a:off x="1355375" y="360565"/>
                            <a:ext cx="153035" cy="54610"/>
                          </a:xfrm>
                          <a:custGeom>
                            <a:avLst/>
                            <a:gdLst/>
                            <a:ahLst/>
                            <a:cxnLst/>
                            <a:rect l="l" t="t" r="r" b="b"/>
                            <a:pathLst>
                              <a:path w="153035" h="54610">
                                <a:moveTo>
                                  <a:pt x="152958" y="17284"/>
                                </a:moveTo>
                                <a:lnTo>
                                  <a:pt x="88938" y="17284"/>
                                </a:lnTo>
                                <a:lnTo>
                                  <a:pt x="71666" y="0"/>
                                </a:lnTo>
                                <a:lnTo>
                                  <a:pt x="54381" y="17284"/>
                                </a:lnTo>
                                <a:lnTo>
                                  <a:pt x="0" y="17284"/>
                                </a:lnTo>
                                <a:lnTo>
                                  <a:pt x="0" y="42684"/>
                                </a:lnTo>
                                <a:lnTo>
                                  <a:pt x="59956" y="42684"/>
                                </a:lnTo>
                                <a:lnTo>
                                  <a:pt x="71666" y="54394"/>
                                </a:lnTo>
                                <a:lnTo>
                                  <a:pt x="83375" y="42684"/>
                                </a:lnTo>
                                <a:lnTo>
                                  <a:pt x="152958" y="42684"/>
                                </a:lnTo>
                                <a:lnTo>
                                  <a:pt x="152958" y="17284"/>
                                </a:lnTo>
                                <a:close/>
                              </a:path>
                            </a:pathLst>
                          </a:custGeom>
                          <a:solidFill>
                            <a:srgbClr val="E3C626"/>
                          </a:solidFill>
                        </wps:spPr>
                        <wps:bodyPr wrap="square" lIns="0" tIns="0" rIns="0" bIns="0" rtlCol="0">
                          <a:prstTxWarp prst="textNoShape">
                            <a:avLst/>
                          </a:prstTxWarp>
                          <a:noAutofit/>
                        </wps:bodyPr>
                      </wps:wsp>
                      <wps:wsp>
                        <wps:cNvPr id="1922" name="Graphic 1922"/>
                        <wps:cNvSpPr/>
                        <wps:spPr>
                          <a:xfrm>
                            <a:off x="1370506" y="93397"/>
                            <a:ext cx="85725" cy="68580"/>
                          </a:xfrm>
                          <a:custGeom>
                            <a:avLst/>
                            <a:gdLst/>
                            <a:ahLst/>
                            <a:cxnLst/>
                            <a:rect l="l" t="t" r="r" b="b"/>
                            <a:pathLst>
                              <a:path w="85725" h="68580">
                                <a:moveTo>
                                  <a:pt x="85725" y="0"/>
                                </a:moveTo>
                                <a:lnTo>
                                  <a:pt x="0" y="0"/>
                                </a:lnTo>
                                <a:lnTo>
                                  <a:pt x="0" y="67982"/>
                                </a:lnTo>
                                <a:lnTo>
                                  <a:pt x="85725" y="67982"/>
                                </a:lnTo>
                                <a:lnTo>
                                  <a:pt x="85725" y="0"/>
                                </a:lnTo>
                                <a:close/>
                              </a:path>
                            </a:pathLst>
                          </a:custGeom>
                          <a:solidFill>
                            <a:srgbClr val="2E614A"/>
                          </a:solidFill>
                        </wps:spPr>
                        <wps:bodyPr wrap="square" lIns="0" tIns="0" rIns="0" bIns="0" rtlCol="0">
                          <a:prstTxWarp prst="textNoShape">
                            <a:avLst/>
                          </a:prstTxWarp>
                          <a:noAutofit/>
                        </wps:bodyPr>
                      </wps:wsp>
                      <wps:wsp>
                        <wps:cNvPr id="1923" name="Graphic 1923"/>
                        <wps:cNvSpPr/>
                        <wps:spPr>
                          <a:xfrm>
                            <a:off x="1370506" y="225041"/>
                            <a:ext cx="85725" cy="68580"/>
                          </a:xfrm>
                          <a:custGeom>
                            <a:avLst/>
                            <a:gdLst/>
                            <a:ahLst/>
                            <a:cxnLst/>
                            <a:rect l="l" t="t" r="r" b="b"/>
                            <a:pathLst>
                              <a:path w="85725" h="68580">
                                <a:moveTo>
                                  <a:pt x="85725" y="0"/>
                                </a:moveTo>
                                <a:lnTo>
                                  <a:pt x="0" y="0"/>
                                </a:lnTo>
                                <a:lnTo>
                                  <a:pt x="0" y="68356"/>
                                </a:lnTo>
                                <a:lnTo>
                                  <a:pt x="85725" y="68356"/>
                                </a:lnTo>
                                <a:lnTo>
                                  <a:pt x="85725" y="0"/>
                                </a:lnTo>
                                <a:close/>
                              </a:path>
                            </a:pathLst>
                          </a:custGeom>
                          <a:solidFill>
                            <a:srgbClr val="9CBF3B"/>
                          </a:solidFill>
                        </wps:spPr>
                        <wps:bodyPr wrap="square" lIns="0" tIns="0" rIns="0" bIns="0" rtlCol="0">
                          <a:prstTxWarp prst="textNoShape">
                            <a:avLst/>
                          </a:prstTxWarp>
                          <a:noAutofit/>
                        </wps:bodyPr>
                      </wps:wsp>
                      <wps:wsp>
                        <wps:cNvPr id="1924" name="Textbox 1924"/>
                        <wps:cNvSpPr txBox="1"/>
                        <wps:spPr>
                          <a:xfrm>
                            <a:off x="684720" y="2490472"/>
                            <a:ext cx="238379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1996-97</w:t>
                              </w:r>
                              <w:r>
                                <w:rPr>
                                  <w:rFonts w:ascii="Arial MT"/>
                                  <w:spacing w:val="20"/>
                                  <w:sz w:val="14"/>
                                </w:rPr>
                                <w:t> </w:t>
                              </w:r>
                              <w:r>
                                <w:rPr>
                                  <w:rFonts w:ascii="Arial MT"/>
                                  <w:w w:val="80"/>
                                  <w:sz w:val="14"/>
                                </w:rPr>
                                <w:t>1997-98</w:t>
                              </w:r>
                              <w:r>
                                <w:rPr>
                                  <w:rFonts w:ascii="Arial MT"/>
                                  <w:spacing w:val="21"/>
                                  <w:sz w:val="14"/>
                                </w:rPr>
                                <w:t> </w:t>
                              </w:r>
                              <w:r>
                                <w:rPr>
                                  <w:rFonts w:ascii="Arial MT"/>
                                  <w:w w:val="80"/>
                                  <w:sz w:val="14"/>
                                </w:rPr>
                                <w:t>1998-99</w:t>
                              </w:r>
                              <w:r>
                                <w:rPr>
                                  <w:rFonts w:ascii="Arial MT"/>
                                  <w:spacing w:val="21"/>
                                  <w:sz w:val="14"/>
                                </w:rPr>
                                <w:t> </w:t>
                              </w:r>
                              <w:r>
                                <w:rPr>
                                  <w:rFonts w:ascii="Arial MT"/>
                                  <w:w w:val="80"/>
                                  <w:sz w:val="14"/>
                                </w:rPr>
                                <w:t>1999-00</w:t>
                              </w:r>
                              <w:r>
                                <w:rPr>
                                  <w:rFonts w:ascii="Arial MT"/>
                                  <w:spacing w:val="21"/>
                                  <w:sz w:val="14"/>
                                </w:rPr>
                                <w:t> </w:t>
                              </w:r>
                              <w:r>
                                <w:rPr>
                                  <w:rFonts w:ascii="Arial MT"/>
                                  <w:w w:val="80"/>
                                  <w:sz w:val="14"/>
                                </w:rPr>
                                <w:t>2000-01</w:t>
                              </w:r>
                              <w:r>
                                <w:rPr>
                                  <w:rFonts w:ascii="Arial MT"/>
                                  <w:spacing w:val="21"/>
                                  <w:sz w:val="14"/>
                                </w:rPr>
                                <w:t> </w:t>
                              </w:r>
                              <w:r>
                                <w:rPr>
                                  <w:rFonts w:ascii="Arial MT"/>
                                  <w:w w:val="80"/>
                                  <w:sz w:val="14"/>
                                </w:rPr>
                                <w:t>2001-02</w:t>
                              </w:r>
                              <w:r>
                                <w:rPr>
                                  <w:rFonts w:ascii="Arial MT"/>
                                  <w:spacing w:val="21"/>
                                  <w:sz w:val="14"/>
                                </w:rPr>
                                <w:t> </w:t>
                              </w:r>
                              <w:r>
                                <w:rPr>
                                  <w:rFonts w:ascii="Arial MT"/>
                                  <w:w w:val="80"/>
                                  <w:sz w:val="14"/>
                                </w:rPr>
                                <w:t>2002-03</w:t>
                              </w:r>
                              <w:r>
                                <w:rPr>
                                  <w:rFonts w:ascii="Arial MT"/>
                                  <w:spacing w:val="21"/>
                                  <w:sz w:val="14"/>
                                </w:rPr>
                                <w:t> </w:t>
                              </w:r>
                              <w:r>
                                <w:rPr>
                                  <w:rFonts w:ascii="Arial MT"/>
                                  <w:w w:val="80"/>
                                  <w:sz w:val="14"/>
                                </w:rPr>
                                <w:t>2003-</w:t>
                              </w:r>
                              <w:r>
                                <w:rPr>
                                  <w:rFonts w:ascii="Arial MT"/>
                                  <w:spacing w:val="-5"/>
                                  <w:w w:val="80"/>
                                  <w:sz w:val="14"/>
                                </w:rPr>
                                <w:t>04</w:t>
                              </w:r>
                            </w:p>
                          </w:txbxContent>
                        </wps:txbx>
                        <wps:bodyPr wrap="square" lIns="0" tIns="0" rIns="0" bIns="0" rtlCol="0">
                          <a:noAutofit/>
                        </wps:bodyPr>
                      </wps:wsp>
                      <wps:wsp>
                        <wps:cNvPr id="1925" name="Textbox 1925"/>
                        <wps:cNvSpPr txBox="1"/>
                        <wps:spPr>
                          <a:xfrm>
                            <a:off x="3132750" y="2397982"/>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926" name="Textbox 1926"/>
                        <wps:cNvSpPr txBox="1"/>
                        <wps:spPr>
                          <a:xfrm>
                            <a:off x="542582" y="2385282"/>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927" name="Textbox 1927"/>
                        <wps:cNvSpPr txBox="1"/>
                        <wps:spPr>
                          <a:xfrm>
                            <a:off x="3132750" y="2029682"/>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5</w:t>
                              </w:r>
                            </w:p>
                          </w:txbxContent>
                        </wps:txbx>
                        <wps:bodyPr wrap="square" lIns="0" tIns="0" rIns="0" bIns="0" rtlCol="0">
                          <a:noAutofit/>
                        </wps:bodyPr>
                      </wps:wsp>
                      <wps:wsp>
                        <wps:cNvPr id="1928" name="Textbox 1928"/>
                        <wps:cNvSpPr txBox="1"/>
                        <wps:spPr>
                          <a:xfrm>
                            <a:off x="420953" y="1775682"/>
                            <a:ext cx="175260" cy="407034"/>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4000</w:t>
                              </w:r>
                            </w:p>
                            <w:p>
                              <w:pPr>
                                <w:spacing w:line="240" w:lineRule="auto" w:before="158"/>
                                <w:rPr>
                                  <w:rFonts w:ascii="Arial MT"/>
                                  <w:sz w:val="14"/>
                                </w:rPr>
                              </w:pPr>
                            </w:p>
                            <w:p>
                              <w:pPr>
                                <w:spacing w:before="0"/>
                                <w:ind w:left="0" w:right="0" w:firstLine="0"/>
                                <w:jc w:val="left"/>
                                <w:rPr>
                                  <w:rFonts w:ascii="Arial MT"/>
                                  <w:sz w:val="14"/>
                                </w:rPr>
                              </w:pPr>
                              <w:r>
                                <w:rPr>
                                  <w:rFonts w:ascii="Arial MT"/>
                                  <w:spacing w:val="-4"/>
                                  <w:w w:val="85"/>
                                  <w:sz w:val="14"/>
                                </w:rPr>
                                <w:t>2000</w:t>
                              </w:r>
                            </w:p>
                          </w:txbxContent>
                        </wps:txbx>
                        <wps:bodyPr wrap="square" lIns="0" tIns="0" rIns="0" bIns="0" rtlCol="0">
                          <a:noAutofit/>
                        </wps:bodyPr>
                      </wps:wsp>
                      <wps:wsp>
                        <wps:cNvPr id="1929" name="Textbox 1929"/>
                        <wps:cNvSpPr txBox="1"/>
                        <wps:spPr>
                          <a:xfrm>
                            <a:off x="3132750" y="1661382"/>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w:t>
                              </w:r>
                            </w:p>
                          </w:txbxContent>
                        </wps:txbx>
                        <wps:bodyPr wrap="square" lIns="0" tIns="0" rIns="0" bIns="0" rtlCol="0">
                          <a:noAutofit/>
                        </wps:bodyPr>
                      </wps:wsp>
                      <wps:wsp>
                        <wps:cNvPr id="1930" name="Textbox 1930"/>
                        <wps:cNvSpPr txBox="1"/>
                        <wps:spPr>
                          <a:xfrm>
                            <a:off x="420953" y="1470882"/>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6000</w:t>
                              </w:r>
                            </w:p>
                          </w:txbxContent>
                        </wps:txbx>
                        <wps:bodyPr wrap="square" lIns="0" tIns="0" rIns="0" bIns="0" rtlCol="0">
                          <a:noAutofit/>
                        </wps:bodyPr>
                      </wps:wsp>
                      <wps:wsp>
                        <wps:cNvPr id="1931" name="Textbox 1931"/>
                        <wps:cNvSpPr txBox="1"/>
                        <wps:spPr>
                          <a:xfrm>
                            <a:off x="3132750" y="1293082"/>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15</w:t>
                              </w:r>
                            </w:p>
                          </w:txbxContent>
                        </wps:txbx>
                        <wps:bodyPr wrap="square" lIns="0" tIns="0" rIns="0" bIns="0" rtlCol="0">
                          <a:noAutofit/>
                        </wps:bodyPr>
                      </wps:wsp>
                      <wps:wsp>
                        <wps:cNvPr id="1932" name="Textbox 1932"/>
                        <wps:cNvSpPr txBox="1"/>
                        <wps:spPr>
                          <a:xfrm>
                            <a:off x="420953" y="1166082"/>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8000</w:t>
                              </w:r>
                            </w:p>
                          </w:txbxContent>
                        </wps:txbx>
                        <wps:bodyPr wrap="square" lIns="0" tIns="0" rIns="0" bIns="0" rtlCol="0">
                          <a:noAutofit/>
                        </wps:bodyPr>
                      </wps:wsp>
                      <wps:wsp>
                        <wps:cNvPr id="1933" name="Textbox 1933"/>
                        <wps:cNvSpPr txBox="1"/>
                        <wps:spPr>
                          <a:xfrm>
                            <a:off x="3132750" y="924782"/>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w:t>
                              </w:r>
                            </w:p>
                          </w:txbxContent>
                        </wps:txbx>
                        <wps:bodyPr wrap="square" lIns="0" tIns="0" rIns="0" bIns="0" rtlCol="0">
                          <a:noAutofit/>
                        </wps:bodyPr>
                      </wps:wsp>
                      <wps:wsp>
                        <wps:cNvPr id="1934" name="Textbox 1934"/>
                        <wps:cNvSpPr txBox="1"/>
                        <wps:spPr>
                          <a:xfrm>
                            <a:off x="380409" y="861282"/>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10000</w:t>
                              </w:r>
                            </w:p>
                          </w:txbxContent>
                        </wps:txbx>
                        <wps:bodyPr wrap="square" lIns="0" tIns="0" rIns="0" bIns="0" rtlCol="0">
                          <a:noAutofit/>
                        </wps:bodyPr>
                      </wps:wsp>
                      <wps:wsp>
                        <wps:cNvPr id="1935" name="Textbox 1935"/>
                        <wps:cNvSpPr txBox="1"/>
                        <wps:spPr>
                          <a:xfrm>
                            <a:off x="1556124" y="70413"/>
                            <a:ext cx="1674495" cy="588645"/>
                          </a:xfrm>
                          <a:prstGeom prst="rect">
                            <a:avLst/>
                          </a:prstGeom>
                        </wps:spPr>
                        <wps:txbx>
                          <w:txbxContent>
                            <w:p>
                              <w:pPr>
                                <w:spacing w:line="161" w:lineRule="exact" w:before="0"/>
                                <w:ind w:left="0" w:right="0" w:firstLine="0"/>
                                <w:jc w:val="left"/>
                                <w:rPr>
                                  <w:rFonts w:ascii="Arial MT"/>
                                  <w:sz w:val="14"/>
                                </w:rPr>
                              </w:pPr>
                              <w:r>
                                <w:rPr>
                                  <w:rFonts w:ascii="Arial MT"/>
                                  <w:w w:val="80"/>
                                  <w:sz w:val="14"/>
                                </w:rPr>
                                <w:t>Total</w:t>
                              </w:r>
                              <w:r>
                                <w:rPr>
                                  <w:rFonts w:ascii="Arial MT"/>
                                  <w:spacing w:val="-6"/>
                                  <w:sz w:val="14"/>
                                </w:rPr>
                                <w:t> </w:t>
                              </w:r>
                              <w:r>
                                <w:rPr>
                                  <w:rFonts w:ascii="Arial MT"/>
                                  <w:w w:val="80"/>
                                  <w:sz w:val="14"/>
                                </w:rPr>
                                <w:t>enrolment</w:t>
                              </w:r>
                              <w:r>
                                <w:rPr>
                                  <w:rFonts w:ascii="Arial MT"/>
                                  <w:spacing w:val="-5"/>
                                  <w:sz w:val="14"/>
                                </w:rPr>
                                <w:t> </w:t>
                              </w:r>
                              <w:r>
                                <w:rPr>
                                  <w:rFonts w:ascii="Arial MT"/>
                                  <w:w w:val="80"/>
                                  <w:sz w:val="14"/>
                                </w:rPr>
                                <w:t>in</w:t>
                              </w:r>
                              <w:r>
                                <w:rPr>
                                  <w:rFonts w:ascii="Arial MT"/>
                                  <w:spacing w:val="-5"/>
                                  <w:sz w:val="14"/>
                                </w:rPr>
                                <w:t> </w:t>
                              </w:r>
                              <w:r>
                                <w:rPr>
                                  <w:rFonts w:ascii="Arial MT"/>
                                  <w:w w:val="80"/>
                                  <w:sz w:val="14"/>
                                </w:rPr>
                                <w:t>higher</w:t>
                              </w:r>
                              <w:r>
                                <w:rPr>
                                  <w:rFonts w:ascii="Arial MT"/>
                                  <w:spacing w:val="-5"/>
                                  <w:sz w:val="14"/>
                                </w:rPr>
                                <w:t> </w:t>
                              </w:r>
                              <w:r>
                                <w:rPr>
                                  <w:rFonts w:ascii="Arial MT"/>
                                  <w:spacing w:val="-2"/>
                                  <w:w w:val="80"/>
                                  <w:sz w:val="14"/>
                                </w:rPr>
                                <w:t>education</w:t>
                              </w:r>
                            </w:p>
                            <w:p>
                              <w:pPr>
                                <w:spacing w:line="283" w:lineRule="auto" w:before="31"/>
                                <w:ind w:left="0" w:right="0" w:firstLine="0"/>
                                <w:jc w:val="left"/>
                                <w:rPr>
                                  <w:rFonts w:ascii="Arial MT"/>
                                  <w:sz w:val="14"/>
                                </w:rPr>
                              </w:pPr>
                              <w:r>
                                <w:rPr>
                                  <w:rFonts w:ascii="Arial MT"/>
                                  <w:w w:val="80"/>
                                  <w:sz w:val="14"/>
                                </w:rPr>
                                <w:t>Enrolment in open universities and correspondence</w:t>
                              </w:r>
                              <w:r>
                                <w:rPr>
                                  <w:rFonts w:ascii="Arial MT"/>
                                  <w:spacing w:val="40"/>
                                  <w:sz w:val="14"/>
                                </w:rPr>
                                <w:t> </w:t>
                              </w:r>
                              <w:r>
                                <w:rPr>
                                  <w:rFonts w:ascii="Arial MT"/>
                                  <w:w w:val="85"/>
                                  <w:sz w:val="14"/>
                                </w:rPr>
                                <w:t>Enrolment</w:t>
                              </w:r>
                              <w:r>
                                <w:rPr>
                                  <w:rFonts w:ascii="Arial MT"/>
                                  <w:spacing w:val="-3"/>
                                  <w:w w:val="85"/>
                                  <w:sz w:val="14"/>
                                </w:rPr>
                                <w:t> </w:t>
                              </w:r>
                              <w:r>
                                <w:rPr>
                                  <w:rFonts w:ascii="Arial MT"/>
                                  <w:w w:val="85"/>
                                  <w:sz w:val="14"/>
                                </w:rPr>
                                <w:t>in</w:t>
                              </w:r>
                              <w:r>
                                <w:rPr>
                                  <w:rFonts w:ascii="Arial MT"/>
                                  <w:spacing w:val="-3"/>
                                  <w:w w:val="85"/>
                                  <w:sz w:val="14"/>
                                </w:rPr>
                                <w:t> </w:t>
                              </w:r>
                              <w:r>
                                <w:rPr>
                                  <w:rFonts w:ascii="Arial MT"/>
                                  <w:w w:val="85"/>
                                  <w:sz w:val="14"/>
                                </w:rPr>
                                <w:t>ODE</w:t>
                              </w:r>
                              <w:r>
                                <w:rPr>
                                  <w:rFonts w:ascii="Arial MT"/>
                                  <w:spacing w:val="-3"/>
                                  <w:w w:val="85"/>
                                  <w:sz w:val="14"/>
                                </w:rPr>
                                <w:t> </w:t>
                              </w:r>
                              <w:r>
                                <w:rPr>
                                  <w:rFonts w:ascii="Arial MT"/>
                                  <w:w w:val="85"/>
                                  <w:sz w:val="14"/>
                                </w:rPr>
                                <w:t>as</w:t>
                              </w:r>
                              <w:r>
                                <w:rPr>
                                  <w:rFonts w:ascii="Arial MT"/>
                                  <w:spacing w:val="-3"/>
                                  <w:w w:val="85"/>
                                  <w:sz w:val="14"/>
                                </w:rPr>
                                <w:t> </w:t>
                              </w:r>
                              <w:r>
                                <w:rPr>
                                  <w:rFonts w:ascii="Arial MT"/>
                                  <w:w w:val="85"/>
                                  <w:sz w:val="14"/>
                                </w:rPr>
                                <w:t>a</w:t>
                              </w:r>
                              <w:r>
                                <w:rPr>
                                  <w:rFonts w:ascii="Arial MT"/>
                                  <w:spacing w:val="-3"/>
                                  <w:w w:val="85"/>
                                  <w:sz w:val="14"/>
                                </w:rPr>
                                <w:t> </w:t>
                              </w:r>
                              <w:r>
                                <w:rPr>
                                  <w:rFonts w:ascii="Arial MT"/>
                                  <w:w w:val="85"/>
                                  <w:sz w:val="14"/>
                                </w:rPr>
                                <w:t>percentage</w:t>
                              </w:r>
                              <w:r>
                                <w:rPr>
                                  <w:rFonts w:ascii="Arial MT"/>
                                  <w:spacing w:val="-3"/>
                                  <w:w w:val="85"/>
                                  <w:sz w:val="14"/>
                                </w:rPr>
                                <w:t> </w:t>
                              </w:r>
                              <w:r>
                                <w:rPr>
                                  <w:rFonts w:ascii="Arial MT"/>
                                  <w:w w:val="85"/>
                                  <w:sz w:val="14"/>
                                </w:rPr>
                                <w:t>of</w:t>
                              </w:r>
                              <w:r>
                                <w:rPr>
                                  <w:rFonts w:ascii="Arial MT"/>
                                  <w:spacing w:val="-3"/>
                                  <w:w w:val="85"/>
                                  <w:sz w:val="14"/>
                                </w:rPr>
                                <w:t> </w:t>
                              </w:r>
                              <w:r>
                                <w:rPr>
                                  <w:rFonts w:ascii="Arial MT"/>
                                  <w:w w:val="85"/>
                                  <w:sz w:val="14"/>
                                </w:rPr>
                                <w:t>total</w:t>
                              </w:r>
                              <w:r>
                                <w:rPr>
                                  <w:rFonts w:ascii="Arial MT"/>
                                  <w:spacing w:val="-3"/>
                                  <w:w w:val="85"/>
                                  <w:sz w:val="14"/>
                                </w:rPr>
                                <w:t> </w:t>
                              </w:r>
                              <w:r>
                                <w:rPr>
                                  <w:rFonts w:ascii="Arial MT"/>
                                  <w:w w:val="85"/>
                                  <w:sz w:val="14"/>
                                </w:rPr>
                                <w:t>higher</w:t>
                              </w:r>
                              <w:r>
                                <w:rPr>
                                  <w:rFonts w:ascii="Arial MT"/>
                                  <w:spacing w:val="40"/>
                                  <w:sz w:val="14"/>
                                </w:rPr>
                                <w:t> </w:t>
                              </w:r>
                              <w:r>
                                <w:rPr>
                                  <w:rFonts w:ascii="Arial MT"/>
                                  <w:spacing w:val="-2"/>
                                  <w:w w:val="90"/>
                                  <w:sz w:val="14"/>
                                </w:rPr>
                                <w:t>education</w:t>
                              </w:r>
                            </w:p>
                            <w:p>
                              <w:pPr>
                                <w:spacing w:before="3"/>
                                <w:ind w:left="2482" w:right="0" w:firstLine="0"/>
                                <w:jc w:val="left"/>
                                <w:rPr>
                                  <w:rFonts w:ascii="Arial MT"/>
                                  <w:sz w:val="14"/>
                                </w:rPr>
                              </w:pPr>
                              <w:r>
                                <w:rPr>
                                  <w:rFonts w:ascii="Arial MT"/>
                                  <w:spacing w:val="-5"/>
                                  <w:w w:val="90"/>
                                  <w:sz w:val="14"/>
                                </w:rPr>
                                <w:t>25</w:t>
                              </w:r>
                            </w:p>
                          </w:txbxContent>
                        </wps:txbx>
                        <wps:bodyPr wrap="square" lIns="0" tIns="0" rIns="0" bIns="0" rtlCol="0">
                          <a:noAutofit/>
                        </wps:bodyPr>
                      </wps:wsp>
                      <wps:wsp>
                        <wps:cNvPr id="1936" name="Textbox 1936"/>
                        <wps:cNvSpPr txBox="1"/>
                        <wps:spPr>
                          <a:xfrm>
                            <a:off x="380409" y="556482"/>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12000</w:t>
                              </w:r>
                            </w:p>
                          </w:txbxContent>
                        </wps:txbx>
                        <wps:bodyPr wrap="square" lIns="0" tIns="0" rIns="0" bIns="0" rtlCol="0">
                          <a:noAutofit/>
                        </wps:bodyPr>
                      </wps:wsp>
                    </wpg:wgp>
                  </a:graphicData>
                </a:graphic>
              </wp:anchor>
            </w:drawing>
          </mc:Choice>
          <mc:Fallback>
            <w:pict>
              <v:group style="position:absolute;margin-left:295.775574pt;margin-top:-214.890427pt;width:263.5pt;height:211.4pt;mso-position-horizontal-relative:page;mso-position-vertical-relative:paragraph;z-index:15861760" id="docshapegroup1886" coordorigin="5916,-4298" coordsize="5270,4228">
                <v:shape style="position:absolute;left:5915;top:-4298;width:5270;height:4228" id="docshape1887" coordorigin="5916,-4298" coordsize="5270,4228" path="m11186,-4298l11176,-4298,11176,-4287,11176,-80,11176,-79,11176,-74,11176,-74,5921,-74,5921,-74,5926,-74,11176,-74,11176,-79,5926,-79,5921,-79,5921,-80,5926,-80,5926,-4287,11176,-4287,11176,-4298,5916,-4298,5916,-4292,5916,-4288,5916,-80,5916,-74,5916,-70,11186,-70,11186,-74,11181,-74,11181,-74,11186,-74,11186,-79,11181,-79,11181,-80,11186,-80,11186,-4287,11186,-4288,11186,-4292,11186,-4292,11186,-4298xe" filled="true" fillcolor="#000000" stroked="false">
                  <v:path arrowok="t"/>
                  <v:fill type="solid"/>
                </v:shape>
                <v:rect style="position:absolute;left:7096;top:-2084;width:135;height:1635" id="docshape1888" filled="true" fillcolor="#2e614a" stroked="false">
                  <v:fill type="solid"/>
                </v:rect>
                <v:rect style="position:absolute;left:7231;top:-709;width:135;height:260" id="docshape1889" filled="true" fillcolor="#9cbf3b" stroked="false">
                  <v:fill type="solid"/>
                </v:rect>
                <v:rect style="position:absolute;left:7561;top:-2223;width:135;height:1775" id="docshape1890" filled="true" fillcolor="#2e614a" stroked="false">
                  <v:fill type="solid"/>
                </v:rect>
                <v:rect style="position:absolute;left:7696;top:-768;width:135;height:320" id="docshape1891" filled="true" fillcolor="#9cbf3b" stroked="false">
                  <v:fill type="solid"/>
                </v:rect>
                <v:rect style="position:absolute;left:8027;top:-2333;width:135;height:1885" id="docshape1892" filled="true" fillcolor="#2e614a" stroked="false">
                  <v:fill type="solid"/>
                </v:rect>
                <v:rect style="position:absolute;left:8162;top:-723;width:135;height:275" id="docshape1893" filled="true" fillcolor="#9cbf3b" stroked="false">
                  <v:fill type="solid"/>
                </v:rect>
                <v:rect style="position:absolute;left:8493;top:-2423;width:135;height:1975" id="docshape1894" filled="true" fillcolor="#2e614a" stroked="false">
                  <v:fill type="solid"/>
                </v:rect>
                <v:rect style="position:absolute;left:8628;top:-788;width:135;height:340" id="docshape1895" filled="true" fillcolor="#9cbf3b" stroked="false">
                  <v:fill type="solid"/>
                </v:rect>
                <v:rect style="position:absolute;left:8958;top:-2488;width:135;height:2040" id="docshape1896" filled="true" fillcolor="#2e614a" stroked="false">
                  <v:fill type="solid"/>
                </v:rect>
                <v:rect style="position:absolute;left:9093;top:-813;width:135;height:365" id="docshape1897" filled="true" fillcolor="#9cbf3b" stroked="false">
                  <v:fill type="solid"/>
                </v:rect>
                <v:rect style="position:absolute;left:9424;top:-2603;width:135;height:2155" id="docshape1898" filled="true" fillcolor="#2e614a" stroked="false">
                  <v:fill type="solid"/>
                </v:rect>
                <v:rect style="position:absolute;left:9559;top:-878;width:135;height:430" id="docshape1899" filled="true" fillcolor="#9cbf3b" stroked="false">
                  <v:fill type="solid"/>
                </v:rect>
                <v:rect style="position:absolute;left:9890;top:-2758;width:135;height:2310" id="docshape1900" filled="true" fillcolor="#2e614a" stroked="false">
                  <v:fill type="solid"/>
                </v:rect>
                <v:rect style="position:absolute;left:10025;top:-903;width:135;height:455" id="docshape1901" filled="true" fillcolor="#9cbf3b" stroked="false">
                  <v:fill type="solid"/>
                </v:rect>
                <v:rect style="position:absolute;left:10355;top:-2898;width:135;height:2450" id="docshape1902" filled="true" fillcolor="#2e614a" stroked="false">
                  <v:fill type="solid"/>
                </v:rect>
                <v:rect style="position:absolute;left:10490;top:-943;width:135;height:495" id="docshape1903" filled="true" fillcolor="#9cbf3b" stroked="false">
                  <v:fill type="solid"/>
                </v:rect>
                <v:shape style="position:absolute;left:6923;top:-3363;width:3891;height:2975" id="docshape1904" coordorigin="6924,-3363" coordsize="3891,2975" path="m10804,-448l7009,-448,7009,-3358,6999,-3358,6999,-3363,6924,-3363,6924,-3353,6999,-3353,6999,-2898,6924,-2898,6924,-2888,6999,-2888,6999,-2398,6924,-2398,6924,-2388,6999,-2388,6999,-1908,6924,-1908,6924,-1898,6999,-1898,6999,-1433,6924,-1433,6924,-1423,6999,-1423,6999,-948,6924,-948,6924,-938,6999,-938,6999,-448,6924,-448,6924,-438,6999,-438,6999,-388,7009,-388,7009,-438,10804,-438,10804,-448xm10814,-1028l10720,-1028,10720,-1018,10814,-1018,10814,-1028xm10814,-1620l10720,-1620,10720,-1610,10814,-1610,10814,-1620xm10814,-2196l10720,-2196,10720,-2186,10814,-2186,10814,-2196xm10814,-2779l10720,-2779,10720,-2769,10814,-2769,10814,-2779xm10814,-3363l10720,-3363,10720,-3353,10814,-3353,10814,-3363xe" filled="true" fillcolor="#000000" stroked="false">
                  <v:path arrowok="t"/>
                  <v:fill type="solid"/>
                </v:shape>
                <v:shape style="position:absolute;left:7246;top:-2812;width:3374;height:702" id="docshape1905" coordorigin="7246,-2812" coordsize="3374,702" path="m10620,-2787l10487,-2795,10471,-2812,10448,-2789,10077,-2640,10067,-2650,10054,-2638,9614,-2768,9595,-2773,9580,-2789,9553,-2762,9554,-2761,9138,-2440,9128,-2450,9106,-2428,8677,-2428,8665,-2440,8638,-2414,8202,-2153,8191,-2164,8180,-2154,7766,-2493,7768,-2495,7741,-2522,7720,-2502,7246,-2357,7252,-2338,7727,-2483,7741,-2468,7752,-2479,8166,-2139,8164,-2137,8191,-2110,8218,-2137,8216,-2139,8652,-2399,8665,-2387,8686,-2408,9117,-2408,9128,-2397,9155,-2423,9153,-2426,9155,-2428,9568,-2747,9580,-2735,9596,-2752,10044,-2620,10067,-2597,10094,-2623,10092,-2625,10458,-2771,10471,-2758,10488,-2775,10618,-2767,10620,-2786,10620,-2787xe" filled="true" fillcolor="#e3c626" stroked="false">
                  <v:path arrowok="t"/>
                  <v:fill type="solid"/>
                </v:shape>
                <v:shape style="position:absolute;left:7453;top:-3358;width:3268;height:2970" id="docshape1906" coordorigin="7453,-3358" coordsize="3268,2970" path="m7463,-439l7453,-439,7453,-388,7463,-388,7463,-439xm7929,-439l7919,-439,7919,-388,7929,-388,7929,-439xm8394,-439l8384,-439,8384,-388,8394,-388,8394,-439xm8859,-439l8849,-439,8849,-388,8859,-388,8859,-439xm9325,-439l9315,-439,9315,-388,9325,-388,9325,-439xm9790,-439l9780,-439,9780,-388,9790,-388,9790,-439xm10256,-439l10246,-439,10246,-388,10256,-388,10256,-439xm10721,-3358l10711,-3358,10711,-388,10721,-388,10721,-3358xe" filled="true" fillcolor="#000000" stroked="false">
                  <v:path arrowok="t"/>
                  <v:fill type="solid"/>
                </v:shape>
                <v:shape style="position:absolute;left:8049;top:-3730;width:241;height:86" id="docshape1907" coordorigin="8050,-3730" coordsize="241,86" path="m8291,-3703l8190,-3703,8163,-3730,8136,-3703,8050,-3703,8050,-3663,8144,-3663,8163,-3644,8181,-3663,8291,-3663,8291,-3703xe" filled="true" fillcolor="#e3c626" stroked="false">
                  <v:path arrowok="t"/>
                  <v:fill type="solid"/>
                </v:shape>
                <v:rect style="position:absolute;left:8073;top:-4151;width:135;height:108" id="docshape1908" filled="true" fillcolor="#2e614a" stroked="false">
                  <v:fill type="solid"/>
                </v:rect>
                <v:rect style="position:absolute;left:8073;top:-3944;width:135;height:108" id="docshape1909" filled="true" fillcolor="#9cbf3b" stroked="false">
                  <v:fill type="solid"/>
                </v:rect>
                <v:shape style="position:absolute;left:6993;top:-376;width:3754;height:161" type="#_x0000_t202" id="docshape1910" filled="false" stroked="false">
                  <v:textbox inset="0,0,0,0">
                    <w:txbxContent>
                      <w:p>
                        <w:pPr>
                          <w:spacing w:line="161" w:lineRule="exact" w:before="0"/>
                          <w:ind w:left="0" w:right="0" w:firstLine="0"/>
                          <w:jc w:val="left"/>
                          <w:rPr>
                            <w:rFonts w:ascii="Arial MT"/>
                            <w:sz w:val="14"/>
                          </w:rPr>
                        </w:pPr>
                        <w:r>
                          <w:rPr>
                            <w:rFonts w:ascii="Arial MT"/>
                            <w:w w:val="80"/>
                            <w:sz w:val="14"/>
                          </w:rPr>
                          <w:t>1996-97</w:t>
                        </w:r>
                        <w:r>
                          <w:rPr>
                            <w:rFonts w:ascii="Arial MT"/>
                            <w:spacing w:val="20"/>
                            <w:sz w:val="14"/>
                          </w:rPr>
                          <w:t> </w:t>
                        </w:r>
                        <w:r>
                          <w:rPr>
                            <w:rFonts w:ascii="Arial MT"/>
                            <w:w w:val="80"/>
                            <w:sz w:val="14"/>
                          </w:rPr>
                          <w:t>1997-98</w:t>
                        </w:r>
                        <w:r>
                          <w:rPr>
                            <w:rFonts w:ascii="Arial MT"/>
                            <w:spacing w:val="21"/>
                            <w:sz w:val="14"/>
                          </w:rPr>
                          <w:t> </w:t>
                        </w:r>
                        <w:r>
                          <w:rPr>
                            <w:rFonts w:ascii="Arial MT"/>
                            <w:w w:val="80"/>
                            <w:sz w:val="14"/>
                          </w:rPr>
                          <w:t>1998-99</w:t>
                        </w:r>
                        <w:r>
                          <w:rPr>
                            <w:rFonts w:ascii="Arial MT"/>
                            <w:spacing w:val="21"/>
                            <w:sz w:val="14"/>
                          </w:rPr>
                          <w:t> </w:t>
                        </w:r>
                        <w:r>
                          <w:rPr>
                            <w:rFonts w:ascii="Arial MT"/>
                            <w:w w:val="80"/>
                            <w:sz w:val="14"/>
                          </w:rPr>
                          <w:t>1999-00</w:t>
                        </w:r>
                        <w:r>
                          <w:rPr>
                            <w:rFonts w:ascii="Arial MT"/>
                            <w:spacing w:val="21"/>
                            <w:sz w:val="14"/>
                          </w:rPr>
                          <w:t> </w:t>
                        </w:r>
                        <w:r>
                          <w:rPr>
                            <w:rFonts w:ascii="Arial MT"/>
                            <w:w w:val="80"/>
                            <w:sz w:val="14"/>
                          </w:rPr>
                          <w:t>2000-01</w:t>
                        </w:r>
                        <w:r>
                          <w:rPr>
                            <w:rFonts w:ascii="Arial MT"/>
                            <w:spacing w:val="21"/>
                            <w:sz w:val="14"/>
                          </w:rPr>
                          <w:t> </w:t>
                        </w:r>
                        <w:r>
                          <w:rPr>
                            <w:rFonts w:ascii="Arial MT"/>
                            <w:w w:val="80"/>
                            <w:sz w:val="14"/>
                          </w:rPr>
                          <w:t>2001-02</w:t>
                        </w:r>
                        <w:r>
                          <w:rPr>
                            <w:rFonts w:ascii="Arial MT"/>
                            <w:spacing w:val="21"/>
                            <w:sz w:val="14"/>
                          </w:rPr>
                          <w:t> </w:t>
                        </w:r>
                        <w:r>
                          <w:rPr>
                            <w:rFonts w:ascii="Arial MT"/>
                            <w:w w:val="80"/>
                            <w:sz w:val="14"/>
                          </w:rPr>
                          <w:t>2002-03</w:t>
                        </w:r>
                        <w:r>
                          <w:rPr>
                            <w:rFonts w:ascii="Arial MT"/>
                            <w:spacing w:val="21"/>
                            <w:sz w:val="14"/>
                          </w:rPr>
                          <w:t> </w:t>
                        </w:r>
                        <w:r>
                          <w:rPr>
                            <w:rFonts w:ascii="Arial MT"/>
                            <w:w w:val="80"/>
                            <w:sz w:val="14"/>
                          </w:rPr>
                          <w:t>2003-</w:t>
                        </w:r>
                        <w:r>
                          <w:rPr>
                            <w:rFonts w:ascii="Arial MT"/>
                            <w:spacing w:val="-5"/>
                            <w:w w:val="80"/>
                            <w:sz w:val="14"/>
                          </w:rPr>
                          <w:t>04</w:t>
                        </w:r>
                      </w:p>
                    </w:txbxContent>
                  </v:textbox>
                  <w10:wrap type="none"/>
                </v:shape>
                <v:shape style="position:absolute;left:10848;top:-522;width:84;height:161" type="#_x0000_t202" id="docshape1911"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6769;top:-542;width:84;height:161" type="#_x0000_t202" id="docshape1912"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10848;top:-1102;width:84;height:161" type="#_x0000_t202" id="docshape1913" filled="false" stroked="false">
                  <v:textbox inset="0,0,0,0">
                    <w:txbxContent>
                      <w:p>
                        <w:pPr>
                          <w:spacing w:line="161" w:lineRule="exact" w:before="0"/>
                          <w:ind w:left="0" w:right="0" w:firstLine="0"/>
                          <w:jc w:val="left"/>
                          <w:rPr>
                            <w:rFonts w:ascii="Arial MT"/>
                            <w:sz w:val="14"/>
                          </w:rPr>
                        </w:pPr>
                        <w:r>
                          <w:rPr>
                            <w:rFonts w:ascii="Arial MT"/>
                            <w:spacing w:val="-10"/>
                            <w:w w:val="90"/>
                            <w:sz w:val="14"/>
                          </w:rPr>
                          <w:t>5</w:t>
                        </w:r>
                      </w:p>
                    </w:txbxContent>
                  </v:textbox>
                  <w10:wrap type="none"/>
                </v:shape>
                <v:shape style="position:absolute;left:6578;top:-1502;width:276;height:641" type="#_x0000_t202" id="docshape1914" filled="false" stroked="false">
                  <v:textbox inset="0,0,0,0">
                    <w:txbxContent>
                      <w:p>
                        <w:pPr>
                          <w:spacing w:line="161" w:lineRule="exact" w:before="0"/>
                          <w:ind w:left="0" w:right="0" w:firstLine="0"/>
                          <w:jc w:val="left"/>
                          <w:rPr>
                            <w:rFonts w:ascii="Arial MT"/>
                            <w:sz w:val="14"/>
                          </w:rPr>
                        </w:pPr>
                        <w:r>
                          <w:rPr>
                            <w:rFonts w:ascii="Arial MT"/>
                            <w:spacing w:val="-4"/>
                            <w:w w:val="85"/>
                            <w:sz w:val="14"/>
                          </w:rPr>
                          <w:t>4000</w:t>
                        </w:r>
                      </w:p>
                      <w:p>
                        <w:pPr>
                          <w:spacing w:line="240" w:lineRule="auto" w:before="158"/>
                          <w:rPr>
                            <w:rFonts w:ascii="Arial MT"/>
                            <w:sz w:val="14"/>
                          </w:rPr>
                        </w:pPr>
                      </w:p>
                      <w:p>
                        <w:pPr>
                          <w:spacing w:before="0"/>
                          <w:ind w:left="0" w:right="0" w:firstLine="0"/>
                          <w:jc w:val="left"/>
                          <w:rPr>
                            <w:rFonts w:ascii="Arial MT"/>
                            <w:sz w:val="14"/>
                          </w:rPr>
                        </w:pPr>
                        <w:r>
                          <w:rPr>
                            <w:rFonts w:ascii="Arial MT"/>
                            <w:spacing w:val="-4"/>
                            <w:w w:val="85"/>
                            <w:sz w:val="14"/>
                          </w:rPr>
                          <w:t>2000</w:t>
                        </w:r>
                      </w:p>
                    </w:txbxContent>
                  </v:textbox>
                  <w10:wrap type="none"/>
                </v:shape>
                <v:shape style="position:absolute;left:10848;top:-1682;width:148;height:161" type="#_x0000_t202" id="docshape1915" filled="false" stroked="false">
                  <v:textbox inset="0,0,0,0">
                    <w:txbxContent>
                      <w:p>
                        <w:pPr>
                          <w:spacing w:line="161" w:lineRule="exact" w:before="0"/>
                          <w:ind w:left="0" w:right="0" w:firstLine="0"/>
                          <w:jc w:val="left"/>
                          <w:rPr>
                            <w:rFonts w:ascii="Arial MT"/>
                            <w:sz w:val="14"/>
                          </w:rPr>
                        </w:pPr>
                        <w:r>
                          <w:rPr>
                            <w:rFonts w:ascii="Arial MT"/>
                            <w:spacing w:val="-5"/>
                            <w:w w:val="90"/>
                            <w:sz w:val="14"/>
                          </w:rPr>
                          <w:t>10</w:t>
                        </w:r>
                      </w:p>
                    </w:txbxContent>
                  </v:textbox>
                  <w10:wrap type="none"/>
                </v:shape>
                <v:shape style="position:absolute;left:6578;top:-1982;width:276;height:161" type="#_x0000_t202" id="docshape1916" filled="false" stroked="false">
                  <v:textbox inset="0,0,0,0">
                    <w:txbxContent>
                      <w:p>
                        <w:pPr>
                          <w:spacing w:line="161" w:lineRule="exact" w:before="0"/>
                          <w:ind w:left="0" w:right="0" w:firstLine="0"/>
                          <w:jc w:val="left"/>
                          <w:rPr>
                            <w:rFonts w:ascii="Arial MT"/>
                            <w:sz w:val="14"/>
                          </w:rPr>
                        </w:pPr>
                        <w:r>
                          <w:rPr>
                            <w:rFonts w:ascii="Arial MT"/>
                            <w:spacing w:val="-4"/>
                            <w:w w:val="85"/>
                            <w:sz w:val="14"/>
                          </w:rPr>
                          <w:t>6000</w:t>
                        </w:r>
                      </w:p>
                    </w:txbxContent>
                  </v:textbox>
                  <w10:wrap type="none"/>
                </v:shape>
                <v:shape style="position:absolute;left:10848;top:-2262;width:148;height:161" type="#_x0000_t202" id="docshape1917" filled="false" stroked="false">
                  <v:textbox inset="0,0,0,0">
                    <w:txbxContent>
                      <w:p>
                        <w:pPr>
                          <w:spacing w:line="161" w:lineRule="exact" w:before="0"/>
                          <w:ind w:left="0" w:right="0" w:firstLine="0"/>
                          <w:jc w:val="left"/>
                          <w:rPr>
                            <w:rFonts w:ascii="Arial MT"/>
                            <w:sz w:val="14"/>
                          </w:rPr>
                        </w:pPr>
                        <w:r>
                          <w:rPr>
                            <w:rFonts w:ascii="Arial MT"/>
                            <w:spacing w:val="-5"/>
                            <w:w w:val="90"/>
                            <w:sz w:val="14"/>
                          </w:rPr>
                          <w:t>15</w:t>
                        </w:r>
                      </w:p>
                    </w:txbxContent>
                  </v:textbox>
                  <w10:wrap type="none"/>
                </v:shape>
                <v:shape style="position:absolute;left:6578;top:-2462;width:276;height:161" type="#_x0000_t202" id="docshape1918" filled="false" stroked="false">
                  <v:textbox inset="0,0,0,0">
                    <w:txbxContent>
                      <w:p>
                        <w:pPr>
                          <w:spacing w:line="161" w:lineRule="exact" w:before="0"/>
                          <w:ind w:left="0" w:right="0" w:firstLine="0"/>
                          <w:jc w:val="left"/>
                          <w:rPr>
                            <w:rFonts w:ascii="Arial MT"/>
                            <w:sz w:val="14"/>
                          </w:rPr>
                        </w:pPr>
                        <w:r>
                          <w:rPr>
                            <w:rFonts w:ascii="Arial MT"/>
                            <w:spacing w:val="-4"/>
                            <w:w w:val="85"/>
                            <w:sz w:val="14"/>
                          </w:rPr>
                          <w:t>8000</w:t>
                        </w:r>
                      </w:p>
                    </w:txbxContent>
                  </v:textbox>
                  <w10:wrap type="none"/>
                </v:shape>
                <v:shape style="position:absolute;left:10848;top:-2842;width:148;height:161" type="#_x0000_t202" id="docshape1919" filled="false" stroked="false">
                  <v:textbox inset="0,0,0,0">
                    <w:txbxContent>
                      <w:p>
                        <w:pPr>
                          <w:spacing w:line="161" w:lineRule="exact" w:before="0"/>
                          <w:ind w:left="0" w:right="0" w:firstLine="0"/>
                          <w:jc w:val="left"/>
                          <w:rPr>
                            <w:rFonts w:ascii="Arial MT"/>
                            <w:sz w:val="14"/>
                          </w:rPr>
                        </w:pPr>
                        <w:r>
                          <w:rPr>
                            <w:rFonts w:ascii="Arial MT"/>
                            <w:spacing w:val="-5"/>
                            <w:w w:val="90"/>
                            <w:sz w:val="14"/>
                          </w:rPr>
                          <w:t>20</w:t>
                        </w:r>
                      </w:p>
                    </w:txbxContent>
                  </v:textbox>
                  <w10:wrap type="none"/>
                </v:shape>
                <v:shape style="position:absolute;left:6514;top:-2942;width:340;height:161" type="#_x0000_t202" id="docshape1920" filled="false" stroked="false">
                  <v:textbox inset="0,0,0,0">
                    <w:txbxContent>
                      <w:p>
                        <w:pPr>
                          <w:spacing w:line="161" w:lineRule="exact" w:before="0"/>
                          <w:ind w:left="0" w:right="0" w:firstLine="0"/>
                          <w:jc w:val="left"/>
                          <w:rPr>
                            <w:rFonts w:ascii="Arial MT"/>
                            <w:sz w:val="14"/>
                          </w:rPr>
                        </w:pPr>
                        <w:r>
                          <w:rPr>
                            <w:rFonts w:ascii="Arial MT"/>
                            <w:spacing w:val="-2"/>
                            <w:w w:val="85"/>
                            <w:sz w:val="14"/>
                          </w:rPr>
                          <w:t>10000</w:t>
                        </w:r>
                      </w:p>
                    </w:txbxContent>
                  </v:textbox>
                  <w10:wrap type="none"/>
                </v:shape>
                <v:shape style="position:absolute;left:8366;top:-4187;width:2637;height:927" type="#_x0000_t202" id="docshape1921" filled="false" stroked="false">
                  <v:textbox inset="0,0,0,0">
                    <w:txbxContent>
                      <w:p>
                        <w:pPr>
                          <w:spacing w:line="161" w:lineRule="exact" w:before="0"/>
                          <w:ind w:left="0" w:right="0" w:firstLine="0"/>
                          <w:jc w:val="left"/>
                          <w:rPr>
                            <w:rFonts w:ascii="Arial MT"/>
                            <w:sz w:val="14"/>
                          </w:rPr>
                        </w:pPr>
                        <w:r>
                          <w:rPr>
                            <w:rFonts w:ascii="Arial MT"/>
                            <w:w w:val="80"/>
                            <w:sz w:val="14"/>
                          </w:rPr>
                          <w:t>Total</w:t>
                        </w:r>
                        <w:r>
                          <w:rPr>
                            <w:rFonts w:ascii="Arial MT"/>
                            <w:spacing w:val="-6"/>
                            <w:sz w:val="14"/>
                          </w:rPr>
                          <w:t> </w:t>
                        </w:r>
                        <w:r>
                          <w:rPr>
                            <w:rFonts w:ascii="Arial MT"/>
                            <w:w w:val="80"/>
                            <w:sz w:val="14"/>
                          </w:rPr>
                          <w:t>enrolment</w:t>
                        </w:r>
                        <w:r>
                          <w:rPr>
                            <w:rFonts w:ascii="Arial MT"/>
                            <w:spacing w:val="-5"/>
                            <w:sz w:val="14"/>
                          </w:rPr>
                          <w:t> </w:t>
                        </w:r>
                        <w:r>
                          <w:rPr>
                            <w:rFonts w:ascii="Arial MT"/>
                            <w:w w:val="80"/>
                            <w:sz w:val="14"/>
                          </w:rPr>
                          <w:t>in</w:t>
                        </w:r>
                        <w:r>
                          <w:rPr>
                            <w:rFonts w:ascii="Arial MT"/>
                            <w:spacing w:val="-5"/>
                            <w:sz w:val="14"/>
                          </w:rPr>
                          <w:t> </w:t>
                        </w:r>
                        <w:r>
                          <w:rPr>
                            <w:rFonts w:ascii="Arial MT"/>
                            <w:w w:val="80"/>
                            <w:sz w:val="14"/>
                          </w:rPr>
                          <w:t>higher</w:t>
                        </w:r>
                        <w:r>
                          <w:rPr>
                            <w:rFonts w:ascii="Arial MT"/>
                            <w:spacing w:val="-5"/>
                            <w:sz w:val="14"/>
                          </w:rPr>
                          <w:t> </w:t>
                        </w:r>
                        <w:r>
                          <w:rPr>
                            <w:rFonts w:ascii="Arial MT"/>
                            <w:spacing w:val="-2"/>
                            <w:w w:val="80"/>
                            <w:sz w:val="14"/>
                          </w:rPr>
                          <w:t>education</w:t>
                        </w:r>
                      </w:p>
                      <w:p>
                        <w:pPr>
                          <w:spacing w:line="283" w:lineRule="auto" w:before="31"/>
                          <w:ind w:left="0" w:right="0" w:firstLine="0"/>
                          <w:jc w:val="left"/>
                          <w:rPr>
                            <w:rFonts w:ascii="Arial MT"/>
                            <w:sz w:val="14"/>
                          </w:rPr>
                        </w:pPr>
                        <w:r>
                          <w:rPr>
                            <w:rFonts w:ascii="Arial MT"/>
                            <w:w w:val="80"/>
                            <w:sz w:val="14"/>
                          </w:rPr>
                          <w:t>Enrolment in open universities and correspondence</w:t>
                        </w:r>
                        <w:r>
                          <w:rPr>
                            <w:rFonts w:ascii="Arial MT"/>
                            <w:spacing w:val="40"/>
                            <w:sz w:val="14"/>
                          </w:rPr>
                          <w:t> </w:t>
                        </w:r>
                        <w:r>
                          <w:rPr>
                            <w:rFonts w:ascii="Arial MT"/>
                            <w:w w:val="85"/>
                            <w:sz w:val="14"/>
                          </w:rPr>
                          <w:t>Enrolment</w:t>
                        </w:r>
                        <w:r>
                          <w:rPr>
                            <w:rFonts w:ascii="Arial MT"/>
                            <w:spacing w:val="-3"/>
                            <w:w w:val="85"/>
                            <w:sz w:val="14"/>
                          </w:rPr>
                          <w:t> </w:t>
                        </w:r>
                        <w:r>
                          <w:rPr>
                            <w:rFonts w:ascii="Arial MT"/>
                            <w:w w:val="85"/>
                            <w:sz w:val="14"/>
                          </w:rPr>
                          <w:t>in</w:t>
                        </w:r>
                        <w:r>
                          <w:rPr>
                            <w:rFonts w:ascii="Arial MT"/>
                            <w:spacing w:val="-3"/>
                            <w:w w:val="85"/>
                            <w:sz w:val="14"/>
                          </w:rPr>
                          <w:t> </w:t>
                        </w:r>
                        <w:r>
                          <w:rPr>
                            <w:rFonts w:ascii="Arial MT"/>
                            <w:w w:val="85"/>
                            <w:sz w:val="14"/>
                          </w:rPr>
                          <w:t>ODE</w:t>
                        </w:r>
                        <w:r>
                          <w:rPr>
                            <w:rFonts w:ascii="Arial MT"/>
                            <w:spacing w:val="-3"/>
                            <w:w w:val="85"/>
                            <w:sz w:val="14"/>
                          </w:rPr>
                          <w:t> </w:t>
                        </w:r>
                        <w:r>
                          <w:rPr>
                            <w:rFonts w:ascii="Arial MT"/>
                            <w:w w:val="85"/>
                            <w:sz w:val="14"/>
                          </w:rPr>
                          <w:t>as</w:t>
                        </w:r>
                        <w:r>
                          <w:rPr>
                            <w:rFonts w:ascii="Arial MT"/>
                            <w:spacing w:val="-3"/>
                            <w:w w:val="85"/>
                            <w:sz w:val="14"/>
                          </w:rPr>
                          <w:t> </w:t>
                        </w:r>
                        <w:r>
                          <w:rPr>
                            <w:rFonts w:ascii="Arial MT"/>
                            <w:w w:val="85"/>
                            <w:sz w:val="14"/>
                          </w:rPr>
                          <w:t>a</w:t>
                        </w:r>
                        <w:r>
                          <w:rPr>
                            <w:rFonts w:ascii="Arial MT"/>
                            <w:spacing w:val="-3"/>
                            <w:w w:val="85"/>
                            <w:sz w:val="14"/>
                          </w:rPr>
                          <w:t> </w:t>
                        </w:r>
                        <w:r>
                          <w:rPr>
                            <w:rFonts w:ascii="Arial MT"/>
                            <w:w w:val="85"/>
                            <w:sz w:val="14"/>
                          </w:rPr>
                          <w:t>percentage</w:t>
                        </w:r>
                        <w:r>
                          <w:rPr>
                            <w:rFonts w:ascii="Arial MT"/>
                            <w:spacing w:val="-3"/>
                            <w:w w:val="85"/>
                            <w:sz w:val="14"/>
                          </w:rPr>
                          <w:t> </w:t>
                        </w:r>
                        <w:r>
                          <w:rPr>
                            <w:rFonts w:ascii="Arial MT"/>
                            <w:w w:val="85"/>
                            <w:sz w:val="14"/>
                          </w:rPr>
                          <w:t>of</w:t>
                        </w:r>
                        <w:r>
                          <w:rPr>
                            <w:rFonts w:ascii="Arial MT"/>
                            <w:spacing w:val="-3"/>
                            <w:w w:val="85"/>
                            <w:sz w:val="14"/>
                          </w:rPr>
                          <w:t> </w:t>
                        </w:r>
                        <w:r>
                          <w:rPr>
                            <w:rFonts w:ascii="Arial MT"/>
                            <w:w w:val="85"/>
                            <w:sz w:val="14"/>
                          </w:rPr>
                          <w:t>total</w:t>
                        </w:r>
                        <w:r>
                          <w:rPr>
                            <w:rFonts w:ascii="Arial MT"/>
                            <w:spacing w:val="-3"/>
                            <w:w w:val="85"/>
                            <w:sz w:val="14"/>
                          </w:rPr>
                          <w:t> </w:t>
                        </w:r>
                        <w:r>
                          <w:rPr>
                            <w:rFonts w:ascii="Arial MT"/>
                            <w:w w:val="85"/>
                            <w:sz w:val="14"/>
                          </w:rPr>
                          <w:t>higher</w:t>
                        </w:r>
                        <w:r>
                          <w:rPr>
                            <w:rFonts w:ascii="Arial MT"/>
                            <w:spacing w:val="40"/>
                            <w:sz w:val="14"/>
                          </w:rPr>
                          <w:t> </w:t>
                        </w:r>
                        <w:r>
                          <w:rPr>
                            <w:rFonts w:ascii="Arial MT"/>
                            <w:spacing w:val="-2"/>
                            <w:w w:val="90"/>
                            <w:sz w:val="14"/>
                          </w:rPr>
                          <w:t>education</w:t>
                        </w:r>
                      </w:p>
                      <w:p>
                        <w:pPr>
                          <w:spacing w:before="3"/>
                          <w:ind w:left="2482" w:right="0" w:firstLine="0"/>
                          <w:jc w:val="left"/>
                          <w:rPr>
                            <w:rFonts w:ascii="Arial MT"/>
                            <w:sz w:val="14"/>
                          </w:rPr>
                        </w:pPr>
                        <w:r>
                          <w:rPr>
                            <w:rFonts w:ascii="Arial MT"/>
                            <w:spacing w:val="-5"/>
                            <w:w w:val="90"/>
                            <w:sz w:val="14"/>
                          </w:rPr>
                          <w:t>25</w:t>
                        </w:r>
                      </w:p>
                    </w:txbxContent>
                  </v:textbox>
                  <w10:wrap type="none"/>
                </v:shape>
                <v:shape style="position:absolute;left:6514;top:-3422;width:340;height:161" type="#_x0000_t202" id="docshape1922" filled="false" stroked="false">
                  <v:textbox inset="0,0,0,0">
                    <w:txbxContent>
                      <w:p>
                        <w:pPr>
                          <w:spacing w:line="161" w:lineRule="exact" w:before="0"/>
                          <w:ind w:left="0" w:right="0" w:firstLine="0"/>
                          <w:jc w:val="left"/>
                          <w:rPr>
                            <w:rFonts w:ascii="Arial MT"/>
                            <w:sz w:val="14"/>
                          </w:rPr>
                        </w:pPr>
                        <w:r>
                          <w:rPr>
                            <w:rFonts w:ascii="Arial MT"/>
                            <w:spacing w:val="-2"/>
                            <w:w w:val="85"/>
                            <w:sz w:val="14"/>
                          </w:rPr>
                          <w:t>12000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2784">
                <wp:simplePos x="0" y="0"/>
                <wp:positionH relativeFrom="page">
                  <wp:posOffset>3939768</wp:posOffset>
                </wp:positionH>
                <wp:positionV relativeFrom="paragraph">
                  <wp:posOffset>-1451639</wp:posOffset>
                </wp:positionV>
                <wp:extent cx="127635" cy="414655"/>
                <wp:effectExtent l="0" t="0" r="0" b="0"/>
                <wp:wrapNone/>
                <wp:docPr id="1937" name="Textbox 1937"/>
                <wp:cNvGraphicFramePr>
                  <a:graphicFrameLocks/>
                </wp:cNvGraphicFramePr>
                <a:graphic>
                  <a:graphicData uri="http://schemas.microsoft.com/office/word/2010/wordprocessingShape">
                    <wps:wsp>
                      <wps:cNvPr id="1937" name="Textbox 1937"/>
                      <wps:cNvSpPr txBox="1"/>
                      <wps:spPr>
                        <a:xfrm>
                          <a:off x="0" y="0"/>
                          <a:ext cx="127635" cy="414655"/>
                        </a:xfrm>
                        <a:prstGeom prst="rect">
                          <a:avLst/>
                        </a:prstGeom>
                      </wps:spPr>
                      <wps:txbx>
                        <w:txbxContent>
                          <w:p>
                            <w:pPr>
                              <w:spacing w:before="19"/>
                              <w:ind w:left="20" w:right="0" w:firstLine="0"/>
                              <w:jc w:val="left"/>
                              <w:rPr>
                                <w:rFonts w:ascii="Arial"/>
                                <w:b/>
                                <w:sz w:val="14"/>
                              </w:rPr>
                            </w:pPr>
                            <w:r>
                              <w:rPr>
                                <w:rFonts w:ascii="Arial"/>
                                <w:b/>
                                <w:spacing w:val="-2"/>
                                <w:w w:val="80"/>
                                <w:sz w:val="14"/>
                              </w:rPr>
                              <w:t>Thousands</w:t>
                            </w:r>
                          </w:p>
                        </w:txbxContent>
                      </wps:txbx>
                      <wps:bodyPr wrap="square" lIns="0" tIns="0" rIns="0" bIns="0" rtlCol="0" vert="vert270">
                        <a:noAutofit/>
                      </wps:bodyPr>
                    </wps:wsp>
                  </a:graphicData>
                </a:graphic>
              </wp:anchor>
            </w:drawing>
          </mc:Choice>
          <mc:Fallback>
            <w:pict>
              <v:shape style="position:absolute;margin-left:310.218018pt;margin-top:-114.302299pt;width:10.050pt;height:32.65pt;mso-position-horizontal-relative:page;mso-position-vertical-relative:paragraph;z-index:15862784" type="#_x0000_t202" id="docshape1923" filled="false" stroked="false">
                <v:textbox inset="0,0,0,0" style="layout-flow:vertical;mso-layout-flow-alt:bottom-to-top">
                  <w:txbxContent>
                    <w:p>
                      <w:pPr>
                        <w:spacing w:before="19"/>
                        <w:ind w:left="20" w:right="0" w:firstLine="0"/>
                        <w:jc w:val="left"/>
                        <w:rPr>
                          <w:rFonts w:ascii="Arial"/>
                          <w:b/>
                          <w:sz w:val="14"/>
                        </w:rPr>
                      </w:pPr>
                      <w:r>
                        <w:rPr>
                          <w:rFonts w:ascii="Arial"/>
                          <w:b/>
                          <w:spacing w:val="-2"/>
                          <w:w w:val="80"/>
                          <w:sz w:val="14"/>
                        </w:rPr>
                        <w:t>Thousands</w:t>
                      </w:r>
                    </w:p>
                  </w:txbxContent>
                </v:textbox>
                <w10:wrap type="none"/>
              </v:shape>
            </w:pict>
          </mc:Fallback>
        </mc:AlternateContent>
      </w:r>
      <w:r>
        <w:rPr>
          <w:i/>
          <w:w w:val="85"/>
          <w:sz w:val="16"/>
        </w:rPr>
        <w:t>Source:</w:t>
      </w:r>
      <w:r>
        <w:rPr>
          <w:i/>
          <w:spacing w:val="-5"/>
          <w:sz w:val="16"/>
        </w:rPr>
        <w:t> </w:t>
      </w:r>
      <w:r>
        <w:rPr>
          <w:spacing w:val="-4"/>
          <w:sz w:val="16"/>
        </w:rPr>
        <w:t>MHRD</w:t>
      </w:r>
    </w:p>
    <w:p>
      <w:pPr>
        <w:pStyle w:val="BodyText"/>
        <w:rPr>
          <w:sz w:val="16"/>
        </w:rPr>
      </w:pPr>
    </w:p>
    <w:p>
      <w:pPr>
        <w:pStyle w:val="BodyText"/>
        <w:rPr>
          <w:sz w:val="16"/>
        </w:rPr>
      </w:pPr>
    </w:p>
    <w:p>
      <w:pPr>
        <w:pStyle w:val="BodyText"/>
        <w:spacing w:before="171"/>
        <w:rPr>
          <w:sz w:val="16"/>
        </w:rPr>
      </w:pPr>
    </w:p>
    <w:p>
      <w:pPr>
        <w:pStyle w:val="Heading8"/>
        <w:spacing w:line="242" w:lineRule="auto"/>
        <w:ind w:left="1471" w:right="1525" w:hanging="1029"/>
      </w:pPr>
      <w:r>
        <w:rPr/>
        <mc:AlternateContent>
          <mc:Choice Requires="wps">
            <w:drawing>
              <wp:anchor distT="0" distB="0" distL="0" distR="0" allowOverlap="1" layoutInCell="1" locked="0" behindDoc="0" simplePos="0" relativeHeight="15861248">
                <wp:simplePos x="0" y="0"/>
                <wp:positionH relativeFrom="page">
                  <wp:posOffset>3756349</wp:posOffset>
                </wp:positionH>
                <wp:positionV relativeFrom="paragraph">
                  <wp:posOffset>442756</wp:posOffset>
                </wp:positionV>
                <wp:extent cx="3346450" cy="2905760"/>
                <wp:effectExtent l="0" t="0" r="0" b="0"/>
                <wp:wrapNone/>
                <wp:docPr id="1938" name="Group 1938"/>
                <wp:cNvGraphicFramePr>
                  <a:graphicFrameLocks/>
                </wp:cNvGraphicFramePr>
                <a:graphic>
                  <a:graphicData uri="http://schemas.microsoft.com/office/word/2010/wordprocessingGroup">
                    <wpg:wgp>
                      <wpg:cNvPr id="1938" name="Group 1938"/>
                      <wpg:cNvGrpSpPr/>
                      <wpg:grpSpPr>
                        <a:xfrm>
                          <a:off x="0" y="0"/>
                          <a:ext cx="3346450" cy="2905760"/>
                          <a:chExt cx="3346450" cy="2905760"/>
                        </a:xfrm>
                      </wpg:grpSpPr>
                      <wps:wsp>
                        <wps:cNvPr id="1939" name="Graphic 1939"/>
                        <wps:cNvSpPr/>
                        <wps:spPr>
                          <a:xfrm>
                            <a:off x="-6" y="0"/>
                            <a:ext cx="3346450" cy="2905760"/>
                          </a:xfrm>
                          <a:custGeom>
                            <a:avLst/>
                            <a:gdLst/>
                            <a:ahLst/>
                            <a:cxnLst/>
                            <a:rect l="l" t="t" r="r" b="b"/>
                            <a:pathLst>
                              <a:path w="3346450" h="2905760">
                                <a:moveTo>
                                  <a:pt x="3346450" y="0"/>
                                </a:moveTo>
                                <a:lnTo>
                                  <a:pt x="3340100" y="0"/>
                                </a:lnTo>
                                <a:lnTo>
                                  <a:pt x="3340100" y="6413"/>
                                </a:lnTo>
                                <a:lnTo>
                                  <a:pt x="3340100" y="2899410"/>
                                </a:lnTo>
                                <a:lnTo>
                                  <a:pt x="3340100" y="2899562"/>
                                </a:lnTo>
                                <a:lnTo>
                                  <a:pt x="3340100" y="2902737"/>
                                </a:lnTo>
                                <a:lnTo>
                                  <a:pt x="3340100" y="2903220"/>
                                </a:lnTo>
                                <a:lnTo>
                                  <a:pt x="3175" y="2903220"/>
                                </a:lnTo>
                                <a:lnTo>
                                  <a:pt x="3175" y="2902737"/>
                                </a:lnTo>
                                <a:lnTo>
                                  <a:pt x="6350" y="2902737"/>
                                </a:lnTo>
                                <a:lnTo>
                                  <a:pt x="3340100" y="2902737"/>
                                </a:lnTo>
                                <a:lnTo>
                                  <a:pt x="3340100" y="2899562"/>
                                </a:lnTo>
                                <a:lnTo>
                                  <a:pt x="6350" y="2899562"/>
                                </a:lnTo>
                                <a:lnTo>
                                  <a:pt x="3175" y="2899562"/>
                                </a:lnTo>
                                <a:lnTo>
                                  <a:pt x="3175" y="2899410"/>
                                </a:lnTo>
                                <a:lnTo>
                                  <a:pt x="6350" y="2899410"/>
                                </a:lnTo>
                                <a:lnTo>
                                  <a:pt x="6350" y="6413"/>
                                </a:lnTo>
                                <a:lnTo>
                                  <a:pt x="3340100" y="6413"/>
                                </a:lnTo>
                                <a:lnTo>
                                  <a:pt x="3340100" y="0"/>
                                </a:lnTo>
                                <a:lnTo>
                                  <a:pt x="0" y="0"/>
                                </a:lnTo>
                                <a:lnTo>
                                  <a:pt x="0" y="3810"/>
                                </a:lnTo>
                                <a:lnTo>
                                  <a:pt x="0" y="6350"/>
                                </a:lnTo>
                                <a:lnTo>
                                  <a:pt x="0" y="2899410"/>
                                </a:lnTo>
                                <a:lnTo>
                                  <a:pt x="0" y="2903220"/>
                                </a:lnTo>
                                <a:lnTo>
                                  <a:pt x="0" y="2905760"/>
                                </a:lnTo>
                                <a:lnTo>
                                  <a:pt x="3346450" y="2905760"/>
                                </a:lnTo>
                                <a:lnTo>
                                  <a:pt x="3346450" y="2903220"/>
                                </a:lnTo>
                                <a:lnTo>
                                  <a:pt x="3343275" y="2903220"/>
                                </a:lnTo>
                                <a:lnTo>
                                  <a:pt x="3343275" y="2902737"/>
                                </a:lnTo>
                                <a:lnTo>
                                  <a:pt x="3346450" y="2902737"/>
                                </a:lnTo>
                                <a:lnTo>
                                  <a:pt x="3346450" y="2899562"/>
                                </a:lnTo>
                                <a:lnTo>
                                  <a:pt x="3343275" y="2899562"/>
                                </a:lnTo>
                                <a:lnTo>
                                  <a:pt x="3343275" y="2899410"/>
                                </a:lnTo>
                                <a:lnTo>
                                  <a:pt x="3346450" y="2899410"/>
                                </a:lnTo>
                                <a:lnTo>
                                  <a:pt x="3346450" y="6413"/>
                                </a:lnTo>
                                <a:lnTo>
                                  <a:pt x="3346450" y="3810"/>
                                </a:lnTo>
                                <a:lnTo>
                                  <a:pt x="3346450" y="3238"/>
                                </a:lnTo>
                                <a:lnTo>
                                  <a:pt x="3346450" y="0"/>
                                </a:lnTo>
                                <a:close/>
                              </a:path>
                            </a:pathLst>
                          </a:custGeom>
                          <a:solidFill>
                            <a:srgbClr val="000000"/>
                          </a:solidFill>
                        </wps:spPr>
                        <wps:bodyPr wrap="square" lIns="0" tIns="0" rIns="0" bIns="0" rtlCol="0">
                          <a:prstTxWarp prst="textNoShape">
                            <a:avLst/>
                          </a:prstTxWarp>
                          <a:noAutofit/>
                        </wps:bodyPr>
                      </wps:wsp>
                      <wps:wsp>
                        <wps:cNvPr id="1940" name="Graphic 1940"/>
                        <wps:cNvSpPr/>
                        <wps:spPr>
                          <a:xfrm>
                            <a:off x="560317" y="2169741"/>
                            <a:ext cx="85725" cy="458470"/>
                          </a:xfrm>
                          <a:custGeom>
                            <a:avLst/>
                            <a:gdLst/>
                            <a:ahLst/>
                            <a:cxnLst/>
                            <a:rect l="l" t="t" r="r" b="b"/>
                            <a:pathLst>
                              <a:path w="85725" h="458470">
                                <a:moveTo>
                                  <a:pt x="85725" y="0"/>
                                </a:moveTo>
                                <a:lnTo>
                                  <a:pt x="0" y="0"/>
                                </a:lnTo>
                                <a:lnTo>
                                  <a:pt x="0" y="458288"/>
                                </a:lnTo>
                                <a:lnTo>
                                  <a:pt x="85725" y="458288"/>
                                </a:lnTo>
                                <a:lnTo>
                                  <a:pt x="85725" y="0"/>
                                </a:lnTo>
                                <a:close/>
                              </a:path>
                            </a:pathLst>
                          </a:custGeom>
                          <a:solidFill>
                            <a:srgbClr val="2E614A"/>
                          </a:solidFill>
                        </wps:spPr>
                        <wps:bodyPr wrap="square" lIns="0" tIns="0" rIns="0" bIns="0" rtlCol="0">
                          <a:prstTxWarp prst="textNoShape">
                            <a:avLst/>
                          </a:prstTxWarp>
                          <a:noAutofit/>
                        </wps:bodyPr>
                      </wps:wsp>
                      <wps:wsp>
                        <wps:cNvPr id="1941" name="Graphic 1941"/>
                        <wps:cNvSpPr/>
                        <wps:spPr>
                          <a:xfrm>
                            <a:off x="646042" y="1353313"/>
                            <a:ext cx="85725" cy="1275080"/>
                          </a:xfrm>
                          <a:custGeom>
                            <a:avLst/>
                            <a:gdLst/>
                            <a:ahLst/>
                            <a:cxnLst/>
                            <a:rect l="l" t="t" r="r" b="b"/>
                            <a:pathLst>
                              <a:path w="85725" h="1275080">
                                <a:moveTo>
                                  <a:pt x="85725" y="0"/>
                                </a:moveTo>
                                <a:lnTo>
                                  <a:pt x="0" y="0"/>
                                </a:lnTo>
                                <a:lnTo>
                                  <a:pt x="0" y="1274717"/>
                                </a:lnTo>
                                <a:lnTo>
                                  <a:pt x="85725" y="1274717"/>
                                </a:lnTo>
                                <a:lnTo>
                                  <a:pt x="85725" y="0"/>
                                </a:lnTo>
                                <a:close/>
                              </a:path>
                            </a:pathLst>
                          </a:custGeom>
                          <a:solidFill>
                            <a:srgbClr val="9CBF3B"/>
                          </a:solidFill>
                        </wps:spPr>
                        <wps:bodyPr wrap="square" lIns="0" tIns="0" rIns="0" bIns="0" rtlCol="0">
                          <a:prstTxWarp prst="textNoShape">
                            <a:avLst/>
                          </a:prstTxWarp>
                          <a:noAutofit/>
                        </wps:bodyPr>
                      </wps:wsp>
                      <wps:wsp>
                        <wps:cNvPr id="1942" name="Graphic 1942"/>
                        <wps:cNvSpPr/>
                        <wps:spPr>
                          <a:xfrm>
                            <a:off x="447096" y="758050"/>
                            <a:ext cx="2657475" cy="1907539"/>
                          </a:xfrm>
                          <a:custGeom>
                            <a:avLst/>
                            <a:gdLst/>
                            <a:ahLst/>
                            <a:cxnLst/>
                            <a:rect l="l" t="t" r="r" b="b"/>
                            <a:pathLst>
                              <a:path w="2657475" h="1907539">
                                <a:moveTo>
                                  <a:pt x="49618" y="1533525"/>
                                </a:moveTo>
                                <a:lnTo>
                                  <a:pt x="0" y="1533525"/>
                                </a:lnTo>
                                <a:lnTo>
                                  <a:pt x="0" y="1539875"/>
                                </a:lnTo>
                                <a:lnTo>
                                  <a:pt x="49618" y="1539875"/>
                                </a:lnTo>
                                <a:lnTo>
                                  <a:pt x="49618" y="1533525"/>
                                </a:lnTo>
                                <a:close/>
                              </a:path>
                              <a:path w="2657475" h="1907539">
                                <a:moveTo>
                                  <a:pt x="49618" y="1225550"/>
                                </a:moveTo>
                                <a:lnTo>
                                  <a:pt x="0" y="1225550"/>
                                </a:lnTo>
                                <a:lnTo>
                                  <a:pt x="0" y="1231900"/>
                                </a:lnTo>
                                <a:lnTo>
                                  <a:pt x="49618" y="1231900"/>
                                </a:lnTo>
                                <a:lnTo>
                                  <a:pt x="49618" y="1225550"/>
                                </a:lnTo>
                                <a:close/>
                              </a:path>
                              <a:path w="2657475" h="1907539">
                                <a:moveTo>
                                  <a:pt x="49618" y="923925"/>
                                </a:moveTo>
                                <a:lnTo>
                                  <a:pt x="0" y="923925"/>
                                </a:lnTo>
                                <a:lnTo>
                                  <a:pt x="0" y="930275"/>
                                </a:lnTo>
                                <a:lnTo>
                                  <a:pt x="49618" y="930275"/>
                                </a:lnTo>
                                <a:lnTo>
                                  <a:pt x="49618" y="923925"/>
                                </a:lnTo>
                                <a:close/>
                              </a:path>
                              <a:path w="2657475" h="1907539">
                                <a:moveTo>
                                  <a:pt x="49618" y="612775"/>
                                </a:moveTo>
                                <a:lnTo>
                                  <a:pt x="0" y="612775"/>
                                </a:lnTo>
                                <a:lnTo>
                                  <a:pt x="0" y="619125"/>
                                </a:lnTo>
                                <a:lnTo>
                                  <a:pt x="49618" y="619125"/>
                                </a:lnTo>
                                <a:lnTo>
                                  <a:pt x="49618" y="612775"/>
                                </a:lnTo>
                                <a:close/>
                              </a:path>
                              <a:path w="2657475" h="1907539">
                                <a:moveTo>
                                  <a:pt x="49618" y="295275"/>
                                </a:moveTo>
                                <a:lnTo>
                                  <a:pt x="0" y="295275"/>
                                </a:lnTo>
                                <a:lnTo>
                                  <a:pt x="0" y="301625"/>
                                </a:lnTo>
                                <a:lnTo>
                                  <a:pt x="49618" y="301625"/>
                                </a:lnTo>
                                <a:lnTo>
                                  <a:pt x="49618" y="295275"/>
                                </a:lnTo>
                                <a:close/>
                              </a:path>
                              <a:path w="2657475" h="1907539">
                                <a:moveTo>
                                  <a:pt x="49618" y="0"/>
                                </a:moveTo>
                                <a:lnTo>
                                  <a:pt x="0" y="0"/>
                                </a:lnTo>
                                <a:lnTo>
                                  <a:pt x="0" y="6350"/>
                                </a:lnTo>
                                <a:lnTo>
                                  <a:pt x="49618" y="6350"/>
                                </a:lnTo>
                                <a:lnTo>
                                  <a:pt x="49618" y="0"/>
                                </a:lnTo>
                                <a:close/>
                              </a:path>
                              <a:path w="2657475" h="1907539">
                                <a:moveTo>
                                  <a:pt x="2654490" y="1869020"/>
                                </a:moveTo>
                                <a:lnTo>
                                  <a:pt x="2599601" y="1869020"/>
                                </a:lnTo>
                                <a:lnTo>
                                  <a:pt x="2599601" y="1341805"/>
                                </a:lnTo>
                                <a:lnTo>
                                  <a:pt x="2651595" y="1341805"/>
                                </a:lnTo>
                                <a:lnTo>
                                  <a:pt x="2651595" y="1335455"/>
                                </a:lnTo>
                                <a:lnTo>
                                  <a:pt x="2599601" y="1335455"/>
                                </a:lnTo>
                                <a:lnTo>
                                  <a:pt x="2599601" y="1075029"/>
                                </a:lnTo>
                                <a:lnTo>
                                  <a:pt x="2651595" y="1075029"/>
                                </a:lnTo>
                                <a:lnTo>
                                  <a:pt x="2651595" y="1068679"/>
                                </a:lnTo>
                                <a:lnTo>
                                  <a:pt x="2599601" y="1068679"/>
                                </a:lnTo>
                                <a:lnTo>
                                  <a:pt x="2599601" y="808253"/>
                                </a:lnTo>
                                <a:lnTo>
                                  <a:pt x="2651595" y="808253"/>
                                </a:lnTo>
                                <a:lnTo>
                                  <a:pt x="2651595" y="801903"/>
                                </a:lnTo>
                                <a:lnTo>
                                  <a:pt x="2599601" y="801903"/>
                                </a:lnTo>
                                <a:lnTo>
                                  <a:pt x="2599601" y="541477"/>
                                </a:lnTo>
                                <a:lnTo>
                                  <a:pt x="2651595" y="541477"/>
                                </a:lnTo>
                                <a:lnTo>
                                  <a:pt x="2651595" y="535127"/>
                                </a:lnTo>
                                <a:lnTo>
                                  <a:pt x="2599601" y="535127"/>
                                </a:lnTo>
                                <a:lnTo>
                                  <a:pt x="2599601" y="274688"/>
                                </a:lnTo>
                                <a:lnTo>
                                  <a:pt x="2651595" y="274688"/>
                                </a:lnTo>
                                <a:lnTo>
                                  <a:pt x="2651595" y="268338"/>
                                </a:lnTo>
                                <a:lnTo>
                                  <a:pt x="2599601" y="268338"/>
                                </a:lnTo>
                                <a:lnTo>
                                  <a:pt x="2599601" y="7912"/>
                                </a:lnTo>
                                <a:lnTo>
                                  <a:pt x="2651595" y="7912"/>
                                </a:lnTo>
                                <a:lnTo>
                                  <a:pt x="2651595" y="1562"/>
                                </a:lnTo>
                                <a:lnTo>
                                  <a:pt x="2598902" y="1562"/>
                                </a:lnTo>
                                <a:lnTo>
                                  <a:pt x="2598902" y="3175"/>
                                </a:lnTo>
                                <a:lnTo>
                                  <a:pt x="2593251" y="3175"/>
                                </a:lnTo>
                                <a:lnTo>
                                  <a:pt x="2593251" y="1869020"/>
                                </a:lnTo>
                                <a:lnTo>
                                  <a:pt x="57950" y="1869020"/>
                                </a:lnTo>
                                <a:lnTo>
                                  <a:pt x="57950" y="3175"/>
                                </a:lnTo>
                                <a:lnTo>
                                  <a:pt x="51600" y="3175"/>
                                </a:lnTo>
                                <a:lnTo>
                                  <a:pt x="51600" y="1869020"/>
                                </a:lnTo>
                                <a:lnTo>
                                  <a:pt x="0" y="1869020"/>
                                </a:lnTo>
                                <a:lnTo>
                                  <a:pt x="0" y="1875370"/>
                                </a:lnTo>
                                <a:lnTo>
                                  <a:pt x="51600" y="1875370"/>
                                </a:lnTo>
                                <a:lnTo>
                                  <a:pt x="51600" y="1907286"/>
                                </a:lnTo>
                                <a:lnTo>
                                  <a:pt x="57950" y="1907286"/>
                                </a:lnTo>
                                <a:lnTo>
                                  <a:pt x="57950" y="1875370"/>
                                </a:lnTo>
                                <a:lnTo>
                                  <a:pt x="369468" y="1875370"/>
                                </a:lnTo>
                                <a:lnTo>
                                  <a:pt x="369468" y="1907286"/>
                                </a:lnTo>
                                <a:lnTo>
                                  <a:pt x="375818" y="1907286"/>
                                </a:lnTo>
                                <a:lnTo>
                                  <a:pt x="375818" y="1875370"/>
                                </a:lnTo>
                                <a:lnTo>
                                  <a:pt x="687349" y="1875370"/>
                                </a:lnTo>
                                <a:lnTo>
                                  <a:pt x="687349" y="1907286"/>
                                </a:lnTo>
                                <a:lnTo>
                                  <a:pt x="693699" y="1907286"/>
                                </a:lnTo>
                                <a:lnTo>
                                  <a:pt x="693699" y="1875370"/>
                                </a:lnTo>
                                <a:lnTo>
                                  <a:pt x="1005217" y="1875370"/>
                                </a:lnTo>
                                <a:lnTo>
                                  <a:pt x="1005217" y="1907286"/>
                                </a:lnTo>
                                <a:lnTo>
                                  <a:pt x="1011567" y="1907286"/>
                                </a:lnTo>
                                <a:lnTo>
                                  <a:pt x="1011567" y="1875370"/>
                                </a:lnTo>
                                <a:lnTo>
                                  <a:pt x="1323098" y="1875370"/>
                                </a:lnTo>
                                <a:lnTo>
                                  <a:pt x="1323098" y="1907286"/>
                                </a:lnTo>
                                <a:lnTo>
                                  <a:pt x="1329448" y="1907286"/>
                                </a:lnTo>
                                <a:lnTo>
                                  <a:pt x="1329448" y="1875370"/>
                                </a:lnTo>
                                <a:lnTo>
                                  <a:pt x="1640967" y="1875370"/>
                                </a:lnTo>
                                <a:lnTo>
                                  <a:pt x="1640967" y="1907286"/>
                                </a:lnTo>
                                <a:lnTo>
                                  <a:pt x="1647317" y="1907286"/>
                                </a:lnTo>
                                <a:lnTo>
                                  <a:pt x="1647317" y="1875370"/>
                                </a:lnTo>
                                <a:lnTo>
                                  <a:pt x="1958848" y="1875370"/>
                                </a:lnTo>
                                <a:lnTo>
                                  <a:pt x="1958848" y="1907286"/>
                                </a:lnTo>
                                <a:lnTo>
                                  <a:pt x="1965198" y="1907286"/>
                                </a:lnTo>
                                <a:lnTo>
                                  <a:pt x="1965198" y="1875370"/>
                                </a:lnTo>
                                <a:lnTo>
                                  <a:pt x="2276716" y="1875370"/>
                                </a:lnTo>
                                <a:lnTo>
                                  <a:pt x="2276716" y="1907286"/>
                                </a:lnTo>
                                <a:lnTo>
                                  <a:pt x="2283066" y="1907286"/>
                                </a:lnTo>
                                <a:lnTo>
                                  <a:pt x="2283066" y="1875370"/>
                                </a:lnTo>
                                <a:lnTo>
                                  <a:pt x="2593251" y="1875370"/>
                                </a:lnTo>
                                <a:lnTo>
                                  <a:pt x="2593251" y="1889125"/>
                                </a:lnTo>
                                <a:lnTo>
                                  <a:pt x="2594597" y="1889125"/>
                                </a:lnTo>
                                <a:lnTo>
                                  <a:pt x="2594597" y="1907286"/>
                                </a:lnTo>
                                <a:lnTo>
                                  <a:pt x="2600947" y="1907286"/>
                                </a:lnTo>
                                <a:lnTo>
                                  <a:pt x="2600947" y="1875370"/>
                                </a:lnTo>
                                <a:lnTo>
                                  <a:pt x="2654490" y="1875370"/>
                                </a:lnTo>
                                <a:lnTo>
                                  <a:pt x="2654490" y="1869020"/>
                                </a:lnTo>
                                <a:close/>
                              </a:path>
                              <a:path w="2657475" h="1907539">
                                <a:moveTo>
                                  <a:pt x="2657106" y="1602244"/>
                                </a:moveTo>
                                <a:lnTo>
                                  <a:pt x="2604414" y="1602244"/>
                                </a:lnTo>
                                <a:lnTo>
                                  <a:pt x="2604414" y="1608594"/>
                                </a:lnTo>
                                <a:lnTo>
                                  <a:pt x="2657106" y="1608594"/>
                                </a:lnTo>
                                <a:lnTo>
                                  <a:pt x="2657106" y="1602244"/>
                                </a:lnTo>
                                <a:close/>
                              </a:path>
                            </a:pathLst>
                          </a:custGeom>
                          <a:solidFill>
                            <a:srgbClr val="000000"/>
                          </a:solidFill>
                        </wps:spPr>
                        <wps:bodyPr wrap="square" lIns="0" tIns="0" rIns="0" bIns="0" rtlCol="0">
                          <a:prstTxWarp prst="textNoShape">
                            <a:avLst/>
                          </a:prstTxWarp>
                          <a:noAutofit/>
                        </wps:bodyPr>
                      </wps:wsp>
                      <wps:wsp>
                        <wps:cNvPr id="1943" name="Graphic 1943"/>
                        <wps:cNvSpPr/>
                        <wps:spPr>
                          <a:xfrm>
                            <a:off x="887977" y="2138445"/>
                            <a:ext cx="85725" cy="489584"/>
                          </a:xfrm>
                          <a:custGeom>
                            <a:avLst/>
                            <a:gdLst/>
                            <a:ahLst/>
                            <a:cxnLst/>
                            <a:rect l="l" t="t" r="r" b="b"/>
                            <a:pathLst>
                              <a:path w="85725" h="489584">
                                <a:moveTo>
                                  <a:pt x="85725" y="0"/>
                                </a:moveTo>
                                <a:lnTo>
                                  <a:pt x="0" y="0"/>
                                </a:lnTo>
                                <a:lnTo>
                                  <a:pt x="0" y="489585"/>
                                </a:lnTo>
                                <a:lnTo>
                                  <a:pt x="85725" y="489585"/>
                                </a:lnTo>
                                <a:lnTo>
                                  <a:pt x="85725" y="0"/>
                                </a:lnTo>
                                <a:close/>
                              </a:path>
                            </a:pathLst>
                          </a:custGeom>
                          <a:solidFill>
                            <a:srgbClr val="2E614A"/>
                          </a:solidFill>
                        </wps:spPr>
                        <wps:bodyPr wrap="square" lIns="0" tIns="0" rIns="0" bIns="0" rtlCol="0">
                          <a:prstTxWarp prst="textNoShape">
                            <a:avLst/>
                          </a:prstTxWarp>
                          <a:noAutofit/>
                        </wps:bodyPr>
                      </wps:wsp>
                      <wps:wsp>
                        <wps:cNvPr id="1944" name="Graphic 1944"/>
                        <wps:cNvSpPr/>
                        <wps:spPr>
                          <a:xfrm>
                            <a:off x="973702" y="1128795"/>
                            <a:ext cx="85725" cy="1499235"/>
                          </a:xfrm>
                          <a:custGeom>
                            <a:avLst/>
                            <a:gdLst/>
                            <a:ahLst/>
                            <a:cxnLst/>
                            <a:rect l="l" t="t" r="r" b="b"/>
                            <a:pathLst>
                              <a:path w="85725" h="1499235">
                                <a:moveTo>
                                  <a:pt x="85725" y="0"/>
                                </a:moveTo>
                                <a:lnTo>
                                  <a:pt x="0" y="0"/>
                                </a:lnTo>
                                <a:lnTo>
                                  <a:pt x="0" y="1499235"/>
                                </a:lnTo>
                                <a:lnTo>
                                  <a:pt x="85725" y="1499235"/>
                                </a:lnTo>
                                <a:lnTo>
                                  <a:pt x="85725" y="0"/>
                                </a:lnTo>
                                <a:close/>
                              </a:path>
                            </a:pathLst>
                          </a:custGeom>
                          <a:solidFill>
                            <a:srgbClr val="9CBF3B"/>
                          </a:solidFill>
                        </wps:spPr>
                        <wps:bodyPr wrap="square" lIns="0" tIns="0" rIns="0" bIns="0" rtlCol="0">
                          <a:prstTxWarp prst="textNoShape">
                            <a:avLst/>
                          </a:prstTxWarp>
                          <a:noAutofit/>
                        </wps:bodyPr>
                      </wps:wsp>
                      <wps:wsp>
                        <wps:cNvPr id="1945" name="Graphic 1945"/>
                        <wps:cNvSpPr/>
                        <wps:spPr>
                          <a:xfrm>
                            <a:off x="1196587" y="2245125"/>
                            <a:ext cx="85725" cy="382905"/>
                          </a:xfrm>
                          <a:custGeom>
                            <a:avLst/>
                            <a:gdLst/>
                            <a:ahLst/>
                            <a:cxnLst/>
                            <a:rect l="l" t="t" r="r" b="b"/>
                            <a:pathLst>
                              <a:path w="85725" h="382905">
                                <a:moveTo>
                                  <a:pt x="85725" y="0"/>
                                </a:moveTo>
                                <a:lnTo>
                                  <a:pt x="0" y="0"/>
                                </a:lnTo>
                                <a:lnTo>
                                  <a:pt x="0" y="382905"/>
                                </a:lnTo>
                                <a:lnTo>
                                  <a:pt x="85725" y="382905"/>
                                </a:lnTo>
                                <a:lnTo>
                                  <a:pt x="85725" y="0"/>
                                </a:lnTo>
                                <a:close/>
                              </a:path>
                            </a:pathLst>
                          </a:custGeom>
                          <a:solidFill>
                            <a:srgbClr val="2E614A"/>
                          </a:solidFill>
                        </wps:spPr>
                        <wps:bodyPr wrap="square" lIns="0" tIns="0" rIns="0" bIns="0" rtlCol="0">
                          <a:prstTxWarp prst="textNoShape">
                            <a:avLst/>
                          </a:prstTxWarp>
                          <a:noAutofit/>
                        </wps:bodyPr>
                      </wps:wsp>
                      <wps:wsp>
                        <wps:cNvPr id="1946" name="Graphic 1946"/>
                        <wps:cNvSpPr/>
                        <wps:spPr>
                          <a:xfrm>
                            <a:off x="1282312" y="1271670"/>
                            <a:ext cx="85725" cy="1356360"/>
                          </a:xfrm>
                          <a:custGeom>
                            <a:avLst/>
                            <a:gdLst/>
                            <a:ahLst/>
                            <a:cxnLst/>
                            <a:rect l="l" t="t" r="r" b="b"/>
                            <a:pathLst>
                              <a:path w="85725" h="1356360">
                                <a:moveTo>
                                  <a:pt x="85725" y="0"/>
                                </a:moveTo>
                                <a:lnTo>
                                  <a:pt x="0" y="0"/>
                                </a:lnTo>
                                <a:lnTo>
                                  <a:pt x="0" y="1356360"/>
                                </a:lnTo>
                                <a:lnTo>
                                  <a:pt x="85725" y="1356360"/>
                                </a:lnTo>
                                <a:lnTo>
                                  <a:pt x="85725" y="0"/>
                                </a:lnTo>
                                <a:close/>
                              </a:path>
                            </a:pathLst>
                          </a:custGeom>
                          <a:solidFill>
                            <a:srgbClr val="9CBF3B"/>
                          </a:solidFill>
                        </wps:spPr>
                        <wps:bodyPr wrap="square" lIns="0" tIns="0" rIns="0" bIns="0" rtlCol="0">
                          <a:prstTxWarp prst="textNoShape">
                            <a:avLst/>
                          </a:prstTxWarp>
                          <a:noAutofit/>
                        </wps:bodyPr>
                      </wps:wsp>
                      <wps:wsp>
                        <wps:cNvPr id="1947" name="Graphic 1947"/>
                        <wps:cNvSpPr/>
                        <wps:spPr>
                          <a:xfrm>
                            <a:off x="1520709" y="2039385"/>
                            <a:ext cx="85725" cy="588645"/>
                          </a:xfrm>
                          <a:custGeom>
                            <a:avLst/>
                            <a:gdLst/>
                            <a:ahLst/>
                            <a:cxnLst/>
                            <a:rect l="l" t="t" r="r" b="b"/>
                            <a:pathLst>
                              <a:path w="85725" h="588645">
                                <a:moveTo>
                                  <a:pt x="85725" y="0"/>
                                </a:moveTo>
                                <a:lnTo>
                                  <a:pt x="0" y="0"/>
                                </a:lnTo>
                                <a:lnTo>
                                  <a:pt x="0" y="588645"/>
                                </a:lnTo>
                                <a:lnTo>
                                  <a:pt x="85725" y="588645"/>
                                </a:lnTo>
                                <a:lnTo>
                                  <a:pt x="85725" y="0"/>
                                </a:lnTo>
                                <a:close/>
                              </a:path>
                            </a:pathLst>
                          </a:custGeom>
                          <a:solidFill>
                            <a:srgbClr val="2E614A"/>
                          </a:solidFill>
                        </wps:spPr>
                        <wps:bodyPr wrap="square" lIns="0" tIns="0" rIns="0" bIns="0" rtlCol="0">
                          <a:prstTxWarp prst="textNoShape">
                            <a:avLst/>
                          </a:prstTxWarp>
                          <a:noAutofit/>
                        </wps:bodyPr>
                      </wps:wsp>
                      <wps:wsp>
                        <wps:cNvPr id="1948" name="Graphic 1948"/>
                        <wps:cNvSpPr/>
                        <wps:spPr>
                          <a:xfrm>
                            <a:off x="1606434" y="1113555"/>
                            <a:ext cx="85725" cy="1514475"/>
                          </a:xfrm>
                          <a:custGeom>
                            <a:avLst/>
                            <a:gdLst/>
                            <a:ahLst/>
                            <a:cxnLst/>
                            <a:rect l="l" t="t" r="r" b="b"/>
                            <a:pathLst>
                              <a:path w="85725" h="1514475">
                                <a:moveTo>
                                  <a:pt x="85725" y="0"/>
                                </a:moveTo>
                                <a:lnTo>
                                  <a:pt x="0" y="0"/>
                                </a:lnTo>
                                <a:lnTo>
                                  <a:pt x="0" y="1514475"/>
                                </a:lnTo>
                                <a:lnTo>
                                  <a:pt x="85725" y="1514475"/>
                                </a:lnTo>
                                <a:lnTo>
                                  <a:pt x="85725" y="0"/>
                                </a:lnTo>
                                <a:close/>
                              </a:path>
                            </a:pathLst>
                          </a:custGeom>
                          <a:solidFill>
                            <a:srgbClr val="9CBF3B"/>
                          </a:solidFill>
                        </wps:spPr>
                        <wps:bodyPr wrap="square" lIns="0" tIns="0" rIns="0" bIns="0" rtlCol="0">
                          <a:prstTxWarp prst="textNoShape">
                            <a:avLst/>
                          </a:prstTxWarp>
                          <a:noAutofit/>
                        </wps:bodyPr>
                      </wps:wsp>
                      <wps:wsp>
                        <wps:cNvPr id="1949" name="Graphic 1949"/>
                        <wps:cNvSpPr/>
                        <wps:spPr>
                          <a:xfrm>
                            <a:off x="1829047" y="2039385"/>
                            <a:ext cx="85725" cy="588645"/>
                          </a:xfrm>
                          <a:custGeom>
                            <a:avLst/>
                            <a:gdLst/>
                            <a:ahLst/>
                            <a:cxnLst/>
                            <a:rect l="l" t="t" r="r" b="b"/>
                            <a:pathLst>
                              <a:path w="85725" h="588645">
                                <a:moveTo>
                                  <a:pt x="85725" y="0"/>
                                </a:moveTo>
                                <a:lnTo>
                                  <a:pt x="0" y="0"/>
                                </a:lnTo>
                                <a:lnTo>
                                  <a:pt x="0" y="588645"/>
                                </a:lnTo>
                                <a:lnTo>
                                  <a:pt x="85725" y="588645"/>
                                </a:lnTo>
                                <a:lnTo>
                                  <a:pt x="85725" y="0"/>
                                </a:lnTo>
                                <a:close/>
                              </a:path>
                            </a:pathLst>
                          </a:custGeom>
                          <a:solidFill>
                            <a:srgbClr val="2E614A"/>
                          </a:solidFill>
                        </wps:spPr>
                        <wps:bodyPr wrap="square" lIns="0" tIns="0" rIns="0" bIns="0" rtlCol="0">
                          <a:prstTxWarp prst="textNoShape">
                            <a:avLst/>
                          </a:prstTxWarp>
                          <a:noAutofit/>
                        </wps:bodyPr>
                      </wps:wsp>
                      <wps:wsp>
                        <wps:cNvPr id="1950" name="Graphic 1950"/>
                        <wps:cNvSpPr/>
                        <wps:spPr>
                          <a:xfrm>
                            <a:off x="1914772" y="987825"/>
                            <a:ext cx="85725" cy="1640205"/>
                          </a:xfrm>
                          <a:custGeom>
                            <a:avLst/>
                            <a:gdLst/>
                            <a:ahLst/>
                            <a:cxnLst/>
                            <a:rect l="l" t="t" r="r" b="b"/>
                            <a:pathLst>
                              <a:path w="85725" h="1640205">
                                <a:moveTo>
                                  <a:pt x="85725" y="0"/>
                                </a:moveTo>
                                <a:lnTo>
                                  <a:pt x="0" y="0"/>
                                </a:lnTo>
                                <a:lnTo>
                                  <a:pt x="0" y="1640205"/>
                                </a:lnTo>
                                <a:lnTo>
                                  <a:pt x="85725" y="1640205"/>
                                </a:lnTo>
                                <a:lnTo>
                                  <a:pt x="85725" y="0"/>
                                </a:lnTo>
                                <a:close/>
                              </a:path>
                            </a:pathLst>
                          </a:custGeom>
                          <a:solidFill>
                            <a:srgbClr val="9CBF3B"/>
                          </a:solidFill>
                        </wps:spPr>
                        <wps:bodyPr wrap="square" lIns="0" tIns="0" rIns="0" bIns="0" rtlCol="0">
                          <a:prstTxWarp prst="textNoShape">
                            <a:avLst/>
                          </a:prstTxWarp>
                          <a:noAutofit/>
                        </wps:bodyPr>
                      </wps:wsp>
                      <wps:wsp>
                        <wps:cNvPr id="1951" name="Graphic 1951"/>
                        <wps:cNvSpPr/>
                        <wps:spPr>
                          <a:xfrm>
                            <a:off x="2157523" y="1643145"/>
                            <a:ext cx="85725" cy="984885"/>
                          </a:xfrm>
                          <a:custGeom>
                            <a:avLst/>
                            <a:gdLst/>
                            <a:ahLst/>
                            <a:cxnLst/>
                            <a:rect l="l" t="t" r="r" b="b"/>
                            <a:pathLst>
                              <a:path w="85725" h="984885">
                                <a:moveTo>
                                  <a:pt x="85725" y="0"/>
                                </a:moveTo>
                                <a:lnTo>
                                  <a:pt x="0" y="0"/>
                                </a:lnTo>
                                <a:lnTo>
                                  <a:pt x="0" y="984885"/>
                                </a:lnTo>
                                <a:lnTo>
                                  <a:pt x="85725" y="984885"/>
                                </a:lnTo>
                                <a:lnTo>
                                  <a:pt x="85725" y="0"/>
                                </a:lnTo>
                                <a:close/>
                              </a:path>
                            </a:pathLst>
                          </a:custGeom>
                          <a:solidFill>
                            <a:srgbClr val="2E614A"/>
                          </a:solidFill>
                        </wps:spPr>
                        <wps:bodyPr wrap="square" lIns="0" tIns="0" rIns="0" bIns="0" rtlCol="0">
                          <a:prstTxWarp prst="textNoShape">
                            <a:avLst/>
                          </a:prstTxWarp>
                          <a:noAutofit/>
                        </wps:bodyPr>
                      </wps:wsp>
                      <wps:wsp>
                        <wps:cNvPr id="1952" name="Graphic 1952"/>
                        <wps:cNvSpPr/>
                        <wps:spPr>
                          <a:xfrm>
                            <a:off x="2243248" y="869715"/>
                            <a:ext cx="85725" cy="1758314"/>
                          </a:xfrm>
                          <a:custGeom>
                            <a:avLst/>
                            <a:gdLst/>
                            <a:ahLst/>
                            <a:cxnLst/>
                            <a:rect l="l" t="t" r="r" b="b"/>
                            <a:pathLst>
                              <a:path w="85725" h="1758314">
                                <a:moveTo>
                                  <a:pt x="85725" y="0"/>
                                </a:moveTo>
                                <a:lnTo>
                                  <a:pt x="0" y="0"/>
                                </a:lnTo>
                                <a:lnTo>
                                  <a:pt x="0" y="1758314"/>
                                </a:lnTo>
                                <a:lnTo>
                                  <a:pt x="85725" y="1758314"/>
                                </a:lnTo>
                                <a:lnTo>
                                  <a:pt x="85725" y="0"/>
                                </a:lnTo>
                                <a:close/>
                              </a:path>
                            </a:pathLst>
                          </a:custGeom>
                          <a:solidFill>
                            <a:srgbClr val="9CBF3B"/>
                          </a:solidFill>
                        </wps:spPr>
                        <wps:bodyPr wrap="square" lIns="0" tIns="0" rIns="0" bIns="0" rtlCol="0">
                          <a:prstTxWarp prst="textNoShape">
                            <a:avLst/>
                          </a:prstTxWarp>
                          <a:noAutofit/>
                        </wps:bodyPr>
                      </wps:wsp>
                      <wps:wsp>
                        <wps:cNvPr id="1953" name="Graphic 1953"/>
                        <wps:cNvSpPr/>
                        <wps:spPr>
                          <a:xfrm>
                            <a:off x="2472937" y="1430874"/>
                            <a:ext cx="85725" cy="1197610"/>
                          </a:xfrm>
                          <a:custGeom>
                            <a:avLst/>
                            <a:gdLst/>
                            <a:ahLst/>
                            <a:cxnLst/>
                            <a:rect l="l" t="t" r="r" b="b"/>
                            <a:pathLst>
                              <a:path w="85725" h="1197610">
                                <a:moveTo>
                                  <a:pt x="85725" y="0"/>
                                </a:moveTo>
                                <a:lnTo>
                                  <a:pt x="0" y="0"/>
                                </a:lnTo>
                                <a:lnTo>
                                  <a:pt x="0" y="1197156"/>
                                </a:lnTo>
                                <a:lnTo>
                                  <a:pt x="85725" y="1197156"/>
                                </a:lnTo>
                                <a:lnTo>
                                  <a:pt x="85725" y="0"/>
                                </a:lnTo>
                                <a:close/>
                              </a:path>
                            </a:pathLst>
                          </a:custGeom>
                          <a:solidFill>
                            <a:srgbClr val="2E614A"/>
                          </a:solidFill>
                        </wps:spPr>
                        <wps:bodyPr wrap="square" lIns="0" tIns="0" rIns="0" bIns="0" rtlCol="0">
                          <a:prstTxWarp prst="textNoShape">
                            <a:avLst/>
                          </a:prstTxWarp>
                          <a:noAutofit/>
                        </wps:bodyPr>
                      </wps:wsp>
                      <wps:wsp>
                        <wps:cNvPr id="1954" name="Graphic 1954"/>
                        <wps:cNvSpPr/>
                        <wps:spPr>
                          <a:xfrm>
                            <a:off x="2558662" y="1047152"/>
                            <a:ext cx="85725" cy="1581150"/>
                          </a:xfrm>
                          <a:custGeom>
                            <a:avLst/>
                            <a:gdLst/>
                            <a:ahLst/>
                            <a:cxnLst/>
                            <a:rect l="l" t="t" r="r" b="b"/>
                            <a:pathLst>
                              <a:path w="85725" h="1581150">
                                <a:moveTo>
                                  <a:pt x="85725" y="0"/>
                                </a:moveTo>
                                <a:lnTo>
                                  <a:pt x="0" y="0"/>
                                </a:lnTo>
                                <a:lnTo>
                                  <a:pt x="0" y="1580877"/>
                                </a:lnTo>
                                <a:lnTo>
                                  <a:pt x="85725" y="1580877"/>
                                </a:lnTo>
                                <a:lnTo>
                                  <a:pt x="85725" y="0"/>
                                </a:lnTo>
                                <a:close/>
                              </a:path>
                            </a:pathLst>
                          </a:custGeom>
                          <a:solidFill>
                            <a:srgbClr val="9CBF3B"/>
                          </a:solidFill>
                        </wps:spPr>
                        <wps:bodyPr wrap="square" lIns="0" tIns="0" rIns="0" bIns="0" rtlCol="0">
                          <a:prstTxWarp prst="textNoShape">
                            <a:avLst/>
                          </a:prstTxWarp>
                          <a:noAutofit/>
                        </wps:bodyPr>
                      </wps:wsp>
                      <wps:wsp>
                        <wps:cNvPr id="1955" name="Graphic 1955"/>
                        <wps:cNvSpPr/>
                        <wps:spPr>
                          <a:xfrm>
                            <a:off x="2798420" y="1102125"/>
                            <a:ext cx="85725" cy="1525905"/>
                          </a:xfrm>
                          <a:custGeom>
                            <a:avLst/>
                            <a:gdLst/>
                            <a:ahLst/>
                            <a:cxnLst/>
                            <a:rect l="l" t="t" r="r" b="b"/>
                            <a:pathLst>
                              <a:path w="85725" h="1525905">
                                <a:moveTo>
                                  <a:pt x="85725" y="0"/>
                                </a:moveTo>
                                <a:lnTo>
                                  <a:pt x="0" y="0"/>
                                </a:lnTo>
                                <a:lnTo>
                                  <a:pt x="0" y="1525905"/>
                                </a:lnTo>
                                <a:lnTo>
                                  <a:pt x="85725" y="1525905"/>
                                </a:lnTo>
                                <a:lnTo>
                                  <a:pt x="85725" y="0"/>
                                </a:lnTo>
                                <a:close/>
                              </a:path>
                            </a:pathLst>
                          </a:custGeom>
                          <a:solidFill>
                            <a:srgbClr val="2E614A"/>
                          </a:solidFill>
                        </wps:spPr>
                        <wps:bodyPr wrap="square" lIns="0" tIns="0" rIns="0" bIns="0" rtlCol="0">
                          <a:prstTxWarp prst="textNoShape">
                            <a:avLst/>
                          </a:prstTxWarp>
                          <a:noAutofit/>
                        </wps:bodyPr>
                      </wps:wsp>
                      <wps:wsp>
                        <wps:cNvPr id="1956" name="Graphic 1956"/>
                        <wps:cNvSpPr/>
                        <wps:spPr>
                          <a:xfrm>
                            <a:off x="2884145" y="1030823"/>
                            <a:ext cx="85725" cy="1597660"/>
                          </a:xfrm>
                          <a:custGeom>
                            <a:avLst/>
                            <a:gdLst/>
                            <a:ahLst/>
                            <a:cxnLst/>
                            <a:rect l="l" t="t" r="r" b="b"/>
                            <a:pathLst>
                              <a:path w="85725" h="1597660">
                                <a:moveTo>
                                  <a:pt x="85725" y="0"/>
                                </a:moveTo>
                                <a:lnTo>
                                  <a:pt x="0" y="0"/>
                                </a:lnTo>
                                <a:lnTo>
                                  <a:pt x="0" y="1597206"/>
                                </a:lnTo>
                                <a:lnTo>
                                  <a:pt x="85725" y="1597206"/>
                                </a:lnTo>
                                <a:lnTo>
                                  <a:pt x="85725" y="0"/>
                                </a:lnTo>
                                <a:close/>
                              </a:path>
                            </a:pathLst>
                          </a:custGeom>
                          <a:solidFill>
                            <a:srgbClr val="9CBF3B"/>
                          </a:solidFill>
                        </wps:spPr>
                        <wps:bodyPr wrap="square" lIns="0" tIns="0" rIns="0" bIns="0" rtlCol="0">
                          <a:prstTxWarp prst="textNoShape">
                            <a:avLst/>
                          </a:prstTxWarp>
                          <a:noAutofit/>
                        </wps:bodyPr>
                      </wps:wsp>
                      <wps:wsp>
                        <wps:cNvPr id="1957" name="Graphic 1957"/>
                        <wps:cNvSpPr/>
                        <wps:spPr>
                          <a:xfrm>
                            <a:off x="622090" y="1297546"/>
                            <a:ext cx="2288540" cy="942975"/>
                          </a:xfrm>
                          <a:custGeom>
                            <a:avLst/>
                            <a:gdLst/>
                            <a:ahLst/>
                            <a:cxnLst/>
                            <a:rect l="l" t="t" r="r" b="b"/>
                            <a:pathLst>
                              <a:path w="2288540" h="942975">
                                <a:moveTo>
                                  <a:pt x="2288171" y="0"/>
                                </a:moveTo>
                                <a:lnTo>
                                  <a:pt x="2212797" y="0"/>
                                </a:lnTo>
                                <a:lnTo>
                                  <a:pt x="2212797" y="40919"/>
                                </a:lnTo>
                                <a:lnTo>
                                  <a:pt x="1980958" y="224790"/>
                                </a:lnTo>
                                <a:lnTo>
                                  <a:pt x="1923237" y="224790"/>
                                </a:lnTo>
                                <a:lnTo>
                                  <a:pt x="1923237" y="257517"/>
                                </a:lnTo>
                                <a:lnTo>
                                  <a:pt x="1655711" y="355231"/>
                                </a:lnTo>
                                <a:lnTo>
                                  <a:pt x="1655711" y="346989"/>
                                </a:lnTo>
                                <a:lnTo>
                                  <a:pt x="1580337" y="346989"/>
                                </a:lnTo>
                                <a:lnTo>
                                  <a:pt x="1580337" y="407949"/>
                                </a:lnTo>
                                <a:lnTo>
                                  <a:pt x="1584528" y="407949"/>
                                </a:lnTo>
                                <a:lnTo>
                                  <a:pt x="1334020" y="701040"/>
                                </a:lnTo>
                                <a:lnTo>
                                  <a:pt x="1290497" y="701040"/>
                                </a:lnTo>
                                <a:lnTo>
                                  <a:pt x="1290497" y="717918"/>
                                </a:lnTo>
                                <a:lnTo>
                                  <a:pt x="1105623" y="704850"/>
                                </a:lnTo>
                                <a:lnTo>
                                  <a:pt x="1038491" y="700112"/>
                                </a:lnTo>
                                <a:lnTo>
                                  <a:pt x="1038491" y="673557"/>
                                </a:lnTo>
                                <a:lnTo>
                                  <a:pt x="963117" y="673557"/>
                                </a:lnTo>
                                <a:lnTo>
                                  <a:pt x="963117" y="718680"/>
                                </a:lnTo>
                                <a:lnTo>
                                  <a:pt x="719988" y="881748"/>
                                </a:lnTo>
                                <a:lnTo>
                                  <a:pt x="647700" y="881748"/>
                                </a:lnTo>
                                <a:lnTo>
                                  <a:pt x="647700" y="887818"/>
                                </a:lnTo>
                                <a:lnTo>
                                  <a:pt x="394335" y="764730"/>
                                </a:lnTo>
                                <a:lnTo>
                                  <a:pt x="394335" y="731520"/>
                                </a:lnTo>
                                <a:lnTo>
                                  <a:pt x="318947" y="731520"/>
                                </a:lnTo>
                                <a:lnTo>
                                  <a:pt x="318947" y="748093"/>
                                </a:lnTo>
                                <a:lnTo>
                                  <a:pt x="75387" y="751268"/>
                                </a:lnTo>
                                <a:lnTo>
                                  <a:pt x="75387" y="731520"/>
                                </a:lnTo>
                                <a:lnTo>
                                  <a:pt x="0" y="731520"/>
                                </a:lnTo>
                                <a:lnTo>
                                  <a:pt x="0" y="792480"/>
                                </a:lnTo>
                                <a:lnTo>
                                  <a:pt x="75387" y="792480"/>
                                </a:lnTo>
                                <a:lnTo>
                                  <a:pt x="75387" y="766508"/>
                                </a:lnTo>
                                <a:lnTo>
                                  <a:pt x="318947" y="763333"/>
                                </a:lnTo>
                                <a:lnTo>
                                  <a:pt x="318947" y="792480"/>
                                </a:lnTo>
                                <a:lnTo>
                                  <a:pt x="394335" y="792480"/>
                                </a:lnTo>
                                <a:lnTo>
                                  <a:pt x="394335" y="781672"/>
                                </a:lnTo>
                                <a:lnTo>
                                  <a:pt x="647700" y="904773"/>
                                </a:lnTo>
                                <a:lnTo>
                                  <a:pt x="647700" y="942708"/>
                                </a:lnTo>
                                <a:lnTo>
                                  <a:pt x="723087" y="942708"/>
                                </a:lnTo>
                                <a:lnTo>
                                  <a:pt x="723087" y="898029"/>
                                </a:lnTo>
                                <a:lnTo>
                                  <a:pt x="966851" y="734517"/>
                                </a:lnTo>
                                <a:lnTo>
                                  <a:pt x="1038491" y="734517"/>
                                </a:lnTo>
                                <a:lnTo>
                                  <a:pt x="1038491" y="715391"/>
                                </a:lnTo>
                                <a:lnTo>
                                  <a:pt x="1290497" y="733183"/>
                                </a:lnTo>
                                <a:lnTo>
                                  <a:pt x="1290497" y="762000"/>
                                </a:lnTo>
                                <a:lnTo>
                                  <a:pt x="1365885" y="762000"/>
                                </a:lnTo>
                                <a:lnTo>
                                  <a:pt x="1365885" y="701040"/>
                                </a:lnTo>
                                <a:lnTo>
                                  <a:pt x="1354061" y="701040"/>
                                </a:lnTo>
                                <a:lnTo>
                                  <a:pt x="1604568" y="407949"/>
                                </a:lnTo>
                                <a:lnTo>
                                  <a:pt x="1655711" y="407949"/>
                                </a:lnTo>
                                <a:lnTo>
                                  <a:pt x="1655711" y="371449"/>
                                </a:lnTo>
                                <a:lnTo>
                                  <a:pt x="1923237" y="273735"/>
                                </a:lnTo>
                                <a:lnTo>
                                  <a:pt x="1923237" y="285750"/>
                                </a:lnTo>
                                <a:lnTo>
                                  <a:pt x="1998611" y="285750"/>
                                </a:lnTo>
                                <a:lnTo>
                                  <a:pt x="1998611" y="230238"/>
                                </a:lnTo>
                                <a:lnTo>
                                  <a:pt x="2212797" y="60363"/>
                                </a:lnTo>
                                <a:lnTo>
                                  <a:pt x="2212797" y="60960"/>
                                </a:lnTo>
                                <a:lnTo>
                                  <a:pt x="2288171" y="60960"/>
                                </a:lnTo>
                                <a:lnTo>
                                  <a:pt x="2288171" y="0"/>
                                </a:lnTo>
                                <a:close/>
                              </a:path>
                            </a:pathLst>
                          </a:custGeom>
                          <a:solidFill>
                            <a:srgbClr val="E3C626"/>
                          </a:solidFill>
                        </wps:spPr>
                        <wps:bodyPr wrap="square" lIns="0" tIns="0" rIns="0" bIns="0" rtlCol="0">
                          <a:prstTxWarp prst="textNoShape">
                            <a:avLst/>
                          </a:prstTxWarp>
                          <a:noAutofit/>
                        </wps:bodyPr>
                      </wps:wsp>
                      <wps:wsp>
                        <wps:cNvPr id="1958" name="Graphic 1958"/>
                        <wps:cNvSpPr/>
                        <wps:spPr>
                          <a:xfrm>
                            <a:off x="655689" y="850235"/>
                            <a:ext cx="2214880" cy="414020"/>
                          </a:xfrm>
                          <a:custGeom>
                            <a:avLst/>
                            <a:gdLst/>
                            <a:ahLst/>
                            <a:cxnLst/>
                            <a:rect l="l" t="t" r="r" b="b"/>
                            <a:pathLst>
                              <a:path w="2214880" h="414020">
                                <a:moveTo>
                                  <a:pt x="1608031" y="79917"/>
                                </a:moveTo>
                                <a:lnTo>
                                  <a:pt x="1596268" y="79917"/>
                                </a:lnTo>
                                <a:lnTo>
                                  <a:pt x="1596670" y="87526"/>
                                </a:lnTo>
                                <a:lnTo>
                                  <a:pt x="1593642" y="87686"/>
                                </a:lnTo>
                                <a:lnTo>
                                  <a:pt x="1912927" y="359187"/>
                                </a:lnTo>
                                <a:lnTo>
                                  <a:pt x="2212115" y="413984"/>
                                </a:lnTo>
                                <a:lnTo>
                                  <a:pt x="2214860" y="398993"/>
                                </a:lnTo>
                                <a:lnTo>
                                  <a:pt x="1958606" y="352060"/>
                                </a:lnTo>
                                <a:lnTo>
                                  <a:pt x="1916308" y="352060"/>
                                </a:lnTo>
                                <a:lnTo>
                                  <a:pt x="1917681" y="344564"/>
                                </a:lnTo>
                                <a:lnTo>
                                  <a:pt x="1919256" y="344564"/>
                                </a:lnTo>
                                <a:lnTo>
                                  <a:pt x="1608031" y="79917"/>
                                </a:lnTo>
                                <a:close/>
                              </a:path>
                              <a:path w="2214880" h="414020">
                                <a:moveTo>
                                  <a:pt x="1917681" y="344564"/>
                                </a:moveTo>
                                <a:lnTo>
                                  <a:pt x="1916308" y="352060"/>
                                </a:lnTo>
                                <a:lnTo>
                                  <a:pt x="1921244" y="346254"/>
                                </a:lnTo>
                                <a:lnTo>
                                  <a:pt x="1919689" y="344932"/>
                                </a:lnTo>
                                <a:lnTo>
                                  <a:pt x="1917681" y="344564"/>
                                </a:lnTo>
                                <a:close/>
                              </a:path>
                              <a:path w="2214880" h="414020">
                                <a:moveTo>
                                  <a:pt x="1919689" y="344932"/>
                                </a:moveTo>
                                <a:lnTo>
                                  <a:pt x="1921244" y="346254"/>
                                </a:lnTo>
                                <a:lnTo>
                                  <a:pt x="1916308" y="352060"/>
                                </a:lnTo>
                                <a:lnTo>
                                  <a:pt x="1958606" y="352060"/>
                                </a:lnTo>
                                <a:lnTo>
                                  <a:pt x="1919689" y="344932"/>
                                </a:lnTo>
                                <a:close/>
                              </a:path>
                              <a:path w="2214880" h="414020">
                                <a:moveTo>
                                  <a:pt x="1919256" y="344564"/>
                                </a:moveTo>
                                <a:lnTo>
                                  <a:pt x="1917681" y="344564"/>
                                </a:lnTo>
                                <a:lnTo>
                                  <a:pt x="1919689" y="344932"/>
                                </a:lnTo>
                                <a:lnTo>
                                  <a:pt x="1919256" y="344564"/>
                                </a:lnTo>
                                <a:close/>
                              </a:path>
                              <a:path w="2214880" h="414020">
                                <a:moveTo>
                                  <a:pt x="328179" y="9160"/>
                                </a:moveTo>
                                <a:lnTo>
                                  <a:pt x="316108" y="9160"/>
                                </a:lnTo>
                                <a:lnTo>
                                  <a:pt x="319796" y="15827"/>
                                </a:lnTo>
                                <a:lnTo>
                                  <a:pt x="315291" y="18320"/>
                                </a:lnTo>
                                <a:lnTo>
                                  <a:pt x="642302" y="284492"/>
                                </a:lnTo>
                                <a:lnTo>
                                  <a:pt x="666184" y="275860"/>
                                </a:lnTo>
                                <a:lnTo>
                                  <a:pt x="643768" y="275860"/>
                                </a:lnTo>
                                <a:lnTo>
                                  <a:pt x="641177" y="268693"/>
                                </a:lnTo>
                                <a:lnTo>
                                  <a:pt x="645233" y="267227"/>
                                </a:lnTo>
                                <a:lnTo>
                                  <a:pt x="328179" y="9160"/>
                                </a:lnTo>
                                <a:close/>
                              </a:path>
                              <a:path w="2214880" h="414020">
                                <a:moveTo>
                                  <a:pt x="645233" y="267227"/>
                                </a:moveTo>
                                <a:lnTo>
                                  <a:pt x="641177" y="268693"/>
                                </a:lnTo>
                                <a:lnTo>
                                  <a:pt x="643768" y="275860"/>
                                </a:lnTo>
                                <a:lnTo>
                                  <a:pt x="648578" y="269950"/>
                                </a:lnTo>
                                <a:lnTo>
                                  <a:pt x="645233" y="267227"/>
                                </a:lnTo>
                                <a:close/>
                              </a:path>
                              <a:path w="2214880" h="414020">
                                <a:moveTo>
                                  <a:pt x="1598893" y="72147"/>
                                </a:moveTo>
                                <a:lnTo>
                                  <a:pt x="1286707" y="88665"/>
                                </a:lnTo>
                                <a:lnTo>
                                  <a:pt x="957946" y="154199"/>
                                </a:lnTo>
                                <a:lnTo>
                                  <a:pt x="645233" y="267227"/>
                                </a:lnTo>
                                <a:lnTo>
                                  <a:pt x="648578" y="269950"/>
                                </a:lnTo>
                                <a:lnTo>
                                  <a:pt x="643768" y="275860"/>
                                </a:lnTo>
                                <a:lnTo>
                                  <a:pt x="666184" y="275860"/>
                                </a:lnTo>
                                <a:lnTo>
                                  <a:pt x="961740" y="169032"/>
                                </a:lnTo>
                                <a:lnTo>
                                  <a:pt x="961487" y="169032"/>
                                </a:lnTo>
                                <a:lnTo>
                                  <a:pt x="959998" y="161560"/>
                                </a:lnTo>
                                <a:lnTo>
                                  <a:pt x="998976" y="161560"/>
                                </a:lnTo>
                                <a:lnTo>
                                  <a:pt x="1288463" y="103855"/>
                                </a:lnTo>
                                <a:lnTo>
                                  <a:pt x="1288060" y="103855"/>
                                </a:lnTo>
                                <a:lnTo>
                                  <a:pt x="1287658" y="96245"/>
                                </a:lnTo>
                                <a:lnTo>
                                  <a:pt x="1431875" y="96245"/>
                                </a:lnTo>
                                <a:lnTo>
                                  <a:pt x="1593642" y="87686"/>
                                </a:lnTo>
                                <a:lnTo>
                                  <a:pt x="1591331" y="85722"/>
                                </a:lnTo>
                                <a:lnTo>
                                  <a:pt x="1596268" y="79917"/>
                                </a:lnTo>
                                <a:lnTo>
                                  <a:pt x="1608031" y="79917"/>
                                </a:lnTo>
                                <a:lnTo>
                                  <a:pt x="1598893" y="72147"/>
                                </a:lnTo>
                                <a:close/>
                              </a:path>
                              <a:path w="2214880" h="414020">
                                <a:moveTo>
                                  <a:pt x="316925" y="0"/>
                                </a:moveTo>
                                <a:lnTo>
                                  <a:pt x="0" y="175302"/>
                                </a:lnTo>
                                <a:lnTo>
                                  <a:pt x="7376" y="188638"/>
                                </a:lnTo>
                                <a:lnTo>
                                  <a:pt x="315291" y="18320"/>
                                </a:lnTo>
                                <a:lnTo>
                                  <a:pt x="311298" y="15069"/>
                                </a:lnTo>
                                <a:lnTo>
                                  <a:pt x="316108" y="9160"/>
                                </a:lnTo>
                                <a:lnTo>
                                  <a:pt x="328179" y="9160"/>
                                </a:lnTo>
                                <a:lnTo>
                                  <a:pt x="316925" y="0"/>
                                </a:lnTo>
                                <a:close/>
                              </a:path>
                              <a:path w="2214880" h="414020">
                                <a:moveTo>
                                  <a:pt x="959998" y="161560"/>
                                </a:moveTo>
                                <a:lnTo>
                                  <a:pt x="961487" y="169032"/>
                                </a:lnTo>
                                <a:lnTo>
                                  <a:pt x="962050" y="168920"/>
                                </a:lnTo>
                                <a:lnTo>
                                  <a:pt x="962588" y="168726"/>
                                </a:lnTo>
                                <a:lnTo>
                                  <a:pt x="959998" y="161560"/>
                                </a:lnTo>
                                <a:close/>
                              </a:path>
                              <a:path w="2214880" h="414020">
                                <a:moveTo>
                                  <a:pt x="962050" y="168920"/>
                                </a:moveTo>
                                <a:lnTo>
                                  <a:pt x="961487" y="169032"/>
                                </a:lnTo>
                                <a:lnTo>
                                  <a:pt x="961740" y="169032"/>
                                </a:lnTo>
                                <a:lnTo>
                                  <a:pt x="962050" y="168920"/>
                                </a:lnTo>
                                <a:close/>
                              </a:path>
                              <a:path w="2214880" h="414020">
                                <a:moveTo>
                                  <a:pt x="998976" y="161560"/>
                                </a:moveTo>
                                <a:lnTo>
                                  <a:pt x="959998" y="161560"/>
                                </a:lnTo>
                                <a:lnTo>
                                  <a:pt x="962588" y="168726"/>
                                </a:lnTo>
                                <a:lnTo>
                                  <a:pt x="962050" y="168920"/>
                                </a:lnTo>
                                <a:lnTo>
                                  <a:pt x="998976" y="161560"/>
                                </a:lnTo>
                                <a:close/>
                              </a:path>
                              <a:path w="2214880" h="414020">
                                <a:moveTo>
                                  <a:pt x="1287658" y="96245"/>
                                </a:moveTo>
                                <a:lnTo>
                                  <a:pt x="1288060" y="103855"/>
                                </a:lnTo>
                                <a:lnTo>
                                  <a:pt x="1288608" y="103826"/>
                                </a:lnTo>
                                <a:lnTo>
                                  <a:pt x="1289148" y="103718"/>
                                </a:lnTo>
                                <a:lnTo>
                                  <a:pt x="1287658" y="96245"/>
                                </a:lnTo>
                                <a:close/>
                              </a:path>
                              <a:path w="2214880" h="414020">
                                <a:moveTo>
                                  <a:pt x="1288608" y="103826"/>
                                </a:moveTo>
                                <a:lnTo>
                                  <a:pt x="1288060" y="103855"/>
                                </a:lnTo>
                                <a:lnTo>
                                  <a:pt x="1288463" y="103855"/>
                                </a:lnTo>
                                <a:lnTo>
                                  <a:pt x="1288608" y="103826"/>
                                </a:lnTo>
                                <a:close/>
                              </a:path>
                              <a:path w="2214880" h="414020">
                                <a:moveTo>
                                  <a:pt x="1431875" y="96245"/>
                                </a:moveTo>
                                <a:lnTo>
                                  <a:pt x="1287658" y="96245"/>
                                </a:lnTo>
                                <a:lnTo>
                                  <a:pt x="1289148" y="103718"/>
                                </a:lnTo>
                                <a:lnTo>
                                  <a:pt x="1288608" y="103826"/>
                                </a:lnTo>
                                <a:lnTo>
                                  <a:pt x="1431875" y="96245"/>
                                </a:lnTo>
                                <a:close/>
                              </a:path>
                              <a:path w="2214880" h="414020">
                                <a:moveTo>
                                  <a:pt x="1596268" y="79917"/>
                                </a:moveTo>
                                <a:lnTo>
                                  <a:pt x="1591331" y="85722"/>
                                </a:lnTo>
                                <a:lnTo>
                                  <a:pt x="1593642" y="87686"/>
                                </a:lnTo>
                                <a:lnTo>
                                  <a:pt x="1596670" y="87526"/>
                                </a:lnTo>
                                <a:lnTo>
                                  <a:pt x="1596268" y="79917"/>
                                </a:lnTo>
                                <a:close/>
                              </a:path>
                              <a:path w="2214880" h="414020">
                                <a:moveTo>
                                  <a:pt x="316108" y="9160"/>
                                </a:moveTo>
                                <a:lnTo>
                                  <a:pt x="311298" y="15069"/>
                                </a:lnTo>
                                <a:lnTo>
                                  <a:pt x="315291" y="18320"/>
                                </a:lnTo>
                                <a:lnTo>
                                  <a:pt x="319796" y="15827"/>
                                </a:lnTo>
                                <a:lnTo>
                                  <a:pt x="316108" y="9160"/>
                                </a:lnTo>
                                <a:close/>
                              </a:path>
                            </a:pathLst>
                          </a:custGeom>
                          <a:solidFill>
                            <a:srgbClr val="7B7C7C"/>
                          </a:solidFill>
                        </wps:spPr>
                        <wps:bodyPr wrap="square" lIns="0" tIns="0" rIns="0" bIns="0" rtlCol="0">
                          <a:prstTxWarp prst="textNoShape">
                            <a:avLst/>
                          </a:prstTxWarp>
                          <a:noAutofit/>
                        </wps:bodyPr>
                      </wps:wsp>
                      <pic:pic>
                        <pic:nvPicPr>
                          <pic:cNvPr id="1959" name="Image 1959"/>
                          <pic:cNvPicPr/>
                        </pic:nvPicPr>
                        <pic:blipFill>
                          <a:blip r:embed="rId696" cstate="print"/>
                          <a:stretch>
                            <a:fillRect/>
                          </a:stretch>
                        </pic:blipFill>
                        <pic:spPr>
                          <a:xfrm>
                            <a:off x="614474" y="996283"/>
                            <a:ext cx="64497" cy="64497"/>
                          </a:xfrm>
                          <a:prstGeom prst="rect">
                            <a:avLst/>
                          </a:prstGeom>
                        </pic:spPr>
                      </pic:pic>
                      <pic:pic>
                        <pic:nvPicPr>
                          <pic:cNvPr id="1960" name="Image 1960"/>
                          <pic:cNvPicPr/>
                        </pic:nvPicPr>
                        <pic:blipFill>
                          <a:blip r:embed="rId696" cstate="print"/>
                          <a:stretch>
                            <a:fillRect/>
                          </a:stretch>
                        </pic:blipFill>
                        <pic:spPr>
                          <a:xfrm>
                            <a:off x="937779" y="824016"/>
                            <a:ext cx="64497" cy="64498"/>
                          </a:xfrm>
                          <a:prstGeom prst="rect">
                            <a:avLst/>
                          </a:prstGeom>
                        </pic:spPr>
                      </pic:pic>
                      <pic:pic>
                        <pic:nvPicPr>
                          <pic:cNvPr id="1961" name="Image 1961"/>
                          <pic:cNvPicPr/>
                        </pic:nvPicPr>
                        <pic:blipFill>
                          <a:blip r:embed="rId696" cstate="print"/>
                          <a:stretch>
                            <a:fillRect/>
                          </a:stretch>
                        </pic:blipFill>
                        <pic:spPr>
                          <a:xfrm>
                            <a:off x="1267616" y="1091805"/>
                            <a:ext cx="64497" cy="64498"/>
                          </a:xfrm>
                          <a:prstGeom prst="rect">
                            <a:avLst/>
                          </a:prstGeom>
                        </pic:spPr>
                      </pic:pic>
                      <pic:pic>
                        <pic:nvPicPr>
                          <pic:cNvPr id="1962" name="Image 1962"/>
                          <pic:cNvPicPr/>
                        </pic:nvPicPr>
                        <pic:blipFill>
                          <a:blip r:embed="rId697" cstate="print"/>
                          <a:stretch>
                            <a:fillRect/>
                          </a:stretch>
                        </pic:blipFill>
                        <pic:spPr>
                          <a:xfrm>
                            <a:off x="1573777" y="981315"/>
                            <a:ext cx="64497" cy="64498"/>
                          </a:xfrm>
                          <a:prstGeom prst="rect">
                            <a:avLst/>
                          </a:prstGeom>
                        </pic:spPr>
                      </pic:pic>
                      <pic:pic>
                        <pic:nvPicPr>
                          <pic:cNvPr id="1963" name="Image 1963"/>
                          <pic:cNvPicPr/>
                        </pic:nvPicPr>
                        <pic:blipFill>
                          <a:blip r:embed="rId698" cstate="print"/>
                          <a:stretch>
                            <a:fillRect/>
                          </a:stretch>
                        </pic:blipFill>
                        <pic:spPr>
                          <a:xfrm>
                            <a:off x="2213857" y="893685"/>
                            <a:ext cx="64497" cy="64497"/>
                          </a:xfrm>
                          <a:prstGeom prst="rect">
                            <a:avLst/>
                          </a:prstGeom>
                        </pic:spPr>
                      </pic:pic>
                      <pic:pic>
                        <pic:nvPicPr>
                          <pic:cNvPr id="1964" name="Image 1964"/>
                          <pic:cNvPicPr/>
                        </pic:nvPicPr>
                        <pic:blipFill>
                          <a:blip r:embed="rId696" cstate="print"/>
                          <a:stretch>
                            <a:fillRect/>
                          </a:stretch>
                        </pic:blipFill>
                        <pic:spPr>
                          <a:xfrm>
                            <a:off x="1900349" y="909742"/>
                            <a:ext cx="64497" cy="64497"/>
                          </a:xfrm>
                          <a:prstGeom prst="rect">
                            <a:avLst/>
                          </a:prstGeom>
                        </pic:spPr>
                      </pic:pic>
                      <pic:pic>
                        <pic:nvPicPr>
                          <pic:cNvPr id="1965" name="Image 1965"/>
                          <pic:cNvPicPr/>
                        </pic:nvPicPr>
                        <pic:blipFill>
                          <a:blip r:embed="rId696" cstate="print"/>
                          <a:stretch>
                            <a:fillRect/>
                          </a:stretch>
                        </pic:blipFill>
                        <pic:spPr>
                          <a:xfrm>
                            <a:off x="2533081" y="1166917"/>
                            <a:ext cx="64497" cy="64497"/>
                          </a:xfrm>
                          <a:prstGeom prst="rect">
                            <a:avLst/>
                          </a:prstGeom>
                        </pic:spPr>
                      </pic:pic>
                      <pic:pic>
                        <pic:nvPicPr>
                          <pic:cNvPr id="1966" name="Image 1966"/>
                          <pic:cNvPicPr/>
                        </pic:nvPicPr>
                        <pic:blipFill>
                          <a:blip r:embed="rId697" cstate="print"/>
                          <a:stretch>
                            <a:fillRect/>
                          </a:stretch>
                        </pic:blipFill>
                        <pic:spPr>
                          <a:xfrm>
                            <a:off x="2834887" y="1228965"/>
                            <a:ext cx="64497" cy="64498"/>
                          </a:xfrm>
                          <a:prstGeom prst="rect">
                            <a:avLst/>
                          </a:prstGeom>
                        </pic:spPr>
                      </pic:pic>
                      <wps:wsp>
                        <wps:cNvPr id="1967" name="Graphic 1967"/>
                        <wps:cNvSpPr/>
                        <wps:spPr>
                          <a:xfrm>
                            <a:off x="539034" y="469222"/>
                            <a:ext cx="269875" cy="15240"/>
                          </a:xfrm>
                          <a:custGeom>
                            <a:avLst/>
                            <a:gdLst/>
                            <a:ahLst/>
                            <a:cxnLst/>
                            <a:rect l="l" t="t" r="r" b="b"/>
                            <a:pathLst>
                              <a:path w="269875" h="15240">
                                <a:moveTo>
                                  <a:pt x="269421" y="0"/>
                                </a:moveTo>
                                <a:lnTo>
                                  <a:pt x="0" y="0"/>
                                </a:lnTo>
                                <a:lnTo>
                                  <a:pt x="0" y="15240"/>
                                </a:lnTo>
                                <a:lnTo>
                                  <a:pt x="269421" y="15240"/>
                                </a:lnTo>
                                <a:lnTo>
                                  <a:pt x="269421" y="0"/>
                                </a:lnTo>
                                <a:close/>
                              </a:path>
                            </a:pathLst>
                          </a:custGeom>
                          <a:solidFill>
                            <a:srgbClr val="7B7C7C"/>
                          </a:solidFill>
                        </wps:spPr>
                        <wps:bodyPr wrap="square" lIns="0" tIns="0" rIns="0" bIns="0" rtlCol="0">
                          <a:prstTxWarp prst="textNoShape">
                            <a:avLst/>
                          </a:prstTxWarp>
                          <a:noAutofit/>
                        </wps:bodyPr>
                      </wps:wsp>
                      <pic:pic>
                        <pic:nvPicPr>
                          <pic:cNvPr id="1968" name="Image 1968"/>
                          <pic:cNvPicPr/>
                        </pic:nvPicPr>
                        <pic:blipFill>
                          <a:blip r:embed="rId698" cstate="print"/>
                          <a:stretch>
                            <a:fillRect/>
                          </a:stretch>
                        </pic:blipFill>
                        <pic:spPr>
                          <a:xfrm>
                            <a:off x="638366" y="445546"/>
                            <a:ext cx="64497" cy="64497"/>
                          </a:xfrm>
                          <a:prstGeom prst="rect">
                            <a:avLst/>
                          </a:prstGeom>
                        </pic:spPr>
                      </pic:pic>
                      <wps:wsp>
                        <wps:cNvPr id="1969" name="Graphic 1969"/>
                        <wps:cNvSpPr/>
                        <wps:spPr>
                          <a:xfrm>
                            <a:off x="539032" y="340486"/>
                            <a:ext cx="269875" cy="60960"/>
                          </a:xfrm>
                          <a:custGeom>
                            <a:avLst/>
                            <a:gdLst/>
                            <a:ahLst/>
                            <a:cxnLst/>
                            <a:rect l="l" t="t" r="r" b="b"/>
                            <a:pathLst>
                              <a:path w="269875" h="60960">
                                <a:moveTo>
                                  <a:pt x="269417" y="20955"/>
                                </a:moveTo>
                                <a:lnTo>
                                  <a:pt x="175526" y="20955"/>
                                </a:lnTo>
                                <a:lnTo>
                                  <a:pt x="175526" y="0"/>
                                </a:lnTo>
                                <a:lnTo>
                                  <a:pt x="100139" y="0"/>
                                </a:lnTo>
                                <a:lnTo>
                                  <a:pt x="100139" y="20955"/>
                                </a:lnTo>
                                <a:lnTo>
                                  <a:pt x="0" y="20955"/>
                                </a:lnTo>
                                <a:lnTo>
                                  <a:pt x="0" y="40005"/>
                                </a:lnTo>
                                <a:lnTo>
                                  <a:pt x="100139" y="40005"/>
                                </a:lnTo>
                                <a:lnTo>
                                  <a:pt x="100139" y="60960"/>
                                </a:lnTo>
                                <a:lnTo>
                                  <a:pt x="175526" y="60960"/>
                                </a:lnTo>
                                <a:lnTo>
                                  <a:pt x="175526" y="40005"/>
                                </a:lnTo>
                                <a:lnTo>
                                  <a:pt x="269417" y="40005"/>
                                </a:lnTo>
                                <a:lnTo>
                                  <a:pt x="269417" y="20955"/>
                                </a:lnTo>
                                <a:close/>
                              </a:path>
                            </a:pathLst>
                          </a:custGeom>
                          <a:solidFill>
                            <a:srgbClr val="E3C626"/>
                          </a:solidFill>
                        </wps:spPr>
                        <wps:bodyPr wrap="square" lIns="0" tIns="0" rIns="0" bIns="0" rtlCol="0">
                          <a:prstTxWarp prst="textNoShape">
                            <a:avLst/>
                          </a:prstTxWarp>
                          <a:noAutofit/>
                        </wps:bodyPr>
                      </wps:wsp>
                      <wps:wsp>
                        <wps:cNvPr id="1970" name="Graphic 1970"/>
                        <wps:cNvSpPr/>
                        <wps:spPr>
                          <a:xfrm>
                            <a:off x="636053" y="224642"/>
                            <a:ext cx="75565" cy="60960"/>
                          </a:xfrm>
                          <a:custGeom>
                            <a:avLst/>
                            <a:gdLst/>
                            <a:ahLst/>
                            <a:cxnLst/>
                            <a:rect l="l" t="t" r="r" b="b"/>
                            <a:pathLst>
                              <a:path w="75565" h="60960">
                                <a:moveTo>
                                  <a:pt x="75383" y="0"/>
                                </a:moveTo>
                                <a:lnTo>
                                  <a:pt x="0" y="0"/>
                                </a:lnTo>
                                <a:lnTo>
                                  <a:pt x="0" y="60960"/>
                                </a:lnTo>
                                <a:lnTo>
                                  <a:pt x="75383" y="60960"/>
                                </a:lnTo>
                                <a:lnTo>
                                  <a:pt x="75383" y="0"/>
                                </a:lnTo>
                                <a:close/>
                              </a:path>
                            </a:pathLst>
                          </a:custGeom>
                          <a:solidFill>
                            <a:srgbClr val="9CBF3B"/>
                          </a:solidFill>
                        </wps:spPr>
                        <wps:bodyPr wrap="square" lIns="0" tIns="0" rIns="0" bIns="0" rtlCol="0">
                          <a:prstTxWarp prst="textNoShape">
                            <a:avLst/>
                          </a:prstTxWarp>
                          <a:noAutofit/>
                        </wps:bodyPr>
                      </wps:wsp>
                      <wps:wsp>
                        <wps:cNvPr id="1971" name="Graphic 1971"/>
                        <wps:cNvSpPr/>
                        <wps:spPr>
                          <a:xfrm>
                            <a:off x="636053" y="99806"/>
                            <a:ext cx="75565" cy="60960"/>
                          </a:xfrm>
                          <a:custGeom>
                            <a:avLst/>
                            <a:gdLst/>
                            <a:ahLst/>
                            <a:cxnLst/>
                            <a:rect l="l" t="t" r="r" b="b"/>
                            <a:pathLst>
                              <a:path w="75565" h="60960">
                                <a:moveTo>
                                  <a:pt x="75383" y="0"/>
                                </a:moveTo>
                                <a:lnTo>
                                  <a:pt x="0" y="0"/>
                                </a:lnTo>
                                <a:lnTo>
                                  <a:pt x="0" y="60960"/>
                                </a:lnTo>
                                <a:lnTo>
                                  <a:pt x="75383" y="60960"/>
                                </a:lnTo>
                                <a:lnTo>
                                  <a:pt x="75383" y="0"/>
                                </a:lnTo>
                                <a:close/>
                              </a:path>
                            </a:pathLst>
                          </a:custGeom>
                          <a:solidFill>
                            <a:srgbClr val="2E614A"/>
                          </a:solidFill>
                        </wps:spPr>
                        <wps:bodyPr wrap="square" lIns="0" tIns="0" rIns="0" bIns="0" rtlCol="0">
                          <a:prstTxWarp prst="textNoShape">
                            <a:avLst/>
                          </a:prstTxWarp>
                          <a:noAutofit/>
                        </wps:bodyPr>
                      </wps:wsp>
                      <wps:wsp>
                        <wps:cNvPr id="1972" name="Textbox 1972"/>
                        <wps:cNvSpPr txBox="1"/>
                        <wps:spPr>
                          <a:xfrm>
                            <a:off x="510503" y="2673968"/>
                            <a:ext cx="2528570" cy="102235"/>
                          </a:xfrm>
                          <a:prstGeom prst="rect">
                            <a:avLst/>
                          </a:prstGeom>
                        </wps:spPr>
                        <wps:txbx>
                          <w:txbxContent>
                            <w:p>
                              <w:pPr>
                                <w:spacing w:line="161" w:lineRule="exact" w:before="0"/>
                                <w:ind w:left="0" w:right="0" w:firstLine="0"/>
                                <w:jc w:val="left"/>
                                <w:rPr>
                                  <w:rFonts w:ascii="Arial MT"/>
                                  <w:sz w:val="14"/>
                                </w:rPr>
                              </w:pPr>
                              <w:r>
                                <w:rPr>
                                  <w:rFonts w:ascii="Arial MT"/>
                                  <w:w w:val="85"/>
                                  <w:sz w:val="14"/>
                                </w:rPr>
                                <w:t>1996-97</w:t>
                              </w:r>
                              <w:r>
                                <w:rPr>
                                  <w:rFonts w:ascii="Arial MT"/>
                                  <w:spacing w:val="23"/>
                                  <w:sz w:val="14"/>
                                </w:rPr>
                                <w:t> </w:t>
                              </w:r>
                              <w:r>
                                <w:rPr>
                                  <w:rFonts w:ascii="Arial MT"/>
                                  <w:w w:val="85"/>
                                  <w:sz w:val="14"/>
                                </w:rPr>
                                <w:t>1997-98</w:t>
                              </w:r>
                              <w:r>
                                <w:rPr>
                                  <w:rFonts w:ascii="Arial MT"/>
                                  <w:spacing w:val="24"/>
                                  <w:sz w:val="14"/>
                                </w:rPr>
                                <w:t> </w:t>
                              </w:r>
                              <w:r>
                                <w:rPr>
                                  <w:rFonts w:ascii="Arial MT"/>
                                  <w:w w:val="85"/>
                                  <w:sz w:val="14"/>
                                </w:rPr>
                                <w:t>1998-99</w:t>
                              </w:r>
                              <w:r>
                                <w:rPr>
                                  <w:rFonts w:ascii="Arial MT"/>
                                  <w:spacing w:val="24"/>
                                  <w:sz w:val="14"/>
                                </w:rPr>
                                <w:t> </w:t>
                              </w:r>
                              <w:r>
                                <w:rPr>
                                  <w:rFonts w:ascii="Arial MT"/>
                                  <w:w w:val="85"/>
                                  <w:sz w:val="14"/>
                                </w:rPr>
                                <w:t>1999-00</w:t>
                              </w:r>
                              <w:r>
                                <w:rPr>
                                  <w:rFonts w:ascii="Arial MT"/>
                                  <w:spacing w:val="23"/>
                                  <w:sz w:val="14"/>
                                </w:rPr>
                                <w:t> </w:t>
                              </w:r>
                              <w:r>
                                <w:rPr>
                                  <w:rFonts w:ascii="Arial MT"/>
                                  <w:w w:val="85"/>
                                  <w:sz w:val="14"/>
                                </w:rPr>
                                <w:t>2000-01</w:t>
                              </w:r>
                              <w:r>
                                <w:rPr>
                                  <w:rFonts w:ascii="Arial MT"/>
                                  <w:spacing w:val="24"/>
                                  <w:sz w:val="14"/>
                                </w:rPr>
                                <w:t> </w:t>
                              </w:r>
                              <w:r>
                                <w:rPr>
                                  <w:rFonts w:ascii="Arial MT"/>
                                  <w:w w:val="85"/>
                                  <w:sz w:val="14"/>
                                </w:rPr>
                                <w:t>2001-02</w:t>
                              </w:r>
                              <w:r>
                                <w:rPr>
                                  <w:rFonts w:ascii="Arial MT"/>
                                  <w:spacing w:val="24"/>
                                  <w:sz w:val="14"/>
                                </w:rPr>
                                <w:t> </w:t>
                              </w:r>
                              <w:r>
                                <w:rPr>
                                  <w:rFonts w:ascii="Arial MT"/>
                                  <w:w w:val="85"/>
                                  <w:sz w:val="14"/>
                                </w:rPr>
                                <w:t>2002-03</w:t>
                              </w:r>
                              <w:r>
                                <w:rPr>
                                  <w:rFonts w:ascii="Arial MT"/>
                                  <w:spacing w:val="23"/>
                                  <w:sz w:val="14"/>
                                </w:rPr>
                                <w:t> </w:t>
                              </w:r>
                              <w:r>
                                <w:rPr>
                                  <w:rFonts w:ascii="Arial MT"/>
                                  <w:w w:val="85"/>
                                  <w:sz w:val="14"/>
                                </w:rPr>
                                <w:t>2003-</w:t>
                              </w:r>
                              <w:r>
                                <w:rPr>
                                  <w:rFonts w:ascii="Arial MT"/>
                                  <w:spacing w:val="-5"/>
                                  <w:w w:val="85"/>
                                  <w:sz w:val="14"/>
                                </w:rPr>
                                <w:t>04</w:t>
                              </w:r>
                            </w:p>
                          </w:txbxContent>
                        </wps:txbx>
                        <wps:bodyPr wrap="square" lIns="0" tIns="0" rIns="0" bIns="0" rtlCol="0">
                          <a:noAutofit/>
                        </wps:bodyPr>
                      </wps:wsp>
                      <wps:wsp>
                        <wps:cNvPr id="1973" name="Textbox 1973"/>
                        <wps:cNvSpPr txBox="1"/>
                        <wps:spPr>
                          <a:xfrm>
                            <a:off x="3138808" y="255202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974" name="Textbox 1974"/>
                        <wps:cNvSpPr txBox="1"/>
                        <wps:spPr>
                          <a:xfrm>
                            <a:off x="346417" y="2587686"/>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1975" name="Textbox 1975"/>
                        <wps:cNvSpPr txBox="1"/>
                        <wps:spPr>
                          <a:xfrm>
                            <a:off x="3138808" y="229167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2</w:t>
                              </w:r>
                            </w:p>
                          </w:txbxContent>
                        </wps:txbx>
                        <wps:bodyPr wrap="square" lIns="0" tIns="0" rIns="0" bIns="0" rtlCol="0">
                          <a:noAutofit/>
                        </wps:bodyPr>
                      </wps:wsp>
                      <wps:wsp>
                        <wps:cNvPr id="1976" name="Textbox 1976"/>
                        <wps:cNvSpPr txBox="1"/>
                        <wps:spPr>
                          <a:xfrm>
                            <a:off x="265331" y="2276536"/>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200</w:t>
                              </w:r>
                            </w:p>
                          </w:txbxContent>
                        </wps:txbx>
                        <wps:bodyPr wrap="square" lIns="0" tIns="0" rIns="0" bIns="0" rtlCol="0">
                          <a:noAutofit/>
                        </wps:bodyPr>
                      </wps:wsp>
                      <wps:wsp>
                        <wps:cNvPr id="1977" name="Textbox 1977"/>
                        <wps:cNvSpPr txBox="1"/>
                        <wps:spPr>
                          <a:xfrm>
                            <a:off x="3138808" y="203132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4</w:t>
                              </w:r>
                            </w:p>
                          </w:txbxContent>
                        </wps:txbx>
                        <wps:bodyPr wrap="square" lIns="0" tIns="0" rIns="0" bIns="0" rtlCol="0">
                          <a:noAutofit/>
                        </wps:bodyPr>
                      </wps:wsp>
                      <wps:wsp>
                        <wps:cNvPr id="1978" name="Textbox 1978"/>
                        <wps:cNvSpPr txBox="1"/>
                        <wps:spPr>
                          <a:xfrm>
                            <a:off x="265331" y="1965386"/>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400</w:t>
                              </w:r>
                            </w:p>
                          </w:txbxContent>
                        </wps:txbx>
                        <wps:bodyPr wrap="square" lIns="0" tIns="0" rIns="0" bIns="0" rtlCol="0">
                          <a:noAutofit/>
                        </wps:bodyPr>
                      </wps:wsp>
                      <wps:wsp>
                        <wps:cNvPr id="1979" name="Textbox 1979"/>
                        <wps:cNvSpPr txBox="1"/>
                        <wps:spPr>
                          <a:xfrm>
                            <a:off x="3138808" y="177097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6</w:t>
                              </w:r>
                            </w:p>
                          </w:txbxContent>
                        </wps:txbx>
                        <wps:bodyPr wrap="square" lIns="0" tIns="0" rIns="0" bIns="0" rtlCol="0">
                          <a:noAutofit/>
                        </wps:bodyPr>
                      </wps:wsp>
                      <wps:wsp>
                        <wps:cNvPr id="1980" name="Textbox 1980"/>
                        <wps:cNvSpPr txBox="1"/>
                        <wps:spPr>
                          <a:xfrm>
                            <a:off x="265331" y="1654236"/>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600</w:t>
                              </w:r>
                            </w:p>
                          </w:txbxContent>
                        </wps:txbx>
                        <wps:bodyPr wrap="square" lIns="0" tIns="0" rIns="0" bIns="0" rtlCol="0">
                          <a:noAutofit/>
                        </wps:bodyPr>
                      </wps:wsp>
                      <wps:wsp>
                        <wps:cNvPr id="1981" name="Textbox 1981"/>
                        <wps:cNvSpPr txBox="1"/>
                        <wps:spPr>
                          <a:xfrm>
                            <a:off x="3138808" y="1510628"/>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8</w:t>
                              </w:r>
                            </w:p>
                          </w:txbxContent>
                        </wps:txbx>
                        <wps:bodyPr wrap="square" lIns="0" tIns="0" rIns="0" bIns="0" rtlCol="0">
                          <a:noAutofit/>
                        </wps:bodyPr>
                      </wps:wsp>
                      <wps:wsp>
                        <wps:cNvPr id="1982" name="Textbox 1982"/>
                        <wps:cNvSpPr txBox="1"/>
                        <wps:spPr>
                          <a:xfrm>
                            <a:off x="265331" y="1343085"/>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800</w:t>
                              </w:r>
                            </w:p>
                          </w:txbxContent>
                        </wps:txbx>
                        <wps:bodyPr wrap="square" lIns="0" tIns="0" rIns="0" bIns="0" rtlCol="0">
                          <a:noAutofit/>
                        </wps:bodyPr>
                      </wps:wsp>
                      <wps:wsp>
                        <wps:cNvPr id="1983" name="Textbox 1983"/>
                        <wps:cNvSpPr txBox="1"/>
                        <wps:spPr>
                          <a:xfrm>
                            <a:off x="3138808" y="989928"/>
                            <a:ext cx="93980" cy="36258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12</w:t>
                              </w:r>
                            </w:p>
                            <w:p>
                              <w:pPr>
                                <w:spacing w:line="240" w:lineRule="auto" w:before="88"/>
                                <w:rPr>
                                  <w:rFonts w:ascii="Arial MT"/>
                                  <w:sz w:val="14"/>
                                </w:rPr>
                              </w:pPr>
                            </w:p>
                            <w:p>
                              <w:pPr>
                                <w:spacing w:before="0"/>
                                <w:ind w:left="0" w:right="0" w:firstLine="0"/>
                                <w:jc w:val="left"/>
                                <w:rPr>
                                  <w:rFonts w:ascii="Arial MT"/>
                                  <w:sz w:val="14"/>
                                </w:rPr>
                              </w:pPr>
                              <w:r>
                                <w:rPr>
                                  <w:rFonts w:ascii="Arial MT"/>
                                  <w:spacing w:val="-5"/>
                                  <w:w w:val="90"/>
                                  <w:sz w:val="14"/>
                                </w:rPr>
                                <w:t>10</w:t>
                              </w:r>
                            </w:p>
                          </w:txbxContent>
                        </wps:txbx>
                        <wps:bodyPr wrap="square" lIns="0" tIns="0" rIns="0" bIns="0" rtlCol="0">
                          <a:noAutofit/>
                        </wps:bodyPr>
                      </wps:wsp>
                      <wps:wsp>
                        <wps:cNvPr id="1984" name="Textbox 1984"/>
                        <wps:cNvSpPr txBox="1"/>
                        <wps:spPr>
                          <a:xfrm>
                            <a:off x="224787" y="1031935"/>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1000</w:t>
                              </w:r>
                            </w:p>
                          </w:txbxContent>
                        </wps:txbx>
                        <wps:bodyPr wrap="square" lIns="0" tIns="0" rIns="0" bIns="0" rtlCol="0">
                          <a:noAutofit/>
                        </wps:bodyPr>
                      </wps:wsp>
                      <wps:wsp>
                        <wps:cNvPr id="1985" name="Textbox 1985"/>
                        <wps:cNvSpPr txBox="1"/>
                        <wps:spPr>
                          <a:xfrm>
                            <a:off x="3138808" y="729578"/>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14</w:t>
                              </w:r>
                            </w:p>
                          </w:txbxContent>
                        </wps:txbx>
                        <wps:bodyPr wrap="square" lIns="0" tIns="0" rIns="0" bIns="0" rtlCol="0">
                          <a:noAutofit/>
                        </wps:bodyPr>
                      </wps:wsp>
                      <wps:wsp>
                        <wps:cNvPr id="1986" name="Textbox 1986"/>
                        <wps:cNvSpPr txBox="1"/>
                        <wps:spPr>
                          <a:xfrm>
                            <a:off x="224787" y="720785"/>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1200</w:t>
                              </w:r>
                            </w:p>
                          </w:txbxContent>
                        </wps:txbx>
                        <wps:bodyPr wrap="square" lIns="0" tIns="0" rIns="0" bIns="0" rtlCol="0">
                          <a:noAutofit/>
                        </wps:bodyPr>
                      </wps:wsp>
                      <wps:wsp>
                        <wps:cNvPr id="1987" name="Textbox 1987"/>
                        <wps:cNvSpPr txBox="1"/>
                        <wps:spPr>
                          <a:xfrm>
                            <a:off x="864036" y="69111"/>
                            <a:ext cx="2331085" cy="443230"/>
                          </a:xfrm>
                          <a:prstGeom prst="rect">
                            <a:avLst/>
                          </a:prstGeom>
                        </wps:spPr>
                        <wps:txbx>
                          <w:txbxContent>
                            <w:p>
                              <w:pPr>
                                <w:spacing w:line="288" w:lineRule="auto" w:before="0"/>
                                <w:ind w:left="0" w:right="1680" w:firstLine="0"/>
                                <w:jc w:val="left"/>
                                <w:rPr>
                                  <w:rFonts w:ascii="Arial MT"/>
                                  <w:sz w:val="14"/>
                                </w:rPr>
                              </w:pPr>
                              <w:r>
                                <w:rPr>
                                  <w:rFonts w:ascii="Arial MT"/>
                                  <w:w w:val="80"/>
                                  <w:sz w:val="14"/>
                                </w:rPr>
                                <w:t>Enrolment in open </w:t>
                              </w:r>
                              <w:r>
                                <w:rPr>
                                  <w:rFonts w:ascii="Arial MT"/>
                                  <w:w w:val="80"/>
                                  <w:sz w:val="14"/>
                                </w:rPr>
                                <w:t>universities</w:t>
                              </w:r>
                              <w:r>
                                <w:rPr>
                                  <w:rFonts w:ascii="Arial MT"/>
                                  <w:spacing w:val="40"/>
                                  <w:sz w:val="14"/>
                                </w:rPr>
                                <w:t> </w:t>
                              </w:r>
                              <w:r>
                                <w:rPr>
                                  <w:rFonts w:ascii="Arial MT"/>
                                  <w:w w:val="80"/>
                                  <w:sz w:val="14"/>
                                </w:rPr>
                                <w:t>Enrolment</w:t>
                              </w:r>
                              <w:r>
                                <w:rPr>
                                  <w:rFonts w:ascii="Arial MT"/>
                                  <w:spacing w:val="-1"/>
                                  <w:sz w:val="14"/>
                                </w:rPr>
                                <w:t> </w:t>
                              </w:r>
                              <w:r>
                                <w:rPr>
                                  <w:rFonts w:ascii="Arial MT"/>
                                  <w:w w:val="80"/>
                                  <w:sz w:val="14"/>
                                </w:rPr>
                                <w:t>in</w:t>
                              </w:r>
                              <w:r>
                                <w:rPr>
                                  <w:rFonts w:ascii="Arial MT"/>
                                  <w:sz w:val="14"/>
                                </w:rPr>
                                <w:t> </w:t>
                              </w:r>
                              <w:r>
                                <w:rPr>
                                  <w:rFonts w:ascii="Arial MT"/>
                                  <w:spacing w:val="-2"/>
                                  <w:w w:val="80"/>
                                  <w:sz w:val="14"/>
                                </w:rPr>
                                <w:t>correspondence</w:t>
                              </w:r>
                            </w:p>
                            <w:p>
                              <w:pPr>
                                <w:spacing w:line="147" w:lineRule="exact" w:before="0"/>
                                <w:ind w:left="0" w:right="0" w:firstLine="0"/>
                                <w:jc w:val="left"/>
                                <w:rPr>
                                  <w:rFonts w:ascii="Arial MT"/>
                                  <w:sz w:val="14"/>
                                </w:rPr>
                              </w:pPr>
                              <w:r>
                                <w:rPr>
                                  <w:rFonts w:ascii="Arial MT"/>
                                  <w:w w:val="80"/>
                                  <w:sz w:val="14"/>
                                </w:rPr>
                                <w:t>Enrolment</w:t>
                              </w:r>
                              <w:r>
                                <w:rPr>
                                  <w:rFonts w:ascii="Arial MT"/>
                                  <w:spacing w:val="-3"/>
                                  <w:sz w:val="14"/>
                                </w:rPr>
                                <w:t> </w:t>
                              </w:r>
                              <w:r>
                                <w:rPr>
                                  <w:rFonts w:ascii="Arial MT"/>
                                  <w:w w:val="80"/>
                                  <w:sz w:val="14"/>
                                </w:rPr>
                                <w:t>in</w:t>
                              </w:r>
                              <w:r>
                                <w:rPr>
                                  <w:rFonts w:ascii="Arial MT"/>
                                  <w:spacing w:val="-2"/>
                                  <w:sz w:val="14"/>
                                </w:rPr>
                                <w:t> </w:t>
                              </w:r>
                              <w:r>
                                <w:rPr>
                                  <w:rFonts w:ascii="Arial MT"/>
                                  <w:w w:val="80"/>
                                  <w:sz w:val="14"/>
                                </w:rPr>
                                <w:t>open</w:t>
                              </w:r>
                              <w:r>
                                <w:rPr>
                                  <w:rFonts w:ascii="Arial MT"/>
                                  <w:spacing w:val="-2"/>
                                  <w:sz w:val="14"/>
                                </w:rPr>
                                <w:t> </w:t>
                              </w:r>
                              <w:r>
                                <w:rPr>
                                  <w:rFonts w:ascii="Arial MT"/>
                                  <w:w w:val="80"/>
                                  <w:sz w:val="14"/>
                                </w:rPr>
                                <w:t>universities</w:t>
                              </w:r>
                              <w:r>
                                <w:rPr>
                                  <w:rFonts w:ascii="Arial MT"/>
                                  <w:spacing w:val="-2"/>
                                  <w:sz w:val="14"/>
                                </w:rPr>
                                <w:t> </w:t>
                              </w:r>
                              <w:r>
                                <w:rPr>
                                  <w:rFonts w:ascii="Arial MT"/>
                                  <w:w w:val="80"/>
                                  <w:sz w:val="14"/>
                                </w:rPr>
                                <w:t>as</w:t>
                              </w:r>
                              <w:r>
                                <w:rPr>
                                  <w:rFonts w:ascii="Arial MT"/>
                                  <w:spacing w:val="-2"/>
                                  <w:sz w:val="14"/>
                                </w:rPr>
                                <w:t> </w:t>
                              </w:r>
                              <w:r>
                                <w:rPr>
                                  <w:rFonts w:ascii="Arial MT"/>
                                  <w:w w:val="80"/>
                                  <w:sz w:val="14"/>
                                </w:rPr>
                                <w:t>a</w:t>
                              </w:r>
                              <w:r>
                                <w:rPr>
                                  <w:rFonts w:ascii="Arial MT"/>
                                  <w:spacing w:val="-3"/>
                                  <w:sz w:val="14"/>
                                </w:rPr>
                                <w:t> </w:t>
                              </w:r>
                              <w:r>
                                <w:rPr>
                                  <w:rFonts w:ascii="Arial MT"/>
                                  <w:w w:val="80"/>
                                  <w:sz w:val="14"/>
                                </w:rPr>
                                <w:t>percentage</w:t>
                              </w:r>
                              <w:r>
                                <w:rPr>
                                  <w:rFonts w:ascii="Arial MT"/>
                                  <w:spacing w:val="-2"/>
                                  <w:sz w:val="14"/>
                                </w:rPr>
                                <w:t> </w:t>
                              </w:r>
                              <w:r>
                                <w:rPr>
                                  <w:rFonts w:ascii="Arial MT"/>
                                  <w:w w:val="80"/>
                                  <w:sz w:val="14"/>
                                </w:rPr>
                                <w:t>of</w:t>
                              </w:r>
                              <w:r>
                                <w:rPr>
                                  <w:rFonts w:ascii="Arial MT"/>
                                  <w:spacing w:val="-2"/>
                                  <w:sz w:val="14"/>
                                </w:rPr>
                                <w:t> </w:t>
                              </w:r>
                              <w:r>
                                <w:rPr>
                                  <w:rFonts w:ascii="Arial MT"/>
                                  <w:w w:val="80"/>
                                  <w:sz w:val="14"/>
                                </w:rPr>
                                <w:t>total</w:t>
                              </w:r>
                              <w:r>
                                <w:rPr>
                                  <w:rFonts w:ascii="Arial MT"/>
                                  <w:spacing w:val="-2"/>
                                  <w:sz w:val="14"/>
                                </w:rPr>
                                <w:t> </w:t>
                              </w:r>
                              <w:r>
                                <w:rPr>
                                  <w:rFonts w:ascii="Arial MT"/>
                                  <w:w w:val="80"/>
                                  <w:sz w:val="14"/>
                                </w:rPr>
                                <w:t>higher</w:t>
                              </w:r>
                              <w:r>
                                <w:rPr>
                                  <w:rFonts w:ascii="Arial MT"/>
                                  <w:spacing w:val="-2"/>
                                  <w:sz w:val="14"/>
                                </w:rPr>
                                <w:t> </w:t>
                              </w:r>
                              <w:r>
                                <w:rPr>
                                  <w:rFonts w:ascii="Arial MT"/>
                                  <w:spacing w:val="-2"/>
                                  <w:w w:val="80"/>
                                  <w:sz w:val="14"/>
                                </w:rPr>
                                <w:t>education</w:t>
                              </w:r>
                            </w:p>
                            <w:p>
                              <w:pPr>
                                <w:spacing w:before="3"/>
                                <w:ind w:left="0" w:right="0" w:firstLine="0"/>
                                <w:jc w:val="left"/>
                                <w:rPr>
                                  <w:rFonts w:ascii="Arial MT"/>
                                  <w:sz w:val="14"/>
                                </w:rPr>
                              </w:pPr>
                              <w:r>
                                <w:rPr>
                                  <w:rFonts w:ascii="Arial MT"/>
                                  <w:w w:val="80"/>
                                  <w:sz w:val="14"/>
                                </w:rPr>
                                <w:t>Enrolment</w:t>
                              </w:r>
                              <w:r>
                                <w:rPr>
                                  <w:rFonts w:ascii="Arial MT"/>
                                  <w:spacing w:val="-1"/>
                                  <w:sz w:val="14"/>
                                </w:rPr>
                                <w:t> </w:t>
                              </w:r>
                              <w:r>
                                <w:rPr>
                                  <w:rFonts w:ascii="Arial MT"/>
                                  <w:w w:val="80"/>
                                  <w:sz w:val="14"/>
                                </w:rPr>
                                <w:t>in</w:t>
                              </w:r>
                              <w:r>
                                <w:rPr>
                                  <w:rFonts w:ascii="Arial MT"/>
                                  <w:sz w:val="14"/>
                                </w:rPr>
                                <w:t> </w:t>
                              </w:r>
                              <w:r>
                                <w:rPr>
                                  <w:rFonts w:ascii="Arial MT"/>
                                  <w:w w:val="80"/>
                                  <w:sz w:val="14"/>
                                </w:rPr>
                                <w:t>correspondence</w:t>
                              </w:r>
                              <w:r>
                                <w:rPr>
                                  <w:rFonts w:ascii="Arial MT"/>
                                  <w:spacing w:val="-1"/>
                                  <w:sz w:val="14"/>
                                </w:rPr>
                                <w:t> </w:t>
                              </w:r>
                              <w:r>
                                <w:rPr>
                                  <w:rFonts w:ascii="Arial MT"/>
                                  <w:w w:val="80"/>
                                  <w:sz w:val="14"/>
                                </w:rPr>
                                <w:t>as</w:t>
                              </w:r>
                              <w:r>
                                <w:rPr>
                                  <w:rFonts w:ascii="Arial MT"/>
                                  <w:sz w:val="14"/>
                                </w:rPr>
                                <w:t> </w:t>
                              </w:r>
                              <w:r>
                                <w:rPr>
                                  <w:rFonts w:ascii="Arial MT"/>
                                  <w:w w:val="80"/>
                                  <w:sz w:val="14"/>
                                </w:rPr>
                                <w:t>a</w:t>
                              </w:r>
                              <w:r>
                                <w:rPr>
                                  <w:rFonts w:ascii="Arial MT"/>
                                  <w:spacing w:val="-1"/>
                                  <w:sz w:val="14"/>
                                </w:rPr>
                                <w:t> </w:t>
                              </w:r>
                              <w:r>
                                <w:rPr>
                                  <w:rFonts w:ascii="Arial MT"/>
                                  <w:w w:val="80"/>
                                  <w:sz w:val="14"/>
                                </w:rPr>
                                <w:t>percentage</w:t>
                              </w:r>
                              <w:r>
                                <w:rPr>
                                  <w:rFonts w:ascii="Arial MT"/>
                                  <w:sz w:val="14"/>
                                </w:rPr>
                                <w:t> </w:t>
                              </w:r>
                              <w:r>
                                <w:rPr>
                                  <w:rFonts w:ascii="Arial MT"/>
                                  <w:w w:val="80"/>
                                  <w:sz w:val="14"/>
                                </w:rPr>
                                <w:t>of</w:t>
                              </w:r>
                              <w:r>
                                <w:rPr>
                                  <w:rFonts w:ascii="Arial MT"/>
                                  <w:spacing w:val="-1"/>
                                  <w:sz w:val="14"/>
                                </w:rPr>
                                <w:t> </w:t>
                              </w:r>
                              <w:r>
                                <w:rPr>
                                  <w:rFonts w:ascii="Arial MT"/>
                                  <w:w w:val="80"/>
                                  <w:sz w:val="14"/>
                                </w:rPr>
                                <w:t>total</w:t>
                              </w:r>
                              <w:r>
                                <w:rPr>
                                  <w:rFonts w:ascii="Arial MT"/>
                                  <w:sz w:val="14"/>
                                </w:rPr>
                                <w:t> </w:t>
                              </w:r>
                              <w:r>
                                <w:rPr>
                                  <w:rFonts w:ascii="Arial MT"/>
                                  <w:w w:val="80"/>
                                  <w:sz w:val="14"/>
                                </w:rPr>
                                <w:t>higher</w:t>
                              </w:r>
                              <w:r>
                                <w:rPr>
                                  <w:rFonts w:ascii="Arial MT"/>
                                  <w:spacing w:val="-1"/>
                                  <w:sz w:val="14"/>
                                </w:rPr>
                                <w:t> </w:t>
                              </w:r>
                              <w:r>
                                <w:rPr>
                                  <w:rFonts w:ascii="Arial MT"/>
                                  <w:spacing w:val="-2"/>
                                  <w:w w:val="80"/>
                                  <w:sz w:val="14"/>
                                </w:rPr>
                                <w:t>education</w:t>
                              </w:r>
                            </w:p>
                          </w:txbxContent>
                        </wps:txbx>
                        <wps:bodyPr wrap="square" lIns="0" tIns="0" rIns="0" bIns="0" rtlCol="0">
                          <a:noAutofit/>
                        </wps:bodyPr>
                      </wps:wsp>
                    </wpg:wgp>
                  </a:graphicData>
                </a:graphic>
              </wp:anchor>
            </w:drawing>
          </mc:Choice>
          <mc:Fallback>
            <w:pict>
              <v:group style="position:absolute;margin-left:295.775543pt;margin-top:34.862694pt;width:263.5pt;height:228.8pt;mso-position-horizontal-relative:page;mso-position-vertical-relative:paragraph;z-index:15861248" id="docshapegroup1924" coordorigin="5916,697" coordsize="5270,4576">
                <v:shape style="position:absolute;left:5915;top:697;width:5270;height:4576" id="docshape1925" coordorigin="5916,697" coordsize="5270,4576" path="m11186,697l11176,697,11176,707,11176,5263,11176,5263,11176,5268,11176,5269,5921,5269,5921,5268,5926,5268,11176,5268,11176,5263,5926,5263,5921,5263,5921,5263,5926,5263,5926,707,11176,707,11176,697,5916,697,5916,703,5916,707,5916,5263,5916,5269,5916,5273,11186,5273,11186,5269,11181,5269,11181,5268,11186,5268,11186,5263,11181,5263,11181,5263,11186,5263,11186,707,11186,703,11186,702,11186,697xe" filled="true" fillcolor="#000000" stroked="false">
                  <v:path arrowok="t"/>
                  <v:fill type="solid"/>
                </v:shape>
                <v:rect style="position:absolute;left:6797;top:4114;width:135;height:722" id="docshape1926" filled="true" fillcolor="#2e614a" stroked="false">
                  <v:fill type="solid"/>
                </v:rect>
                <v:rect style="position:absolute;left:6932;top:2828;width:135;height:2008" id="docshape1927" filled="true" fillcolor="#9cbf3b" stroked="false">
                  <v:fill type="solid"/>
                </v:rect>
                <v:shape style="position:absolute;left:6619;top:1891;width:4185;height:3004" id="docshape1928" coordorigin="6620,1891" coordsize="4185,3004" path="m6698,4306l6620,4306,6620,4316,6698,4316,6698,4306xm6698,3821l6620,3821,6620,3831,6698,3831,6698,3821xm6698,3346l6620,3346,6620,3356,6698,3356,6698,3346xm6698,2856l6620,2856,6620,2866,6698,2866,6698,2856xm6698,2356l6620,2356,6620,2366,6698,2366,6698,2356xm6698,1891l6620,1891,6620,1901,6698,1901,6698,1891xm10800,4834l10713,4834,10713,4004,10795,4004,10795,3994,10713,3994,10713,3584,10795,3584,10795,3574,10713,3574,10713,3164,10795,3164,10795,3154,10713,3154,10713,2744,10795,2744,10795,2734,10713,2734,10713,2324,10795,2324,10795,2314,10713,2314,10713,1903,10795,1903,10795,1893,10712,1893,10712,1896,10703,1896,10703,4834,6711,4834,6711,1896,6701,1896,6701,4834,6620,4834,6620,4844,6701,4844,6701,4895,6711,4895,6711,4844,7201,4844,7201,4895,7211,4895,7211,4844,7702,4844,7702,4895,7712,4895,7712,4844,8203,4844,8203,4895,8213,4895,8213,4844,8703,4844,8703,4895,8713,4895,8713,4844,9204,4844,9204,4895,9214,4895,9214,4844,9704,4844,9704,4895,9714,4895,9714,4844,10205,4844,10205,4895,10215,4895,10215,4844,10703,4844,10703,4866,10706,4866,10706,4895,10716,4895,10716,4844,10800,4844,10800,4834xm10804,4414l10721,4414,10721,4424,10804,4424,10804,4414xe" filled="true" fillcolor="#000000" stroked="false">
                  <v:path arrowok="t"/>
                  <v:fill type="solid"/>
                </v:shape>
                <v:rect style="position:absolute;left:7313;top:4064;width:135;height:771" id="docshape1929" filled="true" fillcolor="#2e614a" stroked="false">
                  <v:fill type="solid"/>
                </v:rect>
                <v:rect style="position:absolute;left:7448;top:2474;width:135;height:2361" id="docshape1930" filled="true" fillcolor="#9cbf3b" stroked="false">
                  <v:fill type="solid"/>
                </v:rect>
                <v:rect style="position:absolute;left:7799;top:4232;width:135;height:603" id="docshape1931" filled="true" fillcolor="#2e614a" stroked="false">
                  <v:fill type="solid"/>
                </v:rect>
                <v:rect style="position:absolute;left:7934;top:2699;width:135;height:2136" id="docshape1932" filled="true" fillcolor="#9cbf3b" stroked="false">
                  <v:fill type="solid"/>
                </v:rect>
                <v:rect style="position:absolute;left:8310;top:3908;width:135;height:927" id="docshape1933" filled="true" fillcolor="#2e614a" stroked="false">
                  <v:fill type="solid"/>
                </v:rect>
                <v:rect style="position:absolute;left:8445;top:2450;width:135;height:2385" id="docshape1934" filled="true" fillcolor="#9cbf3b" stroked="false">
                  <v:fill type="solid"/>
                </v:rect>
                <v:rect style="position:absolute;left:8795;top:3908;width:135;height:927" id="docshape1935" filled="true" fillcolor="#2e614a" stroked="false">
                  <v:fill type="solid"/>
                </v:rect>
                <v:rect style="position:absolute;left:8930;top:2252;width:135;height:2583" id="docshape1936" filled="true" fillcolor="#9cbf3b" stroked="false">
                  <v:fill type="solid"/>
                </v:rect>
                <v:rect style="position:absolute;left:9313;top:3284;width:135;height:1551" id="docshape1937" filled="true" fillcolor="#2e614a" stroked="false">
                  <v:fill type="solid"/>
                </v:rect>
                <v:rect style="position:absolute;left:9448;top:2066;width:135;height:2769" id="docshape1938" filled="true" fillcolor="#9cbf3b" stroked="false">
                  <v:fill type="solid"/>
                </v:rect>
                <v:rect style="position:absolute;left:9809;top:2950;width:135;height:1886" id="docshape1939" filled="true" fillcolor="#2e614a" stroked="false">
                  <v:fill type="solid"/>
                </v:rect>
                <v:rect style="position:absolute;left:9944;top:2346;width:135;height:2490" id="docshape1940" filled="true" fillcolor="#9cbf3b" stroked="false">
                  <v:fill type="solid"/>
                </v:rect>
                <v:rect style="position:absolute;left:10322;top:2432;width:135;height:2403" id="docshape1941" filled="true" fillcolor="#2e614a" stroked="false">
                  <v:fill type="solid"/>
                </v:rect>
                <v:rect style="position:absolute;left:10457;top:2320;width:135;height:2516" id="docshape1942" filled="true" fillcolor="#9cbf3b" stroked="false">
                  <v:fill type="solid"/>
                </v:rect>
                <v:shape style="position:absolute;left:6895;top:2740;width:3604;height:1485" id="docshape1943" coordorigin="6895,2741" coordsize="3604,1485" path="m10499,2741l10380,2741,10380,2805,10015,3095,9924,3095,9924,3146,9503,3300,9503,3287,9384,3287,9384,3383,9391,3383,8996,3845,8927,3845,8927,3871,8636,3851,8531,3843,8531,3801,8412,3801,8412,3872,8029,4129,7915,4129,7915,4139,7516,3945,7516,3893,7397,3893,7397,3919,7014,3924,7014,3893,6895,3893,6895,3989,7014,3989,7014,3948,7397,3943,7397,3989,7516,3989,7516,3972,7915,4165,7915,4225,8034,4225,8034,4155,8418,3897,8531,3897,8531,3867,8927,3895,8927,3941,9046,3941,9046,3845,9028,3845,9422,3383,9503,3383,9503,3326,9924,3172,9924,3191,10043,3191,10043,3103,10380,2836,10380,2837,10499,2837,10499,2741xe" filled="true" fillcolor="#e3c626" stroked="false">
                  <v:path arrowok="t"/>
                  <v:fill type="solid"/>
                </v:shape>
                <v:shape style="position:absolute;left:6948;top:2036;width:3488;height:652" id="docshape1944" coordorigin="6948,2036" coordsize="3488,652" path="m9480,2162l9462,2162,9463,2174,9458,2174,9961,2602,10432,2688,10436,2665,10033,2591,9966,2591,9968,2579,9971,2579,9480,2162xm9968,2579l9966,2591,9974,2581,9971,2579,9968,2579xm9971,2579l9974,2581,9966,2591,10033,2591,9971,2579xm9971,2579l9968,2579,9971,2579,9971,2579xm7465,2051l7446,2051,7452,2061,7445,2065,7960,2484,7997,2471,7962,2471,7958,2459,7964,2457,7465,2051xm7964,2457l7958,2459,7962,2471,7969,2461,7964,2457xm9466,2150l8974,2176,8457,2279,7964,2457,7969,2461,7962,2471,7997,2471,8463,2302,8462,2302,8460,2291,8521,2291,8977,2200,8977,2200,8976,2188,9203,2188,9458,2174,9454,2171,9462,2162,9480,2162,9466,2150xm7447,2036l6948,2312,6960,2333,7445,2065,7438,2060,7446,2051,7465,2051,7447,2036xm8460,2291l8462,2302,8463,2302,8464,2302,8460,2291xm8463,2302l8462,2302,8463,2302,8463,2302xm8521,2291l8460,2291,8464,2302,8463,2302,8521,2291xm8976,2188l8977,2200,8977,2200,8978,2200,8976,2188xm8977,2200l8977,2200,8977,2200,8977,2200xm9203,2188l8976,2188,8978,2200,8977,2200,9203,2188xm9462,2162l9454,2171,9458,2174,9463,2174,9462,2162xm7446,2051l7438,2060,7445,2065,7452,2061,7446,2051xe" filled="true" fillcolor="#7b7c7c" stroked="false">
                  <v:path arrowok="t"/>
                  <v:fill type="solid"/>
                </v:shape>
                <v:shape style="position:absolute;left:6883;top:2266;width:102;height:102" type="#_x0000_t75" id="docshape1945" stroked="false">
                  <v:imagedata r:id="rId696" o:title=""/>
                </v:shape>
                <v:shape style="position:absolute;left:7392;top:1994;width:102;height:102" type="#_x0000_t75" id="docshape1946" stroked="false">
                  <v:imagedata r:id="rId696" o:title=""/>
                </v:shape>
                <v:shape style="position:absolute;left:7911;top:2416;width:102;height:102" type="#_x0000_t75" id="docshape1947" stroked="false">
                  <v:imagedata r:id="rId696" o:title=""/>
                </v:shape>
                <v:shape style="position:absolute;left:8393;top:2242;width:102;height:102" type="#_x0000_t75" id="docshape1948" stroked="false">
                  <v:imagedata r:id="rId697" o:title=""/>
                </v:shape>
                <v:shape style="position:absolute;left:9401;top:2104;width:102;height:102" type="#_x0000_t75" id="docshape1949" stroked="false">
                  <v:imagedata r:id="rId698" o:title=""/>
                </v:shape>
                <v:shape style="position:absolute;left:8908;top:2129;width:102;height:102" type="#_x0000_t75" id="docshape1950" stroked="false">
                  <v:imagedata r:id="rId696" o:title=""/>
                </v:shape>
                <v:shape style="position:absolute;left:9904;top:2534;width:102;height:102" type="#_x0000_t75" id="docshape1951" stroked="false">
                  <v:imagedata r:id="rId696" o:title=""/>
                </v:shape>
                <v:shape style="position:absolute;left:10379;top:2632;width:102;height:102" type="#_x0000_t75" id="docshape1952" stroked="false">
                  <v:imagedata r:id="rId697" o:title=""/>
                </v:shape>
                <v:rect style="position:absolute;left:6764;top:1436;width:425;height:24" id="docshape1953" filled="true" fillcolor="#7b7c7c" stroked="false">
                  <v:fill type="solid"/>
                </v:rect>
                <v:shape style="position:absolute;left:6920;top:1398;width:102;height:102" type="#_x0000_t75" id="docshape1954" stroked="false">
                  <v:imagedata r:id="rId698" o:title=""/>
                </v:shape>
                <v:shape style="position:absolute;left:6764;top:1233;width:425;height:96" id="docshape1955" coordorigin="6764,1233" coordsize="425,96" path="m7189,1266l7041,1266,7041,1233,6922,1233,6922,1266,6764,1266,6764,1296,6922,1296,6922,1329,7041,1329,7041,1296,7189,1296,7189,1266xe" filled="true" fillcolor="#e3c626" stroked="false">
                  <v:path arrowok="t"/>
                  <v:fill type="solid"/>
                </v:shape>
                <v:rect style="position:absolute;left:6917;top:1051;width:119;height:96" id="docshape1956" filled="true" fillcolor="#9cbf3b" stroked="false">
                  <v:fill type="solid"/>
                </v:rect>
                <v:rect style="position:absolute;left:6917;top:854;width:119;height:96" id="docshape1957" filled="true" fillcolor="#2e614a" stroked="false">
                  <v:fill type="solid"/>
                </v:rect>
                <v:shape style="position:absolute;left:6719;top:4908;width:3982;height:161" type="#_x0000_t202" id="docshape1958" filled="false" stroked="false">
                  <v:textbox inset="0,0,0,0">
                    <w:txbxContent>
                      <w:p>
                        <w:pPr>
                          <w:spacing w:line="161" w:lineRule="exact" w:before="0"/>
                          <w:ind w:left="0" w:right="0" w:firstLine="0"/>
                          <w:jc w:val="left"/>
                          <w:rPr>
                            <w:rFonts w:ascii="Arial MT"/>
                            <w:sz w:val="14"/>
                          </w:rPr>
                        </w:pPr>
                        <w:r>
                          <w:rPr>
                            <w:rFonts w:ascii="Arial MT"/>
                            <w:w w:val="85"/>
                            <w:sz w:val="14"/>
                          </w:rPr>
                          <w:t>1996-97</w:t>
                        </w:r>
                        <w:r>
                          <w:rPr>
                            <w:rFonts w:ascii="Arial MT"/>
                            <w:spacing w:val="23"/>
                            <w:sz w:val="14"/>
                          </w:rPr>
                          <w:t> </w:t>
                        </w:r>
                        <w:r>
                          <w:rPr>
                            <w:rFonts w:ascii="Arial MT"/>
                            <w:w w:val="85"/>
                            <w:sz w:val="14"/>
                          </w:rPr>
                          <w:t>1997-98</w:t>
                        </w:r>
                        <w:r>
                          <w:rPr>
                            <w:rFonts w:ascii="Arial MT"/>
                            <w:spacing w:val="24"/>
                            <w:sz w:val="14"/>
                          </w:rPr>
                          <w:t> </w:t>
                        </w:r>
                        <w:r>
                          <w:rPr>
                            <w:rFonts w:ascii="Arial MT"/>
                            <w:w w:val="85"/>
                            <w:sz w:val="14"/>
                          </w:rPr>
                          <w:t>1998-99</w:t>
                        </w:r>
                        <w:r>
                          <w:rPr>
                            <w:rFonts w:ascii="Arial MT"/>
                            <w:spacing w:val="24"/>
                            <w:sz w:val="14"/>
                          </w:rPr>
                          <w:t> </w:t>
                        </w:r>
                        <w:r>
                          <w:rPr>
                            <w:rFonts w:ascii="Arial MT"/>
                            <w:w w:val="85"/>
                            <w:sz w:val="14"/>
                          </w:rPr>
                          <w:t>1999-00</w:t>
                        </w:r>
                        <w:r>
                          <w:rPr>
                            <w:rFonts w:ascii="Arial MT"/>
                            <w:spacing w:val="23"/>
                            <w:sz w:val="14"/>
                          </w:rPr>
                          <w:t> </w:t>
                        </w:r>
                        <w:r>
                          <w:rPr>
                            <w:rFonts w:ascii="Arial MT"/>
                            <w:w w:val="85"/>
                            <w:sz w:val="14"/>
                          </w:rPr>
                          <w:t>2000-01</w:t>
                        </w:r>
                        <w:r>
                          <w:rPr>
                            <w:rFonts w:ascii="Arial MT"/>
                            <w:spacing w:val="24"/>
                            <w:sz w:val="14"/>
                          </w:rPr>
                          <w:t> </w:t>
                        </w:r>
                        <w:r>
                          <w:rPr>
                            <w:rFonts w:ascii="Arial MT"/>
                            <w:w w:val="85"/>
                            <w:sz w:val="14"/>
                          </w:rPr>
                          <w:t>2001-02</w:t>
                        </w:r>
                        <w:r>
                          <w:rPr>
                            <w:rFonts w:ascii="Arial MT"/>
                            <w:spacing w:val="24"/>
                            <w:sz w:val="14"/>
                          </w:rPr>
                          <w:t> </w:t>
                        </w:r>
                        <w:r>
                          <w:rPr>
                            <w:rFonts w:ascii="Arial MT"/>
                            <w:w w:val="85"/>
                            <w:sz w:val="14"/>
                          </w:rPr>
                          <w:t>2002-03</w:t>
                        </w:r>
                        <w:r>
                          <w:rPr>
                            <w:rFonts w:ascii="Arial MT"/>
                            <w:spacing w:val="23"/>
                            <w:sz w:val="14"/>
                          </w:rPr>
                          <w:t> </w:t>
                        </w:r>
                        <w:r>
                          <w:rPr>
                            <w:rFonts w:ascii="Arial MT"/>
                            <w:w w:val="85"/>
                            <w:sz w:val="14"/>
                          </w:rPr>
                          <w:t>2003-</w:t>
                        </w:r>
                        <w:r>
                          <w:rPr>
                            <w:rFonts w:ascii="Arial MT"/>
                            <w:spacing w:val="-5"/>
                            <w:w w:val="85"/>
                            <w:sz w:val="14"/>
                          </w:rPr>
                          <w:t>04</w:t>
                        </w:r>
                      </w:p>
                    </w:txbxContent>
                  </v:textbox>
                  <w10:wrap type="none"/>
                </v:shape>
                <v:shape style="position:absolute;left:10858;top:4716;width:84;height:161" type="#_x0000_t202" id="docshape1959"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6461;top:4772;width:84;height:161" type="#_x0000_t202" id="docshape1960"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10858;top:4306;width:84;height:161" type="#_x0000_t202" id="docshape1961" filled="false" stroked="false">
                  <v:textbox inset="0,0,0,0">
                    <w:txbxContent>
                      <w:p>
                        <w:pPr>
                          <w:spacing w:line="161" w:lineRule="exact" w:before="0"/>
                          <w:ind w:left="0" w:right="0" w:firstLine="0"/>
                          <w:jc w:val="left"/>
                          <w:rPr>
                            <w:rFonts w:ascii="Arial MT"/>
                            <w:sz w:val="14"/>
                          </w:rPr>
                        </w:pPr>
                        <w:r>
                          <w:rPr>
                            <w:rFonts w:ascii="Arial MT"/>
                            <w:spacing w:val="-10"/>
                            <w:w w:val="90"/>
                            <w:sz w:val="14"/>
                          </w:rPr>
                          <w:t>2</w:t>
                        </w:r>
                      </w:p>
                    </w:txbxContent>
                  </v:textbox>
                  <w10:wrap type="none"/>
                </v:shape>
                <v:shape style="position:absolute;left:6333;top:4282;width:212;height:161" type="#_x0000_t202" id="docshape1962" filled="false" stroked="false">
                  <v:textbox inset="0,0,0,0">
                    <w:txbxContent>
                      <w:p>
                        <w:pPr>
                          <w:spacing w:line="161" w:lineRule="exact" w:before="0"/>
                          <w:ind w:left="0" w:right="0" w:firstLine="0"/>
                          <w:jc w:val="left"/>
                          <w:rPr>
                            <w:rFonts w:ascii="Arial MT"/>
                            <w:sz w:val="14"/>
                          </w:rPr>
                        </w:pPr>
                        <w:r>
                          <w:rPr>
                            <w:rFonts w:ascii="Arial MT"/>
                            <w:spacing w:val="-5"/>
                            <w:w w:val="90"/>
                            <w:sz w:val="14"/>
                          </w:rPr>
                          <w:t>200</w:t>
                        </w:r>
                      </w:p>
                    </w:txbxContent>
                  </v:textbox>
                  <w10:wrap type="none"/>
                </v:shape>
                <v:shape style="position:absolute;left:10858;top:3896;width:84;height:161" type="#_x0000_t202" id="docshape1963" filled="false" stroked="false">
                  <v:textbox inset="0,0,0,0">
                    <w:txbxContent>
                      <w:p>
                        <w:pPr>
                          <w:spacing w:line="161" w:lineRule="exact" w:before="0"/>
                          <w:ind w:left="0" w:right="0" w:firstLine="0"/>
                          <w:jc w:val="left"/>
                          <w:rPr>
                            <w:rFonts w:ascii="Arial MT"/>
                            <w:sz w:val="14"/>
                          </w:rPr>
                        </w:pPr>
                        <w:r>
                          <w:rPr>
                            <w:rFonts w:ascii="Arial MT"/>
                            <w:spacing w:val="-10"/>
                            <w:w w:val="90"/>
                            <w:sz w:val="14"/>
                          </w:rPr>
                          <w:t>4</w:t>
                        </w:r>
                      </w:p>
                    </w:txbxContent>
                  </v:textbox>
                  <w10:wrap type="none"/>
                </v:shape>
                <v:shape style="position:absolute;left:6333;top:3792;width:212;height:161" type="#_x0000_t202" id="docshape1964" filled="false" stroked="false">
                  <v:textbox inset="0,0,0,0">
                    <w:txbxContent>
                      <w:p>
                        <w:pPr>
                          <w:spacing w:line="161" w:lineRule="exact" w:before="0"/>
                          <w:ind w:left="0" w:right="0" w:firstLine="0"/>
                          <w:jc w:val="left"/>
                          <w:rPr>
                            <w:rFonts w:ascii="Arial MT"/>
                            <w:sz w:val="14"/>
                          </w:rPr>
                        </w:pPr>
                        <w:r>
                          <w:rPr>
                            <w:rFonts w:ascii="Arial MT"/>
                            <w:spacing w:val="-5"/>
                            <w:w w:val="90"/>
                            <w:sz w:val="14"/>
                          </w:rPr>
                          <w:t>400</w:t>
                        </w:r>
                      </w:p>
                    </w:txbxContent>
                  </v:textbox>
                  <w10:wrap type="none"/>
                </v:shape>
                <v:shape style="position:absolute;left:10858;top:3486;width:84;height:161" type="#_x0000_t202" id="docshape1965" filled="false" stroked="false">
                  <v:textbox inset="0,0,0,0">
                    <w:txbxContent>
                      <w:p>
                        <w:pPr>
                          <w:spacing w:line="161" w:lineRule="exact" w:before="0"/>
                          <w:ind w:left="0" w:right="0" w:firstLine="0"/>
                          <w:jc w:val="left"/>
                          <w:rPr>
                            <w:rFonts w:ascii="Arial MT"/>
                            <w:sz w:val="14"/>
                          </w:rPr>
                        </w:pPr>
                        <w:r>
                          <w:rPr>
                            <w:rFonts w:ascii="Arial MT"/>
                            <w:spacing w:val="-10"/>
                            <w:w w:val="90"/>
                            <w:sz w:val="14"/>
                          </w:rPr>
                          <w:t>6</w:t>
                        </w:r>
                      </w:p>
                    </w:txbxContent>
                  </v:textbox>
                  <w10:wrap type="none"/>
                </v:shape>
                <v:shape style="position:absolute;left:6333;top:3302;width:212;height:161" type="#_x0000_t202" id="docshape1966" filled="false" stroked="false">
                  <v:textbox inset="0,0,0,0">
                    <w:txbxContent>
                      <w:p>
                        <w:pPr>
                          <w:spacing w:line="161" w:lineRule="exact" w:before="0"/>
                          <w:ind w:left="0" w:right="0" w:firstLine="0"/>
                          <w:jc w:val="left"/>
                          <w:rPr>
                            <w:rFonts w:ascii="Arial MT"/>
                            <w:sz w:val="14"/>
                          </w:rPr>
                        </w:pPr>
                        <w:r>
                          <w:rPr>
                            <w:rFonts w:ascii="Arial MT"/>
                            <w:spacing w:val="-5"/>
                            <w:w w:val="90"/>
                            <w:sz w:val="14"/>
                          </w:rPr>
                          <w:t>600</w:t>
                        </w:r>
                      </w:p>
                    </w:txbxContent>
                  </v:textbox>
                  <w10:wrap type="none"/>
                </v:shape>
                <v:shape style="position:absolute;left:10858;top:3076;width:84;height:161" type="#_x0000_t202" id="docshape1967" filled="false" stroked="false">
                  <v:textbox inset="0,0,0,0">
                    <w:txbxContent>
                      <w:p>
                        <w:pPr>
                          <w:spacing w:line="161" w:lineRule="exact" w:before="0"/>
                          <w:ind w:left="0" w:right="0" w:firstLine="0"/>
                          <w:jc w:val="left"/>
                          <w:rPr>
                            <w:rFonts w:ascii="Arial MT"/>
                            <w:sz w:val="14"/>
                          </w:rPr>
                        </w:pPr>
                        <w:r>
                          <w:rPr>
                            <w:rFonts w:ascii="Arial MT"/>
                            <w:spacing w:val="-10"/>
                            <w:w w:val="90"/>
                            <w:sz w:val="14"/>
                          </w:rPr>
                          <w:t>8</w:t>
                        </w:r>
                      </w:p>
                    </w:txbxContent>
                  </v:textbox>
                  <w10:wrap type="none"/>
                </v:shape>
                <v:shape style="position:absolute;left:6333;top:2812;width:212;height:161" type="#_x0000_t202" id="docshape1968" filled="false" stroked="false">
                  <v:textbox inset="0,0,0,0">
                    <w:txbxContent>
                      <w:p>
                        <w:pPr>
                          <w:spacing w:line="161" w:lineRule="exact" w:before="0"/>
                          <w:ind w:left="0" w:right="0" w:firstLine="0"/>
                          <w:jc w:val="left"/>
                          <w:rPr>
                            <w:rFonts w:ascii="Arial MT"/>
                            <w:sz w:val="14"/>
                          </w:rPr>
                        </w:pPr>
                        <w:r>
                          <w:rPr>
                            <w:rFonts w:ascii="Arial MT"/>
                            <w:spacing w:val="-5"/>
                            <w:w w:val="90"/>
                            <w:sz w:val="14"/>
                          </w:rPr>
                          <w:t>800</w:t>
                        </w:r>
                      </w:p>
                    </w:txbxContent>
                  </v:textbox>
                  <w10:wrap type="none"/>
                </v:shape>
                <v:shape style="position:absolute;left:10858;top:2256;width:148;height:571" type="#_x0000_t202" id="docshape1969" filled="false" stroked="false">
                  <v:textbox inset="0,0,0,0">
                    <w:txbxContent>
                      <w:p>
                        <w:pPr>
                          <w:spacing w:line="161" w:lineRule="exact" w:before="0"/>
                          <w:ind w:left="0" w:right="0" w:firstLine="0"/>
                          <w:jc w:val="left"/>
                          <w:rPr>
                            <w:rFonts w:ascii="Arial MT"/>
                            <w:sz w:val="14"/>
                          </w:rPr>
                        </w:pPr>
                        <w:r>
                          <w:rPr>
                            <w:rFonts w:ascii="Arial MT"/>
                            <w:spacing w:val="-5"/>
                            <w:w w:val="90"/>
                            <w:sz w:val="14"/>
                          </w:rPr>
                          <w:t>12</w:t>
                        </w:r>
                      </w:p>
                      <w:p>
                        <w:pPr>
                          <w:spacing w:line="240" w:lineRule="auto" w:before="88"/>
                          <w:rPr>
                            <w:rFonts w:ascii="Arial MT"/>
                            <w:sz w:val="14"/>
                          </w:rPr>
                        </w:pPr>
                      </w:p>
                      <w:p>
                        <w:pPr>
                          <w:spacing w:before="0"/>
                          <w:ind w:left="0" w:right="0" w:firstLine="0"/>
                          <w:jc w:val="left"/>
                          <w:rPr>
                            <w:rFonts w:ascii="Arial MT"/>
                            <w:sz w:val="14"/>
                          </w:rPr>
                        </w:pPr>
                        <w:r>
                          <w:rPr>
                            <w:rFonts w:ascii="Arial MT"/>
                            <w:spacing w:val="-5"/>
                            <w:w w:val="90"/>
                            <w:sz w:val="14"/>
                          </w:rPr>
                          <w:t>10</w:t>
                        </w:r>
                      </w:p>
                    </w:txbxContent>
                  </v:textbox>
                  <w10:wrap type="none"/>
                </v:shape>
                <v:shape style="position:absolute;left:6269;top:2322;width:276;height:161" type="#_x0000_t202" id="docshape1970" filled="false" stroked="false">
                  <v:textbox inset="0,0,0,0">
                    <w:txbxContent>
                      <w:p>
                        <w:pPr>
                          <w:spacing w:line="161" w:lineRule="exact" w:before="0"/>
                          <w:ind w:left="0" w:right="0" w:firstLine="0"/>
                          <w:jc w:val="left"/>
                          <w:rPr>
                            <w:rFonts w:ascii="Arial MT"/>
                            <w:sz w:val="14"/>
                          </w:rPr>
                        </w:pPr>
                        <w:r>
                          <w:rPr>
                            <w:rFonts w:ascii="Arial MT"/>
                            <w:spacing w:val="-4"/>
                            <w:w w:val="85"/>
                            <w:sz w:val="14"/>
                          </w:rPr>
                          <w:t>1000</w:t>
                        </w:r>
                      </w:p>
                    </w:txbxContent>
                  </v:textbox>
                  <w10:wrap type="none"/>
                </v:shape>
                <v:shape style="position:absolute;left:10858;top:1846;width:148;height:161" type="#_x0000_t202" id="docshape1971" filled="false" stroked="false">
                  <v:textbox inset="0,0,0,0">
                    <w:txbxContent>
                      <w:p>
                        <w:pPr>
                          <w:spacing w:line="161" w:lineRule="exact" w:before="0"/>
                          <w:ind w:left="0" w:right="0" w:firstLine="0"/>
                          <w:jc w:val="left"/>
                          <w:rPr>
                            <w:rFonts w:ascii="Arial MT"/>
                            <w:sz w:val="14"/>
                          </w:rPr>
                        </w:pPr>
                        <w:r>
                          <w:rPr>
                            <w:rFonts w:ascii="Arial MT"/>
                            <w:spacing w:val="-5"/>
                            <w:w w:val="90"/>
                            <w:sz w:val="14"/>
                          </w:rPr>
                          <w:t>14</w:t>
                        </w:r>
                      </w:p>
                    </w:txbxContent>
                  </v:textbox>
                  <w10:wrap type="none"/>
                </v:shape>
                <v:shape style="position:absolute;left:6269;top:1832;width:276;height:161" type="#_x0000_t202" id="docshape1972" filled="false" stroked="false">
                  <v:textbox inset="0,0,0,0">
                    <w:txbxContent>
                      <w:p>
                        <w:pPr>
                          <w:spacing w:line="161" w:lineRule="exact" w:before="0"/>
                          <w:ind w:left="0" w:right="0" w:firstLine="0"/>
                          <w:jc w:val="left"/>
                          <w:rPr>
                            <w:rFonts w:ascii="Arial MT"/>
                            <w:sz w:val="14"/>
                          </w:rPr>
                        </w:pPr>
                        <w:r>
                          <w:rPr>
                            <w:rFonts w:ascii="Arial MT"/>
                            <w:spacing w:val="-4"/>
                            <w:w w:val="85"/>
                            <w:sz w:val="14"/>
                          </w:rPr>
                          <w:t>1200</w:t>
                        </w:r>
                      </w:p>
                    </w:txbxContent>
                  </v:textbox>
                  <w10:wrap type="none"/>
                </v:shape>
                <v:shape style="position:absolute;left:7276;top:806;width:3671;height:698" type="#_x0000_t202" id="docshape1973" filled="false" stroked="false">
                  <v:textbox inset="0,0,0,0">
                    <w:txbxContent>
                      <w:p>
                        <w:pPr>
                          <w:spacing w:line="288" w:lineRule="auto" w:before="0"/>
                          <w:ind w:left="0" w:right="1680" w:firstLine="0"/>
                          <w:jc w:val="left"/>
                          <w:rPr>
                            <w:rFonts w:ascii="Arial MT"/>
                            <w:sz w:val="14"/>
                          </w:rPr>
                        </w:pPr>
                        <w:r>
                          <w:rPr>
                            <w:rFonts w:ascii="Arial MT"/>
                            <w:w w:val="80"/>
                            <w:sz w:val="14"/>
                          </w:rPr>
                          <w:t>Enrolment in open </w:t>
                        </w:r>
                        <w:r>
                          <w:rPr>
                            <w:rFonts w:ascii="Arial MT"/>
                            <w:w w:val="80"/>
                            <w:sz w:val="14"/>
                          </w:rPr>
                          <w:t>universities</w:t>
                        </w:r>
                        <w:r>
                          <w:rPr>
                            <w:rFonts w:ascii="Arial MT"/>
                            <w:spacing w:val="40"/>
                            <w:sz w:val="14"/>
                          </w:rPr>
                          <w:t> </w:t>
                        </w:r>
                        <w:r>
                          <w:rPr>
                            <w:rFonts w:ascii="Arial MT"/>
                            <w:w w:val="80"/>
                            <w:sz w:val="14"/>
                          </w:rPr>
                          <w:t>Enrolment</w:t>
                        </w:r>
                        <w:r>
                          <w:rPr>
                            <w:rFonts w:ascii="Arial MT"/>
                            <w:spacing w:val="-1"/>
                            <w:sz w:val="14"/>
                          </w:rPr>
                          <w:t> </w:t>
                        </w:r>
                        <w:r>
                          <w:rPr>
                            <w:rFonts w:ascii="Arial MT"/>
                            <w:w w:val="80"/>
                            <w:sz w:val="14"/>
                          </w:rPr>
                          <w:t>in</w:t>
                        </w:r>
                        <w:r>
                          <w:rPr>
                            <w:rFonts w:ascii="Arial MT"/>
                            <w:sz w:val="14"/>
                          </w:rPr>
                          <w:t> </w:t>
                        </w:r>
                        <w:r>
                          <w:rPr>
                            <w:rFonts w:ascii="Arial MT"/>
                            <w:spacing w:val="-2"/>
                            <w:w w:val="80"/>
                            <w:sz w:val="14"/>
                          </w:rPr>
                          <w:t>correspondence</w:t>
                        </w:r>
                      </w:p>
                      <w:p>
                        <w:pPr>
                          <w:spacing w:line="147" w:lineRule="exact" w:before="0"/>
                          <w:ind w:left="0" w:right="0" w:firstLine="0"/>
                          <w:jc w:val="left"/>
                          <w:rPr>
                            <w:rFonts w:ascii="Arial MT"/>
                            <w:sz w:val="14"/>
                          </w:rPr>
                        </w:pPr>
                        <w:r>
                          <w:rPr>
                            <w:rFonts w:ascii="Arial MT"/>
                            <w:w w:val="80"/>
                            <w:sz w:val="14"/>
                          </w:rPr>
                          <w:t>Enrolment</w:t>
                        </w:r>
                        <w:r>
                          <w:rPr>
                            <w:rFonts w:ascii="Arial MT"/>
                            <w:spacing w:val="-3"/>
                            <w:sz w:val="14"/>
                          </w:rPr>
                          <w:t> </w:t>
                        </w:r>
                        <w:r>
                          <w:rPr>
                            <w:rFonts w:ascii="Arial MT"/>
                            <w:w w:val="80"/>
                            <w:sz w:val="14"/>
                          </w:rPr>
                          <w:t>in</w:t>
                        </w:r>
                        <w:r>
                          <w:rPr>
                            <w:rFonts w:ascii="Arial MT"/>
                            <w:spacing w:val="-2"/>
                            <w:sz w:val="14"/>
                          </w:rPr>
                          <w:t> </w:t>
                        </w:r>
                        <w:r>
                          <w:rPr>
                            <w:rFonts w:ascii="Arial MT"/>
                            <w:w w:val="80"/>
                            <w:sz w:val="14"/>
                          </w:rPr>
                          <w:t>open</w:t>
                        </w:r>
                        <w:r>
                          <w:rPr>
                            <w:rFonts w:ascii="Arial MT"/>
                            <w:spacing w:val="-2"/>
                            <w:sz w:val="14"/>
                          </w:rPr>
                          <w:t> </w:t>
                        </w:r>
                        <w:r>
                          <w:rPr>
                            <w:rFonts w:ascii="Arial MT"/>
                            <w:w w:val="80"/>
                            <w:sz w:val="14"/>
                          </w:rPr>
                          <w:t>universities</w:t>
                        </w:r>
                        <w:r>
                          <w:rPr>
                            <w:rFonts w:ascii="Arial MT"/>
                            <w:spacing w:val="-2"/>
                            <w:sz w:val="14"/>
                          </w:rPr>
                          <w:t> </w:t>
                        </w:r>
                        <w:r>
                          <w:rPr>
                            <w:rFonts w:ascii="Arial MT"/>
                            <w:w w:val="80"/>
                            <w:sz w:val="14"/>
                          </w:rPr>
                          <w:t>as</w:t>
                        </w:r>
                        <w:r>
                          <w:rPr>
                            <w:rFonts w:ascii="Arial MT"/>
                            <w:spacing w:val="-2"/>
                            <w:sz w:val="14"/>
                          </w:rPr>
                          <w:t> </w:t>
                        </w:r>
                        <w:r>
                          <w:rPr>
                            <w:rFonts w:ascii="Arial MT"/>
                            <w:w w:val="80"/>
                            <w:sz w:val="14"/>
                          </w:rPr>
                          <w:t>a</w:t>
                        </w:r>
                        <w:r>
                          <w:rPr>
                            <w:rFonts w:ascii="Arial MT"/>
                            <w:spacing w:val="-3"/>
                            <w:sz w:val="14"/>
                          </w:rPr>
                          <w:t> </w:t>
                        </w:r>
                        <w:r>
                          <w:rPr>
                            <w:rFonts w:ascii="Arial MT"/>
                            <w:w w:val="80"/>
                            <w:sz w:val="14"/>
                          </w:rPr>
                          <w:t>percentage</w:t>
                        </w:r>
                        <w:r>
                          <w:rPr>
                            <w:rFonts w:ascii="Arial MT"/>
                            <w:spacing w:val="-2"/>
                            <w:sz w:val="14"/>
                          </w:rPr>
                          <w:t> </w:t>
                        </w:r>
                        <w:r>
                          <w:rPr>
                            <w:rFonts w:ascii="Arial MT"/>
                            <w:w w:val="80"/>
                            <w:sz w:val="14"/>
                          </w:rPr>
                          <w:t>of</w:t>
                        </w:r>
                        <w:r>
                          <w:rPr>
                            <w:rFonts w:ascii="Arial MT"/>
                            <w:spacing w:val="-2"/>
                            <w:sz w:val="14"/>
                          </w:rPr>
                          <w:t> </w:t>
                        </w:r>
                        <w:r>
                          <w:rPr>
                            <w:rFonts w:ascii="Arial MT"/>
                            <w:w w:val="80"/>
                            <w:sz w:val="14"/>
                          </w:rPr>
                          <w:t>total</w:t>
                        </w:r>
                        <w:r>
                          <w:rPr>
                            <w:rFonts w:ascii="Arial MT"/>
                            <w:spacing w:val="-2"/>
                            <w:sz w:val="14"/>
                          </w:rPr>
                          <w:t> </w:t>
                        </w:r>
                        <w:r>
                          <w:rPr>
                            <w:rFonts w:ascii="Arial MT"/>
                            <w:w w:val="80"/>
                            <w:sz w:val="14"/>
                          </w:rPr>
                          <w:t>higher</w:t>
                        </w:r>
                        <w:r>
                          <w:rPr>
                            <w:rFonts w:ascii="Arial MT"/>
                            <w:spacing w:val="-2"/>
                            <w:sz w:val="14"/>
                          </w:rPr>
                          <w:t> </w:t>
                        </w:r>
                        <w:r>
                          <w:rPr>
                            <w:rFonts w:ascii="Arial MT"/>
                            <w:spacing w:val="-2"/>
                            <w:w w:val="80"/>
                            <w:sz w:val="14"/>
                          </w:rPr>
                          <w:t>education</w:t>
                        </w:r>
                      </w:p>
                      <w:p>
                        <w:pPr>
                          <w:spacing w:before="3"/>
                          <w:ind w:left="0" w:right="0" w:firstLine="0"/>
                          <w:jc w:val="left"/>
                          <w:rPr>
                            <w:rFonts w:ascii="Arial MT"/>
                            <w:sz w:val="14"/>
                          </w:rPr>
                        </w:pPr>
                        <w:r>
                          <w:rPr>
                            <w:rFonts w:ascii="Arial MT"/>
                            <w:w w:val="80"/>
                            <w:sz w:val="14"/>
                          </w:rPr>
                          <w:t>Enrolment</w:t>
                        </w:r>
                        <w:r>
                          <w:rPr>
                            <w:rFonts w:ascii="Arial MT"/>
                            <w:spacing w:val="-1"/>
                            <w:sz w:val="14"/>
                          </w:rPr>
                          <w:t> </w:t>
                        </w:r>
                        <w:r>
                          <w:rPr>
                            <w:rFonts w:ascii="Arial MT"/>
                            <w:w w:val="80"/>
                            <w:sz w:val="14"/>
                          </w:rPr>
                          <w:t>in</w:t>
                        </w:r>
                        <w:r>
                          <w:rPr>
                            <w:rFonts w:ascii="Arial MT"/>
                            <w:sz w:val="14"/>
                          </w:rPr>
                          <w:t> </w:t>
                        </w:r>
                        <w:r>
                          <w:rPr>
                            <w:rFonts w:ascii="Arial MT"/>
                            <w:w w:val="80"/>
                            <w:sz w:val="14"/>
                          </w:rPr>
                          <w:t>correspondence</w:t>
                        </w:r>
                        <w:r>
                          <w:rPr>
                            <w:rFonts w:ascii="Arial MT"/>
                            <w:spacing w:val="-1"/>
                            <w:sz w:val="14"/>
                          </w:rPr>
                          <w:t> </w:t>
                        </w:r>
                        <w:r>
                          <w:rPr>
                            <w:rFonts w:ascii="Arial MT"/>
                            <w:w w:val="80"/>
                            <w:sz w:val="14"/>
                          </w:rPr>
                          <w:t>as</w:t>
                        </w:r>
                        <w:r>
                          <w:rPr>
                            <w:rFonts w:ascii="Arial MT"/>
                            <w:sz w:val="14"/>
                          </w:rPr>
                          <w:t> </w:t>
                        </w:r>
                        <w:r>
                          <w:rPr>
                            <w:rFonts w:ascii="Arial MT"/>
                            <w:w w:val="80"/>
                            <w:sz w:val="14"/>
                          </w:rPr>
                          <w:t>a</w:t>
                        </w:r>
                        <w:r>
                          <w:rPr>
                            <w:rFonts w:ascii="Arial MT"/>
                            <w:spacing w:val="-1"/>
                            <w:sz w:val="14"/>
                          </w:rPr>
                          <w:t> </w:t>
                        </w:r>
                        <w:r>
                          <w:rPr>
                            <w:rFonts w:ascii="Arial MT"/>
                            <w:w w:val="80"/>
                            <w:sz w:val="14"/>
                          </w:rPr>
                          <w:t>percentage</w:t>
                        </w:r>
                        <w:r>
                          <w:rPr>
                            <w:rFonts w:ascii="Arial MT"/>
                            <w:sz w:val="14"/>
                          </w:rPr>
                          <w:t> </w:t>
                        </w:r>
                        <w:r>
                          <w:rPr>
                            <w:rFonts w:ascii="Arial MT"/>
                            <w:w w:val="80"/>
                            <w:sz w:val="14"/>
                          </w:rPr>
                          <w:t>of</w:t>
                        </w:r>
                        <w:r>
                          <w:rPr>
                            <w:rFonts w:ascii="Arial MT"/>
                            <w:spacing w:val="-1"/>
                            <w:sz w:val="14"/>
                          </w:rPr>
                          <w:t> </w:t>
                        </w:r>
                        <w:r>
                          <w:rPr>
                            <w:rFonts w:ascii="Arial MT"/>
                            <w:w w:val="80"/>
                            <w:sz w:val="14"/>
                          </w:rPr>
                          <w:t>total</w:t>
                        </w:r>
                        <w:r>
                          <w:rPr>
                            <w:rFonts w:ascii="Arial MT"/>
                            <w:sz w:val="14"/>
                          </w:rPr>
                          <w:t> </w:t>
                        </w:r>
                        <w:r>
                          <w:rPr>
                            <w:rFonts w:ascii="Arial MT"/>
                            <w:w w:val="80"/>
                            <w:sz w:val="14"/>
                          </w:rPr>
                          <w:t>higher</w:t>
                        </w:r>
                        <w:r>
                          <w:rPr>
                            <w:rFonts w:ascii="Arial MT"/>
                            <w:spacing w:val="-1"/>
                            <w:sz w:val="14"/>
                          </w:rPr>
                          <w:t> </w:t>
                        </w:r>
                        <w:r>
                          <w:rPr>
                            <w:rFonts w:ascii="Arial MT"/>
                            <w:spacing w:val="-2"/>
                            <w:w w:val="80"/>
                            <w:sz w:val="14"/>
                          </w:rPr>
                          <w:t>education</w:t>
                        </w:r>
                      </w:p>
                    </w:txbxContent>
                  </v:textbox>
                  <w10:wrap type="none"/>
                </v:shape>
                <w10:wrap type="none"/>
              </v:group>
            </w:pict>
          </mc:Fallback>
        </mc:AlternateContent>
      </w:r>
      <w:r>
        <w:rPr>
          <w:spacing w:val="-8"/>
        </w:rPr>
        <w:t>Figure</w:t>
      </w:r>
      <w:r>
        <w:rPr>
          <w:spacing w:val="-7"/>
        </w:rPr>
        <w:t> </w:t>
      </w:r>
      <w:r>
        <w:rPr>
          <w:spacing w:val="-8"/>
        </w:rPr>
        <w:t>45:</w:t>
      </w:r>
      <w:r>
        <w:rPr>
          <w:spacing w:val="-7"/>
        </w:rPr>
        <w:t> </w:t>
      </w:r>
      <w:r>
        <w:rPr>
          <w:color w:val="2E614A"/>
          <w:spacing w:val="-8"/>
        </w:rPr>
        <w:t>Enrolment</w:t>
      </w:r>
      <w:r>
        <w:rPr>
          <w:color w:val="2E614A"/>
          <w:spacing w:val="-7"/>
        </w:rPr>
        <w:t> </w:t>
      </w:r>
      <w:r>
        <w:rPr>
          <w:color w:val="2E614A"/>
          <w:spacing w:val="-8"/>
        </w:rPr>
        <w:t>in</w:t>
      </w:r>
      <w:r>
        <w:rPr>
          <w:color w:val="2E614A"/>
          <w:spacing w:val="-7"/>
        </w:rPr>
        <w:t> </w:t>
      </w:r>
      <w:r>
        <w:rPr>
          <w:color w:val="2E614A"/>
          <w:spacing w:val="-8"/>
        </w:rPr>
        <w:t>open</w:t>
      </w:r>
      <w:r>
        <w:rPr>
          <w:color w:val="2E614A"/>
          <w:spacing w:val="-7"/>
        </w:rPr>
        <w:t> </w:t>
      </w:r>
      <w:r>
        <w:rPr>
          <w:color w:val="2E614A"/>
          <w:spacing w:val="-8"/>
        </w:rPr>
        <w:t>universities</w:t>
      </w:r>
      <w:r>
        <w:rPr>
          <w:color w:val="2E614A"/>
          <w:spacing w:val="-7"/>
        </w:rPr>
        <w:t> </w:t>
      </w:r>
      <w:r>
        <w:rPr>
          <w:color w:val="2E614A"/>
          <w:spacing w:val="-8"/>
        </w:rPr>
        <w:t>and </w:t>
      </w:r>
      <w:r>
        <w:rPr>
          <w:color w:val="2E614A"/>
          <w:spacing w:val="-2"/>
        </w:rPr>
        <w:t>correspondence</w:t>
      </w:r>
      <w:r>
        <w:rPr>
          <w:color w:val="2E614A"/>
          <w:spacing w:val="-13"/>
        </w:rPr>
        <w:t> </w:t>
      </w:r>
      <w:r>
        <w:rPr>
          <w:color w:val="2E614A"/>
          <w:spacing w:val="-2"/>
        </w:rPr>
        <w:t>courses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73"/>
        <w:rPr>
          <w:b/>
          <w:sz w:val="24"/>
        </w:rPr>
      </w:pPr>
    </w:p>
    <w:p>
      <w:pPr>
        <w:spacing w:before="0"/>
        <w:ind w:left="442" w:right="0" w:firstLine="0"/>
        <w:jc w:val="left"/>
        <w:rPr>
          <w:sz w:val="16"/>
        </w:rPr>
      </w:pPr>
      <w:r>
        <w:rPr/>
        <mc:AlternateContent>
          <mc:Choice Requires="wps">
            <w:drawing>
              <wp:anchor distT="0" distB="0" distL="0" distR="0" allowOverlap="1" layoutInCell="1" locked="0" behindDoc="0" simplePos="0" relativeHeight="15862272">
                <wp:simplePos x="0" y="0"/>
                <wp:positionH relativeFrom="page">
                  <wp:posOffset>3831769</wp:posOffset>
                </wp:positionH>
                <wp:positionV relativeFrom="paragraph">
                  <wp:posOffset>-1427121</wp:posOffset>
                </wp:positionV>
                <wp:extent cx="127635" cy="414655"/>
                <wp:effectExtent l="0" t="0" r="0" b="0"/>
                <wp:wrapNone/>
                <wp:docPr id="1988" name="Textbox 1988"/>
                <wp:cNvGraphicFramePr>
                  <a:graphicFrameLocks/>
                </wp:cNvGraphicFramePr>
                <a:graphic>
                  <a:graphicData uri="http://schemas.microsoft.com/office/word/2010/wordprocessingShape">
                    <wps:wsp>
                      <wps:cNvPr id="1988" name="Textbox 1988"/>
                      <wps:cNvSpPr txBox="1"/>
                      <wps:spPr>
                        <a:xfrm>
                          <a:off x="0" y="0"/>
                          <a:ext cx="127635" cy="414655"/>
                        </a:xfrm>
                        <a:prstGeom prst="rect">
                          <a:avLst/>
                        </a:prstGeom>
                      </wps:spPr>
                      <wps:txbx>
                        <w:txbxContent>
                          <w:p>
                            <w:pPr>
                              <w:spacing w:before="19"/>
                              <w:ind w:left="20" w:right="0" w:firstLine="0"/>
                              <w:jc w:val="left"/>
                              <w:rPr>
                                <w:rFonts w:ascii="Arial"/>
                                <w:b/>
                                <w:sz w:val="14"/>
                              </w:rPr>
                            </w:pPr>
                            <w:r>
                              <w:rPr>
                                <w:rFonts w:ascii="Arial"/>
                                <w:b/>
                                <w:spacing w:val="-2"/>
                                <w:w w:val="80"/>
                                <w:sz w:val="14"/>
                              </w:rPr>
                              <w:t>Thousands</w:t>
                            </w:r>
                          </w:p>
                        </w:txbxContent>
                      </wps:txbx>
                      <wps:bodyPr wrap="square" lIns="0" tIns="0" rIns="0" bIns="0" rtlCol="0" vert="vert270">
                        <a:noAutofit/>
                      </wps:bodyPr>
                    </wps:wsp>
                  </a:graphicData>
                </a:graphic>
              </wp:anchor>
            </w:drawing>
          </mc:Choice>
          <mc:Fallback>
            <w:pict>
              <v:shape style="position:absolute;margin-left:301.714111pt;margin-top:-112.371735pt;width:10.050pt;height:32.65pt;mso-position-horizontal-relative:page;mso-position-vertical-relative:paragraph;z-index:15862272" type="#_x0000_t202" id="docshape1974" filled="false" stroked="false">
                <v:textbox inset="0,0,0,0" style="layout-flow:vertical;mso-layout-flow-alt:bottom-to-top">
                  <w:txbxContent>
                    <w:p>
                      <w:pPr>
                        <w:spacing w:before="19"/>
                        <w:ind w:left="20" w:right="0" w:firstLine="0"/>
                        <w:jc w:val="left"/>
                        <w:rPr>
                          <w:rFonts w:ascii="Arial"/>
                          <w:b/>
                          <w:sz w:val="14"/>
                        </w:rPr>
                      </w:pPr>
                      <w:r>
                        <w:rPr>
                          <w:rFonts w:ascii="Arial"/>
                          <w:b/>
                          <w:spacing w:val="-2"/>
                          <w:w w:val="80"/>
                          <w:sz w:val="14"/>
                        </w:rPr>
                        <w:t>Thousands</w:t>
                      </w:r>
                    </w:p>
                  </w:txbxContent>
                </v:textbox>
                <w10:wrap type="none"/>
              </v:shape>
            </w:pict>
          </mc:Fallback>
        </mc:AlternateContent>
      </w:r>
      <w:r>
        <w:rPr>
          <w:i/>
          <w:w w:val="85"/>
          <w:sz w:val="16"/>
        </w:rPr>
        <w:t>Source:</w:t>
      </w:r>
      <w:r>
        <w:rPr>
          <w:i/>
          <w:spacing w:val="-5"/>
          <w:sz w:val="16"/>
        </w:rPr>
        <w:t> </w:t>
      </w:r>
      <w:r>
        <w:rPr>
          <w:spacing w:val="-4"/>
          <w:sz w:val="16"/>
        </w:rPr>
        <w:t>MHRD</w:t>
      </w:r>
    </w:p>
    <w:p>
      <w:pPr>
        <w:spacing w:after="0"/>
        <w:jc w:val="left"/>
        <w:rPr>
          <w:sz w:val="16"/>
        </w:rPr>
        <w:sectPr>
          <w:type w:val="continuous"/>
          <w:pgSz w:w="11910" w:h="16840"/>
          <w:pgMar w:header="0" w:footer="675" w:top="1920" w:bottom="280" w:left="0" w:right="0"/>
          <w:cols w:num="2" w:equalWidth="0">
            <w:col w:w="5433" w:space="40"/>
            <w:col w:w="6437"/>
          </w:cols>
        </w:sectPr>
      </w:pPr>
    </w:p>
    <w:p>
      <w:pPr>
        <w:pStyle w:val="BodyText"/>
        <w:spacing w:line="266" w:lineRule="auto" w:before="57"/>
        <w:ind w:left="1080"/>
        <w:jc w:val="both"/>
      </w:pPr>
      <w:r>
        <w:rPr>
          <w:b/>
        </w:rPr>
        <w:t>Institutions: </w:t>
      </w:r>
      <w:r>
        <w:rPr/>
        <w:t>In India there are 14 open </w:t>
      </w:r>
      <w:r>
        <w:rPr/>
        <w:t>universities</w:t>
      </w:r>
      <w:r>
        <w:rPr>
          <w:spacing w:val="40"/>
        </w:rPr>
        <w:t> </w:t>
      </w:r>
      <w:r>
        <w:rPr/>
        <w:t>– 13 state open universities and one national Open University</w:t>
      </w:r>
      <w:r>
        <w:rPr>
          <w:spacing w:val="-9"/>
        </w:rPr>
        <w:t> </w:t>
      </w:r>
      <w:r>
        <w:rPr/>
        <w:t>–</w:t>
      </w:r>
      <w:r>
        <w:rPr>
          <w:spacing w:val="-9"/>
        </w:rPr>
        <w:t> </w:t>
      </w:r>
      <w:r>
        <w:rPr/>
        <w:t>Indira</w:t>
      </w:r>
      <w:r>
        <w:rPr>
          <w:spacing w:val="-9"/>
        </w:rPr>
        <w:t> </w:t>
      </w:r>
      <w:r>
        <w:rPr/>
        <w:t>Gandhi</w:t>
      </w:r>
      <w:r>
        <w:rPr>
          <w:spacing w:val="-9"/>
        </w:rPr>
        <w:t> </w:t>
      </w:r>
      <w:r>
        <w:rPr/>
        <w:t>National</w:t>
      </w:r>
      <w:r>
        <w:rPr>
          <w:spacing w:val="-9"/>
        </w:rPr>
        <w:t> </w:t>
      </w:r>
      <w:r>
        <w:rPr/>
        <w:t>Open</w:t>
      </w:r>
      <w:r>
        <w:rPr>
          <w:spacing w:val="-9"/>
        </w:rPr>
        <w:t> </w:t>
      </w:r>
      <w:r>
        <w:rPr/>
        <w:t>University (IGNOU). IGNOU now has a cumulative enrolment </w:t>
      </w:r>
      <w:r>
        <w:rPr>
          <w:spacing w:val="-2"/>
        </w:rPr>
        <w:t>of</w:t>
      </w:r>
      <w:r>
        <w:rPr>
          <w:spacing w:val="-12"/>
        </w:rPr>
        <w:t> </w:t>
      </w:r>
      <w:r>
        <w:rPr>
          <w:spacing w:val="-2"/>
        </w:rPr>
        <w:t>about</w:t>
      </w:r>
      <w:r>
        <w:rPr>
          <w:spacing w:val="-12"/>
        </w:rPr>
        <w:t> </w:t>
      </w:r>
      <w:r>
        <w:rPr>
          <w:spacing w:val="-2"/>
        </w:rPr>
        <w:t>15</w:t>
      </w:r>
      <w:r>
        <w:rPr>
          <w:spacing w:val="-12"/>
        </w:rPr>
        <w:t> </w:t>
      </w:r>
      <w:r>
        <w:rPr>
          <w:spacing w:val="-2"/>
        </w:rPr>
        <w:t>lakh,</w:t>
      </w:r>
      <w:r>
        <w:rPr>
          <w:spacing w:val="-11"/>
        </w:rPr>
        <w:t> </w:t>
      </w:r>
      <w:r>
        <w:rPr>
          <w:spacing w:val="-2"/>
        </w:rPr>
        <w:t>offers</w:t>
      </w:r>
      <w:r>
        <w:rPr>
          <w:spacing w:val="-12"/>
        </w:rPr>
        <w:t> </w:t>
      </w:r>
      <w:r>
        <w:rPr>
          <w:spacing w:val="-2"/>
        </w:rPr>
        <w:t>a</w:t>
      </w:r>
      <w:r>
        <w:rPr>
          <w:spacing w:val="-12"/>
        </w:rPr>
        <w:t> </w:t>
      </w:r>
      <w:r>
        <w:rPr>
          <w:spacing w:val="-2"/>
        </w:rPr>
        <w:t>total</w:t>
      </w:r>
      <w:r>
        <w:rPr>
          <w:spacing w:val="-12"/>
        </w:rPr>
        <w:t> </w:t>
      </w:r>
      <w:r>
        <w:rPr>
          <w:spacing w:val="-2"/>
        </w:rPr>
        <w:t>of</w:t>
      </w:r>
      <w:r>
        <w:rPr>
          <w:spacing w:val="-11"/>
        </w:rPr>
        <w:t> </w:t>
      </w:r>
      <w:r>
        <w:rPr>
          <w:spacing w:val="-2"/>
        </w:rPr>
        <w:t>126</w:t>
      </w:r>
      <w:r>
        <w:rPr>
          <w:spacing w:val="-12"/>
        </w:rPr>
        <w:t> </w:t>
      </w:r>
      <w:r>
        <w:rPr>
          <w:spacing w:val="-2"/>
        </w:rPr>
        <w:t>programs</w:t>
      </w:r>
      <w:r>
        <w:rPr>
          <w:spacing w:val="-12"/>
        </w:rPr>
        <w:t> </w:t>
      </w:r>
      <w:r>
        <w:rPr>
          <w:spacing w:val="-2"/>
        </w:rPr>
        <w:t>and</w:t>
      </w:r>
      <w:r>
        <w:rPr>
          <w:spacing w:val="-12"/>
        </w:rPr>
        <w:t> </w:t>
      </w:r>
      <w:r>
        <w:rPr>
          <w:spacing w:val="-2"/>
        </w:rPr>
        <w:t>has </w:t>
      </w:r>
      <w:r>
        <w:rPr/>
        <w:t>a teaching staff of 325 and 1157. Distance education through correspondence courses is provided by</w:t>
      </w:r>
      <w:r>
        <w:rPr>
          <w:spacing w:val="80"/>
          <w:w w:val="150"/>
        </w:rPr>
        <w:t> </w:t>
      </w:r>
      <w:r>
        <w:rPr>
          <w:spacing w:val="-2"/>
        </w:rPr>
        <w:t>other</w:t>
      </w:r>
      <w:r>
        <w:rPr>
          <w:spacing w:val="4"/>
        </w:rPr>
        <w:t> </w:t>
      </w:r>
      <w:r>
        <w:rPr>
          <w:spacing w:val="-2"/>
        </w:rPr>
        <w:t>regular</w:t>
      </w:r>
      <w:r>
        <w:rPr>
          <w:spacing w:val="5"/>
        </w:rPr>
        <w:t> </w:t>
      </w:r>
      <w:r>
        <w:rPr>
          <w:spacing w:val="-2"/>
        </w:rPr>
        <w:t>universities</w:t>
      </w:r>
      <w:r>
        <w:rPr>
          <w:spacing w:val="4"/>
        </w:rPr>
        <w:t> </w:t>
      </w:r>
      <w:r>
        <w:rPr>
          <w:spacing w:val="-2"/>
        </w:rPr>
        <w:t>as</w:t>
      </w:r>
      <w:r>
        <w:rPr>
          <w:spacing w:val="5"/>
        </w:rPr>
        <w:t> </w:t>
      </w:r>
      <w:r>
        <w:rPr>
          <w:spacing w:val="-2"/>
        </w:rPr>
        <w:t>well.</w:t>
      </w:r>
      <w:r>
        <w:rPr>
          <w:spacing w:val="5"/>
        </w:rPr>
        <w:t> </w:t>
      </w:r>
      <w:r>
        <w:rPr>
          <w:spacing w:val="-2"/>
        </w:rPr>
        <w:t>As</w:t>
      </w:r>
      <w:r>
        <w:rPr>
          <w:spacing w:val="4"/>
        </w:rPr>
        <w:t> </w:t>
      </w:r>
      <w:r>
        <w:rPr>
          <w:spacing w:val="-2"/>
        </w:rPr>
        <w:t>on</w:t>
      </w:r>
      <w:r>
        <w:rPr>
          <w:spacing w:val="5"/>
        </w:rPr>
        <w:t> </w:t>
      </w:r>
      <w:r>
        <w:rPr>
          <w:spacing w:val="-2"/>
        </w:rPr>
        <w:t>date</w:t>
      </w:r>
      <w:r>
        <w:rPr>
          <w:spacing w:val="5"/>
        </w:rPr>
        <w:t> </w:t>
      </w:r>
      <w:r>
        <w:rPr>
          <w:spacing w:val="-2"/>
        </w:rPr>
        <w:t>there</w:t>
      </w:r>
      <w:r>
        <w:rPr>
          <w:spacing w:val="4"/>
        </w:rPr>
        <w:t> </w:t>
      </w:r>
      <w:r>
        <w:rPr>
          <w:spacing w:val="-5"/>
        </w:rPr>
        <w:t>are</w:t>
      </w:r>
    </w:p>
    <w:p>
      <w:pPr>
        <w:pStyle w:val="BodyText"/>
        <w:spacing w:line="266" w:lineRule="auto"/>
        <w:ind w:left="1080"/>
        <w:jc w:val="both"/>
      </w:pPr>
      <w:r>
        <w:rPr/>
        <w:t>119 Correspondence Course Institutes (CCIs) </w:t>
      </w:r>
      <w:r>
        <w:rPr/>
        <w:t>in conventional Universities. In 2003, open universities </w:t>
      </w:r>
      <w:r>
        <w:rPr>
          <w:spacing w:val="-2"/>
        </w:rPr>
        <w:t>served</w:t>
      </w:r>
      <w:r>
        <w:rPr>
          <w:spacing w:val="-7"/>
        </w:rPr>
        <w:t> </w:t>
      </w:r>
      <w:r>
        <w:rPr>
          <w:spacing w:val="-2"/>
        </w:rPr>
        <w:t>only</w:t>
      </w:r>
      <w:r>
        <w:rPr>
          <w:spacing w:val="-7"/>
        </w:rPr>
        <w:t> </w:t>
      </w:r>
      <w:r>
        <w:rPr>
          <w:spacing w:val="-2"/>
        </w:rPr>
        <w:t>eight</w:t>
      </w:r>
      <w:r>
        <w:rPr>
          <w:spacing w:val="-7"/>
        </w:rPr>
        <w:t> </w:t>
      </w:r>
      <w:r>
        <w:rPr>
          <w:spacing w:val="-2"/>
        </w:rPr>
        <w:t>per</w:t>
      </w:r>
      <w:r>
        <w:rPr>
          <w:spacing w:val="-7"/>
        </w:rPr>
        <w:t> </w:t>
      </w:r>
      <w:r>
        <w:rPr>
          <w:spacing w:val="-2"/>
        </w:rPr>
        <w:t>cent</w:t>
      </w:r>
      <w:r>
        <w:rPr>
          <w:spacing w:val="-7"/>
        </w:rPr>
        <w:t> </w:t>
      </w:r>
      <w:r>
        <w:rPr>
          <w:spacing w:val="-2"/>
        </w:rPr>
        <w:t>of</w:t>
      </w:r>
      <w:r>
        <w:rPr>
          <w:spacing w:val="-7"/>
        </w:rPr>
        <w:t> </w:t>
      </w:r>
      <w:r>
        <w:rPr>
          <w:spacing w:val="-2"/>
        </w:rPr>
        <w:t>the</w:t>
      </w:r>
      <w:r>
        <w:rPr>
          <w:spacing w:val="-7"/>
        </w:rPr>
        <w:t> </w:t>
      </w:r>
      <w:r>
        <w:rPr>
          <w:spacing w:val="-2"/>
        </w:rPr>
        <w:t>total</w:t>
      </w:r>
      <w:r>
        <w:rPr>
          <w:spacing w:val="-7"/>
        </w:rPr>
        <w:t> </w:t>
      </w:r>
      <w:r>
        <w:rPr>
          <w:spacing w:val="-2"/>
        </w:rPr>
        <w:t>higher</w:t>
      </w:r>
      <w:r>
        <w:rPr>
          <w:spacing w:val="-7"/>
        </w:rPr>
        <w:t> </w:t>
      </w:r>
      <w:r>
        <w:rPr>
          <w:spacing w:val="-2"/>
        </w:rPr>
        <w:t>education </w:t>
      </w:r>
      <w:r>
        <w:rPr/>
        <w:t>enrolment,</w:t>
      </w:r>
      <w:r>
        <w:rPr>
          <w:spacing w:val="-2"/>
        </w:rPr>
        <w:t> </w:t>
      </w:r>
      <w:r>
        <w:rPr/>
        <w:t>while</w:t>
      </w:r>
      <w:r>
        <w:rPr>
          <w:spacing w:val="-2"/>
        </w:rPr>
        <w:t> </w:t>
      </w:r>
      <w:r>
        <w:rPr/>
        <w:t>correspondence</w:t>
      </w:r>
      <w:r>
        <w:rPr>
          <w:spacing w:val="-2"/>
        </w:rPr>
        <w:t> </w:t>
      </w:r>
      <w:r>
        <w:rPr/>
        <w:t>courses</w:t>
      </w:r>
      <w:r>
        <w:rPr>
          <w:spacing w:val="-2"/>
        </w:rPr>
        <w:t> </w:t>
      </w:r>
      <w:r>
        <w:rPr/>
        <w:t>constituted </w:t>
      </w:r>
      <w:r>
        <w:rPr>
          <w:spacing w:val="-4"/>
        </w:rPr>
        <w:t>nearly</w:t>
      </w:r>
      <w:r>
        <w:rPr>
          <w:spacing w:val="-6"/>
        </w:rPr>
        <w:t> </w:t>
      </w:r>
      <w:r>
        <w:rPr>
          <w:spacing w:val="-4"/>
        </w:rPr>
        <w:t>one</w:t>
      </w:r>
      <w:r>
        <w:rPr>
          <w:spacing w:val="-6"/>
        </w:rPr>
        <w:t> </w:t>
      </w:r>
      <w:r>
        <w:rPr>
          <w:spacing w:val="-4"/>
        </w:rPr>
        <w:t>fifth</w:t>
      </w:r>
      <w:r>
        <w:rPr>
          <w:spacing w:val="-6"/>
        </w:rPr>
        <w:t> </w:t>
      </w:r>
      <w:r>
        <w:rPr>
          <w:spacing w:val="-4"/>
        </w:rPr>
        <w:t>of</w:t>
      </w:r>
      <w:r>
        <w:rPr>
          <w:spacing w:val="-6"/>
        </w:rPr>
        <w:t> </w:t>
      </w:r>
      <w:r>
        <w:rPr>
          <w:spacing w:val="-4"/>
        </w:rPr>
        <w:t>the</w:t>
      </w:r>
      <w:r>
        <w:rPr>
          <w:spacing w:val="-6"/>
        </w:rPr>
        <w:t> </w:t>
      </w:r>
      <w:r>
        <w:rPr>
          <w:spacing w:val="-4"/>
        </w:rPr>
        <w:t>total</w:t>
      </w:r>
      <w:r>
        <w:rPr>
          <w:spacing w:val="-6"/>
        </w:rPr>
        <w:t> </w:t>
      </w:r>
      <w:r>
        <w:rPr>
          <w:spacing w:val="-4"/>
        </w:rPr>
        <w:t>higher</w:t>
      </w:r>
      <w:r>
        <w:rPr>
          <w:spacing w:val="-6"/>
        </w:rPr>
        <w:t> </w:t>
      </w:r>
      <w:r>
        <w:rPr>
          <w:spacing w:val="-4"/>
        </w:rPr>
        <w:t>education</w:t>
      </w:r>
      <w:r>
        <w:rPr>
          <w:spacing w:val="-6"/>
        </w:rPr>
        <w:t> </w:t>
      </w:r>
      <w:r>
        <w:rPr>
          <w:spacing w:val="-4"/>
        </w:rPr>
        <w:t>enrolment.</w:t>
      </w:r>
    </w:p>
    <w:p>
      <w:pPr>
        <w:pStyle w:val="BodyText"/>
        <w:spacing w:line="266" w:lineRule="auto" w:before="57"/>
        <w:ind w:left="319" w:right="1077"/>
        <w:jc w:val="both"/>
      </w:pPr>
      <w:r>
        <w:rPr/>
        <w:br w:type="column"/>
      </w:r>
      <w:r>
        <w:rPr>
          <w:b/>
        </w:rPr>
        <w:t>Quality: </w:t>
      </w:r>
      <w:r>
        <w:rPr/>
        <w:t>The quality and delivery mechanisms of </w:t>
      </w:r>
      <w:r>
        <w:rPr>
          <w:spacing w:val="-4"/>
        </w:rPr>
        <w:t>distance</w:t>
      </w:r>
      <w:r>
        <w:rPr>
          <w:spacing w:val="-9"/>
        </w:rPr>
        <w:t> </w:t>
      </w:r>
      <w:r>
        <w:rPr>
          <w:spacing w:val="-4"/>
        </w:rPr>
        <w:t>education</w:t>
      </w:r>
      <w:r>
        <w:rPr>
          <w:spacing w:val="-9"/>
        </w:rPr>
        <w:t> </w:t>
      </w:r>
      <w:r>
        <w:rPr>
          <w:spacing w:val="-4"/>
        </w:rPr>
        <w:t>provided</w:t>
      </w:r>
      <w:r>
        <w:rPr>
          <w:spacing w:val="-9"/>
        </w:rPr>
        <w:t> </w:t>
      </w:r>
      <w:r>
        <w:rPr>
          <w:spacing w:val="-4"/>
        </w:rPr>
        <w:t>by</w:t>
      </w:r>
      <w:r>
        <w:rPr>
          <w:spacing w:val="-9"/>
        </w:rPr>
        <w:t> </w:t>
      </w:r>
      <w:r>
        <w:rPr>
          <w:spacing w:val="-4"/>
        </w:rPr>
        <w:t>correspondence</w:t>
      </w:r>
      <w:r>
        <w:rPr>
          <w:spacing w:val="-9"/>
        </w:rPr>
        <w:t> </w:t>
      </w:r>
      <w:r>
        <w:rPr>
          <w:spacing w:val="-4"/>
        </w:rPr>
        <w:t>courses </w:t>
      </w:r>
      <w:r>
        <w:rPr/>
        <w:t>are relatively poor. Most correspondence courses are instituted</w:t>
      </w:r>
      <w:r>
        <w:rPr>
          <w:spacing w:val="-7"/>
        </w:rPr>
        <w:t> </w:t>
      </w:r>
      <w:r>
        <w:rPr/>
        <w:t>as</w:t>
      </w:r>
      <w:r>
        <w:rPr>
          <w:spacing w:val="-7"/>
        </w:rPr>
        <w:t> </w:t>
      </w:r>
      <w:r>
        <w:rPr/>
        <w:t>a</w:t>
      </w:r>
      <w:r>
        <w:rPr>
          <w:spacing w:val="-7"/>
        </w:rPr>
        <w:t> </w:t>
      </w:r>
      <w:r>
        <w:rPr/>
        <w:t>mode</w:t>
      </w:r>
      <w:r>
        <w:rPr>
          <w:spacing w:val="-7"/>
        </w:rPr>
        <w:t> </w:t>
      </w:r>
      <w:r>
        <w:rPr/>
        <w:t>of</w:t>
      </w:r>
      <w:r>
        <w:rPr>
          <w:spacing w:val="-7"/>
        </w:rPr>
        <w:t> </w:t>
      </w:r>
      <w:r>
        <w:rPr/>
        <w:t>resource</w:t>
      </w:r>
      <w:r>
        <w:rPr>
          <w:spacing w:val="-7"/>
        </w:rPr>
        <w:t> </w:t>
      </w:r>
      <w:r>
        <w:rPr/>
        <w:t>generation</w:t>
      </w:r>
      <w:r>
        <w:rPr>
          <w:spacing w:val="-7"/>
        </w:rPr>
        <w:t> </w:t>
      </w:r>
      <w:r>
        <w:rPr/>
        <w:t>in</w:t>
      </w:r>
      <w:r>
        <w:rPr>
          <w:spacing w:val="-7"/>
        </w:rPr>
        <w:t> </w:t>
      </w:r>
      <w:r>
        <w:rPr/>
        <w:t>view</w:t>
      </w:r>
      <w:r>
        <w:rPr>
          <w:spacing w:val="-7"/>
        </w:rPr>
        <w:t> </w:t>
      </w:r>
      <w:r>
        <w:rPr/>
        <w:t>of the unmet demand for higher education. Further, the </w:t>
      </w:r>
      <w:r>
        <w:rPr>
          <w:spacing w:val="-2"/>
        </w:rPr>
        <w:t>resources</w:t>
      </w:r>
      <w:r>
        <w:rPr>
          <w:spacing w:val="-12"/>
        </w:rPr>
        <w:t> </w:t>
      </w:r>
      <w:r>
        <w:rPr>
          <w:spacing w:val="-2"/>
        </w:rPr>
        <w:t>thus</w:t>
      </w:r>
      <w:r>
        <w:rPr>
          <w:spacing w:val="-12"/>
        </w:rPr>
        <w:t> </w:t>
      </w:r>
      <w:r>
        <w:rPr>
          <w:spacing w:val="-2"/>
        </w:rPr>
        <w:t>earned</w:t>
      </w:r>
      <w:r>
        <w:rPr>
          <w:spacing w:val="-12"/>
        </w:rPr>
        <w:t> </w:t>
      </w:r>
      <w:r>
        <w:rPr>
          <w:spacing w:val="-2"/>
        </w:rPr>
        <w:t>are</w:t>
      </w:r>
      <w:r>
        <w:rPr>
          <w:spacing w:val="-11"/>
        </w:rPr>
        <w:t> </w:t>
      </w:r>
      <w:r>
        <w:rPr>
          <w:spacing w:val="-2"/>
        </w:rPr>
        <w:t>not</w:t>
      </w:r>
      <w:r>
        <w:rPr>
          <w:spacing w:val="-12"/>
        </w:rPr>
        <w:t> </w:t>
      </w:r>
      <w:r>
        <w:rPr>
          <w:spacing w:val="-2"/>
        </w:rPr>
        <w:t>used</w:t>
      </w:r>
      <w:r>
        <w:rPr>
          <w:spacing w:val="-12"/>
        </w:rPr>
        <w:t> </w:t>
      </w:r>
      <w:r>
        <w:rPr>
          <w:spacing w:val="-2"/>
        </w:rPr>
        <w:t>for</w:t>
      </w:r>
      <w:r>
        <w:rPr>
          <w:spacing w:val="-12"/>
        </w:rPr>
        <w:t> </w:t>
      </w:r>
      <w:r>
        <w:rPr>
          <w:spacing w:val="-2"/>
        </w:rPr>
        <w:t>the</w:t>
      </w:r>
      <w:r>
        <w:rPr>
          <w:spacing w:val="-11"/>
        </w:rPr>
        <w:t> </w:t>
      </w:r>
      <w:r>
        <w:rPr>
          <w:spacing w:val="-2"/>
        </w:rPr>
        <w:t>improvement </w:t>
      </w:r>
      <w:r>
        <w:rPr/>
        <w:t>of the correspondence programs. Therefore, quality concerns become secondary to those of numbers and income. Due to inadequate mechanisms of quality control</w:t>
      </w:r>
      <w:r>
        <w:rPr>
          <w:spacing w:val="-7"/>
        </w:rPr>
        <w:t> </w:t>
      </w:r>
      <w:r>
        <w:rPr/>
        <w:t>and</w:t>
      </w:r>
      <w:r>
        <w:rPr>
          <w:spacing w:val="-7"/>
        </w:rPr>
        <w:t> </w:t>
      </w:r>
      <w:r>
        <w:rPr/>
        <w:t>regulation,</w:t>
      </w:r>
      <w:r>
        <w:rPr>
          <w:spacing w:val="-7"/>
        </w:rPr>
        <w:t> </w:t>
      </w:r>
      <w:r>
        <w:rPr/>
        <w:t>students</w:t>
      </w:r>
      <w:r>
        <w:rPr>
          <w:spacing w:val="-7"/>
        </w:rPr>
        <w:t> </w:t>
      </w:r>
      <w:r>
        <w:rPr/>
        <w:t>graduating</w:t>
      </w:r>
      <w:r>
        <w:rPr>
          <w:spacing w:val="-7"/>
        </w:rPr>
        <w:t> </w:t>
      </w:r>
      <w:r>
        <w:rPr/>
        <w:t>from</w:t>
      </w:r>
      <w:r>
        <w:rPr>
          <w:spacing w:val="-7"/>
        </w:rPr>
        <w:t> </w:t>
      </w:r>
      <w:r>
        <w:rPr/>
        <w:t>both </w:t>
      </w:r>
      <w:r>
        <w:rPr>
          <w:spacing w:val="-6"/>
        </w:rPr>
        <w:t>regular</w:t>
      </w:r>
      <w:r>
        <w:rPr>
          <w:spacing w:val="-8"/>
        </w:rPr>
        <w:t> </w:t>
      </w:r>
      <w:r>
        <w:rPr>
          <w:spacing w:val="-6"/>
        </w:rPr>
        <w:t>courses</w:t>
      </w:r>
      <w:r>
        <w:rPr>
          <w:spacing w:val="-8"/>
        </w:rPr>
        <w:t> </w:t>
      </w:r>
      <w:r>
        <w:rPr>
          <w:spacing w:val="-6"/>
        </w:rPr>
        <w:t>and</w:t>
      </w:r>
      <w:r>
        <w:rPr>
          <w:spacing w:val="-8"/>
        </w:rPr>
        <w:t> </w:t>
      </w:r>
      <w:r>
        <w:rPr>
          <w:spacing w:val="-6"/>
        </w:rPr>
        <w:t>correspondence</w:t>
      </w:r>
      <w:r>
        <w:rPr>
          <w:spacing w:val="-7"/>
        </w:rPr>
        <w:t> </w:t>
      </w:r>
      <w:r>
        <w:rPr>
          <w:spacing w:val="-6"/>
        </w:rPr>
        <w:t>courses</w:t>
      </w:r>
      <w:r>
        <w:rPr>
          <w:spacing w:val="-8"/>
        </w:rPr>
        <w:t> </w:t>
      </w:r>
      <w:r>
        <w:rPr>
          <w:spacing w:val="-6"/>
        </w:rPr>
        <w:t>get</w:t>
      </w:r>
      <w:r>
        <w:rPr>
          <w:spacing w:val="-8"/>
        </w:rPr>
        <w:t> </w:t>
      </w:r>
      <w:r>
        <w:rPr>
          <w:spacing w:val="-6"/>
        </w:rPr>
        <w:t>the</w:t>
      </w:r>
      <w:r>
        <w:rPr>
          <w:spacing w:val="-8"/>
        </w:rPr>
        <w:t> </w:t>
      </w:r>
      <w:r>
        <w:rPr>
          <w:spacing w:val="-6"/>
        </w:rPr>
        <w:t>same </w:t>
      </w:r>
      <w:r>
        <w:rPr>
          <w:spacing w:val="-8"/>
        </w:rPr>
        <w:t>degree,</w:t>
      </w:r>
      <w:r>
        <w:rPr>
          <w:spacing w:val="-6"/>
        </w:rPr>
        <w:t> </w:t>
      </w:r>
      <w:r>
        <w:rPr>
          <w:spacing w:val="-8"/>
        </w:rPr>
        <w:t>despite</w:t>
      </w:r>
      <w:r>
        <w:rPr>
          <w:spacing w:val="-6"/>
        </w:rPr>
        <w:t> </w:t>
      </w:r>
      <w:r>
        <w:rPr>
          <w:spacing w:val="-8"/>
        </w:rPr>
        <w:t>sharp</w:t>
      </w:r>
      <w:r>
        <w:rPr>
          <w:spacing w:val="-6"/>
        </w:rPr>
        <w:t> </w:t>
      </w:r>
      <w:r>
        <w:rPr>
          <w:spacing w:val="-8"/>
        </w:rPr>
        <w:t>differences</w:t>
      </w:r>
      <w:r>
        <w:rPr>
          <w:spacing w:val="-5"/>
        </w:rPr>
        <w:t> </w:t>
      </w:r>
      <w:r>
        <w:rPr>
          <w:spacing w:val="-8"/>
        </w:rPr>
        <w:t>in</w:t>
      </w:r>
      <w:r>
        <w:rPr>
          <w:spacing w:val="-6"/>
        </w:rPr>
        <w:t> </w:t>
      </w:r>
      <w:r>
        <w:rPr>
          <w:spacing w:val="-8"/>
        </w:rPr>
        <w:t>quality</w:t>
      </w:r>
      <w:r>
        <w:rPr>
          <w:spacing w:val="-6"/>
        </w:rPr>
        <w:t> </w:t>
      </w:r>
      <w:r>
        <w:rPr>
          <w:spacing w:val="-8"/>
        </w:rPr>
        <w:t>of</w:t>
      </w:r>
      <w:r>
        <w:rPr>
          <w:spacing w:val="-6"/>
        </w:rPr>
        <w:t> </w:t>
      </w:r>
      <w:r>
        <w:rPr>
          <w:spacing w:val="-8"/>
        </w:rPr>
        <w:t>pedagogical </w:t>
      </w:r>
      <w:r>
        <w:rPr>
          <w:spacing w:val="-4"/>
        </w:rPr>
        <w:t>process</w:t>
      </w:r>
      <w:r>
        <w:rPr>
          <w:spacing w:val="41"/>
        </w:rPr>
        <w:t> </w:t>
      </w:r>
      <w:r>
        <w:rPr>
          <w:spacing w:val="-4"/>
        </w:rPr>
        <w:t>and</w:t>
      </w:r>
      <w:r>
        <w:rPr>
          <w:spacing w:val="41"/>
        </w:rPr>
        <w:t> </w:t>
      </w:r>
      <w:r>
        <w:rPr>
          <w:spacing w:val="-4"/>
        </w:rPr>
        <w:t>achievement.</w:t>
      </w:r>
      <w:r>
        <w:rPr>
          <w:spacing w:val="41"/>
        </w:rPr>
        <w:t> </w:t>
      </w:r>
      <w:r>
        <w:rPr>
          <w:spacing w:val="-4"/>
        </w:rPr>
        <w:t>Substantial</w:t>
      </w:r>
      <w:r>
        <w:rPr>
          <w:spacing w:val="42"/>
        </w:rPr>
        <w:t> </w:t>
      </w:r>
      <w:r>
        <w:rPr>
          <w:spacing w:val="-4"/>
        </w:rPr>
        <w:t>investments</w:t>
      </w:r>
      <w:r>
        <w:rPr>
          <w:spacing w:val="41"/>
        </w:rPr>
        <w:t> </w:t>
      </w:r>
      <w:r>
        <w:rPr>
          <w:spacing w:val="-5"/>
        </w:rPr>
        <w:t>in</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before="261"/>
        <w:rPr>
          <w:sz w:val="24"/>
        </w:rPr>
      </w:pPr>
    </w:p>
    <w:p>
      <w:pPr>
        <w:pStyle w:val="Heading8"/>
      </w:pPr>
      <w:r>
        <w:rPr>
          <w:w w:val="90"/>
        </w:rPr>
        <w:t>Table</w:t>
      </w:r>
      <w:r>
        <w:rPr>
          <w:spacing w:val="-5"/>
        </w:rPr>
        <w:t> </w:t>
      </w:r>
      <w:r>
        <w:rPr>
          <w:w w:val="90"/>
        </w:rPr>
        <w:t>16:</w:t>
      </w:r>
      <w:r>
        <w:rPr>
          <w:spacing w:val="-4"/>
        </w:rPr>
        <w:t> </w:t>
      </w:r>
      <w:r>
        <w:rPr>
          <w:color w:val="2E614A"/>
          <w:w w:val="90"/>
        </w:rPr>
        <w:t>Enrolment</w:t>
      </w:r>
      <w:r>
        <w:rPr>
          <w:color w:val="2E614A"/>
          <w:spacing w:val="-5"/>
        </w:rPr>
        <w:t> </w:t>
      </w:r>
      <w:r>
        <w:rPr>
          <w:color w:val="2E614A"/>
          <w:w w:val="90"/>
        </w:rPr>
        <w:t>in</w:t>
      </w:r>
      <w:r>
        <w:rPr>
          <w:color w:val="2E614A"/>
          <w:spacing w:val="-4"/>
        </w:rPr>
        <w:t> </w:t>
      </w:r>
      <w:r>
        <w:rPr>
          <w:color w:val="2E614A"/>
          <w:w w:val="90"/>
        </w:rPr>
        <w:t>open</w:t>
      </w:r>
      <w:r>
        <w:rPr>
          <w:color w:val="2E614A"/>
          <w:spacing w:val="-5"/>
        </w:rPr>
        <w:t> </w:t>
      </w:r>
      <w:r>
        <w:rPr>
          <w:color w:val="2E614A"/>
          <w:w w:val="90"/>
        </w:rPr>
        <w:t>universities</w:t>
      </w:r>
      <w:r>
        <w:rPr>
          <w:color w:val="2E614A"/>
          <w:spacing w:val="-4"/>
        </w:rPr>
        <w:t> </w:t>
      </w:r>
      <w:r>
        <w:rPr>
          <w:color w:val="2E614A"/>
          <w:w w:val="90"/>
        </w:rPr>
        <w:t>and</w:t>
      </w:r>
      <w:r>
        <w:rPr>
          <w:color w:val="2E614A"/>
          <w:spacing w:val="-5"/>
        </w:rPr>
        <w:t> </w:t>
      </w:r>
      <w:r>
        <w:rPr>
          <w:color w:val="2E614A"/>
          <w:w w:val="90"/>
        </w:rPr>
        <w:t>correspondence</w:t>
      </w:r>
      <w:r>
        <w:rPr>
          <w:color w:val="2E614A"/>
          <w:spacing w:val="-4"/>
        </w:rPr>
        <w:t> </w:t>
      </w:r>
      <w:r>
        <w:rPr>
          <w:color w:val="2E614A"/>
          <w:w w:val="90"/>
        </w:rPr>
        <w:t>courses</w:t>
      </w:r>
      <w:r>
        <w:rPr>
          <w:color w:val="2E614A"/>
          <w:spacing w:val="-5"/>
        </w:rPr>
        <w:t> </w:t>
      </w:r>
      <w:r>
        <w:rPr>
          <w:color w:val="2E614A"/>
          <w:w w:val="90"/>
        </w:rPr>
        <w:t>(1996</w:t>
      </w:r>
      <w:r>
        <w:rPr>
          <w:color w:val="2E614A"/>
          <w:spacing w:val="-4"/>
        </w:rPr>
        <w:t> </w:t>
      </w:r>
      <w:r>
        <w:rPr>
          <w:color w:val="2E614A"/>
          <w:w w:val="90"/>
        </w:rPr>
        <w:t>to</w:t>
      </w:r>
      <w:r>
        <w:rPr>
          <w:color w:val="2E614A"/>
          <w:spacing w:val="-5"/>
        </w:rPr>
        <w:t> </w:t>
      </w:r>
      <w:r>
        <w:rPr>
          <w:color w:val="2E614A"/>
          <w:spacing w:val="-2"/>
          <w:w w:val="90"/>
        </w:rPr>
        <w:t>2003)</w:t>
      </w:r>
    </w:p>
    <w:p>
      <w:pPr>
        <w:pStyle w:val="BodyText"/>
        <w:spacing w:before="3"/>
        <w:rPr>
          <w:b/>
          <w:sz w:val="10"/>
        </w:rPr>
      </w:pPr>
    </w:p>
    <w:tbl>
      <w:tblPr>
        <w:tblW w:w="0" w:type="auto"/>
        <w:jc w:val="left"/>
        <w:tblInd w:w="10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14"/>
        <w:gridCol w:w="1794"/>
        <w:gridCol w:w="1623"/>
        <w:gridCol w:w="1623"/>
        <w:gridCol w:w="1623"/>
        <w:gridCol w:w="1941"/>
      </w:tblGrid>
      <w:tr>
        <w:trPr>
          <w:trHeight w:val="881" w:hRule="atLeast"/>
        </w:trPr>
        <w:tc>
          <w:tcPr>
            <w:tcW w:w="1114" w:type="dxa"/>
            <w:shd w:val="clear" w:color="auto" w:fill="D0D5CD"/>
          </w:tcPr>
          <w:p>
            <w:pPr>
              <w:pStyle w:val="TableParagraph"/>
              <w:ind w:left="90"/>
              <w:rPr>
                <w:b/>
                <w:sz w:val="20"/>
              </w:rPr>
            </w:pPr>
            <w:r>
              <w:rPr>
                <w:b/>
                <w:spacing w:val="-4"/>
                <w:w w:val="95"/>
                <w:sz w:val="20"/>
              </w:rPr>
              <w:t>Year</w:t>
            </w:r>
          </w:p>
        </w:tc>
        <w:tc>
          <w:tcPr>
            <w:tcW w:w="1794" w:type="dxa"/>
            <w:shd w:val="clear" w:color="auto" w:fill="D0D5CD"/>
          </w:tcPr>
          <w:p>
            <w:pPr>
              <w:pStyle w:val="TableParagraph"/>
              <w:spacing w:line="292" w:lineRule="auto"/>
              <w:ind w:left="230" w:right="143" w:hanging="80"/>
              <w:rPr>
                <w:b/>
                <w:sz w:val="20"/>
              </w:rPr>
            </w:pPr>
            <w:r>
              <w:rPr>
                <w:b/>
                <w:spacing w:val="-8"/>
                <w:sz w:val="20"/>
              </w:rPr>
              <w:t>Total</w:t>
            </w:r>
            <w:r>
              <w:rPr>
                <w:b/>
                <w:spacing w:val="-7"/>
                <w:sz w:val="20"/>
              </w:rPr>
              <w:t> </w:t>
            </w:r>
            <w:r>
              <w:rPr>
                <w:b/>
                <w:spacing w:val="-8"/>
                <w:sz w:val="20"/>
              </w:rPr>
              <w:t>enrolment</w:t>
            </w:r>
            <w:r>
              <w:rPr>
                <w:b/>
                <w:spacing w:val="-4"/>
                <w:sz w:val="20"/>
              </w:rPr>
              <w:t> </w:t>
            </w:r>
            <w:r>
              <w:rPr>
                <w:b/>
                <w:spacing w:val="-8"/>
                <w:sz w:val="20"/>
              </w:rPr>
              <w:t>in </w:t>
            </w:r>
            <w:r>
              <w:rPr>
                <w:b/>
                <w:spacing w:val="-2"/>
                <w:sz w:val="20"/>
              </w:rPr>
              <w:t>higher</w:t>
            </w:r>
            <w:r>
              <w:rPr>
                <w:b/>
                <w:spacing w:val="-11"/>
                <w:sz w:val="20"/>
              </w:rPr>
              <w:t> </w:t>
            </w:r>
            <w:r>
              <w:rPr>
                <w:b/>
                <w:spacing w:val="-2"/>
                <w:sz w:val="20"/>
              </w:rPr>
              <w:t>education</w:t>
            </w:r>
          </w:p>
        </w:tc>
        <w:tc>
          <w:tcPr>
            <w:tcW w:w="1623" w:type="dxa"/>
            <w:shd w:val="clear" w:color="auto" w:fill="D0D5CD"/>
          </w:tcPr>
          <w:p>
            <w:pPr>
              <w:pStyle w:val="TableParagraph"/>
              <w:spacing w:line="292" w:lineRule="auto"/>
              <w:ind w:left="145" w:firstLine="135"/>
              <w:rPr>
                <w:b/>
                <w:sz w:val="20"/>
              </w:rPr>
            </w:pPr>
            <w:r>
              <w:rPr>
                <w:b/>
                <w:sz w:val="20"/>
              </w:rPr>
              <w:t>Enrolment in </w:t>
            </w:r>
            <w:r>
              <w:rPr>
                <w:b/>
                <w:spacing w:val="-8"/>
                <w:sz w:val="20"/>
              </w:rPr>
              <w:t>open</w:t>
            </w:r>
            <w:r>
              <w:rPr>
                <w:b/>
                <w:spacing w:val="-5"/>
                <w:sz w:val="20"/>
              </w:rPr>
              <w:t> </w:t>
            </w:r>
            <w:r>
              <w:rPr>
                <w:b/>
                <w:spacing w:val="-8"/>
                <w:sz w:val="20"/>
              </w:rPr>
              <w:t>universities</w:t>
            </w:r>
          </w:p>
        </w:tc>
        <w:tc>
          <w:tcPr>
            <w:tcW w:w="1623" w:type="dxa"/>
            <w:shd w:val="clear" w:color="auto" w:fill="D0D5CD"/>
          </w:tcPr>
          <w:p>
            <w:pPr>
              <w:pStyle w:val="TableParagraph"/>
              <w:spacing w:line="280" w:lineRule="exact" w:before="9"/>
              <w:ind w:left="131" w:right="122"/>
              <w:jc w:val="center"/>
              <w:rPr>
                <w:b/>
                <w:sz w:val="20"/>
              </w:rPr>
            </w:pPr>
            <w:r>
              <w:rPr>
                <w:b/>
                <w:sz w:val="20"/>
              </w:rPr>
              <w:t>Enrolment in </w:t>
            </w:r>
            <w:r>
              <w:rPr>
                <w:b/>
                <w:spacing w:val="-8"/>
                <w:sz w:val="20"/>
              </w:rPr>
              <w:t>open</w:t>
            </w:r>
            <w:r>
              <w:rPr>
                <w:b/>
                <w:spacing w:val="-5"/>
                <w:sz w:val="20"/>
              </w:rPr>
              <w:t> </w:t>
            </w:r>
            <w:r>
              <w:rPr>
                <w:b/>
                <w:spacing w:val="-8"/>
                <w:sz w:val="20"/>
              </w:rPr>
              <w:t>universities </w:t>
            </w:r>
            <w:r>
              <w:rPr>
                <w:b/>
                <w:sz w:val="20"/>
              </w:rPr>
              <w:t>(% of total)</w:t>
            </w:r>
          </w:p>
        </w:tc>
        <w:tc>
          <w:tcPr>
            <w:tcW w:w="1623" w:type="dxa"/>
            <w:shd w:val="clear" w:color="auto" w:fill="D0D5CD"/>
          </w:tcPr>
          <w:p>
            <w:pPr>
              <w:pStyle w:val="TableParagraph"/>
              <w:spacing w:line="292" w:lineRule="auto"/>
              <w:ind w:left="199" w:firstLine="81"/>
              <w:rPr>
                <w:b/>
                <w:sz w:val="20"/>
              </w:rPr>
            </w:pPr>
            <w:r>
              <w:rPr>
                <w:b/>
                <w:sz w:val="20"/>
              </w:rPr>
              <w:t>Enrolment</w:t>
            </w:r>
            <w:r>
              <w:rPr>
                <w:b/>
                <w:spacing w:val="-13"/>
                <w:sz w:val="20"/>
              </w:rPr>
              <w:t> </w:t>
            </w:r>
            <w:r>
              <w:rPr>
                <w:b/>
                <w:sz w:val="20"/>
              </w:rPr>
              <w:t>in </w:t>
            </w:r>
            <w:r>
              <w:rPr>
                <w:b/>
                <w:spacing w:val="-2"/>
                <w:w w:val="90"/>
                <w:sz w:val="20"/>
              </w:rPr>
              <w:t>correspondence</w:t>
            </w:r>
          </w:p>
        </w:tc>
        <w:tc>
          <w:tcPr>
            <w:tcW w:w="1941" w:type="dxa"/>
            <w:shd w:val="clear" w:color="auto" w:fill="D0D5CD"/>
          </w:tcPr>
          <w:p>
            <w:pPr>
              <w:pStyle w:val="TableParagraph"/>
              <w:spacing w:line="280" w:lineRule="exact" w:before="9"/>
              <w:ind w:left="216" w:right="205" w:firstLine="58"/>
              <w:jc w:val="center"/>
              <w:rPr>
                <w:b/>
                <w:sz w:val="20"/>
              </w:rPr>
            </w:pPr>
            <w:r>
              <w:rPr>
                <w:b/>
                <w:sz w:val="20"/>
              </w:rPr>
              <w:t>Total enrolment </w:t>
            </w:r>
            <w:r>
              <w:rPr>
                <w:b/>
                <w:spacing w:val="-6"/>
                <w:sz w:val="20"/>
              </w:rPr>
              <w:t>in</w:t>
            </w:r>
            <w:r>
              <w:rPr>
                <w:b/>
                <w:spacing w:val="-7"/>
                <w:sz w:val="20"/>
              </w:rPr>
              <w:t> </w:t>
            </w:r>
            <w:r>
              <w:rPr>
                <w:b/>
                <w:spacing w:val="-6"/>
                <w:sz w:val="20"/>
              </w:rPr>
              <w:t>open &amp;</w:t>
            </w:r>
            <w:r>
              <w:rPr>
                <w:b/>
                <w:spacing w:val="-7"/>
                <w:sz w:val="20"/>
              </w:rPr>
              <w:t> </w:t>
            </w:r>
            <w:r>
              <w:rPr>
                <w:b/>
                <w:spacing w:val="-6"/>
                <w:sz w:val="20"/>
              </w:rPr>
              <w:t>distance </w:t>
            </w:r>
            <w:r>
              <w:rPr>
                <w:b/>
                <w:spacing w:val="-2"/>
                <w:sz w:val="20"/>
              </w:rPr>
              <w:t>education</w:t>
            </w:r>
          </w:p>
        </w:tc>
      </w:tr>
      <w:tr>
        <w:trPr>
          <w:trHeight w:val="321" w:hRule="atLeast"/>
        </w:trPr>
        <w:tc>
          <w:tcPr>
            <w:tcW w:w="1114" w:type="dxa"/>
            <w:shd w:val="clear" w:color="auto" w:fill="E9E9E9"/>
          </w:tcPr>
          <w:p>
            <w:pPr>
              <w:pStyle w:val="TableParagraph"/>
              <w:ind w:left="90"/>
              <w:rPr>
                <w:sz w:val="20"/>
              </w:rPr>
            </w:pPr>
            <w:r>
              <w:rPr>
                <w:spacing w:val="-2"/>
                <w:sz w:val="20"/>
              </w:rPr>
              <w:t>1996-</w:t>
            </w:r>
            <w:r>
              <w:rPr>
                <w:spacing w:val="-5"/>
                <w:sz w:val="20"/>
              </w:rPr>
              <w:t>97</w:t>
            </w:r>
          </w:p>
        </w:tc>
        <w:tc>
          <w:tcPr>
            <w:tcW w:w="1794" w:type="dxa"/>
            <w:shd w:val="clear" w:color="auto" w:fill="E9E9E9"/>
          </w:tcPr>
          <w:p>
            <w:pPr>
              <w:pStyle w:val="TableParagraph"/>
              <w:ind w:right="442"/>
              <w:jc w:val="right"/>
              <w:rPr>
                <w:sz w:val="20"/>
              </w:rPr>
            </w:pPr>
            <w:r>
              <w:rPr>
                <w:spacing w:val="-2"/>
                <w:sz w:val="20"/>
              </w:rPr>
              <w:t>6842598</w:t>
            </w:r>
          </w:p>
        </w:tc>
        <w:tc>
          <w:tcPr>
            <w:tcW w:w="1623" w:type="dxa"/>
            <w:shd w:val="clear" w:color="auto" w:fill="E9E9E9"/>
          </w:tcPr>
          <w:p>
            <w:pPr>
              <w:pStyle w:val="TableParagraph"/>
              <w:ind w:right="442"/>
              <w:jc w:val="right"/>
              <w:rPr>
                <w:sz w:val="20"/>
              </w:rPr>
            </w:pPr>
            <w:r>
              <w:rPr>
                <w:spacing w:val="-2"/>
                <w:sz w:val="20"/>
              </w:rPr>
              <w:t>294947</w:t>
            </w:r>
          </w:p>
        </w:tc>
        <w:tc>
          <w:tcPr>
            <w:tcW w:w="1623" w:type="dxa"/>
            <w:shd w:val="clear" w:color="auto" w:fill="E9E9E9"/>
          </w:tcPr>
          <w:p>
            <w:pPr>
              <w:pStyle w:val="TableParagraph"/>
              <w:ind w:right="441"/>
              <w:jc w:val="right"/>
              <w:rPr>
                <w:sz w:val="20"/>
              </w:rPr>
            </w:pPr>
            <w:r>
              <w:rPr>
                <w:spacing w:val="-4"/>
                <w:sz w:val="20"/>
              </w:rPr>
              <w:t>4.31</w:t>
            </w:r>
          </w:p>
        </w:tc>
        <w:tc>
          <w:tcPr>
            <w:tcW w:w="1623" w:type="dxa"/>
            <w:shd w:val="clear" w:color="auto" w:fill="E9E9E9"/>
          </w:tcPr>
          <w:p>
            <w:pPr>
              <w:pStyle w:val="TableParagraph"/>
              <w:ind w:left="131"/>
              <w:jc w:val="center"/>
              <w:rPr>
                <w:sz w:val="20"/>
              </w:rPr>
            </w:pPr>
            <w:r>
              <w:rPr>
                <w:spacing w:val="-2"/>
                <w:sz w:val="20"/>
              </w:rPr>
              <w:t>819110</w:t>
            </w:r>
          </w:p>
        </w:tc>
        <w:tc>
          <w:tcPr>
            <w:tcW w:w="1941" w:type="dxa"/>
            <w:shd w:val="clear" w:color="auto" w:fill="E9E9E9"/>
          </w:tcPr>
          <w:p>
            <w:pPr>
              <w:pStyle w:val="TableParagraph"/>
              <w:ind w:right="440"/>
              <w:jc w:val="right"/>
              <w:rPr>
                <w:sz w:val="20"/>
              </w:rPr>
            </w:pPr>
            <w:r>
              <w:rPr>
                <w:spacing w:val="-2"/>
                <w:sz w:val="20"/>
              </w:rPr>
              <w:t>1114057</w:t>
            </w:r>
          </w:p>
        </w:tc>
      </w:tr>
      <w:tr>
        <w:trPr>
          <w:trHeight w:val="327" w:hRule="atLeast"/>
        </w:trPr>
        <w:tc>
          <w:tcPr>
            <w:tcW w:w="1114" w:type="dxa"/>
            <w:tcBorders>
              <w:right w:val="dashed" w:sz="2" w:space="0" w:color="000000"/>
            </w:tcBorders>
            <w:shd w:val="clear" w:color="auto" w:fill="D0D5CD"/>
          </w:tcPr>
          <w:p>
            <w:pPr>
              <w:pStyle w:val="TableParagraph"/>
              <w:ind w:left="90"/>
              <w:rPr>
                <w:sz w:val="20"/>
              </w:rPr>
            </w:pPr>
            <w:r>
              <w:rPr>
                <w:spacing w:val="-2"/>
                <w:sz w:val="20"/>
              </w:rPr>
              <w:t>1997-</w:t>
            </w:r>
            <w:r>
              <w:rPr>
                <w:spacing w:val="-5"/>
                <w:sz w:val="20"/>
              </w:rPr>
              <w:t>98</w:t>
            </w:r>
          </w:p>
        </w:tc>
        <w:tc>
          <w:tcPr>
            <w:tcW w:w="1794" w:type="dxa"/>
            <w:tcBorders>
              <w:left w:val="dashed" w:sz="2" w:space="0" w:color="000000"/>
            </w:tcBorders>
            <w:shd w:val="clear" w:color="auto" w:fill="D0D5CD"/>
          </w:tcPr>
          <w:p>
            <w:pPr>
              <w:pStyle w:val="TableParagraph"/>
              <w:ind w:right="442"/>
              <w:jc w:val="right"/>
              <w:rPr>
                <w:sz w:val="20"/>
              </w:rPr>
            </w:pPr>
            <w:r>
              <w:rPr>
                <w:spacing w:val="-2"/>
                <w:sz w:val="20"/>
              </w:rPr>
              <w:t>7260418</w:t>
            </w:r>
          </w:p>
        </w:tc>
        <w:tc>
          <w:tcPr>
            <w:tcW w:w="1623" w:type="dxa"/>
            <w:shd w:val="clear" w:color="auto" w:fill="D0D5CD"/>
          </w:tcPr>
          <w:p>
            <w:pPr>
              <w:pStyle w:val="TableParagraph"/>
              <w:ind w:right="442"/>
              <w:jc w:val="right"/>
              <w:rPr>
                <w:sz w:val="20"/>
              </w:rPr>
            </w:pPr>
            <w:r>
              <w:rPr>
                <w:spacing w:val="-2"/>
                <w:sz w:val="20"/>
              </w:rPr>
              <w:t>316089</w:t>
            </w:r>
          </w:p>
        </w:tc>
        <w:tc>
          <w:tcPr>
            <w:tcW w:w="1623" w:type="dxa"/>
            <w:shd w:val="clear" w:color="auto" w:fill="D0D5CD"/>
          </w:tcPr>
          <w:p>
            <w:pPr>
              <w:pStyle w:val="TableParagraph"/>
              <w:ind w:right="441"/>
              <w:jc w:val="right"/>
              <w:rPr>
                <w:sz w:val="20"/>
              </w:rPr>
            </w:pPr>
            <w:r>
              <w:rPr>
                <w:spacing w:val="-4"/>
                <w:sz w:val="20"/>
              </w:rPr>
              <w:t>4.35</w:t>
            </w:r>
          </w:p>
        </w:tc>
        <w:tc>
          <w:tcPr>
            <w:tcW w:w="1623" w:type="dxa"/>
            <w:shd w:val="clear" w:color="auto" w:fill="D0D5CD"/>
          </w:tcPr>
          <w:p>
            <w:pPr>
              <w:pStyle w:val="TableParagraph"/>
              <w:ind w:left="131"/>
              <w:jc w:val="center"/>
              <w:rPr>
                <w:sz w:val="20"/>
              </w:rPr>
            </w:pPr>
            <w:r>
              <w:rPr>
                <w:spacing w:val="-2"/>
                <w:sz w:val="20"/>
              </w:rPr>
              <w:t>959228</w:t>
            </w:r>
          </w:p>
        </w:tc>
        <w:tc>
          <w:tcPr>
            <w:tcW w:w="1941" w:type="dxa"/>
            <w:shd w:val="clear" w:color="auto" w:fill="D0D5CD"/>
          </w:tcPr>
          <w:p>
            <w:pPr>
              <w:pStyle w:val="TableParagraph"/>
              <w:ind w:right="440"/>
              <w:jc w:val="right"/>
              <w:rPr>
                <w:sz w:val="20"/>
              </w:rPr>
            </w:pPr>
            <w:r>
              <w:rPr>
                <w:spacing w:val="-2"/>
                <w:sz w:val="20"/>
              </w:rPr>
              <w:t>1275317</w:t>
            </w:r>
          </w:p>
        </w:tc>
      </w:tr>
      <w:tr>
        <w:trPr>
          <w:trHeight w:val="321" w:hRule="atLeast"/>
        </w:trPr>
        <w:tc>
          <w:tcPr>
            <w:tcW w:w="1114" w:type="dxa"/>
            <w:tcBorders>
              <w:right w:val="dashed" w:sz="2" w:space="0" w:color="000000"/>
            </w:tcBorders>
            <w:shd w:val="clear" w:color="auto" w:fill="E9E9E9"/>
          </w:tcPr>
          <w:p>
            <w:pPr>
              <w:pStyle w:val="TableParagraph"/>
              <w:ind w:left="90"/>
              <w:rPr>
                <w:sz w:val="20"/>
              </w:rPr>
            </w:pPr>
            <w:r>
              <w:rPr>
                <w:spacing w:val="-2"/>
                <w:sz w:val="20"/>
              </w:rPr>
              <w:t>1998-</w:t>
            </w:r>
            <w:r>
              <w:rPr>
                <w:spacing w:val="-5"/>
                <w:sz w:val="20"/>
              </w:rPr>
              <w:t>99</w:t>
            </w:r>
          </w:p>
        </w:tc>
        <w:tc>
          <w:tcPr>
            <w:tcW w:w="1794" w:type="dxa"/>
            <w:tcBorders>
              <w:left w:val="dashed" w:sz="2" w:space="0" w:color="000000"/>
            </w:tcBorders>
            <w:shd w:val="clear" w:color="auto" w:fill="E9E9E9"/>
          </w:tcPr>
          <w:p>
            <w:pPr>
              <w:pStyle w:val="TableParagraph"/>
              <w:ind w:right="442"/>
              <w:jc w:val="right"/>
              <w:rPr>
                <w:sz w:val="20"/>
              </w:rPr>
            </w:pPr>
            <w:r>
              <w:rPr>
                <w:spacing w:val="-2"/>
                <w:sz w:val="20"/>
              </w:rPr>
              <w:t>7705520</w:t>
            </w:r>
          </w:p>
        </w:tc>
        <w:tc>
          <w:tcPr>
            <w:tcW w:w="1623" w:type="dxa"/>
            <w:shd w:val="clear" w:color="auto" w:fill="E9E9E9"/>
          </w:tcPr>
          <w:p>
            <w:pPr>
              <w:pStyle w:val="TableParagraph"/>
              <w:ind w:right="442"/>
              <w:jc w:val="right"/>
              <w:rPr>
                <w:sz w:val="20"/>
              </w:rPr>
            </w:pPr>
            <w:r>
              <w:rPr>
                <w:spacing w:val="-2"/>
                <w:sz w:val="20"/>
              </w:rPr>
              <w:t>247168</w:t>
            </w:r>
          </w:p>
        </w:tc>
        <w:tc>
          <w:tcPr>
            <w:tcW w:w="1623" w:type="dxa"/>
            <w:shd w:val="clear" w:color="auto" w:fill="E9E9E9"/>
          </w:tcPr>
          <w:p>
            <w:pPr>
              <w:pStyle w:val="TableParagraph"/>
              <w:ind w:right="441"/>
              <w:jc w:val="right"/>
              <w:rPr>
                <w:sz w:val="20"/>
              </w:rPr>
            </w:pPr>
            <w:r>
              <w:rPr>
                <w:spacing w:val="-4"/>
                <w:sz w:val="20"/>
              </w:rPr>
              <w:t>3.21</w:t>
            </w:r>
          </w:p>
        </w:tc>
        <w:tc>
          <w:tcPr>
            <w:tcW w:w="1623" w:type="dxa"/>
            <w:shd w:val="clear" w:color="auto" w:fill="E9E9E9"/>
          </w:tcPr>
          <w:p>
            <w:pPr>
              <w:pStyle w:val="TableParagraph"/>
              <w:ind w:left="131"/>
              <w:jc w:val="center"/>
              <w:rPr>
                <w:sz w:val="20"/>
              </w:rPr>
            </w:pPr>
            <w:r>
              <w:rPr>
                <w:spacing w:val="-2"/>
                <w:sz w:val="20"/>
              </w:rPr>
              <w:t>868459</w:t>
            </w:r>
          </w:p>
        </w:tc>
        <w:tc>
          <w:tcPr>
            <w:tcW w:w="1941" w:type="dxa"/>
            <w:shd w:val="clear" w:color="auto" w:fill="E9E9E9"/>
          </w:tcPr>
          <w:p>
            <w:pPr>
              <w:pStyle w:val="TableParagraph"/>
              <w:ind w:right="440"/>
              <w:jc w:val="right"/>
              <w:rPr>
                <w:sz w:val="20"/>
              </w:rPr>
            </w:pPr>
            <w:r>
              <w:rPr>
                <w:spacing w:val="-2"/>
                <w:sz w:val="20"/>
              </w:rPr>
              <w:t>1115627</w:t>
            </w:r>
          </w:p>
        </w:tc>
      </w:tr>
      <w:tr>
        <w:trPr>
          <w:trHeight w:val="321" w:hRule="atLeast"/>
        </w:trPr>
        <w:tc>
          <w:tcPr>
            <w:tcW w:w="1114" w:type="dxa"/>
            <w:tcBorders>
              <w:right w:val="dashed" w:sz="2" w:space="0" w:color="000000"/>
            </w:tcBorders>
            <w:shd w:val="clear" w:color="auto" w:fill="D0D5CD"/>
          </w:tcPr>
          <w:p>
            <w:pPr>
              <w:pStyle w:val="TableParagraph"/>
              <w:ind w:left="90"/>
              <w:rPr>
                <w:sz w:val="20"/>
              </w:rPr>
            </w:pPr>
            <w:r>
              <w:rPr>
                <w:spacing w:val="-2"/>
                <w:sz w:val="20"/>
              </w:rPr>
              <w:t>1999-</w:t>
            </w:r>
            <w:r>
              <w:rPr>
                <w:spacing w:val="-5"/>
                <w:sz w:val="20"/>
              </w:rPr>
              <w:t>00</w:t>
            </w:r>
          </w:p>
        </w:tc>
        <w:tc>
          <w:tcPr>
            <w:tcW w:w="1794" w:type="dxa"/>
            <w:tcBorders>
              <w:left w:val="dashed" w:sz="2" w:space="0" w:color="000000"/>
            </w:tcBorders>
            <w:shd w:val="clear" w:color="auto" w:fill="D0D5CD"/>
          </w:tcPr>
          <w:p>
            <w:pPr>
              <w:pStyle w:val="TableParagraph"/>
              <w:ind w:right="442"/>
              <w:jc w:val="right"/>
              <w:rPr>
                <w:sz w:val="20"/>
              </w:rPr>
            </w:pPr>
            <w:r>
              <w:rPr>
                <w:spacing w:val="-2"/>
                <w:sz w:val="20"/>
              </w:rPr>
              <w:t>8050607</w:t>
            </w:r>
          </w:p>
        </w:tc>
        <w:tc>
          <w:tcPr>
            <w:tcW w:w="1623" w:type="dxa"/>
            <w:shd w:val="clear" w:color="auto" w:fill="D0D5CD"/>
          </w:tcPr>
          <w:p>
            <w:pPr>
              <w:pStyle w:val="TableParagraph"/>
              <w:ind w:right="442"/>
              <w:jc w:val="right"/>
              <w:rPr>
                <w:sz w:val="20"/>
              </w:rPr>
            </w:pPr>
            <w:r>
              <w:rPr>
                <w:spacing w:val="-2"/>
                <w:sz w:val="20"/>
              </w:rPr>
              <w:t>381862</w:t>
            </w:r>
          </w:p>
        </w:tc>
        <w:tc>
          <w:tcPr>
            <w:tcW w:w="1623" w:type="dxa"/>
            <w:shd w:val="clear" w:color="auto" w:fill="D0D5CD"/>
          </w:tcPr>
          <w:p>
            <w:pPr>
              <w:pStyle w:val="TableParagraph"/>
              <w:ind w:right="441"/>
              <w:jc w:val="right"/>
              <w:rPr>
                <w:sz w:val="20"/>
              </w:rPr>
            </w:pPr>
            <w:r>
              <w:rPr>
                <w:spacing w:val="-4"/>
                <w:sz w:val="20"/>
              </w:rPr>
              <w:t>4.74</w:t>
            </w:r>
          </w:p>
        </w:tc>
        <w:tc>
          <w:tcPr>
            <w:tcW w:w="1623" w:type="dxa"/>
            <w:shd w:val="clear" w:color="auto" w:fill="D0D5CD"/>
          </w:tcPr>
          <w:p>
            <w:pPr>
              <w:pStyle w:val="TableParagraph"/>
              <w:ind w:left="131"/>
              <w:jc w:val="center"/>
              <w:rPr>
                <w:sz w:val="20"/>
              </w:rPr>
            </w:pPr>
            <w:r>
              <w:rPr>
                <w:spacing w:val="-2"/>
                <w:sz w:val="20"/>
              </w:rPr>
              <w:t>971991</w:t>
            </w:r>
          </w:p>
        </w:tc>
        <w:tc>
          <w:tcPr>
            <w:tcW w:w="1941" w:type="dxa"/>
            <w:shd w:val="clear" w:color="auto" w:fill="D0D5CD"/>
          </w:tcPr>
          <w:p>
            <w:pPr>
              <w:pStyle w:val="TableParagraph"/>
              <w:ind w:right="440"/>
              <w:jc w:val="right"/>
              <w:rPr>
                <w:sz w:val="20"/>
              </w:rPr>
            </w:pPr>
            <w:r>
              <w:rPr>
                <w:spacing w:val="-2"/>
                <w:sz w:val="20"/>
              </w:rPr>
              <w:t>1353853</w:t>
            </w:r>
          </w:p>
        </w:tc>
      </w:tr>
      <w:tr>
        <w:trPr>
          <w:trHeight w:val="321" w:hRule="atLeast"/>
        </w:trPr>
        <w:tc>
          <w:tcPr>
            <w:tcW w:w="1114" w:type="dxa"/>
            <w:tcBorders>
              <w:right w:val="dashed" w:sz="2" w:space="0" w:color="000000"/>
            </w:tcBorders>
            <w:shd w:val="clear" w:color="auto" w:fill="E9E9E9"/>
          </w:tcPr>
          <w:p>
            <w:pPr>
              <w:pStyle w:val="TableParagraph"/>
              <w:ind w:left="90"/>
              <w:rPr>
                <w:sz w:val="20"/>
              </w:rPr>
            </w:pPr>
            <w:r>
              <w:rPr>
                <w:spacing w:val="-2"/>
                <w:sz w:val="20"/>
              </w:rPr>
              <w:t>2000-</w:t>
            </w:r>
            <w:r>
              <w:rPr>
                <w:spacing w:val="-5"/>
                <w:sz w:val="20"/>
              </w:rPr>
              <w:t>01</w:t>
            </w:r>
          </w:p>
        </w:tc>
        <w:tc>
          <w:tcPr>
            <w:tcW w:w="1794" w:type="dxa"/>
            <w:tcBorders>
              <w:left w:val="dashed" w:sz="2" w:space="0" w:color="000000"/>
            </w:tcBorders>
            <w:shd w:val="clear" w:color="auto" w:fill="E9E9E9"/>
          </w:tcPr>
          <w:p>
            <w:pPr>
              <w:pStyle w:val="TableParagraph"/>
              <w:ind w:right="442"/>
              <w:jc w:val="right"/>
              <w:rPr>
                <w:sz w:val="20"/>
              </w:rPr>
            </w:pPr>
            <w:r>
              <w:rPr>
                <w:spacing w:val="-2"/>
                <w:sz w:val="20"/>
              </w:rPr>
              <w:t>8399443</w:t>
            </w:r>
          </w:p>
        </w:tc>
        <w:tc>
          <w:tcPr>
            <w:tcW w:w="1623" w:type="dxa"/>
            <w:shd w:val="clear" w:color="auto" w:fill="E9E9E9"/>
          </w:tcPr>
          <w:p>
            <w:pPr>
              <w:pStyle w:val="TableParagraph"/>
              <w:ind w:right="442"/>
              <w:jc w:val="right"/>
              <w:rPr>
                <w:sz w:val="20"/>
              </w:rPr>
            </w:pPr>
            <w:r>
              <w:rPr>
                <w:spacing w:val="-2"/>
                <w:sz w:val="20"/>
              </w:rPr>
              <w:t>379286</w:t>
            </w:r>
          </w:p>
        </w:tc>
        <w:tc>
          <w:tcPr>
            <w:tcW w:w="1623" w:type="dxa"/>
            <w:shd w:val="clear" w:color="auto" w:fill="E9E9E9"/>
          </w:tcPr>
          <w:p>
            <w:pPr>
              <w:pStyle w:val="TableParagraph"/>
              <w:ind w:right="441"/>
              <w:jc w:val="right"/>
              <w:rPr>
                <w:sz w:val="20"/>
              </w:rPr>
            </w:pPr>
            <w:r>
              <w:rPr>
                <w:spacing w:val="-4"/>
                <w:sz w:val="20"/>
              </w:rPr>
              <w:t>4.52</w:t>
            </w:r>
          </w:p>
        </w:tc>
        <w:tc>
          <w:tcPr>
            <w:tcW w:w="1623" w:type="dxa"/>
            <w:shd w:val="clear" w:color="auto" w:fill="E9E9E9"/>
          </w:tcPr>
          <w:p>
            <w:pPr>
              <w:pStyle w:val="TableParagraph"/>
              <w:ind w:left="131" w:right="100"/>
              <w:jc w:val="center"/>
              <w:rPr>
                <w:sz w:val="20"/>
              </w:rPr>
            </w:pPr>
            <w:r>
              <w:rPr>
                <w:spacing w:val="-2"/>
                <w:sz w:val="20"/>
              </w:rPr>
              <w:t>1055317</w:t>
            </w:r>
          </w:p>
        </w:tc>
        <w:tc>
          <w:tcPr>
            <w:tcW w:w="1941" w:type="dxa"/>
            <w:shd w:val="clear" w:color="auto" w:fill="E9E9E9"/>
          </w:tcPr>
          <w:p>
            <w:pPr>
              <w:pStyle w:val="TableParagraph"/>
              <w:ind w:right="440"/>
              <w:jc w:val="right"/>
              <w:rPr>
                <w:sz w:val="20"/>
              </w:rPr>
            </w:pPr>
            <w:r>
              <w:rPr>
                <w:spacing w:val="-2"/>
                <w:sz w:val="20"/>
              </w:rPr>
              <w:t>1434603</w:t>
            </w:r>
          </w:p>
        </w:tc>
      </w:tr>
      <w:tr>
        <w:trPr>
          <w:trHeight w:val="321" w:hRule="atLeast"/>
        </w:trPr>
        <w:tc>
          <w:tcPr>
            <w:tcW w:w="1114" w:type="dxa"/>
            <w:tcBorders>
              <w:right w:val="dashed" w:sz="2" w:space="0" w:color="000000"/>
            </w:tcBorders>
            <w:shd w:val="clear" w:color="auto" w:fill="D0D5CD"/>
          </w:tcPr>
          <w:p>
            <w:pPr>
              <w:pStyle w:val="TableParagraph"/>
              <w:ind w:left="90"/>
              <w:rPr>
                <w:sz w:val="20"/>
              </w:rPr>
            </w:pPr>
            <w:r>
              <w:rPr>
                <w:spacing w:val="-2"/>
                <w:sz w:val="20"/>
              </w:rPr>
              <w:t>2001-</w:t>
            </w:r>
            <w:r>
              <w:rPr>
                <w:spacing w:val="-5"/>
                <w:sz w:val="20"/>
              </w:rPr>
              <w:t>02</w:t>
            </w:r>
          </w:p>
        </w:tc>
        <w:tc>
          <w:tcPr>
            <w:tcW w:w="1794" w:type="dxa"/>
            <w:tcBorders>
              <w:left w:val="dashed" w:sz="2" w:space="0" w:color="000000"/>
            </w:tcBorders>
            <w:shd w:val="clear" w:color="auto" w:fill="D0D5CD"/>
          </w:tcPr>
          <w:p>
            <w:pPr>
              <w:pStyle w:val="TableParagraph"/>
              <w:ind w:right="442"/>
              <w:jc w:val="right"/>
              <w:rPr>
                <w:sz w:val="20"/>
              </w:rPr>
            </w:pPr>
            <w:r>
              <w:rPr>
                <w:spacing w:val="-2"/>
                <w:sz w:val="20"/>
              </w:rPr>
              <w:t>8821095</w:t>
            </w:r>
          </w:p>
        </w:tc>
        <w:tc>
          <w:tcPr>
            <w:tcW w:w="1623" w:type="dxa"/>
            <w:shd w:val="clear" w:color="auto" w:fill="D0D5CD"/>
          </w:tcPr>
          <w:p>
            <w:pPr>
              <w:pStyle w:val="TableParagraph"/>
              <w:ind w:right="442"/>
              <w:jc w:val="right"/>
              <w:rPr>
                <w:sz w:val="20"/>
              </w:rPr>
            </w:pPr>
            <w:r>
              <w:rPr>
                <w:spacing w:val="-2"/>
                <w:sz w:val="20"/>
              </w:rPr>
              <w:t>632214</w:t>
            </w:r>
          </w:p>
        </w:tc>
        <w:tc>
          <w:tcPr>
            <w:tcW w:w="1623" w:type="dxa"/>
            <w:shd w:val="clear" w:color="auto" w:fill="D0D5CD"/>
          </w:tcPr>
          <w:p>
            <w:pPr>
              <w:pStyle w:val="TableParagraph"/>
              <w:ind w:right="441"/>
              <w:jc w:val="right"/>
              <w:rPr>
                <w:sz w:val="20"/>
              </w:rPr>
            </w:pPr>
            <w:r>
              <w:rPr>
                <w:spacing w:val="-4"/>
                <w:sz w:val="20"/>
              </w:rPr>
              <w:t>7.17</w:t>
            </w:r>
          </w:p>
        </w:tc>
        <w:tc>
          <w:tcPr>
            <w:tcW w:w="1623" w:type="dxa"/>
            <w:shd w:val="clear" w:color="auto" w:fill="D0D5CD"/>
          </w:tcPr>
          <w:p>
            <w:pPr>
              <w:pStyle w:val="TableParagraph"/>
              <w:ind w:left="131" w:right="100"/>
              <w:jc w:val="center"/>
              <w:rPr>
                <w:sz w:val="20"/>
              </w:rPr>
            </w:pPr>
            <w:r>
              <w:rPr>
                <w:spacing w:val="-2"/>
                <w:sz w:val="20"/>
              </w:rPr>
              <w:t>1123344</w:t>
            </w:r>
          </w:p>
        </w:tc>
        <w:tc>
          <w:tcPr>
            <w:tcW w:w="1941" w:type="dxa"/>
            <w:shd w:val="clear" w:color="auto" w:fill="D0D5CD"/>
          </w:tcPr>
          <w:p>
            <w:pPr>
              <w:pStyle w:val="TableParagraph"/>
              <w:ind w:right="440"/>
              <w:jc w:val="right"/>
              <w:rPr>
                <w:sz w:val="20"/>
              </w:rPr>
            </w:pPr>
            <w:r>
              <w:rPr>
                <w:spacing w:val="-2"/>
                <w:sz w:val="20"/>
              </w:rPr>
              <w:t>1755558</w:t>
            </w:r>
          </w:p>
        </w:tc>
      </w:tr>
      <w:tr>
        <w:trPr>
          <w:trHeight w:val="321" w:hRule="atLeast"/>
        </w:trPr>
        <w:tc>
          <w:tcPr>
            <w:tcW w:w="1114" w:type="dxa"/>
            <w:tcBorders>
              <w:right w:val="dashed" w:sz="2" w:space="0" w:color="000000"/>
            </w:tcBorders>
            <w:shd w:val="clear" w:color="auto" w:fill="E9E9E9"/>
          </w:tcPr>
          <w:p>
            <w:pPr>
              <w:pStyle w:val="TableParagraph"/>
              <w:ind w:left="90"/>
              <w:rPr>
                <w:sz w:val="20"/>
              </w:rPr>
            </w:pPr>
            <w:r>
              <w:rPr>
                <w:spacing w:val="-2"/>
                <w:sz w:val="20"/>
              </w:rPr>
              <w:t>2002-</w:t>
            </w:r>
            <w:r>
              <w:rPr>
                <w:spacing w:val="-5"/>
                <w:sz w:val="20"/>
              </w:rPr>
              <w:t>03</w:t>
            </w:r>
          </w:p>
        </w:tc>
        <w:tc>
          <w:tcPr>
            <w:tcW w:w="1794" w:type="dxa"/>
            <w:tcBorders>
              <w:left w:val="dashed" w:sz="2" w:space="0" w:color="000000"/>
            </w:tcBorders>
            <w:shd w:val="clear" w:color="auto" w:fill="E9E9E9"/>
          </w:tcPr>
          <w:p>
            <w:pPr>
              <w:pStyle w:val="TableParagraph"/>
              <w:ind w:right="442"/>
              <w:jc w:val="right"/>
              <w:rPr>
                <w:sz w:val="20"/>
              </w:rPr>
            </w:pPr>
            <w:r>
              <w:rPr>
                <w:spacing w:val="-2"/>
                <w:sz w:val="20"/>
              </w:rPr>
              <w:t>9516773</w:t>
            </w:r>
          </w:p>
        </w:tc>
        <w:tc>
          <w:tcPr>
            <w:tcW w:w="1623" w:type="dxa"/>
            <w:shd w:val="clear" w:color="auto" w:fill="E9E9E9"/>
          </w:tcPr>
          <w:p>
            <w:pPr>
              <w:pStyle w:val="TableParagraph"/>
              <w:ind w:right="442"/>
              <w:jc w:val="right"/>
              <w:rPr>
                <w:sz w:val="20"/>
              </w:rPr>
            </w:pPr>
            <w:r>
              <w:rPr>
                <w:spacing w:val="-2"/>
                <w:sz w:val="20"/>
              </w:rPr>
              <w:t>765489</w:t>
            </w:r>
          </w:p>
        </w:tc>
        <w:tc>
          <w:tcPr>
            <w:tcW w:w="1623" w:type="dxa"/>
            <w:shd w:val="clear" w:color="auto" w:fill="E9E9E9"/>
          </w:tcPr>
          <w:p>
            <w:pPr>
              <w:pStyle w:val="TableParagraph"/>
              <w:ind w:right="441"/>
              <w:jc w:val="right"/>
              <w:rPr>
                <w:sz w:val="20"/>
              </w:rPr>
            </w:pPr>
            <w:r>
              <w:rPr>
                <w:spacing w:val="-4"/>
                <w:sz w:val="20"/>
              </w:rPr>
              <w:t>8.04</w:t>
            </w:r>
          </w:p>
        </w:tc>
        <w:tc>
          <w:tcPr>
            <w:tcW w:w="1623" w:type="dxa"/>
            <w:shd w:val="clear" w:color="auto" w:fill="E9E9E9"/>
          </w:tcPr>
          <w:p>
            <w:pPr>
              <w:pStyle w:val="TableParagraph"/>
              <w:ind w:left="131" w:right="100"/>
              <w:jc w:val="center"/>
              <w:rPr>
                <w:sz w:val="20"/>
              </w:rPr>
            </w:pPr>
            <w:r>
              <w:rPr>
                <w:spacing w:val="-2"/>
                <w:sz w:val="20"/>
              </w:rPr>
              <w:t>1012779</w:t>
            </w:r>
          </w:p>
        </w:tc>
        <w:tc>
          <w:tcPr>
            <w:tcW w:w="1941" w:type="dxa"/>
            <w:shd w:val="clear" w:color="auto" w:fill="E9E9E9"/>
          </w:tcPr>
          <w:p>
            <w:pPr>
              <w:pStyle w:val="TableParagraph"/>
              <w:ind w:right="440"/>
              <w:jc w:val="right"/>
              <w:rPr>
                <w:sz w:val="20"/>
              </w:rPr>
            </w:pPr>
            <w:r>
              <w:rPr>
                <w:spacing w:val="-2"/>
                <w:sz w:val="20"/>
              </w:rPr>
              <w:t>1778268</w:t>
            </w:r>
          </w:p>
        </w:tc>
      </w:tr>
    </w:tbl>
    <w:p>
      <w:pPr>
        <w:spacing w:before="54"/>
        <w:ind w:left="1080" w:right="0" w:firstLine="0"/>
        <w:jc w:val="left"/>
        <w:rPr>
          <w:sz w:val="16"/>
        </w:rPr>
      </w:pPr>
      <w:r>
        <w:rPr>
          <w:i/>
          <w:spacing w:val="-4"/>
          <w:sz w:val="16"/>
        </w:rPr>
        <w:t>Source:</w:t>
      </w:r>
      <w:r>
        <w:rPr>
          <w:i/>
          <w:spacing w:val="3"/>
          <w:sz w:val="16"/>
        </w:rPr>
        <w:t> </w:t>
      </w:r>
      <w:r>
        <w:rPr>
          <w:spacing w:val="-4"/>
          <w:sz w:val="16"/>
        </w:rPr>
        <w:t>Department</w:t>
      </w:r>
      <w:r>
        <w:rPr>
          <w:spacing w:val="4"/>
          <w:sz w:val="16"/>
        </w:rPr>
        <w:t> </w:t>
      </w:r>
      <w:r>
        <w:rPr>
          <w:spacing w:val="-4"/>
          <w:sz w:val="16"/>
        </w:rPr>
        <w:t>of</w:t>
      </w:r>
      <w:r>
        <w:rPr>
          <w:spacing w:val="4"/>
          <w:sz w:val="16"/>
        </w:rPr>
        <w:t> </w:t>
      </w:r>
      <w:r>
        <w:rPr>
          <w:spacing w:val="-4"/>
          <w:sz w:val="16"/>
        </w:rPr>
        <w:t>Secondary</w:t>
      </w:r>
      <w:r>
        <w:rPr>
          <w:spacing w:val="4"/>
          <w:sz w:val="16"/>
        </w:rPr>
        <w:t> </w:t>
      </w:r>
      <w:r>
        <w:rPr>
          <w:spacing w:val="-4"/>
          <w:sz w:val="16"/>
        </w:rPr>
        <w:t>&amp;</w:t>
      </w:r>
      <w:r>
        <w:rPr>
          <w:spacing w:val="4"/>
          <w:sz w:val="16"/>
        </w:rPr>
        <w:t> </w:t>
      </w:r>
      <w:r>
        <w:rPr>
          <w:spacing w:val="-4"/>
          <w:sz w:val="16"/>
        </w:rPr>
        <w:t>Higher</w:t>
      </w:r>
      <w:r>
        <w:rPr>
          <w:spacing w:val="4"/>
          <w:sz w:val="16"/>
        </w:rPr>
        <w:t> </w:t>
      </w:r>
      <w:r>
        <w:rPr>
          <w:spacing w:val="-4"/>
          <w:sz w:val="16"/>
        </w:rPr>
        <w:t>Education,</w:t>
      </w:r>
      <w:r>
        <w:rPr>
          <w:spacing w:val="3"/>
          <w:sz w:val="16"/>
        </w:rPr>
        <w:t> </w:t>
      </w:r>
      <w:r>
        <w:rPr>
          <w:spacing w:val="-4"/>
          <w:sz w:val="16"/>
        </w:rPr>
        <w:t>MHRD</w:t>
      </w:r>
    </w:p>
    <w:p>
      <w:pPr>
        <w:pStyle w:val="BodyText"/>
        <w:rPr>
          <w:sz w:val="24"/>
        </w:rPr>
      </w:pPr>
    </w:p>
    <w:p>
      <w:pPr>
        <w:pStyle w:val="BodyText"/>
        <w:spacing w:before="6"/>
        <w:rPr>
          <w:sz w:val="24"/>
        </w:rPr>
      </w:pPr>
    </w:p>
    <w:p>
      <w:pPr>
        <w:pStyle w:val="Heading8"/>
        <w:ind w:left="1080"/>
      </w:pPr>
      <w:r>
        <w:rPr>
          <w:w w:val="90"/>
        </w:rPr>
        <w:t>Table</w:t>
      </w:r>
      <w:r>
        <w:rPr>
          <w:spacing w:val="14"/>
        </w:rPr>
        <w:t> </w:t>
      </w:r>
      <w:r>
        <w:rPr>
          <w:w w:val="90"/>
        </w:rPr>
        <w:t>17:</w:t>
      </w:r>
      <w:r>
        <w:rPr>
          <w:spacing w:val="14"/>
        </w:rPr>
        <w:t> </w:t>
      </w:r>
      <w:r>
        <w:rPr>
          <w:color w:val="2E614A"/>
          <w:w w:val="90"/>
        </w:rPr>
        <w:t>Enrolment</w:t>
      </w:r>
      <w:r>
        <w:rPr>
          <w:color w:val="2E614A"/>
          <w:spacing w:val="14"/>
        </w:rPr>
        <w:t> </w:t>
      </w:r>
      <w:r>
        <w:rPr>
          <w:color w:val="2E614A"/>
          <w:w w:val="90"/>
        </w:rPr>
        <w:t>and</w:t>
      </w:r>
      <w:r>
        <w:rPr>
          <w:color w:val="2E614A"/>
          <w:spacing w:val="14"/>
        </w:rPr>
        <w:t> </w:t>
      </w:r>
      <w:r>
        <w:rPr>
          <w:color w:val="2E614A"/>
          <w:w w:val="90"/>
        </w:rPr>
        <w:t>teachers</w:t>
      </w:r>
      <w:r>
        <w:rPr>
          <w:color w:val="2E614A"/>
          <w:spacing w:val="14"/>
        </w:rPr>
        <w:t> </w:t>
      </w:r>
      <w:r>
        <w:rPr>
          <w:color w:val="2E614A"/>
          <w:w w:val="90"/>
        </w:rPr>
        <w:t>in</w:t>
      </w:r>
      <w:r>
        <w:rPr>
          <w:color w:val="2E614A"/>
          <w:spacing w:val="15"/>
        </w:rPr>
        <w:t> </w:t>
      </w:r>
      <w:r>
        <w:rPr>
          <w:color w:val="2E614A"/>
          <w:w w:val="90"/>
        </w:rPr>
        <w:t>open</w:t>
      </w:r>
      <w:r>
        <w:rPr>
          <w:color w:val="2E614A"/>
          <w:spacing w:val="14"/>
        </w:rPr>
        <w:t> </w:t>
      </w:r>
      <w:r>
        <w:rPr>
          <w:color w:val="2E614A"/>
          <w:w w:val="90"/>
        </w:rPr>
        <w:t>universities</w:t>
      </w:r>
      <w:r>
        <w:rPr>
          <w:color w:val="2E614A"/>
          <w:spacing w:val="14"/>
        </w:rPr>
        <w:t> </w:t>
      </w:r>
      <w:r>
        <w:rPr>
          <w:color w:val="2E614A"/>
          <w:w w:val="90"/>
        </w:rPr>
        <w:t>in</w:t>
      </w:r>
      <w:r>
        <w:rPr>
          <w:color w:val="2E614A"/>
          <w:spacing w:val="14"/>
        </w:rPr>
        <w:t> </w:t>
      </w:r>
      <w:r>
        <w:rPr>
          <w:color w:val="2E614A"/>
          <w:w w:val="90"/>
        </w:rPr>
        <w:t>India</w:t>
      </w:r>
      <w:r>
        <w:rPr>
          <w:color w:val="2E614A"/>
          <w:spacing w:val="14"/>
        </w:rPr>
        <w:t> </w:t>
      </w:r>
      <w:r>
        <w:rPr>
          <w:color w:val="2E614A"/>
          <w:w w:val="90"/>
        </w:rPr>
        <w:t>(2003-</w:t>
      </w:r>
      <w:r>
        <w:rPr>
          <w:color w:val="2E614A"/>
          <w:spacing w:val="-2"/>
          <w:w w:val="90"/>
        </w:rPr>
        <w:t>2004)</w:t>
      </w:r>
    </w:p>
    <w:p>
      <w:pPr>
        <w:pStyle w:val="BodyText"/>
        <w:spacing w:before="3"/>
        <w:rPr>
          <w:b/>
          <w:sz w:val="10"/>
        </w:rPr>
      </w:pPr>
    </w:p>
    <w:tbl>
      <w:tblPr>
        <w:tblW w:w="0" w:type="auto"/>
        <w:jc w:val="left"/>
        <w:tblInd w:w="10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94"/>
        <w:gridCol w:w="1059"/>
        <w:gridCol w:w="909"/>
        <w:gridCol w:w="949"/>
        <w:gridCol w:w="1209"/>
        <w:gridCol w:w="879"/>
      </w:tblGrid>
      <w:tr>
        <w:trPr>
          <w:trHeight w:val="610" w:hRule="atLeast"/>
        </w:trPr>
        <w:tc>
          <w:tcPr>
            <w:tcW w:w="4694" w:type="dxa"/>
            <w:shd w:val="clear" w:color="auto" w:fill="D0D5CD"/>
          </w:tcPr>
          <w:p>
            <w:pPr>
              <w:pStyle w:val="TableParagraph"/>
              <w:ind w:left="90"/>
              <w:rPr>
                <w:b/>
                <w:sz w:val="20"/>
              </w:rPr>
            </w:pPr>
            <w:r>
              <w:rPr>
                <w:b/>
                <w:spacing w:val="-4"/>
                <w:sz w:val="20"/>
              </w:rPr>
              <w:t>Open</w:t>
            </w:r>
            <w:r>
              <w:rPr>
                <w:b/>
                <w:spacing w:val="-6"/>
                <w:sz w:val="20"/>
              </w:rPr>
              <w:t> </w:t>
            </w:r>
            <w:r>
              <w:rPr>
                <w:b/>
                <w:spacing w:val="-2"/>
                <w:sz w:val="20"/>
              </w:rPr>
              <w:t>University</w:t>
            </w:r>
          </w:p>
        </w:tc>
        <w:tc>
          <w:tcPr>
            <w:tcW w:w="1059" w:type="dxa"/>
            <w:shd w:val="clear" w:color="auto" w:fill="D0D5CD"/>
          </w:tcPr>
          <w:p>
            <w:pPr>
              <w:pStyle w:val="TableParagraph"/>
              <w:ind w:left="59"/>
              <w:rPr>
                <w:b/>
                <w:sz w:val="20"/>
              </w:rPr>
            </w:pPr>
            <w:r>
              <w:rPr>
                <w:b/>
                <w:spacing w:val="-2"/>
                <w:sz w:val="20"/>
              </w:rPr>
              <w:t>Enrolment</w:t>
            </w:r>
          </w:p>
        </w:tc>
        <w:tc>
          <w:tcPr>
            <w:tcW w:w="909" w:type="dxa"/>
            <w:shd w:val="clear" w:color="auto" w:fill="D0D5CD"/>
          </w:tcPr>
          <w:p>
            <w:pPr>
              <w:pStyle w:val="TableParagraph"/>
              <w:spacing w:line="280" w:lineRule="exact" w:before="9"/>
              <w:ind w:left="117" w:hanging="52"/>
              <w:rPr>
                <w:b/>
                <w:sz w:val="20"/>
              </w:rPr>
            </w:pPr>
            <w:r>
              <w:rPr>
                <w:b/>
                <w:spacing w:val="-2"/>
                <w:w w:val="90"/>
                <w:sz w:val="20"/>
              </w:rPr>
              <w:t>Students </w:t>
            </w:r>
            <w:r>
              <w:rPr>
                <w:b/>
                <w:sz w:val="20"/>
              </w:rPr>
              <w:t>on</w:t>
            </w:r>
            <w:r>
              <w:rPr>
                <w:b/>
                <w:spacing w:val="-13"/>
                <w:sz w:val="20"/>
              </w:rPr>
              <w:t> </w:t>
            </w:r>
            <w:r>
              <w:rPr>
                <w:b/>
                <w:sz w:val="20"/>
              </w:rPr>
              <w:t>Roll</w:t>
            </w:r>
          </w:p>
        </w:tc>
        <w:tc>
          <w:tcPr>
            <w:tcW w:w="949" w:type="dxa"/>
            <w:shd w:val="clear" w:color="auto" w:fill="D0D5CD"/>
          </w:tcPr>
          <w:p>
            <w:pPr>
              <w:pStyle w:val="TableParagraph"/>
              <w:ind w:left="88"/>
              <w:rPr>
                <w:b/>
                <w:sz w:val="20"/>
              </w:rPr>
            </w:pPr>
            <w:r>
              <w:rPr>
                <w:b/>
                <w:spacing w:val="-2"/>
                <w:sz w:val="20"/>
              </w:rPr>
              <w:t>Teachers</w:t>
            </w:r>
          </w:p>
        </w:tc>
        <w:tc>
          <w:tcPr>
            <w:tcW w:w="1209" w:type="dxa"/>
            <w:shd w:val="clear" w:color="auto" w:fill="D0D5CD"/>
          </w:tcPr>
          <w:p>
            <w:pPr>
              <w:pStyle w:val="TableParagraph"/>
              <w:ind w:right="328"/>
              <w:jc w:val="right"/>
              <w:rPr>
                <w:b/>
                <w:sz w:val="11"/>
              </w:rPr>
            </w:pPr>
            <w:r>
              <w:rPr>
                <w:b/>
                <w:spacing w:val="-2"/>
                <w:sz w:val="20"/>
              </w:rPr>
              <w:t>Budget</w:t>
            </w:r>
            <w:r>
              <w:rPr>
                <w:b/>
                <w:spacing w:val="-2"/>
                <w:position w:val="7"/>
                <w:sz w:val="11"/>
              </w:rPr>
              <w:t>#</w:t>
            </w:r>
          </w:p>
        </w:tc>
        <w:tc>
          <w:tcPr>
            <w:tcW w:w="879" w:type="dxa"/>
            <w:shd w:val="clear" w:color="auto" w:fill="D0D5CD"/>
          </w:tcPr>
          <w:p>
            <w:pPr>
              <w:pStyle w:val="TableParagraph"/>
              <w:spacing w:line="280" w:lineRule="exact" w:before="9"/>
              <w:ind w:left="28" w:firstLine="38"/>
              <w:rPr>
                <w:b/>
                <w:sz w:val="20"/>
              </w:rPr>
            </w:pPr>
            <w:r>
              <w:rPr>
                <w:b/>
                <w:spacing w:val="-6"/>
                <w:sz w:val="20"/>
              </w:rPr>
              <w:t>Revenue </w:t>
            </w:r>
            <w:r>
              <w:rPr>
                <w:b/>
                <w:spacing w:val="-2"/>
                <w:w w:val="90"/>
                <w:sz w:val="20"/>
              </w:rPr>
              <w:t>Receipts*</w:t>
            </w:r>
          </w:p>
        </w:tc>
      </w:tr>
      <w:tr>
        <w:trPr>
          <w:trHeight w:val="321" w:hRule="atLeast"/>
        </w:trPr>
        <w:tc>
          <w:tcPr>
            <w:tcW w:w="4694" w:type="dxa"/>
            <w:shd w:val="clear" w:color="auto" w:fill="E9E9E9"/>
          </w:tcPr>
          <w:p>
            <w:pPr>
              <w:pStyle w:val="TableParagraph"/>
              <w:ind w:left="89"/>
              <w:rPr>
                <w:sz w:val="20"/>
              </w:rPr>
            </w:pPr>
            <w:r>
              <w:rPr>
                <w:spacing w:val="-2"/>
                <w:sz w:val="20"/>
              </w:rPr>
              <w:t>Indira</w:t>
            </w:r>
            <w:r>
              <w:rPr>
                <w:spacing w:val="-6"/>
                <w:sz w:val="20"/>
              </w:rPr>
              <w:t> </w:t>
            </w:r>
            <w:r>
              <w:rPr>
                <w:spacing w:val="-2"/>
                <w:sz w:val="20"/>
              </w:rPr>
              <w:t>Gandhi</w:t>
            </w:r>
            <w:r>
              <w:rPr>
                <w:spacing w:val="-6"/>
                <w:sz w:val="20"/>
              </w:rPr>
              <w:t> </w:t>
            </w:r>
            <w:r>
              <w:rPr>
                <w:spacing w:val="-2"/>
                <w:sz w:val="20"/>
              </w:rPr>
              <w:t>National</w:t>
            </w:r>
            <w:r>
              <w:rPr>
                <w:spacing w:val="-5"/>
                <w:sz w:val="20"/>
              </w:rPr>
              <w:t> </w:t>
            </w:r>
            <w:r>
              <w:rPr>
                <w:spacing w:val="-2"/>
                <w:sz w:val="20"/>
              </w:rPr>
              <w:t>Open</w:t>
            </w:r>
            <w:r>
              <w:rPr>
                <w:spacing w:val="-6"/>
                <w:sz w:val="20"/>
              </w:rPr>
              <w:t> </w:t>
            </w:r>
            <w:r>
              <w:rPr>
                <w:spacing w:val="-2"/>
                <w:sz w:val="20"/>
              </w:rPr>
              <w:t>University,</w:t>
            </w:r>
            <w:r>
              <w:rPr>
                <w:spacing w:val="-5"/>
                <w:sz w:val="20"/>
              </w:rPr>
              <w:t> </w:t>
            </w:r>
            <w:r>
              <w:rPr>
                <w:spacing w:val="-2"/>
                <w:sz w:val="20"/>
              </w:rPr>
              <w:t>New</w:t>
            </w:r>
            <w:r>
              <w:rPr>
                <w:spacing w:val="-6"/>
                <w:sz w:val="20"/>
              </w:rPr>
              <w:t> </w:t>
            </w:r>
            <w:r>
              <w:rPr>
                <w:spacing w:val="-2"/>
                <w:sz w:val="20"/>
              </w:rPr>
              <w:t>Delhi</w:t>
            </w:r>
          </w:p>
        </w:tc>
        <w:tc>
          <w:tcPr>
            <w:tcW w:w="1059" w:type="dxa"/>
            <w:shd w:val="clear" w:color="auto" w:fill="E9E9E9"/>
          </w:tcPr>
          <w:p>
            <w:pPr>
              <w:pStyle w:val="TableParagraph"/>
              <w:ind w:left="98"/>
              <w:rPr>
                <w:sz w:val="20"/>
              </w:rPr>
            </w:pPr>
            <w:r>
              <w:rPr>
                <w:spacing w:val="-2"/>
                <w:sz w:val="20"/>
              </w:rPr>
              <w:t>334315</w:t>
            </w:r>
          </w:p>
        </w:tc>
        <w:tc>
          <w:tcPr>
            <w:tcW w:w="909" w:type="dxa"/>
            <w:shd w:val="clear" w:color="auto" w:fill="E9E9E9"/>
          </w:tcPr>
          <w:p>
            <w:pPr>
              <w:pStyle w:val="TableParagraph"/>
              <w:ind w:right="173"/>
              <w:jc w:val="right"/>
              <w:rPr>
                <w:sz w:val="20"/>
              </w:rPr>
            </w:pPr>
            <w:r>
              <w:rPr>
                <w:spacing w:val="-2"/>
                <w:sz w:val="20"/>
              </w:rPr>
              <w:t>1187100</w:t>
            </w:r>
          </w:p>
        </w:tc>
        <w:tc>
          <w:tcPr>
            <w:tcW w:w="949" w:type="dxa"/>
            <w:shd w:val="clear" w:color="auto" w:fill="E9E9E9"/>
          </w:tcPr>
          <w:p>
            <w:pPr>
              <w:pStyle w:val="TableParagraph"/>
              <w:ind w:left="288"/>
              <w:rPr>
                <w:sz w:val="20"/>
              </w:rPr>
            </w:pPr>
            <w:r>
              <w:rPr>
                <w:spacing w:val="-5"/>
                <w:sz w:val="20"/>
              </w:rPr>
              <w:t>307</w:t>
            </w:r>
          </w:p>
        </w:tc>
        <w:tc>
          <w:tcPr>
            <w:tcW w:w="1209" w:type="dxa"/>
            <w:tcBorders>
              <w:right w:val="dashed" w:sz="2" w:space="0" w:color="000000"/>
            </w:tcBorders>
            <w:shd w:val="clear" w:color="auto" w:fill="E9E9E9"/>
          </w:tcPr>
          <w:p>
            <w:pPr>
              <w:pStyle w:val="TableParagraph"/>
              <w:ind w:right="353"/>
              <w:jc w:val="right"/>
              <w:rPr>
                <w:sz w:val="20"/>
              </w:rPr>
            </w:pPr>
            <w:r>
              <w:rPr>
                <w:spacing w:val="-2"/>
                <w:sz w:val="20"/>
              </w:rPr>
              <w:t>21170</w:t>
            </w:r>
          </w:p>
        </w:tc>
        <w:tc>
          <w:tcPr>
            <w:tcW w:w="879" w:type="dxa"/>
            <w:tcBorders>
              <w:left w:val="dashed" w:sz="2" w:space="0" w:color="000000"/>
            </w:tcBorders>
            <w:shd w:val="clear" w:color="auto" w:fill="E9E9E9"/>
          </w:tcPr>
          <w:p>
            <w:pPr>
              <w:pStyle w:val="TableParagraph"/>
              <w:ind w:right="159"/>
              <w:jc w:val="right"/>
              <w:rPr>
                <w:sz w:val="20"/>
              </w:rPr>
            </w:pPr>
            <w:r>
              <w:rPr>
                <w:spacing w:val="-2"/>
                <w:sz w:val="20"/>
              </w:rPr>
              <w:t>13950</w:t>
            </w:r>
          </w:p>
        </w:tc>
      </w:tr>
      <w:tr>
        <w:trPr>
          <w:trHeight w:val="321" w:hRule="atLeast"/>
        </w:trPr>
        <w:tc>
          <w:tcPr>
            <w:tcW w:w="4694" w:type="dxa"/>
            <w:shd w:val="clear" w:color="auto" w:fill="D0D5CD"/>
          </w:tcPr>
          <w:p>
            <w:pPr>
              <w:pStyle w:val="TableParagraph"/>
              <w:ind w:left="90"/>
              <w:rPr>
                <w:sz w:val="20"/>
              </w:rPr>
            </w:pPr>
            <w:r>
              <w:rPr>
                <w:spacing w:val="-4"/>
                <w:sz w:val="20"/>
              </w:rPr>
              <w:t>Dr.</w:t>
            </w:r>
            <w:r>
              <w:rPr>
                <w:spacing w:val="-2"/>
                <w:sz w:val="20"/>
              </w:rPr>
              <w:t> </w:t>
            </w:r>
            <w:r>
              <w:rPr>
                <w:spacing w:val="-4"/>
                <w:sz w:val="20"/>
              </w:rPr>
              <w:t>B.R.</w:t>
            </w:r>
            <w:r>
              <w:rPr>
                <w:spacing w:val="-2"/>
                <w:sz w:val="20"/>
              </w:rPr>
              <w:t> </w:t>
            </w:r>
            <w:r>
              <w:rPr>
                <w:spacing w:val="-4"/>
                <w:sz w:val="20"/>
              </w:rPr>
              <w:t>Ambedkar</w:t>
            </w:r>
            <w:r>
              <w:rPr>
                <w:spacing w:val="-2"/>
                <w:sz w:val="20"/>
              </w:rPr>
              <w:t> </w:t>
            </w:r>
            <w:r>
              <w:rPr>
                <w:spacing w:val="-4"/>
                <w:sz w:val="20"/>
              </w:rPr>
              <w:t>Open</w:t>
            </w:r>
            <w:r>
              <w:rPr>
                <w:spacing w:val="-2"/>
                <w:sz w:val="20"/>
              </w:rPr>
              <w:t> </w:t>
            </w:r>
            <w:r>
              <w:rPr>
                <w:spacing w:val="-4"/>
                <w:sz w:val="20"/>
              </w:rPr>
              <w:t>University,</w:t>
            </w:r>
            <w:r>
              <w:rPr>
                <w:spacing w:val="-1"/>
                <w:sz w:val="20"/>
              </w:rPr>
              <w:t> </w:t>
            </w:r>
            <w:r>
              <w:rPr>
                <w:spacing w:val="-4"/>
                <w:sz w:val="20"/>
              </w:rPr>
              <w:t>Hyderabad</w:t>
            </w:r>
          </w:p>
        </w:tc>
        <w:tc>
          <w:tcPr>
            <w:tcW w:w="1059" w:type="dxa"/>
            <w:shd w:val="clear" w:color="auto" w:fill="D0D5CD"/>
          </w:tcPr>
          <w:p>
            <w:pPr>
              <w:pStyle w:val="TableParagraph"/>
              <w:ind w:left="98"/>
              <w:rPr>
                <w:sz w:val="20"/>
              </w:rPr>
            </w:pPr>
            <w:r>
              <w:rPr>
                <w:spacing w:val="-2"/>
                <w:sz w:val="20"/>
              </w:rPr>
              <w:t>190320</w:t>
            </w:r>
          </w:p>
        </w:tc>
        <w:tc>
          <w:tcPr>
            <w:tcW w:w="909" w:type="dxa"/>
            <w:shd w:val="clear" w:color="auto" w:fill="D0D5CD"/>
          </w:tcPr>
          <w:p>
            <w:pPr>
              <w:pStyle w:val="TableParagraph"/>
              <w:ind w:right="173"/>
              <w:jc w:val="right"/>
              <w:rPr>
                <w:sz w:val="20"/>
              </w:rPr>
            </w:pPr>
            <w:r>
              <w:rPr>
                <w:spacing w:val="-10"/>
                <w:sz w:val="20"/>
              </w:rPr>
              <w:t>-</w:t>
            </w:r>
          </w:p>
        </w:tc>
        <w:tc>
          <w:tcPr>
            <w:tcW w:w="949" w:type="dxa"/>
            <w:shd w:val="clear" w:color="auto" w:fill="D0D5CD"/>
          </w:tcPr>
          <w:p>
            <w:pPr>
              <w:pStyle w:val="TableParagraph"/>
              <w:ind w:left="132" w:right="100"/>
              <w:jc w:val="center"/>
              <w:rPr>
                <w:sz w:val="20"/>
              </w:rPr>
            </w:pPr>
            <w:r>
              <w:rPr>
                <w:spacing w:val="-5"/>
                <w:sz w:val="20"/>
              </w:rPr>
              <w:t>89</w:t>
            </w:r>
          </w:p>
        </w:tc>
        <w:tc>
          <w:tcPr>
            <w:tcW w:w="1209" w:type="dxa"/>
            <w:tcBorders>
              <w:right w:val="dashed" w:sz="2" w:space="0" w:color="000000"/>
            </w:tcBorders>
            <w:shd w:val="clear" w:color="auto" w:fill="D0D5CD"/>
          </w:tcPr>
          <w:p>
            <w:pPr>
              <w:pStyle w:val="TableParagraph"/>
              <w:ind w:right="353"/>
              <w:jc w:val="right"/>
              <w:rPr>
                <w:sz w:val="20"/>
              </w:rPr>
            </w:pPr>
            <w:r>
              <w:rPr>
                <w:spacing w:val="-4"/>
                <w:sz w:val="20"/>
              </w:rPr>
              <w:t>3320</w:t>
            </w:r>
          </w:p>
        </w:tc>
        <w:tc>
          <w:tcPr>
            <w:tcW w:w="879" w:type="dxa"/>
            <w:tcBorders>
              <w:left w:val="dashed" w:sz="2" w:space="0" w:color="000000"/>
            </w:tcBorders>
            <w:shd w:val="clear" w:color="auto" w:fill="D0D5CD"/>
          </w:tcPr>
          <w:p>
            <w:pPr>
              <w:pStyle w:val="TableParagraph"/>
              <w:ind w:right="159"/>
              <w:jc w:val="right"/>
              <w:rPr>
                <w:sz w:val="20"/>
              </w:rPr>
            </w:pPr>
            <w:r>
              <w:rPr>
                <w:spacing w:val="-4"/>
                <w:sz w:val="20"/>
              </w:rPr>
              <w:t>2730</w:t>
            </w:r>
          </w:p>
        </w:tc>
      </w:tr>
      <w:tr>
        <w:trPr>
          <w:trHeight w:val="321" w:hRule="atLeast"/>
        </w:trPr>
        <w:tc>
          <w:tcPr>
            <w:tcW w:w="4694" w:type="dxa"/>
            <w:shd w:val="clear" w:color="auto" w:fill="E9E9E9"/>
          </w:tcPr>
          <w:p>
            <w:pPr>
              <w:pStyle w:val="TableParagraph"/>
              <w:ind w:left="90"/>
              <w:rPr>
                <w:sz w:val="20"/>
              </w:rPr>
            </w:pPr>
            <w:r>
              <w:rPr>
                <w:spacing w:val="-6"/>
                <w:sz w:val="20"/>
              </w:rPr>
              <w:t>Vardhaman</w:t>
            </w:r>
            <w:r>
              <w:rPr>
                <w:spacing w:val="7"/>
                <w:sz w:val="20"/>
              </w:rPr>
              <w:t> </w:t>
            </w:r>
            <w:r>
              <w:rPr>
                <w:spacing w:val="-6"/>
                <w:sz w:val="20"/>
              </w:rPr>
              <w:t>Mahaveer</w:t>
            </w:r>
            <w:r>
              <w:rPr>
                <w:spacing w:val="7"/>
                <w:sz w:val="20"/>
              </w:rPr>
              <w:t> </w:t>
            </w:r>
            <w:r>
              <w:rPr>
                <w:spacing w:val="-6"/>
                <w:sz w:val="20"/>
              </w:rPr>
              <w:t>Open</w:t>
            </w:r>
            <w:r>
              <w:rPr>
                <w:spacing w:val="8"/>
                <w:sz w:val="20"/>
              </w:rPr>
              <w:t> </w:t>
            </w:r>
            <w:r>
              <w:rPr>
                <w:spacing w:val="-6"/>
                <w:sz w:val="20"/>
              </w:rPr>
              <w:t>University,</w:t>
            </w:r>
            <w:r>
              <w:rPr>
                <w:spacing w:val="7"/>
                <w:sz w:val="20"/>
              </w:rPr>
              <w:t> </w:t>
            </w:r>
            <w:r>
              <w:rPr>
                <w:spacing w:val="-6"/>
                <w:sz w:val="20"/>
              </w:rPr>
              <w:t>Kota</w:t>
            </w:r>
          </w:p>
        </w:tc>
        <w:tc>
          <w:tcPr>
            <w:tcW w:w="1059" w:type="dxa"/>
            <w:shd w:val="clear" w:color="auto" w:fill="E9E9E9"/>
          </w:tcPr>
          <w:p>
            <w:pPr>
              <w:pStyle w:val="TableParagraph"/>
              <w:ind w:left="298"/>
              <w:rPr>
                <w:sz w:val="20"/>
              </w:rPr>
            </w:pPr>
            <w:r>
              <w:rPr>
                <w:spacing w:val="-4"/>
                <w:sz w:val="20"/>
              </w:rPr>
              <w:t>5999</w:t>
            </w:r>
          </w:p>
        </w:tc>
        <w:tc>
          <w:tcPr>
            <w:tcW w:w="909" w:type="dxa"/>
            <w:shd w:val="clear" w:color="auto" w:fill="E9E9E9"/>
          </w:tcPr>
          <w:p>
            <w:pPr>
              <w:pStyle w:val="TableParagraph"/>
              <w:ind w:right="173"/>
              <w:jc w:val="right"/>
              <w:rPr>
                <w:sz w:val="20"/>
              </w:rPr>
            </w:pPr>
            <w:r>
              <w:rPr>
                <w:spacing w:val="-10"/>
                <w:sz w:val="20"/>
              </w:rPr>
              <w:t>-</w:t>
            </w:r>
          </w:p>
        </w:tc>
        <w:tc>
          <w:tcPr>
            <w:tcW w:w="949" w:type="dxa"/>
            <w:shd w:val="clear" w:color="auto" w:fill="E9E9E9"/>
          </w:tcPr>
          <w:p>
            <w:pPr>
              <w:pStyle w:val="TableParagraph"/>
              <w:ind w:left="132" w:right="100"/>
              <w:jc w:val="center"/>
              <w:rPr>
                <w:sz w:val="20"/>
              </w:rPr>
            </w:pPr>
            <w:r>
              <w:rPr>
                <w:spacing w:val="-5"/>
                <w:sz w:val="20"/>
              </w:rPr>
              <w:t>30</w:t>
            </w:r>
          </w:p>
        </w:tc>
        <w:tc>
          <w:tcPr>
            <w:tcW w:w="1209" w:type="dxa"/>
            <w:tcBorders>
              <w:right w:val="dashed" w:sz="2" w:space="0" w:color="000000"/>
            </w:tcBorders>
            <w:shd w:val="clear" w:color="auto" w:fill="E9E9E9"/>
          </w:tcPr>
          <w:p>
            <w:pPr>
              <w:pStyle w:val="TableParagraph"/>
              <w:ind w:right="353"/>
              <w:jc w:val="right"/>
              <w:rPr>
                <w:sz w:val="20"/>
              </w:rPr>
            </w:pPr>
            <w:r>
              <w:rPr>
                <w:spacing w:val="-5"/>
                <w:sz w:val="20"/>
              </w:rPr>
              <w:t>355</w:t>
            </w:r>
          </w:p>
        </w:tc>
        <w:tc>
          <w:tcPr>
            <w:tcW w:w="879" w:type="dxa"/>
            <w:tcBorders>
              <w:left w:val="dashed" w:sz="2" w:space="0" w:color="000000"/>
            </w:tcBorders>
            <w:shd w:val="clear" w:color="auto" w:fill="E9E9E9"/>
          </w:tcPr>
          <w:p>
            <w:pPr>
              <w:pStyle w:val="TableParagraph"/>
              <w:ind w:right="159"/>
              <w:jc w:val="right"/>
              <w:rPr>
                <w:sz w:val="20"/>
              </w:rPr>
            </w:pPr>
            <w:r>
              <w:rPr>
                <w:spacing w:val="-2"/>
                <w:sz w:val="20"/>
              </w:rPr>
              <w:t>390.5</w:t>
            </w:r>
          </w:p>
        </w:tc>
      </w:tr>
      <w:tr>
        <w:trPr>
          <w:trHeight w:val="321" w:hRule="atLeast"/>
        </w:trPr>
        <w:tc>
          <w:tcPr>
            <w:tcW w:w="4694" w:type="dxa"/>
            <w:shd w:val="clear" w:color="auto" w:fill="D0D5CD"/>
          </w:tcPr>
          <w:p>
            <w:pPr>
              <w:pStyle w:val="TableParagraph"/>
              <w:ind w:left="90"/>
              <w:rPr>
                <w:sz w:val="20"/>
              </w:rPr>
            </w:pPr>
            <w:r>
              <w:rPr>
                <w:spacing w:val="-4"/>
                <w:sz w:val="20"/>
              </w:rPr>
              <w:t>Nalanda</w:t>
            </w:r>
            <w:r>
              <w:rPr>
                <w:spacing w:val="1"/>
                <w:sz w:val="20"/>
              </w:rPr>
              <w:t> </w:t>
            </w:r>
            <w:r>
              <w:rPr>
                <w:spacing w:val="-4"/>
                <w:sz w:val="20"/>
              </w:rPr>
              <w:t>Open</w:t>
            </w:r>
            <w:r>
              <w:rPr>
                <w:spacing w:val="1"/>
                <w:sz w:val="20"/>
              </w:rPr>
              <w:t> </w:t>
            </w:r>
            <w:r>
              <w:rPr>
                <w:spacing w:val="-4"/>
                <w:sz w:val="20"/>
              </w:rPr>
              <w:t>University,</w:t>
            </w:r>
            <w:r>
              <w:rPr>
                <w:spacing w:val="1"/>
                <w:sz w:val="20"/>
              </w:rPr>
              <w:t> </w:t>
            </w:r>
            <w:r>
              <w:rPr>
                <w:spacing w:val="-4"/>
                <w:sz w:val="20"/>
              </w:rPr>
              <w:t>Patna</w:t>
            </w:r>
          </w:p>
        </w:tc>
        <w:tc>
          <w:tcPr>
            <w:tcW w:w="1059" w:type="dxa"/>
            <w:shd w:val="clear" w:color="auto" w:fill="D0D5CD"/>
          </w:tcPr>
          <w:p>
            <w:pPr>
              <w:pStyle w:val="TableParagraph"/>
              <w:ind w:left="298"/>
              <w:rPr>
                <w:sz w:val="20"/>
              </w:rPr>
            </w:pPr>
            <w:r>
              <w:rPr>
                <w:spacing w:val="-4"/>
                <w:sz w:val="20"/>
              </w:rPr>
              <w:t>1805</w:t>
            </w:r>
          </w:p>
        </w:tc>
        <w:tc>
          <w:tcPr>
            <w:tcW w:w="909" w:type="dxa"/>
            <w:shd w:val="clear" w:color="auto" w:fill="D0D5CD"/>
          </w:tcPr>
          <w:p>
            <w:pPr>
              <w:pStyle w:val="TableParagraph"/>
              <w:ind w:right="173"/>
              <w:jc w:val="right"/>
              <w:rPr>
                <w:sz w:val="20"/>
              </w:rPr>
            </w:pPr>
            <w:r>
              <w:rPr>
                <w:spacing w:val="-4"/>
                <w:sz w:val="20"/>
              </w:rPr>
              <w:t>8484</w:t>
            </w:r>
          </w:p>
        </w:tc>
        <w:tc>
          <w:tcPr>
            <w:tcW w:w="949" w:type="dxa"/>
            <w:shd w:val="clear" w:color="auto" w:fill="D0D5CD"/>
          </w:tcPr>
          <w:p>
            <w:pPr>
              <w:pStyle w:val="TableParagraph"/>
              <w:ind w:left="132"/>
              <w:jc w:val="center"/>
              <w:rPr>
                <w:sz w:val="20"/>
              </w:rPr>
            </w:pPr>
            <w:r>
              <w:rPr>
                <w:spacing w:val="-10"/>
                <w:sz w:val="20"/>
              </w:rPr>
              <w:t>6</w:t>
            </w:r>
          </w:p>
        </w:tc>
        <w:tc>
          <w:tcPr>
            <w:tcW w:w="1209" w:type="dxa"/>
            <w:tcBorders>
              <w:right w:val="dashed" w:sz="2" w:space="0" w:color="000000"/>
            </w:tcBorders>
            <w:shd w:val="clear" w:color="auto" w:fill="D0D5CD"/>
          </w:tcPr>
          <w:p>
            <w:pPr>
              <w:pStyle w:val="TableParagraph"/>
              <w:ind w:right="353"/>
              <w:jc w:val="right"/>
              <w:rPr>
                <w:sz w:val="20"/>
              </w:rPr>
            </w:pPr>
            <w:r>
              <w:rPr>
                <w:spacing w:val="-5"/>
                <w:sz w:val="20"/>
              </w:rPr>
              <w:t>948</w:t>
            </w:r>
          </w:p>
        </w:tc>
        <w:tc>
          <w:tcPr>
            <w:tcW w:w="879" w:type="dxa"/>
            <w:tcBorders>
              <w:left w:val="dashed" w:sz="2" w:space="0" w:color="000000"/>
            </w:tcBorders>
            <w:shd w:val="clear" w:color="auto" w:fill="D0D5CD"/>
          </w:tcPr>
          <w:p>
            <w:pPr>
              <w:pStyle w:val="TableParagraph"/>
              <w:ind w:right="159"/>
              <w:jc w:val="right"/>
              <w:rPr>
                <w:sz w:val="20"/>
              </w:rPr>
            </w:pPr>
            <w:r>
              <w:rPr>
                <w:spacing w:val="-2"/>
                <w:sz w:val="20"/>
              </w:rPr>
              <w:t>95.95</w:t>
            </w:r>
          </w:p>
        </w:tc>
      </w:tr>
      <w:tr>
        <w:trPr>
          <w:trHeight w:val="601" w:hRule="atLeast"/>
        </w:trPr>
        <w:tc>
          <w:tcPr>
            <w:tcW w:w="4694" w:type="dxa"/>
            <w:shd w:val="clear" w:color="auto" w:fill="E9E9E9"/>
          </w:tcPr>
          <w:p>
            <w:pPr>
              <w:pStyle w:val="TableParagraph"/>
              <w:spacing w:line="280" w:lineRule="exact" w:before="9"/>
              <w:ind w:left="90" w:right="77"/>
              <w:rPr>
                <w:sz w:val="20"/>
              </w:rPr>
            </w:pPr>
            <w:r>
              <w:rPr>
                <w:spacing w:val="-4"/>
                <w:sz w:val="20"/>
              </w:rPr>
              <w:t>Yashwantrao</w:t>
            </w:r>
            <w:r>
              <w:rPr>
                <w:spacing w:val="-9"/>
                <w:sz w:val="20"/>
              </w:rPr>
              <w:t> </w:t>
            </w:r>
            <w:r>
              <w:rPr>
                <w:spacing w:val="-4"/>
                <w:sz w:val="20"/>
              </w:rPr>
              <w:t>Chavan</w:t>
            </w:r>
            <w:r>
              <w:rPr>
                <w:spacing w:val="-8"/>
                <w:sz w:val="20"/>
              </w:rPr>
              <w:t> </w:t>
            </w:r>
            <w:r>
              <w:rPr>
                <w:spacing w:val="-4"/>
                <w:sz w:val="20"/>
              </w:rPr>
              <w:t>Maharashtra</w:t>
            </w:r>
            <w:r>
              <w:rPr>
                <w:spacing w:val="-9"/>
                <w:sz w:val="20"/>
              </w:rPr>
              <w:t> </w:t>
            </w:r>
            <w:r>
              <w:rPr>
                <w:spacing w:val="-4"/>
                <w:sz w:val="20"/>
              </w:rPr>
              <w:t>Open</w:t>
            </w:r>
            <w:r>
              <w:rPr>
                <w:spacing w:val="-8"/>
                <w:sz w:val="20"/>
              </w:rPr>
              <w:t> </w:t>
            </w:r>
            <w:r>
              <w:rPr>
                <w:spacing w:val="-4"/>
                <w:sz w:val="20"/>
              </w:rPr>
              <w:t>University, </w:t>
            </w:r>
            <w:r>
              <w:rPr>
                <w:spacing w:val="-2"/>
                <w:sz w:val="20"/>
              </w:rPr>
              <w:t>Nashik</w:t>
            </w:r>
          </w:p>
        </w:tc>
        <w:tc>
          <w:tcPr>
            <w:tcW w:w="1059" w:type="dxa"/>
            <w:shd w:val="clear" w:color="auto" w:fill="E9E9E9"/>
          </w:tcPr>
          <w:p>
            <w:pPr>
              <w:pStyle w:val="TableParagraph"/>
              <w:ind w:left="98"/>
              <w:rPr>
                <w:sz w:val="20"/>
              </w:rPr>
            </w:pPr>
            <w:r>
              <w:rPr>
                <w:spacing w:val="-2"/>
                <w:sz w:val="20"/>
              </w:rPr>
              <w:t>102642</w:t>
            </w:r>
          </w:p>
        </w:tc>
        <w:tc>
          <w:tcPr>
            <w:tcW w:w="909" w:type="dxa"/>
            <w:shd w:val="clear" w:color="auto" w:fill="E9E9E9"/>
          </w:tcPr>
          <w:p>
            <w:pPr>
              <w:pStyle w:val="TableParagraph"/>
              <w:ind w:right="173"/>
              <w:jc w:val="right"/>
              <w:rPr>
                <w:sz w:val="20"/>
              </w:rPr>
            </w:pPr>
            <w:r>
              <w:rPr>
                <w:spacing w:val="-2"/>
                <w:sz w:val="20"/>
              </w:rPr>
              <w:t>800587</w:t>
            </w:r>
          </w:p>
        </w:tc>
        <w:tc>
          <w:tcPr>
            <w:tcW w:w="949" w:type="dxa"/>
            <w:shd w:val="clear" w:color="auto" w:fill="E9E9E9"/>
          </w:tcPr>
          <w:p>
            <w:pPr>
              <w:pStyle w:val="TableParagraph"/>
              <w:ind w:left="132" w:right="100"/>
              <w:jc w:val="center"/>
              <w:rPr>
                <w:sz w:val="20"/>
              </w:rPr>
            </w:pPr>
            <w:r>
              <w:rPr>
                <w:spacing w:val="-5"/>
                <w:sz w:val="20"/>
              </w:rPr>
              <w:t>39</w:t>
            </w:r>
          </w:p>
        </w:tc>
        <w:tc>
          <w:tcPr>
            <w:tcW w:w="1209" w:type="dxa"/>
            <w:shd w:val="clear" w:color="auto" w:fill="E9E9E9"/>
          </w:tcPr>
          <w:p>
            <w:pPr>
              <w:pStyle w:val="TableParagraph"/>
              <w:ind w:right="353"/>
              <w:jc w:val="right"/>
              <w:rPr>
                <w:sz w:val="20"/>
              </w:rPr>
            </w:pPr>
            <w:r>
              <w:rPr>
                <w:spacing w:val="-4"/>
                <w:sz w:val="20"/>
              </w:rPr>
              <w:t>2189</w:t>
            </w:r>
          </w:p>
        </w:tc>
        <w:tc>
          <w:tcPr>
            <w:tcW w:w="879" w:type="dxa"/>
            <w:shd w:val="clear" w:color="auto" w:fill="E9E9E9"/>
          </w:tcPr>
          <w:p>
            <w:pPr>
              <w:pStyle w:val="TableParagraph"/>
              <w:ind w:right="159"/>
              <w:jc w:val="right"/>
              <w:rPr>
                <w:sz w:val="20"/>
              </w:rPr>
            </w:pPr>
            <w:r>
              <w:rPr>
                <w:spacing w:val="-4"/>
                <w:sz w:val="20"/>
              </w:rPr>
              <w:t>1600</w:t>
            </w:r>
          </w:p>
        </w:tc>
      </w:tr>
      <w:tr>
        <w:trPr>
          <w:trHeight w:val="321" w:hRule="atLeast"/>
        </w:trPr>
        <w:tc>
          <w:tcPr>
            <w:tcW w:w="4694" w:type="dxa"/>
            <w:shd w:val="clear" w:color="auto" w:fill="D0D5CD"/>
          </w:tcPr>
          <w:p>
            <w:pPr>
              <w:pStyle w:val="TableParagraph"/>
              <w:ind w:left="90"/>
              <w:rPr>
                <w:sz w:val="20"/>
              </w:rPr>
            </w:pPr>
            <w:r>
              <w:rPr>
                <w:spacing w:val="-4"/>
                <w:sz w:val="20"/>
              </w:rPr>
              <w:t>Dr.</w:t>
            </w:r>
            <w:r>
              <w:rPr>
                <w:spacing w:val="-7"/>
                <w:sz w:val="20"/>
              </w:rPr>
              <w:t> </w:t>
            </w:r>
            <w:r>
              <w:rPr>
                <w:spacing w:val="-4"/>
                <w:sz w:val="20"/>
              </w:rPr>
              <w:t>Babasaheb</w:t>
            </w:r>
            <w:r>
              <w:rPr>
                <w:spacing w:val="-6"/>
                <w:sz w:val="20"/>
              </w:rPr>
              <w:t> </w:t>
            </w:r>
            <w:r>
              <w:rPr>
                <w:spacing w:val="-4"/>
                <w:sz w:val="20"/>
              </w:rPr>
              <w:t>Ambedkar</w:t>
            </w:r>
            <w:r>
              <w:rPr>
                <w:spacing w:val="-6"/>
                <w:sz w:val="20"/>
              </w:rPr>
              <w:t> </w:t>
            </w:r>
            <w:r>
              <w:rPr>
                <w:spacing w:val="-4"/>
                <w:sz w:val="20"/>
              </w:rPr>
              <w:t>Open</w:t>
            </w:r>
            <w:r>
              <w:rPr>
                <w:spacing w:val="-6"/>
                <w:sz w:val="20"/>
              </w:rPr>
              <w:t> </w:t>
            </w:r>
            <w:r>
              <w:rPr>
                <w:spacing w:val="-4"/>
                <w:sz w:val="20"/>
              </w:rPr>
              <w:t>University,</w:t>
            </w:r>
            <w:r>
              <w:rPr>
                <w:spacing w:val="-6"/>
                <w:sz w:val="20"/>
              </w:rPr>
              <w:t> </w:t>
            </w:r>
            <w:r>
              <w:rPr>
                <w:spacing w:val="-4"/>
                <w:sz w:val="20"/>
              </w:rPr>
              <w:t>Ahmedabad</w:t>
            </w:r>
          </w:p>
        </w:tc>
        <w:tc>
          <w:tcPr>
            <w:tcW w:w="1059" w:type="dxa"/>
            <w:shd w:val="clear" w:color="auto" w:fill="D0D5CD"/>
          </w:tcPr>
          <w:p>
            <w:pPr>
              <w:pStyle w:val="TableParagraph"/>
              <w:ind w:left="198"/>
              <w:rPr>
                <w:sz w:val="20"/>
              </w:rPr>
            </w:pPr>
            <w:r>
              <w:rPr>
                <w:spacing w:val="-2"/>
                <w:sz w:val="20"/>
              </w:rPr>
              <w:t>13824</w:t>
            </w:r>
          </w:p>
        </w:tc>
        <w:tc>
          <w:tcPr>
            <w:tcW w:w="909" w:type="dxa"/>
            <w:shd w:val="clear" w:color="auto" w:fill="D0D5CD"/>
          </w:tcPr>
          <w:p>
            <w:pPr>
              <w:pStyle w:val="TableParagraph"/>
              <w:ind w:right="173"/>
              <w:jc w:val="right"/>
              <w:rPr>
                <w:sz w:val="20"/>
              </w:rPr>
            </w:pPr>
            <w:r>
              <w:rPr>
                <w:spacing w:val="-2"/>
                <w:sz w:val="20"/>
              </w:rPr>
              <w:t>68865</w:t>
            </w:r>
          </w:p>
        </w:tc>
        <w:tc>
          <w:tcPr>
            <w:tcW w:w="949" w:type="dxa"/>
            <w:shd w:val="clear" w:color="auto" w:fill="D0D5CD"/>
          </w:tcPr>
          <w:p>
            <w:pPr>
              <w:pStyle w:val="TableParagraph"/>
              <w:ind w:left="132" w:right="100"/>
              <w:jc w:val="center"/>
              <w:rPr>
                <w:sz w:val="20"/>
              </w:rPr>
            </w:pPr>
            <w:r>
              <w:rPr>
                <w:spacing w:val="-5"/>
                <w:sz w:val="20"/>
              </w:rPr>
              <w:t>39</w:t>
            </w:r>
          </w:p>
        </w:tc>
        <w:tc>
          <w:tcPr>
            <w:tcW w:w="1209" w:type="dxa"/>
            <w:shd w:val="clear" w:color="auto" w:fill="D0D5CD"/>
          </w:tcPr>
          <w:p>
            <w:pPr>
              <w:pStyle w:val="TableParagraph"/>
              <w:ind w:right="353"/>
              <w:jc w:val="right"/>
              <w:rPr>
                <w:sz w:val="20"/>
              </w:rPr>
            </w:pPr>
            <w:r>
              <w:rPr>
                <w:spacing w:val="-10"/>
                <w:sz w:val="20"/>
              </w:rPr>
              <w:t>-</w:t>
            </w:r>
          </w:p>
        </w:tc>
        <w:tc>
          <w:tcPr>
            <w:tcW w:w="879" w:type="dxa"/>
            <w:shd w:val="clear" w:color="auto" w:fill="D0D5CD"/>
          </w:tcPr>
          <w:p>
            <w:pPr>
              <w:pStyle w:val="TableParagraph"/>
              <w:ind w:right="159"/>
              <w:jc w:val="right"/>
              <w:rPr>
                <w:sz w:val="20"/>
              </w:rPr>
            </w:pPr>
            <w:r>
              <w:rPr>
                <w:spacing w:val="-10"/>
                <w:sz w:val="20"/>
              </w:rPr>
              <w:t>-</w:t>
            </w:r>
          </w:p>
        </w:tc>
      </w:tr>
      <w:tr>
        <w:trPr>
          <w:trHeight w:val="321" w:hRule="atLeast"/>
        </w:trPr>
        <w:tc>
          <w:tcPr>
            <w:tcW w:w="4694" w:type="dxa"/>
            <w:shd w:val="clear" w:color="auto" w:fill="E9E9E9"/>
          </w:tcPr>
          <w:p>
            <w:pPr>
              <w:pStyle w:val="TableParagraph"/>
              <w:ind w:left="90"/>
              <w:rPr>
                <w:sz w:val="20"/>
              </w:rPr>
            </w:pPr>
            <w:r>
              <w:rPr>
                <w:spacing w:val="-4"/>
                <w:sz w:val="20"/>
              </w:rPr>
              <w:t>Madhya</w:t>
            </w:r>
            <w:r>
              <w:rPr>
                <w:spacing w:val="-5"/>
                <w:sz w:val="20"/>
              </w:rPr>
              <w:t> </w:t>
            </w:r>
            <w:r>
              <w:rPr>
                <w:spacing w:val="-4"/>
                <w:sz w:val="20"/>
              </w:rPr>
              <w:t>Pradesh Bhoj Open University, Bhopal</w:t>
            </w:r>
          </w:p>
        </w:tc>
        <w:tc>
          <w:tcPr>
            <w:tcW w:w="1059" w:type="dxa"/>
            <w:shd w:val="clear" w:color="auto" w:fill="E9E9E9"/>
          </w:tcPr>
          <w:p>
            <w:pPr>
              <w:pStyle w:val="TableParagraph"/>
              <w:ind w:left="98"/>
              <w:rPr>
                <w:sz w:val="20"/>
              </w:rPr>
            </w:pPr>
            <w:r>
              <w:rPr>
                <w:spacing w:val="-2"/>
                <w:sz w:val="20"/>
              </w:rPr>
              <w:t>192230</w:t>
            </w:r>
          </w:p>
        </w:tc>
        <w:tc>
          <w:tcPr>
            <w:tcW w:w="909" w:type="dxa"/>
            <w:shd w:val="clear" w:color="auto" w:fill="E9E9E9"/>
          </w:tcPr>
          <w:p>
            <w:pPr>
              <w:pStyle w:val="TableParagraph"/>
              <w:ind w:right="173"/>
              <w:jc w:val="right"/>
              <w:rPr>
                <w:sz w:val="20"/>
              </w:rPr>
            </w:pPr>
            <w:r>
              <w:rPr>
                <w:spacing w:val="-2"/>
                <w:sz w:val="20"/>
              </w:rPr>
              <w:t>192230</w:t>
            </w:r>
          </w:p>
        </w:tc>
        <w:tc>
          <w:tcPr>
            <w:tcW w:w="949" w:type="dxa"/>
            <w:shd w:val="clear" w:color="auto" w:fill="E9E9E9"/>
          </w:tcPr>
          <w:p>
            <w:pPr>
              <w:pStyle w:val="TableParagraph"/>
              <w:ind w:left="132" w:right="100"/>
              <w:jc w:val="center"/>
              <w:rPr>
                <w:sz w:val="20"/>
              </w:rPr>
            </w:pPr>
            <w:r>
              <w:rPr>
                <w:spacing w:val="-5"/>
                <w:sz w:val="20"/>
              </w:rPr>
              <w:t>36</w:t>
            </w:r>
          </w:p>
        </w:tc>
        <w:tc>
          <w:tcPr>
            <w:tcW w:w="1209" w:type="dxa"/>
            <w:shd w:val="clear" w:color="auto" w:fill="E9E9E9"/>
          </w:tcPr>
          <w:p>
            <w:pPr>
              <w:pStyle w:val="TableParagraph"/>
              <w:ind w:right="353"/>
              <w:jc w:val="right"/>
              <w:rPr>
                <w:sz w:val="20"/>
              </w:rPr>
            </w:pPr>
            <w:r>
              <w:rPr>
                <w:spacing w:val="-2"/>
                <w:sz w:val="20"/>
              </w:rPr>
              <w:t>121.5</w:t>
            </w:r>
          </w:p>
        </w:tc>
        <w:tc>
          <w:tcPr>
            <w:tcW w:w="879" w:type="dxa"/>
            <w:shd w:val="clear" w:color="auto" w:fill="E9E9E9"/>
          </w:tcPr>
          <w:p>
            <w:pPr>
              <w:pStyle w:val="TableParagraph"/>
              <w:ind w:right="159"/>
              <w:jc w:val="right"/>
              <w:rPr>
                <w:sz w:val="20"/>
              </w:rPr>
            </w:pPr>
            <w:r>
              <w:rPr>
                <w:spacing w:val="-2"/>
                <w:sz w:val="20"/>
              </w:rPr>
              <w:t>1129.04</w:t>
            </w:r>
          </w:p>
        </w:tc>
      </w:tr>
      <w:tr>
        <w:trPr>
          <w:trHeight w:val="321" w:hRule="atLeast"/>
        </w:trPr>
        <w:tc>
          <w:tcPr>
            <w:tcW w:w="4694" w:type="dxa"/>
            <w:shd w:val="clear" w:color="auto" w:fill="D0D5CD"/>
          </w:tcPr>
          <w:p>
            <w:pPr>
              <w:pStyle w:val="TableParagraph"/>
              <w:ind w:left="90"/>
              <w:rPr>
                <w:sz w:val="20"/>
              </w:rPr>
            </w:pPr>
            <w:r>
              <w:rPr>
                <w:spacing w:val="-4"/>
                <w:sz w:val="20"/>
              </w:rPr>
              <w:t>Netaji Subhas</w:t>
            </w:r>
            <w:r>
              <w:rPr>
                <w:spacing w:val="-3"/>
                <w:sz w:val="20"/>
              </w:rPr>
              <w:t> </w:t>
            </w:r>
            <w:r>
              <w:rPr>
                <w:spacing w:val="-4"/>
                <w:sz w:val="20"/>
              </w:rPr>
              <w:t>Open</w:t>
            </w:r>
            <w:r>
              <w:rPr>
                <w:spacing w:val="-3"/>
                <w:sz w:val="20"/>
              </w:rPr>
              <w:t> </w:t>
            </w:r>
            <w:r>
              <w:rPr>
                <w:spacing w:val="-4"/>
                <w:sz w:val="20"/>
              </w:rPr>
              <w:t>University,</w:t>
            </w:r>
            <w:r>
              <w:rPr>
                <w:spacing w:val="-3"/>
                <w:sz w:val="20"/>
              </w:rPr>
              <w:t> </w:t>
            </w:r>
            <w:r>
              <w:rPr>
                <w:spacing w:val="-4"/>
                <w:sz w:val="20"/>
              </w:rPr>
              <w:t>Kolkata</w:t>
            </w:r>
          </w:p>
        </w:tc>
        <w:tc>
          <w:tcPr>
            <w:tcW w:w="1059" w:type="dxa"/>
            <w:shd w:val="clear" w:color="auto" w:fill="D0D5CD"/>
          </w:tcPr>
          <w:p>
            <w:pPr>
              <w:pStyle w:val="TableParagraph"/>
              <w:ind w:left="198"/>
              <w:rPr>
                <w:sz w:val="20"/>
              </w:rPr>
            </w:pPr>
            <w:r>
              <w:rPr>
                <w:spacing w:val="-2"/>
                <w:sz w:val="20"/>
              </w:rPr>
              <w:t>14734</w:t>
            </w:r>
          </w:p>
        </w:tc>
        <w:tc>
          <w:tcPr>
            <w:tcW w:w="909" w:type="dxa"/>
            <w:shd w:val="clear" w:color="auto" w:fill="D0D5CD"/>
          </w:tcPr>
          <w:p>
            <w:pPr>
              <w:pStyle w:val="TableParagraph"/>
              <w:ind w:right="173"/>
              <w:jc w:val="right"/>
              <w:rPr>
                <w:sz w:val="20"/>
              </w:rPr>
            </w:pPr>
            <w:r>
              <w:rPr>
                <w:spacing w:val="-2"/>
                <w:sz w:val="20"/>
              </w:rPr>
              <w:t>225244</w:t>
            </w:r>
          </w:p>
        </w:tc>
        <w:tc>
          <w:tcPr>
            <w:tcW w:w="949" w:type="dxa"/>
            <w:shd w:val="clear" w:color="auto" w:fill="D0D5CD"/>
          </w:tcPr>
          <w:p>
            <w:pPr>
              <w:pStyle w:val="TableParagraph"/>
              <w:ind w:left="132"/>
              <w:jc w:val="center"/>
              <w:rPr>
                <w:sz w:val="20"/>
              </w:rPr>
            </w:pPr>
            <w:r>
              <w:rPr>
                <w:spacing w:val="-10"/>
                <w:sz w:val="20"/>
              </w:rPr>
              <w:t>4</w:t>
            </w:r>
          </w:p>
        </w:tc>
        <w:tc>
          <w:tcPr>
            <w:tcW w:w="1209" w:type="dxa"/>
            <w:shd w:val="clear" w:color="auto" w:fill="D0D5CD"/>
          </w:tcPr>
          <w:p>
            <w:pPr>
              <w:pStyle w:val="TableParagraph"/>
              <w:ind w:right="353"/>
              <w:jc w:val="right"/>
              <w:rPr>
                <w:sz w:val="20"/>
              </w:rPr>
            </w:pPr>
            <w:r>
              <w:rPr>
                <w:spacing w:val="-5"/>
                <w:sz w:val="20"/>
              </w:rPr>
              <w:t>310</w:t>
            </w:r>
          </w:p>
        </w:tc>
        <w:tc>
          <w:tcPr>
            <w:tcW w:w="879" w:type="dxa"/>
            <w:shd w:val="clear" w:color="auto" w:fill="D0D5CD"/>
          </w:tcPr>
          <w:p>
            <w:pPr>
              <w:pStyle w:val="TableParagraph"/>
              <w:ind w:right="159"/>
              <w:jc w:val="right"/>
              <w:rPr>
                <w:sz w:val="20"/>
              </w:rPr>
            </w:pPr>
            <w:r>
              <w:rPr>
                <w:spacing w:val="-5"/>
                <w:sz w:val="20"/>
              </w:rPr>
              <w:t>175</w:t>
            </w:r>
          </w:p>
        </w:tc>
      </w:tr>
      <w:tr>
        <w:trPr>
          <w:trHeight w:val="601" w:hRule="atLeast"/>
        </w:trPr>
        <w:tc>
          <w:tcPr>
            <w:tcW w:w="4694" w:type="dxa"/>
            <w:shd w:val="clear" w:color="auto" w:fill="E9E9E9"/>
          </w:tcPr>
          <w:p>
            <w:pPr>
              <w:pStyle w:val="TableParagraph"/>
              <w:spacing w:line="280" w:lineRule="exact" w:before="9"/>
              <w:ind w:left="90" w:right="2651"/>
              <w:rPr>
                <w:sz w:val="20"/>
              </w:rPr>
            </w:pPr>
            <w:r>
              <w:rPr>
                <w:sz w:val="20"/>
              </w:rPr>
              <w:t>Uttar Pradesh Rajarshi </w:t>
            </w:r>
            <w:r>
              <w:rPr>
                <w:spacing w:val="-2"/>
                <w:sz w:val="20"/>
              </w:rPr>
              <w:t>Tandon</w:t>
            </w:r>
            <w:r>
              <w:rPr>
                <w:spacing w:val="-11"/>
                <w:sz w:val="20"/>
              </w:rPr>
              <w:t> </w:t>
            </w:r>
            <w:r>
              <w:rPr>
                <w:spacing w:val="-2"/>
                <w:sz w:val="20"/>
              </w:rPr>
              <w:t>Open</w:t>
            </w:r>
            <w:r>
              <w:rPr>
                <w:spacing w:val="-10"/>
                <w:sz w:val="20"/>
              </w:rPr>
              <w:t> </w:t>
            </w:r>
            <w:r>
              <w:rPr>
                <w:spacing w:val="-2"/>
                <w:sz w:val="20"/>
              </w:rPr>
              <w:t>University</w:t>
            </w:r>
          </w:p>
        </w:tc>
        <w:tc>
          <w:tcPr>
            <w:tcW w:w="1059" w:type="dxa"/>
            <w:shd w:val="clear" w:color="auto" w:fill="E9E9E9"/>
          </w:tcPr>
          <w:p>
            <w:pPr>
              <w:pStyle w:val="TableParagraph"/>
              <w:ind w:left="298"/>
              <w:rPr>
                <w:sz w:val="20"/>
              </w:rPr>
            </w:pPr>
            <w:r>
              <w:rPr>
                <w:spacing w:val="-4"/>
                <w:sz w:val="20"/>
              </w:rPr>
              <w:t>8025</w:t>
            </w:r>
          </w:p>
        </w:tc>
        <w:tc>
          <w:tcPr>
            <w:tcW w:w="909" w:type="dxa"/>
            <w:shd w:val="clear" w:color="auto" w:fill="E9E9E9"/>
          </w:tcPr>
          <w:p>
            <w:pPr>
              <w:pStyle w:val="TableParagraph"/>
              <w:ind w:right="173"/>
              <w:jc w:val="right"/>
              <w:rPr>
                <w:sz w:val="20"/>
              </w:rPr>
            </w:pPr>
            <w:r>
              <w:rPr>
                <w:spacing w:val="-2"/>
                <w:sz w:val="20"/>
              </w:rPr>
              <w:t>22172</w:t>
            </w:r>
          </w:p>
        </w:tc>
        <w:tc>
          <w:tcPr>
            <w:tcW w:w="949" w:type="dxa"/>
            <w:shd w:val="clear" w:color="auto" w:fill="E9E9E9"/>
          </w:tcPr>
          <w:p>
            <w:pPr>
              <w:pStyle w:val="TableParagraph"/>
              <w:ind w:left="132" w:right="100"/>
              <w:jc w:val="center"/>
              <w:rPr>
                <w:sz w:val="20"/>
              </w:rPr>
            </w:pPr>
            <w:r>
              <w:rPr>
                <w:spacing w:val="-5"/>
                <w:sz w:val="20"/>
              </w:rPr>
              <w:t>11</w:t>
            </w:r>
          </w:p>
        </w:tc>
        <w:tc>
          <w:tcPr>
            <w:tcW w:w="1209" w:type="dxa"/>
            <w:shd w:val="clear" w:color="auto" w:fill="E9E9E9"/>
          </w:tcPr>
          <w:p>
            <w:pPr>
              <w:pStyle w:val="TableParagraph"/>
              <w:ind w:right="353"/>
              <w:jc w:val="right"/>
              <w:rPr>
                <w:sz w:val="20"/>
              </w:rPr>
            </w:pPr>
            <w:r>
              <w:rPr>
                <w:spacing w:val="-10"/>
                <w:sz w:val="20"/>
              </w:rPr>
              <w:t>-</w:t>
            </w:r>
          </w:p>
        </w:tc>
        <w:tc>
          <w:tcPr>
            <w:tcW w:w="879" w:type="dxa"/>
            <w:shd w:val="clear" w:color="auto" w:fill="E9E9E9"/>
          </w:tcPr>
          <w:p>
            <w:pPr>
              <w:pStyle w:val="TableParagraph"/>
              <w:ind w:right="159"/>
              <w:jc w:val="right"/>
              <w:rPr>
                <w:sz w:val="20"/>
              </w:rPr>
            </w:pPr>
            <w:r>
              <w:rPr>
                <w:spacing w:val="-10"/>
                <w:sz w:val="20"/>
              </w:rPr>
              <w:t>-</w:t>
            </w:r>
          </w:p>
        </w:tc>
      </w:tr>
      <w:tr>
        <w:trPr>
          <w:trHeight w:val="321" w:hRule="atLeast"/>
        </w:trPr>
        <w:tc>
          <w:tcPr>
            <w:tcW w:w="4694" w:type="dxa"/>
            <w:shd w:val="clear" w:color="auto" w:fill="D0D5CD"/>
          </w:tcPr>
          <w:p>
            <w:pPr>
              <w:pStyle w:val="TableParagraph"/>
              <w:ind w:left="90"/>
              <w:rPr>
                <w:sz w:val="20"/>
              </w:rPr>
            </w:pPr>
            <w:r>
              <w:rPr>
                <w:spacing w:val="-4"/>
                <w:sz w:val="20"/>
              </w:rPr>
              <w:t>Karnataka</w:t>
            </w:r>
            <w:r>
              <w:rPr>
                <w:spacing w:val="-5"/>
                <w:sz w:val="20"/>
              </w:rPr>
              <w:t> </w:t>
            </w:r>
            <w:r>
              <w:rPr>
                <w:spacing w:val="-4"/>
                <w:sz w:val="20"/>
              </w:rPr>
              <w:t>State Open</w:t>
            </w:r>
            <w:r>
              <w:rPr>
                <w:spacing w:val="-5"/>
                <w:sz w:val="20"/>
              </w:rPr>
              <w:t> </w:t>
            </w:r>
            <w:r>
              <w:rPr>
                <w:spacing w:val="-4"/>
                <w:sz w:val="20"/>
              </w:rPr>
              <w:t>University, Mysore</w:t>
            </w:r>
          </w:p>
        </w:tc>
        <w:tc>
          <w:tcPr>
            <w:tcW w:w="1059" w:type="dxa"/>
            <w:shd w:val="clear" w:color="auto" w:fill="D0D5CD"/>
          </w:tcPr>
          <w:p>
            <w:pPr>
              <w:pStyle w:val="TableParagraph"/>
              <w:ind w:left="198"/>
              <w:rPr>
                <w:sz w:val="20"/>
              </w:rPr>
            </w:pPr>
            <w:r>
              <w:rPr>
                <w:spacing w:val="-2"/>
                <w:sz w:val="20"/>
              </w:rPr>
              <w:t>19580</w:t>
            </w:r>
          </w:p>
        </w:tc>
        <w:tc>
          <w:tcPr>
            <w:tcW w:w="909" w:type="dxa"/>
            <w:shd w:val="clear" w:color="auto" w:fill="D0D5CD"/>
          </w:tcPr>
          <w:p>
            <w:pPr>
              <w:pStyle w:val="TableParagraph"/>
              <w:ind w:right="173"/>
              <w:jc w:val="right"/>
              <w:rPr>
                <w:sz w:val="20"/>
              </w:rPr>
            </w:pPr>
            <w:r>
              <w:rPr>
                <w:spacing w:val="-2"/>
                <w:sz w:val="20"/>
              </w:rPr>
              <w:t>33172</w:t>
            </w:r>
          </w:p>
        </w:tc>
        <w:tc>
          <w:tcPr>
            <w:tcW w:w="949" w:type="dxa"/>
            <w:shd w:val="clear" w:color="auto" w:fill="D0D5CD"/>
          </w:tcPr>
          <w:p>
            <w:pPr>
              <w:pStyle w:val="TableParagraph"/>
              <w:ind w:left="132" w:right="100"/>
              <w:jc w:val="center"/>
              <w:rPr>
                <w:sz w:val="20"/>
              </w:rPr>
            </w:pPr>
            <w:r>
              <w:rPr>
                <w:spacing w:val="-5"/>
                <w:sz w:val="20"/>
              </w:rPr>
              <w:t>63</w:t>
            </w:r>
          </w:p>
        </w:tc>
        <w:tc>
          <w:tcPr>
            <w:tcW w:w="1209" w:type="dxa"/>
            <w:shd w:val="clear" w:color="auto" w:fill="D0D5CD"/>
          </w:tcPr>
          <w:p>
            <w:pPr>
              <w:pStyle w:val="TableParagraph"/>
              <w:ind w:right="353"/>
              <w:jc w:val="right"/>
              <w:rPr>
                <w:sz w:val="20"/>
              </w:rPr>
            </w:pPr>
            <w:r>
              <w:rPr>
                <w:spacing w:val="-5"/>
                <w:sz w:val="20"/>
              </w:rPr>
              <w:t>46</w:t>
            </w:r>
          </w:p>
        </w:tc>
        <w:tc>
          <w:tcPr>
            <w:tcW w:w="879" w:type="dxa"/>
            <w:shd w:val="clear" w:color="auto" w:fill="D0D5CD"/>
          </w:tcPr>
          <w:p>
            <w:pPr>
              <w:pStyle w:val="TableParagraph"/>
              <w:ind w:right="159"/>
              <w:jc w:val="right"/>
              <w:rPr>
                <w:sz w:val="20"/>
              </w:rPr>
            </w:pPr>
            <w:r>
              <w:rPr>
                <w:spacing w:val="-4"/>
                <w:sz w:val="20"/>
              </w:rPr>
              <w:t>1156</w:t>
            </w:r>
          </w:p>
        </w:tc>
      </w:tr>
      <w:tr>
        <w:trPr>
          <w:trHeight w:val="321" w:hRule="atLeast"/>
        </w:trPr>
        <w:tc>
          <w:tcPr>
            <w:tcW w:w="4694" w:type="dxa"/>
            <w:shd w:val="clear" w:color="auto" w:fill="E9E9E9"/>
          </w:tcPr>
          <w:p>
            <w:pPr>
              <w:pStyle w:val="TableParagraph"/>
              <w:ind w:left="90"/>
              <w:rPr>
                <w:sz w:val="20"/>
              </w:rPr>
            </w:pPr>
            <w:r>
              <w:rPr>
                <w:spacing w:val="-4"/>
                <w:sz w:val="20"/>
              </w:rPr>
              <w:t>Tamil</w:t>
            </w:r>
            <w:r>
              <w:rPr>
                <w:sz w:val="20"/>
              </w:rPr>
              <w:t> </w:t>
            </w:r>
            <w:r>
              <w:rPr>
                <w:spacing w:val="-4"/>
                <w:sz w:val="20"/>
              </w:rPr>
              <w:t>Nadu</w:t>
            </w:r>
            <w:r>
              <w:rPr>
                <w:sz w:val="20"/>
              </w:rPr>
              <w:t> </w:t>
            </w:r>
            <w:r>
              <w:rPr>
                <w:spacing w:val="-4"/>
                <w:sz w:val="20"/>
              </w:rPr>
              <w:t>Open</w:t>
            </w:r>
            <w:r>
              <w:rPr>
                <w:spacing w:val="1"/>
                <w:sz w:val="20"/>
              </w:rPr>
              <w:t> </w:t>
            </w:r>
            <w:r>
              <w:rPr>
                <w:spacing w:val="-4"/>
                <w:sz w:val="20"/>
              </w:rPr>
              <w:t>University,</w:t>
            </w:r>
            <w:r>
              <w:rPr>
                <w:sz w:val="20"/>
              </w:rPr>
              <w:t> </w:t>
            </w:r>
            <w:r>
              <w:rPr>
                <w:spacing w:val="-4"/>
                <w:sz w:val="20"/>
              </w:rPr>
              <w:t>Chennai</w:t>
            </w:r>
          </w:p>
        </w:tc>
        <w:tc>
          <w:tcPr>
            <w:tcW w:w="1059" w:type="dxa"/>
            <w:shd w:val="clear" w:color="auto" w:fill="E9E9E9"/>
          </w:tcPr>
          <w:p>
            <w:pPr>
              <w:pStyle w:val="TableParagraph"/>
              <w:ind w:left="298"/>
              <w:rPr>
                <w:sz w:val="20"/>
              </w:rPr>
            </w:pPr>
            <w:r>
              <w:rPr>
                <w:spacing w:val="-4"/>
                <w:sz w:val="20"/>
              </w:rPr>
              <w:t>9361</w:t>
            </w:r>
          </w:p>
        </w:tc>
        <w:tc>
          <w:tcPr>
            <w:tcW w:w="909" w:type="dxa"/>
            <w:shd w:val="clear" w:color="auto" w:fill="E9E9E9"/>
          </w:tcPr>
          <w:p>
            <w:pPr>
              <w:pStyle w:val="TableParagraph"/>
              <w:ind w:right="173"/>
              <w:jc w:val="right"/>
              <w:rPr>
                <w:sz w:val="20"/>
              </w:rPr>
            </w:pPr>
            <w:r>
              <w:rPr>
                <w:spacing w:val="-4"/>
                <w:sz w:val="20"/>
              </w:rPr>
              <w:t>9361</w:t>
            </w:r>
          </w:p>
        </w:tc>
        <w:tc>
          <w:tcPr>
            <w:tcW w:w="949" w:type="dxa"/>
            <w:shd w:val="clear" w:color="auto" w:fill="E9E9E9"/>
          </w:tcPr>
          <w:p>
            <w:pPr>
              <w:pStyle w:val="TableParagraph"/>
              <w:ind w:left="132" w:right="100"/>
              <w:jc w:val="center"/>
              <w:rPr>
                <w:sz w:val="20"/>
              </w:rPr>
            </w:pPr>
            <w:r>
              <w:rPr>
                <w:spacing w:val="-5"/>
                <w:sz w:val="20"/>
              </w:rPr>
              <w:t>20</w:t>
            </w:r>
          </w:p>
        </w:tc>
        <w:tc>
          <w:tcPr>
            <w:tcW w:w="1209" w:type="dxa"/>
            <w:shd w:val="clear" w:color="auto" w:fill="E9E9E9"/>
          </w:tcPr>
          <w:p>
            <w:pPr>
              <w:pStyle w:val="TableParagraph"/>
              <w:ind w:right="353"/>
              <w:jc w:val="right"/>
              <w:rPr>
                <w:sz w:val="20"/>
              </w:rPr>
            </w:pPr>
            <w:r>
              <w:rPr>
                <w:spacing w:val="-2"/>
                <w:sz w:val="20"/>
              </w:rPr>
              <w:t>192.9</w:t>
            </w:r>
          </w:p>
        </w:tc>
        <w:tc>
          <w:tcPr>
            <w:tcW w:w="879" w:type="dxa"/>
            <w:shd w:val="clear" w:color="auto" w:fill="E9E9E9"/>
          </w:tcPr>
          <w:p>
            <w:pPr>
              <w:pStyle w:val="TableParagraph"/>
              <w:ind w:right="159"/>
              <w:jc w:val="right"/>
              <w:rPr>
                <w:sz w:val="20"/>
              </w:rPr>
            </w:pPr>
            <w:r>
              <w:rPr>
                <w:spacing w:val="-2"/>
                <w:sz w:val="20"/>
              </w:rPr>
              <w:t>192.9</w:t>
            </w:r>
          </w:p>
        </w:tc>
      </w:tr>
      <w:tr>
        <w:trPr>
          <w:trHeight w:val="321" w:hRule="atLeast"/>
        </w:trPr>
        <w:tc>
          <w:tcPr>
            <w:tcW w:w="4694" w:type="dxa"/>
            <w:shd w:val="clear" w:color="auto" w:fill="D0D5CD"/>
          </w:tcPr>
          <w:p>
            <w:pPr>
              <w:pStyle w:val="TableParagraph"/>
              <w:spacing w:before="0"/>
              <w:rPr>
                <w:sz w:val="20"/>
              </w:rPr>
            </w:pPr>
          </w:p>
        </w:tc>
        <w:tc>
          <w:tcPr>
            <w:tcW w:w="2917" w:type="dxa"/>
            <w:gridSpan w:val="3"/>
            <w:shd w:val="clear" w:color="auto" w:fill="D0D5CD"/>
          </w:tcPr>
          <w:p>
            <w:pPr>
              <w:pStyle w:val="TableParagraph"/>
              <w:spacing w:before="43"/>
              <w:ind w:left="574"/>
              <w:rPr>
                <w:i/>
                <w:sz w:val="20"/>
              </w:rPr>
            </w:pPr>
            <w:r>
              <w:rPr>
                <w:i/>
                <w:w w:val="90"/>
                <w:position w:val="7"/>
                <w:sz w:val="11"/>
              </w:rPr>
              <w:t>#</w:t>
            </w:r>
            <w:r>
              <w:rPr>
                <w:i/>
                <w:w w:val="90"/>
                <w:sz w:val="20"/>
              </w:rPr>
              <w:t>Budget</w:t>
            </w:r>
            <w:r>
              <w:rPr>
                <w:i/>
                <w:spacing w:val="3"/>
                <w:sz w:val="20"/>
              </w:rPr>
              <w:t> </w:t>
            </w:r>
            <w:r>
              <w:rPr>
                <w:i/>
                <w:w w:val="90"/>
                <w:sz w:val="20"/>
              </w:rPr>
              <w:t>plan</w:t>
            </w:r>
            <w:r>
              <w:rPr>
                <w:i/>
                <w:spacing w:val="3"/>
                <w:sz w:val="20"/>
              </w:rPr>
              <w:t> </w:t>
            </w:r>
            <w:r>
              <w:rPr>
                <w:i/>
                <w:w w:val="90"/>
                <w:sz w:val="20"/>
              </w:rPr>
              <w:t>+</w:t>
            </w:r>
            <w:r>
              <w:rPr>
                <w:i/>
                <w:spacing w:val="3"/>
                <w:sz w:val="20"/>
              </w:rPr>
              <w:t> </w:t>
            </w:r>
            <w:r>
              <w:rPr>
                <w:i/>
                <w:w w:val="90"/>
                <w:sz w:val="20"/>
              </w:rPr>
              <w:t>non</w:t>
            </w:r>
            <w:r>
              <w:rPr>
                <w:i/>
                <w:spacing w:val="3"/>
                <w:sz w:val="20"/>
              </w:rPr>
              <w:t> </w:t>
            </w:r>
            <w:r>
              <w:rPr>
                <w:i/>
                <w:spacing w:val="-4"/>
                <w:w w:val="90"/>
                <w:sz w:val="20"/>
              </w:rPr>
              <w:t>plan</w:t>
            </w:r>
          </w:p>
        </w:tc>
        <w:tc>
          <w:tcPr>
            <w:tcW w:w="2088" w:type="dxa"/>
            <w:gridSpan w:val="2"/>
            <w:shd w:val="clear" w:color="auto" w:fill="D0D5CD"/>
          </w:tcPr>
          <w:p>
            <w:pPr>
              <w:pStyle w:val="TableParagraph"/>
              <w:ind w:left="558"/>
              <w:rPr>
                <w:sz w:val="20"/>
              </w:rPr>
            </w:pPr>
            <w:r>
              <w:rPr>
                <w:spacing w:val="-2"/>
                <w:sz w:val="20"/>
              </w:rPr>
              <w:t>*</w:t>
            </w:r>
            <w:r>
              <w:rPr>
                <w:spacing w:val="-11"/>
                <w:sz w:val="20"/>
              </w:rPr>
              <w:t> </w:t>
            </w:r>
            <w:r>
              <w:rPr>
                <w:spacing w:val="-2"/>
                <w:sz w:val="20"/>
              </w:rPr>
              <w:t>in</w:t>
            </w:r>
            <w:r>
              <w:rPr>
                <w:spacing w:val="-10"/>
                <w:sz w:val="20"/>
              </w:rPr>
              <w:t> </w:t>
            </w:r>
            <w:r>
              <w:rPr>
                <w:spacing w:val="-2"/>
                <w:sz w:val="20"/>
              </w:rPr>
              <w:t>Rs</w:t>
            </w:r>
            <w:r>
              <w:rPr>
                <w:spacing w:val="-11"/>
                <w:sz w:val="20"/>
              </w:rPr>
              <w:t> </w:t>
            </w:r>
            <w:r>
              <w:rPr>
                <w:spacing w:val="-4"/>
                <w:sz w:val="20"/>
              </w:rPr>
              <w:t>Lakh</w:t>
            </w:r>
          </w:p>
        </w:tc>
      </w:tr>
    </w:tbl>
    <w:p>
      <w:pPr>
        <w:spacing w:before="55"/>
        <w:ind w:left="1079" w:right="0" w:firstLine="0"/>
        <w:jc w:val="left"/>
        <w:rPr>
          <w:sz w:val="16"/>
        </w:rPr>
      </w:pPr>
      <w:r>
        <w:rPr>
          <w:i/>
          <w:spacing w:val="-6"/>
          <w:sz w:val="16"/>
        </w:rPr>
        <w:t>Source:</w:t>
      </w:r>
      <w:r>
        <w:rPr>
          <w:i/>
          <w:spacing w:val="9"/>
          <w:sz w:val="16"/>
        </w:rPr>
        <w:t> </w:t>
      </w:r>
      <w:r>
        <w:rPr>
          <w:spacing w:val="-6"/>
          <w:sz w:val="16"/>
        </w:rPr>
        <w:t>Distance</w:t>
      </w:r>
      <w:r>
        <w:rPr>
          <w:spacing w:val="10"/>
          <w:sz w:val="16"/>
        </w:rPr>
        <w:t> </w:t>
      </w:r>
      <w:r>
        <w:rPr>
          <w:spacing w:val="-6"/>
          <w:sz w:val="16"/>
        </w:rPr>
        <w:t>Education</w:t>
      </w:r>
      <w:r>
        <w:rPr>
          <w:spacing w:val="9"/>
          <w:sz w:val="16"/>
        </w:rPr>
        <w:t> </w:t>
      </w:r>
      <w:r>
        <w:rPr>
          <w:spacing w:val="-6"/>
          <w:sz w:val="16"/>
        </w:rPr>
        <w:t>Council</w:t>
      </w:r>
    </w:p>
    <w:p>
      <w:pPr>
        <w:spacing w:after="0"/>
        <w:jc w:val="left"/>
        <w:rPr>
          <w:sz w:val="16"/>
        </w:rPr>
        <w:sectPr>
          <w:type w:val="continuous"/>
          <w:pgSz w:w="11910" w:h="16840"/>
          <w:pgMar w:header="0" w:footer="675" w:top="1920" w:bottom="280" w:left="0" w:right="0"/>
        </w:sectPr>
      </w:pPr>
    </w:p>
    <w:p>
      <w:pPr>
        <w:pStyle w:val="BodyText"/>
        <w:spacing w:line="266" w:lineRule="auto" w:before="57"/>
        <w:ind w:left="1080"/>
        <w:jc w:val="both"/>
      </w:pPr>
      <w:r>
        <w:rPr>
          <w:spacing w:val="-6"/>
        </w:rPr>
        <w:t>correspondence courses must be made by universities to </w:t>
      </w:r>
      <w:r>
        <w:rPr>
          <w:spacing w:val="-2"/>
        </w:rPr>
        <w:t>improve</w:t>
      </w:r>
      <w:r>
        <w:rPr>
          <w:spacing w:val="-11"/>
        </w:rPr>
        <w:t> </w:t>
      </w:r>
      <w:r>
        <w:rPr>
          <w:spacing w:val="-2"/>
        </w:rPr>
        <w:t>resources,</w:t>
      </w:r>
      <w:r>
        <w:rPr>
          <w:spacing w:val="-11"/>
        </w:rPr>
        <w:t> </w:t>
      </w:r>
      <w:r>
        <w:rPr>
          <w:spacing w:val="-2"/>
        </w:rPr>
        <w:t>delivery</w:t>
      </w:r>
      <w:r>
        <w:rPr>
          <w:spacing w:val="-11"/>
        </w:rPr>
        <w:t> </w:t>
      </w:r>
      <w:r>
        <w:rPr>
          <w:spacing w:val="-2"/>
        </w:rPr>
        <w:t>and</w:t>
      </w:r>
      <w:r>
        <w:rPr>
          <w:spacing w:val="-11"/>
        </w:rPr>
        <w:t> </w:t>
      </w:r>
      <w:r>
        <w:rPr>
          <w:spacing w:val="-2"/>
        </w:rPr>
        <w:t>modes</w:t>
      </w:r>
      <w:r>
        <w:rPr>
          <w:spacing w:val="-11"/>
        </w:rPr>
        <w:t> </w:t>
      </w:r>
      <w:r>
        <w:rPr>
          <w:spacing w:val="-2"/>
        </w:rPr>
        <w:t>of</w:t>
      </w:r>
      <w:r>
        <w:rPr>
          <w:spacing w:val="-11"/>
        </w:rPr>
        <w:t> </w:t>
      </w:r>
      <w:r>
        <w:rPr>
          <w:spacing w:val="-2"/>
        </w:rPr>
        <w:t>pedagogical assistance</w:t>
      </w:r>
      <w:r>
        <w:rPr>
          <w:spacing w:val="-8"/>
        </w:rPr>
        <w:t> </w:t>
      </w:r>
      <w:r>
        <w:rPr>
          <w:spacing w:val="-2"/>
        </w:rPr>
        <w:t>and</w:t>
      </w:r>
      <w:r>
        <w:rPr>
          <w:spacing w:val="-8"/>
        </w:rPr>
        <w:t> </w:t>
      </w:r>
      <w:r>
        <w:rPr>
          <w:spacing w:val="-2"/>
        </w:rPr>
        <w:t>assessment.</w:t>
      </w:r>
    </w:p>
    <w:p>
      <w:pPr>
        <w:pStyle w:val="BodyText"/>
        <w:spacing w:before="25"/>
      </w:pPr>
    </w:p>
    <w:p>
      <w:pPr>
        <w:pStyle w:val="BodyText"/>
        <w:spacing w:line="266" w:lineRule="auto"/>
        <w:ind w:left="1080"/>
        <w:jc w:val="both"/>
      </w:pPr>
      <w:r>
        <w:rPr>
          <w:b/>
        </w:rPr>
        <w:t>International</w:t>
      </w:r>
      <w:r>
        <w:rPr>
          <w:b/>
          <w:spacing w:val="-2"/>
        </w:rPr>
        <w:t> </w:t>
      </w:r>
      <w:r>
        <w:rPr>
          <w:b/>
        </w:rPr>
        <w:t>comparisons:</w:t>
      </w:r>
      <w:r>
        <w:rPr>
          <w:b/>
          <w:spacing w:val="-2"/>
        </w:rPr>
        <w:t> </w:t>
      </w:r>
      <w:r>
        <w:rPr/>
        <w:t>Most</w:t>
      </w:r>
      <w:r>
        <w:rPr>
          <w:spacing w:val="-3"/>
        </w:rPr>
        <w:t> </w:t>
      </w:r>
      <w:r>
        <w:rPr/>
        <w:t>of</w:t>
      </w:r>
      <w:r>
        <w:rPr>
          <w:spacing w:val="-3"/>
        </w:rPr>
        <w:t> </w:t>
      </w:r>
      <w:r>
        <w:rPr/>
        <w:t>the</w:t>
      </w:r>
      <w:r>
        <w:rPr>
          <w:spacing w:val="-3"/>
        </w:rPr>
        <w:t> </w:t>
      </w:r>
      <w:r>
        <w:rPr/>
        <w:t>developing countries worldwide have realised the need for open universities.</w:t>
      </w:r>
      <w:r>
        <w:rPr>
          <w:spacing w:val="-2"/>
        </w:rPr>
        <w:t> </w:t>
      </w:r>
      <w:r>
        <w:rPr/>
        <w:t>Developed</w:t>
      </w:r>
      <w:r>
        <w:rPr>
          <w:spacing w:val="-2"/>
        </w:rPr>
        <w:t> </w:t>
      </w:r>
      <w:r>
        <w:rPr/>
        <w:t>countries</w:t>
      </w:r>
      <w:r>
        <w:rPr>
          <w:spacing w:val="-2"/>
        </w:rPr>
        <w:t> </w:t>
      </w:r>
      <w:r>
        <w:rPr/>
        <w:t>such</w:t>
      </w:r>
      <w:r>
        <w:rPr>
          <w:spacing w:val="-2"/>
        </w:rPr>
        <w:t> </w:t>
      </w:r>
      <w:r>
        <w:rPr/>
        <w:t>as</w:t>
      </w:r>
      <w:r>
        <w:rPr>
          <w:spacing w:val="-2"/>
        </w:rPr>
        <w:t> </w:t>
      </w:r>
      <w:r>
        <w:rPr/>
        <w:t>France</w:t>
      </w:r>
      <w:r>
        <w:rPr>
          <w:spacing w:val="-2"/>
        </w:rPr>
        <w:t> </w:t>
      </w:r>
      <w:r>
        <w:rPr/>
        <w:t>and </w:t>
      </w:r>
      <w:r>
        <w:rPr>
          <w:spacing w:val="-6"/>
        </w:rPr>
        <w:t>UK have pioneered open and distance education. United States</w:t>
      </w:r>
      <w:r>
        <w:rPr>
          <w:spacing w:val="-8"/>
        </w:rPr>
        <w:t> </w:t>
      </w:r>
      <w:r>
        <w:rPr>
          <w:spacing w:val="-6"/>
        </w:rPr>
        <w:t>remains</w:t>
      </w:r>
      <w:r>
        <w:rPr>
          <w:spacing w:val="-8"/>
        </w:rPr>
        <w:t> </w:t>
      </w:r>
      <w:r>
        <w:rPr>
          <w:spacing w:val="-6"/>
        </w:rPr>
        <w:t>the</w:t>
      </w:r>
      <w:r>
        <w:rPr>
          <w:spacing w:val="-8"/>
        </w:rPr>
        <w:t> </w:t>
      </w:r>
      <w:r>
        <w:rPr>
          <w:spacing w:val="-6"/>
        </w:rPr>
        <w:t>undisputed</w:t>
      </w:r>
      <w:r>
        <w:rPr>
          <w:spacing w:val="-7"/>
        </w:rPr>
        <w:t> </w:t>
      </w:r>
      <w:r>
        <w:rPr>
          <w:spacing w:val="-6"/>
        </w:rPr>
        <w:t>leader</w:t>
      </w:r>
      <w:r>
        <w:rPr>
          <w:spacing w:val="-8"/>
        </w:rPr>
        <w:t> </w:t>
      </w:r>
      <w:r>
        <w:rPr>
          <w:spacing w:val="-6"/>
        </w:rPr>
        <w:t>in</w:t>
      </w:r>
      <w:r>
        <w:rPr>
          <w:spacing w:val="-8"/>
        </w:rPr>
        <w:t> </w:t>
      </w:r>
      <w:r>
        <w:rPr>
          <w:spacing w:val="-6"/>
        </w:rPr>
        <w:t>online</w:t>
      </w:r>
      <w:r>
        <w:rPr>
          <w:spacing w:val="-8"/>
        </w:rPr>
        <w:t> </w:t>
      </w:r>
      <w:r>
        <w:rPr>
          <w:spacing w:val="-6"/>
        </w:rPr>
        <w:t>education. </w:t>
      </w:r>
      <w:r>
        <w:rPr>
          <w:spacing w:val="-8"/>
        </w:rPr>
        <w:t>Table</w:t>
      </w:r>
      <w:r>
        <w:rPr>
          <w:spacing w:val="-1"/>
        </w:rPr>
        <w:t> </w:t>
      </w:r>
      <w:r>
        <w:rPr>
          <w:spacing w:val="-8"/>
        </w:rPr>
        <w:t>18</w:t>
      </w:r>
      <w:r>
        <w:rPr>
          <w:spacing w:val="-1"/>
        </w:rPr>
        <w:t> </w:t>
      </w:r>
      <w:r>
        <w:rPr>
          <w:spacing w:val="-8"/>
        </w:rPr>
        <w:t>below</w:t>
      </w:r>
      <w:r>
        <w:rPr>
          <w:spacing w:val="-1"/>
        </w:rPr>
        <w:t> </w:t>
      </w:r>
      <w:r>
        <w:rPr>
          <w:spacing w:val="-8"/>
        </w:rPr>
        <w:t>lists</w:t>
      </w:r>
      <w:r>
        <w:rPr>
          <w:spacing w:val="-1"/>
        </w:rPr>
        <w:t> </w:t>
      </w:r>
      <w:r>
        <w:rPr>
          <w:i/>
          <w:spacing w:val="-8"/>
        </w:rPr>
        <w:t>mega</w:t>
      </w:r>
      <w:r>
        <w:rPr>
          <w:i/>
          <w:spacing w:val="-1"/>
        </w:rPr>
        <w:t> </w:t>
      </w:r>
      <w:r>
        <w:rPr>
          <w:spacing w:val="-8"/>
        </w:rPr>
        <w:t>open</w:t>
      </w:r>
      <w:r>
        <w:rPr>
          <w:spacing w:val="-1"/>
        </w:rPr>
        <w:t> </w:t>
      </w:r>
      <w:r>
        <w:rPr>
          <w:spacing w:val="-8"/>
        </w:rPr>
        <w:t>universities</w:t>
      </w:r>
      <w:r>
        <w:rPr>
          <w:spacing w:val="-1"/>
        </w:rPr>
        <w:t> </w:t>
      </w:r>
      <w:r>
        <w:rPr>
          <w:spacing w:val="-8"/>
        </w:rPr>
        <w:t>of</w:t>
      </w:r>
      <w:r>
        <w:rPr>
          <w:spacing w:val="-1"/>
        </w:rPr>
        <w:t> </w:t>
      </w:r>
      <w:r>
        <w:rPr>
          <w:spacing w:val="-8"/>
        </w:rPr>
        <w:t>the</w:t>
      </w:r>
      <w:r>
        <w:rPr>
          <w:spacing w:val="-1"/>
        </w:rPr>
        <w:t> </w:t>
      </w:r>
      <w:r>
        <w:rPr>
          <w:spacing w:val="-8"/>
        </w:rPr>
        <w:t>world, </w:t>
      </w:r>
      <w:r>
        <w:rPr/>
        <w:t>along</w:t>
      </w:r>
      <w:r>
        <w:rPr>
          <w:spacing w:val="-2"/>
        </w:rPr>
        <w:t> </w:t>
      </w:r>
      <w:r>
        <w:rPr/>
        <w:t>with</w:t>
      </w:r>
      <w:r>
        <w:rPr>
          <w:spacing w:val="-2"/>
        </w:rPr>
        <w:t> </w:t>
      </w:r>
      <w:r>
        <w:rPr/>
        <w:t>enrolments</w:t>
      </w:r>
      <w:r>
        <w:rPr>
          <w:spacing w:val="-2"/>
        </w:rPr>
        <w:t> </w:t>
      </w:r>
      <w:r>
        <w:rPr/>
        <w:t>and</w:t>
      </w:r>
      <w:r>
        <w:rPr>
          <w:spacing w:val="-2"/>
        </w:rPr>
        <w:t> </w:t>
      </w:r>
      <w:r>
        <w:rPr/>
        <w:t>budget.</w:t>
      </w:r>
    </w:p>
    <w:p>
      <w:pPr>
        <w:pStyle w:val="Heading6"/>
        <w:spacing w:before="181"/>
        <w:ind w:left="1079" w:firstLine="0"/>
        <w:jc w:val="both"/>
      </w:pPr>
      <w:r>
        <w:rPr>
          <w:color w:val="2E614A"/>
          <w:w w:val="90"/>
        </w:rPr>
        <w:t>Issues</w:t>
      </w:r>
      <w:r>
        <w:rPr>
          <w:color w:val="2E614A"/>
          <w:spacing w:val="4"/>
        </w:rPr>
        <w:t> </w:t>
      </w:r>
      <w:r>
        <w:rPr>
          <w:color w:val="2E614A"/>
          <w:w w:val="90"/>
        </w:rPr>
        <w:t>in</w:t>
      </w:r>
      <w:r>
        <w:rPr>
          <w:color w:val="2E614A"/>
          <w:spacing w:val="4"/>
        </w:rPr>
        <w:t> </w:t>
      </w:r>
      <w:r>
        <w:rPr>
          <w:color w:val="2E614A"/>
          <w:w w:val="90"/>
        </w:rPr>
        <w:t>the</w:t>
      </w:r>
      <w:r>
        <w:rPr>
          <w:color w:val="2E614A"/>
          <w:spacing w:val="4"/>
        </w:rPr>
        <w:t> </w:t>
      </w:r>
      <w:r>
        <w:rPr>
          <w:color w:val="2E614A"/>
          <w:w w:val="90"/>
        </w:rPr>
        <w:t>Current</w:t>
      </w:r>
      <w:r>
        <w:rPr>
          <w:color w:val="2E614A"/>
          <w:spacing w:val="5"/>
        </w:rPr>
        <w:t> </w:t>
      </w:r>
      <w:r>
        <w:rPr>
          <w:color w:val="2E614A"/>
          <w:spacing w:val="-2"/>
          <w:w w:val="90"/>
        </w:rPr>
        <w:t>Framework</w:t>
      </w:r>
    </w:p>
    <w:p>
      <w:pPr>
        <w:pStyle w:val="ListParagraph"/>
        <w:numPr>
          <w:ilvl w:val="0"/>
          <w:numId w:val="71"/>
        </w:numPr>
        <w:tabs>
          <w:tab w:pos="1330" w:val="left" w:leader="none"/>
        </w:tabs>
        <w:spacing w:line="266" w:lineRule="auto" w:before="285" w:after="0"/>
        <w:ind w:left="1080" w:right="0" w:firstLine="0"/>
        <w:jc w:val="both"/>
        <w:rPr>
          <w:sz w:val="22"/>
        </w:rPr>
      </w:pPr>
      <w:r>
        <w:rPr>
          <w:b/>
          <w:spacing w:val="-6"/>
          <w:sz w:val="22"/>
        </w:rPr>
        <w:t>The</w:t>
      </w:r>
      <w:r>
        <w:rPr>
          <w:b/>
          <w:spacing w:val="-8"/>
          <w:sz w:val="22"/>
        </w:rPr>
        <w:t> </w:t>
      </w:r>
      <w:r>
        <w:rPr>
          <w:b/>
          <w:spacing w:val="-6"/>
          <w:sz w:val="22"/>
        </w:rPr>
        <w:t>same</w:t>
      </w:r>
      <w:r>
        <w:rPr>
          <w:b/>
          <w:spacing w:val="-8"/>
          <w:sz w:val="22"/>
        </w:rPr>
        <w:t> </w:t>
      </w:r>
      <w:r>
        <w:rPr>
          <w:b/>
          <w:spacing w:val="-6"/>
          <w:sz w:val="22"/>
        </w:rPr>
        <w:t>form</w:t>
      </w:r>
      <w:r>
        <w:rPr>
          <w:b/>
          <w:spacing w:val="-8"/>
          <w:sz w:val="22"/>
        </w:rPr>
        <w:t> </w:t>
      </w:r>
      <w:r>
        <w:rPr>
          <w:b/>
          <w:spacing w:val="-6"/>
          <w:sz w:val="22"/>
        </w:rPr>
        <w:t>and</w:t>
      </w:r>
      <w:r>
        <w:rPr>
          <w:b/>
          <w:spacing w:val="-7"/>
          <w:sz w:val="22"/>
        </w:rPr>
        <w:t> </w:t>
      </w:r>
      <w:r>
        <w:rPr>
          <w:b/>
          <w:spacing w:val="-6"/>
          <w:sz w:val="22"/>
        </w:rPr>
        <w:t>structure</w:t>
      </w:r>
      <w:r>
        <w:rPr>
          <w:b/>
          <w:spacing w:val="-8"/>
          <w:sz w:val="22"/>
        </w:rPr>
        <w:t> </w:t>
      </w:r>
      <w:r>
        <w:rPr>
          <w:b/>
          <w:spacing w:val="-6"/>
          <w:sz w:val="22"/>
        </w:rPr>
        <w:t>of</w:t>
      </w:r>
      <w:r>
        <w:rPr>
          <w:b/>
          <w:spacing w:val="-8"/>
          <w:sz w:val="22"/>
        </w:rPr>
        <w:t> </w:t>
      </w:r>
      <w:r>
        <w:rPr>
          <w:b/>
          <w:spacing w:val="-6"/>
          <w:sz w:val="22"/>
        </w:rPr>
        <w:t>degree</w:t>
      </w:r>
      <w:r>
        <w:rPr>
          <w:b/>
          <w:spacing w:val="-8"/>
          <w:sz w:val="22"/>
        </w:rPr>
        <w:t> </w:t>
      </w:r>
      <w:r>
        <w:rPr>
          <w:b/>
          <w:spacing w:val="-6"/>
          <w:sz w:val="22"/>
        </w:rPr>
        <w:t>programs: </w:t>
      </w:r>
      <w:r>
        <w:rPr>
          <w:sz w:val="22"/>
        </w:rPr>
        <w:t>Open and distance education imparted in open universities system has evolved alternative delivery </w:t>
      </w:r>
      <w:r>
        <w:rPr>
          <w:spacing w:val="-2"/>
          <w:sz w:val="22"/>
        </w:rPr>
        <w:t>modes</w:t>
      </w:r>
      <w:r>
        <w:rPr>
          <w:spacing w:val="-12"/>
          <w:sz w:val="22"/>
        </w:rPr>
        <w:t> </w:t>
      </w:r>
      <w:r>
        <w:rPr>
          <w:spacing w:val="-2"/>
          <w:sz w:val="22"/>
        </w:rPr>
        <w:t>with</w:t>
      </w:r>
      <w:r>
        <w:rPr>
          <w:spacing w:val="-12"/>
          <w:sz w:val="22"/>
        </w:rPr>
        <w:t> </w:t>
      </w:r>
      <w:r>
        <w:rPr>
          <w:spacing w:val="-2"/>
          <w:sz w:val="22"/>
        </w:rPr>
        <w:t>a</w:t>
      </w:r>
      <w:r>
        <w:rPr>
          <w:spacing w:val="-12"/>
          <w:sz w:val="22"/>
        </w:rPr>
        <w:t> </w:t>
      </w:r>
      <w:r>
        <w:rPr>
          <w:spacing w:val="-2"/>
          <w:sz w:val="22"/>
        </w:rPr>
        <w:t>lot</w:t>
      </w:r>
      <w:r>
        <w:rPr>
          <w:spacing w:val="-11"/>
          <w:sz w:val="22"/>
        </w:rPr>
        <w:t> </w:t>
      </w:r>
      <w:r>
        <w:rPr>
          <w:spacing w:val="-2"/>
          <w:sz w:val="22"/>
        </w:rPr>
        <w:t>of</w:t>
      </w:r>
      <w:r>
        <w:rPr>
          <w:spacing w:val="-12"/>
          <w:sz w:val="22"/>
        </w:rPr>
        <w:t> </w:t>
      </w:r>
      <w:r>
        <w:rPr>
          <w:spacing w:val="-2"/>
          <w:sz w:val="22"/>
        </w:rPr>
        <w:t>flexibility.</w:t>
      </w:r>
      <w:r>
        <w:rPr>
          <w:spacing w:val="-12"/>
          <w:sz w:val="22"/>
        </w:rPr>
        <w:t> </w:t>
      </w:r>
      <w:r>
        <w:rPr>
          <w:spacing w:val="-2"/>
          <w:sz w:val="22"/>
        </w:rPr>
        <w:t>However,</w:t>
      </w:r>
      <w:r>
        <w:rPr>
          <w:spacing w:val="-12"/>
          <w:sz w:val="22"/>
        </w:rPr>
        <w:t> </w:t>
      </w:r>
      <w:r>
        <w:rPr>
          <w:spacing w:val="-2"/>
          <w:sz w:val="22"/>
        </w:rPr>
        <w:t>it</w:t>
      </w:r>
      <w:r>
        <w:rPr>
          <w:spacing w:val="-11"/>
          <w:sz w:val="22"/>
        </w:rPr>
        <w:t> </w:t>
      </w:r>
      <w:r>
        <w:rPr>
          <w:spacing w:val="-2"/>
          <w:sz w:val="22"/>
        </w:rPr>
        <w:t>has</w:t>
      </w:r>
      <w:r>
        <w:rPr>
          <w:spacing w:val="-12"/>
          <w:sz w:val="22"/>
        </w:rPr>
        <w:t> </w:t>
      </w:r>
      <w:r>
        <w:rPr>
          <w:spacing w:val="-2"/>
          <w:sz w:val="22"/>
        </w:rPr>
        <w:t>retained </w:t>
      </w:r>
      <w:r>
        <w:rPr>
          <w:spacing w:val="-6"/>
          <w:sz w:val="22"/>
        </w:rPr>
        <w:t>the same form and structure, eventually culminating in a </w:t>
      </w:r>
      <w:r>
        <w:rPr>
          <w:spacing w:val="-4"/>
          <w:sz w:val="22"/>
        </w:rPr>
        <w:t>degree</w:t>
      </w:r>
      <w:r>
        <w:rPr>
          <w:spacing w:val="-10"/>
          <w:sz w:val="22"/>
        </w:rPr>
        <w:t> </w:t>
      </w:r>
      <w:r>
        <w:rPr>
          <w:spacing w:val="-4"/>
          <w:sz w:val="22"/>
        </w:rPr>
        <w:t>or</w:t>
      </w:r>
      <w:r>
        <w:rPr>
          <w:spacing w:val="-10"/>
          <w:sz w:val="22"/>
        </w:rPr>
        <w:t> </w:t>
      </w:r>
      <w:r>
        <w:rPr>
          <w:spacing w:val="-4"/>
          <w:sz w:val="22"/>
        </w:rPr>
        <w:t>diploma</w:t>
      </w:r>
      <w:r>
        <w:rPr>
          <w:spacing w:val="-10"/>
          <w:sz w:val="22"/>
        </w:rPr>
        <w:t> </w:t>
      </w:r>
      <w:r>
        <w:rPr>
          <w:spacing w:val="-4"/>
          <w:sz w:val="22"/>
        </w:rPr>
        <w:t>certification.</w:t>
      </w:r>
      <w:r>
        <w:rPr>
          <w:spacing w:val="-9"/>
          <w:sz w:val="22"/>
        </w:rPr>
        <w:t> </w:t>
      </w:r>
      <w:r>
        <w:rPr>
          <w:spacing w:val="-4"/>
          <w:sz w:val="22"/>
        </w:rPr>
        <w:t>Though</w:t>
      </w:r>
      <w:r>
        <w:rPr>
          <w:spacing w:val="-10"/>
          <w:sz w:val="22"/>
        </w:rPr>
        <w:t> </w:t>
      </w:r>
      <w:r>
        <w:rPr>
          <w:spacing w:val="-4"/>
          <w:sz w:val="22"/>
        </w:rPr>
        <w:t>this</w:t>
      </w:r>
      <w:r>
        <w:rPr>
          <w:spacing w:val="-10"/>
          <w:sz w:val="22"/>
        </w:rPr>
        <w:t> </w:t>
      </w:r>
      <w:r>
        <w:rPr>
          <w:spacing w:val="-4"/>
          <w:sz w:val="22"/>
        </w:rPr>
        <w:t>is</w:t>
      </w:r>
      <w:r>
        <w:rPr>
          <w:spacing w:val="-10"/>
          <w:sz w:val="22"/>
        </w:rPr>
        <w:t> </w:t>
      </w:r>
      <w:r>
        <w:rPr>
          <w:spacing w:val="-4"/>
          <w:sz w:val="22"/>
        </w:rPr>
        <w:t>followed </w:t>
      </w:r>
      <w:r>
        <w:rPr>
          <w:sz w:val="22"/>
        </w:rPr>
        <w:t>to retain recognition from employers and acceptance from</w:t>
      </w:r>
      <w:r>
        <w:rPr>
          <w:spacing w:val="-13"/>
          <w:sz w:val="22"/>
        </w:rPr>
        <w:t> </w:t>
      </w:r>
      <w:r>
        <w:rPr>
          <w:sz w:val="22"/>
        </w:rPr>
        <w:t>society,</w:t>
      </w:r>
      <w:r>
        <w:rPr>
          <w:spacing w:val="-13"/>
          <w:sz w:val="22"/>
        </w:rPr>
        <w:t> </w:t>
      </w:r>
      <w:r>
        <w:rPr>
          <w:sz w:val="22"/>
        </w:rPr>
        <w:t>it</w:t>
      </w:r>
      <w:r>
        <w:rPr>
          <w:spacing w:val="-13"/>
          <w:sz w:val="22"/>
        </w:rPr>
        <w:t> </w:t>
      </w:r>
      <w:r>
        <w:rPr>
          <w:sz w:val="22"/>
        </w:rPr>
        <w:t>has</w:t>
      </w:r>
      <w:r>
        <w:rPr>
          <w:spacing w:val="-13"/>
          <w:sz w:val="22"/>
        </w:rPr>
        <w:t> </w:t>
      </w:r>
      <w:r>
        <w:rPr>
          <w:sz w:val="22"/>
        </w:rPr>
        <w:t>not</w:t>
      </w:r>
      <w:r>
        <w:rPr>
          <w:spacing w:val="-13"/>
          <w:sz w:val="22"/>
        </w:rPr>
        <w:t> </w:t>
      </w:r>
      <w:r>
        <w:rPr>
          <w:sz w:val="22"/>
        </w:rPr>
        <w:t>made</w:t>
      </w:r>
      <w:r>
        <w:rPr>
          <w:spacing w:val="-13"/>
          <w:sz w:val="22"/>
        </w:rPr>
        <w:t> </w:t>
      </w:r>
      <w:r>
        <w:rPr>
          <w:sz w:val="22"/>
        </w:rPr>
        <w:t>the</w:t>
      </w:r>
      <w:r>
        <w:rPr>
          <w:spacing w:val="-13"/>
          <w:sz w:val="22"/>
        </w:rPr>
        <w:t> </w:t>
      </w:r>
      <w:r>
        <w:rPr>
          <w:sz w:val="22"/>
        </w:rPr>
        <w:t>system</w:t>
      </w:r>
      <w:r>
        <w:rPr>
          <w:spacing w:val="-13"/>
          <w:sz w:val="22"/>
        </w:rPr>
        <w:t> </w:t>
      </w:r>
      <w:r>
        <w:rPr>
          <w:sz w:val="22"/>
        </w:rPr>
        <w:t>responsive</w:t>
      </w:r>
      <w:r>
        <w:rPr>
          <w:spacing w:val="-13"/>
          <w:sz w:val="22"/>
        </w:rPr>
        <w:t> </w:t>
      </w:r>
      <w:r>
        <w:rPr>
          <w:sz w:val="22"/>
        </w:rPr>
        <w:t>to the dynamic developmental needs of the people.</w:t>
      </w:r>
    </w:p>
    <w:p>
      <w:pPr>
        <w:pStyle w:val="BodyText"/>
        <w:spacing w:before="20"/>
      </w:pPr>
    </w:p>
    <w:p>
      <w:pPr>
        <w:pStyle w:val="ListParagraph"/>
        <w:numPr>
          <w:ilvl w:val="0"/>
          <w:numId w:val="71"/>
        </w:numPr>
        <w:tabs>
          <w:tab w:pos="1295" w:val="left" w:leader="none"/>
        </w:tabs>
        <w:spacing w:line="266" w:lineRule="auto" w:before="0" w:after="0"/>
        <w:ind w:left="1079" w:right="0" w:firstLine="0"/>
        <w:jc w:val="both"/>
        <w:rPr>
          <w:sz w:val="22"/>
        </w:rPr>
      </w:pPr>
      <w:r>
        <w:rPr>
          <w:b/>
          <w:w w:val="90"/>
          <w:sz w:val="22"/>
        </w:rPr>
        <w:t>Limited linkages with the workplace: </w:t>
      </w:r>
      <w:r>
        <w:rPr>
          <w:w w:val="90"/>
          <w:sz w:val="22"/>
        </w:rPr>
        <w:t>The emphasis </w:t>
      </w:r>
      <w:r>
        <w:rPr>
          <w:sz w:val="22"/>
        </w:rPr>
        <w:t>on people’s education with a focus on work related skills and productivity as expected in the Report of Education</w:t>
      </w:r>
      <w:r>
        <w:rPr>
          <w:spacing w:val="80"/>
          <w:sz w:val="22"/>
        </w:rPr>
        <w:t> </w:t>
      </w:r>
      <w:r>
        <w:rPr>
          <w:sz w:val="22"/>
        </w:rPr>
        <w:t>Commission</w:t>
      </w:r>
      <w:r>
        <w:rPr>
          <w:spacing w:val="80"/>
          <w:sz w:val="22"/>
        </w:rPr>
        <w:t> </w:t>
      </w:r>
      <w:r>
        <w:rPr>
          <w:sz w:val="22"/>
        </w:rPr>
        <w:t>(1964-66)</w:t>
      </w:r>
      <w:r>
        <w:rPr>
          <w:spacing w:val="80"/>
          <w:sz w:val="22"/>
        </w:rPr>
        <w:t> </w:t>
      </w:r>
      <w:r>
        <w:rPr>
          <w:sz w:val="22"/>
        </w:rPr>
        <w:t>on</w:t>
      </w:r>
      <w:r>
        <w:rPr>
          <w:spacing w:val="80"/>
          <w:sz w:val="22"/>
        </w:rPr>
        <w:t> </w:t>
      </w:r>
      <w:r>
        <w:rPr>
          <w:sz w:val="22"/>
        </w:rPr>
        <w:t>Education</w:t>
      </w:r>
    </w:p>
    <w:p>
      <w:pPr>
        <w:pStyle w:val="BodyText"/>
        <w:spacing w:line="266" w:lineRule="auto" w:before="57"/>
        <w:ind w:left="319" w:right="1077"/>
        <w:jc w:val="both"/>
      </w:pPr>
      <w:r>
        <w:rPr/>
        <w:br w:type="column"/>
      </w:r>
      <w:r>
        <w:rPr/>
        <w:t>and Development is yet to be achieved and built into the open and distance education system. Linking education</w:t>
      </w:r>
      <w:r>
        <w:rPr>
          <w:spacing w:val="-13"/>
        </w:rPr>
        <w:t> </w:t>
      </w:r>
      <w:r>
        <w:rPr/>
        <w:t>with</w:t>
      </w:r>
      <w:r>
        <w:rPr>
          <w:spacing w:val="-13"/>
        </w:rPr>
        <w:t> </w:t>
      </w:r>
      <w:r>
        <w:rPr/>
        <w:t>productivity</w:t>
      </w:r>
      <w:r>
        <w:rPr>
          <w:spacing w:val="-13"/>
        </w:rPr>
        <w:t> </w:t>
      </w:r>
      <w:r>
        <w:rPr/>
        <w:t>demands</w:t>
      </w:r>
      <w:r>
        <w:rPr>
          <w:spacing w:val="-13"/>
        </w:rPr>
        <w:t> </w:t>
      </w:r>
      <w:r>
        <w:rPr/>
        <w:t>linking</w:t>
      </w:r>
      <w:r>
        <w:rPr>
          <w:spacing w:val="-13"/>
        </w:rPr>
        <w:t> </w:t>
      </w:r>
      <w:r>
        <w:rPr/>
        <w:t>learning with</w:t>
      </w:r>
      <w:r>
        <w:rPr>
          <w:spacing w:val="-14"/>
        </w:rPr>
        <w:t> </w:t>
      </w:r>
      <w:r>
        <w:rPr/>
        <w:t>workplace</w:t>
      </w:r>
      <w:r>
        <w:rPr>
          <w:spacing w:val="-14"/>
        </w:rPr>
        <w:t> </w:t>
      </w:r>
      <w:r>
        <w:rPr/>
        <w:t>based</w:t>
      </w:r>
      <w:r>
        <w:rPr>
          <w:spacing w:val="-14"/>
        </w:rPr>
        <w:t> </w:t>
      </w:r>
      <w:r>
        <w:rPr/>
        <w:t>training</w:t>
      </w:r>
      <w:r>
        <w:rPr>
          <w:spacing w:val="-13"/>
        </w:rPr>
        <w:t> </w:t>
      </w:r>
      <w:r>
        <w:rPr/>
        <w:t>and</w:t>
      </w:r>
      <w:r>
        <w:rPr>
          <w:spacing w:val="-14"/>
        </w:rPr>
        <w:t> </w:t>
      </w:r>
      <w:r>
        <w:rPr/>
        <w:t>education</w:t>
      </w:r>
      <w:r>
        <w:rPr>
          <w:spacing w:val="-14"/>
        </w:rPr>
        <w:t> </w:t>
      </w:r>
      <w:r>
        <w:rPr/>
        <w:t>for</w:t>
      </w:r>
      <w:r>
        <w:rPr>
          <w:spacing w:val="-14"/>
        </w:rPr>
        <w:t> </w:t>
      </w:r>
      <w:r>
        <w:rPr/>
        <w:t>value </w:t>
      </w:r>
      <w:r>
        <w:rPr>
          <w:spacing w:val="-2"/>
        </w:rPr>
        <w:t>addition.</w:t>
      </w:r>
    </w:p>
    <w:p>
      <w:pPr>
        <w:pStyle w:val="BodyText"/>
        <w:spacing w:before="23"/>
      </w:pPr>
    </w:p>
    <w:p>
      <w:pPr>
        <w:pStyle w:val="ListParagraph"/>
        <w:numPr>
          <w:ilvl w:val="0"/>
          <w:numId w:val="71"/>
        </w:numPr>
        <w:tabs>
          <w:tab w:pos="557" w:val="left" w:leader="none"/>
        </w:tabs>
        <w:spacing w:line="266" w:lineRule="auto" w:before="0" w:after="0"/>
        <w:ind w:left="319" w:right="1077" w:firstLine="0"/>
        <w:jc w:val="both"/>
        <w:rPr>
          <w:sz w:val="22"/>
        </w:rPr>
      </w:pPr>
      <w:r>
        <w:rPr>
          <w:b/>
          <w:spacing w:val="-6"/>
          <w:sz w:val="22"/>
        </w:rPr>
        <w:t>Limited coverage and access: </w:t>
      </w:r>
      <w:r>
        <w:rPr>
          <w:spacing w:val="-6"/>
          <w:sz w:val="22"/>
        </w:rPr>
        <w:t>Although the </w:t>
      </w:r>
      <w:r>
        <w:rPr>
          <w:spacing w:val="-6"/>
          <w:sz w:val="22"/>
        </w:rPr>
        <w:t>existing </w:t>
      </w:r>
      <w:r>
        <w:rPr>
          <w:sz w:val="22"/>
        </w:rPr>
        <w:t>size</w:t>
      </w:r>
      <w:r>
        <w:rPr>
          <w:spacing w:val="-1"/>
          <w:sz w:val="22"/>
        </w:rPr>
        <w:t> </w:t>
      </w:r>
      <w:r>
        <w:rPr>
          <w:sz w:val="22"/>
        </w:rPr>
        <w:t>and</w:t>
      </w:r>
      <w:r>
        <w:rPr>
          <w:spacing w:val="-1"/>
          <w:sz w:val="22"/>
        </w:rPr>
        <w:t> </w:t>
      </w:r>
      <w:r>
        <w:rPr>
          <w:sz w:val="22"/>
        </w:rPr>
        <w:t>the</w:t>
      </w:r>
      <w:r>
        <w:rPr>
          <w:spacing w:val="-1"/>
          <w:sz w:val="22"/>
        </w:rPr>
        <w:t> </w:t>
      </w:r>
      <w:r>
        <w:rPr>
          <w:sz w:val="22"/>
        </w:rPr>
        <w:t>share</w:t>
      </w:r>
      <w:r>
        <w:rPr>
          <w:spacing w:val="-1"/>
          <w:sz w:val="22"/>
        </w:rPr>
        <w:t> </w:t>
      </w:r>
      <w:r>
        <w:rPr>
          <w:sz w:val="22"/>
        </w:rPr>
        <w:t>of</w:t>
      </w:r>
      <w:r>
        <w:rPr>
          <w:spacing w:val="-1"/>
          <w:sz w:val="22"/>
        </w:rPr>
        <w:t> </w:t>
      </w:r>
      <w:r>
        <w:rPr>
          <w:sz w:val="22"/>
        </w:rPr>
        <w:t>the</w:t>
      </w:r>
      <w:r>
        <w:rPr>
          <w:spacing w:val="-1"/>
          <w:sz w:val="22"/>
        </w:rPr>
        <w:t> </w:t>
      </w:r>
      <w:r>
        <w:rPr>
          <w:sz w:val="22"/>
        </w:rPr>
        <w:t>open</w:t>
      </w:r>
      <w:r>
        <w:rPr>
          <w:spacing w:val="-1"/>
          <w:sz w:val="22"/>
        </w:rPr>
        <w:t> </w:t>
      </w:r>
      <w:r>
        <w:rPr>
          <w:sz w:val="22"/>
        </w:rPr>
        <w:t>and</w:t>
      </w:r>
      <w:r>
        <w:rPr>
          <w:spacing w:val="-1"/>
          <w:sz w:val="22"/>
        </w:rPr>
        <w:t> </w:t>
      </w:r>
      <w:r>
        <w:rPr>
          <w:sz w:val="22"/>
        </w:rPr>
        <w:t>distance</w:t>
      </w:r>
      <w:r>
        <w:rPr>
          <w:spacing w:val="-1"/>
          <w:sz w:val="22"/>
        </w:rPr>
        <w:t> </w:t>
      </w:r>
      <w:r>
        <w:rPr>
          <w:sz w:val="22"/>
        </w:rPr>
        <w:t>education system</w:t>
      </w:r>
      <w:r>
        <w:rPr>
          <w:spacing w:val="-6"/>
          <w:sz w:val="22"/>
        </w:rPr>
        <w:t> </w:t>
      </w:r>
      <w:r>
        <w:rPr>
          <w:sz w:val="22"/>
        </w:rPr>
        <w:t>in</w:t>
      </w:r>
      <w:r>
        <w:rPr>
          <w:spacing w:val="-6"/>
          <w:sz w:val="22"/>
        </w:rPr>
        <w:t> </w:t>
      </w:r>
      <w:r>
        <w:rPr>
          <w:sz w:val="22"/>
        </w:rPr>
        <w:t>higher</w:t>
      </w:r>
      <w:r>
        <w:rPr>
          <w:spacing w:val="-6"/>
          <w:sz w:val="22"/>
        </w:rPr>
        <w:t> </w:t>
      </w:r>
      <w:r>
        <w:rPr>
          <w:sz w:val="22"/>
        </w:rPr>
        <w:t>education</w:t>
      </w:r>
      <w:r>
        <w:rPr>
          <w:spacing w:val="-6"/>
          <w:sz w:val="22"/>
        </w:rPr>
        <w:t> </w:t>
      </w:r>
      <w:r>
        <w:rPr>
          <w:sz w:val="22"/>
        </w:rPr>
        <w:t>is</w:t>
      </w:r>
      <w:r>
        <w:rPr>
          <w:spacing w:val="-6"/>
          <w:sz w:val="22"/>
        </w:rPr>
        <w:t> </w:t>
      </w:r>
      <w:r>
        <w:rPr>
          <w:sz w:val="22"/>
        </w:rPr>
        <w:t>significant,</w:t>
      </w:r>
      <w:r>
        <w:rPr>
          <w:spacing w:val="-6"/>
          <w:sz w:val="22"/>
        </w:rPr>
        <w:t> </w:t>
      </w:r>
      <w:r>
        <w:rPr>
          <w:sz w:val="22"/>
        </w:rPr>
        <w:t>it</w:t>
      </w:r>
      <w:r>
        <w:rPr>
          <w:spacing w:val="-6"/>
          <w:sz w:val="22"/>
        </w:rPr>
        <w:t> </w:t>
      </w:r>
      <w:r>
        <w:rPr>
          <w:sz w:val="22"/>
        </w:rPr>
        <w:t>is</w:t>
      </w:r>
      <w:r>
        <w:rPr>
          <w:spacing w:val="-6"/>
          <w:sz w:val="22"/>
        </w:rPr>
        <w:t> </w:t>
      </w:r>
      <w:r>
        <w:rPr>
          <w:sz w:val="22"/>
        </w:rPr>
        <w:t>still</w:t>
      </w:r>
      <w:r>
        <w:rPr>
          <w:spacing w:val="-6"/>
          <w:sz w:val="22"/>
        </w:rPr>
        <w:t> </w:t>
      </w:r>
      <w:r>
        <w:rPr>
          <w:sz w:val="22"/>
        </w:rPr>
        <w:t>too </w:t>
      </w:r>
      <w:r>
        <w:rPr>
          <w:spacing w:val="-4"/>
          <w:sz w:val="22"/>
        </w:rPr>
        <w:t>small</w:t>
      </w:r>
      <w:r>
        <w:rPr>
          <w:spacing w:val="-8"/>
          <w:sz w:val="22"/>
        </w:rPr>
        <w:t> </w:t>
      </w:r>
      <w:r>
        <w:rPr>
          <w:spacing w:val="-4"/>
          <w:sz w:val="22"/>
        </w:rPr>
        <w:t>to</w:t>
      </w:r>
      <w:r>
        <w:rPr>
          <w:spacing w:val="-8"/>
          <w:sz w:val="22"/>
        </w:rPr>
        <w:t> </w:t>
      </w:r>
      <w:r>
        <w:rPr>
          <w:spacing w:val="-4"/>
          <w:sz w:val="22"/>
        </w:rPr>
        <w:t>support</w:t>
      </w:r>
      <w:r>
        <w:rPr>
          <w:spacing w:val="-8"/>
          <w:sz w:val="22"/>
        </w:rPr>
        <w:t> </w:t>
      </w:r>
      <w:r>
        <w:rPr>
          <w:spacing w:val="-4"/>
          <w:sz w:val="22"/>
        </w:rPr>
        <w:t>life-long</w:t>
      </w:r>
      <w:r>
        <w:rPr>
          <w:spacing w:val="-8"/>
          <w:sz w:val="22"/>
        </w:rPr>
        <w:t> </w:t>
      </w:r>
      <w:r>
        <w:rPr>
          <w:spacing w:val="-4"/>
          <w:sz w:val="22"/>
        </w:rPr>
        <w:t>learning</w:t>
      </w:r>
      <w:r>
        <w:rPr>
          <w:spacing w:val="-8"/>
          <w:sz w:val="22"/>
        </w:rPr>
        <w:t> </w:t>
      </w:r>
      <w:r>
        <w:rPr>
          <w:spacing w:val="-4"/>
          <w:sz w:val="22"/>
        </w:rPr>
        <w:t>for</w:t>
      </w:r>
      <w:r>
        <w:rPr>
          <w:spacing w:val="-8"/>
          <w:sz w:val="22"/>
        </w:rPr>
        <w:t> </w:t>
      </w:r>
      <w:r>
        <w:rPr>
          <w:spacing w:val="-4"/>
          <w:sz w:val="22"/>
        </w:rPr>
        <w:t>the</w:t>
      </w:r>
      <w:r>
        <w:rPr>
          <w:spacing w:val="-8"/>
          <w:sz w:val="22"/>
        </w:rPr>
        <w:t> </w:t>
      </w:r>
      <w:r>
        <w:rPr>
          <w:spacing w:val="-4"/>
          <w:sz w:val="22"/>
        </w:rPr>
        <w:t>citizens</w:t>
      </w:r>
      <w:r>
        <w:rPr>
          <w:spacing w:val="-8"/>
          <w:sz w:val="22"/>
        </w:rPr>
        <w:t> </w:t>
      </w:r>
      <w:r>
        <w:rPr>
          <w:spacing w:val="-4"/>
          <w:sz w:val="22"/>
        </w:rPr>
        <w:t>of</w:t>
      </w:r>
      <w:r>
        <w:rPr>
          <w:spacing w:val="-8"/>
          <w:sz w:val="22"/>
        </w:rPr>
        <w:t> </w:t>
      </w:r>
      <w:r>
        <w:rPr>
          <w:spacing w:val="-4"/>
          <w:sz w:val="22"/>
        </w:rPr>
        <w:t>the </w:t>
      </w:r>
      <w:r>
        <w:rPr>
          <w:spacing w:val="-2"/>
          <w:sz w:val="22"/>
        </w:rPr>
        <w:t>country.</w:t>
      </w:r>
    </w:p>
    <w:p>
      <w:pPr>
        <w:pStyle w:val="BodyText"/>
        <w:spacing w:before="23"/>
      </w:pPr>
    </w:p>
    <w:p>
      <w:pPr>
        <w:pStyle w:val="ListParagraph"/>
        <w:numPr>
          <w:ilvl w:val="0"/>
          <w:numId w:val="71"/>
        </w:numPr>
        <w:tabs>
          <w:tab w:pos="604" w:val="left" w:leader="none"/>
        </w:tabs>
        <w:spacing w:line="266" w:lineRule="auto" w:before="0" w:after="0"/>
        <w:ind w:left="319" w:right="1077" w:firstLine="0"/>
        <w:jc w:val="both"/>
        <w:rPr>
          <w:sz w:val="22"/>
        </w:rPr>
      </w:pPr>
      <w:r>
        <w:rPr>
          <w:b/>
          <w:sz w:val="22"/>
        </w:rPr>
        <w:t>Lack of access to media: </w:t>
      </w:r>
      <w:r>
        <w:rPr>
          <w:sz w:val="22"/>
        </w:rPr>
        <w:t>Study texts form the main</w:t>
      </w:r>
      <w:r>
        <w:rPr>
          <w:spacing w:val="-1"/>
          <w:sz w:val="22"/>
        </w:rPr>
        <w:t> </w:t>
      </w:r>
      <w:r>
        <w:rPr>
          <w:sz w:val="22"/>
        </w:rPr>
        <w:t>study</w:t>
      </w:r>
      <w:r>
        <w:rPr>
          <w:spacing w:val="-1"/>
          <w:sz w:val="22"/>
        </w:rPr>
        <w:t> </w:t>
      </w:r>
      <w:r>
        <w:rPr>
          <w:sz w:val="22"/>
        </w:rPr>
        <w:t>materials</w:t>
      </w:r>
      <w:r>
        <w:rPr>
          <w:spacing w:val="-1"/>
          <w:sz w:val="22"/>
        </w:rPr>
        <w:t> </w:t>
      </w:r>
      <w:r>
        <w:rPr>
          <w:sz w:val="22"/>
        </w:rPr>
        <w:t>for</w:t>
      </w:r>
      <w:r>
        <w:rPr>
          <w:spacing w:val="-1"/>
          <w:sz w:val="22"/>
        </w:rPr>
        <w:t> </w:t>
      </w:r>
      <w:r>
        <w:rPr>
          <w:sz w:val="22"/>
        </w:rPr>
        <w:t>a</w:t>
      </w:r>
      <w:r>
        <w:rPr>
          <w:spacing w:val="-1"/>
          <w:sz w:val="22"/>
        </w:rPr>
        <w:t> </w:t>
      </w:r>
      <w:r>
        <w:rPr>
          <w:sz w:val="22"/>
        </w:rPr>
        <w:t>large</w:t>
      </w:r>
      <w:r>
        <w:rPr>
          <w:spacing w:val="-1"/>
          <w:sz w:val="22"/>
        </w:rPr>
        <w:t> </w:t>
      </w:r>
      <w:r>
        <w:rPr>
          <w:sz w:val="22"/>
        </w:rPr>
        <w:t>majority</w:t>
      </w:r>
      <w:r>
        <w:rPr>
          <w:spacing w:val="-1"/>
          <w:sz w:val="22"/>
        </w:rPr>
        <w:t> </w:t>
      </w:r>
      <w:r>
        <w:rPr>
          <w:sz w:val="22"/>
        </w:rPr>
        <w:t>of</w:t>
      </w:r>
      <w:r>
        <w:rPr>
          <w:spacing w:val="-1"/>
          <w:sz w:val="22"/>
        </w:rPr>
        <w:t> </w:t>
      </w:r>
      <w:r>
        <w:rPr>
          <w:sz w:val="22"/>
        </w:rPr>
        <w:t>students. </w:t>
      </w:r>
      <w:r>
        <w:rPr>
          <w:spacing w:val="-2"/>
          <w:sz w:val="22"/>
        </w:rPr>
        <w:t>Pedagogical</w:t>
      </w:r>
      <w:r>
        <w:rPr>
          <w:spacing w:val="-12"/>
          <w:sz w:val="22"/>
        </w:rPr>
        <w:t> </w:t>
      </w:r>
      <w:r>
        <w:rPr>
          <w:spacing w:val="-2"/>
          <w:sz w:val="22"/>
        </w:rPr>
        <w:t>use</w:t>
      </w:r>
      <w:r>
        <w:rPr>
          <w:spacing w:val="-12"/>
          <w:sz w:val="22"/>
        </w:rPr>
        <w:t> </w:t>
      </w:r>
      <w:r>
        <w:rPr>
          <w:spacing w:val="-2"/>
          <w:sz w:val="22"/>
        </w:rPr>
        <w:t>of</w:t>
      </w:r>
      <w:r>
        <w:rPr>
          <w:spacing w:val="-12"/>
          <w:sz w:val="22"/>
        </w:rPr>
        <w:t> </w:t>
      </w:r>
      <w:r>
        <w:rPr>
          <w:spacing w:val="-2"/>
          <w:sz w:val="22"/>
        </w:rPr>
        <w:t>various</w:t>
      </w:r>
      <w:r>
        <w:rPr>
          <w:spacing w:val="-11"/>
          <w:sz w:val="22"/>
        </w:rPr>
        <w:t> </w:t>
      </w:r>
      <w:r>
        <w:rPr>
          <w:spacing w:val="-2"/>
          <w:sz w:val="22"/>
        </w:rPr>
        <w:t>electronic</w:t>
      </w:r>
      <w:r>
        <w:rPr>
          <w:spacing w:val="-12"/>
          <w:sz w:val="22"/>
        </w:rPr>
        <w:t> </w:t>
      </w:r>
      <w:r>
        <w:rPr>
          <w:spacing w:val="-2"/>
          <w:sz w:val="22"/>
        </w:rPr>
        <w:t>media</w:t>
      </w:r>
      <w:r>
        <w:rPr>
          <w:spacing w:val="-12"/>
          <w:sz w:val="22"/>
        </w:rPr>
        <w:t> </w:t>
      </w:r>
      <w:r>
        <w:rPr>
          <w:spacing w:val="-2"/>
          <w:sz w:val="22"/>
        </w:rPr>
        <w:t>is</w:t>
      </w:r>
      <w:r>
        <w:rPr>
          <w:spacing w:val="-12"/>
          <w:sz w:val="22"/>
        </w:rPr>
        <w:t> </w:t>
      </w:r>
      <w:r>
        <w:rPr>
          <w:spacing w:val="-2"/>
          <w:sz w:val="22"/>
        </w:rPr>
        <w:t>yet</w:t>
      </w:r>
      <w:r>
        <w:rPr>
          <w:spacing w:val="-11"/>
          <w:sz w:val="22"/>
        </w:rPr>
        <w:t> </w:t>
      </w:r>
      <w:r>
        <w:rPr>
          <w:spacing w:val="-2"/>
          <w:sz w:val="22"/>
        </w:rPr>
        <w:t>very limited.</w:t>
      </w:r>
    </w:p>
    <w:p>
      <w:pPr>
        <w:pStyle w:val="BodyText"/>
        <w:spacing w:before="24"/>
      </w:pPr>
    </w:p>
    <w:p>
      <w:pPr>
        <w:pStyle w:val="ListParagraph"/>
        <w:numPr>
          <w:ilvl w:val="0"/>
          <w:numId w:val="71"/>
        </w:numPr>
        <w:tabs>
          <w:tab w:pos="567" w:val="left" w:leader="none"/>
        </w:tabs>
        <w:spacing w:line="266" w:lineRule="auto" w:before="0" w:after="0"/>
        <w:ind w:left="319" w:right="1077" w:firstLine="0"/>
        <w:jc w:val="both"/>
        <w:rPr>
          <w:sz w:val="22"/>
        </w:rPr>
      </w:pPr>
      <w:r>
        <w:rPr>
          <w:b/>
          <w:spacing w:val="-2"/>
          <w:sz w:val="22"/>
        </w:rPr>
        <w:t>Lack</w:t>
      </w:r>
      <w:r>
        <w:rPr>
          <w:b/>
          <w:spacing w:val="-10"/>
          <w:sz w:val="22"/>
        </w:rPr>
        <w:t> </w:t>
      </w:r>
      <w:r>
        <w:rPr>
          <w:b/>
          <w:spacing w:val="-2"/>
          <w:sz w:val="22"/>
        </w:rPr>
        <w:t>of</w:t>
      </w:r>
      <w:r>
        <w:rPr>
          <w:b/>
          <w:spacing w:val="-10"/>
          <w:sz w:val="22"/>
        </w:rPr>
        <w:t> </w:t>
      </w:r>
      <w:r>
        <w:rPr>
          <w:b/>
          <w:spacing w:val="-2"/>
          <w:sz w:val="22"/>
        </w:rPr>
        <w:t>coordination:</w:t>
      </w:r>
      <w:r>
        <w:rPr>
          <w:b/>
          <w:spacing w:val="-11"/>
          <w:sz w:val="22"/>
        </w:rPr>
        <w:t> </w:t>
      </w:r>
      <w:r>
        <w:rPr>
          <w:spacing w:val="-2"/>
          <w:sz w:val="22"/>
        </w:rPr>
        <w:t>There</w:t>
      </w:r>
      <w:r>
        <w:rPr>
          <w:spacing w:val="-11"/>
          <w:sz w:val="22"/>
        </w:rPr>
        <w:t> </w:t>
      </w:r>
      <w:r>
        <w:rPr>
          <w:spacing w:val="-2"/>
          <w:sz w:val="22"/>
        </w:rPr>
        <w:t>is</w:t>
      </w:r>
      <w:r>
        <w:rPr>
          <w:spacing w:val="-11"/>
          <w:sz w:val="22"/>
        </w:rPr>
        <w:t> </w:t>
      </w:r>
      <w:r>
        <w:rPr>
          <w:spacing w:val="-2"/>
          <w:sz w:val="22"/>
        </w:rPr>
        <w:t>an</w:t>
      </w:r>
      <w:r>
        <w:rPr>
          <w:spacing w:val="-11"/>
          <w:sz w:val="22"/>
        </w:rPr>
        <w:t> </w:t>
      </w:r>
      <w:r>
        <w:rPr>
          <w:spacing w:val="-2"/>
          <w:sz w:val="22"/>
        </w:rPr>
        <w:t>overlap</w:t>
      </w:r>
      <w:r>
        <w:rPr>
          <w:spacing w:val="-11"/>
          <w:sz w:val="22"/>
        </w:rPr>
        <w:t> </w:t>
      </w:r>
      <w:r>
        <w:rPr>
          <w:spacing w:val="-2"/>
          <w:sz w:val="22"/>
        </w:rPr>
        <w:t>of</w:t>
      </w:r>
      <w:r>
        <w:rPr>
          <w:spacing w:val="-11"/>
          <w:sz w:val="22"/>
        </w:rPr>
        <w:t> </w:t>
      </w:r>
      <w:r>
        <w:rPr>
          <w:spacing w:val="-2"/>
          <w:sz w:val="22"/>
        </w:rPr>
        <w:t>target </w:t>
      </w:r>
      <w:r>
        <w:rPr>
          <w:spacing w:val="-8"/>
          <w:sz w:val="22"/>
        </w:rPr>
        <w:t>groups</w:t>
      </w:r>
      <w:r>
        <w:rPr>
          <w:spacing w:val="-4"/>
          <w:sz w:val="22"/>
        </w:rPr>
        <w:t> </w:t>
      </w:r>
      <w:r>
        <w:rPr>
          <w:spacing w:val="-8"/>
          <w:sz w:val="22"/>
        </w:rPr>
        <w:t>to</w:t>
      </w:r>
      <w:r>
        <w:rPr>
          <w:spacing w:val="-4"/>
          <w:sz w:val="22"/>
        </w:rPr>
        <w:t> </w:t>
      </w:r>
      <w:r>
        <w:rPr>
          <w:spacing w:val="-8"/>
          <w:sz w:val="22"/>
        </w:rPr>
        <w:t>be</w:t>
      </w:r>
      <w:r>
        <w:rPr>
          <w:spacing w:val="-4"/>
          <w:sz w:val="22"/>
        </w:rPr>
        <w:t> </w:t>
      </w:r>
      <w:r>
        <w:rPr>
          <w:spacing w:val="-8"/>
          <w:sz w:val="22"/>
        </w:rPr>
        <w:t>covered</w:t>
      </w:r>
      <w:r>
        <w:rPr>
          <w:spacing w:val="-4"/>
          <w:sz w:val="22"/>
        </w:rPr>
        <w:t> </w:t>
      </w:r>
      <w:r>
        <w:rPr>
          <w:spacing w:val="-8"/>
          <w:sz w:val="22"/>
        </w:rPr>
        <w:t>by</w:t>
      </w:r>
      <w:r>
        <w:rPr>
          <w:spacing w:val="-4"/>
          <w:sz w:val="22"/>
        </w:rPr>
        <w:t> </w:t>
      </w:r>
      <w:r>
        <w:rPr>
          <w:spacing w:val="-8"/>
          <w:sz w:val="22"/>
        </w:rPr>
        <w:t>the</w:t>
      </w:r>
      <w:r>
        <w:rPr>
          <w:spacing w:val="-4"/>
          <w:sz w:val="22"/>
        </w:rPr>
        <w:t> </w:t>
      </w:r>
      <w:r>
        <w:rPr>
          <w:spacing w:val="-8"/>
          <w:sz w:val="22"/>
        </w:rPr>
        <w:t>open</w:t>
      </w:r>
      <w:r>
        <w:rPr>
          <w:spacing w:val="-4"/>
          <w:sz w:val="22"/>
        </w:rPr>
        <w:t> </w:t>
      </w:r>
      <w:r>
        <w:rPr>
          <w:spacing w:val="-8"/>
          <w:sz w:val="22"/>
        </w:rPr>
        <w:t>schooling</w:t>
      </w:r>
      <w:r>
        <w:rPr>
          <w:spacing w:val="-4"/>
          <w:sz w:val="22"/>
        </w:rPr>
        <w:t> </w:t>
      </w:r>
      <w:r>
        <w:rPr>
          <w:spacing w:val="-8"/>
          <w:sz w:val="22"/>
        </w:rPr>
        <w:t>and</w:t>
      </w:r>
      <w:r>
        <w:rPr>
          <w:spacing w:val="-4"/>
          <w:sz w:val="22"/>
        </w:rPr>
        <w:t> </w:t>
      </w:r>
      <w:r>
        <w:rPr>
          <w:spacing w:val="-8"/>
          <w:sz w:val="22"/>
        </w:rPr>
        <w:t>open</w:t>
      </w:r>
      <w:r>
        <w:rPr>
          <w:spacing w:val="-4"/>
          <w:sz w:val="22"/>
        </w:rPr>
        <w:t> </w:t>
      </w:r>
      <w:r>
        <w:rPr>
          <w:spacing w:val="-8"/>
          <w:sz w:val="22"/>
        </w:rPr>
        <w:t>and </w:t>
      </w:r>
      <w:r>
        <w:rPr>
          <w:spacing w:val="-4"/>
          <w:sz w:val="22"/>
        </w:rPr>
        <w:t>distance</w:t>
      </w:r>
      <w:r>
        <w:rPr>
          <w:spacing w:val="-10"/>
          <w:sz w:val="22"/>
        </w:rPr>
        <w:t> </w:t>
      </w:r>
      <w:r>
        <w:rPr>
          <w:spacing w:val="-4"/>
          <w:sz w:val="22"/>
        </w:rPr>
        <w:t>higher</w:t>
      </w:r>
      <w:r>
        <w:rPr>
          <w:spacing w:val="-10"/>
          <w:sz w:val="22"/>
        </w:rPr>
        <w:t> </w:t>
      </w:r>
      <w:r>
        <w:rPr>
          <w:spacing w:val="-4"/>
          <w:sz w:val="22"/>
        </w:rPr>
        <w:t>education.</w:t>
      </w:r>
      <w:r>
        <w:rPr>
          <w:spacing w:val="-10"/>
          <w:sz w:val="22"/>
        </w:rPr>
        <w:t> </w:t>
      </w:r>
      <w:r>
        <w:rPr>
          <w:spacing w:val="-4"/>
          <w:sz w:val="22"/>
        </w:rPr>
        <w:t>The</w:t>
      </w:r>
      <w:r>
        <w:rPr>
          <w:spacing w:val="-9"/>
          <w:sz w:val="22"/>
        </w:rPr>
        <w:t> </w:t>
      </w:r>
      <w:r>
        <w:rPr>
          <w:spacing w:val="-4"/>
          <w:sz w:val="22"/>
        </w:rPr>
        <w:t>latter</w:t>
      </w:r>
      <w:r>
        <w:rPr>
          <w:spacing w:val="-10"/>
          <w:sz w:val="22"/>
        </w:rPr>
        <w:t> </w:t>
      </w:r>
      <w:r>
        <w:rPr>
          <w:spacing w:val="-4"/>
          <w:sz w:val="22"/>
        </w:rPr>
        <w:t>is</w:t>
      </w:r>
      <w:r>
        <w:rPr>
          <w:spacing w:val="-10"/>
          <w:sz w:val="22"/>
        </w:rPr>
        <w:t> </w:t>
      </w:r>
      <w:r>
        <w:rPr>
          <w:spacing w:val="-4"/>
          <w:sz w:val="22"/>
        </w:rPr>
        <w:t>for</w:t>
      </w:r>
      <w:r>
        <w:rPr>
          <w:spacing w:val="-10"/>
          <w:sz w:val="22"/>
        </w:rPr>
        <w:t> </w:t>
      </w:r>
      <w:r>
        <w:rPr>
          <w:spacing w:val="-4"/>
          <w:sz w:val="22"/>
        </w:rPr>
        <w:t>mature</w:t>
      </w:r>
      <w:r>
        <w:rPr>
          <w:spacing w:val="-9"/>
          <w:sz w:val="22"/>
        </w:rPr>
        <w:t> </w:t>
      </w:r>
      <w:r>
        <w:rPr>
          <w:spacing w:val="-4"/>
          <w:sz w:val="22"/>
        </w:rPr>
        <w:t>adults </w:t>
      </w:r>
      <w:r>
        <w:rPr>
          <w:spacing w:val="-6"/>
          <w:sz w:val="22"/>
        </w:rPr>
        <w:t>and</w:t>
      </w:r>
      <w:r>
        <w:rPr>
          <w:spacing w:val="-7"/>
          <w:sz w:val="22"/>
        </w:rPr>
        <w:t> </w:t>
      </w:r>
      <w:r>
        <w:rPr>
          <w:spacing w:val="-6"/>
          <w:sz w:val="22"/>
        </w:rPr>
        <w:t>many</w:t>
      </w:r>
      <w:r>
        <w:rPr>
          <w:spacing w:val="-7"/>
          <w:sz w:val="22"/>
        </w:rPr>
        <w:t> </w:t>
      </w:r>
      <w:r>
        <w:rPr>
          <w:spacing w:val="-6"/>
          <w:sz w:val="22"/>
        </w:rPr>
        <w:t>open</w:t>
      </w:r>
      <w:r>
        <w:rPr>
          <w:spacing w:val="-7"/>
          <w:sz w:val="22"/>
        </w:rPr>
        <w:t> </w:t>
      </w:r>
      <w:r>
        <w:rPr>
          <w:spacing w:val="-6"/>
          <w:sz w:val="22"/>
        </w:rPr>
        <w:t>universities</w:t>
      </w:r>
      <w:r>
        <w:rPr>
          <w:spacing w:val="-7"/>
          <w:sz w:val="22"/>
        </w:rPr>
        <w:t> </w:t>
      </w:r>
      <w:r>
        <w:rPr>
          <w:spacing w:val="-6"/>
          <w:sz w:val="22"/>
        </w:rPr>
        <w:t>have</w:t>
      </w:r>
      <w:r>
        <w:rPr>
          <w:spacing w:val="-7"/>
          <w:sz w:val="22"/>
        </w:rPr>
        <w:t> </w:t>
      </w:r>
      <w:r>
        <w:rPr>
          <w:spacing w:val="-6"/>
          <w:sz w:val="22"/>
        </w:rPr>
        <w:t>reduced</w:t>
      </w:r>
      <w:r>
        <w:rPr>
          <w:spacing w:val="-7"/>
          <w:sz w:val="22"/>
        </w:rPr>
        <w:t> </w:t>
      </w:r>
      <w:r>
        <w:rPr>
          <w:spacing w:val="-6"/>
          <w:sz w:val="22"/>
        </w:rPr>
        <w:t>the</w:t>
      </w:r>
      <w:r>
        <w:rPr>
          <w:spacing w:val="-7"/>
          <w:sz w:val="22"/>
        </w:rPr>
        <w:t> </w:t>
      </w:r>
      <w:r>
        <w:rPr>
          <w:spacing w:val="-6"/>
          <w:sz w:val="22"/>
        </w:rPr>
        <w:t>age</w:t>
      </w:r>
      <w:r>
        <w:rPr>
          <w:spacing w:val="-7"/>
          <w:sz w:val="22"/>
        </w:rPr>
        <w:t> </w:t>
      </w:r>
      <w:r>
        <w:rPr>
          <w:spacing w:val="-6"/>
          <w:sz w:val="22"/>
        </w:rPr>
        <w:t>criteria </w:t>
      </w:r>
      <w:r>
        <w:rPr>
          <w:sz w:val="22"/>
        </w:rPr>
        <w:t>from 21 years to 18 years to enable open admission </w:t>
      </w:r>
      <w:r>
        <w:rPr>
          <w:spacing w:val="-2"/>
          <w:sz w:val="22"/>
        </w:rPr>
        <w:t>for</w:t>
      </w:r>
      <w:r>
        <w:rPr>
          <w:spacing w:val="-10"/>
          <w:sz w:val="22"/>
        </w:rPr>
        <w:t> </w:t>
      </w:r>
      <w:r>
        <w:rPr>
          <w:spacing w:val="-2"/>
          <w:sz w:val="22"/>
        </w:rPr>
        <w:t>preparatory</w:t>
      </w:r>
      <w:r>
        <w:rPr>
          <w:spacing w:val="-10"/>
          <w:sz w:val="22"/>
        </w:rPr>
        <w:t> </w:t>
      </w:r>
      <w:r>
        <w:rPr>
          <w:spacing w:val="-2"/>
          <w:sz w:val="22"/>
        </w:rPr>
        <w:t>courses</w:t>
      </w:r>
      <w:r>
        <w:rPr>
          <w:spacing w:val="-10"/>
          <w:sz w:val="22"/>
        </w:rPr>
        <w:t> </w:t>
      </w:r>
      <w:r>
        <w:rPr>
          <w:spacing w:val="-2"/>
          <w:sz w:val="22"/>
        </w:rPr>
        <w:t>essential</w:t>
      </w:r>
      <w:r>
        <w:rPr>
          <w:spacing w:val="-10"/>
          <w:sz w:val="22"/>
        </w:rPr>
        <w:t> </w:t>
      </w:r>
      <w:r>
        <w:rPr>
          <w:spacing w:val="-2"/>
          <w:sz w:val="22"/>
        </w:rPr>
        <w:t>for</w:t>
      </w:r>
      <w:r>
        <w:rPr>
          <w:spacing w:val="-10"/>
          <w:sz w:val="22"/>
        </w:rPr>
        <w:t> </w:t>
      </w:r>
      <w:r>
        <w:rPr>
          <w:spacing w:val="-2"/>
          <w:sz w:val="22"/>
        </w:rPr>
        <w:t>admission</w:t>
      </w:r>
      <w:r>
        <w:rPr>
          <w:spacing w:val="-10"/>
          <w:sz w:val="22"/>
        </w:rPr>
        <w:t> </w:t>
      </w:r>
      <w:r>
        <w:rPr>
          <w:spacing w:val="-2"/>
          <w:sz w:val="22"/>
        </w:rPr>
        <w:t>to</w:t>
      </w:r>
      <w:r>
        <w:rPr>
          <w:spacing w:val="-10"/>
          <w:sz w:val="22"/>
        </w:rPr>
        <w:t> </w:t>
      </w:r>
      <w:r>
        <w:rPr>
          <w:spacing w:val="-2"/>
          <w:sz w:val="22"/>
        </w:rPr>
        <w:t>open </w:t>
      </w:r>
      <w:r>
        <w:rPr>
          <w:sz w:val="22"/>
        </w:rPr>
        <w:t>degree</w:t>
      </w:r>
      <w:r>
        <w:rPr>
          <w:spacing w:val="-8"/>
          <w:sz w:val="22"/>
        </w:rPr>
        <w:t> </w:t>
      </w:r>
      <w:r>
        <w:rPr>
          <w:sz w:val="22"/>
        </w:rPr>
        <w:t>programs,</w:t>
      </w:r>
      <w:r>
        <w:rPr>
          <w:spacing w:val="-8"/>
          <w:sz w:val="22"/>
        </w:rPr>
        <w:t> </w:t>
      </w:r>
      <w:r>
        <w:rPr>
          <w:sz w:val="22"/>
        </w:rPr>
        <w:t>for</w:t>
      </w:r>
      <w:r>
        <w:rPr>
          <w:spacing w:val="-8"/>
          <w:sz w:val="22"/>
        </w:rPr>
        <w:t> </w:t>
      </w:r>
      <w:r>
        <w:rPr>
          <w:sz w:val="22"/>
        </w:rPr>
        <w:t>those</w:t>
      </w:r>
      <w:r>
        <w:rPr>
          <w:spacing w:val="-8"/>
          <w:sz w:val="22"/>
        </w:rPr>
        <w:t> </w:t>
      </w:r>
      <w:r>
        <w:rPr>
          <w:sz w:val="22"/>
        </w:rPr>
        <w:t>who</w:t>
      </w:r>
      <w:r>
        <w:rPr>
          <w:spacing w:val="-8"/>
          <w:sz w:val="22"/>
        </w:rPr>
        <w:t> </w:t>
      </w:r>
      <w:r>
        <w:rPr>
          <w:sz w:val="22"/>
        </w:rPr>
        <w:t>have</w:t>
      </w:r>
      <w:r>
        <w:rPr>
          <w:spacing w:val="-8"/>
          <w:sz w:val="22"/>
        </w:rPr>
        <w:t> </w:t>
      </w:r>
      <w:r>
        <w:rPr>
          <w:sz w:val="22"/>
        </w:rPr>
        <w:t>not</w:t>
      </w:r>
      <w:r>
        <w:rPr>
          <w:spacing w:val="-8"/>
          <w:sz w:val="22"/>
        </w:rPr>
        <w:t> </w:t>
      </w:r>
      <w:r>
        <w:rPr>
          <w:sz w:val="22"/>
        </w:rPr>
        <w:t>class</w:t>
      </w:r>
      <w:r>
        <w:rPr>
          <w:spacing w:val="-8"/>
          <w:sz w:val="22"/>
        </w:rPr>
        <w:t> </w:t>
      </w:r>
      <w:r>
        <w:rPr>
          <w:sz w:val="22"/>
        </w:rPr>
        <w:t>twelve </w:t>
      </w:r>
      <w:r>
        <w:rPr>
          <w:spacing w:val="-8"/>
          <w:sz w:val="22"/>
        </w:rPr>
        <w:t>graduates.</w:t>
      </w:r>
      <w:r>
        <w:rPr>
          <w:sz w:val="22"/>
        </w:rPr>
        <w:t> </w:t>
      </w:r>
      <w:r>
        <w:rPr>
          <w:spacing w:val="-8"/>
          <w:sz w:val="22"/>
        </w:rPr>
        <w:t>Since</w:t>
      </w:r>
      <w:r>
        <w:rPr>
          <w:sz w:val="22"/>
        </w:rPr>
        <w:t> </w:t>
      </w:r>
      <w:r>
        <w:rPr>
          <w:spacing w:val="-8"/>
          <w:sz w:val="22"/>
        </w:rPr>
        <w:t>open</w:t>
      </w:r>
      <w:r>
        <w:rPr>
          <w:sz w:val="22"/>
        </w:rPr>
        <w:t> </w:t>
      </w:r>
      <w:r>
        <w:rPr>
          <w:spacing w:val="-8"/>
          <w:sz w:val="22"/>
        </w:rPr>
        <w:t>schools</w:t>
      </w:r>
      <w:r>
        <w:rPr>
          <w:sz w:val="22"/>
        </w:rPr>
        <w:t> </w:t>
      </w:r>
      <w:r>
        <w:rPr>
          <w:spacing w:val="-8"/>
          <w:sz w:val="22"/>
        </w:rPr>
        <w:t>also</w:t>
      </w:r>
      <w:r>
        <w:rPr>
          <w:sz w:val="22"/>
        </w:rPr>
        <w:t> </w:t>
      </w:r>
      <w:r>
        <w:rPr>
          <w:spacing w:val="-8"/>
          <w:sz w:val="22"/>
        </w:rPr>
        <w:t>cater</w:t>
      </w:r>
      <w:r>
        <w:rPr>
          <w:sz w:val="22"/>
        </w:rPr>
        <w:t> </w:t>
      </w:r>
      <w:r>
        <w:rPr>
          <w:spacing w:val="-8"/>
          <w:sz w:val="22"/>
        </w:rPr>
        <w:t>to</w:t>
      </w:r>
      <w:r>
        <w:rPr>
          <w:sz w:val="22"/>
        </w:rPr>
        <w:t> </w:t>
      </w:r>
      <w:r>
        <w:rPr>
          <w:spacing w:val="-8"/>
          <w:sz w:val="22"/>
        </w:rPr>
        <w:t>mature</w:t>
      </w:r>
      <w:r>
        <w:rPr>
          <w:sz w:val="22"/>
        </w:rPr>
        <w:t> </w:t>
      </w:r>
      <w:r>
        <w:rPr>
          <w:spacing w:val="-8"/>
          <w:sz w:val="22"/>
        </w:rPr>
        <w:t>adults, </w:t>
      </w:r>
      <w:r>
        <w:rPr>
          <w:sz w:val="22"/>
        </w:rPr>
        <w:t>it</w:t>
      </w:r>
      <w:r>
        <w:rPr>
          <w:spacing w:val="-12"/>
          <w:sz w:val="22"/>
        </w:rPr>
        <w:t> </w:t>
      </w:r>
      <w:r>
        <w:rPr>
          <w:sz w:val="22"/>
        </w:rPr>
        <w:t>is</w:t>
      </w:r>
      <w:r>
        <w:rPr>
          <w:spacing w:val="-12"/>
          <w:sz w:val="22"/>
        </w:rPr>
        <w:t> </w:t>
      </w:r>
      <w:r>
        <w:rPr>
          <w:sz w:val="22"/>
        </w:rPr>
        <w:t>essential</w:t>
      </w:r>
      <w:r>
        <w:rPr>
          <w:spacing w:val="-12"/>
          <w:sz w:val="22"/>
        </w:rPr>
        <w:t> </w:t>
      </w:r>
      <w:r>
        <w:rPr>
          <w:sz w:val="22"/>
        </w:rPr>
        <w:t>to</w:t>
      </w:r>
      <w:r>
        <w:rPr>
          <w:spacing w:val="-12"/>
          <w:sz w:val="22"/>
        </w:rPr>
        <w:t> </w:t>
      </w:r>
      <w:r>
        <w:rPr>
          <w:sz w:val="22"/>
        </w:rPr>
        <w:t>have</w:t>
      </w:r>
      <w:r>
        <w:rPr>
          <w:spacing w:val="-12"/>
          <w:sz w:val="22"/>
        </w:rPr>
        <w:t> </w:t>
      </w:r>
      <w:r>
        <w:rPr>
          <w:sz w:val="22"/>
        </w:rPr>
        <w:t>coordination</w:t>
      </w:r>
      <w:r>
        <w:rPr>
          <w:spacing w:val="-12"/>
          <w:sz w:val="22"/>
        </w:rPr>
        <w:t> </w:t>
      </w:r>
      <w:r>
        <w:rPr>
          <w:sz w:val="22"/>
        </w:rPr>
        <w:t>amongst</w:t>
      </w:r>
      <w:r>
        <w:rPr>
          <w:spacing w:val="-12"/>
          <w:sz w:val="22"/>
        </w:rPr>
        <w:t> </w:t>
      </w:r>
      <w:r>
        <w:rPr>
          <w:sz w:val="22"/>
        </w:rPr>
        <w:t>the</w:t>
      </w:r>
      <w:r>
        <w:rPr>
          <w:spacing w:val="-12"/>
          <w:sz w:val="22"/>
        </w:rPr>
        <w:t> </w:t>
      </w:r>
      <w:r>
        <w:rPr>
          <w:sz w:val="22"/>
        </w:rPr>
        <w:t>school </w:t>
      </w:r>
      <w:r>
        <w:rPr>
          <w:spacing w:val="-4"/>
          <w:sz w:val="22"/>
        </w:rPr>
        <w:t>and</w:t>
      </w:r>
      <w:r>
        <w:rPr>
          <w:spacing w:val="-8"/>
          <w:sz w:val="22"/>
        </w:rPr>
        <w:t> </w:t>
      </w:r>
      <w:r>
        <w:rPr>
          <w:spacing w:val="-4"/>
          <w:sz w:val="22"/>
        </w:rPr>
        <w:t>higher</w:t>
      </w:r>
      <w:r>
        <w:rPr>
          <w:spacing w:val="-8"/>
          <w:sz w:val="22"/>
        </w:rPr>
        <w:t> </w:t>
      </w:r>
      <w:r>
        <w:rPr>
          <w:spacing w:val="-4"/>
          <w:sz w:val="22"/>
        </w:rPr>
        <w:t>education</w:t>
      </w:r>
      <w:r>
        <w:rPr>
          <w:spacing w:val="-8"/>
          <w:sz w:val="22"/>
        </w:rPr>
        <w:t> </w:t>
      </w:r>
      <w:r>
        <w:rPr>
          <w:spacing w:val="-4"/>
          <w:sz w:val="22"/>
        </w:rPr>
        <w:t>programs</w:t>
      </w:r>
      <w:r>
        <w:rPr>
          <w:spacing w:val="-8"/>
          <w:sz w:val="22"/>
        </w:rPr>
        <w:t> </w:t>
      </w:r>
      <w:r>
        <w:rPr>
          <w:spacing w:val="-4"/>
          <w:sz w:val="22"/>
        </w:rPr>
        <w:t>to</w:t>
      </w:r>
      <w:r>
        <w:rPr>
          <w:spacing w:val="-8"/>
          <w:sz w:val="22"/>
        </w:rPr>
        <w:t> </w:t>
      </w:r>
      <w:r>
        <w:rPr>
          <w:spacing w:val="-4"/>
          <w:sz w:val="22"/>
        </w:rPr>
        <w:t>cater</w:t>
      </w:r>
      <w:r>
        <w:rPr>
          <w:spacing w:val="-8"/>
          <w:sz w:val="22"/>
        </w:rPr>
        <w:t> </w:t>
      </w:r>
      <w:r>
        <w:rPr>
          <w:spacing w:val="-4"/>
          <w:sz w:val="22"/>
        </w:rPr>
        <w:t>to</w:t>
      </w:r>
      <w:r>
        <w:rPr>
          <w:spacing w:val="-8"/>
          <w:sz w:val="22"/>
        </w:rPr>
        <w:t> </w:t>
      </w:r>
      <w:r>
        <w:rPr>
          <w:spacing w:val="-4"/>
          <w:sz w:val="22"/>
        </w:rPr>
        <w:t>diverse</w:t>
      </w:r>
      <w:r>
        <w:rPr>
          <w:spacing w:val="-8"/>
          <w:sz w:val="22"/>
        </w:rPr>
        <w:t> </w:t>
      </w:r>
      <w:r>
        <w:rPr>
          <w:spacing w:val="-4"/>
          <w:sz w:val="22"/>
        </w:rPr>
        <w:t>needs </w:t>
      </w:r>
      <w:r>
        <w:rPr>
          <w:sz w:val="22"/>
        </w:rPr>
        <w:t>of mature adults.</w:t>
      </w:r>
    </w:p>
    <w:p>
      <w:pPr>
        <w:spacing w:after="0" w:line="266" w:lineRule="auto"/>
        <w:jc w:val="both"/>
        <w:rPr>
          <w:sz w:val="22"/>
        </w:rPr>
        <w:sectPr>
          <w:pgSz w:w="11910" w:h="16840"/>
          <w:pgMar w:header="0" w:footer="675" w:top="960" w:bottom="860" w:left="0" w:right="0"/>
          <w:cols w:num="2" w:equalWidth="0">
            <w:col w:w="5774" w:space="40"/>
            <w:col w:w="6096"/>
          </w:cols>
        </w:sectPr>
      </w:pPr>
    </w:p>
    <w:p>
      <w:pPr>
        <w:pStyle w:val="BodyText"/>
        <w:rPr>
          <w:sz w:val="24"/>
        </w:rPr>
      </w:pPr>
    </w:p>
    <w:p>
      <w:pPr>
        <w:pStyle w:val="BodyText"/>
        <w:spacing w:before="8"/>
        <w:rPr>
          <w:sz w:val="24"/>
        </w:rPr>
      </w:pPr>
    </w:p>
    <w:p>
      <w:pPr>
        <w:pStyle w:val="Heading8"/>
        <w:ind w:left="1080"/>
      </w:pPr>
      <w:r>
        <w:rPr>
          <w:spacing w:val="-8"/>
        </w:rPr>
        <w:t>Table</w:t>
      </w:r>
      <w:r>
        <w:rPr>
          <w:spacing w:val="-5"/>
        </w:rPr>
        <w:t> </w:t>
      </w:r>
      <w:r>
        <w:rPr>
          <w:spacing w:val="-8"/>
        </w:rPr>
        <w:t>18:</w:t>
      </w:r>
      <w:r>
        <w:rPr>
          <w:spacing w:val="-5"/>
        </w:rPr>
        <w:t> </w:t>
      </w:r>
      <w:r>
        <w:rPr>
          <w:color w:val="2E614A"/>
          <w:spacing w:val="-8"/>
        </w:rPr>
        <w:t>Open</w:t>
      </w:r>
      <w:r>
        <w:rPr>
          <w:color w:val="2E614A"/>
          <w:spacing w:val="-4"/>
        </w:rPr>
        <w:t> </w:t>
      </w:r>
      <w:r>
        <w:rPr>
          <w:color w:val="2E614A"/>
          <w:spacing w:val="-8"/>
        </w:rPr>
        <w:t>and</w:t>
      </w:r>
      <w:r>
        <w:rPr>
          <w:color w:val="2E614A"/>
          <w:spacing w:val="-5"/>
        </w:rPr>
        <w:t> </w:t>
      </w:r>
      <w:r>
        <w:rPr>
          <w:color w:val="2E614A"/>
          <w:spacing w:val="-8"/>
        </w:rPr>
        <w:t>distance</w:t>
      </w:r>
      <w:r>
        <w:rPr>
          <w:color w:val="2E614A"/>
          <w:spacing w:val="-4"/>
        </w:rPr>
        <w:t> </w:t>
      </w:r>
      <w:r>
        <w:rPr>
          <w:color w:val="2E614A"/>
          <w:spacing w:val="-8"/>
        </w:rPr>
        <w:t>education</w:t>
      </w:r>
      <w:r>
        <w:rPr>
          <w:color w:val="2E614A"/>
          <w:spacing w:val="-5"/>
        </w:rPr>
        <w:t> </w:t>
      </w:r>
      <w:r>
        <w:rPr>
          <w:color w:val="2E614A"/>
          <w:spacing w:val="-8"/>
        </w:rPr>
        <w:t>in</w:t>
      </w:r>
      <w:r>
        <w:rPr>
          <w:color w:val="2E614A"/>
          <w:spacing w:val="-4"/>
        </w:rPr>
        <w:t> </w:t>
      </w:r>
      <w:r>
        <w:rPr>
          <w:color w:val="2E614A"/>
          <w:spacing w:val="-8"/>
        </w:rPr>
        <w:t>other</w:t>
      </w:r>
      <w:r>
        <w:rPr>
          <w:color w:val="2E614A"/>
          <w:spacing w:val="-5"/>
        </w:rPr>
        <w:t> </w:t>
      </w:r>
      <w:r>
        <w:rPr>
          <w:color w:val="2E614A"/>
          <w:spacing w:val="-8"/>
        </w:rPr>
        <w:t>countries</w:t>
      </w:r>
      <w:r>
        <w:rPr>
          <w:color w:val="2E614A"/>
          <w:spacing w:val="-4"/>
        </w:rPr>
        <w:t> </w:t>
      </w:r>
      <w:r>
        <w:rPr>
          <w:color w:val="2E614A"/>
          <w:spacing w:val="-8"/>
        </w:rPr>
        <w:t>-</w:t>
      </w:r>
      <w:r>
        <w:rPr>
          <w:color w:val="2E614A"/>
          <w:spacing w:val="-5"/>
        </w:rPr>
        <w:t> </w:t>
      </w:r>
      <w:r>
        <w:rPr>
          <w:color w:val="2E614A"/>
          <w:spacing w:val="-8"/>
        </w:rPr>
        <w:t>mega</w:t>
      </w:r>
      <w:r>
        <w:rPr>
          <w:color w:val="2E614A"/>
          <w:spacing w:val="-4"/>
        </w:rPr>
        <w:t> </w:t>
      </w:r>
      <w:r>
        <w:rPr>
          <w:color w:val="2E614A"/>
          <w:spacing w:val="-8"/>
        </w:rPr>
        <w:t>universities</w:t>
      </w:r>
    </w:p>
    <w:p>
      <w:pPr>
        <w:pStyle w:val="BodyText"/>
        <w:spacing w:before="3"/>
        <w:rPr>
          <w:b/>
          <w:sz w:val="10"/>
        </w:rPr>
      </w:pPr>
    </w:p>
    <w:tbl>
      <w:tblPr>
        <w:tblW w:w="0" w:type="auto"/>
        <w:jc w:val="left"/>
        <w:tblInd w:w="10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23"/>
        <w:gridCol w:w="1623"/>
        <w:gridCol w:w="1623"/>
        <w:gridCol w:w="1623"/>
        <w:gridCol w:w="1623"/>
        <w:gridCol w:w="1623"/>
      </w:tblGrid>
      <w:tr>
        <w:trPr>
          <w:trHeight w:val="292" w:hRule="atLeast"/>
        </w:trPr>
        <w:tc>
          <w:tcPr>
            <w:tcW w:w="1623" w:type="dxa"/>
            <w:shd w:val="clear" w:color="auto" w:fill="D0D5CD"/>
          </w:tcPr>
          <w:p>
            <w:pPr>
              <w:pStyle w:val="TableParagraph"/>
              <w:spacing w:before="32"/>
              <w:ind w:left="90"/>
              <w:rPr>
                <w:b/>
                <w:sz w:val="20"/>
              </w:rPr>
            </w:pPr>
            <w:r>
              <w:rPr>
                <w:b/>
                <w:spacing w:val="-2"/>
                <w:sz w:val="20"/>
              </w:rPr>
              <w:t>Country</w:t>
            </w:r>
          </w:p>
        </w:tc>
        <w:tc>
          <w:tcPr>
            <w:tcW w:w="1623" w:type="dxa"/>
            <w:shd w:val="clear" w:color="auto" w:fill="D0D5CD"/>
          </w:tcPr>
          <w:p>
            <w:pPr>
              <w:pStyle w:val="TableParagraph"/>
              <w:spacing w:before="32"/>
              <w:ind w:left="90"/>
              <w:rPr>
                <w:b/>
                <w:sz w:val="20"/>
              </w:rPr>
            </w:pPr>
            <w:r>
              <w:rPr>
                <w:b/>
                <w:spacing w:val="-2"/>
                <w:sz w:val="20"/>
              </w:rPr>
              <w:t>Institution</w:t>
            </w:r>
          </w:p>
        </w:tc>
        <w:tc>
          <w:tcPr>
            <w:tcW w:w="1623" w:type="dxa"/>
            <w:shd w:val="clear" w:color="auto" w:fill="D0D5CD"/>
          </w:tcPr>
          <w:p>
            <w:pPr>
              <w:pStyle w:val="TableParagraph"/>
              <w:spacing w:before="32"/>
              <w:ind w:left="131" w:right="124"/>
              <w:jc w:val="center"/>
              <w:rPr>
                <w:b/>
                <w:sz w:val="20"/>
              </w:rPr>
            </w:pPr>
            <w:r>
              <w:rPr>
                <w:b/>
                <w:spacing w:val="-2"/>
                <w:sz w:val="20"/>
              </w:rPr>
              <w:t>Enrolment</w:t>
            </w:r>
          </w:p>
        </w:tc>
        <w:tc>
          <w:tcPr>
            <w:tcW w:w="3246" w:type="dxa"/>
            <w:gridSpan w:val="2"/>
            <w:shd w:val="clear" w:color="auto" w:fill="D0D5CD"/>
          </w:tcPr>
          <w:p>
            <w:pPr>
              <w:pStyle w:val="TableParagraph"/>
              <w:spacing w:before="32"/>
              <w:ind w:left="658"/>
              <w:rPr>
                <w:b/>
                <w:sz w:val="20"/>
              </w:rPr>
            </w:pPr>
            <w:r>
              <w:rPr>
                <w:b/>
                <w:spacing w:val="-4"/>
                <w:sz w:val="20"/>
              </w:rPr>
              <w:t>~Budget</w:t>
            </w:r>
            <w:r>
              <w:rPr>
                <w:b/>
                <w:spacing w:val="-7"/>
                <w:sz w:val="20"/>
              </w:rPr>
              <w:t> </w:t>
            </w:r>
            <w:r>
              <w:rPr>
                <w:b/>
                <w:spacing w:val="-4"/>
                <w:sz w:val="20"/>
              </w:rPr>
              <w:t>in</w:t>
            </w:r>
            <w:r>
              <w:rPr>
                <w:b/>
                <w:spacing w:val="-6"/>
                <w:sz w:val="20"/>
              </w:rPr>
              <w:t> </w:t>
            </w:r>
            <w:r>
              <w:rPr>
                <w:b/>
                <w:spacing w:val="-4"/>
                <w:sz w:val="20"/>
              </w:rPr>
              <w:t>Million</w:t>
            </w:r>
            <w:r>
              <w:rPr>
                <w:b/>
                <w:spacing w:val="-6"/>
                <w:sz w:val="20"/>
              </w:rPr>
              <w:t> </w:t>
            </w:r>
            <w:r>
              <w:rPr>
                <w:b/>
                <w:spacing w:val="-5"/>
                <w:sz w:val="20"/>
              </w:rPr>
              <w:t>US$</w:t>
            </w:r>
          </w:p>
        </w:tc>
        <w:tc>
          <w:tcPr>
            <w:tcW w:w="1623" w:type="dxa"/>
            <w:shd w:val="clear" w:color="auto" w:fill="D0D5CD"/>
          </w:tcPr>
          <w:p>
            <w:pPr>
              <w:pStyle w:val="TableParagraph"/>
              <w:spacing w:before="32"/>
              <w:ind w:left="131" w:right="122"/>
              <w:jc w:val="center"/>
              <w:rPr>
                <w:b/>
                <w:sz w:val="20"/>
              </w:rPr>
            </w:pPr>
            <w:r>
              <w:rPr>
                <w:b/>
                <w:sz w:val="20"/>
              </w:rPr>
              <w:t>Unit</w:t>
            </w:r>
            <w:r>
              <w:rPr>
                <w:b/>
                <w:spacing w:val="-14"/>
                <w:sz w:val="20"/>
              </w:rPr>
              <w:t> </w:t>
            </w:r>
            <w:r>
              <w:rPr>
                <w:b/>
                <w:spacing w:val="-2"/>
                <w:sz w:val="20"/>
              </w:rPr>
              <w:t>Cost*</w:t>
            </w:r>
          </w:p>
        </w:tc>
      </w:tr>
      <w:tr>
        <w:trPr>
          <w:trHeight w:val="292" w:hRule="atLeast"/>
        </w:trPr>
        <w:tc>
          <w:tcPr>
            <w:tcW w:w="1623" w:type="dxa"/>
            <w:shd w:val="clear" w:color="auto" w:fill="E9E9E9"/>
          </w:tcPr>
          <w:p>
            <w:pPr>
              <w:pStyle w:val="TableParagraph"/>
              <w:spacing w:before="32"/>
              <w:ind w:left="90"/>
              <w:rPr>
                <w:sz w:val="20"/>
              </w:rPr>
            </w:pPr>
            <w:r>
              <w:rPr>
                <w:spacing w:val="-2"/>
                <w:sz w:val="20"/>
              </w:rPr>
              <w:t>Pakistan</w:t>
            </w:r>
          </w:p>
        </w:tc>
        <w:tc>
          <w:tcPr>
            <w:tcW w:w="1623" w:type="dxa"/>
            <w:shd w:val="clear" w:color="auto" w:fill="E9E9E9"/>
          </w:tcPr>
          <w:p>
            <w:pPr>
              <w:pStyle w:val="TableParagraph"/>
              <w:spacing w:before="32"/>
              <w:ind w:left="90"/>
              <w:rPr>
                <w:sz w:val="20"/>
              </w:rPr>
            </w:pPr>
            <w:r>
              <w:rPr>
                <w:spacing w:val="-4"/>
                <w:sz w:val="20"/>
              </w:rPr>
              <w:t>AIOU</w:t>
            </w:r>
          </w:p>
        </w:tc>
        <w:tc>
          <w:tcPr>
            <w:tcW w:w="1623" w:type="dxa"/>
            <w:shd w:val="clear" w:color="auto" w:fill="E9E9E9"/>
          </w:tcPr>
          <w:p>
            <w:pPr>
              <w:pStyle w:val="TableParagraph"/>
              <w:spacing w:before="32"/>
              <w:ind w:left="80"/>
              <w:jc w:val="center"/>
              <w:rPr>
                <w:sz w:val="20"/>
              </w:rPr>
            </w:pPr>
            <w:r>
              <w:rPr>
                <w:spacing w:val="-2"/>
                <w:sz w:val="20"/>
              </w:rPr>
              <w:t>456,126</w:t>
            </w:r>
          </w:p>
        </w:tc>
        <w:tc>
          <w:tcPr>
            <w:tcW w:w="1623" w:type="dxa"/>
            <w:shd w:val="clear" w:color="auto" w:fill="E9E9E9"/>
          </w:tcPr>
          <w:p>
            <w:pPr>
              <w:pStyle w:val="TableParagraph"/>
              <w:spacing w:before="0"/>
              <w:rPr>
                <w:sz w:val="20"/>
              </w:rPr>
            </w:pPr>
          </w:p>
        </w:tc>
        <w:tc>
          <w:tcPr>
            <w:tcW w:w="1623" w:type="dxa"/>
            <w:shd w:val="clear" w:color="auto" w:fill="E9E9E9"/>
          </w:tcPr>
          <w:p>
            <w:pPr>
              <w:pStyle w:val="TableParagraph"/>
              <w:spacing w:before="0"/>
              <w:rPr>
                <w:sz w:val="20"/>
              </w:rPr>
            </w:pPr>
          </w:p>
        </w:tc>
        <w:tc>
          <w:tcPr>
            <w:tcW w:w="1623" w:type="dxa"/>
            <w:shd w:val="clear" w:color="auto" w:fill="E9E9E9"/>
          </w:tcPr>
          <w:p>
            <w:pPr>
              <w:pStyle w:val="TableParagraph"/>
              <w:spacing w:before="0"/>
              <w:rPr>
                <w:sz w:val="20"/>
              </w:rPr>
            </w:pPr>
          </w:p>
        </w:tc>
      </w:tr>
      <w:tr>
        <w:trPr>
          <w:trHeight w:val="292" w:hRule="atLeast"/>
        </w:trPr>
        <w:tc>
          <w:tcPr>
            <w:tcW w:w="1623" w:type="dxa"/>
            <w:shd w:val="clear" w:color="auto" w:fill="D0D5CD"/>
          </w:tcPr>
          <w:p>
            <w:pPr>
              <w:pStyle w:val="TableParagraph"/>
              <w:spacing w:before="32"/>
              <w:ind w:left="90"/>
              <w:rPr>
                <w:sz w:val="20"/>
              </w:rPr>
            </w:pPr>
            <w:r>
              <w:rPr>
                <w:spacing w:val="-2"/>
                <w:sz w:val="20"/>
              </w:rPr>
              <w:t>Turkey</w:t>
            </w:r>
          </w:p>
        </w:tc>
        <w:tc>
          <w:tcPr>
            <w:tcW w:w="1623" w:type="dxa"/>
            <w:shd w:val="clear" w:color="auto" w:fill="D0D5CD"/>
          </w:tcPr>
          <w:p>
            <w:pPr>
              <w:pStyle w:val="TableParagraph"/>
              <w:spacing w:before="32"/>
              <w:ind w:left="90"/>
              <w:rPr>
                <w:sz w:val="20"/>
              </w:rPr>
            </w:pPr>
            <w:r>
              <w:rPr>
                <w:spacing w:val="-2"/>
                <w:sz w:val="20"/>
              </w:rPr>
              <w:t>Anadolu</w:t>
            </w:r>
          </w:p>
        </w:tc>
        <w:tc>
          <w:tcPr>
            <w:tcW w:w="1623" w:type="dxa"/>
            <w:shd w:val="clear" w:color="auto" w:fill="D0D5CD"/>
          </w:tcPr>
          <w:p>
            <w:pPr>
              <w:pStyle w:val="TableParagraph"/>
              <w:spacing w:before="32"/>
              <w:ind w:right="67"/>
              <w:jc w:val="center"/>
              <w:rPr>
                <w:sz w:val="20"/>
              </w:rPr>
            </w:pPr>
            <w:r>
              <w:rPr>
                <w:spacing w:val="-2"/>
                <w:sz w:val="20"/>
              </w:rPr>
              <w:t>1,187,100</w:t>
            </w:r>
          </w:p>
        </w:tc>
        <w:tc>
          <w:tcPr>
            <w:tcW w:w="1623" w:type="dxa"/>
            <w:shd w:val="clear" w:color="auto" w:fill="D0D5CD"/>
          </w:tcPr>
          <w:p>
            <w:pPr>
              <w:pStyle w:val="TableParagraph"/>
              <w:spacing w:before="32"/>
              <w:ind w:right="441"/>
              <w:jc w:val="right"/>
              <w:rPr>
                <w:sz w:val="20"/>
              </w:rPr>
            </w:pPr>
            <w:r>
              <w:rPr>
                <w:spacing w:val="-4"/>
                <w:sz w:val="20"/>
              </w:rPr>
              <w:t>32.4</w:t>
            </w:r>
          </w:p>
        </w:tc>
        <w:tc>
          <w:tcPr>
            <w:tcW w:w="1623" w:type="dxa"/>
            <w:shd w:val="clear" w:color="auto" w:fill="D0D5CD"/>
          </w:tcPr>
          <w:p>
            <w:pPr>
              <w:pStyle w:val="TableParagraph"/>
              <w:spacing w:before="32"/>
              <w:ind w:left="91"/>
              <w:rPr>
                <w:sz w:val="20"/>
              </w:rPr>
            </w:pPr>
            <w:r>
              <w:rPr>
                <w:sz w:val="20"/>
              </w:rPr>
              <w:t>budget</w:t>
            </w:r>
            <w:r>
              <w:rPr>
                <w:spacing w:val="-12"/>
                <w:sz w:val="20"/>
              </w:rPr>
              <w:t> </w:t>
            </w:r>
            <w:r>
              <w:rPr>
                <w:sz w:val="20"/>
              </w:rPr>
              <w:t>for</w:t>
            </w:r>
            <w:r>
              <w:rPr>
                <w:spacing w:val="-11"/>
                <w:sz w:val="20"/>
              </w:rPr>
              <w:t> </w:t>
            </w:r>
            <w:r>
              <w:rPr>
                <w:spacing w:val="-4"/>
                <w:sz w:val="20"/>
              </w:rPr>
              <w:t>2000</w:t>
            </w:r>
          </w:p>
        </w:tc>
        <w:tc>
          <w:tcPr>
            <w:tcW w:w="1623" w:type="dxa"/>
            <w:shd w:val="clear" w:color="auto" w:fill="D0D5CD"/>
          </w:tcPr>
          <w:p>
            <w:pPr>
              <w:pStyle w:val="TableParagraph"/>
              <w:spacing w:before="32"/>
              <w:ind w:left="131" w:right="135"/>
              <w:jc w:val="center"/>
              <w:rPr>
                <w:sz w:val="20"/>
              </w:rPr>
            </w:pPr>
            <w:r>
              <w:rPr>
                <w:spacing w:val="-5"/>
                <w:sz w:val="20"/>
              </w:rPr>
              <w:t>10</w:t>
            </w:r>
          </w:p>
        </w:tc>
      </w:tr>
      <w:tr>
        <w:trPr>
          <w:trHeight w:val="292" w:hRule="atLeast"/>
        </w:trPr>
        <w:tc>
          <w:tcPr>
            <w:tcW w:w="1623" w:type="dxa"/>
            <w:shd w:val="clear" w:color="auto" w:fill="E9E9E9"/>
          </w:tcPr>
          <w:p>
            <w:pPr>
              <w:pStyle w:val="TableParagraph"/>
              <w:spacing w:before="32"/>
              <w:ind w:left="90"/>
              <w:rPr>
                <w:sz w:val="20"/>
              </w:rPr>
            </w:pPr>
            <w:r>
              <w:rPr>
                <w:spacing w:val="-2"/>
                <w:sz w:val="20"/>
              </w:rPr>
              <w:t>China</w:t>
            </w:r>
          </w:p>
        </w:tc>
        <w:tc>
          <w:tcPr>
            <w:tcW w:w="1623" w:type="dxa"/>
            <w:shd w:val="clear" w:color="auto" w:fill="E9E9E9"/>
          </w:tcPr>
          <w:p>
            <w:pPr>
              <w:pStyle w:val="TableParagraph"/>
              <w:spacing w:before="32"/>
              <w:ind w:left="90"/>
              <w:rPr>
                <w:sz w:val="20"/>
              </w:rPr>
            </w:pPr>
            <w:r>
              <w:rPr>
                <w:spacing w:val="-2"/>
                <w:sz w:val="20"/>
              </w:rPr>
              <w:t>CCRTVU</w:t>
            </w:r>
          </w:p>
        </w:tc>
        <w:tc>
          <w:tcPr>
            <w:tcW w:w="1623" w:type="dxa"/>
            <w:shd w:val="clear" w:color="auto" w:fill="E9E9E9"/>
          </w:tcPr>
          <w:p>
            <w:pPr>
              <w:pStyle w:val="TableParagraph"/>
              <w:spacing w:before="32"/>
              <w:ind w:right="67"/>
              <w:jc w:val="center"/>
              <w:rPr>
                <w:sz w:val="20"/>
              </w:rPr>
            </w:pPr>
            <w:r>
              <w:rPr>
                <w:spacing w:val="-2"/>
                <w:sz w:val="20"/>
              </w:rPr>
              <w:t>2,300,000</w:t>
            </w:r>
          </w:p>
        </w:tc>
        <w:tc>
          <w:tcPr>
            <w:tcW w:w="1623" w:type="dxa"/>
            <w:shd w:val="clear" w:color="auto" w:fill="E9E9E9"/>
          </w:tcPr>
          <w:p>
            <w:pPr>
              <w:pStyle w:val="TableParagraph"/>
              <w:spacing w:before="0"/>
              <w:rPr>
                <w:sz w:val="20"/>
              </w:rPr>
            </w:pPr>
          </w:p>
        </w:tc>
        <w:tc>
          <w:tcPr>
            <w:tcW w:w="1623" w:type="dxa"/>
            <w:shd w:val="clear" w:color="auto" w:fill="E9E9E9"/>
          </w:tcPr>
          <w:p>
            <w:pPr>
              <w:pStyle w:val="TableParagraph"/>
              <w:spacing w:before="0"/>
              <w:rPr>
                <w:sz w:val="20"/>
              </w:rPr>
            </w:pPr>
          </w:p>
        </w:tc>
        <w:tc>
          <w:tcPr>
            <w:tcW w:w="1623" w:type="dxa"/>
            <w:shd w:val="clear" w:color="auto" w:fill="E9E9E9"/>
          </w:tcPr>
          <w:p>
            <w:pPr>
              <w:pStyle w:val="TableParagraph"/>
              <w:spacing w:before="32"/>
              <w:ind w:left="131" w:right="135"/>
              <w:jc w:val="center"/>
              <w:rPr>
                <w:sz w:val="20"/>
              </w:rPr>
            </w:pPr>
            <w:r>
              <w:rPr>
                <w:spacing w:val="-5"/>
                <w:sz w:val="20"/>
              </w:rPr>
              <w:t>40</w:t>
            </w:r>
          </w:p>
        </w:tc>
      </w:tr>
      <w:tr>
        <w:trPr>
          <w:trHeight w:val="292" w:hRule="atLeast"/>
        </w:trPr>
        <w:tc>
          <w:tcPr>
            <w:tcW w:w="1623" w:type="dxa"/>
            <w:shd w:val="clear" w:color="auto" w:fill="D0D5CD"/>
          </w:tcPr>
          <w:p>
            <w:pPr>
              <w:pStyle w:val="TableParagraph"/>
              <w:spacing w:before="32"/>
              <w:ind w:left="89"/>
              <w:rPr>
                <w:sz w:val="20"/>
              </w:rPr>
            </w:pPr>
            <w:r>
              <w:rPr>
                <w:spacing w:val="-2"/>
                <w:sz w:val="20"/>
              </w:rPr>
              <w:t>France</w:t>
            </w:r>
          </w:p>
        </w:tc>
        <w:tc>
          <w:tcPr>
            <w:tcW w:w="1623" w:type="dxa"/>
            <w:shd w:val="clear" w:color="auto" w:fill="D0D5CD"/>
          </w:tcPr>
          <w:p>
            <w:pPr>
              <w:pStyle w:val="TableParagraph"/>
              <w:spacing w:before="32"/>
              <w:ind w:left="90"/>
              <w:rPr>
                <w:sz w:val="20"/>
              </w:rPr>
            </w:pPr>
            <w:r>
              <w:rPr>
                <w:spacing w:val="-4"/>
                <w:w w:val="105"/>
                <w:sz w:val="20"/>
              </w:rPr>
              <w:t>CNED</w:t>
            </w:r>
          </w:p>
        </w:tc>
        <w:tc>
          <w:tcPr>
            <w:tcW w:w="1623" w:type="dxa"/>
            <w:shd w:val="clear" w:color="auto" w:fill="D0D5CD"/>
          </w:tcPr>
          <w:p>
            <w:pPr>
              <w:pStyle w:val="TableParagraph"/>
              <w:spacing w:before="32"/>
              <w:ind w:left="80"/>
              <w:jc w:val="center"/>
              <w:rPr>
                <w:sz w:val="20"/>
              </w:rPr>
            </w:pPr>
            <w:r>
              <w:rPr>
                <w:spacing w:val="-2"/>
                <w:sz w:val="20"/>
              </w:rPr>
              <w:t>184,614</w:t>
            </w:r>
          </w:p>
        </w:tc>
        <w:tc>
          <w:tcPr>
            <w:tcW w:w="1623" w:type="dxa"/>
            <w:shd w:val="clear" w:color="auto" w:fill="D0D5CD"/>
          </w:tcPr>
          <w:p>
            <w:pPr>
              <w:pStyle w:val="TableParagraph"/>
              <w:spacing w:before="32"/>
              <w:ind w:right="441"/>
              <w:jc w:val="right"/>
              <w:rPr>
                <w:sz w:val="20"/>
              </w:rPr>
            </w:pPr>
            <w:r>
              <w:rPr>
                <w:spacing w:val="-4"/>
                <w:sz w:val="20"/>
              </w:rPr>
              <w:t>56.0</w:t>
            </w:r>
          </w:p>
        </w:tc>
        <w:tc>
          <w:tcPr>
            <w:tcW w:w="1623" w:type="dxa"/>
            <w:shd w:val="clear" w:color="auto" w:fill="D0D5CD"/>
          </w:tcPr>
          <w:p>
            <w:pPr>
              <w:pStyle w:val="TableParagraph"/>
              <w:spacing w:before="32"/>
              <w:ind w:left="91"/>
              <w:rPr>
                <w:sz w:val="20"/>
              </w:rPr>
            </w:pPr>
            <w:r>
              <w:rPr>
                <w:sz w:val="20"/>
              </w:rPr>
              <w:t>1995 </w:t>
            </w:r>
            <w:r>
              <w:rPr>
                <w:spacing w:val="-2"/>
                <w:sz w:val="20"/>
              </w:rPr>
              <w:t>figure</w:t>
            </w:r>
          </w:p>
        </w:tc>
        <w:tc>
          <w:tcPr>
            <w:tcW w:w="1623" w:type="dxa"/>
            <w:shd w:val="clear" w:color="auto" w:fill="D0D5CD"/>
          </w:tcPr>
          <w:p>
            <w:pPr>
              <w:pStyle w:val="TableParagraph"/>
              <w:spacing w:before="32"/>
              <w:ind w:left="131" w:right="135"/>
              <w:jc w:val="center"/>
              <w:rPr>
                <w:sz w:val="20"/>
              </w:rPr>
            </w:pPr>
            <w:r>
              <w:rPr>
                <w:spacing w:val="-5"/>
                <w:sz w:val="20"/>
              </w:rPr>
              <w:t>50</w:t>
            </w:r>
          </w:p>
        </w:tc>
      </w:tr>
      <w:tr>
        <w:trPr>
          <w:trHeight w:val="292" w:hRule="atLeast"/>
        </w:trPr>
        <w:tc>
          <w:tcPr>
            <w:tcW w:w="1623" w:type="dxa"/>
            <w:shd w:val="clear" w:color="auto" w:fill="E9E9E9"/>
          </w:tcPr>
          <w:p>
            <w:pPr>
              <w:pStyle w:val="TableParagraph"/>
              <w:spacing w:before="32"/>
              <w:ind w:left="89"/>
              <w:rPr>
                <w:sz w:val="20"/>
              </w:rPr>
            </w:pPr>
            <w:r>
              <w:rPr>
                <w:spacing w:val="-2"/>
                <w:sz w:val="20"/>
              </w:rPr>
              <w:t>India</w:t>
            </w:r>
          </w:p>
        </w:tc>
        <w:tc>
          <w:tcPr>
            <w:tcW w:w="1623" w:type="dxa"/>
            <w:shd w:val="clear" w:color="auto" w:fill="E9E9E9"/>
          </w:tcPr>
          <w:p>
            <w:pPr>
              <w:pStyle w:val="TableParagraph"/>
              <w:spacing w:before="32"/>
              <w:ind w:left="90"/>
              <w:rPr>
                <w:sz w:val="20"/>
              </w:rPr>
            </w:pPr>
            <w:r>
              <w:rPr>
                <w:spacing w:val="-2"/>
                <w:w w:val="105"/>
                <w:sz w:val="20"/>
              </w:rPr>
              <w:t>IGNOU</w:t>
            </w:r>
          </w:p>
        </w:tc>
        <w:tc>
          <w:tcPr>
            <w:tcW w:w="1623" w:type="dxa"/>
            <w:shd w:val="clear" w:color="auto" w:fill="E9E9E9"/>
          </w:tcPr>
          <w:p>
            <w:pPr>
              <w:pStyle w:val="TableParagraph"/>
              <w:spacing w:before="32"/>
              <w:ind w:right="67"/>
              <w:jc w:val="center"/>
              <w:rPr>
                <w:sz w:val="20"/>
              </w:rPr>
            </w:pPr>
            <w:r>
              <w:rPr>
                <w:spacing w:val="-2"/>
                <w:sz w:val="20"/>
              </w:rPr>
              <w:t>1,187,100</w:t>
            </w:r>
          </w:p>
        </w:tc>
        <w:tc>
          <w:tcPr>
            <w:tcW w:w="1623" w:type="dxa"/>
            <w:shd w:val="clear" w:color="auto" w:fill="E9E9E9"/>
          </w:tcPr>
          <w:p>
            <w:pPr>
              <w:pStyle w:val="TableParagraph"/>
              <w:spacing w:before="32"/>
              <w:ind w:right="441"/>
              <w:jc w:val="right"/>
              <w:rPr>
                <w:sz w:val="20"/>
              </w:rPr>
            </w:pPr>
            <w:r>
              <w:rPr>
                <w:spacing w:val="-4"/>
                <w:sz w:val="20"/>
              </w:rPr>
              <w:t>47.0</w:t>
            </w:r>
          </w:p>
        </w:tc>
        <w:tc>
          <w:tcPr>
            <w:tcW w:w="1623" w:type="dxa"/>
            <w:shd w:val="clear" w:color="auto" w:fill="E9E9E9"/>
          </w:tcPr>
          <w:p>
            <w:pPr>
              <w:pStyle w:val="TableParagraph"/>
              <w:spacing w:before="32"/>
              <w:ind w:left="91"/>
              <w:rPr>
                <w:sz w:val="20"/>
              </w:rPr>
            </w:pPr>
            <w:r>
              <w:rPr>
                <w:sz w:val="20"/>
              </w:rPr>
              <w:t>budget</w:t>
            </w:r>
            <w:r>
              <w:rPr>
                <w:spacing w:val="-12"/>
                <w:sz w:val="20"/>
              </w:rPr>
              <w:t> </w:t>
            </w:r>
            <w:r>
              <w:rPr>
                <w:sz w:val="20"/>
              </w:rPr>
              <w:t>for</w:t>
            </w:r>
            <w:r>
              <w:rPr>
                <w:spacing w:val="-11"/>
                <w:sz w:val="20"/>
              </w:rPr>
              <w:t> </w:t>
            </w:r>
            <w:r>
              <w:rPr>
                <w:spacing w:val="-4"/>
                <w:sz w:val="20"/>
              </w:rPr>
              <w:t>2004</w:t>
            </w:r>
          </w:p>
        </w:tc>
        <w:tc>
          <w:tcPr>
            <w:tcW w:w="1623" w:type="dxa"/>
            <w:shd w:val="clear" w:color="auto" w:fill="E9E9E9"/>
          </w:tcPr>
          <w:p>
            <w:pPr>
              <w:pStyle w:val="TableParagraph"/>
              <w:spacing w:before="32"/>
              <w:ind w:left="131" w:right="135"/>
              <w:jc w:val="center"/>
              <w:rPr>
                <w:sz w:val="20"/>
              </w:rPr>
            </w:pPr>
            <w:r>
              <w:rPr>
                <w:spacing w:val="-5"/>
                <w:sz w:val="20"/>
              </w:rPr>
              <w:t>35</w:t>
            </w:r>
          </w:p>
        </w:tc>
      </w:tr>
      <w:tr>
        <w:trPr>
          <w:trHeight w:val="292" w:hRule="atLeast"/>
        </w:trPr>
        <w:tc>
          <w:tcPr>
            <w:tcW w:w="1623" w:type="dxa"/>
            <w:shd w:val="clear" w:color="auto" w:fill="D0D5CD"/>
          </w:tcPr>
          <w:p>
            <w:pPr>
              <w:pStyle w:val="TableParagraph"/>
              <w:spacing w:before="32"/>
              <w:ind w:left="89"/>
              <w:rPr>
                <w:sz w:val="20"/>
              </w:rPr>
            </w:pPr>
            <w:r>
              <w:rPr>
                <w:spacing w:val="-2"/>
                <w:sz w:val="20"/>
              </w:rPr>
              <w:t>Korea</w:t>
            </w:r>
          </w:p>
        </w:tc>
        <w:tc>
          <w:tcPr>
            <w:tcW w:w="1623" w:type="dxa"/>
            <w:shd w:val="clear" w:color="auto" w:fill="D0D5CD"/>
          </w:tcPr>
          <w:p>
            <w:pPr>
              <w:pStyle w:val="TableParagraph"/>
              <w:spacing w:before="32"/>
              <w:ind w:left="90"/>
              <w:rPr>
                <w:sz w:val="20"/>
              </w:rPr>
            </w:pPr>
            <w:r>
              <w:rPr>
                <w:spacing w:val="-4"/>
                <w:w w:val="105"/>
                <w:sz w:val="20"/>
              </w:rPr>
              <w:t>KNOU</w:t>
            </w:r>
          </w:p>
        </w:tc>
        <w:tc>
          <w:tcPr>
            <w:tcW w:w="1623" w:type="dxa"/>
            <w:shd w:val="clear" w:color="auto" w:fill="D0D5CD"/>
          </w:tcPr>
          <w:p>
            <w:pPr>
              <w:pStyle w:val="TableParagraph"/>
              <w:spacing w:before="32"/>
              <w:ind w:left="80"/>
              <w:jc w:val="center"/>
              <w:rPr>
                <w:sz w:val="20"/>
              </w:rPr>
            </w:pPr>
            <w:r>
              <w:rPr>
                <w:spacing w:val="-2"/>
                <w:sz w:val="20"/>
              </w:rPr>
              <w:t>196,402</w:t>
            </w:r>
          </w:p>
        </w:tc>
        <w:tc>
          <w:tcPr>
            <w:tcW w:w="1623" w:type="dxa"/>
            <w:shd w:val="clear" w:color="auto" w:fill="D0D5CD"/>
          </w:tcPr>
          <w:p>
            <w:pPr>
              <w:pStyle w:val="TableParagraph"/>
              <w:spacing w:before="32"/>
              <w:ind w:right="441"/>
              <w:jc w:val="right"/>
              <w:rPr>
                <w:sz w:val="20"/>
              </w:rPr>
            </w:pPr>
            <w:r>
              <w:rPr>
                <w:sz w:val="20"/>
              </w:rPr>
              <w:t>&gt;</w:t>
            </w:r>
            <w:r>
              <w:rPr>
                <w:spacing w:val="61"/>
                <w:w w:val="150"/>
                <w:sz w:val="20"/>
              </w:rPr>
              <w:t> </w:t>
            </w:r>
            <w:r>
              <w:rPr>
                <w:spacing w:val="-4"/>
                <w:sz w:val="20"/>
              </w:rPr>
              <w:t>79.0</w:t>
            </w:r>
          </w:p>
        </w:tc>
        <w:tc>
          <w:tcPr>
            <w:tcW w:w="1623" w:type="dxa"/>
            <w:shd w:val="clear" w:color="auto" w:fill="D0D5CD"/>
          </w:tcPr>
          <w:p>
            <w:pPr>
              <w:pStyle w:val="TableParagraph"/>
              <w:spacing w:before="32"/>
              <w:ind w:left="91"/>
              <w:rPr>
                <w:sz w:val="20"/>
              </w:rPr>
            </w:pPr>
            <w:r>
              <w:rPr>
                <w:sz w:val="20"/>
              </w:rPr>
              <w:t>1995 </w:t>
            </w:r>
            <w:r>
              <w:rPr>
                <w:spacing w:val="-2"/>
                <w:sz w:val="20"/>
              </w:rPr>
              <w:t>figure</w:t>
            </w:r>
          </w:p>
        </w:tc>
        <w:tc>
          <w:tcPr>
            <w:tcW w:w="1623" w:type="dxa"/>
            <w:shd w:val="clear" w:color="auto" w:fill="D0D5CD"/>
          </w:tcPr>
          <w:p>
            <w:pPr>
              <w:pStyle w:val="TableParagraph"/>
              <w:spacing w:before="32"/>
              <w:ind w:left="93"/>
              <w:jc w:val="center"/>
              <w:rPr>
                <w:sz w:val="20"/>
              </w:rPr>
            </w:pPr>
            <w:r>
              <w:rPr>
                <w:spacing w:val="-10"/>
                <w:sz w:val="20"/>
              </w:rPr>
              <w:t>5</w:t>
            </w:r>
          </w:p>
        </w:tc>
      </w:tr>
      <w:tr>
        <w:trPr>
          <w:trHeight w:val="292" w:hRule="atLeast"/>
        </w:trPr>
        <w:tc>
          <w:tcPr>
            <w:tcW w:w="1623" w:type="dxa"/>
            <w:shd w:val="clear" w:color="auto" w:fill="E9E9E9"/>
          </w:tcPr>
          <w:p>
            <w:pPr>
              <w:pStyle w:val="TableParagraph"/>
              <w:spacing w:before="32"/>
              <w:ind w:left="90"/>
              <w:rPr>
                <w:sz w:val="20"/>
              </w:rPr>
            </w:pPr>
            <w:r>
              <w:rPr>
                <w:spacing w:val="-5"/>
                <w:sz w:val="20"/>
              </w:rPr>
              <w:t>UK</w:t>
            </w:r>
          </w:p>
        </w:tc>
        <w:tc>
          <w:tcPr>
            <w:tcW w:w="1623" w:type="dxa"/>
            <w:shd w:val="clear" w:color="auto" w:fill="E9E9E9"/>
          </w:tcPr>
          <w:p>
            <w:pPr>
              <w:pStyle w:val="TableParagraph"/>
              <w:spacing w:before="32"/>
              <w:ind w:left="90"/>
              <w:rPr>
                <w:sz w:val="20"/>
              </w:rPr>
            </w:pPr>
            <w:r>
              <w:rPr>
                <w:spacing w:val="-5"/>
                <w:w w:val="105"/>
                <w:sz w:val="20"/>
              </w:rPr>
              <w:t>OU</w:t>
            </w:r>
          </w:p>
        </w:tc>
        <w:tc>
          <w:tcPr>
            <w:tcW w:w="1623" w:type="dxa"/>
            <w:shd w:val="clear" w:color="auto" w:fill="E9E9E9"/>
          </w:tcPr>
          <w:p>
            <w:pPr>
              <w:pStyle w:val="TableParagraph"/>
              <w:spacing w:before="32"/>
              <w:ind w:left="80"/>
              <w:jc w:val="center"/>
              <w:rPr>
                <w:sz w:val="20"/>
              </w:rPr>
            </w:pPr>
            <w:r>
              <w:rPr>
                <w:spacing w:val="-2"/>
                <w:sz w:val="20"/>
              </w:rPr>
              <w:t>203,744</w:t>
            </w:r>
          </w:p>
        </w:tc>
        <w:tc>
          <w:tcPr>
            <w:tcW w:w="1623" w:type="dxa"/>
            <w:shd w:val="clear" w:color="auto" w:fill="E9E9E9"/>
          </w:tcPr>
          <w:p>
            <w:pPr>
              <w:pStyle w:val="TableParagraph"/>
              <w:spacing w:before="32"/>
              <w:ind w:right="441"/>
              <w:jc w:val="right"/>
              <w:rPr>
                <w:sz w:val="20"/>
              </w:rPr>
            </w:pPr>
            <w:r>
              <w:rPr>
                <w:spacing w:val="-14"/>
                <w:sz w:val="20"/>
              </w:rPr>
              <w:t>&gt;</w:t>
            </w:r>
            <w:r>
              <w:rPr>
                <w:sz w:val="20"/>
              </w:rPr>
              <w:t> </w:t>
            </w:r>
            <w:r>
              <w:rPr>
                <w:spacing w:val="-2"/>
                <w:sz w:val="20"/>
              </w:rPr>
              <w:t>300.0</w:t>
            </w:r>
          </w:p>
        </w:tc>
        <w:tc>
          <w:tcPr>
            <w:tcW w:w="1623" w:type="dxa"/>
            <w:shd w:val="clear" w:color="auto" w:fill="E9E9E9"/>
          </w:tcPr>
          <w:p>
            <w:pPr>
              <w:pStyle w:val="TableParagraph"/>
              <w:spacing w:before="32"/>
              <w:ind w:left="91"/>
              <w:rPr>
                <w:sz w:val="20"/>
              </w:rPr>
            </w:pPr>
            <w:r>
              <w:rPr>
                <w:sz w:val="20"/>
              </w:rPr>
              <w:t>1995 </w:t>
            </w:r>
            <w:r>
              <w:rPr>
                <w:spacing w:val="-2"/>
                <w:sz w:val="20"/>
              </w:rPr>
              <w:t>figure</w:t>
            </w:r>
          </w:p>
        </w:tc>
        <w:tc>
          <w:tcPr>
            <w:tcW w:w="1623" w:type="dxa"/>
            <w:shd w:val="clear" w:color="auto" w:fill="E9E9E9"/>
          </w:tcPr>
          <w:p>
            <w:pPr>
              <w:pStyle w:val="TableParagraph"/>
              <w:spacing w:before="32"/>
              <w:ind w:left="131" w:right="135"/>
              <w:jc w:val="center"/>
              <w:rPr>
                <w:sz w:val="20"/>
              </w:rPr>
            </w:pPr>
            <w:r>
              <w:rPr>
                <w:spacing w:val="-5"/>
                <w:sz w:val="20"/>
              </w:rPr>
              <w:t>50</w:t>
            </w:r>
          </w:p>
        </w:tc>
      </w:tr>
      <w:tr>
        <w:trPr>
          <w:trHeight w:val="292" w:hRule="atLeast"/>
        </w:trPr>
        <w:tc>
          <w:tcPr>
            <w:tcW w:w="1623" w:type="dxa"/>
            <w:shd w:val="clear" w:color="auto" w:fill="D0D5CD"/>
          </w:tcPr>
          <w:p>
            <w:pPr>
              <w:pStyle w:val="TableParagraph"/>
              <w:spacing w:before="32"/>
              <w:ind w:left="90"/>
              <w:rPr>
                <w:sz w:val="20"/>
              </w:rPr>
            </w:pPr>
            <w:r>
              <w:rPr>
                <w:spacing w:val="-2"/>
                <w:sz w:val="20"/>
              </w:rPr>
              <w:t>Thailand</w:t>
            </w:r>
          </w:p>
        </w:tc>
        <w:tc>
          <w:tcPr>
            <w:tcW w:w="1623" w:type="dxa"/>
            <w:shd w:val="clear" w:color="auto" w:fill="D0D5CD"/>
          </w:tcPr>
          <w:p>
            <w:pPr>
              <w:pStyle w:val="TableParagraph"/>
              <w:spacing w:before="32"/>
              <w:ind w:left="90"/>
              <w:rPr>
                <w:sz w:val="20"/>
              </w:rPr>
            </w:pPr>
            <w:r>
              <w:rPr>
                <w:spacing w:val="-4"/>
                <w:sz w:val="20"/>
              </w:rPr>
              <w:t>STOU</w:t>
            </w:r>
          </w:p>
        </w:tc>
        <w:tc>
          <w:tcPr>
            <w:tcW w:w="1623" w:type="dxa"/>
            <w:shd w:val="clear" w:color="auto" w:fill="D0D5CD"/>
          </w:tcPr>
          <w:p>
            <w:pPr>
              <w:pStyle w:val="TableParagraph"/>
              <w:spacing w:before="32"/>
              <w:ind w:left="80"/>
              <w:jc w:val="center"/>
              <w:rPr>
                <w:sz w:val="20"/>
              </w:rPr>
            </w:pPr>
            <w:r>
              <w:rPr>
                <w:spacing w:val="-2"/>
                <w:sz w:val="20"/>
              </w:rPr>
              <w:t>181,372</w:t>
            </w:r>
          </w:p>
        </w:tc>
        <w:tc>
          <w:tcPr>
            <w:tcW w:w="1623" w:type="dxa"/>
            <w:shd w:val="clear" w:color="auto" w:fill="D0D5CD"/>
          </w:tcPr>
          <w:p>
            <w:pPr>
              <w:pStyle w:val="TableParagraph"/>
              <w:spacing w:before="32"/>
              <w:ind w:right="441"/>
              <w:jc w:val="right"/>
              <w:rPr>
                <w:sz w:val="20"/>
              </w:rPr>
            </w:pPr>
            <w:r>
              <w:rPr>
                <w:sz w:val="20"/>
              </w:rPr>
              <w:t>&gt;</w:t>
            </w:r>
            <w:r>
              <w:rPr>
                <w:spacing w:val="61"/>
                <w:w w:val="150"/>
                <w:sz w:val="20"/>
              </w:rPr>
              <w:t> </w:t>
            </w:r>
            <w:r>
              <w:rPr>
                <w:spacing w:val="-4"/>
                <w:sz w:val="20"/>
              </w:rPr>
              <w:t>46.0</w:t>
            </w:r>
          </w:p>
        </w:tc>
        <w:tc>
          <w:tcPr>
            <w:tcW w:w="1623" w:type="dxa"/>
            <w:shd w:val="clear" w:color="auto" w:fill="D0D5CD"/>
          </w:tcPr>
          <w:p>
            <w:pPr>
              <w:pStyle w:val="TableParagraph"/>
              <w:spacing w:before="32"/>
              <w:ind w:left="91"/>
              <w:rPr>
                <w:sz w:val="20"/>
              </w:rPr>
            </w:pPr>
            <w:r>
              <w:rPr>
                <w:sz w:val="20"/>
              </w:rPr>
              <w:t>1995 </w:t>
            </w:r>
            <w:r>
              <w:rPr>
                <w:spacing w:val="-2"/>
                <w:sz w:val="20"/>
              </w:rPr>
              <w:t>figure</w:t>
            </w:r>
          </w:p>
        </w:tc>
        <w:tc>
          <w:tcPr>
            <w:tcW w:w="1623" w:type="dxa"/>
            <w:shd w:val="clear" w:color="auto" w:fill="D0D5CD"/>
          </w:tcPr>
          <w:p>
            <w:pPr>
              <w:pStyle w:val="TableParagraph"/>
              <w:spacing w:before="32"/>
              <w:ind w:left="131" w:right="135"/>
              <w:jc w:val="center"/>
              <w:rPr>
                <w:sz w:val="20"/>
              </w:rPr>
            </w:pPr>
            <w:r>
              <w:rPr>
                <w:spacing w:val="-5"/>
                <w:sz w:val="20"/>
              </w:rPr>
              <w:t>30</w:t>
            </w:r>
          </w:p>
        </w:tc>
      </w:tr>
      <w:tr>
        <w:trPr>
          <w:trHeight w:val="292" w:hRule="atLeast"/>
        </w:trPr>
        <w:tc>
          <w:tcPr>
            <w:tcW w:w="1623" w:type="dxa"/>
            <w:shd w:val="clear" w:color="auto" w:fill="E9E9E9"/>
          </w:tcPr>
          <w:p>
            <w:pPr>
              <w:pStyle w:val="TableParagraph"/>
              <w:spacing w:before="32"/>
              <w:ind w:left="89"/>
              <w:rPr>
                <w:sz w:val="20"/>
              </w:rPr>
            </w:pPr>
            <w:r>
              <w:rPr>
                <w:spacing w:val="-2"/>
                <w:sz w:val="20"/>
              </w:rPr>
              <w:t>Indonesia</w:t>
            </w:r>
          </w:p>
        </w:tc>
        <w:tc>
          <w:tcPr>
            <w:tcW w:w="1623" w:type="dxa"/>
            <w:shd w:val="clear" w:color="auto" w:fill="E9E9E9"/>
          </w:tcPr>
          <w:p>
            <w:pPr>
              <w:pStyle w:val="TableParagraph"/>
              <w:spacing w:before="32"/>
              <w:ind w:left="90"/>
              <w:rPr>
                <w:sz w:val="20"/>
              </w:rPr>
            </w:pPr>
            <w:r>
              <w:rPr>
                <w:spacing w:val="-5"/>
                <w:w w:val="105"/>
                <w:sz w:val="20"/>
              </w:rPr>
              <w:t>UT</w:t>
            </w:r>
          </w:p>
        </w:tc>
        <w:tc>
          <w:tcPr>
            <w:tcW w:w="1623" w:type="dxa"/>
            <w:shd w:val="clear" w:color="auto" w:fill="E9E9E9"/>
          </w:tcPr>
          <w:p>
            <w:pPr>
              <w:pStyle w:val="TableParagraph"/>
              <w:spacing w:before="32"/>
              <w:ind w:left="80"/>
              <w:jc w:val="center"/>
              <w:rPr>
                <w:sz w:val="20"/>
              </w:rPr>
            </w:pPr>
            <w:r>
              <w:rPr>
                <w:spacing w:val="-2"/>
                <w:sz w:val="20"/>
              </w:rPr>
              <w:t>222,068</w:t>
            </w:r>
          </w:p>
        </w:tc>
        <w:tc>
          <w:tcPr>
            <w:tcW w:w="1623" w:type="dxa"/>
            <w:shd w:val="clear" w:color="auto" w:fill="E9E9E9"/>
          </w:tcPr>
          <w:p>
            <w:pPr>
              <w:pStyle w:val="TableParagraph"/>
              <w:spacing w:before="32"/>
              <w:ind w:right="441"/>
              <w:jc w:val="right"/>
              <w:rPr>
                <w:sz w:val="20"/>
              </w:rPr>
            </w:pPr>
            <w:r>
              <w:rPr>
                <w:sz w:val="20"/>
              </w:rPr>
              <w:t>&gt;</w:t>
            </w:r>
            <w:r>
              <w:rPr>
                <w:spacing w:val="61"/>
                <w:w w:val="150"/>
                <w:sz w:val="20"/>
              </w:rPr>
              <w:t> </w:t>
            </w:r>
            <w:r>
              <w:rPr>
                <w:spacing w:val="-4"/>
                <w:sz w:val="20"/>
              </w:rPr>
              <w:t>21.0</w:t>
            </w:r>
          </w:p>
        </w:tc>
        <w:tc>
          <w:tcPr>
            <w:tcW w:w="1623" w:type="dxa"/>
            <w:shd w:val="clear" w:color="auto" w:fill="E9E9E9"/>
          </w:tcPr>
          <w:p>
            <w:pPr>
              <w:pStyle w:val="TableParagraph"/>
              <w:spacing w:before="32"/>
              <w:ind w:left="91"/>
              <w:rPr>
                <w:sz w:val="20"/>
              </w:rPr>
            </w:pPr>
            <w:r>
              <w:rPr>
                <w:sz w:val="20"/>
              </w:rPr>
              <w:t>1995 </w:t>
            </w:r>
            <w:r>
              <w:rPr>
                <w:spacing w:val="-2"/>
                <w:sz w:val="20"/>
              </w:rPr>
              <w:t>figure</w:t>
            </w:r>
          </w:p>
        </w:tc>
        <w:tc>
          <w:tcPr>
            <w:tcW w:w="1623" w:type="dxa"/>
            <w:shd w:val="clear" w:color="auto" w:fill="E9E9E9"/>
          </w:tcPr>
          <w:p>
            <w:pPr>
              <w:pStyle w:val="TableParagraph"/>
              <w:spacing w:before="32"/>
              <w:ind w:left="131" w:right="135"/>
              <w:jc w:val="center"/>
              <w:rPr>
                <w:sz w:val="20"/>
              </w:rPr>
            </w:pPr>
            <w:r>
              <w:rPr>
                <w:spacing w:val="-5"/>
                <w:sz w:val="20"/>
              </w:rPr>
              <w:t>15</w:t>
            </w:r>
          </w:p>
        </w:tc>
      </w:tr>
    </w:tbl>
    <w:p>
      <w:pPr>
        <w:spacing w:before="56"/>
        <w:ind w:left="1080" w:right="0" w:firstLine="0"/>
        <w:jc w:val="left"/>
        <w:rPr>
          <w:sz w:val="16"/>
        </w:rPr>
      </w:pPr>
      <w:r>
        <w:rPr>
          <w:spacing w:val="-2"/>
          <w:sz w:val="16"/>
        </w:rPr>
        <w:t>*</w:t>
      </w:r>
      <w:r>
        <w:rPr>
          <w:spacing w:val="-6"/>
          <w:sz w:val="16"/>
        </w:rPr>
        <w:t> </w:t>
      </w:r>
      <w:r>
        <w:rPr>
          <w:spacing w:val="-2"/>
          <w:sz w:val="16"/>
        </w:rPr>
        <w:t>Unit</w:t>
      </w:r>
      <w:r>
        <w:rPr>
          <w:spacing w:val="-6"/>
          <w:sz w:val="16"/>
        </w:rPr>
        <w:t> </w:t>
      </w:r>
      <w:r>
        <w:rPr>
          <w:spacing w:val="-2"/>
          <w:sz w:val="16"/>
        </w:rPr>
        <w:t>cost</w:t>
      </w:r>
      <w:r>
        <w:rPr>
          <w:spacing w:val="-6"/>
          <w:sz w:val="16"/>
        </w:rPr>
        <w:t> </w:t>
      </w:r>
      <w:r>
        <w:rPr>
          <w:spacing w:val="-2"/>
          <w:sz w:val="16"/>
        </w:rPr>
        <w:t>per</w:t>
      </w:r>
      <w:r>
        <w:rPr>
          <w:spacing w:val="-6"/>
          <w:sz w:val="16"/>
        </w:rPr>
        <w:t> </w:t>
      </w:r>
      <w:r>
        <w:rPr>
          <w:spacing w:val="-2"/>
          <w:sz w:val="16"/>
        </w:rPr>
        <w:t>student</w:t>
      </w:r>
      <w:r>
        <w:rPr>
          <w:spacing w:val="-6"/>
          <w:sz w:val="16"/>
        </w:rPr>
        <w:t> </w:t>
      </w:r>
      <w:r>
        <w:rPr>
          <w:spacing w:val="-2"/>
          <w:sz w:val="16"/>
        </w:rPr>
        <w:t>as</w:t>
      </w:r>
      <w:r>
        <w:rPr>
          <w:spacing w:val="-6"/>
          <w:sz w:val="16"/>
        </w:rPr>
        <w:t> </w:t>
      </w:r>
      <w:r>
        <w:rPr>
          <w:spacing w:val="-2"/>
          <w:sz w:val="16"/>
        </w:rPr>
        <w:t>a</w:t>
      </w:r>
      <w:r>
        <w:rPr>
          <w:spacing w:val="-6"/>
          <w:sz w:val="16"/>
        </w:rPr>
        <w:t> </w:t>
      </w:r>
      <w:r>
        <w:rPr>
          <w:spacing w:val="-2"/>
          <w:sz w:val="16"/>
        </w:rPr>
        <w:t>percentage</w:t>
      </w:r>
      <w:r>
        <w:rPr>
          <w:spacing w:val="-5"/>
          <w:sz w:val="16"/>
        </w:rPr>
        <w:t> </w:t>
      </w:r>
      <w:r>
        <w:rPr>
          <w:spacing w:val="-2"/>
          <w:sz w:val="16"/>
        </w:rPr>
        <w:t>of</w:t>
      </w:r>
      <w:r>
        <w:rPr>
          <w:spacing w:val="-6"/>
          <w:sz w:val="16"/>
        </w:rPr>
        <w:t> </w:t>
      </w:r>
      <w:r>
        <w:rPr>
          <w:spacing w:val="-2"/>
          <w:sz w:val="16"/>
        </w:rPr>
        <w:t>the</w:t>
      </w:r>
      <w:r>
        <w:rPr>
          <w:spacing w:val="-6"/>
          <w:sz w:val="16"/>
        </w:rPr>
        <w:t> </w:t>
      </w:r>
      <w:r>
        <w:rPr>
          <w:spacing w:val="-2"/>
          <w:sz w:val="16"/>
        </w:rPr>
        <w:t>average</w:t>
      </w:r>
      <w:r>
        <w:rPr>
          <w:spacing w:val="-6"/>
          <w:sz w:val="16"/>
        </w:rPr>
        <w:t> </w:t>
      </w:r>
      <w:r>
        <w:rPr>
          <w:spacing w:val="-2"/>
          <w:sz w:val="16"/>
        </w:rPr>
        <w:t>for</w:t>
      </w:r>
      <w:r>
        <w:rPr>
          <w:spacing w:val="-6"/>
          <w:sz w:val="16"/>
        </w:rPr>
        <w:t> </w:t>
      </w:r>
      <w:r>
        <w:rPr>
          <w:spacing w:val="-2"/>
          <w:sz w:val="16"/>
        </w:rPr>
        <w:t>other</w:t>
      </w:r>
      <w:r>
        <w:rPr>
          <w:spacing w:val="-6"/>
          <w:sz w:val="16"/>
        </w:rPr>
        <w:t> </w:t>
      </w:r>
      <w:r>
        <w:rPr>
          <w:spacing w:val="-2"/>
          <w:sz w:val="16"/>
        </w:rPr>
        <w:t>universities</w:t>
      </w:r>
      <w:r>
        <w:rPr>
          <w:spacing w:val="-6"/>
          <w:sz w:val="16"/>
        </w:rPr>
        <w:t> </w:t>
      </w:r>
      <w:r>
        <w:rPr>
          <w:spacing w:val="-2"/>
          <w:sz w:val="16"/>
        </w:rPr>
        <w:t>in</w:t>
      </w:r>
      <w:r>
        <w:rPr>
          <w:spacing w:val="-6"/>
          <w:sz w:val="16"/>
        </w:rPr>
        <w:t> </w:t>
      </w:r>
      <w:r>
        <w:rPr>
          <w:spacing w:val="-2"/>
          <w:sz w:val="16"/>
        </w:rPr>
        <w:t>the</w:t>
      </w:r>
      <w:r>
        <w:rPr>
          <w:spacing w:val="-5"/>
          <w:sz w:val="16"/>
        </w:rPr>
        <w:t> </w:t>
      </w:r>
      <w:r>
        <w:rPr>
          <w:spacing w:val="-2"/>
          <w:sz w:val="16"/>
        </w:rPr>
        <w:t>country</w:t>
      </w:r>
    </w:p>
    <w:p>
      <w:pPr>
        <w:spacing w:after="0"/>
        <w:jc w:val="left"/>
        <w:rPr>
          <w:sz w:val="16"/>
        </w:rPr>
        <w:sectPr>
          <w:type w:val="continuous"/>
          <w:pgSz w:w="11910" w:h="16840"/>
          <w:pgMar w:header="0" w:footer="675"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p>
    <w:p>
      <w:pPr>
        <w:spacing w:after="0"/>
        <w:rPr>
          <w:sz w:val="20"/>
        </w:rPr>
        <w:sectPr>
          <w:pgSz w:w="11910" w:h="16840"/>
          <w:pgMar w:header="0" w:footer="675" w:top="0" w:bottom="860" w:left="0" w:right="0"/>
        </w:sectPr>
      </w:pPr>
    </w:p>
    <w:p>
      <w:pPr>
        <w:pStyle w:val="Heading6"/>
        <w:spacing w:before="79"/>
        <w:ind w:left="1075" w:firstLine="0"/>
      </w:pPr>
      <w:r>
        <w:rPr/>
        <mc:AlternateContent>
          <mc:Choice Requires="wps">
            <w:drawing>
              <wp:anchor distT="0" distB="0" distL="0" distR="0" allowOverlap="1" layoutInCell="1" locked="0" behindDoc="0" simplePos="0" relativeHeight="15864320">
                <wp:simplePos x="0" y="0"/>
                <wp:positionH relativeFrom="page">
                  <wp:posOffset>0</wp:posOffset>
                </wp:positionH>
                <wp:positionV relativeFrom="paragraph">
                  <wp:posOffset>-2368185</wp:posOffset>
                </wp:positionV>
                <wp:extent cx="7551420" cy="1752600"/>
                <wp:effectExtent l="0" t="0" r="0" b="0"/>
                <wp:wrapNone/>
                <wp:docPr id="1989" name="Group 1989"/>
                <wp:cNvGraphicFramePr>
                  <a:graphicFrameLocks/>
                </wp:cNvGraphicFramePr>
                <a:graphic>
                  <a:graphicData uri="http://schemas.microsoft.com/office/word/2010/wordprocessingGroup">
                    <wpg:wgp>
                      <wpg:cNvPr id="1989" name="Group 1989"/>
                      <wpg:cNvGrpSpPr/>
                      <wpg:grpSpPr>
                        <a:xfrm>
                          <a:off x="0" y="0"/>
                          <a:ext cx="7551420" cy="1752600"/>
                          <a:chExt cx="7551420" cy="1752600"/>
                        </a:xfrm>
                      </wpg:grpSpPr>
                      <pic:pic>
                        <pic:nvPicPr>
                          <pic:cNvPr id="1990" name="Image 1990"/>
                          <pic:cNvPicPr/>
                        </pic:nvPicPr>
                        <pic:blipFill>
                          <a:blip r:embed="rId699" cstate="print"/>
                          <a:stretch>
                            <a:fillRect/>
                          </a:stretch>
                        </pic:blipFill>
                        <pic:spPr>
                          <a:xfrm>
                            <a:off x="0" y="0"/>
                            <a:ext cx="7551000" cy="1752562"/>
                          </a:xfrm>
                          <a:prstGeom prst="rect">
                            <a:avLst/>
                          </a:prstGeom>
                        </pic:spPr>
                      </pic:pic>
                      <wps:wsp>
                        <wps:cNvPr id="1991" name="Textbox 1991"/>
                        <wps:cNvSpPr txBox="1"/>
                        <wps:spPr>
                          <a:xfrm>
                            <a:off x="0" y="0"/>
                            <a:ext cx="7551420" cy="1752600"/>
                          </a:xfrm>
                          <a:prstGeom prst="rect">
                            <a:avLst/>
                          </a:prstGeom>
                        </wps:spPr>
                        <wps:txbx>
                          <w:txbxContent>
                            <w:p>
                              <w:pPr>
                                <w:spacing w:line="240" w:lineRule="auto" w:before="160"/>
                                <w:rPr>
                                  <w:sz w:val="68"/>
                                </w:rPr>
                              </w:pPr>
                            </w:p>
                            <w:p>
                              <w:pPr>
                                <w:spacing w:before="1"/>
                                <w:ind w:left="1075" w:right="0" w:firstLine="0"/>
                                <w:jc w:val="left"/>
                                <w:rPr>
                                  <w:rFonts w:ascii="Trebuchet MS"/>
                                  <w:b/>
                                  <w:sz w:val="68"/>
                                </w:rPr>
                              </w:pPr>
                              <w:r>
                                <w:rPr>
                                  <w:rFonts w:ascii="Trebuchet MS"/>
                                  <w:b/>
                                  <w:color w:val="FFFFFF"/>
                                  <w:sz w:val="68"/>
                                </w:rPr>
                                <w:t>More Quality </w:t>
                              </w:r>
                              <w:r>
                                <w:rPr>
                                  <w:rFonts w:ascii="Trebuchet MS"/>
                                  <w:b/>
                                  <w:color w:val="FFFFFF"/>
                                  <w:spacing w:val="-2"/>
                                  <w:sz w:val="68"/>
                                </w:rPr>
                                <w:t>Ph.Ds</w:t>
                              </w:r>
                            </w:p>
                          </w:txbxContent>
                        </wps:txbx>
                        <wps:bodyPr wrap="square" lIns="0" tIns="0" rIns="0" bIns="0" rtlCol="0">
                          <a:noAutofit/>
                        </wps:bodyPr>
                      </wps:wsp>
                    </wpg:wgp>
                  </a:graphicData>
                </a:graphic>
              </wp:anchor>
            </w:drawing>
          </mc:Choice>
          <mc:Fallback>
            <w:pict>
              <v:group style="position:absolute;margin-left:0pt;margin-top:-186.471329pt;width:594.6pt;height:138pt;mso-position-horizontal-relative:page;mso-position-vertical-relative:paragraph;z-index:15864320" id="docshapegroup1975" coordorigin="0,-3729" coordsize="11892,2760">
                <v:shape style="position:absolute;left:0;top:-3730;width:11892;height:2760" type="#_x0000_t75" id="docshape1976" stroked="false">
                  <v:imagedata r:id="rId699" o:title=""/>
                </v:shape>
                <v:shape style="position:absolute;left:0;top:-3730;width:11892;height:2760" type="#_x0000_t202" id="docshape1977" filled="false" stroked="false">
                  <v:textbox inset="0,0,0,0">
                    <w:txbxContent>
                      <w:p>
                        <w:pPr>
                          <w:spacing w:line="240" w:lineRule="auto" w:before="160"/>
                          <w:rPr>
                            <w:sz w:val="68"/>
                          </w:rPr>
                        </w:pPr>
                      </w:p>
                      <w:p>
                        <w:pPr>
                          <w:spacing w:before="1"/>
                          <w:ind w:left="1075" w:right="0" w:firstLine="0"/>
                          <w:jc w:val="left"/>
                          <w:rPr>
                            <w:rFonts w:ascii="Trebuchet MS"/>
                            <w:b/>
                            <w:sz w:val="68"/>
                          </w:rPr>
                        </w:pPr>
                        <w:r>
                          <w:rPr>
                            <w:rFonts w:ascii="Trebuchet MS"/>
                            <w:b/>
                            <w:color w:val="FFFFFF"/>
                            <w:sz w:val="68"/>
                          </w:rPr>
                          <w:t>More Quality </w:t>
                        </w:r>
                        <w:r>
                          <w:rPr>
                            <w:rFonts w:ascii="Trebuchet MS"/>
                            <w:b/>
                            <w:color w:val="FFFFFF"/>
                            <w:spacing w:val="-2"/>
                            <w:sz w:val="68"/>
                          </w:rPr>
                          <w:t>Ph.Ds</w:t>
                        </w:r>
                      </w:p>
                    </w:txbxContent>
                  </v:textbox>
                  <w10:wrap type="none"/>
                </v:shape>
                <w10:wrap type="none"/>
              </v:group>
            </w:pict>
          </mc:Fallback>
        </mc:AlternateContent>
      </w:r>
      <w:r>
        <w:rPr>
          <w:color w:val="2E614A"/>
          <w:spacing w:val="-2"/>
        </w:rPr>
        <w:t>Introduction</w:t>
      </w:r>
    </w:p>
    <w:p>
      <w:pPr>
        <w:pStyle w:val="BodyText"/>
        <w:spacing w:line="266" w:lineRule="auto" w:before="285"/>
        <w:ind w:left="1075" w:firstLine="673"/>
        <w:jc w:val="right"/>
      </w:pPr>
      <w:r>
        <w:rPr/>
        <mc:AlternateContent>
          <mc:Choice Requires="wps">
            <w:drawing>
              <wp:anchor distT="0" distB="0" distL="0" distR="0" allowOverlap="1" layoutInCell="1" locked="0" behindDoc="0" simplePos="0" relativeHeight="15864832">
                <wp:simplePos x="0" y="0"/>
                <wp:positionH relativeFrom="page">
                  <wp:posOffset>682919</wp:posOffset>
                </wp:positionH>
                <wp:positionV relativeFrom="paragraph">
                  <wp:posOffset>91959</wp:posOffset>
                </wp:positionV>
                <wp:extent cx="421640" cy="757555"/>
                <wp:effectExtent l="0" t="0" r="0" b="0"/>
                <wp:wrapNone/>
                <wp:docPr id="1992" name="Textbox 1992"/>
                <wp:cNvGraphicFramePr>
                  <a:graphicFrameLocks/>
                </wp:cNvGraphicFramePr>
                <a:graphic>
                  <a:graphicData uri="http://schemas.microsoft.com/office/word/2010/wordprocessingShape">
                    <wps:wsp>
                      <wps:cNvPr id="1992" name="Textbox 1992"/>
                      <wps:cNvSpPr txBox="1"/>
                      <wps:spPr>
                        <a:xfrm>
                          <a:off x="0" y="0"/>
                          <a:ext cx="421640" cy="757555"/>
                        </a:xfrm>
                        <a:prstGeom prst="rect">
                          <a:avLst/>
                        </a:prstGeom>
                      </wps:spPr>
                      <wps:txbx>
                        <w:txbxContent>
                          <w:p>
                            <w:pPr>
                              <w:spacing w:line="1135" w:lineRule="exact" w:before="0"/>
                              <w:ind w:left="0" w:right="0" w:firstLine="0"/>
                              <w:jc w:val="left"/>
                              <w:rPr>
                                <w:sz w:val="106"/>
                              </w:rPr>
                            </w:pPr>
                            <w:r>
                              <w:rPr>
                                <w:color w:val="9CBF3B"/>
                                <w:spacing w:val="-10"/>
                                <w:w w:val="85"/>
                                <w:sz w:val="106"/>
                              </w:rPr>
                              <w:t>A</w:t>
                            </w:r>
                          </w:p>
                        </w:txbxContent>
                      </wps:txbx>
                      <wps:bodyPr wrap="square" lIns="0" tIns="0" rIns="0" bIns="0" rtlCol="0">
                        <a:noAutofit/>
                      </wps:bodyPr>
                    </wps:wsp>
                  </a:graphicData>
                </a:graphic>
              </wp:anchor>
            </w:drawing>
          </mc:Choice>
          <mc:Fallback>
            <w:pict>
              <v:shape style="position:absolute;margin-left:53.77319pt;margin-top:7.240909pt;width:33.2pt;height:59.65pt;mso-position-horizontal-relative:page;mso-position-vertical-relative:paragraph;z-index:15864832" type="#_x0000_t202" id="docshape1978" filled="false" stroked="false">
                <v:textbox inset="0,0,0,0">
                  <w:txbxContent>
                    <w:p>
                      <w:pPr>
                        <w:spacing w:line="1135" w:lineRule="exact" w:before="0"/>
                        <w:ind w:left="0" w:right="0" w:firstLine="0"/>
                        <w:jc w:val="left"/>
                        <w:rPr>
                          <w:sz w:val="106"/>
                        </w:rPr>
                      </w:pPr>
                      <w:r>
                        <w:rPr>
                          <w:color w:val="9CBF3B"/>
                          <w:spacing w:val="-10"/>
                          <w:w w:val="85"/>
                          <w:sz w:val="106"/>
                        </w:rPr>
                        <w:t>A</w:t>
                      </w:r>
                    </w:p>
                  </w:txbxContent>
                </v:textbox>
                <w10:wrap type="none"/>
              </v:shape>
            </w:pict>
          </mc:Fallback>
        </mc:AlternateContent>
      </w:r>
      <w:r>
        <w:rPr/>
        <w:t>s</w:t>
      </w:r>
      <w:r>
        <w:rPr>
          <w:spacing w:val="80"/>
        </w:rPr>
        <w:t> </w:t>
      </w:r>
      <w:r>
        <w:rPr/>
        <w:t>India</w:t>
      </w:r>
      <w:r>
        <w:rPr>
          <w:spacing w:val="80"/>
        </w:rPr>
        <w:t> </w:t>
      </w:r>
      <w:r>
        <w:rPr/>
        <w:t>seeks</w:t>
      </w:r>
      <w:r>
        <w:rPr>
          <w:spacing w:val="80"/>
        </w:rPr>
        <w:t> </w:t>
      </w:r>
      <w:r>
        <w:rPr/>
        <w:t>to</w:t>
      </w:r>
      <w:r>
        <w:rPr>
          <w:spacing w:val="80"/>
        </w:rPr>
        <w:t> </w:t>
      </w:r>
      <w:r>
        <w:rPr/>
        <w:t>transform</w:t>
      </w:r>
      <w:r>
        <w:rPr>
          <w:spacing w:val="80"/>
        </w:rPr>
        <w:t> </w:t>
      </w:r>
      <w:r>
        <w:rPr/>
        <w:t>itself</w:t>
      </w:r>
      <w:r>
        <w:rPr>
          <w:spacing w:val="80"/>
        </w:rPr>
        <w:t> </w:t>
      </w:r>
      <w:r>
        <w:rPr/>
        <w:t>into</w:t>
      </w:r>
      <w:r>
        <w:rPr>
          <w:spacing w:val="80"/>
        </w:rPr>
        <w:t> </w:t>
      </w:r>
      <w:r>
        <w:rPr/>
        <w:t>a knowledge</w:t>
      </w:r>
      <w:r>
        <w:rPr>
          <w:spacing w:val="40"/>
        </w:rPr>
        <w:t> </w:t>
      </w:r>
      <w:r>
        <w:rPr/>
        <w:t>society,</w:t>
      </w:r>
      <w:r>
        <w:rPr>
          <w:spacing w:val="40"/>
        </w:rPr>
        <w:t> </w:t>
      </w:r>
      <w:r>
        <w:rPr/>
        <w:t>reviving</w:t>
      </w:r>
      <w:r>
        <w:rPr>
          <w:spacing w:val="40"/>
        </w:rPr>
        <w:t> </w:t>
      </w:r>
      <w:r>
        <w:rPr/>
        <w:t>the</w:t>
      </w:r>
      <w:r>
        <w:rPr>
          <w:spacing w:val="40"/>
        </w:rPr>
        <w:t> </w:t>
      </w:r>
      <w:r>
        <w:rPr/>
        <w:t>culture</w:t>
      </w:r>
      <w:r>
        <w:rPr>
          <w:spacing w:val="40"/>
        </w:rPr>
        <w:t> </w:t>
      </w:r>
      <w:r>
        <w:rPr/>
        <w:t>of</w:t>
      </w:r>
      <w:r>
        <w:rPr>
          <w:spacing w:val="40"/>
        </w:rPr>
        <w:t> </w:t>
      </w:r>
      <w:r>
        <w:rPr/>
        <w:t>research and innovation becomes all the more important.</w:t>
      </w:r>
      <w:r>
        <w:rPr>
          <w:spacing w:val="36"/>
        </w:rPr>
        <w:t> </w:t>
      </w:r>
      <w:r>
        <w:rPr/>
        <w:t>High</w:t>
      </w:r>
      <w:r>
        <w:rPr>
          <w:spacing w:val="36"/>
        </w:rPr>
        <w:t> </w:t>
      </w:r>
      <w:r>
        <w:rPr/>
        <w:t>quality</w:t>
      </w:r>
      <w:r>
        <w:rPr>
          <w:spacing w:val="36"/>
        </w:rPr>
        <w:t> </w:t>
      </w:r>
      <w:r>
        <w:rPr/>
        <w:t>research</w:t>
      </w:r>
      <w:r>
        <w:rPr>
          <w:spacing w:val="36"/>
        </w:rPr>
        <w:t> </w:t>
      </w:r>
      <w:r>
        <w:rPr/>
        <w:t>in</w:t>
      </w:r>
      <w:r>
        <w:rPr>
          <w:spacing w:val="36"/>
        </w:rPr>
        <w:t> </w:t>
      </w:r>
      <w:r>
        <w:rPr/>
        <w:t>all</w:t>
      </w:r>
      <w:r>
        <w:rPr>
          <w:spacing w:val="36"/>
        </w:rPr>
        <w:t> </w:t>
      </w:r>
      <w:r>
        <w:rPr/>
        <w:t>frontiers</w:t>
      </w:r>
      <w:r>
        <w:rPr>
          <w:spacing w:val="36"/>
        </w:rPr>
        <w:t> </w:t>
      </w:r>
      <w:r>
        <w:rPr/>
        <w:t>of </w:t>
      </w:r>
      <w:r>
        <w:rPr>
          <w:spacing w:val="-4"/>
        </w:rPr>
        <w:t>knowledge</w:t>
      </w:r>
      <w:r>
        <w:rPr>
          <w:spacing w:val="-11"/>
        </w:rPr>
        <w:t> </w:t>
      </w:r>
      <w:r>
        <w:rPr>
          <w:spacing w:val="-4"/>
        </w:rPr>
        <w:t>is</w:t>
      </w:r>
      <w:r>
        <w:rPr>
          <w:spacing w:val="-11"/>
        </w:rPr>
        <w:t> </w:t>
      </w:r>
      <w:r>
        <w:rPr>
          <w:spacing w:val="-4"/>
        </w:rPr>
        <w:t>essential</w:t>
      </w:r>
      <w:r>
        <w:rPr>
          <w:spacing w:val="-11"/>
        </w:rPr>
        <w:t> </w:t>
      </w:r>
      <w:r>
        <w:rPr>
          <w:spacing w:val="-4"/>
        </w:rPr>
        <w:t>to</w:t>
      </w:r>
      <w:r>
        <w:rPr>
          <w:spacing w:val="-11"/>
        </w:rPr>
        <w:t> </w:t>
      </w:r>
      <w:r>
        <w:rPr>
          <w:spacing w:val="-4"/>
        </w:rPr>
        <w:t>achieve</w:t>
      </w:r>
      <w:r>
        <w:rPr>
          <w:spacing w:val="-11"/>
        </w:rPr>
        <w:t> </w:t>
      </w:r>
      <w:r>
        <w:rPr>
          <w:spacing w:val="-4"/>
        </w:rPr>
        <w:t>long</w:t>
      </w:r>
      <w:r>
        <w:rPr>
          <w:spacing w:val="-11"/>
        </w:rPr>
        <w:t> </w:t>
      </w:r>
      <w:r>
        <w:rPr>
          <w:spacing w:val="-4"/>
        </w:rPr>
        <w:t>term</w:t>
      </w:r>
      <w:r>
        <w:rPr>
          <w:spacing w:val="-11"/>
        </w:rPr>
        <w:t> </w:t>
      </w:r>
      <w:r>
        <w:rPr>
          <w:spacing w:val="-4"/>
        </w:rPr>
        <w:t>competitive </w:t>
      </w:r>
      <w:r>
        <w:rPr/>
        <w:t>advantage. However, the growth in higher education in India has not been accompanied by an equivalent growth in doctoral students.</w:t>
      </w:r>
      <w:r>
        <w:rPr>
          <w:spacing w:val="-4"/>
        </w:rPr>
        <w:t> </w:t>
      </w:r>
      <w:r>
        <w:rPr/>
        <w:t>The declining quality of </w:t>
      </w:r>
      <w:r>
        <w:rPr>
          <w:spacing w:val="-2"/>
        </w:rPr>
        <w:t>research</w:t>
      </w:r>
      <w:r>
        <w:rPr>
          <w:spacing w:val="-12"/>
        </w:rPr>
        <w:t> </w:t>
      </w:r>
      <w:r>
        <w:rPr>
          <w:spacing w:val="-2"/>
        </w:rPr>
        <w:t>work</w:t>
      </w:r>
      <w:r>
        <w:rPr>
          <w:spacing w:val="-12"/>
        </w:rPr>
        <w:t> </w:t>
      </w:r>
      <w:r>
        <w:rPr>
          <w:spacing w:val="-2"/>
        </w:rPr>
        <w:t>and</w:t>
      </w:r>
      <w:r>
        <w:rPr>
          <w:spacing w:val="-12"/>
        </w:rPr>
        <w:t> </w:t>
      </w:r>
      <w:r>
        <w:rPr>
          <w:spacing w:val="-2"/>
        </w:rPr>
        <w:t>deteriorating</w:t>
      </w:r>
      <w:r>
        <w:rPr>
          <w:spacing w:val="-11"/>
        </w:rPr>
        <w:t> </w:t>
      </w:r>
      <w:r>
        <w:rPr>
          <w:spacing w:val="-2"/>
        </w:rPr>
        <w:t>research</w:t>
      </w:r>
      <w:r>
        <w:rPr>
          <w:spacing w:val="-12"/>
        </w:rPr>
        <w:t> </w:t>
      </w:r>
      <w:r>
        <w:rPr>
          <w:spacing w:val="-2"/>
        </w:rPr>
        <w:t>standards</w:t>
      </w:r>
      <w:r>
        <w:rPr>
          <w:spacing w:val="-12"/>
        </w:rPr>
        <w:t> </w:t>
      </w:r>
      <w:r>
        <w:rPr>
          <w:spacing w:val="-2"/>
        </w:rPr>
        <w:t>and </w:t>
      </w:r>
      <w:r>
        <w:rPr/>
        <w:t>infrastructure in the country are a cause of concern. </w:t>
      </w:r>
      <w:r>
        <w:rPr>
          <w:spacing w:val="-2"/>
        </w:rPr>
        <w:t>Inadequate</w:t>
      </w:r>
      <w:r>
        <w:rPr>
          <w:spacing w:val="-7"/>
        </w:rPr>
        <w:t> </w:t>
      </w:r>
      <w:r>
        <w:rPr>
          <w:spacing w:val="-2"/>
        </w:rPr>
        <w:t>infrastructure</w:t>
      </w:r>
      <w:r>
        <w:rPr>
          <w:spacing w:val="-7"/>
        </w:rPr>
        <w:t> </w:t>
      </w:r>
      <w:r>
        <w:rPr>
          <w:spacing w:val="-2"/>
        </w:rPr>
        <w:t>and</w:t>
      </w:r>
      <w:r>
        <w:rPr>
          <w:spacing w:val="-7"/>
        </w:rPr>
        <w:t> </w:t>
      </w:r>
      <w:r>
        <w:rPr>
          <w:spacing w:val="-2"/>
        </w:rPr>
        <w:t>lack</w:t>
      </w:r>
      <w:r>
        <w:rPr>
          <w:spacing w:val="-7"/>
        </w:rPr>
        <w:t> </w:t>
      </w:r>
      <w:r>
        <w:rPr>
          <w:spacing w:val="-2"/>
        </w:rPr>
        <w:t>of</w:t>
      </w:r>
      <w:r>
        <w:rPr>
          <w:spacing w:val="-7"/>
        </w:rPr>
        <w:t> </w:t>
      </w:r>
      <w:r>
        <w:rPr>
          <w:spacing w:val="-2"/>
        </w:rPr>
        <w:t>strong</w:t>
      </w:r>
      <w:r>
        <w:rPr>
          <w:spacing w:val="-7"/>
        </w:rPr>
        <w:t> </w:t>
      </w:r>
      <w:r>
        <w:rPr>
          <w:spacing w:val="-2"/>
        </w:rPr>
        <w:t>incentives to</w:t>
      </w:r>
      <w:r>
        <w:rPr>
          <w:spacing w:val="-10"/>
        </w:rPr>
        <w:t> </w:t>
      </w:r>
      <w:r>
        <w:rPr>
          <w:spacing w:val="-2"/>
        </w:rPr>
        <w:t>practice</w:t>
      </w:r>
      <w:r>
        <w:rPr>
          <w:spacing w:val="-10"/>
        </w:rPr>
        <w:t> </w:t>
      </w:r>
      <w:r>
        <w:rPr>
          <w:spacing w:val="-2"/>
        </w:rPr>
        <w:t>quality</w:t>
      </w:r>
      <w:r>
        <w:rPr>
          <w:spacing w:val="-10"/>
        </w:rPr>
        <w:t> </w:t>
      </w:r>
      <w:r>
        <w:rPr>
          <w:spacing w:val="-2"/>
        </w:rPr>
        <w:t>research</w:t>
      </w:r>
      <w:r>
        <w:rPr>
          <w:spacing w:val="-10"/>
        </w:rPr>
        <w:t> </w:t>
      </w:r>
      <w:r>
        <w:rPr>
          <w:spacing w:val="-2"/>
        </w:rPr>
        <w:t>are</w:t>
      </w:r>
      <w:r>
        <w:rPr>
          <w:spacing w:val="-10"/>
        </w:rPr>
        <w:t> </w:t>
      </w:r>
      <w:r>
        <w:rPr>
          <w:spacing w:val="-2"/>
        </w:rPr>
        <w:t>major</w:t>
      </w:r>
      <w:r>
        <w:rPr>
          <w:spacing w:val="-10"/>
        </w:rPr>
        <w:t> </w:t>
      </w:r>
      <w:r>
        <w:rPr>
          <w:spacing w:val="-2"/>
        </w:rPr>
        <w:t>causes</w:t>
      </w:r>
      <w:r>
        <w:rPr>
          <w:spacing w:val="-10"/>
        </w:rPr>
        <w:t> </w:t>
      </w:r>
      <w:r>
        <w:rPr>
          <w:spacing w:val="-2"/>
        </w:rPr>
        <w:t>of</w:t>
      </w:r>
      <w:r>
        <w:rPr>
          <w:spacing w:val="-10"/>
        </w:rPr>
        <w:t> </w:t>
      </w:r>
      <w:r>
        <w:rPr>
          <w:spacing w:val="-2"/>
        </w:rPr>
        <w:t>decline </w:t>
      </w:r>
      <w:r>
        <w:rPr/>
        <w:t>in</w:t>
      </w:r>
      <w:r>
        <w:rPr>
          <w:spacing w:val="60"/>
        </w:rPr>
        <w:t> </w:t>
      </w:r>
      <w:r>
        <w:rPr/>
        <w:t>interest</w:t>
      </w:r>
      <w:r>
        <w:rPr>
          <w:spacing w:val="60"/>
        </w:rPr>
        <w:t> </w:t>
      </w:r>
      <w:r>
        <w:rPr/>
        <w:t>towards</w:t>
      </w:r>
      <w:r>
        <w:rPr>
          <w:spacing w:val="60"/>
        </w:rPr>
        <w:t> </w:t>
      </w:r>
      <w:r>
        <w:rPr/>
        <w:t>research</w:t>
      </w:r>
      <w:r>
        <w:rPr>
          <w:spacing w:val="60"/>
        </w:rPr>
        <w:t> </w:t>
      </w:r>
      <w:r>
        <w:rPr/>
        <w:t>work.</w:t>
      </w:r>
      <w:r>
        <w:rPr>
          <w:spacing w:val="60"/>
        </w:rPr>
        <w:t> </w:t>
      </w:r>
      <w:r>
        <w:rPr/>
        <w:t>Administrative hurdles</w:t>
      </w:r>
      <w:r>
        <w:rPr>
          <w:spacing w:val="2"/>
        </w:rPr>
        <w:t> </w:t>
      </w:r>
      <w:r>
        <w:rPr/>
        <w:t>add</w:t>
      </w:r>
      <w:r>
        <w:rPr>
          <w:spacing w:val="2"/>
        </w:rPr>
        <w:t> </w:t>
      </w:r>
      <w:r>
        <w:rPr/>
        <w:t>to</w:t>
      </w:r>
      <w:r>
        <w:rPr>
          <w:spacing w:val="2"/>
        </w:rPr>
        <w:t> </w:t>
      </w:r>
      <w:r>
        <w:rPr/>
        <w:t>the</w:t>
      </w:r>
      <w:r>
        <w:rPr>
          <w:spacing w:val="3"/>
        </w:rPr>
        <w:t> </w:t>
      </w:r>
      <w:r>
        <w:rPr/>
        <w:t>already</w:t>
      </w:r>
      <w:r>
        <w:rPr>
          <w:spacing w:val="2"/>
        </w:rPr>
        <w:t> </w:t>
      </w:r>
      <w:r>
        <w:rPr/>
        <w:t>unfavourable</w:t>
      </w:r>
      <w:r>
        <w:rPr>
          <w:spacing w:val="2"/>
        </w:rPr>
        <w:t> </w:t>
      </w:r>
      <w:r>
        <w:rPr>
          <w:spacing w:val="-2"/>
        </w:rPr>
        <w:t>environment</w:t>
      </w:r>
    </w:p>
    <w:p>
      <w:pPr>
        <w:pStyle w:val="BodyText"/>
        <w:spacing w:line="242" w:lineRule="exact"/>
        <w:ind w:left="1075"/>
      </w:pPr>
      <w:r>
        <w:rPr/>
        <w:t>for</w:t>
      </w:r>
      <w:r>
        <w:rPr>
          <w:spacing w:val="-6"/>
        </w:rPr>
        <w:t> </w:t>
      </w:r>
      <w:r>
        <w:rPr>
          <w:spacing w:val="-2"/>
        </w:rPr>
        <w:t>research.</w:t>
      </w:r>
    </w:p>
    <w:p>
      <w:pPr>
        <w:pStyle w:val="Heading6"/>
        <w:spacing w:before="93"/>
        <w:ind w:left="319" w:firstLine="0"/>
        <w:jc w:val="both"/>
      </w:pPr>
      <w:r>
        <w:rPr>
          <w:b w:val="0"/>
        </w:rPr>
        <w:br w:type="column"/>
      </w:r>
      <w:r>
        <w:rPr>
          <w:color w:val="2E614A"/>
          <w:w w:val="90"/>
        </w:rPr>
        <w:t>Current</w:t>
      </w:r>
      <w:r>
        <w:rPr>
          <w:color w:val="2E614A"/>
          <w:spacing w:val="-1"/>
          <w:w w:val="90"/>
        </w:rPr>
        <w:t> </w:t>
      </w:r>
      <w:r>
        <w:rPr>
          <w:color w:val="2E614A"/>
          <w:spacing w:val="-2"/>
        </w:rPr>
        <w:t>Scenario</w:t>
      </w:r>
    </w:p>
    <w:p>
      <w:pPr>
        <w:pStyle w:val="BodyText"/>
        <w:spacing w:line="266" w:lineRule="auto" w:before="285"/>
        <w:ind w:left="319" w:right="1082"/>
        <w:jc w:val="both"/>
      </w:pPr>
      <w:r>
        <w:rPr/>
        <w:t>The current quantum of research happening in </w:t>
      </w:r>
      <w:r>
        <w:rPr/>
        <w:t>India is insufficient. Of the 11 million students enrolled in higher</w:t>
      </w:r>
      <w:r>
        <w:rPr>
          <w:spacing w:val="-1"/>
        </w:rPr>
        <w:t> </w:t>
      </w:r>
      <w:r>
        <w:rPr/>
        <w:t>education</w:t>
      </w:r>
      <w:r>
        <w:rPr>
          <w:spacing w:val="-1"/>
        </w:rPr>
        <w:t> </w:t>
      </w:r>
      <w:r>
        <w:rPr/>
        <w:t>in</w:t>
      </w:r>
      <w:r>
        <w:rPr>
          <w:spacing w:val="-1"/>
        </w:rPr>
        <w:t> </w:t>
      </w:r>
      <w:r>
        <w:rPr/>
        <w:t>2005-06,</w:t>
      </w:r>
      <w:r>
        <w:rPr>
          <w:spacing w:val="-1"/>
        </w:rPr>
        <w:t> </w:t>
      </w:r>
      <w:r>
        <w:rPr/>
        <w:t>only</w:t>
      </w:r>
      <w:r>
        <w:rPr>
          <w:spacing w:val="-1"/>
        </w:rPr>
        <w:t> </w:t>
      </w:r>
      <w:r>
        <w:rPr/>
        <w:t>0.64</w:t>
      </w:r>
      <w:r>
        <w:rPr>
          <w:spacing w:val="-1"/>
        </w:rPr>
        <w:t> </w:t>
      </w:r>
      <w:r>
        <w:rPr/>
        <w:t>per</w:t>
      </w:r>
      <w:r>
        <w:rPr>
          <w:spacing w:val="-1"/>
        </w:rPr>
        <w:t> </w:t>
      </w:r>
      <w:r>
        <w:rPr/>
        <w:t>cent</w:t>
      </w:r>
      <w:r>
        <w:rPr>
          <w:spacing w:val="-1"/>
        </w:rPr>
        <w:t> </w:t>
      </w:r>
      <w:r>
        <w:rPr/>
        <w:t>were </w:t>
      </w:r>
      <w:r>
        <w:rPr>
          <w:spacing w:val="-4"/>
        </w:rPr>
        <w:t>enrolled</w:t>
      </w:r>
      <w:r>
        <w:rPr>
          <w:spacing w:val="-12"/>
        </w:rPr>
        <w:t> </w:t>
      </w:r>
      <w:r>
        <w:rPr>
          <w:spacing w:val="-4"/>
        </w:rPr>
        <w:t>in</w:t>
      </w:r>
      <w:r>
        <w:rPr>
          <w:spacing w:val="-10"/>
        </w:rPr>
        <w:t> </w:t>
      </w:r>
      <w:r>
        <w:rPr>
          <w:spacing w:val="-4"/>
        </w:rPr>
        <w:t>research</w:t>
      </w:r>
      <w:r>
        <w:rPr>
          <w:spacing w:val="-10"/>
        </w:rPr>
        <w:t> </w:t>
      </w:r>
      <w:r>
        <w:rPr>
          <w:spacing w:val="-4"/>
        </w:rPr>
        <w:t>programs.</w:t>
      </w:r>
      <w:r>
        <w:rPr>
          <w:spacing w:val="-9"/>
        </w:rPr>
        <w:t> </w:t>
      </w:r>
      <w:r>
        <w:rPr>
          <w:spacing w:val="-4"/>
        </w:rPr>
        <w:t>Further,</w:t>
      </w:r>
      <w:r>
        <w:rPr>
          <w:spacing w:val="-10"/>
        </w:rPr>
        <w:t> </w:t>
      </w:r>
      <w:r>
        <w:rPr>
          <w:spacing w:val="-4"/>
        </w:rPr>
        <w:t>out</w:t>
      </w:r>
      <w:r>
        <w:rPr>
          <w:spacing w:val="-10"/>
        </w:rPr>
        <w:t> </w:t>
      </w:r>
      <w:r>
        <w:rPr>
          <w:spacing w:val="-4"/>
        </w:rPr>
        <w:t>of</w:t>
      </w:r>
      <w:r>
        <w:rPr>
          <w:spacing w:val="-10"/>
        </w:rPr>
        <w:t> </w:t>
      </w:r>
      <w:r>
        <w:rPr>
          <w:spacing w:val="-4"/>
        </w:rPr>
        <w:t>the</w:t>
      </w:r>
      <w:r>
        <w:rPr>
          <w:spacing w:val="-9"/>
        </w:rPr>
        <w:t> </w:t>
      </w:r>
      <w:r>
        <w:rPr>
          <w:spacing w:val="-4"/>
        </w:rPr>
        <w:t>17898 of</w:t>
      </w:r>
      <w:r>
        <w:rPr>
          <w:spacing w:val="-10"/>
        </w:rPr>
        <w:t> </w:t>
      </w:r>
      <w:r>
        <w:rPr>
          <w:spacing w:val="-4"/>
        </w:rPr>
        <w:t>doctorate</w:t>
      </w:r>
      <w:r>
        <w:rPr>
          <w:spacing w:val="-10"/>
        </w:rPr>
        <w:t> </w:t>
      </w:r>
      <w:r>
        <w:rPr>
          <w:spacing w:val="-4"/>
        </w:rPr>
        <w:t>degrees</w:t>
      </w:r>
      <w:r>
        <w:rPr>
          <w:spacing w:val="-10"/>
        </w:rPr>
        <w:t> </w:t>
      </w:r>
      <w:r>
        <w:rPr>
          <w:spacing w:val="-4"/>
        </w:rPr>
        <w:t>awarded</w:t>
      </w:r>
      <w:r>
        <w:rPr>
          <w:spacing w:val="-9"/>
        </w:rPr>
        <w:t> </w:t>
      </w:r>
      <w:r>
        <w:rPr>
          <w:spacing w:val="-4"/>
        </w:rPr>
        <w:t>in</w:t>
      </w:r>
      <w:r>
        <w:rPr>
          <w:spacing w:val="-10"/>
        </w:rPr>
        <w:t> </w:t>
      </w:r>
      <w:r>
        <w:rPr>
          <w:spacing w:val="-4"/>
        </w:rPr>
        <w:t>2004-05,</w:t>
      </w:r>
      <w:r>
        <w:rPr>
          <w:spacing w:val="-10"/>
        </w:rPr>
        <w:t> </w:t>
      </w:r>
      <w:r>
        <w:rPr>
          <w:spacing w:val="-4"/>
        </w:rPr>
        <w:t>the</w:t>
      </w:r>
      <w:r>
        <w:rPr>
          <w:spacing w:val="-10"/>
        </w:rPr>
        <w:t> </w:t>
      </w:r>
      <w:r>
        <w:rPr>
          <w:spacing w:val="-4"/>
        </w:rPr>
        <w:t>Faculty</w:t>
      </w:r>
      <w:r>
        <w:rPr>
          <w:spacing w:val="-9"/>
        </w:rPr>
        <w:t> </w:t>
      </w:r>
      <w:r>
        <w:rPr>
          <w:spacing w:val="-4"/>
        </w:rPr>
        <w:t>of Arts</w:t>
      </w:r>
      <w:r>
        <w:rPr>
          <w:spacing w:val="-5"/>
        </w:rPr>
        <w:t> </w:t>
      </w:r>
      <w:r>
        <w:rPr>
          <w:spacing w:val="-4"/>
        </w:rPr>
        <w:t>awarded</w:t>
      </w:r>
      <w:r>
        <w:rPr>
          <w:spacing w:val="-5"/>
        </w:rPr>
        <w:t> </w:t>
      </w:r>
      <w:r>
        <w:rPr>
          <w:spacing w:val="-4"/>
        </w:rPr>
        <w:t>7532</w:t>
      </w:r>
      <w:r>
        <w:rPr>
          <w:spacing w:val="-5"/>
        </w:rPr>
        <w:t> </w:t>
      </w:r>
      <w:r>
        <w:rPr>
          <w:spacing w:val="-4"/>
        </w:rPr>
        <w:t>degrees</w:t>
      </w:r>
      <w:r>
        <w:rPr>
          <w:spacing w:val="-5"/>
        </w:rPr>
        <w:t> </w:t>
      </w:r>
      <w:r>
        <w:rPr>
          <w:spacing w:val="-4"/>
        </w:rPr>
        <w:t>and</w:t>
      </w:r>
      <w:r>
        <w:rPr>
          <w:spacing w:val="-5"/>
        </w:rPr>
        <w:t> </w:t>
      </w:r>
      <w:r>
        <w:rPr>
          <w:spacing w:val="-4"/>
        </w:rPr>
        <w:t>the</w:t>
      </w:r>
      <w:r>
        <w:rPr>
          <w:spacing w:val="-5"/>
        </w:rPr>
        <w:t> </w:t>
      </w:r>
      <w:r>
        <w:rPr>
          <w:spacing w:val="-4"/>
        </w:rPr>
        <w:t>Faculty</w:t>
      </w:r>
      <w:r>
        <w:rPr>
          <w:spacing w:val="-5"/>
        </w:rPr>
        <w:t> </w:t>
      </w:r>
      <w:r>
        <w:rPr>
          <w:spacing w:val="-4"/>
        </w:rPr>
        <w:t>of</w:t>
      </w:r>
      <w:r>
        <w:rPr>
          <w:spacing w:val="-5"/>
        </w:rPr>
        <w:t> </w:t>
      </w:r>
      <w:r>
        <w:rPr>
          <w:spacing w:val="-4"/>
        </w:rPr>
        <w:t>Sciences </w:t>
      </w:r>
      <w:r>
        <w:rPr/>
        <w:t>had 5549 degrees. Thus, these two faculties together </w:t>
      </w:r>
      <w:r>
        <w:rPr>
          <w:spacing w:val="-6"/>
        </w:rPr>
        <w:t>accounted for 73 per cent of the total number of research </w:t>
      </w:r>
      <w:r>
        <w:rPr>
          <w:spacing w:val="-4"/>
        </w:rPr>
        <w:t>degrees</w:t>
      </w:r>
      <w:r>
        <w:rPr>
          <w:spacing w:val="-6"/>
        </w:rPr>
        <w:t> </w:t>
      </w:r>
      <w:r>
        <w:rPr>
          <w:spacing w:val="-4"/>
        </w:rPr>
        <w:t>awarded.</w:t>
      </w:r>
      <w:r>
        <w:rPr>
          <w:spacing w:val="-10"/>
        </w:rPr>
        <w:t> </w:t>
      </w:r>
      <w:r>
        <w:rPr>
          <w:spacing w:val="-4"/>
        </w:rPr>
        <w:t>There are also wide disparities within </w:t>
      </w:r>
      <w:r>
        <w:rPr/>
        <w:t>states in the number of doctoral degrees granted.</w:t>
      </w:r>
    </w:p>
    <w:p>
      <w:pPr>
        <w:pStyle w:val="BodyText"/>
        <w:spacing w:before="19"/>
      </w:pPr>
    </w:p>
    <w:p>
      <w:pPr>
        <w:pStyle w:val="BodyText"/>
        <w:spacing w:line="266" w:lineRule="auto"/>
        <w:ind w:left="319" w:right="1082"/>
        <w:jc w:val="both"/>
      </w:pPr>
      <w:r>
        <w:rPr>
          <w:spacing w:val="-4"/>
        </w:rPr>
        <w:t>India’s</w:t>
      </w:r>
      <w:r>
        <w:rPr>
          <w:spacing w:val="-9"/>
        </w:rPr>
        <w:t> </w:t>
      </w:r>
      <w:r>
        <w:rPr>
          <w:spacing w:val="-4"/>
        </w:rPr>
        <w:t>poor</w:t>
      </w:r>
      <w:r>
        <w:rPr>
          <w:spacing w:val="-9"/>
        </w:rPr>
        <w:t> </w:t>
      </w:r>
      <w:r>
        <w:rPr>
          <w:spacing w:val="-4"/>
        </w:rPr>
        <w:t>performance</w:t>
      </w:r>
      <w:r>
        <w:rPr>
          <w:spacing w:val="-9"/>
        </w:rPr>
        <w:t> </w:t>
      </w:r>
      <w:r>
        <w:rPr>
          <w:spacing w:val="-4"/>
        </w:rPr>
        <w:t>in</w:t>
      </w:r>
      <w:r>
        <w:rPr>
          <w:spacing w:val="-9"/>
        </w:rPr>
        <w:t> </w:t>
      </w:r>
      <w:r>
        <w:rPr>
          <w:spacing w:val="-4"/>
        </w:rPr>
        <w:t>research</w:t>
      </w:r>
      <w:r>
        <w:rPr>
          <w:spacing w:val="-9"/>
        </w:rPr>
        <w:t> </w:t>
      </w:r>
      <w:r>
        <w:rPr>
          <w:spacing w:val="-4"/>
        </w:rPr>
        <w:t>is</w:t>
      </w:r>
      <w:r>
        <w:rPr>
          <w:spacing w:val="-9"/>
        </w:rPr>
        <w:t> </w:t>
      </w:r>
      <w:r>
        <w:rPr>
          <w:spacing w:val="-4"/>
        </w:rPr>
        <w:t>also</w:t>
      </w:r>
      <w:r>
        <w:rPr>
          <w:spacing w:val="-9"/>
        </w:rPr>
        <w:t> </w:t>
      </w:r>
      <w:r>
        <w:rPr>
          <w:spacing w:val="-4"/>
        </w:rPr>
        <w:t>highlighted by</w:t>
      </w:r>
      <w:r>
        <w:rPr>
          <w:spacing w:val="-10"/>
        </w:rPr>
        <w:t> </w:t>
      </w:r>
      <w:r>
        <w:rPr>
          <w:spacing w:val="-4"/>
        </w:rPr>
        <w:t>comparisons</w:t>
      </w:r>
      <w:r>
        <w:rPr>
          <w:spacing w:val="-9"/>
        </w:rPr>
        <w:t> </w:t>
      </w:r>
      <w:r>
        <w:rPr>
          <w:spacing w:val="-4"/>
        </w:rPr>
        <w:t>with</w:t>
      </w:r>
      <w:r>
        <w:rPr>
          <w:spacing w:val="-10"/>
        </w:rPr>
        <w:t> </w:t>
      </w:r>
      <w:r>
        <w:rPr>
          <w:spacing w:val="-4"/>
        </w:rPr>
        <w:t>other</w:t>
      </w:r>
      <w:r>
        <w:rPr>
          <w:spacing w:val="-9"/>
        </w:rPr>
        <w:t> </w:t>
      </w:r>
      <w:r>
        <w:rPr>
          <w:spacing w:val="-4"/>
        </w:rPr>
        <w:t>countries.</w:t>
      </w:r>
      <w:r>
        <w:rPr>
          <w:spacing w:val="-9"/>
        </w:rPr>
        <w:t> </w:t>
      </w:r>
      <w:r>
        <w:rPr>
          <w:spacing w:val="-4"/>
        </w:rPr>
        <w:t>In</w:t>
      </w:r>
      <w:r>
        <w:rPr>
          <w:spacing w:val="-10"/>
        </w:rPr>
        <w:t> </w:t>
      </w:r>
      <w:r>
        <w:rPr>
          <w:spacing w:val="-4"/>
        </w:rPr>
        <w:t>2002,</w:t>
      </w:r>
      <w:r>
        <w:rPr>
          <w:spacing w:val="-9"/>
        </w:rPr>
        <w:t> </w:t>
      </w:r>
      <w:r>
        <w:rPr>
          <w:spacing w:val="-4"/>
        </w:rPr>
        <w:t>USA</w:t>
      </w:r>
      <w:r>
        <w:rPr>
          <w:spacing w:val="-10"/>
        </w:rPr>
        <w:t> </w:t>
      </w:r>
      <w:r>
        <w:rPr>
          <w:spacing w:val="-4"/>
        </w:rPr>
        <w:t>had </w:t>
      </w:r>
      <w:r>
        <w:rPr/>
        <w:t>4373,</w:t>
      </w:r>
      <w:r>
        <w:rPr>
          <w:spacing w:val="18"/>
        </w:rPr>
        <w:t> </w:t>
      </w:r>
      <w:r>
        <w:rPr/>
        <w:t>Japan</w:t>
      </w:r>
      <w:r>
        <w:rPr>
          <w:spacing w:val="18"/>
        </w:rPr>
        <w:t> </w:t>
      </w:r>
      <w:r>
        <w:rPr/>
        <w:t>had</w:t>
      </w:r>
      <w:r>
        <w:rPr>
          <w:spacing w:val="19"/>
        </w:rPr>
        <w:t> </w:t>
      </w:r>
      <w:r>
        <w:rPr/>
        <w:t>5084,</w:t>
      </w:r>
      <w:r>
        <w:rPr>
          <w:spacing w:val="18"/>
        </w:rPr>
        <w:t> </w:t>
      </w:r>
      <w:r>
        <w:rPr/>
        <w:t>Germany</w:t>
      </w:r>
      <w:r>
        <w:rPr>
          <w:spacing w:val="18"/>
        </w:rPr>
        <w:t> </w:t>
      </w:r>
      <w:r>
        <w:rPr/>
        <w:t>had</w:t>
      </w:r>
      <w:r>
        <w:rPr>
          <w:spacing w:val="19"/>
        </w:rPr>
        <w:t> </w:t>
      </w:r>
      <w:r>
        <w:rPr/>
        <w:t>3208</w:t>
      </w:r>
      <w:r>
        <w:rPr>
          <w:spacing w:val="18"/>
        </w:rPr>
        <w:t> </w:t>
      </w:r>
      <w:r>
        <w:rPr/>
        <w:t>and</w:t>
      </w:r>
      <w:r>
        <w:rPr>
          <w:spacing w:val="18"/>
        </w:rPr>
        <w:t> </w:t>
      </w:r>
      <w:r>
        <w:rPr>
          <w:spacing w:val="-5"/>
        </w:rPr>
        <w:t>even</w:t>
      </w:r>
    </w:p>
    <w:p>
      <w:pPr>
        <w:spacing w:after="0" w:line="266" w:lineRule="auto"/>
        <w:jc w:val="both"/>
        <w:sectPr>
          <w:type w:val="continuous"/>
          <w:pgSz w:w="11910" w:h="16840"/>
          <w:pgMar w:header="0" w:footer="675" w:top="1920" w:bottom="280" w:left="0" w:right="0"/>
          <w:cols w:num="2" w:equalWidth="0">
            <w:col w:w="5769" w:space="40"/>
            <w:col w:w="6101"/>
          </w:cols>
        </w:sectPr>
      </w:pPr>
    </w:p>
    <w:p>
      <w:pPr>
        <w:pStyle w:val="Heading8"/>
        <w:spacing w:before="224"/>
        <w:ind w:left="216" w:right="413"/>
        <w:jc w:val="center"/>
      </w:pPr>
      <w:r>
        <w:rPr>
          <w:w w:val="90"/>
        </w:rPr>
        <w:t>Figure</w:t>
      </w:r>
      <w:r>
        <w:rPr>
          <w:spacing w:val="-9"/>
          <w:w w:val="90"/>
        </w:rPr>
        <w:t> </w:t>
      </w:r>
      <w:r>
        <w:rPr>
          <w:w w:val="90"/>
        </w:rPr>
        <w:t>46:</w:t>
      </w:r>
      <w:r>
        <w:rPr>
          <w:spacing w:val="-9"/>
          <w:w w:val="90"/>
        </w:rPr>
        <w:t> </w:t>
      </w:r>
      <w:r>
        <w:rPr>
          <w:color w:val="2E614A"/>
          <w:w w:val="90"/>
        </w:rPr>
        <w:t>Growth</w:t>
      </w:r>
      <w:r>
        <w:rPr>
          <w:color w:val="2E614A"/>
          <w:spacing w:val="-8"/>
          <w:w w:val="90"/>
        </w:rPr>
        <w:t> </w:t>
      </w:r>
      <w:r>
        <w:rPr>
          <w:color w:val="2E614A"/>
          <w:w w:val="90"/>
        </w:rPr>
        <w:t>of</w:t>
      </w:r>
      <w:r>
        <w:rPr>
          <w:color w:val="2E614A"/>
          <w:spacing w:val="-9"/>
          <w:w w:val="90"/>
        </w:rPr>
        <w:t> </w:t>
      </w:r>
      <w:r>
        <w:rPr>
          <w:color w:val="2E614A"/>
          <w:w w:val="90"/>
        </w:rPr>
        <w:t>doctorates:</w:t>
      </w:r>
      <w:r>
        <w:rPr>
          <w:color w:val="2E614A"/>
          <w:spacing w:val="-8"/>
          <w:w w:val="90"/>
        </w:rPr>
        <w:t> </w:t>
      </w:r>
      <w:r>
        <w:rPr>
          <w:color w:val="2E614A"/>
          <w:w w:val="90"/>
        </w:rPr>
        <w:t>Faculty-wise</w:t>
      </w:r>
      <w:r>
        <w:rPr>
          <w:color w:val="2E614A"/>
          <w:spacing w:val="-9"/>
          <w:w w:val="90"/>
        </w:rPr>
        <w:t> </w:t>
      </w:r>
      <w:r>
        <w:rPr>
          <w:color w:val="2E614A"/>
          <w:w w:val="90"/>
        </w:rPr>
        <w:t>number</w:t>
      </w:r>
      <w:r>
        <w:rPr>
          <w:color w:val="2E614A"/>
          <w:spacing w:val="-8"/>
          <w:w w:val="90"/>
        </w:rPr>
        <w:t> </w:t>
      </w:r>
      <w:r>
        <w:rPr>
          <w:color w:val="2E614A"/>
          <w:w w:val="90"/>
        </w:rPr>
        <w:t>of</w:t>
      </w:r>
      <w:r>
        <w:rPr>
          <w:color w:val="2E614A"/>
          <w:spacing w:val="-9"/>
          <w:w w:val="90"/>
        </w:rPr>
        <w:t> </w:t>
      </w:r>
      <w:r>
        <w:rPr>
          <w:color w:val="2E614A"/>
          <w:w w:val="90"/>
        </w:rPr>
        <w:t>doctorate</w:t>
      </w:r>
      <w:r>
        <w:rPr>
          <w:color w:val="2E614A"/>
          <w:spacing w:val="-8"/>
          <w:w w:val="90"/>
        </w:rPr>
        <w:t> </w:t>
      </w:r>
      <w:r>
        <w:rPr>
          <w:color w:val="2E614A"/>
          <w:w w:val="90"/>
        </w:rPr>
        <w:t>degrees</w:t>
      </w:r>
      <w:r>
        <w:rPr>
          <w:color w:val="2E614A"/>
          <w:spacing w:val="-9"/>
          <w:w w:val="90"/>
        </w:rPr>
        <w:t> </w:t>
      </w:r>
      <w:r>
        <w:rPr>
          <w:color w:val="2E614A"/>
          <w:spacing w:val="-2"/>
          <w:w w:val="90"/>
        </w:rPr>
        <w:t>awarded</w:t>
      </w:r>
    </w:p>
    <w:p>
      <w:pPr>
        <w:pStyle w:val="BodyText"/>
        <w:spacing w:before="6"/>
        <w:rPr>
          <w:b/>
          <w:sz w:val="6"/>
        </w:rPr>
      </w:pPr>
      <w:r>
        <w:rPr/>
        <mc:AlternateContent>
          <mc:Choice Requires="wps">
            <w:drawing>
              <wp:anchor distT="0" distB="0" distL="0" distR="0" allowOverlap="1" layoutInCell="1" locked="0" behindDoc="1" simplePos="0" relativeHeight="487723008">
                <wp:simplePos x="0" y="0"/>
                <wp:positionH relativeFrom="page">
                  <wp:posOffset>1252514</wp:posOffset>
                </wp:positionH>
                <wp:positionV relativeFrom="paragraph">
                  <wp:posOffset>63098</wp:posOffset>
                </wp:positionV>
                <wp:extent cx="5036820" cy="3261360"/>
                <wp:effectExtent l="0" t="0" r="0" b="0"/>
                <wp:wrapTopAndBottom/>
                <wp:docPr id="1993" name="Group 1993"/>
                <wp:cNvGraphicFramePr>
                  <a:graphicFrameLocks/>
                </wp:cNvGraphicFramePr>
                <a:graphic>
                  <a:graphicData uri="http://schemas.microsoft.com/office/word/2010/wordprocessingGroup">
                    <wpg:wgp>
                      <wpg:cNvPr id="1993" name="Group 1993"/>
                      <wpg:cNvGrpSpPr/>
                      <wpg:grpSpPr>
                        <a:xfrm>
                          <a:off x="0" y="0"/>
                          <a:ext cx="5036820" cy="3261360"/>
                          <a:chExt cx="5036820" cy="3261360"/>
                        </a:xfrm>
                      </wpg:grpSpPr>
                      <wps:wsp>
                        <wps:cNvPr id="1994" name="Graphic 1994"/>
                        <wps:cNvSpPr/>
                        <wps:spPr>
                          <a:xfrm>
                            <a:off x="442135" y="351116"/>
                            <a:ext cx="4555490" cy="2593975"/>
                          </a:xfrm>
                          <a:custGeom>
                            <a:avLst/>
                            <a:gdLst/>
                            <a:ahLst/>
                            <a:cxnLst/>
                            <a:rect l="l" t="t" r="r" b="b"/>
                            <a:pathLst>
                              <a:path w="4555490" h="2593975">
                                <a:moveTo>
                                  <a:pt x="4555261" y="2587777"/>
                                </a:moveTo>
                                <a:lnTo>
                                  <a:pt x="6134" y="2587777"/>
                                </a:lnTo>
                                <a:lnTo>
                                  <a:pt x="6134" y="0"/>
                                </a:lnTo>
                                <a:lnTo>
                                  <a:pt x="0" y="0"/>
                                </a:lnTo>
                                <a:lnTo>
                                  <a:pt x="0" y="2593911"/>
                                </a:lnTo>
                                <a:lnTo>
                                  <a:pt x="6134" y="2593911"/>
                                </a:lnTo>
                                <a:lnTo>
                                  <a:pt x="4555261" y="2593911"/>
                                </a:lnTo>
                                <a:lnTo>
                                  <a:pt x="4555261" y="2587777"/>
                                </a:lnTo>
                                <a:close/>
                              </a:path>
                            </a:pathLst>
                          </a:custGeom>
                          <a:solidFill>
                            <a:srgbClr val="000000"/>
                          </a:solidFill>
                        </wps:spPr>
                        <wps:bodyPr wrap="square" lIns="0" tIns="0" rIns="0" bIns="0" rtlCol="0">
                          <a:prstTxWarp prst="textNoShape">
                            <a:avLst/>
                          </a:prstTxWarp>
                          <a:noAutofit/>
                        </wps:bodyPr>
                      </wps:wsp>
                      <wps:wsp>
                        <wps:cNvPr id="1995" name="Graphic 1995"/>
                        <wps:cNvSpPr/>
                        <wps:spPr>
                          <a:xfrm>
                            <a:off x="710372" y="1966366"/>
                            <a:ext cx="4010660" cy="975994"/>
                          </a:xfrm>
                          <a:custGeom>
                            <a:avLst/>
                            <a:gdLst/>
                            <a:ahLst/>
                            <a:cxnLst/>
                            <a:rect l="l" t="t" r="r" b="b"/>
                            <a:pathLst>
                              <a:path w="4010660" h="975994">
                                <a:moveTo>
                                  <a:pt x="372872" y="405104"/>
                                </a:moveTo>
                                <a:lnTo>
                                  <a:pt x="0" y="405104"/>
                                </a:lnTo>
                                <a:lnTo>
                                  <a:pt x="0" y="975588"/>
                                </a:lnTo>
                                <a:lnTo>
                                  <a:pt x="372872" y="975588"/>
                                </a:lnTo>
                                <a:lnTo>
                                  <a:pt x="372872" y="405104"/>
                                </a:lnTo>
                                <a:close/>
                              </a:path>
                              <a:path w="4010660" h="975994">
                                <a:moveTo>
                                  <a:pt x="1284351" y="388581"/>
                                </a:moveTo>
                                <a:lnTo>
                                  <a:pt x="911466" y="388581"/>
                                </a:lnTo>
                                <a:lnTo>
                                  <a:pt x="911466" y="975588"/>
                                </a:lnTo>
                                <a:lnTo>
                                  <a:pt x="1284351" y="975588"/>
                                </a:lnTo>
                                <a:lnTo>
                                  <a:pt x="1284351" y="388581"/>
                                </a:lnTo>
                                <a:close/>
                              </a:path>
                              <a:path w="4010660" h="975994">
                                <a:moveTo>
                                  <a:pt x="2187549" y="181889"/>
                                </a:moveTo>
                                <a:lnTo>
                                  <a:pt x="1822958" y="181889"/>
                                </a:lnTo>
                                <a:lnTo>
                                  <a:pt x="1822958" y="975588"/>
                                </a:lnTo>
                                <a:lnTo>
                                  <a:pt x="2187549" y="975588"/>
                                </a:lnTo>
                                <a:lnTo>
                                  <a:pt x="2187549" y="181889"/>
                                </a:lnTo>
                                <a:close/>
                              </a:path>
                              <a:path w="4010660" h="975994">
                                <a:moveTo>
                                  <a:pt x="3099016" y="8267"/>
                                </a:moveTo>
                                <a:lnTo>
                                  <a:pt x="2726156" y="8267"/>
                                </a:lnTo>
                                <a:lnTo>
                                  <a:pt x="2726156" y="975588"/>
                                </a:lnTo>
                                <a:lnTo>
                                  <a:pt x="3099016" y="975588"/>
                                </a:lnTo>
                                <a:lnTo>
                                  <a:pt x="3099016" y="8267"/>
                                </a:lnTo>
                                <a:close/>
                              </a:path>
                              <a:path w="4010660" h="975994">
                                <a:moveTo>
                                  <a:pt x="4010520" y="0"/>
                                </a:moveTo>
                                <a:lnTo>
                                  <a:pt x="3637648" y="0"/>
                                </a:lnTo>
                                <a:lnTo>
                                  <a:pt x="3637648" y="975588"/>
                                </a:lnTo>
                                <a:lnTo>
                                  <a:pt x="4010520" y="975588"/>
                                </a:lnTo>
                                <a:lnTo>
                                  <a:pt x="4010520" y="0"/>
                                </a:lnTo>
                                <a:close/>
                              </a:path>
                            </a:pathLst>
                          </a:custGeom>
                          <a:solidFill>
                            <a:srgbClr val="F2E499"/>
                          </a:solidFill>
                        </wps:spPr>
                        <wps:bodyPr wrap="square" lIns="0" tIns="0" rIns="0" bIns="0" rtlCol="0">
                          <a:prstTxWarp prst="textNoShape">
                            <a:avLst/>
                          </a:prstTxWarp>
                          <a:noAutofit/>
                        </wps:bodyPr>
                      </wps:wsp>
                      <wps:wsp>
                        <wps:cNvPr id="1996" name="Graphic 1996"/>
                        <wps:cNvSpPr/>
                        <wps:spPr>
                          <a:xfrm>
                            <a:off x="710372" y="1247088"/>
                            <a:ext cx="4010660" cy="1124585"/>
                          </a:xfrm>
                          <a:custGeom>
                            <a:avLst/>
                            <a:gdLst/>
                            <a:ahLst/>
                            <a:cxnLst/>
                            <a:rect l="l" t="t" r="r" b="b"/>
                            <a:pathLst>
                              <a:path w="4010660" h="1124585">
                                <a:moveTo>
                                  <a:pt x="372872" y="644880"/>
                                </a:moveTo>
                                <a:lnTo>
                                  <a:pt x="0" y="644880"/>
                                </a:lnTo>
                                <a:lnTo>
                                  <a:pt x="0" y="1124381"/>
                                </a:lnTo>
                                <a:lnTo>
                                  <a:pt x="372872" y="1124381"/>
                                </a:lnTo>
                                <a:lnTo>
                                  <a:pt x="372872" y="644880"/>
                                </a:lnTo>
                                <a:close/>
                              </a:path>
                              <a:path w="4010660" h="1124585">
                                <a:moveTo>
                                  <a:pt x="1284351" y="587006"/>
                                </a:moveTo>
                                <a:lnTo>
                                  <a:pt x="911466" y="587006"/>
                                </a:lnTo>
                                <a:lnTo>
                                  <a:pt x="911466" y="1107859"/>
                                </a:lnTo>
                                <a:lnTo>
                                  <a:pt x="1284351" y="1107859"/>
                                </a:lnTo>
                                <a:lnTo>
                                  <a:pt x="1284351" y="587006"/>
                                </a:lnTo>
                                <a:close/>
                              </a:path>
                              <a:path w="4010660" h="1124585">
                                <a:moveTo>
                                  <a:pt x="2187549" y="256298"/>
                                </a:moveTo>
                                <a:lnTo>
                                  <a:pt x="1822958" y="256298"/>
                                </a:lnTo>
                                <a:lnTo>
                                  <a:pt x="1822958" y="901166"/>
                                </a:lnTo>
                                <a:lnTo>
                                  <a:pt x="2187549" y="901166"/>
                                </a:lnTo>
                                <a:lnTo>
                                  <a:pt x="2187549" y="256298"/>
                                </a:lnTo>
                                <a:close/>
                              </a:path>
                              <a:path w="4010660" h="1124585">
                                <a:moveTo>
                                  <a:pt x="3099016" y="0"/>
                                </a:moveTo>
                                <a:lnTo>
                                  <a:pt x="2726156" y="0"/>
                                </a:lnTo>
                                <a:lnTo>
                                  <a:pt x="2726156" y="727544"/>
                                </a:lnTo>
                                <a:lnTo>
                                  <a:pt x="3099016" y="727544"/>
                                </a:lnTo>
                                <a:lnTo>
                                  <a:pt x="3099016" y="0"/>
                                </a:lnTo>
                                <a:close/>
                              </a:path>
                              <a:path w="4010660" h="1124585">
                                <a:moveTo>
                                  <a:pt x="4010520" y="0"/>
                                </a:moveTo>
                                <a:lnTo>
                                  <a:pt x="3637648" y="0"/>
                                </a:lnTo>
                                <a:lnTo>
                                  <a:pt x="3637648" y="719277"/>
                                </a:lnTo>
                                <a:lnTo>
                                  <a:pt x="4010520" y="719277"/>
                                </a:lnTo>
                                <a:lnTo>
                                  <a:pt x="4010520" y="0"/>
                                </a:lnTo>
                                <a:close/>
                              </a:path>
                            </a:pathLst>
                          </a:custGeom>
                          <a:solidFill>
                            <a:srgbClr val="E3C626"/>
                          </a:solidFill>
                        </wps:spPr>
                        <wps:bodyPr wrap="square" lIns="0" tIns="0" rIns="0" bIns="0" rtlCol="0">
                          <a:prstTxWarp prst="textNoShape">
                            <a:avLst/>
                          </a:prstTxWarp>
                          <a:noAutofit/>
                        </wps:bodyPr>
                      </wps:wsp>
                      <wps:wsp>
                        <wps:cNvPr id="1997" name="Graphic 1997"/>
                        <wps:cNvSpPr/>
                        <wps:spPr>
                          <a:xfrm>
                            <a:off x="710372" y="1048664"/>
                            <a:ext cx="4010660" cy="843915"/>
                          </a:xfrm>
                          <a:custGeom>
                            <a:avLst/>
                            <a:gdLst/>
                            <a:ahLst/>
                            <a:cxnLst/>
                            <a:rect l="l" t="t" r="r" b="b"/>
                            <a:pathLst>
                              <a:path w="4010660" h="843915">
                                <a:moveTo>
                                  <a:pt x="372872" y="694486"/>
                                </a:moveTo>
                                <a:lnTo>
                                  <a:pt x="0" y="694486"/>
                                </a:lnTo>
                                <a:lnTo>
                                  <a:pt x="0" y="843305"/>
                                </a:lnTo>
                                <a:lnTo>
                                  <a:pt x="372872" y="843305"/>
                                </a:lnTo>
                                <a:lnTo>
                                  <a:pt x="372872" y="694486"/>
                                </a:lnTo>
                                <a:close/>
                              </a:path>
                              <a:path w="4010660" h="843915">
                                <a:moveTo>
                                  <a:pt x="1284351" y="653148"/>
                                </a:moveTo>
                                <a:lnTo>
                                  <a:pt x="911466" y="653148"/>
                                </a:lnTo>
                                <a:lnTo>
                                  <a:pt x="911466" y="785431"/>
                                </a:lnTo>
                                <a:lnTo>
                                  <a:pt x="1284351" y="785431"/>
                                </a:lnTo>
                                <a:lnTo>
                                  <a:pt x="1284351" y="653148"/>
                                </a:lnTo>
                                <a:close/>
                              </a:path>
                              <a:path w="4010660" h="843915">
                                <a:moveTo>
                                  <a:pt x="2187549" y="297637"/>
                                </a:moveTo>
                                <a:lnTo>
                                  <a:pt x="1822958" y="297637"/>
                                </a:lnTo>
                                <a:lnTo>
                                  <a:pt x="1822958" y="454723"/>
                                </a:lnTo>
                                <a:lnTo>
                                  <a:pt x="2187549" y="454723"/>
                                </a:lnTo>
                                <a:lnTo>
                                  <a:pt x="2187549" y="297637"/>
                                </a:lnTo>
                                <a:close/>
                              </a:path>
                              <a:path w="4010660" h="843915">
                                <a:moveTo>
                                  <a:pt x="3099016" y="33070"/>
                                </a:moveTo>
                                <a:lnTo>
                                  <a:pt x="2726156" y="33070"/>
                                </a:lnTo>
                                <a:lnTo>
                                  <a:pt x="2726156" y="198424"/>
                                </a:lnTo>
                                <a:lnTo>
                                  <a:pt x="3099016" y="198424"/>
                                </a:lnTo>
                                <a:lnTo>
                                  <a:pt x="3099016" y="33070"/>
                                </a:lnTo>
                                <a:close/>
                              </a:path>
                              <a:path w="4010660" h="843915">
                                <a:moveTo>
                                  <a:pt x="4010520" y="0"/>
                                </a:moveTo>
                                <a:lnTo>
                                  <a:pt x="3637648" y="0"/>
                                </a:lnTo>
                                <a:lnTo>
                                  <a:pt x="3637648" y="198424"/>
                                </a:lnTo>
                                <a:lnTo>
                                  <a:pt x="4010520" y="198424"/>
                                </a:lnTo>
                                <a:lnTo>
                                  <a:pt x="4010520" y="0"/>
                                </a:lnTo>
                                <a:close/>
                              </a:path>
                            </a:pathLst>
                          </a:custGeom>
                          <a:solidFill>
                            <a:srgbClr val="9CBF3B"/>
                          </a:solidFill>
                        </wps:spPr>
                        <wps:bodyPr wrap="square" lIns="0" tIns="0" rIns="0" bIns="0" rtlCol="0">
                          <a:prstTxWarp prst="textNoShape">
                            <a:avLst/>
                          </a:prstTxWarp>
                          <a:noAutofit/>
                        </wps:bodyPr>
                      </wps:wsp>
                      <wps:wsp>
                        <wps:cNvPr id="1998" name="Graphic 1998"/>
                        <wps:cNvSpPr/>
                        <wps:spPr>
                          <a:xfrm>
                            <a:off x="710372" y="693153"/>
                            <a:ext cx="4010660" cy="1050290"/>
                          </a:xfrm>
                          <a:custGeom>
                            <a:avLst/>
                            <a:gdLst/>
                            <a:ahLst/>
                            <a:cxnLst/>
                            <a:rect l="l" t="t" r="r" b="b"/>
                            <a:pathLst>
                              <a:path w="4010660" h="1050290">
                                <a:moveTo>
                                  <a:pt x="372872" y="810234"/>
                                </a:moveTo>
                                <a:lnTo>
                                  <a:pt x="0" y="810234"/>
                                </a:lnTo>
                                <a:lnTo>
                                  <a:pt x="0" y="1049997"/>
                                </a:lnTo>
                                <a:lnTo>
                                  <a:pt x="372872" y="1049997"/>
                                </a:lnTo>
                                <a:lnTo>
                                  <a:pt x="372872" y="810234"/>
                                </a:lnTo>
                                <a:close/>
                              </a:path>
                              <a:path w="4010660" h="1050290">
                                <a:moveTo>
                                  <a:pt x="1284351" y="760628"/>
                                </a:moveTo>
                                <a:lnTo>
                                  <a:pt x="911466" y="760628"/>
                                </a:lnTo>
                                <a:lnTo>
                                  <a:pt x="911466" y="1008659"/>
                                </a:lnTo>
                                <a:lnTo>
                                  <a:pt x="1284351" y="1008659"/>
                                </a:lnTo>
                                <a:lnTo>
                                  <a:pt x="1284351" y="760628"/>
                                </a:lnTo>
                                <a:close/>
                              </a:path>
                              <a:path w="4010660" h="1050290">
                                <a:moveTo>
                                  <a:pt x="2187549" y="322440"/>
                                </a:moveTo>
                                <a:lnTo>
                                  <a:pt x="1822958" y="322440"/>
                                </a:lnTo>
                                <a:lnTo>
                                  <a:pt x="1822958" y="653148"/>
                                </a:lnTo>
                                <a:lnTo>
                                  <a:pt x="2187549" y="653148"/>
                                </a:lnTo>
                                <a:lnTo>
                                  <a:pt x="2187549" y="322440"/>
                                </a:lnTo>
                                <a:close/>
                              </a:path>
                              <a:path w="4010660" h="1050290">
                                <a:moveTo>
                                  <a:pt x="3099016" y="16535"/>
                                </a:moveTo>
                                <a:lnTo>
                                  <a:pt x="2726156" y="16535"/>
                                </a:lnTo>
                                <a:lnTo>
                                  <a:pt x="2726156" y="388581"/>
                                </a:lnTo>
                                <a:lnTo>
                                  <a:pt x="3099016" y="388581"/>
                                </a:lnTo>
                                <a:lnTo>
                                  <a:pt x="3099016" y="16535"/>
                                </a:lnTo>
                                <a:close/>
                              </a:path>
                              <a:path w="4010660" h="1050290">
                                <a:moveTo>
                                  <a:pt x="4010520" y="0"/>
                                </a:moveTo>
                                <a:lnTo>
                                  <a:pt x="3637648" y="0"/>
                                </a:lnTo>
                                <a:lnTo>
                                  <a:pt x="3637648" y="355511"/>
                                </a:lnTo>
                                <a:lnTo>
                                  <a:pt x="4010520" y="355511"/>
                                </a:lnTo>
                                <a:lnTo>
                                  <a:pt x="4010520" y="0"/>
                                </a:lnTo>
                                <a:close/>
                              </a:path>
                            </a:pathLst>
                          </a:custGeom>
                          <a:solidFill>
                            <a:srgbClr val="2F7D41"/>
                          </a:solidFill>
                        </wps:spPr>
                        <wps:bodyPr wrap="square" lIns="0" tIns="0" rIns="0" bIns="0" rtlCol="0">
                          <a:prstTxWarp prst="textNoShape">
                            <a:avLst/>
                          </a:prstTxWarp>
                          <a:noAutofit/>
                        </wps:bodyPr>
                      </wps:wsp>
                      <wps:wsp>
                        <wps:cNvPr id="1999" name="Graphic 1999"/>
                        <wps:cNvSpPr/>
                        <wps:spPr>
                          <a:xfrm>
                            <a:off x="400707" y="351116"/>
                            <a:ext cx="4596765" cy="2635250"/>
                          </a:xfrm>
                          <a:custGeom>
                            <a:avLst/>
                            <a:gdLst/>
                            <a:ahLst/>
                            <a:cxnLst/>
                            <a:rect l="l" t="t" r="r" b="b"/>
                            <a:pathLst>
                              <a:path w="4596765" h="2635250">
                                <a:moveTo>
                                  <a:pt x="4596689" y="2587777"/>
                                </a:moveTo>
                                <a:lnTo>
                                  <a:pt x="4596689" y="2587777"/>
                                </a:lnTo>
                                <a:lnTo>
                                  <a:pt x="47561" y="2587777"/>
                                </a:lnTo>
                                <a:lnTo>
                                  <a:pt x="47561" y="0"/>
                                </a:lnTo>
                                <a:lnTo>
                                  <a:pt x="41427" y="0"/>
                                </a:lnTo>
                                <a:lnTo>
                                  <a:pt x="0" y="0"/>
                                </a:lnTo>
                                <a:lnTo>
                                  <a:pt x="0" y="6134"/>
                                </a:lnTo>
                                <a:lnTo>
                                  <a:pt x="41427" y="6134"/>
                                </a:lnTo>
                                <a:lnTo>
                                  <a:pt x="41427" y="256298"/>
                                </a:lnTo>
                                <a:lnTo>
                                  <a:pt x="0" y="256298"/>
                                </a:lnTo>
                                <a:lnTo>
                                  <a:pt x="0" y="262420"/>
                                </a:lnTo>
                                <a:lnTo>
                                  <a:pt x="41427" y="262420"/>
                                </a:lnTo>
                                <a:lnTo>
                                  <a:pt x="41427" y="520865"/>
                                </a:lnTo>
                                <a:lnTo>
                                  <a:pt x="0" y="520865"/>
                                </a:lnTo>
                                <a:lnTo>
                                  <a:pt x="0" y="526999"/>
                                </a:lnTo>
                                <a:lnTo>
                                  <a:pt x="41427" y="526999"/>
                                </a:lnTo>
                                <a:lnTo>
                                  <a:pt x="41427" y="777151"/>
                                </a:lnTo>
                                <a:lnTo>
                                  <a:pt x="0" y="777151"/>
                                </a:lnTo>
                                <a:lnTo>
                                  <a:pt x="0" y="783285"/>
                                </a:lnTo>
                                <a:lnTo>
                                  <a:pt x="41427" y="783285"/>
                                </a:lnTo>
                                <a:lnTo>
                                  <a:pt x="41427" y="1033462"/>
                                </a:lnTo>
                                <a:lnTo>
                                  <a:pt x="0" y="1033462"/>
                                </a:lnTo>
                                <a:lnTo>
                                  <a:pt x="0" y="1039596"/>
                                </a:lnTo>
                                <a:lnTo>
                                  <a:pt x="41427" y="1039596"/>
                                </a:lnTo>
                                <a:lnTo>
                                  <a:pt x="41427" y="1298016"/>
                                </a:lnTo>
                                <a:lnTo>
                                  <a:pt x="0" y="1298016"/>
                                </a:lnTo>
                                <a:lnTo>
                                  <a:pt x="0" y="1304150"/>
                                </a:lnTo>
                                <a:lnTo>
                                  <a:pt x="41427" y="1304150"/>
                                </a:lnTo>
                                <a:lnTo>
                                  <a:pt x="41427" y="1554314"/>
                                </a:lnTo>
                                <a:lnTo>
                                  <a:pt x="0" y="1554314"/>
                                </a:lnTo>
                                <a:lnTo>
                                  <a:pt x="0" y="1560449"/>
                                </a:lnTo>
                                <a:lnTo>
                                  <a:pt x="41427" y="1560449"/>
                                </a:lnTo>
                                <a:lnTo>
                                  <a:pt x="41427" y="1810600"/>
                                </a:lnTo>
                                <a:lnTo>
                                  <a:pt x="0" y="1810600"/>
                                </a:lnTo>
                                <a:lnTo>
                                  <a:pt x="0" y="1816735"/>
                                </a:lnTo>
                                <a:lnTo>
                                  <a:pt x="41427" y="1816735"/>
                                </a:lnTo>
                                <a:lnTo>
                                  <a:pt x="41427" y="2066899"/>
                                </a:lnTo>
                                <a:lnTo>
                                  <a:pt x="0" y="2066899"/>
                                </a:lnTo>
                                <a:lnTo>
                                  <a:pt x="0" y="2073033"/>
                                </a:lnTo>
                                <a:lnTo>
                                  <a:pt x="41427" y="2073033"/>
                                </a:lnTo>
                                <a:lnTo>
                                  <a:pt x="41427" y="2331478"/>
                                </a:lnTo>
                                <a:lnTo>
                                  <a:pt x="0" y="2331478"/>
                                </a:lnTo>
                                <a:lnTo>
                                  <a:pt x="0" y="2337612"/>
                                </a:lnTo>
                                <a:lnTo>
                                  <a:pt x="41427" y="2337612"/>
                                </a:lnTo>
                                <a:lnTo>
                                  <a:pt x="41427" y="2587777"/>
                                </a:lnTo>
                                <a:lnTo>
                                  <a:pt x="0" y="2587777"/>
                                </a:lnTo>
                                <a:lnTo>
                                  <a:pt x="0" y="2593911"/>
                                </a:lnTo>
                                <a:lnTo>
                                  <a:pt x="41427" y="2593911"/>
                                </a:lnTo>
                                <a:lnTo>
                                  <a:pt x="41427" y="2635250"/>
                                </a:lnTo>
                                <a:lnTo>
                                  <a:pt x="47561" y="2635250"/>
                                </a:lnTo>
                                <a:lnTo>
                                  <a:pt x="47561" y="2593911"/>
                                </a:lnTo>
                                <a:lnTo>
                                  <a:pt x="952919" y="2593911"/>
                                </a:lnTo>
                                <a:lnTo>
                                  <a:pt x="952919" y="2635250"/>
                                </a:lnTo>
                                <a:lnTo>
                                  <a:pt x="959040" y="2635250"/>
                                </a:lnTo>
                                <a:lnTo>
                                  <a:pt x="959040" y="2593911"/>
                                </a:lnTo>
                                <a:lnTo>
                                  <a:pt x="1864398" y="2593911"/>
                                </a:lnTo>
                                <a:lnTo>
                                  <a:pt x="1864398" y="2635250"/>
                                </a:lnTo>
                                <a:lnTo>
                                  <a:pt x="1870532" y="2635250"/>
                                </a:lnTo>
                                <a:lnTo>
                                  <a:pt x="1870532" y="2593911"/>
                                </a:lnTo>
                                <a:lnTo>
                                  <a:pt x="2767596" y="2593911"/>
                                </a:lnTo>
                                <a:lnTo>
                                  <a:pt x="2767596" y="2635250"/>
                                </a:lnTo>
                                <a:lnTo>
                                  <a:pt x="2773718" y="2635250"/>
                                </a:lnTo>
                                <a:lnTo>
                                  <a:pt x="2773718" y="2593911"/>
                                </a:lnTo>
                                <a:lnTo>
                                  <a:pt x="3679063" y="2593911"/>
                                </a:lnTo>
                                <a:lnTo>
                                  <a:pt x="3679063" y="2635250"/>
                                </a:lnTo>
                                <a:lnTo>
                                  <a:pt x="3685197" y="2635250"/>
                                </a:lnTo>
                                <a:lnTo>
                                  <a:pt x="3685197" y="2593911"/>
                                </a:lnTo>
                                <a:lnTo>
                                  <a:pt x="4590554" y="2593911"/>
                                </a:lnTo>
                                <a:lnTo>
                                  <a:pt x="4590554" y="2635250"/>
                                </a:lnTo>
                                <a:lnTo>
                                  <a:pt x="4596689" y="2635250"/>
                                </a:lnTo>
                                <a:lnTo>
                                  <a:pt x="4596689" y="2587777"/>
                                </a:lnTo>
                                <a:close/>
                              </a:path>
                            </a:pathLst>
                          </a:custGeom>
                          <a:solidFill>
                            <a:srgbClr val="000000"/>
                          </a:solidFill>
                        </wps:spPr>
                        <wps:bodyPr wrap="square" lIns="0" tIns="0" rIns="0" bIns="0" rtlCol="0">
                          <a:prstTxWarp prst="textNoShape">
                            <a:avLst/>
                          </a:prstTxWarp>
                          <a:noAutofit/>
                        </wps:bodyPr>
                      </wps:wsp>
                      <wps:wsp>
                        <wps:cNvPr id="2000" name="Graphic 2000"/>
                        <wps:cNvSpPr/>
                        <wps:spPr>
                          <a:xfrm>
                            <a:off x="2877398" y="152494"/>
                            <a:ext cx="77470" cy="77470"/>
                          </a:xfrm>
                          <a:custGeom>
                            <a:avLst/>
                            <a:gdLst/>
                            <a:ahLst/>
                            <a:cxnLst/>
                            <a:rect l="l" t="t" r="r" b="b"/>
                            <a:pathLst>
                              <a:path w="77470" h="77470">
                                <a:moveTo>
                                  <a:pt x="77228" y="0"/>
                                </a:moveTo>
                                <a:lnTo>
                                  <a:pt x="0" y="0"/>
                                </a:lnTo>
                                <a:lnTo>
                                  <a:pt x="0" y="77043"/>
                                </a:lnTo>
                                <a:lnTo>
                                  <a:pt x="77228" y="77043"/>
                                </a:lnTo>
                                <a:lnTo>
                                  <a:pt x="77228" y="0"/>
                                </a:lnTo>
                                <a:close/>
                              </a:path>
                            </a:pathLst>
                          </a:custGeom>
                          <a:solidFill>
                            <a:srgbClr val="F2E499"/>
                          </a:solidFill>
                        </wps:spPr>
                        <wps:bodyPr wrap="square" lIns="0" tIns="0" rIns="0" bIns="0" rtlCol="0">
                          <a:prstTxWarp prst="textNoShape">
                            <a:avLst/>
                          </a:prstTxWarp>
                          <a:noAutofit/>
                        </wps:bodyPr>
                      </wps:wsp>
                      <wps:wsp>
                        <wps:cNvPr id="2001" name="Graphic 2001"/>
                        <wps:cNvSpPr/>
                        <wps:spPr>
                          <a:xfrm>
                            <a:off x="3250767" y="152494"/>
                            <a:ext cx="77470" cy="77470"/>
                          </a:xfrm>
                          <a:custGeom>
                            <a:avLst/>
                            <a:gdLst/>
                            <a:ahLst/>
                            <a:cxnLst/>
                            <a:rect l="l" t="t" r="r" b="b"/>
                            <a:pathLst>
                              <a:path w="77470" h="77470">
                                <a:moveTo>
                                  <a:pt x="77229" y="0"/>
                                </a:moveTo>
                                <a:lnTo>
                                  <a:pt x="0" y="0"/>
                                </a:lnTo>
                                <a:lnTo>
                                  <a:pt x="0" y="77043"/>
                                </a:lnTo>
                                <a:lnTo>
                                  <a:pt x="77229" y="77043"/>
                                </a:lnTo>
                                <a:lnTo>
                                  <a:pt x="77229" y="0"/>
                                </a:lnTo>
                                <a:close/>
                              </a:path>
                            </a:pathLst>
                          </a:custGeom>
                          <a:solidFill>
                            <a:srgbClr val="E3C626"/>
                          </a:solidFill>
                        </wps:spPr>
                        <wps:bodyPr wrap="square" lIns="0" tIns="0" rIns="0" bIns="0" rtlCol="0">
                          <a:prstTxWarp prst="textNoShape">
                            <a:avLst/>
                          </a:prstTxWarp>
                          <a:noAutofit/>
                        </wps:bodyPr>
                      </wps:wsp>
                      <wps:wsp>
                        <wps:cNvPr id="2002" name="Graphic 2002"/>
                        <wps:cNvSpPr/>
                        <wps:spPr>
                          <a:xfrm>
                            <a:off x="3800567" y="152494"/>
                            <a:ext cx="77470" cy="77470"/>
                          </a:xfrm>
                          <a:custGeom>
                            <a:avLst/>
                            <a:gdLst/>
                            <a:ahLst/>
                            <a:cxnLst/>
                            <a:rect l="l" t="t" r="r" b="b"/>
                            <a:pathLst>
                              <a:path w="77470" h="77470">
                                <a:moveTo>
                                  <a:pt x="77228" y="0"/>
                                </a:moveTo>
                                <a:lnTo>
                                  <a:pt x="0" y="0"/>
                                </a:lnTo>
                                <a:lnTo>
                                  <a:pt x="0" y="77043"/>
                                </a:lnTo>
                                <a:lnTo>
                                  <a:pt x="77228" y="77043"/>
                                </a:lnTo>
                                <a:lnTo>
                                  <a:pt x="77228" y="0"/>
                                </a:lnTo>
                                <a:close/>
                              </a:path>
                            </a:pathLst>
                          </a:custGeom>
                          <a:solidFill>
                            <a:srgbClr val="9CBF3B"/>
                          </a:solidFill>
                        </wps:spPr>
                        <wps:bodyPr wrap="square" lIns="0" tIns="0" rIns="0" bIns="0" rtlCol="0">
                          <a:prstTxWarp prst="textNoShape">
                            <a:avLst/>
                          </a:prstTxWarp>
                          <a:noAutofit/>
                        </wps:bodyPr>
                      </wps:wsp>
                      <wps:wsp>
                        <wps:cNvPr id="2003" name="Graphic 2003"/>
                        <wps:cNvSpPr/>
                        <wps:spPr>
                          <a:xfrm>
                            <a:off x="4544154" y="152494"/>
                            <a:ext cx="77470" cy="77470"/>
                          </a:xfrm>
                          <a:custGeom>
                            <a:avLst/>
                            <a:gdLst/>
                            <a:ahLst/>
                            <a:cxnLst/>
                            <a:rect l="l" t="t" r="r" b="b"/>
                            <a:pathLst>
                              <a:path w="77470" h="77470">
                                <a:moveTo>
                                  <a:pt x="77241" y="0"/>
                                </a:moveTo>
                                <a:lnTo>
                                  <a:pt x="0" y="0"/>
                                </a:lnTo>
                                <a:lnTo>
                                  <a:pt x="0" y="77043"/>
                                </a:lnTo>
                                <a:lnTo>
                                  <a:pt x="77241" y="77043"/>
                                </a:lnTo>
                                <a:lnTo>
                                  <a:pt x="77241" y="0"/>
                                </a:lnTo>
                                <a:close/>
                              </a:path>
                            </a:pathLst>
                          </a:custGeom>
                          <a:solidFill>
                            <a:srgbClr val="2F7D41"/>
                          </a:solidFill>
                        </wps:spPr>
                        <wps:bodyPr wrap="square" lIns="0" tIns="0" rIns="0" bIns="0" rtlCol="0">
                          <a:prstTxWarp prst="textNoShape">
                            <a:avLst/>
                          </a:prstTxWarp>
                          <a:noAutofit/>
                        </wps:bodyPr>
                      </wps:wsp>
                      <wps:wsp>
                        <wps:cNvPr id="2004" name="Graphic 2004"/>
                        <wps:cNvSpPr/>
                        <wps:spPr>
                          <a:xfrm>
                            <a:off x="-2" y="0"/>
                            <a:ext cx="5036820" cy="3261360"/>
                          </a:xfrm>
                          <a:custGeom>
                            <a:avLst/>
                            <a:gdLst/>
                            <a:ahLst/>
                            <a:cxnLst/>
                            <a:rect l="l" t="t" r="r" b="b"/>
                            <a:pathLst>
                              <a:path w="5036820" h="3261360">
                                <a:moveTo>
                                  <a:pt x="5036502" y="0"/>
                                </a:moveTo>
                                <a:lnTo>
                                  <a:pt x="5030152" y="0"/>
                                </a:lnTo>
                                <a:lnTo>
                                  <a:pt x="5030152" y="6578"/>
                                </a:lnTo>
                                <a:lnTo>
                                  <a:pt x="5030152" y="3254806"/>
                                </a:lnTo>
                                <a:lnTo>
                                  <a:pt x="6350" y="3254806"/>
                                </a:lnTo>
                                <a:lnTo>
                                  <a:pt x="6350" y="6578"/>
                                </a:lnTo>
                                <a:lnTo>
                                  <a:pt x="5030152" y="6578"/>
                                </a:lnTo>
                                <a:lnTo>
                                  <a:pt x="5030152" y="0"/>
                                </a:lnTo>
                                <a:lnTo>
                                  <a:pt x="0" y="0"/>
                                </a:lnTo>
                                <a:lnTo>
                                  <a:pt x="0" y="3810"/>
                                </a:lnTo>
                                <a:lnTo>
                                  <a:pt x="0" y="6350"/>
                                </a:lnTo>
                                <a:lnTo>
                                  <a:pt x="0" y="3255010"/>
                                </a:lnTo>
                                <a:lnTo>
                                  <a:pt x="0" y="3257550"/>
                                </a:lnTo>
                                <a:lnTo>
                                  <a:pt x="0" y="3261360"/>
                                </a:lnTo>
                                <a:lnTo>
                                  <a:pt x="5036502" y="3261360"/>
                                </a:lnTo>
                                <a:lnTo>
                                  <a:pt x="5036502" y="3403"/>
                                </a:lnTo>
                                <a:lnTo>
                                  <a:pt x="5036502" y="0"/>
                                </a:lnTo>
                                <a:close/>
                              </a:path>
                            </a:pathLst>
                          </a:custGeom>
                          <a:solidFill>
                            <a:srgbClr val="000000"/>
                          </a:solidFill>
                        </wps:spPr>
                        <wps:bodyPr wrap="square" lIns="0" tIns="0" rIns="0" bIns="0" rtlCol="0">
                          <a:prstTxWarp prst="textNoShape">
                            <a:avLst/>
                          </a:prstTxWarp>
                          <a:noAutofit/>
                        </wps:bodyPr>
                      </wps:wsp>
                      <wps:wsp>
                        <wps:cNvPr id="2005" name="Textbox 2005"/>
                        <wps:cNvSpPr txBox="1"/>
                        <wps:spPr>
                          <a:xfrm>
                            <a:off x="1721074" y="1306888"/>
                            <a:ext cx="21018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11899</w:t>
                              </w:r>
                            </w:p>
                          </w:txbxContent>
                        </wps:txbx>
                        <wps:bodyPr wrap="square" lIns="0" tIns="0" rIns="0" bIns="0" rtlCol="0">
                          <a:noAutofit/>
                        </wps:bodyPr>
                      </wps:wsp>
                      <wps:wsp>
                        <wps:cNvPr id="2006" name="Textbox 2006"/>
                        <wps:cNvSpPr txBox="1"/>
                        <wps:spPr>
                          <a:xfrm>
                            <a:off x="2987776" y="134046"/>
                            <a:ext cx="142875" cy="102235"/>
                          </a:xfrm>
                          <a:prstGeom prst="rect">
                            <a:avLst/>
                          </a:prstGeom>
                        </wps:spPr>
                        <wps:txbx>
                          <w:txbxContent>
                            <w:p>
                              <w:pPr>
                                <w:spacing w:line="161" w:lineRule="exact" w:before="0"/>
                                <w:ind w:left="0" w:right="0" w:firstLine="0"/>
                                <w:jc w:val="left"/>
                                <w:rPr>
                                  <w:rFonts w:ascii="Arial MT"/>
                                  <w:sz w:val="14"/>
                                </w:rPr>
                              </w:pPr>
                              <w:r>
                                <w:rPr>
                                  <w:rFonts w:ascii="Arial MT"/>
                                  <w:spacing w:val="-4"/>
                                  <w:w w:val="90"/>
                                  <w:sz w:val="14"/>
                                </w:rPr>
                                <w:t>Arts</w:t>
                              </w:r>
                            </w:p>
                          </w:txbxContent>
                        </wps:txbx>
                        <wps:bodyPr wrap="square" lIns="0" tIns="0" rIns="0" bIns="0" rtlCol="0">
                          <a:noAutofit/>
                        </wps:bodyPr>
                      </wps:wsp>
                      <wps:wsp>
                        <wps:cNvPr id="2007" name="Textbox 2007"/>
                        <wps:cNvSpPr txBox="1"/>
                        <wps:spPr>
                          <a:xfrm>
                            <a:off x="3375126" y="134046"/>
                            <a:ext cx="1516380" cy="102235"/>
                          </a:xfrm>
                          <a:prstGeom prst="rect">
                            <a:avLst/>
                          </a:prstGeom>
                        </wps:spPr>
                        <wps:txbx>
                          <w:txbxContent>
                            <w:p>
                              <w:pPr>
                                <w:tabs>
                                  <w:tab w:pos="841" w:val="left" w:leader="none"/>
                                  <w:tab w:pos="2022" w:val="left" w:leader="none"/>
                                </w:tabs>
                                <w:spacing w:line="161" w:lineRule="exact" w:before="0"/>
                                <w:ind w:left="0" w:right="0" w:firstLine="0"/>
                                <w:jc w:val="left"/>
                                <w:rPr>
                                  <w:rFonts w:ascii="Arial MT"/>
                                  <w:sz w:val="14"/>
                                </w:rPr>
                              </w:pPr>
                              <w:r>
                                <w:rPr>
                                  <w:rFonts w:ascii="Arial MT"/>
                                  <w:spacing w:val="-2"/>
                                  <w:w w:val="90"/>
                                  <w:sz w:val="14"/>
                                </w:rPr>
                                <w:t>Science</w:t>
                              </w:r>
                              <w:r>
                                <w:rPr>
                                  <w:rFonts w:ascii="Arial MT"/>
                                  <w:sz w:val="14"/>
                                </w:rPr>
                                <w:tab/>
                              </w:r>
                              <w:r>
                                <w:rPr>
                                  <w:rFonts w:ascii="Arial MT"/>
                                  <w:w w:val="80"/>
                                  <w:sz w:val="14"/>
                                </w:rPr>
                                <w:t>Engg.</w:t>
                              </w:r>
                              <w:r>
                                <w:rPr>
                                  <w:rFonts w:ascii="Arial MT"/>
                                  <w:spacing w:val="-1"/>
                                  <w:sz w:val="14"/>
                                </w:rPr>
                                <w:t> </w:t>
                              </w:r>
                              <w:r>
                                <w:rPr>
                                  <w:rFonts w:ascii="Arial MT"/>
                                  <w:w w:val="80"/>
                                  <w:sz w:val="14"/>
                                </w:rPr>
                                <w:t>Med.</w:t>
                              </w:r>
                              <w:r>
                                <w:rPr>
                                  <w:rFonts w:ascii="Arial MT"/>
                                  <w:sz w:val="14"/>
                                </w:rPr>
                                <w:t> </w:t>
                              </w:r>
                              <w:r>
                                <w:rPr>
                                  <w:rFonts w:ascii="Arial MT"/>
                                  <w:spacing w:val="-5"/>
                                  <w:w w:val="80"/>
                                  <w:sz w:val="14"/>
                                </w:rPr>
                                <w:t>Vet</w:t>
                              </w:r>
                              <w:r>
                                <w:rPr>
                                  <w:rFonts w:ascii="Arial MT"/>
                                  <w:sz w:val="14"/>
                                </w:rPr>
                                <w:tab/>
                              </w:r>
                              <w:r>
                                <w:rPr>
                                  <w:rFonts w:ascii="Arial MT"/>
                                  <w:spacing w:val="-2"/>
                                  <w:w w:val="85"/>
                                  <w:sz w:val="14"/>
                                </w:rPr>
                                <w:t>Others</w:t>
                              </w:r>
                            </w:p>
                          </w:txbxContent>
                        </wps:txbx>
                        <wps:bodyPr wrap="square" lIns="0" tIns="0" rIns="0" bIns="0" rtlCol="0">
                          <a:noAutofit/>
                        </wps:bodyPr>
                      </wps:wsp>
                      <wps:wsp>
                        <wps:cNvPr id="2008" name="Textbox 2008"/>
                        <wps:cNvSpPr txBox="1"/>
                        <wps:spPr>
                          <a:xfrm>
                            <a:off x="162235" y="311797"/>
                            <a:ext cx="215900" cy="35877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20000</w:t>
                              </w:r>
                            </w:p>
                            <w:p>
                              <w:pPr>
                                <w:spacing w:line="240" w:lineRule="auto" w:before="82"/>
                                <w:rPr>
                                  <w:rFonts w:ascii="Arial MT"/>
                                  <w:sz w:val="14"/>
                                </w:rPr>
                              </w:pPr>
                            </w:p>
                            <w:p>
                              <w:pPr>
                                <w:spacing w:before="0"/>
                                <w:ind w:left="0" w:right="0" w:firstLine="0"/>
                                <w:jc w:val="left"/>
                                <w:rPr>
                                  <w:rFonts w:ascii="Arial MT"/>
                                  <w:sz w:val="14"/>
                                </w:rPr>
                              </w:pPr>
                              <w:r>
                                <w:rPr>
                                  <w:rFonts w:ascii="Arial MT"/>
                                  <w:spacing w:val="-2"/>
                                  <w:w w:val="85"/>
                                  <w:sz w:val="14"/>
                                </w:rPr>
                                <w:t>18000</w:t>
                              </w:r>
                            </w:p>
                          </w:txbxContent>
                        </wps:txbx>
                        <wps:bodyPr wrap="square" lIns="0" tIns="0" rIns="0" bIns="0" rtlCol="0">
                          <a:noAutofit/>
                        </wps:bodyPr>
                      </wps:wsp>
                      <wps:wsp>
                        <wps:cNvPr id="2009" name="Textbox 2009"/>
                        <wps:cNvSpPr txBox="1"/>
                        <wps:spPr>
                          <a:xfrm>
                            <a:off x="3521023" y="566515"/>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17853</w:t>
                              </w:r>
                            </w:p>
                          </w:txbxContent>
                        </wps:txbx>
                        <wps:bodyPr wrap="square" lIns="0" tIns="0" rIns="0" bIns="0" rtlCol="0">
                          <a:noAutofit/>
                        </wps:bodyPr>
                      </wps:wsp>
                      <wps:wsp>
                        <wps:cNvPr id="2010" name="Textbox 2010"/>
                        <wps:cNvSpPr txBox="1"/>
                        <wps:spPr>
                          <a:xfrm>
                            <a:off x="4421023" y="548515"/>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17898</w:t>
                              </w:r>
                            </w:p>
                          </w:txbxContent>
                        </wps:txbx>
                        <wps:bodyPr wrap="square" lIns="0" tIns="0" rIns="0" bIns="0" rtlCol="0">
                          <a:noAutofit/>
                        </wps:bodyPr>
                      </wps:wsp>
                      <wps:wsp>
                        <wps:cNvPr id="2011" name="Textbox 2011"/>
                        <wps:cNvSpPr txBox="1"/>
                        <wps:spPr>
                          <a:xfrm>
                            <a:off x="162235" y="824877"/>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16000</w:t>
                              </w:r>
                            </w:p>
                          </w:txbxContent>
                        </wps:txbx>
                        <wps:bodyPr wrap="square" lIns="0" tIns="0" rIns="0" bIns="0" rtlCol="0">
                          <a:noAutofit/>
                        </wps:bodyPr>
                      </wps:wsp>
                      <wps:wsp>
                        <wps:cNvPr id="2012" name="Textbox 2012"/>
                        <wps:cNvSpPr txBox="1"/>
                        <wps:spPr>
                          <a:xfrm>
                            <a:off x="2612023" y="845515"/>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15418</w:t>
                              </w:r>
                            </w:p>
                          </w:txbxContent>
                        </wps:txbx>
                        <wps:bodyPr wrap="square" lIns="0" tIns="0" rIns="0" bIns="0" rtlCol="0">
                          <a:noAutofit/>
                        </wps:bodyPr>
                      </wps:wsp>
                      <wps:wsp>
                        <wps:cNvPr id="2013" name="Textbox 2013"/>
                        <wps:cNvSpPr txBox="1"/>
                        <wps:spPr>
                          <a:xfrm>
                            <a:off x="806675" y="1306888"/>
                            <a:ext cx="21018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11544</w:t>
                              </w:r>
                            </w:p>
                          </w:txbxContent>
                        </wps:txbx>
                        <wps:bodyPr wrap="square" lIns="0" tIns="0" rIns="0" bIns="0" rtlCol="0">
                          <a:noAutofit/>
                        </wps:bodyPr>
                      </wps:wsp>
                      <wps:wsp>
                        <wps:cNvPr id="2014" name="Textbox 2014"/>
                        <wps:cNvSpPr txBox="1"/>
                        <wps:spPr>
                          <a:xfrm>
                            <a:off x="162235" y="1594497"/>
                            <a:ext cx="215900" cy="13849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10000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4"/>
                                  <w:w w:val="90"/>
                                  <w:sz w:val="14"/>
                                </w:rPr>
                                <w:t>8000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4"/>
                                  <w:w w:val="90"/>
                                  <w:sz w:val="14"/>
                                </w:rPr>
                                <w:t>6000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4"/>
                                  <w:w w:val="90"/>
                                  <w:sz w:val="14"/>
                                </w:rPr>
                                <w:t>4000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4"/>
                                  <w:w w:val="90"/>
                                  <w:sz w:val="14"/>
                                </w:rPr>
                                <w:t>2000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2015" name="Textbox 2015"/>
                        <wps:cNvSpPr txBox="1"/>
                        <wps:spPr>
                          <a:xfrm>
                            <a:off x="782892" y="3012361"/>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2000-</w:t>
                              </w:r>
                              <w:r>
                                <w:rPr>
                                  <w:rFonts w:ascii="Arial MT"/>
                                  <w:spacing w:val="-5"/>
                                  <w:w w:val="90"/>
                                  <w:sz w:val="14"/>
                                </w:rPr>
                                <w:t>01</w:t>
                              </w:r>
                            </w:p>
                          </w:txbxContent>
                        </wps:txbx>
                        <wps:bodyPr wrap="square" lIns="0" tIns="0" rIns="0" bIns="0" rtlCol="0">
                          <a:noAutofit/>
                        </wps:bodyPr>
                      </wps:wsp>
                      <wps:wsp>
                        <wps:cNvPr id="2016" name="Textbox 2016"/>
                        <wps:cNvSpPr txBox="1"/>
                        <wps:spPr>
                          <a:xfrm>
                            <a:off x="1693995" y="3012361"/>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2001-</w:t>
                              </w:r>
                              <w:r>
                                <w:rPr>
                                  <w:rFonts w:ascii="Arial MT"/>
                                  <w:spacing w:val="-5"/>
                                  <w:w w:val="90"/>
                                  <w:sz w:val="14"/>
                                </w:rPr>
                                <w:t>02</w:t>
                              </w:r>
                            </w:p>
                          </w:txbxContent>
                        </wps:txbx>
                        <wps:bodyPr wrap="square" lIns="0" tIns="0" rIns="0" bIns="0" rtlCol="0">
                          <a:noAutofit/>
                        </wps:bodyPr>
                      </wps:wsp>
                      <wps:wsp>
                        <wps:cNvPr id="2017" name="Textbox 2017"/>
                        <wps:cNvSpPr txBox="1"/>
                        <wps:spPr>
                          <a:xfrm>
                            <a:off x="2605098" y="3012361"/>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2002-</w:t>
                              </w:r>
                              <w:r>
                                <w:rPr>
                                  <w:rFonts w:ascii="Arial MT"/>
                                  <w:spacing w:val="-5"/>
                                  <w:w w:val="90"/>
                                  <w:sz w:val="14"/>
                                </w:rPr>
                                <w:t>03</w:t>
                              </w:r>
                            </w:p>
                          </w:txbxContent>
                        </wps:txbx>
                        <wps:bodyPr wrap="square" lIns="0" tIns="0" rIns="0" bIns="0" rtlCol="0">
                          <a:noAutofit/>
                        </wps:bodyPr>
                      </wps:wsp>
                      <wps:wsp>
                        <wps:cNvPr id="2018" name="Textbox 2018"/>
                        <wps:cNvSpPr txBox="1"/>
                        <wps:spPr>
                          <a:xfrm>
                            <a:off x="3516201" y="3012361"/>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2003-</w:t>
                              </w:r>
                              <w:r>
                                <w:rPr>
                                  <w:rFonts w:ascii="Arial MT"/>
                                  <w:spacing w:val="-5"/>
                                  <w:w w:val="90"/>
                                  <w:sz w:val="14"/>
                                </w:rPr>
                                <w:t>04</w:t>
                              </w:r>
                            </w:p>
                          </w:txbxContent>
                        </wps:txbx>
                        <wps:bodyPr wrap="square" lIns="0" tIns="0" rIns="0" bIns="0" rtlCol="0">
                          <a:noAutofit/>
                        </wps:bodyPr>
                      </wps:wsp>
                      <wps:wsp>
                        <wps:cNvPr id="2019" name="Textbox 2019"/>
                        <wps:cNvSpPr txBox="1"/>
                        <wps:spPr>
                          <a:xfrm>
                            <a:off x="4427304" y="3012361"/>
                            <a:ext cx="2806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2004-</w:t>
                              </w:r>
                              <w:r>
                                <w:rPr>
                                  <w:rFonts w:ascii="Arial MT"/>
                                  <w:spacing w:val="-5"/>
                                  <w:w w:val="90"/>
                                  <w:sz w:val="14"/>
                                </w:rPr>
                                <w:t>05</w:t>
                              </w:r>
                            </w:p>
                          </w:txbxContent>
                        </wps:txbx>
                        <wps:bodyPr wrap="square" lIns="0" tIns="0" rIns="0" bIns="0" rtlCol="0">
                          <a:noAutofit/>
                        </wps:bodyPr>
                      </wps:wsp>
                      <wps:wsp>
                        <wps:cNvPr id="2020" name="Textbox 2020"/>
                        <wps:cNvSpPr txBox="1"/>
                        <wps:spPr>
                          <a:xfrm>
                            <a:off x="162235" y="1081417"/>
                            <a:ext cx="215900" cy="35877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14000</w:t>
                              </w:r>
                            </w:p>
                            <w:p>
                              <w:pPr>
                                <w:spacing w:line="240" w:lineRule="auto" w:before="82"/>
                                <w:rPr>
                                  <w:rFonts w:ascii="Arial MT"/>
                                  <w:sz w:val="14"/>
                                </w:rPr>
                              </w:pPr>
                            </w:p>
                            <w:p>
                              <w:pPr>
                                <w:spacing w:before="0"/>
                                <w:ind w:left="0" w:right="0" w:firstLine="0"/>
                                <w:jc w:val="left"/>
                                <w:rPr>
                                  <w:rFonts w:ascii="Arial MT"/>
                                  <w:sz w:val="14"/>
                                </w:rPr>
                              </w:pPr>
                              <w:r>
                                <w:rPr>
                                  <w:rFonts w:ascii="Arial MT"/>
                                  <w:spacing w:val="-2"/>
                                  <w:w w:val="85"/>
                                  <w:sz w:val="14"/>
                                </w:rPr>
                                <w:t>12000</w:t>
                              </w:r>
                            </w:p>
                          </w:txbxContent>
                        </wps:txbx>
                        <wps:bodyPr wrap="square" lIns="0" tIns="0" rIns="0" bIns="0" rtlCol="0">
                          <a:noAutofit/>
                        </wps:bodyPr>
                      </wps:wsp>
                    </wpg:wgp>
                  </a:graphicData>
                </a:graphic>
              </wp:anchor>
            </w:drawing>
          </mc:Choice>
          <mc:Fallback>
            <w:pict>
              <v:group style="position:absolute;margin-left:98.623199pt;margin-top:4.968366pt;width:396.6pt;height:256.8pt;mso-position-horizontal-relative:page;mso-position-vertical-relative:paragraph;z-index:-15593472;mso-wrap-distance-left:0;mso-wrap-distance-right:0" id="docshapegroup1979" coordorigin="1972,99" coordsize="7932,5136">
                <v:shape style="position:absolute;left:2668;top:652;width:7174;height:4085" id="docshape1980" coordorigin="2669,652" coordsize="7174,4085" path="m9842,4728l2678,4728,2678,652,2669,652,2669,4737,2678,4737,9842,4737,9842,4728xe" filled="true" fillcolor="#000000" stroked="false">
                  <v:path arrowok="t"/>
                  <v:fill type="solid"/>
                </v:shape>
                <v:shape style="position:absolute;left:3091;top:3196;width:6316;height:1537" id="docshape1981" coordorigin="3091,3196" coordsize="6316,1537" path="m3678,3834l3091,3834,3091,4732,3678,4732,3678,3834xm5114,3808l4527,3808,4527,4732,5114,4732,5114,3808xm6536,3482l5962,3482,5962,4732,6536,4732,6536,3482xm7972,3209l7384,3209,7384,4732,7972,4732,7972,3209xm9407,3196l8820,3196,8820,4732,9407,4732,9407,3196xe" filled="true" fillcolor="#f2e499" stroked="false">
                  <v:path arrowok="t"/>
                  <v:fill type="solid"/>
                </v:shape>
                <v:shape style="position:absolute;left:3091;top:2063;width:6316;height:1771" id="docshape1982" coordorigin="3091,2063" coordsize="6316,1771" path="m3678,3079l3091,3079,3091,3834,3678,3834,3678,3079xm5114,2988l4527,2988,4527,3808,5114,3808,5114,2988xm6536,2467l5962,2467,5962,3482,6536,3482,6536,2467xm7972,2063l7384,2063,7384,3209,7972,3209,7972,2063xm9407,2063l8820,2063,8820,3196,9407,3196,9407,2063xe" filled="true" fillcolor="#e3c626" stroked="false">
                  <v:path arrowok="t"/>
                  <v:fill type="solid"/>
                </v:shape>
                <v:shape style="position:absolute;left:3091;top:1750;width:6316;height:1329" id="docshape1983" coordorigin="3091,1751" coordsize="6316,1329" path="m3678,2844l3091,2844,3091,3079,3678,3079,3678,2844xm5114,2779l4527,2779,4527,2988,5114,2988,5114,2779xm6536,2220l5962,2220,5962,2467,6536,2467,6536,2220xm7972,1803l7384,1803,7384,2063,7972,2063,7972,1803xm9407,1751l8820,1751,8820,2063,9407,2063,9407,1751xe" filled="true" fillcolor="#9cbf3b" stroked="false">
                  <v:path arrowok="t"/>
                  <v:fill type="solid"/>
                </v:shape>
                <v:shape style="position:absolute;left:3091;top:1190;width:6316;height:1654" id="docshape1984" coordorigin="3091,1191" coordsize="6316,1654" path="m3678,2467l3091,2467,3091,2844,3678,2844,3678,2467xm5114,2389l4527,2389,4527,2779,5114,2779,5114,2389xm6536,1699l5962,1699,5962,2220,6536,2220,6536,1699xm7972,1217l7384,1217,7384,1803,7972,1803,7972,1217xm9407,1191l8820,1191,8820,1751,9407,1751,9407,1191xe" filled="true" fillcolor="#2f7d41" stroked="false">
                  <v:path arrowok="t"/>
                  <v:fill type="solid"/>
                </v:shape>
                <v:shape style="position:absolute;left:2603;top:652;width:7239;height:4150" id="docshape1985" coordorigin="2604,652" coordsize="7239,4150" path="m9842,4728l9842,4728,2678,4728,2678,652,2669,652,2604,652,2604,662,2669,662,2669,1056,2604,1056,2604,1066,2669,1066,2669,1473,2604,1473,2604,1482,2669,1482,2669,1876,2604,1876,2604,1886,2669,1886,2669,2280,2604,2280,2604,2289,2669,2289,2669,2696,2604,2696,2604,2706,2669,2706,2669,3100,2604,3100,2604,3110,2669,3110,2669,3504,2604,3504,2604,3513,2669,3513,2669,3907,2604,3907,2604,3917,2669,3917,2669,4324,2604,4324,2604,4334,2669,4334,2669,4728,2604,4728,2604,4737,2669,4737,2669,4802,2678,4802,2678,4737,4104,4737,4104,4802,4114,4802,4114,4737,5540,4737,5540,4802,5549,4802,5549,4737,6962,4737,6962,4802,6972,4802,6972,4737,8397,4737,8397,4802,8407,4802,8407,4737,9833,4737,9833,4802,9842,4802,9842,4728xe" filled="true" fillcolor="#000000" stroked="false">
                  <v:path arrowok="t"/>
                  <v:fill type="solid"/>
                </v:shape>
                <v:rect style="position:absolute;left:6503;top:339;width:122;height:122" id="docshape1986" filled="true" fillcolor="#f2e499" stroked="false">
                  <v:fill type="solid"/>
                </v:rect>
                <v:rect style="position:absolute;left:7091;top:339;width:122;height:122" id="docshape1987" filled="true" fillcolor="#e3c626" stroked="false">
                  <v:fill type="solid"/>
                </v:rect>
                <v:rect style="position:absolute;left:7957;top:339;width:122;height:122" id="docshape1988" filled="true" fillcolor="#9cbf3b" stroked="false">
                  <v:fill type="solid"/>
                </v:rect>
                <v:rect style="position:absolute;left:9128;top:339;width:122;height:122" id="docshape1989" filled="true" fillcolor="#2f7d41" stroked="false">
                  <v:fill type="solid"/>
                </v:rect>
                <v:shape style="position:absolute;left:1972;top:99;width:7932;height:5136" id="docshape1990" coordorigin="1972,99" coordsize="7932,5136" path="m9904,99l9894,99,9894,110,9894,5225,1982,5225,1982,110,9894,110,9894,99,1972,99,1972,105,1972,109,1972,5225,1972,5229,1972,5235,9904,5235,9904,105,9904,99xe" filled="true" fillcolor="#000000" stroked="false">
                  <v:path arrowok="t"/>
                  <v:fill type="solid"/>
                </v:shape>
                <v:shape style="position:absolute;left:4682;top:2157;width:331;height:161" type="#_x0000_t202" id="docshape1991" filled="false" stroked="false">
                  <v:textbox inset="0,0,0,0">
                    <w:txbxContent>
                      <w:p>
                        <w:pPr>
                          <w:spacing w:line="161" w:lineRule="exact" w:before="0"/>
                          <w:ind w:left="0" w:right="0" w:firstLine="0"/>
                          <w:jc w:val="left"/>
                          <w:rPr>
                            <w:rFonts w:ascii="Arial MT"/>
                            <w:sz w:val="14"/>
                          </w:rPr>
                        </w:pPr>
                        <w:r>
                          <w:rPr>
                            <w:rFonts w:ascii="Arial MT"/>
                            <w:spacing w:val="-2"/>
                            <w:w w:val="85"/>
                            <w:sz w:val="14"/>
                          </w:rPr>
                          <w:t>11899</w:t>
                        </w:r>
                      </w:p>
                    </w:txbxContent>
                  </v:textbox>
                  <w10:wrap type="none"/>
                </v:shape>
                <v:shape style="position:absolute;left:6677;top:310;width:225;height:161" type="#_x0000_t202" id="docshape1992" filled="false" stroked="false">
                  <v:textbox inset="0,0,0,0">
                    <w:txbxContent>
                      <w:p>
                        <w:pPr>
                          <w:spacing w:line="161" w:lineRule="exact" w:before="0"/>
                          <w:ind w:left="0" w:right="0" w:firstLine="0"/>
                          <w:jc w:val="left"/>
                          <w:rPr>
                            <w:rFonts w:ascii="Arial MT"/>
                            <w:sz w:val="14"/>
                          </w:rPr>
                        </w:pPr>
                        <w:r>
                          <w:rPr>
                            <w:rFonts w:ascii="Arial MT"/>
                            <w:spacing w:val="-4"/>
                            <w:w w:val="90"/>
                            <w:sz w:val="14"/>
                          </w:rPr>
                          <w:t>Arts</w:t>
                        </w:r>
                      </w:p>
                    </w:txbxContent>
                  </v:textbox>
                  <w10:wrap type="none"/>
                </v:shape>
                <v:shape style="position:absolute;left:7287;top:310;width:2388;height:161" type="#_x0000_t202" id="docshape1993" filled="false" stroked="false">
                  <v:textbox inset="0,0,0,0">
                    <w:txbxContent>
                      <w:p>
                        <w:pPr>
                          <w:tabs>
                            <w:tab w:pos="841" w:val="left" w:leader="none"/>
                            <w:tab w:pos="2022" w:val="left" w:leader="none"/>
                          </w:tabs>
                          <w:spacing w:line="161" w:lineRule="exact" w:before="0"/>
                          <w:ind w:left="0" w:right="0" w:firstLine="0"/>
                          <w:jc w:val="left"/>
                          <w:rPr>
                            <w:rFonts w:ascii="Arial MT"/>
                            <w:sz w:val="14"/>
                          </w:rPr>
                        </w:pPr>
                        <w:r>
                          <w:rPr>
                            <w:rFonts w:ascii="Arial MT"/>
                            <w:spacing w:val="-2"/>
                            <w:w w:val="90"/>
                            <w:sz w:val="14"/>
                          </w:rPr>
                          <w:t>Science</w:t>
                        </w:r>
                        <w:r>
                          <w:rPr>
                            <w:rFonts w:ascii="Arial MT"/>
                            <w:sz w:val="14"/>
                          </w:rPr>
                          <w:tab/>
                        </w:r>
                        <w:r>
                          <w:rPr>
                            <w:rFonts w:ascii="Arial MT"/>
                            <w:w w:val="80"/>
                            <w:sz w:val="14"/>
                          </w:rPr>
                          <w:t>Engg.</w:t>
                        </w:r>
                        <w:r>
                          <w:rPr>
                            <w:rFonts w:ascii="Arial MT"/>
                            <w:spacing w:val="-1"/>
                            <w:sz w:val="14"/>
                          </w:rPr>
                          <w:t> </w:t>
                        </w:r>
                        <w:r>
                          <w:rPr>
                            <w:rFonts w:ascii="Arial MT"/>
                            <w:w w:val="80"/>
                            <w:sz w:val="14"/>
                          </w:rPr>
                          <w:t>Med.</w:t>
                        </w:r>
                        <w:r>
                          <w:rPr>
                            <w:rFonts w:ascii="Arial MT"/>
                            <w:sz w:val="14"/>
                          </w:rPr>
                          <w:t> </w:t>
                        </w:r>
                        <w:r>
                          <w:rPr>
                            <w:rFonts w:ascii="Arial MT"/>
                            <w:spacing w:val="-5"/>
                            <w:w w:val="80"/>
                            <w:sz w:val="14"/>
                          </w:rPr>
                          <w:t>Vet</w:t>
                        </w:r>
                        <w:r>
                          <w:rPr>
                            <w:rFonts w:ascii="Arial MT"/>
                            <w:sz w:val="14"/>
                          </w:rPr>
                          <w:tab/>
                        </w:r>
                        <w:r>
                          <w:rPr>
                            <w:rFonts w:ascii="Arial MT"/>
                            <w:spacing w:val="-2"/>
                            <w:w w:val="85"/>
                            <w:sz w:val="14"/>
                          </w:rPr>
                          <w:t>Others</w:t>
                        </w:r>
                      </w:p>
                    </w:txbxContent>
                  </v:textbox>
                  <w10:wrap type="none"/>
                </v:shape>
                <v:shape style="position:absolute;left:2227;top:590;width:340;height:565" type="#_x0000_t202" id="docshape1994" filled="false" stroked="false">
                  <v:textbox inset="0,0,0,0">
                    <w:txbxContent>
                      <w:p>
                        <w:pPr>
                          <w:spacing w:line="161" w:lineRule="exact" w:before="0"/>
                          <w:ind w:left="0" w:right="0" w:firstLine="0"/>
                          <w:jc w:val="left"/>
                          <w:rPr>
                            <w:rFonts w:ascii="Arial MT"/>
                            <w:sz w:val="14"/>
                          </w:rPr>
                        </w:pPr>
                        <w:r>
                          <w:rPr>
                            <w:rFonts w:ascii="Arial MT"/>
                            <w:spacing w:val="-2"/>
                            <w:w w:val="85"/>
                            <w:sz w:val="14"/>
                          </w:rPr>
                          <w:t>20000</w:t>
                        </w:r>
                      </w:p>
                      <w:p>
                        <w:pPr>
                          <w:spacing w:line="240" w:lineRule="auto" w:before="82"/>
                          <w:rPr>
                            <w:rFonts w:ascii="Arial MT"/>
                            <w:sz w:val="14"/>
                          </w:rPr>
                        </w:pPr>
                      </w:p>
                      <w:p>
                        <w:pPr>
                          <w:spacing w:before="0"/>
                          <w:ind w:left="0" w:right="0" w:firstLine="0"/>
                          <w:jc w:val="left"/>
                          <w:rPr>
                            <w:rFonts w:ascii="Arial MT"/>
                            <w:sz w:val="14"/>
                          </w:rPr>
                        </w:pPr>
                        <w:r>
                          <w:rPr>
                            <w:rFonts w:ascii="Arial MT"/>
                            <w:spacing w:val="-2"/>
                            <w:w w:val="85"/>
                            <w:sz w:val="14"/>
                          </w:rPr>
                          <w:t>18000</w:t>
                        </w:r>
                      </w:p>
                    </w:txbxContent>
                  </v:textbox>
                  <w10:wrap type="none"/>
                </v:shape>
                <v:shape style="position:absolute;left:7517;top:991;width:340;height:161" type="#_x0000_t202" id="docshape1995" filled="false" stroked="false">
                  <v:textbox inset="0,0,0,0">
                    <w:txbxContent>
                      <w:p>
                        <w:pPr>
                          <w:spacing w:line="161" w:lineRule="exact" w:before="0"/>
                          <w:ind w:left="0" w:right="0" w:firstLine="0"/>
                          <w:jc w:val="left"/>
                          <w:rPr>
                            <w:rFonts w:ascii="Arial MT"/>
                            <w:sz w:val="14"/>
                          </w:rPr>
                        </w:pPr>
                        <w:r>
                          <w:rPr>
                            <w:rFonts w:ascii="Arial MT"/>
                            <w:spacing w:val="-2"/>
                            <w:w w:val="85"/>
                            <w:sz w:val="14"/>
                          </w:rPr>
                          <w:t>17853</w:t>
                        </w:r>
                      </w:p>
                    </w:txbxContent>
                  </v:textbox>
                  <w10:wrap type="none"/>
                </v:shape>
                <v:shape style="position:absolute;left:8934;top:963;width:340;height:161" type="#_x0000_t202" id="docshape1996" filled="false" stroked="false">
                  <v:textbox inset="0,0,0,0">
                    <w:txbxContent>
                      <w:p>
                        <w:pPr>
                          <w:spacing w:line="161" w:lineRule="exact" w:before="0"/>
                          <w:ind w:left="0" w:right="0" w:firstLine="0"/>
                          <w:jc w:val="left"/>
                          <w:rPr>
                            <w:rFonts w:ascii="Arial MT"/>
                            <w:sz w:val="14"/>
                          </w:rPr>
                        </w:pPr>
                        <w:r>
                          <w:rPr>
                            <w:rFonts w:ascii="Arial MT"/>
                            <w:spacing w:val="-2"/>
                            <w:w w:val="85"/>
                            <w:sz w:val="14"/>
                          </w:rPr>
                          <w:t>17898</w:t>
                        </w:r>
                      </w:p>
                    </w:txbxContent>
                  </v:textbox>
                  <w10:wrap type="none"/>
                </v:shape>
                <v:shape style="position:absolute;left:2227;top:1398;width:340;height:161" type="#_x0000_t202" id="docshape1997" filled="false" stroked="false">
                  <v:textbox inset="0,0,0,0">
                    <w:txbxContent>
                      <w:p>
                        <w:pPr>
                          <w:spacing w:line="161" w:lineRule="exact" w:before="0"/>
                          <w:ind w:left="0" w:right="0" w:firstLine="0"/>
                          <w:jc w:val="left"/>
                          <w:rPr>
                            <w:rFonts w:ascii="Arial MT"/>
                            <w:sz w:val="14"/>
                          </w:rPr>
                        </w:pPr>
                        <w:r>
                          <w:rPr>
                            <w:rFonts w:ascii="Arial MT"/>
                            <w:spacing w:val="-2"/>
                            <w:w w:val="85"/>
                            <w:sz w:val="14"/>
                          </w:rPr>
                          <w:t>16000</w:t>
                        </w:r>
                      </w:p>
                    </w:txbxContent>
                  </v:textbox>
                  <w10:wrap type="none"/>
                </v:shape>
                <v:shape style="position:absolute;left:6085;top:1430;width:340;height:161" type="#_x0000_t202" id="docshape1998" filled="false" stroked="false">
                  <v:textbox inset="0,0,0,0">
                    <w:txbxContent>
                      <w:p>
                        <w:pPr>
                          <w:spacing w:line="161" w:lineRule="exact" w:before="0"/>
                          <w:ind w:left="0" w:right="0" w:firstLine="0"/>
                          <w:jc w:val="left"/>
                          <w:rPr>
                            <w:rFonts w:ascii="Arial MT"/>
                            <w:sz w:val="14"/>
                          </w:rPr>
                        </w:pPr>
                        <w:r>
                          <w:rPr>
                            <w:rFonts w:ascii="Arial MT"/>
                            <w:spacing w:val="-2"/>
                            <w:w w:val="85"/>
                            <w:sz w:val="14"/>
                          </w:rPr>
                          <w:t>15418</w:t>
                        </w:r>
                      </w:p>
                    </w:txbxContent>
                  </v:textbox>
                  <w10:wrap type="none"/>
                </v:shape>
                <v:shape style="position:absolute;left:3242;top:2157;width:331;height:161" type="#_x0000_t202" id="docshape1999" filled="false" stroked="false">
                  <v:textbox inset="0,0,0,0">
                    <w:txbxContent>
                      <w:p>
                        <w:pPr>
                          <w:spacing w:line="161" w:lineRule="exact" w:before="0"/>
                          <w:ind w:left="0" w:right="0" w:firstLine="0"/>
                          <w:jc w:val="left"/>
                          <w:rPr>
                            <w:rFonts w:ascii="Arial MT"/>
                            <w:sz w:val="14"/>
                          </w:rPr>
                        </w:pPr>
                        <w:r>
                          <w:rPr>
                            <w:rFonts w:ascii="Arial MT"/>
                            <w:spacing w:val="-2"/>
                            <w:w w:val="85"/>
                            <w:sz w:val="14"/>
                          </w:rPr>
                          <w:t>11544</w:t>
                        </w:r>
                      </w:p>
                    </w:txbxContent>
                  </v:textbox>
                  <w10:wrap type="none"/>
                </v:shape>
                <v:shape style="position:absolute;left:2227;top:2610;width:340;height:2181" type="#_x0000_t202" id="docshape2000" filled="false" stroked="false">
                  <v:textbox inset="0,0,0,0">
                    <w:txbxContent>
                      <w:p>
                        <w:pPr>
                          <w:spacing w:line="161" w:lineRule="exact" w:before="0"/>
                          <w:ind w:left="0" w:right="0" w:firstLine="0"/>
                          <w:jc w:val="left"/>
                          <w:rPr>
                            <w:rFonts w:ascii="Arial MT"/>
                            <w:sz w:val="14"/>
                          </w:rPr>
                        </w:pPr>
                        <w:r>
                          <w:rPr>
                            <w:rFonts w:ascii="Arial MT"/>
                            <w:spacing w:val="-2"/>
                            <w:w w:val="85"/>
                            <w:sz w:val="14"/>
                          </w:rPr>
                          <w:t>10000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4"/>
                            <w:w w:val="90"/>
                            <w:sz w:val="14"/>
                          </w:rPr>
                          <w:t>8000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4"/>
                            <w:w w:val="90"/>
                            <w:sz w:val="14"/>
                          </w:rPr>
                          <w:t>6000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4"/>
                            <w:w w:val="90"/>
                            <w:sz w:val="14"/>
                          </w:rPr>
                          <w:t>4000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4"/>
                            <w:w w:val="90"/>
                            <w:sz w:val="14"/>
                          </w:rPr>
                          <w:t>2000</w:t>
                        </w:r>
                      </w:p>
                      <w:p>
                        <w:pPr>
                          <w:spacing w:line="240" w:lineRule="auto" w:before="82"/>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v:shape style="position:absolute;left:3205;top:4843;width:442;height:161" type="#_x0000_t202" id="docshape2001" filled="false" stroked="false">
                  <v:textbox inset="0,0,0,0">
                    <w:txbxContent>
                      <w:p>
                        <w:pPr>
                          <w:spacing w:line="161" w:lineRule="exact" w:before="0"/>
                          <w:ind w:left="0" w:right="0" w:firstLine="0"/>
                          <w:jc w:val="left"/>
                          <w:rPr>
                            <w:rFonts w:ascii="Arial MT"/>
                            <w:sz w:val="14"/>
                          </w:rPr>
                        </w:pPr>
                        <w:r>
                          <w:rPr>
                            <w:rFonts w:ascii="Arial MT"/>
                            <w:w w:val="80"/>
                            <w:sz w:val="14"/>
                          </w:rPr>
                          <w:t>2000-</w:t>
                        </w:r>
                        <w:r>
                          <w:rPr>
                            <w:rFonts w:ascii="Arial MT"/>
                            <w:spacing w:val="-5"/>
                            <w:w w:val="90"/>
                            <w:sz w:val="14"/>
                          </w:rPr>
                          <w:t>01</w:t>
                        </w:r>
                      </w:p>
                    </w:txbxContent>
                  </v:textbox>
                  <w10:wrap type="none"/>
                </v:shape>
                <v:shape style="position:absolute;left:4640;top:4843;width:442;height:161" type="#_x0000_t202" id="docshape2002" filled="false" stroked="false">
                  <v:textbox inset="0,0,0,0">
                    <w:txbxContent>
                      <w:p>
                        <w:pPr>
                          <w:spacing w:line="161" w:lineRule="exact" w:before="0"/>
                          <w:ind w:left="0" w:right="0" w:firstLine="0"/>
                          <w:jc w:val="left"/>
                          <w:rPr>
                            <w:rFonts w:ascii="Arial MT"/>
                            <w:sz w:val="14"/>
                          </w:rPr>
                        </w:pPr>
                        <w:r>
                          <w:rPr>
                            <w:rFonts w:ascii="Arial MT"/>
                            <w:w w:val="80"/>
                            <w:sz w:val="14"/>
                          </w:rPr>
                          <w:t>2001-</w:t>
                        </w:r>
                        <w:r>
                          <w:rPr>
                            <w:rFonts w:ascii="Arial MT"/>
                            <w:spacing w:val="-5"/>
                            <w:w w:val="90"/>
                            <w:sz w:val="14"/>
                          </w:rPr>
                          <w:t>02</w:t>
                        </w:r>
                      </w:p>
                    </w:txbxContent>
                  </v:textbox>
                  <w10:wrap type="none"/>
                </v:shape>
                <v:shape style="position:absolute;left:6074;top:4843;width:442;height:161" type="#_x0000_t202" id="docshape2003" filled="false" stroked="false">
                  <v:textbox inset="0,0,0,0">
                    <w:txbxContent>
                      <w:p>
                        <w:pPr>
                          <w:spacing w:line="161" w:lineRule="exact" w:before="0"/>
                          <w:ind w:left="0" w:right="0" w:firstLine="0"/>
                          <w:jc w:val="left"/>
                          <w:rPr>
                            <w:rFonts w:ascii="Arial MT"/>
                            <w:sz w:val="14"/>
                          </w:rPr>
                        </w:pPr>
                        <w:r>
                          <w:rPr>
                            <w:rFonts w:ascii="Arial MT"/>
                            <w:w w:val="80"/>
                            <w:sz w:val="14"/>
                          </w:rPr>
                          <w:t>2002-</w:t>
                        </w:r>
                        <w:r>
                          <w:rPr>
                            <w:rFonts w:ascii="Arial MT"/>
                            <w:spacing w:val="-5"/>
                            <w:w w:val="90"/>
                            <w:sz w:val="14"/>
                          </w:rPr>
                          <w:t>03</w:t>
                        </w:r>
                      </w:p>
                    </w:txbxContent>
                  </v:textbox>
                  <w10:wrap type="none"/>
                </v:shape>
                <v:shape style="position:absolute;left:7509;top:4843;width:442;height:161" type="#_x0000_t202" id="docshape2004" filled="false" stroked="false">
                  <v:textbox inset="0,0,0,0">
                    <w:txbxContent>
                      <w:p>
                        <w:pPr>
                          <w:spacing w:line="161" w:lineRule="exact" w:before="0"/>
                          <w:ind w:left="0" w:right="0" w:firstLine="0"/>
                          <w:jc w:val="left"/>
                          <w:rPr>
                            <w:rFonts w:ascii="Arial MT"/>
                            <w:sz w:val="14"/>
                          </w:rPr>
                        </w:pPr>
                        <w:r>
                          <w:rPr>
                            <w:rFonts w:ascii="Arial MT"/>
                            <w:w w:val="80"/>
                            <w:sz w:val="14"/>
                          </w:rPr>
                          <w:t>2003-</w:t>
                        </w:r>
                        <w:r>
                          <w:rPr>
                            <w:rFonts w:ascii="Arial MT"/>
                            <w:spacing w:val="-5"/>
                            <w:w w:val="90"/>
                            <w:sz w:val="14"/>
                          </w:rPr>
                          <w:t>04</w:t>
                        </w:r>
                      </w:p>
                    </w:txbxContent>
                  </v:textbox>
                  <w10:wrap type="none"/>
                </v:shape>
                <v:shape style="position:absolute;left:8944;top:4843;width:442;height:161" type="#_x0000_t202" id="docshape2005" filled="false" stroked="false">
                  <v:textbox inset="0,0,0,0">
                    <w:txbxContent>
                      <w:p>
                        <w:pPr>
                          <w:spacing w:line="161" w:lineRule="exact" w:before="0"/>
                          <w:ind w:left="0" w:right="0" w:firstLine="0"/>
                          <w:jc w:val="left"/>
                          <w:rPr>
                            <w:rFonts w:ascii="Arial MT"/>
                            <w:sz w:val="14"/>
                          </w:rPr>
                        </w:pPr>
                        <w:r>
                          <w:rPr>
                            <w:rFonts w:ascii="Arial MT"/>
                            <w:w w:val="80"/>
                            <w:sz w:val="14"/>
                          </w:rPr>
                          <w:t>2004-</w:t>
                        </w:r>
                        <w:r>
                          <w:rPr>
                            <w:rFonts w:ascii="Arial MT"/>
                            <w:spacing w:val="-5"/>
                            <w:w w:val="90"/>
                            <w:sz w:val="14"/>
                          </w:rPr>
                          <w:t>05</w:t>
                        </w:r>
                      </w:p>
                    </w:txbxContent>
                  </v:textbox>
                  <w10:wrap type="none"/>
                </v:shape>
                <v:shape style="position:absolute;left:2227;top:1802;width:340;height:565" type="#_x0000_t202" id="docshape2006" filled="false" stroked="false">
                  <v:textbox inset="0,0,0,0">
                    <w:txbxContent>
                      <w:p>
                        <w:pPr>
                          <w:spacing w:line="161" w:lineRule="exact" w:before="0"/>
                          <w:ind w:left="0" w:right="0" w:firstLine="0"/>
                          <w:jc w:val="left"/>
                          <w:rPr>
                            <w:rFonts w:ascii="Arial MT"/>
                            <w:sz w:val="14"/>
                          </w:rPr>
                        </w:pPr>
                        <w:r>
                          <w:rPr>
                            <w:rFonts w:ascii="Arial MT"/>
                            <w:spacing w:val="-2"/>
                            <w:w w:val="85"/>
                            <w:sz w:val="14"/>
                          </w:rPr>
                          <w:t>14000</w:t>
                        </w:r>
                      </w:p>
                      <w:p>
                        <w:pPr>
                          <w:spacing w:line="240" w:lineRule="auto" w:before="82"/>
                          <w:rPr>
                            <w:rFonts w:ascii="Arial MT"/>
                            <w:sz w:val="14"/>
                          </w:rPr>
                        </w:pPr>
                      </w:p>
                      <w:p>
                        <w:pPr>
                          <w:spacing w:before="0"/>
                          <w:ind w:left="0" w:right="0" w:firstLine="0"/>
                          <w:jc w:val="left"/>
                          <w:rPr>
                            <w:rFonts w:ascii="Arial MT"/>
                            <w:sz w:val="14"/>
                          </w:rPr>
                        </w:pPr>
                        <w:r>
                          <w:rPr>
                            <w:rFonts w:ascii="Arial MT"/>
                            <w:spacing w:val="-2"/>
                            <w:w w:val="85"/>
                            <w:sz w:val="14"/>
                          </w:rPr>
                          <w:t>12000</w:t>
                        </w:r>
                      </w:p>
                    </w:txbxContent>
                  </v:textbox>
                  <w10:wrap type="none"/>
                </v:shape>
                <w10:wrap type="topAndBottom"/>
              </v:group>
            </w:pict>
          </mc:Fallback>
        </mc:AlternateContent>
      </w:r>
    </w:p>
    <w:p>
      <w:pPr>
        <w:spacing w:before="64"/>
        <w:ind w:left="1965" w:right="0" w:firstLine="0"/>
        <w:jc w:val="left"/>
        <w:rPr>
          <w:sz w:val="16"/>
        </w:rPr>
      </w:pPr>
      <w:r>
        <w:rPr>
          <w:i/>
          <w:spacing w:val="-4"/>
          <w:sz w:val="16"/>
        </w:rPr>
        <w:t>Source:</w:t>
      </w:r>
      <w:r>
        <w:rPr>
          <w:i/>
          <w:spacing w:val="1"/>
          <w:sz w:val="16"/>
        </w:rPr>
        <w:t> </w:t>
      </w:r>
      <w:r>
        <w:rPr>
          <w:spacing w:val="-4"/>
          <w:sz w:val="16"/>
        </w:rPr>
        <w:t>Annual</w:t>
      </w:r>
      <w:r>
        <w:rPr>
          <w:spacing w:val="1"/>
          <w:sz w:val="16"/>
        </w:rPr>
        <w:t> </w:t>
      </w:r>
      <w:r>
        <w:rPr>
          <w:spacing w:val="-4"/>
          <w:sz w:val="16"/>
        </w:rPr>
        <w:t>Report,</w:t>
      </w:r>
      <w:r>
        <w:rPr>
          <w:spacing w:val="1"/>
          <w:sz w:val="16"/>
        </w:rPr>
        <w:t> </w:t>
      </w:r>
      <w:r>
        <w:rPr>
          <w:spacing w:val="-4"/>
          <w:sz w:val="16"/>
        </w:rPr>
        <w:t>2005-06,</w:t>
      </w:r>
      <w:r>
        <w:rPr>
          <w:spacing w:val="2"/>
          <w:sz w:val="16"/>
        </w:rPr>
        <w:t> </w:t>
      </w:r>
      <w:r>
        <w:rPr>
          <w:spacing w:val="-4"/>
          <w:sz w:val="16"/>
        </w:rPr>
        <w:t>University</w:t>
      </w:r>
      <w:r>
        <w:rPr>
          <w:spacing w:val="1"/>
          <w:sz w:val="16"/>
        </w:rPr>
        <w:t> </w:t>
      </w:r>
      <w:r>
        <w:rPr>
          <w:spacing w:val="-4"/>
          <w:sz w:val="16"/>
        </w:rPr>
        <w:t>Grants</w:t>
      </w:r>
      <w:r>
        <w:rPr>
          <w:spacing w:val="1"/>
          <w:sz w:val="16"/>
        </w:rPr>
        <w:t> </w:t>
      </w:r>
      <w:r>
        <w:rPr>
          <w:spacing w:val="-4"/>
          <w:sz w:val="16"/>
        </w:rPr>
        <w:t>Commission</w:t>
      </w:r>
    </w:p>
    <w:p>
      <w:pPr>
        <w:spacing w:after="0"/>
        <w:jc w:val="left"/>
        <w:rPr>
          <w:sz w:val="16"/>
        </w:rPr>
        <w:sectPr>
          <w:type w:val="continuous"/>
          <w:pgSz w:w="11910" w:h="16840"/>
          <w:pgMar w:header="0" w:footer="675" w:top="1920" w:bottom="280" w:left="0" w:right="0"/>
        </w:sectPr>
      </w:pPr>
    </w:p>
    <w:p>
      <w:pPr>
        <w:pStyle w:val="Heading8"/>
        <w:spacing w:before="73"/>
        <w:ind w:left="1816"/>
      </w:pPr>
      <w:r>
        <w:rPr>
          <w:w w:val="90"/>
        </w:rPr>
        <w:t>Figure</w:t>
      </w:r>
      <w:r>
        <w:rPr>
          <w:spacing w:val="15"/>
        </w:rPr>
        <w:t> </w:t>
      </w:r>
      <w:r>
        <w:rPr>
          <w:w w:val="90"/>
        </w:rPr>
        <w:t>47:</w:t>
      </w:r>
      <w:r>
        <w:rPr>
          <w:spacing w:val="14"/>
        </w:rPr>
        <w:t> </w:t>
      </w:r>
      <w:r>
        <w:rPr>
          <w:color w:val="2E614A"/>
          <w:w w:val="90"/>
        </w:rPr>
        <w:t>State-wise</w:t>
      </w:r>
      <w:r>
        <w:rPr>
          <w:color w:val="2E614A"/>
          <w:spacing w:val="15"/>
        </w:rPr>
        <w:t> </w:t>
      </w:r>
      <w:r>
        <w:rPr>
          <w:color w:val="2E614A"/>
          <w:w w:val="90"/>
        </w:rPr>
        <w:t>distribution</w:t>
      </w:r>
      <w:r>
        <w:rPr>
          <w:color w:val="2E614A"/>
          <w:spacing w:val="15"/>
        </w:rPr>
        <w:t> </w:t>
      </w:r>
      <w:r>
        <w:rPr>
          <w:color w:val="2E614A"/>
          <w:w w:val="90"/>
        </w:rPr>
        <w:t>of</w:t>
      </w:r>
      <w:r>
        <w:rPr>
          <w:color w:val="2E614A"/>
          <w:spacing w:val="15"/>
        </w:rPr>
        <w:t> </w:t>
      </w:r>
      <w:r>
        <w:rPr>
          <w:color w:val="2E614A"/>
          <w:w w:val="90"/>
        </w:rPr>
        <w:t>Ph.D</w:t>
      </w:r>
      <w:r>
        <w:rPr>
          <w:color w:val="2E614A"/>
          <w:spacing w:val="15"/>
        </w:rPr>
        <w:t> </w:t>
      </w:r>
      <w:r>
        <w:rPr>
          <w:color w:val="2E614A"/>
          <w:w w:val="90"/>
        </w:rPr>
        <w:t>degrees</w:t>
      </w:r>
      <w:r>
        <w:rPr>
          <w:color w:val="2E614A"/>
          <w:spacing w:val="15"/>
        </w:rPr>
        <w:t> </w:t>
      </w:r>
      <w:r>
        <w:rPr>
          <w:color w:val="2E614A"/>
          <w:spacing w:val="-2"/>
          <w:w w:val="90"/>
        </w:rPr>
        <w:t>awarded</w:t>
      </w:r>
    </w:p>
    <w:p>
      <w:pPr>
        <w:pStyle w:val="BodyText"/>
        <w:spacing w:before="6"/>
        <w:rPr>
          <w:b/>
          <w:sz w:val="7"/>
        </w:rPr>
      </w:pPr>
      <w:r>
        <w:rPr/>
        <mc:AlternateContent>
          <mc:Choice Requires="wps">
            <w:drawing>
              <wp:anchor distT="0" distB="0" distL="0" distR="0" allowOverlap="1" layoutInCell="1" locked="0" behindDoc="1" simplePos="0" relativeHeight="487724544">
                <wp:simplePos x="0" y="0"/>
                <wp:positionH relativeFrom="page">
                  <wp:posOffset>1153349</wp:posOffset>
                </wp:positionH>
                <wp:positionV relativeFrom="paragraph">
                  <wp:posOffset>70499</wp:posOffset>
                </wp:positionV>
                <wp:extent cx="5270500" cy="3069590"/>
                <wp:effectExtent l="0" t="0" r="0" b="0"/>
                <wp:wrapTopAndBottom/>
                <wp:docPr id="2021" name="Group 2021"/>
                <wp:cNvGraphicFramePr>
                  <a:graphicFrameLocks/>
                </wp:cNvGraphicFramePr>
                <a:graphic>
                  <a:graphicData uri="http://schemas.microsoft.com/office/word/2010/wordprocessingGroup">
                    <wpg:wgp>
                      <wpg:cNvPr id="2021" name="Group 2021"/>
                      <wpg:cNvGrpSpPr/>
                      <wpg:grpSpPr>
                        <a:xfrm>
                          <a:off x="0" y="0"/>
                          <a:ext cx="5270500" cy="3069590"/>
                          <a:chExt cx="5270500" cy="3069590"/>
                        </a:xfrm>
                      </wpg:grpSpPr>
                      <wps:wsp>
                        <wps:cNvPr id="2022" name="Graphic 2022"/>
                        <wps:cNvSpPr/>
                        <wps:spPr>
                          <a:xfrm>
                            <a:off x="-11" y="0"/>
                            <a:ext cx="5270500" cy="3069590"/>
                          </a:xfrm>
                          <a:custGeom>
                            <a:avLst/>
                            <a:gdLst/>
                            <a:ahLst/>
                            <a:cxnLst/>
                            <a:rect l="l" t="t" r="r" b="b"/>
                            <a:pathLst>
                              <a:path w="5270500" h="3069590">
                                <a:moveTo>
                                  <a:pt x="5270500" y="0"/>
                                </a:moveTo>
                                <a:lnTo>
                                  <a:pt x="5264150" y="0"/>
                                </a:lnTo>
                                <a:lnTo>
                                  <a:pt x="5264150" y="6819"/>
                                </a:lnTo>
                                <a:lnTo>
                                  <a:pt x="5264150" y="3063240"/>
                                </a:lnTo>
                                <a:lnTo>
                                  <a:pt x="5264150" y="3066504"/>
                                </a:lnTo>
                                <a:lnTo>
                                  <a:pt x="5264150" y="3067050"/>
                                </a:lnTo>
                                <a:lnTo>
                                  <a:pt x="3175" y="3067050"/>
                                </a:lnTo>
                                <a:lnTo>
                                  <a:pt x="3175" y="3066504"/>
                                </a:lnTo>
                                <a:lnTo>
                                  <a:pt x="6350" y="3066504"/>
                                </a:lnTo>
                                <a:lnTo>
                                  <a:pt x="5264150" y="3066504"/>
                                </a:lnTo>
                                <a:lnTo>
                                  <a:pt x="5264150" y="3063329"/>
                                </a:lnTo>
                                <a:lnTo>
                                  <a:pt x="6350" y="3063329"/>
                                </a:lnTo>
                                <a:lnTo>
                                  <a:pt x="3175" y="3063329"/>
                                </a:lnTo>
                                <a:lnTo>
                                  <a:pt x="6350" y="3063240"/>
                                </a:lnTo>
                                <a:lnTo>
                                  <a:pt x="6350" y="6819"/>
                                </a:lnTo>
                                <a:lnTo>
                                  <a:pt x="5264150" y="6819"/>
                                </a:lnTo>
                                <a:lnTo>
                                  <a:pt x="5264150" y="0"/>
                                </a:lnTo>
                                <a:lnTo>
                                  <a:pt x="0" y="0"/>
                                </a:lnTo>
                                <a:lnTo>
                                  <a:pt x="0" y="3810"/>
                                </a:lnTo>
                                <a:lnTo>
                                  <a:pt x="0" y="6350"/>
                                </a:lnTo>
                                <a:lnTo>
                                  <a:pt x="0" y="3063240"/>
                                </a:lnTo>
                                <a:lnTo>
                                  <a:pt x="0" y="3067050"/>
                                </a:lnTo>
                                <a:lnTo>
                                  <a:pt x="0" y="3069590"/>
                                </a:lnTo>
                                <a:lnTo>
                                  <a:pt x="5270500" y="3069590"/>
                                </a:lnTo>
                                <a:lnTo>
                                  <a:pt x="5270500" y="3067050"/>
                                </a:lnTo>
                                <a:lnTo>
                                  <a:pt x="5267325" y="3067050"/>
                                </a:lnTo>
                                <a:lnTo>
                                  <a:pt x="5267325" y="3066504"/>
                                </a:lnTo>
                                <a:lnTo>
                                  <a:pt x="5270500" y="3066504"/>
                                </a:lnTo>
                                <a:lnTo>
                                  <a:pt x="5270500" y="3063329"/>
                                </a:lnTo>
                                <a:lnTo>
                                  <a:pt x="5267325" y="3063329"/>
                                </a:lnTo>
                                <a:lnTo>
                                  <a:pt x="5270500" y="3063240"/>
                                </a:lnTo>
                                <a:lnTo>
                                  <a:pt x="5270500" y="6819"/>
                                </a:lnTo>
                                <a:lnTo>
                                  <a:pt x="5270500" y="6350"/>
                                </a:lnTo>
                                <a:lnTo>
                                  <a:pt x="5270500" y="3810"/>
                                </a:lnTo>
                                <a:lnTo>
                                  <a:pt x="5270500" y="3644"/>
                                </a:lnTo>
                                <a:lnTo>
                                  <a:pt x="5270500" y="0"/>
                                </a:lnTo>
                                <a:close/>
                              </a:path>
                            </a:pathLst>
                          </a:custGeom>
                          <a:solidFill>
                            <a:srgbClr val="000000"/>
                          </a:solidFill>
                        </wps:spPr>
                        <wps:bodyPr wrap="square" lIns="0" tIns="0" rIns="0" bIns="0" rtlCol="0">
                          <a:prstTxWarp prst="textNoShape">
                            <a:avLst/>
                          </a:prstTxWarp>
                          <a:noAutofit/>
                        </wps:bodyPr>
                      </wps:wsp>
                      <wps:wsp>
                        <wps:cNvPr id="2023" name="Graphic 2023"/>
                        <wps:cNvSpPr/>
                        <wps:spPr>
                          <a:xfrm>
                            <a:off x="894398" y="84441"/>
                            <a:ext cx="4088129" cy="2697480"/>
                          </a:xfrm>
                          <a:custGeom>
                            <a:avLst/>
                            <a:gdLst/>
                            <a:ahLst/>
                            <a:cxnLst/>
                            <a:rect l="l" t="t" r="r" b="b"/>
                            <a:pathLst>
                              <a:path w="4088129" h="2697480">
                                <a:moveTo>
                                  <a:pt x="4087761" y="2690457"/>
                                </a:moveTo>
                                <a:lnTo>
                                  <a:pt x="6985" y="2690457"/>
                                </a:lnTo>
                                <a:lnTo>
                                  <a:pt x="6985" y="0"/>
                                </a:lnTo>
                                <a:lnTo>
                                  <a:pt x="0" y="0"/>
                                </a:lnTo>
                                <a:lnTo>
                                  <a:pt x="0" y="2697442"/>
                                </a:lnTo>
                                <a:lnTo>
                                  <a:pt x="6985" y="2697442"/>
                                </a:lnTo>
                                <a:lnTo>
                                  <a:pt x="4087761" y="2697442"/>
                                </a:lnTo>
                                <a:lnTo>
                                  <a:pt x="4087761" y="2690457"/>
                                </a:lnTo>
                                <a:close/>
                              </a:path>
                            </a:pathLst>
                          </a:custGeom>
                          <a:solidFill>
                            <a:srgbClr val="99989A"/>
                          </a:solidFill>
                        </wps:spPr>
                        <wps:bodyPr wrap="square" lIns="0" tIns="0" rIns="0" bIns="0" rtlCol="0">
                          <a:prstTxWarp prst="textNoShape">
                            <a:avLst/>
                          </a:prstTxWarp>
                          <a:noAutofit/>
                        </wps:bodyPr>
                      </wps:wsp>
                      <wps:wsp>
                        <wps:cNvPr id="2024" name="Graphic 2024"/>
                        <wps:cNvSpPr/>
                        <wps:spPr>
                          <a:xfrm>
                            <a:off x="897591" y="2503417"/>
                            <a:ext cx="13335" cy="87630"/>
                          </a:xfrm>
                          <a:custGeom>
                            <a:avLst/>
                            <a:gdLst/>
                            <a:ahLst/>
                            <a:cxnLst/>
                            <a:rect l="l" t="t" r="r" b="b"/>
                            <a:pathLst>
                              <a:path w="13335" h="87630">
                                <a:moveTo>
                                  <a:pt x="12794" y="0"/>
                                </a:moveTo>
                                <a:lnTo>
                                  <a:pt x="0" y="0"/>
                                </a:lnTo>
                                <a:lnTo>
                                  <a:pt x="0" y="87222"/>
                                </a:lnTo>
                                <a:lnTo>
                                  <a:pt x="12794" y="87222"/>
                                </a:lnTo>
                                <a:lnTo>
                                  <a:pt x="12794" y="0"/>
                                </a:lnTo>
                                <a:close/>
                              </a:path>
                            </a:pathLst>
                          </a:custGeom>
                          <a:solidFill>
                            <a:srgbClr val="F2F2F2"/>
                          </a:solidFill>
                        </wps:spPr>
                        <wps:bodyPr wrap="square" lIns="0" tIns="0" rIns="0" bIns="0" rtlCol="0">
                          <a:prstTxWarp prst="textNoShape">
                            <a:avLst/>
                          </a:prstTxWarp>
                          <a:noAutofit/>
                        </wps:bodyPr>
                      </wps:wsp>
                      <wps:wsp>
                        <wps:cNvPr id="2025" name="Graphic 2025"/>
                        <wps:cNvSpPr/>
                        <wps:spPr>
                          <a:xfrm>
                            <a:off x="897591" y="2409475"/>
                            <a:ext cx="45085" cy="93980"/>
                          </a:xfrm>
                          <a:custGeom>
                            <a:avLst/>
                            <a:gdLst/>
                            <a:ahLst/>
                            <a:cxnLst/>
                            <a:rect l="l" t="t" r="r" b="b"/>
                            <a:pathLst>
                              <a:path w="45085" h="93980">
                                <a:moveTo>
                                  <a:pt x="44784" y="0"/>
                                </a:moveTo>
                                <a:lnTo>
                                  <a:pt x="0" y="0"/>
                                </a:lnTo>
                                <a:lnTo>
                                  <a:pt x="0" y="93942"/>
                                </a:lnTo>
                                <a:lnTo>
                                  <a:pt x="44784" y="93942"/>
                                </a:lnTo>
                                <a:lnTo>
                                  <a:pt x="44784" y="0"/>
                                </a:lnTo>
                                <a:close/>
                              </a:path>
                            </a:pathLst>
                          </a:custGeom>
                          <a:solidFill>
                            <a:srgbClr val="CCC8CC"/>
                          </a:solidFill>
                        </wps:spPr>
                        <wps:bodyPr wrap="square" lIns="0" tIns="0" rIns="0" bIns="0" rtlCol="0">
                          <a:prstTxWarp prst="textNoShape">
                            <a:avLst/>
                          </a:prstTxWarp>
                          <a:noAutofit/>
                        </wps:bodyPr>
                      </wps:wsp>
                      <wps:wsp>
                        <wps:cNvPr id="2026" name="Graphic 2026"/>
                        <wps:cNvSpPr/>
                        <wps:spPr>
                          <a:xfrm>
                            <a:off x="897591" y="2315533"/>
                            <a:ext cx="76835" cy="93980"/>
                          </a:xfrm>
                          <a:custGeom>
                            <a:avLst/>
                            <a:gdLst/>
                            <a:ahLst/>
                            <a:cxnLst/>
                            <a:rect l="l" t="t" r="r" b="b"/>
                            <a:pathLst>
                              <a:path w="76835" h="93980">
                                <a:moveTo>
                                  <a:pt x="76768" y="0"/>
                                </a:moveTo>
                                <a:lnTo>
                                  <a:pt x="0" y="0"/>
                                </a:lnTo>
                                <a:lnTo>
                                  <a:pt x="0" y="93942"/>
                                </a:lnTo>
                                <a:lnTo>
                                  <a:pt x="76768" y="93942"/>
                                </a:lnTo>
                                <a:lnTo>
                                  <a:pt x="76768" y="0"/>
                                </a:lnTo>
                                <a:close/>
                              </a:path>
                            </a:pathLst>
                          </a:custGeom>
                          <a:solidFill>
                            <a:srgbClr val="8E898B"/>
                          </a:solidFill>
                        </wps:spPr>
                        <wps:bodyPr wrap="square" lIns="0" tIns="0" rIns="0" bIns="0" rtlCol="0">
                          <a:prstTxWarp prst="textNoShape">
                            <a:avLst/>
                          </a:prstTxWarp>
                          <a:noAutofit/>
                        </wps:bodyPr>
                      </wps:wsp>
                      <wps:wsp>
                        <wps:cNvPr id="2027" name="Graphic 2027"/>
                        <wps:cNvSpPr/>
                        <wps:spPr>
                          <a:xfrm>
                            <a:off x="897591" y="2221589"/>
                            <a:ext cx="115570" cy="93980"/>
                          </a:xfrm>
                          <a:custGeom>
                            <a:avLst/>
                            <a:gdLst/>
                            <a:ahLst/>
                            <a:cxnLst/>
                            <a:rect l="l" t="t" r="r" b="b"/>
                            <a:pathLst>
                              <a:path w="115570" h="93980">
                                <a:moveTo>
                                  <a:pt x="115150" y="0"/>
                                </a:moveTo>
                                <a:lnTo>
                                  <a:pt x="0" y="0"/>
                                </a:lnTo>
                                <a:lnTo>
                                  <a:pt x="0" y="93943"/>
                                </a:lnTo>
                                <a:lnTo>
                                  <a:pt x="115150" y="93943"/>
                                </a:lnTo>
                                <a:lnTo>
                                  <a:pt x="115150" y="0"/>
                                </a:lnTo>
                                <a:close/>
                              </a:path>
                            </a:pathLst>
                          </a:custGeom>
                          <a:solidFill>
                            <a:srgbClr val="000000"/>
                          </a:solidFill>
                        </wps:spPr>
                        <wps:bodyPr wrap="square" lIns="0" tIns="0" rIns="0" bIns="0" rtlCol="0">
                          <a:prstTxWarp prst="textNoShape">
                            <a:avLst/>
                          </a:prstTxWarp>
                          <a:noAutofit/>
                        </wps:bodyPr>
                      </wps:wsp>
                      <wps:wsp>
                        <wps:cNvPr id="2028" name="Graphic 2028"/>
                        <wps:cNvSpPr/>
                        <wps:spPr>
                          <a:xfrm>
                            <a:off x="897591" y="2127646"/>
                            <a:ext cx="140970" cy="93980"/>
                          </a:xfrm>
                          <a:custGeom>
                            <a:avLst/>
                            <a:gdLst/>
                            <a:ahLst/>
                            <a:cxnLst/>
                            <a:rect l="l" t="t" r="r" b="b"/>
                            <a:pathLst>
                              <a:path w="140970" h="93980">
                                <a:moveTo>
                                  <a:pt x="140737" y="0"/>
                                </a:moveTo>
                                <a:lnTo>
                                  <a:pt x="0" y="0"/>
                                </a:lnTo>
                                <a:lnTo>
                                  <a:pt x="0" y="93943"/>
                                </a:lnTo>
                                <a:lnTo>
                                  <a:pt x="140737" y="93943"/>
                                </a:lnTo>
                                <a:lnTo>
                                  <a:pt x="140737" y="0"/>
                                </a:lnTo>
                                <a:close/>
                              </a:path>
                            </a:pathLst>
                          </a:custGeom>
                          <a:solidFill>
                            <a:srgbClr val="3CA6E6"/>
                          </a:solidFill>
                        </wps:spPr>
                        <wps:bodyPr wrap="square" lIns="0" tIns="0" rIns="0" bIns="0" rtlCol="0">
                          <a:prstTxWarp prst="textNoShape">
                            <a:avLst/>
                          </a:prstTxWarp>
                          <a:noAutofit/>
                        </wps:bodyPr>
                      </wps:wsp>
                      <wps:wsp>
                        <wps:cNvPr id="2029" name="Graphic 2029"/>
                        <wps:cNvSpPr/>
                        <wps:spPr>
                          <a:xfrm>
                            <a:off x="897591" y="2033703"/>
                            <a:ext cx="224154" cy="93980"/>
                          </a:xfrm>
                          <a:custGeom>
                            <a:avLst/>
                            <a:gdLst/>
                            <a:ahLst/>
                            <a:cxnLst/>
                            <a:rect l="l" t="t" r="r" b="b"/>
                            <a:pathLst>
                              <a:path w="224154" h="93980">
                                <a:moveTo>
                                  <a:pt x="223902" y="0"/>
                                </a:moveTo>
                                <a:lnTo>
                                  <a:pt x="0" y="0"/>
                                </a:lnTo>
                                <a:lnTo>
                                  <a:pt x="0" y="93943"/>
                                </a:lnTo>
                                <a:lnTo>
                                  <a:pt x="223902" y="93943"/>
                                </a:lnTo>
                                <a:lnTo>
                                  <a:pt x="223902" y="0"/>
                                </a:lnTo>
                                <a:close/>
                              </a:path>
                            </a:pathLst>
                          </a:custGeom>
                          <a:solidFill>
                            <a:srgbClr val="BD9495"/>
                          </a:solidFill>
                        </wps:spPr>
                        <wps:bodyPr wrap="square" lIns="0" tIns="0" rIns="0" bIns="0" rtlCol="0">
                          <a:prstTxWarp prst="textNoShape">
                            <a:avLst/>
                          </a:prstTxWarp>
                          <a:noAutofit/>
                        </wps:bodyPr>
                      </wps:wsp>
                      <wps:wsp>
                        <wps:cNvPr id="2030" name="Graphic 2030"/>
                        <wps:cNvSpPr/>
                        <wps:spPr>
                          <a:xfrm>
                            <a:off x="897591" y="1852538"/>
                            <a:ext cx="236854" cy="93980"/>
                          </a:xfrm>
                          <a:custGeom>
                            <a:avLst/>
                            <a:gdLst/>
                            <a:ahLst/>
                            <a:cxnLst/>
                            <a:rect l="l" t="t" r="r" b="b"/>
                            <a:pathLst>
                              <a:path w="236854" h="93980">
                                <a:moveTo>
                                  <a:pt x="236696" y="0"/>
                                </a:moveTo>
                                <a:lnTo>
                                  <a:pt x="0" y="0"/>
                                </a:lnTo>
                                <a:lnTo>
                                  <a:pt x="0" y="93943"/>
                                </a:lnTo>
                                <a:lnTo>
                                  <a:pt x="236696" y="93943"/>
                                </a:lnTo>
                                <a:lnTo>
                                  <a:pt x="236696" y="0"/>
                                </a:lnTo>
                                <a:close/>
                              </a:path>
                            </a:pathLst>
                          </a:custGeom>
                          <a:solidFill>
                            <a:srgbClr val="877B70"/>
                          </a:solidFill>
                        </wps:spPr>
                        <wps:bodyPr wrap="square" lIns="0" tIns="0" rIns="0" bIns="0" rtlCol="0">
                          <a:prstTxWarp prst="textNoShape">
                            <a:avLst/>
                          </a:prstTxWarp>
                          <a:noAutofit/>
                        </wps:bodyPr>
                      </wps:wsp>
                      <wps:wsp>
                        <wps:cNvPr id="2031" name="Graphic 2031"/>
                        <wps:cNvSpPr/>
                        <wps:spPr>
                          <a:xfrm>
                            <a:off x="897591" y="1758595"/>
                            <a:ext cx="326390" cy="93980"/>
                          </a:xfrm>
                          <a:custGeom>
                            <a:avLst/>
                            <a:gdLst/>
                            <a:ahLst/>
                            <a:cxnLst/>
                            <a:rect l="l" t="t" r="r" b="b"/>
                            <a:pathLst>
                              <a:path w="326390" h="93980">
                                <a:moveTo>
                                  <a:pt x="326253" y="0"/>
                                </a:moveTo>
                                <a:lnTo>
                                  <a:pt x="0" y="0"/>
                                </a:lnTo>
                                <a:lnTo>
                                  <a:pt x="0" y="93942"/>
                                </a:lnTo>
                                <a:lnTo>
                                  <a:pt x="326253" y="93942"/>
                                </a:lnTo>
                                <a:lnTo>
                                  <a:pt x="326253" y="0"/>
                                </a:lnTo>
                                <a:close/>
                              </a:path>
                            </a:pathLst>
                          </a:custGeom>
                          <a:solidFill>
                            <a:srgbClr val="F1EC1B"/>
                          </a:solidFill>
                        </wps:spPr>
                        <wps:bodyPr wrap="square" lIns="0" tIns="0" rIns="0" bIns="0" rtlCol="0">
                          <a:prstTxWarp prst="textNoShape">
                            <a:avLst/>
                          </a:prstTxWarp>
                          <a:noAutofit/>
                        </wps:bodyPr>
                      </wps:wsp>
                      <wps:wsp>
                        <wps:cNvPr id="2032" name="Graphic 2032"/>
                        <wps:cNvSpPr/>
                        <wps:spPr>
                          <a:xfrm>
                            <a:off x="897591" y="1664652"/>
                            <a:ext cx="467359" cy="93980"/>
                          </a:xfrm>
                          <a:custGeom>
                            <a:avLst/>
                            <a:gdLst/>
                            <a:ahLst/>
                            <a:cxnLst/>
                            <a:rect l="l" t="t" r="r" b="b"/>
                            <a:pathLst>
                              <a:path w="467359" h="93980">
                                <a:moveTo>
                                  <a:pt x="466991" y="0"/>
                                </a:moveTo>
                                <a:lnTo>
                                  <a:pt x="0" y="0"/>
                                </a:lnTo>
                                <a:lnTo>
                                  <a:pt x="0" y="93943"/>
                                </a:lnTo>
                                <a:lnTo>
                                  <a:pt x="466991" y="93943"/>
                                </a:lnTo>
                                <a:lnTo>
                                  <a:pt x="466991" y="0"/>
                                </a:lnTo>
                                <a:close/>
                              </a:path>
                            </a:pathLst>
                          </a:custGeom>
                          <a:solidFill>
                            <a:srgbClr val="DBA379"/>
                          </a:solidFill>
                        </wps:spPr>
                        <wps:bodyPr wrap="square" lIns="0" tIns="0" rIns="0" bIns="0" rtlCol="0">
                          <a:prstTxWarp prst="textNoShape">
                            <a:avLst/>
                          </a:prstTxWarp>
                          <a:noAutofit/>
                        </wps:bodyPr>
                      </wps:wsp>
                      <wps:wsp>
                        <wps:cNvPr id="2033" name="Graphic 2033"/>
                        <wps:cNvSpPr/>
                        <wps:spPr>
                          <a:xfrm>
                            <a:off x="897591" y="1570709"/>
                            <a:ext cx="486409" cy="93980"/>
                          </a:xfrm>
                          <a:custGeom>
                            <a:avLst/>
                            <a:gdLst/>
                            <a:ahLst/>
                            <a:cxnLst/>
                            <a:rect l="l" t="t" r="r" b="b"/>
                            <a:pathLst>
                              <a:path w="486409" h="93980">
                                <a:moveTo>
                                  <a:pt x="486187" y="0"/>
                                </a:moveTo>
                                <a:lnTo>
                                  <a:pt x="0" y="0"/>
                                </a:lnTo>
                                <a:lnTo>
                                  <a:pt x="0" y="93943"/>
                                </a:lnTo>
                                <a:lnTo>
                                  <a:pt x="486187" y="93943"/>
                                </a:lnTo>
                                <a:lnTo>
                                  <a:pt x="486187" y="0"/>
                                </a:lnTo>
                                <a:close/>
                              </a:path>
                            </a:pathLst>
                          </a:custGeom>
                          <a:solidFill>
                            <a:srgbClr val="B5052D"/>
                          </a:solidFill>
                        </wps:spPr>
                        <wps:bodyPr wrap="square" lIns="0" tIns="0" rIns="0" bIns="0" rtlCol="0">
                          <a:prstTxWarp prst="textNoShape">
                            <a:avLst/>
                          </a:prstTxWarp>
                          <a:noAutofit/>
                        </wps:bodyPr>
                      </wps:wsp>
                      <wps:wsp>
                        <wps:cNvPr id="2034" name="Graphic 2034"/>
                        <wps:cNvSpPr/>
                        <wps:spPr>
                          <a:xfrm>
                            <a:off x="897591" y="1476779"/>
                            <a:ext cx="525145" cy="93980"/>
                          </a:xfrm>
                          <a:custGeom>
                            <a:avLst/>
                            <a:gdLst/>
                            <a:ahLst/>
                            <a:cxnLst/>
                            <a:rect l="l" t="t" r="r" b="b"/>
                            <a:pathLst>
                              <a:path w="525145" h="93980">
                                <a:moveTo>
                                  <a:pt x="524569" y="0"/>
                                </a:moveTo>
                                <a:lnTo>
                                  <a:pt x="0" y="0"/>
                                </a:lnTo>
                                <a:lnTo>
                                  <a:pt x="0" y="93929"/>
                                </a:lnTo>
                                <a:lnTo>
                                  <a:pt x="524569" y="93929"/>
                                </a:lnTo>
                                <a:lnTo>
                                  <a:pt x="524569" y="0"/>
                                </a:lnTo>
                                <a:close/>
                              </a:path>
                            </a:pathLst>
                          </a:custGeom>
                          <a:solidFill>
                            <a:srgbClr val="911B2B"/>
                          </a:solidFill>
                        </wps:spPr>
                        <wps:bodyPr wrap="square" lIns="0" tIns="0" rIns="0" bIns="0" rtlCol="0">
                          <a:prstTxWarp prst="textNoShape">
                            <a:avLst/>
                          </a:prstTxWarp>
                          <a:noAutofit/>
                        </wps:bodyPr>
                      </wps:wsp>
                      <wps:wsp>
                        <wps:cNvPr id="2035" name="Graphic 2035"/>
                        <wps:cNvSpPr/>
                        <wps:spPr>
                          <a:xfrm>
                            <a:off x="897591" y="1389544"/>
                            <a:ext cx="563245" cy="87630"/>
                          </a:xfrm>
                          <a:custGeom>
                            <a:avLst/>
                            <a:gdLst/>
                            <a:ahLst/>
                            <a:cxnLst/>
                            <a:rect l="l" t="t" r="r" b="b"/>
                            <a:pathLst>
                              <a:path w="563245" h="87630">
                                <a:moveTo>
                                  <a:pt x="562951" y="0"/>
                                </a:moveTo>
                                <a:lnTo>
                                  <a:pt x="0" y="0"/>
                                </a:lnTo>
                                <a:lnTo>
                                  <a:pt x="0" y="87235"/>
                                </a:lnTo>
                                <a:lnTo>
                                  <a:pt x="562951" y="87235"/>
                                </a:lnTo>
                                <a:lnTo>
                                  <a:pt x="562951" y="0"/>
                                </a:lnTo>
                                <a:close/>
                              </a:path>
                            </a:pathLst>
                          </a:custGeom>
                          <a:solidFill>
                            <a:srgbClr val="948399"/>
                          </a:solidFill>
                        </wps:spPr>
                        <wps:bodyPr wrap="square" lIns="0" tIns="0" rIns="0" bIns="0" rtlCol="0">
                          <a:prstTxWarp prst="textNoShape">
                            <a:avLst/>
                          </a:prstTxWarp>
                          <a:noAutofit/>
                        </wps:bodyPr>
                      </wps:wsp>
                      <wps:wsp>
                        <wps:cNvPr id="2036" name="Graphic 2036"/>
                        <wps:cNvSpPr/>
                        <wps:spPr>
                          <a:xfrm>
                            <a:off x="897591" y="1295589"/>
                            <a:ext cx="614680" cy="93980"/>
                          </a:xfrm>
                          <a:custGeom>
                            <a:avLst/>
                            <a:gdLst/>
                            <a:ahLst/>
                            <a:cxnLst/>
                            <a:rect l="l" t="t" r="r" b="b"/>
                            <a:pathLst>
                              <a:path w="614680" h="93980">
                                <a:moveTo>
                                  <a:pt x="614126" y="0"/>
                                </a:moveTo>
                                <a:lnTo>
                                  <a:pt x="0" y="0"/>
                                </a:lnTo>
                                <a:lnTo>
                                  <a:pt x="0" y="93955"/>
                                </a:lnTo>
                                <a:lnTo>
                                  <a:pt x="614126" y="93955"/>
                                </a:lnTo>
                                <a:lnTo>
                                  <a:pt x="614126" y="0"/>
                                </a:lnTo>
                                <a:close/>
                              </a:path>
                            </a:pathLst>
                          </a:custGeom>
                          <a:solidFill>
                            <a:srgbClr val="332065"/>
                          </a:solidFill>
                        </wps:spPr>
                        <wps:bodyPr wrap="square" lIns="0" tIns="0" rIns="0" bIns="0" rtlCol="0">
                          <a:prstTxWarp prst="textNoShape">
                            <a:avLst/>
                          </a:prstTxWarp>
                          <a:noAutofit/>
                        </wps:bodyPr>
                      </wps:wsp>
                      <wps:wsp>
                        <wps:cNvPr id="2037" name="Graphic 2037"/>
                        <wps:cNvSpPr/>
                        <wps:spPr>
                          <a:xfrm>
                            <a:off x="897591" y="1201658"/>
                            <a:ext cx="659130" cy="93980"/>
                          </a:xfrm>
                          <a:custGeom>
                            <a:avLst/>
                            <a:gdLst/>
                            <a:ahLst/>
                            <a:cxnLst/>
                            <a:rect l="l" t="t" r="r" b="b"/>
                            <a:pathLst>
                              <a:path w="659130" h="93980">
                                <a:moveTo>
                                  <a:pt x="658910" y="0"/>
                                </a:moveTo>
                                <a:lnTo>
                                  <a:pt x="0" y="0"/>
                                </a:lnTo>
                                <a:lnTo>
                                  <a:pt x="0" y="93930"/>
                                </a:lnTo>
                                <a:lnTo>
                                  <a:pt x="658910" y="93930"/>
                                </a:lnTo>
                                <a:lnTo>
                                  <a:pt x="658910" y="0"/>
                                </a:lnTo>
                                <a:close/>
                              </a:path>
                            </a:pathLst>
                          </a:custGeom>
                          <a:solidFill>
                            <a:srgbClr val="A1ABB4"/>
                          </a:solidFill>
                        </wps:spPr>
                        <wps:bodyPr wrap="square" lIns="0" tIns="0" rIns="0" bIns="0" rtlCol="0">
                          <a:prstTxWarp prst="textNoShape">
                            <a:avLst/>
                          </a:prstTxWarp>
                          <a:noAutofit/>
                        </wps:bodyPr>
                      </wps:wsp>
                      <wps:wsp>
                        <wps:cNvPr id="2038" name="Graphic 2038"/>
                        <wps:cNvSpPr/>
                        <wps:spPr>
                          <a:xfrm>
                            <a:off x="897591" y="1107716"/>
                            <a:ext cx="787400" cy="93980"/>
                          </a:xfrm>
                          <a:custGeom>
                            <a:avLst/>
                            <a:gdLst/>
                            <a:ahLst/>
                            <a:cxnLst/>
                            <a:rect l="l" t="t" r="r" b="b"/>
                            <a:pathLst>
                              <a:path w="787400" h="93980">
                                <a:moveTo>
                                  <a:pt x="786855" y="0"/>
                                </a:moveTo>
                                <a:lnTo>
                                  <a:pt x="0" y="0"/>
                                </a:lnTo>
                                <a:lnTo>
                                  <a:pt x="0" y="93942"/>
                                </a:lnTo>
                                <a:lnTo>
                                  <a:pt x="786855" y="93942"/>
                                </a:lnTo>
                                <a:lnTo>
                                  <a:pt x="786855" y="0"/>
                                </a:lnTo>
                                <a:close/>
                              </a:path>
                            </a:pathLst>
                          </a:custGeom>
                          <a:solidFill>
                            <a:srgbClr val="336273"/>
                          </a:solidFill>
                        </wps:spPr>
                        <wps:bodyPr wrap="square" lIns="0" tIns="0" rIns="0" bIns="0" rtlCol="0">
                          <a:prstTxWarp prst="textNoShape">
                            <a:avLst/>
                          </a:prstTxWarp>
                          <a:noAutofit/>
                        </wps:bodyPr>
                      </wps:wsp>
                      <wps:wsp>
                        <wps:cNvPr id="2039" name="Graphic 2039"/>
                        <wps:cNvSpPr/>
                        <wps:spPr>
                          <a:xfrm>
                            <a:off x="897591" y="1013773"/>
                            <a:ext cx="800100" cy="93980"/>
                          </a:xfrm>
                          <a:custGeom>
                            <a:avLst/>
                            <a:gdLst/>
                            <a:ahLst/>
                            <a:cxnLst/>
                            <a:rect l="l" t="t" r="r" b="b"/>
                            <a:pathLst>
                              <a:path w="800100" h="93980">
                                <a:moveTo>
                                  <a:pt x="799648" y="0"/>
                                </a:moveTo>
                                <a:lnTo>
                                  <a:pt x="0" y="0"/>
                                </a:lnTo>
                                <a:lnTo>
                                  <a:pt x="0" y="93943"/>
                                </a:lnTo>
                                <a:lnTo>
                                  <a:pt x="799648" y="93943"/>
                                </a:lnTo>
                                <a:lnTo>
                                  <a:pt x="799648" y="0"/>
                                </a:lnTo>
                                <a:close/>
                              </a:path>
                            </a:pathLst>
                          </a:custGeom>
                          <a:solidFill>
                            <a:srgbClr val="3D7DB9"/>
                          </a:solidFill>
                        </wps:spPr>
                        <wps:bodyPr wrap="square" lIns="0" tIns="0" rIns="0" bIns="0" rtlCol="0">
                          <a:prstTxWarp prst="textNoShape">
                            <a:avLst/>
                          </a:prstTxWarp>
                          <a:noAutofit/>
                        </wps:bodyPr>
                      </wps:wsp>
                      <wps:wsp>
                        <wps:cNvPr id="2040" name="Graphic 2040"/>
                        <wps:cNvSpPr/>
                        <wps:spPr>
                          <a:xfrm>
                            <a:off x="897591" y="919830"/>
                            <a:ext cx="831850" cy="93980"/>
                          </a:xfrm>
                          <a:custGeom>
                            <a:avLst/>
                            <a:gdLst/>
                            <a:ahLst/>
                            <a:cxnLst/>
                            <a:rect l="l" t="t" r="r" b="b"/>
                            <a:pathLst>
                              <a:path w="831850" h="93980">
                                <a:moveTo>
                                  <a:pt x="831633" y="0"/>
                                </a:moveTo>
                                <a:lnTo>
                                  <a:pt x="0" y="0"/>
                                </a:lnTo>
                                <a:lnTo>
                                  <a:pt x="0" y="93942"/>
                                </a:lnTo>
                                <a:lnTo>
                                  <a:pt x="831633" y="93942"/>
                                </a:lnTo>
                                <a:lnTo>
                                  <a:pt x="831633" y="0"/>
                                </a:lnTo>
                                <a:close/>
                              </a:path>
                            </a:pathLst>
                          </a:custGeom>
                          <a:solidFill>
                            <a:srgbClr val="3D619D"/>
                          </a:solidFill>
                        </wps:spPr>
                        <wps:bodyPr wrap="square" lIns="0" tIns="0" rIns="0" bIns="0" rtlCol="0">
                          <a:prstTxWarp prst="textNoShape">
                            <a:avLst/>
                          </a:prstTxWarp>
                          <a:noAutofit/>
                        </wps:bodyPr>
                      </wps:wsp>
                      <wps:wsp>
                        <wps:cNvPr id="2041" name="Graphic 2041"/>
                        <wps:cNvSpPr/>
                        <wps:spPr>
                          <a:xfrm>
                            <a:off x="897591" y="832607"/>
                            <a:ext cx="934085" cy="87630"/>
                          </a:xfrm>
                          <a:custGeom>
                            <a:avLst/>
                            <a:gdLst/>
                            <a:ahLst/>
                            <a:cxnLst/>
                            <a:rect l="l" t="t" r="r" b="b"/>
                            <a:pathLst>
                              <a:path w="934085" h="87630">
                                <a:moveTo>
                                  <a:pt x="933989" y="0"/>
                                </a:moveTo>
                                <a:lnTo>
                                  <a:pt x="0" y="0"/>
                                </a:lnTo>
                                <a:lnTo>
                                  <a:pt x="0" y="87223"/>
                                </a:lnTo>
                                <a:lnTo>
                                  <a:pt x="933989" y="87223"/>
                                </a:lnTo>
                                <a:lnTo>
                                  <a:pt x="933989" y="0"/>
                                </a:lnTo>
                                <a:close/>
                              </a:path>
                            </a:pathLst>
                          </a:custGeom>
                          <a:solidFill>
                            <a:srgbClr val="EFD8C2"/>
                          </a:solidFill>
                        </wps:spPr>
                        <wps:bodyPr wrap="square" lIns="0" tIns="0" rIns="0" bIns="0" rtlCol="0">
                          <a:prstTxWarp prst="textNoShape">
                            <a:avLst/>
                          </a:prstTxWarp>
                          <a:noAutofit/>
                        </wps:bodyPr>
                      </wps:wsp>
                      <wps:wsp>
                        <wps:cNvPr id="2042" name="Graphic 2042"/>
                        <wps:cNvSpPr/>
                        <wps:spPr>
                          <a:xfrm>
                            <a:off x="897591" y="738652"/>
                            <a:ext cx="1036955" cy="93980"/>
                          </a:xfrm>
                          <a:custGeom>
                            <a:avLst/>
                            <a:gdLst/>
                            <a:ahLst/>
                            <a:cxnLst/>
                            <a:rect l="l" t="t" r="r" b="b"/>
                            <a:pathLst>
                              <a:path w="1036955" h="93980">
                                <a:moveTo>
                                  <a:pt x="1036339" y="0"/>
                                </a:moveTo>
                                <a:lnTo>
                                  <a:pt x="0" y="0"/>
                                </a:lnTo>
                                <a:lnTo>
                                  <a:pt x="0" y="93954"/>
                                </a:lnTo>
                                <a:lnTo>
                                  <a:pt x="1036339" y="93954"/>
                                </a:lnTo>
                                <a:lnTo>
                                  <a:pt x="1036339" y="0"/>
                                </a:lnTo>
                                <a:close/>
                              </a:path>
                            </a:pathLst>
                          </a:custGeom>
                          <a:solidFill>
                            <a:srgbClr val="DBA379"/>
                          </a:solidFill>
                        </wps:spPr>
                        <wps:bodyPr wrap="square" lIns="0" tIns="0" rIns="0" bIns="0" rtlCol="0">
                          <a:prstTxWarp prst="textNoShape">
                            <a:avLst/>
                          </a:prstTxWarp>
                          <a:noAutofit/>
                        </wps:bodyPr>
                      </wps:wsp>
                      <wps:wsp>
                        <wps:cNvPr id="2043" name="Graphic 2043"/>
                        <wps:cNvSpPr/>
                        <wps:spPr>
                          <a:xfrm>
                            <a:off x="897591" y="644721"/>
                            <a:ext cx="1503680" cy="93980"/>
                          </a:xfrm>
                          <a:custGeom>
                            <a:avLst/>
                            <a:gdLst/>
                            <a:ahLst/>
                            <a:cxnLst/>
                            <a:rect l="l" t="t" r="r" b="b"/>
                            <a:pathLst>
                              <a:path w="1503680" h="93980">
                                <a:moveTo>
                                  <a:pt x="1503338" y="0"/>
                                </a:moveTo>
                                <a:lnTo>
                                  <a:pt x="0" y="0"/>
                                </a:lnTo>
                                <a:lnTo>
                                  <a:pt x="0" y="93930"/>
                                </a:lnTo>
                                <a:lnTo>
                                  <a:pt x="1503338" y="93930"/>
                                </a:lnTo>
                                <a:lnTo>
                                  <a:pt x="1503338" y="0"/>
                                </a:lnTo>
                                <a:close/>
                              </a:path>
                            </a:pathLst>
                          </a:custGeom>
                          <a:solidFill>
                            <a:srgbClr val="D0CADE"/>
                          </a:solidFill>
                        </wps:spPr>
                        <wps:bodyPr wrap="square" lIns="0" tIns="0" rIns="0" bIns="0" rtlCol="0">
                          <a:prstTxWarp prst="textNoShape">
                            <a:avLst/>
                          </a:prstTxWarp>
                          <a:noAutofit/>
                        </wps:bodyPr>
                      </wps:wsp>
                      <wps:wsp>
                        <wps:cNvPr id="2044" name="Graphic 2044"/>
                        <wps:cNvSpPr/>
                        <wps:spPr>
                          <a:xfrm>
                            <a:off x="897591" y="550778"/>
                            <a:ext cx="1624965" cy="93980"/>
                          </a:xfrm>
                          <a:custGeom>
                            <a:avLst/>
                            <a:gdLst/>
                            <a:ahLst/>
                            <a:cxnLst/>
                            <a:rect l="l" t="t" r="r" b="b"/>
                            <a:pathLst>
                              <a:path w="1624965" h="93980">
                                <a:moveTo>
                                  <a:pt x="1624884" y="0"/>
                                </a:moveTo>
                                <a:lnTo>
                                  <a:pt x="0" y="0"/>
                                </a:lnTo>
                                <a:lnTo>
                                  <a:pt x="0" y="93943"/>
                                </a:lnTo>
                                <a:lnTo>
                                  <a:pt x="1624884" y="93943"/>
                                </a:lnTo>
                                <a:lnTo>
                                  <a:pt x="1624884" y="0"/>
                                </a:lnTo>
                                <a:close/>
                              </a:path>
                            </a:pathLst>
                          </a:custGeom>
                          <a:solidFill>
                            <a:srgbClr val="998BB4"/>
                          </a:solidFill>
                        </wps:spPr>
                        <wps:bodyPr wrap="square" lIns="0" tIns="0" rIns="0" bIns="0" rtlCol="0">
                          <a:prstTxWarp prst="textNoShape">
                            <a:avLst/>
                          </a:prstTxWarp>
                          <a:noAutofit/>
                        </wps:bodyPr>
                      </wps:wsp>
                      <wps:wsp>
                        <wps:cNvPr id="2045" name="Graphic 2045"/>
                        <wps:cNvSpPr/>
                        <wps:spPr>
                          <a:xfrm>
                            <a:off x="897591" y="456836"/>
                            <a:ext cx="1830070" cy="93980"/>
                          </a:xfrm>
                          <a:custGeom>
                            <a:avLst/>
                            <a:gdLst/>
                            <a:ahLst/>
                            <a:cxnLst/>
                            <a:rect l="l" t="t" r="r" b="b"/>
                            <a:pathLst>
                              <a:path w="1830070" h="93980">
                                <a:moveTo>
                                  <a:pt x="1829597" y="0"/>
                                </a:moveTo>
                                <a:lnTo>
                                  <a:pt x="0" y="0"/>
                                </a:lnTo>
                                <a:lnTo>
                                  <a:pt x="0" y="93942"/>
                                </a:lnTo>
                                <a:lnTo>
                                  <a:pt x="1829597" y="93942"/>
                                </a:lnTo>
                                <a:lnTo>
                                  <a:pt x="1829597" y="0"/>
                                </a:lnTo>
                                <a:close/>
                              </a:path>
                            </a:pathLst>
                          </a:custGeom>
                          <a:solidFill>
                            <a:srgbClr val="CCDEA0"/>
                          </a:solidFill>
                        </wps:spPr>
                        <wps:bodyPr wrap="square" lIns="0" tIns="0" rIns="0" bIns="0" rtlCol="0">
                          <a:prstTxWarp prst="textNoShape">
                            <a:avLst/>
                          </a:prstTxWarp>
                          <a:noAutofit/>
                        </wps:bodyPr>
                      </wps:wsp>
                      <wps:wsp>
                        <wps:cNvPr id="2046" name="Graphic 2046"/>
                        <wps:cNvSpPr/>
                        <wps:spPr>
                          <a:xfrm>
                            <a:off x="897591" y="362893"/>
                            <a:ext cx="1887220" cy="93980"/>
                          </a:xfrm>
                          <a:custGeom>
                            <a:avLst/>
                            <a:gdLst/>
                            <a:ahLst/>
                            <a:cxnLst/>
                            <a:rect l="l" t="t" r="r" b="b"/>
                            <a:pathLst>
                              <a:path w="1887220" h="93980">
                                <a:moveTo>
                                  <a:pt x="1887163" y="0"/>
                                </a:moveTo>
                                <a:lnTo>
                                  <a:pt x="0" y="0"/>
                                </a:lnTo>
                                <a:lnTo>
                                  <a:pt x="0" y="93943"/>
                                </a:lnTo>
                                <a:lnTo>
                                  <a:pt x="1887163" y="93943"/>
                                </a:lnTo>
                                <a:lnTo>
                                  <a:pt x="1887163" y="0"/>
                                </a:lnTo>
                                <a:close/>
                              </a:path>
                            </a:pathLst>
                          </a:custGeom>
                          <a:solidFill>
                            <a:srgbClr val="9CBF3B"/>
                          </a:solidFill>
                        </wps:spPr>
                        <wps:bodyPr wrap="square" lIns="0" tIns="0" rIns="0" bIns="0" rtlCol="0">
                          <a:prstTxWarp prst="textNoShape">
                            <a:avLst/>
                          </a:prstTxWarp>
                          <a:noAutofit/>
                        </wps:bodyPr>
                      </wps:wsp>
                      <wps:wsp>
                        <wps:cNvPr id="2047" name="Graphic 2047"/>
                        <wps:cNvSpPr/>
                        <wps:spPr>
                          <a:xfrm>
                            <a:off x="897591" y="275670"/>
                            <a:ext cx="2315845" cy="87630"/>
                          </a:xfrm>
                          <a:custGeom>
                            <a:avLst/>
                            <a:gdLst/>
                            <a:ahLst/>
                            <a:cxnLst/>
                            <a:rect l="l" t="t" r="r" b="b"/>
                            <a:pathLst>
                              <a:path w="2315845" h="87630">
                                <a:moveTo>
                                  <a:pt x="2315775" y="0"/>
                                </a:moveTo>
                                <a:lnTo>
                                  <a:pt x="0" y="0"/>
                                </a:lnTo>
                                <a:lnTo>
                                  <a:pt x="0" y="87222"/>
                                </a:lnTo>
                                <a:lnTo>
                                  <a:pt x="2315775" y="87222"/>
                                </a:lnTo>
                                <a:lnTo>
                                  <a:pt x="2315775" y="0"/>
                                </a:lnTo>
                                <a:close/>
                              </a:path>
                            </a:pathLst>
                          </a:custGeom>
                          <a:solidFill>
                            <a:srgbClr val="2F7D41"/>
                          </a:solidFill>
                        </wps:spPr>
                        <wps:bodyPr wrap="square" lIns="0" tIns="0" rIns="0" bIns="0" rtlCol="0">
                          <a:prstTxWarp prst="textNoShape">
                            <a:avLst/>
                          </a:prstTxWarp>
                          <a:noAutofit/>
                        </wps:bodyPr>
                      </wps:wsp>
                      <wps:wsp>
                        <wps:cNvPr id="2048" name="Graphic 2048"/>
                        <wps:cNvSpPr/>
                        <wps:spPr>
                          <a:xfrm>
                            <a:off x="897591" y="181716"/>
                            <a:ext cx="3467735" cy="93980"/>
                          </a:xfrm>
                          <a:custGeom>
                            <a:avLst/>
                            <a:gdLst/>
                            <a:ahLst/>
                            <a:cxnLst/>
                            <a:rect l="l" t="t" r="r" b="b"/>
                            <a:pathLst>
                              <a:path w="3467735" h="93980">
                                <a:moveTo>
                                  <a:pt x="3467265" y="0"/>
                                </a:moveTo>
                                <a:lnTo>
                                  <a:pt x="0" y="0"/>
                                </a:lnTo>
                                <a:lnTo>
                                  <a:pt x="0" y="93954"/>
                                </a:lnTo>
                                <a:lnTo>
                                  <a:pt x="3467265" y="93954"/>
                                </a:lnTo>
                                <a:lnTo>
                                  <a:pt x="3467265" y="0"/>
                                </a:lnTo>
                                <a:close/>
                              </a:path>
                            </a:pathLst>
                          </a:custGeom>
                          <a:solidFill>
                            <a:srgbClr val="F2E499"/>
                          </a:solidFill>
                        </wps:spPr>
                        <wps:bodyPr wrap="square" lIns="0" tIns="0" rIns="0" bIns="0" rtlCol="0">
                          <a:prstTxWarp prst="textNoShape">
                            <a:avLst/>
                          </a:prstTxWarp>
                          <a:noAutofit/>
                        </wps:bodyPr>
                      </wps:wsp>
                      <wps:wsp>
                        <wps:cNvPr id="2049" name="Graphic 2049"/>
                        <wps:cNvSpPr/>
                        <wps:spPr>
                          <a:xfrm>
                            <a:off x="897591" y="87785"/>
                            <a:ext cx="3883660" cy="93980"/>
                          </a:xfrm>
                          <a:custGeom>
                            <a:avLst/>
                            <a:gdLst/>
                            <a:ahLst/>
                            <a:cxnLst/>
                            <a:rect l="l" t="t" r="r" b="b"/>
                            <a:pathLst>
                              <a:path w="3883660" h="93980">
                                <a:moveTo>
                                  <a:pt x="3883081" y="0"/>
                                </a:moveTo>
                                <a:lnTo>
                                  <a:pt x="0" y="0"/>
                                </a:lnTo>
                                <a:lnTo>
                                  <a:pt x="0" y="93930"/>
                                </a:lnTo>
                                <a:lnTo>
                                  <a:pt x="3883081" y="93930"/>
                                </a:lnTo>
                                <a:lnTo>
                                  <a:pt x="3883081" y="0"/>
                                </a:lnTo>
                                <a:close/>
                              </a:path>
                            </a:pathLst>
                          </a:custGeom>
                          <a:solidFill>
                            <a:srgbClr val="E3C626"/>
                          </a:solidFill>
                        </wps:spPr>
                        <wps:bodyPr wrap="square" lIns="0" tIns="0" rIns="0" bIns="0" rtlCol="0">
                          <a:prstTxWarp prst="textNoShape">
                            <a:avLst/>
                          </a:prstTxWarp>
                          <a:noAutofit/>
                        </wps:bodyPr>
                      </wps:wsp>
                      <wps:wsp>
                        <wps:cNvPr id="2050" name="Graphic 2050"/>
                        <wps:cNvSpPr/>
                        <wps:spPr>
                          <a:xfrm>
                            <a:off x="869099" y="84746"/>
                            <a:ext cx="4112895" cy="2724150"/>
                          </a:xfrm>
                          <a:custGeom>
                            <a:avLst/>
                            <a:gdLst/>
                            <a:ahLst/>
                            <a:cxnLst/>
                            <a:rect l="l" t="t" r="r" b="b"/>
                            <a:pathLst>
                              <a:path w="4112895" h="2724150">
                                <a:moveTo>
                                  <a:pt x="4112768" y="2690482"/>
                                </a:moveTo>
                                <a:lnTo>
                                  <a:pt x="4112768" y="2690482"/>
                                </a:lnTo>
                                <a:lnTo>
                                  <a:pt x="31940" y="2690482"/>
                                </a:lnTo>
                                <a:lnTo>
                                  <a:pt x="31940" y="0"/>
                                </a:lnTo>
                                <a:lnTo>
                                  <a:pt x="25590" y="0"/>
                                </a:lnTo>
                                <a:lnTo>
                                  <a:pt x="0" y="0"/>
                                </a:lnTo>
                                <a:lnTo>
                                  <a:pt x="0" y="6350"/>
                                </a:lnTo>
                                <a:lnTo>
                                  <a:pt x="25590" y="6350"/>
                                </a:lnTo>
                                <a:lnTo>
                                  <a:pt x="25590" y="93916"/>
                                </a:lnTo>
                                <a:lnTo>
                                  <a:pt x="0" y="93916"/>
                                </a:lnTo>
                                <a:lnTo>
                                  <a:pt x="0" y="100266"/>
                                </a:lnTo>
                                <a:lnTo>
                                  <a:pt x="25590" y="100266"/>
                                </a:lnTo>
                                <a:lnTo>
                                  <a:pt x="25590" y="187858"/>
                                </a:lnTo>
                                <a:lnTo>
                                  <a:pt x="0" y="187858"/>
                                </a:lnTo>
                                <a:lnTo>
                                  <a:pt x="0" y="194208"/>
                                </a:lnTo>
                                <a:lnTo>
                                  <a:pt x="25590" y="194208"/>
                                </a:lnTo>
                                <a:lnTo>
                                  <a:pt x="25590" y="275082"/>
                                </a:lnTo>
                                <a:lnTo>
                                  <a:pt x="0" y="275082"/>
                                </a:lnTo>
                                <a:lnTo>
                                  <a:pt x="0" y="281432"/>
                                </a:lnTo>
                                <a:lnTo>
                                  <a:pt x="25590" y="281432"/>
                                </a:lnTo>
                                <a:lnTo>
                                  <a:pt x="25590" y="369011"/>
                                </a:lnTo>
                                <a:lnTo>
                                  <a:pt x="0" y="369011"/>
                                </a:lnTo>
                                <a:lnTo>
                                  <a:pt x="0" y="375361"/>
                                </a:lnTo>
                                <a:lnTo>
                                  <a:pt x="25590" y="375361"/>
                                </a:lnTo>
                                <a:lnTo>
                                  <a:pt x="25590" y="462940"/>
                                </a:lnTo>
                                <a:lnTo>
                                  <a:pt x="0" y="462940"/>
                                </a:lnTo>
                                <a:lnTo>
                                  <a:pt x="0" y="469290"/>
                                </a:lnTo>
                                <a:lnTo>
                                  <a:pt x="25590" y="469290"/>
                                </a:lnTo>
                                <a:lnTo>
                                  <a:pt x="25590" y="556882"/>
                                </a:lnTo>
                                <a:lnTo>
                                  <a:pt x="0" y="556882"/>
                                </a:lnTo>
                                <a:lnTo>
                                  <a:pt x="0" y="563232"/>
                                </a:lnTo>
                                <a:lnTo>
                                  <a:pt x="25590" y="563232"/>
                                </a:lnTo>
                                <a:lnTo>
                                  <a:pt x="25590" y="650798"/>
                                </a:lnTo>
                                <a:lnTo>
                                  <a:pt x="0" y="650798"/>
                                </a:lnTo>
                                <a:lnTo>
                                  <a:pt x="0" y="657148"/>
                                </a:lnTo>
                                <a:lnTo>
                                  <a:pt x="25590" y="657148"/>
                                </a:lnTo>
                                <a:lnTo>
                                  <a:pt x="25590" y="744753"/>
                                </a:lnTo>
                                <a:lnTo>
                                  <a:pt x="0" y="744753"/>
                                </a:lnTo>
                                <a:lnTo>
                                  <a:pt x="0" y="751103"/>
                                </a:lnTo>
                                <a:lnTo>
                                  <a:pt x="25590" y="751103"/>
                                </a:lnTo>
                                <a:lnTo>
                                  <a:pt x="25590" y="831964"/>
                                </a:lnTo>
                                <a:lnTo>
                                  <a:pt x="0" y="831964"/>
                                </a:lnTo>
                                <a:lnTo>
                                  <a:pt x="0" y="838314"/>
                                </a:lnTo>
                                <a:lnTo>
                                  <a:pt x="25590" y="838314"/>
                                </a:lnTo>
                                <a:lnTo>
                                  <a:pt x="25590" y="925893"/>
                                </a:lnTo>
                                <a:lnTo>
                                  <a:pt x="0" y="925893"/>
                                </a:lnTo>
                                <a:lnTo>
                                  <a:pt x="0" y="932243"/>
                                </a:lnTo>
                                <a:lnTo>
                                  <a:pt x="25590" y="932243"/>
                                </a:lnTo>
                                <a:lnTo>
                                  <a:pt x="25590" y="1019835"/>
                                </a:lnTo>
                                <a:lnTo>
                                  <a:pt x="0" y="1019835"/>
                                </a:lnTo>
                                <a:lnTo>
                                  <a:pt x="0" y="1026185"/>
                                </a:lnTo>
                                <a:lnTo>
                                  <a:pt x="25590" y="1026185"/>
                                </a:lnTo>
                                <a:lnTo>
                                  <a:pt x="25590" y="1113764"/>
                                </a:lnTo>
                                <a:lnTo>
                                  <a:pt x="0" y="1113764"/>
                                </a:lnTo>
                                <a:lnTo>
                                  <a:pt x="0" y="1120114"/>
                                </a:lnTo>
                                <a:lnTo>
                                  <a:pt x="25590" y="1120114"/>
                                </a:lnTo>
                                <a:lnTo>
                                  <a:pt x="25590" y="1207681"/>
                                </a:lnTo>
                                <a:lnTo>
                                  <a:pt x="0" y="1207681"/>
                                </a:lnTo>
                                <a:lnTo>
                                  <a:pt x="0" y="1214031"/>
                                </a:lnTo>
                                <a:lnTo>
                                  <a:pt x="25590" y="1214031"/>
                                </a:lnTo>
                                <a:lnTo>
                                  <a:pt x="25590" y="1301635"/>
                                </a:lnTo>
                                <a:lnTo>
                                  <a:pt x="0" y="1301635"/>
                                </a:lnTo>
                                <a:lnTo>
                                  <a:pt x="0" y="1307985"/>
                                </a:lnTo>
                                <a:lnTo>
                                  <a:pt x="25590" y="1307985"/>
                                </a:lnTo>
                                <a:lnTo>
                                  <a:pt x="25590" y="1388859"/>
                                </a:lnTo>
                                <a:lnTo>
                                  <a:pt x="0" y="1388859"/>
                                </a:lnTo>
                                <a:lnTo>
                                  <a:pt x="0" y="1395209"/>
                                </a:lnTo>
                                <a:lnTo>
                                  <a:pt x="25590" y="1395209"/>
                                </a:lnTo>
                                <a:lnTo>
                                  <a:pt x="25590" y="1482775"/>
                                </a:lnTo>
                                <a:lnTo>
                                  <a:pt x="0" y="1482775"/>
                                </a:lnTo>
                                <a:lnTo>
                                  <a:pt x="0" y="1489125"/>
                                </a:lnTo>
                                <a:lnTo>
                                  <a:pt x="25590" y="1489125"/>
                                </a:lnTo>
                                <a:lnTo>
                                  <a:pt x="25590" y="1576717"/>
                                </a:lnTo>
                                <a:lnTo>
                                  <a:pt x="0" y="1576717"/>
                                </a:lnTo>
                                <a:lnTo>
                                  <a:pt x="0" y="1583067"/>
                                </a:lnTo>
                                <a:lnTo>
                                  <a:pt x="25590" y="1583067"/>
                                </a:lnTo>
                                <a:lnTo>
                                  <a:pt x="25590" y="1670646"/>
                                </a:lnTo>
                                <a:lnTo>
                                  <a:pt x="0" y="1670646"/>
                                </a:lnTo>
                                <a:lnTo>
                                  <a:pt x="0" y="1676996"/>
                                </a:lnTo>
                                <a:lnTo>
                                  <a:pt x="25590" y="1676996"/>
                                </a:lnTo>
                                <a:lnTo>
                                  <a:pt x="25590" y="1764588"/>
                                </a:lnTo>
                                <a:lnTo>
                                  <a:pt x="0" y="1764588"/>
                                </a:lnTo>
                                <a:lnTo>
                                  <a:pt x="0" y="1770938"/>
                                </a:lnTo>
                                <a:lnTo>
                                  <a:pt x="25590" y="1770938"/>
                                </a:lnTo>
                                <a:lnTo>
                                  <a:pt x="25590" y="1858518"/>
                                </a:lnTo>
                                <a:lnTo>
                                  <a:pt x="0" y="1858518"/>
                                </a:lnTo>
                                <a:lnTo>
                                  <a:pt x="0" y="1864868"/>
                                </a:lnTo>
                                <a:lnTo>
                                  <a:pt x="25590" y="1864868"/>
                                </a:lnTo>
                                <a:lnTo>
                                  <a:pt x="25590" y="1945728"/>
                                </a:lnTo>
                                <a:lnTo>
                                  <a:pt x="0" y="1945728"/>
                                </a:lnTo>
                                <a:lnTo>
                                  <a:pt x="0" y="1952078"/>
                                </a:lnTo>
                                <a:lnTo>
                                  <a:pt x="25590" y="1952078"/>
                                </a:lnTo>
                                <a:lnTo>
                                  <a:pt x="25590" y="2039670"/>
                                </a:lnTo>
                                <a:lnTo>
                                  <a:pt x="0" y="2039670"/>
                                </a:lnTo>
                                <a:lnTo>
                                  <a:pt x="0" y="2046020"/>
                                </a:lnTo>
                                <a:lnTo>
                                  <a:pt x="25590" y="2046020"/>
                                </a:lnTo>
                                <a:lnTo>
                                  <a:pt x="25590" y="2133600"/>
                                </a:lnTo>
                                <a:lnTo>
                                  <a:pt x="0" y="2133600"/>
                                </a:lnTo>
                                <a:lnTo>
                                  <a:pt x="0" y="2139950"/>
                                </a:lnTo>
                                <a:lnTo>
                                  <a:pt x="25590" y="2139950"/>
                                </a:lnTo>
                                <a:lnTo>
                                  <a:pt x="25590" y="2227542"/>
                                </a:lnTo>
                                <a:lnTo>
                                  <a:pt x="0" y="2227542"/>
                                </a:lnTo>
                                <a:lnTo>
                                  <a:pt x="0" y="2233892"/>
                                </a:lnTo>
                                <a:lnTo>
                                  <a:pt x="25590" y="2233892"/>
                                </a:lnTo>
                                <a:lnTo>
                                  <a:pt x="25590" y="2321471"/>
                                </a:lnTo>
                                <a:lnTo>
                                  <a:pt x="0" y="2321471"/>
                                </a:lnTo>
                                <a:lnTo>
                                  <a:pt x="0" y="2327821"/>
                                </a:lnTo>
                                <a:lnTo>
                                  <a:pt x="25590" y="2327821"/>
                                </a:lnTo>
                                <a:lnTo>
                                  <a:pt x="25590" y="2415400"/>
                                </a:lnTo>
                                <a:lnTo>
                                  <a:pt x="0" y="2415400"/>
                                </a:lnTo>
                                <a:lnTo>
                                  <a:pt x="0" y="2421750"/>
                                </a:lnTo>
                                <a:lnTo>
                                  <a:pt x="25590" y="2421750"/>
                                </a:lnTo>
                                <a:lnTo>
                                  <a:pt x="25590" y="2502624"/>
                                </a:lnTo>
                                <a:lnTo>
                                  <a:pt x="0" y="2502624"/>
                                </a:lnTo>
                                <a:lnTo>
                                  <a:pt x="0" y="2508974"/>
                                </a:lnTo>
                                <a:lnTo>
                                  <a:pt x="25590" y="2508974"/>
                                </a:lnTo>
                                <a:lnTo>
                                  <a:pt x="25590" y="2596553"/>
                                </a:lnTo>
                                <a:lnTo>
                                  <a:pt x="0" y="2596553"/>
                                </a:lnTo>
                                <a:lnTo>
                                  <a:pt x="0" y="2602903"/>
                                </a:lnTo>
                                <a:lnTo>
                                  <a:pt x="25590" y="2602903"/>
                                </a:lnTo>
                                <a:lnTo>
                                  <a:pt x="25590" y="2690482"/>
                                </a:lnTo>
                                <a:lnTo>
                                  <a:pt x="0" y="2690482"/>
                                </a:lnTo>
                                <a:lnTo>
                                  <a:pt x="0" y="2696832"/>
                                </a:lnTo>
                                <a:lnTo>
                                  <a:pt x="25590" y="2696832"/>
                                </a:lnTo>
                                <a:lnTo>
                                  <a:pt x="25590" y="2723680"/>
                                </a:lnTo>
                                <a:lnTo>
                                  <a:pt x="31940" y="2723680"/>
                                </a:lnTo>
                                <a:lnTo>
                                  <a:pt x="31940" y="2696832"/>
                                </a:lnTo>
                                <a:lnTo>
                                  <a:pt x="607644" y="2696832"/>
                                </a:lnTo>
                                <a:lnTo>
                                  <a:pt x="607644" y="2723680"/>
                                </a:lnTo>
                                <a:lnTo>
                                  <a:pt x="613994" y="2723680"/>
                                </a:lnTo>
                                <a:lnTo>
                                  <a:pt x="613994" y="2696832"/>
                                </a:lnTo>
                                <a:lnTo>
                                  <a:pt x="1189710" y="2696832"/>
                                </a:lnTo>
                                <a:lnTo>
                                  <a:pt x="1189710" y="2723680"/>
                                </a:lnTo>
                                <a:lnTo>
                                  <a:pt x="1196060" y="2723680"/>
                                </a:lnTo>
                                <a:lnTo>
                                  <a:pt x="1196060" y="2696832"/>
                                </a:lnTo>
                                <a:lnTo>
                                  <a:pt x="1771777" y="2696832"/>
                                </a:lnTo>
                                <a:lnTo>
                                  <a:pt x="1771777" y="2723680"/>
                                </a:lnTo>
                                <a:lnTo>
                                  <a:pt x="1778127" y="2723680"/>
                                </a:lnTo>
                                <a:lnTo>
                                  <a:pt x="1778127" y="2696832"/>
                                </a:lnTo>
                                <a:lnTo>
                                  <a:pt x="2360244" y="2696832"/>
                                </a:lnTo>
                                <a:lnTo>
                                  <a:pt x="2360244" y="2723680"/>
                                </a:lnTo>
                                <a:lnTo>
                                  <a:pt x="2366594" y="2723680"/>
                                </a:lnTo>
                                <a:lnTo>
                                  <a:pt x="2366594" y="2696832"/>
                                </a:lnTo>
                                <a:lnTo>
                                  <a:pt x="2942298" y="2696832"/>
                                </a:lnTo>
                                <a:lnTo>
                                  <a:pt x="2942298" y="2723680"/>
                                </a:lnTo>
                                <a:lnTo>
                                  <a:pt x="2948648" y="2723680"/>
                                </a:lnTo>
                                <a:lnTo>
                                  <a:pt x="2948648" y="2696832"/>
                                </a:lnTo>
                                <a:lnTo>
                                  <a:pt x="3524364" y="2696832"/>
                                </a:lnTo>
                                <a:lnTo>
                                  <a:pt x="3524364" y="2723680"/>
                                </a:lnTo>
                                <a:lnTo>
                                  <a:pt x="3530714" y="2723680"/>
                                </a:lnTo>
                                <a:lnTo>
                                  <a:pt x="3530714" y="2696832"/>
                                </a:lnTo>
                                <a:lnTo>
                                  <a:pt x="4106418" y="2696832"/>
                                </a:lnTo>
                                <a:lnTo>
                                  <a:pt x="4106418" y="2723680"/>
                                </a:lnTo>
                                <a:lnTo>
                                  <a:pt x="4112768" y="2723680"/>
                                </a:lnTo>
                                <a:lnTo>
                                  <a:pt x="4112768" y="2690482"/>
                                </a:lnTo>
                                <a:close/>
                              </a:path>
                            </a:pathLst>
                          </a:custGeom>
                          <a:solidFill>
                            <a:srgbClr val="000000"/>
                          </a:solidFill>
                        </wps:spPr>
                        <wps:bodyPr wrap="square" lIns="0" tIns="0" rIns="0" bIns="0" rtlCol="0">
                          <a:prstTxWarp prst="textNoShape">
                            <a:avLst/>
                          </a:prstTxWarp>
                          <a:noAutofit/>
                        </wps:bodyPr>
                      </wps:wsp>
                      <wps:wsp>
                        <wps:cNvPr id="2051" name="Textbox 2051"/>
                        <wps:cNvSpPr txBox="1"/>
                        <wps:spPr>
                          <a:xfrm>
                            <a:off x="228096" y="70356"/>
                            <a:ext cx="563880" cy="2715895"/>
                          </a:xfrm>
                          <a:prstGeom prst="rect">
                            <a:avLst/>
                          </a:prstGeom>
                        </wps:spPr>
                        <wps:txbx>
                          <w:txbxContent>
                            <w:p>
                              <w:pPr>
                                <w:spacing w:line="218" w:lineRule="auto" w:before="11"/>
                                <w:ind w:left="0" w:right="18" w:firstLine="159"/>
                                <w:jc w:val="right"/>
                                <w:rPr>
                                  <w:rFonts w:ascii="Arial MT"/>
                                  <w:sz w:val="14"/>
                                </w:rPr>
                              </w:pPr>
                              <w:r>
                                <w:rPr>
                                  <w:rFonts w:ascii="Arial MT"/>
                                  <w:spacing w:val="-4"/>
                                  <w:w w:val="85"/>
                                  <w:sz w:val="14"/>
                                </w:rPr>
                                <w:t>Uttar</w:t>
                              </w:r>
                              <w:r>
                                <w:rPr>
                                  <w:rFonts w:ascii="Arial MT"/>
                                  <w:spacing w:val="-7"/>
                                  <w:sz w:val="14"/>
                                </w:rPr>
                                <w:t> </w:t>
                              </w:r>
                              <w:r>
                                <w:rPr>
                                  <w:rFonts w:ascii="Arial MT"/>
                                  <w:spacing w:val="-4"/>
                                  <w:w w:val="85"/>
                                  <w:sz w:val="14"/>
                                </w:rPr>
                                <w:t>Pradesh</w:t>
                              </w:r>
                              <w:r>
                                <w:rPr>
                                  <w:rFonts w:ascii="Arial MT"/>
                                  <w:spacing w:val="40"/>
                                  <w:sz w:val="14"/>
                                </w:rPr>
                                <w:t> </w:t>
                              </w:r>
                              <w:r>
                                <w:rPr>
                                  <w:rFonts w:ascii="Arial MT"/>
                                  <w:spacing w:val="-2"/>
                                  <w:w w:val="90"/>
                                  <w:sz w:val="14"/>
                                </w:rPr>
                                <w:t>Maharashtra</w:t>
                              </w:r>
                              <w:r>
                                <w:rPr>
                                  <w:rFonts w:ascii="Arial MT"/>
                                  <w:spacing w:val="40"/>
                                  <w:sz w:val="14"/>
                                </w:rPr>
                                <w:t> </w:t>
                              </w:r>
                              <w:r>
                                <w:rPr>
                                  <w:rFonts w:ascii="Arial MT"/>
                                  <w:w w:val="80"/>
                                  <w:sz w:val="14"/>
                                </w:rPr>
                                <w:t>Madhya</w:t>
                              </w:r>
                              <w:r>
                                <w:rPr>
                                  <w:rFonts w:ascii="Arial MT"/>
                                  <w:spacing w:val="2"/>
                                  <w:sz w:val="14"/>
                                </w:rPr>
                                <w:t> </w:t>
                              </w:r>
                              <w:r>
                                <w:rPr>
                                  <w:rFonts w:ascii="Arial MT"/>
                                  <w:spacing w:val="-5"/>
                                  <w:w w:val="85"/>
                                  <w:sz w:val="14"/>
                                </w:rPr>
                                <w:t>Pradesh</w:t>
                              </w:r>
                            </w:p>
                            <w:p>
                              <w:pPr>
                                <w:spacing w:line="218" w:lineRule="auto" w:before="2"/>
                                <w:ind w:left="293" w:right="18" w:firstLine="50"/>
                                <w:jc w:val="right"/>
                                <w:rPr>
                                  <w:rFonts w:ascii="Arial MT"/>
                                  <w:sz w:val="14"/>
                                </w:rPr>
                              </w:pPr>
                              <w:r>
                                <w:rPr>
                                  <w:rFonts w:ascii="Arial MT"/>
                                  <w:spacing w:val="-2"/>
                                  <w:w w:val="80"/>
                                  <w:sz w:val="14"/>
                                </w:rPr>
                                <w:t>Karnataka</w:t>
                              </w:r>
                              <w:r>
                                <w:rPr>
                                  <w:rFonts w:ascii="Arial MT"/>
                                  <w:spacing w:val="40"/>
                                  <w:sz w:val="14"/>
                                </w:rPr>
                                <w:t> </w:t>
                              </w:r>
                              <w:r>
                                <w:rPr>
                                  <w:rFonts w:ascii="Arial MT"/>
                                  <w:spacing w:val="-2"/>
                                  <w:w w:val="90"/>
                                  <w:sz w:val="14"/>
                                </w:rPr>
                                <w:t>Rajasthan</w:t>
                              </w:r>
                              <w:r>
                                <w:rPr>
                                  <w:rFonts w:ascii="Arial MT"/>
                                  <w:spacing w:val="40"/>
                                  <w:sz w:val="14"/>
                                </w:rPr>
                                <w:t> </w:t>
                              </w:r>
                              <w:r>
                                <w:rPr>
                                  <w:rFonts w:ascii="Arial MT"/>
                                  <w:spacing w:val="-2"/>
                                  <w:w w:val="90"/>
                                  <w:sz w:val="14"/>
                                </w:rPr>
                                <w:t>Kerala</w:t>
                              </w:r>
                              <w:r>
                                <w:rPr>
                                  <w:rFonts w:ascii="Arial MT"/>
                                  <w:spacing w:val="40"/>
                                  <w:sz w:val="14"/>
                                </w:rPr>
                                <w:t> </w:t>
                              </w:r>
                              <w:r>
                                <w:rPr>
                                  <w:rFonts w:ascii="Arial MT"/>
                                  <w:spacing w:val="-4"/>
                                  <w:w w:val="80"/>
                                  <w:sz w:val="14"/>
                                </w:rPr>
                                <w:t>Tamil</w:t>
                              </w:r>
                              <w:r>
                                <w:rPr>
                                  <w:rFonts w:ascii="Arial MT"/>
                                  <w:spacing w:val="1"/>
                                  <w:sz w:val="14"/>
                                </w:rPr>
                                <w:t> </w:t>
                              </w:r>
                              <w:r>
                                <w:rPr>
                                  <w:rFonts w:ascii="Arial MT"/>
                                  <w:spacing w:val="-4"/>
                                  <w:w w:val="85"/>
                                  <w:sz w:val="14"/>
                                </w:rPr>
                                <w:t>Nadu</w:t>
                              </w:r>
                            </w:p>
                            <w:p>
                              <w:pPr>
                                <w:spacing w:line="144" w:lineRule="exact" w:before="0"/>
                                <w:ind w:left="0" w:right="18" w:firstLine="0"/>
                                <w:jc w:val="right"/>
                                <w:rPr>
                                  <w:rFonts w:ascii="Arial MT"/>
                                  <w:sz w:val="14"/>
                                </w:rPr>
                              </w:pPr>
                              <w:r>
                                <w:rPr>
                                  <w:rFonts w:ascii="Arial MT"/>
                                  <w:w w:val="80"/>
                                  <w:sz w:val="14"/>
                                </w:rPr>
                                <w:t>West</w:t>
                              </w:r>
                              <w:r>
                                <w:rPr>
                                  <w:rFonts w:ascii="Arial MT"/>
                                  <w:spacing w:val="-4"/>
                                  <w:sz w:val="14"/>
                                </w:rPr>
                                <w:t> </w:t>
                              </w:r>
                              <w:r>
                                <w:rPr>
                                  <w:rFonts w:ascii="Arial MT"/>
                                  <w:spacing w:val="-2"/>
                                  <w:w w:val="85"/>
                                  <w:sz w:val="14"/>
                                </w:rPr>
                                <w:t>Bengal</w:t>
                              </w:r>
                            </w:p>
                            <w:p>
                              <w:pPr>
                                <w:spacing w:line="218" w:lineRule="auto" w:before="5"/>
                                <w:ind w:left="536" w:right="18" w:firstLine="70"/>
                                <w:jc w:val="right"/>
                                <w:rPr>
                                  <w:rFonts w:ascii="Arial MT"/>
                                  <w:sz w:val="14"/>
                                </w:rPr>
                              </w:pPr>
                              <w:r>
                                <w:rPr>
                                  <w:rFonts w:ascii="Arial MT"/>
                                  <w:spacing w:val="-4"/>
                                  <w:w w:val="80"/>
                                  <w:sz w:val="14"/>
                                </w:rPr>
                                <w:t>Delhi</w:t>
                              </w:r>
                              <w:r>
                                <w:rPr>
                                  <w:rFonts w:ascii="Arial MT"/>
                                  <w:spacing w:val="40"/>
                                  <w:sz w:val="14"/>
                                </w:rPr>
                                <w:t> </w:t>
                              </w:r>
                              <w:r>
                                <w:rPr>
                                  <w:rFonts w:ascii="Arial MT"/>
                                  <w:spacing w:val="-2"/>
                                  <w:w w:val="80"/>
                                  <w:sz w:val="14"/>
                                </w:rPr>
                                <w:t>Orissa</w:t>
                              </w:r>
                            </w:p>
                            <w:p>
                              <w:pPr>
                                <w:spacing w:line="143" w:lineRule="exact" w:before="0"/>
                                <w:ind w:left="0" w:right="18" w:firstLine="0"/>
                                <w:jc w:val="right"/>
                                <w:rPr>
                                  <w:rFonts w:ascii="Arial MT"/>
                                  <w:sz w:val="14"/>
                                </w:rPr>
                              </w:pPr>
                              <w:r>
                                <w:rPr>
                                  <w:rFonts w:ascii="Arial MT"/>
                                  <w:w w:val="80"/>
                                  <w:sz w:val="14"/>
                                </w:rPr>
                                <w:t>Andhra</w:t>
                              </w:r>
                              <w:r>
                                <w:rPr>
                                  <w:rFonts w:ascii="Arial MT"/>
                                  <w:spacing w:val="-3"/>
                                  <w:sz w:val="14"/>
                                </w:rPr>
                                <w:t> </w:t>
                              </w:r>
                              <w:r>
                                <w:rPr>
                                  <w:rFonts w:ascii="Arial MT"/>
                                  <w:spacing w:val="-2"/>
                                  <w:w w:val="90"/>
                                  <w:sz w:val="14"/>
                                </w:rPr>
                                <w:t>Pradesh</w:t>
                              </w:r>
                            </w:p>
                            <w:p>
                              <w:pPr>
                                <w:spacing w:line="218" w:lineRule="auto" w:before="4"/>
                                <w:ind w:left="217" w:right="18" w:firstLine="274"/>
                                <w:jc w:val="right"/>
                                <w:rPr>
                                  <w:rFonts w:ascii="Arial MT"/>
                                  <w:sz w:val="14"/>
                                </w:rPr>
                              </w:pPr>
                              <w:r>
                                <w:rPr>
                                  <w:rFonts w:ascii="Arial MT"/>
                                  <w:spacing w:val="-2"/>
                                  <w:w w:val="80"/>
                                  <w:sz w:val="14"/>
                                </w:rPr>
                                <w:t>Gujarat</w:t>
                              </w:r>
                              <w:r>
                                <w:rPr>
                                  <w:rFonts w:ascii="Arial MT"/>
                                  <w:spacing w:val="40"/>
                                  <w:sz w:val="14"/>
                                </w:rPr>
                                <w:t> </w:t>
                              </w:r>
                              <w:r>
                                <w:rPr>
                                  <w:rFonts w:ascii="Arial MT"/>
                                  <w:spacing w:val="-2"/>
                                  <w:w w:val="90"/>
                                  <w:sz w:val="14"/>
                                </w:rPr>
                                <w:t>Punjab</w:t>
                              </w:r>
                              <w:r>
                                <w:rPr>
                                  <w:rFonts w:ascii="Arial MT"/>
                                  <w:spacing w:val="40"/>
                                  <w:sz w:val="14"/>
                                </w:rPr>
                                <w:t> </w:t>
                              </w:r>
                              <w:r>
                                <w:rPr>
                                  <w:rFonts w:ascii="Arial MT"/>
                                  <w:spacing w:val="-2"/>
                                  <w:w w:val="90"/>
                                  <w:sz w:val="14"/>
                                </w:rPr>
                                <w:t>Haryana</w:t>
                              </w:r>
                              <w:r>
                                <w:rPr>
                                  <w:rFonts w:ascii="Arial MT"/>
                                  <w:spacing w:val="40"/>
                                  <w:sz w:val="14"/>
                                </w:rPr>
                                <w:t> </w:t>
                              </w:r>
                              <w:r>
                                <w:rPr>
                                  <w:rFonts w:ascii="Arial MT"/>
                                  <w:spacing w:val="-2"/>
                                  <w:w w:val="80"/>
                                  <w:sz w:val="14"/>
                                </w:rPr>
                                <w:t>Chhattisgarh</w:t>
                              </w:r>
                            </w:p>
                            <w:p>
                              <w:pPr>
                                <w:spacing w:line="218" w:lineRule="auto" w:before="2"/>
                                <w:ind w:left="274" w:right="18" w:firstLine="242"/>
                                <w:jc w:val="both"/>
                                <w:rPr>
                                  <w:rFonts w:ascii="Arial MT"/>
                                  <w:sz w:val="14"/>
                                </w:rPr>
                              </w:pPr>
                              <w:r>
                                <w:rPr>
                                  <w:rFonts w:ascii="Arial MT"/>
                                  <w:spacing w:val="-2"/>
                                  <w:w w:val="80"/>
                                  <w:sz w:val="14"/>
                                </w:rPr>
                                <w:t>Assam</w:t>
                              </w:r>
                              <w:r>
                                <w:rPr>
                                  <w:rFonts w:ascii="Arial MT"/>
                                  <w:spacing w:val="40"/>
                                  <w:sz w:val="14"/>
                                </w:rPr>
                                <w:t> </w:t>
                              </w:r>
                              <w:r>
                                <w:rPr>
                                  <w:rFonts w:ascii="Arial MT"/>
                                  <w:spacing w:val="-2"/>
                                  <w:w w:val="80"/>
                                  <w:sz w:val="14"/>
                                </w:rPr>
                                <w:t>Uttaranchal</w:t>
                              </w:r>
                              <w:r>
                                <w:rPr>
                                  <w:rFonts w:ascii="Arial MT"/>
                                  <w:spacing w:val="40"/>
                                  <w:sz w:val="14"/>
                                </w:rPr>
                                <w:t> </w:t>
                              </w:r>
                              <w:r>
                                <w:rPr>
                                  <w:rFonts w:ascii="Arial MT"/>
                                  <w:spacing w:val="-2"/>
                                  <w:w w:val="80"/>
                                  <w:sz w:val="14"/>
                                </w:rPr>
                                <w:t>Chandigarh</w:t>
                              </w:r>
                            </w:p>
                            <w:p>
                              <w:pPr>
                                <w:spacing w:line="218" w:lineRule="auto" w:before="2"/>
                                <w:ind w:left="306" w:right="18" w:firstLine="293"/>
                                <w:jc w:val="right"/>
                                <w:rPr>
                                  <w:rFonts w:ascii="Arial MT"/>
                                  <w:sz w:val="14"/>
                                </w:rPr>
                              </w:pPr>
                              <w:r>
                                <w:rPr>
                                  <w:rFonts w:ascii="Arial MT"/>
                                  <w:spacing w:val="-2"/>
                                  <w:w w:val="80"/>
                                  <w:sz w:val="14"/>
                                </w:rPr>
                                <w:t>Bihar</w:t>
                              </w:r>
                              <w:r>
                                <w:rPr>
                                  <w:rFonts w:ascii="Arial MT"/>
                                  <w:spacing w:val="40"/>
                                  <w:sz w:val="14"/>
                                </w:rPr>
                                <w:t> </w:t>
                              </w:r>
                              <w:r>
                                <w:rPr>
                                  <w:rFonts w:ascii="Arial MT"/>
                                  <w:spacing w:val="-2"/>
                                  <w:w w:val="90"/>
                                  <w:sz w:val="14"/>
                                </w:rPr>
                                <w:t>Himachal</w:t>
                              </w:r>
                              <w:r>
                                <w:rPr>
                                  <w:rFonts w:ascii="Arial MT"/>
                                  <w:spacing w:val="40"/>
                                  <w:sz w:val="14"/>
                                </w:rPr>
                                <w:t> </w:t>
                              </w:r>
                              <w:r>
                                <w:rPr>
                                  <w:rFonts w:ascii="Arial MT"/>
                                  <w:spacing w:val="-2"/>
                                  <w:w w:val="85"/>
                                  <w:sz w:val="14"/>
                                </w:rPr>
                                <w:t>Jharkhand</w:t>
                              </w:r>
                              <w:r>
                                <w:rPr>
                                  <w:rFonts w:ascii="Arial MT"/>
                                  <w:spacing w:val="40"/>
                                  <w:sz w:val="14"/>
                                </w:rPr>
                                <w:t> </w:t>
                              </w:r>
                              <w:r>
                                <w:rPr>
                                  <w:rFonts w:ascii="Arial MT"/>
                                  <w:spacing w:val="-2"/>
                                  <w:w w:val="90"/>
                                  <w:sz w:val="14"/>
                                </w:rPr>
                                <w:t>Manipur</w:t>
                              </w:r>
                              <w:r>
                                <w:rPr>
                                  <w:rFonts w:ascii="Arial MT"/>
                                  <w:spacing w:val="40"/>
                                  <w:sz w:val="14"/>
                                </w:rPr>
                                <w:t> </w:t>
                              </w:r>
                              <w:r>
                                <w:rPr>
                                  <w:rFonts w:ascii="Arial MT"/>
                                  <w:spacing w:val="-2"/>
                                  <w:w w:val="80"/>
                                  <w:sz w:val="14"/>
                                </w:rPr>
                                <w:t>Meghalaya</w:t>
                              </w:r>
                            </w:p>
                            <w:p>
                              <w:pPr>
                                <w:spacing w:line="218" w:lineRule="auto" w:before="2"/>
                                <w:ind w:left="351" w:right="18" w:firstLine="242"/>
                                <w:jc w:val="right"/>
                                <w:rPr>
                                  <w:rFonts w:ascii="Arial MT"/>
                                  <w:sz w:val="14"/>
                                </w:rPr>
                              </w:pPr>
                              <w:r>
                                <w:rPr>
                                  <w:rFonts w:ascii="Arial MT"/>
                                  <w:spacing w:val="-10"/>
                                  <w:w w:val="90"/>
                                  <w:sz w:val="14"/>
                                </w:rPr>
                                <w:t>J</w:t>
                              </w:r>
                              <w:r>
                                <w:rPr>
                                  <w:rFonts w:ascii="Arial MT"/>
                                  <w:spacing w:val="-7"/>
                                  <w:sz w:val="14"/>
                                </w:rPr>
                                <w:t> </w:t>
                              </w:r>
                              <w:r>
                                <w:rPr>
                                  <w:rFonts w:ascii="Arial MT"/>
                                  <w:spacing w:val="-10"/>
                                  <w:w w:val="90"/>
                                  <w:sz w:val="14"/>
                                </w:rPr>
                                <w:t>&amp;</w:t>
                              </w:r>
                              <w:r>
                                <w:rPr>
                                  <w:rFonts w:ascii="Arial MT"/>
                                  <w:spacing w:val="-7"/>
                                  <w:sz w:val="14"/>
                                </w:rPr>
                                <w:t> </w:t>
                              </w:r>
                              <w:r>
                                <w:rPr>
                                  <w:rFonts w:ascii="Arial MT"/>
                                  <w:spacing w:val="-10"/>
                                  <w:w w:val="90"/>
                                  <w:sz w:val="14"/>
                                </w:rPr>
                                <w:t>K</w:t>
                              </w:r>
                              <w:r>
                                <w:rPr>
                                  <w:rFonts w:ascii="Arial MT"/>
                                  <w:spacing w:val="40"/>
                                  <w:sz w:val="14"/>
                                </w:rPr>
                                <w:t> </w:t>
                              </w:r>
                              <w:r>
                                <w:rPr>
                                  <w:rFonts w:ascii="Arial MT"/>
                                  <w:spacing w:val="-4"/>
                                  <w:w w:val="90"/>
                                  <w:sz w:val="14"/>
                                </w:rPr>
                                <w:t>Goa</w:t>
                              </w:r>
                              <w:r>
                                <w:rPr>
                                  <w:rFonts w:ascii="Arial MT"/>
                                  <w:spacing w:val="40"/>
                                  <w:sz w:val="14"/>
                                </w:rPr>
                                <w:t> </w:t>
                              </w:r>
                              <w:r>
                                <w:rPr>
                                  <w:rFonts w:ascii="Arial MT"/>
                                  <w:spacing w:val="-2"/>
                                  <w:w w:val="80"/>
                                  <w:sz w:val="14"/>
                                </w:rPr>
                                <w:t>Arunachal</w:t>
                              </w:r>
                              <w:r>
                                <w:rPr>
                                  <w:rFonts w:ascii="Arial MT"/>
                                  <w:spacing w:val="40"/>
                                  <w:sz w:val="14"/>
                                </w:rPr>
                                <w:t> </w:t>
                              </w:r>
                              <w:r>
                                <w:rPr>
                                  <w:rFonts w:ascii="Arial MT"/>
                                  <w:spacing w:val="-2"/>
                                  <w:w w:val="85"/>
                                  <w:sz w:val="14"/>
                                </w:rPr>
                                <w:t>Nagaland</w:t>
                              </w:r>
                              <w:r>
                                <w:rPr>
                                  <w:rFonts w:ascii="Arial MT"/>
                                  <w:spacing w:val="40"/>
                                  <w:sz w:val="14"/>
                                </w:rPr>
                                <w:t> </w:t>
                              </w:r>
                              <w:r>
                                <w:rPr>
                                  <w:rFonts w:ascii="Arial MT"/>
                                  <w:spacing w:val="-2"/>
                                  <w:w w:val="90"/>
                                  <w:sz w:val="14"/>
                                </w:rPr>
                                <w:t>Tripura</w:t>
                              </w:r>
                              <w:r>
                                <w:rPr>
                                  <w:rFonts w:ascii="Arial MT"/>
                                  <w:spacing w:val="40"/>
                                  <w:sz w:val="14"/>
                                </w:rPr>
                                <w:t> </w:t>
                              </w:r>
                              <w:r>
                                <w:rPr>
                                  <w:rFonts w:ascii="Arial MT"/>
                                  <w:spacing w:val="-2"/>
                                  <w:w w:val="90"/>
                                  <w:sz w:val="14"/>
                                </w:rPr>
                                <w:t>Sikkim</w:t>
                              </w:r>
                            </w:p>
                          </w:txbxContent>
                        </wps:txbx>
                        <wps:bodyPr wrap="square" lIns="0" tIns="0" rIns="0" bIns="0" rtlCol="0">
                          <a:noAutofit/>
                        </wps:bodyPr>
                      </wps:wsp>
                      <wps:wsp>
                        <wps:cNvPr id="2052" name="Textbox 2052"/>
                        <wps:cNvSpPr txBox="1"/>
                        <wps:spPr>
                          <a:xfrm>
                            <a:off x="877307" y="2859689"/>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2053" name="Textbox 2053"/>
                        <wps:cNvSpPr txBox="1"/>
                        <wps:spPr>
                          <a:xfrm>
                            <a:off x="1452123" y="2859689"/>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200</w:t>
                              </w:r>
                            </w:p>
                          </w:txbxContent>
                        </wps:txbx>
                        <wps:bodyPr wrap="square" lIns="0" tIns="0" rIns="0" bIns="0" rtlCol="0">
                          <a:noAutofit/>
                        </wps:bodyPr>
                      </wps:wsp>
                      <wps:wsp>
                        <wps:cNvPr id="2054" name="Textbox 2054"/>
                        <wps:cNvSpPr txBox="1"/>
                        <wps:spPr>
                          <a:xfrm>
                            <a:off x="2025416" y="2859689"/>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400</w:t>
                              </w:r>
                            </w:p>
                          </w:txbxContent>
                        </wps:txbx>
                        <wps:bodyPr wrap="square" lIns="0" tIns="0" rIns="0" bIns="0" rtlCol="0">
                          <a:noAutofit/>
                        </wps:bodyPr>
                      </wps:wsp>
                      <wps:wsp>
                        <wps:cNvPr id="2055" name="Textbox 2055"/>
                        <wps:cNvSpPr txBox="1"/>
                        <wps:spPr>
                          <a:xfrm>
                            <a:off x="2598709" y="2859689"/>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600</w:t>
                              </w:r>
                            </w:p>
                          </w:txbxContent>
                        </wps:txbx>
                        <wps:bodyPr wrap="square" lIns="0" tIns="0" rIns="0" bIns="0" rtlCol="0">
                          <a:noAutofit/>
                        </wps:bodyPr>
                      </wps:wsp>
                      <wps:wsp>
                        <wps:cNvPr id="2056" name="Textbox 2056"/>
                        <wps:cNvSpPr txBox="1"/>
                        <wps:spPr>
                          <a:xfrm>
                            <a:off x="3172002" y="2859689"/>
                            <a:ext cx="13462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800</w:t>
                              </w:r>
                            </w:p>
                          </w:txbxContent>
                        </wps:txbx>
                        <wps:bodyPr wrap="square" lIns="0" tIns="0" rIns="0" bIns="0" rtlCol="0">
                          <a:noAutofit/>
                        </wps:bodyPr>
                      </wps:wsp>
                      <wps:wsp>
                        <wps:cNvPr id="2057" name="Textbox 2057"/>
                        <wps:cNvSpPr txBox="1"/>
                        <wps:spPr>
                          <a:xfrm>
                            <a:off x="3725023" y="2859689"/>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1000</w:t>
                              </w:r>
                            </w:p>
                          </w:txbxContent>
                        </wps:txbx>
                        <wps:bodyPr wrap="square" lIns="0" tIns="0" rIns="0" bIns="0" rtlCol="0">
                          <a:noAutofit/>
                        </wps:bodyPr>
                      </wps:wsp>
                      <wps:wsp>
                        <wps:cNvPr id="2058" name="Textbox 2058"/>
                        <wps:cNvSpPr txBox="1"/>
                        <wps:spPr>
                          <a:xfrm>
                            <a:off x="4298316" y="2859689"/>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1200</w:t>
                              </w:r>
                            </w:p>
                          </w:txbxContent>
                        </wps:txbx>
                        <wps:bodyPr wrap="square" lIns="0" tIns="0" rIns="0" bIns="0" rtlCol="0">
                          <a:noAutofit/>
                        </wps:bodyPr>
                      </wps:wsp>
                      <wps:wsp>
                        <wps:cNvPr id="2059" name="Textbox 2059"/>
                        <wps:cNvSpPr txBox="1"/>
                        <wps:spPr>
                          <a:xfrm>
                            <a:off x="4871609" y="2859689"/>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1400</w:t>
                              </w:r>
                            </w:p>
                          </w:txbxContent>
                        </wps:txbx>
                        <wps:bodyPr wrap="square" lIns="0" tIns="0" rIns="0" bIns="0" rtlCol="0">
                          <a:noAutofit/>
                        </wps:bodyPr>
                      </wps:wsp>
                    </wpg:wgp>
                  </a:graphicData>
                </a:graphic>
              </wp:anchor>
            </w:drawing>
          </mc:Choice>
          <mc:Fallback>
            <w:pict>
              <v:group style="position:absolute;margin-left:90.814941pt;margin-top:5.551172pt;width:415pt;height:241.7pt;mso-position-horizontal-relative:page;mso-position-vertical-relative:paragraph;z-index:-15591936;mso-wrap-distance-left:0;mso-wrap-distance-right:0" id="docshapegroup2007" coordorigin="1816,111" coordsize="8300,4834">
                <v:shape style="position:absolute;left:1816;top:111;width:8300;height:4834" id="docshape2008" coordorigin="1816,111" coordsize="8300,4834" path="m10116,111l10106,111,10106,122,10106,4935,10106,4940,10106,4941,1821,4941,1821,4940,1826,4940,10106,4940,10106,4935,1826,4935,1821,4935,1826,4935,1826,122,10106,122,10106,111,1816,111,1816,117,1816,121,1816,4935,1816,4941,1816,4945,10116,4945,10116,4941,10111,4941,10111,4940,10116,4940,10116,4935,10111,4935,10116,4935,10116,122,10116,121,10116,117,10116,117,10116,111xe" filled="true" fillcolor="#000000" stroked="false">
                  <v:path arrowok="t"/>
                  <v:fill type="solid"/>
                </v:shape>
                <v:shape style="position:absolute;left:3224;top:244;width:6438;height:4248" id="docshape2009" coordorigin="3225,244" coordsize="6438,4248" path="m9662,4481l3236,4481,3236,244,3225,244,3225,4492,3236,4492,9662,4492,9662,4481xe" filled="true" fillcolor="#99989a" stroked="false">
                  <v:path arrowok="t"/>
                  <v:fill type="solid"/>
                </v:shape>
                <v:rect style="position:absolute;left:3229;top:4053;width:21;height:138" id="docshape2010" filled="true" fillcolor="#f2f2f2" stroked="false">
                  <v:fill type="solid"/>
                </v:rect>
                <v:rect style="position:absolute;left:3229;top:3905;width:71;height:148" id="docshape2011" filled="true" fillcolor="#ccc8cc" stroked="false">
                  <v:fill type="solid"/>
                </v:rect>
                <v:rect style="position:absolute;left:3229;top:3757;width:121;height:148" id="docshape2012" filled="true" fillcolor="#8e898b" stroked="false">
                  <v:fill type="solid"/>
                </v:rect>
                <v:rect style="position:absolute;left:3229;top:3609;width:182;height:148" id="docshape2013" filled="true" fillcolor="#000000" stroked="false">
                  <v:fill type="solid"/>
                </v:rect>
                <v:rect style="position:absolute;left:3229;top:3461;width:222;height:148" id="docshape2014" filled="true" fillcolor="#3ca6e6" stroked="false">
                  <v:fill type="solid"/>
                </v:rect>
                <v:rect style="position:absolute;left:3229;top:3313;width:353;height:148" id="docshape2015" filled="true" fillcolor="#bd9495" stroked="false">
                  <v:fill type="solid"/>
                </v:rect>
                <v:rect style="position:absolute;left:3229;top:3028;width:373;height:148" id="docshape2016" filled="true" fillcolor="#877b70" stroked="false">
                  <v:fill type="solid"/>
                </v:rect>
                <v:rect style="position:absolute;left:3229;top:2880;width:514;height:148" id="docshape2017" filled="true" fillcolor="#f1ec1b" stroked="false">
                  <v:fill type="solid"/>
                </v:rect>
                <v:rect style="position:absolute;left:3229;top:2732;width:736;height:148" id="docshape2018" filled="true" fillcolor="#dba379" stroked="false">
                  <v:fill type="solid"/>
                </v:rect>
                <v:rect style="position:absolute;left:3229;top:2584;width:766;height:148" id="docshape2019" filled="true" fillcolor="#b5052d" stroked="false">
                  <v:fill type="solid"/>
                </v:rect>
                <v:rect style="position:absolute;left:3229;top:2436;width:827;height:148" id="docshape2020" filled="true" fillcolor="#911b2b" stroked="false">
                  <v:fill type="solid"/>
                </v:rect>
                <v:rect style="position:absolute;left:3229;top:2299;width:887;height:138" id="docshape2021" filled="true" fillcolor="#948399" stroked="false">
                  <v:fill type="solid"/>
                </v:rect>
                <v:rect style="position:absolute;left:3229;top:2151;width:968;height:148" id="docshape2022" filled="true" fillcolor="#332065" stroked="false">
                  <v:fill type="solid"/>
                </v:rect>
                <v:rect style="position:absolute;left:3229;top:2003;width:1038;height:148" id="docshape2023" filled="true" fillcolor="#a1abb4" stroked="false">
                  <v:fill type="solid"/>
                </v:rect>
                <v:rect style="position:absolute;left:3229;top:1855;width:1240;height:148" id="docshape2024" filled="true" fillcolor="#336273" stroked="false">
                  <v:fill type="solid"/>
                </v:rect>
                <v:rect style="position:absolute;left:3229;top:1707;width:1260;height:148" id="docshape2025" filled="true" fillcolor="#3d7db9" stroked="false">
                  <v:fill type="solid"/>
                </v:rect>
                <v:rect style="position:absolute;left:3229;top:1559;width:1310;height:148" id="docshape2026" filled="true" fillcolor="#3d619d" stroked="false">
                  <v:fill type="solid"/>
                </v:rect>
                <v:rect style="position:absolute;left:3229;top:1422;width:1471;height:138" id="docshape2027" filled="true" fillcolor="#efd8c2" stroked="false">
                  <v:fill type="solid"/>
                </v:rect>
                <v:rect style="position:absolute;left:3229;top:1274;width:1633;height:148" id="docshape2028" filled="true" fillcolor="#dba379" stroked="false">
                  <v:fill type="solid"/>
                </v:rect>
                <v:rect style="position:absolute;left:3229;top:1126;width:2368;height:148" id="docshape2029" filled="true" fillcolor="#d0cade" stroked="false">
                  <v:fill type="solid"/>
                </v:rect>
                <v:rect style="position:absolute;left:3229;top:978;width:2559;height:148" id="docshape2030" filled="true" fillcolor="#998bb4" stroked="false">
                  <v:fill type="solid"/>
                </v:rect>
                <v:rect style="position:absolute;left:3229;top:830;width:2882;height:148" id="docshape2031" filled="true" fillcolor="#ccdea0" stroked="false">
                  <v:fill type="solid"/>
                </v:rect>
                <v:rect style="position:absolute;left:3229;top:682;width:2972;height:148" id="docshape2032" filled="true" fillcolor="#9cbf3b" stroked="false">
                  <v:fill type="solid"/>
                </v:rect>
                <v:rect style="position:absolute;left:3229;top:545;width:3647;height:138" id="docshape2033" filled="true" fillcolor="#2f7d41" stroked="false">
                  <v:fill type="solid"/>
                </v:rect>
                <v:rect style="position:absolute;left:3229;top:397;width:5461;height:148" id="docshape2034" filled="true" fillcolor="#f2e499" stroked="false">
                  <v:fill type="solid"/>
                </v:rect>
                <v:rect style="position:absolute;left:3229;top:249;width:6116;height:148" id="docshape2035" filled="true" fillcolor="#e3c626" stroked="false">
                  <v:fill type="solid"/>
                </v:rect>
                <v:shape style="position:absolute;left:3184;top:244;width:6477;height:4290" id="docshape2036" coordorigin="3185,244" coordsize="6477,4290" path="m9662,4481l9662,4481,3235,4481,3235,244,3225,244,3185,244,3185,254,3225,254,3225,392,3185,392,3185,402,3225,402,3225,540,3185,540,3185,550,3225,550,3225,678,3185,678,3185,688,3225,688,3225,826,3185,826,3185,836,3225,836,3225,974,3185,974,3185,984,3225,984,3225,1121,3185,1121,3185,1131,3225,1131,3225,1269,3185,1269,3185,1279,3225,1279,3225,1417,3185,1417,3185,1427,3225,1427,3225,1555,3185,1555,3185,1565,3225,1565,3225,1703,3185,1703,3185,1713,3225,1713,3225,1851,3185,1851,3185,1861,3225,1861,3225,1998,3185,1998,3185,2008,3225,2008,3225,2146,3185,2146,3185,2156,3225,2156,3225,2294,3185,2294,3185,2304,3225,2304,3225,2432,3185,2432,3185,2442,3225,2442,3225,2580,3185,2580,3185,2590,3225,2590,3225,2728,3185,2728,3185,2738,3225,2738,3225,2875,3185,2875,3185,2885,3225,2885,3225,3023,3185,3023,3185,3033,3225,3033,3225,3171,3185,3171,3185,3181,3225,3181,3225,3309,3185,3309,3185,3319,3225,3319,3225,3457,3185,3457,3185,3467,3225,3467,3225,3604,3185,3604,3185,3614,3225,3614,3225,3752,3185,3752,3185,3762,3225,3762,3225,3900,3185,3900,3185,3910,3225,3910,3225,4048,3185,4048,3185,4058,3225,4058,3225,4186,3185,4186,3185,4196,3225,4196,3225,4334,3185,4334,3185,4344,3225,4344,3225,4481,3185,4481,3185,4491,3225,4491,3225,4534,3235,4534,3235,4491,4142,4491,4142,4534,4152,4534,4152,4491,5059,4491,5059,4534,5069,4534,5069,4491,5975,4491,5975,4534,5985,4534,5985,4491,6902,4491,6902,4534,6912,4534,6912,4491,7819,4491,7819,4534,7829,4534,7829,4491,8735,4491,8735,4534,8745,4534,8745,4491,9652,4491,9652,4534,9662,4534,9662,4481xe" filled="true" fillcolor="#000000" stroked="false">
                  <v:path arrowok="t"/>
                  <v:fill type="solid"/>
                </v:shape>
                <v:shape style="position:absolute;left:2175;top:221;width:888;height:4277" type="#_x0000_t202" id="docshape2037" filled="false" stroked="false">
                  <v:textbox inset="0,0,0,0">
                    <w:txbxContent>
                      <w:p>
                        <w:pPr>
                          <w:spacing w:line="218" w:lineRule="auto" w:before="11"/>
                          <w:ind w:left="0" w:right="18" w:firstLine="159"/>
                          <w:jc w:val="right"/>
                          <w:rPr>
                            <w:rFonts w:ascii="Arial MT"/>
                            <w:sz w:val="14"/>
                          </w:rPr>
                        </w:pPr>
                        <w:r>
                          <w:rPr>
                            <w:rFonts w:ascii="Arial MT"/>
                            <w:spacing w:val="-4"/>
                            <w:w w:val="85"/>
                            <w:sz w:val="14"/>
                          </w:rPr>
                          <w:t>Uttar</w:t>
                        </w:r>
                        <w:r>
                          <w:rPr>
                            <w:rFonts w:ascii="Arial MT"/>
                            <w:spacing w:val="-7"/>
                            <w:sz w:val="14"/>
                          </w:rPr>
                          <w:t> </w:t>
                        </w:r>
                        <w:r>
                          <w:rPr>
                            <w:rFonts w:ascii="Arial MT"/>
                            <w:spacing w:val="-4"/>
                            <w:w w:val="85"/>
                            <w:sz w:val="14"/>
                          </w:rPr>
                          <w:t>Pradesh</w:t>
                        </w:r>
                        <w:r>
                          <w:rPr>
                            <w:rFonts w:ascii="Arial MT"/>
                            <w:spacing w:val="40"/>
                            <w:sz w:val="14"/>
                          </w:rPr>
                          <w:t> </w:t>
                        </w:r>
                        <w:r>
                          <w:rPr>
                            <w:rFonts w:ascii="Arial MT"/>
                            <w:spacing w:val="-2"/>
                            <w:w w:val="90"/>
                            <w:sz w:val="14"/>
                          </w:rPr>
                          <w:t>Maharashtra</w:t>
                        </w:r>
                        <w:r>
                          <w:rPr>
                            <w:rFonts w:ascii="Arial MT"/>
                            <w:spacing w:val="40"/>
                            <w:sz w:val="14"/>
                          </w:rPr>
                          <w:t> </w:t>
                        </w:r>
                        <w:r>
                          <w:rPr>
                            <w:rFonts w:ascii="Arial MT"/>
                            <w:w w:val="80"/>
                            <w:sz w:val="14"/>
                          </w:rPr>
                          <w:t>Madhya</w:t>
                        </w:r>
                        <w:r>
                          <w:rPr>
                            <w:rFonts w:ascii="Arial MT"/>
                            <w:spacing w:val="2"/>
                            <w:sz w:val="14"/>
                          </w:rPr>
                          <w:t> </w:t>
                        </w:r>
                        <w:r>
                          <w:rPr>
                            <w:rFonts w:ascii="Arial MT"/>
                            <w:spacing w:val="-5"/>
                            <w:w w:val="85"/>
                            <w:sz w:val="14"/>
                          </w:rPr>
                          <w:t>Pradesh</w:t>
                        </w:r>
                      </w:p>
                      <w:p>
                        <w:pPr>
                          <w:spacing w:line="218" w:lineRule="auto" w:before="2"/>
                          <w:ind w:left="293" w:right="18" w:firstLine="50"/>
                          <w:jc w:val="right"/>
                          <w:rPr>
                            <w:rFonts w:ascii="Arial MT"/>
                            <w:sz w:val="14"/>
                          </w:rPr>
                        </w:pPr>
                        <w:r>
                          <w:rPr>
                            <w:rFonts w:ascii="Arial MT"/>
                            <w:spacing w:val="-2"/>
                            <w:w w:val="80"/>
                            <w:sz w:val="14"/>
                          </w:rPr>
                          <w:t>Karnataka</w:t>
                        </w:r>
                        <w:r>
                          <w:rPr>
                            <w:rFonts w:ascii="Arial MT"/>
                            <w:spacing w:val="40"/>
                            <w:sz w:val="14"/>
                          </w:rPr>
                          <w:t> </w:t>
                        </w:r>
                        <w:r>
                          <w:rPr>
                            <w:rFonts w:ascii="Arial MT"/>
                            <w:spacing w:val="-2"/>
                            <w:w w:val="90"/>
                            <w:sz w:val="14"/>
                          </w:rPr>
                          <w:t>Rajasthan</w:t>
                        </w:r>
                        <w:r>
                          <w:rPr>
                            <w:rFonts w:ascii="Arial MT"/>
                            <w:spacing w:val="40"/>
                            <w:sz w:val="14"/>
                          </w:rPr>
                          <w:t> </w:t>
                        </w:r>
                        <w:r>
                          <w:rPr>
                            <w:rFonts w:ascii="Arial MT"/>
                            <w:spacing w:val="-2"/>
                            <w:w w:val="90"/>
                            <w:sz w:val="14"/>
                          </w:rPr>
                          <w:t>Kerala</w:t>
                        </w:r>
                        <w:r>
                          <w:rPr>
                            <w:rFonts w:ascii="Arial MT"/>
                            <w:spacing w:val="40"/>
                            <w:sz w:val="14"/>
                          </w:rPr>
                          <w:t> </w:t>
                        </w:r>
                        <w:r>
                          <w:rPr>
                            <w:rFonts w:ascii="Arial MT"/>
                            <w:spacing w:val="-4"/>
                            <w:w w:val="80"/>
                            <w:sz w:val="14"/>
                          </w:rPr>
                          <w:t>Tamil</w:t>
                        </w:r>
                        <w:r>
                          <w:rPr>
                            <w:rFonts w:ascii="Arial MT"/>
                            <w:spacing w:val="1"/>
                            <w:sz w:val="14"/>
                          </w:rPr>
                          <w:t> </w:t>
                        </w:r>
                        <w:r>
                          <w:rPr>
                            <w:rFonts w:ascii="Arial MT"/>
                            <w:spacing w:val="-4"/>
                            <w:w w:val="85"/>
                            <w:sz w:val="14"/>
                          </w:rPr>
                          <w:t>Nadu</w:t>
                        </w:r>
                      </w:p>
                      <w:p>
                        <w:pPr>
                          <w:spacing w:line="144" w:lineRule="exact" w:before="0"/>
                          <w:ind w:left="0" w:right="18" w:firstLine="0"/>
                          <w:jc w:val="right"/>
                          <w:rPr>
                            <w:rFonts w:ascii="Arial MT"/>
                            <w:sz w:val="14"/>
                          </w:rPr>
                        </w:pPr>
                        <w:r>
                          <w:rPr>
                            <w:rFonts w:ascii="Arial MT"/>
                            <w:w w:val="80"/>
                            <w:sz w:val="14"/>
                          </w:rPr>
                          <w:t>West</w:t>
                        </w:r>
                        <w:r>
                          <w:rPr>
                            <w:rFonts w:ascii="Arial MT"/>
                            <w:spacing w:val="-4"/>
                            <w:sz w:val="14"/>
                          </w:rPr>
                          <w:t> </w:t>
                        </w:r>
                        <w:r>
                          <w:rPr>
                            <w:rFonts w:ascii="Arial MT"/>
                            <w:spacing w:val="-2"/>
                            <w:w w:val="85"/>
                            <w:sz w:val="14"/>
                          </w:rPr>
                          <w:t>Bengal</w:t>
                        </w:r>
                      </w:p>
                      <w:p>
                        <w:pPr>
                          <w:spacing w:line="218" w:lineRule="auto" w:before="5"/>
                          <w:ind w:left="536" w:right="18" w:firstLine="70"/>
                          <w:jc w:val="right"/>
                          <w:rPr>
                            <w:rFonts w:ascii="Arial MT"/>
                            <w:sz w:val="14"/>
                          </w:rPr>
                        </w:pPr>
                        <w:r>
                          <w:rPr>
                            <w:rFonts w:ascii="Arial MT"/>
                            <w:spacing w:val="-4"/>
                            <w:w w:val="80"/>
                            <w:sz w:val="14"/>
                          </w:rPr>
                          <w:t>Delhi</w:t>
                        </w:r>
                        <w:r>
                          <w:rPr>
                            <w:rFonts w:ascii="Arial MT"/>
                            <w:spacing w:val="40"/>
                            <w:sz w:val="14"/>
                          </w:rPr>
                          <w:t> </w:t>
                        </w:r>
                        <w:r>
                          <w:rPr>
                            <w:rFonts w:ascii="Arial MT"/>
                            <w:spacing w:val="-2"/>
                            <w:w w:val="80"/>
                            <w:sz w:val="14"/>
                          </w:rPr>
                          <w:t>Orissa</w:t>
                        </w:r>
                      </w:p>
                      <w:p>
                        <w:pPr>
                          <w:spacing w:line="143" w:lineRule="exact" w:before="0"/>
                          <w:ind w:left="0" w:right="18" w:firstLine="0"/>
                          <w:jc w:val="right"/>
                          <w:rPr>
                            <w:rFonts w:ascii="Arial MT"/>
                            <w:sz w:val="14"/>
                          </w:rPr>
                        </w:pPr>
                        <w:r>
                          <w:rPr>
                            <w:rFonts w:ascii="Arial MT"/>
                            <w:w w:val="80"/>
                            <w:sz w:val="14"/>
                          </w:rPr>
                          <w:t>Andhra</w:t>
                        </w:r>
                        <w:r>
                          <w:rPr>
                            <w:rFonts w:ascii="Arial MT"/>
                            <w:spacing w:val="-3"/>
                            <w:sz w:val="14"/>
                          </w:rPr>
                          <w:t> </w:t>
                        </w:r>
                        <w:r>
                          <w:rPr>
                            <w:rFonts w:ascii="Arial MT"/>
                            <w:spacing w:val="-2"/>
                            <w:w w:val="90"/>
                            <w:sz w:val="14"/>
                          </w:rPr>
                          <w:t>Pradesh</w:t>
                        </w:r>
                      </w:p>
                      <w:p>
                        <w:pPr>
                          <w:spacing w:line="218" w:lineRule="auto" w:before="4"/>
                          <w:ind w:left="217" w:right="18" w:firstLine="274"/>
                          <w:jc w:val="right"/>
                          <w:rPr>
                            <w:rFonts w:ascii="Arial MT"/>
                            <w:sz w:val="14"/>
                          </w:rPr>
                        </w:pPr>
                        <w:r>
                          <w:rPr>
                            <w:rFonts w:ascii="Arial MT"/>
                            <w:spacing w:val="-2"/>
                            <w:w w:val="80"/>
                            <w:sz w:val="14"/>
                          </w:rPr>
                          <w:t>Gujarat</w:t>
                        </w:r>
                        <w:r>
                          <w:rPr>
                            <w:rFonts w:ascii="Arial MT"/>
                            <w:spacing w:val="40"/>
                            <w:sz w:val="14"/>
                          </w:rPr>
                          <w:t> </w:t>
                        </w:r>
                        <w:r>
                          <w:rPr>
                            <w:rFonts w:ascii="Arial MT"/>
                            <w:spacing w:val="-2"/>
                            <w:w w:val="90"/>
                            <w:sz w:val="14"/>
                          </w:rPr>
                          <w:t>Punjab</w:t>
                        </w:r>
                        <w:r>
                          <w:rPr>
                            <w:rFonts w:ascii="Arial MT"/>
                            <w:spacing w:val="40"/>
                            <w:sz w:val="14"/>
                          </w:rPr>
                          <w:t> </w:t>
                        </w:r>
                        <w:r>
                          <w:rPr>
                            <w:rFonts w:ascii="Arial MT"/>
                            <w:spacing w:val="-2"/>
                            <w:w w:val="90"/>
                            <w:sz w:val="14"/>
                          </w:rPr>
                          <w:t>Haryana</w:t>
                        </w:r>
                        <w:r>
                          <w:rPr>
                            <w:rFonts w:ascii="Arial MT"/>
                            <w:spacing w:val="40"/>
                            <w:sz w:val="14"/>
                          </w:rPr>
                          <w:t> </w:t>
                        </w:r>
                        <w:r>
                          <w:rPr>
                            <w:rFonts w:ascii="Arial MT"/>
                            <w:spacing w:val="-2"/>
                            <w:w w:val="80"/>
                            <w:sz w:val="14"/>
                          </w:rPr>
                          <w:t>Chhattisgarh</w:t>
                        </w:r>
                      </w:p>
                      <w:p>
                        <w:pPr>
                          <w:spacing w:line="218" w:lineRule="auto" w:before="2"/>
                          <w:ind w:left="274" w:right="18" w:firstLine="242"/>
                          <w:jc w:val="both"/>
                          <w:rPr>
                            <w:rFonts w:ascii="Arial MT"/>
                            <w:sz w:val="14"/>
                          </w:rPr>
                        </w:pPr>
                        <w:r>
                          <w:rPr>
                            <w:rFonts w:ascii="Arial MT"/>
                            <w:spacing w:val="-2"/>
                            <w:w w:val="80"/>
                            <w:sz w:val="14"/>
                          </w:rPr>
                          <w:t>Assam</w:t>
                        </w:r>
                        <w:r>
                          <w:rPr>
                            <w:rFonts w:ascii="Arial MT"/>
                            <w:spacing w:val="40"/>
                            <w:sz w:val="14"/>
                          </w:rPr>
                          <w:t> </w:t>
                        </w:r>
                        <w:r>
                          <w:rPr>
                            <w:rFonts w:ascii="Arial MT"/>
                            <w:spacing w:val="-2"/>
                            <w:w w:val="80"/>
                            <w:sz w:val="14"/>
                          </w:rPr>
                          <w:t>Uttaranchal</w:t>
                        </w:r>
                        <w:r>
                          <w:rPr>
                            <w:rFonts w:ascii="Arial MT"/>
                            <w:spacing w:val="40"/>
                            <w:sz w:val="14"/>
                          </w:rPr>
                          <w:t> </w:t>
                        </w:r>
                        <w:r>
                          <w:rPr>
                            <w:rFonts w:ascii="Arial MT"/>
                            <w:spacing w:val="-2"/>
                            <w:w w:val="80"/>
                            <w:sz w:val="14"/>
                          </w:rPr>
                          <w:t>Chandigarh</w:t>
                        </w:r>
                      </w:p>
                      <w:p>
                        <w:pPr>
                          <w:spacing w:line="218" w:lineRule="auto" w:before="2"/>
                          <w:ind w:left="306" w:right="18" w:firstLine="293"/>
                          <w:jc w:val="right"/>
                          <w:rPr>
                            <w:rFonts w:ascii="Arial MT"/>
                            <w:sz w:val="14"/>
                          </w:rPr>
                        </w:pPr>
                        <w:r>
                          <w:rPr>
                            <w:rFonts w:ascii="Arial MT"/>
                            <w:spacing w:val="-2"/>
                            <w:w w:val="80"/>
                            <w:sz w:val="14"/>
                          </w:rPr>
                          <w:t>Bihar</w:t>
                        </w:r>
                        <w:r>
                          <w:rPr>
                            <w:rFonts w:ascii="Arial MT"/>
                            <w:spacing w:val="40"/>
                            <w:sz w:val="14"/>
                          </w:rPr>
                          <w:t> </w:t>
                        </w:r>
                        <w:r>
                          <w:rPr>
                            <w:rFonts w:ascii="Arial MT"/>
                            <w:spacing w:val="-2"/>
                            <w:w w:val="90"/>
                            <w:sz w:val="14"/>
                          </w:rPr>
                          <w:t>Himachal</w:t>
                        </w:r>
                        <w:r>
                          <w:rPr>
                            <w:rFonts w:ascii="Arial MT"/>
                            <w:spacing w:val="40"/>
                            <w:sz w:val="14"/>
                          </w:rPr>
                          <w:t> </w:t>
                        </w:r>
                        <w:r>
                          <w:rPr>
                            <w:rFonts w:ascii="Arial MT"/>
                            <w:spacing w:val="-2"/>
                            <w:w w:val="85"/>
                            <w:sz w:val="14"/>
                          </w:rPr>
                          <w:t>Jharkhand</w:t>
                        </w:r>
                        <w:r>
                          <w:rPr>
                            <w:rFonts w:ascii="Arial MT"/>
                            <w:spacing w:val="40"/>
                            <w:sz w:val="14"/>
                          </w:rPr>
                          <w:t> </w:t>
                        </w:r>
                        <w:r>
                          <w:rPr>
                            <w:rFonts w:ascii="Arial MT"/>
                            <w:spacing w:val="-2"/>
                            <w:w w:val="90"/>
                            <w:sz w:val="14"/>
                          </w:rPr>
                          <w:t>Manipur</w:t>
                        </w:r>
                        <w:r>
                          <w:rPr>
                            <w:rFonts w:ascii="Arial MT"/>
                            <w:spacing w:val="40"/>
                            <w:sz w:val="14"/>
                          </w:rPr>
                          <w:t> </w:t>
                        </w:r>
                        <w:r>
                          <w:rPr>
                            <w:rFonts w:ascii="Arial MT"/>
                            <w:spacing w:val="-2"/>
                            <w:w w:val="80"/>
                            <w:sz w:val="14"/>
                          </w:rPr>
                          <w:t>Meghalaya</w:t>
                        </w:r>
                      </w:p>
                      <w:p>
                        <w:pPr>
                          <w:spacing w:line="218" w:lineRule="auto" w:before="2"/>
                          <w:ind w:left="351" w:right="18" w:firstLine="242"/>
                          <w:jc w:val="right"/>
                          <w:rPr>
                            <w:rFonts w:ascii="Arial MT"/>
                            <w:sz w:val="14"/>
                          </w:rPr>
                        </w:pPr>
                        <w:r>
                          <w:rPr>
                            <w:rFonts w:ascii="Arial MT"/>
                            <w:spacing w:val="-10"/>
                            <w:w w:val="90"/>
                            <w:sz w:val="14"/>
                          </w:rPr>
                          <w:t>J</w:t>
                        </w:r>
                        <w:r>
                          <w:rPr>
                            <w:rFonts w:ascii="Arial MT"/>
                            <w:spacing w:val="-7"/>
                            <w:sz w:val="14"/>
                          </w:rPr>
                          <w:t> </w:t>
                        </w:r>
                        <w:r>
                          <w:rPr>
                            <w:rFonts w:ascii="Arial MT"/>
                            <w:spacing w:val="-10"/>
                            <w:w w:val="90"/>
                            <w:sz w:val="14"/>
                          </w:rPr>
                          <w:t>&amp;</w:t>
                        </w:r>
                        <w:r>
                          <w:rPr>
                            <w:rFonts w:ascii="Arial MT"/>
                            <w:spacing w:val="-7"/>
                            <w:sz w:val="14"/>
                          </w:rPr>
                          <w:t> </w:t>
                        </w:r>
                        <w:r>
                          <w:rPr>
                            <w:rFonts w:ascii="Arial MT"/>
                            <w:spacing w:val="-10"/>
                            <w:w w:val="90"/>
                            <w:sz w:val="14"/>
                          </w:rPr>
                          <w:t>K</w:t>
                        </w:r>
                        <w:r>
                          <w:rPr>
                            <w:rFonts w:ascii="Arial MT"/>
                            <w:spacing w:val="40"/>
                            <w:sz w:val="14"/>
                          </w:rPr>
                          <w:t> </w:t>
                        </w:r>
                        <w:r>
                          <w:rPr>
                            <w:rFonts w:ascii="Arial MT"/>
                            <w:spacing w:val="-4"/>
                            <w:w w:val="90"/>
                            <w:sz w:val="14"/>
                          </w:rPr>
                          <w:t>Goa</w:t>
                        </w:r>
                        <w:r>
                          <w:rPr>
                            <w:rFonts w:ascii="Arial MT"/>
                            <w:spacing w:val="40"/>
                            <w:sz w:val="14"/>
                          </w:rPr>
                          <w:t> </w:t>
                        </w:r>
                        <w:r>
                          <w:rPr>
                            <w:rFonts w:ascii="Arial MT"/>
                            <w:spacing w:val="-2"/>
                            <w:w w:val="80"/>
                            <w:sz w:val="14"/>
                          </w:rPr>
                          <w:t>Arunachal</w:t>
                        </w:r>
                        <w:r>
                          <w:rPr>
                            <w:rFonts w:ascii="Arial MT"/>
                            <w:spacing w:val="40"/>
                            <w:sz w:val="14"/>
                          </w:rPr>
                          <w:t> </w:t>
                        </w:r>
                        <w:r>
                          <w:rPr>
                            <w:rFonts w:ascii="Arial MT"/>
                            <w:spacing w:val="-2"/>
                            <w:w w:val="85"/>
                            <w:sz w:val="14"/>
                          </w:rPr>
                          <w:t>Nagaland</w:t>
                        </w:r>
                        <w:r>
                          <w:rPr>
                            <w:rFonts w:ascii="Arial MT"/>
                            <w:spacing w:val="40"/>
                            <w:sz w:val="14"/>
                          </w:rPr>
                          <w:t> </w:t>
                        </w:r>
                        <w:r>
                          <w:rPr>
                            <w:rFonts w:ascii="Arial MT"/>
                            <w:spacing w:val="-2"/>
                            <w:w w:val="90"/>
                            <w:sz w:val="14"/>
                          </w:rPr>
                          <w:t>Tripura</w:t>
                        </w:r>
                        <w:r>
                          <w:rPr>
                            <w:rFonts w:ascii="Arial MT"/>
                            <w:spacing w:val="40"/>
                            <w:sz w:val="14"/>
                          </w:rPr>
                          <w:t> </w:t>
                        </w:r>
                        <w:r>
                          <w:rPr>
                            <w:rFonts w:ascii="Arial MT"/>
                            <w:spacing w:val="-2"/>
                            <w:w w:val="90"/>
                            <w:sz w:val="14"/>
                          </w:rPr>
                          <w:t>Sikkim</w:t>
                        </w:r>
                      </w:p>
                    </w:txbxContent>
                  </v:textbox>
                  <w10:wrap type="none"/>
                </v:shape>
                <v:shape style="position:absolute;left:3197;top:4614;width:84;height:161" type="#_x0000_t202" id="docshape2038"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4103;top:4614;width:212;height:161" type="#_x0000_t202" id="docshape2039" filled="false" stroked="false">
                  <v:textbox inset="0,0,0,0">
                    <w:txbxContent>
                      <w:p>
                        <w:pPr>
                          <w:spacing w:line="161" w:lineRule="exact" w:before="0"/>
                          <w:ind w:left="0" w:right="0" w:firstLine="0"/>
                          <w:jc w:val="left"/>
                          <w:rPr>
                            <w:rFonts w:ascii="Arial MT"/>
                            <w:sz w:val="14"/>
                          </w:rPr>
                        </w:pPr>
                        <w:r>
                          <w:rPr>
                            <w:rFonts w:ascii="Arial MT"/>
                            <w:spacing w:val="-5"/>
                            <w:w w:val="90"/>
                            <w:sz w:val="14"/>
                          </w:rPr>
                          <w:t>200</w:t>
                        </w:r>
                      </w:p>
                    </w:txbxContent>
                  </v:textbox>
                  <w10:wrap type="none"/>
                </v:shape>
                <v:shape style="position:absolute;left:5005;top:4614;width:212;height:161" type="#_x0000_t202" id="docshape2040" filled="false" stroked="false">
                  <v:textbox inset="0,0,0,0">
                    <w:txbxContent>
                      <w:p>
                        <w:pPr>
                          <w:spacing w:line="161" w:lineRule="exact" w:before="0"/>
                          <w:ind w:left="0" w:right="0" w:firstLine="0"/>
                          <w:jc w:val="left"/>
                          <w:rPr>
                            <w:rFonts w:ascii="Arial MT"/>
                            <w:sz w:val="14"/>
                          </w:rPr>
                        </w:pPr>
                        <w:r>
                          <w:rPr>
                            <w:rFonts w:ascii="Arial MT"/>
                            <w:spacing w:val="-5"/>
                            <w:w w:val="90"/>
                            <w:sz w:val="14"/>
                          </w:rPr>
                          <w:t>400</w:t>
                        </w:r>
                      </w:p>
                    </w:txbxContent>
                  </v:textbox>
                  <w10:wrap type="none"/>
                </v:shape>
                <v:shape style="position:absolute;left:5908;top:4614;width:212;height:161" type="#_x0000_t202" id="docshape2041" filled="false" stroked="false">
                  <v:textbox inset="0,0,0,0">
                    <w:txbxContent>
                      <w:p>
                        <w:pPr>
                          <w:spacing w:line="161" w:lineRule="exact" w:before="0"/>
                          <w:ind w:left="0" w:right="0" w:firstLine="0"/>
                          <w:jc w:val="left"/>
                          <w:rPr>
                            <w:rFonts w:ascii="Arial MT"/>
                            <w:sz w:val="14"/>
                          </w:rPr>
                        </w:pPr>
                        <w:r>
                          <w:rPr>
                            <w:rFonts w:ascii="Arial MT"/>
                            <w:spacing w:val="-5"/>
                            <w:w w:val="90"/>
                            <w:sz w:val="14"/>
                          </w:rPr>
                          <w:t>600</w:t>
                        </w:r>
                      </w:p>
                    </w:txbxContent>
                  </v:textbox>
                  <w10:wrap type="none"/>
                </v:shape>
                <v:shape style="position:absolute;left:6811;top:4614;width:212;height:161" type="#_x0000_t202" id="docshape2042" filled="false" stroked="false">
                  <v:textbox inset="0,0,0,0">
                    <w:txbxContent>
                      <w:p>
                        <w:pPr>
                          <w:spacing w:line="161" w:lineRule="exact" w:before="0"/>
                          <w:ind w:left="0" w:right="0" w:firstLine="0"/>
                          <w:jc w:val="left"/>
                          <w:rPr>
                            <w:rFonts w:ascii="Arial MT"/>
                            <w:sz w:val="14"/>
                          </w:rPr>
                        </w:pPr>
                        <w:r>
                          <w:rPr>
                            <w:rFonts w:ascii="Arial MT"/>
                            <w:spacing w:val="-5"/>
                            <w:w w:val="90"/>
                            <w:sz w:val="14"/>
                          </w:rPr>
                          <w:t>800</w:t>
                        </w:r>
                      </w:p>
                    </w:txbxContent>
                  </v:textbox>
                  <w10:wrap type="none"/>
                </v:shape>
                <v:shape style="position:absolute;left:7682;top:4614;width:276;height:161" type="#_x0000_t202" id="docshape2043" filled="false" stroked="false">
                  <v:textbox inset="0,0,0,0">
                    <w:txbxContent>
                      <w:p>
                        <w:pPr>
                          <w:spacing w:line="161" w:lineRule="exact" w:before="0"/>
                          <w:ind w:left="0" w:right="0" w:firstLine="0"/>
                          <w:jc w:val="left"/>
                          <w:rPr>
                            <w:rFonts w:ascii="Arial MT"/>
                            <w:sz w:val="14"/>
                          </w:rPr>
                        </w:pPr>
                        <w:r>
                          <w:rPr>
                            <w:rFonts w:ascii="Arial MT"/>
                            <w:spacing w:val="-4"/>
                            <w:w w:val="85"/>
                            <w:sz w:val="14"/>
                          </w:rPr>
                          <w:t>1000</w:t>
                        </w:r>
                      </w:p>
                    </w:txbxContent>
                  </v:textbox>
                  <w10:wrap type="none"/>
                </v:shape>
                <v:shape style="position:absolute;left:8585;top:4614;width:276;height:161" type="#_x0000_t202" id="docshape2044" filled="false" stroked="false">
                  <v:textbox inset="0,0,0,0">
                    <w:txbxContent>
                      <w:p>
                        <w:pPr>
                          <w:spacing w:line="161" w:lineRule="exact" w:before="0"/>
                          <w:ind w:left="0" w:right="0" w:firstLine="0"/>
                          <w:jc w:val="left"/>
                          <w:rPr>
                            <w:rFonts w:ascii="Arial MT"/>
                            <w:sz w:val="14"/>
                          </w:rPr>
                        </w:pPr>
                        <w:r>
                          <w:rPr>
                            <w:rFonts w:ascii="Arial MT"/>
                            <w:spacing w:val="-4"/>
                            <w:w w:val="85"/>
                            <w:sz w:val="14"/>
                          </w:rPr>
                          <w:t>1200</w:t>
                        </w:r>
                      </w:p>
                    </w:txbxContent>
                  </v:textbox>
                  <w10:wrap type="none"/>
                </v:shape>
                <v:shape style="position:absolute;left:9488;top:4614;width:276;height:161" type="#_x0000_t202" id="docshape2045" filled="false" stroked="false">
                  <v:textbox inset="0,0,0,0">
                    <w:txbxContent>
                      <w:p>
                        <w:pPr>
                          <w:spacing w:line="161" w:lineRule="exact" w:before="0"/>
                          <w:ind w:left="0" w:right="0" w:firstLine="0"/>
                          <w:jc w:val="left"/>
                          <w:rPr>
                            <w:rFonts w:ascii="Arial MT"/>
                            <w:sz w:val="14"/>
                          </w:rPr>
                        </w:pPr>
                        <w:r>
                          <w:rPr>
                            <w:rFonts w:ascii="Arial MT"/>
                            <w:spacing w:val="-4"/>
                            <w:w w:val="85"/>
                            <w:sz w:val="14"/>
                          </w:rPr>
                          <w:t>1400</w:t>
                        </w:r>
                      </w:p>
                    </w:txbxContent>
                  </v:textbox>
                  <w10:wrap type="none"/>
                </v:shape>
                <w10:wrap type="topAndBottom"/>
              </v:group>
            </w:pict>
          </mc:Fallback>
        </mc:AlternateContent>
      </w:r>
    </w:p>
    <w:p>
      <w:pPr>
        <w:spacing w:before="74"/>
        <w:ind w:left="1816" w:right="0" w:firstLine="0"/>
        <w:jc w:val="left"/>
        <w:rPr>
          <w:sz w:val="16"/>
        </w:rPr>
      </w:pPr>
      <w:r>
        <w:rPr>
          <w:i/>
          <w:spacing w:val="-4"/>
          <w:sz w:val="16"/>
        </w:rPr>
        <w:t>Source:</w:t>
      </w:r>
      <w:r>
        <w:rPr>
          <w:i/>
          <w:spacing w:val="-3"/>
          <w:sz w:val="16"/>
        </w:rPr>
        <w:t> </w:t>
      </w:r>
      <w:r>
        <w:rPr>
          <w:spacing w:val="-4"/>
          <w:sz w:val="16"/>
        </w:rPr>
        <w:t>MHRD,</w:t>
      </w:r>
      <w:r>
        <w:rPr>
          <w:spacing w:val="-3"/>
          <w:sz w:val="16"/>
        </w:rPr>
        <w:t> </w:t>
      </w:r>
      <w:r>
        <w:rPr>
          <w:spacing w:val="-4"/>
          <w:sz w:val="16"/>
        </w:rPr>
        <w:t>Selected</w:t>
      </w:r>
      <w:r>
        <w:rPr>
          <w:spacing w:val="-2"/>
          <w:sz w:val="16"/>
        </w:rPr>
        <w:t> </w:t>
      </w:r>
      <w:r>
        <w:rPr>
          <w:spacing w:val="-4"/>
          <w:sz w:val="16"/>
        </w:rPr>
        <w:t>Statistics,</w:t>
      </w:r>
      <w:r>
        <w:rPr>
          <w:spacing w:val="-3"/>
          <w:sz w:val="16"/>
        </w:rPr>
        <w:t> </w:t>
      </w:r>
      <w:r>
        <w:rPr>
          <w:spacing w:val="-4"/>
          <w:sz w:val="16"/>
        </w:rPr>
        <w:t>2004-</w:t>
      </w:r>
      <w:r>
        <w:rPr>
          <w:spacing w:val="-5"/>
          <w:sz w:val="16"/>
        </w:rPr>
        <w:t>05.</w:t>
      </w:r>
    </w:p>
    <w:p>
      <w:pPr>
        <w:pStyle w:val="BodyText"/>
        <w:spacing w:before="75"/>
        <w:rPr>
          <w:sz w:val="24"/>
        </w:rPr>
      </w:pPr>
    </w:p>
    <w:p>
      <w:pPr>
        <w:pStyle w:val="Heading8"/>
        <w:spacing w:before="1"/>
        <w:ind w:left="1838"/>
      </w:pPr>
      <w:r>
        <w:rPr>
          <w:w w:val="90"/>
        </w:rPr>
        <w:t>Figure</w:t>
      </w:r>
      <w:r>
        <w:rPr>
          <w:spacing w:val="9"/>
        </w:rPr>
        <w:t> </w:t>
      </w:r>
      <w:r>
        <w:rPr>
          <w:w w:val="90"/>
        </w:rPr>
        <w:t>48:</w:t>
      </w:r>
      <w:r>
        <w:rPr>
          <w:spacing w:val="9"/>
        </w:rPr>
        <w:t> </w:t>
      </w:r>
      <w:r>
        <w:rPr>
          <w:color w:val="2E614A"/>
          <w:w w:val="90"/>
        </w:rPr>
        <w:t>Growth</w:t>
      </w:r>
      <w:r>
        <w:rPr>
          <w:color w:val="2E614A"/>
          <w:spacing w:val="9"/>
        </w:rPr>
        <w:t> </w:t>
      </w:r>
      <w:r>
        <w:rPr>
          <w:color w:val="2E614A"/>
          <w:w w:val="90"/>
        </w:rPr>
        <w:t>in</w:t>
      </w:r>
      <w:r>
        <w:rPr>
          <w:color w:val="2E614A"/>
          <w:spacing w:val="9"/>
        </w:rPr>
        <w:t> </w:t>
      </w:r>
      <w:r>
        <w:rPr>
          <w:color w:val="2E614A"/>
          <w:w w:val="90"/>
        </w:rPr>
        <w:t>number</w:t>
      </w:r>
      <w:r>
        <w:rPr>
          <w:color w:val="2E614A"/>
          <w:spacing w:val="9"/>
        </w:rPr>
        <w:t> </w:t>
      </w:r>
      <w:r>
        <w:rPr>
          <w:color w:val="2E614A"/>
          <w:w w:val="90"/>
        </w:rPr>
        <w:t>of</w:t>
      </w:r>
      <w:r>
        <w:rPr>
          <w:color w:val="2E614A"/>
          <w:spacing w:val="9"/>
        </w:rPr>
        <w:t> </w:t>
      </w:r>
      <w:r>
        <w:rPr>
          <w:color w:val="2E614A"/>
          <w:w w:val="90"/>
        </w:rPr>
        <w:t>doctorates</w:t>
      </w:r>
      <w:r>
        <w:rPr>
          <w:color w:val="2E614A"/>
          <w:spacing w:val="10"/>
        </w:rPr>
        <w:t> </w:t>
      </w:r>
      <w:r>
        <w:rPr>
          <w:color w:val="2E614A"/>
          <w:w w:val="90"/>
        </w:rPr>
        <w:t>compared</w:t>
      </w:r>
      <w:r>
        <w:rPr>
          <w:color w:val="2E614A"/>
          <w:spacing w:val="9"/>
        </w:rPr>
        <w:t> </w:t>
      </w:r>
      <w:r>
        <w:rPr>
          <w:color w:val="2E614A"/>
          <w:w w:val="90"/>
        </w:rPr>
        <w:t>to</w:t>
      </w:r>
      <w:r>
        <w:rPr>
          <w:color w:val="2E614A"/>
          <w:spacing w:val="9"/>
        </w:rPr>
        <w:t> </w:t>
      </w:r>
      <w:r>
        <w:rPr>
          <w:color w:val="2E614A"/>
          <w:w w:val="90"/>
        </w:rPr>
        <w:t>other</w:t>
      </w:r>
      <w:r>
        <w:rPr>
          <w:color w:val="2E614A"/>
          <w:spacing w:val="9"/>
        </w:rPr>
        <w:t> </w:t>
      </w:r>
      <w:r>
        <w:rPr>
          <w:color w:val="2E614A"/>
          <w:spacing w:val="-2"/>
          <w:w w:val="90"/>
        </w:rPr>
        <w:t>countries</w:t>
      </w:r>
    </w:p>
    <w:p>
      <w:pPr>
        <w:pStyle w:val="BodyText"/>
        <w:spacing w:before="10"/>
        <w:rPr>
          <w:b/>
          <w:sz w:val="9"/>
        </w:rPr>
      </w:pPr>
      <w:r>
        <w:rPr/>
        <mc:AlternateContent>
          <mc:Choice Requires="wps">
            <w:drawing>
              <wp:anchor distT="0" distB="0" distL="0" distR="0" allowOverlap="1" layoutInCell="1" locked="0" behindDoc="1" simplePos="0" relativeHeight="487725056">
                <wp:simplePos x="0" y="0"/>
                <wp:positionH relativeFrom="page">
                  <wp:posOffset>1164450</wp:posOffset>
                </wp:positionH>
                <wp:positionV relativeFrom="paragraph">
                  <wp:posOffset>87669</wp:posOffset>
                </wp:positionV>
                <wp:extent cx="5257800" cy="2628900"/>
                <wp:effectExtent l="0" t="0" r="0" b="0"/>
                <wp:wrapTopAndBottom/>
                <wp:docPr id="2060" name="Group 2060"/>
                <wp:cNvGraphicFramePr>
                  <a:graphicFrameLocks/>
                </wp:cNvGraphicFramePr>
                <a:graphic>
                  <a:graphicData uri="http://schemas.microsoft.com/office/word/2010/wordprocessingGroup">
                    <wpg:wgp>
                      <wpg:cNvPr id="2060" name="Group 2060"/>
                      <wpg:cNvGrpSpPr/>
                      <wpg:grpSpPr>
                        <a:xfrm>
                          <a:off x="0" y="0"/>
                          <a:ext cx="5257800" cy="2628900"/>
                          <a:chExt cx="5257800" cy="2628900"/>
                        </a:xfrm>
                      </wpg:grpSpPr>
                      <wps:wsp>
                        <wps:cNvPr id="2061" name="Graphic 2061"/>
                        <wps:cNvSpPr/>
                        <wps:spPr>
                          <a:xfrm>
                            <a:off x="-12" y="0"/>
                            <a:ext cx="5257800" cy="2628900"/>
                          </a:xfrm>
                          <a:custGeom>
                            <a:avLst/>
                            <a:gdLst/>
                            <a:ahLst/>
                            <a:cxnLst/>
                            <a:rect l="l" t="t" r="r" b="b"/>
                            <a:pathLst>
                              <a:path w="5257800" h="2628900">
                                <a:moveTo>
                                  <a:pt x="5094846" y="2367584"/>
                                </a:moveTo>
                                <a:lnTo>
                                  <a:pt x="5094846" y="2367584"/>
                                </a:lnTo>
                                <a:lnTo>
                                  <a:pt x="837425" y="2367584"/>
                                </a:lnTo>
                                <a:lnTo>
                                  <a:pt x="837425" y="2367280"/>
                                </a:lnTo>
                                <a:lnTo>
                                  <a:pt x="490918" y="2367280"/>
                                </a:lnTo>
                                <a:lnTo>
                                  <a:pt x="490728" y="2367330"/>
                                </a:lnTo>
                                <a:lnTo>
                                  <a:pt x="490918" y="2367280"/>
                                </a:lnTo>
                                <a:lnTo>
                                  <a:pt x="490918" y="2180818"/>
                                </a:lnTo>
                                <a:lnTo>
                                  <a:pt x="490918" y="2180590"/>
                                </a:lnTo>
                                <a:lnTo>
                                  <a:pt x="490918" y="2174468"/>
                                </a:lnTo>
                                <a:lnTo>
                                  <a:pt x="490728" y="2174468"/>
                                </a:lnTo>
                                <a:lnTo>
                                  <a:pt x="490728" y="2174240"/>
                                </a:lnTo>
                                <a:lnTo>
                                  <a:pt x="490918" y="2174240"/>
                                </a:lnTo>
                                <a:lnTo>
                                  <a:pt x="490918" y="1979930"/>
                                </a:lnTo>
                                <a:lnTo>
                                  <a:pt x="490728" y="1979930"/>
                                </a:lnTo>
                                <a:lnTo>
                                  <a:pt x="490728" y="1979574"/>
                                </a:lnTo>
                                <a:lnTo>
                                  <a:pt x="490918" y="1979574"/>
                                </a:lnTo>
                                <a:lnTo>
                                  <a:pt x="490918" y="1973580"/>
                                </a:lnTo>
                                <a:lnTo>
                                  <a:pt x="490918" y="1973224"/>
                                </a:lnTo>
                                <a:lnTo>
                                  <a:pt x="490918" y="1786890"/>
                                </a:lnTo>
                                <a:lnTo>
                                  <a:pt x="490728" y="1786890"/>
                                </a:lnTo>
                                <a:lnTo>
                                  <a:pt x="490728" y="1786737"/>
                                </a:lnTo>
                                <a:lnTo>
                                  <a:pt x="490918" y="1786737"/>
                                </a:lnTo>
                                <a:lnTo>
                                  <a:pt x="490918" y="1780540"/>
                                </a:lnTo>
                                <a:lnTo>
                                  <a:pt x="490918" y="1780387"/>
                                </a:lnTo>
                                <a:lnTo>
                                  <a:pt x="490918" y="1593875"/>
                                </a:lnTo>
                                <a:lnTo>
                                  <a:pt x="490918" y="1587525"/>
                                </a:lnTo>
                                <a:lnTo>
                                  <a:pt x="490728" y="1587525"/>
                                </a:lnTo>
                                <a:lnTo>
                                  <a:pt x="490918" y="1587500"/>
                                </a:lnTo>
                                <a:lnTo>
                                  <a:pt x="490918" y="1393190"/>
                                </a:lnTo>
                                <a:lnTo>
                                  <a:pt x="490728" y="1393190"/>
                                </a:lnTo>
                                <a:lnTo>
                                  <a:pt x="490728" y="1386840"/>
                                </a:lnTo>
                                <a:lnTo>
                                  <a:pt x="490918" y="1386840"/>
                                </a:lnTo>
                                <a:lnTo>
                                  <a:pt x="490918" y="1200150"/>
                                </a:lnTo>
                                <a:lnTo>
                                  <a:pt x="490728" y="1200150"/>
                                </a:lnTo>
                                <a:lnTo>
                                  <a:pt x="490728" y="1193800"/>
                                </a:lnTo>
                                <a:lnTo>
                                  <a:pt x="490918" y="1193800"/>
                                </a:lnTo>
                                <a:lnTo>
                                  <a:pt x="490918" y="1007110"/>
                                </a:lnTo>
                                <a:lnTo>
                                  <a:pt x="490728" y="1007110"/>
                                </a:lnTo>
                                <a:lnTo>
                                  <a:pt x="490728" y="1000760"/>
                                </a:lnTo>
                                <a:lnTo>
                                  <a:pt x="490918" y="1000760"/>
                                </a:lnTo>
                                <a:lnTo>
                                  <a:pt x="490918" y="805180"/>
                                </a:lnTo>
                                <a:lnTo>
                                  <a:pt x="490728" y="805180"/>
                                </a:lnTo>
                                <a:lnTo>
                                  <a:pt x="490728" y="798830"/>
                                </a:lnTo>
                                <a:lnTo>
                                  <a:pt x="490918" y="798830"/>
                                </a:lnTo>
                                <a:lnTo>
                                  <a:pt x="490918" y="613410"/>
                                </a:lnTo>
                                <a:lnTo>
                                  <a:pt x="490728" y="613410"/>
                                </a:lnTo>
                                <a:lnTo>
                                  <a:pt x="490728" y="607060"/>
                                </a:lnTo>
                                <a:lnTo>
                                  <a:pt x="484568" y="607060"/>
                                </a:lnTo>
                                <a:lnTo>
                                  <a:pt x="484568" y="1386268"/>
                                </a:lnTo>
                                <a:lnTo>
                                  <a:pt x="433971" y="1386268"/>
                                </a:lnTo>
                                <a:lnTo>
                                  <a:pt x="433971" y="1392618"/>
                                </a:lnTo>
                                <a:lnTo>
                                  <a:pt x="484568" y="1392618"/>
                                </a:lnTo>
                                <a:lnTo>
                                  <a:pt x="484568" y="1393190"/>
                                </a:lnTo>
                                <a:lnTo>
                                  <a:pt x="484568" y="1587500"/>
                                </a:lnTo>
                                <a:lnTo>
                                  <a:pt x="433971" y="1587525"/>
                                </a:lnTo>
                                <a:lnTo>
                                  <a:pt x="433971" y="1593875"/>
                                </a:lnTo>
                                <a:lnTo>
                                  <a:pt x="484568" y="1593875"/>
                                </a:lnTo>
                                <a:lnTo>
                                  <a:pt x="484568" y="1780387"/>
                                </a:lnTo>
                                <a:lnTo>
                                  <a:pt x="433971" y="1780387"/>
                                </a:lnTo>
                                <a:lnTo>
                                  <a:pt x="433971" y="1786737"/>
                                </a:lnTo>
                                <a:lnTo>
                                  <a:pt x="484568" y="1786737"/>
                                </a:lnTo>
                                <a:lnTo>
                                  <a:pt x="484568" y="1786890"/>
                                </a:lnTo>
                                <a:lnTo>
                                  <a:pt x="484568" y="1973224"/>
                                </a:lnTo>
                                <a:lnTo>
                                  <a:pt x="433971" y="1973224"/>
                                </a:lnTo>
                                <a:lnTo>
                                  <a:pt x="433971" y="1979574"/>
                                </a:lnTo>
                                <a:lnTo>
                                  <a:pt x="484568" y="1979574"/>
                                </a:lnTo>
                                <a:lnTo>
                                  <a:pt x="484568" y="1979930"/>
                                </a:lnTo>
                                <a:lnTo>
                                  <a:pt x="484568" y="2174240"/>
                                </a:lnTo>
                                <a:lnTo>
                                  <a:pt x="484568" y="2174468"/>
                                </a:lnTo>
                                <a:lnTo>
                                  <a:pt x="433971" y="2174468"/>
                                </a:lnTo>
                                <a:lnTo>
                                  <a:pt x="433971" y="2180818"/>
                                </a:lnTo>
                                <a:lnTo>
                                  <a:pt x="484568" y="2180818"/>
                                </a:lnTo>
                                <a:lnTo>
                                  <a:pt x="484568" y="2367280"/>
                                </a:lnTo>
                                <a:lnTo>
                                  <a:pt x="433971" y="2367330"/>
                                </a:lnTo>
                                <a:lnTo>
                                  <a:pt x="433971" y="2373680"/>
                                </a:lnTo>
                                <a:lnTo>
                                  <a:pt x="484568" y="2373680"/>
                                </a:lnTo>
                                <a:lnTo>
                                  <a:pt x="484568" y="2424430"/>
                                </a:lnTo>
                                <a:lnTo>
                                  <a:pt x="490918" y="2424430"/>
                                </a:lnTo>
                                <a:lnTo>
                                  <a:pt x="490918" y="2373680"/>
                                </a:lnTo>
                                <a:lnTo>
                                  <a:pt x="837425" y="2373630"/>
                                </a:lnTo>
                                <a:lnTo>
                                  <a:pt x="837425" y="2424239"/>
                                </a:lnTo>
                                <a:lnTo>
                                  <a:pt x="843775" y="2424239"/>
                                </a:lnTo>
                                <a:lnTo>
                                  <a:pt x="843775" y="2373680"/>
                                </a:lnTo>
                                <a:lnTo>
                                  <a:pt x="1190282" y="2373680"/>
                                </a:lnTo>
                                <a:lnTo>
                                  <a:pt x="1190282" y="2424239"/>
                                </a:lnTo>
                                <a:lnTo>
                                  <a:pt x="1196632" y="2424239"/>
                                </a:lnTo>
                                <a:lnTo>
                                  <a:pt x="1196632" y="2373680"/>
                                </a:lnTo>
                                <a:lnTo>
                                  <a:pt x="1543138" y="2373680"/>
                                </a:lnTo>
                                <a:lnTo>
                                  <a:pt x="1543138" y="2424239"/>
                                </a:lnTo>
                                <a:lnTo>
                                  <a:pt x="1549488" y="2424239"/>
                                </a:lnTo>
                                <a:lnTo>
                                  <a:pt x="1549488" y="2373680"/>
                                </a:lnTo>
                                <a:lnTo>
                                  <a:pt x="1904390" y="2373680"/>
                                </a:lnTo>
                                <a:lnTo>
                                  <a:pt x="1904390" y="2424239"/>
                                </a:lnTo>
                                <a:lnTo>
                                  <a:pt x="1910740" y="2424239"/>
                                </a:lnTo>
                                <a:lnTo>
                                  <a:pt x="1910740" y="2373680"/>
                                </a:lnTo>
                                <a:lnTo>
                                  <a:pt x="2257247" y="2373680"/>
                                </a:lnTo>
                                <a:lnTo>
                                  <a:pt x="2257247" y="2424239"/>
                                </a:lnTo>
                                <a:lnTo>
                                  <a:pt x="2263597" y="2424239"/>
                                </a:lnTo>
                                <a:lnTo>
                                  <a:pt x="2263597" y="2373680"/>
                                </a:lnTo>
                                <a:lnTo>
                                  <a:pt x="2610091" y="2373680"/>
                                </a:lnTo>
                                <a:lnTo>
                                  <a:pt x="2610091" y="2424239"/>
                                </a:lnTo>
                                <a:lnTo>
                                  <a:pt x="2616441" y="2424239"/>
                                </a:lnTo>
                                <a:lnTo>
                                  <a:pt x="2616441" y="2373680"/>
                                </a:lnTo>
                                <a:lnTo>
                                  <a:pt x="2962960" y="2373680"/>
                                </a:lnTo>
                                <a:lnTo>
                                  <a:pt x="2962960" y="2424239"/>
                                </a:lnTo>
                                <a:lnTo>
                                  <a:pt x="2969310" y="2424239"/>
                                </a:lnTo>
                                <a:lnTo>
                                  <a:pt x="2969310" y="2373680"/>
                                </a:lnTo>
                                <a:lnTo>
                                  <a:pt x="3315805" y="2373680"/>
                                </a:lnTo>
                                <a:lnTo>
                                  <a:pt x="3315805" y="2424239"/>
                                </a:lnTo>
                                <a:lnTo>
                                  <a:pt x="3322155" y="2424239"/>
                                </a:lnTo>
                                <a:lnTo>
                                  <a:pt x="3322155" y="2373680"/>
                                </a:lnTo>
                                <a:lnTo>
                                  <a:pt x="3668661" y="2373680"/>
                                </a:lnTo>
                                <a:lnTo>
                                  <a:pt x="3668661" y="2424239"/>
                                </a:lnTo>
                                <a:lnTo>
                                  <a:pt x="3675011" y="2424239"/>
                                </a:lnTo>
                                <a:lnTo>
                                  <a:pt x="3675011" y="2373680"/>
                                </a:lnTo>
                                <a:lnTo>
                                  <a:pt x="4029926" y="2373680"/>
                                </a:lnTo>
                                <a:lnTo>
                                  <a:pt x="4029926" y="2424239"/>
                                </a:lnTo>
                                <a:lnTo>
                                  <a:pt x="4036276" y="2424239"/>
                                </a:lnTo>
                                <a:lnTo>
                                  <a:pt x="4036276" y="2373680"/>
                                </a:lnTo>
                                <a:lnTo>
                                  <a:pt x="4382795" y="2373680"/>
                                </a:lnTo>
                                <a:lnTo>
                                  <a:pt x="4382795" y="2424239"/>
                                </a:lnTo>
                                <a:lnTo>
                                  <a:pt x="4389145" y="2424239"/>
                                </a:lnTo>
                                <a:lnTo>
                                  <a:pt x="4389145" y="2373680"/>
                                </a:lnTo>
                                <a:lnTo>
                                  <a:pt x="4735639" y="2373680"/>
                                </a:lnTo>
                                <a:lnTo>
                                  <a:pt x="4735639" y="2424239"/>
                                </a:lnTo>
                                <a:lnTo>
                                  <a:pt x="4741989" y="2424239"/>
                                </a:lnTo>
                                <a:lnTo>
                                  <a:pt x="4741989" y="2373680"/>
                                </a:lnTo>
                                <a:lnTo>
                                  <a:pt x="5088496" y="2373680"/>
                                </a:lnTo>
                                <a:lnTo>
                                  <a:pt x="5088496" y="2424239"/>
                                </a:lnTo>
                                <a:lnTo>
                                  <a:pt x="5094846" y="2424239"/>
                                </a:lnTo>
                                <a:lnTo>
                                  <a:pt x="5094846" y="2367584"/>
                                </a:lnTo>
                                <a:close/>
                              </a:path>
                              <a:path w="5257800" h="2628900">
                                <a:moveTo>
                                  <a:pt x="5257800" y="0"/>
                                </a:moveTo>
                                <a:lnTo>
                                  <a:pt x="5251462" y="0"/>
                                </a:lnTo>
                                <a:lnTo>
                                  <a:pt x="5251462" y="6896"/>
                                </a:lnTo>
                                <a:lnTo>
                                  <a:pt x="5251462" y="2622550"/>
                                </a:lnTo>
                                <a:lnTo>
                                  <a:pt x="5251462" y="2623096"/>
                                </a:lnTo>
                                <a:lnTo>
                                  <a:pt x="5251462" y="2626271"/>
                                </a:lnTo>
                                <a:lnTo>
                                  <a:pt x="3175" y="2626360"/>
                                </a:lnTo>
                                <a:lnTo>
                                  <a:pt x="6350" y="2626271"/>
                                </a:lnTo>
                                <a:lnTo>
                                  <a:pt x="5251462" y="2626271"/>
                                </a:lnTo>
                                <a:lnTo>
                                  <a:pt x="5251462" y="2623096"/>
                                </a:lnTo>
                                <a:lnTo>
                                  <a:pt x="6350" y="2623096"/>
                                </a:lnTo>
                                <a:lnTo>
                                  <a:pt x="3175" y="2623096"/>
                                </a:lnTo>
                                <a:lnTo>
                                  <a:pt x="3175" y="2622550"/>
                                </a:lnTo>
                                <a:lnTo>
                                  <a:pt x="6350" y="2622550"/>
                                </a:lnTo>
                                <a:lnTo>
                                  <a:pt x="6350" y="6896"/>
                                </a:lnTo>
                                <a:lnTo>
                                  <a:pt x="5251462" y="6896"/>
                                </a:lnTo>
                                <a:lnTo>
                                  <a:pt x="5251462" y="0"/>
                                </a:lnTo>
                                <a:lnTo>
                                  <a:pt x="0" y="0"/>
                                </a:lnTo>
                                <a:lnTo>
                                  <a:pt x="0" y="3810"/>
                                </a:lnTo>
                                <a:lnTo>
                                  <a:pt x="0" y="6350"/>
                                </a:lnTo>
                                <a:lnTo>
                                  <a:pt x="0" y="2622550"/>
                                </a:lnTo>
                                <a:lnTo>
                                  <a:pt x="0" y="2626360"/>
                                </a:lnTo>
                                <a:lnTo>
                                  <a:pt x="0" y="2628900"/>
                                </a:lnTo>
                                <a:lnTo>
                                  <a:pt x="5257800" y="2628900"/>
                                </a:lnTo>
                                <a:lnTo>
                                  <a:pt x="5257800" y="2626360"/>
                                </a:lnTo>
                                <a:lnTo>
                                  <a:pt x="5254637" y="2626360"/>
                                </a:lnTo>
                                <a:lnTo>
                                  <a:pt x="5257800" y="2626271"/>
                                </a:lnTo>
                                <a:lnTo>
                                  <a:pt x="5257800" y="2623096"/>
                                </a:lnTo>
                                <a:lnTo>
                                  <a:pt x="5254637" y="2623096"/>
                                </a:lnTo>
                                <a:lnTo>
                                  <a:pt x="5254637" y="2622550"/>
                                </a:lnTo>
                                <a:lnTo>
                                  <a:pt x="5257800" y="2622550"/>
                                </a:lnTo>
                                <a:lnTo>
                                  <a:pt x="5257800" y="6896"/>
                                </a:lnTo>
                                <a:lnTo>
                                  <a:pt x="5257800" y="6350"/>
                                </a:lnTo>
                                <a:lnTo>
                                  <a:pt x="5257800" y="3810"/>
                                </a:lnTo>
                                <a:lnTo>
                                  <a:pt x="5257800" y="0"/>
                                </a:lnTo>
                                <a:close/>
                              </a:path>
                            </a:pathLst>
                          </a:custGeom>
                          <a:solidFill>
                            <a:srgbClr val="000000"/>
                          </a:solidFill>
                        </wps:spPr>
                        <wps:bodyPr wrap="square" lIns="0" tIns="0" rIns="0" bIns="0" rtlCol="0">
                          <a:prstTxWarp prst="textNoShape">
                            <a:avLst/>
                          </a:prstTxWarp>
                          <a:noAutofit/>
                        </wps:bodyPr>
                      </wps:wsp>
                      <wps:wsp>
                        <wps:cNvPr id="2062" name="Graphic 2062"/>
                        <wps:cNvSpPr/>
                        <wps:spPr>
                          <a:xfrm>
                            <a:off x="433959" y="606488"/>
                            <a:ext cx="57150" cy="786130"/>
                          </a:xfrm>
                          <a:custGeom>
                            <a:avLst/>
                            <a:gdLst/>
                            <a:ahLst/>
                            <a:cxnLst/>
                            <a:rect l="l" t="t" r="r" b="b"/>
                            <a:pathLst>
                              <a:path w="57150" h="786130">
                                <a:moveTo>
                                  <a:pt x="50596" y="779780"/>
                                </a:moveTo>
                                <a:lnTo>
                                  <a:pt x="0" y="779780"/>
                                </a:lnTo>
                                <a:lnTo>
                                  <a:pt x="0" y="786130"/>
                                </a:lnTo>
                                <a:lnTo>
                                  <a:pt x="50596" y="786130"/>
                                </a:lnTo>
                                <a:lnTo>
                                  <a:pt x="50596" y="779780"/>
                                </a:lnTo>
                                <a:close/>
                              </a:path>
                              <a:path w="57150" h="786130">
                                <a:moveTo>
                                  <a:pt x="50596" y="586943"/>
                                </a:moveTo>
                                <a:lnTo>
                                  <a:pt x="0" y="586943"/>
                                </a:lnTo>
                                <a:lnTo>
                                  <a:pt x="0" y="593293"/>
                                </a:lnTo>
                                <a:lnTo>
                                  <a:pt x="50596" y="593293"/>
                                </a:lnTo>
                                <a:lnTo>
                                  <a:pt x="50596" y="586943"/>
                                </a:lnTo>
                                <a:close/>
                              </a:path>
                              <a:path w="57150" h="786130">
                                <a:moveTo>
                                  <a:pt x="50596" y="394081"/>
                                </a:moveTo>
                                <a:lnTo>
                                  <a:pt x="0" y="394081"/>
                                </a:lnTo>
                                <a:lnTo>
                                  <a:pt x="0" y="400431"/>
                                </a:lnTo>
                                <a:lnTo>
                                  <a:pt x="50596" y="400431"/>
                                </a:lnTo>
                                <a:lnTo>
                                  <a:pt x="50596" y="394081"/>
                                </a:lnTo>
                                <a:close/>
                              </a:path>
                              <a:path w="57150" h="786130">
                                <a:moveTo>
                                  <a:pt x="50596" y="192849"/>
                                </a:moveTo>
                                <a:lnTo>
                                  <a:pt x="0" y="192849"/>
                                </a:lnTo>
                                <a:lnTo>
                                  <a:pt x="0" y="199199"/>
                                </a:lnTo>
                                <a:lnTo>
                                  <a:pt x="50596" y="199199"/>
                                </a:lnTo>
                                <a:lnTo>
                                  <a:pt x="50596" y="192849"/>
                                </a:lnTo>
                                <a:close/>
                              </a:path>
                              <a:path w="57150" h="786130">
                                <a:moveTo>
                                  <a:pt x="50596" y="0"/>
                                </a:moveTo>
                                <a:lnTo>
                                  <a:pt x="0" y="0"/>
                                </a:lnTo>
                                <a:lnTo>
                                  <a:pt x="0" y="6350"/>
                                </a:lnTo>
                                <a:lnTo>
                                  <a:pt x="50596" y="6350"/>
                                </a:lnTo>
                                <a:lnTo>
                                  <a:pt x="50596" y="0"/>
                                </a:lnTo>
                                <a:close/>
                              </a:path>
                              <a:path w="57150" h="786130">
                                <a:moveTo>
                                  <a:pt x="56946" y="779780"/>
                                </a:moveTo>
                                <a:lnTo>
                                  <a:pt x="56756" y="779780"/>
                                </a:lnTo>
                                <a:lnTo>
                                  <a:pt x="56756" y="786130"/>
                                </a:lnTo>
                                <a:lnTo>
                                  <a:pt x="56946" y="786130"/>
                                </a:lnTo>
                                <a:lnTo>
                                  <a:pt x="56946" y="779780"/>
                                </a:lnTo>
                                <a:close/>
                              </a:path>
                              <a:path w="57150" h="786130">
                                <a:moveTo>
                                  <a:pt x="56946" y="586943"/>
                                </a:moveTo>
                                <a:lnTo>
                                  <a:pt x="56756" y="586943"/>
                                </a:lnTo>
                                <a:lnTo>
                                  <a:pt x="56756" y="593293"/>
                                </a:lnTo>
                                <a:lnTo>
                                  <a:pt x="56946" y="593293"/>
                                </a:lnTo>
                                <a:lnTo>
                                  <a:pt x="56946" y="586943"/>
                                </a:lnTo>
                                <a:close/>
                              </a:path>
                              <a:path w="57150" h="786130">
                                <a:moveTo>
                                  <a:pt x="56946" y="394081"/>
                                </a:moveTo>
                                <a:lnTo>
                                  <a:pt x="56756" y="394081"/>
                                </a:lnTo>
                                <a:lnTo>
                                  <a:pt x="56756" y="400431"/>
                                </a:lnTo>
                                <a:lnTo>
                                  <a:pt x="56946" y="400431"/>
                                </a:lnTo>
                                <a:lnTo>
                                  <a:pt x="56946" y="394081"/>
                                </a:lnTo>
                                <a:close/>
                              </a:path>
                              <a:path w="57150" h="786130">
                                <a:moveTo>
                                  <a:pt x="56946" y="192849"/>
                                </a:moveTo>
                                <a:lnTo>
                                  <a:pt x="56756" y="192849"/>
                                </a:lnTo>
                                <a:lnTo>
                                  <a:pt x="56756" y="199199"/>
                                </a:lnTo>
                                <a:lnTo>
                                  <a:pt x="56946" y="199199"/>
                                </a:lnTo>
                                <a:lnTo>
                                  <a:pt x="56946" y="192849"/>
                                </a:lnTo>
                                <a:close/>
                              </a:path>
                              <a:path w="57150" h="786130">
                                <a:moveTo>
                                  <a:pt x="56946" y="0"/>
                                </a:moveTo>
                                <a:lnTo>
                                  <a:pt x="56756" y="0"/>
                                </a:lnTo>
                                <a:lnTo>
                                  <a:pt x="56756" y="6350"/>
                                </a:lnTo>
                                <a:lnTo>
                                  <a:pt x="56946" y="6350"/>
                                </a:lnTo>
                                <a:lnTo>
                                  <a:pt x="56946" y="0"/>
                                </a:lnTo>
                                <a:close/>
                              </a:path>
                            </a:pathLst>
                          </a:custGeom>
                          <a:solidFill>
                            <a:srgbClr val="000000"/>
                          </a:solidFill>
                        </wps:spPr>
                        <wps:bodyPr wrap="square" lIns="0" tIns="0" rIns="0" bIns="0" rtlCol="0">
                          <a:prstTxWarp prst="textNoShape">
                            <a:avLst/>
                          </a:prstTxWarp>
                          <a:noAutofit/>
                        </wps:bodyPr>
                      </wps:wsp>
                      <wps:wsp>
                        <wps:cNvPr id="2063" name="Graphic 2063"/>
                        <wps:cNvSpPr/>
                        <wps:spPr>
                          <a:xfrm>
                            <a:off x="654541" y="1823536"/>
                            <a:ext cx="4271010" cy="297180"/>
                          </a:xfrm>
                          <a:custGeom>
                            <a:avLst/>
                            <a:gdLst/>
                            <a:ahLst/>
                            <a:cxnLst/>
                            <a:rect l="l" t="t" r="r" b="b"/>
                            <a:pathLst>
                              <a:path w="4271010" h="297180">
                                <a:moveTo>
                                  <a:pt x="353648" y="245452"/>
                                </a:moveTo>
                                <a:lnTo>
                                  <a:pt x="0" y="279076"/>
                                </a:lnTo>
                                <a:lnTo>
                                  <a:pt x="1670" y="296650"/>
                                </a:lnTo>
                                <a:lnTo>
                                  <a:pt x="362876" y="262306"/>
                                </a:lnTo>
                                <a:lnTo>
                                  <a:pt x="353648" y="262306"/>
                                </a:lnTo>
                                <a:lnTo>
                                  <a:pt x="353648" y="245452"/>
                                </a:lnTo>
                                <a:close/>
                              </a:path>
                              <a:path w="4271010" h="297180">
                                <a:moveTo>
                                  <a:pt x="714920" y="244654"/>
                                </a:moveTo>
                                <a:lnTo>
                                  <a:pt x="705747" y="245485"/>
                                </a:lnTo>
                                <a:lnTo>
                                  <a:pt x="707340" y="263066"/>
                                </a:lnTo>
                                <a:lnTo>
                                  <a:pt x="716131" y="262270"/>
                                </a:lnTo>
                                <a:lnTo>
                                  <a:pt x="724160" y="261542"/>
                                </a:lnTo>
                                <a:lnTo>
                                  <a:pt x="724160" y="244654"/>
                                </a:lnTo>
                                <a:lnTo>
                                  <a:pt x="714920" y="244654"/>
                                </a:lnTo>
                                <a:close/>
                              </a:path>
                              <a:path w="4271010" h="297180">
                                <a:moveTo>
                                  <a:pt x="370425" y="243857"/>
                                </a:moveTo>
                                <a:lnTo>
                                  <a:pt x="353648" y="245452"/>
                                </a:lnTo>
                                <a:lnTo>
                                  <a:pt x="353648" y="262306"/>
                                </a:lnTo>
                                <a:lnTo>
                                  <a:pt x="362475" y="262306"/>
                                </a:lnTo>
                                <a:lnTo>
                                  <a:pt x="362884" y="262305"/>
                                </a:lnTo>
                                <a:lnTo>
                                  <a:pt x="372097" y="261429"/>
                                </a:lnTo>
                                <a:lnTo>
                                  <a:pt x="370425" y="243857"/>
                                </a:lnTo>
                                <a:close/>
                              </a:path>
                              <a:path w="4271010" h="297180">
                                <a:moveTo>
                                  <a:pt x="538904" y="244653"/>
                                </a:moveTo>
                                <a:lnTo>
                                  <a:pt x="370501" y="244653"/>
                                </a:lnTo>
                                <a:lnTo>
                                  <a:pt x="372097" y="261429"/>
                                </a:lnTo>
                                <a:lnTo>
                                  <a:pt x="362884" y="262305"/>
                                </a:lnTo>
                                <a:lnTo>
                                  <a:pt x="707271" y="262305"/>
                                </a:lnTo>
                                <a:lnTo>
                                  <a:pt x="705747" y="245485"/>
                                </a:lnTo>
                                <a:lnTo>
                                  <a:pt x="714920" y="244654"/>
                                </a:lnTo>
                                <a:lnTo>
                                  <a:pt x="538904" y="244653"/>
                                </a:lnTo>
                                <a:close/>
                              </a:path>
                              <a:path w="4271010" h="297180">
                                <a:moveTo>
                                  <a:pt x="724160" y="261542"/>
                                </a:moveTo>
                                <a:lnTo>
                                  <a:pt x="716130" y="262270"/>
                                </a:lnTo>
                                <a:lnTo>
                                  <a:pt x="715745" y="262305"/>
                                </a:lnTo>
                                <a:lnTo>
                                  <a:pt x="724160" y="262305"/>
                                </a:lnTo>
                                <a:lnTo>
                                  <a:pt x="724160" y="261542"/>
                                </a:lnTo>
                                <a:close/>
                              </a:path>
                              <a:path w="4271010" h="297180">
                                <a:moveTo>
                                  <a:pt x="993940" y="236317"/>
                                </a:moveTo>
                                <a:lnTo>
                                  <a:pt x="806873" y="236325"/>
                                </a:lnTo>
                                <a:lnTo>
                                  <a:pt x="714920" y="244654"/>
                                </a:lnTo>
                                <a:lnTo>
                                  <a:pt x="724160" y="244654"/>
                                </a:lnTo>
                                <a:lnTo>
                                  <a:pt x="724160" y="261542"/>
                                </a:lnTo>
                                <a:lnTo>
                                  <a:pt x="892561" y="245514"/>
                                </a:lnTo>
                                <a:lnTo>
                                  <a:pt x="993940" y="236317"/>
                                </a:lnTo>
                                <a:close/>
                              </a:path>
                              <a:path w="4271010" h="297180">
                                <a:moveTo>
                                  <a:pt x="362053" y="244653"/>
                                </a:moveTo>
                                <a:lnTo>
                                  <a:pt x="353648" y="244653"/>
                                </a:lnTo>
                                <a:lnTo>
                                  <a:pt x="353648" y="245452"/>
                                </a:lnTo>
                                <a:lnTo>
                                  <a:pt x="362053" y="244653"/>
                                </a:lnTo>
                                <a:close/>
                              </a:path>
                              <a:path w="4271010" h="297180">
                                <a:moveTo>
                                  <a:pt x="1067763" y="211895"/>
                                </a:moveTo>
                                <a:lnTo>
                                  <a:pt x="890799" y="227949"/>
                                </a:lnTo>
                                <a:lnTo>
                                  <a:pt x="806927" y="236319"/>
                                </a:lnTo>
                                <a:lnTo>
                                  <a:pt x="993940" y="236317"/>
                                </a:lnTo>
                                <a:lnTo>
                                  <a:pt x="1076991" y="228783"/>
                                </a:lnTo>
                                <a:lnTo>
                                  <a:pt x="1067763" y="228783"/>
                                </a:lnTo>
                                <a:lnTo>
                                  <a:pt x="1067763" y="211895"/>
                                </a:lnTo>
                                <a:close/>
                              </a:path>
                              <a:path w="4271010" h="297180">
                                <a:moveTo>
                                  <a:pt x="1429017" y="211130"/>
                                </a:moveTo>
                                <a:lnTo>
                                  <a:pt x="1419825" y="212004"/>
                                </a:lnTo>
                                <a:lnTo>
                                  <a:pt x="1421496" y="229579"/>
                                </a:lnTo>
                                <a:lnTo>
                                  <a:pt x="1430283" y="228743"/>
                                </a:lnTo>
                                <a:lnTo>
                                  <a:pt x="1438273" y="227982"/>
                                </a:lnTo>
                                <a:lnTo>
                                  <a:pt x="1438273" y="211130"/>
                                </a:lnTo>
                                <a:lnTo>
                                  <a:pt x="1429017" y="211130"/>
                                </a:lnTo>
                                <a:close/>
                              </a:path>
                              <a:path w="4271010" h="297180">
                                <a:moveTo>
                                  <a:pt x="1084583" y="210369"/>
                                </a:moveTo>
                                <a:lnTo>
                                  <a:pt x="1067763" y="211895"/>
                                </a:lnTo>
                                <a:lnTo>
                                  <a:pt x="1067763" y="228783"/>
                                </a:lnTo>
                                <a:lnTo>
                                  <a:pt x="1076589" y="228783"/>
                                </a:lnTo>
                                <a:lnTo>
                                  <a:pt x="1076999" y="228782"/>
                                </a:lnTo>
                                <a:lnTo>
                                  <a:pt x="1086175" y="227941"/>
                                </a:lnTo>
                                <a:lnTo>
                                  <a:pt x="1084583" y="210369"/>
                                </a:lnTo>
                                <a:close/>
                              </a:path>
                              <a:path w="4271010" h="297180">
                                <a:moveTo>
                                  <a:pt x="1253019" y="211129"/>
                                </a:moveTo>
                                <a:lnTo>
                                  <a:pt x="1084652" y="211129"/>
                                </a:lnTo>
                                <a:lnTo>
                                  <a:pt x="1086176" y="227949"/>
                                </a:lnTo>
                                <a:lnTo>
                                  <a:pt x="1076999" y="228782"/>
                                </a:lnTo>
                                <a:lnTo>
                                  <a:pt x="1421420" y="228782"/>
                                </a:lnTo>
                                <a:lnTo>
                                  <a:pt x="1419825" y="212004"/>
                                </a:lnTo>
                                <a:lnTo>
                                  <a:pt x="1429017" y="211130"/>
                                </a:lnTo>
                                <a:lnTo>
                                  <a:pt x="1253019" y="211129"/>
                                </a:lnTo>
                                <a:close/>
                              </a:path>
                              <a:path w="4271010" h="297180">
                                <a:moveTo>
                                  <a:pt x="1438273" y="227982"/>
                                </a:moveTo>
                                <a:lnTo>
                                  <a:pt x="1430283" y="228742"/>
                                </a:lnTo>
                                <a:lnTo>
                                  <a:pt x="1429876" y="228782"/>
                                </a:lnTo>
                                <a:lnTo>
                                  <a:pt x="1438273" y="228782"/>
                                </a:lnTo>
                                <a:lnTo>
                                  <a:pt x="1438273" y="227982"/>
                                </a:lnTo>
                                <a:close/>
                              </a:path>
                              <a:path w="4271010" h="297180">
                                <a:moveTo>
                                  <a:pt x="1773474" y="186387"/>
                                </a:moveTo>
                                <a:lnTo>
                                  <a:pt x="1605036" y="194388"/>
                                </a:lnTo>
                                <a:lnTo>
                                  <a:pt x="1429017" y="211130"/>
                                </a:lnTo>
                                <a:lnTo>
                                  <a:pt x="1438273" y="211130"/>
                                </a:lnTo>
                                <a:lnTo>
                                  <a:pt x="1438273" y="227982"/>
                                </a:lnTo>
                                <a:lnTo>
                                  <a:pt x="1606390" y="211992"/>
                                </a:lnTo>
                                <a:lnTo>
                                  <a:pt x="1605872" y="203175"/>
                                </a:lnTo>
                                <a:lnTo>
                                  <a:pt x="1773474" y="203175"/>
                                </a:lnTo>
                                <a:lnTo>
                                  <a:pt x="1773474" y="186387"/>
                                </a:lnTo>
                                <a:close/>
                              </a:path>
                              <a:path w="4271010" h="297180">
                                <a:moveTo>
                                  <a:pt x="1605872" y="203175"/>
                                </a:moveTo>
                                <a:lnTo>
                                  <a:pt x="1606290" y="211992"/>
                                </a:lnTo>
                                <a:lnTo>
                                  <a:pt x="1606707" y="211962"/>
                                </a:lnTo>
                                <a:lnTo>
                                  <a:pt x="1605872" y="203175"/>
                                </a:lnTo>
                                <a:close/>
                              </a:path>
                              <a:path w="4271010" h="297180">
                                <a:moveTo>
                                  <a:pt x="1773474" y="203175"/>
                                </a:moveTo>
                                <a:lnTo>
                                  <a:pt x="1605872" y="203175"/>
                                </a:lnTo>
                                <a:lnTo>
                                  <a:pt x="1606707" y="211962"/>
                                </a:lnTo>
                                <a:lnTo>
                                  <a:pt x="1606489" y="211983"/>
                                </a:lnTo>
                                <a:lnTo>
                                  <a:pt x="1782502" y="203631"/>
                                </a:lnTo>
                                <a:lnTo>
                                  <a:pt x="1773474" y="203631"/>
                                </a:lnTo>
                                <a:lnTo>
                                  <a:pt x="1773474" y="203175"/>
                                </a:lnTo>
                                <a:close/>
                              </a:path>
                              <a:path w="4271010" h="297180">
                                <a:moveTo>
                                  <a:pt x="1076202" y="211129"/>
                                </a:moveTo>
                                <a:lnTo>
                                  <a:pt x="1067763" y="211129"/>
                                </a:lnTo>
                                <a:lnTo>
                                  <a:pt x="1067763" y="211895"/>
                                </a:lnTo>
                                <a:lnTo>
                                  <a:pt x="1076202" y="211129"/>
                                </a:lnTo>
                                <a:close/>
                              </a:path>
                              <a:path w="4271010" h="297180">
                                <a:moveTo>
                                  <a:pt x="2134701" y="185978"/>
                                </a:moveTo>
                                <a:lnTo>
                                  <a:pt x="2125492" y="186898"/>
                                </a:lnTo>
                                <a:lnTo>
                                  <a:pt x="2127248" y="204465"/>
                                </a:lnTo>
                                <a:lnTo>
                                  <a:pt x="2136031" y="203587"/>
                                </a:lnTo>
                                <a:lnTo>
                                  <a:pt x="2143979" y="202792"/>
                                </a:lnTo>
                                <a:lnTo>
                                  <a:pt x="2143979" y="185978"/>
                                </a:lnTo>
                                <a:lnTo>
                                  <a:pt x="2134701" y="185978"/>
                                </a:lnTo>
                                <a:close/>
                              </a:path>
                              <a:path w="4271010" h="297180">
                                <a:moveTo>
                                  <a:pt x="1790698" y="185569"/>
                                </a:moveTo>
                                <a:lnTo>
                                  <a:pt x="1773474" y="186387"/>
                                </a:lnTo>
                                <a:lnTo>
                                  <a:pt x="1773474" y="203631"/>
                                </a:lnTo>
                                <a:lnTo>
                                  <a:pt x="1782300" y="203631"/>
                                </a:lnTo>
                                <a:lnTo>
                                  <a:pt x="1791535" y="203202"/>
                                </a:lnTo>
                                <a:lnTo>
                                  <a:pt x="1790698" y="185569"/>
                                </a:lnTo>
                                <a:close/>
                              </a:path>
                              <a:path w="4271010" h="297180">
                                <a:moveTo>
                                  <a:pt x="2042744" y="185977"/>
                                </a:moveTo>
                                <a:lnTo>
                                  <a:pt x="1790718" y="185977"/>
                                </a:lnTo>
                                <a:lnTo>
                                  <a:pt x="1791535" y="203202"/>
                                </a:lnTo>
                                <a:lnTo>
                                  <a:pt x="1782518" y="203630"/>
                                </a:lnTo>
                                <a:lnTo>
                                  <a:pt x="2127165" y="203630"/>
                                </a:lnTo>
                                <a:lnTo>
                                  <a:pt x="2125492" y="186898"/>
                                </a:lnTo>
                                <a:lnTo>
                                  <a:pt x="2134701" y="185978"/>
                                </a:lnTo>
                                <a:lnTo>
                                  <a:pt x="2042744" y="185977"/>
                                </a:lnTo>
                                <a:close/>
                              </a:path>
                              <a:path w="4271010" h="297180">
                                <a:moveTo>
                                  <a:pt x="2143979" y="202792"/>
                                </a:moveTo>
                                <a:lnTo>
                                  <a:pt x="2136031" y="203586"/>
                                </a:lnTo>
                                <a:lnTo>
                                  <a:pt x="2135604" y="203630"/>
                                </a:lnTo>
                                <a:lnTo>
                                  <a:pt x="2143979" y="203630"/>
                                </a:lnTo>
                                <a:lnTo>
                                  <a:pt x="2143979" y="202792"/>
                                </a:lnTo>
                                <a:close/>
                              </a:path>
                              <a:path w="4271010" h="297180">
                                <a:moveTo>
                                  <a:pt x="2217950" y="177659"/>
                                </a:moveTo>
                                <a:lnTo>
                                  <a:pt x="2134701" y="185978"/>
                                </a:lnTo>
                                <a:lnTo>
                                  <a:pt x="2143979" y="185978"/>
                                </a:lnTo>
                                <a:lnTo>
                                  <a:pt x="2143979" y="202792"/>
                                </a:lnTo>
                                <a:lnTo>
                                  <a:pt x="2220402" y="195156"/>
                                </a:lnTo>
                                <a:lnTo>
                                  <a:pt x="2268608" y="186408"/>
                                </a:lnTo>
                                <a:lnTo>
                                  <a:pt x="2219174" y="186408"/>
                                </a:lnTo>
                                <a:lnTo>
                                  <a:pt x="2217598" y="177723"/>
                                </a:lnTo>
                                <a:lnTo>
                                  <a:pt x="2217950" y="177659"/>
                                </a:lnTo>
                                <a:close/>
                              </a:path>
                              <a:path w="4271010" h="297180">
                                <a:moveTo>
                                  <a:pt x="2218296" y="177624"/>
                                </a:moveTo>
                                <a:lnTo>
                                  <a:pt x="2217950" y="177659"/>
                                </a:lnTo>
                                <a:lnTo>
                                  <a:pt x="2217598" y="177723"/>
                                </a:lnTo>
                                <a:lnTo>
                                  <a:pt x="2219174" y="186408"/>
                                </a:lnTo>
                                <a:lnTo>
                                  <a:pt x="2218296" y="177624"/>
                                </a:lnTo>
                                <a:close/>
                              </a:path>
                              <a:path w="4271010" h="297180">
                                <a:moveTo>
                                  <a:pt x="2316669" y="177624"/>
                                </a:moveTo>
                                <a:lnTo>
                                  <a:pt x="2218296" y="177624"/>
                                </a:lnTo>
                                <a:lnTo>
                                  <a:pt x="2219174" y="186408"/>
                                </a:lnTo>
                                <a:lnTo>
                                  <a:pt x="2268608" y="186408"/>
                                </a:lnTo>
                                <a:lnTo>
                                  <a:pt x="2313311" y="178295"/>
                                </a:lnTo>
                                <a:lnTo>
                                  <a:pt x="2316669" y="177624"/>
                                </a:lnTo>
                                <a:close/>
                              </a:path>
                              <a:path w="4271010" h="297180">
                                <a:moveTo>
                                  <a:pt x="1782098" y="185977"/>
                                </a:moveTo>
                                <a:lnTo>
                                  <a:pt x="1773474" y="185977"/>
                                </a:lnTo>
                                <a:lnTo>
                                  <a:pt x="1773474" y="186387"/>
                                </a:lnTo>
                                <a:lnTo>
                                  <a:pt x="1782098" y="185977"/>
                                </a:lnTo>
                                <a:close/>
                              </a:path>
                              <a:path w="4271010" h="297180">
                                <a:moveTo>
                                  <a:pt x="2309905" y="160973"/>
                                </a:moveTo>
                                <a:lnTo>
                                  <a:pt x="2217950" y="177659"/>
                                </a:lnTo>
                                <a:lnTo>
                                  <a:pt x="2218296" y="177624"/>
                                </a:lnTo>
                                <a:lnTo>
                                  <a:pt x="2316669" y="177624"/>
                                </a:lnTo>
                                <a:lnTo>
                                  <a:pt x="2356649" y="169640"/>
                                </a:lnTo>
                                <a:lnTo>
                                  <a:pt x="2311583" y="169640"/>
                                </a:lnTo>
                                <a:lnTo>
                                  <a:pt x="2309966" y="161544"/>
                                </a:lnTo>
                                <a:lnTo>
                                  <a:pt x="2309905" y="160973"/>
                                </a:lnTo>
                                <a:close/>
                              </a:path>
                              <a:path w="4271010" h="297180">
                                <a:moveTo>
                                  <a:pt x="2310007" y="160955"/>
                                </a:moveTo>
                                <a:lnTo>
                                  <a:pt x="2309966" y="161544"/>
                                </a:lnTo>
                                <a:lnTo>
                                  <a:pt x="2311583" y="169640"/>
                                </a:lnTo>
                                <a:lnTo>
                                  <a:pt x="2310007" y="160955"/>
                                </a:lnTo>
                                <a:close/>
                              </a:path>
                              <a:path w="4271010" h="297180">
                                <a:moveTo>
                                  <a:pt x="2397071" y="160955"/>
                                </a:moveTo>
                                <a:lnTo>
                                  <a:pt x="2310007" y="160955"/>
                                </a:lnTo>
                                <a:lnTo>
                                  <a:pt x="2311583" y="169640"/>
                                </a:lnTo>
                                <a:lnTo>
                                  <a:pt x="2356649" y="169640"/>
                                </a:lnTo>
                                <a:lnTo>
                                  <a:pt x="2397184" y="161544"/>
                                </a:lnTo>
                                <a:lnTo>
                                  <a:pt x="2397071" y="160955"/>
                                </a:lnTo>
                                <a:close/>
                              </a:path>
                              <a:path w="4271010" h="297180">
                                <a:moveTo>
                                  <a:pt x="2395603" y="152859"/>
                                </a:moveTo>
                                <a:lnTo>
                                  <a:pt x="2397177" y="161544"/>
                                </a:lnTo>
                                <a:lnTo>
                                  <a:pt x="2397219" y="160955"/>
                                </a:lnTo>
                                <a:lnTo>
                                  <a:pt x="2395603" y="152859"/>
                                </a:lnTo>
                                <a:close/>
                              </a:path>
                              <a:path w="4271010" h="297180">
                                <a:moveTo>
                                  <a:pt x="2445071" y="152859"/>
                                </a:moveTo>
                                <a:lnTo>
                                  <a:pt x="2395603" y="152859"/>
                                </a:lnTo>
                                <a:lnTo>
                                  <a:pt x="2397219" y="160955"/>
                                </a:lnTo>
                                <a:lnTo>
                                  <a:pt x="2397247" y="161531"/>
                                </a:lnTo>
                                <a:lnTo>
                                  <a:pt x="2445071" y="152859"/>
                                </a:lnTo>
                                <a:close/>
                              </a:path>
                              <a:path w="4271010" h="297180">
                                <a:moveTo>
                                  <a:pt x="2478821" y="128799"/>
                                </a:moveTo>
                                <a:lnTo>
                                  <a:pt x="2393874" y="144203"/>
                                </a:lnTo>
                                <a:lnTo>
                                  <a:pt x="2309905" y="160973"/>
                                </a:lnTo>
                                <a:lnTo>
                                  <a:pt x="2397071" y="160955"/>
                                </a:lnTo>
                                <a:lnTo>
                                  <a:pt x="2395603" y="152859"/>
                                </a:lnTo>
                                <a:lnTo>
                                  <a:pt x="2445071" y="152859"/>
                                </a:lnTo>
                                <a:lnTo>
                                  <a:pt x="2486536" y="145340"/>
                                </a:lnTo>
                                <a:lnTo>
                                  <a:pt x="2479609" y="145340"/>
                                </a:lnTo>
                                <a:lnTo>
                                  <a:pt x="2478821" y="128799"/>
                                </a:lnTo>
                                <a:close/>
                              </a:path>
                              <a:path w="4271010" h="297180">
                                <a:moveTo>
                                  <a:pt x="2495311" y="126919"/>
                                </a:moveTo>
                                <a:lnTo>
                                  <a:pt x="2487012" y="127313"/>
                                </a:lnTo>
                                <a:lnTo>
                                  <a:pt x="2478821" y="128799"/>
                                </a:lnTo>
                                <a:lnTo>
                                  <a:pt x="2479609" y="145340"/>
                                </a:lnTo>
                                <a:lnTo>
                                  <a:pt x="2488426" y="144921"/>
                                </a:lnTo>
                                <a:lnTo>
                                  <a:pt x="2489005" y="144893"/>
                                </a:lnTo>
                                <a:lnTo>
                                  <a:pt x="2498266" y="143213"/>
                                </a:lnTo>
                                <a:lnTo>
                                  <a:pt x="2495311" y="126919"/>
                                </a:lnTo>
                                <a:close/>
                              </a:path>
                              <a:path w="4271010" h="297180">
                                <a:moveTo>
                                  <a:pt x="2489005" y="144893"/>
                                </a:moveTo>
                                <a:lnTo>
                                  <a:pt x="2488426" y="144920"/>
                                </a:lnTo>
                                <a:lnTo>
                                  <a:pt x="2479609" y="145340"/>
                                </a:lnTo>
                                <a:lnTo>
                                  <a:pt x="2486536" y="145340"/>
                                </a:lnTo>
                                <a:lnTo>
                                  <a:pt x="2489005" y="144893"/>
                                </a:lnTo>
                                <a:close/>
                              </a:path>
                              <a:path w="4271010" h="297180">
                                <a:moveTo>
                                  <a:pt x="2831629" y="110937"/>
                                </a:moveTo>
                                <a:lnTo>
                                  <a:pt x="2495311" y="126919"/>
                                </a:lnTo>
                                <a:lnTo>
                                  <a:pt x="2498266" y="143213"/>
                                </a:lnTo>
                                <a:lnTo>
                                  <a:pt x="2489005" y="144893"/>
                                </a:lnTo>
                                <a:lnTo>
                                  <a:pt x="2832457" y="128571"/>
                                </a:lnTo>
                                <a:lnTo>
                                  <a:pt x="2831629" y="110937"/>
                                </a:lnTo>
                                <a:close/>
                              </a:path>
                              <a:path w="4271010" h="297180">
                                <a:moveTo>
                                  <a:pt x="2487012" y="127313"/>
                                </a:moveTo>
                                <a:lnTo>
                                  <a:pt x="2478769" y="127706"/>
                                </a:lnTo>
                                <a:lnTo>
                                  <a:pt x="2478821" y="128799"/>
                                </a:lnTo>
                                <a:lnTo>
                                  <a:pt x="2487012" y="127313"/>
                                </a:lnTo>
                                <a:close/>
                              </a:path>
                              <a:path w="4271010" h="297180">
                                <a:moveTo>
                                  <a:pt x="2849264" y="110101"/>
                                </a:moveTo>
                                <a:lnTo>
                                  <a:pt x="2831637" y="110937"/>
                                </a:lnTo>
                                <a:lnTo>
                                  <a:pt x="2832468" y="128570"/>
                                </a:lnTo>
                                <a:lnTo>
                                  <a:pt x="2850072" y="127734"/>
                                </a:lnTo>
                                <a:lnTo>
                                  <a:pt x="2850011" y="125844"/>
                                </a:lnTo>
                                <a:lnTo>
                                  <a:pt x="2849264" y="110101"/>
                                </a:lnTo>
                                <a:close/>
                              </a:path>
                              <a:path w="4271010" h="297180">
                                <a:moveTo>
                                  <a:pt x="3185234" y="110101"/>
                                </a:moveTo>
                                <a:lnTo>
                                  <a:pt x="2849264" y="110101"/>
                                </a:lnTo>
                                <a:lnTo>
                                  <a:pt x="2850100" y="127732"/>
                                </a:lnTo>
                                <a:lnTo>
                                  <a:pt x="3185311" y="111791"/>
                                </a:lnTo>
                                <a:lnTo>
                                  <a:pt x="3185234" y="110101"/>
                                </a:lnTo>
                                <a:close/>
                              </a:path>
                              <a:path w="4271010" h="297180">
                                <a:moveTo>
                                  <a:pt x="2495116" y="125844"/>
                                </a:moveTo>
                                <a:lnTo>
                                  <a:pt x="2487012" y="127313"/>
                                </a:lnTo>
                                <a:lnTo>
                                  <a:pt x="2495311" y="126919"/>
                                </a:lnTo>
                                <a:lnTo>
                                  <a:pt x="2495116" y="125844"/>
                                </a:lnTo>
                                <a:close/>
                              </a:path>
                              <a:path w="4271010" h="297180">
                                <a:moveTo>
                                  <a:pt x="3554732" y="85358"/>
                                </a:moveTo>
                                <a:lnTo>
                                  <a:pt x="3369730" y="85366"/>
                                </a:lnTo>
                                <a:lnTo>
                                  <a:pt x="3202136" y="93319"/>
                                </a:lnTo>
                                <a:lnTo>
                                  <a:pt x="3202151" y="94184"/>
                                </a:lnTo>
                                <a:lnTo>
                                  <a:pt x="3202948" y="110952"/>
                                </a:lnTo>
                                <a:lnTo>
                                  <a:pt x="3185314" y="111791"/>
                                </a:lnTo>
                                <a:lnTo>
                                  <a:pt x="3194131" y="111373"/>
                                </a:lnTo>
                                <a:lnTo>
                                  <a:pt x="3370371" y="103010"/>
                                </a:lnTo>
                                <a:lnTo>
                                  <a:pt x="3370149" y="103010"/>
                                </a:lnTo>
                                <a:lnTo>
                                  <a:pt x="3370149" y="94184"/>
                                </a:lnTo>
                                <a:lnTo>
                                  <a:pt x="3546143" y="94184"/>
                                </a:lnTo>
                                <a:lnTo>
                                  <a:pt x="3545743" y="85786"/>
                                </a:lnTo>
                                <a:lnTo>
                                  <a:pt x="3554732" y="85358"/>
                                </a:lnTo>
                                <a:close/>
                              </a:path>
                              <a:path w="4271010" h="297180">
                                <a:moveTo>
                                  <a:pt x="3202110" y="93320"/>
                                </a:moveTo>
                                <a:lnTo>
                                  <a:pt x="3184489" y="94157"/>
                                </a:lnTo>
                                <a:lnTo>
                                  <a:pt x="3185314" y="111791"/>
                                </a:lnTo>
                                <a:lnTo>
                                  <a:pt x="3202948" y="110952"/>
                                </a:lnTo>
                                <a:lnTo>
                                  <a:pt x="3202110" y="93320"/>
                                </a:lnTo>
                                <a:close/>
                              </a:path>
                              <a:path w="4271010" h="297180">
                                <a:moveTo>
                                  <a:pt x="3184477" y="94157"/>
                                </a:moveTo>
                                <a:lnTo>
                                  <a:pt x="2831629" y="110937"/>
                                </a:lnTo>
                                <a:lnTo>
                                  <a:pt x="2849264" y="110101"/>
                                </a:lnTo>
                                <a:lnTo>
                                  <a:pt x="3185234" y="110101"/>
                                </a:lnTo>
                                <a:lnTo>
                                  <a:pt x="3184477" y="94157"/>
                                </a:lnTo>
                                <a:close/>
                              </a:path>
                              <a:path w="4271010" h="297180">
                                <a:moveTo>
                                  <a:pt x="3563806" y="85358"/>
                                </a:moveTo>
                                <a:lnTo>
                                  <a:pt x="3554732" y="85358"/>
                                </a:lnTo>
                                <a:lnTo>
                                  <a:pt x="3545743" y="85786"/>
                                </a:lnTo>
                                <a:lnTo>
                                  <a:pt x="3546583" y="103420"/>
                                </a:lnTo>
                                <a:lnTo>
                                  <a:pt x="3555400" y="103001"/>
                                </a:lnTo>
                                <a:lnTo>
                                  <a:pt x="3563806" y="102601"/>
                                </a:lnTo>
                                <a:lnTo>
                                  <a:pt x="3563806" y="85358"/>
                                </a:lnTo>
                                <a:close/>
                              </a:path>
                              <a:path w="4271010" h="297180">
                                <a:moveTo>
                                  <a:pt x="3370149" y="94184"/>
                                </a:moveTo>
                                <a:lnTo>
                                  <a:pt x="3370149" y="103010"/>
                                </a:lnTo>
                                <a:lnTo>
                                  <a:pt x="3370551" y="103001"/>
                                </a:lnTo>
                                <a:lnTo>
                                  <a:pt x="3370548" y="102601"/>
                                </a:lnTo>
                                <a:lnTo>
                                  <a:pt x="3370149" y="94184"/>
                                </a:lnTo>
                                <a:close/>
                              </a:path>
                              <a:path w="4271010" h="297180">
                                <a:moveTo>
                                  <a:pt x="3546143" y="94184"/>
                                </a:moveTo>
                                <a:lnTo>
                                  <a:pt x="3370149" y="94184"/>
                                </a:lnTo>
                                <a:lnTo>
                                  <a:pt x="3370548" y="102601"/>
                                </a:lnTo>
                                <a:lnTo>
                                  <a:pt x="3370551" y="103001"/>
                                </a:lnTo>
                                <a:lnTo>
                                  <a:pt x="3370371" y="103010"/>
                                </a:lnTo>
                                <a:lnTo>
                                  <a:pt x="3546563" y="103010"/>
                                </a:lnTo>
                                <a:lnTo>
                                  <a:pt x="3546143" y="94184"/>
                                </a:lnTo>
                                <a:close/>
                              </a:path>
                              <a:path w="4271010" h="297180">
                                <a:moveTo>
                                  <a:pt x="3563806" y="102601"/>
                                </a:moveTo>
                                <a:lnTo>
                                  <a:pt x="3555400" y="103000"/>
                                </a:lnTo>
                                <a:lnTo>
                                  <a:pt x="3555221" y="103010"/>
                                </a:lnTo>
                                <a:lnTo>
                                  <a:pt x="3563806" y="103010"/>
                                </a:lnTo>
                                <a:lnTo>
                                  <a:pt x="3563806" y="102601"/>
                                </a:lnTo>
                                <a:close/>
                              </a:path>
                              <a:path w="4271010" h="297180">
                                <a:moveTo>
                                  <a:pt x="3900427" y="85358"/>
                                </a:moveTo>
                                <a:lnTo>
                                  <a:pt x="3563806" y="85358"/>
                                </a:lnTo>
                                <a:lnTo>
                                  <a:pt x="3563806" y="102601"/>
                                </a:lnTo>
                                <a:lnTo>
                                  <a:pt x="3900671" y="86581"/>
                                </a:lnTo>
                                <a:lnTo>
                                  <a:pt x="3900427" y="85358"/>
                                </a:lnTo>
                                <a:close/>
                              </a:path>
                              <a:path w="4271010" h="297180">
                                <a:moveTo>
                                  <a:pt x="3908922" y="86188"/>
                                </a:moveTo>
                                <a:lnTo>
                                  <a:pt x="3900671" y="86581"/>
                                </a:lnTo>
                                <a:lnTo>
                                  <a:pt x="3900912" y="87787"/>
                                </a:lnTo>
                                <a:lnTo>
                                  <a:pt x="3908922" y="86188"/>
                                </a:lnTo>
                                <a:close/>
                              </a:path>
                              <a:path w="4271010" h="297180">
                                <a:moveTo>
                                  <a:pt x="3916237" y="68168"/>
                                </a:moveTo>
                                <a:lnTo>
                                  <a:pt x="3906757" y="68618"/>
                                </a:lnTo>
                                <a:lnTo>
                                  <a:pt x="3897456" y="70475"/>
                                </a:lnTo>
                                <a:lnTo>
                                  <a:pt x="3900671" y="86581"/>
                                </a:lnTo>
                                <a:lnTo>
                                  <a:pt x="3908922" y="86188"/>
                                </a:lnTo>
                                <a:lnTo>
                                  <a:pt x="3909568" y="86059"/>
                                </a:lnTo>
                                <a:lnTo>
                                  <a:pt x="3917017" y="84572"/>
                                </a:lnTo>
                                <a:lnTo>
                                  <a:pt x="3916237" y="68168"/>
                                </a:lnTo>
                                <a:close/>
                              </a:path>
                              <a:path w="4271010" h="297180">
                                <a:moveTo>
                                  <a:pt x="3917017" y="84572"/>
                                </a:moveTo>
                                <a:lnTo>
                                  <a:pt x="3909568" y="86059"/>
                                </a:lnTo>
                                <a:lnTo>
                                  <a:pt x="3908922" y="86188"/>
                                </a:lnTo>
                                <a:lnTo>
                                  <a:pt x="3917075" y="85801"/>
                                </a:lnTo>
                                <a:lnTo>
                                  <a:pt x="3917017" y="84572"/>
                                </a:lnTo>
                                <a:close/>
                              </a:path>
                              <a:path w="4271010" h="297180">
                                <a:moveTo>
                                  <a:pt x="3906757" y="68618"/>
                                </a:moveTo>
                                <a:lnTo>
                                  <a:pt x="3554732" y="85358"/>
                                </a:lnTo>
                                <a:lnTo>
                                  <a:pt x="3900427" y="85358"/>
                                </a:lnTo>
                                <a:lnTo>
                                  <a:pt x="3897456" y="70475"/>
                                </a:lnTo>
                                <a:lnTo>
                                  <a:pt x="3906757" y="68618"/>
                                </a:lnTo>
                                <a:close/>
                              </a:path>
                              <a:path w="4271010" h="297180">
                                <a:moveTo>
                                  <a:pt x="3993207" y="68168"/>
                                </a:moveTo>
                                <a:lnTo>
                                  <a:pt x="3916237" y="68168"/>
                                </a:lnTo>
                                <a:lnTo>
                                  <a:pt x="3917017" y="84572"/>
                                </a:lnTo>
                                <a:lnTo>
                                  <a:pt x="3993424" y="69319"/>
                                </a:lnTo>
                                <a:lnTo>
                                  <a:pt x="3993207" y="68168"/>
                                </a:lnTo>
                                <a:close/>
                              </a:path>
                              <a:path w="4271010" h="297180">
                                <a:moveTo>
                                  <a:pt x="3991840" y="60635"/>
                                </a:moveTo>
                                <a:lnTo>
                                  <a:pt x="3993416" y="69319"/>
                                </a:lnTo>
                                <a:lnTo>
                                  <a:pt x="3993568" y="69291"/>
                                </a:lnTo>
                                <a:lnTo>
                                  <a:pt x="3991840" y="60635"/>
                                </a:lnTo>
                                <a:close/>
                              </a:path>
                              <a:path w="4271010" h="297180">
                                <a:moveTo>
                                  <a:pt x="4041281" y="60635"/>
                                </a:moveTo>
                                <a:lnTo>
                                  <a:pt x="3991840" y="60635"/>
                                </a:lnTo>
                                <a:lnTo>
                                  <a:pt x="3993434" y="68618"/>
                                </a:lnTo>
                                <a:lnTo>
                                  <a:pt x="3993509" y="69303"/>
                                </a:lnTo>
                                <a:lnTo>
                                  <a:pt x="4041281" y="60635"/>
                                </a:lnTo>
                                <a:close/>
                              </a:path>
                              <a:path w="4271010" h="297180">
                                <a:moveTo>
                                  <a:pt x="4177181" y="35183"/>
                                </a:moveTo>
                                <a:lnTo>
                                  <a:pt x="4082687" y="35183"/>
                                </a:lnTo>
                                <a:lnTo>
                                  <a:pt x="3990112" y="51979"/>
                                </a:lnTo>
                                <a:lnTo>
                                  <a:pt x="3906757" y="68618"/>
                                </a:lnTo>
                                <a:lnTo>
                                  <a:pt x="3916237" y="68168"/>
                                </a:lnTo>
                                <a:lnTo>
                                  <a:pt x="3993207" y="68168"/>
                                </a:lnTo>
                                <a:lnTo>
                                  <a:pt x="3991840" y="60635"/>
                                </a:lnTo>
                                <a:lnTo>
                                  <a:pt x="4041281" y="60635"/>
                                </a:lnTo>
                                <a:lnTo>
                                  <a:pt x="4177181" y="35183"/>
                                </a:lnTo>
                                <a:close/>
                              </a:path>
                              <a:path w="4271010" h="297180">
                                <a:moveTo>
                                  <a:pt x="4267709" y="0"/>
                                </a:moveTo>
                                <a:lnTo>
                                  <a:pt x="4082614" y="35196"/>
                                </a:lnTo>
                                <a:lnTo>
                                  <a:pt x="4177181" y="35183"/>
                                </a:lnTo>
                                <a:lnTo>
                                  <a:pt x="4271006" y="17341"/>
                                </a:lnTo>
                                <a:lnTo>
                                  <a:pt x="4267709" y="0"/>
                                </a:lnTo>
                                <a:close/>
                              </a:path>
                            </a:pathLst>
                          </a:custGeom>
                          <a:solidFill>
                            <a:srgbClr val="9CBF3B"/>
                          </a:solidFill>
                        </wps:spPr>
                        <wps:bodyPr wrap="square" lIns="0" tIns="0" rIns="0" bIns="0" rtlCol="0">
                          <a:prstTxWarp prst="textNoShape">
                            <a:avLst/>
                          </a:prstTxWarp>
                          <a:noAutofit/>
                        </wps:bodyPr>
                      </wps:wsp>
                      <wps:wsp>
                        <wps:cNvPr id="2064" name="Graphic 2064"/>
                        <wps:cNvSpPr/>
                        <wps:spPr>
                          <a:xfrm>
                            <a:off x="655337" y="692220"/>
                            <a:ext cx="4270375" cy="464184"/>
                          </a:xfrm>
                          <a:custGeom>
                            <a:avLst/>
                            <a:gdLst/>
                            <a:ahLst/>
                            <a:cxnLst/>
                            <a:rect l="l" t="t" r="r" b="b"/>
                            <a:pathLst>
                              <a:path w="4270375" h="464184">
                                <a:moveTo>
                                  <a:pt x="361250" y="445236"/>
                                </a:moveTo>
                                <a:lnTo>
                                  <a:pt x="352057" y="446109"/>
                                </a:lnTo>
                                <a:lnTo>
                                  <a:pt x="353727" y="463684"/>
                                </a:lnTo>
                                <a:lnTo>
                                  <a:pt x="370505" y="462088"/>
                                </a:lnTo>
                                <a:lnTo>
                                  <a:pt x="370505" y="445236"/>
                                </a:lnTo>
                                <a:lnTo>
                                  <a:pt x="361250" y="445236"/>
                                </a:lnTo>
                                <a:close/>
                              </a:path>
                              <a:path w="4270375" h="464184">
                                <a:moveTo>
                                  <a:pt x="185256" y="445235"/>
                                </a:moveTo>
                                <a:lnTo>
                                  <a:pt x="0" y="445235"/>
                                </a:lnTo>
                                <a:lnTo>
                                  <a:pt x="0" y="462888"/>
                                </a:lnTo>
                                <a:lnTo>
                                  <a:pt x="8826" y="462888"/>
                                </a:lnTo>
                                <a:lnTo>
                                  <a:pt x="353651" y="462887"/>
                                </a:lnTo>
                                <a:lnTo>
                                  <a:pt x="352057" y="446109"/>
                                </a:lnTo>
                                <a:lnTo>
                                  <a:pt x="361250" y="445236"/>
                                </a:lnTo>
                                <a:lnTo>
                                  <a:pt x="185256" y="445235"/>
                                </a:lnTo>
                                <a:close/>
                              </a:path>
                              <a:path w="4270375" h="464184">
                                <a:moveTo>
                                  <a:pt x="370505" y="462088"/>
                                </a:moveTo>
                                <a:lnTo>
                                  <a:pt x="362106" y="462887"/>
                                </a:lnTo>
                                <a:lnTo>
                                  <a:pt x="370505" y="462887"/>
                                </a:lnTo>
                                <a:lnTo>
                                  <a:pt x="370505" y="462088"/>
                                </a:lnTo>
                                <a:close/>
                              </a:path>
                              <a:path w="4270375" h="464184">
                                <a:moveTo>
                                  <a:pt x="537070" y="428526"/>
                                </a:moveTo>
                                <a:lnTo>
                                  <a:pt x="361250" y="445236"/>
                                </a:lnTo>
                                <a:lnTo>
                                  <a:pt x="370505" y="445236"/>
                                </a:lnTo>
                                <a:lnTo>
                                  <a:pt x="370505" y="462088"/>
                                </a:lnTo>
                                <a:lnTo>
                                  <a:pt x="539354" y="446031"/>
                                </a:lnTo>
                                <a:lnTo>
                                  <a:pt x="600641" y="437294"/>
                                </a:lnTo>
                                <a:lnTo>
                                  <a:pt x="538109" y="437294"/>
                                </a:lnTo>
                                <a:lnTo>
                                  <a:pt x="536863" y="428556"/>
                                </a:lnTo>
                                <a:lnTo>
                                  <a:pt x="537070" y="428526"/>
                                </a:lnTo>
                                <a:close/>
                              </a:path>
                              <a:path w="4270375" h="464184">
                                <a:moveTo>
                                  <a:pt x="537274" y="428507"/>
                                </a:moveTo>
                                <a:lnTo>
                                  <a:pt x="536863" y="428556"/>
                                </a:lnTo>
                                <a:lnTo>
                                  <a:pt x="538109" y="437294"/>
                                </a:lnTo>
                                <a:lnTo>
                                  <a:pt x="537274" y="428507"/>
                                </a:lnTo>
                                <a:close/>
                              </a:path>
                              <a:path w="4270375" h="464184">
                                <a:moveTo>
                                  <a:pt x="662277" y="428507"/>
                                </a:moveTo>
                                <a:lnTo>
                                  <a:pt x="537274" y="428507"/>
                                </a:lnTo>
                                <a:lnTo>
                                  <a:pt x="538109" y="437294"/>
                                </a:lnTo>
                                <a:lnTo>
                                  <a:pt x="600641" y="437294"/>
                                </a:lnTo>
                                <a:lnTo>
                                  <a:pt x="662277" y="428507"/>
                                </a:lnTo>
                                <a:close/>
                              </a:path>
                              <a:path w="4270375" h="464184">
                                <a:moveTo>
                                  <a:pt x="713065" y="403436"/>
                                </a:moveTo>
                                <a:lnTo>
                                  <a:pt x="537070" y="428526"/>
                                </a:lnTo>
                                <a:lnTo>
                                  <a:pt x="537274" y="428507"/>
                                </a:lnTo>
                                <a:lnTo>
                                  <a:pt x="662277" y="428507"/>
                                </a:lnTo>
                                <a:lnTo>
                                  <a:pt x="707441" y="422068"/>
                                </a:lnTo>
                                <a:lnTo>
                                  <a:pt x="704219" y="405117"/>
                                </a:lnTo>
                                <a:lnTo>
                                  <a:pt x="713065" y="403436"/>
                                </a:lnTo>
                                <a:close/>
                              </a:path>
                              <a:path w="4270375" h="464184">
                                <a:moveTo>
                                  <a:pt x="716010" y="420846"/>
                                </a:moveTo>
                                <a:lnTo>
                                  <a:pt x="707441" y="422068"/>
                                </a:lnTo>
                                <a:lnTo>
                                  <a:pt x="707515" y="422461"/>
                                </a:lnTo>
                                <a:lnTo>
                                  <a:pt x="716010" y="420846"/>
                                </a:lnTo>
                                <a:close/>
                              </a:path>
                              <a:path w="4270375" h="464184">
                                <a:moveTo>
                                  <a:pt x="722030" y="402158"/>
                                </a:moveTo>
                                <a:lnTo>
                                  <a:pt x="713065" y="403436"/>
                                </a:lnTo>
                                <a:lnTo>
                                  <a:pt x="704219" y="405117"/>
                                </a:lnTo>
                                <a:lnTo>
                                  <a:pt x="707441" y="422068"/>
                                </a:lnTo>
                                <a:lnTo>
                                  <a:pt x="716187" y="420813"/>
                                </a:lnTo>
                                <a:lnTo>
                                  <a:pt x="724465" y="419238"/>
                                </a:lnTo>
                                <a:lnTo>
                                  <a:pt x="722030" y="402158"/>
                                </a:lnTo>
                                <a:close/>
                              </a:path>
                              <a:path w="4270375" h="464184">
                                <a:moveTo>
                                  <a:pt x="724465" y="419238"/>
                                </a:moveTo>
                                <a:lnTo>
                                  <a:pt x="716187" y="420812"/>
                                </a:lnTo>
                                <a:lnTo>
                                  <a:pt x="716010" y="420846"/>
                                </a:lnTo>
                                <a:lnTo>
                                  <a:pt x="724522" y="419633"/>
                                </a:lnTo>
                                <a:lnTo>
                                  <a:pt x="724465" y="419238"/>
                                </a:lnTo>
                                <a:close/>
                              </a:path>
                              <a:path w="4270375" h="464184">
                                <a:moveTo>
                                  <a:pt x="814309" y="402158"/>
                                </a:moveTo>
                                <a:lnTo>
                                  <a:pt x="722030" y="402158"/>
                                </a:lnTo>
                                <a:lnTo>
                                  <a:pt x="724465" y="419238"/>
                                </a:lnTo>
                                <a:lnTo>
                                  <a:pt x="814309" y="402158"/>
                                </a:lnTo>
                                <a:close/>
                              </a:path>
                              <a:path w="4270375" h="464184">
                                <a:moveTo>
                                  <a:pt x="889170" y="369962"/>
                                </a:moveTo>
                                <a:lnTo>
                                  <a:pt x="713065" y="403436"/>
                                </a:lnTo>
                                <a:lnTo>
                                  <a:pt x="722030" y="402158"/>
                                </a:lnTo>
                                <a:lnTo>
                                  <a:pt x="814309" y="402158"/>
                                </a:lnTo>
                                <a:lnTo>
                                  <a:pt x="892920" y="387213"/>
                                </a:lnTo>
                                <a:lnTo>
                                  <a:pt x="930857" y="378606"/>
                                </a:lnTo>
                                <a:lnTo>
                                  <a:pt x="890967" y="378606"/>
                                </a:lnTo>
                                <a:lnTo>
                                  <a:pt x="889014" y="369998"/>
                                </a:lnTo>
                                <a:lnTo>
                                  <a:pt x="889170" y="369962"/>
                                </a:lnTo>
                                <a:close/>
                              </a:path>
                              <a:path w="4270375" h="464184">
                                <a:moveTo>
                                  <a:pt x="889318" y="369934"/>
                                </a:moveTo>
                                <a:lnTo>
                                  <a:pt x="889014" y="369998"/>
                                </a:lnTo>
                                <a:lnTo>
                                  <a:pt x="890967" y="378606"/>
                                </a:lnTo>
                                <a:lnTo>
                                  <a:pt x="889318" y="369934"/>
                                </a:lnTo>
                                <a:close/>
                              </a:path>
                              <a:path w="4270375" h="464184">
                                <a:moveTo>
                                  <a:pt x="969078" y="369934"/>
                                </a:moveTo>
                                <a:lnTo>
                                  <a:pt x="889318" y="369934"/>
                                </a:lnTo>
                                <a:lnTo>
                                  <a:pt x="890967" y="378606"/>
                                </a:lnTo>
                                <a:lnTo>
                                  <a:pt x="930857" y="378606"/>
                                </a:lnTo>
                                <a:lnTo>
                                  <a:pt x="969078" y="369934"/>
                                </a:lnTo>
                                <a:close/>
                              </a:path>
                              <a:path w="4270375" h="464184">
                                <a:moveTo>
                                  <a:pt x="1073634" y="328112"/>
                                </a:moveTo>
                                <a:lnTo>
                                  <a:pt x="889170" y="369962"/>
                                </a:lnTo>
                                <a:lnTo>
                                  <a:pt x="889318" y="369934"/>
                                </a:lnTo>
                                <a:lnTo>
                                  <a:pt x="969078" y="369934"/>
                                </a:lnTo>
                                <a:lnTo>
                                  <a:pt x="1069497" y="347151"/>
                                </a:lnTo>
                                <a:lnTo>
                                  <a:pt x="1064958" y="330473"/>
                                </a:lnTo>
                                <a:lnTo>
                                  <a:pt x="1073634" y="328112"/>
                                </a:lnTo>
                                <a:close/>
                              </a:path>
                              <a:path w="4270375" h="464184">
                                <a:moveTo>
                                  <a:pt x="1077952" y="345233"/>
                                </a:moveTo>
                                <a:lnTo>
                                  <a:pt x="1069497" y="347151"/>
                                </a:lnTo>
                                <a:lnTo>
                                  <a:pt x="1069595" y="347508"/>
                                </a:lnTo>
                                <a:lnTo>
                                  <a:pt x="1077952" y="345233"/>
                                </a:lnTo>
                                <a:close/>
                              </a:path>
                              <a:path w="4270375" h="464184">
                                <a:moveTo>
                                  <a:pt x="1082448" y="326112"/>
                                </a:moveTo>
                                <a:lnTo>
                                  <a:pt x="1073634" y="328112"/>
                                </a:lnTo>
                                <a:lnTo>
                                  <a:pt x="1064958" y="330473"/>
                                </a:lnTo>
                                <a:lnTo>
                                  <a:pt x="1069497" y="347151"/>
                                </a:lnTo>
                                <a:lnTo>
                                  <a:pt x="1077952" y="345233"/>
                                </a:lnTo>
                                <a:lnTo>
                                  <a:pt x="1086272" y="342968"/>
                                </a:lnTo>
                                <a:lnTo>
                                  <a:pt x="1082448" y="326112"/>
                                </a:lnTo>
                                <a:close/>
                              </a:path>
                              <a:path w="4270375" h="464184">
                                <a:moveTo>
                                  <a:pt x="1086272" y="342968"/>
                                </a:moveTo>
                                <a:lnTo>
                                  <a:pt x="1077952" y="345233"/>
                                </a:lnTo>
                                <a:lnTo>
                                  <a:pt x="1086354" y="343327"/>
                                </a:lnTo>
                                <a:lnTo>
                                  <a:pt x="1086272" y="342968"/>
                                </a:lnTo>
                                <a:close/>
                              </a:path>
                              <a:path w="4270375" h="464184">
                                <a:moveTo>
                                  <a:pt x="1148204" y="326112"/>
                                </a:moveTo>
                                <a:lnTo>
                                  <a:pt x="1082448" y="326112"/>
                                </a:lnTo>
                                <a:lnTo>
                                  <a:pt x="1086272" y="342968"/>
                                </a:lnTo>
                                <a:lnTo>
                                  <a:pt x="1148204" y="326112"/>
                                </a:lnTo>
                                <a:close/>
                              </a:path>
                              <a:path w="4270375" h="464184">
                                <a:moveTo>
                                  <a:pt x="1165407" y="303134"/>
                                </a:moveTo>
                                <a:lnTo>
                                  <a:pt x="1073634" y="328112"/>
                                </a:lnTo>
                                <a:lnTo>
                                  <a:pt x="1082448" y="326112"/>
                                </a:lnTo>
                                <a:lnTo>
                                  <a:pt x="1148204" y="326112"/>
                                </a:lnTo>
                                <a:lnTo>
                                  <a:pt x="1171013" y="319904"/>
                                </a:lnTo>
                                <a:lnTo>
                                  <a:pt x="1192017" y="311520"/>
                                </a:lnTo>
                                <a:lnTo>
                                  <a:pt x="1168209" y="311520"/>
                                </a:lnTo>
                                <a:lnTo>
                                  <a:pt x="1164937" y="303322"/>
                                </a:lnTo>
                                <a:lnTo>
                                  <a:pt x="1165407" y="303134"/>
                                </a:lnTo>
                                <a:close/>
                              </a:path>
                              <a:path w="4270375" h="464184">
                                <a:moveTo>
                                  <a:pt x="1165891" y="303003"/>
                                </a:moveTo>
                                <a:lnTo>
                                  <a:pt x="1165407" y="303134"/>
                                </a:lnTo>
                                <a:lnTo>
                                  <a:pt x="1164937" y="303322"/>
                                </a:lnTo>
                                <a:lnTo>
                                  <a:pt x="1168209" y="311520"/>
                                </a:lnTo>
                                <a:lnTo>
                                  <a:pt x="1165891" y="303003"/>
                                </a:lnTo>
                                <a:close/>
                              </a:path>
                              <a:path w="4270375" h="464184">
                                <a:moveTo>
                                  <a:pt x="1213355" y="303003"/>
                                </a:moveTo>
                                <a:lnTo>
                                  <a:pt x="1165891" y="303003"/>
                                </a:lnTo>
                                <a:lnTo>
                                  <a:pt x="1168209" y="311520"/>
                                </a:lnTo>
                                <a:lnTo>
                                  <a:pt x="1192017" y="311520"/>
                                </a:lnTo>
                                <a:lnTo>
                                  <a:pt x="1213355" y="303003"/>
                                </a:lnTo>
                                <a:close/>
                              </a:path>
                              <a:path w="4270375" h="464184">
                                <a:moveTo>
                                  <a:pt x="1341496" y="236187"/>
                                </a:moveTo>
                                <a:lnTo>
                                  <a:pt x="1248951" y="269787"/>
                                </a:lnTo>
                                <a:lnTo>
                                  <a:pt x="1165407" y="303134"/>
                                </a:lnTo>
                                <a:lnTo>
                                  <a:pt x="1165891" y="303003"/>
                                </a:lnTo>
                                <a:lnTo>
                                  <a:pt x="1213355" y="303003"/>
                                </a:lnTo>
                                <a:lnTo>
                                  <a:pt x="1255247" y="286281"/>
                                </a:lnTo>
                                <a:lnTo>
                                  <a:pt x="1252223" y="277985"/>
                                </a:lnTo>
                                <a:lnTo>
                                  <a:pt x="1278086" y="277985"/>
                                </a:lnTo>
                                <a:lnTo>
                                  <a:pt x="1347911" y="252634"/>
                                </a:lnTo>
                                <a:lnTo>
                                  <a:pt x="1368446" y="244437"/>
                                </a:lnTo>
                                <a:lnTo>
                                  <a:pt x="1344639" y="244437"/>
                                </a:lnTo>
                                <a:lnTo>
                                  <a:pt x="1341366" y="236239"/>
                                </a:lnTo>
                                <a:lnTo>
                                  <a:pt x="1341496" y="236187"/>
                                </a:lnTo>
                                <a:close/>
                              </a:path>
                              <a:path w="4270375" h="464184">
                                <a:moveTo>
                                  <a:pt x="1252223" y="277985"/>
                                </a:moveTo>
                                <a:lnTo>
                                  <a:pt x="1255235" y="286281"/>
                                </a:lnTo>
                                <a:lnTo>
                                  <a:pt x="1255495" y="286182"/>
                                </a:lnTo>
                                <a:lnTo>
                                  <a:pt x="1252223" y="277985"/>
                                </a:lnTo>
                                <a:close/>
                              </a:path>
                              <a:path w="4270375" h="464184">
                                <a:moveTo>
                                  <a:pt x="1278086" y="277985"/>
                                </a:moveTo>
                                <a:lnTo>
                                  <a:pt x="1252223" y="277985"/>
                                </a:lnTo>
                                <a:lnTo>
                                  <a:pt x="1255495" y="286182"/>
                                </a:lnTo>
                                <a:lnTo>
                                  <a:pt x="1255365" y="286234"/>
                                </a:lnTo>
                                <a:lnTo>
                                  <a:pt x="1278086" y="277985"/>
                                </a:lnTo>
                                <a:close/>
                              </a:path>
                              <a:path w="4270375" h="464184">
                                <a:moveTo>
                                  <a:pt x="1341627" y="236139"/>
                                </a:moveTo>
                                <a:lnTo>
                                  <a:pt x="1341366" y="236239"/>
                                </a:lnTo>
                                <a:lnTo>
                                  <a:pt x="1344639" y="244437"/>
                                </a:lnTo>
                                <a:lnTo>
                                  <a:pt x="1341627" y="236139"/>
                                </a:lnTo>
                                <a:close/>
                              </a:path>
                              <a:path w="4270375" h="464184">
                                <a:moveTo>
                                  <a:pt x="1389231" y="236139"/>
                                </a:moveTo>
                                <a:lnTo>
                                  <a:pt x="1341627" y="236139"/>
                                </a:lnTo>
                                <a:lnTo>
                                  <a:pt x="1344639" y="244437"/>
                                </a:lnTo>
                                <a:lnTo>
                                  <a:pt x="1368446" y="244437"/>
                                </a:lnTo>
                                <a:lnTo>
                                  <a:pt x="1389231" y="236139"/>
                                </a:lnTo>
                                <a:close/>
                              </a:path>
                              <a:path w="4270375" h="464184">
                                <a:moveTo>
                                  <a:pt x="1417978" y="205657"/>
                                </a:moveTo>
                                <a:lnTo>
                                  <a:pt x="1341496" y="236187"/>
                                </a:lnTo>
                                <a:lnTo>
                                  <a:pt x="1341627" y="236139"/>
                                </a:lnTo>
                                <a:lnTo>
                                  <a:pt x="1389231" y="236139"/>
                                </a:lnTo>
                                <a:lnTo>
                                  <a:pt x="1425130" y="221809"/>
                                </a:lnTo>
                                <a:lnTo>
                                  <a:pt x="1422584" y="221809"/>
                                </a:lnTo>
                                <a:lnTo>
                                  <a:pt x="1417978" y="205657"/>
                                </a:lnTo>
                                <a:close/>
                              </a:path>
                              <a:path w="4270375" h="464184">
                                <a:moveTo>
                                  <a:pt x="1433895" y="200227"/>
                                </a:moveTo>
                                <a:lnTo>
                                  <a:pt x="1425804" y="202533"/>
                                </a:lnTo>
                                <a:lnTo>
                                  <a:pt x="1417978" y="205657"/>
                                </a:lnTo>
                                <a:lnTo>
                                  <a:pt x="1422584" y="221809"/>
                                </a:lnTo>
                                <a:lnTo>
                                  <a:pt x="1431500" y="219266"/>
                                </a:lnTo>
                                <a:lnTo>
                                  <a:pt x="1440121" y="215825"/>
                                </a:lnTo>
                                <a:lnTo>
                                  <a:pt x="1433895" y="200227"/>
                                </a:lnTo>
                                <a:close/>
                              </a:path>
                              <a:path w="4270375" h="464184">
                                <a:moveTo>
                                  <a:pt x="1431500" y="219266"/>
                                </a:moveTo>
                                <a:lnTo>
                                  <a:pt x="1422584" y="221809"/>
                                </a:lnTo>
                                <a:lnTo>
                                  <a:pt x="1425130" y="221809"/>
                                </a:lnTo>
                                <a:lnTo>
                                  <a:pt x="1431500" y="219266"/>
                                </a:lnTo>
                                <a:close/>
                              </a:path>
                              <a:path w="4270375" h="464184">
                                <a:moveTo>
                                  <a:pt x="1770876" y="112132"/>
                                </a:moveTo>
                                <a:lnTo>
                                  <a:pt x="1602656" y="152107"/>
                                </a:lnTo>
                                <a:lnTo>
                                  <a:pt x="1433895" y="200227"/>
                                </a:lnTo>
                                <a:lnTo>
                                  <a:pt x="1440121" y="215825"/>
                                </a:lnTo>
                                <a:lnTo>
                                  <a:pt x="1431500" y="219266"/>
                                </a:lnTo>
                                <a:lnTo>
                                  <a:pt x="1607148" y="169183"/>
                                </a:lnTo>
                                <a:lnTo>
                                  <a:pt x="1605076" y="160596"/>
                                </a:lnTo>
                                <a:lnTo>
                                  <a:pt x="1643258" y="160596"/>
                                </a:lnTo>
                                <a:lnTo>
                                  <a:pt x="1774957" y="129305"/>
                                </a:lnTo>
                                <a:lnTo>
                                  <a:pt x="1770876" y="112132"/>
                                </a:lnTo>
                                <a:close/>
                              </a:path>
                              <a:path w="4270375" h="464184">
                                <a:moveTo>
                                  <a:pt x="1425804" y="202533"/>
                                </a:moveTo>
                                <a:lnTo>
                                  <a:pt x="1417743" y="204832"/>
                                </a:lnTo>
                                <a:lnTo>
                                  <a:pt x="1417978" y="205657"/>
                                </a:lnTo>
                                <a:lnTo>
                                  <a:pt x="1425804" y="202533"/>
                                </a:lnTo>
                                <a:close/>
                              </a:path>
                              <a:path w="4270375" h="464184">
                                <a:moveTo>
                                  <a:pt x="1433577" y="199431"/>
                                </a:moveTo>
                                <a:lnTo>
                                  <a:pt x="1425804" y="202533"/>
                                </a:lnTo>
                                <a:lnTo>
                                  <a:pt x="1433895" y="200227"/>
                                </a:lnTo>
                                <a:lnTo>
                                  <a:pt x="1433577" y="199431"/>
                                </a:lnTo>
                                <a:close/>
                              </a:path>
                              <a:path w="4270375" h="464184">
                                <a:moveTo>
                                  <a:pt x="1605076" y="160596"/>
                                </a:moveTo>
                                <a:lnTo>
                                  <a:pt x="1607116" y="169183"/>
                                </a:lnTo>
                                <a:lnTo>
                                  <a:pt x="1607496" y="169084"/>
                                </a:lnTo>
                                <a:lnTo>
                                  <a:pt x="1605076" y="160596"/>
                                </a:lnTo>
                                <a:close/>
                              </a:path>
                              <a:path w="4270375" h="464184">
                                <a:moveTo>
                                  <a:pt x="1643258" y="160596"/>
                                </a:moveTo>
                                <a:lnTo>
                                  <a:pt x="1605076" y="160596"/>
                                </a:lnTo>
                                <a:lnTo>
                                  <a:pt x="1607496" y="169084"/>
                                </a:lnTo>
                                <a:lnTo>
                                  <a:pt x="1607308" y="169137"/>
                                </a:lnTo>
                                <a:lnTo>
                                  <a:pt x="1643258" y="160596"/>
                                </a:lnTo>
                                <a:close/>
                              </a:path>
                              <a:path w="4270375" h="464184">
                                <a:moveTo>
                                  <a:pt x="1788051" y="108050"/>
                                </a:moveTo>
                                <a:lnTo>
                                  <a:pt x="1770876" y="112132"/>
                                </a:lnTo>
                                <a:lnTo>
                                  <a:pt x="1774957" y="129305"/>
                                </a:lnTo>
                                <a:lnTo>
                                  <a:pt x="1792132" y="125224"/>
                                </a:lnTo>
                                <a:lnTo>
                                  <a:pt x="1788051" y="108050"/>
                                </a:lnTo>
                                <a:close/>
                              </a:path>
                              <a:path w="4270375" h="464184">
                                <a:moveTo>
                                  <a:pt x="3898218" y="109852"/>
                                </a:moveTo>
                                <a:lnTo>
                                  <a:pt x="3898218" y="127504"/>
                                </a:lnTo>
                                <a:lnTo>
                                  <a:pt x="3907044" y="127504"/>
                                </a:lnTo>
                                <a:lnTo>
                                  <a:pt x="3915870" y="127503"/>
                                </a:lnTo>
                                <a:lnTo>
                                  <a:pt x="3915870" y="109852"/>
                                </a:lnTo>
                                <a:lnTo>
                                  <a:pt x="3898218" y="109852"/>
                                </a:lnTo>
                                <a:close/>
                              </a:path>
                              <a:path w="4270375" h="464184">
                                <a:moveTo>
                                  <a:pt x="3729411" y="110647"/>
                                </a:moveTo>
                                <a:lnTo>
                                  <a:pt x="3822223" y="127503"/>
                                </a:lnTo>
                                <a:lnTo>
                                  <a:pt x="3898218" y="127503"/>
                                </a:lnTo>
                                <a:lnTo>
                                  <a:pt x="3898218" y="118678"/>
                                </a:lnTo>
                                <a:lnTo>
                                  <a:pt x="3823018" y="118678"/>
                                </a:lnTo>
                                <a:lnTo>
                                  <a:pt x="3823018" y="110683"/>
                                </a:lnTo>
                                <a:lnTo>
                                  <a:pt x="3729786" y="110683"/>
                                </a:lnTo>
                                <a:lnTo>
                                  <a:pt x="3729411" y="110647"/>
                                </a:lnTo>
                                <a:close/>
                              </a:path>
                              <a:path w="4270375" h="464184">
                                <a:moveTo>
                                  <a:pt x="3990638" y="109851"/>
                                </a:moveTo>
                                <a:lnTo>
                                  <a:pt x="3898218" y="109851"/>
                                </a:lnTo>
                                <a:lnTo>
                                  <a:pt x="3915870" y="109852"/>
                                </a:lnTo>
                                <a:lnTo>
                                  <a:pt x="3915870" y="127503"/>
                                </a:lnTo>
                                <a:lnTo>
                                  <a:pt x="3991444" y="127503"/>
                                </a:lnTo>
                                <a:lnTo>
                                  <a:pt x="4084713" y="119018"/>
                                </a:lnTo>
                                <a:lnTo>
                                  <a:pt x="4087100" y="118678"/>
                                </a:lnTo>
                                <a:lnTo>
                                  <a:pt x="3991044" y="118678"/>
                                </a:lnTo>
                                <a:lnTo>
                                  <a:pt x="3990246" y="109887"/>
                                </a:lnTo>
                                <a:lnTo>
                                  <a:pt x="3990638" y="109851"/>
                                </a:lnTo>
                                <a:close/>
                              </a:path>
                              <a:path w="4270375" h="464184">
                                <a:moveTo>
                                  <a:pt x="1864385" y="108050"/>
                                </a:moveTo>
                                <a:lnTo>
                                  <a:pt x="1788051" y="108050"/>
                                </a:lnTo>
                                <a:lnTo>
                                  <a:pt x="1792132" y="125224"/>
                                </a:lnTo>
                                <a:lnTo>
                                  <a:pt x="1864385" y="108050"/>
                                </a:lnTo>
                                <a:close/>
                              </a:path>
                              <a:path w="4270375" h="464184">
                                <a:moveTo>
                                  <a:pt x="3823814" y="109851"/>
                                </a:moveTo>
                                <a:lnTo>
                                  <a:pt x="3823018" y="109851"/>
                                </a:lnTo>
                                <a:lnTo>
                                  <a:pt x="3823018" y="118678"/>
                                </a:lnTo>
                                <a:lnTo>
                                  <a:pt x="3824595" y="109993"/>
                                </a:lnTo>
                                <a:lnTo>
                                  <a:pt x="3823814" y="109851"/>
                                </a:lnTo>
                                <a:close/>
                              </a:path>
                              <a:path w="4270375" h="464184">
                                <a:moveTo>
                                  <a:pt x="3823814" y="109851"/>
                                </a:moveTo>
                                <a:lnTo>
                                  <a:pt x="3824595" y="109993"/>
                                </a:lnTo>
                                <a:lnTo>
                                  <a:pt x="3823018" y="118678"/>
                                </a:lnTo>
                                <a:lnTo>
                                  <a:pt x="3898218" y="118678"/>
                                </a:lnTo>
                                <a:lnTo>
                                  <a:pt x="3898218" y="109852"/>
                                </a:lnTo>
                                <a:lnTo>
                                  <a:pt x="3823814" y="109851"/>
                                </a:lnTo>
                                <a:close/>
                              </a:path>
                              <a:path w="4270375" h="464184">
                                <a:moveTo>
                                  <a:pt x="4082455" y="101509"/>
                                </a:moveTo>
                                <a:lnTo>
                                  <a:pt x="3990246" y="109887"/>
                                </a:lnTo>
                                <a:lnTo>
                                  <a:pt x="3991044" y="118678"/>
                                </a:lnTo>
                                <a:lnTo>
                                  <a:pt x="3991044" y="109851"/>
                                </a:lnTo>
                                <a:lnTo>
                                  <a:pt x="4083406" y="109851"/>
                                </a:lnTo>
                                <a:lnTo>
                                  <a:pt x="4082221" y="101542"/>
                                </a:lnTo>
                                <a:lnTo>
                                  <a:pt x="4082455" y="101509"/>
                                </a:lnTo>
                                <a:close/>
                              </a:path>
                              <a:path w="4270375" h="464184">
                                <a:moveTo>
                                  <a:pt x="4083406" y="109851"/>
                                </a:moveTo>
                                <a:lnTo>
                                  <a:pt x="3991044" y="109851"/>
                                </a:lnTo>
                                <a:lnTo>
                                  <a:pt x="3991044" y="118678"/>
                                </a:lnTo>
                                <a:lnTo>
                                  <a:pt x="4087100" y="118678"/>
                                </a:lnTo>
                                <a:lnTo>
                                  <a:pt x="4146002" y="110280"/>
                                </a:lnTo>
                                <a:lnTo>
                                  <a:pt x="4083467" y="110280"/>
                                </a:lnTo>
                                <a:lnTo>
                                  <a:pt x="4083406" y="109851"/>
                                </a:lnTo>
                                <a:close/>
                              </a:path>
                              <a:path w="4270375" h="464184">
                                <a:moveTo>
                                  <a:pt x="2124430" y="36100"/>
                                </a:moveTo>
                                <a:lnTo>
                                  <a:pt x="1955886" y="68157"/>
                                </a:lnTo>
                                <a:lnTo>
                                  <a:pt x="1770876" y="112132"/>
                                </a:lnTo>
                                <a:lnTo>
                                  <a:pt x="1788051" y="108050"/>
                                </a:lnTo>
                                <a:lnTo>
                                  <a:pt x="1864385" y="108050"/>
                                </a:lnTo>
                                <a:lnTo>
                                  <a:pt x="1959616" y="85415"/>
                                </a:lnTo>
                                <a:lnTo>
                                  <a:pt x="1957928" y="76744"/>
                                </a:lnTo>
                                <a:lnTo>
                                  <a:pt x="2005176" y="76744"/>
                                </a:lnTo>
                                <a:lnTo>
                                  <a:pt x="2129101" y="53180"/>
                                </a:lnTo>
                                <a:lnTo>
                                  <a:pt x="2126864" y="53180"/>
                                </a:lnTo>
                                <a:lnTo>
                                  <a:pt x="2124430" y="36100"/>
                                </a:lnTo>
                                <a:close/>
                              </a:path>
                              <a:path w="4270375" h="464184">
                                <a:moveTo>
                                  <a:pt x="3730621" y="101896"/>
                                </a:moveTo>
                                <a:lnTo>
                                  <a:pt x="3729043" y="110580"/>
                                </a:lnTo>
                                <a:lnTo>
                                  <a:pt x="3729411" y="110647"/>
                                </a:lnTo>
                                <a:lnTo>
                                  <a:pt x="3729786" y="110683"/>
                                </a:lnTo>
                                <a:lnTo>
                                  <a:pt x="3730621" y="101896"/>
                                </a:lnTo>
                                <a:close/>
                              </a:path>
                              <a:path w="4270375" h="464184">
                                <a:moveTo>
                                  <a:pt x="3780015" y="101896"/>
                                </a:moveTo>
                                <a:lnTo>
                                  <a:pt x="3730621" y="101896"/>
                                </a:lnTo>
                                <a:lnTo>
                                  <a:pt x="3729786" y="110683"/>
                                </a:lnTo>
                                <a:lnTo>
                                  <a:pt x="3823018" y="110683"/>
                                </a:lnTo>
                                <a:lnTo>
                                  <a:pt x="3823018" y="109851"/>
                                </a:lnTo>
                                <a:lnTo>
                                  <a:pt x="3823814" y="109851"/>
                                </a:lnTo>
                                <a:lnTo>
                                  <a:pt x="3780015" y="101896"/>
                                </a:lnTo>
                                <a:close/>
                              </a:path>
                              <a:path w="4270375" h="464184">
                                <a:moveTo>
                                  <a:pt x="3553483" y="93928"/>
                                </a:moveTo>
                                <a:lnTo>
                                  <a:pt x="3729411" y="110647"/>
                                </a:lnTo>
                                <a:lnTo>
                                  <a:pt x="3729043" y="110580"/>
                                </a:lnTo>
                                <a:lnTo>
                                  <a:pt x="3730621" y="101896"/>
                                </a:lnTo>
                                <a:lnTo>
                                  <a:pt x="3780015" y="101896"/>
                                </a:lnTo>
                                <a:lnTo>
                                  <a:pt x="3740484" y="94717"/>
                                </a:lnTo>
                                <a:lnTo>
                                  <a:pt x="3562177" y="94717"/>
                                </a:lnTo>
                                <a:lnTo>
                                  <a:pt x="3553483" y="93928"/>
                                </a:lnTo>
                                <a:close/>
                              </a:path>
                              <a:path w="4270375" h="464184">
                                <a:moveTo>
                                  <a:pt x="4082669" y="101489"/>
                                </a:moveTo>
                                <a:lnTo>
                                  <a:pt x="4082221" y="101542"/>
                                </a:lnTo>
                                <a:lnTo>
                                  <a:pt x="4083467" y="110280"/>
                                </a:lnTo>
                                <a:lnTo>
                                  <a:pt x="4082669" y="101489"/>
                                </a:lnTo>
                                <a:close/>
                              </a:path>
                              <a:path w="4270375" h="464184">
                                <a:moveTo>
                                  <a:pt x="4207666" y="101489"/>
                                </a:moveTo>
                                <a:lnTo>
                                  <a:pt x="4082669" y="101489"/>
                                </a:lnTo>
                                <a:lnTo>
                                  <a:pt x="4083467" y="110280"/>
                                </a:lnTo>
                                <a:lnTo>
                                  <a:pt x="4146002" y="110280"/>
                                </a:lnTo>
                                <a:lnTo>
                                  <a:pt x="4207666" y="101489"/>
                                </a:lnTo>
                                <a:close/>
                              </a:path>
                              <a:path w="4270375" h="464184">
                                <a:moveTo>
                                  <a:pt x="4267383" y="75146"/>
                                </a:moveTo>
                                <a:lnTo>
                                  <a:pt x="4082455" y="101509"/>
                                </a:lnTo>
                                <a:lnTo>
                                  <a:pt x="4082669" y="101489"/>
                                </a:lnTo>
                                <a:lnTo>
                                  <a:pt x="4207666" y="101489"/>
                                </a:lnTo>
                                <a:lnTo>
                                  <a:pt x="4269874" y="92621"/>
                                </a:lnTo>
                                <a:lnTo>
                                  <a:pt x="4267383" y="75146"/>
                                </a:lnTo>
                                <a:close/>
                              </a:path>
                              <a:path w="4270375" h="464184">
                                <a:moveTo>
                                  <a:pt x="3562250" y="93915"/>
                                </a:moveTo>
                                <a:lnTo>
                                  <a:pt x="3553350" y="93915"/>
                                </a:lnTo>
                                <a:lnTo>
                                  <a:pt x="3562177" y="94717"/>
                                </a:lnTo>
                                <a:lnTo>
                                  <a:pt x="3562250" y="93915"/>
                                </a:lnTo>
                                <a:close/>
                              </a:path>
                              <a:path w="4270375" h="464184">
                                <a:moveTo>
                                  <a:pt x="3563769" y="77174"/>
                                </a:moveTo>
                                <a:lnTo>
                                  <a:pt x="3562177" y="94717"/>
                                </a:lnTo>
                                <a:lnTo>
                                  <a:pt x="3740484" y="94717"/>
                                </a:lnTo>
                                <a:lnTo>
                                  <a:pt x="3731828" y="93145"/>
                                </a:lnTo>
                                <a:lnTo>
                                  <a:pt x="3563769" y="77174"/>
                                </a:lnTo>
                                <a:close/>
                              </a:path>
                              <a:path w="4270375" h="464184">
                                <a:moveTo>
                                  <a:pt x="3546229" y="75546"/>
                                </a:moveTo>
                                <a:lnTo>
                                  <a:pt x="3544563" y="93081"/>
                                </a:lnTo>
                                <a:lnTo>
                                  <a:pt x="3553350" y="93916"/>
                                </a:lnTo>
                                <a:lnTo>
                                  <a:pt x="3562250" y="93915"/>
                                </a:lnTo>
                                <a:lnTo>
                                  <a:pt x="3563699" y="77947"/>
                                </a:lnTo>
                                <a:lnTo>
                                  <a:pt x="3563700" y="77167"/>
                                </a:lnTo>
                                <a:lnTo>
                                  <a:pt x="3546229" y="75546"/>
                                </a:lnTo>
                                <a:close/>
                              </a:path>
                              <a:path w="4270375" h="464184">
                                <a:moveTo>
                                  <a:pt x="3466995" y="68360"/>
                                </a:moveTo>
                                <a:lnTo>
                                  <a:pt x="3369353" y="68360"/>
                                </a:lnTo>
                                <a:lnTo>
                                  <a:pt x="3368934" y="77176"/>
                                </a:lnTo>
                                <a:lnTo>
                                  <a:pt x="3553314" y="93913"/>
                                </a:lnTo>
                                <a:lnTo>
                                  <a:pt x="3544563" y="93081"/>
                                </a:lnTo>
                                <a:lnTo>
                                  <a:pt x="3546229" y="75546"/>
                                </a:lnTo>
                                <a:lnTo>
                                  <a:pt x="3466995" y="68360"/>
                                </a:lnTo>
                                <a:close/>
                              </a:path>
                              <a:path w="4270375" h="464184">
                                <a:moveTo>
                                  <a:pt x="1957928" y="76744"/>
                                </a:moveTo>
                                <a:lnTo>
                                  <a:pt x="1959577" y="85415"/>
                                </a:lnTo>
                                <a:lnTo>
                                  <a:pt x="1959969" y="85331"/>
                                </a:lnTo>
                                <a:lnTo>
                                  <a:pt x="1957928" y="76744"/>
                                </a:lnTo>
                                <a:close/>
                              </a:path>
                              <a:path w="4270375" h="464184">
                                <a:moveTo>
                                  <a:pt x="2005176" y="76744"/>
                                </a:moveTo>
                                <a:lnTo>
                                  <a:pt x="1957928" y="76744"/>
                                </a:lnTo>
                                <a:lnTo>
                                  <a:pt x="1959969" y="85331"/>
                                </a:lnTo>
                                <a:lnTo>
                                  <a:pt x="1959774" y="85378"/>
                                </a:lnTo>
                                <a:lnTo>
                                  <a:pt x="2005176" y="76744"/>
                                </a:lnTo>
                                <a:close/>
                              </a:path>
                              <a:path w="4270375" h="464184">
                                <a:moveTo>
                                  <a:pt x="2840464" y="59533"/>
                                </a:moveTo>
                                <a:lnTo>
                                  <a:pt x="2831244" y="59533"/>
                                </a:lnTo>
                                <a:lnTo>
                                  <a:pt x="2831244" y="76422"/>
                                </a:lnTo>
                                <a:lnTo>
                                  <a:pt x="2848063" y="77947"/>
                                </a:lnTo>
                                <a:lnTo>
                                  <a:pt x="2848132" y="77186"/>
                                </a:lnTo>
                                <a:lnTo>
                                  <a:pt x="2840070" y="77186"/>
                                </a:lnTo>
                                <a:lnTo>
                                  <a:pt x="2848132" y="77186"/>
                                </a:lnTo>
                                <a:lnTo>
                                  <a:pt x="2849658" y="60367"/>
                                </a:lnTo>
                                <a:lnTo>
                                  <a:pt x="2840464" y="59533"/>
                                </a:lnTo>
                                <a:close/>
                              </a:path>
                              <a:path w="4270375" h="464184">
                                <a:moveTo>
                                  <a:pt x="2831244" y="76422"/>
                                </a:moveTo>
                                <a:lnTo>
                                  <a:pt x="2831244" y="77186"/>
                                </a:lnTo>
                                <a:lnTo>
                                  <a:pt x="2839673" y="77186"/>
                                </a:lnTo>
                                <a:lnTo>
                                  <a:pt x="2831244" y="76422"/>
                                </a:lnTo>
                                <a:close/>
                              </a:path>
                              <a:path w="4270375" h="464184">
                                <a:moveTo>
                                  <a:pt x="3016052" y="59533"/>
                                </a:moveTo>
                                <a:lnTo>
                                  <a:pt x="2840464" y="59533"/>
                                </a:lnTo>
                                <a:lnTo>
                                  <a:pt x="2849658" y="60367"/>
                                </a:lnTo>
                                <a:lnTo>
                                  <a:pt x="2848132" y="77186"/>
                                </a:lnTo>
                                <a:lnTo>
                                  <a:pt x="3017115" y="77167"/>
                                </a:lnTo>
                                <a:lnTo>
                                  <a:pt x="3100948" y="68802"/>
                                </a:lnTo>
                                <a:lnTo>
                                  <a:pt x="3100507" y="68802"/>
                                </a:lnTo>
                                <a:lnTo>
                                  <a:pt x="3100507" y="68360"/>
                                </a:lnTo>
                                <a:lnTo>
                                  <a:pt x="3016493" y="68360"/>
                                </a:lnTo>
                                <a:lnTo>
                                  <a:pt x="3015617" y="59576"/>
                                </a:lnTo>
                                <a:lnTo>
                                  <a:pt x="3016052" y="59533"/>
                                </a:lnTo>
                                <a:close/>
                              </a:path>
                              <a:path w="4270375" h="464184">
                                <a:moveTo>
                                  <a:pt x="3368747" y="77167"/>
                                </a:moveTo>
                                <a:lnTo>
                                  <a:pt x="3368934" y="77176"/>
                                </a:lnTo>
                                <a:lnTo>
                                  <a:pt x="3368747" y="77167"/>
                                </a:lnTo>
                                <a:close/>
                              </a:path>
                              <a:path w="4270375" h="464184">
                                <a:moveTo>
                                  <a:pt x="3369353" y="68360"/>
                                </a:moveTo>
                                <a:lnTo>
                                  <a:pt x="3368555" y="77150"/>
                                </a:lnTo>
                                <a:lnTo>
                                  <a:pt x="3368934" y="77176"/>
                                </a:lnTo>
                                <a:lnTo>
                                  <a:pt x="3369353" y="68360"/>
                                </a:lnTo>
                                <a:close/>
                              </a:path>
                              <a:path w="4270375" h="464184">
                                <a:moveTo>
                                  <a:pt x="3555142" y="76354"/>
                                </a:moveTo>
                                <a:lnTo>
                                  <a:pt x="3563769" y="77174"/>
                                </a:lnTo>
                                <a:lnTo>
                                  <a:pt x="3555142" y="76354"/>
                                </a:lnTo>
                                <a:close/>
                              </a:path>
                              <a:path w="4270375" h="464184">
                                <a:moveTo>
                                  <a:pt x="3201743" y="68793"/>
                                </a:moveTo>
                                <a:lnTo>
                                  <a:pt x="3192498" y="68793"/>
                                </a:lnTo>
                                <a:lnTo>
                                  <a:pt x="3368747" y="77167"/>
                                </a:lnTo>
                                <a:lnTo>
                                  <a:pt x="3368555" y="77150"/>
                                </a:lnTo>
                                <a:lnTo>
                                  <a:pt x="3369313" y="68802"/>
                                </a:lnTo>
                                <a:lnTo>
                                  <a:pt x="3201743" y="68802"/>
                                </a:lnTo>
                                <a:close/>
                              </a:path>
                              <a:path w="4270375" h="464184">
                                <a:moveTo>
                                  <a:pt x="2661575" y="43408"/>
                                </a:moveTo>
                                <a:lnTo>
                                  <a:pt x="2745978" y="68686"/>
                                </a:lnTo>
                                <a:lnTo>
                                  <a:pt x="2831244" y="76422"/>
                                </a:lnTo>
                                <a:lnTo>
                                  <a:pt x="2831244" y="59976"/>
                                </a:lnTo>
                                <a:lnTo>
                                  <a:pt x="2747660" y="59976"/>
                                </a:lnTo>
                                <a:lnTo>
                                  <a:pt x="2748457" y="51185"/>
                                </a:lnTo>
                                <a:lnTo>
                                  <a:pt x="2749074" y="51185"/>
                                </a:lnTo>
                                <a:lnTo>
                                  <a:pt x="2723398" y="43496"/>
                                </a:lnTo>
                                <a:lnTo>
                                  <a:pt x="2662059" y="43496"/>
                                </a:lnTo>
                                <a:lnTo>
                                  <a:pt x="2661575" y="43408"/>
                                </a:lnTo>
                                <a:close/>
                              </a:path>
                              <a:path w="4270375" h="464184">
                                <a:moveTo>
                                  <a:pt x="3546232" y="75507"/>
                                </a:moveTo>
                                <a:lnTo>
                                  <a:pt x="3555142" y="76354"/>
                                </a:lnTo>
                                <a:lnTo>
                                  <a:pt x="3546232" y="75507"/>
                                </a:lnTo>
                                <a:close/>
                              </a:path>
                              <a:path w="4270375" h="464184">
                                <a:moveTo>
                                  <a:pt x="3100507" y="59976"/>
                                </a:moveTo>
                                <a:lnTo>
                                  <a:pt x="3100507" y="68802"/>
                                </a:lnTo>
                                <a:lnTo>
                                  <a:pt x="3101040" y="68793"/>
                                </a:lnTo>
                                <a:lnTo>
                                  <a:pt x="3101383" y="68759"/>
                                </a:lnTo>
                                <a:lnTo>
                                  <a:pt x="3100507" y="59976"/>
                                </a:lnTo>
                                <a:close/>
                              </a:path>
                              <a:path w="4270375" h="464184">
                                <a:moveTo>
                                  <a:pt x="3184080" y="59976"/>
                                </a:moveTo>
                                <a:lnTo>
                                  <a:pt x="3100507" y="59976"/>
                                </a:lnTo>
                                <a:lnTo>
                                  <a:pt x="3101383" y="68759"/>
                                </a:lnTo>
                                <a:lnTo>
                                  <a:pt x="3100948" y="68802"/>
                                </a:lnTo>
                                <a:lnTo>
                                  <a:pt x="3192693" y="68802"/>
                                </a:lnTo>
                                <a:lnTo>
                                  <a:pt x="3183681" y="68375"/>
                                </a:lnTo>
                                <a:lnTo>
                                  <a:pt x="3184080" y="59976"/>
                                </a:lnTo>
                                <a:close/>
                              </a:path>
                              <a:path w="4270375" h="464184">
                                <a:moveTo>
                                  <a:pt x="3201743" y="51559"/>
                                </a:moveTo>
                                <a:lnTo>
                                  <a:pt x="3201743" y="68802"/>
                                </a:lnTo>
                                <a:lnTo>
                                  <a:pt x="3369313" y="68802"/>
                                </a:lnTo>
                                <a:lnTo>
                                  <a:pt x="3369353" y="68360"/>
                                </a:lnTo>
                                <a:lnTo>
                                  <a:pt x="3466995" y="68360"/>
                                </a:lnTo>
                                <a:lnTo>
                                  <a:pt x="3369772" y="59542"/>
                                </a:lnTo>
                                <a:lnTo>
                                  <a:pt x="3201743" y="51559"/>
                                </a:lnTo>
                                <a:close/>
                              </a:path>
                              <a:path w="4270375" h="464184">
                                <a:moveTo>
                                  <a:pt x="3184499" y="51151"/>
                                </a:moveTo>
                                <a:lnTo>
                                  <a:pt x="3183681" y="68375"/>
                                </a:lnTo>
                                <a:lnTo>
                                  <a:pt x="3192498" y="68794"/>
                                </a:lnTo>
                                <a:lnTo>
                                  <a:pt x="3201743" y="68793"/>
                                </a:lnTo>
                                <a:lnTo>
                                  <a:pt x="3201743" y="51559"/>
                                </a:lnTo>
                                <a:lnTo>
                                  <a:pt x="3193148" y="51151"/>
                                </a:lnTo>
                                <a:lnTo>
                                  <a:pt x="3184499" y="51151"/>
                                </a:lnTo>
                                <a:close/>
                              </a:path>
                              <a:path w="4270375" h="464184">
                                <a:moveTo>
                                  <a:pt x="3192498" y="68793"/>
                                </a:moveTo>
                                <a:close/>
                              </a:path>
                              <a:path w="4270375" h="464184">
                                <a:moveTo>
                                  <a:pt x="3100507" y="51150"/>
                                </a:moveTo>
                                <a:lnTo>
                                  <a:pt x="3100059" y="51151"/>
                                </a:lnTo>
                                <a:lnTo>
                                  <a:pt x="3015617" y="59576"/>
                                </a:lnTo>
                                <a:lnTo>
                                  <a:pt x="3016493" y="68360"/>
                                </a:lnTo>
                                <a:lnTo>
                                  <a:pt x="3016493" y="59533"/>
                                </a:lnTo>
                                <a:lnTo>
                                  <a:pt x="3184101" y="59533"/>
                                </a:lnTo>
                                <a:lnTo>
                                  <a:pt x="3184499" y="51151"/>
                                </a:lnTo>
                                <a:lnTo>
                                  <a:pt x="3100507" y="51150"/>
                                </a:lnTo>
                                <a:close/>
                              </a:path>
                              <a:path w="4270375" h="464184">
                                <a:moveTo>
                                  <a:pt x="3184101" y="59533"/>
                                </a:moveTo>
                                <a:lnTo>
                                  <a:pt x="3016493" y="59533"/>
                                </a:lnTo>
                                <a:lnTo>
                                  <a:pt x="3016493" y="68360"/>
                                </a:lnTo>
                                <a:lnTo>
                                  <a:pt x="3100507" y="68360"/>
                                </a:lnTo>
                                <a:lnTo>
                                  <a:pt x="3100507" y="59976"/>
                                </a:lnTo>
                                <a:lnTo>
                                  <a:pt x="3184080" y="59976"/>
                                </a:lnTo>
                                <a:lnTo>
                                  <a:pt x="3184101" y="59533"/>
                                </a:lnTo>
                                <a:close/>
                              </a:path>
                              <a:path w="4270375" h="464184">
                                <a:moveTo>
                                  <a:pt x="2748457" y="51185"/>
                                </a:moveTo>
                                <a:lnTo>
                                  <a:pt x="2747660" y="59976"/>
                                </a:lnTo>
                                <a:lnTo>
                                  <a:pt x="2750192" y="51520"/>
                                </a:lnTo>
                                <a:lnTo>
                                  <a:pt x="2749342" y="51266"/>
                                </a:lnTo>
                                <a:lnTo>
                                  <a:pt x="2748457" y="51185"/>
                                </a:lnTo>
                                <a:close/>
                              </a:path>
                              <a:path w="4270375" h="464184">
                                <a:moveTo>
                                  <a:pt x="2749342" y="51266"/>
                                </a:moveTo>
                                <a:lnTo>
                                  <a:pt x="2750192" y="51520"/>
                                </a:lnTo>
                                <a:lnTo>
                                  <a:pt x="2747660" y="59976"/>
                                </a:lnTo>
                                <a:lnTo>
                                  <a:pt x="2831244" y="59976"/>
                                </a:lnTo>
                                <a:lnTo>
                                  <a:pt x="2831244" y="59533"/>
                                </a:lnTo>
                                <a:lnTo>
                                  <a:pt x="2840464" y="59533"/>
                                </a:lnTo>
                                <a:lnTo>
                                  <a:pt x="2749342" y="51266"/>
                                </a:lnTo>
                                <a:close/>
                              </a:path>
                              <a:path w="4270375" h="464184">
                                <a:moveTo>
                                  <a:pt x="2141454" y="33268"/>
                                </a:moveTo>
                                <a:lnTo>
                                  <a:pt x="2132947" y="34480"/>
                                </a:lnTo>
                                <a:lnTo>
                                  <a:pt x="2124430" y="36100"/>
                                </a:lnTo>
                                <a:lnTo>
                                  <a:pt x="2126864" y="53180"/>
                                </a:lnTo>
                                <a:lnTo>
                                  <a:pt x="2135603" y="51935"/>
                                </a:lnTo>
                                <a:lnTo>
                                  <a:pt x="2144677" y="50218"/>
                                </a:lnTo>
                                <a:lnTo>
                                  <a:pt x="2141454" y="33268"/>
                                </a:lnTo>
                                <a:close/>
                              </a:path>
                              <a:path w="4270375" h="464184">
                                <a:moveTo>
                                  <a:pt x="2135800" y="51906"/>
                                </a:moveTo>
                                <a:lnTo>
                                  <a:pt x="2135603" y="51934"/>
                                </a:lnTo>
                                <a:lnTo>
                                  <a:pt x="2126864" y="53180"/>
                                </a:lnTo>
                                <a:lnTo>
                                  <a:pt x="2129101" y="53180"/>
                                </a:lnTo>
                                <a:lnTo>
                                  <a:pt x="2135800" y="51906"/>
                                </a:lnTo>
                                <a:close/>
                              </a:path>
                              <a:path w="4270375" h="464184">
                                <a:moveTo>
                                  <a:pt x="2394807" y="834"/>
                                </a:moveTo>
                                <a:lnTo>
                                  <a:pt x="2394359" y="834"/>
                                </a:lnTo>
                                <a:lnTo>
                                  <a:pt x="2309542" y="9317"/>
                                </a:lnTo>
                                <a:lnTo>
                                  <a:pt x="2141454" y="33268"/>
                                </a:lnTo>
                                <a:lnTo>
                                  <a:pt x="2144677" y="50218"/>
                                </a:lnTo>
                                <a:lnTo>
                                  <a:pt x="2135800" y="51906"/>
                                </a:lnTo>
                                <a:lnTo>
                                  <a:pt x="2311722" y="26839"/>
                                </a:lnTo>
                                <a:lnTo>
                                  <a:pt x="2310787" y="18056"/>
                                </a:lnTo>
                                <a:lnTo>
                                  <a:pt x="2394807" y="18056"/>
                                </a:lnTo>
                                <a:lnTo>
                                  <a:pt x="2394807" y="9660"/>
                                </a:lnTo>
                                <a:lnTo>
                                  <a:pt x="2478340" y="9660"/>
                                </a:lnTo>
                                <a:lnTo>
                                  <a:pt x="2479222" y="834"/>
                                </a:lnTo>
                                <a:lnTo>
                                  <a:pt x="2394807" y="834"/>
                                </a:lnTo>
                                <a:close/>
                              </a:path>
                              <a:path w="4270375" h="464184">
                                <a:moveTo>
                                  <a:pt x="3193148" y="51151"/>
                                </a:moveTo>
                                <a:lnTo>
                                  <a:pt x="3201743" y="51559"/>
                                </a:lnTo>
                                <a:lnTo>
                                  <a:pt x="3201743" y="51151"/>
                                </a:lnTo>
                                <a:lnTo>
                                  <a:pt x="3193148" y="51151"/>
                                </a:lnTo>
                                <a:close/>
                              </a:path>
                              <a:path w="4270375" h="464184">
                                <a:moveTo>
                                  <a:pt x="2749074" y="51185"/>
                                </a:moveTo>
                                <a:lnTo>
                                  <a:pt x="2748457" y="51185"/>
                                </a:lnTo>
                                <a:lnTo>
                                  <a:pt x="2749342" y="51266"/>
                                </a:lnTo>
                                <a:lnTo>
                                  <a:pt x="2749074" y="51185"/>
                                </a:lnTo>
                                <a:close/>
                              </a:path>
                              <a:path w="4270375" h="464184">
                                <a:moveTo>
                                  <a:pt x="3184518" y="50741"/>
                                </a:moveTo>
                                <a:lnTo>
                                  <a:pt x="3184499" y="51151"/>
                                </a:lnTo>
                                <a:lnTo>
                                  <a:pt x="3193148" y="51151"/>
                                </a:lnTo>
                                <a:lnTo>
                                  <a:pt x="3184518" y="50741"/>
                                </a:lnTo>
                                <a:close/>
                              </a:path>
                              <a:path w="4270375" h="464184">
                                <a:moveTo>
                                  <a:pt x="2663634" y="34811"/>
                                </a:moveTo>
                                <a:lnTo>
                                  <a:pt x="2661102" y="43267"/>
                                </a:lnTo>
                                <a:lnTo>
                                  <a:pt x="2661575" y="43408"/>
                                </a:lnTo>
                                <a:lnTo>
                                  <a:pt x="2662059" y="43496"/>
                                </a:lnTo>
                                <a:lnTo>
                                  <a:pt x="2663634" y="34811"/>
                                </a:lnTo>
                                <a:close/>
                              </a:path>
                              <a:path w="4270375" h="464184">
                                <a:moveTo>
                                  <a:pt x="2694400" y="34811"/>
                                </a:moveTo>
                                <a:lnTo>
                                  <a:pt x="2663634" y="34811"/>
                                </a:lnTo>
                                <a:lnTo>
                                  <a:pt x="2662059" y="43496"/>
                                </a:lnTo>
                                <a:lnTo>
                                  <a:pt x="2723398" y="43496"/>
                                </a:lnTo>
                                <a:lnTo>
                                  <a:pt x="2694400" y="34811"/>
                                </a:lnTo>
                                <a:close/>
                              </a:path>
                              <a:path w="4270375" h="464184">
                                <a:moveTo>
                                  <a:pt x="2570005" y="26804"/>
                                </a:moveTo>
                                <a:lnTo>
                                  <a:pt x="2661575" y="43408"/>
                                </a:lnTo>
                                <a:lnTo>
                                  <a:pt x="2661102" y="43267"/>
                                </a:lnTo>
                                <a:lnTo>
                                  <a:pt x="2663634" y="34811"/>
                                </a:lnTo>
                                <a:lnTo>
                                  <a:pt x="2694400" y="34811"/>
                                </a:lnTo>
                                <a:lnTo>
                                  <a:pt x="2667779" y="26839"/>
                                </a:lnTo>
                                <a:lnTo>
                                  <a:pt x="2570359" y="26839"/>
                                </a:lnTo>
                                <a:lnTo>
                                  <a:pt x="2570005" y="26804"/>
                                </a:lnTo>
                                <a:close/>
                              </a:path>
                              <a:path w="4270375" h="464184">
                                <a:moveTo>
                                  <a:pt x="2132947" y="34480"/>
                                </a:moveTo>
                                <a:lnTo>
                                  <a:pt x="2124373" y="35702"/>
                                </a:lnTo>
                                <a:lnTo>
                                  <a:pt x="2124430" y="36100"/>
                                </a:lnTo>
                                <a:lnTo>
                                  <a:pt x="2132947" y="34480"/>
                                </a:lnTo>
                                <a:close/>
                              </a:path>
                              <a:path w="4270375" h="464184">
                                <a:moveTo>
                                  <a:pt x="2141380" y="32876"/>
                                </a:moveTo>
                                <a:lnTo>
                                  <a:pt x="2132947" y="34480"/>
                                </a:lnTo>
                                <a:lnTo>
                                  <a:pt x="2141454" y="33268"/>
                                </a:lnTo>
                                <a:lnTo>
                                  <a:pt x="2141380" y="32876"/>
                                </a:lnTo>
                                <a:close/>
                              </a:path>
                              <a:path w="4270375" h="464184">
                                <a:moveTo>
                                  <a:pt x="2310787" y="18056"/>
                                </a:moveTo>
                                <a:lnTo>
                                  <a:pt x="2311665" y="26839"/>
                                </a:lnTo>
                                <a:lnTo>
                                  <a:pt x="2311970" y="26804"/>
                                </a:lnTo>
                                <a:lnTo>
                                  <a:pt x="2311950" y="26214"/>
                                </a:lnTo>
                                <a:lnTo>
                                  <a:pt x="2310787" y="18056"/>
                                </a:lnTo>
                                <a:close/>
                              </a:path>
                              <a:path w="4270375" h="464184">
                                <a:moveTo>
                                  <a:pt x="2571237" y="18056"/>
                                </a:moveTo>
                                <a:lnTo>
                                  <a:pt x="2569661" y="26741"/>
                                </a:lnTo>
                                <a:lnTo>
                                  <a:pt x="2570005" y="26804"/>
                                </a:lnTo>
                                <a:lnTo>
                                  <a:pt x="2570359" y="26839"/>
                                </a:lnTo>
                                <a:lnTo>
                                  <a:pt x="2571237" y="18056"/>
                                </a:lnTo>
                                <a:close/>
                              </a:path>
                              <a:path w="4270375" h="464184">
                                <a:moveTo>
                                  <a:pt x="2620705" y="18056"/>
                                </a:moveTo>
                                <a:lnTo>
                                  <a:pt x="2571237" y="18056"/>
                                </a:lnTo>
                                <a:lnTo>
                                  <a:pt x="2570359" y="26839"/>
                                </a:lnTo>
                                <a:lnTo>
                                  <a:pt x="2667779" y="26839"/>
                                </a:lnTo>
                                <a:lnTo>
                                  <a:pt x="2665693" y="26214"/>
                                </a:lnTo>
                                <a:lnTo>
                                  <a:pt x="2620705" y="18056"/>
                                </a:lnTo>
                                <a:close/>
                              </a:path>
                              <a:path w="4270375" h="464184">
                                <a:moveTo>
                                  <a:pt x="2394807" y="18056"/>
                                </a:moveTo>
                                <a:lnTo>
                                  <a:pt x="2310787" y="18056"/>
                                </a:lnTo>
                                <a:lnTo>
                                  <a:pt x="2311950" y="26214"/>
                                </a:lnTo>
                                <a:lnTo>
                                  <a:pt x="2311970" y="26804"/>
                                </a:lnTo>
                                <a:lnTo>
                                  <a:pt x="2395250" y="18486"/>
                                </a:lnTo>
                                <a:lnTo>
                                  <a:pt x="2394807" y="18486"/>
                                </a:lnTo>
                                <a:lnTo>
                                  <a:pt x="2394807" y="18056"/>
                                </a:lnTo>
                                <a:close/>
                              </a:path>
                              <a:path w="4270375" h="464184">
                                <a:moveTo>
                                  <a:pt x="2496036" y="18443"/>
                                </a:moveTo>
                                <a:lnTo>
                                  <a:pt x="2486333" y="18443"/>
                                </a:lnTo>
                                <a:lnTo>
                                  <a:pt x="2570005" y="26804"/>
                                </a:lnTo>
                                <a:lnTo>
                                  <a:pt x="2569661" y="26741"/>
                                </a:lnTo>
                                <a:lnTo>
                                  <a:pt x="2571159" y="18486"/>
                                </a:lnTo>
                                <a:lnTo>
                                  <a:pt x="2496036" y="18486"/>
                                </a:lnTo>
                                <a:close/>
                              </a:path>
                              <a:path w="4270375" h="464184">
                                <a:moveTo>
                                  <a:pt x="2394807" y="9660"/>
                                </a:moveTo>
                                <a:lnTo>
                                  <a:pt x="2394807" y="18486"/>
                                </a:lnTo>
                                <a:lnTo>
                                  <a:pt x="2395250" y="18486"/>
                                </a:lnTo>
                                <a:lnTo>
                                  <a:pt x="2395677" y="18443"/>
                                </a:lnTo>
                                <a:lnTo>
                                  <a:pt x="2394807" y="9660"/>
                                </a:lnTo>
                                <a:close/>
                              </a:path>
                              <a:path w="4270375" h="464184">
                                <a:moveTo>
                                  <a:pt x="2478340" y="9660"/>
                                </a:moveTo>
                                <a:lnTo>
                                  <a:pt x="2394807" y="9660"/>
                                </a:lnTo>
                                <a:lnTo>
                                  <a:pt x="2395677" y="18443"/>
                                </a:lnTo>
                                <a:lnTo>
                                  <a:pt x="2395250" y="18486"/>
                                </a:lnTo>
                                <a:lnTo>
                                  <a:pt x="2486768" y="18486"/>
                                </a:lnTo>
                                <a:lnTo>
                                  <a:pt x="2477550" y="17566"/>
                                </a:lnTo>
                                <a:lnTo>
                                  <a:pt x="2478340" y="9660"/>
                                </a:lnTo>
                                <a:close/>
                              </a:path>
                              <a:path w="4270375" h="464184">
                                <a:moveTo>
                                  <a:pt x="2496036" y="1671"/>
                                </a:moveTo>
                                <a:lnTo>
                                  <a:pt x="2496036" y="18486"/>
                                </a:lnTo>
                                <a:lnTo>
                                  <a:pt x="2571159" y="18486"/>
                                </a:lnTo>
                                <a:lnTo>
                                  <a:pt x="2571237" y="18056"/>
                                </a:lnTo>
                                <a:lnTo>
                                  <a:pt x="2620705" y="18056"/>
                                </a:lnTo>
                                <a:lnTo>
                                  <a:pt x="2572464" y="9309"/>
                                </a:lnTo>
                                <a:lnTo>
                                  <a:pt x="2496036" y="1671"/>
                                </a:lnTo>
                                <a:close/>
                              </a:path>
                              <a:path w="4270375" h="464184">
                                <a:moveTo>
                                  <a:pt x="2479222" y="834"/>
                                </a:moveTo>
                                <a:lnTo>
                                  <a:pt x="2477550" y="17566"/>
                                </a:lnTo>
                                <a:lnTo>
                                  <a:pt x="2486333" y="18443"/>
                                </a:lnTo>
                                <a:lnTo>
                                  <a:pt x="2496036" y="18443"/>
                                </a:lnTo>
                                <a:lnTo>
                                  <a:pt x="2496036" y="1671"/>
                                </a:lnTo>
                                <a:lnTo>
                                  <a:pt x="2487658" y="834"/>
                                </a:lnTo>
                                <a:lnTo>
                                  <a:pt x="2479222" y="834"/>
                                </a:lnTo>
                                <a:close/>
                              </a:path>
                              <a:path w="4270375" h="464184">
                                <a:moveTo>
                                  <a:pt x="2486333" y="18443"/>
                                </a:moveTo>
                                <a:close/>
                              </a:path>
                              <a:path w="4270375" h="464184">
                                <a:moveTo>
                                  <a:pt x="2487658" y="834"/>
                                </a:moveTo>
                                <a:lnTo>
                                  <a:pt x="2496036" y="1671"/>
                                </a:lnTo>
                                <a:lnTo>
                                  <a:pt x="2496036" y="834"/>
                                </a:lnTo>
                                <a:lnTo>
                                  <a:pt x="2487658" y="834"/>
                                </a:lnTo>
                                <a:close/>
                              </a:path>
                              <a:path w="4270375" h="464184">
                                <a:moveTo>
                                  <a:pt x="2479305" y="0"/>
                                </a:moveTo>
                                <a:lnTo>
                                  <a:pt x="2479222" y="834"/>
                                </a:lnTo>
                                <a:lnTo>
                                  <a:pt x="2487658" y="834"/>
                                </a:lnTo>
                                <a:lnTo>
                                  <a:pt x="2479305" y="0"/>
                                </a:lnTo>
                                <a:close/>
                              </a:path>
                            </a:pathLst>
                          </a:custGeom>
                          <a:solidFill>
                            <a:srgbClr val="E3C626"/>
                          </a:solidFill>
                        </wps:spPr>
                        <wps:bodyPr wrap="square" lIns="0" tIns="0" rIns="0" bIns="0" rtlCol="0">
                          <a:prstTxWarp prst="textNoShape">
                            <a:avLst/>
                          </a:prstTxWarp>
                          <a:noAutofit/>
                        </wps:bodyPr>
                      </wps:wsp>
                      <wps:wsp>
                        <wps:cNvPr id="2065" name="Graphic 2065"/>
                        <wps:cNvSpPr/>
                        <wps:spPr>
                          <a:xfrm>
                            <a:off x="655130" y="1874386"/>
                            <a:ext cx="3564254" cy="505459"/>
                          </a:xfrm>
                          <a:custGeom>
                            <a:avLst/>
                            <a:gdLst/>
                            <a:ahLst/>
                            <a:cxnLst/>
                            <a:rect l="l" t="t" r="r" b="b"/>
                            <a:pathLst>
                              <a:path w="3564254" h="505459">
                                <a:moveTo>
                                  <a:pt x="361556" y="478912"/>
                                </a:moveTo>
                                <a:lnTo>
                                  <a:pt x="0" y="487503"/>
                                </a:lnTo>
                                <a:lnTo>
                                  <a:pt x="419" y="505151"/>
                                </a:lnTo>
                                <a:lnTo>
                                  <a:pt x="353479" y="496762"/>
                                </a:lnTo>
                                <a:lnTo>
                                  <a:pt x="352649" y="479336"/>
                                </a:lnTo>
                                <a:lnTo>
                                  <a:pt x="361556" y="478912"/>
                                </a:lnTo>
                                <a:close/>
                              </a:path>
                              <a:path w="3564254" h="505459">
                                <a:moveTo>
                                  <a:pt x="362271" y="496553"/>
                                </a:moveTo>
                                <a:lnTo>
                                  <a:pt x="353479" y="496762"/>
                                </a:lnTo>
                                <a:lnTo>
                                  <a:pt x="353489" y="496971"/>
                                </a:lnTo>
                                <a:lnTo>
                                  <a:pt x="362271" y="496553"/>
                                </a:lnTo>
                                <a:close/>
                              </a:path>
                              <a:path w="3564254" h="505459">
                                <a:moveTo>
                                  <a:pt x="370501" y="478700"/>
                                </a:moveTo>
                                <a:lnTo>
                                  <a:pt x="361556" y="478912"/>
                                </a:lnTo>
                                <a:lnTo>
                                  <a:pt x="352649" y="479336"/>
                                </a:lnTo>
                                <a:lnTo>
                                  <a:pt x="353479" y="496762"/>
                                </a:lnTo>
                                <a:lnTo>
                                  <a:pt x="362306" y="496551"/>
                                </a:lnTo>
                                <a:lnTo>
                                  <a:pt x="370915" y="496141"/>
                                </a:lnTo>
                                <a:lnTo>
                                  <a:pt x="370501" y="478700"/>
                                </a:lnTo>
                                <a:close/>
                              </a:path>
                              <a:path w="3564254" h="505459">
                                <a:moveTo>
                                  <a:pt x="370915" y="496141"/>
                                </a:moveTo>
                                <a:lnTo>
                                  <a:pt x="362271" y="496553"/>
                                </a:lnTo>
                                <a:lnTo>
                                  <a:pt x="370920" y="496348"/>
                                </a:lnTo>
                                <a:lnTo>
                                  <a:pt x="370915" y="496141"/>
                                </a:lnTo>
                                <a:close/>
                              </a:path>
                              <a:path w="3564254" h="505459">
                                <a:moveTo>
                                  <a:pt x="706932" y="478700"/>
                                </a:moveTo>
                                <a:lnTo>
                                  <a:pt x="370501" y="478700"/>
                                </a:lnTo>
                                <a:lnTo>
                                  <a:pt x="370915" y="496141"/>
                                </a:lnTo>
                                <a:lnTo>
                                  <a:pt x="707141" y="480164"/>
                                </a:lnTo>
                                <a:lnTo>
                                  <a:pt x="706932" y="478700"/>
                                </a:lnTo>
                                <a:close/>
                              </a:path>
                              <a:path w="3564254" h="505459">
                                <a:moveTo>
                                  <a:pt x="715578" y="479763"/>
                                </a:moveTo>
                                <a:lnTo>
                                  <a:pt x="707141" y="480164"/>
                                </a:lnTo>
                                <a:lnTo>
                                  <a:pt x="707253" y="480950"/>
                                </a:lnTo>
                                <a:lnTo>
                                  <a:pt x="715578" y="479763"/>
                                </a:lnTo>
                                <a:close/>
                              </a:path>
                              <a:path w="3564254" h="505459">
                                <a:moveTo>
                                  <a:pt x="723144" y="461731"/>
                                </a:moveTo>
                                <a:lnTo>
                                  <a:pt x="713912" y="462169"/>
                                </a:lnTo>
                                <a:lnTo>
                                  <a:pt x="704761" y="463474"/>
                                </a:lnTo>
                                <a:lnTo>
                                  <a:pt x="707141" y="480164"/>
                                </a:lnTo>
                                <a:lnTo>
                                  <a:pt x="715578" y="479763"/>
                                </a:lnTo>
                                <a:lnTo>
                                  <a:pt x="715991" y="479704"/>
                                </a:lnTo>
                                <a:lnTo>
                                  <a:pt x="723943" y="478570"/>
                                </a:lnTo>
                                <a:lnTo>
                                  <a:pt x="723144" y="461731"/>
                                </a:lnTo>
                                <a:close/>
                              </a:path>
                              <a:path w="3564254" h="505459">
                                <a:moveTo>
                                  <a:pt x="723943" y="478570"/>
                                </a:moveTo>
                                <a:lnTo>
                                  <a:pt x="715991" y="479704"/>
                                </a:lnTo>
                                <a:lnTo>
                                  <a:pt x="715578" y="479763"/>
                                </a:lnTo>
                                <a:lnTo>
                                  <a:pt x="723980" y="479364"/>
                                </a:lnTo>
                                <a:lnTo>
                                  <a:pt x="723943" y="478570"/>
                                </a:lnTo>
                                <a:close/>
                              </a:path>
                              <a:path w="3564254" h="505459">
                                <a:moveTo>
                                  <a:pt x="713912" y="462169"/>
                                </a:moveTo>
                                <a:lnTo>
                                  <a:pt x="361556" y="478912"/>
                                </a:lnTo>
                                <a:lnTo>
                                  <a:pt x="370501" y="478700"/>
                                </a:lnTo>
                                <a:lnTo>
                                  <a:pt x="706932" y="478700"/>
                                </a:lnTo>
                                <a:lnTo>
                                  <a:pt x="704761" y="463474"/>
                                </a:lnTo>
                                <a:lnTo>
                                  <a:pt x="713912" y="462169"/>
                                </a:lnTo>
                                <a:close/>
                              </a:path>
                              <a:path w="3564254" h="505459">
                                <a:moveTo>
                                  <a:pt x="842060" y="461731"/>
                                </a:moveTo>
                                <a:lnTo>
                                  <a:pt x="723144" y="461731"/>
                                </a:lnTo>
                                <a:lnTo>
                                  <a:pt x="723943" y="478570"/>
                                </a:lnTo>
                                <a:lnTo>
                                  <a:pt x="842060" y="461731"/>
                                </a:lnTo>
                                <a:close/>
                              </a:path>
                              <a:path w="3564254" h="505459">
                                <a:moveTo>
                                  <a:pt x="1066411" y="413048"/>
                                </a:moveTo>
                                <a:lnTo>
                                  <a:pt x="946036" y="429437"/>
                                </a:lnTo>
                                <a:lnTo>
                                  <a:pt x="767290" y="454559"/>
                                </a:lnTo>
                                <a:lnTo>
                                  <a:pt x="713912" y="462169"/>
                                </a:lnTo>
                                <a:lnTo>
                                  <a:pt x="723144" y="461731"/>
                                </a:lnTo>
                                <a:lnTo>
                                  <a:pt x="842060" y="461731"/>
                                </a:lnTo>
                                <a:lnTo>
                                  <a:pt x="892365" y="454559"/>
                                </a:lnTo>
                                <a:lnTo>
                                  <a:pt x="1070747" y="430272"/>
                                </a:lnTo>
                                <a:lnTo>
                                  <a:pt x="1068050" y="430272"/>
                                </a:lnTo>
                                <a:lnTo>
                                  <a:pt x="1066411" y="413048"/>
                                </a:lnTo>
                                <a:close/>
                              </a:path>
                              <a:path w="3564254" h="505459">
                                <a:moveTo>
                                  <a:pt x="1083602" y="411060"/>
                                </a:moveTo>
                                <a:lnTo>
                                  <a:pt x="1075011" y="411877"/>
                                </a:lnTo>
                                <a:lnTo>
                                  <a:pt x="1066411" y="413048"/>
                                </a:lnTo>
                                <a:lnTo>
                                  <a:pt x="1068050" y="430272"/>
                                </a:lnTo>
                                <a:lnTo>
                                  <a:pt x="1076837" y="429437"/>
                                </a:lnTo>
                                <a:lnTo>
                                  <a:pt x="1085937" y="428204"/>
                                </a:lnTo>
                                <a:lnTo>
                                  <a:pt x="1083602" y="411060"/>
                                </a:lnTo>
                                <a:close/>
                              </a:path>
                              <a:path w="3564254" h="505459">
                                <a:moveTo>
                                  <a:pt x="1077013" y="429419"/>
                                </a:moveTo>
                                <a:lnTo>
                                  <a:pt x="1076836" y="429436"/>
                                </a:lnTo>
                                <a:lnTo>
                                  <a:pt x="1068050" y="430272"/>
                                </a:lnTo>
                                <a:lnTo>
                                  <a:pt x="1070747" y="430272"/>
                                </a:lnTo>
                                <a:lnTo>
                                  <a:pt x="1077013" y="429419"/>
                                </a:lnTo>
                                <a:close/>
                              </a:path>
                              <a:path w="3564254" h="505459">
                                <a:moveTo>
                                  <a:pt x="1420032" y="387081"/>
                                </a:moveTo>
                                <a:lnTo>
                                  <a:pt x="1251595" y="395082"/>
                                </a:lnTo>
                                <a:lnTo>
                                  <a:pt x="1083602" y="411060"/>
                                </a:lnTo>
                                <a:lnTo>
                                  <a:pt x="1085937" y="428204"/>
                                </a:lnTo>
                                <a:lnTo>
                                  <a:pt x="1077013" y="429419"/>
                                </a:lnTo>
                                <a:lnTo>
                                  <a:pt x="1252948" y="412686"/>
                                </a:lnTo>
                                <a:lnTo>
                                  <a:pt x="1252431" y="403869"/>
                                </a:lnTo>
                                <a:lnTo>
                                  <a:pt x="1420032" y="403869"/>
                                </a:lnTo>
                                <a:lnTo>
                                  <a:pt x="1420032" y="387081"/>
                                </a:lnTo>
                                <a:close/>
                              </a:path>
                              <a:path w="3564254" h="505459">
                                <a:moveTo>
                                  <a:pt x="1780832" y="403440"/>
                                </a:moveTo>
                                <a:lnTo>
                                  <a:pt x="1771328" y="405337"/>
                                </a:lnTo>
                                <a:lnTo>
                                  <a:pt x="1774783" y="422649"/>
                                </a:lnTo>
                                <a:lnTo>
                                  <a:pt x="1790537" y="419504"/>
                                </a:lnTo>
                                <a:lnTo>
                                  <a:pt x="1790537" y="403440"/>
                                </a:lnTo>
                                <a:lnTo>
                                  <a:pt x="1780832" y="403440"/>
                                </a:lnTo>
                                <a:close/>
                              </a:path>
                              <a:path w="3564254" h="505459">
                                <a:moveTo>
                                  <a:pt x="1772788" y="412652"/>
                                </a:moveTo>
                                <a:lnTo>
                                  <a:pt x="1604405" y="412652"/>
                                </a:lnTo>
                                <a:lnTo>
                                  <a:pt x="1688856" y="421092"/>
                                </a:lnTo>
                                <a:lnTo>
                                  <a:pt x="1774472" y="421092"/>
                                </a:lnTo>
                                <a:lnTo>
                                  <a:pt x="1772788" y="412652"/>
                                </a:lnTo>
                                <a:close/>
                              </a:path>
                              <a:path w="3564254" h="505459">
                                <a:moveTo>
                                  <a:pt x="1790537" y="419504"/>
                                </a:moveTo>
                                <a:lnTo>
                                  <a:pt x="1782589" y="421092"/>
                                </a:lnTo>
                                <a:lnTo>
                                  <a:pt x="1790537" y="421092"/>
                                </a:lnTo>
                                <a:lnTo>
                                  <a:pt x="1790537" y="419504"/>
                                </a:lnTo>
                                <a:close/>
                              </a:path>
                              <a:path w="3564254" h="505459">
                                <a:moveTo>
                                  <a:pt x="1956129" y="370111"/>
                                </a:moveTo>
                                <a:lnTo>
                                  <a:pt x="1863998" y="386842"/>
                                </a:lnTo>
                                <a:lnTo>
                                  <a:pt x="1780832" y="403440"/>
                                </a:lnTo>
                                <a:lnTo>
                                  <a:pt x="1790537" y="403440"/>
                                </a:lnTo>
                                <a:lnTo>
                                  <a:pt x="1790537" y="419504"/>
                                </a:lnTo>
                                <a:lnTo>
                                  <a:pt x="1867310" y="404182"/>
                                </a:lnTo>
                                <a:lnTo>
                                  <a:pt x="1865726" y="395498"/>
                                </a:lnTo>
                                <a:lnTo>
                                  <a:pt x="1915128" y="395498"/>
                                </a:lnTo>
                                <a:lnTo>
                                  <a:pt x="1960138" y="387325"/>
                                </a:lnTo>
                                <a:lnTo>
                                  <a:pt x="1990326" y="378717"/>
                                </a:lnTo>
                                <a:lnTo>
                                  <a:pt x="1958135" y="378717"/>
                                </a:lnTo>
                                <a:lnTo>
                                  <a:pt x="1955715" y="370229"/>
                                </a:lnTo>
                                <a:lnTo>
                                  <a:pt x="1956129" y="370111"/>
                                </a:lnTo>
                                <a:close/>
                              </a:path>
                              <a:path w="3564254" h="505459">
                                <a:moveTo>
                                  <a:pt x="1075011" y="411877"/>
                                </a:moveTo>
                                <a:lnTo>
                                  <a:pt x="1066508" y="412686"/>
                                </a:lnTo>
                                <a:lnTo>
                                  <a:pt x="1066411" y="413048"/>
                                </a:lnTo>
                                <a:lnTo>
                                  <a:pt x="1075011" y="411877"/>
                                </a:lnTo>
                                <a:close/>
                              </a:path>
                              <a:path w="3564254" h="505459">
                                <a:moveTo>
                                  <a:pt x="1252431" y="403869"/>
                                </a:moveTo>
                                <a:lnTo>
                                  <a:pt x="1252849" y="412686"/>
                                </a:lnTo>
                                <a:lnTo>
                                  <a:pt x="1253226" y="412660"/>
                                </a:lnTo>
                                <a:lnTo>
                                  <a:pt x="1253082" y="410714"/>
                                </a:lnTo>
                                <a:lnTo>
                                  <a:pt x="1252431" y="403869"/>
                                </a:lnTo>
                                <a:close/>
                              </a:path>
                              <a:path w="3564254" h="505459">
                                <a:moveTo>
                                  <a:pt x="1420032" y="403869"/>
                                </a:moveTo>
                                <a:lnTo>
                                  <a:pt x="1252431" y="403869"/>
                                </a:lnTo>
                                <a:lnTo>
                                  <a:pt x="1253114" y="411060"/>
                                </a:lnTo>
                                <a:lnTo>
                                  <a:pt x="1253226" y="412660"/>
                                </a:lnTo>
                                <a:lnTo>
                                  <a:pt x="1253048" y="412677"/>
                                </a:lnTo>
                                <a:lnTo>
                                  <a:pt x="1429061" y="404324"/>
                                </a:lnTo>
                                <a:lnTo>
                                  <a:pt x="1420032" y="404324"/>
                                </a:lnTo>
                                <a:lnTo>
                                  <a:pt x="1420032" y="403869"/>
                                </a:lnTo>
                                <a:close/>
                              </a:path>
                              <a:path w="3564254" h="505459">
                                <a:moveTo>
                                  <a:pt x="1604445" y="412656"/>
                                </a:moveTo>
                                <a:close/>
                              </a:path>
                              <a:path w="3564254" h="505459">
                                <a:moveTo>
                                  <a:pt x="1512873" y="395498"/>
                                </a:moveTo>
                                <a:lnTo>
                                  <a:pt x="1512077" y="404288"/>
                                </a:lnTo>
                                <a:lnTo>
                                  <a:pt x="1604445" y="412656"/>
                                </a:lnTo>
                                <a:lnTo>
                                  <a:pt x="1772788" y="412652"/>
                                </a:lnTo>
                                <a:lnTo>
                                  <a:pt x="1772711" y="412266"/>
                                </a:lnTo>
                                <a:lnTo>
                                  <a:pt x="1689296" y="412266"/>
                                </a:lnTo>
                                <a:lnTo>
                                  <a:pt x="1689296" y="404324"/>
                                </a:lnTo>
                                <a:lnTo>
                                  <a:pt x="1512873" y="404324"/>
                                </a:lnTo>
                                <a:lnTo>
                                  <a:pt x="1512873" y="395498"/>
                                </a:lnTo>
                                <a:close/>
                              </a:path>
                              <a:path w="3564254" h="505459">
                                <a:moveTo>
                                  <a:pt x="1689739" y="403439"/>
                                </a:moveTo>
                                <a:lnTo>
                                  <a:pt x="1689296" y="403439"/>
                                </a:lnTo>
                                <a:lnTo>
                                  <a:pt x="1689296" y="412266"/>
                                </a:lnTo>
                                <a:lnTo>
                                  <a:pt x="1690174" y="403483"/>
                                </a:lnTo>
                                <a:lnTo>
                                  <a:pt x="1689739" y="403439"/>
                                </a:lnTo>
                                <a:close/>
                              </a:path>
                              <a:path w="3564254" h="505459">
                                <a:moveTo>
                                  <a:pt x="1689739" y="403439"/>
                                </a:moveTo>
                                <a:lnTo>
                                  <a:pt x="1690174" y="403483"/>
                                </a:lnTo>
                                <a:lnTo>
                                  <a:pt x="1689296" y="412266"/>
                                </a:lnTo>
                                <a:lnTo>
                                  <a:pt x="1772711" y="412266"/>
                                </a:lnTo>
                                <a:lnTo>
                                  <a:pt x="1771328" y="405337"/>
                                </a:lnTo>
                                <a:lnTo>
                                  <a:pt x="1780832" y="403440"/>
                                </a:lnTo>
                                <a:lnTo>
                                  <a:pt x="1689739" y="403439"/>
                                </a:lnTo>
                                <a:close/>
                              </a:path>
                              <a:path w="3564254" h="505459">
                                <a:moveTo>
                                  <a:pt x="1083555" y="410714"/>
                                </a:moveTo>
                                <a:lnTo>
                                  <a:pt x="1075011" y="411877"/>
                                </a:lnTo>
                                <a:lnTo>
                                  <a:pt x="1083602" y="411060"/>
                                </a:lnTo>
                                <a:lnTo>
                                  <a:pt x="1083555" y="410714"/>
                                </a:lnTo>
                                <a:close/>
                              </a:path>
                              <a:path w="3564254" h="505459">
                                <a:moveTo>
                                  <a:pt x="1437257" y="386263"/>
                                </a:moveTo>
                                <a:lnTo>
                                  <a:pt x="1420032" y="387081"/>
                                </a:lnTo>
                                <a:lnTo>
                                  <a:pt x="1420032" y="404324"/>
                                </a:lnTo>
                                <a:lnTo>
                                  <a:pt x="1428859" y="404324"/>
                                </a:lnTo>
                                <a:lnTo>
                                  <a:pt x="1438094" y="403896"/>
                                </a:lnTo>
                                <a:lnTo>
                                  <a:pt x="1437257" y="386263"/>
                                </a:lnTo>
                                <a:close/>
                              </a:path>
                              <a:path w="3564254" h="505459">
                                <a:moveTo>
                                  <a:pt x="1513272" y="386671"/>
                                </a:moveTo>
                                <a:lnTo>
                                  <a:pt x="1437276" y="386671"/>
                                </a:lnTo>
                                <a:lnTo>
                                  <a:pt x="1438094" y="403896"/>
                                </a:lnTo>
                                <a:lnTo>
                                  <a:pt x="1429077" y="404324"/>
                                </a:lnTo>
                                <a:lnTo>
                                  <a:pt x="1512471" y="404324"/>
                                </a:lnTo>
                                <a:lnTo>
                                  <a:pt x="1512077" y="404288"/>
                                </a:lnTo>
                                <a:lnTo>
                                  <a:pt x="1512873" y="395498"/>
                                </a:lnTo>
                                <a:lnTo>
                                  <a:pt x="1610275" y="395498"/>
                                </a:lnTo>
                                <a:lnTo>
                                  <a:pt x="1606079" y="395078"/>
                                </a:lnTo>
                                <a:lnTo>
                                  <a:pt x="1513272" y="386671"/>
                                </a:lnTo>
                                <a:close/>
                              </a:path>
                              <a:path w="3564254" h="505459">
                                <a:moveTo>
                                  <a:pt x="1610275" y="395498"/>
                                </a:moveTo>
                                <a:lnTo>
                                  <a:pt x="1512873" y="395498"/>
                                </a:lnTo>
                                <a:lnTo>
                                  <a:pt x="1512873" y="404324"/>
                                </a:lnTo>
                                <a:lnTo>
                                  <a:pt x="1689296" y="404324"/>
                                </a:lnTo>
                                <a:lnTo>
                                  <a:pt x="1689296" y="403439"/>
                                </a:lnTo>
                                <a:lnTo>
                                  <a:pt x="1689739" y="403439"/>
                                </a:lnTo>
                                <a:lnTo>
                                  <a:pt x="1610275" y="395498"/>
                                </a:lnTo>
                                <a:close/>
                              </a:path>
                              <a:path w="3564254" h="505459">
                                <a:moveTo>
                                  <a:pt x="1865726" y="395498"/>
                                </a:moveTo>
                                <a:lnTo>
                                  <a:pt x="1867303" y="404182"/>
                                </a:lnTo>
                                <a:lnTo>
                                  <a:pt x="1867311" y="403439"/>
                                </a:lnTo>
                                <a:lnTo>
                                  <a:pt x="1865726" y="395498"/>
                                </a:lnTo>
                                <a:close/>
                              </a:path>
                              <a:path w="3564254" h="505459">
                                <a:moveTo>
                                  <a:pt x="1915128" y="395498"/>
                                </a:moveTo>
                                <a:lnTo>
                                  <a:pt x="1865726" y="395498"/>
                                </a:lnTo>
                                <a:lnTo>
                                  <a:pt x="1867311" y="403439"/>
                                </a:lnTo>
                                <a:lnTo>
                                  <a:pt x="1867380" y="404168"/>
                                </a:lnTo>
                                <a:lnTo>
                                  <a:pt x="1915128" y="395498"/>
                                </a:lnTo>
                                <a:close/>
                              </a:path>
                              <a:path w="3564254" h="505459">
                                <a:moveTo>
                                  <a:pt x="1428657" y="386671"/>
                                </a:moveTo>
                                <a:lnTo>
                                  <a:pt x="1420032" y="386671"/>
                                </a:lnTo>
                                <a:lnTo>
                                  <a:pt x="1420032" y="387081"/>
                                </a:lnTo>
                                <a:lnTo>
                                  <a:pt x="1428657" y="386671"/>
                                </a:lnTo>
                                <a:close/>
                              </a:path>
                              <a:path w="3564254" h="505459">
                                <a:moveTo>
                                  <a:pt x="1956558" y="370033"/>
                                </a:moveTo>
                                <a:lnTo>
                                  <a:pt x="1956129" y="370111"/>
                                </a:lnTo>
                                <a:lnTo>
                                  <a:pt x="1955715" y="370229"/>
                                </a:lnTo>
                                <a:lnTo>
                                  <a:pt x="1958135" y="378717"/>
                                </a:lnTo>
                                <a:lnTo>
                                  <a:pt x="1956558" y="370033"/>
                                </a:lnTo>
                                <a:close/>
                              </a:path>
                              <a:path w="3564254" h="505459">
                                <a:moveTo>
                                  <a:pt x="2020785" y="370033"/>
                                </a:moveTo>
                                <a:lnTo>
                                  <a:pt x="1956558" y="370033"/>
                                </a:lnTo>
                                <a:lnTo>
                                  <a:pt x="1958135" y="378717"/>
                                </a:lnTo>
                                <a:lnTo>
                                  <a:pt x="1990326" y="378717"/>
                                </a:lnTo>
                                <a:lnTo>
                                  <a:pt x="2020785" y="370033"/>
                                </a:lnTo>
                                <a:close/>
                              </a:path>
                              <a:path w="3564254" h="505459">
                                <a:moveTo>
                                  <a:pt x="2123656" y="322346"/>
                                </a:moveTo>
                                <a:lnTo>
                                  <a:pt x="1956129" y="370111"/>
                                </a:lnTo>
                                <a:lnTo>
                                  <a:pt x="1956558" y="370033"/>
                                </a:lnTo>
                                <a:lnTo>
                                  <a:pt x="2020785" y="370033"/>
                                </a:lnTo>
                                <a:lnTo>
                                  <a:pt x="2128497" y="339322"/>
                                </a:lnTo>
                                <a:lnTo>
                                  <a:pt x="2123656" y="322346"/>
                                </a:lnTo>
                                <a:close/>
                              </a:path>
                              <a:path w="3564254" h="505459">
                                <a:moveTo>
                                  <a:pt x="2137524" y="336748"/>
                                </a:moveTo>
                                <a:lnTo>
                                  <a:pt x="2128497" y="339323"/>
                                </a:lnTo>
                                <a:lnTo>
                                  <a:pt x="2136986" y="336902"/>
                                </a:lnTo>
                                <a:lnTo>
                                  <a:pt x="2137524" y="336748"/>
                                </a:lnTo>
                                <a:close/>
                              </a:path>
                              <a:path w="3564254" h="505459">
                                <a:moveTo>
                                  <a:pt x="2140633" y="317506"/>
                                </a:moveTo>
                                <a:lnTo>
                                  <a:pt x="2123656" y="322346"/>
                                </a:lnTo>
                                <a:lnTo>
                                  <a:pt x="2128497" y="339322"/>
                                </a:lnTo>
                                <a:lnTo>
                                  <a:pt x="2145473" y="334481"/>
                                </a:lnTo>
                                <a:lnTo>
                                  <a:pt x="2140633" y="317506"/>
                                </a:lnTo>
                                <a:close/>
                              </a:path>
                              <a:path w="3564254" h="505459">
                                <a:moveTo>
                                  <a:pt x="2205002" y="317506"/>
                                </a:moveTo>
                                <a:lnTo>
                                  <a:pt x="2140633" y="317506"/>
                                </a:lnTo>
                                <a:lnTo>
                                  <a:pt x="2145473" y="334481"/>
                                </a:lnTo>
                                <a:lnTo>
                                  <a:pt x="2205002" y="317506"/>
                                </a:lnTo>
                                <a:close/>
                              </a:path>
                              <a:path w="3564254" h="505459">
                                <a:moveTo>
                                  <a:pt x="2484555" y="219432"/>
                                </a:moveTo>
                                <a:lnTo>
                                  <a:pt x="2123656" y="322346"/>
                                </a:lnTo>
                                <a:lnTo>
                                  <a:pt x="2140633" y="317506"/>
                                </a:lnTo>
                                <a:lnTo>
                                  <a:pt x="2205002" y="317506"/>
                                </a:lnTo>
                                <a:lnTo>
                                  <a:pt x="2482174" y="238467"/>
                                </a:lnTo>
                                <a:lnTo>
                                  <a:pt x="2475948" y="222867"/>
                                </a:lnTo>
                                <a:lnTo>
                                  <a:pt x="2484555" y="219432"/>
                                </a:lnTo>
                                <a:close/>
                              </a:path>
                              <a:path w="3564254" h="505459">
                                <a:moveTo>
                                  <a:pt x="2490274" y="236157"/>
                                </a:moveTo>
                                <a:lnTo>
                                  <a:pt x="2482174" y="238467"/>
                                </a:lnTo>
                                <a:lnTo>
                                  <a:pt x="2482492" y="239263"/>
                                </a:lnTo>
                                <a:lnTo>
                                  <a:pt x="2490274" y="236157"/>
                                </a:lnTo>
                                <a:close/>
                              </a:path>
                              <a:path w="3564254" h="505459">
                                <a:moveTo>
                                  <a:pt x="2493486" y="216886"/>
                                </a:moveTo>
                                <a:lnTo>
                                  <a:pt x="2484555" y="219432"/>
                                </a:lnTo>
                                <a:lnTo>
                                  <a:pt x="2475948" y="222867"/>
                                </a:lnTo>
                                <a:lnTo>
                                  <a:pt x="2482174" y="238467"/>
                                </a:lnTo>
                                <a:lnTo>
                                  <a:pt x="2490274" y="236157"/>
                                </a:lnTo>
                                <a:lnTo>
                                  <a:pt x="2490690" y="235991"/>
                                </a:lnTo>
                                <a:lnTo>
                                  <a:pt x="2498090" y="233037"/>
                                </a:lnTo>
                                <a:lnTo>
                                  <a:pt x="2493486" y="216886"/>
                                </a:lnTo>
                                <a:close/>
                              </a:path>
                              <a:path w="3564254" h="505459">
                                <a:moveTo>
                                  <a:pt x="2498090" y="233037"/>
                                </a:moveTo>
                                <a:lnTo>
                                  <a:pt x="2490689" y="235991"/>
                                </a:lnTo>
                                <a:lnTo>
                                  <a:pt x="2490274" y="236157"/>
                                </a:lnTo>
                                <a:lnTo>
                                  <a:pt x="2498326" y="233861"/>
                                </a:lnTo>
                                <a:lnTo>
                                  <a:pt x="2498090" y="233037"/>
                                </a:lnTo>
                                <a:close/>
                              </a:path>
                              <a:path w="3564254" h="505459">
                                <a:moveTo>
                                  <a:pt x="2538558" y="216886"/>
                                </a:moveTo>
                                <a:lnTo>
                                  <a:pt x="2493486" y="216886"/>
                                </a:lnTo>
                                <a:lnTo>
                                  <a:pt x="2498090" y="233037"/>
                                </a:lnTo>
                                <a:lnTo>
                                  <a:pt x="2538558" y="216886"/>
                                </a:lnTo>
                                <a:close/>
                              </a:path>
                              <a:path w="3564254" h="505459">
                                <a:moveTo>
                                  <a:pt x="2660709" y="152456"/>
                                </a:moveTo>
                                <a:lnTo>
                                  <a:pt x="2568172" y="186059"/>
                                </a:lnTo>
                                <a:lnTo>
                                  <a:pt x="2484555" y="219432"/>
                                </a:lnTo>
                                <a:lnTo>
                                  <a:pt x="2493486" y="216886"/>
                                </a:lnTo>
                                <a:lnTo>
                                  <a:pt x="2538558" y="216886"/>
                                </a:lnTo>
                                <a:lnTo>
                                  <a:pt x="2574467" y="202554"/>
                                </a:lnTo>
                                <a:lnTo>
                                  <a:pt x="2571444" y="194257"/>
                                </a:lnTo>
                                <a:lnTo>
                                  <a:pt x="2597302" y="194257"/>
                                </a:lnTo>
                                <a:lnTo>
                                  <a:pt x="2667113" y="168906"/>
                                </a:lnTo>
                                <a:lnTo>
                                  <a:pt x="2687651" y="160709"/>
                                </a:lnTo>
                                <a:lnTo>
                                  <a:pt x="2663841" y="160709"/>
                                </a:lnTo>
                                <a:lnTo>
                                  <a:pt x="2660569" y="152511"/>
                                </a:lnTo>
                                <a:lnTo>
                                  <a:pt x="2660709" y="152456"/>
                                </a:lnTo>
                                <a:close/>
                              </a:path>
                              <a:path w="3564254" h="505459">
                                <a:moveTo>
                                  <a:pt x="2571444" y="194257"/>
                                </a:moveTo>
                                <a:lnTo>
                                  <a:pt x="2574456" y="202554"/>
                                </a:lnTo>
                                <a:lnTo>
                                  <a:pt x="2574715" y="202455"/>
                                </a:lnTo>
                                <a:lnTo>
                                  <a:pt x="2571444" y="194257"/>
                                </a:lnTo>
                                <a:close/>
                              </a:path>
                              <a:path w="3564254" h="505459">
                                <a:moveTo>
                                  <a:pt x="2597302" y="194257"/>
                                </a:moveTo>
                                <a:lnTo>
                                  <a:pt x="2571444" y="194257"/>
                                </a:lnTo>
                                <a:lnTo>
                                  <a:pt x="2574715" y="202455"/>
                                </a:lnTo>
                                <a:lnTo>
                                  <a:pt x="2574576" y="202510"/>
                                </a:lnTo>
                                <a:lnTo>
                                  <a:pt x="2597302" y="194257"/>
                                </a:lnTo>
                                <a:close/>
                              </a:path>
                              <a:path w="3564254" h="505459">
                                <a:moveTo>
                                  <a:pt x="2660829" y="152412"/>
                                </a:moveTo>
                                <a:lnTo>
                                  <a:pt x="2660569" y="152511"/>
                                </a:lnTo>
                                <a:lnTo>
                                  <a:pt x="2663841" y="160709"/>
                                </a:lnTo>
                                <a:lnTo>
                                  <a:pt x="2660829" y="152412"/>
                                </a:lnTo>
                                <a:close/>
                              </a:path>
                              <a:path w="3564254" h="505459">
                                <a:moveTo>
                                  <a:pt x="2708440" y="152412"/>
                                </a:moveTo>
                                <a:lnTo>
                                  <a:pt x="2660829" y="152412"/>
                                </a:lnTo>
                                <a:lnTo>
                                  <a:pt x="2663841" y="160709"/>
                                </a:lnTo>
                                <a:lnTo>
                                  <a:pt x="2687651" y="160709"/>
                                </a:lnTo>
                                <a:lnTo>
                                  <a:pt x="2708440" y="152412"/>
                                </a:lnTo>
                                <a:close/>
                              </a:path>
                              <a:path w="3564254" h="505459">
                                <a:moveTo>
                                  <a:pt x="2830010" y="95657"/>
                                </a:moveTo>
                                <a:lnTo>
                                  <a:pt x="2745063" y="118789"/>
                                </a:lnTo>
                                <a:lnTo>
                                  <a:pt x="2660709" y="152456"/>
                                </a:lnTo>
                                <a:lnTo>
                                  <a:pt x="2708440" y="152412"/>
                                </a:lnTo>
                                <a:lnTo>
                                  <a:pt x="2750340" y="135689"/>
                                </a:lnTo>
                                <a:lnTo>
                                  <a:pt x="2750186" y="135689"/>
                                </a:lnTo>
                                <a:lnTo>
                                  <a:pt x="2747867" y="127173"/>
                                </a:lnTo>
                                <a:lnTo>
                                  <a:pt x="2781458" y="127173"/>
                                </a:lnTo>
                                <a:lnTo>
                                  <a:pt x="2835741" y="112391"/>
                                </a:lnTo>
                                <a:lnTo>
                                  <a:pt x="2833348" y="112391"/>
                                </a:lnTo>
                                <a:lnTo>
                                  <a:pt x="2830010" y="95657"/>
                                </a:lnTo>
                                <a:close/>
                              </a:path>
                              <a:path w="3564254" h="505459">
                                <a:moveTo>
                                  <a:pt x="2747867" y="127173"/>
                                </a:moveTo>
                                <a:lnTo>
                                  <a:pt x="2750186" y="135689"/>
                                </a:lnTo>
                                <a:lnTo>
                                  <a:pt x="2750671" y="135557"/>
                                </a:lnTo>
                                <a:lnTo>
                                  <a:pt x="2751139" y="135370"/>
                                </a:lnTo>
                                <a:lnTo>
                                  <a:pt x="2747867" y="127173"/>
                                </a:lnTo>
                                <a:close/>
                              </a:path>
                              <a:path w="3564254" h="505459">
                                <a:moveTo>
                                  <a:pt x="2750671" y="135557"/>
                                </a:moveTo>
                                <a:lnTo>
                                  <a:pt x="2750186" y="135689"/>
                                </a:lnTo>
                                <a:lnTo>
                                  <a:pt x="2750340" y="135689"/>
                                </a:lnTo>
                                <a:lnTo>
                                  <a:pt x="2750671" y="135557"/>
                                </a:lnTo>
                                <a:close/>
                              </a:path>
                              <a:path w="3564254" h="505459">
                                <a:moveTo>
                                  <a:pt x="2781458" y="127173"/>
                                </a:moveTo>
                                <a:lnTo>
                                  <a:pt x="2747867" y="127173"/>
                                </a:lnTo>
                                <a:lnTo>
                                  <a:pt x="2751139" y="135370"/>
                                </a:lnTo>
                                <a:lnTo>
                                  <a:pt x="2750671" y="135557"/>
                                </a:lnTo>
                                <a:lnTo>
                                  <a:pt x="2781458" y="127173"/>
                                </a:lnTo>
                                <a:close/>
                              </a:path>
                              <a:path w="3564254" h="505459">
                                <a:moveTo>
                                  <a:pt x="2846629" y="91742"/>
                                </a:moveTo>
                                <a:lnTo>
                                  <a:pt x="2838261" y="93410"/>
                                </a:lnTo>
                                <a:lnTo>
                                  <a:pt x="2830010" y="95657"/>
                                </a:lnTo>
                                <a:lnTo>
                                  <a:pt x="2833348" y="112391"/>
                                </a:lnTo>
                                <a:lnTo>
                                  <a:pt x="2842004" y="110665"/>
                                </a:lnTo>
                                <a:lnTo>
                                  <a:pt x="2842299" y="110605"/>
                                </a:lnTo>
                                <a:lnTo>
                                  <a:pt x="2851112" y="108205"/>
                                </a:lnTo>
                                <a:lnTo>
                                  <a:pt x="2846629" y="91742"/>
                                </a:lnTo>
                                <a:close/>
                              </a:path>
                              <a:path w="3564254" h="505459">
                                <a:moveTo>
                                  <a:pt x="2842299" y="110605"/>
                                </a:moveTo>
                                <a:lnTo>
                                  <a:pt x="2842003" y="110664"/>
                                </a:lnTo>
                                <a:lnTo>
                                  <a:pt x="2833348" y="112391"/>
                                </a:lnTo>
                                <a:lnTo>
                                  <a:pt x="2835741" y="112391"/>
                                </a:lnTo>
                                <a:lnTo>
                                  <a:pt x="2842299" y="110605"/>
                                </a:lnTo>
                                <a:close/>
                              </a:path>
                              <a:path w="3564254" h="505459">
                                <a:moveTo>
                                  <a:pt x="3192149" y="42932"/>
                                </a:moveTo>
                                <a:lnTo>
                                  <a:pt x="3015492" y="59734"/>
                                </a:lnTo>
                                <a:lnTo>
                                  <a:pt x="2922564" y="76597"/>
                                </a:lnTo>
                                <a:lnTo>
                                  <a:pt x="2846629" y="91742"/>
                                </a:lnTo>
                                <a:lnTo>
                                  <a:pt x="2851112" y="108205"/>
                                </a:lnTo>
                                <a:lnTo>
                                  <a:pt x="2842299" y="110605"/>
                                </a:lnTo>
                                <a:lnTo>
                                  <a:pt x="2925873" y="93937"/>
                                </a:lnTo>
                                <a:lnTo>
                                  <a:pt x="2924290" y="85253"/>
                                </a:lnTo>
                                <a:lnTo>
                                  <a:pt x="2973725" y="85253"/>
                                </a:lnTo>
                                <a:lnTo>
                                  <a:pt x="3017713" y="77272"/>
                                </a:lnTo>
                                <a:lnTo>
                                  <a:pt x="3017536" y="77272"/>
                                </a:lnTo>
                                <a:lnTo>
                                  <a:pt x="3016701" y="68485"/>
                                </a:lnTo>
                                <a:lnTo>
                                  <a:pt x="3109913" y="68485"/>
                                </a:lnTo>
                                <a:lnTo>
                                  <a:pt x="3185352" y="61310"/>
                                </a:lnTo>
                                <a:lnTo>
                                  <a:pt x="3183339" y="43954"/>
                                </a:lnTo>
                                <a:lnTo>
                                  <a:pt x="3192149" y="42932"/>
                                </a:lnTo>
                                <a:close/>
                              </a:path>
                              <a:path w="3564254" h="505459">
                                <a:moveTo>
                                  <a:pt x="2838261" y="93410"/>
                                </a:moveTo>
                                <a:lnTo>
                                  <a:pt x="2829895" y="95079"/>
                                </a:lnTo>
                                <a:lnTo>
                                  <a:pt x="2830010" y="95657"/>
                                </a:lnTo>
                                <a:lnTo>
                                  <a:pt x="2838261" y="93410"/>
                                </a:lnTo>
                                <a:close/>
                              </a:path>
                              <a:path w="3564254" h="505459">
                                <a:moveTo>
                                  <a:pt x="2924290" y="85253"/>
                                </a:moveTo>
                                <a:lnTo>
                                  <a:pt x="2925866" y="93937"/>
                                </a:lnTo>
                                <a:lnTo>
                                  <a:pt x="2925917" y="93410"/>
                                </a:lnTo>
                                <a:lnTo>
                                  <a:pt x="2924290" y="85253"/>
                                </a:lnTo>
                                <a:close/>
                              </a:path>
                              <a:path w="3564254" h="505459">
                                <a:moveTo>
                                  <a:pt x="2973725" y="85253"/>
                                </a:moveTo>
                                <a:lnTo>
                                  <a:pt x="2924290" y="85253"/>
                                </a:lnTo>
                                <a:lnTo>
                                  <a:pt x="2925917" y="93410"/>
                                </a:lnTo>
                                <a:lnTo>
                                  <a:pt x="2925942" y="93923"/>
                                </a:lnTo>
                                <a:lnTo>
                                  <a:pt x="2973725" y="85253"/>
                                </a:lnTo>
                                <a:close/>
                              </a:path>
                              <a:path w="3564254" h="505459">
                                <a:moveTo>
                                  <a:pt x="2846474" y="91174"/>
                                </a:moveTo>
                                <a:lnTo>
                                  <a:pt x="2838261" y="93410"/>
                                </a:lnTo>
                                <a:lnTo>
                                  <a:pt x="2846629" y="91742"/>
                                </a:lnTo>
                                <a:lnTo>
                                  <a:pt x="2846474" y="91174"/>
                                </a:lnTo>
                                <a:close/>
                              </a:path>
                              <a:path w="3564254" h="505459">
                                <a:moveTo>
                                  <a:pt x="3016701" y="68485"/>
                                </a:moveTo>
                                <a:lnTo>
                                  <a:pt x="3017536" y="77272"/>
                                </a:lnTo>
                                <a:lnTo>
                                  <a:pt x="3017907" y="77236"/>
                                </a:lnTo>
                                <a:lnTo>
                                  <a:pt x="3018276" y="77169"/>
                                </a:lnTo>
                                <a:lnTo>
                                  <a:pt x="3016701" y="68485"/>
                                </a:lnTo>
                                <a:close/>
                              </a:path>
                              <a:path w="3564254" h="505459">
                                <a:moveTo>
                                  <a:pt x="3017907" y="77236"/>
                                </a:moveTo>
                                <a:lnTo>
                                  <a:pt x="3017536" y="77272"/>
                                </a:lnTo>
                                <a:lnTo>
                                  <a:pt x="3017713" y="77272"/>
                                </a:lnTo>
                                <a:lnTo>
                                  <a:pt x="3017907" y="77236"/>
                                </a:lnTo>
                                <a:close/>
                              </a:path>
                              <a:path w="3564254" h="505459">
                                <a:moveTo>
                                  <a:pt x="3109913" y="68485"/>
                                </a:moveTo>
                                <a:lnTo>
                                  <a:pt x="3016701" y="68485"/>
                                </a:lnTo>
                                <a:lnTo>
                                  <a:pt x="3018276" y="77169"/>
                                </a:lnTo>
                                <a:lnTo>
                                  <a:pt x="3017907" y="77236"/>
                                </a:lnTo>
                                <a:lnTo>
                                  <a:pt x="3109913" y="68485"/>
                                </a:lnTo>
                                <a:close/>
                              </a:path>
                              <a:path w="3564254" h="505459">
                                <a:moveTo>
                                  <a:pt x="3194018" y="60486"/>
                                </a:moveTo>
                                <a:lnTo>
                                  <a:pt x="3185352" y="61310"/>
                                </a:lnTo>
                                <a:lnTo>
                                  <a:pt x="3185373" y="61489"/>
                                </a:lnTo>
                                <a:lnTo>
                                  <a:pt x="3194018" y="60486"/>
                                </a:lnTo>
                                <a:close/>
                              </a:path>
                              <a:path w="3564254" h="505459">
                                <a:moveTo>
                                  <a:pt x="3201075" y="42083"/>
                                </a:moveTo>
                                <a:lnTo>
                                  <a:pt x="3192149" y="42932"/>
                                </a:lnTo>
                                <a:lnTo>
                                  <a:pt x="3183339" y="43954"/>
                                </a:lnTo>
                                <a:lnTo>
                                  <a:pt x="3185352" y="61310"/>
                                </a:lnTo>
                                <a:lnTo>
                                  <a:pt x="3194018" y="60486"/>
                                </a:lnTo>
                                <a:lnTo>
                                  <a:pt x="3202729" y="59475"/>
                                </a:lnTo>
                                <a:lnTo>
                                  <a:pt x="3201075" y="42083"/>
                                </a:lnTo>
                                <a:close/>
                              </a:path>
                              <a:path w="3564254" h="505459">
                                <a:moveTo>
                                  <a:pt x="3202729" y="59475"/>
                                </a:moveTo>
                                <a:lnTo>
                                  <a:pt x="3194018" y="60486"/>
                                </a:lnTo>
                                <a:lnTo>
                                  <a:pt x="3202746" y="59656"/>
                                </a:lnTo>
                                <a:lnTo>
                                  <a:pt x="3202729" y="59475"/>
                                </a:lnTo>
                                <a:close/>
                              </a:path>
                              <a:path w="3564254" h="505459">
                                <a:moveTo>
                                  <a:pt x="3352613" y="42083"/>
                                </a:moveTo>
                                <a:lnTo>
                                  <a:pt x="3201075" y="42083"/>
                                </a:lnTo>
                                <a:lnTo>
                                  <a:pt x="3202729" y="59475"/>
                                </a:lnTo>
                                <a:lnTo>
                                  <a:pt x="3352613" y="42083"/>
                                </a:lnTo>
                                <a:close/>
                              </a:path>
                              <a:path w="3564254" h="505459">
                                <a:moveTo>
                                  <a:pt x="3562142" y="0"/>
                                </a:moveTo>
                                <a:lnTo>
                                  <a:pt x="3192149" y="42932"/>
                                </a:lnTo>
                                <a:lnTo>
                                  <a:pt x="3201075" y="42083"/>
                                </a:lnTo>
                                <a:lnTo>
                                  <a:pt x="3352613" y="42083"/>
                                </a:lnTo>
                                <a:lnTo>
                                  <a:pt x="3564176" y="17534"/>
                                </a:lnTo>
                                <a:lnTo>
                                  <a:pt x="3562142" y="0"/>
                                </a:lnTo>
                                <a:close/>
                              </a:path>
                            </a:pathLst>
                          </a:custGeom>
                          <a:solidFill>
                            <a:srgbClr val="DBA379"/>
                          </a:solidFill>
                        </wps:spPr>
                        <wps:bodyPr wrap="square" lIns="0" tIns="0" rIns="0" bIns="0" rtlCol="0">
                          <a:prstTxWarp prst="textNoShape">
                            <a:avLst/>
                          </a:prstTxWarp>
                          <a:noAutofit/>
                        </wps:bodyPr>
                      </wps:wsp>
                      <wps:wsp>
                        <wps:cNvPr id="2066" name="Graphic 2066"/>
                        <wps:cNvSpPr/>
                        <wps:spPr>
                          <a:xfrm>
                            <a:off x="654179" y="1388250"/>
                            <a:ext cx="4270375" cy="455930"/>
                          </a:xfrm>
                          <a:custGeom>
                            <a:avLst/>
                            <a:gdLst/>
                            <a:ahLst/>
                            <a:cxnLst/>
                            <a:rect l="l" t="t" r="r" b="b"/>
                            <a:pathLst>
                              <a:path w="4270375" h="455930">
                                <a:moveTo>
                                  <a:pt x="353253" y="387751"/>
                                </a:moveTo>
                                <a:lnTo>
                                  <a:pt x="0" y="438112"/>
                                </a:lnTo>
                                <a:lnTo>
                                  <a:pt x="2491" y="455588"/>
                                </a:lnTo>
                                <a:lnTo>
                                  <a:pt x="357873" y="404923"/>
                                </a:lnTo>
                                <a:lnTo>
                                  <a:pt x="354885" y="404923"/>
                                </a:lnTo>
                                <a:lnTo>
                                  <a:pt x="353253" y="387751"/>
                                </a:lnTo>
                                <a:close/>
                              </a:path>
                              <a:path w="4270375" h="455930">
                                <a:moveTo>
                                  <a:pt x="370386" y="385717"/>
                                </a:moveTo>
                                <a:lnTo>
                                  <a:pt x="361787" y="386534"/>
                                </a:lnTo>
                                <a:lnTo>
                                  <a:pt x="353253" y="387751"/>
                                </a:lnTo>
                                <a:lnTo>
                                  <a:pt x="354885" y="404923"/>
                                </a:lnTo>
                                <a:lnTo>
                                  <a:pt x="363861" y="404069"/>
                                </a:lnTo>
                                <a:lnTo>
                                  <a:pt x="372820" y="402792"/>
                                </a:lnTo>
                                <a:lnTo>
                                  <a:pt x="370386" y="385717"/>
                                </a:lnTo>
                                <a:close/>
                              </a:path>
                              <a:path w="4270375" h="455930">
                                <a:moveTo>
                                  <a:pt x="363861" y="404069"/>
                                </a:moveTo>
                                <a:lnTo>
                                  <a:pt x="354885" y="404923"/>
                                </a:lnTo>
                                <a:lnTo>
                                  <a:pt x="357873" y="404923"/>
                                </a:lnTo>
                                <a:lnTo>
                                  <a:pt x="363861" y="404069"/>
                                </a:lnTo>
                                <a:close/>
                              </a:path>
                              <a:path w="4270375" h="455930">
                                <a:moveTo>
                                  <a:pt x="538228" y="369765"/>
                                </a:moveTo>
                                <a:lnTo>
                                  <a:pt x="370386" y="385717"/>
                                </a:lnTo>
                                <a:lnTo>
                                  <a:pt x="372820" y="402792"/>
                                </a:lnTo>
                                <a:lnTo>
                                  <a:pt x="363861" y="404069"/>
                                </a:lnTo>
                                <a:lnTo>
                                  <a:pt x="540512" y="387270"/>
                                </a:lnTo>
                                <a:lnTo>
                                  <a:pt x="601800" y="378533"/>
                                </a:lnTo>
                                <a:lnTo>
                                  <a:pt x="539266" y="378533"/>
                                </a:lnTo>
                                <a:lnTo>
                                  <a:pt x="538020" y="369795"/>
                                </a:lnTo>
                                <a:lnTo>
                                  <a:pt x="538228" y="369765"/>
                                </a:lnTo>
                                <a:close/>
                              </a:path>
                              <a:path w="4270375" h="455930">
                                <a:moveTo>
                                  <a:pt x="361787" y="386534"/>
                                </a:moveTo>
                                <a:lnTo>
                                  <a:pt x="353214" y="387349"/>
                                </a:lnTo>
                                <a:lnTo>
                                  <a:pt x="353253" y="387751"/>
                                </a:lnTo>
                                <a:lnTo>
                                  <a:pt x="361787" y="386534"/>
                                </a:lnTo>
                                <a:close/>
                              </a:path>
                              <a:path w="4270375" h="455930">
                                <a:moveTo>
                                  <a:pt x="370329" y="385316"/>
                                </a:moveTo>
                                <a:lnTo>
                                  <a:pt x="361787" y="386534"/>
                                </a:lnTo>
                                <a:lnTo>
                                  <a:pt x="370386" y="385717"/>
                                </a:lnTo>
                                <a:lnTo>
                                  <a:pt x="370329" y="385316"/>
                                </a:lnTo>
                                <a:close/>
                              </a:path>
                              <a:path w="4270375" h="455930">
                                <a:moveTo>
                                  <a:pt x="538431" y="369746"/>
                                </a:moveTo>
                                <a:lnTo>
                                  <a:pt x="538020" y="369795"/>
                                </a:lnTo>
                                <a:lnTo>
                                  <a:pt x="539266" y="378533"/>
                                </a:lnTo>
                                <a:lnTo>
                                  <a:pt x="538431" y="369746"/>
                                </a:lnTo>
                                <a:close/>
                              </a:path>
                              <a:path w="4270375" h="455930">
                                <a:moveTo>
                                  <a:pt x="663438" y="369746"/>
                                </a:moveTo>
                                <a:lnTo>
                                  <a:pt x="538431" y="369746"/>
                                </a:lnTo>
                                <a:lnTo>
                                  <a:pt x="539266" y="378533"/>
                                </a:lnTo>
                                <a:lnTo>
                                  <a:pt x="601800" y="378533"/>
                                </a:lnTo>
                                <a:lnTo>
                                  <a:pt x="663438" y="369746"/>
                                </a:lnTo>
                                <a:close/>
                              </a:path>
                              <a:path w="4270375" h="455930">
                                <a:moveTo>
                                  <a:pt x="705712" y="345889"/>
                                </a:moveTo>
                                <a:lnTo>
                                  <a:pt x="538228" y="369765"/>
                                </a:lnTo>
                                <a:lnTo>
                                  <a:pt x="538431" y="369746"/>
                                </a:lnTo>
                                <a:lnTo>
                                  <a:pt x="663438" y="369746"/>
                                </a:lnTo>
                                <a:lnTo>
                                  <a:pt x="708203" y="363364"/>
                                </a:lnTo>
                                <a:lnTo>
                                  <a:pt x="705712" y="345889"/>
                                </a:lnTo>
                                <a:close/>
                              </a:path>
                              <a:path w="4270375" h="455930">
                                <a:moveTo>
                                  <a:pt x="848260" y="343398"/>
                                </a:moveTo>
                                <a:lnTo>
                                  <a:pt x="723188" y="343398"/>
                                </a:lnTo>
                                <a:lnTo>
                                  <a:pt x="725679" y="360873"/>
                                </a:lnTo>
                                <a:lnTo>
                                  <a:pt x="708204" y="363365"/>
                                </a:lnTo>
                                <a:lnTo>
                                  <a:pt x="716942" y="362119"/>
                                </a:lnTo>
                                <a:lnTo>
                                  <a:pt x="848260" y="343398"/>
                                </a:lnTo>
                                <a:close/>
                              </a:path>
                              <a:path w="4270375" h="455930">
                                <a:moveTo>
                                  <a:pt x="723188" y="343398"/>
                                </a:moveTo>
                                <a:lnTo>
                                  <a:pt x="705712" y="345889"/>
                                </a:lnTo>
                                <a:lnTo>
                                  <a:pt x="708203" y="363364"/>
                                </a:lnTo>
                                <a:lnTo>
                                  <a:pt x="725679" y="360873"/>
                                </a:lnTo>
                                <a:lnTo>
                                  <a:pt x="723188" y="343398"/>
                                </a:lnTo>
                                <a:close/>
                              </a:path>
                              <a:path w="4270375" h="455930">
                                <a:moveTo>
                                  <a:pt x="890334" y="319568"/>
                                </a:moveTo>
                                <a:lnTo>
                                  <a:pt x="705712" y="345888"/>
                                </a:lnTo>
                                <a:lnTo>
                                  <a:pt x="723188" y="343398"/>
                                </a:lnTo>
                                <a:lnTo>
                                  <a:pt x="848260" y="343398"/>
                                </a:lnTo>
                                <a:lnTo>
                                  <a:pt x="893914" y="336890"/>
                                </a:lnTo>
                                <a:lnTo>
                                  <a:pt x="925727" y="328229"/>
                                </a:lnTo>
                                <a:lnTo>
                                  <a:pt x="892124" y="328229"/>
                                </a:lnTo>
                                <a:lnTo>
                                  <a:pt x="889805" y="319712"/>
                                </a:lnTo>
                                <a:lnTo>
                                  <a:pt x="890334" y="319568"/>
                                </a:lnTo>
                                <a:close/>
                              </a:path>
                              <a:path w="4270375" h="455930">
                                <a:moveTo>
                                  <a:pt x="890878" y="319491"/>
                                </a:moveTo>
                                <a:lnTo>
                                  <a:pt x="890334" y="319568"/>
                                </a:lnTo>
                                <a:lnTo>
                                  <a:pt x="889805" y="319712"/>
                                </a:lnTo>
                                <a:lnTo>
                                  <a:pt x="892124" y="328229"/>
                                </a:lnTo>
                                <a:lnTo>
                                  <a:pt x="890878" y="319491"/>
                                </a:lnTo>
                                <a:close/>
                              </a:path>
                              <a:path w="4270375" h="455930">
                                <a:moveTo>
                                  <a:pt x="957825" y="319491"/>
                                </a:moveTo>
                                <a:lnTo>
                                  <a:pt x="890878" y="319491"/>
                                </a:lnTo>
                                <a:lnTo>
                                  <a:pt x="892124" y="328229"/>
                                </a:lnTo>
                                <a:lnTo>
                                  <a:pt x="925727" y="328229"/>
                                </a:lnTo>
                                <a:lnTo>
                                  <a:pt x="957825" y="319491"/>
                                </a:lnTo>
                                <a:close/>
                              </a:path>
                              <a:path w="4270375" h="455930">
                                <a:moveTo>
                                  <a:pt x="1073945" y="269584"/>
                                </a:moveTo>
                                <a:lnTo>
                                  <a:pt x="890334" y="319568"/>
                                </a:lnTo>
                                <a:lnTo>
                                  <a:pt x="890878" y="319491"/>
                                </a:lnTo>
                                <a:lnTo>
                                  <a:pt x="957825" y="319491"/>
                                </a:lnTo>
                                <a:lnTo>
                                  <a:pt x="1072018" y="288403"/>
                                </a:lnTo>
                                <a:lnTo>
                                  <a:pt x="1065266" y="273522"/>
                                </a:lnTo>
                                <a:lnTo>
                                  <a:pt x="1073945" y="269584"/>
                                </a:lnTo>
                                <a:close/>
                              </a:path>
                              <a:path w="4270375" h="455930">
                                <a:moveTo>
                                  <a:pt x="1079952" y="286243"/>
                                </a:moveTo>
                                <a:lnTo>
                                  <a:pt x="1072018" y="288403"/>
                                </a:lnTo>
                                <a:lnTo>
                                  <a:pt x="1072560" y="289598"/>
                                </a:lnTo>
                                <a:lnTo>
                                  <a:pt x="1079952" y="286243"/>
                                </a:lnTo>
                                <a:close/>
                              </a:path>
                              <a:path w="4270375" h="455930">
                                <a:moveTo>
                                  <a:pt x="1083150" y="267078"/>
                                </a:moveTo>
                                <a:lnTo>
                                  <a:pt x="1073945" y="269584"/>
                                </a:lnTo>
                                <a:lnTo>
                                  <a:pt x="1065266" y="273522"/>
                                </a:lnTo>
                                <a:lnTo>
                                  <a:pt x="1072018" y="288403"/>
                                </a:lnTo>
                                <a:lnTo>
                                  <a:pt x="1079952" y="286243"/>
                                </a:lnTo>
                                <a:lnTo>
                                  <a:pt x="1087441" y="282845"/>
                                </a:lnTo>
                                <a:lnTo>
                                  <a:pt x="1083150" y="267078"/>
                                </a:lnTo>
                                <a:close/>
                              </a:path>
                              <a:path w="4270375" h="455930">
                                <a:moveTo>
                                  <a:pt x="1087441" y="282845"/>
                                </a:moveTo>
                                <a:lnTo>
                                  <a:pt x="1079952" y="286243"/>
                                </a:lnTo>
                                <a:lnTo>
                                  <a:pt x="1087786" y="284111"/>
                                </a:lnTo>
                                <a:lnTo>
                                  <a:pt x="1087441" y="282845"/>
                                </a:lnTo>
                                <a:close/>
                              </a:path>
                              <a:path w="4270375" h="455930">
                                <a:moveTo>
                                  <a:pt x="1122192" y="267078"/>
                                </a:moveTo>
                                <a:lnTo>
                                  <a:pt x="1083150" y="267078"/>
                                </a:lnTo>
                                <a:lnTo>
                                  <a:pt x="1087441" y="282845"/>
                                </a:lnTo>
                                <a:lnTo>
                                  <a:pt x="1122192" y="267078"/>
                                </a:lnTo>
                                <a:close/>
                              </a:path>
                              <a:path w="4270375" h="455930">
                                <a:moveTo>
                                  <a:pt x="1165264" y="228149"/>
                                </a:moveTo>
                                <a:lnTo>
                                  <a:pt x="1073945" y="269584"/>
                                </a:lnTo>
                                <a:lnTo>
                                  <a:pt x="1083150" y="267078"/>
                                </a:lnTo>
                                <a:lnTo>
                                  <a:pt x="1122192" y="267078"/>
                                </a:lnTo>
                                <a:lnTo>
                                  <a:pt x="1173471" y="243811"/>
                                </a:lnTo>
                                <a:lnTo>
                                  <a:pt x="1186546" y="235980"/>
                                </a:lnTo>
                                <a:lnTo>
                                  <a:pt x="1169366" y="235980"/>
                                </a:lnTo>
                                <a:lnTo>
                                  <a:pt x="1164831" y="228408"/>
                                </a:lnTo>
                                <a:lnTo>
                                  <a:pt x="1165264" y="228149"/>
                                </a:lnTo>
                                <a:close/>
                              </a:path>
                              <a:path w="4270375" h="455930">
                                <a:moveTo>
                                  <a:pt x="1165719" y="227942"/>
                                </a:moveTo>
                                <a:lnTo>
                                  <a:pt x="1165264" y="228149"/>
                                </a:lnTo>
                                <a:lnTo>
                                  <a:pt x="1164831" y="228408"/>
                                </a:lnTo>
                                <a:lnTo>
                                  <a:pt x="1169366" y="235980"/>
                                </a:lnTo>
                                <a:lnTo>
                                  <a:pt x="1165719" y="227942"/>
                                </a:lnTo>
                                <a:close/>
                              </a:path>
                              <a:path w="4270375" h="455930">
                                <a:moveTo>
                                  <a:pt x="1199967" y="227942"/>
                                </a:moveTo>
                                <a:lnTo>
                                  <a:pt x="1165719" y="227942"/>
                                </a:lnTo>
                                <a:lnTo>
                                  <a:pt x="1169366" y="235980"/>
                                </a:lnTo>
                                <a:lnTo>
                                  <a:pt x="1186546" y="235980"/>
                                </a:lnTo>
                                <a:lnTo>
                                  <a:pt x="1199967" y="227942"/>
                                </a:lnTo>
                                <a:close/>
                              </a:path>
                              <a:path w="4270375" h="455930">
                                <a:moveTo>
                                  <a:pt x="1419716" y="96350"/>
                                </a:moveTo>
                                <a:lnTo>
                                  <a:pt x="1342037" y="127358"/>
                                </a:lnTo>
                                <a:lnTo>
                                  <a:pt x="1248846" y="178092"/>
                                </a:lnTo>
                                <a:lnTo>
                                  <a:pt x="1165264" y="228149"/>
                                </a:lnTo>
                                <a:lnTo>
                                  <a:pt x="1165719" y="227942"/>
                                </a:lnTo>
                                <a:lnTo>
                                  <a:pt x="1199967" y="227942"/>
                                </a:lnTo>
                                <a:lnTo>
                                  <a:pt x="1257614" y="193416"/>
                                </a:lnTo>
                                <a:lnTo>
                                  <a:pt x="1253381" y="185664"/>
                                </a:lnTo>
                                <a:lnTo>
                                  <a:pt x="1271843" y="185664"/>
                                </a:lnTo>
                                <a:lnTo>
                                  <a:pt x="1349199" y="143557"/>
                                </a:lnTo>
                                <a:lnTo>
                                  <a:pt x="1349069" y="143557"/>
                                </a:lnTo>
                                <a:lnTo>
                                  <a:pt x="1345796" y="135360"/>
                                </a:lnTo>
                                <a:lnTo>
                                  <a:pt x="1369604" y="135360"/>
                                </a:lnTo>
                                <a:lnTo>
                                  <a:pt x="1427604" y="112208"/>
                                </a:lnTo>
                                <a:lnTo>
                                  <a:pt x="1422881" y="112208"/>
                                </a:lnTo>
                                <a:lnTo>
                                  <a:pt x="1419716" y="96350"/>
                                </a:lnTo>
                                <a:close/>
                              </a:path>
                              <a:path w="4270375" h="455930">
                                <a:moveTo>
                                  <a:pt x="1253381" y="185664"/>
                                </a:moveTo>
                                <a:lnTo>
                                  <a:pt x="1257601" y="193416"/>
                                </a:lnTo>
                                <a:lnTo>
                                  <a:pt x="1257916" y="193236"/>
                                </a:lnTo>
                                <a:lnTo>
                                  <a:pt x="1253381" y="185664"/>
                                </a:lnTo>
                                <a:close/>
                              </a:path>
                              <a:path w="4270375" h="455930">
                                <a:moveTo>
                                  <a:pt x="1271843" y="185664"/>
                                </a:moveTo>
                                <a:lnTo>
                                  <a:pt x="1253381" y="185664"/>
                                </a:lnTo>
                                <a:lnTo>
                                  <a:pt x="1257916" y="193236"/>
                                </a:lnTo>
                                <a:lnTo>
                                  <a:pt x="1257752" y="193334"/>
                                </a:lnTo>
                                <a:lnTo>
                                  <a:pt x="1271843" y="185664"/>
                                </a:lnTo>
                                <a:close/>
                              </a:path>
                              <a:path w="4270375" h="455930">
                                <a:moveTo>
                                  <a:pt x="1345796" y="135360"/>
                                </a:moveTo>
                                <a:lnTo>
                                  <a:pt x="1349069" y="143557"/>
                                </a:lnTo>
                                <a:lnTo>
                                  <a:pt x="1349555" y="143363"/>
                                </a:lnTo>
                                <a:lnTo>
                                  <a:pt x="1350016" y="143112"/>
                                </a:lnTo>
                                <a:lnTo>
                                  <a:pt x="1345796" y="135360"/>
                                </a:lnTo>
                                <a:close/>
                              </a:path>
                              <a:path w="4270375" h="455930">
                                <a:moveTo>
                                  <a:pt x="1349555" y="143363"/>
                                </a:moveTo>
                                <a:lnTo>
                                  <a:pt x="1349069" y="143557"/>
                                </a:lnTo>
                                <a:lnTo>
                                  <a:pt x="1349199" y="143557"/>
                                </a:lnTo>
                                <a:lnTo>
                                  <a:pt x="1349555" y="143363"/>
                                </a:lnTo>
                                <a:close/>
                              </a:path>
                              <a:path w="4270375" h="455930">
                                <a:moveTo>
                                  <a:pt x="1369604" y="135360"/>
                                </a:moveTo>
                                <a:lnTo>
                                  <a:pt x="1345796" y="135360"/>
                                </a:lnTo>
                                <a:lnTo>
                                  <a:pt x="1350016" y="143112"/>
                                </a:lnTo>
                                <a:lnTo>
                                  <a:pt x="1349555" y="143363"/>
                                </a:lnTo>
                                <a:lnTo>
                                  <a:pt x="1369604" y="135360"/>
                                </a:lnTo>
                                <a:close/>
                              </a:path>
                              <a:path w="4270375" h="455930">
                                <a:moveTo>
                                  <a:pt x="1783057" y="109766"/>
                                </a:moveTo>
                                <a:lnTo>
                                  <a:pt x="1773835" y="109766"/>
                                </a:lnTo>
                                <a:lnTo>
                                  <a:pt x="1773835" y="126654"/>
                                </a:lnTo>
                                <a:lnTo>
                                  <a:pt x="1790655" y="128180"/>
                                </a:lnTo>
                                <a:lnTo>
                                  <a:pt x="1790724" y="127419"/>
                                </a:lnTo>
                                <a:lnTo>
                                  <a:pt x="1782662" y="127419"/>
                                </a:lnTo>
                                <a:lnTo>
                                  <a:pt x="1790724" y="127418"/>
                                </a:lnTo>
                                <a:lnTo>
                                  <a:pt x="1792250" y="110600"/>
                                </a:lnTo>
                                <a:lnTo>
                                  <a:pt x="1783057" y="109766"/>
                                </a:lnTo>
                                <a:close/>
                              </a:path>
                              <a:path w="4270375" h="455930">
                                <a:moveTo>
                                  <a:pt x="1773835" y="126654"/>
                                </a:moveTo>
                                <a:lnTo>
                                  <a:pt x="1773835" y="127419"/>
                                </a:lnTo>
                                <a:lnTo>
                                  <a:pt x="1782264" y="127419"/>
                                </a:lnTo>
                                <a:lnTo>
                                  <a:pt x="1773835" y="126654"/>
                                </a:lnTo>
                                <a:close/>
                              </a:path>
                              <a:path w="4270375" h="455930">
                                <a:moveTo>
                                  <a:pt x="2042702" y="109766"/>
                                </a:moveTo>
                                <a:lnTo>
                                  <a:pt x="1783057" y="109766"/>
                                </a:lnTo>
                                <a:lnTo>
                                  <a:pt x="1792250" y="110600"/>
                                </a:lnTo>
                                <a:lnTo>
                                  <a:pt x="1790724" y="127418"/>
                                </a:lnTo>
                                <a:lnTo>
                                  <a:pt x="2043505" y="127418"/>
                                </a:lnTo>
                                <a:lnTo>
                                  <a:pt x="2128412" y="119714"/>
                                </a:lnTo>
                                <a:lnTo>
                                  <a:pt x="2128188" y="118592"/>
                                </a:lnTo>
                                <a:lnTo>
                                  <a:pt x="2043106" y="118592"/>
                                </a:lnTo>
                                <a:lnTo>
                                  <a:pt x="2042309" y="109801"/>
                                </a:lnTo>
                                <a:lnTo>
                                  <a:pt x="2042702" y="109766"/>
                                </a:lnTo>
                                <a:close/>
                              </a:path>
                              <a:path w="4270375" h="455930">
                                <a:moveTo>
                                  <a:pt x="1773835" y="110607"/>
                                </a:moveTo>
                                <a:lnTo>
                                  <a:pt x="1605357" y="110607"/>
                                </a:lnTo>
                                <a:lnTo>
                                  <a:pt x="1688105" y="118863"/>
                                </a:lnTo>
                                <a:lnTo>
                                  <a:pt x="1773835" y="126654"/>
                                </a:lnTo>
                                <a:lnTo>
                                  <a:pt x="1773835" y="110607"/>
                                </a:lnTo>
                                <a:close/>
                              </a:path>
                              <a:path w="4270375" h="455930">
                                <a:moveTo>
                                  <a:pt x="2136786" y="118955"/>
                                </a:moveTo>
                                <a:lnTo>
                                  <a:pt x="2128412" y="119714"/>
                                </a:lnTo>
                                <a:lnTo>
                                  <a:pt x="2128587" y="120591"/>
                                </a:lnTo>
                                <a:lnTo>
                                  <a:pt x="2136786" y="118955"/>
                                </a:lnTo>
                                <a:close/>
                              </a:path>
                              <a:path w="4270375" h="455930">
                                <a:moveTo>
                                  <a:pt x="2143508" y="100620"/>
                                </a:moveTo>
                                <a:lnTo>
                                  <a:pt x="2134242" y="101460"/>
                                </a:lnTo>
                                <a:lnTo>
                                  <a:pt x="2125132" y="103278"/>
                                </a:lnTo>
                                <a:lnTo>
                                  <a:pt x="2128412" y="119714"/>
                                </a:lnTo>
                                <a:lnTo>
                                  <a:pt x="2136786" y="118955"/>
                                </a:lnTo>
                                <a:lnTo>
                                  <a:pt x="2137243" y="118863"/>
                                </a:lnTo>
                                <a:lnTo>
                                  <a:pt x="2145022" y="117310"/>
                                </a:lnTo>
                                <a:lnTo>
                                  <a:pt x="2143508" y="100620"/>
                                </a:lnTo>
                                <a:close/>
                              </a:path>
                              <a:path w="4270375" h="455930">
                                <a:moveTo>
                                  <a:pt x="2145022" y="117310"/>
                                </a:moveTo>
                                <a:lnTo>
                                  <a:pt x="2137242" y="118863"/>
                                </a:lnTo>
                                <a:lnTo>
                                  <a:pt x="2136786" y="118955"/>
                                </a:lnTo>
                                <a:lnTo>
                                  <a:pt x="2145103" y="118200"/>
                                </a:lnTo>
                                <a:lnTo>
                                  <a:pt x="2145022" y="117310"/>
                                </a:lnTo>
                                <a:close/>
                              </a:path>
                              <a:path w="4270375" h="455930">
                                <a:moveTo>
                                  <a:pt x="2134242" y="101460"/>
                                </a:moveTo>
                                <a:lnTo>
                                  <a:pt x="2042309" y="109801"/>
                                </a:lnTo>
                                <a:lnTo>
                                  <a:pt x="2043106" y="118592"/>
                                </a:lnTo>
                                <a:lnTo>
                                  <a:pt x="2043106" y="109766"/>
                                </a:lnTo>
                                <a:lnTo>
                                  <a:pt x="2126426" y="109766"/>
                                </a:lnTo>
                                <a:lnTo>
                                  <a:pt x="2125132" y="103278"/>
                                </a:lnTo>
                                <a:lnTo>
                                  <a:pt x="2134242" y="101460"/>
                                </a:lnTo>
                                <a:close/>
                              </a:path>
                              <a:path w="4270375" h="455930">
                                <a:moveTo>
                                  <a:pt x="2126426" y="109766"/>
                                </a:moveTo>
                                <a:lnTo>
                                  <a:pt x="2043106" y="109766"/>
                                </a:lnTo>
                                <a:lnTo>
                                  <a:pt x="2043106" y="118592"/>
                                </a:lnTo>
                                <a:lnTo>
                                  <a:pt x="2128188" y="118592"/>
                                </a:lnTo>
                                <a:lnTo>
                                  <a:pt x="2126426" y="109766"/>
                                </a:lnTo>
                                <a:close/>
                              </a:path>
                              <a:path w="4270375" h="455930">
                                <a:moveTo>
                                  <a:pt x="2220838" y="100620"/>
                                </a:moveTo>
                                <a:lnTo>
                                  <a:pt x="2143508" y="100620"/>
                                </a:lnTo>
                                <a:lnTo>
                                  <a:pt x="2145022" y="117310"/>
                                </a:lnTo>
                                <a:lnTo>
                                  <a:pt x="2221119" y="102124"/>
                                </a:lnTo>
                                <a:lnTo>
                                  <a:pt x="2220838" y="100620"/>
                                </a:lnTo>
                                <a:close/>
                              </a:path>
                              <a:path w="4270375" h="455930">
                                <a:moveTo>
                                  <a:pt x="1435284" y="91731"/>
                                </a:moveTo>
                                <a:lnTo>
                                  <a:pt x="1427293" y="93326"/>
                                </a:lnTo>
                                <a:lnTo>
                                  <a:pt x="1419716" y="96350"/>
                                </a:lnTo>
                                <a:lnTo>
                                  <a:pt x="1422881" y="112208"/>
                                </a:lnTo>
                                <a:lnTo>
                                  <a:pt x="1431537" y="110480"/>
                                </a:lnTo>
                                <a:lnTo>
                                  <a:pt x="1432331" y="110321"/>
                                </a:lnTo>
                                <a:lnTo>
                                  <a:pt x="1441278" y="106750"/>
                                </a:lnTo>
                                <a:lnTo>
                                  <a:pt x="1435284" y="91731"/>
                                </a:lnTo>
                                <a:close/>
                              </a:path>
                              <a:path w="4270375" h="455930">
                                <a:moveTo>
                                  <a:pt x="1432331" y="110321"/>
                                </a:moveTo>
                                <a:lnTo>
                                  <a:pt x="1431537" y="110480"/>
                                </a:lnTo>
                                <a:lnTo>
                                  <a:pt x="1422881" y="112208"/>
                                </a:lnTo>
                                <a:lnTo>
                                  <a:pt x="1427604" y="112208"/>
                                </a:lnTo>
                                <a:lnTo>
                                  <a:pt x="1432331" y="110321"/>
                                </a:lnTo>
                                <a:close/>
                              </a:path>
                              <a:path w="4270375" h="455930">
                                <a:moveTo>
                                  <a:pt x="1605421" y="110613"/>
                                </a:moveTo>
                                <a:close/>
                              </a:path>
                              <a:path w="4270375" h="455930">
                                <a:moveTo>
                                  <a:pt x="1513823" y="93440"/>
                                </a:moveTo>
                                <a:lnTo>
                                  <a:pt x="1513026" y="102230"/>
                                </a:lnTo>
                                <a:lnTo>
                                  <a:pt x="1605421" y="110613"/>
                                </a:lnTo>
                                <a:lnTo>
                                  <a:pt x="1773835" y="110607"/>
                                </a:lnTo>
                                <a:lnTo>
                                  <a:pt x="1773835" y="109766"/>
                                </a:lnTo>
                                <a:lnTo>
                                  <a:pt x="1783057" y="109766"/>
                                </a:lnTo>
                                <a:lnTo>
                                  <a:pt x="1700406" y="102266"/>
                                </a:lnTo>
                                <a:lnTo>
                                  <a:pt x="1513823" y="102266"/>
                                </a:lnTo>
                                <a:lnTo>
                                  <a:pt x="1513823" y="93440"/>
                                </a:lnTo>
                                <a:close/>
                              </a:path>
                              <a:path w="4270375" h="455930">
                                <a:moveTo>
                                  <a:pt x="1514223" y="84614"/>
                                </a:moveTo>
                                <a:lnTo>
                                  <a:pt x="1470938" y="84614"/>
                                </a:lnTo>
                                <a:lnTo>
                                  <a:pt x="1435284" y="91731"/>
                                </a:lnTo>
                                <a:lnTo>
                                  <a:pt x="1441278" y="106750"/>
                                </a:lnTo>
                                <a:lnTo>
                                  <a:pt x="1432331" y="110321"/>
                                </a:lnTo>
                                <a:lnTo>
                                  <a:pt x="1472683" y="102266"/>
                                </a:lnTo>
                                <a:lnTo>
                                  <a:pt x="1471810" y="102266"/>
                                </a:lnTo>
                                <a:lnTo>
                                  <a:pt x="1471810" y="93440"/>
                                </a:lnTo>
                                <a:lnTo>
                                  <a:pt x="1611109" y="93440"/>
                                </a:lnTo>
                                <a:lnTo>
                                  <a:pt x="1514223" y="84614"/>
                                </a:lnTo>
                                <a:close/>
                              </a:path>
                              <a:path w="4270375" h="455930">
                                <a:moveTo>
                                  <a:pt x="1471810" y="93440"/>
                                </a:moveTo>
                                <a:lnTo>
                                  <a:pt x="1471810" y="102266"/>
                                </a:lnTo>
                                <a:lnTo>
                                  <a:pt x="1472683" y="102266"/>
                                </a:lnTo>
                                <a:lnTo>
                                  <a:pt x="1473472" y="102109"/>
                                </a:lnTo>
                                <a:lnTo>
                                  <a:pt x="1473402" y="101417"/>
                                </a:lnTo>
                                <a:lnTo>
                                  <a:pt x="1471810" y="93440"/>
                                </a:lnTo>
                                <a:close/>
                              </a:path>
                              <a:path w="4270375" h="455930">
                                <a:moveTo>
                                  <a:pt x="1513823" y="93440"/>
                                </a:moveTo>
                                <a:lnTo>
                                  <a:pt x="1471810" y="93440"/>
                                </a:lnTo>
                                <a:lnTo>
                                  <a:pt x="1473402" y="101417"/>
                                </a:lnTo>
                                <a:lnTo>
                                  <a:pt x="1473472" y="102109"/>
                                </a:lnTo>
                                <a:lnTo>
                                  <a:pt x="1472683" y="102266"/>
                                </a:lnTo>
                                <a:lnTo>
                                  <a:pt x="1513419" y="102266"/>
                                </a:lnTo>
                                <a:lnTo>
                                  <a:pt x="1513026" y="102230"/>
                                </a:lnTo>
                                <a:lnTo>
                                  <a:pt x="1513823" y="93440"/>
                                </a:lnTo>
                                <a:close/>
                              </a:path>
                              <a:path w="4270375" h="455930">
                                <a:moveTo>
                                  <a:pt x="1611109" y="93440"/>
                                </a:moveTo>
                                <a:lnTo>
                                  <a:pt x="1513823" y="93440"/>
                                </a:lnTo>
                                <a:lnTo>
                                  <a:pt x="1513823" y="102266"/>
                                </a:lnTo>
                                <a:lnTo>
                                  <a:pt x="1700406" y="102266"/>
                                </a:lnTo>
                                <a:lnTo>
                                  <a:pt x="1691045" y="101417"/>
                                </a:lnTo>
                                <a:lnTo>
                                  <a:pt x="1611109" y="93440"/>
                                </a:lnTo>
                                <a:close/>
                              </a:path>
                              <a:path w="4270375" h="455930">
                                <a:moveTo>
                                  <a:pt x="2219536" y="93440"/>
                                </a:moveTo>
                                <a:lnTo>
                                  <a:pt x="2221111" y="102124"/>
                                </a:lnTo>
                                <a:lnTo>
                                  <a:pt x="2221127" y="101417"/>
                                </a:lnTo>
                                <a:lnTo>
                                  <a:pt x="2219536" y="93440"/>
                                </a:lnTo>
                                <a:close/>
                              </a:path>
                              <a:path w="4270375" h="455930">
                                <a:moveTo>
                                  <a:pt x="2268972" y="93440"/>
                                </a:moveTo>
                                <a:lnTo>
                                  <a:pt x="2219536" y="93440"/>
                                </a:lnTo>
                                <a:lnTo>
                                  <a:pt x="2221127" y="101417"/>
                                </a:lnTo>
                                <a:lnTo>
                                  <a:pt x="2221197" y="102109"/>
                                </a:lnTo>
                                <a:lnTo>
                                  <a:pt x="2268972" y="93440"/>
                                </a:lnTo>
                                <a:close/>
                              </a:path>
                              <a:path w="4270375" h="455930">
                                <a:moveTo>
                                  <a:pt x="2309880" y="68076"/>
                                </a:moveTo>
                                <a:lnTo>
                                  <a:pt x="2217808" y="84784"/>
                                </a:lnTo>
                                <a:lnTo>
                                  <a:pt x="2134242" y="101460"/>
                                </a:lnTo>
                                <a:lnTo>
                                  <a:pt x="2143508" y="100620"/>
                                </a:lnTo>
                                <a:lnTo>
                                  <a:pt x="2220838" y="100620"/>
                                </a:lnTo>
                                <a:lnTo>
                                  <a:pt x="2219536" y="93440"/>
                                </a:lnTo>
                                <a:lnTo>
                                  <a:pt x="2268972" y="93440"/>
                                </a:lnTo>
                                <a:lnTo>
                                  <a:pt x="2314005" y="85269"/>
                                </a:lnTo>
                                <a:lnTo>
                                  <a:pt x="2342710" y="76672"/>
                                </a:lnTo>
                                <a:lnTo>
                                  <a:pt x="2311945" y="76672"/>
                                </a:lnTo>
                                <a:lnTo>
                                  <a:pt x="2309412" y="68216"/>
                                </a:lnTo>
                                <a:lnTo>
                                  <a:pt x="2309880" y="68076"/>
                                </a:lnTo>
                                <a:close/>
                              </a:path>
                              <a:path w="4270375" h="455930">
                                <a:moveTo>
                                  <a:pt x="1691060" y="101418"/>
                                </a:moveTo>
                                <a:close/>
                              </a:path>
                              <a:path w="4270375" h="455930">
                                <a:moveTo>
                                  <a:pt x="1691045" y="101417"/>
                                </a:moveTo>
                                <a:close/>
                              </a:path>
                              <a:path w="4270375" h="455930">
                                <a:moveTo>
                                  <a:pt x="1427293" y="93326"/>
                                </a:moveTo>
                                <a:lnTo>
                                  <a:pt x="1419425" y="94896"/>
                                </a:lnTo>
                                <a:lnTo>
                                  <a:pt x="1419716" y="96350"/>
                                </a:lnTo>
                                <a:lnTo>
                                  <a:pt x="1427293" y="93326"/>
                                </a:lnTo>
                                <a:close/>
                              </a:path>
                              <a:path w="4270375" h="455930">
                                <a:moveTo>
                                  <a:pt x="1434735" y="90355"/>
                                </a:moveTo>
                                <a:lnTo>
                                  <a:pt x="1427293" y="93326"/>
                                </a:lnTo>
                                <a:lnTo>
                                  <a:pt x="1435284" y="91731"/>
                                </a:lnTo>
                                <a:lnTo>
                                  <a:pt x="1434735" y="90355"/>
                                </a:lnTo>
                                <a:close/>
                              </a:path>
                              <a:path w="4270375" h="455930">
                                <a:moveTo>
                                  <a:pt x="3909224" y="42740"/>
                                </a:moveTo>
                                <a:lnTo>
                                  <a:pt x="3918184" y="44016"/>
                                </a:lnTo>
                                <a:lnTo>
                                  <a:pt x="3915751" y="61092"/>
                                </a:lnTo>
                                <a:lnTo>
                                  <a:pt x="4084206" y="77106"/>
                                </a:lnTo>
                                <a:lnTo>
                                  <a:pt x="4269446" y="85907"/>
                                </a:lnTo>
                                <a:lnTo>
                                  <a:pt x="4270283" y="68289"/>
                                </a:lnTo>
                                <a:lnTo>
                                  <a:pt x="4084625" y="68289"/>
                                </a:lnTo>
                                <a:lnTo>
                                  <a:pt x="4085044" y="59472"/>
                                </a:lnTo>
                                <a:lnTo>
                                  <a:pt x="3909224" y="42740"/>
                                </a:lnTo>
                                <a:close/>
                              </a:path>
                              <a:path w="4270375" h="455930">
                                <a:moveTo>
                                  <a:pt x="2310369" y="67988"/>
                                </a:moveTo>
                                <a:lnTo>
                                  <a:pt x="2309880" y="68076"/>
                                </a:lnTo>
                                <a:lnTo>
                                  <a:pt x="2309412" y="68216"/>
                                </a:lnTo>
                                <a:lnTo>
                                  <a:pt x="2311945" y="76672"/>
                                </a:lnTo>
                                <a:lnTo>
                                  <a:pt x="2310369" y="67988"/>
                                </a:lnTo>
                                <a:close/>
                              </a:path>
                              <a:path w="4270375" h="455930">
                                <a:moveTo>
                                  <a:pt x="2371707" y="67988"/>
                                </a:moveTo>
                                <a:lnTo>
                                  <a:pt x="2310369" y="67988"/>
                                </a:lnTo>
                                <a:lnTo>
                                  <a:pt x="2311945" y="76672"/>
                                </a:lnTo>
                                <a:lnTo>
                                  <a:pt x="2342710" y="76672"/>
                                </a:lnTo>
                                <a:lnTo>
                                  <a:pt x="2371707" y="67988"/>
                                </a:lnTo>
                                <a:close/>
                              </a:path>
                              <a:path w="4270375" h="455930">
                                <a:moveTo>
                                  <a:pt x="4085044" y="59472"/>
                                </a:moveTo>
                                <a:lnTo>
                                  <a:pt x="4084625" y="68289"/>
                                </a:lnTo>
                                <a:lnTo>
                                  <a:pt x="4085461" y="59502"/>
                                </a:lnTo>
                                <a:lnTo>
                                  <a:pt x="4085044" y="59472"/>
                                </a:lnTo>
                                <a:close/>
                              </a:path>
                              <a:path w="4270375" h="455930">
                                <a:moveTo>
                                  <a:pt x="4085242" y="59481"/>
                                </a:moveTo>
                                <a:lnTo>
                                  <a:pt x="4085461" y="59502"/>
                                </a:lnTo>
                                <a:lnTo>
                                  <a:pt x="4084625" y="68289"/>
                                </a:lnTo>
                                <a:lnTo>
                                  <a:pt x="4270283" y="68289"/>
                                </a:lnTo>
                                <a:lnTo>
                                  <a:pt x="4085242" y="59481"/>
                                </a:lnTo>
                                <a:close/>
                              </a:path>
                              <a:path w="4270375" h="455930">
                                <a:moveTo>
                                  <a:pt x="2478813" y="27515"/>
                                </a:moveTo>
                                <a:lnTo>
                                  <a:pt x="2393905" y="42912"/>
                                </a:lnTo>
                                <a:lnTo>
                                  <a:pt x="2309880" y="68076"/>
                                </a:lnTo>
                                <a:lnTo>
                                  <a:pt x="2310369" y="67988"/>
                                </a:lnTo>
                                <a:lnTo>
                                  <a:pt x="2371707" y="67988"/>
                                </a:lnTo>
                                <a:lnTo>
                                  <a:pt x="2397731" y="60193"/>
                                </a:lnTo>
                                <a:lnTo>
                                  <a:pt x="2397539" y="60193"/>
                                </a:lnTo>
                                <a:lnTo>
                                  <a:pt x="2395964" y="51509"/>
                                </a:lnTo>
                                <a:lnTo>
                                  <a:pt x="2445430" y="51509"/>
                                </a:lnTo>
                                <a:lnTo>
                                  <a:pt x="2484769" y="44375"/>
                                </a:lnTo>
                                <a:lnTo>
                                  <a:pt x="2480417" y="44375"/>
                                </a:lnTo>
                                <a:lnTo>
                                  <a:pt x="2478813" y="27515"/>
                                </a:lnTo>
                                <a:close/>
                              </a:path>
                              <a:path w="4270375" h="455930">
                                <a:moveTo>
                                  <a:pt x="3907374" y="60296"/>
                                </a:moveTo>
                                <a:lnTo>
                                  <a:pt x="3915694" y="61491"/>
                                </a:lnTo>
                                <a:lnTo>
                                  <a:pt x="3915751" y="61092"/>
                                </a:lnTo>
                                <a:lnTo>
                                  <a:pt x="3907374" y="60296"/>
                                </a:lnTo>
                                <a:close/>
                              </a:path>
                              <a:path w="4270375" h="455930">
                                <a:moveTo>
                                  <a:pt x="3915864" y="60295"/>
                                </a:moveTo>
                                <a:lnTo>
                                  <a:pt x="3907366" y="60295"/>
                                </a:lnTo>
                                <a:lnTo>
                                  <a:pt x="3915751" y="61092"/>
                                </a:lnTo>
                                <a:lnTo>
                                  <a:pt x="3915864" y="60295"/>
                                </a:lnTo>
                                <a:close/>
                              </a:path>
                              <a:path w="4270375" h="455930">
                                <a:moveTo>
                                  <a:pt x="3907184" y="60279"/>
                                </a:moveTo>
                                <a:lnTo>
                                  <a:pt x="3907366" y="60296"/>
                                </a:lnTo>
                                <a:lnTo>
                                  <a:pt x="3907184" y="60279"/>
                                </a:lnTo>
                                <a:close/>
                              </a:path>
                              <a:path w="4270375" h="455930">
                                <a:moveTo>
                                  <a:pt x="3900250" y="41886"/>
                                </a:moveTo>
                                <a:lnTo>
                                  <a:pt x="3898617" y="59058"/>
                                </a:lnTo>
                                <a:lnTo>
                                  <a:pt x="3907366" y="60296"/>
                                </a:lnTo>
                                <a:lnTo>
                                  <a:pt x="3915864" y="60295"/>
                                </a:lnTo>
                                <a:lnTo>
                                  <a:pt x="3918184" y="44016"/>
                                </a:lnTo>
                                <a:lnTo>
                                  <a:pt x="3909224" y="42740"/>
                                </a:lnTo>
                                <a:lnTo>
                                  <a:pt x="3900250" y="41886"/>
                                </a:lnTo>
                                <a:close/>
                              </a:path>
                              <a:path w="4270375" h="455930">
                                <a:moveTo>
                                  <a:pt x="3907366" y="60295"/>
                                </a:moveTo>
                                <a:close/>
                              </a:path>
                              <a:path w="4270375" h="455930">
                                <a:moveTo>
                                  <a:pt x="3898617" y="59058"/>
                                </a:moveTo>
                                <a:lnTo>
                                  <a:pt x="3898700" y="59472"/>
                                </a:lnTo>
                                <a:lnTo>
                                  <a:pt x="3907184" y="60279"/>
                                </a:lnTo>
                                <a:lnTo>
                                  <a:pt x="3898617" y="59058"/>
                                </a:lnTo>
                                <a:close/>
                              </a:path>
                              <a:path w="4270375" h="455930">
                                <a:moveTo>
                                  <a:pt x="2395964" y="51509"/>
                                </a:moveTo>
                                <a:lnTo>
                                  <a:pt x="2397539" y="60193"/>
                                </a:lnTo>
                                <a:lnTo>
                                  <a:pt x="2398025" y="60105"/>
                                </a:lnTo>
                                <a:lnTo>
                                  <a:pt x="2398496" y="59964"/>
                                </a:lnTo>
                                <a:lnTo>
                                  <a:pt x="2395964" y="51509"/>
                                </a:lnTo>
                                <a:close/>
                              </a:path>
                              <a:path w="4270375" h="455930">
                                <a:moveTo>
                                  <a:pt x="2398025" y="60105"/>
                                </a:moveTo>
                                <a:lnTo>
                                  <a:pt x="2397539" y="60193"/>
                                </a:lnTo>
                                <a:lnTo>
                                  <a:pt x="2397731" y="60193"/>
                                </a:lnTo>
                                <a:lnTo>
                                  <a:pt x="2398025" y="60105"/>
                                </a:lnTo>
                                <a:close/>
                              </a:path>
                              <a:path w="4270375" h="455930">
                                <a:moveTo>
                                  <a:pt x="2445430" y="51509"/>
                                </a:moveTo>
                                <a:lnTo>
                                  <a:pt x="2395964" y="51509"/>
                                </a:lnTo>
                                <a:lnTo>
                                  <a:pt x="2398496" y="59964"/>
                                </a:lnTo>
                                <a:lnTo>
                                  <a:pt x="2398025" y="60105"/>
                                </a:lnTo>
                                <a:lnTo>
                                  <a:pt x="2445430" y="51509"/>
                                </a:lnTo>
                                <a:close/>
                              </a:path>
                              <a:path w="4270375" h="455930">
                                <a:moveTo>
                                  <a:pt x="4085143" y="59472"/>
                                </a:moveTo>
                                <a:close/>
                              </a:path>
                              <a:path w="4270375" h="455930">
                                <a:moveTo>
                                  <a:pt x="3794308" y="26368"/>
                                </a:moveTo>
                                <a:lnTo>
                                  <a:pt x="3731778" y="26368"/>
                                </a:lnTo>
                                <a:lnTo>
                                  <a:pt x="3730900" y="35151"/>
                                </a:lnTo>
                                <a:lnTo>
                                  <a:pt x="3898617" y="59058"/>
                                </a:lnTo>
                                <a:lnTo>
                                  <a:pt x="3900250" y="41886"/>
                                </a:lnTo>
                                <a:lnTo>
                                  <a:pt x="3903233" y="41886"/>
                                </a:lnTo>
                                <a:lnTo>
                                  <a:pt x="3794308" y="26368"/>
                                </a:lnTo>
                                <a:close/>
                              </a:path>
                              <a:path w="4270375" h="455930">
                                <a:moveTo>
                                  <a:pt x="2495606" y="25197"/>
                                </a:moveTo>
                                <a:lnTo>
                                  <a:pt x="2487166" y="26000"/>
                                </a:lnTo>
                                <a:lnTo>
                                  <a:pt x="2478813" y="27515"/>
                                </a:lnTo>
                                <a:lnTo>
                                  <a:pt x="2480417" y="44375"/>
                                </a:lnTo>
                                <a:lnTo>
                                  <a:pt x="2489204" y="43539"/>
                                </a:lnTo>
                                <a:lnTo>
                                  <a:pt x="2489578" y="43503"/>
                                </a:lnTo>
                                <a:lnTo>
                                  <a:pt x="2498628" y="41862"/>
                                </a:lnTo>
                                <a:lnTo>
                                  <a:pt x="2495606" y="25197"/>
                                </a:lnTo>
                                <a:close/>
                              </a:path>
                              <a:path w="4270375" h="455930">
                                <a:moveTo>
                                  <a:pt x="2489578" y="43503"/>
                                </a:moveTo>
                                <a:lnTo>
                                  <a:pt x="2489204" y="43539"/>
                                </a:lnTo>
                                <a:lnTo>
                                  <a:pt x="2480417" y="44375"/>
                                </a:lnTo>
                                <a:lnTo>
                                  <a:pt x="2484769" y="44375"/>
                                </a:lnTo>
                                <a:lnTo>
                                  <a:pt x="2489578" y="43503"/>
                                </a:lnTo>
                                <a:close/>
                              </a:path>
                              <a:path w="4270375" h="455930">
                                <a:moveTo>
                                  <a:pt x="2664791" y="9145"/>
                                </a:moveTo>
                                <a:lnTo>
                                  <a:pt x="2664364" y="9145"/>
                                </a:lnTo>
                                <a:lnTo>
                                  <a:pt x="2495606" y="25197"/>
                                </a:lnTo>
                                <a:lnTo>
                                  <a:pt x="2498628" y="41862"/>
                                </a:lnTo>
                                <a:lnTo>
                                  <a:pt x="2489578" y="43503"/>
                                </a:lnTo>
                                <a:lnTo>
                                  <a:pt x="2665211" y="26797"/>
                                </a:lnTo>
                                <a:lnTo>
                                  <a:pt x="2664791" y="26797"/>
                                </a:lnTo>
                                <a:lnTo>
                                  <a:pt x="2664791" y="17971"/>
                                </a:lnTo>
                                <a:lnTo>
                                  <a:pt x="2832401" y="17971"/>
                                </a:lnTo>
                                <a:lnTo>
                                  <a:pt x="2832401" y="9145"/>
                                </a:lnTo>
                                <a:lnTo>
                                  <a:pt x="2664791" y="9145"/>
                                </a:lnTo>
                                <a:close/>
                              </a:path>
                              <a:path w="4270375" h="455930">
                                <a:moveTo>
                                  <a:pt x="3903233" y="41886"/>
                                </a:moveTo>
                                <a:lnTo>
                                  <a:pt x="3900250" y="41886"/>
                                </a:lnTo>
                                <a:lnTo>
                                  <a:pt x="3909224" y="42740"/>
                                </a:lnTo>
                                <a:lnTo>
                                  <a:pt x="3903233" y="41886"/>
                                </a:lnTo>
                                <a:close/>
                              </a:path>
                              <a:path w="4270375" h="455930">
                                <a:moveTo>
                                  <a:pt x="3730727" y="35133"/>
                                </a:moveTo>
                                <a:lnTo>
                                  <a:pt x="3730900" y="35151"/>
                                </a:lnTo>
                                <a:lnTo>
                                  <a:pt x="3730727" y="35133"/>
                                </a:lnTo>
                                <a:close/>
                              </a:path>
                              <a:path w="4270375" h="455930">
                                <a:moveTo>
                                  <a:pt x="3731778" y="26368"/>
                                </a:moveTo>
                                <a:lnTo>
                                  <a:pt x="3730533" y="35106"/>
                                </a:lnTo>
                                <a:lnTo>
                                  <a:pt x="3730900" y="35151"/>
                                </a:lnTo>
                                <a:lnTo>
                                  <a:pt x="3731778" y="26368"/>
                                </a:lnTo>
                                <a:close/>
                              </a:path>
                              <a:path w="4270375" h="455930">
                                <a:moveTo>
                                  <a:pt x="3731723" y="26754"/>
                                </a:moveTo>
                                <a:lnTo>
                                  <a:pt x="3646875" y="26754"/>
                                </a:lnTo>
                                <a:lnTo>
                                  <a:pt x="3730727" y="35133"/>
                                </a:lnTo>
                                <a:lnTo>
                                  <a:pt x="3730533" y="35106"/>
                                </a:lnTo>
                                <a:lnTo>
                                  <a:pt x="3731723" y="26754"/>
                                </a:lnTo>
                                <a:close/>
                              </a:path>
                              <a:path w="4270375" h="455930">
                                <a:moveTo>
                                  <a:pt x="2487166" y="26000"/>
                                </a:moveTo>
                                <a:lnTo>
                                  <a:pt x="2478884" y="26788"/>
                                </a:lnTo>
                                <a:lnTo>
                                  <a:pt x="2478813" y="27515"/>
                                </a:lnTo>
                                <a:lnTo>
                                  <a:pt x="2487166" y="26000"/>
                                </a:lnTo>
                                <a:close/>
                              </a:path>
                              <a:path w="4270375" h="455930">
                                <a:moveTo>
                                  <a:pt x="3193828" y="9145"/>
                                </a:moveTo>
                                <a:lnTo>
                                  <a:pt x="3184838" y="9573"/>
                                </a:lnTo>
                                <a:lnTo>
                                  <a:pt x="3185676" y="27207"/>
                                </a:lnTo>
                                <a:lnTo>
                                  <a:pt x="3194493" y="26788"/>
                                </a:lnTo>
                                <a:lnTo>
                                  <a:pt x="3202900" y="26388"/>
                                </a:lnTo>
                                <a:lnTo>
                                  <a:pt x="3202900" y="9145"/>
                                </a:lnTo>
                                <a:lnTo>
                                  <a:pt x="3193828" y="9145"/>
                                </a:lnTo>
                                <a:close/>
                              </a:path>
                              <a:path w="4270375" h="455930">
                                <a:moveTo>
                                  <a:pt x="2832401" y="9145"/>
                                </a:moveTo>
                                <a:lnTo>
                                  <a:pt x="2832401" y="26798"/>
                                </a:lnTo>
                                <a:lnTo>
                                  <a:pt x="2841228" y="26798"/>
                                </a:lnTo>
                                <a:lnTo>
                                  <a:pt x="2850053" y="26797"/>
                                </a:lnTo>
                                <a:lnTo>
                                  <a:pt x="2850053" y="9145"/>
                                </a:lnTo>
                                <a:lnTo>
                                  <a:pt x="2832401" y="9145"/>
                                </a:lnTo>
                                <a:close/>
                              </a:path>
                              <a:path w="4270375" h="455930">
                                <a:moveTo>
                                  <a:pt x="2664791" y="17971"/>
                                </a:moveTo>
                                <a:lnTo>
                                  <a:pt x="2664791" y="26797"/>
                                </a:lnTo>
                                <a:lnTo>
                                  <a:pt x="2665309" y="26788"/>
                                </a:lnTo>
                                <a:lnTo>
                                  <a:pt x="2665586" y="26761"/>
                                </a:lnTo>
                                <a:lnTo>
                                  <a:pt x="2665479" y="25197"/>
                                </a:lnTo>
                                <a:lnTo>
                                  <a:pt x="2664791" y="17971"/>
                                </a:lnTo>
                                <a:close/>
                              </a:path>
                              <a:path w="4270375" h="455930">
                                <a:moveTo>
                                  <a:pt x="2832401" y="17971"/>
                                </a:moveTo>
                                <a:lnTo>
                                  <a:pt x="2664791" y="17971"/>
                                </a:lnTo>
                                <a:lnTo>
                                  <a:pt x="2665479" y="25197"/>
                                </a:lnTo>
                                <a:lnTo>
                                  <a:pt x="2665586" y="26761"/>
                                </a:lnTo>
                                <a:lnTo>
                                  <a:pt x="2665211" y="26797"/>
                                </a:lnTo>
                                <a:lnTo>
                                  <a:pt x="2832401" y="26797"/>
                                </a:lnTo>
                                <a:lnTo>
                                  <a:pt x="2832401" y="17971"/>
                                </a:lnTo>
                                <a:close/>
                              </a:path>
                              <a:path w="4270375" h="455930">
                                <a:moveTo>
                                  <a:pt x="3017651" y="9145"/>
                                </a:moveTo>
                                <a:lnTo>
                                  <a:pt x="2832401" y="9145"/>
                                </a:lnTo>
                                <a:lnTo>
                                  <a:pt x="2850053" y="9145"/>
                                </a:lnTo>
                                <a:lnTo>
                                  <a:pt x="2850053" y="26797"/>
                                </a:lnTo>
                                <a:lnTo>
                                  <a:pt x="3185657" y="26797"/>
                                </a:lnTo>
                                <a:lnTo>
                                  <a:pt x="3184838" y="9573"/>
                                </a:lnTo>
                                <a:lnTo>
                                  <a:pt x="3193828" y="9145"/>
                                </a:lnTo>
                                <a:lnTo>
                                  <a:pt x="3017651" y="9145"/>
                                </a:lnTo>
                                <a:close/>
                              </a:path>
                              <a:path w="4270375" h="455930">
                                <a:moveTo>
                                  <a:pt x="3202900" y="26388"/>
                                </a:moveTo>
                                <a:lnTo>
                                  <a:pt x="3194493" y="26788"/>
                                </a:lnTo>
                                <a:lnTo>
                                  <a:pt x="3194311" y="26797"/>
                                </a:lnTo>
                                <a:lnTo>
                                  <a:pt x="3202900" y="26797"/>
                                </a:lnTo>
                                <a:lnTo>
                                  <a:pt x="3202900" y="26388"/>
                                </a:lnTo>
                                <a:close/>
                              </a:path>
                              <a:path w="4270375" h="455930">
                                <a:moveTo>
                                  <a:pt x="3646926" y="26759"/>
                                </a:moveTo>
                                <a:close/>
                              </a:path>
                              <a:path w="4270375" h="455930">
                                <a:moveTo>
                                  <a:pt x="3564168" y="18378"/>
                                </a:moveTo>
                                <a:lnTo>
                                  <a:pt x="3554545" y="18378"/>
                                </a:lnTo>
                                <a:lnTo>
                                  <a:pt x="3646926" y="26759"/>
                                </a:lnTo>
                                <a:lnTo>
                                  <a:pt x="3731723" y="26754"/>
                                </a:lnTo>
                                <a:lnTo>
                                  <a:pt x="3731778" y="26368"/>
                                </a:lnTo>
                                <a:lnTo>
                                  <a:pt x="3794308" y="26368"/>
                                </a:lnTo>
                                <a:lnTo>
                                  <a:pt x="3738473" y="18414"/>
                                </a:lnTo>
                                <a:lnTo>
                                  <a:pt x="3564168" y="18414"/>
                                </a:lnTo>
                                <a:close/>
                              </a:path>
                              <a:path w="4270375" h="455930">
                                <a:moveTo>
                                  <a:pt x="3547279" y="763"/>
                                </a:moveTo>
                                <a:lnTo>
                                  <a:pt x="3370091" y="771"/>
                                </a:lnTo>
                                <a:lnTo>
                                  <a:pt x="3193828" y="9145"/>
                                </a:lnTo>
                                <a:lnTo>
                                  <a:pt x="3202900" y="9145"/>
                                </a:lnTo>
                                <a:lnTo>
                                  <a:pt x="3202900" y="26388"/>
                                </a:lnTo>
                                <a:lnTo>
                                  <a:pt x="3370734" y="18414"/>
                                </a:lnTo>
                                <a:lnTo>
                                  <a:pt x="3370510" y="18414"/>
                                </a:lnTo>
                                <a:lnTo>
                                  <a:pt x="3370510" y="9588"/>
                                </a:lnTo>
                                <a:lnTo>
                                  <a:pt x="3546479" y="9588"/>
                                </a:lnTo>
                                <a:lnTo>
                                  <a:pt x="3547279" y="763"/>
                                </a:lnTo>
                                <a:close/>
                              </a:path>
                              <a:path w="4270375" h="455930">
                                <a:moveTo>
                                  <a:pt x="2495478" y="24493"/>
                                </a:moveTo>
                                <a:lnTo>
                                  <a:pt x="2487166" y="26000"/>
                                </a:lnTo>
                                <a:lnTo>
                                  <a:pt x="2495606" y="25197"/>
                                </a:lnTo>
                                <a:lnTo>
                                  <a:pt x="2495478" y="24493"/>
                                </a:lnTo>
                                <a:close/>
                              </a:path>
                              <a:path w="4270375" h="455930">
                                <a:moveTo>
                                  <a:pt x="3370510" y="9588"/>
                                </a:moveTo>
                                <a:lnTo>
                                  <a:pt x="3370510" y="18414"/>
                                </a:lnTo>
                                <a:lnTo>
                                  <a:pt x="3370929" y="18405"/>
                                </a:lnTo>
                                <a:lnTo>
                                  <a:pt x="3370510" y="9588"/>
                                </a:lnTo>
                                <a:close/>
                              </a:path>
                              <a:path w="4270375" h="455930">
                                <a:moveTo>
                                  <a:pt x="3546479" y="9588"/>
                                </a:moveTo>
                                <a:lnTo>
                                  <a:pt x="3370510" y="9588"/>
                                </a:lnTo>
                                <a:lnTo>
                                  <a:pt x="3370929" y="18405"/>
                                </a:lnTo>
                                <a:lnTo>
                                  <a:pt x="3370734" y="18414"/>
                                </a:lnTo>
                                <a:lnTo>
                                  <a:pt x="3554938" y="18414"/>
                                </a:lnTo>
                                <a:lnTo>
                                  <a:pt x="3545754" y="17581"/>
                                </a:lnTo>
                                <a:lnTo>
                                  <a:pt x="3546479" y="9588"/>
                                </a:lnTo>
                                <a:close/>
                              </a:path>
                              <a:path w="4270375" h="455930">
                                <a:moveTo>
                                  <a:pt x="3564168" y="1525"/>
                                </a:moveTo>
                                <a:lnTo>
                                  <a:pt x="3564168" y="18414"/>
                                </a:lnTo>
                                <a:lnTo>
                                  <a:pt x="3738473" y="18414"/>
                                </a:lnTo>
                                <a:lnTo>
                                  <a:pt x="3732618" y="17581"/>
                                </a:lnTo>
                                <a:lnTo>
                                  <a:pt x="3648156" y="9145"/>
                                </a:lnTo>
                                <a:lnTo>
                                  <a:pt x="3564168" y="1525"/>
                                </a:lnTo>
                                <a:close/>
                              </a:path>
                              <a:path w="4270375" h="455930">
                                <a:moveTo>
                                  <a:pt x="3555761" y="763"/>
                                </a:moveTo>
                                <a:lnTo>
                                  <a:pt x="3547279" y="763"/>
                                </a:lnTo>
                                <a:lnTo>
                                  <a:pt x="3545754" y="17581"/>
                                </a:lnTo>
                                <a:lnTo>
                                  <a:pt x="3554545" y="18379"/>
                                </a:lnTo>
                                <a:lnTo>
                                  <a:pt x="3564168" y="18378"/>
                                </a:lnTo>
                                <a:lnTo>
                                  <a:pt x="3564168" y="1525"/>
                                </a:lnTo>
                                <a:lnTo>
                                  <a:pt x="3555761" y="763"/>
                                </a:lnTo>
                                <a:close/>
                              </a:path>
                              <a:path w="4270375" h="455930">
                                <a:moveTo>
                                  <a:pt x="3554545" y="18378"/>
                                </a:moveTo>
                                <a:close/>
                              </a:path>
                              <a:path w="4270375" h="455930">
                                <a:moveTo>
                                  <a:pt x="3564168" y="762"/>
                                </a:moveTo>
                                <a:lnTo>
                                  <a:pt x="3555761" y="763"/>
                                </a:lnTo>
                                <a:lnTo>
                                  <a:pt x="3564168" y="1525"/>
                                </a:lnTo>
                                <a:lnTo>
                                  <a:pt x="3564168" y="762"/>
                                </a:lnTo>
                                <a:close/>
                              </a:path>
                              <a:path w="4270375" h="455930">
                                <a:moveTo>
                                  <a:pt x="3547349" y="0"/>
                                </a:moveTo>
                                <a:lnTo>
                                  <a:pt x="3547279" y="763"/>
                                </a:lnTo>
                                <a:lnTo>
                                  <a:pt x="3555761" y="763"/>
                                </a:lnTo>
                                <a:lnTo>
                                  <a:pt x="3547349" y="0"/>
                                </a:lnTo>
                                <a:close/>
                              </a:path>
                            </a:pathLst>
                          </a:custGeom>
                          <a:solidFill>
                            <a:srgbClr val="F2E499"/>
                          </a:solidFill>
                        </wps:spPr>
                        <wps:bodyPr wrap="square" lIns="0" tIns="0" rIns="0" bIns="0" rtlCol="0">
                          <a:prstTxWarp prst="textNoShape">
                            <a:avLst/>
                          </a:prstTxWarp>
                          <a:noAutofit/>
                        </wps:bodyPr>
                      </wps:wsp>
                      <wps:wsp>
                        <wps:cNvPr id="2067" name="Graphic 2067"/>
                        <wps:cNvSpPr/>
                        <wps:spPr>
                          <a:xfrm>
                            <a:off x="654928" y="1782314"/>
                            <a:ext cx="4270375" cy="354330"/>
                          </a:xfrm>
                          <a:custGeom>
                            <a:avLst/>
                            <a:gdLst/>
                            <a:ahLst/>
                            <a:cxnLst/>
                            <a:rect l="l" t="t" r="r" b="b"/>
                            <a:pathLst>
                              <a:path w="4270375" h="354330">
                                <a:moveTo>
                                  <a:pt x="361839" y="336191"/>
                                </a:moveTo>
                                <a:lnTo>
                                  <a:pt x="352852" y="336618"/>
                                </a:lnTo>
                                <a:lnTo>
                                  <a:pt x="353689" y="354252"/>
                                </a:lnTo>
                                <a:lnTo>
                                  <a:pt x="362507" y="353834"/>
                                </a:lnTo>
                                <a:lnTo>
                                  <a:pt x="370914" y="353434"/>
                                </a:lnTo>
                                <a:lnTo>
                                  <a:pt x="370914" y="336191"/>
                                </a:lnTo>
                                <a:lnTo>
                                  <a:pt x="361839" y="336191"/>
                                </a:lnTo>
                                <a:close/>
                              </a:path>
                              <a:path w="4270375" h="354330">
                                <a:moveTo>
                                  <a:pt x="353272" y="345462"/>
                                </a:moveTo>
                                <a:lnTo>
                                  <a:pt x="8817" y="345462"/>
                                </a:lnTo>
                                <a:lnTo>
                                  <a:pt x="185455" y="353843"/>
                                </a:lnTo>
                                <a:lnTo>
                                  <a:pt x="353670" y="353843"/>
                                </a:lnTo>
                                <a:lnTo>
                                  <a:pt x="353272" y="345462"/>
                                </a:lnTo>
                                <a:close/>
                              </a:path>
                              <a:path w="4270375" h="354330">
                                <a:moveTo>
                                  <a:pt x="370914" y="353434"/>
                                </a:moveTo>
                                <a:lnTo>
                                  <a:pt x="362506" y="353834"/>
                                </a:lnTo>
                                <a:lnTo>
                                  <a:pt x="362327" y="353843"/>
                                </a:lnTo>
                                <a:lnTo>
                                  <a:pt x="370914" y="353843"/>
                                </a:lnTo>
                                <a:lnTo>
                                  <a:pt x="370914" y="353434"/>
                                </a:lnTo>
                                <a:close/>
                              </a:path>
                              <a:path w="4270375" h="354330">
                                <a:moveTo>
                                  <a:pt x="537901" y="327838"/>
                                </a:moveTo>
                                <a:lnTo>
                                  <a:pt x="361839" y="336191"/>
                                </a:lnTo>
                                <a:lnTo>
                                  <a:pt x="370914" y="336191"/>
                                </a:lnTo>
                                <a:lnTo>
                                  <a:pt x="370914" y="353434"/>
                                </a:lnTo>
                                <a:lnTo>
                                  <a:pt x="539353" y="345432"/>
                                </a:lnTo>
                                <a:lnTo>
                                  <a:pt x="631734" y="336646"/>
                                </a:lnTo>
                                <a:lnTo>
                                  <a:pt x="538518" y="336646"/>
                                </a:lnTo>
                                <a:lnTo>
                                  <a:pt x="537682" y="327859"/>
                                </a:lnTo>
                                <a:lnTo>
                                  <a:pt x="537901" y="327838"/>
                                </a:lnTo>
                                <a:close/>
                              </a:path>
                              <a:path w="4270375" h="354330">
                                <a:moveTo>
                                  <a:pt x="836" y="327410"/>
                                </a:moveTo>
                                <a:lnTo>
                                  <a:pt x="0" y="345044"/>
                                </a:lnTo>
                                <a:lnTo>
                                  <a:pt x="8817" y="345463"/>
                                </a:lnTo>
                                <a:lnTo>
                                  <a:pt x="353272" y="345462"/>
                                </a:lnTo>
                                <a:lnTo>
                                  <a:pt x="353251" y="345017"/>
                                </a:lnTo>
                                <a:lnTo>
                                  <a:pt x="185665" y="345017"/>
                                </a:lnTo>
                                <a:lnTo>
                                  <a:pt x="185665" y="336191"/>
                                </a:lnTo>
                                <a:lnTo>
                                  <a:pt x="185888" y="336191"/>
                                </a:lnTo>
                                <a:lnTo>
                                  <a:pt x="836" y="327410"/>
                                </a:lnTo>
                                <a:close/>
                              </a:path>
                              <a:path w="4270375" h="354330">
                                <a:moveTo>
                                  <a:pt x="185888" y="336191"/>
                                </a:moveTo>
                                <a:lnTo>
                                  <a:pt x="185665" y="336191"/>
                                </a:lnTo>
                                <a:lnTo>
                                  <a:pt x="185665" y="345017"/>
                                </a:lnTo>
                                <a:lnTo>
                                  <a:pt x="186083" y="336200"/>
                                </a:lnTo>
                                <a:lnTo>
                                  <a:pt x="185888" y="336191"/>
                                </a:lnTo>
                                <a:close/>
                              </a:path>
                              <a:path w="4270375" h="354330">
                                <a:moveTo>
                                  <a:pt x="185888" y="336191"/>
                                </a:moveTo>
                                <a:lnTo>
                                  <a:pt x="186083" y="336200"/>
                                </a:lnTo>
                                <a:lnTo>
                                  <a:pt x="185665" y="345017"/>
                                </a:lnTo>
                                <a:lnTo>
                                  <a:pt x="353251" y="345017"/>
                                </a:lnTo>
                                <a:lnTo>
                                  <a:pt x="352852" y="336618"/>
                                </a:lnTo>
                                <a:lnTo>
                                  <a:pt x="361839" y="336191"/>
                                </a:lnTo>
                                <a:lnTo>
                                  <a:pt x="185888" y="336191"/>
                                </a:lnTo>
                                <a:close/>
                              </a:path>
                              <a:path w="4270375" h="354330">
                                <a:moveTo>
                                  <a:pt x="538099" y="327828"/>
                                </a:moveTo>
                                <a:lnTo>
                                  <a:pt x="537682" y="327859"/>
                                </a:lnTo>
                                <a:lnTo>
                                  <a:pt x="538518" y="336646"/>
                                </a:lnTo>
                                <a:lnTo>
                                  <a:pt x="538099" y="327828"/>
                                </a:lnTo>
                                <a:close/>
                              </a:path>
                              <a:path w="4270375" h="354330">
                                <a:moveTo>
                                  <a:pt x="707167" y="327828"/>
                                </a:moveTo>
                                <a:lnTo>
                                  <a:pt x="538099" y="327828"/>
                                </a:lnTo>
                                <a:lnTo>
                                  <a:pt x="538518" y="336646"/>
                                </a:lnTo>
                                <a:lnTo>
                                  <a:pt x="631734" y="336646"/>
                                </a:lnTo>
                                <a:lnTo>
                                  <a:pt x="707398" y="329449"/>
                                </a:lnTo>
                                <a:lnTo>
                                  <a:pt x="707167" y="327828"/>
                                </a:lnTo>
                                <a:close/>
                              </a:path>
                              <a:path w="4270375" h="354330">
                                <a:moveTo>
                                  <a:pt x="716003" y="328631"/>
                                </a:moveTo>
                                <a:lnTo>
                                  <a:pt x="707398" y="329449"/>
                                </a:lnTo>
                                <a:lnTo>
                                  <a:pt x="707456" y="329850"/>
                                </a:lnTo>
                                <a:lnTo>
                                  <a:pt x="716003" y="328631"/>
                                </a:lnTo>
                                <a:close/>
                              </a:path>
                              <a:path w="4270375" h="354330">
                                <a:moveTo>
                                  <a:pt x="722898" y="310243"/>
                                </a:moveTo>
                                <a:lnTo>
                                  <a:pt x="713890" y="311100"/>
                                </a:lnTo>
                                <a:lnTo>
                                  <a:pt x="704963" y="312373"/>
                                </a:lnTo>
                                <a:lnTo>
                                  <a:pt x="707398" y="329449"/>
                                </a:lnTo>
                                <a:lnTo>
                                  <a:pt x="716194" y="328603"/>
                                </a:lnTo>
                                <a:lnTo>
                                  <a:pt x="724531" y="327410"/>
                                </a:lnTo>
                                <a:lnTo>
                                  <a:pt x="722898" y="310243"/>
                                </a:lnTo>
                                <a:close/>
                              </a:path>
                              <a:path w="4270375" h="354330">
                                <a:moveTo>
                                  <a:pt x="724531" y="327413"/>
                                </a:moveTo>
                                <a:lnTo>
                                  <a:pt x="716194" y="328603"/>
                                </a:lnTo>
                                <a:lnTo>
                                  <a:pt x="716003" y="328631"/>
                                </a:lnTo>
                                <a:lnTo>
                                  <a:pt x="724439" y="327828"/>
                                </a:lnTo>
                                <a:lnTo>
                                  <a:pt x="724531" y="327413"/>
                                </a:lnTo>
                                <a:close/>
                              </a:path>
                              <a:path w="4270375" h="354330">
                                <a:moveTo>
                                  <a:pt x="713890" y="311100"/>
                                </a:moveTo>
                                <a:lnTo>
                                  <a:pt x="537901" y="327838"/>
                                </a:lnTo>
                                <a:lnTo>
                                  <a:pt x="538099" y="327828"/>
                                </a:lnTo>
                                <a:lnTo>
                                  <a:pt x="707167" y="327828"/>
                                </a:lnTo>
                                <a:lnTo>
                                  <a:pt x="704963" y="312373"/>
                                </a:lnTo>
                                <a:lnTo>
                                  <a:pt x="713890" y="311100"/>
                                </a:lnTo>
                                <a:close/>
                              </a:path>
                              <a:path w="4270375" h="354330">
                                <a:moveTo>
                                  <a:pt x="844912" y="310243"/>
                                </a:moveTo>
                                <a:lnTo>
                                  <a:pt x="722898" y="310243"/>
                                </a:lnTo>
                                <a:lnTo>
                                  <a:pt x="724531" y="327413"/>
                                </a:lnTo>
                                <a:lnTo>
                                  <a:pt x="844912" y="310243"/>
                                </a:lnTo>
                                <a:close/>
                              </a:path>
                              <a:path w="4270375" h="354330">
                                <a:moveTo>
                                  <a:pt x="1066983" y="269920"/>
                                </a:moveTo>
                                <a:lnTo>
                                  <a:pt x="890129" y="285963"/>
                                </a:lnTo>
                                <a:lnTo>
                                  <a:pt x="713890" y="311100"/>
                                </a:lnTo>
                                <a:lnTo>
                                  <a:pt x="722898" y="310243"/>
                                </a:lnTo>
                                <a:lnTo>
                                  <a:pt x="844912" y="310243"/>
                                </a:lnTo>
                                <a:lnTo>
                                  <a:pt x="892253" y="303491"/>
                                </a:lnTo>
                                <a:lnTo>
                                  <a:pt x="891376" y="294701"/>
                                </a:lnTo>
                                <a:lnTo>
                                  <a:pt x="989135" y="294701"/>
                                </a:lnTo>
                                <a:lnTo>
                                  <a:pt x="1072075" y="287182"/>
                                </a:lnTo>
                                <a:lnTo>
                                  <a:pt x="1067805" y="287182"/>
                                </a:lnTo>
                                <a:lnTo>
                                  <a:pt x="1066983" y="269920"/>
                                </a:lnTo>
                                <a:close/>
                              </a:path>
                              <a:path w="4270375" h="354330">
                                <a:moveTo>
                                  <a:pt x="2133893" y="285875"/>
                                </a:moveTo>
                                <a:lnTo>
                                  <a:pt x="2124385" y="287771"/>
                                </a:lnTo>
                                <a:lnTo>
                                  <a:pt x="2127837" y="305083"/>
                                </a:lnTo>
                                <a:lnTo>
                                  <a:pt x="2136493" y="303357"/>
                                </a:lnTo>
                                <a:lnTo>
                                  <a:pt x="2143593" y="301940"/>
                                </a:lnTo>
                                <a:lnTo>
                                  <a:pt x="2143593" y="285875"/>
                                </a:lnTo>
                                <a:lnTo>
                                  <a:pt x="2133893" y="285875"/>
                                </a:lnTo>
                                <a:close/>
                              </a:path>
                              <a:path w="4270375" h="354330">
                                <a:moveTo>
                                  <a:pt x="1864320" y="261490"/>
                                </a:moveTo>
                                <a:lnTo>
                                  <a:pt x="1956311" y="286542"/>
                                </a:lnTo>
                                <a:lnTo>
                                  <a:pt x="2041486" y="303527"/>
                                </a:lnTo>
                                <a:lnTo>
                                  <a:pt x="2127527" y="303527"/>
                                </a:lnTo>
                                <a:lnTo>
                                  <a:pt x="2125766" y="294701"/>
                                </a:lnTo>
                                <a:lnTo>
                                  <a:pt x="2042358" y="294701"/>
                                </a:lnTo>
                                <a:lnTo>
                                  <a:pt x="2042358" y="285874"/>
                                </a:lnTo>
                                <a:lnTo>
                                  <a:pt x="2043228" y="285874"/>
                                </a:lnTo>
                                <a:lnTo>
                                  <a:pt x="2003469" y="277945"/>
                                </a:lnTo>
                                <a:lnTo>
                                  <a:pt x="1958337" y="277945"/>
                                </a:lnTo>
                                <a:lnTo>
                                  <a:pt x="1960063" y="269289"/>
                                </a:lnTo>
                                <a:lnTo>
                                  <a:pt x="1931773" y="261563"/>
                                </a:lnTo>
                                <a:lnTo>
                                  <a:pt x="1865052" y="261563"/>
                                </a:lnTo>
                                <a:lnTo>
                                  <a:pt x="1864320" y="261490"/>
                                </a:lnTo>
                                <a:close/>
                              </a:path>
                              <a:path w="4270375" h="354330">
                                <a:moveTo>
                                  <a:pt x="2143593" y="301940"/>
                                </a:moveTo>
                                <a:lnTo>
                                  <a:pt x="2136493" y="303356"/>
                                </a:lnTo>
                                <a:lnTo>
                                  <a:pt x="2135642" y="303527"/>
                                </a:lnTo>
                                <a:lnTo>
                                  <a:pt x="2143593" y="303527"/>
                                </a:lnTo>
                                <a:lnTo>
                                  <a:pt x="2143593" y="301940"/>
                                </a:lnTo>
                                <a:close/>
                              </a:path>
                              <a:path w="4270375" h="354330">
                                <a:moveTo>
                                  <a:pt x="891376" y="294701"/>
                                </a:moveTo>
                                <a:lnTo>
                                  <a:pt x="892173" y="303491"/>
                                </a:lnTo>
                                <a:lnTo>
                                  <a:pt x="892622" y="303438"/>
                                </a:lnTo>
                                <a:lnTo>
                                  <a:pt x="891376" y="294701"/>
                                </a:lnTo>
                                <a:close/>
                              </a:path>
                              <a:path w="4270375" h="354330">
                                <a:moveTo>
                                  <a:pt x="989135" y="294701"/>
                                </a:moveTo>
                                <a:lnTo>
                                  <a:pt x="891376" y="294701"/>
                                </a:lnTo>
                                <a:lnTo>
                                  <a:pt x="892622" y="303438"/>
                                </a:lnTo>
                                <a:lnTo>
                                  <a:pt x="892392" y="303471"/>
                                </a:lnTo>
                                <a:lnTo>
                                  <a:pt x="989135" y="294701"/>
                                </a:lnTo>
                                <a:close/>
                              </a:path>
                              <a:path w="4270375" h="354330">
                                <a:moveTo>
                                  <a:pt x="2216401" y="269421"/>
                                </a:moveTo>
                                <a:lnTo>
                                  <a:pt x="2133893" y="285875"/>
                                </a:lnTo>
                                <a:lnTo>
                                  <a:pt x="2143593" y="285875"/>
                                </a:lnTo>
                                <a:lnTo>
                                  <a:pt x="2143593" y="301940"/>
                                </a:lnTo>
                                <a:lnTo>
                                  <a:pt x="2221170" y="286471"/>
                                </a:lnTo>
                                <a:lnTo>
                                  <a:pt x="2244651" y="277945"/>
                                </a:lnTo>
                                <a:lnTo>
                                  <a:pt x="2218787" y="277945"/>
                                </a:lnTo>
                                <a:lnTo>
                                  <a:pt x="2215775" y="269648"/>
                                </a:lnTo>
                                <a:lnTo>
                                  <a:pt x="2216401" y="269421"/>
                                </a:lnTo>
                                <a:close/>
                              </a:path>
                              <a:path w="4270375" h="354330">
                                <a:moveTo>
                                  <a:pt x="2043228" y="285874"/>
                                </a:moveTo>
                                <a:lnTo>
                                  <a:pt x="2042358" y="285874"/>
                                </a:lnTo>
                                <a:lnTo>
                                  <a:pt x="2042358" y="294701"/>
                                </a:lnTo>
                                <a:lnTo>
                                  <a:pt x="2044084" y="286045"/>
                                </a:lnTo>
                                <a:lnTo>
                                  <a:pt x="2043228" y="285874"/>
                                </a:lnTo>
                                <a:close/>
                              </a:path>
                              <a:path w="4270375" h="354330">
                                <a:moveTo>
                                  <a:pt x="2043228" y="285874"/>
                                </a:moveTo>
                                <a:lnTo>
                                  <a:pt x="2044084" y="286045"/>
                                </a:lnTo>
                                <a:lnTo>
                                  <a:pt x="2042358" y="294701"/>
                                </a:lnTo>
                                <a:lnTo>
                                  <a:pt x="2125766" y="294701"/>
                                </a:lnTo>
                                <a:lnTo>
                                  <a:pt x="2124385" y="287771"/>
                                </a:lnTo>
                                <a:lnTo>
                                  <a:pt x="2133893" y="285875"/>
                                </a:lnTo>
                                <a:lnTo>
                                  <a:pt x="2043228" y="285874"/>
                                </a:lnTo>
                                <a:close/>
                              </a:path>
                              <a:path w="4270375" h="354330">
                                <a:moveTo>
                                  <a:pt x="1084229" y="268726"/>
                                </a:moveTo>
                                <a:lnTo>
                                  <a:pt x="1075636" y="269135"/>
                                </a:lnTo>
                                <a:lnTo>
                                  <a:pt x="1066983" y="269920"/>
                                </a:lnTo>
                                <a:lnTo>
                                  <a:pt x="1067805" y="287182"/>
                                </a:lnTo>
                                <a:lnTo>
                                  <a:pt x="1076623" y="286763"/>
                                </a:lnTo>
                                <a:lnTo>
                                  <a:pt x="1085790" y="285939"/>
                                </a:lnTo>
                                <a:lnTo>
                                  <a:pt x="1084229" y="268726"/>
                                </a:lnTo>
                                <a:close/>
                              </a:path>
                              <a:path w="4270375" h="354330">
                                <a:moveTo>
                                  <a:pt x="1076805" y="286753"/>
                                </a:moveTo>
                                <a:lnTo>
                                  <a:pt x="1076622" y="286762"/>
                                </a:lnTo>
                                <a:lnTo>
                                  <a:pt x="1067805" y="287182"/>
                                </a:lnTo>
                                <a:lnTo>
                                  <a:pt x="1072075" y="287182"/>
                                </a:lnTo>
                                <a:lnTo>
                                  <a:pt x="1076805" y="286753"/>
                                </a:lnTo>
                                <a:close/>
                              </a:path>
                              <a:path w="4270375" h="354330">
                                <a:moveTo>
                                  <a:pt x="1422863" y="252635"/>
                                </a:moveTo>
                                <a:lnTo>
                                  <a:pt x="1084229" y="268726"/>
                                </a:lnTo>
                                <a:lnTo>
                                  <a:pt x="1085790" y="285939"/>
                                </a:lnTo>
                                <a:lnTo>
                                  <a:pt x="1076805" y="286753"/>
                                </a:lnTo>
                                <a:lnTo>
                                  <a:pt x="1420646" y="270414"/>
                                </a:lnTo>
                                <a:lnTo>
                                  <a:pt x="1420565" y="268358"/>
                                </a:lnTo>
                                <a:lnTo>
                                  <a:pt x="1419824" y="252779"/>
                                </a:lnTo>
                                <a:lnTo>
                                  <a:pt x="1422863" y="252635"/>
                                </a:lnTo>
                                <a:close/>
                              </a:path>
                              <a:path w="4270375" h="354330">
                                <a:moveTo>
                                  <a:pt x="1960063" y="269289"/>
                                </a:moveTo>
                                <a:lnTo>
                                  <a:pt x="1958337" y="277945"/>
                                </a:lnTo>
                                <a:lnTo>
                                  <a:pt x="1960623" y="269547"/>
                                </a:lnTo>
                                <a:lnTo>
                                  <a:pt x="1960063" y="269289"/>
                                </a:lnTo>
                                <a:close/>
                              </a:path>
                              <a:path w="4270375" h="354330">
                                <a:moveTo>
                                  <a:pt x="1960363" y="269349"/>
                                </a:moveTo>
                                <a:lnTo>
                                  <a:pt x="1960626" y="269421"/>
                                </a:lnTo>
                                <a:lnTo>
                                  <a:pt x="1958337" y="277945"/>
                                </a:lnTo>
                                <a:lnTo>
                                  <a:pt x="2003469" y="277945"/>
                                </a:lnTo>
                                <a:lnTo>
                                  <a:pt x="1960363" y="269349"/>
                                </a:lnTo>
                                <a:close/>
                              </a:path>
                              <a:path w="4270375" h="354330">
                                <a:moveTo>
                                  <a:pt x="2217061" y="269289"/>
                                </a:moveTo>
                                <a:lnTo>
                                  <a:pt x="2216379" y="269429"/>
                                </a:lnTo>
                                <a:lnTo>
                                  <a:pt x="2215980" y="269574"/>
                                </a:lnTo>
                                <a:lnTo>
                                  <a:pt x="2215901" y="269995"/>
                                </a:lnTo>
                                <a:lnTo>
                                  <a:pt x="2218787" y="277945"/>
                                </a:lnTo>
                                <a:lnTo>
                                  <a:pt x="2217061" y="269289"/>
                                </a:lnTo>
                                <a:close/>
                              </a:path>
                              <a:path w="4270375" h="354330">
                                <a:moveTo>
                                  <a:pt x="2268490" y="269289"/>
                                </a:moveTo>
                                <a:lnTo>
                                  <a:pt x="2217061" y="269289"/>
                                </a:lnTo>
                                <a:lnTo>
                                  <a:pt x="2218787" y="277945"/>
                                </a:lnTo>
                                <a:lnTo>
                                  <a:pt x="2244651" y="277945"/>
                                </a:lnTo>
                                <a:lnTo>
                                  <a:pt x="2268490" y="269289"/>
                                </a:lnTo>
                                <a:close/>
                              </a:path>
                              <a:path w="4270375" h="354330">
                                <a:moveTo>
                                  <a:pt x="1429480" y="269994"/>
                                </a:moveTo>
                                <a:lnTo>
                                  <a:pt x="1420663" y="270414"/>
                                </a:lnTo>
                                <a:lnTo>
                                  <a:pt x="1429481" y="269995"/>
                                </a:lnTo>
                                <a:close/>
                              </a:path>
                              <a:path w="4270375" h="354330">
                                <a:moveTo>
                                  <a:pt x="1437459" y="251942"/>
                                </a:moveTo>
                                <a:lnTo>
                                  <a:pt x="1419824" y="252779"/>
                                </a:lnTo>
                                <a:lnTo>
                                  <a:pt x="1420663" y="270413"/>
                                </a:lnTo>
                                <a:lnTo>
                                  <a:pt x="1438263" y="269575"/>
                                </a:lnTo>
                                <a:lnTo>
                                  <a:pt x="1438238" y="268358"/>
                                </a:lnTo>
                                <a:lnTo>
                                  <a:pt x="1437459" y="251942"/>
                                </a:lnTo>
                                <a:close/>
                              </a:path>
                              <a:path w="4270375" h="354330">
                                <a:moveTo>
                                  <a:pt x="1075636" y="269135"/>
                                </a:moveTo>
                                <a:lnTo>
                                  <a:pt x="1066966" y="269547"/>
                                </a:lnTo>
                                <a:lnTo>
                                  <a:pt x="1066983" y="269920"/>
                                </a:lnTo>
                                <a:lnTo>
                                  <a:pt x="1075636" y="269135"/>
                                </a:lnTo>
                                <a:close/>
                              </a:path>
                              <a:path w="4270375" h="354330">
                                <a:moveTo>
                                  <a:pt x="1605402" y="251942"/>
                                </a:moveTo>
                                <a:lnTo>
                                  <a:pt x="1437459" y="251942"/>
                                </a:lnTo>
                                <a:lnTo>
                                  <a:pt x="1438295" y="269574"/>
                                </a:lnTo>
                                <a:lnTo>
                                  <a:pt x="1606362" y="261563"/>
                                </a:lnTo>
                                <a:lnTo>
                                  <a:pt x="1689939" y="253223"/>
                                </a:lnTo>
                                <a:lnTo>
                                  <a:pt x="1689498" y="253223"/>
                                </a:lnTo>
                                <a:lnTo>
                                  <a:pt x="1689498" y="252781"/>
                                </a:lnTo>
                                <a:lnTo>
                                  <a:pt x="1605485" y="252781"/>
                                </a:lnTo>
                                <a:lnTo>
                                  <a:pt x="1605402" y="251942"/>
                                </a:lnTo>
                                <a:close/>
                              </a:path>
                              <a:path w="4270375" h="354330">
                                <a:moveTo>
                                  <a:pt x="2308057" y="236146"/>
                                </a:moveTo>
                                <a:lnTo>
                                  <a:pt x="2216401" y="269421"/>
                                </a:lnTo>
                                <a:lnTo>
                                  <a:pt x="2217061" y="269289"/>
                                </a:lnTo>
                                <a:lnTo>
                                  <a:pt x="2268490" y="269289"/>
                                </a:lnTo>
                                <a:lnTo>
                                  <a:pt x="2314468" y="252594"/>
                                </a:lnTo>
                                <a:lnTo>
                                  <a:pt x="2335005" y="244397"/>
                                </a:lnTo>
                                <a:lnTo>
                                  <a:pt x="2311196" y="244397"/>
                                </a:lnTo>
                                <a:lnTo>
                                  <a:pt x="2307924" y="236199"/>
                                </a:lnTo>
                                <a:lnTo>
                                  <a:pt x="2308057" y="236146"/>
                                </a:lnTo>
                                <a:close/>
                              </a:path>
                              <a:path w="4270375" h="354330">
                                <a:moveTo>
                                  <a:pt x="1960143" y="269289"/>
                                </a:moveTo>
                                <a:lnTo>
                                  <a:pt x="1960363" y="269349"/>
                                </a:lnTo>
                                <a:lnTo>
                                  <a:pt x="1960143" y="269289"/>
                                </a:lnTo>
                                <a:close/>
                              </a:path>
                              <a:path w="4270375" h="354330">
                                <a:moveTo>
                                  <a:pt x="1084196" y="268358"/>
                                </a:moveTo>
                                <a:lnTo>
                                  <a:pt x="1075636" y="269135"/>
                                </a:lnTo>
                                <a:lnTo>
                                  <a:pt x="1084229" y="268726"/>
                                </a:lnTo>
                                <a:lnTo>
                                  <a:pt x="1084196" y="268358"/>
                                </a:lnTo>
                                <a:close/>
                              </a:path>
                              <a:path w="4270375" h="354330">
                                <a:moveTo>
                                  <a:pt x="1865928" y="252781"/>
                                </a:moveTo>
                                <a:lnTo>
                                  <a:pt x="1863609" y="261297"/>
                                </a:lnTo>
                                <a:lnTo>
                                  <a:pt x="1864320" y="261490"/>
                                </a:lnTo>
                                <a:lnTo>
                                  <a:pt x="1865052" y="261563"/>
                                </a:lnTo>
                                <a:lnTo>
                                  <a:pt x="1865928" y="252781"/>
                                </a:lnTo>
                                <a:close/>
                              </a:path>
                              <a:path w="4270375" h="354330">
                                <a:moveTo>
                                  <a:pt x="1899522" y="252781"/>
                                </a:moveTo>
                                <a:lnTo>
                                  <a:pt x="1865928" y="252781"/>
                                </a:lnTo>
                                <a:lnTo>
                                  <a:pt x="1865052" y="261563"/>
                                </a:lnTo>
                                <a:lnTo>
                                  <a:pt x="1931773" y="261563"/>
                                </a:lnTo>
                                <a:lnTo>
                                  <a:pt x="1899522" y="252781"/>
                                </a:lnTo>
                                <a:close/>
                              </a:path>
                              <a:path w="4270375" h="354330">
                                <a:moveTo>
                                  <a:pt x="1790739" y="253179"/>
                                </a:moveTo>
                                <a:lnTo>
                                  <a:pt x="1781037" y="253179"/>
                                </a:lnTo>
                                <a:lnTo>
                                  <a:pt x="1864320" y="261490"/>
                                </a:lnTo>
                                <a:lnTo>
                                  <a:pt x="1863609" y="261297"/>
                                </a:lnTo>
                                <a:lnTo>
                                  <a:pt x="1865808" y="253223"/>
                                </a:lnTo>
                                <a:lnTo>
                                  <a:pt x="1790739" y="253223"/>
                                </a:lnTo>
                                <a:close/>
                              </a:path>
                              <a:path w="4270375" h="354330">
                                <a:moveTo>
                                  <a:pt x="1689498" y="244397"/>
                                </a:moveTo>
                                <a:lnTo>
                                  <a:pt x="1689498" y="253223"/>
                                </a:lnTo>
                                <a:lnTo>
                                  <a:pt x="1689939" y="253223"/>
                                </a:lnTo>
                                <a:lnTo>
                                  <a:pt x="1690367" y="253180"/>
                                </a:lnTo>
                                <a:lnTo>
                                  <a:pt x="1689498" y="244397"/>
                                </a:lnTo>
                                <a:close/>
                              </a:path>
                              <a:path w="4270375" h="354330">
                                <a:moveTo>
                                  <a:pt x="1773043" y="244397"/>
                                </a:moveTo>
                                <a:lnTo>
                                  <a:pt x="1689498" y="244397"/>
                                </a:lnTo>
                                <a:lnTo>
                                  <a:pt x="1690367" y="253180"/>
                                </a:lnTo>
                                <a:lnTo>
                                  <a:pt x="1689939" y="253223"/>
                                </a:lnTo>
                                <a:lnTo>
                                  <a:pt x="1781472" y="253223"/>
                                </a:lnTo>
                                <a:lnTo>
                                  <a:pt x="1772254" y="252303"/>
                                </a:lnTo>
                                <a:lnTo>
                                  <a:pt x="1773043" y="244397"/>
                                </a:lnTo>
                                <a:close/>
                              </a:path>
                              <a:path w="4270375" h="354330">
                                <a:moveTo>
                                  <a:pt x="1790739" y="236407"/>
                                </a:moveTo>
                                <a:lnTo>
                                  <a:pt x="1790739" y="253223"/>
                                </a:lnTo>
                                <a:lnTo>
                                  <a:pt x="1865808" y="253223"/>
                                </a:lnTo>
                                <a:lnTo>
                                  <a:pt x="1865928" y="252781"/>
                                </a:lnTo>
                                <a:lnTo>
                                  <a:pt x="1899522" y="252781"/>
                                </a:lnTo>
                                <a:lnTo>
                                  <a:pt x="1867537" y="244071"/>
                                </a:lnTo>
                                <a:lnTo>
                                  <a:pt x="1790739" y="236407"/>
                                </a:lnTo>
                                <a:close/>
                              </a:path>
                              <a:path w="4270375" h="354330">
                                <a:moveTo>
                                  <a:pt x="1773924" y="235571"/>
                                </a:moveTo>
                                <a:lnTo>
                                  <a:pt x="1772254" y="252303"/>
                                </a:lnTo>
                                <a:lnTo>
                                  <a:pt x="1781037" y="253180"/>
                                </a:lnTo>
                                <a:lnTo>
                                  <a:pt x="1790739" y="253179"/>
                                </a:lnTo>
                                <a:lnTo>
                                  <a:pt x="1790739" y="236407"/>
                                </a:lnTo>
                                <a:lnTo>
                                  <a:pt x="1782365" y="235571"/>
                                </a:lnTo>
                                <a:lnTo>
                                  <a:pt x="1773924" y="235571"/>
                                </a:lnTo>
                                <a:close/>
                              </a:path>
                              <a:path w="4270375" h="354330">
                                <a:moveTo>
                                  <a:pt x="1781037" y="253179"/>
                                </a:moveTo>
                                <a:close/>
                              </a:path>
                              <a:path w="4270375" h="354330">
                                <a:moveTo>
                                  <a:pt x="1605066" y="243964"/>
                                </a:moveTo>
                                <a:lnTo>
                                  <a:pt x="1604609" y="243998"/>
                                </a:lnTo>
                                <a:lnTo>
                                  <a:pt x="1605485" y="252781"/>
                                </a:lnTo>
                                <a:lnTo>
                                  <a:pt x="1605066" y="243964"/>
                                </a:lnTo>
                                <a:close/>
                              </a:path>
                              <a:path w="4270375" h="354330">
                                <a:moveTo>
                                  <a:pt x="1773086" y="243964"/>
                                </a:moveTo>
                                <a:lnTo>
                                  <a:pt x="1605066" y="243964"/>
                                </a:lnTo>
                                <a:lnTo>
                                  <a:pt x="1605485" y="252781"/>
                                </a:lnTo>
                                <a:lnTo>
                                  <a:pt x="1689498" y="252781"/>
                                </a:lnTo>
                                <a:lnTo>
                                  <a:pt x="1689498" y="244397"/>
                                </a:lnTo>
                                <a:lnTo>
                                  <a:pt x="1773043" y="244397"/>
                                </a:lnTo>
                                <a:lnTo>
                                  <a:pt x="1773086" y="243964"/>
                                </a:lnTo>
                                <a:close/>
                              </a:path>
                              <a:path w="4270375" h="354330">
                                <a:moveTo>
                                  <a:pt x="1604846" y="243974"/>
                                </a:moveTo>
                                <a:lnTo>
                                  <a:pt x="1422863" y="252635"/>
                                </a:lnTo>
                                <a:lnTo>
                                  <a:pt x="1437459" y="251942"/>
                                </a:lnTo>
                                <a:lnTo>
                                  <a:pt x="1605402" y="251942"/>
                                </a:lnTo>
                                <a:lnTo>
                                  <a:pt x="1604609" y="243998"/>
                                </a:lnTo>
                                <a:lnTo>
                                  <a:pt x="1604846" y="243974"/>
                                </a:lnTo>
                                <a:close/>
                              </a:path>
                              <a:path w="4270375" h="354330">
                                <a:moveTo>
                                  <a:pt x="2308184" y="236100"/>
                                </a:moveTo>
                                <a:lnTo>
                                  <a:pt x="2308007" y="236407"/>
                                </a:lnTo>
                                <a:lnTo>
                                  <a:pt x="2311196" y="244397"/>
                                </a:lnTo>
                                <a:lnTo>
                                  <a:pt x="2308184" y="236100"/>
                                </a:lnTo>
                                <a:close/>
                              </a:path>
                              <a:path w="4270375" h="354330">
                                <a:moveTo>
                                  <a:pt x="2355793" y="236100"/>
                                </a:moveTo>
                                <a:lnTo>
                                  <a:pt x="2308184" y="236100"/>
                                </a:lnTo>
                                <a:lnTo>
                                  <a:pt x="2311196" y="244397"/>
                                </a:lnTo>
                                <a:lnTo>
                                  <a:pt x="2335005" y="244397"/>
                                </a:lnTo>
                                <a:lnTo>
                                  <a:pt x="2355793" y="236100"/>
                                </a:lnTo>
                                <a:close/>
                              </a:path>
                              <a:path w="4270375" h="354330">
                                <a:moveTo>
                                  <a:pt x="1689498" y="235570"/>
                                </a:moveTo>
                                <a:lnTo>
                                  <a:pt x="1689051" y="235571"/>
                                </a:lnTo>
                                <a:lnTo>
                                  <a:pt x="1604846" y="243974"/>
                                </a:lnTo>
                                <a:lnTo>
                                  <a:pt x="1605066" y="243964"/>
                                </a:lnTo>
                                <a:lnTo>
                                  <a:pt x="1773086" y="243964"/>
                                </a:lnTo>
                                <a:lnTo>
                                  <a:pt x="1773924" y="235571"/>
                                </a:lnTo>
                                <a:lnTo>
                                  <a:pt x="1689498" y="235570"/>
                                </a:lnTo>
                                <a:close/>
                              </a:path>
                              <a:path w="4270375" h="354330">
                                <a:moveTo>
                                  <a:pt x="1782365" y="235571"/>
                                </a:moveTo>
                                <a:lnTo>
                                  <a:pt x="1790739" y="236407"/>
                                </a:lnTo>
                                <a:lnTo>
                                  <a:pt x="1790739" y="235571"/>
                                </a:lnTo>
                                <a:lnTo>
                                  <a:pt x="1782365" y="235571"/>
                                </a:lnTo>
                                <a:close/>
                              </a:path>
                              <a:path w="4270375" h="354330">
                                <a:moveTo>
                                  <a:pt x="2477350" y="179357"/>
                                </a:moveTo>
                                <a:lnTo>
                                  <a:pt x="2392412" y="202477"/>
                                </a:lnTo>
                                <a:lnTo>
                                  <a:pt x="2308057" y="236146"/>
                                </a:lnTo>
                                <a:lnTo>
                                  <a:pt x="2355793" y="236100"/>
                                </a:lnTo>
                                <a:lnTo>
                                  <a:pt x="2397688" y="219378"/>
                                </a:lnTo>
                                <a:lnTo>
                                  <a:pt x="2397534" y="219378"/>
                                </a:lnTo>
                                <a:lnTo>
                                  <a:pt x="2395216" y="210861"/>
                                </a:lnTo>
                                <a:lnTo>
                                  <a:pt x="2428822" y="210861"/>
                                </a:lnTo>
                                <a:lnTo>
                                  <a:pt x="2483074" y="196094"/>
                                </a:lnTo>
                                <a:lnTo>
                                  <a:pt x="2480692" y="196094"/>
                                </a:lnTo>
                                <a:lnTo>
                                  <a:pt x="2477350" y="179357"/>
                                </a:lnTo>
                                <a:close/>
                              </a:path>
                              <a:path w="4270375" h="354330">
                                <a:moveTo>
                                  <a:pt x="1774007" y="234737"/>
                                </a:moveTo>
                                <a:lnTo>
                                  <a:pt x="1773924" y="235571"/>
                                </a:lnTo>
                                <a:lnTo>
                                  <a:pt x="1782365" y="235571"/>
                                </a:lnTo>
                                <a:lnTo>
                                  <a:pt x="1774007" y="234737"/>
                                </a:lnTo>
                                <a:close/>
                              </a:path>
                              <a:path w="4270375" h="354330">
                                <a:moveTo>
                                  <a:pt x="2395216" y="210861"/>
                                </a:moveTo>
                                <a:lnTo>
                                  <a:pt x="2397534" y="219378"/>
                                </a:lnTo>
                                <a:lnTo>
                                  <a:pt x="2398017" y="219246"/>
                                </a:lnTo>
                                <a:lnTo>
                                  <a:pt x="2398488" y="219058"/>
                                </a:lnTo>
                                <a:lnTo>
                                  <a:pt x="2395216" y="210861"/>
                                </a:lnTo>
                                <a:close/>
                              </a:path>
                              <a:path w="4270375" h="354330">
                                <a:moveTo>
                                  <a:pt x="2398017" y="219246"/>
                                </a:moveTo>
                                <a:lnTo>
                                  <a:pt x="2397534" y="219378"/>
                                </a:lnTo>
                                <a:lnTo>
                                  <a:pt x="2397688" y="219378"/>
                                </a:lnTo>
                                <a:lnTo>
                                  <a:pt x="2398017" y="219246"/>
                                </a:lnTo>
                                <a:close/>
                              </a:path>
                              <a:path w="4270375" h="354330">
                                <a:moveTo>
                                  <a:pt x="2428822" y="210861"/>
                                </a:moveTo>
                                <a:lnTo>
                                  <a:pt x="2395216" y="210861"/>
                                </a:lnTo>
                                <a:lnTo>
                                  <a:pt x="2398488" y="219058"/>
                                </a:lnTo>
                                <a:lnTo>
                                  <a:pt x="2398017" y="219246"/>
                                </a:lnTo>
                                <a:lnTo>
                                  <a:pt x="2428822" y="210861"/>
                                </a:lnTo>
                                <a:close/>
                              </a:path>
                              <a:path w="4270375" h="354330">
                                <a:moveTo>
                                  <a:pt x="2493972" y="175439"/>
                                </a:moveTo>
                                <a:lnTo>
                                  <a:pt x="2485599" y="177111"/>
                                </a:lnTo>
                                <a:lnTo>
                                  <a:pt x="2477350" y="179357"/>
                                </a:lnTo>
                                <a:lnTo>
                                  <a:pt x="2480692" y="196094"/>
                                </a:lnTo>
                                <a:lnTo>
                                  <a:pt x="2489348" y="194365"/>
                                </a:lnTo>
                                <a:lnTo>
                                  <a:pt x="2489645" y="194305"/>
                                </a:lnTo>
                                <a:lnTo>
                                  <a:pt x="2498454" y="191907"/>
                                </a:lnTo>
                                <a:lnTo>
                                  <a:pt x="2493972" y="175439"/>
                                </a:lnTo>
                                <a:close/>
                              </a:path>
                              <a:path w="4270375" h="354330">
                                <a:moveTo>
                                  <a:pt x="2489645" y="194305"/>
                                </a:moveTo>
                                <a:lnTo>
                                  <a:pt x="2489348" y="194364"/>
                                </a:lnTo>
                                <a:lnTo>
                                  <a:pt x="2480692" y="196094"/>
                                </a:lnTo>
                                <a:lnTo>
                                  <a:pt x="2483074" y="196094"/>
                                </a:lnTo>
                                <a:lnTo>
                                  <a:pt x="2489645" y="194305"/>
                                </a:lnTo>
                                <a:close/>
                              </a:path>
                              <a:path w="4270375" h="354330">
                                <a:moveTo>
                                  <a:pt x="2747273" y="151730"/>
                                </a:moveTo>
                                <a:lnTo>
                                  <a:pt x="2663644" y="151730"/>
                                </a:lnTo>
                                <a:lnTo>
                                  <a:pt x="2570379" y="160181"/>
                                </a:lnTo>
                                <a:lnTo>
                                  <a:pt x="2493972" y="175439"/>
                                </a:lnTo>
                                <a:lnTo>
                                  <a:pt x="2498454" y="191907"/>
                                </a:lnTo>
                                <a:lnTo>
                                  <a:pt x="2489645" y="194305"/>
                                </a:lnTo>
                                <a:lnTo>
                                  <a:pt x="2572698" y="177719"/>
                                </a:lnTo>
                                <a:lnTo>
                                  <a:pt x="2572442" y="177719"/>
                                </a:lnTo>
                                <a:lnTo>
                                  <a:pt x="2571646" y="168929"/>
                                </a:lnTo>
                                <a:lnTo>
                                  <a:pt x="2664043" y="168929"/>
                                </a:lnTo>
                                <a:lnTo>
                                  <a:pt x="2664043" y="160557"/>
                                </a:lnTo>
                                <a:lnTo>
                                  <a:pt x="2748069" y="160557"/>
                                </a:lnTo>
                                <a:lnTo>
                                  <a:pt x="2746492" y="151872"/>
                                </a:lnTo>
                                <a:lnTo>
                                  <a:pt x="2747273" y="151730"/>
                                </a:lnTo>
                                <a:close/>
                              </a:path>
                              <a:path w="4270375" h="354330">
                                <a:moveTo>
                                  <a:pt x="2485599" y="177111"/>
                                </a:moveTo>
                                <a:lnTo>
                                  <a:pt x="2477235" y="178782"/>
                                </a:lnTo>
                                <a:lnTo>
                                  <a:pt x="2477350" y="179357"/>
                                </a:lnTo>
                                <a:lnTo>
                                  <a:pt x="2485599" y="177111"/>
                                </a:lnTo>
                                <a:close/>
                              </a:path>
                              <a:path w="4270375" h="354330">
                                <a:moveTo>
                                  <a:pt x="2571646" y="168929"/>
                                </a:moveTo>
                                <a:lnTo>
                                  <a:pt x="2572442" y="177719"/>
                                </a:lnTo>
                                <a:lnTo>
                                  <a:pt x="2572912" y="177676"/>
                                </a:lnTo>
                                <a:lnTo>
                                  <a:pt x="2573374" y="177584"/>
                                </a:lnTo>
                                <a:lnTo>
                                  <a:pt x="2571646" y="168929"/>
                                </a:lnTo>
                                <a:close/>
                              </a:path>
                              <a:path w="4270375" h="354330">
                                <a:moveTo>
                                  <a:pt x="2572912" y="177676"/>
                                </a:moveTo>
                                <a:lnTo>
                                  <a:pt x="2572442" y="177719"/>
                                </a:lnTo>
                                <a:lnTo>
                                  <a:pt x="2572698" y="177719"/>
                                </a:lnTo>
                                <a:lnTo>
                                  <a:pt x="2572912" y="177676"/>
                                </a:lnTo>
                                <a:close/>
                              </a:path>
                              <a:path w="4270375" h="354330">
                                <a:moveTo>
                                  <a:pt x="2664043" y="168929"/>
                                </a:moveTo>
                                <a:lnTo>
                                  <a:pt x="2571646" y="168929"/>
                                </a:lnTo>
                                <a:lnTo>
                                  <a:pt x="2573374" y="177584"/>
                                </a:lnTo>
                                <a:lnTo>
                                  <a:pt x="2572912" y="177676"/>
                                </a:lnTo>
                                <a:lnTo>
                                  <a:pt x="2664445" y="169383"/>
                                </a:lnTo>
                                <a:lnTo>
                                  <a:pt x="2664043" y="169383"/>
                                </a:lnTo>
                                <a:lnTo>
                                  <a:pt x="2664043" y="168929"/>
                                </a:lnTo>
                                <a:close/>
                              </a:path>
                              <a:path w="4270375" h="354330">
                                <a:moveTo>
                                  <a:pt x="2493818" y="174874"/>
                                </a:moveTo>
                                <a:lnTo>
                                  <a:pt x="2485599" y="177111"/>
                                </a:lnTo>
                                <a:lnTo>
                                  <a:pt x="2493972" y="175439"/>
                                </a:lnTo>
                                <a:lnTo>
                                  <a:pt x="2493818" y="174874"/>
                                </a:lnTo>
                                <a:close/>
                              </a:path>
                              <a:path w="4270375" h="354330">
                                <a:moveTo>
                                  <a:pt x="2664043" y="160557"/>
                                </a:moveTo>
                                <a:lnTo>
                                  <a:pt x="2664043" y="169383"/>
                                </a:lnTo>
                                <a:lnTo>
                                  <a:pt x="2664445" y="169383"/>
                                </a:lnTo>
                                <a:lnTo>
                                  <a:pt x="2664839" y="169347"/>
                                </a:lnTo>
                                <a:lnTo>
                                  <a:pt x="2664043" y="160557"/>
                                </a:lnTo>
                                <a:close/>
                              </a:path>
                              <a:path w="4270375" h="354330">
                                <a:moveTo>
                                  <a:pt x="2833646" y="151730"/>
                                </a:moveTo>
                                <a:lnTo>
                                  <a:pt x="2748069" y="151730"/>
                                </a:lnTo>
                                <a:lnTo>
                                  <a:pt x="2748069" y="160557"/>
                                </a:lnTo>
                                <a:lnTo>
                                  <a:pt x="2664043" y="160557"/>
                                </a:lnTo>
                                <a:lnTo>
                                  <a:pt x="2664839" y="169347"/>
                                </a:lnTo>
                                <a:lnTo>
                                  <a:pt x="2664445" y="169383"/>
                                </a:lnTo>
                                <a:lnTo>
                                  <a:pt x="2748863" y="169383"/>
                                </a:lnTo>
                                <a:lnTo>
                                  <a:pt x="2834287" y="153871"/>
                                </a:lnTo>
                                <a:lnTo>
                                  <a:pt x="2833646" y="151730"/>
                                </a:lnTo>
                                <a:close/>
                              </a:path>
                              <a:path w="4270375" h="354330">
                                <a:moveTo>
                                  <a:pt x="2838409" y="135183"/>
                                </a:moveTo>
                                <a:lnTo>
                                  <a:pt x="2746492" y="151872"/>
                                </a:lnTo>
                                <a:lnTo>
                                  <a:pt x="2748069" y="160557"/>
                                </a:lnTo>
                                <a:lnTo>
                                  <a:pt x="2748069" y="151730"/>
                                </a:lnTo>
                                <a:lnTo>
                                  <a:pt x="2833646" y="151730"/>
                                </a:lnTo>
                                <a:lnTo>
                                  <a:pt x="2829491" y="137852"/>
                                </a:lnTo>
                                <a:lnTo>
                                  <a:pt x="2838409" y="135183"/>
                                </a:lnTo>
                                <a:close/>
                              </a:path>
                              <a:path w="4270375" h="354330">
                                <a:moveTo>
                                  <a:pt x="2842546" y="152372"/>
                                </a:moveTo>
                                <a:lnTo>
                                  <a:pt x="2834287" y="153871"/>
                                </a:lnTo>
                                <a:lnTo>
                                  <a:pt x="2834555" y="154764"/>
                                </a:lnTo>
                                <a:lnTo>
                                  <a:pt x="2842546" y="152372"/>
                                </a:lnTo>
                                <a:close/>
                              </a:path>
                              <a:path w="4270375" h="354330">
                                <a:moveTo>
                                  <a:pt x="2847587" y="133516"/>
                                </a:moveTo>
                                <a:lnTo>
                                  <a:pt x="2838409" y="135183"/>
                                </a:lnTo>
                                <a:lnTo>
                                  <a:pt x="2829491" y="137852"/>
                                </a:lnTo>
                                <a:lnTo>
                                  <a:pt x="2834287" y="153871"/>
                                </a:lnTo>
                                <a:lnTo>
                                  <a:pt x="2842546" y="152372"/>
                                </a:lnTo>
                                <a:lnTo>
                                  <a:pt x="2843011" y="152233"/>
                                </a:lnTo>
                                <a:lnTo>
                                  <a:pt x="2850573" y="149968"/>
                                </a:lnTo>
                                <a:lnTo>
                                  <a:pt x="2847587" y="133516"/>
                                </a:lnTo>
                                <a:close/>
                              </a:path>
                              <a:path w="4270375" h="354330">
                                <a:moveTo>
                                  <a:pt x="2850573" y="149968"/>
                                </a:moveTo>
                                <a:lnTo>
                                  <a:pt x="2843010" y="152232"/>
                                </a:lnTo>
                                <a:lnTo>
                                  <a:pt x="2842546" y="152372"/>
                                </a:lnTo>
                                <a:lnTo>
                                  <a:pt x="2850740" y="150884"/>
                                </a:lnTo>
                                <a:lnTo>
                                  <a:pt x="2850573" y="149968"/>
                                </a:lnTo>
                                <a:close/>
                              </a:path>
                              <a:path w="4270375" h="354330">
                                <a:moveTo>
                                  <a:pt x="2905529" y="133516"/>
                                </a:moveTo>
                                <a:lnTo>
                                  <a:pt x="2847587" y="133516"/>
                                </a:lnTo>
                                <a:lnTo>
                                  <a:pt x="2850573" y="149968"/>
                                </a:lnTo>
                                <a:lnTo>
                                  <a:pt x="2905529" y="133516"/>
                                </a:lnTo>
                                <a:close/>
                              </a:path>
                              <a:path w="4270375" h="354330">
                                <a:moveTo>
                                  <a:pt x="2921723" y="110240"/>
                                </a:moveTo>
                                <a:lnTo>
                                  <a:pt x="2838409" y="135183"/>
                                </a:lnTo>
                                <a:lnTo>
                                  <a:pt x="2847587" y="133516"/>
                                </a:lnTo>
                                <a:lnTo>
                                  <a:pt x="2905529" y="133516"/>
                                </a:lnTo>
                                <a:lnTo>
                                  <a:pt x="2927266" y="127009"/>
                                </a:lnTo>
                                <a:lnTo>
                                  <a:pt x="2950367" y="118625"/>
                                </a:lnTo>
                                <a:lnTo>
                                  <a:pt x="2924492" y="118625"/>
                                </a:lnTo>
                                <a:lnTo>
                                  <a:pt x="2921481" y="110328"/>
                                </a:lnTo>
                                <a:lnTo>
                                  <a:pt x="2921723" y="110240"/>
                                </a:lnTo>
                                <a:close/>
                              </a:path>
                              <a:path w="4270375" h="354330">
                                <a:moveTo>
                                  <a:pt x="2921961" y="110169"/>
                                </a:moveTo>
                                <a:lnTo>
                                  <a:pt x="2921481" y="110328"/>
                                </a:lnTo>
                                <a:lnTo>
                                  <a:pt x="2924492" y="118625"/>
                                </a:lnTo>
                                <a:lnTo>
                                  <a:pt x="2921961" y="110169"/>
                                </a:lnTo>
                                <a:close/>
                              </a:path>
                              <a:path w="4270375" h="354330">
                                <a:moveTo>
                                  <a:pt x="2973668" y="110169"/>
                                </a:moveTo>
                                <a:lnTo>
                                  <a:pt x="2921961" y="110169"/>
                                </a:lnTo>
                                <a:lnTo>
                                  <a:pt x="2924492" y="118625"/>
                                </a:lnTo>
                                <a:lnTo>
                                  <a:pt x="2950367" y="118625"/>
                                </a:lnTo>
                                <a:lnTo>
                                  <a:pt x="2973668" y="110169"/>
                                </a:lnTo>
                                <a:close/>
                              </a:path>
                              <a:path w="4270375" h="354330">
                                <a:moveTo>
                                  <a:pt x="3183865" y="28213"/>
                                </a:moveTo>
                                <a:lnTo>
                                  <a:pt x="3098384" y="51481"/>
                                </a:lnTo>
                                <a:lnTo>
                                  <a:pt x="3014129" y="76706"/>
                                </a:lnTo>
                                <a:lnTo>
                                  <a:pt x="2921723" y="110240"/>
                                </a:lnTo>
                                <a:lnTo>
                                  <a:pt x="2921961" y="110169"/>
                                </a:lnTo>
                                <a:lnTo>
                                  <a:pt x="2973668" y="110169"/>
                                </a:lnTo>
                                <a:lnTo>
                                  <a:pt x="3019475" y="93544"/>
                                </a:lnTo>
                                <a:lnTo>
                                  <a:pt x="3016903" y="85089"/>
                                </a:lnTo>
                                <a:lnTo>
                                  <a:pt x="3047676" y="85089"/>
                                </a:lnTo>
                                <a:lnTo>
                                  <a:pt x="3103242" y="68453"/>
                                </a:lnTo>
                                <a:lnTo>
                                  <a:pt x="3100916" y="59937"/>
                                </a:lnTo>
                                <a:lnTo>
                                  <a:pt x="3134524" y="59937"/>
                                </a:lnTo>
                                <a:lnTo>
                                  <a:pt x="3191703" y="44374"/>
                                </a:lnTo>
                                <a:lnTo>
                                  <a:pt x="3185334" y="44374"/>
                                </a:lnTo>
                                <a:lnTo>
                                  <a:pt x="3183865" y="28213"/>
                                </a:lnTo>
                                <a:close/>
                              </a:path>
                              <a:path w="4270375" h="354330">
                                <a:moveTo>
                                  <a:pt x="3016903" y="85089"/>
                                </a:moveTo>
                                <a:lnTo>
                                  <a:pt x="3019434" y="93544"/>
                                </a:lnTo>
                                <a:lnTo>
                                  <a:pt x="3019913" y="93385"/>
                                </a:lnTo>
                                <a:lnTo>
                                  <a:pt x="3016903" y="85089"/>
                                </a:lnTo>
                                <a:close/>
                              </a:path>
                              <a:path w="4270375" h="354330">
                                <a:moveTo>
                                  <a:pt x="3047676" y="85089"/>
                                </a:moveTo>
                                <a:lnTo>
                                  <a:pt x="3016903" y="85089"/>
                                </a:lnTo>
                                <a:lnTo>
                                  <a:pt x="3019913" y="93385"/>
                                </a:lnTo>
                                <a:lnTo>
                                  <a:pt x="3019672" y="93473"/>
                                </a:lnTo>
                                <a:lnTo>
                                  <a:pt x="3047676" y="85089"/>
                                </a:lnTo>
                                <a:close/>
                              </a:path>
                              <a:path w="4270375" h="354330">
                                <a:moveTo>
                                  <a:pt x="3100916" y="59937"/>
                                </a:moveTo>
                                <a:lnTo>
                                  <a:pt x="3103233" y="68453"/>
                                </a:lnTo>
                                <a:lnTo>
                                  <a:pt x="3103447" y="68392"/>
                                </a:lnTo>
                                <a:lnTo>
                                  <a:pt x="3100916" y="59937"/>
                                </a:lnTo>
                                <a:close/>
                              </a:path>
                              <a:path w="4270375" h="354330">
                                <a:moveTo>
                                  <a:pt x="3134524" y="59937"/>
                                </a:moveTo>
                                <a:lnTo>
                                  <a:pt x="3100916" y="59937"/>
                                </a:lnTo>
                                <a:lnTo>
                                  <a:pt x="3103447" y="68392"/>
                                </a:lnTo>
                                <a:lnTo>
                                  <a:pt x="3134524" y="59937"/>
                                </a:lnTo>
                                <a:close/>
                              </a:path>
                              <a:path w="4270375" h="354330">
                                <a:moveTo>
                                  <a:pt x="3199899" y="25324"/>
                                </a:moveTo>
                                <a:lnTo>
                                  <a:pt x="3191764" y="26063"/>
                                </a:lnTo>
                                <a:lnTo>
                                  <a:pt x="3183865" y="28213"/>
                                </a:lnTo>
                                <a:lnTo>
                                  <a:pt x="3185334" y="44374"/>
                                </a:lnTo>
                                <a:lnTo>
                                  <a:pt x="3194125" y="43576"/>
                                </a:lnTo>
                                <a:lnTo>
                                  <a:pt x="3194897" y="43505"/>
                                </a:lnTo>
                                <a:lnTo>
                                  <a:pt x="3204160" y="40984"/>
                                </a:lnTo>
                                <a:lnTo>
                                  <a:pt x="3199899" y="25324"/>
                                </a:lnTo>
                                <a:close/>
                              </a:path>
                              <a:path w="4270375" h="354330">
                                <a:moveTo>
                                  <a:pt x="3194897" y="43505"/>
                                </a:moveTo>
                                <a:lnTo>
                                  <a:pt x="3194124" y="43575"/>
                                </a:lnTo>
                                <a:lnTo>
                                  <a:pt x="3185334" y="44374"/>
                                </a:lnTo>
                                <a:lnTo>
                                  <a:pt x="3191703" y="44374"/>
                                </a:lnTo>
                                <a:lnTo>
                                  <a:pt x="3194897" y="43505"/>
                                </a:lnTo>
                                <a:close/>
                              </a:path>
                              <a:path w="4270375" h="354330">
                                <a:moveTo>
                                  <a:pt x="3907208" y="25959"/>
                                </a:moveTo>
                                <a:lnTo>
                                  <a:pt x="3898216" y="26387"/>
                                </a:lnTo>
                                <a:lnTo>
                                  <a:pt x="3899056" y="44022"/>
                                </a:lnTo>
                                <a:lnTo>
                                  <a:pt x="3907873" y="43602"/>
                                </a:lnTo>
                                <a:lnTo>
                                  <a:pt x="3916279" y="43201"/>
                                </a:lnTo>
                                <a:lnTo>
                                  <a:pt x="3916279" y="25959"/>
                                </a:lnTo>
                                <a:lnTo>
                                  <a:pt x="3907208" y="25959"/>
                                </a:lnTo>
                                <a:close/>
                              </a:path>
                              <a:path w="4270375" h="354330">
                                <a:moveTo>
                                  <a:pt x="3545767" y="25959"/>
                                </a:moveTo>
                                <a:lnTo>
                                  <a:pt x="3545767" y="43612"/>
                                </a:lnTo>
                                <a:lnTo>
                                  <a:pt x="3554594" y="43612"/>
                                </a:lnTo>
                                <a:lnTo>
                                  <a:pt x="3563420" y="43611"/>
                                </a:lnTo>
                                <a:lnTo>
                                  <a:pt x="3563420" y="25959"/>
                                </a:lnTo>
                                <a:lnTo>
                                  <a:pt x="3545767" y="25959"/>
                                </a:lnTo>
                                <a:close/>
                              </a:path>
                              <a:path w="4270375" h="354330">
                                <a:moveTo>
                                  <a:pt x="3369762" y="26389"/>
                                </a:moveTo>
                                <a:lnTo>
                                  <a:pt x="3368963" y="35179"/>
                                </a:lnTo>
                                <a:lnTo>
                                  <a:pt x="3461771" y="43611"/>
                                </a:lnTo>
                                <a:lnTo>
                                  <a:pt x="3545767" y="43611"/>
                                </a:lnTo>
                                <a:lnTo>
                                  <a:pt x="3545767" y="35214"/>
                                </a:lnTo>
                                <a:lnTo>
                                  <a:pt x="3369762" y="35214"/>
                                </a:lnTo>
                                <a:lnTo>
                                  <a:pt x="3369762" y="26389"/>
                                </a:lnTo>
                                <a:close/>
                              </a:path>
                              <a:path w="4270375" h="354330">
                                <a:moveTo>
                                  <a:pt x="3731772" y="25958"/>
                                </a:moveTo>
                                <a:lnTo>
                                  <a:pt x="3545767" y="25958"/>
                                </a:lnTo>
                                <a:lnTo>
                                  <a:pt x="3563420" y="25959"/>
                                </a:lnTo>
                                <a:lnTo>
                                  <a:pt x="3563420" y="43611"/>
                                </a:lnTo>
                                <a:lnTo>
                                  <a:pt x="3899036" y="43611"/>
                                </a:lnTo>
                                <a:lnTo>
                                  <a:pt x="3898216" y="26387"/>
                                </a:lnTo>
                                <a:lnTo>
                                  <a:pt x="3907208" y="25959"/>
                                </a:lnTo>
                                <a:lnTo>
                                  <a:pt x="3731772" y="25958"/>
                                </a:lnTo>
                                <a:close/>
                              </a:path>
                              <a:path w="4270375" h="354330">
                                <a:moveTo>
                                  <a:pt x="3916279" y="43201"/>
                                </a:moveTo>
                                <a:lnTo>
                                  <a:pt x="3907873" y="43601"/>
                                </a:lnTo>
                                <a:lnTo>
                                  <a:pt x="3907691" y="43611"/>
                                </a:lnTo>
                                <a:lnTo>
                                  <a:pt x="3916279" y="43611"/>
                                </a:lnTo>
                                <a:lnTo>
                                  <a:pt x="3916279" y="43201"/>
                                </a:lnTo>
                                <a:close/>
                              </a:path>
                              <a:path w="4270375" h="354330">
                                <a:moveTo>
                                  <a:pt x="3370162" y="17562"/>
                                </a:moveTo>
                                <a:lnTo>
                                  <a:pt x="3285144" y="17581"/>
                                </a:lnTo>
                                <a:lnTo>
                                  <a:pt x="3199899" y="25324"/>
                                </a:lnTo>
                                <a:lnTo>
                                  <a:pt x="3204160" y="40984"/>
                                </a:lnTo>
                                <a:lnTo>
                                  <a:pt x="3194897" y="43505"/>
                                </a:lnTo>
                                <a:lnTo>
                                  <a:pt x="3286156" y="35214"/>
                                </a:lnTo>
                                <a:lnTo>
                                  <a:pt x="3285749" y="35214"/>
                                </a:lnTo>
                                <a:lnTo>
                                  <a:pt x="3285749" y="26389"/>
                                </a:lnTo>
                                <a:lnTo>
                                  <a:pt x="3462172" y="26389"/>
                                </a:lnTo>
                                <a:lnTo>
                                  <a:pt x="3462172" y="25958"/>
                                </a:lnTo>
                                <a:lnTo>
                                  <a:pt x="3462578" y="25958"/>
                                </a:lnTo>
                                <a:lnTo>
                                  <a:pt x="3370162" y="17562"/>
                                </a:lnTo>
                                <a:close/>
                              </a:path>
                              <a:path w="4270375" h="354330">
                                <a:moveTo>
                                  <a:pt x="4083262" y="17581"/>
                                </a:moveTo>
                                <a:lnTo>
                                  <a:pt x="3907208" y="25959"/>
                                </a:lnTo>
                                <a:lnTo>
                                  <a:pt x="3916279" y="25959"/>
                                </a:lnTo>
                                <a:lnTo>
                                  <a:pt x="3916279" y="43201"/>
                                </a:lnTo>
                                <a:lnTo>
                                  <a:pt x="4084711" y="35175"/>
                                </a:lnTo>
                                <a:lnTo>
                                  <a:pt x="4177157" y="26389"/>
                                </a:lnTo>
                                <a:lnTo>
                                  <a:pt x="4083877" y="26389"/>
                                </a:lnTo>
                                <a:lnTo>
                                  <a:pt x="4083041" y="17601"/>
                                </a:lnTo>
                                <a:lnTo>
                                  <a:pt x="4083262" y="17581"/>
                                </a:lnTo>
                                <a:close/>
                              </a:path>
                              <a:path w="4270375" h="354330">
                                <a:moveTo>
                                  <a:pt x="3285749" y="26389"/>
                                </a:moveTo>
                                <a:lnTo>
                                  <a:pt x="3285749" y="35214"/>
                                </a:lnTo>
                                <a:lnTo>
                                  <a:pt x="3286156" y="35214"/>
                                </a:lnTo>
                                <a:lnTo>
                                  <a:pt x="3286547" y="35179"/>
                                </a:lnTo>
                                <a:lnTo>
                                  <a:pt x="3285749" y="26389"/>
                                </a:lnTo>
                                <a:close/>
                              </a:path>
                              <a:path w="4270375" h="354330">
                                <a:moveTo>
                                  <a:pt x="3369762" y="26389"/>
                                </a:moveTo>
                                <a:lnTo>
                                  <a:pt x="3285749" y="26389"/>
                                </a:lnTo>
                                <a:lnTo>
                                  <a:pt x="3286547" y="35179"/>
                                </a:lnTo>
                                <a:lnTo>
                                  <a:pt x="3286156" y="35214"/>
                                </a:lnTo>
                                <a:lnTo>
                                  <a:pt x="3369355" y="35214"/>
                                </a:lnTo>
                                <a:lnTo>
                                  <a:pt x="3368963" y="35179"/>
                                </a:lnTo>
                                <a:lnTo>
                                  <a:pt x="3369762" y="26389"/>
                                </a:lnTo>
                                <a:close/>
                              </a:path>
                              <a:path w="4270375" h="354330">
                                <a:moveTo>
                                  <a:pt x="3462172" y="26389"/>
                                </a:moveTo>
                                <a:lnTo>
                                  <a:pt x="3369762" y="26389"/>
                                </a:lnTo>
                                <a:lnTo>
                                  <a:pt x="3369762" y="35214"/>
                                </a:lnTo>
                                <a:lnTo>
                                  <a:pt x="3545767" y="35214"/>
                                </a:lnTo>
                                <a:lnTo>
                                  <a:pt x="3545767" y="34785"/>
                                </a:lnTo>
                                <a:lnTo>
                                  <a:pt x="3462172" y="34785"/>
                                </a:lnTo>
                                <a:lnTo>
                                  <a:pt x="3462172" y="26389"/>
                                </a:lnTo>
                                <a:close/>
                              </a:path>
                              <a:path w="4270375" h="354330">
                                <a:moveTo>
                                  <a:pt x="3462578" y="25958"/>
                                </a:moveTo>
                                <a:lnTo>
                                  <a:pt x="3462172" y="25958"/>
                                </a:lnTo>
                                <a:lnTo>
                                  <a:pt x="3462172" y="34785"/>
                                </a:lnTo>
                                <a:lnTo>
                                  <a:pt x="3462971" y="25994"/>
                                </a:lnTo>
                                <a:lnTo>
                                  <a:pt x="3462578" y="25958"/>
                                </a:lnTo>
                                <a:close/>
                              </a:path>
                              <a:path w="4270375" h="354330">
                                <a:moveTo>
                                  <a:pt x="3462578" y="25958"/>
                                </a:moveTo>
                                <a:lnTo>
                                  <a:pt x="3462971" y="25994"/>
                                </a:lnTo>
                                <a:lnTo>
                                  <a:pt x="3462172" y="34785"/>
                                </a:lnTo>
                                <a:lnTo>
                                  <a:pt x="3545767" y="34785"/>
                                </a:lnTo>
                                <a:lnTo>
                                  <a:pt x="3545767" y="25959"/>
                                </a:lnTo>
                                <a:lnTo>
                                  <a:pt x="3462578" y="25958"/>
                                </a:lnTo>
                                <a:close/>
                              </a:path>
                              <a:path w="4270375" h="354330">
                                <a:moveTo>
                                  <a:pt x="3191764" y="26063"/>
                                </a:moveTo>
                                <a:lnTo>
                                  <a:pt x="3183736" y="26792"/>
                                </a:lnTo>
                                <a:lnTo>
                                  <a:pt x="3183865" y="28213"/>
                                </a:lnTo>
                                <a:lnTo>
                                  <a:pt x="3191764" y="26063"/>
                                </a:lnTo>
                                <a:close/>
                              </a:path>
                              <a:path w="4270375" h="354330">
                                <a:moveTo>
                                  <a:pt x="4083457" y="17571"/>
                                </a:moveTo>
                                <a:lnTo>
                                  <a:pt x="4083041" y="17601"/>
                                </a:lnTo>
                                <a:lnTo>
                                  <a:pt x="4083877" y="26389"/>
                                </a:lnTo>
                                <a:lnTo>
                                  <a:pt x="4083457" y="17571"/>
                                </a:lnTo>
                                <a:close/>
                              </a:path>
                              <a:path w="4270375" h="354330">
                                <a:moveTo>
                                  <a:pt x="4269921" y="17571"/>
                                </a:moveTo>
                                <a:lnTo>
                                  <a:pt x="4083457" y="17571"/>
                                </a:lnTo>
                                <a:lnTo>
                                  <a:pt x="4083877" y="26389"/>
                                </a:lnTo>
                                <a:lnTo>
                                  <a:pt x="4177174" y="26387"/>
                                </a:lnTo>
                                <a:lnTo>
                                  <a:pt x="4269921" y="17571"/>
                                </a:lnTo>
                                <a:close/>
                              </a:path>
                              <a:path w="4270375" h="354330">
                                <a:moveTo>
                                  <a:pt x="3199525" y="23951"/>
                                </a:moveTo>
                                <a:lnTo>
                                  <a:pt x="3191764" y="26063"/>
                                </a:lnTo>
                                <a:lnTo>
                                  <a:pt x="3199899" y="25324"/>
                                </a:lnTo>
                                <a:lnTo>
                                  <a:pt x="3199525" y="23951"/>
                                </a:lnTo>
                                <a:close/>
                              </a:path>
                              <a:path w="4270375" h="354330">
                                <a:moveTo>
                                  <a:pt x="4268251" y="0"/>
                                </a:moveTo>
                                <a:lnTo>
                                  <a:pt x="4083262" y="17581"/>
                                </a:lnTo>
                                <a:lnTo>
                                  <a:pt x="4083457" y="17571"/>
                                </a:lnTo>
                                <a:lnTo>
                                  <a:pt x="4269921" y="17571"/>
                                </a:lnTo>
                                <a:lnTo>
                                  <a:pt x="4268251" y="0"/>
                                </a:lnTo>
                                <a:close/>
                              </a:path>
                            </a:pathLst>
                          </a:custGeom>
                          <a:solidFill>
                            <a:srgbClr val="B5052D"/>
                          </a:solidFill>
                        </wps:spPr>
                        <wps:bodyPr wrap="square" lIns="0" tIns="0" rIns="0" bIns="0" rtlCol="0">
                          <a:prstTxWarp prst="textNoShape">
                            <a:avLst/>
                          </a:prstTxWarp>
                          <a:noAutofit/>
                        </wps:bodyPr>
                      </wps:wsp>
                      <wps:wsp>
                        <wps:cNvPr id="2068" name="Graphic 2068"/>
                        <wps:cNvSpPr/>
                        <wps:spPr>
                          <a:xfrm>
                            <a:off x="654926" y="1724201"/>
                            <a:ext cx="4269740" cy="370840"/>
                          </a:xfrm>
                          <a:custGeom>
                            <a:avLst/>
                            <a:gdLst/>
                            <a:ahLst/>
                            <a:cxnLst/>
                            <a:rect l="l" t="t" r="r" b="b"/>
                            <a:pathLst>
                              <a:path w="4269740" h="370840">
                                <a:moveTo>
                                  <a:pt x="185053" y="344006"/>
                                </a:moveTo>
                                <a:lnTo>
                                  <a:pt x="0" y="352814"/>
                                </a:lnTo>
                                <a:lnTo>
                                  <a:pt x="839" y="370447"/>
                                </a:lnTo>
                                <a:lnTo>
                                  <a:pt x="186501" y="361601"/>
                                </a:lnTo>
                                <a:lnTo>
                                  <a:pt x="279011" y="352814"/>
                                </a:lnTo>
                                <a:lnTo>
                                  <a:pt x="185666" y="352813"/>
                                </a:lnTo>
                                <a:lnTo>
                                  <a:pt x="184832" y="344027"/>
                                </a:lnTo>
                                <a:lnTo>
                                  <a:pt x="185053" y="344006"/>
                                </a:lnTo>
                                <a:close/>
                              </a:path>
                              <a:path w="4269740" h="370840">
                                <a:moveTo>
                                  <a:pt x="185246" y="343997"/>
                                </a:moveTo>
                                <a:lnTo>
                                  <a:pt x="185012" y="344010"/>
                                </a:lnTo>
                                <a:lnTo>
                                  <a:pt x="184905" y="344796"/>
                                </a:lnTo>
                                <a:lnTo>
                                  <a:pt x="185666" y="352814"/>
                                </a:lnTo>
                                <a:lnTo>
                                  <a:pt x="185246" y="343997"/>
                                </a:lnTo>
                                <a:close/>
                              </a:path>
                              <a:path w="4269740" h="370840">
                                <a:moveTo>
                                  <a:pt x="354306" y="343997"/>
                                </a:moveTo>
                                <a:lnTo>
                                  <a:pt x="185246" y="343997"/>
                                </a:lnTo>
                                <a:lnTo>
                                  <a:pt x="185666" y="352814"/>
                                </a:lnTo>
                                <a:lnTo>
                                  <a:pt x="279027" y="352813"/>
                                </a:lnTo>
                                <a:lnTo>
                                  <a:pt x="354540" y="345641"/>
                                </a:lnTo>
                                <a:lnTo>
                                  <a:pt x="354306" y="343997"/>
                                </a:lnTo>
                                <a:close/>
                              </a:path>
                              <a:path w="4269740" h="370840">
                                <a:moveTo>
                                  <a:pt x="363155" y="344823"/>
                                </a:moveTo>
                                <a:lnTo>
                                  <a:pt x="354540" y="345641"/>
                                </a:lnTo>
                                <a:lnTo>
                                  <a:pt x="354598" y="346043"/>
                                </a:lnTo>
                                <a:lnTo>
                                  <a:pt x="363155" y="344823"/>
                                </a:lnTo>
                                <a:close/>
                              </a:path>
                              <a:path w="4269740" h="370840">
                                <a:moveTo>
                                  <a:pt x="370041" y="326438"/>
                                </a:moveTo>
                                <a:lnTo>
                                  <a:pt x="361031" y="327293"/>
                                </a:lnTo>
                                <a:lnTo>
                                  <a:pt x="352105" y="328566"/>
                                </a:lnTo>
                                <a:lnTo>
                                  <a:pt x="354540" y="345641"/>
                                </a:lnTo>
                                <a:lnTo>
                                  <a:pt x="363336" y="344797"/>
                                </a:lnTo>
                                <a:lnTo>
                                  <a:pt x="371672" y="343608"/>
                                </a:lnTo>
                                <a:lnTo>
                                  <a:pt x="370041" y="326438"/>
                                </a:lnTo>
                                <a:close/>
                              </a:path>
                              <a:path w="4269740" h="370840">
                                <a:moveTo>
                                  <a:pt x="371672" y="343608"/>
                                </a:moveTo>
                                <a:lnTo>
                                  <a:pt x="363155" y="344823"/>
                                </a:lnTo>
                                <a:lnTo>
                                  <a:pt x="371710" y="344010"/>
                                </a:lnTo>
                                <a:lnTo>
                                  <a:pt x="371672" y="343608"/>
                                </a:lnTo>
                                <a:close/>
                              </a:path>
                              <a:path w="4269740" h="370840">
                                <a:moveTo>
                                  <a:pt x="361031" y="327293"/>
                                </a:moveTo>
                                <a:lnTo>
                                  <a:pt x="185053" y="344006"/>
                                </a:lnTo>
                                <a:lnTo>
                                  <a:pt x="185246" y="343997"/>
                                </a:lnTo>
                                <a:lnTo>
                                  <a:pt x="354306" y="343997"/>
                                </a:lnTo>
                                <a:lnTo>
                                  <a:pt x="352105" y="328566"/>
                                </a:lnTo>
                                <a:lnTo>
                                  <a:pt x="361031" y="327293"/>
                                </a:lnTo>
                                <a:close/>
                              </a:path>
                              <a:path w="4269740" h="370840">
                                <a:moveTo>
                                  <a:pt x="492081" y="326438"/>
                                </a:moveTo>
                                <a:lnTo>
                                  <a:pt x="370041" y="326438"/>
                                </a:lnTo>
                                <a:lnTo>
                                  <a:pt x="371672" y="343608"/>
                                </a:lnTo>
                                <a:lnTo>
                                  <a:pt x="492081" y="326438"/>
                                </a:lnTo>
                                <a:close/>
                              </a:path>
                              <a:path w="4269740" h="370840">
                                <a:moveTo>
                                  <a:pt x="705365" y="278194"/>
                                </a:moveTo>
                                <a:lnTo>
                                  <a:pt x="361031" y="327293"/>
                                </a:lnTo>
                                <a:lnTo>
                                  <a:pt x="370041" y="326438"/>
                                </a:lnTo>
                                <a:lnTo>
                                  <a:pt x="492081" y="326438"/>
                                </a:lnTo>
                                <a:lnTo>
                                  <a:pt x="709993" y="295364"/>
                                </a:lnTo>
                                <a:lnTo>
                                  <a:pt x="706997" y="295364"/>
                                </a:lnTo>
                                <a:lnTo>
                                  <a:pt x="705365" y="278194"/>
                                </a:lnTo>
                                <a:close/>
                              </a:path>
                              <a:path w="4269740" h="370840">
                                <a:moveTo>
                                  <a:pt x="722497" y="276158"/>
                                </a:moveTo>
                                <a:lnTo>
                                  <a:pt x="713937" y="276972"/>
                                </a:lnTo>
                                <a:lnTo>
                                  <a:pt x="705365" y="278194"/>
                                </a:lnTo>
                                <a:lnTo>
                                  <a:pt x="706997" y="295364"/>
                                </a:lnTo>
                                <a:lnTo>
                                  <a:pt x="715784" y="294530"/>
                                </a:lnTo>
                                <a:lnTo>
                                  <a:pt x="724932" y="293234"/>
                                </a:lnTo>
                                <a:lnTo>
                                  <a:pt x="722497" y="276158"/>
                                </a:lnTo>
                                <a:close/>
                              </a:path>
                              <a:path w="4269740" h="370840">
                                <a:moveTo>
                                  <a:pt x="715993" y="294509"/>
                                </a:moveTo>
                                <a:lnTo>
                                  <a:pt x="715784" y="294529"/>
                                </a:lnTo>
                                <a:lnTo>
                                  <a:pt x="706997" y="295364"/>
                                </a:lnTo>
                                <a:lnTo>
                                  <a:pt x="709993" y="295364"/>
                                </a:lnTo>
                                <a:lnTo>
                                  <a:pt x="715993" y="294509"/>
                                </a:lnTo>
                                <a:close/>
                              </a:path>
                              <a:path w="4269740" h="370840">
                                <a:moveTo>
                                  <a:pt x="1066784" y="244186"/>
                                </a:moveTo>
                                <a:lnTo>
                                  <a:pt x="890542" y="260187"/>
                                </a:lnTo>
                                <a:lnTo>
                                  <a:pt x="722497" y="276158"/>
                                </a:lnTo>
                                <a:lnTo>
                                  <a:pt x="724932" y="293234"/>
                                </a:lnTo>
                                <a:lnTo>
                                  <a:pt x="715993" y="294509"/>
                                </a:lnTo>
                                <a:lnTo>
                                  <a:pt x="892219" y="277761"/>
                                </a:lnTo>
                                <a:lnTo>
                                  <a:pt x="1069938" y="261625"/>
                                </a:lnTo>
                                <a:lnTo>
                                  <a:pt x="1068027" y="261625"/>
                                </a:lnTo>
                                <a:lnTo>
                                  <a:pt x="1066784" y="244186"/>
                                </a:lnTo>
                                <a:close/>
                              </a:path>
                              <a:path w="4269740" h="370840">
                                <a:moveTo>
                                  <a:pt x="713937" y="276972"/>
                                </a:moveTo>
                                <a:lnTo>
                                  <a:pt x="705327" y="277790"/>
                                </a:lnTo>
                                <a:lnTo>
                                  <a:pt x="705365" y="278194"/>
                                </a:lnTo>
                                <a:lnTo>
                                  <a:pt x="713937" y="276972"/>
                                </a:lnTo>
                                <a:close/>
                              </a:path>
                              <a:path w="4269740" h="370840">
                                <a:moveTo>
                                  <a:pt x="722441" y="275759"/>
                                </a:moveTo>
                                <a:lnTo>
                                  <a:pt x="713937" y="276972"/>
                                </a:lnTo>
                                <a:lnTo>
                                  <a:pt x="722497" y="276158"/>
                                </a:lnTo>
                                <a:lnTo>
                                  <a:pt x="722441" y="275759"/>
                                </a:lnTo>
                                <a:close/>
                              </a:path>
                              <a:path w="4269740" h="370840">
                                <a:moveTo>
                                  <a:pt x="1084211" y="242773"/>
                                </a:moveTo>
                                <a:lnTo>
                                  <a:pt x="1075542" y="243391"/>
                                </a:lnTo>
                                <a:lnTo>
                                  <a:pt x="1066784" y="244186"/>
                                </a:lnTo>
                                <a:lnTo>
                                  <a:pt x="1068027" y="261625"/>
                                </a:lnTo>
                                <a:lnTo>
                                  <a:pt x="1076919" y="260992"/>
                                </a:lnTo>
                                <a:lnTo>
                                  <a:pt x="1085792" y="260186"/>
                                </a:lnTo>
                                <a:lnTo>
                                  <a:pt x="1084211" y="242773"/>
                                </a:lnTo>
                                <a:close/>
                              </a:path>
                              <a:path w="4269740" h="370840">
                                <a:moveTo>
                                  <a:pt x="1076919" y="260992"/>
                                </a:moveTo>
                                <a:lnTo>
                                  <a:pt x="1068027" y="261625"/>
                                </a:lnTo>
                                <a:lnTo>
                                  <a:pt x="1069938" y="261625"/>
                                </a:lnTo>
                                <a:lnTo>
                                  <a:pt x="1076919" y="260992"/>
                                </a:lnTo>
                                <a:close/>
                              </a:path>
                              <a:path w="4269740" h="370840">
                                <a:moveTo>
                                  <a:pt x="1428340" y="218244"/>
                                </a:moveTo>
                                <a:lnTo>
                                  <a:pt x="1084211" y="242773"/>
                                </a:lnTo>
                                <a:lnTo>
                                  <a:pt x="1085792" y="260186"/>
                                </a:lnTo>
                                <a:lnTo>
                                  <a:pt x="1076919" y="260992"/>
                                </a:lnTo>
                                <a:lnTo>
                                  <a:pt x="1421090" y="236459"/>
                                </a:lnTo>
                                <a:lnTo>
                                  <a:pt x="1419440" y="219089"/>
                                </a:lnTo>
                                <a:lnTo>
                                  <a:pt x="1428340" y="218244"/>
                                </a:lnTo>
                                <a:close/>
                              </a:path>
                              <a:path w="4269740" h="370840">
                                <a:moveTo>
                                  <a:pt x="1075542" y="243391"/>
                                </a:moveTo>
                                <a:lnTo>
                                  <a:pt x="1066772" y="244016"/>
                                </a:lnTo>
                                <a:lnTo>
                                  <a:pt x="1066784" y="244186"/>
                                </a:lnTo>
                                <a:lnTo>
                                  <a:pt x="1075542" y="243391"/>
                                </a:lnTo>
                                <a:close/>
                              </a:path>
                              <a:path w="4269740" h="370840">
                                <a:moveTo>
                                  <a:pt x="1084196" y="242606"/>
                                </a:moveTo>
                                <a:lnTo>
                                  <a:pt x="1075542" y="243391"/>
                                </a:lnTo>
                                <a:lnTo>
                                  <a:pt x="1084211" y="242773"/>
                                </a:lnTo>
                                <a:lnTo>
                                  <a:pt x="1084196" y="242606"/>
                                </a:lnTo>
                                <a:close/>
                              </a:path>
                              <a:path w="4269740" h="370840">
                                <a:moveTo>
                                  <a:pt x="1429750" y="235842"/>
                                </a:moveTo>
                                <a:lnTo>
                                  <a:pt x="1421090" y="236459"/>
                                </a:lnTo>
                                <a:lnTo>
                                  <a:pt x="1421110" y="236663"/>
                                </a:lnTo>
                                <a:lnTo>
                                  <a:pt x="1429750" y="235842"/>
                                </a:lnTo>
                                <a:close/>
                              </a:path>
                              <a:path w="4269740" h="370840">
                                <a:moveTo>
                                  <a:pt x="1437239" y="217609"/>
                                </a:moveTo>
                                <a:lnTo>
                                  <a:pt x="1428340" y="218244"/>
                                </a:lnTo>
                                <a:lnTo>
                                  <a:pt x="1419440" y="219089"/>
                                </a:lnTo>
                                <a:lnTo>
                                  <a:pt x="1421090" y="236459"/>
                                </a:lnTo>
                                <a:lnTo>
                                  <a:pt x="1429750" y="235842"/>
                                </a:lnTo>
                                <a:lnTo>
                                  <a:pt x="1438479" y="235012"/>
                                </a:lnTo>
                                <a:lnTo>
                                  <a:pt x="1437239" y="217609"/>
                                </a:lnTo>
                                <a:close/>
                              </a:path>
                              <a:path w="4269740" h="370840">
                                <a:moveTo>
                                  <a:pt x="1438479" y="235012"/>
                                </a:moveTo>
                                <a:lnTo>
                                  <a:pt x="1429750" y="235842"/>
                                </a:lnTo>
                                <a:lnTo>
                                  <a:pt x="1438494" y="235218"/>
                                </a:lnTo>
                                <a:lnTo>
                                  <a:pt x="1438479" y="235012"/>
                                </a:lnTo>
                                <a:close/>
                              </a:path>
                              <a:path w="4269740" h="370840">
                                <a:moveTo>
                                  <a:pt x="1621658" y="217609"/>
                                </a:moveTo>
                                <a:lnTo>
                                  <a:pt x="1437239" y="217609"/>
                                </a:lnTo>
                                <a:lnTo>
                                  <a:pt x="1438479" y="235012"/>
                                </a:lnTo>
                                <a:lnTo>
                                  <a:pt x="1621658" y="217609"/>
                                </a:lnTo>
                                <a:close/>
                              </a:path>
                              <a:path w="4269740" h="370840">
                                <a:moveTo>
                                  <a:pt x="1780956" y="184743"/>
                                </a:moveTo>
                                <a:lnTo>
                                  <a:pt x="1428340" y="218244"/>
                                </a:lnTo>
                                <a:lnTo>
                                  <a:pt x="1437239" y="217609"/>
                                </a:lnTo>
                                <a:lnTo>
                                  <a:pt x="1621658" y="217609"/>
                                </a:lnTo>
                                <a:lnTo>
                                  <a:pt x="1774167" y="203120"/>
                                </a:lnTo>
                                <a:lnTo>
                                  <a:pt x="1772108" y="185795"/>
                                </a:lnTo>
                                <a:lnTo>
                                  <a:pt x="1780956" y="184743"/>
                                </a:lnTo>
                                <a:close/>
                              </a:path>
                              <a:path w="4269740" h="370840">
                                <a:moveTo>
                                  <a:pt x="1782869" y="202294"/>
                                </a:moveTo>
                                <a:lnTo>
                                  <a:pt x="1774167" y="203120"/>
                                </a:lnTo>
                                <a:lnTo>
                                  <a:pt x="1774192" y="203325"/>
                                </a:lnTo>
                                <a:lnTo>
                                  <a:pt x="1782869" y="202294"/>
                                </a:lnTo>
                                <a:close/>
                              </a:path>
                              <a:path w="4269740" h="370840">
                                <a:moveTo>
                                  <a:pt x="1789867" y="183897"/>
                                </a:moveTo>
                                <a:lnTo>
                                  <a:pt x="1780956" y="184743"/>
                                </a:lnTo>
                                <a:lnTo>
                                  <a:pt x="1772108" y="185795"/>
                                </a:lnTo>
                                <a:lnTo>
                                  <a:pt x="1774167" y="203120"/>
                                </a:lnTo>
                                <a:lnTo>
                                  <a:pt x="1782869" y="202294"/>
                                </a:lnTo>
                                <a:lnTo>
                                  <a:pt x="1791517" y="201266"/>
                                </a:lnTo>
                                <a:lnTo>
                                  <a:pt x="1789867" y="183897"/>
                                </a:lnTo>
                                <a:close/>
                              </a:path>
                              <a:path w="4269740" h="370840">
                                <a:moveTo>
                                  <a:pt x="1791517" y="201266"/>
                                </a:moveTo>
                                <a:lnTo>
                                  <a:pt x="1782869" y="202294"/>
                                </a:lnTo>
                                <a:lnTo>
                                  <a:pt x="1791536" y="201470"/>
                                </a:lnTo>
                                <a:lnTo>
                                  <a:pt x="1791517" y="201266"/>
                                </a:lnTo>
                                <a:close/>
                              </a:path>
                              <a:path w="4269740" h="370840">
                                <a:moveTo>
                                  <a:pt x="1937627" y="183897"/>
                                </a:moveTo>
                                <a:lnTo>
                                  <a:pt x="1789867" y="183897"/>
                                </a:lnTo>
                                <a:lnTo>
                                  <a:pt x="1791517" y="201266"/>
                                </a:lnTo>
                                <a:lnTo>
                                  <a:pt x="1937627" y="183897"/>
                                </a:lnTo>
                                <a:close/>
                              </a:path>
                              <a:path w="4269740" h="370840">
                                <a:moveTo>
                                  <a:pt x="2133668" y="142815"/>
                                </a:moveTo>
                                <a:lnTo>
                                  <a:pt x="1780956" y="184743"/>
                                </a:lnTo>
                                <a:lnTo>
                                  <a:pt x="1789867" y="183897"/>
                                </a:lnTo>
                                <a:lnTo>
                                  <a:pt x="1937627" y="183897"/>
                                </a:lnTo>
                                <a:lnTo>
                                  <a:pt x="2127247" y="161356"/>
                                </a:lnTo>
                                <a:lnTo>
                                  <a:pt x="2124784" y="144081"/>
                                </a:lnTo>
                                <a:lnTo>
                                  <a:pt x="2133668" y="142815"/>
                                </a:lnTo>
                                <a:close/>
                              </a:path>
                              <a:path w="4269740" h="370840">
                                <a:moveTo>
                                  <a:pt x="2135916" y="160325"/>
                                </a:moveTo>
                                <a:lnTo>
                                  <a:pt x="2127247" y="161356"/>
                                </a:lnTo>
                                <a:lnTo>
                                  <a:pt x="2127276" y="161557"/>
                                </a:lnTo>
                                <a:lnTo>
                                  <a:pt x="2135916" y="160325"/>
                                </a:lnTo>
                                <a:close/>
                              </a:path>
                              <a:path w="4269740" h="370840">
                                <a:moveTo>
                                  <a:pt x="2142491" y="141766"/>
                                </a:moveTo>
                                <a:lnTo>
                                  <a:pt x="2133668" y="142815"/>
                                </a:lnTo>
                                <a:lnTo>
                                  <a:pt x="2124784" y="144081"/>
                                </a:lnTo>
                                <a:lnTo>
                                  <a:pt x="2127247" y="161356"/>
                                </a:lnTo>
                                <a:lnTo>
                                  <a:pt x="2135916" y="160325"/>
                                </a:lnTo>
                                <a:lnTo>
                                  <a:pt x="2144551" y="159094"/>
                                </a:lnTo>
                                <a:lnTo>
                                  <a:pt x="2142491" y="141766"/>
                                </a:lnTo>
                                <a:close/>
                              </a:path>
                              <a:path w="4269740" h="370840">
                                <a:moveTo>
                                  <a:pt x="2144551" y="159094"/>
                                </a:moveTo>
                                <a:lnTo>
                                  <a:pt x="2135916" y="160325"/>
                                </a:lnTo>
                                <a:lnTo>
                                  <a:pt x="2144575" y="159296"/>
                                </a:lnTo>
                                <a:lnTo>
                                  <a:pt x="2144551" y="159094"/>
                                </a:lnTo>
                                <a:close/>
                              </a:path>
                              <a:path w="4269740" h="370840">
                                <a:moveTo>
                                  <a:pt x="2266096" y="141766"/>
                                </a:moveTo>
                                <a:lnTo>
                                  <a:pt x="2142491" y="141766"/>
                                </a:lnTo>
                                <a:lnTo>
                                  <a:pt x="2144551" y="159094"/>
                                </a:lnTo>
                                <a:lnTo>
                                  <a:pt x="2266096" y="141766"/>
                                </a:lnTo>
                                <a:close/>
                              </a:path>
                              <a:path w="4269740" h="370840">
                                <a:moveTo>
                                  <a:pt x="2486175" y="92560"/>
                                </a:moveTo>
                                <a:lnTo>
                                  <a:pt x="2133668" y="142815"/>
                                </a:lnTo>
                                <a:lnTo>
                                  <a:pt x="2142491" y="141766"/>
                                </a:lnTo>
                                <a:lnTo>
                                  <a:pt x="2266096" y="141766"/>
                                </a:lnTo>
                                <a:lnTo>
                                  <a:pt x="2480523" y="111196"/>
                                </a:lnTo>
                                <a:lnTo>
                                  <a:pt x="2477301" y="94246"/>
                                </a:lnTo>
                                <a:lnTo>
                                  <a:pt x="2486175" y="92560"/>
                                </a:lnTo>
                                <a:close/>
                              </a:path>
                              <a:path w="4269740" h="370840">
                                <a:moveTo>
                                  <a:pt x="2489107" y="109972"/>
                                </a:moveTo>
                                <a:lnTo>
                                  <a:pt x="2480523" y="111196"/>
                                </a:lnTo>
                                <a:lnTo>
                                  <a:pt x="2480598" y="111590"/>
                                </a:lnTo>
                                <a:lnTo>
                                  <a:pt x="2489107" y="109972"/>
                                </a:lnTo>
                                <a:close/>
                              </a:path>
                              <a:path w="4269740" h="370840">
                                <a:moveTo>
                                  <a:pt x="2495113" y="91285"/>
                                </a:moveTo>
                                <a:lnTo>
                                  <a:pt x="2486175" y="92560"/>
                                </a:lnTo>
                                <a:lnTo>
                                  <a:pt x="2477301" y="94246"/>
                                </a:lnTo>
                                <a:lnTo>
                                  <a:pt x="2480523" y="111196"/>
                                </a:lnTo>
                                <a:lnTo>
                                  <a:pt x="2489269" y="109942"/>
                                </a:lnTo>
                                <a:lnTo>
                                  <a:pt x="2497548" y="108367"/>
                                </a:lnTo>
                                <a:lnTo>
                                  <a:pt x="2495113" y="91285"/>
                                </a:lnTo>
                                <a:close/>
                              </a:path>
                              <a:path w="4269740" h="370840">
                                <a:moveTo>
                                  <a:pt x="2497548" y="108367"/>
                                </a:moveTo>
                                <a:lnTo>
                                  <a:pt x="2489269" y="109941"/>
                                </a:lnTo>
                                <a:lnTo>
                                  <a:pt x="2489107" y="109972"/>
                                </a:lnTo>
                                <a:lnTo>
                                  <a:pt x="2497605" y="108761"/>
                                </a:lnTo>
                                <a:lnTo>
                                  <a:pt x="2497548" y="108367"/>
                                </a:lnTo>
                                <a:close/>
                              </a:path>
                              <a:path w="4269740" h="370840">
                                <a:moveTo>
                                  <a:pt x="2587409" y="91285"/>
                                </a:moveTo>
                                <a:lnTo>
                                  <a:pt x="2495113" y="91285"/>
                                </a:lnTo>
                                <a:lnTo>
                                  <a:pt x="2497548" y="108367"/>
                                </a:lnTo>
                                <a:lnTo>
                                  <a:pt x="2587409" y="91285"/>
                                </a:lnTo>
                                <a:close/>
                              </a:path>
                              <a:path w="4269740" h="370840">
                                <a:moveTo>
                                  <a:pt x="2748805" y="59063"/>
                                </a:moveTo>
                                <a:lnTo>
                                  <a:pt x="2662396" y="59063"/>
                                </a:lnTo>
                                <a:lnTo>
                                  <a:pt x="2486175" y="92560"/>
                                </a:lnTo>
                                <a:lnTo>
                                  <a:pt x="2495113" y="91285"/>
                                </a:lnTo>
                                <a:lnTo>
                                  <a:pt x="2587409" y="91285"/>
                                </a:lnTo>
                                <a:lnTo>
                                  <a:pt x="2749123" y="59744"/>
                                </a:lnTo>
                                <a:lnTo>
                                  <a:pt x="2748866" y="59744"/>
                                </a:lnTo>
                                <a:lnTo>
                                  <a:pt x="2748805" y="59063"/>
                                </a:lnTo>
                                <a:close/>
                              </a:path>
                              <a:path w="4269740" h="370840">
                                <a:moveTo>
                                  <a:pt x="2748070" y="50954"/>
                                </a:moveTo>
                                <a:lnTo>
                                  <a:pt x="2748866" y="59744"/>
                                </a:lnTo>
                                <a:lnTo>
                                  <a:pt x="2749336" y="59701"/>
                                </a:lnTo>
                                <a:lnTo>
                                  <a:pt x="2749798" y="59609"/>
                                </a:lnTo>
                                <a:lnTo>
                                  <a:pt x="2748070" y="50954"/>
                                </a:lnTo>
                                <a:close/>
                              </a:path>
                              <a:path w="4269740" h="370840">
                                <a:moveTo>
                                  <a:pt x="2749336" y="59701"/>
                                </a:moveTo>
                                <a:lnTo>
                                  <a:pt x="2748866" y="59744"/>
                                </a:lnTo>
                                <a:lnTo>
                                  <a:pt x="2749123" y="59744"/>
                                </a:lnTo>
                                <a:lnTo>
                                  <a:pt x="2749336" y="59701"/>
                                </a:lnTo>
                                <a:close/>
                              </a:path>
                              <a:path w="4269740" h="370840">
                                <a:moveTo>
                                  <a:pt x="2831654" y="50954"/>
                                </a:moveTo>
                                <a:lnTo>
                                  <a:pt x="2748070" y="50954"/>
                                </a:lnTo>
                                <a:lnTo>
                                  <a:pt x="2749798" y="59609"/>
                                </a:lnTo>
                                <a:lnTo>
                                  <a:pt x="2749336" y="59701"/>
                                </a:lnTo>
                                <a:lnTo>
                                  <a:pt x="2840877" y="51409"/>
                                </a:lnTo>
                                <a:lnTo>
                                  <a:pt x="2831654" y="51409"/>
                                </a:lnTo>
                                <a:lnTo>
                                  <a:pt x="2831654" y="50954"/>
                                </a:lnTo>
                                <a:close/>
                              </a:path>
                              <a:path w="4269740" h="370840">
                                <a:moveTo>
                                  <a:pt x="2831654" y="34520"/>
                                </a:moveTo>
                                <a:lnTo>
                                  <a:pt x="2746804" y="42206"/>
                                </a:lnTo>
                                <a:lnTo>
                                  <a:pt x="2662340" y="59073"/>
                                </a:lnTo>
                                <a:lnTo>
                                  <a:pt x="2748805" y="59063"/>
                                </a:lnTo>
                                <a:lnTo>
                                  <a:pt x="2748070" y="50954"/>
                                </a:lnTo>
                                <a:lnTo>
                                  <a:pt x="2831654" y="50954"/>
                                </a:lnTo>
                                <a:lnTo>
                                  <a:pt x="2831654" y="34520"/>
                                </a:lnTo>
                                <a:close/>
                              </a:path>
                              <a:path w="4269740" h="370840">
                                <a:moveTo>
                                  <a:pt x="3193081" y="33756"/>
                                </a:moveTo>
                                <a:lnTo>
                                  <a:pt x="3184091" y="34183"/>
                                </a:lnTo>
                                <a:lnTo>
                                  <a:pt x="3184929" y="51818"/>
                                </a:lnTo>
                                <a:lnTo>
                                  <a:pt x="3193746" y="51399"/>
                                </a:lnTo>
                                <a:lnTo>
                                  <a:pt x="3202153" y="50999"/>
                                </a:lnTo>
                                <a:lnTo>
                                  <a:pt x="3202153" y="33756"/>
                                </a:lnTo>
                                <a:lnTo>
                                  <a:pt x="3193081" y="33756"/>
                                </a:lnTo>
                                <a:close/>
                              </a:path>
                              <a:path w="4269740" h="370840">
                                <a:moveTo>
                                  <a:pt x="2848475" y="32996"/>
                                </a:moveTo>
                                <a:lnTo>
                                  <a:pt x="2831654" y="34520"/>
                                </a:lnTo>
                                <a:lnTo>
                                  <a:pt x="2831654" y="51409"/>
                                </a:lnTo>
                                <a:lnTo>
                                  <a:pt x="2840988" y="51399"/>
                                </a:lnTo>
                                <a:lnTo>
                                  <a:pt x="2850067" y="50576"/>
                                </a:lnTo>
                                <a:lnTo>
                                  <a:pt x="2848475" y="32996"/>
                                </a:lnTo>
                                <a:close/>
                              </a:path>
                              <a:path w="4269740" h="370840">
                                <a:moveTo>
                                  <a:pt x="3100917" y="33756"/>
                                </a:moveTo>
                                <a:lnTo>
                                  <a:pt x="2848543" y="33756"/>
                                </a:lnTo>
                                <a:lnTo>
                                  <a:pt x="2850067" y="50576"/>
                                </a:lnTo>
                                <a:lnTo>
                                  <a:pt x="2840885" y="51408"/>
                                </a:lnTo>
                                <a:lnTo>
                                  <a:pt x="3184909" y="51408"/>
                                </a:lnTo>
                                <a:lnTo>
                                  <a:pt x="3184091" y="34183"/>
                                </a:lnTo>
                                <a:lnTo>
                                  <a:pt x="3193081" y="33756"/>
                                </a:lnTo>
                                <a:lnTo>
                                  <a:pt x="3100917" y="33756"/>
                                </a:lnTo>
                                <a:close/>
                              </a:path>
                              <a:path w="4269740" h="370840">
                                <a:moveTo>
                                  <a:pt x="3202153" y="50999"/>
                                </a:moveTo>
                                <a:lnTo>
                                  <a:pt x="3193746" y="51399"/>
                                </a:lnTo>
                                <a:lnTo>
                                  <a:pt x="3193567" y="51408"/>
                                </a:lnTo>
                                <a:lnTo>
                                  <a:pt x="3202153" y="51408"/>
                                </a:lnTo>
                                <a:lnTo>
                                  <a:pt x="3202153" y="50999"/>
                                </a:lnTo>
                                <a:close/>
                              </a:path>
                              <a:path w="4269740" h="370840">
                                <a:moveTo>
                                  <a:pt x="3369161" y="25390"/>
                                </a:moveTo>
                                <a:lnTo>
                                  <a:pt x="3193081" y="33756"/>
                                </a:lnTo>
                                <a:lnTo>
                                  <a:pt x="3202153" y="33756"/>
                                </a:lnTo>
                                <a:lnTo>
                                  <a:pt x="3202153" y="50999"/>
                                </a:lnTo>
                                <a:lnTo>
                                  <a:pt x="3370561" y="42988"/>
                                </a:lnTo>
                                <a:lnTo>
                                  <a:pt x="3467453" y="34198"/>
                                </a:lnTo>
                                <a:lnTo>
                                  <a:pt x="3369763" y="34198"/>
                                </a:lnTo>
                                <a:lnTo>
                                  <a:pt x="3368966" y="25407"/>
                                </a:lnTo>
                                <a:lnTo>
                                  <a:pt x="3369161" y="25390"/>
                                </a:lnTo>
                                <a:close/>
                              </a:path>
                              <a:path w="4269740" h="370840">
                                <a:moveTo>
                                  <a:pt x="2840088" y="33756"/>
                                </a:moveTo>
                                <a:lnTo>
                                  <a:pt x="2831654" y="33756"/>
                                </a:lnTo>
                                <a:lnTo>
                                  <a:pt x="2831654" y="34520"/>
                                </a:lnTo>
                                <a:lnTo>
                                  <a:pt x="2840088" y="33756"/>
                                </a:lnTo>
                                <a:close/>
                              </a:path>
                              <a:path w="4269740" h="370840">
                                <a:moveTo>
                                  <a:pt x="3369344" y="25381"/>
                                </a:moveTo>
                                <a:lnTo>
                                  <a:pt x="3369161" y="25390"/>
                                </a:lnTo>
                                <a:lnTo>
                                  <a:pt x="3369061" y="26463"/>
                                </a:lnTo>
                                <a:lnTo>
                                  <a:pt x="3369763" y="34198"/>
                                </a:lnTo>
                                <a:lnTo>
                                  <a:pt x="3369344" y="25381"/>
                                </a:lnTo>
                                <a:close/>
                              </a:path>
                              <a:path w="4269740" h="370840">
                                <a:moveTo>
                                  <a:pt x="3545955" y="25381"/>
                                </a:moveTo>
                                <a:lnTo>
                                  <a:pt x="3369344" y="25381"/>
                                </a:lnTo>
                                <a:lnTo>
                                  <a:pt x="3369763" y="34198"/>
                                </a:lnTo>
                                <a:lnTo>
                                  <a:pt x="3467453" y="34198"/>
                                </a:lnTo>
                                <a:lnTo>
                                  <a:pt x="3552716" y="26463"/>
                                </a:lnTo>
                                <a:lnTo>
                                  <a:pt x="3545981" y="26463"/>
                                </a:lnTo>
                                <a:lnTo>
                                  <a:pt x="3545955" y="25381"/>
                                </a:lnTo>
                                <a:close/>
                              </a:path>
                              <a:path w="4269740" h="370840">
                                <a:moveTo>
                                  <a:pt x="3562639" y="8409"/>
                                </a:moveTo>
                                <a:lnTo>
                                  <a:pt x="3554105" y="8612"/>
                                </a:lnTo>
                                <a:lnTo>
                                  <a:pt x="3545574" y="9386"/>
                                </a:lnTo>
                                <a:lnTo>
                                  <a:pt x="3545981" y="26463"/>
                                </a:lnTo>
                                <a:lnTo>
                                  <a:pt x="3555110" y="26246"/>
                                </a:lnTo>
                                <a:lnTo>
                                  <a:pt x="3564182" y="25423"/>
                                </a:lnTo>
                                <a:lnTo>
                                  <a:pt x="3562639" y="8409"/>
                                </a:lnTo>
                                <a:close/>
                              </a:path>
                              <a:path w="4269740" h="370840">
                                <a:moveTo>
                                  <a:pt x="3555110" y="26246"/>
                                </a:moveTo>
                                <a:lnTo>
                                  <a:pt x="3545981" y="26463"/>
                                </a:lnTo>
                                <a:lnTo>
                                  <a:pt x="3552716" y="26463"/>
                                </a:lnTo>
                                <a:lnTo>
                                  <a:pt x="3555110" y="26246"/>
                                </a:lnTo>
                                <a:close/>
                              </a:path>
                              <a:path w="4269740" h="370840">
                                <a:moveTo>
                                  <a:pt x="3898628" y="414"/>
                                </a:moveTo>
                                <a:lnTo>
                                  <a:pt x="3562639" y="8409"/>
                                </a:lnTo>
                                <a:lnTo>
                                  <a:pt x="3564182" y="25423"/>
                                </a:lnTo>
                                <a:lnTo>
                                  <a:pt x="3555110" y="26246"/>
                                </a:lnTo>
                                <a:lnTo>
                                  <a:pt x="3907564" y="17860"/>
                                </a:lnTo>
                                <a:lnTo>
                                  <a:pt x="3898628" y="17860"/>
                                </a:lnTo>
                                <a:lnTo>
                                  <a:pt x="3898628" y="414"/>
                                </a:lnTo>
                                <a:close/>
                              </a:path>
                              <a:path w="4269740" h="370840">
                                <a:moveTo>
                                  <a:pt x="3545574" y="9386"/>
                                </a:moveTo>
                                <a:lnTo>
                                  <a:pt x="3369161" y="25390"/>
                                </a:lnTo>
                                <a:lnTo>
                                  <a:pt x="3369344" y="25381"/>
                                </a:lnTo>
                                <a:lnTo>
                                  <a:pt x="3545955" y="25381"/>
                                </a:lnTo>
                                <a:lnTo>
                                  <a:pt x="3545574" y="9386"/>
                                </a:lnTo>
                                <a:close/>
                              </a:path>
                              <a:path w="4269740" h="370840">
                                <a:moveTo>
                                  <a:pt x="3916068" y="0"/>
                                </a:moveTo>
                                <a:lnTo>
                                  <a:pt x="3898628" y="414"/>
                                </a:lnTo>
                                <a:lnTo>
                                  <a:pt x="3898628" y="17860"/>
                                </a:lnTo>
                                <a:lnTo>
                                  <a:pt x="3907564" y="17860"/>
                                </a:lnTo>
                                <a:lnTo>
                                  <a:pt x="3916488" y="17647"/>
                                </a:lnTo>
                                <a:lnTo>
                                  <a:pt x="3916068" y="0"/>
                                </a:lnTo>
                                <a:close/>
                              </a:path>
                              <a:path w="4269740" h="370840">
                                <a:moveTo>
                                  <a:pt x="4269127" y="207"/>
                                </a:moveTo>
                                <a:lnTo>
                                  <a:pt x="3916073" y="207"/>
                                </a:lnTo>
                                <a:lnTo>
                                  <a:pt x="3916488" y="17647"/>
                                </a:lnTo>
                                <a:lnTo>
                                  <a:pt x="3907564" y="17860"/>
                                </a:lnTo>
                                <a:lnTo>
                                  <a:pt x="4269127" y="17860"/>
                                </a:lnTo>
                                <a:lnTo>
                                  <a:pt x="4269127" y="207"/>
                                </a:lnTo>
                                <a:close/>
                              </a:path>
                              <a:path w="4269740" h="370840">
                                <a:moveTo>
                                  <a:pt x="3554105" y="8612"/>
                                </a:moveTo>
                                <a:lnTo>
                                  <a:pt x="3545561" y="8815"/>
                                </a:lnTo>
                                <a:lnTo>
                                  <a:pt x="3545574" y="9386"/>
                                </a:lnTo>
                                <a:lnTo>
                                  <a:pt x="3554105" y="8612"/>
                                </a:lnTo>
                                <a:close/>
                              </a:path>
                              <a:path w="4269740" h="370840">
                                <a:moveTo>
                                  <a:pt x="3562588" y="7842"/>
                                </a:moveTo>
                                <a:lnTo>
                                  <a:pt x="3554105" y="8612"/>
                                </a:lnTo>
                                <a:lnTo>
                                  <a:pt x="3562639" y="8409"/>
                                </a:lnTo>
                                <a:lnTo>
                                  <a:pt x="3562588" y="7842"/>
                                </a:lnTo>
                                <a:close/>
                              </a:path>
                              <a:path w="4269740" h="370840">
                                <a:moveTo>
                                  <a:pt x="3907336" y="207"/>
                                </a:moveTo>
                                <a:lnTo>
                                  <a:pt x="3898628" y="207"/>
                                </a:lnTo>
                                <a:lnTo>
                                  <a:pt x="3898628" y="414"/>
                                </a:lnTo>
                                <a:lnTo>
                                  <a:pt x="3907336" y="207"/>
                                </a:lnTo>
                                <a:close/>
                              </a:path>
                            </a:pathLst>
                          </a:custGeom>
                          <a:solidFill>
                            <a:srgbClr val="2F7D41"/>
                          </a:solidFill>
                        </wps:spPr>
                        <wps:bodyPr wrap="square" lIns="0" tIns="0" rIns="0" bIns="0" rtlCol="0">
                          <a:prstTxWarp prst="textNoShape">
                            <a:avLst/>
                          </a:prstTxWarp>
                          <a:noAutofit/>
                        </wps:bodyPr>
                      </wps:wsp>
                      <wps:wsp>
                        <wps:cNvPr id="2069" name="Graphic 2069"/>
                        <wps:cNvSpPr/>
                        <wps:spPr>
                          <a:xfrm>
                            <a:off x="1713807" y="198109"/>
                            <a:ext cx="245110" cy="17780"/>
                          </a:xfrm>
                          <a:custGeom>
                            <a:avLst/>
                            <a:gdLst/>
                            <a:ahLst/>
                            <a:cxnLst/>
                            <a:rect l="l" t="t" r="r" b="b"/>
                            <a:pathLst>
                              <a:path w="245110" h="17780">
                                <a:moveTo>
                                  <a:pt x="244485" y="0"/>
                                </a:moveTo>
                                <a:lnTo>
                                  <a:pt x="0" y="0"/>
                                </a:lnTo>
                                <a:lnTo>
                                  <a:pt x="0" y="17652"/>
                                </a:lnTo>
                                <a:lnTo>
                                  <a:pt x="244485" y="17652"/>
                                </a:lnTo>
                                <a:lnTo>
                                  <a:pt x="244485" y="0"/>
                                </a:lnTo>
                                <a:close/>
                              </a:path>
                            </a:pathLst>
                          </a:custGeom>
                          <a:solidFill>
                            <a:srgbClr val="9CBF3B"/>
                          </a:solidFill>
                        </wps:spPr>
                        <wps:bodyPr wrap="square" lIns="0" tIns="0" rIns="0" bIns="0" rtlCol="0">
                          <a:prstTxWarp prst="textNoShape">
                            <a:avLst/>
                          </a:prstTxWarp>
                          <a:noAutofit/>
                        </wps:bodyPr>
                      </wps:wsp>
                      <wps:wsp>
                        <wps:cNvPr id="2070" name="Graphic 2070"/>
                        <wps:cNvSpPr/>
                        <wps:spPr>
                          <a:xfrm>
                            <a:off x="4099776" y="198109"/>
                            <a:ext cx="245110" cy="17780"/>
                          </a:xfrm>
                          <a:custGeom>
                            <a:avLst/>
                            <a:gdLst/>
                            <a:ahLst/>
                            <a:cxnLst/>
                            <a:rect l="l" t="t" r="r" b="b"/>
                            <a:pathLst>
                              <a:path w="245110" h="17780">
                                <a:moveTo>
                                  <a:pt x="244491" y="0"/>
                                </a:moveTo>
                                <a:lnTo>
                                  <a:pt x="0" y="0"/>
                                </a:lnTo>
                                <a:lnTo>
                                  <a:pt x="0" y="17652"/>
                                </a:lnTo>
                                <a:lnTo>
                                  <a:pt x="244491" y="17652"/>
                                </a:lnTo>
                                <a:lnTo>
                                  <a:pt x="244491" y="0"/>
                                </a:lnTo>
                                <a:close/>
                              </a:path>
                            </a:pathLst>
                          </a:custGeom>
                          <a:solidFill>
                            <a:srgbClr val="B5052D"/>
                          </a:solidFill>
                        </wps:spPr>
                        <wps:bodyPr wrap="square" lIns="0" tIns="0" rIns="0" bIns="0" rtlCol="0">
                          <a:prstTxWarp prst="textNoShape">
                            <a:avLst/>
                          </a:prstTxWarp>
                          <a:noAutofit/>
                        </wps:bodyPr>
                      </wps:wsp>
                      <wps:wsp>
                        <wps:cNvPr id="2071" name="Textbox 2071"/>
                        <wps:cNvSpPr txBox="1"/>
                        <wps:spPr>
                          <a:xfrm>
                            <a:off x="2022400" y="142997"/>
                            <a:ext cx="1950720" cy="102870"/>
                          </a:xfrm>
                          <a:prstGeom prst="rect">
                            <a:avLst/>
                          </a:prstGeom>
                        </wps:spPr>
                        <wps:txbx>
                          <w:txbxContent>
                            <w:p>
                              <w:pPr>
                                <w:tabs>
                                  <w:tab w:pos="732" w:val="left" w:leader="none"/>
                                  <w:tab w:pos="1565" w:val="left" w:leader="none"/>
                                  <w:tab w:pos="2478" w:val="left" w:leader="none"/>
                                </w:tabs>
                                <w:spacing w:line="161" w:lineRule="exact" w:before="0"/>
                                <w:ind w:left="0" w:right="0" w:firstLine="0"/>
                                <w:jc w:val="left"/>
                                <w:rPr>
                                  <w:rFonts w:ascii="Arial MT"/>
                                  <w:sz w:val="14"/>
                                </w:rPr>
                              </w:pPr>
                              <w:r>
                                <w:rPr>
                                  <w:rFonts w:ascii="Arial MT"/>
                                  <w:w w:val="90"/>
                                  <w:sz w:val="14"/>
                                </w:rPr>
                                <w:t>India</w:t>
                              </w:r>
                              <w:r>
                                <w:rPr>
                                  <w:rFonts w:ascii="Arial MT"/>
                                  <w:spacing w:val="58"/>
                                  <w:w w:val="90"/>
                                  <w:sz w:val="14"/>
                                </w:rPr>
                                <w:t> </w:t>
                              </w:r>
                              <w:r>
                                <w:rPr>
                                  <w:sz w:val="14"/>
                                  <w:u w:val="thick" w:color="E3C626"/>
                                </w:rPr>
                                <w:tab/>
                              </w:r>
                              <w:r>
                                <w:rPr>
                                  <w:spacing w:val="40"/>
                                  <w:sz w:val="14"/>
                                </w:rPr>
                                <w:t> </w:t>
                              </w:r>
                              <w:r>
                                <w:rPr>
                                  <w:rFonts w:ascii="Arial MT"/>
                                  <w:w w:val="90"/>
                                  <w:sz w:val="14"/>
                                </w:rPr>
                                <w:t>USA</w:t>
                              </w:r>
                              <w:r>
                                <w:rPr>
                                  <w:rFonts w:ascii="Arial MT"/>
                                  <w:spacing w:val="69"/>
                                  <w:w w:val="90"/>
                                  <w:sz w:val="14"/>
                                </w:rPr>
                                <w:t> </w:t>
                              </w:r>
                              <w:r>
                                <w:rPr>
                                  <w:sz w:val="14"/>
                                  <w:u w:val="thick" w:color="DBA379"/>
                                </w:rPr>
                                <w:tab/>
                              </w:r>
                              <w:r>
                                <w:rPr>
                                  <w:spacing w:val="40"/>
                                  <w:sz w:val="14"/>
                                </w:rPr>
                                <w:t> </w:t>
                              </w:r>
                              <w:r>
                                <w:rPr>
                                  <w:rFonts w:ascii="Arial MT"/>
                                  <w:w w:val="90"/>
                                  <w:sz w:val="14"/>
                                </w:rPr>
                                <w:t>China</w:t>
                              </w:r>
                              <w:r>
                                <w:rPr>
                                  <w:rFonts w:ascii="Arial MT"/>
                                  <w:spacing w:val="96"/>
                                  <w:w w:val="90"/>
                                  <w:sz w:val="14"/>
                                </w:rPr>
                                <w:t> </w:t>
                              </w:r>
                              <w:r>
                                <w:rPr>
                                  <w:sz w:val="14"/>
                                  <w:u w:val="thick" w:color="F2E499"/>
                                </w:rPr>
                                <w:tab/>
                              </w:r>
                              <w:r>
                                <w:rPr>
                                  <w:spacing w:val="28"/>
                                  <w:sz w:val="14"/>
                                </w:rPr>
                                <w:t> </w:t>
                              </w:r>
                              <w:r>
                                <w:rPr>
                                  <w:rFonts w:ascii="Arial MT"/>
                                  <w:w w:val="90"/>
                                  <w:sz w:val="14"/>
                                </w:rPr>
                                <w:t>Germany</w:t>
                              </w:r>
                            </w:p>
                          </w:txbxContent>
                        </wps:txbx>
                        <wps:bodyPr wrap="square" lIns="0" tIns="0" rIns="0" bIns="0" rtlCol="0">
                          <a:noAutofit/>
                        </wps:bodyPr>
                      </wps:wsp>
                      <wps:wsp>
                        <wps:cNvPr id="2072" name="Textbox 2072"/>
                        <wps:cNvSpPr txBox="1"/>
                        <wps:spPr>
                          <a:xfrm>
                            <a:off x="4389400" y="142997"/>
                            <a:ext cx="688340" cy="102870"/>
                          </a:xfrm>
                          <a:prstGeom prst="rect">
                            <a:avLst/>
                          </a:prstGeom>
                        </wps:spPr>
                        <wps:txbx>
                          <w:txbxContent>
                            <w:p>
                              <w:pPr>
                                <w:tabs>
                                  <w:tab w:pos="643" w:val="left" w:leader="none"/>
                                </w:tabs>
                                <w:spacing w:line="161" w:lineRule="exact" w:before="0"/>
                                <w:ind w:left="0" w:right="0" w:firstLine="0"/>
                                <w:jc w:val="left"/>
                                <w:rPr>
                                  <w:rFonts w:ascii="Arial MT"/>
                                  <w:sz w:val="14"/>
                                </w:rPr>
                              </w:pPr>
                              <w:r>
                                <w:rPr>
                                  <w:rFonts w:ascii="Arial MT"/>
                                  <w:w w:val="90"/>
                                  <w:sz w:val="14"/>
                                </w:rPr>
                                <w:t>UK</w:t>
                              </w:r>
                              <w:r>
                                <w:rPr>
                                  <w:rFonts w:ascii="Arial MT"/>
                                  <w:spacing w:val="59"/>
                                  <w:w w:val="90"/>
                                  <w:sz w:val="14"/>
                                </w:rPr>
                                <w:t> </w:t>
                              </w:r>
                              <w:r>
                                <w:rPr>
                                  <w:sz w:val="14"/>
                                  <w:u w:val="thick" w:color="2F7D41"/>
                                </w:rPr>
                                <w:tab/>
                              </w:r>
                              <w:r>
                                <w:rPr>
                                  <w:spacing w:val="34"/>
                                  <w:sz w:val="14"/>
                                </w:rPr>
                                <w:t> </w:t>
                              </w:r>
                              <w:r>
                                <w:rPr>
                                  <w:rFonts w:ascii="Arial MT"/>
                                  <w:w w:val="90"/>
                                  <w:sz w:val="14"/>
                                </w:rPr>
                                <w:t>Japan</w:t>
                              </w:r>
                            </w:p>
                          </w:txbxContent>
                        </wps:txbx>
                        <wps:bodyPr wrap="square" lIns="0" tIns="0" rIns="0" bIns="0" rtlCol="0">
                          <a:noAutofit/>
                        </wps:bodyPr>
                      </wps:wsp>
                      <wps:wsp>
                        <wps:cNvPr id="2073" name="Textbox 2073"/>
                        <wps:cNvSpPr txBox="1"/>
                        <wps:spPr>
                          <a:xfrm>
                            <a:off x="169658" y="576547"/>
                            <a:ext cx="236220" cy="183959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45,000</w:t>
                              </w:r>
                            </w:p>
                            <w:p>
                              <w:pPr>
                                <w:spacing w:before="143"/>
                                <w:ind w:left="0" w:right="18" w:firstLine="0"/>
                                <w:jc w:val="right"/>
                                <w:rPr>
                                  <w:rFonts w:ascii="Arial MT"/>
                                  <w:sz w:val="14"/>
                                </w:rPr>
                              </w:pPr>
                              <w:r>
                                <w:rPr>
                                  <w:rFonts w:ascii="Arial MT"/>
                                  <w:spacing w:val="-2"/>
                                  <w:w w:val="80"/>
                                  <w:sz w:val="14"/>
                                </w:rPr>
                                <w:t>40,000</w:t>
                              </w:r>
                            </w:p>
                            <w:p>
                              <w:pPr>
                                <w:spacing w:before="143"/>
                                <w:ind w:left="0" w:right="18" w:firstLine="0"/>
                                <w:jc w:val="right"/>
                                <w:rPr>
                                  <w:rFonts w:ascii="Arial MT"/>
                                  <w:sz w:val="14"/>
                                </w:rPr>
                              </w:pPr>
                              <w:r>
                                <w:rPr>
                                  <w:rFonts w:ascii="Arial MT"/>
                                  <w:spacing w:val="-2"/>
                                  <w:w w:val="80"/>
                                  <w:sz w:val="14"/>
                                </w:rPr>
                                <w:t>35,000</w:t>
                              </w:r>
                            </w:p>
                            <w:p>
                              <w:pPr>
                                <w:spacing w:before="143"/>
                                <w:ind w:left="0" w:right="18" w:firstLine="0"/>
                                <w:jc w:val="right"/>
                                <w:rPr>
                                  <w:rFonts w:ascii="Arial MT"/>
                                  <w:sz w:val="14"/>
                                </w:rPr>
                              </w:pPr>
                              <w:r>
                                <w:rPr>
                                  <w:rFonts w:ascii="Arial MT"/>
                                  <w:spacing w:val="-2"/>
                                  <w:w w:val="80"/>
                                  <w:sz w:val="14"/>
                                </w:rPr>
                                <w:t>30,000</w:t>
                              </w:r>
                            </w:p>
                            <w:p>
                              <w:pPr>
                                <w:spacing w:before="143"/>
                                <w:ind w:left="0" w:right="18" w:firstLine="0"/>
                                <w:jc w:val="right"/>
                                <w:rPr>
                                  <w:rFonts w:ascii="Arial MT"/>
                                  <w:sz w:val="14"/>
                                </w:rPr>
                              </w:pPr>
                              <w:r>
                                <w:rPr>
                                  <w:rFonts w:ascii="Arial MT"/>
                                  <w:spacing w:val="-2"/>
                                  <w:w w:val="80"/>
                                  <w:sz w:val="14"/>
                                </w:rPr>
                                <w:t>25,000</w:t>
                              </w:r>
                            </w:p>
                            <w:p>
                              <w:pPr>
                                <w:spacing w:before="143"/>
                                <w:ind w:left="0" w:right="18" w:firstLine="0"/>
                                <w:jc w:val="right"/>
                                <w:rPr>
                                  <w:rFonts w:ascii="Arial MT"/>
                                  <w:sz w:val="14"/>
                                </w:rPr>
                              </w:pPr>
                              <w:r>
                                <w:rPr>
                                  <w:rFonts w:ascii="Arial MT"/>
                                  <w:spacing w:val="-2"/>
                                  <w:w w:val="80"/>
                                  <w:sz w:val="14"/>
                                </w:rPr>
                                <w:t>20,000</w:t>
                              </w:r>
                            </w:p>
                            <w:p>
                              <w:pPr>
                                <w:spacing w:before="143"/>
                                <w:ind w:left="0" w:right="18" w:firstLine="0"/>
                                <w:jc w:val="right"/>
                                <w:rPr>
                                  <w:rFonts w:ascii="Arial MT"/>
                                  <w:sz w:val="14"/>
                                </w:rPr>
                              </w:pPr>
                              <w:r>
                                <w:rPr>
                                  <w:rFonts w:ascii="Arial MT"/>
                                  <w:spacing w:val="-2"/>
                                  <w:w w:val="80"/>
                                  <w:sz w:val="14"/>
                                </w:rPr>
                                <w:t>15,000</w:t>
                              </w:r>
                            </w:p>
                            <w:p>
                              <w:pPr>
                                <w:spacing w:before="143"/>
                                <w:ind w:left="0" w:right="18" w:firstLine="0"/>
                                <w:jc w:val="right"/>
                                <w:rPr>
                                  <w:rFonts w:ascii="Arial MT"/>
                                  <w:sz w:val="14"/>
                                </w:rPr>
                              </w:pPr>
                              <w:r>
                                <w:rPr>
                                  <w:rFonts w:ascii="Arial MT"/>
                                  <w:spacing w:val="-2"/>
                                  <w:w w:val="80"/>
                                  <w:sz w:val="14"/>
                                </w:rPr>
                                <w:t>10,000</w:t>
                              </w:r>
                            </w:p>
                            <w:p>
                              <w:pPr>
                                <w:spacing w:before="143"/>
                                <w:ind w:left="0" w:right="18" w:firstLine="0"/>
                                <w:jc w:val="right"/>
                                <w:rPr>
                                  <w:rFonts w:ascii="Arial MT"/>
                                  <w:sz w:val="14"/>
                                </w:rPr>
                              </w:pPr>
                              <w:r>
                                <w:rPr>
                                  <w:rFonts w:ascii="Arial MT"/>
                                  <w:spacing w:val="-2"/>
                                  <w:w w:val="90"/>
                                  <w:sz w:val="14"/>
                                </w:rPr>
                                <w:t>5,000</w:t>
                              </w:r>
                            </w:p>
                            <w:p>
                              <w:pPr>
                                <w:spacing w:before="143"/>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2074" name="Textbox 2074"/>
                        <wps:cNvSpPr txBox="1"/>
                        <wps:spPr>
                          <a:xfrm>
                            <a:off x="581467" y="2413617"/>
                            <a:ext cx="4442460" cy="102235"/>
                          </a:xfrm>
                          <a:prstGeom prst="rect">
                            <a:avLst/>
                          </a:prstGeom>
                        </wps:spPr>
                        <wps:txbx>
                          <w:txbxContent>
                            <w:p>
                              <w:pPr>
                                <w:tabs>
                                  <w:tab w:pos="549" w:val="left" w:leader="none"/>
                                  <w:tab w:pos="1119" w:val="left" w:leader="none"/>
                                  <w:tab w:pos="1659" w:val="left" w:leader="none"/>
                                  <w:tab w:pos="2229" w:val="left" w:leader="none"/>
                                  <w:tab w:pos="2791" w:val="left" w:leader="none"/>
                                  <w:tab w:pos="3355" w:val="left" w:leader="none"/>
                                  <w:tab w:pos="3909" w:val="left" w:leader="none"/>
                                  <w:tab w:pos="4479" w:val="left" w:leader="none"/>
                                  <w:tab w:pos="5039" w:val="left" w:leader="none"/>
                                  <w:tab w:pos="5589" w:val="left" w:leader="none"/>
                                  <w:tab w:pos="6129" w:val="left" w:leader="none"/>
                                  <w:tab w:pos="6719" w:val="left" w:leader="none"/>
                                </w:tabs>
                                <w:spacing w:line="161" w:lineRule="exact" w:before="0"/>
                                <w:ind w:left="0" w:right="0" w:firstLine="0"/>
                                <w:jc w:val="left"/>
                                <w:rPr>
                                  <w:rFonts w:ascii="Arial MT"/>
                                  <w:sz w:val="14"/>
                                </w:rPr>
                              </w:pPr>
                              <w:r>
                                <w:rPr>
                                  <w:rFonts w:ascii="Arial MT"/>
                                  <w:spacing w:val="-4"/>
                                  <w:w w:val="90"/>
                                  <w:sz w:val="14"/>
                                </w:rPr>
                                <w:t>1983</w:t>
                              </w:r>
                              <w:r>
                                <w:rPr>
                                  <w:rFonts w:ascii="Arial MT"/>
                                  <w:sz w:val="14"/>
                                </w:rPr>
                                <w:tab/>
                              </w:r>
                              <w:r>
                                <w:rPr>
                                  <w:rFonts w:ascii="Arial MT"/>
                                  <w:spacing w:val="-4"/>
                                  <w:w w:val="90"/>
                                  <w:sz w:val="14"/>
                                </w:rPr>
                                <w:t>1985</w:t>
                              </w:r>
                              <w:r>
                                <w:rPr>
                                  <w:rFonts w:ascii="Arial MT"/>
                                  <w:sz w:val="14"/>
                                </w:rPr>
                                <w:tab/>
                              </w:r>
                              <w:r>
                                <w:rPr>
                                  <w:rFonts w:ascii="Arial MT"/>
                                  <w:spacing w:val="-4"/>
                                  <w:w w:val="90"/>
                                  <w:sz w:val="14"/>
                                </w:rPr>
                                <w:t>1987</w:t>
                              </w:r>
                              <w:r>
                                <w:rPr>
                                  <w:rFonts w:ascii="Arial MT"/>
                                  <w:sz w:val="14"/>
                                </w:rPr>
                                <w:tab/>
                              </w:r>
                              <w:r>
                                <w:rPr>
                                  <w:rFonts w:ascii="Arial MT"/>
                                  <w:spacing w:val="-4"/>
                                  <w:w w:val="90"/>
                                  <w:sz w:val="14"/>
                                </w:rPr>
                                <w:t>1989</w:t>
                              </w:r>
                              <w:r>
                                <w:rPr>
                                  <w:rFonts w:ascii="Arial MT"/>
                                  <w:sz w:val="14"/>
                                </w:rPr>
                                <w:tab/>
                              </w:r>
                              <w:r>
                                <w:rPr>
                                  <w:rFonts w:ascii="Arial MT"/>
                                  <w:spacing w:val="-4"/>
                                  <w:w w:val="90"/>
                                  <w:sz w:val="14"/>
                                </w:rPr>
                                <w:t>1991</w:t>
                              </w:r>
                              <w:r>
                                <w:rPr>
                                  <w:rFonts w:ascii="Arial MT"/>
                                  <w:sz w:val="14"/>
                                </w:rPr>
                                <w:tab/>
                              </w:r>
                              <w:r>
                                <w:rPr>
                                  <w:rFonts w:ascii="Arial MT"/>
                                  <w:spacing w:val="-4"/>
                                  <w:w w:val="90"/>
                                  <w:sz w:val="14"/>
                                </w:rPr>
                                <w:t>1993</w:t>
                              </w:r>
                              <w:r>
                                <w:rPr>
                                  <w:rFonts w:ascii="Arial MT"/>
                                  <w:sz w:val="14"/>
                                </w:rPr>
                                <w:tab/>
                              </w:r>
                              <w:r>
                                <w:rPr>
                                  <w:rFonts w:ascii="Arial MT"/>
                                  <w:spacing w:val="-4"/>
                                  <w:w w:val="90"/>
                                  <w:sz w:val="14"/>
                                </w:rPr>
                                <w:t>1995</w:t>
                              </w:r>
                              <w:r>
                                <w:rPr>
                                  <w:rFonts w:ascii="Arial MT"/>
                                  <w:sz w:val="14"/>
                                </w:rPr>
                                <w:tab/>
                              </w:r>
                              <w:r>
                                <w:rPr>
                                  <w:rFonts w:ascii="Arial MT"/>
                                  <w:spacing w:val="-4"/>
                                  <w:w w:val="90"/>
                                  <w:sz w:val="14"/>
                                </w:rPr>
                                <w:t>1997</w:t>
                              </w:r>
                              <w:r>
                                <w:rPr>
                                  <w:rFonts w:ascii="Arial MT"/>
                                  <w:sz w:val="14"/>
                                </w:rPr>
                                <w:tab/>
                              </w:r>
                              <w:r>
                                <w:rPr>
                                  <w:rFonts w:ascii="Arial MT"/>
                                  <w:spacing w:val="-4"/>
                                  <w:w w:val="90"/>
                                  <w:sz w:val="14"/>
                                </w:rPr>
                                <w:t>1999</w:t>
                              </w:r>
                              <w:r>
                                <w:rPr>
                                  <w:rFonts w:ascii="Arial MT"/>
                                  <w:sz w:val="14"/>
                                </w:rPr>
                                <w:tab/>
                              </w:r>
                              <w:r>
                                <w:rPr>
                                  <w:rFonts w:ascii="Arial MT"/>
                                  <w:spacing w:val="-4"/>
                                  <w:w w:val="85"/>
                                  <w:sz w:val="14"/>
                                </w:rPr>
                                <w:t>2000</w:t>
                              </w:r>
                              <w:r>
                                <w:rPr>
                                  <w:rFonts w:ascii="Arial MT"/>
                                  <w:sz w:val="14"/>
                                </w:rPr>
                                <w:tab/>
                              </w:r>
                              <w:r>
                                <w:rPr>
                                  <w:rFonts w:ascii="Arial MT"/>
                                  <w:spacing w:val="-4"/>
                                  <w:w w:val="90"/>
                                  <w:sz w:val="14"/>
                                </w:rPr>
                                <w:t>2001</w:t>
                              </w:r>
                              <w:r>
                                <w:rPr>
                                  <w:rFonts w:ascii="Arial MT"/>
                                  <w:sz w:val="14"/>
                                </w:rPr>
                                <w:tab/>
                              </w:r>
                              <w:r>
                                <w:rPr>
                                  <w:rFonts w:ascii="Arial MT"/>
                                  <w:spacing w:val="-4"/>
                                  <w:w w:val="90"/>
                                  <w:sz w:val="14"/>
                                </w:rPr>
                                <w:t>2002</w:t>
                              </w:r>
                              <w:r>
                                <w:rPr>
                                  <w:rFonts w:ascii="Arial MT"/>
                                  <w:sz w:val="14"/>
                                </w:rPr>
                                <w:tab/>
                              </w:r>
                              <w:r>
                                <w:rPr>
                                  <w:rFonts w:ascii="Arial MT"/>
                                  <w:spacing w:val="-4"/>
                                  <w:w w:val="85"/>
                                  <w:sz w:val="14"/>
                                </w:rPr>
                                <w:t>2003</w:t>
                              </w:r>
                            </w:p>
                          </w:txbxContent>
                        </wps:txbx>
                        <wps:bodyPr wrap="square" lIns="0" tIns="0" rIns="0" bIns="0" rtlCol="0">
                          <a:noAutofit/>
                        </wps:bodyPr>
                      </wps:wsp>
                    </wpg:wgp>
                  </a:graphicData>
                </a:graphic>
              </wp:anchor>
            </w:drawing>
          </mc:Choice>
          <mc:Fallback>
            <w:pict>
              <v:group style="position:absolute;margin-left:91.68898pt;margin-top:6.903125pt;width:414pt;height:207pt;mso-position-horizontal-relative:page;mso-position-vertical-relative:paragraph;z-index:-15591424;mso-wrap-distance-left:0;mso-wrap-distance-right:0" id="docshapegroup2046" coordorigin="1834,138" coordsize="8280,4140">
                <v:shape style="position:absolute;left:1833;top:138;width:8280;height:4140" id="docshape2047" coordorigin="1834,138" coordsize="8280,4140" path="m9857,3867l9847,3867,9301,3867,9291,3867,8746,3867,8736,3867,8190,3867,8180,3867,7621,3867,7611,3867,7066,3867,7056,3867,6510,3867,6500,3867,5954,3867,5944,3867,5398,3867,5388,3867,4843,3867,4833,3867,4274,3867,4264,3867,3718,3867,3708,3867,3163,3867,3153,3867,3153,3866,2607,3866,2607,3866,2607,3866,2607,3866,2607,3866,2607,3572,2607,3572,2607,3562,2607,3562,2607,3562,2607,3562,2607,3256,2607,3256,2607,3256,2607,3256,2607,3246,2607,3246,2607,2952,2607,2952,2607,2952,2607,2952,2607,2942,2607,2942,2607,2648,2607,2648,2607,2638,2607,2638,2607,2638,2607,2638,2607,2332,2607,2332,2607,2322,2607,2322,2607,2028,2607,2028,2607,2018,2607,2018,2607,1724,2607,1724,2607,1714,2607,1714,2607,1406,2607,1406,2607,1396,2607,1396,2607,1104,2607,1104,2607,1094,2597,1094,2597,1104,2597,1396,2597,1406,2597,1714,2597,1724,2597,2018,2597,2028,2597,2321,2517,2321,2517,2331,2597,2331,2597,2332,2597,2638,2597,2638,2517,2638,2517,2648,2597,2648,2597,2942,2517,2942,2517,2952,2597,2952,2597,2952,2597,3246,2517,3246,2517,3256,2597,3256,2597,3256,2597,3562,2597,3562,2517,3562,2517,3572,2597,3572,2597,3866,2597,3866,2517,3866,2517,3876,2597,3876,2597,3956,2607,3956,2607,3876,2607,3876,3153,3876,3153,3956,3163,3956,3163,3876,3708,3876,3708,3956,3718,3956,3718,3876,4264,3876,4264,3956,4274,3956,4274,3876,4833,3876,4833,3956,4843,3956,4843,3876,5388,3876,5388,3956,5398,3956,5398,3876,5944,3876,5944,3956,5954,3956,5954,3876,6500,3876,6500,3956,6510,3956,6510,3876,7056,3876,7056,3956,7066,3956,7066,3876,7611,3876,7611,3956,7621,3956,7621,3876,8180,3876,8180,3956,8190,3956,8190,3876,8736,3876,8736,3956,8746,3956,8746,3876,9291,3876,9291,3956,9301,3956,9301,3876,9847,3876,9847,3956,9857,3956,9857,3867xm10114,138l10104,138,10104,149,10104,4268,10104,4269,10104,4274,10104,4274,1839,4274,1839,4274,1844,4274,10104,4274,10104,4269,1844,4269,1839,4269,1839,4268,1844,4268,1844,149,10104,149,10104,138,1834,138,1834,144,1834,148,1834,4268,1834,4274,1834,4278,10114,4278,10114,4274,10109,4274,10109,4274,10114,4274,10114,4269,10109,4269,10109,4268,10114,4268,10114,149,10114,148,10114,144,10114,144,10114,138xe" filled="true" fillcolor="#000000" stroked="false">
                  <v:path arrowok="t"/>
                  <v:fill type="solid"/>
                </v:shape>
                <v:shape style="position:absolute;left:2517;top:1093;width:90;height:1238" id="docshape2048" coordorigin="2517,1093" coordsize="90,1238" path="m2597,2321l2517,2321,2517,2331,2597,2331,2597,2321xm2597,2017l2517,2017,2517,2027,2597,2027,2597,2017xm2597,1714l2517,1714,2517,1724,2597,1724,2597,1714xm2597,1397l2517,1397,2517,1407,2597,1407,2597,1397xm2597,1093l2517,1093,2517,1103,2597,1103,2597,1093xm2607,2321l2607,2321,2607,2331,2607,2331,2607,2321xm2607,2017l2607,2017,2607,2027,2607,2027,2607,2017xm2607,1714l2607,1714,2607,1724,2607,1724,2607,1714xm2607,1397l2607,1397,2607,1407,2607,1407,2607,1397xm2607,1093l2607,1093,2607,1103,2607,1103,2607,1093xe" filled="true" fillcolor="#000000" stroked="false">
                  <v:path arrowok="t"/>
                  <v:fill type="solid"/>
                </v:shape>
                <v:shape style="position:absolute;left:2864;top:3009;width:6726;height:468" id="docshape2049" coordorigin="2865,3010" coordsize="6726,468" path="m3421,3396l2865,3449,2867,3477,3436,3423,3421,3423,3421,3396xm3990,3395l3976,3396,3978,3424,3992,3423,3992,3423,4005,3422,4005,3395,3990,3395xm3448,3394l3421,3396,3421,3423,3435,3423,3435,3423,3436,3423,3451,3421,3448,3394xm3713,3395l3448,3395,3451,3421,3436,3423,3978,3423,3976,3396,3990,3395,3713,3395xm4005,3422l3992,3423,3992,3423,3992,3423,4005,3423,4005,3422xm4430,3382l4135,3382,3990,3395,4005,3395,4005,3422,4270,3396,4270,3396,4430,3382xm3435,3395l3421,3395,3421,3396,3435,3395xm4546,3343l4267,3369,4135,3382,4135,3382,4430,3382,4561,3370,4546,3370,4546,3343xm5115,3342l5100,3344,5103,3371,5117,3370,5117,3370,5130,3369,5130,3342,5115,3342xm4573,3341l4546,3343,4546,3370,4560,3370,4560,3370,4561,3370,4575,3369,4573,3341xm4838,3342l4573,3342,4575,3369,4561,3370,5103,3370,5100,3344,5115,3342,4838,3342xm5130,3369l5117,3370,5117,3370,5116,3370,5130,3370,5130,3369xm5657,3303l5392,3316,5115,3342,5130,3342,5130,3369,5394,3344,5394,3344,5393,3330,5657,3330,5657,3303xm5393,3330l5394,3344,5395,3344,5393,3330xm5657,3330l5393,3330,5395,3344,5394,3344,5672,3330,5657,3330,5657,3330xm4559,3342l4546,3342,4546,3343,4559,3342xm6226,3303l6212,3304,6215,3332,6228,3330,6228,3330,6241,3329,6241,3303,6226,3303xm5685,3302l5657,3303,5657,3330,5671,3330,5686,3330,5685,3302xm6081,3303l5685,3303,5686,3330,5672,3330,6214,3330,6212,3304,6226,3303,6081,3303xm6241,3329l6228,3330,6228,3330,6228,3330,6241,3330,6241,3329xm6357,3290l6226,3303,6241,3303,6241,3329,6361,3317,6437,3303,6359,3303,6357,3290,6357,3290xm6358,3289l6357,3290,6357,3290,6359,3303,6358,3289xm6513,3289l6358,3289,6359,3303,6437,3303,6508,3291,6513,3289xm5671,3303l5657,3303,5657,3303,5671,3303xm6502,3263l6357,3290,6358,3289,6513,3289,6576,3277,6505,3277,6502,3264,6502,3263xm6502,3263l6502,3264,6505,3277,6502,3263xm6639,3263l6502,3263,6505,3277,6576,3277,6640,3264,6639,3263xm6637,3250l6640,3264,6640,3264,6640,3263,6637,3250xm6715,3250l6637,3250,6640,3263,6640,3264,6715,3250xm6768,3213l6634,3237,6502,3263,6502,3263,6639,3263,6637,3250,6715,3250,6780,3239,6769,3239,6768,3213xm6794,3210l6781,3210,6768,3213,6769,3239,6783,3238,6783,3238,6784,3238,6799,3235,6794,3210xm6784,3238l6783,3238,6783,3238,6769,3239,6780,3239,6784,3238xm7324,3184l6794,3210,6799,3235,6784,3238,7325,3212,7324,3184xm6781,3210l6768,3211,6768,3213,6781,3210xm7352,3183l7324,3184,7325,3212,7353,3211,7353,3208,7352,3183xm7881,3183l7352,3183,7353,3211,7881,3186,7881,3183xm6794,3208l6781,3210,6794,3210,6794,3208xm8463,3144l8171,3144,7907,3157,7907,3158,7909,3185,7881,3186,7895,3185,7895,3185,8172,3172,8172,3172,8172,3158,8449,3158,8448,3145,8463,3144xm7907,3157l7879,3158,7881,3186,7909,3185,7907,3157xm7879,3158l7324,3184,7352,3183,7881,3183,7879,3158xm8477,3144l8463,3144,8448,3145,8450,3173,8464,3172,8464,3172,8477,3171,8477,3144xm8172,3158l8172,3172,8173,3172,8173,3171,8172,3158xm8449,3158l8172,3158,8173,3171,8173,3172,8172,3172,8450,3172,8449,3158xm8477,3171l8464,3172,8464,3172,8463,3172,8477,3172,8477,3171xm9007,3144l8477,3144,8477,3171,9007,3146,9007,3144xm9020,3146l9007,3146,9008,3148,9020,3146xm9032,3117l9017,3118,9002,3121,9007,3146,9020,3146,9021,3145,9021,3145,9033,3143,9032,3117xm9033,3143l9021,3145,9021,3145,9020,3146,9033,3145,9033,3143xm9017,3118l8463,3144,9007,3144,9002,3121,9017,3118xm9153,3117l9032,3117,9033,3143,9153,3119,9153,3117xm9151,3105l9153,3119,9154,3119,9151,3105xm9229,3105l9151,3105,9153,3118,9154,3119,9229,3105xm9443,3065l9294,3065,9148,3092,9017,3118,9032,3117,9153,3117,9151,3105,9229,3105,9443,3065xm9585,3010l9294,3065,9294,3065,9443,3065,9591,3037,9585,3010xe" filled="true" fillcolor="#9cbf3b" stroked="false">
                  <v:path arrowok="t"/>
                  <v:fill type="solid"/>
                </v:shape>
                <v:shape style="position:absolute;left:2865;top:1228;width:6725;height:731" id="docshape2050" coordorigin="2866,1228" coordsize="6725,731" path="m3435,1929l3420,1931,3423,1958,3449,1956,3449,1929,3435,1929xm3158,1929l2866,1929,2866,1957,2880,1957,2880,1957,3423,1957,3420,1931,3435,1929,3158,1929xm3449,1956l3436,1957,3449,1957,3449,1956xm3712,1903l3435,1929,3449,1929,3449,1956,3715,1931,3812,1917,3713,1917,3711,1903,3712,1903xm3712,1903l3711,1903,3713,1917,3712,1903xm3909,1903l3712,1903,3713,1917,3812,1917,3909,1903xm3989,1864l3712,1903,3712,1903,3909,1903,3980,1893,3975,1866,3989,1864xm3993,1891l3980,1893,3980,1893,3993,1891xm4003,1861l3989,1864,3975,1866,3980,1893,3994,1891,3994,1891,4007,1888,4003,1861xm4007,1888l3994,1891,3994,1891,3993,1891,4007,1889,4007,1888xm4148,1861l4003,1861,4007,1888,4148,1861xm4266,1811l3989,1864,4003,1861,4148,1861,4272,1838,4332,1824,4269,1824,4266,1811,4266,1811xm4266,1811l4266,1811,4269,1824,4266,1811xm4392,1811l4266,1811,4269,1824,4332,1824,4392,1811xm4557,1745l4266,1811,4266,1811,4392,1811,4550,1775,4543,1749,4557,1745xm4563,1772l4550,1775,4550,1775,4563,1772xm4570,1742l4557,1745,4543,1749,4550,1775,4563,1772,4576,1768,4570,1742xm4576,1768l4563,1772,4577,1769,4576,1768xm4674,1742l4570,1742,4576,1768,4674,1742xm4701,1706l4557,1745,4570,1742,4674,1742,4710,1732,4743,1719,4706,1719,4700,1706,4701,1706xm4702,1705l4701,1706,4700,1706,4706,1719,4702,1705xm4777,1705l4702,1705,4706,1719,4743,1719,4777,1705xm4978,1600l4833,1653,4701,1706,4702,1705,4777,1705,4843,1679,4838,1666,4879,1666,4989,1626,5021,1613,4983,1613,4978,1600,4978,1600xm4838,1666l4843,1679,4843,1679,4838,1666xm4879,1666l4838,1666,4843,1679,4843,1679,4879,1666xm4979,1600l4978,1600,4983,1613,4979,1600xm5054,1600l4979,1600,4983,1613,5021,1613,5054,1600xm5099,1552l4978,1600,4979,1600,5054,1600,5110,1577,5106,1577,5099,1552xm5124,1543l5111,1547,5099,1552,5106,1577,5120,1573,5134,1568,5124,1543xm5120,1573l5106,1577,5110,1577,5120,1573xm5655,1405l5390,1468,5124,1543,5134,1568,5120,1573,5397,1495,5397,1495,5393,1481,5454,1481,5661,1432,5655,1405xm5111,1547l5098,1551,5099,1552,5111,1547xm5123,1542l5111,1547,5124,1543,5123,1542xm5393,1481l5397,1495,5397,1494,5393,1481xm5454,1481l5393,1481,5397,1494,5397,1495,5454,1481xm5682,1398l5655,1405,5661,1432,5688,1425,5682,1398xm9005,1401l9005,1429,9019,1429,9019,1429,9033,1429,9033,1401,9005,1401xm8739,1402l8885,1429,9005,1429,9005,1415,8886,1415,8886,1402,8739,1402,8739,1402xm9150,1401l9005,1401,9033,1401,9033,1429,9152,1429,9298,1416,9302,1415,9151,1415,9150,1401,9150,1401xm5802,1398l5682,1398,5688,1425,5802,1398xm8888,1401l8886,1401,8886,1415,8889,1401,8888,1401xm8888,1401l8889,1401,8886,1415,9005,1415,9005,1401,8888,1401xm9295,1388l9150,1401,9151,1415,9151,1401,9296,1401,9295,1388,9295,1388xm9296,1401l9151,1401,9151,1415,9302,1415,9395,1402,9296,1402,9296,1401xm6211,1285l5946,1336,5655,1405,5682,1398,5802,1398,5952,1363,5952,1363,5949,1349,6024,1349,6219,1312,6215,1312,6211,1285xm8741,1389l8738,1402,8739,1402,8739,1402,8741,1389xm8819,1389l8741,1389,8739,1402,8886,1402,8886,1401,8888,1401,8819,1389xm8462,1376l8739,1402,8738,1402,8741,1389,8819,1389,8756,1377,8476,1377,8462,1376xm9295,1388l9295,1388,9296,1402,9295,1388xm9492,1388l9295,1388,9296,1402,9395,1402,9492,1388xm9586,1347l9295,1388,9295,1388,9492,1388,9590,1374,9586,1347xm8476,1376l8462,1376,8476,1377,8476,1376xm8478,1350l8476,1377,8756,1377,8743,1375,8478,1350xm8450,1347l8448,1375,8462,1376,8462,1376,8476,1376,8478,1351,8478,1350,8450,1347xm8326,1336l8172,1336,8171,1350,8462,1376,8448,1375,8450,1347,8326,1336xm5949,1349l5952,1363,5952,1363,5949,1349xm6024,1349l5949,1349,5952,1363,5952,1363,6024,1349xm7339,1322l7324,1322,7324,1349,7351,1351,7351,1350,7338,1350,7338,1350,7351,1350,7353,1323,7339,1322xm7324,1349l7324,1350,7338,1350,7324,1349xm7615,1322l7339,1322,7353,1323,7351,1350,7617,1350,7749,1337,7748,1337,7748,1336,7616,1336,7615,1322,7615,1322xm8171,1350l8171,1350,8171,1350,8171,1350xm8172,1336l8171,1350,8171,1350,8172,1336xm8464,1348l8478,1350,8478,1350,8464,1348xm7908,1337l7893,1337,8171,1350,8171,1350,8172,1337,7908,1337,7908,1337xm7057,1297l7190,1336,7324,1349,7324,1323,7193,1323,7194,1309,7195,1309,7155,1297,7058,1297,7057,1297xm8450,1347l8450,1347,8464,1348,8450,1347xm7748,1323l7748,1337,7749,1337,7750,1336,7748,1323xm7880,1323l7748,1323,7750,1336,7749,1337,7894,1337,7879,1336,7880,1323xm7908,1309l7908,1337,8172,1337,8172,1336,8326,1336,8173,1322,7908,1309xm7881,1309l7879,1336,7893,1337,7893,1337,7908,1337,7908,1309,7894,1309,7881,1309xm7893,1337l7893,1337,7893,1337,7893,1337xm7748,1309l7748,1309,7615,1322,7616,1336,7616,1322,7880,1322,7881,1309,7748,1309xm7880,1322l7616,1322,7616,1336,7748,1336,7748,1323,7880,1323,7880,1322xm7194,1309l7193,1323,7197,1309,7195,1309,7194,1309xm7195,1309l7197,1309,7193,1323,7324,1323,7324,1322,7339,1322,7195,1309xm6238,1281l6225,1282,6211,1285,6215,1312,6229,1310,6229,1310,6243,1307,6238,1281xm6229,1310l6229,1310,6229,1310,6215,1312,6219,1312,6229,1310xm6637,1229l6636,1229,6503,1243,6238,1281,6243,1307,6229,1310,6506,1270,6506,1270,6505,1257,6637,1257,6637,1243,6769,1243,6770,1229,6637,1229xm7894,1309l7908,1309,7908,1309,7894,1309xm7195,1309l7194,1309,7195,1309,7195,1309xm7881,1308l7881,1309,7894,1309,7881,1308xm7061,1283l7057,1296,7057,1297,7058,1297,7061,1283xm7109,1283l7061,1283,7058,1297,7155,1297,7109,1283xm6913,1270l7057,1297,7057,1296,7061,1283,7109,1283,7067,1270,6914,1270,6913,1270xm6225,1282l6211,1284,6211,1285,6225,1282xm6238,1280l6225,1282,6238,1281,6238,1280xm6505,1257l6506,1270,6507,1270,6507,1269,6505,1257xm6915,1257l6913,1270,6913,1270,6914,1270,6915,1257xm6993,1257l6915,1257,6914,1270,7067,1270,7064,1269,6993,1257xm6637,1257l6505,1257,6507,1269,6507,1270,6507,1270,6638,1257,6637,1257,6637,1257xm6797,1257l6781,1257,6913,1270,6913,1270,6915,1257,6797,1257,6797,1257xm6637,1243l6637,1257,6638,1257,6639,1257,6637,1243xm6769,1243l6637,1243,6639,1257,6638,1257,6782,1257,6767,1256,6769,1243xm6797,1231l6797,1257,6915,1257,6915,1257,6993,1257,6917,1243,6797,1231xm6770,1229l6767,1256,6781,1257,6781,1257,6797,1257,6797,1231,6783,1229,6770,1229xm6781,1257l6781,1257,6781,1257,6781,1257xm6783,1229l6797,1231,6797,1229,6783,1229xm6770,1228l6770,1229,6783,1229,6770,1228xe" filled="true" fillcolor="#e3c626" stroked="false">
                  <v:path arrowok="t"/>
                  <v:fill type="solid"/>
                </v:shape>
                <v:shape style="position:absolute;left:2865;top:3089;width:5613;height:796" id="docshape2051" coordorigin="2865,3090" coordsize="5613,796" path="m3435,3844l2865,3858,2866,3885,3422,3872,3421,3845,3435,3844xm3436,3872l3422,3872,3422,3872,3436,3872xm3449,3844l3435,3844,3421,3845,3422,3872,3436,3872,3450,3871,3449,3844xm3450,3871l3436,3872,3450,3872,3450,3871xm3979,3844l3449,3844,3450,3871,3979,3846,3979,3844xm3992,3845l3979,3846,3979,3847,3992,3845xm4004,3817l3990,3818,3975,3820,3979,3846,3992,3845,3993,3845,3993,3845,4006,3844,4004,3817xm4006,3844l3993,3845,3993,3845,3992,3845,4006,3845,4006,3844xm3990,3818l3435,3844,3449,3844,3979,3844,3975,3820,3990,3818xm4192,3817l4004,3817,4006,3844,4192,3817xm4545,3740l4355,3766,4074,3806,3990,3818,4004,3817,4192,3817,4271,3806,4271,3806,4552,3767,4547,3767,4545,3740xm4572,3737l4558,3738,4545,3740,4547,3767,4561,3766,4561,3766,4576,3764,4572,3737xm4562,3766l4561,3766,4561,3766,4547,3767,4552,3767,4562,3766xm5102,3699l4836,3712,4572,3737,4576,3764,4562,3766,4839,3740,4838,3740,4838,3726,5102,3726,5102,3699xm5670,3725l5655,3728,5660,3755,5685,3750,5685,3725,5670,3725xm5657,3740l5392,3740,5392,3740,5392,3740,5525,3753,5660,3753,5657,3740xm5685,3750l5673,3753,5685,3753,5685,3750xm5946,3673l5801,3699,5670,3725,5685,3725,5685,3750,5806,3726,5804,3713,5881,3713,5952,3700,6000,3686,5949,3686,5945,3673,5946,3673xm4558,3738l4545,3740,4545,3740,4558,3738xm4838,3726l4838,3740,4839,3740,4839,3737,4838,3726xm5102,3726l4838,3726,4839,3737,4839,3740,4839,3740,5116,3727,5102,3727,5102,3726xm5392,3740l5392,3740,5392,3740,5392,3740xm5248,3713l5247,3727,5392,3740,5392,3740,5657,3740,5657,3739,5526,3739,5526,3727,5248,3727,5248,3713xm5526,3725l5526,3725,5526,3739,5527,3725,5526,3725xm5526,3725l5527,3725,5526,3739,5657,3739,5655,3728,5670,3725,5526,3725xm4572,3737l4558,3738,4572,3737,4572,3737xm5129,3698l5102,3699,5102,3727,5116,3727,5130,3726,5129,3698xm5249,3699l5129,3699,5130,3726,5116,3727,5247,3727,5247,3727,5248,3713,5401,3713,5395,3712,5249,3699xm5401,3713l5248,3713,5248,3727,5526,3727,5526,3725,5526,3725,5401,3713xm5804,3713l5806,3726,5806,3726,5806,3725,5804,3713xm5881,3713l5804,3713,5806,3725,5806,3726,5881,3713xm5115,3699l5102,3699,5102,3699,5115,3699xm5947,3673l5946,3673,5945,3673,5949,3686,5947,3673xm6048,3673l5947,3673,5949,3686,6000,3686,6048,3673xm6210,3597l5946,3673,5947,3673,6048,3673,6217,3624,6210,3597xm6232,3620l6217,3624,6231,3620,6231,3620,6232,3620xm6237,3590l6210,3597,6217,3624,6244,3617,6237,3590xm6338,3590l6237,3590,6244,3617,6338,3590xm6778,3435l6210,3597,6237,3590,6338,3590,6774,3465,6765,3441,6778,3435xm6787,3462l6774,3465,6775,3467,6787,3462xm6792,3431l6778,3435,6765,3441,6774,3465,6787,3462,6788,3461,6788,3461,6799,3457,6792,3431xm6799,3457l6788,3461,6788,3461,6787,3462,6800,3458,6799,3457xm6863,3431l6792,3431,6799,3457,6863,3431xm7056,3330l6910,3383,6778,3435,6792,3431,6863,3431,6920,3409,6915,3396,6956,3396,7066,3356,7098,3343,7061,3343,7055,3330,7056,3330xm6915,3396l6920,3409,6920,3409,6915,3396xm6956,3396l6915,3396,6920,3409,6920,3409,6956,3396xm7056,3330l7055,3330,7061,3343,7056,3330xm7131,3330l7056,3330,7061,3343,7098,3343,7131,3330xm7322,3240l7188,3277,7056,3330,7056,3330,7131,3330,7197,3304,7196,3304,7193,3290,7246,3290,7331,3267,7327,3267,7322,3240xm7193,3290l7196,3304,7197,3303,7198,3303,7193,3290xm7197,3303l7196,3304,7197,3304,7197,3303xm7246,3290l7193,3290,7198,3303,7197,3303,7246,3290xm7348,3234l7335,3237,7322,3240,7327,3267,7341,3264,7341,3264,7342,3264,7355,3260,7348,3234xm7342,3264l7341,3264,7341,3264,7327,3267,7331,3267,7342,3264xm7892,3157l7614,3184,7468,3210,7348,3234,7355,3260,7342,3264,7473,3238,7471,3224,7549,3224,7618,3212,7618,3212,7616,3198,7763,3198,7882,3186,7879,3159,7892,3157xm7335,3237l7322,3240,7322,3240,7335,3237xm7471,3224l7473,3238,7473,3238,7473,3237,7471,3224xm7549,3224l7471,3224,7473,3237,7473,3238,7549,3224xm7348,3233l7335,3237,7348,3234,7348,3233xm7616,3198l7618,3212,7618,3211,7619,3211,7616,3198xm7618,3211l7618,3212,7618,3212,7618,3211xm7763,3198l7616,3198,7619,3211,7618,3211,7763,3198xm7895,3185l7882,3186,7882,3187,7895,3185xm7907,3156l7892,3157,7879,3159,7882,3186,7895,3185,7909,3184,7907,3156xm7909,3184l7895,3185,7909,3184,7909,3184xm8145,3156l7907,3156,7909,3184,8145,3156xm8475,3090l7892,3157,7907,3156,8145,3156,8478,3117,8475,3090xe" filled="true" fillcolor="#dba379" stroked="false">
                  <v:path arrowok="t"/>
                  <v:fill type="solid"/>
                </v:shape>
                <v:shape style="position:absolute;left:2863;top:2324;width:6725;height:718" id="docshape2052" coordorigin="2864,2324" coordsize="6725,718" path="m3420,2935l2864,3014,2868,3042,3428,2962,3423,2962,3420,2935xm3447,2932l3434,2933,3420,2935,3423,2962,3437,2961,3451,2959,3447,2932xm3437,2961l3423,2962,3428,2962,3437,2961xm3712,2907l3447,2932,3451,2959,3437,2961,3715,2934,3812,2920,3713,2920,3711,2907,3712,2907xm3434,2933l3420,2934,3420,2935,3434,2933xm3447,2931l3434,2933,3447,2932,3447,2931xm3712,2907l3711,2907,3713,2920,3712,2907xm3909,2907l3712,2907,3713,2920,3812,2920,3909,2907xm3975,2869l3712,2907,3712,2907,3909,2907,3979,2897,3975,2869xm4200,2865l4003,2865,4007,2893,3979,2897,3993,2895,3993,2895,4200,2865xm4003,2865l3975,2869,3979,2897,4007,2893,4003,2865xm4266,2828l3975,2869,4003,2865,4200,2865,4272,2855,4322,2841,4269,2841,4265,2828,4266,2828xm4267,2827l4266,2828,4265,2828,4269,2841,4267,2827xm4372,2827l4267,2827,4269,2841,4322,2841,4372,2827xm4555,2749l4266,2828,4267,2827,4372,2827,4552,2778,4542,2755,4555,2749xm4565,2775l4552,2778,4553,2780,4565,2775xm4570,2745l4555,2749,4542,2755,4552,2778,4565,2775,4576,2770,4570,2745xm4576,2770l4565,2775,4577,2772,4576,2770xm4631,2745l4570,2745,4576,2770,4631,2745xm4699,2684l4555,2749,4570,2745,4631,2745,4712,2708,4733,2696,4706,2696,4698,2684,4699,2684xm4700,2683l4699,2684,4698,2684,4706,2696,4700,2683xm4754,2683l4700,2683,4706,2696,4733,2696,4754,2683xm5100,2476l4977,2525,4831,2605,4699,2684,4700,2683,4754,2683,4844,2629,4838,2617,4867,2617,4989,2550,4989,2550,4983,2537,5021,2537,5112,2501,5105,2501,5100,2476xm4838,2617l4844,2629,4845,2629,4838,2617xm4867,2617l4838,2617,4845,2629,4845,2629,4867,2617xm4983,2537l4989,2550,4989,2550,4990,2550,4983,2537xm4989,2550l4989,2550,4989,2550,4989,2550xm5021,2537l4983,2537,4990,2550,4989,2550,5021,2537xm5672,2497l5657,2497,5657,2524,5684,2526,5684,2525,5671,2525,5671,2525,5684,2525,5686,2498,5672,2497xm5657,2524l5657,2525,5671,2525,5657,2524xm6081,2497l5672,2497,5686,2498,5684,2525,6082,2525,6216,2513,6215,2511,6081,2511,6080,2497,6081,2497xm5657,2498l5392,2498,5392,2498,5392,2498,5522,2511,5657,2524,5657,2498xm6229,2512l6216,2513,6216,2514,6229,2512xm6240,2483l6225,2484,6211,2487,6216,2513,6229,2512,6230,2511,6230,2511,6242,2509,6240,2483xm6242,2509l6230,2511,6230,2511,6229,2512,6242,2510,6242,2509xm6225,2484l6080,2497,6081,2511,6081,2497,6213,2497,6211,2487,6225,2484xm6213,2497l6081,2497,6081,2511,6215,2511,6213,2497xm6361,2483l6240,2483,6242,2509,6362,2485,6361,2483xm5124,2469l5112,2471,5100,2476,5105,2501,5118,2498,5118,2498,5120,2498,5134,2492,5124,2469xm5120,2498l5118,2498,5118,2498,5105,2501,5112,2501,5120,2498xm5392,2498l5392,2498,5392,2498,5392,2498xm5248,2471l5247,2485,5392,2498,5392,2498,5657,2498,5657,2497,5672,2497,5542,2485,5248,2485,5248,2471xm5249,2458l5180,2458,5124,2469,5134,2492,5120,2498,5183,2485,5182,2485,5182,2471,5401,2471,5249,2458xm5182,2471l5182,2485,5183,2485,5184,2485,5184,2484,5182,2471xm5248,2471l5182,2471,5184,2484,5184,2485,5183,2485,5247,2485,5247,2485,5248,2471xm5401,2471l5248,2471,5248,2485,5542,2485,5527,2484,5401,2471xm6359,2471l6362,2485,6362,2485,6362,2484,6359,2471xm6437,2471l6359,2471,6362,2484,6362,2485,6437,2471xm6502,2431l6357,2458,6225,2484,6240,2483,6361,2483,6359,2471,6437,2471,6508,2459,6553,2445,6505,2445,6501,2432,6502,2431xm5527,2484l5527,2484,5527,2484,5527,2484xm5527,2484l5527,2484,5527,2484,5527,2484xm5112,2471l5099,2474,5100,2476,5112,2471xm5123,2467l5112,2471,5124,2469,5123,2467xm9020,2392l9034,2394,9031,2420,9296,2446,9588,2460,9589,2432,9296,2432,9297,2418,9297,2418,9020,2392xm6502,2431l6502,2431,6501,2432,6505,2445,6502,2431xm6599,2431l6502,2431,6505,2445,6553,2445,6599,2431xm9297,2418l9296,2432,9298,2418,9297,2418xm9297,2418l9298,2418,9296,2432,9589,2432,9589,2432,9297,2418xm6768,2368l6634,2392,6502,2431,6502,2431,6599,2431,6640,2419,6640,2419,6637,2405,6715,2405,6777,2394,6770,2394,6768,2368xm9017,2419l9017,2419,9030,2421,9031,2420,9017,2419xm9031,2419l9017,2419,9031,2420,9031,2419xm9017,2419l9017,2419,9017,2419,9017,2419xm9006,2390l9004,2417,9017,2419,9017,2419,9031,2419,9034,2394,9020,2392,9006,2390xm9017,2419l9017,2419,9017,2419,9017,2419xm9004,2417l9004,2418,9017,2419,9004,2417xm6637,2405l6640,2419,6640,2419,6641,2419,6637,2405xm6640,2419l6640,2419,6640,2419,6640,2419xm6715,2405l6637,2405,6641,2419,6640,2419,6715,2405xm9297,2418l9297,2418,9297,2418,9297,2418xm8839,2366l8741,2366,8739,2380,8739,2380,9004,2417,9006,2390,9011,2390,8839,2366xm6794,2364l6781,2365,6768,2368,6770,2394,6784,2393,6784,2393,6785,2393,6799,2390,6794,2364xm6785,2393l6784,2393,6784,2393,6770,2394,6777,2394,6785,2393xm7061,2339l7060,2339,6794,2364,6799,2390,6785,2393,7061,2366,7061,2366,7061,2353,7324,2353,7324,2339,7061,2339xm9011,2390l9006,2390,9020,2392,9011,2390xm8739,2380l8739,2380,8739,2380,8739,2380xm8741,2366l8739,2380,8739,2380,8741,2366xm8741,2366l8607,2366,8607,2366,8607,2366,8739,2380,8739,2380,8741,2366xm6781,2365l6768,2366,6768,2368,6781,2365xm7894,2339l7879,2339,7881,2367,7895,2366,7895,2366,7908,2366,7908,2339,7894,2339xm7324,2339l7324,2366,7338,2366,7338,2366,7352,2366,7352,2339,7324,2339xm7061,2353l7061,2366,7061,2366,7062,2366,7062,2364,7061,2353xm7324,2353l7061,2353,7062,2364,7062,2366,7061,2366,7324,2366,7324,2353xm7616,2339l7324,2339,7352,2339,7352,2366,7881,2366,7879,2339,7894,2339,7616,2339xm7908,2366l7895,2366,7895,2366,7894,2366,7908,2366,7908,2366xm8607,2366l8607,2366,8607,2366,8607,2366xm8477,2353l8462,2353,8607,2366,8607,2366,8741,2366,8741,2366,8839,2366,8751,2353,8477,2353,8477,2353xm8450,2325l8171,2325,7894,2339,7908,2339,7908,2366,8172,2353,8172,2353,8172,2339,8449,2339,8450,2325xm6794,2363l6781,2365,6794,2364,6794,2363xm8172,2339l8172,2353,8173,2353,8172,2339xm8449,2339l8172,2339,8173,2353,8172,2353,8462,2353,8448,2352,8449,2339xm8477,2327l8477,2353,8751,2353,8742,2352,8609,2339,8477,2327xm8464,2325l8450,2325,8448,2352,8462,2353,8462,2353,8477,2353,8477,2327,8464,2325xm8462,2353l8462,2353,8462,2353,8462,2353xm8477,2325l8464,2325,8477,2327,8477,2325xm8450,2324l8450,2325,8464,2325,8450,2324xe" filled="true" fillcolor="#f2e499" stroked="false">
                  <v:path arrowok="t"/>
                  <v:fill type="solid"/>
                </v:shape>
                <v:shape style="position:absolute;left:2865;top:2944;width:6725;height:558" id="docshape2053" coordorigin="2865,2945" coordsize="6725,558" path="m3435,3474l3421,3475,3422,3503,3436,3502,3436,3502,3449,3501,3449,3474,3435,3474xm3421,3489l2879,3489,3157,3502,3422,3502,3421,3489xm3449,3501l3436,3502,3436,3502,3436,3502,3449,3502,3449,3501xm3712,3461l3435,3474,3449,3474,3449,3501,3715,3489,3860,3475,3713,3475,3712,3461,3712,3461xm2866,3460l2865,3488,2879,3489,2879,3489,3421,3489,3421,3488,3158,3488,3158,3474,3158,3474,2866,3460xm3158,3474l3158,3474,3158,3488,3158,3474,3158,3474xm3158,3474l3158,3474,3158,3488,3421,3488,3421,3475,3435,3474,3158,3474xm3713,3461l3712,3461,3713,3475,3713,3461xm3979,3461l3713,3461,3713,3475,3860,3475,3979,3464,3979,3461xm3993,3462l3979,3464,3979,3464,3993,3462xm4004,3433l3989,3435,3975,3437,3979,3464,3993,3462,3993,3462,4006,3460,4004,3433xm4006,3460l3993,3462,3993,3462,3993,3462,4006,3461,4006,3460xm3989,3435l3712,3461,3713,3461,3979,3461,3975,3437,3989,3435xm4196,3433l4004,3433,4006,3460,4196,3433xm4545,3370l4267,3395,3989,3435,4004,3433,4196,3433,4270,3423,4270,3423,4269,3409,4423,3409,4553,3397,4547,3397,4545,3370xm6226,3395l6211,3398,6216,3425,6230,3423,6230,3423,6241,3420,6241,3395,6226,3395xm5801,3357l5946,3396,6080,3423,6216,3423,6213,3409,6081,3409,6081,3395,6083,3395,6020,3383,5949,3383,5952,3369,5952,3369,5907,3357,5802,3357,5801,3357xm6241,3420l6230,3423,6230,3423,6228,3423,6241,3423,6241,3420xm4269,3409l4270,3423,4271,3423,4269,3409xm4423,3409l4269,3409,4271,3423,4271,3423,4423,3409xm6356,3369l6226,3395,6241,3395,6241,3420,6363,3396,6400,3383,6359,3383,6355,3370,6356,3369xm6083,3395l6081,3395,6081,3409,6084,3395,6083,3395xm6083,3395l6084,3395,6081,3409,6213,3409,6211,3398,6226,3395,6083,3395xm4573,3368l4559,3369,4545,3370,4547,3397,4561,3396,4561,3396,4575,3395,4573,3368xm4561,3396l4561,3396,4561,3396,4547,3397,4553,3397,4561,3396xm5106,3343l4573,3368,4575,3395,4561,3396,5102,3371,5102,3367,5101,3343,5106,3343xm5952,3369l5949,3383,5953,3369,5953,3369,5952,3369xm5952,3369l5953,3369,5953,3369,5949,3383,6020,3383,5952,3369xm6357,3369l6356,3369,6355,3369,6355,3370,6359,3383,6357,3369xm6438,3369l6357,3369,6359,3383,6400,3383,6438,3369xm5116,3370l5102,3371,5116,3370,5116,3370xm5129,3342l5101,3343,5102,3371,5130,3369,5130,3367,5129,3342xm4559,3369l4545,3369,4545,3370,4559,3369xm5393,3342l5129,3342,5130,3369,5395,3357,5526,3344,5526,3344,5526,3343,5393,3343,5393,3342xm6500,3317l6356,3369,6357,3369,6438,3369,6510,3343,6542,3330,6505,3330,6500,3317,6500,3317xm5952,3369l5952,3369,5952,3369,5952,3369xm4573,3367l4559,3369,4573,3368,4573,3367xm5804,3343l5800,3356,5801,3357,5802,3357,5804,3343xm5857,3343l5804,3343,5802,3357,5907,3357,5857,3343xm5685,3344l5670,3344,5801,3357,5800,3356,5803,3344,5685,3344,5685,3344xm5526,3330l5526,3344,5526,3344,5527,3344,5526,3330xm5657,3330l5526,3330,5527,3344,5526,3344,5671,3344,5656,3342,5657,3330xm5685,3317l5685,3344,5803,3344,5804,3343,5857,3343,5806,3329,5685,3317xm5659,3316l5656,3342,5670,3344,5670,3344,5685,3344,5685,3317,5672,3316,5659,3316xm5670,3344l5670,3344,5670,3344,5670,3344xm5393,3329l5392,3329,5393,3343,5393,3329xm5657,3329l5393,3329,5393,3343,5526,3343,5526,3330,5657,3330,5657,3329xm5392,3329l5106,3343,5129,3342,5393,3342,5392,3329,5392,3329xm6500,3317l6500,3317,6500,3317,6505,3330,6500,3317xm6575,3317l6500,3317,6505,3330,6542,3330,6575,3317xm5526,3316l5525,3316,5392,3329,5393,3329,5657,3329,5659,3316,5526,3316xm5672,3316l5685,3317,5685,3316,5672,3316xm6767,3227l6633,3264,6500,3317,6500,3317,6575,3317,6641,3290,6641,3290,6637,3277,6690,3277,6776,3254,6772,3254,6767,3227xm5659,3315l5659,3316,5672,3316,5659,3315xm6637,3277l6641,3290,6642,3290,6642,3290,6637,3277xm6642,3290l6641,3290,6641,3290,6642,3290xm6690,3277l6637,3277,6642,3290,6642,3290,6690,3277xm6793,3221l6779,3224,6767,3227,6772,3254,6785,3251,6785,3251,6786,3251,6800,3247,6793,3221xm6786,3251l6785,3251,6785,3251,6772,3254,6776,3254,6786,3251xm7192,3184l7060,3184,6913,3197,6793,3221,6800,3247,6786,3251,6917,3225,6916,3225,6915,3211,7061,3211,7061,3198,7193,3198,7190,3184,7192,3184xm6779,3224l6766,3226,6767,3227,6779,3224xm6915,3211l6916,3225,6917,3225,6918,3225,6915,3211xm6917,3225l6916,3225,6917,3225,6917,3225xm7061,3211l6915,3211,6918,3225,6917,3225,7061,3212,7061,3212,7061,3211xm6792,3220l6779,3224,6793,3221,6792,3220xm7061,3198l7061,3212,7061,3212,7062,3212,7061,3198xm7328,3184l7193,3184,7193,3198,7061,3198,7062,3212,7061,3212,7194,3212,7329,3187,7328,3184xm7335,3158l7190,3184,7193,3198,7193,3184,7328,3184,7321,3162,7335,3158xm7342,3185l7329,3187,7329,3189,7342,3185xm7350,3155l7335,3158,7321,3162,7329,3187,7342,3185,7342,3185,7342,3185,7354,3181,7350,3155xm7354,3181l7342,3185,7342,3185,7342,3185,7355,3182,7354,3181xm7441,3155l7350,3155,7354,3181,7441,3155xm7466,3118l7335,3158,7350,3155,7441,3155,7475,3145,7511,3132,7471,3132,7466,3119,7466,3118xm7467,3118l7466,3119,7471,3132,7467,3118xm7548,3118l7467,3118,7471,3132,7511,3132,7548,3118xm7879,2989l7745,3026,7612,3066,7466,3118,7467,3118,7548,3118,7620,3092,7620,3092,7616,3079,7665,3079,7752,3053,7748,3039,7801,3039,7891,3015,7881,3015,7879,2989xm7616,3079l7620,3092,7621,3092,7616,3079xm7665,3079l7616,3079,7621,3092,7621,3092,7665,3079xm7748,3039l7752,3053,7752,3053,7748,3039xm7801,3039l7748,3039,7752,3053,7752,3053,7801,3039xm7904,2985l7892,2986,7879,2989,7881,3015,7895,3013,7895,3013,7896,3013,7911,3009,7904,2985xm7896,3013l7895,3013,7895,3013,7881,3015,7891,3015,7896,3013xm9018,2986l9004,2986,9005,3014,9019,3014,9019,3014,9033,3013,9033,2986,9018,2986xm8449,2986l8449,3014,8463,3014,8463,3014,8477,3014,8477,2986,8449,2986xm8172,2986l8171,3000,8317,3014,8449,3014,8449,3000,8172,3000,8172,2986xm8742,2986l8449,2986,8477,2986,8477,3014,9005,3014,9004,2986,9018,2986,8742,2986xm9033,3013l9019,3014,9019,3014,9019,3014,9033,3014,9033,3013xm8173,2973l8039,2973,7904,2985,7911,3009,7896,3013,8040,3000,8040,3000,8040,2986,8317,2986,8317,2986,8318,2986,8173,2973xm9295,2973l9018,2986,9033,2986,9033,3013,9298,3000,9443,2986,9296,2986,9295,2973,9295,2973xm8040,2986l8040,3000,8040,3000,8041,3000,8040,2986xm8172,2986l8040,2986,8041,3000,8040,3000,8171,3000,8171,3000,8172,2986xm8317,2986l8172,2986,8172,3000,8449,3000,8449,3000,8317,3000,8317,2986xm8318,2986l8317,2986,8317,3000,8319,2986,8318,2986xm8318,2986l8319,2986,8317,3000,8449,3000,8449,2986,8318,2986xm7892,2986l7879,2987,7879,2989,7892,2986xm9296,2973l9295,2973,9296,2986,9296,2973xm9589,2973l9296,2973,9296,2986,9443,2986,9589,2973xm7904,2983l7892,2986,7904,2985,7904,2983xm9587,2945l9295,2973,9296,2973,9589,2973,9587,2945xe" filled="true" fillcolor="#b5052d" stroked="false">
                  <v:path arrowok="t"/>
                  <v:fill type="solid"/>
                </v:shape>
                <v:shape style="position:absolute;left:2865;top:2853;width:6724;height:584" id="docshape2054" coordorigin="2865,2853" coordsize="6724,584" path="m3157,3395l2865,3409,2866,3437,3159,3423,3305,3409,3158,3409,3156,3395,3157,3395xm3157,3395l3157,3395,3156,3396,3158,3409,3157,3395xm3423,3395l3157,3395,3158,3409,3305,3409,3423,3398,3423,3395xm3437,3396l3423,3398,3424,3398,3437,3396xm3448,3367l3434,3369,3420,3371,3423,3398,3437,3396,3450,3394,3448,3367xm3450,3394l3437,3396,3451,3395,3450,3394xm3434,3369l3157,3395,3157,3395,3423,3395,3420,3371,3434,3369xm3640,3367l3448,3367,3450,3394,3640,3367xm3976,3291l3434,3369,3448,3367,3640,3367,3983,3318,3979,3318,3976,3291xm4003,3288l3989,3290,3976,3291,3979,3318,3992,3317,3992,3317,4007,3315,4003,3288xm3993,3317l3992,3317,3992,3317,3979,3318,3983,3318,3993,3317xm4545,3238l4268,3263,4003,3288,4007,3315,3993,3317,4270,3291,4550,3265,4547,3265,4545,3238xm3989,3290l3976,3291,3976,3291,3989,3290xm4003,3288l3989,3290,4003,3288,4003,3288xm4573,3236l4559,3237,4545,3238,4547,3265,4561,3264,4575,3263,4573,3236xm4561,3264l4547,3265,4550,3265,4561,3264xm5115,3197l4573,3236,4575,3263,4561,3264,5103,3226,5101,3198,5115,3197xm4559,3237l4545,3238,4545,3238,4559,3237xm4573,3235l4559,3237,4573,3236,4573,3235xm5117,3225l5103,3226,5103,3226,5117,3225xm5129,3196l5115,3197,5101,3198,5103,3226,5117,3225,5130,3223,5129,3196xm5130,3223l5117,3225,5131,3224,5130,3223xm5419,3196l5129,3196,5130,3223,5419,3196xm5670,3144l5115,3197,5129,3196,5419,3196,5659,3173,5656,3146,5670,3144xm5673,3172l5659,3173,5659,3174,5673,3172xm5684,3143l5670,3144,5656,3146,5659,3173,5673,3172,5686,3170,5684,3143xm5686,3170l5673,3172,5686,3171,5686,3170xm5917,3143l5684,3143,5686,3170,5917,3143xm6225,3078l5670,3144,5684,3143,5917,3143,6215,3107,6211,3080,6225,3078xm6229,3106l6215,3107,6215,3108,6229,3106xm6239,3077l6225,3078,6211,3080,6215,3107,6229,3106,6242,3104,6239,3077xm6242,3104l6229,3106,6242,3104,6242,3104xm6434,3077l6239,3077,6242,3104,6434,3077xm6780,2999l6225,3078,6239,3077,6434,3077,6771,3028,6766,3002,6780,2999xm6785,3027l6771,3028,6772,3029,6785,3027xm6794,2997l6780,2999,6766,3002,6771,3028,6785,3026,6785,3026,6798,3024,6794,2997xm6798,3024l6785,3026,6785,3026,6785,3027,6798,3025,6798,3024xm6940,2997l6794,2997,6798,3024,6940,2997xm7194,2946l7058,2946,6780,2999,6794,2997,6940,2997,7194,2947,7194,2947,7194,2946xm7193,2934l7194,2947,7195,2947,7196,2947,7193,2934xm7195,2947l7194,2947,7194,2947,7195,2947xm7324,2934l7193,2934,7196,2947,7195,2947,7339,2934,7324,2934,7324,2934xm7324,2908l7191,2920,7058,2946,7058,2946,7194,2946,7193,2934,7324,2934,7324,2908xm7894,2907l7879,2907,7881,2935,7895,2934,7895,2934,7908,2934,7908,2907,7894,2907xm7351,2905l7324,2908,7324,2934,7339,2934,7353,2933,7351,2905xm7748,2906l7351,2906,7353,2933,7339,2934,7881,2934,7879,2907,7894,2907,7748,2906xm7908,2934l7895,2934,7895,2934,7894,2934,7908,2934,7908,2934xm8171,2893l7894,2907,7908,2907,7908,2934,8173,2921,8326,2907,8172,2907,8171,2893,8171,2893xm7338,2906l7324,2906,7324,2908,7338,2906xm8171,2893l8171,2893,8171,2895,8172,2907,8171,2893xm8449,2893l8171,2893,8172,2907,8326,2907,8460,2895,8449,2895,8449,2893xm8476,2867l8462,2867,8449,2868,8449,2895,8464,2895,8478,2893,8476,2867xm8464,2895l8449,2895,8460,2895,8464,2895xm9005,2854l8476,2867,8478,2893,8464,2895,9019,2881,9005,2881,9005,2854xm8449,2868l8171,2893,8171,2893,8449,2893,8449,2868xm9032,2853l9005,2854,9005,2881,9019,2881,9033,2881,9032,2853xm9588,2854l9032,2854,9033,2881,9019,2881,9588,2881,9588,2854xm8462,2867l8449,2867,8449,2868,8462,2867xm8476,2866l8462,2867,8476,2867,8476,2866xm9018,2854l9005,2854,9005,2854,9018,2854xe" filled="true" fillcolor="#2f7d41" stroked="false">
                  <v:path arrowok="t"/>
                  <v:fill type="solid"/>
                </v:shape>
                <v:rect style="position:absolute;left:4532;top:450;width:386;height:28" id="docshape2055" filled="true" fillcolor="#9cbf3b" stroked="false">
                  <v:fill type="solid"/>
                </v:rect>
                <v:rect style="position:absolute;left:8290;top:450;width:386;height:28" id="docshape2056" filled="true" fillcolor="#b5052d" stroked="false">
                  <v:fill type="solid"/>
                </v:rect>
                <v:shape style="position:absolute;left:5018;top:363;width:3072;height:162" type="#_x0000_t202" id="docshape2057" filled="false" stroked="false">
                  <v:textbox inset="0,0,0,0">
                    <w:txbxContent>
                      <w:p>
                        <w:pPr>
                          <w:tabs>
                            <w:tab w:pos="732" w:val="left" w:leader="none"/>
                            <w:tab w:pos="1565" w:val="left" w:leader="none"/>
                            <w:tab w:pos="2478" w:val="left" w:leader="none"/>
                          </w:tabs>
                          <w:spacing w:line="161" w:lineRule="exact" w:before="0"/>
                          <w:ind w:left="0" w:right="0" w:firstLine="0"/>
                          <w:jc w:val="left"/>
                          <w:rPr>
                            <w:rFonts w:ascii="Arial MT"/>
                            <w:sz w:val="14"/>
                          </w:rPr>
                        </w:pPr>
                        <w:r>
                          <w:rPr>
                            <w:rFonts w:ascii="Arial MT"/>
                            <w:w w:val="90"/>
                            <w:sz w:val="14"/>
                          </w:rPr>
                          <w:t>India</w:t>
                        </w:r>
                        <w:r>
                          <w:rPr>
                            <w:rFonts w:ascii="Arial MT"/>
                            <w:spacing w:val="58"/>
                            <w:w w:val="90"/>
                            <w:sz w:val="14"/>
                          </w:rPr>
                          <w:t> </w:t>
                        </w:r>
                        <w:r>
                          <w:rPr>
                            <w:sz w:val="14"/>
                            <w:u w:val="thick" w:color="E3C626"/>
                          </w:rPr>
                          <w:tab/>
                        </w:r>
                        <w:r>
                          <w:rPr>
                            <w:spacing w:val="40"/>
                            <w:sz w:val="14"/>
                          </w:rPr>
                          <w:t> </w:t>
                        </w:r>
                        <w:r>
                          <w:rPr>
                            <w:rFonts w:ascii="Arial MT"/>
                            <w:w w:val="90"/>
                            <w:sz w:val="14"/>
                          </w:rPr>
                          <w:t>USA</w:t>
                        </w:r>
                        <w:r>
                          <w:rPr>
                            <w:rFonts w:ascii="Arial MT"/>
                            <w:spacing w:val="69"/>
                            <w:w w:val="90"/>
                            <w:sz w:val="14"/>
                          </w:rPr>
                          <w:t> </w:t>
                        </w:r>
                        <w:r>
                          <w:rPr>
                            <w:sz w:val="14"/>
                            <w:u w:val="thick" w:color="DBA379"/>
                          </w:rPr>
                          <w:tab/>
                        </w:r>
                        <w:r>
                          <w:rPr>
                            <w:spacing w:val="40"/>
                            <w:sz w:val="14"/>
                          </w:rPr>
                          <w:t> </w:t>
                        </w:r>
                        <w:r>
                          <w:rPr>
                            <w:rFonts w:ascii="Arial MT"/>
                            <w:w w:val="90"/>
                            <w:sz w:val="14"/>
                          </w:rPr>
                          <w:t>China</w:t>
                        </w:r>
                        <w:r>
                          <w:rPr>
                            <w:rFonts w:ascii="Arial MT"/>
                            <w:spacing w:val="96"/>
                            <w:w w:val="90"/>
                            <w:sz w:val="14"/>
                          </w:rPr>
                          <w:t> </w:t>
                        </w:r>
                        <w:r>
                          <w:rPr>
                            <w:sz w:val="14"/>
                            <w:u w:val="thick" w:color="F2E499"/>
                          </w:rPr>
                          <w:tab/>
                        </w:r>
                        <w:r>
                          <w:rPr>
                            <w:spacing w:val="28"/>
                            <w:sz w:val="14"/>
                          </w:rPr>
                          <w:t> </w:t>
                        </w:r>
                        <w:r>
                          <w:rPr>
                            <w:rFonts w:ascii="Arial MT"/>
                            <w:w w:val="90"/>
                            <w:sz w:val="14"/>
                          </w:rPr>
                          <w:t>Germany</w:t>
                        </w:r>
                      </w:p>
                    </w:txbxContent>
                  </v:textbox>
                  <w10:wrap type="none"/>
                </v:shape>
                <v:shape style="position:absolute;left:8746;top:363;width:1084;height:162" type="#_x0000_t202" id="docshape2058" filled="false" stroked="false">
                  <v:textbox inset="0,0,0,0">
                    <w:txbxContent>
                      <w:p>
                        <w:pPr>
                          <w:tabs>
                            <w:tab w:pos="643" w:val="left" w:leader="none"/>
                          </w:tabs>
                          <w:spacing w:line="161" w:lineRule="exact" w:before="0"/>
                          <w:ind w:left="0" w:right="0" w:firstLine="0"/>
                          <w:jc w:val="left"/>
                          <w:rPr>
                            <w:rFonts w:ascii="Arial MT"/>
                            <w:sz w:val="14"/>
                          </w:rPr>
                        </w:pPr>
                        <w:r>
                          <w:rPr>
                            <w:rFonts w:ascii="Arial MT"/>
                            <w:w w:val="90"/>
                            <w:sz w:val="14"/>
                          </w:rPr>
                          <w:t>UK</w:t>
                        </w:r>
                        <w:r>
                          <w:rPr>
                            <w:rFonts w:ascii="Arial MT"/>
                            <w:spacing w:val="59"/>
                            <w:w w:val="90"/>
                            <w:sz w:val="14"/>
                          </w:rPr>
                          <w:t> </w:t>
                        </w:r>
                        <w:r>
                          <w:rPr>
                            <w:sz w:val="14"/>
                            <w:u w:val="thick" w:color="2F7D41"/>
                          </w:rPr>
                          <w:tab/>
                        </w:r>
                        <w:r>
                          <w:rPr>
                            <w:spacing w:val="34"/>
                            <w:sz w:val="14"/>
                          </w:rPr>
                          <w:t> </w:t>
                        </w:r>
                        <w:r>
                          <w:rPr>
                            <w:rFonts w:ascii="Arial MT"/>
                            <w:w w:val="90"/>
                            <w:sz w:val="14"/>
                          </w:rPr>
                          <w:t>Japan</w:t>
                        </w:r>
                      </w:p>
                    </w:txbxContent>
                  </v:textbox>
                  <w10:wrap type="none"/>
                </v:shape>
                <v:shape style="position:absolute;left:2100;top:1046;width:372;height:2897" type="#_x0000_t202" id="docshape2059" filled="false" stroked="false">
                  <v:textbox inset="0,0,0,0">
                    <w:txbxContent>
                      <w:p>
                        <w:pPr>
                          <w:spacing w:line="161" w:lineRule="exact" w:before="0"/>
                          <w:ind w:left="0" w:right="0" w:firstLine="0"/>
                          <w:jc w:val="left"/>
                          <w:rPr>
                            <w:rFonts w:ascii="Arial MT"/>
                            <w:sz w:val="14"/>
                          </w:rPr>
                        </w:pPr>
                        <w:r>
                          <w:rPr>
                            <w:rFonts w:ascii="Arial MT"/>
                            <w:spacing w:val="-2"/>
                            <w:w w:val="85"/>
                            <w:sz w:val="14"/>
                          </w:rPr>
                          <w:t>45,000</w:t>
                        </w:r>
                      </w:p>
                      <w:p>
                        <w:pPr>
                          <w:spacing w:before="143"/>
                          <w:ind w:left="0" w:right="18" w:firstLine="0"/>
                          <w:jc w:val="right"/>
                          <w:rPr>
                            <w:rFonts w:ascii="Arial MT"/>
                            <w:sz w:val="14"/>
                          </w:rPr>
                        </w:pPr>
                        <w:r>
                          <w:rPr>
                            <w:rFonts w:ascii="Arial MT"/>
                            <w:spacing w:val="-2"/>
                            <w:w w:val="80"/>
                            <w:sz w:val="14"/>
                          </w:rPr>
                          <w:t>40,000</w:t>
                        </w:r>
                      </w:p>
                      <w:p>
                        <w:pPr>
                          <w:spacing w:before="143"/>
                          <w:ind w:left="0" w:right="18" w:firstLine="0"/>
                          <w:jc w:val="right"/>
                          <w:rPr>
                            <w:rFonts w:ascii="Arial MT"/>
                            <w:sz w:val="14"/>
                          </w:rPr>
                        </w:pPr>
                        <w:r>
                          <w:rPr>
                            <w:rFonts w:ascii="Arial MT"/>
                            <w:spacing w:val="-2"/>
                            <w:w w:val="80"/>
                            <w:sz w:val="14"/>
                          </w:rPr>
                          <w:t>35,000</w:t>
                        </w:r>
                      </w:p>
                      <w:p>
                        <w:pPr>
                          <w:spacing w:before="143"/>
                          <w:ind w:left="0" w:right="18" w:firstLine="0"/>
                          <w:jc w:val="right"/>
                          <w:rPr>
                            <w:rFonts w:ascii="Arial MT"/>
                            <w:sz w:val="14"/>
                          </w:rPr>
                        </w:pPr>
                        <w:r>
                          <w:rPr>
                            <w:rFonts w:ascii="Arial MT"/>
                            <w:spacing w:val="-2"/>
                            <w:w w:val="80"/>
                            <w:sz w:val="14"/>
                          </w:rPr>
                          <w:t>30,000</w:t>
                        </w:r>
                      </w:p>
                      <w:p>
                        <w:pPr>
                          <w:spacing w:before="143"/>
                          <w:ind w:left="0" w:right="18" w:firstLine="0"/>
                          <w:jc w:val="right"/>
                          <w:rPr>
                            <w:rFonts w:ascii="Arial MT"/>
                            <w:sz w:val="14"/>
                          </w:rPr>
                        </w:pPr>
                        <w:r>
                          <w:rPr>
                            <w:rFonts w:ascii="Arial MT"/>
                            <w:spacing w:val="-2"/>
                            <w:w w:val="80"/>
                            <w:sz w:val="14"/>
                          </w:rPr>
                          <w:t>25,000</w:t>
                        </w:r>
                      </w:p>
                      <w:p>
                        <w:pPr>
                          <w:spacing w:before="143"/>
                          <w:ind w:left="0" w:right="18" w:firstLine="0"/>
                          <w:jc w:val="right"/>
                          <w:rPr>
                            <w:rFonts w:ascii="Arial MT"/>
                            <w:sz w:val="14"/>
                          </w:rPr>
                        </w:pPr>
                        <w:r>
                          <w:rPr>
                            <w:rFonts w:ascii="Arial MT"/>
                            <w:spacing w:val="-2"/>
                            <w:w w:val="80"/>
                            <w:sz w:val="14"/>
                          </w:rPr>
                          <w:t>20,000</w:t>
                        </w:r>
                      </w:p>
                      <w:p>
                        <w:pPr>
                          <w:spacing w:before="143"/>
                          <w:ind w:left="0" w:right="18" w:firstLine="0"/>
                          <w:jc w:val="right"/>
                          <w:rPr>
                            <w:rFonts w:ascii="Arial MT"/>
                            <w:sz w:val="14"/>
                          </w:rPr>
                        </w:pPr>
                        <w:r>
                          <w:rPr>
                            <w:rFonts w:ascii="Arial MT"/>
                            <w:spacing w:val="-2"/>
                            <w:w w:val="80"/>
                            <w:sz w:val="14"/>
                          </w:rPr>
                          <w:t>15,000</w:t>
                        </w:r>
                      </w:p>
                      <w:p>
                        <w:pPr>
                          <w:spacing w:before="143"/>
                          <w:ind w:left="0" w:right="18" w:firstLine="0"/>
                          <w:jc w:val="right"/>
                          <w:rPr>
                            <w:rFonts w:ascii="Arial MT"/>
                            <w:sz w:val="14"/>
                          </w:rPr>
                        </w:pPr>
                        <w:r>
                          <w:rPr>
                            <w:rFonts w:ascii="Arial MT"/>
                            <w:spacing w:val="-2"/>
                            <w:w w:val="80"/>
                            <w:sz w:val="14"/>
                          </w:rPr>
                          <w:t>10,000</w:t>
                        </w:r>
                      </w:p>
                      <w:p>
                        <w:pPr>
                          <w:spacing w:before="143"/>
                          <w:ind w:left="0" w:right="18" w:firstLine="0"/>
                          <w:jc w:val="right"/>
                          <w:rPr>
                            <w:rFonts w:ascii="Arial MT"/>
                            <w:sz w:val="14"/>
                          </w:rPr>
                        </w:pPr>
                        <w:r>
                          <w:rPr>
                            <w:rFonts w:ascii="Arial MT"/>
                            <w:spacing w:val="-2"/>
                            <w:w w:val="90"/>
                            <w:sz w:val="14"/>
                          </w:rPr>
                          <w:t>5,000</w:t>
                        </w:r>
                      </w:p>
                      <w:p>
                        <w:pPr>
                          <w:spacing w:before="143"/>
                          <w:ind w:left="0" w:right="18" w:firstLine="0"/>
                          <w:jc w:val="right"/>
                          <w:rPr>
                            <w:rFonts w:ascii="Arial MT"/>
                            <w:sz w:val="14"/>
                          </w:rPr>
                        </w:pPr>
                        <w:r>
                          <w:rPr>
                            <w:rFonts w:ascii="Arial MT"/>
                            <w:spacing w:val="-10"/>
                            <w:w w:val="90"/>
                            <w:sz w:val="14"/>
                          </w:rPr>
                          <w:t>0</w:t>
                        </w:r>
                      </w:p>
                    </w:txbxContent>
                  </v:textbox>
                  <w10:wrap type="none"/>
                </v:shape>
                <v:shape style="position:absolute;left:2749;top:3939;width:6996;height:161" type="#_x0000_t202" id="docshape2060" filled="false" stroked="false">
                  <v:textbox inset="0,0,0,0">
                    <w:txbxContent>
                      <w:p>
                        <w:pPr>
                          <w:tabs>
                            <w:tab w:pos="549" w:val="left" w:leader="none"/>
                            <w:tab w:pos="1119" w:val="left" w:leader="none"/>
                            <w:tab w:pos="1659" w:val="left" w:leader="none"/>
                            <w:tab w:pos="2229" w:val="left" w:leader="none"/>
                            <w:tab w:pos="2791" w:val="left" w:leader="none"/>
                            <w:tab w:pos="3355" w:val="left" w:leader="none"/>
                            <w:tab w:pos="3909" w:val="left" w:leader="none"/>
                            <w:tab w:pos="4479" w:val="left" w:leader="none"/>
                            <w:tab w:pos="5039" w:val="left" w:leader="none"/>
                            <w:tab w:pos="5589" w:val="left" w:leader="none"/>
                            <w:tab w:pos="6129" w:val="left" w:leader="none"/>
                            <w:tab w:pos="6719" w:val="left" w:leader="none"/>
                          </w:tabs>
                          <w:spacing w:line="161" w:lineRule="exact" w:before="0"/>
                          <w:ind w:left="0" w:right="0" w:firstLine="0"/>
                          <w:jc w:val="left"/>
                          <w:rPr>
                            <w:rFonts w:ascii="Arial MT"/>
                            <w:sz w:val="14"/>
                          </w:rPr>
                        </w:pPr>
                        <w:r>
                          <w:rPr>
                            <w:rFonts w:ascii="Arial MT"/>
                            <w:spacing w:val="-4"/>
                            <w:w w:val="90"/>
                            <w:sz w:val="14"/>
                          </w:rPr>
                          <w:t>1983</w:t>
                        </w:r>
                        <w:r>
                          <w:rPr>
                            <w:rFonts w:ascii="Arial MT"/>
                            <w:sz w:val="14"/>
                          </w:rPr>
                          <w:tab/>
                        </w:r>
                        <w:r>
                          <w:rPr>
                            <w:rFonts w:ascii="Arial MT"/>
                            <w:spacing w:val="-4"/>
                            <w:w w:val="90"/>
                            <w:sz w:val="14"/>
                          </w:rPr>
                          <w:t>1985</w:t>
                        </w:r>
                        <w:r>
                          <w:rPr>
                            <w:rFonts w:ascii="Arial MT"/>
                            <w:sz w:val="14"/>
                          </w:rPr>
                          <w:tab/>
                        </w:r>
                        <w:r>
                          <w:rPr>
                            <w:rFonts w:ascii="Arial MT"/>
                            <w:spacing w:val="-4"/>
                            <w:w w:val="90"/>
                            <w:sz w:val="14"/>
                          </w:rPr>
                          <w:t>1987</w:t>
                        </w:r>
                        <w:r>
                          <w:rPr>
                            <w:rFonts w:ascii="Arial MT"/>
                            <w:sz w:val="14"/>
                          </w:rPr>
                          <w:tab/>
                        </w:r>
                        <w:r>
                          <w:rPr>
                            <w:rFonts w:ascii="Arial MT"/>
                            <w:spacing w:val="-4"/>
                            <w:w w:val="90"/>
                            <w:sz w:val="14"/>
                          </w:rPr>
                          <w:t>1989</w:t>
                        </w:r>
                        <w:r>
                          <w:rPr>
                            <w:rFonts w:ascii="Arial MT"/>
                            <w:sz w:val="14"/>
                          </w:rPr>
                          <w:tab/>
                        </w:r>
                        <w:r>
                          <w:rPr>
                            <w:rFonts w:ascii="Arial MT"/>
                            <w:spacing w:val="-4"/>
                            <w:w w:val="90"/>
                            <w:sz w:val="14"/>
                          </w:rPr>
                          <w:t>1991</w:t>
                        </w:r>
                        <w:r>
                          <w:rPr>
                            <w:rFonts w:ascii="Arial MT"/>
                            <w:sz w:val="14"/>
                          </w:rPr>
                          <w:tab/>
                        </w:r>
                        <w:r>
                          <w:rPr>
                            <w:rFonts w:ascii="Arial MT"/>
                            <w:spacing w:val="-4"/>
                            <w:w w:val="90"/>
                            <w:sz w:val="14"/>
                          </w:rPr>
                          <w:t>1993</w:t>
                        </w:r>
                        <w:r>
                          <w:rPr>
                            <w:rFonts w:ascii="Arial MT"/>
                            <w:sz w:val="14"/>
                          </w:rPr>
                          <w:tab/>
                        </w:r>
                        <w:r>
                          <w:rPr>
                            <w:rFonts w:ascii="Arial MT"/>
                            <w:spacing w:val="-4"/>
                            <w:w w:val="90"/>
                            <w:sz w:val="14"/>
                          </w:rPr>
                          <w:t>1995</w:t>
                        </w:r>
                        <w:r>
                          <w:rPr>
                            <w:rFonts w:ascii="Arial MT"/>
                            <w:sz w:val="14"/>
                          </w:rPr>
                          <w:tab/>
                        </w:r>
                        <w:r>
                          <w:rPr>
                            <w:rFonts w:ascii="Arial MT"/>
                            <w:spacing w:val="-4"/>
                            <w:w w:val="90"/>
                            <w:sz w:val="14"/>
                          </w:rPr>
                          <w:t>1997</w:t>
                        </w:r>
                        <w:r>
                          <w:rPr>
                            <w:rFonts w:ascii="Arial MT"/>
                            <w:sz w:val="14"/>
                          </w:rPr>
                          <w:tab/>
                        </w:r>
                        <w:r>
                          <w:rPr>
                            <w:rFonts w:ascii="Arial MT"/>
                            <w:spacing w:val="-4"/>
                            <w:w w:val="90"/>
                            <w:sz w:val="14"/>
                          </w:rPr>
                          <w:t>1999</w:t>
                        </w:r>
                        <w:r>
                          <w:rPr>
                            <w:rFonts w:ascii="Arial MT"/>
                            <w:sz w:val="14"/>
                          </w:rPr>
                          <w:tab/>
                        </w:r>
                        <w:r>
                          <w:rPr>
                            <w:rFonts w:ascii="Arial MT"/>
                            <w:spacing w:val="-4"/>
                            <w:w w:val="85"/>
                            <w:sz w:val="14"/>
                          </w:rPr>
                          <w:t>2000</w:t>
                        </w:r>
                        <w:r>
                          <w:rPr>
                            <w:rFonts w:ascii="Arial MT"/>
                            <w:sz w:val="14"/>
                          </w:rPr>
                          <w:tab/>
                        </w:r>
                        <w:r>
                          <w:rPr>
                            <w:rFonts w:ascii="Arial MT"/>
                            <w:spacing w:val="-4"/>
                            <w:w w:val="90"/>
                            <w:sz w:val="14"/>
                          </w:rPr>
                          <w:t>2001</w:t>
                        </w:r>
                        <w:r>
                          <w:rPr>
                            <w:rFonts w:ascii="Arial MT"/>
                            <w:sz w:val="14"/>
                          </w:rPr>
                          <w:tab/>
                        </w:r>
                        <w:r>
                          <w:rPr>
                            <w:rFonts w:ascii="Arial MT"/>
                            <w:spacing w:val="-4"/>
                            <w:w w:val="90"/>
                            <w:sz w:val="14"/>
                          </w:rPr>
                          <w:t>2002</w:t>
                        </w:r>
                        <w:r>
                          <w:rPr>
                            <w:rFonts w:ascii="Arial MT"/>
                            <w:sz w:val="14"/>
                          </w:rPr>
                          <w:tab/>
                        </w:r>
                        <w:r>
                          <w:rPr>
                            <w:rFonts w:ascii="Arial MT"/>
                            <w:spacing w:val="-4"/>
                            <w:w w:val="85"/>
                            <w:sz w:val="14"/>
                          </w:rPr>
                          <w:t>2003</w:t>
                        </w:r>
                      </w:p>
                    </w:txbxContent>
                  </v:textbox>
                  <w10:wrap type="none"/>
                </v:shape>
                <w10:wrap type="topAndBottom"/>
              </v:group>
            </w:pict>
          </mc:Fallback>
        </mc:AlternateContent>
      </w:r>
    </w:p>
    <w:p>
      <w:pPr>
        <w:spacing w:before="39"/>
        <w:ind w:left="1838" w:right="0" w:firstLine="0"/>
        <w:jc w:val="left"/>
        <w:rPr>
          <w:sz w:val="16"/>
        </w:rPr>
      </w:pPr>
      <w:r>
        <w:rPr>
          <w:i/>
          <w:spacing w:val="-4"/>
          <w:sz w:val="16"/>
        </w:rPr>
        <w:t>Source: </w:t>
      </w:r>
      <w:r>
        <w:rPr>
          <w:spacing w:val="-4"/>
          <w:sz w:val="16"/>
        </w:rPr>
        <w:t>NSF,</w:t>
      </w:r>
      <w:r>
        <w:rPr>
          <w:spacing w:val="-1"/>
          <w:sz w:val="16"/>
        </w:rPr>
        <w:t> </w:t>
      </w:r>
      <w:r>
        <w:rPr>
          <w:spacing w:val="-4"/>
          <w:sz w:val="16"/>
        </w:rPr>
        <w:t>Science</w:t>
      </w:r>
      <w:r>
        <w:rPr>
          <w:spacing w:val="-2"/>
          <w:sz w:val="16"/>
        </w:rPr>
        <w:t> </w:t>
      </w:r>
      <w:r>
        <w:rPr>
          <w:spacing w:val="-4"/>
          <w:sz w:val="16"/>
        </w:rPr>
        <w:t>and</w:t>
      </w:r>
      <w:r>
        <w:rPr>
          <w:spacing w:val="-2"/>
          <w:sz w:val="16"/>
        </w:rPr>
        <w:t> </w:t>
      </w:r>
      <w:r>
        <w:rPr>
          <w:spacing w:val="-4"/>
          <w:sz w:val="16"/>
        </w:rPr>
        <w:t>Engineering</w:t>
      </w:r>
      <w:r>
        <w:rPr>
          <w:spacing w:val="-1"/>
          <w:sz w:val="16"/>
        </w:rPr>
        <w:t> </w:t>
      </w:r>
      <w:r>
        <w:rPr>
          <w:spacing w:val="-4"/>
          <w:sz w:val="16"/>
        </w:rPr>
        <w:t>Indicators</w:t>
      </w:r>
      <w:r>
        <w:rPr>
          <w:spacing w:val="-2"/>
          <w:sz w:val="16"/>
        </w:rPr>
        <w:t> </w:t>
      </w:r>
      <w:r>
        <w:rPr>
          <w:spacing w:val="-4"/>
          <w:sz w:val="16"/>
        </w:rPr>
        <w:t>2006,</w:t>
      </w:r>
      <w:r>
        <w:rPr>
          <w:spacing w:val="-2"/>
          <w:sz w:val="16"/>
        </w:rPr>
        <w:t> </w:t>
      </w:r>
      <w:r>
        <w:rPr>
          <w:spacing w:val="-4"/>
          <w:sz w:val="16"/>
        </w:rPr>
        <w:t>Appendix</w:t>
      </w:r>
      <w:r>
        <w:rPr>
          <w:spacing w:val="-8"/>
          <w:sz w:val="16"/>
        </w:rPr>
        <w:t> </w:t>
      </w:r>
      <w:r>
        <w:rPr>
          <w:spacing w:val="-4"/>
          <w:sz w:val="16"/>
        </w:rPr>
        <w:t>Tables</w:t>
      </w:r>
      <w:r>
        <w:rPr>
          <w:spacing w:val="-2"/>
          <w:sz w:val="16"/>
        </w:rPr>
        <w:t> </w:t>
      </w:r>
      <w:r>
        <w:rPr>
          <w:spacing w:val="-4"/>
          <w:sz w:val="16"/>
        </w:rPr>
        <w:t>2.42</w:t>
      </w:r>
      <w:r>
        <w:rPr>
          <w:spacing w:val="-1"/>
          <w:sz w:val="16"/>
        </w:rPr>
        <w:t> </w:t>
      </w:r>
      <w:r>
        <w:rPr>
          <w:spacing w:val="-4"/>
          <w:sz w:val="16"/>
        </w:rPr>
        <w:t>and</w:t>
      </w:r>
      <w:r>
        <w:rPr>
          <w:spacing w:val="-2"/>
          <w:sz w:val="16"/>
        </w:rPr>
        <w:t> </w:t>
      </w:r>
      <w:r>
        <w:rPr>
          <w:spacing w:val="-4"/>
          <w:sz w:val="16"/>
        </w:rPr>
        <w:t>2.43</w:t>
      </w:r>
    </w:p>
    <w:p>
      <w:pPr>
        <w:pStyle w:val="BodyText"/>
        <w:rPr>
          <w:sz w:val="20"/>
        </w:rPr>
      </w:pPr>
    </w:p>
    <w:p>
      <w:pPr>
        <w:pStyle w:val="BodyText"/>
        <w:spacing w:before="133"/>
        <w:rPr>
          <w:sz w:val="20"/>
        </w:rPr>
      </w:pPr>
    </w:p>
    <w:p>
      <w:pPr>
        <w:spacing w:after="0"/>
        <w:rPr>
          <w:sz w:val="20"/>
        </w:rPr>
        <w:sectPr>
          <w:pgSz w:w="11910" w:h="16840"/>
          <w:pgMar w:header="0" w:footer="675" w:top="940" w:bottom="860" w:left="0" w:right="0"/>
        </w:sectPr>
      </w:pPr>
    </w:p>
    <w:p>
      <w:pPr>
        <w:pStyle w:val="BodyText"/>
        <w:spacing w:line="266" w:lineRule="auto" w:before="82"/>
        <w:ind w:left="1104"/>
        <w:jc w:val="both"/>
      </w:pPr>
      <w:r>
        <w:rPr>
          <w:spacing w:val="-4"/>
        </w:rPr>
        <w:t>China</w:t>
      </w:r>
      <w:r>
        <w:rPr>
          <w:spacing w:val="-10"/>
        </w:rPr>
        <w:t> </w:t>
      </w:r>
      <w:r>
        <w:rPr>
          <w:spacing w:val="-4"/>
        </w:rPr>
        <w:t>had</w:t>
      </w:r>
      <w:r>
        <w:rPr>
          <w:spacing w:val="-10"/>
        </w:rPr>
        <w:t> </w:t>
      </w:r>
      <w:r>
        <w:rPr>
          <w:spacing w:val="-4"/>
        </w:rPr>
        <w:t>633</w:t>
      </w:r>
      <w:r>
        <w:rPr>
          <w:spacing w:val="-10"/>
        </w:rPr>
        <w:t> </w:t>
      </w:r>
      <w:r>
        <w:rPr>
          <w:spacing w:val="-4"/>
        </w:rPr>
        <w:t>researchers</w:t>
      </w:r>
      <w:r>
        <w:rPr>
          <w:spacing w:val="-9"/>
        </w:rPr>
        <w:t> </w:t>
      </w:r>
      <w:r>
        <w:rPr>
          <w:spacing w:val="-4"/>
        </w:rPr>
        <w:t>per</w:t>
      </w:r>
      <w:r>
        <w:rPr>
          <w:spacing w:val="-10"/>
        </w:rPr>
        <w:t> </w:t>
      </w:r>
      <w:r>
        <w:rPr>
          <w:spacing w:val="-4"/>
        </w:rPr>
        <w:t>million</w:t>
      </w:r>
      <w:r>
        <w:rPr>
          <w:spacing w:val="-10"/>
        </w:rPr>
        <w:t> </w:t>
      </w:r>
      <w:r>
        <w:rPr>
          <w:spacing w:val="-4"/>
        </w:rPr>
        <w:t>inhabitants</w:t>
      </w:r>
      <w:r>
        <w:rPr>
          <w:spacing w:val="-10"/>
        </w:rPr>
        <w:t> </w:t>
      </w:r>
      <w:r>
        <w:rPr>
          <w:spacing w:val="-4"/>
        </w:rPr>
        <w:t>while </w:t>
      </w:r>
      <w:r>
        <w:rPr/>
        <w:t>India had only 112. Similarly, while the number of </w:t>
      </w:r>
      <w:r>
        <w:rPr>
          <w:spacing w:val="-4"/>
        </w:rPr>
        <w:t>doctorates</w:t>
      </w:r>
      <w:r>
        <w:rPr>
          <w:spacing w:val="-9"/>
        </w:rPr>
        <w:t> </w:t>
      </w:r>
      <w:r>
        <w:rPr>
          <w:spacing w:val="-4"/>
        </w:rPr>
        <w:t>increased</w:t>
      </w:r>
      <w:r>
        <w:rPr>
          <w:spacing w:val="-9"/>
        </w:rPr>
        <w:t> </w:t>
      </w:r>
      <w:r>
        <w:rPr>
          <w:spacing w:val="-4"/>
        </w:rPr>
        <w:t>by</w:t>
      </w:r>
      <w:r>
        <w:rPr>
          <w:spacing w:val="-9"/>
        </w:rPr>
        <w:t> </w:t>
      </w:r>
      <w:r>
        <w:rPr>
          <w:spacing w:val="-4"/>
        </w:rPr>
        <w:t>only</w:t>
      </w:r>
      <w:r>
        <w:rPr>
          <w:spacing w:val="-9"/>
        </w:rPr>
        <w:t> </w:t>
      </w:r>
      <w:r>
        <w:rPr>
          <w:spacing w:val="-4"/>
        </w:rPr>
        <w:t>20</w:t>
      </w:r>
      <w:r>
        <w:rPr>
          <w:spacing w:val="-9"/>
        </w:rPr>
        <w:t> </w:t>
      </w:r>
      <w:r>
        <w:rPr>
          <w:spacing w:val="-4"/>
        </w:rPr>
        <w:t>per</w:t>
      </w:r>
      <w:r>
        <w:rPr>
          <w:spacing w:val="-9"/>
        </w:rPr>
        <w:t> </w:t>
      </w:r>
      <w:r>
        <w:rPr>
          <w:spacing w:val="-4"/>
        </w:rPr>
        <w:t>cent</w:t>
      </w:r>
      <w:r>
        <w:rPr>
          <w:spacing w:val="-9"/>
        </w:rPr>
        <w:t> </w:t>
      </w:r>
      <w:r>
        <w:rPr>
          <w:spacing w:val="-4"/>
        </w:rPr>
        <w:t>in</w:t>
      </w:r>
      <w:r>
        <w:rPr>
          <w:spacing w:val="-9"/>
        </w:rPr>
        <w:t> </w:t>
      </w:r>
      <w:r>
        <w:rPr>
          <w:spacing w:val="-4"/>
        </w:rPr>
        <w:t>India,</w:t>
      </w:r>
      <w:r>
        <w:rPr>
          <w:spacing w:val="-9"/>
        </w:rPr>
        <w:t> </w:t>
      </w:r>
      <w:r>
        <w:rPr>
          <w:spacing w:val="-4"/>
        </w:rPr>
        <w:t>China </w:t>
      </w:r>
      <w:r>
        <w:rPr/>
        <w:t>showed</w:t>
      </w:r>
      <w:r>
        <w:rPr>
          <w:spacing w:val="-5"/>
        </w:rPr>
        <w:t> </w:t>
      </w:r>
      <w:r>
        <w:rPr/>
        <w:t>a</w:t>
      </w:r>
      <w:r>
        <w:rPr>
          <w:spacing w:val="-5"/>
        </w:rPr>
        <w:t> </w:t>
      </w:r>
      <w:r>
        <w:rPr/>
        <w:t>spectacular</w:t>
      </w:r>
      <w:r>
        <w:rPr>
          <w:spacing w:val="-5"/>
        </w:rPr>
        <w:t> </w:t>
      </w:r>
      <w:r>
        <w:rPr/>
        <w:t>growth</w:t>
      </w:r>
      <w:r>
        <w:rPr>
          <w:spacing w:val="-5"/>
        </w:rPr>
        <w:t> </w:t>
      </w:r>
      <w:r>
        <w:rPr/>
        <w:t>of</w:t>
      </w:r>
      <w:r>
        <w:rPr>
          <w:spacing w:val="-5"/>
        </w:rPr>
        <w:t> </w:t>
      </w:r>
      <w:r>
        <w:rPr/>
        <w:t>85</w:t>
      </w:r>
      <w:r>
        <w:rPr>
          <w:spacing w:val="-5"/>
        </w:rPr>
        <w:t> </w:t>
      </w:r>
      <w:r>
        <w:rPr/>
        <w:t>per</w:t>
      </w:r>
      <w:r>
        <w:rPr>
          <w:spacing w:val="-5"/>
        </w:rPr>
        <w:t> </w:t>
      </w:r>
      <w:r>
        <w:rPr/>
        <w:t>cent</w:t>
      </w:r>
      <w:r>
        <w:rPr>
          <w:spacing w:val="-5"/>
        </w:rPr>
        <w:t> </w:t>
      </w:r>
      <w:r>
        <w:rPr/>
        <w:t>in</w:t>
      </w:r>
      <w:r>
        <w:rPr>
          <w:spacing w:val="-5"/>
        </w:rPr>
        <w:t> </w:t>
      </w:r>
      <w:r>
        <w:rPr/>
        <w:t>Ph.Ds, </w:t>
      </w:r>
      <w:r>
        <w:rPr>
          <w:spacing w:val="-4"/>
        </w:rPr>
        <w:t>Taiwan</w:t>
      </w:r>
      <w:r>
        <w:rPr>
          <w:spacing w:val="-10"/>
        </w:rPr>
        <w:t> </w:t>
      </w:r>
      <w:r>
        <w:rPr>
          <w:spacing w:val="-4"/>
        </w:rPr>
        <w:t>57</w:t>
      </w:r>
      <w:r>
        <w:rPr>
          <w:spacing w:val="-10"/>
        </w:rPr>
        <w:t> </w:t>
      </w:r>
      <w:r>
        <w:rPr>
          <w:spacing w:val="-4"/>
        </w:rPr>
        <w:t>per</w:t>
      </w:r>
      <w:r>
        <w:rPr>
          <w:spacing w:val="-10"/>
        </w:rPr>
        <w:t> </w:t>
      </w:r>
      <w:r>
        <w:rPr>
          <w:spacing w:val="-4"/>
        </w:rPr>
        <w:t>cent</w:t>
      </w:r>
      <w:r>
        <w:rPr>
          <w:spacing w:val="-9"/>
        </w:rPr>
        <w:t> </w:t>
      </w:r>
      <w:r>
        <w:rPr>
          <w:spacing w:val="-4"/>
        </w:rPr>
        <w:t>and</w:t>
      </w:r>
      <w:r>
        <w:rPr>
          <w:spacing w:val="-10"/>
        </w:rPr>
        <w:t> </w:t>
      </w:r>
      <w:r>
        <w:rPr>
          <w:spacing w:val="-4"/>
        </w:rPr>
        <w:t>Japan</w:t>
      </w:r>
      <w:r>
        <w:rPr>
          <w:spacing w:val="-10"/>
        </w:rPr>
        <w:t> </w:t>
      </w:r>
      <w:r>
        <w:rPr>
          <w:spacing w:val="-4"/>
        </w:rPr>
        <w:t>48</w:t>
      </w:r>
      <w:r>
        <w:rPr>
          <w:spacing w:val="-10"/>
        </w:rPr>
        <w:t> </w:t>
      </w:r>
      <w:r>
        <w:rPr>
          <w:spacing w:val="-4"/>
        </w:rPr>
        <w:t>per</w:t>
      </w:r>
      <w:r>
        <w:rPr>
          <w:spacing w:val="-9"/>
        </w:rPr>
        <w:t> </w:t>
      </w:r>
      <w:r>
        <w:rPr>
          <w:spacing w:val="-4"/>
        </w:rPr>
        <w:t>cent</w:t>
      </w:r>
      <w:r>
        <w:rPr>
          <w:spacing w:val="-10"/>
        </w:rPr>
        <w:t> </w:t>
      </w:r>
      <w:r>
        <w:rPr>
          <w:spacing w:val="-4"/>
        </w:rPr>
        <w:t>between</w:t>
      </w:r>
      <w:r>
        <w:rPr>
          <w:spacing w:val="-10"/>
        </w:rPr>
        <w:t> </w:t>
      </w:r>
      <w:r>
        <w:rPr>
          <w:spacing w:val="-4"/>
        </w:rPr>
        <w:t>1991 </w:t>
      </w:r>
      <w:r>
        <w:rPr/>
        <w:t>and 2001.</w:t>
      </w:r>
    </w:p>
    <w:p>
      <w:pPr>
        <w:pStyle w:val="BodyText"/>
        <w:spacing w:before="22"/>
      </w:pPr>
    </w:p>
    <w:p>
      <w:pPr>
        <w:pStyle w:val="BodyText"/>
        <w:spacing w:line="266" w:lineRule="auto"/>
        <w:ind w:left="1104" w:right="1"/>
        <w:jc w:val="both"/>
      </w:pPr>
      <w:r>
        <w:rPr/>
        <w:t>Further, according to National Science Foundation, USA,</w:t>
      </w:r>
      <w:r>
        <w:rPr>
          <w:spacing w:val="60"/>
          <w:w w:val="150"/>
        </w:rPr>
        <w:t> </w:t>
      </w:r>
      <w:r>
        <w:rPr/>
        <w:t>the</w:t>
      </w:r>
      <w:r>
        <w:rPr>
          <w:spacing w:val="60"/>
          <w:w w:val="150"/>
        </w:rPr>
        <w:t> </w:t>
      </w:r>
      <w:r>
        <w:rPr/>
        <w:t>number</w:t>
      </w:r>
      <w:r>
        <w:rPr>
          <w:spacing w:val="60"/>
          <w:w w:val="150"/>
        </w:rPr>
        <w:t> </w:t>
      </w:r>
      <w:r>
        <w:rPr/>
        <w:t>of</w:t>
      </w:r>
      <w:r>
        <w:rPr>
          <w:spacing w:val="60"/>
          <w:w w:val="150"/>
        </w:rPr>
        <w:t> </w:t>
      </w:r>
      <w:r>
        <w:rPr/>
        <w:t>Indians</w:t>
      </w:r>
      <w:r>
        <w:rPr>
          <w:spacing w:val="61"/>
          <w:w w:val="150"/>
        </w:rPr>
        <w:t> </w:t>
      </w:r>
      <w:r>
        <w:rPr/>
        <w:t>who</w:t>
      </w:r>
      <w:r>
        <w:rPr>
          <w:spacing w:val="60"/>
          <w:w w:val="150"/>
        </w:rPr>
        <w:t> </w:t>
      </w:r>
      <w:r>
        <w:rPr/>
        <w:t>received</w:t>
      </w:r>
      <w:r>
        <w:rPr>
          <w:spacing w:val="60"/>
          <w:w w:val="150"/>
        </w:rPr>
        <w:t> </w:t>
      </w:r>
      <w:r>
        <w:rPr>
          <w:spacing w:val="-5"/>
        </w:rPr>
        <w:t>US</w:t>
      </w:r>
    </w:p>
    <w:p>
      <w:pPr>
        <w:pStyle w:val="BodyText"/>
        <w:spacing w:line="266" w:lineRule="auto" w:before="82"/>
        <w:ind w:left="319" w:right="1053"/>
        <w:jc w:val="both"/>
      </w:pPr>
      <w:r>
        <w:rPr/>
        <w:br w:type="column"/>
      </w:r>
      <w:r>
        <w:rPr/>
        <w:t>doctorate degrees in 2003 in science and engineering is</w:t>
      </w:r>
      <w:r>
        <w:rPr>
          <w:spacing w:val="40"/>
        </w:rPr>
        <w:t> </w:t>
      </w:r>
      <w:r>
        <w:rPr/>
        <w:t>approximately</w:t>
      </w:r>
      <w:r>
        <w:rPr>
          <w:spacing w:val="40"/>
        </w:rPr>
        <w:t> </w:t>
      </w:r>
      <w:r>
        <w:rPr/>
        <w:t>14000,</w:t>
      </w:r>
      <w:r>
        <w:rPr>
          <w:spacing w:val="40"/>
        </w:rPr>
        <w:t> </w:t>
      </w:r>
      <w:r>
        <w:rPr/>
        <w:t>a</w:t>
      </w:r>
      <w:r>
        <w:rPr>
          <w:spacing w:val="40"/>
        </w:rPr>
        <w:t> </w:t>
      </w:r>
      <w:r>
        <w:rPr/>
        <w:t>figure</w:t>
      </w:r>
      <w:r>
        <w:rPr>
          <w:spacing w:val="40"/>
        </w:rPr>
        <w:t> </w:t>
      </w:r>
      <w:r>
        <w:rPr/>
        <w:t>roughly</w:t>
      </w:r>
      <w:r>
        <w:rPr>
          <w:spacing w:val="40"/>
        </w:rPr>
        <w:t> </w:t>
      </w:r>
      <w:r>
        <w:rPr/>
        <w:t>double for Indian science and engineering doctorates who received</w:t>
      </w:r>
      <w:r>
        <w:rPr>
          <w:spacing w:val="40"/>
        </w:rPr>
        <w:t> </w:t>
      </w:r>
      <w:r>
        <w:rPr/>
        <w:t>degrees</w:t>
      </w:r>
      <w:r>
        <w:rPr>
          <w:spacing w:val="40"/>
        </w:rPr>
        <w:t> </w:t>
      </w:r>
      <w:r>
        <w:rPr/>
        <w:t>in</w:t>
      </w:r>
      <w:r>
        <w:rPr>
          <w:spacing w:val="40"/>
        </w:rPr>
        <w:t> </w:t>
      </w:r>
      <w:r>
        <w:rPr/>
        <w:t>India.</w:t>
      </w:r>
      <w:r>
        <w:rPr>
          <w:spacing w:val="40"/>
        </w:rPr>
        <w:t> </w:t>
      </w:r>
      <w:r>
        <w:rPr/>
        <w:t>Indians</w:t>
      </w:r>
      <w:r>
        <w:rPr>
          <w:spacing w:val="40"/>
        </w:rPr>
        <w:t> </w:t>
      </w:r>
      <w:r>
        <w:rPr/>
        <w:t>also</w:t>
      </w:r>
      <w:r>
        <w:rPr>
          <w:spacing w:val="40"/>
        </w:rPr>
        <w:t> </w:t>
      </w:r>
      <w:r>
        <w:rPr/>
        <w:t>earned</w:t>
      </w:r>
      <w:r>
        <w:rPr>
          <w:spacing w:val="40"/>
        </w:rPr>
        <w:t> </w:t>
      </w:r>
      <w:r>
        <w:rPr/>
        <w:t>by far the largest number of U.S. doctoral degrees awarded</w:t>
      </w:r>
      <w:r>
        <w:rPr>
          <w:spacing w:val="80"/>
          <w:w w:val="150"/>
        </w:rPr>
        <w:t> </w:t>
      </w:r>
      <w:r>
        <w:rPr/>
        <w:t>to</w:t>
      </w:r>
      <w:r>
        <w:rPr>
          <w:spacing w:val="80"/>
          <w:w w:val="150"/>
        </w:rPr>
        <w:t> </w:t>
      </w:r>
      <w:r>
        <w:rPr/>
        <w:t>any</w:t>
      </w:r>
      <w:r>
        <w:rPr>
          <w:spacing w:val="80"/>
          <w:w w:val="150"/>
        </w:rPr>
        <w:t> </w:t>
      </w:r>
      <w:r>
        <w:rPr/>
        <w:t>foreign</w:t>
      </w:r>
      <w:r>
        <w:rPr>
          <w:spacing w:val="80"/>
          <w:w w:val="150"/>
        </w:rPr>
        <w:t> </w:t>
      </w:r>
      <w:r>
        <w:rPr/>
        <w:t>group</w:t>
      </w:r>
      <w:r>
        <w:rPr>
          <w:spacing w:val="80"/>
          <w:w w:val="150"/>
        </w:rPr>
        <w:t> </w:t>
      </w:r>
      <w:r>
        <w:rPr/>
        <w:t>in</w:t>
      </w:r>
      <w:r>
        <w:rPr>
          <w:spacing w:val="80"/>
          <w:w w:val="150"/>
        </w:rPr>
        <w:t> </w:t>
      </w:r>
      <w:r>
        <w:rPr/>
        <w:t>computer</w:t>
      </w:r>
      <w:r>
        <w:rPr>
          <w:spacing w:val="40"/>
        </w:rPr>
        <w:t> </w:t>
      </w:r>
      <w:r>
        <w:rPr/>
        <w:t>and information sciences. This points out to the absence of a conducive research environment in </w:t>
      </w:r>
      <w:r>
        <w:rPr>
          <w:spacing w:val="-2"/>
        </w:rPr>
        <w:t>India.</w:t>
      </w:r>
    </w:p>
    <w:p>
      <w:pPr>
        <w:spacing w:after="0" w:line="266" w:lineRule="auto"/>
        <w:jc w:val="both"/>
        <w:sectPr>
          <w:type w:val="continuous"/>
          <w:pgSz w:w="11910" w:h="16840"/>
          <w:pgMar w:header="0" w:footer="675" w:top="1920" w:bottom="280" w:left="0" w:right="0"/>
          <w:cols w:num="2" w:equalWidth="0">
            <w:col w:w="5793" w:space="40"/>
            <w:col w:w="607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6"/>
        <w:rPr>
          <w:sz w:val="20"/>
        </w:rPr>
      </w:pPr>
    </w:p>
    <w:p>
      <w:pPr>
        <w:spacing w:after="0"/>
        <w:rPr>
          <w:sz w:val="20"/>
        </w:rPr>
        <w:sectPr>
          <w:pgSz w:w="11910" w:h="16840"/>
          <w:pgMar w:header="0" w:footer="675" w:top="0" w:bottom="860" w:left="0" w:right="0"/>
        </w:sectPr>
      </w:pPr>
    </w:p>
    <w:p>
      <w:pPr>
        <w:pStyle w:val="Heading6"/>
        <w:spacing w:before="79"/>
        <w:ind w:left="1060" w:firstLine="0"/>
      </w:pPr>
      <w:r>
        <w:rPr/>
        <mc:AlternateContent>
          <mc:Choice Requires="wps">
            <w:drawing>
              <wp:anchor distT="0" distB="0" distL="0" distR="0" allowOverlap="1" layoutInCell="1" locked="0" behindDoc="0" simplePos="0" relativeHeight="15866368">
                <wp:simplePos x="0" y="0"/>
                <wp:positionH relativeFrom="page">
                  <wp:posOffset>0</wp:posOffset>
                </wp:positionH>
                <wp:positionV relativeFrom="paragraph">
                  <wp:posOffset>-2389776</wp:posOffset>
                </wp:positionV>
                <wp:extent cx="7550784" cy="1752600"/>
                <wp:effectExtent l="0" t="0" r="0" b="0"/>
                <wp:wrapNone/>
                <wp:docPr id="2075" name="Group 2075"/>
                <wp:cNvGraphicFramePr>
                  <a:graphicFrameLocks/>
                </wp:cNvGraphicFramePr>
                <a:graphic>
                  <a:graphicData uri="http://schemas.microsoft.com/office/word/2010/wordprocessingGroup">
                    <wpg:wgp>
                      <wpg:cNvPr id="2075" name="Group 2075"/>
                      <wpg:cNvGrpSpPr/>
                      <wpg:grpSpPr>
                        <a:xfrm>
                          <a:off x="0" y="0"/>
                          <a:ext cx="7550784" cy="1752600"/>
                          <a:chExt cx="7550784" cy="1752600"/>
                        </a:xfrm>
                      </wpg:grpSpPr>
                      <pic:pic>
                        <pic:nvPicPr>
                          <pic:cNvPr id="2076" name="Image 2076"/>
                          <pic:cNvPicPr/>
                        </pic:nvPicPr>
                        <pic:blipFill>
                          <a:blip r:embed="rId700" cstate="print"/>
                          <a:stretch>
                            <a:fillRect/>
                          </a:stretch>
                        </pic:blipFill>
                        <pic:spPr>
                          <a:xfrm>
                            <a:off x="0" y="0"/>
                            <a:ext cx="7550543" cy="1752562"/>
                          </a:xfrm>
                          <a:prstGeom prst="rect">
                            <a:avLst/>
                          </a:prstGeom>
                        </pic:spPr>
                      </pic:pic>
                      <wps:wsp>
                        <wps:cNvPr id="2077" name="Textbox 2077"/>
                        <wps:cNvSpPr txBox="1"/>
                        <wps:spPr>
                          <a:xfrm>
                            <a:off x="0" y="0"/>
                            <a:ext cx="7550784" cy="1752600"/>
                          </a:xfrm>
                          <a:prstGeom prst="rect">
                            <a:avLst/>
                          </a:prstGeom>
                        </wps:spPr>
                        <wps:txbx>
                          <w:txbxContent>
                            <w:p>
                              <w:pPr>
                                <w:spacing w:line="240" w:lineRule="auto" w:before="160"/>
                                <w:rPr>
                                  <w:sz w:val="68"/>
                                </w:rPr>
                              </w:pPr>
                            </w:p>
                            <w:p>
                              <w:pPr>
                                <w:spacing w:before="1"/>
                                <w:ind w:left="1060" w:right="0" w:firstLine="0"/>
                                <w:jc w:val="left"/>
                                <w:rPr>
                                  <w:rFonts w:ascii="Trebuchet MS"/>
                                  <w:b/>
                                  <w:sz w:val="68"/>
                                </w:rPr>
                              </w:pPr>
                              <w:r>
                                <w:rPr>
                                  <w:rFonts w:ascii="Trebuchet MS"/>
                                  <w:b/>
                                  <w:color w:val="FFFFFF"/>
                                  <w:sz w:val="68"/>
                                </w:rPr>
                                <w:t>Intellectual</w:t>
                              </w:r>
                              <w:r>
                                <w:rPr>
                                  <w:rFonts w:ascii="Trebuchet MS"/>
                                  <w:b/>
                                  <w:color w:val="FFFFFF"/>
                                  <w:spacing w:val="-3"/>
                                  <w:sz w:val="68"/>
                                </w:rPr>
                                <w:t> </w:t>
                              </w:r>
                              <w:r>
                                <w:rPr>
                                  <w:rFonts w:ascii="Trebuchet MS"/>
                                  <w:b/>
                                  <w:color w:val="FFFFFF"/>
                                  <w:sz w:val="68"/>
                                </w:rPr>
                                <w:t>Property </w:t>
                              </w:r>
                              <w:r>
                                <w:rPr>
                                  <w:rFonts w:ascii="Trebuchet MS"/>
                                  <w:b/>
                                  <w:color w:val="FFFFFF"/>
                                  <w:spacing w:val="-2"/>
                                  <w:sz w:val="68"/>
                                </w:rPr>
                                <w:t>Rights</w:t>
                              </w:r>
                            </w:p>
                          </w:txbxContent>
                        </wps:txbx>
                        <wps:bodyPr wrap="square" lIns="0" tIns="0" rIns="0" bIns="0" rtlCol="0">
                          <a:noAutofit/>
                        </wps:bodyPr>
                      </wps:wsp>
                    </wpg:wgp>
                  </a:graphicData>
                </a:graphic>
              </wp:anchor>
            </w:drawing>
          </mc:Choice>
          <mc:Fallback>
            <w:pict>
              <v:group style="position:absolute;margin-left:0pt;margin-top:-188.171341pt;width:594.550pt;height:138pt;mso-position-horizontal-relative:page;mso-position-vertical-relative:paragraph;z-index:15866368" id="docshapegroup2061" coordorigin="0,-3763" coordsize="11891,2760">
                <v:shape style="position:absolute;left:0;top:-3764;width:11891;height:2760" type="#_x0000_t75" id="docshape2062" stroked="false">
                  <v:imagedata r:id="rId700" o:title=""/>
                </v:shape>
                <v:shape style="position:absolute;left:0;top:-3764;width:11891;height:2760" type="#_x0000_t202" id="docshape2063" filled="false" stroked="false">
                  <v:textbox inset="0,0,0,0">
                    <w:txbxContent>
                      <w:p>
                        <w:pPr>
                          <w:spacing w:line="240" w:lineRule="auto" w:before="160"/>
                          <w:rPr>
                            <w:sz w:val="68"/>
                          </w:rPr>
                        </w:pPr>
                      </w:p>
                      <w:p>
                        <w:pPr>
                          <w:spacing w:before="1"/>
                          <w:ind w:left="1060" w:right="0" w:firstLine="0"/>
                          <w:jc w:val="left"/>
                          <w:rPr>
                            <w:rFonts w:ascii="Trebuchet MS"/>
                            <w:b/>
                            <w:sz w:val="68"/>
                          </w:rPr>
                        </w:pPr>
                        <w:r>
                          <w:rPr>
                            <w:rFonts w:ascii="Trebuchet MS"/>
                            <w:b/>
                            <w:color w:val="FFFFFF"/>
                            <w:sz w:val="68"/>
                          </w:rPr>
                          <w:t>Intellectual</w:t>
                        </w:r>
                        <w:r>
                          <w:rPr>
                            <w:rFonts w:ascii="Trebuchet MS"/>
                            <w:b/>
                            <w:color w:val="FFFFFF"/>
                            <w:spacing w:val="-3"/>
                            <w:sz w:val="68"/>
                          </w:rPr>
                          <w:t> </w:t>
                        </w:r>
                        <w:r>
                          <w:rPr>
                            <w:rFonts w:ascii="Trebuchet MS"/>
                            <w:b/>
                            <w:color w:val="FFFFFF"/>
                            <w:sz w:val="68"/>
                          </w:rPr>
                          <w:t>Property </w:t>
                        </w:r>
                        <w:r>
                          <w:rPr>
                            <w:rFonts w:ascii="Trebuchet MS"/>
                            <w:b/>
                            <w:color w:val="FFFFFF"/>
                            <w:spacing w:val="-2"/>
                            <w:sz w:val="68"/>
                          </w:rPr>
                          <w:t>Rights</w:t>
                        </w:r>
                      </w:p>
                    </w:txbxContent>
                  </v:textbox>
                  <w10:wrap type="none"/>
                </v:shape>
                <w10:wrap type="none"/>
              </v:group>
            </w:pict>
          </mc:Fallback>
        </mc:AlternateContent>
      </w:r>
      <w:r>
        <w:rPr>
          <w:color w:val="2E614A"/>
          <w:spacing w:val="-2"/>
        </w:rPr>
        <w:t>Introduction</w:t>
      </w:r>
    </w:p>
    <w:p>
      <w:pPr>
        <w:pStyle w:val="BodyText"/>
        <w:spacing w:line="266" w:lineRule="auto" w:before="285"/>
        <w:ind w:left="1431"/>
        <w:jc w:val="both"/>
      </w:pPr>
      <w:r>
        <w:rPr/>
        <mc:AlternateContent>
          <mc:Choice Requires="wps">
            <w:drawing>
              <wp:anchor distT="0" distB="0" distL="0" distR="0" allowOverlap="1" layoutInCell="1" locked="0" behindDoc="1" simplePos="0" relativeHeight="479451648">
                <wp:simplePos x="0" y="0"/>
                <wp:positionH relativeFrom="page">
                  <wp:posOffset>673627</wp:posOffset>
                </wp:positionH>
                <wp:positionV relativeFrom="paragraph">
                  <wp:posOffset>92140</wp:posOffset>
                </wp:positionV>
                <wp:extent cx="228600" cy="757555"/>
                <wp:effectExtent l="0" t="0" r="0" b="0"/>
                <wp:wrapNone/>
                <wp:docPr id="2078" name="Textbox 2078"/>
                <wp:cNvGraphicFramePr>
                  <a:graphicFrameLocks/>
                </wp:cNvGraphicFramePr>
                <a:graphic>
                  <a:graphicData uri="http://schemas.microsoft.com/office/word/2010/wordprocessingShape">
                    <wps:wsp>
                      <wps:cNvPr id="2078" name="Textbox 2078"/>
                      <wps:cNvSpPr txBox="1"/>
                      <wps:spPr>
                        <a:xfrm>
                          <a:off x="0" y="0"/>
                          <a:ext cx="228600" cy="757555"/>
                        </a:xfrm>
                        <a:prstGeom prst="rect">
                          <a:avLst/>
                        </a:prstGeom>
                      </wps:spPr>
                      <wps:txbx>
                        <w:txbxContent>
                          <w:p>
                            <w:pPr>
                              <w:spacing w:line="1135" w:lineRule="exact" w:before="0"/>
                              <w:ind w:left="0" w:right="0" w:firstLine="0"/>
                              <w:jc w:val="left"/>
                              <w:rPr>
                                <w:sz w:val="106"/>
                              </w:rPr>
                            </w:pPr>
                            <w:r>
                              <w:rPr>
                                <w:color w:val="9CBF3B"/>
                                <w:spacing w:val="-10"/>
                                <w:sz w:val="106"/>
                              </w:rPr>
                              <w:t>I</w:t>
                            </w:r>
                          </w:p>
                        </w:txbxContent>
                      </wps:txbx>
                      <wps:bodyPr wrap="square" lIns="0" tIns="0" rIns="0" bIns="0" rtlCol="0">
                        <a:noAutofit/>
                      </wps:bodyPr>
                    </wps:wsp>
                  </a:graphicData>
                </a:graphic>
              </wp:anchor>
            </w:drawing>
          </mc:Choice>
          <mc:Fallback>
            <w:pict>
              <v:shape style="position:absolute;margin-left:53.041561pt;margin-top:7.255149pt;width:18pt;height:59.65pt;mso-position-horizontal-relative:page;mso-position-vertical-relative:paragraph;z-index:-23864832" type="#_x0000_t202" id="docshape2064" filled="false" stroked="false">
                <v:textbox inset="0,0,0,0">
                  <w:txbxContent>
                    <w:p>
                      <w:pPr>
                        <w:spacing w:line="1135" w:lineRule="exact" w:before="0"/>
                        <w:ind w:left="0" w:right="0" w:firstLine="0"/>
                        <w:jc w:val="left"/>
                        <w:rPr>
                          <w:sz w:val="106"/>
                        </w:rPr>
                      </w:pPr>
                      <w:r>
                        <w:rPr>
                          <w:color w:val="9CBF3B"/>
                          <w:spacing w:val="-10"/>
                          <w:sz w:val="106"/>
                        </w:rPr>
                        <w:t>I</w:t>
                      </w:r>
                    </w:p>
                  </w:txbxContent>
                </v:textbox>
                <w10:wrap type="none"/>
              </v:shape>
            </w:pict>
          </mc:Fallback>
        </mc:AlternateContent>
      </w:r>
      <w:r>
        <w:rPr/>
        <w:t>ntellectual property rights (IPR) have emerged</w:t>
      </w:r>
      <w:r>
        <w:rPr>
          <w:spacing w:val="40"/>
        </w:rPr>
        <w:t> </w:t>
      </w:r>
      <w:r>
        <w:rPr/>
        <w:t>as an indispensable strategic tool in today’s knowledge</w:t>
      </w:r>
      <w:r>
        <w:rPr>
          <w:spacing w:val="14"/>
        </w:rPr>
        <w:t> </w:t>
      </w:r>
      <w:r>
        <w:rPr/>
        <w:t>economies</w:t>
      </w:r>
      <w:r>
        <w:rPr>
          <w:spacing w:val="14"/>
        </w:rPr>
        <w:t> </w:t>
      </w:r>
      <w:r>
        <w:rPr/>
        <w:t>and</w:t>
      </w:r>
      <w:r>
        <w:rPr>
          <w:spacing w:val="14"/>
        </w:rPr>
        <w:t> </w:t>
      </w:r>
      <w:r>
        <w:rPr/>
        <w:t>societies,</w:t>
      </w:r>
      <w:r>
        <w:rPr>
          <w:spacing w:val="14"/>
        </w:rPr>
        <w:t> </w:t>
      </w:r>
      <w:r>
        <w:rPr>
          <w:spacing w:val="-2"/>
        </w:rPr>
        <w:t>particularly</w:t>
      </w:r>
    </w:p>
    <w:p>
      <w:pPr>
        <w:pStyle w:val="BodyText"/>
        <w:spacing w:line="266" w:lineRule="auto"/>
        <w:ind w:left="1060"/>
        <w:jc w:val="both"/>
      </w:pPr>
      <w:r>
        <w:rPr/>
        <w:t>in the context of economic globalisation. An entity’s ability</w:t>
      </w:r>
      <w:r>
        <w:rPr>
          <w:spacing w:val="30"/>
        </w:rPr>
        <w:t> </w:t>
      </w:r>
      <w:r>
        <w:rPr/>
        <w:t>to</w:t>
      </w:r>
      <w:r>
        <w:rPr>
          <w:spacing w:val="30"/>
        </w:rPr>
        <w:t> </w:t>
      </w:r>
      <w:r>
        <w:rPr/>
        <w:t>compete</w:t>
      </w:r>
      <w:r>
        <w:rPr>
          <w:spacing w:val="30"/>
        </w:rPr>
        <w:t> </w:t>
      </w:r>
      <w:r>
        <w:rPr/>
        <w:t>in</w:t>
      </w:r>
      <w:r>
        <w:rPr>
          <w:spacing w:val="30"/>
        </w:rPr>
        <w:t> </w:t>
      </w:r>
      <w:r>
        <w:rPr/>
        <w:t>the</w:t>
      </w:r>
      <w:r>
        <w:rPr>
          <w:spacing w:val="30"/>
        </w:rPr>
        <w:t> </w:t>
      </w:r>
      <w:r>
        <w:rPr/>
        <w:t>global</w:t>
      </w:r>
      <w:r>
        <w:rPr>
          <w:spacing w:val="30"/>
        </w:rPr>
        <w:t> </w:t>
      </w:r>
      <w:r>
        <w:rPr/>
        <w:t>market</w:t>
      </w:r>
      <w:r>
        <w:rPr>
          <w:spacing w:val="30"/>
        </w:rPr>
        <w:t> </w:t>
      </w:r>
      <w:r>
        <w:rPr/>
        <w:t>depends</w:t>
      </w:r>
      <w:r>
        <w:rPr>
          <w:spacing w:val="30"/>
        </w:rPr>
        <w:t> </w:t>
      </w:r>
      <w:r>
        <w:rPr/>
        <w:t>to a large extent on its capacity to generate new ideas </w:t>
      </w:r>
      <w:r>
        <w:rPr>
          <w:spacing w:val="-2"/>
        </w:rPr>
        <w:t>through</w:t>
      </w:r>
      <w:r>
        <w:rPr>
          <w:spacing w:val="-8"/>
        </w:rPr>
        <w:t> </w:t>
      </w:r>
      <w:r>
        <w:rPr>
          <w:spacing w:val="-2"/>
        </w:rPr>
        <w:t>innovation</w:t>
      </w:r>
      <w:r>
        <w:rPr>
          <w:spacing w:val="-8"/>
        </w:rPr>
        <w:t> </w:t>
      </w:r>
      <w:r>
        <w:rPr>
          <w:spacing w:val="-2"/>
        </w:rPr>
        <w:t>in</w:t>
      </w:r>
      <w:r>
        <w:rPr>
          <w:spacing w:val="-8"/>
        </w:rPr>
        <w:t> </w:t>
      </w:r>
      <w:r>
        <w:rPr>
          <w:spacing w:val="-2"/>
        </w:rPr>
        <w:t>science</w:t>
      </w:r>
      <w:r>
        <w:rPr>
          <w:spacing w:val="-8"/>
        </w:rPr>
        <w:t> </w:t>
      </w:r>
      <w:r>
        <w:rPr>
          <w:spacing w:val="-2"/>
        </w:rPr>
        <w:t>and</w:t>
      </w:r>
      <w:r>
        <w:rPr>
          <w:spacing w:val="-8"/>
        </w:rPr>
        <w:t> </w:t>
      </w:r>
      <w:r>
        <w:rPr>
          <w:spacing w:val="-2"/>
        </w:rPr>
        <w:t>technology.</w:t>
      </w:r>
      <w:r>
        <w:rPr>
          <w:spacing w:val="-8"/>
        </w:rPr>
        <w:t> </w:t>
      </w:r>
      <w:r>
        <w:rPr>
          <w:spacing w:val="-2"/>
        </w:rPr>
        <w:t>IPR,</w:t>
      </w:r>
      <w:r>
        <w:rPr>
          <w:spacing w:val="-8"/>
        </w:rPr>
        <w:t> </w:t>
      </w:r>
      <w:r>
        <w:rPr>
          <w:spacing w:val="-2"/>
        </w:rPr>
        <w:t>by </w:t>
      </w:r>
      <w:r>
        <w:rPr/>
        <w:t>conferring</w:t>
      </w:r>
      <w:r>
        <w:rPr>
          <w:spacing w:val="-8"/>
        </w:rPr>
        <w:t> </w:t>
      </w:r>
      <w:r>
        <w:rPr/>
        <w:t>exclusive</w:t>
      </w:r>
      <w:r>
        <w:rPr>
          <w:spacing w:val="-8"/>
        </w:rPr>
        <w:t> </w:t>
      </w:r>
      <w:r>
        <w:rPr/>
        <w:t>monopoly</w:t>
      </w:r>
      <w:r>
        <w:rPr>
          <w:spacing w:val="-8"/>
        </w:rPr>
        <w:t> </w:t>
      </w:r>
      <w:r>
        <w:rPr/>
        <w:t>rights</w:t>
      </w:r>
      <w:r>
        <w:rPr>
          <w:spacing w:val="-8"/>
        </w:rPr>
        <w:t> </w:t>
      </w:r>
      <w:r>
        <w:rPr/>
        <w:t>to</w:t>
      </w:r>
      <w:r>
        <w:rPr>
          <w:spacing w:val="-8"/>
        </w:rPr>
        <w:t> </w:t>
      </w:r>
      <w:r>
        <w:rPr/>
        <w:t>its</w:t>
      </w:r>
      <w:r>
        <w:rPr>
          <w:spacing w:val="-8"/>
        </w:rPr>
        <w:t> </w:t>
      </w:r>
      <w:r>
        <w:rPr/>
        <w:t>owner</w:t>
      </w:r>
      <w:r>
        <w:rPr>
          <w:spacing w:val="-8"/>
        </w:rPr>
        <w:t> </w:t>
      </w:r>
      <w:r>
        <w:rPr/>
        <w:t>for a</w:t>
      </w:r>
      <w:r>
        <w:rPr>
          <w:spacing w:val="-9"/>
        </w:rPr>
        <w:t> </w:t>
      </w:r>
      <w:r>
        <w:rPr/>
        <w:t>limited</w:t>
      </w:r>
      <w:r>
        <w:rPr>
          <w:spacing w:val="-9"/>
        </w:rPr>
        <w:t> </w:t>
      </w:r>
      <w:r>
        <w:rPr/>
        <w:t>duration,</w:t>
      </w:r>
      <w:r>
        <w:rPr>
          <w:spacing w:val="-9"/>
        </w:rPr>
        <w:t> </w:t>
      </w:r>
      <w:r>
        <w:rPr/>
        <w:t>has</w:t>
      </w:r>
      <w:r>
        <w:rPr>
          <w:spacing w:val="-9"/>
        </w:rPr>
        <w:t> </w:t>
      </w:r>
      <w:r>
        <w:rPr/>
        <w:t>emerged</w:t>
      </w:r>
      <w:r>
        <w:rPr>
          <w:spacing w:val="-9"/>
        </w:rPr>
        <w:t> </w:t>
      </w:r>
      <w:r>
        <w:rPr/>
        <w:t>as</w:t>
      </w:r>
      <w:r>
        <w:rPr>
          <w:spacing w:val="-9"/>
        </w:rPr>
        <w:t> </w:t>
      </w:r>
      <w:r>
        <w:rPr/>
        <w:t>a</w:t>
      </w:r>
      <w:r>
        <w:rPr>
          <w:spacing w:val="-9"/>
        </w:rPr>
        <w:t> </w:t>
      </w:r>
      <w:r>
        <w:rPr/>
        <w:t>significant</w:t>
      </w:r>
      <w:r>
        <w:rPr>
          <w:spacing w:val="-9"/>
        </w:rPr>
        <w:t> </w:t>
      </w:r>
      <w:r>
        <w:rPr/>
        <w:t>factor in creating incentives for innovation and generation of</w:t>
      </w:r>
      <w:r>
        <w:rPr>
          <w:spacing w:val="-1"/>
        </w:rPr>
        <w:t> </w:t>
      </w:r>
      <w:r>
        <w:rPr/>
        <w:t>economic</w:t>
      </w:r>
      <w:r>
        <w:rPr>
          <w:spacing w:val="-1"/>
        </w:rPr>
        <w:t> </w:t>
      </w:r>
      <w:r>
        <w:rPr/>
        <w:t>value.</w:t>
      </w:r>
      <w:r>
        <w:rPr>
          <w:spacing w:val="-1"/>
        </w:rPr>
        <w:t> </w:t>
      </w:r>
      <w:r>
        <w:rPr/>
        <w:t>An</w:t>
      </w:r>
      <w:r>
        <w:rPr>
          <w:spacing w:val="-1"/>
        </w:rPr>
        <w:t> </w:t>
      </w:r>
      <w:r>
        <w:rPr/>
        <w:t>effective</w:t>
      </w:r>
      <w:r>
        <w:rPr>
          <w:spacing w:val="-1"/>
        </w:rPr>
        <w:t> </w:t>
      </w:r>
      <w:r>
        <w:rPr/>
        <w:t>IPR</w:t>
      </w:r>
      <w:r>
        <w:rPr>
          <w:spacing w:val="-1"/>
        </w:rPr>
        <w:t> </w:t>
      </w:r>
      <w:r>
        <w:rPr/>
        <w:t>system</w:t>
      </w:r>
      <w:r>
        <w:rPr>
          <w:spacing w:val="-1"/>
        </w:rPr>
        <w:t> </w:t>
      </w:r>
      <w:r>
        <w:rPr/>
        <w:t>is</w:t>
      </w:r>
      <w:r>
        <w:rPr>
          <w:spacing w:val="-1"/>
        </w:rPr>
        <w:t> </w:t>
      </w:r>
      <w:r>
        <w:rPr/>
        <w:t>also</w:t>
      </w:r>
      <w:r>
        <w:rPr>
          <w:spacing w:val="-1"/>
        </w:rPr>
        <w:t> </w:t>
      </w:r>
      <w:r>
        <w:rPr/>
        <w:t>a constituent of a reliable legal environment, which in turn becomes an important factor for decisions on foreign investment and technology transfer.</w:t>
      </w:r>
    </w:p>
    <w:p>
      <w:pPr>
        <w:pStyle w:val="Heading6"/>
        <w:spacing w:before="176"/>
        <w:ind w:left="1060" w:firstLine="0"/>
      </w:pPr>
      <w:r>
        <w:rPr>
          <w:color w:val="2E614A"/>
          <w:w w:val="90"/>
        </w:rPr>
        <w:t>Current</w:t>
      </w:r>
      <w:r>
        <w:rPr>
          <w:color w:val="2E614A"/>
          <w:spacing w:val="-1"/>
          <w:w w:val="90"/>
        </w:rPr>
        <w:t> </w:t>
      </w:r>
      <w:r>
        <w:rPr>
          <w:color w:val="2E614A"/>
          <w:spacing w:val="-2"/>
        </w:rPr>
        <w:t>Scenario</w:t>
      </w:r>
    </w:p>
    <w:p>
      <w:pPr>
        <w:pStyle w:val="BodyText"/>
        <w:spacing w:line="266" w:lineRule="auto" w:before="285"/>
        <w:ind w:left="1060"/>
        <w:jc w:val="both"/>
      </w:pPr>
      <w:r>
        <w:rPr>
          <w:b/>
        </w:rPr>
        <w:t>Patent</w:t>
      </w:r>
      <w:r>
        <w:rPr>
          <w:b/>
          <w:spacing w:val="80"/>
        </w:rPr>
        <w:t> </w:t>
      </w:r>
      <w:r>
        <w:rPr>
          <w:b/>
        </w:rPr>
        <w:t>trends:</w:t>
      </w:r>
      <w:r>
        <w:rPr>
          <w:b/>
          <w:spacing w:val="80"/>
        </w:rPr>
        <w:t> </w:t>
      </w:r>
      <w:r>
        <w:rPr/>
        <w:t>India</w:t>
      </w:r>
      <w:r>
        <w:rPr>
          <w:spacing w:val="80"/>
        </w:rPr>
        <w:t> </w:t>
      </w:r>
      <w:r>
        <w:rPr/>
        <w:t>has</w:t>
      </w:r>
      <w:r>
        <w:rPr>
          <w:spacing w:val="80"/>
        </w:rPr>
        <w:t> </w:t>
      </w:r>
      <w:r>
        <w:rPr/>
        <w:t>witnessed</w:t>
      </w:r>
      <w:r>
        <w:rPr>
          <w:spacing w:val="80"/>
        </w:rPr>
        <w:t> </w:t>
      </w:r>
      <w:r>
        <w:rPr/>
        <w:t>a</w:t>
      </w:r>
      <w:r>
        <w:rPr>
          <w:spacing w:val="80"/>
        </w:rPr>
        <w:t> </w:t>
      </w:r>
      <w:r>
        <w:rPr/>
        <w:t>marked rise in the number of patent applications filed.</w:t>
      </w:r>
      <w:r>
        <w:rPr>
          <w:spacing w:val="80"/>
          <w:w w:val="150"/>
        </w:rPr>
        <w:t> </w:t>
      </w:r>
      <w:r>
        <w:rPr/>
        <w:t>While in 1992, 3467 applications were filed, in</w:t>
      </w:r>
      <w:r>
        <w:rPr>
          <w:spacing w:val="40"/>
        </w:rPr>
        <w:t> </w:t>
      </w:r>
      <w:r>
        <w:rPr/>
        <w:t>2006-07,</w:t>
      </w:r>
      <w:r>
        <w:rPr>
          <w:spacing w:val="26"/>
        </w:rPr>
        <w:t>  </w:t>
      </w:r>
      <w:r>
        <w:rPr/>
        <w:t>almost</w:t>
      </w:r>
      <w:r>
        <w:rPr>
          <w:spacing w:val="27"/>
        </w:rPr>
        <w:t>  </w:t>
      </w:r>
      <w:r>
        <w:rPr/>
        <w:t>29000</w:t>
      </w:r>
      <w:r>
        <w:rPr>
          <w:spacing w:val="26"/>
        </w:rPr>
        <w:t>  </w:t>
      </w:r>
      <w:r>
        <w:rPr/>
        <w:t>applications</w:t>
      </w:r>
      <w:r>
        <w:rPr>
          <w:spacing w:val="27"/>
        </w:rPr>
        <w:t>  </w:t>
      </w:r>
      <w:r>
        <w:rPr/>
        <w:t>were</w:t>
      </w:r>
      <w:r>
        <w:rPr>
          <w:spacing w:val="27"/>
        </w:rPr>
        <w:t>  </w:t>
      </w:r>
      <w:r>
        <w:rPr>
          <w:spacing w:val="-2"/>
        </w:rPr>
        <w:t>filed.</w:t>
      </w:r>
    </w:p>
    <w:p>
      <w:pPr>
        <w:pStyle w:val="BodyText"/>
        <w:spacing w:line="266" w:lineRule="auto" w:before="184"/>
        <w:ind w:left="319" w:right="1097"/>
        <w:jc w:val="both"/>
      </w:pPr>
      <w:r>
        <w:rPr/>
        <w:br w:type="column"/>
      </w:r>
      <w:r>
        <w:rPr/>
        <w:t>Similarly,</w:t>
      </w:r>
      <w:r>
        <w:rPr>
          <w:spacing w:val="32"/>
        </w:rPr>
        <w:t> </w:t>
      </w:r>
      <w:r>
        <w:rPr/>
        <w:t>number</w:t>
      </w:r>
      <w:r>
        <w:rPr>
          <w:spacing w:val="32"/>
        </w:rPr>
        <w:t> </w:t>
      </w:r>
      <w:r>
        <w:rPr/>
        <w:t>of</w:t>
      </w:r>
      <w:r>
        <w:rPr>
          <w:spacing w:val="32"/>
        </w:rPr>
        <w:t> </w:t>
      </w:r>
      <w:r>
        <w:rPr/>
        <w:t>patents</w:t>
      </w:r>
      <w:r>
        <w:rPr>
          <w:spacing w:val="32"/>
        </w:rPr>
        <w:t> </w:t>
      </w:r>
      <w:r>
        <w:rPr/>
        <w:t>granted</w:t>
      </w:r>
      <w:r>
        <w:rPr>
          <w:spacing w:val="32"/>
        </w:rPr>
        <w:t> </w:t>
      </w:r>
      <w:r>
        <w:rPr/>
        <w:t>has</w:t>
      </w:r>
      <w:r>
        <w:rPr>
          <w:spacing w:val="32"/>
        </w:rPr>
        <w:t> </w:t>
      </w:r>
      <w:r>
        <w:rPr/>
        <w:t>increased –</w:t>
      </w:r>
      <w:r>
        <w:rPr>
          <w:spacing w:val="40"/>
        </w:rPr>
        <w:t> </w:t>
      </w:r>
      <w:r>
        <w:rPr/>
        <w:t>although</w:t>
      </w:r>
      <w:r>
        <w:rPr>
          <w:spacing w:val="40"/>
        </w:rPr>
        <w:t> </w:t>
      </w:r>
      <w:r>
        <w:rPr/>
        <w:t>less</w:t>
      </w:r>
      <w:r>
        <w:rPr>
          <w:spacing w:val="40"/>
        </w:rPr>
        <w:t> </w:t>
      </w:r>
      <w:r>
        <w:rPr/>
        <w:t>rapidly.</w:t>
      </w:r>
      <w:r>
        <w:rPr>
          <w:spacing w:val="40"/>
        </w:rPr>
        <w:t> </w:t>
      </w:r>
      <w:r>
        <w:rPr/>
        <w:t>In</w:t>
      </w:r>
      <w:r>
        <w:rPr>
          <w:spacing w:val="40"/>
        </w:rPr>
        <w:t> </w:t>
      </w:r>
      <w:r>
        <w:rPr/>
        <w:t>the</w:t>
      </w:r>
      <w:r>
        <w:rPr>
          <w:spacing w:val="40"/>
        </w:rPr>
        <w:t> </w:t>
      </w:r>
      <w:r>
        <w:rPr/>
        <w:t>past</w:t>
      </w:r>
      <w:r>
        <w:rPr>
          <w:spacing w:val="40"/>
        </w:rPr>
        <w:t> </w:t>
      </w:r>
      <w:r>
        <w:rPr/>
        <w:t>five</w:t>
      </w:r>
      <w:r>
        <w:rPr>
          <w:spacing w:val="40"/>
        </w:rPr>
        <w:t> </w:t>
      </w:r>
      <w:r>
        <w:rPr/>
        <w:t>years, patent grants have shown a more than five-fold </w:t>
      </w:r>
      <w:r>
        <w:rPr>
          <w:spacing w:val="-2"/>
        </w:rPr>
        <w:t>increase.</w:t>
      </w:r>
    </w:p>
    <w:p>
      <w:pPr>
        <w:pStyle w:val="BodyText"/>
        <w:spacing w:before="24"/>
      </w:pPr>
    </w:p>
    <w:p>
      <w:pPr>
        <w:pStyle w:val="BodyText"/>
        <w:spacing w:line="266" w:lineRule="auto"/>
        <w:ind w:left="319" w:right="1096"/>
        <w:jc w:val="both"/>
      </w:pPr>
      <w:r>
        <w:rPr/>
        <w:t>Further,</w:t>
      </w:r>
      <w:r>
        <w:rPr>
          <w:spacing w:val="-11"/>
        </w:rPr>
        <w:t> </w:t>
      </w:r>
      <w:r>
        <w:rPr/>
        <w:t>of</w:t>
      </w:r>
      <w:r>
        <w:rPr>
          <w:spacing w:val="-11"/>
        </w:rPr>
        <w:t> </w:t>
      </w:r>
      <w:r>
        <w:rPr/>
        <w:t>the</w:t>
      </w:r>
      <w:r>
        <w:rPr>
          <w:spacing w:val="-11"/>
        </w:rPr>
        <w:t> </w:t>
      </w:r>
      <w:r>
        <w:rPr/>
        <w:t>total</w:t>
      </w:r>
      <w:r>
        <w:rPr>
          <w:spacing w:val="-11"/>
        </w:rPr>
        <w:t> </w:t>
      </w:r>
      <w:r>
        <w:rPr/>
        <w:t>of</w:t>
      </w:r>
      <w:r>
        <w:rPr>
          <w:spacing w:val="-11"/>
        </w:rPr>
        <w:t> </w:t>
      </w:r>
      <w:r>
        <w:rPr/>
        <w:t>28940</w:t>
      </w:r>
      <w:r>
        <w:rPr>
          <w:spacing w:val="-11"/>
        </w:rPr>
        <w:t> </w:t>
      </w:r>
      <w:r>
        <w:rPr/>
        <w:t>applications</w:t>
      </w:r>
      <w:r>
        <w:rPr>
          <w:spacing w:val="-11"/>
        </w:rPr>
        <w:t> </w:t>
      </w:r>
      <w:r>
        <w:rPr/>
        <w:t>in</w:t>
      </w:r>
      <w:r>
        <w:rPr>
          <w:spacing w:val="-11"/>
        </w:rPr>
        <w:t> </w:t>
      </w:r>
      <w:r>
        <w:rPr/>
        <w:t>2006-07, only 18 per cent were filed by Indian residents – the remaining were filed by foreign applicants. This in sharp contrast with countries such as USA, China, France, Germany, Korea and UK, where domestic patent application filing is much higher than foreign </w:t>
      </w:r>
      <w:r>
        <w:rPr>
          <w:spacing w:val="-2"/>
        </w:rPr>
        <w:t>applications.</w:t>
      </w:r>
    </w:p>
    <w:p>
      <w:pPr>
        <w:pStyle w:val="BodyText"/>
        <w:spacing w:before="21"/>
      </w:pPr>
    </w:p>
    <w:p>
      <w:pPr>
        <w:pStyle w:val="BodyText"/>
        <w:spacing w:line="266" w:lineRule="auto" w:before="1"/>
        <w:ind w:left="319" w:right="1096"/>
        <w:jc w:val="both"/>
      </w:pPr>
      <w:r>
        <w:rPr/>
        <w:t>A sector-wise analysis of patents filed in India show that the chemical, mechanical and computer </w:t>
      </w:r>
      <w:r>
        <w:rPr/>
        <w:t>fields rank the highest in terms of number of applications filed.</w:t>
      </w:r>
      <w:r>
        <w:rPr>
          <w:spacing w:val="-14"/>
        </w:rPr>
        <w:t> </w:t>
      </w:r>
      <w:r>
        <w:rPr/>
        <w:t>However,</w:t>
      </w:r>
      <w:r>
        <w:rPr>
          <w:spacing w:val="-14"/>
        </w:rPr>
        <w:t> </w:t>
      </w:r>
      <w:r>
        <w:rPr/>
        <w:t>the</w:t>
      </w:r>
      <w:r>
        <w:rPr>
          <w:spacing w:val="-14"/>
        </w:rPr>
        <w:t> </w:t>
      </w:r>
      <w:r>
        <w:rPr/>
        <w:t>food,</w:t>
      </w:r>
      <w:r>
        <w:rPr>
          <w:spacing w:val="-13"/>
        </w:rPr>
        <w:t> </w:t>
      </w:r>
      <w:r>
        <w:rPr/>
        <w:t>biotechnology</w:t>
      </w:r>
      <w:r>
        <w:rPr>
          <w:spacing w:val="-14"/>
        </w:rPr>
        <w:t> </w:t>
      </w:r>
      <w:r>
        <w:rPr/>
        <w:t>and</w:t>
      </w:r>
      <w:r>
        <w:rPr>
          <w:spacing w:val="-14"/>
        </w:rPr>
        <w:t> </w:t>
      </w:r>
      <w:r>
        <w:rPr/>
        <w:t>electrical industries have seen the highest growth in the last three years.</w:t>
      </w:r>
    </w:p>
    <w:p>
      <w:pPr>
        <w:pStyle w:val="BodyText"/>
        <w:spacing w:before="22"/>
      </w:pPr>
    </w:p>
    <w:p>
      <w:pPr>
        <w:pStyle w:val="BodyText"/>
        <w:spacing w:line="266" w:lineRule="auto"/>
        <w:ind w:left="319" w:right="1096"/>
        <w:jc w:val="both"/>
      </w:pPr>
      <w:r>
        <w:rPr>
          <w:b/>
          <w:spacing w:val="-4"/>
        </w:rPr>
        <w:t>International</w:t>
      </w:r>
      <w:r>
        <w:rPr>
          <w:b/>
          <w:spacing w:val="-7"/>
        </w:rPr>
        <w:t> </w:t>
      </w:r>
      <w:r>
        <w:rPr>
          <w:b/>
          <w:spacing w:val="-4"/>
        </w:rPr>
        <w:t>comparisons:</w:t>
      </w:r>
      <w:r>
        <w:rPr>
          <w:b/>
          <w:spacing w:val="-7"/>
        </w:rPr>
        <w:t> </w:t>
      </w:r>
      <w:r>
        <w:rPr>
          <w:spacing w:val="-4"/>
        </w:rPr>
        <w:t>India</w:t>
      </w:r>
      <w:r>
        <w:rPr>
          <w:spacing w:val="-7"/>
        </w:rPr>
        <w:t> </w:t>
      </w:r>
      <w:r>
        <w:rPr>
          <w:spacing w:val="-4"/>
        </w:rPr>
        <w:t>figures</w:t>
      </w:r>
      <w:r>
        <w:rPr>
          <w:spacing w:val="-7"/>
        </w:rPr>
        <w:t> </w:t>
      </w:r>
      <w:r>
        <w:rPr>
          <w:spacing w:val="-4"/>
        </w:rPr>
        <w:t>in</w:t>
      </w:r>
      <w:r>
        <w:rPr>
          <w:spacing w:val="-7"/>
        </w:rPr>
        <w:t> </w:t>
      </w:r>
      <w:r>
        <w:rPr>
          <w:spacing w:val="-4"/>
        </w:rPr>
        <w:t>the</w:t>
      </w:r>
      <w:r>
        <w:rPr>
          <w:spacing w:val="-7"/>
        </w:rPr>
        <w:t> </w:t>
      </w:r>
      <w:r>
        <w:rPr>
          <w:spacing w:val="-4"/>
        </w:rPr>
        <w:t>top</w:t>
      </w:r>
      <w:r>
        <w:rPr>
          <w:spacing w:val="-7"/>
        </w:rPr>
        <w:t> </w:t>
      </w:r>
      <w:r>
        <w:rPr>
          <w:spacing w:val="-4"/>
        </w:rPr>
        <w:t>20 </w:t>
      </w:r>
      <w:r>
        <w:rPr/>
        <w:t>patent</w:t>
      </w:r>
      <w:r>
        <w:rPr>
          <w:spacing w:val="-14"/>
        </w:rPr>
        <w:t> </w:t>
      </w:r>
      <w:r>
        <w:rPr/>
        <w:t>offices,</w:t>
      </w:r>
      <w:r>
        <w:rPr>
          <w:spacing w:val="-14"/>
        </w:rPr>
        <w:t> </w:t>
      </w:r>
      <w:r>
        <w:rPr/>
        <w:t>both</w:t>
      </w:r>
      <w:r>
        <w:rPr>
          <w:spacing w:val="-14"/>
        </w:rPr>
        <w:t> </w:t>
      </w:r>
      <w:r>
        <w:rPr/>
        <w:t>by</w:t>
      </w:r>
      <w:r>
        <w:rPr>
          <w:spacing w:val="-13"/>
        </w:rPr>
        <w:t> </w:t>
      </w:r>
      <w:r>
        <w:rPr/>
        <w:t>patent</w:t>
      </w:r>
      <w:r>
        <w:rPr>
          <w:spacing w:val="-14"/>
        </w:rPr>
        <w:t> </w:t>
      </w:r>
      <w:r>
        <w:rPr/>
        <w:t>filings</w:t>
      </w:r>
      <w:r>
        <w:rPr>
          <w:spacing w:val="-14"/>
        </w:rPr>
        <w:t> </w:t>
      </w:r>
      <w:r>
        <w:rPr/>
        <w:t>and</w:t>
      </w:r>
      <w:r>
        <w:rPr>
          <w:spacing w:val="-14"/>
        </w:rPr>
        <w:t> </w:t>
      </w:r>
      <w:r>
        <w:rPr/>
        <w:t>patent</w:t>
      </w:r>
      <w:r>
        <w:rPr>
          <w:spacing w:val="-13"/>
        </w:rPr>
        <w:t> </w:t>
      </w:r>
      <w:r>
        <w:rPr/>
        <w:t>grants. Its ranking</w:t>
      </w:r>
      <w:r>
        <w:rPr>
          <w:spacing w:val="1"/>
        </w:rPr>
        <w:t> </w:t>
      </w:r>
      <w:r>
        <w:rPr/>
        <w:t>further</w:t>
      </w:r>
      <w:r>
        <w:rPr>
          <w:spacing w:val="1"/>
        </w:rPr>
        <w:t> </w:t>
      </w:r>
      <w:r>
        <w:rPr/>
        <w:t>improves</w:t>
      </w:r>
      <w:r>
        <w:rPr>
          <w:spacing w:val="1"/>
        </w:rPr>
        <w:t> </w:t>
      </w:r>
      <w:r>
        <w:rPr/>
        <w:t>if</w:t>
      </w:r>
      <w:r>
        <w:rPr>
          <w:spacing w:val="1"/>
        </w:rPr>
        <w:t> </w:t>
      </w:r>
      <w:r>
        <w:rPr/>
        <w:t>one takes</w:t>
      </w:r>
      <w:r>
        <w:rPr>
          <w:spacing w:val="1"/>
        </w:rPr>
        <w:t> </w:t>
      </w:r>
      <w:r>
        <w:rPr/>
        <w:t>into</w:t>
      </w:r>
      <w:r>
        <w:rPr>
          <w:spacing w:val="1"/>
        </w:rPr>
        <w:t> </w:t>
      </w:r>
      <w:r>
        <w:rPr>
          <w:spacing w:val="-2"/>
        </w:rPr>
        <w:t>account</w:t>
      </w:r>
    </w:p>
    <w:p>
      <w:pPr>
        <w:spacing w:after="0" w:line="266" w:lineRule="auto"/>
        <w:jc w:val="both"/>
        <w:sectPr>
          <w:type w:val="continuous"/>
          <w:pgSz w:w="11910" w:h="16840"/>
          <w:pgMar w:header="0" w:footer="675" w:top="1920" w:bottom="280" w:left="0" w:right="0"/>
          <w:cols w:num="2" w:equalWidth="0">
            <w:col w:w="5755" w:space="40"/>
            <w:col w:w="6115"/>
          </w:cols>
        </w:sectPr>
      </w:pPr>
    </w:p>
    <w:p>
      <w:pPr>
        <w:pStyle w:val="BodyText"/>
        <w:spacing w:before="182"/>
        <w:rPr>
          <w:sz w:val="24"/>
        </w:rPr>
      </w:pPr>
    </w:p>
    <w:p>
      <w:pPr>
        <w:pStyle w:val="Heading8"/>
        <w:ind w:left="1960"/>
      </w:pPr>
      <w:r>
        <w:rPr/>
        <mc:AlternateContent>
          <mc:Choice Requires="wps">
            <w:drawing>
              <wp:anchor distT="0" distB="0" distL="0" distR="0" allowOverlap="1" layoutInCell="1" locked="0" behindDoc="0" simplePos="0" relativeHeight="15866880">
                <wp:simplePos x="0" y="0"/>
                <wp:positionH relativeFrom="page">
                  <wp:posOffset>1245127</wp:posOffset>
                </wp:positionH>
                <wp:positionV relativeFrom="paragraph">
                  <wp:posOffset>239571</wp:posOffset>
                </wp:positionV>
                <wp:extent cx="5045710" cy="2426970"/>
                <wp:effectExtent l="0" t="0" r="0" b="0"/>
                <wp:wrapNone/>
                <wp:docPr id="2079" name="Group 2079"/>
                <wp:cNvGraphicFramePr>
                  <a:graphicFrameLocks/>
                </wp:cNvGraphicFramePr>
                <a:graphic>
                  <a:graphicData uri="http://schemas.microsoft.com/office/word/2010/wordprocessingGroup">
                    <wpg:wgp>
                      <wpg:cNvPr id="2079" name="Group 2079"/>
                      <wpg:cNvGrpSpPr/>
                      <wpg:grpSpPr>
                        <a:xfrm>
                          <a:off x="0" y="0"/>
                          <a:ext cx="5045710" cy="2426970"/>
                          <a:chExt cx="5045710" cy="2426970"/>
                        </a:xfrm>
                      </wpg:grpSpPr>
                      <wps:wsp>
                        <wps:cNvPr id="2080" name="Graphic 2080"/>
                        <wps:cNvSpPr/>
                        <wps:spPr>
                          <a:xfrm>
                            <a:off x="333393" y="221894"/>
                            <a:ext cx="4622800" cy="1807210"/>
                          </a:xfrm>
                          <a:custGeom>
                            <a:avLst/>
                            <a:gdLst/>
                            <a:ahLst/>
                            <a:cxnLst/>
                            <a:rect l="l" t="t" r="r" b="b"/>
                            <a:pathLst>
                              <a:path w="4622800" h="1807210">
                                <a:moveTo>
                                  <a:pt x="4622647" y="1765058"/>
                                </a:moveTo>
                                <a:lnTo>
                                  <a:pt x="4622647" y="1765058"/>
                                </a:lnTo>
                                <a:lnTo>
                                  <a:pt x="40106" y="1765058"/>
                                </a:lnTo>
                                <a:lnTo>
                                  <a:pt x="40106" y="0"/>
                                </a:lnTo>
                                <a:lnTo>
                                  <a:pt x="33756" y="0"/>
                                </a:lnTo>
                                <a:lnTo>
                                  <a:pt x="0" y="0"/>
                                </a:lnTo>
                                <a:lnTo>
                                  <a:pt x="0" y="6350"/>
                                </a:lnTo>
                                <a:lnTo>
                                  <a:pt x="33756" y="6350"/>
                                </a:lnTo>
                                <a:lnTo>
                                  <a:pt x="33756" y="255930"/>
                                </a:lnTo>
                                <a:lnTo>
                                  <a:pt x="0" y="255930"/>
                                </a:lnTo>
                                <a:lnTo>
                                  <a:pt x="0" y="262280"/>
                                </a:lnTo>
                                <a:lnTo>
                                  <a:pt x="33756" y="262280"/>
                                </a:lnTo>
                                <a:lnTo>
                                  <a:pt x="33756" y="503034"/>
                                </a:lnTo>
                                <a:lnTo>
                                  <a:pt x="0" y="503034"/>
                                </a:lnTo>
                                <a:lnTo>
                                  <a:pt x="0" y="509384"/>
                                </a:lnTo>
                                <a:lnTo>
                                  <a:pt x="33756" y="509384"/>
                                </a:lnTo>
                                <a:lnTo>
                                  <a:pt x="33756" y="758977"/>
                                </a:lnTo>
                                <a:lnTo>
                                  <a:pt x="0" y="758977"/>
                                </a:lnTo>
                                <a:lnTo>
                                  <a:pt x="0" y="765327"/>
                                </a:lnTo>
                                <a:lnTo>
                                  <a:pt x="33756" y="765327"/>
                                </a:lnTo>
                                <a:lnTo>
                                  <a:pt x="33756" y="1006081"/>
                                </a:lnTo>
                                <a:lnTo>
                                  <a:pt x="0" y="1006081"/>
                                </a:lnTo>
                                <a:lnTo>
                                  <a:pt x="0" y="1012431"/>
                                </a:lnTo>
                                <a:lnTo>
                                  <a:pt x="33756" y="1012431"/>
                                </a:lnTo>
                                <a:lnTo>
                                  <a:pt x="33756" y="1262011"/>
                                </a:lnTo>
                                <a:lnTo>
                                  <a:pt x="0" y="1262011"/>
                                </a:lnTo>
                                <a:lnTo>
                                  <a:pt x="0" y="1268361"/>
                                </a:lnTo>
                                <a:lnTo>
                                  <a:pt x="33756" y="1268361"/>
                                </a:lnTo>
                                <a:lnTo>
                                  <a:pt x="33756" y="1509128"/>
                                </a:lnTo>
                                <a:lnTo>
                                  <a:pt x="0" y="1509128"/>
                                </a:lnTo>
                                <a:lnTo>
                                  <a:pt x="0" y="1515478"/>
                                </a:lnTo>
                                <a:lnTo>
                                  <a:pt x="33756" y="1515478"/>
                                </a:lnTo>
                                <a:lnTo>
                                  <a:pt x="33756" y="1765058"/>
                                </a:lnTo>
                                <a:lnTo>
                                  <a:pt x="0" y="1765058"/>
                                </a:lnTo>
                                <a:lnTo>
                                  <a:pt x="0" y="1771408"/>
                                </a:lnTo>
                                <a:lnTo>
                                  <a:pt x="33756" y="1771408"/>
                                </a:lnTo>
                                <a:lnTo>
                                  <a:pt x="33756" y="1806714"/>
                                </a:lnTo>
                                <a:lnTo>
                                  <a:pt x="40106" y="1806714"/>
                                </a:lnTo>
                                <a:lnTo>
                                  <a:pt x="40106" y="1771408"/>
                                </a:lnTo>
                                <a:lnTo>
                                  <a:pt x="337566" y="1771408"/>
                                </a:lnTo>
                                <a:lnTo>
                                  <a:pt x="337566" y="1806714"/>
                                </a:lnTo>
                                <a:lnTo>
                                  <a:pt x="343916" y="1806714"/>
                                </a:lnTo>
                                <a:lnTo>
                                  <a:pt x="343916" y="1771408"/>
                                </a:lnTo>
                                <a:lnTo>
                                  <a:pt x="641388" y="1771408"/>
                                </a:lnTo>
                                <a:lnTo>
                                  <a:pt x="641388" y="1806714"/>
                                </a:lnTo>
                                <a:lnTo>
                                  <a:pt x="647738" y="1806714"/>
                                </a:lnTo>
                                <a:lnTo>
                                  <a:pt x="647738" y="1771408"/>
                                </a:lnTo>
                                <a:lnTo>
                                  <a:pt x="953643" y="1771408"/>
                                </a:lnTo>
                                <a:lnTo>
                                  <a:pt x="953643" y="1806714"/>
                                </a:lnTo>
                                <a:lnTo>
                                  <a:pt x="959993" y="1806714"/>
                                </a:lnTo>
                                <a:lnTo>
                                  <a:pt x="959993" y="1771408"/>
                                </a:lnTo>
                                <a:lnTo>
                                  <a:pt x="1257452" y="1771408"/>
                                </a:lnTo>
                                <a:lnTo>
                                  <a:pt x="1257452" y="1806714"/>
                                </a:lnTo>
                                <a:lnTo>
                                  <a:pt x="1263802" y="1806714"/>
                                </a:lnTo>
                                <a:lnTo>
                                  <a:pt x="1263802" y="1771408"/>
                                </a:lnTo>
                                <a:lnTo>
                                  <a:pt x="1561261" y="1771408"/>
                                </a:lnTo>
                                <a:lnTo>
                                  <a:pt x="1561261" y="1806714"/>
                                </a:lnTo>
                                <a:lnTo>
                                  <a:pt x="1567611" y="1806714"/>
                                </a:lnTo>
                                <a:lnTo>
                                  <a:pt x="1567611" y="1771408"/>
                                </a:lnTo>
                                <a:lnTo>
                                  <a:pt x="1865083" y="1771408"/>
                                </a:lnTo>
                                <a:lnTo>
                                  <a:pt x="1865083" y="1806714"/>
                                </a:lnTo>
                                <a:lnTo>
                                  <a:pt x="1871433" y="1806714"/>
                                </a:lnTo>
                                <a:lnTo>
                                  <a:pt x="1871433" y="1771408"/>
                                </a:lnTo>
                                <a:lnTo>
                                  <a:pt x="2168906" y="1771408"/>
                                </a:lnTo>
                                <a:lnTo>
                                  <a:pt x="2168906" y="1806714"/>
                                </a:lnTo>
                                <a:lnTo>
                                  <a:pt x="2175256" y="1806714"/>
                                </a:lnTo>
                                <a:lnTo>
                                  <a:pt x="2175256" y="1771408"/>
                                </a:lnTo>
                                <a:lnTo>
                                  <a:pt x="2481148" y="1771408"/>
                                </a:lnTo>
                                <a:lnTo>
                                  <a:pt x="2481148" y="1806714"/>
                                </a:lnTo>
                                <a:lnTo>
                                  <a:pt x="2487498" y="1806714"/>
                                </a:lnTo>
                                <a:lnTo>
                                  <a:pt x="2487498" y="1771408"/>
                                </a:lnTo>
                                <a:lnTo>
                                  <a:pt x="2784970" y="1771408"/>
                                </a:lnTo>
                                <a:lnTo>
                                  <a:pt x="2784970" y="1806714"/>
                                </a:lnTo>
                                <a:lnTo>
                                  <a:pt x="2791320" y="1806714"/>
                                </a:lnTo>
                                <a:lnTo>
                                  <a:pt x="2791320" y="1771408"/>
                                </a:lnTo>
                                <a:lnTo>
                                  <a:pt x="3088767" y="1771408"/>
                                </a:lnTo>
                                <a:lnTo>
                                  <a:pt x="3088767" y="1806714"/>
                                </a:lnTo>
                                <a:lnTo>
                                  <a:pt x="3095117" y="1806714"/>
                                </a:lnTo>
                                <a:lnTo>
                                  <a:pt x="3095117" y="1771408"/>
                                </a:lnTo>
                                <a:lnTo>
                                  <a:pt x="3392589" y="1771408"/>
                                </a:lnTo>
                                <a:lnTo>
                                  <a:pt x="3392589" y="1806714"/>
                                </a:lnTo>
                                <a:lnTo>
                                  <a:pt x="3398939" y="1806714"/>
                                </a:lnTo>
                                <a:lnTo>
                                  <a:pt x="3398939" y="1771408"/>
                                </a:lnTo>
                                <a:lnTo>
                                  <a:pt x="3696411" y="1771408"/>
                                </a:lnTo>
                                <a:lnTo>
                                  <a:pt x="3696411" y="1806714"/>
                                </a:lnTo>
                                <a:lnTo>
                                  <a:pt x="3702761" y="1806714"/>
                                </a:lnTo>
                                <a:lnTo>
                                  <a:pt x="3702761" y="1771408"/>
                                </a:lnTo>
                                <a:lnTo>
                                  <a:pt x="4008653" y="1771408"/>
                                </a:lnTo>
                                <a:lnTo>
                                  <a:pt x="4008653" y="1806714"/>
                                </a:lnTo>
                                <a:lnTo>
                                  <a:pt x="4015003" y="1806714"/>
                                </a:lnTo>
                                <a:lnTo>
                                  <a:pt x="4015003" y="1771408"/>
                                </a:lnTo>
                                <a:lnTo>
                                  <a:pt x="4312475" y="1771408"/>
                                </a:lnTo>
                                <a:lnTo>
                                  <a:pt x="4312475" y="1806714"/>
                                </a:lnTo>
                                <a:lnTo>
                                  <a:pt x="4318825" y="1806714"/>
                                </a:lnTo>
                                <a:lnTo>
                                  <a:pt x="4318825" y="1771408"/>
                                </a:lnTo>
                                <a:lnTo>
                                  <a:pt x="4616297" y="1771408"/>
                                </a:lnTo>
                                <a:lnTo>
                                  <a:pt x="4616297" y="1806714"/>
                                </a:lnTo>
                                <a:lnTo>
                                  <a:pt x="4622647" y="1806714"/>
                                </a:lnTo>
                                <a:lnTo>
                                  <a:pt x="4622647" y="1765058"/>
                                </a:lnTo>
                                <a:close/>
                              </a:path>
                            </a:pathLst>
                          </a:custGeom>
                          <a:solidFill>
                            <a:srgbClr val="000000"/>
                          </a:solidFill>
                        </wps:spPr>
                        <wps:bodyPr wrap="square" lIns="0" tIns="0" rIns="0" bIns="0" rtlCol="0">
                          <a:prstTxWarp prst="textNoShape">
                            <a:avLst/>
                          </a:prstTxWarp>
                          <a:noAutofit/>
                        </wps:bodyPr>
                      </wps:wsp>
                      <wps:wsp>
                        <wps:cNvPr id="2081" name="Graphic 2081"/>
                        <wps:cNvSpPr/>
                        <wps:spPr>
                          <a:xfrm>
                            <a:off x="513239" y="521660"/>
                            <a:ext cx="4299585" cy="1301750"/>
                          </a:xfrm>
                          <a:custGeom>
                            <a:avLst/>
                            <a:gdLst/>
                            <a:ahLst/>
                            <a:cxnLst/>
                            <a:rect l="l" t="t" r="r" b="b"/>
                            <a:pathLst>
                              <a:path w="4299585" h="1301750">
                                <a:moveTo>
                                  <a:pt x="311844" y="1265514"/>
                                </a:moveTo>
                                <a:lnTo>
                                  <a:pt x="0" y="1283632"/>
                                </a:lnTo>
                                <a:lnTo>
                                  <a:pt x="1023" y="1301252"/>
                                </a:lnTo>
                                <a:lnTo>
                                  <a:pt x="306124" y="1283527"/>
                                </a:lnTo>
                                <a:lnTo>
                                  <a:pt x="302527" y="1267621"/>
                                </a:lnTo>
                                <a:lnTo>
                                  <a:pt x="311844" y="1265514"/>
                                </a:lnTo>
                                <a:close/>
                              </a:path>
                              <a:path w="4299585" h="1301750">
                                <a:moveTo>
                                  <a:pt x="314319" y="1283051"/>
                                </a:moveTo>
                                <a:lnTo>
                                  <a:pt x="306124" y="1283527"/>
                                </a:lnTo>
                                <a:lnTo>
                                  <a:pt x="306421" y="1284837"/>
                                </a:lnTo>
                                <a:lnTo>
                                  <a:pt x="314319" y="1283051"/>
                                </a:lnTo>
                                <a:close/>
                              </a:path>
                              <a:path w="4299585" h="1301750">
                                <a:moveTo>
                                  <a:pt x="321380" y="1264960"/>
                                </a:moveTo>
                                <a:lnTo>
                                  <a:pt x="311844" y="1265514"/>
                                </a:lnTo>
                                <a:lnTo>
                                  <a:pt x="302527" y="1267621"/>
                                </a:lnTo>
                                <a:lnTo>
                                  <a:pt x="306124" y="1283527"/>
                                </a:lnTo>
                                <a:lnTo>
                                  <a:pt x="314319" y="1283051"/>
                                </a:lnTo>
                                <a:lnTo>
                                  <a:pt x="322326" y="1281240"/>
                                </a:lnTo>
                                <a:lnTo>
                                  <a:pt x="321380" y="1264960"/>
                                </a:lnTo>
                                <a:close/>
                              </a:path>
                              <a:path w="4299585" h="1301750">
                                <a:moveTo>
                                  <a:pt x="322326" y="1281240"/>
                                </a:moveTo>
                                <a:lnTo>
                                  <a:pt x="314319" y="1283051"/>
                                </a:lnTo>
                                <a:lnTo>
                                  <a:pt x="322404" y="1282581"/>
                                </a:lnTo>
                                <a:lnTo>
                                  <a:pt x="322326" y="1281240"/>
                                </a:lnTo>
                                <a:close/>
                              </a:path>
                              <a:path w="4299585" h="1301750">
                                <a:moveTo>
                                  <a:pt x="394311" y="1264960"/>
                                </a:moveTo>
                                <a:lnTo>
                                  <a:pt x="321380" y="1264960"/>
                                </a:lnTo>
                                <a:lnTo>
                                  <a:pt x="322326" y="1281240"/>
                                </a:lnTo>
                                <a:lnTo>
                                  <a:pt x="394311" y="1264960"/>
                                </a:lnTo>
                                <a:close/>
                              </a:path>
                              <a:path w="4299585" h="1301750">
                                <a:moveTo>
                                  <a:pt x="623065" y="1195130"/>
                                </a:moveTo>
                                <a:lnTo>
                                  <a:pt x="311844" y="1265514"/>
                                </a:lnTo>
                                <a:lnTo>
                                  <a:pt x="321380" y="1264960"/>
                                </a:lnTo>
                                <a:lnTo>
                                  <a:pt x="394311" y="1264960"/>
                                </a:lnTo>
                                <a:lnTo>
                                  <a:pt x="619114" y="1214120"/>
                                </a:lnTo>
                                <a:lnTo>
                                  <a:pt x="614334" y="1197667"/>
                                </a:lnTo>
                                <a:lnTo>
                                  <a:pt x="623065" y="1195130"/>
                                </a:lnTo>
                                <a:close/>
                              </a:path>
                              <a:path w="4299585" h="1301750">
                                <a:moveTo>
                                  <a:pt x="2158790" y="1227818"/>
                                </a:moveTo>
                                <a:lnTo>
                                  <a:pt x="2152333" y="1231757"/>
                                </a:lnTo>
                                <a:lnTo>
                                  <a:pt x="2155072" y="1233537"/>
                                </a:lnTo>
                                <a:lnTo>
                                  <a:pt x="2158790" y="1227818"/>
                                </a:lnTo>
                                <a:close/>
                              </a:path>
                              <a:path w="4299585" h="1301750">
                                <a:moveTo>
                                  <a:pt x="2145993" y="1227634"/>
                                </a:moveTo>
                                <a:lnTo>
                                  <a:pt x="2149545" y="1233458"/>
                                </a:lnTo>
                                <a:lnTo>
                                  <a:pt x="2152333" y="1231757"/>
                                </a:lnTo>
                                <a:lnTo>
                                  <a:pt x="2145993" y="1227634"/>
                                </a:lnTo>
                                <a:close/>
                              </a:path>
                              <a:path w="4299585" h="1301750">
                                <a:moveTo>
                                  <a:pt x="2152633" y="1210898"/>
                                </a:moveTo>
                                <a:lnTo>
                                  <a:pt x="2140353" y="1218390"/>
                                </a:lnTo>
                                <a:lnTo>
                                  <a:pt x="2145993" y="1227634"/>
                                </a:lnTo>
                                <a:lnTo>
                                  <a:pt x="2152333" y="1231757"/>
                                </a:lnTo>
                                <a:lnTo>
                                  <a:pt x="2158790" y="1227818"/>
                                </a:lnTo>
                                <a:lnTo>
                                  <a:pt x="2164693" y="1218739"/>
                                </a:lnTo>
                                <a:lnTo>
                                  <a:pt x="2152633" y="1210898"/>
                                </a:lnTo>
                                <a:close/>
                              </a:path>
                              <a:path w="4299585" h="1301750">
                                <a:moveTo>
                                  <a:pt x="2445569" y="1032186"/>
                                </a:moveTo>
                                <a:lnTo>
                                  <a:pt x="2152633" y="1210898"/>
                                </a:lnTo>
                                <a:lnTo>
                                  <a:pt x="2164693" y="1218739"/>
                                </a:lnTo>
                                <a:lnTo>
                                  <a:pt x="2158790" y="1227818"/>
                                </a:lnTo>
                                <a:lnTo>
                                  <a:pt x="2454772" y="1047248"/>
                                </a:lnTo>
                                <a:lnTo>
                                  <a:pt x="2450820" y="1047248"/>
                                </a:lnTo>
                                <a:lnTo>
                                  <a:pt x="2445569" y="1032186"/>
                                </a:lnTo>
                                <a:close/>
                              </a:path>
                              <a:path w="4299585" h="1301750">
                                <a:moveTo>
                                  <a:pt x="1836896" y="1026676"/>
                                </a:moveTo>
                                <a:lnTo>
                                  <a:pt x="2145993" y="1227634"/>
                                </a:lnTo>
                                <a:lnTo>
                                  <a:pt x="2140353" y="1218390"/>
                                </a:lnTo>
                                <a:lnTo>
                                  <a:pt x="2152633" y="1210898"/>
                                </a:lnTo>
                                <a:lnTo>
                                  <a:pt x="1872497" y="1028769"/>
                                </a:lnTo>
                                <a:lnTo>
                                  <a:pt x="1847189" y="1028769"/>
                                </a:lnTo>
                                <a:lnTo>
                                  <a:pt x="1836896" y="1026676"/>
                                </a:lnTo>
                                <a:close/>
                              </a:path>
                              <a:path w="4299585" h="1301750">
                                <a:moveTo>
                                  <a:pt x="627477" y="1212228"/>
                                </a:moveTo>
                                <a:lnTo>
                                  <a:pt x="619114" y="1214120"/>
                                </a:lnTo>
                                <a:lnTo>
                                  <a:pt x="619258" y="1214616"/>
                                </a:lnTo>
                                <a:lnTo>
                                  <a:pt x="627477" y="1212228"/>
                                </a:lnTo>
                                <a:close/>
                              </a:path>
                              <a:path w="4299585" h="1301750">
                                <a:moveTo>
                                  <a:pt x="631932" y="1193125"/>
                                </a:moveTo>
                                <a:lnTo>
                                  <a:pt x="623065" y="1195130"/>
                                </a:lnTo>
                                <a:lnTo>
                                  <a:pt x="614334" y="1197667"/>
                                </a:lnTo>
                                <a:lnTo>
                                  <a:pt x="619114" y="1214120"/>
                                </a:lnTo>
                                <a:lnTo>
                                  <a:pt x="627477" y="1212228"/>
                                </a:lnTo>
                                <a:lnTo>
                                  <a:pt x="635711" y="1209836"/>
                                </a:lnTo>
                                <a:lnTo>
                                  <a:pt x="631932" y="1193125"/>
                                </a:lnTo>
                                <a:close/>
                              </a:path>
                              <a:path w="4299585" h="1301750">
                                <a:moveTo>
                                  <a:pt x="635711" y="1209836"/>
                                </a:moveTo>
                                <a:lnTo>
                                  <a:pt x="627477" y="1212228"/>
                                </a:lnTo>
                                <a:lnTo>
                                  <a:pt x="635825" y="1210340"/>
                                </a:lnTo>
                                <a:lnTo>
                                  <a:pt x="635711" y="1209836"/>
                                </a:lnTo>
                                <a:close/>
                              </a:path>
                              <a:path w="4299585" h="1301750">
                                <a:moveTo>
                                  <a:pt x="693233" y="1193125"/>
                                </a:moveTo>
                                <a:lnTo>
                                  <a:pt x="631932" y="1193125"/>
                                </a:lnTo>
                                <a:lnTo>
                                  <a:pt x="635711" y="1209836"/>
                                </a:lnTo>
                                <a:lnTo>
                                  <a:pt x="693233" y="1193125"/>
                                </a:lnTo>
                                <a:close/>
                              </a:path>
                              <a:path w="4299585" h="1301750">
                                <a:moveTo>
                                  <a:pt x="918320" y="1109351"/>
                                </a:moveTo>
                                <a:lnTo>
                                  <a:pt x="623065" y="1195130"/>
                                </a:lnTo>
                                <a:lnTo>
                                  <a:pt x="631932" y="1193125"/>
                                </a:lnTo>
                                <a:lnTo>
                                  <a:pt x="693233" y="1193125"/>
                                </a:lnTo>
                                <a:lnTo>
                                  <a:pt x="923590" y="1126200"/>
                                </a:lnTo>
                                <a:lnTo>
                                  <a:pt x="922725" y="1126200"/>
                                </a:lnTo>
                                <a:lnTo>
                                  <a:pt x="918320" y="1109351"/>
                                </a:lnTo>
                                <a:close/>
                              </a:path>
                              <a:path w="4299585" h="1301750">
                                <a:moveTo>
                                  <a:pt x="935109" y="1104719"/>
                                </a:moveTo>
                                <a:lnTo>
                                  <a:pt x="926683" y="1106922"/>
                                </a:lnTo>
                                <a:lnTo>
                                  <a:pt x="918320" y="1109351"/>
                                </a:lnTo>
                                <a:lnTo>
                                  <a:pt x="922725" y="1126200"/>
                                </a:lnTo>
                                <a:lnTo>
                                  <a:pt x="931375" y="1123939"/>
                                </a:lnTo>
                                <a:lnTo>
                                  <a:pt x="939968" y="1121442"/>
                                </a:lnTo>
                                <a:lnTo>
                                  <a:pt x="935109" y="1104719"/>
                                </a:lnTo>
                                <a:close/>
                              </a:path>
                              <a:path w="4299585" h="1301750">
                                <a:moveTo>
                                  <a:pt x="931375" y="1123939"/>
                                </a:moveTo>
                                <a:lnTo>
                                  <a:pt x="922725" y="1126200"/>
                                </a:lnTo>
                                <a:lnTo>
                                  <a:pt x="923590" y="1126200"/>
                                </a:lnTo>
                                <a:lnTo>
                                  <a:pt x="931375" y="1123939"/>
                                </a:lnTo>
                                <a:close/>
                              </a:path>
                              <a:path w="4299585" h="1301750">
                                <a:moveTo>
                                  <a:pt x="1222014" y="1029704"/>
                                </a:moveTo>
                                <a:lnTo>
                                  <a:pt x="935109" y="1104719"/>
                                </a:lnTo>
                                <a:lnTo>
                                  <a:pt x="939968" y="1121442"/>
                                </a:lnTo>
                                <a:lnTo>
                                  <a:pt x="931375" y="1123939"/>
                                </a:lnTo>
                                <a:lnTo>
                                  <a:pt x="1226480" y="1046780"/>
                                </a:lnTo>
                                <a:lnTo>
                                  <a:pt x="1222014" y="1029704"/>
                                </a:lnTo>
                                <a:close/>
                              </a:path>
                              <a:path w="4299585" h="1301750">
                                <a:moveTo>
                                  <a:pt x="926683" y="1106922"/>
                                </a:moveTo>
                                <a:lnTo>
                                  <a:pt x="918260" y="1109124"/>
                                </a:lnTo>
                                <a:lnTo>
                                  <a:pt x="918320" y="1109351"/>
                                </a:lnTo>
                                <a:lnTo>
                                  <a:pt x="926683" y="1106922"/>
                                </a:lnTo>
                                <a:close/>
                              </a:path>
                              <a:path w="4299585" h="1301750">
                                <a:moveTo>
                                  <a:pt x="935043" y="1104493"/>
                                </a:moveTo>
                                <a:lnTo>
                                  <a:pt x="926683" y="1106922"/>
                                </a:lnTo>
                                <a:lnTo>
                                  <a:pt x="935109" y="1104719"/>
                                </a:lnTo>
                                <a:lnTo>
                                  <a:pt x="935043" y="1104493"/>
                                </a:lnTo>
                                <a:close/>
                              </a:path>
                              <a:path w="4299585" h="1301750">
                                <a:moveTo>
                                  <a:pt x="2460071" y="1025331"/>
                                </a:moveTo>
                                <a:lnTo>
                                  <a:pt x="2452454" y="1027986"/>
                                </a:lnTo>
                                <a:lnTo>
                                  <a:pt x="2445569" y="1032186"/>
                                </a:lnTo>
                                <a:lnTo>
                                  <a:pt x="2450820" y="1047248"/>
                                </a:lnTo>
                                <a:lnTo>
                                  <a:pt x="2460041" y="1044033"/>
                                </a:lnTo>
                                <a:lnTo>
                                  <a:pt x="2468378" y="1038947"/>
                                </a:lnTo>
                                <a:lnTo>
                                  <a:pt x="2460071" y="1025331"/>
                                </a:lnTo>
                                <a:close/>
                              </a:path>
                              <a:path w="4299585" h="1301750">
                                <a:moveTo>
                                  <a:pt x="2460041" y="1044033"/>
                                </a:moveTo>
                                <a:lnTo>
                                  <a:pt x="2450820" y="1047248"/>
                                </a:lnTo>
                                <a:lnTo>
                                  <a:pt x="2454772" y="1047248"/>
                                </a:lnTo>
                                <a:lnTo>
                                  <a:pt x="2460041" y="1044033"/>
                                </a:lnTo>
                                <a:close/>
                              </a:path>
                              <a:path w="4299585" h="1301750">
                                <a:moveTo>
                                  <a:pt x="1239091" y="1025239"/>
                                </a:moveTo>
                                <a:lnTo>
                                  <a:pt x="1222014" y="1029704"/>
                                </a:lnTo>
                                <a:lnTo>
                                  <a:pt x="1226479" y="1046780"/>
                                </a:lnTo>
                                <a:lnTo>
                                  <a:pt x="1243555" y="1042315"/>
                                </a:lnTo>
                                <a:lnTo>
                                  <a:pt x="1239091" y="1025239"/>
                                </a:lnTo>
                                <a:close/>
                              </a:path>
                              <a:path w="4299585" h="1301750">
                                <a:moveTo>
                                  <a:pt x="2750234" y="924176"/>
                                </a:moveTo>
                                <a:lnTo>
                                  <a:pt x="2460071" y="1025331"/>
                                </a:lnTo>
                                <a:lnTo>
                                  <a:pt x="2468378" y="1038947"/>
                                </a:lnTo>
                                <a:lnTo>
                                  <a:pt x="2460041" y="1044033"/>
                                </a:lnTo>
                                <a:lnTo>
                                  <a:pt x="2758132" y="940115"/>
                                </a:lnTo>
                                <a:lnTo>
                                  <a:pt x="2752550" y="940115"/>
                                </a:lnTo>
                                <a:lnTo>
                                  <a:pt x="2750234" y="924176"/>
                                </a:lnTo>
                                <a:close/>
                              </a:path>
                              <a:path w="4299585" h="1301750">
                                <a:moveTo>
                                  <a:pt x="1528993" y="949442"/>
                                </a:moveTo>
                                <a:lnTo>
                                  <a:pt x="1239091" y="1025239"/>
                                </a:lnTo>
                                <a:lnTo>
                                  <a:pt x="1243555" y="1042315"/>
                                </a:lnTo>
                                <a:lnTo>
                                  <a:pt x="1536794" y="965646"/>
                                </a:lnTo>
                                <a:lnTo>
                                  <a:pt x="1526138" y="963479"/>
                                </a:lnTo>
                                <a:lnTo>
                                  <a:pt x="1528993" y="949442"/>
                                </a:lnTo>
                                <a:close/>
                              </a:path>
                              <a:path w="4299585" h="1301750">
                                <a:moveTo>
                                  <a:pt x="2452454" y="1027986"/>
                                </a:moveTo>
                                <a:lnTo>
                                  <a:pt x="2445010" y="1030581"/>
                                </a:lnTo>
                                <a:lnTo>
                                  <a:pt x="2445569" y="1032186"/>
                                </a:lnTo>
                                <a:lnTo>
                                  <a:pt x="2452454" y="1027986"/>
                                </a:lnTo>
                                <a:close/>
                              </a:path>
                              <a:path w="4299585" h="1301750">
                                <a:moveTo>
                                  <a:pt x="1836173" y="1008517"/>
                                </a:moveTo>
                                <a:lnTo>
                                  <a:pt x="1828090" y="1020951"/>
                                </a:lnTo>
                                <a:lnTo>
                                  <a:pt x="1836896" y="1026676"/>
                                </a:lnTo>
                                <a:lnTo>
                                  <a:pt x="1847189" y="1028769"/>
                                </a:lnTo>
                                <a:lnTo>
                                  <a:pt x="1850144" y="1014236"/>
                                </a:lnTo>
                                <a:lnTo>
                                  <a:pt x="1843702" y="1010048"/>
                                </a:lnTo>
                                <a:lnTo>
                                  <a:pt x="1836173" y="1008517"/>
                                </a:lnTo>
                                <a:close/>
                              </a:path>
                              <a:path w="4299585" h="1301750">
                                <a:moveTo>
                                  <a:pt x="1850144" y="1014236"/>
                                </a:moveTo>
                                <a:lnTo>
                                  <a:pt x="1847189" y="1028769"/>
                                </a:lnTo>
                                <a:lnTo>
                                  <a:pt x="1872497" y="1028769"/>
                                </a:lnTo>
                                <a:lnTo>
                                  <a:pt x="1850144" y="1014236"/>
                                </a:lnTo>
                                <a:close/>
                              </a:path>
                              <a:path w="4299585" h="1301750">
                                <a:moveTo>
                                  <a:pt x="2459185" y="1023879"/>
                                </a:moveTo>
                                <a:lnTo>
                                  <a:pt x="2452454" y="1027986"/>
                                </a:lnTo>
                                <a:lnTo>
                                  <a:pt x="2460071" y="1025331"/>
                                </a:lnTo>
                                <a:lnTo>
                                  <a:pt x="2459185" y="1023879"/>
                                </a:lnTo>
                                <a:close/>
                              </a:path>
                              <a:path w="4299585" h="1301750">
                                <a:moveTo>
                                  <a:pt x="1239091" y="1025239"/>
                                </a:moveTo>
                                <a:lnTo>
                                  <a:pt x="1232801" y="1026883"/>
                                </a:lnTo>
                                <a:lnTo>
                                  <a:pt x="1239091" y="1025239"/>
                                </a:lnTo>
                                <a:close/>
                              </a:path>
                              <a:path w="4299585" h="1301750">
                                <a:moveTo>
                                  <a:pt x="1543692" y="949037"/>
                                </a:moveTo>
                                <a:lnTo>
                                  <a:pt x="1547315" y="962895"/>
                                </a:lnTo>
                                <a:lnTo>
                                  <a:pt x="1536794" y="965646"/>
                                </a:lnTo>
                                <a:lnTo>
                                  <a:pt x="1836896" y="1026676"/>
                                </a:lnTo>
                                <a:lnTo>
                                  <a:pt x="1828090" y="1020951"/>
                                </a:lnTo>
                                <a:lnTo>
                                  <a:pt x="1836173" y="1008517"/>
                                </a:lnTo>
                                <a:lnTo>
                                  <a:pt x="1543692" y="949037"/>
                                </a:lnTo>
                                <a:close/>
                              </a:path>
                              <a:path w="4299585" h="1301750">
                                <a:moveTo>
                                  <a:pt x="1843702" y="1010048"/>
                                </a:moveTo>
                                <a:lnTo>
                                  <a:pt x="1850144" y="1014236"/>
                                </a:lnTo>
                                <a:lnTo>
                                  <a:pt x="1850706" y="1011472"/>
                                </a:lnTo>
                                <a:lnTo>
                                  <a:pt x="1843702" y="1010048"/>
                                </a:lnTo>
                                <a:close/>
                              </a:path>
                              <a:path w="4299585" h="1301750">
                                <a:moveTo>
                                  <a:pt x="1837711" y="1006153"/>
                                </a:moveTo>
                                <a:lnTo>
                                  <a:pt x="1836173" y="1008517"/>
                                </a:lnTo>
                                <a:lnTo>
                                  <a:pt x="1843702" y="1010048"/>
                                </a:lnTo>
                                <a:lnTo>
                                  <a:pt x="1837711" y="1006153"/>
                                </a:lnTo>
                                <a:close/>
                              </a:path>
                              <a:path w="4299585" h="1301750">
                                <a:moveTo>
                                  <a:pt x="1536295" y="947533"/>
                                </a:moveTo>
                                <a:lnTo>
                                  <a:pt x="1528993" y="949442"/>
                                </a:lnTo>
                                <a:lnTo>
                                  <a:pt x="1526138" y="963479"/>
                                </a:lnTo>
                                <a:lnTo>
                                  <a:pt x="1536794" y="965646"/>
                                </a:lnTo>
                                <a:lnTo>
                                  <a:pt x="1547315" y="962895"/>
                                </a:lnTo>
                                <a:lnTo>
                                  <a:pt x="1543692" y="949037"/>
                                </a:lnTo>
                                <a:lnTo>
                                  <a:pt x="1536295" y="947533"/>
                                </a:lnTo>
                                <a:close/>
                              </a:path>
                              <a:path w="4299585" h="1301750">
                                <a:moveTo>
                                  <a:pt x="1529655" y="946183"/>
                                </a:moveTo>
                                <a:lnTo>
                                  <a:pt x="1528993" y="949442"/>
                                </a:lnTo>
                                <a:lnTo>
                                  <a:pt x="1536295" y="947533"/>
                                </a:lnTo>
                                <a:lnTo>
                                  <a:pt x="1529655" y="946183"/>
                                </a:lnTo>
                                <a:close/>
                              </a:path>
                              <a:path w="4299585" h="1301750">
                                <a:moveTo>
                                  <a:pt x="1542851" y="945819"/>
                                </a:moveTo>
                                <a:lnTo>
                                  <a:pt x="1536295" y="947533"/>
                                </a:lnTo>
                                <a:lnTo>
                                  <a:pt x="1543692" y="949037"/>
                                </a:lnTo>
                                <a:lnTo>
                                  <a:pt x="1542851" y="945819"/>
                                </a:lnTo>
                                <a:close/>
                              </a:path>
                              <a:path w="4299585" h="1301750">
                                <a:moveTo>
                                  <a:pt x="2765951" y="920332"/>
                                </a:moveTo>
                                <a:lnTo>
                                  <a:pt x="2757908" y="921501"/>
                                </a:lnTo>
                                <a:lnTo>
                                  <a:pt x="2750234" y="924176"/>
                                </a:lnTo>
                                <a:lnTo>
                                  <a:pt x="2752550" y="940115"/>
                                </a:lnTo>
                                <a:lnTo>
                                  <a:pt x="2762121" y="938724"/>
                                </a:lnTo>
                                <a:lnTo>
                                  <a:pt x="2771252" y="935541"/>
                                </a:lnTo>
                                <a:lnTo>
                                  <a:pt x="2765951" y="920332"/>
                                </a:lnTo>
                                <a:close/>
                              </a:path>
                              <a:path w="4299585" h="1301750">
                                <a:moveTo>
                                  <a:pt x="2762121" y="938724"/>
                                </a:moveTo>
                                <a:lnTo>
                                  <a:pt x="2752550" y="940115"/>
                                </a:lnTo>
                                <a:lnTo>
                                  <a:pt x="2758132" y="940115"/>
                                </a:lnTo>
                                <a:lnTo>
                                  <a:pt x="2762121" y="938724"/>
                                </a:lnTo>
                                <a:close/>
                              </a:path>
                              <a:path w="4299585" h="1301750">
                                <a:moveTo>
                                  <a:pt x="3062366" y="877270"/>
                                </a:moveTo>
                                <a:lnTo>
                                  <a:pt x="2765951" y="920332"/>
                                </a:lnTo>
                                <a:lnTo>
                                  <a:pt x="2771252" y="935541"/>
                                </a:lnTo>
                                <a:lnTo>
                                  <a:pt x="2762121" y="938724"/>
                                </a:lnTo>
                                <a:lnTo>
                                  <a:pt x="3056535" y="895953"/>
                                </a:lnTo>
                                <a:lnTo>
                                  <a:pt x="3053547" y="878807"/>
                                </a:lnTo>
                                <a:lnTo>
                                  <a:pt x="3062366" y="877270"/>
                                </a:lnTo>
                                <a:close/>
                              </a:path>
                              <a:path w="4299585" h="1301750">
                                <a:moveTo>
                                  <a:pt x="2757908" y="921501"/>
                                </a:moveTo>
                                <a:lnTo>
                                  <a:pt x="2750012" y="922648"/>
                                </a:lnTo>
                                <a:lnTo>
                                  <a:pt x="2750234" y="924176"/>
                                </a:lnTo>
                                <a:lnTo>
                                  <a:pt x="2757908" y="921501"/>
                                </a:lnTo>
                                <a:close/>
                              </a:path>
                              <a:path w="4299585" h="1301750">
                                <a:moveTo>
                                  <a:pt x="2765442" y="918874"/>
                                </a:moveTo>
                                <a:lnTo>
                                  <a:pt x="2757908" y="921501"/>
                                </a:lnTo>
                                <a:lnTo>
                                  <a:pt x="2765951" y="920332"/>
                                </a:lnTo>
                                <a:lnTo>
                                  <a:pt x="2765442" y="918874"/>
                                </a:lnTo>
                                <a:close/>
                              </a:path>
                              <a:path w="4299585" h="1301750">
                                <a:moveTo>
                                  <a:pt x="3065155" y="894700"/>
                                </a:moveTo>
                                <a:lnTo>
                                  <a:pt x="3056535" y="895953"/>
                                </a:lnTo>
                                <a:lnTo>
                                  <a:pt x="3056577" y="896195"/>
                                </a:lnTo>
                                <a:lnTo>
                                  <a:pt x="3065155" y="894700"/>
                                </a:lnTo>
                                <a:close/>
                              </a:path>
                              <a:path w="4299585" h="1301750">
                                <a:moveTo>
                                  <a:pt x="3071221" y="875984"/>
                                </a:moveTo>
                                <a:lnTo>
                                  <a:pt x="3062366" y="877270"/>
                                </a:lnTo>
                                <a:lnTo>
                                  <a:pt x="3053547" y="878807"/>
                                </a:lnTo>
                                <a:lnTo>
                                  <a:pt x="3056535" y="895953"/>
                                </a:lnTo>
                                <a:lnTo>
                                  <a:pt x="3065155" y="894700"/>
                                </a:lnTo>
                                <a:lnTo>
                                  <a:pt x="3073723" y="893207"/>
                                </a:lnTo>
                                <a:lnTo>
                                  <a:pt x="3071221" y="875984"/>
                                </a:lnTo>
                                <a:close/>
                              </a:path>
                              <a:path w="4299585" h="1301750">
                                <a:moveTo>
                                  <a:pt x="3073723" y="893207"/>
                                </a:moveTo>
                                <a:lnTo>
                                  <a:pt x="3065155" y="894700"/>
                                </a:lnTo>
                                <a:lnTo>
                                  <a:pt x="3073758" y="893451"/>
                                </a:lnTo>
                                <a:lnTo>
                                  <a:pt x="3073723" y="893207"/>
                                </a:lnTo>
                                <a:close/>
                              </a:path>
                              <a:path w="4299585" h="1301750">
                                <a:moveTo>
                                  <a:pt x="3172547" y="875984"/>
                                </a:moveTo>
                                <a:lnTo>
                                  <a:pt x="3071221" y="875984"/>
                                </a:lnTo>
                                <a:lnTo>
                                  <a:pt x="3073723" y="893207"/>
                                </a:lnTo>
                                <a:lnTo>
                                  <a:pt x="3172547" y="875984"/>
                                </a:lnTo>
                                <a:close/>
                              </a:path>
                              <a:path w="4299585" h="1301750">
                                <a:moveTo>
                                  <a:pt x="3363801" y="824734"/>
                                </a:moveTo>
                                <a:lnTo>
                                  <a:pt x="3062366" y="877270"/>
                                </a:lnTo>
                                <a:lnTo>
                                  <a:pt x="3071221" y="875984"/>
                                </a:lnTo>
                                <a:lnTo>
                                  <a:pt x="3172547" y="875984"/>
                                </a:lnTo>
                                <a:lnTo>
                                  <a:pt x="3363863" y="842640"/>
                                </a:lnTo>
                                <a:lnTo>
                                  <a:pt x="3355125" y="831601"/>
                                </a:lnTo>
                                <a:lnTo>
                                  <a:pt x="3363801" y="824734"/>
                                </a:lnTo>
                                <a:close/>
                              </a:path>
                              <a:path w="4299585" h="1301750">
                                <a:moveTo>
                                  <a:pt x="3371243" y="841354"/>
                                </a:moveTo>
                                <a:lnTo>
                                  <a:pt x="3363863" y="842640"/>
                                </a:lnTo>
                                <a:lnTo>
                                  <a:pt x="3366079" y="845441"/>
                                </a:lnTo>
                                <a:lnTo>
                                  <a:pt x="3371243" y="841354"/>
                                </a:lnTo>
                                <a:close/>
                              </a:path>
                              <a:path w="4299585" h="1301750">
                                <a:moveTo>
                                  <a:pt x="3374701" y="822834"/>
                                </a:moveTo>
                                <a:lnTo>
                                  <a:pt x="3363801" y="824734"/>
                                </a:lnTo>
                                <a:lnTo>
                                  <a:pt x="3355125" y="831601"/>
                                </a:lnTo>
                                <a:lnTo>
                                  <a:pt x="3363863" y="842640"/>
                                </a:lnTo>
                                <a:lnTo>
                                  <a:pt x="3371243" y="841354"/>
                                </a:lnTo>
                                <a:lnTo>
                                  <a:pt x="3377118" y="836704"/>
                                </a:lnTo>
                                <a:lnTo>
                                  <a:pt x="3374701" y="822834"/>
                                </a:lnTo>
                                <a:close/>
                              </a:path>
                              <a:path w="4299585" h="1301750">
                                <a:moveTo>
                                  <a:pt x="3377118" y="836704"/>
                                </a:moveTo>
                                <a:lnTo>
                                  <a:pt x="3371243" y="841354"/>
                                </a:lnTo>
                                <a:lnTo>
                                  <a:pt x="3377732" y="840223"/>
                                </a:lnTo>
                                <a:lnTo>
                                  <a:pt x="3377118" y="836704"/>
                                </a:lnTo>
                                <a:close/>
                              </a:path>
                              <a:path w="4299585" h="1301750">
                                <a:moveTo>
                                  <a:pt x="3394642" y="822834"/>
                                </a:moveTo>
                                <a:lnTo>
                                  <a:pt x="3374701" y="822834"/>
                                </a:lnTo>
                                <a:lnTo>
                                  <a:pt x="3377118" y="836704"/>
                                </a:lnTo>
                                <a:lnTo>
                                  <a:pt x="3394642" y="822834"/>
                                </a:lnTo>
                                <a:close/>
                              </a:path>
                              <a:path w="4299585" h="1301750">
                                <a:moveTo>
                                  <a:pt x="3673585" y="579545"/>
                                </a:moveTo>
                                <a:lnTo>
                                  <a:pt x="3363801" y="824734"/>
                                </a:lnTo>
                                <a:lnTo>
                                  <a:pt x="3374701" y="822834"/>
                                </a:lnTo>
                                <a:lnTo>
                                  <a:pt x="3394642" y="822834"/>
                                </a:lnTo>
                                <a:lnTo>
                                  <a:pt x="3679489" y="597382"/>
                                </a:lnTo>
                                <a:lnTo>
                                  <a:pt x="3667278" y="586874"/>
                                </a:lnTo>
                                <a:lnTo>
                                  <a:pt x="3673585" y="579545"/>
                                </a:lnTo>
                                <a:close/>
                              </a:path>
                              <a:path w="4299585" h="1301750">
                                <a:moveTo>
                                  <a:pt x="3685863" y="592337"/>
                                </a:moveTo>
                                <a:lnTo>
                                  <a:pt x="3679489" y="597382"/>
                                </a:lnTo>
                                <a:lnTo>
                                  <a:pt x="3680657" y="598387"/>
                                </a:lnTo>
                                <a:lnTo>
                                  <a:pt x="3685863" y="592337"/>
                                </a:lnTo>
                                <a:close/>
                              </a:path>
                              <a:path w="4299585" h="1301750">
                                <a:moveTo>
                                  <a:pt x="3681167" y="573544"/>
                                </a:moveTo>
                                <a:lnTo>
                                  <a:pt x="3673585" y="579545"/>
                                </a:lnTo>
                                <a:lnTo>
                                  <a:pt x="3667278" y="586874"/>
                                </a:lnTo>
                                <a:lnTo>
                                  <a:pt x="3679489" y="597382"/>
                                </a:lnTo>
                                <a:lnTo>
                                  <a:pt x="3685863" y="592337"/>
                                </a:lnTo>
                                <a:lnTo>
                                  <a:pt x="3691165" y="586176"/>
                                </a:lnTo>
                                <a:lnTo>
                                  <a:pt x="3681167" y="573544"/>
                                </a:lnTo>
                                <a:close/>
                              </a:path>
                              <a:path w="4299585" h="1301750">
                                <a:moveTo>
                                  <a:pt x="3691165" y="586176"/>
                                </a:moveTo>
                                <a:lnTo>
                                  <a:pt x="3685863" y="592337"/>
                                </a:lnTo>
                                <a:lnTo>
                                  <a:pt x="3692121" y="587384"/>
                                </a:lnTo>
                                <a:lnTo>
                                  <a:pt x="3691165" y="586176"/>
                                </a:lnTo>
                                <a:close/>
                              </a:path>
                              <a:path w="4299585" h="1301750">
                                <a:moveTo>
                                  <a:pt x="3702034" y="573544"/>
                                </a:moveTo>
                                <a:lnTo>
                                  <a:pt x="3681167" y="573544"/>
                                </a:lnTo>
                                <a:lnTo>
                                  <a:pt x="3691165" y="586176"/>
                                </a:lnTo>
                                <a:lnTo>
                                  <a:pt x="3702034" y="573544"/>
                                </a:lnTo>
                                <a:close/>
                              </a:path>
                              <a:path w="4299585" h="1301750">
                                <a:moveTo>
                                  <a:pt x="3972223" y="232489"/>
                                </a:moveTo>
                                <a:lnTo>
                                  <a:pt x="3673585" y="579545"/>
                                </a:lnTo>
                                <a:lnTo>
                                  <a:pt x="3681167" y="573544"/>
                                </a:lnTo>
                                <a:lnTo>
                                  <a:pt x="3702034" y="573544"/>
                                </a:lnTo>
                                <a:lnTo>
                                  <a:pt x="3984502" y="245279"/>
                                </a:lnTo>
                                <a:lnTo>
                                  <a:pt x="3981512" y="245279"/>
                                </a:lnTo>
                                <a:lnTo>
                                  <a:pt x="3972223" y="232489"/>
                                </a:lnTo>
                                <a:close/>
                              </a:path>
                              <a:path w="4299585" h="1301750">
                                <a:moveTo>
                                  <a:pt x="3983930" y="221708"/>
                                </a:moveTo>
                                <a:lnTo>
                                  <a:pt x="3977448" y="226416"/>
                                </a:lnTo>
                                <a:lnTo>
                                  <a:pt x="3972223" y="232489"/>
                                </a:lnTo>
                                <a:lnTo>
                                  <a:pt x="3981512" y="245279"/>
                                </a:lnTo>
                                <a:lnTo>
                                  <a:pt x="3989486" y="239488"/>
                                </a:lnTo>
                                <a:lnTo>
                                  <a:pt x="3995913" y="232019"/>
                                </a:lnTo>
                                <a:lnTo>
                                  <a:pt x="3983930" y="221708"/>
                                </a:lnTo>
                                <a:close/>
                              </a:path>
                              <a:path w="4299585" h="1301750">
                                <a:moveTo>
                                  <a:pt x="3989486" y="239488"/>
                                </a:moveTo>
                                <a:lnTo>
                                  <a:pt x="3981512" y="245279"/>
                                </a:lnTo>
                                <a:lnTo>
                                  <a:pt x="3984502" y="245279"/>
                                </a:lnTo>
                                <a:lnTo>
                                  <a:pt x="3989486" y="239488"/>
                                </a:lnTo>
                                <a:close/>
                              </a:path>
                              <a:path w="4299585" h="1301750">
                                <a:moveTo>
                                  <a:pt x="4289187" y="0"/>
                                </a:moveTo>
                                <a:lnTo>
                                  <a:pt x="3983930" y="221708"/>
                                </a:lnTo>
                                <a:lnTo>
                                  <a:pt x="3995913" y="232019"/>
                                </a:lnTo>
                                <a:lnTo>
                                  <a:pt x="3989486" y="239488"/>
                                </a:lnTo>
                                <a:lnTo>
                                  <a:pt x="4299559" y="14281"/>
                                </a:lnTo>
                                <a:lnTo>
                                  <a:pt x="4289187" y="0"/>
                                </a:lnTo>
                                <a:close/>
                              </a:path>
                              <a:path w="4299585" h="1301750">
                                <a:moveTo>
                                  <a:pt x="3977448" y="226416"/>
                                </a:moveTo>
                                <a:lnTo>
                                  <a:pt x="3971140" y="230998"/>
                                </a:lnTo>
                                <a:lnTo>
                                  <a:pt x="3972223" y="232489"/>
                                </a:lnTo>
                                <a:lnTo>
                                  <a:pt x="3977448" y="226416"/>
                                </a:lnTo>
                                <a:close/>
                              </a:path>
                              <a:path w="4299585" h="1301750">
                                <a:moveTo>
                                  <a:pt x="3982533" y="220507"/>
                                </a:moveTo>
                                <a:lnTo>
                                  <a:pt x="3977448" y="226416"/>
                                </a:lnTo>
                                <a:lnTo>
                                  <a:pt x="3983930" y="221708"/>
                                </a:lnTo>
                                <a:lnTo>
                                  <a:pt x="3982533" y="220507"/>
                                </a:lnTo>
                                <a:close/>
                              </a:path>
                            </a:pathLst>
                          </a:custGeom>
                          <a:solidFill>
                            <a:srgbClr val="37206A"/>
                          </a:solidFill>
                        </wps:spPr>
                        <wps:bodyPr wrap="square" lIns="0" tIns="0" rIns="0" bIns="0" rtlCol="0">
                          <a:prstTxWarp prst="textNoShape">
                            <a:avLst/>
                          </a:prstTxWarp>
                          <a:noAutofit/>
                        </wps:bodyPr>
                      </wps:wsp>
                      <wps:wsp>
                        <wps:cNvPr id="2082" name="Graphic 2082"/>
                        <wps:cNvSpPr/>
                        <wps:spPr>
                          <a:xfrm>
                            <a:off x="513691" y="1598790"/>
                            <a:ext cx="4298950" cy="357505"/>
                          </a:xfrm>
                          <a:custGeom>
                            <a:avLst/>
                            <a:gdLst/>
                            <a:ahLst/>
                            <a:cxnLst/>
                            <a:rect l="l" t="t" r="r" b="b"/>
                            <a:pathLst>
                              <a:path w="4298950" h="357505">
                                <a:moveTo>
                                  <a:pt x="1224736" y="355154"/>
                                </a:moveTo>
                                <a:lnTo>
                                  <a:pt x="1225120" y="357358"/>
                                </a:lnTo>
                                <a:lnTo>
                                  <a:pt x="1232552" y="356062"/>
                                </a:lnTo>
                                <a:lnTo>
                                  <a:pt x="1224736" y="355154"/>
                                </a:lnTo>
                                <a:close/>
                              </a:path>
                              <a:path w="4298950" h="357505">
                                <a:moveTo>
                                  <a:pt x="1240305" y="354711"/>
                                </a:moveTo>
                                <a:lnTo>
                                  <a:pt x="1232552" y="356062"/>
                                </a:lnTo>
                                <a:lnTo>
                                  <a:pt x="1240046" y="356933"/>
                                </a:lnTo>
                                <a:lnTo>
                                  <a:pt x="1240305" y="354711"/>
                                </a:lnTo>
                                <a:close/>
                              </a:path>
                              <a:path w="4298950" h="357505">
                                <a:moveTo>
                                  <a:pt x="1232046" y="338234"/>
                                </a:moveTo>
                                <a:lnTo>
                                  <a:pt x="1222089" y="339969"/>
                                </a:lnTo>
                                <a:lnTo>
                                  <a:pt x="1224736" y="355154"/>
                                </a:lnTo>
                                <a:lnTo>
                                  <a:pt x="1232552" y="356062"/>
                                </a:lnTo>
                                <a:lnTo>
                                  <a:pt x="1240305" y="354711"/>
                                </a:lnTo>
                                <a:lnTo>
                                  <a:pt x="1242084" y="339401"/>
                                </a:lnTo>
                                <a:lnTo>
                                  <a:pt x="1232046" y="338234"/>
                                </a:lnTo>
                                <a:close/>
                              </a:path>
                              <a:path w="4298950" h="357505">
                                <a:moveTo>
                                  <a:pt x="927904" y="320663"/>
                                </a:moveTo>
                                <a:lnTo>
                                  <a:pt x="1224736" y="355154"/>
                                </a:lnTo>
                                <a:lnTo>
                                  <a:pt x="1222089" y="339969"/>
                                </a:lnTo>
                                <a:lnTo>
                                  <a:pt x="1232046" y="338234"/>
                                </a:lnTo>
                                <a:lnTo>
                                  <a:pt x="1083127" y="320930"/>
                                </a:lnTo>
                                <a:lnTo>
                                  <a:pt x="937107" y="320930"/>
                                </a:lnTo>
                                <a:lnTo>
                                  <a:pt x="927904" y="320663"/>
                                </a:lnTo>
                                <a:close/>
                              </a:path>
                              <a:path w="4298950" h="357505">
                                <a:moveTo>
                                  <a:pt x="1527450" y="286754"/>
                                </a:moveTo>
                                <a:lnTo>
                                  <a:pt x="1232046" y="338234"/>
                                </a:lnTo>
                                <a:lnTo>
                                  <a:pt x="1242084" y="339401"/>
                                </a:lnTo>
                                <a:lnTo>
                                  <a:pt x="1240305" y="354711"/>
                                </a:lnTo>
                                <a:lnTo>
                                  <a:pt x="1536697" y="303059"/>
                                </a:lnTo>
                                <a:lnTo>
                                  <a:pt x="1526984" y="302776"/>
                                </a:lnTo>
                                <a:lnTo>
                                  <a:pt x="1527450" y="286754"/>
                                </a:lnTo>
                                <a:close/>
                              </a:path>
                              <a:path w="4298950" h="357505">
                                <a:moveTo>
                                  <a:pt x="3055830" y="329292"/>
                                </a:moveTo>
                                <a:lnTo>
                                  <a:pt x="3056108" y="330889"/>
                                </a:lnTo>
                                <a:lnTo>
                                  <a:pt x="3063922" y="329527"/>
                                </a:lnTo>
                                <a:lnTo>
                                  <a:pt x="3055830" y="329292"/>
                                </a:lnTo>
                                <a:close/>
                              </a:path>
                              <a:path w="4298950" h="357505">
                                <a:moveTo>
                                  <a:pt x="2463883" y="329273"/>
                                </a:moveTo>
                                <a:lnTo>
                                  <a:pt x="2455518" y="329516"/>
                                </a:lnTo>
                                <a:lnTo>
                                  <a:pt x="2463799" y="330238"/>
                                </a:lnTo>
                                <a:lnTo>
                                  <a:pt x="2463883" y="329273"/>
                                </a:lnTo>
                                <a:close/>
                              </a:path>
                              <a:path w="4298950" h="357505">
                                <a:moveTo>
                                  <a:pt x="2447180" y="328790"/>
                                </a:moveTo>
                                <a:lnTo>
                                  <a:pt x="2447208" y="329758"/>
                                </a:lnTo>
                                <a:lnTo>
                                  <a:pt x="2455518" y="329516"/>
                                </a:lnTo>
                                <a:lnTo>
                                  <a:pt x="2447180" y="328790"/>
                                </a:lnTo>
                                <a:close/>
                              </a:path>
                              <a:path w="4298950" h="357505">
                                <a:moveTo>
                                  <a:pt x="3071899" y="328137"/>
                                </a:moveTo>
                                <a:lnTo>
                                  <a:pt x="3063922" y="329527"/>
                                </a:lnTo>
                                <a:lnTo>
                                  <a:pt x="3071852" y="329758"/>
                                </a:lnTo>
                                <a:lnTo>
                                  <a:pt x="3071899" y="328137"/>
                                </a:lnTo>
                                <a:close/>
                              </a:path>
                              <a:path w="4298950" h="357505">
                                <a:moveTo>
                                  <a:pt x="3062650" y="311832"/>
                                </a:moveTo>
                                <a:lnTo>
                                  <a:pt x="3053077" y="313501"/>
                                </a:lnTo>
                                <a:lnTo>
                                  <a:pt x="3055830" y="329292"/>
                                </a:lnTo>
                                <a:lnTo>
                                  <a:pt x="3063922" y="329527"/>
                                </a:lnTo>
                                <a:lnTo>
                                  <a:pt x="3071899" y="328137"/>
                                </a:lnTo>
                                <a:lnTo>
                                  <a:pt x="3072365" y="312115"/>
                                </a:lnTo>
                                <a:lnTo>
                                  <a:pt x="3062650" y="311832"/>
                                </a:lnTo>
                                <a:close/>
                              </a:path>
                              <a:path w="4298950" h="357505">
                                <a:moveTo>
                                  <a:pt x="2456029" y="311843"/>
                                </a:moveTo>
                                <a:lnTo>
                                  <a:pt x="2446695" y="312115"/>
                                </a:lnTo>
                                <a:lnTo>
                                  <a:pt x="2447180" y="328790"/>
                                </a:lnTo>
                                <a:lnTo>
                                  <a:pt x="2455518" y="329516"/>
                                </a:lnTo>
                                <a:lnTo>
                                  <a:pt x="2463883" y="329273"/>
                                </a:lnTo>
                                <a:lnTo>
                                  <a:pt x="2465331" y="312654"/>
                                </a:lnTo>
                                <a:lnTo>
                                  <a:pt x="2456029" y="311843"/>
                                </a:lnTo>
                                <a:close/>
                              </a:path>
                              <a:path w="4298950" h="357505">
                                <a:moveTo>
                                  <a:pt x="2768122" y="303273"/>
                                </a:moveTo>
                                <a:lnTo>
                                  <a:pt x="2768620" y="320418"/>
                                </a:lnTo>
                                <a:lnTo>
                                  <a:pt x="2759542" y="320682"/>
                                </a:lnTo>
                                <a:lnTo>
                                  <a:pt x="3055830" y="329292"/>
                                </a:lnTo>
                                <a:lnTo>
                                  <a:pt x="3053077" y="313501"/>
                                </a:lnTo>
                                <a:lnTo>
                                  <a:pt x="3062650" y="311832"/>
                                </a:lnTo>
                                <a:lnTo>
                                  <a:pt x="2768122" y="303273"/>
                                </a:lnTo>
                                <a:close/>
                              </a:path>
                              <a:path w="4298950" h="357505">
                                <a:moveTo>
                                  <a:pt x="2750962" y="303273"/>
                                </a:moveTo>
                                <a:lnTo>
                                  <a:pt x="2456029" y="311843"/>
                                </a:lnTo>
                                <a:lnTo>
                                  <a:pt x="2465331" y="312654"/>
                                </a:lnTo>
                                <a:lnTo>
                                  <a:pt x="2463883" y="329273"/>
                                </a:lnTo>
                                <a:lnTo>
                                  <a:pt x="2759542" y="320682"/>
                                </a:lnTo>
                                <a:lnTo>
                                  <a:pt x="2750465" y="320418"/>
                                </a:lnTo>
                                <a:lnTo>
                                  <a:pt x="2750962" y="303273"/>
                                </a:lnTo>
                                <a:close/>
                              </a:path>
                              <a:path w="4298950" h="357505">
                                <a:moveTo>
                                  <a:pt x="2160605" y="286102"/>
                                </a:moveTo>
                                <a:lnTo>
                                  <a:pt x="2161076" y="302783"/>
                                </a:lnTo>
                                <a:lnTo>
                                  <a:pt x="2151744" y="303047"/>
                                </a:lnTo>
                                <a:lnTo>
                                  <a:pt x="2447180" y="328790"/>
                                </a:lnTo>
                                <a:lnTo>
                                  <a:pt x="2446695" y="312115"/>
                                </a:lnTo>
                                <a:lnTo>
                                  <a:pt x="2456029" y="311843"/>
                                </a:lnTo>
                                <a:lnTo>
                                  <a:pt x="2160605" y="286102"/>
                                </a:lnTo>
                                <a:close/>
                              </a:path>
                              <a:path w="4298950" h="357505">
                                <a:moveTo>
                                  <a:pt x="3358837" y="260217"/>
                                </a:moveTo>
                                <a:lnTo>
                                  <a:pt x="3062650" y="311832"/>
                                </a:lnTo>
                                <a:lnTo>
                                  <a:pt x="3072365" y="312115"/>
                                </a:lnTo>
                                <a:lnTo>
                                  <a:pt x="3071899" y="328137"/>
                                </a:lnTo>
                                <a:lnTo>
                                  <a:pt x="3367447" y="276633"/>
                                </a:lnTo>
                                <a:lnTo>
                                  <a:pt x="3357516" y="275791"/>
                                </a:lnTo>
                                <a:lnTo>
                                  <a:pt x="3358837" y="260217"/>
                                </a:lnTo>
                                <a:close/>
                              </a:path>
                              <a:path w="4298950" h="357505">
                                <a:moveTo>
                                  <a:pt x="920710" y="302796"/>
                                </a:moveTo>
                                <a:lnTo>
                                  <a:pt x="918757" y="319600"/>
                                </a:lnTo>
                                <a:lnTo>
                                  <a:pt x="927904" y="320663"/>
                                </a:lnTo>
                                <a:lnTo>
                                  <a:pt x="937107" y="320930"/>
                                </a:lnTo>
                                <a:lnTo>
                                  <a:pt x="937598" y="304020"/>
                                </a:lnTo>
                                <a:lnTo>
                                  <a:pt x="929180" y="303042"/>
                                </a:lnTo>
                                <a:lnTo>
                                  <a:pt x="920710" y="302796"/>
                                </a:lnTo>
                                <a:close/>
                              </a:path>
                              <a:path w="4298950" h="357505">
                                <a:moveTo>
                                  <a:pt x="937598" y="304020"/>
                                </a:moveTo>
                                <a:lnTo>
                                  <a:pt x="937107" y="320930"/>
                                </a:lnTo>
                                <a:lnTo>
                                  <a:pt x="1083127" y="320930"/>
                                </a:lnTo>
                                <a:lnTo>
                                  <a:pt x="937598" y="304020"/>
                                </a:lnTo>
                                <a:close/>
                              </a:path>
                              <a:path w="4298950" h="357505">
                                <a:moveTo>
                                  <a:pt x="2759542" y="303024"/>
                                </a:moveTo>
                                <a:lnTo>
                                  <a:pt x="2750962" y="303273"/>
                                </a:lnTo>
                                <a:lnTo>
                                  <a:pt x="2750465" y="320418"/>
                                </a:lnTo>
                                <a:lnTo>
                                  <a:pt x="2759542" y="320682"/>
                                </a:lnTo>
                                <a:lnTo>
                                  <a:pt x="2768620" y="320418"/>
                                </a:lnTo>
                                <a:lnTo>
                                  <a:pt x="2768120" y="303273"/>
                                </a:lnTo>
                                <a:lnTo>
                                  <a:pt x="2759542" y="303024"/>
                                </a:lnTo>
                                <a:close/>
                              </a:path>
                              <a:path w="4298950" h="357505">
                                <a:moveTo>
                                  <a:pt x="616213" y="293961"/>
                                </a:moveTo>
                                <a:lnTo>
                                  <a:pt x="615701" y="311604"/>
                                </a:lnTo>
                                <a:lnTo>
                                  <a:pt x="927904" y="320663"/>
                                </a:lnTo>
                                <a:lnTo>
                                  <a:pt x="918757" y="319600"/>
                                </a:lnTo>
                                <a:lnTo>
                                  <a:pt x="919656" y="311863"/>
                                </a:lnTo>
                                <a:lnTo>
                                  <a:pt x="633604" y="311863"/>
                                </a:lnTo>
                                <a:lnTo>
                                  <a:pt x="633604" y="294465"/>
                                </a:lnTo>
                                <a:lnTo>
                                  <a:pt x="616213" y="293961"/>
                                </a:lnTo>
                                <a:close/>
                              </a:path>
                              <a:path w="4298950" h="357505">
                                <a:moveTo>
                                  <a:pt x="1848398" y="311624"/>
                                </a:moveTo>
                                <a:lnTo>
                                  <a:pt x="1839815" y="311867"/>
                                </a:lnTo>
                                <a:lnTo>
                                  <a:pt x="1848384" y="312116"/>
                                </a:lnTo>
                                <a:lnTo>
                                  <a:pt x="1848398" y="311624"/>
                                </a:lnTo>
                                <a:close/>
                              </a:path>
                              <a:path w="4298950" h="357505">
                                <a:moveTo>
                                  <a:pt x="1831232" y="311618"/>
                                </a:moveTo>
                                <a:lnTo>
                                  <a:pt x="1831246" y="312109"/>
                                </a:lnTo>
                                <a:lnTo>
                                  <a:pt x="1839815" y="311867"/>
                                </a:lnTo>
                                <a:lnTo>
                                  <a:pt x="1831232" y="311618"/>
                                </a:lnTo>
                                <a:close/>
                              </a:path>
                              <a:path w="4298950" h="357505">
                                <a:moveTo>
                                  <a:pt x="1839822" y="294209"/>
                                </a:moveTo>
                                <a:lnTo>
                                  <a:pt x="1830747" y="294473"/>
                                </a:lnTo>
                                <a:lnTo>
                                  <a:pt x="1831232" y="311618"/>
                                </a:lnTo>
                                <a:lnTo>
                                  <a:pt x="1839815" y="311867"/>
                                </a:lnTo>
                                <a:lnTo>
                                  <a:pt x="1848398" y="311624"/>
                                </a:lnTo>
                                <a:lnTo>
                                  <a:pt x="1848896" y="294473"/>
                                </a:lnTo>
                                <a:lnTo>
                                  <a:pt x="1839822" y="294209"/>
                                </a:lnTo>
                                <a:close/>
                              </a:path>
                              <a:path w="4298950" h="357505">
                                <a:moveTo>
                                  <a:pt x="303762" y="294213"/>
                                </a:moveTo>
                                <a:lnTo>
                                  <a:pt x="0" y="294213"/>
                                </a:lnTo>
                                <a:lnTo>
                                  <a:pt x="0" y="311863"/>
                                </a:lnTo>
                                <a:lnTo>
                                  <a:pt x="303762" y="311863"/>
                                </a:lnTo>
                                <a:lnTo>
                                  <a:pt x="303762" y="294213"/>
                                </a:lnTo>
                                <a:close/>
                              </a:path>
                              <a:path w="4298950" h="357505">
                                <a:moveTo>
                                  <a:pt x="321413" y="294213"/>
                                </a:moveTo>
                                <a:lnTo>
                                  <a:pt x="303762" y="294213"/>
                                </a:lnTo>
                                <a:lnTo>
                                  <a:pt x="303762" y="311863"/>
                                </a:lnTo>
                                <a:lnTo>
                                  <a:pt x="321413" y="311863"/>
                                </a:lnTo>
                                <a:lnTo>
                                  <a:pt x="321413" y="294213"/>
                                </a:lnTo>
                                <a:close/>
                              </a:path>
                              <a:path w="4298950" h="357505">
                                <a:moveTo>
                                  <a:pt x="616206" y="294213"/>
                                </a:moveTo>
                                <a:lnTo>
                                  <a:pt x="321413" y="294213"/>
                                </a:lnTo>
                                <a:lnTo>
                                  <a:pt x="321413" y="311863"/>
                                </a:lnTo>
                                <a:lnTo>
                                  <a:pt x="624652" y="311863"/>
                                </a:lnTo>
                                <a:lnTo>
                                  <a:pt x="615701" y="311604"/>
                                </a:lnTo>
                                <a:lnTo>
                                  <a:pt x="616206" y="294213"/>
                                </a:lnTo>
                                <a:close/>
                              </a:path>
                              <a:path w="4298950" h="357505">
                                <a:moveTo>
                                  <a:pt x="633604" y="294465"/>
                                </a:moveTo>
                                <a:lnTo>
                                  <a:pt x="633604" y="311863"/>
                                </a:lnTo>
                                <a:lnTo>
                                  <a:pt x="919656" y="311863"/>
                                </a:lnTo>
                                <a:lnTo>
                                  <a:pt x="920710" y="302796"/>
                                </a:lnTo>
                                <a:lnTo>
                                  <a:pt x="633604" y="294465"/>
                                </a:lnTo>
                                <a:close/>
                              </a:path>
                              <a:path w="4298950" h="357505">
                                <a:moveTo>
                                  <a:pt x="2143896" y="285612"/>
                                </a:moveTo>
                                <a:lnTo>
                                  <a:pt x="1839822" y="294209"/>
                                </a:lnTo>
                                <a:lnTo>
                                  <a:pt x="1848896" y="294473"/>
                                </a:lnTo>
                                <a:lnTo>
                                  <a:pt x="1848398" y="311624"/>
                                </a:lnTo>
                                <a:lnTo>
                                  <a:pt x="2151744" y="303047"/>
                                </a:lnTo>
                                <a:lnTo>
                                  <a:pt x="2142447" y="302237"/>
                                </a:lnTo>
                                <a:lnTo>
                                  <a:pt x="2143896" y="285612"/>
                                </a:lnTo>
                                <a:close/>
                              </a:path>
                              <a:path w="4298950" h="357505">
                                <a:moveTo>
                                  <a:pt x="1543519" y="285599"/>
                                </a:moveTo>
                                <a:lnTo>
                                  <a:pt x="1546271" y="301390"/>
                                </a:lnTo>
                                <a:lnTo>
                                  <a:pt x="1536697" y="303059"/>
                                </a:lnTo>
                                <a:lnTo>
                                  <a:pt x="1831232" y="311618"/>
                                </a:lnTo>
                                <a:lnTo>
                                  <a:pt x="1830747" y="294473"/>
                                </a:lnTo>
                                <a:lnTo>
                                  <a:pt x="1839822" y="294209"/>
                                </a:lnTo>
                                <a:lnTo>
                                  <a:pt x="1543519" y="285599"/>
                                </a:lnTo>
                                <a:close/>
                              </a:path>
                              <a:path w="4298950" h="357505">
                                <a:moveTo>
                                  <a:pt x="3673123" y="302548"/>
                                </a:moveTo>
                                <a:lnTo>
                                  <a:pt x="3674409" y="305710"/>
                                </a:lnTo>
                                <a:lnTo>
                                  <a:pt x="3680624" y="303184"/>
                                </a:lnTo>
                                <a:lnTo>
                                  <a:pt x="3673123" y="302548"/>
                                </a:lnTo>
                                <a:close/>
                              </a:path>
                              <a:path w="4298950" h="357505">
                                <a:moveTo>
                                  <a:pt x="929180" y="303042"/>
                                </a:moveTo>
                                <a:lnTo>
                                  <a:pt x="937598" y="304020"/>
                                </a:lnTo>
                                <a:lnTo>
                                  <a:pt x="937619" y="303287"/>
                                </a:lnTo>
                                <a:lnTo>
                                  <a:pt x="929180" y="303042"/>
                                </a:lnTo>
                                <a:close/>
                              </a:path>
                              <a:path w="4298950" h="357505">
                                <a:moveTo>
                                  <a:pt x="3687597" y="300348"/>
                                </a:moveTo>
                                <a:lnTo>
                                  <a:pt x="3680624" y="303184"/>
                                </a:lnTo>
                                <a:lnTo>
                                  <a:pt x="3687309" y="303750"/>
                                </a:lnTo>
                                <a:lnTo>
                                  <a:pt x="3687597" y="300348"/>
                                </a:lnTo>
                                <a:close/>
                              </a:path>
                              <a:path w="4298950" h="357505">
                                <a:moveTo>
                                  <a:pt x="2768107" y="302775"/>
                                </a:moveTo>
                                <a:lnTo>
                                  <a:pt x="2759542" y="303024"/>
                                </a:lnTo>
                                <a:lnTo>
                                  <a:pt x="2768122" y="303273"/>
                                </a:lnTo>
                                <a:lnTo>
                                  <a:pt x="2768107" y="302775"/>
                                </a:lnTo>
                                <a:close/>
                              </a:path>
                              <a:path w="4298950" h="357505">
                                <a:moveTo>
                                  <a:pt x="2750977" y="302775"/>
                                </a:moveTo>
                                <a:lnTo>
                                  <a:pt x="2750962" y="303273"/>
                                </a:lnTo>
                                <a:lnTo>
                                  <a:pt x="2759542" y="303024"/>
                                </a:lnTo>
                                <a:lnTo>
                                  <a:pt x="2750977" y="302775"/>
                                </a:lnTo>
                                <a:close/>
                              </a:path>
                              <a:path w="4298950" h="357505">
                                <a:moveTo>
                                  <a:pt x="3677897" y="285239"/>
                                </a:moveTo>
                                <a:lnTo>
                                  <a:pt x="3667761" y="289360"/>
                                </a:lnTo>
                                <a:lnTo>
                                  <a:pt x="3673123" y="302548"/>
                                </a:lnTo>
                                <a:lnTo>
                                  <a:pt x="3680624" y="303184"/>
                                </a:lnTo>
                                <a:lnTo>
                                  <a:pt x="3687597" y="300348"/>
                                </a:lnTo>
                                <a:lnTo>
                                  <a:pt x="3688800" y="286163"/>
                                </a:lnTo>
                                <a:lnTo>
                                  <a:pt x="3677897" y="285239"/>
                                </a:lnTo>
                                <a:close/>
                              </a:path>
                              <a:path w="4298950" h="357505">
                                <a:moveTo>
                                  <a:pt x="1535425" y="285364"/>
                                </a:moveTo>
                                <a:lnTo>
                                  <a:pt x="1527450" y="286754"/>
                                </a:lnTo>
                                <a:lnTo>
                                  <a:pt x="1526984" y="302776"/>
                                </a:lnTo>
                                <a:lnTo>
                                  <a:pt x="1536697" y="303059"/>
                                </a:lnTo>
                                <a:lnTo>
                                  <a:pt x="1546271" y="301390"/>
                                </a:lnTo>
                                <a:lnTo>
                                  <a:pt x="1543519" y="285599"/>
                                </a:lnTo>
                                <a:lnTo>
                                  <a:pt x="1535425" y="285364"/>
                                </a:lnTo>
                                <a:close/>
                              </a:path>
                              <a:path w="4298950" h="357505">
                                <a:moveTo>
                                  <a:pt x="2152264" y="285375"/>
                                </a:moveTo>
                                <a:lnTo>
                                  <a:pt x="2143896" y="285612"/>
                                </a:lnTo>
                                <a:lnTo>
                                  <a:pt x="2142447" y="302237"/>
                                </a:lnTo>
                                <a:lnTo>
                                  <a:pt x="2151744" y="303047"/>
                                </a:lnTo>
                                <a:lnTo>
                                  <a:pt x="2161076" y="302783"/>
                                </a:lnTo>
                                <a:lnTo>
                                  <a:pt x="2160605" y="286102"/>
                                </a:lnTo>
                                <a:lnTo>
                                  <a:pt x="2152264" y="285375"/>
                                </a:lnTo>
                                <a:close/>
                              </a:path>
                              <a:path w="4298950" h="357505">
                                <a:moveTo>
                                  <a:pt x="920794" y="302068"/>
                                </a:moveTo>
                                <a:lnTo>
                                  <a:pt x="920710" y="302796"/>
                                </a:lnTo>
                                <a:lnTo>
                                  <a:pt x="929180" y="303042"/>
                                </a:lnTo>
                                <a:lnTo>
                                  <a:pt x="920794" y="302068"/>
                                </a:lnTo>
                                <a:close/>
                              </a:path>
                              <a:path w="4298950" h="357505">
                                <a:moveTo>
                                  <a:pt x="3374581" y="259524"/>
                                </a:moveTo>
                                <a:lnTo>
                                  <a:pt x="3377265" y="274922"/>
                                </a:lnTo>
                                <a:lnTo>
                                  <a:pt x="3367447" y="276633"/>
                                </a:lnTo>
                                <a:lnTo>
                                  <a:pt x="3673123" y="302548"/>
                                </a:lnTo>
                                <a:lnTo>
                                  <a:pt x="3667761" y="289360"/>
                                </a:lnTo>
                                <a:lnTo>
                                  <a:pt x="3677897" y="285239"/>
                                </a:lnTo>
                                <a:lnTo>
                                  <a:pt x="3374581" y="259524"/>
                                </a:lnTo>
                                <a:close/>
                              </a:path>
                              <a:path w="4298950" h="357505">
                                <a:moveTo>
                                  <a:pt x="3979291" y="162692"/>
                                </a:moveTo>
                                <a:lnTo>
                                  <a:pt x="3677897" y="285239"/>
                                </a:lnTo>
                                <a:lnTo>
                                  <a:pt x="3688800" y="286163"/>
                                </a:lnTo>
                                <a:lnTo>
                                  <a:pt x="3687597" y="300348"/>
                                </a:lnTo>
                                <a:lnTo>
                                  <a:pt x="3978900" y="181905"/>
                                </a:lnTo>
                                <a:lnTo>
                                  <a:pt x="3971096" y="166976"/>
                                </a:lnTo>
                                <a:lnTo>
                                  <a:pt x="3979291" y="162692"/>
                                </a:lnTo>
                                <a:close/>
                              </a:path>
                              <a:path w="4298950" h="357505">
                                <a:moveTo>
                                  <a:pt x="633604" y="294213"/>
                                </a:moveTo>
                                <a:lnTo>
                                  <a:pt x="624905" y="294213"/>
                                </a:lnTo>
                                <a:lnTo>
                                  <a:pt x="633604" y="294465"/>
                                </a:lnTo>
                                <a:lnTo>
                                  <a:pt x="633604" y="294213"/>
                                </a:lnTo>
                                <a:close/>
                              </a:path>
                              <a:path w="4298950" h="357505">
                                <a:moveTo>
                                  <a:pt x="1527497" y="285133"/>
                                </a:moveTo>
                                <a:lnTo>
                                  <a:pt x="1527450" y="286754"/>
                                </a:lnTo>
                                <a:lnTo>
                                  <a:pt x="1535425" y="285364"/>
                                </a:lnTo>
                                <a:lnTo>
                                  <a:pt x="1527497" y="285133"/>
                                </a:lnTo>
                                <a:close/>
                              </a:path>
                              <a:path w="4298950" h="357505">
                                <a:moveTo>
                                  <a:pt x="2160578" y="285140"/>
                                </a:moveTo>
                                <a:lnTo>
                                  <a:pt x="2152264" y="285375"/>
                                </a:lnTo>
                                <a:lnTo>
                                  <a:pt x="2160605" y="286102"/>
                                </a:lnTo>
                                <a:lnTo>
                                  <a:pt x="2160578" y="285140"/>
                                </a:lnTo>
                                <a:close/>
                              </a:path>
                              <a:path w="4298950" h="357505">
                                <a:moveTo>
                                  <a:pt x="2143980" y="284653"/>
                                </a:moveTo>
                                <a:lnTo>
                                  <a:pt x="2143896" y="285612"/>
                                </a:lnTo>
                                <a:lnTo>
                                  <a:pt x="2152264" y="285375"/>
                                </a:lnTo>
                                <a:lnTo>
                                  <a:pt x="2143980" y="284653"/>
                                </a:lnTo>
                                <a:close/>
                              </a:path>
                              <a:path w="4298950" h="357505">
                                <a:moveTo>
                                  <a:pt x="1543241" y="284002"/>
                                </a:moveTo>
                                <a:lnTo>
                                  <a:pt x="1535425" y="285364"/>
                                </a:lnTo>
                                <a:lnTo>
                                  <a:pt x="1543519" y="285599"/>
                                </a:lnTo>
                                <a:lnTo>
                                  <a:pt x="1543241" y="284002"/>
                                </a:lnTo>
                                <a:close/>
                              </a:path>
                              <a:path w="4298950" h="357505">
                                <a:moveTo>
                                  <a:pt x="3366664" y="258853"/>
                                </a:moveTo>
                                <a:lnTo>
                                  <a:pt x="3358837" y="260217"/>
                                </a:lnTo>
                                <a:lnTo>
                                  <a:pt x="3357516" y="275791"/>
                                </a:lnTo>
                                <a:lnTo>
                                  <a:pt x="3367447" y="276633"/>
                                </a:lnTo>
                                <a:lnTo>
                                  <a:pt x="3377265" y="274922"/>
                                </a:lnTo>
                                <a:lnTo>
                                  <a:pt x="3374581" y="259524"/>
                                </a:lnTo>
                                <a:lnTo>
                                  <a:pt x="3366664" y="258853"/>
                                </a:lnTo>
                                <a:close/>
                              </a:path>
                              <a:path w="4298950" h="357505">
                                <a:moveTo>
                                  <a:pt x="3359007" y="258204"/>
                                </a:moveTo>
                                <a:lnTo>
                                  <a:pt x="3358837" y="260217"/>
                                </a:lnTo>
                                <a:lnTo>
                                  <a:pt x="3366664" y="258853"/>
                                </a:lnTo>
                                <a:lnTo>
                                  <a:pt x="3359007" y="258204"/>
                                </a:lnTo>
                                <a:close/>
                              </a:path>
                              <a:path w="4298950" h="357505">
                                <a:moveTo>
                                  <a:pt x="3374235" y="257533"/>
                                </a:moveTo>
                                <a:lnTo>
                                  <a:pt x="3366664" y="258853"/>
                                </a:lnTo>
                                <a:lnTo>
                                  <a:pt x="3374581" y="259524"/>
                                </a:lnTo>
                                <a:lnTo>
                                  <a:pt x="3374235" y="257533"/>
                                </a:lnTo>
                                <a:close/>
                              </a:path>
                              <a:path w="4298950" h="357505">
                                <a:moveTo>
                                  <a:pt x="3986721" y="178725"/>
                                </a:moveTo>
                                <a:lnTo>
                                  <a:pt x="3978900" y="181905"/>
                                </a:lnTo>
                                <a:lnTo>
                                  <a:pt x="3979273" y="182618"/>
                                </a:lnTo>
                                <a:lnTo>
                                  <a:pt x="3986721" y="178725"/>
                                </a:lnTo>
                                <a:close/>
                              </a:path>
                              <a:path w="4298950" h="357505">
                                <a:moveTo>
                                  <a:pt x="3987857" y="159209"/>
                                </a:moveTo>
                                <a:lnTo>
                                  <a:pt x="3979291" y="162692"/>
                                </a:lnTo>
                                <a:lnTo>
                                  <a:pt x="3971096" y="166976"/>
                                </a:lnTo>
                                <a:lnTo>
                                  <a:pt x="3978900" y="181905"/>
                                </a:lnTo>
                                <a:lnTo>
                                  <a:pt x="3986721" y="178725"/>
                                </a:lnTo>
                                <a:lnTo>
                                  <a:pt x="3994202" y="174814"/>
                                </a:lnTo>
                                <a:lnTo>
                                  <a:pt x="3987857" y="159209"/>
                                </a:lnTo>
                                <a:close/>
                              </a:path>
                              <a:path w="4298950" h="357505">
                                <a:moveTo>
                                  <a:pt x="3994202" y="174814"/>
                                </a:moveTo>
                                <a:lnTo>
                                  <a:pt x="3986721" y="178725"/>
                                </a:lnTo>
                                <a:lnTo>
                                  <a:pt x="3994505" y="175560"/>
                                </a:lnTo>
                                <a:lnTo>
                                  <a:pt x="3994202" y="174814"/>
                                </a:lnTo>
                                <a:close/>
                              </a:path>
                              <a:path w="4298950" h="357505">
                                <a:moveTo>
                                  <a:pt x="4024052" y="159209"/>
                                </a:moveTo>
                                <a:lnTo>
                                  <a:pt x="3987857" y="159209"/>
                                </a:lnTo>
                                <a:lnTo>
                                  <a:pt x="3994202" y="174814"/>
                                </a:lnTo>
                                <a:lnTo>
                                  <a:pt x="4024052" y="159209"/>
                                </a:lnTo>
                                <a:close/>
                              </a:path>
                              <a:path w="4298950" h="357505">
                                <a:moveTo>
                                  <a:pt x="4290507" y="0"/>
                                </a:moveTo>
                                <a:lnTo>
                                  <a:pt x="3979291" y="162692"/>
                                </a:lnTo>
                                <a:lnTo>
                                  <a:pt x="3987857" y="159209"/>
                                </a:lnTo>
                                <a:lnTo>
                                  <a:pt x="4024052" y="159209"/>
                                </a:lnTo>
                                <a:lnTo>
                                  <a:pt x="4298684" y="15642"/>
                                </a:lnTo>
                                <a:lnTo>
                                  <a:pt x="4290507" y="0"/>
                                </a:lnTo>
                                <a:close/>
                              </a:path>
                            </a:pathLst>
                          </a:custGeom>
                          <a:solidFill>
                            <a:srgbClr val="2B8E42"/>
                          </a:solidFill>
                        </wps:spPr>
                        <wps:bodyPr wrap="square" lIns="0" tIns="0" rIns="0" bIns="0" rtlCol="0">
                          <a:prstTxWarp prst="textNoShape">
                            <a:avLst/>
                          </a:prstTxWarp>
                          <a:noAutofit/>
                        </wps:bodyPr>
                      </wps:wsp>
                      <wps:wsp>
                        <wps:cNvPr id="2083" name="Graphic 2083"/>
                        <wps:cNvSpPr/>
                        <wps:spPr>
                          <a:xfrm>
                            <a:off x="473944" y="1745449"/>
                            <a:ext cx="400685" cy="118745"/>
                          </a:xfrm>
                          <a:custGeom>
                            <a:avLst/>
                            <a:gdLst/>
                            <a:ahLst/>
                            <a:cxnLst/>
                            <a:rect l="l" t="t" r="r" b="b"/>
                            <a:pathLst>
                              <a:path w="400685" h="118745">
                                <a:moveTo>
                                  <a:pt x="96304" y="68084"/>
                                </a:moveTo>
                                <a:lnTo>
                                  <a:pt x="93395" y="65049"/>
                                </a:lnTo>
                                <a:lnTo>
                                  <a:pt x="48145" y="17653"/>
                                </a:lnTo>
                                <a:lnTo>
                                  <a:pt x="44958" y="20993"/>
                                </a:lnTo>
                                <a:lnTo>
                                  <a:pt x="0" y="68084"/>
                                </a:lnTo>
                                <a:lnTo>
                                  <a:pt x="48145" y="118529"/>
                                </a:lnTo>
                                <a:lnTo>
                                  <a:pt x="54254" y="112141"/>
                                </a:lnTo>
                                <a:lnTo>
                                  <a:pt x="93395" y="71132"/>
                                </a:lnTo>
                                <a:lnTo>
                                  <a:pt x="96304" y="68084"/>
                                </a:lnTo>
                                <a:close/>
                              </a:path>
                              <a:path w="400685" h="118745">
                                <a:moveTo>
                                  <a:pt x="400138" y="50444"/>
                                </a:moveTo>
                                <a:lnTo>
                                  <a:pt x="397230" y="47396"/>
                                </a:lnTo>
                                <a:lnTo>
                                  <a:pt x="351993" y="0"/>
                                </a:lnTo>
                                <a:lnTo>
                                  <a:pt x="348792" y="3352"/>
                                </a:lnTo>
                                <a:lnTo>
                                  <a:pt x="303834" y="50444"/>
                                </a:lnTo>
                                <a:lnTo>
                                  <a:pt x="351993" y="100876"/>
                                </a:lnTo>
                                <a:lnTo>
                                  <a:pt x="358089" y="94488"/>
                                </a:lnTo>
                                <a:lnTo>
                                  <a:pt x="397230" y="53492"/>
                                </a:lnTo>
                                <a:lnTo>
                                  <a:pt x="400138" y="50444"/>
                                </a:lnTo>
                                <a:close/>
                              </a:path>
                            </a:pathLst>
                          </a:custGeom>
                          <a:solidFill>
                            <a:srgbClr val="37206A"/>
                          </a:solidFill>
                        </wps:spPr>
                        <wps:bodyPr wrap="square" lIns="0" tIns="0" rIns="0" bIns="0" rtlCol="0">
                          <a:prstTxWarp prst="textNoShape">
                            <a:avLst/>
                          </a:prstTxWarp>
                          <a:noAutofit/>
                        </wps:bodyPr>
                      </wps:wsp>
                      <pic:pic>
                        <pic:nvPicPr>
                          <pic:cNvPr id="2084" name="Image 2084"/>
                          <pic:cNvPicPr/>
                        </pic:nvPicPr>
                        <pic:blipFill>
                          <a:blip r:embed="rId701" cstate="print"/>
                          <a:stretch>
                            <a:fillRect/>
                          </a:stretch>
                        </pic:blipFill>
                        <pic:spPr>
                          <a:xfrm>
                            <a:off x="1090050" y="1674842"/>
                            <a:ext cx="96311" cy="100874"/>
                          </a:xfrm>
                          <a:prstGeom prst="rect">
                            <a:avLst/>
                          </a:prstGeom>
                        </pic:spPr>
                      </pic:pic>
                      <pic:pic>
                        <pic:nvPicPr>
                          <pic:cNvPr id="2085" name="Image 2085"/>
                          <pic:cNvPicPr/>
                        </pic:nvPicPr>
                        <pic:blipFill>
                          <a:blip r:embed="rId702" cstate="print"/>
                          <a:stretch>
                            <a:fillRect/>
                          </a:stretch>
                        </pic:blipFill>
                        <pic:spPr>
                          <a:xfrm>
                            <a:off x="1393887" y="1586586"/>
                            <a:ext cx="96311" cy="100874"/>
                          </a:xfrm>
                          <a:prstGeom prst="rect">
                            <a:avLst/>
                          </a:prstGeom>
                        </pic:spPr>
                      </pic:pic>
                      <pic:pic>
                        <pic:nvPicPr>
                          <pic:cNvPr id="2086" name="Image 2086"/>
                          <pic:cNvPicPr/>
                        </pic:nvPicPr>
                        <pic:blipFill>
                          <a:blip r:embed="rId702" cstate="print"/>
                          <a:stretch>
                            <a:fillRect/>
                          </a:stretch>
                        </pic:blipFill>
                        <pic:spPr>
                          <a:xfrm>
                            <a:off x="1697719" y="1507162"/>
                            <a:ext cx="96311" cy="100874"/>
                          </a:xfrm>
                          <a:prstGeom prst="rect">
                            <a:avLst/>
                          </a:prstGeom>
                        </pic:spPr>
                      </pic:pic>
                      <pic:pic>
                        <pic:nvPicPr>
                          <pic:cNvPr id="2087" name="Image 2087"/>
                          <pic:cNvPicPr/>
                        </pic:nvPicPr>
                        <pic:blipFill>
                          <a:blip r:embed="rId702" cstate="print"/>
                          <a:stretch>
                            <a:fillRect/>
                          </a:stretch>
                        </pic:blipFill>
                        <pic:spPr>
                          <a:xfrm>
                            <a:off x="2001556" y="1427737"/>
                            <a:ext cx="96312" cy="100873"/>
                          </a:xfrm>
                          <a:prstGeom prst="rect">
                            <a:avLst/>
                          </a:prstGeom>
                        </pic:spPr>
                      </pic:pic>
                      <pic:pic>
                        <pic:nvPicPr>
                          <pic:cNvPr id="2088" name="Image 2088"/>
                          <pic:cNvPicPr/>
                        </pic:nvPicPr>
                        <pic:blipFill>
                          <a:blip r:embed="rId703" cstate="print"/>
                          <a:stretch>
                            <a:fillRect/>
                          </a:stretch>
                        </pic:blipFill>
                        <pic:spPr>
                          <a:xfrm>
                            <a:off x="2305388" y="1489513"/>
                            <a:ext cx="96311" cy="100874"/>
                          </a:xfrm>
                          <a:prstGeom prst="rect">
                            <a:avLst/>
                          </a:prstGeom>
                        </pic:spPr>
                      </pic:pic>
                      <pic:pic>
                        <pic:nvPicPr>
                          <pic:cNvPr id="2089" name="Image 2089"/>
                          <pic:cNvPicPr/>
                        </pic:nvPicPr>
                        <pic:blipFill>
                          <a:blip r:embed="rId704" cstate="print"/>
                          <a:stretch>
                            <a:fillRect/>
                          </a:stretch>
                        </pic:blipFill>
                        <pic:spPr>
                          <a:xfrm>
                            <a:off x="2617663" y="1692490"/>
                            <a:ext cx="96312" cy="100873"/>
                          </a:xfrm>
                          <a:prstGeom prst="rect">
                            <a:avLst/>
                          </a:prstGeom>
                        </pic:spPr>
                      </pic:pic>
                      <pic:pic>
                        <pic:nvPicPr>
                          <pic:cNvPr id="2090" name="Image 2090"/>
                          <pic:cNvPicPr/>
                        </pic:nvPicPr>
                        <pic:blipFill>
                          <a:blip r:embed="rId704" cstate="print"/>
                          <a:stretch>
                            <a:fillRect/>
                          </a:stretch>
                        </pic:blipFill>
                        <pic:spPr>
                          <a:xfrm>
                            <a:off x="2921506" y="1507162"/>
                            <a:ext cx="96311" cy="100874"/>
                          </a:xfrm>
                          <a:prstGeom prst="rect">
                            <a:avLst/>
                          </a:prstGeom>
                        </pic:spPr>
                      </pic:pic>
                      <pic:pic>
                        <pic:nvPicPr>
                          <pic:cNvPr id="2091" name="Image 2091"/>
                          <pic:cNvPicPr/>
                        </pic:nvPicPr>
                        <pic:blipFill>
                          <a:blip r:embed="rId705" cstate="print"/>
                          <a:stretch>
                            <a:fillRect/>
                          </a:stretch>
                        </pic:blipFill>
                        <pic:spPr>
                          <a:xfrm>
                            <a:off x="3225325" y="1401257"/>
                            <a:ext cx="96312" cy="100874"/>
                          </a:xfrm>
                          <a:prstGeom prst="rect">
                            <a:avLst/>
                          </a:prstGeom>
                        </pic:spPr>
                      </pic:pic>
                      <pic:pic>
                        <pic:nvPicPr>
                          <pic:cNvPr id="2092" name="Image 2092"/>
                          <pic:cNvPicPr/>
                        </pic:nvPicPr>
                        <pic:blipFill>
                          <a:blip r:embed="rId704" cstate="print"/>
                          <a:stretch>
                            <a:fillRect/>
                          </a:stretch>
                        </pic:blipFill>
                        <pic:spPr>
                          <a:xfrm>
                            <a:off x="3561442" y="1340202"/>
                            <a:ext cx="96311" cy="100873"/>
                          </a:xfrm>
                          <a:prstGeom prst="rect">
                            <a:avLst/>
                          </a:prstGeom>
                        </pic:spPr>
                      </pic:pic>
                      <pic:pic>
                        <pic:nvPicPr>
                          <pic:cNvPr id="2093" name="Image 2093"/>
                          <pic:cNvPicPr/>
                        </pic:nvPicPr>
                        <pic:blipFill>
                          <a:blip r:embed="rId706" cstate="print"/>
                          <a:stretch>
                            <a:fillRect/>
                          </a:stretch>
                        </pic:blipFill>
                        <pic:spPr>
                          <a:xfrm>
                            <a:off x="3832987" y="1304185"/>
                            <a:ext cx="96311" cy="100860"/>
                          </a:xfrm>
                          <a:prstGeom prst="rect">
                            <a:avLst/>
                          </a:prstGeom>
                        </pic:spPr>
                      </pic:pic>
                      <pic:pic>
                        <pic:nvPicPr>
                          <pic:cNvPr id="2094" name="Image 2094"/>
                          <pic:cNvPicPr/>
                        </pic:nvPicPr>
                        <pic:blipFill>
                          <a:blip r:embed="rId705" cstate="print"/>
                          <a:stretch>
                            <a:fillRect/>
                          </a:stretch>
                        </pic:blipFill>
                        <pic:spPr>
                          <a:xfrm>
                            <a:off x="4145269" y="1057068"/>
                            <a:ext cx="96311" cy="100873"/>
                          </a:xfrm>
                          <a:prstGeom prst="rect">
                            <a:avLst/>
                          </a:prstGeom>
                        </pic:spPr>
                      </pic:pic>
                      <pic:pic>
                        <pic:nvPicPr>
                          <pic:cNvPr id="2095" name="Image 2095"/>
                          <pic:cNvPicPr/>
                        </pic:nvPicPr>
                        <pic:blipFill>
                          <a:blip r:embed="rId707" cstate="print"/>
                          <a:stretch>
                            <a:fillRect/>
                          </a:stretch>
                        </pic:blipFill>
                        <pic:spPr>
                          <a:xfrm>
                            <a:off x="4449114" y="704061"/>
                            <a:ext cx="96312" cy="100867"/>
                          </a:xfrm>
                          <a:prstGeom prst="rect">
                            <a:avLst/>
                          </a:prstGeom>
                        </pic:spPr>
                      </pic:pic>
                      <pic:pic>
                        <pic:nvPicPr>
                          <pic:cNvPr id="2096" name="Image 2096"/>
                          <pic:cNvPicPr/>
                        </pic:nvPicPr>
                        <pic:blipFill>
                          <a:blip r:embed="rId708" cstate="print"/>
                          <a:stretch>
                            <a:fillRect/>
                          </a:stretch>
                        </pic:blipFill>
                        <pic:spPr>
                          <a:xfrm>
                            <a:off x="4752931" y="483422"/>
                            <a:ext cx="96311" cy="100875"/>
                          </a:xfrm>
                          <a:prstGeom prst="rect">
                            <a:avLst/>
                          </a:prstGeom>
                        </pic:spPr>
                      </pic:pic>
                      <wps:wsp>
                        <wps:cNvPr id="2097" name="Graphic 2097"/>
                        <wps:cNvSpPr/>
                        <wps:spPr>
                          <a:xfrm>
                            <a:off x="475684" y="1562099"/>
                            <a:ext cx="4363720" cy="424180"/>
                          </a:xfrm>
                          <a:custGeom>
                            <a:avLst/>
                            <a:gdLst/>
                            <a:ahLst/>
                            <a:cxnLst/>
                            <a:rect l="l" t="t" r="r" b="b"/>
                            <a:pathLst>
                              <a:path w="4363720" h="424180">
                                <a:moveTo>
                                  <a:pt x="84378" y="291236"/>
                                </a:moveTo>
                                <a:lnTo>
                                  <a:pt x="0" y="291236"/>
                                </a:lnTo>
                                <a:lnTo>
                                  <a:pt x="0" y="379488"/>
                                </a:lnTo>
                                <a:lnTo>
                                  <a:pt x="84378" y="379488"/>
                                </a:lnTo>
                                <a:lnTo>
                                  <a:pt x="84378" y="375069"/>
                                </a:lnTo>
                                <a:lnTo>
                                  <a:pt x="84378" y="370662"/>
                                </a:lnTo>
                                <a:lnTo>
                                  <a:pt x="84378" y="300062"/>
                                </a:lnTo>
                                <a:lnTo>
                                  <a:pt x="84378" y="295643"/>
                                </a:lnTo>
                                <a:lnTo>
                                  <a:pt x="84378" y="291236"/>
                                </a:lnTo>
                                <a:close/>
                              </a:path>
                              <a:path w="4363720" h="424180">
                                <a:moveTo>
                                  <a:pt x="388200" y="291236"/>
                                </a:moveTo>
                                <a:lnTo>
                                  <a:pt x="303847" y="291236"/>
                                </a:lnTo>
                                <a:lnTo>
                                  <a:pt x="303847" y="379488"/>
                                </a:lnTo>
                                <a:lnTo>
                                  <a:pt x="388200" y="379488"/>
                                </a:lnTo>
                                <a:lnTo>
                                  <a:pt x="388200" y="375069"/>
                                </a:lnTo>
                                <a:lnTo>
                                  <a:pt x="388200" y="370662"/>
                                </a:lnTo>
                                <a:lnTo>
                                  <a:pt x="388200" y="300062"/>
                                </a:lnTo>
                                <a:lnTo>
                                  <a:pt x="388200" y="295643"/>
                                </a:lnTo>
                                <a:lnTo>
                                  <a:pt x="388200" y="291236"/>
                                </a:lnTo>
                                <a:close/>
                              </a:path>
                              <a:path w="4363720" h="424180">
                                <a:moveTo>
                                  <a:pt x="700481" y="291236"/>
                                </a:moveTo>
                                <a:lnTo>
                                  <a:pt x="616115" y="291236"/>
                                </a:lnTo>
                                <a:lnTo>
                                  <a:pt x="616115" y="379488"/>
                                </a:lnTo>
                                <a:lnTo>
                                  <a:pt x="700481" y="379488"/>
                                </a:lnTo>
                                <a:lnTo>
                                  <a:pt x="700481" y="375069"/>
                                </a:lnTo>
                                <a:lnTo>
                                  <a:pt x="700481" y="370662"/>
                                </a:lnTo>
                                <a:lnTo>
                                  <a:pt x="700481" y="300062"/>
                                </a:lnTo>
                                <a:lnTo>
                                  <a:pt x="700481" y="295643"/>
                                </a:lnTo>
                                <a:lnTo>
                                  <a:pt x="700481" y="291236"/>
                                </a:lnTo>
                                <a:close/>
                              </a:path>
                              <a:path w="4363720" h="424180">
                                <a:moveTo>
                                  <a:pt x="1004316" y="300050"/>
                                </a:moveTo>
                                <a:lnTo>
                                  <a:pt x="919949" y="300050"/>
                                </a:lnTo>
                                <a:lnTo>
                                  <a:pt x="919949" y="388315"/>
                                </a:lnTo>
                                <a:lnTo>
                                  <a:pt x="1004316" y="388315"/>
                                </a:lnTo>
                                <a:lnTo>
                                  <a:pt x="1004316" y="383908"/>
                                </a:lnTo>
                                <a:lnTo>
                                  <a:pt x="1004316" y="379488"/>
                                </a:lnTo>
                                <a:lnTo>
                                  <a:pt x="1004316" y="308876"/>
                                </a:lnTo>
                                <a:lnTo>
                                  <a:pt x="1004316" y="304469"/>
                                </a:lnTo>
                                <a:lnTo>
                                  <a:pt x="1004316" y="300050"/>
                                </a:lnTo>
                                <a:close/>
                              </a:path>
                              <a:path w="4363720" h="424180">
                                <a:moveTo>
                                  <a:pt x="1308150" y="335368"/>
                                </a:moveTo>
                                <a:lnTo>
                                  <a:pt x="1223784" y="335368"/>
                                </a:lnTo>
                                <a:lnTo>
                                  <a:pt x="1223784" y="423608"/>
                                </a:lnTo>
                                <a:lnTo>
                                  <a:pt x="1308150" y="423608"/>
                                </a:lnTo>
                                <a:lnTo>
                                  <a:pt x="1308150" y="419201"/>
                                </a:lnTo>
                                <a:lnTo>
                                  <a:pt x="1308150" y="414782"/>
                                </a:lnTo>
                                <a:lnTo>
                                  <a:pt x="1308150" y="344182"/>
                                </a:lnTo>
                                <a:lnTo>
                                  <a:pt x="1308150" y="339775"/>
                                </a:lnTo>
                                <a:lnTo>
                                  <a:pt x="1308150" y="335368"/>
                                </a:lnTo>
                                <a:close/>
                              </a:path>
                              <a:path w="4363720" h="424180">
                                <a:moveTo>
                                  <a:pt x="1611985" y="282409"/>
                                </a:moveTo>
                                <a:lnTo>
                                  <a:pt x="1527619" y="282409"/>
                                </a:lnTo>
                                <a:lnTo>
                                  <a:pt x="1527619" y="370649"/>
                                </a:lnTo>
                                <a:lnTo>
                                  <a:pt x="1611985" y="370649"/>
                                </a:lnTo>
                                <a:lnTo>
                                  <a:pt x="1611985" y="366242"/>
                                </a:lnTo>
                                <a:lnTo>
                                  <a:pt x="1611985" y="361835"/>
                                </a:lnTo>
                                <a:lnTo>
                                  <a:pt x="1611985" y="291236"/>
                                </a:lnTo>
                                <a:lnTo>
                                  <a:pt x="1611985" y="286816"/>
                                </a:lnTo>
                                <a:lnTo>
                                  <a:pt x="1611985" y="282409"/>
                                </a:lnTo>
                                <a:close/>
                              </a:path>
                              <a:path w="4363720" h="424180">
                                <a:moveTo>
                                  <a:pt x="1915820" y="291236"/>
                                </a:moveTo>
                                <a:lnTo>
                                  <a:pt x="1831454" y="291236"/>
                                </a:lnTo>
                                <a:lnTo>
                                  <a:pt x="1831454" y="379488"/>
                                </a:lnTo>
                                <a:lnTo>
                                  <a:pt x="1915820" y="379488"/>
                                </a:lnTo>
                                <a:lnTo>
                                  <a:pt x="1915820" y="375069"/>
                                </a:lnTo>
                                <a:lnTo>
                                  <a:pt x="1915820" y="370662"/>
                                </a:lnTo>
                                <a:lnTo>
                                  <a:pt x="1915820" y="300062"/>
                                </a:lnTo>
                                <a:lnTo>
                                  <a:pt x="1915820" y="295643"/>
                                </a:lnTo>
                                <a:lnTo>
                                  <a:pt x="1915820" y="291236"/>
                                </a:lnTo>
                                <a:close/>
                              </a:path>
                              <a:path w="4363720" h="424180">
                                <a:moveTo>
                                  <a:pt x="2228100" y="282409"/>
                                </a:moveTo>
                                <a:lnTo>
                                  <a:pt x="2143722" y="282409"/>
                                </a:lnTo>
                                <a:lnTo>
                                  <a:pt x="2143722" y="370649"/>
                                </a:lnTo>
                                <a:lnTo>
                                  <a:pt x="2228100" y="370649"/>
                                </a:lnTo>
                                <a:lnTo>
                                  <a:pt x="2228100" y="366242"/>
                                </a:lnTo>
                                <a:lnTo>
                                  <a:pt x="2228100" y="361835"/>
                                </a:lnTo>
                                <a:lnTo>
                                  <a:pt x="2228100" y="291236"/>
                                </a:lnTo>
                                <a:lnTo>
                                  <a:pt x="2228100" y="286816"/>
                                </a:lnTo>
                                <a:lnTo>
                                  <a:pt x="2228100" y="282409"/>
                                </a:lnTo>
                                <a:close/>
                              </a:path>
                              <a:path w="4363720" h="424180">
                                <a:moveTo>
                                  <a:pt x="2531910" y="308889"/>
                                </a:moveTo>
                                <a:lnTo>
                                  <a:pt x="2447569" y="308889"/>
                                </a:lnTo>
                                <a:lnTo>
                                  <a:pt x="2447569" y="397129"/>
                                </a:lnTo>
                                <a:lnTo>
                                  <a:pt x="2531910" y="397129"/>
                                </a:lnTo>
                                <a:lnTo>
                                  <a:pt x="2531910" y="392722"/>
                                </a:lnTo>
                                <a:lnTo>
                                  <a:pt x="2531910" y="388302"/>
                                </a:lnTo>
                                <a:lnTo>
                                  <a:pt x="2531910" y="317703"/>
                                </a:lnTo>
                                <a:lnTo>
                                  <a:pt x="2531910" y="313296"/>
                                </a:lnTo>
                                <a:lnTo>
                                  <a:pt x="2531910" y="308889"/>
                                </a:lnTo>
                                <a:close/>
                              </a:path>
                              <a:path w="4363720" h="424180">
                                <a:moveTo>
                                  <a:pt x="2835757" y="300050"/>
                                </a:moveTo>
                                <a:lnTo>
                                  <a:pt x="2751391" y="300050"/>
                                </a:lnTo>
                                <a:lnTo>
                                  <a:pt x="2751391" y="388315"/>
                                </a:lnTo>
                                <a:lnTo>
                                  <a:pt x="2835757" y="388315"/>
                                </a:lnTo>
                                <a:lnTo>
                                  <a:pt x="2835757" y="383908"/>
                                </a:lnTo>
                                <a:lnTo>
                                  <a:pt x="2835757" y="379488"/>
                                </a:lnTo>
                                <a:lnTo>
                                  <a:pt x="2835757" y="308876"/>
                                </a:lnTo>
                                <a:lnTo>
                                  <a:pt x="2835757" y="304469"/>
                                </a:lnTo>
                                <a:lnTo>
                                  <a:pt x="2835757" y="300050"/>
                                </a:lnTo>
                                <a:close/>
                              </a:path>
                              <a:path w="4363720" h="424180">
                                <a:moveTo>
                                  <a:pt x="3139605" y="308889"/>
                                </a:moveTo>
                                <a:lnTo>
                                  <a:pt x="3055226" y="308889"/>
                                </a:lnTo>
                                <a:lnTo>
                                  <a:pt x="3055226" y="397129"/>
                                </a:lnTo>
                                <a:lnTo>
                                  <a:pt x="3139605" y="397129"/>
                                </a:lnTo>
                                <a:lnTo>
                                  <a:pt x="3139605" y="392722"/>
                                </a:lnTo>
                                <a:lnTo>
                                  <a:pt x="3139605" y="388302"/>
                                </a:lnTo>
                                <a:lnTo>
                                  <a:pt x="3139605" y="317703"/>
                                </a:lnTo>
                                <a:lnTo>
                                  <a:pt x="3139605" y="313296"/>
                                </a:lnTo>
                                <a:lnTo>
                                  <a:pt x="3139605" y="308889"/>
                                </a:lnTo>
                                <a:close/>
                              </a:path>
                              <a:path w="4363720" h="424180">
                                <a:moveTo>
                                  <a:pt x="3443414" y="255930"/>
                                </a:moveTo>
                                <a:lnTo>
                                  <a:pt x="3359048" y="255930"/>
                                </a:lnTo>
                                <a:lnTo>
                                  <a:pt x="3359048" y="344182"/>
                                </a:lnTo>
                                <a:lnTo>
                                  <a:pt x="3443414" y="344182"/>
                                </a:lnTo>
                                <a:lnTo>
                                  <a:pt x="3443414" y="339775"/>
                                </a:lnTo>
                                <a:lnTo>
                                  <a:pt x="3443414" y="335368"/>
                                </a:lnTo>
                                <a:lnTo>
                                  <a:pt x="3443414" y="264756"/>
                                </a:lnTo>
                                <a:lnTo>
                                  <a:pt x="3443414" y="260337"/>
                                </a:lnTo>
                                <a:lnTo>
                                  <a:pt x="3443414" y="255930"/>
                                </a:lnTo>
                                <a:close/>
                              </a:path>
                              <a:path w="4363720" h="424180">
                                <a:moveTo>
                                  <a:pt x="3755694" y="282409"/>
                                </a:moveTo>
                                <a:lnTo>
                                  <a:pt x="3671328" y="282409"/>
                                </a:lnTo>
                                <a:lnTo>
                                  <a:pt x="3671328" y="370649"/>
                                </a:lnTo>
                                <a:lnTo>
                                  <a:pt x="3755694" y="370649"/>
                                </a:lnTo>
                                <a:lnTo>
                                  <a:pt x="3755694" y="366242"/>
                                </a:lnTo>
                                <a:lnTo>
                                  <a:pt x="3755694" y="361835"/>
                                </a:lnTo>
                                <a:lnTo>
                                  <a:pt x="3755694" y="291236"/>
                                </a:lnTo>
                                <a:lnTo>
                                  <a:pt x="3755694" y="286816"/>
                                </a:lnTo>
                                <a:lnTo>
                                  <a:pt x="3755694" y="282409"/>
                                </a:lnTo>
                                <a:close/>
                              </a:path>
                              <a:path w="4363720" h="424180">
                                <a:moveTo>
                                  <a:pt x="4059542" y="158851"/>
                                </a:moveTo>
                                <a:lnTo>
                                  <a:pt x="3975176" y="158851"/>
                                </a:lnTo>
                                <a:lnTo>
                                  <a:pt x="3975176" y="247103"/>
                                </a:lnTo>
                                <a:lnTo>
                                  <a:pt x="4059542" y="247103"/>
                                </a:lnTo>
                                <a:lnTo>
                                  <a:pt x="4059542" y="242697"/>
                                </a:lnTo>
                                <a:lnTo>
                                  <a:pt x="4059542" y="238277"/>
                                </a:lnTo>
                                <a:lnTo>
                                  <a:pt x="4059542" y="167678"/>
                                </a:lnTo>
                                <a:lnTo>
                                  <a:pt x="4059542" y="163258"/>
                                </a:lnTo>
                                <a:lnTo>
                                  <a:pt x="4059542" y="158851"/>
                                </a:lnTo>
                                <a:close/>
                              </a:path>
                              <a:path w="4363720" h="424180">
                                <a:moveTo>
                                  <a:pt x="4363364" y="0"/>
                                </a:moveTo>
                                <a:lnTo>
                                  <a:pt x="4278998" y="0"/>
                                </a:lnTo>
                                <a:lnTo>
                                  <a:pt x="4278998" y="88252"/>
                                </a:lnTo>
                                <a:lnTo>
                                  <a:pt x="4363364" y="88252"/>
                                </a:lnTo>
                                <a:lnTo>
                                  <a:pt x="4363364" y="83845"/>
                                </a:lnTo>
                                <a:lnTo>
                                  <a:pt x="4363364" y="79425"/>
                                </a:lnTo>
                                <a:lnTo>
                                  <a:pt x="4363364" y="8826"/>
                                </a:lnTo>
                                <a:lnTo>
                                  <a:pt x="4363364" y="4419"/>
                                </a:lnTo>
                                <a:lnTo>
                                  <a:pt x="4363364" y="0"/>
                                </a:lnTo>
                                <a:close/>
                              </a:path>
                            </a:pathLst>
                          </a:custGeom>
                          <a:solidFill>
                            <a:srgbClr val="2B8E42"/>
                          </a:solidFill>
                        </wps:spPr>
                        <wps:bodyPr wrap="square" lIns="0" tIns="0" rIns="0" bIns="0" rtlCol="0">
                          <a:prstTxWarp prst="textNoShape">
                            <a:avLst/>
                          </a:prstTxWarp>
                          <a:noAutofit/>
                        </wps:bodyPr>
                      </wps:wsp>
                      <wps:wsp>
                        <wps:cNvPr id="2098" name="Graphic 2098"/>
                        <wps:cNvSpPr/>
                        <wps:spPr>
                          <a:xfrm>
                            <a:off x="-7" y="0"/>
                            <a:ext cx="5045710" cy="2426970"/>
                          </a:xfrm>
                          <a:custGeom>
                            <a:avLst/>
                            <a:gdLst/>
                            <a:ahLst/>
                            <a:cxnLst/>
                            <a:rect l="l" t="t" r="r" b="b"/>
                            <a:pathLst>
                              <a:path w="5045710" h="2426970">
                                <a:moveTo>
                                  <a:pt x="5045405" y="0"/>
                                </a:moveTo>
                                <a:lnTo>
                                  <a:pt x="5039055" y="0"/>
                                </a:lnTo>
                                <a:lnTo>
                                  <a:pt x="5039055" y="2540"/>
                                </a:lnTo>
                                <a:lnTo>
                                  <a:pt x="5039055" y="2616"/>
                                </a:lnTo>
                                <a:lnTo>
                                  <a:pt x="5039055" y="2424430"/>
                                </a:lnTo>
                                <a:lnTo>
                                  <a:pt x="3175" y="2424430"/>
                                </a:lnTo>
                                <a:lnTo>
                                  <a:pt x="3175" y="2423896"/>
                                </a:lnTo>
                                <a:lnTo>
                                  <a:pt x="6350" y="2423896"/>
                                </a:lnTo>
                                <a:lnTo>
                                  <a:pt x="5039055" y="2423896"/>
                                </a:lnTo>
                                <a:lnTo>
                                  <a:pt x="5039055" y="2420721"/>
                                </a:lnTo>
                                <a:lnTo>
                                  <a:pt x="6350" y="2420721"/>
                                </a:lnTo>
                                <a:lnTo>
                                  <a:pt x="3175" y="2420721"/>
                                </a:lnTo>
                                <a:lnTo>
                                  <a:pt x="6350" y="2420620"/>
                                </a:lnTo>
                                <a:lnTo>
                                  <a:pt x="6350" y="6350"/>
                                </a:lnTo>
                                <a:lnTo>
                                  <a:pt x="3175" y="6350"/>
                                </a:lnTo>
                                <a:lnTo>
                                  <a:pt x="3175" y="5791"/>
                                </a:lnTo>
                                <a:lnTo>
                                  <a:pt x="6350" y="5791"/>
                                </a:lnTo>
                                <a:lnTo>
                                  <a:pt x="5039055" y="5791"/>
                                </a:lnTo>
                                <a:lnTo>
                                  <a:pt x="5039055" y="2616"/>
                                </a:lnTo>
                                <a:lnTo>
                                  <a:pt x="6350" y="2616"/>
                                </a:lnTo>
                                <a:lnTo>
                                  <a:pt x="3175" y="2616"/>
                                </a:lnTo>
                                <a:lnTo>
                                  <a:pt x="5039055" y="2540"/>
                                </a:lnTo>
                                <a:lnTo>
                                  <a:pt x="5039055" y="0"/>
                                </a:lnTo>
                                <a:lnTo>
                                  <a:pt x="0" y="0"/>
                                </a:lnTo>
                                <a:lnTo>
                                  <a:pt x="0" y="2540"/>
                                </a:lnTo>
                                <a:lnTo>
                                  <a:pt x="0" y="6350"/>
                                </a:lnTo>
                                <a:lnTo>
                                  <a:pt x="0" y="2420620"/>
                                </a:lnTo>
                                <a:lnTo>
                                  <a:pt x="0" y="2424430"/>
                                </a:lnTo>
                                <a:lnTo>
                                  <a:pt x="0" y="2426970"/>
                                </a:lnTo>
                                <a:lnTo>
                                  <a:pt x="5045405" y="2426970"/>
                                </a:lnTo>
                                <a:lnTo>
                                  <a:pt x="5045405" y="2424430"/>
                                </a:lnTo>
                                <a:lnTo>
                                  <a:pt x="5042230" y="2424430"/>
                                </a:lnTo>
                                <a:lnTo>
                                  <a:pt x="5042230" y="2423896"/>
                                </a:lnTo>
                                <a:lnTo>
                                  <a:pt x="5045405" y="2423896"/>
                                </a:lnTo>
                                <a:lnTo>
                                  <a:pt x="5045405" y="2420721"/>
                                </a:lnTo>
                                <a:lnTo>
                                  <a:pt x="5042230" y="2420721"/>
                                </a:lnTo>
                                <a:lnTo>
                                  <a:pt x="5045405" y="2420620"/>
                                </a:lnTo>
                                <a:lnTo>
                                  <a:pt x="5045405" y="6350"/>
                                </a:lnTo>
                                <a:lnTo>
                                  <a:pt x="5042230" y="6350"/>
                                </a:lnTo>
                                <a:lnTo>
                                  <a:pt x="5042230" y="5791"/>
                                </a:lnTo>
                                <a:lnTo>
                                  <a:pt x="5045405" y="5791"/>
                                </a:lnTo>
                                <a:lnTo>
                                  <a:pt x="5045405" y="2616"/>
                                </a:lnTo>
                                <a:lnTo>
                                  <a:pt x="5042230" y="2616"/>
                                </a:lnTo>
                                <a:lnTo>
                                  <a:pt x="5045405" y="2540"/>
                                </a:lnTo>
                                <a:lnTo>
                                  <a:pt x="5045405" y="0"/>
                                </a:lnTo>
                                <a:close/>
                              </a:path>
                            </a:pathLst>
                          </a:custGeom>
                          <a:solidFill>
                            <a:srgbClr val="000000"/>
                          </a:solidFill>
                        </wps:spPr>
                        <wps:bodyPr wrap="square" lIns="0" tIns="0" rIns="0" bIns="0" rtlCol="0">
                          <a:prstTxWarp prst="textNoShape">
                            <a:avLst/>
                          </a:prstTxWarp>
                          <a:noAutofit/>
                        </wps:bodyPr>
                      </wps:wsp>
                      <pic:pic>
                        <pic:nvPicPr>
                          <pic:cNvPr id="2099" name="Image 2099"/>
                          <pic:cNvPicPr/>
                        </pic:nvPicPr>
                        <pic:blipFill>
                          <a:blip r:embed="rId709" cstate="print"/>
                          <a:stretch>
                            <a:fillRect/>
                          </a:stretch>
                        </pic:blipFill>
                        <pic:spPr>
                          <a:xfrm>
                            <a:off x="3742859" y="160383"/>
                            <a:ext cx="253132" cy="83218"/>
                          </a:xfrm>
                          <a:prstGeom prst="rect">
                            <a:avLst/>
                          </a:prstGeom>
                        </pic:spPr>
                      </pic:pic>
                      <pic:pic>
                        <pic:nvPicPr>
                          <pic:cNvPr id="2100" name="Image 2100"/>
                          <pic:cNvPicPr/>
                        </pic:nvPicPr>
                        <pic:blipFill>
                          <a:blip r:embed="rId710" cstate="print"/>
                          <a:stretch>
                            <a:fillRect/>
                          </a:stretch>
                        </pic:blipFill>
                        <pic:spPr>
                          <a:xfrm>
                            <a:off x="4325210" y="162361"/>
                            <a:ext cx="253137" cy="70600"/>
                          </a:xfrm>
                          <a:prstGeom prst="rect">
                            <a:avLst/>
                          </a:prstGeom>
                        </pic:spPr>
                      </pic:pic>
                      <wps:wsp>
                        <wps:cNvPr id="2101" name="Textbox 2101"/>
                        <wps:cNvSpPr txBox="1"/>
                        <wps:spPr>
                          <a:xfrm>
                            <a:off x="84845" y="159453"/>
                            <a:ext cx="2159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35000</w:t>
                              </w:r>
                            </w:p>
                          </w:txbxContent>
                        </wps:txbx>
                        <wps:bodyPr wrap="square" lIns="0" tIns="0" rIns="0" bIns="0" rtlCol="0">
                          <a:noAutofit/>
                        </wps:bodyPr>
                      </wps:wsp>
                      <wps:wsp>
                        <wps:cNvPr id="2102" name="Textbox 2102"/>
                        <wps:cNvSpPr txBox="1"/>
                        <wps:spPr>
                          <a:xfrm>
                            <a:off x="4026773" y="132723"/>
                            <a:ext cx="17081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Filed</w:t>
                              </w:r>
                            </w:p>
                          </w:txbxContent>
                        </wps:txbx>
                        <wps:bodyPr wrap="square" lIns="0" tIns="0" rIns="0" bIns="0" rtlCol="0">
                          <a:noAutofit/>
                        </wps:bodyPr>
                      </wps:wsp>
                      <wps:wsp>
                        <wps:cNvPr id="2103" name="Textbox 2103"/>
                        <wps:cNvSpPr txBox="1"/>
                        <wps:spPr>
                          <a:xfrm>
                            <a:off x="4620254" y="132723"/>
                            <a:ext cx="27622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Granted</w:t>
                              </w:r>
                            </w:p>
                          </w:txbxContent>
                        </wps:txbx>
                        <wps:bodyPr wrap="square" lIns="0" tIns="0" rIns="0" bIns="0" rtlCol="0">
                          <a:noAutofit/>
                        </wps:bodyPr>
                      </wps:wsp>
                      <wps:wsp>
                        <wps:cNvPr id="2104" name="Textbox 2104"/>
                        <wps:cNvSpPr txBox="1"/>
                        <wps:spPr>
                          <a:xfrm>
                            <a:off x="84845" y="413453"/>
                            <a:ext cx="215900" cy="1626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30000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2"/>
                                  <w:w w:val="80"/>
                                  <w:sz w:val="14"/>
                                </w:rPr>
                                <w:t>25000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2"/>
                                  <w:w w:val="80"/>
                                  <w:sz w:val="14"/>
                                </w:rPr>
                                <w:t>20000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2"/>
                                  <w:w w:val="80"/>
                                  <w:sz w:val="14"/>
                                </w:rPr>
                                <w:t>15000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2"/>
                                  <w:w w:val="80"/>
                                  <w:sz w:val="14"/>
                                </w:rPr>
                                <w:t>10000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4"/>
                                  <w:w w:val="90"/>
                                  <w:sz w:val="14"/>
                                </w:rPr>
                                <w:t>5000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g:wgp>
                  </a:graphicData>
                </a:graphic>
              </wp:anchor>
            </w:drawing>
          </mc:Choice>
          <mc:Fallback>
            <w:pict>
              <v:group style="position:absolute;margin-left:98.041557pt;margin-top:18.863867pt;width:397.3pt;height:191.1pt;mso-position-horizontal-relative:page;mso-position-vertical-relative:paragraph;z-index:15866880" id="docshapegroup2065" coordorigin="1961,377" coordsize="7946,3822">
                <v:shape style="position:absolute;left:2485;top:726;width:7280;height:2846" id="docshape2066" coordorigin="2486,727" coordsize="7280,2846" path="m9766,3506l9766,3506,2549,3506,2549,727,2539,727,2486,727,2486,737,2539,737,2539,1130,2486,1130,2486,1140,2539,1140,2539,1519,2486,1519,2486,1529,2539,1529,2539,1922,2486,1922,2486,1932,2539,1932,2539,2311,2486,2311,2486,2321,2539,2321,2539,2714,2486,2714,2486,2724,2539,2724,2539,3103,2486,3103,2486,3113,2539,3113,2539,3506,2486,3506,2486,3516,2539,3516,2539,3572,2549,3572,2549,3516,3017,3516,3017,3572,3027,3572,3027,3516,3496,3516,3496,3572,3506,3572,3506,3516,3988,3516,3988,3572,3998,3572,3998,3516,4466,3516,4466,3572,4476,3572,4476,3516,4945,3516,4945,3572,4955,3572,4955,3516,5423,3516,5423,3572,5433,3572,5433,3516,5901,3516,5901,3572,5911,3572,5911,3516,6393,3516,6393,3572,6403,3572,6403,3516,6872,3516,6872,3572,6882,3572,6882,3516,7350,3516,7350,3572,7360,3572,7360,3516,7829,3516,7829,3572,7839,3572,7839,3516,8307,3516,8307,3572,8317,3572,8317,3516,8799,3516,8799,3572,8809,3572,8809,3516,9277,3516,9277,3572,9287,3572,9287,3516,9756,3516,9756,3572,9766,3572,9766,3506xe" filled="true" fillcolor="#000000" stroked="false">
                  <v:path arrowok="t"/>
                  <v:fill type="solid"/>
                </v:shape>
                <v:shape style="position:absolute;left:2769;top:1198;width:6771;height:2050" id="docshape2067" coordorigin="2769,1199" coordsize="6771,2050" path="m3260,3192l2769,3220,2771,3248,3251,3220,3246,3195,3260,3192xm3264,3219l3251,3220,3252,3222,3264,3219xm3275,3191l3260,3192,3246,3195,3251,3220,3264,3219,3277,3216,3275,3191xm3277,3216l3264,3219,3277,3219,3277,3216xm3390,3191l3275,3191,3277,3216,3390,3191xm3750,3081l3260,3192,3275,3191,3390,3191,3744,3111,3737,3085,3750,3081xm6169,3132l6159,3139,6163,3141,6169,3132xm6149,3132l6154,3141,6159,3139,6149,3132xm6159,3106l6140,3118,6149,3132,6159,3139,6169,3132,6178,3118,6159,3106xm6620,2824l6159,3106,6178,3118,6169,3132,6635,2848,6629,2848,6620,2824xm5662,2816l6149,3132,6140,3118,6159,3106,5718,2819,5678,2819,5662,2816xm3757,3108l3744,3111,3744,3112,3757,3108xm3764,3078l3750,3081,3737,3085,3744,3111,3757,3108,3770,3104,3764,3078xm3770,3104l3757,3108,3770,3105,3770,3104xm3861,3078l3764,3078,3770,3104,3861,3078xm4215,2946l3750,3081,3764,3078,3861,3078,4224,2972,4222,2972,4215,2946xm4242,2939l4228,2942,4215,2946,4222,2972,4236,2969,4249,2965,4242,2939xm4236,2969l4222,2972,4224,2972,4236,2969xm4694,2820l4242,2939,4249,2965,4236,2969,4701,2847,4694,2820xm4228,2942l4215,2945,4215,2946,4228,2942xm4242,2938l4228,2942,4242,2939,4242,2938xm6643,2813l6631,2818,6620,2824,6629,2848,6643,2843,6656,2835,6643,2813xm6643,2843l6629,2848,6635,2848,6643,2843xm4720,2813l4694,2820,4701,2847,4727,2840,4720,2813xm7100,2654l6643,2813,6656,2835,6643,2843,7113,2679,7104,2679,7100,2654xm5177,2694l4720,2813,4727,2840,5189,2719,5172,2716,5177,2694xm6631,2818l6619,2822,6620,2824,6631,2818xm5661,2787l5648,2807,5662,2816,5678,2819,5683,2796,5673,2789,5661,2787xm5683,2796l5678,2819,5718,2819,5683,2796xm6642,2811l6631,2818,6643,2813,6642,2811xm4720,2813l4711,2816,4720,2813,4720,2813xm5200,2693l5206,2715,5189,2719,5662,2816,5648,2807,5661,2787,5200,2693xm5673,2789l5683,2796,5684,2792,5673,2789xm5663,2783l5661,2787,5673,2789,5663,2783xm5188,2691l5177,2694,5172,2716,5189,2719,5206,2715,5200,2693,5188,2691xm5178,2689l5177,2694,5188,2691,5178,2689xm5199,2688l5188,2691,5200,2693,5199,2688xm7125,2648l7112,2650,7100,2654,7104,2679,7119,2677,7133,2672,7125,2648xm7119,2677l7104,2679,7113,2679,7119,2677xm7592,2580l7125,2648,7133,2672,7119,2677,7583,2610,7578,2583,7592,2580xm7112,2650l7100,2652,7100,2654,7112,2650xm7124,2646l7112,2650,7125,2648,7124,2646xm7596,2608l7583,2610,7583,2610,7596,2608xm7606,2578l7592,2580,7578,2583,7583,2610,7596,2608,7610,2605,7606,2578xm7610,2605l7596,2608,7610,2606,7610,2605xm7765,2578l7606,2578,7610,2605,7765,2578xm8066,2498l7592,2580,7606,2578,7765,2578,8067,2526,8053,2508,8066,2498xm8078,2524l8067,2526,8070,2530,8078,2524xm8084,2495l8066,2498,8053,2508,8067,2526,8078,2524,8087,2516,8084,2495xm8087,2516l8078,2524,8088,2522,8087,2516xm8115,2495l8084,2495,8087,2516,8115,2495xm8554,2111l8066,2498,8084,2495,8115,2495,8564,2140,8544,2123,8554,2111xm8574,2132l8564,2140,8565,2141,8574,2132xm8566,2102l8554,2111,8544,2123,8564,2140,8574,2132,8582,2122,8566,2102xm8582,2122l8574,2132,8583,2124,8582,2122xm8599,2102l8566,2102,8582,2122,8599,2102xm9025,1565l8554,2111,8566,2102,8599,2102,9044,1585,9039,1585,9025,1565xm9043,1548l9033,1555,9025,1565,9039,1585,9052,1576,9062,1564,9043,1548xm9052,1576l9039,1585,9044,1585,9052,1576xm9524,1199l9043,1548,9062,1564,9052,1576,9540,1221,9524,1199xm9033,1555l9023,1563,9025,1565,9033,1555xm9041,1546l9033,1555,9043,1548,9041,1546xe" filled="true" fillcolor="#37206a" stroked="false">
                  <v:path arrowok="t"/>
                  <v:fill type="solid"/>
                </v:shape>
                <v:shape style="position:absolute;left:2769;top:2895;width:6770;height:563" id="docshape2068" coordorigin="2770,2895" coordsize="6770,563" path="m4699,3454l4699,3458,4711,3456,4699,3454xm4723,3454l4711,3456,4723,3457,4723,3454xm4710,3428l4694,3430,4699,3454,4711,3456,4723,3454,4726,3430,4710,3428xm4231,3400l4699,3454,4694,3430,4710,3428,4476,3400,4246,3400,4231,3400xm5175,3347l4710,3428,4726,3430,4723,3454,5190,3372,5174,3372,5175,3347xm7582,3414l7583,3416,7595,3414,7582,3414xm6650,3414l6637,3414,6650,3415,6650,3414xm6624,3413l6624,3414,6637,3414,6624,3413xm7607,3412l7595,3414,7607,3414,7607,3412xm7593,3386l7578,3389,7582,3414,7595,3414,7607,3412,7608,3387,7593,3386xm6638,3386l6623,3387,6624,3413,6637,3414,6650,3414,6652,3387,6638,3386xm7129,3373l7130,3400,7116,3400,7582,3414,7578,3389,7593,3386,7129,3373xm7102,3373l6638,3386,6652,3387,6650,3414,7116,3400,7101,3400,7102,3373xm6172,3346l6173,3372,6158,3372,6624,3413,6623,3387,6638,3386,6172,3346xm8059,3305l7593,3386,7608,3387,7607,3412,8073,3331,8057,3329,8059,3305xm4220,3372l4217,3398,4231,3400,4246,3400,4246,3374,4233,3372,4220,3372xm4246,3374l4246,3400,4476,3400,4246,3374xm7116,3372l7102,3373,7101,3400,7116,3400,7130,3400,7129,3373,7116,3372xm3740,3358l3739,3386,4231,3400,4217,3398,4218,3386,3768,3386,3768,3359,3740,3358xm5681,3386l5667,3386,5681,3387,5681,3386xm5654,3386l5654,3387,5667,3386,5654,3386xm5667,3358l5653,3359,5654,3386,5667,3386,5681,3386,5681,3359,5667,3358xm3248,3358l2770,3358,2770,3386,3248,3386,3248,3358xm3276,3358l3248,3358,3248,3386,3276,3386,3276,3358xm3740,3358l3276,3358,3276,3386,3753,3386,3739,3386,3740,3358xm3768,3359l3768,3386,4218,3386,4220,3372,3768,3359xm6146,3345l5667,3358,5681,3359,5681,3386,6158,3372,6144,3371,6146,3345xm5201,3345l5205,3370,5190,3372,5654,3386,5653,3359,5667,3358,5201,3345xm8554,3372l8556,3376,8566,3373,8554,3372xm4233,3372l4246,3374,4246,3373,4233,3372xm8577,3368l8566,3373,8577,3373,8577,3368xm7129,3372l7116,3372,7129,3373,7129,3372xm7102,3372l7102,3373,7116,3372,7102,3372xm8562,3344l8546,3351,8554,3372,8566,3373,8577,3368,8579,3346,8562,3344xm5188,3344l5175,3347,5174,3372,5190,3372,5205,3370,5201,3345,5188,3344xm6159,3344l6146,3345,6144,3371,6158,3372,6173,3372,6172,3346,6159,3344xm4220,3371l4220,3372,4233,3372,4220,3371xm8084,3304l8088,3328,8073,3331,8554,3372,8546,3351,8562,3344,8084,3304xm9036,3151l8562,3344,8579,3346,8577,3368,9036,3182,9023,3158,9036,3151xm3768,3358l3754,3358,3768,3359,3768,3358xm5175,3344l5175,3347,5188,3344,5175,3344xm6172,3344l6159,3344,6172,3346,6172,3344xm6146,3343l6146,3345,6159,3344,6146,3343xm5200,3342l5188,3344,5201,3345,5200,3342xm8072,3303l8059,3305,8057,3329,8073,3331,8088,3328,8084,3304,8072,3303xm8060,3302l8059,3305,8072,3303,8060,3302xm8084,3301l8072,3303,8084,3304,8084,3301xm9048,3177l9036,3182,9036,3183,9048,3177xm9050,3146l9036,3151,9023,3158,9036,3182,9048,3177,9060,3170,9050,3146xm9060,3170l9048,3177,9060,3172,9060,3170xm9107,3146l9050,3146,9060,3170,9107,3146xm9526,2895l9036,3151,9050,3146,9107,3146,9539,2920,9526,2895xe" filled="true" fillcolor="#2b8e42" stroked="false">
                  <v:path arrowok="t"/>
                  <v:fill type="solid"/>
                </v:shape>
                <v:shape style="position:absolute;left:2707;top:3126;width:631;height:187" id="docshape2069" coordorigin="2707,3126" coordsize="631,187" path="m2859,3233l2854,3228,2783,3154,2778,3159,2707,3233,2783,3313,2793,3303,2854,3238,2859,3233xm3337,3205l3333,3201,3262,3126,3256,3131,3186,3205,3262,3285,3271,3275,3333,3210,3337,3205xe" filled="true" fillcolor="#37206a" stroked="false">
                  <v:path arrowok="t"/>
                  <v:fill type="solid"/>
                </v:shape>
                <v:shape style="position:absolute;left:3677;top:3014;width:152;height:159" type="#_x0000_t75" id="docshape2070" stroked="false">
                  <v:imagedata r:id="rId701" o:title=""/>
                </v:shape>
                <v:shape style="position:absolute;left:4155;top:2875;width:152;height:159" type="#_x0000_t75" id="docshape2071" stroked="false">
                  <v:imagedata r:id="rId702" o:title=""/>
                </v:shape>
                <v:shape style="position:absolute;left:4634;top:2750;width:152;height:159" type="#_x0000_t75" id="docshape2072" stroked="false">
                  <v:imagedata r:id="rId702" o:title=""/>
                </v:shape>
                <v:shape style="position:absolute;left:5112;top:2625;width:152;height:159" type="#_x0000_t75" id="docshape2073" stroked="false">
                  <v:imagedata r:id="rId702" o:title=""/>
                </v:shape>
                <v:shape style="position:absolute;left:5591;top:2722;width:152;height:159" type="#_x0000_t75" id="docshape2074" stroked="false">
                  <v:imagedata r:id="rId703" o:title=""/>
                </v:shape>
                <v:shape style="position:absolute;left:6083;top:3042;width:152;height:159" type="#_x0000_t75" id="docshape2075" stroked="false">
                  <v:imagedata r:id="rId704" o:title=""/>
                </v:shape>
                <v:shape style="position:absolute;left:6561;top:2750;width:152;height:159" type="#_x0000_t75" id="docshape2076" stroked="false">
                  <v:imagedata r:id="rId704" o:title=""/>
                </v:shape>
                <v:shape style="position:absolute;left:7040;top:2583;width:152;height:159" type="#_x0000_t75" id="docshape2077" stroked="false">
                  <v:imagedata r:id="rId705" o:title=""/>
                </v:shape>
                <v:shape style="position:absolute;left:7569;top:2487;width:152;height:159" type="#_x0000_t75" id="docshape2078" stroked="false">
                  <v:imagedata r:id="rId704" o:title=""/>
                </v:shape>
                <v:shape style="position:absolute;left:7997;top:2431;width:152;height:159" type="#_x0000_t75" id="docshape2079" stroked="false">
                  <v:imagedata r:id="rId706" o:title=""/>
                </v:shape>
                <v:shape style="position:absolute;left:8488;top:2041;width:152;height:159" type="#_x0000_t75" id="docshape2080" stroked="false">
                  <v:imagedata r:id="rId705" o:title=""/>
                </v:shape>
                <v:shape style="position:absolute;left:8967;top:1486;width:152;height:159" type="#_x0000_t75" id="docshape2081" stroked="false">
                  <v:imagedata r:id="rId707" o:title=""/>
                </v:shape>
                <v:shape style="position:absolute;left:9445;top:1138;width:152;height:159" type="#_x0000_t75" id="docshape2082" stroked="false">
                  <v:imagedata r:id="rId708" o:title=""/>
                </v:shape>
                <v:shape style="position:absolute;left:2709;top:2837;width:6872;height:668" id="docshape2083" coordorigin="2710,2837" coordsize="6872,668" path="m2843,3296l2710,3296,2710,3435,2843,3435,2843,3428,2843,3421,2843,3310,2843,3303,2843,3296xm3321,3296l3188,3296,3188,3435,3321,3435,3321,3428,3321,3421,3321,3310,3321,3303,3321,3296xm3813,3296l3680,3296,3680,3435,3813,3435,3813,3428,3813,3421,3813,3310,3813,3303,3813,3296xm4292,3310l4159,3310,4159,3449,4292,3449,4292,3442,4292,3435,4292,3324,4292,3317,4292,3310xm4770,3365l4637,3365,4637,3504,4770,3504,4770,3497,4770,3490,4770,3379,4770,3372,4770,3365xm5249,3282l5116,3282,5116,3421,5249,3421,5249,3414,5249,3407,5249,3296,5249,3289,5249,3282xm5727,3296l5594,3296,5594,3435,5727,3435,5727,3428,5727,3421,5727,3310,5727,3303,5727,3296xm6219,3282l6086,3282,6086,3421,6219,3421,6219,3414,6219,3407,6219,3296,6219,3289,6219,3282xm6697,3324l6564,3324,6564,3463,6697,3463,6697,3456,6697,3449,6697,3338,6697,3331,6697,3324xm7176,3310l7043,3310,7043,3449,7176,3449,7176,3442,7176,3435,7176,3324,7176,3317,7176,3310xm7654,3324l7521,3324,7521,3463,7654,3463,7654,3456,7654,3449,7654,3338,7654,3331,7654,3324xm8133,3240l8000,3240,8000,3379,8133,3379,8133,3372,8133,3365,8133,3254,8133,3247,8133,3240xm8624,3282l8492,3282,8492,3421,8624,3421,8624,3414,8624,3407,8624,3296,8624,3289,8624,3282xm9103,3087l8970,3087,8970,3226,9103,3226,9103,3219,9103,3213,9103,3101,9103,3094,9103,3087xm9581,2837l9449,2837,9449,2976,9581,2976,9581,2969,9581,2962,9581,2851,9581,2844,9581,2837xe" filled="true" fillcolor="#2b8e42" stroked="false">
                  <v:path arrowok="t"/>
                  <v:fill type="solid"/>
                </v:shape>
                <v:shape style="position:absolute;left:1960;top:377;width:7946;height:3822" id="docshape2084" coordorigin="1961,377" coordsize="7946,3822" path="m9906,377l9896,377,9896,381,9896,381,9896,4195,1966,4195,1966,4194,1971,4194,9896,4194,9896,4189,1971,4189,1966,4189,1971,4189,1971,387,1966,387,1966,386,1971,386,9896,386,9896,381,1971,381,1966,381,9896,381,9896,377,1961,377,1961,381,1961,387,1961,4189,1961,4195,1961,4199,9906,4199,9906,4195,9901,4195,9901,4194,9906,4194,9906,4189,9901,4189,9906,4189,9906,387,9901,387,9901,386,9906,386,9906,381,9901,381,9906,381,9906,377xe" filled="true" fillcolor="#000000" stroked="false">
                  <v:path arrowok="t"/>
                  <v:fill type="solid"/>
                </v:shape>
                <v:shape style="position:absolute;left:7855;top:629;width:399;height:132" type="#_x0000_t75" id="docshape2085" stroked="false">
                  <v:imagedata r:id="rId709" o:title=""/>
                </v:shape>
                <v:shape style="position:absolute;left:8772;top:632;width:399;height:112" type="#_x0000_t75" id="docshape2086" stroked="false">
                  <v:imagedata r:id="rId710" o:title=""/>
                </v:shape>
                <v:shape style="position:absolute;left:2094;top:628;width:340;height:161" type="#_x0000_t202" id="docshape2087" filled="false" stroked="false">
                  <v:textbox inset="0,0,0,0">
                    <w:txbxContent>
                      <w:p>
                        <w:pPr>
                          <w:spacing w:line="161" w:lineRule="exact" w:before="0"/>
                          <w:ind w:left="0" w:right="0" w:firstLine="0"/>
                          <w:jc w:val="left"/>
                          <w:rPr>
                            <w:rFonts w:ascii="Arial MT"/>
                            <w:sz w:val="14"/>
                          </w:rPr>
                        </w:pPr>
                        <w:r>
                          <w:rPr>
                            <w:rFonts w:ascii="Arial MT"/>
                            <w:spacing w:val="-2"/>
                            <w:w w:val="85"/>
                            <w:sz w:val="14"/>
                          </w:rPr>
                          <w:t>35000</w:t>
                        </w:r>
                      </w:p>
                    </w:txbxContent>
                  </v:textbox>
                  <w10:wrap type="none"/>
                </v:shape>
                <v:shape style="position:absolute;left:8302;top:586;width:269;height:161" type="#_x0000_t202" id="docshape2088" filled="false" stroked="false">
                  <v:textbox inset="0,0,0,0">
                    <w:txbxContent>
                      <w:p>
                        <w:pPr>
                          <w:spacing w:line="161" w:lineRule="exact" w:before="0"/>
                          <w:ind w:left="0" w:right="0" w:firstLine="0"/>
                          <w:jc w:val="left"/>
                          <w:rPr>
                            <w:rFonts w:ascii="Arial MT"/>
                            <w:sz w:val="14"/>
                          </w:rPr>
                        </w:pPr>
                        <w:r>
                          <w:rPr>
                            <w:rFonts w:ascii="Arial MT"/>
                            <w:spacing w:val="-2"/>
                            <w:w w:val="85"/>
                            <w:sz w:val="14"/>
                          </w:rPr>
                          <w:t>Filed</w:t>
                        </w:r>
                      </w:p>
                    </w:txbxContent>
                  </v:textbox>
                  <w10:wrap type="none"/>
                </v:shape>
                <v:shape style="position:absolute;left:9236;top:586;width:435;height:161" type="#_x0000_t202" id="docshape2089" filled="false" stroked="false">
                  <v:textbox inset="0,0,0,0">
                    <w:txbxContent>
                      <w:p>
                        <w:pPr>
                          <w:spacing w:line="161" w:lineRule="exact" w:before="0"/>
                          <w:ind w:left="0" w:right="0" w:firstLine="0"/>
                          <w:jc w:val="left"/>
                          <w:rPr>
                            <w:rFonts w:ascii="Arial MT"/>
                            <w:sz w:val="14"/>
                          </w:rPr>
                        </w:pPr>
                        <w:r>
                          <w:rPr>
                            <w:rFonts w:ascii="Arial MT"/>
                            <w:spacing w:val="-2"/>
                            <w:w w:val="85"/>
                            <w:sz w:val="14"/>
                          </w:rPr>
                          <w:t>Granted</w:t>
                        </w:r>
                      </w:p>
                    </w:txbxContent>
                  </v:textbox>
                  <w10:wrap type="none"/>
                </v:shape>
                <v:shape style="position:absolute;left:2094;top:1028;width:340;height:2561" type="#_x0000_t202" id="docshape2090" filled="false" stroked="false">
                  <v:textbox inset="0,0,0,0">
                    <w:txbxContent>
                      <w:p>
                        <w:pPr>
                          <w:spacing w:line="161" w:lineRule="exact" w:before="0"/>
                          <w:ind w:left="0" w:right="0" w:firstLine="0"/>
                          <w:jc w:val="left"/>
                          <w:rPr>
                            <w:rFonts w:ascii="Arial MT"/>
                            <w:sz w:val="14"/>
                          </w:rPr>
                        </w:pPr>
                        <w:r>
                          <w:rPr>
                            <w:rFonts w:ascii="Arial MT"/>
                            <w:spacing w:val="-2"/>
                            <w:w w:val="85"/>
                            <w:sz w:val="14"/>
                          </w:rPr>
                          <w:t>30000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2"/>
                            <w:w w:val="80"/>
                            <w:sz w:val="14"/>
                          </w:rPr>
                          <w:t>25000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2"/>
                            <w:w w:val="80"/>
                            <w:sz w:val="14"/>
                          </w:rPr>
                          <w:t>20000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2"/>
                            <w:w w:val="80"/>
                            <w:sz w:val="14"/>
                          </w:rPr>
                          <w:t>15000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2"/>
                            <w:w w:val="80"/>
                            <w:sz w:val="14"/>
                          </w:rPr>
                          <w:t>10000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4"/>
                            <w:w w:val="90"/>
                            <w:sz w:val="14"/>
                          </w:rPr>
                          <w:t>5000</w:t>
                        </w:r>
                      </w:p>
                      <w:p>
                        <w:pPr>
                          <w:spacing w:line="240" w:lineRule="auto" w:before="78"/>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w10:wrap type="none"/>
              </v:group>
            </w:pict>
          </mc:Fallback>
        </mc:AlternateContent>
      </w:r>
      <w:r>
        <w:rPr>
          <w:w w:val="90"/>
        </w:rPr>
        <w:t>Figure</w:t>
      </w:r>
      <w:r>
        <w:rPr>
          <w:spacing w:val="2"/>
        </w:rPr>
        <w:t> </w:t>
      </w:r>
      <w:r>
        <w:rPr>
          <w:w w:val="90"/>
        </w:rPr>
        <w:t>52:</w:t>
      </w:r>
      <w:r>
        <w:rPr>
          <w:spacing w:val="2"/>
        </w:rPr>
        <w:t> </w:t>
      </w:r>
      <w:r>
        <w:rPr>
          <w:color w:val="2E614A"/>
          <w:w w:val="90"/>
        </w:rPr>
        <w:t>Comparative</w:t>
      </w:r>
      <w:r>
        <w:rPr>
          <w:color w:val="2E614A"/>
          <w:spacing w:val="11"/>
        </w:rPr>
        <w:t> </w:t>
      </w:r>
      <w:r>
        <w:rPr>
          <w:color w:val="2E614A"/>
          <w:w w:val="90"/>
        </w:rPr>
        <w:t>Trend</w:t>
      </w:r>
      <w:r>
        <w:rPr>
          <w:color w:val="2E614A"/>
          <w:spacing w:val="2"/>
        </w:rPr>
        <w:t> </w:t>
      </w:r>
      <w:r>
        <w:rPr>
          <w:color w:val="2E614A"/>
          <w:w w:val="90"/>
        </w:rPr>
        <w:t>of</w:t>
      </w:r>
      <w:r>
        <w:rPr>
          <w:color w:val="2E614A"/>
          <w:spacing w:val="2"/>
        </w:rPr>
        <w:t> </w:t>
      </w:r>
      <w:r>
        <w:rPr>
          <w:color w:val="2E614A"/>
          <w:w w:val="90"/>
        </w:rPr>
        <w:t>Patents</w:t>
      </w:r>
      <w:r>
        <w:rPr>
          <w:color w:val="2E614A"/>
          <w:spacing w:val="3"/>
        </w:rPr>
        <w:t> </w:t>
      </w:r>
      <w:r>
        <w:rPr>
          <w:color w:val="2E614A"/>
          <w:w w:val="90"/>
        </w:rPr>
        <w:t>Filed</w:t>
      </w:r>
      <w:r>
        <w:rPr>
          <w:color w:val="2E614A"/>
          <w:spacing w:val="2"/>
        </w:rPr>
        <w:t> </w:t>
      </w:r>
      <w:r>
        <w:rPr>
          <w:color w:val="2E614A"/>
          <w:w w:val="90"/>
        </w:rPr>
        <w:t>and</w:t>
      </w:r>
      <w:r>
        <w:rPr>
          <w:color w:val="2E614A"/>
          <w:spacing w:val="2"/>
        </w:rPr>
        <w:t> </w:t>
      </w:r>
      <w:r>
        <w:rPr>
          <w:color w:val="2E614A"/>
          <w:spacing w:val="-2"/>
          <w:w w:val="90"/>
        </w:rPr>
        <w:t>Granted</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98"/>
        <w:rPr>
          <w:b/>
          <w:sz w:val="16"/>
        </w:rPr>
      </w:pPr>
    </w:p>
    <w:p>
      <w:pPr>
        <w:spacing w:line="249" w:lineRule="auto" w:before="0"/>
        <w:ind w:left="1960" w:right="1944" w:firstLine="0"/>
        <w:jc w:val="left"/>
        <w:rPr>
          <w:sz w:val="16"/>
        </w:rPr>
      </w:pPr>
      <w:r>
        <w:rPr/>
        <mc:AlternateContent>
          <mc:Choice Requires="wps">
            <w:drawing>
              <wp:anchor distT="0" distB="0" distL="0" distR="0" allowOverlap="1" layoutInCell="1" locked="0" behindDoc="0" simplePos="0" relativeHeight="15867392">
                <wp:simplePos x="0" y="0"/>
                <wp:positionH relativeFrom="page">
                  <wp:posOffset>1525123</wp:posOffset>
                </wp:positionH>
                <wp:positionV relativeFrom="paragraph">
                  <wp:posOffset>-339878</wp:posOffset>
                </wp:positionV>
                <wp:extent cx="268605" cy="88900"/>
                <wp:effectExtent l="0" t="0" r="0" b="0"/>
                <wp:wrapNone/>
                <wp:docPr id="2105" name="Textbox 2105"/>
                <wp:cNvGraphicFramePr>
                  <a:graphicFrameLocks/>
                </wp:cNvGraphicFramePr>
                <a:graphic>
                  <a:graphicData uri="http://schemas.microsoft.com/office/word/2010/wordprocessingShape">
                    <wps:wsp>
                      <wps:cNvPr id="2105" name="Textbox 2105"/>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1992-</w:t>
                            </w:r>
                            <w:r>
                              <w:rPr>
                                <w:rFonts w:ascii="Arial MT"/>
                                <w:spacing w:val="-5"/>
                                <w:w w:val="90"/>
                                <w:position w:val="1"/>
                                <w:sz w:val="14"/>
                              </w:rPr>
                              <w:t>93</w:t>
                            </w:r>
                          </w:p>
                        </w:txbxContent>
                      </wps:txbx>
                      <wps:bodyPr wrap="square" lIns="0" tIns="0" rIns="0" bIns="0" rtlCol="0">
                        <a:noAutofit/>
                      </wps:bodyPr>
                    </wps:wsp>
                  </a:graphicData>
                </a:graphic>
              </wp:anchor>
            </w:drawing>
          </mc:Choice>
          <mc:Fallback>
            <w:pict>
              <v:shape style="position:absolute;margin-left:120.088493pt;margin-top:-26.762077pt;width:21.15pt;height:7pt;mso-position-horizontal-relative:page;mso-position-vertical-relative:paragraph;z-index:15867392;rotation:331" type="#_x0000_t136" fillcolor="#000000" stroked="f">
                <o:extrusion v:ext="view" autorotationcenter="t"/>
                <v:textpath style="font-family:&quot;Arial MT&quot;;font-size:7pt;v-text-kern:t;mso-text-shadow:auto" string="1992-93"/>
                <w10:wrap type="none"/>
              </v:shape>
            </w:pict>
          </mc:Fallback>
        </mc:AlternateContent>
      </w:r>
      <w:r>
        <w:rPr/>
        <mc:AlternateContent>
          <mc:Choice Requires="wps">
            <w:drawing>
              <wp:anchor distT="0" distB="0" distL="0" distR="0" allowOverlap="1" layoutInCell="1" locked="0" behindDoc="0" simplePos="0" relativeHeight="15867904">
                <wp:simplePos x="0" y="0"/>
                <wp:positionH relativeFrom="page">
                  <wp:posOffset>1834484</wp:posOffset>
                </wp:positionH>
                <wp:positionV relativeFrom="paragraph">
                  <wp:posOffset>-339878</wp:posOffset>
                </wp:positionV>
                <wp:extent cx="268605" cy="88900"/>
                <wp:effectExtent l="0" t="0" r="0" b="0"/>
                <wp:wrapNone/>
                <wp:docPr id="2106" name="Textbox 2106"/>
                <wp:cNvGraphicFramePr>
                  <a:graphicFrameLocks/>
                </wp:cNvGraphicFramePr>
                <a:graphic>
                  <a:graphicData uri="http://schemas.microsoft.com/office/word/2010/wordprocessingShape">
                    <wps:wsp>
                      <wps:cNvPr id="2106" name="Textbox 2106"/>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1993-</w:t>
                            </w:r>
                            <w:r>
                              <w:rPr>
                                <w:rFonts w:ascii="Arial MT"/>
                                <w:spacing w:val="-5"/>
                                <w:w w:val="90"/>
                                <w:position w:val="1"/>
                                <w:sz w:val="14"/>
                              </w:rPr>
                              <w:t>94</w:t>
                            </w:r>
                          </w:p>
                        </w:txbxContent>
                      </wps:txbx>
                      <wps:bodyPr wrap="square" lIns="0" tIns="0" rIns="0" bIns="0" rtlCol="0">
                        <a:noAutofit/>
                      </wps:bodyPr>
                    </wps:wsp>
                  </a:graphicData>
                </a:graphic>
              </wp:anchor>
            </w:drawing>
          </mc:Choice>
          <mc:Fallback>
            <w:pict>
              <v:shape style="position:absolute;margin-left:144.447632pt;margin-top:-26.762058pt;width:21.15pt;height:7pt;mso-position-horizontal-relative:page;mso-position-vertical-relative:paragraph;z-index:15867904;rotation:331" type="#_x0000_t136" fillcolor="#000000" stroked="f">
                <o:extrusion v:ext="view" autorotationcenter="t"/>
                <v:textpath style="font-family:&quot;Arial MT&quot;;font-size:7pt;v-text-kern:t;mso-text-shadow:auto" string="1993-94"/>
                <w10:wrap type="none"/>
              </v:shape>
            </w:pict>
          </mc:Fallback>
        </mc:AlternateContent>
      </w:r>
      <w:r>
        <w:rPr/>
        <mc:AlternateContent>
          <mc:Choice Requires="wps">
            <w:drawing>
              <wp:anchor distT="0" distB="0" distL="0" distR="0" allowOverlap="1" layoutInCell="1" locked="0" behindDoc="0" simplePos="0" relativeHeight="15868416">
                <wp:simplePos x="0" y="0"/>
                <wp:positionH relativeFrom="page">
                  <wp:posOffset>2143846</wp:posOffset>
                </wp:positionH>
                <wp:positionV relativeFrom="paragraph">
                  <wp:posOffset>-339878</wp:posOffset>
                </wp:positionV>
                <wp:extent cx="268605" cy="88900"/>
                <wp:effectExtent l="0" t="0" r="0" b="0"/>
                <wp:wrapNone/>
                <wp:docPr id="2107" name="Textbox 2107"/>
                <wp:cNvGraphicFramePr>
                  <a:graphicFrameLocks/>
                </wp:cNvGraphicFramePr>
                <a:graphic>
                  <a:graphicData uri="http://schemas.microsoft.com/office/word/2010/wordprocessingShape">
                    <wps:wsp>
                      <wps:cNvPr id="2107" name="Textbox 2107"/>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1994-</w:t>
                            </w:r>
                            <w:r>
                              <w:rPr>
                                <w:rFonts w:ascii="Arial MT"/>
                                <w:spacing w:val="-5"/>
                                <w:w w:val="90"/>
                                <w:position w:val="1"/>
                                <w:sz w:val="14"/>
                              </w:rPr>
                              <w:t>95</w:t>
                            </w:r>
                          </w:p>
                        </w:txbxContent>
                      </wps:txbx>
                      <wps:bodyPr wrap="square" lIns="0" tIns="0" rIns="0" bIns="0" rtlCol="0">
                        <a:noAutofit/>
                      </wps:bodyPr>
                    </wps:wsp>
                  </a:graphicData>
                </a:graphic>
              </wp:anchor>
            </w:drawing>
          </mc:Choice>
          <mc:Fallback>
            <w:pict>
              <v:shape style="position:absolute;margin-left:168.806839pt;margin-top:-26.762074pt;width:21.15pt;height:7pt;mso-position-horizontal-relative:page;mso-position-vertical-relative:paragraph;z-index:15868416;rotation:331" type="#_x0000_t136" fillcolor="#000000" stroked="f">
                <o:extrusion v:ext="view" autorotationcenter="t"/>
                <v:textpath style="font-family:&quot;Arial MT&quot;;font-size:7pt;v-text-kern:t;mso-text-shadow:auto" string="1994-95"/>
                <w10:wrap type="none"/>
              </v:shape>
            </w:pict>
          </mc:Fallback>
        </mc:AlternateContent>
      </w:r>
      <w:r>
        <w:rPr/>
        <mc:AlternateContent>
          <mc:Choice Requires="wps">
            <w:drawing>
              <wp:anchor distT="0" distB="0" distL="0" distR="0" allowOverlap="1" layoutInCell="1" locked="0" behindDoc="0" simplePos="0" relativeHeight="15868928">
                <wp:simplePos x="0" y="0"/>
                <wp:positionH relativeFrom="page">
                  <wp:posOffset>2453207</wp:posOffset>
                </wp:positionH>
                <wp:positionV relativeFrom="paragraph">
                  <wp:posOffset>-339878</wp:posOffset>
                </wp:positionV>
                <wp:extent cx="268605" cy="88900"/>
                <wp:effectExtent l="0" t="0" r="0" b="0"/>
                <wp:wrapNone/>
                <wp:docPr id="2108" name="Textbox 2108"/>
                <wp:cNvGraphicFramePr>
                  <a:graphicFrameLocks/>
                </wp:cNvGraphicFramePr>
                <a:graphic>
                  <a:graphicData uri="http://schemas.microsoft.com/office/word/2010/wordprocessingShape">
                    <wps:wsp>
                      <wps:cNvPr id="2108" name="Textbox 2108"/>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1995-</w:t>
                            </w:r>
                            <w:r>
                              <w:rPr>
                                <w:rFonts w:ascii="Arial MT"/>
                                <w:spacing w:val="-5"/>
                                <w:w w:val="90"/>
                                <w:position w:val="1"/>
                                <w:sz w:val="14"/>
                              </w:rPr>
                              <w:t>96</w:t>
                            </w:r>
                          </w:p>
                        </w:txbxContent>
                      </wps:txbx>
                      <wps:bodyPr wrap="square" lIns="0" tIns="0" rIns="0" bIns="0" rtlCol="0">
                        <a:noAutofit/>
                      </wps:bodyPr>
                    </wps:wsp>
                  </a:graphicData>
                </a:graphic>
              </wp:anchor>
            </w:drawing>
          </mc:Choice>
          <mc:Fallback>
            <w:pict>
              <v:shape style="position:absolute;margin-left:193.16597pt;margin-top:-26.762053pt;width:21.15pt;height:7pt;mso-position-horizontal-relative:page;mso-position-vertical-relative:paragraph;z-index:15868928;rotation:331" type="#_x0000_t136" fillcolor="#000000" stroked="f">
                <o:extrusion v:ext="view" autorotationcenter="t"/>
                <v:textpath style="font-family:&quot;Arial MT&quot;;font-size:7pt;v-text-kern:t;mso-text-shadow:auto" string="1995-96"/>
                <w10:wrap type="none"/>
              </v:shape>
            </w:pict>
          </mc:Fallback>
        </mc:AlternateContent>
      </w:r>
      <w:r>
        <w:rPr/>
        <mc:AlternateContent>
          <mc:Choice Requires="wps">
            <w:drawing>
              <wp:anchor distT="0" distB="0" distL="0" distR="0" allowOverlap="1" layoutInCell="1" locked="0" behindDoc="0" simplePos="0" relativeHeight="15869440">
                <wp:simplePos x="0" y="0"/>
                <wp:positionH relativeFrom="page">
                  <wp:posOffset>2762568</wp:posOffset>
                </wp:positionH>
                <wp:positionV relativeFrom="paragraph">
                  <wp:posOffset>-339877</wp:posOffset>
                </wp:positionV>
                <wp:extent cx="268605" cy="88900"/>
                <wp:effectExtent l="0" t="0" r="0" b="0"/>
                <wp:wrapNone/>
                <wp:docPr id="2109" name="Textbox 2109"/>
                <wp:cNvGraphicFramePr>
                  <a:graphicFrameLocks/>
                </wp:cNvGraphicFramePr>
                <a:graphic>
                  <a:graphicData uri="http://schemas.microsoft.com/office/word/2010/wordprocessingShape">
                    <wps:wsp>
                      <wps:cNvPr id="2109" name="Textbox 2109"/>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1996-</w:t>
                            </w:r>
                            <w:r>
                              <w:rPr>
                                <w:rFonts w:ascii="Arial MT"/>
                                <w:spacing w:val="-5"/>
                                <w:w w:val="90"/>
                                <w:position w:val="1"/>
                                <w:sz w:val="14"/>
                              </w:rPr>
                              <w:t>97</w:t>
                            </w:r>
                          </w:p>
                        </w:txbxContent>
                      </wps:txbx>
                      <wps:bodyPr wrap="square" lIns="0" tIns="0" rIns="0" bIns="0" rtlCol="0">
                        <a:noAutofit/>
                      </wps:bodyPr>
                    </wps:wsp>
                  </a:graphicData>
                </a:graphic>
              </wp:anchor>
            </w:drawing>
          </mc:Choice>
          <mc:Fallback>
            <w:pict>
              <v:shape style="position:absolute;margin-left:217.525116pt;margin-top:-26.762033pt;width:21.15pt;height:7pt;mso-position-horizontal-relative:page;mso-position-vertical-relative:paragraph;z-index:15869440;rotation:331" type="#_x0000_t136" fillcolor="#000000" stroked="f">
                <o:extrusion v:ext="view" autorotationcenter="t"/>
                <v:textpath style="font-family:&quot;Arial MT&quot;;font-size:7pt;v-text-kern:t;mso-text-shadow:auto" string="1996-97"/>
                <w10:wrap type="none"/>
              </v:shape>
            </w:pict>
          </mc:Fallback>
        </mc:AlternateContent>
      </w:r>
      <w:r>
        <w:rPr/>
        <mc:AlternateContent>
          <mc:Choice Requires="wps">
            <w:drawing>
              <wp:anchor distT="0" distB="0" distL="0" distR="0" allowOverlap="1" layoutInCell="1" locked="0" behindDoc="0" simplePos="0" relativeHeight="15869952">
                <wp:simplePos x="0" y="0"/>
                <wp:positionH relativeFrom="page">
                  <wp:posOffset>3071930</wp:posOffset>
                </wp:positionH>
                <wp:positionV relativeFrom="paragraph">
                  <wp:posOffset>-339878</wp:posOffset>
                </wp:positionV>
                <wp:extent cx="268605" cy="88900"/>
                <wp:effectExtent l="0" t="0" r="0" b="0"/>
                <wp:wrapNone/>
                <wp:docPr id="2110" name="Textbox 2110"/>
                <wp:cNvGraphicFramePr>
                  <a:graphicFrameLocks/>
                </wp:cNvGraphicFramePr>
                <a:graphic>
                  <a:graphicData uri="http://schemas.microsoft.com/office/word/2010/wordprocessingShape">
                    <wps:wsp>
                      <wps:cNvPr id="2110" name="Textbox 2110"/>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1997-</w:t>
                            </w:r>
                            <w:r>
                              <w:rPr>
                                <w:rFonts w:ascii="Arial MT"/>
                                <w:spacing w:val="-5"/>
                                <w:w w:val="90"/>
                                <w:position w:val="1"/>
                                <w:sz w:val="14"/>
                              </w:rPr>
                              <w:t>98</w:t>
                            </w:r>
                          </w:p>
                        </w:txbxContent>
                      </wps:txbx>
                      <wps:bodyPr wrap="square" lIns="0" tIns="0" rIns="0" bIns="0" rtlCol="0">
                        <a:noAutofit/>
                      </wps:bodyPr>
                    </wps:wsp>
                  </a:graphicData>
                </a:graphic>
              </wp:anchor>
            </w:drawing>
          </mc:Choice>
          <mc:Fallback>
            <w:pict>
              <v:shape style="position:absolute;margin-left:241.884277pt;margin-top:-26.76211pt;width:21.15pt;height:7pt;mso-position-horizontal-relative:page;mso-position-vertical-relative:paragraph;z-index:15869952;rotation:331" type="#_x0000_t136" fillcolor="#000000" stroked="f">
                <o:extrusion v:ext="view" autorotationcenter="t"/>
                <v:textpath style="font-family:&quot;Arial MT&quot;;font-size:7pt;v-text-kern:t;mso-text-shadow:auto" string="1997-98"/>
                <w10:wrap type="none"/>
              </v:shape>
            </w:pict>
          </mc:Fallback>
        </mc:AlternateContent>
      </w:r>
      <w:r>
        <w:rPr/>
        <mc:AlternateContent>
          <mc:Choice Requires="wps">
            <w:drawing>
              <wp:anchor distT="0" distB="0" distL="0" distR="0" allowOverlap="1" layoutInCell="1" locked="0" behindDoc="0" simplePos="0" relativeHeight="15870464">
                <wp:simplePos x="0" y="0"/>
                <wp:positionH relativeFrom="page">
                  <wp:posOffset>3381291</wp:posOffset>
                </wp:positionH>
                <wp:positionV relativeFrom="paragraph">
                  <wp:posOffset>-339878</wp:posOffset>
                </wp:positionV>
                <wp:extent cx="268605" cy="88900"/>
                <wp:effectExtent l="0" t="0" r="0" b="0"/>
                <wp:wrapNone/>
                <wp:docPr id="2111" name="Textbox 2111"/>
                <wp:cNvGraphicFramePr>
                  <a:graphicFrameLocks/>
                </wp:cNvGraphicFramePr>
                <a:graphic>
                  <a:graphicData uri="http://schemas.microsoft.com/office/word/2010/wordprocessingShape">
                    <wps:wsp>
                      <wps:cNvPr id="2111" name="Textbox 2111"/>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1998-</w:t>
                            </w:r>
                            <w:r>
                              <w:rPr>
                                <w:rFonts w:ascii="Arial MT"/>
                                <w:spacing w:val="-5"/>
                                <w:w w:val="90"/>
                                <w:position w:val="1"/>
                                <w:sz w:val="14"/>
                              </w:rPr>
                              <w:t>99</w:t>
                            </w:r>
                          </w:p>
                        </w:txbxContent>
                      </wps:txbx>
                      <wps:bodyPr wrap="square" lIns="0" tIns="0" rIns="0" bIns="0" rtlCol="0">
                        <a:noAutofit/>
                      </wps:bodyPr>
                    </wps:wsp>
                  </a:graphicData>
                </a:graphic>
              </wp:anchor>
            </w:drawing>
          </mc:Choice>
          <mc:Fallback>
            <w:pict>
              <v:shape style="position:absolute;margin-left:266.243408pt;margin-top:-26.762089pt;width:21.15pt;height:7pt;mso-position-horizontal-relative:page;mso-position-vertical-relative:paragraph;z-index:15870464;rotation:331" type="#_x0000_t136" fillcolor="#000000" stroked="f">
                <o:extrusion v:ext="view" autorotationcenter="t"/>
                <v:textpath style="font-family:&quot;Arial MT&quot;;font-size:7pt;v-text-kern:t;mso-text-shadow:auto" string="1998-99"/>
                <w10:wrap type="none"/>
              </v:shape>
            </w:pict>
          </mc:Fallback>
        </mc:AlternateContent>
      </w:r>
      <w:r>
        <w:rPr/>
        <mc:AlternateContent>
          <mc:Choice Requires="wps">
            <w:drawing>
              <wp:anchor distT="0" distB="0" distL="0" distR="0" allowOverlap="1" layoutInCell="1" locked="0" behindDoc="0" simplePos="0" relativeHeight="15870976">
                <wp:simplePos x="0" y="0"/>
                <wp:positionH relativeFrom="page">
                  <wp:posOffset>3685700</wp:posOffset>
                </wp:positionH>
                <wp:positionV relativeFrom="paragraph">
                  <wp:posOffset>-319089</wp:posOffset>
                </wp:positionV>
                <wp:extent cx="350520" cy="88900"/>
                <wp:effectExtent l="0" t="0" r="0" b="0"/>
                <wp:wrapNone/>
                <wp:docPr id="2112" name="Textbox 2112"/>
                <wp:cNvGraphicFramePr>
                  <a:graphicFrameLocks/>
                </wp:cNvGraphicFramePr>
                <a:graphic>
                  <a:graphicData uri="http://schemas.microsoft.com/office/word/2010/wordprocessingShape">
                    <wps:wsp>
                      <wps:cNvPr id="2112" name="Textbox 2112"/>
                      <wps:cNvSpPr txBox="1"/>
                      <wps:spPr>
                        <a:xfrm rot="19860000">
                          <a:off x="0" y="0"/>
                          <a:ext cx="350520" cy="88900"/>
                        </a:xfrm>
                        <a:prstGeom prst="rect">
                          <a:avLst/>
                        </a:prstGeom>
                      </wps:spPr>
                      <wps:txbx>
                        <w:txbxContent>
                          <w:p>
                            <w:pPr>
                              <w:spacing w:line="140" w:lineRule="exact" w:before="0"/>
                              <w:ind w:left="0" w:right="0" w:firstLine="0"/>
                              <w:jc w:val="left"/>
                              <w:rPr>
                                <w:rFonts w:ascii="Arial MT"/>
                                <w:sz w:val="14"/>
                              </w:rPr>
                            </w:pPr>
                            <w:r>
                              <w:rPr>
                                <w:rFonts w:ascii="Arial MT"/>
                                <w:w w:val="80"/>
                                <w:sz w:val="14"/>
                              </w:rPr>
                              <w:t>1999-</w:t>
                            </w:r>
                            <w:r>
                              <w:rPr>
                                <w:rFonts w:ascii="Arial MT"/>
                                <w:spacing w:val="-4"/>
                                <w:w w:val="80"/>
                                <w:sz w:val="14"/>
                              </w:rPr>
                              <w:t>2000</w:t>
                            </w:r>
                          </w:p>
                        </w:txbxContent>
                      </wps:txbx>
                      <wps:bodyPr wrap="square" lIns="0" tIns="0" rIns="0" bIns="0" rtlCol="0">
                        <a:noAutofit/>
                      </wps:bodyPr>
                    </wps:wsp>
                  </a:graphicData>
                </a:graphic>
              </wp:anchor>
            </w:drawing>
          </mc:Choice>
          <mc:Fallback>
            <w:pict>
              <v:shape style="position:absolute;margin-left:290.212646pt;margin-top:-25.125147pt;width:27.6pt;height:7pt;mso-position-horizontal-relative:page;mso-position-vertical-relative:paragraph;z-index:15870976;rotation:331" type="#_x0000_t136" fillcolor="#000000" stroked="f">
                <o:extrusion v:ext="view" autorotationcenter="t"/>
                <v:textpath style="font-family:&quot;Arial MT&quot;;font-size:7pt;v-text-kern:t;mso-text-shadow:auto" string="1999-2000"/>
                <w10:wrap type="none"/>
              </v:shape>
            </w:pict>
          </mc:Fallback>
        </mc:AlternateContent>
      </w:r>
      <w:r>
        <w:rPr/>
        <mc:AlternateContent>
          <mc:Choice Requires="wps">
            <w:drawing>
              <wp:anchor distT="0" distB="0" distL="0" distR="0" allowOverlap="1" layoutInCell="1" locked="0" behindDoc="0" simplePos="0" relativeHeight="15871488">
                <wp:simplePos x="0" y="0"/>
                <wp:positionH relativeFrom="page">
                  <wp:posOffset>4000014</wp:posOffset>
                </wp:positionH>
                <wp:positionV relativeFrom="paragraph">
                  <wp:posOffset>-339878</wp:posOffset>
                </wp:positionV>
                <wp:extent cx="268605" cy="88900"/>
                <wp:effectExtent l="0" t="0" r="0" b="0"/>
                <wp:wrapNone/>
                <wp:docPr id="2113" name="Textbox 2113"/>
                <wp:cNvGraphicFramePr>
                  <a:graphicFrameLocks/>
                </wp:cNvGraphicFramePr>
                <a:graphic>
                  <a:graphicData uri="http://schemas.microsoft.com/office/word/2010/wordprocessingShape">
                    <wps:wsp>
                      <wps:cNvPr id="2113" name="Textbox 2113"/>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2000-</w:t>
                            </w:r>
                            <w:r>
                              <w:rPr>
                                <w:rFonts w:ascii="Arial MT"/>
                                <w:spacing w:val="-5"/>
                                <w:w w:val="90"/>
                                <w:position w:val="1"/>
                                <w:sz w:val="14"/>
                              </w:rPr>
                              <w:t>01</w:t>
                            </w:r>
                          </w:p>
                        </w:txbxContent>
                      </wps:txbx>
                      <wps:bodyPr wrap="square" lIns="0" tIns="0" rIns="0" bIns="0" rtlCol="0">
                        <a:noAutofit/>
                      </wps:bodyPr>
                    </wps:wsp>
                  </a:graphicData>
                </a:graphic>
              </wp:anchor>
            </w:drawing>
          </mc:Choice>
          <mc:Fallback>
            <w:pict>
              <v:shape style="position:absolute;margin-left:314.961792pt;margin-top:-26.762089pt;width:21.15pt;height:7pt;mso-position-horizontal-relative:page;mso-position-vertical-relative:paragraph;z-index:15871488;rotation:331" type="#_x0000_t136" fillcolor="#000000" stroked="f">
                <o:extrusion v:ext="view" autorotationcenter="t"/>
                <v:textpath style="font-family:&quot;Arial MT&quot;;font-size:7pt;v-text-kern:t;mso-text-shadow:auto" string="2000-01"/>
                <w10:wrap type="none"/>
              </v:shape>
            </w:pict>
          </mc:Fallback>
        </mc:AlternateContent>
      </w:r>
      <w:r>
        <w:rPr/>
        <mc:AlternateContent>
          <mc:Choice Requires="wps">
            <w:drawing>
              <wp:anchor distT="0" distB="0" distL="0" distR="0" allowOverlap="1" layoutInCell="1" locked="0" behindDoc="0" simplePos="0" relativeHeight="15872000">
                <wp:simplePos x="0" y="0"/>
                <wp:positionH relativeFrom="page">
                  <wp:posOffset>4309376</wp:posOffset>
                </wp:positionH>
                <wp:positionV relativeFrom="paragraph">
                  <wp:posOffset>-339878</wp:posOffset>
                </wp:positionV>
                <wp:extent cx="268605" cy="88900"/>
                <wp:effectExtent l="0" t="0" r="0" b="0"/>
                <wp:wrapNone/>
                <wp:docPr id="2114" name="Textbox 2114"/>
                <wp:cNvGraphicFramePr>
                  <a:graphicFrameLocks/>
                </wp:cNvGraphicFramePr>
                <a:graphic>
                  <a:graphicData uri="http://schemas.microsoft.com/office/word/2010/wordprocessingShape">
                    <wps:wsp>
                      <wps:cNvPr id="2114" name="Textbox 2114"/>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2001-</w:t>
                            </w:r>
                            <w:r>
                              <w:rPr>
                                <w:rFonts w:ascii="Arial MT"/>
                                <w:spacing w:val="-5"/>
                                <w:w w:val="90"/>
                                <w:position w:val="1"/>
                                <w:sz w:val="14"/>
                              </w:rPr>
                              <w:t>02</w:t>
                            </w:r>
                          </w:p>
                        </w:txbxContent>
                      </wps:txbx>
                      <wps:bodyPr wrap="square" lIns="0" tIns="0" rIns="0" bIns="0" rtlCol="0">
                        <a:noAutofit/>
                      </wps:bodyPr>
                    </wps:wsp>
                  </a:graphicData>
                </a:graphic>
              </wp:anchor>
            </w:drawing>
          </mc:Choice>
          <mc:Fallback>
            <w:pict>
              <v:shape style="position:absolute;margin-left:339.320984pt;margin-top:-26.762104pt;width:21.15pt;height:7pt;mso-position-horizontal-relative:page;mso-position-vertical-relative:paragraph;z-index:15872000;rotation:331" type="#_x0000_t136" fillcolor="#000000" stroked="f">
                <o:extrusion v:ext="view" autorotationcenter="t"/>
                <v:textpath style="font-family:&quot;Arial MT&quot;;font-size:7pt;v-text-kern:t;mso-text-shadow:auto" string="2001-02"/>
                <w10:wrap type="none"/>
              </v:shape>
            </w:pict>
          </mc:Fallback>
        </mc:AlternateContent>
      </w:r>
      <w:r>
        <w:rPr/>
        <mc:AlternateContent>
          <mc:Choice Requires="wps">
            <w:drawing>
              <wp:anchor distT="0" distB="0" distL="0" distR="0" allowOverlap="1" layoutInCell="1" locked="0" behindDoc="0" simplePos="0" relativeHeight="15872512">
                <wp:simplePos x="0" y="0"/>
                <wp:positionH relativeFrom="page">
                  <wp:posOffset>4618737</wp:posOffset>
                </wp:positionH>
                <wp:positionV relativeFrom="paragraph">
                  <wp:posOffset>-339878</wp:posOffset>
                </wp:positionV>
                <wp:extent cx="268605" cy="88900"/>
                <wp:effectExtent l="0" t="0" r="0" b="0"/>
                <wp:wrapNone/>
                <wp:docPr id="2115" name="Textbox 2115"/>
                <wp:cNvGraphicFramePr>
                  <a:graphicFrameLocks/>
                </wp:cNvGraphicFramePr>
                <a:graphic>
                  <a:graphicData uri="http://schemas.microsoft.com/office/word/2010/wordprocessingShape">
                    <wps:wsp>
                      <wps:cNvPr id="2115" name="Textbox 2115"/>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2002-</w:t>
                            </w:r>
                            <w:r>
                              <w:rPr>
                                <w:rFonts w:ascii="Arial MT"/>
                                <w:spacing w:val="-5"/>
                                <w:w w:val="90"/>
                                <w:position w:val="1"/>
                                <w:sz w:val="14"/>
                              </w:rPr>
                              <w:t>03</w:t>
                            </w:r>
                          </w:p>
                        </w:txbxContent>
                      </wps:txbx>
                      <wps:bodyPr wrap="square" lIns="0" tIns="0" rIns="0" bIns="0" rtlCol="0">
                        <a:noAutofit/>
                      </wps:bodyPr>
                    </wps:wsp>
                  </a:graphicData>
                </a:graphic>
              </wp:anchor>
            </w:drawing>
          </mc:Choice>
          <mc:Fallback>
            <w:pict>
              <v:shape style="position:absolute;margin-left:363.680115pt;margin-top:-26.762085pt;width:21.15pt;height:7pt;mso-position-horizontal-relative:page;mso-position-vertical-relative:paragraph;z-index:15872512;rotation:331" type="#_x0000_t136" fillcolor="#000000" stroked="f">
                <o:extrusion v:ext="view" autorotationcenter="t"/>
                <v:textpath style="font-family:&quot;Arial MT&quot;;font-size:7pt;v-text-kern:t;mso-text-shadow:auto" string="2002-03"/>
                <w10:wrap type="none"/>
              </v:shape>
            </w:pict>
          </mc:Fallback>
        </mc:AlternateContent>
      </w:r>
      <w:r>
        <w:rPr/>
        <mc:AlternateContent>
          <mc:Choice Requires="wps">
            <w:drawing>
              <wp:anchor distT="0" distB="0" distL="0" distR="0" allowOverlap="1" layoutInCell="1" locked="0" behindDoc="0" simplePos="0" relativeHeight="15873024">
                <wp:simplePos x="0" y="0"/>
                <wp:positionH relativeFrom="page">
                  <wp:posOffset>4928098</wp:posOffset>
                </wp:positionH>
                <wp:positionV relativeFrom="paragraph">
                  <wp:posOffset>-339878</wp:posOffset>
                </wp:positionV>
                <wp:extent cx="268605" cy="88900"/>
                <wp:effectExtent l="0" t="0" r="0" b="0"/>
                <wp:wrapNone/>
                <wp:docPr id="2116" name="Textbox 2116"/>
                <wp:cNvGraphicFramePr>
                  <a:graphicFrameLocks/>
                </wp:cNvGraphicFramePr>
                <a:graphic>
                  <a:graphicData uri="http://schemas.microsoft.com/office/word/2010/wordprocessingShape">
                    <wps:wsp>
                      <wps:cNvPr id="2116" name="Textbox 2116"/>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2003-</w:t>
                            </w:r>
                            <w:r>
                              <w:rPr>
                                <w:rFonts w:ascii="Arial MT"/>
                                <w:spacing w:val="-5"/>
                                <w:w w:val="90"/>
                                <w:position w:val="1"/>
                                <w:sz w:val="14"/>
                              </w:rPr>
                              <w:t>04</w:t>
                            </w:r>
                          </w:p>
                        </w:txbxContent>
                      </wps:txbx>
                      <wps:bodyPr wrap="square" lIns="0" tIns="0" rIns="0" bIns="0" rtlCol="0">
                        <a:noAutofit/>
                      </wps:bodyPr>
                    </wps:wsp>
                  </a:graphicData>
                </a:graphic>
              </wp:anchor>
            </w:drawing>
          </mc:Choice>
          <mc:Fallback>
            <w:pict>
              <v:shape style="position:absolute;margin-left:388.039215pt;margin-top:-26.762125pt;width:21.15pt;height:7pt;mso-position-horizontal-relative:page;mso-position-vertical-relative:paragraph;z-index:15873024;rotation:331" type="#_x0000_t136" fillcolor="#000000" stroked="f">
                <o:extrusion v:ext="view" autorotationcenter="t"/>
                <v:textpath style="font-family:&quot;Arial MT&quot;;font-size:7pt;v-text-kern:t;mso-text-shadow:auto" string="2003-04"/>
                <w10:wrap type="none"/>
              </v:shape>
            </w:pict>
          </mc:Fallback>
        </mc:AlternateContent>
      </w:r>
      <w:r>
        <w:rPr/>
        <mc:AlternateContent>
          <mc:Choice Requires="wps">
            <w:drawing>
              <wp:anchor distT="0" distB="0" distL="0" distR="0" allowOverlap="1" layoutInCell="1" locked="0" behindDoc="0" simplePos="0" relativeHeight="15873536">
                <wp:simplePos x="0" y="0"/>
                <wp:positionH relativeFrom="page">
                  <wp:posOffset>5237460</wp:posOffset>
                </wp:positionH>
                <wp:positionV relativeFrom="paragraph">
                  <wp:posOffset>-339879</wp:posOffset>
                </wp:positionV>
                <wp:extent cx="268605" cy="88900"/>
                <wp:effectExtent l="0" t="0" r="0" b="0"/>
                <wp:wrapNone/>
                <wp:docPr id="2117" name="Textbox 2117"/>
                <wp:cNvGraphicFramePr>
                  <a:graphicFrameLocks/>
                </wp:cNvGraphicFramePr>
                <a:graphic>
                  <a:graphicData uri="http://schemas.microsoft.com/office/word/2010/wordprocessingShape">
                    <wps:wsp>
                      <wps:cNvPr id="2117" name="Textbox 2117"/>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2004-</w:t>
                            </w:r>
                            <w:r>
                              <w:rPr>
                                <w:rFonts w:ascii="Arial MT"/>
                                <w:spacing w:val="-5"/>
                                <w:w w:val="90"/>
                                <w:position w:val="1"/>
                                <w:sz w:val="14"/>
                              </w:rPr>
                              <w:t>05</w:t>
                            </w:r>
                          </w:p>
                        </w:txbxContent>
                      </wps:txbx>
                      <wps:bodyPr wrap="square" lIns="0" tIns="0" rIns="0" bIns="0" rtlCol="0">
                        <a:noAutofit/>
                      </wps:bodyPr>
                    </wps:wsp>
                  </a:graphicData>
                </a:graphic>
              </wp:anchor>
            </w:drawing>
          </mc:Choice>
          <mc:Fallback>
            <w:pict>
              <v:shape style="position:absolute;margin-left:412.398438pt;margin-top:-26.76214pt;width:21.15pt;height:7pt;mso-position-horizontal-relative:page;mso-position-vertical-relative:paragraph;z-index:15873536;rotation:331" type="#_x0000_t136" fillcolor="#000000" stroked="f">
                <o:extrusion v:ext="view" autorotationcenter="t"/>
                <v:textpath style="font-family:&quot;Arial MT&quot;;font-size:7pt;v-text-kern:t;mso-text-shadow:auto" string="2004-05"/>
                <w10:wrap type="none"/>
              </v:shape>
            </w:pict>
          </mc:Fallback>
        </mc:AlternateContent>
      </w:r>
      <w:r>
        <w:rPr/>
        <mc:AlternateContent>
          <mc:Choice Requires="wps">
            <w:drawing>
              <wp:anchor distT="0" distB="0" distL="0" distR="0" allowOverlap="1" layoutInCell="1" locked="0" behindDoc="0" simplePos="0" relativeHeight="15874048">
                <wp:simplePos x="0" y="0"/>
                <wp:positionH relativeFrom="page">
                  <wp:posOffset>5546821</wp:posOffset>
                </wp:positionH>
                <wp:positionV relativeFrom="paragraph">
                  <wp:posOffset>-339878</wp:posOffset>
                </wp:positionV>
                <wp:extent cx="268605" cy="88900"/>
                <wp:effectExtent l="0" t="0" r="0" b="0"/>
                <wp:wrapNone/>
                <wp:docPr id="2118" name="Textbox 2118"/>
                <wp:cNvGraphicFramePr>
                  <a:graphicFrameLocks/>
                </wp:cNvGraphicFramePr>
                <a:graphic>
                  <a:graphicData uri="http://schemas.microsoft.com/office/word/2010/wordprocessingShape">
                    <wps:wsp>
                      <wps:cNvPr id="2118" name="Textbox 2118"/>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2005-</w:t>
                            </w:r>
                            <w:r>
                              <w:rPr>
                                <w:rFonts w:ascii="Arial MT"/>
                                <w:spacing w:val="-5"/>
                                <w:w w:val="90"/>
                                <w:position w:val="1"/>
                                <w:sz w:val="14"/>
                              </w:rPr>
                              <w:t>06</w:t>
                            </w:r>
                          </w:p>
                        </w:txbxContent>
                      </wps:txbx>
                      <wps:bodyPr wrap="square" lIns="0" tIns="0" rIns="0" bIns="0" rtlCol="0">
                        <a:noAutofit/>
                      </wps:bodyPr>
                    </wps:wsp>
                  </a:graphicData>
                </a:graphic>
              </wp:anchor>
            </w:drawing>
          </mc:Choice>
          <mc:Fallback>
            <w:pict>
              <v:shape style="position:absolute;margin-left:436.757568pt;margin-top:-26.762119pt;width:21.15pt;height:7pt;mso-position-horizontal-relative:page;mso-position-vertical-relative:paragraph;z-index:15874048;rotation:331" type="#_x0000_t136" fillcolor="#000000" stroked="f">
                <o:extrusion v:ext="view" autorotationcenter="t"/>
                <v:textpath style="font-family:&quot;Arial MT&quot;;font-size:7pt;v-text-kern:t;mso-text-shadow:auto" string="2005-06"/>
                <w10:wrap type="none"/>
              </v:shape>
            </w:pict>
          </mc:Fallback>
        </mc:AlternateContent>
      </w:r>
      <w:r>
        <w:rPr/>
        <mc:AlternateContent>
          <mc:Choice Requires="wps">
            <w:drawing>
              <wp:anchor distT="0" distB="0" distL="0" distR="0" allowOverlap="1" layoutInCell="1" locked="0" behindDoc="0" simplePos="0" relativeHeight="15874560">
                <wp:simplePos x="0" y="0"/>
                <wp:positionH relativeFrom="page">
                  <wp:posOffset>5856182</wp:posOffset>
                </wp:positionH>
                <wp:positionV relativeFrom="paragraph">
                  <wp:posOffset>-339878</wp:posOffset>
                </wp:positionV>
                <wp:extent cx="268605" cy="88900"/>
                <wp:effectExtent l="0" t="0" r="0" b="0"/>
                <wp:wrapNone/>
                <wp:docPr id="2119" name="Textbox 2119"/>
                <wp:cNvGraphicFramePr>
                  <a:graphicFrameLocks/>
                </wp:cNvGraphicFramePr>
                <a:graphic>
                  <a:graphicData uri="http://schemas.microsoft.com/office/word/2010/wordprocessingShape">
                    <wps:wsp>
                      <wps:cNvPr id="2119" name="Textbox 2119"/>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2006-</w:t>
                            </w:r>
                            <w:r>
                              <w:rPr>
                                <w:rFonts w:ascii="Arial MT"/>
                                <w:spacing w:val="-5"/>
                                <w:w w:val="90"/>
                                <w:position w:val="1"/>
                                <w:sz w:val="14"/>
                              </w:rPr>
                              <w:t>07</w:t>
                            </w:r>
                          </w:p>
                        </w:txbxContent>
                      </wps:txbx>
                      <wps:bodyPr wrap="square" lIns="0" tIns="0" rIns="0" bIns="0" rtlCol="0">
                        <a:noAutofit/>
                      </wps:bodyPr>
                    </wps:wsp>
                  </a:graphicData>
                </a:graphic>
              </wp:anchor>
            </w:drawing>
          </mc:Choice>
          <mc:Fallback>
            <w:pict>
              <v:shape style="position:absolute;margin-left:461.116699pt;margin-top:-26.7621pt;width:21.15pt;height:7pt;mso-position-horizontal-relative:page;mso-position-vertical-relative:paragraph;z-index:15874560;rotation:331" type="#_x0000_t136" fillcolor="#000000" stroked="f">
                <o:extrusion v:ext="view" autorotationcenter="t"/>
                <v:textpath style="font-family:&quot;Arial MT&quot;;font-size:7pt;v-text-kern:t;mso-text-shadow:auto" string="2006-07"/>
                <w10:wrap type="none"/>
              </v:shape>
            </w:pict>
          </mc:Fallback>
        </mc:AlternateContent>
      </w:r>
      <w:r>
        <w:rPr>
          <w:i/>
          <w:spacing w:val="-4"/>
          <w:sz w:val="16"/>
        </w:rPr>
        <w:t>Source: </w:t>
      </w:r>
      <w:r>
        <w:rPr>
          <w:spacing w:val="-4"/>
          <w:sz w:val="16"/>
        </w:rPr>
        <w:t>Annual Report of the Office of the Controller General of Patents, Designs,</w:t>
      </w:r>
      <w:r>
        <w:rPr>
          <w:spacing w:val="-6"/>
          <w:sz w:val="16"/>
        </w:rPr>
        <w:t> </w:t>
      </w:r>
      <w:r>
        <w:rPr>
          <w:spacing w:val="-4"/>
          <w:sz w:val="16"/>
        </w:rPr>
        <w:t>Trademarks, Geographical </w:t>
      </w:r>
      <w:r>
        <w:rPr>
          <w:spacing w:val="-4"/>
          <w:sz w:val="16"/>
        </w:rPr>
        <w:t>Indications,</w:t>
      </w:r>
      <w:r>
        <w:rPr>
          <w:spacing w:val="40"/>
          <w:sz w:val="16"/>
        </w:rPr>
        <w:t> </w:t>
      </w:r>
      <w:r>
        <w:rPr>
          <w:sz w:val="16"/>
        </w:rPr>
        <w:t>Intellectual Property</w:t>
      </w:r>
      <w:r>
        <w:rPr>
          <w:spacing w:val="-8"/>
          <w:sz w:val="16"/>
        </w:rPr>
        <w:t> </w:t>
      </w:r>
      <w:r>
        <w:rPr>
          <w:sz w:val="16"/>
        </w:rPr>
        <w:t>Training Institute, and Patent Information System, 2006-07</w:t>
      </w:r>
    </w:p>
    <w:p>
      <w:pPr>
        <w:spacing w:after="0" w:line="249" w:lineRule="auto"/>
        <w:jc w:val="left"/>
        <w:rPr>
          <w:sz w:val="16"/>
        </w:rPr>
        <w:sectPr>
          <w:type w:val="continuous"/>
          <w:pgSz w:w="11910" w:h="16840"/>
          <w:pgMar w:header="0" w:footer="675" w:top="1920" w:bottom="280" w:left="0" w:right="0"/>
        </w:sectPr>
      </w:pPr>
    </w:p>
    <w:p>
      <w:pPr>
        <w:pStyle w:val="Heading8"/>
        <w:spacing w:before="73"/>
        <w:ind w:left="1989"/>
      </w:pPr>
      <w:r>
        <w:rPr/>
        <mc:AlternateContent>
          <mc:Choice Requires="wps">
            <w:drawing>
              <wp:anchor distT="0" distB="0" distL="0" distR="0" allowOverlap="1" layoutInCell="1" locked="0" behindDoc="1" simplePos="0" relativeHeight="479453696">
                <wp:simplePos x="0" y="0"/>
                <wp:positionH relativeFrom="page">
                  <wp:posOffset>1613010</wp:posOffset>
                </wp:positionH>
                <wp:positionV relativeFrom="paragraph">
                  <wp:posOffset>2261167</wp:posOffset>
                </wp:positionV>
                <wp:extent cx="268605" cy="88900"/>
                <wp:effectExtent l="0" t="0" r="0" b="0"/>
                <wp:wrapNone/>
                <wp:docPr id="2120" name="Textbox 2120"/>
                <wp:cNvGraphicFramePr>
                  <a:graphicFrameLocks/>
                </wp:cNvGraphicFramePr>
                <a:graphic>
                  <a:graphicData uri="http://schemas.microsoft.com/office/word/2010/wordprocessingShape">
                    <wps:wsp>
                      <wps:cNvPr id="2120" name="Textbox 2120"/>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1992-</w:t>
                            </w:r>
                            <w:r>
                              <w:rPr>
                                <w:rFonts w:ascii="Arial MT"/>
                                <w:spacing w:val="-5"/>
                                <w:w w:val="90"/>
                                <w:position w:val="1"/>
                                <w:sz w:val="14"/>
                              </w:rPr>
                              <w:t>93</w:t>
                            </w:r>
                          </w:p>
                        </w:txbxContent>
                      </wps:txbx>
                      <wps:bodyPr wrap="square" lIns="0" tIns="0" rIns="0" bIns="0" rtlCol="0">
                        <a:noAutofit/>
                      </wps:bodyPr>
                    </wps:wsp>
                  </a:graphicData>
                </a:graphic>
              </wp:anchor>
            </w:drawing>
          </mc:Choice>
          <mc:Fallback>
            <w:pict>
              <v:shape style="position:absolute;margin-left:127.008736pt;margin-top:178.044678pt;width:21.15pt;height:7pt;mso-position-horizontal-relative:page;mso-position-vertical-relative:paragraph;z-index:-23862784;rotation:331" type="#_x0000_t136" fillcolor="#000000" stroked="f">
                <o:extrusion v:ext="view" autorotationcenter="t"/>
                <v:textpath style="font-family:&quot;Arial MT&quot;;font-size:7pt;v-text-kern:t;mso-text-shadow:auto" string="1992-93"/>
                <w10:wrap type="none"/>
              </v:shape>
            </w:pict>
          </mc:Fallback>
        </mc:AlternateContent>
      </w:r>
      <w:r>
        <w:rPr/>
        <mc:AlternateContent>
          <mc:Choice Requires="wps">
            <w:drawing>
              <wp:anchor distT="0" distB="0" distL="0" distR="0" allowOverlap="1" layoutInCell="1" locked="0" behindDoc="1" simplePos="0" relativeHeight="479454208">
                <wp:simplePos x="0" y="0"/>
                <wp:positionH relativeFrom="page">
                  <wp:posOffset>1916256</wp:posOffset>
                </wp:positionH>
                <wp:positionV relativeFrom="paragraph">
                  <wp:posOffset>2261167</wp:posOffset>
                </wp:positionV>
                <wp:extent cx="268605" cy="88900"/>
                <wp:effectExtent l="0" t="0" r="0" b="0"/>
                <wp:wrapNone/>
                <wp:docPr id="2121" name="Textbox 2121"/>
                <wp:cNvGraphicFramePr>
                  <a:graphicFrameLocks/>
                </wp:cNvGraphicFramePr>
                <a:graphic>
                  <a:graphicData uri="http://schemas.microsoft.com/office/word/2010/wordprocessingShape">
                    <wps:wsp>
                      <wps:cNvPr id="2121" name="Textbox 2121"/>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1993-</w:t>
                            </w:r>
                            <w:r>
                              <w:rPr>
                                <w:rFonts w:ascii="Arial MT"/>
                                <w:spacing w:val="-5"/>
                                <w:w w:val="90"/>
                                <w:position w:val="1"/>
                                <w:sz w:val="14"/>
                              </w:rPr>
                              <w:t>94</w:t>
                            </w:r>
                          </w:p>
                        </w:txbxContent>
                      </wps:txbx>
                      <wps:bodyPr wrap="square" lIns="0" tIns="0" rIns="0" bIns="0" rtlCol="0">
                        <a:noAutofit/>
                      </wps:bodyPr>
                    </wps:wsp>
                  </a:graphicData>
                </a:graphic>
              </wp:anchor>
            </w:drawing>
          </mc:Choice>
          <mc:Fallback>
            <w:pict>
              <v:shape style="position:absolute;margin-left:150.886353pt;margin-top:178.044662pt;width:21.15pt;height:7pt;mso-position-horizontal-relative:page;mso-position-vertical-relative:paragraph;z-index:-23862272;rotation:331" type="#_x0000_t136" fillcolor="#000000" stroked="f">
                <o:extrusion v:ext="view" autorotationcenter="t"/>
                <v:textpath style="font-family:&quot;Arial MT&quot;;font-size:7pt;v-text-kern:t;mso-text-shadow:auto" string="1993-94"/>
                <w10:wrap type="none"/>
              </v:shape>
            </w:pict>
          </mc:Fallback>
        </mc:AlternateContent>
      </w:r>
      <w:r>
        <w:rPr/>
        <mc:AlternateContent>
          <mc:Choice Requires="wps">
            <w:drawing>
              <wp:anchor distT="0" distB="0" distL="0" distR="0" allowOverlap="1" layoutInCell="1" locked="0" behindDoc="1" simplePos="0" relativeHeight="479454720">
                <wp:simplePos x="0" y="0"/>
                <wp:positionH relativeFrom="page">
                  <wp:posOffset>2219502</wp:posOffset>
                </wp:positionH>
                <wp:positionV relativeFrom="paragraph">
                  <wp:posOffset>2261167</wp:posOffset>
                </wp:positionV>
                <wp:extent cx="268605" cy="88900"/>
                <wp:effectExtent l="0" t="0" r="0" b="0"/>
                <wp:wrapNone/>
                <wp:docPr id="2122" name="Textbox 2122"/>
                <wp:cNvGraphicFramePr>
                  <a:graphicFrameLocks/>
                </wp:cNvGraphicFramePr>
                <a:graphic>
                  <a:graphicData uri="http://schemas.microsoft.com/office/word/2010/wordprocessingShape">
                    <wps:wsp>
                      <wps:cNvPr id="2122" name="Textbox 2122"/>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1994-</w:t>
                            </w:r>
                            <w:r>
                              <w:rPr>
                                <w:rFonts w:ascii="Arial MT"/>
                                <w:spacing w:val="-5"/>
                                <w:w w:val="90"/>
                                <w:position w:val="1"/>
                                <w:sz w:val="14"/>
                              </w:rPr>
                              <w:t>95</w:t>
                            </w:r>
                          </w:p>
                        </w:txbxContent>
                      </wps:txbx>
                      <wps:bodyPr wrap="square" lIns="0" tIns="0" rIns="0" bIns="0" rtlCol="0">
                        <a:noAutofit/>
                      </wps:bodyPr>
                    </wps:wsp>
                  </a:graphicData>
                </a:graphic>
              </wp:anchor>
            </w:drawing>
          </mc:Choice>
          <mc:Fallback>
            <w:pict>
              <v:shape style="position:absolute;margin-left:174.763992pt;margin-top:178.044693pt;width:21.15pt;height:7pt;mso-position-horizontal-relative:page;mso-position-vertical-relative:paragraph;z-index:-23861760;rotation:331" type="#_x0000_t136" fillcolor="#000000" stroked="f">
                <o:extrusion v:ext="view" autorotationcenter="t"/>
                <v:textpath style="font-family:&quot;Arial MT&quot;;font-size:7pt;v-text-kern:t;mso-text-shadow:auto" string="1994-95"/>
                <w10:wrap type="none"/>
              </v:shape>
            </w:pict>
          </mc:Fallback>
        </mc:AlternateContent>
      </w:r>
      <w:r>
        <w:rPr/>
        <mc:AlternateContent>
          <mc:Choice Requires="wps">
            <w:drawing>
              <wp:anchor distT="0" distB="0" distL="0" distR="0" allowOverlap="1" layoutInCell="1" locked="0" behindDoc="1" simplePos="0" relativeHeight="479455232">
                <wp:simplePos x="0" y="0"/>
                <wp:positionH relativeFrom="page">
                  <wp:posOffset>2522748</wp:posOffset>
                </wp:positionH>
                <wp:positionV relativeFrom="paragraph">
                  <wp:posOffset>2261167</wp:posOffset>
                </wp:positionV>
                <wp:extent cx="268605" cy="88900"/>
                <wp:effectExtent l="0" t="0" r="0" b="0"/>
                <wp:wrapNone/>
                <wp:docPr id="2123" name="Textbox 2123"/>
                <wp:cNvGraphicFramePr>
                  <a:graphicFrameLocks/>
                </wp:cNvGraphicFramePr>
                <a:graphic>
                  <a:graphicData uri="http://schemas.microsoft.com/office/word/2010/wordprocessingShape">
                    <wps:wsp>
                      <wps:cNvPr id="2123" name="Textbox 2123"/>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1995-</w:t>
                            </w:r>
                            <w:r>
                              <w:rPr>
                                <w:rFonts w:ascii="Arial MT"/>
                                <w:spacing w:val="-5"/>
                                <w:w w:val="90"/>
                                <w:position w:val="1"/>
                                <w:sz w:val="14"/>
                              </w:rPr>
                              <w:t>96</w:t>
                            </w:r>
                          </w:p>
                        </w:txbxContent>
                      </wps:txbx>
                      <wps:bodyPr wrap="square" lIns="0" tIns="0" rIns="0" bIns="0" rtlCol="0">
                        <a:noAutofit/>
                      </wps:bodyPr>
                    </wps:wsp>
                  </a:graphicData>
                </a:graphic>
              </wp:anchor>
            </w:drawing>
          </mc:Choice>
          <mc:Fallback>
            <w:pict>
              <v:shape style="position:absolute;margin-left:198.641617pt;margin-top:178.044678pt;width:21.15pt;height:7pt;mso-position-horizontal-relative:page;mso-position-vertical-relative:paragraph;z-index:-23861248;rotation:331" type="#_x0000_t136" fillcolor="#000000" stroked="f">
                <o:extrusion v:ext="view" autorotationcenter="t"/>
                <v:textpath style="font-family:&quot;Arial MT&quot;;font-size:7pt;v-text-kern:t;mso-text-shadow:auto" string="1995-96"/>
                <w10:wrap type="none"/>
              </v:shape>
            </w:pict>
          </mc:Fallback>
        </mc:AlternateContent>
      </w:r>
      <w:r>
        <w:rPr/>
        <mc:AlternateContent>
          <mc:Choice Requires="wps">
            <w:drawing>
              <wp:anchor distT="0" distB="0" distL="0" distR="0" allowOverlap="1" layoutInCell="1" locked="0" behindDoc="1" simplePos="0" relativeHeight="479455744">
                <wp:simplePos x="0" y="0"/>
                <wp:positionH relativeFrom="page">
                  <wp:posOffset>2825995</wp:posOffset>
                </wp:positionH>
                <wp:positionV relativeFrom="paragraph">
                  <wp:posOffset>2261167</wp:posOffset>
                </wp:positionV>
                <wp:extent cx="268605" cy="88900"/>
                <wp:effectExtent l="0" t="0" r="0" b="0"/>
                <wp:wrapNone/>
                <wp:docPr id="2124" name="Textbox 2124"/>
                <wp:cNvGraphicFramePr>
                  <a:graphicFrameLocks/>
                </wp:cNvGraphicFramePr>
                <a:graphic>
                  <a:graphicData uri="http://schemas.microsoft.com/office/word/2010/wordprocessingShape">
                    <wps:wsp>
                      <wps:cNvPr id="2124" name="Textbox 2124"/>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1996-</w:t>
                            </w:r>
                            <w:r>
                              <w:rPr>
                                <w:rFonts w:ascii="Arial MT"/>
                                <w:spacing w:val="-5"/>
                                <w:w w:val="90"/>
                                <w:position w:val="1"/>
                                <w:sz w:val="14"/>
                              </w:rPr>
                              <w:t>97</w:t>
                            </w:r>
                          </w:p>
                        </w:txbxContent>
                      </wps:txbx>
                      <wps:bodyPr wrap="square" lIns="0" tIns="0" rIns="0" bIns="0" rtlCol="0">
                        <a:noAutofit/>
                      </wps:bodyPr>
                    </wps:wsp>
                  </a:graphicData>
                </a:graphic>
              </wp:anchor>
            </w:drawing>
          </mc:Choice>
          <mc:Fallback>
            <w:pict>
              <v:shape style="position:absolute;margin-left:222.519333pt;margin-top:178.044678pt;width:21.15pt;height:7pt;mso-position-horizontal-relative:page;mso-position-vertical-relative:paragraph;z-index:-23860736;rotation:331" type="#_x0000_t136" fillcolor="#000000" stroked="f">
                <o:extrusion v:ext="view" autorotationcenter="t"/>
                <v:textpath style="font-family:&quot;Arial MT&quot;;font-size:7pt;v-text-kern:t;mso-text-shadow:auto" string="1996-97"/>
                <w10:wrap type="none"/>
              </v:shape>
            </w:pict>
          </mc:Fallback>
        </mc:AlternateContent>
      </w:r>
      <w:r>
        <w:rPr/>
        <mc:AlternateContent>
          <mc:Choice Requires="wps">
            <w:drawing>
              <wp:anchor distT="0" distB="0" distL="0" distR="0" allowOverlap="1" layoutInCell="1" locked="0" behindDoc="1" simplePos="0" relativeHeight="479456256">
                <wp:simplePos x="0" y="0"/>
                <wp:positionH relativeFrom="page">
                  <wp:posOffset>3129241</wp:posOffset>
                </wp:positionH>
                <wp:positionV relativeFrom="paragraph">
                  <wp:posOffset>2261167</wp:posOffset>
                </wp:positionV>
                <wp:extent cx="268605" cy="88900"/>
                <wp:effectExtent l="0" t="0" r="0" b="0"/>
                <wp:wrapNone/>
                <wp:docPr id="2125" name="Textbox 2125"/>
                <wp:cNvGraphicFramePr>
                  <a:graphicFrameLocks/>
                </wp:cNvGraphicFramePr>
                <a:graphic>
                  <a:graphicData uri="http://schemas.microsoft.com/office/word/2010/wordprocessingShape">
                    <wps:wsp>
                      <wps:cNvPr id="2125" name="Textbox 2125"/>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1997-</w:t>
                            </w:r>
                            <w:r>
                              <w:rPr>
                                <w:rFonts w:ascii="Arial MT"/>
                                <w:spacing w:val="-5"/>
                                <w:w w:val="90"/>
                                <w:position w:val="1"/>
                                <w:sz w:val="14"/>
                              </w:rPr>
                              <w:t>98</w:t>
                            </w:r>
                          </w:p>
                        </w:txbxContent>
                      </wps:txbx>
                      <wps:bodyPr wrap="square" lIns="0" tIns="0" rIns="0" bIns="0" rtlCol="0">
                        <a:noAutofit/>
                      </wps:bodyPr>
                    </wps:wsp>
                  </a:graphicData>
                </a:graphic>
              </wp:anchor>
            </w:drawing>
          </mc:Choice>
          <mc:Fallback>
            <w:pict>
              <v:shape style="position:absolute;margin-left:246.396942pt;margin-top:178.044647pt;width:21.15pt;height:7pt;mso-position-horizontal-relative:page;mso-position-vertical-relative:paragraph;z-index:-23860224;rotation:331" type="#_x0000_t136" fillcolor="#000000" stroked="f">
                <o:extrusion v:ext="view" autorotationcenter="t"/>
                <v:textpath style="font-family:&quot;Arial MT&quot;;font-size:7pt;v-text-kern:t;mso-text-shadow:auto" string="1997-98"/>
                <w10:wrap type="none"/>
              </v:shape>
            </w:pict>
          </mc:Fallback>
        </mc:AlternateContent>
      </w:r>
      <w:r>
        <w:rPr/>
        <mc:AlternateContent>
          <mc:Choice Requires="wps">
            <w:drawing>
              <wp:anchor distT="0" distB="0" distL="0" distR="0" allowOverlap="1" layoutInCell="1" locked="0" behindDoc="1" simplePos="0" relativeHeight="479456768">
                <wp:simplePos x="0" y="0"/>
                <wp:positionH relativeFrom="page">
                  <wp:posOffset>3432487</wp:posOffset>
                </wp:positionH>
                <wp:positionV relativeFrom="paragraph">
                  <wp:posOffset>2261167</wp:posOffset>
                </wp:positionV>
                <wp:extent cx="268605" cy="88900"/>
                <wp:effectExtent l="0" t="0" r="0" b="0"/>
                <wp:wrapNone/>
                <wp:docPr id="2126" name="Textbox 2126"/>
                <wp:cNvGraphicFramePr>
                  <a:graphicFrameLocks/>
                </wp:cNvGraphicFramePr>
                <a:graphic>
                  <a:graphicData uri="http://schemas.microsoft.com/office/word/2010/wordprocessingShape">
                    <wps:wsp>
                      <wps:cNvPr id="2126" name="Textbox 2126"/>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1998-</w:t>
                            </w:r>
                            <w:r>
                              <w:rPr>
                                <w:rFonts w:ascii="Arial MT"/>
                                <w:spacing w:val="-5"/>
                                <w:w w:val="90"/>
                                <w:position w:val="1"/>
                                <w:sz w:val="14"/>
                              </w:rPr>
                              <w:t>99</w:t>
                            </w:r>
                          </w:p>
                        </w:txbxContent>
                      </wps:txbx>
                      <wps:bodyPr wrap="square" lIns="0" tIns="0" rIns="0" bIns="0" rtlCol="0">
                        <a:noAutofit/>
                      </wps:bodyPr>
                    </wps:wsp>
                  </a:graphicData>
                </a:graphic>
              </wp:anchor>
            </w:drawing>
          </mc:Choice>
          <mc:Fallback>
            <w:pict>
              <v:shape style="position:absolute;margin-left:270.274597pt;margin-top:178.044693pt;width:21.15pt;height:7pt;mso-position-horizontal-relative:page;mso-position-vertical-relative:paragraph;z-index:-23859712;rotation:331" type="#_x0000_t136" fillcolor="#000000" stroked="f">
                <o:extrusion v:ext="view" autorotationcenter="t"/>
                <v:textpath style="font-family:&quot;Arial MT&quot;;font-size:7pt;v-text-kern:t;mso-text-shadow:auto" string="1998-99"/>
                <w10:wrap type="none"/>
              </v:shape>
            </w:pict>
          </mc:Fallback>
        </mc:AlternateContent>
      </w:r>
      <w:r>
        <w:rPr/>
        <mc:AlternateContent>
          <mc:Choice Requires="wps">
            <w:drawing>
              <wp:anchor distT="0" distB="0" distL="0" distR="0" allowOverlap="1" layoutInCell="1" locked="0" behindDoc="1" simplePos="0" relativeHeight="479457280">
                <wp:simplePos x="0" y="0"/>
                <wp:positionH relativeFrom="page">
                  <wp:posOffset>3730781</wp:posOffset>
                </wp:positionH>
                <wp:positionV relativeFrom="paragraph">
                  <wp:posOffset>2281956</wp:posOffset>
                </wp:positionV>
                <wp:extent cx="350520" cy="88900"/>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rot="19860000">
                          <a:off x="0" y="0"/>
                          <a:ext cx="350520" cy="88900"/>
                        </a:xfrm>
                        <a:prstGeom prst="rect">
                          <a:avLst/>
                        </a:prstGeom>
                      </wps:spPr>
                      <wps:txbx>
                        <w:txbxContent>
                          <w:p>
                            <w:pPr>
                              <w:spacing w:line="140" w:lineRule="exact" w:before="0"/>
                              <w:ind w:left="0" w:right="0" w:firstLine="0"/>
                              <w:jc w:val="left"/>
                              <w:rPr>
                                <w:rFonts w:ascii="Arial MT"/>
                                <w:sz w:val="14"/>
                              </w:rPr>
                            </w:pPr>
                            <w:r>
                              <w:rPr>
                                <w:rFonts w:ascii="Arial MT"/>
                                <w:w w:val="80"/>
                                <w:sz w:val="14"/>
                              </w:rPr>
                              <w:t>1999-</w:t>
                            </w:r>
                            <w:r>
                              <w:rPr>
                                <w:rFonts w:ascii="Arial MT"/>
                                <w:spacing w:val="-4"/>
                                <w:w w:val="80"/>
                                <w:sz w:val="14"/>
                              </w:rPr>
                              <w:t>2000</w:t>
                            </w:r>
                          </w:p>
                        </w:txbxContent>
                      </wps:txbx>
                      <wps:bodyPr wrap="square" lIns="0" tIns="0" rIns="0" bIns="0" rtlCol="0">
                        <a:noAutofit/>
                      </wps:bodyPr>
                    </wps:wsp>
                  </a:graphicData>
                </a:graphic>
              </wp:anchor>
            </w:drawing>
          </mc:Choice>
          <mc:Fallback>
            <w:pict>
              <v:shape style="position:absolute;margin-left:293.762299pt;margin-top:179.68158pt;width:27.6pt;height:7pt;mso-position-horizontal-relative:page;mso-position-vertical-relative:paragraph;z-index:-23859200;rotation:331" type="#_x0000_t136" fillcolor="#000000" stroked="f">
                <o:extrusion v:ext="view" autorotationcenter="t"/>
                <v:textpath style="font-family:&quot;Arial MT&quot;;font-size:7pt;v-text-kern:t;mso-text-shadow:auto" string="1999-2000"/>
                <w10:wrap type="none"/>
              </v:shape>
            </w:pict>
          </mc:Fallback>
        </mc:AlternateContent>
      </w:r>
      <w:r>
        <w:rPr/>
        <mc:AlternateContent>
          <mc:Choice Requires="wps">
            <w:drawing>
              <wp:anchor distT="0" distB="0" distL="0" distR="0" allowOverlap="1" layoutInCell="1" locked="0" behindDoc="1" simplePos="0" relativeHeight="479457792">
                <wp:simplePos x="0" y="0"/>
                <wp:positionH relativeFrom="page">
                  <wp:posOffset>4038980</wp:posOffset>
                </wp:positionH>
                <wp:positionV relativeFrom="paragraph">
                  <wp:posOffset>2261167</wp:posOffset>
                </wp:positionV>
                <wp:extent cx="268605" cy="88900"/>
                <wp:effectExtent l="0" t="0" r="0" b="0"/>
                <wp:wrapNone/>
                <wp:docPr id="2128" name="Textbox 2128"/>
                <wp:cNvGraphicFramePr>
                  <a:graphicFrameLocks/>
                </wp:cNvGraphicFramePr>
                <a:graphic>
                  <a:graphicData uri="http://schemas.microsoft.com/office/word/2010/wordprocessingShape">
                    <wps:wsp>
                      <wps:cNvPr id="2128" name="Textbox 2128"/>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2000-</w:t>
                            </w:r>
                            <w:r>
                              <w:rPr>
                                <w:rFonts w:ascii="Arial MT"/>
                                <w:spacing w:val="-5"/>
                                <w:w w:val="90"/>
                                <w:position w:val="1"/>
                                <w:sz w:val="14"/>
                              </w:rPr>
                              <w:t>01</w:t>
                            </w:r>
                          </w:p>
                        </w:txbxContent>
                      </wps:txbx>
                      <wps:bodyPr wrap="square" lIns="0" tIns="0" rIns="0" bIns="0" rtlCol="0">
                        <a:noAutofit/>
                      </wps:bodyPr>
                    </wps:wsp>
                  </a:graphicData>
                </a:graphic>
              </wp:anchor>
            </w:drawing>
          </mc:Choice>
          <mc:Fallback>
            <w:pict>
              <v:shape style="position:absolute;margin-left:318.029938pt;margin-top:178.044662pt;width:21.15pt;height:7pt;mso-position-horizontal-relative:page;mso-position-vertical-relative:paragraph;z-index:-23858688;rotation:331" type="#_x0000_t136" fillcolor="#000000" stroked="f">
                <o:extrusion v:ext="view" autorotationcenter="t"/>
                <v:textpath style="font-family:&quot;Arial MT&quot;;font-size:7pt;v-text-kern:t;mso-text-shadow:auto" string="2000-01"/>
                <w10:wrap type="none"/>
              </v:shape>
            </w:pict>
          </mc:Fallback>
        </mc:AlternateContent>
      </w:r>
      <w:r>
        <w:rPr/>
        <mc:AlternateContent>
          <mc:Choice Requires="wps">
            <w:drawing>
              <wp:anchor distT="0" distB="0" distL="0" distR="0" allowOverlap="1" layoutInCell="1" locked="0" behindDoc="1" simplePos="0" relativeHeight="479458304">
                <wp:simplePos x="0" y="0"/>
                <wp:positionH relativeFrom="page">
                  <wp:posOffset>4342225</wp:posOffset>
                </wp:positionH>
                <wp:positionV relativeFrom="paragraph">
                  <wp:posOffset>2261166</wp:posOffset>
                </wp:positionV>
                <wp:extent cx="268605" cy="88900"/>
                <wp:effectExtent l="0" t="0" r="0" b="0"/>
                <wp:wrapNone/>
                <wp:docPr id="2129" name="Textbox 2129"/>
                <wp:cNvGraphicFramePr>
                  <a:graphicFrameLocks/>
                </wp:cNvGraphicFramePr>
                <a:graphic>
                  <a:graphicData uri="http://schemas.microsoft.com/office/word/2010/wordprocessingShape">
                    <wps:wsp>
                      <wps:cNvPr id="2129" name="Textbox 2129"/>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2001-</w:t>
                            </w:r>
                            <w:r>
                              <w:rPr>
                                <w:rFonts w:ascii="Arial MT"/>
                                <w:spacing w:val="-5"/>
                                <w:w w:val="90"/>
                                <w:position w:val="1"/>
                                <w:sz w:val="14"/>
                              </w:rPr>
                              <w:t>02</w:t>
                            </w:r>
                          </w:p>
                        </w:txbxContent>
                      </wps:txbx>
                      <wps:bodyPr wrap="square" lIns="0" tIns="0" rIns="0" bIns="0" rtlCol="0">
                        <a:noAutofit/>
                      </wps:bodyPr>
                    </wps:wsp>
                  </a:graphicData>
                </a:graphic>
              </wp:anchor>
            </w:drawing>
          </mc:Choice>
          <mc:Fallback>
            <w:pict>
              <v:shape style="position:absolute;margin-left:341.907532pt;margin-top:178.044632pt;width:21.15pt;height:7pt;mso-position-horizontal-relative:page;mso-position-vertical-relative:paragraph;z-index:-23858176;rotation:331" type="#_x0000_t136" fillcolor="#000000" stroked="f">
                <o:extrusion v:ext="view" autorotationcenter="t"/>
                <v:textpath style="font-family:&quot;Arial MT&quot;;font-size:7pt;v-text-kern:t;mso-text-shadow:auto" string="2001-02"/>
                <w10:wrap type="none"/>
              </v:shape>
            </w:pict>
          </mc:Fallback>
        </mc:AlternateContent>
      </w:r>
      <w:r>
        <w:rPr/>
        <mc:AlternateContent>
          <mc:Choice Requires="wps">
            <w:drawing>
              <wp:anchor distT="0" distB="0" distL="0" distR="0" allowOverlap="1" layoutInCell="1" locked="0" behindDoc="1" simplePos="0" relativeHeight="479458816">
                <wp:simplePos x="0" y="0"/>
                <wp:positionH relativeFrom="page">
                  <wp:posOffset>4645471</wp:posOffset>
                </wp:positionH>
                <wp:positionV relativeFrom="paragraph">
                  <wp:posOffset>2261167</wp:posOffset>
                </wp:positionV>
                <wp:extent cx="268605" cy="88900"/>
                <wp:effectExtent l="0" t="0" r="0" b="0"/>
                <wp:wrapNone/>
                <wp:docPr id="2130" name="Textbox 2130"/>
                <wp:cNvGraphicFramePr>
                  <a:graphicFrameLocks/>
                </wp:cNvGraphicFramePr>
                <a:graphic>
                  <a:graphicData uri="http://schemas.microsoft.com/office/word/2010/wordprocessingShape">
                    <wps:wsp>
                      <wps:cNvPr id="2130" name="Textbox 2130"/>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2002-</w:t>
                            </w:r>
                            <w:r>
                              <w:rPr>
                                <w:rFonts w:ascii="Arial MT"/>
                                <w:spacing w:val="-5"/>
                                <w:w w:val="90"/>
                                <w:position w:val="1"/>
                                <w:sz w:val="14"/>
                              </w:rPr>
                              <w:t>03</w:t>
                            </w:r>
                          </w:p>
                        </w:txbxContent>
                      </wps:txbx>
                      <wps:bodyPr wrap="square" lIns="0" tIns="0" rIns="0" bIns="0" rtlCol="0">
                        <a:noAutofit/>
                      </wps:bodyPr>
                    </wps:wsp>
                  </a:graphicData>
                </a:graphic>
              </wp:anchor>
            </w:drawing>
          </mc:Choice>
          <mc:Fallback>
            <w:pict>
              <v:shape style="position:absolute;margin-left:365.785187pt;margin-top:178.044678pt;width:21.15pt;height:7pt;mso-position-horizontal-relative:page;mso-position-vertical-relative:paragraph;z-index:-23857664;rotation:331" type="#_x0000_t136" fillcolor="#000000" stroked="f">
                <o:extrusion v:ext="view" autorotationcenter="t"/>
                <v:textpath style="font-family:&quot;Arial MT&quot;;font-size:7pt;v-text-kern:t;mso-text-shadow:auto" string="2002-03"/>
                <w10:wrap type="none"/>
              </v:shape>
            </w:pict>
          </mc:Fallback>
        </mc:AlternateContent>
      </w:r>
      <w:r>
        <w:rPr/>
        <mc:AlternateContent>
          <mc:Choice Requires="wps">
            <w:drawing>
              <wp:anchor distT="0" distB="0" distL="0" distR="0" allowOverlap="1" layoutInCell="1" locked="0" behindDoc="1" simplePos="0" relativeHeight="479459328">
                <wp:simplePos x="0" y="0"/>
                <wp:positionH relativeFrom="page">
                  <wp:posOffset>4948717</wp:posOffset>
                </wp:positionH>
                <wp:positionV relativeFrom="paragraph">
                  <wp:posOffset>2261167</wp:posOffset>
                </wp:positionV>
                <wp:extent cx="268605" cy="88900"/>
                <wp:effectExtent l="0" t="0" r="0" b="0"/>
                <wp:wrapNone/>
                <wp:docPr id="2131" name="Textbox 2131"/>
                <wp:cNvGraphicFramePr>
                  <a:graphicFrameLocks/>
                </wp:cNvGraphicFramePr>
                <a:graphic>
                  <a:graphicData uri="http://schemas.microsoft.com/office/word/2010/wordprocessingShape">
                    <wps:wsp>
                      <wps:cNvPr id="2131" name="Textbox 2131"/>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2003-</w:t>
                            </w:r>
                            <w:r>
                              <w:rPr>
                                <w:rFonts w:ascii="Arial MT"/>
                                <w:spacing w:val="-5"/>
                                <w:w w:val="90"/>
                                <w:position w:val="1"/>
                                <w:sz w:val="14"/>
                              </w:rPr>
                              <w:t>04</w:t>
                            </w:r>
                          </w:p>
                        </w:txbxContent>
                      </wps:txbx>
                      <wps:bodyPr wrap="square" lIns="0" tIns="0" rIns="0" bIns="0" rtlCol="0">
                        <a:noAutofit/>
                      </wps:bodyPr>
                    </wps:wsp>
                  </a:graphicData>
                </a:graphic>
              </wp:anchor>
            </w:drawing>
          </mc:Choice>
          <mc:Fallback>
            <w:pict>
              <v:shape style="position:absolute;margin-left:389.662811pt;margin-top:178.044647pt;width:21.15pt;height:7pt;mso-position-horizontal-relative:page;mso-position-vertical-relative:paragraph;z-index:-23857152;rotation:331" type="#_x0000_t136" fillcolor="#000000" stroked="f">
                <o:extrusion v:ext="view" autorotationcenter="t"/>
                <v:textpath style="font-family:&quot;Arial MT&quot;;font-size:7pt;v-text-kern:t;mso-text-shadow:auto" string="2003-04"/>
                <w10:wrap type="none"/>
              </v:shape>
            </w:pict>
          </mc:Fallback>
        </mc:AlternateContent>
      </w:r>
      <w:r>
        <w:rPr/>
        <mc:AlternateContent>
          <mc:Choice Requires="wps">
            <w:drawing>
              <wp:anchor distT="0" distB="0" distL="0" distR="0" allowOverlap="1" layoutInCell="1" locked="0" behindDoc="1" simplePos="0" relativeHeight="479459840">
                <wp:simplePos x="0" y="0"/>
                <wp:positionH relativeFrom="page">
                  <wp:posOffset>5251964</wp:posOffset>
                </wp:positionH>
                <wp:positionV relativeFrom="paragraph">
                  <wp:posOffset>2261167</wp:posOffset>
                </wp:positionV>
                <wp:extent cx="268605" cy="88900"/>
                <wp:effectExtent l="0" t="0" r="0" b="0"/>
                <wp:wrapNone/>
                <wp:docPr id="2132" name="Textbox 2132"/>
                <wp:cNvGraphicFramePr>
                  <a:graphicFrameLocks/>
                </wp:cNvGraphicFramePr>
                <a:graphic>
                  <a:graphicData uri="http://schemas.microsoft.com/office/word/2010/wordprocessingShape">
                    <wps:wsp>
                      <wps:cNvPr id="2132" name="Textbox 2132"/>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2004-</w:t>
                            </w:r>
                            <w:r>
                              <w:rPr>
                                <w:rFonts w:ascii="Arial MT"/>
                                <w:spacing w:val="-5"/>
                                <w:w w:val="90"/>
                                <w:position w:val="1"/>
                                <w:sz w:val="14"/>
                              </w:rPr>
                              <w:t>05</w:t>
                            </w:r>
                          </w:p>
                        </w:txbxContent>
                      </wps:txbx>
                      <wps:bodyPr wrap="square" lIns="0" tIns="0" rIns="0" bIns="0" rtlCol="0">
                        <a:noAutofit/>
                      </wps:bodyPr>
                    </wps:wsp>
                  </a:graphicData>
                </a:graphic>
              </wp:anchor>
            </w:drawing>
          </mc:Choice>
          <mc:Fallback>
            <w:pict>
              <v:shape style="position:absolute;margin-left:413.540527pt;margin-top:178.044647pt;width:21.15pt;height:7pt;mso-position-horizontal-relative:page;mso-position-vertical-relative:paragraph;z-index:-23856640;rotation:331" type="#_x0000_t136" fillcolor="#000000" stroked="f">
                <o:extrusion v:ext="view" autorotationcenter="t"/>
                <v:textpath style="font-family:&quot;Arial MT&quot;;font-size:7pt;v-text-kern:t;mso-text-shadow:auto" string="2004-05"/>
                <w10:wrap type="none"/>
              </v:shape>
            </w:pict>
          </mc:Fallback>
        </mc:AlternateContent>
      </w:r>
      <w:r>
        <w:rPr/>
        <mc:AlternateContent>
          <mc:Choice Requires="wps">
            <w:drawing>
              <wp:anchor distT="0" distB="0" distL="0" distR="0" allowOverlap="1" layoutInCell="1" locked="0" behindDoc="1" simplePos="0" relativeHeight="479460352">
                <wp:simplePos x="0" y="0"/>
                <wp:positionH relativeFrom="page">
                  <wp:posOffset>5555210</wp:posOffset>
                </wp:positionH>
                <wp:positionV relativeFrom="paragraph">
                  <wp:posOffset>2261166</wp:posOffset>
                </wp:positionV>
                <wp:extent cx="268605" cy="88900"/>
                <wp:effectExtent l="0" t="0" r="0" b="0"/>
                <wp:wrapNone/>
                <wp:docPr id="2133" name="Textbox 2133"/>
                <wp:cNvGraphicFramePr>
                  <a:graphicFrameLocks/>
                </wp:cNvGraphicFramePr>
                <a:graphic>
                  <a:graphicData uri="http://schemas.microsoft.com/office/word/2010/wordprocessingShape">
                    <wps:wsp>
                      <wps:cNvPr id="2133" name="Textbox 2133"/>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2005-</w:t>
                            </w:r>
                            <w:r>
                              <w:rPr>
                                <w:rFonts w:ascii="Arial MT"/>
                                <w:spacing w:val="-5"/>
                                <w:w w:val="90"/>
                                <w:position w:val="1"/>
                                <w:sz w:val="14"/>
                              </w:rPr>
                              <w:t>06</w:t>
                            </w:r>
                          </w:p>
                        </w:txbxContent>
                      </wps:txbx>
                      <wps:bodyPr wrap="square" lIns="0" tIns="0" rIns="0" bIns="0" rtlCol="0">
                        <a:noAutofit/>
                      </wps:bodyPr>
                    </wps:wsp>
                  </a:graphicData>
                </a:graphic>
              </wp:anchor>
            </w:drawing>
          </mc:Choice>
          <mc:Fallback>
            <w:pict>
              <v:shape style="position:absolute;margin-left:437.418121pt;margin-top:178.044632pt;width:21.15pt;height:7pt;mso-position-horizontal-relative:page;mso-position-vertical-relative:paragraph;z-index:-23856128;rotation:331" type="#_x0000_t136" fillcolor="#000000" stroked="f">
                <o:extrusion v:ext="view" autorotationcenter="t"/>
                <v:textpath style="font-family:&quot;Arial MT&quot;;font-size:7pt;v-text-kern:t;mso-text-shadow:auto" string="2005-06"/>
                <w10:wrap type="none"/>
              </v:shape>
            </w:pict>
          </mc:Fallback>
        </mc:AlternateContent>
      </w:r>
      <w:r>
        <w:rPr/>
        <mc:AlternateContent>
          <mc:Choice Requires="wps">
            <w:drawing>
              <wp:anchor distT="0" distB="0" distL="0" distR="0" allowOverlap="1" layoutInCell="1" locked="0" behindDoc="1" simplePos="0" relativeHeight="479460864">
                <wp:simplePos x="0" y="0"/>
                <wp:positionH relativeFrom="page">
                  <wp:posOffset>5858456</wp:posOffset>
                </wp:positionH>
                <wp:positionV relativeFrom="paragraph">
                  <wp:posOffset>2261167</wp:posOffset>
                </wp:positionV>
                <wp:extent cx="268605" cy="88900"/>
                <wp:effectExtent l="0" t="0" r="0" b="0"/>
                <wp:wrapNone/>
                <wp:docPr id="2134" name="Textbox 2134"/>
                <wp:cNvGraphicFramePr>
                  <a:graphicFrameLocks/>
                </wp:cNvGraphicFramePr>
                <a:graphic>
                  <a:graphicData uri="http://schemas.microsoft.com/office/word/2010/wordprocessingShape">
                    <wps:wsp>
                      <wps:cNvPr id="2134" name="Textbox 2134"/>
                      <wps:cNvSpPr txBox="1"/>
                      <wps:spPr>
                        <a:xfrm rot="19860000">
                          <a:off x="0" y="0"/>
                          <a:ext cx="26860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2006-</w:t>
                            </w:r>
                            <w:r>
                              <w:rPr>
                                <w:rFonts w:ascii="Arial MT"/>
                                <w:spacing w:val="-5"/>
                                <w:w w:val="90"/>
                                <w:position w:val="1"/>
                                <w:sz w:val="14"/>
                              </w:rPr>
                              <w:t>07</w:t>
                            </w:r>
                          </w:p>
                        </w:txbxContent>
                      </wps:txbx>
                      <wps:bodyPr wrap="square" lIns="0" tIns="0" rIns="0" bIns="0" rtlCol="0">
                        <a:noAutofit/>
                      </wps:bodyPr>
                    </wps:wsp>
                  </a:graphicData>
                </a:graphic>
              </wp:anchor>
            </w:drawing>
          </mc:Choice>
          <mc:Fallback>
            <w:pict>
              <v:shape style="position:absolute;margin-left:461.295776pt;margin-top:178.044662pt;width:21.15pt;height:7pt;mso-position-horizontal-relative:page;mso-position-vertical-relative:paragraph;z-index:-23855616;rotation:331" type="#_x0000_t136" fillcolor="#000000" stroked="f">
                <o:extrusion v:ext="view" autorotationcenter="t"/>
                <v:textpath style="font-family:&quot;Arial MT&quot;;font-size:7pt;v-text-kern:t;mso-text-shadow:auto" string="2006-07"/>
                <w10:wrap type="none"/>
              </v:shape>
            </w:pict>
          </mc:Fallback>
        </mc:AlternateContent>
      </w:r>
      <w:r>
        <w:rPr>
          <w:w w:val="90"/>
        </w:rPr>
        <w:t>Figure</w:t>
      </w:r>
      <w:r>
        <w:rPr>
          <w:spacing w:val="4"/>
        </w:rPr>
        <w:t> </w:t>
      </w:r>
      <w:r>
        <w:rPr>
          <w:w w:val="90"/>
        </w:rPr>
        <w:t>53:</w:t>
      </w:r>
      <w:r>
        <w:rPr>
          <w:spacing w:val="4"/>
        </w:rPr>
        <w:t> </w:t>
      </w:r>
      <w:r>
        <w:rPr>
          <w:color w:val="2E614A"/>
          <w:w w:val="90"/>
        </w:rPr>
        <w:t>Applications</w:t>
      </w:r>
      <w:r>
        <w:rPr>
          <w:color w:val="2E614A"/>
          <w:spacing w:val="5"/>
        </w:rPr>
        <w:t> </w:t>
      </w:r>
      <w:r>
        <w:rPr>
          <w:color w:val="2E614A"/>
          <w:w w:val="90"/>
        </w:rPr>
        <w:t>filed</w:t>
      </w:r>
      <w:r>
        <w:rPr>
          <w:color w:val="2E614A"/>
          <w:spacing w:val="4"/>
        </w:rPr>
        <w:t> </w:t>
      </w:r>
      <w:r>
        <w:rPr>
          <w:color w:val="2E614A"/>
          <w:w w:val="90"/>
        </w:rPr>
        <w:t>by</w:t>
      </w:r>
      <w:r>
        <w:rPr>
          <w:color w:val="2E614A"/>
          <w:spacing w:val="5"/>
        </w:rPr>
        <w:t> </w:t>
      </w:r>
      <w:r>
        <w:rPr>
          <w:color w:val="2E614A"/>
          <w:w w:val="90"/>
        </w:rPr>
        <w:t>Indians</w:t>
      </w:r>
      <w:r>
        <w:rPr>
          <w:color w:val="2E614A"/>
          <w:spacing w:val="4"/>
        </w:rPr>
        <w:t> </w:t>
      </w:r>
      <w:r>
        <w:rPr>
          <w:color w:val="2E614A"/>
          <w:w w:val="90"/>
        </w:rPr>
        <w:t>and</w:t>
      </w:r>
      <w:r>
        <w:rPr>
          <w:color w:val="2E614A"/>
          <w:spacing w:val="5"/>
        </w:rPr>
        <w:t> </w:t>
      </w:r>
      <w:r>
        <w:rPr>
          <w:color w:val="2E614A"/>
          <w:spacing w:val="-2"/>
          <w:w w:val="90"/>
        </w:rPr>
        <w:t>Foreigners</w:t>
      </w:r>
    </w:p>
    <w:p>
      <w:pPr>
        <w:pStyle w:val="BodyText"/>
        <w:spacing w:before="6"/>
        <w:rPr>
          <w:b/>
          <w:sz w:val="11"/>
        </w:rPr>
      </w:pPr>
      <w:r>
        <w:rPr/>
        <mc:AlternateContent>
          <mc:Choice Requires="wps">
            <w:drawing>
              <wp:anchor distT="0" distB="0" distL="0" distR="0" allowOverlap="1" layoutInCell="1" locked="0" behindDoc="1" simplePos="0" relativeHeight="487734784">
                <wp:simplePos x="0" y="0"/>
                <wp:positionH relativeFrom="page">
                  <wp:posOffset>1263599</wp:posOffset>
                </wp:positionH>
                <wp:positionV relativeFrom="paragraph">
                  <wp:posOffset>99507</wp:posOffset>
                </wp:positionV>
                <wp:extent cx="5045710" cy="2178050"/>
                <wp:effectExtent l="0" t="0" r="0" b="0"/>
                <wp:wrapTopAndBottom/>
                <wp:docPr id="2135" name="Group 2135"/>
                <wp:cNvGraphicFramePr>
                  <a:graphicFrameLocks/>
                </wp:cNvGraphicFramePr>
                <a:graphic>
                  <a:graphicData uri="http://schemas.microsoft.com/office/word/2010/wordprocessingGroup">
                    <wpg:wgp>
                      <wpg:cNvPr id="2135" name="Group 2135"/>
                      <wpg:cNvGrpSpPr/>
                      <wpg:grpSpPr>
                        <a:xfrm>
                          <a:off x="0" y="0"/>
                          <a:ext cx="5045710" cy="2178050"/>
                          <a:chExt cx="5045710" cy="2178050"/>
                        </a:xfrm>
                      </wpg:grpSpPr>
                      <wps:wsp>
                        <wps:cNvPr id="2136" name="Graphic 2136"/>
                        <wps:cNvSpPr/>
                        <wps:spPr>
                          <a:xfrm>
                            <a:off x="463295" y="1528647"/>
                            <a:ext cx="4329430" cy="309245"/>
                          </a:xfrm>
                          <a:custGeom>
                            <a:avLst/>
                            <a:gdLst/>
                            <a:ahLst/>
                            <a:cxnLst/>
                            <a:rect l="l" t="t" r="r" b="b"/>
                            <a:pathLst>
                              <a:path w="4329430" h="309245">
                                <a:moveTo>
                                  <a:pt x="90919" y="241211"/>
                                </a:moveTo>
                                <a:lnTo>
                                  <a:pt x="0" y="241211"/>
                                </a:lnTo>
                                <a:lnTo>
                                  <a:pt x="0" y="309067"/>
                                </a:lnTo>
                                <a:lnTo>
                                  <a:pt x="90919" y="309067"/>
                                </a:lnTo>
                                <a:lnTo>
                                  <a:pt x="90919" y="241211"/>
                                </a:lnTo>
                                <a:close/>
                              </a:path>
                              <a:path w="4329430" h="309245">
                                <a:moveTo>
                                  <a:pt x="391655" y="233680"/>
                                </a:moveTo>
                                <a:lnTo>
                                  <a:pt x="300736" y="233680"/>
                                </a:lnTo>
                                <a:lnTo>
                                  <a:pt x="300736" y="309067"/>
                                </a:lnTo>
                                <a:lnTo>
                                  <a:pt x="391655" y="309067"/>
                                </a:lnTo>
                                <a:lnTo>
                                  <a:pt x="391655" y="233680"/>
                                </a:lnTo>
                                <a:close/>
                              </a:path>
                              <a:path w="4329430" h="309245">
                                <a:moveTo>
                                  <a:pt x="699376" y="211061"/>
                                </a:moveTo>
                                <a:lnTo>
                                  <a:pt x="608457" y="211061"/>
                                </a:lnTo>
                                <a:lnTo>
                                  <a:pt x="608457" y="309067"/>
                                </a:lnTo>
                                <a:lnTo>
                                  <a:pt x="699376" y="309067"/>
                                </a:lnTo>
                                <a:lnTo>
                                  <a:pt x="699376" y="211061"/>
                                </a:lnTo>
                                <a:close/>
                              </a:path>
                              <a:path w="4329430" h="309245">
                                <a:moveTo>
                                  <a:pt x="1000099" y="218605"/>
                                </a:moveTo>
                                <a:lnTo>
                                  <a:pt x="909180" y="218605"/>
                                </a:lnTo>
                                <a:lnTo>
                                  <a:pt x="909180" y="309067"/>
                                </a:lnTo>
                                <a:lnTo>
                                  <a:pt x="1000099" y="309067"/>
                                </a:lnTo>
                                <a:lnTo>
                                  <a:pt x="1000099" y="218605"/>
                                </a:lnTo>
                                <a:close/>
                              </a:path>
                              <a:path w="4329430" h="309245">
                                <a:moveTo>
                                  <a:pt x="1300835" y="211061"/>
                                </a:moveTo>
                                <a:lnTo>
                                  <a:pt x="1209916" y="211061"/>
                                </a:lnTo>
                                <a:lnTo>
                                  <a:pt x="1209916" y="309067"/>
                                </a:lnTo>
                                <a:lnTo>
                                  <a:pt x="1300835" y="309067"/>
                                </a:lnTo>
                                <a:lnTo>
                                  <a:pt x="1300835" y="211061"/>
                                </a:lnTo>
                                <a:close/>
                              </a:path>
                              <a:path w="4329430" h="309245">
                                <a:moveTo>
                                  <a:pt x="1601558" y="195999"/>
                                </a:moveTo>
                                <a:lnTo>
                                  <a:pt x="1510639" y="195999"/>
                                </a:lnTo>
                                <a:lnTo>
                                  <a:pt x="1510639" y="309067"/>
                                </a:lnTo>
                                <a:lnTo>
                                  <a:pt x="1601558" y="309067"/>
                                </a:lnTo>
                                <a:lnTo>
                                  <a:pt x="1601558" y="195999"/>
                                </a:lnTo>
                                <a:close/>
                              </a:path>
                              <a:path w="4329430" h="309245">
                                <a:moveTo>
                                  <a:pt x="1909279" y="180911"/>
                                </a:moveTo>
                                <a:lnTo>
                                  <a:pt x="1818360" y="180911"/>
                                </a:lnTo>
                                <a:lnTo>
                                  <a:pt x="1818360" y="309067"/>
                                </a:lnTo>
                                <a:lnTo>
                                  <a:pt x="1909279" y="309067"/>
                                </a:lnTo>
                                <a:lnTo>
                                  <a:pt x="1909279" y="180911"/>
                                </a:lnTo>
                                <a:close/>
                              </a:path>
                              <a:path w="4329430" h="309245">
                                <a:moveTo>
                                  <a:pt x="2210016" y="180911"/>
                                </a:moveTo>
                                <a:lnTo>
                                  <a:pt x="2119096" y="180911"/>
                                </a:lnTo>
                                <a:lnTo>
                                  <a:pt x="2119096" y="309067"/>
                                </a:lnTo>
                                <a:lnTo>
                                  <a:pt x="2210016" y="309067"/>
                                </a:lnTo>
                                <a:lnTo>
                                  <a:pt x="2210016" y="180911"/>
                                </a:lnTo>
                                <a:close/>
                              </a:path>
                              <a:path w="4329430" h="309245">
                                <a:moveTo>
                                  <a:pt x="2510739" y="180911"/>
                                </a:moveTo>
                                <a:lnTo>
                                  <a:pt x="2419807" y="180911"/>
                                </a:lnTo>
                                <a:lnTo>
                                  <a:pt x="2419807" y="309067"/>
                                </a:lnTo>
                                <a:lnTo>
                                  <a:pt x="2510739" y="309067"/>
                                </a:lnTo>
                                <a:lnTo>
                                  <a:pt x="2510739" y="180911"/>
                                </a:lnTo>
                                <a:close/>
                              </a:path>
                              <a:path w="4329430" h="309245">
                                <a:moveTo>
                                  <a:pt x="2811462" y="173367"/>
                                </a:moveTo>
                                <a:lnTo>
                                  <a:pt x="2720556" y="173367"/>
                                </a:lnTo>
                                <a:lnTo>
                                  <a:pt x="2720556" y="309067"/>
                                </a:lnTo>
                                <a:lnTo>
                                  <a:pt x="2811462" y="309067"/>
                                </a:lnTo>
                                <a:lnTo>
                                  <a:pt x="2811462" y="173367"/>
                                </a:lnTo>
                                <a:close/>
                              </a:path>
                              <a:path w="4329430" h="309245">
                                <a:moveTo>
                                  <a:pt x="3119196" y="150761"/>
                                </a:moveTo>
                                <a:lnTo>
                                  <a:pt x="3028264" y="150761"/>
                                </a:lnTo>
                                <a:lnTo>
                                  <a:pt x="3028264" y="309067"/>
                                </a:lnTo>
                                <a:lnTo>
                                  <a:pt x="3119196" y="309067"/>
                                </a:lnTo>
                                <a:lnTo>
                                  <a:pt x="3119196" y="150761"/>
                                </a:lnTo>
                                <a:close/>
                              </a:path>
                              <a:path w="4329430" h="309245">
                                <a:moveTo>
                                  <a:pt x="3419919" y="120611"/>
                                </a:moveTo>
                                <a:lnTo>
                                  <a:pt x="3328987" y="120611"/>
                                </a:lnTo>
                                <a:lnTo>
                                  <a:pt x="3328987" y="309067"/>
                                </a:lnTo>
                                <a:lnTo>
                                  <a:pt x="3419919" y="309067"/>
                                </a:lnTo>
                                <a:lnTo>
                                  <a:pt x="3419919" y="120611"/>
                                </a:lnTo>
                                <a:close/>
                              </a:path>
                              <a:path w="4329430" h="309245">
                                <a:moveTo>
                                  <a:pt x="3720642" y="97993"/>
                                </a:moveTo>
                                <a:lnTo>
                                  <a:pt x="3629736" y="97993"/>
                                </a:lnTo>
                                <a:lnTo>
                                  <a:pt x="3629736" y="309067"/>
                                </a:lnTo>
                                <a:lnTo>
                                  <a:pt x="3720642" y="309067"/>
                                </a:lnTo>
                                <a:lnTo>
                                  <a:pt x="3720642" y="97993"/>
                                </a:lnTo>
                                <a:close/>
                              </a:path>
                              <a:path w="4329430" h="309245">
                                <a:moveTo>
                                  <a:pt x="4021378" y="45237"/>
                                </a:moveTo>
                                <a:lnTo>
                                  <a:pt x="3930459" y="45237"/>
                                </a:lnTo>
                                <a:lnTo>
                                  <a:pt x="3930459" y="309067"/>
                                </a:lnTo>
                                <a:lnTo>
                                  <a:pt x="4021378" y="309067"/>
                                </a:lnTo>
                                <a:lnTo>
                                  <a:pt x="4021378" y="45237"/>
                                </a:lnTo>
                                <a:close/>
                              </a:path>
                              <a:path w="4329430" h="309245">
                                <a:moveTo>
                                  <a:pt x="4329100" y="0"/>
                                </a:moveTo>
                                <a:lnTo>
                                  <a:pt x="4238168" y="0"/>
                                </a:lnTo>
                                <a:lnTo>
                                  <a:pt x="4238168" y="309067"/>
                                </a:lnTo>
                                <a:lnTo>
                                  <a:pt x="4329100" y="309067"/>
                                </a:lnTo>
                                <a:lnTo>
                                  <a:pt x="4329100" y="0"/>
                                </a:lnTo>
                                <a:close/>
                              </a:path>
                            </a:pathLst>
                          </a:custGeom>
                          <a:solidFill>
                            <a:srgbClr val="E3C626"/>
                          </a:solidFill>
                        </wps:spPr>
                        <wps:bodyPr wrap="square" lIns="0" tIns="0" rIns="0" bIns="0" rtlCol="0">
                          <a:prstTxWarp prst="textNoShape">
                            <a:avLst/>
                          </a:prstTxWarp>
                          <a:noAutofit/>
                        </wps:bodyPr>
                      </wps:wsp>
                      <wps:wsp>
                        <wps:cNvPr id="2137" name="Graphic 2137"/>
                        <wps:cNvSpPr/>
                        <wps:spPr>
                          <a:xfrm>
                            <a:off x="554214" y="465784"/>
                            <a:ext cx="4322445" cy="1372235"/>
                          </a:xfrm>
                          <a:custGeom>
                            <a:avLst/>
                            <a:gdLst/>
                            <a:ahLst/>
                            <a:cxnLst/>
                            <a:rect l="l" t="t" r="r" b="b"/>
                            <a:pathLst>
                              <a:path w="4322445" h="1372235">
                                <a:moveTo>
                                  <a:pt x="83921" y="1243774"/>
                                </a:moveTo>
                                <a:lnTo>
                                  <a:pt x="0" y="1243774"/>
                                </a:lnTo>
                                <a:lnTo>
                                  <a:pt x="0" y="1371930"/>
                                </a:lnTo>
                                <a:lnTo>
                                  <a:pt x="83921" y="1371930"/>
                                </a:lnTo>
                                <a:lnTo>
                                  <a:pt x="83921" y="1243774"/>
                                </a:lnTo>
                                <a:close/>
                              </a:path>
                              <a:path w="4322445" h="1372235">
                                <a:moveTo>
                                  <a:pt x="391655" y="1221168"/>
                                </a:moveTo>
                                <a:lnTo>
                                  <a:pt x="300736" y="1221168"/>
                                </a:lnTo>
                                <a:lnTo>
                                  <a:pt x="300736" y="1371930"/>
                                </a:lnTo>
                                <a:lnTo>
                                  <a:pt x="391655" y="1371930"/>
                                </a:lnTo>
                                <a:lnTo>
                                  <a:pt x="391655" y="1221168"/>
                                </a:lnTo>
                                <a:close/>
                              </a:path>
                              <a:path w="4322445" h="1372235">
                                <a:moveTo>
                                  <a:pt x="692378" y="1160856"/>
                                </a:moveTo>
                                <a:lnTo>
                                  <a:pt x="608457" y="1160856"/>
                                </a:lnTo>
                                <a:lnTo>
                                  <a:pt x="608457" y="1371930"/>
                                </a:lnTo>
                                <a:lnTo>
                                  <a:pt x="692378" y="1371930"/>
                                </a:lnTo>
                                <a:lnTo>
                                  <a:pt x="692378" y="1160856"/>
                                </a:lnTo>
                                <a:close/>
                              </a:path>
                              <a:path w="4322445" h="1372235">
                                <a:moveTo>
                                  <a:pt x="993101" y="1055319"/>
                                </a:moveTo>
                                <a:lnTo>
                                  <a:pt x="909180" y="1055319"/>
                                </a:lnTo>
                                <a:lnTo>
                                  <a:pt x="909180" y="1371930"/>
                                </a:lnTo>
                                <a:lnTo>
                                  <a:pt x="993101" y="1371930"/>
                                </a:lnTo>
                                <a:lnTo>
                                  <a:pt x="993101" y="1055319"/>
                                </a:lnTo>
                                <a:close/>
                              </a:path>
                              <a:path w="4322445" h="1372235">
                                <a:moveTo>
                                  <a:pt x="1293837" y="972413"/>
                                </a:moveTo>
                                <a:lnTo>
                                  <a:pt x="1209916" y="972413"/>
                                </a:lnTo>
                                <a:lnTo>
                                  <a:pt x="1209916" y="1371930"/>
                                </a:lnTo>
                                <a:lnTo>
                                  <a:pt x="1293837" y="1371930"/>
                                </a:lnTo>
                                <a:lnTo>
                                  <a:pt x="1293837" y="972413"/>
                                </a:lnTo>
                                <a:close/>
                              </a:path>
                              <a:path w="4322445" h="1372235">
                                <a:moveTo>
                                  <a:pt x="1601558" y="889495"/>
                                </a:moveTo>
                                <a:lnTo>
                                  <a:pt x="1510639" y="889495"/>
                                </a:lnTo>
                                <a:lnTo>
                                  <a:pt x="1510639" y="1371930"/>
                                </a:lnTo>
                                <a:lnTo>
                                  <a:pt x="1601558" y="1371930"/>
                                </a:lnTo>
                                <a:lnTo>
                                  <a:pt x="1601558" y="889495"/>
                                </a:lnTo>
                                <a:close/>
                              </a:path>
                              <a:path w="4322445" h="1372235">
                                <a:moveTo>
                                  <a:pt x="1902282" y="979944"/>
                                </a:moveTo>
                                <a:lnTo>
                                  <a:pt x="1818360" y="979944"/>
                                </a:lnTo>
                                <a:lnTo>
                                  <a:pt x="1818360" y="1371930"/>
                                </a:lnTo>
                                <a:lnTo>
                                  <a:pt x="1902282" y="1371930"/>
                                </a:lnTo>
                                <a:lnTo>
                                  <a:pt x="1902282" y="979944"/>
                                </a:lnTo>
                                <a:close/>
                              </a:path>
                              <a:path w="4322445" h="1372235">
                                <a:moveTo>
                                  <a:pt x="2203005" y="1221168"/>
                                </a:moveTo>
                                <a:lnTo>
                                  <a:pt x="2119096" y="1221168"/>
                                </a:lnTo>
                                <a:lnTo>
                                  <a:pt x="2119096" y="1371930"/>
                                </a:lnTo>
                                <a:lnTo>
                                  <a:pt x="2203005" y="1371930"/>
                                </a:lnTo>
                                <a:lnTo>
                                  <a:pt x="2203005" y="1221168"/>
                                </a:lnTo>
                                <a:close/>
                              </a:path>
                              <a:path w="4322445" h="1372235">
                                <a:moveTo>
                                  <a:pt x="2503754" y="1002563"/>
                                </a:moveTo>
                                <a:lnTo>
                                  <a:pt x="2419820" y="1002563"/>
                                </a:lnTo>
                                <a:lnTo>
                                  <a:pt x="2419820" y="1371930"/>
                                </a:lnTo>
                                <a:lnTo>
                                  <a:pt x="2503754" y="1371930"/>
                                </a:lnTo>
                                <a:lnTo>
                                  <a:pt x="2503754" y="1002563"/>
                                </a:lnTo>
                                <a:close/>
                              </a:path>
                              <a:path w="4322445" h="1372235">
                                <a:moveTo>
                                  <a:pt x="2811475" y="897026"/>
                                </a:moveTo>
                                <a:lnTo>
                                  <a:pt x="2720543" y="897026"/>
                                </a:lnTo>
                                <a:lnTo>
                                  <a:pt x="2720543" y="1371930"/>
                                </a:lnTo>
                                <a:lnTo>
                                  <a:pt x="2811475" y="1371930"/>
                                </a:lnTo>
                                <a:lnTo>
                                  <a:pt x="2811475" y="897026"/>
                                </a:lnTo>
                                <a:close/>
                              </a:path>
                              <a:path w="4322445" h="1372235">
                                <a:moveTo>
                                  <a:pt x="3112185" y="859345"/>
                                </a:moveTo>
                                <a:lnTo>
                                  <a:pt x="3028277" y="859345"/>
                                </a:lnTo>
                                <a:lnTo>
                                  <a:pt x="3028277" y="1371930"/>
                                </a:lnTo>
                                <a:lnTo>
                                  <a:pt x="3112185" y="1371930"/>
                                </a:lnTo>
                                <a:lnTo>
                                  <a:pt x="3112185" y="859345"/>
                                </a:lnTo>
                                <a:close/>
                              </a:path>
                              <a:path w="4322445" h="1372235">
                                <a:moveTo>
                                  <a:pt x="3412934" y="821651"/>
                                </a:moveTo>
                                <a:lnTo>
                                  <a:pt x="3329000" y="821651"/>
                                </a:lnTo>
                                <a:lnTo>
                                  <a:pt x="3329000" y="1371930"/>
                                </a:lnTo>
                                <a:lnTo>
                                  <a:pt x="3412934" y="1371930"/>
                                </a:lnTo>
                                <a:lnTo>
                                  <a:pt x="3412934" y="821651"/>
                                </a:lnTo>
                                <a:close/>
                              </a:path>
                              <a:path w="4322445" h="1372235">
                                <a:moveTo>
                                  <a:pt x="3713657" y="565353"/>
                                </a:moveTo>
                                <a:lnTo>
                                  <a:pt x="3629723" y="565353"/>
                                </a:lnTo>
                                <a:lnTo>
                                  <a:pt x="3629723" y="1371930"/>
                                </a:lnTo>
                                <a:lnTo>
                                  <a:pt x="3713657" y="1371930"/>
                                </a:lnTo>
                                <a:lnTo>
                                  <a:pt x="3713657" y="565353"/>
                                </a:lnTo>
                                <a:close/>
                              </a:path>
                              <a:path w="4322445" h="1372235">
                                <a:moveTo>
                                  <a:pt x="4021366" y="211061"/>
                                </a:moveTo>
                                <a:lnTo>
                                  <a:pt x="3930459" y="211061"/>
                                </a:lnTo>
                                <a:lnTo>
                                  <a:pt x="3930459" y="1371930"/>
                                </a:lnTo>
                                <a:lnTo>
                                  <a:pt x="4021366" y="1371930"/>
                                </a:lnTo>
                                <a:lnTo>
                                  <a:pt x="4021366" y="211061"/>
                                </a:lnTo>
                                <a:close/>
                              </a:path>
                              <a:path w="4322445" h="1372235">
                                <a:moveTo>
                                  <a:pt x="4322089" y="0"/>
                                </a:moveTo>
                                <a:lnTo>
                                  <a:pt x="4238180" y="0"/>
                                </a:lnTo>
                                <a:lnTo>
                                  <a:pt x="4238180" y="1371930"/>
                                </a:lnTo>
                                <a:lnTo>
                                  <a:pt x="4322089" y="1371930"/>
                                </a:lnTo>
                                <a:lnTo>
                                  <a:pt x="4322089" y="0"/>
                                </a:lnTo>
                                <a:close/>
                              </a:path>
                            </a:pathLst>
                          </a:custGeom>
                          <a:solidFill>
                            <a:srgbClr val="2F7D41"/>
                          </a:solidFill>
                        </wps:spPr>
                        <wps:bodyPr wrap="square" lIns="0" tIns="0" rIns="0" bIns="0" rtlCol="0">
                          <a:prstTxWarp prst="textNoShape">
                            <a:avLst/>
                          </a:prstTxWarp>
                          <a:noAutofit/>
                        </wps:bodyPr>
                      </wps:wsp>
                      <wps:wsp>
                        <wps:cNvPr id="2138" name="Graphic 2138"/>
                        <wps:cNvSpPr/>
                        <wps:spPr>
                          <a:xfrm>
                            <a:off x="369442" y="379690"/>
                            <a:ext cx="4573270" cy="1491615"/>
                          </a:xfrm>
                          <a:custGeom>
                            <a:avLst/>
                            <a:gdLst/>
                            <a:ahLst/>
                            <a:cxnLst/>
                            <a:rect l="l" t="t" r="r" b="b"/>
                            <a:pathLst>
                              <a:path w="4573270" h="1491615">
                                <a:moveTo>
                                  <a:pt x="4572749" y="1454848"/>
                                </a:moveTo>
                                <a:lnTo>
                                  <a:pt x="4572749" y="1454848"/>
                                </a:lnTo>
                                <a:lnTo>
                                  <a:pt x="34328" y="1454848"/>
                                </a:lnTo>
                                <a:lnTo>
                                  <a:pt x="34328" y="0"/>
                                </a:lnTo>
                                <a:lnTo>
                                  <a:pt x="27978" y="0"/>
                                </a:lnTo>
                                <a:lnTo>
                                  <a:pt x="0" y="0"/>
                                </a:lnTo>
                                <a:lnTo>
                                  <a:pt x="0" y="6350"/>
                                </a:lnTo>
                                <a:lnTo>
                                  <a:pt x="27978" y="6350"/>
                                </a:lnTo>
                                <a:lnTo>
                                  <a:pt x="27978" y="293979"/>
                                </a:lnTo>
                                <a:lnTo>
                                  <a:pt x="0" y="293979"/>
                                </a:lnTo>
                                <a:lnTo>
                                  <a:pt x="0" y="300329"/>
                                </a:lnTo>
                                <a:lnTo>
                                  <a:pt x="27978" y="300329"/>
                                </a:lnTo>
                                <a:lnTo>
                                  <a:pt x="27978" y="580428"/>
                                </a:lnTo>
                                <a:lnTo>
                                  <a:pt x="0" y="580428"/>
                                </a:lnTo>
                                <a:lnTo>
                                  <a:pt x="0" y="586778"/>
                                </a:lnTo>
                                <a:lnTo>
                                  <a:pt x="27978" y="586778"/>
                                </a:lnTo>
                                <a:lnTo>
                                  <a:pt x="27978" y="874407"/>
                                </a:lnTo>
                                <a:lnTo>
                                  <a:pt x="0" y="874407"/>
                                </a:lnTo>
                                <a:lnTo>
                                  <a:pt x="0" y="880757"/>
                                </a:lnTo>
                                <a:lnTo>
                                  <a:pt x="27978" y="880757"/>
                                </a:lnTo>
                                <a:lnTo>
                                  <a:pt x="27978" y="1160868"/>
                                </a:lnTo>
                                <a:lnTo>
                                  <a:pt x="0" y="1160868"/>
                                </a:lnTo>
                                <a:lnTo>
                                  <a:pt x="0" y="1167218"/>
                                </a:lnTo>
                                <a:lnTo>
                                  <a:pt x="27978" y="1167218"/>
                                </a:lnTo>
                                <a:lnTo>
                                  <a:pt x="27978" y="1454848"/>
                                </a:lnTo>
                                <a:lnTo>
                                  <a:pt x="0" y="1454848"/>
                                </a:lnTo>
                                <a:lnTo>
                                  <a:pt x="0" y="1461198"/>
                                </a:lnTo>
                                <a:lnTo>
                                  <a:pt x="27978" y="1461198"/>
                                </a:lnTo>
                                <a:lnTo>
                                  <a:pt x="27978" y="1491348"/>
                                </a:lnTo>
                                <a:lnTo>
                                  <a:pt x="34328" y="1491348"/>
                                </a:lnTo>
                                <a:lnTo>
                                  <a:pt x="34328" y="1461198"/>
                                </a:lnTo>
                                <a:lnTo>
                                  <a:pt x="328676" y="1461198"/>
                                </a:lnTo>
                                <a:lnTo>
                                  <a:pt x="328676" y="1491348"/>
                                </a:lnTo>
                                <a:lnTo>
                                  <a:pt x="335026" y="1491348"/>
                                </a:lnTo>
                                <a:lnTo>
                                  <a:pt x="335026" y="1461198"/>
                                </a:lnTo>
                                <a:lnTo>
                                  <a:pt x="636358" y="1461198"/>
                                </a:lnTo>
                                <a:lnTo>
                                  <a:pt x="636358" y="1491348"/>
                                </a:lnTo>
                                <a:lnTo>
                                  <a:pt x="642708" y="1491348"/>
                                </a:lnTo>
                                <a:lnTo>
                                  <a:pt x="642708" y="1461198"/>
                                </a:lnTo>
                                <a:lnTo>
                                  <a:pt x="937056" y="1461198"/>
                                </a:lnTo>
                                <a:lnTo>
                                  <a:pt x="937056" y="1491348"/>
                                </a:lnTo>
                                <a:lnTo>
                                  <a:pt x="943406" y="1491348"/>
                                </a:lnTo>
                                <a:lnTo>
                                  <a:pt x="943406" y="1461198"/>
                                </a:lnTo>
                                <a:lnTo>
                                  <a:pt x="1237754" y="1461198"/>
                                </a:lnTo>
                                <a:lnTo>
                                  <a:pt x="1237754" y="1491348"/>
                                </a:lnTo>
                                <a:lnTo>
                                  <a:pt x="1244104" y="1491348"/>
                                </a:lnTo>
                                <a:lnTo>
                                  <a:pt x="1244104" y="1461198"/>
                                </a:lnTo>
                                <a:lnTo>
                                  <a:pt x="1538452" y="1461198"/>
                                </a:lnTo>
                                <a:lnTo>
                                  <a:pt x="1538452" y="1491348"/>
                                </a:lnTo>
                                <a:lnTo>
                                  <a:pt x="1544802" y="1491348"/>
                                </a:lnTo>
                                <a:lnTo>
                                  <a:pt x="1544802" y="1461198"/>
                                </a:lnTo>
                                <a:lnTo>
                                  <a:pt x="1846148" y="1461198"/>
                                </a:lnTo>
                                <a:lnTo>
                                  <a:pt x="1846148" y="1491348"/>
                                </a:lnTo>
                                <a:lnTo>
                                  <a:pt x="1852498" y="1491348"/>
                                </a:lnTo>
                                <a:lnTo>
                                  <a:pt x="1852498" y="1461198"/>
                                </a:lnTo>
                                <a:lnTo>
                                  <a:pt x="2146833" y="1461198"/>
                                </a:lnTo>
                                <a:lnTo>
                                  <a:pt x="2146833" y="1491348"/>
                                </a:lnTo>
                                <a:lnTo>
                                  <a:pt x="2153183" y="1491348"/>
                                </a:lnTo>
                                <a:lnTo>
                                  <a:pt x="2153183" y="1461198"/>
                                </a:lnTo>
                                <a:lnTo>
                                  <a:pt x="2447544" y="1461198"/>
                                </a:lnTo>
                                <a:lnTo>
                                  <a:pt x="2447544" y="1491348"/>
                                </a:lnTo>
                                <a:lnTo>
                                  <a:pt x="2453894" y="1491348"/>
                                </a:lnTo>
                                <a:lnTo>
                                  <a:pt x="2453894" y="1461198"/>
                                </a:lnTo>
                                <a:lnTo>
                                  <a:pt x="2748229" y="1461198"/>
                                </a:lnTo>
                                <a:lnTo>
                                  <a:pt x="2748229" y="1491348"/>
                                </a:lnTo>
                                <a:lnTo>
                                  <a:pt x="2754579" y="1491348"/>
                                </a:lnTo>
                                <a:lnTo>
                                  <a:pt x="2754579" y="1461198"/>
                                </a:lnTo>
                                <a:lnTo>
                                  <a:pt x="3055912" y="1461198"/>
                                </a:lnTo>
                                <a:lnTo>
                                  <a:pt x="3055912" y="1491348"/>
                                </a:lnTo>
                                <a:lnTo>
                                  <a:pt x="3062262" y="1491348"/>
                                </a:lnTo>
                                <a:lnTo>
                                  <a:pt x="3062262" y="1461198"/>
                                </a:lnTo>
                                <a:lnTo>
                                  <a:pt x="3356622" y="1461198"/>
                                </a:lnTo>
                                <a:lnTo>
                                  <a:pt x="3356622" y="1491348"/>
                                </a:lnTo>
                                <a:lnTo>
                                  <a:pt x="3362972" y="1491348"/>
                                </a:lnTo>
                                <a:lnTo>
                                  <a:pt x="3362972" y="1461198"/>
                                </a:lnTo>
                                <a:lnTo>
                                  <a:pt x="3657320" y="1461198"/>
                                </a:lnTo>
                                <a:lnTo>
                                  <a:pt x="3657320" y="1491348"/>
                                </a:lnTo>
                                <a:lnTo>
                                  <a:pt x="3663670" y="1491348"/>
                                </a:lnTo>
                                <a:lnTo>
                                  <a:pt x="3663670" y="1461198"/>
                                </a:lnTo>
                                <a:lnTo>
                                  <a:pt x="3958031" y="1461198"/>
                                </a:lnTo>
                                <a:lnTo>
                                  <a:pt x="3958031" y="1491348"/>
                                </a:lnTo>
                                <a:lnTo>
                                  <a:pt x="3964381" y="1491348"/>
                                </a:lnTo>
                                <a:lnTo>
                                  <a:pt x="3964381" y="1461198"/>
                                </a:lnTo>
                                <a:lnTo>
                                  <a:pt x="4265714" y="1461198"/>
                                </a:lnTo>
                                <a:lnTo>
                                  <a:pt x="4265714" y="1491348"/>
                                </a:lnTo>
                                <a:lnTo>
                                  <a:pt x="4272064" y="1491348"/>
                                </a:lnTo>
                                <a:lnTo>
                                  <a:pt x="4272064" y="1461198"/>
                                </a:lnTo>
                                <a:lnTo>
                                  <a:pt x="4566399" y="1461198"/>
                                </a:lnTo>
                                <a:lnTo>
                                  <a:pt x="4566399" y="1491348"/>
                                </a:lnTo>
                                <a:lnTo>
                                  <a:pt x="4572749" y="1491348"/>
                                </a:lnTo>
                                <a:lnTo>
                                  <a:pt x="4572749" y="1454848"/>
                                </a:lnTo>
                                <a:close/>
                              </a:path>
                            </a:pathLst>
                          </a:custGeom>
                          <a:solidFill>
                            <a:srgbClr val="000000"/>
                          </a:solidFill>
                        </wps:spPr>
                        <wps:bodyPr wrap="square" lIns="0" tIns="0" rIns="0" bIns="0" rtlCol="0">
                          <a:prstTxWarp prst="textNoShape">
                            <a:avLst/>
                          </a:prstTxWarp>
                          <a:noAutofit/>
                        </wps:bodyPr>
                      </wps:wsp>
                      <wps:wsp>
                        <wps:cNvPr id="2139" name="Graphic 2139"/>
                        <wps:cNvSpPr/>
                        <wps:spPr>
                          <a:xfrm>
                            <a:off x="3948772" y="152197"/>
                            <a:ext cx="79375" cy="85725"/>
                          </a:xfrm>
                          <a:custGeom>
                            <a:avLst/>
                            <a:gdLst/>
                            <a:ahLst/>
                            <a:cxnLst/>
                            <a:rect l="l" t="t" r="r" b="b"/>
                            <a:pathLst>
                              <a:path w="79375" h="85725">
                                <a:moveTo>
                                  <a:pt x="79302" y="0"/>
                                </a:moveTo>
                                <a:lnTo>
                                  <a:pt x="0" y="0"/>
                                </a:lnTo>
                                <a:lnTo>
                                  <a:pt x="0" y="85471"/>
                                </a:lnTo>
                                <a:lnTo>
                                  <a:pt x="79302" y="85471"/>
                                </a:lnTo>
                                <a:lnTo>
                                  <a:pt x="79302" y="0"/>
                                </a:lnTo>
                                <a:close/>
                              </a:path>
                            </a:pathLst>
                          </a:custGeom>
                          <a:solidFill>
                            <a:srgbClr val="E3C626"/>
                          </a:solidFill>
                        </wps:spPr>
                        <wps:bodyPr wrap="square" lIns="0" tIns="0" rIns="0" bIns="0" rtlCol="0">
                          <a:prstTxWarp prst="textNoShape">
                            <a:avLst/>
                          </a:prstTxWarp>
                          <a:noAutofit/>
                        </wps:bodyPr>
                      </wps:wsp>
                      <wps:wsp>
                        <wps:cNvPr id="2140" name="Graphic 2140"/>
                        <wps:cNvSpPr/>
                        <wps:spPr>
                          <a:xfrm>
                            <a:off x="4425845" y="152197"/>
                            <a:ext cx="79375" cy="85725"/>
                          </a:xfrm>
                          <a:custGeom>
                            <a:avLst/>
                            <a:gdLst/>
                            <a:ahLst/>
                            <a:cxnLst/>
                            <a:rect l="l" t="t" r="r" b="b"/>
                            <a:pathLst>
                              <a:path w="79375" h="85725">
                                <a:moveTo>
                                  <a:pt x="79313" y="0"/>
                                </a:moveTo>
                                <a:lnTo>
                                  <a:pt x="0" y="0"/>
                                </a:lnTo>
                                <a:lnTo>
                                  <a:pt x="0" y="85471"/>
                                </a:lnTo>
                                <a:lnTo>
                                  <a:pt x="79313" y="85471"/>
                                </a:lnTo>
                                <a:lnTo>
                                  <a:pt x="79313" y="0"/>
                                </a:lnTo>
                                <a:close/>
                              </a:path>
                            </a:pathLst>
                          </a:custGeom>
                          <a:solidFill>
                            <a:srgbClr val="2F7D41"/>
                          </a:solidFill>
                        </wps:spPr>
                        <wps:bodyPr wrap="square" lIns="0" tIns="0" rIns="0" bIns="0" rtlCol="0">
                          <a:prstTxWarp prst="textNoShape">
                            <a:avLst/>
                          </a:prstTxWarp>
                          <a:noAutofit/>
                        </wps:bodyPr>
                      </wps:wsp>
                      <wps:wsp>
                        <wps:cNvPr id="2141" name="Textbox 2141"/>
                        <wps:cNvSpPr txBox="1"/>
                        <wps:spPr>
                          <a:xfrm>
                            <a:off x="3175" y="3175"/>
                            <a:ext cx="5039360" cy="2171700"/>
                          </a:xfrm>
                          <a:prstGeom prst="rect">
                            <a:avLst/>
                          </a:prstGeom>
                          <a:ln w="6350">
                            <a:solidFill>
                              <a:srgbClr val="000000"/>
                            </a:solidFill>
                            <a:prstDash val="solid"/>
                          </a:ln>
                        </wps:spPr>
                        <wps:txbx>
                          <w:txbxContent>
                            <w:p>
                              <w:pPr>
                                <w:spacing w:line="240" w:lineRule="auto" w:before="49"/>
                                <w:rPr>
                                  <w:b/>
                                  <w:sz w:val="14"/>
                                </w:rPr>
                              </w:pPr>
                            </w:p>
                            <w:p>
                              <w:pPr>
                                <w:tabs>
                                  <w:tab w:pos="763" w:val="left" w:leader="none"/>
                                </w:tabs>
                                <w:spacing w:before="0"/>
                                <w:ind w:left="0" w:right="211" w:firstLine="0"/>
                                <w:jc w:val="right"/>
                                <w:rPr>
                                  <w:rFonts w:ascii="Arial MT"/>
                                  <w:sz w:val="14"/>
                                </w:rPr>
                              </w:pPr>
                              <w:r>
                                <w:rPr>
                                  <w:rFonts w:ascii="Arial MT"/>
                                  <w:spacing w:val="-2"/>
                                  <w:w w:val="90"/>
                                  <w:sz w:val="14"/>
                                </w:rPr>
                                <w:t>Indians</w:t>
                              </w:r>
                              <w:r>
                                <w:rPr>
                                  <w:rFonts w:ascii="Arial MT"/>
                                  <w:sz w:val="14"/>
                                </w:rPr>
                                <w:tab/>
                              </w:r>
                              <w:r>
                                <w:rPr>
                                  <w:rFonts w:ascii="Arial MT"/>
                                  <w:spacing w:val="-2"/>
                                  <w:w w:val="90"/>
                                  <w:sz w:val="14"/>
                                </w:rPr>
                                <w:t>Foreigners</w:t>
                              </w:r>
                            </w:p>
                            <w:p>
                              <w:pPr>
                                <w:spacing w:before="145"/>
                                <w:ind w:left="0" w:right="7445" w:firstLine="0"/>
                                <w:jc w:val="right"/>
                                <w:rPr>
                                  <w:rFonts w:ascii="Arial MT"/>
                                  <w:sz w:val="14"/>
                                </w:rPr>
                              </w:pPr>
                              <w:r>
                                <w:rPr>
                                  <w:rFonts w:ascii="Arial MT"/>
                                  <w:spacing w:val="-2"/>
                                  <w:w w:val="90"/>
                                  <w:sz w:val="14"/>
                                </w:rPr>
                                <w:t>25000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2"/>
                                  <w:w w:val="90"/>
                                  <w:sz w:val="14"/>
                                </w:rPr>
                                <w:t>20000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2"/>
                                  <w:w w:val="90"/>
                                  <w:sz w:val="14"/>
                                </w:rPr>
                                <w:t>15000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2"/>
                                  <w:w w:val="90"/>
                                  <w:sz w:val="14"/>
                                </w:rPr>
                                <w:t>10000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4"/>
                                  <w:w w:val="90"/>
                                  <w:sz w:val="14"/>
                                </w:rPr>
                                <w:t>5000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10"/>
                                  <w:w w:val="90"/>
                                  <w:sz w:val="14"/>
                                </w:rPr>
                                <w:t>0</w:t>
                              </w:r>
                            </w:p>
                          </w:txbxContent>
                        </wps:txbx>
                        <wps:bodyPr wrap="square" lIns="0" tIns="0" rIns="0" bIns="0" rtlCol="0">
                          <a:noAutofit/>
                        </wps:bodyPr>
                      </wps:wsp>
                    </wpg:wgp>
                  </a:graphicData>
                </a:graphic>
              </wp:anchor>
            </w:drawing>
          </mc:Choice>
          <mc:Fallback>
            <w:pict>
              <v:group style="position:absolute;margin-left:99.496048pt;margin-top:7.835222pt;width:397.3pt;height:171.5pt;mso-position-horizontal-relative:page;mso-position-vertical-relative:paragraph;z-index:-15581696;mso-wrap-distance-left:0;mso-wrap-distance-right:0" id="docshapegroup2091" coordorigin="1990,157" coordsize="7946,3430">
                <v:shape style="position:absolute;left:2719;top:2564;width:6818;height:487" id="docshape2092" coordorigin="2720,2564" coordsize="6818,487" path="m2863,2944l2720,2944,2720,3051,2863,3051,2863,2944xm3336,2932l3193,2932,3193,3051,3336,3051,3336,2932xm3821,2896l3678,2896,3678,3051,3821,3051,3821,2896xm4294,2908l4151,2908,4151,3051,4294,3051,4294,2908xm4768,2896l4625,2896,4625,3051,4768,3051,4768,2896xm5242,2873l5098,2873,5098,3051,5242,3051,5242,2873xm5726,2849l5583,2849,5583,3051,5726,3051,5726,2849xm6200,2849l6057,2849,6057,3051,6200,3051,6200,2849xm6673,2849l6530,2849,6530,3051,6673,3051,6673,2849xm7147,2837l7004,2837,7004,3051,7147,3051,7147,2837xm7632,2801l7488,2801,7488,3051,7632,3051,7632,2801xm8105,2754l7962,2754,7962,3051,8105,3051,8105,2754xm8579,2718l8436,2718,8436,3051,8579,3051,8579,2718xm9052,2635l8909,2635,8909,3051,9052,3051,9052,2635xm9537,2564l9394,2564,9394,3051,9537,3051,9537,2564xe" filled="true" fillcolor="#e3c626" stroked="false">
                  <v:path arrowok="t"/>
                  <v:fill type="solid"/>
                </v:shape>
                <v:shape style="position:absolute;left:2862;top:890;width:6807;height:2161" id="docshape2093" coordorigin="2863,890" coordsize="6807,2161" path="m2995,2849l2863,2849,2863,3051,2995,3051,2995,2849xm3479,2813l3336,2813,3336,3051,3479,3051,3479,2813xm3953,2718l3821,2718,3821,3051,3953,3051,3953,2718xm4427,2552l4294,2552,4294,3051,4427,3051,4427,2552xm4900,2422l4768,2422,4768,3051,4900,3051,4900,2422xm5385,2291l5242,2291,5242,3051,5385,3051,5385,2291xm5858,2433l5726,2433,5726,3051,5858,3051,5858,2433xm6332,2813l6200,2813,6200,3051,6332,3051,6332,2813xm6806,2469l6673,2469,6673,3051,6806,3051,6806,2469xm7290,2303l7147,2303,7147,3051,7290,3051,7290,2303xm7764,2244l7632,2244,7632,3051,7764,3051,7764,2244xm8237,2184l8105,2184,8105,3051,8237,3051,8237,2184xm8711,1781l8579,1781,8579,3051,8711,3051,8711,1781xm9196,1223l9052,1223,9052,3051,9196,3051,9196,1223xm9669,890l9537,890,9537,3051,9669,3051,9669,890xe" filled="true" fillcolor="#2f7d41" stroked="false">
                  <v:path arrowok="t"/>
                  <v:fill type="solid"/>
                </v:shape>
                <v:shape style="position:absolute;left:2571;top:754;width:7202;height:2349" id="docshape2094" coordorigin="2572,755" coordsize="7202,2349" path="m9773,3046l9773,3046,2626,3046,2626,755,2616,755,2572,755,2572,765,2616,765,2616,1218,2572,1218,2572,1228,2616,1228,2616,1669,2572,1669,2572,1679,2616,1679,2616,2132,2572,2132,2572,2142,2616,2142,2616,2583,2572,2583,2572,2593,2616,2593,2616,3046,2572,3046,2572,3056,2616,3056,2616,3103,2626,3103,2626,3056,3089,3056,3089,3103,3099,3103,3099,3056,3574,3056,3574,3103,3584,3103,3584,3056,4047,3056,4047,3103,4057,3103,4057,3056,4521,3056,4521,3103,4531,3103,4531,3056,4994,3056,4994,3103,5004,3103,5004,3056,5479,3056,5479,3103,5489,3103,5489,3056,5953,3056,5953,3103,5963,3103,5963,3056,6426,3056,6426,3103,6436,3103,6436,3056,6900,3056,6900,3103,6910,3103,6910,3056,7384,3056,7384,3103,7394,3103,7394,3056,7858,3056,7858,3103,7868,3103,7868,3056,8331,3056,8331,3103,8341,3103,8341,3056,8805,3056,8805,3103,8815,3103,8815,3056,9289,3056,9289,3103,9299,3103,9299,3056,9763,3056,9763,3103,9773,3103,9773,3046xe" filled="true" fillcolor="#000000" stroked="false">
                  <v:path arrowok="t"/>
                  <v:fill type="solid"/>
                </v:shape>
                <v:rect style="position:absolute;left:8208;top:396;width:125;height:135" id="docshape2095" filled="true" fillcolor="#e3c626" stroked="false">
                  <v:fill type="solid"/>
                </v:rect>
                <v:rect style="position:absolute;left:8959;top:396;width:125;height:135" id="docshape2096" filled="true" fillcolor="#2f7d41" stroked="false">
                  <v:fill type="solid"/>
                </v:rect>
                <v:shape style="position:absolute;left:1994;top:161;width:7936;height:3420" type="#_x0000_t202" id="docshape2097" filled="false" stroked="true" strokeweight=".50003pt" strokecolor="#000000">
                  <v:textbox inset="0,0,0,0">
                    <w:txbxContent>
                      <w:p>
                        <w:pPr>
                          <w:spacing w:line="240" w:lineRule="auto" w:before="49"/>
                          <w:rPr>
                            <w:b/>
                            <w:sz w:val="14"/>
                          </w:rPr>
                        </w:pPr>
                      </w:p>
                      <w:p>
                        <w:pPr>
                          <w:tabs>
                            <w:tab w:pos="763" w:val="left" w:leader="none"/>
                          </w:tabs>
                          <w:spacing w:before="0"/>
                          <w:ind w:left="0" w:right="211" w:firstLine="0"/>
                          <w:jc w:val="right"/>
                          <w:rPr>
                            <w:rFonts w:ascii="Arial MT"/>
                            <w:sz w:val="14"/>
                          </w:rPr>
                        </w:pPr>
                        <w:r>
                          <w:rPr>
                            <w:rFonts w:ascii="Arial MT"/>
                            <w:spacing w:val="-2"/>
                            <w:w w:val="90"/>
                            <w:sz w:val="14"/>
                          </w:rPr>
                          <w:t>Indians</w:t>
                        </w:r>
                        <w:r>
                          <w:rPr>
                            <w:rFonts w:ascii="Arial MT"/>
                            <w:sz w:val="14"/>
                          </w:rPr>
                          <w:tab/>
                        </w:r>
                        <w:r>
                          <w:rPr>
                            <w:rFonts w:ascii="Arial MT"/>
                            <w:spacing w:val="-2"/>
                            <w:w w:val="90"/>
                            <w:sz w:val="14"/>
                          </w:rPr>
                          <w:t>Foreigners</w:t>
                        </w:r>
                      </w:p>
                      <w:p>
                        <w:pPr>
                          <w:spacing w:before="145"/>
                          <w:ind w:left="0" w:right="7445" w:firstLine="0"/>
                          <w:jc w:val="right"/>
                          <w:rPr>
                            <w:rFonts w:ascii="Arial MT"/>
                            <w:sz w:val="14"/>
                          </w:rPr>
                        </w:pPr>
                        <w:r>
                          <w:rPr>
                            <w:rFonts w:ascii="Arial MT"/>
                            <w:spacing w:val="-2"/>
                            <w:w w:val="90"/>
                            <w:sz w:val="14"/>
                          </w:rPr>
                          <w:t>25000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2"/>
                            <w:w w:val="90"/>
                            <w:sz w:val="14"/>
                          </w:rPr>
                          <w:t>20000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2"/>
                            <w:w w:val="90"/>
                            <w:sz w:val="14"/>
                          </w:rPr>
                          <w:t>15000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2"/>
                            <w:w w:val="90"/>
                            <w:sz w:val="14"/>
                          </w:rPr>
                          <w:t>10000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4"/>
                            <w:w w:val="90"/>
                            <w:sz w:val="14"/>
                          </w:rPr>
                          <w:t>5000</w:t>
                        </w:r>
                      </w:p>
                      <w:p>
                        <w:pPr>
                          <w:spacing w:line="240" w:lineRule="auto" w:before="138"/>
                          <w:rPr>
                            <w:rFonts w:ascii="Arial MT"/>
                            <w:sz w:val="14"/>
                          </w:rPr>
                        </w:pPr>
                      </w:p>
                      <w:p>
                        <w:pPr>
                          <w:spacing w:before="0"/>
                          <w:ind w:left="0" w:right="7445" w:firstLine="0"/>
                          <w:jc w:val="right"/>
                          <w:rPr>
                            <w:rFonts w:ascii="Arial MT"/>
                            <w:sz w:val="14"/>
                          </w:rPr>
                        </w:pPr>
                        <w:r>
                          <w:rPr>
                            <w:rFonts w:ascii="Arial MT"/>
                            <w:spacing w:val="-10"/>
                            <w:w w:val="90"/>
                            <w:sz w:val="14"/>
                          </w:rPr>
                          <w:t>0</w:t>
                        </w:r>
                      </w:p>
                    </w:txbxContent>
                  </v:textbox>
                  <v:stroke dashstyle="solid"/>
                  <w10:wrap type="none"/>
                </v:shape>
                <w10:wrap type="topAndBottom"/>
              </v:group>
            </w:pict>
          </mc:Fallback>
        </mc:AlternateContent>
      </w:r>
    </w:p>
    <w:p>
      <w:pPr>
        <w:spacing w:line="249" w:lineRule="auto" w:before="70"/>
        <w:ind w:left="1989" w:right="1944" w:firstLine="0"/>
        <w:jc w:val="left"/>
        <w:rPr>
          <w:sz w:val="16"/>
        </w:rPr>
      </w:pPr>
      <w:r>
        <w:rPr>
          <w:i/>
          <w:spacing w:val="-4"/>
          <w:sz w:val="16"/>
        </w:rPr>
        <w:t>Source: </w:t>
      </w:r>
      <w:r>
        <w:rPr>
          <w:spacing w:val="-4"/>
          <w:sz w:val="16"/>
        </w:rPr>
        <w:t>Annual Report of the Office of the Controller General of Patents, Designs,</w:t>
      </w:r>
      <w:r>
        <w:rPr>
          <w:spacing w:val="-6"/>
          <w:sz w:val="16"/>
        </w:rPr>
        <w:t> </w:t>
      </w:r>
      <w:r>
        <w:rPr>
          <w:spacing w:val="-4"/>
          <w:sz w:val="16"/>
        </w:rPr>
        <w:t>Trademarks, Geographical </w:t>
      </w:r>
      <w:r>
        <w:rPr>
          <w:spacing w:val="-4"/>
          <w:sz w:val="16"/>
        </w:rPr>
        <w:t>Indications,</w:t>
      </w:r>
      <w:r>
        <w:rPr>
          <w:spacing w:val="40"/>
          <w:sz w:val="16"/>
        </w:rPr>
        <w:t> </w:t>
      </w:r>
      <w:r>
        <w:rPr>
          <w:sz w:val="16"/>
        </w:rPr>
        <w:t>Intellectual Property</w:t>
      </w:r>
      <w:r>
        <w:rPr>
          <w:spacing w:val="-8"/>
          <w:sz w:val="16"/>
        </w:rPr>
        <w:t> </w:t>
      </w:r>
      <w:r>
        <w:rPr>
          <w:sz w:val="16"/>
        </w:rPr>
        <w:t>Training Institute, and Patent Information System, 2006-07</w:t>
      </w:r>
    </w:p>
    <w:p>
      <w:pPr>
        <w:pStyle w:val="BodyText"/>
        <w:spacing w:before="116"/>
        <w:rPr>
          <w:sz w:val="24"/>
        </w:rPr>
      </w:pPr>
    </w:p>
    <w:p>
      <w:pPr>
        <w:pStyle w:val="Heading8"/>
        <w:spacing w:before="1"/>
        <w:ind w:left="1989"/>
      </w:pPr>
      <w:r>
        <w:rPr>
          <w:w w:val="90"/>
        </w:rPr>
        <w:t>Figure</w:t>
      </w:r>
      <w:r>
        <w:rPr>
          <w:spacing w:val="8"/>
        </w:rPr>
        <w:t> </w:t>
      </w:r>
      <w:r>
        <w:rPr>
          <w:w w:val="90"/>
        </w:rPr>
        <w:t>54:</w:t>
      </w:r>
      <w:r>
        <w:rPr>
          <w:spacing w:val="8"/>
        </w:rPr>
        <w:t> </w:t>
      </w:r>
      <w:r>
        <w:rPr>
          <w:color w:val="2E614A"/>
          <w:w w:val="90"/>
        </w:rPr>
        <w:t>Number</w:t>
      </w:r>
      <w:r>
        <w:rPr>
          <w:color w:val="2E614A"/>
          <w:spacing w:val="8"/>
        </w:rPr>
        <w:t> </w:t>
      </w:r>
      <w:r>
        <w:rPr>
          <w:color w:val="2E614A"/>
          <w:w w:val="90"/>
        </w:rPr>
        <w:t>of</w:t>
      </w:r>
      <w:r>
        <w:rPr>
          <w:color w:val="2E614A"/>
          <w:spacing w:val="9"/>
        </w:rPr>
        <w:t> </w:t>
      </w:r>
      <w:r>
        <w:rPr>
          <w:color w:val="2E614A"/>
          <w:w w:val="90"/>
        </w:rPr>
        <w:t>patent</w:t>
      </w:r>
      <w:r>
        <w:rPr>
          <w:color w:val="2E614A"/>
          <w:spacing w:val="8"/>
        </w:rPr>
        <w:t> </w:t>
      </w:r>
      <w:r>
        <w:rPr>
          <w:color w:val="2E614A"/>
          <w:w w:val="90"/>
        </w:rPr>
        <w:t>applications</w:t>
      </w:r>
      <w:r>
        <w:rPr>
          <w:color w:val="2E614A"/>
          <w:spacing w:val="8"/>
        </w:rPr>
        <w:t> </w:t>
      </w:r>
      <w:r>
        <w:rPr>
          <w:color w:val="2E614A"/>
          <w:w w:val="90"/>
        </w:rPr>
        <w:t>filed</w:t>
      </w:r>
      <w:r>
        <w:rPr>
          <w:color w:val="2E614A"/>
          <w:spacing w:val="9"/>
        </w:rPr>
        <w:t> </w:t>
      </w:r>
      <w:r>
        <w:rPr>
          <w:color w:val="2E614A"/>
          <w:w w:val="90"/>
        </w:rPr>
        <w:t>under</w:t>
      </w:r>
      <w:r>
        <w:rPr>
          <w:color w:val="2E614A"/>
          <w:spacing w:val="8"/>
        </w:rPr>
        <w:t> </w:t>
      </w:r>
      <w:r>
        <w:rPr>
          <w:color w:val="2E614A"/>
          <w:w w:val="90"/>
        </w:rPr>
        <w:t>various</w:t>
      </w:r>
      <w:r>
        <w:rPr>
          <w:color w:val="2E614A"/>
          <w:spacing w:val="8"/>
        </w:rPr>
        <w:t> </w:t>
      </w:r>
      <w:r>
        <w:rPr>
          <w:color w:val="2E614A"/>
          <w:w w:val="90"/>
        </w:rPr>
        <w:t>fields</w:t>
      </w:r>
      <w:r>
        <w:rPr>
          <w:color w:val="2E614A"/>
          <w:spacing w:val="8"/>
        </w:rPr>
        <w:t> </w:t>
      </w:r>
      <w:r>
        <w:rPr>
          <w:color w:val="2E614A"/>
          <w:w w:val="90"/>
        </w:rPr>
        <w:t>of</w:t>
      </w:r>
      <w:r>
        <w:rPr>
          <w:color w:val="2E614A"/>
          <w:spacing w:val="9"/>
        </w:rPr>
        <w:t> </w:t>
      </w:r>
      <w:r>
        <w:rPr>
          <w:color w:val="2E614A"/>
          <w:spacing w:val="-2"/>
          <w:w w:val="90"/>
        </w:rPr>
        <w:t>inventions</w:t>
      </w:r>
    </w:p>
    <w:p>
      <w:pPr>
        <w:pStyle w:val="BodyText"/>
        <w:spacing w:before="5"/>
        <w:rPr>
          <w:b/>
          <w:sz w:val="9"/>
        </w:rPr>
      </w:pPr>
      <w:r>
        <w:rPr/>
        <mc:AlternateContent>
          <mc:Choice Requires="wps">
            <w:drawing>
              <wp:anchor distT="0" distB="0" distL="0" distR="0" allowOverlap="1" layoutInCell="1" locked="0" behindDoc="1" simplePos="0" relativeHeight="487735296">
                <wp:simplePos x="0" y="0"/>
                <wp:positionH relativeFrom="page">
                  <wp:posOffset>1263600</wp:posOffset>
                </wp:positionH>
                <wp:positionV relativeFrom="paragraph">
                  <wp:posOffset>84250</wp:posOffset>
                </wp:positionV>
                <wp:extent cx="5045710" cy="2294890"/>
                <wp:effectExtent l="0" t="0" r="0" b="0"/>
                <wp:wrapTopAndBottom/>
                <wp:docPr id="2142" name="Group 2142"/>
                <wp:cNvGraphicFramePr>
                  <a:graphicFrameLocks/>
                </wp:cNvGraphicFramePr>
                <a:graphic>
                  <a:graphicData uri="http://schemas.microsoft.com/office/word/2010/wordprocessingGroup">
                    <wpg:wgp>
                      <wpg:cNvPr id="2142" name="Group 2142"/>
                      <wpg:cNvGrpSpPr/>
                      <wpg:grpSpPr>
                        <a:xfrm>
                          <a:off x="0" y="0"/>
                          <a:ext cx="5045710" cy="2294890"/>
                          <a:chExt cx="5045710" cy="2294890"/>
                        </a:xfrm>
                      </wpg:grpSpPr>
                      <wps:wsp>
                        <wps:cNvPr id="2143" name="Graphic 2143"/>
                        <wps:cNvSpPr/>
                        <wps:spPr>
                          <a:xfrm>
                            <a:off x="384631" y="1016482"/>
                            <a:ext cx="4150995" cy="972819"/>
                          </a:xfrm>
                          <a:custGeom>
                            <a:avLst/>
                            <a:gdLst/>
                            <a:ahLst/>
                            <a:cxnLst/>
                            <a:rect l="l" t="t" r="r" b="b"/>
                            <a:pathLst>
                              <a:path w="4150995" h="972819">
                                <a:moveTo>
                                  <a:pt x="126555" y="0"/>
                                </a:moveTo>
                                <a:lnTo>
                                  <a:pt x="0" y="0"/>
                                </a:lnTo>
                                <a:lnTo>
                                  <a:pt x="0" y="972337"/>
                                </a:lnTo>
                                <a:lnTo>
                                  <a:pt x="126555" y="972337"/>
                                </a:lnTo>
                                <a:lnTo>
                                  <a:pt x="126555" y="0"/>
                                </a:lnTo>
                                <a:close/>
                              </a:path>
                              <a:path w="4150995" h="972819">
                                <a:moveTo>
                                  <a:pt x="700214" y="401434"/>
                                </a:moveTo>
                                <a:lnTo>
                                  <a:pt x="573671" y="401434"/>
                                </a:lnTo>
                                <a:lnTo>
                                  <a:pt x="573671" y="972337"/>
                                </a:lnTo>
                                <a:lnTo>
                                  <a:pt x="700214" y="972337"/>
                                </a:lnTo>
                                <a:lnTo>
                                  <a:pt x="700214" y="401434"/>
                                </a:lnTo>
                                <a:close/>
                              </a:path>
                              <a:path w="4150995" h="972819">
                                <a:moveTo>
                                  <a:pt x="1273886" y="927735"/>
                                </a:moveTo>
                                <a:lnTo>
                                  <a:pt x="1147343" y="927735"/>
                                </a:lnTo>
                                <a:lnTo>
                                  <a:pt x="1147343" y="972337"/>
                                </a:lnTo>
                                <a:lnTo>
                                  <a:pt x="1273886" y="972337"/>
                                </a:lnTo>
                                <a:lnTo>
                                  <a:pt x="1273886" y="927735"/>
                                </a:lnTo>
                                <a:close/>
                              </a:path>
                              <a:path w="4150995" h="972819">
                                <a:moveTo>
                                  <a:pt x="1847557" y="704723"/>
                                </a:moveTo>
                                <a:lnTo>
                                  <a:pt x="1721015" y="704723"/>
                                </a:lnTo>
                                <a:lnTo>
                                  <a:pt x="1721015" y="972337"/>
                                </a:lnTo>
                                <a:lnTo>
                                  <a:pt x="1847557" y="972337"/>
                                </a:lnTo>
                                <a:lnTo>
                                  <a:pt x="1847557" y="704723"/>
                                </a:lnTo>
                                <a:close/>
                              </a:path>
                              <a:path w="4150995" h="972819">
                                <a:moveTo>
                                  <a:pt x="2429662" y="151650"/>
                                </a:moveTo>
                                <a:lnTo>
                                  <a:pt x="2303119" y="151650"/>
                                </a:lnTo>
                                <a:lnTo>
                                  <a:pt x="2303119" y="972337"/>
                                </a:lnTo>
                                <a:lnTo>
                                  <a:pt x="2429662" y="972337"/>
                                </a:lnTo>
                                <a:lnTo>
                                  <a:pt x="2429662" y="151650"/>
                                </a:lnTo>
                                <a:close/>
                              </a:path>
                              <a:path w="4150995" h="972819">
                                <a:moveTo>
                                  <a:pt x="3003334" y="285457"/>
                                </a:moveTo>
                                <a:lnTo>
                                  <a:pt x="2876778" y="285457"/>
                                </a:lnTo>
                                <a:lnTo>
                                  <a:pt x="2876778" y="972337"/>
                                </a:lnTo>
                                <a:lnTo>
                                  <a:pt x="3003334" y="972337"/>
                                </a:lnTo>
                                <a:lnTo>
                                  <a:pt x="3003334" y="285457"/>
                                </a:lnTo>
                                <a:close/>
                              </a:path>
                              <a:path w="4150995" h="972819">
                                <a:moveTo>
                                  <a:pt x="3576993" y="669036"/>
                                </a:moveTo>
                                <a:lnTo>
                                  <a:pt x="3450450" y="669036"/>
                                </a:lnTo>
                                <a:lnTo>
                                  <a:pt x="3450450" y="972337"/>
                                </a:lnTo>
                                <a:lnTo>
                                  <a:pt x="3576993" y="972337"/>
                                </a:lnTo>
                                <a:lnTo>
                                  <a:pt x="3576993" y="669036"/>
                                </a:lnTo>
                                <a:close/>
                              </a:path>
                              <a:path w="4150995" h="972819">
                                <a:moveTo>
                                  <a:pt x="4150652" y="312229"/>
                                </a:moveTo>
                                <a:lnTo>
                                  <a:pt x="4024109" y="312229"/>
                                </a:lnTo>
                                <a:lnTo>
                                  <a:pt x="4024109" y="972337"/>
                                </a:lnTo>
                                <a:lnTo>
                                  <a:pt x="4150652" y="972337"/>
                                </a:lnTo>
                                <a:lnTo>
                                  <a:pt x="4150652" y="312229"/>
                                </a:lnTo>
                                <a:close/>
                              </a:path>
                            </a:pathLst>
                          </a:custGeom>
                          <a:solidFill>
                            <a:srgbClr val="B8B3B4"/>
                          </a:solidFill>
                        </wps:spPr>
                        <wps:bodyPr wrap="square" lIns="0" tIns="0" rIns="0" bIns="0" rtlCol="0">
                          <a:prstTxWarp prst="textNoShape">
                            <a:avLst/>
                          </a:prstTxWarp>
                          <a:noAutofit/>
                        </wps:bodyPr>
                      </wps:wsp>
                      <wps:wsp>
                        <wps:cNvPr id="2144" name="Graphic 2144"/>
                        <wps:cNvSpPr/>
                        <wps:spPr>
                          <a:xfrm>
                            <a:off x="511187" y="552627"/>
                            <a:ext cx="4150995" cy="1436370"/>
                          </a:xfrm>
                          <a:custGeom>
                            <a:avLst/>
                            <a:gdLst/>
                            <a:ahLst/>
                            <a:cxnLst/>
                            <a:rect l="l" t="t" r="r" b="b"/>
                            <a:pathLst>
                              <a:path w="4150995" h="1436370">
                                <a:moveTo>
                                  <a:pt x="126542" y="0"/>
                                </a:moveTo>
                                <a:lnTo>
                                  <a:pt x="0" y="0"/>
                                </a:lnTo>
                                <a:lnTo>
                                  <a:pt x="0" y="1436192"/>
                                </a:lnTo>
                                <a:lnTo>
                                  <a:pt x="126542" y="1436192"/>
                                </a:lnTo>
                                <a:lnTo>
                                  <a:pt x="126542" y="0"/>
                                </a:lnTo>
                                <a:close/>
                              </a:path>
                              <a:path w="4150995" h="1436370">
                                <a:moveTo>
                                  <a:pt x="700201" y="892035"/>
                                </a:moveTo>
                                <a:lnTo>
                                  <a:pt x="573659" y="892035"/>
                                </a:lnTo>
                                <a:lnTo>
                                  <a:pt x="573659" y="1436192"/>
                                </a:lnTo>
                                <a:lnTo>
                                  <a:pt x="700201" y="1436192"/>
                                </a:lnTo>
                                <a:lnTo>
                                  <a:pt x="700201" y="892035"/>
                                </a:lnTo>
                                <a:close/>
                              </a:path>
                              <a:path w="4150995" h="1436370">
                                <a:moveTo>
                                  <a:pt x="1273873" y="1409433"/>
                                </a:moveTo>
                                <a:lnTo>
                                  <a:pt x="1147330" y="1409433"/>
                                </a:lnTo>
                                <a:lnTo>
                                  <a:pt x="1147330" y="1436192"/>
                                </a:lnTo>
                                <a:lnTo>
                                  <a:pt x="1273873" y="1436192"/>
                                </a:lnTo>
                                <a:lnTo>
                                  <a:pt x="1273873" y="1409433"/>
                                </a:lnTo>
                                <a:close/>
                              </a:path>
                              <a:path w="4150995" h="1436370">
                                <a:moveTo>
                                  <a:pt x="1855978" y="1123975"/>
                                </a:moveTo>
                                <a:lnTo>
                                  <a:pt x="1721002" y="1123975"/>
                                </a:lnTo>
                                <a:lnTo>
                                  <a:pt x="1721002" y="1436192"/>
                                </a:lnTo>
                                <a:lnTo>
                                  <a:pt x="1855978" y="1436192"/>
                                </a:lnTo>
                                <a:lnTo>
                                  <a:pt x="1855978" y="1123975"/>
                                </a:lnTo>
                                <a:close/>
                              </a:path>
                              <a:path w="4150995" h="1436370">
                                <a:moveTo>
                                  <a:pt x="2429649" y="267614"/>
                                </a:moveTo>
                                <a:lnTo>
                                  <a:pt x="2303107" y="267614"/>
                                </a:lnTo>
                                <a:lnTo>
                                  <a:pt x="2303107" y="1436192"/>
                                </a:lnTo>
                                <a:lnTo>
                                  <a:pt x="2429649" y="1436192"/>
                                </a:lnTo>
                                <a:lnTo>
                                  <a:pt x="2429649" y="267614"/>
                                </a:lnTo>
                                <a:close/>
                              </a:path>
                              <a:path w="4150995" h="1436370">
                                <a:moveTo>
                                  <a:pt x="3003321" y="26758"/>
                                </a:moveTo>
                                <a:lnTo>
                                  <a:pt x="2876778" y="26758"/>
                                </a:lnTo>
                                <a:lnTo>
                                  <a:pt x="2876778" y="1436192"/>
                                </a:lnTo>
                                <a:lnTo>
                                  <a:pt x="3003321" y="1436192"/>
                                </a:lnTo>
                                <a:lnTo>
                                  <a:pt x="3003321" y="26758"/>
                                </a:lnTo>
                                <a:close/>
                              </a:path>
                              <a:path w="4150995" h="1436370">
                                <a:moveTo>
                                  <a:pt x="3576980" y="1061529"/>
                                </a:moveTo>
                                <a:lnTo>
                                  <a:pt x="3450437" y="1061529"/>
                                </a:lnTo>
                                <a:lnTo>
                                  <a:pt x="3450437" y="1436192"/>
                                </a:lnTo>
                                <a:lnTo>
                                  <a:pt x="3576980" y="1436192"/>
                                </a:lnTo>
                                <a:lnTo>
                                  <a:pt x="3576980" y="1061529"/>
                                </a:lnTo>
                                <a:close/>
                              </a:path>
                              <a:path w="4150995" h="1436370">
                                <a:moveTo>
                                  <a:pt x="4150639" y="660120"/>
                                </a:moveTo>
                                <a:lnTo>
                                  <a:pt x="4024096" y="660120"/>
                                </a:lnTo>
                                <a:lnTo>
                                  <a:pt x="4024096" y="1436192"/>
                                </a:lnTo>
                                <a:lnTo>
                                  <a:pt x="4150639" y="1436192"/>
                                </a:lnTo>
                                <a:lnTo>
                                  <a:pt x="4150639" y="660120"/>
                                </a:lnTo>
                                <a:close/>
                              </a:path>
                            </a:pathLst>
                          </a:custGeom>
                          <a:solidFill>
                            <a:srgbClr val="E3C626"/>
                          </a:solidFill>
                        </wps:spPr>
                        <wps:bodyPr wrap="square" lIns="0" tIns="0" rIns="0" bIns="0" rtlCol="0">
                          <a:prstTxWarp prst="textNoShape">
                            <a:avLst/>
                          </a:prstTxWarp>
                          <a:noAutofit/>
                        </wps:bodyPr>
                      </wps:wsp>
                      <wps:wsp>
                        <wps:cNvPr id="2145" name="Graphic 2145"/>
                        <wps:cNvSpPr/>
                        <wps:spPr>
                          <a:xfrm>
                            <a:off x="637729" y="418820"/>
                            <a:ext cx="4150995" cy="1570355"/>
                          </a:xfrm>
                          <a:custGeom>
                            <a:avLst/>
                            <a:gdLst/>
                            <a:ahLst/>
                            <a:cxnLst/>
                            <a:rect l="l" t="t" r="r" b="b"/>
                            <a:pathLst>
                              <a:path w="4150995" h="1570355">
                                <a:moveTo>
                                  <a:pt x="126542" y="0"/>
                                </a:moveTo>
                                <a:lnTo>
                                  <a:pt x="0" y="0"/>
                                </a:lnTo>
                                <a:lnTo>
                                  <a:pt x="0" y="1569999"/>
                                </a:lnTo>
                                <a:lnTo>
                                  <a:pt x="126542" y="1569999"/>
                                </a:lnTo>
                                <a:lnTo>
                                  <a:pt x="126542" y="0"/>
                                </a:lnTo>
                                <a:close/>
                              </a:path>
                              <a:path w="4150995" h="1570355">
                                <a:moveTo>
                                  <a:pt x="700214" y="767156"/>
                                </a:moveTo>
                                <a:lnTo>
                                  <a:pt x="573659" y="767156"/>
                                </a:lnTo>
                                <a:lnTo>
                                  <a:pt x="573659" y="1569999"/>
                                </a:lnTo>
                                <a:lnTo>
                                  <a:pt x="700214" y="1569999"/>
                                </a:lnTo>
                                <a:lnTo>
                                  <a:pt x="700214" y="767156"/>
                                </a:lnTo>
                                <a:close/>
                              </a:path>
                              <a:path w="4150995" h="1570355">
                                <a:moveTo>
                                  <a:pt x="1273873" y="1266698"/>
                                </a:moveTo>
                                <a:lnTo>
                                  <a:pt x="1147330" y="1266698"/>
                                </a:lnTo>
                                <a:lnTo>
                                  <a:pt x="1147330" y="1569999"/>
                                </a:lnTo>
                                <a:lnTo>
                                  <a:pt x="1273873" y="1569999"/>
                                </a:lnTo>
                                <a:lnTo>
                                  <a:pt x="1273873" y="1266698"/>
                                </a:lnTo>
                                <a:close/>
                              </a:path>
                              <a:path w="4150995" h="1570355">
                                <a:moveTo>
                                  <a:pt x="1855990" y="981252"/>
                                </a:moveTo>
                                <a:lnTo>
                                  <a:pt x="1729435" y="981252"/>
                                </a:lnTo>
                                <a:lnTo>
                                  <a:pt x="1729435" y="1569999"/>
                                </a:lnTo>
                                <a:lnTo>
                                  <a:pt x="1855990" y="1569999"/>
                                </a:lnTo>
                                <a:lnTo>
                                  <a:pt x="1855990" y="981252"/>
                                </a:lnTo>
                                <a:close/>
                              </a:path>
                              <a:path w="4150995" h="1570355">
                                <a:moveTo>
                                  <a:pt x="2429649" y="205168"/>
                                </a:moveTo>
                                <a:lnTo>
                                  <a:pt x="2303107" y="205168"/>
                                </a:lnTo>
                                <a:lnTo>
                                  <a:pt x="2303107" y="1569999"/>
                                </a:lnTo>
                                <a:lnTo>
                                  <a:pt x="2429649" y="1569999"/>
                                </a:lnTo>
                                <a:lnTo>
                                  <a:pt x="2429649" y="205168"/>
                                </a:lnTo>
                                <a:close/>
                              </a:path>
                              <a:path w="4150995" h="1570355">
                                <a:moveTo>
                                  <a:pt x="3003321" y="133807"/>
                                </a:moveTo>
                                <a:lnTo>
                                  <a:pt x="2876778" y="133807"/>
                                </a:lnTo>
                                <a:lnTo>
                                  <a:pt x="2876778" y="1569999"/>
                                </a:lnTo>
                                <a:lnTo>
                                  <a:pt x="3003321" y="1569999"/>
                                </a:lnTo>
                                <a:lnTo>
                                  <a:pt x="3003321" y="133807"/>
                                </a:lnTo>
                                <a:close/>
                              </a:path>
                              <a:path w="4150995" h="1570355">
                                <a:moveTo>
                                  <a:pt x="3576980" y="883119"/>
                                </a:moveTo>
                                <a:lnTo>
                                  <a:pt x="3450437" y="883119"/>
                                </a:lnTo>
                                <a:lnTo>
                                  <a:pt x="3450437" y="1569999"/>
                                </a:lnTo>
                                <a:lnTo>
                                  <a:pt x="3576980" y="1569999"/>
                                </a:lnTo>
                                <a:lnTo>
                                  <a:pt x="3576980" y="883119"/>
                                </a:lnTo>
                                <a:close/>
                              </a:path>
                              <a:path w="4150995" h="1570355">
                                <a:moveTo>
                                  <a:pt x="4150639" y="1168577"/>
                                </a:moveTo>
                                <a:lnTo>
                                  <a:pt x="4024096" y="1168577"/>
                                </a:lnTo>
                                <a:lnTo>
                                  <a:pt x="4024096" y="1569999"/>
                                </a:lnTo>
                                <a:lnTo>
                                  <a:pt x="4150639" y="1569999"/>
                                </a:lnTo>
                                <a:lnTo>
                                  <a:pt x="4150639" y="1168577"/>
                                </a:lnTo>
                                <a:close/>
                              </a:path>
                            </a:pathLst>
                          </a:custGeom>
                          <a:solidFill>
                            <a:srgbClr val="2F7D41"/>
                          </a:solidFill>
                        </wps:spPr>
                        <wps:bodyPr wrap="square" lIns="0" tIns="0" rIns="0" bIns="0" rtlCol="0">
                          <a:prstTxWarp prst="textNoShape">
                            <a:avLst/>
                          </a:prstTxWarp>
                          <a:noAutofit/>
                        </wps:bodyPr>
                      </wps:wsp>
                      <wps:wsp>
                        <wps:cNvPr id="2146" name="Graphic 2146"/>
                        <wps:cNvSpPr/>
                        <wps:spPr>
                          <a:xfrm>
                            <a:off x="255091" y="255066"/>
                            <a:ext cx="4638040" cy="1764030"/>
                          </a:xfrm>
                          <a:custGeom>
                            <a:avLst/>
                            <a:gdLst/>
                            <a:ahLst/>
                            <a:cxnLst/>
                            <a:rect l="l" t="t" r="r" b="b"/>
                            <a:pathLst>
                              <a:path w="4638040" h="1764030">
                                <a:moveTo>
                                  <a:pt x="4637519" y="1730578"/>
                                </a:moveTo>
                                <a:lnTo>
                                  <a:pt x="4637519" y="1730578"/>
                                </a:lnTo>
                                <a:lnTo>
                                  <a:pt x="40093" y="1730578"/>
                                </a:lnTo>
                                <a:lnTo>
                                  <a:pt x="40093" y="0"/>
                                </a:lnTo>
                                <a:lnTo>
                                  <a:pt x="33743" y="0"/>
                                </a:lnTo>
                                <a:lnTo>
                                  <a:pt x="0" y="0"/>
                                </a:lnTo>
                                <a:lnTo>
                                  <a:pt x="0" y="6350"/>
                                </a:lnTo>
                                <a:lnTo>
                                  <a:pt x="33743" y="6350"/>
                                </a:lnTo>
                                <a:lnTo>
                                  <a:pt x="33743" y="249783"/>
                                </a:lnTo>
                                <a:lnTo>
                                  <a:pt x="0" y="249783"/>
                                </a:lnTo>
                                <a:lnTo>
                                  <a:pt x="0" y="256133"/>
                                </a:lnTo>
                                <a:lnTo>
                                  <a:pt x="33743" y="256133"/>
                                </a:lnTo>
                                <a:lnTo>
                                  <a:pt x="33743" y="490639"/>
                                </a:lnTo>
                                <a:lnTo>
                                  <a:pt x="0" y="490639"/>
                                </a:lnTo>
                                <a:lnTo>
                                  <a:pt x="0" y="496989"/>
                                </a:lnTo>
                                <a:lnTo>
                                  <a:pt x="33743" y="496989"/>
                                </a:lnTo>
                                <a:lnTo>
                                  <a:pt x="33743" y="740410"/>
                                </a:lnTo>
                                <a:lnTo>
                                  <a:pt x="0" y="740410"/>
                                </a:lnTo>
                                <a:lnTo>
                                  <a:pt x="0" y="746760"/>
                                </a:lnTo>
                                <a:lnTo>
                                  <a:pt x="33743" y="746760"/>
                                </a:lnTo>
                                <a:lnTo>
                                  <a:pt x="33743" y="990180"/>
                                </a:lnTo>
                                <a:lnTo>
                                  <a:pt x="0" y="990180"/>
                                </a:lnTo>
                                <a:lnTo>
                                  <a:pt x="0" y="996530"/>
                                </a:lnTo>
                                <a:lnTo>
                                  <a:pt x="33743" y="996530"/>
                                </a:lnTo>
                                <a:lnTo>
                                  <a:pt x="33743" y="1239951"/>
                                </a:lnTo>
                                <a:lnTo>
                                  <a:pt x="0" y="1239951"/>
                                </a:lnTo>
                                <a:lnTo>
                                  <a:pt x="0" y="1246301"/>
                                </a:lnTo>
                                <a:lnTo>
                                  <a:pt x="33743" y="1246301"/>
                                </a:lnTo>
                                <a:lnTo>
                                  <a:pt x="33743" y="1480807"/>
                                </a:lnTo>
                                <a:lnTo>
                                  <a:pt x="0" y="1480807"/>
                                </a:lnTo>
                                <a:lnTo>
                                  <a:pt x="0" y="1487157"/>
                                </a:lnTo>
                                <a:lnTo>
                                  <a:pt x="33743" y="1487157"/>
                                </a:lnTo>
                                <a:lnTo>
                                  <a:pt x="33743" y="1730578"/>
                                </a:lnTo>
                                <a:lnTo>
                                  <a:pt x="0" y="1730578"/>
                                </a:lnTo>
                                <a:lnTo>
                                  <a:pt x="0" y="1736928"/>
                                </a:lnTo>
                                <a:lnTo>
                                  <a:pt x="33743" y="1736928"/>
                                </a:lnTo>
                                <a:lnTo>
                                  <a:pt x="33743" y="1763687"/>
                                </a:lnTo>
                                <a:lnTo>
                                  <a:pt x="40093" y="1763687"/>
                                </a:lnTo>
                                <a:lnTo>
                                  <a:pt x="40093" y="1736928"/>
                                </a:lnTo>
                                <a:lnTo>
                                  <a:pt x="607377" y="1736928"/>
                                </a:lnTo>
                                <a:lnTo>
                                  <a:pt x="607377" y="1763687"/>
                                </a:lnTo>
                                <a:lnTo>
                                  <a:pt x="613727" y="1763687"/>
                                </a:lnTo>
                                <a:lnTo>
                                  <a:pt x="613727" y="1736928"/>
                                </a:lnTo>
                                <a:lnTo>
                                  <a:pt x="1180998" y="1736928"/>
                                </a:lnTo>
                                <a:lnTo>
                                  <a:pt x="1180998" y="1763687"/>
                                </a:lnTo>
                                <a:lnTo>
                                  <a:pt x="1187348" y="1763687"/>
                                </a:lnTo>
                                <a:lnTo>
                                  <a:pt x="1187348" y="1736928"/>
                                </a:lnTo>
                                <a:lnTo>
                                  <a:pt x="1754619" y="1736928"/>
                                </a:lnTo>
                                <a:lnTo>
                                  <a:pt x="1754619" y="1763687"/>
                                </a:lnTo>
                                <a:lnTo>
                                  <a:pt x="1760969" y="1763687"/>
                                </a:lnTo>
                                <a:lnTo>
                                  <a:pt x="1760969" y="1736928"/>
                                </a:lnTo>
                                <a:lnTo>
                                  <a:pt x="2336685" y="1736928"/>
                                </a:lnTo>
                                <a:lnTo>
                                  <a:pt x="2336685" y="1763687"/>
                                </a:lnTo>
                                <a:lnTo>
                                  <a:pt x="2343035" y="1763687"/>
                                </a:lnTo>
                                <a:lnTo>
                                  <a:pt x="2343035" y="1736928"/>
                                </a:lnTo>
                                <a:lnTo>
                                  <a:pt x="2910306" y="1736928"/>
                                </a:lnTo>
                                <a:lnTo>
                                  <a:pt x="2910306" y="1763687"/>
                                </a:lnTo>
                                <a:lnTo>
                                  <a:pt x="2916656" y="1763687"/>
                                </a:lnTo>
                                <a:lnTo>
                                  <a:pt x="2916656" y="1736928"/>
                                </a:lnTo>
                                <a:lnTo>
                                  <a:pt x="3483927" y="1736928"/>
                                </a:lnTo>
                                <a:lnTo>
                                  <a:pt x="3483927" y="1763687"/>
                                </a:lnTo>
                                <a:lnTo>
                                  <a:pt x="3490277" y="1763687"/>
                                </a:lnTo>
                                <a:lnTo>
                                  <a:pt x="3490277" y="1736928"/>
                                </a:lnTo>
                                <a:lnTo>
                                  <a:pt x="4057548" y="1736928"/>
                                </a:lnTo>
                                <a:lnTo>
                                  <a:pt x="4057548" y="1763687"/>
                                </a:lnTo>
                                <a:lnTo>
                                  <a:pt x="4063898" y="1763687"/>
                                </a:lnTo>
                                <a:lnTo>
                                  <a:pt x="4063898" y="1736928"/>
                                </a:lnTo>
                                <a:lnTo>
                                  <a:pt x="4631169" y="1736928"/>
                                </a:lnTo>
                                <a:lnTo>
                                  <a:pt x="4631169" y="1763687"/>
                                </a:lnTo>
                                <a:lnTo>
                                  <a:pt x="4637519" y="1763687"/>
                                </a:lnTo>
                                <a:lnTo>
                                  <a:pt x="4637519" y="1730578"/>
                                </a:lnTo>
                                <a:close/>
                              </a:path>
                            </a:pathLst>
                          </a:custGeom>
                          <a:solidFill>
                            <a:srgbClr val="000000"/>
                          </a:solidFill>
                        </wps:spPr>
                        <wps:bodyPr wrap="square" lIns="0" tIns="0" rIns="0" bIns="0" rtlCol="0">
                          <a:prstTxWarp prst="textNoShape">
                            <a:avLst/>
                          </a:prstTxWarp>
                          <a:noAutofit/>
                        </wps:bodyPr>
                      </wps:wsp>
                      <wps:wsp>
                        <wps:cNvPr id="2147" name="Graphic 2147"/>
                        <wps:cNvSpPr/>
                        <wps:spPr>
                          <a:xfrm>
                            <a:off x="3682375" y="162264"/>
                            <a:ext cx="59055" cy="62865"/>
                          </a:xfrm>
                          <a:custGeom>
                            <a:avLst/>
                            <a:gdLst/>
                            <a:ahLst/>
                            <a:cxnLst/>
                            <a:rect l="l" t="t" r="r" b="b"/>
                            <a:pathLst>
                              <a:path w="59055" h="62865">
                                <a:moveTo>
                                  <a:pt x="59053" y="0"/>
                                </a:moveTo>
                                <a:lnTo>
                                  <a:pt x="0" y="0"/>
                                </a:lnTo>
                                <a:lnTo>
                                  <a:pt x="0" y="62441"/>
                                </a:lnTo>
                                <a:lnTo>
                                  <a:pt x="59053" y="62441"/>
                                </a:lnTo>
                                <a:lnTo>
                                  <a:pt x="59053" y="0"/>
                                </a:lnTo>
                                <a:close/>
                              </a:path>
                            </a:pathLst>
                          </a:custGeom>
                          <a:solidFill>
                            <a:srgbClr val="B8B3B4"/>
                          </a:solidFill>
                        </wps:spPr>
                        <wps:bodyPr wrap="square" lIns="0" tIns="0" rIns="0" bIns="0" rtlCol="0">
                          <a:prstTxWarp prst="textNoShape">
                            <a:avLst/>
                          </a:prstTxWarp>
                          <a:noAutofit/>
                        </wps:bodyPr>
                      </wps:wsp>
                      <wps:wsp>
                        <wps:cNvPr id="2148" name="Graphic 2148"/>
                        <wps:cNvSpPr/>
                        <wps:spPr>
                          <a:xfrm>
                            <a:off x="4123863" y="162264"/>
                            <a:ext cx="59055" cy="62865"/>
                          </a:xfrm>
                          <a:custGeom>
                            <a:avLst/>
                            <a:gdLst/>
                            <a:ahLst/>
                            <a:cxnLst/>
                            <a:rect l="l" t="t" r="r" b="b"/>
                            <a:pathLst>
                              <a:path w="59055" h="62865">
                                <a:moveTo>
                                  <a:pt x="59053" y="0"/>
                                </a:moveTo>
                                <a:lnTo>
                                  <a:pt x="0" y="0"/>
                                </a:lnTo>
                                <a:lnTo>
                                  <a:pt x="0" y="62441"/>
                                </a:lnTo>
                                <a:lnTo>
                                  <a:pt x="59053" y="62441"/>
                                </a:lnTo>
                                <a:lnTo>
                                  <a:pt x="59053" y="0"/>
                                </a:lnTo>
                                <a:close/>
                              </a:path>
                            </a:pathLst>
                          </a:custGeom>
                          <a:solidFill>
                            <a:srgbClr val="E3C626"/>
                          </a:solidFill>
                        </wps:spPr>
                        <wps:bodyPr wrap="square" lIns="0" tIns="0" rIns="0" bIns="0" rtlCol="0">
                          <a:prstTxWarp prst="textNoShape">
                            <a:avLst/>
                          </a:prstTxWarp>
                          <a:noAutofit/>
                        </wps:bodyPr>
                      </wps:wsp>
                      <wps:wsp>
                        <wps:cNvPr id="2149" name="Graphic 2149"/>
                        <wps:cNvSpPr/>
                        <wps:spPr>
                          <a:xfrm>
                            <a:off x="4565356" y="162264"/>
                            <a:ext cx="59055" cy="62865"/>
                          </a:xfrm>
                          <a:custGeom>
                            <a:avLst/>
                            <a:gdLst/>
                            <a:ahLst/>
                            <a:cxnLst/>
                            <a:rect l="l" t="t" r="r" b="b"/>
                            <a:pathLst>
                              <a:path w="59055" h="62865">
                                <a:moveTo>
                                  <a:pt x="59052" y="0"/>
                                </a:moveTo>
                                <a:lnTo>
                                  <a:pt x="0" y="0"/>
                                </a:lnTo>
                                <a:lnTo>
                                  <a:pt x="0" y="62441"/>
                                </a:lnTo>
                                <a:lnTo>
                                  <a:pt x="59052" y="62441"/>
                                </a:lnTo>
                                <a:lnTo>
                                  <a:pt x="59052" y="0"/>
                                </a:lnTo>
                                <a:close/>
                              </a:path>
                            </a:pathLst>
                          </a:custGeom>
                          <a:solidFill>
                            <a:srgbClr val="2F7D41"/>
                          </a:solidFill>
                        </wps:spPr>
                        <wps:bodyPr wrap="square" lIns="0" tIns="0" rIns="0" bIns="0" rtlCol="0">
                          <a:prstTxWarp prst="textNoShape">
                            <a:avLst/>
                          </a:prstTxWarp>
                          <a:noAutofit/>
                        </wps:bodyPr>
                      </wps:wsp>
                      <wps:wsp>
                        <wps:cNvPr id="2150" name="Graphic 2150"/>
                        <wps:cNvSpPr/>
                        <wps:spPr>
                          <a:xfrm>
                            <a:off x="0" y="0"/>
                            <a:ext cx="5045710" cy="2294890"/>
                          </a:xfrm>
                          <a:custGeom>
                            <a:avLst/>
                            <a:gdLst/>
                            <a:ahLst/>
                            <a:cxnLst/>
                            <a:rect l="l" t="t" r="r" b="b"/>
                            <a:pathLst>
                              <a:path w="5045710" h="2294890">
                                <a:moveTo>
                                  <a:pt x="5045392" y="0"/>
                                </a:moveTo>
                                <a:lnTo>
                                  <a:pt x="5039042" y="0"/>
                                </a:lnTo>
                                <a:lnTo>
                                  <a:pt x="5039042" y="2540"/>
                                </a:lnTo>
                                <a:lnTo>
                                  <a:pt x="5039042" y="3086"/>
                                </a:lnTo>
                                <a:lnTo>
                                  <a:pt x="5039042" y="6261"/>
                                </a:lnTo>
                                <a:lnTo>
                                  <a:pt x="5039042" y="2288184"/>
                                </a:lnTo>
                                <a:lnTo>
                                  <a:pt x="6350" y="2288184"/>
                                </a:lnTo>
                                <a:lnTo>
                                  <a:pt x="6350" y="6350"/>
                                </a:lnTo>
                                <a:lnTo>
                                  <a:pt x="3175" y="6350"/>
                                </a:lnTo>
                                <a:lnTo>
                                  <a:pt x="6350" y="6261"/>
                                </a:lnTo>
                                <a:lnTo>
                                  <a:pt x="5039042" y="6261"/>
                                </a:lnTo>
                                <a:lnTo>
                                  <a:pt x="5039042" y="3086"/>
                                </a:lnTo>
                                <a:lnTo>
                                  <a:pt x="6350" y="3086"/>
                                </a:lnTo>
                                <a:lnTo>
                                  <a:pt x="3175" y="3086"/>
                                </a:lnTo>
                                <a:lnTo>
                                  <a:pt x="3175" y="2540"/>
                                </a:lnTo>
                                <a:lnTo>
                                  <a:pt x="5039042" y="2540"/>
                                </a:lnTo>
                                <a:lnTo>
                                  <a:pt x="5039042" y="0"/>
                                </a:lnTo>
                                <a:lnTo>
                                  <a:pt x="0" y="0"/>
                                </a:lnTo>
                                <a:lnTo>
                                  <a:pt x="0" y="2540"/>
                                </a:lnTo>
                                <a:lnTo>
                                  <a:pt x="0" y="6350"/>
                                </a:lnTo>
                                <a:lnTo>
                                  <a:pt x="0" y="2288540"/>
                                </a:lnTo>
                                <a:lnTo>
                                  <a:pt x="0" y="2291080"/>
                                </a:lnTo>
                                <a:lnTo>
                                  <a:pt x="0" y="2294890"/>
                                </a:lnTo>
                                <a:lnTo>
                                  <a:pt x="5045392" y="2294890"/>
                                </a:lnTo>
                                <a:lnTo>
                                  <a:pt x="5045392" y="6350"/>
                                </a:lnTo>
                                <a:lnTo>
                                  <a:pt x="5042217" y="6350"/>
                                </a:lnTo>
                                <a:lnTo>
                                  <a:pt x="5045392" y="6261"/>
                                </a:lnTo>
                                <a:lnTo>
                                  <a:pt x="5045392" y="3086"/>
                                </a:lnTo>
                                <a:lnTo>
                                  <a:pt x="5042217" y="3086"/>
                                </a:lnTo>
                                <a:lnTo>
                                  <a:pt x="5042217" y="2540"/>
                                </a:lnTo>
                                <a:lnTo>
                                  <a:pt x="5045392" y="2540"/>
                                </a:lnTo>
                                <a:lnTo>
                                  <a:pt x="5045392" y="0"/>
                                </a:lnTo>
                                <a:close/>
                              </a:path>
                            </a:pathLst>
                          </a:custGeom>
                          <a:solidFill>
                            <a:srgbClr val="000000"/>
                          </a:solidFill>
                        </wps:spPr>
                        <wps:bodyPr wrap="square" lIns="0" tIns="0" rIns="0" bIns="0" rtlCol="0">
                          <a:prstTxWarp prst="textNoShape">
                            <a:avLst/>
                          </a:prstTxWarp>
                          <a:noAutofit/>
                        </wps:bodyPr>
                      </wps:wsp>
                      <wps:wsp>
                        <wps:cNvPr id="2151" name="Textbox 2151"/>
                        <wps:cNvSpPr txBox="1"/>
                        <wps:spPr>
                          <a:xfrm>
                            <a:off x="4483086" y="2022812"/>
                            <a:ext cx="27241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General</w:t>
                              </w:r>
                            </w:p>
                          </w:txbxContent>
                        </wps:txbx>
                        <wps:bodyPr wrap="square" lIns="0" tIns="0" rIns="0" bIns="0" rtlCol="0">
                          <a:noAutofit/>
                        </wps:bodyPr>
                      </wps:wsp>
                      <wps:wsp>
                        <wps:cNvPr id="2152" name="Textbox 2152"/>
                        <wps:cNvSpPr txBox="1"/>
                        <wps:spPr>
                          <a:xfrm>
                            <a:off x="67494" y="206998"/>
                            <a:ext cx="17526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7000</w:t>
                              </w:r>
                            </w:p>
                          </w:txbxContent>
                        </wps:txbx>
                        <wps:bodyPr wrap="square" lIns="0" tIns="0" rIns="0" bIns="0" rtlCol="0">
                          <a:noAutofit/>
                        </wps:bodyPr>
                      </wps:wsp>
                      <wps:wsp>
                        <wps:cNvPr id="2153" name="Textbox 2153"/>
                        <wps:cNvSpPr txBox="1"/>
                        <wps:spPr>
                          <a:xfrm>
                            <a:off x="3774225" y="138180"/>
                            <a:ext cx="1171575" cy="102235"/>
                          </a:xfrm>
                          <a:prstGeom prst="rect">
                            <a:avLst/>
                          </a:prstGeom>
                        </wps:spPr>
                        <wps:txbx>
                          <w:txbxContent>
                            <w:p>
                              <w:pPr>
                                <w:tabs>
                                  <w:tab w:pos="699" w:val="left" w:leader="none"/>
                                  <w:tab w:pos="1405" w:val="left" w:leader="none"/>
                                </w:tabs>
                                <w:spacing w:line="161" w:lineRule="exact" w:before="0"/>
                                <w:ind w:left="0" w:right="0" w:firstLine="0"/>
                                <w:jc w:val="left"/>
                                <w:rPr>
                                  <w:rFonts w:ascii="Arial MT"/>
                                  <w:sz w:val="14"/>
                                </w:rPr>
                              </w:pPr>
                              <w:r>
                                <w:rPr>
                                  <w:rFonts w:ascii="Arial MT"/>
                                  <w:w w:val="80"/>
                                  <w:sz w:val="14"/>
                                </w:rPr>
                                <w:t>2004-</w:t>
                              </w:r>
                              <w:r>
                                <w:rPr>
                                  <w:rFonts w:ascii="Arial MT"/>
                                  <w:spacing w:val="-5"/>
                                  <w:w w:val="90"/>
                                  <w:sz w:val="14"/>
                                </w:rPr>
                                <w:t>05</w:t>
                              </w:r>
                              <w:r>
                                <w:rPr>
                                  <w:rFonts w:ascii="Arial MT"/>
                                  <w:sz w:val="14"/>
                                </w:rPr>
                                <w:tab/>
                              </w:r>
                              <w:r>
                                <w:rPr>
                                  <w:rFonts w:ascii="Arial MT"/>
                                  <w:w w:val="80"/>
                                  <w:sz w:val="14"/>
                                </w:rPr>
                                <w:t>2005-</w:t>
                              </w:r>
                              <w:r>
                                <w:rPr>
                                  <w:rFonts w:ascii="Arial MT"/>
                                  <w:spacing w:val="-5"/>
                                  <w:w w:val="90"/>
                                  <w:sz w:val="14"/>
                                </w:rPr>
                                <w:t>06</w:t>
                              </w:r>
                              <w:r>
                                <w:rPr>
                                  <w:rFonts w:ascii="Arial MT"/>
                                  <w:sz w:val="14"/>
                                </w:rPr>
                                <w:tab/>
                              </w:r>
                              <w:r>
                                <w:rPr>
                                  <w:rFonts w:ascii="Arial MT"/>
                                  <w:w w:val="80"/>
                                  <w:sz w:val="14"/>
                                </w:rPr>
                                <w:t>2006-</w:t>
                              </w:r>
                              <w:r>
                                <w:rPr>
                                  <w:rFonts w:ascii="Arial MT"/>
                                  <w:spacing w:val="-5"/>
                                  <w:w w:val="90"/>
                                  <w:sz w:val="14"/>
                                </w:rPr>
                                <w:t>07</w:t>
                              </w:r>
                            </w:p>
                          </w:txbxContent>
                        </wps:txbx>
                        <wps:bodyPr wrap="square" lIns="0" tIns="0" rIns="0" bIns="0" rtlCol="0">
                          <a:noAutofit/>
                        </wps:bodyPr>
                      </wps:wsp>
                      <wps:wsp>
                        <wps:cNvPr id="2154" name="Textbox 2154"/>
                        <wps:cNvSpPr txBox="1"/>
                        <wps:spPr>
                          <a:xfrm>
                            <a:off x="67494" y="454648"/>
                            <a:ext cx="175260" cy="15881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6000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5000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4000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3000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2000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1000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2155" name="Textbox 2155"/>
                        <wps:cNvSpPr txBox="1"/>
                        <wps:spPr>
                          <a:xfrm>
                            <a:off x="415457" y="2022812"/>
                            <a:ext cx="31686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Chemical</w:t>
                              </w:r>
                            </w:p>
                          </w:txbxContent>
                        </wps:txbx>
                        <wps:bodyPr wrap="square" lIns="0" tIns="0" rIns="0" bIns="0" rtlCol="0">
                          <a:noAutofit/>
                        </wps:bodyPr>
                      </wps:wsp>
                      <wps:wsp>
                        <wps:cNvPr id="2156" name="Textbox 2156"/>
                        <wps:cNvSpPr txBox="1"/>
                        <wps:spPr>
                          <a:xfrm>
                            <a:off x="1084376" y="2022812"/>
                            <a:ext cx="170815"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Drug</w:t>
                              </w:r>
                            </w:p>
                          </w:txbxContent>
                        </wps:txbx>
                        <wps:bodyPr wrap="square" lIns="0" tIns="0" rIns="0" bIns="0" rtlCol="0">
                          <a:noAutofit/>
                        </wps:bodyPr>
                      </wps:wsp>
                      <wps:wsp>
                        <wps:cNvPr id="2157" name="Textbox 2157"/>
                        <wps:cNvSpPr txBox="1"/>
                        <wps:spPr>
                          <a:xfrm>
                            <a:off x="1651774" y="2022812"/>
                            <a:ext cx="17907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Food</w:t>
                              </w:r>
                            </w:p>
                          </w:txbxContent>
                        </wps:txbx>
                        <wps:bodyPr wrap="square" lIns="0" tIns="0" rIns="0" bIns="0" rtlCol="0">
                          <a:noAutofit/>
                        </wps:bodyPr>
                      </wps:wsp>
                      <wps:wsp>
                        <wps:cNvPr id="2158" name="Textbox 2158"/>
                        <wps:cNvSpPr txBox="1"/>
                        <wps:spPr>
                          <a:xfrm>
                            <a:off x="2182980" y="2022812"/>
                            <a:ext cx="900430" cy="102235"/>
                          </a:xfrm>
                          <a:prstGeom prst="rect">
                            <a:avLst/>
                          </a:prstGeom>
                        </wps:spPr>
                        <wps:txbx>
                          <w:txbxContent>
                            <w:p>
                              <w:pPr>
                                <w:tabs>
                                  <w:tab w:pos="816" w:val="left" w:leader="none"/>
                                </w:tabs>
                                <w:spacing w:line="161" w:lineRule="exact" w:before="0"/>
                                <w:ind w:left="0" w:right="0" w:firstLine="0"/>
                                <w:jc w:val="left"/>
                                <w:rPr>
                                  <w:rFonts w:ascii="Arial MT"/>
                                  <w:sz w:val="14"/>
                                </w:rPr>
                              </w:pPr>
                              <w:r>
                                <w:rPr>
                                  <w:rFonts w:ascii="Arial MT"/>
                                  <w:spacing w:val="-2"/>
                                  <w:w w:val="90"/>
                                  <w:sz w:val="14"/>
                                </w:rPr>
                                <w:t>Electrical</w:t>
                              </w:r>
                              <w:r>
                                <w:rPr>
                                  <w:rFonts w:ascii="Arial MT"/>
                                  <w:sz w:val="14"/>
                                </w:rPr>
                                <w:tab/>
                              </w:r>
                              <w:r>
                                <w:rPr>
                                  <w:rFonts w:ascii="Arial MT"/>
                                  <w:spacing w:val="-2"/>
                                  <w:w w:val="85"/>
                                  <w:sz w:val="14"/>
                                </w:rPr>
                                <w:t>Mechanical</w:t>
                              </w:r>
                            </w:p>
                          </w:txbxContent>
                        </wps:txbx>
                        <wps:bodyPr wrap="square" lIns="0" tIns="0" rIns="0" bIns="0" rtlCol="0">
                          <a:noAutofit/>
                        </wps:bodyPr>
                      </wps:wsp>
                      <wps:wsp>
                        <wps:cNvPr id="2159" name="Textbox 2159"/>
                        <wps:cNvSpPr txBox="1"/>
                        <wps:spPr>
                          <a:xfrm>
                            <a:off x="3303801" y="2022812"/>
                            <a:ext cx="955040" cy="216535"/>
                          </a:xfrm>
                          <a:prstGeom prst="rect">
                            <a:avLst/>
                          </a:prstGeom>
                        </wps:spPr>
                        <wps:txbx>
                          <w:txbxContent>
                            <w:p>
                              <w:pPr>
                                <w:tabs>
                                  <w:tab w:pos="762" w:val="left" w:leader="none"/>
                                </w:tabs>
                                <w:spacing w:line="268" w:lineRule="auto" w:before="0"/>
                                <w:ind w:left="0" w:right="18" w:firstLine="12"/>
                                <w:jc w:val="left"/>
                                <w:rPr>
                                  <w:rFonts w:ascii="Arial MT"/>
                                  <w:sz w:val="14"/>
                                </w:rPr>
                              </w:pPr>
                              <w:r>
                                <w:rPr>
                                  <w:rFonts w:ascii="Arial MT"/>
                                  <w:spacing w:val="-2"/>
                                  <w:w w:val="90"/>
                                  <w:sz w:val="14"/>
                                </w:rPr>
                                <w:t>Computer/</w:t>
                              </w:r>
                              <w:r>
                                <w:rPr>
                                  <w:rFonts w:ascii="Arial MT"/>
                                  <w:sz w:val="14"/>
                                </w:rPr>
                                <w:tab/>
                              </w:r>
                              <w:r>
                                <w:rPr>
                                  <w:rFonts w:ascii="Arial MT"/>
                                  <w:spacing w:val="-2"/>
                                  <w:w w:val="80"/>
                                  <w:sz w:val="14"/>
                                </w:rPr>
                                <w:t>Biotechnology</w:t>
                              </w:r>
                              <w:r>
                                <w:rPr>
                                  <w:rFonts w:ascii="Arial MT"/>
                                  <w:spacing w:val="40"/>
                                  <w:sz w:val="14"/>
                                </w:rPr>
                                <w:t> </w:t>
                              </w:r>
                              <w:r>
                                <w:rPr>
                                  <w:rFonts w:ascii="Arial MT"/>
                                  <w:spacing w:val="-2"/>
                                  <w:w w:val="90"/>
                                  <w:sz w:val="14"/>
                                </w:rPr>
                                <w:t>Electronics</w:t>
                              </w:r>
                            </w:p>
                          </w:txbxContent>
                        </wps:txbx>
                        <wps:bodyPr wrap="square" lIns="0" tIns="0" rIns="0" bIns="0" rtlCol="0">
                          <a:noAutofit/>
                        </wps:bodyPr>
                      </wps:wsp>
                    </wpg:wgp>
                  </a:graphicData>
                </a:graphic>
              </wp:anchor>
            </w:drawing>
          </mc:Choice>
          <mc:Fallback>
            <w:pict>
              <v:group style="position:absolute;margin-left:99.496063pt;margin-top:6.633859pt;width:397.3pt;height:180.7pt;mso-position-horizontal-relative:page;mso-position-vertical-relative:paragraph;z-index:-15581184;mso-wrap-distance-left:0;mso-wrap-distance-right:0" id="docshapegroup2098" coordorigin="1990,133" coordsize="7946,3614">
                <v:shape style="position:absolute;left:2595;top:1733;width:6537;height:1532" id="docshape2099" coordorigin="2596,1733" coordsize="6537,1532" path="m2795,1733l2596,1733,2596,3265,2795,3265,2795,1733xm3698,2366l3499,2366,3499,3265,3698,3265,3698,2366xm4602,3194l4402,3194,4402,3265,4602,3265,4602,3194xm5505,2843l5306,2843,5306,3265,5505,3265,5505,2843xm6422,1972l6223,1972,6223,3265,6422,3265,6422,1972xm7325,2183l7126,2183,7126,3265,7325,3265,7325,2183xm8229,2787l8029,2787,8029,3265,8229,3265,8229,2787xm9132,2225l8933,2225,8933,3265,9132,3265,9132,2225xe" filled="true" fillcolor="#b8b3b4" stroked="false">
                  <v:path arrowok="t"/>
                  <v:fill type="solid"/>
                </v:shape>
                <v:shape style="position:absolute;left:2794;top:1002;width:6537;height:2262" id="docshape2100" coordorigin="2795,1003" coordsize="6537,2262" path="m2994,1003l2795,1003,2795,3265,2994,3265,2994,1003xm3898,2408l3698,2408,3698,3265,3898,3265,3898,2408xm4801,3223l4602,3223,4602,3265,4801,3265,4801,3223xm5718,2773l5505,2773,5505,3265,5718,3265,5718,2773xm6621,1424l6422,1424,6422,3265,6621,3265,6621,1424xm7525,1045l7325,1045,7325,3265,7525,3265,7525,1045xm8428,2675l8229,2675,8229,3265,8428,3265,8428,2675xm9331,2043l9132,2043,9132,3265,9331,3265,9331,2043xe" filled="true" fillcolor="#e3c626" stroked="false">
                  <v:path arrowok="t"/>
                  <v:fill type="solid"/>
                </v:shape>
                <v:shape style="position:absolute;left:2994;top:792;width:6537;height:2473" id="docshape2101" coordorigin="2994,792" coordsize="6537,2473" path="m3194,792l2994,792,2994,3265,3194,3265,3194,792xm4097,2000l3898,2000,3898,3265,4097,3265,4097,2000xm5000,2787l4801,2787,4801,3265,5000,3265,5000,2787xm5917,2338l5718,2338,5718,3265,5917,3265,5917,2338xm6820,1115l6621,1115,6621,3265,6820,3265,6820,1115xm7724,1003l7525,1003,7525,3265,7724,3265,7724,1003xm8627,2183l8428,2183,8428,3265,8627,3265,8627,2183xm9531,2633l9331,2633,9331,3265,9531,3265,9531,2633xe" filled="true" fillcolor="#2f7d41" stroked="false">
                  <v:path arrowok="t"/>
                  <v:fill type="solid"/>
                </v:shape>
                <v:shape style="position:absolute;left:2391;top:534;width:7304;height:2778" id="docshape2102" coordorigin="2392,534" coordsize="7304,2778" path="m9695,3260l9695,3260,2455,3260,2455,534,2445,534,2392,534,2392,544,2445,544,2445,928,2392,928,2392,938,2445,938,2445,1307,2392,1307,2392,1317,2445,1317,2445,1700,2392,1700,2392,1710,2445,1710,2445,2094,2392,2094,2392,2104,2445,2104,2445,2487,2392,2487,2392,2497,2445,2497,2445,2866,2392,2866,2392,2876,2445,2876,2445,3260,2392,3260,2392,3270,2445,3270,2445,3312,2455,3312,2455,3270,3348,3270,3348,3312,3358,3312,3358,3270,4251,3270,4251,3312,4261,3312,4261,3270,5155,3270,5155,3312,5165,3312,5165,3270,6071,3270,6071,3312,6081,3312,6081,3270,6975,3270,6975,3312,6985,3312,6985,3270,7878,3270,7878,3312,7888,3312,7888,3270,8781,3270,8781,3312,8791,3312,8791,3270,9685,3270,9685,3312,9695,3312,9695,3260xe" filled="true" fillcolor="#000000" stroked="false">
                  <v:path arrowok="t"/>
                  <v:fill type="solid"/>
                </v:shape>
                <v:rect style="position:absolute;left:7788;top:388;width:93;height:99" id="docshape2103" filled="true" fillcolor="#b8b3b4" stroked="false">
                  <v:fill type="solid"/>
                </v:rect>
                <v:rect style="position:absolute;left:8484;top:388;width:93;height:99" id="docshape2104" filled="true" fillcolor="#e3c626" stroked="false">
                  <v:fill type="solid"/>
                </v:rect>
                <v:rect style="position:absolute;left:9179;top:388;width:93;height:99" id="docshape2105" filled="true" fillcolor="#2f7d41" stroked="false">
                  <v:fill type="solid"/>
                </v:rect>
                <v:shape style="position:absolute;left:1989;top:132;width:7946;height:3614" id="docshape2106" coordorigin="1990,133" coordsize="7946,3614" path="m9935,133l9925,133,9925,137,9925,138,9925,143,9925,3736,2000,3736,2000,143,1995,143,2000,143,9925,143,9925,138,2000,138,1995,138,1995,137,9925,137,9925,133,1990,133,1990,137,1990,143,1990,3737,1990,3741,1990,3747,9935,3747,9935,143,9930,143,9935,143,9935,138,9930,138,9930,137,9935,137,9935,133xe" filled="true" fillcolor="#000000" stroked="false">
                  <v:path arrowok="t"/>
                  <v:fill type="solid"/>
                </v:shape>
                <v:shape style="position:absolute;left:9049;top:3318;width:429;height:161" type="#_x0000_t202" id="docshape2107" filled="false" stroked="false">
                  <v:textbox inset="0,0,0,0">
                    <w:txbxContent>
                      <w:p>
                        <w:pPr>
                          <w:spacing w:line="161" w:lineRule="exact" w:before="0"/>
                          <w:ind w:left="0" w:right="0" w:firstLine="0"/>
                          <w:jc w:val="left"/>
                          <w:rPr>
                            <w:rFonts w:ascii="Arial MT"/>
                            <w:sz w:val="14"/>
                          </w:rPr>
                        </w:pPr>
                        <w:r>
                          <w:rPr>
                            <w:rFonts w:ascii="Arial MT"/>
                            <w:spacing w:val="-2"/>
                            <w:w w:val="85"/>
                            <w:sz w:val="14"/>
                          </w:rPr>
                          <w:t>General</w:t>
                        </w:r>
                      </w:p>
                    </w:txbxContent>
                  </v:textbox>
                  <w10:wrap type="none"/>
                </v:shape>
                <v:shape style="position:absolute;left:2096;top:458;width:276;height:161" type="#_x0000_t202" id="docshape2108" filled="false" stroked="false">
                  <v:textbox inset="0,0,0,0">
                    <w:txbxContent>
                      <w:p>
                        <w:pPr>
                          <w:spacing w:line="161" w:lineRule="exact" w:before="0"/>
                          <w:ind w:left="0" w:right="0" w:firstLine="0"/>
                          <w:jc w:val="left"/>
                          <w:rPr>
                            <w:rFonts w:ascii="Arial MT"/>
                            <w:sz w:val="14"/>
                          </w:rPr>
                        </w:pPr>
                        <w:r>
                          <w:rPr>
                            <w:rFonts w:ascii="Arial MT"/>
                            <w:spacing w:val="-4"/>
                            <w:w w:val="85"/>
                            <w:sz w:val="14"/>
                          </w:rPr>
                          <w:t>7000</w:t>
                        </w:r>
                      </w:p>
                    </w:txbxContent>
                  </v:textbox>
                  <w10:wrap type="none"/>
                </v:shape>
                <v:shape style="position:absolute;left:7933;top:350;width:1845;height:161" type="#_x0000_t202" id="docshape2109" filled="false" stroked="false">
                  <v:textbox inset="0,0,0,0">
                    <w:txbxContent>
                      <w:p>
                        <w:pPr>
                          <w:tabs>
                            <w:tab w:pos="699" w:val="left" w:leader="none"/>
                            <w:tab w:pos="1405" w:val="left" w:leader="none"/>
                          </w:tabs>
                          <w:spacing w:line="161" w:lineRule="exact" w:before="0"/>
                          <w:ind w:left="0" w:right="0" w:firstLine="0"/>
                          <w:jc w:val="left"/>
                          <w:rPr>
                            <w:rFonts w:ascii="Arial MT"/>
                            <w:sz w:val="14"/>
                          </w:rPr>
                        </w:pPr>
                        <w:r>
                          <w:rPr>
                            <w:rFonts w:ascii="Arial MT"/>
                            <w:w w:val="80"/>
                            <w:sz w:val="14"/>
                          </w:rPr>
                          <w:t>2004-</w:t>
                        </w:r>
                        <w:r>
                          <w:rPr>
                            <w:rFonts w:ascii="Arial MT"/>
                            <w:spacing w:val="-5"/>
                            <w:w w:val="90"/>
                            <w:sz w:val="14"/>
                          </w:rPr>
                          <w:t>05</w:t>
                        </w:r>
                        <w:r>
                          <w:rPr>
                            <w:rFonts w:ascii="Arial MT"/>
                            <w:sz w:val="14"/>
                          </w:rPr>
                          <w:tab/>
                        </w:r>
                        <w:r>
                          <w:rPr>
                            <w:rFonts w:ascii="Arial MT"/>
                            <w:w w:val="80"/>
                            <w:sz w:val="14"/>
                          </w:rPr>
                          <w:t>2005-</w:t>
                        </w:r>
                        <w:r>
                          <w:rPr>
                            <w:rFonts w:ascii="Arial MT"/>
                            <w:spacing w:val="-5"/>
                            <w:w w:val="90"/>
                            <w:sz w:val="14"/>
                          </w:rPr>
                          <w:t>06</w:t>
                        </w:r>
                        <w:r>
                          <w:rPr>
                            <w:rFonts w:ascii="Arial MT"/>
                            <w:sz w:val="14"/>
                          </w:rPr>
                          <w:tab/>
                        </w:r>
                        <w:r>
                          <w:rPr>
                            <w:rFonts w:ascii="Arial MT"/>
                            <w:w w:val="80"/>
                            <w:sz w:val="14"/>
                          </w:rPr>
                          <w:t>2006-</w:t>
                        </w:r>
                        <w:r>
                          <w:rPr>
                            <w:rFonts w:ascii="Arial MT"/>
                            <w:spacing w:val="-5"/>
                            <w:w w:val="90"/>
                            <w:sz w:val="14"/>
                          </w:rPr>
                          <w:t>07</w:t>
                        </w:r>
                      </w:p>
                    </w:txbxContent>
                  </v:textbox>
                  <w10:wrap type="none"/>
                </v:shape>
                <v:shape style="position:absolute;left:2096;top:848;width:276;height:2501" type="#_x0000_t202" id="docshape2110" filled="false" stroked="false">
                  <v:textbox inset="0,0,0,0">
                    <w:txbxContent>
                      <w:p>
                        <w:pPr>
                          <w:spacing w:line="161" w:lineRule="exact" w:before="0"/>
                          <w:ind w:left="0" w:right="0" w:firstLine="0"/>
                          <w:jc w:val="left"/>
                          <w:rPr>
                            <w:rFonts w:ascii="Arial MT"/>
                            <w:sz w:val="14"/>
                          </w:rPr>
                        </w:pPr>
                        <w:r>
                          <w:rPr>
                            <w:rFonts w:ascii="Arial MT"/>
                            <w:spacing w:val="-4"/>
                            <w:w w:val="85"/>
                            <w:sz w:val="14"/>
                          </w:rPr>
                          <w:t>6000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5000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4000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3000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2000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4"/>
                            <w:w w:val="80"/>
                            <w:sz w:val="14"/>
                          </w:rPr>
                          <w:t>1000</w:t>
                        </w:r>
                      </w:p>
                      <w:p>
                        <w:pPr>
                          <w:spacing w:line="240" w:lineRule="auto" w:before="68"/>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v:shape style="position:absolute;left:2644;top:3318;width:499;height:161" type="#_x0000_t202" id="docshape2111" filled="false" stroked="false">
                  <v:textbox inset="0,0,0,0">
                    <w:txbxContent>
                      <w:p>
                        <w:pPr>
                          <w:spacing w:line="161" w:lineRule="exact" w:before="0"/>
                          <w:ind w:left="0" w:right="0" w:firstLine="0"/>
                          <w:jc w:val="left"/>
                          <w:rPr>
                            <w:rFonts w:ascii="Arial MT"/>
                            <w:sz w:val="14"/>
                          </w:rPr>
                        </w:pPr>
                        <w:r>
                          <w:rPr>
                            <w:rFonts w:ascii="Arial MT"/>
                            <w:spacing w:val="-2"/>
                            <w:w w:val="85"/>
                            <w:sz w:val="14"/>
                          </w:rPr>
                          <w:t>Chemical</w:t>
                        </w:r>
                      </w:p>
                    </w:txbxContent>
                  </v:textbox>
                  <w10:wrap type="none"/>
                </v:shape>
                <v:shape style="position:absolute;left:3697;top:3318;width:269;height:161" type="#_x0000_t202" id="docshape2112" filled="false" stroked="false">
                  <v:textbox inset="0,0,0,0">
                    <w:txbxContent>
                      <w:p>
                        <w:pPr>
                          <w:spacing w:line="161" w:lineRule="exact" w:before="0"/>
                          <w:ind w:left="0" w:right="0" w:firstLine="0"/>
                          <w:jc w:val="left"/>
                          <w:rPr>
                            <w:rFonts w:ascii="Arial MT"/>
                            <w:sz w:val="14"/>
                          </w:rPr>
                        </w:pPr>
                        <w:r>
                          <w:rPr>
                            <w:rFonts w:ascii="Arial MT"/>
                            <w:spacing w:val="-4"/>
                            <w:w w:val="85"/>
                            <w:sz w:val="14"/>
                          </w:rPr>
                          <w:t>Drug</w:t>
                        </w:r>
                      </w:p>
                    </w:txbxContent>
                  </v:textbox>
                  <w10:wrap type="none"/>
                </v:shape>
                <v:shape style="position:absolute;left:4591;top:3318;width:282;height:161" type="#_x0000_t202" id="docshape2113" filled="false" stroked="false">
                  <v:textbox inset="0,0,0,0">
                    <w:txbxContent>
                      <w:p>
                        <w:pPr>
                          <w:spacing w:line="161" w:lineRule="exact" w:before="0"/>
                          <w:ind w:left="0" w:right="0" w:firstLine="0"/>
                          <w:jc w:val="left"/>
                          <w:rPr>
                            <w:rFonts w:ascii="Arial MT"/>
                            <w:sz w:val="14"/>
                          </w:rPr>
                        </w:pPr>
                        <w:r>
                          <w:rPr>
                            <w:rFonts w:ascii="Arial MT"/>
                            <w:spacing w:val="-4"/>
                            <w:w w:val="85"/>
                            <w:sz w:val="14"/>
                          </w:rPr>
                          <w:t>Food</w:t>
                        </w:r>
                      </w:p>
                    </w:txbxContent>
                  </v:textbox>
                  <w10:wrap type="none"/>
                </v:shape>
                <v:shape style="position:absolute;left:5427;top:3318;width:1418;height:161" type="#_x0000_t202" id="docshape2114" filled="false" stroked="false">
                  <v:textbox inset="0,0,0,0">
                    <w:txbxContent>
                      <w:p>
                        <w:pPr>
                          <w:tabs>
                            <w:tab w:pos="816" w:val="left" w:leader="none"/>
                          </w:tabs>
                          <w:spacing w:line="161" w:lineRule="exact" w:before="0"/>
                          <w:ind w:left="0" w:right="0" w:firstLine="0"/>
                          <w:jc w:val="left"/>
                          <w:rPr>
                            <w:rFonts w:ascii="Arial MT"/>
                            <w:sz w:val="14"/>
                          </w:rPr>
                        </w:pPr>
                        <w:r>
                          <w:rPr>
                            <w:rFonts w:ascii="Arial MT"/>
                            <w:spacing w:val="-2"/>
                            <w:w w:val="90"/>
                            <w:sz w:val="14"/>
                          </w:rPr>
                          <w:t>Electrical</w:t>
                        </w:r>
                        <w:r>
                          <w:rPr>
                            <w:rFonts w:ascii="Arial MT"/>
                            <w:sz w:val="14"/>
                          </w:rPr>
                          <w:tab/>
                        </w:r>
                        <w:r>
                          <w:rPr>
                            <w:rFonts w:ascii="Arial MT"/>
                            <w:spacing w:val="-2"/>
                            <w:w w:val="85"/>
                            <w:sz w:val="14"/>
                          </w:rPr>
                          <w:t>Mechanical</w:t>
                        </w:r>
                      </w:p>
                    </w:txbxContent>
                  </v:textbox>
                  <w10:wrap type="none"/>
                </v:shape>
                <v:shape style="position:absolute;left:7192;top:3318;width:1504;height:341" type="#_x0000_t202" id="docshape2115" filled="false" stroked="false">
                  <v:textbox inset="0,0,0,0">
                    <w:txbxContent>
                      <w:p>
                        <w:pPr>
                          <w:tabs>
                            <w:tab w:pos="762" w:val="left" w:leader="none"/>
                          </w:tabs>
                          <w:spacing w:line="268" w:lineRule="auto" w:before="0"/>
                          <w:ind w:left="0" w:right="18" w:firstLine="12"/>
                          <w:jc w:val="left"/>
                          <w:rPr>
                            <w:rFonts w:ascii="Arial MT"/>
                            <w:sz w:val="14"/>
                          </w:rPr>
                        </w:pPr>
                        <w:r>
                          <w:rPr>
                            <w:rFonts w:ascii="Arial MT"/>
                            <w:spacing w:val="-2"/>
                            <w:w w:val="90"/>
                            <w:sz w:val="14"/>
                          </w:rPr>
                          <w:t>Computer/</w:t>
                        </w:r>
                        <w:r>
                          <w:rPr>
                            <w:rFonts w:ascii="Arial MT"/>
                            <w:sz w:val="14"/>
                          </w:rPr>
                          <w:tab/>
                        </w:r>
                        <w:r>
                          <w:rPr>
                            <w:rFonts w:ascii="Arial MT"/>
                            <w:spacing w:val="-2"/>
                            <w:w w:val="80"/>
                            <w:sz w:val="14"/>
                          </w:rPr>
                          <w:t>Biotechnology</w:t>
                        </w:r>
                        <w:r>
                          <w:rPr>
                            <w:rFonts w:ascii="Arial MT"/>
                            <w:spacing w:val="40"/>
                            <w:sz w:val="14"/>
                          </w:rPr>
                          <w:t> </w:t>
                        </w:r>
                        <w:r>
                          <w:rPr>
                            <w:rFonts w:ascii="Arial MT"/>
                            <w:spacing w:val="-2"/>
                            <w:w w:val="90"/>
                            <w:sz w:val="14"/>
                          </w:rPr>
                          <w:t>Electronics</w:t>
                        </w:r>
                      </w:p>
                    </w:txbxContent>
                  </v:textbox>
                  <w10:wrap type="none"/>
                </v:shape>
                <w10:wrap type="topAndBottom"/>
              </v:group>
            </w:pict>
          </mc:Fallback>
        </mc:AlternateContent>
      </w:r>
    </w:p>
    <w:p>
      <w:pPr>
        <w:spacing w:line="249" w:lineRule="auto" w:before="73"/>
        <w:ind w:left="1989" w:right="1944" w:firstLine="0"/>
        <w:jc w:val="left"/>
        <w:rPr>
          <w:sz w:val="16"/>
        </w:rPr>
      </w:pPr>
      <w:r>
        <w:rPr>
          <w:i/>
          <w:spacing w:val="-4"/>
          <w:sz w:val="16"/>
        </w:rPr>
        <w:t>Source: </w:t>
      </w:r>
      <w:r>
        <w:rPr>
          <w:spacing w:val="-4"/>
          <w:sz w:val="16"/>
        </w:rPr>
        <w:t>Annual Report of the Office of the Controller General of Patents, Designs,</w:t>
      </w:r>
      <w:r>
        <w:rPr>
          <w:spacing w:val="-6"/>
          <w:sz w:val="16"/>
        </w:rPr>
        <w:t> </w:t>
      </w:r>
      <w:r>
        <w:rPr>
          <w:spacing w:val="-4"/>
          <w:sz w:val="16"/>
        </w:rPr>
        <w:t>Trademarks, Geographical </w:t>
      </w:r>
      <w:r>
        <w:rPr>
          <w:spacing w:val="-4"/>
          <w:sz w:val="16"/>
        </w:rPr>
        <w:t>Indications,</w:t>
      </w:r>
      <w:r>
        <w:rPr>
          <w:spacing w:val="40"/>
          <w:sz w:val="16"/>
        </w:rPr>
        <w:t> </w:t>
      </w:r>
      <w:r>
        <w:rPr>
          <w:sz w:val="16"/>
        </w:rPr>
        <w:t>Intellectual Property</w:t>
      </w:r>
      <w:r>
        <w:rPr>
          <w:spacing w:val="-8"/>
          <w:sz w:val="16"/>
        </w:rPr>
        <w:t> </w:t>
      </w:r>
      <w:r>
        <w:rPr>
          <w:sz w:val="16"/>
        </w:rPr>
        <w:t>Training Institute, and Patent Information System, 2006-07</w:t>
      </w:r>
    </w:p>
    <w:p>
      <w:pPr>
        <w:pStyle w:val="BodyText"/>
        <w:rPr>
          <w:sz w:val="20"/>
        </w:rPr>
      </w:pPr>
    </w:p>
    <w:p>
      <w:pPr>
        <w:pStyle w:val="BodyText"/>
        <w:spacing w:before="19"/>
        <w:rPr>
          <w:sz w:val="20"/>
        </w:rPr>
      </w:pPr>
    </w:p>
    <w:p>
      <w:pPr>
        <w:spacing w:after="0"/>
        <w:rPr>
          <w:sz w:val="20"/>
        </w:rPr>
        <w:sectPr>
          <w:pgSz w:w="11910" w:h="16840"/>
          <w:pgMar w:header="0" w:footer="675" w:top="940" w:bottom="860" w:left="0" w:right="0"/>
        </w:sectPr>
      </w:pPr>
    </w:p>
    <w:p>
      <w:pPr>
        <w:pStyle w:val="Heading8"/>
        <w:spacing w:before="84"/>
        <w:ind w:left="1104"/>
      </w:pPr>
      <w:r>
        <w:rPr/>
        <mc:AlternateContent>
          <mc:Choice Requires="wps">
            <w:drawing>
              <wp:anchor distT="0" distB="0" distL="0" distR="0" allowOverlap="1" layoutInCell="1" locked="0" behindDoc="0" simplePos="0" relativeHeight="15876608">
                <wp:simplePos x="0" y="0"/>
                <wp:positionH relativeFrom="page">
                  <wp:posOffset>685800</wp:posOffset>
                </wp:positionH>
                <wp:positionV relativeFrom="paragraph">
                  <wp:posOffset>305658</wp:posOffset>
                </wp:positionV>
                <wp:extent cx="2980055" cy="1896110"/>
                <wp:effectExtent l="0" t="0" r="0" b="0"/>
                <wp:wrapNone/>
                <wp:docPr id="2160" name="Group 2160"/>
                <wp:cNvGraphicFramePr>
                  <a:graphicFrameLocks/>
                </wp:cNvGraphicFramePr>
                <a:graphic>
                  <a:graphicData uri="http://schemas.microsoft.com/office/word/2010/wordprocessingGroup">
                    <wpg:wgp>
                      <wpg:cNvPr id="2160" name="Group 2160"/>
                      <wpg:cNvGrpSpPr/>
                      <wpg:grpSpPr>
                        <a:xfrm>
                          <a:off x="0" y="0"/>
                          <a:ext cx="2980055" cy="1896110"/>
                          <a:chExt cx="2980055" cy="1896110"/>
                        </a:xfrm>
                      </wpg:grpSpPr>
                      <wps:wsp>
                        <wps:cNvPr id="2161" name="Graphic 2161"/>
                        <wps:cNvSpPr/>
                        <wps:spPr>
                          <a:xfrm>
                            <a:off x="0" y="0"/>
                            <a:ext cx="2980055" cy="1896110"/>
                          </a:xfrm>
                          <a:custGeom>
                            <a:avLst/>
                            <a:gdLst/>
                            <a:ahLst/>
                            <a:cxnLst/>
                            <a:rect l="l" t="t" r="r" b="b"/>
                            <a:pathLst>
                              <a:path w="2980055" h="1896110">
                                <a:moveTo>
                                  <a:pt x="2979890" y="0"/>
                                </a:moveTo>
                                <a:lnTo>
                                  <a:pt x="2973540" y="0"/>
                                </a:lnTo>
                                <a:lnTo>
                                  <a:pt x="2973540" y="2540"/>
                                </a:lnTo>
                                <a:lnTo>
                                  <a:pt x="2973540" y="3073"/>
                                </a:lnTo>
                                <a:lnTo>
                                  <a:pt x="2973540" y="1893570"/>
                                </a:lnTo>
                                <a:lnTo>
                                  <a:pt x="3175" y="1893570"/>
                                </a:lnTo>
                                <a:lnTo>
                                  <a:pt x="3175" y="1893189"/>
                                </a:lnTo>
                                <a:lnTo>
                                  <a:pt x="6350" y="1893189"/>
                                </a:lnTo>
                                <a:lnTo>
                                  <a:pt x="2973540" y="1893189"/>
                                </a:lnTo>
                                <a:lnTo>
                                  <a:pt x="2973540" y="1890014"/>
                                </a:lnTo>
                                <a:lnTo>
                                  <a:pt x="6350" y="1890014"/>
                                </a:lnTo>
                                <a:lnTo>
                                  <a:pt x="3175" y="1890014"/>
                                </a:lnTo>
                                <a:lnTo>
                                  <a:pt x="3175" y="1889760"/>
                                </a:lnTo>
                                <a:lnTo>
                                  <a:pt x="6350" y="1889760"/>
                                </a:lnTo>
                                <a:lnTo>
                                  <a:pt x="6350" y="6350"/>
                                </a:lnTo>
                                <a:lnTo>
                                  <a:pt x="3175" y="6350"/>
                                </a:lnTo>
                                <a:lnTo>
                                  <a:pt x="6350" y="6248"/>
                                </a:lnTo>
                                <a:lnTo>
                                  <a:pt x="2973540" y="6248"/>
                                </a:lnTo>
                                <a:lnTo>
                                  <a:pt x="2973540" y="3073"/>
                                </a:lnTo>
                                <a:lnTo>
                                  <a:pt x="6350" y="3073"/>
                                </a:lnTo>
                                <a:lnTo>
                                  <a:pt x="3175" y="3073"/>
                                </a:lnTo>
                                <a:lnTo>
                                  <a:pt x="3175" y="2540"/>
                                </a:lnTo>
                                <a:lnTo>
                                  <a:pt x="2973540" y="2540"/>
                                </a:lnTo>
                                <a:lnTo>
                                  <a:pt x="2973540" y="0"/>
                                </a:lnTo>
                                <a:lnTo>
                                  <a:pt x="0" y="0"/>
                                </a:lnTo>
                                <a:lnTo>
                                  <a:pt x="0" y="2540"/>
                                </a:lnTo>
                                <a:lnTo>
                                  <a:pt x="0" y="6350"/>
                                </a:lnTo>
                                <a:lnTo>
                                  <a:pt x="0" y="1889760"/>
                                </a:lnTo>
                                <a:lnTo>
                                  <a:pt x="0" y="1893570"/>
                                </a:lnTo>
                                <a:lnTo>
                                  <a:pt x="0" y="1896110"/>
                                </a:lnTo>
                                <a:lnTo>
                                  <a:pt x="2979890" y="1896110"/>
                                </a:lnTo>
                                <a:lnTo>
                                  <a:pt x="2979890" y="1893570"/>
                                </a:lnTo>
                                <a:lnTo>
                                  <a:pt x="2976715" y="1893570"/>
                                </a:lnTo>
                                <a:lnTo>
                                  <a:pt x="2976715" y="1893189"/>
                                </a:lnTo>
                                <a:lnTo>
                                  <a:pt x="2979890" y="1893189"/>
                                </a:lnTo>
                                <a:lnTo>
                                  <a:pt x="2979890" y="1890014"/>
                                </a:lnTo>
                                <a:lnTo>
                                  <a:pt x="2976715" y="1890014"/>
                                </a:lnTo>
                                <a:lnTo>
                                  <a:pt x="2976715" y="1889760"/>
                                </a:lnTo>
                                <a:lnTo>
                                  <a:pt x="2979890" y="1889760"/>
                                </a:lnTo>
                                <a:lnTo>
                                  <a:pt x="2979890" y="6350"/>
                                </a:lnTo>
                                <a:lnTo>
                                  <a:pt x="2976715" y="6350"/>
                                </a:lnTo>
                                <a:lnTo>
                                  <a:pt x="2979890" y="6248"/>
                                </a:lnTo>
                                <a:lnTo>
                                  <a:pt x="2979890" y="3086"/>
                                </a:lnTo>
                                <a:lnTo>
                                  <a:pt x="2976715" y="3073"/>
                                </a:lnTo>
                                <a:lnTo>
                                  <a:pt x="2976715" y="2540"/>
                                </a:lnTo>
                                <a:lnTo>
                                  <a:pt x="2979890" y="2540"/>
                                </a:lnTo>
                                <a:lnTo>
                                  <a:pt x="2979890" y="0"/>
                                </a:lnTo>
                                <a:close/>
                              </a:path>
                            </a:pathLst>
                          </a:custGeom>
                          <a:solidFill>
                            <a:srgbClr val="000000"/>
                          </a:solidFill>
                        </wps:spPr>
                        <wps:bodyPr wrap="square" lIns="0" tIns="0" rIns="0" bIns="0" rtlCol="0">
                          <a:prstTxWarp prst="textNoShape">
                            <a:avLst/>
                          </a:prstTxWarp>
                          <a:noAutofit/>
                        </wps:bodyPr>
                      </wps:wsp>
                      <wps:wsp>
                        <wps:cNvPr id="2162" name="Graphic 2162"/>
                        <wps:cNvSpPr/>
                        <wps:spPr>
                          <a:xfrm>
                            <a:off x="853897" y="463041"/>
                            <a:ext cx="1151890" cy="1208405"/>
                          </a:xfrm>
                          <a:custGeom>
                            <a:avLst/>
                            <a:gdLst/>
                            <a:ahLst/>
                            <a:cxnLst/>
                            <a:rect l="l" t="t" r="r" b="b"/>
                            <a:pathLst>
                              <a:path w="1151890" h="1208405">
                                <a:moveTo>
                                  <a:pt x="257365" y="0"/>
                                </a:moveTo>
                                <a:lnTo>
                                  <a:pt x="0" y="0"/>
                                </a:lnTo>
                                <a:lnTo>
                                  <a:pt x="0" y="1207808"/>
                                </a:lnTo>
                                <a:lnTo>
                                  <a:pt x="257365" y="1207808"/>
                                </a:lnTo>
                                <a:lnTo>
                                  <a:pt x="257365" y="0"/>
                                </a:lnTo>
                                <a:close/>
                              </a:path>
                              <a:path w="1151890" h="1208405">
                                <a:moveTo>
                                  <a:pt x="1151585" y="808380"/>
                                </a:moveTo>
                                <a:lnTo>
                                  <a:pt x="894219" y="808380"/>
                                </a:lnTo>
                                <a:lnTo>
                                  <a:pt x="894219" y="1207808"/>
                                </a:lnTo>
                                <a:lnTo>
                                  <a:pt x="1151585" y="1207808"/>
                                </a:lnTo>
                                <a:lnTo>
                                  <a:pt x="1151585" y="808380"/>
                                </a:lnTo>
                                <a:close/>
                              </a:path>
                            </a:pathLst>
                          </a:custGeom>
                          <a:solidFill>
                            <a:srgbClr val="E3C626"/>
                          </a:solidFill>
                        </wps:spPr>
                        <wps:bodyPr wrap="square" lIns="0" tIns="0" rIns="0" bIns="0" rtlCol="0">
                          <a:prstTxWarp prst="textNoShape">
                            <a:avLst/>
                          </a:prstTxWarp>
                          <a:noAutofit/>
                        </wps:bodyPr>
                      </wps:wsp>
                      <wps:wsp>
                        <wps:cNvPr id="2163" name="Graphic 2163"/>
                        <wps:cNvSpPr/>
                        <wps:spPr>
                          <a:xfrm>
                            <a:off x="1111262" y="1461630"/>
                            <a:ext cx="1147445" cy="209550"/>
                          </a:xfrm>
                          <a:custGeom>
                            <a:avLst/>
                            <a:gdLst/>
                            <a:ahLst/>
                            <a:cxnLst/>
                            <a:rect l="l" t="t" r="r" b="b"/>
                            <a:pathLst>
                              <a:path w="1147445" h="209550">
                                <a:moveTo>
                                  <a:pt x="257365" y="0"/>
                                </a:moveTo>
                                <a:lnTo>
                                  <a:pt x="0" y="0"/>
                                </a:lnTo>
                                <a:lnTo>
                                  <a:pt x="0" y="209219"/>
                                </a:lnTo>
                                <a:lnTo>
                                  <a:pt x="257365" y="209219"/>
                                </a:lnTo>
                                <a:lnTo>
                                  <a:pt x="257365" y="0"/>
                                </a:lnTo>
                                <a:close/>
                              </a:path>
                              <a:path w="1147445" h="209550">
                                <a:moveTo>
                                  <a:pt x="1147216" y="95097"/>
                                </a:moveTo>
                                <a:lnTo>
                                  <a:pt x="894219" y="95097"/>
                                </a:lnTo>
                                <a:lnTo>
                                  <a:pt x="894219" y="209219"/>
                                </a:lnTo>
                                <a:lnTo>
                                  <a:pt x="1147216" y="209219"/>
                                </a:lnTo>
                                <a:lnTo>
                                  <a:pt x="1147216" y="95097"/>
                                </a:lnTo>
                                <a:close/>
                              </a:path>
                            </a:pathLst>
                          </a:custGeom>
                          <a:solidFill>
                            <a:srgbClr val="2F7D41"/>
                          </a:solidFill>
                        </wps:spPr>
                        <wps:bodyPr wrap="square" lIns="0" tIns="0" rIns="0" bIns="0" rtlCol="0">
                          <a:prstTxWarp prst="textNoShape">
                            <a:avLst/>
                          </a:prstTxWarp>
                          <a:noAutofit/>
                        </wps:bodyPr>
                      </wps:wsp>
                      <wps:wsp>
                        <wps:cNvPr id="2164" name="Graphic 2164"/>
                        <wps:cNvSpPr/>
                        <wps:spPr>
                          <a:xfrm>
                            <a:off x="686117" y="193573"/>
                            <a:ext cx="1796414" cy="1509395"/>
                          </a:xfrm>
                          <a:custGeom>
                            <a:avLst/>
                            <a:gdLst/>
                            <a:ahLst/>
                            <a:cxnLst/>
                            <a:rect l="l" t="t" r="r" b="b"/>
                            <a:pathLst>
                              <a:path w="1796414" h="1509395">
                                <a:moveTo>
                                  <a:pt x="1796326" y="1474101"/>
                                </a:moveTo>
                                <a:lnTo>
                                  <a:pt x="1789976" y="1474101"/>
                                </a:lnTo>
                                <a:lnTo>
                                  <a:pt x="910018" y="1474101"/>
                                </a:lnTo>
                                <a:lnTo>
                                  <a:pt x="903668" y="1474101"/>
                                </a:lnTo>
                                <a:lnTo>
                                  <a:pt x="19380" y="1474101"/>
                                </a:lnTo>
                                <a:lnTo>
                                  <a:pt x="19380" y="0"/>
                                </a:lnTo>
                                <a:lnTo>
                                  <a:pt x="13030" y="0"/>
                                </a:lnTo>
                                <a:lnTo>
                                  <a:pt x="0" y="0"/>
                                </a:lnTo>
                                <a:lnTo>
                                  <a:pt x="0" y="6350"/>
                                </a:lnTo>
                                <a:lnTo>
                                  <a:pt x="13030" y="6350"/>
                                </a:lnTo>
                                <a:lnTo>
                                  <a:pt x="13030" y="247269"/>
                                </a:lnTo>
                                <a:lnTo>
                                  <a:pt x="0" y="247269"/>
                                </a:lnTo>
                                <a:lnTo>
                                  <a:pt x="0" y="253619"/>
                                </a:lnTo>
                                <a:lnTo>
                                  <a:pt x="13030" y="253619"/>
                                </a:lnTo>
                                <a:lnTo>
                                  <a:pt x="13030" y="494538"/>
                                </a:lnTo>
                                <a:lnTo>
                                  <a:pt x="0" y="494538"/>
                                </a:lnTo>
                                <a:lnTo>
                                  <a:pt x="0" y="500888"/>
                                </a:lnTo>
                                <a:lnTo>
                                  <a:pt x="13030" y="500888"/>
                                </a:lnTo>
                                <a:lnTo>
                                  <a:pt x="13030" y="741807"/>
                                </a:lnTo>
                                <a:lnTo>
                                  <a:pt x="0" y="741807"/>
                                </a:lnTo>
                                <a:lnTo>
                                  <a:pt x="0" y="748157"/>
                                </a:lnTo>
                                <a:lnTo>
                                  <a:pt x="13030" y="748157"/>
                                </a:lnTo>
                                <a:lnTo>
                                  <a:pt x="13030" y="979563"/>
                                </a:lnTo>
                                <a:lnTo>
                                  <a:pt x="0" y="979563"/>
                                </a:lnTo>
                                <a:lnTo>
                                  <a:pt x="0" y="985913"/>
                                </a:lnTo>
                                <a:lnTo>
                                  <a:pt x="13030" y="985913"/>
                                </a:lnTo>
                                <a:lnTo>
                                  <a:pt x="13030" y="1226832"/>
                                </a:lnTo>
                                <a:lnTo>
                                  <a:pt x="0" y="1226832"/>
                                </a:lnTo>
                                <a:lnTo>
                                  <a:pt x="0" y="1233182"/>
                                </a:lnTo>
                                <a:lnTo>
                                  <a:pt x="13030" y="1233182"/>
                                </a:lnTo>
                                <a:lnTo>
                                  <a:pt x="13030" y="1474101"/>
                                </a:lnTo>
                                <a:lnTo>
                                  <a:pt x="0" y="1474101"/>
                                </a:lnTo>
                                <a:lnTo>
                                  <a:pt x="0" y="1480451"/>
                                </a:lnTo>
                                <a:lnTo>
                                  <a:pt x="13030" y="1480451"/>
                                </a:lnTo>
                                <a:lnTo>
                                  <a:pt x="13030" y="1508975"/>
                                </a:lnTo>
                                <a:lnTo>
                                  <a:pt x="19380" y="1508975"/>
                                </a:lnTo>
                                <a:lnTo>
                                  <a:pt x="19380" y="1480451"/>
                                </a:lnTo>
                                <a:lnTo>
                                  <a:pt x="903668" y="1480451"/>
                                </a:lnTo>
                                <a:lnTo>
                                  <a:pt x="903668" y="1508975"/>
                                </a:lnTo>
                                <a:lnTo>
                                  <a:pt x="910018" y="1508975"/>
                                </a:lnTo>
                                <a:lnTo>
                                  <a:pt x="910018" y="1480451"/>
                                </a:lnTo>
                                <a:lnTo>
                                  <a:pt x="1789976" y="1480451"/>
                                </a:lnTo>
                                <a:lnTo>
                                  <a:pt x="1789976" y="1508975"/>
                                </a:lnTo>
                                <a:lnTo>
                                  <a:pt x="1796326" y="1508975"/>
                                </a:lnTo>
                                <a:lnTo>
                                  <a:pt x="1796326" y="1474101"/>
                                </a:lnTo>
                                <a:close/>
                              </a:path>
                            </a:pathLst>
                          </a:custGeom>
                          <a:solidFill>
                            <a:srgbClr val="000000"/>
                          </a:solidFill>
                        </wps:spPr>
                        <wps:bodyPr wrap="square" lIns="0" tIns="0" rIns="0" bIns="0" rtlCol="0">
                          <a:prstTxWarp prst="textNoShape">
                            <a:avLst/>
                          </a:prstTxWarp>
                          <a:noAutofit/>
                        </wps:bodyPr>
                      </wps:wsp>
                      <wps:wsp>
                        <wps:cNvPr id="2165" name="Graphic 2165"/>
                        <wps:cNvSpPr/>
                        <wps:spPr>
                          <a:xfrm>
                            <a:off x="1521507" y="146855"/>
                            <a:ext cx="100965" cy="100330"/>
                          </a:xfrm>
                          <a:custGeom>
                            <a:avLst/>
                            <a:gdLst/>
                            <a:ahLst/>
                            <a:cxnLst/>
                            <a:rect l="l" t="t" r="r" b="b"/>
                            <a:pathLst>
                              <a:path w="100965" h="100330">
                                <a:moveTo>
                                  <a:pt x="100576" y="0"/>
                                </a:moveTo>
                                <a:lnTo>
                                  <a:pt x="0" y="0"/>
                                </a:lnTo>
                                <a:lnTo>
                                  <a:pt x="0" y="100304"/>
                                </a:lnTo>
                                <a:lnTo>
                                  <a:pt x="100576" y="100304"/>
                                </a:lnTo>
                                <a:lnTo>
                                  <a:pt x="100576" y="0"/>
                                </a:lnTo>
                                <a:close/>
                              </a:path>
                            </a:pathLst>
                          </a:custGeom>
                          <a:solidFill>
                            <a:srgbClr val="E3C626"/>
                          </a:solidFill>
                        </wps:spPr>
                        <wps:bodyPr wrap="square" lIns="0" tIns="0" rIns="0" bIns="0" rtlCol="0">
                          <a:prstTxWarp prst="textNoShape">
                            <a:avLst/>
                          </a:prstTxWarp>
                          <a:noAutofit/>
                        </wps:bodyPr>
                      </wps:wsp>
                      <wps:wsp>
                        <wps:cNvPr id="2166" name="Graphic 2166"/>
                        <wps:cNvSpPr/>
                        <wps:spPr>
                          <a:xfrm>
                            <a:off x="2255499" y="146855"/>
                            <a:ext cx="100965" cy="100330"/>
                          </a:xfrm>
                          <a:custGeom>
                            <a:avLst/>
                            <a:gdLst/>
                            <a:ahLst/>
                            <a:cxnLst/>
                            <a:rect l="l" t="t" r="r" b="b"/>
                            <a:pathLst>
                              <a:path w="100965" h="100330">
                                <a:moveTo>
                                  <a:pt x="100582" y="0"/>
                                </a:moveTo>
                                <a:lnTo>
                                  <a:pt x="0" y="0"/>
                                </a:lnTo>
                                <a:lnTo>
                                  <a:pt x="0" y="100304"/>
                                </a:lnTo>
                                <a:lnTo>
                                  <a:pt x="100582" y="100304"/>
                                </a:lnTo>
                                <a:lnTo>
                                  <a:pt x="100582" y="0"/>
                                </a:lnTo>
                                <a:close/>
                              </a:path>
                            </a:pathLst>
                          </a:custGeom>
                          <a:solidFill>
                            <a:srgbClr val="2F7D41"/>
                          </a:solidFill>
                        </wps:spPr>
                        <wps:bodyPr wrap="square" lIns="0" tIns="0" rIns="0" bIns="0" rtlCol="0">
                          <a:prstTxWarp prst="textNoShape">
                            <a:avLst/>
                          </a:prstTxWarp>
                          <a:noAutofit/>
                        </wps:bodyPr>
                      </wps:wsp>
                      <wps:wsp>
                        <wps:cNvPr id="2167" name="Textbox 2167"/>
                        <wps:cNvSpPr txBox="1"/>
                        <wps:spPr>
                          <a:xfrm>
                            <a:off x="397857" y="143803"/>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30,000</w:t>
                              </w:r>
                            </w:p>
                          </w:txbxContent>
                        </wps:txbx>
                        <wps:bodyPr wrap="square" lIns="0" tIns="0" rIns="0" bIns="0" rtlCol="0">
                          <a:noAutofit/>
                        </wps:bodyPr>
                      </wps:wsp>
                      <wps:wsp>
                        <wps:cNvPr id="2168" name="Textbox 2168"/>
                        <wps:cNvSpPr txBox="1"/>
                        <wps:spPr>
                          <a:xfrm>
                            <a:off x="1660418" y="137827"/>
                            <a:ext cx="43053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Patent</w:t>
                              </w:r>
                              <w:r>
                                <w:rPr>
                                  <w:rFonts w:ascii="Arial MT"/>
                                  <w:spacing w:val="1"/>
                                  <w:sz w:val="14"/>
                                </w:rPr>
                                <w:t> </w:t>
                              </w:r>
                              <w:r>
                                <w:rPr>
                                  <w:rFonts w:ascii="Arial MT"/>
                                  <w:spacing w:val="-2"/>
                                  <w:w w:val="85"/>
                                  <w:sz w:val="14"/>
                                </w:rPr>
                                <w:t>filings</w:t>
                              </w:r>
                            </w:p>
                          </w:txbxContent>
                        </wps:txbx>
                        <wps:bodyPr wrap="square" lIns="0" tIns="0" rIns="0" bIns="0" rtlCol="0">
                          <a:noAutofit/>
                        </wps:bodyPr>
                      </wps:wsp>
                      <wps:wsp>
                        <wps:cNvPr id="2169" name="Textbox 2169"/>
                        <wps:cNvSpPr txBox="1"/>
                        <wps:spPr>
                          <a:xfrm>
                            <a:off x="2404624" y="137827"/>
                            <a:ext cx="44640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Patent</w:t>
                              </w:r>
                              <w:r>
                                <w:rPr>
                                  <w:rFonts w:ascii="Arial MT"/>
                                  <w:spacing w:val="1"/>
                                  <w:sz w:val="14"/>
                                </w:rPr>
                                <w:t> </w:t>
                              </w:r>
                              <w:r>
                                <w:rPr>
                                  <w:rFonts w:ascii="Arial MT"/>
                                  <w:spacing w:val="-2"/>
                                  <w:w w:val="85"/>
                                  <w:sz w:val="14"/>
                                </w:rPr>
                                <w:t>grants</w:t>
                              </w:r>
                            </w:p>
                          </w:txbxContent>
                        </wps:txbx>
                        <wps:bodyPr wrap="square" lIns="0" tIns="0" rIns="0" bIns="0" rtlCol="0">
                          <a:noAutofit/>
                        </wps:bodyPr>
                      </wps:wsp>
                      <wps:wsp>
                        <wps:cNvPr id="2170" name="Textbox 2170"/>
                        <wps:cNvSpPr txBox="1"/>
                        <wps:spPr>
                          <a:xfrm>
                            <a:off x="397857" y="391453"/>
                            <a:ext cx="236220" cy="10928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25,000</w:t>
                              </w:r>
                            </w:p>
                            <w:p>
                              <w:pPr>
                                <w:spacing w:line="240" w:lineRule="auto" w:before="68"/>
                                <w:rPr>
                                  <w:rFonts w:ascii="Arial MT"/>
                                  <w:sz w:val="14"/>
                                </w:rPr>
                              </w:pPr>
                            </w:p>
                            <w:p>
                              <w:pPr>
                                <w:spacing w:before="0"/>
                                <w:ind w:left="0" w:right="0" w:firstLine="0"/>
                                <w:jc w:val="left"/>
                                <w:rPr>
                                  <w:rFonts w:ascii="Arial MT"/>
                                  <w:sz w:val="14"/>
                                </w:rPr>
                              </w:pPr>
                              <w:r>
                                <w:rPr>
                                  <w:rFonts w:ascii="Arial MT"/>
                                  <w:spacing w:val="-2"/>
                                  <w:w w:val="85"/>
                                  <w:sz w:val="14"/>
                                </w:rPr>
                                <w:t>20,000</w:t>
                              </w:r>
                            </w:p>
                            <w:p>
                              <w:pPr>
                                <w:spacing w:line="240" w:lineRule="auto" w:before="68"/>
                                <w:rPr>
                                  <w:rFonts w:ascii="Arial MT"/>
                                  <w:sz w:val="14"/>
                                </w:rPr>
                              </w:pPr>
                            </w:p>
                            <w:p>
                              <w:pPr>
                                <w:spacing w:before="0"/>
                                <w:ind w:left="0" w:right="0" w:firstLine="0"/>
                                <w:jc w:val="left"/>
                                <w:rPr>
                                  <w:rFonts w:ascii="Arial MT"/>
                                  <w:sz w:val="14"/>
                                </w:rPr>
                              </w:pPr>
                              <w:r>
                                <w:rPr>
                                  <w:rFonts w:ascii="Arial MT"/>
                                  <w:spacing w:val="-2"/>
                                  <w:w w:val="85"/>
                                  <w:sz w:val="14"/>
                                </w:rPr>
                                <w:t>15,000</w:t>
                              </w:r>
                            </w:p>
                            <w:p>
                              <w:pPr>
                                <w:spacing w:line="240" w:lineRule="auto" w:before="68"/>
                                <w:rPr>
                                  <w:rFonts w:ascii="Arial MT"/>
                                  <w:sz w:val="14"/>
                                </w:rPr>
                              </w:pPr>
                            </w:p>
                            <w:p>
                              <w:pPr>
                                <w:spacing w:before="0"/>
                                <w:ind w:left="0" w:right="0" w:firstLine="0"/>
                                <w:jc w:val="left"/>
                                <w:rPr>
                                  <w:rFonts w:ascii="Arial MT"/>
                                  <w:sz w:val="14"/>
                                </w:rPr>
                              </w:pPr>
                              <w:r>
                                <w:rPr>
                                  <w:rFonts w:ascii="Arial MT"/>
                                  <w:spacing w:val="-2"/>
                                  <w:w w:val="85"/>
                                  <w:sz w:val="14"/>
                                </w:rPr>
                                <w:t>10,000</w:t>
                              </w:r>
                            </w:p>
                            <w:p>
                              <w:pPr>
                                <w:spacing w:line="240" w:lineRule="auto" w:before="68"/>
                                <w:rPr>
                                  <w:rFonts w:ascii="Arial MT"/>
                                  <w:sz w:val="14"/>
                                </w:rPr>
                              </w:pPr>
                            </w:p>
                            <w:p>
                              <w:pPr>
                                <w:spacing w:before="0"/>
                                <w:ind w:left="63" w:right="0" w:firstLine="0"/>
                                <w:jc w:val="left"/>
                                <w:rPr>
                                  <w:rFonts w:ascii="Arial MT"/>
                                  <w:sz w:val="14"/>
                                </w:rPr>
                              </w:pPr>
                              <w:r>
                                <w:rPr>
                                  <w:rFonts w:ascii="Arial MT"/>
                                  <w:spacing w:val="-2"/>
                                  <w:w w:val="85"/>
                                  <w:sz w:val="14"/>
                                </w:rPr>
                                <w:t>5,000</w:t>
                              </w:r>
                            </w:p>
                          </w:txbxContent>
                        </wps:txbx>
                        <wps:bodyPr wrap="square" lIns="0" tIns="0" rIns="0" bIns="0" rtlCol="0">
                          <a:noAutofit/>
                        </wps:bodyPr>
                      </wps:wsp>
                      <wps:wsp>
                        <wps:cNvPr id="2171" name="Textbox 2171"/>
                        <wps:cNvSpPr txBox="1"/>
                        <wps:spPr>
                          <a:xfrm>
                            <a:off x="580302" y="1629703"/>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2172" name="Textbox 2172"/>
                        <wps:cNvSpPr txBox="1"/>
                        <wps:spPr>
                          <a:xfrm>
                            <a:off x="855263" y="1702230"/>
                            <a:ext cx="51562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By</w:t>
                              </w:r>
                              <w:r>
                                <w:rPr>
                                  <w:rFonts w:ascii="Arial MT"/>
                                  <w:spacing w:val="-2"/>
                                  <w:sz w:val="14"/>
                                </w:rPr>
                                <w:t> </w:t>
                              </w:r>
                              <w:r>
                                <w:rPr>
                                  <w:rFonts w:ascii="Arial MT"/>
                                  <w:w w:val="80"/>
                                  <w:sz w:val="14"/>
                                </w:rPr>
                                <w:t>patent</w:t>
                              </w:r>
                              <w:r>
                                <w:rPr>
                                  <w:rFonts w:ascii="Arial MT"/>
                                  <w:spacing w:val="-2"/>
                                  <w:sz w:val="14"/>
                                </w:rPr>
                                <w:t> </w:t>
                              </w:r>
                              <w:r>
                                <w:rPr>
                                  <w:rFonts w:ascii="Arial MT"/>
                                  <w:spacing w:val="-2"/>
                                  <w:w w:val="80"/>
                                  <w:sz w:val="14"/>
                                </w:rPr>
                                <w:t>office</w:t>
                              </w:r>
                            </w:p>
                          </w:txbxContent>
                        </wps:txbx>
                        <wps:bodyPr wrap="square" lIns="0" tIns="0" rIns="0" bIns="0" rtlCol="0">
                          <a:noAutofit/>
                        </wps:bodyPr>
                      </wps:wsp>
                      <wps:wsp>
                        <wps:cNvPr id="2173" name="Textbox 2173"/>
                        <wps:cNvSpPr txBox="1"/>
                        <wps:spPr>
                          <a:xfrm>
                            <a:off x="1727340" y="1702229"/>
                            <a:ext cx="63690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By</w:t>
                              </w:r>
                              <w:r>
                                <w:rPr>
                                  <w:rFonts w:ascii="Arial MT"/>
                                  <w:spacing w:val="-5"/>
                                  <w:sz w:val="14"/>
                                </w:rPr>
                                <w:t> </w:t>
                              </w:r>
                              <w:r>
                                <w:rPr>
                                  <w:rFonts w:ascii="Arial MT"/>
                                  <w:w w:val="80"/>
                                  <w:sz w:val="14"/>
                                </w:rPr>
                                <w:t>country</w:t>
                              </w:r>
                              <w:r>
                                <w:rPr>
                                  <w:rFonts w:ascii="Arial MT"/>
                                  <w:spacing w:val="-4"/>
                                  <w:sz w:val="14"/>
                                </w:rPr>
                                <w:t> </w:t>
                              </w:r>
                              <w:r>
                                <w:rPr>
                                  <w:rFonts w:ascii="Arial MT"/>
                                  <w:w w:val="80"/>
                                  <w:sz w:val="14"/>
                                </w:rPr>
                                <w:t>of</w:t>
                              </w:r>
                              <w:r>
                                <w:rPr>
                                  <w:rFonts w:ascii="Arial MT"/>
                                  <w:spacing w:val="-5"/>
                                  <w:sz w:val="14"/>
                                </w:rPr>
                                <w:t> </w:t>
                              </w:r>
                              <w:r>
                                <w:rPr>
                                  <w:rFonts w:ascii="Arial MT"/>
                                  <w:spacing w:val="-2"/>
                                  <w:w w:val="80"/>
                                  <w:sz w:val="14"/>
                                </w:rPr>
                                <w:t>origin</w:t>
                              </w:r>
                            </w:p>
                          </w:txbxContent>
                        </wps:txbx>
                        <wps:bodyPr wrap="square" lIns="0" tIns="0" rIns="0" bIns="0" rtlCol="0">
                          <a:noAutofit/>
                        </wps:bodyPr>
                      </wps:wsp>
                    </wpg:wgp>
                  </a:graphicData>
                </a:graphic>
              </wp:anchor>
            </w:drawing>
          </mc:Choice>
          <mc:Fallback>
            <w:pict>
              <v:group style="position:absolute;margin-left:54pt;margin-top:24.067577pt;width:234.65pt;height:149.3pt;mso-position-horizontal-relative:page;mso-position-vertical-relative:paragraph;z-index:15876608" id="docshapegroup2116" coordorigin="1080,481" coordsize="4693,2986">
                <v:shape style="position:absolute;left:1080;top:481;width:4693;height:2986" id="docshape2117" coordorigin="1080,481" coordsize="4693,2986" path="m5773,481l5763,481,5763,485,5763,486,5763,3463,1085,3463,1085,3463,1090,3463,5763,3463,5763,3458,1090,3458,1085,3458,1085,3457,1090,3457,1090,491,1085,491,1090,491,5763,491,5763,486,1090,486,1085,486,1085,485,5763,485,5763,481,1080,481,1080,485,1080,491,1080,3457,1080,3463,1080,3467,5773,3467,5773,3463,5768,3463,5768,3463,5773,3463,5773,3458,5768,3458,5768,3457,5773,3457,5773,491,5768,491,5773,491,5773,486,5768,486,5768,485,5773,485,5773,481xe" filled="true" fillcolor="#000000" stroked="false">
                  <v:path arrowok="t"/>
                  <v:fill type="solid"/>
                </v:shape>
                <v:shape style="position:absolute;left:2424;top:1210;width:1814;height:1903" id="docshape2118" coordorigin="2425,1211" coordsize="1814,1903" path="m2830,1211l2425,1211,2425,3113,2830,3113,2830,1211xm4238,2484l3833,2484,3833,3113,4238,3113,4238,2484xe" filled="true" fillcolor="#e3c626" stroked="false">
                  <v:path arrowok="t"/>
                  <v:fill type="solid"/>
                </v:shape>
                <v:shape style="position:absolute;left:2830;top:2783;width:1807;height:330" id="docshape2119" coordorigin="2830,2783" coordsize="1807,330" path="m3235,2783l2830,2783,2830,3113,3235,3113,3235,2783xm4637,2933l4238,2933,4238,3113,4637,3113,4637,2933xe" filled="true" fillcolor="#2f7d41" stroked="false">
                  <v:path arrowok="t"/>
                  <v:fill type="solid"/>
                </v:shape>
                <v:shape style="position:absolute;left:2160;top:786;width:2829;height:2377" id="docshape2120" coordorigin="2161,786" coordsize="2829,2377" path="m4989,3108l4979,3108,3594,3108,3584,3108,2191,3108,2191,786,2181,786,2161,786,2161,796,2181,796,2181,1176,2161,1176,2161,1186,2181,1186,2181,1565,2161,1565,2161,1575,2181,1575,2181,1954,2161,1954,2161,1964,2181,1964,2181,2329,2161,2329,2161,2339,2181,2339,2181,2718,2161,2718,2161,2728,2181,2728,2181,3108,2161,3108,2161,3118,2181,3118,2181,3163,2191,3163,2191,3118,3584,3118,3584,3163,3594,3163,3594,3118,4979,3118,4979,3163,4989,3163,4989,3108xe" filled="true" fillcolor="#000000" stroked="false">
                  <v:path arrowok="t"/>
                  <v:fill type="solid"/>
                </v:shape>
                <v:rect style="position:absolute;left:3476;top:712;width:159;height:158" id="docshape2121" filled="true" fillcolor="#e3c626" stroked="false">
                  <v:fill type="solid"/>
                </v:rect>
                <v:rect style="position:absolute;left:4631;top:712;width:159;height:158" id="docshape2122" filled="true" fillcolor="#2f7d41" stroked="false">
                  <v:fill type="solid"/>
                </v:rect>
                <v:shape style="position:absolute;left:1706;top:707;width:372;height:161" type="#_x0000_t202" id="docshape2123" filled="false" stroked="false">
                  <v:textbox inset="0,0,0,0">
                    <w:txbxContent>
                      <w:p>
                        <w:pPr>
                          <w:spacing w:line="161" w:lineRule="exact" w:before="0"/>
                          <w:ind w:left="0" w:right="0" w:firstLine="0"/>
                          <w:jc w:val="left"/>
                          <w:rPr>
                            <w:rFonts w:ascii="Arial MT"/>
                            <w:sz w:val="14"/>
                          </w:rPr>
                        </w:pPr>
                        <w:r>
                          <w:rPr>
                            <w:rFonts w:ascii="Arial MT"/>
                            <w:spacing w:val="-2"/>
                            <w:w w:val="85"/>
                            <w:sz w:val="14"/>
                          </w:rPr>
                          <w:t>30,000</w:t>
                        </w:r>
                      </w:p>
                    </w:txbxContent>
                  </v:textbox>
                  <w10:wrap type="none"/>
                </v:shape>
                <v:shape style="position:absolute;left:3694;top:698;width:678;height:161" type="#_x0000_t202" id="docshape2124" filled="false" stroked="false">
                  <v:textbox inset="0,0,0,0">
                    <w:txbxContent>
                      <w:p>
                        <w:pPr>
                          <w:spacing w:line="161" w:lineRule="exact" w:before="0"/>
                          <w:ind w:left="0" w:right="0" w:firstLine="0"/>
                          <w:jc w:val="left"/>
                          <w:rPr>
                            <w:rFonts w:ascii="Arial MT"/>
                            <w:sz w:val="14"/>
                          </w:rPr>
                        </w:pPr>
                        <w:r>
                          <w:rPr>
                            <w:rFonts w:ascii="Arial MT"/>
                            <w:w w:val="80"/>
                            <w:sz w:val="14"/>
                          </w:rPr>
                          <w:t>Patent</w:t>
                        </w:r>
                        <w:r>
                          <w:rPr>
                            <w:rFonts w:ascii="Arial MT"/>
                            <w:spacing w:val="1"/>
                            <w:sz w:val="14"/>
                          </w:rPr>
                          <w:t> </w:t>
                        </w:r>
                        <w:r>
                          <w:rPr>
                            <w:rFonts w:ascii="Arial MT"/>
                            <w:spacing w:val="-2"/>
                            <w:w w:val="85"/>
                            <w:sz w:val="14"/>
                          </w:rPr>
                          <w:t>filings</w:t>
                        </w:r>
                      </w:p>
                    </w:txbxContent>
                  </v:textbox>
                  <w10:wrap type="none"/>
                </v:shape>
                <v:shape style="position:absolute;left:4866;top:698;width:703;height:161" type="#_x0000_t202" id="docshape2125" filled="false" stroked="false">
                  <v:textbox inset="0,0,0,0">
                    <w:txbxContent>
                      <w:p>
                        <w:pPr>
                          <w:spacing w:line="161" w:lineRule="exact" w:before="0"/>
                          <w:ind w:left="0" w:right="0" w:firstLine="0"/>
                          <w:jc w:val="left"/>
                          <w:rPr>
                            <w:rFonts w:ascii="Arial MT"/>
                            <w:sz w:val="14"/>
                          </w:rPr>
                        </w:pPr>
                        <w:r>
                          <w:rPr>
                            <w:rFonts w:ascii="Arial MT"/>
                            <w:w w:val="80"/>
                            <w:sz w:val="14"/>
                          </w:rPr>
                          <w:t>Patent</w:t>
                        </w:r>
                        <w:r>
                          <w:rPr>
                            <w:rFonts w:ascii="Arial MT"/>
                            <w:spacing w:val="1"/>
                            <w:sz w:val="14"/>
                          </w:rPr>
                          <w:t> </w:t>
                        </w:r>
                        <w:r>
                          <w:rPr>
                            <w:rFonts w:ascii="Arial MT"/>
                            <w:spacing w:val="-2"/>
                            <w:w w:val="85"/>
                            <w:sz w:val="14"/>
                          </w:rPr>
                          <w:t>grants</w:t>
                        </w:r>
                      </w:p>
                    </w:txbxContent>
                  </v:textbox>
                  <w10:wrap type="none"/>
                </v:shape>
                <v:shape style="position:absolute;left:1706;top:1097;width:372;height:1721" type="#_x0000_t202" id="docshape2126" filled="false" stroked="false">
                  <v:textbox inset="0,0,0,0">
                    <w:txbxContent>
                      <w:p>
                        <w:pPr>
                          <w:spacing w:line="161" w:lineRule="exact" w:before="0"/>
                          <w:ind w:left="0" w:right="0" w:firstLine="0"/>
                          <w:jc w:val="left"/>
                          <w:rPr>
                            <w:rFonts w:ascii="Arial MT"/>
                            <w:sz w:val="14"/>
                          </w:rPr>
                        </w:pPr>
                        <w:r>
                          <w:rPr>
                            <w:rFonts w:ascii="Arial MT"/>
                            <w:spacing w:val="-2"/>
                            <w:w w:val="85"/>
                            <w:sz w:val="14"/>
                          </w:rPr>
                          <w:t>25,000</w:t>
                        </w:r>
                      </w:p>
                      <w:p>
                        <w:pPr>
                          <w:spacing w:line="240" w:lineRule="auto" w:before="68"/>
                          <w:rPr>
                            <w:rFonts w:ascii="Arial MT"/>
                            <w:sz w:val="14"/>
                          </w:rPr>
                        </w:pPr>
                      </w:p>
                      <w:p>
                        <w:pPr>
                          <w:spacing w:before="0"/>
                          <w:ind w:left="0" w:right="0" w:firstLine="0"/>
                          <w:jc w:val="left"/>
                          <w:rPr>
                            <w:rFonts w:ascii="Arial MT"/>
                            <w:sz w:val="14"/>
                          </w:rPr>
                        </w:pPr>
                        <w:r>
                          <w:rPr>
                            <w:rFonts w:ascii="Arial MT"/>
                            <w:spacing w:val="-2"/>
                            <w:w w:val="85"/>
                            <w:sz w:val="14"/>
                          </w:rPr>
                          <w:t>20,000</w:t>
                        </w:r>
                      </w:p>
                      <w:p>
                        <w:pPr>
                          <w:spacing w:line="240" w:lineRule="auto" w:before="68"/>
                          <w:rPr>
                            <w:rFonts w:ascii="Arial MT"/>
                            <w:sz w:val="14"/>
                          </w:rPr>
                        </w:pPr>
                      </w:p>
                      <w:p>
                        <w:pPr>
                          <w:spacing w:before="0"/>
                          <w:ind w:left="0" w:right="0" w:firstLine="0"/>
                          <w:jc w:val="left"/>
                          <w:rPr>
                            <w:rFonts w:ascii="Arial MT"/>
                            <w:sz w:val="14"/>
                          </w:rPr>
                        </w:pPr>
                        <w:r>
                          <w:rPr>
                            <w:rFonts w:ascii="Arial MT"/>
                            <w:spacing w:val="-2"/>
                            <w:w w:val="85"/>
                            <w:sz w:val="14"/>
                          </w:rPr>
                          <w:t>15,000</w:t>
                        </w:r>
                      </w:p>
                      <w:p>
                        <w:pPr>
                          <w:spacing w:line="240" w:lineRule="auto" w:before="68"/>
                          <w:rPr>
                            <w:rFonts w:ascii="Arial MT"/>
                            <w:sz w:val="14"/>
                          </w:rPr>
                        </w:pPr>
                      </w:p>
                      <w:p>
                        <w:pPr>
                          <w:spacing w:before="0"/>
                          <w:ind w:left="0" w:right="0" w:firstLine="0"/>
                          <w:jc w:val="left"/>
                          <w:rPr>
                            <w:rFonts w:ascii="Arial MT"/>
                            <w:sz w:val="14"/>
                          </w:rPr>
                        </w:pPr>
                        <w:r>
                          <w:rPr>
                            <w:rFonts w:ascii="Arial MT"/>
                            <w:spacing w:val="-2"/>
                            <w:w w:val="85"/>
                            <w:sz w:val="14"/>
                          </w:rPr>
                          <w:t>10,000</w:t>
                        </w:r>
                      </w:p>
                      <w:p>
                        <w:pPr>
                          <w:spacing w:line="240" w:lineRule="auto" w:before="68"/>
                          <w:rPr>
                            <w:rFonts w:ascii="Arial MT"/>
                            <w:sz w:val="14"/>
                          </w:rPr>
                        </w:pPr>
                      </w:p>
                      <w:p>
                        <w:pPr>
                          <w:spacing w:before="0"/>
                          <w:ind w:left="63" w:right="0" w:firstLine="0"/>
                          <w:jc w:val="left"/>
                          <w:rPr>
                            <w:rFonts w:ascii="Arial MT"/>
                            <w:sz w:val="14"/>
                          </w:rPr>
                        </w:pPr>
                        <w:r>
                          <w:rPr>
                            <w:rFonts w:ascii="Arial MT"/>
                            <w:spacing w:val="-2"/>
                            <w:w w:val="85"/>
                            <w:sz w:val="14"/>
                          </w:rPr>
                          <w:t>5,000</w:t>
                        </w:r>
                      </w:p>
                    </w:txbxContent>
                  </v:textbox>
                  <w10:wrap type="none"/>
                </v:shape>
                <v:shape style="position:absolute;left:1993;top:3047;width:84;height:161" type="#_x0000_t202" id="docshape2127"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2426;top:3162;width:812;height:161" type="#_x0000_t202" id="docshape2128" filled="false" stroked="false">
                  <v:textbox inset="0,0,0,0">
                    <w:txbxContent>
                      <w:p>
                        <w:pPr>
                          <w:spacing w:line="161" w:lineRule="exact" w:before="0"/>
                          <w:ind w:left="0" w:right="0" w:firstLine="0"/>
                          <w:jc w:val="left"/>
                          <w:rPr>
                            <w:rFonts w:ascii="Arial MT"/>
                            <w:sz w:val="14"/>
                          </w:rPr>
                        </w:pPr>
                        <w:r>
                          <w:rPr>
                            <w:rFonts w:ascii="Arial MT"/>
                            <w:w w:val="80"/>
                            <w:sz w:val="14"/>
                          </w:rPr>
                          <w:t>By</w:t>
                        </w:r>
                        <w:r>
                          <w:rPr>
                            <w:rFonts w:ascii="Arial MT"/>
                            <w:spacing w:val="-2"/>
                            <w:sz w:val="14"/>
                          </w:rPr>
                          <w:t> </w:t>
                        </w:r>
                        <w:r>
                          <w:rPr>
                            <w:rFonts w:ascii="Arial MT"/>
                            <w:w w:val="80"/>
                            <w:sz w:val="14"/>
                          </w:rPr>
                          <w:t>patent</w:t>
                        </w:r>
                        <w:r>
                          <w:rPr>
                            <w:rFonts w:ascii="Arial MT"/>
                            <w:spacing w:val="-2"/>
                            <w:sz w:val="14"/>
                          </w:rPr>
                          <w:t> </w:t>
                        </w:r>
                        <w:r>
                          <w:rPr>
                            <w:rFonts w:ascii="Arial MT"/>
                            <w:spacing w:val="-2"/>
                            <w:w w:val="80"/>
                            <w:sz w:val="14"/>
                          </w:rPr>
                          <w:t>office</w:t>
                        </w:r>
                      </w:p>
                    </w:txbxContent>
                  </v:textbox>
                  <w10:wrap type="none"/>
                </v:shape>
                <v:shape style="position:absolute;left:3800;top:3162;width:1003;height:161" type="#_x0000_t202" id="docshape2129" filled="false" stroked="false">
                  <v:textbox inset="0,0,0,0">
                    <w:txbxContent>
                      <w:p>
                        <w:pPr>
                          <w:spacing w:line="161" w:lineRule="exact" w:before="0"/>
                          <w:ind w:left="0" w:right="0" w:firstLine="0"/>
                          <w:jc w:val="left"/>
                          <w:rPr>
                            <w:rFonts w:ascii="Arial MT"/>
                            <w:sz w:val="14"/>
                          </w:rPr>
                        </w:pPr>
                        <w:r>
                          <w:rPr>
                            <w:rFonts w:ascii="Arial MT"/>
                            <w:w w:val="80"/>
                            <w:sz w:val="14"/>
                          </w:rPr>
                          <w:t>By</w:t>
                        </w:r>
                        <w:r>
                          <w:rPr>
                            <w:rFonts w:ascii="Arial MT"/>
                            <w:spacing w:val="-5"/>
                            <w:sz w:val="14"/>
                          </w:rPr>
                          <w:t> </w:t>
                        </w:r>
                        <w:r>
                          <w:rPr>
                            <w:rFonts w:ascii="Arial MT"/>
                            <w:w w:val="80"/>
                            <w:sz w:val="14"/>
                          </w:rPr>
                          <w:t>country</w:t>
                        </w:r>
                        <w:r>
                          <w:rPr>
                            <w:rFonts w:ascii="Arial MT"/>
                            <w:spacing w:val="-4"/>
                            <w:sz w:val="14"/>
                          </w:rPr>
                          <w:t> </w:t>
                        </w:r>
                        <w:r>
                          <w:rPr>
                            <w:rFonts w:ascii="Arial MT"/>
                            <w:w w:val="80"/>
                            <w:sz w:val="14"/>
                          </w:rPr>
                          <w:t>of</w:t>
                        </w:r>
                        <w:r>
                          <w:rPr>
                            <w:rFonts w:ascii="Arial MT"/>
                            <w:spacing w:val="-5"/>
                            <w:sz w:val="14"/>
                          </w:rPr>
                          <w:t> </w:t>
                        </w:r>
                        <w:r>
                          <w:rPr>
                            <w:rFonts w:ascii="Arial MT"/>
                            <w:spacing w:val="-2"/>
                            <w:w w:val="80"/>
                            <w:sz w:val="14"/>
                          </w:rPr>
                          <w:t>origin</w:t>
                        </w:r>
                      </w:p>
                    </w:txbxContent>
                  </v:textbox>
                  <w10:wrap type="none"/>
                </v:shape>
                <w10:wrap type="none"/>
              </v:group>
            </w:pict>
          </mc:Fallback>
        </mc:AlternateContent>
      </w:r>
      <w:r>
        <w:rPr>
          <w:w w:val="90"/>
        </w:rPr>
        <w:t>Figure</w:t>
      </w:r>
      <w:r>
        <w:rPr>
          <w:spacing w:val="1"/>
        </w:rPr>
        <w:t> </w:t>
      </w:r>
      <w:r>
        <w:rPr>
          <w:w w:val="90"/>
        </w:rPr>
        <w:t>55:</w:t>
      </w:r>
      <w:r>
        <w:rPr>
          <w:spacing w:val="1"/>
        </w:rPr>
        <w:t> </w:t>
      </w:r>
      <w:r>
        <w:rPr>
          <w:color w:val="2E614A"/>
          <w:w w:val="90"/>
        </w:rPr>
        <w:t>India</w:t>
      </w:r>
      <w:r>
        <w:rPr>
          <w:color w:val="2E614A"/>
          <w:spacing w:val="1"/>
        </w:rPr>
        <w:t> </w:t>
      </w:r>
      <w:r>
        <w:rPr>
          <w:color w:val="2E614A"/>
          <w:w w:val="90"/>
        </w:rPr>
        <w:t>patent</w:t>
      </w:r>
      <w:r>
        <w:rPr>
          <w:color w:val="2E614A"/>
          <w:spacing w:val="1"/>
        </w:rPr>
        <w:t> </w:t>
      </w:r>
      <w:r>
        <w:rPr>
          <w:color w:val="2E614A"/>
          <w:w w:val="90"/>
        </w:rPr>
        <w:t>figures</w:t>
      </w:r>
      <w:r>
        <w:rPr>
          <w:color w:val="2E614A"/>
          <w:spacing w:val="2"/>
        </w:rPr>
        <w:t> </w:t>
      </w:r>
      <w:r>
        <w:rPr>
          <w:color w:val="2E614A"/>
          <w:spacing w:val="-2"/>
          <w:w w:val="90"/>
        </w:rPr>
        <w:t>(2005)</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18"/>
        <w:rPr>
          <w:b/>
          <w:sz w:val="24"/>
        </w:rPr>
      </w:pPr>
    </w:p>
    <w:p>
      <w:pPr>
        <w:spacing w:before="1"/>
        <w:ind w:left="1080" w:right="0" w:firstLine="0"/>
        <w:jc w:val="left"/>
        <w:rPr>
          <w:sz w:val="16"/>
        </w:rPr>
      </w:pPr>
      <w:r>
        <w:rPr>
          <w:i/>
          <w:w w:val="90"/>
          <w:sz w:val="16"/>
        </w:rPr>
        <w:t>Source:</w:t>
      </w:r>
      <w:r>
        <w:rPr>
          <w:i/>
          <w:spacing w:val="8"/>
          <w:sz w:val="16"/>
        </w:rPr>
        <w:t> </w:t>
      </w:r>
      <w:r>
        <w:rPr>
          <w:w w:val="90"/>
          <w:sz w:val="16"/>
        </w:rPr>
        <w:t>WIPO</w:t>
      </w:r>
      <w:r>
        <w:rPr>
          <w:spacing w:val="13"/>
          <w:sz w:val="16"/>
        </w:rPr>
        <w:t> </w:t>
      </w:r>
      <w:r>
        <w:rPr>
          <w:w w:val="90"/>
          <w:sz w:val="16"/>
        </w:rPr>
        <w:t>Statistics</w:t>
      </w:r>
      <w:r>
        <w:rPr>
          <w:spacing w:val="12"/>
          <w:sz w:val="16"/>
        </w:rPr>
        <w:t> </w:t>
      </w:r>
      <w:r>
        <w:rPr>
          <w:spacing w:val="-2"/>
          <w:w w:val="90"/>
          <w:sz w:val="16"/>
        </w:rPr>
        <w:t>Database</w:t>
      </w:r>
    </w:p>
    <w:p>
      <w:pPr>
        <w:pStyle w:val="BodyText"/>
        <w:spacing w:line="266" w:lineRule="auto" w:before="88"/>
        <w:ind w:left="1080" w:right="1077"/>
        <w:jc w:val="both"/>
      </w:pPr>
      <w:r>
        <w:rPr/>
        <w:br w:type="column"/>
      </w:r>
      <w:r>
        <w:rPr>
          <w:spacing w:val="-6"/>
        </w:rPr>
        <w:t>the</w:t>
      </w:r>
      <w:r>
        <w:rPr>
          <w:spacing w:val="-7"/>
        </w:rPr>
        <w:t> </w:t>
      </w:r>
      <w:r>
        <w:rPr>
          <w:spacing w:val="-6"/>
        </w:rPr>
        <w:t>data</w:t>
      </w:r>
      <w:r>
        <w:rPr>
          <w:spacing w:val="-7"/>
        </w:rPr>
        <w:t> </w:t>
      </w:r>
      <w:r>
        <w:rPr>
          <w:spacing w:val="-6"/>
        </w:rPr>
        <w:t>for</w:t>
      </w:r>
      <w:r>
        <w:rPr>
          <w:spacing w:val="-7"/>
        </w:rPr>
        <w:t> </w:t>
      </w:r>
      <w:r>
        <w:rPr>
          <w:spacing w:val="-6"/>
        </w:rPr>
        <w:t>the</w:t>
      </w:r>
      <w:r>
        <w:rPr>
          <w:spacing w:val="-7"/>
        </w:rPr>
        <w:t> </w:t>
      </w:r>
      <w:r>
        <w:rPr>
          <w:spacing w:val="-6"/>
        </w:rPr>
        <w:t>year</w:t>
      </w:r>
      <w:r>
        <w:rPr>
          <w:spacing w:val="-7"/>
        </w:rPr>
        <w:t> </w:t>
      </w:r>
      <w:r>
        <w:rPr>
          <w:spacing w:val="-6"/>
        </w:rPr>
        <w:t>2006</w:t>
      </w:r>
      <w:r>
        <w:rPr>
          <w:spacing w:val="-7"/>
        </w:rPr>
        <w:t> </w:t>
      </w:r>
      <w:r>
        <w:rPr>
          <w:spacing w:val="-6"/>
        </w:rPr>
        <w:t>(WIPO</w:t>
      </w:r>
      <w:r>
        <w:rPr>
          <w:spacing w:val="-7"/>
        </w:rPr>
        <w:t> </w:t>
      </w:r>
      <w:r>
        <w:rPr>
          <w:spacing w:val="-6"/>
        </w:rPr>
        <w:t>rankings</w:t>
      </w:r>
      <w:r>
        <w:rPr>
          <w:spacing w:val="-7"/>
        </w:rPr>
        <w:t> </w:t>
      </w:r>
      <w:r>
        <w:rPr>
          <w:spacing w:val="-6"/>
        </w:rPr>
        <w:t>shown</w:t>
      </w:r>
      <w:r>
        <w:rPr>
          <w:spacing w:val="-7"/>
        </w:rPr>
        <w:t> </w:t>
      </w:r>
      <w:r>
        <w:rPr>
          <w:spacing w:val="-6"/>
        </w:rPr>
        <w:t>below </w:t>
      </w:r>
      <w:r>
        <w:rPr>
          <w:spacing w:val="-4"/>
        </w:rPr>
        <w:t>are</w:t>
      </w:r>
      <w:r>
        <w:rPr>
          <w:spacing w:val="-9"/>
        </w:rPr>
        <w:t> </w:t>
      </w:r>
      <w:r>
        <w:rPr>
          <w:spacing w:val="-4"/>
        </w:rPr>
        <w:t>based</w:t>
      </w:r>
      <w:r>
        <w:rPr>
          <w:spacing w:val="-9"/>
        </w:rPr>
        <w:t> </w:t>
      </w:r>
      <w:r>
        <w:rPr>
          <w:spacing w:val="-4"/>
        </w:rPr>
        <w:t>on</w:t>
      </w:r>
      <w:r>
        <w:rPr>
          <w:spacing w:val="-9"/>
        </w:rPr>
        <w:t> </w:t>
      </w:r>
      <w:r>
        <w:rPr>
          <w:spacing w:val="-4"/>
        </w:rPr>
        <w:t>2005</w:t>
      </w:r>
      <w:r>
        <w:rPr>
          <w:spacing w:val="-9"/>
        </w:rPr>
        <w:t> </w:t>
      </w:r>
      <w:r>
        <w:rPr>
          <w:spacing w:val="-4"/>
        </w:rPr>
        <w:t>figures</w:t>
      </w:r>
      <w:r>
        <w:rPr>
          <w:spacing w:val="-9"/>
        </w:rPr>
        <w:t> </w:t>
      </w:r>
      <w:r>
        <w:rPr>
          <w:spacing w:val="-4"/>
        </w:rPr>
        <w:t>for</w:t>
      </w:r>
      <w:r>
        <w:rPr>
          <w:spacing w:val="-9"/>
        </w:rPr>
        <w:t> </w:t>
      </w:r>
      <w:r>
        <w:rPr>
          <w:spacing w:val="-4"/>
        </w:rPr>
        <w:t>India</w:t>
      </w:r>
      <w:r>
        <w:rPr>
          <w:spacing w:val="-9"/>
        </w:rPr>
        <w:t> </w:t>
      </w:r>
      <w:r>
        <w:rPr>
          <w:spacing w:val="-4"/>
        </w:rPr>
        <w:t>and</w:t>
      </w:r>
      <w:r>
        <w:rPr>
          <w:spacing w:val="-9"/>
        </w:rPr>
        <w:t> </w:t>
      </w:r>
      <w:r>
        <w:rPr>
          <w:spacing w:val="-4"/>
        </w:rPr>
        <w:t>2006</w:t>
      </w:r>
      <w:r>
        <w:rPr>
          <w:spacing w:val="-9"/>
        </w:rPr>
        <w:t> </w:t>
      </w:r>
      <w:r>
        <w:rPr>
          <w:spacing w:val="-4"/>
        </w:rPr>
        <w:t>figures</w:t>
      </w:r>
      <w:r>
        <w:rPr>
          <w:spacing w:val="-9"/>
        </w:rPr>
        <w:t> </w:t>
      </w:r>
      <w:r>
        <w:rPr>
          <w:spacing w:val="-4"/>
        </w:rPr>
        <w:t>for </w:t>
      </w:r>
      <w:r>
        <w:rPr/>
        <w:t>the</w:t>
      </w:r>
      <w:r>
        <w:rPr>
          <w:spacing w:val="-10"/>
        </w:rPr>
        <w:t> </w:t>
      </w:r>
      <w:r>
        <w:rPr/>
        <w:t>other</w:t>
      </w:r>
      <w:r>
        <w:rPr>
          <w:spacing w:val="-10"/>
        </w:rPr>
        <w:t> </w:t>
      </w:r>
      <w:r>
        <w:rPr/>
        <w:t>countries).</w:t>
      </w:r>
      <w:r>
        <w:rPr>
          <w:spacing w:val="-12"/>
        </w:rPr>
        <w:t> </w:t>
      </w:r>
      <w:r>
        <w:rPr/>
        <w:t>Yet,</w:t>
      </w:r>
      <w:r>
        <w:rPr>
          <w:spacing w:val="-10"/>
        </w:rPr>
        <w:t> </w:t>
      </w:r>
      <w:r>
        <w:rPr/>
        <w:t>when</w:t>
      </w:r>
      <w:r>
        <w:rPr>
          <w:spacing w:val="-10"/>
        </w:rPr>
        <w:t> </w:t>
      </w:r>
      <w:r>
        <w:rPr/>
        <w:t>one</w:t>
      </w:r>
      <w:r>
        <w:rPr>
          <w:spacing w:val="-10"/>
        </w:rPr>
        <w:t> </w:t>
      </w:r>
      <w:r>
        <w:rPr/>
        <w:t>takes</w:t>
      </w:r>
      <w:r>
        <w:rPr>
          <w:spacing w:val="-10"/>
        </w:rPr>
        <w:t> </w:t>
      </w:r>
      <w:r>
        <w:rPr/>
        <w:t>into</w:t>
      </w:r>
      <w:r>
        <w:rPr>
          <w:spacing w:val="-10"/>
        </w:rPr>
        <w:t> </w:t>
      </w:r>
      <w:r>
        <w:rPr/>
        <w:t>account patent</w:t>
      </w:r>
      <w:r>
        <w:rPr>
          <w:spacing w:val="-4"/>
        </w:rPr>
        <w:t> </w:t>
      </w:r>
      <w:r>
        <w:rPr/>
        <w:t>filings</w:t>
      </w:r>
      <w:r>
        <w:rPr>
          <w:spacing w:val="-4"/>
        </w:rPr>
        <w:t> </w:t>
      </w:r>
      <w:r>
        <w:rPr/>
        <w:t>as</w:t>
      </w:r>
      <w:r>
        <w:rPr>
          <w:spacing w:val="-4"/>
        </w:rPr>
        <w:t> </w:t>
      </w:r>
      <w:r>
        <w:rPr/>
        <w:t>a</w:t>
      </w:r>
      <w:r>
        <w:rPr>
          <w:spacing w:val="-4"/>
        </w:rPr>
        <w:t> </w:t>
      </w:r>
      <w:r>
        <w:rPr/>
        <w:t>proportion</w:t>
      </w:r>
      <w:r>
        <w:rPr>
          <w:spacing w:val="-4"/>
        </w:rPr>
        <w:t> </w:t>
      </w:r>
      <w:r>
        <w:rPr/>
        <w:t>of</w:t>
      </w:r>
      <w:r>
        <w:rPr>
          <w:spacing w:val="-4"/>
        </w:rPr>
        <w:t> </w:t>
      </w:r>
      <w:r>
        <w:rPr/>
        <w:t>population,</w:t>
      </w:r>
      <w:r>
        <w:rPr>
          <w:spacing w:val="-4"/>
        </w:rPr>
        <w:t> </w:t>
      </w:r>
      <w:r>
        <w:rPr/>
        <w:t>GDP</w:t>
      </w:r>
      <w:r>
        <w:rPr>
          <w:spacing w:val="-4"/>
        </w:rPr>
        <w:t> </w:t>
      </w:r>
      <w:r>
        <w:rPr/>
        <w:t>and R&amp;D expenditure – a better index for innovation – India fares badly.</w:t>
      </w:r>
    </w:p>
    <w:p>
      <w:pPr>
        <w:spacing w:after="0" w:line="266" w:lineRule="auto"/>
        <w:jc w:val="both"/>
        <w:sectPr>
          <w:type w:val="continuous"/>
          <w:pgSz w:w="11910" w:h="16840"/>
          <w:pgMar w:header="0" w:footer="675" w:top="1920" w:bottom="280" w:left="0" w:right="0"/>
          <w:cols w:num="2" w:equalWidth="0">
            <w:col w:w="4729" w:space="324"/>
            <w:col w:w="6857"/>
          </w:cols>
        </w:sectPr>
      </w:pPr>
    </w:p>
    <w:p>
      <w:pPr>
        <w:pStyle w:val="Heading8"/>
        <w:spacing w:line="242" w:lineRule="auto" w:before="73"/>
        <w:ind w:left="2028" w:hanging="949"/>
      </w:pPr>
      <w:r>
        <w:rPr>
          <w:spacing w:val="-2"/>
        </w:rPr>
        <w:t>Table</w:t>
      </w:r>
      <w:r>
        <w:rPr>
          <w:spacing w:val="-13"/>
        </w:rPr>
        <w:t> </w:t>
      </w:r>
      <w:r>
        <w:rPr>
          <w:spacing w:val="-2"/>
        </w:rPr>
        <w:t>21:</w:t>
      </w:r>
      <w:r>
        <w:rPr>
          <w:spacing w:val="-13"/>
        </w:rPr>
        <w:t> </w:t>
      </w:r>
      <w:r>
        <w:rPr>
          <w:color w:val="2E614A"/>
          <w:spacing w:val="-2"/>
        </w:rPr>
        <w:t>Patent</w:t>
      </w:r>
      <w:r>
        <w:rPr>
          <w:color w:val="2E614A"/>
          <w:spacing w:val="38"/>
        </w:rPr>
        <w:t> </w:t>
      </w:r>
      <w:r>
        <w:rPr>
          <w:color w:val="2E614A"/>
          <w:spacing w:val="-2"/>
        </w:rPr>
        <w:t>filings</w:t>
      </w:r>
      <w:r>
        <w:rPr>
          <w:color w:val="2E614A"/>
          <w:spacing w:val="38"/>
        </w:rPr>
        <w:t> </w:t>
      </w:r>
      <w:r>
        <w:rPr>
          <w:color w:val="2E614A"/>
          <w:spacing w:val="-2"/>
        </w:rPr>
        <w:t>by</w:t>
      </w:r>
      <w:r>
        <w:rPr>
          <w:color w:val="2E614A"/>
          <w:spacing w:val="38"/>
        </w:rPr>
        <w:t> </w:t>
      </w:r>
      <w:r>
        <w:rPr>
          <w:color w:val="2E614A"/>
          <w:spacing w:val="-2"/>
        </w:rPr>
        <w:t>patent</w:t>
      </w:r>
      <w:r>
        <w:rPr>
          <w:color w:val="2E614A"/>
          <w:spacing w:val="38"/>
        </w:rPr>
        <w:t> </w:t>
      </w:r>
      <w:r>
        <w:rPr>
          <w:color w:val="2E614A"/>
          <w:spacing w:val="-2"/>
        </w:rPr>
        <w:t>office:</w:t>
      </w:r>
      <w:r>
        <w:rPr>
          <w:color w:val="2E614A"/>
          <w:spacing w:val="44"/>
        </w:rPr>
        <w:t> </w:t>
      </w:r>
      <w:r>
        <w:rPr>
          <w:color w:val="2E614A"/>
          <w:spacing w:val="-2"/>
        </w:rPr>
        <w:t>Top </w:t>
      </w:r>
      <w:r>
        <w:rPr>
          <w:color w:val="2E614A"/>
        </w:rPr>
        <w:t>20 offices, 2006</w:t>
      </w:r>
    </w:p>
    <w:p>
      <w:pPr>
        <w:pStyle w:val="BodyText"/>
        <w:spacing w:before="2"/>
        <w:rPr>
          <w:b/>
          <w:sz w:val="10"/>
        </w:rPr>
      </w:pPr>
    </w:p>
    <w:tbl>
      <w:tblPr>
        <w:tblW w:w="0" w:type="auto"/>
        <w:jc w:val="left"/>
        <w:tblInd w:w="10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39"/>
        <w:gridCol w:w="3181"/>
        <w:gridCol w:w="1068"/>
      </w:tblGrid>
      <w:tr>
        <w:trPr>
          <w:trHeight w:val="321" w:hRule="atLeast"/>
        </w:trPr>
        <w:tc>
          <w:tcPr>
            <w:tcW w:w="439" w:type="dxa"/>
            <w:shd w:val="clear" w:color="auto" w:fill="D0D5CD"/>
          </w:tcPr>
          <w:p>
            <w:pPr>
              <w:pStyle w:val="TableParagraph"/>
              <w:spacing w:before="0"/>
              <w:rPr>
                <w:sz w:val="18"/>
              </w:rPr>
            </w:pPr>
          </w:p>
        </w:tc>
        <w:tc>
          <w:tcPr>
            <w:tcW w:w="3181" w:type="dxa"/>
            <w:shd w:val="clear" w:color="auto" w:fill="D0D5CD"/>
          </w:tcPr>
          <w:p>
            <w:pPr>
              <w:pStyle w:val="TableParagraph"/>
              <w:spacing w:before="0"/>
              <w:rPr>
                <w:sz w:val="18"/>
              </w:rPr>
            </w:pPr>
          </w:p>
        </w:tc>
        <w:tc>
          <w:tcPr>
            <w:tcW w:w="1068" w:type="dxa"/>
            <w:shd w:val="clear" w:color="auto" w:fill="D0D5CD"/>
          </w:tcPr>
          <w:p>
            <w:pPr>
              <w:pStyle w:val="TableParagraph"/>
              <w:ind w:left="333"/>
              <w:rPr>
                <w:sz w:val="20"/>
              </w:rPr>
            </w:pPr>
            <w:r>
              <w:rPr>
                <w:spacing w:val="-4"/>
                <w:sz w:val="20"/>
              </w:rPr>
              <w:t>2006</w:t>
            </w:r>
          </w:p>
        </w:tc>
      </w:tr>
      <w:tr>
        <w:trPr>
          <w:trHeight w:val="321" w:hRule="atLeast"/>
        </w:trPr>
        <w:tc>
          <w:tcPr>
            <w:tcW w:w="439" w:type="dxa"/>
            <w:shd w:val="clear" w:color="auto" w:fill="E9E9E9"/>
          </w:tcPr>
          <w:p>
            <w:pPr>
              <w:pStyle w:val="TableParagraph"/>
              <w:ind w:right="153"/>
              <w:jc w:val="center"/>
              <w:rPr>
                <w:sz w:val="20"/>
              </w:rPr>
            </w:pPr>
            <w:r>
              <w:rPr>
                <w:spacing w:val="-10"/>
                <w:sz w:val="20"/>
              </w:rPr>
              <w:t>1</w:t>
            </w:r>
          </w:p>
        </w:tc>
        <w:tc>
          <w:tcPr>
            <w:tcW w:w="3181" w:type="dxa"/>
            <w:shd w:val="clear" w:color="auto" w:fill="E9E9E9"/>
          </w:tcPr>
          <w:p>
            <w:pPr>
              <w:pStyle w:val="TableParagraph"/>
              <w:ind w:left="90"/>
              <w:rPr>
                <w:sz w:val="20"/>
              </w:rPr>
            </w:pPr>
            <w:r>
              <w:rPr>
                <w:spacing w:val="-4"/>
                <w:sz w:val="20"/>
              </w:rPr>
              <w:t>United</w:t>
            </w:r>
            <w:r>
              <w:rPr>
                <w:spacing w:val="-2"/>
                <w:sz w:val="20"/>
              </w:rPr>
              <w:t> </w:t>
            </w:r>
            <w:r>
              <w:rPr>
                <w:spacing w:val="-4"/>
                <w:sz w:val="20"/>
              </w:rPr>
              <w:t>States</w:t>
            </w:r>
            <w:r>
              <w:rPr>
                <w:spacing w:val="-2"/>
                <w:sz w:val="20"/>
              </w:rPr>
              <w:t> </w:t>
            </w:r>
            <w:r>
              <w:rPr>
                <w:spacing w:val="-4"/>
                <w:sz w:val="20"/>
              </w:rPr>
              <w:t>of</w:t>
            </w:r>
            <w:r>
              <w:rPr>
                <w:spacing w:val="-1"/>
                <w:sz w:val="20"/>
              </w:rPr>
              <w:t> </w:t>
            </w:r>
            <w:r>
              <w:rPr>
                <w:spacing w:val="-4"/>
                <w:sz w:val="20"/>
              </w:rPr>
              <w:t>America</w:t>
            </w:r>
          </w:p>
        </w:tc>
        <w:tc>
          <w:tcPr>
            <w:tcW w:w="1068" w:type="dxa"/>
            <w:shd w:val="clear" w:color="auto" w:fill="E9E9E9"/>
          </w:tcPr>
          <w:p>
            <w:pPr>
              <w:pStyle w:val="TableParagraph"/>
              <w:ind w:right="263"/>
              <w:jc w:val="right"/>
              <w:rPr>
                <w:sz w:val="20"/>
              </w:rPr>
            </w:pPr>
            <w:r>
              <w:rPr>
                <w:spacing w:val="-2"/>
                <w:sz w:val="20"/>
              </w:rPr>
              <w:t>425966</w:t>
            </w:r>
          </w:p>
        </w:tc>
      </w:tr>
      <w:tr>
        <w:trPr>
          <w:trHeight w:val="321" w:hRule="atLeast"/>
        </w:trPr>
        <w:tc>
          <w:tcPr>
            <w:tcW w:w="439" w:type="dxa"/>
            <w:shd w:val="clear" w:color="auto" w:fill="D0D5CD"/>
          </w:tcPr>
          <w:p>
            <w:pPr>
              <w:pStyle w:val="TableParagraph"/>
              <w:ind w:right="153"/>
              <w:jc w:val="center"/>
              <w:rPr>
                <w:sz w:val="20"/>
              </w:rPr>
            </w:pPr>
            <w:r>
              <w:rPr>
                <w:spacing w:val="-10"/>
                <w:sz w:val="20"/>
              </w:rPr>
              <w:t>2</w:t>
            </w:r>
          </w:p>
        </w:tc>
        <w:tc>
          <w:tcPr>
            <w:tcW w:w="3181" w:type="dxa"/>
            <w:shd w:val="clear" w:color="auto" w:fill="D0D5CD"/>
          </w:tcPr>
          <w:p>
            <w:pPr>
              <w:pStyle w:val="TableParagraph"/>
              <w:ind w:left="90"/>
              <w:rPr>
                <w:sz w:val="20"/>
              </w:rPr>
            </w:pPr>
            <w:r>
              <w:rPr>
                <w:spacing w:val="-2"/>
                <w:sz w:val="20"/>
              </w:rPr>
              <w:t>Japan</w:t>
            </w:r>
          </w:p>
        </w:tc>
        <w:tc>
          <w:tcPr>
            <w:tcW w:w="1068" w:type="dxa"/>
            <w:shd w:val="clear" w:color="auto" w:fill="D0D5CD"/>
          </w:tcPr>
          <w:p>
            <w:pPr>
              <w:pStyle w:val="TableParagraph"/>
              <w:ind w:right="263"/>
              <w:jc w:val="right"/>
              <w:rPr>
                <w:sz w:val="20"/>
              </w:rPr>
            </w:pPr>
            <w:r>
              <w:rPr>
                <w:spacing w:val="-2"/>
                <w:sz w:val="20"/>
              </w:rPr>
              <w:t>408674</w:t>
            </w:r>
          </w:p>
        </w:tc>
      </w:tr>
      <w:tr>
        <w:trPr>
          <w:trHeight w:val="321" w:hRule="atLeast"/>
        </w:trPr>
        <w:tc>
          <w:tcPr>
            <w:tcW w:w="439" w:type="dxa"/>
            <w:shd w:val="clear" w:color="auto" w:fill="E9E9E9"/>
          </w:tcPr>
          <w:p>
            <w:pPr>
              <w:pStyle w:val="TableParagraph"/>
              <w:ind w:right="153"/>
              <w:jc w:val="center"/>
              <w:rPr>
                <w:sz w:val="20"/>
              </w:rPr>
            </w:pPr>
            <w:r>
              <w:rPr>
                <w:spacing w:val="-10"/>
                <w:sz w:val="20"/>
              </w:rPr>
              <w:t>3</w:t>
            </w:r>
          </w:p>
        </w:tc>
        <w:tc>
          <w:tcPr>
            <w:tcW w:w="3181" w:type="dxa"/>
            <w:shd w:val="clear" w:color="auto" w:fill="E9E9E9"/>
          </w:tcPr>
          <w:p>
            <w:pPr>
              <w:pStyle w:val="TableParagraph"/>
              <w:ind w:left="90"/>
              <w:rPr>
                <w:sz w:val="20"/>
              </w:rPr>
            </w:pPr>
            <w:r>
              <w:rPr>
                <w:spacing w:val="-2"/>
                <w:sz w:val="20"/>
              </w:rPr>
              <w:t>China</w:t>
            </w:r>
          </w:p>
        </w:tc>
        <w:tc>
          <w:tcPr>
            <w:tcW w:w="1068" w:type="dxa"/>
            <w:shd w:val="clear" w:color="auto" w:fill="E9E9E9"/>
          </w:tcPr>
          <w:p>
            <w:pPr>
              <w:pStyle w:val="TableParagraph"/>
              <w:ind w:right="263"/>
              <w:jc w:val="right"/>
              <w:rPr>
                <w:sz w:val="20"/>
              </w:rPr>
            </w:pPr>
            <w:r>
              <w:rPr>
                <w:spacing w:val="-2"/>
                <w:sz w:val="20"/>
              </w:rPr>
              <w:t>210501</w:t>
            </w:r>
          </w:p>
        </w:tc>
      </w:tr>
      <w:tr>
        <w:trPr>
          <w:trHeight w:val="321" w:hRule="atLeast"/>
        </w:trPr>
        <w:tc>
          <w:tcPr>
            <w:tcW w:w="439" w:type="dxa"/>
            <w:shd w:val="clear" w:color="auto" w:fill="D0D5CD"/>
          </w:tcPr>
          <w:p>
            <w:pPr>
              <w:pStyle w:val="TableParagraph"/>
              <w:ind w:right="153"/>
              <w:jc w:val="center"/>
              <w:rPr>
                <w:sz w:val="20"/>
              </w:rPr>
            </w:pPr>
            <w:r>
              <w:rPr>
                <w:spacing w:val="-10"/>
                <w:sz w:val="20"/>
              </w:rPr>
              <w:t>4</w:t>
            </w:r>
          </w:p>
        </w:tc>
        <w:tc>
          <w:tcPr>
            <w:tcW w:w="3181" w:type="dxa"/>
            <w:shd w:val="clear" w:color="auto" w:fill="D0D5CD"/>
          </w:tcPr>
          <w:p>
            <w:pPr>
              <w:pStyle w:val="TableParagraph"/>
              <w:ind w:left="90"/>
              <w:rPr>
                <w:sz w:val="20"/>
              </w:rPr>
            </w:pPr>
            <w:r>
              <w:rPr>
                <w:spacing w:val="-4"/>
                <w:sz w:val="20"/>
              </w:rPr>
              <w:t>Republic</w:t>
            </w:r>
            <w:r>
              <w:rPr>
                <w:spacing w:val="-5"/>
                <w:sz w:val="20"/>
              </w:rPr>
              <w:t> </w:t>
            </w:r>
            <w:r>
              <w:rPr>
                <w:spacing w:val="-4"/>
                <w:sz w:val="20"/>
              </w:rPr>
              <w:t>of</w:t>
            </w:r>
            <w:r>
              <w:rPr>
                <w:spacing w:val="-5"/>
                <w:sz w:val="20"/>
              </w:rPr>
              <w:t> </w:t>
            </w:r>
            <w:r>
              <w:rPr>
                <w:spacing w:val="-4"/>
                <w:sz w:val="20"/>
              </w:rPr>
              <w:t>Korea</w:t>
            </w:r>
          </w:p>
        </w:tc>
        <w:tc>
          <w:tcPr>
            <w:tcW w:w="1068" w:type="dxa"/>
            <w:shd w:val="clear" w:color="auto" w:fill="D0D5CD"/>
          </w:tcPr>
          <w:p>
            <w:pPr>
              <w:pStyle w:val="TableParagraph"/>
              <w:ind w:right="263"/>
              <w:jc w:val="right"/>
              <w:rPr>
                <w:sz w:val="20"/>
              </w:rPr>
            </w:pPr>
            <w:r>
              <w:rPr>
                <w:spacing w:val="-2"/>
                <w:sz w:val="20"/>
              </w:rPr>
              <w:t>166189</w:t>
            </w:r>
          </w:p>
        </w:tc>
      </w:tr>
      <w:tr>
        <w:trPr>
          <w:trHeight w:val="321" w:hRule="atLeast"/>
        </w:trPr>
        <w:tc>
          <w:tcPr>
            <w:tcW w:w="439" w:type="dxa"/>
            <w:shd w:val="clear" w:color="auto" w:fill="E9E9E9"/>
          </w:tcPr>
          <w:p>
            <w:pPr>
              <w:pStyle w:val="TableParagraph"/>
              <w:ind w:right="153"/>
              <w:jc w:val="center"/>
              <w:rPr>
                <w:sz w:val="20"/>
              </w:rPr>
            </w:pPr>
            <w:r>
              <w:rPr>
                <w:spacing w:val="-10"/>
                <w:sz w:val="20"/>
              </w:rPr>
              <w:t>5</w:t>
            </w:r>
          </w:p>
        </w:tc>
        <w:tc>
          <w:tcPr>
            <w:tcW w:w="3181" w:type="dxa"/>
            <w:shd w:val="clear" w:color="auto" w:fill="E9E9E9"/>
          </w:tcPr>
          <w:p>
            <w:pPr>
              <w:pStyle w:val="TableParagraph"/>
              <w:ind w:left="90"/>
              <w:rPr>
                <w:sz w:val="20"/>
              </w:rPr>
            </w:pPr>
            <w:r>
              <w:rPr>
                <w:spacing w:val="-2"/>
                <w:sz w:val="20"/>
              </w:rPr>
              <w:t>European</w:t>
            </w:r>
            <w:r>
              <w:rPr>
                <w:spacing w:val="-6"/>
                <w:sz w:val="20"/>
              </w:rPr>
              <w:t> </w:t>
            </w:r>
            <w:r>
              <w:rPr>
                <w:spacing w:val="-2"/>
                <w:sz w:val="20"/>
              </w:rPr>
              <w:t>Patent</w:t>
            </w:r>
            <w:r>
              <w:rPr>
                <w:spacing w:val="-6"/>
                <w:sz w:val="20"/>
              </w:rPr>
              <w:t> </w:t>
            </w:r>
            <w:r>
              <w:rPr>
                <w:spacing w:val="-2"/>
                <w:sz w:val="20"/>
              </w:rPr>
              <w:t>Office</w:t>
            </w:r>
          </w:p>
        </w:tc>
        <w:tc>
          <w:tcPr>
            <w:tcW w:w="1068" w:type="dxa"/>
            <w:shd w:val="clear" w:color="auto" w:fill="E9E9E9"/>
          </w:tcPr>
          <w:p>
            <w:pPr>
              <w:pStyle w:val="TableParagraph"/>
              <w:ind w:right="263"/>
              <w:jc w:val="right"/>
              <w:rPr>
                <w:sz w:val="20"/>
              </w:rPr>
            </w:pPr>
            <w:r>
              <w:rPr>
                <w:spacing w:val="-2"/>
                <w:sz w:val="20"/>
              </w:rPr>
              <w:t>135231</w:t>
            </w:r>
          </w:p>
        </w:tc>
      </w:tr>
      <w:tr>
        <w:trPr>
          <w:trHeight w:val="321" w:hRule="atLeast"/>
        </w:trPr>
        <w:tc>
          <w:tcPr>
            <w:tcW w:w="439" w:type="dxa"/>
            <w:shd w:val="clear" w:color="auto" w:fill="D0D5CD"/>
          </w:tcPr>
          <w:p>
            <w:pPr>
              <w:pStyle w:val="TableParagraph"/>
              <w:ind w:right="153"/>
              <w:jc w:val="center"/>
              <w:rPr>
                <w:sz w:val="20"/>
              </w:rPr>
            </w:pPr>
            <w:r>
              <w:rPr>
                <w:spacing w:val="-10"/>
                <w:sz w:val="20"/>
              </w:rPr>
              <w:t>6</w:t>
            </w:r>
          </w:p>
        </w:tc>
        <w:tc>
          <w:tcPr>
            <w:tcW w:w="3181" w:type="dxa"/>
            <w:shd w:val="clear" w:color="auto" w:fill="D0D5CD"/>
          </w:tcPr>
          <w:p>
            <w:pPr>
              <w:pStyle w:val="TableParagraph"/>
              <w:ind w:left="90"/>
              <w:rPr>
                <w:sz w:val="20"/>
              </w:rPr>
            </w:pPr>
            <w:r>
              <w:rPr>
                <w:spacing w:val="-2"/>
                <w:sz w:val="20"/>
              </w:rPr>
              <w:t>Germany</w:t>
            </w:r>
          </w:p>
        </w:tc>
        <w:tc>
          <w:tcPr>
            <w:tcW w:w="1068" w:type="dxa"/>
            <w:shd w:val="clear" w:color="auto" w:fill="D0D5CD"/>
          </w:tcPr>
          <w:p>
            <w:pPr>
              <w:pStyle w:val="TableParagraph"/>
              <w:ind w:right="263"/>
              <w:jc w:val="right"/>
              <w:rPr>
                <w:sz w:val="20"/>
              </w:rPr>
            </w:pPr>
            <w:r>
              <w:rPr>
                <w:spacing w:val="-2"/>
                <w:sz w:val="20"/>
              </w:rPr>
              <w:t>60585</w:t>
            </w:r>
          </w:p>
        </w:tc>
      </w:tr>
      <w:tr>
        <w:trPr>
          <w:trHeight w:val="321" w:hRule="atLeast"/>
        </w:trPr>
        <w:tc>
          <w:tcPr>
            <w:tcW w:w="439" w:type="dxa"/>
            <w:shd w:val="clear" w:color="auto" w:fill="E9E9E9"/>
          </w:tcPr>
          <w:p>
            <w:pPr>
              <w:pStyle w:val="TableParagraph"/>
              <w:ind w:right="153"/>
              <w:jc w:val="center"/>
              <w:rPr>
                <w:sz w:val="20"/>
              </w:rPr>
            </w:pPr>
            <w:r>
              <w:rPr>
                <w:spacing w:val="-10"/>
                <w:sz w:val="20"/>
              </w:rPr>
              <w:t>7</w:t>
            </w:r>
          </w:p>
        </w:tc>
        <w:tc>
          <w:tcPr>
            <w:tcW w:w="3181" w:type="dxa"/>
            <w:shd w:val="clear" w:color="auto" w:fill="E9E9E9"/>
          </w:tcPr>
          <w:p>
            <w:pPr>
              <w:pStyle w:val="TableParagraph"/>
              <w:ind w:left="90"/>
              <w:rPr>
                <w:sz w:val="20"/>
              </w:rPr>
            </w:pPr>
            <w:r>
              <w:rPr>
                <w:spacing w:val="-2"/>
                <w:sz w:val="20"/>
              </w:rPr>
              <w:t>Canada</w:t>
            </w:r>
          </w:p>
        </w:tc>
        <w:tc>
          <w:tcPr>
            <w:tcW w:w="1068" w:type="dxa"/>
            <w:shd w:val="clear" w:color="auto" w:fill="E9E9E9"/>
          </w:tcPr>
          <w:p>
            <w:pPr>
              <w:pStyle w:val="TableParagraph"/>
              <w:ind w:right="263"/>
              <w:jc w:val="right"/>
              <w:rPr>
                <w:sz w:val="20"/>
              </w:rPr>
            </w:pPr>
            <w:r>
              <w:rPr>
                <w:spacing w:val="-2"/>
                <w:sz w:val="20"/>
              </w:rPr>
              <w:t>42038</w:t>
            </w:r>
          </w:p>
        </w:tc>
      </w:tr>
      <w:tr>
        <w:trPr>
          <w:trHeight w:val="321" w:hRule="atLeast"/>
        </w:trPr>
        <w:tc>
          <w:tcPr>
            <w:tcW w:w="439" w:type="dxa"/>
            <w:shd w:val="clear" w:color="auto" w:fill="D0D5CD"/>
          </w:tcPr>
          <w:p>
            <w:pPr>
              <w:pStyle w:val="TableParagraph"/>
              <w:ind w:right="153"/>
              <w:jc w:val="center"/>
              <w:rPr>
                <w:sz w:val="20"/>
              </w:rPr>
            </w:pPr>
            <w:r>
              <w:rPr>
                <w:spacing w:val="-10"/>
                <w:sz w:val="20"/>
              </w:rPr>
              <w:t>8</w:t>
            </w:r>
          </w:p>
        </w:tc>
        <w:tc>
          <w:tcPr>
            <w:tcW w:w="3181" w:type="dxa"/>
            <w:shd w:val="clear" w:color="auto" w:fill="D0D5CD"/>
          </w:tcPr>
          <w:p>
            <w:pPr>
              <w:pStyle w:val="TableParagraph"/>
              <w:ind w:left="90"/>
              <w:rPr>
                <w:sz w:val="20"/>
              </w:rPr>
            </w:pPr>
            <w:r>
              <w:rPr>
                <w:spacing w:val="-6"/>
                <w:sz w:val="20"/>
              </w:rPr>
              <w:t>Russian</w:t>
            </w:r>
            <w:r>
              <w:rPr>
                <w:spacing w:val="-2"/>
                <w:sz w:val="20"/>
              </w:rPr>
              <w:t> Federation</w:t>
            </w:r>
          </w:p>
        </w:tc>
        <w:tc>
          <w:tcPr>
            <w:tcW w:w="1068" w:type="dxa"/>
            <w:shd w:val="clear" w:color="auto" w:fill="D0D5CD"/>
          </w:tcPr>
          <w:p>
            <w:pPr>
              <w:pStyle w:val="TableParagraph"/>
              <w:ind w:right="263"/>
              <w:jc w:val="right"/>
              <w:rPr>
                <w:sz w:val="20"/>
              </w:rPr>
            </w:pPr>
            <w:r>
              <w:rPr>
                <w:spacing w:val="-2"/>
                <w:sz w:val="20"/>
              </w:rPr>
              <w:t>37691</w:t>
            </w:r>
          </w:p>
        </w:tc>
      </w:tr>
      <w:tr>
        <w:trPr>
          <w:trHeight w:val="321" w:hRule="atLeast"/>
        </w:trPr>
        <w:tc>
          <w:tcPr>
            <w:tcW w:w="439" w:type="dxa"/>
            <w:shd w:val="clear" w:color="auto" w:fill="E9E9E9"/>
          </w:tcPr>
          <w:p>
            <w:pPr>
              <w:pStyle w:val="TableParagraph"/>
              <w:ind w:right="153"/>
              <w:jc w:val="center"/>
              <w:rPr>
                <w:sz w:val="20"/>
              </w:rPr>
            </w:pPr>
            <w:r>
              <w:rPr>
                <w:spacing w:val="-10"/>
                <w:sz w:val="20"/>
              </w:rPr>
              <w:t>9</w:t>
            </w:r>
          </w:p>
        </w:tc>
        <w:tc>
          <w:tcPr>
            <w:tcW w:w="3181" w:type="dxa"/>
            <w:shd w:val="clear" w:color="auto" w:fill="E9E9E9"/>
          </w:tcPr>
          <w:p>
            <w:pPr>
              <w:pStyle w:val="TableParagraph"/>
              <w:ind w:left="90"/>
              <w:rPr>
                <w:sz w:val="20"/>
              </w:rPr>
            </w:pPr>
            <w:r>
              <w:rPr>
                <w:spacing w:val="-2"/>
                <w:sz w:val="20"/>
              </w:rPr>
              <w:t>Australia</w:t>
            </w:r>
          </w:p>
        </w:tc>
        <w:tc>
          <w:tcPr>
            <w:tcW w:w="1068" w:type="dxa"/>
            <w:shd w:val="clear" w:color="auto" w:fill="E9E9E9"/>
          </w:tcPr>
          <w:p>
            <w:pPr>
              <w:pStyle w:val="TableParagraph"/>
              <w:ind w:right="263"/>
              <w:jc w:val="right"/>
              <w:rPr>
                <w:sz w:val="20"/>
              </w:rPr>
            </w:pPr>
            <w:r>
              <w:rPr>
                <w:spacing w:val="-2"/>
                <w:sz w:val="20"/>
              </w:rPr>
              <w:t>26003</w:t>
            </w:r>
          </w:p>
        </w:tc>
      </w:tr>
      <w:tr>
        <w:trPr>
          <w:trHeight w:val="321" w:hRule="atLeast"/>
        </w:trPr>
        <w:tc>
          <w:tcPr>
            <w:tcW w:w="439" w:type="dxa"/>
            <w:shd w:val="clear" w:color="auto" w:fill="D0D5CD"/>
          </w:tcPr>
          <w:p>
            <w:pPr>
              <w:pStyle w:val="TableParagraph"/>
              <w:ind w:right="53"/>
              <w:jc w:val="center"/>
              <w:rPr>
                <w:sz w:val="20"/>
              </w:rPr>
            </w:pPr>
            <w:r>
              <w:rPr>
                <w:spacing w:val="-5"/>
                <w:sz w:val="20"/>
              </w:rPr>
              <w:t>10</w:t>
            </w:r>
          </w:p>
        </w:tc>
        <w:tc>
          <w:tcPr>
            <w:tcW w:w="3181" w:type="dxa"/>
            <w:shd w:val="clear" w:color="auto" w:fill="D0D5CD"/>
          </w:tcPr>
          <w:p>
            <w:pPr>
              <w:pStyle w:val="TableParagraph"/>
              <w:ind w:left="90"/>
              <w:rPr>
                <w:sz w:val="20"/>
              </w:rPr>
            </w:pPr>
            <w:r>
              <w:rPr>
                <w:sz w:val="20"/>
              </w:rPr>
              <w:t>United</w:t>
            </w:r>
            <w:r>
              <w:rPr>
                <w:spacing w:val="-8"/>
                <w:sz w:val="20"/>
              </w:rPr>
              <w:t> </w:t>
            </w:r>
            <w:r>
              <w:rPr>
                <w:spacing w:val="-2"/>
                <w:sz w:val="20"/>
              </w:rPr>
              <w:t>Kingdom</w:t>
            </w:r>
          </w:p>
        </w:tc>
        <w:tc>
          <w:tcPr>
            <w:tcW w:w="1068" w:type="dxa"/>
            <w:shd w:val="clear" w:color="auto" w:fill="D0D5CD"/>
          </w:tcPr>
          <w:p>
            <w:pPr>
              <w:pStyle w:val="TableParagraph"/>
              <w:ind w:right="263"/>
              <w:jc w:val="right"/>
              <w:rPr>
                <w:sz w:val="20"/>
              </w:rPr>
            </w:pPr>
            <w:r>
              <w:rPr>
                <w:spacing w:val="-2"/>
                <w:sz w:val="20"/>
              </w:rPr>
              <w:t>25745</w:t>
            </w:r>
          </w:p>
        </w:tc>
      </w:tr>
      <w:tr>
        <w:trPr>
          <w:trHeight w:val="321" w:hRule="atLeast"/>
        </w:trPr>
        <w:tc>
          <w:tcPr>
            <w:tcW w:w="439" w:type="dxa"/>
            <w:shd w:val="clear" w:color="auto" w:fill="E9E9E9"/>
          </w:tcPr>
          <w:p>
            <w:pPr>
              <w:pStyle w:val="TableParagraph"/>
              <w:ind w:right="53"/>
              <w:jc w:val="center"/>
              <w:rPr>
                <w:sz w:val="20"/>
              </w:rPr>
            </w:pPr>
            <w:r>
              <w:rPr>
                <w:spacing w:val="-5"/>
                <w:sz w:val="20"/>
              </w:rPr>
              <w:t>11</w:t>
            </w:r>
          </w:p>
        </w:tc>
        <w:tc>
          <w:tcPr>
            <w:tcW w:w="3181" w:type="dxa"/>
            <w:shd w:val="clear" w:color="auto" w:fill="E9E9E9"/>
          </w:tcPr>
          <w:p>
            <w:pPr>
              <w:pStyle w:val="TableParagraph"/>
              <w:ind w:left="90"/>
              <w:rPr>
                <w:sz w:val="20"/>
              </w:rPr>
            </w:pPr>
            <w:r>
              <w:rPr>
                <w:sz w:val="20"/>
              </w:rPr>
              <w:t>India</w:t>
            </w:r>
            <w:r>
              <w:rPr>
                <w:spacing w:val="-10"/>
                <w:sz w:val="20"/>
              </w:rPr>
              <w:t> </w:t>
            </w:r>
            <w:r>
              <w:rPr>
                <w:spacing w:val="-2"/>
                <w:sz w:val="20"/>
              </w:rPr>
              <w:t>(2005)</w:t>
            </w:r>
          </w:p>
        </w:tc>
        <w:tc>
          <w:tcPr>
            <w:tcW w:w="1068" w:type="dxa"/>
            <w:shd w:val="clear" w:color="auto" w:fill="E9E9E9"/>
          </w:tcPr>
          <w:p>
            <w:pPr>
              <w:pStyle w:val="TableParagraph"/>
              <w:ind w:right="263"/>
              <w:jc w:val="right"/>
              <w:rPr>
                <w:sz w:val="20"/>
              </w:rPr>
            </w:pPr>
            <w:r>
              <w:rPr>
                <w:spacing w:val="-2"/>
                <w:sz w:val="20"/>
              </w:rPr>
              <w:t>24505</w:t>
            </w:r>
          </w:p>
        </w:tc>
      </w:tr>
      <w:tr>
        <w:trPr>
          <w:trHeight w:val="321" w:hRule="atLeast"/>
        </w:trPr>
        <w:tc>
          <w:tcPr>
            <w:tcW w:w="439" w:type="dxa"/>
            <w:shd w:val="clear" w:color="auto" w:fill="D0D5CD"/>
          </w:tcPr>
          <w:p>
            <w:pPr>
              <w:pStyle w:val="TableParagraph"/>
              <w:ind w:right="53"/>
              <w:jc w:val="center"/>
              <w:rPr>
                <w:sz w:val="20"/>
              </w:rPr>
            </w:pPr>
            <w:r>
              <w:rPr>
                <w:spacing w:val="-5"/>
                <w:sz w:val="20"/>
              </w:rPr>
              <w:t>12</w:t>
            </w:r>
          </w:p>
        </w:tc>
        <w:tc>
          <w:tcPr>
            <w:tcW w:w="3181" w:type="dxa"/>
            <w:shd w:val="clear" w:color="auto" w:fill="D0D5CD"/>
          </w:tcPr>
          <w:p>
            <w:pPr>
              <w:pStyle w:val="TableParagraph"/>
              <w:ind w:left="90"/>
              <w:rPr>
                <w:sz w:val="20"/>
              </w:rPr>
            </w:pPr>
            <w:r>
              <w:rPr>
                <w:spacing w:val="-2"/>
                <w:sz w:val="20"/>
              </w:rPr>
              <w:t>Brazil</w:t>
            </w:r>
          </w:p>
        </w:tc>
        <w:tc>
          <w:tcPr>
            <w:tcW w:w="1068" w:type="dxa"/>
            <w:shd w:val="clear" w:color="auto" w:fill="D0D5CD"/>
          </w:tcPr>
          <w:p>
            <w:pPr>
              <w:pStyle w:val="TableParagraph"/>
              <w:ind w:right="263"/>
              <w:jc w:val="right"/>
              <w:rPr>
                <w:sz w:val="20"/>
              </w:rPr>
            </w:pPr>
            <w:r>
              <w:rPr>
                <w:spacing w:val="-2"/>
                <w:sz w:val="20"/>
              </w:rPr>
              <w:t>24074</w:t>
            </w:r>
          </w:p>
        </w:tc>
      </w:tr>
      <w:tr>
        <w:trPr>
          <w:trHeight w:val="321" w:hRule="atLeast"/>
        </w:trPr>
        <w:tc>
          <w:tcPr>
            <w:tcW w:w="439" w:type="dxa"/>
            <w:shd w:val="clear" w:color="auto" w:fill="E9E9E9"/>
          </w:tcPr>
          <w:p>
            <w:pPr>
              <w:pStyle w:val="TableParagraph"/>
              <w:ind w:right="53"/>
              <w:jc w:val="center"/>
              <w:rPr>
                <w:sz w:val="20"/>
              </w:rPr>
            </w:pPr>
            <w:r>
              <w:rPr>
                <w:spacing w:val="-5"/>
                <w:sz w:val="20"/>
              </w:rPr>
              <w:t>13</w:t>
            </w:r>
          </w:p>
        </w:tc>
        <w:tc>
          <w:tcPr>
            <w:tcW w:w="3181" w:type="dxa"/>
            <w:shd w:val="clear" w:color="auto" w:fill="E9E9E9"/>
          </w:tcPr>
          <w:p>
            <w:pPr>
              <w:pStyle w:val="TableParagraph"/>
              <w:ind w:left="90"/>
              <w:rPr>
                <w:sz w:val="20"/>
              </w:rPr>
            </w:pPr>
            <w:r>
              <w:rPr>
                <w:spacing w:val="-2"/>
                <w:sz w:val="20"/>
              </w:rPr>
              <w:t>France</w:t>
            </w:r>
          </w:p>
        </w:tc>
        <w:tc>
          <w:tcPr>
            <w:tcW w:w="1068" w:type="dxa"/>
            <w:shd w:val="clear" w:color="auto" w:fill="E9E9E9"/>
          </w:tcPr>
          <w:p>
            <w:pPr>
              <w:pStyle w:val="TableParagraph"/>
              <w:ind w:right="263"/>
              <w:jc w:val="right"/>
              <w:rPr>
                <w:sz w:val="20"/>
              </w:rPr>
            </w:pPr>
            <w:r>
              <w:rPr>
                <w:spacing w:val="-2"/>
                <w:sz w:val="20"/>
              </w:rPr>
              <w:t>17249</w:t>
            </w:r>
          </w:p>
        </w:tc>
      </w:tr>
      <w:tr>
        <w:trPr>
          <w:trHeight w:val="321" w:hRule="atLeast"/>
        </w:trPr>
        <w:tc>
          <w:tcPr>
            <w:tcW w:w="439" w:type="dxa"/>
            <w:shd w:val="clear" w:color="auto" w:fill="D0D5CD"/>
          </w:tcPr>
          <w:p>
            <w:pPr>
              <w:pStyle w:val="TableParagraph"/>
              <w:ind w:right="53"/>
              <w:jc w:val="center"/>
              <w:rPr>
                <w:sz w:val="20"/>
              </w:rPr>
            </w:pPr>
            <w:r>
              <w:rPr>
                <w:spacing w:val="-5"/>
                <w:sz w:val="20"/>
              </w:rPr>
              <w:t>14</w:t>
            </w:r>
          </w:p>
        </w:tc>
        <w:tc>
          <w:tcPr>
            <w:tcW w:w="3181" w:type="dxa"/>
            <w:shd w:val="clear" w:color="auto" w:fill="D0D5CD"/>
          </w:tcPr>
          <w:p>
            <w:pPr>
              <w:pStyle w:val="TableParagraph"/>
              <w:ind w:left="90"/>
              <w:rPr>
                <w:sz w:val="20"/>
              </w:rPr>
            </w:pPr>
            <w:r>
              <w:rPr>
                <w:spacing w:val="-2"/>
                <w:sz w:val="20"/>
              </w:rPr>
              <w:t>Mexico</w:t>
            </w:r>
          </w:p>
        </w:tc>
        <w:tc>
          <w:tcPr>
            <w:tcW w:w="1068" w:type="dxa"/>
            <w:shd w:val="clear" w:color="auto" w:fill="D0D5CD"/>
          </w:tcPr>
          <w:p>
            <w:pPr>
              <w:pStyle w:val="TableParagraph"/>
              <w:ind w:right="263"/>
              <w:jc w:val="right"/>
              <w:rPr>
                <w:sz w:val="20"/>
              </w:rPr>
            </w:pPr>
            <w:r>
              <w:rPr>
                <w:spacing w:val="-2"/>
                <w:sz w:val="20"/>
              </w:rPr>
              <w:t>15505</w:t>
            </w:r>
          </w:p>
        </w:tc>
      </w:tr>
      <w:tr>
        <w:trPr>
          <w:trHeight w:val="321" w:hRule="atLeast"/>
        </w:trPr>
        <w:tc>
          <w:tcPr>
            <w:tcW w:w="439" w:type="dxa"/>
            <w:shd w:val="clear" w:color="auto" w:fill="E9E9E9"/>
          </w:tcPr>
          <w:p>
            <w:pPr>
              <w:pStyle w:val="TableParagraph"/>
              <w:ind w:right="53"/>
              <w:jc w:val="center"/>
              <w:rPr>
                <w:sz w:val="20"/>
              </w:rPr>
            </w:pPr>
            <w:r>
              <w:rPr>
                <w:spacing w:val="-5"/>
                <w:sz w:val="20"/>
              </w:rPr>
              <w:t>15</w:t>
            </w:r>
          </w:p>
        </w:tc>
        <w:tc>
          <w:tcPr>
            <w:tcW w:w="3181" w:type="dxa"/>
            <w:shd w:val="clear" w:color="auto" w:fill="E9E9E9"/>
          </w:tcPr>
          <w:p>
            <w:pPr>
              <w:pStyle w:val="TableParagraph"/>
              <w:ind w:left="90"/>
              <w:rPr>
                <w:sz w:val="20"/>
              </w:rPr>
            </w:pPr>
            <w:r>
              <w:rPr>
                <w:spacing w:val="-4"/>
                <w:sz w:val="20"/>
              </w:rPr>
              <w:t>Hong</w:t>
            </w:r>
            <w:r>
              <w:rPr>
                <w:spacing w:val="-6"/>
                <w:sz w:val="20"/>
              </w:rPr>
              <w:t> </w:t>
            </w:r>
            <w:r>
              <w:rPr>
                <w:spacing w:val="-4"/>
                <w:sz w:val="20"/>
              </w:rPr>
              <w:t>Kong</w:t>
            </w:r>
            <w:r>
              <w:rPr>
                <w:spacing w:val="-3"/>
                <w:sz w:val="20"/>
              </w:rPr>
              <w:t> </w:t>
            </w:r>
            <w:r>
              <w:rPr>
                <w:spacing w:val="-4"/>
                <w:sz w:val="20"/>
              </w:rPr>
              <w:t>(SAR),</w:t>
            </w:r>
            <w:r>
              <w:rPr>
                <w:spacing w:val="-3"/>
                <w:sz w:val="20"/>
              </w:rPr>
              <w:t> </w:t>
            </w:r>
            <w:r>
              <w:rPr>
                <w:spacing w:val="-4"/>
                <w:sz w:val="20"/>
              </w:rPr>
              <w:t>China</w:t>
            </w:r>
          </w:p>
        </w:tc>
        <w:tc>
          <w:tcPr>
            <w:tcW w:w="1068" w:type="dxa"/>
            <w:shd w:val="clear" w:color="auto" w:fill="E9E9E9"/>
          </w:tcPr>
          <w:p>
            <w:pPr>
              <w:pStyle w:val="TableParagraph"/>
              <w:ind w:right="263"/>
              <w:jc w:val="right"/>
              <w:rPr>
                <w:sz w:val="20"/>
              </w:rPr>
            </w:pPr>
            <w:r>
              <w:rPr>
                <w:spacing w:val="-2"/>
                <w:sz w:val="20"/>
              </w:rPr>
              <w:t>13790</w:t>
            </w:r>
          </w:p>
        </w:tc>
      </w:tr>
      <w:tr>
        <w:trPr>
          <w:trHeight w:val="321" w:hRule="atLeast"/>
        </w:trPr>
        <w:tc>
          <w:tcPr>
            <w:tcW w:w="439" w:type="dxa"/>
            <w:shd w:val="clear" w:color="auto" w:fill="D0D5CD"/>
          </w:tcPr>
          <w:p>
            <w:pPr>
              <w:pStyle w:val="TableParagraph"/>
              <w:ind w:right="53"/>
              <w:jc w:val="center"/>
              <w:rPr>
                <w:sz w:val="20"/>
              </w:rPr>
            </w:pPr>
            <w:r>
              <w:rPr>
                <w:spacing w:val="-5"/>
                <w:sz w:val="20"/>
              </w:rPr>
              <w:t>16</w:t>
            </w:r>
          </w:p>
        </w:tc>
        <w:tc>
          <w:tcPr>
            <w:tcW w:w="3181" w:type="dxa"/>
            <w:shd w:val="clear" w:color="auto" w:fill="D0D5CD"/>
          </w:tcPr>
          <w:p>
            <w:pPr>
              <w:pStyle w:val="TableParagraph"/>
              <w:ind w:left="90"/>
              <w:rPr>
                <w:sz w:val="20"/>
              </w:rPr>
            </w:pPr>
            <w:r>
              <w:rPr>
                <w:spacing w:val="-2"/>
                <w:sz w:val="20"/>
              </w:rPr>
              <w:t>Singapore</w:t>
            </w:r>
          </w:p>
        </w:tc>
        <w:tc>
          <w:tcPr>
            <w:tcW w:w="1068" w:type="dxa"/>
            <w:shd w:val="clear" w:color="auto" w:fill="D0D5CD"/>
          </w:tcPr>
          <w:p>
            <w:pPr>
              <w:pStyle w:val="TableParagraph"/>
              <w:ind w:right="263"/>
              <w:jc w:val="right"/>
              <w:rPr>
                <w:sz w:val="20"/>
              </w:rPr>
            </w:pPr>
            <w:r>
              <w:rPr>
                <w:spacing w:val="-4"/>
                <w:sz w:val="20"/>
              </w:rPr>
              <w:t>9163</w:t>
            </w:r>
          </w:p>
        </w:tc>
      </w:tr>
      <w:tr>
        <w:trPr>
          <w:trHeight w:val="321" w:hRule="atLeast"/>
        </w:trPr>
        <w:tc>
          <w:tcPr>
            <w:tcW w:w="439" w:type="dxa"/>
            <w:shd w:val="clear" w:color="auto" w:fill="E9E9E9"/>
          </w:tcPr>
          <w:p>
            <w:pPr>
              <w:pStyle w:val="TableParagraph"/>
              <w:ind w:right="53"/>
              <w:jc w:val="center"/>
              <w:rPr>
                <w:sz w:val="20"/>
              </w:rPr>
            </w:pPr>
            <w:r>
              <w:rPr>
                <w:spacing w:val="-5"/>
                <w:sz w:val="20"/>
              </w:rPr>
              <w:t>17</w:t>
            </w:r>
          </w:p>
        </w:tc>
        <w:tc>
          <w:tcPr>
            <w:tcW w:w="3181" w:type="dxa"/>
            <w:shd w:val="clear" w:color="auto" w:fill="E9E9E9"/>
          </w:tcPr>
          <w:p>
            <w:pPr>
              <w:pStyle w:val="TableParagraph"/>
              <w:ind w:left="90"/>
              <w:rPr>
                <w:sz w:val="20"/>
              </w:rPr>
            </w:pPr>
            <w:r>
              <w:rPr>
                <w:spacing w:val="-2"/>
                <w:sz w:val="20"/>
              </w:rPr>
              <w:t>Israel</w:t>
            </w:r>
          </w:p>
        </w:tc>
        <w:tc>
          <w:tcPr>
            <w:tcW w:w="1068" w:type="dxa"/>
            <w:shd w:val="clear" w:color="auto" w:fill="E9E9E9"/>
          </w:tcPr>
          <w:p>
            <w:pPr>
              <w:pStyle w:val="TableParagraph"/>
              <w:ind w:right="263"/>
              <w:jc w:val="right"/>
              <w:rPr>
                <w:sz w:val="20"/>
              </w:rPr>
            </w:pPr>
            <w:r>
              <w:rPr>
                <w:spacing w:val="-4"/>
                <w:sz w:val="20"/>
              </w:rPr>
              <w:t>7496</w:t>
            </w:r>
          </w:p>
        </w:tc>
      </w:tr>
      <w:tr>
        <w:trPr>
          <w:trHeight w:val="321" w:hRule="atLeast"/>
        </w:trPr>
        <w:tc>
          <w:tcPr>
            <w:tcW w:w="439" w:type="dxa"/>
            <w:shd w:val="clear" w:color="auto" w:fill="D0D5CD"/>
          </w:tcPr>
          <w:p>
            <w:pPr>
              <w:pStyle w:val="TableParagraph"/>
              <w:ind w:right="53"/>
              <w:jc w:val="center"/>
              <w:rPr>
                <w:sz w:val="20"/>
              </w:rPr>
            </w:pPr>
            <w:r>
              <w:rPr>
                <w:spacing w:val="-5"/>
                <w:sz w:val="20"/>
              </w:rPr>
              <w:t>18</w:t>
            </w:r>
          </w:p>
        </w:tc>
        <w:tc>
          <w:tcPr>
            <w:tcW w:w="3181" w:type="dxa"/>
            <w:shd w:val="clear" w:color="auto" w:fill="D0D5CD"/>
          </w:tcPr>
          <w:p>
            <w:pPr>
              <w:pStyle w:val="TableParagraph"/>
              <w:ind w:left="90"/>
              <w:rPr>
                <w:sz w:val="20"/>
              </w:rPr>
            </w:pPr>
            <w:r>
              <w:rPr>
                <w:spacing w:val="-2"/>
                <w:sz w:val="20"/>
              </w:rPr>
              <w:t>New</w:t>
            </w:r>
            <w:r>
              <w:rPr>
                <w:spacing w:val="-11"/>
                <w:sz w:val="20"/>
              </w:rPr>
              <w:t> </w:t>
            </w:r>
            <w:r>
              <w:rPr>
                <w:spacing w:val="-2"/>
                <w:sz w:val="20"/>
              </w:rPr>
              <w:t>Zealand</w:t>
            </w:r>
          </w:p>
        </w:tc>
        <w:tc>
          <w:tcPr>
            <w:tcW w:w="1068" w:type="dxa"/>
            <w:shd w:val="clear" w:color="auto" w:fill="D0D5CD"/>
          </w:tcPr>
          <w:p>
            <w:pPr>
              <w:pStyle w:val="TableParagraph"/>
              <w:ind w:right="263"/>
              <w:jc w:val="right"/>
              <w:rPr>
                <w:sz w:val="20"/>
              </w:rPr>
            </w:pPr>
            <w:r>
              <w:rPr>
                <w:spacing w:val="-4"/>
                <w:sz w:val="20"/>
              </w:rPr>
              <w:t>7365</w:t>
            </w:r>
          </w:p>
        </w:tc>
      </w:tr>
      <w:tr>
        <w:trPr>
          <w:trHeight w:val="321" w:hRule="atLeast"/>
        </w:trPr>
        <w:tc>
          <w:tcPr>
            <w:tcW w:w="439" w:type="dxa"/>
            <w:shd w:val="clear" w:color="auto" w:fill="E9E9E9"/>
          </w:tcPr>
          <w:p>
            <w:pPr>
              <w:pStyle w:val="TableParagraph"/>
              <w:ind w:right="53"/>
              <w:jc w:val="center"/>
              <w:rPr>
                <w:sz w:val="20"/>
              </w:rPr>
            </w:pPr>
            <w:r>
              <w:rPr>
                <w:spacing w:val="-5"/>
                <w:sz w:val="20"/>
              </w:rPr>
              <w:t>19</w:t>
            </w:r>
          </w:p>
        </w:tc>
        <w:tc>
          <w:tcPr>
            <w:tcW w:w="3181" w:type="dxa"/>
            <w:shd w:val="clear" w:color="auto" w:fill="E9E9E9"/>
          </w:tcPr>
          <w:p>
            <w:pPr>
              <w:pStyle w:val="TableParagraph"/>
              <w:ind w:left="90"/>
              <w:rPr>
                <w:sz w:val="20"/>
              </w:rPr>
            </w:pPr>
            <w:r>
              <w:rPr>
                <w:spacing w:val="-2"/>
                <w:sz w:val="20"/>
              </w:rPr>
              <w:t>Thailand</w:t>
            </w:r>
          </w:p>
        </w:tc>
        <w:tc>
          <w:tcPr>
            <w:tcW w:w="1068" w:type="dxa"/>
            <w:shd w:val="clear" w:color="auto" w:fill="E9E9E9"/>
          </w:tcPr>
          <w:p>
            <w:pPr>
              <w:pStyle w:val="TableParagraph"/>
              <w:ind w:right="263"/>
              <w:jc w:val="right"/>
              <w:rPr>
                <w:sz w:val="20"/>
              </w:rPr>
            </w:pPr>
            <w:r>
              <w:rPr>
                <w:spacing w:val="-4"/>
                <w:sz w:val="20"/>
              </w:rPr>
              <w:t>6248</w:t>
            </w:r>
          </w:p>
        </w:tc>
      </w:tr>
      <w:tr>
        <w:trPr>
          <w:trHeight w:val="321" w:hRule="atLeast"/>
        </w:trPr>
        <w:tc>
          <w:tcPr>
            <w:tcW w:w="439" w:type="dxa"/>
            <w:shd w:val="clear" w:color="auto" w:fill="D0D5CD"/>
          </w:tcPr>
          <w:p>
            <w:pPr>
              <w:pStyle w:val="TableParagraph"/>
              <w:ind w:right="53"/>
              <w:jc w:val="center"/>
              <w:rPr>
                <w:sz w:val="20"/>
              </w:rPr>
            </w:pPr>
            <w:r>
              <w:rPr>
                <w:spacing w:val="-5"/>
                <w:sz w:val="20"/>
              </w:rPr>
              <w:t>20</w:t>
            </w:r>
          </w:p>
        </w:tc>
        <w:tc>
          <w:tcPr>
            <w:tcW w:w="3181" w:type="dxa"/>
            <w:shd w:val="clear" w:color="auto" w:fill="D0D5CD"/>
          </w:tcPr>
          <w:p>
            <w:pPr>
              <w:pStyle w:val="TableParagraph"/>
              <w:ind w:left="90"/>
              <w:rPr>
                <w:sz w:val="20"/>
              </w:rPr>
            </w:pPr>
            <w:r>
              <w:rPr>
                <w:spacing w:val="-2"/>
                <w:sz w:val="20"/>
              </w:rPr>
              <w:t>Norway</w:t>
            </w:r>
          </w:p>
        </w:tc>
        <w:tc>
          <w:tcPr>
            <w:tcW w:w="1068" w:type="dxa"/>
            <w:shd w:val="clear" w:color="auto" w:fill="D0D5CD"/>
          </w:tcPr>
          <w:p>
            <w:pPr>
              <w:pStyle w:val="TableParagraph"/>
              <w:ind w:right="263"/>
              <w:jc w:val="right"/>
              <w:rPr>
                <w:sz w:val="20"/>
              </w:rPr>
            </w:pPr>
            <w:r>
              <w:rPr>
                <w:spacing w:val="-4"/>
                <w:sz w:val="20"/>
              </w:rPr>
              <w:t>6076</w:t>
            </w:r>
          </w:p>
        </w:tc>
      </w:tr>
    </w:tbl>
    <w:p>
      <w:pPr>
        <w:spacing w:before="57"/>
        <w:ind w:left="1079" w:right="0" w:firstLine="0"/>
        <w:jc w:val="left"/>
        <w:rPr>
          <w:sz w:val="16"/>
        </w:rPr>
      </w:pPr>
      <w:r>
        <w:rPr>
          <w:i/>
          <w:w w:val="90"/>
          <w:sz w:val="16"/>
        </w:rPr>
        <w:t>Source:</w:t>
      </w:r>
      <w:r>
        <w:rPr>
          <w:i/>
          <w:spacing w:val="8"/>
          <w:sz w:val="16"/>
        </w:rPr>
        <w:t> </w:t>
      </w:r>
      <w:r>
        <w:rPr>
          <w:w w:val="90"/>
          <w:sz w:val="16"/>
        </w:rPr>
        <w:t>WIPO</w:t>
      </w:r>
      <w:r>
        <w:rPr>
          <w:spacing w:val="13"/>
          <w:sz w:val="16"/>
        </w:rPr>
        <w:t> </w:t>
      </w:r>
      <w:r>
        <w:rPr>
          <w:w w:val="90"/>
          <w:sz w:val="16"/>
        </w:rPr>
        <w:t>Statistics</w:t>
      </w:r>
      <w:r>
        <w:rPr>
          <w:spacing w:val="12"/>
          <w:sz w:val="16"/>
        </w:rPr>
        <w:t> </w:t>
      </w:r>
      <w:r>
        <w:rPr>
          <w:spacing w:val="-2"/>
          <w:w w:val="90"/>
          <w:sz w:val="16"/>
        </w:rPr>
        <w:t>Database</w:t>
      </w:r>
    </w:p>
    <w:p>
      <w:pPr>
        <w:pStyle w:val="Heading8"/>
        <w:spacing w:line="242" w:lineRule="auto" w:before="73"/>
        <w:ind w:left="1269" w:right="1664" w:hanging="949"/>
      </w:pPr>
      <w:r>
        <w:rPr>
          <w:b w:val="0"/>
        </w:rPr>
        <w:br w:type="column"/>
      </w:r>
      <w:r>
        <w:rPr>
          <w:w w:val="90"/>
        </w:rPr>
        <w:t>Table 22: </w:t>
      </w:r>
      <w:r>
        <w:rPr>
          <w:color w:val="2E614A"/>
          <w:w w:val="90"/>
        </w:rPr>
        <w:t>Patent grants by patent </w:t>
      </w:r>
      <w:r>
        <w:rPr>
          <w:color w:val="2E614A"/>
          <w:w w:val="90"/>
        </w:rPr>
        <w:t>office: </w:t>
      </w:r>
      <w:r>
        <w:rPr>
          <w:color w:val="2E614A"/>
        </w:rPr>
        <w:t>Top 20 offices, 2006</w:t>
      </w:r>
    </w:p>
    <w:p>
      <w:pPr>
        <w:pStyle w:val="BodyText"/>
        <w:spacing w:before="2"/>
        <w:rPr>
          <w:b/>
          <w:sz w:val="10"/>
        </w:rPr>
      </w:pPr>
    </w:p>
    <w:tbl>
      <w:tblPr>
        <w:tblW w:w="0" w:type="auto"/>
        <w:jc w:val="left"/>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39"/>
        <w:gridCol w:w="3222"/>
        <w:gridCol w:w="1061"/>
      </w:tblGrid>
      <w:tr>
        <w:trPr>
          <w:trHeight w:val="321" w:hRule="atLeast"/>
        </w:trPr>
        <w:tc>
          <w:tcPr>
            <w:tcW w:w="439" w:type="dxa"/>
            <w:shd w:val="clear" w:color="auto" w:fill="D0D5CD"/>
          </w:tcPr>
          <w:p>
            <w:pPr>
              <w:pStyle w:val="TableParagraph"/>
              <w:spacing w:before="0"/>
              <w:rPr>
                <w:sz w:val="18"/>
              </w:rPr>
            </w:pPr>
          </w:p>
        </w:tc>
        <w:tc>
          <w:tcPr>
            <w:tcW w:w="3222" w:type="dxa"/>
            <w:shd w:val="clear" w:color="auto" w:fill="D0D5CD"/>
          </w:tcPr>
          <w:p>
            <w:pPr>
              <w:pStyle w:val="TableParagraph"/>
              <w:spacing w:before="0"/>
              <w:rPr>
                <w:sz w:val="18"/>
              </w:rPr>
            </w:pPr>
          </w:p>
        </w:tc>
        <w:tc>
          <w:tcPr>
            <w:tcW w:w="1061" w:type="dxa"/>
            <w:shd w:val="clear" w:color="auto" w:fill="D0D5CD"/>
          </w:tcPr>
          <w:p>
            <w:pPr>
              <w:pStyle w:val="TableParagraph"/>
              <w:ind w:left="127" w:right="122"/>
              <w:jc w:val="center"/>
              <w:rPr>
                <w:sz w:val="20"/>
              </w:rPr>
            </w:pPr>
            <w:r>
              <w:rPr>
                <w:spacing w:val="-4"/>
                <w:sz w:val="20"/>
              </w:rPr>
              <w:t>2006</w:t>
            </w:r>
          </w:p>
        </w:tc>
      </w:tr>
      <w:tr>
        <w:trPr>
          <w:trHeight w:val="321" w:hRule="atLeast"/>
        </w:trPr>
        <w:tc>
          <w:tcPr>
            <w:tcW w:w="439" w:type="dxa"/>
            <w:shd w:val="clear" w:color="auto" w:fill="E9E9E9"/>
          </w:tcPr>
          <w:p>
            <w:pPr>
              <w:pStyle w:val="TableParagraph"/>
              <w:ind w:left="90"/>
              <w:rPr>
                <w:sz w:val="20"/>
              </w:rPr>
            </w:pPr>
            <w:r>
              <w:rPr>
                <w:spacing w:val="-10"/>
                <w:sz w:val="20"/>
              </w:rPr>
              <w:t>1</w:t>
            </w:r>
          </w:p>
        </w:tc>
        <w:tc>
          <w:tcPr>
            <w:tcW w:w="3222" w:type="dxa"/>
            <w:shd w:val="clear" w:color="auto" w:fill="E9E9E9"/>
          </w:tcPr>
          <w:p>
            <w:pPr>
              <w:pStyle w:val="TableParagraph"/>
              <w:ind w:left="90"/>
              <w:rPr>
                <w:sz w:val="20"/>
              </w:rPr>
            </w:pPr>
            <w:r>
              <w:rPr>
                <w:spacing w:val="-4"/>
                <w:sz w:val="20"/>
              </w:rPr>
              <w:t>United</w:t>
            </w:r>
            <w:r>
              <w:rPr>
                <w:spacing w:val="-2"/>
                <w:sz w:val="20"/>
              </w:rPr>
              <w:t> </w:t>
            </w:r>
            <w:r>
              <w:rPr>
                <w:spacing w:val="-4"/>
                <w:sz w:val="20"/>
              </w:rPr>
              <w:t>States</w:t>
            </w:r>
            <w:r>
              <w:rPr>
                <w:spacing w:val="-2"/>
                <w:sz w:val="20"/>
              </w:rPr>
              <w:t> </w:t>
            </w:r>
            <w:r>
              <w:rPr>
                <w:spacing w:val="-4"/>
                <w:sz w:val="20"/>
              </w:rPr>
              <w:t>of</w:t>
            </w:r>
            <w:r>
              <w:rPr>
                <w:spacing w:val="-1"/>
                <w:sz w:val="20"/>
              </w:rPr>
              <w:t> </w:t>
            </w:r>
            <w:r>
              <w:rPr>
                <w:spacing w:val="-4"/>
                <w:sz w:val="20"/>
              </w:rPr>
              <w:t>America</w:t>
            </w:r>
          </w:p>
        </w:tc>
        <w:tc>
          <w:tcPr>
            <w:tcW w:w="1061" w:type="dxa"/>
            <w:shd w:val="clear" w:color="auto" w:fill="E9E9E9"/>
          </w:tcPr>
          <w:p>
            <w:pPr>
              <w:pStyle w:val="TableParagraph"/>
              <w:ind w:left="127" w:right="197"/>
              <w:jc w:val="center"/>
              <w:rPr>
                <w:sz w:val="20"/>
              </w:rPr>
            </w:pPr>
            <w:r>
              <w:rPr>
                <w:spacing w:val="-2"/>
                <w:sz w:val="20"/>
              </w:rPr>
              <w:t>173770</w:t>
            </w:r>
          </w:p>
        </w:tc>
      </w:tr>
      <w:tr>
        <w:trPr>
          <w:trHeight w:val="321" w:hRule="atLeast"/>
        </w:trPr>
        <w:tc>
          <w:tcPr>
            <w:tcW w:w="439" w:type="dxa"/>
            <w:shd w:val="clear" w:color="auto" w:fill="D0D5CD"/>
          </w:tcPr>
          <w:p>
            <w:pPr>
              <w:pStyle w:val="TableParagraph"/>
              <w:ind w:left="90"/>
              <w:rPr>
                <w:sz w:val="20"/>
              </w:rPr>
            </w:pPr>
            <w:r>
              <w:rPr>
                <w:spacing w:val="-10"/>
                <w:sz w:val="20"/>
              </w:rPr>
              <w:t>2</w:t>
            </w:r>
          </w:p>
        </w:tc>
        <w:tc>
          <w:tcPr>
            <w:tcW w:w="3222" w:type="dxa"/>
            <w:shd w:val="clear" w:color="auto" w:fill="D0D5CD"/>
          </w:tcPr>
          <w:p>
            <w:pPr>
              <w:pStyle w:val="TableParagraph"/>
              <w:ind w:left="90"/>
              <w:rPr>
                <w:sz w:val="20"/>
              </w:rPr>
            </w:pPr>
            <w:r>
              <w:rPr>
                <w:spacing w:val="-2"/>
                <w:sz w:val="20"/>
              </w:rPr>
              <w:t>Japan</w:t>
            </w:r>
          </w:p>
        </w:tc>
        <w:tc>
          <w:tcPr>
            <w:tcW w:w="1061" w:type="dxa"/>
            <w:shd w:val="clear" w:color="auto" w:fill="D0D5CD"/>
          </w:tcPr>
          <w:p>
            <w:pPr>
              <w:pStyle w:val="TableParagraph"/>
              <w:ind w:left="127" w:right="197"/>
              <w:jc w:val="center"/>
              <w:rPr>
                <w:sz w:val="20"/>
              </w:rPr>
            </w:pPr>
            <w:r>
              <w:rPr>
                <w:spacing w:val="-2"/>
                <w:sz w:val="20"/>
              </w:rPr>
              <w:t>141399</w:t>
            </w:r>
          </w:p>
        </w:tc>
      </w:tr>
      <w:tr>
        <w:trPr>
          <w:trHeight w:val="321" w:hRule="atLeast"/>
        </w:trPr>
        <w:tc>
          <w:tcPr>
            <w:tcW w:w="439" w:type="dxa"/>
            <w:shd w:val="clear" w:color="auto" w:fill="E9E9E9"/>
          </w:tcPr>
          <w:p>
            <w:pPr>
              <w:pStyle w:val="TableParagraph"/>
              <w:ind w:left="90"/>
              <w:rPr>
                <w:sz w:val="20"/>
              </w:rPr>
            </w:pPr>
            <w:r>
              <w:rPr>
                <w:spacing w:val="-10"/>
                <w:sz w:val="20"/>
              </w:rPr>
              <w:t>3</w:t>
            </w:r>
          </w:p>
        </w:tc>
        <w:tc>
          <w:tcPr>
            <w:tcW w:w="3222" w:type="dxa"/>
            <w:shd w:val="clear" w:color="auto" w:fill="E9E9E9"/>
          </w:tcPr>
          <w:p>
            <w:pPr>
              <w:pStyle w:val="TableParagraph"/>
              <w:ind w:left="90"/>
              <w:rPr>
                <w:sz w:val="20"/>
              </w:rPr>
            </w:pPr>
            <w:r>
              <w:rPr>
                <w:spacing w:val="-4"/>
                <w:sz w:val="20"/>
              </w:rPr>
              <w:t>Republic</w:t>
            </w:r>
            <w:r>
              <w:rPr>
                <w:spacing w:val="-5"/>
                <w:sz w:val="20"/>
              </w:rPr>
              <w:t> </w:t>
            </w:r>
            <w:r>
              <w:rPr>
                <w:spacing w:val="-4"/>
                <w:sz w:val="20"/>
              </w:rPr>
              <w:t>of</w:t>
            </w:r>
            <w:r>
              <w:rPr>
                <w:spacing w:val="-5"/>
                <w:sz w:val="20"/>
              </w:rPr>
              <w:t> </w:t>
            </w:r>
            <w:r>
              <w:rPr>
                <w:spacing w:val="-4"/>
                <w:sz w:val="20"/>
              </w:rPr>
              <w:t>Korea</w:t>
            </w:r>
          </w:p>
        </w:tc>
        <w:tc>
          <w:tcPr>
            <w:tcW w:w="1061" w:type="dxa"/>
            <w:shd w:val="clear" w:color="auto" w:fill="E9E9E9"/>
          </w:tcPr>
          <w:p>
            <w:pPr>
              <w:pStyle w:val="TableParagraph"/>
              <w:ind w:left="127" w:right="197"/>
              <w:jc w:val="center"/>
              <w:rPr>
                <w:sz w:val="20"/>
              </w:rPr>
            </w:pPr>
            <w:r>
              <w:rPr>
                <w:spacing w:val="-2"/>
                <w:sz w:val="20"/>
              </w:rPr>
              <w:t>120790</w:t>
            </w:r>
          </w:p>
        </w:tc>
      </w:tr>
      <w:tr>
        <w:trPr>
          <w:trHeight w:val="321" w:hRule="atLeast"/>
        </w:trPr>
        <w:tc>
          <w:tcPr>
            <w:tcW w:w="439" w:type="dxa"/>
            <w:shd w:val="clear" w:color="auto" w:fill="D0D5CD"/>
          </w:tcPr>
          <w:p>
            <w:pPr>
              <w:pStyle w:val="TableParagraph"/>
              <w:ind w:left="90"/>
              <w:rPr>
                <w:sz w:val="20"/>
              </w:rPr>
            </w:pPr>
            <w:r>
              <w:rPr>
                <w:spacing w:val="-10"/>
                <w:sz w:val="20"/>
              </w:rPr>
              <w:t>4</w:t>
            </w:r>
          </w:p>
        </w:tc>
        <w:tc>
          <w:tcPr>
            <w:tcW w:w="3222" w:type="dxa"/>
            <w:shd w:val="clear" w:color="auto" w:fill="D0D5CD"/>
          </w:tcPr>
          <w:p>
            <w:pPr>
              <w:pStyle w:val="TableParagraph"/>
              <w:ind w:left="90"/>
              <w:rPr>
                <w:sz w:val="20"/>
              </w:rPr>
            </w:pPr>
            <w:r>
              <w:rPr>
                <w:spacing w:val="-2"/>
                <w:sz w:val="20"/>
              </w:rPr>
              <w:t>European</w:t>
            </w:r>
            <w:r>
              <w:rPr>
                <w:spacing w:val="-6"/>
                <w:sz w:val="20"/>
              </w:rPr>
              <w:t> </w:t>
            </w:r>
            <w:r>
              <w:rPr>
                <w:spacing w:val="-2"/>
                <w:sz w:val="20"/>
              </w:rPr>
              <w:t>Patent</w:t>
            </w:r>
            <w:r>
              <w:rPr>
                <w:spacing w:val="-6"/>
                <w:sz w:val="20"/>
              </w:rPr>
              <w:t> </w:t>
            </w:r>
            <w:r>
              <w:rPr>
                <w:spacing w:val="-2"/>
                <w:sz w:val="20"/>
              </w:rPr>
              <w:t>Office</w:t>
            </w:r>
          </w:p>
        </w:tc>
        <w:tc>
          <w:tcPr>
            <w:tcW w:w="1061" w:type="dxa"/>
            <w:shd w:val="clear" w:color="auto" w:fill="D0D5CD"/>
          </w:tcPr>
          <w:p>
            <w:pPr>
              <w:pStyle w:val="TableParagraph"/>
              <w:ind w:left="127" w:right="100"/>
              <w:jc w:val="center"/>
              <w:rPr>
                <w:sz w:val="20"/>
              </w:rPr>
            </w:pPr>
            <w:r>
              <w:rPr>
                <w:spacing w:val="-2"/>
                <w:sz w:val="20"/>
              </w:rPr>
              <w:t>62780</w:t>
            </w:r>
          </w:p>
        </w:tc>
      </w:tr>
      <w:tr>
        <w:trPr>
          <w:trHeight w:val="321" w:hRule="atLeast"/>
        </w:trPr>
        <w:tc>
          <w:tcPr>
            <w:tcW w:w="439" w:type="dxa"/>
            <w:shd w:val="clear" w:color="auto" w:fill="E9E9E9"/>
          </w:tcPr>
          <w:p>
            <w:pPr>
              <w:pStyle w:val="TableParagraph"/>
              <w:ind w:left="90"/>
              <w:rPr>
                <w:sz w:val="20"/>
              </w:rPr>
            </w:pPr>
            <w:r>
              <w:rPr>
                <w:spacing w:val="-10"/>
                <w:sz w:val="20"/>
              </w:rPr>
              <w:t>5</w:t>
            </w:r>
          </w:p>
        </w:tc>
        <w:tc>
          <w:tcPr>
            <w:tcW w:w="3222" w:type="dxa"/>
            <w:shd w:val="clear" w:color="auto" w:fill="E9E9E9"/>
          </w:tcPr>
          <w:p>
            <w:pPr>
              <w:pStyle w:val="TableParagraph"/>
              <w:ind w:left="90"/>
              <w:rPr>
                <w:sz w:val="20"/>
              </w:rPr>
            </w:pPr>
            <w:r>
              <w:rPr>
                <w:spacing w:val="-2"/>
                <w:sz w:val="20"/>
              </w:rPr>
              <w:t>China</w:t>
            </w:r>
          </w:p>
        </w:tc>
        <w:tc>
          <w:tcPr>
            <w:tcW w:w="1061" w:type="dxa"/>
            <w:shd w:val="clear" w:color="auto" w:fill="E9E9E9"/>
          </w:tcPr>
          <w:p>
            <w:pPr>
              <w:pStyle w:val="TableParagraph"/>
              <w:ind w:left="127" w:right="100"/>
              <w:jc w:val="center"/>
              <w:rPr>
                <w:sz w:val="20"/>
              </w:rPr>
            </w:pPr>
            <w:r>
              <w:rPr>
                <w:spacing w:val="-2"/>
                <w:sz w:val="20"/>
              </w:rPr>
              <w:t>57786</w:t>
            </w:r>
          </w:p>
        </w:tc>
      </w:tr>
      <w:tr>
        <w:trPr>
          <w:trHeight w:val="321" w:hRule="atLeast"/>
        </w:trPr>
        <w:tc>
          <w:tcPr>
            <w:tcW w:w="439" w:type="dxa"/>
            <w:shd w:val="clear" w:color="auto" w:fill="D0D5CD"/>
          </w:tcPr>
          <w:p>
            <w:pPr>
              <w:pStyle w:val="TableParagraph"/>
              <w:ind w:left="90"/>
              <w:rPr>
                <w:sz w:val="20"/>
              </w:rPr>
            </w:pPr>
            <w:r>
              <w:rPr>
                <w:spacing w:val="-10"/>
                <w:sz w:val="20"/>
              </w:rPr>
              <w:t>6</w:t>
            </w:r>
          </w:p>
        </w:tc>
        <w:tc>
          <w:tcPr>
            <w:tcW w:w="3222" w:type="dxa"/>
            <w:shd w:val="clear" w:color="auto" w:fill="D0D5CD"/>
          </w:tcPr>
          <w:p>
            <w:pPr>
              <w:pStyle w:val="TableParagraph"/>
              <w:ind w:left="90"/>
              <w:rPr>
                <w:sz w:val="20"/>
              </w:rPr>
            </w:pPr>
            <w:r>
              <w:rPr>
                <w:spacing w:val="-6"/>
                <w:sz w:val="20"/>
              </w:rPr>
              <w:t>Russian</w:t>
            </w:r>
            <w:r>
              <w:rPr>
                <w:spacing w:val="-2"/>
                <w:sz w:val="20"/>
              </w:rPr>
              <w:t> Federation</w:t>
            </w:r>
          </w:p>
        </w:tc>
        <w:tc>
          <w:tcPr>
            <w:tcW w:w="1061" w:type="dxa"/>
            <w:shd w:val="clear" w:color="auto" w:fill="D0D5CD"/>
          </w:tcPr>
          <w:p>
            <w:pPr>
              <w:pStyle w:val="TableParagraph"/>
              <w:ind w:left="127" w:right="100"/>
              <w:jc w:val="center"/>
              <w:rPr>
                <w:sz w:val="20"/>
              </w:rPr>
            </w:pPr>
            <w:r>
              <w:rPr>
                <w:spacing w:val="-2"/>
                <w:sz w:val="20"/>
              </w:rPr>
              <w:t>23299</w:t>
            </w:r>
          </w:p>
        </w:tc>
      </w:tr>
      <w:tr>
        <w:trPr>
          <w:trHeight w:val="321" w:hRule="atLeast"/>
        </w:trPr>
        <w:tc>
          <w:tcPr>
            <w:tcW w:w="439" w:type="dxa"/>
            <w:shd w:val="clear" w:color="auto" w:fill="E9E9E9"/>
          </w:tcPr>
          <w:p>
            <w:pPr>
              <w:pStyle w:val="TableParagraph"/>
              <w:ind w:left="90"/>
              <w:rPr>
                <w:sz w:val="20"/>
              </w:rPr>
            </w:pPr>
            <w:r>
              <w:rPr>
                <w:spacing w:val="-10"/>
                <w:sz w:val="20"/>
              </w:rPr>
              <w:t>7</w:t>
            </w:r>
          </w:p>
        </w:tc>
        <w:tc>
          <w:tcPr>
            <w:tcW w:w="3222" w:type="dxa"/>
            <w:shd w:val="clear" w:color="auto" w:fill="E9E9E9"/>
          </w:tcPr>
          <w:p>
            <w:pPr>
              <w:pStyle w:val="TableParagraph"/>
              <w:ind w:left="90"/>
              <w:rPr>
                <w:sz w:val="20"/>
              </w:rPr>
            </w:pPr>
            <w:r>
              <w:rPr>
                <w:spacing w:val="-2"/>
                <w:sz w:val="20"/>
              </w:rPr>
              <w:t>Germany</w:t>
            </w:r>
          </w:p>
        </w:tc>
        <w:tc>
          <w:tcPr>
            <w:tcW w:w="1061" w:type="dxa"/>
            <w:shd w:val="clear" w:color="auto" w:fill="E9E9E9"/>
          </w:tcPr>
          <w:p>
            <w:pPr>
              <w:pStyle w:val="TableParagraph"/>
              <w:ind w:left="127" w:right="100"/>
              <w:jc w:val="center"/>
              <w:rPr>
                <w:sz w:val="20"/>
              </w:rPr>
            </w:pPr>
            <w:r>
              <w:rPr>
                <w:spacing w:val="-2"/>
                <w:sz w:val="20"/>
              </w:rPr>
              <w:t>21034</w:t>
            </w:r>
          </w:p>
        </w:tc>
      </w:tr>
      <w:tr>
        <w:trPr>
          <w:trHeight w:val="321" w:hRule="atLeast"/>
        </w:trPr>
        <w:tc>
          <w:tcPr>
            <w:tcW w:w="439" w:type="dxa"/>
            <w:shd w:val="clear" w:color="auto" w:fill="D0D5CD"/>
          </w:tcPr>
          <w:p>
            <w:pPr>
              <w:pStyle w:val="TableParagraph"/>
              <w:ind w:left="90"/>
              <w:rPr>
                <w:sz w:val="20"/>
              </w:rPr>
            </w:pPr>
            <w:r>
              <w:rPr>
                <w:spacing w:val="-10"/>
                <w:sz w:val="20"/>
              </w:rPr>
              <w:t>8</w:t>
            </w:r>
          </w:p>
        </w:tc>
        <w:tc>
          <w:tcPr>
            <w:tcW w:w="3222" w:type="dxa"/>
            <w:shd w:val="clear" w:color="auto" w:fill="D0D5CD"/>
          </w:tcPr>
          <w:p>
            <w:pPr>
              <w:pStyle w:val="TableParagraph"/>
              <w:ind w:left="90"/>
              <w:rPr>
                <w:sz w:val="20"/>
              </w:rPr>
            </w:pPr>
            <w:r>
              <w:rPr>
                <w:spacing w:val="-2"/>
                <w:sz w:val="20"/>
              </w:rPr>
              <w:t>Canada</w:t>
            </w:r>
          </w:p>
        </w:tc>
        <w:tc>
          <w:tcPr>
            <w:tcW w:w="1061" w:type="dxa"/>
            <w:shd w:val="clear" w:color="auto" w:fill="D0D5CD"/>
          </w:tcPr>
          <w:p>
            <w:pPr>
              <w:pStyle w:val="TableParagraph"/>
              <w:ind w:left="127" w:right="100"/>
              <w:jc w:val="center"/>
              <w:rPr>
                <w:sz w:val="20"/>
              </w:rPr>
            </w:pPr>
            <w:r>
              <w:rPr>
                <w:spacing w:val="-2"/>
                <w:sz w:val="20"/>
              </w:rPr>
              <w:t>14972</w:t>
            </w:r>
          </w:p>
        </w:tc>
      </w:tr>
      <w:tr>
        <w:trPr>
          <w:trHeight w:val="321" w:hRule="atLeast"/>
        </w:trPr>
        <w:tc>
          <w:tcPr>
            <w:tcW w:w="439" w:type="dxa"/>
            <w:shd w:val="clear" w:color="auto" w:fill="E9E9E9"/>
          </w:tcPr>
          <w:p>
            <w:pPr>
              <w:pStyle w:val="TableParagraph"/>
              <w:ind w:left="90"/>
              <w:rPr>
                <w:sz w:val="20"/>
              </w:rPr>
            </w:pPr>
            <w:r>
              <w:rPr>
                <w:spacing w:val="-10"/>
                <w:sz w:val="20"/>
              </w:rPr>
              <w:t>9</w:t>
            </w:r>
          </w:p>
        </w:tc>
        <w:tc>
          <w:tcPr>
            <w:tcW w:w="3222" w:type="dxa"/>
            <w:shd w:val="clear" w:color="auto" w:fill="E9E9E9"/>
          </w:tcPr>
          <w:p>
            <w:pPr>
              <w:pStyle w:val="TableParagraph"/>
              <w:ind w:left="90"/>
              <w:rPr>
                <w:sz w:val="20"/>
              </w:rPr>
            </w:pPr>
            <w:r>
              <w:rPr>
                <w:spacing w:val="-2"/>
                <w:sz w:val="20"/>
              </w:rPr>
              <w:t>France</w:t>
            </w:r>
          </w:p>
        </w:tc>
        <w:tc>
          <w:tcPr>
            <w:tcW w:w="1061" w:type="dxa"/>
            <w:shd w:val="clear" w:color="auto" w:fill="E9E9E9"/>
          </w:tcPr>
          <w:p>
            <w:pPr>
              <w:pStyle w:val="TableParagraph"/>
              <w:ind w:left="127" w:right="100"/>
              <w:jc w:val="center"/>
              <w:rPr>
                <w:sz w:val="20"/>
              </w:rPr>
            </w:pPr>
            <w:r>
              <w:rPr>
                <w:spacing w:val="-2"/>
                <w:sz w:val="20"/>
              </w:rPr>
              <w:t>13788</w:t>
            </w:r>
          </w:p>
        </w:tc>
      </w:tr>
      <w:tr>
        <w:trPr>
          <w:trHeight w:val="321" w:hRule="atLeast"/>
        </w:trPr>
        <w:tc>
          <w:tcPr>
            <w:tcW w:w="439" w:type="dxa"/>
            <w:shd w:val="clear" w:color="auto" w:fill="D0D5CD"/>
          </w:tcPr>
          <w:p>
            <w:pPr>
              <w:pStyle w:val="TableParagraph"/>
              <w:ind w:left="90"/>
              <w:rPr>
                <w:sz w:val="20"/>
              </w:rPr>
            </w:pPr>
            <w:r>
              <w:rPr>
                <w:spacing w:val="-5"/>
                <w:sz w:val="20"/>
              </w:rPr>
              <w:t>10</w:t>
            </w:r>
          </w:p>
        </w:tc>
        <w:tc>
          <w:tcPr>
            <w:tcW w:w="3222" w:type="dxa"/>
            <w:shd w:val="clear" w:color="auto" w:fill="D0D5CD"/>
          </w:tcPr>
          <w:p>
            <w:pPr>
              <w:pStyle w:val="TableParagraph"/>
              <w:ind w:left="90"/>
              <w:rPr>
                <w:sz w:val="20"/>
              </w:rPr>
            </w:pPr>
            <w:r>
              <w:rPr>
                <w:spacing w:val="-2"/>
                <w:sz w:val="20"/>
              </w:rPr>
              <w:t>Mexico</w:t>
            </w:r>
          </w:p>
        </w:tc>
        <w:tc>
          <w:tcPr>
            <w:tcW w:w="1061" w:type="dxa"/>
            <w:shd w:val="clear" w:color="auto" w:fill="D0D5CD"/>
          </w:tcPr>
          <w:p>
            <w:pPr>
              <w:pStyle w:val="TableParagraph"/>
              <w:ind w:left="127"/>
              <w:jc w:val="center"/>
              <w:rPr>
                <w:sz w:val="20"/>
              </w:rPr>
            </w:pPr>
            <w:r>
              <w:rPr>
                <w:spacing w:val="-4"/>
                <w:sz w:val="20"/>
              </w:rPr>
              <w:t>9632</w:t>
            </w:r>
          </w:p>
        </w:tc>
      </w:tr>
      <w:tr>
        <w:trPr>
          <w:trHeight w:val="321" w:hRule="atLeast"/>
        </w:trPr>
        <w:tc>
          <w:tcPr>
            <w:tcW w:w="439" w:type="dxa"/>
            <w:shd w:val="clear" w:color="auto" w:fill="E9E9E9"/>
          </w:tcPr>
          <w:p>
            <w:pPr>
              <w:pStyle w:val="TableParagraph"/>
              <w:ind w:left="90"/>
              <w:rPr>
                <w:sz w:val="20"/>
              </w:rPr>
            </w:pPr>
            <w:r>
              <w:rPr>
                <w:spacing w:val="-5"/>
                <w:sz w:val="20"/>
              </w:rPr>
              <w:t>11</w:t>
            </w:r>
          </w:p>
        </w:tc>
        <w:tc>
          <w:tcPr>
            <w:tcW w:w="3222" w:type="dxa"/>
            <w:shd w:val="clear" w:color="auto" w:fill="E9E9E9"/>
          </w:tcPr>
          <w:p>
            <w:pPr>
              <w:pStyle w:val="TableParagraph"/>
              <w:ind w:left="90"/>
              <w:rPr>
                <w:sz w:val="20"/>
              </w:rPr>
            </w:pPr>
            <w:r>
              <w:rPr>
                <w:spacing w:val="-2"/>
                <w:sz w:val="20"/>
              </w:rPr>
              <w:t>Australia</w:t>
            </w:r>
          </w:p>
        </w:tc>
        <w:tc>
          <w:tcPr>
            <w:tcW w:w="1061" w:type="dxa"/>
            <w:shd w:val="clear" w:color="auto" w:fill="E9E9E9"/>
          </w:tcPr>
          <w:p>
            <w:pPr>
              <w:pStyle w:val="TableParagraph"/>
              <w:ind w:left="127"/>
              <w:jc w:val="center"/>
              <w:rPr>
                <w:sz w:val="20"/>
              </w:rPr>
            </w:pPr>
            <w:r>
              <w:rPr>
                <w:spacing w:val="-4"/>
                <w:sz w:val="20"/>
              </w:rPr>
              <w:t>9426</w:t>
            </w:r>
          </w:p>
        </w:tc>
      </w:tr>
      <w:tr>
        <w:trPr>
          <w:trHeight w:val="321" w:hRule="atLeast"/>
        </w:trPr>
        <w:tc>
          <w:tcPr>
            <w:tcW w:w="439" w:type="dxa"/>
            <w:shd w:val="clear" w:color="auto" w:fill="D0D5CD"/>
          </w:tcPr>
          <w:p>
            <w:pPr>
              <w:pStyle w:val="TableParagraph"/>
              <w:ind w:left="90"/>
              <w:rPr>
                <w:sz w:val="20"/>
              </w:rPr>
            </w:pPr>
            <w:r>
              <w:rPr>
                <w:spacing w:val="-5"/>
                <w:sz w:val="20"/>
              </w:rPr>
              <w:t>12</w:t>
            </w:r>
          </w:p>
        </w:tc>
        <w:tc>
          <w:tcPr>
            <w:tcW w:w="3222" w:type="dxa"/>
            <w:shd w:val="clear" w:color="auto" w:fill="D0D5CD"/>
          </w:tcPr>
          <w:p>
            <w:pPr>
              <w:pStyle w:val="TableParagraph"/>
              <w:ind w:left="90"/>
              <w:rPr>
                <w:sz w:val="20"/>
              </w:rPr>
            </w:pPr>
            <w:r>
              <w:rPr>
                <w:sz w:val="20"/>
              </w:rPr>
              <w:t>United</w:t>
            </w:r>
            <w:r>
              <w:rPr>
                <w:spacing w:val="-8"/>
                <w:sz w:val="20"/>
              </w:rPr>
              <w:t> </w:t>
            </w:r>
            <w:r>
              <w:rPr>
                <w:spacing w:val="-2"/>
                <w:sz w:val="20"/>
              </w:rPr>
              <w:t>Kingdom</w:t>
            </w:r>
          </w:p>
        </w:tc>
        <w:tc>
          <w:tcPr>
            <w:tcW w:w="1061" w:type="dxa"/>
            <w:shd w:val="clear" w:color="auto" w:fill="D0D5CD"/>
          </w:tcPr>
          <w:p>
            <w:pPr>
              <w:pStyle w:val="TableParagraph"/>
              <w:ind w:left="127"/>
              <w:jc w:val="center"/>
              <w:rPr>
                <w:sz w:val="20"/>
              </w:rPr>
            </w:pPr>
            <w:r>
              <w:rPr>
                <w:spacing w:val="-4"/>
                <w:sz w:val="20"/>
              </w:rPr>
              <w:t>7907</w:t>
            </w:r>
          </w:p>
        </w:tc>
      </w:tr>
      <w:tr>
        <w:trPr>
          <w:trHeight w:val="321" w:hRule="atLeast"/>
        </w:trPr>
        <w:tc>
          <w:tcPr>
            <w:tcW w:w="439" w:type="dxa"/>
            <w:shd w:val="clear" w:color="auto" w:fill="E9E9E9"/>
          </w:tcPr>
          <w:p>
            <w:pPr>
              <w:pStyle w:val="TableParagraph"/>
              <w:ind w:left="90"/>
              <w:rPr>
                <w:sz w:val="20"/>
              </w:rPr>
            </w:pPr>
            <w:r>
              <w:rPr>
                <w:spacing w:val="-5"/>
                <w:sz w:val="20"/>
              </w:rPr>
              <w:t>13</w:t>
            </w:r>
          </w:p>
        </w:tc>
        <w:tc>
          <w:tcPr>
            <w:tcW w:w="3222" w:type="dxa"/>
            <w:shd w:val="clear" w:color="auto" w:fill="E9E9E9"/>
          </w:tcPr>
          <w:p>
            <w:pPr>
              <w:pStyle w:val="TableParagraph"/>
              <w:ind w:left="90"/>
              <w:rPr>
                <w:sz w:val="20"/>
              </w:rPr>
            </w:pPr>
            <w:r>
              <w:rPr>
                <w:spacing w:val="-2"/>
                <w:sz w:val="20"/>
              </w:rPr>
              <w:t>Singapore</w:t>
            </w:r>
          </w:p>
        </w:tc>
        <w:tc>
          <w:tcPr>
            <w:tcW w:w="1061" w:type="dxa"/>
            <w:shd w:val="clear" w:color="auto" w:fill="E9E9E9"/>
          </w:tcPr>
          <w:p>
            <w:pPr>
              <w:pStyle w:val="TableParagraph"/>
              <w:ind w:left="127"/>
              <w:jc w:val="center"/>
              <w:rPr>
                <w:sz w:val="20"/>
              </w:rPr>
            </w:pPr>
            <w:r>
              <w:rPr>
                <w:spacing w:val="-4"/>
                <w:sz w:val="20"/>
              </w:rPr>
              <w:t>7393</w:t>
            </w:r>
          </w:p>
        </w:tc>
      </w:tr>
      <w:tr>
        <w:trPr>
          <w:trHeight w:val="321" w:hRule="atLeast"/>
        </w:trPr>
        <w:tc>
          <w:tcPr>
            <w:tcW w:w="439" w:type="dxa"/>
            <w:shd w:val="clear" w:color="auto" w:fill="D0D5CD"/>
          </w:tcPr>
          <w:p>
            <w:pPr>
              <w:pStyle w:val="TableParagraph"/>
              <w:ind w:left="90"/>
              <w:rPr>
                <w:sz w:val="20"/>
              </w:rPr>
            </w:pPr>
            <w:r>
              <w:rPr>
                <w:spacing w:val="-5"/>
                <w:sz w:val="20"/>
              </w:rPr>
              <w:t>14</w:t>
            </w:r>
          </w:p>
        </w:tc>
        <w:tc>
          <w:tcPr>
            <w:tcW w:w="3222" w:type="dxa"/>
            <w:shd w:val="clear" w:color="auto" w:fill="D0D5CD"/>
          </w:tcPr>
          <w:p>
            <w:pPr>
              <w:pStyle w:val="TableParagraph"/>
              <w:ind w:left="90"/>
              <w:rPr>
                <w:sz w:val="20"/>
              </w:rPr>
            </w:pPr>
            <w:r>
              <w:rPr>
                <w:spacing w:val="-4"/>
                <w:sz w:val="20"/>
              </w:rPr>
              <w:t>Hong</w:t>
            </w:r>
            <w:r>
              <w:rPr>
                <w:spacing w:val="-6"/>
                <w:sz w:val="20"/>
              </w:rPr>
              <w:t> </w:t>
            </w:r>
            <w:r>
              <w:rPr>
                <w:spacing w:val="-4"/>
                <w:sz w:val="20"/>
              </w:rPr>
              <w:t>Kong</w:t>
            </w:r>
            <w:r>
              <w:rPr>
                <w:spacing w:val="-3"/>
                <w:sz w:val="20"/>
              </w:rPr>
              <w:t> </w:t>
            </w:r>
            <w:r>
              <w:rPr>
                <w:spacing w:val="-4"/>
                <w:sz w:val="20"/>
              </w:rPr>
              <w:t>(SAR),</w:t>
            </w:r>
            <w:r>
              <w:rPr>
                <w:spacing w:val="-3"/>
                <w:sz w:val="20"/>
              </w:rPr>
              <w:t> </w:t>
            </w:r>
            <w:r>
              <w:rPr>
                <w:spacing w:val="-4"/>
                <w:sz w:val="20"/>
              </w:rPr>
              <w:t>China</w:t>
            </w:r>
          </w:p>
        </w:tc>
        <w:tc>
          <w:tcPr>
            <w:tcW w:w="1061" w:type="dxa"/>
            <w:shd w:val="clear" w:color="auto" w:fill="D0D5CD"/>
          </w:tcPr>
          <w:p>
            <w:pPr>
              <w:pStyle w:val="TableParagraph"/>
              <w:ind w:left="127"/>
              <w:jc w:val="center"/>
              <w:rPr>
                <w:sz w:val="20"/>
              </w:rPr>
            </w:pPr>
            <w:r>
              <w:rPr>
                <w:spacing w:val="-4"/>
                <w:sz w:val="20"/>
              </w:rPr>
              <w:t>5146</w:t>
            </w:r>
          </w:p>
        </w:tc>
      </w:tr>
      <w:tr>
        <w:trPr>
          <w:trHeight w:val="321" w:hRule="atLeast"/>
        </w:trPr>
        <w:tc>
          <w:tcPr>
            <w:tcW w:w="439" w:type="dxa"/>
            <w:shd w:val="clear" w:color="auto" w:fill="E9E9E9"/>
          </w:tcPr>
          <w:p>
            <w:pPr>
              <w:pStyle w:val="TableParagraph"/>
              <w:ind w:left="90"/>
              <w:rPr>
                <w:sz w:val="20"/>
              </w:rPr>
            </w:pPr>
            <w:r>
              <w:rPr>
                <w:spacing w:val="-5"/>
                <w:sz w:val="20"/>
              </w:rPr>
              <w:t>15</w:t>
            </w:r>
          </w:p>
        </w:tc>
        <w:tc>
          <w:tcPr>
            <w:tcW w:w="3222" w:type="dxa"/>
            <w:shd w:val="clear" w:color="auto" w:fill="E9E9E9"/>
          </w:tcPr>
          <w:p>
            <w:pPr>
              <w:pStyle w:val="TableParagraph"/>
              <w:ind w:left="90"/>
              <w:rPr>
                <w:sz w:val="20"/>
              </w:rPr>
            </w:pPr>
            <w:r>
              <w:rPr>
                <w:sz w:val="20"/>
              </w:rPr>
              <w:t>India</w:t>
            </w:r>
            <w:r>
              <w:rPr>
                <w:spacing w:val="-10"/>
                <w:sz w:val="20"/>
              </w:rPr>
              <w:t> </w:t>
            </w:r>
            <w:r>
              <w:rPr>
                <w:spacing w:val="-2"/>
                <w:sz w:val="20"/>
              </w:rPr>
              <w:t>(2005)</w:t>
            </w:r>
          </w:p>
        </w:tc>
        <w:tc>
          <w:tcPr>
            <w:tcW w:w="1061" w:type="dxa"/>
            <w:shd w:val="clear" w:color="auto" w:fill="E9E9E9"/>
          </w:tcPr>
          <w:p>
            <w:pPr>
              <w:pStyle w:val="TableParagraph"/>
              <w:ind w:left="127"/>
              <w:jc w:val="center"/>
              <w:rPr>
                <w:sz w:val="20"/>
              </w:rPr>
            </w:pPr>
            <w:r>
              <w:rPr>
                <w:spacing w:val="-4"/>
                <w:sz w:val="20"/>
              </w:rPr>
              <w:t>4320</w:t>
            </w:r>
          </w:p>
        </w:tc>
      </w:tr>
      <w:tr>
        <w:trPr>
          <w:trHeight w:val="321" w:hRule="atLeast"/>
        </w:trPr>
        <w:tc>
          <w:tcPr>
            <w:tcW w:w="439" w:type="dxa"/>
            <w:shd w:val="clear" w:color="auto" w:fill="D0D5CD"/>
          </w:tcPr>
          <w:p>
            <w:pPr>
              <w:pStyle w:val="TableParagraph"/>
              <w:ind w:left="90"/>
              <w:rPr>
                <w:sz w:val="20"/>
              </w:rPr>
            </w:pPr>
            <w:r>
              <w:rPr>
                <w:spacing w:val="-5"/>
                <w:sz w:val="20"/>
              </w:rPr>
              <w:t>16</w:t>
            </w:r>
          </w:p>
        </w:tc>
        <w:tc>
          <w:tcPr>
            <w:tcW w:w="3222" w:type="dxa"/>
            <w:shd w:val="clear" w:color="auto" w:fill="D0D5CD"/>
          </w:tcPr>
          <w:p>
            <w:pPr>
              <w:pStyle w:val="TableParagraph"/>
              <w:ind w:left="90"/>
              <w:rPr>
                <w:sz w:val="20"/>
              </w:rPr>
            </w:pPr>
            <w:r>
              <w:rPr>
                <w:spacing w:val="-2"/>
                <w:sz w:val="20"/>
              </w:rPr>
              <w:t>Ukraine</w:t>
            </w:r>
          </w:p>
        </w:tc>
        <w:tc>
          <w:tcPr>
            <w:tcW w:w="1061" w:type="dxa"/>
            <w:shd w:val="clear" w:color="auto" w:fill="D0D5CD"/>
          </w:tcPr>
          <w:p>
            <w:pPr>
              <w:pStyle w:val="TableParagraph"/>
              <w:ind w:left="127"/>
              <w:jc w:val="center"/>
              <w:rPr>
                <w:sz w:val="20"/>
              </w:rPr>
            </w:pPr>
            <w:r>
              <w:rPr>
                <w:spacing w:val="-4"/>
                <w:sz w:val="20"/>
              </w:rPr>
              <w:t>3705</w:t>
            </w:r>
          </w:p>
        </w:tc>
      </w:tr>
      <w:tr>
        <w:trPr>
          <w:trHeight w:val="321" w:hRule="atLeast"/>
        </w:trPr>
        <w:tc>
          <w:tcPr>
            <w:tcW w:w="439" w:type="dxa"/>
            <w:shd w:val="clear" w:color="auto" w:fill="E9E9E9"/>
          </w:tcPr>
          <w:p>
            <w:pPr>
              <w:pStyle w:val="TableParagraph"/>
              <w:ind w:left="90"/>
              <w:rPr>
                <w:sz w:val="20"/>
              </w:rPr>
            </w:pPr>
            <w:r>
              <w:rPr>
                <w:spacing w:val="-5"/>
                <w:sz w:val="20"/>
              </w:rPr>
              <w:t>17</w:t>
            </w:r>
          </w:p>
        </w:tc>
        <w:tc>
          <w:tcPr>
            <w:tcW w:w="3222" w:type="dxa"/>
            <w:shd w:val="clear" w:color="auto" w:fill="E9E9E9"/>
          </w:tcPr>
          <w:p>
            <w:pPr>
              <w:pStyle w:val="TableParagraph"/>
              <w:ind w:left="90"/>
              <w:rPr>
                <w:sz w:val="20"/>
              </w:rPr>
            </w:pPr>
            <w:r>
              <w:rPr>
                <w:spacing w:val="-2"/>
                <w:sz w:val="20"/>
              </w:rPr>
              <w:t>New</w:t>
            </w:r>
            <w:r>
              <w:rPr>
                <w:spacing w:val="-11"/>
                <w:sz w:val="20"/>
              </w:rPr>
              <w:t> </w:t>
            </w:r>
            <w:r>
              <w:rPr>
                <w:spacing w:val="-2"/>
                <w:sz w:val="20"/>
              </w:rPr>
              <w:t>Zealand</w:t>
            </w:r>
          </w:p>
        </w:tc>
        <w:tc>
          <w:tcPr>
            <w:tcW w:w="1061" w:type="dxa"/>
            <w:shd w:val="clear" w:color="auto" w:fill="E9E9E9"/>
          </w:tcPr>
          <w:p>
            <w:pPr>
              <w:pStyle w:val="TableParagraph"/>
              <w:ind w:left="127"/>
              <w:jc w:val="center"/>
              <w:rPr>
                <w:sz w:val="20"/>
              </w:rPr>
            </w:pPr>
            <w:r>
              <w:rPr>
                <w:spacing w:val="-4"/>
                <w:sz w:val="20"/>
              </w:rPr>
              <w:t>3412</w:t>
            </w:r>
          </w:p>
        </w:tc>
      </w:tr>
      <w:tr>
        <w:trPr>
          <w:trHeight w:val="321" w:hRule="atLeast"/>
        </w:trPr>
        <w:tc>
          <w:tcPr>
            <w:tcW w:w="439" w:type="dxa"/>
            <w:shd w:val="clear" w:color="auto" w:fill="D0D5CD"/>
          </w:tcPr>
          <w:p>
            <w:pPr>
              <w:pStyle w:val="TableParagraph"/>
              <w:ind w:left="90"/>
              <w:rPr>
                <w:sz w:val="20"/>
              </w:rPr>
            </w:pPr>
            <w:r>
              <w:rPr>
                <w:spacing w:val="-5"/>
                <w:sz w:val="20"/>
              </w:rPr>
              <w:t>18</w:t>
            </w:r>
          </w:p>
        </w:tc>
        <w:tc>
          <w:tcPr>
            <w:tcW w:w="3222" w:type="dxa"/>
            <w:shd w:val="clear" w:color="auto" w:fill="D0D5CD"/>
          </w:tcPr>
          <w:p>
            <w:pPr>
              <w:pStyle w:val="TableParagraph"/>
              <w:ind w:left="90"/>
              <w:rPr>
                <w:sz w:val="20"/>
              </w:rPr>
            </w:pPr>
            <w:r>
              <w:rPr>
                <w:spacing w:val="-2"/>
                <w:sz w:val="20"/>
              </w:rPr>
              <w:t>Poland</w:t>
            </w:r>
          </w:p>
        </w:tc>
        <w:tc>
          <w:tcPr>
            <w:tcW w:w="1061" w:type="dxa"/>
            <w:shd w:val="clear" w:color="auto" w:fill="D0D5CD"/>
          </w:tcPr>
          <w:p>
            <w:pPr>
              <w:pStyle w:val="TableParagraph"/>
              <w:ind w:left="127"/>
              <w:jc w:val="center"/>
              <w:rPr>
                <w:sz w:val="20"/>
              </w:rPr>
            </w:pPr>
            <w:r>
              <w:rPr>
                <w:spacing w:val="-4"/>
                <w:sz w:val="20"/>
              </w:rPr>
              <w:t>2686</w:t>
            </w:r>
          </w:p>
        </w:tc>
      </w:tr>
      <w:tr>
        <w:trPr>
          <w:trHeight w:val="321" w:hRule="atLeast"/>
        </w:trPr>
        <w:tc>
          <w:tcPr>
            <w:tcW w:w="439" w:type="dxa"/>
            <w:shd w:val="clear" w:color="auto" w:fill="E9E9E9"/>
          </w:tcPr>
          <w:p>
            <w:pPr>
              <w:pStyle w:val="TableParagraph"/>
              <w:ind w:left="90"/>
              <w:rPr>
                <w:sz w:val="20"/>
              </w:rPr>
            </w:pPr>
            <w:r>
              <w:rPr>
                <w:spacing w:val="-5"/>
                <w:sz w:val="20"/>
              </w:rPr>
              <w:t>19</w:t>
            </w:r>
          </w:p>
        </w:tc>
        <w:tc>
          <w:tcPr>
            <w:tcW w:w="3222" w:type="dxa"/>
            <w:shd w:val="clear" w:color="auto" w:fill="E9E9E9"/>
          </w:tcPr>
          <w:p>
            <w:pPr>
              <w:pStyle w:val="TableParagraph"/>
              <w:ind w:left="90"/>
              <w:rPr>
                <w:sz w:val="20"/>
              </w:rPr>
            </w:pPr>
            <w:r>
              <w:rPr>
                <w:spacing w:val="-2"/>
                <w:sz w:val="20"/>
              </w:rPr>
              <w:t>Israel</w:t>
            </w:r>
          </w:p>
        </w:tc>
        <w:tc>
          <w:tcPr>
            <w:tcW w:w="1061" w:type="dxa"/>
            <w:shd w:val="clear" w:color="auto" w:fill="E9E9E9"/>
          </w:tcPr>
          <w:p>
            <w:pPr>
              <w:pStyle w:val="TableParagraph"/>
              <w:ind w:left="127"/>
              <w:jc w:val="center"/>
              <w:rPr>
                <w:sz w:val="20"/>
              </w:rPr>
            </w:pPr>
            <w:r>
              <w:rPr>
                <w:spacing w:val="-4"/>
                <w:sz w:val="20"/>
              </w:rPr>
              <w:t>2584</w:t>
            </w:r>
          </w:p>
        </w:tc>
      </w:tr>
      <w:tr>
        <w:trPr>
          <w:trHeight w:val="321" w:hRule="atLeast"/>
        </w:trPr>
        <w:tc>
          <w:tcPr>
            <w:tcW w:w="439" w:type="dxa"/>
            <w:shd w:val="clear" w:color="auto" w:fill="D0D5CD"/>
          </w:tcPr>
          <w:p>
            <w:pPr>
              <w:pStyle w:val="TableParagraph"/>
              <w:ind w:left="90"/>
              <w:rPr>
                <w:sz w:val="20"/>
              </w:rPr>
            </w:pPr>
            <w:r>
              <w:rPr>
                <w:spacing w:val="-5"/>
                <w:sz w:val="20"/>
              </w:rPr>
              <w:t>20</w:t>
            </w:r>
          </w:p>
        </w:tc>
        <w:tc>
          <w:tcPr>
            <w:tcW w:w="3222" w:type="dxa"/>
            <w:shd w:val="clear" w:color="auto" w:fill="D0D5CD"/>
          </w:tcPr>
          <w:p>
            <w:pPr>
              <w:pStyle w:val="TableParagraph"/>
              <w:ind w:left="90"/>
              <w:rPr>
                <w:sz w:val="20"/>
              </w:rPr>
            </w:pPr>
            <w:r>
              <w:rPr>
                <w:spacing w:val="-2"/>
                <w:sz w:val="20"/>
              </w:rPr>
              <w:t>Brazil</w:t>
            </w:r>
          </w:p>
        </w:tc>
        <w:tc>
          <w:tcPr>
            <w:tcW w:w="1061" w:type="dxa"/>
            <w:shd w:val="clear" w:color="auto" w:fill="D0D5CD"/>
          </w:tcPr>
          <w:p>
            <w:pPr>
              <w:pStyle w:val="TableParagraph"/>
              <w:ind w:left="127"/>
              <w:jc w:val="center"/>
              <w:rPr>
                <w:sz w:val="20"/>
              </w:rPr>
            </w:pPr>
            <w:r>
              <w:rPr>
                <w:spacing w:val="-4"/>
                <w:sz w:val="20"/>
              </w:rPr>
              <w:t>2465</w:t>
            </w:r>
          </w:p>
        </w:tc>
      </w:tr>
    </w:tbl>
    <w:p>
      <w:pPr>
        <w:spacing w:before="57"/>
        <w:ind w:left="321" w:right="0" w:firstLine="0"/>
        <w:jc w:val="left"/>
        <w:rPr>
          <w:sz w:val="16"/>
        </w:rPr>
      </w:pPr>
      <w:r>
        <w:rPr>
          <w:i/>
          <w:w w:val="90"/>
          <w:sz w:val="16"/>
        </w:rPr>
        <w:t>Source:</w:t>
      </w:r>
      <w:r>
        <w:rPr>
          <w:i/>
          <w:spacing w:val="8"/>
          <w:sz w:val="16"/>
        </w:rPr>
        <w:t> </w:t>
      </w:r>
      <w:r>
        <w:rPr>
          <w:w w:val="90"/>
          <w:sz w:val="16"/>
        </w:rPr>
        <w:t>WIPO</w:t>
      </w:r>
      <w:r>
        <w:rPr>
          <w:spacing w:val="13"/>
          <w:sz w:val="16"/>
        </w:rPr>
        <w:t> </w:t>
      </w:r>
      <w:r>
        <w:rPr>
          <w:w w:val="90"/>
          <w:sz w:val="16"/>
        </w:rPr>
        <w:t>Statistics</w:t>
      </w:r>
      <w:r>
        <w:rPr>
          <w:spacing w:val="12"/>
          <w:sz w:val="16"/>
        </w:rPr>
        <w:t> </w:t>
      </w:r>
      <w:r>
        <w:rPr>
          <w:spacing w:val="-2"/>
          <w:w w:val="90"/>
          <w:sz w:val="16"/>
        </w:rPr>
        <w:t>Database</w:t>
      </w:r>
    </w:p>
    <w:p>
      <w:pPr>
        <w:spacing w:after="0"/>
        <w:jc w:val="left"/>
        <w:rPr>
          <w:sz w:val="16"/>
        </w:rPr>
        <w:sectPr>
          <w:pgSz w:w="11910" w:h="16840"/>
          <w:pgMar w:header="0" w:footer="675" w:top="940" w:bottom="860" w:left="0" w:right="0"/>
          <w:cols w:num="2" w:equalWidth="0">
            <w:col w:w="5772" w:space="40"/>
            <w:col w:w="6098"/>
          </w:cols>
        </w:sectPr>
      </w:pPr>
    </w:p>
    <w:p>
      <w:pPr>
        <w:pStyle w:val="BodyText"/>
        <w:spacing w:before="102"/>
        <w:rPr>
          <w:sz w:val="24"/>
        </w:rPr>
      </w:pPr>
    </w:p>
    <w:p>
      <w:pPr>
        <w:pStyle w:val="Heading8"/>
        <w:ind w:left="1826"/>
      </w:pPr>
      <w:r>
        <w:rPr>
          <w:w w:val="90"/>
        </w:rPr>
        <w:t>Figure</w:t>
      </w:r>
      <w:r>
        <w:rPr>
          <w:spacing w:val="14"/>
        </w:rPr>
        <w:t> </w:t>
      </w:r>
      <w:r>
        <w:rPr>
          <w:w w:val="90"/>
        </w:rPr>
        <w:t>56:</w:t>
      </w:r>
      <w:r>
        <w:rPr>
          <w:spacing w:val="14"/>
        </w:rPr>
        <w:t> </w:t>
      </w:r>
      <w:r>
        <w:rPr>
          <w:color w:val="2E614A"/>
          <w:w w:val="90"/>
        </w:rPr>
        <w:t>Resident</w:t>
      </w:r>
      <w:r>
        <w:rPr>
          <w:color w:val="2E614A"/>
          <w:spacing w:val="15"/>
        </w:rPr>
        <w:t> </w:t>
      </w:r>
      <w:r>
        <w:rPr>
          <w:color w:val="2E614A"/>
          <w:w w:val="90"/>
        </w:rPr>
        <w:t>patent</w:t>
      </w:r>
      <w:r>
        <w:rPr>
          <w:color w:val="2E614A"/>
          <w:spacing w:val="14"/>
        </w:rPr>
        <w:t> </w:t>
      </w:r>
      <w:r>
        <w:rPr>
          <w:color w:val="2E614A"/>
          <w:w w:val="90"/>
        </w:rPr>
        <w:t>filings</w:t>
      </w:r>
      <w:r>
        <w:rPr>
          <w:color w:val="2E614A"/>
          <w:spacing w:val="14"/>
        </w:rPr>
        <w:t> </w:t>
      </w:r>
      <w:r>
        <w:rPr>
          <w:color w:val="2E614A"/>
          <w:w w:val="90"/>
        </w:rPr>
        <w:t>per</w:t>
      </w:r>
      <w:r>
        <w:rPr>
          <w:color w:val="2E614A"/>
          <w:spacing w:val="15"/>
        </w:rPr>
        <w:t> </w:t>
      </w:r>
      <w:r>
        <w:rPr>
          <w:color w:val="2E614A"/>
          <w:w w:val="90"/>
        </w:rPr>
        <w:t>million</w:t>
      </w:r>
      <w:r>
        <w:rPr>
          <w:color w:val="2E614A"/>
          <w:spacing w:val="14"/>
        </w:rPr>
        <w:t> </w:t>
      </w:r>
      <w:r>
        <w:rPr>
          <w:color w:val="2E614A"/>
          <w:w w:val="90"/>
        </w:rPr>
        <w:t>population</w:t>
      </w:r>
      <w:r>
        <w:rPr>
          <w:color w:val="2E614A"/>
          <w:spacing w:val="15"/>
        </w:rPr>
        <w:t> </w:t>
      </w:r>
      <w:r>
        <w:rPr>
          <w:color w:val="2E614A"/>
          <w:spacing w:val="-2"/>
          <w:w w:val="90"/>
        </w:rPr>
        <w:t>(2006)</w:t>
      </w:r>
    </w:p>
    <w:p>
      <w:pPr>
        <w:pStyle w:val="BodyText"/>
        <w:spacing w:before="2"/>
        <w:rPr>
          <w:b/>
          <w:sz w:val="8"/>
        </w:rPr>
      </w:pPr>
      <w:r>
        <w:rPr/>
        <mc:AlternateContent>
          <mc:Choice Requires="wps">
            <w:drawing>
              <wp:anchor distT="0" distB="0" distL="0" distR="0" allowOverlap="1" layoutInCell="1" locked="0" behindDoc="1" simplePos="0" relativeHeight="487744000">
                <wp:simplePos x="0" y="0"/>
                <wp:positionH relativeFrom="page">
                  <wp:posOffset>1159949</wp:posOffset>
                </wp:positionH>
                <wp:positionV relativeFrom="paragraph">
                  <wp:posOffset>75225</wp:posOffset>
                </wp:positionV>
                <wp:extent cx="5264150" cy="2484120"/>
                <wp:effectExtent l="0" t="0" r="0" b="0"/>
                <wp:wrapTopAndBottom/>
                <wp:docPr id="2174" name="Group 2174"/>
                <wp:cNvGraphicFramePr>
                  <a:graphicFrameLocks/>
                </wp:cNvGraphicFramePr>
                <a:graphic>
                  <a:graphicData uri="http://schemas.microsoft.com/office/word/2010/wordprocessingGroup">
                    <wpg:wgp>
                      <wpg:cNvPr id="2174" name="Group 2174"/>
                      <wpg:cNvGrpSpPr/>
                      <wpg:grpSpPr>
                        <a:xfrm>
                          <a:off x="0" y="0"/>
                          <a:ext cx="5264150" cy="2484120"/>
                          <a:chExt cx="5264150" cy="2484120"/>
                        </a:xfrm>
                      </wpg:grpSpPr>
                      <wps:wsp>
                        <wps:cNvPr id="2175" name="Graphic 2175"/>
                        <wps:cNvSpPr/>
                        <wps:spPr>
                          <a:xfrm>
                            <a:off x="-7" y="0"/>
                            <a:ext cx="5264150" cy="2484120"/>
                          </a:xfrm>
                          <a:custGeom>
                            <a:avLst/>
                            <a:gdLst/>
                            <a:ahLst/>
                            <a:cxnLst/>
                            <a:rect l="l" t="t" r="r" b="b"/>
                            <a:pathLst>
                              <a:path w="5264150" h="2484120">
                                <a:moveTo>
                                  <a:pt x="5264150" y="0"/>
                                </a:moveTo>
                                <a:lnTo>
                                  <a:pt x="5257800" y="0"/>
                                </a:lnTo>
                                <a:lnTo>
                                  <a:pt x="5257800" y="6565"/>
                                </a:lnTo>
                                <a:lnTo>
                                  <a:pt x="5257800" y="2477770"/>
                                </a:lnTo>
                                <a:lnTo>
                                  <a:pt x="6350" y="2477770"/>
                                </a:lnTo>
                                <a:lnTo>
                                  <a:pt x="6350" y="6565"/>
                                </a:lnTo>
                                <a:lnTo>
                                  <a:pt x="5257800" y="6565"/>
                                </a:lnTo>
                                <a:lnTo>
                                  <a:pt x="5257800" y="0"/>
                                </a:lnTo>
                                <a:lnTo>
                                  <a:pt x="0" y="0"/>
                                </a:lnTo>
                                <a:lnTo>
                                  <a:pt x="0" y="3810"/>
                                </a:lnTo>
                                <a:lnTo>
                                  <a:pt x="0" y="6350"/>
                                </a:lnTo>
                                <a:lnTo>
                                  <a:pt x="0" y="2477770"/>
                                </a:lnTo>
                                <a:lnTo>
                                  <a:pt x="0" y="2480310"/>
                                </a:lnTo>
                                <a:lnTo>
                                  <a:pt x="0" y="2484120"/>
                                </a:lnTo>
                                <a:lnTo>
                                  <a:pt x="5264150" y="2484120"/>
                                </a:lnTo>
                                <a:lnTo>
                                  <a:pt x="5264150" y="3390"/>
                                </a:lnTo>
                                <a:lnTo>
                                  <a:pt x="5264150" y="0"/>
                                </a:lnTo>
                                <a:close/>
                              </a:path>
                            </a:pathLst>
                          </a:custGeom>
                          <a:solidFill>
                            <a:srgbClr val="000000"/>
                          </a:solidFill>
                        </wps:spPr>
                        <wps:bodyPr wrap="square" lIns="0" tIns="0" rIns="0" bIns="0" rtlCol="0">
                          <a:prstTxWarp prst="textNoShape">
                            <a:avLst/>
                          </a:prstTxWarp>
                          <a:noAutofit/>
                        </wps:bodyPr>
                      </wps:wsp>
                      <wps:wsp>
                        <wps:cNvPr id="2176" name="Graphic 2176"/>
                        <wps:cNvSpPr/>
                        <wps:spPr>
                          <a:xfrm>
                            <a:off x="659668" y="169506"/>
                            <a:ext cx="3863340" cy="1783080"/>
                          </a:xfrm>
                          <a:custGeom>
                            <a:avLst/>
                            <a:gdLst/>
                            <a:ahLst/>
                            <a:cxnLst/>
                            <a:rect l="l" t="t" r="r" b="b"/>
                            <a:pathLst>
                              <a:path w="3863340" h="1783080">
                                <a:moveTo>
                                  <a:pt x="16992" y="1703285"/>
                                </a:moveTo>
                                <a:lnTo>
                                  <a:pt x="0" y="1703285"/>
                                </a:lnTo>
                                <a:lnTo>
                                  <a:pt x="0" y="1782711"/>
                                </a:lnTo>
                                <a:lnTo>
                                  <a:pt x="16992" y="1782711"/>
                                </a:lnTo>
                                <a:lnTo>
                                  <a:pt x="16992" y="1703285"/>
                                </a:lnTo>
                                <a:close/>
                              </a:path>
                              <a:path w="3863340" h="1783080">
                                <a:moveTo>
                                  <a:pt x="25476" y="1570901"/>
                                </a:moveTo>
                                <a:lnTo>
                                  <a:pt x="0" y="1570901"/>
                                </a:lnTo>
                                <a:lnTo>
                                  <a:pt x="0" y="1659166"/>
                                </a:lnTo>
                                <a:lnTo>
                                  <a:pt x="25476" y="1659166"/>
                                </a:lnTo>
                                <a:lnTo>
                                  <a:pt x="25476" y="1570901"/>
                                </a:lnTo>
                                <a:close/>
                              </a:path>
                              <a:path w="3863340" h="1783080">
                                <a:moveTo>
                                  <a:pt x="135839" y="1438529"/>
                                </a:moveTo>
                                <a:lnTo>
                                  <a:pt x="0" y="1438529"/>
                                </a:lnTo>
                                <a:lnTo>
                                  <a:pt x="0" y="1526781"/>
                                </a:lnTo>
                                <a:lnTo>
                                  <a:pt x="135839" y="1526781"/>
                                </a:lnTo>
                                <a:lnTo>
                                  <a:pt x="135839" y="1438529"/>
                                </a:lnTo>
                                <a:close/>
                              </a:path>
                              <a:path w="3863340" h="1783080">
                                <a:moveTo>
                                  <a:pt x="195275" y="1306156"/>
                                </a:moveTo>
                                <a:lnTo>
                                  <a:pt x="0" y="1306156"/>
                                </a:lnTo>
                                <a:lnTo>
                                  <a:pt x="0" y="1394396"/>
                                </a:lnTo>
                                <a:lnTo>
                                  <a:pt x="195275" y="1394396"/>
                                </a:lnTo>
                                <a:lnTo>
                                  <a:pt x="195275" y="1306156"/>
                                </a:lnTo>
                                <a:close/>
                              </a:path>
                              <a:path w="3863340" h="1783080">
                                <a:moveTo>
                                  <a:pt x="203758" y="1173772"/>
                                </a:moveTo>
                                <a:lnTo>
                                  <a:pt x="0" y="1173772"/>
                                </a:lnTo>
                                <a:lnTo>
                                  <a:pt x="0" y="1262024"/>
                                </a:lnTo>
                                <a:lnTo>
                                  <a:pt x="203758" y="1262024"/>
                                </a:lnTo>
                                <a:lnTo>
                                  <a:pt x="203758" y="1173772"/>
                                </a:lnTo>
                                <a:close/>
                              </a:path>
                              <a:path w="3863340" h="1783080">
                                <a:moveTo>
                                  <a:pt x="237718" y="1041387"/>
                                </a:moveTo>
                                <a:lnTo>
                                  <a:pt x="0" y="1041387"/>
                                </a:lnTo>
                                <a:lnTo>
                                  <a:pt x="0" y="1129639"/>
                                </a:lnTo>
                                <a:lnTo>
                                  <a:pt x="237718" y="1129639"/>
                                </a:lnTo>
                                <a:lnTo>
                                  <a:pt x="237718" y="1041387"/>
                                </a:lnTo>
                                <a:close/>
                              </a:path>
                              <a:path w="3863340" h="1783080">
                                <a:moveTo>
                                  <a:pt x="280162" y="917841"/>
                                </a:moveTo>
                                <a:lnTo>
                                  <a:pt x="0" y="917841"/>
                                </a:lnTo>
                                <a:lnTo>
                                  <a:pt x="0" y="997267"/>
                                </a:lnTo>
                                <a:lnTo>
                                  <a:pt x="280162" y="997267"/>
                                </a:lnTo>
                                <a:lnTo>
                                  <a:pt x="280162" y="917841"/>
                                </a:lnTo>
                                <a:close/>
                              </a:path>
                              <a:path w="3863340" h="1783080">
                                <a:moveTo>
                                  <a:pt x="339598" y="785456"/>
                                </a:moveTo>
                                <a:lnTo>
                                  <a:pt x="0" y="785456"/>
                                </a:lnTo>
                                <a:lnTo>
                                  <a:pt x="0" y="873709"/>
                                </a:lnTo>
                                <a:lnTo>
                                  <a:pt x="339598" y="873709"/>
                                </a:lnTo>
                                <a:lnTo>
                                  <a:pt x="339598" y="785456"/>
                                </a:lnTo>
                                <a:close/>
                              </a:path>
                              <a:path w="3863340" h="1783080">
                                <a:moveTo>
                                  <a:pt x="407517" y="653072"/>
                                </a:moveTo>
                                <a:lnTo>
                                  <a:pt x="0" y="653072"/>
                                </a:lnTo>
                                <a:lnTo>
                                  <a:pt x="0" y="741324"/>
                                </a:lnTo>
                                <a:lnTo>
                                  <a:pt x="407517" y="741324"/>
                                </a:lnTo>
                                <a:lnTo>
                                  <a:pt x="407517" y="653072"/>
                                </a:lnTo>
                                <a:close/>
                              </a:path>
                              <a:path w="3863340" h="1783080">
                                <a:moveTo>
                                  <a:pt x="492417" y="520700"/>
                                </a:moveTo>
                                <a:lnTo>
                                  <a:pt x="0" y="520700"/>
                                </a:lnTo>
                                <a:lnTo>
                                  <a:pt x="0" y="608952"/>
                                </a:lnTo>
                                <a:lnTo>
                                  <a:pt x="492417" y="608952"/>
                                </a:lnTo>
                                <a:lnTo>
                                  <a:pt x="492417" y="520700"/>
                                </a:lnTo>
                                <a:close/>
                              </a:path>
                              <a:path w="3863340" h="1783080">
                                <a:moveTo>
                                  <a:pt x="823518" y="388315"/>
                                </a:moveTo>
                                <a:lnTo>
                                  <a:pt x="0" y="388315"/>
                                </a:lnTo>
                                <a:lnTo>
                                  <a:pt x="0" y="476567"/>
                                </a:lnTo>
                                <a:lnTo>
                                  <a:pt x="823518" y="476567"/>
                                </a:lnTo>
                                <a:lnTo>
                                  <a:pt x="823518" y="388315"/>
                                </a:lnTo>
                                <a:close/>
                              </a:path>
                              <a:path w="3863340" h="1783080">
                                <a:moveTo>
                                  <a:pt x="1052728" y="264756"/>
                                </a:moveTo>
                                <a:lnTo>
                                  <a:pt x="0" y="264756"/>
                                </a:lnTo>
                                <a:lnTo>
                                  <a:pt x="0" y="344195"/>
                                </a:lnTo>
                                <a:lnTo>
                                  <a:pt x="1052728" y="344195"/>
                                </a:lnTo>
                                <a:lnTo>
                                  <a:pt x="1052728" y="264756"/>
                                </a:lnTo>
                                <a:close/>
                              </a:path>
                              <a:path w="3863340" h="1783080">
                                <a:moveTo>
                                  <a:pt x="3684562" y="132384"/>
                                </a:moveTo>
                                <a:lnTo>
                                  <a:pt x="0" y="132384"/>
                                </a:lnTo>
                                <a:lnTo>
                                  <a:pt x="0" y="220637"/>
                                </a:lnTo>
                                <a:lnTo>
                                  <a:pt x="3684562" y="220637"/>
                                </a:lnTo>
                                <a:lnTo>
                                  <a:pt x="3684562" y="132384"/>
                                </a:lnTo>
                                <a:close/>
                              </a:path>
                              <a:path w="3863340" h="1783080">
                                <a:moveTo>
                                  <a:pt x="3862844" y="0"/>
                                </a:moveTo>
                                <a:lnTo>
                                  <a:pt x="0" y="0"/>
                                </a:lnTo>
                                <a:lnTo>
                                  <a:pt x="0" y="88252"/>
                                </a:lnTo>
                                <a:lnTo>
                                  <a:pt x="3862844" y="88252"/>
                                </a:lnTo>
                                <a:lnTo>
                                  <a:pt x="3862844" y="0"/>
                                </a:lnTo>
                                <a:close/>
                              </a:path>
                            </a:pathLst>
                          </a:custGeom>
                          <a:solidFill>
                            <a:srgbClr val="2F7D41"/>
                          </a:solidFill>
                        </wps:spPr>
                        <wps:bodyPr wrap="square" lIns="0" tIns="0" rIns="0" bIns="0" rtlCol="0">
                          <a:prstTxWarp prst="textNoShape">
                            <a:avLst/>
                          </a:prstTxWarp>
                          <a:noAutofit/>
                        </wps:bodyPr>
                      </wps:wsp>
                      <wps:wsp>
                        <wps:cNvPr id="2177" name="Graphic 2177"/>
                        <wps:cNvSpPr/>
                        <wps:spPr>
                          <a:xfrm>
                            <a:off x="631156" y="139864"/>
                            <a:ext cx="4293870" cy="2133600"/>
                          </a:xfrm>
                          <a:custGeom>
                            <a:avLst/>
                            <a:gdLst/>
                            <a:ahLst/>
                            <a:cxnLst/>
                            <a:rect l="l" t="t" r="r" b="b"/>
                            <a:pathLst>
                              <a:path w="4293870" h="2133600">
                                <a:moveTo>
                                  <a:pt x="4293425" y="2091588"/>
                                </a:moveTo>
                                <a:lnTo>
                                  <a:pt x="4293425" y="2091588"/>
                                </a:lnTo>
                                <a:lnTo>
                                  <a:pt x="31826" y="2091588"/>
                                </a:lnTo>
                                <a:lnTo>
                                  <a:pt x="31826" y="0"/>
                                </a:lnTo>
                                <a:lnTo>
                                  <a:pt x="25476" y="0"/>
                                </a:lnTo>
                                <a:lnTo>
                                  <a:pt x="0" y="0"/>
                                </a:lnTo>
                                <a:lnTo>
                                  <a:pt x="0" y="6350"/>
                                </a:lnTo>
                                <a:lnTo>
                                  <a:pt x="25476" y="6350"/>
                                </a:lnTo>
                                <a:lnTo>
                                  <a:pt x="25476" y="132372"/>
                                </a:lnTo>
                                <a:lnTo>
                                  <a:pt x="0" y="132372"/>
                                </a:lnTo>
                                <a:lnTo>
                                  <a:pt x="0" y="138722"/>
                                </a:lnTo>
                                <a:lnTo>
                                  <a:pt x="25476" y="138722"/>
                                </a:lnTo>
                                <a:lnTo>
                                  <a:pt x="25476" y="264756"/>
                                </a:lnTo>
                                <a:lnTo>
                                  <a:pt x="0" y="264756"/>
                                </a:lnTo>
                                <a:lnTo>
                                  <a:pt x="0" y="271106"/>
                                </a:lnTo>
                                <a:lnTo>
                                  <a:pt x="25476" y="271106"/>
                                </a:lnTo>
                                <a:lnTo>
                                  <a:pt x="25476" y="388302"/>
                                </a:lnTo>
                                <a:lnTo>
                                  <a:pt x="0" y="388302"/>
                                </a:lnTo>
                                <a:lnTo>
                                  <a:pt x="0" y="394652"/>
                                </a:lnTo>
                                <a:lnTo>
                                  <a:pt x="25476" y="394652"/>
                                </a:lnTo>
                                <a:lnTo>
                                  <a:pt x="25476" y="520687"/>
                                </a:lnTo>
                                <a:lnTo>
                                  <a:pt x="0" y="520687"/>
                                </a:lnTo>
                                <a:lnTo>
                                  <a:pt x="0" y="527037"/>
                                </a:lnTo>
                                <a:lnTo>
                                  <a:pt x="25476" y="527037"/>
                                </a:lnTo>
                                <a:lnTo>
                                  <a:pt x="25476" y="653059"/>
                                </a:lnTo>
                                <a:lnTo>
                                  <a:pt x="0" y="653059"/>
                                </a:lnTo>
                                <a:lnTo>
                                  <a:pt x="0" y="659409"/>
                                </a:lnTo>
                                <a:lnTo>
                                  <a:pt x="25476" y="659409"/>
                                </a:lnTo>
                                <a:lnTo>
                                  <a:pt x="25476" y="785444"/>
                                </a:lnTo>
                                <a:lnTo>
                                  <a:pt x="0" y="785444"/>
                                </a:lnTo>
                                <a:lnTo>
                                  <a:pt x="0" y="791794"/>
                                </a:lnTo>
                                <a:lnTo>
                                  <a:pt x="25476" y="791794"/>
                                </a:lnTo>
                                <a:lnTo>
                                  <a:pt x="25476" y="917829"/>
                                </a:lnTo>
                                <a:lnTo>
                                  <a:pt x="0" y="917829"/>
                                </a:lnTo>
                                <a:lnTo>
                                  <a:pt x="0" y="924179"/>
                                </a:lnTo>
                                <a:lnTo>
                                  <a:pt x="25476" y="924179"/>
                                </a:lnTo>
                                <a:lnTo>
                                  <a:pt x="25476" y="1041374"/>
                                </a:lnTo>
                                <a:lnTo>
                                  <a:pt x="0" y="1041374"/>
                                </a:lnTo>
                                <a:lnTo>
                                  <a:pt x="0" y="1047724"/>
                                </a:lnTo>
                                <a:lnTo>
                                  <a:pt x="25476" y="1047724"/>
                                </a:lnTo>
                                <a:lnTo>
                                  <a:pt x="25476" y="1173759"/>
                                </a:lnTo>
                                <a:lnTo>
                                  <a:pt x="0" y="1173759"/>
                                </a:lnTo>
                                <a:lnTo>
                                  <a:pt x="0" y="1180109"/>
                                </a:lnTo>
                                <a:lnTo>
                                  <a:pt x="25476" y="1180109"/>
                                </a:lnTo>
                                <a:lnTo>
                                  <a:pt x="25476" y="1306144"/>
                                </a:lnTo>
                                <a:lnTo>
                                  <a:pt x="0" y="1306144"/>
                                </a:lnTo>
                                <a:lnTo>
                                  <a:pt x="0" y="1312494"/>
                                </a:lnTo>
                                <a:lnTo>
                                  <a:pt x="25476" y="1312494"/>
                                </a:lnTo>
                                <a:lnTo>
                                  <a:pt x="25476" y="1438529"/>
                                </a:lnTo>
                                <a:lnTo>
                                  <a:pt x="0" y="1438529"/>
                                </a:lnTo>
                                <a:lnTo>
                                  <a:pt x="0" y="1444879"/>
                                </a:lnTo>
                                <a:lnTo>
                                  <a:pt x="25476" y="1444879"/>
                                </a:lnTo>
                                <a:lnTo>
                                  <a:pt x="25476" y="1570888"/>
                                </a:lnTo>
                                <a:lnTo>
                                  <a:pt x="0" y="1570888"/>
                                </a:lnTo>
                                <a:lnTo>
                                  <a:pt x="0" y="1577238"/>
                                </a:lnTo>
                                <a:lnTo>
                                  <a:pt x="25476" y="1577238"/>
                                </a:lnTo>
                                <a:lnTo>
                                  <a:pt x="25476" y="1703273"/>
                                </a:lnTo>
                                <a:lnTo>
                                  <a:pt x="0" y="1703273"/>
                                </a:lnTo>
                                <a:lnTo>
                                  <a:pt x="0" y="1709623"/>
                                </a:lnTo>
                                <a:lnTo>
                                  <a:pt x="25476" y="1709623"/>
                                </a:lnTo>
                                <a:lnTo>
                                  <a:pt x="25476" y="1826831"/>
                                </a:lnTo>
                                <a:lnTo>
                                  <a:pt x="0" y="1826831"/>
                                </a:lnTo>
                                <a:lnTo>
                                  <a:pt x="0" y="1833181"/>
                                </a:lnTo>
                                <a:lnTo>
                                  <a:pt x="25476" y="1833181"/>
                                </a:lnTo>
                                <a:lnTo>
                                  <a:pt x="25476" y="1959216"/>
                                </a:lnTo>
                                <a:lnTo>
                                  <a:pt x="0" y="1959216"/>
                                </a:lnTo>
                                <a:lnTo>
                                  <a:pt x="0" y="1965566"/>
                                </a:lnTo>
                                <a:lnTo>
                                  <a:pt x="25476" y="1965566"/>
                                </a:lnTo>
                                <a:lnTo>
                                  <a:pt x="25476" y="2091588"/>
                                </a:lnTo>
                                <a:lnTo>
                                  <a:pt x="0" y="2091588"/>
                                </a:lnTo>
                                <a:lnTo>
                                  <a:pt x="0" y="2097938"/>
                                </a:lnTo>
                                <a:lnTo>
                                  <a:pt x="25476" y="2097938"/>
                                </a:lnTo>
                                <a:lnTo>
                                  <a:pt x="25476" y="2133244"/>
                                </a:lnTo>
                                <a:lnTo>
                                  <a:pt x="31826" y="2133244"/>
                                </a:lnTo>
                                <a:lnTo>
                                  <a:pt x="31826" y="2097938"/>
                                </a:lnTo>
                                <a:lnTo>
                                  <a:pt x="738568" y="2097938"/>
                                </a:lnTo>
                                <a:lnTo>
                                  <a:pt x="738568" y="2133244"/>
                                </a:lnTo>
                                <a:lnTo>
                                  <a:pt x="744918" y="2133244"/>
                                </a:lnTo>
                                <a:lnTo>
                                  <a:pt x="744918" y="2097938"/>
                                </a:lnTo>
                                <a:lnTo>
                                  <a:pt x="1443177" y="2097938"/>
                                </a:lnTo>
                                <a:lnTo>
                                  <a:pt x="1443177" y="2133244"/>
                                </a:lnTo>
                                <a:lnTo>
                                  <a:pt x="1449527" y="2133244"/>
                                </a:lnTo>
                                <a:lnTo>
                                  <a:pt x="1449527" y="2097938"/>
                                </a:lnTo>
                                <a:lnTo>
                                  <a:pt x="2156282" y="2097938"/>
                                </a:lnTo>
                                <a:lnTo>
                                  <a:pt x="2156282" y="2133244"/>
                                </a:lnTo>
                                <a:lnTo>
                                  <a:pt x="2162632" y="2133244"/>
                                </a:lnTo>
                                <a:lnTo>
                                  <a:pt x="2162632" y="2097938"/>
                                </a:lnTo>
                                <a:lnTo>
                                  <a:pt x="2869361" y="2097938"/>
                                </a:lnTo>
                                <a:lnTo>
                                  <a:pt x="2869361" y="2133244"/>
                                </a:lnTo>
                                <a:lnTo>
                                  <a:pt x="2875711" y="2133244"/>
                                </a:lnTo>
                                <a:lnTo>
                                  <a:pt x="2875711" y="2097938"/>
                                </a:lnTo>
                                <a:lnTo>
                                  <a:pt x="3573983" y="2097938"/>
                                </a:lnTo>
                                <a:lnTo>
                                  <a:pt x="3573983" y="2133244"/>
                                </a:lnTo>
                                <a:lnTo>
                                  <a:pt x="3580333" y="2133244"/>
                                </a:lnTo>
                                <a:lnTo>
                                  <a:pt x="3580333" y="2097938"/>
                                </a:lnTo>
                                <a:lnTo>
                                  <a:pt x="4287075" y="2097938"/>
                                </a:lnTo>
                                <a:lnTo>
                                  <a:pt x="4287075" y="2133244"/>
                                </a:lnTo>
                                <a:lnTo>
                                  <a:pt x="4293425" y="2133244"/>
                                </a:lnTo>
                                <a:lnTo>
                                  <a:pt x="4293425" y="2091588"/>
                                </a:lnTo>
                                <a:close/>
                              </a:path>
                            </a:pathLst>
                          </a:custGeom>
                          <a:solidFill>
                            <a:srgbClr val="000000"/>
                          </a:solidFill>
                        </wps:spPr>
                        <wps:bodyPr wrap="square" lIns="0" tIns="0" rIns="0" bIns="0" rtlCol="0">
                          <a:prstTxWarp prst="textNoShape">
                            <a:avLst/>
                          </a:prstTxWarp>
                          <a:noAutofit/>
                        </wps:bodyPr>
                      </wps:wsp>
                      <wps:wsp>
                        <wps:cNvPr id="2178" name="Textbox 2178"/>
                        <wps:cNvSpPr txBox="1"/>
                        <wps:spPr>
                          <a:xfrm>
                            <a:off x="236328" y="146860"/>
                            <a:ext cx="345440" cy="2102485"/>
                          </a:xfrm>
                          <a:prstGeom prst="rect">
                            <a:avLst/>
                          </a:prstGeom>
                        </wps:spPr>
                        <wps:txbx>
                          <w:txbxContent>
                            <w:p>
                              <w:pPr>
                                <w:spacing w:line="312" w:lineRule="auto" w:before="0"/>
                                <w:ind w:left="217" w:right="18" w:hanging="7"/>
                                <w:jc w:val="right"/>
                                <w:rPr>
                                  <w:rFonts w:ascii="Arial MT"/>
                                  <w:sz w:val="14"/>
                                </w:rPr>
                              </w:pPr>
                              <w:r>
                                <w:rPr>
                                  <w:rFonts w:ascii="Arial MT"/>
                                  <w:spacing w:val="-2"/>
                                  <w:w w:val="80"/>
                                  <w:sz w:val="14"/>
                                </w:rPr>
                                <w:t>Japan</w:t>
                              </w:r>
                              <w:r>
                                <w:rPr>
                                  <w:rFonts w:ascii="Arial MT"/>
                                  <w:spacing w:val="40"/>
                                  <w:sz w:val="14"/>
                                </w:rPr>
                                <w:t> </w:t>
                              </w:r>
                              <w:r>
                                <w:rPr>
                                  <w:rFonts w:ascii="Arial MT"/>
                                  <w:spacing w:val="-2"/>
                                  <w:w w:val="80"/>
                                  <w:sz w:val="14"/>
                                </w:rPr>
                                <w:t>Korea</w:t>
                              </w:r>
                              <w:r>
                                <w:rPr>
                                  <w:rFonts w:ascii="Arial MT"/>
                                  <w:spacing w:val="40"/>
                                  <w:sz w:val="14"/>
                                </w:rPr>
                                <w:t> </w:t>
                              </w:r>
                              <w:r>
                                <w:rPr>
                                  <w:rFonts w:ascii="Arial MT"/>
                                  <w:spacing w:val="-6"/>
                                  <w:w w:val="90"/>
                                  <w:sz w:val="14"/>
                                </w:rPr>
                                <w:t>US</w:t>
                              </w:r>
                            </w:p>
                            <w:p>
                              <w:pPr>
                                <w:spacing w:line="312" w:lineRule="auto" w:before="2"/>
                                <w:ind w:left="146" w:right="0" w:hanging="96"/>
                                <w:jc w:val="left"/>
                                <w:rPr>
                                  <w:rFonts w:ascii="Arial MT"/>
                                  <w:sz w:val="14"/>
                                </w:rPr>
                              </w:pPr>
                              <w:r>
                                <w:rPr>
                                  <w:rFonts w:ascii="Arial MT"/>
                                  <w:spacing w:val="-2"/>
                                  <w:w w:val="80"/>
                                  <w:sz w:val="14"/>
                                </w:rPr>
                                <w:t>Germany</w:t>
                              </w:r>
                              <w:r>
                                <w:rPr>
                                  <w:rFonts w:ascii="Arial MT"/>
                                  <w:spacing w:val="40"/>
                                  <w:sz w:val="14"/>
                                </w:rPr>
                                <w:t> </w:t>
                              </w:r>
                              <w:r>
                                <w:rPr>
                                  <w:rFonts w:ascii="Arial MT"/>
                                  <w:spacing w:val="-2"/>
                                  <w:w w:val="80"/>
                                  <w:sz w:val="14"/>
                                </w:rPr>
                                <w:t>Finland</w:t>
                              </w:r>
                            </w:p>
                            <w:p>
                              <w:pPr>
                                <w:spacing w:before="1"/>
                                <w:ind w:left="0" w:right="18" w:firstLine="0"/>
                                <w:jc w:val="right"/>
                                <w:rPr>
                                  <w:rFonts w:ascii="Arial MT"/>
                                  <w:sz w:val="14"/>
                                </w:rPr>
                              </w:pPr>
                              <w:r>
                                <w:rPr>
                                  <w:rFonts w:ascii="Arial MT"/>
                                  <w:spacing w:val="-5"/>
                                  <w:w w:val="90"/>
                                  <w:sz w:val="14"/>
                                </w:rPr>
                                <w:t>UK</w:t>
                              </w:r>
                            </w:p>
                            <w:p>
                              <w:pPr>
                                <w:spacing w:line="210" w:lineRule="atLeast" w:before="0"/>
                                <w:ind w:left="0" w:right="18" w:firstLine="166"/>
                                <w:jc w:val="right"/>
                                <w:rPr>
                                  <w:rFonts w:ascii="Arial MT"/>
                                  <w:sz w:val="14"/>
                                </w:rPr>
                              </w:pPr>
                              <w:r>
                                <w:rPr>
                                  <w:rFonts w:ascii="Arial MT"/>
                                  <w:spacing w:val="-2"/>
                                  <w:w w:val="80"/>
                                  <w:sz w:val="14"/>
                                </w:rPr>
                                <w:t>France</w:t>
                              </w:r>
                              <w:r>
                                <w:rPr>
                                  <w:rFonts w:ascii="Arial MT"/>
                                  <w:spacing w:val="40"/>
                                  <w:sz w:val="14"/>
                                </w:rPr>
                                <w:t> </w:t>
                              </w:r>
                              <w:r>
                                <w:rPr>
                                  <w:rFonts w:ascii="Arial MT"/>
                                  <w:spacing w:val="-2"/>
                                  <w:w w:val="90"/>
                                  <w:sz w:val="14"/>
                                </w:rPr>
                                <w:t>Russia</w:t>
                              </w:r>
                              <w:r>
                                <w:rPr>
                                  <w:rFonts w:ascii="Arial MT"/>
                                  <w:spacing w:val="40"/>
                                  <w:sz w:val="14"/>
                                </w:rPr>
                                <w:t> </w:t>
                              </w:r>
                              <w:r>
                                <w:rPr>
                                  <w:rFonts w:ascii="Arial MT"/>
                                  <w:spacing w:val="-2"/>
                                  <w:w w:val="90"/>
                                  <w:sz w:val="14"/>
                                </w:rPr>
                                <w:t>Canada</w:t>
                              </w:r>
                              <w:r>
                                <w:rPr>
                                  <w:rFonts w:ascii="Arial MT"/>
                                  <w:spacing w:val="40"/>
                                  <w:sz w:val="14"/>
                                </w:rPr>
                                <w:t> </w:t>
                              </w:r>
                              <w:r>
                                <w:rPr>
                                  <w:rFonts w:ascii="Arial MT"/>
                                  <w:spacing w:val="-2"/>
                                  <w:w w:val="80"/>
                                  <w:sz w:val="14"/>
                                </w:rPr>
                                <w:t>Singapore</w:t>
                              </w:r>
                              <w:r>
                                <w:rPr>
                                  <w:rFonts w:ascii="Arial MT"/>
                                  <w:spacing w:val="40"/>
                                  <w:sz w:val="14"/>
                                </w:rPr>
                                <w:t> </w:t>
                              </w:r>
                              <w:r>
                                <w:rPr>
                                  <w:rFonts w:ascii="Arial MT"/>
                                  <w:spacing w:val="-2"/>
                                  <w:w w:val="90"/>
                                  <w:sz w:val="14"/>
                                </w:rPr>
                                <w:t>Australia</w:t>
                              </w:r>
                              <w:r>
                                <w:rPr>
                                  <w:rFonts w:ascii="Arial MT"/>
                                  <w:spacing w:val="40"/>
                                  <w:sz w:val="14"/>
                                </w:rPr>
                                <w:t> </w:t>
                              </w:r>
                              <w:r>
                                <w:rPr>
                                  <w:rFonts w:ascii="Arial MT"/>
                                  <w:spacing w:val="-2"/>
                                  <w:w w:val="90"/>
                                  <w:sz w:val="14"/>
                                </w:rPr>
                                <w:t>China</w:t>
                              </w:r>
                              <w:r>
                                <w:rPr>
                                  <w:rFonts w:ascii="Arial MT"/>
                                  <w:spacing w:val="40"/>
                                  <w:sz w:val="14"/>
                                </w:rPr>
                                <w:t> </w:t>
                              </w:r>
                              <w:r>
                                <w:rPr>
                                  <w:rFonts w:ascii="Arial MT"/>
                                  <w:spacing w:val="-2"/>
                                  <w:w w:val="90"/>
                                  <w:sz w:val="14"/>
                                </w:rPr>
                                <w:t>Brazil</w:t>
                              </w:r>
                              <w:r>
                                <w:rPr>
                                  <w:rFonts w:ascii="Arial MT"/>
                                  <w:spacing w:val="40"/>
                                  <w:sz w:val="14"/>
                                </w:rPr>
                                <w:t> </w:t>
                              </w:r>
                              <w:r>
                                <w:rPr>
                                  <w:rFonts w:ascii="Arial MT"/>
                                  <w:spacing w:val="-2"/>
                                  <w:w w:val="90"/>
                                  <w:sz w:val="14"/>
                                </w:rPr>
                                <w:t>Thailand</w:t>
                              </w:r>
                              <w:r>
                                <w:rPr>
                                  <w:rFonts w:ascii="Arial MT"/>
                                  <w:spacing w:val="40"/>
                                  <w:sz w:val="14"/>
                                </w:rPr>
                                <w:t> </w:t>
                              </w:r>
                              <w:r>
                                <w:rPr>
                                  <w:rFonts w:ascii="Arial MT"/>
                                  <w:spacing w:val="-2"/>
                                  <w:w w:val="90"/>
                                  <w:sz w:val="14"/>
                                </w:rPr>
                                <w:t>Mexico</w:t>
                              </w:r>
                              <w:r>
                                <w:rPr>
                                  <w:rFonts w:ascii="Arial MT"/>
                                  <w:spacing w:val="40"/>
                                  <w:sz w:val="14"/>
                                </w:rPr>
                                <w:t> </w:t>
                              </w:r>
                              <w:r>
                                <w:rPr>
                                  <w:rFonts w:ascii="Arial MT"/>
                                  <w:spacing w:val="-2"/>
                                  <w:w w:val="90"/>
                                  <w:sz w:val="14"/>
                                </w:rPr>
                                <w:t>India</w:t>
                              </w:r>
                            </w:p>
                          </w:txbxContent>
                        </wps:txbx>
                        <wps:bodyPr wrap="square" lIns="0" tIns="0" rIns="0" bIns="0" rtlCol="0">
                          <a:noAutofit/>
                        </wps:bodyPr>
                      </wps:wsp>
                      <wps:wsp>
                        <wps:cNvPr id="2179" name="Textbox 2179"/>
                        <wps:cNvSpPr txBox="1"/>
                        <wps:spPr>
                          <a:xfrm>
                            <a:off x="1259809" y="2291701"/>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500.00</w:t>
                              </w:r>
                            </w:p>
                          </w:txbxContent>
                        </wps:txbx>
                        <wps:bodyPr wrap="square" lIns="0" tIns="0" rIns="0" bIns="0" rtlCol="0">
                          <a:noAutofit/>
                        </wps:bodyPr>
                      </wps:wsp>
                      <wps:wsp>
                        <wps:cNvPr id="2180" name="Textbox 2180"/>
                        <wps:cNvSpPr txBox="1"/>
                        <wps:spPr>
                          <a:xfrm>
                            <a:off x="1933701" y="2291701"/>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1,000.00</w:t>
                              </w:r>
                            </w:p>
                          </w:txbxContent>
                        </wps:txbx>
                        <wps:bodyPr wrap="square" lIns="0" tIns="0" rIns="0" bIns="0" rtlCol="0">
                          <a:noAutofit/>
                        </wps:bodyPr>
                      </wps:wsp>
                      <wps:wsp>
                        <wps:cNvPr id="2181" name="Textbox 2181"/>
                        <wps:cNvSpPr txBox="1"/>
                        <wps:spPr>
                          <a:xfrm>
                            <a:off x="2655890" y="2282701"/>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1,500.00</w:t>
                              </w:r>
                            </w:p>
                          </w:txbxContent>
                        </wps:txbx>
                        <wps:bodyPr wrap="square" lIns="0" tIns="0" rIns="0" bIns="0" rtlCol="0">
                          <a:noAutofit/>
                        </wps:bodyPr>
                      </wps:wsp>
                      <wps:wsp>
                        <wps:cNvPr id="2182" name="Textbox 2182"/>
                        <wps:cNvSpPr txBox="1"/>
                        <wps:spPr>
                          <a:xfrm>
                            <a:off x="3369190" y="2282701"/>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2,000.00</w:t>
                              </w:r>
                            </w:p>
                          </w:txbxContent>
                        </wps:txbx>
                        <wps:bodyPr wrap="square" lIns="0" tIns="0" rIns="0" bIns="0" rtlCol="0">
                          <a:noAutofit/>
                        </wps:bodyPr>
                      </wps:wsp>
                      <wps:wsp>
                        <wps:cNvPr id="2183" name="Textbox 2183"/>
                        <wps:cNvSpPr txBox="1"/>
                        <wps:spPr>
                          <a:xfrm>
                            <a:off x="4072001" y="2282701"/>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2,500.00</w:t>
                              </w:r>
                            </w:p>
                          </w:txbxContent>
                        </wps:txbx>
                        <wps:bodyPr wrap="square" lIns="0" tIns="0" rIns="0" bIns="0" rtlCol="0">
                          <a:noAutofit/>
                        </wps:bodyPr>
                      </wps:wsp>
                      <wps:wsp>
                        <wps:cNvPr id="2184" name="Textbox 2184"/>
                        <wps:cNvSpPr txBox="1"/>
                        <wps:spPr>
                          <a:xfrm>
                            <a:off x="4785301" y="2282701"/>
                            <a:ext cx="2965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3,000.00</w:t>
                              </w:r>
                            </w:p>
                          </w:txbxContent>
                        </wps:txbx>
                        <wps:bodyPr wrap="square" lIns="0" tIns="0" rIns="0" bIns="0" rtlCol="0">
                          <a:noAutofit/>
                        </wps:bodyPr>
                      </wps:wsp>
                    </wpg:wgp>
                  </a:graphicData>
                </a:graphic>
              </wp:anchor>
            </w:drawing>
          </mc:Choice>
          <mc:Fallback>
            <w:pict>
              <v:group style="position:absolute;margin-left:91.33461pt;margin-top:5.923245pt;width:414.5pt;height:195.6pt;mso-position-horizontal-relative:page;mso-position-vertical-relative:paragraph;z-index:-15572480;mso-wrap-distance-left:0;mso-wrap-distance-right:0" id="docshapegroup2130" coordorigin="1827,118" coordsize="8290,3912">
                <v:shape style="position:absolute;left:1826;top:118;width:8290;height:3912" id="docshape2131" coordorigin="1827,118" coordsize="8290,3912" path="m10117,118l10107,118,10107,129,10107,4020,1837,4020,1837,129,10107,129,10107,118,1827,118,1827,124,1827,128,1827,4020,1827,4024,1827,4030,10117,4030,10117,124,10117,118xe" filled="true" fillcolor="#000000" stroked="false">
                  <v:path arrowok="t"/>
                  <v:fill type="solid"/>
                </v:shape>
                <v:shape style="position:absolute;left:2865;top:385;width:6084;height:2808" id="docshape2132" coordorigin="2866,385" coordsize="6084,2808" path="m2892,3068l2866,3068,2866,3193,2892,3193,2892,3068xm2906,2859l2866,2859,2866,2998,2906,2998,2906,2859xm3079,2651l2866,2651,2866,2790,3079,2790,3079,2651xm3173,2442l2866,2442,2866,2581,3173,2581,3173,2442xm3186,2234l2866,2234,2866,2373,3186,2373,3186,2234xm3240,2025l2866,2025,2866,2164,3240,2164,3240,2025xm3307,1831l2866,1831,2866,1956,3307,1956,3307,1831xm3400,1622l2866,1622,2866,1761,3400,1761,3400,1622xm3507,1414l2866,1414,2866,1553,3507,1553,3507,1414xm3641,1205l2866,1205,2866,1344,3641,1344,3641,1205xm4162,997l2866,997,2866,1136,4162,1136,4162,997xm4523,802l2866,802,2866,927,4523,927,4523,802xm8668,594l2866,594,2866,733,8668,733,8668,594xm8949,385l2866,385,2866,524,8949,524,8949,385xe" filled="true" fillcolor="#2f7d41" stroked="false">
                  <v:path arrowok="t"/>
                  <v:fill type="solid"/>
                </v:shape>
                <v:shape style="position:absolute;left:2820;top:338;width:6762;height:3360" id="docshape2133" coordorigin="2821,339" coordsize="6762,3360" path="m9582,3633l9582,3633,2871,3633,2871,339,2861,339,2821,339,2821,349,2861,349,2861,547,2821,547,2821,557,2861,557,2861,756,2821,756,2821,766,2861,766,2861,950,2821,950,2821,960,2861,960,2861,1159,2821,1159,2821,1169,2861,1169,2861,1367,2821,1367,2821,1377,2861,1377,2861,1576,2821,1576,2821,1586,2861,1586,2861,1784,2821,1784,2821,1794,2861,1794,2861,1979,2821,1979,2821,1989,2861,1989,2861,2187,2821,2187,2821,2197,2861,2197,2861,2396,2821,2396,2821,2406,2861,2406,2861,2604,2821,2604,2821,2614,2861,2614,2861,2813,2821,2813,2821,2823,2861,2823,2861,3021,2821,3021,2821,3031,2861,3031,2861,3216,2821,3216,2821,3226,2861,3226,2861,3424,2821,3424,2821,3434,2861,3434,2861,3633,2821,3633,2821,3643,2861,3643,2861,3698,2871,3698,2871,3643,3984,3643,3984,3698,3994,3698,3994,3643,5093,3643,5093,3698,5103,3698,5103,3643,6216,3643,6216,3698,6226,3698,6226,3643,7339,3643,7339,3698,7349,3698,7349,3643,8449,3643,8449,3698,8459,3698,8459,3643,9572,3643,9572,3698,9582,3698,9582,3633xe" filled="true" fillcolor="#000000" stroked="false">
                  <v:path arrowok="t"/>
                  <v:fill type="solid"/>
                </v:shape>
                <v:shape style="position:absolute;left:2198;top:349;width:544;height:3311" type="#_x0000_t202" id="docshape2134" filled="false" stroked="false">
                  <v:textbox inset="0,0,0,0">
                    <w:txbxContent>
                      <w:p>
                        <w:pPr>
                          <w:spacing w:line="312" w:lineRule="auto" w:before="0"/>
                          <w:ind w:left="217" w:right="18" w:hanging="7"/>
                          <w:jc w:val="right"/>
                          <w:rPr>
                            <w:rFonts w:ascii="Arial MT"/>
                            <w:sz w:val="14"/>
                          </w:rPr>
                        </w:pPr>
                        <w:r>
                          <w:rPr>
                            <w:rFonts w:ascii="Arial MT"/>
                            <w:spacing w:val="-2"/>
                            <w:w w:val="80"/>
                            <w:sz w:val="14"/>
                          </w:rPr>
                          <w:t>Japan</w:t>
                        </w:r>
                        <w:r>
                          <w:rPr>
                            <w:rFonts w:ascii="Arial MT"/>
                            <w:spacing w:val="40"/>
                            <w:sz w:val="14"/>
                          </w:rPr>
                          <w:t> </w:t>
                        </w:r>
                        <w:r>
                          <w:rPr>
                            <w:rFonts w:ascii="Arial MT"/>
                            <w:spacing w:val="-2"/>
                            <w:w w:val="80"/>
                            <w:sz w:val="14"/>
                          </w:rPr>
                          <w:t>Korea</w:t>
                        </w:r>
                        <w:r>
                          <w:rPr>
                            <w:rFonts w:ascii="Arial MT"/>
                            <w:spacing w:val="40"/>
                            <w:sz w:val="14"/>
                          </w:rPr>
                          <w:t> </w:t>
                        </w:r>
                        <w:r>
                          <w:rPr>
                            <w:rFonts w:ascii="Arial MT"/>
                            <w:spacing w:val="-6"/>
                            <w:w w:val="90"/>
                            <w:sz w:val="14"/>
                          </w:rPr>
                          <w:t>US</w:t>
                        </w:r>
                      </w:p>
                      <w:p>
                        <w:pPr>
                          <w:spacing w:line="312" w:lineRule="auto" w:before="2"/>
                          <w:ind w:left="146" w:right="0" w:hanging="96"/>
                          <w:jc w:val="left"/>
                          <w:rPr>
                            <w:rFonts w:ascii="Arial MT"/>
                            <w:sz w:val="14"/>
                          </w:rPr>
                        </w:pPr>
                        <w:r>
                          <w:rPr>
                            <w:rFonts w:ascii="Arial MT"/>
                            <w:spacing w:val="-2"/>
                            <w:w w:val="80"/>
                            <w:sz w:val="14"/>
                          </w:rPr>
                          <w:t>Germany</w:t>
                        </w:r>
                        <w:r>
                          <w:rPr>
                            <w:rFonts w:ascii="Arial MT"/>
                            <w:spacing w:val="40"/>
                            <w:sz w:val="14"/>
                          </w:rPr>
                          <w:t> </w:t>
                        </w:r>
                        <w:r>
                          <w:rPr>
                            <w:rFonts w:ascii="Arial MT"/>
                            <w:spacing w:val="-2"/>
                            <w:w w:val="80"/>
                            <w:sz w:val="14"/>
                          </w:rPr>
                          <w:t>Finland</w:t>
                        </w:r>
                      </w:p>
                      <w:p>
                        <w:pPr>
                          <w:spacing w:before="1"/>
                          <w:ind w:left="0" w:right="18" w:firstLine="0"/>
                          <w:jc w:val="right"/>
                          <w:rPr>
                            <w:rFonts w:ascii="Arial MT"/>
                            <w:sz w:val="14"/>
                          </w:rPr>
                        </w:pPr>
                        <w:r>
                          <w:rPr>
                            <w:rFonts w:ascii="Arial MT"/>
                            <w:spacing w:val="-5"/>
                            <w:w w:val="90"/>
                            <w:sz w:val="14"/>
                          </w:rPr>
                          <w:t>UK</w:t>
                        </w:r>
                      </w:p>
                      <w:p>
                        <w:pPr>
                          <w:spacing w:line="210" w:lineRule="atLeast" w:before="0"/>
                          <w:ind w:left="0" w:right="18" w:firstLine="166"/>
                          <w:jc w:val="right"/>
                          <w:rPr>
                            <w:rFonts w:ascii="Arial MT"/>
                            <w:sz w:val="14"/>
                          </w:rPr>
                        </w:pPr>
                        <w:r>
                          <w:rPr>
                            <w:rFonts w:ascii="Arial MT"/>
                            <w:spacing w:val="-2"/>
                            <w:w w:val="80"/>
                            <w:sz w:val="14"/>
                          </w:rPr>
                          <w:t>France</w:t>
                        </w:r>
                        <w:r>
                          <w:rPr>
                            <w:rFonts w:ascii="Arial MT"/>
                            <w:spacing w:val="40"/>
                            <w:sz w:val="14"/>
                          </w:rPr>
                          <w:t> </w:t>
                        </w:r>
                        <w:r>
                          <w:rPr>
                            <w:rFonts w:ascii="Arial MT"/>
                            <w:spacing w:val="-2"/>
                            <w:w w:val="90"/>
                            <w:sz w:val="14"/>
                          </w:rPr>
                          <w:t>Russia</w:t>
                        </w:r>
                        <w:r>
                          <w:rPr>
                            <w:rFonts w:ascii="Arial MT"/>
                            <w:spacing w:val="40"/>
                            <w:sz w:val="14"/>
                          </w:rPr>
                          <w:t> </w:t>
                        </w:r>
                        <w:r>
                          <w:rPr>
                            <w:rFonts w:ascii="Arial MT"/>
                            <w:spacing w:val="-2"/>
                            <w:w w:val="90"/>
                            <w:sz w:val="14"/>
                          </w:rPr>
                          <w:t>Canada</w:t>
                        </w:r>
                        <w:r>
                          <w:rPr>
                            <w:rFonts w:ascii="Arial MT"/>
                            <w:spacing w:val="40"/>
                            <w:sz w:val="14"/>
                          </w:rPr>
                          <w:t> </w:t>
                        </w:r>
                        <w:r>
                          <w:rPr>
                            <w:rFonts w:ascii="Arial MT"/>
                            <w:spacing w:val="-2"/>
                            <w:w w:val="80"/>
                            <w:sz w:val="14"/>
                          </w:rPr>
                          <w:t>Singapore</w:t>
                        </w:r>
                        <w:r>
                          <w:rPr>
                            <w:rFonts w:ascii="Arial MT"/>
                            <w:spacing w:val="40"/>
                            <w:sz w:val="14"/>
                          </w:rPr>
                          <w:t> </w:t>
                        </w:r>
                        <w:r>
                          <w:rPr>
                            <w:rFonts w:ascii="Arial MT"/>
                            <w:spacing w:val="-2"/>
                            <w:w w:val="90"/>
                            <w:sz w:val="14"/>
                          </w:rPr>
                          <w:t>Australia</w:t>
                        </w:r>
                        <w:r>
                          <w:rPr>
                            <w:rFonts w:ascii="Arial MT"/>
                            <w:spacing w:val="40"/>
                            <w:sz w:val="14"/>
                          </w:rPr>
                          <w:t> </w:t>
                        </w:r>
                        <w:r>
                          <w:rPr>
                            <w:rFonts w:ascii="Arial MT"/>
                            <w:spacing w:val="-2"/>
                            <w:w w:val="90"/>
                            <w:sz w:val="14"/>
                          </w:rPr>
                          <w:t>China</w:t>
                        </w:r>
                        <w:r>
                          <w:rPr>
                            <w:rFonts w:ascii="Arial MT"/>
                            <w:spacing w:val="40"/>
                            <w:sz w:val="14"/>
                          </w:rPr>
                          <w:t> </w:t>
                        </w:r>
                        <w:r>
                          <w:rPr>
                            <w:rFonts w:ascii="Arial MT"/>
                            <w:spacing w:val="-2"/>
                            <w:w w:val="90"/>
                            <w:sz w:val="14"/>
                          </w:rPr>
                          <w:t>Brazil</w:t>
                        </w:r>
                        <w:r>
                          <w:rPr>
                            <w:rFonts w:ascii="Arial MT"/>
                            <w:spacing w:val="40"/>
                            <w:sz w:val="14"/>
                          </w:rPr>
                          <w:t> </w:t>
                        </w:r>
                        <w:r>
                          <w:rPr>
                            <w:rFonts w:ascii="Arial MT"/>
                            <w:spacing w:val="-2"/>
                            <w:w w:val="90"/>
                            <w:sz w:val="14"/>
                          </w:rPr>
                          <w:t>Thailand</w:t>
                        </w:r>
                        <w:r>
                          <w:rPr>
                            <w:rFonts w:ascii="Arial MT"/>
                            <w:spacing w:val="40"/>
                            <w:sz w:val="14"/>
                          </w:rPr>
                          <w:t> </w:t>
                        </w:r>
                        <w:r>
                          <w:rPr>
                            <w:rFonts w:ascii="Arial MT"/>
                            <w:spacing w:val="-2"/>
                            <w:w w:val="90"/>
                            <w:sz w:val="14"/>
                          </w:rPr>
                          <w:t>Mexico</w:t>
                        </w:r>
                        <w:r>
                          <w:rPr>
                            <w:rFonts w:ascii="Arial MT"/>
                            <w:spacing w:val="40"/>
                            <w:sz w:val="14"/>
                          </w:rPr>
                          <w:t> </w:t>
                        </w:r>
                        <w:r>
                          <w:rPr>
                            <w:rFonts w:ascii="Arial MT"/>
                            <w:spacing w:val="-2"/>
                            <w:w w:val="90"/>
                            <w:sz w:val="14"/>
                          </w:rPr>
                          <w:t>India</w:t>
                        </w:r>
                      </w:p>
                    </w:txbxContent>
                  </v:textbox>
                  <w10:wrap type="none"/>
                </v:shape>
                <v:shape style="position:absolute;left:3810;top:3727;width:372;height:161" type="#_x0000_t202" id="docshape2135" filled="false" stroked="false">
                  <v:textbox inset="0,0,0,0">
                    <w:txbxContent>
                      <w:p>
                        <w:pPr>
                          <w:spacing w:line="161" w:lineRule="exact" w:before="0"/>
                          <w:ind w:left="0" w:right="0" w:firstLine="0"/>
                          <w:jc w:val="left"/>
                          <w:rPr>
                            <w:rFonts w:ascii="Arial MT"/>
                            <w:sz w:val="14"/>
                          </w:rPr>
                        </w:pPr>
                        <w:r>
                          <w:rPr>
                            <w:rFonts w:ascii="Arial MT"/>
                            <w:spacing w:val="-2"/>
                            <w:w w:val="85"/>
                            <w:sz w:val="14"/>
                          </w:rPr>
                          <w:t>500.00</w:t>
                        </w:r>
                      </w:p>
                    </w:txbxContent>
                  </v:textbox>
                  <w10:wrap type="none"/>
                </v:shape>
                <v:shape style="position:absolute;left:4871;top:3727;width:467;height:161" type="#_x0000_t202" id="docshape2136" filled="false" stroked="false">
                  <v:textbox inset="0,0,0,0">
                    <w:txbxContent>
                      <w:p>
                        <w:pPr>
                          <w:spacing w:line="161" w:lineRule="exact" w:before="0"/>
                          <w:ind w:left="0" w:right="0" w:firstLine="0"/>
                          <w:jc w:val="left"/>
                          <w:rPr>
                            <w:rFonts w:ascii="Arial MT"/>
                            <w:sz w:val="14"/>
                          </w:rPr>
                        </w:pPr>
                        <w:r>
                          <w:rPr>
                            <w:rFonts w:ascii="Arial MT"/>
                            <w:spacing w:val="-2"/>
                            <w:w w:val="85"/>
                            <w:sz w:val="14"/>
                          </w:rPr>
                          <w:t>1,000.00</w:t>
                        </w:r>
                      </w:p>
                    </w:txbxContent>
                  </v:textbox>
                  <w10:wrap type="none"/>
                </v:shape>
                <v:shape style="position:absolute;left:6009;top:3713;width:467;height:161" type="#_x0000_t202" id="docshape2137" filled="false" stroked="false">
                  <v:textbox inset="0,0,0,0">
                    <w:txbxContent>
                      <w:p>
                        <w:pPr>
                          <w:spacing w:line="161" w:lineRule="exact" w:before="0"/>
                          <w:ind w:left="0" w:right="0" w:firstLine="0"/>
                          <w:jc w:val="left"/>
                          <w:rPr>
                            <w:rFonts w:ascii="Arial MT"/>
                            <w:sz w:val="14"/>
                          </w:rPr>
                        </w:pPr>
                        <w:r>
                          <w:rPr>
                            <w:rFonts w:ascii="Arial MT"/>
                            <w:spacing w:val="-2"/>
                            <w:w w:val="85"/>
                            <w:sz w:val="14"/>
                          </w:rPr>
                          <w:t>1,500.00</w:t>
                        </w:r>
                      </w:p>
                    </w:txbxContent>
                  </v:textbox>
                  <w10:wrap type="none"/>
                </v:shape>
                <v:shape style="position:absolute;left:7132;top:3713;width:467;height:161" type="#_x0000_t202" id="docshape2138" filled="false" stroked="false">
                  <v:textbox inset="0,0,0,0">
                    <w:txbxContent>
                      <w:p>
                        <w:pPr>
                          <w:spacing w:line="161" w:lineRule="exact" w:before="0"/>
                          <w:ind w:left="0" w:right="0" w:firstLine="0"/>
                          <w:jc w:val="left"/>
                          <w:rPr>
                            <w:rFonts w:ascii="Arial MT"/>
                            <w:sz w:val="14"/>
                          </w:rPr>
                        </w:pPr>
                        <w:r>
                          <w:rPr>
                            <w:rFonts w:ascii="Arial MT"/>
                            <w:spacing w:val="-2"/>
                            <w:w w:val="85"/>
                            <w:sz w:val="14"/>
                          </w:rPr>
                          <w:t>2,000.00</w:t>
                        </w:r>
                      </w:p>
                    </w:txbxContent>
                  </v:textbox>
                  <w10:wrap type="none"/>
                </v:shape>
                <v:shape style="position:absolute;left:8239;top:3713;width:467;height:161" type="#_x0000_t202" id="docshape2139" filled="false" stroked="false">
                  <v:textbox inset="0,0,0,0">
                    <w:txbxContent>
                      <w:p>
                        <w:pPr>
                          <w:spacing w:line="161" w:lineRule="exact" w:before="0"/>
                          <w:ind w:left="0" w:right="0" w:firstLine="0"/>
                          <w:jc w:val="left"/>
                          <w:rPr>
                            <w:rFonts w:ascii="Arial MT"/>
                            <w:sz w:val="14"/>
                          </w:rPr>
                        </w:pPr>
                        <w:r>
                          <w:rPr>
                            <w:rFonts w:ascii="Arial MT"/>
                            <w:spacing w:val="-2"/>
                            <w:w w:val="85"/>
                            <w:sz w:val="14"/>
                          </w:rPr>
                          <w:t>2,500.00</w:t>
                        </w:r>
                      </w:p>
                    </w:txbxContent>
                  </v:textbox>
                  <w10:wrap type="none"/>
                </v:shape>
                <v:shape style="position:absolute;left:9362;top:3713;width:467;height:161" type="#_x0000_t202" id="docshape2140" filled="false" stroked="false">
                  <v:textbox inset="0,0,0,0">
                    <w:txbxContent>
                      <w:p>
                        <w:pPr>
                          <w:spacing w:line="161" w:lineRule="exact" w:before="0"/>
                          <w:ind w:left="0" w:right="0" w:firstLine="0"/>
                          <w:jc w:val="left"/>
                          <w:rPr>
                            <w:rFonts w:ascii="Arial MT"/>
                            <w:sz w:val="14"/>
                          </w:rPr>
                        </w:pPr>
                        <w:r>
                          <w:rPr>
                            <w:rFonts w:ascii="Arial MT"/>
                            <w:spacing w:val="-2"/>
                            <w:w w:val="85"/>
                            <w:sz w:val="14"/>
                          </w:rPr>
                          <w:t>3,000.00</w:t>
                        </w:r>
                      </w:p>
                    </w:txbxContent>
                  </v:textbox>
                  <w10:wrap type="none"/>
                </v:shape>
                <w10:wrap type="topAndBottom"/>
              </v:group>
            </w:pict>
          </mc:Fallback>
        </mc:AlternateContent>
      </w:r>
    </w:p>
    <w:p>
      <w:pPr>
        <w:spacing w:before="52"/>
        <w:ind w:left="1864" w:right="0" w:firstLine="0"/>
        <w:jc w:val="left"/>
        <w:rPr>
          <w:sz w:val="16"/>
        </w:rPr>
      </w:pPr>
      <w:r>
        <w:rPr>
          <w:i/>
          <w:w w:val="90"/>
          <w:sz w:val="16"/>
        </w:rPr>
        <w:t>Source:</w:t>
      </w:r>
      <w:r>
        <w:rPr>
          <w:i/>
          <w:spacing w:val="8"/>
          <w:sz w:val="16"/>
        </w:rPr>
        <w:t> </w:t>
      </w:r>
      <w:r>
        <w:rPr>
          <w:w w:val="90"/>
          <w:sz w:val="16"/>
        </w:rPr>
        <w:t>WIPO</w:t>
      </w:r>
      <w:r>
        <w:rPr>
          <w:spacing w:val="13"/>
          <w:sz w:val="16"/>
        </w:rPr>
        <w:t> </w:t>
      </w:r>
      <w:r>
        <w:rPr>
          <w:w w:val="90"/>
          <w:sz w:val="16"/>
        </w:rPr>
        <w:t>Statistics</w:t>
      </w:r>
      <w:r>
        <w:rPr>
          <w:spacing w:val="12"/>
          <w:sz w:val="16"/>
        </w:rPr>
        <w:t> </w:t>
      </w:r>
      <w:r>
        <w:rPr>
          <w:spacing w:val="-2"/>
          <w:w w:val="90"/>
          <w:sz w:val="16"/>
        </w:rPr>
        <w:t>Database</w:t>
      </w:r>
    </w:p>
    <w:p>
      <w:pPr>
        <w:spacing w:after="0"/>
        <w:jc w:val="left"/>
        <w:rPr>
          <w:sz w:val="16"/>
        </w:rPr>
        <w:sectPr>
          <w:type w:val="continuous"/>
          <w:pgSz w:w="11910" w:h="16840"/>
          <w:pgMar w:header="0" w:footer="675" w:top="1920" w:bottom="280" w:left="0" w:right="0"/>
        </w:sectPr>
      </w:pPr>
    </w:p>
    <w:p>
      <w:pPr>
        <w:pStyle w:val="Heading8"/>
        <w:spacing w:before="73"/>
        <w:ind w:left="1938"/>
      </w:pPr>
      <w:r>
        <w:rPr>
          <w:spacing w:val="-8"/>
        </w:rPr>
        <w:t>Figure</w:t>
      </w:r>
      <w:r>
        <w:rPr>
          <w:spacing w:val="1"/>
        </w:rPr>
        <w:t> </w:t>
      </w:r>
      <w:r>
        <w:rPr>
          <w:spacing w:val="-8"/>
        </w:rPr>
        <w:t>57:</w:t>
      </w:r>
      <w:r>
        <w:rPr>
          <w:spacing w:val="1"/>
        </w:rPr>
        <w:t> </w:t>
      </w:r>
      <w:r>
        <w:rPr>
          <w:color w:val="2E614A"/>
          <w:spacing w:val="-8"/>
        </w:rPr>
        <w:t>Resident</w:t>
      </w:r>
      <w:r>
        <w:rPr>
          <w:color w:val="2E614A"/>
          <w:spacing w:val="1"/>
        </w:rPr>
        <w:t> </w:t>
      </w:r>
      <w:r>
        <w:rPr>
          <w:color w:val="2E614A"/>
          <w:spacing w:val="-8"/>
        </w:rPr>
        <w:t>patent</w:t>
      </w:r>
      <w:r>
        <w:rPr>
          <w:color w:val="2E614A"/>
          <w:spacing w:val="1"/>
        </w:rPr>
        <w:t> </w:t>
      </w:r>
      <w:r>
        <w:rPr>
          <w:color w:val="2E614A"/>
          <w:spacing w:val="-8"/>
        </w:rPr>
        <w:t>filings</w:t>
      </w:r>
      <w:r>
        <w:rPr>
          <w:color w:val="2E614A"/>
          <w:spacing w:val="1"/>
        </w:rPr>
        <w:t> </w:t>
      </w:r>
      <w:r>
        <w:rPr>
          <w:color w:val="2E614A"/>
          <w:spacing w:val="-8"/>
        </w:rPr>
        <w:t>per</w:t>
      </w:r>
      <w:r>
        <w:rPr>
          <w:color w:val="2E614A"/>
          <w:spacing w:val="1"/>
        </w:rPr>
        <w:t> </w:t>
      </w:r>
      <w:r>
        <w:rPr>
          <w:color w:val="2E614A"/>
          <w:spacing w:val="-8"/>
        </w:rPr>
        <w:t>$Billion</w:t>
      </w:r>
      <w:r>
        <w:rPr>
          <w:color w:val="2E614A"/>
          <w:spacing w:val="1"/>
        </w:rPr>
        <w:t> </w:t>
      </w:r>
      <w:r>
        <w:rPr>
          <w:color w:val="2E614A"/>
          <w:spacing w:val="-8"/>
        </w:rPr>
        <w:t>GDP</w:t>
      </w:r>
      <w:r>
        <w:rPr>
          <w:color w:val="2E614A"/>
          <w:spacing w:val="1"/>
        </w:rPr>
        <w:t> </w:t>
      </w:r>
      <w:r>
        <w:rPr>
          <w:color w:val="2E614A"/>
          <w:spacing w:val="-8"/>
        </w:rPr>
        <w:t>(2006)</w:t>
      </w:r>
    </w:p>
    <w:p>
      <w:pPr>
        <w:pStyle w:val="BodyText"/>
        <w:spacing w:before="4"/>
        <w:rPr>
          <w:b/>
          <w:sz w:val="7"/>
        </w:rPr>
      </w:pPr>
      <w:r>
        <w:rPr/>
        <mc:AlternateContent>
          <mc:Choice Requires="wps">
            <w:drawing>
              <wp:anchor distT="0" distB="0" distL="0" distR="0" allowOverlap="1" layoutInCell="1" locked="0" behindDoc="1" simplePos="0" relativeHeight="487744512">
                <wp:simplePos x="0" y="0"/>
                <wp:positionH relativeFrom="page">
                  <wp:posOffset>1230749</wp:posOffset>
                </wp:positionH>
                <wp:positionV relativeFrom="paragraph">
                  <wp:posOffset>69229</wp:posOffset>
                </wp:positionV>
                <wp:extent cx="5122545" cy="2484120"/>
                <wp:effectExtent l="0" t="0" r="0" b="0"/>
                <wp:wrapTopAndBottom/>
                <wp:docPr id="2185" name="Group 2185"/>
                <wp:cNvGraphicFramePr>
                  <a:graphicFrameLocks/>
                </wp:cNvGraphicFramePr>
                <a:graphic>
                  <a:graphicData uri="http://schemas.microsoft.com/office/word/2010/wordprocessingGroup">
                    <wpg:wgp>
                      <wpg:cNvPr id="2185" name="Group 2185"/>
                      <wpg:cNvGrpSpPr/>
                      <wpg:grpSpPr>
                        <a:xfrm>
                          <a:off x="0" y="0"/>
                          <a:ext cx="5122545" cy="2484120"/>
                          <a:chExt cx="5122545" cy="2484120"/>
                        </a:xfrm>
                      </wpg:grpSpPr>
                      <wps:wsp>
                        <wps:cNvPr id="2186" name="Graphic 2186"/>
                        <wps:cNvSpPr/>
                        <wps:spPr>
                          <a:xfrm>
                            <a:off x="-5" y="0"/>
                            <a:ext cx="5122545" cy="2484120"/>
                          </a:xfrm>
                          <a:custGeom>
                            <a:avLst/>
                            <a:gdLst/>
                            <a:ahLst/>
                            <a:cxnLst/>
                            <a:rect l="l" t="t" r="r" b="b"/>
                            <a:pathLst>
                              <a:path w="5122545" h="2484120">
                                <a:moveTo>
                                  <a:pt x="5122215" y="0"/>
                                </a:moveTo>
                                <a:lnTo>
                                  <a:pt x="5115865" y="0"/>
                                </a:lnTo>
                                <a:lnTo>
                                  <a:pt x="5115865" y="6921"/>
                                </a:lnTo>
                                <a:lnTo>
                                  <a:pt x="5115865" y="2477770"/>
                                </a:lnTo>
                                <a:lnTo>
                                  <a:pt x="5115865" y="2478125"/>
                                </a:lnTo>
                                <a:lnTo>
                                  <a:pt x="5115865" y="2481300"/>
                                </a:lnTo>
                                <a:lnTo>
                                  <a:pt x="5115865" y="2481580"/>
                                </a:lnTo>
                                <a:lnTo>
                                  <a:pt x="3175" y="2481580"/>
                                </a:lnTo>
                                <a:lnTo>
                                  <a:pt x="3175" y="2481300"/>
                                </a:lnTo>
                                <a:lnTo>
                                  <a:pt x="6350" y="2481300"/>
                                </a:lnTo>
                                <a:lnTo>
                                  <a:pt x="5115865" y="2481300"/>
                                </a:lnTo>
                                <a:lnTo>
                                  <a:pt x="5115865" y="2478125"/>
                                </a:lnTo>
                                <a:lnTo>
                                  <a:pt x="6350" y="2478125"/>
                                </a:lnTo>
                                <a:lnTo>
                                  <a:pt x="3175" y="2478125"/>
                                </a:lnTo>
                                <a:lnTo>
                                  <a:pt x="3175" y="2477770"/>
                                </a:lnTo>
                                <a:lnTo>
                                  <a:pt x="6350" y="2477770"/>
                                </a:lnTo>
                                <a:lnTo>
                                  <a:pt x="6350" y="6921"/>
                                </a:lnTo>
                                <a:lnTo>
                                  <a:pt x="5115865" y="6921"/>
                                </a:lnTo>
                                <a:lnTo>
                                  <a:pt x="5115865" y="0"/>
                                </a:lnTo>
                                <a:lnTo>
                                  <a:pt x="0" y="0"/>
                                </a:lnTo>
                                <a:lnTo>
                                  <a:pt x="0" y="3810"/>
                                </a:lnTo>
                                <a:lnTo>
                                  <a:pt x="0" y="6350"/>
                                </a:lnTo>
                                <a:lnTo>
                                  <a:pt x="0" y="2477770"/>
                                </a:lnTo>
                                <a:lnTo>
                                  <a:pt x="0" y="2481580"/>
                                </a:lnTo>
                                <a:lnTo>
                                  <a:pt x="0" y="2484120"/>
                                </a:lnTo>
                                <a:lnTo>
                                  <a:pt x="5122215" y="2484120"/>
                                </a:lnTo>
                                <a:lnTo>
                                  <a:pt x="5122215" y="2481580"/>
                                </a:lnTo>
                                <a:lnTo>
                                  <a:pt x="5119040" y="2481580"/>
                                </a:lnTo>
                                <a:lnTo>
                                  <a:pt x="5119040" y="2481300"/>
                                </a:lnTo>
                                <a:lnTo>
                                  <a:pt x="5122215" y="2481300"/>
                                </a:lnTo>
                                <a:lnTo>
                                  <a:pt x="5122215" y="2478125"/>
                                </a:lnTo>
                                <a:lnTo>
                                  <a:pt x="5119040" y="2478125"/>
                                </a:lnTo>
                                <a:lnTo>
                                  <a:pt x="5119040" y="2477770"/>
                                </a:lnTo>
                                <a:lnTo>
                                  <a:pt x="5122215" y="2477770"/>
                                </a:lnTo>
                                <a:lnTo>
                                  <a:pt x="5122215" y="6921"/>
                                </a:lnTo>
                                <a:lnTo>
                                  <a:pt x="5122215" y="6350"/>
                                </a:lnTo>
                                <a:lnTo>
                                  <a:pt x="5122215" y="3810"/>
                                </a:lnTo>
                                <a:lnTo>
                                  <a:pt x="5122215" y="0"/>
                                </a:lnTo>
                                <a:close/>
                              </a:path>
                            </a:pathLst>
                          </a:custGeom>
                          <a:solidFill>
                            <a:srgbClr val="000000"/>
                          </a:solidFill>
                        </wps:spPr>
                        <wps:bodyPr wrap="square" lIns="0" tIns="0" rIns="0" bIns="0" rtlCol="0">
                          <a:prstTxWarp prst="textNoShape">
                            <a:avLst/>
                          </a:prstTxWarp>
                          <a:noAutofit/>
                        </wps:bodyPr>
                      </wps:wsp>
                      <wps:wsp>
                        <wps:cNvPr id="2187" name="Graphic 2187"/>
                        <wps:cNvSpPr/>
                        <wps:spPr>
                          <a:xfrm>
                            <a:off x="546640" y="122935"/>
                            <a:ext cx="3721735" cy="2109470"/>
                          </a:xfrm>
                          <a:custGeom>
                            <a:avLst/>
                            <a:gdLst/>
                            <a:ahLst/>
                            <a:cxnLst/>
                            <a:rect l="l" t="t" r="r" b="b"/>
                            <a:pathLst>
                              <a:path w="3721735" h="2109470">
                                <a:moveTo>
                                  <a:pt x="17005" y="2021001"/>
                                </a:moveTo>
                                <a:lnTo>
                                  <a:pt x="0" y="2021001"/>
                                </a:lnTo>
                                <a:lnTo>
                                  <a:pt x="0" y="2109254"/>
                                </a:lnTo>
                                <a:lnTo>
                                  <a:pt x="17005" y="2109254"/>
                                </a:lnTo>
                                <a:lnTo>
                                  <a:pt x="17005" y="2021001"/>
                                </a:lnTo>
                                <a:close/>
                              </a:path>
                              <a:path w="3721735" h="2109470">
                                <a:moveTo>
                                  <a:pt x="59486" y="1879803"/>
                                </a:moveTo>
                                <a:lnTo>
                                  <a:pt x="0" y="1879803"/>
                                </a:lnTo>
                                <a:lnTo>
                                  <a:pt x="0" y="1976882"/>
                                </a:lnTo>
                                <a:lnTo>
                                  <a:pt x="59486" y="1976882"/>
                                </a:lnTo>
                                <a:lnTo>
                                  <a:pt x="59486" y="1879803"/>
                                </a:lnTo>
                                <a:close/>
                              </a:path>
                              <a:path w="3721735" h="2109470">
                                <a:moveTo>
                                  <a:pt x="67970" y="1747418"/>
                                </a:moveTo>
                                <a:lnTo>
                                  <a:pt x="0" y="1747418"/>
                                </a:lnTo>
                                <a:lnTo>
                                  <a:pt x="0" y="1835670"/>
                                </a:lnTo>
                                <a:lnTo>
                                  <a:pt x="67970" y="1835670"/>
                                </a:lnTo>
                                <a:lnTo>
                                  <a:pt x="67970" y="1747418"/>
                                </a:lnTo>
                                <a:close/>
                              </a:path>
                              <a:path w="3721735" h="2109470">
                                <a:moveTo>
                                  <a:pt x="93459" y="1615033"/>
                                </a:moveTo>
                                <a:lnTo>
                                  <a:pt x="0" y="1615033"/>
                                </a:lnTo>
                                <a:lnTo>
                                  <a:pt x="0" y="1703298"/>
                                </a:lnTo>
                                <a:lnTo>
                                  <a:pt x="93459" y="1703298"/>
                                </a:lnTo>
                                <a:lnTo>
                                  <a:pt x="93459" y="1615033"/>
                                </a:lnTo>
                                <a:close/>
                              </a:path>
                              <a:path w="3721735" h="2109470">
                                <a:moveTo>
                                  <a:pt x="101968" y="1482661"/>
                                </a:moveTo>
                                <a:lnTo>
                                  <a:pt x="0" y="1482661"/>
                                </a:lnTo>
                                <a:lnTo>
                                  <a:pt x="0" y="1570913"/>
                                </a:lnTo>
                                <a:lnTo>
                                  <a:pt x="101968" y="1570913"/>
                                </a:lnTo>
                                <a:lnTo>
                                  <a:pt x="101968" y="1482661"/>
                                </a:lnTo>
                                <a:close/>
                              </a:path>
                              <a:path w="3721735" h="2109470">
                                <a:moveTo>
                                  <a:pt x="144449" y="1341450"/>
                                </a:moveTo>
                                <a:lnTo>
                                  <a:pt x="0" y="1341450"/>
                                </a:lnTo>
                                <a:lnTo>
                                  <a:pt x="0" y="1438529"/>
                                </a:lnTo>
                                <a:lnTo>
                                  <a:pt x="144449" y="1438529"/>
                                </a:lnTo>
                                <a:lnTo>
                                  <a:pt x="144449" y="1341450"/>
                                </a:lnTo>
                                <a:close/>
                              </a:path>
                              <a:path w="3721735" h="2109470">
                                <a:moveTo>
                                  <a:pt x="152946" y="1209065"/>
                                </a:moveTo>
                                <a:lnTo>
                                  <a:pt x="0" y="1209065"/>
                                </a:lnTo>
                                <a:lnTo>
                                  <a:pt x="0" y="1297330"/>
                                </a:lnTo>
                                <a:lnTo>
                                  <a:pt x="152946" y="1297330"/>
                                </a:lnTo>
                                <a:lnTo>
                                  <a:pt x="152946" y="1209065"/>
                                </a:lnTo>
                                <a:close/>
                              </a:path>
                              <a:path w="3721735" h="2109470">
                                <a:moveTo>
                                  <a:pt x="254901" y="1076693"/>
                                </a:moveTo>
                                <a:lnTo>
                                  <a:pt x="0" y="1076693"/>
                                </a:lnTo>
                                <a:lnTo>
                                  <a:pt x="0" y="1164945"/>
                                </a:lnTo>
                                <a:lnTo>
                                  <a:pt x="254901" y="1164945"/>
                                </a:lnTo>
                                <a:lnTo>
                                  <a:pt x="254901" y="1076693"/>
                                </a:lnTo>
                                <a:close/>
                              </a:path>
                              <a:path w="3721735" h="2109470">
                                <a:moveTo>
                                  <a:pt x="305879" y="944308"/>
                                </a:moveTo>
                                <a:lnTo>
                                  <a:pt x="0" y="944308"/>
                                </a:lnTo>
                                <a:lnTo>
                                  <a:pt x="0" y="1032573"/>
                                </a:lnTo>
                                <a:lnTo>
                                  <a:pt x="305879" y="1032573"/>
                                </a:lnTo>
                                <a:lnTo>
                                  <a:pt x="305879" y="944308"/>
                                </a:lnTo>
                                <a:close/>
                              </a:path>
                              <a:path w="3721735" h="2109470">
                                <a:moveTo>
                                  <a:pt x="339864" y="803109"/>
                                </a:moveTo>
                                <a:lnTo>
                                  <a:pt x="0" y="803109"/>
                                </a:lnTo>
                                <a:lnTo>
                                  <a:pt x="0" y="900188"/>
                                </a:lnTo>
                                <a:lnTo>
                                  <a:pt x="339864" y="900188"/>
                                </a:lnTo>
                                <a:lnTo>
                                  <a:pt x="339864" y="803109"/>
                                </a:lnTo>
                                <a:close/>
                              </a:path>
                              <a:path w="3721735" h="2109470">
                                <a:moveTo>
                                  <a:pt x="594766" y="670725"/>
                                </a:moveTo>
                                <a:lnTo>
                                  <a:pt x="0" y="670725"/>
                                </a:lnTo>
                                <a:lnTo>
                                  <a:pt x="0" y="758990"/>
                                </a:lnTo>
                                <a:lnTo>
                                  <a:pt x="594766" y="758990"/>
                                </a:lnTo>
                                <a:lnTo>
                                  <a:pt x="594766" y="670725"/>
                                </a:lnTo>
                                <a:close/>
                              </a:path>
                              <a:path w="3721735" h="2109470">
                                <a:moveTo>
                                  <a:pt x="603262" y="538353"/>
                                </a:moveTo>
                                <a:lnTo>
                                  <a:pt x="0" y="538353"/>
                                </a:lnTo>
                                <a:lnTo>
                                  <a:pt x="0" y="626605"/>
                                </a:lnTo>
                                <a:lnTo>
                                  <a:pt x="603262" y="626605"/>
                                </a:lnTo>
                                <a:lnTo>
                                  <a:pt x="603262" y="538353"/>
                                </a:lnTo>
                                <a:close/>
                              </a:path>
                              <a:path w="3721735" h="2109470">
                                <a:moveTo>
                                  <a:pt x="722223" y="405968"/>
                                </a:moveTo>
                                <a:lnTo>
                                  <a:pt x="0" y="405968"/>
                                </a:lnTo>
                                <a:lnTo>
                                  <a:pt x="0" y="494220"/>
                                </a:lnTo>
                                <a:lnTo>
                                  <a:pt x="722223" y="494220"/>
                                </a:lnTo>
                                <a:lnTo>
                                  <a:pt x="722223" y="405968"/>
                                </a:lnTo>
                                <a:close/>
                              </a:path>
                              <a:path w="3721735" h="2109470">
                                <a:moveTo>
                                  <a:pt x="994117" y="264769"/>
                                </a:moveTo>
                                <a:lnTo>
                                  <a:pt x="0" y="264769"/>
                                </a:lnTo>
                                <a:lnTo>
                                  <a:pt x="0" y="361848"/>
                                </a:lnTo>
                                <a:lnTo>
                                  <a:pt x="994117" y="361848"/>
                                </a:lnTo>
                                <a:lnTo>
                                  <a:pt x="994117" y="264769"/>
                                </a:lnTo>
                                <a:close/>
                              </a:path>
                              <a:path w="3721735" h="2109470">
                                <a:moveTo>
                                  <a:pt x="2650947" y="132384"/>
                                </a:moveTo>
                                <a:lnTo>
                                  <a:pt x="0" y="132384"/>
                                </a:lnTo>
                                <a:lnTo>
                                  <a:pt x="0" y="220637"/>
                                </a:lnTo>
                                <a:lnTo>
                                  <a:pt x="2650947" y="220637"/>
                                </a:lnTo>
                                <a:lnTo>
                                  <a:pt x="2650947" y="132384"/>
                                </a:lnTo>
                                <a:close/>
                              </a:path>
                              <a:path w="3721735" h="2109470">
                                <a:moveTo>
                                  <a:pt x="3721531" y="0"/>
                                </a:moveTo>
                                <a:lnTo>
                                  <a:pt x="0" y="0"/>
                                </a:lnTo>
                                <a:lnTo>
                                  <a:pt x="0" y="88265"/>
                                </a:lnTo>
                                <a:lnTo>
                                  <a:pt x="3721531" y="88265"/>
                                </a:lnTo>
                                <a:lnTo>
                                  <a:pt x="3721531" y="0"/>
                                </a:lnTo>
                                <a:close/>
                              </a:path>
                            </a:pathLst>
                          </a:custGeom>
                          <a:solidFill>
                            <a:srgbClr val="2F7D41"/>
                          </a:solidFill>
                        </wps:spPr>
                        <wps:bodyPr wrap="square" lIns="0" tIns="0" rIns="0" bIns="0" rtlCol="0">
                          <a:prstTxWarp prst="textNoShape">
                            <a:avLst/>
                          </a:prstTxWarp>
                          <a:noAutofit/>
                        </wps:bodyPr>
                      </wps:wsp>
                      <wps:wsp>
                        <wps:cNvPr id="2188" name="Graphic 2188"/>
                        <wps:cNvSpPr/>
                        <wps:spPr>
                          <a:xfrm>
                            <a:off x="509607" y="93293"/>
                            <a:ext cx="4322445" cy="2195195"/>
                          </a:xfrm>
                          <a:custGeom>
                            <a:avLst/>
                            <a:gdLst/>
                            <a:ahLst/>
                            <a:cxnLst/>
                            <a:rect l="l" t="t" r="r" b="b"/>
                            <a:pathLst>
                              <a:path w="4322445" h="2195195">
                                <a:moveTo>
                                  <a:pt x="4322394" y="2153374"/>
                                </a:moveTo>
                                <a:lnTo>
                                  <a:pt x="4322394" y="2153374"/>
                                </a:lnTo>
                                <a:lnTo>
                                  <a:pt x="40335" y="2153374"/>
                                </a:lnTo>
                                <a:lnTo>
                                  <a:pt x="40335" y="0"/>
                                </a:lnTo>
                                <a:lnTo>
                                  <a:pt x="33985" y="0"/>
                                </a:lnTo>
                                <a:lnTo>
                                  <a:pt x="0" y="0"/>
                                </a:lnTo>
                                <a:lnTo>
                                  <a:pt x="0" y="6350"/>
                                </a:lnTo>
                                <a:lnTo>
                                  <a:pt x="33985" y="6350"/>
                                </a:lnTo>
                                <a:lnTo>
                                  <a:pt x="33985" y="132372"/>
                                </a:lnTo>
                                <a:lnTo>
                                  <a:pt x="0" y="132372"/>
                                </a:lnTo>
                                <a:lnTo>
                                  <a:pt x="0" y="138722"/>
                                </a:lnTo>
                                <a:lnTo>
                                  <a:pt x="33985" y="138722"/>
                                </a:lnTo>
                                <a:lnTo>
                                  <a:pt x="33985" y="264756"/>
                                </a:lnTo>
                                <a:lnTo>
                                  <a:pt x="0" y="264756"/>
                                </a:lnTo>
                                <a:lnTo>
                                  <a:pt x="0" y="271106"/>
                                </a:lnTo>
                                <a:lnTo>
                                  <a:pt x="33985" y="271106"/>
                                </a:lnTo>
                                <a:lnTo>
                                  <a:pt x="33985" y="405955"/>
                                </a:lnTo>
                                <a:lnTo>
                                  <a:pt x="0" y="405955"/>
                                </a:lnTo>
                                <a:lnTo>
                                  <a:pt x="0" y="412305"/>
                                </a:lnTo>
                                <a:lnTo>
                                  <a:pt x="33985" y="412305"/>
                                </a:lnTo>
                                <a:lnTo>
                                  <a:pt x="33985" y="538340"/>
                                </a:lnTo>
                                <a:lnTo>
                                  <a:pt x="0" y="538340"/>
                                </a:lnTo>
                                <a:lnTo>
                                  <a:pt x="0" y="544690"/>
                                </a:lnTo>
                                <a:lnTo>
                                  <a:pt x="33985" y="544690"/>
                                </a:lnTo>
                                <a:lnTo>
                                  <a:pt x="33985" y="670725"/>
                                </a:lnTo>
                                <a:lnTo>
                                  <a:pt x="0" y="670725"/>
                                </a:lnTo>
                                <a:lnTo>
                                  <a:pt x="0" y="677075"/>
                                </a:lnTo>
                                <a:lnTo>
                                  <a:pt x="33985" y="677075"/>
                                </a:lnTo>
                                <a:lnTo>
                                  <a:pt x="33985" y="803097"/>
                                </a:lnTo>
                                <a:lnTo>
                                  <a:pt x="0" y="803097"/>
                                </a:lnTo>
                                <a:lnTo>
                                  <a:pt x="0" y="809447"/>
                                </a:lnTo>
                                <a:lnTo>
                                  <a:pt x="33985" y="809447"/>
                                </a:lnTo>
                                <a:lnTo>
                                  <a:pt x="33985" y="944308"/>
                                </a:lnTo>
                                <a:lnTo>
                                  <a:pt x="0" y="944308"/>
                                </a:lnTo>
                                <a:lnTo>
                                  <a:pt x="0" y="950658"/>
                                </a:lnTo>
                                <a:lnTo>
                                  <a:pt x="33985" y="950658"/>
                                </a:lnTo>
                                <a:lnTo>
                                  <a:pt x="33985" y="1076680"/>
                                </a:lnTo>
                                <a:lnTo>
                                  <a:pt x="0" y="1076680"/>
                                </a:lnTo>
                                <a:lnTo>
                                  <a:pt x="0" y="1083030"/>
                                </a:lnTo>
                                <a:lnTo>
                                  <a:pt x="33985" y="1083030"/>
                                </a:lnTo>
                                <a:lnTo>
                                  <a:pt x="33985" y="1209065"/>
                                </a:lnTo>
                                <a:lnTo>
                                  <a:pt x="0" y="1209065"/>
                                </a:lnTo>
                                <a:lnTo>
                                  <a:pt x="0" y="1215415"/>
                                </a:lnTo>
                                <a:lnTo>
                                  <a:pt x="33985" y="1215415"/>
                                </a:lnTo>
                                <a:lnTo>
                                  <a:pt x="33985" y="1341437"/>
                                </a:lnTo>
                                <a:lnTo>
                                  <a:pt x="0" y="1341437"/>
                                </a:lnTo>
                                <a:lnTo>
                                  <a:pt x="0" y="1347787"/>
                                </a:lnTo>
                                <a:lnTo>
                                  <a:pt x="33985" y="1347787"/>
                                </a:lnTo>
                                <a:lnTo>
                                  <a:pt x="33985" y="1482661"/>
                                </a:lnTo>
                                <a:lnTo>
                                  <a:pt x="0" y="1482661"/>
                                </a:lnTo>
                                <a:lnTo>
                                  <a:pt x="0" y="1489011"/>
                                </a:lnTo>
                                <a:lnTo>
                                  <a:pt x="33985" y="1489011"/>
                                </a:lnTo>
                                <a:lnTo>
                                  <a:pt x="33985" y="1615020"/>
                                </a:lnTo>
                                <a:lnTo>
                                  <a:pt x="0" y="1615020"/>
                                </a:lnTo>
                                <a:lnTo>
                                  <a:pt x="0" y="1621370"/>
                                </a:lnTo>
                                <a:lnTo>
                                  <a:pt x="33985" y="1621370"/>
                                </a:lnTo>
                                <a:lnTo>
                                  <a:pt x="33985" y="1747405"/>
                                </a:lnTo>
                                <a:lnTo>
                                  <a:pt x="0" y="1747405"/>
                                </a:lnTo>
                                <a:lnTo>
                                  <a:pt x="0" y="1753755"/>
                                </a:lnTo>
                                <a:lnTo>
                                  <a:pt x="33985" y="1753755"/>
                                </a:lnTo>
                                <a:lnTo>
                                  <a:pt x="33985" y="1879790"/>
                                </a:lnTo>
                                <a:lnTo>
                                  <a:pt x="0" y="1879790"/>
                                </a:lnTo>
                                <a:lnTo>
                                  <a:pt x="0" y="1886140"/>
                                </a:lnTo>
                                <a:lnTo>
                                  <a:pt x="33985" y="1886140"/>
                                </a:lnTo>
                                <a:lnTo>
                                  <a:pt x="33985" y="2020989"/>
                                </a:lnTo>
                                <a:lnTo>
                                  <a:pt x="0" y="2020989"/>
                                </a:lnTo>
                                <a:lnTo>
                                  <a:pt x="0" y="2027339"/>
                                </a:lnTo>
                                <a:lnTo>
                                  <a:pt x="33985" y="2027339"/>
                                </a:lnTo>
                                <a:lnTo>
                                  <a:pt x="33985" y="2153374"/>
                                </a:lnTo>
                                <a:lnTo>
                                  <a:pt x="0" y="2153374"/>
                                </a:lnTo>
                                <a:lnTo>
                                  <a:pt x="0" y="2159724"/>
                                </a:lnTo>
                                <a:lnTo>
                                  <a:pt x="33985" y="2159724"/>
                                </a:lnTo>
                                <a:lnTo>
                                  <a:pt x="33985" y="2195017"/>
                                </a:lnTo>
                                <a:lnTo>
                                  <a:pt x="40335" y="2195017"/>
                                </a:lnTo>
                                <a:lnTo>
                                  <a:pt x="40335" y="2159724"/>
                                </a:lnTo>
                                <a:lnTo>
                                  <a:pt x="645706" y="2159724"/>
                                </a:lnTo>
                                <a:lnTo>
                                  <a:pt x="645706" y="2195017"/>
                                </a:lnTo>
                                <a:lnTo>
                                  <a:pt x="652056" y="2195017"/>
                                </a:lnTo>
                                <a:lnTo>
                                  <a:pt x="652056" y="2159724"/>
                                </a:lnTo>
                                <a:lnTo>
                                  <a:pt x="1257439" y="2159724"/>
                                </a:lnTo>
                                <a:lnTo>
                                  <a:pt x="1257439" y="2195017"/>
                                </a:lnTo>
                                <a:lnTo>
                                  <a:pt x="1263789" y="2195017"/>
                                </a:lnTo>
                                <a:lnTo>
                                  <a:pt x="1263789" y="2159724"/>
                                </a:lnTo>
                                <a:lnTo>
                                  <a:pt x="1869147" y="2159724"/>
                                </a:lnTo>
                                <a:lnTo>
                                  <a:pt x="1869147" y="2195017"/>
                                </a:lnTo>
                                <a:lnTo>
                                  <a:pt x="1875497" y="2195017"/>
                                </a:lnTo>
                                <a:lnTo>
                                  <a:pt x="1875497" y="2159724"/>
                                </a:lnTo>
                                <a:lnTo>
                                  <a:pt x="2480868" y="2159724"/>
                                </a:lnTo>
                                <a:lnTo>
                                  <a:pt x="2480868" y="2195017"/>
                                </a:lnTo>
                                <a:lnTo>
                                  <a:pt x="2487218" y="2195017"/>
                                </a:lnTo>
                                <a:lnTo>
                                  <a:pt x="2487218" y="2159724"/>
                                </a:lnTo>
                                <a:lnTo>
                                  <a:pt x="3092589" y="2159724"/>
                                </a:lnTo>
                                <a:lnTo>
                                  <a:pt x="3092589" y="2195017"/>
                                </a:lnTo>
                                <a:lnTo>
                                  <a:pt x="3098939" y="2195017"/>
                                </a:lnTo>
                                <a:lnTo>
                                  <a:pt x="3098939" y="2159724"/>
                                </a:lnTo>
                                <a:lnTo>
                                  <a:pt x="3704310" y="2159724"/>
                                </a:lnTo>
                                <a:lnTo>
                                  <a:pt x="3704310" y="2195017"/>
                                </a:lnTo>
                                <a:lnTo>
                                  <a:pt x="3710660" y="2195017"/>
                                </a:lnTo>
                                <a:lnTo>
                                  <a:pt x="3710660" y="2159724"/>
                                </a:lnTo>
                                <a:lnTo>
                                  <a:pt x="4316044" y="2159724"/>
                                </a:lnTo>
                                <a:lnTo>
                                  <a:pt x="4316044" y="2195017"/>
                                </a:lnTo>
                                <a:lnTo>
                                  <a:pt x="4322394" y="2195017"/>
                                </a:lnTo>
                                <a:lnTo>
                                  <a:pt x="4322394" y="2153374"/>
                                </a:lnTo>
                                <a:close/>
                              </a:path>
                            </a:pathLst>
                          </a:custGeom>
                          <a:solidFill>
                            <a:srgbClr val="000000"/>
                          </a:solidFill>
                        </wps:spPr>
                        <wps:bodyPr wrap="square" lIns="0" tIns="0" rIns="0" bIns="0" rtlCol="0">
                          <a:prstTxWarp prst="textNoShape">
                            <a:avLst/>
                          </a:prstTxWarp>
                          <a:noAutofit/>
                        </wps:bodyPr>
                      </wps:wsp>
                      <wps:wsp>
                        <wps:cNvPr id="2189" name="Textbox 2189"/>
                        <wps:cNvSpPr txBox="1"/>
                        <wps:spPr>
                          <a:xfrm>
                            <a:off x="117278" y="89672"/>
                            <a:ext cx="349250" cy="2140585"/>
                          </a:xfrm>
                          <a:prstGeom prst="rect">
                            <a:avLst/>
                          </a:prstGeom>
                        </wps:spPr>
                        <wps:txbx>
                          <w:txbxContent>
                            <w:p>
                              <w:pPr>
                                <w:spacing w:line="319" w:lineRule="auto" w:before="0"/>
                                <w:ind w:left="172" w:right="18" w:firstLine="44"/>
                                <w:jc w:val="right"/>
                                <w:rPr>
                                  <w:rFonts w:ascii="Arial MT"/>
                                  <w:sz w:val="14"/>
                                </w:rPr>
                              </w:pPr>
                              <w:r>
                                <w:rPr>
                                  <w:rFonts w:ascii="Arial MT"/>
                                  <w:spacing w:val="-2"/>
                                  <w:w w:val="80"/>
                                  <w:sz w:val="14"/>
                                </w:rPr>
                                <w:t>Korea</w:t>
                              </w:r>
                              <w:r>
                                <w:rPr>
                                  <w:rFonts w:ascii="Arial MT"/>
                                  <w:spacing w:val="40"/>
                                  <w:sz w:val="14"/>
                                </w:rPr>
                                <w:t> </w:t>
                              </w:r>
                              <w:r>
                                <w:rPr>
                                  <w:rFonts w:ascii="Arial MT"/>
                                  <w:spacing w:val="-2"/>
                                  <w:w w:val="90"/>
                                  <w:sz w:val="14"/>
                                </w:rPr>
                                <w:t>Japan</w:t>
                              </w:r>
                              <w:r>
                                <w:rPr>
                                  <w:rFonts w:ascii="Arial MT"/>
                                  <w:spacing w:val="40"/>
                                  <w:sz w:val="14"/>
                                </w:rPr>
                                <w:t> </w:t>
                              </w:r>
                              <w:r>
                                <w:rPr>
                                  <w:rFonts w:ascii="Arial MT"/>
                                  <w:spacing w:val="-2"/>
                                  <w:w w:val="80"/>
                                  <w:sz w:val="14"/>
                                </w:rPr>
                                <w:t>Russia</w:t>
                              </w:r>
                              <w:r>
                                <w:rPr>
                                  <w:rFonts w:ascii="Arial MT"/>
                                  <w:spacing w:val="40"/>
                                  <w:sz w:val="14"/>
                                </w:rPr>
                                <w:t> </w:t>
                              </w:r>
                              <w:r>
                                <w:rPr>
                                  <w:rFonts w:ascii="Arial MT"/>
                                  <w:spacing w:val="-2"/>
                                  <w:w w:val="90"/>
                                  <w:sz w:val="14"/>
                                </w:rPr>
                                <w:t>China</w:t>
                              </w:r>
                              <w:r>
                                <w:rPr>
                                  <w:rFonts w:ascii="Arial MT"/>
                                  <w:spacing w:val="40"/>
                                  <w:sz w:val="14"/>
                                </w:rPr>
                                <w:t> </w:t>
                              </w:r>
                              <w:r>
                                <w:rPr>
                                  <w:rFonts w:ascii="Arial MT"/>
                                  <w:spacing w:val="-4"/>
                                  <w:w w:val="90"/>
                                  <w:sz w:val="14"/>
                                </w:rPr>
                                <w:t>USA</w:t>
                              </w:r>
                            </w:p>
                            <w:p>
                              <w:pPr>
                                <w:spacing w:line="319" w:lineRule="auto" w:before="0"/>
                                <w:ind w:left="146" w:right="24" w:hanging="96"/>
                                <w:jc w:val="right"/>
                                <w:rPr>
                                  <w:rFonts w:ascii="Arial MT"/>
                                  <w:sz w:val="14"/>
                                </w:rPr>
                              </w:pPr>
                              <w:r>
                                <w:rPr>
                                  <w:rFonts w:ascii="Arial MT"/>
                                  <w:spacing w:val="-2"/>
                                  <w:w w:val="80"/>
                                  <w:sz w:val="14"/>
                                </w:rPr>
                                <w:t>Germany</w:t>
                              </w:r>
                              <w:r>
                                <w:rPr>
                                  <w:rFonts w:ascii="Arial MT"/>
                                  <w:spacing w:val="40"/>
                                  <w:sz w:val="14"/>
                                </w:rPr>
                                <w:t> </w:t>
                              </w:r>
                              <w:r>
                                <w:rPr>
                                  <w:rFonts w:ascii="Arial MT"/>
                                  <w:spacing w:val="-2"/>
                                  <w:w w:val="80"/>
                                  <w:sz w:val="14"/>
                                </w:rPr>
                                <w:t>Finland</w:t>
                              </w:r>
                            </w:p>
                            <w:p>
                              <w:pPr>
                                <w:spacing w:line="161" w:lineRule="exact" w:before="0"/>
                                <w:ind w:left="363" w:right="0" w:firstLine="0"/>
                                <w:jc w:val="left"/>
                                <w:rPr>
                                  <w:rFonts w:ascii="Arial MT"/>
                                  <w:sz w:val="14"/>
                                </w:rPr>
                              </w:pPr>
                              <w:r>
                                <w:rPr>
                                  <w:rFonts w:ascii="Arial MT"/>
                                  <w:spacing w:val="-5"/>
                                  <w:w w:val="90"/>
                                  <w:sz w:val="14"/>
                                </w:rPr>
                                <w:t>UK</w:t>
                              </w:r>
                            </w:p>
                            <w:p>
                              <w:pPr>
                                <w:spacing w:line="319" w:lineRule="auto" w:before="52"/>
                                <w:ind w:left="0" w:right="24" w:firstLine="166"/>
                                <w:jc w:val="right"/>
                                <w:rPr>
                                  <w:rFonts w:ascii="Arial MT"/>
                                  <w:sz w:val="14"/>
                                </w:rPr>
                              </w:pPr>
                              <w:r>
                                <w:rPr>
                                  <w:rFonts w:ascii="Arial MT"/>
                                  <w:spacing w:val="-2"/>
                                  <w:w w:val="80"/>
                                  <w:sz w:val="14"/>
                                </w:rPr>
                                <w:t>France</w:t>
                              </w:r>
                              <w:r>
                                <w:rPr>
                                  <w:rFonts w:ascii="Arial MT"/>
                                  <w:spacing w:val="40"/>
                                  <w:sz w:val="14"/>
                                </w:rPr>
                                <w:t> </w:t>
                              </w:r>
                              <w:r>
                                <w:rPr>
                                  <w:rFonts w:ascii="Arial MT"/>
                                  <w:spacing w:val="-2"/>
                                  <w:w w:val="90"/>
                                  <w:sz w:val="14"/>
                                </w:rPr>
                                <w:t>Canada</w:t>
                              </w:r>
                              <w:r>
                                <w:rPr>
                                  <w:rFonts w:ascii="Arial MT"/>
                                  <w:spacing w:val="40"/>
                                  <w:sz w:val="14"/>
                                </w:rPr>
                                <w:t> </w:t>
                              </w:r>
                              <w:r>
                                <w:rPr>
                                  <w:rFonts w:ascii="Arial MT"/>
                                  <w:spacing w:val="-2"/>
                                  <w:w w:val="90"/>
                                  <w:sz w:val="14"/>
                                </w:rPr>
                                <w:t>Australia</w:t>
                              </w:r>
                              <w:r>
                                <w:rPr>
                                  <w:rFonts w:ascii="Arial MT"/>
                                  <w:spacing w:val="40"/>
                                  <w:sz w:val="14"/>
                                </w:rPr>
                                <w:t> </w:t>
                              </w:r>
                              <w:r>
                                <w:rPr>
                                  <w:rFonts w:ascii="Arial MT"/>
                                  <w:spacing w:val="-2"/>
                                  <w:w w:val="90"/>
                                  <w:sz w:val="14"/>
                                </w:rPr>
                                <w:t>Brazil</w:t>
                              </w:r>
                              <w:r>
                                <w:rPr>
                                  <w:rFonts w:ascii="Arial MT"/>
                                  <w:spacing w:val="40"/>
                                  <w:sz w:val="14"/>
                                </w:rPr>
                                <w:t> </w:t>
                              </w:r>
                              <w:r>
                                <w:rPr>
                                  <w:rFonts w:ascii="Arial MT"/>
                                  <w:spacing w:val="-2"/>
                                  <w:w w:val="80"/>
                                  <w:sz w:val="14"/>
                                </w:rPr>
                                <w:t>Singapore</w:t>
                              </w:r>
                            </w:p>
                            <w:p>
                              <w:pPr>
                                <w:spacing w:line="319" w:lineRule="auto" w:before="0"/>
                                <w:ind w:left="82" w:right="24" w:firstLine="191"/>
                                <w:jc w:val="right"/>
                                <w:rPr>
                                  <w:rFonts w:ascii="Arial MT"/>
                                  <w:sz w:val="14"/>
                                </w:rPr>
                              </w:pPr>
                              <w:r>
                                <w:rPr>
                                  <w:rFonts w:ascii="Arial MT"/>
                                  <w:spacing w:val="-2"/>
                                  <w:w w:val="80"/>
                                  <w:sz w:val="14"/>
                                </w:rPr>
                                <w:t>India</w:t>
                              </w:r>
                              <w:r>
                                <w:rPr>
                                  <w:rFonts w:ascii="Arial MT"/>
                                  <w:spacing w:val="40"/>
                                  <w:sz w:val="14"/>
                                </w:rPr>
                                <w:t> </w:t>
                              </w:r>
                              <w:r>
                                <w:rPr>
                                  <w:rFonts w:ascii="Arial MT"/>
                                  <w:spacing w:val="-2"/>
                                  <w:w w:val="80"/>
                                  <w:sz w:val="14"/>
                                </w:rPr>
                                <w:t>Thailand</w:t>
                              </w:r>
                            </w:p>
                            <w:p>
                              <w:pPr>
                                <w:spacing w:line="161" w:lineRule="exact" w:before="0"/>
                                <w:ind w:left="0" w:right="24" w:firstLine="0"/>
                                <w:jc w:val="right"/>
                                <w:rPr>
                                  <w:rFonts w:ascii="Arial MT"/>
                                  <w:sz w:val="14"/>
                                </w:rPr>
                              </w:pPr>
                              <w:r>
                                <w:rPr>
                                  <w:rFonts w:ascii="Arial MT"/>
                                  <w:spacing w:val="-2"/>
                                  <w:w w:val="90"/>
                                  <w:sz w:val="14"/>
                                </w:rPr>
                                <w:t>Mexico</w:t>
                              </w:r>
                            </w:p>
                          </w:txbxContent>
                        </wps:txbx>
                        <wps:bodyPr wrap="square" lIns="0" tIns="0" rIns="0" bIns="0" rtlCol="0">
                          <a:noAutofit/>
                        </wps:bodyPr>
                      </wps:wsp>
                      <wps:wsp>
                        <wps:cNvPr id="2190" name="Textbox 2190"/>
                        <wps:cNvSpPr txBox="1"/>
                        <wps:spPr>
                          <a:xfrm>
                            <a:off x="1068900" y="2310052"/>
                            <a:ext cx="19558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20.00</w:t>
                              </w:r>
                            </w:p>
                          </w:txbxContent>
                        </wps:txbx>
                        <wps:bodyPr wrap="square" lIns="0" tIns="0" rIns="0" bIns="0" rtlCol="0">
                          <a:noAutofit/>
                        </wps:bodyPr>
                      </wps:wsp>
                      <wps:wsp>
                        <wps:cNvPr id="2191" name="Textbox 2191"/>
                        <wps:cNvSpPr txBox="1"/>
                        <wps:spPr>
                          <a:xfrm>
                            <a:off x="1680601" y="2310052"/>
                            <a:ext cx="19558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40.00</w:t>
                              </w:r>
                            </w:p>
                          </w:txbxContent>
                        </wps:txbx>
                        <wps:bodyPr wrap="square" lIns="0" tIns="0" rIns="0" bIns="0" rtlCol="0">
                          <a:noAutofit/>
                        </wps:bodyPr>
                      </wps:wsp>
                      <wps:wsp>
                        <wps:cNvPr id="2192" name="Textbox 2192"/>
                        <wps:cNvSpPr txBox="1"/>
                        <wps:spPr>
                          <a:xfrm>
                            <a:off x="2292302" y="2310052"/>
                            <a:ext cx="19558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60.00</w:t>
                              </w:r>
                            </w:p>
                          </w:txbxContent>
                        </wps:txbx>
                        <wps:bodyPr wrap="square" lIns="0" tIns="0" rIns="0" bIns="0" rtlCol="0">
                          <a:noAutofit/>
                        </wps:bodyPr>
                      </wps:wsp>
                      <wps:wsp>
                        <wps:cNvPr id="2193" name="Textbox 2193"/>
                        <wps:cNvSpPr txBox="1"/>
                        <wps:spPr>
                          <a:xfrm>
                            <a:off x="2904002" y="2310052"/>
                            <a:ext cx="19558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80.00</w:t>
                              </w:r>
                            </w:p>
                          </w:txbxContent>
                        </wps:txbx>
                        <wps:bodyPr wrap="square" lIns="0" tIns="0" rIns="0" bIns="0" rtlCol="0">
                          <a:noAutofit/>
                        </wps:bodyPr>
                      </wps:wsp>
                      <wps:wsp>
                        <wps:cNvPr id="2194" name="Textbox 2194"/>
                        <wps:cNvSpPr txBox="1"/>
                        <wps:spPr>
                          <a:xfrm>
                            <a:off x="3495431" y="2310052"/>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100.00</w:t>
                              </w:r>
                            </w:p>
                          </w:txbxContent>
                        </wps:txbx>
                        <wps:bodyPr wrap="square" lIns="0" tIns="0" rIns="0" bIns="0" rtlCol="0">
                          <a:noAutofit/>
                        </wps:bodyPr>
                      </wps:wsp>
                      <wps:wsp>
                        <wps:cNvPr id="2195" name="Textbox 2195"/>
                        <wps:cNvSpPr txBox="1"/>
                        <wps:spPr>
                          <a:xfrm>
                            <a:off x="4107133" y="2310052"/>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120.00</w:t>
                              </w:r>
                            </w:p>
                          </w:txbxContent>
                        </wps:txbx>
                        <wps:bodyPr wrap="square" lIns="0" tIns="0" rIns="0" bIns="0" rtlCol="0">
                          <a:noAutofit/>
                        </wps:bodyPr>
                      </wps:wsp>
                      <wps:wsp>
                        <wps:cNvPr id="2196" name="Textbox 2196"/>
                        <wps:cNvSpPr txBox="1"/>
                        <wps:spPr>
                          <a:xfrm>
                            <a:off x="4718833" y="2310052"/>
                            <a:ext cx="2362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140.00</w:t>
                              </w:r>
                            </w:p>
                          </w:txbxContent>
                        </wps:txbx>
                        <wps:bodyPr wrap="square" lIns="0" tIns="0" rIns="0" bIns="0" rtlCol="0">
                          <a:noAutofit/>
                        </wps:bodyPr>
                      </wps:wsp>
                    </wpg:wgp>
                  </a:graphicData>
                </a:graphic>
              </wp:anchor>
            </w:drawing>
          </mc:Choice>
          <mc:Fallback>
            <w:pict>
              <v:group style="position:absolute;margin-left:96.909439pt;margin-top:5.451172pt;width:403.35pt;height:195.6pt;mso-position-horizontal-relative:page;mso-position-vertical-relative:paragraph;z-index:-15571968;mso-wrap-distance-left:0;mso-wrap-distance-right:0" id="docshapegroup2141" coordorigin="1938,109" coordsize="8067,3912">
                <v:shape style="position:absolute;left:1938;top:109;width:8067;height:3912" id="docshape2142" coordorigin="1938,109" coordsize="8067,3912" path="m10005,109l9995,109,9995,120,9995,4011,9995,4012,9995,4017,9995,4017,1943,4017,1943,4017,1948,4017,9995,4017,9995,4012,1948,4012,1943,4012,1943,4011,1948,4011,1948,120,9995,120,9995,109,1938,109,1938,115,1938,119,1938,4011,1938,4017,1938,4021,10005,4021,10005,4017,10000,4017,10000,4017,10005,4017,10005,4012,10000,4012,10000,4011,10005,4011,10005,120,10005,119,10005,115,10005,109xe" filled="true" fillcolor="#000000" stroked="false">
                  <v:path arrowok="t"/>
                  <v:fill type="solid"/>
                </v:shape>
                <v:shape style="position:absolute;left:2799;top:302;width:5861;height:3322" id="docshape2143" coordorigin="2799,303" coordsize="5861,3322" path="m2826,3485l2799,3485,2799,3624,2826,3624,2826,3485xm2893,3263l2799,3263,2799,3416,2893,3416,2893,3263xm2906,3054l2799,3054,2799,3193,2906,3193,2906,3054xm2946,2846l2799,2846,2799,2985,2946,2985,2946,2846xm2960,2638l2799,2638,2799,2777,2960,2777,2960,2638xm3027,2415l2799,2415,2799,2568,3027,2568,3027,2415xm3040,2207l2799,2207,2799,2346,3040,2346,3040,2207xm3200,1998l2799,1998,2799,2137,3200,2137,3200,1998xm3281,1790l2799,1790,2799,1929,3281,1929,3281,1790xm3334,1567l2799,1567,2799,1720,3334,1720,3334,1567xm3736,1359l2799,1359,2799,1498,3736,1498,3736,1359xm3749,1150l2799,1150,2799,1289,3749,1289,3749,1150xm3936,942l2799,942,2799,1081,3936,1081,3936,942xm4365,720l2799,720,2799,872,4365,872,4365,720xm6974,511l2799,511,2799,650,6974,650,6974,511xm8660,303l2799,303,2799,442,8660,442,8660,303xe" filled="true" fillcolor="#2f7d41" stroked="false">
                  <v:path arrowok="t"/>
                  <v:fill type="solid"/>
                </v:shape>
                <v:shape style="position:absolute;left:2740;top:255;width:6807;height:3457" id="docshape2144" coordorigin="2741,256" coordsize="6807,3457" path="m9548,3647l9548,3647,2804,3647,2804,256,2794,256,2741,256,2741,266,2794,266,2794,464,2741,464,2741,474,2794,474,2794,673,2741,673,2741,683,2794,683,2794,895,2741,895,2741,905,2794,905,2794,1104,2741,1104,2741,1114,2794,1114,2794,1312,2741,1312,2741,1322,2794,1322,2794,1521,2741,1521,2741,1531,2794,1531,2794,1743,2741,1743,2741,1753,2794,1753,2794,1952,2741,1952,2741,1962,2794,1962,2794,2160,2741,2160,2741,2170,2794,2170,2794,2368,2741,2368,2741,2378,2794,2378,2794,2591,2741,2591,2741,2601,2794,2601,2794,2799,2741,2799,2741,2809,2794,2809,2794,3008,2741,3008,2741,3018,2794,3018,2794,3216,2741,3216,2741,3226,2794,3226,2794,3439,2741,3439,2741,3449,2794,3449,2794,3647,2741,3647,2741,3657,2794,3657,2794,3713,2804,3713,2804,3657,3758,3657,3758,3713,3768,3713,3768,3657,4721,3657,4721,3713,4731,3713,4731,3657,5684,3657,5684,3713,5694,3713,5694,3657,6648,3657,6648,3713,6658,3713,6658,3657,7611,3657,7611,3713,7621,3713,7621,3657,8574,3657,8574,3713,8584,3713,8584,3657,9538,3657,9538,3713,9548,3713,9548,3647xe" filled="true" fillcolor="#000000" stroked="false">
                  <v:path arrowok="t"/>
                  <v:fill type="solid"/>
                </v:shape>
                <v:shape style="position:absolute;left:2122;top:250;width:550;height:3371" type="#_x0000_t202" id="docshape2145" filled="false" stroked="false">
                  <v:textbox inset="0,0,0,0">
                    <w:txbxContent>
                      <w:p>
                        <w:pPr>
                          <w:spacing w:line="319" w:lineRule="auto" w:before="0"/>
                          <w:ind w:left="172" w:right="18" w:firstLine="44"/>
                          <w:jc w:val="right"/>
                          <w:rPr>
                            <w:rFonts w:ascii="Arial MT"/>
                            <w:sz w:val="14"/>
                          </w:rPr>
                        </w:pPr>
                        <w:r>
                          <w:rPr>
                            <w:rFonts w:ascii="Arial MT"/>
                            <w:spacing w:val="-2"/>
                            <w:w w:val="80"/>
                            <w:sz w:val="14"/>
                          </w:rPr>
                          <w:t>Korea</w:t>
                        </w:r>
                        <w:r>
                          <w:rPr>
                            <w:rFonts w:ascii="Arial MT"/>
                            <w:spacing w:val="40"/>
                            <w:sz w:val="14"/>
                          </w:rPr>
                          <w:t> </w:t>
                        </w:r>
                        <w:r>
                          <w:rPr>
                            <w:rFonts w:ascii="Arial MT"/>
                            <w:spacing w:val="-2"/>
                            <w:w w:val="90"/>
                            <w:sz w:val="14"/>
                          </w:rPr>
                          <w:t>Japan</w:t>
                        </w:r>
                        <w:r>
                          <w:rPr>
                            <w:rFonts w:ascii="Arial MT"/>
                            <w:spacing w:val="40"/>
                            <w:sz w:val="14"/>
                          </w:rPr>
                          <w:t> </w:t>
                        </w:r>
                        <w:r>
                          <w:rPr>
                            <w:rFonts w:ascii="Arial MT"/>
                            <w:spacing w:val="-2"/>
                            <w:w w:val="80"/>
                            <w:sz w:val="14"/>
                          </w:rPr>
                          <w:t>Russia</w:t>
                        </w:r>
                        <w:r>
                          <w:rPr>
                            <w:rFonts w:ascii="Arial MT"/>
                            <w:spacing w:val="40"/>
                            <w:sz w:val="14"/>
                          </w:rPr>
                          <w:t> </w:t>
                        </w:r>
                        <w:r>
                          <w:rPr>
                            <w:rFonts w:ascii="Arial MT"/>
                            <w:spacing w:val="-2"/>
                            <w:w w:val="90"/>
                            <w:sz w:val="14"/>
                          </w:rPr>
                          <w:t>China</w:t>
                        </w:r>
                        <w:r>
                          <w:rPr>
                            <w:rFonts w:ascii="Arial MT"/>
                            <w:spacing w:val="40"/>
                            <w:sz w:val="14"/>
                          </w:rPr>
                          <w:t> </w:t>
                        </w:r>
                        <w:r>
                          <w:rPr>
                            <w:rFonts w:ascii="Arial MT"/>
                            <w:spacing w:val="-4"/>
                            <w:w w:val="90"/>
                            <w:sz w:val="14"/>
                          </w:rPr>
                          <w:t>USA</w:t>
                        </w:r>
                      </w:p>
                      <w:p>
                        <w:pPr>
                          <w:spacing w:line="319" w:lineRule="auto" w:before="0"/>
                          <w:ind w:left="146" w:right="24" w:hanging="96"/>
                          <w:jc w:val="right"/>
                          <w:rPr>
                            <w:rFonts w:ascii="Arial MT"/>
                            <w:sz w:val="14"/>
                          </w:rPr>
                        </w:pPr>
                        <w:r>
                          <w:rPr>
                            <w:rFonts w:ascii="Arial MT"/>
                            <w:spacing w:val="-2"/>
                            <w:w w:val="80"/>
                            <w:sz w:val="14"/>
                          </w:rPr>
                          <w:t>Germany</w:t>
                        </w:r>
                        <w:r>
                          <w:rPr>
                            <w:rFonts w:ascii="Arial MT"/>
                            <w:spacing w:val="40"/>
                            <w:sz w:val="14"/>
                          </w:rPr>
                          <w:t> </w:t>
                        </w:r>
                        <w:r>
                          <w:rPr>
                            <w:rFonts w:ascii="Arial MT"/>
                            <w:spacing w:val="-2"/>
                            <w:w w:val="80"/>
                            <w:sz w:val="14"/>
                          </w:rPr>
                          <w:t>Finland</w:t>
                        </w:r>
                      </w:p>
                      <w:p>
                        <w:pPr>
                          <w:spacing w:line="161" w:lineRule="exact" w:before="0"/>
                          <w:ind w:left="363" w:right="0" w:firstLine="0"/>
                          <w:jc w:val="left"/>
                          <w:rPr>
                            <w:rFonts w:ascii="Arial MT"/>
                            <w:sz w:val="14"/>
                          </w:rPr>
                        </w:pPr>
                        <w:r>
                          <w:rPr>
                            <w:rFonts w:ascii="Arial MT"/>
                            <w:spacing w:val="-5"/>
                            <w:w w:val="90"/>
                            <w:sz w:val="14"/>
                          </w:rPr>
                          <w:t>UK</w:t>
                        </w:r>
                      </w:p>
                      <w:p>
                        <w:pPr>
                          <w:spacing w:line="319" w:lineRule="auto" w:before="52"/>
                          <w:ind w:left="0" w:right="24" w:firstLine="166"/>
                          <w:jc w:val="right"/>
                          <w:rPr>
                            <w:rFonts w:ascii="Arial MT"/>
                            <w:sz w:val="14"/>
                          </w:rPr>
                        </w:pPr>
                        <w:r>
                          <w:rPr>
                            <w:rFonts w:ascii="Arial MT"/>
                            <w:spacing w:val="-2"/>
                            <w:w w:val="80"/>
                            <w:sz w:val="14"/>
                          </w:rPr>
                          <w:t>France</w:t>
                        </w:r>
                        <w:r>
                          <w:rPr>
                            <w:rFonts w:ascii="Arial MT"/>
                            <w:spacing w:val="40"/>
                            <w:sz w:val="14"/>
                          </w:rPr>
                          <w:t> </w:t>
                        </w:r>
                        <w:r>
                          <w:rPr>
                            <w:rFonts w:ascii="Arial MT"/>
                            <w:spacing w:val="-2"/>
                            <w:w w:val="90"/>
                            <w:sz w:val="14"/>
                          </w:rPr>
                          <w:t>Canada</w:t>
                        </w:r>
                        <w:r>
                          <w:rPr>
                            <w:rFonts w:ascii="Arial MT"/>
                            <w:spacing w:val="40"/>
                            <w:sz w:val="14"/>
                          </w:rPr>
                          <w:t> </w:t>
                        </w:r>
                        <w:r>
                          <w:rPr>
                            <w:rFonts w:ascii="Arial MT"/>
                            <w:spacing w:val="-2"/>
                            <w:w w:val="90"/>
                            <w:sz w:val="14"/>
                          </w:rPr>
                          <w:t>Australia</w:t>
                        </w:r>
                        <w:r>
                          <w:rPr>
                            <w:rFonts w:ascii="Arial MT"/>
                            <w:spacing w:val="40"/>
                            <w:sz w:val="14"/>
                          </w:rPr>
                          <w:t> </w:t>
                        </w:r>
                        <w:r>
                          <w:rPr>
                            <w:rFonts w:ascii="Arial MT"/>
                            <w:spacing w:val="-2"/>
                            <w:w w:val="90"/>
                            <w:sz w:val="14"/>
                          </w:rPr>
                          <w:t>Brazil</w:t>
                        </w:r>
                        <w:r>
                          <w:rPr>
                            <w:rFonts w:ascii="Arial MT"/>
                            <w:spacing w:val="40"/>
                            <w:sz w:val="14"/>
                          </w:rPr>
                          <w:t> </w:t>
                        </w:r>
                        <w:r>
                          <w:rPr>
                            <w:rFonts w:ascii="Arial MT"/>
                            <w:spacing w:val="-2"/>
                            <w:w w:val="80"/>
                            <w:sz w:val="14"/>
                          </w:rPr>
                          <w:t>Singapore</w:t>
                        </w:r>
                      </w:p>
                      <w:p>
                        <w:pPr>
                          <w:spacing w:line="319" w:lineRule="auto" w:before="0"/>
                          <w:ind w:left="82" w:right="24" w:firstLine="191"/>
                          <w:jc w:val="right"/>
                          <w:rPr>
                            <w:rFonts w:ascii="Arial MT"/>
                            <w:sz w:val="14"/>
                          </w:rPr>
                        </w:pPr>
                        <w:r>
                          <w:rPr>
                            <w:rFonts w:ascii="Arial MT"/>
                            <w:spacing w:val="-2"/>
                            <w:w w:val="80"/>
                            <w:sz w:val="14"/>
                          </w:rPr>
                          <w:t>India</w:t>
                        </w:r>
                        <w:r>
                          <w:rPr>
                            <w:rFonts w:ascii="Arial MT"/>
                            <w:spacing w:val="40"/>
                            <w:sz w:val="14"/>
                          </w:rPr>
                          <w:t> </w:t>
                        </w:r>
                        <w:r>
                          <w:rPr>
                            <w:rFonts w:ascii="Arial MT"/>
                            <w:spacing w:val="-2"/>
                            <w:w w:val="80"/>
                            <w:sz w:val="14"/>
                          </w:rPr>
                          <w:t>Thailand</w:t>
                        </w:r>
                      </w:p>
                      <w:p>
                        <w:pPr>
                          <w:spacing w:line="161" w:lineRule="exact" w:before="0"/>
                          <w:ind w:left="0" w:right="24" w:firstLine="0"/>
                          <w:jc w:val="right"/>
                          <w:rPr>
                            <w:rFonts w:ascii="Arial MT"/>
                            <w:sz w:val="14"/>
                          </w:rPr>
                        </w:pPr>
                        <w:r>
                          <w:rPr>
                            <w:rFonts w:ascii="Arial MT"/>
                            <w:spacing w:val="-2"/>
                            <w:w w:val="90"/>
                            <w:sz w:val="14"/>
                          </w:rPr>
                          <w:t>Mexico</w:t>
                        </w:r>
                      </w:p>
                    </w:txbxContent>
                  </v:textbox>
                  <w10:wrap type="none"/>
                </v:shape>
                <v:shape style="position:absolute;left:3621;top:3746;width:308;height:161" type="#_x0000_t202" id="docshape2146" filled="false" stroked="false">
                  <v:textbox inset="0,0,0,0">
                    <w:txbxContent>
                      <w:p>
                        <w:pPr>
                          <w:spacing w:line="161" w:lineRule="exact" w:before="0"/>
                          <w:ind w:left="0" w:right="0" w:firstLine="0"/>
                          <w:jc w:val="left"/>
                          <w:rPr>
                            <w:rFonts w:ascii="Arial MT"/>
                            <w:sz w:val="14"/>
                          </w:rPr>
                        </w:pPr>
                        <w:r>
                          <w:rPr>
                            <w:rFonts w:ascii="Arial MT"/>
                            <w:spacing w:val="-2"/>
                            <w:w w:val="85"/>
                            <w:sz w:val="14"/>
                          </w:rPr>
                          <w:t>20.00</w:t>
                        </w:r>
                      </w:p>
                    </w:txbxContent>
                  </v:textbox>
                  <w10:wrap type="none"/>
                </v:shape>
                <v:shape style="position:absolute;left:4584;top:3746;width:308;height:161" type="#_x0000_t202" id="docshape2147" filled="false" stroked="false">
                  <v:textbox inset="0,0,0,0">
                    <w:txbxContent>
                      <w:p>
                        <w:pPr>
                          <w:spacing w:line="161" w:lineRule="exact" w:before="0"/>
                          <w:ind w:left="0" w:right="0" w:firstLine="0"/>
                          <w:jc w:val="left"/>
                          <w:rPr>
                            <w:rFonts w:ascii="Arial MT"/>
                            <w:sz w:val="14"/>
                          </w:rPr>
                        </w:pPr>
                        <w:r>
                          <w:rPr>
                            <w:rFonts w:ascii="Arial MT"/>
                            <w:spacing w:val="-2"/>
                            <w:w w:val="85"/>
                            <w:sz w:val="14"/>
                          </w:rPr>
                          <w:t>40.00</w:t>
                        </w:r>
                      </w:p>
                    </w:txbxContent>
                  </v:textbox>
                  <w10:wrap type="none"/>
                </v:shape>
                <v:shape style="position:absolute;left:5548;top:3746;width:308;height:161" type="#_x0000_t202" id="docshape2148" filled="false" stroked="false">
                  <v:textbox inset="0,0,0,0">
                    <w:txbxContent>
                      <w:p>
                        <w:pPr>
                          <w:spacing w:line="161" w:lineRule="exact" w:before="0"/>
                          <w:ind w:left="0" w:right="0" w:firstLine="0"/>
                          <w:jc w:val="left"/>
                          <w:rPr>
                            <w:rFonts w:ascii="Arial MT"/>
                            <w:sz w:val="14"/>
                          </w:rPr>
                        </w:pPr>
                        <w:r>
                          <w:rPr>
                            <w:rFonts w:ascii="Arial MT"/>
                            <w:spacing w:val="-2"/>
                            <w:w w:val="85"/>
                            <w:sz w:val="14"/>
                          </w:rPr>
                          <w:t>60.00</w:t>
                        </w:r>
                      </w:p>
                    </w:txbxContent>
                  </v:textbox>
                  <w10:wrap type="none"/>
                </v:shape>
                <v:shape style="position:absolute;left:6511;top:3746;width:308;height:161" type="#_x0000_t202" id="docshape2149" filled="false" stroked="false">
                  <v:textbox inset="0,0,0,0">
                    <w:txbxContent>
                      <w:p>
                        <w:pPr>
                          <w:spacing w:line="161" w:lineRule="exact" w:before="0"/>
                          <w:ind w:left="0" w:right="0" w:firstLine="0"/>
                          <w:jc w:val="left"/>
                          <w:rPr>
                            <w:rFonts w:ascii="Arial MT"/>
                            <w:sz w:val="14"/>
                          </w:rPr>
                        </w:pPr>
                        <w:r>
                          <w:rPr>
                            <w:rFonts w:ascii="Arial MT"/>
                            <w:spacing w:val="-2"/>
                            <w:w w:val="85"/>
                            <w:sz w:val="14"/>
                          </w:rPr>
                          <w:t>80.00</w:t>
                        </w:r>
                      </w:p>
                    </w:txbxContent>
                  </v:textbox>
                  <w10:wrap type="none"/>
                </v:shape>
                <v:shape style="position:absolute;left:7442;top:3746;width:372;height:161" type="#_x0000_t202" id="docshape2150" filled="false" stroked="false">
                  <v:textbox inset="0,0,0,0">
                    <w:txbxContent>
                      <w:p>
                        <w:pPr>
                          <w:spacing w:line="161" w:lineRule="exact" w:before="0"/>
                          <w:ind w:left="0" w:right="0" w:firstLine="0"/>
                          <w:jc w:val="left"/>
                          <w:rPr>
                            <w:rFonts w:ascii="Arial MT"/>
                            <w:sz w:val="14"/>
                          </w:rPr>
                        </w:pPr>
                        <w:r>
                          <w:rPr>
                            <w:rFonts w:ascii="Arial MT"/>
                            <w:spacing w:val="-2"/>
                            <w:w w:val="85"/>
                            <w:sz w:val="14"/>
                          </w:rPr>
                          <w:t>100.00</w:t>
                        </w:r>
                      </w:p>
                    </w:txbxContent>
                  </v:textbox>
                  <w10:wrap type="none"/>
                </v:shape>
                <v:shape style="position:absolute;left:8406;top:3746;width:372;height:161" type="#_x0000_t202" id="docshape2151" filled="false" stroked="false">
                  <v:textbox inset="0,0,0,0">
                    <w:txbxContent>
                      <w:p>
                        <w:pPr>
                          <w:spacing w:line="161" w:lineRule="exact" w:before="0"/>
                          <w:ind w:left="0" w:right="0" w:firstLine="0"/>
                          <w:jc w:val="left"/>
                          <w:rPr>
                            <w:rFonts w:ascii="Arial MT"/>
                            <w:sz w:val="14"/>
                          </w:rPr>
                        </w:pPr>
                        <w:r>
                          <w:rPr>
                            <w:rFonts w:ascii="Arial MT"/>
                            <w:spacing w:val="-2"/>
                            <w:w w:val="85"/>
                            <w:sz w:val="14"/>
                          </w:rPr>
                          <w:t>120.00</w:t>
                        </w:r>
                      </w:p>
                    </w:txbxContent>
                  </v:textbox>
                  <w10:wrap type="none"/>
                </v:shape>
                <v:shape style="position:absolute;left:9369;top:3746;width:372;height:161" type="#_x0000_t202" id="docshape2152" filled="false" stroked="false">
                  <v:textbox inset="0,0,0,0">
                    <w:txbxContent>
                      <w:p>
                        <w:pPr>
                          <w:spacing w:line="161" w:lineRule="exact" w:before="0"/>
                          <w:ind w:left="0" w:right="0" w:firstLine="0"/>
                          <w:jc w:val="left"/>
                          <w:rPr>
                            <w:rFonts w:ascii="Arial MT"/>
                            <w:sz w:val="14"/>
                          </w:rPr>
                        </w:pPr>
                        <w:r>
                          <w:rPr>
                            <w:rFonts w:ascii="Arial MT"/>
                            <w:spacing w:val="-2"/>
                            <w:w w:val="85"/>
                            <w:sz w:val="14"/>
                          </w:rPr>
                          <w:t>140.00</w:t>
                        </w:r>
                      </w:p>
                    </w:txbxContent>
                  </v:textbox>
                  <w10:wrap type="none"/>
                </v:shape>
                <w10:wrap type="topAndBottom"/>
              </v:group>
            </w:pict>
          </mc:Fallback>
        </mc:AlternateContent>
      </w:r>
    </w:p>
    <w:p>
      <w:pPr>
        <w:spacing w:before="45"/>
        <w:ind w:left="1938" w:right="0" w:firstLine="0"/>
        <w:jc w:val="left"/>
        <w:rPr>
          <w:sz w:val="16"/>
        </w:rPr>
      </w:pPr>
      <w:r>
        <w:rPr>
          <w:i/>
          <w:w w:val="90"/>
          <w:sz w:val="16"/>
        </w:rPr>
        <w:t>Source:</w:t>
      </w:r>
      <w:r>
        <w:rPr>
          <w:i/>
          <w:spacing w:val="8"/>
          <w:sz w:val="16"/>
        </w:rPr>
        <w:t> </w:t>
      </w:r>
      <w:r>
        <w:rPr>
          <w:w w:val="90"/>
          <w:sz w:val="16"/>
        </w:rPr>
        <w:t>WIPO</w:t>
      </w:r>
      <w:r>
        <w:rPr>
          <w:spacing w:val="13"/>
          <w:sz w:val="16"/>
        </w:rPr>
        <w:t> </w:t>
      </w:r>
      <w:r>
        <w:rPr>
          <w:w w:val="90"/>
          <w:sz w:val="16"/>
        </w:rPr>
        <w:t>Statistics</w:t>
      </w:r>
      <w:r>
        <w:rPr>
          <w:spacing w:val="12"/>
          <w:sz w:val="16"/>
        </w:rPr>
        <w:t> </w:t>
      </w:r>
      <w:r>
        <w:rPr>
          <w:spacing w:val="-2"/>
          <w:w w:val="90"/>
          <w:sz w:val="16"/>
        </w:rPr>
        <w:t>Database</w:t>
      </w:r>
    </w:p>
    <w:p>
      <w:pPr>
        <w:pStyle w:val="BodyText"/>
        <w:spacing w:before="146"/>
        <w:rPr>
          <w:sz w:val="24"/>
        </w:rPr>
      </w:pPr>
    </w:p>
    <w:p>
      <w:pPr>
        <w:pStyle w:val="Heading8"/>
        <w:ind w:left="2013"/>
      </w:pPr>
      <w:r>
        <w:rPr/>
        <mc:AlternateContent>
          <mc:Choice Requires="wps">
            <w:drawing>
              <wp:anchor distT="0" distB="0" distL="0" distR="0" allowOverlap="1" layoutInCell="1" locked="0" behindDoc="0" simplePos="0" relativeHeight="15885824">
                <wp:simplePos x="0" y="0"/>
                <wp:positionH relativeFrom="page">
                  <wp:posOffset>1278531</wp:posOffset>
                </wp:positionH>
                <wp:positionV relativeFrom="paragraph">
                  <wp:posOffset>255617</wp:posOffset>
                </wp:positionV>
                <wp:extent cx="5093970" cy="2303145"/>
                <wp:effectExtent l="0" t="0" r="0" b="0"/>
                <wp:wrapNone/>
                <wp:docPr id="2197" name="Group 2197"/>
                <wp:cNvGraphicFramePr>
                  <a:graphicFrameLocks/>
                </wp:cNvGraphicFramePr>
                <a:graphic>
                  <a:graphicData uri="http://schemas.microsoft.com/office/word/2010/wordprocessingGroup">
                    <wpg:wgp>
                      <wpg:cNvPr id="2197" name="Group 2197"/>
                      <wpg:cNvGrpSpPr/>
                      <wpg:grpSpPr>
                        <a:xfrm>
                          <a:off x="0" y="0"/>
                          <a:ext cx="5093970" cy="2303145"/>
                          <a:chExt cx="5093970" cy="2303145"/>
                        </a:xfrm>
                      </wpg:grpSpPr>
                      <wps:wsp>
                        <wps:cNvPr id="2198" name="Graphic 2198"/>
                        <wps:cNvSpPr/>
                        <wps:spPr>
                          <a:xfrm>
                            <a:off x="431066" y="294418"/>
                            <a:ext cx="4459605" cy="1624330"/>
                          </a:xfrm>
                          <a:custGeom>
                            <a:avLst/>
                            <a:gdLst/>
                            <a:ahLst/>
                            <a:cxnLst/>
                            <a:rect l="l" t="t" r="r" b="b"/>
                            <a:pathLst>
                              <a:path w="4459605" h="1624330">
                                <a:moveTo>
                                  <a:pt x="175031" y="0"/>
                                </a:moveTo>
                                <a:lnTo>
                                  <a:pt x="0" y="0"/>
                                </a:lnTo>
                                <a:lnTo>
                                  <a:pt x="0" y="1623860"/>
                                </a:lnTo>
                                <a:lnTo>
                                  <a:pt x="175031" y="1623860"/>
                                </a:lnTo>
                                <a:lnTo>
                                  <a:pt x="175031" y="0"/>
                                </a:lnTo>
                                <a:close/>
                              </a:path>
                              <a:path w="4459605" h="1624330">
                                <a:moveTo>
                                  <a:pt x="466750" y="644245"/>
                                </a:moveTo>
                                <a:lnTo>
                                  <a:pt x="283375" y="644245"/>
                                </a:lnTo>
                                <a:lnTo>
                                  <a:pt x="283375" y="1623860"/>
                                </a:lnTo>
                                <a:lnTo>
                                  <a:pt x="466750" y="1623860"/>
                                </a:lnTo>
                                <a:lnTo>
                                  <a:pt x="466750" y="644245"/>
                                </a:lnTo>
                                <a:close/>
                              </a:path>
                              <a:path w="4459605" h="1624330">
                                <a:moveTo>
                                  <a:pt x="750125" y="856056"/>
                                </a:moveTo>
                                <a:lnTo>
                                  <a:pt x="575094" y="856056"/>
                                </a:lnTo>
                                <a:lnTo>
                                  <a:pt x="575094" y="1623860"/>
                                </a:lnTo>
                                <a:lnTo>
                                  <a:pt x="750125" y="1623860"/>
                                </a:lnTo>
                                <a:lnTo>
                                  <a:pt x="750125" y="856056"/>
                                </a:lnTo>
                                <a:close/>
                              </a:path>
                              <a:path w="4459605" h="1624330">
                                <a:moveTo>
                                  <a:pt x="1033500" y="917829"/>
                                </a:moveTo>
                                <a:lnTo>
                                  <a:pt x="858469" y="917829"/>
                                </a:lnTo>
                                <a:lnTo>
                                  <a:pt x="858469" y="1623860"/>
                                </a:lnTo>
                                <a:lnTo>
                                  <a:pt x="1033500" y="1623860"/>
                                </a:lnTo>
                                <a:lnTo>
                                  <a:pt x="1033500" y="917829"/>
                                </a:lnTo>
                                <a:close/>
                              </a:path>
                              <a:path w="4459605" h="1624330">
                                <a:moveTo>
                                  <a:pt x="1316875" y="1350276"/>
                                </a:moveTo>
                                <a:lnTo>
                                  <a:pt x="1141844" y="1350276"/>
                                </a:lnTo>
                                <a:lnTo>
                                  <a:pt x="1141844" y="1623860"/>
                                </a:lnTo>
                                <a:lnTo>
                                  <a:pt x="1316875" y="1623860"/>
                                </a:lnTo>
                                <a:lnTo>
                                  <a:pt x="1316875" y="1350276"/>
                                </a:lnTo>
                                <a:close/>
                              </a:path>
                              <a:path w="4459605" h="1624330">
                                <a:moveTo>
                                  <a:pt x="1608594" y="1385570"/>
                                </a:moveTo>
                                <a:lnTo>
                                  <a:pt x="1425232" y="1385570"/>
                                </a:lnTo>
                                <a:lnTo>
                                  <a:pt x="1425232" y="1623860"/>
                                </a:lnTo>
                                <a:lnTo>
                                  <a:pt x="1608594" y="1623860"/>
                                </a:lnTo>
                                <a:lnTo>
                                  <a:pt x="1608594" y="1385570"/>
                                </a:lnTo>
                                <a:close/>
                              </a:path>
                              <a:path w="4459605" h="1624330">
                                <a:moveTo>
                                  <a:pt x="1891969" y="1394409"/>
                                </a:moveTo>
                                <a:lnTo>
                                  <a:pt x="1716938" y="1394409"/>
                                </a:lnTo>
                                <a:lnTo>
                                  <a:pt x="1716938" y="1623860"/>
                                </a:lnTo>
                                <a:lnTo>
                                  <a:pt x="1891969" y="1623860"/>
                                </a:lnTo>
                                <a:lnTo>
                                  <a:pt x="1891969" y="1394409"/>
                                </a:lnTo>
                                <a:close/>
                              </a:path>
                              <a:path w="4459605" h="1624330">
                                <a:moveTo>
                                  <a:pt x="2175345" y="1447355"/>
                                </a:moveTo>
                                <a:lnTo>
                                  <a:pt x="2000313" y="1447355"/>
                                </a:lnTo>
                                <a:lnTo>
                                  <a:pt x="2000313" y="1623860"/>
                                </a:lnTo>
                                <a:lnTo>
                                  <a:pt x="2175345" y="1623860"/>
                                </a:lnTo>
                                <a:lnTo>
                                  <a:pt x="2175345" y="1447355"/>
                                </a:lnTo>
                                <a:close/>
                              </a:path>
                              <a:path w="4459605" h="1624330">
                                <a:moveTo>
                                  <a:pt x="2458720" y="1473835"/>
                                </a:moveTo>
                                <a:lnTo>
                                  <a:pt x="2283688" y="1473835"/>
                                </a:lnTo>
                                <a:lnTo>
                                  <a:pt x="2283688" y="1623860"/>
                                </a:lnTo>
                                <a:lnTo>
                                  <a:pt x="2458720" y="1623860"/>
                                </a:lnTo>
                                <a:lnTo>
                                  <a:pt x="2458720" y="1473835"/>
                                </a:lnTo>
                                <a:close/>
                              </a:path>
                              <a:path w="4459605" h="1624330">
                                <a:moveTo>
                                  <a:pt x="2750451" y="1509128"/>
                                </a:moveTo>
                                <a:lnTo>
                                  <a:pt x="2567089" y="1509128"/>
                                </a:lnTo>
                                <a:lnTo>
                                  <a:pt x="2567089" y="1623860"/>
                                </a:lnTo>
                                <a:lnTo>
                                  <a:pt x="2750451" y="1623860"/>
                                </a:lnTo>
                                <a:lnTo>
                                  <a:pt x="2750451" y="1509128"/>
                                </a:lnTo>
                                <a:close/>
                              </a:path>
                              <a:path w="4459605" h="1624330">
                                <a:moveTo>
                                  <a:pt x="3033814" y="1509128"/>
                                </a:moveTo>
                                <a:lnTo>
                                  <a:pt x="2858795" y="1509128"/>
                                </a:lnTo>
                                <a:lnTo>
                                  <a:pt x="2858795" y="1623860"/>
                                </a:lnTo>
                                <a:lnTo>
                                  <a:pt x="3033814" y="1623860"/>
                                </a:lnTo>
                                <a:lnTo>
                                  <a:pt x="3033814" y="1509128"/>
                                </a:lnTo>
                                <a:close/>
                              </a:path>
                              <a:path w="4459605" h="1624330">
                                <a:moveTo>
                                  <a:pt x="3317202" y="1526768"/>
                                </a:moveTo>
                                <a:lnTo>
                                  <a:pt x="3142183" y="1526768"/>
                                </a:lnTo>
                                <a:lnTo>
                                  <a:pt x="3142183" y="1623860"/>
                                </a:lnTo>
                                <a:lnTo>
                                  <a:pt x="3317202" y="1623860"/>
                                </a:lnTo>
                                <a:lnTo>
                                  <a:pt x="3317202" y="1526768"/>
                                </a:lnTo>
                                <a:close/>
                              </a:path>
                              <a:path w="4459605" h="1624330">
                                <a:moveTo>
                                  <a:pt x="3600577" y="1535607"/>
                                </a:moveTo>
                                <a:lnTo>
                                  <a:pt x="3425545" y="1535607"/>
                                </a:lnTo>
                                <a:lnTo>
                                  <a:pt x="3425545" y="1623860"/>
                                </a:lnTo>
                                <a:lnTo>
                                  <a:pt x="3600577" y="1623860"/>
                                </a:lnTo>
                                <a:lnTo>
                                  <a:pt x="3600577" y="1535607"/>
                                </a:lnTo>
                                <a:close/>
                              </a:path>
                              <a:path w="4459605" h="1624330">
                                <a:moveTo>
                                  <a:pt x="3892296" y="1535607"/>
                                </a:moveTo>
                                <a:lnTo>
                                  <a:pt x="3708920" y="1535607"/>
                                </a:lnTo>
                                <a:lnTo>
                                  <a:pt x="3708920" y="1623860"/>
                                </a:lnTo>
                                <a:lnTo>
                                  <a:pt x="3892296" y="1623860"/>
                                </a:lnTo>
                                <a:lnTo>
                                  <a:pt x="3892296" y="1535607"/>
                                </a:lnTo>
                                <a:close/>
                              </a:path>
                              <a:path w="4459605" h="1624330">
                                <a:moveTo>
                                  <a:pt x="4175671" y="1570901"/>
                                </a:moveTo>
                                <a:lnTo>
                                  <a:pt x="4000639" y="1570901"/>
                                </a:lnTo>
                                <a:lnTo>
                                  <a:pt x="4000639" y="1623860"/>
                                </a:lnTo>
                                <a:lnTo>
                                  <a:pt x="4175671" y="1623860"/>
                                </a:lnTo>
                                <a:lnTo>
                                  <a:pt x="4175671" y="1570901"/>
                                </a:lnTo>
                                <a:close/>
                              </a:path>
                              <a:path w="4459605" h="1624330">
                                <a:moveTo>
                                  <a:pt x="4459046" y="1570901"/>
                                </a:moveTo>
                                <a:lnTo>
                                  <a:pt x="4284015" y="1570901"/>
                                </a:lnTo>
                                <a:lnTo>
                                  <a:pt x="4284015" y="1623860"/>
                                </a:lnTo>
                                <a:lnTo>
                                  <a:pt x="4459046" y="1623860"/>
                                </a:lnTo>
                                <a:lnTo>
                                  <a:pt x="4459046" y="1570901"/>
                                </a:lnTo>
                                <a:close/>
                              </a:path>
                            </a:pathLst>
                          </a:custGeom>
                          <a:solidFill>
                            <a:srgbClr val="2E614A"/>
                          </a:solidFill>
                        </wps:spPr>
                        <wps:bodyPr wrap="square" lIns="0" tIns="0" rIns="0" bIns="0" rtlCol="0">
                          <a:prstTxWarp prst="textNoShape">
                            <a:avLst/>
                          </a:prstTxWarp>
                          <a:noAutofit/>
                        </wps:bodyPr>
                      </wps:wsp>
                      <wps:wsp>
                        <wps:cNvPr id="2199" name="Graphic 2199"/>
                        <wps:cNvSpPr/>
                        <wps:spPr>
                          <a:xfrm>
                            <a:off x="344731" y="176524"/>
                            <a:ext cx="4606925" cy="1780539"/>
                          </a:xfrm>
                          <a:custGeom>
                            <a:avLst/>
                            <a:gdLst/>
                            <a:ahLst/>
                            <a:cxnLst/>
                            <a:rect l="l" t="t" r="r" b="b"/>
                            <a:pathLst>
                              <a:path w="4606925" h="1780539">
                                <a:moveTo>
                                  <a:pt x="4606709" y="1738579"/>
                                </a:moveTo>
                                <a:lnTo>
                                  <a:pt x="4606709" y="1738579"/>
                                </a:lnTo>
                                <a:lnTo>
                                  <a:pt x="39687" y="1738579"/>
                                </a:lnTo>
                                <a:lnTo>
                                  <a:pt x="39687" y="0"/>
                                </a:lnTo>
                                <a:lnTo>
                                  <a:pt x="33337" y="0"/>
                                </a:lnTo>
                                <a:lnTo>
                                  <a:pt x="0" y="0"/>
                                </a:lnTo>
                                <a:lnTo>
                                  <a:pt x="0" y="6350"/>
                                </a:lnTo>
                                <a:lnTo>
                                  <a:pt x="33337" y="6350"/>
                                </a:lnTo>
                                <a:lnTo>
                                  <a:pt x="33337" y="291223"/>
                                </a:lnTo>
                                <a:lnTo>
                                  <a:pt x="0" y="291223"/>
                                </a:lnTo>
                                <a:lnTo>
                                  <a:pt x="0" y="297573"/>
                                </a:lnTo>
                                <a:lnTo>
                                  <a:pt x="33337" y="297573"/>
                                </a:lnTo>
                                <a:lnTo>
                                  <a:pt x="33337" y="582460"/>
                                </a:lnTo>
                                <a:lnTo>
                                  <a:pt x="0" y="582460"/>
                                </a:lnTo>
                                <a:lnTo>
                                  <a:pt x="0" y="588810"/>
                                </a:lnTo>
                                <a:lnTo>
                                  <a:pt x="33337" y="588810"/>
                                </a:lnTo>
                                <a:lnTo>
                                  <a:pt x="33337" y="873696"/>
                                </a:lnTo>
                                <a:lnTo>
                                  <a:pt x="0" y="873696"/>
                                </a:lnTo>
                                <a:lnTo>
                                  <a:pt x="0" y="880046"/>
                                </a:lnTo>
                                <a:lnTo>
                                  <a:pt x="33337" y="880046"/>
                                </a:lnTo>
                                <a:lnTo>
                                  <a:pt x="33337" y="1156106"/>
                                </a:lnTo>
                                <a:lnTo>
                                  <a:pt x="0" y="1156106"/>
                                </a:lnTo>
                                <a:lnTo>
                                  <a:pt x="0" y="1162456"/>
                                </a:lnTo>
                                <a:lnTo>
                                  <a:pt x="33337" y="1162456"/>
                                </a:lnTo>
                                <a:lnTo>
                                  <a:pt x="33337" y="1447342"/>
                                </a:lnTo>
                                <a:lnTo>
                                  <a:pt x="0" y="1447342"/>
                                </a:lnTo>
                                <a:lnTo>
                                  <a:pt x="0" y="1453692"/>
                                </a:lnTo>
                                <a:lnTo>
                                  <a:pt x="33337" y="1453692"/>
                                </a:lnTo>
                                <a:lnTo>
                                  <a:pt x="33337" y="1738579"/>
                                </a:lnTo>
                                <a:lnTo>
                                  <a:pt x="0" y="1738579"/>
                                </a:lnTo>
                                <a:lnTo>
                                  <a:pt x="0" y="1744929"/>
                                </a:lnTo>
                                <a:lnTo>
                                  <a:pt x="33337" y="1744929"/>
                                </a:lnTo>
                                <a:lnTo>
                                  <a:pt x="33337" y="1780222"/>
                                </a:lnTo>
                                <a:lnTo>
                                  <a:pt x="39687" y="1780222"/>
                                </a:lnTo>
                                <a:lnTo>
                                  <a:pt x="39687" y="1744929"/>
                                </a:lnTo>
                                <a:lnTo>
                                  <a:pt x="316699" y="1744929"/>
                                </a:lnTo>
                                <a:lnTo>
                                  <a:pt x="316699" y="1780222"/>
                                </a:lnTo>
                                <a:lnTo>
                                  <a:pt x="323049" y="1780222"/>
                                </a:lnTo>
                                <a:lnTo>
                                  <a:pt x="323049" y="1744929"/>
                                </a:lnTo>
                                <a:lnTo>
                                  <a:pt x="608380" y="1744929"/>
                                </a:lnTo>
                                <a:lnTo>
                                  <a:pt x="608380" y="1780222"/>
                                </a:lnTo>
                                <a:lnTo>
                                  <a:pt x="614730" y="1780222"/>
                                </a:lnTo>
                                <a:lnTo>
                                  <a:pt x="614730" y="1744929"/>
                                </a:lnTo>
                                <a:lnTo>
                                  <a:pt x="891743" y="1744929"/>
                                </a:lnTo>
                                <a:lnTo>
                                  <a:pt x="891743" y="1780222"/>
                                </a:lnTo>
                                <a:lnTo>
                                  <a:pt x="898093" y="1780222"/>
                                </a:lnTo>
                                <a:lnTo>
                                  <a:pt x="898093" y="1744929"/>
                                </a:lnTo>
                                <a:lnTo>
                                  <a:pt x="1175092" y="1744929"/>
                                </a:lnTo>
                                <a:lnTo>
                                  <a:pt x="1175092" y="1780222"/>
                                </a:lnTo>
                                <a:lnTo>
                                  <a:pt x="1181442" y="1780222"/>
                                </a:lnTo>
                                <a:lnTo>
                                  <a:pt x="1181442" y="1744929"/>
                                </a:lnTo>
                                <a:lnTo>
                                  <a:pt x="1458442" y="1744929"/>
                                </a:lnTo>
                                <a:lnTo>
                                  <a:pt x="1458442" y="1780222"/>
                                </a:lnTo>
                                <a:lnTo>
                                  <a:pt x="1464792" y="1780222"/>
                                </a:lnTo>
                                <a:lnTo>
                                  <a:pt x="1464792" y="1744929"/>
                                </a:lnTo>
                                <a:lnTo>
                                  <a:pt x="1750136" y="1744929"/>
                                </a:lnTo>
                                <a:lnTo>
                                  <a:pt x="1750136" y="1780222"/>
                                </a:lnTo>
                                <a:lnTo>
                                  <a:pt x="1756486" y="1780222"/>
                                </a:lnTo>
                                <a:lnTo>
                                  <a:pt x="1756486" y="1744929"/>
                                </a:lnTo>
                                <a:lnTo>
                                  <a:pt x="2033498" y="1744929"/>
                                </a:lnTo>
                                <a:lnTo>
                                  <a:pt x="2033498" y="1780222"/>
                                </a:lnTo>
                                <a:lnTo>
                                  <a:pt x="2039848" y="1780222"/>
                                </a:lnTo>
                                <a:lnTo>
                                  <a:pt x="2039848" y="1744929"/>
                                </a:lnTo>
                                <a:lnTo>
                                  <a:pt x="2316861" y="1744929"/>
                                </a:lnTo>
                                <a:lnTo>
                                  <a:pt x="2316861" y="1780222"/>
                                </a:lnTo>
                                <a:lnTo>
                                  <a:pt x="2323211" y="1780222"/>
                                </a:lnTo>
                                <a:lnTo>
                                  <a:pt x="2323211" y="1744929"/>
                                </a:lnTo>
                                <a:lnTo>
                                  <a:pt x="2600210" y="1744929"/>
                                </a:lnTo>
                                <a:lnTo>
                                  <a:pt x="2600210" y="1780222"/>
                                </a:lnTo>
                                <a:lnTo>
                                  <a:pt x="2606560" y="1780222"/>
                                </a:lnTo>
                                <a:lnTo>
                                  <a:pt x="2606560" y="1744929"/>
                                </a:lnTo>
                                <a:lnTo>
                                  <a:pt x="2891904" y="1744929"/>
                                </a:lnTo>
                                <a:lnTo>
                                  <a:pt x="2891904" y="1780222"/>
                                </a:lnTo>
                                <a:lnTo>
                                  <a:pt x="2898254" y="1780222"/>
                                </a:lnTo>
                                <a:lnTo>
                                  <a:pt x="2898254" y="1744929"/>
                                </a:lnTo>
                                <a:lnTo>
                                  <a:pt x="3175254" y="1744929"/>
                                </a:lnTo>
                                <a:lnTo>
                                  <a:pt x="3175254" y="1780222"/>
                                </a:lnTo>
                                <a:lnTo>
                                  <a:pt x="3181604" y="1780222"/>
                                </a:lnTo>
                                <a:lnTo>
                                  <a:pt x="3181604" y="1744929"/>
                                </a:lnTo>
                                <a:lnTo>
                                  <a:pt x="3458603" y="1744929"/>
                                </a:lnTo>
                                <a:lnTo>
                                  <a:pt x="3458603" y="1780222"/>
                                </a:lnTo>
                                <a:lnTo>
                                  <a:pt x="3464953" y="1780222"/>
                                </a:lnTo>
                                <a:lnTo>
                                  <a:pt x="3464953" y="1744929"/>
                                </a:lnTo>
                                <a:lnTo>
                                  <a:pt x="3741966" y="1744929"/>
                                </a:lnTo>
                                <a:lnTo>
                                  <a:pt x="3741966" y="1780222"/>
                                </a:lnTo>
                                <a:lnTo>
                                  <a:pt x="3748316" y="1780222"/>
                                </a:lnTo>
                                <a:lnTo>
                                  <a:pt x="3748316" y="1744929"/>
                                </a:lnTo>
                                <a:lnTo>
                                  <a:pt x="4033647" y="1744929"/>
                                </a:lnTo>
                                <a:lnTo>
                                  <a:pt x="4033647" y="1780222"/>
                                </a:lnTo>
                                <a:lnTo>
                                  <a:pt x="4039997" y="1780222"/>
                                </a:lnTo>
                                <a:lnTo>
                                  <a:pt x="4039997" y="1744929"/>
                                </a:lnTo>
                                <a:lnTo>
                                  <a:pt x="4317009" y="1744929"/>
                                </a:lnTo>
                                <a:lnTo>
                                  <a:pt x="4317009" y="1780222"/>
                                </a:lnTo>
                                <a:lnTo>
                                  <a:pt x="4323359" y="1780222"/>
                                </a:lnTo>
                                <a:lnTo>
                                  <a:pt x="4323359" y="1744929"/>
                                </a:lnTo>
                                <a:lnTo>
                                  <a:pt x="4606709" y="1744929"/>
                                </a:lnTo>
                                <a:lnTo>
                                  <a:pt x="4606709" y="1738579"/>
                                </a:lnTo>
                                <a:close/>
                              </a:path>
                            </a:pathLst>
                          </a:custGeom>
                          <a:solidFill>
                            <a:srgbClr val="000000"/>
                          </a:solidFill>
                        </wps:spPr>
                        <wps:bodyPr wrap="square" lIns="0" tIns="0" rIns="0" bIns="0" rtlCol="0">
                          <a:prstTxWarp prst="textNoShape">
                            <a:avLst/>
                          </a:prstTxWarp>
                          <a:noAutofit/>
                        </wps:bodyPr>
                      </wps:wsp>
                      <wps:wsp>
                        <wps:cNvPr id="2200" name="Textbox 2200"/>
                        <wps:cNvSpPr txBox="1"/>
                        <wps:spPr>
                          <a:xfrm>
                            <a:off x="3175" y="3175"/>
                            <a:ext cx="5087620" cy="2296795"/>
                          </a:xfrm>
                          <a:prstGeom prst="rect">
                            <a:avLst/>
                          </a:prstGeom>
                          <a:ln w="6350">
                            <a:solidFill>
                              <a:srgbClr val="000000"/>
                            </a:solidFill>
                            <a:prstDash val="solid"/>
                          </a:ln>
                        </wps:spPr>
                        <wps:txbx>
                          <w:txbxContent>
                            <w:p>
                              <w:pPr>
                                <w:spacing w:line="240" w:lineRule="auto" w:before="29"/>
                                <w:rPr>
                                  <w:sz w:val="14"/>
                                </w:rPr>
                              </w:pPr>
                            </w:p>
                            <w:p>
                              <w:pPr>
                                <w:spacing w:before="1"/>
                                <w:ind w:left="0" w:right="7543" w:firstLine="0"/>
                                <w:jc w:val="right"/>
                                <w:rPr>
                                  <w:rFonts w:ascii="Arial MT"/>
                                  <w:sz w:val="14"/>
                                </w:rPr>
                              </w:pPr>
                              <w:r>
                                <w:rPr>
                                  <w:rFonts w:ascii="Arial MT"/>
                                  <w:spacing w:val="-4"/>
                                  <w:w w:val="90"/>
                                  <w:sz w:val="14"/>
                                </w:rPr>
                                <w:t>6.00</w:t>
                              </w:r>
                            </w:p>
                            <w:p>
                              <w:pPr>
                                <w:spacing w:line="240" w:lineRule="auto" w:before="132"/>
                                <w:rPr>
                                  <w:rFonts w:ascii="Arial MT"/>
                                  <w:sz w:val="14"/>
                                </w:rPr>
                              </w:pPr>
                            </w:p>
                            <w:p>
                              <w:pPr>
                                <w:spacing w:before="1"/>
                                <w:ind w:left="0" w:right="7543" w:firstLine="0"/>
                                <w:jc w:val="right"/>
                                <w:rPr>
                                  <w:rFonts w:ascii="Arial MT"/>
                                  <w:sz w:val="14"/>
                                </w:rPr>
                              </w:pPr>
                              <w:r>
                                <w:rPr>
                                  <w:rFonts w:ascii="Arial MT"/>
                                  <w:spacing w:val="-4"/>
                                  <w:w w:val="90"/>
                                  <w:sz w:val="14"/>
                                </w:rPr>
                                <w:t>5.00</w:t>
                              </w:r>
                            </w:p>
                            <w:p>
                              <w:pPr>
                                <w:spacing w:line="240" w:lineRule="auto" w:before="132"/>
                                <w:rPr>
                                  <w:rFonts w:ascii="Arial MT"/>
                                  <w:sz w:val="14"/>
                                </w:rPr>
                              </w:pPr>
                            </w:p>
                            <w:p>
                              <w:pPr>
                                <w:spacing w:before="1"/>
                                <w:ind w:left="0" w:right="7543" w:firstLine="0"/>
                                <w:jc w:val="right"/>
                                <w:rPr>
                                  <w:rFonts w:ascii="Arial MT"/>
                                  <w:sz w:val="14"/>
                                </w:rPr>
                              </w:pPr>
                              <w:r>
                                <w:rPr>
                                  <w:rFonts w:ascii="Arial MT"/>
                                  <w:spacing w:val="-4"/>
                                  <w:w w:val="90"/>
                                  <w:sz w:val="14"/>
                                </w:rPr>
                                <w:t>4.00</w:t>
                              </w:r>
                            </w:p>
                            <w:p>
                              <w:pPr>
                                <w:spacing w:line="240" w:lineRule="auto" w:before="132"/>
                                <w:rPr>
                                  <w:rFonts w:ascii="Arial MT"/>
                                  <w:sz w:val="14"/>
                                </w:rPr>
                              </w:pPr>
                            </w:p>
                            <w:p>
                              <w:pPr>
                                <w:spacing w:before="1"/>
                                <w:ind w:left="0" w:right="7543" w:firstLine="0"/>
                                <w:jc w:val="right"/>
                                <w:rPr>
                                  <w:rFonts w:ascii="Arial MT"/>
                                  <w:sz w:val="14"/>
                                </w:rPr>
                              </w:pPr>
                              <w:r>
                                <w:rPr>
                                  <w:rFonts w:ascii="Arial MT"/>
                                  <w:spacing w:val="-4"/>
                                  <w:w w:val="90"/>
                                  <w:sz w:val="14"/>
                                </w:rPr>
                                <w:t>3.00</w:t>
                              </w:r>
                            </w:p>
                            <w:p>
                              <w:pPr>
                                <w:spacing w:line="240" w:lineRule="auto" w:before="133"/>
                                <w:rPr>
                                  <w:rFonts w:ascii="Arial MT"/>
                                  <w:sz w:val="14"/>
                                </w:rPr>
                              </w:pPr>
                            </w:p>
                            <w:p>
                              <w:pPr>
                                <w:spacing w:before="0"/>
                                <w:ind w:left="0" w:right="7543" w:firstLine="0"/>
                                <w:jc w:val="right"/>
                                <w:rPr>
                                  <w:rFonts w:ascii="Arial MT"/>
                                  <w:sz w:val="14"/>
                                </w:rPr>
                              </w:pPr>
                              <w:r>
                                <w:rPr>
                                  <w:rFonts w:ascii="Arial MT"/>
                                  <w:spacing w:val="-4"/>
                                  <w:w w:val="90"/>
                                  <w:sz w:val="14"/>
                                </w:rPr>
                                <w:t>2.00</w:t>
                              </w:r>
                            </w:p>
                            <w:p>
                              <w:pPr>
                                <w:spacing w:line="240" w:lineRule="auto" w:before="133"/>
                                <w:rPr>
                                  <w:rFonts w:ascii="Arial MT"/>
                                  <w:sz w:val="14"/>
                                </w:rPr>
                              </w:pPr>
                            </w:p>
                            <w:p>
                              <w:pPr>
                                <w:spacing w:before="0"/>
                                <w:ind w:left="0" w:right="7543" w:firstLine="0"/>
                                <w:jc w:val="right"/>
                                <w:rPr>
                                  <w:rFonts w:ascii="Arial MT"/>
                                  <w:sz w:val="14"/>
                                </w:rPr>
                              </w:pPr>
                              <w:r>
                                <w:rPr>
                                  <w:rFonts w:ascii="Arial MT"/>
                                  <w:spacing w:val="-4"/>
                                  <w:w w:val="90"/>
                                  <w:sz w:val="14"/>
                                </w:rPr>
                                <w:t>1.00</w:t>
                              </w:r>
                            </w:p>
                            <w:p>
                              <w:pPr>
                                <w:spacing w:line="240" w:lineRule="auto" w:before="133"/>
                                <w:rPr>
                                  <w:rFonts w:ascii="Arial MT"/>
                                  <w:sz w:val="14"/>
                                </w:rPr>
                              </w:pPr>
                            </w:p>
                            <w:p>
                              <w:pPr>
                                <w:spacing w:before="0"/>
                                <w:ind w:left="0" w:right="7543" w:firstLine="0"/>
                                <w:jc w:val="right"/>
                                <w:rPr>
                                  <w:rFonts w:ascii="Arial MT"/>
                                  <w:sz w:val="14"/>
                                </w:rPr>
                              </w:pPr>
                              <w:r>
                                <w:rPr>
                                  <w:rFonts w:ascii="Arial MT"/>
                                  <w:spacing w:val="-10"/>
                                  <w:w w:val="90"/>
                                  <w:sz w:val="14"/>
                                </w:rPr>
                                <w:t>0</w:t>
                              </w:r>
                            </w:p>
                          </w:txbxContent>
                        </wps:txbx>
                        <wps:bodyPr wrap="square" lIns="0" tIns="0" rIns="0" bIns="0" rtlCol="0">
                          <a:noAutofit/>
                        </wps:bodyPr>
                      </wps:wsp>
                    </wpg:wgp>
                  </a:graphicData>
                </a:graphic>
              </wp:anchor>
            </w:drawing>
          </mc:Choice>
          <mc:Fallback>
            <w:pict>
              <v:group style="position:absolute;margin-left:100.671783pt;margin-top:20.127348pt;width:401.1pt;height:181.35pt;mso-position-horizontal-relative:page;mso-position-vertical-relative:paragraph;z-index:15885824" id="docshapegroup2153" coordorigin="2013,403" coordsize="8022,3627">
                <v:shape style="position:absolute;left:2692;top:866;width:7023;height:2558" id="docshape2154" coordorigin="2692,866" coordsize="7023,2558" path="m2968,866l2692,866,2692,3423,2968,3423,2968,866xm3427,1881l3139,1881,3139,3423,3427,3423,3427,1881xm3874,2214l3598,2214,3598,3423,3874,3423,3874,2214xm4320,2312l4044,2312,4044,3423,4320,3423,4320,2312xm4766,2993l4490,2993,4490,3423,4766,3423,4766,2993xm5226,3048l4937,3048,4937,3423,5226,3423,5226,3048xm5672,3062l5396,3062,5396,3423,5672,3423,5672,3062xm6118,3145l5842,3145,5842,3423,6118,3423,6118,3145xm6564,3187l6289,3187,6289,3423,6564,3423,6564,3187xm7024,3243l6735,3243,6735,3423,7024,3423,7024,3243xm7470,3243l7194,3243,7194,3423,7470,3423,7470,3243xm7916,3271l7641,3271,7641,3423,7916,3423,7916,3271xm8362,3284l8087,3284,8087,3423,8362,3423,8362,3284xm8822,3284l8533,3284,8533,3423,8822,3423,8822,3284xm9268,3340l8993,3340,8993,3423,9268,3423,9268,3340xm9714,3340l9439,3340,9439,3423,9714,3423,9714,3340xe" filled="true" fillcolor="#2e614a" stroked="false">
                  <v:path arrowok="t"/>
                  <v:fill type="solid"/>
                </v:shape>
                <v:shape style="position:absolute;left:2556;top:680;width:7255;height:2804" id="docshape2155" coordorigin="2556,681" coordsize="7255,2804" path="m9811,3418l9811,3418,2619,3418,2619,681,2609,681,2556,681,2556,691,2609,691,2609,1139,2556,1139,2556,1149,2609,1149,2609,1598,2556,1598,2556,1608,2609,1608,2609,2056,2556,2056,2556,2066,2609,2066,2609,2501,2556,2501,2556,2511,2609,2511,2609,2960,2556,2960,2556,2970,2609,2970,2609,3418,2556,3418,2556,3428,2609,3428,2609,3484,2619,3484,2619,3428,3055,3428,3055,3484,3065,3484,3065,3428,3514,3428,3514,3484,3524,3484,3524,3428,3961,3428,3961,3484,3971,3484,3971,3428,4407,3428,4407,3484,4417,3484,4417,3428,4853,3428,4853,3484,4863,3484,4863,3428,5312,3428,5312,3484,5322,3484,5322,3428,5759,3428,5759,3484,5769,3484,5769,3428,6205,3428,6205,3484,6215,3484,6215,3428,6651,3428,6651,3484,6661,3484,6661,3428,7111,3428,7111,3484,7121,3484,7121,3428,7557,3428,7557,3484,7567,3484,7567,3428,8003,3428,8003,3484,8013,3484,8013,3428,8449,3428,8449,3484,8459,3484,8459,3428,8909,3428,8909,3484,8919,3484,8919,3428,9355,3428,9355,3484,9365,3484,9365,3428,9811,3428,9811,3418xe" filled="true" fillcolor="#000000" stroked="false">
                  <v:path arrowok="t"/>
                  <v:fill type="solid"/>
                </v:shape>
                <v:shape style="position:absolute;left:2018;top:407;width:8012;height:3617" type="#_x0000_t202" id="docshape2156" filled="false" stroked="true" strokeweight=".50003pt" strokecolor="#000000">
                  <v:textbox inset="0,0,0,0">
                    <w:txbxContent>
                      <w:p>
                        <w:pPr>
                          <w:spacing w:line="240" w:lineRule="auto" w:before="29"/>
                          <w:rPr>
                            <w:sz w:val="14"/>
                          </w:rPr>
                        </w:pPr>
                      </w:p>
                      <w:p>
                        <w:pPr>
                          <w:spacing w:before="1"/>
                          <w:ind w:left="0" w:right="7543" w:firstLine="0"/>
                          <w:jc w:val="right"/>
                          <w:rPr>
                            <w:rFonts w:ascii="Arial MT"/>
                            <w:sz w:val="14"/>
                          </w:rPr>
                        </w:pPr>
                        <w:r>
                          <w:rPr>
                            <w:rFonts w:ascii="Arial MT"/>
                            <w:spacing w:val="-4"/>
                            <w:w w:val="90"/>
                            <w:sz w:val="14"/>
                          </w:rPr>
                          <w:t>6.00</w:t>
                        </w:r>
                      </w:p>
                      <w:p>
                        <w:pPr>
                          <w:spacing w:line="240" w:lineRule="auto" w:before="132"/>
                          <w:rPr>
                            <w:rFonts w:ascii="Arial MT"/>
                            <w:sz w:val="14"/>
                          </w:rPr>
                        </w:pPr>
                      </w:p>
                      <w:p>
                        <w:pPr>
                          <w:spacing w:before="1"/>
                          <w:ind w:left="0" w:right="7543" w:firstLine="0"/>
                          <w:jc w:val="right"/>
                          <w:rPr>
                            <w:rFonts w:ascii="Arial MT"/>
                            <w:sz w:val="14"/>
                          </w:rPr>
                        </w:pPr>
                        <w:r>
                          <w:rPr>
                            <w:rFonts w:ascii="Arial MT"/>
                            <w:spacing w:val="-4"/>
                            <w:w w:val="90"/>
                            <w:sz w:val="14"/>
                          </w:rPr>
                          <w:t>5.00</w:t>
                        </w:r>
                      </w:p>
                      <w:p>
                        <w:pPr>
                          <w:spacing w:line="240" w:lineRule="auto" w:before="132"/>
                          <w:rPr>
                            <w:rFonts w:ascii="Arial MT"/>
                            <w:sz w:val="14"/>
                          </w:rPr>
                        </w:pPr>
                      </w:p>
                      <w:p>
                        <w:pPr>
                          <w:spacing w:before="1"/>
                          <w:ind w:left="0" w:right="7543" w:firstLine="0"/>
                          <w:jc w:val="right"/>
                          <w:rPr>
                            <w:rFonts w:ascii="Arial MT"/>
                            <w:sz w:val="14"/>
                          </w:rPr>
                        </w:pPr>
                        <w:r>
                          <w:rPr>
                            <w:rFonts w:ascii="Arial MT"/>
                            <w:spacing w:val="-4"/>
                            <w:w w:val="90"/>
                            <w:sz w:val="14"/>
                          </w:rPr>
                          <w:t>4.00</w:t>
                        </w:r>
                      </w:p>
                      <w:p>
                        <w:pPr>
                          <w:spacing w:line="240" w:lineRule="auto" w:before="132"/>
                          <w:rPr>
                            <w:rFonts w:ascii="Arial MT"/>
                            <w:sz w:val="14"/>
                          </w:rPr>
                        </w:pPr>
                      </w:p>
                      <w:p>
                        <w:pPr>
                          <w:spacing w:before="1"/>
                          <w:ind w:left="0" w:right="7543" w:firstLine="0"/>
                          <w:jc w:val="right"/>
                          <w:rPr>
                            <w:rFonts w:ascii="Arial MT"/>
                            <w:sz w:val="14"/>
                          </w:rPr>
                        </w:pPr>
                        <w:r>
                          <w:rPr>
                            <w:rFonts w:ascii="Arial MT"/>
                            <w:spacing w:val="-4"/>
                            <w:w w:val="90"/>
                            <w:sz w:val="14"/>
                          </w:rPr>
                          <w:t>3.00</w:t>
                        </w:r>
                      </w:p>
                      <w:p>
                        <w:pPr>
                          <w:spacing w:line="240" w:lineRule="auto" w:before="133"/>
                          <w:rPr>
                            <w:rFonts w:ascii="Arial MT"/>
                            <w:sz w:val="14"/>
                          </w:rPr>
                        </w:pPr>
                      </w:p>
                      <w:p>
                        <w:pPr>
                          <w:spacing w:before="0"/>
                          <w:ind w:left="0" w:right="7543" w:firstLine="0"/>
                          <w:jc w:val="right"/>
                          <w:rPr>
                            <w:rFonts w:ascii="Arial MT"/>
                            <w:sz w:val="14"/>
                          </w:rPr>
                        </w:pPr>
                        <w:r>
                          <w:rPr>
                            <w:rFonts w:ascii="Arial MT"/>
                            <w:spacing w:val="-4"/>
                            <w:w w:val="90"/>
                            <w:sz w:val="14"/>
                          </w:rPr>
                          <w:t>2.00</w:t>
                        </w:r>
                      </w:p>
                      <w:p>
                        <w:pPr>
                          <w:spacing w:line="240" w:lineRule="auto" w:before="133"/>
                          <w:rPr>
                            <w:rFonts w:ascii="Arial MT"/>
                            <w:sz w:val="14"/>
                          </w:rPr>
                        </w:pPr>
                      </w:p>
                      <w:p>
                        <w:pPr>
                          <w:spacing w:before="0"/>
                          <w:ind w:left="0" w:right="7543" w:firstLine="0"/>
                          <w:jc w:val="right"/>
                          <w:rPr>
                            <w:rFonts w:ascii="Arial MT"/>
                            <w:sz w:val="14"/>
                          </w:rPr>
                        </w:pPr>
                        <w:r>
                          <w:rPr>
                            <w:rFonts w:ascii="Arial MT"/>
                            <w:spacing w:val="-4"/>
                            <w:w w:val="90"/>
                            <w:sz w:val="14"/>
                          </w:rPr>
                          <w:t>1.00</w:t>
                        </w:r>
                      </w:p>
                      <w:p>
                        <w:pPr>
                          <w:spacing w:line="240" w:lineRule="auto" w:before="133"/>
                          <w:rPr>
                            <w:rFonts w:ascii="Arial MT"/>
                            <w:sz w:val="14"/>
                          </w:rPr>
                        </w:pPr>
                      </w:p>
                      <w:p>
                        <w:pPr>
                          <w:spacing w:before="0"/>
                          <w:ind w:left="0" w:right="7543" w:firstLine="0"/>
                          <w:jc w:val="right"/>
                          <w:rPr>
                            <w:rFonts w:ascii="Arial MT"/>
                            <w:sz w:val="14"/>
                          </w:rPr>
                        </w:pPr>
                        <w:r>
                          <w:rPr>
                            <w:rFonts w:ascii="Arial MT"/>
                            <w:spacing w:val="-10"/>
                            <w:w w:val="90"/>
                            <w:sz w:val="14"/>
                          </w:rPr>
                          <w:t>0</w:t>
                        </w:r>
                      </w:p>
                    </w:txbxContent>
                  </v:textbox>
                  <v:stroke dashstyle="solid"/>
                  <w10:wrap type="none"/>
                </v:shape>
                <w10:wrap type="none"/>
              </v:group>
            </w:pict>
          </mc:Fallback>
        </mc:AlternateContent>
      </w:r>
      <w:r>
        <w:rPr>
          <w:w w:val="90"/>
        </w:rPr>
        <w:t>Figure</w:t>
      </w:r>
      <w:r>
        <w:rPr>
          <w:spacing w:val="17"/>
        </w:rPr>
        <w:t> </w:t>
      </w:r>
      <w:r>
        <w:rPr>
          <w:w w:val="90"/>
        </w:rPr>
        <w:t>58:</w:t>
      </w:r>
      <w:r>
        <w:rPr>
          <w:spacing w:val="17"/>
        </w:rPr>
        <w:t> </w:t>
      </w:r>
      <w:r>
        <w:rPr>
          <w:color w:val="2E614A"/>
          <w:w w:val="90"/>
        </w:rPr>
        <w:t>Resident</w:t>
      </w:r>
      <w:r>
        <w:rPr>
          <w:color w:val="2E614A"/>
          <w:spacing w:val="18"/>
        </w:rPr>
        <w:t> </w:t>
      </w:r>
      <w:r>
        <w:rPr>
          <w:color w:val="2E614A"/>
          <w:w w:val="90"/>
        </w:rPr>
        <w:t>patent</w:t>
      </w:r>
      <w:r>
        <w:rPr>
          <w:color w:val="2E614A"/>
          <w:spacing w:val="17"/>
        </w:rPr>
        <w:t> </w:t>
      </w:r>
      <w:r>
        <w:rPr>
          <w:color w:val="2E614A"/>
          <w:w w:val="90"/>
        </w:rPr>
        <w:t>filings</w:t>
      </w:r>
      <w:r>
        <w:rPr>
          <w:color w:val="2E614A"/>
          <w:spacing w:val="17"/>
        </w:rPr>
        <w:t> </w:t>
      </w:r>
      <w:r>
        <w:rPr>
          <w:color w:val="2E614A"/>
          <w:w w:val="90"/>
        </w:rPr>
        <w:t>per</w:t>
      </w:r>
      <w:r>
        <w:rPr>
          <w:color w:val="2E614A"/>
          <w:spacing w:val="18"/>
        </w:rPr>
        <w:t> </w:t>
      </w:r>
      <w:r>
        <w:rPr>
          <w:color w:val="2E614A"/>
          <w:w w:val="90"/>
        </w:rPr>
        <w:t>$Million</w:t>
      </w:r>
      <w:r>
        <w:rPr>
          <w:color w:val="2E614A"/>
          <w:spacing w:val="17"/>
        </w:rPr>
        <w:t> </w:t>
      </w:r>
      <w:r>
        <w:rPr>
          <w:color w:val="2E614A"/>
          <w:w w:val="90"/>
        </w:rPr>
        <w:t>R&amp;D</w:t>
      </w:r>
      <w:r>
        <w:rPr>
          <w:color w:val="2E614A"/>
          <w:spacing w:val="18"/>
        </w:rPr>
        <w:t> </w:t>
      </w:r>
      <w:r>
        <w:rPr>
          <w:color w:val="2E614A"/>
          <w:w w:val="90"/>
        </w:rPr>
        <w:t>expenditures</w:t>
      </w:r>
      <w:r>
        <w:rPr>
          <w:color w:val="2E614A"/>
          <w:spacing w:val="17"/>
        </w:rPr>
        <w:t> </w:t>
      </w:r>
      <w:r>
        <w:rPr>
          <w:color w:val="2E614A"/>
          <w:spacing w:val="-2"/>
          <w:w w:val="90"/>
        </w:rPr>
        <w:t>(2006)</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16"/>
        <w:rPr>
          <w:b/>
          <w:sz w:val="16"/>
        </w:rPr>
      </w:pPr>
    </w:p>
    <w:p>
      <w:pPr>
        <w:spacing w:before="0"/>
        <w:ind w:left="2013" w:right="0" w:firstLine="0"/>
        <w:jc w:val="left"/>
        <w:rPr>
          <w:sz w:val="16"/>
        </w:rPr>
      </w:pPr>
      <w:r>
        <w:rPr/>
        <mc:AlternateContent>
          <mc:Choice Requires="wps">
            <w:drawing>
              <wp:anchor distT="0" distB="0" distL="0" distR="0" allowOverlap="1" layoutInCell="1" locked="0" behindDoc="0" simplePos="0" relativeHeight="15886336">
                <wp:simplePos x="0" y="0"/>
                <wp:positionH relativeFrom="page">
                  <wp:posOffset>1626761</wp:posOffset>
                </wp:positionH>
                <wp:positionV relativeFrom="paragraph">
                  <wp:posOffset>-331793</wp:posOffset>
                </wp:positionV>
                <wp:extent cx="196850" cy="88900"/>
                <wp:effectExtent l="0" t="0" r="0" b="0"/>
                <wp:wrapNone/>
                <wp:docPr id="2201" name="Textbox 2201"/>
                <wp:cNvGraphicFramePr>
                  <a:graphicFrameLocks/>
                </wp:cNvGraphicFramePr>
                <a:graphic>
                  <a:graphicData uri="http://schemas.microsoft.com/office/word/2010/wordprocessingShape">
                    <wps:wsp>
                      <wps:cNvPr id="2201" name="Textbox 2201"/>
                      <wps:cNvSpPr txBox="1"/>
                      <wps:spPr>
                        <a:xfrm rot="19860000">
                          <a:off x="0" y="0"/>
                          <a:ext cx="19685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Korea</w:t>
                            </w:r>
                          </w:p>
                        </w:txbxContent>
                      </wps:txbx>
                      <wps:bodyPr wrap="square" lIns="0" tIns="0" rIns="0" bIns="0" rtlCol="0">
                        <a:noAutofit/>
                      </wps:bodyPr>
                    </wps:wsp>
                  </a:graphicData>
                </a:graphic>
              </wp:anchor>
            </w:drawing>
          </mc:Choice>
          <mc:Fallback>
            <w:pict>
              <v:shape style="position:absolute;margin-left:128.091446pt;margin-top:-26.125469pt;width:15.5pt;height:7pt;mso-position-horizontal-relative:page;mso-position-vertical-relative:paragraph;z-index:15886336;rotation:331" type="#_x0000_t136" fillcolor="#000000" stroked="f">
                <o:extrusion v:ext="view" autorotationcenter="t"/>
                <v:textpath style="font-family:&quot;Arial MT&quot;;font-size:7pt;v-text-kern:t;mso-text-shadow:auto" string="Korea"/>
                <w10:wrap type="none"/>
              </v:shape>
            </w:pict>
          </mc:Fallback>
        </mc:AlternateContent>
      </w:r>
      <w:r>
        <w:rPr/>
        <mc:AlternateContent>
          <mc:Choice Requires="wps">
            <w:drawing>
              <wp:anchor distT="0" distB="0" distL="0" distR="0" allowOverlap="1" layoutInCell="1" locked="0" behindDoc="0" simplePos="0" relativeHeight="15886848">
                <wp:simplePos x="0" y="0"/>
                <wp:positionH relativeFrom="page">
                  <wp:posOffset>1885225</wp:posOffset>
                </wp:positionH>
                <wp:positionV relativeFrom="paragraph">
                  <wp:posOffset>-324608</wp:posOffset>
                </wp:positionV>
                <wp:extent cx="224790" cy="88900"/>
                <wp:effectExtent l="0" t="0" r="0" b="0"/>
                <wp:wrapNone/>
                <wp:docPr id="2202" name="Textbox 2202"/>
                <wp:cNvGraphicFramePr>
                  <a:graphicFrameLocks/>
                </wp:cNvGraphicFramePr>
                <a:graphic>
                  <a:graphicData uri="http://schemas.microsoft.com/office/word/2010/wordprocessingShape">
                    <wps:wsp>
                      <wps:cNvPr id="2202" name="Textbox 2202"/>
                      <wps:cNvSpPr txBox="1"/>
                      <wps:spPr>
                        <a:xfrm rot="19860000">
                          <a:off x="0" y="0"/>
                          <a:ext cx="22479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Russia</w:t>
                            </w:r>
                          </w:p>
                        </w:txbxContent>
                      </wps:txbx>
                      <wps:bodyPr wrap="square" lIns="0" tIns="0" rIns="0" bIns="0" rtlCol="0">
                        <a:noAutofit/>
                      </wps:bodyPr>
                    </wps:wsp>
                  </a:graphicData>
                </a:graphic>
              </wp:anchor>
            </w:drawing>
          </mc:Choice>
          <mc:Fallback>
            <w:pict>
              <v:shape style="position:absolute;margin-left:148.442947pt;margin-top:-25.55974pt;width:17.7pt;height:7pt;mso-position-horizontal-relative:page;mso-position-vertical-relative:paragraph;z-index:15886848;rotation:331" type="#_x0000_t136" fillcolor="#000000" stroked="f">
                <o:extrusion v:ext="view" autorotationcenter="t"/>
                <v:textpath style="font-family:&quot;Arial MT&quot;;font-size:7pt;v-text-kern:t;mso-text-shadow:auto" string="Russia"/>
                <w10:wrap type="none"/>
              </v:shape>
            </w:pict>
          </mc:Fallback>
        </mc:AlternateContent>
      </w:r>
      <w:r>
        <w:rPr/>
        <mc:AlternateContent>
          <mc:Choice Requires="wps">
            <w:drawing>
              <wp:anchor distT="0" distB="0" distL="0" distR="0" allowOverlap="1" layoutInCell="1" locked="0" behindDoc="0" simplePos="0" relativeHeight="15887360">
                <wp:simplePos x="0" y="0"/>
                <wp:positionH relativeFrom="page">
                  <wp:posOffset>2220062</wp:posOffset>
                </wp:positionH>
                <wp:positionV relativeFrom="paragraph">
                  <wp:posOffset>-330746</wp:posOffset>
                </wp:positionV>
                <wp:extent cx="200660" cy="88900"/>
                <wp:effectExtent l="0" t="0" r="0" b="0"/>
                <wp:wrapNone/>
                <wp:docPr id="2203" name="Textbox 2203"/>
                <wp:cNvGraphicFramePr>
                  <a:graphicFrameLocks/>
                </wp:cNvGraphicFramePr>
                <a:graphic>
                  <a:graphicData uri="http://schemas.microsoft.com/office/word/2010/wordprocessingShape">
                    <wps:wsp>
                      <wps:cNvPr id="2203" name="Textbox 2203"/>
                      <wps:cNvSpPr txBox="1"/>
                      <wps:spPr>
                        <a:xfrm rot="19860000">
                          <a:off x="0" y="0"/>
                          <a:ext cx="20066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Japan</w:t>
                            </w:r>
                          </w:p>
                        </w:txbxContent>
                      </wps:txbx>
                      <wps:bodyPr wrap="square" lIns="0" tIns="0" rIns="0" bIns="0" rtlCol="0">
                        <a:noAutofit/>
                      </wps:bodyPr>
                    </wps:wsp>
                  </a:graphicData>
                </a:graphic>
              </wp:anchor>
            </w:drawing>
          </mc:Choice>
          <mc:Fallback>
            <w:pict>
              <v:shape style="position:absolute;margin-left:174.80809pt;margin-top:-26.043047pt;width:15.8pt;height:7pt;mso-position-horizontal-relative:page;mso-position-vertical-relative:paragraph;z-index:15887360;rotation:331" type="#_x0000_t136" fillcolor="#000000" stroked="f">
                <o:extrusion v:ext="view" autorotationcenter="t"/>
                <v:textpath style="font-family:&quot;Arial MT&quot;;font-size:7pt;v-text-kern:t;mso-text-shadow:auto" string="Japan"/>
                <w10:wrap type="none"/>
              </v:shape>
            </w:pict>
          </mc:Fallback>
        </mc:AlternateContent>
      </w:r>
      <w:r>
        <w:rPr/>
        <mc:AlternateContent>
          <mc:Choice Requires="wps">
            <w:drawing>
              <wp:anchor distT="0" distB="0" distL="0" distR="0" allowOverlap="1" layoutInCell="1" locked="0" behindDoc="0" simplePos="0" relativeHeight="15887872">
                <wp:simplePos x="0" y="0"/>
                <wp:positionH relativeFrom="page">
                  <wp:posOffset>2512507</wp:posOffset>
                </wp:positionH>
                <wp:positionV relativeFrom="paragraph">
                  <wp:posOffset>-332829</wp:posOffset>
                </wp:positionV>
                <wp:extent cx="192405" cy="88900"/>
                <wp:effectExtent l="0" t="0" r="0" b="0"/>
                <wp:wrapNone/>
                <wp:docPr id="2204" name="Textbox 2204"/>
                <wp:cNvGraphicFramePr>
                  <a:graphicFrameLocks/>
                </wp:cNvGraphicFramePr>
                <a:graphic>
                  <a:graphicData uri="http://schemas.microsoft.com/office/word/2010/wordprocessingShape">
                    <wps:wsp>
                      <wps:cNvPr id="2204" name="Textbox 2204"/>
                      <wps:cNvSpPr txBox="1"/>
                      <wps:spPr>
                        <a:xfrm rot="19860000">
                          <a:off x="0" y="0"/>
                          <a:ext cx="19240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China</w:t>
                            </w:r>
                          </w:p>
                        </w:txbxContent>
                      </wps:txbx>
                      <wps:bodyPr wrap="square" lIns="0" tIns="0" rIns="0" bIns="0" rtlCol="0">
                        <a:noAutofit/>
                      </wps:bodyPr>
                    </wps:wsp>
                  </a:graphicData>
                </a:graphic>
              </wp:anchor>
            </w:drawing>
          </mc:Choice>
          <mc:Fallback>
            <w:pict>
              <v:shape style="position:absolute;margin-left:197.835236pt;margin-top:-26.207012pt;width:15.15pt;height:7pt;mso-position-horizontal-relative:page;mso-position-vertical-relative:paragraph;z-index:15887872;rotation:331" type="#_x0000_t136" fillcolor="#000000" stroked="f">
                <o:extrusion v:ext="view" autorotationcenter="t"/>
                <v:textpath style="font-family:&quot;Arial MT&quot;;font-size:7pt;v-text-kern:t;mso-text-shadow:auto" string="China"/>
                <w10:wrap type="none"/>
              </v:shape>
            </w:pict>
          </mc:Fallback>
        </mc:AlternateContent>
      </w:r>
      <w:r>
        <w:rPr/>
        <mc:AlternateContent>
          <mc:Choice Requires="wps">
            <w:drawing>
              <wp:anchor distT="0" distB="0" distL="0" distR="0" allowOverlap="1" layoutInCell="1" locked="0" behindDoc="0" simplePos="0" relativeHeight="15888384">
                <wp:simplePos x="0" y="0"/>
                <wp:positionH relativeFrom="page">
                  <wp:posOffset>2694923</wp:posOffset>
                </wp:positionH>
                <wp:positionV relativeFrom="paragraph">
                  <wp:posOffset>-310184</wp:posOffset>
                </wp:positionV>
                <wp:extent cx="281940" cy="88900"/>
                <wp:effectExtent l="0" t="0" r="0" b="0"/>
                <wp:wrapNone/>
                <wp:docPr id="2205" name="Textbox 2205"/>
                <wp:cNvGraphicFramePr>
                  <a:graphicFrameLocks/>
                </wp:cNvGraphicFramePr>
                <a:graphic>
                  <a:graphicData uri="http://schemas.microsoft.com/office/word/2010/wordprocessingShape">
                    <wps:wsp>
                      <wps:cNvPr id="2205" name="Textbox 2205"/>
                      <wps:cNvSpPr txBox="1"/>
                      <wps:spPr>
                        <a:xfrm rot="19860000">
                          <a:off x="0" y="0"/>
                          <a:ext cx="28194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Thailand</w:t>
                            </w:r>
                          </w:p>
                        </w:txbxContent>
                      </wps:txbx>
                      <wps:bodyPr wrap="square" lIns="0" tIns="0" rIns="0" bIns="0" rtlCol="0">
                        <a:noAutofit/>
                      </wps:bodyPr>
                    </wps:wsp>
                  </a:graphicData>
                </a:graphic>
              </wp:anchor>
            </w:drawing>
          </mc:Choice>
          <mc:Fallback>
            <w:pict>
              <v:shape style="position:absolute;margin-left:212.19873pt;margin-top:-24.423946pt;width:22.2pt;height:7pt;mso-position-horizontal-relative:page;mso-position-vertical-relative:paragraph;z-index:15888384;rotation:331" type="#_x0000_t136" fillcolor="#000000" stroked="f">
                <o:extrusion v:ext="view" autorotationcenter="t"/>
                <v:textpath style="font-family:&quot;Arial MT&quot;;font-size:7pt;v-text-kern:t;mso-text-shadow:auto" string="Thailand"/>
                <w10:wrap type="none"/>
              </v:shape>
            </w:pict>
          </mc:Fallback>
        </mc:AlternateContent>
      </w:r>
      <w:r>
        <w:rPr/>
        <mc:AlternateContent>
          <mc:Choice Requires="wps">
            <w:drawing>
              <wp:anchor distT="0" distB="0" distL="0" distR="0" allowOverlap="1" layoutInCell="1" locked="0" behindDoc="0" simplePos="0" relativeHeight="15888896">
                <wp:simplePos x="0" y="0"/>
                <wp:positionH relativeFrom="page">
                  <wp:posOffset>2960947</wp:posOffset>
                </wp:positionH>
                <wp:positionV relativeFrom="paragraph">
                  <wp:posOffset>-305046</wp:posOffset>
                </wp:positionV>
                <wp:extent cx="301625" cy="88900"/>
                <wp:effectExtent l="0" t="0" r="0" b="0"/>
                <wp:wrapNone/>
                <wp:docPr id="2206" name="Textbox 2206"/>
                <wp:cNvGraphicFramePr>
                  <a:graphicFrameLocks/>
                </wp:cNvGraphicFramePr>
                <a:graphic>
                  <a:graphicData uri="http://schemas.microsoft.com/office/word/2010/wordprocessingShape">
                    <wps:wsp>
                      <wps:cNvPr id="2206" name="Textbox 2206"/>
                      <wps:cNvSpPr txBox="1"/>
                      <wps:spPr>
                        <a:xfrm rot="19860000">
                          <a:off x="0" y="0"/>
                          <a:ext cx="30162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Germany</w:t>
                            </w:r>
                          </w:p>
                        </w:txbxContent>
                      </wps:txbx>
                      <wps:bodyPr wrap="square" lIns="0" tIns="0" rIns="0" bIns="0" rtlCol="0">
                        <a:noAutofit/>
                      </wps:bodyPr>
                    </wps:wsp>
                  </a:graphicData>
                </a:graphic>
              </wp:anchor>
            </w:drawing>
          </mc:Choice>
          <mc:Fallback>
            <w:pict>
              <v:shape style="position:absolute;margin-left:233.145462pt;margin-top:-24.019409pt;width:23.75pt;height:7pt;mso-position-horizontal-relative:page;mso-position-vertical-relative:paragraph;z-index:15888896;rotation:331" type="#_x0000_t136" fillcolor="#000000" stroked="f">
                <o:extrusion v:ext="view" autorotationcenter="t"/>
                <v:textpath style="font-family:&quot;Arial MT&quot;;font-size:7pt;v-text-kern:t;mso-text-shadow:auto" string="Germany"/>
                <w10:wrap type="none"/>
              </v:shape>
            </w:pict>
          </mc:Fallback>
        </mc:AlternateContent>
      </w:r>
      <w:r>
        <w:rPr/>
        <mc:AlternateContent>
          <mc:Choice Requires="wps">
            <w:drawing>
              <wp:anchor distT="0" distB="0" distL="0" distR="0" allowOverlap="1" layoutInCell="1" locked="0" behindDoc="0" simplePos="0" relativeHeight="15889408">
                <wp:simplePos x="0" y="0"/>
                <wp:positionH relativeFrom="page">
                  <wp:posOffset>3399481</wp:posOffset>
                </wp:positionH>
                <wp:positionV relativeFrom="paragraph">
                  <wp:posOffset>-345141</wp:posOffset>
                </wp:positionV>
                <wp:extent cx="151765" cy="88900"/>
                <wp:effectExtent l="0" t="0" r="0" b="0"/>
                <wp:wrapNone/>
                <wp:docPr id="2207" name="Textbox 2207"/>
                <wp:cNvGraphicFramePr>
                  <a:graphicFrameLocks/>
                </wp:cNvGraphicFramePr>
                <a:graphic>
                  <a:graphicData uri="http://schemas.microsoft.com/office/word/2010/wordprocessingShape">
                    <wps:wsp>
                      <wps:cNvPr id="2207" name="Textbox 2207"/>
                      <wps:cNvSpPr txBox="1"/>
                      <wps:spPr>
                        <a:xfrm rot="19860000">
                          <a:off x="0" y="0"/>
                          <a:ext cx="151765" cy="88900"/>
                        </a:xfrm>
                        <a:prstGeom prst="rect">
                          <a:avLst/>
                        </a:prstGeom>
                      </wps:spPr>
                      <wps:txbx>
                        <w:txbxContent>
                          <w:p>
                            <w:pPr>
                              <w:spacing w:line="140" w:lineRule="exact" w:before="0"/>
                              <w:ind w:left="0" w:right="0" w:firstLine="0"/>
                              <w:jc w:val="left"/>
                              <w:rPr>
                                <w:rFonts w:ascii="Arial MT"/>
                                <w:sz w:val="14"/>
                              </w:rPr>
                            </w:pPr>
                            <w:r>
                              <w:rPr>
                                <w:rFonts w:ascii="Arial MT"/>
                                <w:spacing w:val="-5"/>
                                <w:w w:val="80"/>
                                <w:sz w:val="14"/>
                              </w:rPr>
                              <w:t>USA</w:t>
                            </w:r>
                          </w:p>
                        </w:txbxContent>
                      </wps:txbx>
                      <wps:bodyPr wrap="square" lIns="0" tIns="0" rIns="0" bIns="0" rtlCol="0">
                        <a:noAutofit/>
                      </wps:bodyPr>
                    </wps:wsp>
                  </a:graphicData>
                </a:graphic>
              </wp:anchor>
            </w:drawing>
          </mc:Choice>
          <mc:Fallback>
            <w:pict>
              <v:shape style="position:absolute;margin-left:267.67572pt;margin-top:-27.176533pt;width:11.95pt;height:7pt;mso-position-horizontal-relative:page;mso-position-vertical-relative:paragraph;z-index:15889408;rotation:331" type="#_x0000_t136" fillcolor="#000000" stroked="f">
                <o:extrusion v:ext="view" autorotationcenter="t"/>
                <v:textpath style="font-family:&quot;Arial MT&quot;;font-size:7pt;v-text-kern:t;mso-text-shadow:auto" string="USA"/>
                <w10:wrap type="none"/>
              </v:shape>
            </w:pict>
          </mc:Fallback>
        </mc:AlternateContent>
      </w:r>
      <w:r>
        <w:rPr/>
        <mc:AlternateContent>
          <mc:Choice Requires="wps">
            <w:drawing>
              <wp:anchor distT="0" distB="0" distL="0" distR="0" allowOverlap="1" layoutInCell="1" locked="0" behindDoc="0" simplePos="0" relativeHeight="15889920">
                <wp:simplePos x="0" y="0"/>
                <wp:positionH relativeFrom="page">
                  <wp:posOffset>3726086</wp:posOffset>
                </wp:positionH>
                <wp:positionV relativeFrom="paragraph">
                  <wp:posOffset>-355481</wp:posOffset>
                </wp:positionV>
                <wp:extent cx="103505" cy="88900"/>
                <wp:effectExtent l="0" t="0" r="0" b="0"/>
                <wp:wrapNone/>
                <wp:docPr id="2208" name="Textbox 2208"/>
                <wp:cNvGraphicFramePr>
                  <a:graphicFrameLocks/>
                </wp:cNvGraphicFramePr>
                <a:graphic>
                  <a:graphicData uri="http://schemas.microsoft.com/office/word/2010/wordprocessingShape">
                    <wps:wsp>
                      <wps:cNvPr id="2208" name="Textbox 2208"/>
                      <wps:cNvSpPr txBox="1"/>
                      <wps:spPr>
                        <a:xfrm rot="19860000">
                          <a:off x="0" y="0"/>
                          <a:ext cx="103505" cy="88900"/>
                        </a:xfrm>
                        <a:prstGeom prst="rect">
                          <a:avLst/>
                        </a:prstGeom>
                      </wps:spPr>
                      <wps:txbx>
                        <w:txbxContent>
                          <w:p>
                            <w:pPr>
                              <w:spacing w:line="140" w:lineRule="exact" w:before="0"/>
                              <w:ind w:left="0" w:right="0" w:firstLine="0"/>
                              <w:jc w:val="left"/>
                              <w:rPr>
                                <w:rFonts w:ascii="Arial MT"/>
                                <w:sz w:val="14"/>
                              </w:rPr>
                            </w:pPr>
                            <w:r>
                              <w:rPr>
                                <w:rFonts w:ascii="Arial MT"/>
                                <w:spacing w:val="-5"/>
                                <w:w w:val="80"/>
                                <w:sz w:val="14"/>
                              </w:rPr>
                              <w:t>UK</w:t>
                            </w:r>
                          </w:p>
                        </w:txbxContent>
                      </wps:txbx>
                      <wps:bodyPr wrap="square" lIns="0" tIns="0" rIns="0" bIns="0" rtlCol="0">
                        <a:noAutofit/>
                      </wps:bodyPr>
                    </wps:wsp>
                  </a:graphicData>
                </a:graphic>
              </wp:anchor>
            </w:drawing>
          </mc:Choice>
          <mc:Fallback>
            <w:pict>
              <v:shape style="position:absolute;margin-left:293.392609pt;margin-top:-27.990694pt;width:8.15pt;height:7pt;mso-position-horizontal-relative:page;mso-position-vertical-relative:paragraph;z-index:15889920;rotation:331" type="#_x0000_t136" fillcolor="#000000" stroked="f">
                <o:extrusion v:ext="view" autorotationcenter="t"/>
                <v:textpath style="font-family:&quot;Arial MT&quot;;font-size:7pt;v-text-kern:t;mso-text-shadow:auto" string="UK"/>
                <w10:wrap type="none"/>
              </v:shape>
            </w:pict>
          </mc:Fallback>
        </mc:AlternateContent>
      </w:r>
      <w:r>
        <w:rPr/>
        <mc:AlternateContent>
          <mc:Choice Requires="wps">
            <w:drawing>
              <wp:anchor distT="0" distB="0" distL="0" distR="0" allowOverlap="1" layoutInCell="1" locked="0" behindDoc="0" simplePos="0" relativeHeight="15890432">
                <wp:simplePos x="0" y="0"/>
                <wp:positionH relativeFrom="page">
                  <wp:posOffset>3924158</wp:posOffset>
                </wp:positionH>
                <wp:positionV relativeFrom="paragraph">
                  <wp:posOffset>-334889</wp:posOffset>
                </wp:positionV>
                <wp:extent cx="184150" cy="88900"/>
                <wp:effectExtent l="0" t="0" r="0" b="0"/>
                <wp:wrapNone/>
                <wp:docPr id="2209" name="Textbox 2209"/>
                <wp:cNvGraphicFramePr>
                  <a:graphicFrameLocks/>
                </wp:cNvGraphicFramePr>
                <a:graphic>
                  <a:graphicData uri="http://schemas.microsoft.com/office/word/2010/wordprocessingShape">
                    <wps:wsp>
                      <wps:cNvPr id="2209" name="Textbox 2209"/>
                      <wps:cNvSpPr txBox="1"/>
                      <wps:spPr>
                        <a:xfrm rot="19860000">
                          <a:off x="0" y="0"/>
                          <a:ext cx="18415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Brazil</w:t>
                            </w:r>
                          </w:p>
                        </w:txbxContent>
                      </wps:txbx>
                      <wps:bodyPr wrap="square" lIns="0" tIns="0" rIns="0" bIns="0" rtlCol="0">
                        <a:noAutofit/>
                      </wps:bodyPr>
                    </wps:wsp>
                  </a:graphicData>
                </a:graphic>
              </wp:anchor>
            </w:drawing>
          </mc:Choice>
          <mc:Fallback>
            <w:pict>
              <v:shape style="position:absolute;margin-left:308.988861pt;margin-top:-26.369246pt;width:14.5pt;height:7pt;mso-position-horizontal-relative:page;mso-position-vertical-relative:paragraph;z-index:15890432;rotation:331" type="#_x0000_t136" fillcolor="#000000" stroked="f">
                <o:extrusion v:ext="view" autorotationcenter="t"/>
                <v:textpath style="font-family:&quot;Arial MT&quot;;font-size:7pt;v-text-kern:t;mso-text-shadow:auto" string="Brazil"/>
                <w10:wrap type="none"/>
              </v:shape>
            </w:pict>
          </mc:Fallback>
        </mc:AlternateContent>
      </w:r>
      <w:r>
        <w:rPr/>
        <mc:AlternateContent>
          <mc:Choice Requires="wps">
            <w:drawing>
              <wp:anchor distT="0" distB="0" distL="0" distR="0" allowOverlap="1" layoutInCell="1" locked="0" behindDoc="0" simplePos="0" relativeHeight="15890944">
                <wp:simplePos x="0" y="0"/>
                <wp:positionH relativeFrom="page">
                  <wp:posOffset>4167427</wp:posOffset>
                </wp:positionH>
                <wp:positionV relativeFrom="paragraph">
                  <wp:posOffset>-323572</wp:posOffset>
                </wp:positionV>
                <wp:extent cx="229235" cy="88900"/>
                <wp:effectExtent l="0" t="0" r="0" b="0"/>
                <wp:wrapNone/>
                <wp:docPr id="2210" name="Textbox 2210"/>
                <wp:cNvGraphicFramePr>
                  <a:graphicFrameLocks/>
                </wp:cNvGraphicFramePr>
                <a:graphic>
                  <a:graphicData uri="http://schemas.microsoft.com/office/word/2010/wordprocessingShape">
                    <wps:wsp>
                      <wps:cNvPr id="2210" name="Textbox 2210"/>
                      <wps:cNvSpPr txBox="1"/>
                      <wps:spPr>
                        <a:xfrm rot="19860000">
                          <a:off x="0" y="0"/>
                          <a:ext cx="22923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France</w:t>
                            </w:r>
                          </w:p>
                        </w:txbxContent>
                      </wps:txbx>
                      <wps:bodyPr wrap="square" lIns="0" tIns="0" rIns="0" bIns="0" rtlCol="0">
                        <a:noAutofit/>
                      </wps:bodyPr>
                    </wps:wsp>
                  </a:graphicData>
                </a:graphic>
              </wp:anchor>
            </w:drawing>
          </mc:Choice>
          <mc:Fallback>
            <w:pict>
              <v:shape style="position:absolute;margin-left:328.14386pt;margin-top:-25.478182pt;width:18.05pt;height:7pt;mso-position-horizontal-relative:page;mso-position-vertical-relative:paragraph;z-index:15890944;rotation:331" type="#_x0000_t136" fillcolor="#000000" stroked="f">
                <o:extrusion v:ext="view" autorotationcenter="t"/>
                <v:textpath style="font-family:&quot;Arial MT&quot;;font-size:7pt;v-text-kern:t;mso-text-shadow:auto" string="France"/>
                <w10:wrap type="none"/>
              </v:shape>
            </w:pict>
          </mc:Fallback>
        </mc:AlternateContent>
      </w:r>
      <w:r>
        <w:rPr/>
        <mc:AlternateContent>
          <mc:Choice Requires="wps">
            <w:drawing>
              <wp:anchor distT="0" distB="0" distL="0" distR="0" allowOverlap="1" layoutInCell="1" locked="0" behindDoc="0" simplePos="0" relativeHeight="15891456">
                <wp:simplePos x="0" y="0"/>
                <wp:positionH relativeFrom="page">
                  <wp:posOffset>4496917</wp:posOffset>
                </wp:positionH>
                <wp:positionV relativeFrom="paragraph">
                  <wp:posOffset>-341037</wp:posOffset>
                </wp:positionV>
                <wp:extent cx="160020" cy="88900"/>
                <wp:effectExtent l="0" t="0" r="0" b="0"/>
                <wp:wrapNone/>
                <wp:docPr id="2211" name="Textbox 2211"/>
                <wp:cNvGraphicFramePr>
                  <a:graphicFrameLocks/>
                </wp:cNvGraphicFramePr>
                <a:graphic>
                  <a:graphicData uri="http://schemas.microsoft.com/office/word/2010/wordprocessingShape">
                    <wps:wsp>
                      <wps:cNvPr id="2211" name="Textbox 2211"/>
                      <wps:cNvSpPr txBox="1"/>
                      <wps:spPr>
                        <a:xfrm rot="19860000">
                          <a:off x="0" y="0"/>
                          <a:ext cx="16002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India</w:t>
                            </w:r>
                          </w:p>
                        </w:txbxContent>
                      </wps:txbx>
                      <wps:bodyPr wrap="square" lIns="0" tIns="0" rIns="0" bIns="0" rtlCol="0">
                        <a:noAutofit/>
                      </wps:bodyPr>
                    </wps:wsp>
                  </a:graphicData>
                </a:graphic>
              </wp:anchor>
            </w:drawing>
          </mc:Choice>
          <mc:Fallback>
            <w:pict>
              <v:shape style="position:absolute;margin-left:354.088013pt;margin-top:-26.853319pt;width:12.6pt;height:7pt;mso-position-horizontal-relative:page;mso-position-vertical-relative:paragraph;z-index:15891456;rotation:331" type="#_x0000_t136" fillcolor="#000000" stroked="f">
                <o:extrusion v:ext="view" autorotationcenter="t"/>
                <v:textpath style="font-family:&quot;Arial MT&quot;;font-size:7pt;v-text-kern:t;mso-text-shadow:auto" string="India"/>
                <w10:wrap type="none"/>
              </v:shape>
            </w:pict>
          </mc:Fallback>
        </mc:AlternateContent>
      </w:r>
      <w:r>
        <w:rPr/>
        <mc:AlternateContent>
          <mc:Choice Requires="wps">
            <w:drawing>
              <wp:anchor distT="0" distB="0" distL="0" distR="0" allowOverlap="1" layoutInCell="1" locked="0" behindDoc="0" simplePos="0" relativeHeight="15891968">
                <wp:simplePos x="0" y="0"/>
                <wp:positionH relativeFrom="page">
                  <wp:posOffset>4706329</wp:posOffset>
                </wp:positionH>
                <wp:positionV relativeFrom="paragraph">
                  <wp:posOffset>-320475</wp:posOffset>
                </wp:positionV>
                <wp:extent cx="241300" cy="88900"/>
                <wp:effectExtent l="0" t="0" r="0" b="0"/>
                <wp:wrapNone/>
                <wp:docPr id="2212" name="Textbox 2212"/>
                <wp:cNvGraphicFramePr>
                  <a:graphicFrameLocks/>
                </wp:cNvGraphicFramePr>
                <a:graphic>
                  <a:graphicData uri="http://schemas.microsoft.com/office/word/2010/wordprocessingShape">
                    <wps:wsp>
                      <wps:cNvPr id="2212" name="Textbox 2212"/>
                      <wps:cNvSpPr txBox="1"/>
                      <wps:spPr>
                        <a:xfrm rot="19860000">
                          <a:off x="0" y="0"/>
                          <a:ext cx="24130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Finland</w:t>
                            </w:r>
                          </w:p>
                        </w:txbxContent>
                      </wps:txbx>
                      <wps:bodyPr wrap="square" lIns="0" tIns="0" rIns="0" bIns="0" rtlCol="0">
                        <a:noAutofit/>
                      </wps:bodyPr>
                    </wps:wsp>
                  </a:graphicData>
                </a:graphic>
              </wp:anchor>
            </w:drawing>
          </mc:Choice>
          <mc:Fallback>
            <w:pict>
              <v:shape style="position:absolute;margin-left:370.577148pt;margin-top:-25.234314pt;width:19pt;height:7pt;mso-position-horizontal-relative:page;mso-position-vertical-relative:paragraph;z-index:15891968;rotation:331" type="#_x0000_t136" fillcolor="#000000" stroked="f">
                <o:extrusion v:ext="view" autorotationcenter="t"/>
                <v:textpath style="font-family:&quot;Arial MT&quot;;font-size:7pt;v-text-kern:t;mso-text-shadow:auto" string="Finland"/>
                <w10:wrap type="none"/>
              </v:shape>
            </w:pict>
          </mc:Fallback>
        </mc:AlternateContent>
      </w:r>
      <w:r>
        <w:rPr/>
        <mc:AlternateContent>
          <mc:Choice Requires="wps">
            <w:drawing>
              <wp:anchor distT="0" distB="0" distL="0" distR="0" allowOverlap="1" layoutInCell="1" locked="0" behindDoc="0" simplePos="0" relativeHeight="15892480">
                <wp:simplePos x="0" y="0"/>
                <wp:positionH relativeFrom="page">
                  <wp:posOffset>4986702</wp:posOffset>
                </wp:positionH>
                <wp:positionV relativeFrom="paragraph">
                  <wp:posOffset>-316356</wp:posOffset>
                </wp:positionV>
                <wp:extent cx="257175" cy="88900"/>
                <wp:effectExtent l="0" t="0" r="0" b="0"/>
                <wp:wrapNone/>
                <wp:docPr id="2213" name="Textbox 2213"/>
                <wp:cNvGraphicFramePr>
                  <a:graphicFrameLocks/>
                </wp:cNvGraphicFramePr>
                <a:graphic>
                  <a:graphicData uri="http://schemas.microsoft.com/office/word/2010/wordprocessingShape">
                    <wps:wsp>
                      <wps:cNvPr id="2213" name="Textbox 2213"/>
                      <wps:cNvSpPr txBox="1"/>
                      <wps:spPr>
                        <a:xfrm rot="19860000">
                          <a:off x="0" y="0"/>
                          <a:ext cx="25717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Canada</w:t>
                            </w:r>
                          </w:p>
                        </w:txbxContent>
                      </wps:txbx>
                      <wps:bodyPr wrap="square" lIns="0" tIns="0" rIns="0" bIns="0" rtlCol="0">
                        <a:noAutofit/>
                      </wps:bodyPr>
                    </wps:wsp>
                  </a:graphicData>
                </a:graphic>
              </wp:anchor>
            </w:drawing>
          </mc:Choice>
          <mc:Fallback>
            <w:pict>
              <v:shape style="position:absolute;margin-left:392.653748pt;margin-top:-24.90995pt;width:20.25pt;height:7pt;mso-position-horizontal-relative:page;mso-position-vertical-relative:paragraph;z-index:15892480;rotation:331" type="#_x0000_t136" fillcolor="#000000" stroked="f">
                <o:extrusion v:ext="view" autorotationcenter="t"/>
                <v:textpath style="font-family:&quot;Arial MT&quot;;font-size:7pt;v-text-kern:t;mso-text-shadow:auto" string="Canada"/>
                <w10:wrap type="none"/>
              </v:shape>
            </w:pict>
          </mc:Fallback>
        </mc:AlternateContent>
      </w:r>
      <w:r>
        <w:rPr/>
        <mc:AlternateContent>
          <mc:Choice Requires="wps">
            <w:drawing>
              <wp:anchor distT="0" distB="0" distL="0" distR="0" allowOverlap="1" layoutInCell="1" locked="0" behindDoc="0" simplePos="0" relativeHeight="15892992">
                <wp:simplePos x="0" y="0"/>
                <wp:positionH relativeFrom="page">
                  <wp:posOffset>5245167</wp:posOffset>
                </wp:positionH>
                <wp:positionV relativeFrom="paragraph">
                  <wp:posOffset>-309169</wp:posOffset>
                </wp:positionV>
                <wp:extent cx="285750" cy="88900"/>
                <wp:effectExtent l="0" t="0" r="0" b="0"/>
                <wp:wrapNone/>
                <wp:docPr id="2214" name="Textbox 2214"/>
                <wp:cNvGraphicFramePr>
                  <a:graphicFrameLocks/>
                </wp:cNvGraphicFramePr>
                <a:graphic>
                  <a:graphicData uri="http://schemas.microsoft.com/office/word/2010/wordprocessingShape">
                    <wps:wsp>
                      <wps:cNvPr id="2214" name="Textbox 2214"/>
                      <wps:cNvSpPr txBox="1"/>
                      <wps:spPr>
                        <a:xfrm rot="19860000">
                          <a:off x="0" y="0"/>
                          <a:ext cx="28575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Australia</w:t>
                            </w:r>
                          </w:p>
                        </w:txbxContent>
                      </wps:txbx>
                      <wps:bodyPr wrap="square" lIns="0" tIns="0" rIns="0" bIns="0" rtlCol="0">
                        <a:noAutofit/>
                      </wps:bodyPr>
                    </wps:wsp>
                  </a:graphicData>
                </a:graphic>
              </wp:anchor>
            </w:drawing>
          </mc:Choice>
          <mc:Fallback>
            <w:pict>
              <v:shape style="position:absolute;margin-left:413.00528pt;margin-top:-24.344032pt;width:22.5pt;height:7pt;mso-position-horizontal-relative:page;mso-position-vertical-relative:paragraph;z-index:15892992;rotation:331" type="#_x0000_t136" fillcolor="#000000" stroked="f">
                <o:extrusion v:ext="view" autorotationcenter="t"/>
                <v:textpath style="font-family:&quot;Arial MT&quot;;font-size:7pt;v-text-kern:t;mso-text-shadow:auto" string="Australia"/>
                <w10:wrap type="none"/>
              </v:shape>
            </w:pict>
          </mc:Fallback>
        </mc:AlternateContent>
      </w:r>
      <w:r>
        <w:rPr/>
        <mc:AlternateContent>
          <mc:Choice Requires="wps">
            <w:drawing>
              <wp:anchor distT="0" distB="0" distL="0" distR="0" allowOverlap="1" layoutInCell="1" locked="0" behindDoc="0" simplePos="0" relativeHeight="15893504">
                <wp:simplePos x="0" y="0"/>
                <wp:positionH relativeFrom="page">
                  <wp:posOffset>5597757</wp:posOffset>
                </wp:positionH>
                <wp:positionV relativeFrom="paragraph">
                  <wp:posOffset>-322548</wp:posOffset>
                </wp:positionV>
                <wp:extent cx="233045" cy="88900"/>
                <wp:effectExtent l="0" t="0" r="0" b="0"/>
                <wp:wrapNone/>
                <wp:docPr id="2215" name="Textbox 2215"/>
                <wp:cNvGraphicFramePr>
                  <a:graphicFrameLocks/>
                </wp:cNvGraphicFramePr>
                <a:graphic>
                  <a:graphicData uri="http://schemas.microsoft.com/office/word/2010/wordprocessingShape">
                    <wps:wsp>
                      <wps:cNvPr id="2215" name="Textbox 2215"/>
                      <wps:cNvSpPr txBox="1"/>
                      <wps:spPr>
                        <a:xfrm rot="19860000">
                          <a:off x="0" y="0"/>
                          <a:ext cx="23304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Mexico</w:t>
                            </w:r>
                          </w:p>
                        </w:txbxContent>
                      </wps:txbx>
                      <wps:bodyPr wrap="square" lIns="0" tIns="0" rIns="0" bIns="0" rtlCol="0">
                        <a:noAutofit/>
                      </wps:bodyPr>
                    </wps:wsp>
                  </a:graphicData>
                </a:graphic>
              </wp:anchor>
            </w:drawing>
          </mc:Choice>
          <mc:Fallback>
            <w:pict>
              <v:shape style="position:absolute;margin-left:440.768341pt;margin-top:-25.397535pt;width:18.350pt;height:7pt;mso-position-horizontal-relative:page;mso-position-vertical-relative:paragraph;z-index:15893504;rotation:331" type="#_x0000_t136" fillcolor="#000000" stroked="f">
                <o:extrusion v:ext="view" autorotationcenter="t"/>
                <v:textpath style="font-family:&quot;Arial MT&quot;;font-size:7pt;v-text-kern:t;mso-text-shadow:auto" string="Mexico"/>
                <w10:wrap type="none"/>
              </v:shape>
            </w:pict>
          </mc:Fallback>
        </mc:AlternateContent>
      </w:r>
      <w:r>
        <w:rPr/>
        <mc:AlternateContent>
          <mc:Choice Requires="wps">
            <w:drawing>
              <wp:anchor distT="0" distB="0" distL="0" distR="0" allowOverlap="1" layoutInCell="1" locked="0" behindDoc="0" simplePos="0" relativeHeight="15894016">
                <wp:simplePos x="0" y="0"/>
                <wp:positionH relativeFrom="page">
                  <wp:posOffset>5788180</wp:posOffset>
                </wp:positionH>
                <wp:positionV relativeFrom="paragraph">
                  <wp:posOffset>-296807</wp:posOffset>
                </wp:positionV>
                <wp:extent cx="334645" cy="88900"/>
                <wp:effectExtent l="0" t="0" r="0" b="0"/>
                <wp:wrapNone/>
                <wp:docPr id="2216" name="Textbox 2216"/>
                <wp:cNvGraphicFramePr>
                  <a:graphicFrameLocks/>
                </wp:cNvGraphicFramePr>
                <a:graphic>
                  <a:graphicData uri="http://schemas.microsoft.com/office/word/2010/wordprocessingShape">
                    <wps:wsp>
                      <wps:cNvPr id="2216" name="Textbox 2216"/>
                      <wps:cNvSpPr txBox="1"/>
                      <wps:spPr>
                        <a:xfrm rot="19860000">
                          <a:off x="0" y="0"/>
                          <a:ext cx="33464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Singapore</w:t>
                            </w:r>
                          </w:p>
                        </w:txbxContent>
                      </wps:txbx>
                      <wps:bodyPr wrap="square" lIns="0" tIns="0" rIns="0" bIns="0" rtlCol="0">
                        <a:noAutofit/>
                      </wps:bodyPr>
                    </wps:wsp>
                  </a:graphicData>
                </a:graphic>
              </wp:anchor>
            </w:drawing>
          </mc:Choice>
          <mc:Fallback>
            <w:pict>
              <v:shape style="position:absolute;margin-left:455.762207pt;margin-top:-23.370657pt;width:26.35pt;height:7pt;mso-position-horizontal-relative:page;mso-position-vertical-relative:paragraph;z-index:15894016;rotation:331" type="#_x0000_t136" fillcolor="#000000" stroked="f">
                <o:extrusion v:ext="view" autorotationcenter="t"/>
                <v:textpath style="font-family:&quot;Arial MT&quot;;font-size:7pt;v-text-kern:t;mso-text-shadow:auto" string="Singapore"/>
                <w10:wrap type="none"/>
              </v:shape>
            </w:pict>
          </mc:Fallback>
        </mc:AlternateContent>
      </w:r>
      <w:r>
        <w:rPr>
          <w:i/>
          <w:w w:val="90"/>
          <w:sz w:val="16"/>
        </w:rPr>
        <w:t>Source:</w:t>
      </w:r>
      <w:r>
        <w:rPr>
          <w:i/>
          <w:spacing w:val="8"/>
          <w:sz w:val="16"/>
        </w:rPr>
        <w:t> </w:t>
      </w:r>
      <w:r>
        <w:rPr>
          <w:w w:val="90"/>
          <w:sz w:val="16"/>
        </w:rPr>
        <w:t>WIPO</w:t>
      </w:r>
      <w:r>
        <w:rPr>
          <w:spacing w:val="13"/>
          <w:sz w:val="16"/>
        </w:rPr>
        <w:t> </w:t>
      </w:r>
      <w:r>
        <w:rPr>
          <w:w w:val="90"/>
          <w:sz w:val="16"/>
        </w:rPr>
        <w:t>Statistics</w:t>
      </w:r>
      <w:r>
        <w:rPr>
          <w:spacing w:val="12"/>
          <w:sz w:val="16"/>
        </w:rPr>
        <w:t> </w:t>
      </w:r>
      <w:r>
        <w:rPr>
          <w:spacing w:val="-2"/>
          <w:w w:val="90"/>
          <w:sz w:val="16"/>
        </w:rPr>
        <w:t>Database</w:t>
      </w:r>
    </w:p>
    <w:p>
      <w:pPr>
        <w:spacing w:after="0"/>
        <w:jc w:val="left"/>
        <w:rPr>
          <w:sz w:val="16"/>
        </w:rPr>
        <w:sectPr>
          <w:pgSz w:w="11910" w:h="16840"/>
          <w:pgMar w:header="0" w:footer="675" w:top="940" w:bottom="8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6"/>
        <w:rPr>
          <w:sz w:val="20"/>
        </w:rPr>
      </w:pPr>
    </w:p>
    <w:p>
      <w:pPr>
        <w:spacing w:after="0"/>
        <w:rPr>
          <w:sz w:val="20"/>
        </w:rPr>
        <w:sectPr>
          <w:pgSz w:w="11910" w:h="16840"/>
          <w:pgMar w:header="0" w:footer="675" w:top="0" w:bottom="860" w:left="0" w:right="0"/>
        </w:sectPr>
      </w:pPr>
    </w:p>
    <w:p>
      <w:pPr>
        <w:pStyle w:val="Heading6"/>
        <w:spacing w:before="79"/>
        <w:ind w:left="1080" w:firstLine="0"/>
      </w:pPr>
      <w:r>
        <w:rPr/>
        <mc:AlternateContent>
          <mc:Choice Requires="wps">
            <w:drawing>
              <wp:anchor distT="0" distB="0" distL="0" distR="0" allowOverlap="1" layoutInCell="1" locked="0" behindDoc="0" simplePos="0" relativeHeight="15895040">
                <wp:simplePos x="0" y="0"/>
                <wp:positionH relativeFrom="page">
                  <wp:posOffset>0</wp:posOffset>
                </wp:positionH>
                <wp:positionV relativeFrom="paragraph">
                  <wp:posOffset>-2389776</wp:posOffset>
                </wp:positionV>
                <wp:extent cx="7560309" cy="1752600"/>
                <wp:effectExtent l="0" t="0" r="0" b="0"/>
                <wp:wrapNone/>
                <wp:docPr id="2217" name="Group 2217"/>
                <wp:cNvGraphicFramePr>
                  <a:graphicFrameLocks/>
                </wp:cNvGraphicFramePr>
                <a:graphic>
                  <a:graphicData uri="http://schemas.microsoft.com/office/word/2010/wordprocessingGroup">
                    <wpg:wgp>
                      <wpg:cNvPr id="2217" name="Group 2217"/>
                      <wpg:cNvGrpSpPr/>
                      <wpg:grpSpPr>
                        <a:xfrm>
                          <a:off x="0" y="0"/>
                          <a:ext cx="7560309" cy="1752600"/>
                          <a:chExt cx="7560309" cy="1752600"/>
                        </a:xfrm>
                      </wpg:grpSpPr>
                      <pic:pic>
                        <pic:nvPicPr>
                          <pic:cNvPr id="2218" name="Image 2218"/>
                          <pic:cNvPicPr/>
                        </pic:nvPicPr>
                        <pic:blipFill>
                          <a:blip r:embed="rId612" cstate="print"/>
                          <a:stretch>
                            <a:fillRect/>
                          </a:stretch>
                        </pic:blipFill>
                        <pic:spPr>
                          <a:xfrm>
                            <a:off x="0" y="0"/>
                            <a:ext cx="7559999" cy="1752562"/>
                          </a:xfrm>
                          <a:prstGeom prst="rect">
                            <a:avLst/>
                          </a:prstGeom>
                        </pic:spPr>
                      </pic:pic>
                      <wps:wsp>
                        <wps:cNvPr id="2219" name="Textbox 2219"/>
                        <wps:cNvSpPr txBox="1"/>
                        <wps:spPr>
                          <a:xfrm>
                            <a:off x="0" y="0"/>
                            <a:ext cx="7560309" cy="1752600"/>
                          </a:xfrm>
                          <a:prstGeom prst="rect">
                            <a:avLst/>
                          </a:prstGeom>
                        </wps:spPr>
                        <wps:txbx>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pacing w:val="-2"/>
                                  <w:sz w:val="68"/>
                                </w:rPr>
                                <w:t>Entrepreneurship</w:t>
                              </w:r>
                            </w:p>
                          </w:txbxContent>
                        </wps:txbx>
                        <wps:bodyPr wrap="square" lIns="0" tIns="0" rIns="0" bIns="0" rtlCol="0">
                          <a:noAutofit/>
                        </wps:bodyPr>
                      </wps:wsp>
                    </wpg:wgp>
                  </a:graphicData>
                </a:graphic>
              </wp:anchor>
            </w:drawing>
          </mc:Choice>
          <mc:Fallback>
            <w:pict>
              <v:group style="position:absolute;margin-left:0pt;margin-top:-188.171341pt;width:595.3pt;height:138pt;mso-position-horizontal-relative:page;mso-position-vertical-relative:paragraph;z-index:15895040" id="docshapegroup2157" coordorigin="0,-3763" coordsize="11906,2760">
                <v:shape style="position:absolute;left:0;top:-3764;width:11906;height:2760" type="#_x0000_t75" id="docshape2158" stroked="false">
                  <v:imagedata r:id="rId612" o:title=""/>
                </v:shape>
                <v:shape style="position:absolute;left:0;top:-3764;width:11906;height:2760" type="#_x0000_t202" id="docshape2159" filled="false" stroked="false">
                  <v:textbox inset="0,0,0,0">
                    <w:txbxContent>
                      <w:p>
                        <w:pPr>
                          <w:spacing w:line="240" w:lineRule="auto" w:before="160"/>
                          <w:rPr>
                            <w:sz w:val="68"/>
                          </w:rPr>
                        </w:pPr>
                      </w:p>
                      <w:p>
                        <w:pPr>
                          <w:spacing w:before="1"/>
                          <w:ind w:left="1079" w:right="0" w:firstLine="0"/>
                          <w:jc w:val="left"/>
                          <w:rPr>
                            <w:rFonts w:ascii="Trebuchet MS"/>
                            <w:b/>
                            <w:sz w:val="68"/>
                          </w:rPr>
                        </w:pPr>
                        <w:r>
                          <w:rPr>
                            <w:rFonts w:ascii="Trebuchet MS"/>
                            <w:b/>
                            <w:color w:val="FFFFFF"/>
                            <w:spacing w:val="-2"/>
                            <w:sz w:val="68"/>
                          </w:rPr>
                          <w:t>Entrepreneurship</w:t>
                        </w:r>
                      </w:p>
                    </w:txbxContent>
                  </v:textbox>
                  <w10:wrap type="none"/>
                </v:shape>
                <w10:wrap type="none"/>
              </v:group>
            </w:pict>
          </mc:Fallback>
        </mc:AlternateContent>
      </w:r>
      <w:r>
        <w:rPr>
          <w:color w:val="2E614A"/>
          <w:spacing w:val="-2"/>
        </w:rPr>
        <w:t>Introduction</w:t>
      </w:r>
    </w:p>
    <w:p>
      <w:pPr>
        <w:pStyle w:val="BodyText"/>
        <w:spacing w:line="266" w:lineRule="auto" w:before="285"/>
        <w:ind w:left="1079" w:firstLine="621"/>
        <w:jc w:val="right"/>
      </w:pPr>
      <w:r>
        <w:rPr/>
        <mc:AlternateContent>
          <mc:Choice Requires="wps">
            <w:drawing>
              <wp:anchor distT="0" distB="0" distL="0" distR="0" allowOverlap="1" layoutInCell="1" locked="0" behindDoc="0" simplePos="0" relativeHeight="15895552">
                <wp:simplePos x="0" y="0"/>
                <wp:positionH relativeFrom="page">
                  <wp:posOffset>685800</wp:posOffset>
                </wp:positionH>
                <wp:positionV relativeFrom="paragraph">
                  <wp:posOffset>92140</wp:posOffset>
                </wp:positionV>
                <wp:extent cx="394970" cy="757555"/>
                <wp:effectExtent l="0" t="0" r="0" b="0"/>
                <wp:wrapNone/>
                <wp:docPr id="2220" name="Textbox 2220"/>
                <wp:cNvGraphicFramePr>
                  <a:graphicFrameLocks/>
                </wp:cNvGraphicFramePr>
                <a:graphic>
                  <a:graphicData uri="http://schemas.microsoft.com/office/word/2010/wordprocessingShape">
                    <wps:wsp>
                      <wps:cNvPr id="2220" name="Textbox 2220"/>
                      <wps:cNvSpPr txBox="1"/>
                      <wps:spPr>
                        <a:xfrm>
                          <a:off x="0" y="0"/>
                          <a:ext cx="394970" cy="757555"/>
                        </a:xfrm>
                        <a:prstGeom prst="rect">
                          <a:avLst/>
                        </a:prstGeom>
                      </wps:spPr>
                      <wps:txbx>
                        <w:txbxContent>
                          <w:p>
                            <w:pPr>
                              <w:spacing w:line="1135" w:lineRule="exact" w:before="0"/>
                              <w:ind w:left="0" w:right="0" w:firstLine="0"/>
                              <w:jc w:val="left"/>
                              <w:rPr>
                                <w:sz w:val="106"/>
                              </w:rPr>
                            </w:pPr>
                            <w:r>
                              <w:rPr>
                                <w:color w:val="9CBF3B"/>
                                <w:spacing w:val="-37"/>
                                <w:sz w:val="106"/>
                              </w:rPr>
                              <w:t>E</w:t>
                            </w:r>
                          </w:p>
                        </w:txbxContent>
                      </wps:txbx>
                      <wps:bodyPr wrap="square" lIns="0" tIns="0" rIns="0" bIns="0" rtlCol="0">
                        <a:noAutofit/>
                      </wps:bodyPr>
                    </wps:wsp>
                  </a:graphicData>
                </a:graphic>
              </wp:anchor>
            </w:drawing>
          </mc:Choice>
          <mc:Fallback>
            <w:pict>
              <v:shape style="position:absolute;margin-left:54pt;margin-top:7.255149pt;width:31.1pt;height:59.65pt;mso-position-horizontal-relative:page;mso-position-vertical-relative:paragraph;z-index:15895552" type="#_x0000_t202" id="docshape2160" filled="false" stroked="false">
                <v:textbox inset="0,0,0,0">
                  <w:txbxContent>
                    <w:p>
                      <w:pPr>
                        <w:spacing w:line="1135" w:lineRule="exact" w:before="0"/>
                        <w:ind w:left="0" w:right="0" w:firstLine="0"/>
                        <w:jc w:val="left"/>
                        <w:rPr>
                          <w:sz w:val="106"/>
                        </w:rPr>
                      </w:pPr>
                      <w:r>
                        <w:rPr>
                          <w:color w:val="9CBF3B"/>
                          <w:spacing w:val="-37"/>
                          <w:sz w:val="106"/>
                        </w:rPr>
                        <w:t>E</w:t>
                      </w:r>
                    </w:p>
                  </w:txbxContent>
                </v:textbox>
                <w10:wrap type="none"/>
              </v:shape>
            </w:pict>
          </mc:Fallback>
        </mc:AlternateContent>
      </w:r>
      <w:r>
        <w:rPr>
          <w:spacing w:val="-2"/>
        </w:rPr>
        <w:t>ntrepreneurship</w:t>
      </w:r>
      <w:r>
        <w:rPr>
          <w:spacing w:val="-12"/>
        </w:rPr>
        <w:t> </w:t>
      </w:r>
      <w:r>
        <w:rPr>
          <w:spacing w:val="-2"/>
        </w:rPr>
        <w:t>is</w:t>
      </w:r>
      <w:r>
        <w:rPr>
          <w:spacing w:val="-12"/>
        </w:rPr>
        <w:t> </w:t>
      </w:r>
      <w:r>
        <w:rPr>
          <w:spacing w:val="-2"/>
        </w:rPr>
        <w:t>considered</w:t>
      </w:r>
      <w:r>
        <w:rPr>
          <w:spacing w:val="-12"/>
        </w:rPr>
        <w:t> </w:t>
      </w:r>
      <w:r>
        <w:rPr>
          <w:spacing w:val="-2"/>
        </w:rPr>
        <w:t>to</w:t>
      </w:r>
      <w:r>
        <w:rPr>
          <w:spacing w:val="-11"/>
        </w:rPr>
        <w:t> </w:t>
      </w:r>
      <w:r>
        <w:rPr>
          <w:spacing w:val="-2"/>
        </w:rPr>
        <w:t>be</w:t>
      </w:r>
      <w:r>
        <w:rPr>
          <w:spacing w:val="-12"/>
        </w:rPr>
        <w:t> </w:t>
      </w:r>
      <w:r>
        <w:rPr>
          <w:spacing w:val="-2"/>
        </w:rPr>
        <w:t>a</w:t>
      </w:r>
      <w:r>
        <w:rPr>
          <w:spacing w:val="-12"/>
        </w:rPr>
        <w:t> </w:t>
      </w:r>
      <w:r>
        <w:rPr>
          <w:spacing w:val="-2"/>
        </w:rPr>
        <w:t>significant </w:t>
      </w:r>
      <w:r>
        <w:rPr/>
        <w:t>determinant</w:t>
      </w:r>
      <w:r>
        <w:rPr>
          <w:spacing w:val="40"/>
        </w:rPr>
        <w:t> </w:t>
      </w:r>
      <w:r>
        <w:rPr/>
        <w:t>of</w:t>
      </w:r>
      <w:r>
        <w:rPr>
          <w:spacing w:val="40"/>
        </w:rPr>
        <w:t> </w:t>
      </w:r>
      <w:r>
        <w:rPr/>
        <w:t>economic</w:t>
      </w:r>
      <w:r>
        <w:rPr>
          <w:spacing w:val="40"/>
        </w:rPr>
        <w:t> </w:t>
      </w:r>
      <w:r>
        <w:rPr/>
        <w:t>development.</w:t>
      </w:r>
      <w:r>
        <w:rPr>
          <w:spacing w:val="40"/>
        </w:rPr>
        <w:t> </w:t>
      </w:r>
      <w:r>
        <w:rPr/>
        <w:t>New entrepreneurial activities play a vital part in the </w:t>
      </w:r>
      <w:r>
        <w:rPr>
          <w:spacing w:val="-4"/>
        </w:rPr>
        <w:t>process</w:t>
      </w:r>
      <w:r>
        <w:rPr>
          <w:spacing w:val="11"/>
        </w:rPr>
        <w:t> </w:t>
      </w:r>
      <w:r>
        <w:rPr>
          <w:spacing w:val="-4"/>
        </w:rPr>
        <w:t>of</w:t>
      </w:r>
      <w:r>
        <w:rPr>
          <w:spacing w:val="11"/>
        </w:rPr>
        <w:t> </w:t>
      </w:r>
      <w:r>
        <w:rPr>
          <w:i/>
          <w:spacing w:val="-4"/>
        </w:rPr>
        <w:t>creative</w:t>
      </w:r>
      <w:r>
        <w:rPr>
          <w:i/>
          <w:spacing w:val="11"/>
        </w:rPr>
        <w:t> </w:t>
      </w:r>
      <w:r>
        <w:rPr>
          <w:i/>
          <w:spacing w:val="-4"/>
        </w:rPr>
        <w:t>destruction</w:t>
      </w:r>
      <w:r>
        <w:rPr>
          <w:i/>
          <w:spacing w:val="11"/>
        </w:rPr>
        <w:t> </w:t>
      </w:r>
      <w:r>
        <w:rPr>
          <w:spacing w:val="-4"/>
        </w:rPr>
        <w:t>that</w:t>
      </w:r>
      <w:r>
        <w:rPr>
          <w:spacing w:val="11"/>
        </w:rPr>
        <w:t> </w:t>
      </w:r>
      <w:r>
        <w:rPr>
          <w:spacing w:val="-4"/>
        </w:rPr>
        <w:t>fosters</w:t>
      </w:r>
      <w:r>
        <w:rPr>
          <w:spacing w:val="11"/>
        </w:rPr>
        <w:t> </w:t>
      </w:r>
      <w:r>
        <w:rPr>
          <w:spacing w:val="-4"/>
        </w:rPr>
        <w:t>innovation, </w:t>
      </w:r>
      <w:r>
        <w:rPr>
          <w:spacing w:val="-2"/>
        </w:rPr>
        <w:t>employment,</w:t>
      </w:r>
      <w:r>
        <w:rPr>
          <w:spacing w:val="-12"/>
        </w:rPr>
        <w:t> </w:t>
      </w:r>
      <w:r>
        <w:rPr>
          <w:spacing w:val="-2"/>
        </w:rPr>
        <w:t>and</w:t>
      </w:r>
      <w:r>
        <w:rPr>
          <w:spacing w:val="-12"/>
        </w:rPr>
        <w:t> </w:t>
      </w:r>
      <w:r>
        <w:rPr>
          <w:spacing w:val="-2"/>
        </w:rPr>
        <w:t>growth.</w:t>
      </w:r>
      <w:r>
        <w:rPr>
          <w:spacing w:val="-12"/>
        </w:rPr>
        <w:t> </w:t>
      </w:r>
      <w:r>
        <w:rPr>
          <w:spacing w:val="-2"/>
        </w:rPr>
        <w:t>While</w:t>
      </w:r>
      <w:r>
        <w:rPr>
          <w:spacing w:val="-11"/>
        </w:rPr>
        <w:t> </w:t>
      </w:r>
      <w:r>
        <w:rPr>
          <w:spacing w:val="-2"/>
        </w:rPr>
        <w:t>India</w:t>
      </w:r>
      <w:r>
        <w:rPr>
          <w:spacing w:val="-12"/>
        </w:rPr>
        <w:t> </w:t>
      </w:r>
      <w:r>
        <w:rPr>
          <w:spacing w:val="-2"/>
        </w:rPr>
        <w:t>has</w:t>
      </w:r>
      <w:r>
        <w:rPr>
          <w:spacing w:val="-12"/>
        </w:rPr>
        <w:t> </w:t>
      </w:r>
      <w:r>
        <w:rPr>
          <w:spacing w:val="-2"/>
        </w:rPr>
        <w:t>traditionally </w:t>
      </w:r>
      <w:r>
        <w:rPr/>
        <w:t>been</w:t>
      </w:r>
      <w:r>
        <w:rPr>
          <w:spacing w:val="40"/>
        </w:rPr>
        <w:t> </w:t>
      </w:r>
      <w:r>
        <w:rPr/>
        <w:t>an</w:t>
      </w:r>
      <w:r>
        <w:rPr>
          <w:spacing w:val="40"/>
        </w:rPr>
        <w:t> </w:t>
      </w:r>
      <w:r>
        <w:rPr/>
        <w:t>entrepreneurial</w:t>
      </w:r>
      <w:r>
        <w:rPr>
          <w:spacing w:val="40"/>
        </w:rPr>
        <w:t> </w:t>
      </w:r>
      <w:r>
        <w:rPr/>
        <w:t>country,</w:t>
      </w:r>
      <w:r>
        <w:rPr>
          <w:spacing w:val="40"/>
        </w:rPr>
        <w:t> </w:t>
      </w:r>
      <w:r>
        <w:rPr/>
        <w:t>it</w:t>
      </w:r>
      <w:r>
        <w:rPr>
          <w:spacing w:val="40"/>
        </w:rPr>
        <w:t> </w:t>
      </w:r>
      <w:r>
        <w:rPr/>
        <w:t>fares</w:t>
      </w:r>
      <w:r>
        <w:rPr>
          <w:spacing w:val="40"/>
        </w:rPr>
        <w:t> </w:t>
      </w:r>
      <w:r>
        <w:rPr/>
        <w:t>poorly</w:t>
      </w:r>
      <w:r>
        <w:rPr>
          <w:spacing w:val="40"/>
        </w:rPr>
        <w:t> </w:t>
      </w:r>
      <w:r>
        <w:rPr/>
        <w:t>in </w:t>
      </w:r>
      <w:r>
        <w:rPr>
          <w:spacing w:val="-2"/>
        </w:rPr>
        <w:t>numerous global studies exploring the entrepreneurial </w:t>
      </w:r>
      <w:r>
        <w:rPr/>
        <w:t>and</w:t>
      </w:r>
      <w:r>
        <w:rPr>
          <w:spacing w:val="20"/>
        </w:rPr>
        <w:t> </w:t>
      </w:r>
      <w:r>
        <w:rPr/>
        <w:t>business</w:t>
      </w:r>
      <w:r>
        <w:rPr>
          <w:spacing w:val="19"/>
        </w:rPr>
        <w:t> </w:t>
      </w:r>
      <w:r>
        <w:rPr/>
        <w:t>potential</w:t>
      </w:r>
      <w:r>
        <w:rPr>
          <w:spacing w:val="19"/>
        </w:rPr>
        <w:t> </w:t>
      </w:r>
      <w:r>
        <w:rPr/>
        <w:t>of</w:t>
      </w:r>
      <w:r>
        <w:rPr>
          <w:spacing w:val="19"/>
        </w:rPr>
        <w:t> </w:t>
      </w:r>
      <w:r>
        <w:rPr/>
        <w:t>countries.</w:t>
      </w:r>
      <w:r>
        <w:rPr>
          <w:spacing w:val="20"/>
        </w:rPr>
        <w:t> </w:t>
      </w:r>
      <w:r>
        <w:rPr/>
        <w:t>For</w:t>
      </w:r>
      <w:r>
        <w:rPr>
          <w:spacing w:val="19"/>
        </w:rPr>
        <w:t> </w:t>
      </w:r>
      <w:r>
        <w:rPr/>
        <w:t>instance,</w:t>
      </w:r>
      <w:r>
        <w:rPr>
          <w:spacing w:val="19"/>
        </w:rPr>
        <w:t> </w:t>
      </w:r>
      <w:r>
        <w:rPr/>
        <w:t>in the</w:t>
      </w:r>
      <w:r>
        <w:rPr>
          <w:spacing w:val="-3"/>
        </w:rPr>
        <w:t> </w:t>
      </w:r>
      <w:r>
        <w:rPr/>
        <w:t>World</w:t>
      </w:r>
      <w:r>
        <w:rPr>
          <w:spacing w:val="-1"/>
        </w:rPr>
        <w:t> </w:t>
      </w:r>
      <w:r>
        <w:rPr/>
        <w:t>Bank</w:t>
      </w:r>
      <w:r>
        <w:rPr>
          <w:spacing w:val="-1"/>
        </w:rPr>
        <w:t> </w:t>
      </w:r>
      <w:r>
        <w:rPr/>
        <w:t>Doing</w:t>
      </w:r>
      <w:r>
        <w:rPr>
          <w:spacing w:val="-1"/>
        </w:rPr>
        <w:t> </w:t>
      </w:r>
      <w:r>
        <w:rPr/>
        <w:t>Business</w:t>
      </w:r>
      <w:r>
        <w:rPr>
          <w:spacing w:val="-1"/>
        </w:rPr>
        <w:t> </w:t>
      </w:r>
      <w:r>
        <w:rPr/>
        <w:t>report</w:t>
      </w:r>
      <w:r>
        <w:rPr>
          <w:spacing w:val="-1"/>
        </w:rPr>
        <w:t> </w:t>
      </w:r>
      <w:r>
        <w:rPr/>
        <w:t>(2008)</w:t>
      </w:r>
      <w:r>
        <w:rPr>
          <w:spacing w:val="-1"/>
        </w:rPr>
        <w:t> </w:t>
      </w:r>
      <w:r>
        <w:rPr/>
        <w:t>which </w:t>
      </w:r>
      <w:r>
        <w:rPr>
          <w:spacing w:val="-4"/>
        </w:rPr>
        <w:t>investigates</w:t>
      </w:r>
      <w:r>
        <w:rPr/>
        <w:t> </w:t>
      </w:r>
      <w:r>
        <w:rPr>
          <w:spacing w:val="-4"/>
        </w:rPr>
        <w:t>regulations</w:t>
      </w:r>
      <w:r>
        <w:rPr/>
        <w:t> </w:t>
      </w:r>
      <w:r>
        <w:rPr>
          <w:spacing w:val="-4"/>
        </w:rPr>
        <w:t>that</w:t>
      </w:r>
      <w:r>
        <w:rPr/>
        <w:t> </w:t>
      </w:r>
      <w:r>
        <w:rPr>
          <w:spacing w:val="-4"/>
        </w:rPr>
        <w:t>enhance</w:t>
      </w:r>
      <w:r>
        <w:rPr/>
        <w:t> </w:t>
      </w:r>
      <w:r>
        <w:rPr>
          <w:spacing w:val="-4"/>
        </w:rPr>
        <w:t>business</w:t>
      </w:r>
      <w:r>
        <w:rPr/>
        <w:t> </w:t>
      </w:r>
      <w:r>
        <w:rPr>
          <w:spacing w:val="-4"/>
        </w:rPr>
        <w:t>activity, </w:t>
      </w:r>
      <w:r>
        <w:rPr>
          <w:spacing w:val="-2"/>
        </w:rPr>
        <w:t>India</w:t>
      </w:r>
      <w:r>
        <w:rPr>
          <w:spacing w:val="-12"/>
        </w:rPr>
        <w:t> </w:t>
      </w:r>
      <w:r>
        <w:rPr>
          <w:spacing w:val="-2"/>
        </w:rPr>
        <w:t>is</w:t>
      </w:r>
      <w:r>
        <w:rPr>
          <w:spacing w:val="-12"/>
        </w:rPr>
        <w:t> </w:t>
      </w:r>
      <w:r>
        <w:rPr>
          <w:spacing w:val="-2"/>
        </w:rPr>
        <w:t>ranked</w:t>
      </w:r>
      <w:r>
        <w:rPr>
          <w:spacing w:val="-12"/>
        </w:rPr>
        <w:t> </w:t>
      </w:r>
      <w:r>
        <w:rPr>
          <w:spacing w:val="-2"/>
        </w:rPr>
        <w:t>120</w:t>
      </w:r>
      <w:r>
        <w:rPr>
          <w:spacing w:val="-11"/>
        </w:rPr>
        <w:t> </w:t>
      </w:r>
      <w:r>
        <w:rPr>
          <w:spacing w:val="-2"/>
        </w:rPr>
        <w:t>out</w:t>
      </w:r>
      <w:r>
        <w:rPr>
          <w:spacing w:val="-12"/>
        </w:rPr>
        <w:t> </w:t>
      </w:r>
      <w:r>
        <w:rPr>
          <w:spacing w:val="-2"/>
        </w:rPr>
        <w:t>of</w:t>
      </w:r>
      <w:r>
        <w:rPr>
          <w:spacing w:val="-12"/>
        </w:rPr>
        <w:t> </w:t>
      </w:r>
      <w:r>
        <w:rPr>
          <w:spacing w:val="-2"/>
        </w:rPr>
        <w:t>178</w:t>
      </w:r>
      <w:r>
        <w:rPr>
          <w:spacing w:val="-12"/>
        </w:rPr>
        <w:t> </w:t>
      </w:r>
      <w:r>
        <w:rPr>
          <w:spacing w:val="-2"/>
        </w:rPr>
        <w:t>economies.</w:t>
      </w:r>
      <w:r>
        <w:rPr>
          <w:spacing w:val="-11"/>
        </w:rPr>
        <w:t> </w:t>
      </w:r>
      <w:r>
        <w:rPr>
          <w:spacing w:val="-2"/>
        </w:rPr>
        <w:t>Similarly,</w:t>
      </w:r>
      <w:r>
        <w:rPr>
          <w:spacing w:val="-12"/>
        </w:rPr>
        <w:t> </w:t>
      </w:r>
      <w:r>
        <w:rPr>
          <w:spacing w:val="-2"/>
        </w:rPr>
        <w:t>in the</w:t>
      </w:r>
      <w:r>
        <w:rPr>
          <w:spacing w:val="-6"/>
        </w:rPr>
        <w:t> </w:t>
      </w:r>
      <w:r>
        <w:rPr>
          <w:spacing w:val="-2"/>
        </w:rPr>
        <w:t>World Economic Forum’s</w:t>
      </w:r>
      <w:r>
        <w:rPr>
          <w:spacing w:val="-3"/>
        </w:rPr>
        <w:t> </w:t>
      </w:r>
      <w:r>
        <w:rPr>
          <w:spacing w:val="-2"/>
        </w:rPr>
        <w:t>Global </w:t>
      </w:r>
      <w:r>
        <w:rPr>
          <w:spacing w:val="-5"/>
        </w:rPr>
        <w:t>Competitiveness</w:t>
      </w:r>
    </w:p>
    <w:p>
      <w:pPr>
        <w:pStyle w:val="BodyText"/>
        <w:spacing w:line="243" w:lineRule="exact"/>
        <w:ind w:left="1079"/>
        <w:jc w:val="both"/>
      </w:pPr>
      <w:r>
        <w:rPr/>
        <w:t>Index</w:t>
      </w:r>
      <w:r>
        <w:rPr>
          <w:spacing w:val="-12"/>
        </w:rPr>
        <w:t> </w:t>
      </w:r>
      <w:r>
        <w:rPr/>
        <w:t>(2007),</w:t>
      </w:r>
      <w:r>
        <w:rPr>
          <w:spacing w:val="-11"/>
        </w:rPr>
        <w:t> </w:t>
      </w:r>
      <w:r>
        <w:rPr/>
        <w:t>India</w:t>
      </w:r>
      <w:r>
        <w:rPr>
          <w:spacing w:val="-11"/>
        </w:rPr>
        <w:t> </w:t>
      </w:r>
      <w:r>
        <w:rPr/>
        <w:t>ranks</w:t>
      </w:r>
      <w:r>
        <w:rPr>
          <w:spacing w:val="-11"/>
        </w:rPr>
        <w:t> </w:t>
      </w:r>
      <w:r>
        <w:rPr/>
        <w:t>48</w:t>
      </w:r>
      <w:r>
        <w:rPr>
          <w:position w:val="7"/>
          <w:sz w:val="13"/>
        </w:rPr>
        <w:t>th</w:t>
      </w:r>
      <w:r>
        <w:rPr>
          <w:spacing w:val="10"/>
          <w:position w:val="7"/>
          <w:sz w:val="13"/>
        </w:rPr>
        <w:t> </w:t>
      </w:r>
      <w:r>
        <w:rPr/>
        <w:t>among</w:t>
      </w:r>
      <w:r>
        <w:rPr>
          <w:spacing w:val="-11"/>
        </w:rPr>
        <w:t> </w:t>
      </w:r>
      <w:r>
        <w:rPr/>
        <w:t>131</w:t>
      </w:r>
      <w:r>
        <w:rPr>
          <w:spacing w:val="-11"/>
        </w:rPr>
        <w:t> </w:t>
      </w:r>
      <w:r>
        <w:rPr>
          <w:spacing w:val="-2"/>
        </w:rPr>
        <w:t>countries.</w:t>
      </w:r>
    </w:p>
    <w:p>
      <w:pPr>
        <w:pStyle w:val="Heading6"/>
        <w:spacing w:before="214"/>
        <w:ind w:left="1080" w:firstLine="0"/>
      </w:pPr>
      <w:r>
        <w:rPr>
          <w:color w:val="2E614A"/>
          <w:w w:val="90"/>
        </w:rPr>
        <w:t>Current</w:t>
      </w:r>
      <w:r>
        <w:rPr>
          <w:color w:val="2E614A"/>
          <w:spacing w:val="-1"/>
          <w:w w:val="90"/>
        </w:rPr>
        <w:t> </w:t>
      </w:r>
      <w:r>
        <w:rPr>
          <w:color w:val="2E614A"/>
          <w:spacing w:val="-2"/>
        </w:rPr>
        <w:t>Scenario</w:t>
      </w:r>
    </w:p>
    <w:p>
      <w:pPr>
        <w:pStyle w:val="BodyText"/>
        <w:spacing w:line="266" w:lineRule="auto" w:before="285"/>
        <w:ind w:left="1080"/>
        <w:jc w:val="both"/>
      </w:pPr>
      <w:r>
        <w:rPr/>
        <w:t>According to the Global Entrepreneurship Monitor (2007) report, India’s High-Growth Expectation Early-Stage</w:t>
      </w:r>
      <w:r>
        <w:rPr>
          <w:spacing w:val="-14"/>
        </w:rPr>
        <w:t> </w:t>
      </w:r>
      <w:r>
        <w:rPr/>
        <w:t>Entrepreneurship</w:t>
      </w:r>
      <w:r>
        <w:rPr>
          <w:spacing w:val="-14"/>
        </w:rPr>
        <w:t> </w:t>
      </w:r>
      <w:r>
        <w:rPr/>
        <w:t>(HEA)</w:t>
      </w:r>
      <w:r>
        <w:rPr>
          <w:spacing w:val="-14"/>
        </w:rPr>
        <w:t> </w:t>
      </w:r>
      <w:r>
        <w:rPr/>
        <w:t>rate</w:t>
      </w:r>
      <w:r>
        <w:rPr>
          <w:spacing w:val="-13"/>
        </w:rPr>
        <w:t> </w:t>
      </w:r>
      <w:r>
        <w:rPr/>
        <w:t>is</w:t>
      </w:r>
      <w:r>
        <w:rPr>
          <w:spacing w:val="-14"/>
        </w:rPr>
        <w:t> </w:t>
      </w:r>
      <w:r>
        <w:rPr/>
        <w:t>only</w:t>
      </w:r>
      <w:r>
        <w:rPr>
          <w:spacing w:val="-14"/>
        </w:rPr>
        <w:t> </w:t>
      </w:r>
      <w:r>
        <w:rPr/>
        <w:t>one- fifth of that of China. Further, among medium and low</w:t>
      </w:r>
      <w:r>
        <w:rPr>
          <w:spacing w:val="-13"/>
        </w:rPr>
        <w:t> </w:t>
      </w:r>
      <w:r>
        <w:rPr/>
        <w:t>income</w:t>
      </w:r>
      <w:r>
        <w:rPr>
          <w:spacing w:val="-13"/>
        </w:rPr>
        <w:t> </w:t>
      </w:r>
      <w:r>
        <w:rPr/>
        <w:t>countries,</w:t>
      </w:r>
      <w:r>
        <w:rPr>
          <w:spacing w:val="-13"/>
        </w:rPr>
        <w:t> </w:t>
      </w:r>
      <w:r>
        <w:rPr/>
        <w:t>while</w:t>
      </w:r>
      <w:r>
        <w:rPr>
          <w:spacing w:val="-13"/>
        </w:rPr>
        <w:t> </w:t>
      </w:r>
      <w:r>
        <w:rPr/>
        <w:t>China’s</w:t>
      </w:r>
      <w:r>
        <w:rPr>
          <w:spacing w:val="-13"/>
        </w:rPr>
        <w:t> </w:t>
      </w:r>
      <w:r>
        <w:rPr/>
        <w:t>nascent</w:t>
      </w:r>
      <w:r>
        <w:rPr>
          <w:spacing w:val="-13"/>
        </w:rPr>
        <w:t> </w:t>
      </w:r>
      <w:r>
        <w:rPr/>
        <w:t>and</w:t>
      </w:r>
      <w:r>
        <w:rPr>
          <w:spacing w:val="-13"/>
        </w:rPr>
        <w:t> </w:t>
      </w:r>
      <w:r>
        <w:rPr/>
        <w:t>new entrepreneurs</w:t>
      </w:r>
      <w:r>
        <w:rPr>
          <w:spacing w:val="-3"/>
        </w:rPr>
        <w:t> </w:t>
      </w:r>
      <w:r>
        <w:rPr/>
        <w:t>appear</w:t>
      </w:r>
      <w:r>
        <w:rPr>
          <w:spacing w:val="-2"/>
        </w:rPr>
        <w:t> </w:t>
      </w:r>
      <w:r>
        <w:rPr/>
        <w:t>to</w:t>
      </w:r>
      <w:r>
        <w:rPr>
          <w:spacing w:val="-2"/>
        </w:rPr>
        <w:t> </w:t>
      </w:r>
      <w:r>
        <w:rPr/>
        <w:t>be</w:t>
      </w:r>
      <w:r>
        <w:rPr>
          <w:spacing w:val="-2"/>
        </w:rPr>
        <w:t> </w:t>
      </w:r>
      <w:r>
        <w:rPr/>
        <w:t>the</w:t>
      </w:r>
      <w:r>
        <w:rPr>
          <w:spacing w:val="-2"/>
        </w:rPr>
        <w:t> </w:t>
      </w:r>
      <w:r>
        <w:rPr/>
        <w:t>most</w:t>
      </w:r>
      <w:r>
        <w:rPr>
          <w:spacing w:val="-3"/>
        </w:rPr>
        <w:t> </w:t>
      </w:r>
      <w:r>
        <w:rPr/>
        <w:t>growth-</w:t>
      </w:r>
      <w:r>
        <w:rPr>
          <w:spacing w:val="-2"/>
        </w:rPr>
        <w:t>oriented,</w:t>
      </w:r>
    </w:p>
    <w:p>
      <w:pPr>
        <w:pStyle w:val="BodyText"/>
        <w:spacing w:line="266" w:lineRule="auto" w:before="153"/>
        <w:ind w:left="319" w:right="1077"/>
        <w:jc w:val="both"/>
      </w:pPr>
      <w:r>
        <w:rPr/>
        <w:br w:type="column"/>
      </w:r>
      <w:r>
        <w:rPr/>
        <w:t>with</w:t>
      </w:r>
      <w:r>
        <w:rPr>
          <w:spacing w:val="40"/>
        </w:rPr>
        <w:t> </w:t>
      </w:r>
      <w:r>
        <w:rPr/>
        <w:t>more</w:t>
      </w:r>
      <w:r>
        <w:rPr>
          <w:spacing w:val="40"/>
        </w:rPr>
        <w:t> </w:t>
      </w:r>
      <w:r>
        <w:rPr/>
        <w:t>than</w:t>
      </w:r>
      <w:r>
        <w:rPr>
          <w:spacing w:val="40"/>
        </w:rPr>
        <w:t> </w:t>
      </w:r>
      <w:r>
        <w:rPr/>
        <w:t>10</w:t>
      </w:r>
      <w:r>
        <w:rPr>
          <w:spacing w:val="40"/>
        </w:rPr>
        <w:t> </w:t>
      </w:r>
      <w:r>
        <w:rPr/>
        <w:t>per</w:t>
      </w:r>
      <w:r>
        <w:rPr>
          <w:spacing w:val="40"/>
        </w:rPr>
        <w:t> </w:t>
      </w:r>
      <w:r>
        <w:rPr/>
        <w:t>cent</w:t>
      </w:r>
      <w:r>
        <w:rPr>
          <w:spacing w:val="40"/>
        </w:rPr>
        <w:t> </w:t>
      </w:r>
      <w:r>
        <w:rPr/>
        <w:t>of</w:t>
      </w:r>
      <w:r>
        <w:rPr>
          <w:spacing w:val="40"/>
        </w:rPr>
        <w:t> </w:t>
      </w:r>
      <w:r>
        <w:rPr/>
        <w:t>them</w:t>
      </w:r>
      <w:r>
        <w:rPr>
          <w:spacing w:val="40"/>
        </w:rPr>
        <w:t> </w:t>
      </w:r>
      <w:r>
        <w:rPr/>
        <w:t>anticipating high growth. Early-stage entrepreneurial activity in India is marked by low levels of growth expectation. This is despite the extremely high levels of potential entrepreneurial activity as perceived by the non- entrepreneurially active population in the country (See Figure 60).</w:t>
      </w:r>
    </w:p>
    <w:p>
      <w:pPr>
        <w:pStyle w:val="BodyText"/>
        <w:spacing w:before="21"/>
      </w:pPr>
    </w:p>
    <w:p>
      <w:pPr>
        <w:pStyle w:val="BodyText"/>
        <w:spacing w:line="266" w:lineRule="auto"/>
        <w:ind w:left="319" w:right="1077"/>
        <w:jc w:val="both"/>
      </w:pPr>
      <w:r>
        <w:rPr/>
        <w:t>While data on entrepreneurship is hard to come by, the following numbers are telling. According to the NSS</w:t>
      </w:r>
      <w:r>
        <w:rPr>
          <w:spacing w:val="33"/>
        </w:rPr>
        <w:t> </w:t>
      </w:r>
      <w:r>
        <w:rPr/>
        <w:t>62</w:t>
      </w:r>
      <w:r>
        <w:rPr>
          <w:position w:val="7"/>
          <w:sz w:val="13"/>
        </w:rPr>
        <w:t>nd</w:t>
      </w:r>
      <w:r>
        <w:rPr>
          <w:spacing w:val="40"/>
          <w:position w:val="7"/>
          <w:sz w:val="13"/>
        </w:rPr>
        <w:t> </w:t>
      </w:r>
      <w:r>
        <w:rPr/>
        <w:t>round,</w:t>
      </w:r>
      <w:r>
        <w:rPr>
          <w:spacing w:val="33"/>
        </w:rPr>
        <w:t> </w:t>
      </w:r>
      <w:r>
        <w:rPr/>
        <w:t>in</w:t>
      </w:r>
      <w:r>
        <w:rPr>
          <w:spacing w:val="33"/>
        </w:rPr>
        <w:t> </w:t>
      </w:r>
      <w:r>
        <w:rPr/>
        <w:t>rural</w:t>
      </w:r>
      <w:r>
        <w:rPr>
          <w:spacing w:val="33"/>
        </w:rPr>
        <w:t> </w:t>
      </w:r>
      <w:r>
        <w:rPr/>
        <w:t>India,</w:t>
      </w:r>
      <w:r>
        <w:rPr>
          <w:spacing w:val="33"/>
        </w:rPr>
        <w:t> </w:t>
      </w:r>
      <w:r>
        <w:rPr/>
        <w:t>almost</w:t>
      </w:r>
      <w:r>
        <w:rPr>
          <w:spacing w:val="33"/>
        </w:rPr>
        <w:t> </w:t>
      </w:r>
      <w:r>
        <w:rPr/>
        <w:t>50</w:t>
      </w:r>
      <w:r>
        <w:rPr>
          <w:spacing w:val="33"/>
        </w:rPr>
        <w:t> </w:t>
      </w:r>
      <w:r>
        <w:rPr/>
        <w:t>per</w:t>
      </w:r>
      <w:r>
        <w:rPr>
          <w:spacing w:val="33"/>
        </w:rPr>
        <w:t> </w:t>
      </w:r>
      <w:r>
        <w:rPr/>
        <w:t>cent of</w:t>
      </w:r>
      <w:r>
        <w:rPr>
          <w:spacing w:val="-6"/>
        </w:rPr>
        <w:t> </w:t>
      </w:r>
      <w:r>
        <w:rPr/>
        <w:t>all</w:t>
      </w:r>
      <w:r>
        <w:rPr>
          <w:spacing w:val="-6"/>
        </w:rPr>
        <w:t> </w:t>
      </w:r>
      <w:r>
        <w:rPr/>
        <w:t>workers</w:t>
      </w:r>
      <w:r>
        <w:rPr>
          <w:spacing w:val="-6"/>
        </w:rPr>
        <w:t> </w:t>
      </w:r>
      <w:r>
        <w:rPr/>
        <w:t>are</w:t>
      </w:r>
      <w:r>
        <w:rPr>
          <w:spacing w:val="-6"/>
        </w:rPr>
        <w:t> </w:t>
      </w:r>
      <w:r>
        <w:rPr/>
        <w:t>self-employed</w:t>
      </w:r>
      <w:r>
        <w:rPr>
          <w:spacing w:val="-6"/>
        </w:rPr>
        <w:t> </w:t>
      </w:r>
      <w:r>
        <w:rPr/>
        <w:t>–</w:t>
      </w:r>
      <w:r>
        <w:rPr>
          <w:spacing w:val="-6"/>
        </w:rPr>
        <w:t> </w:t>
      </w:r>
      <w:r>
        <w:rPr/>
        <w:t>57</w:t>
      </w:r>
      <w:r>
        <w:rPr>
          <w:spacing w:val="-6"/>
        </w:rPr>
        <w:t> </w:t>
      </w:r>
      <w:r>
        <w:rPr/>
        <w:t>per</w:t>
      </w:r>
      <w:r>
        <w:rPr>
          <w:spacing w:val="-6"/>
        </w:rPr>
        <w:t> </w:t>
      </w:r>
      <w:r>
        <w:rPr/>
        <w:t>cent</w:t>
      </w:r>
      <w:r>
        <w:rPr>
          <w:spacing w:val="-6"/>
        </w:rPr>
        <w:t> </w:t>
      </w:r>
      <w:r>
        <w:rPr/>
        <w:t>among males and nearly 62 per cent among females, while the corresponding figures in urban India are 42 for males and 44 for females. The NSSO defines a </w:t>
      </w:r>
      <w:r>
        <w:rPr>
          <w:i/>
        </w:rPr>
        <w:t>self- employed</w:t>
      </w:r>
      <w:r>
        <w:rPr>
          <w:i/>
          <w:spacing w:val="-14"/>
        </w:rPr>
        <w:t> </w:t>
      </w:r>
      <w:r>
        <w:rPr/>
        <w:t>person</w:t>
      </w:r>
      <w:r>
        <w:rPr>
          <w:spacing w:val="-14"/>
        </w:rPr>
        <w:t> </w:t>
      </w:r>
      <w:r>
        <w:rPr/>
        <w:t>as</w:t>
      </w:r>
      <w:r>
        <w:rPr>
          <w:spacing w:val="-14"/>
        </w:rPr>
        <w:t> </w:t>
      </w:r>
      <w:r>
        <w:rPr/>
        <w:t>one</w:t>
      </w:r>
      <w:r>
        <w:rPr>
          <w:spacing w:val="-13"/>
        </w:rPr>
        <w:t> </w:t>
      </w:r>
      <w:r>
        <w:rPr/>
        <w:t>who</w:t>
      </w:r>
      <w:r>
        <w:rPr>
          <w:spacing w:val="-14"/>
        </w:rPr>
        <w:t> </w:t>
      </w:r>
      <w:r>
        <w:rPr/>
        <w:t>has</w:t>
      </w:r>
      <w:r>
        <w:rPr>
          <w:spacing w:val="-14"/>
        </w:rPr>
        <w:t> </w:t>
      </w:r>
      <w:r>
        <w:rPr/>
        <w:t>worked</w:t>
      </w:r>
      <w:r>
        <w:rPr>
          <w:spacing w:val="-14"/>
        </w:rPr>
        <w:t> </w:t>
      </w:r>
      <w:r>
        <w:rPr/>
        <w:t>in</w:t>
      </w:r>
      <w:r>
        <w:rPr>
          <w:spacing w:val="-13"/>
        </w:rPr>
        <w:t> </w:t>
      </w:r>
      <w:r>
        <w:rPr/>
        <w:t>household enterprises as own-account worker; worked in household enterprises as an employer or worked in </w:t>
      </w:r>
      <w:r>
        <w:rPr>
          <w:w w:val="90"/>
        </w:rPr>
        <w:t>household enterprises as helper. The essential feature of </w:t>
      </w:r>
      <w:r>
        <w:rPr/>
        <w:t>the</w:t>
      </w:r>
      <w:r>
        <w:rPr>
          <w:spacing w:val="-8"/>
        </w:rPr>
        <w:t> </w:t>
      </w:r>
      <w:r>
        <w:rPr/>
        <w:t>self-employed</w:t>
      </w:r>
      <w:r>
        <w:rPr>
          <w:spacing w:val="-8"/>
        </w:rPr>
        <w:t> </w:t>
      </w:r>
      <w:r>
        <w:rPr/>
        <w:t>is</w:t>
      </w:r>
      <w:r>
        <w:rPr>
          <w:spacing w:val="-8"/>
        </w:rPr>
        <w:t> </w:t>
      </w:r>
      <w:r>
        <w:rPr/>
        <w:t>that</w:t>
      </w:r>
      <w:r>
        <w:rPr>
          <w:spacing w:val="-8"/>
        </w:rPr>
        <w:t> </w:t>
      </w:r>
      <w:r>
        <w:rPr/>
        <w:t>they</w:t>
      </w:r>
      <w:r>
        <w:rPr>
          <w:spacing w:val="-8"/>
        </w:rPr>
        <w:t> </w:t>
      </w:r>
      <w:r>
        <w:rPr/>
        <w:t>have</w:t>
      </w:r>
      <w:r>
        <w:rPr>
          <w:spacing w:val="-8"/>
        </w:rPr>
        <w:t> </w:t>
      </w:r>
      <w:r>
        <w:rPr/>
        <w:t>autonomy</w:t>
      </w:r>
      <w:r>
        <w:rPr>
          <w:spacing w:val="-8"/>
        </w:rPr>
        <w:t> </w:t>
      </w:r>
      <w:r>
        <w:rPr/>
        <w:t>(decide how, where and when to produce) and economic independence (in respect of choice of market, scale of operation and finance) for carrying out their operation.</w:t>
      </w:r>
      <w:r>
        <w:rPr>
          <w:spacing w:val="59"/>
        </w:rPr>
        <w:t> </w:t>
      </w:r>
      <w:r>
        <w:rPr/>
        <w:t>According</w:t>
      </w:r>
      <w:r>
        <w:rPr>
          <w:spacing w:val="59"/>
        </w:rPr>
        <w:t> </w:t>
      </w:r>
      <w:r>
        <w:rPr/>
        <w:t>to</w:t>
      </w:r>
      <w:r>
        <w:rPr>
          <w:spacing w:val="58"/>
        </w:rPr>
        <w:t> </w:t>
      </w:r>
      <w:r>
        <w:rPr/>
        <w:t>the</w:t>
      </w:r>
      <w:r>
        <w:rPr>
          <w:spacing w:val="59"/>
        </w:rPr>
        <w:t> </w:t>
      </w:r>
      <w:r>
        <w:rPr/>
        <w:t>5</w:t>
      </w:r>
      <w:r>
        <w:rPr>
          <w:position w:val="7"/>
          <w:sz w:val="13"/>
        </w:rPr>
        <w:t>th</w:t>
      </w:r>
      <w:r>
        <w:rPr>
          <w:spacing w:val="79"/>
          <w:position w:val="7"/>
          <w:sz w:val="13"/>
        </w:rPr>
        <w:t> </w:t>
      </w:r>
      <w:r>
        <w:rPr/>
        <w:t>Economic</w:t>
      </w:r>
      <w:r>
        <w:rPr>
          <w:spacing w:val="59"/>
        </w:rPr>
        <w:t> </w:t>
      </w:r>
      <w:r>
        <w:rPr>
          <w:spacing w:val="-2"/>
        </w:rPr>
        <w:t>Census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before="142"/>
        <w:rPr>
          <w:sz w:val="24"/>
        </w:rPr>
      </w:pPr>
    </w:p>
    <w:p>
      <w:pPr>
        <w:pStyle w:val="Heading8"/>
        <w:ind w:left="1972"/>
      </w:pPr>
      <w:r>
        <w:rPr>
          <w:spacing w:val="-8"/>
        </w:rPr>
        <w:t>Figure</w:t>
      </w:r>
      <w:r>
        <w:rPr>
          <w:spacing w:val="-6"/>
        </w:rPr>
        <w:t> </w:t>
      </w:r>
      <w:r>
        <w:rPr>
          <w:spacing w:val="-8"/>
        </w:rPr>
        <w:t>59:</w:t>
      </w:r>
      <w:r>
        <w:rPr>
          <w:spacing w:val="-5"/>
        </w:rPr>
        <w:t> </w:t>
      </w:r>
      <w:r>
        <w:rPr>
          <w:color w:val="2E614A"/>
          <w:spacing w:val="-8"/>
        </w:rPr>
        <w:t>Ease</w:t>
      </w:r>
      <w:r>
        <w:rPr>
          <w:color w:val="2E614A"/>
          <w:spacing w:val="-5"/>
        </w:rPr>
        <w:t> </w:t>
      </w:r>
      <w:r>
        <w:rPr>
          <w:color w:val="2E614A"/>
          <w:spacing w:val="-8"/>
        </w:rPr>
        <w:t>of</w:t>
      </w:r>
      <w:r>
        <w:rPr>
          <w:color w:val="2E614A"/>
          <w:spacing w:val="-5"/>
        </w:rPr>
        <w:t> </w:t>
      </w:r>
      <w:r>
        <w:rPr>
          <w:color w:val="2E614A"/>
          <w:spacing w:val="-8"/>
        </w:rPr>
        <w:t>doing</w:t>
      </w:r>
      <w:r>
        <w:rPr>
          <w:color w:val="2E614A"/>
          <w:spacing w:val="-5"/>
        </w:rPr>
        <w:t> </w:t>
      </w:r>
      <w:r>
        <w:rPr>
          <w:color w:val="2E614A"/>
          <w:spacing w:val="-8"/>
        </w:rPr>
        <w:t>business</w:t>
      </w:r>
      <w:r>
        <w:rPr>
          <w:color w:val="2E614A"/>
          <w:spacing w:val="-5"/>
        </w:rPr>
        <w:t> </w:t>
      </w:r>
      <w:r>
        <w:rPr>
          <w:color w:val="2E614A"/>
          <w:spacing w:val="-8"/>
        </w:rPr>
        <w:t>–</w:t>
      </w:r>
      <w:r>
        <w:rPr>
          <w:color w:val="2E614A"/>
          <w:spacing w:val="-6"/>
        </w:rPr>
        <w:t> </w:t>
      </w:r>
      <w:r>
        <w:rPr>
          <w:color w:val="2E614A"/>
          <w:spacing w:val="-8"/>
        </w:rPr>
        <w:t>Global</w:t>
      </w:r>
      <w:r>
        <w:rPr>
          <w:color w:val="2E614A"/>
          <w:spacing w:val="-5"/>
        </w:rPr>
        <w:t> </w:t>
      </w:r>
      <w:r>
        <w:rPr>
          <w:color w:val="2E614A"/>
          <w:spacing w:val="-8"/>
        </w:rPr>
        <w:t>Rank</w:t>
      </w:r>
    </w:p>
    <w:p>
      <w:pPr>
        <w:pStyle w:val="BodyText"/>
        <w:spacing w:before="7"/>
        <w:rPr>
          <w:b/>
          <w:sz w:val="8"/>
        </w:rPr>
      </w:pPr>
      <w:r>
        <w:rPr/>
        <mc:AlternateContent>
          <mc:Choice Requires="wps">
            <w:drawing>
              <wp:anchor distT="0" distB="0" distL="0" distR="0" allowOverlap="1" layoutInCell="1" locked="0" behindDoc="1" simplePos="0" relativeHeight="487753728">
                <wp:simplePos x="0" y="0"/>
                <wp:positionH relativeFrom="page">
                  <wp:posOffset>1252799</wp:posOffset>
                </wp:positionH>
                <wp:positionV relativeFrom="paragraph">
                  <wp:posOffset>78476</wp:posOffset>
                </wp:positionV>
                <wp:extent cx="5045710" cy="2377440"/>
                <wp:effectExtent l="0" t="0" r="0" b="0"/>
                <wp:wrapTopAndBottom/>
                <wp:docPr id="2221" name="Group 2221"/>
                <wp:cNvGraphicFramePr>
                  <a:graphicFrameLocks/>
                </wp:cNvGraphicFramePr>
                <a:graphic>
                  <a:graphicData uri="http://schemas.microsoft.com/office/word/2010/wordprocessingGroup">
                    <wpg:wgp>
                      <wpg:cNvPr id="2221" name="Group 2221"/>
                      <wpg:cNvGrpSpPr/>
                      <wpg:grpSpPr>
                        <a:xfrm>
                          <a:off x="0" y="0"/>
                          <a:ext cx="5045710" cy="2377440"/>
                          <a:chExt cx="5045710" cy="2377440"/>
                        </a:xfrm>
                      </wpg:grpSpPr>
                      <wps:wsp>
                        <wps:cNvPr id="2222" name="Graphic 2222"/>
                        <wps:cNvSpPr/>
                        <wps:spPr>
                          <a:xfrm>
                            <a:off x="428794" y="419734"/>
                            <a:ext cx="4329430" cy="1783080"/>
                          </a:xfrm>
                          <a:custGeom>
                            <a:avLst/>
                            <a:gdLst/>
                            <a:ahLst/>
                            <a:cxnLst/>
                            <a:rect l="l" t="t" r="r" b="b"/>
                            <a:pathLst>
                              <a:path w="4329430" h="1783080">
                                <a:moveTo>
                                  <a:pt x="320979" y="1765071"/>
                                </a:moveTo>
                                <a:lnTo>
                                  <a:pt x="0" y="1765071"/>
                                </a:lnTo>
                                <a:lnTo>
                                  <a:pt x="0" y="1782724"/>
                                </a:lnTo>
                                <a:lnTo>
                                  <a:pt x="320979" y="1782724"/>
                                </a:lnTo>
                                <a:lnTo>
                                  <a:pt x="320979" y="1765071"/>
                                </a:lnTo>
                                <a:close/>
                              </a:path>
                              <a:path w="4329430" h="1783080">
                                <a:moveTo>
                                  <a:pt x="888873" y="1606219"/>
                                </a:moveTo>
                                <a:lnTo>
                                  <a:pt x="576122" y="1606219"/>
                                </a:lnTo>
                                <a:lnTo>
                                  <a:pt x="576122" y="1782724"/>
                                </a:lnTo>
                                <a:lnTo>
                                  <a:pt x="888873" y="1782724"/>
                                </a:lnTo>
                                <a:lnTo>
                                  <a:pt x="888873" y="1606219"/>
                                </a:lnTo>
                                <a:close/>
                              </a:path>
                              <a:path w="4329430" h="1783080">
                                <a:moveTo>
                                  <a:pt x="1464983" y="1138478"/>
                                </a:moveTo>
                                <a:lnTo>
                                  <a:pt x="1144003" y="1138478"/>
                                </a:lnTo>
                                <a:lnTo>
                                  <a:pt x="1144003" y="1782724"/>
                                </a:lnTo>
                                <a:lnTo>
                                  <a:pt x="1464983" y="1782724"/>
                                </a:lnTo>
                                <a:lnTo>
                                  <a:pt x="1464983" y="1138478"/>
                                </a:lnTo>
                                <a:close/>
                              </a:path>
                              <a:path w="4329430" h="1783080">
                                <a:moveTo>
                                  <a:pt x="2041105" y="670725"/>
                                </a:moveTo>
                                <a:lnTo>
                                  <a:pt x="1720126" y="670725"/>
                                </a:lnTo>
                                <a:lnTo>
                                  <a:pt x="1720126" y="1782724"/>
                                </a:lnTo>
                                <a:lnTo>
                                  <a:pt x="2041105" y="1782724"/>
                                </a:lnTo>
                                <a:lnTo>
                                  <a:pt x="2041105" y="670725"/>
                                </a:lnTo>
                                <a:close/>
                              </a:path>
                              <a:path w="4329430" h="1783080">
                                <a:moveTo>
                                  <a:pt x="2608986" y="564832"/>
                                </a:moveTo>
                                <a:lnTo>
                                  <a:pt x="2296236" y="564832"/>
                                </a:lnTo>
                                <a:lnTo>
                                  <a:pt x="2296236" y="1782724"/>
                                </a:lnTo>
                                <a:lnTo>
                                  <a:pt x="2608986" y="1782724"/>
                                </a:lnTo>
                                <a:lnTo>
                                  <a:pt x="2608986" y="564832"/>
                                </a:lnTo>
                                <a:close/>
                              </a:path>
                              <a:path w="4329430" h="1783080">
                                <a:moveTo>
                                  <a:pt x="3185109" y="229476"/>
                                </a:moveTo>
                                <a:lnTo>
                                  <a:pt x="2864129" y="229476"/>
                                </a:lnTo>
                                <a:lnTo>
                                  <a:pt x="2864129" y="1782724"/>
                                </a:lnTo>
                                <a:lnTo>
                                  <a:pt x="3185109" y="1782724"/>
                                </a:lnTo>
                                <a:lnTo>
                                  <a:pt x="3185109" y="229476"/>
                                </a:lnTo>
                                <a:close/>
                              </a:path>
                              <a:path w="4329430" h="1783080">
                                <a:moveTo>
                                  <a:pt x="3752977" y="26479"/>
                                </a:moveTo>
                                <a:lnTo>
                                  <a:pt x="3440239" y="26479"/>
                                </a:lnTo>
                                <a:lnTo>
                                  <a:pt x="3440239" y="1782724"/>
                                </a:lnTo>
                                <a:lnTo>
                                  <a:pt x="3752977" y="1782724"/>
                                </a:lnTo>
                                <a:lnTo>
                                  <a:pt x="3752977" y="26479"/>
                                </a:lnTo>
                                <a:close/>
                              </a:path>
                              <a:path w="4329430" h="1783080">
                                <a:moveTo>
                                  <a:pt x="4329087" y="0"/>
                                </a:moveTo>
                                <a:lnTo>
                                  <a:pt x="4008132" y="0"/>
                                </a:lnTo>
                                <a:lnTo>
                                  <a:pt x="4008132" y="1782724"/>
                                </a:lnTo>
                                <a:lnTo>
                                  <a:pt x="4329087" y="1782724"/>
                                </a:lnTo>
                                <a:lnTo>
                                  <a:pt x="4329087" y="0"/>
                                </a:lnTo>
                                <a:close/>
                              </a:path>
                            </a:pathLst>
                          </a:custGeom>
                          <a:solidFill>
                            <a:srgbClr val="2B8E42"/>
                          </a:solidFill>
                        </wps:spPr>
                        <wps:bodyPr wrap="square" lIns="0" tIns="0" rIns="0" bIns="0" rtlCol="0">
                          <a:prstTxWarp prst="textNoShape">
                            <a:avLst/>
                          </a:prstTxWarp>
                          <a:noAutofit/>
                        </wps:bodyPr>
                      </wps:wsp>
                      <wps:wsp>
                        <wps:cNvPr id="2223" name="Graphic 2223"/>
                        <wps:cNvSpPr/>
                        <wps:spPr>
                          <a:xfrm>
                            <a:off x="-7" y="0"/>
                            <a:ext cx="5045710" cy="2377440"/>
                          </a:xfrm>
                          <a:custGeom>
                            <a:avLst/>
                            <a:gdLst/>
                            <a:ahLst/>
                            <a:cxnLst/>
                            <a:rect l="l" t="t" r="r" b="b"/>
                            <a:pathLst>
                              <a:path w="5045710" h="2377440">
                                <a:moveTo>
                                  <a:pt x="4892535" y="2199284"/>
                                </a:moveTo>
                                <a:lnTo>
                                  <a:pt x="4892535" y="2199284"/>
                                </a:lnTo>
                                <a:lnTo>
                                  <a:pt x="308737" y="2199284"/>
                                </a:lnTo>
                                <a:lnTo>
                                  <a:pt x="308737" y="151815"/>
                                </a:lnTo>
                                <a:lnTo>
                                  <a:pt x="302387" y="151815"/>
                                </a:lnTo>
                                <a:lnTo>
                                  <a:pt x="269481" y="151815"/>
                                </a:lnTo>
                                <a:lnTo>
                                  <a:pt x="269481" y="158165"/>
                                </a:lnTo>
                                <a:lnTo>
                                  <a:pt x="302387" y="158165"/>
                                </a:lnTo>
                                <a:lnTo>
                                  <a:pt x="302387" y="443039"/>
                                </a:lnTo>
                                <a:lnTo>
                                  <a:pt x="269481" y="443039"/>
                                </a:lnTo>
                                <a:lnTo>
                                  <a:pt x="269481" y="449389"/>
                                </a:lnTo>
                                <a:lnTo>
                                  <a:pt x="302387" y="449389"/>
                                </a:lnTo>
                                <a:lnTo>
                                  <a:pt x="302387" y="734288"/>
                                </a:lnTo>
                                <a:lnTo>
                                  <a:pt x="269481" y="734288"/>
                                </a:lnTo>
                                <a:lnTo>
                                  <a:pt x="269481" y="740638"/>
                                </a:lnTo>
                                <a:lnTo>
                                  <a:pt x="302387" y="740638"/>
                                </a:lnTo>
                                <a:lnTo>
                                  <a:pt x="302387" y="1025525"/>
                                </a:lnTo>
                                <a:lnTo>
                                  <a:pt x="269481" y="1025525"/>
                                </a:lnTo>
                                <a:lnTo>
                                  <a:pt x="269481" y="1031875"/>
                                </a:lnTo>
                                <a:lnTo>
                                  <a:pt x="302387" y="1031875"/>
                                </a:lnTo>
                                <a:lnTo>
                                  <a:pt x="302387" y="1325575"/>
                                </a:lnTo>
                                <a:lnTo>
                                  <a:pt x="269481" y="1325575"/>
                                </a:lnTo>
                                <a:lnTo>
                                  <a:pt x="269481" y="1331925"/>
                                </a:lnTo>
                                <a:lnTo>
                                  <a:pt x="302387" y="1331925"/>
                                </a:lnTo>
                                <a:lnTo>
                                  <a:pt x="302387" y="1616811"/>
                                </a:lnTo>
                                <a:lnTo>
                                  <a:pt x="269481" y="1616811"/>
                                </a:lnTo>
                                <a:lnTo>
                                  <a:pt x="269481" y="1623161"/>
                                </a:lnTo>
                                <a:lnTo>
                                  <a:pt x="302387" y="1623161"/>
                                </a:lnTo>
                                <a:lnTo>
                                  <a:pt x="302387" y="1908048"/>
                                </a:lnTo>
                                <a:lnTo>
                                  <a:pt x="269481" y="1908048"/>
                                </a:lnTo>
                                <a:lnTo>
                                  <a:pt x="269481" y="1914398"/>
                                </a:lnTo>
                                <a:lnTo>
                                  <a:pt x="302387" y="1914398"/>
                                </a:lnTo>
                                <a:lnTo>
                                  <a:pt x="302387" y="2199284"/>
                                </a:lnTo>
                                <a:lnTo>
                                  <a:pt x="269481" y="2199284"/>
                                </a:lnTo>
                                <a:lnTo>
                                  <a:pt x="269481" y="2205634"/>
                                </a:lnTo>
                                <a:lnTo>
                                  <a:pt x="302387" y="2205634"/>
                                </a:lnTo>
                                <a:lnTo>
                                  <a:pt x="302387" y="2240940"/>
                                </a:lnTo>
                                <a:lnTo>
                                  <a:pt x="308737" y="2240940"/>
                                </a:lnTo>
                                <a:lnTo>
                                  <a:pt x="308737" y="2205634"/>
                                </a:lnTo>
                                <a:lnTo>
                                  <a:pt x="878446" y="2205634"/>
                                </a:lnTo>
                                <a:lnTo>
                                  <a:pt x="878446" y="2240940"/>
                                </a:lnTo>
                                <a:lnTo>
                                  <a:pt x="884796" y="2240940"/>
                                </a:lnTo>
                                <a:lnTo>
                                  <a:pt x="884796" y="2205634"/>
                                </a:lnTo>
                                <a:lnTo>
                                  <a:pt x="1446276" y="2205634"/>
                                </a:lnTo>
                                <a:lnTo>
                                  <a:pt x="1446276" y="2240940"/>
                                </a:lnTo>
                                <a:lnTo>
                                  <a:pt x="1452626" y="2240940"/>
                                </a:lnTo>
                                <a:lnTo>
                                  <a:pt x="1452626" y="2205634"/>
                                </a:lnTo>
                                <a:lnTo>
                                  <a:pt x="2022335" y="2205634"/>
                                </a:lnTo>
                                <a:lnTo>
                                  <a:pt x="2022335" y="2240940"/>
                                </a:lnTo>
                                <a:lnTo>
                                  <a:pt x="2028685" y="2240940"/>
                                </a:lnTo>
                                <a:lnTo>
                                  <a:pt x="2028685" y="2205634"/>
                                </a:lnTo>
                                <a:lnTo>
                                  <a:pt x="2598394" y="2205634"/>
                                </a:lnTo>
                                <a:lnTo>
                                  <a:pt x="2598394" y="2240940"/>
                                </a:lnTo>
                                <a:lnTo>
                                  <a:pt x="2604744" y="2240940"/>
                                </a:lnTo>
                                <a:lnTo>
                                  <a:pt x="2604744" y="2205634"/>
                                </a:lnTo>
                                <a:lnTo>
                                  <a:pt x="3166237" y="2205634"/>
                                </a:lnTo>
                                <a:lnTo>
                                  <a:pt x="3166237" y="2240940"/>
                                </a:lnTo>
                                <a:lnTo>
                                  <a:pt x="3172587" y="2240940"/>
                                </a:lnTo>
                                <a:lnTo>
                                  <a:pt x="3172587" y="2205634"/>
                                </a:lnTo>
                                <a:lnTo>
                                  <a:pt x="3742296" y="2205634"/>
                                </a:lnTo>
                                <a:lnTo>
                                  <a:pt x="3742296" y="2240940"/>
                                </a:lnTo>
                                <a:lnTo>
                                  <a:pt x="3748646" y="2240940"/>
                                </a:lnTo>
                                <a:lnTo>
                                  <a:pt x="3748646" y="2205634"/>
                                </a:lnTo>
                                <a:lnTo>
                                  <a:pt x="4310126" y="2205634"/>
                                </a:lnTo>
                                <a:lnTo>
                                  <a:pt x="4310126" y="2240940"/>
                                </a:lnTo>
                                <a:lnTo>
                                  <a:pt x="4316476" y="2240940"/>
                                </a:lnTo>
                                <a:lnTo>
                                  <a:pt x="4316476" y="2205634"/>
                                </a:lnTo>
                                <a:lnTo>
                                  <a:pt x="4886185" y="2205634"/>
                                </a:lnTo>
                                <a:lnTo>
                                  <a:pt x="4886185" y="2240940"/>
                                </a:lnTo>
                                <a:lnTo>
                                  <a:pt x="4892535" y="2240940"/>
                                </a:lnTo>
                                <a:lnTo>
                                  <a:pt x="4892535" y="2199284"/>
                                </a:lnTo>
                                <a:close/>
                              </a:path>
                              <a:path w="5045710" h="2377440">
                                <a:moveTo>
                                  <a:pt x="5045405" y="0"/>
                                </a:moveTo>
                                <a:lnTo>
                                  <a:pt x="5039055" y="0"/>
                                </a:lnTo>
                                <a:lnTo>
                                  <a:pt x="5039055" y="2540"/>
                                </a:lnTo>
                                <a:lnTo>
                                  <a:pt x="5039055" y="2705"/>
                                </a:lnTo>
                                <a:lnTo>
                                  <a:pt x="5039055" y="5880"/>
                                </a:lnTo>
                                <a:lnTo>
                                  <a:pt x="5039055" y="6350"/>
                                </a:lnTo>
                                <a:lnTo>
                                  <a:pt x="5039055" y="2370607"/>
                                </a:lnTo>
                                <a:lnTo>
                                  <a:pt x="6350" y="2370607"/>
                                </a:lnTo>
                                <a:lnTo>
                                  <a:pt x="6350" y="6350"/>
                                </a:lnTo>
                                <a:lnTo>
                                  <a:pt x="3175" y="6350"/>
                                </a:lnTo>
                                <a:lnTo>
                                  <a:pt x="3175" y="5880"/>
                                </a:lnTo>
                                <a:lnTo>
                                  <a:pt x="6350" y="5880"/>
                                </a:lnTo>
                                <a:lnTo>
                                  <a:pt x="5039055" y="5880"/>
                                </a:lnTo>
                                <a:lnTo>
                                  <a:pt x="5039055" y="2705"/>
                                </a:lnTo>
                                <a:lnTo>
                                  <a:pt x="6350" y="2705"/>
                                </a:lnTo>
                                <a:lnTo>
                                  <a:pt x="3175" y="2705"/>
                                </a:lnTo>
                                <a:lnTo>
                                  <a:pt x="3175" y="2540"/>
                                </a:lnTo>
                                <a:lnTo>
                                  <a:pt x="5039055" y="2540"/>
                                </a:lnTo>
                                <a:lnTo>
                                  <a:pt x="5039055" y="0"/>
                                </a:lnTo>
                                <a:lnTo>
                                  <a:pt x="0" y="0"/>
                                </a:lnTo>
                                <a:lnTo>
                                  <a:pt x="0" y="2540"/>
                                </a:lnTo>
                                <a:lnTo>
                                  <a:pt x="0" y="6350"/>
                                </a:lnTo>
                                <a:lnTo>
                                  <a:pt x="0" y="2371090"/>
                                </a:lnTo>
                                <a:lnTo>
                                  <a:pt x="0" y="2373630"/>
                                </a:lnTo>
                                <a:lnTo>
                                  <a:pt x="0" y="2377440"/>
                                </a:lnTo>
                                <a:lnTo>
                                  <a:pt x="5045405" y="2377440"/>
                                </a:lnTo>
                                <a:lnTo>
                                  <a:pt x="5045405" y="6350"/>
                                </a:lnTo>
                                <a:lnTo>
                                  <a:pt x="5042230" y="6350"/>
                                </a:lnTo>
                                <a:lnTo>
                                  <a:pt x="5042230" y="5880"/>
                                </a:lnTo>
                                <a:lnTo>
                                  <a:pt x="5045405" y="5880"/>
                                </a:lnTo>
                                <a:lnTo>
                                  <a:pt x="5045405" y="2705"/>
                                </a:lnTo>
                                <a:lnTo>
                                  <a:pt x="5042230" y="2705"/>
                                </a:lnTo>
                                <a:lnTo>
                                  <a:pt x="5042230" y="2540"/>
                                </a:lnTo>
                                <a:lnTo>
                                  <a:pt x="5045405" y="2540"/>
                                </a:lnTo>
                                <a:lnTo>
                                  <a:pt x="5045405" y="0"/>
                                </a:lnTo>
                                <a:close/>
                              </a:path>
                            </a:pathLst>
                          </a:custGeom>
                          <a:solidFill>
                            <a:srgbClr val="000000"/>
                          </a:solidFill>
                        </wps:spPr>
                        <wps:bodyPr wrap="square" lIns="0" tIns="0" rIns="0" bIns="0" rtlCol="0">
                          <a:prstTxWarp prst="textNoShape">
                            <a:avLst/>
                          </a:prstTxWarp>
                          <a:noAutofit/>
                        </wps:bodyPr>
                      </wps:wsp>
                      <wps:wsp>
                        <wps:cNvPr id="2224" name="Textbox 2224"/>
                        <wps:cNvSpPr txBox="1"/>
                        <wps:spPr>
                          <a:xfrm>
                            <a:off x="4525314" y="2231166"/>
                            <a:ext cx="1949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Brazil</w:t>
                              </w:r>
                            </w:p>
                          </w:txbxContent>
                        </wps:txbx>
                        <wps:bodyPr wrap="square" lIns="0" tIns="0" rIns="0" bIns="0" rtlCol="0">
                          <a:noAutofit/>
                        </wps:bodyPr>
                      </wps:wsp>
                      <wps:wsp>
                        <wps:cNvPr id="2225" name="Textbox 2225"/>
                        <wps:cNvSpPr txBox="1"/>
                        <wps:spPr>
                          <a:xfrm>
                            <a:off x="115458" y="90403"/>
                            <a:ext cx="134620" cy="21469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140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120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100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80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60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40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20</w:t>
                              </w:r>
                            </w:p>
                            <w:p>
                              <w:pPr>
                                <w:spacing w:line="240" w:lineRule="auto" w:before="138"/>
                                <w:rPr>
                                  <w:rFonts w:ascii="Arial MT"/>
                                  <w:sz w:val="14"/>
                                </w:rPr>
                              </w:pPr>
                            </w:p>
                            <w:p>
                              <w:pPr>
                                <w:spacing w:before="0"/>
                                <w:ind w:left="0" w:right="18" w:firstLine="0"/>
                                <w:jc w:val="right"/>
                                <w:rPr>
                                  <w:rFonts w:ascii="Arial MT"/>
                                  <w:sz w:val="14"/>
                                </w:rPr>
                              </w:pPr>
                              <w:r>
                                <w:rPr>
                                  <w:rFonts w:ascii="Arial MT"/>
                                  <w:spacing w:val="-10"/>
                                  <w:w w:val="90"/>
                                  <w:sz w:val="14"/>
                                </w:rPr>
                                <w:t>0</w:t>
                              </w:r>
                            </w:p>
                          </w:txbxContent>
                        </wps:txbx>
                        <wps:bodyPr wrap="square" lIns="0" tIns="0" rIns="0" bIns="0" rtlCol="0">
                          <a:noAutofit/>
                        </wps:bodyPr>
                      </wps:wsp>
                      <wps:wsp>
                        <wps:cNvPr id="2226" name="Textbox 2226"/>
                        <wps:cNvSpPr txBox="1"/>
                        <wps:spPr>
                          <a:xfrm>
                            <a:off x="437083" y="2231166"/>
                            <a:ext cx="3454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Singapore</w:t>
                              </w:r>
                            </w:p>
                          </w:txbxContent>
                        </wps:txbx>
                        <wps:bodyPr wrap="square" lIns="0" tIns="0" rIns="0" bIns="0" rtlCol="0">
                          <a:noAutofit/>
                        </wps:bodyPr>
                      </wps:wsp>
                      <wps:wsp>
                        <wps:cNvPr id="2227" name="Textbox 2227"/>
                        <wps:cNvSpPr txBox="1"/>
                        <wps:spPr>
                          <a:xfrm>
                            <a:off x="1069082" y="2231166"/>
                            <a:ext cx="211454"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Japan</w:t>
                              </w:r>
                            </w:p>
                          </w:txbxContent>
                        </wps:txbx>
                        <wps:bodyPr wrap="square" lIns="0" tIns="0" rIns="0" bIns="0" rtlCol="0">
                          <a:noAutofit/>
                        </wps:bodyPr>
                      </wps:wsp>
                      <wps:wsp>
                        <wps:cNvPr id="2228" name="Textbox 2228"/>
                        <wps:cNvSpPr txBox="1"/>
                        <wps:spPr>
                          <a:xfrm>
                            <a:off x="1637134" y="2231166"/>
                            <a:ext cx="2438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Mexico</w:t>
                              </w:r>
                            </w:p>
                          </w:txbxContent>
                        </wps:txbx>
                        <wps:bodyPr wrap="square" lIns="0" tIns="0" rIns="0" bIns="0" rtlCol="0">
                          <a:noAutofit/>
                        </wps:bodyPr>
                      </wps:wsp>
                      <wps:wsp>
                        <wps:cNvPr id="2229" name="Textbox 2229"/>
                        <wps:cNvSpPr txBox="1"/>
                        <wps:spPr>
                          <a:xfrm>
                            <a:off x="2177932" y="2231166"/>
                            <a:ext cx="29273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Pakistan</w:t>
                              </w:r>
                            </w:p>
                          </w:txbxContent>
                        </wps:txbx>
                        <wps:bodyPr wrap="square" lIns="0" tIns="0" rIns="0" bIns="0" rtlCol="0">
                          <a:noAutofit/>
                        </wps:bodyPr>
                      </wps:wsp>
                      <wps:wsp>
                        <wps:cNvPr id="2230" name="Textbox 2230"/>
                        <wps:cNvSpPr txBox="1"/>
                        <wps:spPr>
                          <a:xfrm>
                            <a:off x="2806734" y="2231166"/>
                            <a:ext cx="2032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China</w:t>
                              </w:r>
                            </w:p>
                          </w:txbxContent>
                        </wps:txbx>
                        <wps:bodyPr wrap="square" lIns="0" tIns="0" rIns="0" bIns="0" rtlCol="0">
                          <a:noAutofit/>
                        </wps:bodyPr>
                      </wps:wsp>
                      <wps:wsp>
                        <wps:cNvPr id="2231" name="Textbox 2231"/>
                        <wps:cNvSpPr txBox="1"/>
                        <wps:spPr>
                          <a:xfrm>
                            <a:off x="3355692" y="2231166"/>
                            <a:ext cx="23558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Russia</w:t>
                              </w:r>
                            </w:p>
                          </w:txbxContent>
                        </wps:txbx>
                        <wps:bodyPr wrap="square" lIns="0" tIns="0" rIns="0" bIns="0" rtlCol="0">
                          <a:noAutofit/>
                        </wps:bodyPr>
                      </wps:wsp>
                      <wps:wsp>
                        <wps:cNvPr id="2232" name="Textbox 2232"/>
                        <wps:cNvSpPr txBox="1"/>
                        <wps:spPr>
                          <a:xfrm>
                            <a:off x="3972253" y="2231166"/>
                            <a:ext cx="17081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India</w:t>
                              </w:r>
                            </w:p>
                          </w:txbxContent>
                        </wps:txbx>
                        <wps:bodyPr wrap="square" lIns="0" tIns="0" rIns="0" bIns="0" rtlCol="0">
                          <a:noAutofit/>
                        </wps:bodyPr>
                      </wps:wsp>
                    </wpg:wgp>
                  </a:graphicData>
                </a:graphic>
              </wp:anchor>
            </w:drawing>
          </mc:Choice>
          <mc:Fallback>
            <w:pict>
              <v:group style="position:absolute;margin-left:98.64563pt;margin-top:6.179285pt;width:397.3pt;height:187.2pt;mso-position-horizontal-relative:page;mso-position-vertical-relative:paragraph;z-index:-15562752;mso-wrap-distance-left:0;mso-wrap-distance-right:0" id="docshapegroup2161" coordorigin="1973,124" coordsize="7946,3744">
                <v:shape style="position:absolute;left:2648;top:784;width:6818;height:2808" id="docshape2162" coordorigin="2648,785" coordsize="6818,2808" path="m3154,3564l2648,3564,2648,3592,3154,3592,3154,3564xm4048,3314l3555,3314,3555,3592,4048,3592,4048,3314xm4955,2577l4450,2577,4450,3592,4955,3592,4955,2577xm5863,1841l5357,1841,5357,3592,5863,3592,5863,1841xm6757,1674l6264,1674,6264,3592,6757,3592,6757,1674xm7664,1146l7159,1146,7159,3592,7664,3592,7664,1146xm8558,826l8066,826,8066,3592,8558,3592,8558,826xm9466,785l8960,785,8960,3592,9466,3592,9466,785xe" filled="true" fillcolor="#2b8e42" stroked="false">
                  <v:path arrowok="t"/>
                  <v:fill type="solid"/>
                </v:shape>
                <v:shape style="position:absolute;left:1972;top:123;width:7946;height:3744" id="docshape2163" coordorigin="1973,124" coordsize="7946,3744" path="m9678,3587l9668,3587,8771,3587,8761,3587,7876,3587,7866,3587,6969,3587,6959,3587,6075,3587,6065,3587,5168,3587,5158,3587,4261,3587,4251,3587,3366,3587,3356,3587,2459,3587,2459,363,2449,363,2397,363,2397,373,2449,373,2449,821,2397,821,2397,831,2449,831,2449,1280,2397,1280,2397,1290,2449,1290,2449,1739,2397,1739,2397,1749,2449,1749,2449,2211,2397,2211,2397,2221,2449,2221,2449,2670,2397,2670,2397,2680,2449,2680,2449,3128,2397,3128,2397,3138,2449,3138,2449,3587,2397,3587,2397,3597,2449,3597,2449,3653,2459,3653,2459,3597,3356,3597,3356,3653,3366,3653,3366,3597,4251,3597,4251,3653,4261,3653,4261,3597,5158,3597,5158,3653,5168,3653,5168,3597,6065,3597,6065,3653,6075,3653,6075,3597,6959,3597,6959,3653,6969,3653,6969,3597,7866,3597,7866,3653,7876,3653,7876,3597,8761,3597,8761,3653,8771,3653,8771,3597,9668,3597,9668,3653,9678,3653,9678,3587xm9918,124l9908,124,9908,128,9908,128,9908,133,9908,134,9908,3857,1983,3857,1983,134,1978,134,1978,133,1983,133,9908,133,9908,128,1983,128,1978,128,1978,128,9908,128,9908,124,1973,124,1973,128,1973,134,1973,3858,1973,3862,1973,3868,9918,3868,9918,3862,9918,3862,9918,3858,9918,3857,9918,134,9913,134,9913,133,9918,133,9918,128,9913,128,9913,128,9918,128,9918,124xe" filled="true" fillcolor="#000000" stroked="false">
                  <v:path arrowok="t"/>
                  <v:fill type="solid"/>
                </v:shape>
                <v:shape style="position:absolute;left:9099;top:3637;width:307;height:161" type="#_x0000_t202" id="docshape2164" filled="false" stroked="false">
                  <v:textbox inset="0,0,0,0">
                    <w:txbxContent>
                      <w:p>
                        <w:pPr>
                          <w:spacing w:line="161" w:lineRule="exact" w:before="0"/>
                          <w:ind w:left="0" w:right="0" w:firstLine="0"/>
                          <w:jc w:val="left"/>
                          <w:rPr>
                            <w:rFonts w:ascii="Arial MT"/>
                            <w:sz w:val="14"/>
                          </w:rPr>
                        </w:pPr>
                        <w:r>
                          <w:rPr>
                            <w:rFonts w:ascii="Arial MT"/>
                            <w:spacing w:val="-2"/>
                            <w:w w:val="85"/>
                            <w:sz w:val="14"/>
                          </w:rPr>
                          <w:t>Brazil</w:t>
                        </w:r>
                      </w:p>
                    </w:txbxContent>
                  </v:textbox>
                  <w10:wrap type="none"/>
                </v:shape>
                <v:shape style="position:absolute;left:2154;top:265;width:212;height:3381" type="#_x0000_t202" id="docshape2165" filled="false" stroked="false">
                  <v:textbox inset="0,0,0,0">
                    <w:txbxContent>
                      <w:p>
                        <w:pPr>
                          <w:spacing w:line="161" w:lineRule="exact" w:before="0"/>
                          <w:ind w:left="0" w:right="0" w:firstLine="0"/>
                          <w:jc w:val="left"/>
                          <w:rPr>
                            <w:rFonts w:ascii="Arial MT"/>
                            <w:sz w:val="14"/>
                          </w:rPr>
                        </w:pPr>
                        <w:r>
                          <w:rPr>
                            <w:rFonts w:ascii="Arial MT"/>
                            <w:spacing w:val="-5"/>
                            <w:w w:val="90"/>
                            <w:sz w:val="14"/>
                          </w:rPr>
                          <w:t>140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120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80"/>
                            <w:sz w:val="14"/>
                          </w:rPr>
                          <w:t>100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80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60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40</w:t>
                        </w:r>
                      </w:p>
                      <w:p>
                        <w:pPr>
                          <w:spacing w:line="240" w:lineRule="auto" w:before="138"/>
                          <w:rPr>
                            <w:rFonts w:ascii="Arial MT"/>
                            <w:sz w:val="14"/>
                          </w:rPr>
                        </w:pPr>
                      </w:p>
                      <w:p>
                        <w:pPr>
                          <w:spacing w:before="0"/>
                          <w:ind w:left="0" w:right="18" w:firstLine="0"/>
                          <w:jc w:val="right"/>
                          <w:rPr>
                            <w:rFonts w:ascii="Arial MT"/>
                            <w:sz w:val="14"/>
                          </w:rPr>
                        </w:pPr>
                        <w:r>
                          <w:rPr>
                            <w:rFonts w:ascii="Arial MT"/>
                            <w:spacing w:val="-5"/>
                            <w:w w:val="90"/>
                            <w:sz w:val="14"/>
                          </w:rPr>
                          <w:t>20</w:t>
                        </w:r>
                      </w:p>
                      <w:p>
                        <w:pPr>
                          <w:spacing w:line="240" w:lineRule="auto" w:before="138"/>
                          <w:rPr>
                            <w:rFonts w:ascii="Arial MT"/>
                            <w:sz w:val="14"/>
                          </w:rPr>
                        </w:pPr>
                      </w:p>
                      <w:p>
                        <w:pPr>
                          <w:spacing w:before="0"/>
                          <w:ind w:left="0" w:right="18" w:firstLine="0"/>
                          <w:jc w:val="right"/>
                          <w:rPr>
                            <w:rFonts w:ascii="Arial MT"/>
                            <w:sz w:val="14"/>
                          </w:rPr>
                        </w:pPr>
                        <w:r>
                          <w:rPr>
                            <w:rFonts w:ascii="Arial MT"/>
                            <w:spacing w:val="-10"/>
                            <w:w w:val="90"/>
                            <w:sz w:val="14"/>
                          </w:rPr>
                          <w:t>0</w:t>
                        </w:r>
                      </w:p>
                    </w:txbxContent>
                  </v:textbox>
                  <w10:wrap type="none"/>
                </v:shape>
                <v:shape style="position:absolute;left:2661;top:3637;width:544;height:161" type="#_x0000_t202" id="docshape2166" filled="false" stroked="false">
                  <v:textbox inset="0,0,0,0">
                    <w:txbxContent>
                      <w:p>
                        <w:pPr>
                          <w:spacing w:line="161" w:lineRule="exact" w:before="0"/>
                          <w:ind w:left="0" w:right="0" w:firstLine="0"/>
                          <w:jc w:val="left"/>
                          <w:rPr>
                            <w:rFonts w:ascii="Arial MT"/>
                            <w:sz w:val="14"/>
                          </w:rPr>
                        </w:pPr>
                        <w:r>
                          <w:rPr>
                            <w:rFonts w:ascii="Arial MT"/>
                            <w:spacing w:val="-2"/>
                            <w:w w:val="85"/>
                            <w:sz w:val="14"/>
                          </w:rPr>
                          <w:t>Singapore</w:t>
                        </w:r>
                      </w:p>
                    </w:txbxContent>
                  </v:textbox>
                  <w10:wrap type="none"/>
                </v:shape>
                <v:shape style="position:absolute;left:3656;top:3637;width:333;height:161" type="#_x0000_t202" id="docshape2167" filled="false" stroked="false">
                  <v:textbox inset="0,0,0,0">
                    <w:txbxContent>
                      <w:p>
                        <w:pPr>
                          <w:spacing w:line="161" w:lineRule="exact" w:before="0"/>
                          <w:ind w:left="0" w:right="0" w:firstLine="0"/>
                          <w:jc w:val="left"/>
                          <w:rPr>
                            <w:rFonts w:ascii="Arial MT"/>
                            <w:sz w:val="14"/>
                          </w:rPr>
                        </w:pPr>
                        <w:r>
                          <w:rPr>
                            <w:rFonts w:ascii="Arial MT"/>
                            <w:spacing w:val="-2"/>
                            <w:w w:val="85"/>
                            <w:sz w:val="14"/>
                          </w:rPr>
                          <w:t>Japan</w:t>
                        </w:r>
                      </w:p>
                    </w:txbxContent>
                  </v:textbox>
                  <w10:wrap type="none"/>
                </v:shape>
                <v:shape style="position:absolute;left:4551;top:3637;width:384;height:161" type="#_x0000_t202" id="docshape2168" filled="false" stroked="false">
                  <v:textbox inset="0,0,0,0">
                    <w:txbxContent>
                      <w:p>
                        <w:pPr>
                          <w:spacing w:line="161" w:lineRule="exact" w:before="0"/>
                          <w:ind w:left="0" w:right="0" w:firstLine="0"/>
                          <w:jc w:val="left"/>
                          <w:rPr>
                            <w:rFonts w:ascii="Arial MT"/>
                            <w:sz w:val="14"/>
                          </w:rPr>
                        </w:pPr>
                        <w:r>
                          <w:rPr>
                            <w:rFonts w:ascii="Arial MT"/>
                            <w:spacing w:val="-2"/>
                            <w:w w:val="85"/>
                            <w:sz w:val="14"/>
                          </w:rPr>
                          <w:t>Mexico</w:t>
                        </w:r>
                      </w:p>
                    </w:txbxContent>
                  </v:textbox>
                  <w10:wrap type="none"/>
                </v:shape>
                <v:shape style="position:absolute;left:5402;top:3637;width:461;height:161" type="#_x0000_t202" id="docshape2169" filled="false" stroked="false">
                  <v:textbox inset="0,0,0,0">
                    <w:txbxContent>
                      <w:p>
                        <w:pPr>
                          <w:spacing w:line="161" w:lineRule="exact" w:before="0"/>
                          <w:ind w:left="0" w:right="0" w:firstLine="0"/>
                          <w:jc w:val="left"/>
                          <w:rPr>
                            <w:rFonts w:ascii="Arial MT"/>
                            <w:sz w:val="14"/>
                          </w:rPr>
                        </w:pPr>
                        <w:r>
                          <w:rPr>
                            <w:rFonts w:ascii="Arial MT"/>
                            <w:spacing w:val="-2"/>
                            <w:w w:val="85"/>
                            <w:sz w:val="14"/>
                          </w:rPr>
                          <w:t>Pakistan</w:t>
                        </w:r>
                      </w:p>
                    </w:txbxContent>
                  </v:textbox>
                  <w10:wrap type="none"/>
                </v:shape>
                <v:shape style="position:absolute;left:6392;top:3637;width:320;height:161" type="#_x0000_t202" id="docshape2170" filled="false" stroked="false">
                  <v:textbox inset="0,0,0,0">
                    <w:txbxContent>
                      <w:p>
                        <w:pPr>
                          <w:spacing w:line="161" w:lineRule="exact" w:before="0"/>
                          <w:ind w:left="0" w:right="0" w:firstLine="0"/>
                          <w:jc w:val="left"/>
                          <w:rPr>
                            <w:rFonts w:ascii="Arial MT"/>
                            <w:sz w:val="14"/>
                          </w:rPr>
                        </w:pPr>
                        <w:r>
                          <w:rPr>
                            <w:rFonts w:ascii="Arial MT"/>
                            <w:spacing w:val="-2"/>
                            <w:w w:val="85"/>
                            <w:sz w:val="14"/>
                          </w:rPr>
                          <w:t>China</w:t>
                        </w:r>
                      </w:p>
                    </w:txbxContent>
                  </v:textbox>
                  <w10:wrap type="none"/>
                </v:shape>
                <v:shape style="position:absolute;left:7257;top:3637;width:371;height:161" type="#_x0000_t202" id="docshape2171" filled="false" stroked="false">
                  <v:textbox inset="0,0,0,0">
                    <w:txbxContent>
                      <w:p>
                        <w:pPr>
                          <w:spacing w:line="161" w:lineRule="exact" w:before="0"/>
                          <w:ind w:left="0" w:right="0" w:firstLine="0"/>
                          <w:jc w:val="left"/>
                          <w:rPr>
                            <w:rFonts w:ascii="Arial MT"/>
                            <w:sz w:val="14"/>
                          </w:rPr>
                        </w:pPr>
                        <w:r>
                          <w:rPr>
                            <w:rFonts w:ascii="Arial MT"/>
                            <w:spacing w:val="-2"/>
                            <w:w w:val="85"/>
                            <w:sz w:val="14"/>
                          </w:rPr>
                          <w:t>Russia</w:t>
                        </w:r>
                      </w:p>
                    </w:txbxContent>
                  </v:textbox>
                  <w10:wrap type="none"/>
                </v:shape>
                <v:shape style="position:absolute;left:8228;top:3637;width:269;height:161" type="#_x0000_t202" id="docshape2172" filled="false" stroked="false">
                  <v:textbox inset="0,0,0,0">
                    <w:txbxContent>
                      <w:p>
                        <w:pPr>
                          <w:spacing w:line="161" w:lineRule="exact" w:before="0"/>
                          <w:ind w:left="0" w:right="0" w:firstLine="0"/>
                          <w:jc w:val="left"/>
                          <w:rPr>
                            <w:rFonts w:ascii="Arial MT"/>
                            <w:sz w:val="14"/>
                          </w:rPr>
                        </w:pPr>
                        <w:r>
                          <w:rPr>
                            <w:rFonts w:ascii="Arial MT"/>
                            <w:spacing w:val="-2"/>
                            <w:w w:val="85"/>
                            <w:sz w:val="14"/>
                          </w:rPr>
                          <w:t>India</w:t>
                        </w:r>
                      </w:p>
                    </w:txbxContent>
                  </v:textbox>
                  <w10:wrap type="none"/>
                </v:shape>
                <w10:wrap type="topAndBottom"/>
              </v:group>
            </w:pict>
          </mc:Fallback>
        </mc:AlternateContent>
      </w:r>
    </w:p>
    <w:p>
      <w:pPr>
        <w:spacing w:before="103"/>
        <w:ind w:left="1972" w:right="0" w:firstLine="0"/>
        <w:jc w:val="left"/>
        <w:rPr>
          <w:sz w:val="16"/>
        </w:rPr>
      </w:pPr>
      <w:r>
        <w:rPr>
          <w:i/>
          <w:w w:val="90"/>
          <w:sz w:val="16"/>
        </w:rPr>
        <w:t>Source:</w:t>
      </w:r>
      <w:r>
        <w:rPr>
          <w:i/>
          <w:spacing w:val="4"/>
          <w:sz w:val="16"/>
        </w:rPr>
        <w:t> </w:t>
      </w:r>
      <w:r>
        <w:rPr>
          <w:w w:val="90"/>
          <w:sz w:val="16"/>
        </w:rPr>
        <w:t>Doing</w:t>
      </w:r>
      <w:r>
        <w:rPr>
          <w:spacing w:val="5"/>
          <w:sz w:val="16"/>
        </w:rPr>
        <w:t> </w:t>
      </w:r>
      <w:r>
        <w:rPr>
          <w:w w:val="90"/>
          <w:sz w:val="16"/>
        </w:rPr>
        <w:t>Business,</w:t>
      </w:r>
      <w:r>
        <w:rPr>
          <w:spacing w:val="5"/>
          <w:sz w:val="16"/>
        </w:rPr>
        <w:t> </w:t>
      </w:r>
      <w:r>
        <w:rPr>
          <w:spacing w:val="-4"/>
          <w:w w:val="90"/>
          <w:sz w:val="16"/>
        </w:rPr>
        <w:t>2008</w:t>
      </w:r>
    </w:p>
    <w:p>
      <w:pPr>
        <w:spacing w:after="0"/>
        <w:jc w:val="left"/>
        <w:rPr>
          <w:sz w:val="16"/>
        </w:rPr>
        <w:sectPr>
          <w:type w:val="continuous"/>
          <w:pgSz w:w="11910" w:h="16840"/>
          <w:pgMar w:header="0" w:footer="675" w:top="1920" w:bottom="280" w:left="0" w:right="0"/>
        </w:sectPr>
      </w:pPr>
    </w:p>
    <w:p>
      <w:pPr>
        <w:pStyle w:val="Heading8"/>
        <w:spacing w:before="73"/>
        <w:ind w:left="1992"/>
      </w:pPr>
      <w:r>
        <w:rPr/>
        <mc:AlternateContent>
          <mc:Choice Requires="wps">
            <w:drawing>
              <wp:anchor distT="0" distB="0" distL="0" distR="0" allowOverlap="1" layoutInCell="1" locked="0" behindDoc="0" simplePos="0" relativeHeight="15896064">
                <wp:simplePos x="0" y="0"/>
                <wp:positionH relativeFrom="page">
                  <wp:posOffset>1265549</wp:posOffset>
                </wp:positionH>
                <wp:positionV relativeFrom="paragraph">
                  <wp:posOffset>311150</wp:posOffset>
                </wp:positionV>
                <wp:extent cx="5048885" cy="2702560"/>
                <wp:effectExtent l="0" t="0" r="0" b="0"/>
                <wp:wrapNone/>
                <wp:docPr id="2233" name="Group 2233"/>
                <wp:cNvGraphicFramePr>
                  <a:graphicFrameLocks/>
                </wp:cNvGraphicFramePr>
                <a:graphic>
                  <a:graphicData uri="http://schemas.microsoft.com/office/word/2010/wordprocessingGroup">
                    <wpg:wgp>
                      <wpg:cNvPr id="2233" name="Group 2233"/>
                      <wpg:cNvGrpSpPr/>
                      <wpg:grpSpPr>
                        <a:xfrm>
                          <a:off x="0" y="0"/>
                          <a:ext cx="5048885" cy="2702560"/>
                          <a:chExt cx="5048885" cy="2702560"/>
                        </a:xfrm>
                      </wpg:grpSpPr>
                      <wps:wsp>
                        <wps:cNvPr id="2234" name="Graphic 2234"/>
                        <wps:cNvSpPr/>
                        <wps:spPr>
                          <a:xfrm>
                            <a:off x="-7" y="0"/>
                            <a:ext cx="5048885" cy="2702560"/>
                          </a:xfrm>
                          <a:custGeom>
                            <a:avLst/>
                            <a:gdLst/>
                            <a:ahLst/>
                            <a:cxnLst/>
                            <a:rect l="l" t="t" r="r" b="b"/>
                            <a:pathLst>
                              <a:path w="5048885" h="2702560">
                                <a:moveTo>
                                  <a:pt x="5048580" y="0"/>
                                </a:moveTo>
                                <a:lnTo>
                                  <a:pt x="5042230" y="0"/>
                                </a:lnTo>
                                <a:lnTo>
                                  <a:pt x="5042230" y="6388"/>
                                </a:lnTo>
                                <a:lnTo>
                                  <a:pt x="5042230" y="2696210"/>
                                </a:lnTo>
                                <a:lnTo>
                                  <a:pt x="5042230" y="2696387"/>
                                </a:lnTo>
                                <a:lnTo>
                                  <a:pt x="5042230" y="2699562"/>
                                </a:lnTo>
                                <a:lnTo>
                                  <a:pt x="5042230" y="2700020"/>
                                </a:lnTo>
                                <a:lnTo>
                                  <a:pt x="3175" y="2700020"/>
                                </a:lnTo>
                                <a:lnTo>
                                  <a:pt x="3175" y="2699562"/>
                                </a:lnTo>
                                <a:lnTo>
                                  <a:pt x="6350" y="2699562"/>
                                </a:lnTo>
                                <a:lnTo>
                                  <a:pt x="5042230" y="2699562"/>
                                </a:lnTo>
                                <a:lnTo>
                                  <a:pt x="5042230" y="2696387"/>
                                </a:lnTo>
                                <a:lnTo>
                                  <a:pt x="6350" y="2696387"/>
                                </a:lnTo>
                                <a:lnTo>
                                  <a:pt x="3175" y="2696387"/>
                                </a:lnTo>
                                <a:lnTo>
                                  <a:pt x="3175" y="2696210"/>
                                </a:lnTo>
                                <a:lnTo>
                                  <a:pt x="6350" y="2696210"/>
                                </a:lnTo>
                                <a:lnTo>
                                  <a:pt x="6350" y="6388"/>
                                </a:lnTo>
                                <a:lnTo>
                                  <a:pt x="5042230" y="6388"/>
                                </a:lnTo>
                                <a:lnTo>
                                  <a:pt x="5042230" y="0"/>
                                </a:lnTo>
                                <a:lnTo>
                                  <a:pt x="0" y="0"/>
                                </a:lnTo>
                                <a:lnTo>
                                  <a:pt x="0" y="3810"/>
                                </a:lnTo>
                                <a:lnTo>
                                  <a:pt x="0" y="6350"/>
                                </a:lnTo>
                                <a:lnTo>
                                  <a:pt x="0" y="2696210"/>
                                </a:lnTo>
                                <a:lnTo>
                                  <a:pt x="0" y="2700020"/>
                                </a:lnTo>
                                <a:lnTo>
                                  <a:pt x="0" y="2702560"/>
                                </a:lnTo>
                                <a:lnTo>
                                  <a:pt x="5048580" y="2702560"/>
                                </a:lnTo>
                                <a:lnTo>
                                  <a:pt x="5048580" y="2700020"/>
                                </a:lnTo>
                                <a:lnTo>
                                  <a:pt x="5045405" y="2700020"/>
                                </a:lnTo>
                                <a:lnTo>
                                  <a:pt x="5045405" y="2699562"/>
                                </a:lnTo>
                                <a:lnTo>
                                  <a:pt x="5048580" y="2699562"/>
                                </a:lnTo>
                                <a:lnTo>
                                  <a:pt x="5048580" y="2696387"/>
                                </a:lnTo>
                                <a:lnTo>
                                  <a:pt x="5045405" y="2696387"/>
                                </a:lnTo>
                                <a:lnTo>
                                  <a:pt x="5045405" y="2696210"/>
                                </a:lnTo>
                                <a:lnTo>
                                  <a:pt x="5048580" y="2696210"/>
                                </a:lnTo>
                                <a:lnTo>
                                  <a:pt x="5048580" y="6388"/>
                                </a:lnTo>
                                <a:lnTo>
                                  <a:pt x="5048580" y="3810"/>
                                </a:lnTo>
                                <a:lnTo>
                                  <a:pt x="5048580" y="3213"/>
                                </a:lnTo>
                                <a:lnTo>
                                  <a:pt x="5048580" y="0"/>
                                </a:lnTo>
                                <a:close/>
                              </a:path>
                            </a:pathLst>
                          </a:custGeom>
                          <a:solidFill>
                            <a:srgbClr val="000000"/>
                          </a:solidFill>
                        </wps:spPr>
                        <wps:bodyPr wrap="square" lIns="0" tIns="0" rIns="0" bIns="0" rtlCol="0">
                          <a:prstTxWarp prst="textNoShape">
                            <a:avLst/>
                          </a:prstTxWarp>
                          <a:noAutofit/>
                        </wps:bodyPr>
                      </wps:wsp>
                      <wps:wsp>
                        <wps:cNvPr id="2235" name="Graphic 2235"/>
                        <wps:cNvSpPr/>
                        <wps:spPr>
                          <a:xfrm>
                            <a:off x="529443" y="770140"/>
                            <a:ext cx="4162425" cy="1699895"/>
                          </a:xfrm>
                          <a:custGeom>
                            <a:avLst/>
                            <a:gdLst/>
                            <a:ahLst/>
                            <a:cxnLst/>
                            <a:rect l="l" t="t" r="r" b="b"/>
                            <a:pathLst>
                              <a:path w="4162425" h="1699895">
                                <a:moveTo>
                                  <a:pt x="148666" y="0"/>
                                </a:moveTo>
                                <a:lnTo>
                                  <a:pt x="0" y="0"/>
                                </a:lnTo>
                                <a:lnTo>
                                  <a:pt x="0" y="1699450"/>
                                </a:lnTo>
                                <a:lnTo>
                                  <a:pt x="148666" y="1699450"/>
                                </a:lnTo>
                                <a:lnTo>
                                  <a:pt x="148666" y="0"/>
                                </a:lnTo>
                                <a:close/>
                              </a:path>
                              <a:path w="4162425" h="1699895">
                                <a:moveTo>
                                  <a:pt x="650367" y="805586"/>
                                </a:moveTo>
                                <a:lnTo>
                                  <a:pt x="501713" y="805586"/>
                                </a:lnTo>
                                <a:lnTo>
                                  <a:pt x="501713" y="1699450"/>
                                </a:lnTo>
                                <a:lnTo>
                                  <a:pt x="650367" y="1699450"/>
                                </a:lnTo>
                                <a:lnTo>
                                  <a:pt x="650367" y="805586"/>
                                </a:lnTo>
                                <a:close/>
                              </a:path>
                              <a:path w="4162425" h="1699895">
                                <a:moveTo>
                                  <a:pt x="1152067" y="816622"/>
                                </a:moveTo>
                                <a:lnTo>
                                  <a:pt x="1003414" y="816622"/>
                                </a:lnTo>
                                <a:lnTo>
                                  <a:pt x="1003414" y="1699450"/>
                                </a:lnTo>
                                <a:lnTo>
                                  <a:pt x="1152067" y="1699450"/>
                                </a:lnTo>
                                <a:lnTo>
                                  <a:pt x="1152067" y="816622"/>
                                </a:lnTo>
                                <a:close/>
                              </a:path>
                              <a:path w="4162425" h="1699895">
                                <a:moveTo>
                                  <a:pt x="1653768" y="1158709"/>
                                </a:moveTo>
                                <a:lnTo>
                                  <a:pt x="1505115" y="1158709"/>
                                </a:lnTo>
                                <a:lnTo>
                                  <a:pt x="1505115" y="1699450"/>
                                </a:lnTo>
                                <a:lnTo>
                                  <a:pt x="1653768" y="1699450"/>
                                </a:lnTo>
                                <a:lnTo>
                                  <a:pt x="1653768" y="1158709"/>
                                </a:lnTo>
                                <a:close/>
                              </a:path>
                              <a:path w="4162425" h="1699895">
                                <a:moveTo>
                                  <a:pt x="2155469" y="1191818"/>
                                </a:moveTo>
                                <a:lnTo>
                                  <a:pt x="2006828" y="1191818"/>
                                </a:lnTo>
                                <a:lnTo>
                                  <a:pt x="2006828" y="1699450"/>
                                </a:lnTo>
                                <a:lnTo>
                                  <a:pt x="2155469" y="1699450"/>
                                </a:lnTo>
                                <a:lnTo>
                                  <a:pt x="2155469" y="1191818"/>
                                </a:lnTo>
                                <a:close/>
                              </a:path>
                              <a:path w="4162425" h="1699895">
                                <a:moveTo>
                                  <a:pt x="2657195" y="1202855"/>
                                </a:moveTo>
                                <a:lnTo>
                                  <a:pt x="2508516" y="1202855"/>
                                </a:lnTo>
                                <a:lnTo>
                                  <a:pt x="2508516" y="1699450"/>
                                </a:lnTo>
                                <a:lnTo>
                                  <a:pt x="2657195" y="1699450"/>
                                </a:lnTo>
                                <a:lnTo>
                                  <a:pt x="2657195" y="1202855"/>
                                </a:lnTo>
                                <a:close/>
                              </a:path>
                              <a:path w="4162425" h="1699895">
                                <a:moveTo>
                                  <a:pt x="3158883" y="1247000"/>
                                </a:moveTo>
                                <a:lnTo>
                                  <a:pt x="3010230" y="1247000"/>
                                </a:lnTo>
                                <a:lnTo>
                                  <a:pt x="3010230" y="1699450"/>
                                </a:lnTo>
                                <a:lnTo>
                                  <a:pt x="3158883" y="1699450"/>
                                </a:lnTo>
                                <a:lnTo>
                                  <a:pt x="3158883" y="1247000"/>
                                </a:lnTo>
                                <a:close/>
                              </a:path>
                              <a:path w="4162425" h="1699895">
                                <a:moveTo>
                                  <a:pt x="3660584" y="1324241"/>
                                </a:moveTo>
                                <a:lnTo>
                                  <a:pt x="3511943" y="1324241"/>
                                </a:lnTo>
                                <a:lnTo>
                                  <a:pt x="3511943" y="1699450"/>
                                </a:lnTo>
                                <a:lnTo>
                                  <a:pt x="3660584" y="1699450"/>
                                </a:lnTo>
                                <a:lnTo>
                                  <a:pt x="3660584" y="1324241"/>
                                </a:lnTo>
                                <a:close/>
                              </a:path>
                              <a:path w="4162425" h="1699895">
                                <a:moveTo>
                                  <a:pt x="4162298" y="1544942"/>
                                </a:moveTo>
                                <a:lnTo>
                                  <a:pt x="4013631" y="1544942"/>
                                </a:lnTo>
                                <a:lnTo>
                                  <a:pt x="4013631" y="1699450"/>
                                </a:lnTo>
                                <a:lnTo>
                                  <a:pt x="4162298" y="1699450"/>
                                </a:lnTo>
                                <a:lnTo>
                                  <a:pt x="4162298" y="1544942"/>
                                </a:lnTo>
                                <a:close/>
                              </a:path>
                            </a:pathLst>
                          </a:custGeom>
                          <a:solidFill>
                            <a:srgbClr val="2F7D41"/>
                          </a:solidFill>
                        </wps:spPr>
                        <wps:bodyPr wrap="square" lIns="0" tIns="0" rIns="0" bIns="0" rtlCol="0">
                          <a:prstTxWarp prst="textNoShape">
                            <a:avLst/>
                          </a:prstTxWarp>
                          <a:noAutofit/>
                        </wps:bodyPr>
                      </wps:wsp>
                      <wps:wsp>
                        <wps:cNvPr id="2236" name="Graphic 2236"/>
                        <wps:cNvSpPr/>
                        <wps:spPr>
                          <a:xfrm>
                            <a:off x="678109" y="604608"/>
                            <a:ext cx="4153535" cy="1864995"/>
                          </a:xfrm>
                          <a:custGeom>
                            <a:avLst/>
                            <a:gdLst/>
                            <a:ahLst/>
                            <a:cxnLst/>
                            <a:rect l="l" t="t" r="r" b="b"/>
                            <a:pathLst>
                              <a:path w="4153535" h="1864995">
                                <a:moveTo>
                                  <a:pt x="139357" y="1578051"/>
                                </a:moveTo>
                                <a:lnTo>
                                  <a:pt x="0" y="1578051"/>
                                </a:lnTo>
                                <a:lnTo>
                                  <a:pt x="0" y="1864982"/>
                                </a:lnTo>
                                <a:lnTo>
                                  <a:pt x="139357" y="1864982"/>
                                </a:lnTo>
                                <a:lnTo>
                                  <a:pt x="139357" y="1578051"/>
                                </a:lnTo>
                                <a:close/>
                              </a:path>
                              <a:path w="4153535" h="1864995">
                                <a:moveTo>
                                  <a:pt x="641057" y="971118"/>
                                </a:moveTo>
                                <a:lnTo>
                                  <a:pt x="501700" y="971118"/>
                                </a:lnTo>
                                <a:lnTo>
                                  <a:pt x="501700" y="1864982"/>
                                </a:lnTo>
                                <a:lnTo>
                                  <a:pt x="641057" y="1864982"/>
                                </a:lnTo>
                                <a:lnTo>
                                  <a:pt x="641057" y="971118"/>
                                </a:lnTo>
                                <a:close/>
                              </a:path>
                              <a:path w="4153535" h="1864995">
                                <a:moveTo>
                                  <a:pt x="1142758" y="1258036"/>
                                </a:moveTo>
                                <a:lnTo>
                                  <a:pt x="1003401" y="1258036"/>
                                </a:lnTo>
                                <a:lnTo>
                                  <a:pt x="1003401" y="1864982"/>
                                </a:lnTo>
                                <a:lnTo>
                                  <a:pt x="1142758" y="1864982"/>
                                </a:lnTo>
                                <a:lnTo>
                                  <a:pt x="1142758" y="1258036"/>
                                </a:lnTo>
                                <a:close/>
                              </a:path>
                              <a:path w="4153535" h="1864995">
                                <a:moveTo>
                                  <a:pt x="1644472" y="1147686"/>
                                </a:moveTo>
                                <a:lnTo>
                                  <a:pt x="1505102" y="1147686"/>
                                </a:lnTo>
                                <a:lnTo>
                                  <a:pt x="1505102" y="1864982"/>
                                </a:lnTo>
                                <a:lnTo>
                                  <a:pt x="1644472" y="1864982"/>
                                </a:lnTo>
                                <a:lnTo>
                                  <a:pt x="1644472" y="1147686"/>
                                </a:lnTo>
                                <a:close/>
                              </a:path>
                              <a:path w="4153535" h="1864995">
                                <a:moveTo>
                                  <a:pt x="2146173" y="1324241"/>
                                </a:moveTo>
                                <a:lnTo>
                                  <a:pt x="2006803" y="1324241"/>
                                </a:lnTo>
                                <a:lnTo>
                                  <a:pt x="2006803" y="1864982"/>
                                </a:lnTo>
                                <a:lnTo>
                                  <a:pt x="2146173" y="1864982"/>
                                </a:lnTo>
                                <a:lnTo>
                                  <a:pt x="2146173" y="1324241"/>
                                </a:lnTo>
                                <a:close/>
                              </a:path>
                              <a:path w="4153535" h="1864995">
                                <a:moveTo>
                                  <a:pt x="2647861" y="0"/>
                                </a:moveTo>
                                <a:lnTo>
                                  <a:pt x="2508529" y="0"/>
                                </a:lnTo>
                                <a:lnTo>
                                  <a:pt x="2508529" y="1864982"/>
                                </a:lnTo>
                                <a:lnTo>
                                  <a:pt x="2647861" y="1864982"/>
                                </a:lnTo>
                                <a:lnTo>
                                  <a:pt x="2647861" y="0"/>
                                </a:lnTo>
                                <a:close/>
                              </a:path>
                              <a:path w="4153535" h="1864995">
                                <a:moveTo>
                                  <a:pt x="3149574" y="1798777"/>
                                </a:moveTo>
                                <a:lnTo>
                                  <a:pt x="3010217" y="1798777"/>
                                </a:lnTo>
                                <a:lnTo>
                                  <a:pt x="3010217" y="1864982"/>
                                </a:lnTo>
                                <a:lnTo>
                                  <a:pt x="3149574" y="1864982"/>
                                </a:lnTo>
                                <a:lnTo>
                                  <a:pt x="3149574" y="1798777"/>
                                </a:lnTo>
                                <a:close/>
                              </a:path>
                              <a:path w="4153535" h="1864995">
                                <a:moveTo>
                                  <a:pt x="3651288" y="1004227"/>
                                </a:moveTo>
                                <a:lnTo>
                                  <a:pt x="3511918" y="1004227"/>
                                </a:lnTo>
                                <a:lnTo>
                                  <a:pt x="3511918" y="1864982"/>
                                </a:lnTo>
                                <a:lnTo>
                                  <a:pt x="3651288" y="1864982"/>
                                </a:lnTo>
                                <a:lnTo>
                                  <a:pt x="3651288" y="1004227"/>
                                </a:lnTo>
                                <a:close/>
                              </a:path>
                              <a:path w="4153535" h="1864995">
                                <a:moveTo>
                                  <a:pt x="4153001" y="1721510"/>
                                </a:moveTo>
                                <a:lnTo>
                                  <a:pt x="4013631" y="1721510"/>
                                </a:lnTo>
                                <a:lnTo>
                                  <a:pt x="4013631" y="1864982"/>
                                </a:lnTo>
                                <a:lnTo>
                                  <a:pt x="4153001" y="1864982"/>
                                </a:lnTo>
                                <a:lnTo>
                                  <a:pt x="4153001" y="1721510"/>
                                </a:lnTo>
                                <a:close/>
                              </a:path>
                            </a:pathLst>
                          </a:custGeom>
                          <a:solidFill>
                            <a:srgbClr val="E3C626"/>
                          </a:solidFill>
                        </wps:spPr>
                        <wps:bodyPr wrap="square" lIns="0" tIns="0" rIns="0" bIns="0" rtlCol="0">
                          <a:prstTxWarp prst="textNoShape">
                            <a:avLst/>
                          </a:prstTxWarp>
                          <a:noAutofit/>
                        </wps:bodyPr>
                      </wps:wsp>
                      <wps:wsp>
                        <wps:cNvPr id="2237" name="Graphic 2237"/>
                        <wps:cNvSpPr/>
                        <wps:spPr>
                          <a:xfrm>
                            <a:off x="386999" y="314007"/>
                            <a:ext cx="4559300" cy="2192655"/>
                          </a:xfrm>
                          <a:custGeom>
                            <a:avLst/>
                            <a:gdLst/>
                            <a:ahLst/>
                            <a:cxnLst/>
                            <a:rect l="l" t="t" r="r" b="b"/>
                            <a:pathLst>
                              <a:path w="4559300" h="2192655">
                                <a:moveTo>
                                  <a:pt x="4558677" y="2152891"/>
                                </a:moveTo>
                                <a:lnTo>
                                  <a:pt x="4558677" y="2152891"/>
                                </a:lnTo>
                                <a:lnTo>
                                  <a:pt x="43497" y="2152891"/>
                                </a:lnTo>
                                <a:lnTo>
                                  <a:pt x="43497" y="0"/>
                                </a:lnTo>
                                <a:lnTo>
                                  <a:pt x="37147" y="0"/>
                                </a:lnTo>
                                <a:lnTo>
                                  <a:pt x="0" y="0"/>
                                </a:lnTo>
                                <a:lnTo>
                                  <a:pt x="0" y="6350"/>
                                </a:lnTo>
                                <a:lnTo>
                                  <a:pt x="37147" y="6350"/>
                                </a:lnTo>
                                <a:lnTo>
                                  <a:pt x="37147" y="364337"/>
                                </a:lnTo>
                                <a:lnTo>
                                  <a:pt x="0" y="364337"/>
                                </a:lnTo>
                                <a:lnTo>
                                  <a:pt x="0" y="370687"/>
                                </a:lnTo>
                                <a:lnTo>
                                  <a:pt x="37147" y="370687"/>
                                </a:lnTo>
                                <a:lnTo>
                                  <a:pt x="37147" y="717638"/>
                                </a:lnTo>
                                <a:lnTo>
                                  <a:pt x="0" y="717638"/>
                                </a:lnTo>
                                <a:lnTo>
                                  <a:pt x="0" y="723988"/>
                                </a:lnTo>
                                <a:lnTo>
                                  <a:pt x="37147" y="723988"/>
                                </a:lnTo>
                                <a:lnTo>
                                  <a:pt x="37147" y="1081963"/>
                                </a:lnTo>
                                <a:lnTo>
                                  <a:pt x="0" y="1081963"/>
                                </a:lnTo>
                                <a:lnTo>
                                  <a:pt x="0" y="1088313"/>
                                </a:lnTo>
                                <a:lnTo>
                                  <a:pt x="37147" y="1088313"/>
                                </a:lnTo>
                                <a:lnTo>
                                  <a:pt x="37147" y="1435265"/>
                                </a:lnTo>
                                <a:lnTo>
                                  <a:pt x="0" y="1435265"/>
                                </a:lnTo>
                                <a:lnTo>
                                  <a:pt x="0" y="1441615"/>
                                </a:lnTo>
                                <a:lnTo>
                                  <a:pt x="37147" y="1441615"/>
                                </a:lnTo>
                                <a:lnTo>
                                  <a:pt x="37147" y="1799602"/>
                                </a:lnTo>
                                <a:lnTo>
                                  <a:pt x="0" y="1799602"/>
                                </a:lnTo>
                                <a:lnTo>
                                  <a:pt x="0" y="1805952"/>
                                </a:lnTo>
                                <a:lnTo>
                                  <a:pt x="37147" y="1805952"/>
                                </a:lnTo>
                                <a:lnTo>
                                  <a:pt x="37147" y="2152891"/>
                                </a:lnTo>
                                <a:lnTo>
                                  <a:pt x="0" y="2152891"/>
                                </a:lnTo>
                                <a:lnTo>
                                  <a:pt x="0" y="2159241"/>
                                </a:lnTo>
                                <a:lnTo>
                                  <a:pt x="37147" y="2159241"/>
                                </a:lnTo>
                                <a:lnTo>
                                  <a:pt x="37147" y="2192375"/>
                                </a:lnTo>
                                <a:lnTo>
                                  <a:pt x="43497" y="2192375"/>
                                </a:lnTo>
                                <a:lnTo>
                                  <a:pt x="43497" y="2159241"/>
                                </a:lnTo>
                                <a:lnTo>
                                  <a:pt x="538835" y="2159241"/>
                                </a:lnTo>
                                <a:lnTo>
                                  <a:pt x="538835" y="2192375"/>
                                </a:lnTo>
                                <a:lnTo>
                                  <a:pt x="545185" y="2192375"/>
                                </a:lnTo>
                                <a:lnTo>
                                  <a:pt x="545185" y="2159241"/>
                                </a:lnTo>
                                <a:lnTo>
                                  <a:pt x="1040523" y="2159241"/>
                                </a:lnTo>
                                <a:lnTo>
                                  <a:pt x="1040523" y="2192375"/>
                                </a:lnTo>
                                <a:lnTo>
                                  <a:pt x="1046873" y="2192375"/>
                                </a:lnTo>
                                <a:lnTo>
                                  <a:pt x="1046873" y="2159241"/>
                                </a:lnTo>
                                <a:lnTo>
                                  <a:pt x="1542211" y="2159241"/>
                                </a:lnTo>
                                <a:lnTo>
                                  <a:pt x="1542211" y="2192375"/>
                                </a:lnTo>
                                <a:lnTo>
                                  <a:pt x="1548561" y="2192375"/>
                                </a:lnTo>
                                <a:lnTo>
                                  <a:pt x="1548561" y="2159241"/>
                                </a:lnTo>
                                <a:lnTo>
                                  <a:pt x="2043899" y="2159241"/>
                                </a:lnTo>
                                <a:lnTo>
                                  <a:pt x="2043899" y="2192375"/>
                                </a:lnTo>
                                <a:lnTo>
                                  <a:pt x="2050249" y="2192375"/>
                                </a:lnTo>
                                <a:lnTo>
                                  <a:pt x="2050249" y="2159241"/>
                                </a:lnTo>
                                <a:lnTo>
                                  <a:pt x="2545588" y="2159241"/>
                                </a:lnTo>
                                <a:lnTo>
                                  <a:pt x="2545588" y="2192375"/>
                                </a:lnTo>
                                <a:lnTo>
                                  <a:pt x="2551938" y="2192375"/>
                                </a:lnTo>
                                <a:lnTo>
                                  <a:pt x="2551938" y="2159241"/>
                                </a:lnTo>
                                <a:lnTo>
                                  <a:pt x="3047276" y="2159241"/>
                                </a:lnTo>
                                <a:lnTo>
                                  <a:pt x="3047276" y="2192375"/>
                                </a:lnTo>
                                <a:lnTo>
                                  <a:pt x="3053626" y="2192375"/>
                                </a:lnTo>
                                <a:lnTo>
                                  <a:pt x="3053626" y="2159241"/>
                                </a:lnTo>
                                <a:lnTo>
                                  <a:pt x="3548964" y="2159241"/>
                                </a:lnTo>
                                <a:lnTo>
                                  <a:pt x="3548964" y="2192375"/>
                                </a:lnTo>
                                <a:lnTo>
                                  <a:pt x="3555314" y="2192375"/>
                                </a:lnTo>
                                <a:lnTo>
                                  <a:pt x="3555314" y="2159241"/>
                                </a:lnTo>
                                <a:lnTo>
                                  <a:pt x="4050639" y="2159241"/>
                                </a:lnTo>
                                <a:lnTo>
                                  <a:pt x="4050639" y="2192375"/>
                                </a:lnTo>
                                <a:lnTo>
                                  <a:pt x="4056989" y="2192375"/>
                                </a:lnTo>
                                <a:lnTo>
                                  <a:pt x="4056989" y="2159241"/>
                                </a:lnTo>
                                <a:lnTo>
                                  <a:pt x="4552327" y="2159241"/>
                                </a:lnTo>
                                <a:lnTo>
                                  <a:pt x="4552327" y="2192375"/>
                                </a:lnTo>
                                <a:lnTo>
                                  <a:pt x="4558677" y="2192375"/>
                                </a:lnTo>
                                <a:lnTo>
                                  <a:pt x="4558677" y="2152891"/>
                                </a:lnTo>
                                <a:close/>
                              </a:path>
                            </a:pathLst>
                          </a:custGeom>
                          <a:solidFill>
                            <a:srgbClr val="000000"/>
                          </a:solidFill>
                        </wps:spPr>
                        <wps:bodyPr wrap="square" lIns="0" tIns="0" rIns="0" bIns="0" rtlCol="0">
                          <a:prstTxWarp prst="textNoShape">
                            <a:avLst/>
                          </a:prstTxWarp>
                          <a:noAutofit/>
                        </wps:bodyPr>
                      </wps:wsp>
                      <wps:wsp>
                        <wps:cNvPr id="2238" name="Graphic 2238"/>
                        <wps:cNvSpPr/>
                        <wps:spPr>
                          <a:xfrm>
                            <a:off x="2412024" y="177249"/>
                            <a:ext cx="126364" cy="91440"/>
                          </a:xfrm>
                          <a:custGeom>
                            <a:avLst/>
                            <a:gdLst/>
                            <a:ahLst/>
                            <a:cxnLst/>
                            <a:rect l="l" t="t" r="r" b="b"/>
                            <a:pathLst>
                              <a:path w="126364" h="91440">
                                <a:moveTo>
                                  <a:pt x="126289" y="0"/>
                                </a:moveTo>
                                <a:lnTo>
                                  <a:pt x="0" y="0"/>
                                </a:lnTo>
                                <a:lnTo>
                                  <a:pt x="0" y="91032"/>
                                </a:lnTo>
                                <a:lnTo>
                                  <a:pt x="126289" y="91032"/>
                                </a:lnTo>
                                <a:lnTo>
                                  <a:pt x="126289" y="0"/>
                                </a:lnTo>
                                <a:close/>
                              </a:path>
                            </a:pathLst>
                          </a:custGeom>
                          <a:solidFill>
                            <a:srgbClr val="2F7D41"/>
                          </a:solidFill>
                        </wps:spPr>
                        <wps:bodyPr wrap="square" lIns="0" tIns="0" rIns="0" bIns="0" rtlCol="0">
                          <a:prstTxWarp prst="textNoShape">
                            <a:avLst/>
                          </a:prstTxWarp>
                          <a:noAutofit/>
                        </wps:bodyPr>
                      </wps:wsp>
                      <wps:wsp>
                        <wps:cNvPr id="2239" name="Graphic 2239"/>
                        <wps:cNvSpPr/>
                        <wps:spPr>
                          <a:xfrm>
                            <a:off x="3652882" y="177249"/>
                            <a:ext cx="125095" cy="91440"/>
                          </a:xfrm>
                          <a:custGeom>
                            <a:avLst/>
                            <a:gdLst/>
                            <a:ahLst/>
                            <a:cxnLst/>
                            <a:rect l="l" t="t" r="r" b="b"/>
                            <a:pathLst>
                              <a:path w="125095" h="91440">
                                <a:moveTo>
                                  <a:pt x="124955" y="0"/>
                                </a:moveTo>
                                <a:lnTo>
                                  <a:pt x="0" y="0"/>
                                </a:lnTo>
                                <a:lnTo>
                                  <a:pt x="0" y="91040"/>
                                </a:lnTo>
                                <a:lnTo>
                                  <a:pt x="124955" y="91040"/>
                                </a:lnTo>
                                <a:lnTo>
                                  <a:pt x="124955" y="0"/>
                                </a:lnTo>
                                <a:close/>
                              </a:path>
                            </a:pathLst>
                          </a:custGeom>
                          <a:solidFill>
                            <a:srgbClr val="E3C626"/>
                          </a:solidFill>
                        </wps:spPr>
                        <wps:bodyPr wrap="square" lIns="0" tIns="0" rIns="0" bIns="0" rtlCol="0">
                          <a:prstTxWarp prst="textNoShape">
                            <a:avLst/>
                          </a:prstTxWarp>
                          <a:noAutofit/>
                        </wps:bodyPr>
                      </wps:wsp>
                      <wps:wsp>
                        <wps:cNvPr id="2240" name="Textbox 2240"/>
                        <wps:cNvSpPr txBox="1"/>
                        <wps:spPr>
                          <a:xfrm>
                            <a:off x="4595175" y="2502092"/>
                            <a:ext cx="23558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Russia</w:t>
                              </w:r>
                            </w:p>
                          </w:txbxContent>
                        </wps:txbx>
                        <wps:bodyPr wrap="square" lIns="0" tIns="0" rIns="0" bIns="0" rtlCol="0">
                          <a:noAutofit/>
                        </wps:bodyPr>
                      </wps:wsp>
                      <wps:wsp>
                        <wps:cNvPr id="2241" name="Textbox 2241"/>
                        <wps:cNvSpPr txBox="1"/>
                        <wps:spPr>
                          <a:xfrm>
                            <a:off x="4138792" y="2502092"/>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UK</w:t>
                              </w:r>
                            </w:p>
                          </w:txbxContent>
                        </wps:txbx>
                        <wps:bodyPr wrap="square" lIns="0" tIns="0" rIns="0" bIns="0" rtlCol="0">
                          <a:noAutofit/>
                        </wps:bodyPr>
                      </wps:wsp>
                      <wps:wsp>
                        <wps:cNvPr id="2242" name="Textbox 2242"/>
                        <wps:cNvSpPr txBox="1"/>
                        <wps:spPr>
                          <a:xfrm>
                            <a:off x="3591438" y="2502092"/>
                            <a:ext cx="211454"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Japan</w:t>
                              </w:r>
                            </w:p>
                          </w:txbxContent>
                        </wps:txbx>
                        <wps:bodyPr wrap="square" lIns="0" tIns="0" rIns="0" bIns="0" rtlCol="0">
                          <a:noAutofit/>
                        </wps:bodyPr>
                      </wps:wsp>
                      <wps:wsp>
                        <wps:cNvPr id="2243" name="Textbox 2243"/>
                        <wps:cNvSpPr txBox="1"/>
                        <wps:spPr>
                          <a:xfrm>
                            <a:off x="3099244" y="2502092"/>
                            <a:ext cx="17081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India</w:t>
                              </w:r>
                            </w:p>
                          </w:txbxContent>
                        </wps:txbx>
                        <wps:bodyPr wrap="square" lIns="0" tIns="0" rIns="0" bIns="0" rtlCol="0">
                          <a:noAutofit/>
                        </wps:bodyPr>
                      </wps:wsp>
                      <wps:wsp>
                        <wps:cNvPr id="2244" name="Textbox 2244"/>
                        <wps:cNvSpPr txBox="1"/>
                        <wps:spPr>
                          <a:xfrm>
                            <a:off x="1586770" y="2502092"/>
                            <a:ext cx="1183005" cy="102235"/>
                          </a:xfrm>
                          <a:prstGeom prst="rect">
                            <a:avLst/>
                          </a:prstGeom>
                        </wps:spPr>
                        <wps:txbx>
                          <w:txbxContent>
                            <w:p>
                              <w:pPr>
                                <w:tabs>
                                  <w:tab w:pos="647" w:val="left" w:leader="none"/>
                                  <w:tab w:pos="1606" w:val="left" w:leader="none"/>
                                </w:tabs>
                                <w:spacing w:line="161" w:lineRule="exact" w:before="0"/>
                                <w:ind w:left="0" w:right="0" w:firstLine="0"/>
                                <w:jc w:val="left"/>
                                <w:rPr>
                                  <w:rFonts w:ascii="Arial MT"/>
                                  <w:sz w:val="14"/>
                                </w:rPr>
                              </w:pPr>
                              <w:r>
                                <w:rPr>
                                  <w:rFonts w:ascii="Arial MT"/>
                                  <w:spacing w:val="-2"/>
                                  <w:w w:val="90"/>
                                  <w:sz w:val="14"/>
                                </w:rPr>
                                <w:t>China</w:t>
                              </w:r>
                              <w:r>
                                <w:rPr>
                                  <w:rFonts w:ascii="Arial MT"/>
                                  <w:sz w:val="14"/>
                                </w:rPr>
                                <w:tab/>
                              </w:r>
                              <w:r>
                                <w:rPr>
                                  <w:rFonts w:ascii="Arial MT"/>
                                  <w:w w:val="80"/>
                                  <w:sz w:val="14"/>
                                </w:rPr>
                                <w:t>Hong</w:t>
                              </w:r>
                              <w:r>
                                <w:rPr>
                                  <w:rFonts w:ascii="Arial MT"/>
                                  <w:spacing w:val="-4"/>
                                  <w:sz w:val="14"/>
                                </w:rPr>
                                <w:t> </w:t>
                              </w:r>
                              <w:r>
                                <w:rPr>
                                  <w:rFonts w:ascii="Arial MT"/>
                                  <w:spacing w:val="-4"/>
                                  <w:w w:val="85"/>
                                  <w:sz w:val="14"/>
                                </w:rPr>
                                <w:t>Kong</w:t>
                              </w:r>
                              <w:r>
                                <w:rPr>
                                  <w:rFonts w:ascii="Arial MT"/>
                                  <w:sz w:val="14"/>
                                </w:rPr>
                                <w:tab/>
                              </w:r>
                              <w:r>
                                <w:rPr>
                                  <w:rFonts w:ascii="Arial MT"/>
                                  <w:spacing w:val="-5"/>
                                  <w:w w:val="85"/>
                                  <w:sz w:val="14"/>
                                </w:rPr>
                                <w:t>USA</w:t>
                              </w:r>
                            </w:p>
                          </w:txbxContent>
                        </wps:txbx>
                        <wps:bodyPr wrap="square" lIns="0" tIns="0" rIns="0" bIns="0" rtlCol="0">
                          <a:noAutofit/>
                        </wps:bodyPr>
                      </wps:wsp>
                      <wps:wsp>
                        <wps:cNvPr id="2245" name="Textbox 2245"/>
                        <wps:cNvSpPr txBox="1"/>
                        <wps:spPr>
                          <a:xfrm>
                            <a:off x="1085021" y="2502092"/>
                            <a:ext cx="1949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Brazil</w:t>
                              </w:r>
                            </w:p>
                          </w:txbxContent>
                        </wps:txbx>
                        <wps:bodyPr wrap="square" lIns="0" tIns="0" rIns="0" bIns="0" rtlCol="0">
                          <a:noAutofit/>
                        </wps:bodyPr>
                      </wps:wsp>
                      <wps:wsp>
                        <wps:cNvPr id="2246" name="Textbox 2246"/>
                        <wps:cNvSpPr txBox="1"/>
                        <wps:spPr>
                          <a:xfrm>
                            <a:off x="537689" y="2502092"/>
                            <a:ext cx="29273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Thailand</w:t>
                              </w:r>
                            </w:p>
                          </w:txbxContent>
                        </wps:txbx>
                        <wps:bodyPr wrap="square" lIns="0" tIns="0" rIns="0" bIns="0" rtlCol="0">
                          <a:noAutofit/>
                        </wps:bodyPr>
                      </wps:wsp>
                      <wps:wsp>
                        <wps:cNvPr id="2247" name="Textbox 2247"/>
                        <wps:cNvSpPr txBox="1"/>
                        <wps:spPr>
                          <a:xfrm>
                            <a:off x="300668" y="2417616"/>
                            <a:ext cx="53340" cy="102235"/>
                          </a:xfrm>
                          <a:prstGeom prst="rect">
                            <a:avLst/>
                          </a:prstGeom>
                        </wps:spPr>
                        <wps:txbx>
                          <w:txbxContent>
                            <w:p>
                              <w:pPr>
                                <w:spacing w:line="161" w:lineRule="exact" w:before="0"/>
                                <w:ind w:left="0"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2248" name="Textbox 2248"/>
                        <wps:cNvSpPr txBox="1"/>
                        <wps:spPr>
                          <a:xfrm>
                            <a:off x="260125" y="2058206"/>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w:t>
                              </w:r>
                            </w:p>
                          </w:txbxContent>
                        </wps:txbx>
                        <wps:bodyPr wrap="square" lIns="0" tIns="0" rIns="0" bIns="0" rtlCol="0">
                          <a:noAutofit/>
                        </wps:bodyPr>
                      </wps:wsp>
                      <wps:wsp>
                        <wps:cNvPr id="2249" name="Textbox 2249"/>
                        <wps:cNvSpPr txBox="1"/>
                        <wps:spPr>
                          <a:xfrm>
                            <a:off x="260125" y="169879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20</w:t>
                              </w:r>
                            </w:p>
                          </w:txbxContent>
                        </wps:txbx>
                        <wps:bodyPr wrap="square" lIns="0" tIns="0" rIns="0" bIns="0" rtlCol="0">
                          <a:noAutofit/>
                        </wps:bodyPr>
                      </wps:wsp>
                      <wps:wsp>
                        <wps:cNvPr id="2250" name="Textbox 2250"/>
                        <wps:cNvSpPr txBox="1"/>
                        <wps:spPr>
                          <a:xfrm>
                            <a:off x="260125" y="1339387"/>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30</w:t>
                              </w:r>
                            </w:p>
                          </w:txbxContent>
                        </wps:txbx>
                        <wps:bodyPr wrap="square" lIns="0" tIns="0" rIns="0" bIns="0" rtlCol="0">
                          <a:noAutofit/>
                        </wps:bodyPr>
                      </wps:wsp>
                      <wps:wsp>
                        <wps:cNvPr id="2251" name="Textbox 2251"/>
                        <wps:cNvSpPr txBox="1"/>
                        <wps:spPr>
                          <a:xfrm>
                            <a:off x="260125" y="979976"/>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40</w:t>
                              </w:r>
                            </w:p>
                          </w:txbxContent>
                        </wps:txbx>
                        <wps:bodyPr wrap="square" lIns="0" tIns="0" rIns="0" bIns="0" rtlCol="0">
                          <a:noAutofit/>
                        </wps:bodyPr>
                      </wps:wsp>
                      <wps:wsp>
                        <wps:cNvPr id="2252" name="Textbox 2252"/>
                        <wps:cNvSpPr txBox="1"/>
                        <wps:spPr>
                          <a:xfrm>
                            <a:off x="260125" y="620566"/>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50</w:t>
                              </w:r>
                            </w:p>
                          </w:txbxContent>
                        </wps:txbx>
                        <wps:bodyPr wrap="square" lIns="0" tIns="0" rIns="0" bIns="0" rtlCol="0">
                          <a:noAutofit/>
                        </wps:bodyPr>
                      </wps:wsp>
                      <wps:wsp>
                        <wps:cNvPr id="2253" name="Textbox 2253"/>
                        <wps:cNvSpPr txBox="1"/>
                        <wps:spPr>
                          <a:xfrm>
                            <a:off x="260125" y="261156"/>
                            <a:ext cx="9398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60</w:t>
                              </w:r>
                            </w:p>
                          </w:txbxContent>
                        </wps:txbx>
                        <wps:bodyPr wrap="square" lIns="0" tIns="0" rIns="0" bIns="0" rtlCol="0">
                          <a:noAutofit/>
                        </wps:bodyPr>
                      </wps:wsp>
                      <wps:wsp>
                        <wps:cNvPr id="2254" name="Textbox 2254"/>
                        <wps:cNvSpPr txBox="1"/>
                        <wps:spPr>
                          <a:xfrm>
                            <a:off x="3820178" y="168199"/>
                            <a:ext cx="105029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Potential</w:t>
                              </w:r>
                              <w:r>
                                <w:rPr>
                                  <w:rFonts w:ascii="Arial MT"/>
                                  <w:spacing w:val="-1"/>
                                  <w:w w:val="80"/>
                                  <w:sz w:val="14"/>
                                </w:rPr>
                                <w:t> </w:t>
                              </w:r>
                              <w:r>
                                <w:rPr>
                                  <w:rFonts w:ascii="Arial MT"/>
                                  <w:w w:val="80"/>
                                  <w:sz w:val="14"/>
                                </w:rPr>
                                <w:t>entrepreneurial</w:t>
                              </w:r>
                              <w:r>
                                <w:rPr>
                                  <w:rFonts w:ascii="Arial MT"/>
                                  <w:spacing w:val="-7"/>
                                  <w:sz w:val="14"/>
                                </w:rPr>
                                <w:t> </w:t>
                              </w:r>
                              <w:r>
                                <w:rPr>
                                  <w:rFonts w:ascii="Arial MT"/>
                                  <w:spacing w:val="-2"/>
                                  <w:w w:val="80"/>
                                  <w:sz w:val="14"/>
                                </w:rPr>
                                <w:t>activity</w:t>
                              </w:r>
                            </w:p>
                          </w:txbxContent>
                        </wps:txbx>
                        <wps:bodyPr wrap="square" lIns="0" tIns="0" rIns="0" bIns="0" rtlCol="0">
                          <a:noAutofit/>
                        </wps:bodyPr>
                      </wps:wsp>
                      <wps:wsp>
                        <wps:cNvPr id="2255" name="Textbox 2255"/>
                        <wps:cNvSpPr txBox="1"/>
                        <wps:spPr>
                          <a:xfrm>
                            <a:off x="2579014" y="168199"/>
                            <a:ext cx="99758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Overall</w:t>
                              </w:r>
                              <w:r>
                                <w:rPr>
                                  <w:rFonts w:ascii="Arial MT"/>
                                  <w:spacing w:val="-1"/>
                                  <w:w w:val="80"/>
                                  <w:sz w:val="14"/>
                                </w:rPr>
                                <w:t> </w:t>
                              </w:r>
                              <w:r>
                                <w:rPr>
                                  <w:rFonts w:ascii="Arial MT"/>
                                  <w:w w:val="80"/>
                                  <w:sz w:val="14"/>
                                </w:rPr>
                                <w:t>entrepreneurial</w:t>
                              </w:r>
                              <w:r>
                                <w:rPr>
                                  <w:rFonts w:ascii="Arial MT"/>
                                  <w:spacing w:val="-7"/>
                                  <w:sz w:val="14"/>
                                </w:rPr>
                                <w:t> </w:t>
                              </w:r>
                              <w:r>
                                <w:rPr>
                                  <w:rFonts w:ascii="Arial MT"/>
                                  <w:spacing w:val="-2"/>
                                  <w:w w:val="80"/>
                                  <w:sz w:val="14"/>
                                </w:rPr>
                                <w:t>activity</w:t>
                              </w:r>
                            </w:p>
                          </w:txbxContent>
                        </wps:txbx>
                        <wps:bodyPr wrap="square" lIns="0" tIns="0" rIns="0" bIns="0" rtlCol="0">
                          <a:noAutofit/>
                        </wps:bodyPr>
                      </wps:wsp>
                    </wpg:wgp>
                  </a:graphicData>
                </a:graphic>
              </wp:anchor>
            </w:drawing>
          </mc:Choice>
          <mc:Fallback>
            <w:pict>
              <v:group style="position:absolute;margin-left:99.649567pt;margin-top:24.5pt;width:397.55pt;height:212.8pt;mso-position-horizontal-relative:page;mso-position-vertical-relative:paragraph;z-index:15896064" id="docshapegroup2173" coordorigin="1993,490" coordsize="7951,4256">
                <v:shape style="position:absolute;left:1992;top:490;width:7951;height:4256" id="docshape2174" coordorigin="1993,490" coordsize="7951,4256" path="m9944,490l9934,490,9934,500,9934,4736,9934,4736,9934,4741,9934,4742,1998,4742,1998,4741,2003,4741,9934,4741,9934,4736,2003,4736,1998,4736,1998,4736,2003,4736,2003,500,9934,500,9934,490,1993,490,1993,496,1993,500,1993,4736,1993,4742,1993,4746,9944,4746,9944,4742,9939,4742,9939,4741,9944,4741,9944,4736,9939,4736,9939,4736,9944,4736,9944,500,9944,496,9944,495,9944,490xe" filled="true" fillcolor="#000000" stroked="false">
                  <v:path arrowok="t"/>
                  <v:fill type="solid"/>
                </v:shape>
                <v:shape style="position:absolute;left:2826;top:1702;width:6555;height:2677" id="docshape2175" coordorigin="2827,1703" coordsize="6555,2677" path="m3061,1703l2827,1703,2827,4379,3061,4379,3061,1703xm3851,2971l3617,2971,3617,4379,3851,4379,3851,2971xm4641,2989l4407,2989,4407,4379,4641,4379,4641,2989xm5431,3528l5197,3528,5197,4379,5431,4379,5431,3528xm6221,3580l5987,3580,5987,4379,6221,4379,6221,3580xm7011,3597l6777,3597,6777,4379,7011,4379,7011,3597xm7801,3667l7567,3667,7567,4379,7801,4379,7801,3667xm8591,3788l8357,3788,8357,4379,8591,4379,8591,3788xm9382,4136l9147,4136,9147,4379,9382,4379,9382,4136xe" filled="true" fillcolor="#2f7d41" stroked="false">
                  <v:path arrowok="t"/>
                  <v:fill type="solid"/>
                </v:shape>
                <v:shape style="position:absolute;left:3060;top:1442;width:6541;height:2937" id="docshape2176" coordorigin="3061,1442" coordsize="6541,2937" path="m3280,3927l3061,3927,3061,4379,3280,4379,3280,3927xm4070,2971l3851,2971,3851,4379,4070,4379,4070,2971xm4861,3423l4641,3423,4641,4379,4861,4379,4861,3423xm5651,3250l5431,3250,5431,4379,5651,4379,5651,3250xm6441,3528l6221,3528,6221,4379,6441,4379,6441,3528xm7231,1442l7011,1442,7011,4379,7231,4379,7231,1442xm8021,4275l7801,4275,7801,4379,8021,4379,8021,4275xm8811,3024l8591,3024,8591,4379,8811,4379,8811,3024xm9601,4153l9382,4153,9382,4379,9601,4379,9601,4153xe" filled="true" fillcolor="#e3c626" stroked="false">
                  <v:path arrowok="t"/>
                  <v:fill type="solid"/>
                </v:shape>
                <v:shape style="position:absolute;left:2602;top:984;width:7180;height:3453" id="docshape2177" coordorigin="2602,984" coordsize="7180,3453" path="m9781,4375l9781,4375,2671,4375,2671,984,2661,984,2602,984,2602,994,2661,994,2661,1558,2602,1558,2602,1568,2661,1568,2661,2115,2602,2115,2602,2125,2661,2125,2661,2688,2602,2688,2602,2698,2661,2698,2661,3245,2602,3245,2602,3255,2661,3255,2661,3819,2602,3819,2602,3829,2661,3829,2661,4375,2602,4375,2602,4385,2661,4385,2661,4437,2671,4437,2671,4385,3451,4385,3451,4437,3461,4437,3461,4385,4241,4385,4241,4437,4251,4437,4251,4385,5031,4385,5031,4437,5041,4437,5041,4385,5821,4385,5821,4437,5831,4437,5831,4385,6611,4385,6611,4437,6621,4437,6621,4385,7401,4385,7401,4437,7411,4437,7411,4385,8191,4385,8191,4437,8201,4437,8201,4385,8981,4385,8981,4437,8991,4437,8991,4385,9771,4385,9771,4437,9781,4437,9781,4375xe" filled="true" fillcolor="#000000" stroked="false">
                  <v:path arrowok="t"/>
                  <v:fill type="solid"/>
                </v:shape>
                <v:rect style="position:absolute;left:5791;top:769;width:199;height:144" id="docshape2178" filled="true" fillcolor="#2f7d41" stroked="false">
                  <v:fill type="solid"/>
                </v:rect>
                <v:rect style="position:absolute;left:7745;top:769;width:197;height:144" id="docshape2179" filled="true" fillcolor="#e3c626" stroked="false">
                  <v:fill type="solid"/>
                </v:rect>
                <v:shape style="position:absolute;left:9229;top:4430;width:371;height:161" type="#_x0000_t202" id="docshape2180" filled="false" stroked="false">
                  <v:textbox inset="0,0,0,0">
                    <w:txbxContent>
                      <w:p>
                        <w:pPr>
                          <w:spacing w:line="161" w:lineRule="exact" w:before="0"/>
                          <w:ind w:left="0" w:right="0" w:firstLine="0"/>
                          <w:jc w:val="left"/>
                          <w:rPr>
                            <w:rFonts w:ascii="Arial MT"/>
                            <w:sz w:val="14"/>
                          </w:rPr>
                        </w:pPr>
                        <w:r>
                          <w:rPr>
                            <w:rFonts w:ascii="Arial MT"/>
                            <w:spacing w:val="-2"/>
                            <w:w w:val="85"/>
                            <w:sz w:val="14"/>
                          </w:rPr>
                          <w:t>Russia</w:t>
                        </w:r>
                      </w:p>
                    </w:txbxContent>
                  </v:textbox>
                  <w10:wrap type="none"/>
                </v:shape>
                <v:shape style="position:absolute;left:8510;top:4430;width:180;height:161" type="#_x0000_t202" id="docshape2181" filled="false" stroked="false">
                  <v:textbox inset="0,0,0,0">
                    <w:txbxContent>
                      <w:p>
                        <w:pPr>
                          <w:spacing w:line="161" w:lineRule="exact" w:before="0"/>
                          <w:ind w:left="0" w:right="0" w:firstLine="0"/>
                          <w:jc w:val="left"/>
                          <w:rPr>
                            <w:rFonts w:ascii="Arial MT"/>
                            <w:sz w:val="14"/>
                          </w:rPr>
                        </w:pPr>
                        <w:r>
                          <w:rPr>
                            <w:rFonts w:ascii="Arial MT"/>
                            <w:spacing w:val="-5"/>
                            <w:w w:val="90"/>
                            <w:sz w:val="14"/>
                          </w:rPr>
                          <w:t>UK</w:t>
                        </w:r>
                      </w:p>
                    </w:txbxContent>
                  </v:textbox>
                  <w10:wrap type="none"/>
                </v:shape>
                <v:shape style="position:absolute;left:7648;top:4430;width:333;height:161" type="#_x0000_t202" id="docshape2182" filled="false" stroked="false">
                  <v:textbox inset="0,0,0,0">
                    <w:txbxContent>
                      <w:p>
                        <w:pPr>
                          <w:spacing w:line="161" w:lineRule="exact" w:before="0"/>
                          <w:ind w:left="0" w:right="0" w:firstLine="0"/>
                          <w:jc w:val="left"/>
                          <w:rPr>
                            <w:rFonts w:ascii="Arial MT"/>
                            <w:sz w:val="14"/>
                          </w:rPr>
                        </w:pPr>
                        <w:r>
                          <w:rPr>
                            <w:rFonts w:ascii="Arial MT"/>
                            <w:spacing w:val="-2"/>
                            <w:w w:val="85"/>
                            <w:sz w:val="14"/>
                          </w:rPr>
                          <w:t>Japan</w:t>
                        </w:r>
                      </w:p>
                    </w:txbxContent>
                  </v:textbox>
                  <w10:wrap type="none"/>
                </v:shape>
                <v:shape style="position:absolute;left:6873;top:4430;width:269;height:161" type="#_x0000_t202" id="docshape2183" filled="false" stroked="false">
                  <v:textbox inset="0,0,0,0">
                    <w:txbxContent>
                      <w:p>
                        <w:pPr>
                          <w:spacing w:line="161" w:lineRule="exact" w:before="0"/>
                          <w:ind w:left="0" w:right="0" w:firstLine="0"/>
                          <w:jc w:val="left"/>
                          <w:rPr>
                            <w:rFonts w:ascii="Arial MT"/>
                            <w:sz w:val="14"/>
                          </w:rPr>
                        </w:pPr>
                        <w:r>
                          <w:rPr>
                            <w:rFonts w:ascii="Arial MT"/>
                            <w:spacing w:val="-2"/>
                            <w:w w:val="85"/>
                            <w:sz w:val="14"/>
                          </w:rPr>
                          <w:t>India</w:t>
                        </w:r>
                      </w:p>
                    </w:txbxContent>
                  </v:textbox>
                  <w10:wrap type="none"/>
                </v:shape>
                <v:shape style="position:absolute;left:4491;top:4430;width:1863;height:161" type="#_x0000_t202" id="docshape2184" filled="false" stroked="false">
                  <v:textbox inset="0,0,0,0">
                    <w:txbxContent>
                      <w:p>
                        <w:pPr>
                          <w:tabs>
                            <w:tab w:pos="647" w:val="left" w:leader="none"/>
                            <w:tab w:pos="1606" w:val="left" w:leader="none"/>
                          </w:tabs>
                          <w:spacing w:line="161" w:lineRule="exact" w:before="0"/>
                          <w:ind w:left="0" w:right="0" w:firstLine="0"/>
                          <w:jc w:val="left"/>
                          <w:rPr>
                            <w:rFonts w:ascii="Arial MT"/>
                            <w:sz w:val="14"/>
                          </w:rPr>
                        </w:pPr>
                        <w:r>
                          <w:rPr>
                            <w:rFonts w:ascii="Arial MT"/>
                            <w:spacing w:val="-2"/>
                            <w:w w:val="90"/>
                            <w:sz w:val="14"/>
                          </w:rPr>
                          <w:t>China</w:t>
                        </w:r>
                        <w:r>
                          <w:rPr>
                            <w:rFonts w:ascii="Arial MT"/>
                            <w:sz w:val="14"/>
                          </w:rPr>
                          <w:tab/>
                        </w:r>
                        <w:r>
                          <w:rPr>
                            <w:rFonts w:ascii="Arial MT"/>
                            <w:w w:val="80"/>
                            <w:sz w:val="14"/>
                          </w:rPr>
                          <w:t>Hong</w:t>
                        </w:r>
                        <w:r>
                          <w:rPr>
                            <w:rFonts w:ascii="Arial MT"/>
                            <w:spacing w:val="-4"/>
                            <w:sz w:val="14"/>
                          </w:rPr>
                          <w:t> </w:t>
                        </w:r>
                        <w:r>
                          <w:rPr>
                            <w:rFonts w:ascii="Arial MT"/>
                            <w:spacing w:val="-4"/>
                            <w:w w:val="85"/>
                            <w:sz w:val="14"/>
                          </w:rPr>
                          <w:t>Kong</w:t>
                        </w:r>
                        <w:r>
                          <w:rPr>
                            <w:rFonts w:ascii="Arial MT"/>
                            <w:sz w:val="14"/>
                          </w:rPr>
                          <w:tab/>
                        </w:r>
                        <w:r>
                          <w:rPr>
                            <w:rFonts w:ascii="Arial MT"/>
                            <w:spacing w:val="-5"/>
                            <w:w w:val="85"/>
                            <w:sz w:val="14"/>
                          </w:rPr>
                          <w:t>USA</w:t>
                        </w:r>
                      </w:p>
                    </w:txbxContent>
                  </v:textbox>
                  <w10:wrap type="none"/>
                </v:shape>
                <v:shape style="position:absolute;left:3701;top:4430;width:307;height:161" type="#_x0000_t202" id="docshape2185" filled="false" stroked="false">
                  <v:textbox inset="0,0,0,0">
                    <w:txbxContent>
                      <w:p>
                        <w:pPr>
                          <w:spacing w:line="161" w:lineRule="exact" w:before="0"/>
                          <w:ind w:left="0" w:right="0" w:firstLine="0"/>
                          <w:jc w:val="left"/>
                          <w:rPr>
                            <w:rFonts w:ascii="Arial MT"/>
                            <w:sz w:val="14"/>
                          </w:rPr>
                        </w:pPr>
                        <w:r>
                          <w:rPr>
                            <w:rFonts w:ascii="Arial MT"/>
                            <w:spacing w:val="-2"/>
                            <w:w w:val="85"/>
                            <w:sz w:val="14"/>
                          </w:rPr>
                          <w:t>Brazil</w:t>
                        </w:r>
                      </w:p>
                    </w:txbxContent>
                  </v:textbox>
                  <w10:wrap type="none"/>
                </v:shape>
                <v:shape style="position:absolute;left:2839;top:4430;width:461;height:161" type="#_x0000_t202" id="docshape2186" filled="false" stroked="false">
                  <v:textbox inset="0,0,0,0">
                    <w:txbxContent>
                      <w:p>
                        <w:pPr>
                          <w:spacing w:line="161" w:lineRule="exact" w:before="0"/>
                          <w:ind w:left="0" w:right="0" w:firstLine="0"/>
                          <w:jc w:val="left"/>
                          <w:rPr>
                            <w:rFonts w:ascii="Arial MT"/>
                            <w:sz w:val="14"/>
                          </w:rPr>
                        </w:pPr>
                        <w:r>
                          <w:rPr>
                            <w:rFonts w:ascii="Arial MT"/>
                            <w:spacing w:val="-2"/>
                            <w:w w:val="85"/>
                            <w:sz w:val="14"/>
                          </w:rPr>
                          <w:t>Thailand</w:t>
                        </w:r>
                      </w:p>
                    </w:txbxContent>
                  </v:textbox>
                  <w10:wrap type="none"/>
                </v:shape>
                <v:shape style="position:absolute;left:2466;top:4297;width:84;height:161" type="#_x0000_t202" id="docshape2187" filled="false" stroked="false">
                  <v:textbox inset="0,0,0,0">
                    <w:txbxContent>
                      <w:p>
                        <w:pPr>
                          <w:spacing w:line="161" w:lineRule="exact" w:before="0"/>
                          <w:ind w:left="0" w:right="0" w:firstLine="0"/>
                          <w:jc w:val="left"/>
                          <w:rPr>
                            <w:rFonts w:ascii="Arial MT"/>
                            <w:sz w:val="14"/>
                          </w:rPr>
                        </w:pPr>
                        <w:r>
                          <w:rPr>
                            <w:rFonts w:ascii="Arial MT"/>
                            <w:spacing w:val="-10"/>
                            <w:w w:val="90"/>
                            <w:sz w:val="14"/>
                          </w:rPr>
                          <w:t>0</w:t>
                        </w:r>
                      </w:p>
                    </w:txbxContent>
                  </v:textbox>
                  <w10:wrap type="none"/>
                </v:shape>
                <v:shape style="position:absolute;left:2402;top:3731;width:148;height:161" type="#_x0000_t202" id="docshape2188" filled="false" stroked="false">
                  <v:textbox inset="0,0,0,0">
                    <w:txbxContent>
                      <w:p>
                        <w:pPr>
                          <w:spacing w:line="161" w:lineRule="exact" w:before="0"/>
                          <w:ind w:left="0" w:right="0" w:firstLine="0"/>
                          <w:jc w:val="left"/>
                          <w:rPr>
                            <w:rFonts w:ascii="Arial MT"/>
                            <w:sz w:val="14"/>
                          </w:rPr>
                        </w:pPr>
                        <w:r>
                          <w:rPr>
                            <w:rFonts w:ascii="Arial MT"/>
                            <w:spacing w:val="-5"/>
                            <w:w w:val="90"/>
                            <w:sz w:val="14"/>
                          </w:rPr>
                          <w:t>10</w:t>
                        </w:r>
                      </w:p>
                    </w:txbxContent>
                  </v:textbox>
                  <w10:wrap type="none"/>
                </v:shape>
                <v:shape style="position:absolute;left:2402;top:3165;width:148;height:161" type="#_x0000_t202" id="docshape2189" filled="false" stroked="false">
                  <v:textbox inset="0,0,0,0">
                    <w:txbxContent>
                      <w:p>
                        <w:pPr>
                          <w:spacing w:line="161" w:lineRule="exact" w:before="0"/>
                          <w:ind w:left="0" w:right="0" w:firstLine="0"/>
                          <w:jc w:val="left"/>
                          <w:rPr>
                            <w:rFonts w:ascii="Arial MT"/>
                            <w:sz w:val="14"/>
                          </w:rPr>
                        </w:pPr>
                        <w:r>
                          <w:rPr>
                            <w:rFonts w:ascii="Arial MT"/>
                            <w:spacing w:val="-5"/>
                            <w:w w:val="90"/>
                            <w:sz w:val="14"/>
                          </w:rPr>
                          <w:t>20</w:t>
                        </w:r>
                      </w:p>
                    </w:txbxContent>
                  </v:textbox>
                  <w10:wrap type="none"/>
                </v:shape>
                <v:shape style="position:absolute;left:2402;top:2599;width:148;height:161" type="#_x0000_t202" id="docshape2190" filled="false" stroked="false">
                  <v:textbox inset="0,0,0,0">
                    <w:txbxContent>
                      <w:p>
                        <w:pPr>
                          <w:spacing w:line="161" w:lineRule="exact" w:before="0"/>
                          <w:ind w:left="0" w:right="0" w:firstLine="0"/>
                          <w:jc w:val="left"/>
                          <w:rPr>
                            <w:rFonts w:ascii="Arial MT"/>
                            <w:sz w:val="14"/>
                          </w:rPr>
                        </w:pPr>
                        <w:r>
                          <w:rPr>
                            <w:rFonts w:ascii="Arial MT"/>
                            <w:spacing w:val="-5"/>
                            <w:w w:val="90"/>
                            <w:sz w:val="14"/>
                          </w:rPr>
                          <w:t>30</w:t>
                        </w:r>
                      </w:p>
                    </w:txbxContent>
                  </v:textbox>
                  <w10:wrap type="none"/>
                </v:shape>
                <v:shape style="position:absolute;left:2402;top:2033;width:148;height:161" type="#_x0000_t202" id="docshape2191" filled="false" stroked="false">
                  <v:textbox inset="0,0,0,0">
                    <w:txbxContent>
                      <w:p>
                        <w:pPr>
                          <w:spacing w:line="161" w:lineRule="exact" w:before="0"/>
                          <w:ind w:left="0" w:right="0" w:firstLine="0"/>
                          <w:jc w:val="left"/>
                          <w:rPr>
                            <w:rFonts w:ascii="Arial MT"/>
                            <w:sz w:val="14"/>
                          </w:rPr>
                        </w:pPr>
                        <w:r>
                          <w:rPr>
                            <w:rFonts w:ascii="Arial MT"/>
                            <w:spacing w:val="-5"/>
                            <w:w w:val="90"/>
                            <w:sz w:val="14"/>
                          </w:rPr>
                          <w:t>40</w:t>
                        </w:r>
                      </w:p>
                    </w:txbxContent>
                  </v:textbox>
                  <w10:wrap type="none"/>
                </v:shape>
                <v:shape style="position:absolute;left:2402;top:1467;width:148;height:161" type="#_x0000_t202" id="docshape2192" filled="false" stroked="false">
                  <v:textbox inset="0,0,0,0">
                    <w:txbxContent>
                      <w:p>
                        <w:pPr>
                          <w:spacing w:line="161" w:lineRule="exact" w:before="0"/>
                          <w:ind w:left="0" w:right="0" w:firstLine="0"/>
                          <w:jc w:val="left"/>
                          <w:rPr>
                            <w:rFonts w:ascii="Arial MT"/>
                            <w:sz w:val="14"/>
                          </w:rPr>
                        </w:pPr>
                        <w:r>
                          <w:rPr>
                            <w:rFonts w:ascii="Arial MT"/>
                            <w:spacing w:val="-5"/>
                            <w:w w:val="90"/>
                            <w:sz w:val="14"/>
                          </w:rPr>
                          <w:t>50</w:t>
                        </w:r>
                      </w:p>
                    </w:txbxContent>
                  </v:textbox>
                  <w10:wrap type="none"/>
                </v:shape>
                <v:shape style="position:absolute;left:2402;top:901;width:148;height:161" type="#_x0000_t202" id="docshape2193" filled="false" stroked="false">
                  <v:textbox inset="0,0,0,0">
                    <w:txbxContent>
                      <w:p>
                        <w:pPr>
                          <w:spacing w:line="161" w:lineRule="exact" w:before="0"/>
                          <w:ind w:left="0" w:right="0" w:firstLine="0"/>
                          <w:jc w:val="left"/>
                          <w:rPr>
                            <w:rFonts w:ascii="Arial MT"/>
                            <w:sz w:val="14"/>
                          </w:rPr>
                        </w:pPr>
                        <w:r>
                          <w:rPr>
                            <w:rFonts w:ascii="Arial MT"/>
                            <w:spacing w:val="-5"/>
                            <w:w w:val="90"/>
                            <w:sz w:val="14"/>
                          </w:rPr>
                          <w:t>60</w:t>
                        </w:r>
                      </w:p>
                    </w:txbxContent>
                  </v:textbox>
                  <w10:wrap type="none"/>
                </v:shape>
                <v:shape style="position:absolute;left:8009;top:754;width:1654;height:161" type="#_x0000_t202" id="docshape2194" filled="false" stroked="false">
                  <v:textbox inset="0,0,0,0">
                    <w:txbxContent>
                      <w:p>
                        <w:pPr>
                          <w:spacing w:line="161" w:lineRule="exact" w:before="0"/>
                          <w:ind w:left="0" w:right="0" w:firstLine="0"/>
                          <w:jc w:val="left"/>
                          <w:rPr>
                            <w:rFonts w:ascii="Arial MT"/>
                            <w:sz w:val="14"/>
                          </w:rPr>
                        </w:pPr>
                        <w:r>
                          <w:rPr>
                            <w:rFonts w:ascii="Arial MT"/>
                            <w:w w:val="80"/>
                            <w:sz w:val="14"/>
                          </w:rPr>
                          <w:t>Potential</w:t>
                        </w:r>
                        <w:r>
                          <w:rPr>
                            <w:rFonts w:ascii="Arial MT"/>
                            <w:spacing w:val="-1"/>
                            <w:w w:val="80"/>
                            <w:sz w:val="14"/>
                          </w:rPr>
                          <w:t> </w:t>
                        </w:r>
                        <w:r>
                          <w:rPr>
                            <w:rFonts w:ascii="Arial MT"/>
                            <w:w w:val="80"/>
                            <w:sz w:val="14"/>
                          </w:rPr>
                          <w:t>entrepreneurial</w:t>
                        </w:r>
                        <w:r>
                          <w:rPr>
                            <w:rFonts w:ascii="Arial MT"/>
                            <w:spacing w:val="-7"/>
                            <w:sz w:val="14"/>
                          </w:rPr>
                          <w:t> </w:t>
                        </w:r>
                        <w:r>
                          <w:rPr>
                            <w:rFonts w:ascii="Arial MT"/>
                            <w:spacing w:val="-2"/>
                            <w:w w:val="80"/>
                            <w:sz w:val="14"/>
                          </w:rPr>
                          <w:t>activity</w:t>
                        </w:r>
                      </w:p>
                    </w:txbxContent>
                  </v:textbox>
                  <w10:wrap type="none"/>
                </v:shape>
                <v:shape style="position:absolute;left:6054;top:754;width:1571;height:161" type="#_x0000_t202" id="docshape2195" filled="false" stroked="false">
                  <v:textbox inset="0,0,0,0">
                    <w:txbxContent>
                      <w:p>
                        <w:pPr>
                          <w:spacing w:line="161" w:lineRule="exact" w:before="0"/>
                          <w:ind w:left="0" w:right="0" w:firstLine="0"/>
                          <w:jc w:val="left"/>
                          <w:rPr>
                            <w:rFonts w:ascii="Arial MT"/>
                            <w:sz w:val="14"/>
                          </w:rPr>
                        </w:pPr>
                        <w:r>
                          <w:rPr>
                            <w:rFonts w:ascii="Arial MT"/>
                            <w:w w:val="80"/>
                            <w:sz w:val="14"/>
                          </w:rPr>
                          <w:t>Overall</w:t>
                        </w:r>
                        <w:r>
                          <w:rPr>
                            <w:rFonts w:ascii="Arial MT"/>
                            <w:spacing w:val="-1"/>
                            <w:w w:val="80"/>
                            <w:sz w:val="14"/>
                          </w:rPr>
                          <w:t> </w:t>
                        </w:r>
                        <w:r>
                          <w:rPr>
                            <w:rFonts w:ascii="Arial MT"/>
                            <w:w w:val="80"/>
                            <w:sz w:val="14"/>
                          </w:rPr>
                          <w:t>entrepreneurial</w:t>
                        </w:r>
                        <w:r>
                          <w:rPr>
                            <w:rFonts w:ascii="Arial MT"/>
                            <w:spacing w:val="-7"/>
                            <w:sz w:val="14"/>
                          </w:rPr>
                          <w:t> </w:t>
                        </w:r>
                        <w:r>
                          <w:rPr>
                            <w:rFonts w:ascii="Arial MT"/>
                            <w:spacing w:val="-2"/>
                            <w:w w:val="80"/>
                            <w:sz w:val="14"/>
                          </w:rPr>
                          <w:t>activity</w:t>
                        </w:r>
                      </w:p>
                    </w:txbxContent>
                  </v:textbox>
                  <w10:wrap type="none"/>
                </v:shape>
                <w10:wrap type="none"/>
              </v:group>
            </w:pict>
          </mc:Fallback>
        </mc:AlternateContent>
      </w:r>
      <w:r>
        <w:rPr>
          <w:w w:val="90"/>
        </w:rPr>
        <w:t>Figure</w:t>
      </w:r>
      <w:r>
        <w:rPr>
          <w:spacing w:val="2"/>
        </w:rPr>
        <w:t> </w:t>
      </w:r>
      <w:r>
        <w:rPr>
          <w:w w:val="90"/>
        </w:rPr>
        <w:t>60:</w:t>
      </w:r>
      <w:r>
        <w:rPr>
          <w:spacing w:val="2"/>
        </w:rPr>
        <w:t> </w:t>
      </w:r>
      <w:r>
        <w:rPr>
          <w:color w:val="2E614A"/>
          <w:w w:val="90"/>
        </w:rPr>
        <w:t>Overall</w:t>
      </w:r>
      <w:r>
        <w:rPr>
          <w:color w:val="2E614A"/>
          <w:spacing w:val="2"/>
        </w:rPr>
        <w:t> </w:t>
      </w:r>
      <w:r>
        <w:rPr>
          <w:color w:val="2E614A"/>
          <w:w w:val="90"/>
        </w:rPr>
        <w:t>and</w:t>
      </w:r>
      <w:r>
        <w:rPr>
          <w:color w:val="2E614A"/>
          <w:spacing w:val="3"/>
        </w:rPr>
        <w:t> </w:t>
      </w:r>
      <w:r>
        <w:rPr>
          <w:color w:val="2E614A"/>
          <w:w w:val="90"/>
        </w:rPr>
        <w:t>potential</w:t>
      </w:r>
      <w:r>
        <w:rPr>
          <w:color w:val="2E614A"/>
          <w:spacing w:val="2"/>
        </w:rPr>
        <w:t> </w:t>
      </w:r>
      <w:r>
        <w:rPr>
          <w:color w:val="2E614A"/>
          <w:w w:val="90"/>
        </w:rPr>
        <w:t>entrepreneurial</w:t>
      </w:r>
      <w:r>
        <w:rPr>
          <w:color w:val="2E614A"/>
          <w:spacing w:val="2"/>
        </w:rPr>
        <w:t> </w:t>
      </w:r>
      <w:r>
        <w:rPr>
          <w:color w:val="2E614A"/>
          <w:spacing w:val="-2"/>
          <w:w w:val="90"/>
        </w:rPr>
        <w:t>activity</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32"/>
        <w:rPr>
          <w:b/>
          <w:sz w:val="16"/>
        </w:rPr>
      </w:pPr>
    </w:p>
    <w:p>
      <w:pPr>
        <w:spacing w:before="1"/>
        <w:ind w:left="1992" w:right="0" w:firstLine="0"/>
        <w:jc w:val="left"/>
        <w:rPr>
          <w:sz w:val="16"/>
        </w:rPr>
      </w:pPr>
      <w:r>
        <w:rPr/>
        <mc:AlternateContent>
          <mc:Choice Requires="wps">
            <w:drawing>
              <wp:anchor distT="0" distB="0" distL="0" distR="0" allowOverlap="1" layoutInCell="1" locked="0" behindDoc="0" simplePos="0" relativeHeight="15896576">
                <wp:simplePos x="0" y="0"/>
                <wp:positionH relativeFrom="page">
                  <wp:posOffset>1374972</wp:posOffset>
                </wp:positionH>
                <wp:positionV relativeFrom="paragraph">
                  <wp:posOffset>-1470290</wp:posOffset>
                </wp:positionV>
                <wp:extent cx="127635" cy="244475"/>
                <wp:effectExtent l="0" t="0" r="0" b="0"/>
                <wp:wrapNone/>
                <wp:docPr id="2256" name="Textbox 2256"/>
                <wp:cNvGraphicFramePr>
                  <a:graphicFrameLocks/>
                </wp:cNvGraphicFramePr>
                <a:graphic>
                  <a:graphicData uri="http://schemas.microsoft.com/office/word/2010/wordprocessingShape">
                    <wps:wsp>
                      <wps:cNvPr id="2256" name="Textbox 2256"/>
                      <wps:cNvSpPr txBox="1"/>
                      <wps:spPr>
                        <a:xfrm>
                          <a:off x="0" y="0"/>
                          <a:ext cx="127635" cy="244475"/>
                        </a:xfrm>
                        <a:prstGeom prst="rect">
                          <a:avLst/>
                        </a:prstGeom>
                      </wps:spPr>
                      <wps:txbx>
                        <w:txbxContent>
                          <w:p>
                            <w:pPr>
                              <w:spacing w:before="19"/>
                              <w:ind w:left="20" w:right="0" w:firstLine="0"/>
                              <w:jc w:val="left"/>
                              <w:rPr>
                                <w:rFonts w:ascii="Arial"/>
                                <w:b/>
                                <w:sz w:val="14"/>
                              </w:rPr>
                            </w:pPr>
                            <w:r>
                              <w:rPr>
                                <w:rFonts w:ascii="Arial"/>
                                <w:b/>
                                <w:w w:val="80"/>
                                <w:sz w:val="14"/>
                              </w:rPr>
                              <w:t>(</w:t>
                            </w:r>
                            <w:r>
                              <w:rPr>
                                <w:rFonts w:ascii="Arial"/>
                                <w:b/>
                                <w:spacing w:val="-6"/>
                                <w:sz w:val="14"/>
                              </w:rPr>
                              <w:t> </w:t>
                            </w:r>
                            <w:r>
                              <w:rPr>
                                <w:rFonts w:ascii="Arial"/>
                                <w:b/>
                                <w:w w:val="80"/>
                                <w:sz w:val="14"/>
                              </w:rPr>
                              <w:t>in</w:t>
                            </w:r>
                            <w:r>
                              <w:rPr>
                                <w:rFonts w:ascii="Arial"/>
                                <w:b/>
                                <w:spacing w:val="-6"/>
                                <w:sz w:val="14"/>
                              </w:rPr>
                              <w:t> </w:t>
                            </w:r>
                            <w:r>
                              <w:rPr>
                                <w:rFonts w:ascii="Arial"/>
                                <w:b/>
                                <w:spacing w:val="-5"/>
                                <w:w w:val="80"/>
                                <w:sz w:val="14"/>
                              </w:rPr>
                              <w:t>%)</w:t>
                            </w:r>
                          </w:p>
                        </w:txbxContent>
                      </wps:txbx>
                      <wps:bodyPr wrap="square" lIns="0" tIns="0" rIns="0" bIns="0" rtlCol="0" vert="vert270">
                        <a:noAutofit/>
                      </wps:bodyPr>
                    </wps:wsp>
                  </a:graphicData>
                </a:graphic>
              </wp:anchor>
            </w:drawing>
          </mc:Choice>
          <mc:Fallback>
            <w:pict>
              <v:shape style="position:absolute;margin-left:108.265564pt;margin-top:-115.770905pt;width:10.050pt;height:19.25pt;mso-position-horizontal-relative:page;mso-position-vertical-relative:paragraph;z-index:15896576" type="#_x0000_t202" id="docshape2196"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w:t>
                      </w:r>
                      <w:r>
                        <w:rPr>
                          <w:rFonts w:ascii="Arial"/>
                          <w:b/>
                          <w:spacing w:val="-6"/>
                          <w:sz w:val="14"/>
                        </w:rPr>
                        <w:t> </w:t>
                      </w:r>
                      <w:r>
                        <w:rPr>
                          <w:rFonts w:ascii="Arial"/>
                          <w:b/>
                          <w:w w:val="80"/>
                          <w:sz w:val="14"/>
                        </w:rPr>
                        <w:t>in</w:t>
                      </w:r>
                      <w:r>
                        <w:rPr>
                          <w:rFonts w:ascii="Arial"/>
                          <w:b/>
                          <w:spacing w:val="-6"/>
                          <w:sz w:val="14"/>
                        </w:rPr>
                        <w:t> </w:t>
                      </w:r>
                      <w:r>
                        <w:rPr>
                          <w:rFonts w:ascii="Arial"/>
                          <w:b/>
                          <w:spacing w:val="-5"/>
                          <w:w w:val="80"/>
                          <w:sz w:val="14"/>
                        </w:rPr>
                        <w:t>%)</w:t>
                      </w:r>
                    </w:p>
                  </w:txbxContent>
                </v:textbox>
                <w10:wrap type="none"/>
              </v:shape>
            </w:pict>
          </mc:Fallback>
        </mc:AlternateContent>
      </w:r>
      <w:r>
        <w:rPr>
          <w:i/>
          <w:spacing w:val="-4"/>
          <w:sz w:val="16"/>
        </w:rPr>
        <w:t>Source:</w:t>
      </w:r>
      <w:r>
        <w:rPr>
          <w:i/>
          <w:spacing w:val="1"/>
          <w:sz w:val="16"/>
        </w:rPr>
        <w:t> </w:t>
      </w:r>
      <w:r>
        <w:rPr>
          <w:spacing w:val="-4"/>
          <w:sz w:val="16"/>
        </w:rPr>
        <w:t>Global</w:t>
      </w:r>
      <w:r>
        <w:rPr>
          <w:spacing w:val="1"/>
          <w:sz w:val="16"/>
        </w:rPr>
        <w:t> </w:t>
      </w:r>
      <w:r>
        <w:rPr>
          <w:spacing w:val="-4"/>
          <w:sz w:val="16"/>
        </w:rPr>
        <w:t>Entrepreneurship</w:t>
      </w:r>
      <w:r>
        <w:rPr>
          <w:spacing w:val="1"/>
          <w:sz w:val="16"/>
        </w:rPr>
        <w:t> </w:t>
      </w:r>
      <w:r>
        <w:rPr>
          <w:spacing w:val="-4"/>
          <w:sz w:val="16"/>
        </w:rPr>
        <w:t>Monitor,</w:t>
      </w:r>
      <w:r>
        <w:rPr>
          <w:spacing w:val="2"/>
          <w:sz w:val="16"/>
        </w:rPr>
        <w:t> </w:t>
      </w:r>
      <w:r>
        <w:rPr>
          <w:spacing w:val="-4"/>
          <w:sz w:val="16"/>
        </w:rPr>
        <w:t>2007</w:t>
      </w:r>
    </w:p>
    <w:p>
      <w:pPr>
        <w:pStyle w:val="BodyText"/>
        <w:rPr>
          <w:sz w:val="20"/>
        </w:rPr>
      </w:pPr>
    </w:p>
    <w:p>
      <w:pPr>
        <w:pStyle w:val="BodyText"/>
        <w:spacing w:before="181"/>
        <w:rPr>
          <w:sz w:val="20"/>
        </w:rPr>
      </w:pPr>
    </w:p>
    <w:p>
      <w:pPr>
        <w:spacing w:after="0"/>
        <w:rPr>
          <w:sz w:val="20"/>
        </w:rPr>
        <w:sectPr>
          <w:pgSz w:w="11910" w:h="16840"/>
          <w:pgMar w:header="0" w:footer="675" w:top="940" w:bottom="860" w:left="0" w:right="0"/>
        </w:sectPr>
      </w:pPr>
    </w:p>
    <w:p>
      <w:pPr>
        <w:pStyle w:val="BodyText"/>
        <w:spacing w:line="266" w:lineRule="auto" w:before="82"/>
        <w:ind w:left="1080"/>
        <w:jc w:val="both"/>
      </w:pPr>
      <w:r>
        <w:rPr/>
        <w:t>conducted by the Central Statistical Organisation (CSO),</w:t>
      </w:r>
      <w:r>
        <w:rPr>
          <w:spacing w:val="40"/>
        </w:rPr>
        <w:t> </w:t>
      </w:r>
      <w:r>
        <w:rPr/>
        <w:t>there</w:t>
      </w:r>
      <w:r>
        <w:rPr>
          <w:spacing w:val="40"/>
        </w:rPr>
        <w:t> </w:t>
      </w:r>
      <w:r>
        <w:rPr/>
        <w:t>are</w:t>
      </w:r>
      <w:r>
        <w:rPr>
          <w:spacing w:val="40"/>
        </w:rPr>
        <w:t> </w:t>
      </w:r>
      <w:r>
        <w:rPr/>
        <w:t>41.83</w:t>
      </w:r>
      <w:r>
        <w:rPr>
          <w:spacing w:val="40"/>
        </w:rPr>
        <w:t> </w:t>
      </w:r>
      <w:r>
        <w:rPr/>
        <w:t>million</w:t>
      </w:r>
      <w:r>
        <w:rPr>
          <w:spacing w:val="40"/>
        </w:rPr>
        <w:t> </w:t>
      </w:r>
      <w:r>
        <w:rPr/>
        <w:t>establishments</w:t>
      </w:r>
      <w:r>
        <w:rPr>
          <w:spacing w:val="40"/>
        </w:rPr>
        <w:t> </w:t>
      </w:r>
      <w:r>
        <w:rPr/>
        <w:t>in the country engaged in different economic activities other than crop production and plantation. Five</w:t>
      </w:r>
      <w:r>
        <w:rPr>
          <w:spacing w:val="80"/>
        </w:rPr>
        <w:t> </w:t>
      </w:r>
      <w:r>
        <w:rPr/>
        <w:t>states viz.</w:t>
      </w:r>
      <w:r>
        <w:rPr>
          <w:spacing w:val="-7"/>
        </w:rPr>
        <w:t> </w:t>
      </w:r>
      <w:r>
        <w:rPr/>
        <w:t>Tamil Nadu (10.60 per cent), Maharashtra (10.10 per cent), West Bengal (10.05 per cent),</w:t>
      </w:r>
      <w:r>
        <w:rPr>
          <w:spacing w:val="80"/>
        </w:rPr>
        <w:t> </w:t>
      </w:r>
      <w:r>
        <w:rPr/>
        <w:t>Uttar Pradesh (9.61 per cent) and Andhra Pradesh (9.56 per cent) together account for about 50 per</w:t>
      </w:r>
      <w:r>
        <w:rPr>
          <w:spacing w:val="80"/>
        </w:rPr>
        <w:t> </w:t>
      </w:r>
      <w:r>
        <w:rPr/>
        <w:t>cent of the total establishments in the country. The </w:t>
      </w:r>
      <w:r>
        <w:rPr>
          <w:spacing w:val="-2"/>
        </w:rPr>
        <w:t>same</w:t>
      </w:r>
      <w:r>
        <w:rPr>
          <w:spacing w:val="-9"/>
        </w:rPr>
        <w:t> </w:t>
      </w:r>
      <w:r>
        <w:rPr>
          <w:spacing w:val="-2"/>
        </w:rPr>
        <w:t>five</w:t>
      </w:r>
      <w:r>
        <w:rPr>
          <w:spacing w:val="-9"/>
        </w:rPr>
        <w:t> </w:t>
      </w:r>
      <w:r>
        <w:rPr>
          <w:spacing w:val="-2"/>
        </w:rPr>
        <w:t>states</w:t>
      </w:r>
      <w:r>
        <w:rPr>
          <w:spacing w:val="-9"/>
        </w:rPr>
        <w:t> </w:t>
      </w:r>
      <w:r>
        <w:rPr>
          <w:spacing w:val="-2"/>
        </w:rPr>
        <w:t>also</w:t>
      </w:r>
      <w:r>
        <w:rPr>
          <w:spacing w:val="-9"/>
        </w:rPr>
        <w:t> </w:t>
      </w:r>
      <w:r>
        <w:rPr>
          <w:spacing w:val="-2"/>
        </w:rPr>
        <w:t>have</w:t>
      </w:r>
      <w:r>
        <w:rPr>
          <w:spacing w:val="-9"/>
        </w:rPr>
        <w:t> </w:t>
      </w:r>
      <w:r>
        <w:rPr>
          <w:spacing w:val="-2"/>
        </w:rPr>
        <w:t>the</w:t>
      </w:r>
      <w:r>
        <w:rPr>
          <w:spacing w:val="-9"/>
        </w:rPr>
        <w:t> </w:t>
      </w:r>
      <w:r>
        <w:rPr>
          <w:spacing w:val="-2"/>
        </w:rPr>
        <w:t>combined</w:t>
      </w:r>
      <w:r>
        <w:rPr>
          <w:spacing w:val="-9"/>
        </w:rPr>
        <w:t> </w:t>
      </w:r>
      <w:r>
        <w:rPr>
          <w:spacing w:val="-2"/>
        </w:rPr>
        <w:t>share</w:t>
      </w:r>
      <w:r>
        <w:rPr>
          <w:spacing w:val="-9"/>
        </w:rPr>
        <w:t> </w:t>
      </w:r>
      <w:r>
        <w:rPr>
          <w:spacing w:val="-2"/>
        </w:rPr>
        <w:t>of</w:t>
      </w:r>
      <w:r>
        <w:rPr>
          <w:spacing w:val="-9"/>
        </w:rPr>
        <w:t> </w:t>
      </w:r>
      <w:r>
        <w:rPr>
          <w:spacing w:val="-2"/>
        </w:rPr>
        <w:t>about </w:t>
      </w:r>
      <w:r>
        <w:rPr/>
        <w:t>50 per cent of total employment.</w:t>
      </w:r>
    </w:p>
    <w:p>
      <w:pPr>
        <w:pStyle w:val="Heading6"/>
        <w:spacing w:before="178"/>
        <w:ind w:left="1080" w:firstLine="0"/>
        <w:jc w:val="both"/>
      </w:pPr>
      <w:r>
        <w:rPr>
          <w:color w:val="2E614A"/>
          <w:w w:val="90"/>
        </w:rPr>
        <w:t>Issues</w:t>
      </w:r>
      <w:r>
        <w:rPr>
          <w:color w:val="2E614A"/>
          <w:spacing w:val="4"/>
        </w:rPr>
        <w:t> </w:t>
      </w:r>
      <w:r>
        <w:rPr>
          <w:color w:val="2E614A"/>
          <w:w w:val="90"/>
        </w:rPr>
        <w:t>in</w:t>
      </w:r>
      <w:r>
        <w:rPr>
          <w:color w:val="2E614A"/>
          <w:spacing w:val="4"/>
        </w:rPr>
        <w:t> </w:t>
      </w:r>
      <w:r>
        <w:rPr>
          <w:color w:val="2E614A"/>
          <w:w w:val="90"/>
        </w:rPr>
        <w:t>the</w:t>
      </w:r>
      <w:r>
        <w:rPr>
          <w:color w:val="2E614A"/>
          <w:spacing w:val="4"/>
        </w:rPr>
        <w:t> </w:t>
      </w:r>
      <w:r>
        <w:rPr>
          <w:color w:val="2E614A"/>
          <w:w w:val="90"/>
        </w:rPr>
        <w:t>Current</w:t>
      </w:r>
      <w:r>
        <w:rPr>
          <w:color w:val="2E614A"/>
          <w:spacing w:val="5"/>
        </w:rPr>
        <w:t> </w:t>
      </w:r>
      <w:r>
        <w:rPr>
          <w:color w:val="2E614A"/>
          <w:spacing w:val="-2"/>
          <w:w w:val="90"/>
        </w:rPr>
        <w:t>Framework</w:t>
      </w:r>
    </w:p>
    <w:p>
      <w:pPr>
        <w:pStyle w:val="BodyText"/>
        <w:spacing w:line="266" w:lineRule="auto" w:before="286"/>
        <w:ind w:left="1079"/>
        <w:jc w:val="both"/>
      </w:pPr>
      <w:r>
        <w:rPr>
          <w:b/>
        </w:rPr>
        <w:t>Finance: </w:t>
      </w:r>
      <w:r>
        <w:rPr/>
        <w:t>Access to credit is considered to be one of the key problems faced by entrepreneurs in India. This problem is particularly acute at the start-up stage, where bank finance is hard to obtain. Despite new</w:t>
      </w:r>
      <w:r>
        <w:rPr>
          <w:spacing w:val="-1"/>
        </w:rPr>
        <w:t> </w:t>
      </w:r>
      <w:r>
        <w:rPr/>
        <w:t>sources</w:t>
      </w:r>
      <w:r>
        <w:rPr>
          <w:spacing w:val="-1"/>
        </w:rPr>
        <w:t> </w:t>
      </w:r>
      <w:r>
        <w:rPr/>
        <w:t>of</w:t>
      </w:r>
      <w:r>
        <w:rPr>
          <w:spacing w:val="-1"/>
        </w:rPr>
        <w:t> </w:t>
      </w:r>
      <w:r>
        <w:rPr/>
        <w:t>finance</w:t>
      </w:r>
      <w:r>
        <w:rPr>
          <w:spacing w:val="-1"/>
        </w:rPr>
        <w:t> </w:t>
      </w:r>
      <w:r>
        <w:rPr/>
        <w:t>such</w:t>
      </w:r>
      <w:r>
        <w:rPr>
          <w:spacing w:val="-1"/>
        </w:rPr>
        <w:t> </w:t>
      </w:r>
      <w:r>
        <w:rPr/>
        <w:t>as</w:t>
      </w:r>
      <w:r>
        <w:rPr>
          <w:spacing w:val="-1"/>
        </w:rPr>
        <w:t> </w:t>
      </w:r>
      <w:r>
        <w:rPr/>
        <w:t>venture</w:t>
      </w:r>
      <w:r>
        <w:rPr>
          <w:spacing w:val="-1"/>
        </w:rPr>
        <w:t> </w:t>
      </w:r>
      <w:r>
        <w:rPr/>
        <w:t>capital,</w:t>
      </w:r>
      <w:r>
        <w:rPr>
          <w:spacing w:val="-1"/>
        </w:rPr>
        <w:t> </w:t>
      </w:r>
      <w:r>
        <w:rPr/>
        <w:t>angel funding and private equity becoming increasingly popular, institutional finance is still not able to meet the current entrepreneurial demands.</w:t>
      </w:r>
    </w:p>
    <w:p>
      <w:pPr>
        <w:pStyle w:val="BodyText"/>
        <w:spacing w:before="20"/>
      </w:pPr>
    </w:p>
    <w:p>
      <w:pPr>
        <w:pStyle w:val="BodyText"/>
        <w:spacing w:line="266" w:lineRule="auto"/>
        <w:ind w:left="1080"/>
        <w:jc w:val="both"/>
      </w:pPr>
      <w:r>
        <w:rPr>
          <w:b/>
        </w:rPr>
        <w:t>Regulation</w:t>
      </w:r>
      <w:r>
        <w:rPr>
          <w:b/>
          <w:spacing w:val="-8"/>
        </w:rPr>
        <w:t> </w:t>
      </w:r>
      <w:r>
        <w:rPr>
          <w:b/>
        </w:rPr>
        <w:t>and</w:t>
      </w:r>
      <w:r>
        <w:rPr>
          <w:b/>
          <w:spacing w:val="-8"/>
        </w:rPr>
        <w:t> </w:t>
      </w:r>
      <w:r>
        <w:rPr>
          <w:b/>
        </w:rPr>
        <w:t>governance:</w:t>
      </w:r>
      <w:r>
        <w:rPr>
          <w:b/>
          <w:spacing w:val="-8"/>
        </w:rPr>
        <w:t> </w:t>
      </w:r>
      <w:r>
        <w:rPr/>
        <w:t>An</w:t>
      </w:r>
      <w:r>
        <w:rPr>
          <w:spacing w:val="-10"/>
        </w:rPr>
        <w:t> </w:t>
      </w:r>
      <w:r>
        <w:rPr/>
        <w:t>entrepreneur</w:t>
      </w:r>
      <w:r>
        <w:rPr>
          <w:spacing w:val="-10"/>
        </w:rPr>
        <w:t> </w:t>
      </w:r>
      <w:r>
        <w:rPr/>
        <w:t>has</w:t>
      </w:r>
      <w:r>
        <w:rPr>
          <w:spacing w:val="-10"/>
        </w:rPr>
        <w:t> </w:t>
      </w:r>
      <w:r>
        <w:rPr/>
        <w:t>to deal</w:t>
      </w:r>
      <w:r>
        <w:rPr>
          <w:spacing w:val="-1"/>
        </w:rPr>
        <w:t> </w:t>
      </w:r>
      <w:r>
        <w:rPr/>
        <w:t>with</w:t>
      </w:r>
      <w:r>
        <w:rPr>
          <w:spacing w:val="-1"/>
        </w:rPr>
        <w:t> </w:t>
      </w:r>
      <w:r>
        <w:rPr/>
        <w:t>a</w:t>
      </w:r>
      <w:r>
        <w:rPr>
          <w:spacing w:val="-1"/>
        </w:rPr>
        <w:t> </w:t>
      </w:r>
      <w:r>
        <w:rPr/>
        <w:t>host</w:t>
      </w:r>
      <w:r>
        <w:rPr>
          <w:spacing w:val="-1"/>
        </w:rPr>
        <w:t> </w:t>
      </w:r>
      <w:r>
        <w:rPr/>
        <w:t>of</w:t>
      </w:r>
      <w:r>
        <w:rPr>
          <w:spacing w:val="-1"/>
        </w:rPr>
        <w:t> </w:t>
      </w:r>
      <w:r>
        <w:rPr/>
        <w:t>regulatory</w:t>
      </w:r>
      <w:r>
        <w:rPr>
          <w:spacing w:val="-1"/>
        </w:rPr>
        <w:t> </w:t>
      </w:r>
      <w:r>
        <w:rPr/>
        <w:t>and</w:t>
      </w:r>
      <w:r>
        <w:rPr>
          <w:spacing w:val="-1"/>
        </w:rPr>
        <w:t> </w:t>
      </w:r>
      <w:r>
        <w:rPr/>
        <w:t>compliance</w:t>
      </w:r>
      <w:r>
        <w:rPr>
          <w:spacing w:val="-1"/>
        </w:rPr>
        <w:t> </w:t>
      </w:r>
      <w:r>
        <w:rPr/>
        <w:t>issues. These include registering one’s business, obtaining government</w:t>
      </w:r>
      <w:r>
        <w:rPr>
          <w:spacing w:val="-14"/>
        </w:rPr>
        <w:t> </w:t>
      </w:r>
      <w:r>
        <w:rPr/>
        <w:t>clearances</w:t>
      </w:r>
      <w:r>
        <w:rPr>
          <w:spacing w:val="-14"/>
        </w:rPr>
        <w:t> </w:t>
      </w:r>
      <w:r>
        <w:rPr/>
        <w:t>and</w:t>
      </w:r>
      <w:r>
        <w:rPr>
          <w:spacing w:val="-13"/>
        </w:rPr>
        <w:t> </w:t>
      </w:r>
      <w:r>
        <w:rPr/>
        <w:t>licenses,</w:t>
      </w:r>
      <w:r>
        <w:rPr>
          <w:spacing w:val="-14"/>
        </w:rPr>
        <w:t> </w:t>
      </w:r>
      <w:r>
        <w:rPr/>
        <w:t>paying</w:t>
      </w:r>
      <w:r>
        <w:rPr>
          <w:spacing w:val="-14"/>
        </w:rPr>
        <w:t> </w:t>
      </w:r>
      <w:r>
        <w:rPr/>
        <w:t>taxes</w:t>
      </w:r>
      <w:r>
        <w:rPr>
          <w:spacing w:val="-13"/>
        </w:rPr>
        <w:t> </w:t>
      </w:r>
      <w:r>
        <w:rPr/>
        <w:t>and complying with labour regulations. Cumbersome paperwork, long delays and red tapism involved in such transactions create unnecessary burdens for entrepreneurs, constraining their productivity and their</w:t>
      </w:r>
      <w:r>
        <w:rPr>
          <w:spacing w:val="42"/>
        </w:rPr>
        <w:t> </w:t>
      </w:r>
      <w:r>
        <w:rPr/>
        <w:t>ability</w:t>
      </w:r>
      <w:r>
        <w:rPr>
          <w:spacing w:val="43"/>
        </w:rPr>
        <w:t> </w:t>
      </w:r>
      <w:r>
        <w:rPr/>
        <w:t>to</w:t>
      </w:r>
      <w:r>
        <w:rPr>
          <w:spacing w:val="43"/>
        </w:rPr>
        <w:t> </w:t>
      </w:r>
      <w:r>
        <w:rPr/>
        <w:t>do</w:t>
      </w:r>
      <w:r>
        <w:rPr>
          <w:spacing w:val="42"/>
        </w:rPr>
        <w:t> </w:t>
      </w:r>
      <w:r>
        <w:rPr/>
        <w:t>business.</w:t>
      </w:r>
      <w:r>
        <w:rPr>
          <w:spacing w:val="43"/>
        </w:rPr>
        <w:t> </w:t>
      </w:r>
      <w:r>
        <w:rPr/>
        <w:t>As</w:t>
      </w:r>
      <w:r>
        <w:rPr>
          <w:spacing w:val="43"/>
        </w:rPr>
        <w:t> </w:t>
      </w:r>
      <w:r>
        <w:rPr/>
        <w:t>seen</w:t>
      </w:r>
      <w:r>
        <w:rPr>
          <w:spacing w:val="43"/>
        </w:rPr>
        <w:t> </w:t>
      </w:r>
      <w:r>
        <w:rPr/>
        <w:t>in</w:t>
      </w:r>
      <w:r>
        <w:rPr>
          <w:spacing w:val="42"/>
        </w:rPr>
        <w:t> </w:t>
      </w:r>
      <w:r>
        <w:rPr/>
        <w:t>the</w:t>
      </w:r>
      <w:r>
        <w:rPr>
          <w:spacing w:val="43"/>
        </w:rPr>
        <w:t> </w:t>
      </w:r>
      <w:r>
        <w:rPr>
          <w:spacing w:val="-4"/>
        </w:rPr>
        <w:t>Doing</w:t>
      </w:r>
    </w:p>
    <w:p>
      <w:pPr>
        <w:pStyle w:val="BodyText"/>
        <w:spacing w:line="266" w:lineRule="auto" w:before="82"/>
        <w:ind w:left="319" w:right="1077"/>
        <w:jc w:val="both"/>
      </w:pPr>
      <w:r>
        <w:rPr/>
        <w:br w:type="column"/>
      </w:r>
      <w:r>
        <w:rPr/>
        <w:t>Business 2008 rankings, India performs poorly in these indicators. A study investigating the effect of regulation</w:t>
      </w:r>
      <w:r>
        <w:rPr>
          <w:spacing w:val="-14"/>
        </w:rPr>
        <w:t> </w:t>
      </w:r>
      <w:r>
        <w:rPr/>
        <w:t>on</w:t>
      </w:r>
      <w:r>
        <w:rPr>
          <w:spacing w:val="-14"/>
        </w:rPr>
        <w:t> </w:t>
      </w:r>
      <w:r>
        <w:rPr/>
        <w:t>entrepreneurship</w:t>
      </w:r>
      <w:r>
        <w:rPr>
          <w:spacing w:val="-14"/>
        </w:rPr>
        <w:t> </w:t>
      </w:r>
      <w:r>
        <w:rPr/>
        <w:t>using</w:t>
      </w:r>
      <w:r>
        <w:rPr>
          <w:spacing w:val="-13"/>
        </w:rPr>
        <w:t> </w:t>
      </w:r>
      <w:r>
        <w:rPr/>
        <w:t>the</w:t>
      </w:r>
      <w:r>
        <w:rPr>
          <w:spacing w:val="-14"/>
        </w:rPr>
        <w:t> </w:t>
      </w:r>
      <w:r>
        <w:rPr/>
        <w:t>GEM</w:t>
      </w:r>
      <w:r>
        <w:rPr>
          <w:spacing w:val="-14"/>
        </w:rPr>
        <w:t> </w:t>
      </w:r>
      <w:r>
        <w:rPr/>
        <w:t>dataset shows India to be having one of the worst regulatory indices.</w:t>
      </w:r>
      <w:r>
        <w:rPr>
          <w:spacing w:val="-4"/>
        </w:rPr>
        <w:t> </w:t>
      </w:r>
      <w:r>
        <w:rPr/>
        <w:t>(See</w:t>
      </w:r>
      <w:r>
        <w:rPr>
          <w:spacing w:val="-4"/>
        </w:rPr>
        <w:t> </w:t>
      </w:r>
      <w:r>
        <w:rPr/>
        <w:t>Figure</w:t>
      </w:r>
      <w:r>
        <w:rPr>
          <w:spacing w:val="-4"/>
        </w:rPr>
        <w:t> </w:t>
      </w:r>
      <w:r>
        <w:rPr/>
        <w:t>61).</w:t>
      </w:r>
      <w:r>
        <w:rPr>
          <w:spacing w:val="-4"/>
        </w:rPr>
        <w:t> </w:t>
      </w:r>
      <w:r>
        <w:rPr/>
        <w:t>Moreover,</w:t>
      </w:r>
      <w:r>
        <w:rPr>
          <w:spacing w:val="-4"/>
        </w:rPr>
        <w:t> </w:t>
      </w:r>
      <w:r>
        <w:rPr/>
        <w:t>lack</w:t>
      </w:r>
      <w:r>
        <w:rPr>
          <w:spacing w:val="-4"/>
        </w:rPr>
        <w:t> </w:t>
      </w:r>
      <w:r>
        <w:rPr/>
        <w:t>of</w:t>
      </w:r>
      <w:r>
        <w:rPr>
          <w:spacing w:val="-4"/>
        </w:rPr>
        <w:t> </w:t>
      </w:r>
      <w:r>
        <w:rPr/>
        <w:t>clarity</w:t>
      </w:r>
      <w:r>
        <w:rPr>
          <w:spacing w:val="-4"/>
        </w:rPr>
        <w:t> </w:t>
      </w:r>
      <w:r>
        <w:rPr/>
        <w:t>on information relating to legal and procedural aspects of starting an enterprise, as well as those relating to clearances, licenses and government schemes further aggravates the problem.</w:t>
      </w:r>
    </w:p>
    <w:p>
      <w:pPr>
        <w:pStyle w:val="BodyText"/>
        <w:spacing w:before="1"/>
      </w:pPr>
    </w:p>
    <w:p>
      <w:pPr>
        <w:pStyle w:val="Heading8"/>
        <w:spacing w:before="1"/>
        <w:ind w:left="319"/>
      </w:pPr>
      <w:r>
        <w:rPr>
          <w:w w:val="90"/>
        </w:rPr>
        <w:t>Table</w:t>
      </w:r>
      <w:r>
        <w:rPr>
          <w:spacing w:val="-5"/>
          <w:w w:val="90"/>
        </w:rPr>
        <w:t> </w:t>
      </w:r>
      <w:r>
        <w:rPr>
          <w:w w:val="90"/>
        </w:rPr>
        <w:t>23:</w:t>
      </w:r>
      <w:r>
        <w:rPr>
          <w:spacing w:val="-5"/>
          <w:w w:val="90"/>
        </w:rPr>
        <w:t> </w:t>
      </w:r>
      <w:r>
        <w:rPr>
          <w:color w:val="2E614A"/>
          <w:w w:val="90"/>
        </w:rPr>
        <w:t>India’s</w:t>
      </w:r>
      <w:r>
        <w:rPr>
          <w:color w:val="2E614A"/>
          <w:spacing w:val="-5"/>
          <w:w w:val="90"/>
        </w:rPr>
        <w:t> </w:t>
      </w:r>
      <w:r>
        <w:rPr>
          <w:color w:val="2E614A"/>
          <w:w w:val="90"/>
        </w:rPr>
        <w:t>Ranking</w:t>
      </w:r>
      <w:r>
        <w:rPr>
          <w:color w:val="2E614A"/>
          <w:spacing w:val="-5"/>
          <w:w w:val="90"/>
        </w:rPr>
        <w:t> </w:t>
      </w:r>
      <w:r>
        <w:rPr>
          <w:color w:val="2E614A"/>
          <w:w w:val="90"/>
        </w:rPr>
        <w:t>in</w:t>
      </w:r>
      <w:r>
        <w:rPr>
          <w:color w:val="2E614A"/>
          <w:spacing w:val="-4"/>
          <w:w w:val="90"/>
        </w:rPr>
        <w:t> </w:t>
      </w:r>
      <w:r>
        <w:rPr>
          <w:color w:val="2E614A"/>
          <w:w w:val="90"/>
        </w:rPr>
        <w:t>Doing</w:t>
      </w:r>
      <w:r>
        <w:rPr>
          <w:color w:val="2E614A"/>
          <w:spacing w:val="-5"/>
          <w:w w:val="90"/>
        </w:rPr>
        <w:t> </w:t>
      </w:r>
      <w:r>
        <w:rPr>
          <w:color w:val="2E614A"/>
          <w:w w:val="90"/>
        </w:rPr>
        <w:t>Business</w:t>
      </w:r>
      <w:r>
        <w:rPr>
          <w:color w:val="2E614A"/>
          <w:spacing w:val="-5"/>
          <w:w w:val="90"/>
        </w:rPr>
        <w:t> </w:t>
      </w:r>
      <w:r>
        <w:rPr>
          <w:color w:val="2E614A"/>
          <w:spacing w:val="-4"/>
          <w:w w:val="90"/>
        </w:rPr>
        <w:t>2008</w:t>
      </w:r>
    </w:p>
    <w:p>
      <w:pPr>
        <w:pStyle w:val="BodyText"/>
        <w:spacing w:before="2" w:after="1"/>
        <w:rPr>
          <w:b/>
          <w:sz w:val="10"/>
        </w:rPr>
      </w:pPr>
    </w:p>
    <w:tbl>
      <w:tblPr>
        <w:tblW w:w="0" w:type="auto"/>
        <w:jc w:val="left"/>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728"/>
        <w:gridCol w:w="965"/>
      </w:tblGrid>
      <w:tr>
        <w:trPr>
          <w:trHeight w:val="321" w:hRule="atLeast"/>
        </w:trPr>
        <w:tc>
          <w:tcPr>
            <w:tcW w:w="3728" w:type="dxa"/>
            <w:shd w:val="clear" w:color="auto" w:fill="D0D5CD"/>
          </w:tcPr>
          <w:p>
            <w:pPr>
              <w:pStyle w:val="TableParagraph"/>
              <w:ind w:left="90"/>
              <w:rPr>
                <w:sz w:val="20"/>
              </w:rPr>
            </w:pPr>
            <w:r>
              <w:rPr>
                <w:spacing w:val="-2"/>
                <w:sz w:val="20"/>
              </w:rPr>
              <w:t>Starting</w:t>
            </w:r>
            <w:r>
              <w:rPr>
                <w:spacing w:val="-10"/>
                <w:sz w:val="20"/>
              </w:rPr>
              <w:t> </w:t>
            </w:r>
            <w:r>
              <w:rPr>
                <w:spacing w:val="-2"/>
                <w:sz w:val="20"/>
              </w:rPr>
              <w:t>a</w:t>
            </w:r>
            <w:r>
              <w:rPr>
                <w:spacing w:val="-9"/>
                <w:sz w:val="20"/>
              </w:rPr>
              <w:t> </w:t>
            </w:r>
            <w:r>
              <w:rPr>
                <w:spacing w:val="-2"/>
                <w:sz w:val="20"/>
              </w:rPr>
              <w:t>Business</w:t>
            </w:r>
          </w:p>
        </w:tc>
        <w:tc>
          <w:tcPr>
            <w:tcW w:w="965" w:type="dxa"/>
            <w:shd w:val="clear" w:color="auto" w:fill="D0D5CD"/>
          </w:tcPr>
          <w:p>
            <w:pPr>
              <w:pStyle w:val="TableParagraph"/>
              <w:ind w:right="353"/>
              <w:jc w:val="right"/>
              <w:rPr>
                <w:sz w:val="20"/>
              </w:rPr>
            </w:pPr>
            <w:r>
              <w:rPr>
                <w:spacing w:val="-5"/>
                <w:sz w:val="20"/>
              </w:rPr>
              <w:t>111</w:t>
            </w:r>
          </w:p>
        </w:tc>
      </w:tr>
      <w:tr>
        <w:trPr>
          <w:trHeight w:val="321" w:hRule="atLeast"/>
        </w:trPr>
        <w:tc>
          <w:tcPr>
            <w:tcW w:w="3728" w:type="dxa"/>
            <w:shd w:val="clear" w:color="auto" w:fill="E9E9E9"/>
          </w:tcPr>
          <w:p>
            <w:pPr>
              <w:pStyle w:val="TableParagraph"/>
              <w:ind w:left="89"/>
              <w:rPr>
                <w:sz w:val="20"/>
              </w:rPr>
            </w:pPr>
            <w:r>
              <w:rPr>
                <w:spacing w:val="-2"/>
                <w:sz w:val="20"/>
              </w:rPr>
              <w:t>Dealing</w:t>
            </w:r>
            <w:r>
              <w:rPr>
                <w:spacing w:val="-7"/>
                <w:sz w:val="20"/>
              </w:rPr>
              <w:t> </w:t>
            </w:r>
            <w:r>
              <w:rPr>
                <w:spacing w:val="-2"/>
                <w:sz w:val="20"/>
              </w:rPr>
              <w:t>with</w:t>
            </w:r>
            <w:r>
              <w:rPr>
                <w:spacing w:val="-7"/>
                <w:sz w:val="20"/>
              </w:rPr>
              <w:t> </w:t>
            </w:r>
            <w:r>
              <w:rPr>
                <w:spacing w:val="-2"/>
                <w:sz w:val="20"/>
              </w:rPr>
              <w:t>Licenses</w:t>
            </w:r>
          </w:p>
        </w:tc>
        <w:tc>
          <w:tcPr>
            <w:tcW w:w="965" w:type="dxa"/>
            <w:shd w:val="clear" w:color="auto" w:fill="E9E9E9"/>
          </w:tcPr>
          <w:p>
            <w:pPr>
              <w:pStyle w:val="TableParagraph"/>
              <w:ind w:right="353"/>
              <w:jc w:val="right"/>
              <w:rPr>
                <w:sz w:val="20"/>
              </w:rPr>
            </w:pPr>
            <w:r>
              <w:rPr>
                <w:spacing w:val="-5"/>
                <w:sz w:val="20"/>
              </w:rPr>
              <w:t>134</w:t>
            </w:r>
          </w:p>
        </w:tc>
      </w:tr>
      <w:tr>
        <w:trPr>
          <w:trHeight w:val="321" w:hRule="atLeast"/>
        </w:trPr>
        <w:tc>
          <w:tcPr>
            <w:tcW w:w="3728" w:type="dxa"/>
            <w:shd w:val="clear" w:color="auto" w:fill="D0D5CD"/>
          </w:tcPr>
          <w:p>
            <w:pPr>
              <w:pStyle w:val="TableParagraph"/>
              <w:ind w:left="89"/>
              <w:rPr>
                <w:sz w:val="20"/>
              </w:rPr>
            </w:pPr>
            <w:r>
              <w:rPr>
                <w:spacing w:val="-5"/>
                <w:sz w:val="20"/>
              </w:rPr>
              <w:t>Employing</w:t>
            </w:r>
            <w:r>
              <w:rPr>
                <w:spacing w:val="-3"/>
                <w:sz w:val="20"/>
              </w:rPr>
              <w:t> </w:t>
            </w:r>
            <w:r>
              <w:rPr>
                <w:spacing w:val="-2"/>
                <w:sz w:val="20"/>
              </w:rPr>
              <w:t>Workers</w:t>
            </w:r>
          </w:p>
        </w:tc>
        <w:tc>
          <w:tcPr>
            <w:tcW w:w="965" w:type="dxa"/>
            <w:shd w:val="clear" w:color="auto" w:fill="D0D5CD"/>
          </w:tcPr>
          <w:p>
            <w:pPr>
              <w:pStyle w:val="TableParagraph"/>
              <w:ind w:right="353"/>
              <w:jc w:val="right"/>
              <w:rPr>
                <w:sz w:val="20"/>
              </w:rPr>
            </w:pPr>
            <w:r>
              <w:rPr>
                <w:spacing w:val="-5"/>
                <w:sz w:val="20"/>
              </w:rPr>
              <w:t>85</w:t>
            </w:r>
          </w:p>
        </w:tc>
      </w:tr>
      <w:tr>
        <w:trPr>
          <w:trHeight w:val="321" w:hRule="atLeast"/>
        </w:trPr>
        <w:tc>
          <w:tcPr>
            <w:tcW w:w="3728" w:type="dxa"/>
            <w:shd w:val="clear" w:color="auto" w:fill="E9E9E9"/>
          </w:tcPr>
          <w:p>
            <w:pPr>
              <w:pStyle w:val="TableParagraph"/>
              <w:ind w:left="90"/>
              <w:rPr>
                <w:sz w:val="20"/>
              </w:rPr>
            </w:pPr>
            <w:r>
              <w:rPr>
                <w:w w:val="90"/>
                <w:sz w:val="20"/>
              </w:rPr>
              <w:t>Registering</w:t>
            </w:r>
            <w:r>
              <w:rPr>
                <w:spacing w:val="28"/>
                <w:sz w:val="20"/>
              </w:rPr>
              <w:t> </w:t>
            </w:r>
            <w:r>
              <w:rPr>
                <w:spacing w:val="-2"/>
                <w:sz w:val="20"/>
              </w:rPr>
              <w:t>Property</w:t>
            </w:r>
          </w:p>
        </w:tc>
        <w:tc>
          <w:tcPr>
            <w:tcW w:w="965" w:type="dxa"/>
            <w:shd w:val="clear" w:color="auto" w:fill="E9E9E9"/>
          </w:tcPr>
          <w:p>
            <w:pPr>
              <w:pStyle w:val="TableParagraph"/>
              <w:ind w:right="353"/>
              <w:jc w:val="right"/>
              <w:rPr>
                <w:sz w:val="20"/>
              </w:rPr>
            </w:pPr>
            <w:r>
              <w:rPr>
                <w:spacing w:val="-5"/>
                <w:sz w:val="20"/>
              </w:rPr>
              <w:t>112</w:t>
            </w:r>
          </w:p>
        </w:tc>
      </w:tr>
      <w:tr>
        <w:trPr>
          <w:trHeight w:val="321" w:hRule="atLeast"/>
        </w:trPr>
        <w:tc>
          <w:tcPr>
            <w:tcW w:w="3728" w:type="dxa"/>
            <w:shd w:val="clear" w:color="auto" w:fill="D0D5CD"/>
          </w:tcPr>
          <w:p>
            <w:pPr>
              <w:pStyle w:val="TableParagraph"/>
              <w:ind w:left="89"/>
              <w:rPr>
                <w:sz w:val="20"/>
              </w:rPr>
            </w:pPr>
            <w:r>
              <w:rPr>
                <w:w w:val="90"/>
                <w:sz w:val="20"/>
              </w:rPr>
              <w:t>Paying</w:t>
            </w:r>
            <w:r>
              <w:rPr>
                <w:spacing w:val="4"/>
                <w:sz w:val="20"/>
              </w:rPr>
              <w:t> </w:t>
            </w:r>
            <w:r>
              <w:rPr>
                <w:spacing w:val="-2"/>
                <w:sz w:val="20"/>
              </w:rPr>
              <w:t>Taxes</w:t>
            </w:r>
          </w:p>
        </w:tc>
        <w:tc>
          <w:tcPr>
            <w:tcW w:w="965" w:type="dxa"/>
            <w:shd w:val="clear" w:color="auto" w:fill="D0D5CD"/>
          </w:tcPr>
          <w:p>
            <w:pPr>
              <w:pStyle w:val="TableParagraph"/>
              <w:ind w:right="353"/>
              <w:jc w:val="right"/>
              <w:rPr>
                <w:sz w:val="20"/>
              </w:rPr>
            </w:pPr>
            <w:r>
              <w:rPr>
                <w:spacing w:val="-5"/>
                <w:sz w:val="20"/>
              </w:rPr>
              <w:t>165</w:t>
            </w:r>
          </w:p>
        </w:tc>
      </w:tr>
      <w:tr>
        <w:trPr>
          <w:trHeight w:val="321" w:hRule="atLeast"/>
        </w:trPr>
        <w:tc>
          <w:tcPr>
            <w:tcW w:w="3728" w:type="dxa"/>
            <w:shd w:val="clear" w:color="auto" w:fill="E9E9E9"/>
          </w:tcPr>
          <w:p>
            <w:pPr>
              <w:pStyle w:val="TableParagraph"/>
              <w:ind w:left="89"/>
              <w:rPr>
                <w:sz w:val="20"/>
              </w:rPr>
            </w:pPr>
            <w:r>
              <w:rPr>
                <w:spacing w:val="-8"/>
                <w:sz w:val="20"/>
              </w:rPr>
              <w:t>Trading</w:t>
            </w:r>
            <w:r>
              <w:rPr>
                <w:spacing w:val="1"/>
                <w:sz w:val="20"/>
              </w:rPr>
              <w:t> </w:t>
            </w:r>
            <w:r>
              <w:rPr>
                <w:spacing w:val="-8"/>
                <w:sz w:val="20"/>
              </w:rPr>
              <w:t>Across</w:t>
            </w:r>
            <w:r>
              <w:rPr>
                <w:spacing w:val="1"/>
                <w:sz w:val="20"/>
              </w:rPr>
              <w:t> </w:t>
            </w:r>
            <w:r>
              <w:rPr>
                <w:spacing w:val="-8"/>
                <w:sz w:val="20"/>
              </w:rPr>
              <w:t>Borders</w:t>
            </w:r>
          </w:p>
        </w:tc>
        <w:tc>
          <w:tcPr>
            <w:tcW w:w="965" w:type="dxa"/>
            <w:shd w:val="clear" w:color="auto" w:fill="E9E9E9"/>
          </w:tcPr>
          <w:p>
            <w:pPr>
              <w:pStyle w:val="TableParagraph"/>
              <w:ind w:right="353"/>
              <w:jc w:val="right"/>
              <w:rPr>
                <w:sz w:val="20"/>
              </w:rPr>
            </w:pPr>
            <w:r>
              <w:rPr>
                <w:spacing w:val="-5"/>
                <w:sz w:val="20"/>
              </w:rPr>
              <w:t>79</w:t>
            </w:r>
          </w:p>
        </w:tc>
      </w:tr>
      <w:tr>
        <w:trPr>
          <w:trHeight w:val="321" w:hRule="atLeast"/>
        </w:trPr>
        <w:tc>
          <w:tcPr>
            <w:tcW w:w="3728" w:type="dxa"/>
            <w:shd w:val="clear" w:color="auto" w:fill="D0D5CD"/>
          </w:tcPr>
          <w:p>
            <w:pPr>
              <w:pStyle w:val="TableParagraph"/>
              <w:ind w:left="90"/>
              <w:rPr>
                <w:sz w:val="20"/>
              </w:rPr>
            </w:pPr>
            <w:r>
              <w:rPr>
                <w:spacing w:val="-4"/>
                <w:sz w:val="20"/>
              </w:rPr>
              <w:t>Enforcing</w:t>
            </w:r>
            <w:r>
              <w:rPr>
                <w:spacing w:val="-2"/>
                <w:sz w:val="20"/>
              </w:rPr>
              <w:t> Contracts</w:t>
            </w:r>
          </w:p>
        </w:tc>
        <w:tc>
          <w:tcPr>
            <w:tcW w:w="965" w:type="dxa"/>
            <w:shd w:val="clear" w:color="auto" w:fill="D0D5CD"/>
          </w:tcPr>
          <w:p>
            <w:pPr>
              <w:pStyle w:val="TableParagraph"/>
              <w:ind w:right="353"/>
              <w:jc w:val="right"/>
              <w:rPr>
                <w:sz w:val="20"/>
              </w:rPr>
            </w:pPr>
            <w:r>
              <w:rPr>
                <w:spacing w:val="-5"/>
                <w:sz w:val="20"/>
              </w:rPr>
              <w:t>177</w:t>
            </w:r>
          </w:p>
        </w:tc>
      </w:tr>
      <w:tr>
        <w:trPr>
          <w:trHeight w:val="321" w:hRule="atLeast"/>
        </w:trPr>
        <w:tc>
          <w:tcPr>
            <w:tcW w:w="3728" w:type="dxa"/>
            <w:shd w:val="clear" w:color="auto" w:fill="E9E9E9"/>
          </w:tcPr>
          <w:p>
            <w:pPr>
              <w:pStyle w:val="TableParagraph"/>
              <w:ind w:left="89"/>
              <w:rPr>
                <w:sz w:val="20"/>
              </w:rPr>
            </w:pPr>
            <w:r>
              <w:rPr>
                <w:spacing w:val="-4"/>
                <w:sz w:val="20"/>
              </w:rPr>
              <w:t>Closing a Business</w:t>
            </w:r>
          </w:p>
        </w:tc>
        <w:tc>
          <w:tcPr>
            <w:tcW w:w="965" w:type="dxa"/>
            <w:shd w:val="clear" w:color="auto" w:fill="E9E9E9"/>
          </w:tcPr>
          <w:p>
            <w:pPr>
              <w:pStyle w:val="TableParagraph"/>
              <w:ind w:right="353"/>
              <w:jc w:val="right"/>
              <w:rPr>
                <w:sz w:val="20"/>
              </w:rPr>
            </w:pPr>
            <w:r>
              <w:rPr>
                <w:spacing w:val="-5"/>
                <w:sz w:val="20"/>
              </w:rPr>
              <w:t>137</w:t>
            </w:r>
          </w:p>
        </w:tc>
      </w:tr>
    </w:tbl>
    <w:p>
      <w:pPr>
        <w:spacing w:before="54"/>
        <w:ind w:left="319" w:right="0" w:firstLine="0"/>
        <w:jc w:val="left"/>
        <w:rPr>
          <w:sz w:val="16"/>
        </w:rPr>
      </w:pPr>
      <w:r>
        <w:rPr>
          <w:i/>
          <w:spacing w:val="-6"/>
          <w:sz w:val="16"/>
        </w:rPr>
        <w:t>Source:</w:t>
      </w:r>
      <w:r>
        <w:rPr>
          <w:i/>
          <w:spacing w:val="2"/>
          <w:sz w:val="16"/>
        </w:rPr>
        <w:t> </w:t>
      </w:r>
      <w:r>
        <w:rPr>
          <w:spacing w:val="-6"/>
          <w:sz w:val="16"/>
        </w:rPr>
        <w:t>Doing</w:t>
      </w:r>
      <w:r>
        <w:rPr>
          <w:spacing w:val="3"/>
          <w:sz w:val="16"/>
        </w:rPr>
        <w:t> </w:t>
      </w:r>
      <w:r>
        <w:rPr>
          <w:spacing w:val="-6"/>
          <w:sz w:val="16"/>
        </w:rPr>
        <w:t>Business,</w:t>
      </w:r>
      <w:r>
        <w:rPr>
          <w:spacing w:val="-1"/>
          <w:sz w:val="16"/>
        </w:rPr>
        <w:t> </w:t>
      </w:r>
      <w:r>
        <w:rPr>
          <w:spacing w:val="-6"/>
          <w:sz w:val="16"/>
        </w:rPr>
        <w:t>World</w:t>
      </w:r>
      <w:r>
        <w:rPr>
          <w:spacing w:val="3"/>
          <w:sz w:val="16"/>
        </w:rPr>
        <w:t> </w:t>
      </w:r>
      <w:r>
        <w:rPr>
          <w:spacing w:val="-6"/>
          <w:sz w:val="16"/>
        </w:rPr>
        <w:t>Bank,</w:t>
      </w:r>
      <w:r>
        <w:rPr>
          <w:spacing w:val="2"/>
          <w:sz w:val="16"/>
        </w:rPr>
        <w:t> </w:t>
      </w:r>
      <w:r>
        <w:rPr>
          <w:spacing w:val="-6"/>
          <w:sz w:val="16"/>
        </w:rPr>
        <w:t>2008</w:t>
      </w:r>
    </w:p>
    <w:p>
      <w:pPr>
        <w:pStyle w:val="BodyText"/>
        <w:spacing w:before="36"/>
        <w:rPr>
          <w:sz w:val="16"/>
        </w:rPr>
      </w:pPr>
    </w:p>
    <w:p>
      <w:pPr>
        <w:pStyle w:val="BodyText"/>
        <w:spacing w:line="266" w:lineRule="auto"/>
        <w:ind w:left="319" w:right="1077"/>
        <w:jc w:val="both"/>
      </w:pPr>
      <w:r>
        <w:rPr>
          <w:b/>
          <w:spacing w:val="-6"/>
        </w:rPr>
        <w:t>Manpower:</w:t>
      </w:r>
      <w:r>
        <w:rPr>
          <w:b/>
          <w:spacing w:val="-7"/>
        </w:rPr>
        <w:t> </w:t>
      </w:r>
      <w:r>
        <w:rPr>
          <w:spacing w:val="-6"/>
        </w:rPr>
        <w:t>Availability</w:t>
      </w:r>
      <w:r>
        <w:rPr>
          <w:spacing w:val="-8"/>
        </w:rPr>
        <w:t> </w:t>
      </w:r>
      <w:r>
        <w:rPr>
          <w:spacing w:val="-6"/>
        </w:rPr>
        <w:t>of</w:t>
      </w:r>
      <w:r>
        <w:rPr>
          <w:spacing w:val="-8"/>
        </w:rPr>
        <w:t> </w:t>
      </w:r>
      <w:r>
        <w:rPr>
          <w:spacing w:val="-6"/>
        </w:rPr>
        <w:t>skilled</w:t>
      </w:r>
      <w:r>
        <w:rPr>
          <w:spacing w:val="-7"/>
        </w:rPr>
        <w:t> </w:t>
      </w:r>
      <w:r>
        <w:rPr>
          <w:spacing w:val="-6"/>
        </w:rPr>
        <w:t>manpower</w:t>
      </w:r>
      <w:r>
        <w:rPr>
          <w:spacing w:val="-8"/>
        </w:rPr>
        <w:t> </w:t>
      </w:r>
      <w:r>
        <w:rPr>
          <w:spacing w:val="-6"/>
        </w:rPr>
        <w:t>is</w:t>
      </w:r>
      <w:r>
        <w:rPr>
          <w:spacing w:val="-8"/>
        </w:rPr>
        <w:t> </w:t>
      </w:r>
      <w:r>
        <w:rPr>
          <w:spacing w:val="-6"/>
        </w:rPr>
        <w:t>another </w:t>
      </w:r>
      <w:r>
        <w:rPr>
          <w:spacing w:val="-4"/>
        </w:rPr>
        <w:t>crucial</w:t>
      </w:r>
      <w:r>
        <w:rPr>
          <w:spacing w:val="-12"/>
        </w:rPr>
        <w:t> </w:t>
      </w:r>
      <w:r>
        <w:rPr>
          <w:spacing w:val="-4"/>
        </w:rPr>
        <w:t>issue</w:t>
      </w:r>
      <w:r>
        <w:rPr>
          <w:spacing w:val="-10"/>
        </w:rPr>
        <w:t> </w:t>
      </w:r>
      <w:r>
        <w:rPr>
          <w:spacing w:val="-4"/>
        </w:rPr>
        <w:t>for</w:t>
      </w:r>
      <w:r>
        <w:rPr>
          <w:spacing w:val="-10"/>
        </w:rPr>
        <w:t> </w:t>
      </w:r>
      <w:r>
        <w:rPr>
          <w:spacing w:val="-4"/>
        </w:rPr>
        <w:t>entrepreneurs.</w:t>
      </w:r>
      <w:r>
        <w:rPr>
          <w:spacing w:val="-9"/>
        </w:rPr>
        <w:t> </w:t>
      </w:r>
      <w:r>
        <w:rPr>
          <w:spacing w:val="-4"/>
        </w:rPr>
        <w:t>For</w:t>
      </w:r>
      <w:r>
        <w:rPr>
          <w:spacing w:val="-10"/>
        </w:rPr>
        <w:t> </w:t>
      </w:r>
      <w:r>
        <w:rPr>
          <w:spacing w:val="-4"/>
        </w:rPr>
        <w:t>example,</w:t>
      </w:r>
      <w:r>
        <w:rPr>
          <w:spacing w:val="-10"/>
        </w:rPr>
        <w:t> </w:t>
      </w:r>
      <w:r>
        <w:rPr>
          <w:spacing w:val="-4"/>
        </w:rPr>
        <w:t>in</w:t>
      </w:r>
      <w:r>
        <w:rPr>
          <w:spacing w:val="-10"/>
        </w:rPr>
        <w:t> </w:t>
      </w:r>
      <w:r>
        <w:rPr>
          <w:spacing w:val="-4"/>
        </w:rPr>
        <w:t>a</w:t>
      </w:r>
      <w:r>
        <w:rPr>
          <w:spacing w:val="-9"/>
        </w:rPr>
        <w:t> </w:t>
      </w:r>
      <w:r>
        <w:rPr>
          <w:spacing w:val="-4"/>
        </w:rPr>
        <w:t>survey </w:t>
      </w:r>
      <w:r>
        <w:rPr/>
        <w:t>of entrepreneurs conducted by KPMG and TiE in 2008, skilled manpower emerged as the second most important</w:t>
      </w:r>
      <w:r>
        <w:rPr>
          <w:spacing w:val="-7"/>
        </w:rPr>
        <w:t> </w:t>
      </w:r>
      <w:r>
        <w:rPr/>
        <w:t>factor</w:t>
      </w:r>
      <w:r>
        <w:rPr>
          <w:spacing w:val="-7"/>
        </w:rPr>
        <w:t> </w:t>
      </w:r>
      <w:r>
        <w:rPr/>
        <w:t>for</w:t>
      </w:r>
      <w:r>
        <w:rPr>
          <w:spacing w:val="-7"/>
        </w:rPr>
        <w:t> </w:t>
      </w:r>
      <w:r>
        <w:rPr/>
        <w:t>fostering</w:t>
      </w:r>
      <w:r>
        <w:rPr>
          <w:spacing w:val="-7"/>
        </w:rPr>
        <w:t> </w:t>
      </w:r>
      <w:r>
        <w:rPr/>
        <w:t>entrepreneurial</w:t>
      </w:r>
      <w:r>
        <w:rPr>
          <w:spacing w:val="-7"/>
        </w:rPr>
        <w:t> </w:t>
      </w:r>
      <w:r>
        <w:rPr/>
        <w:t>growth. </w:t>
      </w:r>
      <w:r>
        <w:rPr>
          <w:spacing w:val="-2"/>
        </w:rPr>
        <w:t>Further</w:t>
      </w:r>
      <w:r>
        <w:rPr>
          <w:spacing w:val="-5"/>
        </w:rPr>
        <w:t> </w:t>
      </w:r>
      <w:r>
        <w:rPr>
          <w:spacing w:val="-2"/>
        </w:rPr>
        <w:t>parameters</w:t>
      </w:r>
      <w:r>
        <w:rPr>
          <w:spacing w:val="-5"/>
        </w:rPr>
        <w:t> </w:t>
      </w:r>
      <w:r>
        <w:rPr>
          <w:spacing w:val="-2"/>
        </w:rPr>
        <w:t>reflecting</w:t>
      </w:r>
      <w:r>
        <w:rPr>
          <w:spacing w:val="-5"/>
        </w:rPr>
        <w:t> </w:t>
      </w:r>
      <w:r>
        <w:rPr>
          <w:spacing w:val="-2"/>
        </w:rPr>
        <w:t>labour</w:t>
      </w:r>
      <w:r>
        <w:rPr>
          <w:spacing w:val="-5"/>
        </w:rPr>
        <w:t> </w:t>
      </w:r>
      <w:r>
        <w:rPr>
          <w:spacing w:val="-2"/>
        </w:rPr>
        <w:t>market</w:t>
      </w:r>
      <w:r>
        <w:rPr>
          <w:spacing w:val="-5"/>
        </w:rPr>
        <w:t> </w:t>
      </w:r>
      <w:r>
        <w:rPr>
          <w:spacing w:val="-2"/>
        </w:rPr>
        <w:t>efficiency </w:t>
      </w:r>
      <w:r>
        <w:rPr>
          <w:spacing w:val="-6"/>
        </w:rPr>
        <w:t>and flexibility are dismal. In the Global Competitiveness </w:t>
      </w:r>
      <w:r>
        <w:rPr/>
        <w:t>Index,</w:t>
      </w:r>
      <w:r>
        <w:rPr>
          <w:spacing w:val="-8"/>
        </w:rPr>
        <w:t> </w:t>
      </w:r>
      <w:r>
        <w:rPr/>
        <w:t>India</w:t>
      </w:r>
      <w:r>
        <w:rPr>
          <w:spacing w:val="-8"/>
        </w:rPr>
        <w:t> </w:t>
      </w:r>
      <w:r>
        <w:rPr/>
        <w:t>ranks</w:t>
      </w:r>
      <w:r>
        <w:rPr>
          <w:spacing w:val="-8"/>
        </w:rPr>
        <w:t> </w:t>
      </w:r>
      <w:r>
        <w:rPr/>
        <w:t>102</w:t>
      </w:r>
      <w:r>
        <w:rPr>
          <w:position w:val="7"/>
          <w:sz w:val="13"/>
        </w:rPr>
        <w:t>nd</w:t>
      </w:r>
      <w:r>
        <w:rPr>
          <w:spacing w:val="15"/>
          <w:position w:val="7"/>
          <w:sz w:val="13"/>
        </w:rPr>
        <w:t> </w:t>
      </w:r>
      <w:r>
        <w:rPr/>
        <w:t>in</w:t>
      </w:r>
      <w:r>
        <w:rPr>
          <w:spacing w:val="-8"/>
        </w:rPr>
        <w:t> </w:t>
      </w:r>
      <w:r>
        <w:rPr>
          <w:i/>
        </w:rPr>
        <w:t>hiring</w:t>
      </w:r>
      <w:r>
        <w:rPr>
          <w:i/>
          <w:spacing w:val="-8"/>
        </w:rPr>
        <w:t> </w:t>
      </w:r>
      <w:r>
        <w:rPr>
          <w:i/>
        </w:rPr>
        <w:t>and</w:t>
      </w:r>
      <w:r>
        <w:rPr>
          <w:i/>
          <w:spacing w:val="-8"/>
        </w:rPr>
        <w:t> </w:t>
      </w:r>
      <w:r>
        <w:rPr>
          <w:i/>
        </w:rPr>
        <w:t>firing</w:t>
      </w:r>
      <w:r>
        <w:rPr>
          <w:i/>
          <w:spacing w:val="-8"/>
        </w:rPr>
        <w:t> </w:t>
      </w:r>
      <w:r>
        <w:rPr>
          <w:i/>
        </w:rPr>
        <w:t>practices </w:t>
      </w:r>
      <w:r>
        <w:rPr/>
        <w:t>and 85</w:t>
      </w:r>
      <w:r>
        <w:rPr>
          <w:position w:val="7"/>
          <w:sz w:val="13"/>
        </w:rPr>
        <w:t>th</w:t>
      </w:r>
      <w:r>
        <w:rPr>
          <w:spacing w:val="24"/>
          <w:position w:val="7"/>
          <w:sz w:val="13"/>
        </w:rPr>
        <w:t> </w:t>
      </w:r>
      <w:r>
        <w:rPr/>
        <w:t>in </w:t>
      </w:r>
      <w:r>
        <w:rPr>
          <w:i/>
        </w:rPr>
        <w:t>employing workers </w:t>
      </w:r>
      <w:r>
        <w:rPr/>
        <w:t>in the Doing Business 2008 report.</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8"/>
        <w:spacing w:before="73"/>
        <w:ind w:left="2006"/>
      </w:pPr>
      <w:r>
        <w:rPr>
          <w:w w:val="90"/>
        </w:rPr>
        <w:t>Figure</w:t>
      </w:r>
      <w:r>
        <w:rPr>
          <w:spacing w:val="1"/>
        </w:rPr>
        <w:t> </w:t>
      </w:r>
      <w:r>
        <w:rPr>
          <w:w w:val="90"/>
        </w:rPr>
        <w:t>61:</w:t>
      </w:r>
      <w:r>
        <w:rPr>
          <w:spacing w:val="2"/>
        </w:rPr>
        <w:t> </w:t>
      </w:r>
      <w:r>
        <w:rPr>
          <w:color w:val="2E614A"/>
          <w:w w:val="90"/>
        </w:rPr>
        <w:t>Regulatory</w:t>
      </w:r>
      <w:r>
        <w:rPr>
          <w:color w:val="2E614A"/>
          <w:spacing w:val="2"/>
        </w:rPr>
        <w:t> </w:t>
      </w:r>
      <w:r>
        <w:rPr>
          <w:color w:val="2E614A"/>
          <w:spacing w:val="-2"/>
          <w:w w:val="90"/>
        </w:rPr>
        <w:t>indices</w:t>
      </w:r>
    </w:p>
    <w:p>
      <w:pPr>
        <w:pStyle w:val="BodyText"/>
        <w:rPr>
          <w:b/>
          <w:sz w:val="10"/>
        </w:rPr>
      </w:pPr>
      <w:r>
        <w:rPr/>
        <mc:AlternateContent>
          <mc:Choice Requires="wps">
            <w:drawing>
              <wp:anchor distT="0" distB="0" distL="0" distR="0" allowOverlap="1" layoutInCell="1" locked="0" behindDoc="1" simplePos="0" relativeHeight="487756288">
                <wp:simplePos x="0" y="0"/>
                <wp:positionH relativeFrom="page">
                  <wp:posOffset>1273865</wp:posOffset>
                </wp:positionH>
                <wp:positionV relativeFrom="paragraph">
                  <wp:posOffset>88279</wp:posOffset>
                </wp:positionV>
                <wp:extent cx="5048885" cy="2250440"/>
                <wp:effectExtent l="0" t="0" r="0" b="0"/>
                <wp:wrapTopAndBottom/>
                <wp:docPr id="2257" name="Group 2257"/>
                <wp:cNvGraphicFramePr>
                  <a:graphicFrameLocks/>
                </wp:cNvGraphicFramePr>
                <a:graphic>
                  <a:graphicData uri="http://schemas.microsoft.com/office/word/2010/wordprocessingGroup">
                    <wpg:wgp>
                      <wpg:cNvPr id="2257" name="Group 2257"/>
                      <wpg:cNvGrpSpPr/>
                      <wpg:grpSpPr>
                        <a:xfrm>
                          <a:off x="0" y="0"/>
                          <a:ext cx="5048885" cy="2250440"/>
                          <a:chExt cx="5048885" cy="2250440"/>
                        </a:xfrm>
                      </wpg:grpSpPr>
                      <wps:wsp>
                        <wps:cNvPr id="2258" name="Graphic 2258"/>
                        <wps:cNvSpPr/>
                        <wps:spPr>
                          <a:xfrm>
                            <a:off x="283446" y="224929"/>
                            <a:ext cx="33020" cy="1877695"/>
                          </a:xfrm>
                          <a:custGeom>
                            <a:avLst/>
                            <a:gdLst/>
                            <a:ahLst/>
                            <a:cxnLst/>
                            <a:rect l="l" t="t" r="r" b="b"/>
                            <a:pathLst>
                              <a:path w="33020" h="1877695">
                                <a:moveTo>
                                  <a:pt x="32918" y="0"/>
                                </a:moveTo>
                                <a:lnTo>
                                  <a:pt x="26568" y="0"/>
                                </a:lnTo>
                                <a:lnTo>
                                  <a:pt x="0" y="0"/>
                                </a:lnTo>
                                <a:lnTo>
                                  <a:pt x="0" y="6350"/>
                                </a:lnTo>
                                <a:lnTo>
                                  <a:pt x="26568" y="6350"/>
                                </a:lnTo>
                                <a:lnTo>
                                  <a:pt x="26568" y="202984"/>
                                </a:lnTo>
                                <a:lnTo>
                                  <a:pt x="0" y="202984"/>
                                </a:lnTo>
                                <a:lnTo>
                                  <a:pt x="0" y="209334"/>
                                </a:lnTo>
                                <a:lnTo>
                                  <a:pt x="26568" y="209334"/>
                                </a:lnTo>
                                <a:lnTo>
                                  <a:pt x="26568" y="405968"/>
                                </a:lnTo>
                                <a:lnTo>
                                  <a:pt x="0" y="405968"/>
                                </a:lnTo>
                                <a:lnTo>
                                  <a:pt x="0" y="412318"/>
                                </a:lnTo>
                                <a:lnTo>
                                  <a:pt x="26568" y="412318"/>
                                </a:lnTo>
                                <a:lnTo>
                                  <a:pt x="26568" y="617778"/>
                                </a:lnTo>
                                <a:lnTo>
                                  <a:pt x="0" y="617778"/>
                                </a:lnTo>
                                <a:lnTo>
                                  <a:pt x="0" y="624128"/>
                                </a:lnTo>
                                <a:lnTo>
                                  <a:pt x="26568" y="624128"/>
                                </a:lnTo>
                                <a:lnTo>
                                  <a:pt x="26568" y="820762"/>
                                </a:lnTo>
                                <a:lnTo>
                                  <a:pt x="0" y="820762"/>
                                </a:lnTo>
                                <a:lnTo>
                                  <a:pt x="0" y="827112"/>
                                </a:lnTo>
                                <a:lnTo>
                                  <a:pt x="26568" y="827112"/>
                                </a:lnTo>
                                <a:lnTo>
                                  <a:pt x="26568" y="1023747"/>
                                </a:lnTo>
                                <a:lnTo>
                                  <a:pt x="0" y="1023747"/>
                                </a:lnTo>
                                <a:lnTo>
                                  <a:pt x="0" y="1030097"/>
                                </a:lnTo>
                                <a:lnTo>
                                  <a:pt x="26568" y="1030097"/>
                                </a:lnTo>
                                <a:lnTo>
                                  <a:pt x="26568" y="1226718"/>
                                </a:lnTo>
                                <a:lnTo>
                                  <a:pt x="0" y="1226718"/>
                                </a:lnTo>
                                <a:lnTo>
                                  <a:pt x="0" y="1233068"/>
                                </a:lnTo>
                                <a:lnTo>
                                  <a:pt x="26568" y="1233068"/>
                                </a:lnTo>
                                <a:lnTo>
                                  <a:pt x="26568" y="1438529"/>
                                </a:lnTo>
                                <a:lnTo>
                                  <a:pt x="0" y="1438529"/>
                                </a:lnTo>
                                <a:lnTo>
                                  <a:pt x="0" y="1444879"/>
                                </a:lnTo>
                                <a:lnTo>
                                  <a:pt x="26568" y="1444879"/>
                                </a:lnTo>
                                <a:lnTo>
                                  <a:pt x="26568" y="1641500"/>
                                </a:lnTo>
                                <a:lnTo>
                                  <a:pt x="0" y="1641500"/>
                                </a:lnTo>
                                <a:lnTo>
                                  <a:pt x="0" y="1647850"/>
                                </a:lnTo>
                                <a:lnTo>
                                  <a:pt x="26568" y="1647850"/>
                                </a:lnTo>
                                <a:lnTo>
                                  <a:pt x="26568" y="1844509"/>
                                </a:lnTo>
                                <a:lnTo>
                                  <a:pt x="0" y="1844509"/>
                                </a:lnTo>
                                <a:lnTo>
                                  <a:pt x="0" y="1850859"/>
                                </a:lnTo>
                                <a:lnTo>
                                  <a:pt x="26568" y="1850859"/>
                                </a:lnTo>
                                <a:lnTo>
                                  <a:pt x="26568" y="1877326"/>
                                </a:lnTo>
                                <a:lnTo>
                                  <a:pt x="32918" y="1877326"/>
                                </a:lnTo>
                                <a:lnTo>
                                  <a:pt x="32918" y="0"/>
                                </a:lnTo>
                                <a:close/>
                              </a:path>
                            </a:pathLst>
                          </a:custGeom>
                          <a:solidFill>
                            <a:srgbClr val="000000"/>
                          </a:solidFill>
                        </wps:spPr>
                        <wps:bodyPr wrap="square" lIns="0" tIns="0" rIns="0" bIns="0" rtlCol="0">
                          <a:prstTxWarp prst="textNoShape">
                            <a:avLst/>
                          </a:prstTxWarp>
                          <a:noAutofit/>
                        </wps:bodyPr>
                      </wps:wsp>
                      <wps:wsp>
                        <wps:cNvPr id="2259" name="Graphic 2259"/>
                        <wps:cNvSpPr/>
                        <wps:spPr>
                          <a:xfrm>
                            <a:off x="402220" y="1869602"/>
                            <a:ext cx="129539" cy="203200"/>
                          </a:xfrm>
                          <a:custGeom>
                            <a:avLst/>
                            <a:gdLst/>
                            <a:ahLst/>
                            <a:cxnLst/>
                            <a:rect l="l" t="t" r="r" b="b"/>
                            <a:pathLst>
                              <a:path w="129539" h="203200">
                                <a:moveTo>
                                  <a:pt x="129473" y="0"/>
                                </a:moveTo>
                                <a:lnTo>
                                  <a:pt x="0" y="0"/>
                                </a:lnTo>
                                <a:lnTo>
                                  <a:pt x="0" y="203001"/>
                                </a:lnTo>
                                <a:lnTo>
                                  <a:pt x="129473" y="203001"/>
                                </a:lnTo>
                                <a:lnTo>
                                  <a:pt x="129473" y="0"/>
                                </a:lnTo>
                                <a:close/>
                              </a:path>
                            </a:pathLst>
                          </a:custGeom>
                          <a:solidFill>
                            <a:srgbClr val="9CBF3B"/>
                          </a:solidFill>
                        </wps:spPr>
                        <wps:bodyPr wrap="square" lIns="0" tIns="0" rIns="0" bIns="0" rtlCol="0">
                          <a:prstTxWarp prst="textNoShape">
                            <a:avLst/>
                          </a:prstTxWarp>
                          <a:noAutofit/>
                        </wps:bodyPr>
                      </wps:wsp>
                      <wps:wsp>
                        <wps:cNvPr id="2260" name="Graphic 2260"/>
                        <wps:cNvSpPr/>
                        <wps:spPr>
                          <a:xfrm>
                            <a:off x="531694" y="1560734"/>
                            <a:ext cx="129539" cy="512445"/>
                          </a:xfrm>
                          <a:custGeom>
                            <a:avLst/>
                            <a:gdLst/>
                            <a:ahLst/>
                            <a:cxnLst/>
                            <a:rect l="l" t="t" r="r" b="b"/>
                            <a:pathLst>
                              <a:path w="129539" h="512445">
                                <a:moveTo>
                                  <a:pt x="129480" y="0"/>
                                </a:moveTo>
                                <a:lnTo>
                                  <a:pt x="0" y="0"/>
                                </a:lnTo>
                                <a:lnTo>
                                  <a:pt x="0" y="511869"/>
                                </a:lnTo>
                                <a:lnTo>
                                  <a:pt x="129480" y="511869"/>
                                </a:lnTo>
                                <a:lnTo>
                                  <a:pt x="129480" y="0"/>
                                </a:lnTo>
                                <a:close/>
                              </a:path>
                            </a:pathLst>
                          </a:custGeom>
                          <a:solidFill>
                            <a:srgbClr val="E3C626"/>
                          </a:solidFill>
                        </wps:spPr>
                        <wps:bodyPr wrap="square" lIns="0" tIns="0" rIns="0" bIns="0" rtlCol="0">
                          <a:prstTxWarp prst="textNoShape">
                            <a:avLst/>
                          </a:prstTxWarp>
                          <a:noAutofit/>
                        </wps:bodyPr>
                      </wps:wsp>
                      <wps:wsp>
                        <wps:cNvPr id="2261" name="Graphic 2261"/>
                        <wps:cNvSpPr/>
                        <wps:spPr>
                          <a:xfrm>
                            <a:off x="661174" y="1966688"/>
                            <a:ext cx="129539" cy="106045"/>
                          </a:xfrm>
                          <a:custGeom>
                            <a:avLst/>
                            <a:gdLst/>
                            <a:ahLst/>
                            <a:cxnLst/>
                            <a:rect l="l" t="t" r="r" b="b"/>
                            <a:pathLst>
                              <a:path w="129539" h="106045">
                                <a:moveTo>
                                  <a:pt x="129480" y="0"/>
                                </a:moveTo>
                                <a:lnTo>
                                  <a:pt x="0" y="0"/>
                                </a:lnTo>
                                <a:lnTo>
                                  <a:pt x="0" y="105915"/>
                                </a:lnTo>
                                <a:lnTo>
                                  <a:pt x="129480" y="105915"/>
                                </a:lnTo>
                                <a:lnTo>
                                  <a:pt x="129480" y="0"/>
                                </a:lnTo>
                                <a:close/>
                              </a:path>
                            </a:pathLst>
                          </a:custGeom>
                          <a:solidFill>
                            <a:srgbClr val="2F7D41"/>
                          </a:solidFill>
                        </wps:spPr>
                        <wps:bodyPr wrap="square" lIns="0" tIns="0" rIns="0" bIns="0" rtlCol="0">
                          <a:prstTxWarp prst="textNoShape">
                            <a:avLst/>
                          </a:prstTxWarp>
                          <a:noAutofit/>
                        </wps:bodyPr>
                      </wps:wsp>
                      <wps:wsp>
                        <wps:cNvPr id="2262" name="Graphic 2262"/>
                        <wps:cNvSpPr/>
                        <wps:spPr>
                          <a:xfrm>
                            <a:off x="976777" y="1781347"/>
                            <a:ext cx="129539" cy="291465"/>
                          </a:xfrm>
                          <a:custGeom>
                            <a:avLst/>
                            <a:gdLst/>
                            <a:ahLst/>
                            <a:cxnLst/>
                            <a:rect l="l" t="t" r="r" b="b"/>
                            <a:pathLst>
                              <a:path w="129539" h="291465">
                                <a:moveTo>
                                  <a:pt x="129480" y="0"/>
                                </a:moveTo>
                                <a:lnTo>
                                  <a:pt x="0" y="0"/>
                                </a:lnTo>
                                <a:lnTo>
                                  <a:pt x="0" y="291256"/>
                                </a:lnTo>
                                <a:lnTo>
                                  <a:pt x="129480" y="291256"/>
                                </a:lnTo>
                                <a:lnTo>
                                  <a:pt x="129480" y="0"/>
                                </a:lnTo>
                                <a:close/>
                              </a:path>
                            </a:pathLst>
                          </a:custGeom>
                          <a:solidFill>
                            <a:srgbClr val="9CBF3B"/>
                          </a:solidFill>
                        </wps:spPr>
                        <wps:bodyPr wrap="square" lIns="0" tIns="0" rIns="0" bIns="0" rtlCol="0">
                          <a:prstTxWarp prst="textNoShape">
                            <a:avLst/>
                          </a:prstTxWarp>
                          <a:noAutofit/>
                        </wps:bodyPr>
                      </wps:wsp>
                      <wps:wsp>
                        <wps:cNvPr id="2263" name="Graphic 2263"/>
                        <wps:cNvSpPr/>
                        <wps:spPr>
                          <a:xfrm>
                            <a:off x="1106257" y="2001985"/>
                            <a:ext cx="121920" cy="71120"/>
                          </a:xfrm>
                          <a:custGeom>
                            <a:avLst/>
                            <a:gdLst/>
                            <a:ahLst/>
                            <a:cxnLst/>
                            <a:rect l="l" t="t" r="r" b="b"/>
                            <a:pathLst>
                              <a:path w="121920" h="71120">
                                <a:moveTo>
                                  <a:pt x="121387" y="0"/>
                                </a:moveTo>
                                <a:lnTo>
                                  <a:pt x="0" y="0"/>
                                </a:lnTo>
                                <a:lnTo>
                                  <a:pt x="0" y="70618"/>
                                </a:lnTo>
                                <a:lnTo>
                                  <a:pt x="121387" y="70618"/>
                                </a:lnTo>
                                <a:lnTo>
                                  <a:pt x="121387" y="0"/>
                                </a:lnTo>
                                <a:close/>
                              </a:path>
                            </a:pathLst>
                          </a:custGeom>
                          <a:solidFill>
                            <a:srgbClr val="E3C626"/>
                          </a:solidFill>
                        </wps:spPr>
                        <wps:bodyPr wrap="square" lIns="0" tIns="0" rIns="0" bIns="0" rtlCol="0">
                          <a:prstTxWarp prst="textNoShape">
                            <a:avLst/>
                          </a:prstTxWarp>
                          <a:noAutofit/>
                        </wps:bodyPr>
                      </wps:wsp>
                      <wps:wsp>
                        <wps:cNvPr id="2264" name="Graphic 2264"/>
                        <wps:cNvSpPr/>
                        <wps:spPr>
                          <a:xfrm>
                            <a:off x="1227645" y="2019646"/>
                            <a:ext cx="129539" cy="53340"/>
                          </a:xfrm>
                          <a:custGeom>
                            <a:avLst/>
                            <a:gdLst/>
                            <a:ahLst/>
                            <a:cxnLst/>
                            <a:rect l="l" t="t" r="r" b="b"/>
                            <a:pathLst>
                              <a:path w="129539" h="53340">
                                <a:moveTo>
                                  <a:pt x="129486" y="0"/>
                                </a:moveTo>
                                <a:lnTo>
                                  <a:pt x="0" y="0"/>
                                </a:lnTo>
                                <a:lnTo>
                                  <a:pt x="0" y="52957"/>
                                </a:lnTo>
                                <a:lnTo>
                                  <a:pt x="129486" y="52957"/>
                                </a:lnTo>
                                <a:lnTo>
                                  <a:pt x="129486" y="0"/>
                                </a:lnTo>
                                <a:close/>
                              </a:path>
                            </a:pathLst>
                          </a:custGeom>
                          <a:solidFill>
                            <a:srgbClr val="2F7D41"/>
                          </a:solidFill>
                        </wps:spPr>
                        <wps:bodyPr wrap="square" lIns="0" tIns="0" rIns="0" bIns="0" rtlCol="0">
                          <a:prstTxWarp prst="textNoShape">
                            <a:avLst/>
                          </a:prstTxWarp>
                          <a:noAutofit/>
                        </wps:bodyPr>
                      </wps:wsp>
                      <wps:wsp>
                        <wps:cNvPr id="2265" name="Graphic 2265"/>
                        <wps:cNvSpPr/>
                        <wps:spPr>
                          <a:xfrm>
                            <a:off x="1543254" y="1728414"/>
                            <a:ext cx="129539" cy="344805"/>
                          </a:xfrm>
                          <a:custGeom>
                            <a:avLst/>
                            <a:gdLst/>
                            <a:ahLst/>
                            <a:cxnLst/>
                            <a:rect l="l" t="t" r="r" b="b"/>
                            <a:pathLst>
                              <a:path w="129539" h="344805">
                                <a:moveTo>
                                  <a:pt x="129474" y="0"/>
                                </a:moveTo>
                                <a:lnTo>
                                  <a:pt x="0" y="0"/>
                                </a:lnTo>
                                <a:lnTo>
                                  <a:pt x="0" y="344189"/>
                                </a:lnTo>
                                <a:lnTo>
                                  <a:pt x="129474" y="344189"/>
                                </a:lnTo>
                                <a:lnTo>
                                  <a:pt x="129474" y="0"/>
                                </a:lnTo>
                                <a:close/>
                              </a:path>
                            </a:pathLst>
                          </a:custGeom>
                          <a:solidFill>
                            <a:srgbClr val="9CBF3B"/>
                          </a:solidFill>
                        </wps:spPr>
                        <wps:bodyPr wrap="square" lIns="0" tIns="0" rIns="0" bIns="0" rtlCol="0">
                          <a:prstTxWarp prst="textNoShape">
                            <a:avLst/>
                          </a:prstTxWarp>
                          <a:noAutofit/>
                        </wps:bodyPr>
                      </wps:wsp>
                      <wps:wsp>
                        <wps:cNvPr id="2266" name="Graphic 2266"/>
                        <wps:cNvSpPr/>
                        <wps:spPr>
                          <a:xfrm>
                            <a:off x="1672728" y="1949027"/>
                            <a:ext cx="129539" cy="123825"/>
                          </a:xfrm>
                          <a:custGeom>
                            <a:avLst/>
                            <a:gdLst/>
                            <a:ahLst/>
                            <a:cxnLst/>
                            <a:rect l="l" t="t" r="r" b="b"/>
                            <a:pathLst>
                              <a:path w="129539" h="123825">
                                <a:moveTo>
                                  <a:pt x="129486" y="0"/>
                                </a:moveTo>
                                <a:lnTo>
                                  <a:pt x="0" y="0"/>
                                </a:lnTo>
                                <a:lnTo>
                                  <a:pt x="0" y="123576"/>
                                </a:lnTo>
                                <a:lnTo>
                                  <a:pt x="129486" y="123576"/>
                                </a:lnTo>
                                <a:lnTo>
                                  <a:pt x="129486" y="0"/>
                                </a:lnTo>
                                <a:close/>
                              </a:path>
                            </a:pathLst>
                          </a:custGeom>
                          <a:solidFill>
                            <a:srgbClr val="E3C626"/>
                          </a:solidFill>
                        </wps:spPr>
                        <wps:bodyPr wrap="square" lIns="0" tIns="0" rIns="0" bIns="0" rtlCol="0">
                          <a:prstTxWarp prst="textNoShape">
                            <a:avLst/>
                          </a:prstTxWarp>
                          <a:noAutofit/>
                        </wps:bodyPr>
                      </wps:wsp>
                      <wps:wsp>
                        <wps:cNvPr id="2267" name="Graphic 2267"/>
                        <wps:cNvSpPr/>
                        <wps:spPr>
                          <a:xfrm>
                            <a:off x="1802214" y="1675456"/>
                            <a:ext cx="129539" cy="397510"/>
                          </a:xfrm>
                          <a:custGeom>
                            <a:avLst/>
                            <a:gdLst/>
                            <a:ahLst/>
                            <a:cxnLst/>
                            <a:rect l="l" t="t" r="r" b="b"/>
                            <a:pathLst>
                              <a:path w="129539" h="397510">
                                <a:moveTo>
                                  <a:pt x="129475" y="0"/>
                                </a:moveTo>
                                <a:lnTo>
                                  <a:pt x="0" y="0"/>
                                </a:lnTo>
                                <a:lnTo>
                                  <a:pt x="0" y="397147"/>
                                </a:lnTo>
                                <a:lnTo>
                                  <a:pt x="129475" y="397147"/>
                                </a:lnTo>
                                <a:lnTo>
                                  <a:pt x="129475" y="0"/>
                                </a:lnTo>
                                <a:close/>
                              </a:path>
                            </a:pathLst>
                          </a:custGeom>
                          <a:solidFill>
                            <a:srgbClr val="2F7D41"/>
                          </a:solidFill>
                        </wps:spPr>
                        <wps:bodyPr wrap="square" lIns="0" tIns="0" rIns="0" bIns="0" rtlCol="0">
                          <a:prstTxWarp prst="textNoShape">
                            <a:avLst/>
                          </a:prstTxWarp>
                          <a:noAutofit/>
                        </wps:bodyPr>
                      </wps:wsp>
                      <wps:wsp>
                        <wps:cNvPr id="2268" name="Graphic 2268"/>
                        <wps:cNvSpPr/>
                        <wps:spPr>
                          <a:xfrm>
                            <a:off x="2117817" y="1287138"/>
                            <a:ext cx="129539" cy="785495"/>
                          </a:xfrm>
                          <a:custGeom>
                            <a:avLst/>
                            <a:gdLst/>
                            <a:ahLst/>
                            <a:cxnLst/>
                            <a:rect l="l" t="t" r="r" b="b"/>
                            <a:pathLst>
                              <a:path w="129539" h="785495">
                                <a:moveTo>
                                  <a:pt x="129486" y="0"/>
                                </a:moveTo>
                                <a:lnTo>
                                  <a:pt x="0" y="0"/>
                                </a:lnTo>
                                <a:lnTo>
                                  <a:pt x="0" y="785466"/>
                                </a:lnTo>
                                <a:lnTo>
                                  <a:pt x="129486" y="785466"/>
                                </a:lnTo>
                                <a:lnTo>
                                  <a:pt x="129486" y="0"/>
                                </a:lnTo>
                                <a:close/>
                              </a:path>
                            </a:pathLst>
                          </a:custGeom>
                          <a:solidFill>
                            <a:srgbClr val="9CBF3B"/>
                          </a:solidFill>
                        </wps:spPr>
                        <wps:bodyPr wrap="square" lIns="0" tIns="0" rIns="0" bIns="0" rtlCol="0">
                          <a:prstTxWarp prst="textNoShape">
                            <a:avLst/>
                          </a:prstTxWarp>
                          <a:noAutofit/>
                        </wps:bodyPr>
                      </wps:wsp>
                      <wps:wsp>
                        <wps:cNvPr id="2269" name="Graphic 2269"/>
                        <wps:cNvSpPr/>
                        <wps:spPr>
                          <a:xfrm>
                            <a:off x="2247304" y="1684286"/>
                            <a:ext cx="129539" cy="388620"/>
                          </a:xfrm>
                          <a:custGeom>
                            <a:avLst/>
                            <a:gdLst/>
                            <a:ahLst/>
                            <a:cxnLst/>
                            <a:rect l="l" t="t" r="r" b="b"/>
                            <a:pathLst>
                              <a:path w="129539" h="388620">
                                <a:moveTo>
                                  <a:pt x="129474" y="0"/>
                                </a:moveTo>
                                <a:lnTo>
                                  <a:pt x="0" y="0"/>
                                </a:lnTo>
                                <a:lnTo>
                                  <a:pt x="0" y="388317"/>
                                </a:lnTo>
                                <a:lnTo>
                                  <a:pt x="129474" y="388317"/>
                                </a:lnTo>
                                <a:lnTo>
                                  <a:pt x="129474" y="0"/>
                                </a:lnTo>
                                <a:close/>
                              </a:path>
                            </a:pathLst>
                          </a:custGeom>
                          <a:solidFill>
                            <a:srgbClr val="E3C626"/>
                          </a:solidFill>
                        </wps:spPr>
                        <wps:bodyPr wrap="square" lIns="0" tIns="0" rIns="0" bIns="0" rtlCol="0">
                          <a:prstTxWarp prst="textNoShape">
                            <a:avLst/>
                          </a:prstTxWarp>
                          <a:noAutofit/>
                        </wps:bodyPr>
                      </wps:wsp>
                      <wps:wsp>
                        <wps:cNvPr id="2270" name="Graphic 2270"/>
                        <wps:cNvSpPr/>
                        <wps:spPr>
                          <a:xfrm>
                            <a:off x="2376778" y="1031204"/>
                            <a:ext cx="129539" cy="1041400"/>
                          </a:xfrm>
                          <a:custGeom>
                            <a:avLst/>
                            <a:gdLst/>
                            <a:ahLst/>
                            <a:cxnLst/>
                            <a:rect l="l" t="t" r="r" b="b"/>
                            <a:pathLst>
                              <a:path w="129539" h="1041400">
                                <a:moveTo>
                                  <a:pt x="129481" y="0"/>
                                </a:moveTo>
                                <a:lnTo>
                                  <a:pt x="0" y="0"/>
                                </a:lnTo>
                                <a:lnTo>
                                  <a:pt x="0" y="1041400"/>
                                </a:lnTo>
                                <a:lnTo>
                                  <a:pt x="129481" y="1041400"/>
                                </a:lnTo>
                                <a:lnTo>
                                  <a:pt x="129481" y="0"/>
                                </a:lnTo>
                                <a:close/>
                              </a:path>
                            </a:pathLst>
                          </a:custGeom>
                          <a:solidFill>
                            <a:srgbClr val="2F7D41"/>
                          </a:solidFill>
                        </wps:spPr>
                        <wps:bodyPr wrap="square" lIns="0" tIns="0" rIns="0" bIns="0" rtlCol="0">
                          <a:prstTxWarp prst="textNoShape">
                            <a:avLst/>
                          </a:prstTxWarp>
                          <a:noAutofit/>
                        </wps:bodyPr>
                      </wps:wsp>
                      <wps:wsp>
                        <wps:cNvPr id="2271" name="Graphic 2271"/>
                        <wps:cNvSpPr/>
                        <wps:spPr>
                          <a:xfrm>
                            <a:off x="2692381" y="1154756"/>
                            <a:ext cx="129539" cy="918210"/>
                          </a:xfrm>
                          <a:custGeom>
                            <a:avLst/>
                            <a:gdLst/>
                            <a:ahLst/>
                            <a:cxnLst/>
                            <a:rect l="l" t="t" r="r" b="b"/>
                            <a:pathLst>
                              <a:path w="129539" h="918210">
                                <a:moveTo>
                                  <a:pt x="129492" y="0"/>
                                </a:moveTo>
                                <a:lnTo>
                                  <a:pt x="0" y="0"/>
                                </a:lnTo>
                                <a:lnTo>
                                  <a:pt x="0" y="917847"/>
                                </a:lnTo>
                                <a:lnTo>
                                  <a:pt x="129492" y="917847"/>
                                </a:lnTo>
                                <a:lnTo>
                                  <a:pt x="129492" y="0"/>
                                </a:lnTo>
                                <a:close/>
                              </a:path>
                            </a:pathLst>
                          </a:custGeom>
                          <a:solidFill>
                            <a:srgbClr val="9CBF3B"/>
                          </a:solidFill>
                        </wps:spPr>
                        <wps:bodyPr wrap="square" lIns="0" tIns="0" rIns="0" bIns="0" rtlCol="0">
                          <a:prstTxWarp prst="textNoShape">
                            <a:avLst/>
                          </a:prstTxWarp>
                          <a:noAutofit/>
                        </wps:bodyPr>
                      </wps:wsp>
                      <wps:wsp>
                        <wps:cNvPr id="2272" name="Graphic 2272"/>
                        <wps:cNvSpPr/>
                        <wps:spPr>
                          <a:xfrm>
                            <a:off x="2821873" y="1393054"/>
                            <a:ext cx="121920" cy="680085"/>
                          </a:xfrm>
                          <a:custGeom>
                            <a:avLst/>
                            <a:gdLst/>
                            <a:ahLst/>
                            <a:cxnLst/>
                            <a:rect l="l" t="t" r="r" b="b"/>
                            <a:pathLst>
                              <a:path w="121920" h="680085">
                                <a:moveTo>
                                  <a:pt x="121381" y="0"/>
                                </a:moveTo>
                                <a:lnTo>
                                  <a:pt x="0" y="0"/>
                                </a:lnTo>
                                <a:lnTo>
                                  <a:pt x="0" y="679549"/>
                                </a:lnTo>
                                <a:lnTo>
                                  <a:pt x="121381" y="679549"/>
                                </a:lnTo>
                                <a:lnTo>
                                  <a:pt x="121381" y="0"/>
                                </a:lnTo>
                                <a:close/>
                              </a:path>
                            </a:pathLst>
                          </a:custGeom>
                          <a:solidFill>
                            <a:srgbClr val="E3C626"/>
                          </a:solidFill>
                        </wps:spPr>
                        <wps:bodyPr wrap="square" lIns="0" tIns="0" rIns="0" bIns="0" rtlCol="0">
                          <a:prstTxWarp prst="textNoShape">
                            <a:avLst/>
                          </a:prstTxWarp>
                          <a:noAutofit/>
                        </wps:bodyPr>
                      </wps:wsp>
                      <wps:wsp>
                        <wps:cNvPr id="2273" name="Graphic 2273"/>
                        <wps:cNvSpPr/>
                        <wps:spPr>
                          <a:xfrm>
                            <a:off x="2943255" y="1278308"/>
                            <a:ext cx="129539" cy="794385"/>
                          </a:xfrm>
                          <a:custGeom>
                            <a:avLst/>
                            <a:gdLst/>
                            <a:ahLst/>
                            <a:cxnLst/>
                            <a:rect l="l" t="t" r="r" b="b"/>
                            <a:pathLst>
                              <a:path w="129539" h="794385">
                                <a:moveTo>
                                  <a:pt x="129481" y="0"/>
                                </a:moveTo>
                                <a:lnTo>
                                  <a:pt x="0" y="0"/>
                                </a:lnTo>
                                <a:lnTo>
                                  <a:pt x="0" y="794295"/>
                                </a:lnTo>
                                <a:lnTo>
                                  <a:pt x="129481" y="794295"/>
                                </a:lnTo>
                                <a:lnTo>
                                  <a:pt x="129481" y="0"/>
                                </a:lnTo>
                                <a:close/>
                              </a:path>
                            </a:pathLst>
                          </a:custGeom>
                          <a:solidFill>
                            <a:srgbClr val="2F7D41"/>
                          </a:solidFill>
                        </wps:spPr>
                        <wps:bodyPr wrap="square" lIns="0" tIns="0" rIns="0" bIns="0" rtlCol="0">
                          <a:prstTxWarp prst="textNoShape">
                            <a:avLst/>
                          </a:prstTxWarp>
                          <a:noAutofit/>
                        </wps:bodyPr>
                      </wps:wsp>
                      <wps:wsp>
                        <wps:cNvPr id="2274" name="Graphic 2274"/>
                        <wps:cNvSpPr/>
                        <wps:spPr>
                          <a:xfrm>
                            <a:off x="3258846" y="854694"/>
                            <a:ext cx="129539" cy="1217930"/>
                          </a:xfrm>
                          <a:custGeom>
                            <a:avLst/>
                            <a:gdLst/>
                            <a:ahLst/>
                            <a:cxnLst/>
                            <a:rect l="l" t="t" r="r" b="b"/>
                            <a:pathLst>
                              <a:path w="129539" h="1217930">
                                <a:moveTo>
                                  <a:pt x="129491" y="0"/>
                                </a:moveTo>
                                <a:lnTo>
                                  <a:pt x="0" y="0"/>
                                </a:lnTo>
                                <a:lnTo>
                                  <a:pt x="0" y="1217909"/>
                                </a:lnTo>
                                <a:lnTo>
                                  <a:pt x="129491" y="1217909"/>
                                </a:lnTo>
                                <a:lnTo>
                                  <a:pt x="129491" y="0"/>
                                </a:lnTo>
                                <a:close/>
                              </a:path>
                            </a:pathLst>
                          </a:custGeom>
                          <a:solidFill>
                            <a:srgbClr val="9CBF3B"/>
                          </a:solidFill>
                        </wps:spPr>
                        <wps:bodyPr wrap="square" lIns="0" tIns="0" rIns="0" bIns="0" rtlCol="0">
                          <a:prstTxWarp prst="textNoShape">
                            <a:avLst/>
                          </a:prstTxWarp>
                          <a:noAutofit/>
                        </wps:bodyPr>
                      </wps:wsp>
                      <wps:wsp>
                        <wps:cNvPr id="2275" name="Graphic 2275"/>
                        <wps:cNvSpPr/>
                        <wps:spPr>
                          <a:xfrm>
                            <a:off x="3388338" y="863525"/>
                            <a:ext cx="129539" cy="1209675"/>
                          </a:xfrm>
                          <a:custGeom>
                            <a:avLst/>
                            <a:gdLst/>
                            <a:ahLst/>
                            <a:cxnLst/>
                            <a:rect l="l" t="t" r="r" b="b"/>
                            <a:pathLst>
                              <a:path w="129539" h="1209675">
                                <a:moveTo>
                                  <a:pt x="129481" y="0"/>
                                </a:moveTo>
                                <a:lnTo>
                                  <a:pt x="0" y="0"/>
                                </a:lnTo>
                                <a:lnTo>
                                  <a:pt x="0" y="1209078"/>
                                </a:lnTo>
                                <a:lnTo>
                                  <a:pt x="129481" y="1209078"/>
                                </a:lnTo>
                                <a:lnTo>
                                  <a:pt x="129481" y="0"/>
                                </a:lnTo>
                                <a:close/>
                              </a:path>
                            </a:pathLst>
                          </a:custGeom>
                          <a:solidFill>
                            <a:srgbClr val="E3C626"/>
                          </a:solidFill>
                        </wps:spPr>
                        <wps:bodyPr wrap="square" lIns="0" tIns="0" rIns="0" bIns="0" rtlCol="0">
                          <a:prstTxWarp prst="textNoShape">
                            <a:avLst/>
                          </a:prstTxWarp>
                          <a:noAutofit/>
                        </wps:bodyPr>
                      </wps:wsp>
                      <wps:wsp>
                        <wps:cNvPr id="2276" name="Graphic 2276"/>
                        <wps:cNvSpPr/>
                        <wps:spPr>
                          <a:xfrm>
                            <a:off x="3517820" y="1419521"/>
                            <a:ext cx="129539" cy="653415"/>
                          </a:xfrm>
                          <a:custGeom>
                            <a:avLst/>
                            <a:gdLst/>
                            <a:ahLst/>
                            <a:cxnLst/>
                            <a:rect l="l" t="t" r="r" b="b"/>
                            <a:pathLst>
                              <a:path w="129539" h="653415">
                                <a:moveTo>
                                  <a:pt x="129480" y="0"/>
                                </a:moveTo>
                                <a:lnTo>
                                  <a:pt x="0" y="0"/>
                                </a:lnTo>
                                <a:lnTo>
                                  <a:pt x="0" y="653082"/>
                                </a:lnTo>
                                <a:lnTo>
                                  <a:pt x="129480" y="653082"/>
                                </a:lnTo>
                                <a:lnTo>
                                  <a:pt x="129480" y="0"/>
                                </a:lnTo>
                                <a:close/>
                              </a:path>
                            </a:pathLst>
                          </a:custGeom>
                          <a:solidFill>
                            <a:srgbClr val="2F7D41"/>
                          </a:solidFill>
                        </wps:spPr>
                        <wps:bodyPr wrap="square" lIns="0" tIns="0" rIns="0" bIns="0" rtlCol="0">
                          <a:prstTxWarp prst="textNoShape">
                            <a:avLst/>
                          </a:prstTxWarp>
                          <a:noAutofit/>
                        </wps:bodyPr>
                      </wps:wsp>
                      <wps:wsp>
                        <wps:cNvPr id="2277" name="Graphic 2277"/>
                        <wps:cNvSpPr/>
                        <wps:spPr>
                          <a:xfrm>
                            <a:off x="3833421" y="519340"/>
                            <a:ext cx="129539" cy="1553845"/>
                          </a:xfrm>
                          <a:custGeom>
                            <a:avLst/>
                            <a:gdLst/>
                            <a:ahLst/>
                            <a:cxnLst/>
                            <a:rect l="l" t="t" r="r" b="b"/>
                            <a:pathLst>
                              <a:path w="129539" h="1553845">
                                <a:moveTo>
                                  <a:pt x="129481" y="0"/>
                                </a:moveTo>
                                <a:lnTo>
                                  <a:pt x="0" y="0"/>
                                </a:lnTo>
                                <a:lnTo>
                                  <a:pt x="0" y="1553263"/>
                                </a:lnTo>
                                <a:lnTo>
                                  <a:pt x="129481" y="1553263"/>
                                </a:lnTo>
                                <a:lnTo>
                                  <a:pt x="129481" y="0"/>
                                </a:lnTo>
                                <a:close/>
                              </a:path>
                            </a:pathLst>
                          </a:custGeom>
                          <a:solidFill>
                            <a:srgbClr val="9CBF3B"/>
                          </a:solidFill>
                        </wps:spPr>
                        <wps:bodyPr wrap="square" lIns="0" tIns="0" rIns="0" bIns="0" rtlCol="0">
                          <a:prstTxWarp prst="textNoShape">
                            <a:avLst/>
                          </a:prstTxWarp>
                          <a:noAutofit/>
                        </wps:bodyPr>
                      </wps:wsp>
                      <wps:wsp>
                        <wps:cNvPr id="2278" name="Graphic 2278"/>
                        <wps:cNvSpPr/>
                        <wps:spPr>
                          <a:xfrm>
                            <a:off x="3962903" y="801748"/>
                            <a:ext cx="121920" cy="1271270"/>
                          </a:xfrm>
                          <a:custGeom>
                            <a:avLst/>
                            <a:gdLst/>
                            <a:ahLst/>
                            <a:cxnLst/>
                            <a:rect l="l" t="t" r="r" b="b"/>
                            <a:pathLst>
                              <a:path w="121920" h="1271270">
                                <a:moveTo>
                                  <a:pt x="121393" y="0"/>
                                </a:moveTo>
                                <a:lnTo>
                                  <a:pt x="0" y="0"/>
                                </a:lnTo>
                                <a:lnTo>
                                  <a:pt x="0" y="1270855"/>
                                </a:lnTo>
                                <a:lnTo>
                                  <a:pt x="121393" y="1270855"/>
                                </a:lnTo>
                                <a:lnTo>
                                  <a:pt x="121393" y="0"/>
                                </a:lnTo>
                                <a:close/>
                              </a:path>
                            </a:pathLst>
                          </a:custGeom>
                          <a:solidFill>
                            <a:srgbClr val="E3C626"/>
                          </a:solidFill>
                        </wps:spPr>
                        <wps:bodyPr wrap="square" lIns="0" tIns="0" rIns="0" bIns="0" rtlCol="0">
                          <a:prstTxWarp prst="textNoShape">
                            <a:avLst/>
                          </a:prstTxWarp>
                          <a:noAutofit/>
                        </wps:bodyPr>
                      </wps:wsp>
                      <wps:wsp>
                        <wps:cNvPr id="2279" name="Graphic 2279"/>
                        <wps:cNvSpPr/>
                        <wps:spPr>
                          <a:xfrm>
                            <a:off x="4084296" y="1225375"/>
                            <a:ext cx="129539" cy="847725"/>
                          </a:xfrm>
                          <a:custGeom>
                            <a:avLst/>
                            <a:gdLst/>
                            <a:ahLst/>
                            <a:cxnLst/>
                            <a:rect l="l" t="t" r="r" b="b"/>
                            <a:pathLst>
                              <a:path w="129539" h="847725">
                                <a:moveTo>
                                  <a:pt x="129481" y="0"/>
                                </a:moveTo>
                                <a:lnTo>
                                  <a:pt x="0" y="0"/>
                                </a:lnTo>
                                <a:lnTo>
                                  <a:pt x="0" y="847228"/>
                                </a:lnTo>
                                <a:lnTo>
                                  <a:pt x="129481" y="847228"/>
                                </a:lnTo>
                                <a:lnTo>
                                  <a:pt x="129481" y="0"/>
                                </a:lnTo>
                                <a:close/>
                              </a:path>
                            </a:pathLst>
                          </a:custGeom>
                          <a:solidFill>
                            <a:srgbClr val="2F7D41"/>
                          </a:solidFill>
                        </wps:spPr>
                        <wps:bodyPr wrap="square" lIns="0" tIns="0" rIns="0" bIns="0" rtlCol="0">
                          <a:prstTxWarp prst="textNoShape">
                            <a:avLst/>
                          </a:prstTxWarp>
                          <a:noAutofit/>
                        </wps:bodyPr>
                      </wps:wsp>
                      <wps:wsp>
                        <wps:cNvPr id="2280" name="Graphic 2280"/>
                        <wps:cNvSpPr/>
                        <wps:spPr>
                          <a:xfrm>
                            <a:off x="4399898" y="439909"/>
                            <a:ext cx="129539" cy="1633220"/>
                          </a:xfrm>
                          <a:custGeom>
                            <a:avLst/>
                            <a:gdLst/>
                            <a:ahLst/>
                            <a:cxnLst/>
                            <a:rect l="l" t="t" r="r" b="b"/>
                            <a:pathLst>
                              <a:path w="129539" h="1633220">
                                <a:moveTo>
                                  <a:pt x="129480" y="0"/>
                                </a:moveTo>
                                <a:lnTo>
                                  <a:pt x="0" y="0"/>
                                </a:lnTo>
                                <a:lnTo>
                                  <a:pt x="0" y="1632694"/>
                                </a:lnTo>
                                <a:lnTo>
                                  <a:pt x="129480" y="1632694"/>
                                </a:lnTo>
                                <a:lnTo>
                                  <a:pt x="129480" y="0"/>
                                </a:lnTo>
                                <a:close/>
                              </a:path>
                            </a:pathLst>
                          </a:custGeom>
                          <a:solidFill>
                            <a:srgbClr val="9CBF3B"/>
                          </a:solidFill>
                        </wps:spPr>
                        <wps:bodyPr wrap="square" lIns="0" tIns="0" rIns="0" bIns="0" rtlCol="0">
                          <a:prstTxWarp prst="textNoShape">
                            <a:avLst/>
                          </a:prstTxWarp>
                          <a:noAutofit/>
                        </wps:bodyPr>
                      </wps:wsp>
                      <wps:wsp>
                        <wps:cNvPr id="2281" name="Graphic 2281"/>
                        <wps:cNvSpPr/>
                        <wps:spPr>
                          <a:xfrm>
                            <a:off x="4529378" y="616420"/>
                            <a:ext cx="129539" cy="1456690"/>
                          </a:xfrm>
                          <a:custGeom>
                            <a:avLst/>
                            <a:gdLst/>
                            <a:ahLst/>
                            <a:cxnLst/>
                            <a:rect l="l" t="t" r="r" b="b"/>
                            <a:pathLst>
                              <a:path w="129539" h="1456690">
                                <a:moveTo>
                                  <a:pt x="129481" y="0"/>
                                </a:moveTo>
                                <a:lnTo>
                                  <a:pt x="0" y="0"/>
                                </a:lnTo>
                                <a:lnTo>
                                  <a:pt x="0" y="1456184"/>
                                </a:lnTo>
                                <a:lnTo>
                                  <a:pt x="129481" y="1456184"/>
                                </a:lnTo>
                                <a:lnTo>
                                  <a:pt x="129481" y="0"/>
                                </a:lnTo>
                                <a:close/>
                              </a:path>
                            </a:pathLst>
                          </a:custGeom>
                          <a:solidFill>
                            <a:srgbClr val="E3C626"/>
                          </a:solidFill>
                        </wps:spPr>
                        <wps:bodyPr wrap="square" lIns="0" tIns="0" rIns="0" bIns="0" rtlCol="0">
                          <a:prstTxWarp prst="textNoShape">
                            <a:avLst/>
                          </a:prstTxWarp>
                          <a:noAutofit/>
                        </wps:bodyPr>
                      </wps:wsp>
                      <wps:wsp>
                        <wps:cNvPr id="2282" name="Graphic 2282"/>
                        <wps:cNvSpPr/>
                        <wps:spPr>
                          <a:xfrm>
                            <a:off x="4658860" y="1260672"/>
                            <a:ext cx="129539" cy="812165"/>
                          </a:xfrm>
                          <a:custGeom>
                            <a:avLst/>
                            <a:gdLst/>
                            <a:ahLst/>
                            <a:cxnLst/>
                            <a:rect l="l" t="t" r="r" b="b"/>
                            <a:pathLst>
                              <a:path w="129539" h="812165">
                                <a:moveTo>
                                  <a:pt x="129467" y="0"/>
                                </a:moveTo>
                                <a:lnTo>
                                  <a:pt x="0" y="0"/>
                                </a:lnTo>
                                <a:lnTo>
                                  <a:pt x="0" y="811931"/>
                                </a:lnTo>
                                <a:lnTo>
                                  <a:pt x="129467" y="811931"/>
                                </a:lnTo>
                                <a:lnTo>
                                  <a:pt x="129467" y="0"/>
                                </a:lnTo>
                                <a:close/>
                              </a:path>
                            </a:pathLst>
                          </a:custGeom>
                          <a:solidFill>
                            <a:srgbClr val="2F7D41"/>
                          </a:solidFill>
                        </wps:spPr>
                        <wps:bodyPr wrap="square" lIns="0" tIns="0" rIns="0" bIns="0" rtlCol="0">
                          <a:prstTxWarp prst="textNoShape">
                            <a:avLst/>
                          </a:prstTxWarp>
                          <a:noAutofit/>
                        </wps:bodyPr>
                      </wps:wsp>
                      <wps:wsp>
                        <wps:cNvPr id="2283" name="Graphic 2283"/>
                        <wps:cNvSpPr/>
                        <wps:spPr>
                          <a:xfrm>
                            <a:off x="-4" y="0"/>
                            <a:ext cx="5048885" cy="2250440"/>
                          </a:xfrm>
                          <a:custGeom>
                            <a:avLst/>
                            <a:gdLst/>
                            <a:ahLst/>
                            <a:cxnLst/>
                            <a:rect l="l" t="t" r="r" b="b"/>
                            <a:pathLst>
                              <a:path w="5048885" h="2250440">
                                <a:moveTo>
                                  <a:pt x="4888623" y="2069439"/>
                                </a:moveTo>
                                <a:lnTo>
                                  <a:pt x="4888623" y="2069439"/>
                                </a:lnTo>
                                <a:lnTo>
                                  <a:pt x="310019" y="2069439"/>
                                </a:lnTo>
                                <a:lnTo>
                                  <a:pt x="310019" y="2075789"/>
                                </a:lnTo>
                                <a:lnTo>
                                  <a:pt x="884593" y="2075789"/>
                                </a:lnTo>
                                <a:lnTo>
                                  <a:pt x="884593" y="2102256"/>
                                </a:lnTo>
                                <a:lnTo>
                                  <a:pt x="890943" y="2102256"/>
                                </a:lnTo>
                                <a:lnTo>
                                  <a:pt x="890943" y="2075789"/>
                                </a:lnTo>
                                <a:lnTo>
                                  <a:pt x="1451063" y="2075789"/>
                                </a:lnTo>
                                <a:lnTo>
                                  <a:pt x="1451063" y="2102256"/>
                                </a:lnTo>
                                <a:lnTo>
                                  <a:pt x="1457413" y="2102256"/>
                                </a:lnTo>
                                <a:lnTo>
                                  <a:pt x="1457413" y="2075789"/>
                                </a:lnTo>
                                <a:lnTo>
                                  <a:pt x="2025624" y="2075789"/>
                                </a:lnTo>
                                <a:lnTo>
                                  <a:pt x="2025624" y="2102256"/>
                                </a:lnTo>
                                <a:lnTo>
                                  <a:pt x="2031974" y="2102256"/>
                                </a:lnTo>
                                <a:lnTo>
                                  <a:pt x="2031974" y="2075789"/>
                                </a:lnTo>
                                <a:lnTo>
                                  <a:pt x="2600198" y="2075789"/>
                                </a:lnTo>
                                <a:lnTo>
                                  <a:pt x="2600198" y="2102256"/>
                                </a:lnTo>
                                <a:lnTo>
                                  <a:pt x="2606548" y="2102256"/>
                                </a:lnTo>
                                <a:lnTo>
                                  <a:pt x="2606548" y="2075789"/>
                                </a:lnTo>
                                <a:lnTo>
                                  <a:pt x="3166656" y="2075789"/>
                                </a:lnTo>
                                <a:lnTo>
                                  <a:pt x="3166656" y="2102256"/>
                                </a:lnTo>
                                <a:lnTo>
                                  <a:pt x="3173006" y="2102256"/>
                                </a:lnTo>
                                <a:lnTo>
                                  <a:pt x="3173006" y="2075789"/>
                                </a:lnTo>
                                <a:lnTo>
                                  <a:pt x="3741216" y="2075789"/>
                                </a:lnTo>
                                <a:lnTo>
                                  <a:pt x="3741216" y="2102256"/>
                                </a:lnTo>
                                <a:lnTo>
                                  <a:pt x="3747566" y="2102256"/>
                                </a:lnTo>
                                <a:lnTo>
                                  <a:pt x="3747566" y="2075789"/>
                                </a:lnTo>
                                <a:lnTo>
                                  <a:pt x="4307700" y="2075789"/>
                                </a:lnTo>
                                <a:lnTo>
                                  <a:pt x="4307700" y="2102256"/>
                                </a:lnTo>
                                <a:lnTo>
                                  <a:pt x="4314050" y="2102256"/>
                                </a:lnTo>
                                <a:lnTo>
                                  <a:pt x="4314050" y="2075789"/>
                                </a:lnTo>
                                <a:lnTo>
                                  <a:pt x="4882273" y="2075789"/>
                                </a:lnTo>
                                <a:lnTo>
                                  <a:pt x="4882273" y="2102256"/>
                                </a:lnTo>
                                <a:lnTo>
                                  <a:pt x="4888623" y="2102256"/>
                                </a:lnTo>
                                <a:lnTo>
                                  <a:pt x="4888623" y="2069439"/>
                                </a:lnTo>
                                <a:close/>
                              </a:path>
                              <a:path w="5048885" h="2250440">
                                <a:moveTo>
                                  <a:pt x="5048567" y="0"/>
                                </a:moveTo>
                                <a:lnTo>
                                  <a:pt x="5042217" y="0"/>
                                </a:lnTo>
                                <a:lnTo>
                                  <a:pt x="5042217" y="2540"/>
                                </a:lnTo>
                                <a:lnTo>
                                  <a:pt x="5042217" y="2794"/>
                                </a:lnTo>
                                <a:lnTo>
                                  <a:pt x="5042217" y="5969"/>
                                </a:lnTo>
                                <a:lnTo>
                                  <a:pt x="5042217" y="6350"/>
                                </a:lnTo>
                                <a:lnTo>
                                  <a:pt x="5042217" y="2243467"/>
                                </a:lnTo>
                                <a:lnTo>
                                  <a:pt x="6350" y="2243467"/>
                                </a:lnTo>
                                <a:lnTo>
                                  <a:pt x="6350" y="6350"/>
                                </a:lnTo>
                                <a:lnTo>
                                  <a:pt x="3175" y="6350"/>
                                </a:lnTo>
                                <a:lnTo>
                                  <a:pt x="3175" y="5969"/>
                                </a:lnTo>
                                <a:lnTo>
                                  <a:pt x="6350" y="5969"/>
                                </a:lnTo>
                                <a:lnTo>
                                  <a:pt x="5042217" y="5969"/>
                                </a:lnTo>
                                <a:lnTo>
                                  <a:pt x="5042217" y="2794"/>
                                </a:lnTo>
                                <a:lnTo>
                                  <a:pt x="6350" y="2794"/>
                                </a:lnTo>
                                <a:lnTo>
                                  <a:pt x="3175" y="2794"/>
                                </a:lnTo>
                                <a:lnTo>
                                  <a:pt x="3175" y="2540"/>
                                </a:lnTo>
                                <a:lnTo>
                                  <a:pt x="5042217" y="2540"/>
                                </a:lnTo>
                                <a:lnTo>
                                  <a:pt x="5042217" y="0"/>
                                </a:lnTo>
                                <a:lnTo>
                                  <a:pt x="0" y="0"/>
                                </a:lnTo>
                                <a:lnTo>
                                  <a:pt x="0" y="2540"/>
                                </a:lnTo>
                                <a:lnTo>
                                  <a:pt x="0" y="6350"/>
                                </a:lnTo>
                                <a:lnTo>
                                  <a:pt x="0" y="2244090"/>
                                </a:lnTo>
                                <a:lnTo>
                                  <a:pt x="0" y="2246630"/>
                                </a:lnTo>
                                <a:lnTo>
                                  <a:pt x="0" y="2250440"/>
                                </a:lnTo>
                                <a:lnTo>
                                  <a:pt x="5048567" y="2250440"/>
                                </a:lnTo>
                                <a:lnTo>
                                  <a:pt x="5048567" y="6350"/>
                                </a:lnTo>
                                <a:lnTo>
                                  <a:pt x="5045392" y="6350"/>
                                </a:lnTo>
                                <a:lnTo>
                                  <a:pt x="5045392" y="5969"/>
                                </a:lnTo>
                                <a:lnTo>
                                  <a:pt x="5048567" y="5969"/>
                                </a:lnTo>
                                <a:lnTo>
                                  <a:pt x="5048567" y="2794"/>
                                </a:lnTo>
                                <a:lnTo>
                                  <a:pt x="5045392" y="2794"/>
                                </a:lnTo>
                                <a:lnTo>
                                  <a:pt x="5045392" y="2540"/>
                                </a:lnTo>
                                <a:lnTo>
                                  <a:pt x="5048567" y="2540"/>
                                </a:lnTo>
                                <a:lnTo>
                                  <a:pt x="5048567" y="0"/>
                                </a:lnTo>
                                <a:close/>
                              </a:path>
                            </a:pathLst>
                          </a:custGeom>
                          <a:solidFill>
                            <a:srgbClr val="000000"/>
                          </a:solidFill>
                        </wps:spPr>
                        <wps:bodyPr wrap="square" lIns="0" tIns="0" rIns="0" bIns="0" rtlCol="0">
                          <a:prstTxWarp prst="textNoShape">
                            <a:avLst/>
                          </a:prstTxWarp>
                          <a:noAutofit/>
                        </wps:bodyPr>
                      </wps:wsp>
                      <wps:wsp>
                        <wps:cNvPr id="2284" name="Graphic 2284"/>
                        <wps:cNvSpPr/>
                        <wps:spPr>
                          <a:xfrm>
                            <a:off x="3616747" y="155567"/>
                            <a:ext cx="62230" cy="62230"/>
                          </a:xfrm>
                          <a:custGeom>
                            <a:avLst/>
                            <a:gdLst/>
                            <a:ahLst/>
                            <a:cxnLst/>
                            <a:rect l="l" t="t" r="r" b="b"/>
                            <a:pathLst>
                              <a:path w="62230" h="62230">
                                <a:moveTo>
                                  <a:pt x="62004" y="0"/>
                                </a:moveTo>
                                <a:lnTo>
                                  <a:pt x="0" y="0"/>
                                </a:lnTo>
                                <a:lnTo>
                                  <a:pt x="0" y="61776"/>
                                </a:lnTo>
                                <a:lnTo>
                                  <a:pt x="62004" y="61776"/>
                                </a:lnTo>
                                <a:lnTo>
                                  <a:pt x="62004" y="0"/>
                                </a:lnTo>
                                <a:close/>
                              </a:path>
                            </a:pathLst>
                          </a:custGeom>
                          <a:solidFill>
                            <a:srgbClr val="9CBF3B"/>
                          </a:solidFill>
                        </wps:spPr>
                        <wps:bodyPr wrap="square" lIns="0" tIns="0" rIns="0" bIns="0" rtlCol="0">
                          <a:prstTxWarp prst="textNoShape">
                            <a:avLst/>
                          </a:prstTxWarp>
                          <a:noAutofit/>
                        </wps:bodyPr>
                      </wps:wsp>
                      <wps:wsp>
                        <wps:cNvPr id="2285" name="Graphic 2285"/>
                        <wps:cNvSpPr/>
                        <wps:spPr>
                          <a:xfrm>
                            <a:off x="4041917" y="155567"/>
                            <a:ext cx="62230" cy="62230"/>
                          </a:xfrm>
                          <a:custGeom>
                            <a:avLst/>
                            <a:gdLst/>
                            <a:ahLst/>
                            <a:cxnLst/>
                            <a:rect l="l" t="t" r="r" b="b"/>
                            <a:pathLst>
                              <a:path w="62230" h="62230">
                                <a:moveTo>
                                  <a:pt x="62006" y="0"/>
                                </a:moveTo>
                                <a:lnTo>
                                  <a:pt x="0" y="0"/>
                                </a:lnTo>
                                <a:lnTo>
                                  <a:pt x="0" y="61776"/>
                                </a:lnTo>
                                <a:lnTo>
                                  <a:pt x="62006" y="61776"/>
                                </a:lnTo>
                                <a:lnTo>
                                  <a:pt x="62006" y="0"/>
                                </a:lnTo>
                                <a:close/>
                              </a:path>
                            </a:pathLst>
                          </a:custGeom>
                          <a:solidFill>
                            <a:srgbClr val="E3C626"/>
                          </a:solidFill>
                        </wps:spPr>
                        <wps:bodyPr wrap="square" lIns="0" tIns="0" rIns="0" bIns="0" rtlCol="0">
                          <a:prstTxWarp prst="textNoShape">
                            <a:avLst/>
                          </a:prstTxWarp>
                          <a:noAutofit/>
                        </wps:bodyPr>
                      </wps:wsp>
                      <wps:wsp>
                        <wps:cNvPr id="2286" name="Graphic 2286"/>
                        <wps:cNvSpPr/>
                        <wps:spPr>
                          <a:xfrm>
                            <a:off x="4536527" y="155567"/>
                            <a:ext cx="62230" cy="62230"/>
                          </a:xfrm>
                          <a:custGeom>
                            <a:avLst/>
                            <a:gdLst/>
                            <a:ahLst/>
                            <a:cxnLst/>
                            <a:rect l="l" t="t" r="r" b="b"/>
                            <a:pathLst>
                              <a:path w="62230" h="62230">
                                <a:moveTo>
                                  <a:pt x="62011" y="0"/>
                                </a:moveTo>
                                <a:lnTo>
                                  <a:pt x="0" y="0"/>
                                </a:lnTo>
                                <a:lnTo>
                                  <a:pt x="0" y="61776"/>
                                </a:lnTo>
                                <a:lnTo>
                                  <a:pt x="62011" y="61776"/>
                                </a:lnTo>
                                <a:lnTo>
                                  <a:pt x="62011" y="0"/>
                                </a:lnTo>
                                <a:close/>
                              </a:path>
                            </a:pathLst>
                          </a:custGeom>
                          <a:solidFill>
                            <a:srgbClr val="2F7D41"/>
                          </a:solidFill>
                        </wps:spPr>
                        <wps:bodyPr wrap="square" lIns="0" tIns="0" rIns="0" bIns="0" rtlCol="0">
                          <a:prstTxWarp prst="textNoShape">
                            <a:avLst/>
                          </a:prstTxWarp>
                          <a:noAutofit/>
                        </wps:bodyPr>
                      </wps:wsp>
                      <wps:wsp>
                        <wps:cNvPr id="2287" name="Textbox 2287"/>
                        <wps:cNvSpPr txBox="1"/>
                        <wps:spPr>
                          <a:xfrm>
                            <a:off x="4527878" y="2091667"/>
                            <a:ext cx="17081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India</w:t>
                              </w:r>
                            </w:p>
                          </w:txbxContent>
                        </wps:txbx>
                        <wps:bodyPr wrap="square" lIns="0" tIns="0" rIns="0" bIns="0" rtlCol="0">
                          <a:noAutofit/>
                        </wps:bodyPr>
                      </wps:wsp>
                      <wps:wsp>
                        <wps:cNvPr id="2288" name="Textbox 2288"/>
                        <wps:cNvSpPr txBox="1"/>
                        <wps:spPr>
                          <a:xfrm>
                            <a:off x="3937939" y="2091667"/>
                            <a:ext cx="1949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Brazil</w:t>
                              </w:r>
                            </w:p>
                          </w:txbxContent>
                        </wps:txbx>
                        <wps:bodyPr wrap="square" lIns="0" tIns="0" rIns="0" bIns="0" rtlCol="0">
                          <a:noAutofit/>
                        </wps:bodyPr>
                      </wps:wsp>
                      <wps:wsp>
                        <wps:cNvPr id="2289" name="Textbox 2289"/>
                        <wps:cNvSpPr txBox="1"/>
                        <wps:spPr>
                          <a:xfrm>
                            <a:off x="3368708" y="2091667"/>
                            <a:ext cx="20320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China</w:t>
                              </w:r>
                            </w:p>
                          </w:txbxContent>
                        </wps:txbx>
                        <wps:bodyPr wrap="square" lIns="0" tIns="0" rIns="0" bIns="0" rtlCol="0">
                          <a:noAutofit/>
                        </wps:bodyPr>
                      </wps:wsp>
                      <wps:wsp>
                        <wps:cNvPr id="2290" name="Textbox 2290"/>
                        <wps:cNvSpPr txBox="1"/>
                        <wps:spPr>
                          <a:xfrm>
                            <a:off x="2795168" y="2091667"/>
                            <a:ext cx="20764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Korea</w:t>
                              </w:r>
                            </w:p>
                          </w:txbxContent>
                        </wps:txbx>
                        <wps:bodyPr wrap="square" lIns="0" tIns="0" rIns="0" bIns="0" rtlCol="0">
                          <a:noAutofit/>
                        </wps:bodyPr>
                      </wps:wsp>
                      <wps:wsp>
                        <wps:cNvPr id="2291" name="Textbox 2291"/>
                        <wps:cNvSpPr txBox="1"/>
                        <wps:spPr>
                          <a:xfrm>
                            <a:off x="2171014" y="2091667"/>
                            <a:ext cx="31242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Germany</w:t>
                              </w:r>
                            </w:p>
                          </w:txbxContent>
                        </wps:txbx>
                        <wps:bodyPr wrap="square" lIns="0" tIns="0" rIns="0" bIns="0" rtlCol="0">
                          <a:noAutofit/>
                        </wps:bodyPr>
                      </wps:wsp>
                      <wps:wsp>
                        <wps:cNvPr id="2292" name="Textbox 2292"/>
                        <wps:cNvSpPr txBox="1"/>
                        <wps:spPr>
                          <a:xfrm>
                            <a:off x="1698811" y="209166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UK</w:t>
                              </w:r>
                            </w:p>
                          </w:txbxContent>
                        </wps:txbx>
                        <wps:bodyPr wrap="square" lIns="0" tIns="0" rIns="0" bIns="0" rtlCol="0">
                          <a:noAutofit/>
                        </wps:bodyPr>
                      </wps:wsp>
                      <wps:wsp>
                        <wps:cNvPr id="2293" name="Textbox 2293"/>
                        <wps:cNvSpPr txBox="1"/>
                        <wps:spPr>
                          <a:xfrm>
                            <a:off x="1108261" y="209166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US</w:t>
                              </w:r>
                            </w:p>
                          </w:txbxContent>
                        </wps:txbx>
                        <wps:bodyPr wrap="square" lIns="0" tIns="0" rIns="0" bIns="0" rtlCol="0">
                          <a:noAutofit/>
                        </wps:bodyPr>
                      </wps:wsp>
                      <wps:wsp>
                        <wps:cNvPr id="2294" name="Textbox 2294"/>
                        <wps:cNvSpPr txBox="1"/>
                        <wps:spPr>
                          <a:xfrm>
                            <a:off x="427558" y="2091667"/>
                            <a:ext cx="345440"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Singapore</w:t>
                              </w:r>
                            </w:p>
                          </w:txbxContent>
                        </wps:txbx>
                        <wps:bodyPr wrap="square" lIns="0" tIns="0" rIns="0" bIns="0" rtlCol="0">
                          <a:noAutofit/>
                        </wps:bodyPr>
                      </wps:wsp>
                      <wps:wsp>
                        <wps:cNvPr id="2295" name="Textbox 2295"/>
                        <wps:cNvSpPr txBox="1"/>
                        <wps:spPr>
                          <a:xfrm>
                            <a:off x="141717" y="379817"/>
                            <a:ext cx="114300" cy="17278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0.8</w:t>
                              </w:r>
                            </w:p>
                            <w:p>
                              <w:pPr>
                                <w:spacing w:before="159"/>
                                <w:ind w:left="0" w:right="0" w:firstLine="0"/>
                                <w:jc w:val="left"/>
                                <w:rPr>
                                  <w:rFonts w:ascii="Arial MT"/>
                                  <w:sz w:val="14"/>
                                </w:rPr>
                              </w:pPr>
                              <w:r>
                                <w:rPr>
                                  <w:rFonts w:ascii="Arial MT"/>
                                  <w:spacing w:val="-5"/>
                                  <w:w w:val="90"/>
                                  <w:sz w:val="14"/>
                                </w:rPr>
                                <w:t>0.7</w:t>
                              </w:r>
                            </w:p>
                            <w:p>
                              <w:pPr>
                                <w:spacing w:before="159"/>
                                <w:ind w:left="0" w:right="0" w:firstLine="0"/>
                                <w:jc w:val="left"/>
                                <w:rPr>
                                  <w:rFonts w:ascii="Arial MT"/>
                                  <w:sz w:val="14"/>
                                </w:rPr>
                              </w:pPr>
                              <w:r>
                                <w:rPr>
                                  <w:rFonts w:ascii="Arial MT"/>
                                  <w:spacing w:val="-5"/>
                                  <w:w w:val="90"/>
                                  <w:sz w:val="14"/>
                                </w:rPr>
                                <w:t>0.6</w:t>
                              </w:r>
                            </w:p>
                            <w:p>
                              <w:pPr>
                                <w:spacing w:before="159"/>
                                <w:ind w:left="0" w:right="0" w:firstLine="0"/>
                                <w:jc w:val="left"/>
                                <w:rPr>
                                  <w:rFonts w:ascii="Arial MT"/>
                                  <w:sz w:val="14"/>
                                </w:rPr>
                              </w:pPr>
                              <w:r>
                                <w:rPr>
                                  <w:rFonts w:ascii="Arial MT"/>
                                  <w:spacing w:val="-5"/>
                                  <w:w w:val="90"/>
                                  <w:sz w:val="14"/>
                                </w:rPr>
                                <w:t>0.5</w:t>
                              </w:r>
                            </w:p>
                            <w:p>
                              <w:pPr>
                                <w:spacing w:before="159"/>
                                <w:ind w:left="0" w:right="0" w:firstLine="0"/>
                                <w:jc w:val="left"/>
                                <w:rPr>
                                  <w:rFonts w:ascii="Arial MT"/>
                                  <w:sz w:val="14"/>
                                </w:rPr>
                              </w:pPr>
                              <w:r>
                                <w:rPr>
                                  <w:rFonts w:ascii="Arial MT"/>
                                  <w:spacing w:val="-5"/>
                                  <w:w w:val="90"/>
                                  <w:sz w:val="14"/>
                                </w:rPr>
                                <w:t>0.4</w:t>
                              </w:r>
                            </w:p>
                            <w:p>
                              <w:pPr>
                                <w:spacing w:before="159"/>
                                <w:ind w:left="0" w:right="0" w:firstLine="0"/>
                                <w:jc w:val="left"/>
                                <w:rPr>
                                  <w:rFonts w:ascii="Arial MT"/>
                                  <w:sz w:val="14"/>
                                </w:rPr>
                              </w:pPr>
                              <w:r>
                                <w:rPr>
                                  <w:rFonts w:ascii="Arial MT"/>
                                  <w:spacing w:val="-5"/>
                                  <w:w w:val="90"/>
                                  <w:sz w:val="14"/>
                                </w:rPr>
                                <w:t>0.3</w:t>
                              </w:r>
                            </w:p>
                            <w:p>
                              <w:pPr>
                                <w:spacing w:before="159"/>
                                <w:ind w:left="0" w:right="0" w:firstLine="0"/>
                                <w:jc w:val="left"/>
                                <w:rPr>
                                  <w:rFonts w:ascii="Arial MT"/>
                                  <w:sz w:val="14"/>
                                </w:rPr>
                              </w:pPr>
                              <w:r>
                                <w:rPr>
                                  <w:rFonts w:ascii="Arial MT"/>
                                  <w:spacing w:val="-5"/>
                                  <w:w w:val="90"/>
                                  <w:sz w:val="14"/>
                                </w:rPr>
                                <w:t>0.2</w:t>
                              </w:r>
                            </w:p>
                            <w:p>
                              <w:pPr>
                                <w:spacing w:before="159"/>
                                <w:ind w:left="0" w:right="0" w:firstLine="0"/>
                                <w:jc w:val="left"/>
                                <w:rPr>
                                  <w:rFonts w:ascii="Arial MT"/>
                                  <w:sz w:val="14"/>
                                </w:rPr>
                              </w:pPr>
                              <w:r>
                                <w:rPr>
                                  <w:rFonts w:ascii="Arial MT"/>
                                  <w:spacing w:val="-5"/>
                                  <w:w w:val="90"/>
                                  <w:sz w:val="14"/>
                                </w:rPr>
                                <w:t>0.1</w:t>
                              </w:r>
                            </w:p>
                            <w:p>
                              <w:pPr>
                                <w:spacing w:before="159"/>
                                <w:ind w:left="95"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2296" name="Textbox 2296"/>
                        <wps:cNvSpPr txBox="1"/>
                        <wps:spPr>
                          <a:xfrm>
                            <a:off x="3736094" y="134717"/>
                            <a:ext cx="1150620" cy="102235"/>
                          </a:xfrm>
                          <a:prstGeom prst="rect">
                            <a:avLst/>
                          </a:prstGeom>
                        </wps:spPr>
                        <wps:txbx>
                          <w:txbxContent>
                            <w:p>
                              <w:pPr>
                                <w:tabs>
                                  <w:tab w:pos="647" w:val="left" w:leader="none"/>
                                  <w:tab w:pos="1433" w:val="left" w:leader="none"/>
                                </w:tabs>
                                <w:spacing w:line="161" w:lineRule="exact" w:before="0"/>
                                <w:ind w:left="0" w:right="0" w:firstLine="0"/>
                                <w:jc w:val="left"/>
                                <w:rPr>
                                  <w:rFonts w:ascii="Arial MT"/>
                                  <w:sz w:val="14"/>
                                </w:rPr>
                              </w:pPr>
                              <w:r>
                                <w:rPr>
                                  <w:rFonts w:ascii="Arial MT"/>
                                  <w:spacing w:val="-2"/>
                                  <w:w w:val="90"/>
                                  <w:sz w:val="14"/>
                                </w:rPr>
                                <w:t>Entry</w:t>
                              </w:r>
                              <w:r>
                                <w:rPr>
                                  <w:rFonts w:ascii="Arial MT"/>
                                  <w:sz w:val="14"/>
                                </w:rPr>
                                <w:tab/>
                              </w:r>
                              <w:r>
                                <w:rPr>
                                  <w:rFonts w:ascii="Arial MT"/>
                                  <w:spacing w:val="-2"/>
                                  <w:w w:val="90"/>
                                  <w:sz w:val="14"/>
                                </w:rPr>
                                <w:t>Contract</w:t>
                              </w:r>
                              <w:r>
                                <w:rPr>
                                  <w:rFonts w:ascii="Arial MT"/>
                                  <w:sz w:val="14"/>
                                </w:rPr>
                                <w:tab/>
                              </w:r>
                              <w:r>
                                <w:rPr>
                                  <w:rFonts w:ascii="Arial MT"/>
                                  <w:spacing w:val="-2"/>
                                  <w:w w:val="85"/>
                                  <w:sz w:val="14"/>
                                </w:rPr>
                                <w:t>Labour</w:t>
                              </w:r>
                            </w:p>
                          </w:txbxContent>
                        </wps:txbx>
                        <wps:bodyPr wrap="square" lIns="0" tIns="0" rIns="0" bIns="0" rtlCol="0">
                          <a:noAutofit/>
                        </wps:bodyPr>
                      </wps:wsp>
                      <wps:wsp>
                        <wps:cNvPr id="2297" name="Textbox 2297"/>
                        <wps:cNvSpPr txBox="1"/>
                        <wps:spPr>
                          <a:xfrm>
                            <a:off x="141717" y="17661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0.9</w:t>
                              </w:r>
                            </w:p>
                          </w:txbxContent>
                        </wps:txbx>
                        <wps:bodyPr wrap="square" lIns="0" tIns="0" rIns="0" bIns="0" rtlCol="0">
                          <a:noAutofit/>
                        </wps:bodyPr>
                      </wps:wsp>
                    </wpg:wgp>
                  </a:graphicData>
                </a:graphic>
              </wp:anchor>
            </w:drawing>
          </mc:Choice>
          <mc:Fallback>
            <w:pict>
              <v:group style="position:absolute;margin-left:100.304352pt;margin-top:6.951172pt;width:397.55pt;height:177.2pt;mso-position-horizontal-relative:page;mso-position-vertical-relative:paragraph;z-index:-15560192;mso-wrap-distance-left:0;mso-wrap-distance-right:0" id="docshapegroup2197" coordorigin="2006,139" coordsize="7951,3544">
                <v:shape style="position:absolute;left:2452;top:493;width:52;height:2957" id="docshape2198" coordorigin="2452,493" coordsize="52,2957" path="m2504,493l2494,493,2452,493,2452,503,2494,503,2494,813,2452,813,2452,823,2494,823,2494,1133,2452,1133,2452,1143,2494,1143,2494,1466,2452,1466,2452,1476,2494,1476,2494,1786,2452,1786,2452,1796,2494,1796,2494,2105,2452,2105,2452,2115,2494,2115,2494,2425,2452,2425,2452,2435,2494,2435,2494,2759,2452,2759,2452,2769,2494,2769,2494,3078,2452,3078,2452,3088,2494,3088,2494,3398,2452,3398,2452,3408,2494,3408,2494,3450,2504,3450,2504,493xe" filled="true" fillcolor="#000000" stroked="false">
                  <v:path arrowok="t"/>
                  <v:fill type="solid"/>
                </v:shape>
                <v:rect style="position:absolute;left:2639;top:3083;width:204;height:320" id="docshape2199" filled="true" fillcolor="#9cbf3b" stroked="false">
                  <v:fill type="solid"/>
                </v:rect>
                <v:rect style="position:absolute;left:2843;top:2596;width:204;height:807" id="docshape2200" filled="true" fillcolor="#e3c626" stroked="false">
                  <v:fill type="solid"/>
                </v:rect>
                <v:rect style="position:absolute;left:3047;top:3236;width:204;height:167" id="docshape2201" filled="true" fillcolor="#2f7d41" stroked="false">
                  <v:fill type="solid"/>
                </v:rect>
                <v:rect style="position:absolute;left:3544;top:2944;width:204;height:459" id="docshape2202" filled="true" fillcolor="#9cbf3b" stroked="false">
                  <v:fill type="solid"/>
                </v:rect>
                <v:rect style="position:absolute;left:3748;top:3291;width:192;height:112" id="docshape2203" filled="true" fillcolor="#e3c626" stroked="false">
                  <v:fill type="solid"/>
                </v:rect>
                <v:rect style="position:absolute;left:3939;top:3319;width:204;height:84" id="docshape2204" filled="true" fillcolor="#2f7d41" stroked="false">
                  <v:fill type="solid"/>
                </v:rect>
                <v:rect style="position:absolute;left:4436;top:2860;width:204;height:543" id="docshape2205" filled="true" fillcolor="#9cbf3b" stroked="false">
                  <v:fill type="solid"/>
                </v:rect>
                <v:rect style="position:absolute;left:4640;top:3208;width:204;height:195" id="docshape2206" filled="true" fillcolor="#e3c626" stroked="false">
                  <v:fill type="solid"/>
                </v:rect>
                <v:rect style="position:absolute;left:4844;top:2777;width:204;height:626" id="docshape2207" filled="true" fillcolor="#2f7d41" stroked="false">
                  <v:fill type="solid"/>
                </v:rect>
                <v:rect style="position:absolute;left:5341;top:2166;width:204;height:1237" id="docshape2208" filled="true" fillcolor="#9cbf3b" stroked="false">
                  <v:fill type="solid"/>
                </v:rect>
                <v:rect style="position:absolute;left:5545;top:2791;width:204;height:612" id="docshape2209" filled="true" fillcolor="#e3c626" stroked="false">
                  <v:fill type="solid"/>
                </v:rect>
                <v:rect style="position:absolute;left:5749;top:1762;width:204;height:1640" id="docshape2210" filled="true" fillcolor="#2f7d41" stroked="false">
                  <v:fill type="solid"/>
                </v:rect>
                <v:rect style="position:absolute;left:6246;top:1957;width:204;height:1446" id="docshape2211" filled="true" fillcolor="#9cbf3b" stroked="false">
                  <v:fill type="solid"/>
                </v:rect>
                <v:rect style="position:absolute;left:6449;top:2332;width:192;height:1071" id="docshape2212" filled="true" fillcolor="#e3c626" stroked="false">
                  <v:fill type="solid"/>
                </v:rect>
                <v:rect style="position:absolute;left:6641;top:2152;width:204;height:1251" id="docshape2213" filled="true" fillcolor="#2f7d41" stroked="false">
                  <v:fill type="solid"/>
                </v:rect>
                <v:rect style="position:absolute;left:7138;top:1485;width:204;height:1918" id="docshape2214" filled="true" fillcolor="#9cbf3b" stroked="false">
                  <v:fill type="solid"/>
                </v:rect>
                <v:rect style="position:absolute;left:7342;top:1498;width:204;height:1905" id="docshape2215" filled="true" fillcolor="#e3c626" stroked="false">
                  <v:fill type="solid"/>
                </v:rect>
                <v:rect style="position:absolute;left:7545;top:2374;width:204;height:1029" id="docshape2216" filled="true" fillcolor="#2f7d41" stroked="false">
                  <v:fill type="solid"/>
                </v:rect>
                <v:rect style="position:absolute;left:8042;top:956;width:204;height:2447" id="docshape2217" filled="true" fillcolor="#9cbf3b" stroked="false">
                  <v:fill type="solid"/>
                </v:rect>
                <v:rect style="position:absolute;left:8246;top:1401;width:192;height:2002" id="docshape2218" filled="true" fillcolor="#e3c626" stroked="false">
                  <v:fill type="solid"/>
                </v:rect>
                <v:rect style="position:absolute;left:8438;top:2068;width:204;height:1335" id="docshape2219" filled="true" fillcolor="#2f7d41" stroked="false">
                  <v:fill type="solid"/>
                </v:rect>
                <v:rect style="position:absolute;left:8935;top:831;width:204;height:2572" id="docshape2220" filled="true" fillcolor="#9cbf3b" stroked="false">
                  <v:fill type="solid"/>
                </v:rect>
                <v:rect style="position:absolute;left:9138;top:1109;width:204;height:2294" id="docshape2221" filled="true" fillcolor="#e3c626" stroked="false">
                  <v:fill type="solid"/>
                </v:rect>
                <v:rect style="position:absolute;left:9342;top:2124;width:204;height:1279" id="docshape2222" filled="true" fillcolor="#2f7d41" stroked="false">
                  <v:fill type="solid"/>
                </v:rect>
                <v:shape style="position:absolute;left:2006;top:139;width:7951;height:3544" id="docshape2223" coordorigin="2006,139" coordsize="7951,3544" path="m9705,3398l9695,3398,8800,3398,8790,3398,7908,3398,7898,3398,7003,3398,6993,3398,6111,3398,6101,3398,5206,3398,5196,3398,4301,3398,4291,3398,3409,3398,3399,3398,2494,3398,2494,3408,3399,3408,3399,3450,3409,3450,3409,3408,4291,3408,4291,3450,4301,3450,4301,3408,5196,3408,5196,3450,5206,3450,5206,3408,6101,3408,6101,3450,6111,3450,6111,3408,6993,3408,6993,3450,7003,3450,7003,3408,7898,3408,7898,3450,7908,3450,7908,3408,8790,3408,8790,3450,8800,3450,8800,3408,9695,3408,9695,3450,9705,3450,9705,3398xm9957,139l9947,139,9947,143,9947,143,9947,148,9947,149,9947,3672,2016,3672,2016,149,2011,149,2011,148,2016,148,9947,148,9947,143,2016,143,2011,143,2011,143,9947,143,9947,139,2006,139,2006,143,2006,149,2006,3673,2006,3677,2006,3683,9957,3683,9957,3677,9957,3677,9957,3673,9957,3672,9957,149,9952,149,9952,148,9957,148,9957,143,9952,143,9952,143,9957,143,9957,139xe" filled="true" fillcolor="#000000" stroked="false">
                  <v:path arrowok="t"/>
                  <v:fill type="solid"/>
                </v:shape>
                <v:rect style="position:absolute;left:7701;top:384;width:98;height:98" id="docshape2224" filled="true" fillcolor="#9cbf3b" stroked="false">
                  <v:fill type="solid"/>
                </v:rect>
                <v:rect style="position:absolute;left:8371;top:384;width:98;height:98" id="docshape2225" filled="true" fillcolor="#e3c626" stroked="false">
                  <v:fill type="solid"/>
                </v:rect>
                <v:rect style="position:absolute;left:9150;top:384;width:98;height:98" id="docshape2226" filled="true" fillcolor="#2f7d41" stroked="false">
                  <v:fill type="solid"/>
                </v:rect>
                <v:shape style="position:absolute;left:9136;top:3432;width:269;height:161" type="#_x0000_t202" id="docshape2227" filled="false" stroked="false">
                  <v:textbox inset="0,0,0,0">
                    <w:txbxContent>
                      <w:p>
                        <w:pPr>
                          <w:spacing w:line="161" w:lineRule="exact" w:before="0"/>
                          <w:ind w:left="0" w:right="0" w:firstLine="0"/>
                          <w:jc w:val="left"/>
                          <w:rPr>
                            <w:rFonts w:ascii="Arial MT"/>
                            <w:sz w:val="14"/>
                          </w:rPr>
                        </w:pPr>
                        <w:r>
                          <w:rPr>
                            <w:rFonts w:ascii="Arial MT"/>
                            <w:spacing w:val="-2"/>
                            <w:w w:val="85"/>
                            <w:sz w:val="14"/>
                          </w:rPr>
                          <w:t>India</w:t>
                        </w:r>
                      </w:p>
                    </w:txbxContent>
                  </v:textbox>
                  <w10:wrap type="none"/>
                </v:shape>
                <v:shape style="position:absolute;left:8207;top:3432;width:307;height:161" type="#_x0000_t202" id="docshape2228" filled="false" stroked="false">
                  <v:textbox inset="0,0,0,0">
                    <w:txbxContent>
                      <w:p>
                        <w:pPr>
                          <w:spacing w:line="161" w:lineRule="exact" w:before="0"/>
                          <w:ind w:left="0" w:right="0" w:firstLine="0"/>
                          <w:jc w:val="left"/>
                          <w:rPr>
                            <w:rFonts w:ascii="Arial MT"/>
                            <w:sz w:val="14"/>
                          </w:rPr>
                        </w:pPr>
                        <w:r>
                          <w:rPr>
                            <w:rFonts w:ascii="Arial MT"/>
                            <w:spacing w:val="-2"/>
                            <w:w w:val="85"/>
                            <w:sz w:val="14"/>
                          </w:rPr>
                          <w:t>Brazil</w:t>
                        </w:r>
                      </w:p>
                    </w:txbxContent>
                  </v:textbox>
                  <w10:wrap type="none"/>
                </v:shape>
                <v:shape style="position:absolute;left:7311;top:3432;width:320;height:161" type="#_x0000_t202" id="docshape2229" filled="false" stroked="false">
                  <v:textbox inset="0,0,0,0">
                    <w:txbxContent>
                      <w:p>
                        <w:pPr>
                          <w:spacing w:line="161" w:lineRule="exact" w:before="0"/>
                          <w:ind w:left="0" w:right="0" w:firstLine="0"/>
                          <w:jc w:val="left"/>
                          <w:rPr>
                            <w:rFonts w:ascii="Arial MT"/>
                            <w:sz w:val="14"/>
                          </w:rPr>
                        </w:pPr>
                        <w:r>
                          <w:rPr>
                            <w:rFonts w:ascii="Arial MT"/>
                            <w:spacing w:val="-2"/>
                            <w:w w:val="85"/>
                            <w:sz w:val="14"/>
                          </w:rPr>
                          <w:t>China</w:t>
                        </w:r>
                      </w:p>
                    </w:txbxContent>
                  </v:textbox>
                  <w10:wrap type="none"/>
                </v:shape>
                <v:shape style="position:absolute;left:6407;top:3432;width:327;height:161" type="#_x0000_t202" id="docshape2230" filled="false" stroked="false">
                  <v:textbox inset="0,0,0,0">
                    <w:txbxContent>
                      <w:p>
                        <w:pPr>
                          <w:spacing w:line="161" w:lineRule="exact" w:before="0"/>
                          <w:ind w:left="0" w:right="0" w:firstLine="0"/>
                          <w:jc w:val="left"/>
                          <w:rPr>
                            <w:rFonts w:ascii="Arial MT"/>
                            <w:sz w:val="14"/>
                          </w:rPr>
                        </w:pPr>
                        <w:r>
                          <w:rPr>
                            <w:rFonts w:ascii="Arial MT"/>
                            <w:spacing w:val="-2"/>
                            <w:w w:val="85"/>
                            <w:sz w:val="14"/>
                          </w:rPr>
                          <w:t>Korea</w:t>
                        </w:r>
                      </w:p>
                    </w:txbxContent>
                  </v:textbox>
                  <w10:wrap type="none"/>
                </v:shape>
                <v:shape style="position:absolute;left:5425;top:3432;width:492;height:161" type="#_x0000_t202" id="docshape2231" filled="false" stroked="false">
                  <v:textbox inset="0,0,0,0">
                    <w:txbxContent>
                      <w:p>
                        <w:pPr>
                          <w:spacing w:line="161" w:lineRule="exact" w:before="0"/>
                          <w:ind w:left="0" w:right="0" w:firstLine="0"/>
                          <w:jc w:val="left"/>
                          <w:rPr>
                            <w:rFonts w:ascii="Arial MT"/>
                            <w:sz w:val="14"/>
                          </w:rPr>
                        </w:pPr>
                        <w:r>
                          <w:rPr>
                            <w:rFonts w:ascii="Arial MT"/>
                            <w:spacing w:val="-2"/>
                            <w:w w:val="85"/>
                            <w:sz w:val="14"/>
                          </w:rPr>
                          <w:t>Germany</w:t>
                        </w:r>
                      </w:p>
                    </w:txbxContent>
                  </v:textbox>
                  <w10:wrap type="none"/>
                </v:shape>
                <v:shape style="position:absolute;left:4681;top:3432;width:180;height:161" type="#_x0000_t202" id="docshape2232" filled="false" stroked="false">
                  <v:textbox inset="0,0,0,0">
                    <w:txbxContent>
                      <w:p>
                        <w:pPr>
                          <w:spacing w:line="161" w:lineRule="exact" w:before="0"/>
                          <w:ind w:left="0" w:right="0" w:firstLine="0"/>
                          <w:jc w:val="left"/>
                          <w:rPr>
                            <w:rFonts w:ascii="Arial MT"/>
                            <w:sz w:val="14"/>
                          </w:rPr>
                        </w:pPr>
                        <w:r>
                          <w:rPr>
                            <w:rFonts w:ascii="Arial MT"/>
                            <w:spacing w:val="-5"/>
                            <w:w w:val="90"/>
                            <w:sz w:val="14"/>
                          </w:rPr>
                          <w:t>UK</w:t>
                        </w:r>
                      </w:p>
                    </w:txbxContent>
                  </v:textbox>
                  <w10:wrap type="none"/>
                </v:shape>
                <v:shape style="position:absolute;left:3751;top:3432;width:180;height:161" type="#_x0000_t202" id="docshape2233" filled="false" stroked="false">
                  <v:textbox inset="0,0,0,0">
                    <w:txbxContent>
                      <w:p>
                        <w:pPr>
                          <w:spacing w:line="161" w:lineRule="exact" w:before="0"/>
                          <w:ind w:left="0" w:right="0" w:firstLine="0"/>
                          <w:jc w:val="left"/>
                          <w:rPr>
                            <w:rFonts w:ascii="Arial MT"/>
                            <w:sz w:val="14"/>
                          </w:rPr>
                        </w:pPr>
                        <w:r>
                          <w:rPr>
                            <w:rFonts w:ascii="Arial MT"/>
                            <w:spacing w:val="-5"/>
                            <w:w w:val="90"/>
                            <w:sz w:val="14"/>
                          </w:rPr>
                          <w:t>US</w:t>
                        </w:r>
                      </w:p>
                    </w:txbxContent>
                  </v:textbox>
                  <w10:wrap type="none"/>
                </v:shape>
                <v:shape style="position:absolute;left:2679;top:3432;width:544;height:161" type="#_x0000_t202" id="docshape2234" filled="false" stroked="false">
                  <v:textbox inset="0,0,0,0">
                    <w:txbxContent>
                      <w:p>
                        <w:pPr>
                          <w:spacing w:line="161" w:lineRule="exact" w:before="0"/>
                          <w:ind w:left="0" w:right="0" w:firstLine="0"/>
                          <w:jc w:val="left"/>
                          <w:rPr>
                            <w:rFonts w:ascii="Arial MT"/>
                            <w:sz w:val="14"/>
                          </w:rPr>
                        </w:pPr>
                        <w:r>
                          <w:rPr>
                            <w:rFonts w:ascii="Arial MT"/>
                            <w:spacing w:val="-2"/>
                            <w:w w:val="85"/>
                            <w:sz w:val="14"/>
                          </w:rPr>
                          <w:t>Singapore</w:t>
                        </w:r>
                      </w:p>
                    </w:txbxContent>
                  </v:textbox>
                  <w10:wrap type="none"/>
                </v:shape>
                <v:shape style="position:absolute;left:2229;top:737;width:180;height:2721" type="#_x0000_t202" id="docshape2235" filled="false" stroked="false">
                  <v:textbox inset="0,0,0,0">
                    <w:txbxContent>
                      <w:p>
                        <w:pPr>
                          <w:spacing w:line="161" w:lineRule="exact" w:before="0"/>
                          <w:ind w:left="0" w:right="0" w:firstLine="0"/>
                          <w:jc w:val="left"/>
                          <w:rPr>
                            <w:rFonts w:ascii="Arial MT"/>
                            <w:sz w:val="14"/>
                          </w:rPr>
                        </w:pPr>
                        <w:r>
                          <w:rPr>
                            <w:rFonts w:ascii="Arial MT"/>
                            <w:spacing w:val="-5"/>
                            <w:w w:val="90"/>
                            <w:sz w:val="14"/>
                          </w:rPr>
                          <w:t>0.8</w:t>
                        </w:r>
                      </w:p>
                      <w:p>
                        <w:pPr>
                          <w:spacing w:before="159"/>
                          <w:ind w:left="0" w:right="0" w:firstLine="0"/>
                          <w:jc w:val="left"/>
                          <w:rPr>
                            <w:rFonts w:ascii="Arial MT"/>
                            <w:sz w:val="14"/>
                          </w:rPr>
                        </w:pPr>
                        <w:r>
                          <w:rPr>
                            <w:rFonts w:ascii="Arial MT"/>
                            <w:spacing w:val="-5"/>
                            <w:w w:val="90"/>
                            <w:sz w:val="14"/>
                          </w:rPr>
                          <w:t>0.7</w:t>
                        </w:r>
                      </w:p>
                      <w:p>
                        <w:pPr>
                          <w:spacing w:before="159"/>
                          <w:ind w:left="0" w:right="0" w:firstLine="0"/>
                          <w:jc w:val="left"/>
                          <w:rPr>
                            <w:rFonts w:ascii="Arial MT"/>
                            <w:sz w:val="14"/>
                          </w:rPr>
                        </w:pPr>
                        <w:r>
                          <w:rPr>
                            <w:rFonts w:ascii="Arial MT"/>
                            <w:spacing w:val="-5"/>
                            <w:w w:val="90"/>
                            <w:sz w:val="14"/>
                          </w:rPr>
                          <w:t>0.6</w:t>
                        </w:r>
                      </w:p>
                      <w:p>
                        <w:pPr>
                          <w:spacing w:before="159"/>
                          <w:ind w:left="0" w:right="0" w:firstLine="0"/>
                          <w:jc w:val="left"/>
                          <w:rPr>
                            <w:rFonts w:ascii="Arial MT"/>
                            <w:sz w:val="14"/>
                          </w:rPr>
                        </w:pPr>
                        <w:r>
                          <w:rPr>
                            <w:rFonts w:ascii="Arial MT"/>
                            <w:spacing w:val="-5"/>
                            <w:w w:val="90"/>
                            <w:sz w:val="14"/>
                          </w:rPr>
                          <w:t>0.5</w:t>
                        </w:r>
                      </w:p>
                      <w:p>
                        <w:pPr>
                          <w:spacing w:before="159"/>
                          <w:ind w:left="0" w:right="0" w:firstLine="0"/>
                          <w:jc w:val="left"/>
                          <w:rPr>
                            <w:rFonts w:ascii="Arial MT"/>
                            <w:sz w:val="14"/>
                          </w:rPr>
                        </w:pPr>
                        <w:r>
                          <w:rPr>
                            <w:rFonts w:ascii="Arial MT"/>
                            <w:spacing w:val="-5"/>
                            <w:w w:val="90"/>
                            <w:sz w:val="14"/>
                          </w:rPr>
                          <w:t>0.4</w:t>
                        </w:r>
                      </w:p>
                      <w:p>
                        <w:pPr>
                          <w:spacing w:before="159"/>
                          <w:ind w:left="0" w:right="0" w:firstLine="0"/>
                          <w:jc w:val="left"/>
                          <w:rPr>
                            <w:rFonts w:ascii="Arial MT"/>
                            <w:sz w:val="14"/>
                          </w:rPr>
                        </w:pPr>
                        <w:r>
                          <w:rPr>
                            <w:rFonts w:ascii="Arial MT"/>
                            <w:spacing w:val="-5"/>
                            <w:w w:val="90"/>
                            <w:sz w:val="14"/>
                          </w:rPr>
                          <w:t>0.3</w:t>
                        </w:r>
                      </w:p>
                      <w:p>
                        <w:pPr>
                          <w:spacing w:before="159"/>
                          <w:ind w:left="0" w:right="0" w:firstLine="0"/>
                          <w:jc w:val="left"/>
                          <w:rPr>
                            <w:rFonts w:ascii="Arial MT"/>
                            <w:sz w:val="14"/>
                          </w:rPr>
                        </w:pPr>
                        <w:r>
                          <w:rPr>
                            <w:rFonts w:ascii="Arial MT"/>
                            <w:spacing w:val="-5"/>
                            <w:w w:val="90"/>
                            <w:sz w:val="14"/>
                          </w:rPr>
                          <w:t>0.2</w:t>
                        </w:r>
                      </w:p>
                      <w:p>
                        <w:pPr>
                          <w:spacing w:before="159"/>
                          <w:ind w:left="0" w:right="0" w:firstLine="0"/>
                          <w:jc w:val="left"/>
                          <w:rPr>
                            <w:rFonts w:ascii="Arial MT"/>
                            <w:sz w:val="14"/>
                          </w:rPr>
                        </w:pPr>
                        <w:r>
                          <w:rPr>
                            <w:rFonts w:ascii="Arial MT"/>
                            <w:spacing w:val="-5"/>
                            <w:w w:val="90"/>
                            <w:sz w:val="14"/>
                          </w:rPr>
                          <w:t>0.1</w:t>
                        </w:r>
                      </w:p>
                      <w:p>
                        <w:pPr>
                          <w:spacing w:before="159"/>
                          <w:ind w:left="95" w:right="0" w:firstLine="0"/>
                          <w:jc w:val="left"/>
                          <w:rPr>
                            <w:rFonts w:ascii="Arial MT"/>
                            <w:sz w:val="14"/>
                          </w:rPr>
                        </w:pPr>
                        <w:r>
                          <w:rPr>
                            <w:rFonts w:ascii="Arial MT"/>
                            <w:spacing w:val="-10"/>
                            <w:w w:val="90"/>
                            <w:sz w:val="14"/>
                          </w:rPr>
                          <w:t>0</w:t>
                        </w:r>
                      </w:p>
                    </w:txbxContent>
                  </v:textbox>
                  <w10:wrap type="none"/>
                </v:shape>
                <v:shape style="position:absolute;left:7889;top:351;width:1812;height:161" type="#_x0000_t202" id="docshape2236" filled="false" stroked="false">
                  <v:textbox inset="0,0,0,0">
                    <w:txbxContent>
                      <w:p>
                        <w:pPr>
                          <w:tabs>
                            <w:tab w:pos="647" w:val="left" w:leader="none"/>
                            <w:tab w:pos="1433" w:val="left" w:leader="none"/>
                          </w:tabs>
                          <w:spacing w:line="161" w:lineRule="exact" w:before="0"/>
                          <w:ind w:left="0" w:right="0" w:firstLine="0"/>
                          <w:jc w:val="left"/>
                          <w:rPr>
                            <w:rFonts w:ascii="Arial MT"/>
                            <w:sz w:val="14"/>
                          </w:rPr>
                        </w:pPr>
                        <w:r>
                          <w:rPr>
                            <w:rFonts w:ascii="Arial MT"/>
                            <w:spacing w:val="-2"/>
                            <w:w w:val="90"/>
                            <w:sz w:val="14"/>
                          </w:rPr>
                          <w:t>Entry</w:t>
                        </w:r>
                        <w:r>
                          <w:rPr>
                            <w:rFonts w:ascii="Arial MT"/>
                            <w:sz w:val="14"/>
                          </w:rPr>
                          <w:tab/>
                        </w:r>
                        <w:r>
                          <w:rPr>
                            <w:rFonts w:ascii="Arial MT"/>
                            <w:spacing w:val="-2"/>
                            <w:w w:val="90"/>
                            <w:sz w:val="14"/>
                          </w:rPr>
                          <w:t>Contract</w:t>
                        </w:r>
                        <w:r>
                          <w:rPr>
                            <w:rFonts w:ascii="Arial MT"/>
                            <w:sz w:val="14"/>
                          </w:rPr>
                          <w:tab/>
                        </w:r>
                        <w:r>
                          <w:rPr>
                            <w:rFonts w:ascii="Arial MT"/>
                            <w:spacing w:val="-2"/>
                            <w:w w:val="85"/>
                            <w:sz w:val="14"/>
                          </w:rPr>
                          <w:t>Labour</w:t>
                        </w:r>
                      </w:p>
                    </w:txbxContent>
                  </v:textbox>
                  <w10:wrap type="none"/>
                </v:shape>
                <v:shape style="position:absolute;left:2229;top:417;width:180;height:161" type="#_x0000_t202" id="docshape2237" filled="false" stroked="false">
                  <v:textbox inset="0,0,0,0">
                    <w:txbxContent>
                      <w:p>
                        <w:pPr>
                          <w:spacing w:line="161" w:lineRule="exact" w:before="0"/>
                          <w:ind w:left="0" w:right="0" w:firstLine="0"/>
                          <w:jc w:val="left"/>
                          <w:rPr>
                            <w:rFonts w:ascii="Arial MT"/>
                            <w:sz w:val="14"/>
                          </w:rPr>
                        </w:pPr>
                        <w:r>
                          <w:rPr>
                            <w:rFonts w:ascii="Arial MT"/>
                            <w:spacing w:val="-5"/>
                            <w:w w:val="90"/>
                            <w:sz w:val="14"/>
                          </w:rPr>
                          <w:t>0.9</w:t>
                        </w:r>
                      </w:p>
                    </w:txbxContent>
                  </v:textbox>
                  <w10:wrap type="none"/>
                </v:shape>
                <w10:wrap type="topAndBottom"/>
              </v:group>
            </w:pict>
          </mc:Fallback>
        </mc:AlternateContent>
      </w:r>
    </w:p>
    <w:p>
      <w:pPr>
        <w:spacing w:line="249" w:lineRule="auto" w:before="43"/>
        <w:ind w:left="2006" w:right="1944" w:firstLine="0"/>
        <w:jc w:val="left"/>
        <w:rPr>
          <w:sz w:val="16"/>
        </w:rPr>
      </w:pPr>
      <w:r>
        <w:rPr>
          <w:i/>
          <w:spacing w:val="-4"/>
          <w:sz w:val="16"/>
        </w:rPr>
        <w:t>Source: </w:t>
      </w:r>
      <w:r>
        <w:rPr>
          <w:spacing w:val="-4"/>
          <w:sz w:val="16"/>
        </w:rPr>
        <w:t>Explaining International Differences in Entrepreneurship: The Role of Individual Characteristics and </w:t>
      </w:r>
      <w:r>
        <w:rPr>
          <w:spacing w:val="-4"/>
          <w:sz w:val="16"/>
        </w:rPr>
        <w:t>Regulatory</w:t>
      </w:r>
      <w:r>
        <w:rPr>
          <w:spacing w:val="40"/>
          <w:sz w:val="16"/>
        </w:rPr>
        <w:t> </w:t>
      </w:r>
      <w:r>
        <w:rPr>
          <w:sz w:val="16"/>
        </w:rPr>
        <w:t>Constraints,</w:t>
      </w:r>
      <w:r>
        <w:rPr>
          <w:spacing w:val="-1"/>
          <w:sz w:val="16"/>
        </w:rPr>
        <w:t> </w:t>
      </w:r>
      <w:r>
        <w:rPr>
          <w:sz w:val="16"/>
        </w:rPr>
        <w:t>Silvia</w:t>
      </w:r>
      <w:r>
        <w:rPr>
          <w:spacing w:val="-1"/>
          <w:sz w:val="16"/>
        </w:rPr>
        <w:t> </w:t>
      </w:r>
      <w:r>
        <w:rPr>
          <w:sz w:val="16"/>
        </w:rPr>
        <w:t>Ardagna</w:t>
      </w:r>
      <w:r>
        <w:rPr>
          <w:spacing w:val="-1"/>
          <w:sz w:val="16"/>
        </w:rPr>
        <w:t> </w:t>
      </w:r>
      <w:r>
        <w:rPr>
          <w:sz w:val="16"/>
        </w:rPr>
        <w:t>and</w:t>
      </w:r>
      <w:r>
        <w:rPr>
          <w:spacing w:val="-1"/>
          <w:sz w:val="16"/>
        </w:rPr>
        <w:t> </w:t>
      </w:r>
      <w:r>
        <w:rPr>
          <w:sz w:val="16"/>
        </w:rPr>
        <w:t>Annamaria</w:t>
      </w:r>
      <w:r>
        <w:rPr>
          <w:spacing w:val="-1"/>
          <w:sz w:val="16"/>
        </w:rPr>
        <w:t> </w:t>
      </w:r>
      <w:r>
        <w:rPr>
          <w:sz w:val="16"/>
        </w:rPr>
        <w:t>Lusardi,</w:t>
      </w:r>
      <w:r>
        <w:rPr>
          <w:spacing w:val="-1"/>
          <w:sz w:val="16"/>
        </w:rPr>
        <w:t> </w:t>
      </w:r>
      <w:r>
        <w:rPr>
          <w:sz w:val="16"/>
        </w:rPr>
        <w:t>2008</w:t>
      </w:r>
    </w:p>
    <w:p>
      <w:pPr>
        <w:pStyle w:val="BodyText"/>
        <w:spacing w:before="101"/>
        <w:rPr>
          <w:sz w:val="24"/>
        </w:rPr>
      </w:pPr>
    </w:p>
    <w:p>
      <w:pPr>
        <w:pStyle w:val="Heading8"/>
        <w:ind w:left="2021"/>
      </w:pPr>
      <w:r>
        <w:rPr>
          <w:w w:val="90"/>
        </w:rPr>
        <w:t>Figure</w:t>
      </w:r>
      <w:r>
        <w:rPr>
          <w:spacing w:val="6"/>
        </w:rPr>
        <w:t> </w:t>
      </w:r>
      <w:r>
        <w:rPr>
          <w:w w:val="90"/>
        </w:rPr>
        <w:t>62:</w:t>
      </w:r>
      <w:r>
        <w:rPr>
          <w:spacing w:val="7"/>
        </w:rPr>
        <w:t> </w:t>
      </w:r>
      <w:r>
        <w:rPr>
          <w:color w:val="2E614A"/>
          <w:w w:val="90"/>
        </w:rPr>
        <w:t>Relative</w:t>
      </w:r>
      <w:r>
        <w:rPr>
          <w:color w:val="2E614A"/>
          <w:spacing w:val="7"/>
        </w:rPr>
        <w:t> </w:t>
      </w:r>
      <w:r>
        <w:rPr>
          <w:color w:val="2E614A"/>
          <w:w w:val="90"/>
        </w:rPr>
        <w:t>importance</w:t>
      </w:r>
      <w:r>
        <w:rPr>
          <w:color w:val="2E614A"/>
          <w:spacing w:val="6"/>
        </w:rPr>
        <w:t> </w:t>
      </w:r>
      <w:r>
        <w:rPr>
          <w:color w:val="2E614A"/>
          <w:w w:val="90"/>
        </w:rPr>
        <w:t>of</w:t>
      </w:r>
      <w:r>
        <w:rPr>
          <w:color w:val="2E614A"/>
          <w:spacing w:val="7"/>
        </w:rPr>
        <w:t> </w:t>
      </w:r>
      <w:r>
        <w:rPr>
          <w:color w:val="2E614A"/>
          <w:w w:val="90"/>
        </w:rPr>
        <w:t>factors</w:t>
      </w:r>
      <w:r>
        <w:rPr>
          <w:color w:val="2E614A"/>
          <w:spacing w:val="7"/>
        </w:rPr>
        <w:t> </w:t>
      </w:r>
      <w:r>
        <w:rPr>
          <w:color w:val="2E614A"/>
          <w:w w:val="90"/>
        </w:rPr>
        <w:t>on</w:t>
      </w:r>
      <w:r>
        <w:rPr>
          <w:color w:val="2E614A"/>
          <w:spacing w:val="7"/>
        </w:rPr>
        <w:t> </w:t>
      </w:r>
      <w:r>
        <w:rPr>
          <w:color w:val="2E614A"/>
          <w:w w:val="90"/>
        </w:rPr>
        <w:t>a</w:t>
      </w:r>
      <w:r>
        <w:rPr>
          <w:color w:val="2E614A"/>
          <w:spacing w:val="6"/>
        </w:rPr>
        <w:t> </w:t>
      </w:r>
      <w:r>
        <w:rPr>
          <w:color w:val="2E614A"/>
          <w:w w:val="90"/>
        </w:rPr>
        <w:t>scale</w:t>
      </w:r>
      <w:r>
        <w:rPr>
          <w:color w:val="2E614A"/>
          <w:spacing w:val="7"/>
        </w:rPr>
        <w:t> </w:t>
      </w:r>
      <w:r>
        <w:rPr>
          <w:color w:val="2E614A"/>
          <w:w w:val="90"/>
        </w:rPr>
        <w:t>of</w:t>
      </w:r>
      <w:r>
        <w:rPr>
          <w:color w:val="2E614A"/>
          <w:spacing w:val="7"/>
        </w:rPr>
        <w:t> </w:t>
      </w:r>
      <w:r>
        <w:rPr>
          <w:color w:val="2E614A"/>
          <w:w w:val="90"/>
        </w:rPr>
        <w:t>1-</w:t>
      </w:r>
      <w:r>
        <w:rPr>
          <w:color w:val="2E614A"/>
          <w:spacing w:val="-10"/>
          <w:w w:val="90"/>
        </w:rPr>
        <w:t>3</w:t>
      </w:r>
    </w:p>
    <w:p>
      <w:pPr>
        <w:pStyle w:val="BodyText"/>
        <w:spacing w:before="10"/>
        <w:rPr>
          <w:b/>
          <w:sz w:val="10"/>
        </w:rPr>
      </w:pPr>
      <w:r>
        <w:rPr/>
        <mc:AlternateContent>
          <mc:Choice Requires="wps">
            <w:drawing>
              <wp:anchor distT="0" distB="0" distL="0" distR="0" allowOverlap="1" layoutInCell="1" locked="0" behindDoc="1" simplePos="0" relativeHeight="487756800">
                <wp:simplePos x="0" y="0"/>
                <wp:positionH relativeFrom="page">
                  <wp:posOffset>1274887</wp:posOffset>
                </wp:positionH>
                <wp:positionV relativeFrom="paragraph">
                  <wp:posOffset>94843</wp:posOffset>
                </wp:positionV>
                <wp:extent cx="5049520" cy="2264410"/>
                <wp:effectExtent l="0" t="0" r="0" b="0"/>
                <wp:wrapTopAndBottom/>
                <wp:docPr id="2298" name="Group 2298"/>
                <wp:cNvGraphicFramePr>
                  <a:graphicFrameLocks/>
                </wp:cNvGraphicFramePr>
                <a:graphic>
                  <a:graphicData uri="http://schemas.microsoft.com/office/word/2010/wordprocessingGroup">
                    <wpg:wgp>
                      <wpg:cNvPr id="2298" name="Group 2298"/>
                      <wpg:cNvGrpSpPr/>
                      <wpg:grpSpPr>
                        <a:xfrm>
                          <a:off x="0" y="0"/>
                          <a:ext cx="5049520" cy="2264410"/>
                          <a:chExt cx="5049520" cy="2264410"/>
                        </a:xfrm>
                      </wpg:grpSpPr>
                      <wps:wsp>
                        <wps:cNvPr id="2299" name="Graphic 2299"/>
                        <wps:cNvSpPr/>
                        <wps:spPr>
                          <a:xfrm>
                            <a:off x="-10" y="0"/>
                            <a:ext cx="5049520" cy="2264410"/>
                          </a:xfrm>
                          <a:custGeom>
                            <a:avLst/>
                            <a:gdLst/>
                            <a:ahLst/>
                            <a:cxnLst/>
                            <a:rect l="l" t="t" r="r" b="b"/>
                            <a:pathLst>
                              <a:path w="5049520" h="2264410">
                                <a:moveTo>
                                  <a:pt x="5049380" y="0"/>
                                </a:moveTo>
                                <a:lnTo>
                                  <a:pt x="5043030" y="0"/>
                                </a:lnTo>
                                <a:lnTo>
                                  <a:pt x="5043030" y="6400"/>
                                </a:lnTo>
                                <a:lnTo>
                                  <a:pt x="5043030" y="2258060"/>
                                </a:lnTo>
                                <a:lnTo>
                                  <a:pt x="5043030" y="2258555"/>
                                </a:lnTo>
                                <a:lnTo>
                                  <a:pt x="5043030" y="2261730"/>
                                </a:lnTo>
                                <a:lnTo>
                                  <a:pt x="5043030" y="2261870"/>
                                </a:lnTo>
                                <a:lnTo>
                                  <a:pt x="3175" y="2261870"/>
                                </a:lnTo>
                                <a:lnTo>
                                  <a:pt x="3175" y="2261730"/>
                                </a:lnTo>
                                <a:lnTo>
                                  <a:pt x="6350" y="2261730"/>
                                </a:lnTo>
                                <a:lnTo>
                                  <a:pt x="5043030" y="2261730"/>
                                </a:lnTo>
                                <a:lnTo>
                                  <a:pt x="5043030" y="2258555"/>
                                </a:lnTo>
                                <a:lnTo>
                                  <a:pt x="6350" y="2258555"/>
                                </a:lnTo>
                                <a:lnTo>
                                  <a:pt x="3175" y="2258555"/>
                                </a:lnTo>
                                <a:lnTo>
                                  <a:pt x="3175" y="2258060"/>
                                </a:lnTo>
                                <a:lnTo>
                                  <a:pt x="6350" y="2258060"/>
                                </a:lnTo>
                                <a:lnTo>
                                  <a:pt x="6350" y="6400"/>
                                </a:lnTo>
                                <a:lnTo>
                                  <a:pt x="5043030" y="6400"/>
                                </a:lnTo>
                                <a:lnTo>
                                  <a:pt x="5043030" y="0"/>
                                </a:lnTo>
                                <a:lnTo>
                                  <a:pt x="0" y="0"/>
                                </a:lnTo>
                                <a:lnTo>
                                  <a:pt x="0" y="3810"/>
                                </a:lnTo>
                                <a:lnTo>
                                  <a:pt x="0" y="6350"/>
                                </a:lnTo>
                                <a:lnTo>
                                  <a:pt x="0" y="2258060"/>
                                </a:lnTo>
                                <a:lnTo>
                                  <a:pt x="0" y="2261870"/>
                                </a:lnTo>
                                <a:lnTo>
                                  <a:pt x="0" y="2264410"/>
                                </a:lnTo>
                                <a:lnTo>
                                  <a:pt x="5049380" y="2264410"/>
                                </a:lnTo>
                                <a:lnTo>
                                  <a:pt x="5049380" y="2261870"/>
                                </a:lnTo>
                                <a:lnTo>
                                  <a:pt x="5046205" y="2261870"/>
                                </a:lnTo>
                                <a:lnTo>
                                  <a:pt x="5046205" y="2261730"/>
                                </a:lnTo>
                                <a:lnTo>
                                  <a:pt x="5049380" y="2261730"/>
                                </a:lnTo>
                                <a:lnTo>
                                  <a:pt x="5049380" y="2258555"/>
                                </a:lnTo>
                                <a:lnTo>
                                  <a:pt x="5046205" y="2258555"/>
                                </a:lnTo>
                                <a:lnTo>
                                  <a:pt x="5046205" y="2258060"/>
                                </a:lnTo>
                                <a:lnTo>
                                  <a:pt x="5049380" y="2258060"/>
                                </a:lnTo>
                                <a:lnTo>
                                  <a:pt x="5049380" y="6400"/>
                                </a:lnTo>
                                <a:lnTo>
                                  <a:pt x="5049380" y="3810"/>
                                </a:lnTo>
                                <a:lnTo>
                                  <a:pt x="5049380" y="3225"/>
                                </a:lnTo>
                                <a:lnTo>
                                  <a:pt x="5049380" y="0"/>
                                </a:lnTo>
                                <a:close/>
                              </a:path>
                            </a:pathLst>
                          </a:custGeom>
                          <a:solidFill>
                            <a:srgbClr val="000000"/>
                          </a:solidFill>
                        </wps:spPr>
                        <wps:bodyPr wrap="square" lIns="0" tIns="0" rIns="0" bIns="0" rtlCol="0">
                          <a:prstTxWarp prst="textNoShape">
                            <a:avLst/>
                          </a:prstTxWarp>
                          <a:noAutofit/>
                        </wps:bodyPr>
                      </wps:wsp>
                      <wps:wsp>
                        <wps:cNvPr id="2300" name="Graphic 2300"/>
                        <wps:cNvSpPr/>
                        <wps:spPr>
                          <a:xfrm>
                            <a:off x="538977" y="346798"/>
                            <a:ext cx="4147820" cy="1606550"/>
                          </a:xfrm>
                          <a:custGeom>
                            <a:avLst/>
                            <a:gdLst/>
                            <a:ahLst/>
                            <a:cxnLst/>
                            <a:rect l="l" t="t" r="r" b="b"/>
                            <a:pathLst>
                              <a:path w="4147820" h="1606550">
                                <a:moveTo>
                                  <a:pt x="309651" y="0"/>
                                </a:moveTo>
                                <a:lnTo>
                                  <a:pt x="0" y="0"/>
                                </a:lnTo>
                                <a:lnTo>
                                  <a:pt x="0" y="1606207"/>
                                </a:lnTo>
                                <a:lnTo>
                                  <a:pt x="309651" y="1606207"/>
                                </a:lnTo>
                                <a:lnTo>
                                  <a:pt x="309651" y="0"/>
                                </a:lnTo>
                                <a:close/>
                              </a:path>
                              <a:path w="4147820" h="1606550">
                                <a:moveTo>
                                  <a:pt x="1075639" y="114731"/>
                                </a:moveTo>
                                <a:lnTo>
                                  <a:pt x="765987" y="114731"/>
                                </a:lnTo>
                                <a:lnTo>
                                  <a:pt x="765987" y="1606207"/>
                                </a:lnTo>
                                <a:lnTo>
                                  <a:pt x="1075639" y="1606207"/>
                                </a:lnTo>
                                <a:lnTo>
                                  <a:pt x="1075639" y="114731"/>
                                </a:lnTo>
                                <a:close/>
                              </a:path>
                              <a:path w="4147820" h="1606550">
                                <a:moveTo>
                                  <a:pt x="1849780" y="132384"/>
                                </a:moveTo>
                                <a:lnTo>
                                  <a:pt x="1531975" y="132384"/>
                                </a:lnTo>
                                <a:lnTo>
                                  <a:pt x="1531975" y="1606207"/>
                                </a:lnTo>
                                <a:lnTo>
                                  <a:pt x="1849780" y="1606207"/>
                                </a:lnTo>
                                <a:lnTo>
                                  <a:pt x="1849780" y="132384"/>
                                </a:lnTo>
                                <a:close/>
                              </a:path>
                              <a:path w="4147820" h="1606550">
                                <a:moveTo>
                                  <a:pt x="2615768" y="450088"/>
                                </a:moveTo>
                                <a:lnTo>
                                  <a:pt x="2306116" y="450088"/>
                                </a:lnTo>
                                <a:lnTo>
                                  <a:pt x="2306116" y="1606207"/>
                                </a:lnTo>
                                <a:lnTo>
                                  <a:pt x="2615768" y="1606207"/>
                                </a:lnTo>
                                <a:lnTo>
                                  <a:pt x="2615768" y="450088"/>
                                </a:lnTo>
                                <a:close/>
                              </a:path>
                              <a:path w="4147820" h="1606550">
                                <a:moveTo>
                                  <a:pt x="3381756" y="979614"/>
                                </a:moveTo>
                                <a:lnTo>
                                  <a:pt x="3072104" y="979614"/>
                                </a:lnTo>
                                <a:lnTo>
                                  <a:pt x="3072104" y="1606207"/>
                                </a:lnTo>
                                <a:lnTo>
                                  <a:pt x="3381756" y="1606207"/>
                                </a:lnTo>
                                <a:lnTo>
                                  <a:pt x="3381756" y="979614"/>
                                </a:lnTo>
                                <a:close/>
                              </a:path>
                              <a:path w="4147820" h="1606550">
                                <a:moveTo>
                                  <a:pt x="4147743" y="1006081"/>
                                </a:moveTo>
                                <a:lnTo>
                                  <a:pt x="3838079" y="1006081"/>
                                </a:lnTo>
                                <a:lnTo>
                                  <a:pt x="3838079" y="1606207"/>
                                </a:lnTo>
                                <a:lnTo>
                                  <a:pt x="4147743" y="1606207"/>
                                </a:lnTo>
                                <a:lnTo>
                                  <a:pt x="4147743" y="1006081"/>
                                </a:lnTo>
                                <a:close/>
                              </a:path>
                            </a:pathLst>
                          </a:custGeom>
                          <a:solidFill>
                            <a:srgbClr val="2F7D41"/>
                          </a:solidFill>
                        </wps:spPr>
                        <wps:bodyPr wrap="square" lIns="0" tIns="0" rIns="0" bIns="0" rtlCol="0">
                          <a:prstTxWarp prst="textNoShape">
                            <a:avLst/>
                          </a:prstTxWarp>
                          <a:noAutofit/>
                        </wps:bodyPr>
                      </wps:wsp>
                      <wps:wsp>
                        <wps:cNvPr id="2301" name="Graphic 2301"/>
                        <wps:cNvSpPr/>
                        <wps:spPr>
                          <a:xfrm>
                            <a:off x="283441" y="167118"/>
                            <a:ext cx="4634865" cy="1824989"/>
                          </a:xfrm>
                          <a:custGeom>
                            <a:avLst/>
                            <a:gdLst/>
                            <a:ahLst/>
                            <a:cxnLst/>
                            <a:rect l="l" t="t" r="r" b="b"/>
                            <a:pathLst>
                              <a:path w="4634865" h="1824989">
                                <a:moveTo>
                                  <a:pt x="4634369" y="1782711"/>
                                </a:moveTo>
                                <a:lnTo>
                                  <a:pt x="4634369" y="1782711"/>
                                </a:lnTo>
                                <a:lnTo>
                                  <a:pt x="30797" y="1782711"/>
                                </a:lnTo>
                                <a:lnTo>
                                  <a:pt x="30797" y="0"/>
                                </a:lnTo>
                                <a:lnTo>
                                  <a:pt x="24447" y="0"/>
                                </a:lnTo>
                                <a:lnTo>
                                  <a:pt x="0" y="0"/>
                                </a:lnTo>
                                <a:lnTo>
                                  <a:pt x="0" y="6350"/>
                                </a:lnTo>
                                <a:lnTo>
                                  <a:pt x="24447" y="6350"/>
                                </a:lnTo>
                                <a:lnTo>
                                  <a:pt x="24447" y="220637"/>
                                </a:lnTo>
                                <a:lnTo>
                                  <a:pt x="0" y="220637"/>
                                </a:lnTo>
                                <a:lnTo>
                                  <a:pt x="0" y="226987"/>
                                </a:lnTo>
                                <a:lnTo>
                                  <a:pt x="24447" y="226987"/>
                                </a:lnTo>
                                <a:lnTo>
                                  <a:pt x="24447" y="450088"/>
                                </a:lnTo>
                                <a:lnTo>
                                  <a:pt x="0" y="450088"/>
                                </a:lnTo>
                                <a:lnTo>
                                  <a:pt x="0" y="456438"/>
                                </a:lnTo>
                                <a:lnTo>
                                  <a:pt x="24447" y="456438"/>
                                </a:lnTo>
                                <a:lnTo>
                                  <a:pt x="24447" y="670725"/>
                                </a:lnTo>
                                <a:lnTo>
                                  <a:pt x="0" y="670725"/>
                                </a:lnTo>
                                <a:lnTo>
                                  <a:pt x="0" y="677075"/>
                                </a:lnTo>
                                <a:lnTo>
                                  <a:pt x="24447" y="677075"/>
                                </a:lnTo>
                                <a:lnTo>
                                  <a:pt x="24447" y="891349"/>
                                </a:lnTo>
                                <a:lnTo>
                                  <a:pt x="0" y="891349"/>
                                </a:lnTo>
                                <a:lnTo>
                                  <a:pt x="0" y="897699"/>
                                </a:lnTo>
                                <a:lnTo>
                                  <a:pt x="24447" y="897699"/>
                                </a:lnTo>
                                <a:lnTo>
                                  <a:pt x="24447" y="1111986"/>
                                </a:lnTo>
                                <a:lnTo>
                                  <a:pt x="0" y="1111986"/>
                                </a:lnTo>
                                <a:lnTo>
                                  <a:pt x="0" y="1118336"/>
                                </a:lnTo>
                                <a:lnTo>
                                  <a:pt x="24447" y="1118336"/>
                                </a:lnTo>
                                <a:lnTo>
                                  <a:pt x="24447" y="1341450"/>
                                </a:lnTo>
                                <a:lnTo>
                                  <a:pt x="0" y="1341450"/>
                                </a:lnTo>
                                <a:lnTo>
                                  <a:pt x="0" y="1347800"/>
                                </a:lnTo>
                                <a:lnTo>
                                  <a:pt x="24447" y="1347800"/>
                                </a:lnTo>
                                <a:lnTo>
                                  <a:pt x="24447" y="1562087"/>
                                </a:lnTo>
                                <a:lnTo>
                                  <a:pt x="0" y="1562087"/>
                                </a:lnTo>
                                <a:lnTo>
                                  <a:pt x="0" y="1568437"/>
                                </a:lnTo>
                                <a:lnTo>
                                  <a:pt x="24447" y="1568437"/>
                                </a:lnTo>
                                <a:lnTo>
                                  <a:pt x="24447" y="1782711"/>
                                </a:lnTo>
                                <a:lnTo>
                                  <a:pt x="0" y="1782711"/>
                                </a:lnTo>
                                <a:lnTo>
                                  <a:pt x="0" y="1789061"/>
                                </a:lnTo>
                                <a:lnTo>
                                  <a:pt x="24447" y="1789061"/>
                                </a:lnTo>
                                <a:lnTo>
                                  <a:pt x="24447" y="1824367"/>
                                </a:lnTo>
                                <a:lnTo>
                                  <a:pt x="30797" y="1824367"/>
                                </a:lnTo>
                                <a:lnTo>
                                  <a:pt x="30797" y="1789061"/>
                                </a:lnTo>
                                <a:lnTo>
                                  <a:pt x="790346" y="1789061"/>
                                </a:lnTo>
                                <a:lnTo>
                                  <a:pt x="790346" y="1824367"/>
                                </a:lnTo>
                                <a:lnTo>
                                  <a:pt x="796696" y="1824367"/>
                                </a:lnTo>
                                <a:lnTo>
                                  <a:pt x="796696" y="1789061"/>
                                </a:lnTo>
                                <a:lnTo>
                                  <a:pt x="1556258" y="1789061"/>
                                </a:lnTo>
                                <a:lnTo>
                                  <a:pt x="1556258" y="1824367"/>
                                </a:lnTo>
                                <a:lnTo>
                                  <a:pt x="1562608" y="1824367"/>
                                </a:lnTo>
                                <a:lnTo>
                                  <a:pt x="1562608" y="1789061"/>
                                </a:lnTo>
                                <a:lnTo>
                                  <a:pt x="2330310" y="1789061"/>
                                </a:lnTo>
                                <a:lnTo>
                                  <a:pt x="2330310" y="1824367"/>
                                </a:lnTo>
                                <a:lnTo>
                                  <a:pt x="2336660" y="1824367"/>
                                </a:lnTo>
                                <a:lnTo>
                                  <a:pt x="2336660" y="1789061"/>
                                </a:lnTo>
                                <a:lnTo>
                                  <a:pt x="3096209" y="1789061"/>
                                </a:lnTo>
                                <a:lnTo>
                                  <a:pt x="3096209" y="1824367"/>
                                </a:lnTo>
                                <a:lnTo>
                                  <a:pt x="3102559" y="1824367"/>
                                </a:lnTo>
                                <a:lnTo>
                                  <a:pt x="3102559" y="1789061"/>
                                </a:lnTo>
                                <a:lnTo>
                                  <a:pt x="3862120" y="1789061"/>
                                </a:lnTo>
                                <a:lnTo>
                                  <a:pt x="3862120" y="1824367"/>
                                </a:lnTo>
                                <a:lnTo>
                                  <a:pt x="3868470" y="1824367"/>
                                </a:lnTo>
                                <a:lnTo>
                                  <a:pt x="3868470" y="1789061"/>
                                </a:lnTo>
                                <a:lnTo>
                                  <a:pt x="4628019" y="1789061"/>
                                </a:lnTo>
                                <a:lnTo>
                                  <a:pt x="4628019" y="1824367"/>
                                </a:lnTo>
                                <a:lnTo>
                                  <a:pt x="4634369" y="1824367"/>
                                </a:lnTo>
                                <a:lnTo>
                                  <a:pt x="4634369" y="1782711"/>
                                </a:lnTo>
                                <a:close/>
                              </a:path>
                            </a:pathLst>
                          </a:custGeom>
                          <a:solidFill>
                            <a:srgbClr val="000000"/>
                          </a:solidFill>
                        </wps:spPr>
                        <wps:bodyPr wrap="square" lIns="0" tIns="0" rIns="0" bIns="0" rtlCol="0">
                          <a:prstTxWarp prst="textNoShape">
                            <a:avLst/>
                          </a:prstTxWarp>
                          <a:noAutofit/>
                        </wps:bodyPr>
                      </wps:wsp>
                      <wps:wsp>
                        <wps:cNvPr id="2302" name="Textbox 2302"/>
                        <wps:cNvSpPr txBox="1"/>
                        <wps:spPr>
                          <a:xfrm>
                            <a:off x="4251882" y="1979747"/>
                            <a:ext cx="59245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Regulatory</w:t>
                              </w:r>
                              <w:r>
                                <w:rPr>
                                  <w:rFonts w:ascii="Arial MT"/>
                                  <w:spacing w:val="-2"/>
                                  <w:w w:val="80"/>
                                  <w:sz w:val="14"/>
                                </w:rPr>
                                <w:t> </w:t>
                              </w:r>
                              <w:r>
                                <w:rPr>
                                  <w:rFonts w:ascii="Arial MT"/>
                                  <w:spacing w:val="-2"/>
                                  <w:w w:val="90"/>
                                  <w:sz w:val="14"/>
                                </w:rPr>
                                <w:t>issues</w:t>
                              </w:r>
                            </w:p>
                          </w:txbxContent>
                        </wps:txbx>
                        <wps:bodyPr wrap="square" lIns="0" tIns="0" rIns="0" bIns="0" rtlCol="0">
                          <a:noAutofit/>
                        </wps:bodyPr>
                      </wps:wsp>
                      <wps:wsp>
                        <wps:cNvPr id="2303" name="Textbox 2303"/>
                        <wps:cNvSpPr txBox="1"/>
                        <wps:spPr>
                          <a:xfrm>
                            <a:off x="3445777" y="1979747"/>
                            <a:ext cx="63690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Governance</w:t>
                              </w:r>
                              <w:r>
                                <w:rPr>
                                  <w:rFonts w:ascii="Arial MT"/>
                                  <w:spacing w:val="8"/>
                                  <w:sz w:val="14"/>
                                </w:rPr>
                                <w:t> </w:t>
                              </w:r>
                              <w:r>
                                <w:rPr>
                                  <w:rFonts w:ascii="Arial MT"/>
                                  <w:spacing w:val="-2"/>
                                  <w:w w:val="85"/>
                                  <w:sz w:val="14"/>
                                </w:rPr>
                                <w:t>issues</w:t>
                              </w:r>
                            </w:p>
                          </w:txbxContent>
                        </wps:txbx>
                        <wps:bodyPr wrap="square" lIns="0" tIns="0" rIns="0" bIns="0" rtlCol="0">
                          <a:noAutofit/>
                        </wps:bodyPr>
                      </wps:wsp>
                      <wps:wsp>
                        <wps:cNvPr id="2304" name="Textbox 2304"/>
                        <wps:cNvSpPr txBox="1"/>
                        <wps:spPr>
                          <a:xfrm>
                            <a:off x="2688382" y="1979747"/>
                            <a:ext cx="608965" cy="216535"/>
                          </a:xfrm>
                          <a:prstGeom prst="rect">
                            <a:avLst/>
                          </a:prstGeom>
                        </wps:spPr>
                        <wps:txbx>
                          <w:txbxContent>
                            <w:p>
                              <w:pPr>
                                <w:spacing w:line="268" w:lineRule="auto" w:before="0"/>
                                <w:ind w:left="82" w:right="18" w:hanging="83"/>
                                <w:jc w:val="left"/>
                                <w:rPr>
                                  <w:rFonts w:ascii="Arial MT"/>
                                  <w:sz w:val="14"/>
                                </w:rPr>
                              </w:pPr>
                              <w:r>
                                <w:rPr>
                                  <w:rFonts w:ascii="Arial MT"/>
                                  <w:w w:val="80"/>
                                  <w:sz w:val="14"/>
                                </w:rPr>
                                <w:t>Local</w:t>
                              </w:r>
                              <w:r>
                                <w:rPr>
                                  <w:rFonts w:ascii="Arial MT"/>
                                  <w:spacing w:val="-2"/>
                                  <w:w w:val="80"/>
                                  <w:sz w:val="14"/>
                                </w:rPr>
                                <w:t> </w:t>
                              </w:r>
                              <w:r>
                                <w:rPr>
                                  <w:rFonts w:ascii="Arial MT"/>
                                  <w:w w:val="80"/>
                                  <w:sz w:val="14"/>
                                </w:rPr>
                                <w:t>environment</w:t>
                              </w:r>
                              <w:r>
                                <w:rPr>
                                  <w:rFonts w:ascii="Arial MT"/>
                                  <w:spacing w:val="40"/>
                                  <w:sz w:val="14"/>
                                </w:rPr>
                                <w:t> </w:t>
                              </w:r>
                              <w:r>
                                <w:rPr>
                                  <w:rFonts w:ascii="Arial MT"/>
                                  <w:w w:val="90"/>
                                  <w:sz w:val="14"/>
                                </w:rPr>
                                <w:t>and</w:t>
                              </w:r>
                              <w:r>
                                <w:rPr>
                                  <w:rFonts w:ascii="Arial MT"/>
                                  <w:spacing w:val="-6"/>
                                  <w:w w:val="90"/>
                                  <w:sz w:val="14"/>
                                </w:rPr>
                                <w:t> </w:t>
                              </w:r>
                              <w:r>
                                <w:rPr>
                                  <w:rFonts w:ascii="Arial MT"/>
                                  <w:w w:val="90"/>
                                  <w:sz w:val="14"/>
                                </w:rPr>
                                <w:t>ecosystem</w:t>
                              </w:r>
                            </w:p>
                          </w:txbxContent>
                        </wps:txbx>
                        <wps:bodyPr wrap="square" lIns="0" tIns="0" rIns="0" bIns="0" rtlCol="0">
                          <a:noAutofit/>
                        </wps:bodyPr>
                      </wps:wsp>
                      <wps:wsp>
                        <wps:cNvPr id="2305" name="Textbox 2305"/>
                        <wps:cNvSpPr txBox="1"/>
                        <wps:spPr>
                          <a:xfrm>
                            <a:off x="2105518" y="1979747"/>
                            <a:ext cx="27241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5"/>
                                  <w:sz w:val="14"/>
                                </w:rPr>
                                <w:t>Finance</w:t>
                              </w:r>
                            </w:p>
                          </w:txbxContent>
                        </wps:txbx>
                        <wps:bodyPr wrap="square" lIns="0" tIns="0" rIns="0" bIns="0" rtlCol="0">
                          <a:noAutofit/>
                        </wps:bodyPr>
                      </wps:wsp>
                      <wps:wsp>
                        <wps:cNvPr id="2306" name="Textbox 2306"/>
                        <wps:cNvSpPr txBox="1"/>
                        <wps:spPr>
                          <a:xfrm>
                            <a:off x="1167799" y="1979747"/>
                            <a:ext cx="58039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Manpower</w:t>
                              </w:r>
                              <w:r>
                                <w:rPr>
                                  <w:rFonts w:ascii="Arial MT"/>
                                  <w:spacing w:val="-1"/>
                                  <w:sz w:val="14"/>
                                </w:rPr>
                                <w:t> </w:t>
                              </w:r>
                              <w:r>
                                <w:rPr>
                                  <w:rFonts w:ascii="Arial MT"/>
                                  <w:spacing w:val="-4"/>
                                  <w:w w:val="90"/>
                                  <w:sz w:val="14"/>
                                </w:rPr>
                                <w:t>issues</w:t>
                              </w:r>
                            </w:p>
                          </w:txbxContent>
                        </wps:txbx>
                        <wps:bodyPr wrap="square" lIns="0" tIns="0" rIns="0" bIns="0" rtlCol="0">
                          <a:noAutofit/>
                        </wps:bodyPr>
                      </wps:wsp>
                      <wps:wsp>
                        <wps:cNvPr id="2307" name="Textbox 2307"/>
                        <wps:cNvSpPr txBox="1"/>
                        <wps:spPr>
                          <a:xfrm>
                            <a:off x="464687" y="1979747"/>
                            <a:ext cx="442595" cy="102235"/>
                          </a:xfrm>
                          <a:prstGeom prst="rect">
                            <a:avLst/>
                          </a:prstGeom>
                        </wps:spPr>
                        <wps:txbx>
                          <w:txbxContent>
                            <w:p>
                              <w:pPr>
                                <w:spacing w:line="161" w:lineRule="exact" w:before="0"/>
                                <w:ind w:left="0" w:right="0" w:firstLine="0"/>
                                <w:jc w:val="left"/>
                                <w:rPr>
                                  <w:rFonts w:ascii="Arial MT"/>
                                  <w:sz w:val="14"/>
                                </w:rPr>
                              </w:pPr>
                              <w:r>
                                <w:rPr>
                                  <w:rFonts w:ascii="Arial MT"/>
                                  <w:spacing w:val="-2"/>
                                  <w:w w:val="80"/>
                                  <w:sz w:val="14"/>
                                </w:rPr>
                                <w:t>Infrastructure</w:t>
                              </w:r>
                            </w:p>
                          </w:txbxContent>
                        </wps:txbx>
                        <wps:bodyPr wrap="square" lIns="0" tIns="0" rIns="0" bIns="0" rtlCol="0">
                          <a:noAutofit/>
                        </wps:bodyPr>
                      </wps:wsp>
                      <wps:wsp>
                        <wps:cNvPr id="2308" name="Textbox 2308"/>
                        <wps:cNvSpPr txBox="1"/>
                        <wps:spPr>
                          <a:xfrm>
                            <a:off x="152641" y="1457777"/>
                            <a:ext cx="114300" cy="54419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2.2</w:t>
                              </w:r>
                            </w:p>
                            <w:p>
                              <w:pPr>
                                <w:spacing w:line="240" w:lineRule="auto" w:before="26"/>
                                <w:rPr>
                                  <w:rFonts w:ascii="Arial MT"/>
                                  <w:sz w:val="14"/>
                                </w:rPr>
                              </w:pPr>
                            </w:p>
                            <w:p>
                              <w:pPr>
                                <w:spacing w:before="0"/>
                                <w:ind w:left="0" w:right="0" w:firstLine="0"/>
                                <w:jc w:val="left"/>
                                <w:rPr>
                                  <w:rFonts w:ascii="Arial MT"/>
                                  <w:sz w:val="14"/>
                                </w:rPr>
                              </w:pPr>
                              <w:r>
                                <w:rPr>
                                  <w:rFonts w:ascii="Arial MT"/>
                                  <w:spacing w:val="-5"/>
                                  <w:w w:val="90"/>
                                  <w:sz w:val="14"/>
                                </w:rPr>
                                <w:t>2.1</w:t>
                              </w:r>
                            </w:p>
                            <w:p>
                              <w:pPr>
                                <w:spacing w:line="240" w:lineRule="auto" w:before="26"/>
                                <w:rPr>
                                  <w:rFonts w:ascii="Arial MT"/>
                                  <w:sz w:val="14"/>
                                </w:rPr>
                              </w:pPr>
                            </w:p>
                            <w:p>
                              <w:pPr>
                                <w:spacing w:before="0"/>
                                <w:ind w:left="0" w:right="0" w:firstLine="0"/>
                                <w:jc w:val="left"/>
                                <w:rPr>
                                  <w:rFonts w:ascii="Arial MT"/>
                                  <w:sz w:val="14"/>
                                </w:rPr>
                              </w:pPr>
                              <w:r>
                                <w:rPr>
                                  <w:rFonts w:ascii="Arial MT"/>
                                  <w:spacing w:val="-5"/>
                                  <w:w w:val="90"/>
                                  <w:sz w:val="14"/>
                                </w:rPr>
                                <w:t>2.0</w:t>
                              </w:r>
                            </w:p>
                          </w:txbxContent>
                        </wps:txbx>
                        <wps:bodyPr wrap="square" lIns="0" tIns="0" rIns="0" bIns="0" rtlCol="0">
                          <a:noAutofit/>
                        </wps:bodyPr>
                      </wps:wsp>
                      <wps:wsp>
                        <wps:cNvPr id="2309" name="Textbox 2309"/>
                        <wps:cNvSpPr txBox="1"/>
                        <wps:spPr>
                          <a:xfrm>
                            <a:off x="4466149" y="1224097"/>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2.27</w:t>
                              </w:r>
                            </w:p>
                          </w:txbxContent>
                        </wps:txbx>
                        <wps:bodyPr wrap="square" lIns="0" tIns="0" rIns="0" bIns="0" rtlCol="0">
                          <a:noAutofit/>
                        </wps:bodyPr>
                      </wps:wsp>
                      <wps:wsp>
                        <wps:cNvPr id="2310" name="Textbox 2310"/>
                        <wps:cNvSpPr txBox="1"/>
                        <wps:spPr>
                          <a:xfrm>
                            <a:off x="3681899" y="1205047"/>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2.28</w:t>
                              </w:r>
                            </w:p>
                          </w:txbxContent>
                        </wps:txbx>
                        <wps:bodyPr wrap="square" lIns="0" tIns="0" rIns="0" bIns="0" rtlCol="0">
                          <a:noAutofit/>
                        </wps:bodyPr>
                      </wps:wsp>
                      <wps:wsp>
                        <wps:cNvPr id="2311" name="Textbox 2311"/>
                        <wps:cNvSpPr txBox="1"/>
                        <wps:spPr>
                          <a:xfrm>
                            <a:off x="152641" y="794837"/>
                            <a:ext cx="114300" cy="54419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2.5</w:t>
                              </w:r>
                            </w:p>
                            <w:p>
                              <w:pPr>
                                <w:spacing w:line="240" w:lineRule="auto" w:before="26"/>
                                <w:rPr>
                                  <w:rFonts w:ascii="Arial MT"/>
                                  <w:sz w:val="14"/>
                                </w:rPr>
                              </w:pPr>
                            </w:p>
                            <w:p>
                              <w:pPr>
                                <w:spacing w:before="0"/>
                                <w:ind w:left="0" w:right="0" w:firstLine="0"/>
                                <w:jc w:val="left"/>
                                <w:rPr>
                                  <w:rFonts w:ascii="Arial MT"/>
                                  <w:sz w:val="14"/>
                                </w:rPr>
                              </w:pPr>
                              <w:r>
                                <w:rPr>
                                  <w:rFonts w:ascii="Arial MT"/>
                                  <w:spacing w:val="-5"/>
                                  <w:w w:val="90"/>
                                  <w:sz w:val="14"/>
                                </w:rPr>
                                <w:t>2.4</w:t>
                              </w:r>
                            </w:p>
                            <w:p>
                              <w:pPr>
                                <w:spacing w:line="240" w:lineRule="auto" w:before="26"/>
                                <w:rPr>
                                  <w:rFonts w:ascii="Arial MT"/>
                                  <w:sz w:val="14"/>
                                </w:rPr>
                              </w:pPr>
                            </w:p>
                            <w:p>
                              <w:pPr>
                                <w:spacing w:before="0"/>
                                <w:ind w:left="0" w:right="0" w:firstLine="0"/>
                                <w:jc w:val="left"/>
                                <w:rPr>
                                  <w:rFonts w:ascii="Arial MT"/>
                                  <w:sz w:val="14"/>
                                </w:rPr>
                              </w:pPr>
                              <w:r>
                                <w:rPr>
                                  <w:rFonts w:ascii="Arial MT"/>
                                  <w:spacing w:val="-5"/>
                                  <w:w w:val="90"/>
                                  <w:sz w:val="14"/>
                                </w:rPr>
                                <w:t>2.3</w:t>
                              </w:r>
                            </w:p>
                          </w:txbxContent>
                        </wps:txbx>
                        <wps:bodyPr wrap="square" lIns="0" tIns="0" rIns="0" bIns="0" rtlCol="0">
                          <a:noAutofit/>
                        </wps:bodyPr>
                      </wps:wsp>
                      <wps:wsp>
                        <wps:cNvPr id="2312" name="Textbox 2312"/>
                        <wps:cNvSpPr txBox="1"/>
                        <wps:spPr>
                          <a:xfrm>
                            <a:off x="2926249" y="671647"/>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2.52</w:t>
                              </w:r>
                            </w:p>
                          </w:txbxContent>
                        </wps:txbx>
                        <wps:bodyPr wrap="square" lIns="0" tIns="0" rIns="0" bIns="0" rtlCol="0">
                          <a:noAutofit/>
                        </wps:bodyPr>
                      </wps:wsp>
                      <wps:wsp>
                        <wps:cNvPr id="2313" name="Textbox 2313"/>
                        <wps:cNvSpPr txBox="1"/>
                        <wps:spPr>
                          <a:xfrm>
                            <a:off x="152641" y="57385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2.6</w:t>
                              </w:r>
                            </w:p>
                          </w:txbxContent>
                        </wps:txbx>
                        <wps:bodyPr wrap="square" lIns="0" tIns="0" rIns="0" bIns="0" rtlCol="0">
                          <a:noAutofit/>
                        </wps:bodyPr>
                      </wps:wsp>
                      <wps:wsp>
                        <wps:cNvPr id="2314" name="Textbox 2314"/>
                        <wps:cNvSpPr txBox="1"/>
                        <wps:spPr>
                          <a:xfrm>
                            <a:off x="2140599" y="366847"/>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2.66</w:t>
                              </w:r>
                            </w:p>
                          </w:txbxContent>
                        </wps:txbx>
                        <wps:bodyPr wrap="square" lIns="0" tIns="0" rIns="0" bIns="0" rtlCol="0">
                          <a:noAutofit/>
                        </wps:bodyPr>
                      </wps:wsp>
                      <wps:wsp>
                        <wps:cNvPr id="2315" name="Textbox 2315"/>
                        <wps:cNvSpPr txBox="1"/>
                        <wps:spPr>
                          <a:xfrm>
                            <a:off x="1402249" y="341447"/>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2.67</w:t>
                              </w:r>
                            </w:p>
                          </w:txbxContent>
                        </wps:txbx>
                        <wps:bodyPr wrap="square" lIns="0" tIns="0" rIns="0" bIns="0" rtlCol="0">
                          <a:noAutofit/>
                        </wps:bodyPr>
                      </wps:wsp>
                      <wps:wsp>
                        <wps:cNvPr id="2316" name="Textbox 2316"/>
                        <wps:cNvSpPr txBox="1"/>
                        <wps:spPr>
                          <a:xfrm>
                            <a:off x="152641" y="35287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2.7</w:t>
                              </w:r>
                            </w:p>
                          </w:txbxContent>
                        </wps:txbx>
                        <wps:bodyPr wrap="square" lIns="0" tIns="0" rIns="0" bIns="0" rtlCol="0">
                          <a:noAutofit/>
                        </wps:bodyPr>
                      </wps:wsp>
                      <wps:wsp>
                        <wps:cNvPr id="2317" name="Textbox 2317"/>
                        <wps:cNvSpPr txBox="1"/>
                        <wps:spPr>
                          <a:xfrm>
                            <a:off x="627549" y="233497"/>
                            <a:ext cx="154940" cy="102235"/>
                          </a:xfrm>
                          <a:prstGeom prst="rect">
                            <a:avLst/>
                          </a:prstGeom>
                        </wps:spPr>
                        <wps:txbx>
                          <w:txbxContent>
                            <w:p>
                              <w:pPr>
                                <w:spacing w:line="161" w:lineRule="exact" w:before="0"/>
                                <w:ind w:left="0" w:right="0" w:firstLine="0"/>
                                <w:jc w:val="left"/>
                                <w:rPr>
                                  <w:rFonts w:ascii="Arial MT"/>
                                  <w:sz w:val="14"/>
                                </w:rPr>
                              </w:pPr>
                              <w:r>
                                <w:rPr>
                                  <w:rFonts w:ascii="Arial MT"/>
                                  <w:spacing w:val="-4"/>
                                  <w:w w:val="85"/>
                                  <w:sz w:val="14"/>
                                </w:rPr>
                                <w:t>2.72</w:t>
                              </w:r>
                            </w:p>
                          </w:txbxContent>
                        </wps:txbx>
                        <wps:bodyPr wrap="square" lIns="0" tIns="0" rIns="0" bIns="0" rtlCol="0">
                          <a:noAutofit/>
                        </wps:bodyPr>
                      </wps:wsp>
                      <wps:wsp>
                        <wps:cNvPr id="2318" name="Textbox 2318"/>
                        <wps:cNvSpPr txBox="1"/>
                        <wps:spPr>
                          <a:xfrm>
                            <a:off x="152641" y="131897"/>
                            <a:ext cx="114300" cy="1022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2.8</w:t>
                              </w:r>
                            </w:p>
                          </w:txbxContent>
                        </wps:txbx>
                        <wps:bodyPr wrap="square" lIns="0" tIns="0" rIns="0" bIns="0" rtlCol="0">
                          <a:noAutofit/>
                        </wps:bodyPr>
                      </wps:wsp>
                    </wpg:wgp>
                  </a:graphicData>
                </a:graphic>
              </wp:anchor>
            </w:drawing>
          </mc:Choice>
          <mc:Fallback>
            <w:pict>
              <v:group style="position:absolute;margin-left:100.384811pt;margin-top:7.467969pt;width:397.6pt;height:178.3pt;mso-position-horizontal-relative:page;mso-position-vertical-relative:paragraph;z-index:-15559680;mso-wrap-distance-left:0;mso-wrap-distance-right:0" id="docshapegroup2238" coordorigin="2008,149" coordsize="7952,3566">
                <v:shape style="position:absolute;left:2007;top:149;width:7952;height:3566" id="docshape2239" coordorigin="2008,149" coordsize="7952,3566" path="m9959,149l9949,149,9949,159,9949,3705,9949,3706,9949,3711,9949,3711,2013,3711,2013,3711,2018,3711,9949,3711,9949,3706,2018,3706,2013,3706,2013,3705,2018,3705,2018,159,9949,159,9949,149,2008,149,2008,155,2008,159,2008,3705,2008,3711,2008,3715,9959,3715,9959,3711,9954,3711,9954,3711,9959,3711,9959,3706,9954,3706,9954,3705,9959,3705,9959,159,9959,155,9959,154,9959,149xe" filled="true" fillcolor="#000000" stroked="false">
                  <v:path arrowok="t"/>
                  <v:fill type="solid"/>
                </v:shape>
                <v:shape style="position:absolute;left:2856;top:695;width:6532;height:2530" id="docshape2240" coordorigin="2856,695" coordsize="6532,2530" path="m3344,695l2856,695,2856,3225,3344,3225,3344,695xm4550,876l4063,876,4063,3225,4550,3225,4550,876xm5770,904l5269,904,5269,3225,5770,3225,5770,904xm6976,1404l6488,1404,6488,3225,6976,3225,6976,1404xm8182,2238l7694,2238,7694,3225,8182,3225,8182,2238xm9388,2280l8901,2280,8901,3225,9388,3225,9388,2280xe" filled="true" fillcolor="#2f7d41" stroked="false">
                  <v:path arrowok="t"/>
                  <v:fill type="solid"/>
                </v:shape>
                <v:shape style="position:absolute;left:2454;top:412;width:7299;height:2874" id="docshape2241" coordorigin="2454,413" coordsize="7299,2874" path="m9752,3220l9752,3220,2503,3220,2503,413,2493,413,2454,413,2454,423,2493,423,2493,760,2454,760,2454,770,2493,770,2493,1121,2454,1121,2454,1131,2493,1131,2493,1469,2454,1469,2454,1479,2493,1479,2493,1816,2454,1816,2454,1826,2493,1826,2493,2164,2454,2164,2454,2174,2493,2174,2493,2525,2454,2525,2454,2535,2493,2535,2493,2873,2454,2873,2454,2883,2493,2883,2493,3220,2454,3220,2454,3230,2493,3230,2493,3286,2503,3286,2503,3230,3699,3230,3699,3286,3709,3286,3709,3230,4905,3230,4905,3286,4915,3286,4915,3230,6124,3230,6124,3286,6134,3286,6134,3230,7330,3230,7330,3286,7340,3286,7340,3230,8536,3230,8536,3286,8546,3286,8546,3230,9742,3230,9742,3286,9752,3286,9752,3220xe" filled="true" fillcolor="#000000" stroked="false">
                  <v:path arrowok="t"/>
                  <v:fill type="solid"/>
                </v:shape>
                <v:shape style="position:absolute;left:8703;top:3267;width:933;height:161" type="#_x0000_t202" id="docshape2242" filled="false" stroked="false">
                  <v:textbox inset="0,0,0,0">
                    <w:txbxContent>
                      <w:p>
                        <w:pPr>
                          <w:spacing w:line="161" w:lineRule="exact" w:before="0"/>
                          <w:ind w:left="0" w:right="0" w:firstLine="0"/>
                          <w:jc w:val="left"/>
                          <w:rPr>
                            <w:rFonts w:ascii="Arial MT"/>
                            <w:sz w:val="14"/>
                          </w:rPr>
                        </w:pPr>
                        <w:r>
                          <w:rPr>
                            <w:rFonts w:ascii="Arial MT"/>
                            <w:w w:val="80"/>
                            <w:sz w:val="14"/>
                          </w:rPr>
                          <w:t>Regulatory</w:t>
                        </w:r>
                        <w:r>
                          <w:rPr>
                            <w:rFonts w:ascii="Arial MT"/>
                            <w:spacing w:val="-2"/>
                            <w:w w:val="80"/>
                            <w:sz w:val="14"/>
                          </w:rPr>
                          <w:t> </w:t>
                        </w:r>
                        <w:r>
                          <w:rPr>
                            <w:rFonts w:ascii="Arial MT"/>
                            <w:spacing w:val="-2"/>
                            <w:w w:val="90"/>
                            <w:sz w:val="14"/>
                          </w:rPr>
                          <w:t>issues</w:t>
                        </w:r>
                      </w:p>
                    </w:txbxContent>
                  </v:textbox>
                  <w10:wrap type="none"/>
                </v:shape>
                <v:shape style="position:absolute;left:7434;top:3267;width:1003;height:161" type="#_x0000_t202" id="docshape2243" filled="false" stroked="false">
                  <v:textbox inset="0,0,0,0">
                    <w:txbxContent>
                      <w:p>
                        <w:pPr>
                          <w:spacing w:line="161" w:lineRule="exact" w:before="0"/>
                          <w:ind w:left="0" w:right="0" w:firstLine="0"/>
                          <w:jc w:val="left"/>
                          <w:rPr>
                            <w:rFonts w:ascii="Arial MT"/>
                            <w:sz w:val="14"/>
                          </w:rPr>
                        </w:pPr>
                        <w:r>
                          <w:rPr>
                            <w:rFonts w:ascii="Arial MT"/>
                            <w:w w:val="80"/>
                            <w:sz w:val="14"/>
                          </w:rPr>
                          <w:t>Governance</w:t>
                        </w:r>
                        <w:r>
                          <w:rPr>
                            <w:rFonts w:ascii="Arial MT"/>
                            <w:spacing w:val="8"/>
                            <w:sz w:val="14"/>
                          </w:rPr>
                          <w:t> </w:t>
                        </w:r>
                        <w:r>
                          <w:rPr>
                            <w:rFonts w:ascii="Arial MT"/>
                            <w:spacing w:val="-2"/>
                            <w:w w:val="85"/>
                            <w:sz w:val="14"/>
                          </w:rPr>
                          <w:t>issues</w:t>
                        </w:r>
                      </w:p>
                    </w:txbxContent>
                  </v:textbox>
                  <w10:wrap type="none"/>
                </v:shape>
                <v:shape style="position:absolute;left:6241;top:3267;width:959;height:341" type="#_x0000_t202" id="docshape2244" filled="false" stroked="false">
                  <v:textbox inset="0,0,0,0">
                    <w:txbxContent>
                      <w:p>
                        <w:pPr>
                          <w:spacing w:line="268" w:lineRule="auto" w:before="0"/>
                          <w:ind w:left="82" w:right="18" w:hanging="83"/>
                          <w:jc w:val="left"/>
                          <w:rPr>
                            <w:rFonts w:ascii="Arial MT"/>
                            <w:sz w:val="14"/>
                          </w:rPr>
                        </w:pPr>
                        <w:r>
                          <w:rPr>
                            <w:rFonts w:ascii="Arial MT"/>
                            <w:w w:val="80"/>
                            <w:sz w:val="14"/>
                          </w:rPr>
                          <w:t>Local</w:t>
                        </w:r>
                        <w:r>
                          <w:rPr>
                            <w:rFonts w:ascii="Arial MT"/>
                            <w:spacing w:val="-2"/>
                            <w:w w:val="80"/>
                            <w:sz w:val="14"/>
                          </w:rPr>
                          <w:t> </w:t>
                        </w:r>
                        <w:r>
                          <w:rPr>
                            <w:rFonts w:ascii="Arial MT"/>
                            <w:w w:val="80"/>
                            <w:sz w:val="14"/>
                          </w:rPr>
                          <w:t>environment</w:t>
                        </w:r>
                        <w:r>
                          <w:rPr>
                            <w:rFonts w:ascii="Arial MT"/>
                            <w:spacing w:val="40"/>
                            <w:sz w:val="14"/>
                          </w:rPr>
                          <w:t> </w:t>
                        </w:r>
                        <w:r>
                          <w:rPr>
                            <w:rFonts w:ascii="Arial MT"/>
                            <w:w w:val="90"/>
                            <w:sz w:val="14"/>
                          </w:rPr>
                          <w:t>and</w:t>
                        </w:r>
                        <w:r>
                          <w:rPr>
                            <w:rFonts w:ascii="Arial MT"/>
                            <w:spacing w:val="-6"/>
                            <w:w w:val="90"/>
                            <w:sz w:val="14"/>
                          </w:rPr>
                          <w:t> </w:t>
                        </w:r>
                        <w:r>
                          <w:rPr>
                            <w:rFonts w:ascii="Arial MT"/>
                            <w:w w:val="90"/>
                            <w:sz w:val="14"/>
                          </w:rPr>
                          <w:t>ecosystem</w:t>
                        </w:r>
                      </w:p>
                    </w:txbxContent>
                  </v:textbox>
                  <w10:wrap type="none"/>
                </v:shape>
                <v:shape style="position:absolute;left:5323;top:3267;width:429;height:161" type="#_x0000_t202" id="docshape2245" filled="false" stroked="false">
                  <v:textbox inset="0,0,0,0">
                    <w:txbxContent>
                      <w:p>
                        <w:pPr>
                          <w:spacing w:line="161" w:lineRule="exact" w:before="0"/>
                          <w:ind w:left="0" w:right="0" w:firstLine="0"/>
                          <w:jc w:val="left"/>
                          <w:rPr>
                            <w:rFonts w:ascii="Arial MT"/>
                            <w:sz w:val="14"/>
                          </w:rPr>
                        </w:pPr>
                        <w:r>
                          <w:rPr>
                            <w:rFonts w:ascii="Arial MT"/>
                            <w:spacing w:val="-2"/>
                            <w:w w:val="85"/>
                            <w:sz w:val="14"/>
                          </w:rPr>
                          <w:t>Finance</w:t>
                        </w:r>
                      </w:p>
                    </w:txbxContent>
                  </v:textbox>
                  <w10:wrap type="none"/>
                </v:shape>
                <v:shape style="position:absolute;left:3846;top:3267;width:914;height:161" type="#_x0000_t202" id="docshape2246" filled="false" stroked="false">
                  <v:textbox inset="0,0,0,0">
                    <w:txbxContent>
                      <w:p>
                        <w:pPr>
                          <w:spacing w:line="161" w:lineRule="exact" w:before="0"/>
                          <w:ind w:left="0" w:right="0" w:firstLine="0"/>
                          <w:jc w:val="left"/>
                          <w:rPr>
                            <w:rFonts w:ascii="Arial MT"/>
                            <w:sz w:val="14"/>
                          </w:rPr>
                        </w:pPr>
                        <w:r>
                          <w:rPr>
                            <w:rFonts w:ascii="Arial MT"/>
                            <w:w w:val="80"/>
                            <w:sz w:val="14"/>
                          </w:rPr>
                          <w:t>Manpower</w:t>
                        </w:r>
                        <w:r>
                          <w:rPr>
                            <w:rFonts w:ascii="Arial MT"/>
                            <w:spacing w:val="-1"/>
                            <w:sz w:val="14"/>
                          </w:rPr>
                          <w:t> </w:t>
                        </w:r>
                        <w:r>
                          <w:rPr>
                            <w:rFonts w:ascii="Arial MT"/>
                            <w:spacing w:val="-4"/>
                            <w:w w:val="90"/>
                            <w:sz w:val="14"/>
                          </w:rPr>
                          <w:t>issues</w:t>
                        </w:r>
                      </w:p>
                    </w:txbxContent>
                  </v:textbox>
                  <w10:wrap type="none"/>
                </v:shape>
                <v:shape style="position:absolute;left:2739;top:3267;width:697;height:161" type="#_x0000_t202" id="docshape2247" filled="false" stroked="false">
                  <v:textbox inset="0,0,0,0">
                    <w:txbxContent>
                      <w:p>
                        <w:pPr>
                          <w:spacing w:line="161" w:lineRule="exact" w:before="0"/>
                          <w:ind w:left="0" w:right="0" w:firstLine="0"/>
                          <w:jc w:val="left"/>
                          <w:rPr>
                            <w:rFonts w:ascii="Arial MT"/>
                            <w:sz w:val="14"/>
                          </w:rPr>
                        </w:pPr>
                        <w:r>
                          <w:rPr>
                            <w:rFonts w:ascii="Arial MT"/>
                            <w:spacing w:val="-2"/>
                            <w:w w:val="80"/>
                            <w:sz w:val="14"/>
                          </w:rPr>
                          <w:t>Infrastructure</w:t>
                        </w:r>
                      </w:p>
                    </w:txbxContent>
                  </v:textbox>
                  <w10:wrap type="none"/>
                </v:shape>
                <v:shape style="position:absolute;left:2248;top:2445;width:180;height:857" type="#_x0000_t202" id="docshape2248" filled="false" stroked="false">
                  <v:textbox inset="0,0,0,0">
                    <w:txbxContent>
                      <w:p>
                        <w:pPr>
                          <w:spacing w:line="161" w:lineRule="exact" w:before="0"/>
                          <w:ind w:left="0" w:right="0" w:firstLine="0"/>
                          <w:jc w:val="left"/>
                          <w:rPr>
                            <w:rFonts w:ascii="Arial MT"/>
                            <w:sz w:val="14"/>
                          </w:rPr>
                        </w:pPr>
                        <w:r>
                          <w:rPr>
                            <w:rFonts w:ascii="Arial MT"/>
                            <w:spacing w:val="-5"/>
                            <w:w w:val="90"/>
                            <w:sz w:val="14"/>
                          </w:rPr>
                          <w:t>2.2</w:t>
                        </w:r>
                      </w:p>
                      <w:p>
                        <w:pPr>
                          <w:spacing w:line="240" w:lineRule="auto" w:before="26"/>
                          <w:rPr>
                            <w:rFonts w:ascii="Arial MT"/>
                            <w:sz w:val="14"/>
                          </w:rPr>
                        </w:pPr>
                      </w:p>
                      <w:p>
                        <w:pPr>
                          <w:spacing w:before="0"/>
                          <w:ind w:left="0" w:right="0" w:firstLine="0"/>
                          <w:jc w:val="left"/>
                          <w:rPr>
                            <w:rFonts w:ascii="Arial MT"/>
                            <w:sz w:val="14"/>
                          </w:rPr>
                        </w:pPr>
                        <w:r>
                          <w:rPr>
                            <w:rFonts w:ascii="Arial MT"/>
                            <w:spacing w:val="-5"/>
                            <w:w w:val="90"/>
                            <w:sz w:val="14"/>
                          </w:rPr>
                          <w:t>2.1</w:t>
                        </w:r>
                      </w:p>
                      <w:p>
                        <w:pPr>
                          <w:spacing w:line="240" w:lineRule="auto" w:before="26"/>
                          <w:rPr>
                            <w:rFonts w:ascii="Arial MT"/>
                            <w:sz w:val="14"/>
                          </w:rPr>
                        </w:pPr>
                      </w:p>
                      <w:p>
                        <w:pPr>
                          <w:spacing w:before="0"/>
                          <w:ind w:left="0" w:right="0" w:firstLine="0"/>
                          <w:jc w:val="left"/>
                          <w:rPr>
                            <w:rFonts w:ascii="Arial MT"/>
                            <w:sz w:val="14"/>
                          </w:rPr>
                        </w:pPr>
                        <w:r>
                          <w:rPr>
                            <w:rFonts w:ascii="Arial MT"/>
                            <w:spacing w:val="-5"/>
                            <w:w w:val="90"/>
                            <w:sz w:val="14"/>
                          </w:rPr>
                          <w:t>2.0</w:t>
                        </w:r>
                      </w:p>
                    </w:txbxContent>
                  </v:textbox>
                  <w10:wrap type="none"/>
                </v:shape>
                <v:shape style="position:absolute;left:9041;top:2077;width:244;height:161" type="#_x0000_t202" id="docshape2249" filled="false" stroked="false">
                  <v:textbox inset="0,0,0,0">
                    <w:txbxContent>
                      <w:p>
                        <w:pPr>
                          <w:spacing w:line="161" w:lineRule="exact" w:before="0"/>
                          <w:ind w:left="0" w:right="0" w:firstLine="0"/>
                          <w:jc w:val="left"/>
                          <w:rPr>
                            <w:rFonts w:ascii="Arial MT"/>
                            <w:sz w:val="14"/>
                          </w:rPr>
                        </w:pPr>
                        <w:r>
                          <w:rPr>
                            <w:rFonts w:ascii="Arial MT"/>
                            <w:spacing w:val="-4"/>
                            <w:w w:val="85"/>
                            <w:sz w:val="14"/>
                          </w:rPr>
                          <w:t>2.27</w:t>
                        </w:r>
                      </w:p>
                    </w:txbxContent>
                  </v:textbox>
                  <w10:wrap type="none"/>
                </v:shape>
                <v:shape style="position:absolute;left:7805;top:2047;width:244;height:161" type="#_x0000_t202" id="docshape2250" filled="false" stroked="false">
                  <v:textbox inset="0,0,0,0">
                    <w:txbxContent>
                      <w:p>
                        <w:pPr>
                          <w:spacing w:line="161" w:lineRule="exact" w:before="0"/>
                          <w:ind w:left="0" w:right="0" w:firstLine="0"/>
                          <w:jc w:val="left"/>
                          <w:rPr>
                            <w:rFonts w:ascii="Arial MT"/>
                            <w:sz w:val="14"/>
                          </w:rPr>
                        </w:pPr>
                        <w:r>
                          <w:rPr>
                            <w:rFonts w:ascii="Arial MT"/>
                            <w:spacing w:val="-4"/>
                            <w:w w:val="85"/>
                            <w:sz w:val="14"/>
                          </w:rPr>
                          <w:t>2.28</w:t>
                        </w:r>
                      </w:p>
                    </w:txbxContent>
                  </v:textbox>
                  <w10:wrap type="none"/>
                </v:shape>
                <v:shape style="position:absolute;left:2248;top:1401;width:180;height:857" type="#_x0000_t202" id="docshape2251" filled="false" stroked="false">
                  <v:textbox inset="0,0,0,0">
                    <w:txbxContent>
                      <w:p>
                        <w:pPr>
                          <w:spacing w:line="161" w:lineRule="exact" w:before="0"/>
                          <w:ind w:left="0" w:right="0" w:firstLine="0"/>
                          <w:jc w:val="left"/>
                          <w:rPr>
                            <w:rFonts w:ascii="Arial MT"/>
                            <w:sz w:val="14"/>
                          </w:rPr>
                        </w:pPr>
                        <w:r>
                          <w:rPr>
                            <w:rFonts w:ascii="Arial MT"/>
                            <w:spacing w:val="-5"/>
                            <w:w w:val="90"/>
                            <w:sz w:val="14"/>
                          </w:rPr>
                          <w:t>2.5</w:t>
                        </w:r>
                      </w:p>
                      <w:p>
                        <w:pPr>
                          <w:spacing w:line="240" w:lineRule="auto" w:before="26"/>
                          <w:rPr>
                            <w:rFonts w:ascii="Arial MT"/>
                            <w:sz w:val="14"/>
                          </w:rPr>
                        </w:pPr>
                      </w:p>
                      <w:p>
                        <w:pPr>
                          <w:spacing w:before="0"/>
                          <w:ind w:left="0" w:right="0" w:firstLine="0"/>
                          <w:jc w:val="left"/>
                          <w:rPr>
                            <w:rFonts w:ascii="Arial MT"/>
                            <w:sz w:val="14"/>
                          </w:rPr>
                        </w:pPr>
                        <w:r>
                          <w:rPr>
                            <w:rFonts w:ascii="Arial MT"/>
                            <w:spacing w:val="-5"/>
                            <w:w w:val="90"/>
                            <w:sz w:val="14"/>
                          </w:rPr>
                          <w:t>2.4</w:t>
                        </w:r>
                      </w:p>
                      <w:p>
                        <w:pPr>
                          <w:spacing w:line="240" w:lineRule="auto" w:before="26"/>
                          <w:rPr>
                            <w:rFonts w:ascii="Arial MT"/>
                            <w:sz w:val="14"/>
                          </w:rPr>
                        </w:pPr>
                      </w:p>
                      <w:p>
                        <w:pPr>
                          <w:spacing w:before="0"/>
                          <w:ind w:left="0" w:right="0" w:firstLine="0"/>
                          <w:jc w:val="left"/>
                          <w:rPr>
                            <w:rFonts w:ascii="Arial MT"/>
                            <w:sz w:val="14"/>
                          </w:rPr>
                        </w:pPr>
                        <w:r>
                          <w:rPr>
                            <w:rFonts w:ascii="Arial MT"/>
                            <w:spacing w:val="-5"/>
                            <w:w w:val="90"/>
                            <w:sz w:val="14"/>
                          </w:rPr>
                          <w:t>2.3</w:t>
                        </w:r>
                      </w:p>
                    </w:txbxContent>
                  </v:textbox>
                  <w10:wrap type="none"/>
                </v:shape>
                <v:shape style="position:absolute;left:6615;top:1207;width:244;height:161" type="#_x0000_t202" id="docshape2252" filled="false" stroked="false">
                  <v:textbox inset="0,0,0,0">
                    <w:txbxContent>
                      <w:p>
                        <w:pPr>
                          <w:spacing w:line="161" w:lineRule="exact" w:before="0"/>
                          <w:ind w:left="0" w:right="0" w:firstLine="0"/>
                          <w:jc w:val="left"/>
                          <w:rPr>
                            <w:rFonts w:ascii="Arial MT"/>
                            <w:sz w:val="14"/>
                          </w:rPr>
                        </w:pPr>
                        <w:r>
                          <w:rPr>
                            <w:rFonts w:ascii="Arial MT"/>
                            <w:spacing w:val="-4"/>
                            <w:w w:val="85"/>
                            <w:sz w:val="14"/>
                          </w:rPr>
                          <w:t>2.52</w:t>
                        </w:r>
                      </w:p>
                    </w:txbxContent>
                  </v:textbox>
                  <w10:wrap type="none"/>
                </v:shape>
                <v:shape style="position:absolute;left:2248;top:1053;width:180;height:161" type="#_x0000_t202" id="docshape2253" filled="false" stroked="false">
                  <v:textbox inset="0,0,0,0">
                    <w:txbxContent>
                      <w:p>
                        <w:pPr>
                          <w:spacing w:line="161" w:lineRule="exact" w:before="0"/>
                          <w:ind w:left="0" w:right="0" w:firstLine="0"/>
                          <w:jc w:val="left"/>
                          <w:rPr>
                            <w:rFonts w:ascii="Arial MT"/>
                            <w:sz w:val="14"/>
                          </w:rPr>
                        </w:pPr>
                        <w:r>
                          <w:rPr>
                            <w:rFonts w:ascii="Arial MT"/>
                            <w:spacing w:val="-5"/>
                            <w:w w:val="90"/>
                            <w:sz w:val="14"/>
                          </w:rPr>
                          <w:t>2.6</w:t>
                        </w:r>
                      </w:p>
                    </w:txbxContent>
                  </v:textbox>
                  <w10:wrap type="none"/>
                </v:shape>
                <v:shape style="position:absolute;left:5378;top:727;width:244;height:161" type="#_x0000_t202" id="docshape2254" filled="false" stroked="false">
                  <v:textbox inset="0,0,0,0">
                    <w:txbxContent>
                      <w:p>
                        <w:pPr>
                          <w:spacing w:line="161" w:lineRule="exact" w:before="0"/>
                          <w:ind w:left="0" w:right="0" w:firstLine="0"/>
                          <w:jc w:val="left"/>
                          <w:rPr>
                            <w:rFonts w:ascii="Arial MT"/>
                            <w:sz w:val="14"/>
                          </w:rPr>
                        </w:pPr>
                        <w:r>
                          <w:rPr>
                            <w:rFonts w:ascii="Arial MT"/>
                            <w:spacing w:val="-4"/>
                            <w:w w:val="85"/>
                            <w:sz w:val="14"/>
                          </w:rPr>
                          <w:t>2.66</w:t>
                        </w:r>
                      </w:p>
                    </w:txbxContent>
                  </v:textbox>
                  <w10:wrap type="none"/>
                </v:shape>
                <v:shape style="position:absolute;left:4215;top:687;width:244;height:161" type="#_x0000_t202" id="docshape2255" filled="false" stroked="false">
                  <v:textbox inset="0,0,0,0">
                    <w:txbxContent>
                      <w:p>
                        <w:pPr>
                          <w:spacing w:line="161" w:lineRule="exact" w:before="0"/>
                          <w:ind w:left="0" w:right="0" w:firstLine="0"/>
                          <w:jc w:val="left"/>
                          <w:rPr>
                            <w:rFonts w:ascii="Arial MT"/>
                            <w:sz w:val="14"/>
                          </w:rPr>
                        </w:pPr>
                        <w:r>
                          <w:rPr>
                            <w:rFonts w:ascii="Arial MT"/>
                            <w:spacing w:val="-4"/>
                            <w:w w:val="85"/>
                            <w:sz w:val="14"/>
                          </w:rPr>
                          <w:t>2.67</w:t>
                        </w:r>
                      </w:p>
                    </w:txbxContent>
                  </v:textbox>
                  <w10:wrap type="none"/>
                </v:shape>
                <v:shape style="position:absolute;left:2248;top:705;width:180;height:161" type="#_x0000_t202" id="docshape2256" filled="false" stroked="false">
                  <v:textbox inset="0,0,0,0">
                    <w:txbxContent>
                      <w:p>
                        <w:pPr>
                          <w:spacing w:line="161" w:lineRule="exact" w:before="0"/>
                          <w:ind w:left="0" w:right="0" w:firstLine="0"/>
                          <w:jc w:val="left"/>
                          <w:rPr>
                            <w:rFonts w:ascii="Arial MT"/>
                            <w:sz w:val="14"/>
                          </w:rPr>
                        </w:pPr>
                        <w:r>
                          <w:rPr>
                            <w:rFonts w:ascii="Arial MT"/>
                            <w:spacing w:val="-5"/>
                            <w:w w:val="90"/>
                            <w:sz w:val="14"/>
                          </w:rPr>
                          <w:t>2.7</w:t>
                        </w:r>
                      </w:p>
                    </w:txbxContent>
                  </v:textbox>
                  <w10:wrap type="none"/>
                </v:shape>
                <v:shape style="position:absolute;left:2995;top:517;width:244;height:161" type="#_x0000_t202" id="docshape2257" filled="false" stroked="false">
                  <v:textbox inset="0,0,0,0">
                    <w:txbxContent>
                      <w:p>
                        <w:pPr>
                          <w:spacing w:line="161" w:lineRule="exact" w:before="0"/>
                          <w:ind w:left="0" w:right="0" w:firstLine="0"/>
                          <w:jc w:val="left"/>
                          <w:rPr>
                            <w:rFonts w:ascii="Arial MT"/>
                            <w:sz w:val="14"/>
                          </w:rPr>
                        </w:pPr>
                        <w:r>
                          <w:rPr>
                            <w:rFonts w:ascii="Arial MT"/>
                            <w:spacing w:val="-4"/>
                            <w:w w:val="85"/>
                            <w:sz w:val="14"/>
                          </w:rPr>
                          <w:t>2.72</w:t>
                        </w:r>
                      </w:p>
                    </w:txbxContent>
                  </v:textbox>
                  <w10:wrap type="none"/>
                </v:shape>
                <v:shape style="position:absolute;left:2248;top:357;width:180;height:161" type="#_x0000_t202" id="docshape2258" filled="false" stroked="false">
                  <v:textbox inset="0,0,0,0">
                    <w:txbxContent>
                      <w:p>
                        <w:pPr>
                          <w:spacing w:line="161" w:lineRule="exact" w:before="0"/>
                          <w:ind w:left="0" w:right="0" w:firstLine="0"/>
                          <w:jc w:val="left"/>
                          <w:rPr>
                            <w:rFonts w:ascii="Arial MT"/>
                            <w:sz w:val="14"/>
                          </w:rPr>
                        </w:pPr>
                        <w:r>
                          <w:rPr>
                            <w:rFonts w:ascii="Arial MT"/>
                            <w:spacing w:val="-5"/>
                            <w:w w:val="90"/>
                            <w:sz w:val="14"/>
                          </w:rPr>
                          <w:t>2.8</w:t>
                        </w:r>
                      </w:p>
                    </w:txbxContent>
                  </v:textbox>
                  <w10:wrap type="none"/>
                </v:shape>
                <w10:wrap type="topAndBottom"/>
              </v:group>
            </w:pict>
          </mc:Fallback>
        </mc:AlternateContent>
      </w:r>
    </w:p>
    <w:p>
      <w:pPr>
        <w:spacing w:before="37"/>
        <w:ind w:left="2003" w:right="0" w:firstLine="0"/>
        <w:jc w:val="left"/>
        <w:rPr>
          <w:sz w:val="16"/>
        </w:rPr>
      </w:pPr>
      <w:r>
        <w:rPr>
          <w:i/>
          <w:spacing w:val="-4"/>
          <w:sz w:val="16"/>
        </w:rPr>
        <w:t>Source:</w:t>
      </w:r>
      <w:r>
        <w:rPr>
          <w:i/>
          <w:spacing w:val="4"/>
          <w:sz w:val="16"/>
        </w:rPr>
        <w:t> </w:t>
      </w:r>
      <w:r>
        <w:rPr>
          <w:spacing w:val="-4"/>
          <w:sz w:val="16"/>
        </w:rPr>
        <w:t>Entrepreneurial</w:t>
      </w:r>
      <w:r>
        <w:rPr>
          <w:spacing w:val="4"/>
          <w:sz w:val="16"/>
        </w:rPr>
        <w:t> </w:t>
      </w:r>
      <w:r>
        <w:rPr>
          <w:spacing w:val="-4"/>
          <w:sz w:val="16"/>
        </w:rPr>
        <w:t>India,</w:t>
      </w:r>
      <w:r>
        <w:rPr>
          <w:spacing w:val="4"/>
          <w:sz w:val="16"/>
        </w:rPr>
        <w:t> </w:t>
      </w:r>
      <w:r>
        <w:rPr>
          <w:spacing w:val="-4"/>
          <w:sz w:val="16"/>
        </w:rPr>
        <w:t>KPMG-TiE</w:t>
      </w:r>
      <w:r>
        <w:rPr>
          <w:spacing w:val="4"/>
          <w:sz w:val="16"/>
        </w:rPr>
        <w:t> </w:t>
      </w:r>
      <w:r>
        <w:rPr>
          <w:spacing w:val="-4"/>
          <w:sz w:val="16"/>
        </w:rPr>
        <w:t>Report,</w:t>
      </w:r>
      <w:r>
        <w:rPr>
          <w:spacing w:val="4"/>
          <w:sz w:val="16"/>
        </w:rPr>
        <w:t> </w:t>
      </w:r>
      <w:r>
        <w:rPr>
          <w:spacing w:val="-4"/>
          <w:sz w:val="16"/>
        </w:rPr>
        <w:t>2008</w:t>
      </w:r>
    </w:p>
    <w:p>
      <w:pPr>
        <w:pStyle w:val="BodyText"/>
        <w:spacing w:before="23"/>
        <w:rPr>
          <w:sz w:val="20"/>
        </w:rPr>
      </w:pPr>
    </w:p>
    <w:p>
      <w:pPr>
        <w:spacing w:after="0"/>
        <w:rPr>
          <w:sz w:val="20"/>
        </w:rPr>
        <w:sectPr>
          <w:pgSz w:w="11910" w:h="16840"/>
          <w:pgMar w:header="0" w:footer="675" w:top="940" w:bottom="860" w:left="0" w:right="0"/>
        </w:sectPr>
      </w:pPr>
    </w:p>
    <w:p>
      <w:pPr>
        <w:pStyle w:val="BodyText"/>
        <w:spacing w:line="266" w:lineRule="auto" w:before="85"/>
        <w:ind w:left="1069"/>
        <w:jc w:val="both"/>
      </w:pPr>
      <w:r>
        <w:rPr>
          <w:b/>
          <w:spacing w:val="-4"/>
        </w:rPr>
        <w:t>Infrastructure:</w:t>
      </w:r>
      <w:r>
        <w:rPr>
          <w:b/>
          <w:spacing w:val="-4"/>
        </w:rPr>
        <w:t> </w:t>
      </w:r>
      <w:r>
        <w:rPr>
          <w:spacing w:val="-4"/>
        </w:rPr>
        <w:t>India’s</w:t>
      </w:r>
      <w:r>
        <w:rPr>
          <w:spacing w:val="-4"/>
        </w:rPr>
        <w:t> physical</w:t>
      </w:r>
      <w:r>
        <w:rPr>
          <w:spacing w:val="-4"/>
        </w:rPr>
        <w:t> infrastructure</w:t>
      </w:r>
      <w:r>
        <w:rPr>
          <w:spacing w:val="-4"/>
        </w:rPr>
        <w:t> –</w:t>
      </w:r>
      <w:r>
        <w:rPr>
          <w:spacing w:val="-4"/>
        </w:rPr>
        <w:t> </w:t>
      </w:r>
      <w:r>
        <w:rPr>
          <w:spacing w:val="-4"/>
        </w:rPr>
        <w:t>roads, rail,</w:t>
      </w:r>
      <w:r>
        <w:rPr>
          <w:spacing w:val="-10"/>
        </w:rPr>
        <w:t> </w:t>
      </w:r>
      <w:r>
        <w:rPr>
          <w:spacing w:val="-4"/>
        </w:rPr>
        <w:t>ports,</w:t>
      </w:r>
      <w:r>
        <w:rPr>
          <w:spacing w:val="-10"/>
        </w:rPr>
        <w:t> </w:t>
      </w:r>
      <w:r>
        <w:rPr>
          <w:spacing w:val="-4"/>
        </w:rPr>
        <w:t>power,</w:t>
      </w:r>
      <w:r>
        <w:rPr>
          <w:spacing w:val="-10"/>
        </w:rPr>
        <w:t> </w:t>
      </w:r>
      <w:r>
        <w:rPr>
          <w:spacing w:val="-4"/>
        </w:rPr>
        <w:t>and</w:t>
      </w:r>
      <w:r>
        <w:rPr>
          <w:spacing w:val="-9"/>
        </w:rPr>
        <w:t> </w:t>
      </w:r>
      <w:r>
        <w:rPr>
          <w:spacing w:val="-4"/>
        </w:rPr>
        <w:t>telecom</w:t>
      </w:r>
      <w:r>
        <w:rPr>
          <w:spacing w:val="-10"/>
        </w:rPr>
        <w:t> </w:t>
      </w:r>
      <w:r>
        <w:rPr>
          <w:spacing w:val="-4"/>
        </w:rPr>
        <w:t>–</w:t>
      </w:r>
      <w:r>
        <w:rPr>
          <w:spacing w:val="-10"/>
        </w:rPr>
        <w:t> </w:t>
      </w:r>
      <w:r>
        <w:rPr>
          <w:spacing w:val="-4"/>
        </w:rPr>
        <w:t>is</w:t>
      </w:r>
      <w:r>
        <w:rPr>
          <w:spacing w:val="-10"/>
        </w:rPr>
        <w:t> </w:t>
      </w:r>
      <w:r>
        <w:rPr>
          <w:spacing w:val="-4"/>
        </w:rPr>
        <w:t>also</w:t>
      </w:r>
      <w:r>
        <w:rPr>
          <w:spacing w:val="-9"/>
        </w:rPr>
        <w:t> </w:t>
      </w:r>
      <w:r>
        <w:rPr>
          <w:spacing w:val="-4"/>
        </w:rPr>
        <w:t>considered</w:t>
      </w:r>
      <w:r>
        <w:rPr>
          <w:spacing w:val="-10"/>
        </w:rPr>
        <w:t> </w:t>
      </w:r>
      <w:r>
        <w:rPr>
          <w:spacing w:val="-4"/>
        </w:rPr>
        <w:t>to</w:t>
      </w:r>
      <w:r>
        <w:rPr>
          <w:spacing w:val="-10"/>
        </w:rPr>
        <w:t> </w:t>
      </w:r>
      <w:r>
        <w:rPr>
          <w:spacing w:val="-4"/>
        </w:rPr>
        <w:t>be </w:t>
      </w:r>
      <w:r>
        <w:rPr>
          <w:spacing w:val="-2"/>
        </w:rPr>
        <w:t>a</w:t>
      </w:r>
      <w:r>
        <w:rPr>
          <w:spacing w:val="-12"/>
        </w:rPr>
        <w:t> </w:t>
      </w:r>
      <w:r>
        <w:rPr>
          <w:spacing w:val="-2"/>
        </w:rPr>
        <w:t>bottleneck</w:t>
      </w:r>
      <w:r>
        <w:rPr>
          <w:spacing w:val="-12"/>
        </w:rPr>
        <w:t> </w:t>
      </w:r>
      <w:r>
        <w:rPr>
          <w:spacing w:val="-2"/>
        </w:rPr>
        <w:t>to</w:t>
      </w:r>
      <w:r>
        <w:rPr>
          <w:spacing w:val="-12"/>
        </w:rPr>
        <w:t> </w:t>
      </w:r>
      <w:r>
        <w:rPr>
          <w:spacing w:val="-2"/>
        </w:rPr>
        <w:t>the</w:t>
      </w:r>
      <w:r>
        <w:rPr>
          <w:spacing w:val="-11"/>
        </w:rPr>
        <w:t> </w:t>
      </w:r>
      <w:r>
        <w:rPr>
          <w:spacing w:val="-2"/>
        </w:rPr>
        <w:t>smooth</w:t>
      </w:r>
      <w:r>
        <w:rPr>
          <w:spacing w:val="-12"/>
        </w:rPr>
        <w:t> </w:t>
      </w:r>
      <w:r>
        <w:rPr>
          <w:spacing w:val="-2"/>
        </w:rPr>
        <w:t>operation</w:t>
      </w:r>
      <w:r>
        <w:rPr>
          <w:spacing w:val="-12"/>
        </w:rPr>
        <w:t> </w:t>
      </w:r>
      <w:r>
        <w:rPr>
          <w:spacing w:val="-2"/>
        </w:rPr>
        <w:t>of</w:t>
      </w:r>
      <w:r>
        <w:rPr>
          <w:spacing w:val="-12"/>
        </w:rPr>
        <w:t> </w:t>
      </w:r>
      <w:r>
        <w:rPr>
          <w:spacing w:val="-2"/>
        </w:rPr>
        <w:t>entrepreneurial activity.</w:t>
      </w:r>
      <w:r>
        <w:rPr>
          <w:spacing w:val="-12"/>
        </w:rPr>
        <w:t> </w:t>
      </w:r>
      <w:r>
        <w:rPr>
          <w:spacing w:val="-2"/>
        </w:rPr>
        <w:t>The</w:t>
      </w:r>
      <w:r>
        <w:rPr>
          <w:spacing w:val="-12"/>
        </w:rPr>
        <w:t> </w:t>
      </w:r>
      <w:r>
        <w:rPr>
          <w:spacing w:val="-2"/>
        </w:rPr>
        <w:t>high</w:t>
      </w:r>
      <w:r>
        <w:rPr>
          <w:spacing w:val="-8"/>
        </w:rPr>
        <w:t> </w:t>
      </w:r>
      <w:r>
        <w:rPr>
          <w:spacing w:val="-2"/>
        </w:rPr>
        <w:t>transport</w:t>
      </w:r>
      <w:r>
        <w:rPr>
          <w:spacing w:val="-8"/>
        </w:rPr>
        <w:t> </w:t>
      </w:r>
      <w:r>
        <w:rPr>
          <w:spacing w:val="-2"/>
        </w:rPr>
        <w:t>and</w:t>
      </w:r>
      <w:r>
        <w:rPr>
          <w:spacing w:val="-8"/>
        </w:rPr>
        <w:t> </w:t>
      </w:r>
      <w:r>
        <w:rPr>
          <w:spacing w:val="-2"/>
        </w:rPr>
        <w:t>supply</w:t>
      </w:r>
      <w:r>
        <w:rPr>
          <w:spacing w:val="-8"/>
        </w:rPr>
        <w:t> </w:t>
      </w:r>
      <w:r>
        <w:rPr>
          <w:spacing w:val="-2"/>
        </w:rPr>
        <w:t>chain</w:t>
      </w:r>
      <w:r>
        <w:rPr>
          <w:spacing w:val="-8"/>
        </w:rPr>
        <w:t> </w:t>
      </w:r>
      <w:r>
        <w:rPr>
          <w:spacing w:val="-2"/>
        </w:rPr>
        <w:t>costs</w:t>
      </w:r>
      <w:r>
        <w:rPr>
          <w:spacing w:val="-8"/>
        </w:rPr>
        <w:t> </w:t>
      </w:r>
      <w:r>
        <w:rPr>
          <w:spacing w:val="-2"/>
        </w:rPr>
        <w:t>that </w:t>
      </w:r>
      <w:r>
        <w:rPr>
          <w:spacing w:val="-4"/>
        </w:rPr>
        <w:t>poor</w:t>
      </w:r>
      <w:r>
        <w:rPr>
          <w:spacing w:val="-10"/>
        </w:rPr>
        <w:t> </w:t>
      </w:r>
      <w:r>
        <w:rPr>
          <w:spacing w:val="-4"/>
        </w:rPr>
        <w:t>infrastructure</w:t>
      </w:r>
      <w:r>
        <w:rPr>
          <w:spacing w:val="-10"/>
        </w:rPr>
        <w:t> </w:t>
      </w:r>
      <w:r>
        <w:rPr>
          <w:spacing w:val="-4"/>
        </w:rPr>
        <w:t>entails</w:t>
      </w:r>
      <w:r>
        <w:rPr>
          <w:spacing w:val="-10"/>
        </w:rPr>
        <w:t> </w:t>
      </w:r>
      <w:r>
        <w:rPr>
          <w:spacing w:val="-4"/>
        </w:rPr>
        <w:t>can</w:t>
      </w:r>
      <w:r>
        <w:rPr>
          <w:spacing w:val="-9"/>
        </w:rPr>
        <w:t> </w:t>
      </w:r>
      <w:r>
        <w:rPr>
          <w:spacing w:val="-4"/>
        </w:rPr>
        <w:t>be</w:t>
      </w:r>
      <w:r>
        <w:rPr>
          <w:spacing w:val="-10"/>
        </w:rPr>
        <w:t> </w:t>
      </w:r>
      <w:r>
        <w:rPr>
          <w:spacing w:val="-4"/>
        </w:rPr>
        <w:t>affect</w:t>
      </w:r>
      <w:r>
        <w:rPr>
          <w:spacing w:val="-10"/>
        </w:rPr>
        <w:t> </w:t>
      </w:r>
      <w:r>
        <w:rPr>
          <w:spacing w:val="-4"/>
        </w:rPr>
        <w:t>competitiveness </w:t>
      </w:r>
      <w:r>
        <w:rPr/>
        <w:t>to</w:t>
      </w:r>
      <w:r>
        <w:rPr>
          <w:spacing w:val="-3"/>
        </w:rPr>
        <w:t> </w:t>
      </w:r>
      <w:r>
        <w:rPr/>
        <w:t>a</w:t>
      </w:r>
      <w:r>
        <w:rPr>
          <w:spacing w:val="-3"/>
        </w:rPr>
        <w:t> </w:t>
      </w:r>
      <w:r>
        <w:rPr/>
        <w:t>great</w:t>
      </w:r>
      <w:r>
        <w:rPr>
          <w:spacing w:val="-3"/>
        </w:rPr>
        <w:t> </w:t>
      </w:r>
      <w:r>
        <w:rPr/>
        <w:t>extent,</w:t>
      </w:r>
      <w:r>
        <w:rPr>
          <w:spacing w:val="-3"/>
        </w:rPr>
        <w:t> </w:t>
      </w:r>
      <w:r>
        <w:rPr/>
        <w:t>particularly</w:t>
      </w:r>
      <w:r>
        <w:rPr>
          <w:spacing w:val="-3"/>
        </w:rPr>
        <w:t> </w:t>
      </w:r>
      <w:r>
        <w:rPr/>
        <w:t>for</w:t>
      </w:r>
      <w:r>
        <w:rPr>
          <w:spacing w:val="-3"/>
        </w:rPr>
        <w:t> </w:t>
      </w:r>
      <w:r>
        <w:rPr/>
        <w:t>a</w:t>
      </w:r>
      <w:r>
        <w:rPr>
          <w:spacing w:val="-3"/>
        </w:rPr>
        <w:t> </w:t>
      </w:r>
      <w:r>
        <w:rPr/>
        <w:t>small</w:t>
      </w:r>
      <w:r>
        <w:rPr>
          <w:spacing w:val="-3"/>
        </w:rPr>
        <w:t> </w:t>
      </w:r>
      <w:r>
        <w:rPr/>
        <w:t>and</w:t>
      </w:r>
      <w:r>
        <w:rPr>
          <w:spacing w:val="-3"/>
        </w:rPr>
        <w:t> </w:t>
      </w:r>
      <w:r>
        <w:rPr/>
        <w:t>medium enterprise. Enterprises surveyed in the Global Competitiveness Report 2007-08, rated inadequate </w:t>
      </w:r>
      <w:r>
        <w:rPr>
          <w:spacing w:val="-4"/>
        </w:rPr>
        <w:t>infrastructure</w:t>
      </w:r>
      <w:r>
        <w:rPr>
          <w:spacing w:val="-9"/>
        </w:rPr>
        <w:t> </w:t>
      </w:r>
      <w:r>
        <w:rPr>
          <w:spacing w:val="-4"/>
        </w:rPr>
        <w:t>as</w:t>
      </w:r>
      <w:r>
        <w:rPr>
          <w:spacing w:val="-9"/>
        </w:rPr>
        <w:t> </w:t>
      </w:r>
      <w:r>
        <w:rPr>
          <w:spacing w:val="-4"/>
        </w:rPr>
        <w:t>‘the</w:t>
      </w:r>
      <w:r>
        <w:rPr>
          <w:spacing w:val="-9"/>
        </w:rPr>
        <w:t> </w:t>
      </w:r>
      <w:r>
        <w:rPr>
          <w:spacing w:val="-4"/>
        </w:rPr>
        <w:t>most</w:t>
      </w:r>
      <w:r>
        <w:rPr>
          <w:spacing w:val="-9"/>
        </w:rPr>
        <w:t> </w:t>
      </w:r>
      <w:r>
        <w:rPr>
          <w:spacing w:val="-4"/>
        </w:rPr>
        <w:t>problematic</w:t>
      </w:r>
      <w:r>
        <w:rPr>
          <w:spacing w:val="-9"/>
        </w:rPr>
        <w:t> </w:t>
      </w:r>
      <w:r>
        <w:rPr>
          <w:spacing w:val="-4"/>
        </w:rPr>
        <w:t>factor’</w:t>
      </w:r>
      <w:r>
        <w:rPr>
          <w:spacing w:val="-9"/>
        </w:rPr>
        <w:t> </w:t>
      </w:r>
      <w:r>
        <w:rPr>
          <w:spacing w:val="-4"/>
        </w:rPr>
        <w:t>for</w:t>
      </w:r>
      <w:r>
        <w:rPr>
          <w:spacing w:val="-9"/>
        </w:rPr>
        <w:t> </w:t>
      </w:r>
      <w:r>
        <w:rPr>
          <w:spacing w:val="-4"/>
        </w:rPr>
        <w:t>doing </w:t>
      </w:r>
      <w:r>
        <w:rPr/>
        <w:t>business in India.</w:t>
      </w:r>
    </w:p>
    <w:p>
      <w:pPr>
        <w:pStyle w:val="BodyText"/>
        <w:spacing w:line="266" w:lineRule="auto" w:before="85"/>
        <w:ind w:left="319" w:right="1088"/>
        <w:jc w:val="both"/>
      </w:pPr>
      <w:r>
        <w:rPr/>
        <w:br w:type="column"/>
      </w:r>
      <w:r>
        <w:rPr>
          <w:b/>
        </w:rPr>
        <w:t>Education:</w:t>
      </w:r>
      <w:r>
        <w:rPr>
          <w:b/>
          <w:spacing w:val="80"/>
          <w:w w:val="150"/>
        </w:rPr>
        <w:t> </w:t>
      </w:r>
      <w:r>
        <w:rPr/>
        <w:t>While</w:t>
      </w:r>
      <w:r>
        <w:rPr>
          <w:spacing w:val="80"/>
        </w:rPr>
        <w:t> </w:t>
      </w:r>
      <w:r>
        <w:rPr/>
        <w:t>the</w:t>
      </w:r>
      <w:r>
        <w:rPr>
          <w:spacing w:val="80"/>
        </w:rPr>
        <w:t> </w:t>
      </w:r>
      <w:r>
        <w:rPr/>
        <w:t>influence</w:t>
      </w:r>
      <w:r>
        <w:rPr>
          <w:spacing w:val="80"/>
        </w:rPr>
        <w:t> </w:t>
      </w:r>
      <w:r>
        <w:rPr/>
        <w:t>of</w:t>
      </w:r>
      <w:r>
        <w:rPr>
          <w:spacing w:val="80"/>
        </w:rPr>
        <w:t> </w:t>
      </w:r>
      <w:r>
        <w:rPr/>
        <w:t>education</w:t>
      </w:r>
      <w:r>
        <w:rPr>
          <w:spacing w:val="80"/>
        </w:rPr>
        <w:t> </w:t>
      </w:r>
      <w:r>
        <w:rPr/>
        <w:t>on entrepreneurship is considered debatable, increasingly education is being seen as part of the larger</w:t>
      </w:r>
      <w:r>
        <w:rPr>
          <w:spacing w:val="40"/>
        </w:rPr>
        <w:t> </w:t>
      </w:r>
      <w:r>
        <w:rPr/>
        <w:t>ecosystem</w:t>
      </w:r>
      <w:r>
        <w:rPr>
          <w:spacing w:val="40"/>
        </w:rPr>
        <w:t> </w:t>
      </w:r>
      <w:r>
        <w:rPr/>
        <w:t>that</w:t>
      </w:r>
      <w:r>
        <w:rPr>
          <w:spacing w:val="40"/>
        </w:rPr>
        <w:t> </w:t>
      </w:r>
      <w:r>
        <w:rPr/>
        <w:t>impacts</w:t>
      </w:r>
      <w:r>
        <w:rPr>
          <w:spacing w:val="40"/>
        </w:rPr>
        <w:t> </w:t>
      </w:r>
      <w:r>
        <w:rPr/>
        <w:t>entrepreneurship</w:t>
      </w:r>
      <w:r>
        <w:rPr>
          <w:spacing w:val="80"/>
        </w:rPr>
        <w:t> </w:t>
      </w:r>
      <w:r>
        <w:rPr/>
        <w:t>and entrepreneurial motivations. Greater practical exposure, critical analysis, entrepreneurship curriculum,</w:t>
      </w:r>
      <w:r>
        <w:rPr>
          <w:spacing w:val="40"/>
        </w:rPr>
        <w:t>  </w:t>
      </w:r>
      <w:r>
        <w:rPr/>
        <w:t>incubation</w:t>
      </w:r>
      <w:r>
        <w:rPr>
          <w:spacing w:val="40"/>
        </w:rPr>
        <w:t>  </w:t>
      </w:r>
      <w:r>
        <w:rPr/>
        <w:t>and</w:t>
      </w:r>
      <w:r>
        <w:rPr>
          <w:spacing w:val="40"/>
        </w:rPr>
        <w:t>  </w:t>
      </w:r>
      <w:r>
        <w:rPr/>
        <w:t>mentoring,</w:t>
      </w:r>
      <w:r>
        <w:rPr>
          <w:spacing w:val="80"/>
          <w:w w:val="150"/>
        </w:rPr>
        <w:t> </w:t>
      </w:r>
      <w:r>
        <w:rPr/>
        <w:t>industry-research linkages can help in fostering </w:t>
      </w:r>
      <w:r>
        <w:rPr>
          <w:spacing w:val="-2"/>
        </w:rPr>
        <w:t>entrepreneurship.</w:t>
      </w:r>
    </w:p>
    <w:p>
      <w:pPr>
        <w:spacing w:after="0" w:line="266" w:lineRule="auto"/>
        <w:jc w:val="both"/>
        <w:sectPr>
          <w:type w:val="continuous"/>
          <w:pgSz w:w="11910" w:h="16840"/>
          <w:pgMar w:header="0" w:footer="675" w:top="1920" w:bottom="280" w:left="0" w:right="0"/>
          <w:cols w:num="2" w:equalWidth="0">
            <w:col w:w="5764" w:space="40"/>
            <w:col w:w="610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5"/>
        <w:rPr>
          <w:sz w:val="20"/>
        </w:rPr>
      </w:pPr>
    </w:p>
    <w:p>
      <w:pPr>
        <w:spacing w:after="0"/>
        <w:rPr>
          <w:sz w:val="20"/>
        </w:rPr>
        <w:sectPr>
          <w:footerReference w:type="default" r:id="rId711"/>
          <w:footerReference w:type="even" r:id="rId712"/>
          <w:pgSz w:w="11910" w:h="16840"/>
          <w:pgMar w:header="0" w:footer="421" w:top="0" w:bottom="620" w:left="0" w:right="0"/>
          <w:pgNumType w:start="215"/>
        </w:sectPr>
      </w:pPr>
    </w:p>
    <w:p>
      <w:pPr>
        <w:pStyle w:val="Heading6"/>
        <w:spacing w:before="79"/>
        <w:ind w:left="1076" w:firstLine="0"/>
      </w:pPr>
      <w:r>
        <w:rPr/>
        <mc:AlternateContent>
          <mc:Choice Requires="wps">
            <w:drawing>
              <wp:anchor distT="0" distB="0" distL="0" distR="0" allowOverlap="1" layoutInCell="1" locked="0" behindDoc="0" simplePos="0" relativeHeight="15898624">
                <wp:simplePos x="0" y="0"/>
                <wp:positionH relativeFrom="page">
                  <wp:posOffset>0</wp:posOffset>
                </wp:positionH>
                <wp:positionV relativeFrom="paragraph">
                  <wp:posOffset>-2547878</wp:posOffset>
                </wp:positionV>
                <wp:extent cx="7560309" cy="1935480"/>
                <wp:effectExtent l="0" t="0" r="0" b="0"/>
                <wp:wrapNone/>
                <wp:docPr id="2325" name="Group 2325"/>
                <wp:cNvGraphicFramePr>
                  <a:graphicFrameLocks/>
                </wp:cNvGraphicFramePr>
                <a:graphic>
                  <a:graphicData uri="http://schemas.microsoft.com/office/word/2010/wordprocessingGroup">
                    <wpg:wgp>
                      <wpg:cNvPr id="2325" name="Group 2325"/>
                      <wpg:cNvGrpSpPr/>
                      <wpg:grpSpPr>
                        <a:xfrm>
                          <a:off x="0" y="0"/>
                          <a:ext cx="7560309" cy="1935480"/>
                          <a:chExt cx="7560309" cy="1935480"/>
                        </a:xfrm>
                      </wpg:grpSpPr>
                      <pic:pic>
                        <pic:nvPicPr>
                          <pic:cNvPr id="2326" name="Image 2326"/>
                          <pic:cNvPicPr/>
                        </pic:nvPicPr>
                        <pic:blipFill>
                          <a:blip r:embed="rId713" cstate="print"/>
                          <a:stretch>
                            <a:fillRect/>
                          </a:stretch>
                        </pic:blipFill>
                        <pic:spPr>
                          <a:xfrm>
                            <a:off x="0" y="0"/>
                            <a:ext cx="7559999" cy="1935441"/>
                          </a:xfrm>
                          <a:prstGeom prst="rect">
                            <a:avLst/>
                          </a:prstGeom>
                        </pic:spPr>
                      </pic:pic>
                      <wps:wsp>
                        <wps:cNvPr id="2327" name="Textbox 2327"/>
                        <wps:cNvSpPr txBox="1"/>
                        <wps:spPr>
                          <a:xfrm>
                            <a:off x="0" y="0"/>
                            <a:ext cx="7560309" cy="1935480"/>
                          </a:xfrm>
                          <a:prstGeom prst="rect">
                            <a:avLst/>
                          </a:prstGeom>
                        </wps:spPr>
                        <wps:txbx>
                          <w:txbxContent>
                            <w:p>
                              <w:pPr>
                                <w:spacing w:line="240" w:lineRule="auto" w:before="448"/>
                                <w:rPr>
                                  <w:sz w:val="68"/>
                                </w:rPr>
                              </w:pPr>
                            </w:p>
                            <w:p>
                              <w:pPr>
                                <w:spacing w:before="1"/>
                                <w:ind w:left="1335" w:right="0" w:firstLine="0"/>
                                <w:jc w:val="left"/>
                                <w:rPr>
                                  <w:rFonts w:ascii="Trebuchet MS"/>
                                  <w:b/>
                                  <w:sz w:val="68"/>
                                </w:rPr>
                              </w:pPr>
                              <w:r>
                                <w:rPr>
                                  <w:rFonts w:ascii="Trebuchet MS"/>
                                  <w:b/>
                                  <w:color w:val="FFFFFF"/>
                                  <w:spacing w:val="-2"/>
                                  <w:sz w:val="68"/>
                                </w:rPr>
                                <w:t>Agriculture</w:t>
                              </w:r>
                            </w:p>
                          </w:txbxContent>
                        </wps:txbx>
                        <wps:bodyPr wrap="square" lIns="0" tIns="0" rIns="0" bIns="0" rtlCol="0">
                          <a:noAutofit/>
                        </wps:bodyPr>
                      </wps:wsp>
                    </wpg:wgp>
                  </a:graphicData>
                </a:graphic>
              </wp:anchor>
            </w:drawing>
          </mc:Choice>
          <mc:Fallback>
            <w:pict>
              <v:group style="position:absolute;margin-left:0pt;margin-top:-200.620361pt;width:595.3pt;height:152.4pt;mso-position-horizontal-relative:page;mso-position-vertical-relative:paragraph;z-index:15898624" id="docshapegroup2265" coordorigin="0,-4012" coordsize="11906,3048">
                <v:shape style="position:absolute;left:0;top:-4013;width:11906;height:3048" type="#_x0000_t75" id="docshape2266" stroked="false">
                  <v:imagedata r:id="rId713" o:title=""/>
                </v:shape>
                <v:shape style="position:absolute;left:0;top:-4013;width:11906;height:3048" type="#_x0000_t202" id="docshape2267" filled="false" stroked="false">
                  <v:textbox inset="0,0,0,0">
                    <w:txbxContent>
                      <w:p>
                        <w:pPr>
                          <w:spacing w:line="240" w:lineRule="auto" w:before="448"/>
                          <w:rPr>
                            <w:sz w:val="68"/>
                          </w:rPr>
                        </w:pPr>
                      </w:p>
                      <w:p>
                        <w:pPr>
                          <w:spacing w:before="1"/>
                          <w:ind w:left="1335" w:right="0" w:firstLine="0"/>
                          <w:jc w:val="left"/>
                          <w:rPr>
                            <w:rFonts w:ascii="Trebuchet MS"/>
                            <w:b/>
                            <w:sz w:val="68"/>
                          </w:rPr>
                        </w:pPr>
                        <w:r>
                          <w:rPr>
                            <w:rFonts w:ascii="Trebuchet MS"/>
                            <w:b/>
                            <w:color w:val="FFFFFF"/>
                            <w:spacing w:val="-2"/>
                            <w:sz w:val="68"/>
                          </w:rPr>
                          <w:t>Agriculture</w:t>
                        </w:r>
                      </w:p>
                    </w:txbxContent>
                  </v:textbox>
                  <w10:wrap type="none"/>
                </v:shape>
                <w10:wrap type="none"/>
              </v:group>
            </w:pict>
          </mc:Fallback>
        </mc:AlternateContent>
      </w:r>
      <w:r>
        <w:rPr>
          <w:color w:val="2E614A"/>
          <w:spacing w:val="-2"/>
        </w:rPr>
        <w:t>Introduction</w:t>
      </w:r>
    </w:p>
    <w:p>
      <w:pPr>
        <w:pStyle w:val="BodyText"/>
        <w:spacing w:line="266" w:lineRule="auto" w:before="285"/>
        <w:ind w:left="1739"/>
        <w:jc w:val="both"/>
      </w:pPr>
      <w:r>
        <w:rPr/>
        <mc:AlternateContent>
          <mc:Choice Requires="wps">
            <w:drawing>
              <wp:anchor distT="0" distB="0" distL="0" distR="0" allowOverlap="1" layoutInCell="1" locked="0" behindDoc="1" simplePos="0" relativeHeight="479476736">
                <wp:simplePos x="0" y="0"/>
                <wp:positionH relativeFrom="page">
                  <wp:posOffset>683392</wp:posOffset>
                </wp:positionH>
                <wp:positionV relativeFrom="paragraph">
                  <wp:posOffset>92035</wp:posOffset>
                </wp:positionV>
                <wp:extent cx="421640" cy="757555"/>
                <wp:effectExtent l="0" t="0" r="0" b="0"/>
                <wp:wrapNone/>
                <wp:docPr id="2328" name="Textbox 2328"/>
                <wp:cNvGraphicFramePr>
                  <a:graphicFrameLocks/>
                </wp:cNvGraphicFramePr>
                <a:graphic>
                  <a:graphicData uri="http://schemas.microsoft.com/office/word/2010/wordprocessingShape">
                    <wps:wsp>
                      <wps:cNvPr id="2328" name="Textbox 2328"/>
                      <wps:cNvSpPr txBox="1"/>
                      <wps:spPr>
                        <a:xfrm>
                          <a:off x="0" y="0"/>
                          <a:ext cx="421640" cy="757555"/>
                        </a:xfrm>
                        <a:prstGeom prst="rect">
                          <a:avLst/>
                        </a:prstGeom>
                      </wps:spPr>
                      <wps:txbx>
                        <w:txbxContent>
                          <w:p>
                            <w:pPr>
                              <w:spacing w:line="1135" w:lineRule="exact" w:before="0"/>
                              <w:ind w:left="0" w:right="0" w:firstLine="0"/>
                              <w:jc w:val="left"/>
                              <w:rPr>
                                <w:sz w:val="106"/>
                              </w:rPr>
                            </w:pPr>
                            <w:r>
                              <w:rPr>
                                <w:color w:val="9CBF3B"/>
                                <w:spacing w:val="-10"/>
                                <w:w w:val="85"/>
                                <w:sz w:val="106"/>
                              </w:rPr>
                              <w:t>A</w:t>
                            </w:r>
                          </w:p>
                        </w:txbxContent>
                      </wps:txbx>
                      <wps:bodyPr wrap="square" lIns="0" tIns="0" rIns="0" bIns="0" rtlCol="0">
                        <a:noAutofit/>
                      </wps:bodyPr>
                    </wps:wsp>
                  </a:graphicData>
                </a:graphic>
              </wp:anchor>
            </w:drawing>
          </mc:Choice>
          <mc:Fallback>
            <w:pict>
              <v:shape style="position:absolute;margin-left:53.81041pt;margin-top:7.246916pt;width:33.2pt;height:59.65pt;mso-position-horizontal-relative:page;mso-position-vertical-relative:paragraph;z-index:-23839744" type="#_x0000_t202" id="docshape2268" filled="false" stroked="false">
                <v:textbox inset="0,0,0,0">
                  <w:txbxContent>
                    <w:p>
                      <w:pPr>
                        <w:spacing w:line="1135" w:lineRule="exact" w:before="0"/>
                        <w:ind w:left="0" w:right="0" w:firstLine="0"/>
                        <w:jc w:val="left"/>
                        <w:rPr>
                          <w:sz w:val="106"/>
                        </w:rPr>
                      </w:pPr>
                      <w:r>
                        <w:rPr>
                          <w:color w:val="9CBF3B"/>
                          <w:spacing w:val="-10"/>
                          <w:w w:val="85"/>
                          <w:sz w:val="106"/>
                        </w:rPr>
                        <w:t>A</w:t>
                      </w:r>
                    </w:p>
                  </w:txbxContent>
                </v:textbox>
                <w10:wrap type="none"/>
              </v:shape>
            </w:pict>
          </mc:Fallback>
        </mc:AlternateContent>
      </w:r>
      <w:r>
        <w:rPr>
          <w:spacing w:val="-6"/>
        </w:rPr>
        <w:t>griculture</w:t>
      </w:r>
      <w:r>
        <w:rPr>
          <w:spacing w:val="-8"/>
        </w:rPr>
        <w:t> </w:t>
      </w:r>
      <w:r>
        <w:rPr>
          <w:spacing w:val="-6"/>
        </w:rPr>
        <w:t>is</w:t>
      </w:r>
      <w:r>
        <w:rPr>
          <w:spacing w:val="-8"/>
        </w:rPr>
        <w:t> </w:t>
      </w:r>
      <w:r>
        <w:rPr>
          <w:spacing w:val="-6"/>
        </w:rPr>
        <w:t>the</w:t>
      </w:r>
      <w:r>
        <w:rPr>
          <w:spacing w:val="-8"/>
        </w:rPr>
        <w:t> </w:t>
      </w:r>
      <w:r>
        <w:rPr>
          <w:spacing w:val="-6"/>
        </w:rPr>
        <w:t>principal</w:t>
      </w:r>
      <w:r>
        <w:rPr>
          <w:spacing w:val="-7"/>
        </w:rPr>
        <w:t> </w:t>
      </w:r>
      <w:r>
        <w:rPr>
          <w:spacing w:val="-6"/>
        </w:rPr>
        <w:t>means</w:t>
      </w:r>
      <w:r>
        <w:rPr>
          <w:spacing w:val="-8"/>
        </w:rPr>
        <w:t> </w:t>
      </w:r>
      <w:r>
        <w:rPr>
          <w:spacing w:val="-6"/>
        </w:rPr>
        <w:t>of</w:t>
      </w:r>
      <w:r>
        <w:rPr>
          <w:spacing w:val="-8"/>
        </w:rPr>
        <w:t> </w:t>
      </w:r>
      <w:r>
        <w:rPr>
          <w:spacing w:val="-6"/>
        </w:rPr>
        <w:t>livelihood</w:t>
      </w:r>
      <w:r>
        <w:rPr>
          <w:spacing w:val="-8"/>
        </w:rPr>
        <w:t> </w:t>
      </w:r>
      <w:r>
        <w:rPr>
          <w:spacing w:val="-6"/>
        </w:rPr>
        <w:t>for </w:t>
      </w:r>
      <w:r>
        <w:rPr/>
        <w:t>over</w:t>
      </w:r>
      <w:r>
        <w:rPr>
          <w:spacing w:val="-14"/>
        </w:rPr>
        <w:t> </w:t>
      </w:r>
      <w:r>
        <w:rPr/>
        <w:t>60</w:t>
      </w:r>
      <w:r>
        <w:rPr>
          <w:spacing w:val="-14"/>
        </w:rPr>
        <w:t> </w:t>
      </w:r>
      <w:r>
        <w:rPr/>
        <w:t>per</w:t>
      </w:r>
      <w:r>
        <w:rPr>
          <w:spacing w:val="-14"/>
        </w:rPr>
        <w:t> </w:t>
      </w:r>
      <w:r>
        <w:rPr/>
        <w:t>cent</w:t>
      </w:r>
      <w:r>
        <w:rPr>
          <w:spacing w:val="-13"/>
        </w:rPr>
        <w:t> </w:t>
      </w:r>
      <w:r>
        <w:rPr/>
        <w:t>of</w:t>
      </w:r>
      <w:r>
        <w:rPr>
          <w:spacing w:val="-14"/>
        </w:rPr>
        <w:t> </w:t>
      </w:r>
      <w:r>
        <w:rPr/>
        <w:t>India’s</w:t>
      </w:r>
      <w:r>
        <w:rPr>
          <w:spacing w:val="-14"/>
        </w:rPr>
        <w:t> </w:t>
      </w:r>
      <w:r>
        <w:rPr/>
        <w:t>population.</w:t>
      </w:r>
      <w:r>
        <w:rPr>
          <w:spacing w:val="-14"/>
        </w:rPr>
        <w:t> </w:t>
      </w:r>
      <w:r>
        <w:rPr/>
        <w:t>Despite a</w:t>
      </w:r>
      <w:r>
        <w:rPr>
          <w:spacing w:val="-1"/>
        </w:rPr>
        <w:t> </w:t>
      </w:r>
      <w:r>
        <w:rPr/>
        <w:t>steady decline</w:t>
      </w:r>
      <w:r>
        <w:rPr>
          <w:spacing w:val="-1"/>
        </w:rPr>
        <w:t> </w:t>
      </w:r>
      <w:r>
        <w:rPr/>
        <w:t>of its</w:t>
      </w:r>
      <w:r>
        <w:rPr>
          <w:spacing w:val="-1"/>
        </w:rPr>
        <w:t> </w:t>
      </w:r>
      <w:r>
        <w:rPr/>
        <w:t>share in the</w:t>
      </w:r>
      <w:r>
        <w:rPr>
          <w:spacing w:val="-1"/>
        </w:rPr>
        <w:t> </w:t>
      </w:r>
      <w:r>
        <w:rPr/>
        <w:t>GDP </w:t>
      </w:r>
      <w:r>
        <w:rPr>
          <w:spacing w:val="-4"/>
        </w:rPr>
        <w:t>(from</w:t>
      </w:r>
    </w:p>
    <w:p>
      <w:pPr>
        <w:pStyle w:val="BodyText"/>
        <w:spacing w:line="266" w:lineRule="auto"/>
        <w:ind w:left="1076"/>
        <w:jc w:val="both"/>
      </w:pPr>
      <w:r>
        <w:rPr/>
        <w:t>36.4 per cent in 1982-83 to 18.5 per cent in </w:t>
      </w:r>
      <w:r>
        <w:rPr/>
        <w:t>2006-</w:t>
      </w:r>
      <w:r>
        <w:rPr/>
        <w:t> 07), it remains the largest economic sector in </w:t>
      </w:r>
      <w:r>
        <w:rPr/>
        <w:t>India.</w:t>
      </w:r>
      <w:r>
        <w:rPr/>
        <w:t> </w:t>
      </w:r>
      <w:r>
        <w:rPr>
          <w:spacing w:val="-2"/>
        </w:rPr>
        <w:t>Low</w:t>
      </w:r>
      <w:r>
        <w:rPr>
          <w:spacing w:val="-7"/>
        </w:rPr>
        <w:t> </w:t>
      </w:r>
      <w:r>
        <w:rPr>
          <w:spacing w:val="-2"/>
        </w:rPr>
        <w:t>and</w:t>
      </w:r>
      <w:r>
        <w:rPr>
          <w:spacing w:val="-7"/>
        </w:rPr>
        <w:t> </w:t>
      </w:r>
      <w:r>
        <w:rPr>
          <w:spacing w:val="-2"/>
        </w:rPr>
        <w:t>volatile</w:t>
      </w:r>
      <w:r>
        <w:rPr>
          <w:spacing w:val="-7"/>
        </w:rPr>
        <w:t> </w:t>
      </w:r>
      <w:r>
        <w:rPr>
          <w:spacing w:val="-2"/>
        </w:rPr>
        <w:t>growth</w:t>
      </w:r>
      <w:r>
        <w:rPr>
          <w:spacing w:val="-7"/>
        </w:rPr>
        <w:t> </w:t>
      </w:r>
      <w:r>
        <w:rPr>
          <w:spacing w:val="-2"/>
        </w:rPr>
        <w:t>rates</w:t>
      </w:r>
      <w:r>
        <w:rPr>
          <w:spacing w:val="-7"/>
        </w:rPr>
        <w:t> </w:t>
      </w:r>
      <w:r>
        <w:rPr>
          <w:spacing w:val="-2"/>
        </w:rPr>
        <w:t>plaguing</w:t>
      </w:r>
      <w:r>
        <w:rPr>
          <w:spacing w:val="-7"/>
        </w:rPr>
        <w:t> </w:t>
      </w:r>
      <w:r>
        <w:rPr>
          <w:spacing w:val="-2"/>
        </w:rPr>
        <w:t>agriculture</w:t>
      </w:r>
      <w:r>
        <w:rPr>
          <w:spacing w:val="-7"/>
        </w:rPr>
        <w:t> </w:t>
      </w:r>
      <w:r>
        <w:rPr>
          <w:spacing w:val="-2"/>
        </w:rPr>
        <w:t>ar</w:t>
      </w:r>
      <w:r>
        <w:rPr>
          <w:spacing w:val="-2"/>
        </w:rPr>
        <w:t>e</w:t>
      </w:r>
      <w:r>
        <w:rPr>
          <w:spacing w:val="-2"/>
        </w:rPr>
        <w:t> </w:t>
      </w:r>
      <w:r>
        <w:rPr/>
        <w:t>symptomatic</w:t>
      </w:r>
      <w:r>
        <w:rPr>
          <w:spacing w:val="-1"/>
        </w:rPr>
        <w:t> </w:t>
      </w:r>
      <w:r>
        <w:rPr/>
        <w:t>of</w:t>
      </w:r>
      <w:r>
        <w:rPr>
          <w:spacing w:val="-1"/>
        </w:rPr>
        <w:t> </w:t>
      </w:r>
      <w:r>
        <w:rPr/>
        <w:t>agrarian</w:t>
      </w:r>
      <w:r>
        <w:rPr>
          <w:spacing w:val="-1"/>
        </w:rPr>
        <w:t> </w:t>
      </w:r>
      <w:r>
        <w:rPr/>
        <w:t>crises</w:t>
      </w:r>
      <w:r>
        <w:rPr>
          <w:spacing w:val="-1"/>
        </w:rPr>
        <w:t> </w:t>
      </w:r>
      <w:r>
        <w:rPr/>
        <w:t>in</w:t>
      </w:r>
      <w:r>
        <w:rPr>
          <w:spacing w:val="-1"/>
        </w:rPr>
        <w:t> </w:t>
      </w:r>
      <w:r>
        <w:rPr/>
        <w:t>several</w:t>
      </w:r>
      <w:r>
        <w:rPr>
          <w:spacing w:val="-1"/>
        </w:rPr>
        <w:t> </w:t>
      </w:r>
      <w:r>
        <w:rPr/>
        <w:t>parts</w:t>
      </w:r>
      <w:r>
        <w:rPr>
          <w:spacing w:val="-1"/>
        </w:rPr>
        <w:t> </w:t>
      </w:r>
      <w:r>
        <w:rPr/>
        <w:t>of</w:t>
      </w:r>
      <w:r>
        <w:rPr>
          <w:spacing w:val="-1"/>
        </w:rPr>
        <w:t> </w:t>
      </w:r>
      <w:r>
        <w:rPr/>
        <w:t>the</w:t>
      </w:r>
      <w:r>
        <w:rPr/>
        <w:t> </w:t>
      </w:r>
      <w:r>
        <w:rPr>
          <w:spacing w:val="-4"/>
        </w:rPr>
        <w:t>Indian</w:t>
      </w:r>
      <w:r>
        <w:rPr>
          <w:spacing w:val="-10"/>
        </w:rPr>
        <w:t> </w:t>
      </w:r>
      <w:r>
        <w:rPr>
          <w:spacing w:val="-4"/>
        </w:rPr>
        <w:t>countryside.</w:t>
      </w:r>
      <w:r>
        <w:rPr>
          <w:spacing w:val="-10"/>
        </w:rPr>
        <w:t> </w:t>
      </w:r>
      <w:r>
        <w:rPr>
          <w:spacing w:val="-4"/>
        </w:rPr>
        <w:t>Public</w:t>
      </w:r>
      <w:r>
        <w:rPr>
          <w:spacing w:val="-10"/>
        </w:rPr>
        <w:t> </w:t>
      </w:r>
      <w:r>
        <w:rPr>
          <w:spacing w:val="-4"/>
        </w:rPr>
        <w:t>investment</w:t>
      </w:r>
      <w:r>
        <w:rPr>
          <w:spacing w:val="-9"/>
        </w:rPr>
        <w:t> </w:t>
      </w:r>
      <w:r>
        <w:rPr>
          <w:spacing w:val="-4"/>
        </w:rPr>
        <w:t>in</w:t>
      </w:r>
      <w:r>
        <w:rPr>
          <w:spacing w:val="-10"/>
        </w:rPr>
        <w:t> </w:t>
      </w:r>
      <w:r>
        <w:rPr>
          <w:spacing w:val="-4"/>
        </w:rPr>
        <w:t>agriculture</w:t>
      </w:r>
      <w:r>
        <w:rPr>
          <w:spacing w:val="-10"/>
        </w:rPr>
        <w:t> </w:t>
      </w:r>
      <w:r>
        <w:rPr>
          <w:spacing w:val="-4"/>
        </w:rPr>
        <w:t>ha</w:t>
      </w:r>
      <w:r>
        <w:rPr>
          <w:spacing w:val="-4"/>
        </w:rPr>
        <w:t>s</w:t>
      </w:r>
      <w:r>
        <w:rPr>
          <w:spacing w:val="-4"/>
        </w:rPr>
        <w:t> </w:t>
      </w:r>
      <w:r>
        <w:rPr>
          <w:spacing w:val="-2"/>
        </w:rPr>
        <w:t>declined</w:t>
      </w:r>
      <w:r>
        <w:rPr>
          <w:spacing w:val="-12"/>
        </w:rPr>
        <w:t> </w:t>
      </w:r>
      <w:r>
        <w:rPr>
          <w:spacing w:val="-2"/>
        </w:rPr>
        <w:t>and</w:t>
      </w:r>
      <w:r>
        <w:rPr>
          <w:spacing w:val="-12"/>
        </w:rPr>
        <w:t> </w:t>
      </w:r>
      <w:r>
        <w:rPr>
          <w:spacing w:val="-2"/>
        </w:rPr>
        <w:t>this</w:t>
      </w:r>
      <w:r>
        <w:rPr>
          <w:spacing w:val="-12"/>
        </w:rPr>
        <w:t> </w:t>
      </w:r>
      <w:r>
        <w:rPr>
          <w:spacing w:val="-2"/>
        </w:rPr>
        <w:t>sector</w:t>
      </w:r>
      <w:r>
        <w:rPr>
          <w:spacing w:val="-11"/>
        </w:rPr>
        <w:t> </w:t>
      </w:r>
      <w:r>
        <w:rPr>
          <w:spacing w:val="-2"/>
        </w:rPr>
        <w:t>has</w:t>
      </w:r>
      <w:r>
        <w:rPr>
          <w:spacing w:val="-12"/>
        </w:rPr>
        <w:t> </w:t>
      </w:r>
      <w:r>
        <w:rPr>
          <w:spacing w:val="-2"/>
        </w:rPr>
        <w:t>also</w:t>
      </w:r>
      <w:r>
        <w:rPr>
          <w:spacing w:val="-12"/>
        </w:rPr>
        <w:t> </w:t>
      </w:r>
      <w:r>
        <w:rPr>
          <w:spacing w:val="-2"/>
        </w:rPr>
        <w:t>not</w:t>
      </w:r>
      <w:r>
        <w:rPr>
          <w:spacing w:val="-12"/>
        </w:rPr>
        <w:t> </w:t>
      </w:r>
      <w:r>
        <w:rPr>
          <w:spacing w:val="-2"/>
        </w:rPr>
        <w:t>been</w:t>
      </w:r>
      <w:r>
        <w:rPr>
          <w:spacing w:val="-11"/>
        </w:rPr>
        <w:t> </w:t>
      </w:r>
      <w:r>
        <w:rPr>
          <w:spacing w:val="-2"/>
        </w:rPr>
        <w:t>able</w:t>
      </w:r>
      <w:r>
        <w:rPr>
          <w:spacing w:val="-12"/>
        </w:rPr>
        <w:t> </w:t>
      </w:r>
      <w:r>
        <w:rPr>
          <w:spacing w:val="-2"/>
        </w:rPr>
        <w:t>to</w:t>
      </w:r>
      <w:r>
        <w:rPr>
          <w:spacing w:val="-12"/>
        </w:rPr>
        <w:t> </w:t>
      </w:r>
      <w:r>
        <w:rPr>
          <w:spacing w:val="-2"/>
        </w:rPr>
        <w:t>attract </w:t>
      </w:r>
      <w:r>
        <w:rPr>
          <w:spacing w:val="-6"/>
        </w:rPr>
        <w:t>private</w:t>
      </w:r>
      <w:r>
        <w:rPr>
          <w:spacing w:val="-7"/>
        </w:rPr>
        <w:t> </w:t>
      </w:r>
      <w:r>
        <w:rPr>
          <w:spacing w:val="-6"/>
        </w:rPr>
        <w:t>investment</w:t>
      </w:r>
      <w:r>
        <w:rPr>
          <w:spacing w:val="-7"/>
        </w:rPr>
        <w:t> </w:t>
      </w:r>
      <w:r>
        <w:rPr>
          <w:spacing w:val="-6"/>
        </w:rPr>
        <w:t>because</w:t>
      </w:r>
      <w:r>
        <w:rPr>
          <w:spacing w:val="-7"/>
        </w:rPr>
        <w:t> </w:t>
      </w:r>
      <w:r>
        <w:rPr>
          <w:spacing w:val="-6"/>
        </w:rPr>
        <w:t>of</w:t>
      </w:r>
      <w:r>
        <w:rPr>
          <w:spacing w:val="-7"/>
        </w:rPr>
        <w:t> </w:t>
      </w:r>
      <w:r>
        <w:rPr>
          <w:spacing w:val="-6"/>
        </w:rPr>
        <w:t>lower/unattractive</w:t>
      </w:r>
      <w:r>
        <w:rPr>
          <w:spacing w:val="-7"/>
        </w:rPr>
        <w:t> </w:t>
      </w:r>
      <w:r>
        <w:rPr>
          <w:spacing w:val="-6"/>
        </w:rPr>
        <w:t>returns</w:t>
      </w:r>
      <w:r>
        <w:rPr>
          <w:spacing w:val="-6"/>
        </w:rPr>
        <w:t>.</w:t>
      </w:r>
      <w:r>
        <w:rPr>
          <w:spacing w:val="-6"/>
        </w:rPr>
        <w:t> </w:t>
      </w:r>
      <w:r>
        <w:rPr>
          <w:spacing w:val="-2"/>
        </w:rPr>
        <w:t>A</w:t>
      </w:r>
      <w:r>
        <w:rPr>
          <w:spacing w:val="-5"/>
        </w:rPr>
        <w:t> </w:t>
      </w:r>
      <w:r>
        <w:rPr>
          <w:spacing w:val="-2"/>
        </w:rPr>
        <w:t>well</w:t>
      </w:r>
      <w:r>
        <w:rPr>
          <w:spacing w:val="-5"/>
        </w:rPr>
        <w:t> </w:t>
      </w:r>
      <w:r>
        <w:rPr>
          <w:spacing w:val="-2"/>
        </w:rPr>
        <w:t>thought-out</w:t>
      </w:r>
      <w:r>
        <w:rPr>
          <w:spacing w:val="-5"/>
        </w:rPr>
        <w:t> </w:t>
      </w:r>
      <w:r>
        <w:rPr>
          <w:spacing w:val="-2"/>
        </w:rPr>
        <w:t>strategy</w:t>
      </w:r>
      <w:r>
        <w:rPr>
          <w:spacing w:val="-5"/>
        </w:rPr>
        <w:t> </w:t>
      </w:r>
      <w:r>
        <w:rPr>
          <w:spacing w:val="-2"/>
        </w:rPr>
        <w:t>for</w:t>
      </w:r>
      <w:r>
        <w:rPr>
          <w:spacing w:val="-5"/>
        </w:rPr>
        <w:t> </w:t>
      </w:r>
      <w:r>
        <w:rPr>
          <w:spacing w:val="-2"/>
        </w:rPr>
        <w:t>promoting</w:t>
      </w:r>
      <w:r>
        <w:rPr>
          <w:spacing w:val="-5"/>
        </w:rPr>
        <w:t> </w:t>
      </w:r>
      <w:r>
        <w:rPr>
          <w:spacing w:val="-2"/>
        </w:rPr>
        <w:t>agricultura</w:t>
      </w:r>
      <w:r>
        <w:rPr>
          <w:spacing w:val="-2"/>
        </w:rPr>
        <w:t>l</w:t>
      </w:r>
      <w:r>
        <w:rPr>
          <w:spacing w:val="-2"/>
        </w:rPr>
        <w:t> </w:t>
      </w:r>
      <w:r>
        <w:rPr/>
        <w:t>growth is essential for both alleviating poverty </w:t>
      </w:r>
      <w:r>
        <w:rPr/>
        <w:t>and</w:t>
      </w:r>
      <w:r>
        <w:rPr/>
        <w:t> </w:t>
      </w:r>
      <w:r>
        <w:rPr>
          <w:spacing w:val="-6"/>
        </w:rPr>
        <w:t>achieving food-security at the national level. </w:t>
      </w:r>
      <w:r>
        <w:rPr>
          <w:spacing w:val="-6"/>
        </w:rPr>
        <w:t>Generatio</w:t>
      </w:r>
      <w:r>
        <w:rPr>
          <w:spacing w:val="-6"/>
        </w:rPr>
        <w:t>n</w:t>
      </w:r>
      <w:r>
        <w:rPr>
          <w:spacing w:val="-6"/>
        </w:rPr>
        <w:t> </w:t>
      </w:r>
      <w:r>
        <w:rPr/>
        <w:t>and application of knowledge – through </w:t>
      </w:r>
      <w:r>
        <w:rPr/>
        <w:t>agricultural</w:t>
      </w:r>
      <w:r>
        <w:rPr/>
        <w:t> </w:t>
      </w:r>
      <w:r>
        <w:rPr>
          <w:spacing w:val="-6"/>
        </w:rPr>
        <w:t>research and extension services can play a crucial role in </w:t>
      </w:r>
      <w:r>
        <w:rPr/>
        <w:t>meeting the above objectives.</w:t>
      </w:r>
    </w:p>
    <w:p>
      <w:pPr>
        <w:pStyle w:val="Heading6"/>
        <w:spacing w:before="174"/>
        <w:ind w:left="1076" w:firstLine="0"/>
      </w:pPr>
      <w:r>
        <w:rPr>
          <w:color w:val="2E614A"/>
          <w:w w:val="90"/>
        </w:rPr>
        <w:t>Current</w:t>
      </w:r>
      <w:r>
        <w:rPr>
          <w:color w:val="2E614A"/>
          <w:spacing w:val="-1"/>
          <w:w w:val="90"/>
        </w:rPr>
        <w:t> </w:t>
      </w:r>
      <w:r>
        <w:rPr>
          <w:color w:val="2E614A"/>
          <w:spacing w:val="-2"/>
        </w:rPr>
        <w:t>Scenario</w:t>
      </w:r>
    </w:p>
    <w:p>
      <w:pPr>
        <w:pStyle w:val="BodyText"/>
        <w:spacing w:line="266" w:lineRule="auto" w:before="285"/>
        <w:ind w:left="1076"/>
      </w:pPr>
      <w:r>
        <w:rPr>
          <w:b/>
          <w:spacing w:val="-2"/>
        </w:rPr>
        <w:t>Research:</w:t>
      </w:r>
      <w:r>
        <w:rPr>
          <w:b/>
          <w:spacing w:val="17"/>
        </w:rPr>
        <w:t> </w:t>
      </w:r>
      <w:r>
        <w:rPr>
          <w:spacing w:val="-2"/>
        </w:rPr>
        <w:t>The</w:t>
      </w:r>
      <w:r>
        <w:rPr>
          <w:spacing w:val="15"/>
        </w:rPr>
        <w:t> </w:t>
      </w:r>
      <w:r>
        <w:rPr>
          <w:spacing w:val="-2"/>
        </w:rPr>
        <w:t>Department</w:t>
      </w:r>
      <w:r>
        <w:rPr>
          <w:spacing w:val="15"/>
        </w:rPr>
        <w:t> </w:t>
      </w:r>
      <w:r>
        <w:rPr>
          <w:spacing w:val="-2"/>
        </w:rPr>
        <w:t>of</w:t>
      </w:r>
      <w:r>
        <w:rPr>
          <w:spacing w:val="16"/>
        </w:rPr>
        <w:t> </w:t>
      </w:r>
      <w:r>
        <w:rPr>
          <w:spacing w:val="-2"/>
        </w:rPr>
        <w:t>Agricultural</w:t>
      </w:r>
      <w:r>
        <w:rPr>
          <w:spacing w:val="15"/>
        </w:rPr>
        <w:t> </w:t>
      </w:r>
      <w:r>
        <w:rPr>
          <w:spacing w:val="-2"/>
        </w:rPr>
        <w:t>Research </w:t>
      </w:r>
      <w:r>
        <w:rPr/>
        <w:t>and</w:t>
      </w:r>
      <w:r>
        <w:rPr>
          <w:spacing w:val="15"/>
        </w:rPr>
        <w:t> </w:t>
      </w:r>
      <w:r>
        <w:rPr/>
        <w:t>Education</w:t>
      </w:r>
      <w:r>
        <w:rPr>
          <w:spacing w:val="16"/>
        </w:rPr>
        <w:t> </w:t>
      </w:r>
      <w:r>
        <w:rPr/>
        <w:t>(DARE)</w:t>
      </w:r>
      <w:r>
        <w:rPr>
          <w:spacing w:val="15"/>
        </w:rPr>
        <w:t> </w:t>
      </w:r>
      <w:r>
        <w:rPr/>
        <w:t>is</w:t>
      </w:r>
      <w:r>
        <w:rPr>
          <w:spacing w:val="16"/>
        </w:rPr>
        <w:t> </w:t>
      </w:r>
      <w:r>
        <w:rPr/>
        <w:t>responsible</w:t>
      </w:r>
      <w:r>
        <w:rPr>
          <w:spacing w:val="15"/>
        </w:rPr>
        <w:t> </w:t>
      </w:r>
      <w:r>
        <w:rPr/>
        <w:t>for</w:t>
      </w:r>
      <w:r>
        <w:rPr>
          <w:spacing w:val="16"/>
        </w:rPr>
        <w:t> </w:t>
      </w:r>
      <w:r>
        <w:rPr>
          <w:spacing w:val="-6"/>
        </w:rPr>
        <w:t>addressing</w:t>
      </w:r>
    </w:p>
    <w:p>
      <w:pPr>
        <w:pStyle w:val="BodyText"/>
        <w:spacing w:line="266" w:lineRule="auto" w:before="170"/>
        <w:ind w:left="319" w:right="1082"/>
        <w:jc w:val="both"/>
      </w:pPr>
      <w:r>
        <w:rPr/>
        <w:br w:type="column"/>
      </w:r>
      <w:r>
        <w:rPr>
          <w:spacing w:val="-6"/>
        </w:rPr>
        <w:t>agricultural research and education needs in the </w:t>
      </w:r>
      <w:r>
        <w:rPr>
          <w:spacing w:val="-6"/>
        </w:rPr>
        <w:t>country. </w:t>
      </w:r>
      <w:r>
        <w:rPr/>
        <w:t>This responsibility is discharged through the Indian Council of Agricultural Research (ICAR), an apex </w:t>
      </w:r>
      <w:r>
        <w:rPr>
          <w:spacing w:val="-2"/>
        </w:rPr>
        <w:t>and autonomous organisation for agricultural research </w:t>
      </w:r>
      <w:r>
        <w:rPr/>
        <w:t>and education. The DARE has an extensive network comprising 48 Central Institutes, 5 National Bureau, 12</w:t>
      </w:r>
      <w:r>
        <w:rPr>
          <w:spacing w:val="-14"/>
        </w:rPr>
        <w:t> </w:t>
      </w:r>
      <w:r>
        <w:rPr/>
        <w:t>Project</w:t>
      </w:r>
      <w:r>
        <w:rPr>
          <w:spacing w:val="-14"/>
        </w:rPr>
        <w:t> </w:t>
      </w:r>
      <w:r>
        <w:rPr/>
        <w:t>Directorates,</w:t>
      </w:r>
      <w:r>
        <w:rPr>
          <w:spacing w:val="-14"/>
        </w:rPr>
        <w:t> </w:t>
      </w:r>
      <w:r>
        <w:rPr/>
        <w:t>32</w:t>
      </w:r>
      <w:r>
        <w:rPr>
          <w:spacing w:val="-13"/>
        </w:rPr>
        <w:t> </w:t>
      </w:r>
      <w:r>
        <w:rPr/>
        <w:t>National</w:t>
      </w:r>
      <w:r>
        <w:rPr>
          <w:spacing w:val="-14"/>
        </w:rPr>
        <w:t> </w:t>
      </w:r>
      <w:r>
        <w:rPr/>
        <w:t>Research</w:t>
      </w:r>
      <w:r>
        <w:rPr>
          <w:spacing w:val="-14"/>
        </w:rPr>
        <w:t> </w:t>
      </w:r>
      <w:r>
        <w:rPr/>
        <w:t>Centres and</w:t>
      </w:r>
      <w:r>
        <w:rPr>
          <w:spacing w:val="-2"/>
        </w:rPr>
        <w:t> </w:t>
      </w:r>
      <w:r>
        <w:rPr/>
        <w:t>62</w:t>
      </w:r>
      <w:r>
        <w:rPr>
          <w:spacing w:val="-2"/>
        </w:rPr>
        <w:t> </w:t>
      </w:r>
      <w:r>
        <w:rPr/>
        <w:t>All-India</w:t>
      </w:r>
      <w:r>
        <w:rPr>
          <w:spacing w:val="-2"/>
        </w:rPr>
        <w:t> </w:t>
      </w:r>
      <w:r>
        <w:rPr/>
        <w:t>Coordinated</w:t>
      </w:r>
      <w:r>
        <w:rPr>
          <w:spacing w:val="-2"/>
        </w:rPr>
        <w:t> </w:t>
      </w:r>
      <w:r>
        <w:rPr/>
        <w:t>Research</w:t>
      </w:r>
      <w:r>
        <w:rPr>
          <w:spacing w:val="-2"/>
        </w:rPr>
        <w:t> </w:t>
      </w:r>
      <w:r>
        <w:rPr/>
        <w:t>Projects.</w:t>
      </w:r>
    </w:p>
    <w:p>
      <w:pPr>
        <w:pStyle w:val="BodyText"/>
        <w:spacing w:before="20"/>
      </w:pPr>
    </w:p>
    <w:p>
      <w:pPr>
        <w:pStyle w:val="BodyText"/>
        <w:spacing w:line="266" w:lineRule="auto" w:before="1"/>
        <w:ind w:left="319" w:right="1082"/>
        <w:jc w:val="both"/>
      </w:pPr>
      <w:r>
        <w:rPr>
          <w:b/>
        </w:rPr>
        <w:t>Education:</w:t>
      </w:r>
      <w:r>
        <w:rPr>
          <w:b/>
          <w:spacing w:val="-8"/>
        </w:rPr>
        <w:t> </w:t>
      </w:r>
      <w:r>
        <w:rPr/>
        <w:t>The</w:t>
      </w:r>
      <w:r>
        <w:rPr>
          <w:spacing w:val="-8"/>
        </w:rPr>
        <w:t> </w:t>
      </w:r>
      <w:r>
        <w:rPr/>
        <w:t>Indian</w:t>
      </w:r>
      <w:r>
        <w:rPr>
          <w:spacing w:val="-8"/>
        </w:rPr>
        <w:t> </w:t>
      </w:r>
      <w:r>
        <w:rPr/>
        <w:t>agricultural</w:t>
      </w:r>
      <w:r>
        <w:rPr>
          <w:spacing w:val="-8"/>
        </w:rPr>
        <w:t> </w:t>
      </w:r>
      <w:r>
        <w:rPr/>
        <w:t>education</w:t>
      </w:r>
      <w:r>
        <w:rPr>
          <w:spacing w:val="-8"/>
        </w:rPr>
        <w:t> </w:t>
      </w:r>
      <w:r>
        <w:rPr/>
        <w:t>system </w:t>
      </w:r>
      <w:r>
        <w:rPr>
          <w:spacing w:val="-4"/>
        </w:rPr>
        <w:t>comprises</w:t>
      </w:r>
      <w:r>
        <w:rPr>
          <w:spacing w:val="-10"/>
        </w:rPr>
        <w:t> </w:t>
      </w:r>
      <w:r>
        <w:rPr>
          <w:spacing w:val="-4"/>
        </w:rPr>
        <w:t>of</w:t>
      </w:r>
      <w:r>
        <w:rPr>
          <w:spacing w:val="-10"/>
        </w:rPr>
        <w:t> </w:t>
      </w:r>
      <w:r>
        <w:rPr>
          <w:spacing w:val="-4"/>
        </w:rPr>
        <w:t>40</w:t>
      </w:r>
      <w:r>
        <w:rPr>
          <w:spacing w:val="-10"/>
        </w:rPr>
        <w:t> </w:t>
      </w:r>
      <w:r>
        <w:rPr>
          <w:spacing w:val="-4"/>
        </w:rPr>
        <w:t>State</w:t>
      </w:r>
      <w:r>
        <w:rPr>
          <w:spacing w:val="-9"/>
        </w:rPr>
        <w:t> </w:t>
      </w:r>
      <w:r>
        <w:rPr>
          <w:spacing w:val="-4"/>
        </w:rPr>
        <w:t>Agricultural</w:t>
      </w:r>
      <w:r>
        <w:rPr>
          <w:spacing w:val="-10"/>
        </w:rPr>
        <w:t> </w:t>
      </w:r>
      <w:r>
        <w:rPr>
          <w:spacing w:val="-4"/>
        </w:rPr>
        <w:t>Universities</w:t>
      </w:r>
      <w:r>
        <w:rPr>
          <w:spacing w:val="-10"/>
        </w:rPr>
        <w:t> </w:t>
      </w:r>
      <w:r>
        <w:rPr>
          <w:spacing w:val="-4"/>
        </w:rPr>
        <w:t>(SAUs), </w:t>
      </w:r>
      <w:r>
        <w:rPr/>
        <w:t>four ICAR Institutes (IARI, IVRI, NDRI, CIFE), </w:t>
      </w:r>
      <w:r>
        <w:rPr>
          <w:spacing w:val="-8"/>
        </w:rPr>
        <w:t>Allahabad</w:t>
      </w:r>
      <w:r>
        <w:rPr/>
        <w:t> </w:t>
      </w:r>
      <w:r>
        <w:rPr>
          <w:spacing w:val="-8"/>
        </w:rPr>
        <w:t>Agricultural</w:t>
      </w:r>
      <w:r>
        <w:rPr/>
        <w:t> </w:t>
      </w:r>
      <w:r>
        <w:rPr>
          <w:spacing w:val="-8"/>
        </w:rPr>
        <w:t>Institute,</w:t>
      </w:r>
      <w:r>
        <w:rPr/>
        <w:t> </w:t>
      </w:r>
      <w:r>
        <w:rPr>
          <w:spacing w:val="-8"/>
        </w:rPr>
        <w:t>one</w:t>
      </w:r>
      <w:r>
        <w:rPr/>
        <w:t> </w:t>
      </w:r>
      <w:r>
        <w:rPr>
          <w:spacing w:val="-8"/>
        </w:rPr>
        <w:t>Central</w:t>
      </w:r>
      <w:r>
        <w:rPr/>
        <w:t> </w:t>
      </w:r>
      <w:r>
        <w:rPr>
          <w:spacing w:val="-8"/>
        </w:rPr>
        <w:t>Agricultural </w:t>
      </w:r>
      <w:r>
        <w:rPr/>
        <w:t>University</w:t>
      </w:r>
      <w:r>
        <w:rPr>
          <w:spacing w:val="-14"/>
        </w:rPr>
        <w:t> </w:t>
      </w:r>
      <w:r>
        <w:rPr/>
        <w:t>and</w:t>
      </w:r>
      <w:r>
        <w:rPr>
          <w:spacing w:val="-14"/>
        </w:rPr>
        <w:t> </w:t>
      </w:r>
      <w:r>
        <w:rPr/>
        <w:t>four</w:t>
      </w:r>
      <w:r>
        <w:rPr>
          <w:spacing w:val="-14"/>
        </w:rPr>
        <w:t> </w:t>
      </w:r>
      <w:r>
        <w:rPr/>
        <w:t>Central</w:t>
      </w:r>
      <w:r>
        <w:rPr>
          <w:spacing w:val="-13"/>
        </w:rPr>
        <w:t> </w:t>
      </w:r>
      <w:r>
        <w:rPr/>
        <w:t>Universities</w:t>
      </w:r>
      <w:r>
        <w:rPr>
          <w:spacing w:val="-14"/>
        </w:rPr>
        <w:t> </w:t>
      </w:r>
      <w:r>
        <w:rPr/>
        <w:t>which</w:t>
      </w:r>
      <w:r>
        <w:rPr>
          <w:spacing w:val="-14"/>
        </w:rPr>
        <w:t> </w:t>
      </w:r>
      <w:r>
        <w:rPr/>
        <w:t>have</w:t>
      </w:r>
      <w:r>
        <w:rPr>
          <w:spacing w:val="-14"/>
        </w:rPr>
        <w:t> </w:t>
      </w:r>
      <w:r>
        <w:rPr/>
        <w:t>a </w:t>
      </w:r>
      <w:r>
        <w:rPr>
          <w:spacing w:val="-6"/>
        </w:rPr>
        <w:t>strong</w:t>
      </w:r>
      <w:r>
        <w:rPr>
          <w:spacing w:val="-8"/>
        </w:rPr>
        <w:t> </w:t>
      </w:r>
      <w:r>
        <w:rPr>
          <w:spacing w:val="-6"/>
        </w:rPr>
        <w:t>agricultural</w:t>
      </w:r>
      <w:r>
        <w:rPr>
          <w:spacing w:val="-8"/>
        </w:rPr>
        <w:t> </w:t>
      </w:r>
      <w:r>
        <w:rPr>
          <w:spacing w:val="-6"/>
        </w:rPr>
        <w:t>faculty.</w:t>
      </w:r>
      <w:r>
        <w:rPr>
          <w:spacing w:val="-8"/>
        </w:rPr>
        <w:t> </w:t>
      </w:r>
      <w:r>
        <w:rPr>
          <w:spacing w:val="-6"/>
        </w:rPr>
        <w:t>There</w:t>
      </w:r>
      <w:r>
        <w:rPr>
          <w:spacing w:val="-7"/>
        </w:rPr>
        <w:t> </w:t>
      </w:r>
      <w:r>
        <w:rPr>
          <w:spacing w:val="-6"/>
        </w:rPr>
        <w:t>are</w:t>
      </w:r>
      <w:r>
        <w:rPr>
          <w:spacing w:val="-7"/>
        </w:rPr>
        <w:t> </w:t>
      </w:r>
      <w:r>
        <w:rPr>
          <w:spacing w:val="-6"/>
        </w:rPr>
        <w:t>also a large number </w:t>
      </w:r>
      <w:r>
        <w:rPr/>
        <w:t>of</w:t>
      </w:r>
      <w:r>
        <w:rPr>
          <w:spacing w:val="-14"/>
        </w:rPr>
        <w:t> </w:t>
      </w:r>
      <w:r>
        <w:rPr/>
        <w:t>private</w:t>
      </w:r>
      <w:r>
        <w:rPr>
          <w:spacing w:val="-14"/>
        </w:rPr>
        <w:t> </w:t>
      </w:r>
      <w:r>
        <w:rPr/>
        <w:t>colleges</w:t>
      </w:r>
      <w:r>
        <w:rPr>
          <w:spacing w:val="-14"/>
        </w:rPr>
        <w:t> </w:t>
      </w:r>
      <w:r>
        <w:rPr/>
        <w:t>both</w:t>
      </w:r>
      <w:r>
        <w:rPr>
          <w:spacing w:val="-13"/>
        </w:rPr>
        <w:t> </w:t>
      </w:r>
      <w:r>
        <w:rPr/>
        <w:t>affiliated</w:t>
      </w:r>
      <w:r>
        <w:rPr>
          <w:spacing w:val="-14"/>
        </w:rPr>
        <w:t> </w:t>
      </w:r>
      <w:r>
        <w:rPr/>
        <w:t>and</w:t>
      </w:r>
      <w:r>
        <w:rPr>
          <w:spacing w:val="-14"/>
        </w:rPr>
        <w:t> </w:t>
      </w:r>
      <w:r>
        <w:rPr/>
        <w:t>non-affiliated</w:t>
      </w:r>
      <w:r>
        <w:rPr>
          <w:spacing w:val="-14"/>
        </w:rPr>
        <w:t> </w:t>
      </w:r>
      <w:r>
        <w:rPr/>
        <w:t>to SAUs. According to UGC, there are currently 63962 students enrolled in agriculture education in India, </w:t>
      </w:r>
      <w:r>
        <w:rPr>
          <w:spacing w:val="-6"/>
        </w:rPr>
        <w:t>accounting</w:t>
      </w:r>
      <w:r>
        <w:rPr>
          <w:spacing w:val="-8"/>
        </w:rPr>
        <w:t> </w:t>
      </w:r>
      <w:r>
        <w:rPr>
          <w:spacing w:val="-6"/>
        </w:rPr>
        <w:t>for</w:t>
      </w:r>
      <w:r>
        <w:rPr>
          <w:spacing w:val="-8"/>
        </w:rPr>
        <w:t> </w:t>
      </w:r>
      <w:r>
        <w:rPr>
          <w:spacing w:val="-6"/>
        </w:rPr>
        <w:t>just</w:t>
      </w:r>
      <w:r>
        <w:rPr>
          <w:spacing w:val="-7"/>
        </w:rPr>
        <w:t> </w:t>
      </w:r>
      <w:r>
        <w:rPr>
          <w:spacing w:val="-6"/>
        </w:rPr>
        <w:t>0.58</w:t>
      </w:r>
      <w:r>
        <w:rPr>
          <w:spacing w:val="-8"/>
        </w:rPr>
        <w:t> </w:t>
      </w:r>
      <w:r>
        <w:rPr>
          <w:spacing w:val="-6"/>
        </w:rPr>
        <w:t>per</w:t>
      </w:r>
      <w:r>
        <w:rPr>
          <w:spacing w:val="-8"/>
        </w:rPr>
        <w:t> </w:t>
      </w:r>
      <w:r>
        <w:rPr>
          <w:spacing w:val="-6"/>
        </w:rPr>
        <w:t>cent</w:t>
      </w:r>
      <w:r>
        <w:rPr>
          <w:spacing w:val="-7"/>
        </w:rPr>
        <w:t> </w:t>
      </w:r>
      <w:r>
        <w:rPr>
          <w:spacing w:val="-6"/>
        </w:rPr>
        <w:t>of</w:t>
      </w:r>
      <w:r>
        <w:rPr>
          <w:spacing w:val="-8"/>
        </w:rPr>
        <w:t> </w:t>
      </w:r>
      <w:r>
        <w:rPr>
          <w:spacing w:val="-6"/>
        </w:rPr>
        <w:t>the</w:t>
      </w:r>
      <w:r>
        <w:rPr>
          <w:spacing w:val="-8"/>
        </w:rPr>
        <w:t> </w:t>
      </w:r>
      <w:r>
        <w:rPr>
          <w:spacing w:val="-6"/>
        </w:rPr>
        <w:t>total</w:t>
      </w:r>
      <w:r>
        <w:rPr>
          <w:spacing w:val="-7"/>
        </w:rPr>
        <w:t> </w:t>
      </w:r>
      <w:r>
        <w:rPr>
          <w:spacing w:val="-6"/>
        </w:rPr>
        <w:t>enrolment</w:t>
      </w:r>
      <w:r>
        <w:rPr>
          <w:spacing w:val="-8"/>
        </w:rPr>
        <w:t> </w:t>
      </w:r>
      <w:r>
        <w:rPr>
          <w:spacing w:val="-6"/>
        </w:rPr>
        <w:t>in </w:t>
      </w:r>
      <w:r>
        <w:rPr>
          <w:spacing w:val="-4"/>
        </w:rPr>
        <w:t>higher</w:t>
      </w:r>
      <w:r>
        <w:rPr>
          <w:spacing w:val="-10"/>
        </w:rPr>
        <w:t> </w:t>
      </w:r>
      <w:r>
        <w:rPr>
          <w:spacing w:val="-4"/>
        </w:rPr>
        <w:t>education.</w:t>
      </w:r>
      <w:r>
        <w:rPr>
          <w:spacing w:val="-10"/>
        </w:rPr>
        <w:t> </w:t>
      </w:r>
      <w:r>
        <w:rPr>
          <w:spacing w:val="-4"/>
        </w:rPr>
        <w:t>There</w:t>
      </w:r>
      <w:r>
        <w:rPr>
          <w:spacing w:val="-9"/>
        </w:rPr>
        <w:t> </w:t>
      </w:r>
      <w:r>
        <w:rPr>
          <w:spacing w:val="-4"/>
        </w:rPr>
        <w:t>is</w:t>
      </w:r>
      <w:r>
        <w:rPr>
          <w:spacing w:val="-7"/>
        </w:rPr>
        <w:t> </w:t>
      </w:r>
      <w:r>
        <w:rPr>
          <w:spacing w:val="-4"/>
        </w:rPr>
        <w:t>a</w:t>
      </w:r>
      <w:r>
        <w:rPr>
          <w:spacing w:val="-7"/>
        </w:rPr>
        <w:t> </w:t>
      </w:r>
      <w:r>
        <w:rPr>
          <w:spacing w:val="-4"/>
        </w:rPr>
        <w:t>striking</w:t>
      </w:r>
      <w:r>
        <w:rPr>
          <w:spacing w:val="-7"/>
        </w:rPr>
        <w:t> </w:t>
      </w:r>
      <w:r>
        <w:rPr>
          <w:spacing w:val="-4"/>
        </w:rPr>
        <w:t>regional</w:t>
      </w:r>
      <w:r>
        <w:rPr>
          <w:spacing w:val="-7"/>
        </w:rPr>
        <w:t> </w:t>
      </w:r>
      <w:r>
        <w:rPr>
          <w:spacing w:val="-4"/>
        </w:rPr>
        <w:t>imbalance </w:t>
      </w:r>
      <w:r>
        <w:rPr>
          <w:spacing w:val="-2"/>
        </w:rPr>
        <w:t>in</w:t>
      </w:r>
      <w:r>
        <w:rPr>
          <w:spacing w:val="-7"/>
        </w:rPr>
        <w:t> </w:t>
      </w:r>
      <w:r>
        <w:rPr>
          <w:spacing w:val="-2"/>
        </w:rPr>
        <w:t>enrolment</w:t>
      </w:r>
      <w:r>
        <w:rPr>
          <w:spacing w:val="-7"/>
        </w:rPr>
        <w:t> </w:t>
      </w:r>
      <w:r>
        <w:rPr>
          <w:spacing w:val="-2"/>
        </w:rPr>
        <w:t>with</w:t>
      </w:r>
      <w:r>
        <w:rPr>
          <w:spacing w:val="-7"/>
        </w:rPr>
        <w:t> </w:t>
      </w:r>
      <w:r>
        <w:rPr>
          <w:spacing w:val="-2"/>
        </w:rPr>
        <w:t>Uttar</w:t>
      </w:r>
      <w:r>
        <w:rPr>
          <w:spacing w:val="-7"/>
        </w:rPr>
        <w:t> </w:t>
      </w:r>
      <w:r>
        <w:rPr>
          <w:spacing w:val="-2"/>
        </w:rPr>
        <w:t>Pradesh</w:t>
      </w:r>
      <w:r>
        <w:rPr>
          <w:spacing w:val="-7"/>
        </w:rPr>
        <w:t> </w:t>
      </w:r>
      <w:r>
        <w:rPr>
          <w:spacing w:val="-2"/>
        </w:rPr>
        <w:t>accounting</w:t>
      </w:r>
      <w:r>
        <w:rPr>
          <w:spacing w:val="-7"/>
        </w:rPr>
        <w:t> </w:t>
      </w:r>
      <w:r>
        <w:rPr>
          <w:spacing w:val="-2"/>
        </w:rPr>
        <w:t>for</w:t>
      </w:r>
      <w:r>
        <w:rPr>
          <w:spacing w:val="-7"/>
        </w:rPr>
        <w:t> </w:t>
      </w:r>
      <w:r>
        <w:rPr>
          <w:spacing w:val="-2"/>
        </w:rPr>
        <w:t>almost </w:t>
      </w:r>
      <w:r>
        <w:rPr/>
        <w:t>30</w:t>
      </w:r>
      <w:r>
        <w:rPr>
          <w:spacing w:val="-14"/>
        </w:rPr>
        <w:t> </w:t>
      </w:r>
      <w:r>
        <w:rPr/>
        <w:t>per</w:t>
      </w:r>
      <w:r>
        <w:rPr>
          <w:spacing w:val="-14"/>
        </w:rPr>
        <w:t> </w:t>
      </w:r>
      <w:r>
        <w:rPr/>
        <w:t>cent</w:t>
      </w:r>
      <w:r>
        <w:rPr>
          <w:spacing w:val="-14"/>
        </w:rPr>
        <w:t> </w:t>
      </w:r>
      <w:r>
        <w:rPr/>
        <w:t>of</w:t>
      </w:r>
      <w:r>
        <w:rPr>
          <w:spacing w:val="-13"/>
        </w:rPr>
        <w:t> </w:t>
      </w:r>
      <w:r>
        <w:rPr/>
        <w:t>the</w:t>
      </w:r>
      <w:r>
        <w:rPr>
          <w:spacing w:val="-14"/>
        </w:rPr>
        <w:t> </w:t>
      </w:r>
      <w:r>
        <w:rPr/>
        <w:t>all-India</w:t>
      </w:r>
      <w:r>
        <w:rPr>
          <w:spacing w:val="-14"/>
        </w:rPr>
        <w:t> </w:t>
      </w:r>
      <w:r>
        <w:rPr/>
        <w:t>student</w:t>
      </w:r>
      <w:r>
        <w:rPr>
          <w:spacing w:val="-14"/>
        </w:rPr>
        <w:t> </w:t>
      </w:r>
      <w:r>
        <w:rPr/>
        <w:t>enrolment.</w:t>
      </w:r>
      <w:r>
        <w:rPr>
          <w:spacing w:val="-13"/>
        </w:rPr>
        <w:t> </w:t>
      </w:r>
      <w:r>
        <w:rPr/>
        <w:t>Further, </w:t>
      </w:r>
      <w:r>
        <w:rPr>
          <w:spacing w:val="-4"/>
        </w:rPr>
        <w:t>agricultural</w:t>
      </w:r>
      <w:r>
        <w:rPr>
          <w:spacing w:val="-9"/>
        </w:rPr>
        <w:t> </w:t>
      </w:r>
      <w:r>
        <w:rPr>
          <w:spacing w:val="-4"/>
        </w:rPr>
        <w:t>studies</w:t>
      </w:r>
      <w:r>
        <w:rPr>
          <w:spacing w:val="-9"/>
        </w:rPr>
        <w:t> </w:t>
      </w:r>
      <w:r>
        <w:rPr>
          <w:spacing w:val="-4"/>
        </w:rPr>
        <w:t>are</w:t>
      </w:r>
      <w:r>
        <w:rPr>
          <w:spacing w:val="-9"/>
        </w:rPr>
        <w:t> </w:t>
      </w:r>
      <w:r>
        <w:rPr>
          <w:spacing w:val="-4"/>
        </w:rPr>
        <w:t>not</w:t>
      </w:r>
      <w:r>
        <w:rPr>
          <w:spacing w:val="-9"/>
        </w:rPr>
        <w:t> </w:t>
      </w:r>
      <w:r>
        <w:rPr>
          <w:spacing w:val="-4"/>
        </w:rPr>
        <w:t>an</w:t>
      </w:r>
      <w:r>
        <w:rPr>
          <w:spacing w:val="-9"/>
        </w:rPr>
        <w:t> </w:t>
      </w:r>
      <w:r>
        <w:rPr>
          <w:spacing w:val="-4"/>
        </w:rPr>
        <w:t>attractive</w:t>
      </w:r>
      <w:r>
        <w:rPr>
          <w:spacing w:val="-9"/>
        </w:rPr>
        <w:t> </w:t>
      </w:r>
      <w:r>
        <w:rPr>
          <w:spacing w:val="-4"/>
        </w:rPr>
        <w:t>option</w:t>
      </w:r>
      <w:r>
        <w:rPr>
          <w:spacing w:val="-9"/>
        </w:rPr>
        <w:t> </w:t>
      </w:r>
      <w:r>
        <w:rPr>
          <w:spacing w:val="-4"/>
        </w:rPr>
        <w:t>anymore</w:t>
      </w:r>
    </w:p>
    <w:p>
      <w:pPr>
        <w:spacing w:after="0" w:line="266" w:lineRule="auto"/>
        <w:jc w:val="both"/>
        <w:sectPr>
          <w:type w:val="continuous"/>
          <w:pgSz w:w="11910" w:h="16840"/>
          <w:pgMar w:header="0" w:footer="421" w:top="1920" w:bottom="280" w:left="0" w:right="0"/>
          <w:cols w:num="2" w:equalWidth="0">
            <w:col w:w="5769" w:space="40"/>
            <w:col w:w="6101"/>
          </w:cols>
        </w:sectPr>
      </w:pPr>
    </w:p>
    <w:p>
      <w:pPr>
        <w:pStyle w:val="BodyText"/>
        <w:spacing w:before="128"/>
        <w:rPr>
          <w:sz w:val="24"/>
        </w:rPr>
      </w:pPr>
      <w:r>
        <w:rPr/>
        <mc:AlternateContent>
          <mc:Choice Requires="wps">
            <w:drawing>
              <wp:anchor distT="0" distB="0" distL="0" distR="0" allowOverlap="1" layoutInCell="1" locked="0" behindDoc="1" simplePos="0" relativeHeight="479474688">
                <wp:simplePos x="0" y="0"/>
                <wp:positionH relativeFrom="page">
                  <wp:posOffset>6892290</wp:posOffset>
                </wp:positionH>
                <wp:positionV relativeFrom="page">
                  <wp:posOffset>10136161</wp:posOffset>
                </wp:positionV>
                <wp:extent cx="505459" cy="534035"/>
                <wp:effectExtent l="0" t="0" r="0" b="0"/>
                <wp:wrapNone/>
                <wp:docPr id="2329" name="Group 2329"/>
                <wp:cNvGraphicFramePr>
                  <a:graphicFrameLocks/>
                </wp:cNvGraphicFramePr>
                <a:graphic>
                  <a:graphicData uri="http://schemas.microsoft.com/office/word/2010/wordprocessingGroup">
                    <wpg:wgp>
                      <wpg:cNvPr id="2329" name="Group 2329"/>
                      <wpg:cNvGrpSpPr/>
                      <wpg:grpSpPr>
                        <a:xfrm>
                          <a:off x="0" y="0"/>
                          <a:ext cx="505459" cy="534035"/>
                          <a:chExt cx="505459" cy="534035"/>
                        </a:xfrm>
                      </wpg:grpSpPr>
                      <pic:pic>
                        <pic:nvPicPr>
                          <pic:cNvPr id="2330" name="Image 2330"/>
                          <pic:cNvPicPr/>
                        </pic:nvPicPr>
                        <pic:blipFill>
                          <a:blip r:embed="rId17" cstate="print"/>
                          <a:stretch>
                            <a:fillRect/>
                          </a:stretch>
                        </pic:blipFill>
                        <pic:spPr>
                          <a:xfrm>
                            <a:off x="0" y="0"/>
                            <a:ext cx="504862" cy="266939"/>
                          </a:xfrm>
                          <a:prstGeom prst="rect">
                            <a:avLst/>
                          </a:prstGeom>
                        </pic:spPr>
                      </pic:pic>
                      <pic:pic>
                        <pic:nvPicPr>
                          <pic:cNvPr id="2331" name="Image 2331"/>
                          <pic:cNvPicPr/>
                        </pic:nvPicPr>
                        <pic:blipFill>
                          <a:blip r:embed="rId18" cstate="print"/>
                          <a:stretch>
                            <a:fillRect/>
                          </a:stretch>
                        </pic:blipFill>
                        <pic:spPr>
                          <a:xfrm>
                            <a:off x="0" y="266468"/>
                            <a:ext cx="504862" cy="266968"/>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3841792" id="docshapegroup2269" coordorigin="10854,15962" coordsize="796,841">
                <v:shape style="position:absolute;left:10854;top:15962;width:796;height:421" type="#_x0000_t75" id="docshape2270" stroked="false">
                  <v:imagedata r:id="rId17" o:title=""/>
                </v:shape>
                <v:shape style="position:absolute;left:10854;top:16382;width:796;height:421" type="#_x0000_t75" id="docshape2271" stroked="false">
                  <v:imagedata r:id="rId18" o:title=""/>
                </v:shape>
                <w10:wrap type="none"/>
              </v:group>
            </w:pict>
          </mc:Fallback>
        </mc:AlternateContent>
      </w:r>
    </w:p>
    <w:p>
      <w:pPr>
        <w:pStyle w:val="Heading8"/>
        <w:spacing w:line="242" w:lineRule="auto"/>
        <w:ind w:left="3026" w:right="2941" w:hanging="1056"/>
      </w:pPr>
      <w:r>
        <w:rPr/>
        <mc:AlternateContent>
          <mc:Choice Requires="wps">
            <w:drawing>
              <wp:anchor distT="0" distB="0" distL="0" distR="0" allowOverlap="1" layoutInCell="1" locked="0" behindDoc="0" simplePos="0" relativeHeight="15899136">
                <wp:simplePos x="0" y="0"/>
                <wp:positionH relativeFrom="page">
                  <wp:posOffset>1250841</wp:posOffset>
                </wp:positionH>
                <wp:positionV relativeFrom="paragraph">
                  <wp:posOffset>398552</wp:posOffset>
                </wp:positionV>
                <wp:extent cx="5046345" cy="2578100"/>
                <wp:effectExtent l="0" t="0" r="0" b="0"/>
                <wp:wrapNone/>
                <wp:docPr id="2332" name="Group 2332"/>
                <wp:cNvGraphicFramePr>
                  <a:graphicFrameLocks/>
                </wp:cNvGraphicFramePr>
                <a:graphic>
                  <a:graphicData uri="http://schemas.microsoft.com/office/word/2010/wordprocessingGroup">
                    <wpg:wgp>
                      <wpg:cNvPr id="2332" name="Group 2332"/>
                      <wpg:cNvGrpSpPr/>
                      <wpg:grpSpPr>
                        <a:xfrm>
                          <a:off x="0" y="0"/>
                          <a:ext cx="5046345" cy="2578100"/>
                          <a:chExt cx="5046345" cy="2578100"/>
                        </a:xfrm>
                      </wpg:grpSpPr>
                      <wps:wsp>
                        <wps:cNvPr id="2333" name="Graphic 2333"/>
                        <wps:cNvSpPr/>
                        <wps:spPr>
                          <a:xfrm>
                            <a:off x="4872582" y="2118862"/>
                            <a:ext cx="6350" cy="49530"/>
                          </a:xfrm>
                          <a:custGeom>
                            <a:avLst/>
                            <a:gdLst/>
                            <a:ahLst/>
                            <a:cxnLst/>
                            <a:rect l="l" t="t" r="r" b="b"/>
                            <a:pathLst>
                              <a:path w="6350" h="49530">
                                <a:moveTo>
                                  <a:pt x="6350" y="0"/>
                                </a:moveTo>
                                <a:lnTo>
                                  <a:pt x="0" y="0"/>
                                </a:lnTo>
                                <a:lnTo>
                                  <a:pt x="0" y="48976"/>
                                </a:lnTo>
                                <a:lnTo>
                                  <a:pt x="6350" y="48976"/>
                                </a:lnTo>
                                <a:lnTo>
                                  <a:pt x="6350" y="0"/>
                                </a:lnTo>
                                <a:close/>
                              </a:path>
                            </a:pathLst>
                          </a:custGeom>
                          <a:solidFill>
                            <a:srgbClr val="000000"/>
                          </a:solidFill>
                        </wps:spPr>
                        <wps:bodyPr wrap="square" lIns="0" tIns="0" rIns="0" bIns="0" rtlCol="0">
                          <a:prstTxWarp prst="textNoShape">
                            <a:avLst/>
                          </a:prstTxWarp>
                          <a:noAutofit/>
                        </wps:bodyPr>
                      </wps:wsp>
                      <wps:wsp>
                        <wps:cNvPr id="2334" name="Graphic 2334"/>
                        <wps:cNvSpPr/>
                        <wps:spPr>
                          <a:xfrm>
                            <a:off x="836747" y="750626"/>
                            <a:ext cx="3610610" cy="622300"/>
                          </a:xfrm>
                          <a:custGeom>
                            <a:avLst/>
                            <a:gdLst/>
                            <a:ahLst/>
                            <a:cxnLst/>
                            <a:rect l="l" t="t" r="r" b="b"/>
                            <a:pathLst>
                              <a:path w="3610610" h="622300">
                                <a:moveTo>
                                  <a:pt x="900970" y="618609"/>
                                </a:moveTo>
                                <a:lnTo>
                                  <a:pt x="902171" y="621703"/>
                                </a:lnTo>
                                <a:lnTo>
                                  <a:pt x="908306" y="619321"/>
                                </a:lnTo>
                                <a:lnTo>
                                  <a:pt x="900970" y="618609"/>
                                </a:lnTo>
                                <a:close/>
                              </a:path>
                              <a:path w="3610610" h="622300">
                                <a:moveTo>
                                  <a:pt x="915176" y="616654"/>
                                </a:moveTo>
                                <a:lnTo>
                                  <a:pt x="908306" y="619321"/>
                                </a:lnTo>
                                <a:lnTo>
                                  <a:pt x="914856" y="619957"/>
                                </a:lnTo>
                                <a:lnTo>
                                  <a:pt x="915176" y="616654"/>
                                </a:lnTo>
                                <a:close/>
                              </a:path>
                              <a:path w="3610610" h="622300">
                                <a:moveTo>
                                  <a:pt x="905886" y="601736"/>
                                </a:moveTo>
                                <a:lnTo>
                                  <a:pt x="895922" y="605603"/>
                                </a:lnTo>
                                <a:lnTo>
                                  <a:pt x="900970" y="618609"/>
                                </a:lnTo>
                                <a:lnTo>
                                  <a:pt x="908306" y="619321"/>
                                </a:lnTo>
                                <a:lnTo>
                                  <a:pt x="915176" y="616654"/>
                                </a:lnTo>
                                <a:lnTo>
                                  <a:pt x="916524" y="602768"/>
                                </a:lnTo>
                                <a:lnTo>
                                  <a:pt x="905886" y="601736"/>
                                </a:lnTo>
                                <a:close/>
                              </a:path>
                              <a:path w="3610610" h="622300">
                                <a:moveTo>
                                  <a:pt x="1667" y="513995"/>
                                </a:moveTo>
                                <a:lnTo>
                                  <a:pt x="0" y="531184"/>
                                </a:lnTo>
                                <a:lnTo>
                                  <a:pt x="900970" y="618609"/>
                                </a:lnTo>
                                <a:lnTo>
                                  <a:pt x="895922" y="605603"/>
                                </a:lnTo>
                                <a:lnTo>
                                  <a:pt x="905886" y="601736"/>
                                </a:lnTo>
                                <a:lnTo>
                                  <a:pt x="1667" y="513995"/>
                                </a:lnTo>
                                <a:close/>
                              </a:path>
                              <a:path w="3610610" h="622300">
                                <a:moveTo>
                                  <a:pt x="1795943" y="256264"/>
                                </a:moveTo>
                                <a:lnTo>
                                  <a:pt x="905886" y="601736"/>
                                </a:lnTo>
                                <a:lnTo>
                                  <a:pt x="916524" y="602768"/>
                                </a:lnTo>
                                <a:lnTo>
                                  <a:pt x="915176" y="616654"/>
                                </a:lnTo>
                                <a:lnTo>
                                  <a:pt x="1805681" y="271009"/>
                                </a:lnTo>
                                <a:lnTo>
                                  <a:pt x="1796420" y="271009"/>
                                </a:lnTo>
                                <a:lnTo>
                                  <a:pt x="1795943" y="256264"/>
                                </a:lnTo>
                                <a:close/>
                              </a:path>
                              <a:path w="3610610" h="622300">
                                <a:moveTo>
                                  <a:pt x="1810607" y="253272"/>
                                </a:moveTo>
                                <a:lnTo>
                                  <a:pt x="1803019" y="253517"/>
                                </a:lnTo>
                                <a:lnTo>
                                  <a:pt x="1795943" y="256264"/>
                                </a:lnTo>
                                <a:lnTo>
                                  <a:pt x="1796420" y="271009"/>
                                </a:lnTo>
                                <a:lnTo>
                                  <a:pt x="1806523" y="270682"/>
                                </a:lnTo>
                                <a:lnTo>
                                  <a:pt x="1815945" y="267025"/>
                                </a:lnTo>
                                <a:lnTo>
                                  <a:pt x="1810607" y="253272"/>
                                </a:lnTo>
                                <a:close/>
                              </a:path>
                              <a:path w="3610610" h="622300">
                                <a:moveTo>
                                  <a:pt x="1806523" y="270682"/>
                                </a:moveTo>
                                <a:lnTo>
                                  <a:pt x="1796420" y="271009"/>
                                </a:lnTo>
                                <a:lnTo>
                                  <a:pt x="1805681" y="271009"/>
                                </a:lnTo>
                                <a:lnTo>
                                  <a:pt x="1806523" y="270682"/>
                                </a:lnTo>
                                <a:close/>
                              </a:path>
                              <a:path w="3610610" h="622300">
                                <a:moveTo>
                                  <a:pt x="2701242" y="224465"/>
                                </a:moveTo>
                                <a:lnTo>
                                  <a:pt x="1810607" y="253272"/>
                                </a:lnTo>
                                <a:lnTo>
                                  <a:pt x="1815945" y="267025"/>
                                </a:lnTo>
                                <a:lnTo>
                                  <a:pt x="1806523" y="270682"/>
                                </a:lnTo>
                                <a:lnTo>
                                  <a:pt x="2695734" y="241922"/>
                                </a:lnTo>
                                <a:lnTo>
                                  <a:pt x="2691975" y="226763"/>
                                </a:lnTo>
                                <a:lnTo>
                                  <a:pt x="2701242" y="224465"/>
                                </a:lnTo>
                                <a:close/>
                              </a:path>
                              <a:path w="3610610" h="622300">
                                <a:moveTo>
                                  <a:pt x="1803019" y="253517"/>
                                </a:moveTo>
                                <a:lnTo>
                                  <a:pt x="1795862" y="253749"/>
                                </a:lnTo>
                                <a:lnTo>
                                  <a:pt x="1795943" y="256264"/>
                                </a:lnTo>
                                <a:lnTo>
                                  <a:pt x="1803019" y="253517"/>
                                </a:lnTo>
                                <a:close/>
                              </a:path>
                              <a:path w="3610610" h="622300">
                                <a:moveTo>
                                  <a:pt x="1809696" y="250926"/>
                                </a:moveTo>
                                <a:lnTo>
                                  <a:pt x="1803019" y="253517"/>
                                </a:lnTo>
                                <a:lnTo>
                                  <a:pt x="1810607" y="253272"/>
                                </a:lnTo>
                                <a:lnTo>
                                  <a:pt x="1809696" y="250926"/>
                                </a:lnTo>
                                <a:close/>
                              </a:path>
                              <a:path w="3610610" h="622300">
                                <a:moveTo>
                                  <a:pt x="2703626" y="241667"/>
                                </a:moveTo>
                                <a:lnTo>
                                  <a:pt x="2695734" y="241922"/>
                                </a:lnTo>
                                <a:lnTo>
                                  <a:pt x="2696132" y="243525"/>
                                </a:lnTo>
                                <a:lnTo>
                                  <a:pt x="2703626" y="241667"/>
                                </a:lnTo>
                                <a:close/>
                              </a:path>
                              <a:path w="3610610" h="622300">
                                <a:moveTo>
                                  <a:pt x="2710785" y="224157"/>
                                </a:moveTo>
                                <a:lnTo>
                                  <a:pt x="2701242" y="224465"/>
                                </a:lnTo>
                                <a:lnTo>
                                  <a:pt x="2691975" y="226763"/>
                                </a:lnTo>
                                <a:lnTo>
                                  <a:pt x="2695734" y="241922"/>
                                </a:lnTo>
                                <a:lnTo>
                                  <a:pt x="2703626" y="241667"/>
                                </a:lnTo>
                                <a:lnTo>
                                  <a:pt x="2711290" y="239766"/>
                                </a:lnTo>
                                <a:lnTo>
                                  <a:pt x="2710785" y="224157"/>
                                </a:lnTo>
                                <a:close/>
                              </a:path>
                              <a:path w="3610610" h="622300">
                                <a:moveTo>
                                  <a:pt x="2711290" y="239766"/>
                                </a:moveTo>
                                <a:lnTo>
                                  <a:pt x="2703626" y="241667"/>
                                </a:lnTo>
                                <a:lnTo>
                                  <a:pt x="2711344" y="241417"/>
                                </a:lnTo>
                                <a:lnTo>
                                  <a:pt x="2711290" y="239766"/>
                                </a:lnTo>
                                <a:close/>
                              </a:path>
                              <a:path w="3610610" h="622300">
                                <a:moveTo>
                                  <a:pt x="2774236" y="224157"/>
                                </a:moveTo>
                                <a:lnTo>
                                  <a:pt x="2710785" y="224157"/>
                                </a:lnTo>
                                <a:lnTo>
                                  <a:pt x="2711290" y="239766"/>
                                </a:lnTo>
                                <a:lnTo>
                                  <a:pt x="2774236" y="224157"/>
                                </a:lnTo>
                                <a:close/>
                              </a:path>
                              <a:path w="3610610" h="622300">
                                <a:moveTo>
                                  <a:pt x="3606410" y="0"/>
                                </a:moveTo>
                                <a:lnTo>
                                  <a:pt x="2701242" y="224465"/>
                                </a:lnTo>
                                <a:lnTo>
                                  <a:pt x="2710785" y="224157"/>
                                </a:lnTo>
                                <a:lnTo>
                                  <a:pt x="2774236" y="224157"/>
                                </a:lnTo>
                                <a:lnTo>
                                  <a:pt x="3610567" y="16761"/>
                                </a:lnTo>
                                <a:lnTo>
                                  <a:pt x="3606410" y="0"/>
                                </a:lnTo>
                                <a:close/>
                              </a:path>
                            </a:pathLst>
                          </a:custGeom>
                          <a:solidFill>
                            <a:srgbClr val="2F7D41"/>
                          </a:solidFill>
                        </wps:spPr>
                        <wps:bodyPr wrap="square" lIns="0" tIns="0" rIns="0" bIns="0" rtlCol="0">
                          <a:prstTxWarp prst="textNoShape">
                            <a:avLst/>
                          </a:prstTxWarp>
                          <a:noAutofit/>
                        </wps:bodyPr>
                      </wps:wsp>
                      <wps:wsp>
                        <wps:cNvPr id="2335" name="Graphic 2335"/>
                        <wps:cNvSpPr/>
                        <wps:spPr>
                          <a:xfrm>
                            <a:off x="833253" y="967857"/>
                            <a:ext cx="3618229" cy="564515"/>
                          </a:xfrm>
                          <a:custGeom>
                            <a:avLst/>
                            <a:gdLst/>
                            <a:ahLst/>
                            <a:cxnLst/>
                            <a:rect l="l" t="t" r="r" b="b"/>
                            <a:pathLst>
                              <a:path w="3618229" h="564515">
                                <a:moveTo>
                                  <a:pt x="901680" y="560522"/>
                                </a:moveTo>
                                <a:lnTo>
                                  <a:pt x="903107" y="564407"/>
                                </a:lnTo>
                                <a:lnTo>
                                  <a:pt x="912708" y="560880"/>
                                </a:lnTo>
                                <a:lnTo>
                                  <a:pt x="901680" y="560522"/>
                                </a:lnTo>
                                <a:close/>
                              </a:path>
                              <a:path w="3618229" h="564515">
                                <a:moveTo>
                                  <a:pt x="923064" y="557075"/>
                                </a:moveTo>
                                <a:lnTo>
                                  <a:pt x="912708" y="560880"/>
                                </a:lnTo>
                                <a:lnTo>
                                  <a:pt x="922930" y="561211"/>
                                </a:lnTo>
                                <a:lnTo>
                                  <a:pt x="923064" y="557075"/>
                                </a:lnTo>
                                <a:close/>
                              </a:path>
                              <a:path w="3618229" h="564515">
                                <a:moveTo>
                                  <a:pt x="908589" y="535333"/>
                                </a:moveTo>
                                <a:lnTo>
                                  <a:pt x="894348" y="540565"/>
                                </a:lnTo>
                                <a:lnTo>
                                  <a:pt x="901680" y="560522"/>
                                </a:lnTo>
                                <a:lnTo>
                                  <a:pt x="912708" y="560880"/>
                                </a:lnTo>
                                <a:lnTo>
                                  <a:pt x="923064" y="557075"/>
                                </a:lnTo>
                                <a:lnTo>
                                  <a:pt x="923753" y="535825"/>
                                </a:lnTo>
                                <a:lnTo>
                                  <a:pt x="908589" y="535333"/>
                                </a:lnTo>
                                <a:close/>
                              </a:path>
                              <a:path w="3618229" h="564515">
                                <a:moveTo>
                                  <a:pt x="823" y="505900"/>
                                </a:moveTo>
                                <a:lnTo>
                                  <a:pt x="0" y="531287"/>
                                </a:lnTo>
                                <a:lnTo>
                                  <a:pt x="901680" y="560522"/>
                                </a:lnTo>
                                <a:lnTo>
                                  <a:pt x="894348" y="540565"/>
                                </a:lnTo>
                                <a:lnTo>
                                  <a:pt x="908589" y="535333"/>
                                </a:lnTo>
                                <a:lnTo>
                                  <a:pt x="823" y="505900"/>
                                </a:lnTo>
                                <a:close/>
                              </a:path>
                              <a:path w="3618229" h="564515">
                                <a:moveTo>
                                  <a:pt x="1795012" y="209667"/>
                                </a:moveTo>
                                <a:lnTo>
                                  <a:pt x="908589" y="535333"/>
                                </a:lnTo>
                                <a:lnTo>
                                  <a:pt x="923753" y="535825"/>
                                </a:lnTo>
                                <a:lnTo>
                                  <a:pt x="923064" y="557075"/>
                                </a:lnTo>
                                <a:lnTo>
                                  <a:pt x="1808644" y="231719"/>
                                </a:lnTo>
                                <a:lnTo>
                                  <a:pt x="1796203" y="231719"/>
                                </a:lnTo>
                                <a:lnTo>
                                  <a:pt x="1795012" y="209667"/>
                                </a:lnTo>
                                <a:close/>
                              </a:path>
                              <a:path w="3618229" h="564515">
                                <a:moveTo>
                                  <a:pt x="1816884" y="205164"/>
                                </a:moveTo>
                                <a:lnTo>
                                  <a:pt x="1805610" y="205773"/>
                                </a:lnTo>
                                <a:lnTo>
                                  <a:pt x="1795012" y="209667"/>
                                </a:lnTo>
                                <a:lnTo>
                                  <a:pt x="1796203" y="231719"/>
                                </a:lnTo>
                                <a:lnTo>
                                  <a:pt x="1810789" y="230931"/>
                                </a:lnTo>
                                <a:lnTo>
                                  <a:pt x="1824500" y="225893"/>
                                </a:lnTo>
                                <a:lnTo>
                                  <a:pt x="1816884" y="205164"/>
                                </a:lnTo>
                                <a:close/>
                              </a:path>
                              <a:path w="3618229" h="564515">
                                <a:moveTo>
                                  <a:pt x="1810789" y="230931"/>
                                </a:moveTo>
                                <a:lnTo>
                                  <a:pt x="1796203" y="231719"/>
                                </a:lnTo>
                                <a:lnTo>
                                  <a:pt x="1808644" y="231719"/>
                                </a:lnTo>
                                <a:lnTo>
                                  <a:pt x="1810789" y="230931"/>
                                </a:lnTo>
                                <a:close/>
                              </a:path>
                              <a:path w="3618229" h="564515">
                                <a:moveTo>
                                  <a:pt x="2704311" y="157213"/>
                                </a:moveTo>
                                <a:lnTo>
                                  <a:pt x="1816884" y="205164"/>
                                </a:lnTo>
                                <a:lnTo>
                                  <a:pt x="1824500" y="225893"/>
                                </a:lnTo>
                                <a:lnTo>
                                  <a:pt x="1810789" y="230931"/>
                                </a:lnTo>
                                <a:lnTo>
                                  <a:pt x="2695148" y="183145"/>
                                </a:lnTo>
                                <a:lnTo>
                                  <a:pt x="2691061" y="159503"/>
                                </a:lnTo>
                                <a:lnTo>
                                  <a:pt x="2704311" y="157213"/>
                                </a:lnTo>
                                <a:close/>
                              </a:path>
                              <a:path w="3618229" h="564515">
                                <a:moveTo>
                                  <a:pt x="1805610" y="205773"/>
                                </a:moveTo>
                                <a:lnTo>
                                  <a:pt x="1794833" y="206356"/>
                                </a:lnTo>
                                <a:lnTo>
                                  <a:pt x="1795012" y="209667"/>
                                </a:lnTo>
                                <a:lnTo>
                                  <a:pt x="1805610" y="205773"/>
                                </a:lnTo>
                                <a:close/>
                              </a:path>
                              <a:path w="3618229" h="564515">
                                <a:moveTo>
                                  <a:pt x="1815741" y="202052"/>
                                </a:moveTo>
                                <a:lnTo>
                                  <a:pt x="1805610" y="205773"/>
                                </a:lnTo>
                                <a:lnTo>
                                  <a:pt x="1816884" y="205164"/>
                                </a:lnTo>
                                <a:lnTo>
                                  <a:pt x="1815741" y="202052"/>
                                </a:lnTo>
                                <a:close/>
                              </a:path>
                              <a:path w="3618229" h="564515">
                                <a:moveTo>
                                  <a:pt x="2707168" y="182495"/>
                                </a:moveTo>
                                <a:lnTo>
                                  <a:pt x="2695148" y="183145"/>
                                </a:lnTo>
                                <a:lnTo>
                                  <a:pt x="2695388" y="184532"/>
                                </a:lnTo>
                                <a:lnTo>
                                  <a:pt x="2707168" y="182495"/>
                                </a:lnTo>
                                <a:close/>
                              </a:path>
                              <a:path w="3618229" h="564515">
                                <a:moveTo>
                                  <a:pt x="2717735" y="156487"/>
                                </a:moveTo>
                                <a:lnTo>
                                  <a:pt x="2704311" y="157213"/>
                                </a:lnTo>
                                <a:lnTo>
                                  <a:pt x="2691061" y="159503"/>
                                </a:lnTo>
                                <a:lnTo>
                                  <a:pt x="2695148" y="183145"/>
                                </a:lnTo>
                                <a:lnTo>
                                  <a:pt x="2707168" y="182495"/>
                                </a:lnTo>
                                <a:lnTo>
                                  <a:pt x="2719030" y="180445"/>
                                </a:lnTo>
                                <a:lnTo>
                                  <a:pt x="2717735" y="156487"/>
                                </a:lnTo>
                                <a:close/>
                              </a:path>
                              <a:path w="3618229" h="564515">
                                <a:moveTo>
                                  <a:pt x="2719030" y="180445"/>
                                </a:moveTo>
                                <a:lnTo>
                                  <a:pt x="2707168" y="182495"/>
                                </a:lnTo>
                                <a:lnTo>
                                  <a:pt x="2719106" y="181850"/>
                                </a:lnTo>
                                <a:lnTo>
                                  <a:pt x="2719030" y="180445"/>
                                </a:lnTo>
                                <a:close/>
                              </a:path>
                              <a:path w="3618229" h="564515">
                                <a:moveTo>
                                  <a:pt x="2857601" y="156487"/>
                                </a:moveTo>
                                <a:lnTo>
                                  <a:pt x="2717735" y="156487"/>
                                </a:lnTo>
                                <a:lnTo>
                                  <a:pt x="2719030" y="180445"/>
                                </a:lnTo>
                                <a:lnTo>
                                  <a:pt x="2857601" y="156487"/>
                                </a:lnTo>
                                <a:close/>
                              </a:path>
                              <a:path w="3618229" h="564515">
                                <a:moveTo>
                                  <a:pt x="3613639" y="0"/>
                                </a:moveTo>
                                <a:lnTo>
                                  <a:pt x="2704311" y="157213"/>
                                </a:lnTo>
                                <a:lnTo>
                                  <a:pt x="2717735" y="156487"/>
                                </a:lnTo>
                                <a:lnTo>
                                  <a:pt x="2857601" y="156487"/>
                                </a:lnTo>
                                <a:lnTo>
                                  <a:pt x="3617966" y="25028"/>
                                </a:lnTo>
                                <a:lnTo>
                                  <a:pt x="3613639" y="0"/>
                                </a:lnTo>
                                <a:close/>
                              </a:path>
                            </a:pathLst>
                          </a:custGeom>
                          <a:solidFill>
                            <a:srgbClr val="000000"/>
                          </a:solidFill>
                        </wps:spPr>
                        <wps:bodyPr wrap="square" lIns="0" tIns="0" rIns="0" bIns="0" rtlCol="0">
                          <a:prstTxWarp prst="textNoShape">
                            <a:avLst/>
                          </a:prstTxWarp>
                          <a:noAutofit/>
                        </wps:bodyPr>
                      </wps:wsp>
                      <wps:wsp>
                        <wps:cNvPr id="2336" name="Graphic 2336"/>
                        <wps:cNvSpPr/>
                        <wps:spPr>
                          <a:xfrm>
                            <a:off x="833358" y="1469021"/>
                            <a:ext cx="3618865" cy="255270"/>
                          </a:xfrm>
                          <a:custGeom>
                            <a:avLst/>
                            <a:gdLst/>
                            <a:ahLst/>
                            <a:cxnLst/>
                            <a:rect l="l" t="t" r="r" b="b"/>
                            <a:pathLst>
                              <a:path w="3618865" h="255270">
                                <a:moveTo>
                                  <a:pt x="900216" y="252327"/>
                                </a:moveTo>
                                <a:lnTo>
                                  <a:pt x="900789" y="254958"/>
                                </a:lnTo>
                                <a:lnTo>
                                  <a:pt x="911727" y="252577"/>
                                </a:lnTo>
                                <a:lnTo>
                                  <a:pt x="900216" y="252327"/>
                                </a:lnTo>
                                <a:close/>
                              </a:path>
                              <a:path w="3618865" h="255270">
                                <a:moveTo>
                                  <a:pt x="922977" y="250129"/>
                                </a:moveTo>
                                <a:lnTo>
                                  <a:pt x="911727" y="252577"/>
                                </a:lnTo>
                                <a:lnTo>
                                  <a:pt x="922918" y="252821"/>
                                </a:lnTo>
                                <a:lnTo>
                                  <a:pt x="922977" y="250129"/>
                                </a:lnTo>
                                <a:close/>
                              </a:path>
                              <a:path w="3618865" h="255270">
                                <a:moveTo>
                                  <a:pt x="909267" y="227118"/>
                                </a:moveTo>
                                <a:lnTo>
                                  <a:pt x="895387" y="230139"/>
                                </a:lnTo>
                                <a:lnTo>
                                  <a:pt x="900216" y="252327"/>
                                </a:lnTo>
                                <a:lnTo>
                                  <a:pt x="911727" y="252577"/>
                                </a:lnTo>
                                <a:lnTo>
                                  <a:pt x="922977" y="250129"/>
                                </a:lnTo>
                                <a:lnTo>
                                  <a:pt x="923471" y="227427"/>
                                </a:lnTo>
                                <a:lnTo>
                                  <a:pt x="909267" y="227118"/>
                                </a:lnTo>
                                <a:close/>
                              </a:path>
                              <a:path w="3618865" h="255270">
                                <a:moveTo>
                                  <a:pt x="552" y="207334"/>
                                </a:moveTo>
                                <a:lnTo>
                                  <a:pt x="0" y="232728"/>
                                </a:lnTo>
                                <a:lnTo>
                                  <a:pt x="900216" y="252327"/>
                                </a:lnTo>
                                <a:lnTo>
                                  <a:pt x="895387" y="230139"/>
                                </a:lnTo>
                                <a:lnTo>
                                  <a:pt x="909267" y="227118"/>
                                </a:lnTo>
                                <a:lnTo>
                                  <a:pt x="552" y="207334"/>
                                </a:lnTo>
                                <a:close/>
                              </a:path>
                              <a:path w="3618865" h="255270">
                                <a:moveTo>
                                  <a:pt x="1794991" y="34355"/>
                                </a:moveTo>
                                <a:lnTo>
                                  <a:pt x="909267" y="227118"/>
                                </a:lnTo>
                                <a:lnTo>
                                  <a:pt x="923471" y="227427"/>
                                </a:lnTo>
                                <a:lnTo>
                                  <a:pt x="922977" y="250129"/>
                                </a:lnTo>
                                <a:lnTo>
                                  <a:pt x="1807521" y="57622"/>
                                </a:lnTo>
                                <a:lnTo>
                                  <a:pt x="1795750" y="57622"/>
                                </a:lnTo>
                                <a:lnTo>
                                  <a:pt x="1794991" y="34355"/>
                                </a:lnTo>
                                <a:close/>
                              </a:path>
                              <a:path w="3618865" h="255270">
                                <a:moveTo>
                                  <a:pt x="2717923" y="5010"/>
                                </a:moveTo>
                                <a:lnTo>
                                  <a:pt x="2718657" y="27489"/>
                                </a:lnTo>
                                <a:lnTo>
                                  <a:pt x="2704322" y="27957"/>
                                </a:lnTo>
                                <a:lnTo>
                                  <a:pt x="3612631" y="235517"/>
                                </a:lnTo>
                                <a:lnTo>
                                  <a:pt x="3618289" y="210755"/>
                                </a:lnTo>
                                <a:lnTo>
                                  <a:pt x="2717923" y="5010"/>
                                </a:lnTo>
                                <a:close/>
                              </a:path>
                              <a:path w="3618865" h="255270">
                                <a:moveTo>
                                  <a:pt x="1818189" y="31476"/>
                                </a:moveTo>
                                <a:lnTo>
                                  <a:pt x="1806459" y="31859"/>
                                </a:lnTo>
                                <a:lnTo>
                                  <a:pt x="1794991" y="34355"/>
                                </a:lnTo>
                                <a:lnTo>
                                  <a:pt x="1795750" y="57622"/>
                                </a:lnTo>
                                <a:lnTo>
                                  <a:pt x="1809599" y="57170"/>
                                </a:lnTo>
                                <a:lnTo>
                                  <a:pt x="1823139" y="54223"/>
                                </a:lnTo>
                                <a:lnTo>
                                  <a:pt x="1818189" y="31476"/>
                                </a:lnTo>
                                <a:close/>
                              </a:path>
                              <a:path w="3618865" h="255270">
                                <a:moveTo>
                                  <a:pt x="1809599" y="57170"/>
                                </a:moveTo>
                                <a:lnTo>
                                  <a:pt x="1795750" y="57622"/>
                                </a:lnTo>
                                <a:lnTo>
                                  <a:pt x="1807521" y="57622"/>
                                </a:lnTo>
                                <a:lnTo>
                                  <a:pt x="1809599" y="57170"/>
                                </a:lnTo>
                                <a:close/>
                              </a:path>
                              <a:path w="3618865" h="255270">
                                <a:moveTo>
                                  <a:pt x="2695349" y="2836"/>
                                </a:moveTo>
                                <a:lnTo>
                                  <a:pt x="1818189" y="31476"/>
                                </a:lnTo>
                                <a:lnTo>
                                  <a:pt x="1823139" y="54223"/>
                                </a:lnTo>
                                <a:lnTo>
                                  <a:pt x="1809599" y="57170"/>
                                </a:lnTo>
                                <a:lnTo>
                                  <a:pt x="2704322" y="27957"/>
                                </a:lnTo>
                                <a:lnTo>
                                  <a:pt x="2690339" y="24761"/>
                                </a:lnTo>
                                <a:lnTo>
                                  <a:pt x="2695349" y="2836"/>
                                </a:lnTo>
                                <a:close/>
                              </a:path>
                              <a:path w="3618865" h="255270">
                                <a:moveTo>
                                  <a:pt x="1806459" y="31859"/>
                                </a:moveTo>
                                <a:lnTo>
                                  <a:pt x="1794922" y="32235"/>
                                </a:lnTo>
                                <a:lnTo>
                                  <a:pt x="1794991" y="34355"/>
                                </a:lnTo>
                                <a:lnTo>
                                  <a:pt x="1806459" y="31859"/>
                                </a:lnTo>
                                <a:close/>
                              </a:path>
                              <a:path w="3618865" h="255270">
                                <a:moveTo>
                                  <a:pt x="1817738" y="29404"/>
                                </a:moveTo>
                                <a:lnTo>
                                  <a:pt x="1806459" y="31859"/>
                                </a:lnTo>
                                <a:lnTo>
                                  <a:pt x="1818189" y="31476"/>
                                </a:lnTo>
                                <a:lnTo>
                                  <a:pt x="1817738" y="29404"/>
                                </a:lnTo>
                                <a:close/>
                              </a:path>
                              <a:path w="3618865" h="255270">
                                <a:moveTo>
                                  <a:pt x="2706778" y="2463"/>
                                </a:moveTo>
                                <a:lnTo>
                                  <a:pt x="2695349" y="2836"/>
                                </a:lnTo>
                                <a:lnTo>
                                  <a:pt x="2690339" y="24761"/>
                                </a:lnTo>
                                <a:lnTo>
                                  <a:pt x="2704322" y="27957"/>
                                </a:lnTo>
                                <a:lnTo>
                                  <a:pt x="2718657" y="27489"/>
                                </a:lnTo>
                                <a:lnTo>
                                  <a:pt x="2717923" y="5010"/>
                                </a:lnTo>
                                <a:lnTo>
                                  <a:pt x="2706778" y="2463"/>
                                </a:lnTo>
                                <a:close/>
                              </a:path>
                              <a:path w="3618865" h="255270">
                                <a:moveTo>
                                  <a:pt x="2717828" y="2102"/>
                                </a:moveTo>
                                <a:lnTo>
                                  <a:pt x="2706778" y="2463"/>
                                </a:lnTo>
                                <a:lnTo>
                                  <a:pt x="2717923" y="5010"/>
                                </a:lnTo>
                                <a:lnTo>
                                  <a:pt x="2717828" y="2102"/>
                                </a:lnTo>
                                <a:close/>
                              </a:path>
                              <a:path w="3618865" h="255270">
                                <a:moveTo>
                                  <a:pt x="2695998" y="0"/>
                                </a:moveTo>
                                <a:lnTo>
                                  <a:pt x="2695349" y="2836"/>
                                </a:lnTo>
                                <a:lnTo>
                                  <a:pt x="2706778" y="2463"/>
                                </a:lnTo>
                                <a:lnTo>
                                  <a:pt x="2695998" y="0"/>
                                </a:lnTo>
                                <a:close/>
                              </a:path>
                            </a:pathLst>
                          </a:custGeom>
                          <a:solidFill>
                            <a:srgbClr val="E3C626"/>
                          </a:solidFill>
                        </wps:spPr>
                        <wps:bodyPr wrap="square" lIns="0" tIns="0" rIns="0" bIns="0" rtlCol="0">
                          <a:prstTxWarp prst="textNoShape">
                            <a:avLst/>
                          </a:prstTxWarp>
                          <a:noAutofit/>
                        </wps:bodyPr>
                      </wps:wsp>
                      <wps:wsp>
                        <wps:cNvPr id="2337" name="Graphic 2337"/>
                        <wps:cNvSpPr/>
                        <wps:spPr>
                          <a:xfrm>
                            <a:off x="813086" y="1234761"/>
                            <a:ext cx="64769" cy="77470"/>
                          </a:xfrm>
                          <a:custGeom>
                            <a:avLst/>
                            <a:gdLst/>
                            <a:ahLst/>
                            <a:cxnLst/>
                            <a:rect l="l" t="t" r="r" b="b"/>
                            <a:pathLst>
                              <a:path w="64769" h="77470">
                                <a:moveTo>
                                  <a:pt x="32365" y="0"/>
                                </a:moveTo>
                                <a:lnTo>
                                  <a:pt x="0" y="38591"/>
                                </a:lnTo>
                                <a:lnTo>
                                  <a:pt x="32365" y="77182"/>
                                </a:lnTo>
                                <a:lnTo>
                                  <a:pt x="64724" y="38591"/>
                                </a:lnTo>
                                <a:lnTo>
                                  <a:pt x="32365" y="0"/>
                                </a:lnTo>
                                <a:close/>
                              </a:path>
                            </a:pathLst>
                          </a:custGeom>
                          <a:solidFill>
                            <a:srgbClr val="2F7D41"/>
                          </a:solidFill>
                        </wps:spPr>
                        <wps:bodyPr wrap="square" lIns="0" tIns="0" rIns="0" bIns="0" rtlCol="0">
                          <a:prstTxWarp prst="textNoShape">
                            <a:avLst/>
                          </a:prstTxWarp>
                          <a:noAutofit/>
                        </wps:bodyPr>
                      </wps:wsp>
                      <wps:wsp>
                        <wps:cNvPr id="2338" name="Graphic 2338"/>
                        <wps:cNvSpPr/>
                        <wps:spPr>
                          <a:xfrm>
                            <a:off x="3507325" y="1099691"/>
                            <a:ext cx="64769" cy="77470"/>
                          </a:xfrm>
                          <a:custGeom>
                            <a:avLst/>
                            <a:gdLst/>
                            <a:ahLst/>
                            <a:cxnLst/>
                            <a:rect l="l" t="t" r="r" b="b"/>
                            <a:pathLst>
                              <a:path w="64769" h="77470">
                                <a:moveTo>
                                  <a:pt x="32360" y="0"/>
                                </a:moveTo>
                                <a:lnTo>
                                  <a:pt x="0" y="38593"/>
                                </a:lnTo>
                                <a:lnTo>
                                  <a:pt x="32360" y="77183"/>
                                </a:lnTo>
                                <a:lnTo>
                                  <a:pt x="64719" y="38593"/>
                                </a:lnTo>
                                <a:lnTo>
                                  <a:pt x="32360" y="0"/>
                                </a:lnTo>
                                <a:close/>
                              </a:path>
                            </a:pathLst>
                          </a:custGeom>
                          <a:solidFill>
                            <a:srgbClr val="000000"/>
                          </a:solidFill>
                        </wps:spPr>
                        <wps:bodyPr wrap="square" lIns="0" tIns="0" rIns="0" bIns="0" rtlCol="0">
                          <a:prstTxWarp prst="textNoShape">
                            <a:avLst/>
                          </a:prstTxWarp>
                          <a:noAutofit/>
                        </wps:bodyPr>
                      </wps:wsp>
                      <wps:wsp>
                        <wps:cNvPr id="2339" name="Graphic 2339"/>
                        <wps:cNvSpPr/>
                        <wps:spPr>
                          <a:xfrm>
                            <a:off x="2609241" y="1475954"/>
                            <a:ext cx="64769" cy="77470"/>
                          </a:xfrm>
                          <a:custGeom>
                            <a:avLst/>
                            <a:gdLst/>
                            <a:ahLst/>
                            <a:cxnLst/>
                            <a:rect l="l" t="t" r="r" b="b"/>
                            <a:pathLst>
                              <a:path w="64769" h="77470">
                                <a:moveTo>
                                  <a:pt x="32370" y="0"/>
                                </a:moveTo>
                                <a:lnTo>
                                  <a:pt x="0" y="38592"/>
                                </a:lnTo>
                                <a:lnTo>
                                  <a:pt x="32370" y="77182"/>
                                </a:lnTo>
                                <a:lnTo>
                                  <a:pt x="64730" y="38592"/>
                                </a:lnTo>
                                <a:lnTo>
                                  <a:pt x="32370" y="0"/>
                                </a:lnTo>
                                <a:close/>
                              </a:path>
                            </a:pathLst>
                          </a:custGeom>
                          <a:solidFill>
                            <a:srgbClr val="E3C626"/>
                          </a:solidFill>
                        </wps:spPr>
                        <wps:bodyPr wrap="square" lIns="0" tIns="0" rIns="0" bIns="0" rtlCol="0">
                          <a:prstTxWarp prst="textNoShape">
                            <a:avLst/>
                          </a:prstTxWarp>
                          <a:noAutofit/>
                        </wps:bodyPr>
                      </wps:wsp>
                      <wps:wsp>
                        <wps:cNvPr id="2340" name="Graphic 2340"/>
                        <wps:cNvSpPr/>
                        <wps:spPr>
                          <a:xfrm>
                            <a:off x="-6" y="0"/>
                            <a:ext cx="5046345" cy="2578100"/>
                          </a:xfrm>
                          <a:custGeom>
                            <a:avLst/>
                            <a:gdLst/>
                            <a:ahLst/>
                            <a:cxnLst/>
                            <a:rect l="l" t="t" r="r" b="b"/>
                            <a:pathLst>
                              <a:path w="5046345" h="2578100">
                                <a:moveTo>
                                  <a:pt x="5046294" y="0"/>
                                </a:moveTo>
                                <a:lnTo>
                                  <a:pt x="5039944" y="0"/>
                                </a:lnTo>
                                <a:lnTo>
                                  <a:pt x="5039944" y="2540"/>
                                </a:lnTo>
                                <a:lnTo>
                                  <a:pt x="5039944" y="3086"/>
                                </a:lnTo>
                                <a:lnTo>
                                  <a:pt x="5039944" y="6261"/>
                                </a:lnTo>
                                <a:lnTo>
                                  <a:pt x="5039944" y="2571661"/>
                                </a:lnTo>
                                <a:lnTo>
                                  <a:pt x="6350" y="2571661"/>
                                </a:lnTo>
                                <a:lnTo>
                                  <a:pt x="6350" y="6350"/>
                                </a:lnTo>
                                <a:lnTo>
                                  <a:pt x="3175" y="6350"/>
                                </a:lnTo>
                                <a:lnTo>
                                  <a:pt x="6350" y="6261"/>
                                </a:lnTo>
                                <a:lnTo>
                                  <a:pt x="5039944" y="6261"/>
                                </a:lnTo>
                                <a:lnTo>
                                  <a:pt x="5039944" y="3086"/>
                                </a:lnTo>
                                <a:lnTo>
                                  <a:pt x="6350" y="3086"/>
                                </a:lnTo>
                                <a:lnTo>
                                  <a:pt x="3175" y="3086"/>
                                </a:lnTo>
                                <a:lnTo>
                                  <a:pt x="3175" y="2540"/>
                                </a:lnTo>
                                <a:lnTo>
                                  <a:pt x="5039944" y="2540"/>
                                </a:lnTo>
                                <a:lnTo>
                                  <a:pt x="5039944" y="0"/>
                                </a:lnTo>
                                <a:lnTo>
                                  <a:pt x="0" y="0"/>
                                </a:lnTo>
                                <a:lnTo>
                                  <a:pt x="0" y="2540"/>
                                </a:lnTo>
                                <a:lnTo>
                                  <a:pt x="0" y="6350"/>
                                </a:lnTo>
                                <a:lnTo>
                                  <a:pt x="0" y="2571750"/>
                                </a:lnTo>
                                <a:lnTo>
                                  <a:pt x="0" y="2574290"/>
                                </a:lnTo>
                                <a:lnTo>
                                  <a:pt x="0" y="2578100"/>
                                </a:lnTo>
                                <a:lnTo>
                                  <a:pt x="5046294" y="2578100"/>
                                </a:lnTo>
                                <a:lnTo>
                                  <a:pt x="5046294" y="6350"/>
                                </a:lnTo>
                                <a:lnTo>
                                  <a:pt x="5043119" y="6350"/>
                                </a:lnTo>
                                <a:lnTo>
                                  <a:pt x="5046294" y="6261"/>
                                </a:lnTo>
                                <a:lnTo>
                                  <a:pt x="5046294" y="3086"/>
                                </a:lnTo>
                                <a:lnTo>
                                  <a:pt x="5043119" y="3086"/>
                                </a:lnTo>
                                <a:lnTo>
                                  <a:pt x="5043119" y="2540"/>
                                </a:lnTo>
                                <a:lnTo>
                                  <a:pt x="5046294" y="2540"/>
                                </a:lnTo>
                                <a:lnTo>
                                  <a:pt x="5046294" y="0"/>
                                </a:lnTo>
                                <a:close/>
                              </a:path>
                            </a:pathLst>
                          </a:custGeom>
                          <a:solidFill>
                            <a:srgbClr val="000000"/>
                          </a:solidFill>
                        </wps:spPr>
                        <wps:bodyPr wrap="square" lIns="0" tIns="0" rIns="0" bIns="0" rtlCol="0">
                          <a:prstTxWarp prst="textNoShape">
                            <a:avLst/>
                          </a:prstTxWarp>
                          <a:noAutofit/>
                        </wps:bodyPr>
                      </wps:wsp>
                      <wps:wsp>
                        <wps:cNvPr id="2341" name="Graphic 2341"/>
                        <wps:cNvSpPr/>
                        <wps:spPr>
                          <a:xfrm>
                            <a:off x="2290540" y="118808"/>
                            <a:ext cx="243204" cy="77470"/>
                          </a:xfrm>
                          <a:custGeom>
                            <a:avLst/>
                            <a:gdLst/>
                            <a:ahLst/>
                            <a:cxnLst/>
                            <a:rect l="l" t="t" r="r" b="b"/>
                            <a:pathLst>
                              <a:path w="243204" h="77470">
                                <a:moveTo>
                                  <a:pt x="242697" y="29959"/>
                                </a:moveTo>
                                <a:lnTo>
                                  <a:pt x="146469" y="29959"/>
                                </a:lnTo>
                                <a:lnTo>
                                  <a:pt x="121348" y="0"/>
                                </a:lnTo>
                                <a:lnTo>
                                  <a:pt x="96227" y="29959"/>
                                </a:lnTo>
                                <a:lnTo>
                                  <a:pt x="0" y="29959"/>
                                </a:lnTo>
                                <a:lnTo>
                                  <a:pt x="0" y="47231"/>
                                </a:lnTo>
                                <a:lnTo>
                                  <a:pt x="96227" y="47231"/>
                                </a:lnTo>
                                <a:lnTo>
                                  <a:pt x="121348" y="77177"/>
                                </a:lnTo>
                                <a:lnTo>
                                  <a:pt x="146469" y="47231"/>
                                </a:lnTo>
                                <a:lnTo>
                                  <a:pt x="242697" y="47231"/>
                                </a:lnTo>
                                <a:lnTo>
                                  <a:pt x="242697" y="29959"/>
                                </a:lnTo>
                                <a:close/>
                              </a:path>
                            </a:pathLst>
                          </a:custGeom>
                          <a:solidFill>
                            <a:srgbClr val="2F7D41"/>
                          </a:solidFill>
                        </wps:spPr>
                        <wps:bodyPr wrap="square" lIns="0" tIns="0" rIns="0" bIns="0" rtlCol="0">
                          <a:prstTxWarp prst="textNoShape">
                            <a:avLst/>
                          </a:prstTxWarp>
                          <a:noAutofit/>
                        </wps:bodyPr>
                      </wps:wsp>
                      <wps:wsp>
                        <wps:cNvPr id="2342" name="Graphic 2342"/>
                        <wps:cNvSpPr/>
                        <wps:spPr>
                          <a:xfrm>
                            <a:off x="3157734" y="118808"/>
                            <a:ext cx="250825" cy="77470"/>
                          </a:xfrm>
                          <a:custGeom>
                            <a:avLst/>
                            <a:gdLst/>
                            <a:ahLst/>
                            <a:cxnLst/>
                            <a:rect l="l" t="t" r="r" b="b"/>
                            <a:pathLst>
                              <a:path w="250825" h="77470">
                                <a:moveTo>
                                  <a:pt x="250291" y="25895"/>
                                </a:moveTo>
                                <a:lnTo>
                                  <a:pt x="146850" y="25895"/>
                                </a:lnTo>
                                <a:lnTo>
                                  <a:pt x="125145" y="0"/>
                                </a:lnTo>
                                <a:lnTo>
                                  <a:pt x="103428" y="25895"/>
                                </a:lnTo>
                                <a:lnTo>
                                  <a:pt x="0" y="25895"/>
                                </a:lnTo>
                                <a:lnTo>
                                  <a:pt x="0" y="51295"/>
                                </a:lnTo>
                                <a:lnTo>
                                  <a:pt x="103428" y="51295"/>
                                </a:lnTo>
                                <a:lnTo>
                                  <a:pt x="125145" y="77177"/>
                                </a:lnTo>
                                <a:lnTo>
                                  <a:pt x="146850" y="51295"/>
                                </a:lnTo>
                                <a:lnTo>
                                  <a:pt x="250291" y="51295"/>
                                </a:lnTo>
                                <a:lnTo>
                                  <a:pt x="250291" y="25895"/>
                                </a:lnTo>
                                <a:close/>
                              </a:path>
                            </a:pathLst>
                          </a:custGeom>
                          <a:solidFill>
                            <a:srgbClr val="000000"/>
                          </a:solidFill>
                        </wps:spPr>
                        <wps:bodyPr wrap="square" lIns="0" tIns="0" rIns="0" bIns="0" rtlCol="0">
                          <a:prstTxWarp prst="textNoShape">
                            <a:avLst/>
                          </a:prstTxWarp>
                          <a:noAutofit/>
                        </wps:bodyPr>
                      </wps:wsp>
                      <wps:wsp>
                        <wps:cNvPr id="2343" name="Graphic 2343"/>
                        <wps:cNvSpPr/>
                        <wps:spPr>
                          <a:xfrm>
                            <a:off x="3978345" y="118808"/>
                            <a:ext cx="250825" cy="77470"/>
                          </a:xfrm>
                          <a:custGeom>
                            <a:avLst/>
                            <a:gdLst/>
                            <a:ahLst/>
                            <a:cxnLst/>
                            <a:rect l="l" t="t" r="r" b="b"/>
                            <a:pathLst>
                              <a:path w="250825" h="77470">
                                <a:moveTo>
                                  <a:pt x="250304" y="25895"/>
                                </a:moveTo>
                                <a:lnTo>
                                  <a:pt x="146862" y="25895"/>
                                </a:lnTo>
                                <a:lnTo>
                                  <a:pt x="125158" y="0"/>
                                </a:lnTo>
                                <a:lnTo>
                                  <a:pt x="103441" y="25895"/>
                                </a:lnTo>
                                <a:lnTo>
                                  <a:pt x="0" y="25895"/>
                                </a:lnTo>
                                <a:lnTo>
                                  <a:pt x="0" y="51295"/>
                                </a:lnTo>
                                <a:lnTo>
                                  <a:pt x="103441" y="51295"/>
                                </a:lnTo>
                                <a:lnTo>
                                  <a:pt x="125158" y="77177"/>
                                </a:lnTo>
                                <a:lnTo>
                                  <a:pt x="146862" y="51295"/>
                                </a:lnTo>
                                <a:lnTo>
                                  <a:pt x="250304" y="51295"/>
                                </a:lnTo>
                                <a:lnTo>
                                  <a:pt x="250304" y="25895"/>
                                </a:lnTo>
                                <a:close/>
                              </a:path>
                            </a:pathLst>
                          </a:custGeom>
                          <a:solidFill>
                            <a:srgbClr val="E3C626"/>
                          </a:solidFill>
                        </wps:spPr>
                        <wps:bodyPr wrap="square" lIns="0" tIns="0" rIns="0" bIns="0" rtlCol="0">
                          <a:prstTxWarp prst="textNoShape">
                            <a:avLst/>
                          </a:prstTxWarp>
                          <a:noAutofit/>
                        </wps:bodyPr>
                      </wps:wsp>
                      <wps:wsp>
                        <wps:cNvPr id="2344" name="Graphic 2344"/>
                        <wps:cNvSpPr/>
                        <wps:spPr>
                          <a:xfrm>
                            <a:off x="359988" y="390728"/>
                            <a:ext cx="4519295" cy="1777364"/>
                          </a:xfrm>
                          <a:custGeom>
                            <a:avLst/>
                            <a:gdLst/>
                            <a:ahLst/>
                            <a:cxnLst/>
                            <a:rect l="l" t="t" r="r" b="b"/>
                            <a:pathLst>
                              <a:path w="4519295" h="1777364">
                                <a:moveTo>
                                  <a:pt x="30441" y="693166"/>
                                </a:moveTo>
                                <a:lnTo>
                                  <a:pt x="0" y="693166"/>
                                </a:lnTo>
                                <a:lnTo>
                                  <a:pt x="0" y="699516"/>
                                </a:lnTo>
                                <a:lnTo>
                                  <a:pt x="30441" y="699516"/>
                                </a:lnTo>
                                <a:lnTo>
                                  <a:pt x="30441" y="693166"/>
                                </a:lnTo>
                                <a:close/>
                              </a:path>
                              <a:path w="4519295" h="1777364">
                                <a:moveTo>
                                  <a:pt x="36334" y="0"/>
                                </a:moveTo>
                                <a:lnTo>
                                  <a:pt x="0" y="0"/>
                                </a:lnTo>
                                <a:lnTo>
                                  <a:pt x="0" y="6350"/>
                                </a:lnTo>
                                <a:lnTo>
                                  <a:pt x="36334" y="6350"/>
                                </a:lnTo>
                                <a:lnTo>
                                  <a:pt x="36334" y="0"/>
                                </a:lnTo>
                                <a:close/>
                              </a:path>
                              <a:path w="4519295" h="1777364">
                                <a:moveTo>
                                  <a:pt x="521055" y="1098562"/>
                                </a:moveTo>
                                <a:lnTo>
                                  <a:pt x="488696" y="1059967"/>
                                </a:lnTo>
                                <a:lnTo>
                                  <a:pt x="456336" y="1098562"/>
                                </a:lnTo>
                                <a:lnTo>
                                  <a:pt x="488696" y="1137158"/>
                                </a:lnTo>
                                <a:lnTo>
                                  <a:pt x="521055" y="1098562"/>
                                </a:lnTo>
                                <a:close/>
                              </a:path>
                              <a:path w="4519295" h="1777364">
                                <a:moveTo>
                                  <a:pt x="1412049" y="1125562"/>
                                </a:moveTo>
                                <a:lnTo>
                                  <a:pt x="1379689" y="1086967"/>
                                </a:lnTo>
                                <a:lnTo>
                                  <a:pt x="1347330" y="1125562"/>
                                </a:lnTo>
                                <a:lnTo>
                                  <a:pt x="1379689" y="1164158"/>
                                </a:lnTo>
                                <a:lnTo>
                                  <a:pt x="1412049" y="1125562"/>
                                </a:lnTo>
                                <a:close/>
                              </a:path>
                              <a:path w="4519295" h="1777364">
                                <a:moveTo>
                                  <a:pt x="2312047" y="801560"/>
                                </a:moveTo>
                                <a:lnTo>
                                  <a:pt x="2279688" y="762965"/>
                                </a:lnTo>
                                <a:lnTo>
                                  <a:pt x="2247328" y="801560"/>
                                </a:lnTo>
                                <a:lnTo>
                                  <a:pt x="2279688" y="840155"/>
                                </a:lnTo>
                                <a:lnTo>
                                  <a:pt x="2312047" y="801560"/>
                                </a:lnTo>
                                <a:close/>
                              </a:path>
                              <a:path w="4519295" h="1777364">
                                <a:moveTo>
                                  <a:pt x="4112056" y="594563"/>
                                </a:moveTo>
                                <a:lnTo>
                                  <a:pt x="4079697" y="555967"/>
                                </a:lnTo>
                                <a:lnTo>
                                  <a:pt x="4047325" y="594563"/>
                                </a:lnTo>
                                <a:lnTo>
                                  <a:pt x="4079697" y="633158"/>
                                </a:lnTo>
                                <a:lnTo>
                                  <a:pt x="4112056" y="594563"/>
                                </a:lnTo>
                                <a:close/>
                              </a:path>
                              <a:path w="4519295" h="1777364">
                                <a:moveTo>
                                  <a:pt x="4518939" y="1726463"/>
                                </a:moveTo>
                                <a:lnTo>
                                  <a:pt x="36969" y="1726463"/>
                                </a:lnTo>
                                <a:lnTo>
                                  <a:pt x="36969" y="7366"/>
                                </a:lnTo>
                                <a:lnTo>
                                  <a:pt x="30619" y="7366"/>
                                </a:lnTo>
                                <a:lnTo>
                                  <a:pt x="30619" y="350266"/>
                                </a:lnTo>
                                <a:lnTo>
                                  <a:pt x="0" y="350266"/>
                                </a:lnTo>
                                <a:lnTo>
                                  <a:pt x="0" y="356616"/>
                                </a:lnTo>
                                <a:lnTo>
                                  <a:pt x="30619" y="356616"/>
                                </a:lnTo>
                                <a:lnTo>
                                  <a:pt x="30619" y="1031455"/>
                                </a:lnTo>
                                <a:lnTo>
                                  <a:pt x="0" y="1031455"/>
                                </a:lnTo>
                                <a:lnTo>
                                  <a:pt x="0" y="1037805"/>
                                </a:lnTo>
                                <a:lnTo>
                                  <a:pt x="30619" y="1037805"/>
                                </a:lnTo>
                                <a:lnTo>
                                  <a:pt x="30619" y="1383360"/>
                                </a:lnTo>
                                <a:lnTo>
                                  <a:pt x="0" y="1383360"/>
                                </a:lnTo>
                                <a:lnTo>
                                  <a:pt x="0" y="1389710"/>
                                </a:lnTo>
                                <a:lnTo>
                                  <a:pt x="30619" y="1389710"/>
                                </a:lnTo>
                                <a:lnTo>
                                  <a:pt x="30619" y="1726463"/>
                                </a:lnTo>
                                <a:lnTo>
                                  <a:pt x="0" y="1726463"/>
                                </a:lnTo>
                                <a:lnTo>
                                  <a:pt x="0" y="1732813"/>
                                </a:lnTo>
                                <a:lnTo>
                                  <a:pt x="30619" y="1732813"/>
                                </a:lnTo>
                                <a:lnTo>
                                  <a:pt x="30619" y="1777111"/>
                                </a:lnTo>
                                <a:lnTo>
                                  <a:pt x="36969" y="1777111"/>
                                </a:lnTo>
                                <a:lnTo>
                                  <a:pt x="36969" y="1732813"/>
                                </a:lnTo>
                                <a:lnTo>
                                  <a:pt x="923201" y="1732813"/>
                                </a:lnTo>
                                <a:lnTo>
                                  <a:pt x="923201" y="1777111"/>
                                </a:lnTo>
                                <a:lnTo>
                                  <a:pt x="929551" y="1777111"/>
                                </a:lnTo>
                                <a:lnTo>
                                  <a:pt x="929551" y="1732813"/>
                                </a:lnTo>
                                <a:lnTo>
                                  <a:pt x="1822450" y="1732813"/>
                                </a:lnTo>
                                <a:lnTo>
                                  <a:pt x="1822450" y="1777111"/>
                                </a:lnTo>
                                <a:lnTo>
                                  <a:pt x="1828800" y="1777111"/>
                                </a:lnTo>
                                <a:lnTo>
                                  <a:pt x="1828800" y="1732813"/>
                                </a:lnTo>
                                <a:lnTo>
                                  <a:pt x="2724835" y="1732813"/>
                                </a:lnTo>
                                <a:lnTo>
                                  <a:pt x="2724835" y="1777111"/>
                                </a:lnTo>
                                <a:lnTo>
                                  <a:pt x="2731185" y="1777111"/>
                                </a:lnTo>
                                <a:lnTo>
                                  <a:pt x="2731185" y="1732813"/>
                                </a:lnTo>
                                <a:lnTo>
                                  <a:pt x="3620236" y="1732813"/>
                                </a:lnTo>
                                <a:lnTo>
                                  <a:pt x="3620236" y="1777111"/>
                                </a:lnTo>
                                <a:lnTo>
                                  <a:pt x="3626586" y="1777111"/>
                                </a:lnTo>
                                <a:lnTo>
                                  <a:pt x="3626586" y="1732813"/>
                                </a:lnTo>
                                <a:lnTo>
                                  <a:pt x="4518939" y="1732813"/>
                                </a:lnTo>
                                <a:lnTo>
                                  <a:pt x="4518939" y="1726463"/>
                                </a:lnTo>
                                <a:close/>
                              </a:path>
                            </a:pathLst>
                          </a:custGeom>
                          <a:solidFill>
                            <a:srgbClr val="000000"/>
                          </a:solidFill>
                        </wps:spPr>
                        <wps:bodyPr wrap="square" lIns="0" tIns="0" rIns="0" bIns="0" rtlCol="0">
                          <a:prstTxWarp prst="textNoShape">
                            <a:avLst/>
                          </a:prstTxWarp>
                          <a:noAutofit/>
                        </wps:bodyPr>
                      </wps:wsp>
                      <wps:wsp>
                        <wps:cNvPr id="2345" name="Graphic 2345"/>
                        <wps:cNvSpPr/>
                        <wps:spPr>
                          <a:xfrm>
                            <a:off x="818242" y="1448955"/>
                            <a:ext cx="3646804" cy="302260"/>
                          </a:xfrm>
                          <a:custGeom>
                            <a:avLst/>
                            <a:gdLst/>
                            <a:ahLst/>
                            <a:cxnLst/>
                            <a:rect l="l" t="t" r="r" b="b"/>
                            <a:pathLst>
                              <a:path w="3646804" h="302260">
                                <a:moveTo>
                                  <a:pt x="64719" y="236601"/>
                                </a:moveTo>
                                <a:lnTo>
                                  <a:pt x="32359" y="198005"/>
                                </a:lnTo>
                                <a:lnTo>
                                  <a:pt x="0" y="236601"/>
                                </a:lnTo>
                                <a:lnTo>
                                  <a:pt x="32359" y="275183"/>
                                </a:lnTo>
                                <a:lnTo>
                                  <a:pt x="64719" y="236601"/>
                                </a:lnTo>
                                <a:close/>
                              </a:path>
                              <a:path w="3646804" h="302260">
                                <a:moveTo>
                                  <a:pt x="955725" y="263601"/>
                                </a:moveTo>
                                <a:lnTo>
                                  <a:pt x="923366" y="225005"/>
                                </a:lnTo>
                                <a:lnTo>
                                  <a:pt x="890993" y="263601"/>
                                </a:lnTo>
                                <a:lnTo>
                                  <a:pt x="923366" y="302183"/>
                                </a:lnTo>
                                <a:lnTo>
                                  <a:pt x="955725" y="263601"/>
                                </a:lnTo>
                                <a:close/>
                              </a:path>
                              <a:path w="3646804" h="302260">
                                <a:moveTo>
                                  <a:pt x="2755722" y="38595"/>
                                </a:moveTo>
                                <a:lnTo>
                                  <a:pt x="2723362" y="0"/>
                                </a:lnTo>
                                <a:lnTo>
                                  <a:pt x="2690990" y="38595"/>
                                </a:lnTo>
                                <a:lnTo>
                                  <a:pt x="2723362" y="77190"/>
                                </a:lnTo>
                                <a:lnTo>
                                  <a:pt x="2755722" y="38595"/>
                                </a:lnTo>
                                <a:close/>
                              </a:path>
                              <a:path w="3646804" h="302260">
                                <a:moveTo>
                                  <a:pt x="3646728" y="236601"/>
                                </a:moveTo>
                                <a:lnTo>
                                  <a:pt x="3614369" y="198005"/>
                                </a:lnTo>
                                <a:lnTo>
                                  <a:pt x="3581997" y="236601"/>
                                </a:lnTo>
                                <a:lnTo>
                                  <a:pt x="3614369" y="275183"/>
                                </a:lnTo>
                                <a:lnTo>
                                  <a:pt x="3646728" y="236601"/>
                                </a:lnTo>
                                <a:close/>
                              </a:path>
                            </a:pathLst>
                          </a:custGeom>
                          <a:solidFill>
                            <a:srgbClr val="E3C626"/>
                          </a:solidFill>
                        </wps:spPr>
                        <wps:bodyPr wrap="square" lIns="0" tIns="0" rIns="0" bIns="0" rtlCol="0">
                          <a:prstTxWarp prst="textNoShape">
                            <a:avLst/>
                          </a:prstTxWarp>
                          <a:noAutofit/>
                        </wps:bodyPr>
                      </wps:wsp>
                      <wps:wsp>
                        <wps:cNvPr id="2346" name="Graphic 2346"/>
                        <wps:cNvSpPr/>
                        <wps:spPr>
                          <a:xfrm>
                            <a:off x="1713084" y="721766"/>
                            <a:ext cx="2764790" cy="680720"/>
                          </a:xfrm>
                          <a:custGeom>
                            <a:avLst/>
                            <a:gdLst/>
                            <a:ahLst/>
                            <a:cxnLst/>
                            <a:rect l="l" t="t" r="r" b="b"/>
                            <a:pathLst>
                              <a:path w="2764790" h="680720">
                                <a:moveTo>
                                  <a:pt x="64719" y="641591"/>
                                </a:moveTo>
                                <a:lnTo>
                                  <a:pt x="32359" y="602996"/>
                                </a:lnTo>
                                <a:lnTo>
                                  <a:pt x="0" y="641591"/>
                                </a:lnTo>
                                <a:lnTo>
                                  <a:pt x="32359" y="680186"/>
                                </a:lnTo>
                                <a:lnTo>
                                  <a:pt x="64719" y="641591"/>
                                </a:lnTo>
                                <a:close/>
                              </a:path>
                              <a:path w="2764790" h="680720">
                                <a:moveTo>
                                  <a:pt x="964717" y="290588"/>
                                </a:moveTo>
                                <a:lnTo>
                                  <a:pt x="932357" y="252006"/>
                                </a:lnTo>
                                <a:lnTo>
                                  <a:pt x="899998" y="290588"/>
                                </a:lnTo>
                                <a:lnTo>
                                  <a:pt x="932357" y="329184"/>
                                </a:lnTo>
                                <a:lnTo>
                                  <a:pt x="964717" y="290588"/>
                                </a:lnTo>
                                <a:close/>
                              </a:path>
                              <a:path w="2764790" h="680720">
                                <a:moveTo>
                                  <a:pt x="1864715" y="263588"/>
                                </a:moveTo>
                                <a:lnTo>
                                  <a:pt x="1832356" y="225005"/>
                                </a:lnTo>
                                <a:lnTo>
                                  <a:pt x="1799996" y="263588"/>
                                </a:lnTo>
                                <a:lnTo>
                                  <a:pt x="1832356" y="302183"/>
                                </a:lnTo>
                                <a:lnTo>
                                  <a:pt x="1864715" y="263588"/>
                                </a:lnTo>
                                <a:close/>
                              </a:path>
                              <a:path w="2764790" h="680720">
                                <a:moveTo>
                                  <a:pt x="2764713" y="38595"/>
                                </a:moveTo>
                                <a:lnTo>
                                  <a:pt x="2732367" y="0"/>
                                </a:lnTo>
                                <a:lnTo>
                                  <a:pt x="2699994" y="38595"/>
                                </a:lnTo>
                                <a:lnTo>
                                  <a:pt x="2732367" y="77190"/>
                                </a:lnTo>
                                <a:lnTo>
                                  <a:pt x="2764713" y="38595"/>
                                </a:lnTo>
                                <a:close/>
                              </a:path>
                            </a:pathLst>
                          </a:custGeom>
                          <a:solidFill>
                            <a:srgbClr val="2F7D41"/>
                          </a:solidFill>
                        </wps:spPr>
                        <wps:bodyPr wrap="square" lIns="0" tIns="0" rIns="0" bIns="0" rtlCol="0">
                          <a:prstTxWarp prst="textNoShape">
                            <a:avLst/>
                          </a:prstTxWarp>
                          <a:noAutofit/>
                        </wps:bodyPr>
                      </wps:wsp>
                      <wps:wsp>
                        <wps:cNvPr id="2347" name="Textbox 2347"/>
                        <wps:cNvSpPr txBox="1"/>
                        <wps:spPr>
                          <a:xfrm>
                            <a:off x="2577750" y="98574"/>
                            <a:ext cx="51117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Non-</w:t>
                              </w:r>
                              <w:r>
                                <w:rPr>
                                  <w:rFonts w:ascii="Arial MT"/>
                                  <w:spacing w:val="-2"/>
                                  <w:w w:val="85"/>
                                  <w:sz w:val="14"/>
                                </w:rPr>
                                <w:t>agriculture</w:t>
                              </w:r>
                            </w:p>
                          </w:txbxContent>
                        </wps:txbx>
                        <wps:bodyPr wrap="square" lIns="0" tIns="0" rIns="0" bIns="0" rtlCol="0">
                          <a:noAutofit/>
                        </wps:bodyPr>
                      </wps:wsp>
                      <wps:wsp>
                        <wps:cNvPr id="2348" name="Textbox 2348"/>
                        <wps:cNvSpPr txBox="1"/>
                        <wps:spPr>
                          <a:xfrm>
                            <a:off x="3422250" y="98574"/>
                            <a:ext cx="483234" cy="102235"/>
                          </a:xfrm>
                          <a:prstGeom prst="rect">
                            <a:avLst/>
                          </a:prstGeom>
                        </wps:spPr>
                        <wps:txbx>
                          <w:txbxContent>
                            <w:p>
                              <w:pPr>
                                <w:spacing w:line="161" w:lineRule="exact" w:before="0"/>
                                <w:ind w:left="0" w:right="0" w:firstLine="0"/>
                                <w:jc w:val="left"/>
                                <w:rPr>
                                  <w:rFonts w:ascii="Arial MT"/>
                                  <w:sz w:val="14"/>
                                </w:rPr>
                              </w:pPr>
                              <w:r>
                                <w:rPr>
                                  <w:rFonts w:ascii="Arial MT"/>
                                  <w:spacing w:val="-2"/>
                                  <w:w w:val="80"/>
                                  <w:sz w:val="14"/>
                                </w:rPr>
                                <w:t>Total</w:t>
                              </w:r>
                              <w:r>
                                <w:rPr>
                                  <w:rFonts w:ascii="Arial MT"/>
                                  <w:spacing w:val="-7"/>
                                  <w:sz w:val="14"/>
                                </w:rPr>
                                <w:t> </w:t>
                              </w:r>
                              <w:r>
                                <w:rPr>
                                  <w:rFonts w:ascii="Arial MT"/>
                                  <w:spacing w:val="-2"/>
                                  <w:w w:val="85"/>
                                  <w:sz w:val="14"/>
                                </w:rPr>
                                <w:t>economy</w:t>
                              </w:r>
                            </w:p>
                          </w:txbxContent>
                        </wps:txbx>
                        <wps:bodyPr wrap="square" lIns="0" tIns="0" rIns="0" bIns="0" rtlCol="0">
                          <a:noAutofit/>
                        </wps:bodyPr>
                      </wps:wsp>
                      <wps:wsp>
                        <wps:cNvPr id="2349" name="Textbox 2349"/>
                        <wps:cNvSpPr txBox="1"/>
                        <wps:spPr>
                          <a:xfrm>
                            <a:off x="4259635" y="98574"/>
                            <a:ext cx="62103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Agriculture</w:t>
                              </w:r>
                              <w:r>
                                <w:rPr>
                                  <w:rFonts w:ascii="Arial MT"/>
                                  <w:sz w:val="14"/>
                                </w:rPr>
                                <w:t> </w:t>
                              </w:r>
                              <w:r>
                                <w:rPr>
                                  <w:rFonts w:ascii="Arial MT"/>
                                  <w:w w:val="80"/>
                                  <w:sz w:val="14"/>
                                </w:rPr>
                                <w:t>&amp;</w:t>
                              </w:r>
                              <w:r>
                                <w:rPr>
                                  <w:rFonts w:ascii="Arial MT"/>
                                  <w:sz w:val="14"/>
                                </w:rPr>
                                <w:t> </w:t>
                              </w:r>
                              <w:r>
                                <w:rPr>
                                  <w:rFonts w:ascii="Arial MT"/>
                                  <w:spacing w:val="-2"/>
                                  <w:w w:val="80"/>
                                  <w:sz w:val="14"/>
                                </w:rPr>
                                <w:t>allied</w:t>
                              </w:r>
                            </w:p>
                          </w:txbxContent>
                        </wps:txbx>
                        <wps:bodyPr wrap="square" lIns="0" tIns="0" rIns="0" bIns="0" rtlCol="0">
                          <a:noAutofit/>
                        </wps:bodyPr>
                      </wps:wsp>
                      <wps:wsp>
                        <wps:cNvPr id="2350" name="Textbox 2350"/>
                        <wps:cNvSpPr txBox="1"/>
                        <wps:spPr>
                          <a:xfrm>
                            <a:off x="229020" y="357652"/>
                            <a:ext cx="93980" cy="18167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10</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8</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6</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4</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2</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2351" name="Textbox 2351"/>
                        <wps:cNvSpPr txBox="1"/>
                        <wps:spPr>
                          <a:xfrm>
                            <a:off x="484621" y="2171481"/>
                            <a:ext cx="1666239" cy="216535"/>
                          </a:xfrm>
                          <a:prstGeom prst="rect">
                            <a:avLst/>
                          </a:prstGeom>
                        </wps:spPr>
                        <wps:txbx>
                          <w:txbxContent>
                            <w:p>
                              <w:pPr>
                                <w:tabs>
                                  <w:tab w:pos="1358" w:val="left" w:leader="none"/>
                                  <w:tab w:pos="1441" w:val="left" w:leader="none"/>
                                </w:tabs>
                                <w:spacing w:line="268" w:lineRule="auto" w:before="0"/>
                                <w:ind w:left="15" w:right="18" w:hanging="16"/>
                                <w:jc w:val="left"/>
                                <w:rPr>
                                  <w:rFonts w:ascii="Arial MT"/>
                                  <w:sz w:val="14"/>
                                </w:rPr>
                              </w:pPr>
                              <w:r>
                                <w:rPr>
                                  <w:rFonts w:ascii="Arial MT"/>
                                  <w:w w:val="90"/>
                                  <w:sz w:val="14"/>
                                </w:rPr>
                                <w:t>Pre-Green</w:t>
                              </w:r>
                              <w:r>
                                <w:rPr>
                                  <w:rFonts w:ascii="Arial MT"/>
                                  <w:spacing w:val="-6"/>
                                  <w:w w:val="90"/>
                                  <w:sz w:val="14"/>
                                </w:rPr>
                                <w:t> </w:t>
                              </w:r>
                              <w:r>
                                <w:rPr>
                                  <w:rFonts w:ascii="Arial MT"/>
                                  <w:w w:val="90"/>
                                  <w:sz w:val="14"/>
                                </w:rPr>
                                <w:t>Revolution</w:t>
                              </w:r>
                              <w:r>
                                <w:rPr>
                                  <w:rFonts w:ascii="Arial MT"/>
                                  <w:sz w:val="14"/>
                                </w:rPr>
                                <w:tab/>
                              </w:r>
                              <w:r>
                                <w:rPr>
                                  <w:rFonts w:ascii="Arial MT"/>
                                  <w:w w:val="80"/>
                                  <w:sz w:val="14"/>
                                </w:rPr>
                                <w:t>Green</w:t>
                              </w:r>
                              <w:r>
                                <w:rPr>
                                  <w:rFonts w:ascii="Arial MT"/>
                                  <w:spacing w:val="-2"/>
                                  <w:w w:val="80"/>
                                  <w:sz w:val="14"/>
                                </w:rPr>
                                <w:t> </w:t>
                              </w:r>
                              <w:r>
                                <w:rPr>
                                  <w:rFonts w:ascii="Arial MT"/>
                                  <w:w w:val="80"/>
                                  <w:sz w:val="14"/>
                                </w:rPr>
                                <w:t>Revolution</w:t>
                              </w:r>
                              <w:r>
                                <w:rPr>
                                  <w:rFonts w:ascii="Arial MT"/>
                                  <w:spacing w:val="-2"/>
                                  <w:w w:val="80"/>
                                  <w:sz w:val="14"/>
                                </w:rPr>
                                <w:t> </w:t>
                              </w:r>
                              <w:r>
                                <w:rPr>
                                  <w:rFonts w:ascii="Arial MT"/>
                                  <w:w w:val="80"/>
                                  <w:sz w:val="14"/>
                                </w:rPr>
                                <w:t>period</w:t>
                              </w:r>
                              <w:r>
                                <w:rPr>
                                  <w:rFonts w:ascii="Arial MT"/>
                                  <w:spacing w:val="40"/>
                                  <w:sz w:val="14"/>
                                </w:rPr>
                                <w:t> </w:t>
                              </w:r>
                              <w:r>
                                <w:rPr>
                                  <w:rFonts w:ascii="Arial MT"/>
                                  <w:w w:val="90"/>
                                  <w:sz w:val="14"/>
                                </w:rPr>
                                <w:t>(1951-52 to 1967-68)</w:t>
                              </w:r>
                              <w:r>
                                <w:rPr>
                                  <w:rFonts w:ascii="Arial MT"/>
                                  <w:sz w:val="14"/>
                                </w:rPr>
                                <w:tab/>
                                <w:tab/>
                              </w:r>
                              <w:r>
                                <w:rPr>
                                  <w:rFonts w:ascii="Arial MT"/>
                                  <w:w w:val="85"/>
                                  <w:sz w:val="14"/>
                                </w:rPr>
                                <w:t>(1968-69 to 1980-81)</w:t>
                              </w:r>
                            </w:p>
                          </w:txbxContent>
                        </wps:txbx>
                        <wps:bodyPr wrap="square" lIns="0" tIns="0" rIns="0" bIns="0" rtlCol="0">
                          <a:noAutofit/>
                        </wps:bodyPr>
                      </wps:wsp>
                      <wps:wsp>
                        <wps:cNvPr id="2352" name="Textbox 2352"/>
                        <wps:cNvSpPr txBox="1"/>
                        <wps:spPr>
                          <a:xfrm>
                            <a:off x="2297094" y="2171481"/>
                            <a:ext cx="697865" cy="330835"/>
                          </a:xfrm>
                          <a:prstGeom prst="rect">
                            <a:avLst/>
                          </a:prstGeom>
                        </wps:spPr>
                        <wps:txbx>
                          <w:txbxContent>
                            <w:p>
                              <w:pPr>
                                <w:spacing w:line="268" w:lineRule="auto" w:before="0"/>
                                <w:ind w:left="0" w:right="18" w:firstLine="95"/>
                                <w:jc w:val="left"/>
                                <w:rPr>
                                  <w:rFonts w:ascii="Arial MT"/>
                                  <w:sz w:val="14"/>
                                </w:rPr>
                              </w:pPr>
                              <w:r>
                                <w:rPr>
                                  <w:rFonts w:ascii="Arial MT"/>
                                  <w:w w:val="90"/>
                                  <w:sz w:val="14"/>
                                </w:rPr>
                                <w:t>Wider</w:t>
                              </w:r>
                              <w:r>
                                <w:rPr>
                                  <w:rFonts w:ascii="Arial MT"/>
                                  <w:spacing w:val="-6"/>
                                  <w:w w:val="90"/>
                                  <w:sz w:val="14"/>
                                </w:rPr>
                                <w:t> </w:t>
                              </w:r>
                              <w:r>
                                <w:rPr>
                                  <w:rFonts w:ascii="Arial MT"/>
                                  <w:w w:val="90"/>
                                  <w:sz w:val="14"/>
                                </w:rPr>
                                <w:t>technology</w:t>
                              </w:r>
                              <w:r>
                                <w:rPr>
                                  <w:rFonts w:ascii="Arial MT"/>
                                  <w:spacing w:val="40"/>
                                  <w:sz w:val="14"/>
                                </w:rPr>
                                <w:t> </w:t>
                              </w:r>
                              <w:r>
                                <w:rPr>
                                  <w:rFonts w:ascii="Arial MT"/>
                                  <w:w w:val="80"/>
                                  <w:sz w:val="14"/>
                                </w:rPr>
                                <w:t>dissemination</w:t>
                              </w:r>
                              <w:r>
                                <w:rPr>
                                  <w:rFonts w:ascii="Arial MT"/>
                                  <w:spacing w:val="-2"/>
                                  <w:w w:val="80"/>
                                  <w:sz w:val="14"/>
                                </w:rPr>
                                <w:t> </w:t>
                              </w:r>
                              <w:r>
                                <w:rPr>
                                  <w:rFonts w:ascii="Arial MT"/>
                                  <w:w w:val="80"/>
                                  <w:sz w:val="14"/>
                                </w:rPr>
                                <w:t>period</w:t>
                              </w:r>
                              <w:r>
                                <w:rPr>
                                  <w:rFonts w:ascii="Arial MT"/>
                                  <w:spacing w:val="40"/>
                                  <w:sz w:val="14"/>
                                </w:rPr>
                                <w:t> </w:t>
                              </w:r>
                              <w:r>
                                <w:rPr>
                                  <w:rFonts w:ascii="Arial MT"/>
                                  <w:w w:val="80"/>
                                  <w:sz w:val="14"/>
                                </w:rPr>
                                <w:t>(1981-82</w:t>
                              </w:r>
                              <w:r>
                                <w:rPr>
                                  <w:rFonts w:ascii="Arial MT"/>
                                  <w:spacing w:val="-1"/>
                                  <w:w w:val="80"/>
                                  <w:sz w:val="14"/>
                                </w:rPr>
                                <w:t> </w:t>
                              </w:r>
                              <w:r>
                                <w:rPr>
                                  <w:rFonts w:ascii="Arial MT"/>
                                  <w:w w:val="80"/>
                                  <w:sz w:val="14"/>
                                </w:rPr>
                                <w:t>to</w:t>
                              </w:r>
                              <w:r>
                                <w:rPr>
                                  <w:rFonts w:ascii="Arial MT"/>
                                  <w:spacing w:val="-1"/>
                                  <w:w w:val="80"/>
                                  <w:sz w:val="14"/>
                                </w:rPr>
                                <w:t> </w:t>
                              </w:r>
                              <w:r>
                                <w:rPr>
                                  <w:rFonts w:ascii="Arial MT"/>
                                  <w:w w:val="80"/>
                                  <w:sz w:val="14"/>
                                </w:rPr>
                                <w:t>1990-</w:t>
                              </w:r>
                              <w:r>
                                <w:rPr>
                                  <w:rFonts w:ascii="Arial MT"/>
                                  <w:spacing w:val="-5"/>
                                  <w:w w:val="80"/>
                                  <w:sz w:val="14"/>
                                </w:rPr>
                                <w:t>91)</w:t>
                              </w:r>
                            </w:p>
                          </w:txbxContent>
                        </wps:txbx>
                        <wps:bodyPr wrap="square" lIns="0" tIns="0" rIns="0" bIns="0" rtlCol="0">
                          <a:noAutofit/>
                        </wps:bodyPr>
                      </wps:wsp>
                      <wps:wsp>
                        <wps:cNvPr id="2353" name="Textbox 2353"/>
                        <wps:cNvSpPr txBox="1"/>
                        <wps:spPr>
                          <a:xfrm>
                            <a:off x="3202387" y="2171481"/>
                            <a:ext cx="1594485" cy="216535"/>
                          </a:xfrm>
                          <a:prstGeom prst="rect">
                            <a:avLst/>
                          </a:prstGeom>
                        </wps:spPr>
                        <wps:txbx>
                          <w:txbxContent>
                            <w:p>
                              <w:pPr>
                                <w:tabs>
                                  <w:tab w:pos="1412" w:val="left" w:leader="none"/>
                                </w:tabs>
                                <w:spacing w:line="268" w:lineRule="auto" w:before="0"/>
                                <w:ind w:left="0" w:right="18" w:firstLine="0"/>
                                <w:jc w:val="left"/>
                                <w:rPr>
                                  <w:rFonts w:ascii="Arial MT"/>
                                  <w:sz w:val="14"/>
                                </w:rPr>
                              </w:pPr>
                              <w:r>
                                <w:rPr>
                                  <w:rFonts w:ascii="Arial MT"/>
                                  <w:w w:val="90"/>
                                  <w:sz w:val="14"/>
                                </w:rPr>
                                <w:t>Early Reforms period</w:t>
                              </w:r>
                              <w:r>
                                <w:rPr>
                                  <w:rFonts w:ascii="Arial MT"/>
                                  <w:sz w:val="14"/>
                                </w:rPr>
                                <w:tab/>
                              </w:r>
                              <w:r>
                                <w:rPr>
                                  <w:rFonts w:ascii="Arial MT"/>
                                  <w:spacing w:val="-33"/>
                                  <w:sz w:val="14"/>
                                </w:rPr>
                                <w:t> </w:t>
                              </w:r>
                              <w:r>
                                <w:rPr>
                                  <w:rFonts w:ascii="Arial MT"/>
                                  <w:w w:val="80"/>
                                  <w:sz w:val="14"/>
                                </w:rPr>
                                <w:t>Ninth</w:t>
                              </w:r>
                              <w:r>
                                <w:rPr>
                                  <w:rFonts w:ascii="Arial MT"/>
                                  <w:spacing w:val="-2"/>
                                  <w:w w:val="80"/>
                                  <w:sz w:val="14"/>
                                </w:rPr>
                                <w:t> </w:t>
                              </w:r>
                              <w:r>
                                <w:rPr>
                                  <w:rFonts w:ascii="Arial MT"/>
                                  <w:w w:val="80"/>
                                  <w:sz w:val="14"/>
                                </w:rPr>
                                <w:t>and</w:t>
                              </w:r>
                              <w:r>
                                <w:rPr>
                                  <w:rFonts w:ascii="Arial MT"/>
                                  <w:spacing w:val="-2"/>
                                  <w:w w:val="80"/>
                                  <w:sz w:val="14"/>
                                </w:rPr>
                                <w:t> </w:t>
                              </w:r>
                              <w:r>
                                <w:rPr>
                                  <w:rFonts w:ascii="Arial MT"/>
                                  <w:w w:val="80"/>
                                  <w:sz w:val="14"/>
                                </w:rPr>
                                <w:t>Tenth</w:t>
                              </w:r>
                              <w:r>
                                <w:rPr>
                                  <w:rFonts w:ascii="Arial MT"/>
                                  <w:spacing w:val="-2"/>
                                  <w:w w:val="80"/>
                                  <w:sz w:val="14"/>
                                </w:rPr>
                                <w:t> </w:t>
                              </w:r>
                              <w:r>
                                <w:rPr>
                                  <w:rFonts w:ascii="Arial MT"/>
                                  <w:w w:val="80"/>
                                  <w:sz w:val="14"/>
                                </w:rPr>
                                <w:t>Plan</w:t>
                              </w:r>
                              <w:r>
                                <w:rPr>
                                  <w:rFonts w:ascii="Arial MT"/>
                                  <w:spacing w:val="40"/>
                                  <w:sz w:val="14"/>
                                </w:rPr>
                                <w:t> </w:t>
                              </w:r>
                              <w:r>
                                <w:rPr>
                                  <w:rFonts w:ascii="Arial MT"/>
                                  <w:w w:val="80"/>
                                  <w:sz w:val="14"/>
                                </w:rPr>
                                <w:t>(1991-92</w:t>
                              </w:r>
                              <w:r>
                                <w:rPr>
                                  <w:rFonts w:ascii="Arial MT"/>
                                  <w:spacing w:val="-2"/>
                                  <w:sz w:val="14"/>
                                </w:rPr>
                                <w:t> </w:t>
                              </w:r>
                              <w:r>
                                <w:rPr>
                                  <w:rFonts w:ascii="Arial MT"/>
                                  <w:w w:val="80"/>
                                  <w:sz w:val="14"/>
                                </w:rPr>
                                <w:t>to</w:t>
                              </w:r>
                              <w:r>
                                <w:rPr>
                                  <w:rFonts w:ascii="Arial MT"/>
                                  <w:spacing w:val="-1"/>
                                  <w:sz w:val="14"/>
                                </w:rPr>
                                <w:t> </w:t>
                              </w:r>
                              <w:r>
                                <w:rPr>
                                  <w:rFonts w:ascii="Arial MT"/>
                                  <w:w w:val="80"/>
                                  <w:sz w:val="14"/>
                                </w:rPr>
                                <w:t>1996-</w:t>
                              </w:r>
                              <w:r>
                                <w:rPr>
                                  <w:rFonts w:ascii="Arial MT"/>
                                  <w:spacing w:val="-5"/>
                                  <w:w w:val="80"/>
                                  <w:sz w:val="14"/>
                                </w:rPr>
                                <w:t>97)</w:t>
                              </w:r>
                              <w:r>
                                <w:rPr>
                                  <w:rFonts w:ascii="Arial MT"/>
                                  <w:sz w:val="14"/>
                                </w:rPr>
                                <w:tab/>
                              </w:r>
                              <w:r>
                                <w:rPr>
                                  <w:rFonts w:ascii="Arial MT"/>
                                  <w:w w:val="80"/>
                                  <w:sz w:val="14"/>
                                </w:rPr>
                                <w:t>(1997-98</w:t>
                              </w:r>
                              <w:r>
                                <w:rPr>
                                  <w:rFonts w:ascii="Arial MT"/>
                                  <w:spacing w:val="-1"/>
                                  <w:w w:val="80"/>
                                  <w:sz w:val="14"/>
                                </w:rPr>
                                <w:t> </w:t>
                              </w:r>
                              <w:r>
                                <w:rPr>
                                  <w:rFonts w:ascii="Arial MT"/>
                                  <w:w w:val="80"/>
                                  <w:sz w:val="14"/>
                                </w:rPr>
                                <w:t>to</w:t>
                              </w:r>
                              <w:r>
                                <w:rPr>
                                  <w:rFonts w:ascii="Arial MT"/>
                                  <w:spacing w:val="-1"/>
                                  <w:w w:val="80"/>
                                  <w:sz w:val="14"/>
                                </w:rPr>
                                <w:t> </w:t>
                              </w:r>
                              <w:r>
                                <w:rPr>
                                  <w:rFonts w:ascii="Arial MT"/>
                                  <w:w w:val="80"/>
                                  <w:sz w:val="14"/>
                                </w:rPr>
                                <w:t>2006-</w:t>
                              </w:r>
                              <w:r>
                                <w:rPr>
                                  <w:rFonts w:ascii="Arial MT"/>
                                  <w:spacing w:val="-5"/>
                                  <w:w w:val="80"/>
                                  <w:sz w:val="14"/>
                                </w:rPr>
                                <w:t>07)</w:t>
                              </w:r>
                            </w:p>
                          </w:txbxContent>
                        </wps:txbx>
                        <wps:bodyPr wrap="square" lIns="0" tIns="0" rIns="0" bIns="0" rtlCol="0">
                          <a:noAutofit/>
                        </wps:bodyPr>
                      </wps:wsp>
                    </wpg:wgp>
                  </a:graphicData>
                </a:graphic>
              </wp:anchor>
            </w:drawing>
          </mc:Choice>
          <mc:Fallback>
            <w:pict>
              <v:group style="position:absolute;margin-left:98.491493pt;margin-top:31.38208pt;width:397.35pt;height:203pt;mso-position-horizontal-relative:page;mso-position-vertical-relative:paragraph;z-index:15899136" id="docshapegroup2272" coordorigin="1970,628" coordsize="7947,4060">
                <v:rect style="position:absolute;left:9643;top:3964;width:10;height:78" id="docshape2273" filled="true" fillcolor="#000000" stroked="false">
                  <v:fill type="solid"/>
                </v:rect>
                <v:shape style="position:absolute;left:3287;top:1809;width:5686;height:980" id="docshape2274" coordorigin="3288,1810" coordsize="5686,980" path="m4706,2784l4708,2789,4718,2785,4706,2784xm4729,2781l4718,2785,4728,2786,4729,2781xm4714,2757l4698,2763,4706,2784,4718,2785,4729,2781,4731,2759,4714,2757xm3290,2619l3288,2646,4706,2784,4698,2763,4714,2757,3290,2619xm6116,2213l4714,2757,4731,2759,4729,2781,6131,2237,6117,2237,6116,2213xm6139,2209l6127,2209,6116,2213,6117,2237,6132,2236,6147,2230,6139,2209xm6132,2236l6117,2237,6131,2237,6132,2236xm7541,2163l6139,2209,6147,2230,6132,2236,7533,2191,7527,2167,7541,2163xm6127,2209l6116,2209,6116,2213,6127,2209xm6137,2205l6127,2209,6139,2209,6137,2205xm7545,2190l7533,2191,7533,2193,7545,2190xm7556,2163l7541,2163,7527,2167,7533,2191,7545,2190,7557,2187,7556,2163xm7557,2187l7545,2190,7557,2190,7557,2187xm7656,2163l7556,2163,7557,2187,7656,2163xm8967,1810l7541,2163,7556,2163,7656,2163,8973,1836,8967,1810xe" filled="true" fillcolor="#2f7d41" stroked="false">
                  <v:path arrowok="t"/>
                  <v:fill type="solid"/>
                </v:shape>
                <v:shape style="position:absolute;left:3282;top:2151;width:5698;height:889" id="docshape2275" coordorigin="3282,2152" coordsize="5698,889" path="m4702,3035l4704,3041,4719,3035,4702,3035xm4736,3029l4719,3035,4735,3036,4736,3029xm4713,2995l4690,3003,4702,3035,4719,3035,4736,3029,4737,2996,4713,2995xm3283,2949l3282,2989,4702,3035,4690,3003,4713,2995,3283,2949xm6109,2482l4713,2995,4737,2996,4736,3029,6130,2517,6111,2517,6109,2482xm6143,2475l6126,2476,6109,2482,6111,2517,6134,2515,6155,2508,6143,2475xm6134,2515l6111,2517,6130,2517,6134,2515xm7541,2399l6143,2475,6155,2508,6134,2515,7526,2440,7520,2403,7541,2399xm6126,2476l6109,2477,6109,2482,6126,2476xm6141,2470l6126,2476,6143,2475,6141,2470xm7545,2439l7526,2440,7527,2442,7545,2439xm7562,2398l7541,2399,7520,2403,7526,2440,7545,2439,7564,2436,7562,2398xm7564,2436l7545,2439,7564,2438,7564,2436xm7782,2398l7562,2398,7564,2436,7782,2398xm8973,2152l7541,2399,7562,2398,7782,2398,8980,2191,8973,2152xe" filled="true" fillcolor="#000000" stroked="false">
                  <v:path arrowok="t"/>
                  <v:fill type="solid"/>
                </v:shape>
                <v:shape style="position:absolute;left:3282;top:2941;width:5699;height:402" id="docshape2276" coordorigin="3282,2941" coordsize="5699,402" path="m4700,3338l4701,3343,4718,3339,4700,3338xm4736,3335l4718,3339,4736,3339,4736,3335xm4714,3299l4692,3303,4700,3338,4718,3339,4736,3335,4736,3299,4714,3299xm3283,3268l3282,3308,4700,3338,4692,3303,4714,3299,3283,3268xm6109,2995l4714,3299,4736,3299,4736,3335,6129,3032,6110,3032,6109,2995xm7562,2949l7564,2984,7541,2985,8971,3312,8980,3273,7562,2949xm6145,2991l6127,2991,6109,2995,6110,3032,6132,3031,6153,3026,6145,2991xm6132,3031l6110,3032,6129,3032,6132,3031xm7527,2946l6145,2991,6153,3026,6132,3031,7541,2985,7519,2980,7527,2946xm6127,2991l6109,2992,6109,2995,6127,2991xm6145,2987l6127,2991,6145,2991,6145,2987xm7545,2945l7527,2946,7519,2980,7541,2985,7564,2984,7562,2949,7545,2945xm7562,2944l7545,2945,7562,2949,7562,2944xm7528,2941l7527,2946,7545,2945,7528,2941xe" filled="true" fillcolor="#e3c626" stroked="false">
                  <v:path arrowok="t"/>
                  <v:fill type="solid"/>
                </v:shape>
                <v:shape style="position:absolute;left:3250;top:2572;width:102;height:122" id="docshape2277" coordorigin="3250,2572" coordsize="102,122" path="m3301,2572l3250,2633,3301,2694,3352,2633,3301,2572xe" filled="true" fillcolor="#2f7d41" stroked="false">
                  <v:path arrowok="t"/>
                  <v:fill type="solid"/>
                </v:shape>
                <v:shape style="position:absolute;left:7493;top:2359;width:102;height:122" id="docshape2278" coordorigin="7493,2359" coordsize="102,122" path="m7544,2359l7493,2420,7544,2481,7595,2420,7544,2359xe" filled="true" fillcolor="#000000" stroked="false">
                  <v:path arrowok="t"/>
                  <v:fill type="solid"/>
                </v:shape>
                <v:shape style="position:absolute;left:6078;top:2951;width:102;height:122" id="docshape2279" coordorigin="6079,2952" coordsize="102,122" path="m6130,2952l6079,3013,6130,3074,6181,3013,6130,2952xe" filled="true" fillcolor="#e3c626" stroked="false">
                  <v:path arrowok="t"/>
                  <v:fill type="solid"/>
                </v:shape>
                <v:shape style="position:absolute;left:1969;top:627;width:7947;height:4060" id="docshape2280" coordorigin="1970,628" coordsize="7947,4060" path="m9917,628l9907,628,9907,632,9907,633,9907,638,9907,4678,1980,4678,1980,638,1975,638,1980,638,9907,638,9907,633,1980,633,1975,633,1975,632,9907,632,9907,628,1970,628,1970,632,1970,638,1970,4678,1970,4682,1970,4688,9917,4688,9917,638,9912,638,9917,638,9917,633,9912,633,9912,632,9917,632,9917,628xe" filled="true" fillcolor="#000000" stroked="false">
                  <v:path arrowok="t"/>
                  <v:fill type="solid"/>
                </v:shape>
                <v:shape style="position:absolute;left:5576;top:814;width:383;height:122" id="docshape2281" coordorigin="5577,815" coordsize="383,122" path="m5959,862l5808,862,5768,815,5729,862,5577,862,5577,889,5729,889,5768,936,5808,889,5959,889,5959,862xe" filled="true" fillcolor="#2f7d41" stroked="false">
                  <v:path arrowok="t"/>
                  <v:fill type="solid"/>
                </v:shape>
                <v:shape style="position:absolute;left:6942;top:814;width:395;height:122" id="docshape2282" coordorigin="6943,815" coordsize="395,122" path="m7337,856l7174,856,7140,815,7106,856,6943,856,6943,896,7106,896,7140,936,7174,896,7337,896,7337,856xe" filled="true" fillcolor="#000000" stroked="false">
                  <v:path arrowok="t"/>
                  <v:fill type="solid"/>
                </v:shape>
                <v:shape style="position:absolute;left:8234;top:814;width:395;height:122" id="docshape2283" coordorigin="8235,815" coordsize="395,122" path="m8629,856l8466,856,8432,815,8398,856,8235,856,8235,896,8398,896,8432,936,8466,896,8629,896,8629,856xe" filled="true" fillcolor="#e3c626" stroked="false">
                  <v:path arrowok="t"/>
                  <v:fill type="solid"/>
                </v:shape>
                <v:shape style="position:absolute;left:2536;top:1242;width:7117;height:2799" id="docshape2284" coordorigin="2537,1243" coordsize="7117,2799" path="m2585,2335l2537,2335,2537,2345,2585,2345,2585,2335xm2594,1243l2537,1243,2537,1253,2594,1253,2594,1243xm3357,2973l3306,2912,3255,2973,3306,3034,3357,2973xm4760,3016l4709,2955,4659,3016,4709,3076,4760,3016xm6178,2505l6127,2444,6076,2505,6127,2566,6178,2505xm9012,2179l8961,2119,8910,2179,8961,2240,9012,2179xm9653,3962l2595,3962,2595,1255,2585,1255,2585,1795,2537,1795,2537,1805,2585,1805,2585,2867,2537,2867,2537,2877,2585,2877,2585,3421,2537,3421,2537,3431,2585,3431,2585,3962,2537,3962,2537,3972,2585,3972,2585,4042,2595,4042,2595,3972,3991,3972,3991,4042,4001,4042,4001,3972,5407,3972,5407,4042,5417,4042,5417,3972,6828,3972,6828,4042,6838,4042,6838,3972,8238,3972,8238,4042,8248,4042,8248,3972,9653,3972,9653,3962xe" filled="true" fillcolor="#000000" stroked="false">
                  <v:path arrowok="t"/>
                  <v:fill type="solid"/>
                </v:shape>
                <v:shape style="position:absolute;left:3258;top:2909;width:5743;height:476" id="docshape2285" coordorigin="3258,2909" coordsize="5743,476" path="m3360,3282l3309,3221,3258,3282,3309,3343,3360,3282xm4763,3325l4713,3264,4662,3325,4713,3385,4763,3325xm7598,2970l7547,2909,7496,2970,7547,3031,7598,2970xm9001,3282l8950,3221,8899,3282,8950,3343,9001,3282xe" filled="true" fillcolor="#e3c626" stroked="false">
                  <v:path arrowok="t"/>
                  <v:fill type="solid"/>
                </v:shape>
                <v:shape style="position:absolute;left:4667;top:1764;width:4354;height:1072" id="docshape2286" coordorigin="4668,1764" coordsize="4354,1072" path="m4770,2775l4719,2714,4668,2775,4719,2835,4770,2775xm6187,2222l6136,2161,6085,2222,6136,2283,6187,2222xm7604,2179l7553,2119,7502,2179,7553,2240,7604,2179xm9021,1825l8971,1764,8920,1825,8971,1886,9021,1825xe" filled="true" fillcolor="#2f7d41" stroked="false">
                  <v:path arrowok="t"/>
                  <v:fill type="solid"/>
                </v:shape>
                <v:shape style="position:absolute;left:6029;top:782;width:805;height:161" type="#_x0000_t202" id="docshape2287" filled="false" stroked="false">
                  <v:textbox inset="0,0,0,0">
                    <w:txbxContent>
                      <w:p>
                        <w:pPr>
                          <w:spacing w:line="161" w:lineRule="exact" w:before="0"/>
                          <w:ind w:left="0" w:right="0" w:firstLine="0"/>
                          <w:jc w:val="left"/>
                          <w:rPr>
                            <w:rFonts w:ascii="Arial MT"/>
                            <w:sz w:val="14"/>
                          </w:rPr>
                        </w:pPr>
                        <w:r>
                          <w:rPr>
                            <w:rFonts w:ascii="Arial MT"/>
                            <w:w w:val="80"/>
                            <w:sz w:val="14"/>
                          </w:rPr>
                          <w:t>Non-</w:t>
                        </w:r>
                        <w:r>
                          <w:rPr>
                            <w:rFonts w:ascii="Arial MT"/>
                            <w:spacing w:val="-2"/>
                            <w:w w:val="85"/>
                            <w:sz w:val="14"/>
                          </w:rPr>
                          <w:t>agriculture</w:t>
                        </w:r>
                      </w:p>
                    </w:txbxContent>
                  </v:textbox>
                  <w10:wrap type="none"/>
                </v:shape>
                <v:shape style="position:absolute;left:7359;top:782;width:761;height:161" type="#_x0000_t202" id="docshape2288" filled="false" stroked="false">
                  <v:textbox inset="0,0,0,0">
                    <w:txbxContent>
                      <w:p>
                        <w:pPr>
                          <w:spacing w:line="161" w:lineRule="exact" w:before="0"/>
                          <w:ind w:left="0" w:right="0" w:firstLine="0"/>
                          <w:jc w:val="left"/>
                          <w:rPr>
                            <w:rFonts w:ascii="Arial MT"/>
                            <w:sz w:val="14"/>
                          </w:rPr>
                        </w:pPr>
                        <w:r>
                          <w:rPr>
                            <w:rFonts w:ascii="Arial MT"/>
                            <w:spacing w:val="-2"/>
                            <w:w w:val="80"/>
                            <w:sz w:val="14"/>
                          </w:rPr>
                          <w:t>Total</w:t>
                        </w:r>
                        <w:r>
                          <w:rPr>
                            <w:rFonts w:ascii="Arial MT"/>
                            <w:spacing w:val="-7"/>
                            <w:sz w:val="14"/>
                          </w:rPr>
                          <w:t> </w:t>
                        </w:r>
                        <w:r>
                          <w:rPr>
                            <w:rFonts w:ascii="Arial MT"/>
                            <w:spacing w:val="-2"/>
                            <w:w w:val="85"/>
                            <w:sz w:val="14"/>
                          </w:rPr>
                          <w:t>economy</w:t>
                        </w:r>
                      </w:p>
                    </w:txbxContent>
                  </v:textbox>
                  <w10:wrap type="none"/>
                </v:shape>
                <v:shape style="position:absolute;left:8677;top:782;width:978;height:161" type="#_x0000_t202" id="docshape2289" filled="false" stroked="false">
                  <v:textbox inset="0,0,0,0">
                    <w:txbxContent>
                      <w:p>
                        <w:pPr>
                          <w:spacing w:line="161" w:lineRule="exact" w:before="0"/>
                          <w:ind w:left="0" w:right="0" w:firstLine="0"/>
                          <w:jc w:val="left"/>
                          <w:rPr>
                            <w:rFonts w:ascii="Arial MT"/>
                            <w:sz w:val="14"/>
                          </w:rPr>
                        </w:pPr>
                        <w:r>
                          <w:rPr>
                            <w:rFonts w:ascii="Arial MT"/>
                            <w:w w:val="80"/>
                            <w:sz w:val="14"/>
                          </w:rPr>
                          <w:t>Agriculture</w:t>
                        </w:r>
                        <w:r>
                          <w:rPr>
                            <w:rFonts w:ascii="Arial MT"/>
                            <w:sz w:val="14"/>
                          </w:rPr>
                          <w:t> </w:t>
                        </w:r>
                        <w:r>
                          <w:rPr>
                            <w:rFonts w:ascii="Arial MT"/>
                            <w:w w:val="80"/>
                            <w:sz w:val="14"/>
                          </w:rPr>
                          <w:t>&amp;</w:t>
                        </w:r>
                        <w:r>
                          <w:rPr>
                            <w:rFonts w:ascii="Arial MT"/>
                            <w:sz w:val="14"/>
                          </w:rPr>
                          <w:t> </w:t>
                        </w:r>
                        <w:r>
                          <w:rPr>
                            <w:rFonts w:ascii="Arial MT"/>
                            <w:spacing w:val="-2"/>
                            <w:w w:val="80"/>
                            <w:sz w:val="14"/>
                          </w:rPr>
                          <w:t>allied</w:t>
                        </w:r>
                      </w:p>
                    </w:txbxContent>
                  </v:textbox>
                  <w10:wrap type="none"/>
                </v:shape>
                <v:shape style="position:absolute;left:2330;top:1190;width:148;height:2861" type="#_x0000_t202" id="docshape2290" filled="false" stroked="false">
                  <v:textbox inset="0,0,0,0">
                    <w:txbxContent>
                      <w:p>
                        <w:pPr>
                          <w:spacing w:line="161" w:lineRule="exact" w:before="0"/>
                          <w:ind w:left="0" w:right="0" w:firstLine="0"/>
                          <w:jc w:val="left"/>
                          <w:rPr>
                            <w:rFonts w:ascii="Arial MT"/>
                            <w:sz w:val="14"/>
                          </w:rPr>
                        </w:pPr>
                        <w:r>
                          <w:rPr>
                            <w:rFonts w:ascii="Arial MT"/>
                            <w:spacing w:val="-5"/>
                            <w:w w:val="90"/>
                            <w:sz w:val="14"/>
                          </w:rPr>
                          <w:t>10</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8</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6</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4</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2</w:t>
                        </w:r>
                      </w:p>
                      <w:p>
                        <w:pPr>
                          <w:spacing w:line="240" w:lineRule="auto" w:before="0"/>
                          <w:rPr>
                            <w:rFonts w:ascii="Arial MT"/>
                            <w:sz w:val="14"/>
                          </w:rPr>
                        </w:pPr>
                      </w:p>
                      <w:p>
                        <w:pPr>
                          <w:spacing w:line="240" w:lineRule="auto" w:before="57"/>
                          <w:rPr>
                            <w:rFonts w:ascii="Arial MT"/>
                            <w:sz w:val="14"/>
                          </w:rPr>
                        </w:pPr>
                      </w:p>
                      <w:p>
                        <w:pPr>
                          <w:spacing w:before="0"/>
                          <w:ind w:left="63" w:right="0" w:firstLine="0"/>
                          <w:jc w:val="left"/>
                          <w:rPr>
                            <w:rFonts w:ascii="Arial MT"/>
                            <w:sz w:val="14"/>
                          </w:rPr>
                        </w:pPr>
                        <w:r>
                          <w:rPr>
                            <w:rFonts w:ascii="Arial MT"/>
                            <w:spacing w:val="-10"/>
                            <w:w w:val="90"/>
                            <w:sz w:val="14"/>
                          </w:rPr>
                          <w:t>0</w:t>
                        </w:r>
                      </w:p>
                    </w:txbxContent>
                  </v:textbox>
                  <w10:wrap type="none"/>
                </v:shape>
                <v:shape style="position:absolute;left:2733;top:4047;width:2624;height:341" type="#_x0000_t202" id="docshape2291" filled="false" stroked="false">
                  <v:textbox inset="0,0,0,0">
                    <w:txbxContent>
                      <w:p>
                        <w:pPr>
                          <w:tabs>
                            <w:tab w:pos="1358" w:val="left" w:leader="none"/>
                            <w:tab w:pos="1441" w:val="left" w:leader="none"/>
                          </w:tabs>
                          <w:spacing w:line="268" w:lineRule="auto" w:before="0"/>
                          <w:ind w:left="15" w:right="18" w:hanging="16"/>
                          <w:jc w:val="left"/>
                          <w:rPr>
                            <w:rFonts w:ascii="Arial MT"/>
                            <w:sz w:val="14"/>
                          </w:rPr>
                        </w:pPr>
                        <w:r>
                          <w:rPr>
                            <w:rFonts w:ascii="Arial MT"/>
                            <w:w w:val="90"/>
                            <w:sz w:val="14"/>
                          </w:rPr>
                          <w:t>Pre-Green</w:t>
                        </w:r>
                        <w:r>
                          <w:rPr>
                            <w:rFonts w:ascii="Arial MT"/>
                            <w:spacing w:val="-6"/>
                            <w:w w:val="90"/>
                            <w:sz w:val="14"/>
                          </w:rPr>
                          <w:t> </w:t>
                        </w:r>
                        <w:r>
                          <w:rPr>
                            <w:rFonts w:ascii="Arial MT"/>
                            <w:w w:val="90"/>
                            <w:sz w:val="14"/>
                          </w:rPr>
                          <w:t>Revolution</w:t>
                        </w:r>
                        <w:r>
                          <w:rPr>
                            <w:rFonts w:ascii="Arial MT"/>
                            <w:sz w:val="14"/>
                          </w:rPr>
                          <w:tab/>
                        </w:r>
                        <w:r>
                          <w:rPr>
                            <w:rFonts w:ascii="Arial MT"/>
                            <w:w w:val="80"/>
                            <w:sz w:val="14"/>
                          </w:rPr>
                          <w:t>Green</w:t>
                        </w:r>
                        <w:r>
                          <w:rPr>
                            <w:rFonts w:ascii="Arial MT"/>
                            <w:spacing w:val="-2"/>
                            <w:w w:val="80"/>
                            <w:sz w:val="14"/>
                          </w:rPr>
                          <w:t> </w:t>
                        </w:r>
                        <w:r>
                          <w:rPr>
                            <w:rFonts w:ascii="Arial MT"/>
                            <w:w w:val="80"/>
                            <w:sz w:val="14"/>
                          </w:rPr>
                          <w:t>Revolution</w:t>
                        </w:r>
                        <w:r>
                          <w:rPr>
                            <w:rFonts w:ascii="Arial MT"/>
                            <w:spacing w:val="-2"/>
                            <w:w w:val="80"/>
                            <w:sz w:val="14"/>
                          </w:rPr>
                          <w:t> </w:t>
                        </w:r>
                        <w:r>
                          <w:rPr>
                            <w:rFonts w:ascii="Arial MT"/>
                            <w:w w:val="80"/>
                            <w:sz w:val="14"/>
                          </w:rPr>
                          <w:t>period</w:t>
                        </w:r>
                        <w:r>
                          <w:rPr>
                            <w:rFonts w:ascii="Arial MT"/>
                            <w:spacing w:val="40"/>
                            <w:sz w:val="14"/>
                          </w:rPr>
                          <w:t> </w:t>
                        </w:r>
                        <w:r>
                          <w:rPr>
                            <w:rFonts w:ascii="Arial MT"/>
                            <w:w w:val="90"/>
                            <w:sz w:val="14"/>
                          </w:rPr>
                          <w:t>(1951-52 to 1967-68)</w:t>
                        </w:r>
                        <w:r>
                          <w:rPr>
                            <w:rFonts w:ascii="Arial MT"/>
                            <w:sz w:val="14"/>
                          </w:rPr>
                          <w:tab/>
                          <w:tab/>
                        </w:r>
                        <w:r>
                          <w:rPr>
                            <w:rFonts w:ascii="Arial MT"/>
                            <w:w w:val="85"/>
                            <w:sz w:val="14"/>
                          </w:rPr>
                          <w:t>(1968-69 to 1980-81)</w:t>
                        </w:r>
                      </w:p>
                    </w:txbxContent>
                  </v:textbox>
                  <w10:wrap type="none"/>
                </v:shape>
                <v:shape style="position:absolute;left:5587;top:4047;width:1099;height:521" type="#_x0000_t202" id="docshape2292" filled="false" stroked="false">
                  <v:textbox inset="0,0,0,0">
                    <w:txbxContent>
                      <w:p>
                        <w:pPr>
                          <w:spacing w:line="268" w:lineRule="auto" w:before="0"/>
                          <w:ind w:left="0" w:right="18" w:firstLine="95"/>
                          <w:jc w:val="left"/>
                          <w:rPr>
                            <w:rFonts w:ascii="Arial MT"/>
                            <w:sz w:val="14"/>
                          </w:rPr>
                        </w:pPr>
                        <w:r>
                          <w:rPr>
                            <w:rFonts w:ascii="Arial MT"/>
                            <w:w w:val="90"/>
                            <w:sz w:val="14"/>
                          </w:rPr>
                          <w:t>Wider</w:t>
                        </w:r>
                        <w:r>
                          <w:rPr>
                            <w:rFonts w:ascii="Arial MT"/>
                            <w:spacing w:val="-6"/>
                            <w:w w:val="90"/>
                            <w:sz w:val="14"/>
                          </w:rPr>
                          <w:t> </w:t>
                        </w:r>
                        <w:r>
                          <w:rPr>
                            <w:rFonts w:ascii="Arial MT"/>
                            <w:w w:val="90"/>
                            <w:sz w:val="14"/>
                          </w:rPr>
                          <w:t>technology</w:t>
                        </w:r>
                        <w:r>
                          <w:rPr>
                            <w:rFonts w:ascii="Arial MT"/>
                            <w:spacing w:val="40"/>
                            <w:sz w:val="14"/>
                          </w:rPr>
                          <w:t> </w:t>
                        </w:r>
                        <w:r>
                          <w:rPr>
                            <w:rFonts w:ascii="Arial MT"/>
                            <w:w w:val="80"/>
                            <w:sz w:val="14"/>
                          </w:rPr>
                          <w:t>dissemination</w:t>
                        </w:r>
                        <w:r>
                          <w:rPr>
                            <w:rFonts w:ascii="Arial MT"/>
                            <w:spacing w:val="-2"/>
                            <w:w w:val="80"/>
                            <w:sz w:val="14"/>
                          </w:rPr>
                          <w:t> </w:t>
                        </w:r>
                        <w:r>
                          <w:rPr>
                            <w:rFonts w:ascii="Arial MT"/>
                            <w:w w:val="80"/>
                            <w:sz w:val="14"/>
                          </w:rPr>
                          <w:t>period</w:t>
                        </w:r>
                        <w:r>
                          <w:rPr>
                            <w:rFonts w:ascii="Arial MT"/>
                            <w:spacing w:val="40"/>
                            <w:sz w:val="14"/>
                          </w:rPr>
                          <w:t> </w:t>
                        </w:r>
                        <w:r>
                          <w:rPr>
                            <w:rFonts w:ascii="Arial MT"/>
                            <w:w w:val="80"/>
                            <w:sz w:val="14"/>
                          </w:rPr>
                          <w:t>(1981-82</w:t>
                        </w:r>
                        <w:r>
                          <w:rPr>
                            <w:rFonts w:ascii="Arial MT"/>
                            <w:spacing w:val="-1"/>
                            <w:w w:val="80"/>
                            <w:sz w:val="14"/>
                          </w:rPr>
                          <w:t> </w:t>
                        </w:r>
                        <w:r>
                          <w:rPr>
                            <w:rFonts w:ascii="Arial MT"/>
                            <w:w w:val="80"/>
                            <w:sz w:val="14"/>
                          </w:rPr>
                          <w:t>to</w:t>
                        </w:r>
                        <w:r>
                          <w:rPr>
                            <w:rFonts w:ascii="Arial MT"/>
                            <w:spacing w:val="-1"/>
                            <w:w w:val="80"/>
                            <w:sz w:val="14"/>
                          </w:rPr>
                          <w:t> </w:t>
                        </w:r>
                        <w:r>
                          <w:rPr>
                            <w:rFonts w:ascii="Arial MT"/>
                            <w:w w:val="80"/>
                            <w:sz w:val="14"/>
                          </w:rPr>
                          <w:t>1990-</w:t>
                        </w:r>
                        <w:r>
                          <w:rPr>
                            <w:rFonts w:ascii="Arial MT"/>
                            <w:spacing w:val="-5"/>
                            <w:w w:val="80"/>
                            <w:sz w:val="14"/>
                          </w:rPr>
                          <w:t>91)</w:t>
                        </w:r>
                      </w:p>
                    </w:txbxContent>
                  </v:textbox>
                  <w10:wrap type="none"/>
                </v:shape>
                <v:shape style="position:absolute;left:7012;top:4047;width:2511;height:341" type="#_x0000_t202" id="docshape2293" filled="false" stroked="false">
                  <v:textbox inset="0,0,0,0">
                    <w:txbxContent>
                      <w:p>
                        <w:pPr>
                          <w:tabs>
                            <w:tab w:pos="1412" w:val="left" w:leader="none"/>
                          </w:tabs>
                          <w:spacing w:line="268" w:lineRule="auto" w:before="0"/>
                          <w:ind w:left="0" w:right="18" w:firstLine="0"/>
                          <w:jc w:val="left"/>
                          <w:rPr>
                            <w:rFonts w:ascii="Arial MT"/>
                            <w:sz w:val="14"/>
                          </w:rPr>
                        </w:pPr>
                        <w:r>
                          <w:rPr>
                            <w:rFonts w:ascii="Arial MT"/>
                            <w:w w:val="90"/>
                            <w:sz w:val="14"/>
                          </w:rPr>
                          <w:t>Early Reforms period</w:t>
                        </w:r>
                        <w:r>
                          <w:rPr>
                            <w:rFonts w:ascii="Arial MT"/>
                            <w:sz w:val="14"/>
                          </w:rPr>
                          <w:tab/>
                        </w:r>
                        <w:r>
                          <w:rPr>
                            <w:rFonts w:ascii="Arial MT"/>
                            <w:spacing w:val="-33"/>
                            <w:sz w:val="14"/>
                          </w:rPr>
                          <w:t> </w:t>
                        </w:r>
                        <w:r>
                          <w:rPr>
                            <w:rFonts w:ascii="Arial MT"/>
                            <w:w w:val="80"/>
                            <w:sz w:val="14"/>
                          </w:rPr>
                          <w:t>Ninth</w:t>
                        </w:r>
                        <w:r>
                          <w:rPr>
                            <w:rFonts w:ascii="Arial MT"/>
                            <w:spacing w:val="-2"/>
                            <w:w w:val="80"/>
                            <w:sz w:val="14"/>
                          </w:rPr>
                          <w:t> </w:t>
                        </w:r>
                        <w:r>
                          <w:rPr>
                            <w:rFonts w:ascii="Arial MT"/>
                            <w:w w:val="80"/>
                            <w:sz w:val="14"/>
                          </w:rPr>
                          <w:t>and</w:t>
                        </w:r>
                        <w:r>
                          <w:rPr>
                            <w:rFonts w:ascii="Arial MT"/>
                            <w:spacing w:val="-2"/>
                            <w:w w:val="80"/>
                            <w:sz w:val="14"/>
                          </w:rPr>
                          <w:t> </w:t>
                        </w:r>
                        <w:r>
                          <w:rPr>
                            <w:rFonts w:ascii="Arial MT"/>
                            <w:w w:val="80"/>
                            <w:sz w:val="14"/>
                          </w:rPr>
                          <w:t>Tenth</w:t>
                        </w:r>
                        <w:r>
                          <w:rPr>
                            <w:rFonts w:ascii="Arial MT"/>
                            <w:spacing w:val="-2"/>
                            <w:w w:val="80"/>
                            <w:sz w:val="14"/>
                          </w:rPr>
                          <w:t> </w:t>
                        </w:r>
                        <w:r>
                          <w:rPr>
                            <w:rFonts w:ascii="Arial MT"/>
                            <w:w w:val="80"/>
                            <w:sz w:val="14"/>
                          </w:rPr>
                          <w:t>Plan</w:t>
                        </w:r>
                        <w:r>
                          <w:rPr>
                            <w:rFonts w:ascii="Arial MT"/>
                            <w:spacing w:val="40"/>
                            <w:sz w:val="14"/>
                          </w:rPr>
                          <w:t> </w:t>
                        </w:r>
                        <w:r>
                          <w:rPr>
                            <w:rFonts w:ascii="Arial MT"/>
                            <w:w w:val="80"/>
                            <w:sz w:val="14"/>
                          </w:rPr>
                          <w:t>(1991-92</w:t>
                        </w:r>
                        <w:r>
                          <w:rPr>
                            <w:rFonts w:ascii="Arial MT"/>
                            <w:spacing w:val="-2"/>
                            <w:sz w:val="14"/>
                          </w:rPr>
                          <w:t> </w:t>
                        </w:r>
                        <w:r>
                          <w:rPr>
                            <w:rFonts w:ascii="Arial MT"/>
                            <w:w w:val="80"/>
                            <w:sz w:val="14"/>
                          </w:rPr>
                          <w:t>to</w:t>
                        </w:r>
                        <w:r>
                          <w:rPr>
                            <w:rFonts w:ascii="Arial MT"/>
                            <w:spacing w:val="-1"/>
                            <w:sz w:val="14"/>
                          </w:rPr>
                          <w:t> </w:t>
                        </w:r>
                        <w:r>
                          <w:rPr>
                            <w:rFonts w:ascii="Arial MT"/>
                            <w:w w:val="80"/>
                            <w:sz w:val="14"/>
                          </w:rPr>
                          <w:t>1996-</w:t>
                        </w:r>
                        <w:r>
                          <w:rPr>
                            <w:rFonts w:ascii="Arial MT"/>
                            <w:spacing w:val="-5"/>
                            <w:w w:val="80"/>
                            <w:sz w:val="14"/>
                          </w:rPr>
                          <w:t>97)</w:t>
                        </w:r>
                        <w:r>
                          <w:rPr>
                            <w:rFonts w:ascii="Arial MT"/>
                            <w:sz w:val="14"/>
                          </w:rPr>
                          <w:tab/>
                        </w:r>
                        <w:r>
                          <w:rPr>
                            <w:rFonts w:ascii="Arial MT"/>
                            <w:w w:val="80"/>
                            <w:sz w:val="14"/>
                          </w:rPr>
                          <w:t>(1997-98</w:t>
                        </w:r>
                        <w:r>
                          <w:rPr>
                            <w:rFonts w:ascii="Arial MT"/>
                            <w:spacing w:val="-1"/>
                            <w:w w:val="80"/>
                            <w:sz w:val="14"/>
                          </w:rPr>
                          <w:t> </w:t>
                        </w:r>
                        <w:r>
                          <w:rPr>
                            <w:rFonts w:ascii="Arial MT"/>
                            <w:w w:val="80"/>
                            <w:sz w:val="14"/>
                          </w:rPr>
                          <w:t>to</w:t>
                        </w:r>
                        <w:r>
                          <w:rPr>
                            <w:rFonts w:ascii="Arial MT"/>
                            <w:spacing w:val="-1"/>
                            <w:w w:val="80"/>
                            <w:sz w:val="14"/>
                          </w:rPr>
                          <w:t> </w:t>
                        </w:r>
                        <w:r>
                          <w:rPr>
                            <w:rFonts w:ascii="Arial MT"/>
                            <w:w w:val="80"/>
                            <w:sz w:val="14"/>
                          </w:rPr>
                          <w:t>2006-</w:t>
                        </w:r>
                        <w:r>
                          <w:rPr>
                            <w:rFonts w:ascii="Arial MT"/>
                            <w:spacing w:val="-5"/>
                            <w:w w:val="80"/>
                            <w:sz w:val="14"/>
                          </w:rPr>
                          <w:t>07)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99648">
                <wp:simplePos x="0" y="0"/>
                <wp:positionH relativeFrom="page">
                  <wp:posOffset>1344411</wp:posOffset>
                </wp:positionH>
                <wp:positionV relativeFrom="paragraph">
                  <wp:posOffset>1225017</wp:posOffset>
                </wp:positionV>
                <wp:extent cx="127635" cy="902335"/>
                <wp:effectExtent l="0" t="0" r="0" b="0"/>
                <wp:wrapNone/>
                <wp:docPr id="2354" name="Textbox 2354"/>
                <wp:cNvGraphicFramePr>
                  <a:graphicFrameLocks/>
                </wp:cNvGraphicFramePr>
                <a:graphic>
                  <a:graphicData uri="http://schemas.microsoft.com/office/word/2010/wordprocessingShape">
                    <wps:wsp>
                      <wps:cNvPr id="2354" name="Textbox 2354"/>
                      <wps:cNvSpPr txBox="1"/>
                      <wps:spPr>
                        <a:xfrm>
                          <a:off x="0" y="0"/>
                          <a:ext cx="127635" cy="902335"/>
                        </a:xfrm>
                        <a:prstGeom prst="rect">
                          <a:avLst/>
                        </a:prstGeom>
                      </wps:spPr>
                      <wps:txbx>
                        <w:txbxContent>
                          <w:p>
                            <w:pPr>
                              <w:spacing w:before="19"/>
                              <w:ind w:left="20" w:right="0" w:firstLine="0"/>
                              <w:jc w:val="left"/>
                              <w:rPr>
                                <w:rFonts w:ascii="Arial"/>
                                <w:b/>
                                <w:sz w:val="14"/>
                              </w:rPr>
                            </w:pPr>
                            <w:r>
                              <w:rPr>
                                <w:rFonts w:ascii="Arial"/>
                                <w:b/>
                                <w:w w:val="80"/>
                                <w:sz w:val="14"/>
                              </w:rPr>
                              <w:t>Average</w:t>
                            </w:r>
                            <w:r>
                              <w:rPr>
                                <w:rFonts w:ascii="Arial"/>
                                <w:b/>
                                <w:spacing w:val="-3"/>
                                <w:sz w:val="14"/>
                              </w:rPr>
                              <w:t> </w:t>
                            </w:r>
                            <w:r>
                              <w:rPr>
                                <w:rFonts w:ascii="Arial"/>
                                <w:b/>
                                <w:w w:val="80"/>
                                <w:sz w:val="14"/>
                              </w:rPr>
                              <w:t>growth</w:t>
                            </w:r>
                            <w:r>
                              <w:rPr>
                                <w:rFonts w:ascii="Arial"/>
                                <w:b/>
                                <w:spacing w:val="-3"/>
                                <w:sz w:val="14"/>
                              </w:rPr>
                              <w:t> </w:t>
                            </w:r>
                            <w:r>
                              <w:rPr>
                                <w:rFonts w:ascii="Arial"/>
                                <w:b/>
                                <w:w w:val="80"/>
                                <w:sz w:val="14"/>
                              </w:rPr>
                              <w:t>rates</w:t>
                            </w:r>
                            <w:r>
                              <w:rPr>
                                <w:rFonts w:ascii="Arial"/>
                                <w:b/>
                                <w:spacing w:val="-2"/>
                                <w:sz w:val="14"/>
                              </w:rPr>
                              <w:t> </w:t>
                            </w:r>
                            <w:r>
                              <w:rPr>
                                <w:rFonts w:ascii="Arial"/>
                                <w:b/>
                                <w:spacing w:val="-5"/>
                                <w:w w:val="80"/>
                                <w:sz w:val="14"/>
                              </w:rPr>
                              <w:t>(%)</w:t>
                            </w:r>
                          </w:p>
                        </w:txbxContent>
                      </wps:txbx>
                      <wps:bodyPr wrap="square" lIns="0" tIns="0" rIns="0" bIns="0" rtlCol="0" vert="vert270">
                        <a:noAutofit/>
                      </wps:bodyPr>
                    </wps:wsp>
                  </a:graphicData>
                </a:graphic>
              </wp:anchor>
            </w:drawing>
          </mc:Choice>
          <mc:Fallback>
            <w:pict>
              <v:shape style="position:absolute;margin-left:105.859161pt;margin-top:96.458054pt;width:10.050pt;height:71.05pt;mso-position-horizontal-relative:page;mso-position-vertical-relative:paragraph;z-index:15899648" type="#_x0000_t202" id="docshape2294" filled="false" stroked="false">
                <v:textbox inset="0,0,0,0" style="layout-flow:vertical;mso-layout-flow-alt:bottom-to-top">
                  <w:txbxContent>
                    <w:p>
                      <w:pPr>
                        <w:spacing w:before="19"/>
                        <w:ind w:left="20" w:right="0" w:firstLine="0"/>
                        <w:jc w:val="left"/>
                        <w:rPr>
                          <w:rFonts w:ascii="Arial"/>
                          <w:b/>
                          <w:sz w:val="14"/>
                        </w:rPr>
                      </w:pPr>
                      <w:r>
                        <w:rPr>
                          <w:rFonts w:ascii="Arial"/>
                          <w:b/>
                          <w:w w:val="80"/>
                          <w:sz w:val="14"/>
                        </w:rPr>
                        <w:t>Average</w:t>
                      </w:r>
                      <w:r>
                        <w:rPr>
                          <w:rFonts w:ascii="Arial"/>
                          <w:b/>
                          <w:spacing w:val="-3"/>
                          <w:sz w:val="14"/>
                        </w:rPr>
                        <w:t> </w:t>
                      </w:r>
                      <w:r>
                        <w:rPr>
                          <w:rFonts w:ascii="Arial"/>
                          <w:b/>
                          <w:w w:val="80"/>
                          <w:sz w:val="14"/>
                        </w:rPr>
                        <w:t>growth</w:t>
                      </w:r>
                      <w:r>
                        <w:rPr>
                          <w:rFonts w:ascii="Arial"/>
                          <w:b/>
                          <w:spacing w:val="-3"/>
                          <w:sz w:val="14"/>
                        </w:rPr>
                        <w:t> </w:t>
                      </w:r>
                      <w:r>
                        <w:rPr>
                          <w:rFonts w:ascii="Arial"/>
                          <w:b/>
                          <w:w w:val="80"/>
                          <w:sz w:val="14"/>
                        </w:rPr>
                        <w:t>rates</w:t>
                      </w:r>
                      <w:r>
                        <w:rPr>
                          <w:rFonts w:ascii="Arial"/>
                          <w:b/>
                          <w:spacing w:val="-2"/>
                          <w:sz w:val="14"/>
                        </w:rPr>
                        <w:t> </w:t>
                      </w:r>
                      <w:r>
                        <w:rPr>
                          <w:rFonts w:ascii="Arial"/>
                          <w:b/>
                          <w:spacing w:val="-5"/>
                          <w:w w:val="80"/>
                          <w:sz w:val="14"/>
                        </w:rPr>
                        <w:t>(%)</w:t>
                      </w:r>
                    </w:p>
                  </w:txbxContent>
                </v:textbox>
                <w10:wrap type="none"/>
              </v:shape>
            </w:pict>
          </mc:Fallback>
        </mc:AlternateContent>
      </w:r>
      <w:r>
        <w:rPr>
          <w:w w:val="90"/>
        </w:rPr>
        <w:t>Figure 49: </w:t>
      </w:r>
      <w:r>
        <w:rPr>
          <w:color w:val="2E614A"/>
          <w:w w:val="90"/>
        </w:rPr>
        <w:t>Average GDP growth rates of agriculture and other sectors at</w:t>
      </w:r>
      <w:r>
        <w:rPr>
          <w:color w:val="2E614A"/>
          <w:spacing w:val="80"/>
        </w:rPr>
        <w:t> </w:t>
      </w:r>
      <w:r>
        <w:rPr>
          <w:color w:val="2E614A"/>
        </w:rPr>
        <w:t>1999-2000 prices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51"/>
        <w:rPr>
          <w:b/>
          <w:sz w:val="24"/>
        </w:rPr>
      </w:pPr>
    </w:p>
    <w:p>
      <w:pPr>
        <w:spacing w:before="0"/>
        <w:ind w:left="1971" w:right="0" w:firstLine="0"/>
        <w:jc w:val="left"/>
        <w:rPr>
          <w:sz w:val="16"/>
        </w:rPr>
      </w:pPr>
      <w:r>
        <w:rPr>
          <w:i/>
          <w:w w:val="90"/>
          <w:sz w:val="16"/>
        </w:rPr>
        <w:t>Source:</w:t>
      </w:r>
      <w:r>
        <w:rPr>
          <w:i/>
          <w:spacing w:val="13"/>
          <w:sz w:val="16"/>
        </w:rPr>
        <w:t> </w:t>
      </w:r>
      <w:r>
        <w:rPr>
          <w:w w:val="90"/>
          <w:sz w:val="16"/>
        </w:rPr>
        <w:t>Economic</w:t>
      </w:r>
      <w:r>
        <w:rPr>
          <w:spacing w:val="13"/>
          <w:sz w:val="16"/>
        </w:rPr>
        <w:t> </w:t>
      </w:r>
      <w:r>
        <w:rPr>
          <w:w w:val="90"/>
          <w:sz w:val="16"/>
        </w:rPr>
        <w:t>Survey,</w:t>
      </w:r>
      <w:r>
        <w:rPr>
          <w:spacing w:val="13"/>
          <w:sz w:val="16"/>
        </w:rPr>
        <w:t> </w:t>
      </w:r>
      <w:r>
        <w:rPr>
          <w:w w:val="90"/>
          <w:sz w:val="16"/>
        </w:rPr>
        <w:t>2007-</w:t>
      </w:r>
      <w:r>
        <w:rPr>
          <w:spacing w:val="-5"/>
          <w:w w:val="90"/>
          <w:sz w:val="16"/>
        </w:rPr>
        <w:t>08</w:t>
      </w:r>
    </w:p>
    <w:p>
      <w:pPr>
        <w:spacing w:after="0"/>
        <w:jc w:val="left"/>
        <w:rPr>
          <w:sz w:val="16"/>
        </w:rPr>
        <w:sectPr>
          <w:type w:val="continuous"/>
          <w:pgSz w:w="11910" w:h="16840"/>
          <w:pgMar w:header="0" w:footer="421" w:top="1920" w:bottom="280" w:left="0" w:right="0"/>
        </w:sectPr>
      </w:pPr>
    </w:p>
    <w:p>
      <w:pPr>
        <w:pStyle w:val="Heading8"/>
        <w:spacing w:line="242" w:lineRule="auto" w:before="73"/>
        <w:ind w:left="3026" w:right="921" w:hanging="1029"/>
      </w:pPr>
      <w:r>
        <w:rPr/>
        <mc:AlternateContent>
          <mc:Choice Requires="wps">
            <w:drawing>
              <wp:anchor distT="0" distB="0" distL="0" distR="0" allowOverlap="1" layoutInCell="1" locked="0" behindDoc="0" simplePos="0" relativeHeight="15900672">
                <wp:simplePos x="0" y="0"/>
                <wp:positionH relativeFrom="page">
                  <wp:posOffset>1267649</wp:posOffset>
                </wp:positionH>
                <wp:positionV relativeFrom="paragraph">
                  <wp:posOffset>485140</wp:posOffset>
                </wp:positionV>
                <wp:extent cx="5046345" cy="2249170"/>
                <wp:effectExtent l="0" t="0" r="0" b="0"/>
                <wp:wrapNone/>
                <wp:docPr id="2355" name="Group 2355"/>
                <wp:cNvGraphicFramePr>
                  <a:graphicFrameLocks/>
                </wp:cNvGraphicFramePr>
                <a:graphic>
                  <a:graphicData uri="http://schemas.microsoft.com/office/word/2010/wordprocessingGroup">
                    <wpg:wgp>
                      <wpg:cNvPr id="2355" name="Group 2355"/>
                      <wpg:cNvGrpSpPr/>
                      <wpg:grpSpPr>
                        <a:xfrm>
                          <a:off x="0" y="0"/>
                          <a:ext cx="5046345" cy="2249170"/>
                          <a:chExt cx="5046345" cy="2249170"/>
                        </a:xfrm>
                      </wpg:grpSpPr>
                      <wps:wsp>
                        <wps:cNvPr id="2356" name="Graphic 2356"/>
                        <wps:cNvSpPr/>
                        <wps:spPr>
                          <a:xfrm>
                            <a:off x="-11" y="0"/>
                            <a:ext cx="5046345" cy="2249170"/>
                          </a:xfrm>
                          <a:custGeom>
                            <a:avLst/>
                            <a:gdLst/>
                            <a:ahLst/>
                            <a:cxnLst/>
                            <a:rect l="l" t="t" r="r" b="b"/>
                            <a:pathLst>
                              <a:path w="5046345" h="2249170">
                                <a:moveTo>
                                  <a:pt x="354342" y="362788"/>
                                </a:moveTo>
                                <a:lnTo>
                                  <a:pt x="333375" y="362788"/>
                                </a:lnTo>
                                <a:lnTo>
                                  <a:pt x="327025" y="362788"/>
                                </a:lnTo>
                                <a:lnTo>
                                  <a:pt x="326885" y="362788"/>
                                </a:lnTo>
                                <a:lnTo>
                                  <a:pt x="326885" y="369138"/>
                                </a:lnTo>
                                <a:lnTo>
                                  <a:pt x="327025" y="369138"/>
                                </a:lnTo>
                                <a:lnTo>
                                  <a:pt x="327025" y="637667"/>
                                </a:lnTo>
                                <a:lnTo>
                                  <a:pt x="326885" y="637667"/>
                                </a:lnTo>
                                <a:lnTo>
                                  <a:pt x="326885" y="644017"/>
                                </a:lnTo>
                                <a:lnTo>
                                  <a:pt x="327025" y="644017"/>
                                </a:lnTo>
                                <a:lnTo>
                                  <a:pt x="327025" y="912533"/>
                                </a:lnTo>
                                <a:lnTo>
                                  <a:pt x="326885" y="912533"/>
                                </a:lnTo>
                                <a:lnTo>
                                  <a:pt x="326885" y="918883"/>
                                </a:lnTo>
                                <a:lnTo>
                                  <a:pt x="327025" y="918883"/>
                                </a:lnTo>
                                <a:lnTo>
                                  <a:pt x="327025" y="1187411"/>
                                </a:lnTo>
                                <a:lnTo>
                                  <a:pt x="326885" y="1187411"/>
                                </a:lnTo>
                                <a:lnTo>
                                  <a:pt x="326885" y="1193761"/>
                                </a:lnTo>
                                <a:lnTo>
                                  <a:pt x="327025" y="1193761"/>
                                </a:lnTo>
                                <a:lnTo>
                                  <a:pt x="327025" y="1454429"/>
                                </a:lnTo>
                                <a:lnTo>
                                  <a:pt x="326885" y="1454429"/>
                                </a:lnTo>
                                <a:lnTo>
                                  <a:pt x="326885" y="1460779"/>
                                </a:lnTo>
                                <a:lnTo>
                                  <a:pt x="327025" y="1460779"/>
                                </a:lnTo>
                                <a:lnTo>
                                  <a:pt x="327025" y="1729320"/>
                                </a:lnTo>
                                <a:lnTo>
                                  <a:pt x="326885" y="1729320"/>
                                </a:lnTo>
                                <a:lnTo>
                                  <a:pt x="326885" y="1735670"/>
                                </a:lnTo>
                                <a:lnTo>
                                  <a:pt x="327025" y="1735670"/>
                                </a:lnTo>
                                <a:lnTo>
                                  <a:pt x="327025" y="2004187"/>
                                </a:lnTo>
                                <a:lnTo>
                                  <a:pt x="326885" y="2004187"/>
                                </a:lnTo>
                                <a:lnTo>
                                  <a:pt x="326885" y="2010537"/>
                                </a:lnTo>
                                <a:lnTo>
                                  <a:pt x="327025" y="2010537"/>
                                </a:lnTo>
                                <a:lnTo>
                                  <a:pt x="327025" y="2034108"/>
                                </a:lnTo>
                                <a:lnTo>
                                  <a:pt x="328930" y="2034108"/>
                                </a:lnTo>
                                <a:lnTo>
                                  <a:pt x="354342" y="2034108"/>
                                </a:lnTo>
                                <a:lnTo>
                                  <a:pt x="354342" y="2004187"/>
                                </a:lnTo>
                                <a:lnTo>
                                  <a:pt x="333375" y="2004187"/>
                                </a:lnTo>
                                <a:lnTo>
                                  <a:pt x="333375" y="1735670"/>
                                </a:lnTo>
                                <a:lnTo>
                                  <a:pt x="354342" y="1735670"/>
                                </a:lnTo>
                                <a:lnTo>
                                  <a:pt x="354342" y="1729320"/>
                                </a:lnTo>
                                <a:lnTo>
                                  <a:pt x="333375" y="1729320"/>
                                </a:lnTo>
                                <a:lnTo>
                                  <a:pt x="333375" y="1460779"/>
                                </a:lnTo>
                                <a:lnTo>
                                  <a:pt x="354342" y="1460779"/>
                                </a:lnTo>
                                <a:lnTo>
                                  <a:pt x="354342" y="1454429"/>
                                </a:lnTo>
                                <a:lnTo>
                                  <a:pt x="333375" y="1454429"/>
                                </a:lnTo>
                                <a:lnTo>
                                  <a:pt x="333375" y="1193761"/>
                                </a:lnTo>
                                <a:lnTo>
                                  <a:pt x="354342" y="1193761"/>
                                </a:lnTo>
                                <a:lnTo>
                                  <a:pt x="354342" y="1187411"/>
                                </a:lnTo>
                                <a:lnTo>
                                  <a:pt x="333375" y="1187411"/>
                                </a:lnTo>
                                <a:lnTo>
                                  <a:pt x="333375" y="918883"/>
                                </a:lnTo>
                                <a:lnTo>
                                  <a:pt x="354342" y="918883"/>
                                </a:lnTo>
                                <a:lnTo>
                                  <a:pt x="354342" y="912533"/>
                                </a:lnTo>
                                <a:lnTo>
                                  <a:pt x="333375" y="912533"/>
                                </a:lnTo>
                                <a:lnTo>
                                  <a:pt x="333375" y="644017"/>
                                </a:lnTo>
                                <a:lnTo>
                                  <a:pt x="354342" y="644017"/>
                                </a:lnTo>
                                <a:lnTo>
                                  <a:pt x="354342" y="637667"/>
                                </a:lnTo>
                                <a:lnTo>
                                  <a:pt x="333375" y="637667"/>
                                </a:lnTo>
                                <a:lnTo>
                                  <a:pt x="333375" y="369138"/>
                                </a:lnTo>
                                <a:lnTo>
                                  <a:pt x="354342" y="369138"/>
                                </a:lnTo>
                                <a:lnTo>
                                  <a:pt x="354342" y="362788"/>
                                </a:lnTo>
                                <a:close/>
                              </a:path>
                              <a:path w="5046345" h="2249170">
                                <a:moveTo>
                                  <a:pt x="5046307" y="0"/>
                                </a:moveTo>
                                <a:lnTo>
                                  <a:pt x="5039957" y="0"/>
                                </a:lnTo>
                                <a:lnTo>
                                  <a:pt x="5039957" y="2540"/>
                                </a:lnTo>
                                <a:lnTo>
                                  <a:pt x="5039957" y="2667"/>
                                </a:lnTo>
                                <a:lnTo>
                                  <a:pt x="5039957" y="2246630"/>
                                </a:lnTo>
                                <a:lnTo>
                                  <a:pt x="3175" y="2246630"/>
                                </a:lnTo>
                                <a:lnTo>
                                  <a:pt x="3175" y="2246503"/>
                                </a:lnTo>
                                <a:lnTo>
                                  <a:pt x="6350" y="2246503"/>
                                </a:lnTo>
                                <a:lnTo>
                                  <a:pt x="5039957" y="2246503"/>
                                </a:lnTo>
                                <a:lnTo>
                                  <a:pt x="5039957" y="2243328"/>
                                </a:lnTo>
                                <a:lnTo>
                                  <a:pt x="6350" y="2243328"/>
                                </a:lnTo>
                                <a:lnTo>
                                  <a:pt x="3175" y="2243328"/>
                                </a:lnTo>
                                <a:lnTo>
                                  <a:pt x="3175" y="2242820"/>
                                </a:lnTo>
                                <a:lnTo>
                                  <a:pt x="6350" y="2242820"/>
                                </a:lnTo>
                                <a:lnTo>
                                  <a:pt x="6350" y="6350"/>
                                </a:lnTo>
                                <a:lnTo>
                                  <a:pt x="3175" y="6350"/>
                                </a:lnTo>
                                <a:lnTo>
                                  <a:pt x="3175" y="5842"/>
                                </a:lnTo>
                                <a:lnTo>
                                  <a:pt x="6350" y="5842"/>
                                </a:lnTo>
                                <a:lnTo>
                                  <a:pt x="5039957" y="5842"/>
                                </a:lnTo>
                                <a:lnTo>
                                  <a:pt x="5039957" y="2667"/>
                                </a:lnTo>
                                <a:lnTo>
                                  <a:pt x="6350" y="2667"/>
                                </a:lnTo>
                                <a:lnTo>
                                  <a:pt x="3175" y="2667"/>
                                </a:lnTo>
                                <a:lnTo>
                                  <a:pt x="3175" y="2540"/>
                                </a:lnTo>
                                <a:lnTo>
                                  <a:pt x="5039957" y="2540"/>
                                </a:lnTo>
                                <a:lnTo>
                                  <a:pt x="5039957" y="0"/>
                                </a:lnTo>
                                <a:lnTo>
                                  <a:pt x="0" y="0"/>
                                </a:lnTo>
                                <a:lnTo>
                                  <a:pt x="0" y="2540"/>
                                </a:lnTo>
                                <a:lnTo>
                                  <a:pt x="0" y="6350"/>
                                </a:lnTo>
                                <a:lnTo>
                                  <a:pt x="0" y="2242820"/>
                                </a:lnTo>
                                <a:lnTo>
                                  <a:pt x="0" y="2246630"/>
                                </a:lnTo>
                                <a:lnTo>
                                  <a:pt x="0" y="2249170"/>
                                </a:lnTo>
                                <a:lnTo>
                                  <a:pt x="5046307" y="2249170"/>
                                </a:lnTo>
                                <a:lnTo>
                                  <a:pt x="5046307" y="2246630"/>
                                </a:lnTo>
                                <a:lnTo>
                                  <a:pt x="5043132" y="2246630"/>
                                </a:lnTo>
                                <a:lnTo>
                                  <a:pt x="5043132" y="2246503"/>
                                </a:lnTo>
                                <a:lnTo>
                                  <a:pt x="5046307" y="2246503"/>
                                </a:lnTo>
                                <a:lnTo>
                                  <a:pt x="5046307" y="2243328"/>
                                </a:lnTo>
                                <a:lnTo>
                                  <a:pt x="5043132" y="2243328"/>
                                </a:lnTo>
                                <a:lnTo>
                                  <a:pt x="5043132" y="2242820"/>
                                </a:lnTo>
                                <a:lnTo>
                                  <a:pt x="5046307" y="2242820"/>
                                </a:lnTo>
                                <a:lnTo>
                                  <a:pt x="5046307" y="6350"/>
                                </a:lnTo>
                                <a:lnTo>
                                  <a:pt x="5043132" y="6350"/>
                                </a:lnTo>
                                <a:lnTo>
                                  <a:pt x="5043132" y="5842"/>
                                </a:lnTo>
                                <a:lnTo>
                                  <a:pt x="5046307" y="5842"/>
                                </a:lnTo>
                                <a:lnTo>
                                  <a:pt x="5046307" y="2667"/>
                                </a:lnTo>
                                <a:lnTo>
                                  <a:pt x="5043132" y="2667"/>
                                </a:lnTo>
                                <a:lnTo>
                                  <a:pt x="5043132" y="2540"/>
                                </a:lnTo>
                                <a:lnTo>
                                  <a:pt x="5046307" y="2540"/>
                                </a:lnTo>
                                <a:lnTo>
                                  <a:pt x="5046307" y="0"/>
                                </a:lnTo>
                                <a:close/>
                              </a:path>
                            </a:pathLst>
                          </a:custGeom>
                          <a:solidFill>
                            <a:srgbClr val="000000"/>
                          </a:solidFill>
                        </wps:spPr>
                        <wps:bodyPr wrap="square" lIns="0" tIns="0" rIns="0" bIns="0" rtlCol="0">
                          <a:prstTxWarp prst="textNoShape">
                            <a:avLst/>
                          </a:prstTxWarp>
                          <a:noAutofit/>
                        </wps:bodyPr>
                      </wps:wsp>
                      <wps:wsp>
                        <wps:cNvPr id="2357" name="Graphic 2357"/>
                        <wps:cNvSpPr/>
                        <wps:spPr>
                          <a:xfrm>
                            <a:off x="550872" y="1307230"/>
                            <a:ext cx="4180840" cy="470534"/>
                          </a:xfrm>
                          <a:custGeom>
                            <a:avLst/>
                            <a:gdLst/>
                            <a:ahLst/>
                            <a:cxnLst/>
                            <a:rect l="l" t="t" r="r" b="b"/>
                            <a:pathLst>
                              <a:path w="4180840" h="470534">
                                <a:moveTo>
                                  <a:pt x="1685939" y="468470"/>
                                </a:moveTo>
                                <a:lnTo>
                                  <a:pt x="1674091" y="469352"/>
                                </a:lnTo>
                                <a:lnTo>
                                  <a:pt x="1685804" y="470240"/>
                                </a:lnTo>
                                <a:lnTo>
                                  <a:pt x="1685939" y="468470"/>
                                </a:lnTo>
                                <a:close/>
                              </a:path>
                              <a:path w="4180840" h="470534">
                                <a:moveTo>
                                  <a:pt x="1662247" y="468454"/>
                                </a:moveTo>
                                <a:lnTo>
                                  <a:pt x="1662379" y="470224"/>
                                </a:lnTo>
                                <a:lnTo>
                                  <a:pt x="1674091" y="469352"/>
                                </a:lnTo>
                                <a:lnTo>
                                  <a:pt x="1662247" y="468454"/>
                                </a:lnTo>
                                <a:close/>
                              </a:path>
                              <a:path w="4180840" h="470534">
                                <a:moveTo>
                                  <a:pt x="1674111" y="443881"/>
                                </a:moveTo>
                                <a:lnTo>
                                  <a:pt x="1660492" y="444895"/>
                                </a:lnTo>
                                <a:lnTo>
                                  <a:pt x="1662247" y="468454"/>
                                </a:lnTo>
                                <a:lnTo>
                                  <a:pt x="1674091" y="469352"/>
                                </a:lnTo>
                                <a:lnTo>
                                  <a:pt x="1685939" y="468470"/>
                                </a:lnTo>
                                <a:lnTo>
                                  <a:pt x="1687724" y="444913"/>
                                </a:lnTo>
                                <a:lnTo>
                                  <a:pt x="1674111" y="443881"/>
                                </a:lnTo>
                                <a:close/>
                              </a:path>
                              <a:path w="4180840" h="470534">
                                <a:moveTo>
                                  <a:pt x="2083079" y="413426"/>
                                </a:moveTo>
                                <a:lnTo>
                                  <a:pt x="1674111" y="443881"/>
                                </a:lnTo>
                                <a:lnTo>
                                  <a:pt x="1687724" y="444913"/>
                                </a:lnTo>
                                <a:lnTo>
                                  <a:pt x="1685939" y="468470"/>
                                </a:lnTo>
                                <a:lnTo>
                                  <a:pt x="2096249" y="437915"/>
                                </a:lnTo>
                                <a:lnTo>
                                  <a:pt x="2083079" y="437915"/>
                                </a:lnTo>
                                <a:lnTo>
                                  <a:pt x="2083079" y="413426"/>
                                </a:lnTo>
                                <a:close/>
                              </a:path>
                              <a:path w="4180840" h="470534">
                                <a:moveTo>
                                  <a:pt x="1261149" y="412579"/>
                                </a:moveTo>
                                <a:lnTo>
                                  <a:pt x="1274090" y="414296"/>
                                </a:lnTo>
                                <a:lnTo>
                                  <a:pt x="1270841" y="438787"/>
                                </a:lnTo>
                                <a:lnTo>
                                  <a:pt x="1662247" y="468454"/>
                                </a:lnTo>
                                <a:lnTo>
                                  <a:pt x="1660492" y="444895"/>
                                </a:lnTo>
                                <a:lnTo>
                                  <a:pt x="1674111" y="443881"/>
                                </a:lnTo>
                                <a:lnTo>
                                  <a:pt x="1261149" y="412579"/>
                                </a:lnTo>
                                <a:close/>
                              </a:path>
                              <a:path w="4180840" h="470534">
                                <a:moveTo>
                                  <a:pt x="1258521" y="437853"/>
                                </a:moveTo>
                                <a:lnTo>
                                  <a:pt x="1270750" y="439475"/>
                                </a:lnTo>
                                <a:lnTo>
                                  <a:pt x="1270841" y="438787"/>
                                </a:lnTo>
                                <a:lnTo>
                                  <a:pt x="1258521" y="437853"/>
                                </a:lnTo>
                                <a:close/>
                              </a:path>
                              <a:path w="4180840" h="470534">
                                <a:moveTo>
                                  <a:pt x="1248127" y="411592"/>
                                </a:moveTo>
                                <a:lnTo>
                                  <a:pt x="1246259" y="436226"/>
                                </a:lnTo>
                                <a:lnTo>
                                  <a:pt x="1258521" y="437853"/>
                                </a:lnTo>
                                <a:lnTo>
                                  <a:pt x="1270841" y="438787"/>
                                </a:lnTo>
                                <a:lnTo>
                                  <a:pt x="1274090" y="414296"/>
                                </a:lnTo>
                                <a:lnTo>
                                  <a:pt x="1261149" y="412579"/>
                                </a:lnTo>
                                <a:lnTo>
                                  <a:pt x="1248127" y="411592"/>
                                </a:lnTo>
                                <a:close/>
                              </a:path>
                              <a:path w="4180840" h="470534">
                                <a:moveTo>
                                  <a:pt x="2923728" y="396822"/>
                                </a:moveTo>
                                <a:lnTo>
                                  <a:pt x="2496885" y="413005"/>
                                </a:lnTo>
                                <a:lnTo>
                                  <a:pt x="2497847" y="438387"/>
                                </a:lnTo>
                                <a:lnTo>
                                  <a:pt x="2522757" y="437443"/>
                                </a:lnTo>
                                <a:lnTo>
                                  <a:pt x="2522757" y="412515"/>
                                </a:lnTo>
                                <a:lnTo>
                                  <a:pt x="2911772" y="412515"/>
                                </a:lnTo>
                                <a:lnTo>
                                  <a:pt x="2910922" y="397550"/>
                                </a:lnTo>
                                <a:lnTo>
                                  <a:pt x="2923728" y="396822"/>
                                </a:lnTo>
                                <a:close/>
                              </a:path>
                              <a:path w="4180840" h="470534">
                                <a:moveTo>
                                  <a:pt x="2107501" y="411608"/>
                                </a:moveTo>
                                <a:lnTo>
                                  <a:pt x="2083079" y="413426"/>
                                </a:lnTo>
                                <a:lnTo>
                                  <a:pt x="2083079" y="437915"/>
                                </a:lnTo>
                                <a:lnTo>
                                  <a:pt x="2096249" y="437915"/>
                                </a:lnTo>
                                <a:lnTo>
                                  <a:pt x="2109387" y="436937"/>
                                </a:lnTo>
                                <a:lnTo>
                                  <a:pt x="2107501" y="411608"/>
                                </a:lnTo>
                                <a:close/>
                              </a:path>
                              <a:path w="4180840" h="470534">
                                <a:moveTo>
                                  <a:pt x="2509805" y="412515"/>
                                </a:moveTo>
                                <a:lnTo>
                                  <a:pt x="2107568" y="412515"/>
                                </a:lnTo>
                                <a:lnTo>
                                  <a:pt x="2109387" y="436937"/>
                                </a:lnTo>
                                <a:lnTo>
                                  <a:pt x="2096249" y="437915"/>
                                </a:lnTo>
                                <a:lnTo>
                                  <a:pt x="2497829" y="437915"/>
                                </a:lnTo>
                                <a:lnTo>
                                  <a:pt x="2496885" y="413005"/>
                                </a:lnTo>
                                <a:lnTo>
                                  <a:pt x="2509805" y="412515"/>
                                </a:lnTo>
                                <a:close/>
                              </a:path>
                              <a:path w="4180840" h="470534">
                                <a:moveTo>
                                  <a:pt x="2522757" y="437443"/>
                                </a:moveTo>
                                <a:lnTo>
                                  <a:pt x="2510297" y="437915"/>
                                </a:lnTo>
                                <a:lnTo>
                                  <a:pt x="2522757" y="437915"/>
                                </a:lnTo>
                                <a:lnTo>
                                  <a:pt x="2522757" y="437443"/>
                                </a:lnTo>
                                <a:close/>
                              </a:path>
                              <a:path w="4180840" h="470534">
                                <a:moveTo>
                                  <a:pt x="1246259" y="436226"/>
                                </a:moveTo>
                                <a:lnTo>
                                  <a:pt x="1246207" y="436919"/>
                                </a:lnTo>
                                <a:lnTo>
                                  <a:pt x="1258521" y="437853"/>
                                </a:lnTo>
                                <a:lnTo>
                                  <a:pt x="1246259" y="436226"/>
                                </a:lnTo>
                                <a:close/>
                              </a:path>
                              <a:path w="4180840" h="470534">
                                <a:moveTo>
                                  <a:pt x="2911772" y="412515"/>
                                </a:moveTo>
                                <a:lnTo>
                                  <a:pt x="2522757" y="412515"/>
                                </a:lnTo>
                                <a:lnTo>
                                  <a:pt x="2522757" y="437443"/>
                                </a:lnTo>
                                <a:lnTo>
                                  <a:pt x="2912349" y="422671"/>
                                </a:lnTo>
                                <a:lnTo>
                                  <a:pt x="2911772" y="412515"/>
                                </a:lnTo>
                                <a:close/>
                              </a:path>
                              <a:path w="4180840" h="470534">
                                <a:moveTo>
                                  <a:pt x="848575" y="357851"/>
                                </a:moveTo>
                                <a:lnTo>
                                  <a:pt x="861804" y="362613"/>
                                </a:lnTo>
                                <a:lnTo>
                                  <a:pt x="854034" y="384197"/>
                                </a:lnTo>
                                <a:lnTo>
                                  <a:pt x="1246259" y="436226"/>
                                </a:lnTo>
                                <a:lnTo>
                                  <a:pt x="1248127" y="411592"/>
                                </a:lnTo>
                                <a:lnTo>
                                  <a:pt x="1253708" y="411592"/>
                                </a:lnTo>
                                <a:lnTo>
                                  <a:pt x="848575" y="357851"/>
                                </a:lnTo>
                                <a:close/>
                              </a:path>
                              <a:path w="4180840" h="470534">
                                <a:moveTo>
                                  <a:pt x="2924936" y="422194"/>
                                </a:moveTo>
                                <a:lnTo>
                                  <a:pt x="2912349" y="422671"/>
                                </a:lnTo>
                                <a:lnTo>
                                  <a:pt x="2912362" y="422909"/>
                                </a:lnTo>
                                <a:lnTo>
                                  <a:pt x="2924936" y="422194"/>
                                </a:lnTo>
                                <a:close/>
                              </a:path>
                              <a:path w="4180840" h="470534">
                                <a:moveTo>
                                  <a:pt x="2936532" y="396337"/>
                                </a:moveTo>
                                <a:lnTo>
                                  <a:pt x="2923728" y="396822"/>
                                </a:lnTo>
                                <a:lnTo>
                                  <a:pt x="2910922" y="397550"/>
                                </a:lnTo>
                                <a:lnTo>
                                  <a:pt x="2912349" y="422671"/>
                                </a:lnTo>
                                <a:lnTo>
                                  <a:pt x="2924936" y="422194"/>
                                </a:lnTo>
                                <a:lnTo>
                                  <a:pt x="2937485" y="421481"/>
                                </a:lnTo>
                                <a:lnTo>
                                  <a:pt x="2936532" y="396337"/>
                                </a:lnTo>
                                <a:close/>
                              </a:path>
                              <a:path w="4180840" h="470534">
                                <a:moveTo>
                                  <a:pt x="2937485" y="421481"/>
                                </a:moveTo>
                                <a:lnTo>
                                  <a:pt x="2924936" y="422194"/>
                                </a:lnTo>
                                <a:lnTo>
                                  <a:pt x="2937494" y="421718"/>
                                </a:lnTo>
                                <a:lnTo>
                                  <a:pt x="2937485" y="421481"/>
                                </a:lnTo>
                                <a:close/>
                              </a:path>
                              <a:path w="4180840" h="470534">
                                <a:moveTo>
                                  <a:pt x="3327496" y="396337"/>
                                </a:moveTo>
                                <a:lnTo>
                                  <a:pt x="2936532" y="396337"/>
                                </a:lnTo>
                                <a:lnTo>
                                  <a:pt x="2937485" y="421481"/>
                                </a:lnTo>
                                <a:lnTo>
                                  <a:pt x="3328000" y="399291"/>
                                </a:lnTo>
                                <a:lnTo>
                                  <a:pt x="3327496" y="396337"/>
                                </a:lnTo>
                                <a:close/>
                              </a:path>
                              <a:path w="4180840" h="470534">
                                <a:moveTo>
                                  <a:pt x="2095312" y="412515"/>
                                </a:moveTo>
                                <a:lnTo>
                                  <a:pt x="2083079" y="412515"/>
                                </a:lnTo>
                                <a:lnTo>
                                  <a:pt x="2083079" y="413426"/>
                                </a:lnTo>
                                <a:lnTo>
                                  <a:pt x="2095312" y="412515"/>
                                </a:lnTo>
                                <a:close/>
                              </a:path>
                              <a:path w="4180840" h="470534">
                                <a:moveTo>
                                  <a:pt x="1253708" y="411592"/>
                                </a:moveTo>
                                <a:lnTo>
                                  <a:pt x="1248127" y="411592"/>
                                </a:lnTo>
                                <a:lnTo>
                                  <a:pt x="1261149" y="412579"/>
                                </a:lnTo>
                                <a:lnTo>
                                  <a:pt x="1253708" y="411592"/>
                                </a:lnTo>
                                <a:close/>
                              </a:path>
                              <a:path w="4180840" h="470534">
                                <a:moveTo>
                                  <a:pt x="3340047" y="398606"/>
                                </a:moveTo>
                                <a:lnTo>
                                  <a:pt x="3328000" y="399291"/>
                                </a:lnTo>
                                <a:lnTo>
                                  <a:pt x="3328227" y="400622"/>
                                </a:lnTo>
                                <a:lnTo>
                                  <a:pt x="3340047" y="398606"/>
                                </a:lnTo>
                                <a:close/>
                              </a:path>
                              <a:path w="4180840" h="470534">
                                <a:moveTo>
                                  <a:pt x="3350570" y="372567"/>
                                </a:moveTo>
                                <a:lnTo>
                                  <a:pt x="3337177" y="373328"/>
                                </a:lnTo>
                                <a:lnTo>
                                  <a:pt x="3323956" y="375584"/>
                                </a:lnTo>
                                <a:lnTo>
                                  <a:pt x="3328000" y="399291"/>
                                </a:lnTo>
                                <a:lnTo>
                                  <a:pt x="3340047" y="398606"/>
                                </a:lnTo>
                                <a:lnTo>
                                  <a:pt x="3351934" y="396579"/>
                                </a:lnTo>
                                <a:lnTo>
                                  <a:pt x="3350570" y="372567"/>
                                </a:lnTo>
                                <a:close/>
                              </a:path>
                              <a:path w="4180840" h="470534">
                                <a:moveTo>
                                  <a:pt x="3351934" y="396579"/>
                                </a:moveTo>
                                <a:lnTo>
                                  <a:pt x="3340047" y="398606"/>
                                </a:lnTo>
                                <a:lnTo>
                                  <a:pt x="3352011" y="397926"/>
                                </a:lnTo>
                                <a:lnTo>
                                  <a:pt x="3351934" y="396579"/>
                                </a:lnTo>
                                <a:close/>
                              </a:path>
                              <a:path w="4180840" h="470534">
                                <a:moveTo>
                                  <a:pt x="3337177" y="373328"/>
                                </a:moveTo>
                                <a:lnTo>
                                  <a:pt x="2923728" y="396822"/>
                                </a:lnTo>
                                <a:lnTo>
                                  <a:pt x="2936532" y="396337"/>
                                </a:lnTo>
                                <a:lnTo>
                                  <a:pt x="3327496" y="396337"/>
                                </a:lnTo>
                                <a:lnTo>
                                  <a:pt x="3323956" y="375584"/>
                                </a:lnTo>
                                <a:lnTo>
                                  <a:pt x="3337177" y="373328"/>
                                </a:lnTo>
                                <a:close/>
                              </a:path>
                              <a:path w="4180840" h="470534">
                                <a:moveTo>
                                  <a:pt x="3492705" y="372567"/>
                                </a:moveTo>
                                <a:lnTo>
                                  <a:pt x="3350570" y="372567"/>
                                </a:lnTo>
                                <a:lnTo>
                                  <a:pt x="3351934" y="396579"/>
                                </a:lnTo>
                                <a:lnTo>
                                  <a:pt x="3492705" y="372567"/>
                                </a:lnTo>
                                <a:close/>
                              </a:path>
                              <a:path w="4180840" h="470534">
                                <a:moveTo>
                                  <a:pt x="842533" y="382671"/>
                                </a:moveTo>
                                <a:lnTo>
                                  <a:pt x="853200" y="386512"/>
                                </a:lnTo>
                                <a:lnTo>
                                  <a:pt x="854034" y="384197"/>
                                </a:lnTo>
                                <a:lnTo>
                                  <a:pt x="842533" y="382671"/>
                                </a:lnTo>
                                <a:close/>
                              </a:path>
                              <a:path w="4180840" h="470534">
                                <a:moveTo>
                                  <a:pt x="834633" y="356001"/>
                                </a:moveTo>
                                <a:lnTo>
                                  <a:pt x="831617" y="378741"/>
                                </a:lnTo>
                                <a:lnTo>
                                  <a:pt x="842533" y="382671"/>
                                </a:lnTo>
                                <a:lnTo>
                                  <a:pt x="854034" y="384197"/>
                                </a:lnTo>
                                <a:lnTo>
                                  <a:pt x="861804" y="362613"/>
                                </a:lnTo>
                                <a:lnTo>
                                  <a:pt x="848575" y="357851"/>
                                </a:lnTo>
                                <a:lnTo>
                                  <a:pt x="834633" y="356001"/>
                                </a:lnTo>
                                <a:close/>
                              </a:path>
                              <a:path w="4180840" h="470534">
                                <a:moveTo>
                                  <a:pt x="831617" y="378741"/>
                                </a:moveTo>
                                <a:lnTo>
                                  <a:pt x="831293" y="381180"/>
                                </a:lnTo>
                                <a:lnTo>
                                  <a:pt x="842533" y="382671"/>
                                </a:lnTo>
                                <a:lnTo>
                                  <a:pt x="831617" y="378741"/>
                                </a:lnTo>
                                <a:close/>
                              </a:path>
                              <a:path w="4180840" h="470534">
                                <a:moveTo>
                                  <a:pt x="436257" y="209410"/>
                                </a:moveTo>
                                <a:lnTo>
                                  <a:pt x="448287" y="215338"/>
                                </a:lnTo>
                                <a:lnTo>
                                  <a:pt x="437657" y="236911"/>
                                </a:lnTo>
                                <a:lnTo>
                                  <a:pt x="831617" y="378741"/>
                                </a:lnTo>
                                <a:lnTo>
                                  <a:pt x="834633" y="356001"/>
                                </a:lnTo>
                                <a:lnTo>
                                  <a:pt x="843438" y="356001"/>
                                </a:lnTo>
                                <a:lnTo>
                                  <a:pt x="436257" y="209410"/>
                                </a:lnTo>
                                <a:close/>
                              </a:path>
                              <a:path w="4180840" h="470534">
                                <a:moveTo>
                                  <a:pt x="3739552" y="304696"/>
                                </a:moveTo>
                                <a:lnTo>
                                  <a:pt x="3337177" y="373328"/>
                                </a:lnTo>
                                <a:lnTo>
                                  <a:pt x="3350570" y="372567"/>
                                </a:lnTo>
                                <a:lnTo>
                                  <a:pt x="3492705" y="372567"/>
                                </a:lnTo>
                                <a:lnTo>
                                  <a:pt x="3749848" y="328707"/>
                                </a:lnTo>
                                <a:lnTo>
                                  <a:pt x="3740917" y="328707"/>
                                </a:lnTo>
                                <a:lnTo>
                                  <a:pt x="3739552" y="304696"/>
                                </a:lnTo>
                                <a:close/>
                              </a:path>
                              <a:path w="4180840" h="470534">
                                <a:moveTo>
                                  <a:pt x="843438" y="356001"/>
                                </a:moveTo>
                                <a:lnTo>
                                  <a:pt x="834633" y="356001"/>
                                </a:lnTo>
                                <a:lnTo>
                                  <a:pt x="848575" y="357851"/>
                                </a:lnTo>
                                <a:lnTo>
                                  <a:pt x="843438" y="356001"/>
                                </a:lnTo>
                                <a:close/>
                              </a:path>
                              <a:path w="4180840" h="470534">
                                <a:moveTo>
                                  <a:pt x="3763487" y="301983"/>
                                </a:moveTo>
                                <a:lnTo>
                                  <a:pt x="3751441" y="302668"/>
                                </a:lnTo>
                                <a:lnTo>
                                  <a:pt x="3739552" y="304696"/>
                                </a:lnTo>
                                <a:lnTo>
                                  <a:pt x="3740917" y="328707"/>
                                </a:lnTo>
                                <a:lnTo>
                                  <a:pt x="3754309" y="327946"/>
                                </a:lnTo>
                                <a:lnTo>
                                  <a:pt x="3767530" y="325690"/>
                                </a:lnTo>
                                <a:lnTo>
                                  <a:pt x="3763487" y="301983"/>
                                </a:lnTo>
                                <a:close/>
                              </a:path>
                              <a:path w="4180840" h="470534">
                                <a:moveTo>
                                  <a:pt x="3754309" y="327946"/>
                                </a:moveTo>
                                <a:lnTo>
                                  <a:pt x="3740917" y="328707"/>
                                </a:lnTo>
                                <a:lnTo>
                                  <a:pt x="3749848" y="328707"/>
                                </a:lnTo>
                                <a:lnTo>
                                  <a:pt x="3754309" y="327946"/>
                                </a:lnTo>
                                <a:close/>
                              </a:path>
                              <a:path w="4180840" h="470534">
                                <a:moveTo>
                                  <a:pt x="4179123" y="278365"/>
                                </a:moveTo>
                                <a:lnTo>
                                  <a:pt x="3763487" y="301983"/>
                                </a:lnTo>
                                <a:lnTo>
                                  <a:pt x="3767530" y="325690"/>
                                </a:lnTo>
                                <a:lnTo>
                                  <a:pt x="3754309" y="327946"/>
                                </a:lnTo>
                                <a:lnTo>
                                  <a:pt x="4180564" y="303724"/>
                                </a:lnTo>
                                <a:lnTo>
                                  <a:pt x="4179123" y="278365"/>
                                </a:lnTo>
                                <a:close/>
                              </a:path>
                              <a:path w="4180840" h="470534">
                                <a:moveTo>
                                  <a:pt x="3751441" y="302668"/>
                                </a:moveTo>
                                <a:lnTo>
                                  <a:pt x="3739476" y="303348"/>
                                </a:lnTo>
                                <a:lnTo>
                                  <a:pt x="3739552" y="304696"/>
                                </a:lnTo>
                                <a:lnTo>
                                  <a:pt x="3751441" y="302668"/>
                                </a:lnTo>
                                <a:close/>
                              </a:path>
                              <a:path w="4180840" h="470534">
                                <a:moveTo>
                                  <a:pt x="3763260" y="300652"/>
                                </a:moveTo>
                                <a:lnTo>
                                  <a:pt x="3751441" y="302668"/>
                                </a:lnTo>
                                <a:lnTo>
                                  <a:pt x="3763487" y="301983"/>
                                </a:lnTo>
                                <a:lnTo>
                                  <a:pt x="3763260" y="300652"/>
                                </a:lnTo>
                                <a:close/>
                              </a:path>
                              <a:path w="4180840" h="470534">
                                <a:moveTo>
                                  <a:pt x="426310" y="232826"/>
                                </a:moveTo>
                                <a:lnTo>
                                  <a:pt x="437060" y="238122"/>
                                </a:lnTo>
                                <a:lnTo>
                                  <a:pt x="437657" y="236911"/>
                                </a:lnTo>
                                <a:lnTo>
                                  <a:pt x="426310" y="232826"/>
                                </a:lnTo>
                                <a:close/>
                              </a:path>
                              <a:path w="4180840" h="470534">
                                <a:moveTo>
                                  <a:pt x="423634" y="204866"/>
                                </a:moveTo>
                                <a:lnTo>
                                  <a:pt x="415488" y="227493"/>
                                </a:lnTo>
                                <a:lnTo>
                                  <a:pt x="426310" y="232826"/>
                                </a:lnTo>
                                <a:lnTo>
                                  <a:pt x="437657" y="236911"/>
                                </a:lnTo>
                                <a:lnTo>
                                  <a:pt x="448287" y="215338"/>
                                </a:lnTo>
                                <a:lnTo>
                                  <a:pt x="436257" y="209410"/>
                                </a:lnTo>
                                <a:lnTo>
                                  <a:pt x="423634" y="204866"/>
                                </a:lnTo>
                                <a:close/>
                              </a:path>
                              <a:path w="4180840" h="470534">
                                <a:moveTo>
                                  <a:pt x="415488" y="227493"/>
                                </a:moveTo>
                                <a:lnTo>
                                  <a:pt x="415030" y="228765"/>
                                </a:lnTo>
                                <a:lnTo>
                                  <a:pt x="426310" y="232826"/>
                                </a:lnTo>
                                <a:lnTo>
                                  <a:pt x="415488" y="227493"/>
                                </a:lnTo>
                                <a:close/>
                              </a:path>
                              <a:path w="4180840" h="470534">
                                <a:moveTo>
                                  <a:pt x="11226" y="0"/>
                                </a:moveTo>
                                <a:lnTo>
                                  <a:pt x="0" y="22784"/>
                                </a:lnTo>
                                <a:lnTo>
                                  <a:pt x="415488" y="227493"/>
                                </a:lnTo>
                                <a:lnTo>
                                  <a:pt x="423634" y="204866"/>
                                </a:lnTo>
                                <a:lnTo>
                                  <a:pt x="427033" y="204866"/>
                                </a:lnTo>
                                <a:lnTo>
                                  <a:pt x="11226" y="0"/>
                                </a:lnTo>
                                <a:close/>
                              </a:path>
                              <a:path w="4180840" h="470534">
                                <a:moveTo>
                                  <a:pt x="427033" y="204866"/>
                                </a:moveTo>
                                <a:lnTo>
                                  <a:pt x="423634" y="204866"/>
                                </a:lnTo>
                                <a:lnTo>
                                  <a:pt x="436257" y="209410"/>
                                </a:lnTo>
                                <a:lnTo>
                                  <a:pt x="427033" y="204866"/>
                                </a:lnTo>
                                <a:close/>
                              </a:path>
                            </a:pathLst>
                          </a:custGeom>
                          <a:solidFill>
                            <a:srgbClr val="2F7D41"/>
                          </a:solidFill>
                        </wps:spPr>
                        <wps:bodyPr wrap="square" lIns="0" tIns="0" rIns="0" bIns="0" rtlCol="0">
                          <a:prstTxWarp prst="textNoShape">
                            <a:avLst/>
                          </a:prstTxWarp>
                          <a:noAutofit/>
                        </wps:bodyPr>
                      </wps:wsp>
                      <wps:wsp>
                        <wps:cNvPr id="2358" name="Graphic 2358"/>
                        <wps:cNvSpPr/>
                        <wps:spPr>
                          <a:xfrm>
                            <a:off x="553769" y="647204"/>
                            <a:ext cx="4178935" cy="661035"/>
                          </a:xfrm>
                          <a:custGeom>
                            <a:avLst/>
                            <a:gdLst/>
                            <a:ahLst/>
                            <a:cxnLst/>
                            <a:rect l="l" t="t" r="r" b="b"/>
                            <a:pathLst>
                              <a:path w="4178935" h="661035">
                                <a:moveTo>
                                  <a:pt x="417788" y="657118"/>
                                </a:moveTo>
                                <a:lnTo>
                                  <a:pt x="418566" y="660541"/>
                                </a:lnTo>
                                <a:lnTo>
                                  <a:pt x="428965" y="658177"/>
                                </a:lnTo>
                                <a:lnTo>
                                  <a:pt x="417788" y="657118"/>
                                </a:lnTo>
                                <a:close/>
                              </a:path>
                              <a:path w="4178935" h="661035">
                                <a:moveTo>
                                  <a:pt x="439911" y="655688"/>
                                </a:moveTo>
                                <a:lnTo>
                                  <a:pt x="428965" y="658177"/>
                                </a:lnTo>
                                <a:lnTo>
                                  <a:pt x="439580" y="659183"/>
                                </a:lnTo>
                                <a:lnTo>
                                  <a:pt x="439911" y="655688"/>
                                </a:lnTo>
                                <a:close/>
                              </a:path>
                              <a:path w="4178935" h="661035">
                                <a:moveTo>
                                  <a:pt x="427305" y="632506"/>
                                </a:moveTo>
                                <a:lnTo>
                                  <a:pt x="412935" y="635773"/>
                                </a:lnTo>
                                <a:lnTo>
                                  <a:pt x="417788" y="657118"/>
                                </a:lnTo>
                                <a:lnTo>
                                  <a:pt x="428965" y="658177"/>
                                </a:lnTo>
                                <a:lnTo>
                                  <a:pt x="439911" y="655688"/>
                                </a:lnTo>
                                <a:lnTo>
                                  <a:pt x="441975" y="633896"/>
                                </a:lnTo>
                                <a:lnTo>
                                  <a:pt x="427305" y="632506"/>
                                </a:lnTo>
                                <a:close/>
                              </a:path>
                              <a:path w="4178935" h="661035">
                                <a:moveTo>
                                  <a:pt x="2395" y="592250"/>
                                </a:moveTo>
                                <a:lnTo>
                                  <a:pt x="0" y="617537"/>
                                </a:lnTo>
                                <a:lnTo>
                                  <a:pt x="417788" y="657118"/>
                                </a:lnTo>
                                <a:lnTo>
                                  <a:pt x="412935" y="635773"/>
                                </a:lnTo>
                                <a:lnTo>
                                  <a:pt x="427305" y="632506"/>
                                </a:lnTo>
                                <a:lnTo>
                                  <a:pt x="2395" y="592250"/>
                                </a:lnTo>
                                <a:close/>
                              </a:path>
                              <a:path w="4178935" h="661035">
                                <a:moveTo>
                                  <a:pt x="829723" y="541010"/>
                                </a:moveTo>
                                <a:lnTo>
                                  <a:pt x="427305" y="632506"/>
                                </a:lnTo>
                                <a:lnTo>
                                  <a:pt x="441975" y="633896"/>
                                </a:lnTo>
                                <a:lnTo>
                                  <a:pt x="439911" y="655688"/>
                                </a:lnTo>
                                <a:lnTo>
                                  <a:pt x="843850" y="563847"/>
                                </a:lnTo>
                                <a:lnTo>
                                  <a:pt x="829723" y="563847"/>
                                </a:lnTo>
                                <a:lnTo>
                                  <a:pt x="829723" y="541010"/>
                                </a:lnTo>
                                <a:close/>
                              </a:path>
                              <a:path w="4178935" h="661035">
                                <a:moveTo>
                                  <a:pt x="1655928" y="286533"/>
                                </a:moveTo>
                                <a:lnTo>
                                  <a:pt x="1239216" y="547113"/>
                                </a:lnTo>
                                <a:lnTo>
                                  <a:pt x="1252683" y="568648"/>
                                </a:lnTo>
                                <a:lnTo>
                                  <a:pt x="1269418" y="558184"/>
                                </a:lnTo>
                                <a:lnTo>
                                  <a:pt x="1269418" y="538447"/>
                                </a:lnTo>
                                <a:lnTo>
                                  <a:pt x="1300980" y="538447"/>
                                </a:lnTo>
                                <a:lnTo>
                                  <a:pt x="1669468" y="308023"/>
                                </a:lnTo>
                                <a:lnTo>
                                  <a:pt x="1662729" y="308023"/>
                                </a:lnTo>
                                <a:lnTo>
                                  <a:pt x="1655928" y="286533"/>
                                </a:lnTo>
                                <a:close/>
                              </a:path>
                              <a:path w="4178935" h="661035">
                                <a:moveTo>
                                  <a:pt x="851991" y="535947"/>
                                </a:moveTo>
                                <a:lnTo>
                                  <a:pt x="829723" y="541010"/>
                                </a:lnTo>
                                <a:lnTo>
                                  <a:pt x="829723" y="563847"/>
                                </a:lnTo>
                                <a:lnTo>
                                  <a:pt x="843850" y="563847"/>
                                </a:lnTo>
                                <a:lnTo>
                                  <a:pt x="857623" y="560716"/>
                                </a:lnTo>
                                <a:lnTo>
                                  <a:pt x="851991" y="535947"/>
                                </a:lnTo>
                                <a:close/>
                              </a:path>
                              <a:path w="4178935" h="661035">
                                <a:moveTo>
                                  <a:pt x="1253074" y="538447"/>
                                </a:moveTo>
                                <a:lnTo>
                                  <a:pt x="852560" y="538447"/>
                                </a:lnTo>
                                <a:lnTo>
                                  <a:pt x="857623" y="560716"/>
                                </a:lnTo>
                                <a:lnTo>
                                  <a:pt x="843850" y="563847"/>
                                </a:lnTo>
                                <a:lnTo>
                                  <a:pt x="1249681" y="563847"/>
                                </a:lnTo>
                                <a:lnTo>
                                  <a:pt x="1239216" y="547113"/>
                                </a:lnTo>
                                <a:lnTo>
                                  <a:pt x="1253074" y="538447"/>
                                </a:lnTo>
                                <a:close/>
                              </a:path>
                              <a:path w="4178935" h="661035">
                                <a:moveTo>
                                  <a:pt x="1269418" y="558184"/>
                                </a:moveTo>
                                <a:lnTo>
                                  <a:pt x="1260361" y="563847"/>
                                </a:lnTo>
                                <a:lnTo>
                                  <a:pt x="1269418" y="563847"/>
                                </a:lnTo>
                                <a:lnTo>
                                  <a:pt x="1269418" y="558184"/>
                                </a:lnTo>
                                <a:close/>
                              </a:path>
                              <a:path w="4178935" h="661035">
                                <a:moveTo>
                                  <a:pt x="1300980" y="538447"/>
                                </a:moveTo>
                                <a:lnTo>
                                  <a:pt x="1269418" y="538447"/>
                                </a:lnTo>
                                <a:lnTo>
                                  <a:pt x="1269418" y="558184"/>
                                </a:lnTo>
                                <a:lnTo>
                                  <a:pt x="1300980" y="538447"/>
                                </a:lnTo>
                                <a:close/>
                              </a:path>
                              <a:path w="4178935" h="661035">
                                <a:moveTo>
                                  <a:pt x="840996" y="538447"/>
                                </a:moveTo>
                                <a:lnTo>
                                  <a:pt x="829723" y="538447"/>
                                </a:lnTo>
                                <a:lnTo>
                                  <a:pt x="829723" y="541010"/>
                                </a:lnTo>
                                <a:lnTo>
                                  <a:pt x="840996" y="538447"/>
                                </a:lnTo>
                                <a:close/>
                              </a:path>
                              <a:path w="4178935" h="661035">
                                <a:moveTo>
                                  <a:pt x="1676556" y="277006"/>
                                </a:moveTo>
                                <a:lnTo>
                                  <a:pt x="1665640" y="280460"/>
                                </a:lnTo>
                                <a:lnTo>
                                  <a:pt x="1655928" y="286533"/>
                                </a:lnTo>
                                <a:lnTo>
                                  <a:pt x="1662729" y="308023"/>
                                </a:lnTo>
                                <a:lnTo>
                                  <a:pt x="1676373" y="303705"/>
                                </a:lnTo>
                                <a:lnTo>
                                  <a:pt x="1688507" y="296118"/>
                                </a:lnTo>
                                <a:lnTo>
                                  <a:pt x="1676556" y="277006"/>
                                </a:lnTo>
                                <a:close/>
                              </a:path>
                              <a:path w="4178935" h="661035">
                                <a:moveTo>
                                  <a:pt x="1676373" y="303705"/>
                                </a:moveTo>
                                <a:lnTo>
                                  <a:pt x="1662729" y="308023"/>
                                </a:lnTo>
                                <a:lnTo>
                                  <a:pt x="1669468" y="308023"/>
                                </a:lnTo>
                                <a:lnTo>
                                  <a:pt x="1676373" y="303705"/>
                                </a:lnTo>
                                <a:close/>
                              </a:path>
                              <a:path w="4178935" h="661035">
                                <a:moveTo>
                                  <a:pt x="2088729" y="146556"/>
                                </a:moveTo>
                                <a:lnTo>
                                  <a:pt x="1676556" y="277006"/>
                                </a:lnTo>
                                <a:lnTo>
                                  <a:pt x="1688507" y="296118"/>
                                </a:lnTo>
                                <a:lnTo>
                                  <a:pt x="1676373" y="303705"/>
                                </a:lnTo>
                                <a:lnTo>
                                  <a:pt x="2084690" y="174476"/>
                                </a:lnTo>
                                <a:lnTo>
                                  <a:pt x="2076581" y="150700"/>
                                </a:lnTo>
                                <a:lnTo>
                                  <a:pt x="2088729" y="146556"/>
                                </a:lnTo>
                                <a:close/>
                              </a:path>
                              <a:path w="4178935" h="661035">
                                <a:moveTo>
                                  <a:pt x="1665640" y="280460"/>
                                </a:moveTo>
                                <a:lnTo>
                                  <a:pt x="1655065" y="283807"/>
                                </a:lnTo>
                                <a:lnTo>
                                  <a:pt x="1655928" y="286533"/>
                                </a:lnTo>
                                <a:lnTo>
                                  <a:pt x="1665640" y="280460"/>
                                </a:lnTo>
                                <a:close/>
                              </a:path>
                              <a:path w="4178935" h="661035">
                                <a:moveTo>
                                  <a:pt x="1675040" y="274582"/>
                                </a:moveTo>
                                <a:lnTo>
                                  <a:pt x="1665640" y="280460"/>
                                </a:lnTo>
                                <a:lnTo>
                                  <a:pt x="1676556" y="277006"/>
                                </a:lnTo>
                                <a:lnTo>
                                  <a:pt x="1675040" y="274582"/>
                                </a:lnTo>
                                <a:close/>
                              </a:path>
                              <a:path w="4178935" h="661035">
                                <a:moveTo>
                                  <a:pt x="2929485" y="264089"/>
                                </a:moveTo>
                                <a:lnTo>
                                  <a:pt x="2919173" y="266238"/>
                                </a:lnTo>
                                <a:lnTo>
                                  <a:pt x="2926043" y="270143"/>
                                </a:lnTo>
                                <a:lnTo>
                                  <a:pt x="2929485" y="264089"/>
                                </a:lnTo>
                                <a:close/>
                              </a:path>
                              <a:path w="4178935" h="661035">
                                <a:moveTo>
                                  <a:pt x="2910016" y="261033"/>
                                </a:moveTo>
                                <a:lnTo>
                                  <a:pt x="2911437" y="267851"/>
                                </a:lnTo>
                                <a:lnTo>
                                  <a:pt x="2919173" y="266238"/>
                                </a:lnTo>
                                <a:lnTo>
                                  <a:pt x="2910016" y="261033"/>
                                </a:lnTo>
                                <a:close/>
                              </a:path>
                              <a:path w="4178935" h="661035">
                                <a:moveTo>
                                  <a:pt x="2923384" y="239415"/>
                                </a:moveTo>
                                <a:lnTo>
                                  <a:pt x="2906254" y="242985"/>
                                </a:lnTo>
                                <a:lnTo>
                                  <a:pt x="2910016" y="261033"/>
                                </a:lnTo>
                                <a:lnTo>
                                  <a:pt x="2919173" y="266238"/>
                                </a:lnTo>
                                <a:lnTo>
                                  <a:pt x="2929485" y="264089"/>
                                </a:lnTo>
                                <a:lnTo>
                                  <a:pt x="2938595" y="248063"/>
                                </a:lnTo>
                                <a:lnTo>
                                  <a:pt x="2923384" y="239415"/>
                                </a:lnTo>
                                <a:close/>
                              </a:path>
                              <a:path w="4178935" h="661035">
                                <a:moveTo>
                                  <a:pt x="3322687" y="156189"/>
                                </a:moveTo>
                                <a:lnTo>
                                  <a:pt x="2923384" y="239415"/>
                                </a:lnTo>
                                <a:lnTo>
                                  <a:pt x="2938595" y="248063"/>
                                </a:lnTo>
                                <a:lnTo>
                                  <a:pt x="2929485" y="264089"/>
                                </a:lnTo>
                                <a:lnTo>
                                  <a:pt x="3335748" y="179412"/>
                                </a:lnTo>
                                <a:lnTo>
                                  <a:pt x="3323127" y="179412"/>
                                </a:lnTo>
                                <a:lnTo>
                                  <a:pt x="3322687" y="156189"/>
                                </a:lnTo>
                                <a:close/>
                              </a:path>
                              <a:path w="4178935" h="661035">
                                <a:moveTo>
                                  <a:pt x="2517460" y="8657"/>
                                </a:moveTo>
                                <a:lnTo>
                                  <a:pt x="2523115" y="25237"/>
                                </a:lnTo>
                                <a:lnTo>
                                  <a:pt x="2505687" y="31181"/>
                                </a:lnTo>
                                <a:lnTo>
                                  <a:pt x="2910016" y="261033"/>
                                </a:lnTo>
                                <a:lnTo>
                                  <a:pt x="2906254" y="242985"/>
                                </a:lnTo>
                                <a:lnTo>
                                  <a:pt x="2923384" y="239415"/>
                                </a:lnTo>
                                <a:lnTo>
                                  <a:pt x="2517460" y="8657"/>
                                </a:lnTo>
                                <a:close/>
                              </a:path>
                              <a:path w="4178935" h="661035">
                                <a:moveTo>
                                  <a:pt x="3345869" y="153575"/>
                                </a:moveTo>
                                <a:lnTo>
                                  <a:pt x="3334159" y="153797"/>
                                </a:lnTo>
                                <a:lnTo>
                                  <a:pt x="3322687" y="156189"/>
                                </a:lnTo>
                                <a:lnTo>
                                  <a:pt x="3323127" y="179412"/>
                                </a:lnTo>
                                <a:lnTo>
                                  <a:pt x="3337010" y="179149"/>
                                </a:lnTo>
                                <a:lnTo>
                                  <a:pt x="3350608" y="176314"/>
                                </a:lnTo>
                                <a:lnTo>
                                  <a:pt x="3345869" y="153575"/>
                                </a:lnTo>
                                <a:close/>
                              </a:path>
                              <a:path w="4178935" h="661035">
                                <a:moveTo>
                                  <a:pt x="3337010" y="179149"/>
                                </a:moveTo>
                                <a:lnTo>
                                  <a:pt x="3323127" y="179412"/>
                                </a:lnTo>
                                <a:lnTo>
                                  <a:pt x="3335748" y="179412"/>
                                </a:lnTo>
                                <a:lnTo>
                                  <a:pt x="3337010" y="179149"/>
                                </a:lnTo>
                                <a:close/>
                              </a:path>
                              <a:path w="4178935" h="661035">
                                <a:moveTo>
                                  <a:pt x="3748908" y="145936"/>
                                </a:moveTo>
                                <a:lnTo>
                                  <a:pt x="3345869" y="153575"/>
                                </a:lnTo>
                                <a:lnTo>
                                  <a:pt x="3350608" y="176314"/>
                                </a:lnTo>
                                <a:lnTo>
                                  <a:pt x="3337010" y="179149"/>
                                </a:lnTo>
                                <a:lnTo>
                                  <a:pt x="3738768" y="171532"/>
                                </a:lnTo>
                                <a:lnTo>
                                  <a:pt x="3735607" y="147700"/>
                                </a:lnTo>
                                <a:lnTo>
                                  <a:pt x="3748908" y="145936"/>
                                </a:lnTo>
                                <a:close/>
                              </a:path>
                              <a:path w="4178935" h="661035">
                                <a:moveTo>
                                  <a:pt x="2096660" y="170688"/>
                                </a:moveTo>
                                <a:lnTo>
                                  <a:pt x="2084690" y="174476"/>
                                </a:lnTo>
                                <a:lnTo>
                                  <a:pt x="2084780" y="174740"/>
                                </a:lnTo>
                                <a:lnTo>
                                  <a:pt x="2096660" y="170688"/>
                                </a:lnTo>
                                <a:close/>
                              </a:path>
                              <a:path w="4178935" h="661035">
                                <a:moveTo>
                                  <a:pt x="2100977" y="142680"/>
                                </a:moveTo>
                                <a:lnTo>
                                  <a:pt x="2088729" y="146556"/>
                                </a:lnTo>
                                <a:lnTo>
                                  <a:pt x="2076581" y="150700"/>
                                </a:lnTo>
                                <a:lnTo>
                                  <a:pt x="2084690" y="174476"/>
                                </a:lnTo>
                                <a:lnTo>
                                  <a:pt x="2096660" y="170688"/>
                                </a:lnTo>
                                <a:lnTo>
                                  <a:pt x="2108557" y="166631"/>
                                </a:lnTo>
                                <a:lnTo>
                                  <a:pt x="2100977" y="142680"/>
                                </a:lnTo>
                                <a:close/>
                              </a:path>
                              <a:path w="4178935" h="661035">
                                <a:moveTo>
                                  <a:pt x="3750829" y="171304"/>
                                </a:moveTo>
                                <a:lnTo>
                                  <a:pt x="3738768" y="171532"/>
                                </a:lnTo>
                                <a:lnTo>
                                  <a:pt x="3738947" y="172880"/>
                                </a:lnTo>
                                <a:lnTo>
                                  <a:pt x="3750829" y="171304"/>
                                </a:lnTo>
                                <a:close/>
                              </a:path>
                              <a:path w="4178935" h="661035">
                                <a:moveTo>
                                  <a:pt x="3762323" y="145681"/>
                                </a:moveTo>
                                <a:lnTo>
                                  <a:pt x="3748908" y="145936"/>
                                </a:lnTo>
                                <a:lnTo>
                                  <a:pt x="3735607" y="147700"/>
                                </a:lnTo>
                                <a:lnTo>
                                  <a:pt x="3738768" y="171532"/>
                                </a:lnTo>
                                <a:lnTo>
                                  <a:pt x="3750829" y="171304"/>
                                </a:lnTo>
                                <a:lnTo>
                                  <a:pt x="3762780" y="169719"/>
                                </a:lnTo>
                                <a:lnTo>
                                  <a:pt x="3762323" y="145681"/>
                                </a:lnTo>
                                <a:close/>
                              </a:path>
                              <a:path w="4178935" h="661035">
                                <a:moveTo>
                                  <a:pt x="3762780" y="169719"/>
                                </a:moveTo>
                                <a:lnTo>
                                  <a:pt x="3750829" y="171304"/>
                                </a:lnTo>
                                <a:lnTo>
                                  <a:pt x="3762806" y="171077"/>
                                </a:lnTo>
                                <a:lnTo>
                                  <a:pt x="3762780" y="169719"/>
                                </a:lnTo>
                                <a:close/>
                              </a:path>
                              <a:path w="4178935" h="661035">
                                <a:moveTo>
                                  <a:pt x="2108557" y="166631"/>
                                </a:moveTo>
                                <a:lnTo>
                                  <a:pt x="2096660" y="170688"/>
                                </a:lnTo>
                                <a:lnTo>
                                  <a:pt x="2108641" y="166896"/>
                                </a:lnTo>
                                <a:lnTo>
                                  <a:pt x="2108557" y="166631"/>
                                </a:lnTo>
                                <a:close/>
                              </a:path>
                              <a:path w="4178935" h="661035">
                                <a:moveTo>
                                  <a:pt x="3944011" y="145681"/>
                                </a:moveTo>
                                <a:lnTo>
                                  <a:pt x="3762323" y="145681"/>
                                </a:lnTo>
                                <a:lnTo>
                                  <a:pt x="3762780" y="169719"/>
                                </a:lnTo>
                                <a:lnTo>
                                  <a:pt x="3944011" y="145681"/>
                                </a:lnTo>
                                <a:close/>
                              </a:path>
                              <a:path w="4178935" h="661035">
                                <a:moveTo>
                                  <a:pt x="2178778" y="142680"/>
                                </a:moveTo>
                                <a:lnTo>
                                  <a:pt x="2100977" y="142680"/>
                                </a:lnTo>
                                <a:lnTo>
                                  <a:pt x="2108557" y="166631"/>
                                </a:lnTo>
                                <a:lnTo>
                                  <a:pt x="2178778" y="142680"/>
                                </a:lnTo>
                                <a:close/>
                              </a:path>
                              <a:path w="4178935" h="661035">
                                <a:moveTo>
                                  <a:pt x="3334159" y="153797"/>
                                </a:moveTo>
                                <a:lnTo>
                                  <a:pt x="3322646" y="154016"/>
                                </a:lnTo>
                                <a:lnTo>
                                  <a:pt x="3322687" y="156189"/>
                                </a:lnTo>
                                <a:lnTo>
                                  <a:pt x="3334159" y="153797"/>
                                </a:lnTo>
                                <a:close/>
                              </a:path>
                              <a:path w="4178935" h="661035">
                                <a:moveTo>
                                  <a:pt x="3345426" y="151449"/>
                                </a:moveTo>
                                <a:lnTo>
                                  <a:pt x="3334159" y="153797"/>
                                </a:lnTo>
                                <a:lnTo>
                                  <a:pt x="3345869" y="153575"/>
                                </a:lnTo>
                                <a:lnTo>
                                  <a:pt x="3345426" y="151449"/>
                                </a:lnTo>
                                <a:close/>
                              </a:path>
                              <a:path w="4178935" h="661035">
                                <a:moveTo>
                                  <a:pt x="2498336" y="6851"/>
                                </a:moveTo>
                                <a:lnTo>
                                  <a:pt x="2088729" y="146556"/>
                                </a:lnTo>
                                <a:lnTo>
                                  <a:pt x="2100977" y="142680"/>
                                </a:lnTo>
                                <a:lnTo>
                                  <a:pt x="2178778" y="142680"/>
                                </a:lnTo>
                                <a:lnTo>
                                  <a:pt x="2505687" y="31181"/>
                                </a:lnTo>
                                <a:lnTo>
                                  <a:pt x="2489678" y="22080"/>
                                </a:lnTo>
                                <a:lnTo>
                                  <a:pt x="2498336" y="6851"/>
                                </a:lnTo>
                                <a:close/>
                              </a:path>
                              <a:path w="4178935" h="661035">
                                <a:moveTo>
                                  <a:pt x="4175092" y="89410"/>
                                </a:moveTo>
                                <a:lnTo>
                                  <a:pt x="3748908" y="145936"/>
                                </a:lnTo>
                                <a:lnTo>
                                  <a:pt x="3762323" y="145681"/>
                                </a:lnTo>
                                <a:lnTo>
                                  <a:pt x="3944011" y="145681"/>
                                </a:lnTo>
                                <a:lnTo>
                                  <a:pt x="4178432" y="114589"/>
                                </a:lnTo>
                                <a:lnTo>
                                  <a:pt x="4175092" y="89410"/>
                                </a:lnTo>
                                <a:close/>
                              </a:path>
                              <a:path w="4178935" h="661035">
                                <a:moveTo>
                                  <a:pt x="2508304" y="3452"/>
                                </a:moveTo>
                                <a:lnTo>
                                  <a:pt x="2498336" y="6851"/>
                                </a:lnTo>
                                <a:lnTo>
                                  <a:pt x="2489678" y="22080"/>
                                </a:lnTo>
                                <a:lnTo>
                                  <a:pt x="2505687" y="31181"/>
                                </a:lnTo>
                                <a:lnTo>
                                  <a:pt x="2523115" y="25237"/>
                                </a:lnTo>
                                <a:lnTo>
                                  <a:pt x="2517460" y="8657"/>
                                </a:lnTo>
                                <a:lnTo>
                                  <a:pt x="2508304" y="3452"/>
                                </a:lnTo>
                                <a:close/>
                              </a:path>
                              <a:path w="4178935" h="661035">
                                <a:moveTo>
                                  <a:pt x="2514916" y="1196"/>
                                </a:moveTo>
                                <a:lnTo>
                                  <a:pt x="2508304" y="3452"/>
                                </a:lnTo>
                                <a:lnTo>
                                  <a:pt x="2517460" y="8657"/>
                                </a:lnTo>
                                <a:lnTo>
                                  <a:pt x="2514916" y="1196"/>
                                </a:lnTo>
                                <a:close/>
                              </a:path>
                              <a:path w="4178935" h="661035">
                                <a:moveTo>
                                  <a:pt x="2502231" y="0"/>
                                </a:moveTo>
                                <a:lnTo>
                                  <a:pt x="2498336" y="6851"/>
                                </a:lnTo>
                                <a:lnTo>
                                  <a:pt x="2508304" y="3452"/>
                                </a:lnTo>
                                <a:lnTo>
                                  <a:pt x="2502231" y="0"/>
                                </a:lnTo>
                                <a:close/>
                              </a:path>
                            </a:pathLst>
                          </a:custGeom>
                          <a:solidFill>
                            <a:srgbClr val="E3C626"/>
                          </a:solidFill>
                        </wps:spPr>
                        <wps:bodyPr wrap="square" lIns="0" tIns="0" rIns="0" bIns="0" rtlCol="0">
                          <a:prstTxWarp prst="textNoShape">
                            <a:avLst/>
                          </a:prstTxWarp>
                          <a:noAutofit/>
                        </wps:bodyPr>
                      </wps:wsp>
                      <wps:wsp>
                        <wps:cNvPr id="2359" name="Graphic 2359"/>
                        <wps:cNvSpPr/>
                        <wps:spPr>
                          <a:xfrm>
                            <a:off x="537096" y="1292681"/>
                            <a:ext cx="4204335" cy="495300"/>
                          </a:xfrm>
                          <a:custGeom>
                            <a:avLst/>
                            <a:gdLst/>
                            <a:ahLst/>
                            <a:cxnLst/>
                            <a:rect l="l" t="t" r="r" b="b"/>
                            <a:pathLst>
                              <a:path w="4204335" h="495300">
                                <a:moveTo>
                                  <a:pt x="51816" y="0"/>
                                </a:moveTo>
                                <a:lnTo>
                                  <a:pt x="0" y="0"/>
                                </a:lnTo>
                                <a:lnTo>
                                  <a:pt x="0" y="54978"/>
                                </a:lnTo>
                                <a:lnTo>
                                  <a:pt x="51816" y="54978"/>
                                </a:lnTo>
                                <a:lnTo>
                                  <a:pt x="51816" y="0"/>
                                </a:lnTo>
                                <a:close/>
                              </a:path>
                              <a:path w="4204335" h="495300">
                                <a:moveTo>
                                  <a:pt x="466280" y="204203"/>
                                </a:moveTo>
                                <a:lnTo>
                                  <a:pt x="414477" y="204203"/>
                                </a:lnTo>
                                <a:lnTo>
                                  <a:pt x="414477" y="259168"/>
                                </a:lnTo>
                                <a:lnTo>
                                  <a:pt x="466280" y="259168"/>
                                </a:lnTo>
                                <a:lnTo>
                                  <a:pt x="466280" y="204203"/>
                                </a:lnTo>
                                <a:close/>
                              </a:path>
                              <a:path w="4204335" h="495300">
                                <a:moveTo>
                                  <a:pt x="880757" y="353415"/>
                                </a:moveTo>
                                <a:lnTo>
                                  <a:pt x="828954" y="353415"/>
                                </a:lnTo>
                                <a:lnTo>
                                  <a:pt x="828954" y="408393"/>
                                </a:lnTo>
                                <a:lnTo>
                                  <a:pt x="880757" y="408393"/>
                                </a:lnTo>
                                <a:lnTo>
                                  <a:pt x="880757" y="353415"/>
                                </a:lnTo>
                                <a:close/>
                              </a:path>
                              <a:path w="4204335" h="495300">
                                <a:moveTo>
                                  <a:pt x="1295247" y="408393"/>
                                </a:moveTo>
                                <a:lnTo>
                                  <a:pt x="1243431" y="408393"/>
                                </a:lnTo>
                                <a:lnTo>
                                  <a:pt x="1243431" y="463359"/>
                                </a:lnTo>
                                <a:lnTo>
                                  <a:pt x="1295247" y="463359"/>
                                </a:lnTo>
                                <a:lnTo>
                                  <a:pt x="1295247" y="408393"/>
                                </a:lnTo>
                                <a:close/>
                              </a:path>
                              <a:path w="4204335" h="495300">
                                <a:moveTo>
                                  <a:pt x="1709712" y="439813"/>
                                </a:moveTo>
                                <a:lnTo>
                                  <a:pt x="1657908" y="439813"/>
                                </a:lnTo>
                                <a:lnTo>
                                  <a:pt x="1657908" y="494779"/>
                                </a:lnTo>
                                <a:lnTo>
                                  <a:pt x="1709712" y="494779"/>
                                </a:lnTo>
                                <a:lnTo>
                                  <a:pt x="1709712" y="439813"/>
                                </a:lnTo>
                                <a:close/>
                              </a:path>
                              <a:path w="4204335" h="495300">
                                <a:moveTo>
                                  <a:pt x="2131593" y="408393"/>
                                </a:moveTo>
                                <a:lnTo>
                                  <a:pt x="2079790" y="408393"/>
                                </a:lnTo>
                                <a:lnTo>
                                  <a:pt x="2079790" y="463359"/>
                                </a:lnTo>
                                <a:lnTo>
                                  <a:pt x="2131593" y="463359"/>
                                </a:lnTo>
                                <a:lnTo>
                                  <a:pt x="2131593" y="408393"/>
                                </a:lnTo>
                                <a:close/>
                              </a:path>
                              <a:path w="4204335" h="495300">
                                <a:moveTo>
                                  <a:pt x="2546058" y="408393"/>
                                </a:moveTo>
                                <a:lnTo>
                                  <a:pt x="2494254" y="408393"/>
                                </a:lnTo>
                                <a:lnTo>
                                  <a:pt x="2494254" y="463359"/>
                                </a:lnTo>
                                <a:lnTo>
                                  <a:pt x="2546058" y="463359"/>
                                </a:lnTo>
                                <a:lnTo>
                                  <a:pt x="2546058" y="408393"/>
                                </a:lnTo>
                                <a:close/>
                              </a:path>
                              <a:path w="4204335" h="495300">
                                <a:moveTo>
                                  <a:pt x="2960547" y="392684"/>
                                </a:moveTo>
                                <a:lnTo>
                                  <a:pt x="2908731" y="392684"/>
                                </a:lnTo>
                                <a:lnTo>
                                  <a:pt x="2908731" y="447662"/>
                                </a:lnTo>
                                <a:lnTo>
                                  <a:pt x="2960547" y="447662"/>
                                </a:lnTo>
                                <a:lnTo>
                                  <a:pt x="2960547" y="392684"/>
                                </a:lnTo>
                                <a:close/>
                              </a:path>
                              <a:path w="4204335" h="495300">
                                <a:moveTo>
                                  <a:pt x="3375037" y="369125"/>
                                </a:moveTo>
                                <a:lnTo>
                                  <a:pt x="3323209" y="369125"/>
                                </a:lnTo>
                                <a:lnTo>
                                  <a:pt x="3323209" y="424091"/>
                                </a:lnTo>
                                <a:lnTo>
                                  <a:pt x="3375037" y="424091"/>
                                </a:lnTo>
                                <a:lnTo>
                                  <a:pt x="3375037" y="369125"/>
                                </a:lnTo>
                                <a:close/>
                              </a:path>
                              <a:path w="4204335" h="495300">
                                <a:moveTo>
                                  <a:pt x="3789502" y="298437"/>
                                </a:moveTo>
                                <a:lnTo>
                                  <a:pt x="3737699" y="298437"/>
                                </a:lnTo>
                                <a:lnTo>
                                  <a:pt x="3737699" y="353415"/>
                                </a:lnTo>
                                <a:lnTo>
                                  <a:pt x="3789502" y="353415"/>
                                </a:lnTo>
                                <a:lnTo>
                                  <a:pt x="3789502" y="298437"/>
                                </a:lnTo>
                                <a:close/>
                              </a:path>
                              <a:path w="4204335" h="495300">
                                <a:moveTo>
                                  <a:pt x="4203992" y="274878"/>
                                </a:moveTo>
                                <a:lnTo>
                                  <a:pt x="4152176" y="274878"/>
                                </a:lnTo>
                                <a:lnTo>
                                  <a:pt x="4152176" y="329857"/>
                                </a:lnTo>
                                <a:lnTo>
                                  <a:pt x="4203992" y="329857"/>
                                </a:lnTo>
                                <a:lnTo>
                                  <a:pt x="4203992" y="274878"/>
                                </a:lnTo>
                                <a:close/>
                              </a:path>
                            </a:pathLst>
                          </a:custGeom>
                          <a:solidFill>
                            <a:srgbClr val="2F7D41"/>
                          </a:solidFill>
                        </wps:spPr>
                        <wps:bodyPr wrap="square" lIns="0" tIns="0" rIns="0" bIns="0" rtlCol="0">
                          <a:prstTxWarp prst="textNoShape">
                            <a:avLst/>
                          </a:prstTxWarp>
                          <a:noAutofit/>
                        </wps:bodyPr>
                      </wps:wsp>
                      <wps:wsp>
                        <wps:cNvPr id="2360" name="Graphic 2360"/>
                        <wps:cNvSpPr/>
                        <wps:spPr>
                          <a:xfrm>
                            <a:off x="537096" y="632980"/>
                            <a:ext cx="4204335" cy="683260"/>
                          </a:xfrm>
                          <a:custGeom>
                            <a:avLst/>
                            <a:gdLst/>
                            <a:ahLst/>
                            <a:cxnLst/>
                            <a:rect l="l" t="t" r="r" b="b"/>
                            <a:pathLst>
                              <a:path w="4204335" h="683260">
                                <a:moveTo>
                                  <a:pt x="51816" y="589013"/>
                                </a:moveTo>
                                <a:lnTo>
                                  <a:pt x="0" y="589013"/>
                                </a:lnTo>
                                <a:lnTo>
                                  <a:pt x="0" y="644004"/>
                                </a:lnTo>
                                <a:lnTo>
                                  <a:pt x="51816" y="644004"/>
                                </a:lnTo>
                                <a:lnTo>
                                  <a:pt x="51816" y="589013"/>
                                </a:lnTo>
                                <a:close/>
                              </a:path>
                              <a:path w="4204335" h="683260">
                                <a:moveTo>
                                  <a:pt x="466280" y="628281"/>
                                </a:moveTo>
                                <a:lnTo>
                                  <a:pt x="414477" y="628281"/>
                                </a:lnTo>
                                <a:lnTo>
                                  <a:pt x="414477" y="683260"/>
                                </a:lnTo>
                                <a:lnTo>
                                  <a:pt x="466280" y="683260"/>
                                </a:lnTo>
                                <a:lnTo>
                                  <a:pt x="466280" y="628281"/>
                                </a:lnTo>
                                <a:close/>
                              </a:path>
                              <a:path w="4204335" h="683260">
                                <a:moveTo>
                                  <a:pt x="880757" y="534047"/>
                                </a:moveTo>
                                <a:lnTo>
                                  <a:pt x="828954" y="534047"/>
                                </a:lnTo>
                                <a:lnTo>
                                  <a:pt x="828954" y="589013"/>
                                </a:lnTo>
                                <a:lnTo>
                                  <a:pt x="880757" y="589013"/>
                                </a:lnTo>
                                <a:lnTo>
                                  <a:pt x="880757" y="534047"/>
                                </a:lnTo>
                                <a:close/>
                              </a:path>
                              <a:path w="4204335" h="683260">
                                <a:moveTo>
                                  <a:pt x="1295247" y="534047"/>
                                </a:moveTo>
                                <a:lnTo>
                                  <a:pt x="1243431" y="534047"/>
                                </a:lnTo>
                                <a:lnTo>
                                  <a:pt x="1243431" y="589013"/>
                                </a:lnTo>
                                <a:lnTo>
                                  <a:pt x="1295247" y="589013"/>
                                </a:lnTo>
                                <a:lnTo>
                                  <a:pt x="1295247" y="534047"/>
                                </a:lnTo>
                                <a:close/>
                              </a:path>
                              <a:path w="4204335" h="683260">
                                <a:moveTo>
                                  <a:pt x="1709712" y="274878"/>
                                </a:moveTo>
                                <a:lnTo>
                                  <a:pt x="1657908" y="274878"/>
                                </a:lnTo>
                                <a:lnTo>
                                  <a:pt x="1657908" y="329857"/>
                                </a:lnTo>
                                <a:lnTo>
                                  <a:pt x="1709712" y="329857"/>
                                </a:lnTo>
                                <a:lnTo>
                                  <a:pt x="1709712" y="274878"/>
                                </a:lnTo>
                                <a:close/>
                              </a:path>
                              <a:path w="4204335" h="683260">
                                <a:moveTo>
                                  <a:pt x="2131593" y="141363"/>
                                </a:moveTo>
                                <a:lnTo>
                                  <a:pt x="2079790" y="141363"/>
                                </a:lnTo>
                                <a:lnTo>
                                  <a:pt x="2079790" y="196342"/>
                                </a:lnTo>
                                <a:lnTo>
                                  <a:pt x="2131593" y="196342"/>
                                </a:lnTo>
                                <a:lnTo>
                                  <a:pt x="2131593" y="141363"/>
                                </a:lnTo>
                                <a:close/>
                              </a:path>
                              <a:path w="4204335" h="683260">
                                <a:moveTo>
                                  <a:pt x="2546058" y="0"/>
                                </a:moveTo>
                                <a:lnTo>
                                  <a:pt x="2494254" y="0"/>
                                </a:lnTo>
                                <a:lnTo>
                                  <a:pt x="2494254" y="54978"/>
                                </a:lnTo>
                                <a:lnTo>
                                  <a:pt x="2546058" y="54978"/>
                                </a:lnTo>
                                <a:lnTo>
                                  <a:pt x="2546058" y="0"/>
                                </a:lnTo>
                                <a:close/>
                              </a:path>
                              <a:path w="4204335" h="683260">
                                <a:moveTo>
                                  <a:pt x="2960547" y="235610"/>
                                </a:moveTo>
                                <a:lnTo>
                                  <a:pt x="2908731" y="235610"/>
                                </a:lnTo>
                                <a:lnTo>
                                  <a:pt x="2908731" y="290588"/>
                                </a:lnTo>
                                <a:lnTo>
                                  <a:pt x="2960547" y="290588"/>
                                </a:lnTo>
                                <a:lnTo>
                                  <a:pt x="2960547" y="235610"/>
                                </a:lnTo>
                                <a:close/>
                              </a:path>
                              <a:path w="4204335" h="683260">
                                <a:moveTo>
                                  <a:pt x="3375037" y="149225"/>
                                </a:moveTo>
                                <a:lnTo>
                                  <a:pt x="3323209" y="149225"/>
                                </a:lnTo>
                                <a:lnTo>
                                  <a:pt x="3323209" y="204190"/>
                                </a:lnTo>
                                <a:lnTo>
                                  <a:pt x="3375037" y="204190"/>
                                </a:lnTo>
                                <a:lnTo>
                                  <a:pt x="3375037" y="149225"/>
                                </a:lnTo>
                                <a:close/>
                              </a:path>
                              <a:path w="4204335" h="683260">
                                <a:moveTo>
                                  <a:pt x="3789502" y="141363"/>
                                </a:moveTo>
                                <a:lnTo>
                                  <a:pt x="3737699" y="141363"/>
                                </a:lnTo>
                                <a:lnTo>
                                  <a:pt x="3737699" y="196342"/>
                                </a:lnTo>
                                <a:lnTo>
                                  <a:pt x="3789502" y="196342"/>
                                </a:lnTo>
                                <a:lnTo>
                                  <a:pt x="3789502" y="141363"/>
                                </a:lnTo>
                                <a:close/>
                              </a:path>
                              <a:path w="4204335" h="683260">
                                <a:moveTo>
                                  <a:pt x="4203992" y="86385"/>
                                </a:moveTo>
                                <a:lnTo>
                                  <a:pt x="4152176" y="86385"/>
                                </a:lnTo>
                                <a:lnTo>
                                  <a:pt x="4152176" y="141363"/>
                                </a:lnTo>
                                <a:lnTo>
                                  <a:pt x="4203992" y="141363"/>
                                </a:lnTo>
                                <a:lnTo>
                                  <a:pt x="4203992" y="86385"/>
                                </a:lnTo>
                                <a:close/>
                              </a:path>
                            </a:pathLst>
                          </a:custGeom>
                          <a:solidFill>
                            <a:srgbClr val="E3C626"/>
                          </a:solidFill>
                        </wps:spPr>
                        <wps:bodyPr wrap="square" lIns="0" tIns="0" rIns="0" bIns="0" rtlCol="0">
                          <a:prstTxWarp prst="textNoShape">
                            <a:avLst/>
                          </a:prstTxWarp>
                          <a:noAutofit/>
                        </wps:bodyPr>
                      </wps:wsp>
                      <wps:wsp>
                        <wps:cNvPr id="2361" name="Graphic 2361"/>
                        <wps:cNvSpPr/>
                        <wps:spPr>
                          <a:xfrm>
                            <a:off x="3365208" y="157517"/>
                            <a:ext cx="231140" cy="55244"/>
                          </a:xfrm>
                          <a:custGeom>
                            <a:avLst/>
                            <a:gdLst/>
                            <a:ahLst/>
                            <a:cxnLst/>
                            <a:rect l="l" t="t" r="r" b="b"/>
                            <a:pathLst>
                              <a:path w="231140" h="55244">
                                <a:moveTo>
                                  <a:pt x="231101" y="18719"/>
                                </a:moveTo>
                                <a:lnTo>
                                  <a:pt x="137756" y="18719"/>
                                </a:lnTo>
                                <a:lnTo>
                                  <a:pt x="137756" y="0"/>
                                </a:lnTo>
                                <a:lnTo>
                                  <a:pt x="85940" y="0"/>
                                </a:lnTo>
                                <a:lnTo>
                                  <a:pt x="85940" y="18719"/>
                                </a:lnTo>
                                <a:lnTo>
                                  <a:pt x="0" y="18719"/>
                                </a:lnTo>
                                <a:lnTo>
                                  <a:pt x="0" y="44119"/>
                                </a:lnTo>
                                <a:lnTo>
                                  <a:pt x="85940" y="44119"/>
                                </a:lnTo>
                                <a:lnTo>
                                  <a:pt x="85940" y="54978"/>
                                </a:lnTo>
                                <a:lnTo>
                                  <a:pt x="137756" y="54978"/>
                                </a:lnTo>
                                <a:lnTo>
                                  <a:pt x="137756" y="44119"/>
                                </a:lnTo>
                                <a:lnTo>
                                  <a:pt x="231101" y="44119"/>
                                </a:lnTo>
                                <a:lnTo>
                                  <a:pt x="231101" y="18719"/>
                                </a:lnTo>
                                <a:close/>
                              </a:path>
                            </a:pathLst>
                          </a:custGeom>
                          <a:solidFill>
                            <a:srgbClr val="2F7D41"/>
                          </a:solidFill>
                        </wps:spPr>
                        <wps:bodyPr wrap="square" lIns="0" tIns="0" rIns="0" bIns="0" rtlCol="0">
                          <a:prstTxWarp prst="textNoShape">
                            <a:avLst/>
                          </a:prstTxWarp>
                          <a:noAutofit/>
                        </wps:bodyPr>
                      </wps:wsp>
                      <wps:wsp>
                        <wps:cNvPr id="2362" name="Graphic 2362"/>
                        <wps:cNvSpPr/>
                        <wps:spPr>
                          <a:xfrm>
                            <a:off x="4164559" y="157517"/>
                            <a:ext cx="231140" cy="55244"/>
                          </a:xfrm>
                          <a:custGeom>
                            <a:avLst/>
                            <a:gdLst/>
                            <a:ahLst/>
                            <a:cxnLst/>
                            <a:rect l="l" t="t" r="r" b="b"/>
                            <a:pathLst>
                              <a:path w="231140" h="55244">
                                <a:moveTo>
                                  <a:pt x="231089" y="18719"/>
                                </a:moveTo>
                                <a:lnTo>
                                  <a:pt x="137756" y="18719"/>
                                </a:lnTo>
                                <a:lnTo>
                                  <a:pt x="137756" y="0"/>
                                </a:lnTo>
                                <a:lnTo>
                                  <a:pt x="85940" y="0"/>
                                </a:lnTo>
                                <a:lnTo>
                                  <a:pt x="85940" y="18719"/>
                                </a:lnTo>
                                <a:lnTo>
                                  <a:pt x="0" y="18719"/>
                                </a:lnTo>
                                <a:lnTo>
                                  <a:pt x="0" y="44119"/>
                                </a:lnTo>
                                <a:lnTo>
                                  <a:pt x="85940" y="44119"/>
                                </a:lnTo>
                                <a:lnTo>
                                  <a:pt x="85940" y="54978"/>
                                </a:lnTo>
                                <a:lnTo>
                                  <a:pt x="137756" y="54978"/>
                                </a:lnTo>
                                <a:lnTo>
                                  <a:pt x="137756" y="44119"/>
                                </a:lnTo>
                                <a:lnTo>
                                  <a:pt x="231089" y="44119"/>
                                </a:lnTo>
                                <a:lnTo>
                                  <a:pt x="231089" y="18719"/>
                                </a:lnTo>
                                <a:close/>
                              </a:path>
                            </a:pathLst>
                          </a:custGeom>
                          <a:solidFill>
                            <a:srgbClr val="E3C626"/>
                          </a:solidFill>
                        </wps:spPr>
                        <wps:bodyPr wrap="square" lIns="0" tIns="0" rIns="0" bIns="0" rtlCol="0">
                          <a:prstTxWarp prst="textNoShape">
                            <a:avLst/>
                          </a:prstTxWarp>
                          <a:noAutofit/>
                        </wps:bodyPr>
                      </wps:wsp>
                      <wps:wsp>
                        <wps:cNvPr id="2363" name="Textbox 2363"/>
                        <wps:cNvSpPr txBox="1"/>
                        <wps:spPr>
                          <a:xfrm>
                            <a:off x="3640985" y="124413"/>
                            <a:ext cx="442595"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Public</w:t>
                              </w:r>
                              <w:r>
                                <w:rPr>
                                  <w:rFonts w:ascii="Arial MT"/>
                                  <w:spacing w:val="-5"/>
                                  <w:sz w:val="14"/>
                                </w:rPr>
                                <w:t> </w:t>
                              </w:r>
                              <w:r>
                                <w:rPr>
                                  <w:rFonts w:ascii="Arial MT"/>
                                  <w:spacing w:val="-2"/>
                                  <w:w w:val="85"/>
                                  <w:sz w:val="14"/>
                                </w:rPr>
                                <w:t>Sector</w:t>
                              </w:r>
                            </w:p>
                          </w:txbxContent>
                        </wps:txbx>
                        <wps:bodyPr wrap="square" lIns="0" tIns="0" rIns="0" bIns="0" rtlCol="0">
                          <a:noAutofit/>
                        </wps:bodyPr>
                      </wps:wsp>
                      <wps:wsp>
                        <wps:cNvPr id="2364" name="Textbox 2364"/>
                        <wps:cNvSpPr txBox="1"/>
                        <wps:spPr>
                          <a:xfrm>
                            <a:off x="4436688" y="124413"/>
                            <a:ext cx="471170" cy="102235"/>
                          </a:xfrm>
                          <a:prstGeom prst="rect">
                            <a:avLst/>
                          </a:prstGeom>
                        </wps:spPr>
                        <wps:txbx>
                          <w:txbxContent>
                            <w:p>
                              <w:pPr>
                                <w:spacing w:line="161" w:lineRule="exact" w:before="0"/>
                                <w:ind w:left="0" w:right="0" w:firstLine="0"/>
                                <w:jc w:val="left"/>
                                <w:rPr>
                                  <w:rFonts w:ascii="Arial MT"/>
                                  <w:sz w:val="14"/>
                                </w:rPr>
                              </w:pPr>
                              <w:r>
                                <w:rPr>
                                  <w:rFonts w:ascii="Arial MT"/>
                                  <w:w w:val="80"/>
                                  <w:sz w:val="14"/>
                                </w:rPr>
                                <w:t>Private</w:t>
                              </w:r>
                              <w:r>
                                <w:rPr>
                                  <w:rFonts w:ascii="Arial MT"/>
                                  <w:spacing w:val="1"/>
                                  <w:sz w:val="14"/>
                                </w:rPr>
                                <w:t> </w:t>
                              </w:r>
                              <w:r>
                                <w:rPr>
                                  <w:rFonts w:ascii="Arial MT"/>
                                  <w:spacing w:val="-2"/>
                                  <w:w w:val="85"/>
                                  <w:sz w:val="14"/>
                                </w:rPr>
                                <w:t>Sector</w:t>
                              </w:r>
                            </w:p>
                          </w:txbxContent>
                        </wps:txbx>
                        <wps:bodyPr wrap="square" lIns="0" tIns="0" rIns="0" bIns="0" rtlCol="0">
                          <a:noAutofit/>
                        </wps:bodyPr>
                      </wps:wsp>
                      <wps:wsp>
                        <wps:cNvPr id="2365" name="Textbox 2365"/>
                        <wps:cNvSpPr txBox="1"/>
                        <wps:spPr>
                          <a:xfrm>
                            <a:off x="208232" y="306816"/>
                            <a:ext cx="93980" cy="1740535"/>
                          </a:xfrm>
                          <a:prstGeom prst="rect">
                            <a:avLst/>
                          </a:prstGeom>
                        </wps:spPr>
                        <wps:txbx>
                          <w:txbxContent>
                            <w:p>
                              <w:pPr>
                                <w:spacing w:line="161" w:lineRule="exact" w:before="0"/>
                                <w:ind w:left="0" w:right="0" w:firstLine="0"/>
                                <w:jc w:val="left"/>
                                <w:rPr>
                                  <w:rFonts w:ascii="Arial MT"/>
                                  <w:sz w:val="14"/>
                                </w:rPr>
                              </w:pPr>
                              <w:r>
                                <w:rPr>
                                  <w:rFonts w:ascii="Arial MT"/>
                                  <w:spacing w:val="-5"/>
                                  <w:w w:val="90"/>
                                  <w:sz w:val="14"/>
                                </w:rPr>
                                <w:t>12</w:t>
                              </w:r>
                            </w:p>
                            <w:p>
                              <w:pPr>
                                <w:spacing w:line="240" w:lineRule="auto" w:before="108"/>
                                <w:rPr>
                                  <w:rFonts w:ascii="Arial MT"/>
                                  <w:sz w:val="14"/>
                                </w:rPr>
                              </w:pPr>
                            </w:p>
                            <w:p>
                              <w:pPr>
                                <w:spacing w:before="0"/>
                                <w:ind w:left="0" w:right="0" w:firstLine="0"/>
                                <w:jc w:val="left"/>
                                <w:rPr>
                                  <w:rFonts w:ascii="Arial MT"/>
                                  <w:sz w:val="14"/>
                                </w:rPr>
                              </w:pPr>
                              <w:r>
                                <w:rPr>
                                  <w:rFonts w:ascii="Arial MT"/>
                                  <w:spacing w:val="-5"/>
                                  <w:w w:val="90"/>
                                  <w:sz w:val="14"/>
                                </w:rPr>
                                <w:t>10</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8</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6</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4</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2</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0</w:t>
                              </w:r>
                            </w:p>
                          </w:txbxContent>
                        </wps:txbx>
                        <wps:bodyPr wrap="square" lIns="0" tIns="0" rIns="0" bIns="0" rtlCol="0">
                          <a:noAutofit/>
                        </wps:bodyPr>
                      </wps:wsp>
                      <wps:wsp>
                        <wps:cNvPr id="2366" name="Textbox 2366"/>
                        <wps:cNvSpPr txBox="1"/>
                        <wps:spPr>
                          <a:xfrm>
                            <a:off x="415414" y="2048645"/>
                            <a:ext cx="4457700" cy="102235"/>
                          </a:xfrm>
                          <a:prstGeom prst="rect">
                            <a:avLst/>
                          </a:prstGeom>
                        </wps:spPr>
                        <wps:txbx>
                          <w:txbxContent>
                            <w:p>
                              <w:pPr>
                                <w:tabs>
                                  <w:tab w:pos="681" w:val="left" w:leader="none"/>
                                  <w:tab w:pos="1328" w:val="left" w:leader="none"/>
                                  <w:tab w:pos="3285" w:val="left" w:leader="none"/>
                                  <w:tab w:pos="3939" w:val="left" w:leader="none"/>
                                  <w:tab w:pos="4606" w:val="left" w:leader="none"/>
                                  <w:tab w:pos="5253" w:val="left" w:leader="none"/>
                                  <w:tab w:pos="5907" w:val="left" w:leader="none"/>
                                  <w:tab w:pos="6577" w:val="left" w:leader="none"/>
                                </w:tabs>
                                <w:spacing w:line="161" w:lineRule="exact" w:before="0"/>
                                <w:ind w:left="0" w:right="0" w:firstLine="0"/>
                                <w:jc w:val="left"/>
                                <w:rPr>
                                  <w:rFonts w:ascii="Arial MT"/>
                                  <w:sz w:val="14"/>
                                </w:rPr>
                              </w:pPr>
                              <w:r>
                                <w:rPr>
                                  <w:rFonts w:ascii="Arial MT"/>
                                  <w:w w:val="80"/>
                                  <w:sz w:val="14"/>
                                </w:rPr>
                                <w:t>1980-</w:t>
                              </w:r>
                              <w:r>
                                <w:rPr>
                                  <w:rFonts w:ascii="Arial MT"/>
                                  <w:spacing w:val="-5"/>
                                  <w:w w:val="90"/>
                                  <w:sz w:val="14"/>
                                </w:rPr>
                                <w:t>85</w:t>
                              </w:r>
                              <w:r>
                                <w:rPr>
                                  <w:rFonts w:ascii="Arial MT"/>
                                  <w:sz w:val="14"/>
                                </w:rPr>
                                <w:tab/>
                              </w:r>
                              <w:r>
                                <w:rPr>
                                  <w:rFonts w:ascii="Arial MT"/>
                                  <w:w w:val="80"/>
                                  <w:sz w:val="14"/>
                                </w:rPr>
                                <w:t>1985-</w:t>
                              </w:r>
                              <w:r>
                                <w:rPr>
                                  <w:rFonts w:ascii="Arial MT"/>
                                  <w:spacing w:val="-5"/>
                                  <w:w w:val="90"/>
                                  <w:sz w:val="14"/>
                                </w:rPr>
                                <w:t>90</w:t>
                              </w:r>
                              <w:r>
                                <w:rPr>
                                  <w:rFonts w:ascii="Arial MT"/>
                                  <w:sz w:val="14"/>
                                </w:rPr>
                                <w:tab/>
                              </w:r>
                              <w:r>
                                <w:rPr>
                                  <w:rFonts w:ascii="Arial MT"/>
                                  <w:w w:val="85"/>
                                  <w:sz w:val="14"/>
                                </w:rPr>
                                <w:t>1990-95</w:t>
                              </w:r>
                              <w:r>
                                <w:rPr>
                                  <w:rFonts w:ascii="Arial MT"/>
                                  <w:spacing w:val="78"/>
                                  <w:w w:val="150"/>
                                  <w:sz w:val="14"/>
                                </w:rPr>
                                <w:t> </w:t>
                              </w:r>
                              <w:r>
                                <w:rPr>
                                  <w:rFonts w:ascii="Arial MT"/>
                                  <w:w w:val="85"/>
                                  <w:sz w:val="14"/>
                                </w:rPr>
                                <w:t>1995-2000</w:t>
                              </w:r>
                              <w:r>
                                <w:rPr>
                                  <w:rFonts w:ascii="Arial MT"/>
                                  <w:spacing w:val="31"/>
                                  <w:sz w:val="14"/>
                                </w:rPr>
                                <w:t>  </w:t>
                              </w:r>
                              <w:r>
                                <w:rPr>
                                  <w:rFonts w:ascii="Arial MT"/>
                                  <w:w w:val="85"/>
                                  <w:sz w:val="14"/>
                                </w:rPr>
                                <w:t>2000-</w:t>
                              </w:r>
                              <w:r>
                                <w:rPr>
                                  <w:rFonts w:ascii="Arial MT"/>
                                  <w:spacing w:val="-5"/>
                                  <w:w w:val="85"/>
                                  <w:sz w:val="14"/>
                                </w:rPr>
                                <w:t>01</w:t>
                              </w:r>
                              <w:r>
                                <w:rPr>
                                  <w:rFonts w:ascii="Arial MT"/>
                                  <w:sz w:val="14"/>
                                </w:rPr>
                                <w:tab/>
                              </w:r>
                              <w:r>
                                <w:rPr>
                                  <w:rFonts w:ascii="Arial MT"/>
                                  <w:w w:val="80"/>
                                  <w:sz w:val="14"/>
                                </w:rPr>
                                <w:t>2001-</w:t>
                              </w:r>
                              <w:r>
                                <w:rPr>
                                  <w:rFonts w:ascii="Arial MT"/>
                                  <w:spacing w:val="-5"/>
                                  <w:w w:val="90"/>
                                  <w:sz w:val="14"/>
                                </w:rPr>
                                <w:t>02</w:t>
                              </w:r>
                              <w:r>
                                <w:rPr>
                                  <w:rFonts w:ascii="Arial MT"/>
                                  <w:sz w:val="14"/>
                                </w:rPr>
                                <w:tab/>
                              </w:r>
                              <w:r>
                                <w:rPr>
                                  <w:rFonts w:ascii="Arial MT"/>
                                  <w:w w:val="80"/>
                                  <w:sz w:val="14"/>
                                </w:rPr>
                                <w:t>2002-</w:t>
                              </w:r>
                              <w:r>
                                <w:rPr>
                                  <w:rFonts w:ascii="Arial MT"/>
                                  <w:spacing w:val="-5"/>
                                  <w:w w:val="90"/>
                                  <w:sz w:val="14"/>
                                </w:rPr>
                                <w:t>03</w:t>
                              </w:r>
                              <w:r>
                                <w:rPr>
                                  <w:rFonts w:ascii="Arial MT"/>
                                  <w:sz w:val="14"/>
                                </w:rPr>
                                <w:tab/>
                              </w:r>
                              <w:r>
                                <w:rPr>
                                  <w:rFonts w:ascii="Arial MT"/>
                                  <w:w w:val="80"/>
                                  <w:sz w:val="14"/>
                                </w:rPr>
                                <w:t>2003-</w:t>
                              </w:r>
                              <w:r>
                                <w:rPr>
                                  <w:rFonts w:ascii="Arial MT"/>
                                  <w:spacing w:val="-5"/>
                                  <w:w w:val="90"/>
                                  <w:sz w:val="14"/>
                                </w:rPr>
                                <w:t>04</w:t>
                              </w:r>
                              <w:r>
                                <w:rPr>
                                  <w:rFonts w:ascii="Arial MT"/>
                                  <w:sz w:val="14"/>
                                </w:rPr>
                                <w:tab/>
                              </w:r>
                              <w:r>
                                <w:rPr>
                                  <w:rFonts w:ascii="Arial MT"/>
                                  <w:w w:val="80"/>
                                  <w:sz w:val="14"/>
                                </w:rPr>
                                <w:t>2004-</w:t>
                              </w:r>
                              <w:r>
                                <w:rPr>
                                  <w:rFonts w:ascii="Arial MT"/>
                                  <w:spacing w:val="-5"/>
                                  <w:w w:val="90"/>
                                  <w:sz w:val="14"/>
                                </w:rPr>
                                <w:t>05</w:t>
                              </w:r>
                              <w:r>
                                <w:rPr>
                                  <w:rFonts w:ascii="Arial MT"/>
                                  <w:sz w:val="14"/>
                                </w:rPr>
                                <w:tab/>
                              </w:r>
                              <w:r>
                                <w:rPr>
                                  <w:rFonts w:ascii="Arial MT"/>
                                  <w:w w:val="80"/>
                                  <w:sz w:val="14"/>
                                </w:rPr>
                                <w:t>2005-</w:t>
                              </w:r>
                              <w:r>
                                <w:rPr>
                                  <w:rFonts w:ascii="Arial MT"/>
                                  <w:spacing w:val="-5"/>
                                  <w:w w:val="90"/>
                                  <w:sz w:val="14"/>
                                </w:rPr>
                                <w:t>06</w:t>
                              </w:r>
                              <w:r>
                                <w:rPr>
                                  <w:rFonts w:ascii="Arial MT"/>
                                  <w:sz w:val="14"/>
                                </w:rPr>
                                <w:tab/>
                              </w:r>
                              <w:r>
                                <w:rPr>
                                  <w:rFonts w:ascii="Arial MT"/>
                                  <w:w w:val="80"/>
                                  <w:sz w:val="14"/>
                                </w:rPr>
                                <w:t>2006-</w:t>
                              </w:r>
                              <w:r>
                                <w:rPr>
                                  <w:rFonts w:ascii="Arial MT"/>
                                  <w:spacing w:val="-5"/>
                                  <w:w w:val="90"/>
                                  <w:sz w:val="14"/>
                                </w:rPr>
                                <w:t>07</w:t>
                              </w:r>
                            </w:p>
                          </w:txbxContent>
                        </wps:txbx>
                        <wps:bodyPr wrap="square" lIns="0" tIns="0" rIns="0" bIns="0" rtlCol="0">
                          <a:noAutofit/>
                        </wps:bodyPr>
                      </wps:wsp>
                    </wpg:wgp>
                  </a:graphicData>
                </a:graphic>
              </wp:anchor>
            </w:drawing>
          </mc:Choice>
          <mc:Fallback>
            <w:pict>
              <v:group style="position:absolute;margin-left:99.814941pt;margin-top:38.200001pt;width:397.35pt;height:177.1pt;mso-position-horizontal-relative:page;mso-position-vertical-relative:paragraph;z-index:15900672" id="docshapegroup2295" coordorigin="1996,764" coordsize="7947,3542">
                <v:shape style="position:absolute;left:1996;top:764;width:7947;height:3542" id="docshape2296" coordorigin="1996,764" coordsize="7947,3542" path="m2554,1335l2521,1335,2511,1335,2511,1335,2511,1345,2511,1345,2511,1768,2511,1768,2511,1778,2511,1778,2511,2201,2511,2201,2511,2211,2511,2211,2511,2634,2511,2634,2511,2644,2511,2644,2511,3054,2511,3054,2511,3064,2511,3064,2511,3487,2511,3487,2511,3497,2511,3497,2511,3920,2511,3920,2511,3930,2511,3930,2511,3967,2514,3967,2517,3967,2520,3967,2521,3967,2523,3967,2524,3967,2526,3967,2527,3967,2529,3967,2530,3967,2532,3967,2533,3967,2535,3967,2536,3967,2538,3967,2539,3967,2541,3967,2542,3967,2544,3967,2545,3967,2548,3967,2551,3967,2554,3967,2554,3920,2551,3920,2548,3920,2545,3920,2544,3920,2542,3920,2541,3920,2539,3920,2538,3920,2536,3920,2535,3920,2533,3920,2532,3920,2530,3920,2529,3920,2527,3920,2526,3920,2524,3920,2523,3920,2521,3920,2521,3497,2554,3497,2554,3487,2521,3487,2521,3064,2554,3064,2554,3054,2521,3054,2521,2644,2554,2644,2554,2634,2521,2634,2521,2211,2554,2211,2554,2201,2521,2201,2521,1778,2554,1778,2554,1768,2521,1768,2521,1345,2554,1345,2554,1335xm9943,764l9933,764,9933,768,9933,768,9933,773,9933,774,9933,4296,9933,4297,9933,4302,9933,4302,2001,4302,2001,4302,2006,4302,9933,4302,9933,4297,2006,4297,2001,4297,2001,4296,2006,4296,2006,774,2001,774,2001,773,2006,773,9933,773,9933,768,2006,768,2001,768,2001,768,9933,768,9933,764,1996,764,1996,768,1996,774,1996,4296,1996,4302,1996,4306,9943,4306,9943,4302,9938,4302,9938,4302,9943,4302,9943,4297,9938,4297,9938,4296,9943,4296,9943,774,9938,774,9938,773,9943,773,9943,768,9938,768,9938,768,9943,768,9943,764xe" filled="true" fillcolor="#000000" stroked="false">
                  <v:path arrowok="t"/>
                  <v:fill type="solid"/>
                </v:shape>
                <v:shape style="position:absolute;left:2863;top:2822;width:6584;height:741" id="docshape2297" coordorigin="2864,2823" coordsize="6584,741" path="m5519,3560l5500,3562,5519,3563,5519,3560xm5482,3560l5482,3563,5500,3562,5482,3560xm5500,3522l5479,3523,5482,3560,5500,3562,5519,3560,5522,3523,5500,3522xm6144,3474l5500,3522,5522,3523,5519,3560,6165,3512,6144,3512,6144,3474xm4850,3472l4870,3475,4865,3514,5482,3560,5479,3523,5500,3522,4850,3472xm4846,3512l4865,3515,4865,3514,4846,3512xm4829,3471l4826,3510,4846,3512,4865,3514,4870,3475,4850,3472,4829,3471xm7468,3448l6796,3473,6797,3513,6837,3512,6837,3472,7449,3472,7448,3449,7468,3448xm6183,3471l6144,3474,6144,3512,6165,3512,6186,3511,6183,3471xm6816,3472l6183,3472,6186,3511,6165,3512,6797,3512,6796,3473,6816,3472xm6837,3512l6817,3512,6837,3512,6837,3512xm4826,3510l4826,3511,4846,3512,4826,3510xm7449,3472l6837,3472,6837,3512,7450,3488,7449,3472xm4200,3386l4221,3394,4209,3428,4826,3510,4829,3471,4838,3471,4200,3386xm7470,3488l7450,3488,7450,3489,7470,3488xm7488,3447l7468,3448,7448,3449,7450,3488,7470,3488,7490,3486,7488,3447xm7490,3486l7470,3488,7490,3487,7490,3486xm8104,3447l7488,3447,7490,3486,8105,3451,8104,3447xm6164,3472l6144,3472,6144,3474,6164,3472xm4838,3471l4829,3471,4850,3472,4838,3471xm8124,3450l8105,3451,8105,3454,8124,3450xm8140,3409l8119,3411,8098,3414,8105,3451,8124,3450,8142,3447,8140,3409xm8142,3447l8124,3450,8143,3449,8142,3447xm8119,3411l7468,3448,7488,3447,8104,3447,8098,3414,8119,3411xm8364,3409l8140,3409,8142,3447,8364,3409xm4191,3425l4207,3431,4209,3428,4191,3425xm4178,3383l4173,3419,4191,3425,4209,3428,4221,3394,4200,3386,4178,3383xm4173,3419l4173,3423,4191,3425,4173,3419xm3551,3152l3570,3162,3553,3196,4173,3419,4178,3383,4192,3383,3551,3152xm8753,3302l8119,3411,8140,3409,8364,3409,8769,3340,8755,3340,8753,3302xm4192,3383l4178,3383,4200,3386,4192,3383xm8791,3298l8772,3299,8753,3302,8755,3340,8776,3339,8797,3336,8791,3298xm8776,3339l8755,3340,8769,3340,8776,3339xm9445,3261l8791,3298,8797,3336,8776,3339,9447,3301,9445,3261xm8772,3299l8753,3300,8753,3302,8772,3299xm8790,3296l8772,3299,8791,3298,8790,3296xm3535,3189l3552,3198,3553,3196,3535,3189xm3531,3145l3518,3181,3535,3189,3553,3196,3570,3162,3551,3152,3531,3145xm3518,3181l3517,3183,3535,3189,3518,3181xm2881,2823l2864,2859,3518,3181,3531,3145,3536,3145,2881,2823xm3536,3145l3531,3145,3551,3152,3536,3145xe" filled="true" fillcolor="#2f7d41" stroked="false">
                  <v:path arrowok="t"/>
                  <v:fill type="solid"/>
                </v:shape>
                <v:shape style="position:absolute;left:2868;top:1783;width:6581;height:1041" id="docshape2298" coordorigin="2868,1783" coordsize="6581,1041" path="m3526,2818l3528,2823,3544,2820,3526,2818xm3561,2816l3544,2820,3561,2821,3561,2816xm3541,2779l3519,2784,3526,2818,3544,2820,3561,2816,3564,2781,3541,2779xm2872,2716l2868,2756,3526,2818,3519,2784,3541,2779,2872,2716xm4175,2635l3541,2779,3564,2781,3561,2816,4197,2671,4175,2671,4175,2635xm5476,2234l4820,2645,4841,2679,4867,2662,4867,2631,4917,2631,5497,2268,5487,2268,5476,2234xm4210,2627l4175,2635,4175,2671,4197,2671,4219,2666,4210,2627xm4842,2631l4211,2631,4219,2666,4197,2671,4836,2671,4820,2645,4842,2631xm4867,2662l4853,2671,4867,2671,4867,2662xm4917,2631l4867,2631,4867,2662,4917,2631xm4193,2631l4175,2631,4175,2635,4193,2631xm5509,2219l5491,2225,5476,2234,5487,2268,5508,2261,5527,2250,5509,2219xm5508,2261l5487,2268,5497,2268,5508,2261xm6158,2014l5509,2219,5527,2250,5508,2261,6151,2058,6139,2021,6158,2014xm5491,2225l5475,2230,5476,2234,5491,2225xm5506,2216l5491,2225,5509,2219,5506,2216xm7482,2199l7466,2202,7476,2209,7482,2199xm7451,2194l7453,2205,7466,2202,7451,2194xm7472,2160l7445,2166,7451,2194,7466,2202,7482,2199,7496,2174,7472,2160xm8101,2029l7472,2160,7496,2174,7482,2199,8122,2066,8102,2066,8101,2029xm6833,1797l6842,1823,6814,1832,7451,2194,7445,2166,7472,2160,6833,1797xm8137,2025l8119,2025,8101,2029,8102,2066,8124,2065,8145,2061,8137,2025xm8124,2065l8102,2066,8122,2066,8124,2065xm8772,2013l8137,2025,8145,2061,8124,2065,8756,2053,8751,2016,8772,2013xm6170,2052l6151,2058,6151,2058,6170,2052xm6177,2008l6158,2014,6139,2021,6151,2058,6170,2052,6189,2046,6177,2008xm8775,2053l8756,2053,8756,2055,8775,2053xm8793,2013l8772,2013,8751,2016,8756,2053,8775,2053,8794,2050,8793,2013xm8794,2050l8775,2053,8794,2053,8794,2050xm6189,2046l6170,2052,6189,2046,6189,2046xm9079,2013l8793,2013,8794,2050,9079,2013xm6300,2008l6177,2008,6189,2046,6300,2008xm8119,2025l8101,2026,8101,2029,8119,2025xm8137,2022l8119,2025,8137,2025,8137,2022xm6803,1794l6158,2014,6177,2008,6300,2008,6814,1832,6789,1818,6803,1794xm9443,1924l8772,2013,8793,2013,9079,2013,9449,1964,9443,1924xm6818,1789l6803,1794,6789,1818,6814,1832,6842,1823,6833,1797,6818,1789xm6829,1785l6818,1789,6833,1797,6829,1785xm6809,1783l6803,1794,6818,1789,6809,1783xe" filled="true" fillcolor="#e3c626" stroked="false">
                  <v:path arrowok="t"/>
                  <v:fill type="solid"/>
                </v:shape>
                <v:shape style="position:absolute;left:2842;top:2799;width:6621;height:780" id="docshape2299" coordorigin="2842,2800" coordsize="6621,780" path="m2924,2800l2842,2800,2842,2886,2924,2886,2924,2800xm3576,3121l3495,3121,3495,3208,3576,3208,3576,3121xm4229,3356l4148,3356,4148,3443,4229,3443,4229,3356xm4882,3443l4800,3443,4800,3529,4882,3529,4882,3443xm5535,3492l5453,3492,5453,3579,5535,3579,5535,3492xm6199,3443l6117,3443,6117,3529,6199,3529,6199,3443xm6852,3443l6770,3443,6770,3529,6852,3529,6852,3443xm7504,3418l7423,3418,7423,3505,7504,3505,7504,3418xm8157,3381l8076,3381,8076,3468,8157,3468,8157,3381xm8810,3270l8728,3270,8728,3356,8810,3356,8810,3270xm9463,3233l9381,3233,9381,3319,9463,3319,9463,3233xe" filled="true" fillcolor="#2f7d41" stroked="false">
                  <v:path arrowok="t"/>
                  <v:fill type="solid"/>
                </v:shape>
                <v:shape style="position:absolute;left:2842;top:1760;width:6621;height:1076" id="docshape2300" coordorigin="2842,1761" coordsize="6621,1076" path="m2924,2688l2842,2688,2842,2775,2924,2775,2924,2688xm3576,2750l3495,2750,3495,2837,3576,2837,3576,2750xm4229,2602l4148,2602,4148,2688,4229,2688,4229,2602xm4882,2602l4800,2602,4800,2688,4882,2688,4882,2602xm5535,2194l5453,2194,5453,2280,5535,2280,5535,2194xm6199,1983l6117,1983,6117,2070,6199,2070,6199,1983xm6852,1761l6770,1761,6770,1847,6852,1847,6852,1761xm7504,2132l7423,2132,7423,2218,7504,2218,7504,2132xm8157,1996l8076,1996,8076,2082,8157,2082,8157,1996xm8810,1983l8728,1983,8728,2070,8810,2070,8810,1983xm9463,1897l9381,1897,9381,1983,9463,1983,9463,1897xe" filled="true" fillcolor="#e3c626" stroked="false">
                  <v:path arrowok="t"/>
                  <v:fill type="solid"/>
                </v:shape>
                <v:shape style="position:absolute;left:7295;top:1012;width:364;height:87" id="docshape2301" coordorigin="7296,1012" coordsize="364,87" path="m7660,1042l7513,1042,7513,1012,7431,1012,7431,1042,7296,1042,7296,1082,7431,1082,7431,1099,7513,1099,7513,1082,7660,1082,7660,1042xe" filled="true" fillcolor="#2f7d41" stroked="false">
                  <v:path arrowok="t"/>
                  <v:fill type="solid"/>
                </v:shape>
                <v:shape style="position:absolute;left:8554;top:1012;width:364;height:87" id="docshape2302" coordorigin="8555,1012" coordsize="364,87" path="m8919,1042l8772,1042,8772,1012,8690,1012,8690,1042,8555,1042,8555,1082,8690,1082,8690,1099,8772,1099,8772,1082,8919,1082,8919,1042xe" filled="true" fillcolor="#e3c626" stroked="false">
                  <v:path arrowok="t"/>
                  <v:fill type="solid"/>
                </v:shape>
                <v:shape style="position:absolute;left:7730;top:959;width:697;height:161" type="#_x0000_t202" id="docshape2303" filled="false" stroked="false">
                  <v:textbox inset="0,0,0,0">
                    <w:txbxContent>
                      <w:p>
                        <w:pPr>
                          <w:spacing w:line="161" w:lineRule="exact" w:before="0"/>
                          <w:ind w:left="0" w:right="0" w:firstLine="0"/>
                          <w:jc w:val="left"/>
                          <w:rPr>
                            <w:rFonts w:ascii="Arial MT"/>
                            <w:sz w:val="14"/>
                          </w:rPr>
                        </w:pPr>
                        <w:r>
                          <w:rPr>
                            <w:rFonts w:ascii="Arial MT"/>
                            <w:w w:val="80"/>
                            <w:sz w:val="14"/>
                          </w:rPr>
                          <w:t>Public</w:t>
                        </w:r>
                        <w:r>
                          <w:rPr>
                            <w:rFonts w:ascii="Arial MT"/>
                            <w:spacing w:val="-5"/>
                            <w:sz w:val="14"/>
                          </w:rPr>
                          <w:t> </w:t>
                        </w:r>
                        <w:r>
                          <w:rPr>
                            <w:rFonts w:ascii="Arial MT"/>
                            <w:spacing w:val="-2"/>
                            <w:w w:val="85"/>
                            <w:sz w:val="14"/>
                          </w:rPr>
                          <w:t>Sector</w:t>
                        </w:r>
                      </w:p>
                    </w:txbxContent>
                  </v:textbox>
                  <w10:wrap type="none"/>
                </v:shape>
                <v:shape style="position:absolute;left:8983;top:959;width:742;height:161" type="#_x0000_t202" id="docshape2304" filled="false" stroked="false">
                  <v:textbox inset="0,0,0,0">
                    <w:txbxContent>
                      <w:p>
                        <w:pPr>
                          <w:spacing w:line="161" w:lineRule="exact" w:before="0"/>
                          <w:ind w:left="0" w:right="0" w:firstLine="0"/>
                          <w:jc w:val="left"/>
                          <w:rPr>
                            <w:rFonts w:ascii="Arial MT"/>
                            <w:sz w:val="14"/>
                          </w:rPr>
                        </w:pPr>
                        <w:r>
                          <w:rPr>
                            <w:rFonts w:ascii="Arial MT"/>
                            <w:w w:val="80"/>
                            <w:sz w:val="14"/>
                          </w:rPr>
                          <w:t>Private</w:t>
                        </w:r>
                        <w:r>
                          <w:rPr>
                            <w:rFonts w:ascii="Arial MT"/>
                            <w:spacing w:val="1"/>
                            <w:sz w:val="14"/>
                          </w:rPr>
                          <w:t> </w:t>
                        </w:r>
                        <w:r>
                          <w:rPr>
                            <w:rFonts w:ascii="Arial MT"/>
                            <w:spacing w:val="-2"/>
                            <w:w w:val="85"/>
                            <w:sz w:val="14"/>
                          </w:rPr>
                          <w:t>Sector</w:t>
                        </w:r>
                      </w:p>
                    </w:txbxContent>
                  </v:textbox>
                  <w10:wrap type="none"/>
                </v:shape>
                <v:shape style="position:absolute;left:2324;top:1247;width:148;height:2741" type="#_x0000_t202" id="docshape2305" filled="false" stroked="false">
                  <v:textbox inset="0,0,0,0">
                    <w:txbxContent>
                      <w:p>
                        <w:pPr>
                          <w:spacing w:line="161" w:lineRule="exact" w:before="0"/>
                          <w:ind w:left="0" w:right="0" w:firstLine="0"/>
                          <w:jc w:val="left"/>
                          <w:rPr>
                            <w:rFonts w:ascii="Arial MT"/>
                            <w:sz w:val="14"/>
                          </w:rPr>
                        </w:pPr>
                        <w:r>
                          <w:rPr>
                            <w:rFonts w:ascii="Arial MT"/>
                            <w:spacing w:val="-5"/>
                            <w:w w:val="90"/>
                            <w:sz w:val="14"/>
                          </w:rPr>
                          <w:t>12</w:t>
                        </w:r>
                      </w:p>
                      <w:p>
                        <w:pPr>
                          <w:spacing w:line="240" w:lineRule="auto" w:before="108"/>
                          <w:rPr>
                            <w:rFonts w:ascii="Arial MT"/>
                            <w:sz w:val="14"/>
                          </w:rPr>
                        </w:pPr>
                      </w:p>
                      <w:p>
                        <w:pPr>
                          <w:spacing w:before="0"/>
                          <w:ind w:left="0" w:right="0" w:firstLine="0"/>
                          <w:jc w:val="left"/>
                          <w:rPr>
                            <w:rFonts w:ascii="Arial MT"/>
                            <w:sz w:val="14"/>
                          </w:rPr>
                        </w:pPr>
                        <w:r>
                          <w:rPr>
                            <w:rFonts w:ascii="Arial MT"/>
                            <w:spacing w:val="-5"/>
                            <w:w w:val="90"/>
                            <w:sz w:val="14"/>
                          </w:rPr>
                          <w:t>10</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8</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6</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4</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2</w:t>
                        </w:r>
                      </w:p>
                      <w:p>
                        <w:pPr>
                          <w:spacing w:line="240" w:lineRule="auto" w:before="108"/>
                          <w:rPr>
                            <w:rFonts w:ascii="Arial MT"/>
                            <w:sz w:val="14"/>
                          </w:rPr>
                        </w:pPr>
                      </w:p>
                      <w:p>
                        <w:pPr>
                          <w:spacing w:before="0"/>
                          <w:ind w:left="63" w:right="0" w:firstLine="0"/>
                          <w:jc w:val="left"/>
                          <w:rPr>
                            <w:rFonts w:ascii="Arial MT"/>
                            <w:sz w:val="14"/>
                          </w:rPr>
                        </w:pPr>
                        <w:r>
                          <w:rPr>
                            <w:rFonts w:ascii="Arial MT"/>
                            <w:spacing w:val="-10"/>
                            <w:w w:val="90"/>
                            <w:sz w:val="14"/>
                          </w:rPr>
                          <w:t>0</w:t>
                        </w:r>
                      </w:p>
                    </w:txbxContent>
                  </v:textbox>
                  <w10:wrap type="none"/>
                </v:shape>
                <v:shape style="position:absolute;left:2650;top:3990;width:7020;height:161" type="#_x0000_t202" id="docshape2306" filled="false" stroked="false">
                  <v:textbox inset="0,0,0,0">
                    <w:txbxContent>
                      <w:p>
                        <w:pPr>
                          <w:tabs>
                            <w:tab w:pos="681" w:val="left" w:leader="none"/>
                            <w:tab w:pos="1328" w:val="left" w:leader="none"/>
                            <w:tab w:pos="3285" w:val="left" w:leader="none"/>
                            <w:tab w:pos="3939" w:val="left" w:leader="none"/>
                            <w:tab w:pos="4606" w:val="left" w:leader="none"/>
                            <w:tab w:pos="5253" w:val="left" w:leader="none"/>
                            <w:tab w:pos="5907" w:val="left" w:leader="none"/>
                            <w:tab w:pos="6577" w:val="left" w:leader="none"/>
                          </w:tabs>
                          <w:spacing w:line="161" w:lineRule="exact" w:before="0"/>
                          <w:ind w:left="0" w:right="0" w:firstLine="0"/>
                          <w:jc w:val="left"/>
                          <w:rPr>
                            <w:rFonts w:ascii="Arial MT"/>
                            <w:sz w:val="14"/>
                          </w:rPr>
                        </w:pPr>
                        <w:r>
                          <w:rPr>
                            <w:rFonts w:ascii="Arial MT"/>
                            <w:w w:val="80"/>
                            <w:sz w:val="14"/>
                          </w:rPr>
                          <w:t>1980-</w:t>
                        </w:r>
                        <w:r>
                          <w:rPr>
                            <w:rFonts w:ascii="Arial MT"/>
                            <w:spacing w:val="-5"/>
                            <w:w w:val="90"/>
                            <w:sz w:val="14"/>
                          </w:rPr>
                          <w:t>85</w:t>
                        </w:r>
                        <w:r>
                          <w:rPr>
                            <w:rFonts w:ascii="Arial MT"/>
                            <w:sz w:val="14"/>
                          </w:rPr>
                          <w:tab/>
                        </w:r>
                        <w:r>
                          <w:rPr>
                            <w:rFonts w:ascii="Arial MT"/>
                            <w:w w:val="80"/>
                            <w:sz w:val="14"/>
                          </w:rPr>
                          <w:t>1985-</w:t>
                        </w:r>
                        <w:r>
                          <w:rPr>
                            <w:rFonts w:ascii="Arial MT"/>
                            <w:spacing w:val="-5"/>
                            <w:w w:val="90"/>
                            <w:sz w:val="14"/>
                          </w:rPr>
                          <w:t>90</w:t>
                        </w:r>
                        <w:r>
                          <w:rPr>
                            <w:rFonts w:ascii="Arial MT"/>
                            <w:sz w:val="14"/>
                          </w:rPr>
                          <w:tab/>
                        </w:r>
                        <w:r>
                          <w:rPr>
                            <w:rFonts w:ascii="Arial MT"/>
                            <w:w w:val="85"/>
                            <w:sz w:val="14"/>
                          </w:rPr>
                          <w:t>1990-95</w:t>
                        </w:r>
                        <w:r>
                          <w:rPr>
                            <w:rFonts w:ascii="Arial MT"/>
                            <w:spacing w:val="78"/>
                            <w:w w:val="150"/>
                            <w:sz w:val="14"/>
                          </w:rPr>
                          <w:t> </w:t>
                        </w:r>
                        <w:r>
                          <w:rPr>
                            <w:rFonts w:ascii="Arial MT"/>
                            <w:w w:val="85"/>
                            <w:sz w:val="14"/>
                          </w:rPr>
                          <w:t>1995-2000</w:t>
                        </w:r>
                        <w:r>
                          <w:rPr>
                            <w:rFonts w:ascii="Arial MT"/>
                            <w:spacing w:val="31"/>
                            <w:sz w:val="14"/>
                          </w:rPr>
                          <w:t>  </w:t>
                        </w:r>
                        <w:r>
                          <w:rPr>
                            <w:rFonts w:ascii="Arial MT"/>
                            <w:w w:val="85"/>
                            <w:sz w:val="14"/>
                          </w:rPr>
                          <w:t>2000-</w:t>
                        </w:r>
                        <w:r>
                          <w:rPr>
                            <w:rFonts w:ascii="Arial MT"/>
                            <w:spacing w:val="-5"/>
                            <w:w w:val="85"/>
                            <w:sz w:val="14"/>
                          </w:rPr>
                          <w:t>01</w:t>
                        </w:r>
                        <w:r>
                          <w:rPr>
                            <w:rFonts w:ascii="Arial MT"/>
                            <w:sz w:val="14"/>
                          </w:rPr>
                          <w:tab/>
                        </w:r>
                        <w:r>
                          <w:rPr>
                            <w:rFonts w:ascii="Arial MT"/>
                            <w:w w:val="80"/>
                            <w:sz w:val="14"/>
                          </w:rPr>
                          <w:t>2001-</w:t>
                        </w:r>
                        <w:r>
                          <w:rPr>
                            <w:rFonts w:ascii="Arial MT"/>
                            <w:spacing w:val="-5"/>
                            <w:w w:val="90"/>
                            <w:sz w:val="14"/>
                          </w:rPr>
                          <w:t>02</w:t>
                        </w:r>
                        <w:r>
                          <w:rPr>
                            <w:rFonts w:ascii="Arial MT"/>
                            <w:sz w:val="14"/>
                          </w:rPr>
                          <w:tab/>
                        </w:r>
                        <w:r>
                          <w:rPr>
                            <w:rFonts w:ascii="Arial MT"/>
                            <w:w w:val="80"/>
                            <w:sz w:val="14"/>
                          </w:rPr>
                          <w:t>2002-</w:t>
                        </w:r>
                        <w:r>
                          <w:rPr>
                            <w:rFonts w:ascii="Arial MT"/>
                            <w:spacing w:val="-5"/>
                            <w:w w:val="90"/>
                            <w:sz w:val="14"/>
                          </w:rPr>
                          <w:t>03</w:t>
                        </w:r>
                        <w:r>
                          <w:rPr>
                            <w:rFonts w:ascii="Arial MT"/>
                            <w:sz w:val="14"/>
                          </w:rPr>
                          <w:tab/>
                        </w:r>
                        <w:r>
                          <w:rPr>
                            <w:rFonts w:ascii="Arial MT"/>
                            <w:w w:val="80"/>
                            <w:sz w:val="14"/>
                          </w:rPr>
                          <w:t>2003-</w:t>
                        </w:r>
                        <w:r>
                          <w:rPr>
                            <w:rFonts w:ascii="Arial MT"/>
                            <w:spacing w:val="-5"/>
                            <w:w w:val="90"/>
                            <w:sz w:val="14"/>
                          </w:rPr>
                          <w:t>04</w:t>
                        </w:r>
                        <w:r>
                          <w:rPr>
                            <w:rFonts w:ascii="Arial MT"/>
                            <w:sz w:val="14"/>
                          </w:rPr>
                          <w:tab/>
                        </w:r>
                        <w:r>
                          <w:rPr>
                            <w:rFonts w:ascii="Arial MT"/>
                            <w:w w:val="80"/>
                            <w:sz w:val="14"/>
                          </w:rPr>
                          <w:t>2004-</w:t>
                        </w:r>
                        <w:r>
                          <w:rPr>
                            <w:rFonts w:ascii="Arial MT"/>
                            <w:spacing w:val="-5"/>
                            <w:w w:val="90"/>
                            <w:sz w:val="14"/>
                          </w:rPr>
                          <w:t>05</w:t>
                        </w:r>
                        <w:r>
                          <w:rPr>
                            <w:rFonts w:ascii="Arial MT"/>
                            <w:sz w:val="14"/>
                          </w:rPr>
                          <w:tab/>
                        </w:r>
                        <w:r>
                          <w:rPr>
                            <w:rFonts w:ascii="Arial MT"/>
                            <w:w w:val="80"/>
                            <w:sz w:val="14"/>
                          </w:rPr>
                          <w:t>2005-</w:t>
                        </w:r>
                        <w:r>
                          <w:rPr>
                            <w:rFonts w:ascii="Arial MT"/>
                            <w:spacing w:val="-5"/>
                            <w:w w:val="90"/>
                            <w:sz w:val="14"/>
                          </w:rPr>
                          <w:t>06</w:t>
                        </w:r>
                        <w:r>
                          <w:rPr>
                            <w:rFonts w:ascii="Arial MT"/>
                            <w:sz w:val="14"/>
                          </w:rPr>
                          <w:tab/>
                        </w:r>
                        <w:r>
                          <w:rPr>
                            <w:rFonts w:ascii="Arial MT"/>
                            <w:w w:val="80"/>
                            <w:sz w:val="14"/>
                          </w:rPr>
                          <w:t>2006-</w:t>
                        </w:r>
                        <w:r>
                          <w:rPr>
                            <w:rFonts w:ascii="Arial MT"/>
                            <w:spacing w:val="-5"/>
                            <w:w w:val="90"/>
                            <w:sz w:val="14"/>
                          </w:rPr>
                          <w:t>07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01696">
                <wp:simplePos x="0" y="0"/>
                <wp:positionH relativeFrom="page">
                  <wp:posOffset>1330982</wp:posOffset>
                </wp:positionH>
                <wp:positionV relativeFrom="paragraph">
                  <wp:posOffset>1187374</wp:posOffset>
                </wp:positionV>
                <wp:extent cx="127635" cy="850900"/>
                <wp:effectExtent l="0" t="0" r="0" b="0"/>
                <wp:wrapNone/>
                <wp:docPr id="2367" name="Textbox 2367"/>
                <wp:cNvGraphicFramePr>
                  <a:graphicFrameLocks/>
                </wp:cNvGraphicFramePr>
                <a:graphic>
                  <a:graphicData uri="http://schemas.microsoft.com/office/word/2010/wordprocessingShape">
                    <wps:wsp>
                      <wps:cNvPr id="2367" name="Textbox 2367"/>
                      <wps:cNvSpPr txBox="1"/>
                      <wps:spPr>
                        <a:xfrm>
                          <a:off x="0" y="0"/>
                          <a:ext cx="127635" cy="850900"/>
                        </a:xfrm>
                        <a:prstGeom prst="rect">
                          <a:avLst/>
                        </a:prstGeom>
                      </wps:spPr>
                      <wps:txbx>
                        <w:txbxContent>
                          <w:p>
                            <w:pPr>
                              <w:spacing w:before="19"/>
                              <w:ind w:left="20" w:right="0" w:firstLine="0"/>
                              <w:jc w:val="left"/>
                              <w:rPr>
                                <w:rFonts w:ascii="Arial MT"/>
                                <w:sz w:val="14"/>
                              </w:rPr>
                            </w:pPr>
                            <w:r>
                              <w:rPr>
                                <w:rFonts w:ascii="Arial MT"/>
                                <w:w w:val="80"/>
                                <w:sz w:val="14"/>
                              </w:rPr>
                              <w:t>Average</w:t>
                            </w:r>
                            <w:r>
                              <w:rPr>
                                <w:rFonts w:ascii="Arial MT"/>
                                <w:spacing w:val="-3"/>
                                <w:sz w:val="14"/>
                              </w:rPr>
                              <w:t> </w:t>
                            </w:r>
                            <w:r>
                              <w:rPr>
                                <w:rFonts w:ascii="Arial MT"/>
                                <w:w w:val="80"/>
                                <w:sz w:val="14"/>
                              </w:rPr>
                              <w:t>growth</w:t>
                            </w:r>
                            <w:r>
                              <w:rPr>
                                <w:rFonts w:ascii="Arial MT"/>
                                <w:spacing w:val="-2"/>
                                <w:sz w:val="14"/>
                              </w:rPr>
                              <w:t> </w:t>
                            </w:r>
                            <w:r>
                              <w:rPr>
                                <w:rFonts w:ascii="Arial MT"/>
                                <w:w w:val="80"/>
                                <w:sz w:val="14"/>
                              </w:rPr>
                              <w:t>rates</w:t>
                            </w:r>
                            <w:r>
                              <w:rPr>
                                <w:rFonts w:ascii="Arial MT"/>
                                <w:spacing w:val="-3"/>
                                <w:sz w:val="14"/>
                              </w:rPr>
                              <w:t> </w:t>
                            </w:r>
                            <w:r>
                              <w:rPr>
                                <w:rFonts w:ascii="Arial MT"/>
                                <w:spacing w:val="-5"/>
                                <w:w w:val="80"/>
                                <w:sz w:val="14"/>
                              </w:rPr>
                              <w:t>(%)</w:t>
                            </w:r>
                          </w:p>
                        </w:txbxContent>
                      </wps:txbx>
                      <wps:bodyPr wrap="square" lIns="0" tIns="0" rIns="0" bIns="0" rtlCol="0" vert="vert270">
                        <a:noAutofit/>
                      </wps:bodyPr>
                    </wps:wsp>
                  </a:graphicData>
                </a:graphic>
              </wp:anchor>
            </w:drawing>
          </mc:Choice>
          <mc:Fallback>
            <w:pict>
              <v:shape style="position:absolute;margin-left:104.801773pt;margin-top:93.49408pt;width:10.050pt;height:67pt;mso-position-horizontal-relative:page;mso-position-vertical-relative:paragraph;z-index:15901696" type="#_x0000_t202" id="docshape2307" filled="false" stroked="false">
                <v:textbox inset="0,0,0,0" style="layout-flow:vertical;mso-layout-flow-alt:bottom-to-top">
                  <w:txbxContent>
                    <w:p>
                      <w:pPr>
                        <w:spacing w:before="19"/>
                        <w:ind w:left="20" w:right="0" w:firstLine="0"/>
                        <w:jc w:val="left"/>
                        <w:rPr>
                          <w:rFonts w:ascii="Arial MT"/>
                          <w:sz w:val="14"/>
                        </w:rPr>
                      </w:pPr>
                      <w:r>
                        <w:rPr>
                          <w:rFonts w:ascii="Arial MT"/>
                          <w:w w:val="80"/>
                          <w:sz w:val="14"/>
                        </w:rPr>
                        <w:t>Average</w:t>
                      </w:r>
                      <w:r>
                        <w:rPr>
                          <w:rFonts w:ascii="Arial MT"/>
                          <w:spacing w:val="-3"/>
                          <w:sz w:val="14"/>
                        </w:rPr>
                        <w:t> </w:t>
                      </w:r>
                      <w:r>
                        <w:rPr>
                          <w:rFonts w:ascii="Arial MT"/>
                          <w:w w:val="80"/>
                          <w:sz w:val="14"/>
                        </w:rPr>
                        <w:t>growth</w:t>
                      </w:r>
                      <w:r>
                        <w:rPr>
                          <w:rFonts w:ascii="Arial MT"/>
                          <w:spacing w:val="-2"/>
                          <w:sz w:val="14"/>
                        </w:rPr>
                        <w:t> </w:t>
                      </w:r>
                      <w:r>
                        <w:rPr>
                          <w:rFonts w:ascii="Arial MT"/>
                          <w:w w:val="80"/>
                          <w:sz w:val="14"/>
                        </w:rPr>
                        <w:t>rates</w:t>
                      </w:r>
                      <w:r>
                        <w:rPr>
                          <w:rFonts w:ascii="Arial MT"/>
                          <w:spacing w:val="-3"/>
                          <w:sz w:val="14"/>
                        </w:rPr>
                        <w:t> </w:t>
                      </w:r>
                      <w:r>
                        <w:rPr>
                          <w:rFonts w:ascii="Arial MT"/>
                          <w:spacing w:val="-5"/>
                          <w:w w:val="80"/>
                          <w:sz w:val="14"/>
                        </w:rPr>
                        <w:t>(%)</w:t>
                      </w:r>
                    </w:p>
                  </w:txbxContent>
                </v:textbox>
                <w10:wrap type="none"/>
              </v:shape>
            </w:pict>
          </mc:Fallback>
        </mc:AlternateContent>
      </w:r>
      <w:r>
        <w:rPr>
          <w:spacing w:val="-6"/>
        </w:rPr>
        <w:t>Figure</w:t>
      </w:r>
      <w:r>
        <w:rPr>
          <w:spacing w:val="-9"/>
        </w:rPr>
        <w:t> </w:t>
      </w:r>
      <w:r>
        <w:rPr>
          <w:spacing w:val="-6"/>
        </w:rPr>
        <w:t>50:</w:t>
      </w:r>
      <w:r>
        <w:rPr>
          <w:spacing w:val="-9"/>
        </w:rPr>
        <w:t> </w:t>
      </w:r>
      <w:r>
        <w:rPr>
          <w:color w:val="2E614A"/>
          <w:spacing w:val="-6"/>
        </w:rPr>
        <w:t>Investment</w:t>
      </w:r>
      <w:r>
        <w:rPr>
          <w:color w:val="2E614A"/>
          <w:spacing w:val="9"/>
        </w:rPr>
        <w:t> </w:t>
      </w:r>
      <w:r>
        <w:rPr>
          <w:color w:val="2E614A"/>
          <w:spacing w:val="-6"/>
        </w:rPr>
        <w:t>in</w:t>
      </w:r>
      <w:r>
        <w:rPr>
          <w:color w:val="2E614A"/>
          <w:spacing w:val="10"/>
        </w:rPr>
        <w:t> </w:t>
      </w:r>
      <w:r>
        <w:rPr>
          <w:color w:val="2E614A"/>
          <w:spacing w:val="-6"/>
        </w:rPr>
        <w:t>agriculture:</w:t>
      </w:r>
      <w:r>
        <w:rPr>
          <w:color w:val="2E614A"/>
          <w:spacing w:val="9"/>
        </w:rPr>
        <w:t> </w:t>
      </w:r>
      <w:r>
        <w:rPr>
          <w:color w:val="2E614A"/>
          <w:spacing w:val="-6"/>
        </w:rPr>
        <w:t>Gross</w:t>
      </w:r>
      <w:r>
        <w:rPr>
          <w:color w:val="2E614A"/>
          <w:spacing w:val="15"/>
        </w:rPr>
        <w:t> </w:t>
      </w:r>
      <w:r>
        <w:rPr>
          <w:color w:val="2E614A"/>
          <w:spacing w:val="-6"/>
        </w:rPr>
        <w:t>capital</w:t>
      </w:r>
      <w:r>
        <w:rPr>
          <w:color w:val="2E614A"/>
          <w:spacing w:val="15"/>
        </w:rPr>
        <w:t> </w:t>
      </w:r>
      <w:r>
        <w:rPr>
          <w:color w:val="2E614A"/>
          <w:spacing w:val="-6"/>
        </w:rPr>
        <w:t>formation</w:t>
      </w:r>
      <w:r>
        <w:rPr>
          <w:color w:val="2E614A"/>
          <w:spacing w:val="15"/>
        </w:rPr>
        <w:t> </w:t>
      </w:r>
      <w:r>
        <w:rPr>
          <w:color w:val="2E614A"/>
          <w:spacing w:val="-6"/>
        </w:rPr>
        <w:t>in</w:t>
      </w:r>
      <w:r>
        <w:rPr>
          <w:color w:val="2E614A"/>
          <w:spacing w:val="15"/>
        </w:rPr>
        <w:t> </w:t>
      </w:r>
      <w:r>
        <w:rPr>
          <w:color w:val="2E614A"/>
          <w:spacing w:val="-6"/>
        </w:rPr>
        <w:t>agriculture</w:t>
      </w:r>
      <w:r>
        <w:rPr>
          <w:color w:val="2E614A"/>
          <w:spacing w:val="15"/>
        </w:rPr>
        <w:t> </w:t>
      </w:r>
      <w:r>
        <w:rPr>
          <w:color w:val="2E614A"/>
          <w:spacing w:val="-6"/>
        </w:rPr>
        <w:t>as</w:t>
      </w:r>
      <w:r>
        <w:rPr>
          <w:color w:val="2E614A"/>
          <w:spacing w:val="15"/>
        </w:rPr>
        <w:t> </w:t>
      </w:r>
      <w:r>
        <w:rPr>
          <w:color w:val="2E614A"/>
          <w:spacing w:val="-6"/>
        </w:rPr>
        <w:t>a </w:t>
      </w:r>
      <w:r>
        <w:rPr>
          <w:color w:val="2E614A"/>
          <w:spacing w:val="-2"/>
        </w:rPr>
        <w:t>percentage</w:t>
      </w:r>
      <w:r>
        <w:rPr>
          <w:color w:val="2E614A"/>
          <w:spacing w:val="-13"/>
        </w:rPr>
        <w:t> </w:t>
      </w:r>
      <w:r>
        <w:rPr>
          <w:color w:val="2E614A"/>
          <w:spacing w:val="-2"/>
        </w:rPr>
        <w:t>of</w:t>
      </w:r>
      <w:r>
        <w:rPr>
          <w:color w:val="2E614A"/>
          <w:spacing w:val="-13"/>
        </w:rPr>
        <w:t> </w:t>
      </w:r>
      <w:r>
        <w:rPr>
          <w:color w:val="2E614A"/>
          <w:spacing w:val="-2"/>
        </w:rPr>
        <w:t>GDP</w:t>
      </w:r>
      <w:r>
        <w:rPr>
          <w:color w:val="2E614A"/>
          <w:spacing w:val="-13"/>
        </w:rPr>
        <w:t> </w:t>
      </w:r>
      <w:r>
        <w:rPr>
          <w:color w:val="2E614A"/>
          <w:spacing w:val="-2"/>
        </w:rPr>
        <w:t>from</w:t>
      </w:r>
      <w:r>
        <w:rPr>
          <w:color w:val="2E614A"/>
          <w:spacing w:val="-13"/>
        </w:rPr>
        <w:t> </w:t>
      </w:r>
      <w:r>
        <w:rPr>
          <w:color w:val="2E614A"/>
          <w:spacing w:val="-2"/>
        </w:rPr>
        <w:t>agriculture</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62"/>
        <w:rPr>
          <w:b/>
          <w:sz w:val="24"/>
        </w:rPr>
      </w:pPr>
    </w:p>
    <w:p>
      <w:pPr>
        <w:spacing w:before="0"/>
        <w:ind w:left="1997" w:right="0" w:firstLine="0"/>
        <w:jc w:val="left"/>
        <w:rPr>
          <w:sz w:val="16"/>
        </w:rPr>
      </w:pPr>
      <w:r>
        <w:rPr>
          <w:i/>
          <w:w w:val="90"/>
          <w:sz w:val="16"/>
        </w:rPr>
        <w:t>Source:</w:t>
      </w:r>
      <w:r>
        <w:rPr>
          <w:i/>
          <w:spacing w:val="4"/>
          <w:sz w:val="16"/>
        </w:rPr>
        <w:t> </w:t>
      </w:r>
      <w:r>
        <w:rPr>
          <w:w w:val="90"/>
          <w:sz w:val="16"/>
        </w:rPr>
        <w:t>Eleventh</w:t>
      </w:r>
      <w:r>
        <w:rPr>
          <w:spacing w:val="5"/>
          <w:sz w:val="16"/>
        </w:rPr>
        <w:t> </w:t>
      </w:r>
      <w:r>
        <w:rPr>
          <w:w w:val="90"/>
          <w:sz w:val="16"/>
        </w:rPr>
        <w:t>Five</w:t>
      </w:r>
      <w:r>
        <w:rPr>
          <w:spacing w:val="1"/>
          <w:sz w:val="16"/>
        </w:rPr>
        <w:t> </w:t>
      </w:r>
      <w:r>
        <w:rPr>
          <w:w w:val="90"/>
          <w:sz w:val="16"/>
        </w:rPr>
        <w:t>Year</w:t>
      </w:r>
      <w:r>
        <w:rPr>
          <w:spacing w:val="5"/>
          <w:sz w:val="16"/>
        </w:rPr>
        <w:t> </w:t>
      </w:r>
      <w:r>
        <w:rPr>
          <w:w w:val="90"/>
          <w:sz w:val="16"/>
        </w:rPr>
        <w:t>Plan,</w:t>
      </w:r>
      <w:r>
        <w:rPr>
          <w:spacing w:val="5"/>
          <w:sz w:val="16"/>
        </w:rPr>
        <w:t> </w:t>
      </w:r>
      <w:r>
        <w:rPr>
          <w:w w:val="90"/>
          <w:sz w:val="16"/>
        </w:rPr>
        <w:t>Planning</w:t>
      </w:r>
      <w:r>
        <w:rPr>
          <w:spacing w:val="5"/>
          <w:sz w:val="16"/>
        </w:rPr>
        <w:t> </w:t>
      </w:r>
      <w:r>
        <w:rPr>
          <w:spacing w:val="-2"/>
          <w:w w:val="90"/>
          <w:sz w:val="16"/>
        </w:rPr>
        <w:t>Commission</w:t>
      </w:r>
    </w:p>
    <w:p>
      <w:pPr>
        <w:pStyle w:val="BodyText"/>
        <w:spacing w:before="101"/>
        <w:rPr>
          <w:sz w:val="24"/>
        </w:rPr>
      </w:pPr>
    </w:p>
    <w:p>
      <w:pPr>
        <w:pStyle w:val="Heading8"/>
        <w:ind w:left="2008"/>
      </w:pPr>
      <w:r>
        <w:rPr/>
        <mc:AlternateContent>
          <mc:Choice Requires="wps">
            <w:drawing>
              <wp:anchor distT="0" distB="0" distL="0" distR="0" allowOverlap="1" layoutInCell="1" locked="0" behindDoc="0" simplePos="0" relativeHeight="15901184">
                <wp:simplePos x="0" y="0"/>
                <wp:positionH relativeFrom="page">
                  <wp:posOffset>1275099</wp:posOffset>
                </wp:positionH>
                <wp:positionV relativeFrom="paragraph">
                  <wp:posOffset>238202</wp:posOffset>
                </wp:positionV>
                <wp:extent cx="5045710" cy="2453640"/>
                <wp:effectExtent l="0" t="0" r="0" b="0"/>
                <wp:wrapNone/>
                <wp:docPr id="2368" name="Group 2368"/>
                <wp:cNvGraphicFramePr>
                  <a:graphicFrameLocks/>
                </wp:cNvGraphicFramePr>
                <a:graphic>
                  <a:graphicData uri="http://schemas.microsoft.com/office/word/2010/wordprocessingGroup">
                    <wpg:wgp>
                      <wpg:cNvPr id="2368" name="Group 2368"/>
                      <wpg:cNvGrpSpPr/>
                      <wpg:grpSpPr>
                        <a:xfrm>
                          <a:off x="0" y="0"/>
                          <a:ext cx="5045710" cy="2453640"/>
                          <a:chExt cx="5045710" cy="2453640"/>
                        </a:xfrm>
                      </wpg:grpSpPr>
                      <wps:wsp>
                        <wps:cNvPr id="2369" name="Graphic 2369"/>
                        <wps:cNvSpPr/>
                        <wps:spPr>
                          <a:xfrm>
                            <a:off x="334180" y="209974"/>
                            <a:ext cx="29209" cy="1558290"/>
                          </a:xfrm>
                          <a:custGeom>
                            <a:avLst/>
                            <a:gdLst/>
                            <a:ahLst/>
                            <a:cxnLst/>
                            <a:rect l="l" t="t" r="r" b="b"/>
                            <a:pathLst>
                              <a:path w="29209" h="1558290">
                                <a:moveTo>
                                  <a:pt x="29032" y="1551546"/>
                                </a:moveTo>
                                <a:lnTo>
                                  <a:pt x="0" y="1551546"/>
                                </a:lnTo>
                                <a:lnTo>
                                  <a:pt x="0" y="1557896"/>
                                </a:lnTo>
                                <a:lnTo>
                                  <a:pt x="29032" y="1557896"/>
                                </a:lnTo>
                                <a:lnTo>
                                  <a:pt x="29032" y="1551546"/>
                                </a:lnTo>
                                <a:close/>
                              </a:path>
                              <a:path w="29209" h="1558290">
                                <a:moveTo>
                                  <a:pt x="29032" y="1333792"/>
                                </a:moveTo>
                                <a:lnTo>
                                  <a:pt x="0" y="1333792"/>
                                </a:lnTo>
                                <a:lnTo>
                                  <a:pt x="0" y="1340142"/>
                                </a:lnTo>
                                <a:lnTo>
                                  <a:pt x="29032" y="1340142"/>
                                </a:lnTo>
                                <a:lnTo>
                                  <a:pt x="29032" y="1333792"/>
                                </a:lnTo>
                                <a:close/>
                              </a:path>
                              <a:path w="29209" h="1558290">
                                <a:moveTo>
                                  <a:pt x="29032" y="1109218"/>
                                </a:moveTo>
                                <a:lnTo>
                                  <a:pt x="0" y="1109218"/>
                                </a:lnTo>
                                <a:lnTo>
                                  <a:pt x="0" y="1115568"/>
                                </a:lnTo>
                                <a:lnTo>
                                  <a:pt x="29032" y="1115568"/>
                                </a:lnTo>
                                <a:lnTo>
                                  <a:pt x="29032" y="1109218"/>
                                </a:lnTo>
                                <a:close/>
                              </a:path>
                              <a:path w="29209" h="1558290">
                                <a:moveTo>
                                  <a:pt x="29032" y="891463"/>
                                </a:moveTo>
                                <a:lnTo>
                                  <a:pt x="0" y="891463"/>
                                </a:lnTo>
                                <a:lnTo>
                                  <a:pt x="0" y="897813"/>
                                </a:lnTo>
                                <a:lnTo>
                                  <a:pt x="29032" y="897813"/>
                                </a:lnTo>
                                <a:lnTo>
                                  <a:pt x="29032" y="891463"/>
                                </a:lnTo>
                                <a:close/>
                              </a:path>
                              <a:path w="29209" h="1558290">
                                <a:moveTo>
                                  <a:pt x="29032" y="666889"/>
                                </a:moveTo>
                                <a:lnTo>
                                  <a:pt x="0" y="666889"/>
                                </a:lnTo>
                                <a:lnTo>
                                  <a:pt x="0" y="673239"/>
                                </a:lnTo>
                                <a:lnTo>
                                  <a:pt x="29032" y="673239"/>
                                </a:lnTo>
                                <a:lnTo>
                                  <a:pt x="29032" y="666889"/>
                                </a:lnTo>
                                <a:close/>
                              </a:path>
                              <a:path w="29209" h="1558290">
                                <a:moveTo>
                                  <a:pt x="29032" y="442328"/>
                                </a:moveTo>
                                <a:lnTo>
                                  <a:pt x="0" y="442328"/>
                                </a:lnTo>
                                <a:lnTo>
                                  <a:pt x="0" y="448678"/>
                                </a:lnTo>
                                <a:lnTo>
                                  <a:pt x="29032" y="448678"/>
                                </a:lnTo>
                                <a:lnTo>
                                  <a:pt x="29032" y="442328"/>
                                </a:lnTo>
                                <a:close/>
                              </a:path>
                              <a:path w="29209" h="1558290">
                                <a:moveTo>
                                  <a:pt x="29032" y="224574"/>
                                </a:moveTo>
                                <a:lnTo>
                                  <a:pt x="0" y="224574"/>
                                </a:lnTo>
                                <a:lnTo>
                                  <a:pt x="0" y="230924"/>
                                </a:lnTo>
                                <a:lnTo>
                                  <a:pt x="29032" y="230924"/>
                                </a:lnTo>
                                <a:lnTo>
                                  <a:pt x="29032" y="224574"/>
                                </a:lnTo>
                                <a:close/>
                              </a:path>
                              <a:path w="29209" h="1558290">
                                <a:moveTo>
                                  <a:pt x="29032" y="0"/>
                                </a:moveTo>
                                <a:lnTo>
                                  <a:pt x="0" y="0"/>
                                </a:lnTo>
                                <a:lnTo>
                                  <a:pt x="0" y="6350"/>
                                </a:lnTo>
                                <a:lnTo>
                                  <a:pt x="29032" y="6350"/>
                                </a:lnTo>
                                <a:lnTo>
                                  <a:pt x="29032" y="0"/>
                                </a:lnTo>
                                <a:close/>
                              </a:path>
                            </a:pathLst>
                          </a:custGeom>
                          <a:solidFill>
                            <a:srgbClr val="000000"/>
                          </a:solidFill>
                        </wps:spPr>
                        <wps:bodyPr wrap="square" lIns="0" tIns="0" rIns="0" bIns="0" rtlCol="0">
                          <a:prstTxWarp prst="textNoShape">
                            <a:avLst/>
                          </a:prstTxWarp>
                          <a:noAutofit/>
                        </wps:bodyPr>
                      </wps:wsp>
                      <wps:wsp>
                        <wps:cNvPr id="2370" name="Graphic 2370"/>
                        <wps:cNvSpPr/>
                        <wps:spPr>
                          <a:xfrm>
                            <a:off x="414190" y="247172"/>
                            <a:ext cx="4496435" cy="1742439"/>
                          </a:xfrm>
                          <a:custGeom>
                            <a:avLst/>
                            <a:gdLst/>
                            <a:ahLst/>
                            <a:cxnLst/>
                            <a:rect l="l" t="t" r="r" b="b"/>
                            <a:pathLst>
                              <a:path w="4496435" h="1742439">
                                <a:moveTo>
                                  <a:pt x="156565" y="0"/>
                                </a:moveTo>
                                <a:lnTo>
                                  <a:pt x="0" y="0"/>
                                </a:lnTo>
                                <a:lnTo>
                                  <a:pt x="0" y="1742097"/>
                                </a:lnTo>
                                <a:lnTo>
                                  <a:pt x="156565" y="1742097"/>
                                </a:lnTo>
                                <a:lnTo>
                                  <a:pt x="156565" y="0"/>
                                </a:lnTo>
                                <a:close/>
                              </a:path>
                              <a:path w="4496435" h="1742439">
                                <a:moveTo>
                                  <a:pt x="413321" y="809802"/>
                                </a:moveTo>
                                <a:lnTo>
                                  <a:pt x="256755" y="809802"/>
                                </a:lnTo>
                                <a:lnTo>
                                  <a:pt x="256755" y="1742097"/>
                                </a:lnTo>
                                <a:lnTo>
                                  <a:pt x="413321" y="1742097"/>
                                </a:lnTo>
                                <a:lnTo>
                                  <a:pt x="413321" y="809802"/>
                                </a:lnTo>
                                <a:close/>
                              </a:path>
                              <a:path w="4496435" h="1742439">
                                <a:moveTo>
                                  <a:pt x="663803" y="1279347"/>
                                </a:moveTo>
                                <a:lnTo>
                                  <a:pt x="513511" y="1279347"/>
                                </a:lnTo>
                                <a:lnTo>
                                  <a:pt x="513511" y="1742097"/>
                                </a:lnTo>
                                <a:lnTo>
                                  <a:pt x="663803" y="1742097"/>
                                </a:lnTo>
                                <a:lnTo>
                                  <a:pt x="663803" y="1279347"/>
                                </a:lnTo>
                                <a:close/>
                              </a:path>
                              <a:path w="4496435" h="1742439">
                                <a:moveTo>
                                  <a:pt x="920559" y="1374609"/>
                                </a:moveTo>
                                <a:lnTo>
                                  <a:pt x="764006" y="1374609"/>
                                </a:lnTo>
                                <a:lnTo>
                                  <a:pt x="764006" y="1742097"/>
                                </a:lnTo>
                                <a:lnTo>
                                  <a:pt x="920559" y="1742097"/>
                                </a:lnTo>
                                <a:lnTo>
                                  <a:pt x="920559" y="1374609"/>
                                </a:lnTo>
                                <a:close/>
                              </a:path>
                              <a:path w="4496435" h="1742439">
                                <a:moveTo>
                                  <a:pt x="1177315" y="1442669"/>
                                </a:moveTo>
                                <a:lnTo>
                                  <a:pt x="1020762" y="1442669"/>
                                </a:lnTo>
                                <a:lnTo>
                                  <a:pt x="1020762" y="1742097"/>
                                </a:lnTo>
                                <a:lnTo>
                                  <a:pt x="1177315" y="1742097"/>
                                </a:lnTo>
                                <a:lnTo>
                                  <a:pt x="1177315" y="1442669"/>
                                </a:lnTo>
                                <a:close/>
                              </a:path>
                              <a:path w="4496435" h="1742439">
                                <a:moveTo>
                                  <a:pt x="1434071" y="1517523"/>
                                </a:moveTo>
                                <a:lnTo>
                                  <a:pt x="1277505" y="1517523"/>
                                </a:lnTo>
                                <a:lnTo>
                                  <a:pt x="1277505" y="1742097"/>
                                </a:lnTo>
                                <a:lnTo>
                                  <a:pt x="1434071" y="1742097"/>
                                </a:lnTo>
                                <a:lnTo>
                                  <a:pt x="1434071" y="1517523"/>
                                </a:lnTo>
                                <a:close/>
                              </a:path>
                              <a:path w="4496435" h="1742439">
                                <a:moveTo>
                                  <a:pt x="1684566" y="1531137"/>
                                </a:moveTo>
                                <a:lnTo>
                                  <a:pt x="1534261" y="1531137"/>
                                </a:lnTo>
                                <a:lnTo>
                                  <a:pt x="1534261" y="1742097"/>
                                </a:lnTo>
                                <a:lnTo>
                                  <a:pt x="1684566" y="1742097"/>
                                </a:lnTo>
                                <a:lnTo>
                                  <a:pt x="1684566" y="1531137"/>
                                </a:lnTo>
                                <a:close/>
                              </a:path>
                              <a:path w="4496435" h="1742439">
                                <a:moveTo>
                                  <a:pt x="1941309" y="1537944"/>
                                </a:moveTo>
                                <a:lnTo>
                                  <a:pt x="1784756" y="1537944"/>
                                </a:lnTo>
                                <a:lnTo>
                                  <a:pt x="1784756" y="1742097"/>
                                </a:lnTo>
                                <a:lnTo>
                                  <a:pt x="1941309" y="1742097"/>
                                </a:lnTo>
                                <a:lnTo>
                                  <a:pt x="1941309" y="1537944"/>
                                </a:lnTo>
                                <a:close/>
                              </a:path>
                              <a:path w="4496435" h="1742439">
                                <a:moveTo>
                                  <a:pt x="2198065" y="1578775"/>
                                </a:moveTo>
                                <a:lnTo>
                                  <a:pt x="2041512" y="1578775"/>
                                </a:lnTo>
                                <a:lnTo>
                                  <a:pt x="2041512" y="1742097"/>
                                </a:lnTo>
                                <a:lnTo>
                                  <a:pt x="2198065" y="1742097"/>
                                </a:lnTo>
                                <a:lnTo>
                                  <a:pt x="2198065" y="1578775"/>
                                </a:lnTo>
                                <a:close/>
                              </a:path>
                              <a:path w="4496435" h="1742439">
                                <a:moveTo>
                                  <a:pt x="2454808" y="1619592"/>
                                </a:moveTo>
                                <a:lnTo>
                                  <a:pt x="2298255" y="1619592"/>
                                </a:lnTo>
                                <a:lnTo>
                                  <a:pt x="2298255" y="1742097"/>
                                </a:lnTo>
                                <a:lnTo>
                                  <a:pt x="2454808" y="1742097"/>
                                </a:lnTo>
                                <a:lnTo>
                                  <a:pt x="2454808" y="1619592"/>
                                </a:lnTo>
                                <a:close/>
                              </a:path>
                              <a:path w="4496435" h="1742439">
                                <a:moveTo>
                                  <a:pt x="2711577" y="1626412"/>
                                </a:moveTo>
                                <a:lnTo>
                                  <a:pt x="2555024" y="1626412"/>
                                </a:lnTo>
                                <a:lnTo>
                                  <a:pt x="2555024" y="1742097"/>
                                </a:lnTo>
                                <a:lnTo>
                                  <a:pt x="2711577" y="1742097"/>
                                </a:lnTo>
                                <a:lnTo>
                                  <a:pt x="2711577" y="1626412"/>
                                </a:lnTo>
                                <a:close/>
                              </a:path>
                              <a:path w="4496435" h="1742439">
                                <a:moveTo>
                                  <a:pt x="2962071" y="1640014"/>
                                </a:moveTo>
                                <a:lnTo>
                                  <a:pt x="2811780" y="1640014"/>
                                </a:lnTo>
                                <a:lnTo>
                                  <a:pt x="2811780" y="1742097"/>
                                </a:lnTo>
                                <a:lnTo>
                                  <a:pt x="2962071" y="1742097"/>
                                </a:lnTo>
                                <a:lnTo>
                                  <a:pt x="2962071" y="1640014"/>
                                </a:lnTo>
                                <a:close/>
                              </a:path>
                              <a:path w="4496435" h="1742439">
                                <a:moveTo>
                                  <a:pt x="3218815" y="1646821"/>
                                </a:moveTo>
                                <a:lnTo>
                                  <a:pt x="3062262" y="1646821"/>
                                </a:lnTo>
                                <a:lnTo>
                                  <a:pt x="3062262" y="1742097"/>
                                </a:lnTo>
                                <a:lnTo>
                                  <a:pt x="3218815" y="1742097"/>
                                </a:lnTo>
                                <a:lnTo>
                                  <a:pt x="3218815" y="1646821"/>
                                </a:lnTo>
                                <a:close/>
                              </a:path>
                              <a:path w="4496435" h="1742439">
                                <a:moveTo>
                                  <a:pt x="3475571" y="1660423"/>
                                </a:moveTo>
                                <a:lnTo>
                                  <a:pt x="3319005" y="1660423"/>
                                </a:lnTo>
                                <a:lnTo>
                                  <a:pt x="3319005" y="1742097"/>
                                </a:lnTo>
                                <a:lnTo>
                                  <a:pt x="3475571" y="1742097"/>
                                </a:lnTo>
                                <a:lnTo>
                                  <a:pt x="3475571" y="1660423"/>
                                </a:lnTo>
                                <a:close/>
                              </a:path>
                              <a:path w="4496435" h="1742439">
                                <a:moveTo>
                                  <a:pt x="3732339" y="1667230"/>
                                </a:moveTo>
                                <a:lnTo>
                                  <a:pt x="3575774" y="1667230"/>
                                </a:lnTo>
                                <a:lnTo>
                                  <a:pt x="3575774" y="1742097"/>
                                </a:lnTo>
                                <a:lnTo>
                                  <a:pt x="3732339" y="1742097"/>
                                </a:lnTo>
                                <a:lnTo>
                                  <a:pt x="3732339" y="1667230"/>
                                </a:lnTo>
                                <a:close/>
                              </a:path>
                              <a:path w="4496435" h="1742439">
                                <a:moveTo>
                                  <a:pt x="3982821" y="1674050"/>
                                </a:moveTo>
                                <a:lnTo>
                                  <a:pt x="3832517" y="1674050"/>
                                </a:lnTo>
                                <a:lnTo>
                                  <a:pt x="3832517" y="1742097"/>
                                </a:lnTo>
                                <a:lnTo>
                                  <a:pt x="3982821" y="1742097"/>
                                </a:lnTo>
                                <a:lnTo>
                                  <a:pt x="3982821" y="1674050"/>
                                </a:lnTo>
                                <a:close/>
                              </a:path>
                              <a:path w="4496435" h="1742439">
                                <a:moveTo>
                                  <a:pt x="4239565" y="1694459"/>
                                </a:moveTo>
                                <a:lnTo>
                                  <a:pt x="4083024" y="1694459"/>
                                </a:lnTo>
                                <a:lnTo>
                                  <a:pt x="4083024" y="1742097"/>
                                </a:lnTo>
                                <a:lnTo>
                                  <a:pt x="4239565" y="1742097"/>
                                </a:lnTo>
                                <a:lnTo>
                                  <a:pt x="4239565" y="1694459"/>
                                </a:lnTo>
                                <a:close/>
                              </a:path>
                              <a:path w="4496435" h="1742439">
                                <a:moveTo>
                                  <a:pt x="4496333" y="1708061"/>
                                </a:moveTo>
                                <a:lnTo>
                                  <a:pt x="4339768" y="1708061"/>
                                </a:lnTo>
                                <a:lnTo>
                                  <a:pt x="4339768" y="1742097"/>
                                </a:lnTo>
                                <a:lnTo>
                                  <a:pt x="4496333" y="1742097"/>
                                </a:lnTo>
                                <a:lnTo>
                                  <a:pt x="4496333" y="1708061"/>
                                </a:lnTo>
                                <a:close/>
                              </a:path>
                            </a:pathLst>
                          </a:custGeom>
                          <a:solidFill>
                            <a:srgbClr val="2F7D41"/>
                          </a:solidFill>
                        </wps:spPr>
                        <wps:bodyPr wrap="square" lIns="0" tIns="0" rIns="0" bIns="0" rtlCol="0">
                          <a:prstTxWarp prst="textNoShape">
                            <a:avLst/>
                          </a:prstTxWarp>
                          <a:noAutofit/>
                        </wps:bodyPr>
                      </wps:wsp>
                      <wps:wsp>
                        <wps:cNvPr id="2371" name="Graphic 2371"/>
                        <wps:cNvSpPr/>
                        <wps:spPr>
                          <a:xfrm>
                            <a:off x="342397" y="208488"/>
                            <a:ext cx="4621530" cy="1804670"/>
                          </a:xfrm>
                          <a:custGeom>
                            <a:avLst/>
                            <a:gdLst/>
                            <a:ahLst/>
                            <a:cxnLst/>
                            <a:rect l="l" t="t" r="r" b="b"/>
                            <a:pathLst>
                              <a:path w="4621530" h="1804670">
                                <a:moveTo>
                                  <a:pt x="4621123" y="1777606"/>
                                </a:moveTo>
                                <a:lnTo>
                                  <a:pt x="4621123" y="1777606"/>
                                </a:lnTo>
                                <a:lnTo>
                                  <a:pt x="25133" y="1777606"/>
                                </a:lnTo>
                                <a:lnTo>
                                  <a:pt x="25133" y="0"/>
                                </a:lnTo>
                                <a:lnTo>
                                  <a:pt x="18783" y="0"/>
                                </a:lnTo>
                                <a:lnTo>
                                  <a:pt x="18783" y="1485"/>
                                </a:lnTo>
                                <a:lnTo>
                                  <a:pt x="0" y="1485"/>
                                </a:lnTo>
                                <a:lnTo>
                                  <a:pt x="0" y="7835"/>
                                </a:lnTo>
                                <a:lnTo>
                                  <a:pt x="18783" y="7835"/>
                                </a:lnTo>
                                <a:lnTo>
                                  <a:pt x="18783" y="226060"/>
                                </a:lnTo>
                                <a:lnTo>
                                  <a:pt x="0" y="226060"/>
                                </a:lnTo>
                                <a:lnTo>
                                  <a:pt x="0" y="232410"/>
                                </a:lnTo>
                                <a:lnTo>
                                  <a:pt x="18783" y="232410"/>
                                </a:lnTo>
                                <a:lnTo>
                                  <a:pt x="18783" y="443814"/>
                                </a:lnTo>
                                <a:lnTo>
                                  <a:pt x="0" y="443814"/>
                                </a:lnTo>
                                <a:lnTo>
                                  <a:pt x="0" y="450164"/>
                                </a:lnTo>
                                <a:lnTo>
                                  <a:pt x="18783" y="450164"/>
                                </a:lnTo>
                                <a:lnTo>
                                  <a:pt x="18783" y="668375"/>
                                </a:lnTo>
                                <a:lnTo>
                                  <a:pt x="0" y="668375"/>
                                </a:lnTo>
                                <a:lnTo>
                                  <a:pt x="0" y="674725"/>
                                </a:lnTo>
                                <a:lnTo>
                                  <a:pt x="18783" y="674725"/>
                                </a:lnTo>
                                <a:lnTo>
                                  <a:pt x="18783" y="892949"/>
                                </a:lnTo>
                                <a:lnTo>
                                  <a:pt x="0" y="892949"/>
                                </a:lnTo>
                                <a:lnTo>
                                  <a:pt x="0" y="899299"/>
                                </a:lnTo>
                                <a:lnTo>
                                  <a:pt x="18783" y="899299"/>
                                </a:lnTo>
                                <a:lnTo>
                                  <a:pt x="18783" y="1110703"/>
                                </a:lnTo>
                                <a:lnTo>
                                  <a:pt x="0" y="1110703"/>
                                </a:lnTo>
                                <a:lnTo>
                                  <a:pt x="0" y="1117053"/>
                                </a:lnTo>
                                <a:lnTo>
                                  <a:pt x="18783" y="1117053"/>
                                </a:lnTo>
                                <a:lnTo>
                                  <a:pt x="18783" y="1335278"/>
                                </a:lnTo>
                                <a:lnTo>
                                  <a:pt x="0" y="1335278"/>
                                </a:lnTo>
                                <a:lnTo>
                                  <a:pt x="0" y="1341628"/>
                                </a:lnTo>
                                <a:lnTo>
                                  <a:pt x="18783" y="1341628"/>
                                </a:lnTo>
                                <a:lnTo>
                                  <a:pt x="18783" y="1553032"/>
                                </a:lnTo>
                                <a:lnTo>
                                  <a:pt x="0" y="1553032"/>
                                </a:lnTo>
                                <a:lnTo>
                                  <a:pt x="0" y="1559382"/>
                                </a:lnTo>
                                <a:lnTo>
                                  <a:pt x="18783" y="1559382"/>
                                </a:lnTo>
                                <a:lnTo>
                                  <a:pt x="18783" y="1777606"/>
                                </a:lnTo>
                                <a:lnTo>
                                  <a:pt x="0" y="1777606"/>
                                </a:lnTo>
                                <a:lnTo>
                                  <a:pt x="0" y="1783956"/>
                                </a:lnTo>
                                <a:lnTo>
                                  <a:pt x="18783" y="1783956"/>
                                </a:lnTo>
                                <a:lnTo>
                                  <a:pt x="18783" y="1804365"/>
                                </a:lnTo>
                                <a:lnTo>
                                  <a:pt x="25133" y="1804365"/>
                                </a:lnTo>
                                <a:lnTo>
                                  <a:pt x="25133" y="1783956"/>
                                </a:lnTo>
                                <a:lnTo>
                                  <a:pt x="275501" y="1783956"/>
                                </a:lnTo>
                                <a:lnTo>
                                  <a:pt x="275501" y="1804365"/>
                                </a:lnTo>
                                <a:lnTo>
                                  <a:pt x="281851" y="1804365"/>
                                </a:lnTo>
                                <a:lnTo>
                                  <a:pt x="281851" y="1783956"/>
                                </a:lnTo>
                                <a:lnTo>
                                  <a:pt x="532231" y="1783956"/>
                                </a:lnTo>
                                <a:lnTo>
                                  <a:pt x="532231" y="1804365"/>
                                </a:lnTo>
                                <a:lnTo>
                                  <a:pt x="538581" y="1804365"/>
                                </a:lnTo>
                                <a:lnTo>
                                  <a:pt x="538581" y="1783956"/>
                                </a:lnTo>
                                <a:lnTo>
                                  <a:pt x="782701" y="1783956"/>
                                </a:lnTo>
                                <a:lnTo>
                                  <a:pt x="782701" y="1804365"/>
                                </a:lnTo>
                                <a:lnTo>
                                  <a:pt x="789051" y="1804365"/>
                                </a:lnTo>
                                <a:lnTo>
                                  <a:pt x="789051" y="1783956"/>
                                </a:lnTo>
                                <a:lnTo>
                                  <a:pt x="1039418" y="1783956"/>
                                </a:lnTo>
                                <a:lnTo>
                                  <a:pt x="1039418" y="1804365"/>
                                </a:lnTo>
                                <a:lnTo>
                                  <a:pt x="1045768" y="1804365"/>
                                </a:lnTo>
                                <a:lnTo>
                                  <a:pt x="1045768" y="1783956"/>
                                </a:lnTo>
                                <a:lnTo>
                                  <a:pt x="1296149" y="1783956"/>
                                </a:lnTo>
                                <a:lnTo>
                                  <a:pt x="1296149" y="1804365"/>
                                </a:lnTo>
                                <a:lnTo>
                                  <a:pt x="1302499" y="1804365"/>
                                </a:lnTo>
                                <a:lnTo>
                                  <a:pt x="1302499" y="1783956"/>
                                </a:lnTo>
                                <a:lnTo>
                                  <a:pt x="1552867" y="1783956"/>
                                </a:lnTo>
                                <a:lnTo>
                                  <a:pt x="1552867" y="1804365"/>
                                </a:lnTo>
                                <a:lnTo>
                                  <a:pt x="1559217" y="1804365"/>
                                </a:lnTo>
                                <a:lnTo>
                                  <a:pt x="1559217" y="1783956"/>
                                </a:lnTo>
                                <a:lnTo>
                                  <a:pt x="1803336" y="1783956"/>
                                </a:lnTo>
                                <a:lnTo>
                                  <a:pt x="1803336" y="1804365"/>
                                </a:lnTo>
                                <a:lnTo>
                                  <a:pt x="1809686" y="1804365"/>
                                </a:lnTo>
                                <a:lnTo>
                                  <a:pt x="1809686" y="1783956"/>
                                </a:lnTo>
                                <a:lnTo>
                                  <a:pt x="2060054" y="1783956"/>
                                </a:lnTo>
                                <a:lnTo>
                                  <a:pt x="2060054" y="1804365"/>
                                </a:lnTo>
                                <a:lnTo>
                                  <a:pt x="2066404" y="1804365"/>
                                </a:lnTo>
                                <a:lnTo>
                                  <a:pt x="2066404" y="1783956"/>
                                </a:lnTo>
                                <a:lnTo>
                                  <a:pt x="2316784" y="1783956"/>
                                </a:lnTo>
                                <a:lnTo>
                                  <a:pt x="2316784" y="1804365"/>
                                </a:lnTo>
                                <a:lnTo>
                                  <a:pt x="2323134" y="1804365"/>
                                </a:lnTo>
                                <a:lnTo>
                                  <a:pt x="2323134" y="1783956"/>
                                </a:lnTo>
                                <a:lnTo>
                                  <a:pt x="2573515" y="1783956"/>
                                </a:lnTo>
                                <a:lnTo>
                                  <a:pt x="2573515" y="1804365"/>
                                </a:lnTo>
                                <a:lnTo>
                                  <a:pt x="2579865" y="1804365"/>
                                </a:lnTo>
                                <a:lnTo>
                                  <a:pt x="2579865" y="1783956"/>
                                </a:lnTo>
                                <a:lnTo>
                                  <a:pt x="2830220" y="1783956"/>
                                </a:lnTo>
                                <a:lnTo>
                                  <a:pt x="2830220" y="1804365"/>
                                </a:lnTo>
                                <a:lnTo>
                                  <a:pt x="2836570" y="1804365"/>
                                </a:lnTo>
                                <a:lnTo>
                                  <a:pt x="2836570" y="1783956"/>
                                </a:lnTo>
                                <a:lnTo>
                                  <a:pt x="3080702" y="1783956"/>
                                </a:lnTo>
                                <a:lnTo>
                                  <a:pt x="3080702" y="1804365"/>
                                </a:lnTo>
                                <a:lnTo>
                                  <a:pt x="3087052" y="1804365"/>
                                </a:lnTo>
                                <a:lnTo>
                                  <a:pt x="3087052" y="1783956"/>
                                </a:lnTo>
                                <a:lnTo>
                                  <a:pt x="3337420" y="1783956"/>
                                </a:lnTo>
                                <a:lnTo>
                                  <a:pt x="3337420" y="1804365"/>
                                </a:lnTo>
                                <a:lnTo>
                                  <a:pt x="3343770" y="1804365"/>
                                </a:lnTo>
                                <a:lnTo>
                                  <a:pt x="3343770" y="1783956"/>
                                </a:lnTo>
                                <a:lnTo>
                                  <a:pt x="3594150" y="1783956"/>
                                </a:lnTo>
                                <a:lnTo>
                                  <a:pt x="3594150" y="1804365"/>
                                </a:lnTo>
                                <a:lnTo>
                                  <a:pt x="3600500" y="1804365"/>
                                </a:lnTo>
                                <a:lnTo>
                                  <a:pt x="3600500" y="1783956"/>
                                </a:lnTo>
                                <a:lnTo>
                                  <a:pt x="3850868" y="1783956"/>
                                </a:lnTo>
                                <a:lnTo>
                                  <a:pt x="3850868" y="1804365"/>
                                </a:lnTo>
                                <a:lnTo>
                                  <a:pt x="3857218" y="1804365"/>
                                </a:lnTo>
                                <a:lnTo>
                                  <a:pt x="3857218" y="1783956"/>
                                </a:lnTo>
                                <a:lnTo>
                                  <a:pt x="4101325" y="1783956"/>
                                </a:lnTo>
                                <a:lnTo>
                                  <a:pt x="4101325" y="1804365"/>
                                </a:lnTo>
                                <a:lnTo>
                                  <a:pt x="4107675" y="1804365"/>
                                </a:lnTo>
                                <a:lnTo>
                                  <a:pt x="4107675" y="1783956"/>
                                </a:lnTo>
                                <a:lnTo>
                                  <a:pt x="4358068" y="1783956"/>
                                </a:lnTo>
                                <a:lnTo>
                                  <a:pt x="4358068" y="1804365"/>
                                </a:lnTo>
                                <a:lnTo>
                                  <a:pt x="4364418" y="1804365"/>
                                </a:lnTo>
                                <a:lnTo>
                                  <a:pt x="4364418" y="1783956"/>
                                </a:lnTo>
                                <a:lnTo>
                                  <a:pt x="4614773" y="1783956"/>
                                </a:lnTo>
                                <a:lnTo>
                                  <a:pt x="4614773" y="1804365"/>
                                </a:lnTo>
                                <a:lnTo>
                                  <a:pt x="4621123" y="1804365"/>
                                </a:lnTo>
                                <a:lnTo>
                                  <a:pt x="4621123" y="1777606"/>
                                </a:lnTo>
                                <a:close/>
                              </a:path>
                            </a:pathLst>
                          </a:custGeom>
                          <a:solidFill>
                            <a:srgbClr val="000000"/>
                          </a:solidFill>
                        </wps:spPr>
                        <wps:bodyPr wrap="square" lIns="0" tIns="0" rIns="0" bIns="0" rtlCol="0">
                          <a:prstTxWarp prst="textNoShape">
                            <a:avLst/>
                          </a:prstTxWarp>
                          <a:noAutofit/>
                        </wps:bodyPr>
                      </wps:wsp>
                      <wps:wsp>
                        <wps:cNvPr id="2372" name="Textbox 2372"/>
                        <wps:cNvSpPr txBox="1"/>
                        <wps:spPr>
                          <a:xfrm>
                            <a:off x="3175" y="3175"/>
                            <a:ext cx="5039360" cy="2447290"/>
                          </a:xfrm>
                          <a:prstGeom prst="rect">
                            <a:avLst/>
                          </a:prstGeom>
                          <a:ln w="6350">
                            <a:solidFill>
                              <a:srgbClr val="000000"/>
                            </a:solidFill>
                            <a:prstDash val="solid"/>
                          </a:ln>
                        </wps:spPr>
                        <wps:txbx>
                          <w:txbxContent>
                            <w:p>
                              <w:pPr>
                                <w:spacing w:line="240" w:lineRule="auto" w:before="79"/>
                                <w:rPr>
                                  <w:sz w:val="14"/>
                                </w:rPr>
                              </w:pPr>
                            </w:p>
                            <w:p>
                              <w:pPr>
                                <w:spacing w:before="0"/>
                                <w:ind w:left="0" w:right="7472" w:firstLine="0"/>
                                <w:jc w:val="right"/>
                                <w:rPr>
                                  <w:rFonts w:ascii="Arial MT"/>
                                  <w:sz w:val="14"/>
                                </w:rPr>
                              </w:pPr>
                              <w:r>
                                <w:rPr>
                                  <w:rFonts w:ascii="Arial MT"/>
                                  <w:spacing w:val="-2"/>
                                  <w:w w:val="90"/>
                                  <w:sz w:val="14"/>
                                </w:rPr>
                                <w:t>16000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2"/>
                                  <w:w w:val="90"/>
                                  <w:sz w:val="14"/>
                                </w:rPr>
                                <w:t>14000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2"/>
                                  <w:w w:val="90"/>
                                  <w:sz w:val="14"/>
                                </w:rPr>
                                <w:t>12000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2"/>
                                  <w:w w:val="90"/>
                                  <w:sz w:val="14"/>
                                </w:rPr>
                                <w:t>10000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4"/>
                                  <w:w w:val="90"/>
                                  <w:sz w:val="14"/>
                                </w:rPr>
                                <w:t>8000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4"/>
                                  <w:w w:val="90"/>
                                  <w:sz w:val="14"/>
                                </w:rPr>
                                <w:t>6000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4"/>
                                  <w:w w:val="90"/>
                                  <w:sz w:val="14"/>
                                </w:rPr>
                                <w:t>4000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4"/>
                                  <w:w w:val="90"/>
                                  <w:sz w:val="14"/>
                                </w:rPr>
                                <w:t>2000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10"/>
                                  <w:w w:val="90"/>
                                  <w:sz w:val="14"/>
                                </w:rPr>
                                <w:t>0</w:t>
                              </w:r>
                            </w:p>
                          </w:txbxContent>
                        </wps:txbx>
                        <wps:bodyPr wrap="square" lIns="0" tIns="0" rIns="0" bIns="0" rtlCol="0">
                          <a:noAutofit/>
                        </wps:bodyPr>
                      </wps:wsp>
                    </wpg:wgp>
                  </a:graphicData>
                </a:graphic>
              </wp:anchor>
            </w:drawing>
          </mc:Choice>
          <mc:Fallback>
            <w:pict>
              <v:group style="position:absolute;margin-left:100.401573pt;margin-top:18.7561pt;width:397.3pt;height:193.2pt;mso-position-horizontal-relative:page;mso-position-vertical-relative:paragraph;z-index:15901184" id="docshapegroup2308" coordorigin="2008,375" coordsize="7946,3864">
                <v:shape style="position:absolute;left:2534;top:705;width:46;height:2454" id="docshape2309" coordorigin="2534,706" coordsize="46,2454" path="m2580,3149l2534,3149,2534,3159,2580,3159,2580,3149xm2580,2806l2534,2806,2534,2816,2580,2816,2580,2806xm2580,2453l2534,2453,2534,2463,2580,2463,2580,2453xm2580,2110l2534,2110,2534,2120,2580,2120,2580,2110xm2580,1756l2534,1756,2534,1766,2580,1766,2580,1756xm2580,1402l2534,1402,2534,1412,2580,1412,2580,1402xm2580,1059l2534,1059,2534,1069,2580,1069,2580,1059xm2580,706l2534,706,2534,716,2580,716,2580,706xe" filled="true" fillcolor="#000000" stroked="false">
                  <v:path arrowok="t"/>
                  <v:fill type="solid"/>
                </v:shape>
                <v:shape style="position:absolute;left:2660;top:764;width:7081;height:2744" id="docshape2310" coordorigin="2660,764" coordsize="7081,2744" path="m2907,764l2660,764,2660,3508,2907,3508,2907,764xm3311,2040l3065,2040,3065,3508,3311,3508,3311,2040xm3706,2779l3469,2779,3469,3508,3706,3508,3706,2779xm4110,2929l3863,2929,3863,3508,4110,3508,4110,2929xm4514,3036l4268,3036,4268,3508,4514,3508,4514,3036xm4919,3154l4672,3154,4672,3508,4919,3508,4919,3154xm5313,3176l5076,3176,5076,3508,5313,3508,5313,3176xm5717,3186l5471,3186,5471,3508,5717,3508,5717,3186xm6122,3251l5875,3251,5875,3508,6122,3508,6122,3251xm6526,3315l6280,3315,6280,3508,6526,3508,6526,3315xm6931,3326l6684,3326,6684,3508,6931,3508,6931,3326xm7325,3347l7088,3347,7088,3508,7325,3508,7325,3347xm7729,3358l7483,3358,7483,3508,7729,3508,7729,3358xm8134,3379l7887,3379,7887,3508,8134,3508,8134,3379xm8538,3390l8291,3390,8291,3508,8538,3508,8538,3390xm8932,3401l8696,3401,8696,3508,8932,3508,8932,3401xm9337,3433l9090,3433,9090,3508,9337,3508,9337,3433xm9741,3454l9495,3454,9495,3508,9741,3508,9741,3454xe" filled="true" fillcolor="#2f7d41" stroked="false">
                  <v:path arrowok="t"/>
                  <v:fill type="solid"/>
                </v:shape>
                <v:shape style="position:absolute;left:2547;top:703;width:7278;height:2842" id="docshape2311" coordorigin="2547,703" coordsize="7278,2842" path="m9825,3503l9825,3503,2587,3503,2587,703,2577,703,2577,706,2547,706,2547,716,2577,716,2577,1059,2547,1059,2547,1069,2577,1069,2577,1402,2547,1402,2547,1412,2577,1412,2577,1756,2547,1756,2547,1766,2577,1766,2577,2110,2547,2110,2547,2120,2577,2120,2577,2453,2547,2453,2547,2463,2577,2463,2577,2806,2547,2806,2547,2816,2577,2816,2577,3149,2547,3149,2547,3159,2577,3159,2577,3503,2547,3503,2547,3513,2577,3513,2577,3545,2587,3545,2587,3513,2981,3513,2981,3545,2991,3545,2991,3513,3385,3513,3385,3545,3395,3545,3395,3513,3780,3513,3780,3545,3790,3545,3790,3513,4184,3513,4184,3545,4194,3545,4194,3513,4588,3513,4588,3545,4598,3545,4598,3513,4993,3513,4993,3545,5003,3545,5003,3513,5387,3513,5387,3545,5397,3545,5397,3513,5791,3513,5791,3545,5801,3545,5801,3513,6196,3513,6196,3545,6206,3545,6206,3513,6600,3513,6600,3545,6610,3545,6610,3513,7004,3513,7004,3545,7014,3545,7014,3513,7399,3513,7399,3545,7409,3545,7409,3513,7803,3513,7803,3545,7813,3545,7813,3513,8207,3513,8207,3545,8217,3545,8217,3513,8612,3513,8612,3545,8622,3545,8622,3513,9006,3513,9006,3545,9016,3545,9016,3513,9410,3513,9410,3545,9420,3545,9420,3513,9815,3513,9815,3545,9825,3545,9825,3503xe" filled="true" fillcolor="#000000" stroked="false">
                  <v:path arrowok="t"/>
                  <v:fill type="solid"/>
                </v:shape>
                <v:shape style="position:absolute;left:2013;top:380;width:7936;height:3854" type="#_x0000_t202" id="docshape2312" filled="false" stroked="true" strokeweight=".500040pt" strokecolor="#000000">
                  <v:textbox inset="0,0,0,0">
                    <w:txbxContent>
                      <w:p>
                        <w:pPr>
                          <w:spacing w:line="240" w:lineRule="auto" w:before="79"/>
                          <w:rPr>
                            <w:sz w:val="14"/>
                          </w:rPr>
                        </w:pPr>
                      </w:p>
                      <w:p>
                        <w:pPr>
                          <w:spacing w:before="0"/>
                          <w:ind w:left="0" w:right="7472" w:firstLine="0"/>
                          <w:jc w:val="right"/>
                          <w:rPr>
                            <w:rFonts w:ascii="Arial MT"/>
                            <w:sz w:val="14"/>
                          </w:rPr>
                        </w:pPr>
                        <w:r>
                          <w:rPr>
                            <w:rFonts w:ascii="Arial MT"/>
                            <w:spacing w:val="-2"/>
                            <w:w w:val="90"/>
                            <w:sz w:val="14"/>
                          </w:rPr>
                          <w:t>16000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2"/>
                            <w:w w:val="90"/>
                            <w:sz w:val="14"/>
                          </w:rPr>
                          <w:t>14000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2"/>
                            <w:w w:val="90"/>
                            <w:sz w:val="14"/>
                          </w:rPr>
                          <w:t>12000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2"/>
                            <w:w w:val="90"/>
                            <w:sz w:val="14"/>
                          </w:rPr>
                          <w:t>10000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4"/>
                            <w:w w:val="90"/>
                            <w:sz w:val="14"/>
                          </w:rPr>
                          <w:t>8000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4"/>
                            <w:w w:val="90"/>
                            <w:sz w:val="14"/>
                          </w:rPr>
                          <w:t>6000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4"/>
                            <w:w w:val="90"/>
                            <w:sz w:val="14"/>
                          </w:rPr>
                          <w:t>4000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4"/>
                            <w:w w:val="90"/>
                            <w:sz w:val="14"/>
                          </w:rPr>
                          <w:t>2000</w:t>
                        </w:r>
                      </w:p>
                      <w:p>
                        <w:pPr>
                          <w:spacing w:line="240" w:lineRule="auto" w:before="28"/>
                          <w:rPr>
                            <w:rFonts w:ascii="Arial MT"/>
                            <w:sz w:val="14"/>
                          </w:rPr>
                        </w:pPr>
                      </w:p>
                      <w:p>
                        <w:pPr>
                          <w:spacing w:before="0"/>
                          <w:ind w:left="0" w:right="7472" w:firstLine="0"/>
                          <w:jc w:val="right"/>
                          <w:rPr>
                            <w:rFonts w:ascii="Arial MT"/>
                            <w:sz w:val="14"/>
                          </w:rPr>
                        </w:pPr>
                        <w:r>
                          <w:rPr>
                            <w:rFonts w:ascii="Arial MT"/>
                            <w:spacing w:val="-10"/>
                            <w:w w:val="90"/>
                            <w:sz w:val="14"/>
                          </w:rPr>
                          <w:t>0</w:t>
                        </w:r>
                      </w:p>
                    </w:txbxContent>
                  </v:textbox>
                  <v:stroke dashstyle="solid"/>
                  <w10:wrap type="none"/>
                </v:shape>
                <w10:wrap type="none"/>
              </v:group>
            </w:pict>
          </mc:Fallback>
        </mc:AlternateContent>
      </w:r>
      <w:r>
        <w:rPr>
          <w:w w:val="90"/>
        </w:rPr>
        <w:t>Figure</w:t>
      </w:r>
      <w:r>
        <w:rPr>
          <w:spacing w:val="9"/>
        </w:rPr>
        <w:t> </w:t>
      </w:r>
      <w:r>
        <w:rPr>
          <w:w w:val="90"/>
        </w:rPr>
        <w:t>51:</w:t>
      </w:r>
      <w:r>
        <w:rPr>
          <w:spacing w:val="9"/>
        </w:rPr>
        <w:t> </w:t>
      </w:r>
      <w:r>
        <w:rPr>
          <w:color w:val="2E614A"/>
          <w:w w:val="90"/>
        </w:rPr>
        <w:t>Enrolment</w:t>
      </w:r>
      <w:r>
        <w:rPr>
          <w:color w:val="2E614A"/>
          <w:spacing w:val="9"/>
        </w:rPr>
        <w:t> </w:t>
      </w:r>
      <w:r>
        <w:rPr>
          <w:color w:val="2E614A"/>
          <w:w w:val="90"/>
        </w:rPr>
        <w:t>in</w:t>
      </w:r>
      <w:r>
        <w:rPr>
          <w:color w:val="2E614A"/>
          <w:spacing w:val="10"/>
        </w:rPr>
        <w:t> </w:t>
      </w:r>
      <w:r>
        <w:rPr>
          <w:color w:val="2E614A"/>
          <w:w w:val="90"/>
        </w:rPr>
        <w:t>agriculture</w:t>
      </w:r>
      <w:r>
        <w:rPr>
          <w:color w:val="2E614A"/>
          <w:spacing w:val="9"/>
        </w:rPr>
        <w:t> </w:t>
      </w:r>
      <w:r>
        <w:rPr>
          <w:color w:val="2E614A"/>
          <w:w w:val="90"/>
        </w:rPr>
        <w:t>education</w:t>
      </w:r>
      <w:r>
        <w:rPr>
          <w:color w:val="2E614A"/>
          <w:spacing w:val="9"/>
        </w:rPr>
        <w:t> </w:t>
      </w:r>
      <w:r>
        <w:rPr>
          <w:color w:val="2E614A"/>
          <w:spacing w:val="-2"/>
          <w:w w:val="90"/>
        </w:rPr>
        <w:t>(2001)</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51"/>
        <w:rPr>
          <w:b/>
          <w:sz w:val="24"/>
        </w:rPr>
      </w:pPr>
    </w:p>
    <w:p>
      <w:pPr>
        <w:spacing w:before="0"/>
        <w:ind w:left="2008" w:right="0" w:firstLine="0"/>
        <w:jc w:val="left"/>
        <w:rPr>
          <w:sz w:val="16"/>
        </w:rPr>
      </w:pPr>
      <w:r>
        <w:rPr/>
        <mc:AlternateContent>
          <mc:Choice Requires="wps">
            <w:drawing>
              <wp:anchor distT="0" distB="0" distL="0" distR="0" allowOverlap="1" layoutInCell="1" locked="0" behindDoc="0" simplePos="0" relativeHeight="15902208">
                <wp:simplePos x="0" y="0"/>
                <wp:positionH relativeFrom="page">
                  <wp:posOffset>1371582</wp:posOffset>
                </wp:positionH>
                <wp:positionV relativeFrom="paragraph">
                  <wp:posOffset>-351507</wp:posOffset>
                </wp:positionV>
                <wp:extent cx="451484" cy="88900"/>
                <wp:effectExtent l="0" t="0" r="0" b="0"/>
                <wp:wrapNone/>
                <wp:docPr id="2373" name="Textbox 2373"/>
                <wp:cNvGraphicFramePr>
                  <a:graphicFrameLocks/>
                </wp:cNvGraphicFramePr>
                <a:graphic>
                  <a:graphicData uri="http://schemas.microsoft.com/office/word/2010/wordprocessingShape">
                    <wps:wsp>
                      <wps:cNvPr id="2373" name="Textbox 2373"/>
                      <wps:cNvSpPr txBox="1"/>
                      <wps:spPr>
                        <a:xfrm rot="19860000">
                          <a:off x="0" y="0"/>
                          <a:ext cx="451484" cy="88900"/>
                        </a:xfrm>
                        <a:prstGeom prst="rect">
                          <a:avLst/>
                        </a:prstGeom>
                      </wps:spPr>
                      <wps:txbx>
                        <w:txbxContent>
                          <w:p>
                            <w:pPr>
                              <w:spacing w:line="140" w:lineRule="exact" w:before="0"/>
                              <w:ind w:left="0" w:right="0" w:firstLine="0"/>
                              <w:jc w:val="left"/>
                              <w:rPr>
                                <w:rFonts w:ascii="Arial MT"/>
                                <w:sz w:val="14"/>
                              </w:rPr>
                            </w:pPr>
                            <w:r>
                              <w:rPr>
                                <w:rFonts w:ascii="Arial MT"/>
                                <w:w w:val="80"/>
                                <w:sz w:val="14"/>
                              </w:rPr>
                              <w:t>Uttar</w:t>
                            </w:r>
                            <w:r>
                              <w:rPr>
                                <w:rFonts w:ascii="Arial MT"/>
                                <w:spacing w:val="-2"/>
                                <w:w w:val="85"/>
                                <w:sz w:val="14"/>
                              </w:rPr>
                              <w:t> </w:t>
                            </w:r>
                            <w:r>
                              <w:rPr>
                                <w:rFonts w:ascii="Arial MT"/>
                                <w:spacing w:val="-4"/>
                                <w:w w:val="85"/>
                                <w:sz w:val="14"/>
                              </w:rPr>
                              <w:t>Pradesh</w:t>
                            </w:r>
                          </w:p>
                        </w:txbxContent>
                      </wps:txbx>
                      <wps:bodyPr wrap="square" lIns="0" tIns="0" rIns="0" bIns="0" rtlCol="0">
                        <a:noAutofit/>
                      </wps:bodyPr>
                    </wps:wsp>
                  </a:graphicData>
                </a:graphic>
              </wp:anchor>
            </w:drawing>
          </mc:Choice>
          <mc:Fallback>
            <w:pict>
              <v:shape style="position:absolute;margin-left:107.998604pt;margin-top:-27.67779pt;width:35.550pt;height:7pt;mso-position-horizontal-relative:page;mso-position-vertical-relative:paragraph;z-index:15902208;rotation:331" type="#_x0000_t136" fillcolor="#000000" stroked="f">
                <o:extrusion v:ext="view" autorotationcenter="t"/>
                <v:textpath style="font-family:&quot;Arial MT&quot;;font-size:7pt;v-text-kern:t;mso-text-shadow:auto" string="Uttar Pradesh"/>
                <w10:wrap type="none"/>
              </v:shape>
            </w:pict>
          </mc:Fallback>
        </mc:AlternateContent>
      </w:r>
      <w:r>
        <w:rPr/>
        <mc:AlternateContent>
          <mc:Choice Requires="wps">
            <w:drawing>
              <wp:anchor distT="0" distB="0" distL="0" distR="0" allowOverlap="1" layoutInCell="1" locked="0" behindDoc="0" simplePos="0" relativeHeight="15902720">
                <wp:simplePos x="0" y="0"/>
                <wp:positionH relativeFrom="page">
                  <wp:posOffset>1658747</wp:posOffset>
                </wp:positionH>
                <wp:positionV relativeFrom="paragraph">
                  <wp:posOffset>-361777</wp:posOffset>
                </wp:positionV>
                <wp:extent cx="411480" cy="88900"/>
                <wp:effectExtent l="0" t="0" r="0" b="0"/>
                <wp:wrapNone/>
                <wp:docPr id="2374" name="Textbox 2374"/>
                <wp:cNvGraphicFramePr>
                  <a:graphicFrameLocks/>
                </wp:cNvGraphicFramePr>
                <a:graphic>
                  <a:graphicData uri="http://schemas.microsoft.com/office/word/2010/wordprocessingShape">
                    <wps:wsp>
                      <wps:cNvPr id="2374" name="Textbox 2374"/>
                      <wps:cNvSpPr txBox="1"/>
                      <wps:spPr>
                        <a:xfrm rot="19860000">
                          <a:off x="0" y="0"/>
                          <a:ext cx="41148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Maharashtra</w:t>
                            </w:r>
                          </w:p>
                        </w:txbxContent>
                      </wps:txbx>
                      <wps:bodyPr wrap="square" lIns="0" tIns="0" rIns="0" bIns="0" rtlCol="0">
                        <a:noAutofit/>
                      </wps:bodyPr>
                    </wps:wsp>
                  </a:graphicData>
                </a:graphic>
              </wp:anchor>
            </w:drawing>
          </mc:Choice>
          <mc:Fallback>
            <w:pict>
              <v:shape style="position:absolute;margin-left:130.610031pt;margin-top:-28.486441pt;width:32.4pt;height:7pt;mso-position-horizontal-relative:page;mso-position-vertical-relative:paragraph;z-index:15902720;rotation:331" type="#_x0000_t136" fillcolor="#000000" stroked="f">
                <o:extrusion v:ext="view" autorotationcenter="t"/>
                <v:textpath style="font-family:&quot;Arial MT&quot;;font-size:7pt;v-text-kern:t;mso-text-shadow:auto" string="Maharashtra"/>
                <w10:wrap type="none"/>
              </v:shape>
            </w:pict>
          </mc:Fallback>
        </mc:AlternateContent>
      </w:r>
      <w:r>
        <w:rPr/>
        <mc:AlternateContent>
          <mc:Choice Requires="wps">
            <w:drawing>
              <wp:anchor distT="0" distB="0" distL="0" distR="0" allowOverlap="1" layoutInCell="1" locked="0" behindDoc="0" simplePos="0" relativeHeight="15903232">
                <wp:simplePos x="0" y="0"/>
                <wp:positionH relativeFrom="page">
                  <wp:posOffset>1995684</wp:posOffset>
                </wp:positionH>
                <wp:positionV relativeFrom="paragraph">
                  <wp:posOffset>-381303</wp:posOffset>
                </wp:positionV>
                <wp:extent cx="334645" cy="88900"/>
                <wp:effectExtent l="0" t="0" r="0" b="0"/>
                <wp:wrapNone/>
                <wp:docPr id="2375" name="Textbox 2375"/>
                <wp:cNvGraphicFramePr>
                  <a:graphicFrameLocks/>
                </wp:cNvGraphicFramePr>
                <a:graphic>
                  <a:graphicData uri="http://schemas.microsoft.com/office/word/2010/wordprocessingShape">
                    <wps:wsp>
                      <wps:cNvPr id="2375" name="Textbox 2375"/>
                      <wps:cNvSpPr txBox="1"/>
                      <wps:spPr>
                        <a:xfrm rot="19860000">
                          <a:off x="0" y="0"/>
                          <a:ext cx="33464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Karnataka</w:t>
                            </w:r>
                          </w:p>
                        </w:txbxContent>
                      </wps:txbx>
                      <wps:bodyPr wrap="square" lIns="0" tIns="0" rIns="0" bIns="0" rtlCol="0">
                        <a:noAutofit/>
                      </wps:bodyPr>
                    </wps:wsp>
                  </a:graphicData>
                </a:graphic>
              </wp:anchor>
            </w:drawing>
          </mc:Choice>
          <mc:Fallback>
            <w:pict>
              <v:shape style="position:absolute;margin-left:157.140488pt;margin-top:-30.023901pt;width:26.35pt;height:7pt;mso-position-horizontal-relative:page;mso-position-vertical-relative:paragraph;z-index:15903232;rotation:331" type="#_x0000_t136" fillcolor="#000000" stroked="f">
                <o:extrusion v:ext="view" autorotationcenter="t"/>
                <v:textpath style="font-family:&quot;Arial MT&quot;;font-size:7pt;v-text-kern:t;mso-text-shadow:auto" string="Karnataka"/>
                <w10:wrap type="none"/>
              </v:shape>
            </w:pict>
          </mc:Fallback>
        </mc:AlternateContent>
      </w:r>
      <w:r>
        <w:rPr/>
        <mc:AlternateContent>
          <mc:Choice Requires="wps">
            <w:drawing>
              <wp:anchor distT="0" distB="0" distL="0" distR="0" allowOverlap="1" layoutInCell="1" locked="0" behindDoc="0" simplePos="0" relativeHeight="15903744">
                <wp:simplePos x="0" y="0"/>
                <wp:positionH relativeFrom="page">
                  <wp:posOffset>2228452</wp:posOffset>
                </wp:positionH>
                <wp:positionV relativeFrom="paragraph">
                  <wp:posOffset>-373096</wp:posOffset>
                </wp:positionV>
                <wp:extent cx="366395" cy="88900"/>
                <wp:effectExtent l="0" t="0" r="0" b="0"/>
                <wp:wrapNone/>
                <wp:docPr id="2376" name="Textbox 2376"/>
                <wp:cNvGraphicFramePr>
                  <a:graphicFrameLocks/>
                </wp:cNvGraphicFramePr>
                <a:graphic>
                  <a:graphicData uri="http://schemas.microsoft.com/office/word/2010/wordprocessingShape">
                    <wps:wsp>
                      <wps:cNvPr id="2376" name="Textbox 2376"/>
                      <wps:cNvSpPr txBox="1"/>
                      <wps:spPr>
                        <a:xfrm rot="19860000">
                          <a:off x="0" y="0"/>
                          <a:ext cx="366395" cy="88900"/>
                        </a:xfrm>
                        <a:prstGeom prst="rect">
                          <a:avLst/>
                        </a:prstGeom>
                      </wps:spPr>
                      <wps:txbx>
                        <w:txbxContent>
                          <w:p>
                            <w:pPr>
                              <w:spacing w:line="140" w:lineRule="exact" w:before="0"/>
                              <w:ind w:left="0" w:right="0" w:firstLine="0"/>
                              <w:jc w:val="left"/>
                              <w:rPr>
                                <w:rFonts w:ascii="Arial MT"/>
                                <w:sz w:val="14"/>
                              </w:rPr>
                            </w:pPr>
                            <w:r>
                              <w:rPr>
                                <w:rFonts w:ascii="Arial MT"/>
                                <w:spacing w:val="-4"/>
                                <w:w w:val="80"/>
                                <w:sz w:val="14"/>
                              </w:rPr>
                              <w:t>Tamil</w:t>
                            </w:r>
                            <w:r>
                              <w:rPr>
                                <w:rFonts w:ascii="Arial MT"/>
                                <w:spacing w:val="-5"/>
                                <w:sz w:val="14"/>
                              </w:rPr>
                              <w:t> </w:t>
                            </w:r>
                            <w:r>
                              <w:rPr>
                                <w:rFonts w:ascii="Arial MT"/>
                                <w:spacing w:val="-4"/>
                                <w:w w:val="85"/>
                                <w:position w:val="1"/>
                                <w:sz w:val="14"/>
                              </w:rPr>
                              <w:t>Nadu</w:t>
                            </w:r>
                          </w:p>
                        </w:txbxContent>
                      </wps:txbx>
                      <wps:bodyPr wrap="square" lIns="0" tIns="0" rIns="0" bIns="0" rtlCol="0">
                        <a:noAutofit/>
                      </wps:bodyPr>
                    </wps:wsp>
                  </a:graphicData>
                </a:graphic>
              </wp:anchor>
            </w:drawing>
          </mc:Choice>
          <mc:Fallback>
            <w:pict>
              <v:shape style="position:absolute;margin-left:175.468735pt;margin-top:-29.377653pt;width:28.85pt;height:7pt;mso-position-horizontal-relative:page;mso-position-vertical-relative:paragraph;z-index:15903744;rotation:331" type="#_x0000_t136" fillcolor="#000000" stroked="f">
                <o:extrusion v:ext="view" autorotationcenter="t"/>
                <v:textpath style="font-family:&quot;Arial MT&quot;;font-size:7pt;v-text-kern:t;mso-text-shadow:auto" string="Tamil Nadu"/>
                <w10:wrap type="none"/>
              </v:shape>
            </w:pict>
          </mc:Fallback>
        </mc:AlternateContent>
      </w:r>
      <w:r>
        <w:rPr/>
        <mc:AlternateContent>
          <mc:Choice Requires="wps">
            <w:drawing>
              <wp:anchor distT="0" distB="0" distL="0" distR="0" allowOverlap="1" layoutInCell="1" locked="0" behindDoc="0" simplePos="0" relativeHeight="15904256">
                <wp:simplePos x="0" y="0"/>
                <wp:positionH relativeFrom="page">
                  <wp:posOffset>2343836</wp:posOffset>
                </wp:positionH>
                <wp:positionV relativeFrom="paragraph">
                  <wp:posOffset>-331927</wp:posOffset>
                </wp:positionV>
                <wp:extent cx="528955" cy="88900"/>
                <wp:effectExtent l="0" t="0" r="0" b="0"/>
                <wp:wrapNone/>
                <wp:docPr id="2377" name="Textbox 2377"/>
                <wp:cNvGraphicFramePr>
                  <a:graphicFrameLocks/>
                </wp:cNvGraphicFramePr>
                <a:graphic>
                  <a:graphicData uri="http://schemas.microsoft.com/office/word/2010/wordprocessingShape">
                    <wps:wsp>
                      <wps:cNvPr id="2377" name="Textbox 2377"/>
                      <wps:cNvSpPr txBox="1"/>
                      <wps:spPr>
                        <a:xfrm rot="19860000">
                          <a:off x="0" y="0"/>
                          <a:ext cx="528955" cy="88900"/>
                        </a:xfrm>
                        <a:prstGeom prst="rect">
                          <a:avLst/>
                        </a:prstGeom>
                      </wps:spPr>
                      <wps:txbx>
                        <w:txbxContent>
                          <w:p>
                            <w:pPr>
                              <w:spacing w:line="140" w:lineRule="exact" w:before="0"/>
                              <w:ind w:left="0" w:right="0" w:firstLine="0"/>
                              <w:jc w:val="left"/>
                              <w:rPr>
                                <w:rFonts w:ascii="Arial MT"/>
                                <w:sz w:val="14"/>
                              </w:rPr>
                            </w:pPr>
                            <w:r>
                              <w:rPr>
                                <w:rFonts w:ascii="Arial MT"/>
                                <w:w w:val="80"/>
                                <w:sz w:val="14"/>
                              </w:rPr>
                              <w:t>Andhra</w:t>
                            </w:r>
                            <w:r>
                              <w:rPr>
                                <w:rFonts w:ascii="Arial MT"/>
                                <w:spacing w:val="-6"/>
                                <w:sz w:val="14"/>
                              </w:rPr>
                              <w:t> </w:t>
                            </w:r>
                            <w:r>
                              <w:rPr>
                                <w:rFonts w:ascii="Arial MT"/>
                                <w:spacing w:val="-4"/>
                                <w:w w:val="85"/>
                                <w:position w:val="1"/>
                                <w:sz w:val="14"/>
                              </w:rPr>
                              <w:t>Pradesh</w:t>
                            </w:r>
                          </w:p>
                        </w:txbxContent>
                      </wps:txbx>
                      <wps:bodyPr wrap="square" lIns="0" tIns="0" rIns="0" bIns="0" rtlCol="0">
                        <a:noAutofit/>
                      </wps:bodyPr>
                    </wps:wsp>
                  </a:graphicData>
                </a:graphic>
              </wp:anchor>
            </w:drawing>
          </mc:Choice>
          <mc:Fallback>
            <w:pict>
              <v:shape style="position:absolute;margin-left:184.554062pt;margin-top:-26.136049pt;width:41.65pt;height:7pt;mso-position-horizontal-relative:page;mso-position-vertical-relative:paragraph;z-index:15904256;rotation:331" type="#_x0000_t136" fillcolor="#000000" stroked="f">
                <o:extrusion v:ext="view" autorotationcenter="t"/>
                <v:textpath style="font-family:&quot;Arial MT&quot;;font-size:7pt;v-text-kern:t;mso-text-shadow:auto" string="Andhra Pradesh"/>
                <w10:wrap type="none"/>
              </v:shape>
            </w:pict>
          </mc:Fallback>
        </mc:AlternateContent>
      </w:r>
      <w:r>
        <w:rPr/>
        <mc:AlternateContent>
          <mc:Choice Requires="wps">
            <w:drawing>
              <wp:anchor distT="0" distB="0" distL="0" distR="0" allowOverlap="1" layoutInCell="1" locked="0" behindDoc="0" simplePos="0" relativeHeight="15904768">
                <wp:simplePos x="0" y="0"/>
                <wp:positionH relativeFrom="page">
                  <wp:posOffset>2783253</wp:posOffset>
                </wp:positionH>
                <wp:positionV relativeFrom="paragraph">
                  <wp:posOffset>-382339</wp:posOffset>
                </wp:positionV>
                <wp:extent cx="330200" cy="88900"/>
                <wp:effectExtent l="0" t="0" r="0" b="0"/>
                <wp:wrapNone/>
                <wp:docPr id="2378" name="Textbox 2378"/>
                <wp:cNvGraphicFramePr>
                  <a:graphicFrameLocks/>
                </wp:cNvGraphicFramePr>
                <a:graphic>
                  <a:graphicData uri="http://schemas.microsoft.com/office/word/2010/wordprocessingShape">
                    <wps:wsp>
                      <wps:cNvPr id="2378" name="Textbox 2378"/>
                      <wps:cNvSpPr txBox="1"/>
                      <wps:spPr>
                        <a:xfrm rot="19860000">
                          <a:off x="0" y="0"/>
                          <a:ext cx="33020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Rajasthan</w:t>
                            </w:r>
                          </w:p>
                        </w:txbxContent>
                      </wps:txbx>
                      <wps:bodyPr wrap="square" lIns="0" tIns="0" rIns="0" bIns="0" rtlCol="0">
                        <a:noAutofit/>
                      </wps:bodyPr>
                    </wps:wsp>
                  </a:graphicData>
                </a:graphic>
              </wp:anchor>
            </w:drawing>
          </mc:Choice>
          <mc:Fallback>
            <w:pict>
              <v:shape style="position:absolute;margin-left:219.153824pt;margin-top:-30.105442pt;width:26pt;height:7pt;mso-position-horizontal-relative:page;mso-position-vertical-relative:paragraph;z-index:15904768;rotation:331" type="#_x0000_t136" fillcolor="#000000" stroked="f">
                <o:extrusion v:ext="view" autorotationcenter="t"/>
                <v:textpath style="font-family:&quot;Arial MT&quot;;font-size:7pt;v-text-kern:t;mso-text-shadow:auto" string="Rajasthan"/>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2812538</wp:posOffset>
                </wp:positionH>
                <wp:positionV relativeFrom="paragraph">
                  <wp:posOffset>-325757</wp:posOffset>
                </wp:positionV>
                <wp:extent cx="553085" cy="88900"/>
                <wp:effectExtent l="0" t="0" r="0" b="0"/>
                <wp:wrapNone/>
                <wp:docPr id="2379" name="Textbox 2379"/>
                <wp:cNvGraphicFramePr>
                  <a:graphicFrameLocks/>
                </wp:cNvGraphicFramePr>
                <a:graphic>
                  <a:graphicData uri="http://schemas.microsoft.com/office/word/2010/wordprocessingShape">
                    <wps:wsp>
                      <wps:cNvPr id="2379" name="Textbox 2379"/>
                      <wps:cNvSpPr txBox="1"/>
                      <wps:spPr>
                        <a:xfrm rot="19860000">
                          <a:off x="0" y="0"/>
                          <a:ext cx="553085" cy="88900"/>
                        </a:xfrm>
                        <a:prstGeom prst="rect">
                          <a:avLst/>
                        </a:prstGeom>
                      </wps:spPr>
                      <wps:txbx>
                        <w:txbxContent>
                          <w:p>
                            <w:pPr>
                              <w:spacing w:line="140" w:lineRule="exact" w:before="0"/>
                              <w:ind w:left="0" w:right="0" w:firstLine="0"/>
                              <w:jc w:val="left"/>
                              <w:rPr>
                                <w:rFonts w:ascii="Arial MT"/>
                                <w:sz w:val="14"/>
                              </w:rPr>
                            </w:pPr>
                            <w:r>
                              <w:rPr>
                                <w:rFonts w:ascii="Arial MT"/>
                                <w:w w:val="80"/>
                                <w:sz w:val="14"/>
                              </w:rPr>
                              <w:t>Madhya</w:t>
                            </w:r>
                            <w:r>
                              <w:rPr>
                                <w:rFonts w:ascii="Arial MT"/>
                                <w:spacing w:val="-1"/>
                                <w:sz w:val="14"/>
                              </w:rPr>
                              <w:t> </w:t>
                            </w:r>
                            <w:r>
                              <w:rPr>
                                <w:rFonts w:ascii="Arial MT"/>
                                <w:spacing w:val="-4"/>
                                <w:w w:val="85"/>
                                <w:position w:val="1"/>
                                <w:sz w:val="14"/>
                              </w:rPr>
                              <w:t>Pradesh</w:t>
                            </w:r>
                          </w:p>
                        </w:txbxContent>
                      </wps:txbx>
                      <wps:bodyPr wrap="square" lIns="0" tIns="0" rIns="0" bIns="0" rtlCol="0">
                        <a:noAutofit/>
                      </wps:bodyPr>
                    </wps:wsp>
                  </a:graphicData>
                </a:graphic>
              </wp:anchor>
            </w:drawing>
          </mc:Choice>
          <mc:Fallback>
            <w:pict>
              <v:shape style="position:absolute;margin-left:221.459702pt;margin-top:-25.65023pt;width:43.55pt;height:7pt;mso-position-horizontal-relative:page;mso-position-vertical-relative:paragraph;z-index:15905280;rotation:331" type="#_x0000_t136" fillcolor="#000000" stroked="f">
                <o:extrusion v:ext="view" autorotationcenter="t"/>
                <v:textpath style="font-family:&quot;Arial MT&quot;;font-size:7pt;v-text-kern:t;mso-text-shadow:auto" string="Madhya Pradesh"/>
                <w10:wrap type="none"/>
              </v:shape>
            </w:pict>
          </mc:Fallback>
        </mc:AlternateContent>
      </w:r>
      <w:r>
        <w:rPr/>
        <mc:AlternateContent>
          <mc:Choice Requires="wps">
            <w:drawing>
              <wp:anchor distT="0" distB="0" distL="0" distR="0" allowOverlap="1" layoutInCell="1" locked="0" behindDoc="0" simplePos="0" relativeHeight="15905792">
                <wp:simplePos x="0" y="0"/>
                <wp:positionH relativeFrom="page">
                  <wp:posOffset>3365207</wp:posOffset>
                </wp:positionH>
                <wp:positionV relativeFrom="paragraph">
                  <wp:posOffset>-404976</wp:posOffset>
                </wp:positionV>
                <wp:extent cx="241300" cy="88900"/>
                <wp:effectExtent l="0" t="0" r="0" b="0"/>
                <wp:wrapNone/>
                <wp:docPr id="2380" name="Textbox 2380"/>
                <wp:cNvGraphicFramePr>
                  <a:graphicFrameLocks/>
                </wp:cNvGraphicFramePr>
                <a:graphic>
                  <a:graphicData uri="http://schemas.microsoft.com/office/word/2010/wordprocessingShape">
                    <wps:wsp>
                      <wps:cNvPr id="2380" name="Textbox 2380"/>
                      <wps:cNvSpPr txBox="1"/>
                      <wps:spPr>
                        <a:xfrm rot="19860000">
                          <a:off x="0" y="0"/>
                          <a:ext cx="24130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Gujarat</w:t>
                            </w:r>
                          </w:p>
                        </w:txbxContent>
                      </wps:txbx>
                      <wps:bodyPr wrap="square" lIns="0" tIns="0" rIns="0" bIns="0" rtlCol="0">
                        <a:noAutofit/>
                      </wps:bodyPr>
                    </wps:wsp>
                  </a:graphicData>
                </a:graphic>
              </wp:anchor>
            </w:drawing>
          </mc:Choice>
          <mc:Fallback>
            <w:pict>
              <v:shape style="position:absolute;margin-left:264.97699pt;margin-top:-31.887884pt;width:19pt;height:7pt;mso-position-horizontal-relative:page;mso-position-vertical-relative:paragraph;z-index:15905792;rotation:331" type="#_x0000_t136" fillcolor="#000000" stroked="f">
                <o:extrusion v:ext="view" autorotationcenter="t"/>
                <v:textpath style="font-family:&quot;Arial MT&quot;;font-size:7pt;v-text-kern:t;mso-text-shadow:auto" string="Gujarat"/>
                <w10:wrap type="none"/>
              </v:shape>
            </w:pict>
          </mc:Fallback>
        </mc:AlternateContent>
      </w:r>
      <w:r>
        <w:rPr/>
        <mc:AlternateContent>
          <mc:Choice Requires="wps">
            <w:drawing>
              <wp:anchor distT="0" distB="0" distL="0" distR="0" allowOverlap="1" layoutInCell="1" locked="0" behindDoc="0" simplePos="0" relativeHeight="15906304">
                <wp:simplePos x="0" y="0"/>
                <wp:positionH relativeFrom="page">
                  <wp:posOffset>3454776</wp:posOffset>
                </wp:positionH>
                <wp:positionV relativeFrom="paragraph">
                  <wp:posOffset>-361059</wp:posOffset>
                </wp:positionV>
                <wp:extent cx="414020" cy="88900"/>
                <wp:effectExtent l="0" t="0" r="0" b="0"/>
                <wp:wrapNone/>
                <wp:docPr id="2381" name="Textbox 2381"/>
                <wp:cNvGraphicFramePr>
                  <a:graphicFrameLocks/>
                </wp:cNvGraphicFramePr>
                <a:graphic>
                  <a:graphicData uri="http://schemas.microsoft.com/office/word/2010/wordprocessingShape">
                    <wps:wsp>
                      <wps:cNvPr id="2381" name="Textbox 2381"/>
                      <wps:cNvSpPr txBox="1"/>
                      <wps:spPr>
                        <a:xfrm rot="19860000">
                          <a:off x="0" y="0"/>
                          <a:ext cx="414020" cy="88900"/>
                        </a:xfrm>
                        <a:prstGeom prst="rect">
                          <a:avLst/>
                        </a:prstGeom>
                      </wps:spPr>
                      <wps:txbx>
                        <w:txbxContent>
                          <w:p>
                            <w:pPr>
                              <w:spacing w:line="140" w:lineRule="exact" w:before="0"/>
                              <w:ind w:left="0" w:right="0" w:firstLine="0"/>
                              <w:jc w:val="left"/>
                              <w:rPr>
                                <w:rFonts w:ascii="Arial MT"/>
                                <w:sz w:val="14"/>
                              </w:rPr>
                            </w:pPr>
                            <w:r>
                              <w:rPr>
                                <w:rFonts w:ascii="Arial MT"/>
                                <w:w w:val="80"/>
                                <w:sz w:val="14"/>
                              </w:rPr>
                              <w:t>West</w:t>
                            </w:r>
                            <w:r>
                              <w:rPr>
                                <w:rFonts w:ascii="Arial MT"/>
                                <w:spacing w:val="-3"/>
                                <w:w w:val="80"/>
                                <w:sz w:val="14"/>
                              </w:rPr>
                              <w:t> </w:t>
                            </w:r>
                            <w:r>
                              <w:rPr>
                                <w:rFonts w:ascii="Arial MT"/>
                                <w:spacing w:val="-4"/>
                                <w:w w:val="85"/>
                                <w:position w:val="1"/>
                                <w:sz w:val="14"/>
                              </w:rPr>
                              <w:t>Bengal</w:t>
                            </w:r>
                          </w:p>
                        </w:txbxContent>
                      </wps:txbx>
                      <wps:bodyPr wrap="square" lIns="0" tIns="0" rIns="0" bIns="0" rtlCol="0">
                        <a:noAutofit/>
                      </wps:bodyPr>
                    </wps:wsp>
                  </a:graphicData>
                </a:graphic>
              </wp:anchor>
            </w:drawing>
          </mc:Choice>
          <mc:Fallback>
            <w:pict>
              <v:shape style="position:absolute;margin-left:272.029633pt;margin-top:-28.429913pt;width:32.6pt;height:7pt;mso-position-horizontal-relative:page;mso-position-vertical-relative:paragraph;z-index:15906304;rotation:331" type="#_x0000_t136" fillcolor="#000000" stroked="f">
                <o:extrusion v:ext="view" autorotationcenter="t"/>
                <v:textpath style="font-family:&quot;Arial MT&quot;;font-size:7pt;v-text-kern:t;mso-text-shadow:auto" string="West Bengal"/>
                <w10:wrap type="none"/>
              </v:shape>
            </w:pict>
          </mc:Fallback>
        </mc:AlternateContent>
      </w:r>
      <w:r>
        <w:rPr/>
        <mc:AlternateContent>
          <mc:Choice Requires="wps">
            <w:drawing>
              <wp:anchor distT="0" distB="0" distL="0" distR="0" allowOverlap="1" layoutInCell="1" locked="0" behindDoc="0" simplePos="0" relativeHeight="15906816">
                <wp:simplePos x="0" y="0"/>
                <wp:positionH relativeFrom="page">
                  <wp:posOffset>3721866</wp:posOffset>
                </wp:positionH>
                <wp:positionV relativeFrom="paragraph">
                  <wp:posOffset>-364851</wp:posOffset>
                </wp:positionV>
                <wp:extent cx="399415" cy="88900"/>
                <wp:effectExtent l="0" t="0" r="0" b="0"/>
                <wp:wrapNone/>
                <wp:docPr id="2382" name="Textbox 2382"/>
                <wp:cNvGraphicFramePr>
                  <a:graphicFrameLocks/>
                </wp:cNvGraphicFramePr>
                <a:graphic>
                  <a:graphicData uri="http://schemas.microsoft.com/office/word/2010/wordprocessingShape">
                    <wps:wsp>
                      <wps:cNvPr id="2382" name="Textbox 2382"/>
                      <wps:cNvSpPr txBox="1"/>
                      <wps:spPr>
                        <a:xfrm rot="19860000">
                          <a:off x="0" y="0"/>
                          <a:ext cx="39941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Uttarakhand</w:t>
                            </w:r>
                          </w:p>
                        </w:txbxContent>
                      </wps:txbx>
                      <wps:bodyPr wrap="square" lIns="0" tIns="0" rIns="0" bIns="0" rtlCol="0">
                        <a:noAutofit/>
                      </wps:bodyPr>
                    </wps:wsp>
                  </a:graphicData>
                </a:graphic>
              </wp:anchor>
            </w:drawing>
          </mc:Choice>
          <mc:Fallback>
            <w:pict>
              <v:shape style="position:absolute;margin-left:293.060364pt;margin-top:-28.728474pt;width:31.45pt;height:7pt;mso-position-horizontal-relative:page;mso-position-vertical-relative:paragraph;z-index:15906816;rotation:331" type="#_x0000_t136" fillcolor="#000000" stroked="f">
                <o:extrusion v:ext="view" autorotationcenter="t"/>
                <v:textpath style="font-family:&quot;Arial MT&quot;;font-size:7pt;v-text-kern:t;mso-text-shadow:auto" string="Uttarakhand"/>
                <w10:wrap type="none"/>
              </v:shape>
            </w:pict>
          </mc:Fallback>
        </mc:AlternateContent>
      </w:r>
      <w:r>
        <w:rPr/>
        <mc:AlternateContent>
          <mc:Choice Requires="wps">
            <w:drawing>
              <wp:anchor distT="0" distB="0" distL="0" distR="0" allowOverlap="1" layoutInCell="1" locked="0" behindDoc="0" simplePos="0" relativeHeight="15907328">
                <wp:simplePos x="0" y="0"/>
                <wp:positionH relativeFrom="page">
                  <wp:posOffset>4142982</wp:posOffset>
                </wp:positionH>
                <wp:positionV relativeFrom="paragraph">
                  <wp:posOffset>-408046</wp:posOffset>
                </wp:positionV>
                <wp:extent cx="229235" cy="88900"/>
                <wp:effectExtent l="0" t="0" r="0" b="0"/>
                <wp:wrapNone/>
                <wp:docPr id="2383" name="Textbox 2383"/>
                <wp:cNvGraphicFramePr>
                  <a:graphicFrameLocks/>
                </wp:cNvGraphicFramePr>
                <a:graphic>
                  <a:graphicData uri="http://schemas.microsoft.com/office/word/2010/wordprocessingShape">
                    <wps:wsp>
                      <wps:cNvPr id="2383" name="Textbox 2383"/>
                      <wps:cNvSpPr txBox="1"/>
                      <wps:spPr>
                        <a:xfrm rot="19860000">
                          <a:off x="0" y="0"/>
                          <a:ext cx="22923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Punjab</w:t>
                            </w:r>
                          </w:p>
                        </w:txbxContent>
                      </wps:txbx>
                      <wps:bodyPr wrap="square" lIns="0" tIns="0" rIns="0" bIns="0" rtlCol="0">
                        <a:noAutofit/>
                      </wps:bodyPr>
                    </wps:wsp>
                  </a:graphicData>
                </a:graphic>
              </wp:anchor>
            </w:drawing>
          </mc:Choice>
          <mc:Fallback>
            <w:pict>
              <v:shape style="position:absolute;margin-left:326.219086pt;margin-top:-32.129684pt;width:18.05pt;height:7pt;mso-position-horizontal-relative:page;mso-position-vertical-relative:paragraph;z-index:15907328;rotation:331" type="#_x0000_t136" fillcolor="#000000" stroked="f">
                <o:extrusion v:ext="view" autorotationcenter="t"/>
                <v:textpath style="font-family:&quot;Arial MT&quot;;font-size:7pt;v-text-kern:t;mso-text-shadow:auto" string="Punjab"/>
                <w10:wrap type="none"/>
              </v:shape>
            </w:pict>
          </mc:Fallback>
        </mc:AlternateContent>
      </w:r>
      <w:r>
        <w:rPr/>
        <mc:AlternateContent>
          <mc:Choice Requires="wps">
            <w:drawing>
              <wp:anchor distT="0" distB="0" distL="0" distR="0" allowOverlap="1" layoutInCell="1" locked="0" behindDoc="0" simplePos="0" relativeHeight="15907840">
                <wp:simplePos x="0" y="0"/>
                <wp:positionH relativeFrom="page">
                  <wp:posOffset>4048878</wp:posOffset>
                </wp:positionH>
                <wp:positionV relativeFrom="paragraph">
                  <wp:posOffset>-314460</wp:posOffset>
                </wp:positionV>
                <wp:extent cx="597535" cy="88900"/>
                <wp:effectExtent l="0" t="0" r="0" b="0"/>
                <wp:wrapNone/>
                <wp:docPr id="2384" name="Textbox 2384"/>
                <wp:cNvGraphicFramePr>
                  <a:graphicFrameLocks/>
                </wp:cNvGraphicFramePr>
                <a:graphic>
                  <a:graphicData uri="http://schemas.microsoft.com/office/word/2010/wordprocessingShape">
                    <wps:wsp>
                      <wps:cNvPr id="2384" name="Textbox 2384"/>
                      <wps:cNvSpPr txBox="1"/>
                      <wps:spPr>
                        <a:xfrm rot="19860000">
                          <a:off x="0" y="0"/>
                          <a:ext cx="59753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Himachal</w:t>
                            </w:r>
                            <w:r>
                              <w:rPr>
                                <w:rFonts w:ascii="Arial MT"/>
                                <w:spacing w:val="4"/>
                                <w:sz w:val="14"/>
                              </w:rPr>
                              <w:t> </w:t>
                            </w:r>
                            <w:r>
                              <w:rPr>
                                <w:rFonts w:ascii="Arial MT"/>
                                <w:spacing w:val="-2"/>
                                <w:w w:val="85"/>
                                <w:position w:val="1"/>
                                <w:sz w:val="14"/>
                              </w:rPr>
                              <w:t>Pradesh</w:t>
                            </w:r>
                          </w:p>
                        </w:txbxContent>
                      </wps:txbx>
                      <wps:bodyPr wrap="square" lIns="0" tIns="0" rIns="0" bIns="0" rtlCol="0">
                        <a:noAutofit/>
                      </wps:bodyPr>
                    </wps:wsp>
                  </a:graphicData>
                </a:graphic>
              </wp:anchor>
            </w:drawing>
          </mc:Choice>
          <mc:Fallback>
            <w:pict>
              <v:shape style="position:absolute;margin-left:318.809296pt;margin-top:-24.76066pt;width:47.05pt;height:7pt;mso-position-horizontal-relative:page;mso-position-vertical-relative:paragraph;z-index:15907840;rotation:331" type="#_x0000_t136" fillcolor="#000000" stroked="f">
                <o:extrusion v:ext="view" autorotationcenter="t"/>
                <v:textpath style="font-family:&quot;Arial MT&quot;;font-size:7pt;v-text-kern:t;mso-text-shadow:auto" string="Himachal Pradesh"/>
                <w10:wrap type="none"/>
              </v:shape>
            </w:pict>
          </mc:Fallback>
        </mc:AlternateContent>
      </w:r>
      <w:r>
        <w:rPr/>
        <mc:AlternateContent>
          <mc:Choice Requires="wps">
            <w:drawing>
              <wp:anchor distT="0" distB="0" distL="0" distR="0" allowOverlap="1" layoutInCell="1" locked="0" behindDoc="0" simplePos="0" relativeHeight="15908352">
                <wp:simplePos x="0" y="0"/>
                <wp:positionH relativeFrom="page">
                  <wp:posOffset>4591219</wp:posOffset>
                </wp:positionH>
                <wp:positionV relativeFrom="paragraph">
                  <wp:posOffset>-395728</wp:posOffset>
                </wp:positionV>
                <wp:extent cx="277495" cy="88900"/>
                <wp:effectExtent l="0" t="0" r="0" b="0"/>
                <wp:wrapNone/>
                <wp:docPr id="2385" name="Textbox 2385"/>
                <wp:cNvGraphicFramePr>
                  <a:graphicFrameLocks/>
                </wp:cNvGraphicFramePr>
                <a:graphic>
                  <a:graphicData uri="http://schemas.microsoft.com/office/word/2010/wordprocessingShape">
                    <wps:wsp>
                      <wps:cNvPr id="2385" name="Textbox 2385"/>
                      <wps:cNvSpPr txBox="1"/>
                      <wps:spPr>
                        <a:xfrm rot="19860000">
                          <a:off x="0" y="0"/>
                          <a:ext cx="27749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Haryana</w:t>
                            </w:r>
                          </w:p>
                        </w:txbxContent>
                      </wps:txbx>
                      <wps:bodyPr wrap="square" lIns="0" tIns="0" rIns="0" bIns="0" rtlCol="0">
                        <a:noAutofit/>
                      </wps:bodyPr>
                    </wps:wsp>
                  </a:graphicData>
                </a:graphic>
              </wp:anchor>
            </w:drawing>
          </mc:Choice>
          <mc:Fallback>
            <w:pict>
              <v:shape style="position:absolute;margin-left:361.513367pt;margin-top:-31.159689pt;width:21.85pt;height:7pt;mso-position-horizontal-relative:page;mso-position-vertical-relative:paragraph;z-index:15908352;rotation:331" type="#_x0000_t136" fillcolor="#000000" stroked="f">
                <o:extrusion v:ext="view" autorotationcenter="t"/>
                <v:textpath style="font-family:&quot;Arial MT&quot;;font-size:7pt;v-text-kern:t;mso-text-shadow:auto" string="Haryana"/>
                <w10:wrap type="none"/>
              </v:shape>
            </w:pict>
          </mc:Fallback>
        </mc:AlternateContent>
      </w:r>
      <w:r>
        <w:rPr/>
        <mc:AlternateContent>
          <mc:Choice Requires="wps">
            <w:drawing>
              <wp:anchor distT="0" distB="0" distL="0" distR="0" allowOverlap="1" layoutInCell="1" locked="0" behindDoc="0" simplePos="0" relativeHeight="15908864">
                <wp:simplePos x="0" y="0"/>
                <wp:positionH relativeFrom="page">
                  <wp:posOffset>4890853</wp:posOffset>
                </wp:positionH>
                <wp:positionV relativeFrom="paragraph">
                  <wp:posOffset>-409100</wp:posOffset>
                </wp:positionV>
                <wp:extent cx="224790" cy="88900"/>
                <wp:effectExtent l="0" t="0" r="0" b="0"/>
                <wp:wrapNone/>
                <wp:docPr id="2386" name="Textbox 2386"/>
                <wp:cNvGraphicFramePr>
                  <a:graphicFrameLocks/>
                </wp:cNvGraphicFramePr>
                <a:graphic>
                  <a:graphicData uri="http://schemas.microsoft.com/office/word/2010/wordprocessingShape">
                    <wps:wsp>
                      <wps:cNvPr id="2386" name="Textbox 2386"/>
                      <wps:cNvSpPr txBox="1"/>
                      <wps:spPr>
                        <a:xfrm rot="19860000">
                          <a:off x="0" y="0"/>
                          <a:ext cx="22479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Assam</w:t>
                            </w:r>
                          </w:p>
                        </w:txbxContent>
                      </wps:txbx>
                      <wps:bodyPr wrap="square" lIns="0" tIns="0" rIns="0" bIns="0" rtlCol="0">
                        <a:noAutofit/>
                      </wps:bodyPr>
                    </wps:wsp>
                  </a:graphicData>
                </a:graphic>
              </wp:anchor>
            </w:drawing>
          </mc:Choice>
          <mc:Fallback>
            <w:pict>
              <v:shape style="position:absolute;margin-left:385.106567pt;margin-top:-32.21262pt;width:17.7pt;height:7pt;mso-position-horizontal-relative:page;mso-position-vertical-relative:paragraph;z-index:15908864;rotation:331" type="#_x0000_t136" fillcolor="#000000" stroked="f">
                <o:extrusion v:ext="view" autorotationcenter="t"/>
                <v:textpath style="font-family:&quot;Arial MT&quot;;font-size:7pt;v-text-kern:t;mso-text-shadow:auto" string="Assam"/>
                <w10:wrap type="none"/>
              </v:shape>
            </w:pict>
          </mc:Fallback>
        </mc:AlternateContent>
      </w:r>
      <w:r>
        <w:rPr/>
        <mc:AlternateContent>
          <mc:Choice Requires="wps">
            <w:drawing>
              <wp:anchor distT="0" distB="0" distL="0" distR="0" allowOverlap="1" layoutInCell="1" locked="0" behindDoc="0" simplePos="0" relativeHeight="15909376">
                <wp:simplePos x="0" y="0"/>
                <wp:positionH relativeFrom="page">
                  <wp:posOffset>5155357</wp:posOffset>
                </wp:positionH>
                <wp:positionV relativeFrom="paragraph">
                  <wp:posOffset>-412189</wp:posOffset>
                </wp:positionV>
                <wp:extent cx="212725" cy="88900"/>
                <wp:effectExtent l="0" t="0" r="0" b="0"/>
                <wp:wrapNone/>
                <wp:docPr id="2387" name="Textbox 2387"/>
                <wp:cNvGraphicFramePr>
                  <a:graphicFrameLocks/>
                </wp:cNvGraphicFramePr>
                <a:graphic>
                  <a:graphicData uri="http://schemas.microsoft.com/office/word/2010/wordprocessingShape">
                    <wps:wsp>
                      <wps:cNvPr id="2387" name="Textbox 2387"/>
                      <wps:cNvSpPr txBox="1"/>
                      <wps:spPr>
                        <a:xfrm rot="19860000">
                          <a:off x="0" y="0"/>
                          <a:ext cx="21272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Orissa</w:t>
                            </w:r>
                          </w:p>
                        </w:txbxContent>
                      </wps:txbx>
                      <wps:bodyPr wrap="square" lIns="0" tIns="0" rIns="0" bIns="0" rtlCol="0">
                        <a:noAutofit/>
                      </wps:bodyPr>
                    </wps:wsp>
                  </a:graphicData>
                </a:graphic>
              </wp:anchor>
            </w:drawing>
          </mc:Choice>
          <mc:Fallback>
            <w:pict>
              <v:shape style="position:absolute;margin-left:405.933624pt;margin-top:-32.455875pt;width:16.75pt;height:7pt;mso-position-horizontal-relative:page;mso-position-vertical-relative:paragraph;z-index:15909376;rotation:331" type="#_x0000_t136" fillcolor="#000000" stroked="f">
                <o:extrusion v:ext="view" autorotationcenter="t"/>
                <v:textpath style="font-family:&quot;Arial MT&quot;;font-size:7pt;v-text-kern:t;mso-text-shadow:auto" string="Orissa"/>
                <w10:wrap type="none"/>
              </v:shape>
            </w:pict>
          </mc:Fallback>
        </mc:AlternateContent>
      </w:r>
      <w:r>
        <w:rPr/>
        <mc:AlternateContent>
          <mc:Choice Requires="wps">
            <w:drawing>
              <wp:anchor distT="0" distB="0" distL="0" distR="0" allowOverlap="1" layoutInCell="1" locked="0" behindDoc="0" simplePos="0" relativeHeight="15909888">
                <wp:simplePos x="0" y="0"/>
                <wp:positionH relativeFrom="page">
                  <wp:posOffset>5418045</wp:posOffset>
                </wp:positionH>
                <wp:positionV relativeFrom="paragraph">
                  <wp:posOffset>-412178</wp:posOffset>
                </wp:positionV>
                <wp:extent cx="212725" cy="88900"/>
                <wp:effectExtent l="0" t="0" r="0" b="0"/>
                <wp:wrapNone/>
                <wp:docPr id="2388" name="Textbox 2388"/>
                <wp:cNvGraphicFramePr>
                  <a:graphicFrameLocks/>
                </wp:cNvGraphicFramePr>
                <a:graphic>
                  <a:graphicData uri="http://schemas.microsoft.com/office/word/2010/wordprocessingShape">
                    <wps:wsp>
                      <wps:cNvPr id="2388" name="Textbox 2388"/>
                      <wps:cNvSpPr txBox="1"/>
                      <wps:spPr>
                        <a:xfrm rot="19860000">
                          <a:off x="0" y="0"/>
                          <a:ext cx="21272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Kerala</w:t>
                            </w:r>
                          </w:p>
                        </w:txbxContent>
                      </wps:txbx>
                      <wps:bodyPr wrap="square" lIns="0" tIns="0" rIns="0" bIns="0" rtlCol="0">
                        <a:noAutofit/>
                      </wps:bodyPr>
                    </wps:wsp>
                  </a:graphicData>
                </a:graphic>
              </wp:anchor>
            </w:drawing>
          </mc:Choice>
          <mc:Fallback>
            <w:pict>
              <v:shape style="position:absolute;margin-left:426.617737pt;margin-top:-32.455006pt;width:16.75pt;height:7pt;mso-position-horizontal-relative:page;mso-position-vertical-relative:paragraph;z-index:15909888;rotation:331" type="#_x0000_t136" fillcolor="#000000" stroked="f">
                <o:extrusion v:ext="view" autorotationcenter="t"/>
                <v:textpath style="font-family:&quot;Arial MT&quot;;font-size:7pt;v-text-kern:t;mso-text-shadow:auto" string="Kerala"/>
                <w10:wrap type="none"/>
              </v:shape>
            </w:pict>
          </mc:Fallback>
        </mc:AlternateContent>
      </w:r>
      <w:r>
        <w:rPr/>
        <mc:AlternateContent>
          <mc:Choice Requires="wps">
            <w:drawing>
              <wp:anchor distT="0" distB="0" distL="0" distR="0" allowOverlap="1" layoutInCell="1" locked="0" behindDoc="0" simplePos="0" relativeHeight="15910400">
                <wp:simplePos x="0" y="0"/>
                <wp:positionH relativeFrom="page">
                  <wp:posOffset>5478446</wp:posOffset>
                </wp:positionH>
                <wp:positionV relativeFrom="paragraph">
                  <wp:posOffset>-360740</wp:posOffset>
                </wp:positionV>
                <wp:extent cx="415290" cy="88900"/>
                <wp:effectExtent l="0" t="0" r="0" b="0"/>
                <wp:wrapNone/>
                <wp:docPr id="2389" name="Textbox 2389"/>
                <wp:cNvGraphicFramePr>
                  <a:graphicFrameLocks/>
                </wp:cNvGraphicFramePr>
                <a:graphic>
                  <a:graphicData uri="http://schemas.microsoft.com/office/word/2010/wordprocessingShape">
                    <wps:wsp>
                      <wps:cNvPr id="2389" name="Textbox 2389"/>
                      <wps:cNvSpPr txBox="1"/>
                      <wps:spPr>
                        <a:xfrm rot="19860000">
                          <a:off x="0" y="0"/>
                          <a:ext cx="415290"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Chhattisgarh</w:t>
                            </w:r>
                          </w:p>
                        </w:txbxContent>
                      </wps:txbx>
                      <wps:bodyPr wrap="square" lIns="0" tIns="0" rIns="0" bIns="0" rtlCol="0">
                        <a:noAutofit/>
                      </wps:bodyPr>
                    </wps:wsp>
                  </a:graphicData>
                </a:graphic>
              </wp:anchor>
            </w:drawing>
          </mc:Choice>
          <mc:Fallback>
            <w:pict>
              <v:shape style="position:absolute;margin-left:431.373718pt;margin-top:-28.404787pt;width:32.7pt;height:7pt;mso-position-horizontal-relative:page;mso-position-vertical-relative:paragraph;z-index:15910400;rotation:331" type="#_x0000_t136" fillcolor="#000000" stroked="f">
                <o:extrusion v:ext="view" autorotationcenter="t"/>
                <v:textpath style="font-family:&quot;Arial MT&quot;;font-size:7pt;v-text-kern:t;mso-text-shadow:auto" string="Chhattisgarh"/>
                <w10:wrap type="none"/>
              </v:shape>
            </w:pict>
          </mc:Fallback>
        </mc:AlternateContent>
      </w:r>
      <w:r>
        <w:rPr/>
        <mc:AlternateContent>
          <mc:Choice Requires="wps">
            <w:drawing>
              <wp:anchor distT="0" distB="0" distL="0" distR="0" allowOverlap="1" layoutInCell="1" locked="0" behindDoc="0" simplePos="0" relativeHeight="15910912">
                <wp:simplePos x="0" y="0"/>
                <wp:positionH relativeFrom="page">
                  <wp:posOffset>5987930</wp:posOffset>
                </wp:positionH>
                <wp:positionV relativeFrom="paragraph">
                  <wp:posOffset>-422481</wp:posOffset>
                </wp:positionV>
                <wp:extent cx="172085" cy="88900"/>
                <wp:effectExtent l="0" t="0" r="0" b="0"/>
                <wp:wrapNone/>
                <wp:docPr id="2390" name="Textbox 2390"/>
                <wp:cNvGraphicFramePr>
                  <a:graphicFrameLocks/>
                </wp:cNvGraphicFramePr>
                <a:graphic>
                  <a:graphicData uri="http://schemas.microsoft.com/office/word/2010/wordprocessingShape">
                    <wps:wsp>
                      <wps:cNvPr id="2390" name="Textbox 2390"/>
                      <wps:cNvSpPr txBox="1"/>
                      <wps:spPr>
                        <a:xfrm rot="19860000">
                          <a:off x="0" y="0"/>
                          <a:ext cx="172085" cy="88900"/>
                        </a:xfrm>
                        <a:prstGeom prst="rect">
                          <a:avLst/>
                        </a:prstGeom>
                      </wps:spPr>
                      <wps:txbx>
                        <w:txbxContent>
                          <w:p>
                            <w:pPr>
                              <w:spacing w:line="140" w:lineRule="exact" w:before="0"/>
                              <w:ind w:left="0" w:right="0" w:firstLine="0"/>
                              <w:jc w:val="left"/>
                              <w:rPr>
                                <w:rFonts w:ascii="Arial MT"/>
                                <w:sz w:val="14"/>
                              </w:rPr>
                            </w:pPr>
                            <w:r>
                              <w:rPr>
                                <w:rFonts w:ascii="Arial MT"/>
                                <w:spacing w:val="-2"/>
                                <w:w w:val="80"/>
                                <w:sz w:val="14"/>
                              </w:rPr>
                              <w:t>Bihar</w:t>
                            </w:r>
                          </w:p>
                        </w:txbxContent>
                      </wps:txbx>
                      <wps:bodyPr wrap="square" lIns="0" tIns="0" rIns="0" bIns="0" rtlCol="0">
                        <a:noAutofit/>
                      </wps:bodyPr>
                    </wps:wsp>
                  </a:graphicData>
                </a:graphic>
              </wp:anchor>
            </w:drawing>
          </mc:Choice>
          <mc:Fallback>
            <w:pict>
              <v:shape style="position:absolute;margin-left:471.490601pt;margin-top:-33.266285pt;width:13.55pt;height:7pt;mso-position-horizontal-relative:page;mso-position-vertical-relative:paragraph;z-index:15910912;rotation:331" type="#_x0000_t136" fillcolor="#000000" stroked="f">
                <o:extrusion v:ext="view" autorotationcenter="t"/>
                <v:textpath style="font-family:&quot;Arial MT&quot;;font-size:7pt;v-text-kern:t;mso-text-shadow:auto" string="Bihar"/>
                <w10:wrap type="none"/>
              </v:shape>
            </w:pict>
          </mc:Fallback>
        </mc:AlternateContent>
      </w:r>
      <w:r>
        <w:rPr>
          <w:i/>
          <w:spacing w:val="-2"/>
          <w:sz w:val="16"/>
        </w:rPr>
        <w:t>Source:</w:t>
      </w:r>
      <w:r>
        <w:rPr>
          <w:i/>
          <w:spacing w:val="-8"/>
          <w:sz w:val="16"/>
        </w:rPr>
        <w:t> </w:t>
      </w:r>
      <w:r>
        <w:rPr>
          <w:spacing w:val="-2"/>
          <w:sz w:val="16"/>
        </w:rPr>
        <w:t>University</w:t>
      </w:r>
      <w:r>
        <w:rPr>
          <w:spacing w:val="-7"/>
          <w:sz w:val="16"/>
        </w:rPr>
        <w:t> </w:t>
      </w:r>
      <w:r>
        <w:rPr>
          <w:spacing w:val="-2"/>
          <w:sz w:val="16"/>
        </w:rPr>
        <w:t>Development</w:t>
      </w:r>
      <w:r>
        <w:rPr>
          <w:spacing w:val="-7"/>
          <w:sz w:val="16"/>
        </w:rPr>
        <w:t> </w:t>
      </w:r>
      <w:r>
        <w:rPr>
          <w:spacing w:val="-2"/>
          <w:sz w:val="16"/>
        </w:rPr>
        <w:t>in</w:t>
      </w:r>
      <w:r>
        <w:rPr>
          <w:spacing w:val="-7"/>
          <w:sz w:val="16"/>
        </w:rPr>
        <w:t> </w:t>
      </w:r>
      <w:r>
        <w:rPr>
          <w:spacing w:val="-2"/>
          <w:sz w:val="16"/>
        </w:rPr>
        <w:t>India,</w:t>
      </w:r>
      <w:r>
        <w:rPr>
          <w:spacing w:val="-7"/>
          <w:sz w:val="16"/>
        </w:rPr>
        <w:t> </w:t>
      </w:r>
      <w:r>
        <w:rPr>
          <w:spacing w:val="-2"/>
          <w:sz w:val="16"/>
        </w:rPr>
        <w:t>1995-96</w:t>
      </w:r>
      <w:r>
        <w:rPr>
          <w:spacing w:val="-7"/>
          <w:sz w:val="16"/>
        </w:rPr>
        <w:t> </w:t>
      </w:r>
      <w:r>
        <w:rPr>
          <w:spacing w:val="-2"/>
          <w:sz w:val="16"/>
        </w:rPr>
        <w:t>to</w:t>
      </w:r>
      <w:r>
        <w:rPr>
          <w:spacing w:val="-8"/>
          <w:sz w:val="16"/>
        </w:rPr>
        <w:t> </w:t>
      </w:r>
      <w:r>
        <w:rPr>
          <w:spacing w:val="-2"/>
          <w:sz w:val="16"/>
        </w:rPr>
        <w:t>2000-01,</w:t>
      </w:r>
      <w:r>
        <w:rPr>
          <w:spacing w:val="-7"/>
          <w:sz w:val="16"/>
        </w:rPr>
        <w:t> </w:t>
      </w:r>
      <w:r>
        <w:rPr>
          <w:spacing w:val="-5"/>
          <w:sz w:val="16"/>
        </w:rPr>
        <w:t>UGC</w:t>
      </w:r>
    </w:p>
    <w:p>
      <w:pPr>
        <w:pStyle w:val="BodyText"/>
        <w:spacing w:before="74"/>
        <w:rPr>
          <w:sz w:val="20"/>
        </w:rPr>
      </w:pPr>
    </w:p>
    <w:p>
      <w:pPr>
        <w:spacing w:after="0"/>
        <w:rPr>
          <w:sz w:val="20"/>
        </w:rPr>
        <w:sectPr>
          <w:pgSz w:w="11910" w:h="16840"/>
          <w:pgMar w:header="0" w:footer="675" w:top="940" w:bottom="860" w:left="0" w:right="0"/>
        </w:sectPr>
      </w:pPr>
    </w:p>
    <w:p>
      <w:pPr>
        <w:pStyle w:val="BodyText"/>
        <w:spacing w:line="266" w:lineRule="auto" w:before="82"/>
        <w:ind w:left="1080"/>
        <w:jc w:val="both"/>
      </w:pPr>
      <w:r>
        <w:rPr>
          <w:spacing w:val="-2"/>
        </w:rPr>
        <w:t>–</w:t>
      </w:r>
      <w:r>
        <w:rPr>
          <w:spacing w:val="-9"/>
        </w:rPr>
        <w:t> </w:t>
      </w:r>
      <w:r>
        <w:rPr>
          <w:spacing w:val="-2"/>
        </w:rPr>
        <w:t>it</w:t>
      </w:r>
      <w:r>
        <w:rPr>
          <w:spacing w:val="-9"/>
        </w:rPr>
        <w:t> </w:t>
      </w:r>
      <w:r>
        <w:rPr>
          <w:spacing w:val="-2"/>
        </w:rPr>
        <w:t>is</w:t>
      </w:r>
      <w:r>
        <w:rPr>
          <w:spacing w:val="-9"/>
        </w:rPr>
        <w:t> </w:t>
      </w:r>
      <w:r>
        <w:rPr>
          <w:spacing w:val="-2"/>
        </w:rPr>
        <w:t>looked</w:t>
      </w:r>
      <w:r>
        <w:rPr>
          <w:spacing w:val="-9"/>
        </w:rPr>
        <w:t> </w:t>
      </w:r>
      <w:r>
        <w:rPr>
          <w:spacing w:val="-2"/>
        </w:rPr>
        <w:t>upon</w:t>
      </w:r>
      <w:r>
        <w:rPr>
          <w:spacing w:val="-9"/>
        </w:rPr>
        <w:t> </w:t>
      </w:r>
      <w:r>
        <w:rPr>
          <w:spacing w:val="-2"/>
        </w:rPr>
        <w:t>as</w:t>
      </w:r>
      <w:r>
        <w:rPr>
          <w:spacing w:val="-9"/>
        </w:rPr>
        <w:t> </w:t>
      </w:r>
      <w:r>
        <w:rPr>
          <w:spacing w:val="-2"/>
        </w:rPr>
        <w:t>an</w:t>
      </w:r>
      <w:r>
        <w:rPr>
          <w:spacing w:val="-9"/>
        </w:rPr>
        <w:t> </w:t>
      </w:r>
      <w:r>
        <w:rPr>
          <w:spacing w:val="-2"/>
        </w:rPr>
        <w:t>inferior</w:t>
      </w:r>
      <w:r>
        <w:rPr>
          <w:spacing w:val="-9"/>
        </w:rPr>
        <w:t> </w:t>
      </w:r>
      <w:r>
        <w:rPr>
          <w:spacing w:val="-2"/>
        </w:rPr>
        <w:t>science</w:t>
      </w:r>
      <w:r>
        <w:rPr>
          <w:spacing w:val="-9"/>
        </w:rPr>
        <w:t> </w:t>
      </w:r>
      <w:r>
        <w:rPr>
          <w:spacing w:val="-2"/>
        </w:rPr>
        <w:t>to</w:t>
      </w:r>
      <w:r>
        <w:rPr>
          <w:spacing w:val="-9"/>
        </w:rPr>
        <w:t> </w:t>
      </w:r>
      <w:r>
        <w:rPr>
          <w:spacing w:val="-2"/>
        </w:rPr>
        <w:t>be</w:t>
      </w:r>
      <w:r>
        <w:rPr>
          <w:spacing w:val="-9"/>
        </w:rPr>
        <w:t> </w:t>
      </w:r>
      <w:r>
        <w:rPr>
          <w:spacing w:val="-2"/>
        </w:rPr>
        <w:t>taken</w:t>
      </w:r>
      <w:r>
        <w:rPr>
          <w:spacing w:val="-9"/>
        </w:rPr>
        <w:t> </w:t>
      </w:r>
      <w:r>
        <w:rPr>
          <w:spacing w:val="-2"/>
        </w:rPr>
        <w:t>up </w:t>
      </w:r>
      <w:r>
        <w:rPr/>
        <w:t>when</w:t>
      </w:r>
      <w:r>
        <w:rPr>
          <w:spacing w:val="-7"/>
        </w:rPr>
        <w:t> </w:t>
      </w:r>
      <w:r>
        <w:rPr/>
        <w:t>all</w:t>
      </w:r>
      <w:r>
        <w:rPr>
          <w:spacing w:val="-7"/>
        </w:rPr>
        <w:t> </w:t>
      </w:r>
      <w:r>
        <w:rPr/>
        <w:t>else</w:t>
      </w:r>
      <w:r>
        <w:rPr>
          <w:spacing w:val="-7"/>
        </w:rPr>
        <w:t> </w:t>
      </w:r>
      <w:r>
        <w:rPr/>
        <w:t>fails.</w:t>
      </w:r>
    </w:p>
    <w:p>
      <w:pPr>
        <w:pStyle w:val="BodyText"/>
        <w:spacing w:before="25"/>
      </w:pPr>
    </w:p>
    <w:p>
      <w:pPr>
        <w:pStyle w:val="BodyText"/>
        <w:spacing w:line="266" w:lineRule="auto"/>
        <w:ind w:left="1080"/>
        <w:jc w:val="both"/>
      </w:pPr>
      <w:r>
        <w:rPr>
          <w:b/>
        </w:rPr>
        <w:t>Extension: </w:t>
      </w:r>
      <w:r>
        <w:rPr/>
        <w:t>The Department of Agriculture and </w:t>
      </w:r>
      <w:r>
        <w:rPr/>
        <w:t>Co- operation (DAC) is the central agency coordinating </w:t>
      </w:r>
      <w:r>
        <w:rPr>
          <w:spacing w:val="-4"/>
        </w:rPr>
        <w:t>agricultural</w:t>
      </w:r>
      <w:r>
        <w:rPr>
          <w:spacing w:val="-10"/>
        </w:rPr>
        <w:t> </w:t>
      </w:r>
      <w:r>
        <w:rPr>
          <w:spacing w:val="-4"/>
        </w:rPr>
        <w:t>extension.</w:t>
      </w:r>
      <w:r>
        <w:rPr>
          <w:spacing w:val="-10"/>
        </w:rPr>
        <w:t> </w:t>
      </w:r>
      <w:r>
        <w:rPr>
          <w:spacing w:val="-4"/>
        </w:rPr>
        <w:t>In</w:t>
      </w:r>
      <w:r>
        <w:rPr>
          <w:spacing w:val="-10"/>
        </w:rPr>
        <w:t> </w:t>
      </w:r>
      <w:r>
        <w:rPr>
          <w:spacing w:val="-4"/>
        </w:rPr>
        <w:t>addition,</w:t>
      </w:r>
      <w:r>
        <w:rPr>
          <w:spacing w:val="-9"/>
        </w:rPr>
        <w:t> </w:t>
      </w:r>
      <w:r>
        <w:rPr>
          <w:spacing w:val="-4"/>
        </w:rPr>
        <w:t>the</w:t>
      </w:r>
      <w:r>
        <w:rPr>
          <w:spacing w:val="-10"/>
        </w:rPr>
        <w:t> </w:t>
      </w:r>
      <w:r>
        <w:rPr>
          <w:spacing w:val="-4"/>
        </w:rPr>
        <w:t>National</w:t>
      </w:r>
      <w:r>
        <w:rPr>
          <w:spacing w:val="-10"/>
        </w:rPr>
        <w:t> </w:t>
      </w:r>
      <w:r>
        <w:rPr>
          <w:spacing w:val="-4"/>
        </w:rPr>
        <w:t>Institute </w:t>
      </w:r>
      <w:r>
        <w:rPr/>
        <w:t>of Agricultural Marketing (NIAM) and the National Institute of Agricultural Extension Management (MANAGE) are autonomous bodies established for </w:t>
      </w:r>
      <w:r>
        <w:rPr>
          <w:spacing w:val="-4"/>
        </w:rPr>
        <w:t>providing the government further assistance, especially </w:t>
      </w:r>
      <w:r>
        <w:rPr/>
        <w:t>in facilitating the acquisition of managerial and </w:t>
      </w:r>
      <w:r>
        <w:rPr>
          <w:spacing w:val="-4"/>
        </w:rPr>
        <w:t>technical</w:t>
      </w:r>
      <w:r>
        <w:rPr>
          <w:spacing w:val="-10"/>
        </w:rPr>
        <w:t> </w:t>
      </w:r>
      <w:r>
        <w:rPr>
          <w:spacing w:val="-4"/>
        </w:rPr>
        <w:t>skills</w:t>
      </w:r>
      <w:r>
        <w:rPr>
          <w:spacing w:val="-10"/>
        </w:rPr>
        <w:t> </w:t>
      </w:r>
      <w:r>
        <w:rPr>
          <w:spacing w:val="-4"/>
        </w:rPr>
        <w:t>by</w:t>
      </w:r>
      <w:r>
        <w:rPr>
          <w:spacing w:val="-10"/>
        </w:rPr>
        <w:t> </w:t>
      </w:r>
      <w:r>
        <w:rPr>
          <w:spacing w:val="-4"/>
        </w:rPr>
        <w:t>personnel</w:t>
      </w:r>
      <w:r>
        <w:rPr>
          <w:spacing w:val="-9"/>
        </w:rPr>
        <w:t> </w:t>
      </w:r>
      <w:r>
        <w:rPr>
          <w:spacing w:val="-4"/>
        </w:rPr>
        <w:t>involved</w:t>
      </w:r>
      <w:r>
        <w:rPr>
          <w:spacing w:val="-10"/>
        </w:rPr>
        <w:t> </w:t>
      </w:r>
      <w:r>
        <w:rPr>
          <w:spacing w:val="-4"/>
        </w:rPr>
        <w:t>in</w:t>
      </w:r>
      <w:r>
        <w:rPr>
          <w:spacing w:val="-10"/>
        </w:rPr>
        <w:t> </w:t>
      </w:r>
      <w:r>
        <w:rPr>
          <w:spacing w:val="-4"/>
        </w:rPr>
        <w:t>the</w:t>
      </w:r>
      <w:r>
        <w:rPr>
          <w:spacing w:val="-10"/>
        </w:rPr>
        <w:t> </w:t>
      </w:r>
      <w:r>
        <w:rPr>
          <w:spacing w:val="-4"/>
        </w:rPr>
        <w:t>agricultural </w:t>
      </w:r>
      <w:r>
        <w:rPr>
          <w:spacing w:val="-2"/>
        </w:rPr>
        <w:t>economy.</w:t>
      </w:r>
    </w:p>
    <w:p>
      <w:pPr>
        <w:pStyle w:val="BodyText"/>
        <w:spacing w:before="19"/>
      </w:pPr>
    </w:p>
    <w:p>
      <w:pPr>
        <w:pStyle w:val="BodyText"/>
        <w:spacing w:line="266" w:lineRule="auto"/>
        <w:ind w:left="1080"/>
        <w:jc w:val="both"/>
      </w:pPr>
      <w:r>
        <w:rPr/>
        <w:t>Various structures, projects and initiatives have been put</w:t>
      </w:r>
      <w:r>
        <w:rPr>
          <w:spacing w:val="-5"/>
        </w:rPr>
        <w:t> </w:t>
      </w:r>
      <w:r>
        <w:rPr/>
        <w:t>in</w:t>
      </w:r>
      <w:r>
        <w:rPr>
          <w:spacing w:val="-5"/>
        </w:rPr>
        <w:t> </w:t>
      </w:r>
      <w:r>
        <w:rPr/>
        <w:t>place</w:t>
      </w:r>
      <w:r>
        <w:rPr>
          <w:spacing w:val="-5"/>
        </w:rPr>
        <w:t> </w:t>
      </w:r>
      <w:r>
        <w:rPr/>
        <w:t>in</w:t>
      </w:r>
      <w:r>
        <w:rPr>
          <w:spacing w:val="-5"/>
        </w:rPr>
        <w:t> </w:t>
      </w:r>
      <w:r>
        <w:rPr/>
        <w:t>order</w:t>
      </w:r>
      <w:r>
        <w:rPr>
          <w:spacing w:val="-5"/>
        </w:rPr>
        <w:t> </w:t>
      </w:r>
      <w:r>
        <w:rPr/>
        <w:t>to</w:t>
      </w:r>
      <w:r>
        <w:rPr>
          <w:spacing w:val="-5"/>
        </w:rPr>
        <w:t> </w:t>
      </w:r>
      <w:r>
        <w:rPr/>
        <w:t>promote</w:t>
      </w:r>
      <w:r>
        <w:rPr>
          <w:spacing w:val="-5"/>
        </w:rPr>
        <w:t> </w:t>
      </w:r>
      <w:r>
        <w:rPr/>
        <w:t>agriculture</w:t>
      </w:r>
      <w:r>
        <w:rPr>
          <w:spacing w:val="-5"/>
        </w:rPr>
        <w:t> </w:t>
      </w:r>
      <w:r>
        <w:rPr/>
        <w:t>extension </w:t>
      </w:r>
      <w:r>
        <w:rPr>
          <w:spacing w:val="-2"/>
        </w:rPr>
        <w:t>in</w:t>
      </w:r>
      <w:r>
        <w:rPr>
          <w:spacing w:val="-12"/>
        </w:rPr>
        <w:t> </w:t>
      </w:r>
      <w:r>
        <w:rPr>
          <w:spacing w:val="-2"/>
        </w:rPr>
        <w:t>the</w:t>
      </w:r>
      <w:r>
        <w:rPr>
          <w:spacing w:val="-5"/>
        </w:rPr>
        <w:t> </w:t>
      </w:r>
      <w:r>
        <w:rPr>
          <w:spacing w:val="-2"/>
        </w:rPr>
        <w:t>country.</w:t>
      </w:r>
      <w:r>
        <w:rPr>
          <w:spacing w:val="-12"/>
        </w:rPr>
        <w:t> </w:t>
      </w:r>
      <w:r>
        <w:rPr>
          <w:spacing w:val="-2"/>
        </w:rPr>
        <w:t>These</w:t>
      </w:r>
      <w:r>
        <w:rPr>
          <w:spacing w:val="-4"/>
        </w:rPr>
        <w:t> </w:t>
      </w:r>
      <w:r>
        <w:rPr>
          <w:spacing w:val="-2"/>
        </w:rPr>
        <w:t>include</w:t>
      </w:r>
      <w:r>
        <w:rPr>
          <w:spacing w:val="-5"/>
        </w:rPr>
        <w:t> </w:t>
      </w:r>
      <w:r>
        <w:rPr>
          <w:spacing w:val="-2"/>
        </w:rPr>
        <w:t>Agricultural</w:t>
      </w:r>
      <w:r>
        <w:rPr>
          <w:spacing w:val="-12"/>
        </w:rPr>
        <w:t> </w:t>
      </w:r>
      <w:r>
        <w:rPr>
          <w:spacing w:val="-2"/>
        </w:rPr>
        <w:t>Technology </w:t>
      </w:r>
      <w:r>
        <w:rPr>
          <w:spacing w:val="4"/>
          <w:w w:val="90"/>
        </w:rPr>
        <w:t>Management</w:t>
      </w:r>
      <w:r>
        <w:rPr>
          <w:spacing w:val="8"/>
        </w:rPr>
        <w:t> </w:t>
      </w:r>
      <w:r>
        <w:rPr>
          <w:spacing w:val="4"/>
          <w:w w:val="90"/>
        </w:rPr>
        <w:t>Agency</w:t>
      </w:r>
      <w:r>
        <w:rPr>
          <w:spacing w:val="9"/>
        </w:rPr>
        <w:t> </w:t>
      </w:r>
      <w:r>
        <w:rPr>
          <w:spacing w:val="4"/>
          <w:w w:val="90"/>
        </w:rPr>
        <w:t>(ATMA),</w:t>
      </w:r>
      <w:r>
        <w:rPr>
          <w:spacing w:val="8"/>
        </w:rPr>
        <w:t> </w:t>
      </w:r>
      <w:r>
        <w:rPr>
          <w:spacing w:val="4"/>
          <w:w w:val="90"/>
        </w:rPr>
        <w:t>Krishi</w:t>
      </w:r>
      <w:r>
        <w:rPr>
          <w:spacing w:val="4"/>
        </w:rPr>
        <w:t> </w:t>
      </w:r>
      <w:r>
        <w:rPr>
          <w:spacing w:val="4"/>
          <w:w w:val="90"/>
        </w:rPr>
        <w:t>Vigyan</w:t>
      </w:r>
      <w:r>
        <w:rPr>
          <w:spacing w:val="8"/>
        </w:rPr>
        <w:t> </w:t>
      </w:r>
      <w:r>
        <w:rPr>
          <w:spacing w:val="-2"/>
          <w:w w:val="90"/>
        </w:rPr>
        <w:t>Kendras</w:t>
      </w:r>
    </w:p>
    <w:p>
      <w:pPr>
        <w:pStyle w:val="BodyText"/>
        <w:spacing w:line="266" w:lineRule="auto" w:before="82"/>
        <w:ind w:left="336" w:right="1077"/>
        <w:jc w:val="both"/>
      </w:pPr>
      <w:r>
        <w:rPr/>
        <w:br w:type="column"/>
      </w:r>
      <w:r>
        <w:rPr/>
        <w:t>(KVKs),</w:t>
      </w:r>
      <w:r>
        <w:rPr>
          <w:spacing w:val="-7"/>
        </w:rPr>
        <w:t> </w:t>
      </w:r>
      <w:r>
        <w:rPr/>
        <w:t>Agri-clinic</w:t>
      </w:r>
      <w:r>
        <w:rPr>
          <w:spacing w:val="-7"/>
        </w:rPr>
        <w:t> </w:t>
      </w:r>
      <w:r>
        <w:rPr/>
        <w:t>and</w:t>
      </w:r>
      <w:r>
        <w:rPr>
          <w:spacing w:val="-7"/>
        </w:rPr>
        <w:t> </w:t>
      </w:r>
      <w:r>
        <w:rPr/>
        <w:t>agri-business</w:t>
      </w:r>
      <w:r>
        <w:rPr>
          <w:spacing w:val="-7"/>
        </w:rPr>
        <w:t> </w:t>
      </w:r>
      <w:r>
        <w:rPr/>
        <w:t>centres,</w:t>
      </w:r>
      <w:r>
        <w:rPr>
          <w:spacing w:val="-7"/>
        </w:rPr>
        <w:t> </w:t>
      </w:r>
      <w:r>
        <w:rPr/>
        <w:t>Kisan Call Centre Scheme etc. ATMAs have been set up</w:t>
      </w:r>
      <w:r>
        <w:rPr>
          <w:spacing w:val="80"/>
        </w:rPr>
        <w:t> </w:t>
      </w:r>
      <w:r>
        <w:rPr/>
        <w:t>in various districts to decentralise, integrate and coordinate</w:t>
      </w:r>
      <w:r>
        <w:rPr>
          <w:spacing w:val="-14"/>
        </w:rPr>
        <w:t> </w:t>
      </w:r>
      <w:r>
        <w:rPr/>
        <w:t>R&amp;D</w:t>
      </w:r>
      <w:r>
        <w:rPr>
          <w:spacing w:val="-14"/>
        </w:rPr>
        <w:t> </w:t>
      </w:r>
      <w:r>
        <w:rPr/>
        <w:t>activities,</w:t>
      </w:r>
      <w:r>
        <w:rPr>
          <w:spacing w:val="-14"/>
        </w:rPr>
        <w:t> </w:t>
      </w:r>
      <w:r>
        <w:rPr/>
        <w:t>using</w:t>
      </w:r>
      <w:r>
        <w:rPr>
          <w:spacing w:val="-13"/>
        </w:rPr>
        <w:t> </w:t>
      </w:r>
      <w:r>
        <w:rPr/>
        <w:t>modern</w:t>
      </w:r>
      <w:r>
        <w:rPr>
          <w:spacing w:val="-14"/>
        </w:rPr>
        <w:t> </w:t>
      </w:r>
      <w:r>
        <w:rPr/>
        <w:t>information and communication technology to improve linkages between the various extension agencies. KVKs have been initiated by ICAR to identify the technological gaps, critical needs and requirements of the farmers, and impart skill through various programs. In addition to the demonstration of latest technological development, assessment and refinement at farmers’ fields, the KVKs also provide farm information services through literature, exhibitions, field days, farmers</w:t>
      </w:r>
      <w:r>
        <w:rPr>
          <w:spacing w:val="40"/>
        </w:rPr>
        <w:t> </w:t>
      </w:r>
      <w:r>
        <w:rPr/>
        <w:t>tours,</w:t>
      </w:r>
      <w:r>
        <w:rPr>
          <w:spacing w:val="40"/>
        </w:rPr>
        <w:t> </w:t>
      </w:r>
      <w:r>
        <w:rPr/>
        <w:t>crop</w:t>
      </w:r>
      <w:r>
        <w:rPr>
          <w:spacing w:val="40"/>
        </w:rPr>
        <w:t> </w:t>
      </w:r>
      <w:r>
        <w:rPr/>
        <w:t>seminars,</w:t>
      </w:r>
      <w:r>
        <w:rPr>
          <w:spacing w:val="40"/>
        </w:rPr>
        <w:t> </w:t>
      </w:r>
      <w:r>
        <w:rPr/>
        <w:t>kisan</w:t>
      </w:r>
      <w:r>
        <w:rPr>
          <w:spacing w:val="40"/>
        </w:rPr>
        <w:t> </w:t>
      </w:r>
      <w:r>
        <w:rPr/>
        <w:t>melas,</w:t>
      </w:r>
      <w:r>
        <w:rPr>
          <w:spacing w:val="40"/>
        </w:rPr>
        <w:t> </w:t>
      </w:r>
      <w:r>
        <w:rPr/>
        <w:t>radio and television programs, correspondence services, telephone consultancy and helpline services etc. So far over 554 KVKs (as on August 2007) have been </w:t>
      </w:r>
      <w:r>
        <w:rPr>
          <w:spacing w:val="-2"/>
        </w:rPr>
        <w:t>established.</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Heading8"/>
        <w:spacing w:before="73"/>
        <w:ind w:left="1080"/>
      </w:pPr>
      <w:r>
        <w:rPr>
          <w:spacing w:val="-8"/>
        </w:rPr>
        <w:t>Table</w:t>
      </w:r>
      <w:r>
        <w:rPr>
          <w:spacing w:val="-6"/>
        </w:rPr>
        <w:t> </w:t>
      </w:r>
      <w:r>
        <w:rPr>
          <w:spacing w:val="-8"/>
        </w:rPr>
        <w:t>19:</w:t>
      </w:r>
      <w:r>
        <w:rPr>
          <w:spacing w:val="-6"/>
        </w:rPr>
        <w:t> </w:t>
      </w:r>
      <w:r>
        <w:rPr>
          <w:color w:val="2E614A"/>
          <w:spacing w:val="-8"/>
        </w:rPr>
        <w:t>Global</w:t>
      </w:r>
      <w:r>
        <w:rPr>
          <w:color w:val="2E614A"/>
          <w:spacing w:val="-6"/>
        </w:rPr>
        <w:t> </w:t>
      </w:r>
      <w:r>
        <w:rPr>
          <w:color w:val="2E614A"/>
          <w:spacing w:val="-8"/>
        </w:rPr>
        <w:t>extension</w:t>
      </w:r>
      <w:r>
        <w:rPr>
          <w:color w:val="2E614A"/>
          <w:spacing w:val="-5"/>
        </w:rPr>
        <w:t> </w:t>
      </w:r>
      <w:r>
        <w:rPr>
          <w:color w:val="2E614A"/>
          <w:spacing w:val="-8"/>
        </w:rPr>
        <w:t>practices</w:t>
      </w:r>
    </w:p>
    <w:p>
      <w:pPr>
        <w:pStyle w:val="BodyText"/>
        <w:spacing w:before="3"/>
        <w:rPr>
          <w:b/>
          <w:sz w:val="10"/>
        </w:rPr>
      </w:pPr>
    </w:p>
    <w:tbl>
      <w:tblPr>
        <w:tblW w:w="0" w:type="auto"/>
        <w:jc w:val="left"/>
        <w:tblInd w:w="10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78"/>
        <w:gridCol w:w="8062"/>
      </w:tblGrid>
      <w:tr>
        <w:trPr>
          <w:trHeight w:val="321" w:hRule="atLeast"/>
        </w:trPr>
        <w:tc>
          <w:tcPr>
            <w:tcW w:w="1678" w:type="dxa"/>
            <w:shd w:val="clear" w:color="auto" w:fill="D0D5CD"/>
          </w:tcPr>
          <w:p>
            <w:pPr>
              <w:pStyle w:val="TableParagraph"/>
              <w:ind w:left="90"/>
              <w:rPr>
                <w:b/>
                <w:sz w:val="20"/>
              </w:rPr>
            </w:pPr>
            <w:r>
              <w:rPr>
                <w:b/>
                <w:spacing w:val="-2"/>
                <w:sz w:val="20"/>
              </w:rPr>
              <w:t>Country</w:t>
            </w:r>
          </w:p>
        </w:tc>
        <w:tc>
          <w:tcPr>
            <w:tcW w:w="8062" w:type="dxa"/>
            <w:shd w:val="clear" w:color="auto" w:fill="D0D5CD"/>
          </w:tcPr>
          <w:p>
            <w:pPr>
              <w:pStyle w:val="TableParagraph"/>
              <w:ind w:left="90"/>
              <w:rPr>
                <w:b/>
                <w:sz w:val="20"/>
              </w:rPr>
            </w:pPr>
            <w:r>
              <w:rPr>
                <w:b/>
                <w:w w:val="90"/>
                <w:sz w:val="20"/>
              </w:rPr>
              <w:t>Extension</w:t>
            </w:r>
            <w:r>
              <w:rPr>
                <w:b/>
                <w:spacing w:val="15"/>
                <w:sz w:val="20"/>
              </w:rPr>
              <w:t> </w:t>
            </w:r>
            <w:r>
              <w:rPr>
                <w:b/>
                <w:spacing w:val="-2"/>
                <w:sz w:val="20"/>
              </w:rPr>
              <w:t>Practices</w:t>
            </w:r>
          </w:p>
        </w:tc>
      </w:tr>
      <w:tr>
        <w:trPr>
          <w:trHeight w:val="300" w:hRule="atLeast"/>
        </w:trPr>
        <w:tc>
          <w:tcPr>
            <w:tcW w:w="1678" w:type="dxa"/>
            <w:tcBorders>
              <w:bottom w:val="nil"/>
            </w:tcBorders>
            <w:shd w:val="clear" w:color="auto" w:fill="E9E9E9"/>
          </w:tcPr>
          <w:p>
            <w:pPr>
              <w:pStyle w:val="TableParagraph"/>
              <w:ind w:left="89"/>
              <w:rPr>
                <w:sz w:val="20"/>
              </w:rPr>
            </w:pPr>
            <w:r>
              <w:rPr>
                <w:sz w:val="20"/>
              </w:rPr>
              <w:t>United</w:t>
            </w:r>
            <w:r>
              <w:rPr>
                <w:spacing w:val="-8"/>
                <w:sz w:val="20"/>
              </w:rPr>
              <w:t> </w:t>
            </w:r>
            <w:r>
              <w:rPr>
                <w:spacing w:val="-2"/>
                <w:sz w:val="20"/>
              </w:rPr>
              <w:t>States</w:t>
            </w:r>
          </w:p>
        </w:tc>
        <w:tc>
          <w:tcPr>
            <w:tcW w:w="8062" w:type="dxa"/>
            <w:tcBorders>
              <w:bottom w:val="nil"/>
            </w:tcBorders>
            <w:shd w:val="clear" w:color="auto" w:fill="E9E9E9"/>
          </w:tcPr>
          <w:p>
            <w:pPr>
              <w:pStyle w:val="TableParagraph"/>
              <w:ind w:left="90"/>
              <w:rPr>
                <w:sz w:val="20"/>
              </w:rPr>
            </w:pPr>
            <w:r>
              <w:rPr>
                <w:spacing w:val="-4"/>
                <w:sz w:val="20"/>
              </w:rPr>
              <w:t>Strong</w:t>
            </w:r>
            <w:r>
              <w:rPr>
                <w:spacing w:val="-2"/>
                <w:sz w:val="20"/>
              </w:rPr>
              <w:t> </w:t>
            </w:r>
            <w:r>
              <w:rPr>
                <w:spacing w:val="-4"/>
                <w:sz w:val="20"/>
              </w:rPr>
              <w:t>extension</w:t>
            </w:r>
            <w:r>
              <w:rPr>
                <w:spacing w:val="-1"/>
                <w:sz w:val="20"/>
              </w:rPr>
              <w:t> </w:t>
            </w:r>
            <w:r>
              <w:rPr>
                <w:spacing w:val="-4"/>
                <w:sz w:val="20"/>
              </w:rPr>
              <w:t>services</w:t>
            </w:r>
            <w:r>
              <w:rPr>
                <w:spacing w:val="-1"/>
                <w:sz w:val="20"/>
              </w:rPr>
              <w:t> </w:t>
            </w:r>
            <w:r>
              <w:rPr>
                <w:spacing w:val="-4"/>
                <w:sz w:val="20"/>
              </w:rPr>
              <w:t>–</w:t>
            </w:r>
            <w:r>
              <w:rPr>
                <w:spacing w:val="-1"/>
                <w:sz w:val="20"/>
              </w:rPr>
              <w:t> </w:t>
            </w:r>
            <w:r>
              <w:rPr>
                <w:spacing w:val="-4"/>
                <w:sz w:val="20"/>
              </w:rPr>
              <w:t>first</w:t>
            </w:r>
            <w:r>
              <w:rPr>
                <w:spacing w:val="-1"/>
                <w:sz w:val="20"/>
              </w:rPr>
              <w:t> </w:t>
            </w:r>
            <w:r>
              <w:rPr>
                <w:spacing w:val="-4"/>
                <w:sz w:val="20"/>
              </w:rPr>
              <w:t>public,</w:t>
            </w:r>
            <w:r>
              <w:rPr>
                <w:spacing w:val="-1"/>
                <w:sz w:val="20"/>
              </w:rPr>
              <w:t> </w:t>
            </w:r>
            <w:r>
              <w:rPr>
                <w:spacing w:val="-4"/>
                <w:sz w:val="20"/>
              </w:rPr>
              <w:t>and</w:t>
            </w:r>
            <w:r>
              <w:rPr>
                <w:spacing w:val="-1"/>
                <w:sz w:val="20"/>
              </w:rPr>
              <w:t> </w:t>
            </w:r>
            <w:r>
              <w:rPr>
                <w:spacing w:val="-4"/>
                <w:sz w:val="20"/>
              </w:rPr>
              <w:t>now</w:t>
            </w:r>
            <w:r>
              <w:rPr>
                <w:spacing w:val="-1"/>
                <w:sz w:val="20"/>
              </w:rPr>
              <w:t> </w:t>
            </w:r>
            <w:r>
              <w:rPr>
                <w:spacing w:val="-4"/>
                <w:sz w:val="20"/>
              </w:rPr>
              <w:t>public</w:t>
            </w:r>
            <w:r>
              <w:rPr>
                <w:spacing w:val="-1"/>
                <w:sz w:val="20"/>
              </w:rPr>
              <w:t> </w:t>
            </w:r>
            <w:r>
              <w:rPr>
                <w:spacing w:val="-4"/>
                <w:sz w:val="20"/>
              </w:rPr>
              <w:t>and/or</w:t>
            </w:r>
            <w:r>
              <w:rPr>
                <w:spacing w:val="-1"/>
                <w:sz w:val="20"/>
              </w:rPr>
              <w:t> </w:t>
            </w:r>
            <w:r>
              <w:rPr>
                <w:spacing w:val="-4"/>
                <w:sz w:val="20"/>
              </w:rPr>
              <w:t>private.</w:t>
            </w:r>
            <w:r>
              <w:rPr>
                <w:spacing w:val="-1"/>
                <w:sz w:val="20"/>
              </w:rPr>
              <w:t> </w:t>
            </w:r>
            <w:r>
              <w:rPr>
                <w:spacing w:val="-4"/>
                <w:sz w:val="20"/>
              </w:rPr>
              <w:t>None</w:t>
            </w:r>
            <w:r>
              <w:rPr>
                <w:spacing w:val="-1"/>
                <w:sz w:val="20"/>
              </w:rPr>
              <w:t> </w:t>
            </w:r>
            <w:r>
              <w:rPr>
                <w:spacing w:val="-4"/>
                <w:sz w:val="20"/>
              </w:rPr>
              <w:t>of</w:t>
            </w:r>
            <w:r>
              <w:rPr>
                <w:spacing w:val="-1"/>
                <w:sz w:val="20"/>
              </w:rPr>
              <w:t> </w:t>
            </w:r>
            <w:r>
              <w:rPr>
                <w:spacing w:val="-4"/>
                <w:sz w:val="20"/>
              </w:rPr>
              <w:t>these</w:t>
            </w:r>
            <w:r>
              <w:rPr>
                <w:spacing w:val="-1"/>
                <w:sz w:val="20"/>
              </w:rPr>
              <w:t> </w:t>
            </w:r>
            <w:r>
              <w:rPr>
                <w:spacing w:val="-4"/>
                <w:sz w:val="20"/>
              </w:rPr>
              <w:t>very</w:t>
            </w:r>
            <w:r>
              <w:rPr>
                <w:spacing w:val="-2"/>
                <w:sz w:val="20"/>
              </w:rPr>
              <w:t> </w:t>
            </w:r>
            <w:r>
              <w:rPr>
                <w:spacing w:val="-4"/>
                <w:sz w:val="20"/>
              </w:rPr>
              <w:t>developed</w:t>
            </w:r>
          </w:p>
        </w:tc>
      </w:tr>
      <w:tr>
        <w:trPr>
          <w:trHeight w:val="249" w:hRule="atLeast"/>
        </w:trPr>
        <w:tc>
          <w:tcPr>
            <w:tcW w:w="1678" w:type="dxa"/>
            <w:tcBorders>
              <w:top w:val="nil"/>
              <w:bottom w:val="nil"/>
            </w:tcBorders>
            <w:shd w:val="clear" w:color="auto" w:fill="E9E9E9"/>
          </w:tcPr>
          <w:p>
            <w:pPr>
              <w:pStyle w:val="TableParagraph"/>
              <w:spacing w:line="226" w:lineRule="exact" w:before="0"/>
              <w:ind w:left="90"/>
              <w:rPr>
                <w:sz w:val="20"/>
              </w:rPr>
            </w:pPr>
            <w:r>
              <w:rPr>
                <w:sz w:val="20"/>
              </w:rPr>
              <w:t>of</w:t>
            </w:r>
            <w:r>
              <w:rPr>
                <w:spacing w:val="-12"/>
                <w:sz w:val="20"/>
              </w:rPr>
              <w:t> </w:t>
            </w:r>
            <w:r>
              <w:rPr>
                <w:spacing w:val="-2"/>
                <w:sz w:val="20"/>
              </w:rPr>
              <w:t>America,</w:t>
            </w:r>
          </w:p>
        </w:tc>
        <w:tc>
          <w:tcPr>
            <w:tcW w:w="8062" w:type="dxa"/>
            <w:tcBorders>
              <w:top w:val="nil"/>
              <w:bottom w:val="nil"/>
            </w:tcBorders>
            <w:shd w:val="clear" w:color="auto" w:fill="E9E9E9"/>
          </w:tcPr>
          <w:p>
            <w:pPr>
              <w:pStyle w:val="TableParagraph"/>
              <w:spacing w:line="226" w:lineRule="exact" w:before="0"/>
              <w:ind w:left="90"/>
              <w:rPr>
                <w:sz w:val="20"/>
              </w:rPr>
            </w:pPr>
            <w:r>
              <w:rPr>
                <w:spacing w:val="-4"/>
                <w:sz w:val="20"/>
              </w:rPr>
              <w:t>countries</w:t>
            </w:r>
            <w:r>
              <w:rPr>
                <w:spacing w:val="-2"/>
                <w:sz w:val="20"/>
              </w:rPr>
              <w:t> </w:t>
            </w:r>
            <w:r>
              <w:rPr>
                <w:spacing w:val="-4"/>
                <w:sz w:val="20"/>
              </w:rPr>
              <w:t>has</w:t>
            </w:r>
            <w:r>
              <w:rPr>
                <w:spacing w:val="-1"/>
                <w:sz w:val="20"/>
              </w:rPr>
              <w:t> </w:t>
            </w:r>
            <w:r>
              <w:rPr>
                <w:spacing w:val="-4"/>
                <w:sz w:val="20"/>
              </w:rPr>
              <w:t>ever</w:t>
            </w:r>
            <w:r>
              <w:rPr>
                <w:spacing w:val="-1"/>
                <w:sz w:val="20"/>
              </w:rPr>
              <w:t> </w:t>
            </w:r>
            <w:r>
              <w:rPr>
                <w:spacing w:val="-4"/>
                <w:sz w:val="20"/>
              </w:rPr>
              <w:t>considered</w:t>
            </w:r>
            <w:r>
              <w:rPr>
                <w:spacing w:val="-1"/>
                <w:sz w:val="20"/>
              </w:rPr>
              <w:t> </w:t>
            </w:r>
            <w:r>
              <w:rPr>
                <w:spacing w:val="-4"/>
                <w:sz w:val="20"/>
              </w:rPr>
              <w:t>the</w:t>
            </w:r>
            <w:r>
              <w:rPr>
                <w:spacing w:val="-1"/>
                <w:sz w:val="20"/>
              </w:rPr>
              <w:t> </w:t>
            </w:r>
            <w:r>
              <w:rPr>
                <w:spacing w:val="-4"/>
                <w:sz w:val="20"/>
              </w:rPr>
              <w:t>discipline</w:t>
            </w:r>
            <w:r>
              <w:rPr>
                <w:spacing w:val="-1"/>
                <w:sz w:val="20"/>
              </w:rPr>
              <w:t> </w:t>
            </w:r>
            <w:r>
              <w:rPr>
                <w:spacing w:val="-4"/>
                <w:sz w:val="20"/>
              </w:rPr>
              <w:t>of</w:t>
            </w:r>
            <w:r>
              <w:rPr>
                <w:spacing w:val="-1"/>
                <w:sz w:val="20"/>
              </w:rPr>
              <w:t> </w:t>
            </w:r>
            <w:r>
              <w:rPr>
                <w:spacing w:val="-4"/>
                <w:sz w:val="20"/>
              </w:rPr>
              <w:t>extension</w:t>
            </w:r>
            <w:r>
              <w:rPr>
                <w:spacing w:val="-1"/>
                <w:sz w:val="20"/>
              </w:rPr>
              <w:t> </w:t>
            </w:r>
            <w:r>
              <w:rPr>
                <w:spacing w:val="-4"/>
                <w:sz w:val="20"/>
              </w:rPr>
              <w:t>as</w:t>
            </w:r>
            <w:r>
              <w:rPr>
                <w:spacing w:val="-1"/>
                <w:sz w:val="20"/>
              </w:rPr>
              <w:t> </w:t>
            </w:r>
            <w:r>
              <w:rPr>
                <w:spacing w:val="-4"/>
                <w:sz w:val="20"/>
              </w:rPr>
              <w:t>inferior</w:t>
            </w:r>
            <w:r>
              <w:rPr>
                <w:spacing w:val="-1"/>
                <w:sz w:val="20"/>
              </w:rPr>
              <w:t> </w:t>
            </w:r>
            <w:r>
              <w:rPr>
                <w:spacing w:val="-4"/>
                <w:sz w:val="20"/>
              </w:rPr>
              <w:t>to</w:t>
            </w:r>
            <w:r>
              <w:rPr>
                <w:spacing w:val="-1"/>
                <w:sz w:val="20"/>
              </w:rPr>
              <w:t> </w:t>
            </w:r>
            <w:r>
              <w:rPr>
                <w:spacing w:val="-4"/>
                <w:sz w:val="20"/>
              </w:rPr>
              <w:t>other</w:t>
            </w:r>
            <w:r>
              <w:rPr>
                <w:spacing w:val="-1"/>
                <w:sz w:val="20"/>
              </w:rPr>
              <w:t> </w:t>
            </w:r>
            <w:r>
              <w:rPr>
                <w:spacing w:val="-4"/>
                <w:sz w:val="20"/>
              </w:rPr>
              <w:t>agricultural</w:t>
            </w:r>
            <w:r>
              <w:rPr>
                <w:spacing w:val="-2"/>
                <w:sz w:val="20"/>
              </w:rPr>
              <w:t> </w:t>
            </w:r>
            <w:r>
              <w:rPr>
                <w:spacing w:val="-4"/>
                <w:sz w:val="20"/>
              </w:rPr>
              <w:t>disciplines</w:t>
            </w:r>
          </w:p>
        </w:tc>
      </w:tr>
      <w:tr>
        <w:trPr>
          <w:trHeight w:val="250" w:hRule="atLeast"/>
        </w:trPr>
        <w:tc>
          <w:tcPr>
            <w:tcW w:w="1678" w:type="dxa"/>
            <w:tcBorders>
              <w:top w:val="nil"/>
              <w:bottom w:val="nil"/>
            </w:tcBorders>
            <w:shd w:val="clear" w:color="auto" w:fill="E9E9E9"/>
          </w:tcPr>
          <w:p>
            <w:pPr>
              <w:pStyle w:val="TableParagraph"/>
              <w:spacing w:line="226" w:lineRule="exact" w:before="0"/>
              <w:ind w:left="90"/>
              <w:rPr>
                <w:sz w:val="20"/>
              </w:rPr>
            </w:pPr>
            <w:r>
              <w:rPr>
                <w:spacing w:val="-2"/>
                <w:sz w:val="20"/>
              </w:rPr>
              <w:t>Canada,</w:t>
            </w:r>
            <w:r>
              <w:rPr>
                <w:spacing w:val="1"/>
                <w:sz w:val="20"/>
              </w:rPr>
              <w:t> </w:t>
            </w:r>
            <w:r>
              <w:rPr>
                <w:spacing w:val="-2"/>
                <w:sz w:val="20"/>
              </w:rPr>
              <w:t>Australia,</w:t>
            </w:r>
          </w:p>
        </w:tc>
        <w:tc>
          <w:tcPr>
            <w:tcW w:w="8062" w:type="dxa"/>
            <w:tcBorders>
              <w:top w:val="nil"/>
              <w:bottom w:val="nil"/>
            </w:tcBorders>
            <w:shd w:val="clear" w:color="auto" w:fill="E9E9E9"/>
          </w:tcPr>
          <w:p>
            <w:pPr>
              <w:pStyle w:val="TableParagraph"/>
              <w:spacing w:line="226" w:lineRule="exact" w:before="0"/>
              <w:ind w:left="90"/>
              <w:rPr>
                <w:sz w:val="20"/>
              </w:rPr>
            </w:pPr>
            <w:r>
              <w:rPr>
                <w:spacing w:val="-4"/>
                <w:sz w:val="20"/>
              </w:rPr>
              <w:t>at</w:t>
            </w:r>
            <w:r>
              <w:rPr>
                <w:spacing w:val="-6"/>
                <w:sz w:val="20"/>
              </w:rPr>
              <w:t> </w:t>
            </w:r>
            <w:r>
              <w:rPr>
                <w:spacing w:val="-4"/>
                <w:sz w:val="20"/>
              </w:rPr>
              <w:t>the</w:t>
            </w:r>
            <w:r>
              <w:rPr>
                <w:spacing w:val="-6"/>
                <w:sz w:val="20"/>
              </w:rPr>
              <w:t> </w:t>
            </w:r>
            <w:r>
              <w:rPr>
                <w:spacing w:val="-4"/>
                <w:sz w:val="20"/>
              </w:rPr>
              <w:t>time</w:t>
            </w:r>
            <w:r>
              <w:rPr>
                <w:spacing w:val="-6"/>
                <w:sz w:val="20"/>
              </w:rPr>
              <w:t> </w:t>
            </w:r>
            <w:r>
              <w:rPr>
                <w:spacing w:val="-4"/>
                <w:sz w:val="20"/>
              </w:rPr>
              <w:t>of</w:t>
            </w:r>
            <w:r>
              <w:rPr>
                <w:spacing w:val="-6"/>
                <w:sz w:val="20"/>
              </w:rPr>
              <w:t> </w:t>
            </w:r>
            <w:r>
              <w:rPr>
                <w:spacing w:val="-4"/>
                <w:sz w:val="20"/>
              </w:rPr>
              <w:t>resource</w:t>
            </w:r>
            <w:r>
              <w:rPr>
                <w:spacing w:val="-6"/>
                <w:sz w:val="20"/>
              </w:rPr>
              <w:t> </w:t>
            </w:r>
            <w:r>
              <w:rPr>
                <w:spacing w:val="-4"/>
                <w:sz w:val="20"/>
              </w:rPr>
              <w:t>allocation.</w:t>
            </w:r>
            <w:r>
              <w:rPr>
                <w:spacing w:val="-6"/>
                <w:sz w:val="20"/>
              </w:rPr>
              <w:t> </w:t>
            </w:r>
            <w:r>
              <w:rPr>
                <w:spacing w:val="-4"/>
                <w:sz w:val="20"/>
              </w:rPr>
              <w:t>Several</w:t>
            </w:r>
            <w:r>
              <w:rPr>
                <w:spacing w:val="-6"/>
                <w:sz w:val="20"/>
              </w:rPr>
              <w:t> </w:t>
            </w:r>
            <w:r>
              <w:rPr>
                <w:spacing w:val="-4"/>
                <w:sz w:val="20"/>
              </w:rPr>
              <w:t>developed</w:t>
            </w:r>
            <w:r>
              <w:rPr>
                <w:spacing w:val="-6"/>
                <w:sz w:val="20"/>
              </w:rPr>
              <w:t> </w:t>
            </w:r>
            <w:r>
              <w:rPr>
                <w:spacing w:val="-4"/>
                <w:sz w:val="20"/>
              </w:rPr>
              <w:t>countries</w:t>
            </w:r>
            <w:r>
              <w:rPr>
                <w:spacing w:val="-6"/>
                <w:sz w:val="20"/>
              </w:rPr>
              <w:t> </w:t>
            </w:r>
            <w:r>
              <w:rPr>
                <w:spacing w:val="-4"/>
                <w:sz w:val="20"/>
              </w:rPr>
              <w:t>have</w:t>
            </w:r>
            <w:r>
              <w:rPr>
                <w:spacing w:val="-6"/>
                <w:sz w:val="20"/>
              </w:rPr>
              <w:t> </w:t>
            </w:r>
            <w:r>
              <w:rPr>
                <w:spacing w:val="-4"/>
                <w:sz w:val="20"/>
              </w:rPr>
              <w:t>fully</w:t>
            </w:r>
            <w:r>
              <w:rPr>
                <w:spacing w:val="-6"/>
                <w:sz w:val="20"/>
              </w:rPr>
              <w:t> </w:t>
            </w:r>
            <w:r>
              <w:rPr>
                <w:spacing w:val="-4"/>
                <w:sz w:val="20"/>
              </w:rPr>
              <w:t>or</w:t>
            </w:r>
            <w:r>
              <w:rPr>
                <w:spacing w:val="-6"/>
                <w:sz w:val="20"/>
              </w:rPr>
              <w:t> </w:t>
            </w:r>
            <w:r>
              <w:rPr>
                <w:spacing w:val="-4"/>
                <w:sz w:val="20"/>
              </w:rPr>
              <w:t>partially</w:t>
            </w:r>
            <w:r>
              <w:rPr>
                <w:spacing w:val="-6"/>
                <w:sz w:val="20"/>
              </w:rPr>
              <w:t> </w:t>
            </w:r>
            <w:r>
              <w:rPr>
                <w:spacing w:val="-4"/>
                <w:sz w:val="20"/>
              </w:rPr>
              <w:t>privatised</w:t>
            </w:r>
            <w:r>
              <w:rPr>
                <w:spacing w:val="-6"/>
                <w:sz w:val="20"/>
              </w:rPr>
              <w:t> </w:t>
            </w:r>
            <w:r>
              <w:rPr>
                <w:spacing w:val="-4"/>
                <w:sz w:val="20"/>
              </w:rPr>
              <w:t>their</w:t>
            </w:r>
          </w:p>
        </w:tc>
      </w:tr>
      <w:tr>
        <w:trPr>
          <w:trHeight w:val="270" w:hRule="atLeast"/>
        </w:trPr>
        <w:tc>
          <w:tcPr>
            <w:tcW w:w="1678" w:type="dxa"/>
            <w:tcBorders>
              <w:top w:val="nil"/>
            </w:tcBorders>
            <w:shd w:val="clear" w:color="auto" w:fill="E9E9E9"/>
          </w:tcPr>
          <w:p>
            <w:pPr>
              <w:pStyle w:val="TableParagraph"/>
              <w:spacing w:line="226" w:lineRule="exact" w:before="0"/>
              <w:ind w:left="90"/>
              <w:rPr>
                <w:sz w:val="20"/>
              </w:rPr>
            </w:pPr>
            <w:r>
              <w:rPr>
                <w:spacing w:val="-2"/>
                <w:sz w:val="20"/>
              </w:rPr>
              <w:t>Denmark</w:t>
            </w:r>
          </w:p>
        </w:tc>
        <w:tc>
          <w:tcPr>
            <w:tcW w:w="8062" w:type="dxa"/>
            <w:tcBorders>
              <w:top w:val="nil"/>
            </w:tcBorders>
            <w:shd w:val="clear" w:color="auto" w:fill="E9E9E9"/>
          </w:tcPr>
          <w:p>
            <w:pPr>
              <w:pStyle w:val="TableParagraph"/>
              <w:spacing w:line="226" w:lineRule="exact" w:before="0"/>
              <w:ind w:left="90"/>
              <w:rPr>
                <w:sz w:val="20"/>
              </w:rPr>
            </w:pPr>
            <w:r>
              <w:rPr>
                <w:spacing w:val="-6"/>
                <w:sz w:val="20"/>
              </w:rPr>
              <w:t>agricultural</w:t>
            </w:r>
            <w:r>
              <w:rPr>
                <w:spacing w:val="2"/>
                <w:sz w:val="20"/>
              </w:rPr>
              <w:t> </w:t>
            </w:r>
            <w:r>
              <w:rPr>
                <w:spacing w:val="-6"/>
                <w:sz w:val="20"/>
              </w:rPr>
              <w:t>extension</w:t>
            </w:r>
            <w:r>
              <w:rPr>
                <w:spacing w:val="3"/>
                <w:sz w:val="20"/>
              </w:rPr>
              <w:t> </w:t>
            </w:r>
            <w:r>
              <w:rPr>
                <w:spacing w:val="-6"/>
                <w:sz w:val="20"/>
              </w:rPr>
              <w:t>services</w:t>
            </w:r>
            <w:r>
              <w:rPr>
                <w:spacing w:val="3"/>
                <w:sz w:val="20"/>
              </w:rPr>
              <w:t> </w:t>
            </w:r>
            <w:r>
              <w:rPr>
                <w:spacing w:val="-6"/>
                <w:sz w:val="20"/>
              </w:rPr>
              <w:t>in</w:t>
            </w:r>
            <w:r>
              <w:rPr>
                <w:spacing w:val="3"/>
                <w:sz w:val="20"/>
              </w:rPr>
              <w:t> </w:t>
            </w:r>
            <w:r>
              <w:rPr>
                <w:spacing w:val="-6"/>
                <w:sz w:val="20"/>
              </w:rPr>
              <w:t>a</w:t>
            </w:r>
            <w:r>
              <w:rPr>
                <w:spacing w:val="3"/>
                <w:sz w:val="20"/>
              </w:rPr>
              <w:t> </w:t>
            </w:r>
            <w:r>
              <w:rPr>
                <w:spacing w:val="-6"/>
                <w:sz w:val="20"/>
              </w:rPr>
              <w:t>variety</w:t>
            </w:r>
            <w:r>
              <w:rPr>
                <w:spacing w:val="3"/>
                <w:sz w:val="20"/>
              </w:rPr>
              <w:t> </w:t>
            </w:r>
            <w:r>
              <w:rPr>
                <w:spacing w:val="-6"/>
                <w:sz w:val="20"/>
              </w:rPr>
              <w:t>of</w:t>
            </w:r>
            <w:r>
              <w:rPr>
                <w:spacing w:val="3"/>
                <w:sz w:val="20"/>
              </w:rPr>
              <w:t> </w:t>
            </w:r>
            <w:r>
              <w:rPr>
                <w:spacing w:val="-6"/>
                <w:sz w:val="20"/>
              </w:rPr>
              <w:t>ways.</w:t>
            </w:r>
          </w:p>
        </w:tc>
      </w:tr>
      <w:tr>
        <w:trPr>
          <w:trHeight w:val="571" w:hRule="atLeast"/>
        </w:trPr>
        <w:tc>
          <w:tcPr>
            <w:tcW w:w="1678" w:type="dxa"/>
            <w:shd w:val="clear" w:color="auto" w:fill="D0D5CD"/>
          </w:tcPr>
          <w:p>
            <w:pPr>
              <w:pStyle w:val="TableParagraph"/>
              <w:ind w:left="90"/>
              <w:rPr>
                <w:sz w:val="20"/>
              </w:rPr>
            </w:pPr>
            <w:r>
              <w:rPr>
                <w:spacing w:val="-2"/>
                <w:sz w:val="20"/>
              </w:rPr>
              <w:t>Costa</w:t>
            </w:r>
            <w:r>
              <w:rPr>
                <w:spacing w:val="-4"/>
                <w:sz w:val="20"/>
              </w:rPr>
              <w:t> Rica</w:t>
            </w:r>
          </w:p>
        </w:tc>
        <w:tc>
          <w:tcPr>
            <w:tcW w:w="8062" w:type="dxa"/>
            <w:shd w:val="clear" w:color="auto" w:fill="D0D5CD"/>
          </w:tcPr>
          <w:p>
            <w:pPr>
              <w:pStyle w:val="TableParagraph"/>
              <w:spacing w:line="261" w:lineRule="auto"/>
              <w:ind w:left="90"/>
              <w:rPr>
                <w:sz w:val="20"/>
              </w:rPr>
            </w:pPr>
            <w:r>
              <w:rPr>
                <w:spacing w:val="-4"/>
                <w:sz w:val="20"/>
              </w:rPr>
              <w:t>The government provides farmers with extension vouchers which can be used for getting </w:t>
            </w:r>
            <w:r>
              <w:rPr>
                <w:spacing w:val="-4"/>
                <w:sz w:val="20"/>
              </w:rPr>
              <w:t>extension </w:t>
            </w:r>
            <w:r>
              <w:rPr>
                <w:sz w:val="20"/>
              </w:rPr>
              <w:t>advice from private specialists.</w:t>
            </w:r>
          </w:p>
        </w:tc>
      </w:tr>
      <w:tr>
        <w:trPr>
          <w:trHeight w:val="821" w:hRule="atLeast"/>
        </w:trPr>
        <w:tc>
          <w:tcPr>
            <w:tcW w:w="1678" w:type="dxa"/>
            <w:shd w:val="clear" w:color="auto" w:fill="E9E9E9"/>
          </w:tcPr>
          <w:p>
            <w:pPr>
              <w:pStyle w:val="TableParagraph"/>
              <w:ind w:left="89"/>
              <w:rPr>
                <w:sz w:val="20"/>
              </w:rPr>
            </w:pPr>
            <w:r>
              <w:rPr>
                <w:spacing w:val="-2"/>
                <w:sz w:val="20"/>
              </w:rPr>
              <w:t>England</w:t>
            </w:r>
          </w:p>
        </w:tc>
        <w:tc>
          <w:tcPr>
            <w:tcW w:w="8062" w:type="dxa"/>
            <w:shd w:val="clear" w:color="auto" w:fill="E9E9E9"/>
          </w:tcPr>
          <w:p>
            <w:pPr>
              <w:pStyle w:val="TableParagraph"/>
              <w:spacing w:line="261" w:lineRule="auto"/>
              <w:ind w:left="90" w:right="378"/>
              <w:rPr>
                <w:sz w:val="20"/>
              </w:rPr>
            </w:pPr>
            <w:r>
              <w:rPr>
                <w:spacing w:val="-4"/>
                <w:sz w:val="20"/>
              </w:rPr>
              <w:t>The</w:t>
            </w:r>
            <w:r>
              <w:rPr>
                <w:spacing w:val="-6"/>
                <w:sz w:val="20"/>
              </w:rPr>
              <w:t> </w:t>
            </w:r>
            <w:r>
              <w:rPr>
                <w:spacing w:val="-4"/>
                <w:sz w:val="20"/>
              </w:rPr>
              <w:t>public extension service has evolved over time into a private consulting practice.</w:t>
            </w:r>
            <w:r>
              <w:rPr>
                <w:spacing w:val="-9"/>
                <w:sz w:val="20"/>
              </w:rPr>
              <w:t> </w:t>
            </w:r>
            <w:r>
              <w:rPr>
                <w:spacing w:val="-4"/>
                <w:sz w:val="20"/>
              </w:rPr>
              <w:t>The </w:t>
            </w:r>
            <w:r>
              <w:rPr>
                <w:spacing w:val="-4"/>
                <w:sz w:val="20"/>
              </w:rPr>
              <w:t>positive </w:t>
            </w:r>
            <w:r>
              <w:rPr>
                <w:spacing w:val="-2"/>
                <w:sz w:val="20"/>
              </w:rPr>
              <w:t>result</w:t>
            </w:r>
            <w:r>
              <w:rPr>
                <w:spacing w:val="-11"/>
                <w:sz w:val="20"/>
              </w:rPr>
              <w:t> </w:t>
            </w:r>
            <w:r>
              <w:rPr>
                <w:spacing w:val="-2"/>
                <w:sz w:val="20"/>
              </w:rPr>
              <w:t>is</w:t>
            </w:r>
            <w:r>
              <w:rPr>
                <w:spacing w:val="-10"/>
                <w:sz w:val="20"/>
              </w:rPr>
              <w:t> </w:t>
            </w:r>
            <w:r>
              <w:rPr>
                <w:spacing w:val="-2"/>
                <w:sz w:val="20"/>
              </w:rPr>
              <w:t>enhanced</w:t>
            </w:r>
            <w:r>
              <w:rPr>
                <w:spacing w:val="-11"/>
                <w:sz w:val="20"/>
              </w:rPr>
              <w:t> </w:t>
            </w:r>
            <w:r>
              <w:rPr>
                <w:spacing w:val="-2"/>
                <w:sz w:val="20"/>
              </w:rPr>
              <w:t>efficiency</w:t>
            </w:r>
            <w:r>
              <w:rPr>
                <w:spacing w:val="-10"/>
                <w:sz w:val="20"/>
              </w:rPr>
              <w:t> </w:t>
            </w:r>
            <w:r>
              <w:rPr>
                <w:spacing w:val="-2"/>
                <w:sz w:val="20"/>
              </w:rPr>
              <w:t>of</w:t>
            </w:r>
            <w:r>
              <w:rPr>
                <w:spacing w:val="-11"/>
                <w:sz w:val="20"/>
              </w:rPr>
              <w:t> </w:t>
            </w:r>
            <w:r>
              <w:rPr>
                <w:spacing w:val="-2"/>
                <w:sz w:val="20"/>
              </w:rPr>
              <w:t>staff,</w:t>
            </w:r>
            <w:r>
              <w:rPr>
                <w:spacing w:val="-10"/>
                <w:sz w:val="20"/>
              </w:rPr>
              <w:t> </w:t>
            </w:r>
            <w:r>
              <w:rPr>
                <w:spacing w:val="-2"/>
                <w:sz w:val="20"/>
              </w:rPr>
              <w:t>and</w:t>
            </w:r>
            <w:r>
              <w:rPr>
                <w:spacing w:val="-11"/>
                <w:sz w:val="20"/>
              </w:rPr>
              <w:t> </w:t>
            </w:r>
            <w:r>
              <w:rPr>
                <w:spacing w:val="-2"/>
                <w:sz w:val="20"/>
              </w:rPr>
              <w:t>the</w:t>
            </w:r>
            <w:r>
              <w:rPr>
                <w:spacing w:val="-10"/>
                <w:sz w:val="20"/>
              </w:rPr>
              <w:t> </w:t>
            </w:r>
            <w:r>
              <w:rPr>
                <w:spacing w:val="-2"/>
                <w:sz w:val="20"/>
              </w:rPr>
              <w:t>negative</w:t>
            </w:r>
            <w:r>
              <w:rPr>
                <w:spacing w:val="-11"/>
                <w:sz w:val="20"/>
              </w:rPr>
              <w:t> </w:t>
            </w:r>
            <w:r>
              <w:rPr>
                <w:spacing w:val="-2"/>
                <w:sz w:val="20"/>
              </w:rPr>
              <w:t>effect</w:t>
            </w:r>
            <w:r>
              <w:rPr>
                <w:spacing w:val="-10"/>
                <w:sz w:val="20"/>
              </w:rPr>
              <w:t> </w:t>
            </w:r>
            <w:r>
              <w:rPr>
                <w:spacing w:val="-2"/>
                <w:sz w:val="20"/>
              </w:rPr>
              <w:t>is</w:t>
            </w:r>
            <w:r>
              <w:rPr>
                <w:spacing w:val="-11"/>
                <w:sz w:val="20"/>
              </w:rPr>
              <w:t> </w:t>
            </w:r>
            <w:r>
              <w:rPr>
                <w:spacing w:val="-2"/>
                <w:sz w:val="20"/>
              </w:rPr>
              <w:t>the</w:t>
            </w:r>
            <w:r>
              <w:rPr>
                <w:spacing w:val="-10"/>
                <w:sz w:val="20"/>
              </w:rPr>
              <w:t> </w:t>
            </w:r>
            <w:r>
              <w:rPr>
                <w:spacing w:val="-2"/>
                <w:sz w:val="20"/>
              </w:rPr>
              <w:t>deprivation</w:t>
            </w:r>
            <w:r>
              <w:rPr>
                <w:spacing w:val="-11"/>
                <w:sz w:val="20"/>
              </w:rPr>
              <w:t> </w:t>
            </w:r>
            <w:r>
              <w:rPr>
                <w:spacing w:val="-2"/>
                <w:sz w:val="20"/>
              </w:rPr>
              <w:t>of</w:t>
            </w:r>
            <w:r>
              <w:rPr>
                <w:spacing w:val="-10"/>
                <w:sz w:val="20"/>
              </w:rPr>
              <w:t> </w:t>
            </w:r>
            <w:r>
              <w:rPr>
                <w:spacing w:val="-2"/>
                <w:sz w:val="20"/>
              </w:rPr>
              <w:t>small</w:t>
            </w:r>
            <w:r>
              <w:rPr>
                <w:spacing w:val="-11"/>
                <w:sz w:val="20"/>
              </w:rPr>
              <w:t> </w:t>
            </w:r>
            <w:r>
              <w:rPr>
                <w:spacing w:val="-2"/>
                <w:sz w:val="20"/>
              </w:rPr>
              <w:t>farmers</w:t>
            </w:r>
            <w:r>
              <w:rPr>
                <w:spacing w:val="-10"/>
                <w:sz w:val="20"/>
              </w:rPr>
              <w:t> </w:t>
            </w:r>
            <w:r>
              <w:rPr>
                <w:spacing w:val="-2"/>
                <w:sz w:val="20"/>
              </w:rPr>
              <w:t>of </w:t>
            </w:r>
            <w:r>
              <w:rPr>
                <w:sz w:val="20"/>
              </w:rPr>
              <w:t>extension</w:t>
            </w:r>
            <w:r>
              <w:rPr>
                <w:spacing w:val="-13"/>
                <w:sz w:val="20"/>
              </w:rPr>
              <w:t> </w:t>
            </w:r>
            <w:r>
              <w:rPr>
                <w:sz w:val="20"/>
              </w:rPr>
              <w:t>services</w:t>
            </w:r>
            <w:r>
              <w:rPr>
                <w:spacing w:val="-12"/>
                <w:sz w:val="20"/>
              </w:rPr>
              <w:t> </w:t>
            </w:r>
            <w:r>
              <w:rPr>
                <w:sz w:val="20"/>
              </w:rPr>
              <w:t>as</w:t>
            </w:r>
            <w:r>
              <w:rPr>
                <w:spacing w:val="-13"/>
                <w:sz w:val="20"/>
              </w:rPr>
              <w:t> </w:t>
            </w:r>
            <w:r>
              <w:rPr>
                <w:sz w:val="20"/>
              </w:rPr>
              <w:t>the</w:t>
            </w:r>
            <w:r>
              <w:rPr>
                <w:spacing w:val="-12"/>
                <w:sz w:val="20"/>
              </w:rPr>
              <w:t> </w:t>
            </w:r>
            <w:r>
              <w:rPr>
                <w:sz w:val="20"/>
              </w:rPr>
              <w:t>result</w:t>
            </w:r>
            <w:r>
              <w:rPr>
                <w:spacing w:val="-13"/>
                <w:sz w:val="20"/>
              </w:rPr>
              <w:t> </w:t>
            </w:r>
            <w:r>
              <w:rPr>
                <w:sz w:val="20"/>
              </w:rPr>
              <w:t>of</w:t>
            </w:r>
            <w:r>
              <w:rPr>
                <w:spacing w:val="-12"/>
                <w:sz w:val="20"/>
              </w:rPr>
              <w:t> </w:t>
            </w:r>
            <w:r>
              <w:rPr>
                <w:sz w:val="20"/>
              </w:rPr>
              <w:t>their</w:t>
            </w:r>
            <w:r>
              <w:rPr>
                <w:spacing w:val="-13"/>
                <w:sz w:val="20"/>
              </w:rPr>
              <w:t> </w:t>
            </w:r>
            <w:r>
              <w:rPr>
                <w:sz w:val="20"/>
              </w:rPr>
              <w:t>inability</w:t>
            </w:r>
            <w:r>
              <w:rPr>
                <w:spacing w:val="-12"/>
                <w:sz w:val="20"/>
              </w:rPr>
              <w:t> </w:t>
            </w:r>
            <w:r>
              <w:rPr>
                <w:sz w:val="20"/>
              </w:rPr>
              <w:t>or</w:t>
            </w:r>
            <w:r>
              <w:rPr>
                <w:spacing w:val="-13"/>
                <w:sz w:val="20"/>
              </w:rPr>
              <w:t> </w:t>
            </w:r>
            <w:r>
              <w:rPr>
                <w:sz w:val="20"/>
              </w:rPr>
              <w:t>unwillingness</w:t>
            </w:r>
            <w:r>
              <w:rPr>
                <w:spacing w:val="-12"/>
                <w:sz w:val="20"/>
              </w:rPr>
              <w:t> </w:t>
            </w:r>
            <w:r>
              <w:rPr>
                <w:sz w:val="20"/>
              </w:rPr>
              <w:t>to</w:t>
            </w:r>
            <w:r>
              <w:rPr>
                <w:spacing w:val="-13"/>
                <w:sz w:val="20"/>
              </w:rPr>
              <w:t> </w:t>
            </w:r>
            <w:r>
              <w:rPr>
                <w:sz w:val="20"/>
              </w:rPr>
              <w:t>pay.</w:t>
            </w:r>
          </w:p>
        </w:tc>
      </w:tr>
      <w:tr>
        <w:trPr>
          <w:trHeight w:val="821" w:hRule="atLeast"/>
        </w:trPr>
        <w:tc>
          <w:tcPr>
            <w:tcW w:w="1678" w:type="dxa"/>
            <w:shd w:val="clear" w:color="auto" w:fill="D0D5CD"/>
          </w:tcPr>
          <w:p>
            <w:pPr>
              <w:pStyle w:val="TableParagraph"/>
              <w:ind w:left="89"/>
              <w:rPr>
                <w:sz w:val="20"/>
              </w:rPr>
            </w:pPr>
            <w:r>
              <w:rPr>
                <w:spacing w:val="-2"/>
                <w:sz w:val="20"/>
              </w:rPr>
              <w:t>Holland</w:t>
            </w:r>
          </w:p>
        </w:tc>
        <w:tc>
          <w:tcPr>
            <w:tcW w:w="8062" w:type="dxa"/>
            <w:shd w:val="clear" w:color="auto" w:fill="D0D5CD"/>
          </w:tcPr>
          <w:p>
            <w:pPr>
              <w:pStyle w:val="TableParagraph"/>
              <w:spacing w:line="261" w:lineRule="auto"/>
              <w:ind w:left="90" w:right="378"/>
              <w:rPr>
                <w:sz w:val="20"/>
              </w:rPr>
            </w:pPr>
            <w:r>
              <w:rPr>
                <w:sz w:val="20"/>
              </w:rPr>
              <w:t>About</w:t>
            </w:r>
            <w:r>
              <w:rPr>
                <w:spacing w:val="-11"/>
                <w:sz w:val="20"/>
              </w:rPr>
              <w:t> </w:t>
            </w:r>
            <w:r>
              <w:rPr>
                <w:sz w:val="20"/>
              </w:rPr>
              <w:t>60</w:t>
            </w:r>
            <w:r>
              <w:rPr>
                <w:spacing w:val="-11"/>
                <w:sz w:val="20"/>
              </w:rPr>
              <w:t> </w:t>
            </w:r>
            <w:r>
              <w:rPr>
                <w:sz w:val="20"/>
              </w:rPr>
              <w:t>per</w:t>
            </w:r>
            <w:r>
              <w:rPr>
                <w:spacing w:val="-11"/>
                <w:sz w:val="20"/>
              </w:rPr>
              <w:t> </w:t>
            </w:r>
            <w:r>
              <w:rPr>
                <w:sz w:val="20"/>
              </w:rPr>
              <w:t>cent</w:t>
            </w:r>
            <w:r>
              <w:rPr>
                <w:spacing w:val="-11"/>
                <w:sz w:val="20"/>
              </w:rPr>
              <w:t> </w:t>
            </w:r>
            <w:r>
              <w:rPr>
                <w:sz w:val="20"/>
              </w:rPr>
              <w:t>of</w:t>
            </w:r>
            <w:r>
              <w:rPr>
                <w:spacing w:val="-11"/>
                <w:sz w:val="20"/>
              </w:rPr>
              <w:t> </w:t>
            </w:r>
            <w:r>
              <w:rPr>
                <w:sz w:val="20"/>
              </w:rPr>
              <w:t>the</w:t>
            </w:r>
            <w:r>
              <w:rPr>
                <w:spacing w:val="-11"/>
                <w:sz w:val="20"/>
              </w:rPr>
              <w:t> </w:t>
            </w:r>
            <w:r>
              <w:rPr>
                <w:sz w:val="20"/>
              </w:rPr>
              <w:t>extension</w:t>
            </w:r>
            <w:r>
              <w:rPr>
                <w:spacing w:val="-11"/>
                <w:sz w:val="20"/>
              </w:rPr>
              <w:t> </w:t>
            </w:r>
            <w:r>
              <w:rPr>
                <w:sz w:val="20"/>
              </w:rPr>
              <w:t>budget</w:t>
            </w:r>
            <w:r>
              <w:rPr>
                <w:spacing w:val="-11"/>
                <w:sz w:val="20"/>
              </w:rPr>
              <w:t> </w:t>
            </w:r>
            <w:r>
              <w:rPr>
                <w:sz w:val="20"/>
              </w:rPr>
              <w:t>comes</w:t>
            </w:r>
            <w:r>
              <w:rPr>
                <w:spacing w:val="-11"/>
                <w:sz w:val="20"/>
              </w:rPr>
              <w:t> </w:t>
            </w:r>
            <w:r>
              <w:rPr>
                <w:sz w:val="20"/>
              </w:rPr>
              <w:t>from</w:t>
            </w:r>
            <w:r>
              <w:rPr>
                <w:spacing w:val="-11"/>
                <w:sz w:val="20"/>
              </w:rPr>
              <w:t> </w:t>
            </w:r>
            <w:r>
              <w:rPr>
                <w:sz w:val="20"/>
              </w:rPr>
              <w:t>farmers,</w:t>
            </w:r>
            <w:r>
              <w:rPr>
                <w:spacing w:val="-11"/>
                <w:sz w:val="20"/>
              </w:rPr>
              <w:t> </w:t>
            </w:r>
            <w:r>
              <w:rPr>
                <w:sz w:val="20"/>
              </w:rPr>
              <w:t>while</w:t>
            </w:r>
            <w:r>
              <w:rPr>
                <w:spacing w:val="-11"/>
                <w:sz w:val="20"/>
              </w:rPr>
              <w:t> </w:t>
            </w:r>
            <w:r>
              <w:rPr>
                <w:sz w:val="20"/>
              </w:rPr>
              <w:t>the</w:t>
            </w:r>
            <w:r>
              <w:rPr>
                <w:spacing w:val="-11"/>
                <w:sz w:val="20"/>
              </w:rPr>
              <w:t> </w:t>
            </w:r>
            <w:r>
              <w:rPr>
                <w:sz w:val="20"/>
              </w:rPr>
              <w:t>remaining</w:t>
            </w:r>
            <w:r>
              <w:rPr>
                <w:spacing w:val="-11"/>
                <w:sz w:val="20"/>
              </w:rPr>
              <w:t> </w:t>
            </w:r>
            <w:r>
              <w:rPr>
                <w:sz w:val="20"/>
              </w:rPr>
              <w:t>40</w:t>
            </w:r>
            <w:r>
              <w:rPr>
                <w:spacing w:val="-11"/>
                <w:sz w:val="20"/>
              </w:rPr>
              <w:t> </w:t>
            </w:r>
            <w:r>
              <w:rPr>
                <w:sz w:val="20"/>
              </w:rPr>
              <w:t>per</w:t>
            </w:r>
            <w:r>
              <w:rPr>
                <w:spacing w:val="-11"/>
                <w:sz w:val="20"/>
              </w:rPr>
              <w:t> </w:t>
            </w:r>
            <w:r>
              <w:rPr>
                <w:sz w:val="20"/>
              </w:rPr>
              <w:t>cent </w:t>
            </w:r>
            <w:r>
              <w:rPr>
                <w:spacing w:val="-4"/>
                <w:sz w:val="20"/>
              </w:rPr>
              <w:t>is</w:t>
            </w:r>
            <w:r>
              <w:rPr>
                <w:spacing w:val="-9"/>
                <w:sz w:val="20"/>
              </w:rPr>
              <w:t> </w:t>
            </w:r>
            <w:r>
              <w:rPr>
                <w:spacing w:val="-4"/>
                <w:sz w:val="20"/>
              </w:rPr>
              <w:t>provided</w:t>
            </w:r>
            <w:r>
              <w:rPr>
                <w:spacing w:val="-8"/>
                <w:sz w:val="20"/>
              </w:rPr>
              <w:t> </w:t>
            </w:r>
            <w:r>
              <w:rPr>
                <w:spacing w:val="-4"/>
                <w:sz w:val="20"/>
              </w:rPr>
              <w:t>by</w:t>
            </w:r>
            <w:r>
              <w:rPr>
                <w:spacing w:val="-6"/>
                <w:sz w:val="20"/>
              </w:rPr>
              <w:t> </w:t>
            </w:r>
            <w:r>
              <w:rPr>
                <w:spacing w:val="-4"/>
                <w:sz w:val="20"/>
              </w:rPr>
              <w:t>the</w:t>
            </w:r>
            <w:r>
              <w:rPr>
                <w:spacing w:val="-7"/>
                <w:sz w:val="20"/>
              </w:rPr>
              <w:t> </w:t>
            </w:r>
            <w:r>
              <w:rPr>
                <w:spacing w:val="-4"/>
                <w:sz w:val="20"/>
              </w:rPr>
              <w:t>government.</w:t>
            </w:r>
            <w:r>
              <w:rPr>
                <w:spacing w:val="-9"/>
                <w:sz w:val="20"/>
              </w:rPr>
              <w:t> </w:t>
            </w:r>
            <w:r>
              <w:rPr>
                <w:spacing w:val="-4"/>
                <w:sz w:val="20"/>
              </w:rPr>
              <w:t>The</w:t>
            </w:r>
            <w:r>
              <w:rPr>
                <w:spacing w:val="-7"/>
                <w:sz w:val="20"/>
              </w:rPr>
              <w:t> </w:t>
            </w:r>
            <w:r>
              <w:rPr>
                <w:spacing w:val="-4"/>
                <w:sz w:val="20"/>
              </w:rPr>
              <w:t>benefits</w:t>
            </w:r>
            <w:r>
              <w:rPr>
                <w:spacing w:val="-7"/>
                <w:sz w:val="20"/>
              </w:rPr>
              <w:t> </w:t>
            </w:r>
            <w:r>
              <w:rPr>
                <w:spacing w:val="-4"/>
                <w:sz w:val="20"/>
              </w:rPr>
              <w:t>include</w:t>
            </w:r>
            <w:r>
              <w:rPr>
                <w:spacing w:val="-7"/>
                <w:sz w:val="20"/>
              </w:rPr>
              <w:t> </w:t>
            </w:r>
            <w:r>
              <w:rPr>
                <w:spacing w:val="-4"/>
                <w:sz w:val="20"/>
              </w:rPr>
              <w:t>increased</w:t>
            </w:r>
            <w:r>
              <w:rPr>
                <w:spacing w:val="-7"/>
                <w:sz w:val="20"/>
              </w:rPr>
              <w:t> </w:t>
            </w:r>
            <w:r>
              <w:rPr>
                <w:spacing w:val="-4"/>
                <w:sz w:val="20"/>
              </w:rPr>
              <w:t>efficiency,</w:t>
            </w:r>
            <w:r>
              <w:rPr>
                <w:spacing w:val="-7"/>
                <w:sz w:val="20"/>
              </w:rPr>
              <w:t> </w:t>
            </w:r>
            <w:r>
              <w:rPr>
                <w:spacing w:val="-4"/>
                <w:sz w:val="20"/>
              </w:rPr>
              <w:t>improved</w:t>
            </w:r>
            <w:r>
              <w:rPr>
                <w:spacing w:val="-7"/>
                <w:sz w:val="20"/>
              </w:rPr>
              <w:t> </w:t>
            </w:r>
            <w:r>
              <w:rPr>
                <w:spacing w:val="-4"/>
                <w:sz w:val="20"/>
              </w:rPr>
              <w:t>quality,</w:t>
            </w:r>
            <w:r>
              <w:rPr>
                <w:spacing w:val="-7"/>
                <w:sz w:val="20"/>
              </w:rPr>
              <w:t> </w:t>
            </w:r>
            <w:r>
              <w:rPr>
                <w:spacing w:val="-4"/>
                <w:sz w:val="20"/>
              </w:rPr>
              <w:t>client- </w:t>
            </w:r>
            <w:r>
              <w:rPr>
                <w:sz w:val="20"/>
              </w:rPr>
              <w:t>orientation,</w:t>
            </w:r>
            <w:r>
              <w:rPr>
                <w:spacing w:val="-9"/>
                <w:sz w:val="20"/>
              </w:rPr>
              <w:t> </w:t>
            </w:r>
            <w:r>
              <w:rPr>
                <w:sz w:val="20"/>
              </w:rPr>
              <w:t>job</w:t>
            </w:r>
            <w:r>
              <w:rPr>
                <w:spacing w:val="-9"/>
                <w:sz w:val="20"/>
              </w:rPr>
              <w:t> </w:t>
            </w:r>
            <w:r>
              <w:rPr>
                <w:sz w:val="20"/>
              </w:rPr>
              <w:t>satisfaction</w:t>
            </w:r>
            <w:r>
              <w:rPr>
                <w:spacing w:val="-9"/>
                <w:sz w:val="20"/>
              </w:rPr>
              <w:t> </w:t>
            </w:r>
            <w:r>
              <w:rPr>
                <w:sz w:val="20"/>
              </w:rPr>
              <w:t>for</w:t>
            </w:r>
            <w:r>
              <w:rPr>
                <w:spacing w:val="-9"/>
                <w:sz w:val="20"/>
              </w:rPr>
              <w:t> </w:t>
            </w:r>
            <w:r>
              <w:rPr>
                <w:sz w:val="20"/>
              </w:rPr>
              <w:t>staff,</w:t>
            </w:r>
            <w:r>
              <w:rPr>
                <w:spacing w:val="-9"/>
                <w:sz w:val="20"/>
              </w:rPr>
              <w:t> </w:t>
            </w:r>
            <w:r>
              <w:rPr>
                <w:sz w:val="20"/>
              </w:rPr>
              <w:t>and</w:t>
            </w:r>
            <w:r>
              <w:rPr>
                <w:spacing w:val="-9"/>
                <w:sz w:val="20"/>
              </w:rPr>
              <w:t> </w:t>
            </w:r>
            <w:r>
              <w:rPr>
                <w:sz w:val="20"/>
              </w:rPr>
              <w:t>expanded</w:t>
            </w:r>
            <w:r>
              <w:rPr>
                <w:spacing w:val="-9"/>
                <w:sz w:val="20"/>
              </w:rPr>
              <w:t> </w:t>
            </w:r>
            <w:r>
              <w:rPr>
                <w:sz w:val="20"/>
              </w:rPr>
              <w:t>marketing</w:t>
            </w:r>
            <w:r>
              <w:rPr>
                <w:spacing w:val="-9"/>
                <w:sz w:val="20"/>
              </w:rPr>
              <w:t> </w:t>
            </w:r>
            <w:r>
              <w:rPr>
                <w:sz w:val="20"/>
              </w:rPr>
              <w:t>opportunities</w:t>
            </w:r>
            <w:r>
              <w:rPr>
                <w:spacing w:val="-9"/>
                <w:sz w:val="20"/>
              </w:rPr>
              <w:t> </w:t>
            </w:r>
            <w:r>
              <w:rPr>
                <w:sz w:val="20"/>
              </w:rPr>
              <w:t>for</w:t>
            </w:r>
            <w:r>
              <w:rPr>
                <w:spacing w:val="-9"/>
                <w:sz w:val="20"/>
              </w:rPr>
              <w:t> </w:t>
            </w:r>
            <w:r>
              <w:rPr>
                <w:sz w:val="20"/>
              </w:rPr>
              <w:t>farmers.</w:t>
            </w:r>
          </w:p>
        </w:tc>
      </w:tr>
      <w:tr>
        <w:trPr>
          <w:trHeight w:val="571" w:hRule="atLeast"/>
        </w:trPr>
        <w:tc>
          <w:tcPr>
            <w:tcW w:w="1678" w:type="dxa"/>
            <w:shd w:val="clear" w:color="auto" w:fill="E9E9E9"/>
          </w:tcPr>
          <w:p>
            <w:pPr>
              <w:pStyle w:val="TableParagraph"/>
              <w:ind w:left="90"/>
              <w:rPr>
                <w:sz w:val="20"/>
              </w:rPr>
            </w:pPr>
            <w:r>
              <w:rPr>
                <w:spacing w:val="-2"/>
                <w:sz w:val="20"/>
              </w:rPr>
              <w:t>Albania</w:t>
            </w:r>
          </w:p>
        </w:tc>
        <w:tc>
          <w:tcPr>
            <w:tcW w:w="8062" w:type="dxa"/>
            <w:shd w:val="clear" w:color="auto" w:fill="E9E9E9"/>
          </w:tcPr>
          <w:p>
            <w:pPr>
              <w:pStyle w:val="TableParagraph"/>
              <w:spacing w:line="261" w:lineRule="auto"/>
              <w:ind w:left="90" w:right="35"/>
              <w:rPr>
                <w:sz w:val="20"/>
              </w:rPr>
            </w:pPr>
            <w:r>
              <w:rPr>
                <w:spacing w:val="-4"/>
                <w:sz w:val="20"/>
              </w:rPr>
              <w:t>Private sector entrepreneurial initiatives to create a long-term relationship with farmers have proved </w:t>
            </w:r>
            <w:r>
              <w:rPr>
                <w:spacing w:val="-4"/>
                <w:sz w:val="20"/>
              </w:rPr>
              <w:t>to </w:t>
            </w:r>
            <w:r>
              <w:rPr>
                <w:sz w:val="20"/>
              </w:rPr>
              <w:t>be successful.</w:t>
            </w:r>
          </w:p>
        </w:tc>
      </w:tr>
      <w:tr>
        <w:trPr>
          <w:trHeight w:val="1071" w:hRule="atLeast"/>
        </w:trPr>
        <w:tc>
          <w:tcPr>
            <w:tcW w:w="1678" w:type="dxa"/>
            <w:shd w:val="clear" w:color="auto" w:fill="D0D5CD"/>
          </w:tcPr>
          <w:p>
            <w:pPr>
              <w:pStyle w:val="TableParagraph"/>
              <w:ind w:left="89"/>
              <w:rPr>
                <w:sz w:val="20"/>
              </w:rPr>
            </w:pPr>
            <w:r>
              <w:rPr>
                <w:spacing w:val="-2"/>
                <w:sz w:val="20"/>
              </w:rPr>
              <w:t>Uganda</w:t>
            </w:r>
          </w:p>
        </w:tc>
        <w:tc>
          <w:tcPr>
            <w:tcW w:w="8062" w:type="dxa"/>
            <w:shd w:val="clear" w:color="auto" w:fill="D0D5CD"/>
          </w:tcPr>
          <w:p>
            <w:pPr>
              <w:pStyle w:val="TableParagraph"/>
              <w:spacing w:line="261" w:lineRule="auto"/>
              <w:ind w:left="90"/>
              <w:rPr>
                <w:sz w:val="20"/>
              </w:rPr>
            </w:pPr>
            <w:r>
              <w:rPr>
                <w:sz w:val="20"/>
              </w:rPr>
              <w:t>Privatisation</w:t>
            </w:r>
            <w:r>
              <w:rPr>
                <w:spacing w:val="-12"/>
                <w:sz w:val="20"/>
              </w:rPr>
              <w:t> </w:t>
            </w:r>
            <w:r>
              <w:rPr>
                <w:sz w:val="20"/>
              </w:rPr>
              <w:t>of</w:t>
            </w:r>
            <w:r>
              <w:rPr>
                <w:spacing w:val="-12"/>
                <w:sz w:val="20"/>
              </w:rPr>
              <w:t> </w:t>
            </w:r>
            <w:r>
              <w:rPr>
                <w:sz w:val="20"/>
              </w:rPr>
              <w:t>extension</w:t>
            </w:r>
            <w:r>
              <w:rPr>
                <w:spacing w:val="-12"/>
                <w:sz w:val="20"/>
              </w:rPr>
              <w:t> </w:t>
            </w:r>
            <w:r>
              <w:rPr>
                <w:sz w:val="20"/>
              </w:rPr>
              <w:t>through</w:t>
            </w:r>
            <w:r>
              <w:rPr>
                <w:spacing w:val="-12"/>
                <w:sz w:val="20"/>
              </w:rPr>
              <w:t> </w:t>
            </w:r>
            <w:r>
              <w:rPr>
                <w:sz w:val="20"/>
              </w:rPr>
              <w:t>the</w:t>
            </w:r>
            <w:r>
              <w:rPr>
                <w:spacing w:val="-12"/>
                <w:sz w:val="20"/>
              </w:rPr>
              <w:t> </w:t>
            </w:r>
            <w:r>
              <w:rPr>
                <w:sz w:val="20"/>
              </w:rPr>
              <w:t>creation</w:t>
            </w:r>
            <w:r>
              <w:rPr>
                <w:spacing w:val="-12"/>
                <w:sz w:val="20"/>
              </w:rPr>
              <w:t> </w:t>
            </w:r>
            <w:r>
              <w:rPr>
                <w:sz w:val="20"/>
              </w:rPr>
              <w:t>of</w:t>
            </w:r>
            <w:r>
              <w:rPr>
                <w:spacing w:val="-12"/>
                <w:sz w:val="20"/>
              </w:rPr>
              <w:t> </w:t>
            </w:r>
            <w:r>
              <w:rPr>
                <w:sz w:val="20"/>
              </w:rPr>
              <w:t>a</w:t>
            </w:r>
            <w:r>
              <w:rPr>
                <w:spacing w:val="-12"/>
                <w:sz w:val="20"/>
              </w:rPr>
              <w:t> </w:t>
            </w:r>
            <w:r>
              <w:rPr>
                <w:sz w:val="20"/>
              </w:rPr>
              <w:t>pool</w:t>
            </w:r>
            <w:r>
              <w:rPr>
                <w:spacing w:val="-12"/>
                <w:sz w:val="20"/>
              </w:rPr>
              <w:t> </w:t>
            </w:r>
            <w:r>
              <w:rPr>
                <w:sz w:val="20"/>
              </w:rPr>
              <w:t>of</w:t>
            </w:r>
            <w:r>
              <w:rPr>
                <w:spacing w:val="-12"/>
                <w:sz w:val="20"/>
              </w:rPr>
              <w:t> </w:t>
            </w:r>
            <w:r>
              <w:rPr>
                <w:sz w:val="20"/>
              </w:rPr>
              <w:t>private</w:t>
            </w:r>
            <w:r>
              <w:rPr>
                <w:spacing w:val="-12"/>
                <w:sz w:val="20"/>
              </w:rPr>
              <w:t> </w:t>
            </w:r>
            <w:r>
              <w:rPr>
                <w:sz w:val="20"/>
              </w:rPr>
              <w:t>extension</w:t>
            </w:r>
            <w:r>
              <w:rPr>
                <w:spacing w:val="-12"/>
                <w:sz w:val="20"/>
              </w:rPr>
              <w:t> </w:t>
            </w:r>
            <w:r>
              <w:rPr>
                <w:sz w:val="20"/>
              </w:rPr>
              <w:t>specialists</w:t>
            </w:r>
            <w:r>
              <w:rPr>
                <w:spacing w:val="-12"/>
                <w:sz w:val="20"/>
              </w:rPr>
              <w:t> </w:t>
            </w:r>
            <w:r>
              <w:rPr>
                <w:sz w:val="20"/>
              </w:rPr>
              <w:t>out</w:t>
            </w:r>
            <w:r>
              <w:rPr>
                <w:spacing w:val="-12"/>
                <w:sz w:val="20"/>
              </w:rPr>
              <w:t> </w:t>
            </w:r>
            <w:r>
              <w:rPr>
                <w:sz w:val="20"/>
              </w:rPr>
              <w:t>of</w:t>
            </w:r>
            <w:r>
              <w:rPr>
                <w:spacing w:val="-12"/>
                <w:sz w:val="20"/>
              </w:rPr>
              <w:t> </w:t>
            </w:r>
            <w:r>
              <w:rPr>
                <w:sz w:val="20"/>
              </w:rPr>
              <w:t>its </w:t>
            </w:r>
            <w:r>
              <w:rPr>
                <w:spacing w:val="-4"/>
                <w:sz w:val="20"/>
              </w:rPr>
              <w:t>existing public extension service. Registered farmers’ associations could call upon this pool through bidding for providing services related to selected enterprises, and pay for the services from the </w:t>
            </w:r>
            <w:r>
              <w:rPr>
                <w:spacing w:val="-4"/>
                <w:sz w:val="20"/>
              </w:rPr>
              <w:t>funds </w:t>
            </w:r>
            <w:r>
              <w:rPr>
                <w:sz w:val="20"/>
              </w:rPr>
              <w:t>given to them by the donors through decentralised government units.</w:t>
            </w:r>
          </w:p>
        </w:tc>
      </w:tr>
      <w:tr>
        <w:trPr>
          <w:trHeight w:val="2071" w:hRule="atLeast"/>
        </w:trPr>
        <w:tc>
          <w:tcPr>
            <w:tcW w:w="1678" w:type="dxa"/>
            <w:shd w:val="clear" w:color="auto" w:fill="E9E9E9"/>
          </w:tcPr>
          <w:p>
            <w:pPr>
              <w:pStyle w:val="TableParagraph"/>
              <w:ind w:left="89"/>
              <w:rPr>
                <w:sz w:val="20"/>
              </w:rPr>
            </w:pPr>
            <w:r>
              <w:rPr>
                <w:spacing w:val="-2"/>
                <w:sz w:val="20"/>
              </w:rPr>
              <w:t>Israel</w:t>
            </w:r>
          </w:p>
        </w:tc>
        <w:tc>
          <w:tcPr>
            <w:tcW w:w="8062" w:type="dxa"/>
            <w:shd w:val="clear" w:color="auto" w:fill="E9E9E9"/>
          </w:tcPr>
          <w:p>
            <w:pPr>
              <w:pStyle w:val="TableParagraph"/>
              <w:spacing w:line="250" w:lineRule="atLeast" w:before="27"/>
              <w:ind w:left="90" w:right="35"/>
              <w:rPr>
                <w:sz w:val="20"/>
              </w:rPr>
            </w:pPr>
            <w:r>
              <w:rPr>
                <w:spacing w:val="-6"/>
                <w:sz w:val="20"/>
              </w:rPr>
              <w:t>The government is still responsible for providing extension advice, but encourages privatisation </w:t>
            </w:r>
            <w:r>
              <w:rPr>
                <w:spacing w:val="-6"/>
                <w:sz w:val="20"/>
              </w:rPr>
              <w:t>through </w:t>
            </w:r>
            <w:r>
              <w:rPr>
                <w:spacing w:val="-2"/>
                <w:sz w:val="20"/>
              </w:rPr>
              <w:t>the</w:t>
            </w:r>
            <w:r>
              <w:rPr>
                <w:spacing w:val="-8"/>
                <w:sz w:val="20"/>
              </w:rPr>
              <w:t> </w:t>
            </w:r>
            <w:r>
              <w:rPr>
                <w:spacing w:val="-2"/>
                <w:sz w:val="20"/>
              </w:rPr>
              <w:t>standing</w:t>
            </w:r>
            <w:r>
              <w:rPr>
                <w:spacing w:val="-8"/>
                <w:sz w:val="20"/>
              </w:rPr>
              <w:t> </w:t>
            </w:r>
            <w:r>
              <w:rPr>
                <w:spacing w:val="-2"/>
                <w:sz w:val="20"/>
              </w:rPr>
              <w:t>practice</w:t>
            </w:r>
            <w:r>
              <w:rPr>
                <w:spacing w:val="-8"/>
                <w:sz w:val="20"/>
              </w:rPr>
              <w:t> </w:t>
            </w:r>
            <w:r>
              <w:rPr>
                <w:spacing w:val="-2"/>
                <w:sz w:val="20"/>
              </w:rPr>
              <w:t>of</w:t>
            </w:r>
            <w:r>
              <w:rPr>
                <w:spacing w:val="-8"/>
                <w:sz w:val="20"/>
              </w:rPr>
              <w:t> </w:t>
            </w:r>
            <w:r>
              <w:rPr>
                <w:spacing w:val="-2"/>
                <w:sz w:val="20"/>
              </w:rPr>
              <w:t>growers</w:t>
            </w:r>
            <w:r>
              <w:rPr>
                <w:spacing w:val="-8"/>
                <w:sz w:val="20"/>
              </w:rPr>
              <w:t> </w:t>
            </w:r>
            <w:r>
              <w:rPr>
                <w:spacing w:val="-2"/>
                <w:sz w:val="20"/>
              </w:rPr>
              <w:t>to</w:t>
            </w:r>
            <w:r>
              <w:rPr>
                <w:spacing w:val="-8"/>
                <w:sz w:val="20"/>
              </w:rPr>
              <w:t> </w:t>
            </w:r>
            <w:r>
              <w:rPr>
                <w:spacing w:val="-2"/>
                <w:sz w:val="20"/>
              </w:rPr>
              <w:t>contribute</w:t>
            </w:r>
            <w:r>
              <w:rPr>
                <w:spacing w:val="-8"/>
                <w:sz w:val="20"/>
              </w:rPr>
              <w:t> </w:t>
            </w:r>
            <w:r>
              <w:rPr>
                <w:spacing w:val="-2"/>
                <w:sz w:val="20"/>
              </w:rPr>
              <w:t>portion</w:t>
            </w:r>
            <w:r>
              <w:rPr>
                <w:spacing w:val="-8"/>
                <w:sz w:val="20"/>
              </w:rPr>
              <w:t> </w:t>
            </w:r>
            <w:r>
              <w:rPr>
                <w:spacing w:val="-2"/>
                <w:sz w:val="20"/>
              </w:rPr>
              <w:t>of</w:t>
            </w:r>
            <w:r>
              <w:rPr>
                <w:spacing w:val="-8"/>
                <w:sz w:val="20"/>
              </w:rPr>
              <w:t> </w:t>
            </w:r>
            <w:r>
              <w:rPr>
                <w:spacing w:val="-2"/>
                <w:sz w:val="20"/>
              </w:rPr>
              <w:t>their</w:t>
            </w:r>
            <w:r>
              <w:rPr>
                <w:spacing w:val="-8"/>
                <w:sz w:val="20"/>
              </w:rPr>
              <w:t> </w:t>
            </w:r>
            <w:r>
              <w:rPr>
                <w:spacing w:val="-2"/>
                <w:sz w:val="20"/>
              </w:rPr>
              <w:t>income</w:t>
            </w:r>
            <w:r>
              <w:rPr>
                <w:spacing w:val="-8"/>
                <w:sz w:val="20"/>
              </w:rPr>
              <w:t> </w:t>
            </w:r>
            <w:r>
              <w:rPr>
                <w:spacing w:val="-2"/>
                <w:sz w:val="20"/>
              </w:rPr>
              <w:t>to</w:t>
            </w:r>
            <w:r>
              <w:rPr>
                <w:spacing w:val="-8"/>
                <w:sz w:val="20"/>
              </w:rPr>
              <w:t> </w:t>
            </w:r>
            <w:r>
              <w:rPr>
                <w:spacing w:val="-2"/>
                <w:sz w:val="20"/>
              </w:rPr>
              <w:t>research</w:t>
            </w:r>
            <w:r>
              <w:rPr>
                <w:spacing w:val="-8"/>
                <w:sz w:val="20"/>
              </w:rPr>
              <w:t> </w:t>
            </w:r>
            <w:r>
              <w:rPr>
                <w:spacing w:val="-2"/>
                <w:sz w:val="20"/>
              </w:rPr>
              <w:t>and</w:t>
            </w:r>
            <w:r>
              <w:rPr>
                <w:spacing w:val="-8"/>
                <w:sz w:val="20"/>
              </w:rPr>
              <w:t> </w:t>
            </w:r>
            <w:r>
              <w:rPr>
                <w:spacing w:val="-2"/>
                <w:sz w:val="20"/>
              </w:rPr>
              <w:t>development including</w:t>
            </w:r>
            <w:r>
              <w:rPr>
                <w:spacing w:val="-5"/>
                <w:sz w:val="20"/>
              </w:rPr>
              <w:t> </w:t>
            </w:r>
            <w:r>
              <w:rPr>
                <w:spacing w:val="-2"/>
                <w:sz w:val="20"/>
              </w:rPr>
              <w:t>extension,</w:t>
            </w:r>
            <w:r>
              <w:rPr>
                <w:spacing w:val="-5"/>
                <w:sz w:val="20"/>
              </w:rPr>
              <w:t> </w:t>
            </w:r>
            <w:r>
              <w:rPr>
                <w:spacing w:val="-2"/>
                <w:sz w:val="20"/>
              </w:rPr>
              <w:t>public</w:t>
            </w:r>
            <w:r>
              <w:rPr>
                <w:spacing w:val="-5"/>
                <w:sz w:val="20"/>
              </w:rPr>
              <w:t> </w:t>
            </w:r>
            <w:r>
              <w:rPr>
                <w:spacing w:val="-2"/>
                <w:sz w:val="20"/>
              </w:rPr>
              <w:t>and</w:t>
            </w:r>
            <w:r>
              <w:rPr>
                <w:spacing w:val="-5"/>
                <w:sz w:val="20"/>
              </w:rPr>
              <w:t> </w:t>
            </w:r>
            <w:r>
              <w:rPr>
                <w:spacing w:val="-2"/>
                <w:sz w:val="20"/>
              </w:rPr>
              <w:t>private</w:t>
            </w:r>
            <w:r>
              <w:rPr>
                <w:spacing w:val="-5"/>
                <w:sz w:val="20"/>
              </w:rPr>
              <w:t> </w:t>
            </w:r>
            <w:r>
              <w:rPr>
                <w:spacing w:val="-2"/>
                <w:sz w:val="20"/>
              </w:rPr>
              <w:t>partnership</w:t>
            </w:r>
            <w:r>
              <w:rPr>
                <w:spacing w:val="-5"/>
                <w:sz w:val="20"/>
              </w:rPr>
              <w:t> </w:t>
            </w:r>
            <w:r>
              <w:rPr>
                <w:spacing w:val="-2"/>
                <w:sz w:val="20"/>
              </w:rPr>
              <w:t>in</w:t>
            </w:r>
            <w:r>
              <w:rPr>
                <w:spacing w:val="-5"/>
                <w:sz w:val="20"/>
              </w:rPr>
              <w:t> </w:t>
            </w:r>
            <w:r>
              <w:rPr>
                <w:spacing w:val="-2"/>
                <w:sz w:val="20"/>
              </w:rPr>
              <w:t>financing</w:t>
            </w:r>
            <w:r>
              <w:rPr>
                <w:spacing w:val="-5"/>
                <w:sz w:val="20"/>
              </w:rPr>
              <w:t> </w:t>
            </w:r>
            <w:r>
              <w:rPr>
                <w:spacing w:val="-2"/>
                <w:sz w:val="20"/>
              </w:rPr>
              <w:t>and</w:t>
            </w:r>
            <w:r>
              <w:rPr>
                <w:spacing w:val="-5"/>
                <w:sz w:val="20"/>
              </w:rPr>
              <w:t> </w:t>
            </w:r>
            <w:r>
              <w:rPr>
                <w:spacing w:val="-2"/>
                <w:sz w:val="20"/>
              </w:rPr>
              <w:t>operating</w:t>
            </w:r>
            <w:r>
              <w:rPr>
                <w:spacing w:val="-5"/>
                <w:sz w:val="20"/>
              </w:rPr>
              <w:t> </w:t>
            </w:r>
            <w:r>
              <w:rPr>
                <w:spacing w:val="-2"/>
                <w:sz w:val="20"/>
              </w:rPr>
              <w:t>units</w:t>
            </w:r>
            <w:r>
              <w:rPr>
                <w:spacing w:val="-5"/>
                <w:sz w:val="20"/>
              </w:rPr>
              <w:t> </w:t>
            </w:r>
            <w:r>
              <w:rPr>
                <w:spacing w:val="-2"/>
                <w:sz w:val="20"/>
              </w:rPr>
              <w:t>within</w:t>
            </w:r>
            <w:r>
              <w:rPr>
                <w:spacing w:val="-5"/>
                <w:sz w:val="20"/>
              </w:rPr>
              <w:t> </w:t>
            </w:r>
            <w:r>
              <w:rPr>
                <w:spacing w:val="-2"/>
                <w:sz w:val="20"/>
              </w:rPr>
              <w:t>the </w:t>
            </w:r>
            <w:r>
              <w:rPr>
                <w:spacing w:val="-6"/>
                <w:sz w:val="20"/>
              </w:rPr>
              <w:t>extension service, payment for services by commodity production and marketing boards beyond a basic extension package, the provision of more intensive extension activities at the request of needy growers, </w:t>
            </w:r>
            <w:r>
              <w:rPr>
                <w:spacing w:val="-4"/>
                <w:sz w:val="20"/>
              </w:rPr>
              <w:t>special</w:t>
            </w:r>
            <w:r>
              <w:rPr>
                <w:spacing w:val="-8"/>
                <w:sz w:val="20"/>
              </w:rPr>
              <w:t> </w:t>
            </w:r>
            <w:r>
              <w:rPr>
                <w:spacing w:val="-4"/>
                <w:sz w:val="20"/>
              </w:rPr>
              <w:t>agreements</w:t>
            </w:r>
            <w:r>
              <w:rPr>
                <w:spacing w:val="-8"/>
                <w:sz w:val="20"/>
              </w:rPr>
              <w:t> </w:t>
            </w:r>
            <w:r>
              <w:rPr>
                <w:spacing w:val="-4"/>
                <w:sz w:val="20"/>
              </w:rPr>
              <w:t>with</w:t>
            </w:r>
            <w:r>
              <w:rPr>
                <w:spacing w:val="-8"/>
                <w:sz w:val="20"/>
              </w:rPr>
              <w:t> </w:t>
            </w:r>
            <w:r>
              <w:rPr>
                <w:spacing w:val="-4"/>
                <w:sz w:val="20"/>
              </w:rPr>
              <w:t>commodity</w:t>
            </w:r>
            <w:r>
              <w:rPr>
                <w:spacing w:val="-8"/>
                <w:sz w:val="20"/>
              </w:rPr>
              <w:t> </w:t>
            </w:r>
            <w:r>
              <w:rPr>
                <w:spacing w:val="-4"/>
                <w:sz w:val="20"/>
              </w:rPr>
              <w:t>farmers’</w:t>
            </w:r>
            <w:r>
              <w:rPr>
                <w:spacing w:val="-8"/>
                <w:sz w:val="20"/>
              </w:rPr>
              <w:t> </w:t>
            </w:r>
            <w:r>
              <w:rPr>
                <w:spacing w:val="-4"/>
                <w:sz w:val="20"/>
              </w:rPr>
              <w:t>organisations,</w:t>
            </w:r>
            <w:r>
              <w:rPr>
                <w:spacing w:val="-8"/>
                <w:sz w:val="20"/>
              </w:rPr>
              <w:t> </w:t>
            </w:r>
            <w:r>
              <w:rPr>
                <w:spacing w:val="-4"/>
                <w:sz w:val="20"/>
              </w:rPr>
              <w:t>extension</w:t>
            </w:r>
            <w:r>
              <w:rPr>
                <w:spacing w:val="-8"/>
                <w:sz w:val="20"/>
              </w:rPr>
              <w:t> </w:t>
            </w:r>
            <w:r>
              <w:rPr>
                <w:spacing w:val="-4"/>
                <w:sz w:val="20"/>
              </w:rPr>
              <w:t>staff</w:t>
            </w:r>
            <w:r>
              <w:rPr>
                <w:spacing w:val="-8"/>
                <w:sz w:val="20"/>
              </w:rPr>
              <w:t> </w:t>
            </w:r>
            <w:r>
              <w:rPr>
                <w:spacing w:val="-4"/>
                <w:sz w:val="20"/>
              </w:rPr>
              <w:t>working</w:t>
            </w:r>
            <w:r>
              <w:rPr>
                <w:spacing w:val="-8"/>
                <w:sz w:val="20"/>
              </w:rPr>
              <w:t> </w:t>
            </w:r>
            <w:r>
              <w:rPr>
                <w:spacing w:val="-4"/>
                <w:sz w:val="20"/>
              </w:rPr>
              <w:t>on</w:t>
            </w:r>
            <w:r>
              <w:rPr>
                <w:spacing w:val="-8"/>
                <w:sz w:val="20"/>
              </w:rPr>
              <w:t> </w:t>
            </w:r>
            <w:r>
              <w:rPr>
                <w:spacing w:val="-4"/>
                <w:sz w:val="20"/>
              </w:rPr>
              <w:t>their</w:t>
            </w:r>
            <w:r>
              <w:rPr>
                <w:spacing w:val="-8"/>
                <w:sz w:val="20"/>
              </w:rPr>
              <w:t> </w:t>
            </w:r>
            <w:r>
              <w:rPr>
                <w:spacing w:val="-4"/>
                <w:sz w:val="20"/>
              </w:rPr>
              <w:t>day</w:t>
            </w:r>
            <w:r>
              <w:rPr>
                <w:spacing w:val="-8"/>
                <w:sz w:val="20"/>
              </w:rPr>
              <w:t> </w:t>
            </w:r>
            <w:r>
              <w:rPr>
                <w:spacing w:val="-4"/>
                <w:sz w:val="20"/>
              </w:rPr>
              <w:t>off</w:t>
            </w:r>
            <w:r>
              <w:rPr>
                <w:spacing w:val="-8"/>
                <w:sz w:val="20"/>
              </w:rPr>
              <w:t> </w:t>
            </w:r>
            <w:r>
              <w:rPr>
                <w:spacing w:val="-4"/>
                <w:sz w:val="20"/>
              </w:rPr>
              <w:t>in exchange for direct payment from farmers, provision of equipment like mobile phones to extension advisers</w:t>
            </w:r>
            <w:r>
              <w:rPr>
                <w:spacing w:val="-7"/>
                <w:sz w:val="20"/>
              </w:rPr>
              <w:t> </w:t>
            </w:r>
            <w:r>
              <w:rPr>
                <w:spacing w:val="-4"/>
                <w:sz w:val="20"/>
              </w:rPr>
              <w:t>by</w:t>
            </w:r>
            <w:r>
              <w:rPr>
                <w:spacing w:val="-7"/>
                <w:sz w:val="20"/>
              </w:rPr>
              <w:t> </w:t>
            </w:r>
            <w:r>
              <w:rPr>
                <w:spacing w:val="-4"/>
                <w:sz w:val="20"/>
              </w:rPr>
              <w:t>growers</w:t>
            </w:r>
            <w:r>
              <w:rPr>
                <w:spacing w:val="-7"/>
                <w:sz w:val="20"/>
              </w:rPr>
              <w:t> </w:t>
            </w:r>
            <w:r>
              <w:rPr>
                <w:spacing w:val="-4"/>
                <w:sz w:val="20"/>
              </w:rPr>
              <w:t>associations,</w:t>
            </w:r>
            <w:r>
              <w:rPr>
                <w:spacing w:val="-7"/>
                <w:sz w:val="20"/>
              </w:rPr>
              <w:t> </w:t>
            </w:r>
            <w:r>
              <w:rPr>
                <w:spacing w:val="-4"/>
                <w:sz w:val="20"/>
              </w:rPr>
              <w:t>and</w:t>
            </w:r>
            <w:r>
              <w:rPr>
                <w:spacing w:val="-7"/>
                <w:sz w:val="20"/>
              </w:rPr>
              <w:t> </w:t>
            </w:r>
            <w:r>
              <w:rPr>
                <w:spacing w:val="-4"/>
                <w:sz w:val="20"/>
              </w:rPr>
              <w:t>direct</w:t>
            </w:r>
            <w:r>
              <w:rPr>
                <w:spacing w:val="-7"/>
                <w:sz w:val="20"/>
              </w:rPr>
              <w:t> </w:t>
            </w:r>
            <w:r>
              <w:rPr>
                <w:spacing w:val="-4"/>
                <w:sz w:val="20"/>
              </w:rPr>
              <w:t>payment</w:t>
            </w:r>
            <w:r>
              <w:rPr>
                <w:spacing w:val="-7"/>
                <w:sz w:val="20"/>
              </w:rPr>
              <w:t> </w:t>
            </w:r>
            <w:r>
              <w:rPr>
                <w:spacing w:val="-4"/>
                <w:sz w:val="20"/>
              </w:rPr>
              <w:t>by</w:t>
            </w:r>
            <w:r>
              <w:rPr>
                <w:spacing w:val="-7"/>
                <w:sz w:val="20"/>
              </w:rPr>
              <w:t> </w:t>
            </w:r>
            <w:r>
              <w:rPr>
                <w:spacing w:val="-4"/>
                <w:sz w:val="20"/>
              </w:rPr>
              <w:t>farmers</w:t>
            </w:r>
            <w:r>
              <w:rPr>
                <w:spacing w:val="-7"/>
                <w:sz w:val="20"/>
              </w:rPr>
              <w:t> </w:t>
            </w:r>
            <w:r>
              <w:rPr>
                <w:spacing w:val="-4"/>
                <w:sz w:val="20"/>
              </w:rPr>
              <w:t>for</w:t>
            </w:r>
            <w:r>
              <w:rPr>
                <w:spacing w:val="-7"/>
                <w:sz w:val="20"/>
              </w:rPr>
              <w:t> </w:t>
            </w:r>
            <w:r>
              <w:rPr>
                <w:spacing w:val="-4"/>
                <w:sz w:val="20"/>
              </w:rPr>
              <w:t>participation</w:t>
            </w:r>
            <w:r>
              <w:rPr>
                <w:spacing w:val="-7"/>
                <w:sz w:val="20"/>
              </w:rPr>
              <w:t> </w:t>
            </w:r>
            <w:r>
              <w:rPr>
                <w:spacing w:val="-4"/>
                <w:sz w:val="20"/>
              </w:rPr>
              <w:t>in</w:t>
            </w:r>
            <w:r>
              <w:rPr>
                <w:spacing w:val="-7"/>
                <w:sz w:val="20"/>
              </w:rPr>
              <w:t> </w:t>
            </w:r>
            <w:r>
              <w:rPr>
                <w:spacing w:val="-4"/>
                <w:sz w:val="20"/>
              </w:rPr>
              <w:t>training</w:t>
            </w:r>
            <w:r>
              <w:rPr>
                <w:spacing w:val="-7"/>
                <w:sz w:val="20"/>
              </w:rPr>
              <w:t> </w:t>
            </w:r>
            <w:r>
              <w:rPr>
                <w:spacing w:val="-4"/>
                <w:sz w:val="20"/>
              </w:rPr>
              <w:t>activities.</w:t>
            </w:r>
          </w:p>
        </w:tc>
      </w:tr>
      <w:tr>
        <w:trPr>
          <w:trHeight w:val="1071" w:hRule="atLeast"/>
        </w:trPr>
        <w:tc>
          <w:tcPr>
            <w:tcW w:w="1678" w:type="dxa"/>
            <w:shd w:val="clear" w:color="auto" w:fill="D0D5CD"/>
          </w:tcPr>
          <w:p>
            <w:pPr>
              <w:pStyle w:val="TableParagraph"/>
              <w:ind w:left="89"/>
              <w:rPr>
                <w:sz w:val="20"/>
              </w:rPr>
            </w:pPr>
            <w:r>
              <w:rPr>
                <w:spacing w:val="-2"/>
                <w:sz w:val="20"/>
              </w:rPr>
              <w:t>Indonesia</w:t>
            </w:r>
          </w:p>
        </w:tc>
        <w:tc>
          <w:tcPr>
            <w:tcW w:w="8062" w:type="dxa"/>
            <w:shd w:val="clear" w:color="auto" w:fill="D0D5CD"/>
          </w:tcPr>
          <w:p>
            <w:pPr>
              <w:pStyle w:val="TableParagraph"/>
              <w:spacing w:line="261" w:lineRule="auto"/>
              <w:ind w:left="90" w:right="35"/>
              <w:rPr>
                <w:sz w:val="20"/>
              </w:rPr>
            </w:pPr>
            <w:r>
              <w:rPr>
                <w:spacing w:val="-2"/>
                <w:sz w:val="20"/>
              </w:rPr>
              <w:t>Some</w:t>
            </w:r>
            <w:r>
              <w:rPr>
                <w:spacing w:val="-13"/>
                <w:sz w:val="20"/>
              </w:rPr>
              <w:t> </w:t>
            </w:r>
            <w:r>
              <w:rPr>
                <w:spacing w:val="-2"/>
                <w:sz w:val="20"/>
              </w:rPr>
              <w:t>projects</w:t>
            </w:r>
            <w:r>
              <w:rPr>
                <w:spacing w:val="-10"/>
                <w:sz w:val="20"/>
              </w:rPr>
              <w:t> </w:t>
            </w:r>
            <w:r>
              <w:rPr>
                <w:spacing w:val="-2"/>
                <w:sz w:val="20"/>
              </w:rPr>
              <w:t>have</w:t>
            </w:r>
            <w:r>
              <w:rPr>
                <w:spacing w:val="-11"/>
                <w:sz w:val="20"/>
              </w:rPr>
              <w:t> </w:t>
            </w:r>
            <w:r>
              <w:rPr>
                <w:spacing w:val="-2"/>
                <w:sz w:val="20"/>
              </w:rPr>
              <w:t>not</w:t>
            </w:r>
            <w:r>
              <w:rPr>
                <w:spacing w:val="-10"/>
                <w:sz w:val="20"/>
              </w:rPr>
              <w:t> </w:t>
            </w:r>
            <w:r>
              <w:rPr>
                <w:spacing w:val="-2"/>
                <w:sz w:val="20"/>
              </w:rPr>
              <w:t>only</w:t>
            </w:r>
            <w:r>
              <w:rPr>
                <w:spacing w:val="-11"/>
                <w:sz w:val="20"/>
              </w:rPr>
              <w:t> </w:t>
            </w:r>
            <w:r>
              <w:rPr>
                <w:spacing w:val="-2"/>
                <w:sz w:val="20"/>
              </w:rPr>
              <w:t>encouraged</w:t>
            </w:r>
            <w:r>
              <w:rPr>
                <w:spacing w:val="-10"/>
                <w:sz w:val="20"/>
              </w:rPr>
              <w:t> </w:t>
            </w:r>
            <w:r>
              <w:rPr>
                <w:spacing w:val="-2"/>
                <w:sz w:val="20"/>
              </w:rPr>
              <w:t>NGOs</w:t>
            </w:r>
            <w:r>
              <w:rPr>
                <w:spacing w:val="-11"/>
                <w:sz w:val="20"/>
              </w:rPr>
              <w:t> </w:t>
            </w:r>
            <w:r>
              <w:rPr>
                <w:spacing w:val="-2"/>
                <w:sz w:val="20"/>
              </w:rPr>
              <w:t>and</w:t>
            </w:r>
            <w:r>
              <w:rPr>
                <w:spacing w:val="-10"/>
                <w:sz w:val="20"/>
              </w:rPr>
              <w:t> </w:t>
            </w:r>
            <w:r>
              <w:rPr>
                <w:spacing w:val="-2"/>
                <w:sz w:val="20"/>
              </w:rPr>
              <w:t>the</w:t>
            </w:r>
            <w:r>
              <w:rPr>
                <w:spacing w:val="-11"/>
                <w:sz w:val="20"/>
              </w:rPr>
              <w:t> </w:t>
            </w:r>
            <w:r>
              <w:rPr>
                <w:spacing w:val="-2"/>
                <w:sz w:val="20"/>
              </w:rPr>
              <w:t>private</w:t>
            </w:r>
            <w:r>
              <w:rPr>
                <w:spacing w:val="-10"/>
                <w:sz w:val="20"/>
              </w:rPr>
              <w:t> </w:t>
            </w:r>
            <w:r>
              <w:rPr>
                <w:spacing w:val="-2"/>
                <w:sz w:val="20"/>
              </w:rPr>
              <w:t>sector,</w:t>
            </w:r>
            <w:r>
              <w:rPr>
                <w:spacing w:val="-11"/>
                <w:sz w:val="20"/>
              </w:rPr>
              <w:t> </w:t>
            </w:r>
            <w:r>
              <w:rPr>
                <w:spacing w:val="-2"/>
                <w:sz w:val="20"/>
              </w:rPr>
              <w:t>but</w:t>
            </w:r>
            <w:r>
              <w:rPr>
                <w:spacing w:val="-10"/>
                <w:sz w:val="20"/>
              </w:rPr>
              <w:t> </w:t>
            </w:r>
            <w:r>
              <w:rPr>
                <w:spacing w:val="-2"/>
                <w:sz w:val="20"/>
              </w:rPr>
              <w:t>also</w:t>
            </w:r>
            <w:r>
              <w:rPr>
                <w:spacing w:val="-11"/>
                <w:sz w:val="20"/>
              </w:rPr>
              <w:t> </w:t>
            </w:r>
            <w:r>
              <w:rPr>
                <w:spacing w:val="-2"/>
                <w:sz w:val="20"/>
              </w:rPr>
              <w:t>agricultural</w:t>
            </w:r>
            <w:r>
              <w:rPr>
                <w:spacing w:val="-10"/>
                <w:sz w:val="20"/>
              </w:rPr>
              <w:t> </w:t>
            </w:r>
            <w:r>
              <w:rPr>
                <w:spacing w:val="-2"/>
                <w:sz w:val="20"/>
              </w:rPr>
              <w:t>research </w:t>
            </w:r>
            <w:r>
              <w:rPr>
                <w:spacing w:val="-4"/>
                <w:sz w:val="20"/>
              </w:rPr>
              <w:t>institutes,</w:t>
            </w:r>
            <w:r>
              <w:rPr>
                <w:spacing w:val="-6"/>
                <w:sz w:val="20"/>
              </w:rPr>
              <w:t> </w:t>
            </w:r>
            <w:r>
              <w:rPr>
                <w:spacing w:val="-4"/>
                <w:sz w:val="20"/>
              </w:rPr>
              <w:t>agricultural</w:t>
            </w:r>
            <w:r>
              <w:rPr>
                <w:spacing w:val="-6"/>
                <w:sz w:val="20"/>
              </w:rPr>
              <w:t> </w:t>
            </w:r>
            <w:r>
              <w:rPr>
                <w:spacing w:val="-4"/>
                <w:sz w:val="20"/>
              </w:rPr>
              <w:t>universities</w:t>
            </w:r>
            <w:r>
              <w:rPr>
                <w:spacing w:val="-6"/>
                <w:sz w:val="20"/>
              </w:rPr>
              <w:t> </w:t>
            </w:r>
            <w:r>
              <w:rPr>
                <w:spacing w:val="-4"/>
                <w:sz w:val="20"/>
              </w:rPr>
              <w:t>and</w:t>
            </w:r>
            <w:r>
              <w:rPr>
                <w:spacing w:val="-6"/>
                <w:sz w:val="20"/>
              </w:rPr>
              <w:t> </w:t>
            </w:r>
            <w:r>
              <w:rPr>
                <w:spacing w:val="-4"/>
                <w:sz w:val="20"/>
              </w:rPr>
              <w:t>farmers’</w:t>
            </w:r>
            <w:r>
              <w:rPr>
                <w:spacing w:val="-6"/>
                <w:sz w:val="20"/>
              </w:rPr>
              <w:t> </w:t>
            </w:r>
            <w:r>
              <w:rPr>
                <w:spacing w:val="-4"/>
                <w:sz w:val="20"/>
              </w:rPr>
              <w:t>associations,</w:t>
            </w:r>
            <w:r>
              <w:rPr>
                <w:spacing w:val="-6"/>
                <w:sz w:val="20"/>
              </w:rPr>
              <w:t> </w:t>
            </w:r>
            <w:r>
              <w:rPr>
                <w:spacing w:val="-4"/>
                <w:sz w:val="20"/>
              </w:rPr>
              <w:t>to</w:t>
            </w:r>
            <w:r>
              <w:rPr>
                <w:spacing w:val="-6"/>
                <w:sz w:val="20"/>
              </w:rPr>
              <w:t> </w:t>
            </w:r>
            <w:r>
              <w:rPr>
                <w:spacing w:val="-4"/>
                <w:sz w:val="20"/>
              </w:rPr>
              <w:t>participate</w:t>
            </w:r>
            <w:r>
              <w:rPr>
                <w:spacing w:val="-6"/>
                <w:sz w:val="20"/>
              </w:rPr>
              <w:t> </w:t>
            </w:r>
            <w:r>
              <w:rPr>
                <w:spacing w:val="-4"/>
                <w:sz w:val="20"/>
              </w:rPr>
              <w:t>in</w:t>
            </w:r>
            <w:r>
              <w:rPr>
                <w:spacing w:val="-6"/>
                <w:sz w:val="20"/>
              </w:rPr>
              <w:t> </w:t>
            </w:r>
            <w:r>
              <w:rPr>
                <w:spacing w:val="-4"/>
                <w:sz w:val="20"/>
              </w:rPr>
              <w:t>the</w:t>
            </w:r>
            <w:r>
              <w:rPr>
                <w:spacing w:val="-6"/>
                <w:sz w:val="20"/>
              </w:rPr>
              <w:t> </w:t>
            </w:r>
            <w:r>
              <w:rPr>
                <w:spacing w:val="-4"/>
                <w:sz w:val="20"/>
              </w:rPr>
              <w:t>delivery</w:t>
            </w:r>
            <w:r>
              <w:rPr>
                <w:spacing w:val="-6"/>
                <w:sz w:val="20"/>
              </w:rPr>
              <w:t> </w:t>
            </w:r>
            <w:r>
              <w:rPr>
                <w:spacing w:val="-4"/>
                <w:sz w:val="20"/>
              </w:rPr>
              <w:t>of</w:t>
            </w:r>
            <w:r>
              <w:rPr>
                <w:spacing w:val="-6"/>
                <w:sz w:val="20"/>
              </w:rPr>
              <w:t> </w:t>
            </w:r>
            <w:r>
              <w:rPr>
                <w:spacing w:val="-4"/>
                <w:sz w:val="20"/>
              </w:rPr>
              <w:t>extension </w:t>
            </w:r>
            <w:r>
              <w:rPr>
                <w:spacing w:val="-6"/>
                <w:sz w:val="20"/>
              </w:rPr>
              <w:t>services. Indonesia has successfully established new institutions called Agricultural Technology </w:t>
            </w:r>
            <w:r>
              <w:rPr>
                <w:spacing w:val="-8"/>
                <w:sz w:val="20"/>
              </w:rPr>
              <w:t>Assessment</w:t>
            </w:r>
            <w:r>
              <w:rPr>
                <w:sz w:val="20"/>
              </w:rPr>
              <w:t> </w:t>
            </w:r>
            <w:r>
              <w:rPr>
                <w:spacing w:val="-8"/>
                <w:sz w:val="20"/>
              </w:rPr>
              <w:t>Institutes</w:t>
            </w:r>
            <w:r>
              <w:rPr>
                <w:sz w:val="20"/>
              </w:rPr>
              <w:t> </w:t>
            </w:r>
            <w:r>
              <w:rPr>
                <w:spacing w:val="-8"/>
                <w:sz w:val="20"/>
              </w:rPr>
              <w:t>at</w:t>
            </w:r>
            <w:r>
              <w:rPr>
                <w:sz w:val="20"/>
              </w:rPr>
              <w:t> </w:t>
            </w:r>
            <w:r>
              <w:rPr>
                <w:spacing w:val="-8"/>
                <w:sz w:val="20"/>
              </w:rPr>
              <w:t>provincial</w:t>
            </w:r>
            <w:r>
              <w:rPr>
                <w:sz w:val="20"/>
              </w:rPr>
              <w:t> </w:t>
            </w:r>
            <w:r>
              <w:rPr>
                <w:spacing w:val="-8"/>
                <w:sz w:val="20"/>
              </w:rPr>
              <w:t>level,</w:t>
            </w:r>
            <w:r>
              <w:rPr>
                <w:sz w:val="20"/>
              </w:rPr>
              <w:t> </w:t>
            </w:r>
            <w:r>
              <w:rPr>
                <w:spacing w:val="-8"/>
                <w:sz w:val="20"/>
              </w:rPr>
              <w:t>bringing</w:t>
            </w:r>
            <w:r>
              <w:rPr>
                <w:sz w:val="20"/>
              </w:rPr>
              <w:t> </w:t>
            </w:r>
            <w:r>
              <w:rPr>
                <w:spacing w:val="-8"/>
                <w:sz w:val="20"/>
              </w:rPr>
              <w:t>together</w:t>
            </w:r>
            <w:r>
              <w:rPr>
                <w:sz w:val="20"/>
              </w:rPr>
              <w:t> </w:t>
            </w:r>
            <w:r>
              <w:rPr>
                <w:spacing w:val="-8"/>
                <w:sz w:val="20"/>
              </w:rPr>
              <w:t>farmers,</w:t>
            </w:r>
            <w:r>
              <w:rPr>
                <w:sz w:val="20"/>
              </w:rPr>
              <w:t> </w:t>
            </w:r>
            <w:r>
              <w:rPr>
                <w:spacing w:val="-8"/>
                <w:sz w:val="20"/>
              </w:rPr>
              <w:t>researchers</w:t>
            </w:r>
            <w:r>
              <w:rPr>
                <w:sz w:val="20"/>
              </w:rPr>
              <w:t> </w:t>
            </w:r>
            <w:r>
              <w:rPr>
                <w:spacing w:val="-8"/>
                <w:sz w:val="20"/>
              </w:rPr>
              <w:t>and</w:t>
            </w:r>
            <w:r>
              <w:rPr>
                <w:sz w:val="20"/>
              </w:rPr>
              <w:t> </w:t>
            </w:r>
            <w:r>
              <w:rPr>
                <w:spacing w:val="-8"/>
                <w:sz w:val="20"/>
              </w:rPr>
              <w:t>extension</w:t>
            </w:r>
            <w:r>
              <w:rPr>
                <w:sz w:val="20"/>
              </w:rPr>
              <w:t> </w:t>
            </w:r>
            <w:r>
              <w:rPr>
                <w:spacing w:val="-8"/>
                <w:sz w:val="20"/>
              </w:rPr>
              <w:t>specialists.</w:t>
            </w:r>
          </w:p>
        </w:tc>
      </w:tr>
      <w:tr>
        <w:trPr>
          <w:trHeight w:val="302" w:hRule="atLeast"/>
        </w:trPr>
        <w:tc>
          <w:tcPr>
            <w:tcW w:w="1678" w:type="dxa"/>
            <w:tcBorders>
              <w:bottom w:val="nil"/>
            </w:tcBorders>
            <w:shd w:val="clear" w:color="auto" w:fill="E9E9E9"/>
          </w:tcPr>
          <w:p>
            <w:pPr>
              <w:pStyle w:val="TableParagraph"/>
              <w:ind w:left="89"/>
              <w:rPr>
                <w:sz w:val="20"/>
              </w:rPr>
            </w:pPr>
            <w:r>
              <w:rPr>
                <w:spacing w:val="-8"/>
                <w:sz w:val="20"/>
              </w:rPr>
              <w:t>Lao</w:t>
            </w:r>
            <w:r>
              <w:rPr>
                <w:spacing w:val="-1"/>
                <w:sz w:val="20"/>
              </w:rPr>
              <w:t> </w:t>
            </w:r>
            <w:r>
              <w:rPr>
                <w:spacing w:val="-2"/>
                <w:sz w:val="20"/>
              </w:rPr>
              <w:t>People’s</w:t>
            </w:r>
          </w:p>
        </w:tc>
        <w:tc>
          <w:tcPr>
            <w:tcW w:w="8062" w:type="dxa"/>
            <w:tcBorders>
              <w:bottom w:val="nil"/>
            </w:tcBorders>
            <w:shd w:val="clear" w:color="auto" w:fill="E9E9E9"/>
          </w:tcPr>
          <w:p>
            <w:pPr>
              <w:pStyle w:val="TableParagraph"/>
              <w:ind w:left="90"/>
              <w:rPr>
                <w:sz w:val="20"/>
              </w:rPr>
            </w:pPr>
            <w:r>
              <w:rPr>
                <w:w w:val="90"/>
                <w:sz w:val="20"/>
              </w:rPr>
              <w:t>Experimenting</w:t>
            </w:r>
            <w:r>
              <w:rPr>
                <w:spacing w:val="3"/>
                <w:sz w:val="20"/>
              </w:rPr>
              <w:t> </w:t>
            </w:r>
            <w:r>
              <w:rPr>
                <w:w w:val="90"/>
                <w:sz w:val="20"/>
              </w:rPr>
              <w:t>with</w:t>
            </w:r>
            <w:r>
              <w:rPr>
                <w:spacing w:val="2"/>
                <w:sz w:val="20"/>
              </w:rPr>
              <w:t> </w:t>
            </w:r>
            <w:r>
              <w:rPr>
                <w:i/>
                <w:w w:val="90"/>
                <w:sz w:val="20"/>
              </w:rPr>
              <w:t>tele-centres</w:t>
            </w:r>
            <w:r>
              <w:rPr>
                <w:w w:val="90"/>
                <w:sz w:val="20"/>
              </w:rPr>
              <w:t>,</w:t>
            </w:r>
            <w:r>
              <w:rPr>
                <w:spacing w:val="3"/>
                <w:sz w:val="20"/>
              </w:rPr>
              <w:t> </w:t>
            </w:r>
            <w:r>
              <w:rPr>
                <w:w w:val="90"/>
                <w:sz w:val="20"/>
              </w:rPr>
              <w:t>which</w:t>
            </w:r>
            <w:r>
              <w:rPr>
                <w:spacing w:val="3"/>
                <w:sz w:val="20"/>
              </w:rPr>
              <w:t> </w:t>
            </w:r>
            <w:r>
              <w:rPr>
                <w:w w:val="90"/>
                <w:sz w:val="20"/>
              </w:rPr>
              <w:t>have</w:t>
            </w:r>
            <w:r>
              <w:rPr>
                <w:spacing w:val="3"/>
                <w:sz w:val="20"/>
              </w:rPr>
              <w:t> </w:t>
            </w:r>
            <w:r>
              <w:rPr>
                <w:w w:val="90"/>
                <w:sz w:val="20"/>
              </w:rPr>
              <w:t>already</w:t>
            </w:r>
            <w:r>
              <w:rPr>
                <w:spacing w:val="3"/>
                <w:sz w:val="20"/>
              </w:rPr>
              <w:t> </w:t>
            </w:r>
            <w:r>
              <w:rPr>
                <w:w w:val="90"/>
                <w:sz w:val="20"/>
              </w:rPr>
              <w:t>exhibited</w:t>
            </w:r>
            <w:r>
              <w:rPr>
                <w:spacing w:val="3"/>
                <w:sz w:val="20"/>
              </w:rPr>
              <w:t> </w:t>
            </w:r>
            <w:r>
              <w:rPr>
                <w:w w:val="90"/>
                <w:sz w:val="20"/>
              </w:rPr>
              <w:t>their</w:t>
            </w:r>
            <w:r>
              <w:rPr>
                <w:spacing w:val="3"/>
                <w:sz w:val="20"/>
              </w:rPr>
              <w:t> </w:t>
            </w:r>
            <w:r>
              <w:rPr>
                <w:w w:val="90"/>
                <w:sz w:val="20"/>
              </w:rPr>
              <w:t>benefits</w:t>
            </w:r>
            <w:r>
              <w:rPr>
                <w:spacing w:val="3"/>
                <w:sz w:val="20"/>
              </w:rPr>
              <w:t> </w:t>
            </w:r>
            <w:r>
              <w:rPr>
                <w:w w:val="90"/>
                <w:sz w:val="20"/>
              </w:rPr>
              <w:t>in</w:t>
            </w:r>
            <w:r>
              <w:rPr>
                <w:spacing w:val="4"/>
                <w:sz w:val="20"/>
              </w:rPr>
              <w:t> </w:t>
            </w:r>
            <w:r>
              <w:rPr>
                <w:w w:val="90"/>
                <w:sz w:val="20"/>
              </w:rPr>
              <w:t>several</w:t>
            </w:r>
            <w:r>
              <w:rPr>
                <w:spacing w:val="-1"/>
                <w:sz w:val="20"/>
              </w:rPr>
              <w:t> </w:t>
            </w:r>
            <w:r>
              <w:rPr>
                <w:w w:val="90"/>
                <w:sz w:val="20"/>
              </w:rPr>
              <w:t>Western</w:t>
            </w:r>
            <w:r>
              <w:rPr>
                <w:spacing w:val="3"/>
                <w:sz w:val="20"/>
              </w:rPr>
              <w:t> </w:t>
            </w:r>
            <w:r>
              <w:rPr>
                <w:spacing w:val="-2"/>
                <w:w w:val="90"/>
                <w:sz w:val="20"/>
              </w:rPr>
              <w:t>European</w:t>
            </w:r>
          </w:p>
        </w:tc>
      </w:tr>
      <w:tr>
        <w:trPr>
          <w:trHeight w:val="248" w:hRule="atLeast"/>
        </w:trPr>
        <w:tc>
          <w:tcPr>
            <w:tcW w:w="1678" w:type="dxa"/>
            <w:tcBorders>
              <w:top w:val="nil"/>
              <w:bottom w:val="nil"/>
            </w:tcBorders>
            <w:shd w:val="clear" w:color="auto" w:fill="E9E9E9"/>
          </w:tcPr>
          <w:p>
            <w:pPr>
              <w:pStyle w:val="TableParagraph"/>
              <w:spacing w:line="225" w:lineRule="exact" w:before="0"/>
              <w:ind w:left="89"/>
              <w:rPr>
                <w:sz w:val="20"/>
              </w:rPr>
            </w:pPr>
            <w:r>
              <w:rPr>
                <w:spacing w:val="-2"/>
                <w:sz w:val="20"/>
              </w:rPr>
              <w:t>Democratic</w:t>
            </w:r>
          </w:p>
        </w:tc>
        <w:tc>
          <w:tcPr>
            <w:tcW w:w="8062" w:type="dxa"/>
            <w:tcBorders>
              <w:top w:val="nil"/>
              <w:bottom w:val="nil"/>
            </w:tcBorders>
            <w:shd w:val="clear" w:color="auto" w:fill="E9E9E9"/>
          </w:tcPr>
          <w:p>
            <w:pPr>
              <w:pStyle w:val="TableParagraph"/>
              <w:spacing w:line="225" w:lineRule="exact" w:before="0"/>
              <w:ind w:left="90"/>
              <w:rPr>
                <w:sz w:val="20"/>
              </w:rPr>
            </w:pPr>
            <w:r>
              <w:rPr>
                <w:spacing w:val="-6"/>
                <w:sz w:val="20"/>
              </w:rPr>
              <w:t>countries.</w:t>
            </w:r>
            <w:r>
              <w:rPr>
                <w:spacing w:val="-7"/>
                <w:sz w:val="20"/>
              </w:rPr>
              <w:t> </w:t>
            </w:r>
            <w:r>
              <w:rPr>
                <w:spacing w:val="-6"/>
                <w:sz w:val="20"/>
              </w:rPr>
              <w:t>Virtual</w:t>
            </w:r>
            <w:r>
              <w:rPr>
                <w:spacing w:val="-5"/>
                <w:sz w:val="20"/>
              </w:rPr>
              <w:t> </w:t>
            </w:r>
            <w:r>
              <w:rPr>
                <w:spacing w:val="-6"/>
                <w:sz w:val="20"/>
              </w:rPr>
              <w:t>linkages</w:t>
            </w:r>
            <w:r>
              <w:rPr>
                <w:spacing w:val="-4"/>
                <w:sz w:val="20"/>
              </w:rPr>
              <w:t> </w:t>
            </w:r>
            <w:r>
              <w:rPr>
                <w:spacing w:val="-6"/>
                <w:sz w:val="20"/>
              </w:rPr>
              <w:t>are</w:t>
            </w:r>
            <w:r>
              <w:rPr>
                <w:spacing w:val="-4"/>
                <w:sz w:val="20"/>
              </w:rPr>
              <w:t> </w:t>
            </w:r>
            <w:r>
              <w:rPr>
                <w:spacing w:val="-6"/>
                <w:sz w:val="20"/>
              </w:rPr>
              <w:t>being</w:t>
            </w:r>
            <w:r>
              <w:rPr>
                <w:spacing w:val="-4"/>
                <w:sz w:val="20"/>
              </w:rPr>
              <w:t> </w:t>
            </w:r>
            <w:r>
              <w:rPr>
                <w:spacing w:val="-6"/>
                <w:sz w:val="20"/>
              </w:rPr>
              <w:t>established</w:t>
            </w:r>
            <w:r>
              <w:rPr>
                <w:spacing w:val="-5"/>
                <w:sz w:val="20"/>
              </w:rPr>
              <w:t> </w:t>
            </w:r>
            <w:r>
              <w:rPr>
                <w:spacing w:val="-6"/>
                <w:sz w:val="20"/>
              </w:rPr>
              <w:t>for</w:t>
            </w:r>
            <w:r>
              <w:rPr>
                <w:spacing w:val="-4"/>
                <w:sz w:val="20"/>
              </w:rPr>
              <w:t> </w:t>
            </w:r>
            <w:r>
              <w:rPr>
                <w:spacing w:val="-6"/>
                <w:sz w:val="20"/>
              </w:rPr>
              <w:t>bringing</w:t>
            </w:r>
            <w:r>
              <w:rPr>
                <w:spacing w:val="-4"/>
                <w:sz w:val="20"/>
              </w:rPr>
              <w:t> </w:t>
            </w:r>
            <w:r>
              <w:rPr>
                <w:spacing w:val="-6"/>
                <w:sz w:val="20"/>
              </w:rPr>
              <w:t>research</w:t>
            </w:r>
            <w:r>
              <w:rPr>
                <w:spacing w:val="-4"/>
                <w:sz w:val="20"/>
              </w:rPr>
              <w:t> </w:t>
            </w:r>
            <w:r>
              <w:rPr>
                <w:spacing w:val="-6"/>
                <w:sz w:val="20"/>
              </w:rPr>
              <w:t>and</w:t>
            </w:r>
            <w:r>
              <w:rPr>
                <w:spacing w:val="-4"/>
                <w:sz w:val="20"/>
              </w:rPr>
              <w:t> </w:t>
            </w:r>
            <w:r>
              <w:rPr>
                <w:spacing w:val="-6"/>
                <w:sz w:val="20"/>
              </w:rPr>
              <w:t>extension</w:t>
            </w:r>
            <w:r>
              <w:rPr>
                <w:spacing w:val="-5"/>
                <w:sz w:val="20"/>
              </w:rPr>
              <w:t> </w:t>
            </w:r>
            <w:r>
              <w:rPr>
                <w:spacing w:val="-6"/>
                <w:sz w:val="20"/>
              </w:rPr>
              <w:t>together,</w:t>
            </w:r>
            <w:r>
              <w:rPr>
                <w:spacing w:val="-4"/>
                <w:sz w:val="20"/>
              </w:rPr>
              <w:t> </w:t>
            </w:r>
            <w:r>
              <w:rPr>
                <w:spacing w:val="-6"/>
                <w:sz w:val="20"/>
              </w:rPr>
              <w:t>and</w:t>
            </w:r>
          </w:p>
        </w:tc>
      </w:tr>
      <w:tr>
        <w:trPr>
          <w:trHeight w:val="250" w:hRule="atLeast"/>
        </w:trPr>
        <w:tc>
          <w:tcPr>
            <w:tcW w:w="1678" w:type="dxa"/>
            <w:tcBorders>
              <w:top w:val="nil"/>
              <w:bottom w:val="nil"/>
            </w:tcBorders>
            <w:shd w:val="clear" w:color="auto" w:fill="E9E9E9"/>
          </w:tcPr>
          <w:p>
            <w:pPr>
              <w:pStyle w:val="TableParagraph"/>
              <w:spacing w:line="226" w:lineRule="exact" w:before="0"/>
              <w:ind w:left="89"/>
              <w:rPr>
                <w:sz w:val="20"/>
              </w:rPr>
            </w:pPr>
            <w:r>
              <w:rPr>
                <w:spacing w:val="-4"/>
                <w:sz w:val="20"/>
              </w:rPr>
              <w:t>Republic,</w:t>
            </w:r>
            <w:r>
              <w:rPr>
                <w:spacing w:val="-1"/>
                <w:sz w:val="20"/>
              </w:rPr>
              <w:t> </w:t>
            </w:r>
            <w:r>
              <w:rPr>
                <w:spacing w:val="-2"/>
                <w:sz w:val="20"/>
              </w:rPr>
              <w:t>Vietnam</w:t>
            </w:r>
          </w:p>
        </w:tc>
        <w:tc>
          <w:tcPr>
            <w:tcW w:w="8062" w:type="dxa"/>
            <w:tcBorders>
              <w:top w:val="nil"/>
              <w:bottom w:val="nil"/>
            </w:tcBorders>
            <w:shd w:val="clear" w:color="auto" w:fill="E9E9E9"/>
          </w:tcPr>
          <w:p>
            <w:pPr>
              <w:pStyle w:val="TableParagraph"/>
              <w:spacing w:line="226" w:lineRule="exact" w:before="0"/>
              <w:ind w:left="90"/>
              <w:rPr>
                <w:sz w:val="20"/>
              </w:rPr>
            </w:pPr>
            <w:r>
              <w:rPr>
                <w:spacing w:val="-6"/>
                <w:sz w:val="20"/>
              </w:rPr>
              <w:t>one</w:t>
            </w:r>
            <w:r>
              <w:rPr>
                <w:spacing w:val="2"/>
                <w:sz w:val="20"/>
              </w:rPr>
              <w:t> </w:t>
            </w:r>
            <w:r>
              <w:rPr>
                <w:spacing w:val="-6"/>
                <w:sz w:val="20"/>
              </w:rPr>
              <w:t>example</w:t>
            </w:r>
            <w:r>
              <w:rPr>
                <w:spacing w:val="3"/>
                <w:sz w:val="20"/>
              </w:rPr>
              <w:t> </w:t>
            </w:r>
            <w:r>
              <w:rPr>
                <w:spacing w:val="-6"/>
                <w:sz w:val="20"/>
              </w:rPr>
              <w:t>is</w:t>
            </w:r>
            <w:r>
              <w:rPr>
                <w:spacing w:val="3"/>
                <w:sz w:val="20"/>
              </w:rPr>
              <w:t> </w:t>
            </w:r>
            <w:r>
              <w:rPr>
                <w:spacing w:val="-6"/>
                <w:sz w:val="20"/>
              </w:rPr>
              <w:t>the</w:t>
            </w:r>
            <w:r>
              <w:rPr>
                <w:sz w:val="20"/>
              </w:rPr>
              <w:t> </w:t>
            </w:r>
            <w:r>
              <w:rPr>
                <w:spacing w:val="-6"/>
                <w:sz w:val="20"/>
              </w:rPr>
              <w:t>VERCON</w:t>
            </w:r>
            <w:r>
              <w:rPr>
                <w:spacing w:val="3"/>
                <w:sz w:val="20"/>
              </w:rPr>
              <w:t> </w:t>
            </w:r>
            <w:r>
              <w:rPr>
                <w:spacing w:val="-6"/>
                <w:sz w:val="20"/>
              </w:rPr>
              <w:t>(virtual</w:t>
            </w:r>
            <w:r>
              <w:rPr>
                <w:spacing w:val="3"/>
                <w:sz w:val="20"/>
              </w:rPr>
              <w:t> </w:t>
            </w:r>
            <w:r>
              <w:rPr>
                <w:spacing w:val="-6"/>
                <w:sz w:val="20"/>
              </w:rPr>
              <w:t>extension,</w:t>
            </w:r>
            <w:r>
              <w:rPr>
                <w:spacing w:val="3"/>
                <w:sz w:val="20"/>
              </w:rPr>
              <w:t> </w:t>
            </w:r>
            <w:r>
              <w:rPr>
                <w:spacing w:val="-6"/>
                <w:sz w:val="20"/>
              </w:rPr>
              <w:t>research</w:t>
            </w:r>
            <w:r>
              <w:rPr>
                <w:spacing w:val="3"/>
                <w:sz w:val="20"/>
              </w:rPr>
              <w:t> </w:t>
            </w:r>
            <w:r>
              <w:rPr>
                <w:spacing w:val="-6"/>
                <w:sz w:val="20"/>
              </w:rPr>
              <w:t>and</w:t>
            </w:r>
            <w:r>
              <w:rPr>
                <w:spacing w:val="3"/>
                <w:sz w:val="20"/>
              </w:rPr>
              <w:t> </w:t>
            </w:r>
            <w:r>
              <w:rPr>
                <w:spacing w:val="-6"/>
                <w:sz w:val="20"/>
              </w:rPr>
              <w:t>communication</w:t>
            </w:r>
            <w:r>
              <w:rPr>
                <w:spacing w:val="3"/>
                <w:sz w:val="20"/>
              </w:rPr>
              <w:t> </w:t>
            </w:r>
            <w:r>
              <w:rPr>
                <w:spacing w:val="-6"/>
                <w:sz w:val="20"/>
              </w:rPr>
              <w:t>network)</w:t>
            </w:r>
            <w:r>
              <w:rPr>
                <w:spacing w:val="3"/>
                <w:sz w:val="20"/>
              </w:rPr>
              <w:t> </w:t>
            </w:r>
            <w:r>
              <w:rPr>
                <w:spacing w:val="-6"/>
                <w:sz w:val="20"/>
              </w:rPr>
              <w:t>tool,</w:t>
            </w:r>
            <w:r>
              <w:rPr>
                <w:spacing w:val="3"/>
                <w:sz w:val="20"/>
              </w:rPr>
              <w:t> </w:t>
            </w:r>
            <w:r>
              <w:rPr>
                <w:spacing w:val="-6"/>
                <w:sz w:val="20"/>
              </w:rPr>
              <w:t>which</w:t>
            </w:r>
          </w:p>
        </w:tc>
      </w:tr>
      <w:tr>
        <w:trPr>
          <w:trHeight w:val="250" w:hRule="atLeast"/>
        </w:trPr>
        <w:tc>
          <w:tcPr>
            <w:tcW w:w="1678" w:type="dxa"/>
            <w:tcBorders>
              <w:top w:val="nil"/>
              <w:bottom w:val="nil"/>
            </w:tcBorders>
            <w:shd w:val="clear" w:color="auto" w:fill="E9E9E9"/>
          </w:tcPr>
          <w:p>
            <w:pPr>
              <w:pStyle w:val="TableParagraph"/>
              <w:spacing w:line="226" w:lineRule="exact" w:before="0"/>
              <w:ind w:left="89"/>
              <w:rPr>
                <w:sz w:val="20"/>
              </w:rPr>
            </w:pPr>
            <w:r>
              <w:rPr>
                <w:sz w:val="20"/>
              </w:rPr>
              <w:t>and</w:t>
            </w:r>
            <w:r>
              <w:rPr>
                <w:spacing w:val="-3"/>
                <w:sz w:val="20"/>
              </w:rPr>
              <w:t> </w:t>
            </w:r>
            <w:r>
              <w:rPr>
                <w:spacing w:val="-4"/>
                <w:sz w:val="20"/>
              </w:rPr>
              <w:t>Mali</w:t>
            </w:r>
          </w:p>
        </w:tc>
        <w:tc>
          <w:tcPr>
            <w:tcW w:w="8062" w:type="dxa"/>
            <w:tcBorders>
              <w:top w:val="nil"/>
              <w:bottom w:val="nil"/>
            </w:tcBorders>
            <w:shd w:val="clear" w:color="auto" w:fill="E9E9E9"/>
          </w:tcPr>
          <w:p>
            <w:pPr>
              <w:pStyle w:val="TableParagraph"/>
              <w:spacing w:line="226" w:lineRule="exact" w:before="0"/>
              <w:ind w:left="90"/>
              <w:rPr>
                <w:sz w:val="20"/>
              </w:rPr>
            </w:pPr>
            <w:r>
              <w:rPr>
                <w:spacing w:val="-4"/>
                <w:sz w:val="20"/>
              </w:rPr>
              <w:t>FAO</w:t>
            </w:r>
            <w:r>
              <w:rPr>
                <w:spacing w:val="-5"/>
                <w:sz w:val="20"/>
              </w:rPr>
              <w:t> </w:t>
            </w:r>
            <w:r>
              <w:rPr>
                <w:spacing w:val="-4"/>
                <w:sz w:val="20"/>
              </w:rPr>
              <w:t>has</w:t>
            </w:r>
            <w:r>
              <w:rPr>
                <w:spacing w:val="-6"/>
                <w:sz w:val="20"/>
              </w:rPr>
              <w:t> </w:t>
            </w:r>
            <w:r>
              <w:rPr>
                <w:spacing w:val="-4"/>
                <w:sz w:val="20"/>
              </w:rPr>
              <w:t>introduced</w:t>
            </w:r>
            <w:r>
              <w:rPr>
                <w:spacing w:val="-5"/>
                <w:sz w:val="20"/>
              </w:rPr>
              <w:t> </w:t>
            </w:r>
            <w:r>
              <w:rPr>
                <w:spacing w:val="-4"/>
                <w:sz w:val="20"/>
              </w:rPr>
              <w:t>in</w:t>
            </w:r>
            <w:r>
              <w:rPr>
                <w:spacing w:val="-5"/>
                <w:sz w:val="20"/>
              </w:rPr>
              <w:t> </w:t>
            </w:r>
            <w:r>
              <w:rPr>
                <w:spacing w:val="-4"/>
                <w:sz w:val="20"/>
              </w:rPr>
              <w:t>Egypt</w:t>
            </w:r>
            <w:r>
              <w:rPr>
                <w:spacing w:val="-5"/>
                <w:sz w:val="20"/>
              </w:rPr>
              <w:t> </w:t>
            </w:r>
            <w:r>
              <w:rPr>
                <w:spacing w:val="-4"/>
                <w:sz w:val="20"/>
              </w:rPr>
              <w:t>and</w:t>
            </w:r>
            <w:r>
              <w:rPr>
                <w:spacing w:val="-5"/>
                <w:sz w:val="20"/>
              </w:rPr>
              <w:t> </w:t>
            </w:r>
            <w:r>
              <w:rPr>
                <w:spacing w:val="-4"/>
                <w:sz w:val="20"/>
              </w:rPr>
              <w:t>Bhutan.</w:t>
            </w:r>
            <w:r>
              <w:rPr>
                <w:spacing w:val="-5"/>
                <w:sz w:val="20"/>
              </w:rPr>
              <w:t> </w:t>
            </w:r>
            <w:r>
              <w:rPr>
                <w:spacing w:val="-4"/>
                <w:sz w:val="20"/>
              </w:rPr>
              <w:t>Under</w:t>
            </w:r>
            <w:r>
              <w:rPr>
                <w:spacing w:val="-5"/>
                <w:sz w:val="20"/>
              </w:rPr>
              <w:t> </w:t>
            </w:r>
            <w:r>
              <w:rPr>
                <w:spacing w:val="-4"/>
                <w:sz w:val="20"/>
              </w:rPr>
              <w:t>an</w:t>
            </w:r>
            <w:r>
              <w:rPr>
                <w:spacing w:val="-5"/>
                <w:sz w:val="20"/>
              </w:rPr>
              <w:t> </w:t>
            </w:r>
            <w:r>
              <w:rPr>
                <w:spacing w:val="-4"/>
                <w:sz w:val="20"/>
              </w:rPr>
              <w:t>FAO</w:t>
            </w:r>
            <w:r>
              <w:rPr>
                <w:spacing w:val="-5"/>
                <w:sz w:val="20"/>
              </w:rPr>
              <w:t> </w:t>
            </w:r>
            <w:r>
              <w:rPr>
                <w:spacing w:val="-4"/>
                <w:sz w:val="20"/>
              </w:rPr>
              <w:t>project</w:t>
            </w:r>
            <w:r>
              <w:rPr>
                <w:spacing w:val="-5"/>
                <w:sz w:val="20"/>
              </w:rPr>
              <w:t> </w:t>
            </w:r>
            <w:r>
              <w:rPr>
                <w:spacing w:val="-4"/>
                <w:sz w:val="20"/>
              </w:rPr>
              <w:t>in</w:t>
            </w:r>
            <w:r>
              <w:rPr>
                <w:spacing w:val="-5"/>
                <w:sz w:val="20"/>
              </w:rPr>
              <w:t> </w:t>
            </w:r>
            <w:r>
              <w:rPr>
                <w:spacing w:val="-4"/>
                <w:sz w:val="20"/>
              </w:rPr>
              <w:t>the</w:t>
            </w:r>
            <w:r>
              <w:rPr>
                <w:spacing w:val="-5"/>
                <w:sz w:val="20"/>
              </w:rPr>
              <w:t> </w:t>
            </w:r>
            <w:r>
              <w:rPr>
                <w:spacing w:val="-4"/>
                <w:sz w:val="20"/>
              </w:rPr>
              <w:t>Philippines,</w:t>
            </w:r>
            <w:r>
              <w:rPr>
                <w:spacing w:val="-5"/>
                <w:sz w:val="20"/>
              </w:rPr>
              <w:t> </w:t>
            </w:r>
            <w:r>
              <w:rPr>
                <w:spacing w:val="-4"/>
                <w:sz w:val="20"/>
              </w:rPr>
              <w:t>the</w:t>
            </w:r>
            <w:r>
              <w:rPr>
                <w:spacing w:val="-5"/>
                <w:sz w:val="20"/>
              </w:rPr>
              <w:t> </w:t>
            </w:r>
            <w:r>
              <w:rPr>
                <w:spacing w:val="-4"/>
                <w:sz w:val="20"/>
              </w:rPr>
              <w:t>Internet</w:t>
            </w:r>
          </w:p>
        </w:tc>
      </w:tr>
      <w:tr>
        <w:trPr>
          <w:trHeight w:val="250" w:hRule="atLeast"/>
        </w:trPr>
        <w:tc>
          <w:tcPr>
            <w:tcW w:w="1678" w:type="dxa"/>
            <w:tcBorders>
              <w:top w:val="nil"/>
              <w:bottom w:val="nil"/>
            </w:tcBorders>
            <w:shd w:val="clear" w:color="auto" w:fill="E9E9E9"/>
          </w:tcPr>
          <w:p>
            <w:pPr>
              <w:pStyle w:val="TableParagraph"/>
              <w:spacing w:before="0"/>
              <w:rPr>
                <w:sz w:val="18"/>
              </w:rPr>
            </w:pPr>
          </w:p>
        </w:tc>
        <w:tc>
          <w:tcPr>
            <w:tcW w:w="8062" w:type="dxa"/>
            <w:tcBorders>
              <w:top w:val="nil"/>
              <w:bottom w:val="nil"/>
            </w:tcBorders>
            <w:shd w:val="clear" w:color="auto" w:fill="E9E9E9"/>
          </w:tcPr>
          <w:p>
            <w:pPr>
              <w:pStyle w:val="TableParagraph"/>
              <w:spacing w:line="226" w:lineRule="exact" w:before="0"/>
              <w:ind w:left="90"/>
              <w:rPr>
                <w:sz w:val="20"/>
              </w:rPr>
            </w:pPr>
            <w:r>
              <w:rPr>
                <w:spacing w:val="-6"/>
                <w:sz w:val="20"/>
              </w:rPr>
              <w:t>and</w:t>
            </w:r>
            <w:r>
              <w:rPr>
                <w:spacing w:val="-5"/>
                <w:sz w:val="20"/>
              </w:rPr>
              <w:t> </w:t>
            </w:r>
            <w:r>
              <w:rPr>
                <w:spacing w:val="-6"/>
                <w:sz w:val="20"/>
              </w:rPr>
              <w:t>interactive</w:t>
            </w:r>
            <w:r>
              <w:rPr>
                <w:spacing w:val="-5"/>
                <w:sz w:val="20"/>
              </w:rPr>
              <w:t> </w:t>
            </w:r>
            <w:r>
              <w:rPr>
                <w:spacing w:val="-6"/>
                <w:sz w:val="20"/>
              </w:rPr>
              <w:t>e-mail</w:t>
            </w:r>
            <w:r>
              <w:rPr>
                <w:spacing w:val="-5"/>
                <w:sz w:val="20"/>
              </w:rPr>
              <w:t> </w:t>
            </w:r>
            <w:r>
              <w:rPr>
                <w:spacing w:val="-6"/>
                <w:sz w:val="20"/>
              </w:rPr>
              <w:t>facilities</w:t>
            </w:r>
            <w:r>
              <w:rPr>
                <w:spacing w:val="-5"/>
                <w:sz w:val="20"/>
              </w:rPr>
              <w:t> </w:t>
            </w:r>
            <w:r>
              <w:rPr>
                <w:spacing w:val="-6"/>
                <w:sz w:val="20"/>
              </w:rPr>
              <w:t>have</w:t>
            </w:r>
            <w:r>
              <w:rPr>
                <w:spacing w:val="-5"/>
                <w:sz w:val="20"/>
              </w:rPr>
              <w:t> </w:t>
            </w:r>
            <w:r>
              <w:rPr>
                <w:spacing w:val="-6"/>
                <w:sz w:val="20"/>
              </w:rPr>
              <w:t>been</w:t>
            </w:r>
            <w:r>
              <w:rPr>
                <w:spacing w:val="-5"/>
                <w:sz w:val="20"/>
              </w:rPr>
              <w:t> </w:t>
            </w:r>
            <w:r>
              <w:rPr>
                <w:spacing w:val="-6"/>
                <w:sz w:val="20"/>
              </w:rPr>
              <w:t>established</w:t>
            </w:r>
            <w:r>
              <w:rPr>
                <w:spacing w:val="-5"/>
                <w:sz w:val="20"/>
              </w:rPr>
              <w:t> </w:t>
            </w:r>
            <w:r>
              <w:rPr>
                <w:spacing w:val="-6"/>
                <w:sz w:val="20"/>
              </w:rPr>
              <w:t>at</w:t>
            </w:r>
            <w:r>
              <w:rPr>
                <w:spacing w:val="-5"/>
                <w:sz w:val="20"/>
              </w:rPr>
              <w:t> </w:t>
            </w:r>
            <w:r>
              <w:rPr>
                <w:spacing w:val="-6"/>
                <w:sz w:val="20"/>
              </w:rPr>
              <w:t>municipality</w:t>
            </w:r>
            <w:r>
              <w:rPr>
                <w:spacing w:val="-5"/>
                <w:sz w:val="20"/>
              </w:rPr>
              <w:t> </w:t>
            </w:r>
            <w:r>
              <w:rPr>
                <w:spacing w:val="-6"/>
                <w:sz w:val="20"/>
              </w:rPr>
              <w:t>level</w:t>
            </w:r>
            <w:r>
              <w:rPr>
                <w:spacing w:val="-5"/>
                <w:sz w:val="20"/>
              </w:rPr>
              <w:t> </w:t>
            </w:r>
            <w:r>
              <w:rPr>
                <w:spacing w:val="-6"/>
                <w:sz w:val="20"/>
              </w:rPr>
              <w:t>for</w:t>
            </w:r>
            <w:r>
              <w:rPr>
                <w:spacing w:val="-5"/>
                <w:sz w:val="20"/>
              </w:rPr>
              <w:t> </w:t>
            </w:r>
            <w:r>
              <w:rPr>
                <w:spacing w:val="-6"/>
                <w:sz w:val="20"/>
              </w:rPr>
              <w:t>supporting</w:t>
            </w:r>
            <w:r>
              <w:rPr>
                <w:spacing w:val="-5"/>
                <w:sz w:val="20"/>
              </w:rPr>
              <w:t> </w:t>
            </w:r>
            <w:r>
              <w:rPr>
                <w:spacing w:val="-6"/>
                <w:sz w:val="20"/>
              </w:rPr>
              <w:t>decentralised</w:t>
            </w:r>
          </w:p>
        </w:tc>
      </w:tr>
      <w:tr>
        <w:trPr>
          <w:trHeight w:val="251" w:hRule="atLeast"/>
        </w:trPr>
        <w:tc>
          <w:tcPr>
            <w:tcW w:w="1678" w:type="dxa"/>
            <w:tcBorders>
              <w:top w:val="nil"/>
              <w:bottom w:val="nil"/>
            </w:tcBorders>
            <w:shd w:val="clear" w:color="auto" w:fill="E9E9E9"/>
          </w:tcPr>
          <w:p>
            <w:pPr>
              <w:pStyle w:val="TableParagraph"/>
              <w:spacing w:before="0"/>
              <w:rPr>
                <w:sz w:val="18"/>
              </w:rPr>
            </w:pPr>
          </w:p>
        </w:tc>
        <w:tc>
          <w:tcPr>
            <w:tcW w:w="8062" w:type="dxa"/>
            <w:tcBorders>
              <w:top w:val="nil"/>
              <w:bottom w:val="nil"/>
            </w:tcBorders>
            <w:shd w:val="clear" w:color="auto" w:fill="E9E9E9"/>
          </w:tcPr>
          <w:p>
            <w:pPr>
              <w:pStyle w:val="TableParagraph"/>
              <w:spacing w:line="226" w:lineRule="exact" w:before="0"/>
              <w:ind w:left="90"/>
              <w:rPr>
                <w:sz w:val="20"/>
              </w:rPr>
            </w:pPr>
            <w:r>
              <w:rPr>
                <w:spacing w:val="-8"/>
                <w:sz w:val="20"/>
              </w:rPr>
              <w:t>extension</w:t>
            </w:r>
            <w:r>
              <w:rPr>
                <w:spacing w:val="1"/>
                <w:sz w:val="20"/>
              </w:rPr>
              <w:t> </w:t>
            </w:r>
            <w:r>
              <w:rPr>
                <w:spacing w:val="-8"/>
                <w:sz w:val="20"/>
              </w:rPr>
              <w:t>staff.</w:t>
            </w:r>
            <w:r>
              <w:rPr>
                <w:spacing w:val="-1"/>
                <w:sz w:val="20"/>
              </w:rPr>
              <w:t> </w:t>
            </w:r>
            <w:r>
              <w:rPr>
                <w:i/>
                <w:spacing w:val="-8"/>
                <w:sz w:val="20"/>
              </w:rPr>
              <w:t>Expert</w:t>
            </w:r>
            <w:r>
              <w:rPr>
                <w:i/>
                <w:spacing w:val="1"/>
                <w:sz w:val="20"/>
              </w:rPr>
              <w:t> </w:t>
            </w:r>
            <w:r>
              <w:rPr>
                <w:i/>
                <w:spacing w:val="-8"/>
                <w:sz w:val="20"/>
              </w:rPr>
              <w:t>systems</w:t>
            </w:r>
            <w:r>
              <w:rPr>
                <w:i/>
                <w:sz w:val="20"/>
              </w:rPr>
              <w:t> </w:t>
            </w:r>
            <w:r>
              <w:rPr>
                <w:spacing w:val="-8"/>
                <w:sz w:val="20"/>
              </w:rPr>
              <w:t>are</w:t>
            </w:r>
            <w:r>
              <w:rPr>
                <w:spacing w:val="1"/>
                <w:sz w:val="20"/>
              </w:rPr>
              <w:t> </w:t>
            </w:r>
            <w:r>
              <w:rPr>
                <w:spacing w:val="-8"/>
                <w:sz w:val="20"/>
              </w:rPr>
              <w:t>also</w:t>
            </w:r>
            <w:r>
              <w:rPr>
                <w:spacing w:val="1"/>
                <w:sz w:val="20"/>
              </w:rPr>
              <w:t> </w:t>
            </w:r>
            <w:r>
              <w:rPr>
                <w:spacing w:val="-8"/>
                <w:sz w:val="20"/>
              </w:rPr>
              <w:t>being</w:t>
            </w:r>
            <w:r>
              <w:rPr>
                <w:spacing w:val="2"/>
                <w:sz w:val="20"/>
              </w:rPr>
              <w:t> </w:t>
            </w:r>
            <w:r>
              <w:rPr>
                <w:spacing w:val="-8"/>
                <w:sz w:val="20"/>
              </w:rPr>
              <w:t>developed</w:t>
            </w:r>
            <w:r>
              <w:rPr>
                <w:spacing w:val="1"/>
                <w:sz w:val="20"/>
              </w:rPr>
              <w:t> </w:t>
            </w:r>
            <w:r>
              <w:rPr>
                <w:spacing w:val="-8"/>
                <w:sz w:val="20"/>
              </w:rPr>
              <w:t>to</w:t>
            </w:r>
            <w:r>
              <w:rPr>
                <w:spacing w:val="1"/>
                <w:sz w:val="20"/>
              </w:rPr>
              <w:t> </w:t>
            </w:r>
            <w:r>
              <w:rPr>
                <w:spacing w:val="-8"/>
                <w:sz w:val="20"/>
              </w:rPr>
              <w:t>compensate,</w:t>
            </w:r>
            <w:r>
              <w:rPr>
                <w:spacing w:val="1"/>
                <w:sz w:val="20"/>
              </w:rPr>
              <w:t> </w:t>
            </w:r>
            <w:r>
              <w:rPr>
                <w:spacing w:val="-8"/>
                <w:sz w:val="20"/>
              </w:rPr>
              <w:t>to</w:t>
            </w:r>
            <w:r>
              <w:rPr>
                <w:spacing w:val="1"/>
                <w:sz w:val="20"/>
              </w:rPr>
              <w:t> </w:t>
            </w:r>
            <w:r>
              <w:rPr>
                <w:spacing w:val="-8"/>
                <w:sz w:val="20"/>
              </w:rPr>
              <w:t>some</w:t>
            </w:r>
            <w:r>
              <w:rPr>
                <w:spacing w:val="1"/>
                <w:sz w:val="20"/>
              </w:rPr>
              <w:t> </w:t>
            </w:r>
            <w:r>
              <w:rPr>
                <w:spacing w:val="-8"/>
                <w:sz w:val="20"/>
              </w:rPr>
              <w:t>extent,</w:t>
            </w:r>
            <w:r>
              <w:rPr>
                <w:spacing w:val="1"/>
                <w:sz w:val="20"/>
              </w:rPr>
              <w:t> </w:t>
            </w:r>
            <w:r>
              <w:rPr>
                <w:spacing w:val="-8"/>
                <w:sz w:val="20"/>
              </w:rPr>
              <w:t>for</w:t>
            </w:r>
            <w:r>
              <w:rPr>
                <w:spacing w:val="1"/>
                <w:sz w:val="20"/>
              </w:rPr>
              <w:t> </w:t>
            </w:r>
            <w:r>
              <w:rPr>
                <w:spacing w:val="-8"/>
                <w:sz w:val="20"/>
              </w:rPr>
              <w:t>the</w:t>
            </w:r>
            <w:r>
              <w:rPr>
                <w:spacing w:val="1"/>
                <w:sz w:val="20"/>
              </w:rPr>
              <w:t> </w:t>
            </w:r>
            <w:r>
              <w:rPr>
                <w:spacing w:val="-8"/>
                <w:sz w:val="20"/>
              </w:rPr>
              <w:t>too-rare</w:t>
            </w:r>
          </w:p>
        </w:tc>
      </w:tr>
      <w:tr>
        <w:trPr>
          <w:trHeight w:val="248" w:hRule="atLeast"/>
        </w:trPr>
        <w:tc>
          <w:tcPr>
            <w:tcW w:w="1678" w:type="dxa"/>
            <w:tcBorders>
              <w:top w:val="nil"/>
              <w:bottom w:val="nil"/>
            </w:tcBorders>
            <w:shd w:val="clear" w:color="auto" w:fill="E9E9E9"/>
          </w:tcPr>
          <w:p>
            <w:pPr>
              <w:pStyle w:val="TableParagraph"/>
              <w:spacing w:before="0"/>
              <w:rPr>
                <w:sz w:val="18"/>
              </w:rPr>
            </w:pPr>
          </w:p>
        </w:tc>
        <w:tc>
          <w:tcPr>
            <w:tcW w:w="8062" w:type="dxa"/>
            <w:tcBorders>
              <w:top w:val="nil"/>
              <w:bottom w:val="nil"/>
            </w:tcBorders>
            <w:shd w:val="clear" w:color="auto" w:fill="E9E9E9"/>
          </w:tcPr>
          <w:p>
            <w:pPr>
              <w:pStyle w:val="TableParagraph"/>
              <w:spacing w:line="225" w:lineRule="exact" w:before="0"/>
              <w:ind w:left="90"/>
              <w:rPr>
                <w:sz w:val="20"/>
              </w:rPr>
            </w:pPr>
            <w:r>
              <w:rPr>
                <w:spacing w:val="-8"/>
                <w:sz w:val="20"/>
              </w:rPr>
              <w:t>visits</w:t>
            </w:r>
            <w:r>
              <w:rPr>
                <w:spacing w:val="3"/>
                <w:sz w:val="20"/>
              </w:rPr>
              <w:t> </w:t>
            </w:r>
            <w:r>
              <w:rPr>
                <w:spacing w:val="-8"/>
                <w:sz w:val="20"/>
              </w:rPr>
              <w:t>of</w:t>
            </w:r>
            <w:r>
              <w:rPr>
                <w:spacing w:val="4"/>
                <w:sz w:val="20"/>
              </w:rPr>
              <w:t> </w:t>
            </w:r>
            <w:r>
              <w:rPr>
                <w:spacing w:val="-8"/>
                <w:sz w:val="20"/>
              </w:rPr>
              <w:t>subject-matter</w:t>
            </w:r>
            <w:r>
              <w:rPr>
                <w:spacing w:val="4"/>
                <w:sz w:val="20"/>
              </w:rPr>
              <w:t> </w:t>
            </w:r>
            <w:r>
              <w:rPr>
                <w:spacing w:val="-8"/>
                <w:sz w:val="20"/>
              </w:rPr>
              <w:t>specialists</w:t>
            </w:r>
            <w:r>
              <w:rPr>
                <w:spacing w:val="4"/>
                <w:sz w:val="20"/>
              </w:rPr>
              <w:t> </w:t>
            </w:r>
            <w:r>
              <w:rPr>
                <w:spacing w:val="-8"/>
                <w:sz w:val="20"/>
              </w:rPr>
              <w:t>to</w:t>
            </w:r>
            <w:r>
              <w:rPr>
                <w:spacing w:val="4"/>
                <w:sz w:val="20"/>
              </w:rPr>
              <w:t> </w:t>
            </w:r>
            <w:r>
              <w:rPr>
                <w:spacing w:val="-8"/>
                <w:sz w:val="20"/>
              </w:rPr>
              <w:t>farmers’</w:t>
            </w:r>
            <w:r>
              <w:rPr>
                <w:spacing w:val="4"/>
                <w:sz w:val="20"/>
              </w:rPr>
              <w:t> </w:t>
            </w:r>
            <w:r>
              <w:rPr>
                <w:spacing w:val="-8"/>
                <w:sz w:val="20"/>
              </w:rPr>
              <w:t>fields.</w:t>
            </w:r>
            <w:r>
              <w:rPr>
                <w:spacing w:val="4"/>
                <w:sz w:val="20"/>
              </w:rPr>
              <w:t> </w:t>
            </w:r>
            <w:r>
              <w:rPr>
                <w:spacing w:val="-8"/>
                <w:sz w:val="20"/>
              </w:rPr>
              <w:t>Over</w:t>
            </w:r>
            <w:r>
              <w:rPr>
                <w:spacing w:val="4"/>
                <w:sz w:val="20"/>
              </w:rPr>
              <w:t> </w:t>
            </w:r>
            <w:r>
              <w:rPr>
                <w:spacing w:val="-8"/>
                <w:sz w:val="20"/>
              </w:rPr>
              <w:t>30</w:t>
            </w:r>
            <w:r>
              <w:rPr>
                <w:spacing w:val="4"/>
                <w:sz w:val="20"/>
              </w:rPr>
              <w:t> </w:t>
            </w:r>
            <w:r>
              <w:rPr>
                <w:spacing w:val="-8"/>
                <w:sz w:val="20"/>
              </w:rPr>
              <w:t>per</w:t>
            </w:r>
            <w:r>
              <w:rPr>
                <w:spacing w:val="4"/>
                <w:sz w:val="20"/>
              </w:rPr>
              <w:t> </w:t>
            </w:r>
            <w:r>
              <w:rPr>
                <w:spacing w:val="-8"/>
                <w:sz w:val="20"/>
              </w:rPr>
              <w:t>cent</w:t>
            </w:r>
            <w:r>
              <w:rPr>
                <w:spacing w:val="4"/>
                <w:sz w:val="20"/>
              </w:rPr>
              <w:t> </w:t>
            </w:r>
            <w:r>
              <w:rPr>
                <w:spacing w:val="-8"/>
                <w:sz w:val="20"/>
              </w:rPr>
              <w:t>of</w:t>
            </w:r>
            <w:r>
              <w:rPr>
                <w:spacing w:val="4"/>
                <w:sz w:val="20"/>
              </w:rPr>
              <w:t> </w:t>
            </w:r>
            <w:r>
              <w:rPr>
                <w:spacing w:val="-8"/>
                <w:sz w:val="20"/>
              </w:rPr>
              <w:t>extension</w:t>
            </w:r>
            <w:r>
              <w:rPr>
                <w:spacing w:val="4"/>
                <w:sz w:val="20"/>
              </w:rPr>
              <w:t> </w:t>
            </w:r>
            <w:r>
              <w:rPr>
                <w:spacing w:val="-8"/>
                <w:sz w:val="20"/>
              </w:rPr>
              <w:t>staff</w:t>
            </w:r>
            <w:r>
              <w:rPr>
                <w:spacing w:val="4"/>
                <w:sz w:val="20"/>
              </w:rPr>
              <w:t> </w:t>
            </w:r>
            <w:r>
              <w:rPr>
                <w:spacing w:val="-8"/>
                <w:sz w:val="20"/>
              </w:rPr>
              <w:t>in</w:t>
            </w:r>
            <w:r>
              <w:rPr>
                <w:spacing w:val="4"/>
                <w:sz w:val="20"/>
              </w:rPr>
              <w:t> </w:t>
            </w:r>
            <w:r>
              <w:rPr>
                <w:spacing w:val="-8"/>
                <w:sz w:val="20"/>
              </w:rPr>
              <w:t>Estonia</w:t>
            </w:r>
            <w:r>
              <w:rPr>
                <w:spacing w:val="3"/>
                <w:sz w:val="20"/>
              </w:rPr>
              <w:t> </w:t>
            </w:r>
            <w:r>
              <w:rPr>
                <w:spacing w:val="-8"/>
                <w:sz w:val="20"/>
              </w:rPr>
              <w:t>use</w:t>
            </w:r>
            <w:r>
              <w:rPr>
                <w:spacing w:val="4"/>
                <w:sz w:val="20"/>
              </w:rPr>
              <w:t> </w:t>
            </w:r>
            <w:r>
              <w:rPr>
                <w:spacing w:val="-8"/>
                <w:sz w:val="20"/>
              </w:rPr>
              <w:t>the</w:t>
            </w:r>
          </w:p>
        </w:tc>
      </w:tr>
      <w:tr>
        <w:trPr>
          <w:trHeight w:val="270" w:hRule="atLeast"/>
        </w:trPr>
        <w:tc>
          <w:tcPr>
            <w:tcW w:w="1678" w:type="dxa"/>
            <w:tcBorders>
              <w:top w:val="nil"/>
            </w:tcBorders>
            <w:shd w:val="clear" w:color="auto" w:fill="E9E9E9"/>
          </w:tcPr>
          <w:p>
            <w:pPr>
              <w:pStyle w:val="TableParagraph"/>
              <w:spacing w:before="0"/>
              <w:rPr>
                <w:sz w:val="20"/>
              </w:rPr>
            </w:pPr>
          </w:p>
        </w:tc>
        <w:tc>
          <w:tcPr>
            <w:tcW w:w="8062" w:type="dxa"/>
            <w:tcBorders>
              <w:top w:val="nil"/>
            </w:tcBorders>
            <w:shd w:val="clear" w:color="auto" w:fill="E9E9E9"/>
          </w:tcPr>
          <w:p>
            <w:pPr>
              <w:pStyle w:val="TableParagraph"/>
              <w:spacing w:line="226" w:lineRule="exact" w:before="0"/>
              <w:ind w:left="90"/>
              <w:rPr>
                <w:sz w:val="20"/>
              </w:rPr>
            </w:pPr>
            <w:r>
              <w:rPr>
                <w:spacing w:val="-6"/>
                <w:sz w:val="20"/>
              </w:rPr>
              <w:t>Internet.</w:t>
            </w:r>
            <w:r>
              <w:rPr>
                <w:spacing w:val="-2"/>
                <w:sz w:val="20"/>
              </w:rPr>
              <w:t> </w:t>
            </w:r>
            <w:r>
              <w:rPr>
                <w:spacing w:val="-6"/>
                <w:sz w:val="20"/>
              </w:rPr>
              <w:t>One</w:t>
            </w:r>
            <w:r>
              <w:rPr>
                <w:spacing w:val="-1"/>
                <w:sz w:val="20"/>
              </w:rPr>
              <w:t> </w:t>
            </w:r>
            <w:r>
              <w:rPr>
                <w:spacing w:val="-6"/>
                <w:sz w:val="20"/>
              </w:rPr>
              <w:t>can</w:t>
            </w:r>
            <w:r>
              <w:rPr>
                <w:spacing w:val="-1"/>
                <w:sz w:val="20"/>
              </w:rPr>
              <w:t> </w:t>
            </w:r>
            <w:r>
              <w:rPr>
                <w:spacing w:val="-6"/>
                <w:sz w:val="20"/>
              </w:rPr>
              <w:t>find</w:t>
            </w:r>
            <w:r>
              <w:rPr>
                <w:spacing w:val="-1"/>
                <w:sz w:val="20"/>
              </w:rPr>
              <w:t> </w:t>
            </w:r>
            <w:r>
              <w:rPr>
                <w:spacing w:val="-6"/>
                <w:sz w:val="20"/>
              </w:rPr>
              <w:t>programs</w:t>
            </w:r>
            <w:r>
              <w:rPr>
                <w:spacing w:val="-1"/>
                <w:sz w:val="20"/>
              </w:rPr>
              <w:t> </w:t>
            </w:r>
            <w:r>
              <w:rPr>
                <w:spacing w:val="-6"/>
                <w:sz w:val="20"/>
              </w:rPr>
              <w:t>like</w:t>
            </w:r>
            <w:r>
              <w:rPr>
                <w:spacing w:val="-1"/>
                <w:sz w:val="20"/>
              </w:rPr>
              <w:t> </w:t>
            </w:r>
            <w:r>
              <w:rPr>
                <w:spacing w:val="-6"/>
                <w:sz w:val="20"/>
              </w:rPr>
              <w:t>“virtual</w:t>
            </w:r>
            <w:r>
              <w:rPr>
                <w:spacing w:val="-1"/>
                <w:sz w:val="20"/>
              </w:rPr>
              <w:t> </w:t>
            </w:r>
            <w:r>
              <w:rPr>
                <w:spacing w:val="-6"/>
                <w:sz w:val="20"/>
              </w:rPr>
              <w:t>gardens”</w:t>
            </w:r>
            <w:r>
              <w:rPr>
                <w:spacing w:val="-1"/>
                <w:sz w:val="20"/>
              </w:rPr>
              <w:t> </w:t>
            </w:r>
            <w:r>
              <w:rPr>
                <w:spacing w:val="-6"/>
                <w:sz w:val="20"/>
              </w:rPr>
              <w:t>and</w:t>
            </w:r>
            <w:r>
              <w:rPr>
                <w:spacing w:val="-1"/>
                <w:sz w:val="20"/>
              </w:rPr>
              <w:t> </w:t>
            </w:r>
            <w:r>
              <w:rPr>
                <w:spacing w:val="-6"/>
                <w:sz w:val="20"/>
              </w:rPr>
              <w:t>“virtual</w:t>
            </w:r>
            <w:r>
              <w:rPr>
                <w:spacing w:val="-1"/>
                <w:sz w:val="20"/>
              </w:rPr>
              <w:t> </w:t>
            </w:r>
            <w:r>
              <w:rPr>
                <w:spacing w:val="-6"/>
                <w:sz w:val="20"/>
              </w:rPr>
              <w:t>farms”</w:t>
            </w:r>
            <w:r>
              <w:rPr>
                <w:spacing w:val="-1"/>
                <w:sz w:val="20"/>
              </w:rPr>
              <w:t> </w:t>
            </w:r>
            <w:r>
              <w:rPr>
                <w:spacing w:val="-6"/>
                <w:sz w:val="20"/>
              </w:rPr>
              <w:t>on</w:t>
            </w:r>
            <w:r>
              <w:rPr>
                <w:spacing w:val="-1"/>
                <w:sz w:val="20"/>
              </w:rPr>
              <w:t> </w:t>
            </w:r>
            <w:r>
              <w:rPr>
                <w:spacing w:val="-6"/>
                <w:sz w:val="20"/>
              </w:rPr>
              <w:t>the</w:t>
            </w:r>
            <w:r>
              <w:rPr>
                <w:spacing w:val="-1"/>
                <w:sz w:val="20"/>
              </w:rPr>
              <w:t> </w:t>
            </w:r>
            <w:r>
              <w:rPr>
                <w:spacing w:val="-6"/>
                <w:sz w:val="20"/>
              </w:rPr>
              <w:t>Internet.</w:t>
            </w:r>
          </w:p>
        </w:tc>
      </w:tr>
    </w:tbl>
    <w:p>
      <w:pPr>
        <w:spacing w:before="58"/>
        <w:ind w:left="1080" w:right="0" w:firstLine="0"/>
        <w:jc w:val="left"/>
        <w:rPr>
          <w:sz w:val="16"/>
        </w:rPr>
      </w:pPr>
      <w:r>
        <w:rPr>
          <w:i/>
          <w:spacing w:val="-4"/>
          <w:sz w:val="16"/>
        </w:rPr>
        <w:t>Source</w:t>
      </w:r>
      <w:r>
        <w:rPr>
          <w:spacing w:val="-4"/>
          <w:sz w:val="16"/>
        </w:rPr>
        <w:t>:</w:t>
      </w:r>
      <w:r>
        <w:rPr>
          <w:spacing w:val="-3"/>
          <w:sz w:val="16"/>
        </w:rPr>
        <w:t> </w:t>
      </w:r>
      <w:r>
        <w:rPr>
          <w:spacing w:val="-4"/>
          <w:sz w:val="16"/>
        </w:rPr>
        <w:t>‘Modernising</w:t>
      </w:r>
      <w:r>
        <w:rPr>
          <w:spacing w:val="-3"/>
          <w:sz w:val="16"/>
        </w:rPr>
        <w:t> </w:t>
      </w:r>
      <w:r>
        <w:rPr>
          <w:spacing w:val="-4"/>
          <w:sz w:val="16"/>
        </w:rPr>
        <w:t>National</w:t>
      </w:r>
      <w:r>
        <w:rPr>
          <w:spacing w:val="-3"/>
          <w:sz w:val="16"/>
        </w:rPr>
        <w:t> </w:t>
      </w:r>
      <w:r>
        <w:rPr>
          <w:spacing w:val="-4"/>
          <w:sz w:val="16"/>
        </w:rPr>
        <w:t>Agricultural</w:t>
      </w:r>
      <w:r>
        <w:rPr>
          <w:spacing w:val="-3"/>
          <w:sz w:val="16"/>
        </w:rPr>
        <w:t> </w:t>
      </w:r>
      <w:r>
        <w:rPr>
          <w:spacing w:val="-4"/>
          <w:sz w:val="16"/>
        </w:rPr>
        <w:t>Extension</w:t>
      </w:r>
      <w:r>
        <w:rPr>
          <w:spacing w:val="-3"/>
          <w:sz w:val="16"/>
        </w:rPr>
        <w:t> </w:t>
      </w:r>
      <w:r>
        <w:rPr>
          <w:spacing w:val="-4"/>
          <w:sz w:val="16"/>
        </w:rPr>
        <w:t>Systems,</w:t>
      </w:r>
      <w:r>
        <w:rPr>
          <w:spacing w:val="-3"/>
          <w:sz w:val="16"/>
        </w:rPr>
        <w:t> </w:t>
      </w:r>
      <w:r>
        <w:rPr>
          <w:spacing w:val="-4"/>
          <w:sz w:val="16"/>
        </w:rPr>
        <w:t>A</w:t>
      </w:r>
      <w:r>
        <w:rPr>
          <w:spacing w:val="-3"/>
          <w:sz w:val="16"/>
        </w:rPr>
        <w:t> </w:t>
      </w:r>
      <w:r>
        <w:rPr>
          <w:spacing w:val="-4"/>
          <w:sz w:val="16"/>
        </w:rPr>
        <w:t>Practical</w:t>
      </w:r>
      <w:r>
        <w:rPr>
          <w:spacing w:val="-2"/>
          <w:sz w:val="16"/>
        </w:rPr>
        <w:t> </w:t>
      </w:r>
      <w:r>
        <w:rPr>
          <w:spacing w:val="-4"/>
          <w:sz w:val="16"/>
        </w:rPr>
        <w:t>Guide</w:t>
      </w:r>
      <w:r>
        <w:rPr>
          <w:spacing w:val="-3"/>
          <w:sz w:val="16"/>
        </w:rPr>
        <w:t> </w:t>
      </w:r>
      <w:r>
        <w:rPr>
          <w:spacing w:val="-4"/>
          <w:sz w:val="16"/>
        </w:rPr>
        <w:t>for</w:t>
      </w:r>
      <w:r>
        <w:rPr>
          <w:spacing w:val="-3"/>
          <w:sz w:val="16"/>
        </w:rPr>
        <w:t> </w:t>
      </w:r>
      <w:r>
        <w:rPr>
          <w:spacing w:val="-4"/>
          <w:sz w:val="16"/>
        </w:rPr>
        <w:t>Policy-Makers</w:t>
      </w:r>
      <w:r>
        <w:rPr>
          <w:spacing w:val="-3"/>
          <w:sz w:val="16"/>
        </w:rPr>
        <w:t> </w:t>
      </w:r>
      <w:r>
        <w:rPr>
          <w:spacing w:val="-4"/>
          <w:sz w:val="16"/>
        </w:rPr>
        <w:t>of</w:t>
      </w:r>
      <w:r>
        <w:rPr>
          <w:spacing w:val="-3"/>
          <w:sz w:val="16"/>
        </w:rPr>
        <w:t> </w:t>
      </w:r>
      <w:r>
        <w:rPr>
          <w:spacing w:val="-4"/>
          <w:sz w:val="16"/>
        </w:rPr>
        <w:t>Developing</w:t>
      </w:r>
      <w:r>
        <w:rPr>
          <w:spacing w:val="-3"/>
          <w:sz w:val="16"/>
        </w:rPr>
        <w:t> </w:t>
      </w:r>
      <w:r>
        <w:rPr>
          <w:spacing w:val="-4"/>
          <w:sz w:val="16"/>
        </w:rPr>
        <w:t>Countries’,</w:t>
      </w:r>
      <w:r>
        <w:rPr>
          <w:spacing w:val="-3"/>
          <w:sz w:val="16"/>
        </w:rPr>
        <w:t> </w:t>
      </w:r>
      <w:r>
        <w:rPr>
          <w:spacing w:val="-4"/>
          <w:sz w:val="16"/>
        </w:rPr>
        <w:t>FAO,</w:t>
      </w:r>
      <w:r>
        <w:rPr>
          <w:spacing w:val="-3"/>
          <w:sz w:val="16"/>
        </w:rPr>
        <w:t> </w:t>
      </w:r>
      <w:r>
        <w:rPr>
          <w:spacing w:val="-4"/>
          <w:sz w:val="16"/>
        </w:rPr>
        <w:t>2005.</w:t>
      </w:r>
    </w:p>
    <w:p>
      <w:pPr>
        <w:pStyle w:val="BodyText"/>
        <w:spacing w:before="153"/>
        <w:rPr>
          <w:sz w:val="20"/>
        </w:rPr>
      </w:pPr>
    </w:p>
    <w:p>
      <w:pPr>
        <w:spacing w:after="0"/>
        <w:rPr>
          <w:sz w:val="20"/>
        </w:rPr>
        <w:sectPr>
          <w:footerReference w:type="default" r:id="rId714"/>
          <w:footerReference w:type="even" r:id="rId715"/>
          <w:pgSz w:w="11910" w:h="16840"/>
          <w:pgMar w:header="0" w:footer="675" w:top="940" w:bottom="860" w:left="0" w:right="0"/>
          <w:pgNumType w:start="217"/>
        </w:sectPr>
      </w:pPr>
    </w:p>
    <w:p>
      <w:pPr>
        <w:pStyle w:val="Heading7"/>
        <w:spacing w:line="256" w:lineRule="auto" w:before="83"/>
        <w:ind w:left="1080"/>
      </w:pPr>
      <w:r>
        <w:rPr>
          <w:color w:val="2E614A"/>
          <w:w w:val="90"/>
        </w:rPr>
        <w:t>Issues within the research and </w:t>
      </w:r>
      <w:r>
        <w:rPr>
          <w:color w:val="2E614A"/>
          <w:w w:val="90"/>
        </w:rPr>
        <w:t>extension </w:t>
      </w:r>
      <w:r>
        <w:rPr>
          <w:color w:val="2E614A"/>
          <w:spacing w:val="-2"/>
        </w:rPr>
        <w:t>framework</w:t>
      </w:r>
    </w:p>
    <w:p>
      <w:pPr>
        <w:pStyle w:val="BodyText"/>
        <w:spacing w:line="266" w:lineRule="auto" w:before="278"/>
        <w:ind w:left="1080"/>
        <w:jc w:val="both"/>
      </w:pPr>
      <w:r>
        <w:rPr>
          <w:b/>
        </w:rPr>
        <w:t>Funding:</w:t>
      </w:r>
      <w:r>
        <w:rPr>
          <w:b/>
          <w:spacing w:val="-14"/>
        </w:rPr>
        <w:t> </w:t>
      </w:r>
      <w:r>
        <w:rPr/>
        <w:t>The</w:t>
      </w:r>
      <w:r>
        <w:rPr>
          <w:spacing w:val="-14"/>
        </w:rPr>
        <w:t> </w:t>
      </w:r>
      <w:r>
        <w:rPr/>
        <w:t>current</w:t>
      </w:r>
      <w:r>
        <w:rPr>
          <w:spacing w:val="-14"/>
        </w:rPr>
        <w:t> </w:t>
      </w:r>
      <w:r>
        <w:rPr/>
        <w:t>allocation</w:t>
      </w:r>
      <w:r>
        <w:rPr>
          <w:spacing w:val="-13"/>
        </w:rPr>
        <w:t> </w:t>
      </w:r>
      <w:r>
        <w:rPr/>
        <w:t>to</w:t>
      </w:r>
      <w:r>
        <w:rPr>
          <w:spacing w:val="-14"/>
        </w:rPr>
        <w:t> </w:t>
      </w:r>
      <w:r>
        <w:rPr/>
        <w:t>agricultural</w:t>
      </w:r>
      <w:r>
        <w:rPr>
          <w:spacing w:val="-14"/>
        </w:rPr>
        <w:t> </w:t>
      </w:r>
      <w:r>
        <w:rPr/>
        <w:t>R&amp;D, which stands at is 0.7 per cent of agriculture GDP, is </w:t>
      </w:r>
      <w:r>
        <w:rPr>
          <w:spacing w:val="-4"/>
        </w:rPr>
        <w:t>grossly</w:t>
      </w:r>
      <w:r>
        <w:rPr>
          <w:spacing w:val="-10"/>
        </w:rPr>
        <w:t> </w:t>
      </w:r>
      <w:r>
        <w:rPr>
          <w:spacing w:val="-4"/>
        </w:rPr>
        <w:t>inadequate.</w:t>
      </w:r>
      <w:r>
        <w:rPr>
          <w:spacing w:val="-10"/>
        </w:rPr>
        <w:t> </w:t>
      </w:r>
      <w:r>
        <w:rPr>
          <w:spacing w:val="-4"/>
        </w:rPr>
        <w:t>This</w:t>
      </w:r>
      <w:r>
        <w:rPr>
          <w:spacing w:val="-10"/>
        </w:rPr>
        <w:t> </w:t>
      </w:r>
      <w:r>
        <w:rPr>
          <w:spacing w:val="-4"/>
        </w:rPr>
        <w:t>funds</w:t>
      </w:r>
      <w:r>
        <w:rPr>
          <w:spacing w:val="-9"/>
        </w:rPr>
        <w:t> </w:t>
      </w:r>
      <w:r>
        <w:rPr>
          <w:spacing w:val="-4"/>
        </w:rPr>
        <w:t>crunch</w:t>
      </w:r>
      <w:r>
        <w:rPr>
          <w:spacing w:val="-10"/>
        </w:rPr>
        <w:t> </w:t>
      </w:r>
      <w:r>
        <w:rPr>
          <w:spacing w:val="-4"/>
        </w:rPr>
        <w:t>is</w:t>
      </w:r>
      <w:r>
        <w:rPr>
          <w:spacing w:val="-10"/>
        </w:rPr>
        <w:t> </w:t>
      </w:r>
      <w:r>
        <w:rPr>
          <w:spacing w:val="-4"/>
        </w:rPr>
        <w:t>the</w:t>
      </w:r>
      <w:r>
        <w:rPr>
          <w:spacing w:val="-10"/>
        </w:rPr>
        <w:t> </w:t>
      </w:r>
      <w:r>
        <w:rPr>
          <w:spacing w:val="-4"/>
        </w:rPr>
        <w:t>main</w:t>
      </w:r>
      <w:r>
        <w:rPr>
          <w:spacing w:val="-9"/>
        </w:rPr>
        <w:t> </w:t>
      </w:r>
      <w:r>
        <w:rPr>
          <w:spacing w:val="-4"/>
        </w:rPr>
        <w:t>factor </w:t>
      </w:r>
      <w:r>
        <w:rPr>
          <w:w w:val="90"/>
        </w:rPr>
        <w:t>behind the disintegration of public systems of agricultural </w:t>
      </w:r>
      <w:r>
        <w:rPr>
          <w:spacing w:val="-4"/>
        </w:rPr>
        <w:t>R&amp;D</w:t>
      </w:r>
      <w:r>
        <w:rPr>
          <w:spacing w:val="-10"/>
        </w:rPr>
        <w:t> </w:t>
      </w:r>
      <w:r>
        <w:rPr>
          <w:spacing w:val="-4"/>
        </w:rPr>
        <w:t>in</w:t>
      </w:r>
      <w:r>
        <w:rPr>
          <w:spacing w:val="-10"/>
        </w:rPr>
        <w:t> </w:t>
      </w:r>
      <w:r>
        <w:rPr>
          <w:spacing w:val="-4"/>
        </w:rPr>
        <w:t>several</w:t>
      </w:r>
      <w:r>
        <w:rPr>
          <w:spacing w:val="-10"/>
        </w:rPr>
        <w:t> </w:t>
      </w:r>
      <w:r>
        <w:rPr>
          <w:spacing w:val="-4"/>
        </w:rPr>
        <w:t>places.</w:t>
      </w:r>
      <w:r>
        <w:rPr>
          <w:spacing w:val="-9"/>
        </w:rPr>
        <w:t> </w:t>
      </w:r>
      <w:r>
        <w:rPr>
          <w:spacing w:val="-4"/>
        </w:rPr>
        <w:t>Today</w:t>
      </w:r>
      <w:r>
        <w:rPr>
          <w:spacing w:val="-10"/>
        </w:rPr>
        <w:t> </w:t>
      </w:r>
      <w:r>
        <w:rPr>
          <w:spacing w:val="-4"/>
        </w:rPr>
        <w:t>almost</w:t>
      </w:r>
      <w:r>
        <w:rPr>
          <w:spacing w:val="-10"/>
        </w:rPr>
        <w:t> </w:t>
      </w:r>
      <w:r>
        <w:rPr>
          <w:spacing w:val="-4"/>
        </w:rPr>
        <w:t>in</w:t>
      </w:r>
      <w:r>
        <w:rPr>
          <w:spacing w:val="-10"/>
        </w:rPr>
        <w:t> </w:t>
      </w:r>
      <w:r>
        <w:rPr>
          <w:spacing w:val="-4"/>
        </w:rPr>
        <w:t>all</w:t>
      </w:r>
      <w:r>
        <w:rPr>
          <w:spacing w:val="-9"/>
        </w:rPr>
        <w:t> </w:t>
      </w:r>
      <w:r>
        <w:rPr>
          <w:spacing w:val="-4"/>
        </w:rPr>
        <w:t>SAUs</w:t>
      </w:r>
      <w:r>
        <w:rPr>
          <w:spacing w:val="-10"/>
        </w:rPr>
        <w:t> </w:t>
      </w:r>
      <w:r>
        <w:rPr>
          <w:spacing w:val="-4"/>
        </w:rPr>
        <w:t>about </w:t>
      </w:r>
      <w:r>
        <w:rPr>
          <w:w w:val="90"/>
        </w:rPr>
        <w:t>80-85 per cent of the budget goes towards salary and other </w:t>
      </w:r>
      <w:r>
        <w:rPr>
          <w:spacing w:val="-4"/>
        </w:rPr>
        <w:t>establishment</w:t>
      </w:r>
      <w:r>
        <w:rPr>
          <w:spacing w:val="-10"/>
        </w:rPr>
        <w:t> </w:t>
      </w:r>
      <w:r>
        <w:rPr>
          <w:spacing w:val="-4"/>
        </w:rPr>
        <w:t>costs.</w:t>
      </w:r>
      <w:r>
        <w:rPr>
          <w:spacing w:val="-10"/>
        </w:rPr>
        <w:t> </w:t>
      </w:r>
      <w:r>
        <w:rPr>
          <w:spacing w:val="-4"/>
        </w:rPr>
        <w:t>The</w:t>
      </w:r>
      <w:r>
        <w:rPr>
          <w:spacing w:val="-7"/>
        </w:rPr>
        <w:t> </w:t>
      </w:r>
      <w:r>
        <w:rPr>
          <w:spacing w:val="-4"/>
        </w:rPr>
        <w:t>ICAR</w:t>
      </w:r>
      <w:r>
        <w:rPr>
          <w:spacing w:val="-6"/>
        </w:rPr>
        <w:t> </w:t>
      </w:r>
      <w:r>
        <w:rPr>
          <w:spacing w:val="-4"/>
        </w:rPr>
        <w:t>share</w:t>
      </w:r>
      <w:r>
        <w:rPr>
          <w:spacing w:val="-6"/>
        </w:rPr>
        <w:t> </w:t>
      </w:r>
      <w:r>
        <w:rPr>
          <w:spacing w:val="-4"/>
        </w:rPr>
        <w:t>also</w:t>
      </w:r>
      <w:r>
        <w:rPr>
          <w:spacing w:val="-6"/>
        </w:rPr>
        <w:t> </w:t>
      </w:r>
      <w:r>
        <w:rPr>
          <w:spacing w:val="-4"/>
        </w:rPr>
        <w:t>has</w:t>
      </w:r>
      <w:r>
        <w:rPr>
          <w:spacing w:val="-6"/>
        </w:rPr>
        <w:t> </w:t>
      </w:r>
      <w:r>
        <w:rPr>
          <w:spacing w:val="-4"/>
        </w:rPr>
        <w:t>dwindled </w:t>
      </w:r>
      <w:r>
        <w:rPr/>
        <w:t>and</w:t>
      </w:r>
      <w:r>
        <w:rPr>
          <w:spacing w:val="-9"/>
        </w:rPr>
        <w:t> </w:t>
      </w:r>
      <w:r>
        <w:rPr/>
        <w:t>varied</w:t>
      </w:r>
      <w:r>
        <w:rPr>
          <w:spacing w:val="-9"/>
        </w:rPr>
        <w:t> </w:t>
      </w:r>
      <w:r>
        <w:rPr/>
        <w:t>from</w:t>
      </w:r>
      <w:r>
        <w:rPr>
          <w:spacing w:val="-9"/>
        </w:rPr>
        <w:t> </w:t>
      </w:r>
      <w:r>
        <w:rPr/>
        <w:t>33</w:t>
      </w:r>
      <w:r>
        <w:rPr>
          <w:spacing w:val="-9"/>
        </w:rPr>
        <w:t> </w:t>
      </w:r>
      <w:r>
        <w:rPr/>
        <w:t>per</w:t>
      </w:r>
      <w:r>
        <w:rPr>
          <w:spacing w:val="-9"/>
        </w:rPr>
        <w:t> </w:t>
      </w:r>
      <w:r>
        <w:rPr/>
        <w:t>cent</w:t>
      </w:r>
      <w:r>
        <w:rPr>
          <w:spacing w:val="-9"/>
        </w:rPr>
        <w:t> </w:t>
      </w:r>
      <w:r>
        <w:rPr/>
        <w:t>in</w:t>
      </w:r>
      <w:r>
        <w:rPr>
          <w:spacing w:val="-8"/>
        </w:rPr>
        <w:t> </w:t>
      </w:r>
      <w:r>
        <w:rPr/>
        <w:t>the</w:t>
      </w:r>
      <w:r>
        <w:rPr>
          <w:spacing w:val="-9"/>
        </w:rPr>
        <w:t> </w:t>
      </w:r>
      <w:r>
        <w:rPr/>
        <w:t>Fifth</w:t>
      </w:r>
      <w:r>
        <w:rPr>
          <w:spacing w:val="-9"/>
        </w:rPr>
        <w:t> </w:t>
      </w:r>
      <w:r>
        <w:rPr/>
        <w:t>Plan</w:t>
      </w:r>
      <w:r>
        <w:rPr>
          <w:spacing w:val="-9"/>
        </w:rPr>
        <w:t> </w:t>
      </w:r>
      <w:r>
        <w:rPr/>
        <w:t>to</w:t>
      </w:r>
      <w:r>
        <w:rPr>
          <w:spacing w:val="-9"/>
        </w:rPr>
        <w:t> </w:t>
      </w:r>
      <w:r>
        <w:rPr>
          <w:spacing w:val="-2"/>
        </w:rPr>
        <w:t>almost</w:t>
      </w:r>
    </w:p>
    <w:p>
      <w:pPr>
        <w:pStyle w:val="BodyText"/>
        <w:spacing w:line="266" w:lineRule="auto" w:before="148"/>
        <w:ind w:left="319" w:right="1077"/>
        <w:jc w:val="both"/>
      </w:pPr>
      <w:r>
        <w:rPr/>
        <w:br w:type="column"/>
      </w:r>
      <w:r>
        <w:rPr/>
        <w:t>9</w:t>
      </w:r>
      <w:r>
        <w:rPr>
          <w:spacing w:val="-13"/>
        </w:rPr>
        <w:t> </w:t>
      </w:r>
      <w:r>
        <w:rPr/>
        <w:t>per</w:t>
      </w:r>
      <w:r>
        <w:rPr>
          <w:spacing w:val="-13"/>
        </w:rPr>
        <w:t> </w:t>
      </w:r>
      <w:r>
        <w:rPr/>
        <w:t>cent</w:t>
      </w:r>
      <w:r>
        <w:rPr>
          <w:spacing w:val="-13"/>
        </w:rPr>
        <w:t> </w:t>
      </w:r>
      <w:r>
        <w:rPr/>
        <w:t>in</w:t>
      </w:r>
      <w:r>
        <w:rPr>
          <w:spacing w:val="-13"/>
        </w:rPr>
        <w:t> </w:t>
      </w:r>
      <w:r>
        <w:rPr/>
        <w:t>the</w:t>
      </w:r>
      <w:r>
        <w:rPr>
          <w:spacing w:val="-13"/>
        </w:rPr>
        <w:t> </w:t>
      </w:r>
      <w:r>
        <w:rPr/>
        <w:t>Eighth</w:t>
      </w:r>
      <w:r>
        <w:rPr>
          <w:spacing w:val="-13"/>
        </w:rPr>
        <w:t> </w:t>
      </w:r>
      <w:r>
        <w:rPr/>
        <w:t>Plan.</w:t>
      </w:r>
      <w:r>
        <w:rPr>
          <w:spacing w:val="-13"/>
        </w:rPr>
        <w:t> </w:t>
      </w:r>
      <w:r>
        <w:rPr/>
        <w:t>In</w:t>
      </w:r>
      <w:r>
        <w:rPr>
          <w:spacing w:val="-13"/>
        </w:rPr>
        <w:t> </w:t>
      </w:r>
      <w:r>
        <w:rPr/>
        <w:t>all</w:t>
      </w:r>
      <w:r>
        <w:rPr>
          <w:spacing w:val="-13"/>
        </w:rPr>
        <w:t> </w:t>
      </w:r>
      <w:r>
        <w:rPr/>
        <w:t>SAUs,</w:t>
      </w:r>
      <w:r>
        <w:rPr>
          <w:spacing w:val="-13"/>
        </w:rPr>
        <w:t> </w:t>
      </w:r>
      <w:r>
        <w:rPr/>
        <w:t>25</w:t>
      </w:r>
      <w:r>
        <w:rPr>
          <w:spacing w:val="-13"/>
        </w:rPr>
        <w:t> </w:t>
      </w:r>
      <w:r>
        <w:rPr/>
        <w:t>to</w:t>
      </w:r>
      <w:r>
        <w:rPr>
          <w:spacing w:val="-13"/>
        </w:rPr>
        <w:t> </w:t>
      </w:r>
      <w:r>
        <w:rPr/>
        <w:t>30</w:t>
      </w:r>
      <w:r>
        <w:rPr>
          <w:spacing w:val="-13"/>
        </w:rPr>
        <w:t> </w:t>
      </w:r>
      <w:r>
        <w:rPr/>
        <w:t>per </w:t>
      </w:r>
      <w:r>
        <w:rPr>
          <w:spacing w:val="-4"/>
        </w:rPr>
        <w:t>cent</w:t>
      </w:r>
      <w:r>
        <w:rPr>
          <w:spacing w:val="-9"/>
        </w:rPr>
        <w:t> </w:t>
      </w:r>
      <w:r>
        <w:rPr>
          <w:spacing w:val="-4"/>
        </w:rPr>
        <w:t>posts</w:t>
      </w:r>
      <w:r>
        <w:rPr>
          <w:spacing w:val="-9"/>
        </w:rPr>
        <w:t> </w:t>
      </w:r>
      <w:r>
        <w:rPr>
          <w:spacing w:val="-4"/>
        </w:rPr>
        <w:t>are</w:t>
      </w:r>
      <w:r>
        <w:rPr>
          <w:spacing w:val="-9"/>
        </w:rPr>
        <w:t> </w:t>
      </w:r>
      <w:r>
        <w:rPr>
          <w:spacing w:val="-4"/>
        </w:rPr>
        <w:t>not</w:t>
      </w:r>
      <w:r>
        <w:rPr>
          <w:spacing w:val="-9"/>
        </w:rPr>
        <w:t> </w:t>
      </w:r>
      <w:r>
        <w:rPr>
          <w:spacing w:val="-4"/>
        </w:rPr>
        <w:t>filled</w:t>
      </w:r>
      <w:r>
        <w:rPr>
          <w:spacing w:val="-9"/>
        </w:rPr>
        <w:t> </w:t>
      </w:r>
      <w:r>
        <w:rPr>
          <w:spacing w:val="-4"/>
        </w:rPr>
        <w:t>on</w:t>
      </w:r>
      <w:r>
        <w:rPr>
          <w:spacing w:val="-9"/>
        </w:rPr>
        <w:t> </w:t>
      </w:r>
      <w:r>
        <w:rPr>
          <w:spacing w:val="-4"/>
        </w:rPr>
        <w:t>account</w:t>
      </w:r>
      <w:r>
        <w:rPr>
          <w:spacing w:val="-9"/>
        </w:rPr>
        <w:t> </w:t>
      </w:r>
      <w:r>
        <w:rPr>
          <w:spacing w:val="-4"/>
        </w:rPr>
        <w:t>of</w:t>
      </w:r>
      <w:r>
        <w:rPr>
          <w:spacing w:val="-9"/>
        </w:rPr>
        <w:t> </w:t>
      </w:r>
      <w:r>
        <w:rPr>
          <w:spacing w:val="-4"/>
        </w:rPr>
        <w:t>squeeze</w:t>
      </w:r>
      <w:r>
        <w:rPr>
          <w:spacing w:val="-9"/>
        </w:rPr>
        <w:t> </w:t>
      </w:r>
      <w:r>
        <w:rPr>
          <w:spacing w:val="-4"/>
        </w:rPr>
        <w:t>in</w:t>
      </w:r>
      <w:r>
        <w:rPr>
          <w:spacing w:val="-9"/>
        </w:rPr>
        <w:t> </w:t>
      </w:r>
      <w:r>
        <w:rPr>
          <w:spacing w:val="-4"/>
        </w:rPr>
        <w:t>budge</w:t>
      </w:r>
      <w:r>
        <w:rPr>
          <w:spacing w:val="-4"/>
        </w:rPr>
        <w:t>t</w:t>
      </w:r>
      <w:r>
        <w:rPr>
          <w:spacing w:val="-4"/>
        </w:rPr>
        <w:t> </w:t>
      </w:r>
      <w:r>
        <w:rPr/>
        <w:t>and</w:t>
      </w:r>
      <w:r>
        <w:rPr>
          <w:spacing w:val="-7"/>
        </w:rPr>
        <w:t> </w:t>
      </w:r>
      <w:r>
        <w:rPr/>
        <w:t>this</w:t>
      </w:r>
      <w:r>
        <w:rPr>
          <w:spacing w:val="-7"/>
        </w:rPr>
        <w:t> </w:t>
      </w:r>
      <w:r>
        <w:rPr/>
        <w:t>has</w:t>
      </w:r>
      <w:r>
        <w:rPr>
          <w:spacing w:val="-7"/>
        </w:rPr>
        <w:t> </w:t>
      </w:r>
      <w:r>
        <w:rPr/>
        <w:t>seriously</w:t>
      </w:r>
      <w:r>
        <w:rPr>
          <w:spacing w:val="-7"/>
        </w:rPr>
        <w:t> </w:t>
      </w:r>
      <w:r>
        <w:rPr/>
        <w:t>impacted</w:t>
      </w:r>
      <w:r>
        <w:rPr>
          <w:spacing w:val="-7"/>
        </w:rPr>
        <w:t> </w:t>
      </w:r>
      <w:r>
        <w:rPr/>
        <w:t>quality</w:t>
      </w:r>
      <w:r>
        <w:rPr>
          <w:spacing w:val="-7"/>
        </w:rPr>
        <w:t> </w:t>
      </w:r>
      <w:r>
        <w:rPr/>
        <w:t>of</w:t>
      </w:r>
      <w:r>
        <w:rPr>
          <w:spacing w:val="-7"/>
        </w:rPr>
        <w:t> </w:t>
      </w:r>
      <w:r>
        <w:rPr/>
        <w:t>instruction.</w:t>
      </w:r>
      <w:r>
        <w:rPr/>
        <w:t> </w:t>
      </w:r>
      <w:r>
        <w:rPr>
          <w:spacing w:val="-6"/>
        </w:rPr>
        <w:t>Allocations to this sector must be significantly increase</w:t>
      </w:r>
      <w:r>
        <w:rPr>
          <w:spacing w:val="-6"/>
        </w:rPr>
        <w:t>d</w:t>
      </w:r>
      <w:r>
        <w:rPr>
          <w:spacing w:val="-6"/>
        </w:rPr>
        <w:t> </w:t>
      </w:r>
      <w:r>
        <w:rPr/>
        <w:t>both at the Centre (to at least 1 per cent of GDP) and in states.</w:t>
      </w:r>
    </w:p>
    <w:p>
      <w:pPr>
        <w:pStyle w:val="BodyText"/>
        <w:spacing w:before="22"/>
      </w:pPr>
    </w:p>
    <w:p>
      <w:pPr>
        <w:pStyle w:val="BodyText"/>
        <w:spacing w:line="266" w:lineRule="auto"/>
        <w:ind w:left="319" w:right="1078"/>
        <w:jc w:val="both"/>
      </w:pPr>
      <w:r>
        <w:rPr>
          <w:b/>
          <w:spacing w:val="-4"/>
          <w:w w:val="90"/>
        </w:rPr>
        <w:t>Infrastructure</w:t>
      </w:r>
      <w:r>
        <w:rPr>
          <w:b/>
          <w:spacing w:val="-2"/>
        </w:rPr>
        <w:t> </w:t>
      </w:r>
      <w:r>
        <w:rPr>
          <w:b/>
          <w:spacing w:val="-4"/>
          <w:w w:val="90"/>
        </w:rPr>
        <w:t>and</w:t>
      </w:r>
      <w:r>
        <w:rPr>
          <w:b/>
          <w:spacing w:val="-2"/>
        </w:rPr>
        <w:t> </w:t>
      </w:r>
      <w:r>
        <w:rPr>
          <w:b/>
          <w:spacing w:val="-4"/>
          <w:w w:val="90"/>
        </w:rPr>
        <w:t>human</w:t>
      </w:r>
      <w:r>
        <w:rPr>
          <w:b/>
          <w:spacing w:val="-2"/>
        </w:rPr>
        <w:t> </w:t>
      </w:r>
      <w:r>
        <w:rPr>
          <w:b/>
          <w:spacing w:val="-4"/>
          <w:w w:val="90"/>
        </w:rPr>
        <w:t>resources:</w:t>
      </w:r>
      <w:r>
        <w:rPr>
          <w:b/>
          <w:spacing w:val="-2"/>
        </w:rPr>
        <w:t> </w:t>
      </w:r>
      <w:r>
        <w:rPr>
          <w:spacing w:val="-4"/>
          <w:w w:val="90"/>
        </w:rPr>
        <w:t>The financial crunch </w:t>
      </w:r>
      <w:r>
        <w:rPr>
          <w:spacing w:val="-4"/>
        </w:rPr>
        <w:t>coupled</w:t>
      </w:r>
      <w:r>
        <w:rPr>
          <w:spacing w:val="-5"/>
        </w:rPr>
        <w:t> </w:t>
      </w:r>
      <w:r>
        <w:rPr>
          <w:spacing w:val="-4"/>
        </w:rPr>
        <w:t>with</w:t>
      </w:r>
      <w:r>
        <w:rPr>
          <w:spacing w:val="-5"/>
        </w:rPr>
        <w:t> </w:t>
      </w:r>
      <w:r>
        <w:rPr>
          <w:spacing w:val="-4"/>
        </w:rPr>
        <w:t>bureaucratic</w:t>
      </w:r>
      <w:r>
        <w:rPr>
          <w:spacing w:val="-5"/>
        </w:rPr>
        <w:t> </w:t>
      </w:r>
      <w:r>
        <w:rPr>
          <w:spacing w:val="-4"/>
        </w:rPr>
        <w:t>rigidities</w:t>
      </w:r>
      <w:r>
        <w:rPr>
          <w:spacing w:val="-5"/>
        </w:rPr>
        <w:t> </w:t>
      </w:r>
      <w:r>
        <w:rPr>
          <w:spacing w:val="-4"/>
        </w:rPr>
        <w:t>has</w:t>
      </w:r>
      <w:r>
        <w:rPr>
          <w:spacing w:val="-5"/>
        </w:rPr>
        <w:t> </w:t>
      </w:r>
      <w:r>
        <w:rPr>
          <w:spacing w:val="-4"/>
        </w:rPr>
        <w:t>caused</w:t>
      </w:r>
      <w:r>
        <w:rPr>
          <w:spacing w:val="-5"/>
        </w:rPr>
        <w:t> </w:t>
      </w:r>
      <w:r>
        <w:rPr>
          <w:spacing w:val="-4"/>
        </w:rPr>
        <w:t>colossal </w:t>
      </w:r>
      <w:r>
        <w:rPr>
          <w:spacing w:val="-2"/>
        </w:rPr>
        <w:t>gaps</w:t>
      </w:r>
      <w:r>
        <w:rPr>
          <w:spacing w:val="-6"/>
        </w:rPr>
        <w:t> </w:t>
      </w:r>
      <w:r>
        <w:rPr>
          <w:spacing w:val="-2"/>
        </w:rPr>
        <w:t>both</w:t>
      </w:r>
      <w:r>
        <w:rPr>
          <w:spacing w:val="-6"/>
        </w:rPr>
        <w:t> </w:t>
      </w:r>
      <w:r>
        <w:rPr>
          <w:spacing w:val="-2"/>
        </w:rPr>
        <w:t>in</w:t>
      </w:r>
      <w:r>
        <w:rPr>
          <w:spacing w:val="-6"/>
        </w:rPr>
        <w:t> </w:t>
      </w:r>
      <w:r>
        <w:rPr>
          <w:spacing w:val="-2"/>
        </w:rPr>
        <w:t>basic</w:t>
      </w:r>
      <w:r>
        <w:rPr>
          <w:spacing w:val="-6"/>
        </w:rPr>
        <w:t> </w:t>
      </w:r>
      <w:r>
        <w:rPr>
          <w:spacing w:val="-2"/>
        </w:rPr>
        <w:t>infrastructure</w:t>
      </w:r>
      <w:r>
        <w:rPr>
          <w:spacing w:val="-6"/>
        </w:rPr>
        <w:t> </w:t>
      </w:r>
      <w:r>
        <w:rPr>
          <w:spacing w:val="-2"/>
        </w:rPr>
        <w:t>and</w:t>
      </w:r>
      <w:r>
        <w:rPr>
          <w:spacing w:val="-6"/>
        </w:rPr>
        <w:t> </w:t>
      </w:r>
      <w:r>
        <w:rPr>
          <w:spacing w:val="-2"/>
        </w:rPr>
        <w:t>human</w:t>
      </w:r>
      <w:r>
        <w:rPr>
          <w:spacing w:val="-6"/>
        </w:rPr>
        <w:t> </w:t>
      </w:r>
      <w:r>
        <w:rPr>
          <w:spacing w:val="-2"/>
        </w:rPr>
        <w:t>resources. </w:t>
      </w:r>
      <w:r>
        <w:rPr>
          <w:spacing w:val="-4"/>
        </w:rPr>
        <w:t>Lack</w:t>
      </w:r>
      <w:r>
        <w:rPr>
          <w:spacing w:val="-2"/>
        </w:rPr>
        <w:t> </w:t>
      </w:r>
      <w:r>
        <w:rPr>
          <w:spacing w:val="-4"/>
        </w:rPr>
        <w:t>of</w:t>
      </w:r>
      <w:r>
        <w:rPr>
          <w:spacing w:val="-2"/>
        </w:rPr>
        <w:t> </w:t>
      </w:r>
      <w:r>
        <w:rPr>
          <w:spacing w:val="-4"/>
        </w:rPr>
        <w:t>water,</w:t>
      </w:r>
      <w:r>
        <w:rPr>
          <w:spacing w:val="-2"/>
        </w:rPr>
        <w:t> </w:t>
      </w:r>
      <w:r>
        <w:rPr>
          <w:spacing w:val="-4"/>
        </w:rPr>
        <w:t>power,</w:t>
      </w:r>
      <w:r>
        <w:rPr>
          <w:spacing w:val="-2"/>
        </w:rPr>
        <w:t> </w:t>
      </w:r>
      <w:r>
        <w:rPr>
          <w:spacing w:val="-4"/>
        </w:rPr>
        <w:t>basic</w:t>
      </w:r>
      <w:r>
        <w:rPr>
          <w:spacing w:val="-2"/>
        </w:rPr>
        <w:t> </w:t>
      </w:r>
      <w:r>
        <w:rPr>
          <w:spacing w:val="-4"/>
        </w:rPr>
        <w:t>equipment</w:t>
      </w:r>
      <w:r>
        <w:rPr>
          <w:spacing w:val="-2"/>
        </w:rPr>
        <w:t> </w:t>
      </w:r>
      <w:r>
        <w:rPr>
          <w:spacing w:val="-4"/>
        </w:rPr>
        <w:t>like</w:t>
      </w:r>
      <w:r>
        <w:rPr>
          <w:spacing w:val="-2"/>
        </w:rPr>
        <w:t> </w:t>
      </w:r>
      <w:r>
        <w:rPr>
          <w:spacing w:val="-4"/>
        </w:rPr>
        <w:t>cell</w:t>
      </w:r>
      <w:r>
        <w:rPr>
          <w:spacing w:val="-1"/>
        </w:rPr>
        <w:t> </w:t>
      </w:r>
      <w:r>
        <w:rPr>
          <w:spacing w:val="-4"/>
        </w:rPr>
        <w:t>phones</w:t>
      </w:r>
    </w:p>
    <w:p>
      <w:pPr>
        <w:spacing w:after="0" w:line="266" w:lineRule="auto"/>
        <w:jc w:val="both"/>
        <w:sectPr>
          <w:type w:val="continuous"/>
          <w:pgSz w:w="11910" w:h="16840"/>
          <w:pgMar w:header="0" w:footer="675" w:top="1920" w:bottom="280" w:left="0" w:right="0"/>
          <w:cols w:num="2" w:equalWidth="0">
            <w:col w:w="5774" w:space="40"/>
            <w:col w:w="6096"/>
          </w:cols>
        </w:sectPr>
      </w:pPr>
    </w:p>
    <w:p>
      <w:pPr>
        <w:pStyle w:val="BodyText"/>
        <w:spacing w:line="266" w:lineRule="auto" w:before="57"/>
        <w:ind w:left="1080"/>
        <w:jc w:val="both"/>
      </w:pPr>
      <w:r>
        <w:rPr>
          <w:spacing w:val="-4"/>
        </w:rPr>
        <w:t>and</w:t>
      </w:r>
      <w:r>
        <w:rPr>
          <w:spacing w:val="-10"/>
        </w:rPr>
        <w:t> </w:t>
      </w:r>
      <w:r>
        <w:rPr>
          <w:spacing w:val="-4"/>
        </w:rPr>
        <w:t>vans,</w:t>
      </w:r>
      <w:r>
        <w:rPr>
          <w:spacing w:val="-10"/>
        </w:rPr>
        <w:t> </w:t>
      </w:r>
      <w:r>
        <w:rPr>
          <w:spacing w:val="-4"/>
        </w:rPr>
        <w:t>vacancies</w:t>
      </w:r>
      <w:r>
        <w:rPr>
          <w:spacing w:val="-10"/>
        </w:rPr>
        <w:t> </w:t>
      </w:r>
      <w:r>
        <w:rPr>
          <w:spacing w:val="-4"/>
        </w:rPr>
        <w:t>in</w:t>
      </w:r>
      <w:r>
        <w:rPr>
          <w:spacing w:val="-9"/>
        </w:rPr>
        <w:t> </w:t>
      </w:r>
      <w:r>
        <w:rPr>
          <w:spacing w:val="-4"/>
        </w:rPr>
        <w:t>the</w:t>
      </w:r>
      <w:r>
        <w:rPr>
          <w:spacing w:val="-10"/>
        </w:rPr>
        <w:t> </w:t>
      </w:r>
      <w:r>
        <w:rPr>
          <w:spacing w:val="-4"/>
        </w:rPr>
        <w:t>scientific</w:t>
      </w:r>
      <w:r>
        <w:rPr>
          <w:spacing w:val="-10"/>
        </w:rPr>
        <w:t> </w:t>
      </w:r>
      <w:r>
        <w:rPr>
          <w:spacing w:val="-4"/>
        </w:rPr>
        <w:t>posts</w:t>
      </w:r>
      <w:r>
        <w:rPr>
          <w:spacing w:val="-10"/>
        </w:rPr>
        <w:t> </w:t>
      </w:r>
      <w:r>
        <w:rPr>
          <w:spacing w:val="-4"/>
        </w:rPr>
        <w:t>in</w:t>
      </w:r>
      <w:r>
        <w:rPr>
          <w:spacing w:val="-9"/>
        </w:rPr>
        <w:t> </w:t>
      </w:r>
      <w:r>
        <w:rPr>
          <w:spacing w:val="-4"/>
        </w:rPr>
        <w:t>agricultural </w:t>
      </w:r>
      <w:r>
        <w:rPr/>
        <w:t>universities</w:t>
      </w:r>
      <w:r>
        <w:rPr>
          <w:spacing w:val="-2"/>
        </w:rPr>
        <w:t> </w:t>
      </w:r>
      <w:r>
        <w:rPr/>
        <w:t>and</w:t>
      </w:r>
      <w:r>
        <w:rPr>
          <w:spacing w:val="-2"/>
        </w:rPr>
        <w:t> </w:t>
      </w:r>
      <w:r>
        <w:rPr/>
        <w:t>understaffing</w:t>
      </w:r>
      <w:r>
        <w:rPr>
          <w:spacing w:val="-2"/>
        </w:rPr>
        <w:t> </w:t>
      </w:r>
      <w:r>
        <w:rPr/>
        <w:t>of</w:t>
      </w:r>
      <w:r>
        <w:rPr>
          <w:spacing w:val="-2"/>
        </w:rPr>
        <w:t> </w:t>
      </w:r>
      <w:r>
        <w:rPr/>
        <w:t>extension</w:t>
      </w:r>
      <w:r>
        <w:rPr>
          <w:spacing w:val="-2"/>
        </w:rPr>
        <w:t> </w:t>
      </w:r>
      <w:r>
        <w:rPr/>
        <w:t>providing </w:t>
      </w:r>
      <w:r>
        <w:rPr>
          <w:w w:val="90"/>
        </w:rPr>
        <w:t>bodies</w:t>
      </w:r>
      <w:r>
        <w:rPr>
          <w:spacing w:val="-3"/>
          <w:w w:val="90"/>
        </w:rPr>
        <w:t> </w:t>
      </w:r>
      <w:r>
        <w:rPr>
          <w:w w:val="90"/>
        </w:rPr>
        <w:t>by</w:t>
      </w:r>
      <w:r>
        <w:rPr>
          <w:spacing w:val="-3"/>
          <w:w w:val="90"/>
        </w:rPr>
        <w:t> </w:t>
      </w:r>
      <w:r>
        <w:rPr>
          <w:w w:val="90"/>
        </w:rPr>
        <w:t>underpaid</w:t>
      </w:r>
      <w:r>
        <w:rPr>
          <w:spacing w:val="-3"/>
          <w:w w:val="90"/>
        </w:rPr>
        <w:t> </w:t>
      </w:r>
      <w:r>
        <w:rPr>
          <w:w w:val="90"/>
        </w:rPr>
        <w:t>workers</w:t>
      </w:r>
      <w:r>
        <w:rPr>
          <w:spacing w:val="-3"/>
          <w:w w:val="90"/>
        </w:rPr>
        <w:t> </w:t>
      </w:r>
      <w:r>
        <w:rPr>
          <w:w w:val="90"/>
        </w:rPr>
        <w:t>are</w:t>
      </w:r>
      <w:r>
        <w:rPr>
          <w:spacing w:val="-3"/>
          <w:w w:val="90"/>
        </w:rPr>
        <w:t> </w:t>
      </w:r>
      <w:r>
        <w:rPr>
          <w:w w:val="90"/>
        </w:rPr>
        <w:t>just</w:t>
      </w:r>
      <w:r>
        <w:rPr>
          <w:spacing w:val="-3"/>
          <w:w w:val="90"/>
        </w:rPr>
        <w:t> </w:t>
      </w:r>
      <w:r>
        <w:rPr>
          <w:w w:val="90"/>
        </w:rPr>
        <w:t>some</w:t>
      </w:r>
      <w:r>
        <w:rPr>
          <w:spacing w:val="-3"/>
          <w:w w:val="90"/>
        </w:rPr>
        <w:t> </w:t>
      </w:r>
      <w:r>
        <w:rPr>
          <w:w w:val="90"/>
        </w:rPr>
        <w:t>of</w:t>
      </w:r>
      <w:r>
        <w:rPr>
          <w:spacing w:val="-3"/>
          <w:w w:val="90"/>
        </w:rPr>
        <w:t> </w:t>
      </w:r>
      <w:r>
        <w:rPr>
          <w:w w:val="90"/>
        </w:rPr>
        <w:t>the</w:t>
      </w:r>
      <w:r>
        <w:rPr>
          <w:spacing w:val="-3"/>
          <w:w w:val="90"/>
        </w:rPr>
        <w:t> </w:t>
      </w:r>
      <w:r>
        <w:rPr>
          <w:w w:val="90"/>
        </w:rPr>
        <w:t>problems </w:t>
      </w:r>
      <w:r>
        <w:rPr>
          <w:spacing w:val="-2"/>
        </w:rPr>
        <w:t>plaguing</w:t>
      </w:r>
      <w:r>
        <w:rPr>
          <w:spacing w:val="-12"/>
        </w:rPr>
        <w:t> </w:t>
      </w:r>
      <w:r>
        <w:rPr>
          <w:spacing w:val="-2"/>
        </w:rPr>
        <w:t>public</w:t>
      </w:r>
      <w:r>
        <w:rPr>
          <w:spacing w:val="-12"/>
        </w:rPr>
        <w:t> </w:t>
      </w:r>
      <w:r>
        <w:rPr>
          <w:spacing w:val="-2"/>
        </w:rPr>
        <w:t>research</w:t>
      </w:r>
      <w:r>
        <w:rPr>
          <w:spacing w:val="-12"/>
        </w:rPr>
        <w:t> </w:t>
      </w:r>
      <w:r>
        <w:rPr>
          <w:spacing w:val="-2"/>
        </w:rPr>
        <w:t>and</w:t>
      </w:r>
      <w:r>
        <w:rPr>
          <w:spacing w:val="-11"/>
        </w:rPr>
        <w:t> </w:t>
      </w:r>
      <w:r>
        <w:rPr>
          <w:spacing w:val="-2"/>
        </w:rPr>
        <w:t>extension</w:t>
      </w:r>
      <w:r>
        <w:rPr>
          <w:spacing w:val="-12"/>
        </w:rPr>
        <w:t> </w:t>
      </w:r>
      <w:r>
        <w:rPr>
          <w:spacing w:val="-2"/>
        </w:rPr>
        <w:t>units.</w:t>
      </w:r>
    </w:p>
    <w:p>
      <w:pPr>
        <w:pStyle w:val="BodyText"/>
        <w:spacing w:before="24"/>
      </w:pPr>
    </w:p>
    <w:p>
      <w:pPr>
        <w:pStyle w:val="BodyText"/>
        <w:spacing w:line="266" w:lineRule="auto"/>
        <w:ind w:left="1079"/>
        <w:jc w:val="both"/>
      </w:pPr>
      <w:r>
        <w:rPr>
          <w:b/>
        </w:rPr>
        <w:t>Service providers outside the public sector: </w:t>
      </w:r>
      <w:r>
        <w:rPr/>
        <w:t>The </w:t>
      </w:r>
      <w:r>
        <w:rPr>
          <w:spacing w:val="-2"/>
        </w:rPr>
        <w:t>Farmers</w:t>
      </w:r>
      <w:r>
        <w:rPr>
          <w:spacing w:val="-12"/>
        </w:rPr>
        <w:t> </w:t>
      </w:r>
      <w:r>
        <w:rPr>
          <w:spacing w:val="-2"/>
        </w:rPr>
        <w:t>Commission</w:t>
      </w:r>
      <w:r>
        <w:rPr>
          <w:spacing w:val="-12"/>
        </w:rPr>
        <w:t> </w:t>
      </w:r>
      <w:r>
        <w:rPr>
          <w:spacing w:val="-2"/>
        </w:rPr>
        <w:t>Report</w:t>
      </w:r>
      <w:r>
        <w:rPr>
          <w:spacing w:val="-12"/>
        </w:rPr>
        <w:t> </w:t>
      </w:r>
      <w:r>
        <w:rPr>
          <w:spacing w:val="-2"/>
        </w:rPr>
        <w:t>testified</w:t>
      </w:r>
      <w:r>
        <w:rPr>
          <w:spacing w:val="-11"/>
        </w:rPr>
        <w:t> </w:t>
      </w:r>
      <w:r>
        <w:rPr>
          <w:spacing w:val="-2"/>
        </w:rPr>
        <w:t>that</w:t>
      </w:r>
      <w:r>
        <w:rPr>
          <w:spacing w:val="-12"/>
        </w:rPr>
        <w:t> </w:t>
      </w:r>
      <w:r>
        <w:rPr>
          <w:spacing w:val="-2"/>
        </w:rPr>
        <w:t>in</w:t>
      </w:r>
      <w:r>
        <w:rPr>
          <w:spacing w:val="-12"/>
        </w:rPr>
        <w:t> </w:t>
      </w:r>
      <w:r>
        <w:rPr>
          <w:spacing w:val="-2"/>
        </w:rPr>
        <w:t>the</w:t>
      </w:r>
      <w:r>
        <w:rPr>
          <w:spacing w:val="-12"/>
        </w:rPr>
        <w:t> </w:t>
      </w:r>
      <w:r>
        <w:rPr>
          <w:spacing w:val="-2"/>
        </w:rPr>
        <w:t>40</w:t>
      </w:r>
      <w:r>
        <w:rPr>
          <w:spacing w:val="-11"/>
        </w:rPr>
        <w:t> </w:t>
      </w:r>
      <w:r>
        <w:rPr>
          <w:spacing w:val="-2"/>
        </w:rPr>
        <w:t>per cent</w:t>
      </w:r>
      <w:r>
        <w:rPr>
          <w:spacing w:val="-9"/>
        </w:rPr>
        <w:t> </w:t>
      </w:r>
      <w:r>
        <w:rPr>
          <w:spacing w:val="-2"/>
        </w:rPr>
        <w:t>of</w:t>
      </w:r>
      <w:r>
        <w:rPr>
          <w:spacing w:val="-9"/>
        </w:rPr>
        <w:t> </w:t>
      </w:r>
      <w:r>
        <w:rPr>
          <w:spacing w:val="-2"/>
        </w:rPr>
        <w:t>farmer</w:t>
      </w:r>
      <w:r>
        <w:rPr>
          <w:spacing w:val="-9"/>
        </w:rPr>
        <w:t> </w:t>
      </w:r>
      <w:r>
        <w:rPr>
          <w:spacing w:val="-2"/>
        </w:rPr>
        <w:t>households</w:t>
      </w:r>
      <w:r>
        <w:rPr>
          <w:spacing w:val="-9"/>
        </w:rPr>
        <w:t> </w:t>
      </w:r>
      <w:r>
        <w:rPr>
          <w:spacing w:val="-2"/>
        </w:rPr>
        <w:t>at</w:t>
      </w:r>
      <w:r>
        <w:rPr>
          <w:spacing w:val="-9"/>
        </w:rPr>
        <w:t> </w:t>
      </w:r>
      <w:r>
        <w:rPr>
          <w:spacing w:val="-2"/>
        </w:rPr>
        <w:t>an</w:t>
      </w:r>
      <w:r>
        <w:rPr>
          <w:spacing w:val="-9"/>
        </w:rPr>
        <w:t> </w:t>
      </w:r>
      <w:r>
        <w:rPr>
          <w:spacing w:val="-2"/>
        </w:rPr>
        <w:t>all-India</w:t>
      </w:r>
      <w:r>
        <w:rPr>
          <w:spacing w:val="-9"/>
        </w:rPr>
        <w:t> </w:t>
      </w:r>
      <w:r>
        <w:rPr>
          <w:spacing w:val="-2"/>
        </w:rPr>
        <w:t>level</w:t>
      </w:r>
      <w:r>
        <w:rPr>
          <w:spacing w:val="-9"/>
        </w:rPr>
        <w:t> </w:t>
      </w:r>
      <w:r>
        <w:rPr>
          <w:spacing w:val="-2"/>
        </w:rPr>
        <w:t>who</w:t>
      </w:r>
      <w:r>
        <w:rPr>
          <w:spacing w:val="-8"/>
        </w:rPr>
        <w:t> </w:t>
      </w:r>
      <w:r>
        <w:rPr>
          <w:i/>
          <w:spacing w:val="-2"/>
        </w:rPr>
        <w:t>did </w:t>
      </w:r>
      <w:r>
        <w:rPr>
          <w:spacing w:val="-4"/>
        </w:rPr>
        <w:t>access</w:t>
      </w:r>
      <w:r>
        <w:rPr>
          <w:spacing w:val="-6"/>
        </w:rPr>
        <w:t> </w:t>
      </w:r>
      <w:r>
        <w:rPr>
          <w:spacing w:val="-4"/>
        </w:rPr>
        <w:t>modern</w:t>
      </w:r>
      <w:r>
        <w:rPr>
          <w:spacing w:val="-6"/>
        </w:rPr>
        <w:t> </w:t>
      </w:r>
      <w:r>
        <w:rPr>
          <w:spacing w:val="-4"/>
        </w:rPr>
        <w:t>technology,</w:t>
      </w:r>
      <w:r>
        <w:rPr>
          <w:spacing w:val="-6"/>
        </w:rPr>
        <w:t> </w:t>
      </w:r>
      <w:r>
        <w:rPr>
          <w:spacing w:val="-4"/>
        </w:rPr>
        <w:t>“other</w:t>
      </w:r>
      <w:r>
        <w:rPr>
          <w:spacing w:val="-6"/>
        </w:rPr>
        <w:t> </w:t>
      </w:r>
      <w:r>
        <w:rPr>
          <w:spacing w:val="-4"/>
        </w:rPr>
        <w:t>progressive</w:t>
      </w:r>
      <w:r>
        <w:rPr>
          <w:spacing w:val="-6"/>
        </w:rPr>
        <w:t> </w:t>
      </w:r>
      <w:r>
        <w:rPr>
          <w:spacing w:val="-4"/>
        </w:rPr>
        <w:t>farmers” </w:t>
      </w:r>
      <w:r>
        <w:rPr/>
        <w:t>emerged as the most popular source (16.7 per cent); </w:t>
      </w:r>
      <w:r>
        <w:rPr>
          <w:spacing w:val="-2"/>
        </w:rPr>
        <w:t>followed</w:t>
      </w:r>
      <w:r>
        <w:rPr>
          <w:spacing w:val="-12"/>
        </w:rPr>
        <w:t> </w:t>
      </w:r>
      <w:r>
        <w:rPr>
          <w:spacing w:val="-2"/>
        </w:rPr>
        <w:t>by</w:t>
      </w:r>
      <w:r>
        <w:rPr>
          <w:spacing w:val="-12"/>
        </w:rPr>
        <w:t> </w:t>
      </w:r>
      <w:r>
        <w:rPr>
          <w:spacing w:val="-2"/>
        </w:rPr>
        <w:t>“input</w:t>
      </w:r>
      <w:r>
        <w:rPr>
          <w:spacing w:val="-12"/>
        </w:rPr>
        <w:t> </w:t>
      </w:r>
      <w:r>
        <w:rPr>
          <w:spacing w:val="-2"/>
        </w:rPr>
        <w:t>dealers”</w:t>
      </w:r>
      <w:r>
        <w:rPr>
          <w:spacing w:val="-11"/>
        </w:rPr>
        <w:t> </w:t>
      </w:r>
      <w:r>
        <w:rPr>
          <w:spacing w:val="-2"/>
        </w:rPr>
        <w:t>(13.1</w:t>
      </w:r>
      <w:r>
        <w:rPr>
          <w:spacing w:val="-12"/>
        </w:rPr>
        <w:t> </w:t>
      </w:r>
      <w:r>
        <w:rPr>
          <w:spacing w:val="-2"/>
        </w:rPr>
        <w:t>per</w:t>
      </w:r>
      <w:r>
        <w:rPr>
          <w:spacing w:val="-12"/>
        </w:rPr>
        <w:t> </w:t>
      </w:r>
      <w:r>
        <w:rPr>
          <w:spacing w:val="-2"/>
        </w:rPr>
        <w:t>cent)</w:t>
      </w:r>
      <w:r>
        <w:rPr>
          <w:spacing w:val="-12"/>
        </w:rPr>
        <w:t> </w:t>
      </w:r>
      <w:r>
        <w:rPr>
          <w:spacing w:val="-2"/>
        </w:rPr>
        <w:t>and</w:t>
      </w:r>
      <w:r>
        <w:rPr>
          <w:spacing w:val="-11"/>
        </w:rPr>
        <w:t> </w:t>
      </w:r>
      <w:r>
        <w:rPr>
          <w:spacing w:val="-2"/>
        </w:rPr>
        <w:t>“radio” </w:t>
      </w:r>
      <w:r>
        <w:rPr/>
        <w:t>(13 per cent). Private R&amp;D institutes and demand- driven extension service providers have entered the agricultural</w:t>
      </w:r>
      <w:r>
        <w:rPr>
          <w:spacing w:val="-14"/>
        </w:rPr>
        <w:t> </w:t>
      </w:r>
      <w:r>
        <w:rPr/>
        <w:t>economy</w:t>
      </w:r>
      <w:r>
        <w:rPr>
          <w:spacing w:val="-14"/>
        </w:rPr>
        <w:t> </w:t>
      </w:r>
      <w:r>
        <w:rPr/>
        <w:t>in</w:t>
      </w:r>
      <w:r>
        <w:rPr>
          <w:spacing w:val="-14"/>
        </w:rPr>
        <w:t> </w:t>
      </w:r>
      <w:r>
        <w:rPr/>
        <w:t>a</w:t>
      </w:r>
      <w:r>
        <w:rPr>
          <w:spacing w:val="-13"/>
        </w:rPr>
        <w:t> </w:t>
      </w:r>
      <w:r>
        <w:rPr/>
        <w:t>big</w:t>
      </w:r>
      <w:r>
        <w:rPr>
          <w:spacing w:val="-14"/>
        </w:rPr>
        <w:t> </w:t>
      </w:r>
      <w:r>
        <w:rPr/>
        <w:t>way.</w:t>
      </w:r>
      <w:r>
        <w:rPr>
          <w:spacing w:val="-14"/>
        </w:rPr>
        <w:t> </w:t>
      </w:r>
      <w:r>
        <w:rPr/>
        <w:t>As</w:t>
      </w:r>
      <w:r>
        <w:rPr>
          <w:spacing w:val="-14"/>
        </w:rPr>
        <w:t> </w:t>
      </w:r>
      <w:r>
        <w:rPr/>
        <w:t>R&amp;D</w:t>
      </w:r>
      <w:r>
        <w:rPr>
          <w:spacing w:val="-13"/>
        </w:rPr>
        <w:t> </w:t>
      </w:r>
      <w:r>
        <w:rPr/>
        <w:t>providers </w:t>
      </w:r>
      <w:r>
        <w:rPr>
          <w:w w:val="90"/>
        </w:rPr>
        <w:t>by proxy, they may well be motivated by vested interests and thus pose a real threat to the farmer who has no other </w:t>
      </w:r>
      <w:r>
        <w:rPr/>
        <w:t>option.</w:t>
      </w:r>
      <w:r>
        <w:rPr>
          <w:spacing w:val="-3"/>
        </w:rPr>
        <w:t> </w:t>
      </w:r>
      <w:r>
        <w:rPr/>
        <w:t>Alternatively,</w:t>
      </w:r>
      <w:r>
        <w:rPr>
          <w:spacing w:val="-3"/>
        </w:rPr>
        <w:t> </w:t>
      </w:r>
      <w:r>
        <w:rPr/>
        <w:t>service</w:t>
      </w:r>
      <w:r>
        <w:rPr>
          <w:spacing w:val="-3"/>
        </w:rPr>
        <w:t> </w:t>
      </w:r>
      <w:r>
        <w:rPr/>
        <w:t>providers</w:t>
      </w:r>
      <w:r>
        <w:rPr>
          <w:spacing w:val="-3"/>
        </w:rPr>
        <w:t> </w:t>
      </w:r>
      <w:r>
        <w:rPr/>
        <w:t>in</w:t>
      </w:r>
      <w:r>
        <w:rPr>
          <w:spacing w:val="-3"/>
        </w:rPr>
        <w:t> </w:t>
      </w:r>
      <w:r>
        <w:rPr/>
        <w:t>the</w:t>
      </w:r>
      <w:r>
        <w:rPr>
          <w:spacing w:val="-3"/>
        </w:rPr>
        <w:t> </w:t>
      </w:r>
      <w:r>
        <w:rPr/>
        <w:t>private sector may fulfill an important function efficiently,</w:t>
      </w:r>
      <w:r>
        <w:rPr>
          <w:spacing w:val="40"/>
        </w:rPr>
        <w:t> </w:t>
      </w:r>
      <w:r>
        <w:rPr/>
        <w:t>in the absence of a more reliable mechanism.</w:t>
      </w:r>
    </w:p>
    <w:p>
      <w:pPr>
        <w:pStyle w:val="BodyText"/>
        <w:spacing w:before="16"/>
      </w:pPr>
    </w:p>
    <w:p>
      <w:pPr>
        <w:pStyle w:val="BodyText"/>
        <w:spacing w:line="266" w:lineRule="auto"/>
        <w:ind w:left="1079"/>
        <w:jc w:val="both"/>
      </w:pPr>
      <w:r>
        <w:rPr>
          <w:b/>
          <w:w w:val="90"/>
        </w:rPr>
        <w:t>Research-Extension linkages: </w:t>
      </w:r>
      <w:r>
        <w:rPr>
          <w:w w:val="90"/>
        </w:rPr>
        <w:t>There is often </w:t>
      </w:r>
      <w:r>
        <w:rPr>
          <w:w w:val="90"/>
        </w:rPr>
        <w:t>disconnect </w:t>
      </w:r>
      <w:r>
        <w:rPr/>
        <w:t>between the research done by agricultural scientists and the on-farm practices of farmers. (See</w:t>
      </w:r>
      <w:r>
        <w:rPr>
          <w:spacing w:val="-1"/>
        </w:rPr>
        <w:t> </w:t>
      </w:r>
      <w:r>
        <w:rPr/>
        <w:t>Table 20) The</w:t>
      </w:r>
      <w:r>
        <w:rPr>
          <w:spacing w:val="-14"/>
        </w:rPr>
        <w:t> </w:t>
      </w:r>
      <w:r>
        <w:rPr/>
        <w:t>structure</w:t>
      </w:r>
      <w:r>
        <w:rPr>
          <w:spacing w:val="-14"/>
        </w:rPr>
        <w:t> </w:t>
      </w:r>
      <w:r>
        <w:rPr/>
        <w:t>of</w:t>
      </w:r>
      <w:r>
        <w:rPr>
          <w:spacing w:val="-14"/>
        </w:rPr>
        <w:t> </w:t>
      </w:r>
      <w:r>
        <w:rPr/>
        <w:t>the</w:t>
      </w:r>
      <w:r>
        <w:rPr>
          <w:spacing w:val="-13"/>
        </w:rPr>
        <w:t> </w:t>
      </w:r>
      <w:r>
        <w:rPr/>
        <w:t>present</w:t>
      </w:r>
      <w:r>
        <w:rPr>
          <w:spacing w:val="-14"/>
        </w:rPr>
        <w:t> </w:t>
      </w:r>
      <w:r>
        <w:rPr/>
        <w:t>public</w:t>
      </w:r>
      <w:r>
        <w:rPr>
          <w:spacing w:val="-14"/>
        </w:rPr>
        <w:t> </w:t>
      </w:r>
      <w:r>
        <w:rPr/>
        <w:t>extension</w:t>
      </w:r>
      <w:r>
        <w:rPr>
          <w:spacing w:val="-14"/>
        </w:rPr>
        <w:t> </w:t>
      </w:r>
      <w:r>
        <w:rPr/>
        <w:t>system</w:t>
      </w:r>
      <w:r>
        <w:rPr>
          <w:spacing w:val="-13"/>
        </w:rPr>
        <w:t> </w:t>
      </w:r>
      <w:r>
        <w:rPr/>
        <w:t>is linear</w:t>
      </w:r>
      <w:r>
        <w:rPr>
          <w:spacing w:val="-14"/>
        </w:rPr>
        <w:t> </w:t>
      </w:r>
      <w:r>
        <w:rPr/>
        <w:t>and</w:t>
      </w:r>
      <w:r>
        <w:rPr>
          <w:spacing w:val="-14"/>
        </w:rPr>
        <w:t> </w:t>
      </w:r>
      <w:r>
        <w:rPr/>
        <w:t>compartmentalised,</w:t>
      </w:r>
      <w:r>
        <w:rPr>
          <w:spacing w:val="-14"/>
        </w:rPr>
        <w:t> </w:t>
      </w:r>
      <w:r>
        <w:rPr/>
        <w:t>thus</w:t>
      </w:r>
      <w:r>
        <w:rPr>
          <w:spacing w:val="-13"/>
        </w:rPr>
        <w:t> </w:t>
      </w:r>
      <w:r>
        <w:rPr/>
        <w:t>propagating</w:t>
      </w:r>
      <w:r>
        <w:rPr>
          <w:spacing w:val="-14"/>
        </w:rPr>
        <w:t> </w:t>
      </w:r>
      <w:r>
        <w:rPr/>
        <w:t>a</w:t>
      </w:r>
      <w:r>
        <w:rPr>
          <w:spacing w:val="-14"/>
        </w:rPr>
        <w:t> </w:t>
      </w:r>
      <w:r>
        <w:rPr/>
        <w:t>top- </w:t>
      </w:r>
      <w:r>
        <w:rPr>
          <w:spacing w:val="-2"/>
        </w:rPr>
        <w:t>down</w:t>
      </w:r>
      <w:r>
        <w:rPr>
          <w:spacing w:val="-12"/>
        </w:rPr>
        <w:t> </w:t>
      </w:r>
      <w:r>
        <w:rPr>
          <w:spacing w:val="-2"/>
        </w:rPr>
        <w:t>approach</w:t>
      </w:r>
      <w:r>
        <w:rPr>
          <w:spacing w:val="-12"/>
        </w:rPr>
        <w:t> </w:t>
      </w:r>
      <w:r>
        <w:rPr>
          <w:spacing w:val="-2"/>
        </w:rPr>
        <w:t>that</w:t>
      </w:r>
      <w:r>
        <w:rPr>
          <w:spacing w:val="-12"/>
        </w:rPr>
        <w:t> </w:t>
      </w:r>
      <w:r>
        <w:rPr>
          <w:spacing w:val="-2"/>
        </w:rPr>
        <w:t>does</w:t>
      </w:r>
      <w:r>
        <w:rPr>
          <w:spacing w:val="-11"/>
        </w:rPr>
        <w:t> </w:t>
      </w:r>
      <w:r>
        <w:rPr>
          <w:spacing w:val="-2"/>
        </w:rPr>
        <w:t>not</w:t>
      </w:r>
      <w:r>
        <w:rPr>
          <w:spacing w:val="-12"/>
        </w:rPr>
        <w:t> </w:t>
      </w:r>
      <w:r>
        <w:rPr>
          <w:spacing w:val="-2"/>
        </w:rPr>
        <w:t>encourage</w:t>
      </w:r>
      <w:r>
        <w:rPr>
          <w:spacing w:val="-12"/>
        </w:rPr>
        <w:t> </w:t>
      </w:r>
      <w:r>
        <w:rPr>
          <w:spacing w:val="-2"/>
        </w:rPr>
        <w:t>interaction</w:t>
      </w:r>
      <w:r>
        <w:rPr>
          <w:spacing w:val="-12"/>
        </w:rPr>
        <w:t> </w:t>
      </w:r>
      <w:r>
        <w:rPr>
          <w:spacing w:val="-2"/>
        </w:rPr>
        <w:t>and </w:t>
      </w:r>
      <w:r>
        <w:rPr/>
        <w:t>co-operation</w:t>
      </w:r>
      <w:r>
        <w:rPr>
          <w:spacing w:val="35"/>
        </w:rPr>
        <w:t>  </w:t>
      </w:r>
      <w:r>
        <w:rPr/>
        <w:t>amongst</w:t>
      </w:r>
      <w:r>
        <w:rPr>
          <w:spacing w:val="35"/>
        </w:rPr>
        <w:t>  </w:t>
      </w:r>
      <w:r>
        <w:rPr/>
        <w:t>the</w:t>
      </w:r>
      <w:r>
        <w:rPr>
          <w:spacing w:val="36"/>
        </w:rPr>
        <w:t>  </w:t>
      </w:r>
      <w:r>
        <w:rPr/>
        <w:t>several</w:t>
      </w:r>
      <w:r>
        <w:rPr>
          <w:spacing w:val="35"/>
        </w:rPr>
        <w:t>  </w:t>
      </w:r>
      <w:r>
        <w:rPr/>
        <w:t>actors.</w:t>
      </w:r>
      <w:r>
        <w:rPr>
          <w:spacing w:val="36"/>
        </w:rPr>
        <w:t>  </w:t>
      </w:r>
      <w:r>
        <w:rPr>
          <w:spacing w:val="-4"/>
        </w:rPr>
        <w:t>Most</w:t>
      </w:r>
    </w:p>
    <w:p>
      <w:pPr>
        <w:pStyle w:val="BodyText"/>
        <w:spacing w:line="266" w:lineRule="auto" w:before="57"/>
        <w:ind w:left="319" w:right="1077"/>
        <w:jc w:val="both"/>
      </w:pPr>
      <w:r>
        <w:rPr/>
        <w:br w:type="column"/>
      </w:r>
      <w:r>
        <w:rPr/>
        <w:t>importantly, it does not incorporate a mechanism </w:t>
      </w:r>
      <w:r>
        <w:rPr/>
        <w:t>for feedback. Therefore, extension workers continue to </w:t>
      </w:r>
      <w:r>
        <w:rPr>
          <w:spacing w:val="-4"/>
        </w:rPr>
        <w:t>disseminate</w:t>
      </w:r>
      <w:r>
        <w:rPr>
          <w:spacing w:val="-6"/>
        </w:rPr>
        <w:t> </w:t>
      </w:r>
      <w:r>
        <w:rPr>
          <w:spacing w:val="-4"/>
        </w:rPr>
        <w:t>technology</w:t>
      </w:r>
      <w:r>
        <w:rPr>
          <w:spacing w:val="-6"/>
        </w:rPr>
        <w:t> </w:t>
      </w:r>
      <w:r>
        <w:rPr>
          <w:spacing w:val="-4"/>
        </w:rPr>
        <w:t>that</w:t>
      </w:r>
      <w:r>
        <w:rPr>
          <w:spacing w:val="-6"/>
        </w:rPr>
        <w:t> </w:t>
      </w:r>
      <w:r>
        <w:rPr>
          <w:spacing w:val="-4"/>
        </w:rPr>
        <w:t>may</w:t>
      </w:r>
      <w:r>
        <w:rPr>
          <w:spacing w:val="-6"/>
        </w:rPr>
        <w:t> </w:t>
      </w:r>
      <w:r>
        <w:rPr>
          <w:spacing w:val="-4"/>
        </w:rPr>
        <w:t>not</w:t>
      </w:r>
      <w:r>
        <w:rPr>
          <w:spacing w:val="-6"/>
        </w:rPr>
        <w:t> </w:t>
      </w:r>
      <w:r>
        <w:rPr>
          <w:spacing w:val="-4"/>
        </w:rPr>
        <w:t>only</w:t>
      </w:r>
      <w:r>
        <w:rPr>
          <w:spacing w:val="-6"/>
        </w:rPr>
        <w:t> </w:t>
      </w:r>
      <w:r>
        <w:rPr>
          <w:spacing w:val="-4"/>
        </w:rPr>
        <w:t>be</w:t>
      </w:r>
      <w:r>
        <w:rPr>
          <w:spacing w:val="-6"/>
        </w:rPr>
        <w:t> </w:t>
      </w:r>
      <w:r>
        <w:rPr>
          <w:spacing w:val="-4"/>
        </w:rPr>
        <w:t>irrelevant, </w:t>
      </w:r>
      <w:r>
        <w:rPr/>
        <w:t>but also harmful for the farming community.</w:t>
      </w:r>
    </w:p>
    <w:p>
      <w:pPr>
        <w:pStyle w:val="BodyText"/>
        <w:spacing w:before="24"/>
      </w:pPr>
    </w:p>
    <w:p>
      <w:pPr>
        <w:pStyle w:val="BodyText"/>
        <w:spacing w:line="266" w:lineRule="auto"/>
        <w:ind w:left="319" w:right="1077"/>
        <w:jc w:val="both"/>
      </w:pPr>
      <w:r>
        <w:rPr>
          <w:b/>
          <w:spacing w:val="-6"/>
        </w:rPr>
        <w:t>Information</w:t>
      </w:r>
      <w:r>
        <w:rPr>
          <w:b/>
          <w:spacing w:val="-7"/>
        </w:rPr>
        <w:t> </w:t>
      </w:r>
      <w:r>
        <w:rPr>
          <w:b/>
          <w:spacing w:val="-6"/>
        </w:rPr>
        <w:t>and</w:t>
      </w:r>
      <w:r>
        <w:rPr>
          <w:b/>
          <w:spacing w:val="-7"/>
        </w:rPr>
        <w:t> </w:t>
      </w:r>
      <w:r>
        <w:rPr>
          <w:b/>
          <w:spacing w:val="-6"/>
        </w:rPr>
        <w:t>Communication</w:t>
      </w:r>
      <w:r>
        <w:rPr>
          <w:b/>
          <w:spacing w:val="-1"/>
        </w:rPr>
        <w:t> </w:t>
      </w:r>
      <w:r>
        <w:rPr>
          <w:b/>
          <w:spacing w:val="-6"/>
        </w:rPr>
        <w:t>Technology </w:t>
      </w:r>
      <w:r>
        <w:rPr>
          <w:b/>
          <w:spacing w:val="-6"/>
        </w:rPr>
        <w:t>(ICT): </w:t>
      </w:r>
      <w:r>
        <w:rPr>
          <w:spacing w:val="-2"/>
        </w:rPr>
        <w:t>The</w:t>
      </w:r>
      <w:r>
        <w:rPr>
          <w:spacing w:val="-12"/>
        </w:rPr>
        <w:t> </w:t>
      </w:r>
      <w:r>
        <w:rPr>
          <w:spacing w:val="-2"/>
        </w:rPr>
        <w:t>availability</w:t>
      </w:r>
      <w:r>
        <w:rPr>
          <w:spacing w:val="-12"/>
        </w:rPr>
        <w:t> </w:t>
      </w:r>
      <w:r>
        <w:rPr>
          <w:spacing w:val="-2"/>
        </w:rPr>
        <w:t>and</w:t>
      </w:r>
      <w:r>
        <w:rPr>
          <w:spacing w:val="-12"/>
        </w:rPr>
        <w:t> </w:t>
      </w:r>
      <w:r>
        <w:rPr>
          <w:spacing w:val="-2"/>
        </w:rPr>
        <w:t>convergence</w:t>
      </w:r>
      <w:r>
        <w:rPr>
          <w:spacing w:val="-11"/>
        </w:rPr>
        <w:t> </w:t>
      </w:r>
      <w:r>
        <w:rPr>
          <w:spacing w:val="-2"/>
        </w:rPr>
        <w:t>of</w:t>
      </w:r>
      <w:r>
        <w:rPr>
          <w:spacing w:val="-12"/>
        </w:rPr>
        <w:t> </w:t>
      </w:r>
      <w:r>
        <w:rPr>
          <w:spacing w:val="-2"/>
        </w:rPr>
        <w:t>ICTs</w:t>
      </w:r>
      <w:r>
        <w:rPr>
          <w:spacing w:val="-12"/>
        </w:rPr>
        <w:t> </w:t>
      </w:r>
      <w:r>
        <w:rPr>
          <w:spacing w:val="-2"/>
        </w:rPr>
        <w:t>–</w:t>
      </w:r>
      <w:r>
        <w:rPr>
          <w:spacing w:val="-12"/>
        </w:rPr>
        <w:t> </w:t>
      </w:r>
      <w:r>
        <w:rPr>
          <w:spacing w:val="-2"/>
        </w:rPr>
        <w:t>computers, </w:t>
      </w:r>
      <w:r>
        <w:rPr/>
        <w:t>digital networks, telecommunication etc. – has been significant in the dissemination of knowledge and information to the rural population in recent years. The</w:t>
      </w:r>
      <w:r>
        <w:rPr>
          <w:spacing w:val="-6"/>
        </w:rPr>
        <w:t> </w:t>
      </w:r>
      <w:r>
        <w:rPr/>
        <w:t>village</w:t>
      </w:r>
      <w:r>
        <w:rPr>
          <w:spacing w:val="-6"/>
        </w:rPr>
        <w:t> </w:t>
      </w:r>
      <w:r>
        <w:rPr/>
        <w:t>knowledge</w:t>
      </w:r>
      <w:r>
        <w:rPr>
          <w:spacing w:val="-6"/>
        </w:rPr>
        <w:t> </w:t>
      </w:r>
      <w:r>
        <w:rPr/>
        <w:t>centres</w:t>
      </w:r>
      <w:r>
        <w:rPr>
          <w:spacing w:val="-6"/>
        </w:rPr>
        <w:t> </w:t>
      </w:r>
      <w:r>
        <w:rPr/>
        <w:t>established</w:t>
      </w:r>
      <w:r>
        <w:rPr>
          <w:spacing w:val="-6"/>
        </w:rPr>
        <w:t> </w:t>
      </w:r>
      <w:r>
        <w:rPr/>
        <w:t>by</w:t>
      </w:r>
      <w:r>
        <w:rPr>
          <w:spacing w:val="-6"/>
        </w:rPr>
        <w:t> </w:t>
      </w:r>
      <w:r>
        <w:rPr/>
        <w:t>the</w:t>
      </w:r>
      <w:r>
        <w:rPr>
          <w:spacing w:val="-6"/>
        </w:rPr>
        <w:t> </w:t>
      </w:r>
      <w:r>
        <w:rPr/>
        <w:t>MS Swaminathan Research Foundation (MSSRF) in </w:t>
      </w:r>
      <w:r>
        <w:rPr>
          <w:spacing w:val="-2"/>
        </w:rPr>
        <w:t>Pondicherry,</w:t>
      </w:r>
      <w:r>
        <w:rPr>
          <w:spacing w:val="-12"/>
        </w:rPr>
        <w:t> </w:t>
      </w:r>
      <w:r>
        <w:rPr>
          <w:spacing w:val="-2"/>
        </w:rPr>
        <w:t>and</w:t>
      </w:r>
      <w:r>
        <w:rPr>
          <w:spacing w:val="-12"/>
        </w:rPr>
        <w:t> </w:t>
      </w:r>
      <w:r>
        <w:rPr>
          <w:spacing w:val="-2"/>
        </w:rPr>
        <w:t>the</w:t>
      </w:r>
      <w:r>
        <w:rPr>
          <w:spacing w:val="-12"/>
        </w:rPr>
        <w:t> </w:t>
      </w:r>
      <w:r>
        <w:rPr>
          <w:spacing w:val="-2"/>
        </w:rPr>
        <w:t>village</w:t>
      </w:r>
      <w:r>
        <w:rPr>
          <w:spacing w:val="-11"/>
        </w:rPr>
        <w:t> </w:t>
      </w:r>
      <w:r>
        <w:rPr>
          <w:spacing w:val="-2"/>
        </w:rPr>
        <w:t>internet</w:t>
      </w:r>
      <w:r>
        <w:rPr>
          <w:spacing w:val="-12"/>
        </w:rPr>
        <w:t> </w:t>
      </w:r>
      <w:r>
        <w:rPr>
          <w:spacing w:val="-2"/>
        </w:rPr>
        <w:t>kiosks</w:t>
      </w:r>
      <w:r>
        <w:rPr>
          <w:spacing w:val="-12"/>
        </w:rPr>
        <w:t> </w:t>
      </w:r>
      <w:r>
        <w:rPr>
          <w:spacing w:val="-2"/>
        </w:rPr>
        <w:t>established </w:t>
      </w:r>
      <w:r>
        <w:rPr/>
        <w:t>by ITC under the “e-chaupal” program are examples of</w:t>
      </w:r>
      <w:r>
        <w:rPr>
          <w:spacing w:val="-11"/>
        </w:rPr>
        <w:t> </w:t>
      </w:r>
      <w:r>
        <w:rPr/>
        <w:t>highly</w:t>
      </w:r>
      <w:r>
        <w:rPr>
          <w:spacing w:val="-11"/>
        </w:rPr>
        <w:t> </w:t>
      </w:r>
      <w:r>
        <w:rPr/>
        <w:t>successful</w:t>
      </w:r>
      <w:r>
        <w:rPr>
          <w:spacing w:val="-11"/>
        </w:rPr>
        <w:t> </w:t>
      </w:r>
      <w:r>
        <w:rPr/>
        <w:t>ICT</w:t>
      </w:r>
      <w:r>
        <w:rPr>
          <w:spacing w:val="-11"/>
        </w:rPr>
        <w:t> </w:t>
      </w:r>
      <w:r>
        <w:rPr/>
        <w:t>deployment</w:t>
      </w:r>
      <w:r>
        <w:rPr>
          <w:spacing w:val="-11"/>
        </w:rPr>
        <w:t> </w:t>
      </w:r>
      <w:r>
        <w:rPr/>
        <w:t>for</w:t>
      </w:r>
      <w:r>
        <w:rPr>
          <w:spacing w:val="-11"/>
        </w:rPr>
        <w:t> </w:t>
      </w:r>
      <w:r>
        <w:rPr/>
        <w:t>research</w:t>
      </w:r>
      <w:r>
        <w:rPr>
          <w:spacing w:val="-11"/>
        </w:rPr>
        <w:t> </w:t>
      </w:r>
      <w:r>
        <w:rPr/>
        <w:t>and extension</w:t>
      </w:r>
      <w:r>
        <w:rPr>
          <w:spacing w:val="-3"/>
        </w:rPr>
        <w:t> </w:t>
      </w:r>
      <w:r>
        <w:rPr/>
        <w:t>and</w:t>
      </w:r>
      <w:r>
        <w:rPr>
          <w:spacing w:val="-3"/>
        </w:rPr>
        <w:t> </w:t>
      </w:r>
      <w:r>
        <w:rPr/>
        <w:t>market</w:t>
      </w:r>
      <w:r>
        <w:rPr>
          <w:spacing w:val="-3"/>
        </w:rPr>
        <w:t> </w:t>
      </w:r>
      <w:r>
        <w:rPr/>
        <w:t>access</w:t>
      </w:r>
      <w:r>
        <w:rPr>
          <w:spacing w:val="-3"/>
        </w:rPr>
        <w:t> </w:t>
      </w:r>
      <w:r>
        <w:rPr/>
        <w:t>in</w:t>
      </w:r>
      <w:r>
        <w:rPr>
          <w:spacing w:val="-3"/>
        </w:rPr>
        <w:t> </w:t>
      </w:r>
      <w:r>
        <w:rPr/>
        <w:t>agriculture.</w:t>
      </w:r>
    </w:p>
    <w:p>
      <w:pPr>
        <w:pStyle w:val="BodyText"/>
        <w:spacing w:before="18"/>
      </w:pPr>
    </w:p>
    <w:p>
      <w:pPr>
        <w:pStyle w:val="BodyText"/>
        <w:spacing w:line="266" w:lineRule="auto"/>
        <w:ind w:left="319" w:right="1077"/>
        <w:jc w:val="both"/>
      </w:pPr>
      <w:r>
        <w:rPr>
          <w:b/>
          <w:spacing w:val="-6"/>
        </w:rPr>
        <w:t>Agricultural universities: </w:t>
      </w:r>
      <w:r>
        <w:rPr>
          <w:spacing w:val="-6"/>
        </w:rPr>
        <w:t>In order to meet the systemic </w:t>
      </w:r>
      <w:r>
        <w:rPr>
          <w:spacing w:val="-8"/>
        </w:rPr>
        <w:t>challenges</w:t>
      </w:r>
      <w:r>
        <w:rPr>
          <w:spacing w:val="-6"/>
        </w:rPr>
        <w:t> </w:t>
      </w:r>
      <w:r>
        <w:rPr>
          <w:spacing w:val="-8"/>
        </w:rPr>
        <w:t>in</w:t>
      </w:r>
      <w:r>
        <w:rPr>
          <w:spacing w:val="-6"/>
        </w:rPr>
        <w:t> </w:t>
      </w:r>
      <w:r>
        <w:rPr>
          <w:spacing w:val="-8"/>
        </w:rPr>
        <w:t>the</w:t>
      </w:r>
      <w:r>
        <w:rPr>
          <w:spacing w:val="-6"/>
        </w:rPr>
        <w:t> </w:t>
      </w:r>
      <w:r>
        <w:rPr>
          <w:spacing w:val="-8"/>
        </w:rPr>
        <w:t>R&amp;D</w:t>
      </w:r>
      <w:r>
        <w:rPr>
          <w:spacing w:val="-5"/>
        </w:rPr>
        <w:t> </w:t>
      </w:r>
      <w:r>
        <w:rPr>
          <w:spacing w:val="-8"/>
        </w:rPr>
        <w:t>arena,</w:t>
      </w:r>
      <w:r>
        <w:rPr>
          <w:spacing w:val="-6"/>
        </w:rPr>
        <w:t> </w:t>
      </w:r>
      <w:r>
        <w:rPr>
          <w:spacing w:val="-8"/>
        </w:rPr>
        <w:t>the</w:t>
      </w:r>
      <w:r>
        <w:rPr>
          <w:spacing w:val="-6"/>
        </w:rPr>
        <w:t> </w:t>
      </w:r>
      <w:r>
        <w:rPr>
          <w:spacing w:val="-8"/>
        </w:rPr>
        <w:t>syllabus</w:t>
      </w:r>
      <w:r>
        <w:rPr>
          <w:spacing w:val="-6"/>
        </w:rPr>
        <w:t> </w:t>
      </w:r>
      <w:r>
        <w:rPr>
          <w:spacing w:val="-8"/>
        </w:rPr>
        <w:t>and</w:t>
      </w:r>
      <w:r>
        <w:rPr>
          <w:spacing w:val="-5"/>
        </w:rPr>
        <w:t> </w:t>
      </w:r>
      <w:r>
        <w:rPr>
          <w:spacing w:val="-8"/>
        </w:rPr>
        <w:t>curriculum </w:t>
      </w:r>
      <w:r>
        <w:rPr>
          <w:spacing w:val="-2"/>
        </w:rPr>
        <w:t>in</w:t>
      </w:r>
      <w:r>
        <w:rPr>
          <w:spacing w:val="-12"/>
        </w:rPr>
        <w:t> </w:t>
      </w:r>
      <w:r>
        <w:rPr>
          <w:spacing w:val="-2"/>
        </w:rPr>
        <w:t>agricultural</w:t>
      </w:r>
      <w:r>
        <w:rPr>
          <w:spacing w:val="-12"/>
        </w:rPr>
        <w:t> </w:t>
      </w:r>
      <w:r>
        <w:rPr>
          <w:spacing w:val="-2"/>
        </w:rPr>
        <w:t>universities</w:t>
      </w:r>
      <w:r>
        <w:rPr>
          <w:spacing w:val="-12"/>
        </w:rPr>
        <w:t> </w:t>
      </w:r>
      <w:r>
        <w:rPr>
          <w:spacing w:val="-2"/>
        </w:rPr>
        <w:t>need</w:t>
      </w:r>
      <w:r>
        <w:rPr>
          <w:spacing w:val="-11"/>
        </w:rPr>
        <w:t> </w:t>
      </w:r>
      <w:r>
        <w:rPr>
          <w:spacing w:val="-2"/>
        </w:rPr>
        <w:t>to</w:t>
      </w:r>
      <w:r>
        <w:rPr>
          <w:spacing w:val="-12"/>
        </w:rPr>
        <w:t> </w:t>
      </w:r>
      <w:r>
        <w:rPr>
          <w:spacing w:val="-2"/>
        </w:rPr>
        <w:t>be</w:t>
      </w:r>
      <w:r>
        <w:rPr>
          <w:spacing w:val="-12"/>
        </w:rPr>
        <w:t> </w:t>
      </w:r>
      <w:r>
        <w:rPr>
          <w:spacing w:val="-2"/>
        </w:rPr>
        <w:t>more</w:t>
      </w:r>
      <w:r>
        <w:rPr>
          <w:spacing w:val="-12"/>
        </w:rPr>
        <w:t> </w:t>
      </w:r>
      <w:r>
        <w:rPr>
          <w:spacing w:val="-2"/>
        </w:rPr>
        <w:t>flexible</w:t>
      </w:r>
      <w:r>
        <w:rPr>
          <w:spacing w:val="-11"/>
        </w:rPr>
        <w:t> </w:t>
      </w:r>
      <w:r>
        <w:rPr>
          <w:spacing w:val="-2"/>
        </w:rPr>
        <w:t>and </w:t>
      </w:r>
      <w:r>
        <w:rPr/>
        <w:t>interdisciplinary.</w:t>
      </w:r>
      <w:r>
        <w:rPr>
          <w:spacing w:val="-12"/>
        </w:rPr>
        <w:t> </w:t>
      </w:r>
      <w:r>
        <w:rPr/>
        <w:t>Incorporation</w:t>
      </w:r>
      <w:r>
        <w:rPr>
          <w:spacing w:val="-12"/>
        </w:rPr>
        <w:t> </w:t>
      </w:r>
      <w:r>
        <w:rPr/>
        <w:t>of</w:t>
      </w:r>
      <w:r>
        <w:rPr>
          <w:spacing w:val="-12"/>
        </w:rPr>
        <w:t> </w:t>
      </w:r>
      <w:r>
        <w:rPr/>
        <w:t>social</w:t>
      </w:r>
      <w:r>
        <w:rPr>
          <w:spacing w:val="-12"/>
        </w:rPr>
        <w:t> </w:t>
      </w:r>
      <w:r>
        <w:rPr/>
        <w:t>sciences</w:t>
      </w:r>
      <w:r>
        <w:rPr>
          <w:spacing w:val="-12"/>
        </w:rPr>
        <w:t> </w:t>
      </w:r>
      <w:r>
        <w:rPr/>
        <w:t>and </w:t>
      </w:r>
      <w:r>
        <w:rPr>
          <w:spacing w:val="-6"/>
        </w:rPr>
        <w:t>management techniques, primacy accorded to fieldwork </w:t>
      </w:r>
      <w:r>
        <w:rPr>
          <w:spacing w:val="-2"/>
        </w:rPr>
        <w:t>and</w:t>
      </w:r>
      <w:r>
        <w:rPr>
          <w:spacing w:val="-12"/>
        </w:rPr>
        <w:t> </w:t>
      </w:r>
      <w:r>
        <w:rPr>
          <w:spacing w:val="-2"/>
        </w:rPr>
        <w:t>regular</w:t>
      </w:r>
      <w:r>
        <w:rPr>
          <w:spacing w:val="-12"/>
        </w:rPr>
        <w:t> </w:t>
      </w:r>
      <w:r>
        <w:rPr>
          <w:spacing w:val="-2"/>
        </w:rPr>
        <w:t>training</w:t>
      </w:r>
      <w:r>
        <w:rPr>
          <w:spacing w:val="-12"/>
        </w:rPr>
        <w:t> </w:t>
      </w:r>
      <w:r>
        <w:rPr>
          <w:spacing w:val="-2"/>
        </w:rPr>
        <w:t>and</w:t>
      </w:r>
      <w:r>
        <w:rPr>
          <w:spacing w:val="-11"/>
        </w:rPr>
        <w:t> </w:t>
      </w:r>
      <w:r>
        <w:rPr>
          <w:spacing w:val="-2"/>
        </w:rPr>
        <w:t>refresher</w:t>
      </w:r>
      <w:r>
        <w:rPr>
          <w:spacing w:val="-12"/>
        </w:rPr>
        <w:t> </w:t>
      </w:r>
      <w:r>
        <w:rPr>
          <w:spacing w:val="-2"/>
        </w:rPr>
        <w:t>courses</w:t>
      </w:r>
      <w:r>
        <w:rPr>
          <w:spacing w:val="-12"/>
        </w:rPr>
        <w:t> </w:t>
      </w:r>
      <w:r>
        <w:rPr>
          <w:spacing w:val="-2"/>
        </w:rPr>
        <w:t>for</w:t>
      </w:r>
      <w:r>
        <w:rPr>
          <w:spacing w:val="-12"/>
        </w:rPr>
        <w:t> </w:t>
      </w:r>
      <w:r>
        <w:rPr>
          <w:spacing w:val="-2"/>
        </w:rPr>
        <w:t>extension </w:t>
      </w:r>
      <w:r>
        <w:rPr/>
        <w:t>workers must be added to the curriculum in order to address the disconnect between the lab and the land. </w:t>
      </w:r>
      <w:r>
        <w:rPr>
          <w:spacing w:val="-6"/>
        </w:rPr>
        <w:t>Incentives</w:t>
      </w:r>
      <w:r>
        <w:rPr>
          <w:spacing w:val="-7"/>
        </w:rPr>
        <w:t> </w:t>
      </w:r>
      <w:r>
        <w:rPr>
          <w:spacing w:val="-6"/>
        </w:rPr>
        <w:t>and</w:t>
      </w:r>
      <w:r>
        <w:rPr>
          <w:spacing w:val="-7"/>
        </w:rPr>
        <w:t> </w:t>
      </w:r>
      <w:r>
        <w:rPr>
          <w:spacing w:val="-6"/>
        </w:rPr>
        <w:t>schemes</w:t>
      </w:r>
      <w:r>
        <w:rPr>
          <w:spacing w:val="-7"/>
        </w:rPr>
        <w:t> </w:t>
      </w:r>
      <w:r>
        <w:rPr>
          <w:spacing w:val="-6"/>
        </w:rPr>
        <w:t>must</w:t>
      </w:r>
      <w:r>
        <w:rPr>
          <w:spacing w:val="-7"/>
        </w:rPr>
        <w:t> </w:t>
      </w:r>
      <w:r>
        <w:rPr>
          <w:spacing w:val="-6"/>
        </w:rPr>
        <w:t>be</w:t>
      </w:r>
      <w:r>
        <w:rPr>
          <w:spacing w:val="-7"/>
        </w:rPr>
        <w:t> </w:t>
      </w:r>
      <w:r>
        <w:rPr>
          <w:spacing w:val="-6"/>
        </w:rPr>
        <w:t>established</w:t>
      </w:r>
      <w:r>
        <w:rPr>
          <w:spacing w:val="-7"/>
        </w:rPr>
        <w:t> </w:t>
      </w:r>
      <w:r>
        <w:rPr>
          <w:spacing w:val="-6"/>
        </w:rPr>
        <w:t>to</w:t>
      </w:r>
      <w:r>
        <w:rPr>
          <w:spacing w:val="-7"/>
        </w:rPr>
        <w:t> </w:t>
      </w:r>
      <w:r>
        <w:rPr>
          <w:spacing w:val="-6"/>
        </w:rPr>
        <w:t>attract</w:t>
      </w:r>
      <w:r>
        <w:rPr>
          <w:spacing w:val="-7"/>
        </w:rPr>
        <w:t> </w:t>
      </w:r>
      <w:r>
        <w:rPr>
          <w:spacing w:val="-6"/>
        </w:rPr>
        <w:t>the </w:t>
      </w:r>
      <w:r>
        <w:rPr>
          <w:spacing w:val="-2"/>
        </w:rPr>
        <w:t>best</w:t>
      </w:r>
      <w:r>
        <w:rPr>
          <w:spacing w:val="-9"/>
        </w:rPr>
        <w:t> </w:t>
      </w:r>
      <w:r>
        <w:rPr>
          <w:spacing w:val="-2"/>
        </w:rPr>
        <w:t>minds</w:t>
      </w:r>
      <w:r>
        <w:rPr>
          <w:spacing w:val="-9"/>
        </w:rPr>
        <w:t> </w:t>
      </w:r>
      <w:r>
        <w:rPr>
          <w:spacing w:val="-2"/>
        </w:rPr>
        <w:t>to</w:t>
      </w:r>
      <w:r>
        <w:rPr>
          <w:spacing w:val="-9"/>
        </w:rPr>
        <w:t> </w:t>
      </w:r>
      <w:r>
        <w:rPr>
          <w:spacing w:val="-2"/>
        </w:rPr>
        <w:t>stimulate</w:t>
      </w:r>
      <w:r>
        <w:rPr>
          <w:spacing w:val="-9"/>
        </w:rPr>
        <w:t> </w:t>
      </w:r>
      <w:r>
        <w:rPr>
          <w:spacing w:val="-2"/>
        </w:rPr>
        <w:t>R&amp;D</w:t>
      </w:r>
      <w:r>
        <w:rPr>
          <w:spacing w:val="-9"/>
        </w:rPr>
        <w:t> </w:t>
      </w:r>
      <w:r>
        <w:rPr>
          <w:spacing w:val="-2"/>
        </w:rPr>
        <w:t>activities</w:t>
      </w:r>
      <w:r>
        <w:rPr>
          <w:spacing w:val="-9"/>
        </w:rPr>
        <w:t> </w:t>
      </w:r>
      <w:r>
        <w:rPr>
          <w:spacing w:val="-2"/>
        </w:rPr>
        <w:t>in</w:t>
      </w:r>
      <w:r>
        <w:rPr>
          <w:spacing w:val="-9"/>
        </w:rPr>
        <w:t> </w:t>
      </w:r>
      <w:r>
        <w:rPr>
          <w:spacing w:val="-2"/>
        </w:rPr>
        <w:t>universities.</w:t>
      </w:r>
    </w:p>
    <w:p>
      <w:pPr>
        <w:spacing w:after="0" w:line="266" w:lineRule="auto"/>
        <w:jc w:val="both"/>
        <w:sectPr>
          <w:pgSz w:w="11910" w:h="16840"/>
          <w:pgMar w:header="0" w:footer="675" w:top="960" w:bottom="860" w:left="0" w:right="0"/>
          <w:cols w:num="2" w:equalWidth="0">
            <w:col w:w="5774" w:space="40"/>
            <w:col w:w="6096"/>
          </w:cols>
        </w:sectPr>
      </w:pPr>
    </w:p>
    <w:p>
      <w:pPr>
        <w:pStyle w:val="BodyText"/>
        <w:spacing w:before="9"/>
        <w:rPr>
          <w:sz w:val="24"/>
        </w:rPr>
      </w:pPr>
    </w:p>
    <w:p>
      <w:pPr>
        <w:pStyle w:val="Heading8"/>
      </w:pPr>
      <w:r>
        <w:rPr>
          <w:w w:val="90"/>
        </w:rPr>
        <w:t>Table</w:t>
      </w:r>
      <w:r>
        <w:rPr>
          <w:spacing w:val="9"/>
        </w:rPr>
        <w:t> </w:t>
      </w:r>
      <w:r>
        <w:rPr>
          <w:w w:val="90"/>
        </w:rPr>
        <w:t>20:</w:t>
      </w:r>
      <w:r>
        <w:rPr>
          <w:spacing w:val="9"/>
        </w:rPr>
        <w:t> </w:t>
      </w:r>
      <w:r>
        <w:rPr>
          <w:color w:val="2E614A"/>
          <w:w w:val="90"/>
        </w:rPr>
        <w:t>State-wise</w:t>
      </w:r>
      <w:r>
        <w:rPr>
          <w:color w:val="2E614A"/>
          <w:spacing w:val="9"/>
        </w:rPr>
        <w:t> </w:t>
      </w:r>
      <w:r>
        <w:rPr>
          <w:color w:val="2E614A"/>
          <w:w w:val="90"/>
        </w:rPr>
        <w:t>performance</w:t>
      </w:r>
      <w:r>
        <w:rPr>
          <w:color w:val="2E614A"/>
          <w:spacing w:val="10"/>
        </w:rPr>
        <w:t> </w:t>
      </w:r>
      <w:r>
        <w:rPr>
          <w:color w:val="2E614A"/>
          <w:w w:val="90"/>
        </w:rPr>
        <w:t>and</w:t>
      </w:r>
      <w:r>
        <w:rPr>
          <w:color w:val="2E614A"/>
          <w:spacing w:val="9"/>
        </w:rPr>
        <w:t> </w:t>
      </w:r>
      <w:r>
        <w:rPr>
          <w:color w:val="2E614A"/>
          <w:w w:val="90"/>
        </w:rPr>
        <w:t>potential</w:t>
      </w:r>
      <w:r>
        <w:rPr>
          <w:color w:val="2E614A"/>
          <w:spacing w:val="9"/>
        </w:rPr>
        <w:t> </w:t>
      </w:r>
      <w:r>
        <w:rPr>
          <w:color w:val="2E614A"/>
          <w:w w:val="90"/>
        </w:rPr>
        <w:t>yield</w:t>
      </w:r>
      <w:r>
        <w:rPr>
          <w:color w:val="2E614A"/>
          <w:spacing w:val="9"/>
        </w:rPr>
        <w:t> </w:t>
      </w:r>
      <w:r>
        <w:rPr>
          <w:color w:val="2E614A"/>
          <w:w w:val="90"/>
        </w:rPr>
        <w:t>of</w:t>
      </w:r>
      <w:r>
        <w:rPr>
          <w:color w:val="2E614A"/>
          <w:spacing w:val="10"/>
        </w:rPr>
        <w:t> </w:t>
      </w:r>
      <w:r>
        <w:rPr>
          <w:color w:val="2E614A"/>
          <w:w w:val="90"/>
        </w:rPr>
        <w:t>selected</w:t>
      </w:r>
      <w:r>
        <w:rPr>
          <w:color w:val="2E614A"/>
          <w:spacing w:val="9"/>
        </w:rPr>
        <w:t> </w:t>
      </w:r>
      <w:r>
        <w:rPr>
          <w:color w:val="2E614A"/>
          <w:spacing w:val="-4"/>
          <w:w w:val="90"/>
        </w:rPr>
        <w:t>crops</w:t>
      </w:r>
    </w:p>
    <w:p>
      <w:pPr>
        <w:pStyle w:val="BodyText"/>
        <w:spacing w:before="3"/>
        <w:rPr>
          <w:b/>
          <w:sz w:val="10"/>
        </w:rPr>
      </w:pPr>
    </w:p>
    <w:tbl>
      <w:tblPr>
        <w:tblW w:w="0" w:type="auto"/>
        <w:jc w:val="left"/>
        <w:tblInd w:w="10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08"/>
        <w:gridCol w:w="1094"/>
        <w:gridCol w:w="1139"/>
        <w:gridCol w:w="1240"/>
        <w:gridCol w:w="854"/>
        <w:gridCol w:w="825"/>
      </w:tblGrid>
      <w:tr>
        <w:trPr>
          <w:trHeight w:val="624" w:hRule="atLeast"/>
        </w:trPr>
        <w:tc>
          <w:tcPr>
            <w:tcW w:w="4608" w:type="dxa"/>
            <w:shd w:val="clear" w:color="auto" w:fill="D0D5CD"/>
          </w:tcPr>
          <w:p>
            <w:pPr>
              <w:pStyle w:val="TableParagraph"/>
              <w:spacing w:before="29"/>
              <w:ind w:left="90"/>
              <w:rPr>
                <w:b/>
                <w:sz w:val="20"/>
              </w:rPr>
            </w:pPr>
            <w:r>
              <w:rPr>
                <w:b/>
                <w:spacing w:val="-2"/>
                <w:sz w:val="20"/>
              </w:rPr>
              <w:t>State</w:t>
            </w:r>
          </w:p>
        </w:tc>
        <w:tc>
          <w:tcPr>
            <w:tcW w:w="1094" w:type="dxa"/>
            <w:shd w:val="clear" w:color="auto" w:fill="D0D5CD"/>
          </w:tcPr>
          <w:p>
            <w:pPr>
              <w:pStyle w:val="TableParagraph"/>
              <w:spacing w:line="271" w:lineRule="auto" w:before="29"/>
              <w:ind w:left="89" w:right="123"/>
              <w:rPr>
                <w:b/>
                <w:sz w:val="20"/>
              </w:rPr>
            </w:pPr>
            <w:r>
              <w:rPr>
                <w:b/>
                <w:spacing w:val="-2"/>
                <w:sz w:val="20"/>
              </w:rPr>
              <w:t>Improved </w:t>
            </w:r>
            <w:r>
              <w:rPr>
                <w:b/>
                <w:w w:val="90"/>
                <w:sz w:val="20"/>
              </w:rPr>
              <w:t>practice</w:t>
            </w:r>
            <w:r>
              <w:rPr>
                <w:b/>
                <w:spacing w:val="-1"/>
                <w:w w:val="90"/>
                <w:sz w:val="20"/>
              </w:rPr>
              <w:t> </w:t>
            </w:r>
            <w:r>
              <w:rPr>
                <w:b/>
                <w:spacing w:val="-6"/>
                <w:sz w:val="20"/>
              </w:rPr>
              <w:t>(I)</w:t>
            </w:r>
          </w:p>
        </w:tc>
        <w:tc>
          <w:tcPr>
            <w:tcW w:w="1139" w:type="dxa"/>
            <w:shd w:val="clear" w:color="auto" w:fill="D0D5CD"/>
          </w:tcPr>
          <w:p>
            <w:pPr>
              <w:pStyle w:val="TableParagraph"/>
              <w:spacing w:line="271" w:lineRule="auto" w:before="29"/>
              <w:ind w:left="90" w:right="137"/>
              <w:rPr>
                <w:b/>
                <w:sz w:val="20"/>
              </w:rPr>
            </w:pPr>
            <w:r>
              <w:rPr>
                <w:b/>
                <w:spacing w:val="-2"/>
                <w:sz w:val="20"/>
              </w:rPr>
              <w:t>Farmer </w:t>
            </w:r>
            <w:r>
              <w:rPr>
                <w:b/>
                <w:w w:val="90"/>
                <w:sz w:val="20"/>
              </w:rPr>
              <w:t>practice</w:t>
            </w:r>
            <w:r>
              <w:rPr>
                <w:b/>
                <w:spacing w:val="-8"/>
                <w:w w:val="90"/>
                <w:sz w:val="20"/>
              </w:rPr>
              <w:t> </w:t>
            </w:r>
            <w:r>
              <w:rPr>
                <w:b/>
                <w:w w:val="90"/>
                <w:sz w:val="20"/>
              </w:rPr>
              <w:t>(F)</w:t>
            </w:r>
          </w:p>
        </w:tc>
        <w:tc>
          <w:tcPr>
            <w:tcW w:w="1240" w:type="dxa"/>
            <w:shd w:val="clear" w:color="auto" w:fill="D0D5CD"/>
          </w:tcPr>
          <w:p>
            <w:pPr>
              <w:pStyle w:val="TableParagraph"/>
              <w:spacing w:line="271" w:lineRule="auto" w:before="29"/>
              <w:ind w:left="90" w:right="162"/>
              <w:rPr>
                <w:b/>
                <w:sz w:val="20"/>
              </w:rPr>
            </w:pPr>
            <w:r>
              <w:rPr>
                <w:b/>
                <w:spacing w:val="-6"/>
                <w:sz w:val="20"/>
              </w:rPr>
              <w:t>Actual</w:t>
            </w:r>
            <w:r>
              <w:rPr>
                <w:b/>
                <w:spacing w:val="-7"/>
                <w:sz w:val="20"/>
              </w:rPr>
              <w:t> </w:t>
            </w:r>
            <w:r>
              <w:rPr>
                <w:b/>
                <w:spacing w:val="-6"/>
                <w:sz w:val="20"/>
              </w:rPr>
              <w:t>yield </w:t>
            </w:r>
            <w:r>
              <w:rPr>
                <w:b/>
                <w:sz w:val="20"/>
              </w:rPr>
              <w:t>2003-04</w:t>
            </w:r>
            <w:r>
              <w:rPr>
                <w:b/>
                <w:spacing w:val="7"/>
                <w:sz w:val="20"/>
              </w:rPr>
              <w:t> </w:t>
            </w:r>
            <w:r>
              <w:rPr>
                <w:b/>
                <w:spacing w:val="-11"/>
                <w:sz w:val="20"/>
              </w:rPr>
              <w:t>(A)</w:t>
            </w:r>
          </w:p>
        </w:tc>
        <w:tc>
          <w:tcPr>
            <w:tcW w:w="1679" w:type="dxa"/>
            <w:gridSpan w:val="2"/>
            <w:shd w:val="clear" w:color="auto" w:fill="D0D5CD"/>
          </w:tcPr>
          <w:p>
            <w:pPr>
              <w:pStyle w:val="TableParagraph"/>
              <w:spacing w:before="29"/>
              <w:ind w:left="90"/>
              <w:rPr>
                <w:b/>
                <w:sz w:val="20"/>
              </w:rPr>
            </w:pPr>
            <w:r>
              <w:rPr>
                <w:b/>
                <w:w w:val="90"/>
                <w:sz w:val="20"/>
              </w:rPr>
              <w:t>Gap</w:t>
            </w:r>
            <w:r>
              <w:rPr>
                <w:b/>
                <w:spacing w:val="2"/>
                <w:sz w:val="20"/>
              </w:rPr>
              <w:t> </w:t>
            </w:r>
            <w:r>
              <w:rPr>
                <w:b/>
                <w:spacing w:val="-5"/>
                <w:w w:val="95"/>
                <w:sz w:val="20"/>
              </w:rPr>
              <w:t>(%)</w:t>
            </w:r>
          </w:p>
        </w:tc>
      </w:tr>
      <w:tr>
        <w:trPr>
          <w:trHeight w:val="295" w:hRule="atLeast"/>
        </w:trPr>
        <w:tc>
          <w:tcPr>
            <w:tcW w:w="4608" w:type="dxa"/>
            <w:shd w:val="clear" w:color="auto" w:fill="E9E9E9"/>
          </w:tcPr>
          <w:p>
            <w:pPr>
              <w:pStyle w:val="TableParagraph"/>
              <w:spacing w:before="0"/>
              <w:rPr>
                <w:sz w:val="20"/>
              </w:rPr>
            </w:pPr>
          </w:p>
        </w:tc>
        <w:tc>
          <w:tcPr>
            <w:tcW w:w="1094" w:type="dxa"/>
            <w:shd w:val="clear" w:color="auto" w:fill="E9E9E9"/>
          </w:tcPr>
          <w:p>
            <w:pPr>
              <w:pStyle w:val="TableParagraph"/>
              <w:spacing w:before="0"/>
              <w:rPr>
                <w:sz w:val="20"/>
              </w:rPr>
            </w:pPr>
          </w:p>
        </w:tc>
        <w:tc>
          <w:tcPr>
            <w:tcW w:w="1139" w:type="dxa"/>
            <w:shd w:val="clear" w:color="auto" w:fill="E9E9E9"/>
          </w:tcPr>
          <w:p>
            <w:pPr>
              <w:pStyle w:val="TableParagraph"/>
              <w:spacing w:before="0"/>
              <w:rPr>
                <w:sz w:val="20"/>
              </w:rPr>
            </w:pPr>
          </w:p>
        </w:tc>
        <w:tc>
          <w:tcPr>
            <w:tcW w:w="1240" w:type="dxa"/>
            <w:shd w:val="clear" w:color="auto" w:fill="E9E9E9"/>
          </w:tcPr>
          <w:p>
            <w:pPr>
              <w:pStyle w:val="TableParagraph"/>
              <w:spacing w:before="0"/>
              <w:rPr>
                <w:sz w:val="20"/>
              </w:rPr>
            </w:pPr>
          </w:p>
        </w:tc>
        <w:tc>
          <w:tcPr>
            <w:tcW w:w="854" w:type="dxa"/>
            <w:shd w:val="clear" w:color="auto" w:fill="E9E9E9"/>
          </w:tcPr>
          <w:p>
            <w:pPr>
              <w:pStyle w:val="TableParagraph"/>
              <w:spacing w:before="29"/>
              <w:ind w:right="103"/>
              <w:jc w:val="center"/>
              <w:rPr>
                <w:sz w:val="20"/>
              </w:rPr>
            </w:pPr>
            <w:r>
              <w:rPr>
                <w:sz w:val="20"/>
              </w:rPr>
              <w:t>I</w:t>
            </w:r>
            <w:r>
              <w:rPr>
                <w:spacing w:val="-2"/>
                <w:sz w:val="20"/>
              </w:rPr>
              <w:t> </w:t>
            </w:r>
            <w:r>
              <w:rPr>
                <w:sz w:val="20"/>
              </w:rPr>
              <w:t>and</w:t>
            </w:r>
            <w:r>
              <w:rPr>
                <w:spacing w:val="-1"/>
                <w:sz w:val="20"/>
              </w:rPr>
              <w:t> </w:t>
            </w:r>
            <w:r>
              <w:rPr>
                <w:spacing w:val="-10"/>
                <w:sz w:val="20"/>
              </w:rPr>
              <w:t>F</w:t>
            </w:r>
          </w:p>
        </w:tc>
        <w:tc>
          <w:tcPr>
            <w:tcW w:w="825" w:type="dxa"/>
            <w:shd w:val="clear" w:color="auto" w:fill="E9E9E9"/>
          </w:tcPr>
          <w:p>
            <w:pPr>
              <w:pStyle w:val="TableParagraph"/>
              <w:spacing w:before="29"/>
              <w:ind w:left="5" w:right="61"/>
              <w:jc w:val="center"/>
              <w:rPr>
                <w:sz w:val="20"/>
              </w:rPr>
            </w:pPr>
            <w:r>
              <w:rPr>
                <w:sz w:val="20"/>
              </w:rPr>
              <w:t>I</w:t>
            </w:r>
            <w:r>
              <w:rPr>
                <w:spacing w:val="-2"/>
                <w:sz w:val="20"/>
              </w:rPr>
              <w:t> </w:t>
            </w:r>
            <w:r>
              <w:rPr>
                <w:sz w:val="20"/>
              </w:rPr>
              <w:t>and</w:t>
            </w:r>
            <w:r>
              <w:rPr>
                <w:spacing w:val="-1"/>
                <w:sz w:val="20"/>
              </w:rPr>
              <w:t> </w:t>
            </w:r>
            <w:r>
              <w:rPr>
                <w:spacing w:val="-10"/>
                <w:sz w:val="20"/>
              </w:rPr>
              <w:t>A</w:t>
            </w:r>
          </w:p>
        </w:tc>
      </w:tr>
      <w:tr>
        <w:trPr>
          <w:trHeight w:val="354" w:hRule="atLeast"/>
        </w:trPr>
        <w:tc>
          <w:tcPr>
            <w:tcW w:w="4608" w:type="dxa"/>
            <w:shd w:val="clear" w:color="auto" w:fill="D0D5CD"/>
          </w:tcPr>
          <w:p>
            <w:pPr>
              <w:pStyle w:val="TableParagraph"/>
              <w:spacing w:before="29"/>
              <w:ind w:left="90"/>
              <w:rPr>
                <w:sz w:val="20"/>
              </w:rPr>
            </w:pPr>
            <w:r>
              <w:rPr>
                <w:spacing w:val="-2"/>
                <w:sz w:val="20"/>
              </w:rPr>
              <w:t>Wheat</w:t>
            </w:r>
            <w:r>
              <w:rPr>
                <w:spacing w:val="-6"/>
                <w:sz w:val="20"/>
              </w:rPr>
              <w:t> </w:t>
            </w:r>
            <w:r>
              <w:rPr>
                <w:spacing w:val="-2"/>
                <w:sz w:val="20"/>
              </w:rPr>
              <w:t>(Yield:</w:t>
            </w:r>
            <w:r>
              <w:rPr>
                <w:spacing w:val="-6"/>
                <w:sz w:val="20"/>
              </w:rPr>
              <w:t> </w:t>
            </w:r>
            <w:r>
              <w:rPr>
                <w:spacing w:val="-2"/>
                <w:sz w:val="20"/>
              </w:rPr>
              <w:t>Kg/ha</w:t>
            </w:r>
            <w:r>
              <w:rPr>
                <w:spacing w:val="-6"/>
                <w:sz w:val="20"/>
              </w:rPr>
              <w:t> </w:t>
            </w:r>
            <w:r>
              <w:rPr>
                <w:spacing w:val="-2"/>
                <w:sz w:val="20"/>
              </w:rPr>
              <w:t>-</w:t>
            </w:r>
            <w:r>
              <w:rPr>
                <w:spacing w:val="-5"/>
                <w:sz w:val="20"/>
              </w:rPr>
              <w:t> </w:t>
            </w:r>
            <w:r>
              <w:rPr>
                <w:spacing w:val="-2"/>
                <w:sz w:val="20"/>
              </w:rPr>
              <w:t>2002-03</w:t>
            </w:r>
            <w:r>
              <w:rPr>
                <w:spacing w:val="-6"/>
                <w:sz w:val="20"/>
              </w:rPr>
              <w:t> </w:t>
            </w:r>
            <w:r>
              <w:rPr>
                <w:spacing w:val="-2"/>
                <w:sz w:val="20"/>
              </w:rPr>
              <w:t>to</w:t>
            </w:r>
            <w:r>
              <w:rPr>
                <w:spacing w:val="-6"/>
                <w:sz w:val="20"/>
              </w:rPr>
              <w:t> </w:t>
            </w:r>
            <w:r>
              <w:rPr>
                <w:spacing w:val="-2"/>
                <w:sz w:val="20"/>
              </w:rPr>
              <w:t>2004-</w:t>
            </w:r>
            <w:r>
              <w:rPr>
                <w:spacing w:val="-5"/>
                <w:sz w:val="20"/>
              </w:rPr>
              <w:t>05)</w:t>
            </w:r>
          </w:p>
        </w:tc>
        <w:tc>
          <w:tcPr>
            <w:tcW w:w="1094" w:type="dxa"/>
            <w:shd w:val="clear" w:color="auto" w:fill="D0D5CD"/>
          </w:tcPr>
          <w:p>
            <w:pPr>
              <w:pStyle w:val="TableParagraph"/>
              <w:spacing w:before="0"/>
              <w:rPr>
                <w:sz w:val="20"/>
              </w:rPr>
            </w:pPr>
          </w:p>
        </w:tc>
        <w:tc>
          <w:tcPr>
            <w:tcW w:w="1139" w:type="dxa"/>
            <w:shd w:val="clear" w:color="auto" w:fill="D0D5CD"/>
          </w:tcPr>
          <w:p>
            <w:pPr>
              <w:pStyle w:val="TableParagraph"/>
              <w:spacing w:before="0"/>
              <w:rPr>
                <w:sz w:val="20"/>
              </w:rPr>
            </w:pPr>
          </w:p>
        </w:tc>
        <w:tc>
          <w:tcPr>
            <w:tcW w:w="1240" w:type="dxa"/>
            <w:shd w:val="clear" w:color="auto" w:fill="D0D5CD"/>
          </w:tcPr>
          <w:p>
            <w:pPr>
              <w:pStyle w:val="TableParagraph"/>
              <w:spacing w:before="0"/>
              <w:rPr>
                <w:sz w:val="20"/>
              </w:rPr>
            </w:pPr>
          </w:p>
        </w:tc>
        <w:tc>
          <w:tcPr>
            <w:tcW w:w="854" w:type="dxa"/>
            <w:shd w:val="clear" w:color="auto" w:fill="D0D5CD"/>
          </w:tcPr>
          <w:p>
            <w:pPr>
              <w:pStyle w:val="TableParagraph"/>
              <w:spacing w:before="0"/>
              <w:rPr>
                <w:sz w:val="20"/>
              </w:rPr>
            </w:pPr>
          </w:p>
        </w:tc>
        <w:tc>
          <w:tcPr>
            <w:tcW w:w="825" w:type="dxa"/>
            <w:shd w:val="clear" w:color="auto" w:fill="D0D5CD"/>
          </w:tcPr>
          <w:p>
            <w:pPr>
              <w:pStyle w:val="TableParagraph"/>
              <w:spacing w:before="0"/>
              <w:rPr>
                <w:sz w:val="20"/>
              </w:rPr>
            </w:pPr>
          </w:p>
        </w:tc>
      </w:tr>
      <w:tr>
        <w:trPr>
          <w:trHeight w:val="370" w:hRule="atLeast"/>
        </w:trPr>
        <w:tc>
          <w:tcPr>
            <w:tcW w:w="4608" w:type="dxa"/>
            <w:shd w:val="clear" w:color="auto" w:fill="E9E9E9"/>
          </w:tcPr>
          <w:p>
            <w:pPr>
              <w:pStyle w:val="TableParagraph"/>
              <w:spacing w:before="29"/>
              <w:ind w:left="90"/>
              <w:rPr>
                <w:sz w:val="20"/>
              </w:rPr>
            </w:pPr>
            <w:r>
              <w:rPr>
                <w:spacing w:val="-2"/>
                <w:sz w:val="20"/>
              </w:rPr>
              <w:t>Bihar</w:t>
            </w:r>
          </w:p>
        </w:tc>
        <w:tc>
          <w:tcPr>
            <w:tcW w:w="1094" w:type="dxa"/>
            <w:shd w:val="clear" w:color="auto" w:fill="E9E9E9"/>
          </w:tcPr>
          <w:p>
            <w:pPr>
              <w:pStyle w:val="TableParagraph"/>
              <w:spacing w:before="29"/>
              <w:ind w:left="197" w:right="43"/>
              <w:jc w:val="center"/>
              <w:rPr>
                <w:sz w:val="20"/>
              </w:rPr>
            </w:pPr>
            <w:r>
              <w:rPr>
                <w:spacing w:val="-4"/>
                <w:sz w:val="20"/>
              </w:rPr>
              <w:t>3651</w:t>
            </w:r>
          </w:p>
        </w:tc>
        <w:tc>
          <w:tcPr>
            <w:tcW w:w="1139" w:type="dxa"/>
            <w:shd w:val="clear" w:color="auto" w:fill="E9E9E9"/>
          </w:tcPr>
          <w:p>
            <w:pPr>
              <w:pStyle w:val="TableParagraph"/>
              <w:spacing w:before="29"/>
              <w:ind w:right="265"/>
              <w:jc w:val="right"/>
              <w:rPr>
                <w:sz w:val="20"/>
              </w:rPr>
            </w:pPr>
            <w:r>
              <w:rPr>
                <w:spacing w:val="-4"/>
                <w:sz w:val="20"/>
              </w:rPr>
              <w:t>2905</w:t>
            </w:r>
          </w:p>
        </w:tc>
        <w:tc>
          <w:tcPr>
            <w:tcW w:w="1240" w:type="dxa"/>
            <w:shd w:val="clear" w:color="auto" w:fill="E9E9E9"/>
          </w:tcPr>
          <w:p>
            <w:pPr>
              <w:pStyle w:val="TableParagraph"/>
              <w:spacing w:before="29"/>
              <w:ind w:right="265"/>
              <w:jc w:val="right"/>
              <w:rPr>
                <w:sz w:val="20"/>
              </w:rPr>
            </w:pPr>
            <w:r>
              <w:rPr>
                <w:spacing w:val="-4"/>
                <w:sz w:val="20"/>
              </w:rPr>
              <w:t>1783</w:t>
            </w:r>
          </w:p>
        </w:tc>
        <w:tc>
          <w:tcPr>
            <w:tcW w:w="854" w:type="dxa"/>
            <w:shd w:val="clear" w:color="auto" w:fill="E9E9E9"/>
          </w:tcPr>
          <w:p>
            <w:pPr>
              <w:pStyle w:val="TableParagraph"/>
              <w:spacing w:before="29"/>
              <w:ind w:left="71" w:right="103"/>
              <w:jc w:val="center"/>
              <w:rPr>
                <w:sz w:val="20"/>
              </w:rPr>
            </w:pPr>
            <w:r>
              <w:rPr>
                <w:spacing w:val="-4"/>
                <w:sz w:val="20"/>
              </w:rPr>
              <w:t>25.7</w:t>
            </w:r>
          </w:p>
        </w:tc>
        <w:tc>
          <w:tcPr>
            <w:tcW w:w="825" w:type="dxa"/>
            <w:shd w:val="clear" w:color="auto" w:fill="E9E9E9"/>
          </w:tcPr>
          <w:p>
            <w:pPr>
              <w:pStyle w:val="TableParagraph"/>
              <w:spacing w:before="29"/>
              <w:ind w:right="161"/>
              <w:jc w:val="center"/>
              <w:rPr>
                <w:sz w:val="20"/>
              </w:rPr>
            </w:pPr>
            <w:r>
              <w:rPr>
                <w:spacing w:val="-2"/>
                <w:sz w:val="20"/>
              </w:rPr>
              <w:t>104.8</w:t>
            </w:r>
          </w:p>
        </w:tc>
      </w:tr>
      <w:tr>
        <w:trPr>
          <w:trHeight w:val="341" w:hRule="atLeast"/>
        </w:trPr>
        <w:tc>
          <w:tcPr>
            <w:tcW w:w="4608" w:type="dxa"/>
            <w:shd w:val="clear" w:color="auto" w:fill="D0D5CD"/>
          </w:tcPr>
          <w:p>
            <w:pPr>
              <w:pStyle w:val="TableParagraph"/>
              <w:spacing w:before="29"/>
              <w:ind w:left="89"/>
              <w:rPr>
                <w:sz w:val="20"/>
              </w:rPr>
            </w:pPr>
            <w:r>
              <w:rPr>
                <w:spacing w:val="-4"/>
                <w:sz w:val="20"/>
              </w:rPr>
              <w:t>Madhya</w:t>
            </w:r>
            <w:r>
              <w:rPr>
                <w:sz w:val="20"/>
              </w:rPr>
              <w:t> </w:t>
            </w:r>
            <w:r>
              <w:rPr>
                <w:spacing w:val="-2"/>
                <w:sz w:val="20"/>
              </w:rPr>
              <w:t>Pradesh</w:t>
            </w:r>
          </w:p>
        </w:tc>
        <w:tc>
          <w:tcPr>
            <w:tcW w:w="1094" w:type="dxa"/>
            <w:shd w:val="clear" w:color="auto" w:fill="D0D5CD"/>
          </w:tcPr>
          <w:p>
            <w:pPr>
              <w:pStyle w:val="TableParagraph"/>
              <w:spacing w:before="29"/>
              <w:ind w:left="197" w:right="43"/>
              <w:jc w:val="center"/>
              <w:rPr>
                <w:sz w:val="20"/>
              </w:rPr>
            </w:pPr>
            <w:r>
              <w:rPr>
                <w:spacing w:val="-4"/>
                <w:sz w:val="20"/>
              </w:rPr>
              <w:t>3297</w:t>
            </w:r>
          </w:p>
        </w:tc>
        <w:tc>
          <w:tcPr>
            <w:tcW w:w="1139" w:type="dxa"/>
            <w:shd w:val="clear" w:color="auto" w:fill="D0D5CD"/>
          </w:tcPr>
          <w:p>
            <w:pPr>
              <w:pStyle w:val="TableParagraph"/>
              <w:spacing w:before="29"/>
              <w:ind w:right="265"/>
              <w:jc w:val="right"/>
              <w:rPr>
                <w:sz w:val="20"/>
              </w:rPr>
            </w:pPr>
            <w:r>
              <w:rPr>
                <w:spacing w:val="-4"/>
                <w:sz w:val="20"/>
              </w:rPr>
              <w:t>2472</w:t>
            </w:r>
          </w:p>
        </w:tc>
        <w:tc>
          <w:tcPr>
            <w:tcW w:w="1240" w:type="dxa"/>
            <w:shd w:val="clear" w:color="auto" w:fill="D0D5CD"/>
          </w:tcPr>
          <w:p>
            <w:pPr>
              <w:pStyle w:val="TableParagraph"/>
              <w:spacing w:before="29"/>
              <w:ind w:right="265"/>
              <w:jc w:val="right"/>
              <w:rPr>
                <w:sz w:val="20"/>
              </w:rPr>
            </w:pPr>
            <w:r>
              <w:rPr>
                <w:spacing w:val="-4"/>
                <w:sz w:val="20"/>
              </w:rPr>
              <w:t>1789</w:t>
            </w:r>
          </w:p>
        </w:tc>
        <w:tc>
          <w:tcPr>
            <w:tcW w:w="854" w:type="dxa"/>
            <w:shd w:val="clear" w:color="auto" w:fill="D0D5CD"/>
          </w:tcPr>
          <w:p>
            <w:pPr>
              <w:pStyle w:val="TableParagraph"/>
              <w:spacing w:before="29"/>
              <w:ind w:left="71" w:right="103"/>
              <w:jc w:val="center"/>
              <w:rPr>
                <w:sz w:val="20"/>
              </w:rPr>
            </w:pPr>
            <w:r>
              <w:rPr>
                <w:spacing w:val="-4"/>
                <w:sz w:val="20"/>
              </w:rPr>
              <w:t>33.4</w:t>
            </w:r>
          </w:p>
        </w:tc>
        <w:tc>
          <w:tcPr>
            <w:tcW w:w="825" w:type="dxa"/>
            <w:shd w:val="clear" w:color="auto" w:fill="D0D5CD"/>
          </w:tcPr>
          <w:p>
            <w:pPr>
              <w:pStyle w:val="TableParagraph"/>
              <w:spacing w:before="29"/>
              <w:ind w:right="61"/>
              <w:jc w:val="center"/>
              <w:rPr>
                <w:sz w:val="20"/>
              </w:rPr>
            </w:pPr>
            <w:r>
              <w:rPr>
                <w:spacing w:val="-4"/>
                <w:sz w:val="20"/>
              </w:rPr>
              <w:t>84.3</w:t>
            </w:r>
          </w:p>
        </w:tc>
      </w:tr>
      <w:tr>
        <w:trPr>
          <w:trHeight w:val="351" w:hRule="atLeast"/>
        </w:trPr>
        <w:tc>
          <w:tcPr>
            <w:tcW w:w="4608" w:type="dxa"/>
            <w:shd w:val="clear" w:color="auto" w:fill="E9E9E9"/>
          </w:tcPr>
          <w:p>
            <w:pPr>
              <w:pStyle w:val="TableParagraph"/>
              <w:spacing w:before="29"/>
              <w:ind w:left="89"/>
              <w:rPr>
                <w:sz w:val="20"/>
              </w:rPr>
            </w:pPr>
            <w:r>
              <w:rPr>
                <w:sz w:val="20"/>
              </w:rPr>
              <w:t>Uttar</w:t>
            </w:r>
            <w:r>
              <w:rPr>
                <w:spacing w:val="-1"/>
                <w:sz w:val="20"/>
              </w:rPr>
              <w:t> </w:t>
            </w:r>
            <w:r>
              <w:rPr>
                <w:spacing w:val="-2"/>
                <w:sz w:val="20"/>
              </w:rPr>
              <w:t>Pradesh</w:t>
            </w:r>
          </w:p>
        </w:tc>
        <w:tc>
          <w:tcPr>
            <w:tcW w:w="1094" w:type="dxa"/>
            <w:shd w:val="clear" w:color="auto" w:fill="E9E9E9"/>
          </w:tcPr>
          <w:p>
            <w:pPr>
              <w:pStyle w:val="TableParagraph"/>
              <w:spacing w:before="29"/>
              <w:ind w:left="197" w:right="43"/>
              <w:jc w:val="center"/>
              <w:rPr>
                <w:sz w:val="20"/>
              </w:rPr>
            </w:pPr>
            <w:r>
              <w:rPr>
                <w:spacing w:val="-4"/>
                <w:sz w:val="20"/>
              </w:rPr>
              <w:t>4206</w:t>
            </w:r>
          </w:p>
        </w:tc>
        <w:tc>
          <w:tcPr>
            <w:tcW w:w="1139" w:type="dxa"/>
            <w:shd w:val="clear" w:color="auto" w:fill="E9E9E9"/>
          </w:tcPr>
          <w:p>
            <w:pPr>
              <w:pStyle w:val="TableParagraph"/>
              <w:spacing w:before="29"/>
              <w:ind w:right="265"/>
              <w:jc w:val="right"/>
              <w:rPr>
                <w:sz w:val="20"/>
              </w:rPr>
            </w:pPr>
            <w:r>
              <w:rPr>
                <w:spacing w:val="-4"/>
                <w:sz w:val="20"/>
              </w:rPr>
              <w:t>3324</w:t>
            </w:r>
          </w:p>
        </w:tc>
        <w:tc>
          <w:tcPr>
            <w:tcW w:w="1240" w:type="dxa"/>
            <w:shd w:val="clear" w:color="auto" w:fill="E9E9E9"/>
          </w:tcPr>
          <w:p>
            <w:pPr>
              <w:pStyle w:val="TableParagraph"/>
              <w:spacing w:before="29"/>
              <w:ind w:right="265"/>
              <w:jc w:val="right"/>
              <w:rPr>
                <w:sz w:val="20"/>
              </w:rPr>
            </w:pPr>
            <w:r>
              <w:rPr>
                <w:spacing w:val="-4"/>
                <w:sz w:val="20"/>
              </w:rPr>
              <w:t>2794</w:t>
            </w:r>
          </w:p>
        </w:tc>
        <w:tc>
          <w:tcPr>
            <w:tcW w:w="854" w:type="dxa"/>
            <w:shd w:val="clear" w:color="auto" w:fill="E9E9E9"/>
          </w:tcPr>
          <w:p>
            <w:pPr>
              <w:pStyle w:val="TableParagraph"/>
              <w:spacing w:before="29"/>
              <w:ind w:left="71" w:right="103"/>
              <w:jc w:val="center"/>
              <w:rPr>
                <w:sz w:val="20"/>
              </w:rPr>
            </w:pPr>
            <w:r>
              <w:rPr>
                <w:spacing w:val="-4"/>
                <w:sz w:val="20"/>
              </w:rPr>
              <w:t>26.5</w:t>
            </w:r>
          </w:p>
        </w:tc>
        <w:tc>
          <w:tcPr>
            <w:tcW w:w="825" w:type="dxa"/>
            <w:shd w:val="clear" w:color="auto" w:fill="E9E9E9"/>
          </w:tcPr>
          <w:p>
            <w:pPr>
              <w:pStyle w:val="TableParagraph"/>
              <w:spacing w:before="29"/>
              <w:ind w:right="61"/>
              <w:jc w:val="center"/>
              <w:rPr>
                <w:sz w:val="20"/>
              </w:rPr>
            </w:pPr>
            <w:r>
              <w:rPr>
                <w:spacing w:val="-4"/>
                <w:sz w:val="20"/>
              </w:rPr>
              <w:t>50.5</w:t>
            </w:r>
          </w:p>
        </w:tc>
      </w:tr>
      <w:tr>
        <w:trPr>
          <w:trHeight w:val="404" w:hRule="atLeast"/>
        </w:trPr>
        <w:tc>
          <w:tcPr>
            <w:tcW w:w="4608" w:type="dxa"/>
            <w:shd w:val="clear" w:color="auto" w:fill="D0D5CD"/>
          </w:tcPr>
          <w:p>
            <w:pPr>
              <w:pStyle w:val="TableParagraph"/>
              <w:spacing w:before="29"/>
              <w:ind w:left="89"/>
              <w:rPr>
                <w:sz w:val="20"/>
              </w:rPr>
            </w:pPr>
            <w:r>
              <w:rPr>
                <w:spacing w:val="-2"/>
                <w:sz w:val="20"/>
              </w:rPr>
              <w:t>Rice</w:t>
            </w:r>
            <w:r>
              <w:rPr>
                <w:spacing w:val="-11"/>
                <w:sz w:val="20"/>
              </w:rPr>
              <w:t> </w:t>
            </w:r>
            <w:r>
              <w:rPr>
                <w:spacing w:val="-2"/>
                <w:sz w:val="20"/>
              </w:rPr>
              <w:t>(irrigated)</w:t>
            </w:r>
            <w:r>
              <w:rPr>
                <w:spacing w:val="-10"/>
                <w:sz w:val="20"/>
              </w:rPr>
              <w:t> </w:t>
            </w:r>
            <w:r>
              <w:rPr>
                <w:spacing w:val="-2"/>
                <w:sz w:val="20"/>
              </w:rPr>
              <w:t>(Yield:</w:t>
            </w:r>
            <w:r>
              <w:rPr>
                <w:spacing w:val="-11"/>
                <w:sz w:val="20"/>
              </w:rPr>
              <w:t> </w:t>
            </w:r>
            <w:r>
              <w:rPr>
                <w:spacing w:val="-2"/>
                <w:sz w:val="20"/>
              </w:rPr>
              <w:t>Kg/ha</w:t>
            </w:r>
            <w:r>
              <w:rPr>
                <w:spacing w:val="-10"/>
                <w:sz w:val="20"/>
              </w:rPr>
              <w:t> </w:t>
            </w:r>
            <w:r>
              <w:rPr>
                <w:spacing w:val="-2"/>
                <w:sz w:val="20"/>
              </w:rPr>
              <w:t>-</w:t>
            </w:r>
            <w:r>
              <w:rPr>
                <w:spacing w:val="-11"/>
                <w:sz w:val="20"/>
              </w:rPr>
              <w:t> </w:t>
            </w:r>
            <w:r>
              <w:rPr>
                <w:spacing w:val="-2"/>
                <w:sz w:val="20"/>
              </w:rPr>
              <w:t>2003-04</w:t>
            </w:r>
            <w:r>
              <w:rPr>
                <w:spacing w:val="-10"/>
                <w:sz w:val="20"/>
              </w:rPr>
              <w:t> </w:t>
            </w:r>
            <w:r>
              <w:rPr>
                <w:spacing w:val="-2"/>
                <w:sz w:val="20"/>
              </w:rPr>
              <w:t>to</w:t>
            </w:r>
            <w:r>
              <w:rPr>
                <w:spacing w:val="-11"/>
                <w:sz w:val="20"/>
              </w:rPr>
              <w:t> </w:t>
            </w:r>
            <w:r>
              <w:rPr>
                <w:spacing w:val="-2"/>
                <w:sz w:val="20"/>
              </w:rPr>
              <w:t>2004-</w:t>
            </w:r>
            <w:r>
              <w:rPr>
                <w:spacing w:val="-5"/>
                <w:sz w:val="20"/>
              </w:rPr>
              <w:t>05)</w:t>
            </w:r>
          </w:p>
        </w:tc>
        <w:tc>
          <w:tcPr>
            <w:tcW w:w="1094" w:type="dxa"/>
            <w:shd w:val="clear" w:color="auto" w:fill="D0D5CD"/>
          </w:tcPr>
          <w:p>
            <w:pPr>
              <w:pStyle w:val="TableParagraph"/>
              <w:spacing w:before="0"/>
              <w:rPr>
                <w:sz w:val="20"/>
              </w:rPr>
            </w:pPr>
          </w:p>
        </w:tc>
        <w:tc>
          <w:tcPr>
            <w:tcW w:w="1139" w:type="dxa"/>
            <w:shd w:val="clear" w:color="auto" w:fill="D0D5CD"/>
          </w:tcPr>
          <w:p>
            <w:pPr>
              <w:pStyle w:val="TableParagraph"/>
              <w:spacing w:before="0"/>
              <w:rPr>
                <w:sz w:val="20"/>
              </w:rPr>
            </w:pPr>
          </w:p>
        </w:tc>
        <w:tc>
          <w:tcPr>
            <w:tcW w:w="1240" w:type="dxa"/>
            <w:shd w:val="clear" w:color="auto" w:fill="D0D5CD"/>
          </w:tcPr>
          <w:p>
            <w:pPr>
              <w:pStyle w:val="TableParagraph"/>
              <w:spacing w:before="0"/>
              <w:rPr>
                <w:sz w:val="20"/>
              </w:rPr>
            </w:pPr>
          </w:p>
        </w:tc>
        <w:tc>
          <w:tcPr>
            <w:tcW w:w="854" w:type="dxa"/>
            <w:shd w:val="clear" w:color="auto" w:fill="D0D5CD"/>
          </w:tcPr>
          <w:p>
            <w:pPr>
              <w:pStyle w:val="TableParagraph"/>
              <w:spacing w:before="0"/>
              <w:rPr>
                <w:sz w:val="20"/>
              </w:rPr>
            </w:pPr>
          </w:p>
        </w:tc>
        <w:tc>
          <w:tcPr>
            <w:tcW w:w="825" w:type="dxa"/>
            <w:shd w:val="clear" w:color="auto" w:fill="D0D5CD"/>
          </w:tcPr>
          <w:p>
            <w:pPr>
              <w:pStyle w:val="TableParagraph"/>
              <w:spacing w:before="0"/>
              <w:rPr>
                <w:sz w:val="20"/>
              </w:rPr>
            </w:pPr>
          </w:p>
        </w:tc>
      </w:tr>
      <w:tr>
        <w:trPr>
          <w:trHeight w:val="348" w:hRule="atLeast"/>
        </w:trPr>
        <w:tc>
          <w:tcPr>
            <w:tcW w:w="4608" w:type="dxa"/>
            <w:shd w:val="clear" w:color="auto" w:fill="E9E9E9"/>
          </w:tcPr>
          <w:p>
            <w:pPr>
              <w:pStyle w:val="TableParagraph"/>
              <w:spacing w:before="29"/>
              <w:ind w:left="89"/>
              <w:rPr>
                <w:sz w:val="20"/>
              </w:rPr>
            </w:pPr>
            <w:r>
              <w:rPr>
                <w:sz w:val="20"/>
              </w:rPr>
              <w:t>Uttar</w:t>
            </w:r>
            <w:r>
              <w:rPr>
                <w:spacing w:val="-1"/>
                <w:sz w:val="20"/>
              </w:rPr>
              <w:t> </w:t>
            </w:r>
            <w:r>
              <w:rPr>
                <w:spacing w:val="-2"/>
                <w:sz w:val="20"/>
              </w:rPr>
              <w:t>Pradesh</w:t>
            </w:r>
          </w:p>
        </w:tc>
        <w:tc>
          <w:tcPr>
            <w:tcW w:w="1094" w:type="dxa"/>
            <w:shd w:val="clear" w:color="auto" w:fill="E9E9E9"/>
          </w:tcPr>
          <w:p>
            <w:pPr>
              <w:pStyle w:val="TableParagraph"/>
              <w:spacing w:before="29"/>
              <w:ind w:left="197" w:right="43"/>
              <w:jc w:val="center"/>
              <w:rPr>
                <w:sz w:val="20"/>
              </w:rPr>
            </w:pPr>
            <w:r>
              <w:rPr>
                <w:spacing w:val="-4"/>
                <w:sz w:val="20"/>
              </w:rPr>
              <w:t>7050</w:t>
            </w:r>
          </w:p>
        </w:tc>
        <w:tc>
          <w:tcPr>
            <w:tcW w:w="1139" w:type="dxa"/>
            <w:shd w:val="clear" w:color="auto" w:fill="E9E9E9"/>
          </w:tcPr>
          <w:p>
            <w:pPr>
              <w:pStyle w:val="TableParagraph"/>
              <w:spacing w:before="29"/>
              <w:ind w:right="265"/>
              <w:jc w:val="right"/>
              <w:rPr>
                <w:sz w:val="20"/>
              </w:rPr>
            </w:pPr>
            <w:r>
              <w:rPr>
                <w:spacing w:val="-4"/>
                <w:sz w:val="20"/>
              </w:rPr>
              <w:t>5200</w:t>
            </w:r>
          </w:p>
        </w:tc>
        <w:tc>
          <w:tcPr>
            <w:tcW w:w="1240" w:type="dxa"/>
            <w:shd w:val="clear" w:color="auto" w:fill="E9E9E9"/>
          </w:tcPr>
          <w:p>
            <w:pPr>
              <w:pStyle w:val="TableParagraph"/>
              <w:spacing w:before="29"/>
              <w:ind w:right="265"/>
              <w:jc w:val="right"/>
              <w:rPr>
                <w:sz w:val="20"/>
              </w:rPr>
            </w:pPr>
            <w:r>
              <w:rPr>
                <w:spacing w:val="-4"/>
                <w:sz w:val="20"/>
              </w:rPr>
              <w:t>2187</w:t>
            </w:r>
          </w:p>
        </w:tc>
        <w:tc>
          <w:tcPr>
            <w:tcW w:w="854" w:type="dxa"/>
            <w:shd w:val="clear" w:color="auto" w:fill="E9E9E9"/>
          </w:tcPr>
          <w:p>
            <w:pPr>
              <w:pStyle w:val="TableParagraph"/>
              <w:spacing w:before="29"/>
              <w:ind w:left="71" w:right="103"/>
              <w:jc w:val="center"/>
              <w:rPr>
                <w:sz w:val="20"/>
              </w:rPr>
            </w:pPr>
            <w:r>
              <w:rPr>
                <w:spacing w:val="-4"/>
                <w:sz w:val="20"/>
              </w:rPr>
              <w:t>35.6</w:t>
            </w:r>
          </w:p>
        </w:tc>
        <w:tc>
          <w:tcPr>
            <w:tcW w:w="825" w:type="dxa"/>
            <w:shd w:val="clear" w:color="auto" w:fill="E9E9E9"/>
          </w:tcPr>
          <w:p>
            <w:pPr>
              <w:pStyle w:val="TableParagraph"/>
              <w:spacing w:before="29"/>
              <w:ind w:right="161"/>
              <w:jc w:val="center"/>
              <w:rPr>
                <w:sz w:val="20"/>
              </w:rPr>
            </w:pPr>
            <w:r>
              <w:rPr>
                <w:spacing w:val="-2"/>
                <w:sz w:val="20"/>
              </w:rPr>
              <w:t>222.4</w:t>
            </w:r>
          </w:p>
        </w:tc>
      </w:tr>
      <w:tr>
        <w:trPr>
          <w:trHeight w:val="285" w:hRule="atLeast"/>
        </w:trPr>
        <w:tc>
          <w:tcPr>
            <w:tcW w:w="4608" w:type="dxa"/>
            <w:shd w:val="clear" w:color="auto" w:fill="D0D5CD"/>
          </w:tcPr>
          <w:p>
            <w:pPr>
              <w:pStyle w:val="TableParagraph"/>
              <w:spacing w:before="29"/>
              <w:ind w:left="89"/>
              <w:rPr>
                <w:sz w:val="20"/>
              </w:rPr>
            </w:pPr>
            <w:r>
              <w:rPr>
                <w:spacing w:val="-2"/>
                <w:sz w:val="20"/>
              </w:rPr>
              <w:t>Bihar</w:t>
            </w:r>
          </w:p>
        </w:tc>
        <w:tc>
          <w:tcPr>
            <w:tcW w:w="1094" w:type="dxa"/>
            <w:shd w:val="clear" w:color="auto" w:fill="D0D5CD"/>
          </w:tcPr>
          <w:p>
            <w:pPr>
              <w:pStyle w:val="TableParagraph"/>
              <w:spacing w:before="29"/>
              <w:ind w:left="197" w:right="43"/>
              <w:jc w:val="center"/>
              <w:rPr>
                <w:sz w:val="20"/>
              </w:rPr>
            </w:pPr>
            <w:r>
              <w:rPr>
                <w:spacing w:val="-4"/>
                <w:sz w:val="20"/>
              </w:rPr>
              <w:t>4883</w:t>
            </w:r>
          </w:p>
        </w:tc>
        <w:tc>
          <w:tcPr>
            <w:tcW w:w="1139" w:type="dxa"/>
            <w:shd w:val="clear" w:color="auto" w:fill="D0D5CD"/>
          </w:tcPr>
          <w:p>
            <w:pPr>
              <w:pStyle w:val="TableParagraph"/>
              <w:spacing w:before="29"/>
              <w:ind w:right="265"/>
              <w:jc w:val="right"/>
              <w:rPr>
                <w:sz w:val="20"/>
              </w:rPr>
            </w:pPr>
            <w:r>
              <w:rPr>
                <w:spacing w:val="-4"/>
                <w:sz w:val="20"/>
              </w:rPr>
              <w:t>4158</w:t>
            </w:r>
          </w:p>
        </w:tc>
        <w:tc>
          <w:tcPr>
            <w:tcW w:w="1240" w:type="dxa"/>
            <w:shd w:val="clear" w:color="auto" w:fill="D0D5CD"/>
          </w:tcPr>
          <w:p>
            <w:pPr>
              <w:pStyle w:val="TableParagraph"/>
              <w:spacing w:before="29"/>
              <w:ind w:right="265"/>
              <w:jc w:val="right"/>
              <w:rPr>
                <w:sz w:val="20"/>
              </w:rPr>
            </w:pPr>
            <w:r>
              <w:rPr>
                <w:spacing w:val="-4"/>
                <w:sz w:val="20"/>
              </w:rPr>
              <w:t>1516</w:t>
            </w:r>
          </w:p>
        </w:tc>
        <w:tc>
          <w:tcPr>
            <w:tcW w:w="854" w:type="dxa"/>
            <w:shd w:val="clear" w:color="auto" w:fill="D0D5CD"/>
          </w:tcPr>
          <w:p>
            <w:pPr>
              <w:pStyle w:val="TableParagraph"/>
              <w:spacing w:before="29"/>
              <w:ind w:left="71" w:right="103"/>
              <w:jc w:val="center"/>
              <w:rPr>
                <w:sz w:val="20"/>
              </w:rPr>
            </w:pPr>
            <w:r>
              <w:rPr>
                <w:spacing w:val="-4"/>
                <w:sz w:val="20"/>
              </w:rPr>
              <w:t>17.4</w:t>
            </w:r>
          </w:p>
        </w:tc>
        <w:tc>
          <w:tcPr>
            <w:tcW w:w="825" w:type="dxa"/>
            <w:shd w:val="clear" w:color="auto" w:fill="D0D5CD"/>
          </w:tcPr>
          <w:p>
            <w:pPr>
              <w:pStyle w:val="TableParagraph"/>
              <w:spacing w:before="29"/>
              <w:ind w:right="161"/>
              <w:jc w:val="center"/>
              <w:rPr>
                <w:sz w:val="20"/>
              </w:rPr>
            </w:pPr>
            <w:r>
              <w:rPr>
                <w:spacing w:val="-2"/>
                <w:sz w:val="20"/>
              </w:rPr>
              <w:t>222.1</w:t>
            </w:r>
          </w:p>
        </w:tc>
      </w:tr>
      <w:tr>
        <w:trPr>
          <w:trHeight w:val="396" w:hRule="atLeast"/>
        </w:trPr>
        <w:tc>
          <w:tcPr>
            <w:tcW w:w="4608" w:type="dxa"/>
            <w:shd w:val="clear" w:color="auto" w:fill="E9E9E9"/>
          </w:tcPr>
          <w:p>
            <w:pPr>
              <w:pStyle w:val="TableParagraph"/>
              <w:spacing w:before="29"/>
              <w:ind w:left="90"/>
              <w:rPr>
                <w:sz w:val="20"/>
              </w:rPr>
            </w:pPr>
            <w:r>
              <w:rPr>
                <w:spacing w:val="-2"/>
                <w:sz w:val="20"/>
              </w:rPr>
              <w:t>Chhattisgarh</w:t>
            </w:r>
          </w:p>
        </w:tc>
        <w:tc>
          <w:tcPr>
            <w:tcW w:w="1094" w:type="dxa"/>
            <w:shd w:val="clear" w:color="auto" w:fill="E9E9E9"/>
          </w:tcPr>
          <w:p>
            <w:pPr>
              <w:pStyle w:val="TableParagraph"/>
              <w:spacing w:before="29"/>
              <w:ind w:left="197" w:right="43"/>
              <w:jc w:val="center"/>
              <w:rPr>
                <w:sz w:val="20"/>
              </w:rPr>
            </w:pPr>
            <w:r>
              <w:rPr>
                <w:spacing w:val="-4"/>
                <w:sz w:val="20"/>
              </w:rPr>
              <w:t>3919</w:t>
            </w:r>
          </w:p>
        </w:tc>
        <w:tc>
          <w:tcPr>
            <w:tcW w:w="1139" w:type="dxa"/>
            <w:shd w:val="clear" w:color="auto" w:fill="E9E9E9"/>
          </w:tcPr>
          <w:p>
            <w:pPr>
              <w:pStyle w:val="TableParagraph"/>
              <w:spacing w:before="29"/>
              <w:ind w:right="265"/>
              <w:jc w:val="right"/>
              <w:rPr>
                <w:sz w:val="20"/>
              </w:rPr>
            </w:pPr>
            <w:r>
              <w:rPr>
                <w:spacing w:val="-4"/>
                <w:sz w:val="20"/>
              </w:rPr>
              <w:t>3137</w:t>
            </w:r>
          </w:p>
        </w:tc>
        <w:tc>
          <w:tcPr>
            <w:tcW w:w="1240" w:type="dxa"/>
            <w:shd w:val="clear" w:color="auto" w:fill="E9E9E9"/>
          </w:tcPr>
          <w:p>
            <w:pPr>
              <w:pStyle w:val="TableParagraph"/>
              <w:spacing w:before="29"/>
              <w:ind w:right="265"/>
              <w:jc w:val="right"/>
              <w:rPr>
                <w:sz w:val="20"/>
              </w:rPr>
            </w:pPr>
            <w:r>
              <w:rPr>
                <w:spacing w:val="-4"/>
                <w:sz w:val="20"/>
              </w:rPr>
              <w:t>1455</w:t>
            </w:r>
          </w:p>
        </w:tc>
        <w:tc>
          <w:tcPr>
            <w:tcW w:w="854" w:type="dxa"/>
            <w:shd w:val="clear" w:color="auto" w:fill="E9E9E9"/>
          </w:tcPr>
          <w:p>
            <w:pPr>
              <w:pStyle w:val="TableParagraph"/>
              <w:spacing w:before="29"/>
              <w:ind w:left="71" w:right="103"/>
              <w:jc w:val="center"/>
              <w:rPr>
                <w:sz w:val="20"/>
              </w:rPr>
            </w:pPr>
            <w:r>
              <w:rPr>
                <w:spacing w:val="-4"/>
                <w:sz w:val="20"/>
              </w:rPr>
              <w:t>24.9</w:t>
            </w:r>
          </w:p>
        </w:tc>
        <w:tc>
          <w:tcPr>
            <w:tcW w:w="825" w:type="dxa"/>
            <w:shd w:val="clear" w:color="auto" w:fill="E9E9E9"/>
          </w:tcPr>
          <w:p>
            <w:pPr>
              <w:pStyle w:val="TableParagraph"/>
              <w:spacing w:before="29"/>
              <w:ind w:right="161"/>
              <w:jc w:val="center"/>
              <w:rPr>
                <w:sz w:val="20"/>
              </w:rPr>
            </w:pPr>
            <w:r>
              <w:rPr>
                <w:spacing w:val="-2"/>
                <w:sz w:val="20"/>
              </w:rPr>
              <w:t>169.4</w:t>
            </w:r>
          </w:p>
        </w:tc>
      </w:tr>
      <w:tr>
        <w:trPr>
          <w:trHeight w:val="341" w:hRule="atLeast"/>
        </w:trPr>
        <w:tc>
          <w:tcPr>
            <w:tcW w:w="4608" w:type="dxa"/>
            <w:shd w:val="clear" w:color="auto" w:fill="D0D5CD"/>
          </w:tcPr>
          <w:p>
            <w:pPr>
              <w:pStyle w:val="TableParagraph"/>
              <w:spacing w:before="29"/>
              <w:ind w:left="89"/>
              <w:rPr>
                <w:sz w:val="20"/>
              </w:rPr>
            </w:pPr>
            <w:r>
              <w:rPr>
                <w:spacing w:val="-2"/>
                <w:sz w:val="20"/>
              </w:rPr>
              <w:t>Sugarcane</w:t>
            </w:r>
          </w:p>
        </w:tc>
        <w:tc>
          <w:tcPr>
            <w:tcW w:w="1094" w:type="dxa"/>
            <w:shd w:val="clear" w:color="auto" w:fill="D0D5CD"/>
          </w:tcPr>
          <w:p>
            <w:pPr>
              <w:pStyle w:val="TableParagraph"/>
              <w:spacing w:before="0"/>
              <w:rPr>
                <w:sz w:val="20"/>
              </w:rPr>
            </w:pPr>
          </w:p>
        </w:tc>
        <w:tc>
          <w:tcPr>
            <w:tcW w:w="1139" w:type="dxa"/>
            <w:shd w:val="clear" w:color="auto" w:fill="D0D5CD"/>
          </w:tcPr>
          <w:p>
            <w:pPr>
              <w:pStyle w:val="TableParagraph"/>
              <w:spacing w:before="0"/>
              <w:rPr>
                <w:sz w:val="20"/>
              </w:rPr>
            </w:pPr>
          </w:p>
        </w:tc>
        <w:tc>
          <w:tcPr>
            <w:tcW w:w="1240" w:type="dxa"/>
            <w:shd w:val="clear" w:color="auto" w:fill="D0D5CD"/>
          </w:tcPr>
          <w:p>
            <w:pPr>
              <w:pStyle w:val="TableParagraph"/>
              <w:spacing w:before="0"/>
              <w:rPr>
                <w:sz w:val="20"/>
              </w:rPr>
            </w:pPr>
          </w:p>
        </w:tc>
        <w:tc>
          <w:tcPr>
            <w:tcW w:w="854" w:type="dxa"/>
            <w:shd w:val="clear" w:color="auto" w:fill="D0D5CD"/>
          </w:tcPr>
          <w:p>
            <w:pPr>
              <w:pStyle w:val="TableParagraph"/>
              <w:spacing w:before="0"/>
              <w:rPr>
                <w:sz w:val="20"/>
              </w:rPr>
            </w:pPr>
          </w:p>
        </w:tc>
        <w:tc>
          <w:tcPr>
            <w:tcW w:w="825" w:type="dxa"/>
            <w:shd w:val="clear" w:color="auto" w:fill="D0D5CD"/>
          </w:tcPr>
          <w:p>
            <w:pPr>
              <w:pStyle w:val="TableParagraph"/>
              <w:spacing w:before="0"/>
              <w:rPr>
                <w:sz w:val="20"/>
              </w:rPr>
            </w:pPr>
          </w:p>
        </w:tc>
      </w:tr>
      <w:tr>
        <w:trPr>
          <w:trHeight w:val="285" w:hRule="atLeast"/>
        </w:trPr>
        <w:tc>
          <w:tcPr>
            <w:tcW w:w="4608" w:type="dxa"/>
            <w:shd w:val="clear" w:color="auto" w:fill="E9E9E9"/>
          </w:tcPr>
          <w:p>
            <w:pPr>
              <w:pStyle w:val="TableParagraph"/>
              <w:spacing w:before="29"/>
              <w:ind w:left="89"/>
              <w:rPr>
                <w:sz w:val="20"/>
              </w:rPr>
            </w:pPr>
            <w:r>
              <w:rPr>
                <w:spacing w:val="-2"/>
                <w:sz w:val="20"/>
              </w:rPr>
              <w:t>Maharashtra</w:t>
            </w:r>
          </w:p>
        </w:tc>
        <w:tc>
          <w:tcPr>
            <w:tcW w:w="1094" w:type="dxa"/>
            <w:shd w:val="clear" w:color="auto" w:fill="E9E9E9"/>
          </w:tcPr>
          <w:p>
            <w:pPr>
              <w:pStyle w:val="TableParagraph"/>
              <w:spacing w:before="29"/>
              <w:ind w:left="154" w:right="197"/>
              <w:jc w:val="center"/>
              <w:rPr>
                <w:sz w:val="20"/>
              </w:rPr>
            </w:pPr>
            <w:r>
              <w:rPr>
                <w:spacing w:val="-2"/>
                <w:sz w:val="20"/>
              </w:rPr>
              <w:t>127440</w:t>
            </w:r>
          </w:p>
        </w:tc>
        <w:tc>
          <w:tcPr>
            <w:tcW w:w="1139" w:type="dxa"/>
            <w:shd w:val="clear" w:color="auto" w:fill="E9E9E9"/>
          </w:tcPr>
          <w:p>
            <w:pPr>
              <w:pStyle w:val="TableParagraph"/>
              <w:spacing w:before="29"/>
              <w:ind w:right="265"/>
              <w:jc w:val="right"/>
              <w:rPr>
                <w:sz w:val="20"/>
              </w:rPr>
            </w:pPr>
            <w:r>
              <w:rPr>
                <w:spacing w:val="-2"/>
                <w:sz w:val="20"/>
              </w:rPr>
              <w:t>99520</w:t>
            </w:r>
          </w:p>
        </w:tc>
        <w:tc>
          <w:tcPr>
            <w:tcW w:w="1240" w:type="dxa"/>
            <w:shd w:val="clear" w:color="auto" w:fill="E9E9E9"/>
          </w:tcPr>
          <w:p>
            <w:pPr>
              <w:pStyle w:val="TableParagraph"/>
              <w:spacing w:before="29"/>
              <w:ind w:right="265"/>
              <w:jc w:val="right"/>
              <w:rPr>
                <w:sz w:val="20"/>
              </w:rPr>
            </w:pPr>
            <w:r>
              <w:rPr>
                <w:spacing w:val="-2"/>
                <w:sz w:val="20"/>
              </w:rPr>
              <w:t>51297</w:t>
            </w:r>
          </w:p>
        </w:tc>
        <w:tc>
          <w:tcPr>
            <w:tcW w:w="854" w:type="dxa"/>
            <w:shd w:val="clear" w:color="auto" w:fill="E9E9E9"/>
          </w:tcPr>
          <w:p>
            <w:pPr>
              <w:pStyle w:val="TableParagraph"/>
              <w:spacing w:before="29"/>
              <w:ind w:left="71" w:right="103"/>
              <w:jc w:val="center"/>
              <w:rPr>
                <w:sz w:val="20"/>
              </w:rPr>
            </w:pPr>
            <w:r>
              <w:rPr>
                <w:spacing w:val="-4"/>
                <w:sz w:val="20"/>
              </w:rPr>
              <w:t>28.1</w:t>
            </w:r>
          </w:p>
        </w:tc>
        <w:tc>
          <w:tcPr>
            <w:tcW w:w="825" w:type="dxa"/>
            <w:shd w:val="clear" w:color="auto" w:fill="E9E9E9"/>
          </w:tcPr>
          <w:p>
            <w:pPr>
              <w:pStyle w:val="TableParagraph"/>
              <w:spacing w:before="29"/>
              <w:ind w:right="161"/>
              <w:jc w:val="center"/>
              <w:rPr>
                <w:sz w:val="20"/>
              </w:rPr>
            </w:pPr>
            <w:r>
              <w:rPr>
                <w:spacing w:val="-2"/>
                <w:sz w:val="20"/>
              </w:rPr>
              <w:t>148.4</w:t>
            </w:r>
          </w:p>
        </w:tc>
      </w:tr>
      <w:tr>
        <w:trPr>
          <w:trHeight w:val="330" w:hRule="atLeast"/>
        </w:trPr>
        <w:tc>
          <w:tcPr>
            <w:tcW w:w="4608" w:type="dxa"/>
            <w:shd w:val="clear" w:color="auto" w:fill="D0D5CD"/>
          </w:tcPr>
          <w:p>
            <w:pPr>
              <w:pStyle w:val="TableParagraph"/>
              <w:spacing w:before="29"/>
              <w:ind w:left="90"/>
              <w:rPr>
                <w:sz w:val="20"/>
              </w:rPr>
            </w:pPr>
            <w:r>
              <w:rPr>
                <w:spacing w:val="-2"/>
                <w:sz w:val="20"/>
              </w:rPr>
              <w:t>Karnataka</w:t>
            </w:r>
          </w:p>
        </w:tc>
        <w:tc>
          <w:tcPr>
            <w:tcW w:w="1094" w:type="dxa"/>
            <w:shd w:val="clear" w:color="auto" w:fill="D0D5CD"/>
          </w:tcPr>
          <w:p>
            <w:pPr>
              <w:pStyle w:val="TableParagraph"/>
              <w:spacing w:before="29"/>
              <w:ind w:left="154" w:right="197"/>
              <w:jc w:val="center"/>
              <w:rPr>
                <w:sz w:val="20"/>
              </w:rPr>
            </w:pPr>
            <w:r>
              <w:rPr>
                <w:spacing w:val="-2"/>
                <w:sz w:val="20"/>
              </w:rPr>
              <w:t>147390</w:t>
            </w:r>
          </w:p>
        </w:tc>
        <w:tc>
          <w:tcPr>
            <w:tcW w:w="1139" w:type="dxa"/>
            <w:shd w:val="clear" w:color="auto" w:fill="D0D5CD"/>
          </w:tcPr>
          <w:p>
            <w:pPr>
              <w:pStyle w:val="TableParagraph"/>
              <w:spacing w:before="29"/>
              <w:ind w:right="265"/>
              <w:jc w:val="right"/>
              <w:rPr>
                <w:sz w:val="20"/>
              </w:rPr>
            </w:pPr>
            <w:r>
              <w:rPr>
                <w:spacing w:val="-2"/>
                <w:sz w:val="20"/>
              </w:rPr>
              <w:t>128000</w:t>
            </w:r>
          </w:p>
        </w:tc>
        <w:tc>
          <w:tcPr>
            <w:tcW w:w="1240" w:type="dxa"/>
            <w:shd w:val="clear" w:color="auto" w:fill="D0D5CD"/>
          </w:tcPr>
          <w:p>
            <w:pPr>
              <w:pStyle w:val="TableParagraph"/>
              <w:spacing w:before="29"/>
              <w:ind w:right="265"/>
              <w:jc w:val="right"/>
              <w:rPr>
                <w:sz w:val="20"/>
              </w:rPr>
            </w:pPr>
            <w:r>
              <w:rPr>
                <w:spacing w:val="-2"/>
                <w:sz w:val="20"/>
              </w:rPr>
              <w:t>66667</w:t>
            </w:r>
          </w:p>
        </w:tc>
        <w:tc>
          <w:tcPr>
            <w:tcW w:w="854" w:type="dxa"/>
            <w:shd w:val="clear" w:color="auto" w:fill="D0D5CD"/>
          </w:tcPr>
          <w:p>
            <w:pPr>
              <w:pStyle w:val="TableParagraph"/>
              <w:spacing w:before="29"/>
              <w:ind w:left="71" w:right="103"/>
              <w:jc w:val="center"/>
              <w:rPr>
                <w:sz w:val="20"/>
              </w:rPr>
            </w:pPr>
            <w:r>
              <w:rPr>
                <w:spacing w:val="-4"/>
                <w:sz w:val="20"/>
              </w:rPr>
              <w:t>15.1</w:t>
            </w:r>
          </w:p>
        </w:tc>
        <w:tc>
          <w:tcPr>
            <w:tcW w:w="825" w:type="dxa"/>
            <w:shd w:val="clear" w:color="auto" w:fill="D0D5CD"/>
          </w:tcPr>
          <w:p>
            <w:pPr>
              <w:pStyle w:val="TableParagraph"/>
              <w:spacing w:before="29"/>
              <w:ind w:right="161"/>
              <w:jc w:val="center"/>
              <w:rPr>
                <w:sz w:val="20"/>
              </w:rPr>
            </w:pPr>
            <w:r>
              <w:rPr>
                <w:spacing w:val="-2"/>
                <w:sz w:val="20"/>
              </w:rPr>
              <w:t>121.2</w:t>
            </w:r>
          </w:p>
        </w:tc>
      </w:tr>
      <w:tr>
        <w:trPr>
          <w:trHeight w:val="338" w:hRule="atLeast"/>
        </w:trPr>
        <w:tc>
          <w:tcPr>
            <w:tcW w:w="4608" w:type="dxa"/>
            <w:shd w:val="clear" w:color="auto" w:fill="E9E9E9"/>
          </w:tcPr>
          <w:p>
            <w:pPr>
              <w:pStyle w:val="TableParagraph"/>
              <w:spacing w:before="29"/>
              <w:ind w:left="89"/>
              <w:rPr>
                <w:sz w:val="20"/>
              </w:rPr>
            </w:pPr>
            <w:r>
              <w:rPr>
                <w:spacing w:val="-2"/>
                <w:sz w:val="20"/>
              </w:rPr>
              <w:t>Bihar</w:t>
            </w:r>
          </w:p>
        </w:tc>
        <w:tc>
          <w:tcPr>
            <w:tcW w:w="1094" w:type="dxa"/>
            <w:shd w:val="clear" w:color="auto" w:fill="E9E9E9"/>
          </w:tcPr>
          <w:p>
            <w:pPr>
              <w:pStyle w:val="TableParagraph"/>
              <w:spacing w:before="29"/>
              <w:ind w:left="154" w:right="100"/>
              <w:jc w:val="center"/>
              <w:rPr>
                <w:sz w:val="20"/>
              </w:rPr>
            </w:pPr>
            <w:r>
              <w:rPr>
                <w:spacing w:val="-2"/>
                <w:sz w:val="20"/>
              </w:rPr>
              <w:t>74420</w:t>
            </w:r>
          </w:p>
        </w:tc>
        <w:tc>
          <w:tcPr>
            <w:tcW w:w="1139" w:type="dxa"/>
            <w:shd w:val="clear" w:color="auto" w:fill="E9E9E9"/>
          </w:tcPr>
          <w:p>
            <w:pPr>
              <w:pStyle w:val="TableParagraph"/>
              <w:spacing w:before="29"/>
              <w:ind w:right="265"/>
              <w:jc w:val="right"/>
              <w:rPr>
                <w:sz w:val="20"/>
              </w:rPr>
            </w:pPr>
            <w:r>
              <w:rPr>
                <w:spacing w:val="-2"/>
                <w:sz w:val="20"/>
              </w:rPr>
              <w:t>49440</w:t>
            </w:r>
          </w:p>
        </w:tc>
        <w:tc>
          <w:tcPr>
            <w:tcW w:w="1240" w:type="dxa"/>
            <w:shd w:val="clear" w:color="auto" w:fill="E9E9E9"/>
          </w:tcPr>
          <w:p>
            <w:pPr>
              <w:pStyle w:val="TableParagraph"/>
              <w:spacing w:before="29"/>
              <w:ind w:right="265"/>
              <w:jc w:val="right"/>
              <w:rPr>
                <w:sz w:val="20"/>
              </w:rPr>
            </w:pPr>
            <w:r>
              <w:rPr>
                <w:spacing w:val="-2"/>
                <w:sz w:val="20"/>
              </w:rPr>
              <w:t>40990</w:t>
            </w:r>
          </w:p>
        </w:tc>
        <w:tc>
          <w:tcPr>
            <w:tcW w:w="854" w:type="dxa"/>
            <w:shd w:val="clear" w:color="auto" w:fill="E9E9E9"/>
          </w:tcPr>
          <w:p>
            <w:pPr>
              <w:pStyle w:val="TableParagraph"/>
              <w:spacing w:before="29"/>
              <w:ind w:left="71" w:right="103"/>
              <w:jc w:val="center"/>
              <w:rPr>
                <w:sz w:val="20"/>
              </w:rPr>
            </w:pPr>
            <w:r>
              <w:rPr>
                <w:spacing w:val="-4"/>
                <w:sz w:val="20"/>
              </w:rPr>
              <w:t>50.5</w:t>
            </w:r>
          </w:p>
        </w:tc>
        <w:tc>
          <w:tcPr>
            <w:tcW w:w="825" w:type="dxa"/>
            <w:shd w:val="clear" w:color="auto" w:fill="E9E9E9"/>
          </w:tcPr>
          <w:p>
            <w:pPr>
              <w:pStyle w:val="TableParagraph"/>
              <w:spacing w:before="29"/>
              <w:ind w:right="61"/>
              <w:jc w:val="center"/>
              <w:rPr>
                <w:sz w:val="20"/>
              </w:rPr>
            </w:pPr>
            <w:r>
              <w:rPr>
                <w:spacing w:val="-4"/>
                <w:sz w:val="20"/>
              </w:rPr>
              <w:t>81.6</w:t>
            </w:r>
          </w:p>
        </w:tc>
      </w:tr>
    </w:tbl>
    <w:p>
      <w:pPr>
        <w:spacing w:before="58"/>
        <w:ind w:left="1079" w:right="0" w:firstLine="0"/>
        <w:jc w:val="left"/>
        <w:rPr>
          <w:sz w:val="16"/>
        </w:rPr>
      </w:pPr>
      <w:r>
        <w:rPr>
          <w:i/>
          <w:w w:val="90"/>
          <w:sz w:val="16"/>
        </w:rPr>
        <w:t>Source:</w:t>
      </w:r>
      <w:r>
        <w:rPr>
          <w:i/>
          <w:spacing w:val="16"/>
          <w:sz w:val="16"/>
        </w:rPr>
        <w:t> </w:t>
      </w:r>
      <w:r>
        <w:rPr>
          <w:w w:val="90"/>
          <w:sz w:val="16"/>
        </w:rPr>
        <w:t>Economic</w:t>
      </w:r>
      <w:r>
        <w:rPr>
          <w:spacing w:val="16"/>
          <w:sz w:val="16"/>
        </w:rPr>
        <w:t> </w:t>
      </w:r>
      <w:r>
        <w:rPr>
          <w:w w:val="90"/>
          <w:sz w:val="16"/>
        </w:rPr>
        <w:t>Survey</w:t>
      </w:r>
      <w:r>
        <w:rPr>
          <w:spacing w:val="17"/>
          <w:sz w:val="16"/>
        </w:rPr>
        <w:t> </w:t>
      </w:r>
      <w:r>
        <w:rPr>
          <w:w w:val="90"/>
          <w:sz w:val="16"/>
        </w:rPr>
        <w:t>2007-</w:t>
      </w:r>
      <w:r>
        <w:rPr>
          <w:spacing w:val="-5"/>
          <w:w w:val="90"/>
          <w:sz w:val="16"/>
        </w:rPr>
        <w:t>08</w:t>
      </w:r>
    </w:p>
    <w:p>
      <w:pPr>
        <w:pStyle w:val="BodyText"/>
        <w:spacing w:before="190"/>
        <w:rPr>
          <w:sz w:val="20"/>
        </w:rPr>
      </w:pPr>
    </w:p>
    <w:p>
      <w:pPr>
        <w:spacing w:line="249" w:lineRule="auto" w:before="0"/>
        <w:ind w:left="1800" w:right="1076" w:hanging="720"/>
        <w:jc w:val="both"/>
        <w:rPr>
          <w:i/>
          <w:sz w:val="20"/>
        </w:rPr>
      </w:pPr>
      <w:r>
        <w:rPr>
          <w:b/>
          <w:spacing w:val="-4"/>
          <w:sz w:val="20"/>
          <w:u w:val="single"/>
        </w:rPr>
        <w:t>Note:</w:t>
      </w:r>
      <w:r>
        <w:rPr>
          <w:b/>
          <w:spacing w:val="39"/>
          <w:sz w:val="20"/>
        </w:rPr>
        <w:t> </w:t>
      </w:r>
      <w:r>
        <w:rPr>
          <w:i/>
          <w:spacing w:val="-4"/>
          <w:sz w:val="20"/>
        </w:rPr>
        <w:t>The</w:t>
      </w:r>
      <w:r>
        <w:rPr>
          <w:i/>
          <w:spacing w:val="-9"/>
          <w:sz w:val="20"/>
        </w:rPr>
        <w:t> </w:t>
      </w:r>
      <w:r>
        <w:rPr>
          <w:i/>
          <w:spacing w:val="-4"/>
          <w:sz w:val="20"/>
        </w:rPr>
        <w:t>data</w:t>
      </w:r>
      <w:r>
        <w:rPr>
          <w:i/>
          <w:spacing w:val="-8"/>
          <w:sz w:val="20"/>
        </w:rPr>
        <w:t> </w:t>
      </w:r>
      <w:r>
        <w:rPr>
          <w:i/>
          <w:spacing w:val="-4"/>
          <w:sz w:val="20"/>
        </w:rPr>
        <w:t>and</w:t>
      </w:r>
      <w:r>
        <w:rPr>
          <w:i/>
          <w:spacing w:val="-9"/>
          <w:sz w:val="20"/>
        </w:rPr>
        <w:t> </w:t>
      </w:r>
      <w:r>
        <w:rPr>
          <w:i/>
          <w:spacing w:val="-4"/>
          <w:sz w:val="20"/>
        </w:rPr>
        <w:t>statistics</w:t>
      </w:r>
      <w:r>
        <w:rPr>
          <w:i/>
          <w:spacing w:val="-8"/>
          <w:sz w:val="20"/>
        </w:rPr>
        <w:t> </w:t>
      </w:r>
      <w:r>
        <w:rPr>
          <w:i/>
          <w:spacing w:val="-4"/>
          <w:sz w:val="20"/>
        </w:rPr>
        <w:t>provided</w:t>
      </w:r>
      <w:r>
        <w:rPr>
          <w:i/>
          <w:spacing w:val="-9"/>
          <w:sz w:val="20"/>
        </w:rPr>
        <w:t> </w:t>
      </w:r>
      <w:r>
        <w:rPr>
          <w:i/>
          <w:spacing w:val="-4"/>
          <w:sz w:val="20"/>
        </w:rPr>
        <w:t>in</w:t>
      </w:r>
      <w:r>
        <w:rPr>
          <w:i/>
          <w:spacing w:val="-8"/>
          <w:sz w:val="20"/>
        </w:rPr>
        <w:t> </w:t>
      </w:r>
      <w:r>
        <w:rPr>
          <w:i/>
          <w:spacing w:val="-4"/>
          <w:sz w:val="20"/>
        </w:rPr>
        <w:t>the</w:t>
      </w:r>
      <w:r>
        <w:rPr>
          <w:i/>
          <w:spacing w:val="-9"/>
          <w:sz w:val="20"/>
        </w:rPr>
        <w:t> </w:t>
      </w:r>
      <w:r>
        <w:rPr>
          <w:i/>
          <w:spacing w:val="-4"/>
          <w:sz w:val="20"/>
        </w:rPr>
        <w:t>baseline</w:t>
      </w:r>
      <w:r>
        <w:rPr>
          <w:i/>
          <w:spacing w:val="-8"/>
          <w:sz w:val="20"/>
        </w:rPr>
        <w:t> </w:t>
      </w:r>
      <w:r>
        <w:rPr>
          <w:i/>
          <w:spacing w:val="-4"/>
          <w:sz w:val="20"/>
        </w:rPr>
        <w:t>section,</w:t>
      </w:r>
      <w:r>
        <w:rPr>
          <w:i/>
          <w:spacing w:val="-9"/>
          <w:sz w:val="20"/>
        </w:rPr>
        <w:t> </w:t>
      </w:r>
      <w:r>
        <w:rPr>
          <w:i/>
          <w:spacing w:val="-4"/>
          <w:sz w:val="20"/>
        </w:rPr>
        <w:t>unless</w:t>
      </w:r>
      <w:r>
        <w:rPr>
          <w:i/>
          <w:spacing w:val="-8"/>
          <w:sz w:val="20"/>
        </w:rPr>
        <w:t> </w:t>
      </w:r>
      <w:r>
        <w:rPr>
          <w:i/>
          <w:spacing w:val="-4"/>
          <w:sz w:val="20"/>
        </w:rPr>
        <w:t>stated</w:t>
      </w:r>
      <w:r>
        <w:rPr>
          <w:i/>
          <w:spacing w:val="-9"/>
          <w:sz w:val="20"/>
        </w:rPr>
        <w:t> </w:t>
      </w:r>
      <w:r>
        <w:rPr>
          <w:i/>
          <w:spacing w:val="-4"/>
          <w:sz w:val="20"/>
        </w:rPr>
        <w:t>otherwise,</w:t>
      </w:r>
      <w:r>
        <w:rPr>
          <w:i/>
          <w:spacing w:val="-8"/>
          <w:sz w:val="20"/>
        </w:rPr>
        <w:t> </w:t>
      </w:r>
      <w:r>
        <w:rPr>
          <w:i/>
          <w:spacing w:val="-4"/>
          <w:sz w:val="20"/>
        </w:rPr>
        <w:t>have</w:t>
      </w:r>
      <w:r>
        <w:rPr>
          <w:i/>
          <w:spacing w:val="-9"/>
          <w:sz w:val="20"/>
        </w:rPr>
        <w:t> </w:t>
      </w:r>
      <w:r>
        <w:rPr>
          <w:i/>
          <w:spacing w:val="-4"/>
          <w:sz w:val="20"/>
        </w:rPr>
        <w:t>been</w:t>
      </w:r>
      <w:r>
        <w:rPr>
          <w:i/>
          <w:spacing w:val="-8"/>
          <w:sz w:val="20"/>
        </w:rPr>
        <w:t> </w:t>
      </w:r>
      <w:r>
        <w:rPr>
          <w:i/>
          <w:spacing w:val="-4"/>
          <w:sz w:val="20"/>
        </w:rPr>
        <w:t>taken</w:t>
      </w:r>
      <w:r>
        <w:rPr>
          <w:i/>
          <w:spacing w:val="-9"/>
          <w:sz w:val="20"/>
        </w:rPr>
        <w:t> </w:t>
      </w:r>
      <w:r>
        <w:rPr>
          <w:i/>
          <w:spacing w:val="-4"/>
          <w:sz w:val="20"/>
        </w:rPr>
        <w:t>from</w:t>
      </w:r>
      <w:r>
        <w:rPr>
          <w:i/>
          <w:spacing w:val="-8"/>
          <w:sz w:val="20"/>
        </w:rPr>
        <w:t> </w:t>
      </w:r>
      <w:r>
        <w:rPr>
          <w:i/>
          <w:spacing w:val="-4"/>
          <w:sz w:val="20"/>
        </w:rPr>
        <w:t>Ministry</w:t>
      </w:r>
      <w:r>
        <w:rPr>
          <w:i/>
          <w:spacing w:val="-9"/>
          <w:sz w:val="20"/>
        </w:rPr>
        <w:t> </w:t>
      </w:r>
      <w:r>
        <w:rPr>
          <w:i/>
          <w:spacing w:val="-4"/>
          <w:sz w:val="20"/>
        </w:rPr>
        <w:t>of</w:t>
      </w:r>
      <w:r>
        <w:rPr>
          <w:i/>
          <w:spacing w:val="-8"/>
          <w:sz w:val="20"/>
        </w:rPr>
        <w:t> </w:t>
      </w:r>
      <w:r>
        <w:rPr>
          <w:i/>
          <w:spacing w:val="-4"/>
          <w:sz w:val="20"/>
        </w:rPr>
        <w:t>Human </w:t>
      </w:r>
      <w:r>
        <w:rPr>
          <w:i/>
          <w:w w:val="90"/>
          <w:sz w:val="20"/>
        </w:rPr>
        <w:t>Resource Development (MHRD), Planning Commission, University Grants Commission (UGC) and District Information </w:t>
      </w:r>
      <w:r>
        <w:rPr>
          <w:i/>
          <w:sz w:val="20"/>
        </w:rPr>
        <w:t>System</w:t>
      </w:r>
      <w:r>
        <w:rPr>
          <w:i/>
          <w:spacing w:val="-7"/>
          <w:sz w:val="20"/>
        </w:rPr>
        <w:t> </w:t>
      </w:r>
      <w:r>
        <w:rPr>
          <w:i/>
          <w:sz w:val="20"/>
        </w:rPr>
        <w:t>for</w:t>
      </w:r>
      <w:r>
        <w:rPr>
          <w:i/>
          <w:spacing w:val="-7"/>
          <w:sz w:val="20"/>
        </w:rPr>
        <w:t> </w:t>
      </w:r>
      <w:r>
        <w:rPr>
          <w:i/>
          <w:sz w:val="20"/>
        </w:rPr>
        <w:t>Education</w:t>
      </w:r>
      <w:r>
        <w:rPr>
          <w:i/>
          <w:spacing w:val="-7"/>
          <w:sz w:val="20"/>
        </w:rPr>
        <w:t> </w:t>
      </w:r>
      <w:r>
        <w:rPr>
          <w:i/>
          <w:sz w:val="20"/>
        </w:rPr>
        <w:t>(DISE).</w:t>
      </w:r>
    </w:p>
    <w:p>
      <w:pPr>
        <w:spacing w:after="0" w:line="249" w:lineRule="auto"/>
        <w:jc w:val="both"/>
        <w:rPr>
          <w:sz w:val="20"/>
        </w:rPr>
        <w:sectPr>
          <w:type w:val="continuous"/>
          <w:pgSz w:w="11910" w:h="16840"/>
          <w:pgMar w:header="0" w:footer="675" w:top="1920" w:bottom="280" w:left="0" w:right="0"/>
        </w:sectPr>
      </w:pPr>
    </w:p>
    <w:p>
      <w:pPr>
        <w:pStyle w:val="BodyText"/>
        <w:rPr>
          <w:i/>
          <w:sz w:val="120"/>
        </w:rPr>
      </w:pPr>
      <w:r>
        <w:rPr/>
        <mc:AlternateContent>
          <mc:Choice Requires="wps">
            <w:drawing>
              <wp:anchor distT="0" distB="0" distL="0" distR="0" allowOverlap="1" layoutInCell="1" locked="0" behindDoc="1" simplePos="0" relativeHeight="479488000">
                <wp:simplePos x="0" y="0"/>
                <wp:positionH relativeFrom="page">
                  <wp:posOffset>0</wp:posOffset>
                </wp:positionH>
                <wp:positionV relativeFrom="page">
                  <wp:posOffset>1143000</wp:posOffset>
                </wp:positionV>
                <wp:extent cx="10692130" cy="6417310"/>
                <wp:effectExtent l="0" t="0" r="0" b="0"/>
                <wp:wrapNone/>
                <wp:docPr id="2400" name="Graphic 2400"/>
                <wp:cNvGraphicFramePr>
                  <a:graphicFrameLocks/>
                </wp:cNvGraphicFramePr>
                <a:graphic>
                  <a:graphicData uri="http://schemas.microsoft.com/office/word/2010/wordprocessingShape">
                    <wps:wsp>
                      <wps:cNvPr id="2400" name="Graphic 2400"/>
                      <wps:cNvSpPr/>
                      <wps:spPr>
                        <a:xfrm>
                          <a:off x="0" y="0"/>
                          <a:ext cx="10692130" cy="6417310"/>
                        </a:xfrm>
                        <a:custGeom>
                          <a:avLst/>
                          <a:gdLst/>
                          <a:ahLst/>
                          <a:cxnLst/>
                          <a:rect l="l" t="t" r="r" b="b"/>
                          <a:pathLst>
                            <a:path w="10692130" h="6417310">
                              <a:moveTo>
                                <a:pt x="10692000" y="0"/>
                              </a:moveTo>
                              <a:lnTo>
                                <a:pt x="0" y="0"/>
                              </a:lnTo>
                              <a:lnTo>
                                <a:pt x="0" y="6416999"/>
                              </a:lnTo>
                              <a:lnTo>
                                <a:pt x="10692000" y="6416999"/>
                              </a:lnTo>
                              <a:lnTo>
                                <a:pt x="10692000" y="0"/>
                              </a:lnTo>
                              <a:close/>
                            </a:path>
                          </a:pathLst>
                        </a:custGeom>
                        <a:solidFill>
                          <a:srgbClr val="F5E7AB"/>
                        </a:solidFill>
                      </wps:spPr>
                      <wps:bodyPr wrap="square" lIns="0" tIns="0" rIns="0" bIns="0" rtlCol="0">
                        <a:prstTxWarp prst="textNoShape">
                          <a:avLst/>
                        </a:prstTxWarp>
                        <a:noAutofit/>
                      </wps:bodyPr>
                    </wps:wsp>
                  </a:graphicData>
                </a:graphic>
              </wp:anchor>
            </w:drawing>
          </mc:Choice>
          <mc:Fallback>
            <w:pict>
              <v:rect style="position:absolute;margin-left:.000005pt;margin-top:90pt;width:841.88977pt;height:505.27559pt;mso-position-horizontal-relative:page;mso-position-vertical-relative:page;z-index:-23828480" id="docshape2322" filled="true" fillcolor="#f5e7ab" stroked="false">
                <v:fill type="solid"/>
                <w10:wrap type="none"/>
              </v:rect>
            </w:pict>
          </mc:Fallback>
        </mc:AlternateContent>
      </w:r>
      <w:r>
        <w:rPr/>
        <w:drawing>
          <wp:anchor distT="0" distB="0" distL="0" distR="0" allowOverlap="1" layoutInCell="1" locked="0" behindDoc="1" simplePos="0" relativeHeight="479488512">
            <wp:simplePos x="0" y="0"/>
            <wp:positionH relativeFrom="page">
              <wp:posOffset>0</wp:posOffset>
            </wp:positionH>
            <wp:positionV relativeFrom="page">
              <wp:posOffset>0</wp:posOffset>
            </wp:positionV>
            <wp:extent cx="10692000" cy="4223049"/>
            <wp:effectExtent l="0" t="0" r="0" b="0"/>
            <wp:wrapNone/>
            <wp:docPr id="2401" name="Image 2401"/>
            <wp:cNvGraphicFramePr>
              <a:graphicFrameLocks/>
            </wp:cNvGraphicFramePr>
            <a:graphic>
              <a:graphicData uri="http://schemas.openxmlformats.org/drawingml/2006/picture">
                <pic:pic>
                  <pic:nvPicPr>
                    <pic:cNvPr id="2401" name="Image 2401"/>
                    <pic:cNvPicPr/>
                  </pic:nvPicPr>
                  <pic:blipFill>
                    <a:blip r:embed="rId717" cstate="print"/>
                    <a:stretch>
                      <a:fillRect/>
                    </a:stretch>
                  </pic:blipFill>
                  <pic:spPr>
                    <a:xfrm>
                      <a:off x="0" y="0"/>
                      <a:ext cx="10692000" cy="4223049"/>
                    </a:xfrm>
                    <a:prstGeom prst="rect">
                      <a:avLst/>
                    </a:prstGeom>
                  </pic:spPr>
                </pic:pic>
              </a:graphicData>
            </a:graphic>
          </wp:anchor>
        </w:drawing>
      </w:r>
    </w:p>
    <w:p>
      <w:pPr>
        <w:pStyle w:val="BodyText"/>
        <w:rPr>
          <w:i/>
          <w:sz w:val="120"/>
        </w:rPr>
      </w:pPr>
    </w:p>
    <w:p>
      <w:pPr>
        <w:pStyle w:val="BodyText"/>
        <w:spacing w:before="1082"/>
        <w:rPr>
          <w:i/>
          <w:sz w:val="120"/>
        </w:rPr>
      </w:pPr>
    </w:p>
    <w:p>
      <w:pPr>
        <w:pStyle w:val="Heading1"/>
        <w:ind w:left="105"/>
      </w:pPr>
      <w:r>
        <w:rPr>
          <w:color w:val="E3C620"/>
        </w:rPr>
        <w:t>Annexure</w:t>
      </w:r>
      <w:r>
        <w:rPr>
          <w:color w:val="E3C620"/>
          <w:spacing w:val="-1"/>
        </w:rPr>
        <w:t> </w:t>
      </w:r>
      <w:r>
        <w:rPr>
          <w:color w:val="E3C620"/>
        </w:rPr>
        <w:t>II:</w:t>
      </w:r>
      <w:r>
        <w:rPr>
          <w:color w:val="E3C620"/>
          <w:spacing w:val="-2"/>
        </w:rPr>
        <w:t> Consultations</w:t>
      </w:r>
    </w:p>
    <w:p>
      <w:pPr>
        <w:spacing w:after="0"/>
        <w:sectPr>
          <w:footerReference w:type="default" r:id="rId716"/>
          <w:pgSz w:w="16840" w:h="11910" w:orient="landscape"/>
          <w:pgMar w:header="0" w:footer="0" w:top="0" w:bottom="280" w:left="900" w:right="880"/>
        </w:sectPr>
      </w:pPr>
    </w:p>
    <w:p>
      <w:pPr>
        <w:pStyle w:val="BodyText"/>
        <w:spacing w:before="2"/>
        <w:rPr>
          <w:rFonts w:ascii="Trebuchet MS"/>
          <w:b/>
          <w:sz w:val="17"/>
        </w:rPr>
      </w:pPr>
    </w:p>
    <w:p>
      <w:pPr>
        <w:spacing w:after="0"/>
        <w:rPr>
          <w:rFonts w:ascii="Trebuchet MS"/>
          <w:sz w:val="17"/>
        </w:rPr>
        <w:sectPr>
          <w:footerReference w:type="even" r:id="rId718"/>
          <w:pgSz w:w="11910" w:h="16840"/>
          <w:pgMar w:header="0" w:footer="0" w:top="1920" w:bottom="280" w:left="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83"/>
        <w:rPr>
          <w:rFonts w:ascii="Trebuchet MS"/>
          <w:b/>
          <w:sz w:val="20"/>
        </w:rPr>
      </w:pPr>
    </w:p>
    <w:p>
      <w:pPr>
        <w:spacing w:after="0"/>
        <w:rPr>
          <w:rFonts w:ascii="Trebuchet MS"/>
          <w:sz w:val="20"/>
        </w:rPr>
        <w:sectPr>
          <w:footerReference w:type="default" r:id="rId719"/>
          <w:footerReference w:type="even" r:id="rId720"/>
          <w:pgSz w:w="11910" w:h="16840"/>
          <w:pgMar w:header="0" w:footer="675" w:top="0" w:bottom="860" w:left="0" w:right="0"/>
          <w:pgNumType w:start="221"/>
        </w:sectPr>
      </w:pPr>
    </w:p>
    <w:p>
      <w:pPr>
        <w:pStyle w:val="Heading6"/>
        <w:spacing w:before="78"/>
        <w:ind w:left="1079" w:firstLine="0"/>
      </w:pPr>
      <w:r>
        <w:rPr/>
        <mc:AlternateContent>
          <mc:Choice Requires="wps">
            <w:drawing>
              <wp:anchor distT="0" distB="0" distL="0" distR="0" allowOverlap="1" layoutInCell="1" locked="0" behindDoc="0" simplePos="0" relativeHeight="15912448">
                <wp:simplePos x="0" y="0"/>
                <wp:positionH relativeFrom="page">
                  <wp:posOffset>0</wp:posOffset>
                </wp:positionH>
                <wp:positionV relativeFrom="paragraph">
                  <wp:posOffset>-2275927</wp:posOffset>
                </wp:positionV>
                <wp:extent cx="7560309" cy="1752600"/>
                <wp:effectExtent l="0" t="0" r="0" b="0"/>
                <wp:wrapNone/>
                <wp:docPr id="2411" name="Group 2411"/>
                <wp:cNvGraphicFramePr>
                  <a:graphicFrameLocks/>
                </wp:cNvGraphicFramePr>
                <a:graphic>
                  <a:graphicData uri="http://schemas.microsoft.com/office/word/2010/wordprocessingGroup">
                    <wpg:wgp>
                      <wpg:cNvPr id="2411" name="Group 2411"/>
                      <wpg:cNvGrpSpPr/>
                      <wpg:grpSpPr>
                        <a:xfrm>
                          <a:off x="0" y="0"/>
                          <a:ext cx="7560309" cy="1752600"/>
                          <a:chExt cx="7560309" cy="1752600"/>
                        </a:xfrm>
                      </wpg:grpSpPr>
                      <pic:pic>
                        <pic:nvPicPr>
                          <pic:cNvPr id="2412" name="Image 2412"/>
                          <pic:cNvPicPr/>
                        </pic:nvPicPr>
                        <pic:blipFill>
                          <a:blip r:embed="rId11" cstate="print"/>
                          <a:stretch>
                            <a:fillRect/>
                          </a:stretch>
                        </pic:blipFill>
                        <pic:spPr>
                          <a:xfrm>
                            <a:off x="0" y="0"/>
                            <a:ext cx="7559999" cy="1752562"/>
                          </a:xfrm>
                          <a:prstGeom prst="rect">
                            <a:avLst/>
                          </a:prstGeom>
                        </pic:spPr>
                      </pic:pic>
                      <wps:wsp>
                        <wps:cNvPr id="2413" name="Textbox 2413"/>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Working</w:t>
                              </w:r>
                              <w:r>
                                <w:rPr>
                                  <w:rFonts w:ascii="Trebuchet MS"/>
                                  <w:b/>
                                  <w:color w:val="FFFFFF"/>
                                  <w:spacing w:val="-16"/>
                                  <w:sz w:val="68"/>
                                </w:rPr>
                                <w:t> </w:t>
                              </w:r>
                              <w:r>
                                <w:rPr>
                                  <w:rFonts w:ascii="Trebuchet MS"/>
                                  <w:b/>
                                  <w:color w:val="FFFFFF"/>
                                  <w:spacing w:val="-2"/>
                                  <w:sz w:val="68"/>
                                </w:rPr>
                                <w:t>Groups</w:t>
                              </w:r>
                            </w:p>
                          </w:txbxContent>
                        </wps:txbx>
                        <wps:bodyPr wrap="square" lIns="0" tIns="0" rIns="0" bIns="0" rtlCol="0">
                          <a:noAutofit/>
                        </wps:bodyPr>
                      </wps:wsp>
                    </wpg:wgp>
                  </a:graphicData>
                </a:graphic>
              </wp:anchor>
            </w:drawing>
          </mc:Choice>
          <mc:Fallback>
            <w:pict>
              <v:group style="position:absolute;margin-left:0pt;margin-top:-179.206879pt;width:595.3pt;height:138pt;mso-position-horizontal-relative:page;mso-position-vertical-relative:paragraph;z-index:15912448" id="docshapegroup2332" coordorigin="0,-3584" coordsize="11906,2760">
                <v:shape style="position:absolute;left:0;top:-3585;width:11906;height:2760" type="#_x0000_t75" id="docshape2333" stroked="false">
                  <v:imagedata r:id="rId11" o:title=""/>
                </v:shape>
                <v:shape style="position:absolute;left:0;top:-3585;width:11906;height:2760" type="#_x0000_t202" id="docshape2334"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Working</w:t>
                        </w:r>
                        <w:r>
                          <w:rPr>
                            <w:rFonts w:ascii="Trebuchet MS"/>
                            <w:b/>
                            <w:color w:val="FFFFFF"/>
                            <w:spacing w:val="-16"/>
                            <w:sz w:val="68"/>
                          </w:rPr>
                          <w:t> </w:t>
                        </w:r>
                        <w:r>
                          <w:rPr>
                            <w:rFonts w:ascii="Trebuchet MS"/>
                            <w:b/>
                            <w:color w:val="FFFFFF"/>
                            <w:spacing w:val="-2"/>
                            <w:sz w:val="68"/>
                          </w:rPr>
                          <w:t>Groups</w:t>
                        </w:r>
                      </w:p>
                    </w:txbxContent>
                  </v:textbox>
                  <w10:wrap type="none"/>
                </v:shape>
                <w10:wrap type="none"/>
              </v:group>
            </w:pict>
          </mc:Fallback>
        </mc:AlternateContent>
      </w:r>
      <w:r>
        <w:rPr>
          <w:color w:val="2E614A"/>
          <w:spacing w:val="-2"/>
        </w:rPr>
        <w:t>Language</w:t>
      </w:r>
    </w:p>
    <w:p>
      <w:pPr>
        <w:pStyle w:val="ListParagraph"/>
        <w:numPr>
          <w:ilvl w:val="0"/>
          <w:numId w:val="72"/>
        </w:numPr>
        <w:tabs>
          <w:tab w:pos="1439" w:val="left" w:leader="none"/>
        </w:tabs>
        <w:spacing w:line="266" w:lineRule="auto" w:before="286" w:after="0"/>
        <w:ind w:left="1439" w:right="1570" w:hanging="360"/>
        <w:jc w:val="left"/>
        <w:rPr>
          <w:sz w:val="22"/>
        </w:rPr>
      </w:pPr>
      <w:r>
        <w:rPr>
          <w:spacing w:val="-6"/>
          <w:sz w:val="22"/>
        </w:rPr>
        <w:t>Prof. Meenakshi </w:t>
      </w:r>
      <w:r>
        <w:rPr>
          <w:spacing w:val="-6"/>
          <w:sz w:val="22"/>
        </w:rPr>
        <w:t>Mukherjee </w:t>
      </w:r>
      <w:r>
        <w:rPr>
          <w:sz w:val="22"/>
        </w:rPr>
        <w:t>Hyderabad University</w:t>
      </w:r>
    </w:p>
    <w:p>
      <w:pPr>
        <w:pStyle w:val="ListParagraph"/>
        <w:numPr>
          <w:ilvl w:val="0"/>
          <w:numId w:val="72"/>
        </w:numPr>
        <w:tabs>
          <w:tab w:pos="1438" w:val="left" w:leader="none"/>
        </w:tabs>
        <w:spacing w:line="240" w:lineRule="auto" w:before="88" w:after="0"/>
        <w:ind w:left="1438" w:right="0" w:hanging="359"/>
        <w:jc w:val="left"/>
        <w:rPr>
          <w:sz w:val="22"/>
        </w:rPr>
      </w:pPr>
      <w:r>
        <w:rPr>
          <w:sz w:val="22"/>
        </w:rPr>
        <w:t>Dr.</w:t>
      </w:r>
      <w:r>
        <w:rPr>
          <w:spacing w:val="-14"/>
          <w:sz w:val="22"/>
        </w:rPr>
        <w:t> </w:t>
      </w:r>
      <w:r>
        <w:rPr>
          <w:sz w:val="22"/>
        </w:rPr>
        <w:t>Partha</w:t>
      </w:r>
      <w:r>
        <w:rPr>
          <w:spacing w:val="-13"/>
          <w:sz w:val="22"/>
        </w:rPr>
        <w:t> </w:t>
      </w:r>
      <w:r>
        <w:rPr>
          <w:spacing w:val="-2"/>
          <w:sz w:val="22"/>
        </w:rPr>
        <w:t>Ghosh</w:t>
      </w:r>
    </w:p>
    <w:p>
      <w:pPr>
        <w:pStyle w:val="BodyText"/>
        <w:spacing w:line="266" w:lineRule="auto" w:before="27"/>
        <w:ind w:left="1439" w:right="97"/>
      </w:pPr>
      <w:r>
        <w:rPr>
          <w:spacing w:val="-4"/>
        </w:rPr>
        <w:t>S.N.</w:t>
      </w:r>
      <w:r>
        <w:rPr>
          <w:spacing w:val="-10"/>
        </w:rPr>
        <w:t> </w:t>
      </w:r>
      <w:r>
        <w:rPr>
          <w:spacing w:val="-4"/>
        </w:rPr>
        <w:t>Bose</w:t>
      </w:r>
      <w:r>
        <w:rPr>
          <w:spacing w:val="-10"/>
        </w:rPr>
        <w:t> </w:t>
      </w:r>
      <w:r>
        <w:rPr>
          <w:spacing w:val="-4"/>
        </w:rPr>
        <w:t>National</w:t>
      </w:r>
      <w:r>
        <w:rPr>
          <w:spacing w:val="-10"/>
        </w:rPr>
        <w:t> </w:t>
      </w:r>
      <w:r>
        <w:rPr>
          <w:spacing w:val="-4"/>
        </w:rPr>
        <w:t>Centre</w:t>
      </w:r>
      <w:r>
        <w:rPr>
          <w:spacing w:val="-9"/>
        </w:rPr>
        <w:t> </w:t>
      </w:r>
      <w:r>
        <w:rPr>
          <w:spacing w:val="-4"/>
        </w:rPr>
        <w:t>for</w:t>
      </w:r>
      <w:r>
        <w:rPr>
          <w:spacing w:val="-10"/>
        </w:rPr>
        <w:t> </w:t>
      </w:r>
      <w:r>
        <w:rPr>
          <w:spacing w:val="-4"/>
        </w:rPr>
        <w:t>Basic</w:t>
      </w:r>
      <w:r>
        <w:rPr>
          <w:spacing w:val="-10"/>
        </w:rPr>
        <w:t> </w:t>
      </w:r>
      <w:r>
        <w:rPr>
          <w:spacing w:val="-4"/>
        </w:rPr>
        <w:t>Science</w:t>
      </w:r>
      <w:r>
        <w:rPr>
          <w:spacing w:val="-4"/>
        </w:rPr>
        <w:t>s</w:t>
      </w:r>
      <w:r>
        <w:rPr>
          <w:spacing w:val="-4"/>
        </w:rPr>
        <w:t> </w:t>
      </w:r>
      <w:r>
        <w:rPr>
          <w:spacing w:val="-2"/>
        </w:rPr>
        <w:t>Kolkata</w:t>
      </w:r>
    </w:p>
    <w:p>
      <w:pPr>
        <w:pStyle w:val="ListParagraph"/>
        <w:numPr>
          <w:ilvl w:val="0"/>
          <w:numId w:val="72"/>
        </w:numPr>
        <w:tabs>
          <w:tab w:pos="1439" w:val="left" w:leader="none"/>
        </w:tabs>
        <w:spacing w:line="266" w:lineRule="auto" w:before="88" w:after="0"/>
        <w:ind w:left="1439" w:right="1933" w:hanging="360"/>
        <w:jc w:val="left"/>
        <w:rPr>
          <w:sz w:val="22"/>
        </w:rPr>
      </w:pPr>
      <w:r>
        <w:rPr>
          <w:spacing w:val="-6"/>
          <w:sz w:val="22"/>
        </w:rPr>
        <w:t>Dr.</w:t>
      </w:r>
      <w:r>
        <w:rPr>
          <w:spacing w:val="-8"/>
          <w:sz w:val="22"/>
        </w:rPr>
        <w:t> </w:t>
      </w:r>
      <w:r>
        <w:rPr>
          <w:spacing w:val="-6"/>
          <w:sz w:val="22"/>
        </w:rPr>
        <w:t>M.P.</w:t>
      </w:r>
      <w:r>
        <w:rPr>
          <w:spacing w:val="-8"/>
          <w:sz w:val="22"/>
        </w:rPr>
        <w:t> </w:t>
      </w:r>
      <w:r>
        <w:rPr>
          <w:spacing w:val="-6"/>
          <w:sz w:val="22"/>
        </w:rPr>
        <w:t>Parameswaran </w:t>
      </w:r>
      <w:r>
        <w:rPr>
          <w:sz w:val="22"/>
        </w:rPr>
        <w:t>KSSP Kerala</w:t>
      </w:r>
    </w:p>
    <w:p>
      <w:pPr>
        <w:pStyle w:val="ListParagraph"/>
        <w:numPr>
          <w:ilvl w:val="0"/>
          <w:numId w:val="72"/>
        </w:numPr>
        <w:tabs>
          <w:tab w:pos="1439" w:val="left" w:leader="none"/>
        </w:tabs>
        <w:spacing w:line="266" w:lineRule="auto" w:before="89" w:after="0"/>
        <w:ind w:left="1439" w:right="1870" w:hanging="360"/>
        <w:jc w:val="left"/>
        <w:rPr>
          <w:sz w:val="22"/>
        </w:rPr>
      </w:pPr>
      <w:r>
        <w:rPr>
          <w:spacing w:val="-4"/>
          <w:sz w:val="22"/>
        </w:rPr>
        <w:t>Mr.</w:t>
      </w:r>
      <w:r>
        <w:rPr>
          <w:spacing w:val="-10"/>
          <w:sz w:val="22"/>
        </w:rPr>
        <w:t> </w:t>
      </w:r>
      <w:r>
        <w:rPr>
          <w:spacing w:val="-4"/>
          <w:sz w:val="22"/>
        </w:rPr>
        <w:t>K.K.</w:t>
      </w:r>
      <w:r>
        <w:rPr>
          <w:spacing w:val="-10"/>
          <w:sz w:val="22"/>
        </w:rPr>
        <w:t> </w:t>
      </w:r>
      <w:r>
        <w:rPr>
          <w:spacing w:val="-4"/>
          <w:sz w:val="22"/>
        </w:rPr>
        <w:t>Krishnakumar </w:t>
      </w:r>
      <w:r>
        <w:rPr>
          <w:sz w:val="22"/>
        </w:rPr>
        <w:t>BGVS Kerala</w:t>
      </w:r>
    </w:p>
    <w:p>
      <w:pPr>
        <w:pStyle w:val="ListParagraph"/>
        <w:numPr>
          <w:ilvl w:val="0"/>
          <w:numId w:val="72"/>
        </w:numPr>
        <w:tabs>
          <w:tab w:pos="1438" w:val="left" w:leader="none"/>
        </w:tabs>
        <w:spacing w:line="240" w:lineRule="auto" w:before="88" w:after="0"/>
        <w:ind w:left="1438" w:right="0" w:hanging="359"/>
        <w:jc w:val="left"/>
        <w:rPr>
          <w:sz w:val="22"/>
        </w:rPr>
      </w:pPr>
      <w:r>
        <w:rPr>
          <w:spacing w:val="-6"/>
          <w:sz w:val="22"/>
        </w:rPr>
        <w:t>Mrs.</w:t>
      </w:r>
      <w:r>
        <w:rPr>
          <w:spacing w:val="-1"/>
          <w:sz w:val="22"/>
        </w:rPr>
        <w:t> </w:t>
      </w:r>
      <w:r>
        <w:rPr>
          <w:spacing w:val="-6"/>
          <w:sz w:val="22"/>
        </w:rPr>
        <w:t>Shesha</w:t>
      </w:r>
      <w:r>
        <w:rPr>
          <w:spacing w:val="-1"/>
          <w:sz w:val="22"/>
        </w:rPr>
        <w:t> </w:t>
      </w:r>
      <w:r>
        <w:rPr>
          <w:spacing w:val="-6"/>
          <w:sz w:val="22"/>
        </w:rPr>
        <w:t>Prasad</w:t>
      </w:r>
    </w:p>
    <w:p>
      <w:pPr>
        <w:pStyle w:val="BodyText"/>
        <w:spacing w:before="27"/>
        <w:ind w:left="1439"/>
      </w:pPr>
      <w:r>
        <w:rPr>
          <w:spacing w:val="-6"/>
        </w:rPr>
        <w:t>Kendriya</w:t>
      </w:r>
      <w:r>
        <w:rPr>
          <w:spacing w:val="-8"/>
        </w:rPr>
        <w:t> </w:t>
      </w:r>
      <w:r>
        <w:rPr>
          <w:spacing w:val="-6"/>
        </w:rPr>
        <w:t>Vidyalaya</w:t>
      </w:r>
      <w:r>
        <w:rPr>
          <w:spacing w:val="-5"/>
        </w:rPr>
        <w:t> </w:t>
      </w:r>
      <w:r>
        <w:rPr>
          <w:spacing w:val="-6"/>
        </w:rPr>
        <w:t>Picket,</w:t>
      </w:r>
      <w:r>
        <w:rPr>
          <w:spacing w:val="-4"/>
        </w:rPr>
        <w:t> </w:t>
      </w:r>
      <w:r>
        <w:rPr>
          <w:spacing w:val="-6"/>
        </w:rPr>
        <w:t>Secunderabad</w:t>
      </w:r>
    </w:p>
    <w:p>
      <w:pPr>
        <w:pStyle w:val="ListParagraph"/>
        <w:numPr>
          <w:ilvl w:val="0"/>
          <w:numId w:val="72"/>
        </w:numPr>
        <w:tabs>
          <w:tab w:pos="1438" w:val="left" w:leader="none"/>
        </w:tabs>
        <w:spacing w:line="240" w:lineRule="auto" w:before="117" w:after="0"/>
        <w:ind w:left="1438" w:right="0" w:hanging="359"/>
        <w:jc w:val="left"/>
        <w:rPr>
          <w:sz w:val="22"/>
        </w:rPr>
      </w:pPr>
      <w:r>
        <w:rPr>
          <w:sz w:val="22"/>
        </w:rPr>
        <w:t>Prof.</w:t>
      </w:r>
      <w:r>
        <w:rPr>
          <w:spacing w:val="-6"/>
          <w:sz w:val="22"/>
        </w:rPr>
        <w:t> </w:t>
      </w:r>
      <w:r>
        <w:rPr>
          <w:sz w:val="22"/>
        </w:rPr>
        <w:t>U.N.</w:t>
      </w:r>
      <w:r>
        <w:rPr>
          <w:spacing w:val="-6"/>
          <w:sz w:val="22"/>
        </w:rPr>
        <w:t> </w:t>
      </w:r>
      <w:r>
        <w:rPr>
          <w:spacing w:val="-2"/>
          <w:sz w:val="22"/>
        </w:rPr>
        <w:t>Singh</w:t>
      </w:r>
    </w:p>
    <w:p>
      <w:pPr>
        <w:pStyle w:val="BodyText"/>
        <w:spacing w:before="27"/>
        <w:ind w:left="1439"/>
      </w:pPr>
      <w:r>
        <w:rPr>
          <w:spacing w:val="-2"/>
        </w:rPr>
        <w:t>Central</w:t>
      </w:r>
      <w:r>
        <w:rPr>
          <w:spacing w:val="-11"/>
        </w:rPr>
        <w:t> </w:t>
      </w:r>
      <w:r>
        <w:rPr>
          <w:spacing w:val="-2"/>
        </w:rPr>
        <w:t>Institute</w:t>
      </w:r>
      <w:r>
        <w:rPr>
          <w:spacing w:val="-11"/>
        </w:rPr>
        <w:t> </w:t>
      </w:r>
      <w:r>
        <w:rPr>
          <w:spacing w:val="-2"/>
        </w:rPr>
        <w:t>of</w:t>
      </w:r>
      <w:r>
        <w:rPr>
          <w:spacing w:val="-11"/>
        </w:rPr>
        <w:t> </w:t>
      </w:r>
      <w:r>
        <w:rPr>
          <w:spacing w:val="-2"/>
        </w:rPr>
        <w:t>Indian</w:t>
      </w:r>
      <w:r>
        <w:rPr>
          <w:spacing w:val="-11"/>
        </w:rPr>
        <w:t> </w:t>
      </w:r>
      <w:r>
        <w:rPr>
          <w:spacing w:val="-2"/>
        </w:rPr>
        <w:t>Languages,</w:t>
      </w:r>
      <w:r>
        <w:rPr>
          <w:spacing w:val="-11"/>
        </w:rPr>
        <w:t> </w:t>
      </w:r>
      <w:r>
        <w:rPr>
          <w:spacing w:val="-6"/>
        </w:rPr>
        <w:t>Mysore</w:t>
      </w:r>
    </w:p>
    <w:p>
      <w:pPr>
        <w:pStyle w:val="ListParagraph"/>
        <w:numPr>
          <w:ilvl w:val="0"/>
          <w:numId w:val="72"/>
        </w:numPr>
        <w:tabs>
          <w:tab w:pos="1439" w:val="left" w:leader="none"/>
        </w:tabs>
        <w:spacing w:line="266" w:lineRule="auto" w:before="117" w:after="0"/>
        <w:ind w:left="1439" w:right="2417" w:hanging="360"/>
        <w:jc w:val="left"/>
        <w:rPr>
          <w:sz w:val="22"/>
        </w:rPr>
      </w:pPr>
      <w:r>
        <w:rPr>
          <w:spacing w:val="-4"/>
          <w:sz w:val="22"/>
        </w:rPr>
        <w:t>Prof.</w:t>
      </w:r>
      <w:r>
        <w:rPr>
          <w:spacing w:val="-10"/>
          <w:sz w:val="22"/>
        </w:rPr>
        <w:t> </w:t>
      </w:r>
      <w:r>
        <w:rPr>
          <w:spacing w:val="-4"/>
          <w:sz w:val="22"/>
        </w:rPr>
        <w:t>Jacob</w:t>
      </w:r>
      <w:r>
        <w:rPr>
          <w:spacing w:val="-10"/>
          <w:sz w:val="22"/>
        </w:rPr>
        <w:t> </w:t>
      </w:r>
      <w:r>
        <w:rPr>
          <w:spacing w:val="-4"/>
          <w:sz w:val="22"/>
        </w:rPr>
        <w:t>Tharu </w:t>
      </w:r>
      <w:r>
        <w:rPr>
          <w:spacing w:val="-2"/>
          <w:sz w:val="22"/>
        </w:rPr>
        <w:t>CIEFL</w:t>
      </w:r>
    </w:p>
    <w:p>
      <w:pPr>
        <w:pStyle w:val="BodyText"/>
        <w:spacing w:before="12"/>
      </w:pPr>
    </w:p>
    <w:p>
      <w:pPr>
        <w:pStyle w:val="Heading6"/>
        <w:ind w:left="1079" w:firstLine="0"/>
      </w:pPr>
      <w:r>
        <w:rPr>
          <w:color w:val="2E614A"/>
          <w:spacing w:val="-2"/>
          <w:w w:val="95"/>
        </w:rPr>
        <w:t>Libraries</w:t>
      </w:r>
    </w:p>
    <w:p>
      <w:pPr>
        <w:pStyle w:val="ListParagraph"/>
        <w:numPr>
          <w:ilvl w:val="0"/>
          <w:numId w:val="73"/>
        </w:numPr>
        <w:tabs>
          <w:tab w:pos="1438" w:val="left" w:leader="none"/>
        </w:tabs>
        <w:spacing w:line="240" w:lineRule="auto" w:before="286" w:after="0"/>
        <w:ind w:left="1438" w:right="0" w:hanging="359"/>
        <w:jc w:val="left"/>
        <w:rPr>
          <w:sz w:val="22"/>
        </w:rPr>
      </w:pPr>
      <w:r>
        <w:rPr>
          <w:spacing w:val="-4"/>
          <w:sz w:val="22"/>
        </w:rPr>
        <w:t>Smt.</w:t>
      </w:r>
      <w:r>
        <w:rPr>
          <w:spacing w:val="-5"/>
          <w:sz w:val="22"/>
        </w:rPr>
        <w:t> </w:t>
      </w:r>
      <w:r>
        <w:rPr>
          <w:spacing w:val="-4"/>
          <w:sz w:val="22"/>
        </w:rPr>
        <w:t>Kalpana Dasgupta</w:t>
      </w:r>
    </w:p>
    <w:p>
      <w:pPr>
        <w:pStyle w:val="BodyText"/>
        <w:spacing w:before="27"/>
        <w:ind w:left="1439"/>
      </w:pPr>
      <w:r>
        <w:rPr>
          <w:spacing w:val="-4"/>
        </w:rPr>
        <w:t>Central</w:t>
      </w:r>
      <w:r>
        <w:rPr>
          <w:spacing w:val="-10"/>
        </w:rPr>
        <w:t> </w:t>
      </w:r>
      <w:r>
        <w:rPr>
          <w:spacing w:val="-4"/>
        </w:rPr>
        <w:t>Secretariat</w:t>
      </w:r>
      <w:r>
        <w:rPr>
          <w:spacing w:val="-10"/>
        </w:rPr>
        <w:t> </w:t>
      </w:r>
      <w:r>
        <w:rPr>
          <w:spacing w:val="-4"/>
        </w:rPr>
        <w:t>Library,</w:t>
      </w:r>
      <w:r>
        <w:rPr>
          <w:spacing w:val="-9"/>
        </w:rPr>
        <w:t> </w:t>
      </w:r>
      <w:r>
        <w:rPr>
          <w:spacing w:val="-4"/>
        </w:rPr>
        <w:t>New</w:t>
      </w:r>
      <w:r>
        <w:rPr>
          <w:spacing w:val="-10"/>
        </w:rPr>
        <w:t> </w:t>
      </w:r>
      <w:r>
        <w:rPr>
          <w:spacing w:val="-4"/>
        </w:rPr>
        <w:t>Delhi</w:t>
      </w:r>
    </w:p>
    <w:p>
      <w:pPr>
        <w:pStyle w:val="ListParagraph"/>
        <w:numPr>
          <w:ilvl w:val="0"/>
          <w:numId w:val="73"/>
        </w:numPr>
        <w:tabs>
          <w:tab w:pos="1438" w:val="left" w:leader="none"/>
        </w:tabs>
        <w:spacing w:line="240" w:lineRule="auto" w:before="117" w:after="0"/>
        <w:ind w:left="1438" w:right="0" w:hanging="359"/>
        <w:jc w:val="left"/>
        <w:rPr>
          <w:sz w:val="22"/>
        </w:rPr>
      </w:pPr>
      <w:r>
        <w:rPr>
          <w:sz w:val="22"/>
        </w:rPr>
        <w:t>Dr.</w:t>
      </w:r>
      <w:r>
        <w:rPr>
          <w:spacing w:val="-11"/>
          <w:sz w:val="22"/>
        </w:rPr>
        <w:t> </w:t>
      </w:r>
      <w:r>
        <w:rPr>
          <w:sz w:val="22"/>
        </w:rPr>
        <w:t>S.</w:t>
      </w:r>
      <w:r>
        <w:rPr>
          <w:spacing w:val="-10"/>
          <w:sz w:val="22"/>
        </w:rPr>
        <w:t> </w:t>
      </w:r>
      <w:r>
        <w:rPr>
          <w:spacing w:val="-2"/>
          <w:sz w:val="22"/>
        </w:rPr>
        <w:t>Arunachalam</w:t>
      </w:r>
    </w:p>
    <w:p>
      <w:pPr>
        <w:pStyle w:val="BodyText"/>
        <w:spacing w:line="266" w:lineRule="auto" w:before="27"/>
        <w:ind w:left="1439"/>
      </w:pPr>
      <w:r>
        <w:rPr>
          <w:spacing w:val="-4"/>
        </w:rPr>
        <w:t>M.S.</w:t>
      </w:r>
      <w:r>
        <w:rPr>
          <w:spacing w:val="-8"/>
        </w:rPr>
        <w:t> </w:t>
      </w:r>
      <w:r>
        <w:rPr>
          <w:spacing w:val="-4"/>
        </w:rPr>
        <w:t>Swaminathan</w:t>
      </w:r>
      <w:r>
        <w:rPr>
          <w:spacing w:val="-8"/>
        </w:rPr>
        <w:t> </w:t>
      </w:r>
      <w:r>
        <w:rPr>
          <w:spacing w:val="-4"/>
        </w:rPr>
        <w:t>Research</w:t>
      </w:r>
      <w:r>
        <w:rPr>
          <w:spacing w:val="-8"/>
        </w:rPr>
        <w:t> </w:t>
      </w:r>
      <w:r>
        <w:rPr>
          <w:spacing w:val="-4"/>
        </w:rPr>
        <w:t>Foundation</w:t>
      </w:r>
      <w:r>
        <w:rPr>
          <w:spacing w:val="-4"/>
        </w:rPr>
        <w:t>,</w:t>
      </w:r>
      <w:r>
        <w:rPr>
          <w:spacing w:val="-4"/>
        </w:rPr>
        <w:t> </w:t>
      </w:r>
      <w:r>
        <w:rPr>
          <w:spacing w:val="-2"/>
        </w:rPr>
        <w:t>Chennai</w:t>
      </w:r>
    </w:p>
    <w:p>
      <w:pPr>
        <w:pStyle w:val="ListParagraph"/>
        <w:numPr>
          <w:ilvl w:val="0"/>
          <w:numId w:val="73"/>
        </w:numPr>
        <w:tabs>
          <w:tab w:pos="1439" w:val="left" w:leader="none"/>
        </w:tabs>
        <w:spacing w:line="240" w:lineRule="auto" w:before="88" w:after="0"/>
        <w:ind w:left="1439" w:right="0" w:hanging="359"/>
        <w:jc w:val="left"/>
        <w:rPr>
          <w:sz w:val="22"/>
        </w:rPr>
      </w:pPr>
      <w:r>
        <w:rPr>
          <w:spacing w:val="-2"/>
          <w:sz w:val="22"/>
        </w:rPr>
        <w:t>Mr.</w:t>
      </w:r>
      <w:r>
        <w:rPr>
          <w:spacing w:val="-10"/>
          <w:sz w:val="22"/>
        </w:rPr>
        <w:t> </w:t>
      </w:r>
      <w:r>
        <w:rPr>
          <w:spacing w:val="-2"/>
          <w:sz w:val="22"/>
        </w:rPr>
        <w:t>K.K.</w:t>
      </w:r>
      <w:r>
        <w:rPr>
          <w:spacing w:val="-9"/>
          <w:sz w:val="22"/>
        </w:rPr>
        <w:t> </w:t>
      </w:r>
      <w:r>
        <w:rPr>
          <w:spacing w:val="-2"/>
          <w:sz w:val="22"/>
        </w:rPr>
        <w:t>Banerjee</w:t>
      </w:r>
    </w:p>
    <w:p>
      <w:pPr>
        <w:pStyle w:val="BodyText"/>
        <w:spacing w:line="266" w:lineRule="auto" w:before="27"/>
        <w:ind w:left="1439"/>
      </w:pPr>
      <w:r>
        <w:rPr>
          <w:spacing w:val="-4"/>
        </w:rPr>
        <w:t>Raja</w:t>
      </w:r>
      <w:r>
        <w:rPr>
          <w:spacing w:val="-5"/>
        </w:rPr>
        <w:t> </w:t>
      </w:r>
      <w:r>
        <w:rPr>
          <w:spacing w:val="-4"/>
        </w:rPr>
        <w:t>Rammohan</w:t>
      </w:r>
      <w:r>
        <w:rPr>
          <w:spacing w:val="-5"/>
        </w:rPr>
        <w:t> </w:t>
      </w:r>
      <w:r>
        <w:rPr>
          <w:spacing w:val="-4"/>
        </w:rPr>
        <w:t>Roy</w:t>
      </w:r>
      <w:r>
        <w:rPr>
          <w:spacing w:val="-5"/>
        </w:rPr>
        <w:t> </w:t>
      </w:r>
      <w:r>
        <w:rPr>
          <w:spacing w:val="-4"/>
        </w:rPr>
        <w:t>Library</w:t>
      </w:r>
      <w:r>
        <w:rPr>
          <w:spacing w:val="-5"/>
        </w:rPr>
        <w:t> </w:t>
      </w:r>
      <w:r>
        <w:rPr>
          <w:spacing w:val="-4"/>
        </w:rPr>
        <w:t>Foundation, </w:t>
      </w:r>
      <w:r>
        <w:rPr>
          <w:spacing w:val="-2"/>
        </w:rPr>
        <w:t>Kolkata</w:t>
      </w:r>
    </w:p>
    <w:p>
      <w:pPr>
        <w:pStyle w:val="ListParagraph"/>
        <w:numPr>
          <w:ilvl w:val="0"/>
          <w:numId w:val="73"/>
        </w:numPr>
        <w:tabs>
          <w:tab w:pos="1439" w:val="left" w:leader="none"/>
        </w:tabs>
        <w:spacing w:line="240" w:lineRule="auto" w:before="88" w:after="0"/>
        <w:ind w:left="1439" w:right="0" w:hanging="359"/>
        <w:jc w:val="left"/>
        <w:rPr>
          <w:sz w:val="22"/>
        </w:rPr>
      </w:pPr>
      <w:r>
        <w:rPr>
          <w:sz w:val="22"/>
        </w:rPr>
        <w:t>Mr.</w:t>
      </w:r>
      <w:r>
        <w:rPr>
          <w:spacing w:val="-13"/>
          <w:sz w:val="22"/>
        </w:rPr>
        <w:t> </w:t>
      </w:r>
      <w:r>
        <w:rPr>
          <w:sz w:val="22"/>
        </w:rPr>
        <w:t>K.</w:t>
      </w:r>
      <w:r>
        <w:rPr>
          <w:spacing w:val="-11"/>
          <w:sz w:val="22"/>
        </w:rPr>
        <w:t> </w:t>
      </w:r>
      <w:r>
        <w:rPr>
          <w:spacing w:val="-2"/>
          <w:sz w:val="22"/>
        </w:rPr>
        <w:t>Jayakumar</w:t>
      </w:r>
    </w:p>
    <w:p>
      <w:pPr>
        <w:pStyle w:val="BodyText"/>
        <w:spacing w:before="27"/>
        <w:ind w:left="1439"/>
      </w:pPr>
      <w:r>
        <w:rPr>
          <w:spacing w:val="-2"/>
        </w:rPr>
        <w:t>Ministry</w:t>
      </w:r>
      <w:r>
        <w:rPr>
          <w:spacing w:val="-6"/>
        </w:rPr>
        <w:t> </w:t>
      </w:r>
      <w:r>
        <w:rPr>
          <w:spacing w:val="-2"/>
        </w:rPr>
        <w:t>of</w:t>
      </w:r>
      <w:r>
        <w:rPr>
          <w:spacing w:val="-5"/>
        </w:rPr>
        <w:t> </w:t>
      </w:r>
      <w:r>
        <w:rPr>
          <w:spacing w:val="-2"/>
        </w:rPr>
        <w:t>Culture,</w:t>
      </w:r>
      <w:r>
        <w:rPr>
          <w:spacing w:val="-5"/>
        </w:rPr>
        <w:t> </w:t>
      </w:r>
      <w:r>
        <w:rPr>
          <w:spacing w:val="-2"/>
        </w:rPr>
        <w:t>New</w:t>
      </w:r>
      <w:r>
        <w:rPr>
          <w:spacing w:val="-5"/>
        </w:rPr>
        <w:t> </w:t>
      </w:r>
      <w:r>
        <w:rPr>
          <w:spacing w:val="-4"/>
        </w:rPr>
        <w:t>Delhi</w:t>
      </w:r>
    </w:p>
    <w:p>
      <w:pPr>
        <w:pStyle w:val="ListParagraph"/>
        <w:numPr>
          <w:ilvl w:val="0"/>
          <w:numId w:val="73"/>
        </w:numPr>
        <w:tabs>
          <w:tab w:pos="1439" w:val="left" w:leader="none"/>
        </w:tabs>
        <w:spacing w:line="266" w:lineRule="auto" w:before="118" w:after="0"/>
        <w:ind w:left="1439" w:right="2036" w:hanging="360"/>
        <w:jc w:val="left"/>
        <w:rPr>
          <w:sz w:val="22"/>
        </w:rPr>
      </w:pPr>
      <w:r>
        <w:rPr>
          <w:sz w:val="22"/>
        </w:rPr>
        <w:t>Dr. H.K. Kaul </w:t>
      </w:r>
      <w:r>
        <w:rPr>
          <w:spacing w:val="-2"/>
          <w:sz w:val="22"/>
        </w:rPr>
        <w:t>DELNET,</w:t>
      </w:r>
      <w:r>
        <w:rPr>
          <w:spacing w:val="-12"/>
          <w:sz w:val="22"/>
        </w:rPr>
        <w:t> </w:t>
      </w:r>
      <w:r>
        <w:rPr>
          <w:spacing w:val="-2"/>
          <w:sz w:val="22"/>
        </w:rPr>
        <w:t>New</w:t>
      </w:r>
      <w:r>
        <w:rPr>
          <w:spacing w:val="-12"/>
          <w:sz w:val="22"/>
        </w:rPr>
        <w:t> </w:t>
      </w:r>
      <w:r>
        <w:rPr>
          <w:spacing w:val="-2"/>
          <w:sz w:val="22"/>
        </w:rPr>
        <w:t>Delhi</w:t>
      </w:r>
    </w:p>
    <w:p>
      <w:pPr>
        <w:pStyle w:val="ListParagraph"/>
        <w:numPr>
          <w:ilvl w:val="0"/>
          <w:numId w:val="73"/>
        </w:numPr>
        <w:tabs>
          <w:tab w:pos="1439" w:val="left" w:leader="none"/>
        </w:tabs>
        <w:spacing w:line="240" w:lineRule="auto" w:before="88" w:after="0"/>
        <w:ind w:left="1439" w:right="0" w:hanging="359"/>
        <w:jc w:val="left"/>
        <w:rPr>
          <w:sz w:val="22"/>
        </w:rPr>
      </w:pPr>
      <w:r>
        <w:rPr>
          <w:spacing w:val="-2"/>
          <w:sz w:val="22"/>
        </w:rPr>
        <w:t>Mr.</w:t>
      </w:r>
      <w:r>
        <w:rPr>
          <w:spacing w:val="-10"/>
          <w:sz w:val="22"/>
        </w:rPr>
        <w:t> </w:t>
      </w:r>
      <w:r>
        <w:rPr>
          <w:spacing w:val="-2"/>
          <w:sz w:val="22"/>
        </w:rPr>
        <w:t>K.K.</w:t>
      </w:r>
      <w:r>
        <w:rPr>
          <w:spacing w:val="-9"/>
          <w:sz w:val="22"/>
        </w:rPr>
        <w:t> </w:t>
      </w:r>
      <w:r>
        <w:rPr>
          <w:spacing w:val="-2"/>
          <w:sz w:val="22"/>
        </w:rPr>
        <w:t>Kochukoshy</w:t>
      </w:r>
    </w:p>
    <w:p>
      <w:pPr>
        <w:pStyle w:val="BodyText"/>
        <w:spacing w:before="27"/>
        <w:ind w:left="1439"/>
      </w:pPr>
      <w:r>
        <w:rPr>
          <w:spacing w:val="-6"/>
        </w:rPr>
        <w:t>Central</w:t>
      </w:r>
      <w:r>
        <w:rPr/>
        <w:t> </w:t>
      </w:r>
      <w:r>
        <w:rPr>
          <w:spacing w:val="-6"/>
        </w:rPr>
        <w:t>Reference</w:t>
      </w:r>
      <w:r>
        <w:rPr>
          <w:spacing w:val="1"/>
        </w:rPr>
        <w:t> </w:t>
      </w:r>
      <w:r>
        <w:rPr>
          <w:spacing w:val="-6"/>
        </w:rPr>
        <w:t>Library,</w:t>
      </w:r>
      <w:r>
        <w:rPr>
          <w:spacing w:val="1"/>
        </w:rPr>
        <w:t> </w:t>
      </w:r>
      <w:r>
        <w:rPr>
          <w:spacing w:val="-6"/>
        </w:rPr>
        <w:t>Kolkata</w:t>
      </w:r>
    </w:p>
    <w:p>
      <w:pPr>
        <w:pStyle w:val="ListParagraph"/>
        <w:numPr>
          <w:ilvl w:val="0"/>
          <w:numId w:val="73"/>
        </w:numPr>
        <w:tabs>
          <w:tab w:pos="1439" w:val="left" w:leader="none"/>
        </w:tabs>
        <w:spacing w:line="266" w:lineRule="auto" w:before="117" w:after="0"/>
        <w:ind w:left="1439" w:right="1677" w:hanging="360"/>
        <w:jc w:val="left"/>
        <w:rPr>
          <w:sz w:val="22"/>
        </w:rPr>
      </w:pPr>
      <w:r>
        <w:rPr>
          <w:sz w:val="22"/>
        </w:rPr>
        <w:t>Mr. Manoj Kumar K. </w:t>
      </w:r>
      <w:r>
        <w:rPr>
          <w:spacing w:val="-4"/>
          <w:sz w:val="22"/>
        </w:rPr>
        <w:t>INFLIBNET,</w:t>
      </w:r>
      <w:r>
        <w:rPr>
          <w:spacing w:val="-10"/>
          <w:sz w:val="22"/>
        </w:rPr>
        <w:t> </w:t>
      </w:r>
      <w:r>
        <w:rPr>
          <w:spacing w:val="-4"/>
          <w:sz w:val="22"/>
        </w:rPr>
        <w:t>Ahmedabad</w:t>
      </w:r>
    </w:p>
    <w:p>
      <w:pPr>
        <w:pStyle w:val="ListParagraph"/>
        <w:numPr>
          <w:ilvl w:val="0"/>
          <w:numId w:val="73"/>
        </w:numPr>
        <w:tabs>
          <w:tab w:pos="1439" w:val="left" w:leader="none"/>
        </w:tabs>
        <w:spacing w:line="240" w:lineRule="auto" w:before="88" w:after="0"/>
        <w:ind w:left="1439" w:right="0" w:hanging="359"/>
        <w:jc w:val="left"/>
        <w:rPr>
          <w:sz w:val="22"/>
        </w:rPr>
      </w:pPr>
      <w:r>
        <w:rPr>
          <w:spacing w:val="-4"/>
          <w:sz w:val="22"/>
        </w:rPr>
        <w:t>Prof.</w:t>
      </w:r>
      <w:r>
        <w:rPr>
          <w:spacing w:val="-9"/>
          <w:sz w:val="22"/>
        </w:rPr>
        <w:t> </w:t>
      </w:r>
      <w:r>
        <w:rPr>
          <w:spacing w:val="-4"/>
          <w:sz w:val="22"/>
        </w:rPr>
        <w:t>S.</w:t>
      </w:r>
      <w:r>
        <w:rPr>
          <w:spacing w:val="-8"/>
          <w:sz w:val="22"/>
        </w:rPr>
        <w:t> </w:t>
      </w:r>
      <w:r>
        <w:rPr>
          <w:spacing w:val="-4"/>
          <w:sz w:val="22"/>
        </w:rPr>
        <w:t>Mandal</w:t>
      </w:r>
    </w:p>
    <w:p>
      <w:pPr>
        <w:pStyle w:val="BodyText"/>
        <w:spacing w:before="27"/>
        <w:ind w:left="1439"/>
      </w:pPr>
      <w:r>
        <w:rPr>
          <w:spacing w:val="-4"/>
        </w:rPr>
        <w:t>National</w:t>
      </w:r>
      <w:r>
        <w:rPr>
          <w:spacing w:val="-7"/>
        </w:rPr>
        <w:t> </w:t>
      </w:r>
      <w:r>
        <w:rPr>
          <w:spacing w:val="-4"/>
        </w:rPr>
        <w:t>Library,</w:t>
      </w:r>
      <w:r>
        <w:rPr>
          <w:spacing w:val="-6"/>
        </w:rPr>
        <w:t> </w:t>
      </w:r>
      <w:r>
        <w:rPr>
          <w:spacing w:val="-4"/>
        </w:rPr>
        <w:t>Kolkata</w:t>
      </w:r>
    </w:p>
    <w:p>
      <w:pPr>
        <w:pStyle w:val="ListParagraph"/>
        <w:numPr>
          <w:ilvl w:val="0"/>
          <w:numId w:val="73"/>
        </w:numPr>
        <w:tabs>
          <w:tab w:pos="1085" w:val="left" w:leader="none"/>
        </w:tabs>
        <w:spacing w:line="240" w:lineRule="auto" w:before="99" w:after="0"/>
        <w:ind w:left="1085" w:right="0" w:hanging="359"/>
        <w:jc w:val="left"/>
        <w:rPr>
          <w:sz w:val="22"/>
        </w:rPr>
      </w:pPr>
      <w:r>
        <w:rPr/>
        <w:br w:type="column"/>
      </w:r>
      <w:r>
        <w:rPr>
          <w:spacing w:val="-10"/>
          <w:sz w:val="22"/>
        </w:rPr>
        <w:t>Prof.</w:t>
      </w:r>
      <w:r>
        <w:rPr>
          <w:spacing w:val="1"/>
          <w:sz w:val="22"/>
        </w:rPr>
        <w:t> </w:t>
      </w:r>
      <w:r>
        <w:rPr>
          <w:spacing w:val="-10"/>
          <w:sz w:val="22"/>
        </w:rPr>
        <w:t>P.B.</w:t>
      </w:r>
      <w:r>
        <w:rPr>
          <w:spacing w:val="2"/>
          <w:sz w:val="22"/>
        </w:rPr>
        <w:t> </w:t>
      </w:r>
      <w:r>
        <w:rPr>
          <w:spacing w:val="-10"/>
          <w:sz w:val="22"/>
        </w:rPr>
        <w:t>Mangla</w:t>
      </w:r>
    </w:p>
    <w:p>
      <w:pPr>
        <w:pStyle w:val="BodyText"/>
        <w:spacing w:line="266" w:lineRule="auto" w:before="27"/>
        <w:ind w:left="1086" w:right="1539"/>
      </w:pPr>
      <w:r>
        <w:rPr>
          <w:spacing w:val="-2"/>
        </w:rPr>
        <w:t>Dept.</w:t>
      </w:r>
      <w:r>
        <w:rPr>
          <w:spacing w:val="-12"/>
        </w:rPr>
        <w:t> </w:t>
      </w:r>
      <w:r>
        <w:rPr>
          <w:spacing w:val="-2"/>
        </w:rPr>
        <w:t>of</w:t>
      </w:r>
      <w:r>
        <w:rPr>
          <w:spacing w:val="-12"/>
        </w:rPr>
        <w:t> </w:t>
      </w:r>
      <w:r>
        <w:rPr>
          <w:spacing w:val="-2"/>
        </w:rPr>
        <w:t>Library</w:t>
      </w:r>
      <w:r>
        <w:rPr>
          <w:spacing w:val="-12"/>
        </w:rPr>
        <w:t> </w:t>
      </w:r>
      <w:r>
        <w:rPr>
          <w:spacing w:val="-2"/>
        </w:rPr>
        <w:t>and</w:t>
      </w:r>
      <w:r>
        <w:rPr>
          <w:spacing w:val="-11"/>
        </w:rPr>
        <w:t> </w:t>
      </w:r>
      <w:r>
        <w:rPr>
          <w:spacing w:val="-2"/>
        </w:rPr>
        <w:t>Information</w:t>
      </w:r>
      <w:r>
        <w:rPr>
          <w:spacing w:val="-12"/>
        </w:rPr>
        <w:t> </w:t>
      </w:r>
      <w:r>
        <w:rPr>
          <w:spacing w:val="-2"/>
        </w:rPr>
        <w:t>Science </w:t>
      </w:r>
      <w:r>
        <w:rPr/>
        <w:t>University of Delhi</w:t>
      </w:r>
    </w:p>
    <w:p>
      <w:pPr>
        <w:pStyle w:val="ListParagraph"/>
        <w:numPr>
          <w:ilvl w:val="0"/>
          <w:numId w:val="73"/>
        </w:numPr>
        <w:tabs>
          <w:tab w:pos="1086" w:val="left" w:leader="none"/>
        </w:tabs>
        <w:spacing w:line="266" w:lineRule="auto" w:before="88" w:after="0"/>
        <w:ind w:left="1086" w:right="3765" w:hanging="360"/>
        <w:jc w:val="left"/>
        <w:rPr>
          <w:sz w:val="22"/>
        </w:rPr>
      </w:pPr>
      <w:r>
        <w:rPr>
          <w:spacing w:val="-2"/>
          <w:sz w:val="22"/>
        </w:rPr>
        <w:t>Dr.</w:t>
      </w:r>
      <w:r>
        <w:rPr>
          <w:spacing w:val="-12"/>
          <w:sz w:val="22"/>
        </w:rPr>
        <w:t> </w:t>
      </w:r>
      <w:r>
        <w:rPr>
          <w:spacing w:val="-2"/>
          <w:sz w:val="22"/>
        </w:rPr>
        <w:t>T.A.V.</w:t>
      </w:r>
      <w:r>
        <w:rPr>
          <w:spacing w:val="-12"/>
          <w:sz w:val="22"/>
        </w:rPr>
        <w:t> </w:t>
      </w:r>
      <w:r>
        <w:rPr>
          <w:spacing w:val="-2"/>
          <w:sz w:val="22"/>
        </w:rPr>
        <w:t>Murthy CIEFL,</w:t>
      </w:r>
      <w:r>
        <w:rPr>
          <w:spacing w:val="-8"/>
          <w:sz w:val="22"/>
        </w:rPr>
        <w:t> </w:t>
      </w:r>
      <w:r>
        <w:rPr>
          <w:spacing w:val="-4"/>
          <w:sz w:val="22"/>
        </w:rPr>
        <w:t>Hyderabad</w:t>
      </w:r>
    </w:p>
    <w:p>
      <w:pPr>
        <w:pStyle w:val="ListParagraph"/>
        <w:numPr>
          <w:ilvl w:val="0"/>
          <w:numId w:val="73"/>
        </w:numPr>
        <w:tabs>
          <w:tab w:pos="1085" w:val="left" w:leader="none"/>
        </w:tabs>
        <w:spacing w:line="240" w:lineRule="auto" w:before="88" w:after="0"/>
        <w:ind w:left="1085" w:right="0" w:hanging="359"/>
        <w:jc w:val="left"/>
        <w:rPr>
          <w:sz w:val="22"/>
        </w:rPr>
      </w:pPr>
      <w:r>
        <w:rPr>
          <w:sz w:val="22"/>
        </w:rPr>
        <w:t>Dr.</w:t>
      </w:r>
      <w:r>
        <w:rPr>
          <w:spacing w:val="-12"/>
          <w:sz w:val="22"/>
        </w:rPr>
        <w:t> </w:t>
      </w:r>
      <w:r>
        <w:rPr>
          <w:sz w:val="22"/>
        </w:rPr>
        <w:t>Harsha</w:t>
      </w:r>
      <w:r>
        <w:rPr>
          <w:spacing w:val="-11"/>
          <w:sz w:val="22"/>
        </w:rPr>
        <w:t> </w:t>
      </w:r>
      <w:r>
        <w:rPr>
          <w:spacing w:val="-2"/>
          <w:sz w:val="22"/>
        </w:rPr>
        <w:t>Parekh</w:t>
      </w:r>
    </w:p>
    <w:p>
      <w:pPr>
        <w:pStyle w:val="BodyText"/>
        <w:spacing w:line="266" w:lineRule="auto" w:before="27"/>
        <w:ind w:left="1086" w:right="3067"/>
      </w:pPr>
      <w:r>
        <w:rPr>
          <w:spacing w:val="-6"/>
        </w:rPr>
        <w:t>SNDT</w:t>
      </w:r>
      <w:r>
        <w:rPr>
          <w:spacing w:val="-8"/>
        </w:rPr>
        <w:t> </w:t>
      </w:r>
      <w:r>
        <w:rPr>
          <w:spacing w:val="-6"/>
        </w:rPr>
        <w:t>Women’s</w:t>
      </w:r>
      <w:r>
        <w:rPr>
          <w:spacing w:val="-8"/>
        </w:rPr>
        <w:t> </w:t>
      </w:r>
      <w:r>
        <w:rPr>
          <w:spacing w:val="-6"/>
        </w:rPr>
        <w:t>University </w:t>
      </w:r>
      <w:r>
        <w:rPr>
          <w:spacing w:val="-2"/>
        </w:rPr>
        <w:t>Mumbai</w:t>
      </w:r>
    </w:p>
    <w:p>
      <w:pPr>
        <w:pStyle w:val="ListParagraph"/>
        <w:numPr>
          <w:ilvl w:val="0"/>
          <w:numId w:val="73"/>
        </w:numPr>
        <w:tabs>
          <w:tab w:pos="1085" w:val="left" w:leader="none"/>
        </w:tabs>
        <w:spacing w:line="240" w:lineRule="auto" w:before="89" w:after="0"/>
        <w:ind w:left="1085" w:right="0" w:hanging="359"/>
        <w:jc w:val="left"/>
        <w:rPr>
          <w:sz w:val="22"/>
        </w:rPr>
      </w:pPr>
      <w:r>
        <w:rPr>
          <w:sz w:val="22"/>
        </w:rPr>
        <w:t>Dr.</w:t>
      </w:r>
      <w:r>
        <w:rPr>
          <w:spacing w:val="-12"/>
          <w:sz w:val="22"/>
        </w:rPr>
        <w:t> </w:t>
      </w:r>
      <w:r>
        <w:rPr>
          <w:sz w:val="22"/>
        </w:rPr>
        <w:t>A.R.D.</w:t>
      </w:r>
      <w:r>
        <w:rPr>
          <w:spacing w:val="-12"/>
          <w:sz w:val="22"/>
        </w:rPr>
        <w:t> </w:t>
      </w:r>
      <w:r>
        <w:rPr>
          <w:spacing w:val="-2"/>
          <w:sz w:val="22"/>
        </w:rPr>
        <w:t>Prasad</w:t>
      </w:r>
    </w:p>
    <w:p>
      <w:pPr>
        <w:pStyle w:val="BodyText"/>
        <w:spacing w:line="266" w:lineRule="auto" w:before="27"/>
        <w:ind w:left="1086" w:right="1539"/>
      </w:pPr>
      <w:r>
        <w:rPr>
          <w:spacing w:val="-4"/>
        </w:rPr>
        <w:t>Documentation Research and</w:t>
      </w:r>
      <w:r>
        <w:rPr>
          <w:spacing w:val="-10"/>
        </w:rPr>
        <w:t> </w:t>
      </w:r>
      <w:r>
        <w:rPr>
          <w:spacing w:val="-4"/>
        </w:rPr>
        <w:t>Training </w:t>
      </w:r>
      <w:r>
        <w:rPr/>
        <w:t>Centre, ISI, Bangalore</w:t>
      </w:r>
    </w:p>
    <w:p>
      <w:pPr>
        <w:pStyle w:val="BodyText"/>
        <w:spacing w:before="102"/>
      </w:pPr>
    </w:p>
    <w:p>
      <w:pPr>
        <w:pStyle w:val="Heading6"/>
        <w:ind w:left="726" w:firstLine="0"/>
      </w:pPr>
      <w:r>
        <w:rPr>
          <w:color w:val="2E614A"/>
          <w:w w:val="90"/>
        </w:rPr>
        <w:t>Health</w:t>
      </w:r>
      <w:r>
        <w:rPr>
          <w:color w:val="2E614A"/>
          <w:spacing w:val="38"/>
        </w:rPr>
        <w:t> </w:t>
      </w:r>
      <w:r>
        <w:rPr>
          <w:color w:val="2E614A"/>
          <w:w w:val="90"/>
        </w:rPr>
        <w:t>Information</w:t>
      </w:r>
      <w:r>
        <w:rPr>
          <w:color w:val="2E614A"/>
          <w:spacing w:val="39"/>
        </w:rPr>
        <w:t> </w:t>
      </w:r>
      <w:r>
        <w:rPr>
          <w:color w:val="2E614A"/>
          <w:spacing w:val="-2"/>
          <w:w w:val="90"/>
        </w:rPr>
        <w:t>Network</w:t>
      </w:r>
    </w:p>
    <w:p>
      <w:pPr>
        <w:pStyle w:val="ListParagraph"/>
        <w:numPr>
          <w:ilvl w:val="0"/>
          <w:numId w:val="74"/>
        </w:numPr>
        <w:tabs>
          <w:tab w:pos="1086" w:val="left" w:leader="none"/>
        </w:tabs>
        <w:spacing w:line="266" w:lineRule="auto" w:before="285" w:after="0"/>
        <w:ind w:left="1086" w:right="2344" w:hanging="360"/>
        <w:jc w:val="left"/>
        <w:rPr>
          <w:sz w:val="22"/>
        </w:rPr>
      </w:pPr>
      <w:r>
        <w:rPr>
          <w:sz w:val="22"/>
        </w:rPr>
        <w:t>Prof. N.K. Ganguly, Chairman </w:t>
      </w:r>
      <w:r>
        <w:rPr>
          <w:spacing w:val="-4"/>
          <w:sz w:val="22"/>
        </w:rPr>
        <w:t>Indian</w:t>
      </w:r>
      <w:r>
        <w:rPr>
          <w:spacing w:val="-9"/>
          <w:sz w:val="22"/>
        </w:rPr>
        <w:t> </w:t>
      </w:r>
      <w:r>
        <w:rPr>
          <w:spacing w:val="-4"/>
          <w:sz w:val="22"/>
        </w:rPr>
        <w:t>Council</w:t>
      </w:r>
      <w:r>
        <w:rPr>
          <w:spacing w:val="-9"/>
          <w:sz w:val="22"/>
        </w:rPr>
        <w:t> </w:t>
      </w:r>
      <w:r>
        <w:rPr>
          <w:spacing w:val="-4"/>
          <w:sz w:val="22"/>
        </w:rPr>
        <w:t>of</w:t>
      </w:r>
      <w:r>
        <w:rPr>
          <w:spacing w:val="-9"/>
          <w:sz w:val="22"/>
        </w:rPr>
        <w:t> </w:t>
      </w:r>
      <w:r>
        <w:rPr>
          <w:spacing w:val="-4"/>
          <w:sz w:val="22"/>
        </w:rPr>
        <w:t>Medical</w:t>
      </w:r>
      <w:r>
        <w:rPr>
          <w:spacing w:val="-9"/>
          <w:sz w:val="22"/>
        </w:rPr>
        <w:t> </w:t>
      </w:r>
      <w:r>
        <w:rPr>
          <w:spacing w:val="-4"/>
          <w:sz w:val="22"/>
        </w:rPr>
        <w:t>Research</w:t>
      </w:r>
    </w:p>
    <w:p>
      <w:pPr>
        <w:pStyle w:val="ListParagraph"/>
        <w:numPr>
          <w:ilvl w:val="0"/>
          <w:numId w:val="74"/>
        </w:numPr>
        <w:tabs>
          <w:tab w:pos="1085" w:val="left" w:leader="none"/>
        </w:tabs>
        <w:spacing w:line="240" w:lineRule="auto" w:before="88" w:after="0"/>
        <w:ind w:left="1085" w:right="0" w:hanging="359"/>
        <w:jc w:val="left"/>
        <w:rPr>
          <w:sz w:val="22"/>
        </w:rPr>
      </w:pPr>
      <w:r>
        <w:rPr>
          <w:spacing w:val="-2"/>
          <w:sz w:val="22"/>
        </w:rPr>
        <w:t>Dr.</w:t>
      </w:r>
      <w:r>
        <w:rPr>
          <w:spacing w:val="-11"/>
          <w:sz w:val="22"/>
        </w:rPr>
        <w:t> </w:t>
      </w:r>
      <w:r>
        <w:rPr>
          <w:spacing w:val="-2"/>
          <w:sz w:val="22"/>
        </w:rPr>
        <w:t>B.S.</w:t>
      </w:r>
      <w:r>
        <w:rPr>
          <w:spacing w:val="-11"/>
          <w:sz w:val="22"/>
        </w:rPr>
        <w:t> </w:t>
      </w:r>
      <w:r>
        <w:rPr>
          <w:spacing w:val="-4"/>
          <w:sz w:val="22"/>
        </w:rPr>
        <w:t>Bedi</w:t>
      </w:r>
    </w:p>
    <w:p>
      <w:pPr>
        <w:pStyle w:val="BodyText"/>
        <w:spacing w:line="266" w:lineRule="auto" w:before="28"/>
        <w:ind w:left="1086" w:right="1037"/>
      </w:pPr>
      <w:r>
        <w:rPr/>
        <w:t>Adviser,</w:t>
      </w:r>
      <w:r>
        <w:rPr>
          <w:spacing w:val="-6"/>
        </w:rPr>
        <w:t> </w:t>
      </w:r>
      <w:r>
        <w:rPr/>
        <w:t>CDAC</w:t>
      </w:r>
      <w:r>
        <w:rPr>
          <w:spacing w:val="-6"/>
        </w:rPr>
        <w:t> </w:t>
      </w:r>
      <w:r>
        <w:rPr/>
        <w:t>&amp;</w:t>
      </w:r>
      <w:r>
        <w:rPr>
          <w:spacing w:val="-6"/>
        </w:rPr>
        <w:t> </w:t>
      </w:r>
      <w:r>
        <w:rPr/>
        <w:t>Media</w:t>
      </w:r>
      <w:r>
        <w:rPr>
          <w:spacing w:val="-6"/>
        </w:rPr>
        <w:t> </w:t>
      </w:r>
      <w:r>
        <w:rPr/>
        <w:t>Lab</w:t>
      </w:r>
      <w:r>
        <w:rPr>
          <w:spacing w:val="-6"/>
        </w:rPr>
        <w:t> </w:t>
      </w:r>
      <w:r>
        <w:rPr/>
        <w:t>Asia,</w:t>
      </w:r>
      <w:r>
        <w:rPr>
          <w:spacing w:val="-6"/>
        </w:rPr>
        <w:t> </w:t>
      </w:r>
      <w:r>
        <w:rPr/>
        <w:t>Former </w:t>
      </w:r>
      <w:r>
        <w:rPr>
          <w:spacing w:val="-2"/>
        </w:rPr>
        <w:t>Senior</w:t>
      </w:r>
      <w:r>
        <w:rPr>
          <w:spacing w:val="-11"/>
        </w:rPr>
        <w:t> </w:t>
      </w:r>
      <w:r>
        <w:rPr>
          <w:spacing w:val="-2"/>
        </w:rPr>
        <w:t>Director</w:t>
      </w:r>
      <w:r>
        <w:rPr>
          <w:spacing w:val="-11"/>
        </w:rPr>
        <w:t> </w:t>
      </w:r>
      <w:r>
        <w:rPr>
          <w:spacing w:val="-2"/>
        </w:rPr>
        <w:t>&amp;</w:t>
      </w:r>
      <w:r>
        <w:rPr>
          <w:spacing w:val="-11"/>
        </w:rPr>
        <w:t> </w:t>
      </w:r>
      <w:r>
        <w:rPr>
          <w:spacing w:val="-2"/>
        </w:rPr>
        <w:t>Head</w:t>
      </w:r>
      <w:r>
        <w:rPr>
          <w:spacing w:val="-11"/>
        </w:rPr>
        <w:t> </w:t>
      </w:r>
      <w:r>
        <w:rPr>
          <w:spacing w:val="-2"/>
        </w:rPr>
        <w:t>Med.</w:t>
      </w:r>
      <w:r>
        <w:rPr>
          <w:spacing w:val="-11"/>
        </w:rPr>
        <w:t> </w:t>
      </w:r>
      <w:r>
        <w:rPr>
          <w:spacing w:val="-2"/>
        </w:rPr>
        <w:t>Electronics</w:t>
      </w:r>
      <w:r>
        <w:rPr>
          <w:spacing w:val="-11"/>
        </w:rPr>
        <w:t> </w:t>
      </w:r>
      <w:r>
        <w:rPr>
          <w:spacing w:val="-2"/>
        </w:rPr>
        <w:t>and Telemedicine</w:t>
      </w:r>
    </w:p>
    <w:p>
      <w:pPr>
        <w:pStyle w:val="BodyText"/>
        <w:spacing w:line="251" w:lineRule="exact"/>
        <w:ind w:left="1086"/>
      </w:pPr>
      <w:r>
        <w:rPr/>
        <w:t>Dept.</w:t>
      </w:r>
      <w:r>
        <w:rPr>
          <w:spacing w:val="-10"/>
        </w:rPr>
        <w:t> </w:t>
      </w:r>
      <w:r>
        <w:rPr/>
        <w:t>of</w:t>
      </w:r>
      <w:r>
        <w:rPr>
          <w:spacing w:val="-9"/>
        </w:rPr>
        <w:t> </w:t>
      </w:r>
      <w:r>
        <w:rPr/>
        <w:t>IT,</w:t>
      </w:r>
      <w:r>
        <w:rPr>
          <w:spacing w:val="-10"/>
        </w:rPr>
        <w:t> </w:t>
      </w:r>
      <w:r>
        <w:rPr/>
        <w:t>Govt.</w:t>
      </w:r>
      <w:r>
        <w:rPr>
          <w:spacing w:val="-9"/>
        </w:rPr>
        <w:t> </w:t>
      </w:r>
      <w:r>
        <w:rPr/>
        <w:t>of</w:t>
      </w:r>
      <w:r>
        <w:rPr>
          <w:spacing w:val="-10"/>
        </w:rPr>
        <w:t> </w:t>
      </w:r>
      <w:r>
        <w:rPr>
          <w:spacing w:val="-2"/>
        </w:rPr>
        <w:t>India</w:t>
      </w:r>
    </w:p>
    <w:p>
      <w:pPr>
        <w:pStyle w:val="ListParagraph"/>
        <w:numPr>
          <w:ilvl w:val="0"/>
          <w:numId w:val="74"/>
        </w:numPr>
        <w:tabs>
          <w:tab w:pos="1085" w:val="left" w:leader="none"/>
        </w:tabs>
        <w:spacing w:line="240" w:lineRule="auto" w:before="117" w:after="0"/>
        <w:ind w:left="1085" w:right="0" w:hanging="359"/>
        <w:jc w:val="left"/>
        <w:rPr>
          <w:sz w:val="22"/>
        </w:rPr>
      </w:pPr>
      <w:r>
        <w:rPr>
          <w:spacing w:val="-2"/>
          <w:sz w:val="22"/>
        </w:rPr>
        <w:t>Mr.</w:t>
      </w:r>
      <w:r>
        <w:rPr>
          <w:spacing w:val="-8"/>
          <w:sz w:val="22"/>
        </w:rPr>
        <w:t> </w:t>
      </w:r>
      <w:r>
        <w:rPr>
          <w:spacing w:val="-2"/>
          <w:sz w:val="22"/>
        </w:rPr>
        <w:t>Partha</w:t>
      </w:r>
      <w:r>
        <w:rPr>
          <w:spacing w:val="-8"/>
          <w:sz w:val="22"/>
        </w:rPr>
        <w:t> </w:t>
      </w:r>
      <w:r>
        <w:rPr>
          <w:spacing w:val="-2"/>
          <w:sz w:val="22"/>
        </w:rPr>
        <w:t>Chattopadhya</w:t>
      </w:r>
    </w:p>
    <w:p>
      <w:pPr>
        <w:pStyle w:val="BodyText"/>
        <w:spacing w:before="27"/>
        <w:ind w:left="1086"/>
      </w:pPr>
      <w:r>
        <w:rPr>
          <w:spacing w:val="-6"/>
        </w:rPr>
        <w:t>CD</w:t>
      </w:r>
      <w:r>
        <w:rPr>
          <w:spacing w:val="-1"/>
        </w:rPr>
        <w:t> </w:t>
      </w:r>
      <w:r>
        <w:rPr>
          <w:spacing w:val="-6"/>
        </w:rPr>
        <w:t>(DRS),</w:t>
      </w:r>
      <w:r>
        <w:rPr/>
        <w:t> </w:t>
      </w:r>
      <w:r>
        <w:rPr>
          <w:spacing w:val="-6"/>
        </w:rPr>
        <w:t>Ministry</w:t>
      </w:r>
      <w:r>
        <w:rPr/>
        <w:t> </w:t>
      </w:r>
      <w:r>
        <w:rPr>
          <w:spacing w:val="-6"/>
        </w:rPr>
        <w:t>of</w:t>
      </w:r>
      <w:r>
        <w:rPr/>
        <w:t> </w:t>
      </w:r>
      <w:r>
        <w:rPr>
          <w:spacing w:val="-6"/>
        </w:rPr>
        <w:t>Health</w:t>
      </w:r>
      <w:r>
        <w:rPr/>
        <w:t> </w:t>
      </w:r>
      <w:r>
        <w:rPr>
          <w:spacing w:val="-6"/>
        </w:rPr>
        <w:t>and</w:t>
      </w:r>
      <w:r>
        <w:rPr>
          <w:spacing w:val="-1"/>
        </w:rPr>
        <w:t> </w:t>
      </w:r>
      <w:r>
        <w:rPr>
          <w:spacing w:val="-6"/>
        </w:rPr>
        <w:t>Family</w:t>
      </w:r>
      <w:r>
        <w:rPr>
          <w:spacing w:val="-3"/>
        </w:rPr>
        <w:t> </w:t>
      </w:r>
      <w:r>
        <w:rPr>
          <w:spacing w:val="-6"/>
        </w:rPr>
        <w:t>Welfare</w:t>
      </w:r>
    </w:p>
    <w:p>
      <w:pPr>
        <w:pStyle w:val="ListParagraph"/>
        <w:numPr>
          <w:ilvl w:val="0"/>
          <w:numId w:val="74"/>
        </w:numPr>
        <w:tabs>
          <w:tab w:pos="1086" w:val="left" w:leader="none"/>
        </w:tabs>
        <w:spacing w:line="266" w:lineRule="auto" w:before="117" w:after="0"/>
        <w:ind w:left="1086" w:right="3757" w:hanging="360"/>
        <w:jc w:val="left"/>
        <w:rPr>
          <w:sz w:val="22"/>
        </w:rPr>
      </w:pPr>
      <w:r>
        <w:rPr>
          <w:sz w:val="22"/>
        </w:rPr>
        <w:t>Dr. Shiban Ganju Convener,</w:t>
      </w:r>
      <w:r>
        <w:rPr>
          <w:spacing w:val="-12"/>
          <w:sz w:val="22"/>
        </w:rPr>
        <w:t> </w:t>
      </w:r>
      <w:r>
        <w:rPr>
          <w:sz w:val="22"/>
        </w:rPr>
        <w:t>I</w:t>
      </w:r>
      <w:r>
        <w:rPr>
          <w:spacing w:val="-12"/>
          <w:sz w:val="22"/>
        </w:rPr>
        <w:t> </w:t>
      </w:r>
      <w:r>
        <w:rPr>
          <w:sz w:val="22"/>
        </w:rPr>
        <w:t>HIND</w:t>
      </w:r>
    </w:p>
    <w:p>
      <w:pPr>
        <w:pStyle w:val="ListParagraph"/>
        <w:numPr>
          <w:ilvl w:val="0"/>
          <w:numId w:val="74"/>
        </w:numPr>
        <w:tabs>
          <w:tab w:pos="1085" w:val="left" w:leader="none"/>
        </w:tabs>
        <w:spacing w:line="240" w:lineRule="auto" w:before="88" w:after="0"/>
        <w:ind w:left="1085" w:right="0" w:hanging="359"/>
        <w:jc w:val="left"/>
        <w:rPr>
          <w:sz w:val="22"/>
        </w:rPr>
      </w:pPr>
      <w:r>
        <w:rPr>
          <w:spacing w:val="-6"/>
          <w:sz w:val="22"/>
        </w:rPr>
        <w:t>Dr.</w:t>
      </w:r>
      <w:r>
        <w:rPr>
          <w:spacing w:val="-2"/>
          <w:sz w:val="22"/>
        </w:rPr>
        <w:t> </w:t>
      </w:r>
      <w:r>
        <w:rPr>
          <w:spacing w:val="-6"/>
          <w:sz w:val="22"/>
        </w:rPr>
        <w:t>Shiva</w:t>
      </w:r>
      <w:r>
        <w:rPr>
          <w:spacing w:val="-2"/>
          <w:sz w:val="22"/>
        </w:rPr>
        <w:t> </w:t>
      </w:r>
      <w:r>
        <w:rPr>
          <w:spacing w:val="-6"/>
          <w:sz w:val="22"/>
        </w:rPr>
        <w:t>Kumar</w:t>
      </w:r>
    </w:p>
    <w:p>
      <w:pPr>
        <w:pStyle w:val="BodyText"/>
        <w:spacing w:before="27"/>
        <w:ind w:left="1086"/>
      </w:pPr>
      <w:r>
        <w:rPr>
          <w:spacing w:val="-6"/>
        </w:rPr>
        <w:t>Member,</w:t>
      </w:r>
      <w:r>
        <w:rPr>
          <w:spacing w:val="2"/>
        </w:rPr>
        <w:t> </w:t>
      </w:r>
      <w:r>
        <w:rPr>
          <w:spacing w:val="-6"/>
        </w:rPr>
        <w:t>National</w:t>
      </w:r>
      <w:r>
        <w:rPr>
          <w:spacing w:val="2"/>
        </w:rPr>
        <w:t> </w:t>
      </w:r>
      <w:r>
        <w:rPr>
          <w:spacing w:val="-6"/>
        </w:rPr>
        <w:t>Advisory</w:t>
      </w:r>
      <w:r>
        <w:rPr>
          <w:spacing w:val="2"/>
        </w:rPr>
        <w:t> </w:t>
      </w:r>
      <w:r>
        <w:rPr>
          <w:spacing w:val="-6"/>
        </w:rPr>
        <w:t>Council</w:t>
      </w:r>
    </w:p>
    <w:p>
      <w:pPr>
        <w:pStyle w:val="ListParagraph"/>
        <w:numPr>
          <w:ilvl w:val="0"/>
          <w:numId w:val="74"/>
        </w:numPr>
        <w:tabs>
          <w:tab w:pos="1086" w:val="left" w:leader="none"/>
        </w:tabs>
        <w:spacing w:line="266" w:lineRule="auto" w:before="117" w:after="0"/>
        <w:ind w:left="1086" w:right="3245" w:hanging="360"/>
        <w:jc w:val="left"/>
        <w:rPr>
          <w:sz w:val="22"/>
        </w:rPr>
      </w:pPr>
      <w:r>
        <w:rPr>
          <w:sz w:val="22"/>
        </w:rPr>
        <w:t>Dr. Ramakrishnan </w:t>
      </w:r>
      <w:r>
        <w:rPr>
          <w:spacing w:val="-2"/>
          <w:sz w:val="22"/>
        </w:rPr>
        <w:t>Director</w:t>
      </w:r>
      <w:r>
        <w:rPr>
          <w:spacing w:val="-12"/>
          <w:sz w:val="22"/>
        </w:rPr>
        <w:t> </w:t>
      </w:r>
      <w:r>
        <w:rPr>
          <w:spacing w:val="-2"/>
          <w:sz w:val="22"/>
        </w:rPr>
        <w:t>General,</w:t>
      </w:r>
      <w:r>
        <w:rPr>
          <w:spacing w:val="-12"/>
          <w:sz w:val="22"/>
        </w:rPr>
        <w:t> </w:t>
      </w:r>
      <w:r>
        <w:rPr>
          <w:spacing w:val="-2"/>
          <w:sz w:val="22"/>
        </w:rPr>
        <w:t>CDAC</w:t>
      </w:r>
    </w:p>
    <w:p>
      <w:pPr>
        <w:pStyle w:val="ListParagraph"/>
        <w:numPr>
          <w:ilvl w:val="0"/>
          <w:numId w:val="74"/>
        </w:numPr>
        <w:tabs>
          <w:tab w:pos="1086" w:val="left" w:leader="none"/>
        </w:tabs>
        <w:spacing w:line="266" w:lineRule="auto" w:before="88" w:after="0"/>
        <w:ind w:left="1086" w:right="2462" w:hanging="360"/>
        <w:jc w:val="left"/>
        <w:rPr>
          <w:sz w:val="22"/>
        </w:rPr>
      </w:pPr>
      <w:r>
        <w:rPr>
          <w:sz w:val="22"/>
        </w:rPr>
        <w:t>Prof.</w:t>
      </w:r>
      <w:r>
        <w:rPr>
          <w:spacing w:val="-9"/>
          <w:sz w:val="22"/>
        </w:rPr>
        <w:t> </w:t>
      </w:r>
      <w:r>
        <w:rPr>
          <w:sz w:val="22"/>
        </w:rPr>
        <w:t>K.</w:t>
      </w:r>
      <w:r>
        <w:rPr>
          <w:spacing w:val="-9"/>
          <w:sz w:val="22"/>
        </w:rPr>
        <w:t> </w:t>
      </w:r>
      <w:r>
        <w:rPr>
          <w:sz w:val="22"/>
        </w:rPr>
        <w:t>Srinath</w:t>
      </w:r>
      <w:r>
        <w:rPr>
          <w:spacing w:val="-9"/>
          <w:sz w:val="22"/>
        </w:rPr>
        <w:t> </w:t>
      </w:r>
      <w:r>
        <w:rPr>
          <w:sz w:val="22"/>
        </w:rPr>
        <w:t>Reddy,</w:t>
      </w:r>
      <w:r>
        <w:rPr>
          <w:spacing w:val="-9"/>
          <w:sz w:val="22"/>
        </w:rPr>
        <w:t> </w:t>
      </w:r>
      <w:r>
        <w:rPr>
          <w:sz w:val="22"/>
        </w:rPr>
        <w:t>President </w:t>
      </w:r>
      <w:r>
        <w:rPr>
          <w:spacing w:val="-2"/>
          <w:sz w:val="22"/>
        </w:rPr>
        <w:t>Public</w:t>
      </w:r>
      <w:r>
        <w:rPr>
          <w:spacing w:val="-9"/>
          <w:sz w:val="22"/>
        </w:rPr>
        <w:t> </w:t>
      </w:r>
      <w:r>
        <w:rPr>
          <w:spacing w:val="-2"/>
          <w:sz w:val="22"/>
        </w:rPr>
        <w:t>Health</w:t>
      </w:r>
      <w:r>
        <w:rPr>
          <w:spacing w:val="-9"/>
          <w:sz w:val="22"/>
        </w:rPr>
        <w:t> </w:t>
      </w:r>
      <w:r>
        <w:rPr>
          <w:spacing w:val="-2"/>
          <w:sz w:val="22"/>
        </w:rPr>
        <w:t>Foundation</w:t>
      </w:r>
      <w:r>
        <w:rPr>
          <w:spacing w:val="-9"/>
          <w:sz w:val="22"/>
        </w:rPr>
        <w:t> </w:t>
      </w:r>
      <w:r>
        <w:rPr>
          <w:spacing w:val="-2"/>
          <w:sz w:val="22"/>
        </w:rPr>
        <w:t>of</w:t>
      </w:r>
      <w:r>
        <w:rPr>
          <w:spacing w:val="-9"/>
          <w:sz w:val="22"/>
        </w:rPr>
        <w:t> </w:t>
      </w:r>
      <w:r>
        <w:rPr>
          <w:spacing w:val="-2"/>
          <w:sz w:val="22"/>
        </w:rPr>
        <w:t>India</w:t>
      </w:r>
    </w:p>
    <w:p>
      <w:pPr>
        <w:pStyle w:val="ListParagraph"/>
        <w:numPr>
          <w:ilvl w:val="0"/>
          <w:numId w:val="74"/>
        </w:numPr>
        <w:tabs>
          <w:tab w:pos="1085" w:val="left" w:leader="none"/>
        </w:tabs>
        <w:spacing w:line="240" w:lineRule="auto" w:before="89" w:after="0"/>
        <w:ind w:left="1085" w:right="0" w:hanging="359"/>
        <w:jc w:val="left"/>
        <w:rPr>
          <w:sz w:val="22"/>
        </w:rPr>
      </w:pPr>
      <w:r>
        <w:rPr>
          <w:spacing w:val="-4"/>
          <w:sz w:val="22"/>
        </w:rPr>
        <w:t>Mr.</w:t>
      </w:r>
      <w:r>
        <w:rPr>
          <w:spacing w:val="-8"/>
          <w:sz w:val="22"/>
        </w:rPr>
        <w:t> </w:t>
      </w:r>
      <w:r>
        <w:rPr>
          <w:spacing w:val="-4"/>
          <w:sz w:val="22"/>
        </w:rPr>
        <w:t>Rajdeep</w:t>
      </w:r>
      <w:r>
        <w:rPr>
          <w:spacing w:val="-7"/>
          <w:sz w:val="22"/>
        </w:rPr>
        <w:t> </w:t>
      </w:r>
      <w:r>
        <w:rPr>
          <w:spacing w:val="-4"/>
          <w:sz w:val="22"/>
        </w:rPr>
        <w:t>Sahrawat</w:t>
      </w:r>
    </w:p>
    <w:p>
      <w:pPr>
        <w:pStyle w:val="BodyText"/>
        <w:spacing w:before="27"/>
        <w:ind w:left="1086"/>
      </w:pPr>
      <w:r>
        <w:rPr>
          <w:spacing w:val="-6"/>
        </w:rPr>
        <w:t>Vice</w:t>
      </w:r>
      <w:r>
        <w:rPr>
          <w:spacing w:val="1"/>
        </w:rPr>
        <w:t> </w:t>
      </w:r>
      <w:r>
        <w:rPr>
          <w:spacing w:val="-6"/>
        </w:rPr>
        <w:t>President,</w:t>
      </w:r>
      <w:r>
        <w:rPr>
          <w:spacing w:val="2"/>
        </w:rPr>
        <w:t> </w:t>
      </w:r>
      <w:r>
        <w:rPr>
          <w:spacing w:val="-6"/>
        </w:rPr>
        <w:t>NASSCOM</w:t>
      </w:r>
    </w:p>
    <w:p>
      <w:pPr>
        <w:pStyle w:val="ListParagraph"/>
        <w:numPr>
          <w:ilvl w:val="0"/>
          <w:numId w:val="74"/>
        </w:numPr>
        <w:tabs>
          <w:tab w:pos="1085" w:val="left" w:leader="none"/>
        </w:tabs>
        <w:spacing w:line="240" w:lineRule="auto" w:before="117" w:after="0"/>
        <w:ind w:left="1085" w:right="0" w:hanging="359"/>
        <w:jc w:val="left"/>
        <w:rPr>
          <w:sz w:val="22"/>
        </w:rPr>
      </w:pPr>
      <w:r>
        <w:rPr>
          <w:spacing w:val="-2"/>
          <w:sz w:val="22"/>
        </w:rPr>
        <w:t>Mr.</w:t>
      </w:r>
      <w:r>
        <w:rPr>
          <w:spacing w:val="-11"/>
          <w:sz w:val="22"/>
        </w:rPr>
        <w:t> </w:t>
      </w:r>
      <w:r>
        <w:rPr>
          <w:spacing w:val="-2"/>
          <w:sz w:val="22"/>
        </w:rPr>
        <w:t>Raj</w:t>
      </w:r>
      <w:r>
        <w:rPr>
          <w:spacing w:val="-10"/>
          <w:sz w:val="22"/>
        </w:rPr>
        <w:t> </w:t>
      </w:r>
      <w:r>
        <w:rPr>
          <w:spacing w:val="-4"/>
          <w:sz w:val="22"/>
        </w:rPr>
        <w:t>Shah</w:t>
      </w:r>
    </w:p>
    <w:p>
      <w:pPr>
        <w:pStyle w:val="BodyText"/>
        <w:spacing w:line="266" w:lineRule="auto" w:before="27"/>
        <w:ind w:left="1086" w:right="1037"/>
      </w:pPr>
      <w:r>
        <w:rPr>
          <w:spacing w:val="-4"/>
        </w:rPr>
        <w:t>CEO,</w:t>
      </w:r>
      <w:r>
        <w:rPr>
          <w:spacing w:val="-10"/>
        </w:rPr>
        <w:t> </w:t>
      </w:r>
      <w:r>
        <w:rPr>
          <w:spacing w:val="-4"/>
        </w:rPr>
        <w:t>Capital</w:t>
      </w:r>
      <w:r>
        <w:rPr>
          <w:spacing w:val="-10"/>
        </w:rPr>
        <w:t> </w:t>
      </w:r>
      <w:r>
        <w:rPr>
          <w:spacing w:val="-4"/>
        </w:rPr>
        <w:t>Technology</w:t>
      </w:r>
      <w:r>
        <w:rPr>
          <w:spacing w:val="-9"/>
        </w:rPr>
        <w:t> </w:t>
      </w:r>
      <w:r>
        <w:rPr>
          <w:spacing w:val="-4"/>
        </w:rPr>
        <w:t>Information</w:t>
      </w:r>
      <w:r>
        <w:rPr>
          <w:spacing w:val="-7"/>
        </w:rPr>
        <w:t> </w:t>
      </w:r>
      <w:r>
        <w:rPr>
          <w:spacing w:val="-4"/>
        </w:rPr>
        <w:t>Services </w:t>
      </w:r>
      <w:r>
        <w:rPr>
          <w:spacing w:val="-2"/>
        </w:rPr>
        <w:t>(CTIS)</w:t>
      </w:r>
    </w:p>
    <w:p>
      <w:pPr>
        <w:pStyle w:val="ListParagraph"/>
        <w:numPr>
          <w:ilvl w:val="0"/>
          <w:numId w:val="74"/>
        </w:numPr>
        <w:tabs>
          <w:tab w:pos="1085" w:val="left" w:leader="none"/>
        </w:tabs>
        <w:spacing w:line="240" w:lineRule="auto" w:before="88" w:after="0"/>
        <w:ind w:left="1085" w:right="0" w:hanging="359"/>
        <w:jc w:val="left"/>
        <w:rPr>
          <w:sz w:val="22"/>
        </w:rPr>
      </w:pPr>
      <w:r>
        <w:rPr>
          <w:spacing w:val="-10"/>
          <w:sz w:val="22"/>
        </w:rPr>
        <w:t>Dr.</w:t>
      </w:r>
      <w:r>
        <w:rPr>
          <w:spacing w:val="-3"/>
          <w:sz w:val="22"/>
        </w:rPr>
        <w:t> </w:t>
      </w:r>
      <w:r>
        <w:rPr>
          <w:spacing w:val="-10"/>
          <w:sz w:val="22"/>
        </w:rPr>
        <w:t>Y.K.</w:t>
      </w:r>
      <w:r>
        <w:rPr>
          <w:spacing w:val="1"/>
          <w:sz w:val="22"/>
        </w:rPr>
        <w:t> </w:t>
      </w:r>
      <w:r>
        <w:rPr>
          <w:spacing w:val="-10"/>
          <w:sz w:val="22"/>
        </w:rPr>
        <w:t>Sharma</w:t>
      </w:r>
    </w:p>
    <w:p>
      <w:pPr>
        <w:pStyle w:val="BodyText"/>
        <w:spacing w:before="27"/>
        <w:ind w:left="1086"/>
      </w:pPr>
      <w:r>
        <w:rPr/>
        <w:t>Deputy</w:t>
      </w:r>
      <w:r>
        <w:rPr>
          <w:spacing w:val="-9"/>
        </w:rPr>
        <w:t> </w:t>
      </w:r>
      <w:r>
        <w:rPr/>
        <w:t>Director</w:t>
      </w:r>
      <w:r>
        <w:rPr>
          <w:spacing w:val="-9"/>
        </w:rPr>
        <w:t> </w:t>
      </w:r>
      <w:r>
        <w:rPr/>
        <w:t>General,</w:t>
      </w:r>
      <w:r>
        <w:rPr>
          <w:spacing w:val="-8"/>
        </w:rPr>
        <w:t> </w:t>
      </w:r>
      <w:r>
        <w:rPr/>
        <w:t>NIC</w:t>
      </w:r>
      <w:r>
        <w:rPr>
          <w:spacing w:val="-9"/>
        </w:rPr>
        <w:t> </w:t>
      </w:r>
      <w:r>
        <w:rPr>
          <w:spacing w:val="-2"/>
        </w:rPr>
        <w:t>Consultations</w:t>
      </w:r>
    </w:p>
    <w:p>
      <w:pPr>
        <w:spacing w:after="0"/>
        <w:sectPr>
          <w:type w:val="continuous"/>
          <w:pgSz w:w="11910" w:h="16840"/>
          <w:pgMar w:header="0" w:footer="675" w:top="1920" w:bottom="280" w:left="0" w:right="0"/>
          <w:cols w:num="2" w:equalWidth="0">
            <w:col w:w="5366" w:space="40"/>
            <w:col w:w="6504"/>
          </w:cols>
        </w:sectPr>
      </w:pPr>
    </w:p>
    <w:p>
      <w:pPr>
        <w:pStyle w:val="Heading6"/>
        <w:spacing w:before="57"/>
        <w:ind w:left="1080" w:firstLine="0"/>
      </w:pPr>
      <w:r>
        <w:rPr>
          <w:color w:val="2E614A"/>
          <w:spacing w:val="-9"/>
        </w:rPr>
        <w:t>Higher</w:t>
      </w:r>
      <w:r>
        <w:rPr>
          <w:color w:val="2E614A"/>
          <w:spacing w:val="-11"/>
        </w:rPr>
        <w:t> </w:t>
      </w:r>
      <w:r>
        <w:rPr>
          <w:color w:val="2E614A"/>
          <w:spacing w:val="-2"/>
        </w:rPr>
        <w:t>Education</w:t>
      </w:r>
    </w:p>
    <w:p>
      <w:pPr>
        <w:pStyle w:val="ListParagraph"/>
        <w:numPr>
          <w:ilvl w:val="1"/>
          <w:numId w:val="74"/>
        </w:numPr>
        <w:tabs>
          <w:tab w:pos="1439" w:val="left" w:leader="none"/>
        </w:tabs>
        <w:spacing w:line="266" w:lineRule="auto" w:before="221" w:after="0"/>
        <w:ind w:left="1439" w:right="2869" w:hanging="360"/>
        <w:jc w:val="left"/>
        <w:rPr>
          <w:sz w:val="22"/>
        </w:rPr>
      </w:pPr>
      <w:r>
        <w:rPr>
          <w:sz w:val="22"/>
        </w:rPr>
        <w:t>Dr.</w:t>
      </w:r>
      <w:r>
        <w:rPr>
          <w:spacing w:val="-6"/>
          <w:sz w:val="22"/>
        </w:rPr>
        <w:t> </w:t>
      </w:r>
      <w:r>
        <w:rPr>
          <w:sz w:val="22"/>
        </w:rPr>
        <w:t>Kiran</w:t>
      </w:r>
      <w:r>
        <w:rPr>
          <w:spacing w:val="-6"/>
          <w:sz w:val="22"/>
        </w:rPr>
        <w:t> </w:t>
      </w:r>
      <w:r>
        <w:rPr>
          <w:sz w:val="22"/>
        </w:rPr>
        <w:t>Datar Delhi</w:t>
      </w:r>
      <w:r>
        <w:rPr>
          <w:spacing w:val="-10"/>
          <w:sz w:val="22"/>
        </w:rPr>
        <w:t> </w:t>
      </w:r>
      <w:r>
        <w:rPr>
          <w:spacing w:val="-7"/>
          <w:sz w:val="22"/>
        </w:rPr>
        <w:t>University</w:t>
      </w:r>
    </w:p>
    <w:p>
      <w:pPr>
        <w:pStyle w:val="ListParagraph"/>
        <w:numPr>
          <w:ilvl w:val="1"/>
          <w:numId w:val="74"/>
        </w:numPr>
        <w:tabs>
          <w:tab w:pos="1439" w:val="left" w:leader="none"/>
        </w:tabs>
        <w:spacing w:line="240" w:lineRule="auto" w:before="89" w:after="0"/>
        <w:ind w:left="1439" w:right="0" w:hanging="359"/>
        <w:jc w:val="left"/>
        <w:rPr>
          <w:sz w:val="22"/>
        </w:rPr>
      </w:pPr>
      <w:r>
        <w:rPr>
          <w:spacing w:val="-2"/>
          <w:sz w:val="22"/>
        </w:rPr>
        <w:t>Dr.</w:t>
      </w:r>
      <w:r>
        <w:rPr>
          <w:spacing w:val="-10"/>
          <w:sz w:val="22"/>
        </w:rPr>
        <w:t> </w:t>
      </w:r>
      <w:r>
        <w:rPr>
          <w:spacing w:val="-2"/>
          <w:sz w:val="22"/>
        </w:rPr>
        <w:t>S.K.</w:t>
      </w:r>
      <w:r>
        <w:rPr>
          <w:spacing w:val="-9"/>
          <w:sz w:val="22"/>
        </w:rPr>
        <w:t> </w:t>
      </w:r>
      <w:r>
        <w:rPr>
          <w:spacing w:val="-4"/>
          <w:sz w:val="22"/>
        </w:rPr>
        <w:t>Garg</w:t>
      </w:r>
    </w:p>
    <w:p>
      <w:pPr>
        <w:pStyle w:val="BodyText"/>
        <w:spacing w:before="27"/>
        <w:ind w:left="1439"/>
      </w:pPr>
      <w:r>
        <w:rPr>
          <w:spacing w:val="-4"/>
        </w:rPr>
        <w:t>Deen</w:t>
      </w:r>
      <w:r>
        <w:rPr>
          <w:spacing w:val="-8"/>
        </w:rPr>
        <w:t> </w:t>
      </w:r>
      <w:r>
        <w:rPr>
          <w:spacing w:val="-4"/>
        </w:rPr>
        <w:t>Dayal</w:t>
      </w:r>
      <w:r>
        <w:rPr>
          <w:spacing w:val="-8"/>
        </w:rPr>
        <w:t> </w:t>
      </w:r>
      <w:r>
        <w:rPr>
          <w:spacing w:val="-4"/>
        </w:rPr>
        <w:t>Upadhyaya</w:t>
      </w:r>
      <w:r>
        <w:rPr>
          <w:spacing w:val="-7"/>
        </w:rPr>
        <w:t> </w:t>
      </w:r>
      <w:r>
        <w:rPr>
          <w:spacing w:val="-4"/>
        </w:rPr>
        <w:t>College,</w:t>
      </w:r>
      <w:r>
        <w:rPr>
          <w:spacing w:val="-8"/>
        </w:rPr>
        <w:t> </w:t>
      </w:r>
      <w:r>
        <w:rPr>
          <w:spacing w:val="-4"/>
        </w:rPr>
        <w:t>Delhi</w:t>
      </w:r>
    </w:p>
    <w:p>
      <w:pPr>
        <w:pStyle w:val="ListParagraph"/>
        <w:numPr>
          <w:ilvl w:val="1"/>
          <w:numId w:val="74"/>
        </w:numPr>
        <w:tabs>
          <w:tab w:pos="1439" w:val="left" w:leader="none"/>
        </w:tabs>
        <w:spacing w:line="266" w:lineRule="auto" w:before="117" w:after="0"/>
        <w:ind w:left="1439" w:right="1825" w:hanging="360"/>
        <w:jc w:val="left"/>
        <w:rPr>
          <w:sz w:val="22"/>
        </w:rPr>
      </w:pPr>
      <w:r>
        <w:rPr>
          <w:sz w:val="22"/>
        </w:rPr>
        <w:t>Dr. Meenakshi Gopinath </w:t>
      </w:r>
      <w:r>
        <w:rPr>
          <w:spacing w:val="-4"/>
          <w:sz w:val="22"/>
        </w:rPr>
        <w:t>Lady</w:t>
      </w:r>
      <w:r>
        <w:rPr>
          <w:spacing w:val="-10"/>
          <w:sz w:val="22"/>
        </w:rPr>
        <w:t> </w:t>
      </w:r>
      <w:r>
        <w:rPr>
          <w:spacing w:val="-4"/>
          <w:sz w:val="22"/>
        </w:rPr>
        <w:t>Sri</w:t>
      </w:r>
      <w:r>
        <w:rPr>
          <w:spacing w:val="-10"/>
          <w:sz w:val="22"/>
        </w:rPr>
        <w:t> </w:t>
      </w:r>
      <w:r>
        <w:rPr>
          <w:spacing w:val="-4"/>
          <w:sz w:val="22"/>
        </w:rPr>
        <w:t>Ram</w:t>
      </w:r>
      <w:r>
        <w:rPr>
          <w:spacing w:val="-10"/>
          <w:sz w:val="22"/>
        </w:rPr>
        <w:t> </w:t>
      </w:r>
      <w:r>
        <w:rPr>
          <w:spacing w:val="-4"/>
          <w:sz w:val="22"/>
        </w:rPr>
        <w:t>College,</w:t>
      </w:r>
      <w:r>
        <w:rPr>
          <w:spacing w:val="-9"/>
          <w:sz w:val="22"/>
        </w:rPr>
        <w:t> </w:t>
      </w:r>
      <w:r>
        <w:rPr>
          <w:spacing w:val="-4"/>
          <w:sz w:val="22"/>
        </w:rPr>
        <w:t>Delhi</w:t>
      </w:r>
    </w:p>
    <w:p>
      <w:pPr>
        <w:pStyle w:val="ListParagraph"/>
        <w:numPr>
          <w:ilvl w:val="1"/>
          <w:numId w:val="74"/>
        </w:numPr>
        <w:tabs>
          <w:tab w:pos="1439" w:val="left" w:leader="none"/>
        </w:tabs>
        <w:spacing w:line="240" w:lineRule="auto" w:before="88" w:after="0"/>
        <w:ind w:left="1439" w:right="0" w:hanging="359"/>
        <w:jc w:val="left"/>
        <w:rPr>
          <w:sz w:val="22"/>
        </w:rPr>
      </w:pPr>
      <w:r>
        <w:rPr>
          <w:spacing w:val="-6"/>
          <w:sz w:val="22"/>
        </w:rPr>
        <w:t>Dr.</w:t>
      </w:r>
      <w:r>
        <w:rPr>
          <w:spacing w:val="-2"/>
          <w:sz w:val="22"/>
        </w:rPr>
        <w:t> </w:t>
      </w:r>
      <w:r>
        <w:rPr>
          <w:spacing w:val="-6"/>
          <w:sz w:val="22"/>
        </w:rPr>
        <w:t>Fraser</w:t>
      </w:r>
      <w:r>
        <w:rPr>
          <w:spacing w:val="-1"/>
          <w:sz w:val="22"/>
        </w:rPr>
        <w:t> </w:t>
      </w:r>
      <w:r>
        <w:rPr>
          <w:spacing w:val="-6"/>
          <w:sz w:val="22"/>
        </w:rPr>
        <w:t>Mascarenhas</w:t>
      </w:r>
    </w:p>
    <w:p>
      <w:pPr>
        <w:pStyle w:val="BodyText"/>
        <w:spacing w:before="27"/>
        <w:ind w:left="1439"/>
      </w:pPr>
      <w:r>
        <w:rPr>
          <w:w w:val="90"/>
        </w:rPr>
        <w:t>St.</w:t>
      </w:r>
      <w:r>
        <w:rPr>
          <w:spacing w:val="-3"/>
        </w:rPr>
        <w:t> </w:t>
      </w:r>
      <w:r>
        <w:rPr>
          <w:w w:val="90"/>
        </w:rPr>
        <w:t>Xavier’s</w:t>
      </w:r>
      <w:r>
        <w:rPr>
          <w:spacing w:val="-2"/>
        </w:rPr>
        <w:t> </w:t>
      </w:r>
      <w:r>
        <w:rPr>
          <w:w w:val="90"/>
        </w:rPr>
        <w:t>College,</w:t>
      </w:r>
      <w:r>
        <w:rPr>
          <w:spacing w:val="-3"/>
        </w:rPr>
        <w:t> </w:t>
      </w:r>
      <w:r>
        <w:rPr>
          <w:spacing w:val="-2"/>
          <w:w w:val="90"/>
        </w:rPr>
        <w:t>Mumbai</w:t>
      </w:r>
    </w:p>
    <w:p>
      <w:pPr>
        <w:pStyle w:val="ListParagraph"/>
        <w:numPr>
          <w:ilvl w:val="1"/>
          <w:numId w:val="74"/>
        </w:numPr>
        <w:tabs>
          <w:tab w:pos="1439" w:val="left" w:leader="none"/>
        </w:tabs>
        <w:spacing w:line="266" w:lineRule="auto" w:before="117" w:after="0"/>
        <w:ind w:left="1439" w:right="2371" w:hanging="360"/>
        <w:jc w:val="left"/>
        <w:rPr>
          <w:sz w:val="22"/>
        </w:rPr>
      </w:pPr>
      <w:r>
        <w:rPr>
          <w:sz w:val="22"/>
        </w:rPr>
        <w:t>Dr. B.K. Mishra </w:t>
      </w:r>
      <w:r>
        <w:rPr>
          <w:spacing w:val="-6"/>
          <w:sz w:val="22"/>
        </w:rPr>
        <w:t>Science</w:t>
      </w:r>
      <w:r>
        <w:rPr>
          <w:spacing w:val="-8"/>
          <w:sz w:val="22"/>
        </w:rPr>
        <w:t> </w:t>
      </w:r>
      <w:r>
        <w:rPr>
          <w:spacing w:val="-6"/>
          <w:sz w:val="22"/>
        </w:rPr>
        <w:t>College,</w:t>
      </w:r>
      <w:r>
        <w:rPr>
          <w:spacing w:val="-8"/>
          <w:sz w:val="22"/>
        </w:rPr>
        <w:t> </w:t>
      </w:r>
      <w:r>
        <w:rPr>
          <w:spacing w:val="-6"/>
          <w:sz w:val="22"/>
        </w:rPr>
        <w:t>Patna</w:t>
      </w:r>
    </w:p>
    <w:p>
      <w:pPr>
        <w:pStyle w:val="ListParagraph"/>
        <w:numPr>
          <w:ilvl w:val="1"/>
          <w:numId w:val="74"/>
        </w:numPr>
        <w:tabs>
          <w:tab w:pos="1439" w:val="left" w:leader="none"/>
        </w:tabs>
        <w:spacing w:line="266" w:lineRule="auto" w:before="89" w:after="0"/>
        <w:ind w:left="1439" w:right="1918" w:hanging="360"/>
        <w:jc w:val="left"/>
        <w:rPr>
          <w:sz w:val="22"/>
        </w:rPr>
      </w:pPr>
      <w:r>
        <w:rPr>
          <w:sz w:val="22"/>
        </w:rPr>
        <w:t>Prof. Prasanta Ray </w:t>
      </w:r>
      <w:r>
        <w:rPr>
          <w:spacing w:val="-6"/>
          <w:sz w:val="22"/>
        </w:rPr>
        <w:t>Presidency</w:t>
      </w:r>
      <w:r>
        <w:rPr>
          <w:spacing w:val="-8"/>
          <w:sz w:val="22"/>
        </w:rPr>
        <w:t> </w:t>
      </w:r>
      <w:r>
        <w:rPr>
          <w:spacing w:val="-6"/>
          <w:sz w:val="22"/>
        </w:rPr>
        <w:t>College,</w:t>
      </w:r>
      <w:r>
        <w:rPr>
          <w:spacing w:val="-8"/>
          <w:sz w:val="22"/>
        </w:rPr>
        <w:t> </w:t>
      </w:r>
      <w:r>
        <w:rPr>
          <w:spacing w:val="-6"/>
          <w:sz w:val="22"/>
        </w:rPr>
        <w:t>Kolkata</w:t>
      </w:r>
    </w:p>
    <w:p>
      <w:pPr>
        <w:pStyle w:val="ListParagraph"/>
        <w:numPr>
          <w:ilvl w:val="1"/>
          <w:numId w:val="74"/>
        </w:numPr>
        <w:tabs>
          <w:tab w:pos="1439" w:val="left" w:leader="none"/>
        </w:tabs>
        <w:spacing w:line="240" w:lineRule="auto" w:before="88" w:after="0"/>
        <w:ind w:left="1439" w:right="0" w:hanging="359"/>
        <w:jc w:val="left"/>
        <w:rPr>
          <w:sz w:val="22"/>
        </w:rPr>
      </w:pPr>
      <w:r>
        <w:rPr>
          <w:spacing w:val="-4"/>
          <w:sz w:val="22"/>
        </w:rPr>
        <w:t>Dr.</w:t>
      </w:r>
      <w:r>
        <w:rPr>
          <w:spacing w:val="-5"/>
          <w:sz w:val="22"/>
        </w:rPr>
        <w:t> </w:t>
      </w:r>
      <w:r>
        <w:rPr>
          <w:spacing w:val="-4"/>
          <w:sz w:val="22"/>
        </w:rPr>
        <w:t>Anil</w:t>
      </w:r>
      <w:r>
        <w:rPr>
          <w:spacing w:val="-8"/>
          <w:sz w:val="22"/>
        </w:rPr>
        <w:t> </w:t>
      </w:r>
      <w:r>
        <w:rPr>
          <w:spacing w:val="-4"/>
          <w:sz w:val="22"/>
        </w:rPr>
        <w:t>Wilson</w:t>
      </w:r>
    </w:p>
    <w:p>
      <w:pPr>
        <w:pStyle w:val="BodyText"/>
        <w:spacing w:before="27"/>
        <w:ind w:left="1439"/>
      </w:pPr>
      <w:r>
        <w:rPr>
          <w:spacing w:val="-8"/>
        </w:rPr>
        <w:t>St.</w:t>
      </w:r>
      <w:r>
        <w:rPr>
          <w:spacing w:val="1"/>
        </w:rPr>
        <w:t> </w:t>
      </w:r>
      <w:r>
        <w:rPr>
          <w:spacing w:val="-8"/>
        </w:rPr>
        <w:t>Stephen’s</w:t>
      </w:r>
      <w:r>
        <w:rPr>
          <w:spacing w:val="2"/>
        </w:rPr>
        <w:t> </w:t>
      </w:r>
      <w:r>
        <w:rPr>
          <w:spacing w:val="-8"/>
        </w:rPr>
        <w:t>College,</w:t>
      </w:r>
      <w:r>
        <w:rPr>
          <w:spacing w:val="1"/>
        </w:rPr>
        <w:t> </w:t>
      </w:r>
      <w:r>
        <w:rPr>
          <w:spacing w:val="-8"/>
        </w:rPr>
        <w:t>New</w:t>
      </w:r>
      <w:r>
        <w:rPr>
          <w:spacing w:val="2"/>
        </w:rPr>
        <w:t> </w:t>
      </w:r>
      <w:r>
        <w:rPr>
          <w:spacing w:val="-8"/>
        </w:rPr>
        <w:t>Delhi</w:t>
      </w:r>
    </w:p>
    <w:p>
      <w:pPr>
        <w:pStyle w:val="BodyText"/>
        <w:spacing w:before="137"/>
      </w:pPr>
    </w:p>
    <w:p>
      <w:pPr>
        <w:pStyle w:val="Heading6"/>
        <w:spacing w:line="235" w:lineRule="auto"/>
        <w:ind w:left="1080" w:firstLine="0"/>
      </w:pPr>
      <w:r>
        <w:rPr>
          <w:color w:val="2E614A"/>
          <w:spacing w:val="-12"/>
        </w:rPr>
        <w:t>More</w:t>
      </w:r>
      <w:r>
        <w:rPr>
          <w:color w:val="2E614A"/>
          <w:spacing w:val="-8"/>
        </w:rPr>
        <w:t> </w:t>
      </w:r>
      <w:r>
        <w:rPr>
          <w:color w:val="2E614A"/>
          <w:spacing w:val="-12"/>
        </w:rPr>
        <w:t>Talented</w:t>
      </w:r>
      <w:r>
        <w:rPr>
          <w:color w:val="2E614A"/>
          <w:spacing w:val="-8"/>
        </w:rPr>
        <w:t> </w:t>
      </w:r>
      <w:r>
        <w:rPr>
          <w:color w:val="2E614A"/>
          <w:spacing w:val="-12"/>
        </w:rPr>
        <w:t>Students</w:t>
      </w:r>
      <w:r>
        <w:rPr>
          <w:color w:val="2E614A"/>
          <w:spacing w:val="-8"/>
        </w:rPr>
        <w:t> </w:t>
      </w:r>
      <w:r>
        <w:rPr>
          <w:color w:val="2E614A"/>
          <w:spacing w:val="-12"/>
        </w:rPr>
        <w:t>in</w:t>
      </w:r>
      <w:r>
        <w:rPr>
          <w:color w:val="2E614A"/>
          <w:spacing w:val="-8"/>
        </w:rPr>
        <w:t> </w:t>
      </w:r>
      <w:r>
        <w:rPr>
          <w:color w:val="2E614A"/>
          <w:spacing w:val="-12"/>
        </w:rPr>
        <w:t>Maths </w:t>
      </w:r>
      <w:r>
        <w:rPr>
          <w:color w:val="2E614A"/>
        </w:rPr>
        <w:t>and Science</w:t>
      </w:r>
    </w:p>
    <w:p>
      <w:pPr>
        <w:pStyle w:val="ListParagraph"/>
        <w:numPr>
          <w:ilvl w:val="0"/>
          <w:numId w:val="75"/>
        </w:numPr>
        <w:tabs>
          <w:tab w:pos="1439" w:val="left" w:leader="none"/>
        </w:tabs>
        <w:spacing w:line="240" w:lineRule="auto" w:before="236" w:after="0"/>
        <w:ind w:left="1439" w:right="0" w:hanging="359"/>
        <w:jc w:val="left"/>
        <w:rPr>
          <w:sz w:val="22"/>
        </w:rPr>
      </w:pPr>
      <w:r>
        <w:rPr>
          <w:spacing w:val="-6"/>
          <w:sz w:val="22"/>
        </w:rPr>
        <w:t>Prof.</w:t>
      </w:r>
      <w:r>
        <w:rPr>
          <w:sz w:val="22"/>
        </w:rPr>
        <w:t> </w:t>
      </w:r>
      <w:r>
        <w:rPr>
          <w:spacing w:val="-6"/>
          <w:sz w:val="22"/>
        </w:rPr>
        <w:t>J.</w:t>
      </w:r>
      <w:r>
        <w:rPr>
          <w:spacing w:val="1"/>
          <w:sz w:val="22"/>
        </w:rPr>
        <w:t> </w:t>
      </w:r>
      <w:r>
        <w:rPr>
          <w:spacing w:val="-6"/>
          <w:sz w:val="22"/>
        </w:rPr>
        <w:t>Sashidhara</w:t>
      </w:r>
      <w:r>
        <w:rPr>
          <w:spacing w:val="1"/>
          <w:sz w:val="22"/>
        </w:rPr>
        <w:t> </w:t>
      </w:r>
      <w:r>
        <w:rPr>
          <w:spacing w:val="-6"/>
          <w:sz w:val="22"/>
        </w:rPr>
        <w:t>Prasad</w:t>
      </w:r>
    </w:p>
    <w:p>
      <w:pPr>
        <w:pStyle w:val="BodyText"/>
        <w:spacing w:before="27"/>
        <w:ind w:left="1439"/>
      </w:pPr>
      <w:r>
        <w:rPr>
          <w:spacing w:val="-6"/>
        </w:rPr>
        <w:t>Ex-vice-Chancellor,</w:t>
      </w:r>
      <w:r>
        <w:rPr>
          <w:spacing w:val="-2"/>
        </w:rPr>
        <w:t> </w:t>
      </w:r>
      <w:r>
        <w:rPr>
          <w:spacing w:val="-6"/>
        </w:rPr>
        <w:t>University</w:t>
      </w:r>
      <w:r>
        <w:rPr>
          <w:spacing w:val="-1"/>
        </w:rPr>
        <w:t> </w:t>
      </w:r>
      <w:r>
        <w:rPr>
          <w:spacing w:val="-6"/>
        </w:rPr>
        <w:t>of</w:t>
      </w:r>
      <w:r>
        <w:rPr>
          <w:spacing w:val="-1"/>
        </w:rPr>
        <w:t> </w:t>
      </w:r>
      <w:r>
        <w:rPr>
          <w:spacing w:val="-6"/>
        </w:rPr>
        <w:t>Mysore</w:t>
      </w:r>
    </w:p>
    <w:p>
      <w:pPr>
        <w:pStyle w:val="ListParagraph"/>
        <w:numPr>
          <w:ilvl w:val="0"/>
          <w:numId w:val="75"/>
        </w:numPr>
        <w:tabs>
          <w:tab w:pos="1439" w:val="left" w:leader="none"/>
        </w:tabs>
        <w:spacing w:line="240" w:lineRule="auto" w:before="117" w:after="0"/>
        <w:ind w:left="1439" w:right="0" w:hanging="359"/>
        <w:jc w:val="left"/>
        <w:rPr>
          <w:sz w:val="22"/>
        </w:rPr>
      </w:pPr>
      <w:r>
        <w:rPr>
          <w:spacing w:val="-2"/>
          <w:sz w:val="22"/>
        </w:rPr>
        <w:t>Mr.</w:t>
      </w:r>
      <w:r>
        <w:rPr>
          <w:spacing w:val="-12"/>
          <w:sz w:val="22"/>
        </w:rPr>
        <w:t> </w:t>
      </w:r>
      <w:r>
        <w:rPr>
          <w:spacing w:val="-2"/>
          <w:sz w:val="22"/>
        </w:rPr>
        <w:t>Ramji</w:t>
      </w:r>
      <w:r>
        <w:rPr>
          <w:spacing w:val="-11"/>
          <w:sz w:val="22"/>
        </w:rPr>
        <w:t> </w:t>
      </w:r>
      <w:r>
        <w:rPr>
          <w:spacing w:val="-2"/>
          <w:sz w:val="22"/>
        </w:rPr>
        <w:t>Raghavan</w:t>
      </w:r>
    </w:p>
    <w:p>
      <w:pPr>
        <w:pStyle w:val="BodyText"/>
        <w:spacing w:before="27"/>
        <w:ind w:left="1439"/>
      </w:pPr>
      <w:r>
        <w:rPr>
          <w:spacing w:val="-4"/>
        </w:rPr>
        <w:t>Chairman,</w:t>
      </w:r>
      <w:r>
        <w:rPr>
          <w:spacing w:val="1"/>
        </w:rPr>
        <w:t> </w:t>
      </w:r>
      <w:r>
        <w:rPr>
          <w:spacing w:val="-4"/>
        </w:rPr>
        <w:t>Agastya</w:t>
      </w:r>
      <w:r>
        <w:rPr>
          <w:spacing w:val="1"/>
        </w:rPr>
        <w:t> </w:t>
      </w:r>
      <w:r>
        <w:rPr>
          <w:spacing w:val="-4"/>
        </w:rPr>
        <w:t>International</w:t>
      </w:r>
      <w:r>
        <w:rPr>
          <w:spacing w:val="2"/>
        </w:rPr>
        <w:t> </w:t>
      </w:r>
      <w:r>
        <w:rPr>
          <w:spacing w:val="-4"/>
        </w:rPr>
        <w:t>Foundation</w:t>
      </w:r>
    </w:p>
    <w:p>
      <w:pPr>
        <w:pStyle w:val="ListParagraph"/>
        <w:numPr>
          <w:ilvl w:val="0"/>
          <w:numId w:val="75"/>
        </w:numPr>
        <w:tabs>
          <w:tab w:pos="1439" w:val="left" w:leader="none"/>
        </w:tabs>
        <w:spacing w:line="266" w:lineRule="auto" w:before="117" w:after="0"/>
        <w:ind w:left="1439" w:right="1571" w:hanging="360"/>
        <w:jc w:val="left"/>
        <w:rPr>
          <w:sz w:val="22"/>
        </w:rPr>
      </w:pPr>
      <w:r>
        <w:rPr>
          <w:sz w:val="22"/>
        </w:rPr>
        <w:t>Prof. Dipankar Chatterji </w:t>
      </w:r>
      <w:r>
        <w:rPr>
          <w:spacing w:val="-6"/>
          <w:sz w:val="22"/>
        </w:rPr>
        <w:t>Convener,</w:t>
      </w:r>
      <w:r>
        <w:rPr>
          <w:spacing w:val="-8"/>
          <w:sz w:val="22"/>
        </w:rPr>
        <w:t> </w:t>
      </w:r>
      <w:r>
        <w:rPr>
          <w:spacing w:val="-6"/>
          <w:sz w:val="22"/>
        </w:rPr>
        <w:t>KVPY</w:t>
      </w:r>
      <w:r>
        <w:rPr>
          <w:spacing w:val="-8"/>
          <w:sz w:val="22"/>
        </w:rPr>
        <w:t> </w:t>
      </w:r>
      <w:r>
        <w:rPr>
          <w:spacing w:val="-6"/>
          <w:sz w:val="22"/>
        </w:rPr>
        <w:t>Program,</w:t>
      </w:r>
      <w:r>
        <w:rPr>
          <w:spacing w:val="-8"/>
          <w:sz w:val="22"/>
        </w:rPr>
        <w:t> </w:t>
      </w:r>
      <w:r>
        <w:rPr>
          <w:spacing w:val="-6"/>
          <w:sz w:val="22"/>
        </w:rPr>
        <w:t>IISc</w:t>
      </w:r>
    </w:p>
    <w:p>
      <w:pPr>
        <w:pStyle w:val="ListParagraph"/>
        <w:numPr>
          <w:ilvl w:val="0"/>
          <w:numId w:val="75"/>
        </w:numPr>
        <w:tabs>
          <w:tab w:pos="1439" w:val="left" w:leader="none"/>
        </w:tabs>
        <w:spacing w:line="240" w:lineRule="auto" w:before="89" w:after="0"/>
        <w:ind w:left="1439" w:right="0" w:hanging="359"/>
        <w:jc w:val="left"/>
        <w:rPr>
          <w:sz w:val="22"/>
        </w:rPr>
      </w:pPr>
      <w:r>
        <w:rPr>
          <w:spacing w:val="-4"/>
          <w:sz w:val="22"/>
        </w:rPr>
        <w:t>Dr.</w:t>
      </w:r>
      <w:r>
        <w:rPr>
          <w:spacing w:val="-5"/>
          <w:sz w:val="22"/>
        </w:rPr>
        <w:t> </w:t>
      </w:r>
      <w:r>
        <w:rPr>
          <w:spacing w:val="-4"/>
          <w:sz w:val="22"/>
        </w:rPr>
        <w:t>Savithri Singh</w:t>
      </w:r>
    </w:p>
    <w:p>
      <w:pPr>
        <w:pStyle w:val="BodyText"/>
        <w:spacing w:before="27"/>
        <w:ind w:left="1439"/>
      </w:pPr>
      <w:r>
        <w:rPr>
          <w:spacing w:val="-8"/>
        </w:rPr>
        <w:t>Principal,</w:t>
      </w:r>
      <w:r>
        <w:rPr/>
        <w:t> </w:t>
      </w:r>
      <w:r>
        <w:rPr>
          <w:spacing w:val="-8"/>
        </w:rPr>
        <w:t>Acharya</w:t>
      </w:r>
      <w:r>
        <w:rPr/>
        <w:t> </w:t>
      </w:r>
      <w:r>
        <w:rPr>
          <w:spacing w:val="-8"/>
        </w:rPr>
        <w:t>Narendra</w:t>
      </w:r>
      <w:r>
        <w:rPr>
          <w:spacing w:val="1"/>
        </w:rPr>
        <w:t> </w:t>
      </w:r>
      <w:r>
        <w:rPr>
          <w:spacing w:val="-8"/>
        </w:rPr>
        <w:t>Dev</w:t>
      </w:r>
      <w:r>
        <w:rPr/>
        <w:t> </w:t>
      </w:r>
      <w:r>
        <w:rPr>
          <w:spacing w:val="-8"/>
        </w:rPr>
        <w:t>College</w:t>
      </w:r>
    </w:p>
    <w:p>
      <w:pPr>
        <w:pStyle w:val="ListParagraph"/>
        <w:numPr>
          <w:ilvl w:val="0"/>
          <w:numId w:val="75"/>
        </w:numPr>
        <w:tabs>
          <w:tab w:pos="1439" w:val="left" w:leader="none"/>
        </w:tabs>
        <w:spacing w:line="266" w:lineRule="auto" w:before="117" w:after="0"/>
        <w:ind w:left="1439" w:right="2063" w:hanging="360"/>
        <w:jc w:val="left"/>
        <w:rPr>
          <w:sz w:val="22"/>
        </w:rPr>
      </w:pPr>
      <w:r>
        <w:rPr>
          <w:sz w:val="22"/>
        </w:rPr>
        <w:t>Prof. L.K. Maheshwari </w:t>
      </w:r>
      <w:r>
        <w:rPr>
          <w:spacing w:val="-4"/>
          <w:sz w:val="22"/>
        </w:rPr>
        <w:t>Director,</w:t>
      </w:r>
      <w:r>
        <w:rPr>
          <w:spacing w:val="-6"/>
          <w:sz w:val="22"/>
        </w:rPr>
        <w:t> </w:t>
      </w:r>
      <w:r>
        <w:rPr>
          <w:spacing w:val="-4"/>
          <w:sz w:val="22"/>
        </w:rPr>
        <w:t>Birla</w:t>
      </w:r>
      <w:r>
        <w:rPr>
          <w:spacing w:val="-6"/>
          <w:sz w:val="22"/>
        </w:rPr>
        <w:t> </w:t>
      </w:r>
      <w:r>
        <w:rPr>
          <w:spacing w:val="-4"/>
          <w:sz w:val="22"/>
        </w:rPr>
        <w:t>Institute</w:t>
      </w:r>
      <w:r>
        <w:rPr>
          <w:spacing w:val="-6"/>
          <w:sz w:val="22"/>
        </w:rPr>
        <w:t> </w:t>
      </w:r>
      <w:r>
        <w:rPr>
          <w:spacing w:val="-4"/>
          <w:sz w:val="22"/>
        </w:rPr>
        <w:t>of </w:t>
      </w:r>
      <w:r>
        <w:rPr>
          <w:sz w:val="22"/>
        </w:rPr>
        <w:t>Technology and Science</w:t>
      </w:r>
    </w:p>
    <w:p>
      <w:pPr>
        <w:pStyle w:val="ListParagraph"/>
        <w:numPr>
          <w:ilvl w:val="0"/>
          <w:numId w:val="75"/>
        </w:numPr>
        <w:tabs>
          <w:tab w:pos="1439" w:val="left" w:leader="none"/>
        </w:tabs>
        <w:spacing w:line="240" w:lineRule="auto" w:before="87" w:after="0"/>
        <w:ind w:left="1439" w:right="0" w:hanging="359"/>
        <w:jc w:val="left"/>
        <w:rPr>
          <w:sz w:val="22"/>
        </w:rPr>
      </w:pPr>
      <w:r>
        <w:rPr>
          <w:sz w:val="22"/>
        </w:rPr>
        <w:t>Dr.</w:t>
      </w:r>
      <w:r>
        <w:rPr>
          <w:spacing w:val="-10"/>
          <w:sz w:val="22"/>
        </w:rPr>
        <w:t> </w:t>
      </w:r>
      <w:r>
        <w:rPr>
          <w:sz w:val="22"/>
        </w:rPr>
        <w:t>M.</w:t>
      </w:r>
      <w:r>
        <w:rPr>
          <w:spacing w:val="-12"/>
          <w:sz w:val="22"/>
        </w:rPr>
        <w:t> </w:t>
      </w:r>
      <w:r>
        <w:rPr>
          <w:spacing w:val="-2"/>
          <w:sz w:val="22"/>
        </w:rPr>
        <w:t>Vidyasagar</w:t>
      </w:r>
    </w:p>
    <w:p>
      <w:pPr>
        <w:pStyle w:val="BodyText"/>
        <w:spacing w:before="27"/>
        <w:ind w:left="1439"/>
      </w:pPr>
      <w:r>
        <w:rPr>
          <w:spacing w:val="-8"/>
        </w:rPr>
        <w:t>Executive Vice</w:t>
      </w:r>
      <w:r>
        <w:rPr>
          <w:spacing w:val="-6"/>
        </w:rPr>
        <w:t> </w:t>
      </w:r>
      <w:r>
        <w:rPr>
          <w:spacing w:val="-8"/>
        </w:rPr>
        <w:t>President,</w:t>
      </w:r>
      <w:r>
        <w:rPr>
          <w:spacing w:val="-15"/>
        </w:rPr>
        <w:t> </w:t>
      </w:r>
      <w:r>
        <w:rPr>
          <w:spacing w:val="-8"/>
        </w:rPr>
        <w:t>Tata</w:t>
      </w:r>
      <w:r>
        <w:rPr>
          <w:spacing w:val="-6"/>
        </w:rPr>
        <w:t> </w:t>
      </w:r>
      <w:r>
        <w:rPr>
          <w:spacing w:val="-8"/>
        </w:rPr>
        <w:t>Consultancy</w:t>
      </w:r>
      <w:r>
        <w:rPr>
          <w:spacing w:val="-5"/>
        </w:rPr>
        <w:t> </w:t>
      </w:r>
      <w:r>
        <w:rPr>
          <w:spacing w:val="-9"/>
        </w:rPr>
        <w:t>Services</w:t>
      </w:r>
    </w:p>
    <w:p>
      <w:pPr>
        <w:pStyle w:val="ListParagraph"/>
        <w:numPr>
          <w:ilvl w:val="0"/>
          <w:numId w:val="75"/>
        </w:numPr>
        <w:tabs>
          <w:tab w:pos="1439" w:val="left" w:leader="none"/>
        </w:tabs>
        <w:spacing w:line="266" w:lineRule="auto" w:before="118" w:after="0"/>
        <w:ind w:left="1439" w:right="2069" w:hanging="360"/>
        <w:jc w:val="left"/>
        <w:rPr>
          <w:sz w:val="22"/>
        </w:rPr>
      </w:pPr>
      <w:r>
        <w:rPr>
          <w:sz w:val="22"/>
        </w:rPr>
        <w:t>Prof. S.C. Lakhotia </w:t>
      </w:r>
      <w:r>
        <w:rPr>
          <w:spacing w:val="-4"/>
          <w:sz w:val="22"/>
        </w:rPr>
        <w:t>Banaras</w:t>
      </w:r>
      <w:r>
        <w:rPr>
          <w:spacing w:val="-10"/>
          <w:sz w:val="22"/>
        </w:rPr>
        <w:t> </w:t>
      </w:r>
      <w:r>
        <w:rPr>
          <w:spacing w:val="-4"/>
          <w:sz w:val="22"/>
        </w:rPr>
        <w:t>Hindu</w:t>
      </w:r>
      <w:r>
        <w:rPr>
          <w:spacing w:val="-10"/>
          <w:sz w:val="22"/>
        </w:rPr>
        <w:t> </w:t>
      </w:r>
      <w:r>
        <w:rPr>
          <w:spacing w:val="-4"/>
          <w:sz w:val="22"/>
        </w:rPr>
        <w:t>University</w:t>
      </w:r>
    </w:p>
    <w:p>
      <w:pPr>
        <w:pStyle w:val="BodyText"/>
        <w:spacing w:before="101"/>
      </w:pPr>
    </w:p>
    <w:p>
      <w:pPr>
        <w:pStyle w:val="Heading6"/>
        <w:spacing w:before="1"/>
        <w:ind w:left="1080" w:firstLine="0"/>
      </w:pPr>
      <w:r>
        <w:rPr>
          <w:color w:val="2E614A"/>
          <w:w w:val="90"/>
        </w:rPr>
        <w:t>Legal</w:t>
      </w:r>
      <w:r>
        <w:rPr>
          <w:color w:val="2E614A"/>
          <w:spacing w:val="-7"/>
          <w:w w:val="90"/>
        </w:rPr>
        <w:t> </w:t>
      </w:r>
      <w:r>
        <w:rPr>
          <w:color w:val="2E614A"/>
          <w:spacing w:val="-2"/>
        </w:rPr>
        <w:t>Education</w:t>
      </w:r>
    </w:p>
    <w:p>
      <w:pPr>
        <w:pStyle w:val="ListParagraph"/>
        <w:numPr>
          <w:ilvl w:val="0"/>
          <w:numId w:val="76"/>
        </w:numPr>
        <w:tabs>
          <w:tab w:pos="1439" w:val="left" w:leader="none"/>
        </w:tabs>
        <w:spacing w:line="266" w:lineRule="auto" w:before="235" w:after="0"/>
        <w:ind w:left="1439" w:right="294" w:hanging="360"/>
        <w:jc w:val="left"/>
        <w:rPr>
          <w:sz w:val="22"/>
        </w:rPr>
      </w:pPr>
      <w:r>
        <w:rPr>
          <w:sz w:val="22"/>
        </w:rPr>
        <w:t>Justice M. Jagannadha Rao, Chairperson </w:t>
      </w:r>
      <w:r>
        <w:rPr>
          <w:spacing w:val="-2"/>
          <w:sz w:val="22"/>
        </w:rPr>
        <w:t>Former</w:t>
      </w:r>
      <w:r>
        <w:rPr>
          <w:spacing w:val="-12"/>
          <w:sz w:val="22"/>
        </w:rPr>
        <w:t> </w:t>
      </w:r>
      <w:r>
        <w:rPr>
          <w:spacing w:val="-2"/>
          <w:sz w:val="22"/>
        </w:rPr>
        <w:t>Judge,</w:t>
      </w:r>
      <w:r>
        <w:rPr>
          <w:spacing w:val="-12"/>
          <w:sz w:val="22"/>
        </w:rPr>
        <w:t> </w:t>
      </w:r>
      <w:r>
        <w:rPr>
          <w:spacing w:val="-2"/>
          <w:sz w:val="22"/>
        </w:rPr>
        <w:t>Supreme</w:t>
      </w:r>
      <w:r>
        <w:rPr>
          <w:spacing w:val="-12"/>
          <w:sz w:val="22"/>
        </w:rPr>
        <w:t> </w:t>
      </w:r>
      <w:r>
        <w:rPr>
          <w:spacing w:val="-2"/>
          <w:sz w:val="22"/>
        </w:rPr>
        <w:t>Court</w:t>
      </w:r>
      <w:r>
        <w:rPr>
          <w:spacing w:val="-11"/>
          <w:sz w:val="22"/>
        </w:rPr>
        <w:t> </w:t>
      </w:r>
      <w:r>
        <w:rPr>
          <w:spacing w:val="-2"/>
          <w:sz w:val="22"/>
        </w:rPr>
        <w:t>of</w:t>
      </w:r>
      <w:r>
        <w:rPr>
          <w:spacing w:val="-12"/>
          <w:sz w:val="22"/>
        </w:rPr>
        <w:t> </w:t>
      </w:r>
      <w:r>
        <w:rPr>
          <w:spacing w:val="-2"/>
          <w:sz w:val="22"/>
        </w:rPr>
        <w:t>India</w:t>
      </w:r>
      <w:r>
        <w:rPr>
          <w:spacing w:val="-12"/>
          <w:sz w:val="22"/>
        </w:rPr>
        <w:t> </w:t>
      </w:r>
      <w:r>
        <w:rPr>
          <w:spacing w:val="-2"/>
          <w:sz w:val="22"/>
        </w:rPr>
        <w:t>Former </w:t>
      </w:r>
      <w:r>
        <w:rPr>
          <w:sz w:val="22"/>
        </w:rPr>
        <w:t>Chairperson, Law Commission of India</w:t>
      </w:r>
    </w:p>
    <w:p>
      <w:pPr>
        <w:pStyle w:val="ListParagraph"/>
        <w:numPr>
          <w:ilvl w:val="0"/>
          <w:numId w:val="76"/>
        </w:numPr>
        <w:tabs>
          <w:tab w:pos="1439" w:val="left" w:leader="none"/>
        </w:tabs>
        <w:spacing w:line="240" w:lineRule="auto" w:before="88" w:after="0"/>
        <w:ind w:left="1439" w:right="0" w:hanging="359"/>
        <w:jc w:val="left"/>
        <w:rPr>
          <w:sz w:val="22"/>
        </w:rPr>
      </w:pPr>
      <w:r>
        <w:rPr>
          <w:spacing w:val="-6"/>
          <w:sz w:val="22"/>
        </w:rPr>
        <w:t>Justice</w:t>
      </w:r>
      <w:r>
        <w:rPr>
          <w:spacing w:val="-5"/>
          <w:sz w:val="22"/>
        </w:rPr>
        <w:t> </w:t>
      </w:r>
      <w:r>
        <w:rPr>
          <w:spacing w:val="-6"/>
          <w:sz w:val="22"/>
        </w:rPr>
        <w:t>Leila</w:t>
      </w:r>
      <w:r>
        <w:rPr>
          <w:spacing w:val="-5"/>
          <w:sz w:val="22"/>
        </w:rPr>
        <w:t> </w:t>
      </w:r>
      <w:r>
        <w:rPr>
          <w:spacing w:val="-6"/>
          <w:sz w:val="22"/>
        </w:rPr>
        <w:t>Seth,</w:t>
      </w:r>
      <w:r>
        <w:rPr>
          <w:spacing w:val="-5"/>
          <w:sz w:val="22"/>
        </w:rPr>
        <w:t> </w:t>
      </w:r>
      <w:r>
        <w:rPr>
          <w:spacing w:val="-6"/>
          <w:sz w:val="22"/>
        </w:rPr>
        <w:t>Member</w:t>
      </w:r>
    </w:p>
    <w:p>
      <w:pPr>
        <w:pStyle w:val="BodyText"/>
        <w:spacing w:line="266" w:lineRule="auto" w:before="27"/>
        <w:ind w:left="1439"/>
      </w:pPr>
      <w:r>
        <w:rPr>
          <w:spacing w:val="-2"/>
        </w:rPr>
        <w:t>Former</w:t>
      </w:r>
      <w:r>
        <w:rPr>
          <w:spacing w:val="-9"/>
        </w:rPr>
        <w:t> </w:t>
      </w:r>
      <w:r>
        <w:rPr>
          <w:spacing w:val="-2"/>
        </w:rPr>
        <w:t>Judge,</w:t>
      </w:r>
      <w:r>
        <w:rPr>
          <w:spacing w:val="-9"/>
        </w:rPr>
        <w:t> </w:t>
      </w:r>
      <w:r>
        <w:rPr>
          <w:spacing w:val="-2"/>
        </w:rPr>
        <w:t>Delhi</w:t>
      </w:r>
      <w:r>
        <w:rPr>
          <w:spacing w:val="-9"/>
        </w:rPr>
        <w:t> </w:t>
      </w:r>
      <w:r>
        <w:rPr>
          <w:spacing w:val="-2"/>
        </w:rPr>
        <w:t>High</w:t>
      </w:r>
      <w:r>
        <w:rPr>
          <w:spacing w:val="-9"/>
        </w:rPr>
        <w:t> </w:t>
      </w:r>
      <w:r>
        <w:rPr>
          <w:spacing w:val="-2"/>
        </w:rPr>
        <w:t>Court</w:t>
      </w:r>
      <w:r>
        <w:rPr>
          <w:spacing w:val="-9"/>
        </w:rPr>
        <w:t> </w:t>
      </w:r>
      <w:r>
        <w:rPr>
          <w:spacing w:val="-2"/>
        </w:rPr>
        <w:t>Former</w:t>
      </w:r>
      <w:r>
        <w:rPr>
          <w:spacing w:val="-9"/>
        </w:rPr>
        <w:t> </w:t>
      </w:r>
      <w:r>
        <w:rPr>
          <w:spacing w:val="-2"/>
        </w:rPr>
        <w:t>Chief </w:t>
      </w:r>
      <w:r>
        <w:rPr/>
        <w:t>Justice, High Court of Himachal Pradesh</w:t>
      </w:r>
    </w:p>
    <w:p>
      <w:pPr>
        <w:pStyle w:val="ListParagraph"/>
        <w:numPr>
          <w:ilvl w:val="0"/>
          <w:numId w:val="76"/>
        </w:numPr>
        <w:tabs>
          <w:tab w:pos="1439" w:val="left" w:leader="none"/>
        </w:tabs>
        <w:spacing w:line="240" w:lineRule="auto" w:before="88" w:after="0"/>
        <w:ind w:left="1439" w:right="0" w:hanging="359"/>
        <w:jc w:val="left"/>
        <w:rPr>
          <w:sz w:val="22"/>
        </w:rPr>
      </w:pPr>
      <w:r>
        <w:rPr>
          <w:spacing w:val="-2"/>
          <w:sz w:val="22"/>
        </w:rPr>
        <w:t>Prof.</w:t>
      </w:r>
      <w:r>
        <w:rPr>
          <w:spacing w:val="-9"/>
          <w:sz w:val="22"/>
        </w:rPr>
        <w:t> </w:t>
      </w:r>
      <w:r>
        <w:rPr>
          <w:spacing w:val="-2"/>
          <w:sz w:val="22"/>
        </w:rPr>
        <w:t>N.R.</w:t>
      </w:r>
      <w:r>
        <w:rPr>
          <w:spacing w:val="-6"/>
          <w:sz w:val="22"/>
        </w:rPr>
        <w:t> </w:t>
      </w:r>
      <w:r>
        <w:rPr>
          <w:spacing w:val="-2"/>
          <w:sz w:val="22"/>
        </w:rPr>
        <w:t>Madhava</w:t>
      </w:r>
      <w:r>
        <w:rPr>
          <w:spacing w:val="-6"/>
          <w:sz w:val="22"/>
        </w:rPr>
        <w:t> </w:t>
      </w:r>
      <w:r>
        <w:rPr>
          <w:spacing w:val="-2"/>
          <w:sz w:val="22"/>
        </w:rPr>
        <w:t>Menon,</w:t>
      </w:r>
      <w:r>
        <w:rPr>
          <w:spacing w:val="-6"/>
          <w:sz w:val="22"/>
        </w:rPr>
        <w:t> </w:t>
      </w:r>
      <w:r>
        <w:rPr>
          <w:spacing w:val="-2"/>
          <w:sz w:val="22"/>
        </w:rPr>
        <w:t>Member</w:t>
      </w:r>
    </w:p>
    <w:p>
      <w:pPr>
        <w:pStyle w:val="BodyText"/>
        <w:spacing w:line="266" w:lineRule="auto" w:before="27"/>
        <w:ind w:left="1439" w:right="80"/>
      </w:pPr>
      <w:r>
        <w:rPr/>
        <w:t>Former</w:t>
      </w:r>
      <w:r>
        <w:rPr>
          <w:spacing w:val="-14"/>
        </w:rPr>
        <w:t> </w:t>
      </w:r>
      <w:r>
        <w:rPr/>
        <w:t>Vice</w:t>
      </w:r>
      <w:r>
        <w:rPr>
          <w:spacing w:val="-14"/>
        </w:rPr>
        <w:t> </w:t>
      </w:r>
      <w:r>
        <w:rPr/>
        <w:t>Chancellor,</w:t>
      </w:r>
      <w:r>
        <w:rPr>
          <w:spacing w:val="-14"/>
        </w:rPr>
        <w:t> </w:t>
      </w:r>
      <w:r>
        <w:rPr/>
        <w:t>National</w:t>
      </w:r>
      <w:r>
        <w:rPr>
          <w:spacing w:val="-13"/>
        </w:rPr>
        <w:t> </w:t>
      </w:r>
      <w:r>
        <w:rPr/>
        <w:t>Law</w:t>
      </w:r>
      <w:r>
        <w:rPr>
          <w:spacing w:val="-14"/>
        </w:rPr>
        <w:t> </w:t>
      </w:r>
      <w:r>
        <w:rPr/>
        <w:t>School </w:t>
      </w:r>
      <w:r>
        <w:rPr>
          <w:spacing w:val="-4"/>
        </w:rPr>
        <w:t>of</w:t>
      </w:r>
      <w:r>
        <w:rPr>
          <w:spacing w:val="-10"/>
        </w:rPr>
        <w:t> </w:t>
      </w:r>
      <w:r>
        <w:rPr>
          <w:spacing w:val="-4"/>
        </w:rPr>
        <w:t>India</w:t>
      </w:r>
      <w:r>
        <w:rPr>
          <w:spacing w:val="-10"/>
        </w:rPr>
        <w:t> </w:t>
      </w:r>
      <w:r>
        <w:rPr>
          <w:spacing w:val="-4"/>
        </w:rPr>
        <w:t>University</w:t>
      </w:r>
      <w:r>
        <w:rPr>
          <w:spacing w:val="-10"/>
        </w:rPr>
        <w:t> </w:t>
      </w:r>
      <w:r>
        <w:rPr>
          <w:spacing w:val="-4"/>
        </w:rPr>
        <w:t>(NLSIU),</w:t>
      </w:r>
      <w:r>
        <w:rPr>
          <w:spacing w:val="-9"/>
        </w:rPr>
        <w:t> </w:t>
      </w:r>
      <w:r>
        <w:rPr>
          <w:spacing w:val="-4"/>
        </w:rPr>
        <w:t>Bangalore</w:t>
      </w:r>
      <w:r>
        <w:rPr>
          <w:spacing w:val="-10"/>
        </w:rPr>
        <w:t> </w:t>
      </w:r>
      <w:r>
        <w:rPr>
          <w:spacing w:val="-4"/>
        </w:rPr>
        <w:t>Former</w:t>
      </w:r>
    </w:p>
    <w:p>
      <w:pPr>
        <w:pStyle w:val="BodyText"/>
        <w:spacing w:line="266" w:lineRule="auto" w:before="77"/>
        <w:ind w:left="730" w:right="1069"/>
      </w:pPr>
      <w:r>
        <w:rPr/>
        <w:br w:type="column"/>
      </w:r>
      <w:r>
        <w:rPr>
          <w:spacing w:val="-6"/>
        </w:rPr>
        <w:t>Vice Chancellor, West Bengal National </w:t>
      </w:r>
      <w:r>
        <w:rPr>
          <w:spacing w:val="-6"/>
        </w:rPr>
        <w:t>University </w:t>
      </w:r>
      <w:r>
        <w:rPr/>
        <w:t>of</w:t>
      </w:r>
      <w:r>
        <w:rPr>
          <w:spacing w:val="-9"/>
        </w:rPr>
        <w:t> </w:t>
      </w:r>
      <w:r>
        <w:rPr/>
        <w:t>Juridical</w:t>
      </w:r>
      <w:r>
        <w:rPr>
          <w:spacing w:val="-9"/>
        </w:rPr>
        <w:t> </w:t>
      </w:r>
      <w:r>
        <w:rPr/>
        <w:t>Sciences</w:t>
      </w:r>
      <w:r>
        <w:rPr>
          <w:spacing w:val="-9"/>
        </w:rPr>
        <w:t> </w:t>
      </w:r>
      <w:r>
        <w:rPr/>
        <w:t>(NUJS)</w:t>
      </w:r>
      <w:r>
        <w:rPr>
          <w:spacing w:val="-9"/>
        </w:rPr>
        <w:t> </w:t>
      </w:r>
      <w:r>
        <w:rPr/>
        <w:t>Kolkata</w:t>
      </w:r>
      <w:r>
        <w:rPr>
          <w:spacing w:val="-9"/>
        </w:rPr>
        <w:t> </w:t>
      </w:r>
      <w:r>
        <w:rPr/>
        <w:t>Former Director,</w:t>
      </w:r>
      <w:r>
        <w:rPr>
          <w:spacing w:val="-11"/>
        </w:rPr>
        <w:t> </w:t>
      </w:r>
      <w:r>
        <w:rPr/>
        <w:t>National</w:t>
      </w:r>
      <w:r>
        <w:rPr>
          <w:spacing w:val="-11"/>
        </w:rPr>
        <w:t> </w:t>
      </w:r>
      <w:r>
        <w:rPr/>
        <w:t>Judicial</w:t>
      </w:r>
      <w:r>
        <w:rPr>
          <w:spacing w:val="-11"/>
        </w:rPr>
        <w:t> </w:t>
      </w:r>
      <w:r>
        <w:rPr/>
        <w:t>Academy,</w:t>
      </w:r>
      <w:r>
        <w:rPr>
          <w:spacing w:val="-11"/>
        </w:rPr>
        <w:t> </w:t>
      </w:r>
      <w:r>
        <w:rPr/>
        <w:t>Bhopal</w:t>
      </w:r>
    </w:p>
    <w:p>
      <w:pPr>
        <w:pStyle w:val="ListParagraph"/>
        <w:numPr>
          <w:ilvl w:val="0"/>
          <w:numId w:val="76"/>
        </w:numPr>
        <w:tabs>
          <w:tab w:pos="730" w:val="left" w:leader="none"/>
        </w:tabs>
        <w:spacing w:line="266" w:lineRule="auto" w:before="88" w:after="0"/>
        <w:ind w:left="730" w:right="1252" w:hanging="360"/>
        <w:jc w:val="left"/>
        <w:rPr>
          <w:sz w:val="22"/>
        </w:rPr>
      </w:pPr>
      <w:r>
        <w:rPr>
          <w:spacing w:val="-6"/>
          <w:sz w:val="22"/>
        </w:rPr>
        <w:t>Mr.</w:t>
      </w:r>
      <w:r>
        <w:rPr>
          <w:spacing w:val="-8"/>
          <w:sz w:val="22"/>
        </w:rPr>
        <w:t> </w:t>
      </w:r>
      <w:r>
        <w:rPr>
          <w:spacing w:val="-6"/>
          <w:sz w:val="22"/>
        </w:rPr>
        <w:t>P.P.</w:t>
      </w:r>
      <w:r>
        <w:rPr>
          <w:spacing w:val="-8"/>
          <w:sz w:val="22"/>
        </w:rPr>
        <w:t> </w:t>
      </w:r>
      <w:r>
        <w:rPr>
          <w:spacing w:val="-6"/>
          <w:sz w:val="22"/>
        </w:rPr>
        <w:t>Rao,</w:t>
      </w:r>
      <w:r>
        <w:rPr>
          <w:spacing w:val="-8"/>
          <w:sz w:val="22"/>
        </w:rPr>
        <w:t> </w:t>
      </w:r>
      <w:r>
        <w:rPr>
          <w:spacing w:val="-6"/>
          <w:sz w:val="22"/>
        </w:rPr>
        <w:t>Member</w:t>
      </w:r>
      <w:r>
        <w:rPr>
          <w:spacing w:val="-7"/>
          <w:sz w:val="22"/>
        </w:rPr>
        <w:t> </w:t>
      </w:r>
      <w:r>
        <w:rPr>
          <w:spacing w:val="-6"/>
          <w:sz w:val="22"/>
        </w:rPr>
        <w:t>Senior</w:t>
      </w:r>
      <w:r>
        <w:rPr>
          <w:spacing w:val="-8"/>
          <w:sz w:val="22"/>
        </w:rPr>
        <w:t> </w:t>
      </w:r>
      <w:r>
        <w:rPr>
          <w:spacing w:val="-6"/>
          <w:sz w:val="22"/>
        </w:rPr>
        <w:t>Advocate,</w:t>
      </w:r>
      <w:r>
        <w:rPr>
          <w:spacing w:val="-8"/>
          <w:sz w:val="22"/>
        </w:rPr>
        <w:t> </w:t>
      </w:r>
      <w:r>
        <w:rPr>
          <w:spacing w:val="-6"/>
          <w:sz w:val="22"/>
        </w:rPr>
        <w:t>Supreme </w:t>
      </w:r>
      <w:r>
        <w:rPr>
          <w:sz w:val="22"/>
        </w:rPr>
        <w:t>Court of India</w:t>
      </w:r>
    </w:p>
    <w:p>
      <w:pPr>
        <w:pStyle w:val="ListParagraph"/>
        <w:numPr>
          <w:ilvl w:val="0"/>
          <w:numId w:val="76"/>
        </w:numPr>
        <w:tabs>
          <w:tab w:pos="729" w:val="left" w:leader="none"/>
        </w:tabs>
        <w:spacing w:line="240" w:lineRule="auto" w:before="88" w:after="0"/>
        <w:ind w:left="729" w:right="0" w:hanging="359"/>
        <w:jc w:val="left"/>
        <w:rPr>
          <w:sz w:val="22"/>
        </w:rPr>
      </w:pPr>
      <w:r>
        <w:rPr>
          <w:spacing w:val="-2"/>
          <w:sz w:val="22"/>
        </w:rPr>
        <w:t>Prof.</w:t>
      </w:r>
      <w:r>
        <w:rPr>
          <w:spacing w:val="-7"/>
          <w:sz w:val="22"/>
        </w:rPr>
        <w:t> </w:t>
      </w:r>
      <w:r>
        <w:rPr>
          <w:spacing w:val="-2"/>
          <w:sz w:val="22"/>
        </w:rPr>
        <w:t>B.S.</w:t>
      </w:r>
      <w:r>
        <w:rPr>
          <w:spacing w:val="-7"/>
          <w:sz w:val="22"/>
        </w:rPr>
        <w:t> </w:t>
      </w:r>
      <w:r>
        <w:rPr>
          <w:spacing w:val="-2"/>
          <w:sz w:val="22"/>
        </w:rPr>
        <w:t>Chimni,</w:t>
      </w:r>
      <w:r>
        <w:rPr>
          <w:spacing w:val="-7"/>
          <w:sz w:val="22"/>
        </w:rPr>
        <w:t> </w:t>
      </w:r>
      <w:r>
        <w:rPr>
          <w:spacing w:val="-2"/>
          <w:sz w:val="22"/>
        </w:rPr>
        <w:t>Member</w:t>
      </w:r>
    </w:p>
    <w:p>
      <w:pPr>
        <w:pStyle w:val="BodyText"/>
        <w:spacing w:line="266" w:lineRule="auto" w:before="27"/>
        <w:ind w:left="730" w:right="1069"/>
      </w:pPr>
      <w:r>
        <w:rPr>
          <w:spacing w:val="-6"/>
        </w:rPr>
        <w:t>Former Vice Chancellor, NUJS, Kolkata </w:t>
      </w:r>
      <w:r>
        <w:rPr>
          <w:spacing w:val="-6"/>
        </w:rPr>
        <w:t>Professor, </w:t>
      </w:r>
      <w:r>
        <w:rPr/>
        <w:t>Jawaharlal</w:t>
      </w:r>
      <w:r>
        <w:rPr>
          <w:spacing w:val="-4"/>
        </w:rPr>
        <w:t> </w:t>
      </w:r>
      <w:r>
        <w:rPr/>
        <w:t>Nehru</w:t>
      </w:r>
      <w:r>
        <w:rPr>
          <w:spacing w:val="-4"/>
        </w:rPr>
        <w:t> </w:t>
      </w:r>
      <w:r>
        <w:rPr/>
        <w:t>University,</w:t>
      </w:r>
      <w:r>
        <w:rPr>
          <w:spacing w:val="-4"/>
        </w:rPr>
        <w:t> </w:t>
      </w:r>
      <w:r>
        <w:rPr/>
        <w:t>New</w:t>
      </w:r>
      <w:r>
        <w:rPr>
          <w:spacing w:val="-4"/>
        </w:rPr>
        <w:t> </w:t>
      </w:r>
      <w:r>
        <w:rPr/>
        <w:t>Delhi</w:t>
      </w:r>
    </w:p>
    <w:p>
      <w:pPr>
        <w:pStyle w:val="ListParagraph"/>
        <w:numPr>
          <w:ilvl w:val="0"/>
          <w:numId w:val="76"/>
        </w:numPr>
        <w:tabs>
          <w:tab w:pos="729" w:val="left" w:leader="none"/>
        </w:tabs>
        <w:spacing w:line="240" w:lineRule="auto" w:before="89" w:after="0"/>
        <w:ind w:left="729" w:right="0" w:hanging="359"/>
        <w:jc w:val="left"/>
        <w:rPr>
          <w:sz w:val="22"/>
        </w:rPr>
      </w:pPr>
      <w:r>
        <w:rPr>
          <w:spacing w:val="-8"/>
          <w:sz w:val="22"/>
        </w:rPr>
        <w:t>Mr.</w:t>
      </w:r>
      <w:r>
        <w:rPr>
          <w:spacing w:val="-3"/>
          <w:sz w:val="22"/>
        </w:rPr>
        <w:t> </w:t>
      </w:r>
      <w:r>
        <w:rPr>
          <w:spacing w:val="-8"/>
          <w:sz w:val="22"/>
        </w:rPr>
        <w:t>Nishith</w:t>
      </w:r>
      <w:r>
        <w:rPr>
          <w:spacing w:val="-2"/>
          <w:sz w:val="22"/>
        </w:rPr>
        <w:t> </w:t>
      </w:r>
      <w:r>
        <w:rPr>
          <w:spacing w:val="-8"/>
          <w:sz w:val="22"/>
        </w:rPr>
        <w:t>Desai,</w:t>
      </w:r>
      <w:r>
        <w:rPr>
          <w:spacing w:val="-2"/>
          <w:sz w:val="22"/>
        </w:rPr>
        <w:t> </w:t>
      </w:r>
      <w:r>
        <w:rPr>
          <w:spacing w:val="-8"/>
          <w:sz w:val="22"/>
        </w:rPr>
        <w:t>Member</w:t>
      </w:r>
    </w:p>
    <w:p>
      <w:pPr>
        <w:pStyle w:val="BodyText"/>
        <w:spacing w:before="27"/>
        <w:ind w:left="730"/>
      </w:pPr>
      <w:r>
        <w:rPr>
          <w:spacing w:val="-10"/>
        </w:rPr>
        <w:t>Managing</w:t>
      </w:r>
      <w:r>
        <w:rPr>
          <w:spacing w:val="-5"/>
        </w:rPr>
        <w:t> </w:t>
      </w:r>
      <w:r>
        <w:rPr>
          <w:spacing w:val="-10"/>
        </w:rPr>
        <w:t>Partner,</w:t>
      </w:r>
      <w:r>
        <w:rPr>
          <w:spacing w:val="-5"/>
        </w:rPr>
        <w:t> </w:t>
      </w:r>
      <w:r>
        <w:rPr>
          <w:spacing w:val="-10"/>
        </w:rPr>
        <w:t>Nishith</w:t>
      </w:r>
      <w:r>
        <w:rPr>
          <w:spacing w:val="-5"/>
        </w:rPr>
        <w:t> </w:t>
      </w:r>
      <w:r>
        <w:rPr>
          <w:spacing w:val="-10"/>
        </w:rPr>
        <w:t>Desai</w:t>
      </w:r>
      <w:r>
        <w:rPr>
          <w:spacing w:val="-5"/>
        </w:rPr>
        <w:t> </w:t>
      </w:r>
      <w:r>
        <w:rPr>
          <w:spacing w:val="-10"/>
        </w:rPr>
        <w:t>Associates,</w:t>
      </w:r>
      <w:r>
        <w:rPr>
          <w:spacing w:val="-5"/>
        </w:rPr>
        <w:t> </w:t>
      </w:r>
      <w:r>
        <w:rPr>
          <w:spacing w:val="-10"/>
        </w:rPr>
        <w:t>Mumbai</w:t>
      </w:r>
    </w:p>
    <w:p>
      <w:pPr>
        <w:pStyle w:val="ListParagraph"/>
        <w:numPr>
          <w:ilvl w:val="0"/>
          <w:numId w:val="76"/>
        </w:numPr>
        <w:tabs>
          <w:tab w:pos="729" w:val="left" w:leader="none"/>
        </w:tabs>
        <w:spacing w:line="240" w:lineRule="auto" w:before="117" w:after="0"/>
        <w:ind w:left="729" w:right="0" w:hanging="359"/>
        <w:jc w:val="left"/>
        <w:rPr>
          <w:sz w:val="22"/>
        </w:rPr>
      </w:pPr>
      <w:r>
        <w:rPr>
          <w:sz w:val="22"/>
        </w:rPr>
        <w:t>Dr.</w:t>
      </w:r>
      <w:r>
        <w:rPr>
          <w:spacing w:val="-9"/>
          <w:sz w:val="22"/>
        </w:rPr>
        <w:t> </w:t>
      </w:r>
      <w:r>
        <w:rPr>
          <w:sz w:val="22"/>
        </w:rPr>
        <w:t>Mohan</w:t>
      </w:r>
      <w:r>
        <w:rPr>
          <w:spacing w:val="-9"/>
          <w:sz w:val="22"/>
        </w:rPr>
        <w:t> </w:t>
      </w:r>
      <w:r>
        <w:rPr>
          <w:sz w:val="22"/>
        </w:rPr>
        <w:t>Gopal,</w:t>
      </w:r>
      <w:r>
        <w:rPr>
          <w:spacing w:val="-8"/>
          <w:sz w:val="22"/>
        </w:rPr>
        <w:t> </w:t>
      </w:r>
      <w:r>
        <w:rPr>
          <w:spacing w:val="-2"/>
          <w:sz w:val="22"/>
        </w:rPr>
        <w:t>Member</w:t>
      </w:r>
    </w:p>
    <w:p>
      <w:pPr>
        <w:pStyle w:val="BodyText"/>
        <w:spacing w:line="266" w:lineRule="auto" w:before="27"/>
        <w:ind w:left="730" w:right="1069"/>
      </w:pPr>
      <w:r>
        <w:rPr>
          <w:spacing w:val="-4"/>
        </w:rPr>
        <w:t>Former</w:t>
      </w:r>
      <w:r>
        <w:rPr>
          <w:spacing w:val="-7"/>
        </w:rPr>
        <w:t> </w:t>
      </w:r>
      <w:r>
        <w:rPr>
          <w:spacing w:val="-4"/>
        </w:rPr>
        <w:t>Vice Chancellor, NLSIU, Bangalore </w:t>
      </w:r>
      <w:r>
        <w:rPr>
          <w:spacing w:val="-6"/>
        </w:rPr>
        <w:t>Director,</w:t>
      </w:r>
      <w:r>
        <w:rPr>
          <w:spacing w:val="4"/>
        </w:rPr>
        <w:t> </w:t>
      </w:r>
      <w:r>
        <w:rPr>
          <w:spacing w:val="-6"/>
        </w:rPr>
        <w:t>National</w:t>
      </w:r>
      <w:r>
        <w:rPr>
          <w:spacing w:val="4"/>
        </w:rPr>
        <w:t> </w:t>
      </w:r>
      <w:r>
        <w:rPr>
          <w:spacing w:val="-6"/>
        </w:rPr>
        <w:t>Judicial</w:t>
      </w:r>
      <w:r>
        <w:rPr>
          <w:spacing w:val="4"/>
        </w:rPr>
        <w:t> </w:t>
      </w:r>
      <w:r>
        <w:rPr>
          <w:spacing w:val="-6"/>
        </w:rPr>
        <w:t>Academy,</w:t>
      </w:r>
      <w:r>
        <w:rPr>
          <w:spacing w:val="4"/>
        </w:rPr>
        <w:t> </w:t>
      </w:r>
      <w:r>
        <w:rPr>
          <w:spacing w:val="-6"/>
        </w:rPr>
        <w:t>Bhopal</w:t>
      </w:r>
    </w:p>
    <w:p>
      <w:pPr>
        <w:pStyle w:val="BodyText"/>
        <w:spacing w:before="12"/>
      </w:pPr>
    </w:p>
    <w:p>
      <w:pPr>
        <w:pStyle w:val="Heading6"/>
        <w:ind w:left="370" w:firstLine="0"/>
      </w:pPr>
      <w:r>
        <w:rPr>
          <w:color w:val="2E614A"/>
          <w:w w:val="90"/>
        </w:rPr>
        <w:t>Medical</w:t>
      </w:r>
      <w:r>
        <w:rPr>
          <w:color w:val="2E614A"/>
          <w:spacing w:val="14"/>
        </w:rPr>
        <w:t> </w:t>
      </w:r>
      <w:r>
        <w:rPr>
          <w:color w:val="2E614A"/>
          <w:spacing w:val="-2"/>
        </w:rPr>
        <w:t>Education</w:t>
      </w:r>
    </w:p>
    <w:p>
      <w:pPr>
        <w:pStyle w:val="ListParagraph"/>
        <w:numPr>
          <w:ilvl w:val="0"/>
          <w:numId w:val="77"/>
        </w:numPr>
        <w:tabs>
          <w:tab w:pos="730" w:val="left" w:leader="none"/>
        </w:tabs>
        <w:spacing w:line="266" w:lineRule="auto" w:before="285" w:after="0"/>
        <w:ind w:left="730" w:right="3770" w:hanging="360"/>
        <w:jc w:val="left"/>
        <w:rPr>
          <w:sz w:val="22"/>
        </w:rPr>
      </w:pPr>
      <w:r>
        <w:rPr>
          <w:spacing w:val="-2"/>
          <w:sz w:val="22"/>
        </w:rPr>
        <w:t>Dr.</w:t>
      </w:r>
      <w:r>
        <w:rPr>
          <w:spacing w:val="-12"/>
          <w:sz w:val="22"/>
        </w:rPr>
        <w:t> </w:t>
      </w:r>
      <w:r>
        <w:rPr>
          <w:spacing w:val="-2"/>
          <w:sz w:val="22"/>
        </w:rPr>
        <w:t>Sneh</w:t>
      </w:r>
      <w:r>
        <w:rPr>
          <w:spacing w:val="-12"/>
          <w:sz w:val="22"/>
        </w:rPr>
        <w:t> </w:t>
      </w:r>
      <w:r>
        <w:rPr>
          <w:spacing w:val="-2"/>
          <w:sz w:val="22"/>
        </w:rPr>
        <w:t>Bhargava </w:t>
      </w:r>
      <w:r>
        <w:rPr>
          <w:spacing w:val="-4"/>
          <w:sz w:val="22"/>
        </w:rPr>
        <w:t>AIIMS,</w:t>
      </w:r>
      <w:r>
        <w:rPr>
          <w:spacing w:val="-9"/>
          <w:sz w:val="22"/>
        </w:rPr>
        <w:t> </w:t>
      </w:r>
      <w:r>
        <w:rPr>
          <w:spacing w:val="-4"/>
          <w:sz w:val="22"/>
        </w:rPr>
        <w:t>New</w:t>
      </w:r>
      <w:r>
        <w:rPr>
          <w:spacing w:val="-8"/>
          <w:sz w:val="22"/>
        </w:rPr>
        <w:t> </w:t>
      </w:r>
      <w:r>
        <w:rPr>
          <w:spacing w:val="-4"/>
          <w:sz w:val="22"/>
        </w:rPr>
        <w:t>Delhi</w:t>
      </w:r>
    </w:p>
    <w:p>
      <w:pPr>
        <w:pStyle w:val="ListParagraph"/>
        <w:numPr>
          <w:ilvl w:val="0"/>
          <w:numId w:val="77"/>
        </w:numPr>
        <w:tabs>
          <w:tab w:pos="730" w:val="left" w:leader="none"/>
        </w:tabs>
        <w:spacing w:line="266" w:lineRule="auto" w:before="89" w:after="0"/>
        <w:ind w:left="730" w:right="4096" w:hanging="360"/>
        <w:jc w:val="left"/>
        <w:rPr>
          <w:sz w:val="22"/>
        </w:rPr>
      </w:pPr>
      <w:r>
        <w:rPr>
          <w:sz w:val="22"/>
        </w:rPr>
        <w:t>Dr.</w:t>
      </w:r>
      <w:r>
        <w:rPr>
          <w:spacing w:val="-14"/>
          <w:sz w:val="22"/>
        </w:rPr>
        <w:t> </w:t>
      </w:r>
      <w:r>
        <w:rPr>
          <w:sz w:val="22"/>
        </w:rPr>
        <w:t>N.G.</w:t>
      </w:r>
      <w:r>
        <w:rPr>
          <w:spacing w:val="-14"/>
          <w:sz w:val="22"/>
        </w:rPr>
        <w:t> </w:t>
      </w:r>
      <w:r>
        <w:rPr>
          <w:sz w:val="22"/>
        </w:rPr>
        <w:t>Desai IHBAS, Delhi</w:t>
      </w:r>
    </w:p>
    <w:p>
      <w:pPr>
        <w:pStyle w:val="ListParagraph"/>
        <w:numPr>
          <w:ilvl w:val="0"/>
          <w:numId w:val="77"/>
        </w:numPr>
        <w:tabs>
          <w:tab w:pos="730" w:val="left" w:leader="none"/>
        </w:tabs>
        <w:spacing w:line="266" w:lineRule="auto" w:before="88" w:after="0"/>
        <w:ind w:left="730" w:right="3794" w:hanging="360"/>
        <w:jc w:val="left"/>
        <w:rPr>
          <w:sz w:val="22"/>
        </w:rPr>
      </w:pPr>
      <w:r>
        <w:rPr>
          <w:sz w:val="22"/>
        </w:rPr>
        <w:t>Dr. N.K. Ganguly ICMR,</w:t>
      </w:r>
      <w:r>
        <w:rPr>
          <w:spacing w:val="-14"/>
          <w:sz w:val="22"/>
        </w:rPr>
        <w:t> </w:t>
      </w:r>
      <w:r>
        <w:rPr>
          <w:sz w:val="22"/>
        </w:rPr>
        <w:t>New</w:t>
      </w:r>
      <w:r>
        <w:rPr>
          <w:spacing w:val="-14"/>
          <w:sz w:val="22"/>
        </w:rPr>
        <w:t> </w:t>
      </w:r>
      <w:r>
        <w:rPr>
          <w:sz w:val="22"/>
        </w:rPr>
        <w:t>Delhi</w:t>
      </w:r>
    </w:p>
    <w:p>
      <w:pPr>
        <w:pStyle w:val="ListParagraph"/>
        <w:numPr>
          <w:ilvl w:val="0"/>
          <w:numId w:val="77"/>
        </w:numPr>
        <w:tabs>
          <w:tab w:pos="730" w:val="left" w:leader="none"/>
        </w:tabs>
        <w:spacing w:line="266" w:lineRule="auto" w:before="88" w:after="0"/>
        <w:ind w:left="730" w:right="4041" w:hanging="360"/>
        <w:jc w:val="left"/>
        <w:rPr>
          <w:sz w:val="22"/>
        </w:rPr>
      </w:pPr>
      <w:r>
        <w:rPr>
          <w:spacing w:val="-2"/>
          <w:sz w:val="22"/>
        </w:rPr>
        <w:t>Dr.</w:t>
      </w:r>
      <w:r>
        <w:rPr>
          <w:spacing w:val="-12"/>
          <w:sz w:val="22"/>
        </w:rPr>
        <w:t> </w:t>
      </w:r>
      <w:r>
        <w:rPr>
          <w:spacing w:val="-2"/>
          <w:sz w:val="22"/>
        </w:rPr>
        <w:t>V.I.</w:t>
      </w:r>
      <w:r>
        <w:rPr>
          <w:spacing w:val="-12"/>
          <w:sz w:val="22"/>
        </w:rPr>
        <w:t> </w:t>
      </w:r>
      <w:r>
        <w:rPr>
          <w:spacing w:val="-2"/>
          <w:sz w:val="22"/>
        </w:rPr>
        <w:t>Mathan </w:t>
      </w:r>
      <w:r>
        <w:rPr>
          <w:sz w:val="22"/>
        </w:rPr>
        <w:t>CMC, Vellore</w:t>
      </w:r>
    </w:p>
    <w:p>
      <w:pPr>
        <w:pStyle w:val="ListParagraph"/>
        <w:numPr>
          <w:ilvl w:val="0"/>
          <w:numId w:val="77"/>
        </w:numPr>
        <w:tabs>
          <w:tab w:pos="729" w:val="left" w:leader="none"/>
        </w:tabs>
        <w:spacing w:line="240" w:lineRule="auto" w:before="89" w:after="0"/>
        <w:ind w:left="729" w:right="0" w:hanging="359"/>
        <w:jc w:val="left"/>
        <w:rPr>
          <w:sz w:val="22"/>
        </w:rPr>
      </w:pPr>
      <w:r>
        <w:rPr>
          <w:sz w:val="22"/>
        </w:rPr>
        <w:t>Dr.</w:t>
      </w:r>
      <w:r>
        <w:rPr>
          <w:spacing w:val="6"/>
          <w:sz w:val="22"/>
        </w:rPr>
        <w:t> </w:t>
      </w:r>
      <w:r>
        <w:rPr>
          <w:sz w:val="22"/>
        </w:rPr>
        <w:t>G.N.</w:t>
      </w:r>
      <w:r>
        <w:rPr>
          <w:spacing w:val="6"/>
          <w:sz w:val="22"/>
        </w:rPr>
        <w:t> </w:t>
      </w:r>
      <w:r>
        <w:rPr>
          <w:spacing w:val="-5"/>
          <w:sz w:val="22"/>
        </w:rPr>
        <w:t>Rao</w:t>
      </w:r>
    </w:p>
    <w:p>
      <w:pPr>
        <w:pStyle w:val="BodyText"/>
        <w:spacing w:before="27"/>
        <w:ind w:left="730"/>
      </w:pPr>
      <w:r>
        <w:rPr>
          <w:spacing w:val="-6"/>
        </w:rPr>
        <w:t>LVP</w:t>
      </w:r>
      <w:r>
        <w:rPr>
          <w:spacing w:val="-2"/>
        </w:rPr>
        <w:t> </w:t>
      </w:r>
      <w:r>
        <w:rPr>
          <w:spacing w:val="-6"/>
        </w:rPr>
        <w:t>Eye</w:t>
      </w:r>
      <w:r>
        <w:rPr>
          <w:spacing w:val="-2"/>
        </w:rPr>
        <w:t> </w:t>
      </w:r>
      <w:r>
        <w:rPr>
          <w:spacing w:val="-6"/>
        </w:rPr>
        <w:t>Institute,</w:t>
      </w:r>
      <w:r>
        <w:rPr>
          <w:spacing w:val="-1"/>
        </w:rPr>
        <w:t> </w:t>
      </w:r>
      <w:r>
        <w:rPr>
          <w:spacing w:val="-6"/>
        </w:rPr>
        <w:t>Hyderabad</w:t>
      </w:r>
    </w:p>
    <w:p>
      <w:pPr>
        <w:pStyle w:val="ListParagraph"/>
        <w:numPr>
          <w:ilvl w:val="0"/>
          <w:numId w:val="77"/>
        </w:numPr>
        <w:tabs>
          <w:tab w:pos="730" w:val="left" w:leader="none"/>
        </w:tabs>
        <w:spacing w:line="266" w:lineRule="auto" w:before="117" w:after="0"/>
        <w:ind w:left="730" w:right="3770" w:hanging="360"/>
        <w:jc w:val="left"/>
        <w:rPr>
          <w:sz w:val="22"/>
        </w:rPr>
      </w:pPr>
      <w:r>
        <w:rPr>
          <w:sz w:val="22"/>
        </w:rPr>
        <w:t>Dr. S.K. Reddy </w:t>
      </w:r>
      <w:r>
        <w:rPr>
          <w:spacing w:val="-4"/>
          <w:sz w:val="22"/>
        </w:rPr>
        <w:t>AIIMS,</w:t>
      </w:r>
      <w:r>
        <w:rPr>
          <w:spacing w:val="-10"/>
          <w:sz w:val="22"/>
        </w:rPr>
        <w:t> </w:t>
      </w:r>
      <w:r>
        <w:rPr>
          <w:spacing w:val="-4"/>
          <w:sz w:val="22"/>
        </w:rPr>
        <w:t>New</w:t>
      </w:r>
      <w:r>
        <w:rPr>
          <w:spacing w:val="-10"/>
          <w:sz w:val="22"/>
        </w:rPr>
        <w:t> </w:t>
      </w:r>
      <w:r>
        <w:rPr>
          <w:spacing w:val="-4"/>
          <w:sz w:val="22"/>
        </w:rPr>
        <w:t>Delhi</w:t>
      </w:r>
    </w:p>
    <w:p>
      <w:pPr>
        <w:pStyle w:val="ListParagraph"/>
        <w:numPr>
          <w:ilvl w:val="0"/>
          <w:numId w:val="77"/>
        </w:numPr>
        <w:tabs>
          <w:tab w:pos="729" w:val="left" w:leader="none"/>
        </w:tabs>
        <w:spacing w:line="240" w:lineRule="auto" w:before="88" w:after="0"/>
        <w:ind w:left="729" w:right="0" w:hanging="359"/>
        <w:jc w:val="left"/>
        <w:rPr>
          <w:sz w:val="22"/>
        </w:rPr>
      </w:pPr>
      <w:r>
        <w:rPr>
          <w:spacing w:val="-2"/>
          <w:sz w:val="22"/>
        </w:rPr>
        <w:t>Dr.</w:t>
      </w:r>
      <w:r>
        <w:rPr>
          <w:spacing w:val="-10"/>
          <w:sz w:val="22"/>
        </w:rPr>
        <w:t> </w:t>
      </w:r>
      <w:r>
        <w:rPr>
          <w:spacing w:val="-2"/>
          <w:sz w:val="22"/>
        </w:rPr>
        <w:t>S.K.</w:t>
      </w:r>
      <w:r>
        <w:rPr>
          <w:spacing w:val="-9"/>
          <w:sz w:val="22"/>
        </w:rPr>
        <w:t> </w:t>
      </w:r>
      <w:r>
        <w:rPr>
          <w:spacing w:val="-2"/>
          <w:sz w:val="22"/>
        </w:rPr>
        <w:t>Sarin</w:t>
      </w:r>
    </w:p>
    <w:p>
      <w:pPr>
        <w:pStyle w:val="BodyText"/>
        <w:spacing w:before="27"/>
        <w:ind w:left="730"/>
      </w:pPr>
      <w:r>
        <w:rPr>
          <w:spacing w:val="-2"/>
        </w:rPr>
        <w:t>G.B.</w:t>
      </w:r>
      <w:r>
        <w:rPr>
          <w:spacing w:val="-6"/>
        </w:rPr>
        <w:t> </w:t>
      </w:r>
      <w:r>
        <w:rPr>
          <w:spacing w:val="-2"/>
        </w:rPr>
        <w:t>Pant</w:t>
      </w:r>
      <w:r>
        <w:rPr>
          <w:spacing w:val="-4"/>
        </w:rPr>
        <w:t> </w:t>
      </w:r>
      <w:r>
        <w:rPr>
          <w:spacing w:val="-2"/>
        </w:rPr>
        <w:t>Hospital,</w:t>
      </w:r>
      <w:r>
        <w:rPr>
          <w:spacing w:val="-4"/>
        </w:rPr>
        <w:t> </w:t>
      </w:r>
      <w:r>
        <w:rPr>
          <w:spacing w:val="-2"/>
        </w:rPr>
        <w:t>New</w:t>
      </w:r>
      <w:r>
        <w:rPr>
          <w:spacing w:val="-3"/>
        </w:rPr>
        <w:t> </w:t>
      </w:r>
      <w:r>
        <w:rPr>
          <w:spacing w:val="-2"/>
        </w:rPr>
        <w:t>Delhi</w:t>
      </w:r>
    </w:p>
    <w:p>
      <w:pPr>
        <w:pStyle w:val="ListParagraph"/>
        <w:numPr>
          <w:ilvl w:val="0"/>
          <w:numId w:val="77"/>
        </w:numPr>
        <w:tabs>
          <w:tab w:pos="729" w:val="left" w:leader="none"/>
        </w:tabs>
        <w:spacing w:line="240" w:lineRule="auto" w:before="117" w:after="0"/>
        <w:ind w:left="729" w:right="0" w:hanging="359"/>
        <w:jc w:val="left"/>
        <w:rPr>
          <w:sz w:val="22"/>
        </w:rPr>
      </w:pPr>
      <w:r>
        <w:rPr>
          <w:sz w:val="22"/>
        </w:rPr>
        <w:t>Dr.</w:t>
      </w:r>
      <w:r>
        <w:rPr>
          <w:spacing w:val="2"/>
          <w:sz w:val="22"/>
        </w:rPr>
        <w:t> </w:t>
      </w:r>
      <w:r>
        <w:rPr>
          <w:sz w:val="22"/>
        </w:rPr>
        <w:t>D.</w:t>
      </w:r>
      <w:r>
        <w:rPr>
          <w:spacing w:val="3"/>
          <w:sz w:val="22"/>
        </w:rPr>
        <w:t> </w:t>
      </w:r>
      <w:r>
        <w:rPr>
          <w:spacing w:val="-2"/>
          <w:sz w:val="22"/>
        </w:rPr>
        <w:t>Shetty</w:t>
      </w:r>
    </w:p>
    <w:p>
      <w:pPr>
        <w:pStyle w:val="BodyText"/>
        <w:spacing w:before="27"/>
        <w:ind w:left="730"/>
      </w:pPr>
      <w:r>
        <w:rPr>
          <w:spacing w:val="-4"/>
        </w:rPr>
        <w:t>Narayana</w:t>
      </w:r>
      <w:r>
        <w:rPr>
          <w:spacing w:val="-6"/>
        </w:rPr>
        <w:t> </w:t>
      </w:r>
      <w:r>
        <w:rPr>
          <w:spacing w:val="-4"/>
        </w:rPr>
        <w:t>Hrudayalaya,</w:t>
      </w:r>
      <w:r>
        <w:rPr>
          <w:spacing w:val="-6"/>
        </w:rPr>
        <w:t> </w:t>
      </w:r>
      <w:r>
        <w:rPr>
          <w:spacing w:val="-4"/>
        </w:rPr>
        <w:t>Bangalore</w:t>
      </w:r>
    </w:p>
    <w:p>
      <w:pPr>
        <w:pStyle w:val="ListParagraph"/>
        <w:numPr>
          <w:ilvl w:val="0"/>
          <w:numId w:val="77"/>
        </w:numPr>
        <w:tabs>
          <w:tab w:pos="730" w:val="left" w:leader="none"/>
        </w:tabs>
        <w:spacing w:line="266" w:lineRule="auto" w:before="117" w:after="0"/>
        <w:ind w:left="730" w:right="3457" w:hanging="360"/>
        <w:jc w:val="left"/>
        <w:rPr>
          <w:sz w:val="22"/>
        </w:rPr>
      </w:pPr>
      <w:r>
        <w:rPr>
          <w:sz w:val="22"/>
        </w:rPr>
        <w:t>Dr. K.K. Talwar </w:t>
      </w:r>
      <w:r>
        <w:rPr>
          <w:spacing w:val="-2"/>
          <w:sz w:val="22"/>
        </w:rPr>
        <w:t>PGIMER,</w:t>
      </w:r>
      <w:r>
        <w:rPr>
          <w:spacing w:val="-12"/>
          <w:sz w:val="22"/>
        </w:rPr>
        <w:t> </w:t>
      </w:r>
      <w:r>
        <w:rPr>
          <w:spacing w:val="-2"/>
          <w:sz w:val="22"/>
        </w:rPr>
        <w:t>Chandigarh</w:t>
      </w:r>
    </w:p>
    <w:p>
      <w:pPr>
        <w:pStyle w:val="ListParagraph"/>
        <w:numPr>
          <w:ilvl w:val="0"/>
          <w:numId w:val="77"/>
        </w:numPr>
        <w:tabs>
          <w:tab w:pos="729" w:val="left" w:leader="none"/>
        </w:tabs>
        <w:spacing w:line="240" w:lineRule="auto" w:before="89" w:after="0"/>
        <w:ind w:left="729" w:right="0" w:hanging="359"/>
        <w:jc w:val="left"/>
        <w:rPr>
          <w:sz w:val="22"/>
        </w:rPr>
      </w:pPr>
      <w:r>
        <w:rPr>
          <w:spacing w:val="-4"/>
          <w:sz w:val="22"/>
        </w:rPr>
        <w:t>Dr.</w:t>
      </w:r>
      <w:r>
        <w:rPr>
          <w:spacing w:val="-9"/>
          <w:sz w:val="22"/>
        </w:rPr>
        <w:t> </w:t>
      </w:r>
      <w:r>
        <w:rPr>
          <w:spacing w:val="-4"/>
          <w:sz w:val="22"/>
        </w:rPr>
        <w:t>P.N.</w:t>
      </w:r>
      <w:r>
        <w:rPr>
          <w:spacing w:val="-10"/>
          <w:sz w:val="22"/>
        </w:rPr>
        <w:t> </w:t>
      </w:r>
      <w:r>
        <w:rPr>
          <w:spacing w:val="-4"/>
          <w:sz w:val="22"/>
        </w:rPr>
        <w:t>Tandon</w:t>
      </w:r>
    </w:p>
    <w:p>
      <w:pPr>
        <w:pStyle w:val="BodyText"/>
        <w:spacing w:before="27"/>
        <w:ind w:left="730"/>
      </w:pPr>
      <w:r>
        <w:rPr>
          <w:spacing w:val="-4"/>
        </w:rPr>
        <w:t>National</w:t>
      </w:r>
      <w:r>
        <w:rPr>
          <w:spacing w:val="-2"/>
        </w:rPr>
        <w:t> </w:t>
      </w:r>
      <w:r>
        <w:rPr>
          <w:spacing w:val="-4"/>
        </w:rPr>
        <w:t>Brain</w:t>
      </w:r>
      <w:r>
        <w:rPr>
          <w:spacing w:val="-2"/>
        </w:rPr>
        <w:t> </w:t>
      </w:r>
      <w:r>
        <w:rPr>
          <w:spacing w:val="-4"/>
        </w:rPr>
        <w:t>Research</w:t>
      </w:r>
      <w:r>
        <w:rPr>
          <w:spacing w:val="-2"/>
        </w:rPr>
        <w:t> </w:t>
      </w:r>
      <w:r>
        <w:rPr>
          <w:spacing w:val="-4"/>
        </w:rPr>
        <w:t>Centre,</w:t>
      </w:r>
      <w:r>
        <w:rPr>
          <w:spacing w:val="-2"/>
        </w:rPr>
        <w:t> </w:t>
      </w:r>
      <w:r>
        <w:rPr>
          <w:spacing w:val="-4"/>
        </w:rPr>
        <w:t>Haryana</w:t>
      </w:r>
    </w:p>
    <w:p>
      <w:pPr>
        <w:pStyle w:val="ListParagraph"/>
        <w:numPr>
          <w:ilvl w:val="0"/>
          <w:numId w:val="77"/>
        </w:numPr>
        <w:tabs>
          <w:tab w:pos="730" w:val="left" w:leader="none"/>
        </w:tabs>
        <w:spacing w:line="266" w:lineRule="auto" w:before="117" w:after="0"/>
        <w:ind w:left="730" w:right="3798" w:hanging="360"/>
        <w:jc w:val="left"/>
        <w:rPr>
          <w:sz w:val="22"/>
        </w:rPr>
      </w:pPr>
      <w:r>
        <w:rPr>
          <w:spacing w:val="-4"/>
          <w:sz w:val="22"/>
        </w:rPr>
        <w:t>Dr.</w:t>
      </w:r>
      <w:r>
        <w:rPr>
          <w:spacing w:val="-10"/>
          <w:sz w:val="22"/>
        </w:rPr>
        <w:t> </w:t>
      </w:r>
      <w:r>
        <w:rPr>
          <w:spacing w:val="-4"/>
          <w:sz w:val="22"/>
        </w:rPr>
        <w:t>M.S.</w:t>
      </w:r>
      <w:r>
        <w:rPr>
          <w:spacing w:val="-10"/>
          <w:sz w:val="22"/>
        </w:rPr>
        <w:t> </w:t>
      </w:r>
      <w:r>
        <w:rPr>
          <w:spacing w:val="-4"/>
          <w:sz w:val="22"/>
        </w:rPr>
        <w:t>Valiathan INSA</w:t>
      </w:r>
    </w:p>
    <w:p>
      <w:pPr>
        <w:pStyle w:val="BodyText"/>
        <w:spacing w:before="12"/>
      </w:pPr>
    </w:p>
    <w:p>
      <w:pPr>
        <w:pStyle w:val="Heading6"/>
        <w:ind w:left="370" w:firstLine="0"/>
      </w:pPr>
      <w:r>
        <w:rPr>
          <w:color w:val="2E614A"/>
          <w:w w:val="90"/>
        </w:rPr>
        <w:t>Management</w:t>
      </w:r>
      <w:r>
        <w:rPr>
          <w:color w:val="2E614A"/>
          <w:spacing w:val="48"/>
        </w:rPr>
        <w:t> </w:t>
      </w:r>
      <w:r>
        <w:rPr>
          <w:color w:val="2E614A"/>
          <w:spacing w:val="-2"/>
        </w:rPr>
        <w:t>Education</w:t>
      </w:r>
    </w:p>
    <w:p>
      <w:pPr>
        <w:pStyle w:val="ListParagraph"/>
        <w:numPr>
          <w:ilvl w:val="0"/>
          <w:numId w:val="78"/>
        </w:numPr>
        <w:tabs>
          <w:tab w:pos="730" w:val="left" w:leader="none"/>
        </w:tabs>
        <w:spacing w:line="266" w:lineRule="auto" w:before="285" w:after="0"/>
        <w:ind w:left="730" w:right="4114" w:hanging="360"/>
        <w:jc w:val="left"/>
        <w:rPr>
          <w:sz w:val="22"/>
        </w:rPr>
      </w:pPr>
      <w:r>
        <w:rPr>
          <w:spacing w:val="-6"/>
          <w:sz w:val="22"/>
        </w:rPr>
        <w:t>Mr.</w:t>
      </w:r>
      <w:r>
        <w:rPr>
          <w:spacing w:val="-8"/>
          <w:sz w:val="22"/>
        </w:rPr>
        <w:t> </w:t>
      </w:r>
      <w:r>
        <w:rPr>
          <w:spacing w:val="-6"/>
          <w:sz w:val="22"/>
        </w:rPr>
        <w:t>P.M.</w:t>
      </w:r>
      <w:r>
        <w:rPr>
          <w:spacing w:val="-8"/>
          <w:sz w:val="22"/>
        </w:rPr>
        <w:t> </w:t>
      </w:r>
      <w:r>
        <w:rPr>
          <w:spacing w:val="-6"/>
          <w:sz w:val="22"/>
        </w:rPr>
        <w:t>Sinha </w:t>
      </w:r>
      <w:r>
        <w:rPr>
          <w:sz w:val="22"/>
        </w:rPr>
        <w:t>Pepsi India</w:t>
      </w:r>
    </w:p>
    <w:p>
      <w:pPr>
        <w:pStyle w:val="ListParagraph"/>
        <w:numPr>
          <w:ilvl w:val="0"/>
          <w:numId w:val="78"/>
        </w:numPr>
        <w:tabs>
          <w:tab w:pos="730" w:val="left" w:leader="none"/>
        </w:tabs>
        <w:spacing w:line="266" w:lineRule="auto" w:before="88" w:after="0"/>
        <w:ind w:left="730" w:right="3788" w:hanging="360"/>
        <w:jc w:val="left"/>
        <w:rPr>
          <w:sz w:val="22"/>
        </w:rPr>
      </w:pPr>
      <w:r>
        <w:rPr>
          <w:spacing w:val="-8"/>
          <w:sz w:val="22"/>
        </w:rPr>
        <w:t>Prof.</w:t>
      </w:r>
      <w:r>
        <w:rPr>
          <w:spacing w:val="-6"/>
          <w:sz w:val="22"/>
        </w:rPr>
        <w:t> </w:t>
      </w:r>
      <w:r>
        <w:rPr>
          <w:spacing w:val="-8"/>
          <w:sz w:val="22"/>
        </w:rPr>
        <w:t>Amitava</w:t>
      </w:r>
      <w:r>
        <w:rPr>
          <w:spacing w:val="-6"/>
          <w:sz w:val="22"/>
        </w:rPr>
        <w:t> </w:t>
      </w:r>
      <w:r>
        <w:rPr>
          <w:spacing w:val="-8"/>
          <w:sz w:val="22"/>
        </w:rPr>
        <w:t>Bose </w:t>
      </w:r>
      <w:r>
        <w:rPr>
          <w:sz w:val="22"/>
        </w:rPr>
        <w:t>IIM, Kolkata</w:t>
      </w:r>
    </w:p>
    <w:p>
      <w:pPr>
        <w:pStyle w:val="ListParagraph"/>
        <w:numPr>
          <w:ilvl w:val="0"/>
          <w:numId w:val="78"/>
        </w:numPr>
        <w:tabs>
          <w:tab w:pos="730" w:val="left" w:leader="none"/>
        </w:tabs>
        <w:spacing w:line="266" w:lineRule="auto" w:before="89" w:after="0"/>
        <w:ind w:left="730" w:right="3929" w:hanging="360"/>
        <w:jc w:val="left"/>
        <w:rPr>
          <w:sz w:val="22"/>
        </w:rPr>
      </w:pPr>
      <w:r>
        <w:rPr>
          <w:sz w:val="22"/>
        </w:rPr>
        <w:t>Prof. Jahar Saha </w:t>
      </w:r>
      <w:r>
        <w:rPr>
          <w:spacing w:val="-2"/>
          <w:sz w:val="22"/>
        </w:rPr>
        <w:t>IIM,</w:t>
      </w:r>
      <w:r>
        <w:rPr>
          <w:spacing w:val="-12"/>
          <w:sz w:val="22"/>
        </w:rPr>
        <w:t> </w:t>
      </w:r>
      <w:r>
        <w:rPr>
          <w:spacing w:val="-2"/>
          <w:sz w:val="22"/>
        </w:rPr>
        <w:t>Ahmedabad</w:t>
      </w:r>
    </w:p>
    <w:p>
      <w:pPr>
        <w:spacing w:after="0" w:line="266" w:lineRule="auto"/>
        <w:jc w:val="left"/>
        <w:rPr>
          <w:sz w:val="22"/>
        </w:rPr>
        <w:sectPr>
          <w:pgSz w:w="11910" w:h="16840"/>
          <w:pgMar w:header="0" w:footer="675" w:top="940" w:bottom="860" w:left="0" w:right="0"/>
          <w:cols w:num="2" w:equalWidth="0">
            <w:col w:w="5723" w:space="40"/>
            <w:col w:w="6147"/>
          </w:cols>
        </w:sectPr>
      </w:pPr>
    </w:p>
    <w:p>
      <w:pPr>
        <w:pStyle w:val="ListParagraph"/>
        <w:numPr>
          <w:ilvl w:val="0"/>
          <w:numId w:val="78"/>
        </w:numPr>
        <w:tabs>
          <w:tab w:pos="1439" w:val="left" w:leader="none"/>
        </w:tabs>
        <w:spacing w:line="266" w:lineRule="auto" w:before="57" w:after="0"/>
        <w:ind w:left="1439" w:right="2572" w:hanging="360"/>
        <w:jc w:val="left"/>
        <w:rPr>
          <w:sz w:val="22"/>
        </w:rPr>
      </w:pPr>
      <w:r>
        <w:rPr>
          <w:spacing w:val="-4"/>
          <w:sz w:val="22"/>
        </w:rPr>
        <w:t>Prof.</w:t>
      </w:r>
      <w:r>
        <w:rPr>
          <w:spacing w:val="-10"/>
          <w:sz w:val="22"/>
        </w:rPr>
        <w:t> </w:t>
      </w:r>
      <w:r>
        <w:rPr>
          <w:spacing w:val="-4"/>
          <w:sz w:val="22"/>
        </w:rPr>
        <w:t>K.R.S.</w:t>
      </w:r>
      <w:r>
        <w:rPr>
          <w:spacing w:val="-10"/>
          <w:sz w:val="22"/>
        </w:rPr>
        <w:t> </w:t>
      </w:r>
      <w:r>
        <w:rPr>
          <w:spacing w:val="-4"/>
          <w:sz w:val="22"/>
        </w:rPr>
        <w:t>Murthy </w:t>
      </w:r>
      <w:r>
        <w:rPr>
          <w:sz w:val="22"/>
        </w:rPr>
        <w:t>IIM, Bangalore</w:t>
      </w:r>
    </w:p>
    <w:p>
      <w:pPr>
        <w:pStyle w:val="ListParagraph"/>
        <w:numPr>
          <w:ilvl w:val="0"/>
          <w:numId w:val="78"/>
        </w:numPr>
        <w:tabs>
          <w:tab w:pos="1439" w:val="left" w:leader="none"/>
        </w:tabs>
        <w:spacing w:line="240" w:lineRule="auto" w:before="89" w:after="0"/>
        <w:ind w:left="1439" w:right="0" w:hanging="359"/>
        <w:jc w:val="left"/>
        <w:rPr>
          <w:sz w:val="22"/>
        </w:rPr>
      </w:pPr>
      <w:r>
        <w:rPr>
          <w:spacing w:val="-2"/>
          <w:sz w:val="22"/>
        </w:rPr>
        <w:t>Dr.</w:t>
      </w:r>
      <w:r>
        <w:rPr>
          <w:spacing w:val="-5"/>
          <w:sz w:val="22"/>
        </w:rPr>
        <w:t> </w:t>
      </w:r>
      <w:r>
        <w:rPr>
          <w:spacing w:val="-2"/>
          <w:sz w:val="22"/>
        </w:rPr>
        <w:t>Nachiket</w:t>
      </w:r>
      <w:r>
        <w:rPr>
          <w:spacing w:val="-5"/>
          <w:sz w:val="22"/>
        </w:rPr>
        <w:t> Mor</w:t>
      </w:r>
    </w:p>
    <w:p>
      <w:pPr>
        <w:pStyle w:val="BodyText"/>
        <w:spacing w:before="27"/>
        <w:ind w:left="1439"/>
      </w:pPr>
      <w:r>
        <w:rPr>
          <w:spacing w:val="-2"/>
        </w:rPr>
        <w:t>Dy.</w:t>
      </w:r>
      <w:r>
        <w:rPr>
          <w:spacing w:val="-9"/>
        </w:rPr>
        <w:t> </w:t>
      </w:r>
      <w:r>
        <w:rPr>
          <w:spacing w:val="-2"/>
        </w:rPr>
        <w:t>Managing</w:t>
      </w:r>
      <w:r>
        <w:rPr>
          <w:spacing w:val="-9"/>
        </w:rPr>
        <w:t> </w:t>
      </w:r>
      <w:r>
        <w:rPr>
          <w:spacing w:val="-2"/>
        </w:rPr>
        <w:t>Director,</w:t>
      </w:r>
      <w:r>
        <w:rPr>
          <w:spacing w:val="-8"/>
        </w:rPr>
        <w:t> </w:t>
      </w:r>
      <w:r>
        <w:rPr>
          <w:spacing w:val="-2"/>
        </w:rPr>
        <w:t>ICICI</w:t>
      </w:r>
      <w:r>
        <w:rPr>
          <w:spacing w:val="-9"/>
        </w:rPr>
        <w:t> </w:t>
      </w:r>
      <w:r>
        <w:rPr>
          <w:spacing w:val="-2"/>
        </w:rPr>
        <w:t>Bank,</w:t>
      </w:r>
      <w:r>
        <w:rPr>
          <w:spacing w:val="-8"/>
        </w:rPr>
        <w:t> </w:t>
      </w:r>
      <w:r>
        <w:rPr>
          <w:spacing w:val="-2"/>
        </w:rPr>
        <w:t>Mumbai</w:t>
      </w:r>
    </w:p>
    <w:p>
      <w:pPr>
        <w:pStyle w:val="ListParagraph"/>
        <w:numPr>
          <w:ilvl w:val="0"/>
          <w:numId w:val="78"/>
        </w:numPr>
        <w:tabs>
          <w:tab w:pos="1439" w:val="left" w:leader="none"/>
        </w:tabs>
        <w:spacing w:line="240" w:lineRule="auto" w:before="117" w:after="0"/>
        <w:ind w:left="1439" w:right="0" w:hanging="359"/>
        <w:jc w:val="left"/>
        <w:rPr>
          <w:sz w:val="22"/>
        </w:rPr>
      </w:pPr>
      <w:r>
        <w:rPr>
          <w:sz w:val="22"/>
        </w:rPr>
        <w:t>Mr.</w:t>
      </w:r>
      <w:r>
        <w:rPr>
          <w:spacing w:val="-9"/>
          <w:sz w:val="22"/>
        </w:rPr>
        <w:t> </w:t>
      </w:r>
      <w:r>
        <w:rPr>
          <w:sz w:val="22"/>
        </w:rPr>
        <w:t>R.</w:t>
      </w:r>
      <w:r>
        <w:rPr>
          <w:spacing w:val="-9"/>
          <w:sz w:val="22"/>
        </w:rPr>
        <w:t> </w:t>
      </w:r>
      <w:r>
        <w:rPr>
          <w:spacing w:val="-2"/>
          <w:sz w:val="22"/>
        </w:rPr>
        <w:t>Gopalkrishnan</w:t>
      </w:r>
    </w:p>
    <w:p>
      <w:pPr>
        <w:pStyle w:val="BodyText"/>
        <w:spacing w:before="27"/>
        <w:ind w:left="1439"/>
      </w:pPr>
      <w:r>
        <w:rPr>
          <w:spacing w:val="-6"/>
        </w:rPr>
        <w:t>Executive</w:t>
      </w:r>
      <w:r>
        <w:rPr>
          <w:spacing w:val="-1"/>
        </w:rPr>
        <w:t> </w:t>
      </w:r>
      <w:r>
        <w:rPr>
          <w:spacing w:val="-6"/>
        </w:rPr>
        <w:t>Director,</w:t>
      </w:r>
      <w:r>
        <w:rPr>
          <w:spacing w:val="-10"/>
        </w:rPr>
        <w:t> </w:t>
      </w:r>
      <w:r>
        <w:rPr>
          <w:spacing w:val="-6"/>
        </w:rPr>
        <w:t>Tata</w:t>
      </w:r>
      <w:r>
        <w:rPr/>
        <w:t> </w:t>
      </w:r>
      <w:r>
        <w:rPr>
          <w:spacing w:val="-6"/>
        </w:rPr>
        <w:t>Sons,</w:t>
      </w:r>
      <w:r>
        <w:rPr/>
        <w:t> </w:t>
      </w:r>
      <w:r>
        <w:rPr>
          <w:spacing w:val="-6"/>
        </w:rPr>
        <w:t>Mumbai</w:t>
      </w:r>
    </w:p>
    <w:p>
      <w:pPr>
        <w:pStyle w:val="BodyText"/>
        <w:spacing w:before="130"/>
      </w:pPr>
    </w:p>
    <w:p>
      <w:pPr>
        <w:pStyle w:val="Heading6"/>
        <w:ind w:left="1080" w:firstLine="0"/>
      </w:pPr>
      <w:r>
        <w:rPr>
          <w:color w:val="2E614A"/>
          <w:w w:val="90"/>
        </w:rPr>
        <w:t>Engineering</w:t>
      </w:r>
      <w:r>
        <w:rPr>
          <w:color w:val="2E614A"/>
          <w:spacing w:val="26"/>
        </w:rPr>
        <w:t> </w:t>
      </w:r>
      <w:r>
        <w:rPr>
          <w:color w:val="2E614A"/>
          <w:spacing w:val="-2"/>
        </w:rPr>
        <w:t>Education</w:t>
      </w:r>
    </w:p>
    <w:p>
      <w:pPr>
        <w:pStyle w:val="ListParagraph"/>
        <w:numPr>
          <w:ilvl w:val="0"/>
          <w:numId w:val="79"/>
        </w:numPr>
        <w:tabs>
          <w:tab w:pos="1439" w:val="left" w:leader="none"/>
        </w:tabs>
        <w:spacing w:line="240" w:lineRule="auto" w:before="286" w:after="0"/>
        <w:ind w:left="1439" w:right="0" w:hanging="359"/>
        <w:jc w:val="left"/>
        <w:rPr>
          <w:sz w:val="22"/>
        </w:rPr>
      </w:pPr>
      <w:r>
        <w:rPr>
          <w:spacing w:val="-6"/>
          <w:sz w:val="22"/>
        </w:rPr>
        <w:t>Professor</w:t>
      </w:r>
      <w:r>
        <w:rPr>
          <w:spacing w:val="-3"/>
          <w:sz w:val="22"/>
        </w:rPr>
        <w:t> </w:t>
      </w:r>
      <w:r>
        <w:rPr>
          <w:spacing w:val="-6"/>
          <w:sz w:val="22"/>
        </w:rPr>
        <w:t>M.S.</w:t>
      </w:r>
      <w:r>
        <w:rPr>
          <w:spacing w:val="-2"/>
          <w:sz w:val="22"/>
        </w:rPr>
        <w:t> </w:t>
      </w:r>
      <w:r>
        <w:rPr>
          <w:spacing w:val="-6"/>
          <w:sz w:val="22"/>
        </w:rPr>
        <w:t>Ananth</w:t>
      </w:r>
    </w:p>
    <w:p>
      <w:pPr>
        <w:pStyle w:val="BodyText"/>
        <w:spacing w:before="27"/>
        <w:ind w:left="1439"/>
      </w:pPr>
      <w:r>
        <w:rPr>
          <w:spacing w:val="-4"/>
        </w:rPr>
        <w:t>Director,</w:t>
      </w:r>
      <w:r>
        <w:rPr>
          <w:spacing w:val="2"/>
        </w:rPr>
        <w:t> </w:t>
      </w:r>
      <w:r>
        <w:rPr>
          <w:spacing w:val="-4"/>
        </w:rPr>
        <w:t>Indian</w:t>
      </w:r>
      <w:r>
        <w:rPr>
          <w:spacing w:val="3"/>
        </w:rPr>
        <w:t> </w:t>
      </w:r>
      <w:r>
        <w:rPr>
          <w:spacing w:val="-4"/>
        </w:rPr>
        <w:t>Institute</w:t>
      </w:r>
      <w:r>
        <w:rPr>
          <w:spacing w:val="3"/>
        </w:rPr>
        <w:t> </w:t>
      </w:r>
      <w:r>
        <w:rPr>
          <w:spacing w:val="-4"/>
        </w:rPr>
        <w:t>of</w:t>
      </w:r>
      <w:r>
        <w:rPr>
          <w:spacing w:val="-8"/>
        </w:rPr>
        <w:t> </w:t>
      </w:r>
      <w:r>
        <w:rPr>
          <w:spacing w:val="-4"/>
        </w:rPr>
        <w:t>Technology</w:t>
      </w:r>
      <w:r>
        <w:rPr>
          <w:spacing w:val="3"/>
        </w:rPr>
        <w:t> </w:t>
      </w:r>
      <w:r>
        <w:rPr>
          <w:spacing w:val="-4"/>
        </w:rPr>
        <w:t>Madras</w:t>
      </w:r>
    </w:p>
    <w:p>
      <w:pPr>
        <w:pStyle w:val="ListParagraph"/>
        <w:numPr>
          <w:ilvl w:val="0"/>
          <w:numId w:val="79"/>
        </w:numPr>
        <w:tabs>
          <w:tab w:pos="1439" w:val="left" w:leader="none"/>
        </w:tabs>
        <w:spacing w:line="240" w:lineRule="auto" w:before="117" w:after="0"/>
        <w:ind w:left="1439" w:right="0" w:hanging="359"/>
        <w:jc w:val="left"/>
        <w:rPr>
          <w:sz w:val="22"/>
        </w:rPr>
      </w:pPr>
      <w:r>
        <w:rPr>
          <w:w w:val="90"/>
          <w:sz w:val="22"/>
        </w:rPr>
        <w:t>Professor</w:t>
      </w:r>
      <w:r>
        <w:rPr>
          <w:spacing w:val="10"/>
          <w:sz w:val="22"/>
        </w:rPr>
        <w:t> </w:t>
      </w:r>
      <w:r>
        <w:rPr>
          <w:w w:val="90"/>
          <w:sz w:val="22"/>
        </w:rPr>
        <w:t>Anil</w:t>
      </w:r>
      <w:r>
        <w:rPr>
          <w:spacing w:val="11"/>
          <w:sz w:val="22"/>
        </w:rPr>
        <w:t> </w:t>
      </w:r>
      <w:r>
        <w:rPr>
          <w:spacing w:val="-2"/>
          <w:w w:val="90"/>
          <w:sz w:val="22"/>
        </w:rPr>
        <w:t>Marathe</w:t>
      </w:r>
    </w:p>
    <w:p>
      <w:pPr>
        <w:pStyle w:val="BodyText"/>
        <w:spacing w:before="27"/>
        <w:ind w:left="1439"/>
      </w:pPr>
      <w:r>
        <w:rPr>
          <w:spacing w:val="-4"/>
        </w:rPr>
        <w:t>Indian</w:t>
      </w:r>
      <w:r>
        <w:rPr>
          <w:spacing w:val="2"/>
        </w:rPr>
        <w:t> </w:t>
      </w:r>
      <w:r>
        <w:rPr>
          <w:spacing w:val="-4"/>
        </w:rPr>
        <w:t>Institute</w:t>
      </w:r>
      <w:r>
        <w:rPr>
          <w:spacing w:val="2"/>
        </w:rPr>
        <w:t> </w:t>
      </w:r>
      <w:r>
        <w:rPr>
          <w:spacing w:val="-4"/>
        </w:rPr>
        <w:t>of</w:t>
      </w:r>
      <w:r>
        <w:rPr>
          <w:spacing w:val="-9"/>
        </w:rPr>
        <w:t> </w:t>
      </w:r>
      <w:r>
        <w:rPr>
          <w:spacing w:val="-4"/>
        </w:rPr>
        <w:t>Technology</w:t>
      </w:r>
      <w:r>
        <w:rPr>
          <w:spacing w:val="3"/>
        </w:rPr>
        <w:t> </w:t>
      </w:r>
      <w:r>
        <w:rPr>
          <w:spacing w:val="-4"/>
        </w:rPr>
        <w:t>Bombay</w:t>
      </w:r>
    </w:p>
    <w:p>
      <w:pPr>
        <w:pStyle w:val="ListParagraph"/>
        <w:numPr>
          <w:ilvl w:val="0"/>
          <w:numId w:val="79"/>
        </w:numPr>
        <w:tabs>
          <w:tab w:pos="1439" w:val="left" w:leader="none"/>
        </w:tabs>
        <w:spacing w:line="240" w:lineRule="auto" w:before="117" w:after="0"/>
        <w:ind w:left="1439" w:right="0" w:hanging="359"/>
        <w:jc w:val="left"/>
        <w:rPr>
          <w:sz w:val="22"/>
        </w:rPr>
      </w:pPr>
      <w:r>
        <w:rPr>
          <w:w w:val="90"/>
          <w:sz w:val="22"/>
        </w:rPr>
        <w:t>Professor</w:t>
      </w:r>
      <w:r>
        <w:rPr>
          <w:spacing w:val="17"/>
          <w:sz w:val="22"/>
        </w:rPr>
        <w:t> </w:t>
      </w:r>
      <w:r>
        <w:rPr>
          <w:w w:val="90"/>
          <w:sz w:val="22"/>
        </w:rPr>
        <w:t>Ashok</w:t>
      </w:r>
      <w:r>
        <w:rPr>
          <w:spacing w:val="3"/>
          <w:sz w:val="22"/>
        </w:rPr>
        <w:t> </w:t>
      </w:r>
      <w:r>
        <w:rPr>
          <w:spacing w:val="-2"/>
          <w:w w:val="90"/>
          <w:sz w:val="22"/>
        </w:rPr>
        <w:t>Thakur</w:t>
      </w:r>
    </w:p>
    <w:p>
      <w:pPr>
        <w:pStyle w:val="BodyText"/>
        <w:spacing w:line="266" w:lineRule="auto" w:before="27"/>
        <w:ind w:left="1439" w:right="1792"/>
      </w:pPr>
      <w:r>
        <w:rPr>
          <w:spacing w:val="-6"/>
        </w:rPr>
        <w:t>Vice</w:t>
      </w:r>
      <w:r>
        <w:rPr>
          <w:spacing w:val="-8"/>
        </w:rPr>
        <w:t> </w:t>
      </w:r>
      <w:r>
        <w:rPr>
          <w:spacing w:val="-6"/>
        </w:rPr>
        <w:t>Chancellor,</w:t>
      </w:r>
      <w:r>
        <w:rPr>
          <w:spacing w:val="-8"/>
        </w:rPr>
        <w:t> </w:t>
      </w:r>
      <w:r>
        <w:rPr>
          <w:spacing w:val="-6"/>
        </w:rPr>
        <w:t>West</w:t>
      </w:r>
      <w:r>
        <w:rPr>
          <w:spacing w:val="-8"/>
        </w:rPr>
        <w:t> </w:t>
      </w:r>
      <w:r>
        <w:rPr>
          <w:spacing w:val="-6"/>
        </w:rPr>
        <w:t>Bengal </w:t>
      </w:r>
      <w:r>
        <w:rPr/>
        <w:t>Technical University</w:t>
      </w:r>
    </w:p>
    <w:p>
      <w:pPr>
        <w:pStyle w:val="ListParagraph"/>
        <w:numPr>
          <w:ilvl w:val="0"/>
          <w:numId w:val="79"/>
        </w:numPr>
        <w:tabs>
          <w:tab w:pos="1439" w:val="left" w:leader="none"/>
        </w:tabs>
        <w:spacing w:line="240" w:lineRule="auto" w:before="88" w:after="0"/>
        <w:ind w:left="1439" w:right="0" w:hanging="359"/>
        <w:jc w:val="left"/>
        <w:rPr>
          <w:sz w:val="22"/>
        </w:rPr>
      </w:pPr>
      <w:r>
        <w:rPr>
          <w:w w:val="90"/>
          <w:sz w:val="22"/>
        </w:rPr>
        <w:t>Professor</w:t>
      </w:r>
      <w:r>
        <w:rPr>
          <w:spacing w:val="13"/>
          <w:sz w:val="22"/>
        </w:rPr>
        <w:t> </w:t>
      </w:r>
      <w:r>
        <w:rPr>
          <w:spacing w:val="-2"/>
          <w:w w:val="95"/>
          <w:sz w:val="22"/>
        </w:rPr>
        <w:t>Gokhale</w:t>
      </w:r>
    </w:p>
    <w:p>
      <w:pPr>
        <w:pStyle w:val="BodyText"/>
        <w:spacing w:before="27"/>
        <w:ind w:left="1439"/>
      </w:pPr>
      <w:r>
        <w:rPr>
          <w:spacing w:val="-4"/>
        </w:rPr>
        <w:t>Director,</w:t>
      </w:r>
      <w:r>
        <w:rPr>
          <w:spacing w:val="2"/>
        </w:rPr>
        <w:t> </w:t>
      </w:r>
      <w:r>
        <w:rPr>
          <w:spacing w:val="-4"/>
        </w:rPr>
        <w:t>National</w:t>
      </w:r>
      <w:r>
        <w:rPr>
          <w:spacing w:val="2"/>
        </w:rPr>
        <w:t> </w:t>
      </w:r>
      <w:r>
        <w:rPr>
          <w:spacing w:val="-4"/>
        </w:rPr>
        <w:t>Institute</w:t>
      </w:r>
      <w:r>
        <w:rPr>
          <w:spacing w:val="2"/>
        </w:rPr>
        <w:t> </w:t>
      </w:r>
      <w:r>
        <w:rPr>
          <w:spacing w:val="-4"/>
        </w:rPr>
        <w:t>of</w:t>
      </w:r>
      <w:r>
        <w:rPr>
          <w:spacing w:val="-8"/>
        </w:rPr>
        <w:t> </w:t>
      </w:r>
      <w:r>
        <w:rPr>
          <w:spacing w:val="-4"/>
        </w:rPr>
        <w:t>Technology</w:t>
      </w:r>
      <w:r>
        <w:rPr>
          <w:spacing w:val="2"/>
        </w:rPr>
        <w:t> </w:t>
      </w:r>
      <w:r>
        <w:rPr>
          <w:spacing w:val="-4"/>
        </w:rPr>
        <w:t>Nagpur</w:t>
      </w:r>
    </w:p>
    <w:p>
      <w:pPr>
        <w:pStyle w:val="ListParagraph"/>
        <w:numPr>
          <w:ilvl w:val="0"/>
          <w:numId w:val="79"/>
        </w:numPr>
        <w:tabs>
          <w:tab w:pos="1439" w:val="left" w:leader="none"/>
        </w:tabs>
        <w:spacing w:line="240" w:lineRule="auto" w:before="117" w:after="0"/>
        <w:ind w:left="1439" w:right="0" w:hanging="359"/>
        <w:jc w:val="left"/>
        <w:rPr>
          <w:sz w:val="22"/>
        </w:rPr>
      </w:pPr>
      <w:r>
        <w:rPr>
          <w:spacing w:val="-6"/>
          <w:sz w:val="22"/>
        </w:rPr>
        <w:t>Professor</w:t>
      </w:r>
      <w:r>
        <w:rPr>
          <w:spacing w:val="2"/>
          <w:sz w:val="22"/>
        </w:rPr>
        <w:t> </w:t>
      </w:r>
      <w:r>
        <w:rPr>
          <w:spacing w:val="-6"/>
          <w:sz w:val="22"/>
        </w:rPr>
        <w:t>S.N.</w:t>
      </w:r>
      <w:r>
        <w:rPr>
          <w:spacing w:val="2"/>
          <w:sz w:val="22"/>
        </w:rPr>
        <w:t> </w:t>
      </w:r>
      <w:r>
        <w:rPr>
          <w:spacing w:val="-6"/>
          <w:sz w:val="22"/>
        </w:rPr>
        <w:t>Maheshwari</w:t>
      </w:r>
    </w:p>
    <w:p>
      <w:pPr>
        <w:pStyle w:val="BodyText"/>
        <w:spacing w:before="27"/>
        <w:ind w:left="1439"/>
      </w:pPr>
      <w:r>
        <w:rPr>
          <w:spacing w:val="-4"/>
        </w:rPr>
        <w:t>Indian</w:t>
      </w:r>
      <w:r>
        <w:rPr>
          <w:spacing w:val="2"/>
        </w:rPr>
        <w:t> </w:t>
      </w:r>
      <w:r>
        <w:rPr>
          <w:spacing w:val="-4"/>
        </w:rPr>
        <w:t>Institute</w:t>
      </w:r>
      <w:r>
        <w:rPr>
          <w:spacing w:val="2"/>
        </w:rPr>
        <w:t> </w:t>
      </w:r>
      <w:r>
        <w:rPr>
          <w:spacing w:val="-4"/>
        </w:rPr>
        <w:t>of</w:t>
      </w:r>
      <w:r>
        <w:rPr>
          <w:spacing w:val="-9"/>
        </w:rPr>
        <w:t> </w:t>
      </w:r>
      <w:r>
        <w:rPr>
          <w:spacing w:val="-4"/>
        </w:rPr>
        <w:t>Technology</w:t>
      </w:r>
      <w:r>
        <w:rPr>
          <w:spacing w:val="3"/>
        </w:rPr>
        <w:t> </w:t>
      </w:r>
      <w:r>
        <w:rPr>
          <w:spacing w:val="-4"/>
        </w:rPr>
        <w:t>Delhi</w:t>
      </w:r>
    </w:p>
    <w:p>
      <w:pPr>
        <w:pStyle w:val="ListParagraph"/>
        <w:numPr>
          <w:ilvl w:val="0"/>
          <w:numId w:val="79"/>
        </w:numPr>
        <w:tabs>
          <w:tab w:pos="1439" w:val="left" w:leader="none"/>
        </w:tabs>
        <w:spacing w:line="240" w:lineRule="auto" w:before="117" w:after="0"/>
        <w:ind w:left="1439" w:right="0" w:hanging="359"/>
        <w:jc w:val="left"/>
        <w:rPr>
          <w:sz w:val="22"/>
        </w:rPr>
      </w:pPr>
      <w:r>
        <w:rPr>
          <w:spacing w:val="-4"/>
          <w:sz w:val="22"/>
        </w:rPr>
        <w:t>Professor</w:t>
      </w:r>
      <w:r>
        <w:rPr>
          <w:spacing w:val="-7"/>
          <w:sz w:val="22"/>
        </w:rPr>
        <w:t> </w:t>
      </w:r>
      <w:r>
        <w:rPr>
          <w:spacing w:val="-4"/>
          <w:sz w:val="22"/>
        </w:rPr>
        <w:t>N.</w:t>
      </w:r>
      <w:r>
        <w:rPr>
          <w:spacing w:val="-6"/>
          <w:sz w:val="22"/>
        </w:rPr>
        <w:t> </w:t>
      </w:r>
      <w:r>
        <w:rPr>
          <w:spacing w:val="-4"/>
          <w:sz w:val="22"/>
        </w:rPr>
        <w:t>Satyamurthy</w:t>
      </w:r>
    </w:p>
    <w:p>
      <w:pPr>
        <w:pStyle w:val="BodyText"/>
        <w:spacing w:before="27"/>
        <w:ind w:left="1439"/>
      </w:pPr>
      <w:r>
        <w:rPr>
          <w:spacing w:val="-4"/>
        </w:rPr>
        <w:t>Indian</w:t>
      </w:r>
      <w:r>
        <w:rPr>
          <w:spacing w:val="2"/>
        </w:rPr>
        <w:t> </w:t>
      </w:r>
      <w:r>
        <w:rPr>
          <w:spacing w:val="-4"/>
        </w:rPr>
        <w:t>Institute</w:t>
      </w:r>
      <w:r>
        <w:rPr>
          <w:spacing w:val="2"/>
        </w:rPr>
        <w:t> </w:t>
      </w:r>
      <w:r>
        <w:rPr>
          <w:spacing w:val="-4"/>
        </w:rPr>
        <w:t>of</w:t>
      </w:r>
      <w:r>
        <w:rPr>
          <w:spacing w:val="-9"/>
        </w:rPr>
        <w:t> </w:t>
      </w:r>
      <w:r>
        <w:rPr>
          <w:spacing w:val="-4"/>
        </w:rPr>
        <w:t>Technology</w:t>
      </w:r>
      <w:r>
        <w:rPr>
          <w:spacing w:val="3"/>
        </w:rPr>
        <w:t> </w:t>
      </w:r>
      <w:r>
        <w:rPr>
          <w:spacing w:val="-4"/>
        </w:rPr>
        <w:t>Kanpur</w:t>
      </w:r>
    </w:p>
    <w:p>
      <w:pPr>
        <w:pStyle w:val="ListParagraph"/>
        <w:numPr>
          <w:ilvl w:val="0"/>
          <w:numId w:val="79"/>
        </w:numPr>
        <w:tabs>
          <w:tab w:pos="1439" w:val="left" w:leader="none"/>
        </w:tabs>
        <w:spacing w:line="240" w:lineRule="auto" w:before="117" w:after="0"/>
        <w:ind w:left="1439" w:right="0" w:hanging="359"/>
        <w:jc w:val="left"/>
        <w:rPr>
          <w:sz w:val="22"/>
        </w:rPr>
      </w:pPr>
      <w:r>
        <w:rPr>
          <w:w w:val="90"/>
          <w:sz w:val="22"/>
        </w:rPr>
        <w:t>Professor</w:t>
      </w:r>
      <w:r>
        <w:rPr>
          <w:spacing w:val="3"/>
          <w:sz w:val="22"/>
        </w:rPr>
        <w:t> </w:t>
      </w:r>
      <w:r>
        <w:rPr>
          <w:w w:val="90"/>
          <w:sz w:val="22"/>
        </w:rPr>
        <w:t>Vijay</w:t>
      </w:r>
      <w:r>
        <w:rPr>
          <w:spacing w:val="8"/>
          <w:sz w:val="22"/>
        </w:rPr>
        <w:t> </w:t>
      </w:r>
      <w:r>
        <w:rPr>
          <w:spacing w:val="-2"/>
          <w:w w:val="90"/>
          <w:sz w:val="22"/>
        </w:rPr>
        <w:t>Gupta</w:t>
      </w:r>
    </w:p>
    <w:p>
      <w:pPr>
        <w:pStyle w:val="BodyText"/>
        <w:spacing w:before="27"/>
        <w:ind w:left="1439"/>
      </w:pPr>
      <w:r>
        <w:rPr>
          <w:w w:val="90"/>
        </w:rPr>
        <w:t>Vice-Chancellor,</w:t>
      </w:r>
      <w:r>
        <w:rPr>
          <w:spacing w:val="24"/>
        </w:rPr>
        <w:t> </w:t>
      </w:r>
      <w:r>
        <w:rPr>
          <w:w w:val="90"/>
        </w:rPr>
        <w:t>Lovely</w:t>
      </w:r>
      <w:r>
        <w:rPr>
          <w:spacing w:val="25"/>
        </w:rPr>
        <w:t> </w:t>
      </w:r>
      <w:r>
        <w:rPr>
          <w:w w:val="90"/>
        </w:rPr>
        <w:t>Professional</w:t>
      </w:r>
      <w:r>
        <w:rPr>
          <w:spacing w:val="25"/>
        </w:rPr>
        <w:t> </w:t>
      </w:r>
      <w:r>
        <w:rPr>
          <w:spacing w:val="-2"/>
          <w:w w:val="90"/>
        </w:rPr>
        <w:t>University</w:t>
      </w:r>
    </w:p>
    <w:p>
      <w:pPr>
        <w:pStyle w:val="ListParagraph"/>
        <w:numPr>
          <w:ilvl w:val="0"/>
          <w:numId w:val="79"/>
        </w:numPr>
        <w:tabs>
          <w:tab w:pos="1439" w:val="left" w:leader="none"/>
        </w:tabs>
        <w:spacing w:line="240" w:lineRule="auto" w:before="117" w:after="0"/>
        <w:ind w:left="1439" w:right="0" w:hanging="359"/>
        <w:jc w:val="left"/>
        <w:rPr>
          <w:sz w:val="22"/>
        </w:rPr>
      </w:pPr>
      <w:r>
        <w:rPr>
          <w:spacing w:val="-4"/>
          <w:sz w:val="22"/>
        </w:rPr>
        <w:t>Dr.</w:t>
      </w:r>
      <w:r>
        <w:rPr>
          <w:spacing w:val="-8"/>
          <w:sz w:val="22"/>
        </w:rPr>
        <w:t> </w:t>
      </w:r>
      <w:r>
        <w:rPr>
          <w:spacing w:val="-4"/>
          <w:sz w:val="22"/>
        </w:rPr>
        <w:t>M.P.</w:t>
      </w:r>
      <w:r>
        <w:rPr>
          <w:spacing w:val="-7"/>
          <w:sz w:val="22"/>
        </w:rPr>
        <w:t> </w:t>
      </w:r>
      <w:r>
        <w:rPr>
          <w:spacing w:val="-4"/>
          <w:sz w:val="22"/>
        </w:rPr>
        <w:t>Ravindra</w:t>
      </w:r>
    </w:p>
    <w:p>
      <w:pPr>
        <w:pStyle w:val="BodyText"/>
        <w:spacing w:before="28"/>
        <w:ind w:left="1439"/>
      </w:pPr>
      <w:r>
        <w:rPr>
          <w:spacing w:val="-4"/>
        </w:rPr>
        <w:t>Vice</w:t>
      </w:r>
      <w:r>
        <w:rPr>
          <w:spacing w:val="-8"/>
        </w:rPr>
        <w:t> </w:t>
      </w:r>
      <w:r>
        <w:rPr>
          <w:spacing w:val="-4"/>
        </w:rPr>
        <w:t>President,</w:t>
      </w:r>
      <w:r>
        <w:rPr>
          <w:spacing w:val="-7"/>
        </w:rPr>
        <w:t> </w:t>
      </w:r>
      <w:r>
        <w:rPr>
          <w:spacing w:val="-4"/>
        </w:rPr>
        <w:t>Education,</w:t>
      </w:r>
      <w:r>
        <w:rPr>
          <w:spacing w:val="-8"/>
        </w:rPr>
        <w:t> </w:t>
      </w:r>
      <w:r>
        <w:rPr>
          <w:spacing w:val="-4"/>
        </w:rPr>
        <w:t>Infosys,</w:t>
      </w:r>
      <w:r>
        <w:rPr>
          <w:spacing w:val="-7"/>
        </w:rPr>
        <w:t> </w:t>
      </w:r>
      <w:r>
        <w:rPr>
          <w:spacing w:val="-4"/>
        </w:rPr>
        <w:t>Bangalore</w:t>
      </w:r>
    </w:p>
    <w:p>
      <w:pPr>
        <w:pStyle w:val="ListParagraph"/>
        <w:numPr>
          <w:ilvl w:val="0"/>
          <w:numId w:val="79"/>
        </w:numPr>
        <w:tabs>
          <w:tab w:pos="1439" w:val="left" w:leader="none"/>
        </w:tabs>
        <w:spacing w:line="240" w:lineRule="auto" w:before="117" w:after="0"/>
        <w:ind w:left="1439" w:right="0" w:hanging="359"/>
        <w:jc w:val="left"/>
        <w:rPr>
          <w:sz w:val="22"/>
        </w:rPr>
      </w:pPr>
      <w:r>
        <w:rPr>
          <w:spacing w:val="-4"/>
          <w:w w:val="90"/>
          <w:sz w:val="22"/>
        </w:rPr>
        <w:t>Dr.</w:t>
      </w:r>
      <w:r>
        <w:rPr>
          <w:spacing w:val="-8"/>
          <w:w w:val="90"/>
          <w:sz w:val="22"/>
        </w:rPr>
        <w:t> </w:t>
      </w:r>
      <w:r>
        <w:rPr>
          <w:spacing w:val="-4"/>
          <w:w w:val="90"/>
          <w:sz w:val="22"/>
        </w:rPr>
        <w:t>Y.S.</w:t>
      </w:r>
      <w:r>
        <w:rPr>
          <w:spacing w:val="-8"/>
          <w:sz w:val="22"/>
        </w:rPr>
        <w:t> </w:t>
      </w:r>
      <w:r>
        <w:rPr>
          <w:spacing w:val="-4"/>
          <w:w w:val="90"/>
          <w:sz w:val="22"/>
        </w:rPr>
        <w:t>Rajan</w:t>
      </w:r>
    </w:p>
    <w:p>
      <w:pPr>
        <w:pStyle w:val="BodyText"/>
        <w:spacing w:before="27"/>
        <w:ind w:left="1439"/>
      </w:pPr>
      <w:r>
        <w:rPr>
          <w:spacing w:val="-10"/>
        </w:rPr>
        <w:t>Principal</w:t>
      </w:r>
      <w:r>
        <w:rPr/>
        <w:t> </w:t>
      </w:r>
      <w:r>
        <w:rPr>
          <w:spacing w:val="-10"/>
        </w:rPr>
        <w:t>Adviser,</w:t>
      </w:r>
      <w:r>
        <w:rPr>
          <w:spacing w:val="1"/>
        </w:rPr>
        <w:t> </w:t>
      </w:r>
      <w:r>
        <w:rPr>
          <w:spacing w:val="-10"/>
        </w:rPr>
        <w:t>Confederation</w:t>
      </w:r>
      <w:r>
        <w:rPr/>
        <w:t> </w:t>
      </w:r>
      <w:r>
        <w:rPr>
          <w:spacing w:val="-10"/>
        </w:rPr>
        <w:t>of</w:t>
      </w:r>
      <w:r>
        <w:rPr>
          <w:spacing w:val="1"/>
        </w:rPr>
        <w:t> </w:t>
      </w:r>
      <w:r>
        <w:rPr>
          <w:spacing w:val="-10"/>
        </w:rPr>
        <w:t>Indian</w:t>
      </w:r>
      <w:r>
        <w:rPr/>
        <w:t> </w:t>
      </w:r>
      <w:r>
        <w:rPr>
          <w:spacing w:val="-10"/>
        </w:rPr>
        <w:t>Industries</w:t>
      </w:r>
    </w:p>
    <w:p>
      <w:pPr>
        <w:pStyle w:val="ListParagraph"/>
        <w:numPr>
          <w:ilvl w:val="0"/>
          <w:numId w:val="79"/>
        </w:numPr>
        <w:tabs>
          <w:tab w:pos="1439" w:val="left" w:leader="none"/>
        </w:tabs>
        <w:spacing w:line="240" w:lineRule="auto" w:before="117" w:after="0"/>
        <w:ind w:left="1439" w:right="0" w:hanging="359"/>
        <w:jc w:val="left"/>
        <w:rPr>
          <w:sz w:val="22"/>
        </w:rPr>
      </w:pPr>
      <w:r>
        <w:rPr>
          <w:spacing w:val="-2"/>
          <w:sz w:val="22"/>
        </w:rPr>
        <w:t>Dr.</w:t>
      </w:r>
      <w:r>
        <w:rPr>
          <w:spacing w:val="-7"/>
          <w:sz w:val="22"/>
        </w:rPr>
        <w:t> </w:t>
      </w:r>
      <w:r>
        <w:rPr>
          <w:spacing w:val="-2"/>
          <w:sz w:val="22"/>
        </w:rPr>
        <w:t>Sandhya</w:t>
      </w:r>
      <w:r>
        <w:rPr>
          <w:spacing w:val="-7"/>
          <w:sz w:val="22"/>
        </w:rPr>
        <w:t> </w:t>
      </w:r>
      <w:r>
        <w:rPr>
          <w:spacing w:val="-2"/>
          <w:sz w:val="22"/>
        </w:rPr>
        <w:t>Chintala</w:t>
      </w:r>
      <w:r>
        <w:rPr>
          <w:spacing w:val="-7"/>
          <w:sz w:val="22"/>
        </w:rPr>
        <w:t> </w:t>
      </w:r>
      <w:r>
        <w:rPr>
          <w:spacing w:val="-2"/>
          <w:sz w:val="22"/>
        </w:rPr>
        <w:t>representing</w:t>
      </w:r>
    </w:p>
    <w:p>
      <w:pPr>
        <w:pStyle w:val="BodyText"/>
        <w:spacing w:before="27"/>
        <w:ind w:left="1439"/>
      </w:pPr>
      <w:r>
        <w:rPr>
          <w:spacing w:val="-2"/>
        </w:rPr>
        <w:t>Dr.</w:t>
      </w:r>
      <w:r>
        <w:rPr>
          <w:spacing w:val="-4"/>
        </w:rPr>
        <w:t> </w:t>
      </w:r>
      <w:r>
        <w:rPr>
          <w:spacing w:val="-2"/>
        </w:rPr>
        <w:t>Kiran</w:t>
      </w:r>
      <w:r>
        <w:rPr>
          <w:spacing w:val="-3"/>
        </w:rPr>
        <w:t> </w:t>
      </w:r>
      <w:r>
        <w:rPr>
          <w:spacing w:val="-2"/>
        </w:rPr>
        <w:t>Karnik,</w:t>
      </w:r>
      <w:r>
        <w:rPr>
          <w:spacing w:val="-3"/>
        </w:rPr>
        <w:t> </w:t>
      </w:r>
      <w:r>
        <w:rPr>
          <w:spacing w:val="-2"/>
        </w:rPr>
        <w:t>Chairman,</w:t>
      </w:r>
      <w:r>
        <w:rPr>
          <w:spacing w:val="-3"/>
        </w:rPr>
        <w:t> </w:t>
      </w:r>
      <w:r>
        <w:rPr>
          <w:spacing w:val="-2"/>
        </w:rPr>
        <w:t>NASSCOM</w:t>
      </w:r>
    </w:p>
    <w:p>
      <w:pPr>
        <w:pStyle w:val="ListParagraph"/>
        <w:numPr>
          <w:ilvl w:val="0"/>
          <w:numId w:val="79"/>
        </w:numPr>
        <w:tabs>
          <w:tab w:pos="1439" w:val="left" w:leader="none"/>
        </w:tabs>
        <w:spacing w:line="240" w:lineRule="auto" w:before="117" w:after="0"/>
        <w:ind w:left="1439" w:right="0" w:hanging="359"/>
        <w:jc w:val="left"/>
        <w:rPr>
          <w:sz w:val="22"/>
        </w:rPr>
      </w:pPr>
      <w:r>
        <w:rPr>
          <w:spacing w:val="-4"/>
          <w:sz w:val="22"/>
        </w:rPr>
        <w:t>Mr.</w:t>
      </w:r>
      <w:r>
        <w:rPr>
          <w:spacing w:val="-10"/>
          <w:sz w:val="22"/>
        </w:rPr>
        <w:t> </w:t>
      </w:r>
      <w:r>
        <w:rPr>
          <w:spacing w:val="-4"/>
          <w:sz w:val="22"/>
        </w:rPr>
        <w:t>Baba</w:t>
      </w:r>
      <w:r>
        <w:rPr>
          <w:spacing w:val="-10"/>
          <w:sz w:val="22"/>
        </w:rPr>
        <w:t> </w:t>
      </w:r>
      <w:r>
        <w:rPr>
          <w:spacing w:val="-4"/>
          <w:sz w:val="22"/>
        </w:rPr>
        <w:t>Kalyani</w:t>
      </w:r>
    </w:p>
    <w:p>
      <w:pPr>
        <w:pStyle w:val="BodyText"/>
        <w:spacing w:before="27"/>
        <w:ind w:left="1439"/>
      </w:pPr>
      <w:r>
        <w:rPr/>
        <w:t>Chairman</w:t>
      </w:r>
      <w:r>
        <w:rPr>
          <w:spacing w:val="-6"/>
        </w:rPr>
        <w:t> </w:t>
      </w:r>
      <w:r>
        <w:rPr/>
        <w:t>and</w:t>
      </w:r>
      <w:r>
        <w:rPr>
          <w:spacing w:val="-5"/>
        </w:rPr>
        <w:t> </w:t>
      </w:r>
      <w:r>
        <w:rPr/>
        <w:t>MD,</w:t>
      </w:r>
      <w:r>
        <w:rPr>
          <w:spacing w:val="-6"/>
        </w:rPr>
        <w:t> </w:t>
      </w:r>
      <w:r>
        <w:rPr/>
        <w:t>Bharat</w:t>
      </w:r>
      <w:r>
        <w:rPr>
          <w:spacing w:val="-5"/>
        </w:rPr>
        <w:t> </w:t>
      </w:r>
      <w:r>
        <w:rPr>
          <w:spacing w:val="-2"/>
        </w:rPr>
        <w:t>Forge</w:t>
      </w:r>
    </w:p>
    <w:p>
      <w:pPr>
        <w:pStyle w:val="BodyText"/>
        <w:spacing w:before="53"/>
      </w:pPr>
    </w:p>
    <w:p>
      <w:pPr>
        <w:pStyle w:val="ListParagraph"/>
        <w:numPr>
          <w:ilvl w:val="0"/>
          <w:numId w:val="79"/>
        </w:numPr>
        <w:tabs>
          <w:tab w:pos="1439" w:val="left" w:leader="none"/>
        </w:tabs>
        <w:spacing w:line="240" w:lineRule="auto" w:before="1" w:after="0"/>
        <w:ind w:left="1439" w:right="0" w:hanging="359"/>
        <w:jc w:val="left"/>
        <w:rPr>
          <w:sz w:val="22"/>
        </w:rPr>
      </w:pPr>
      <w:r>
        <w:rPr>
          <w:spacing w:val="-6"/>
          <w:sz w:val="22"/>
        </w:rPr>
        <w:t>Prof.</w:t>
      </w:r>
      <w:r>
        <w:rPr>
          <w:spacing w:val="-5"/>
          <w:sz w:val="22"/>
        </w:rPr>
        <w:t> </w:t>
      </w:r>
      <w:r>
        <w:rPr>
          <w:spacing w:val="-6"/>
          <w:sz w:val="22"/>
        </w:rPr>
        <w:t>M.V.</w:t>
      </w:r>
      <w:r>
        <w:rPr>
          <w:spacing w:val="-4"/>
          <w:sz w:val="22"/>
        </w:rPr>
        <w:t> </w:t>
      </w:r>
      <w:r>
        <w:rPr>
          <w:spacing w:val="-6"/>
          <w:sz w:val="22"/>
        </w:rPr>
        <w:t>Krishnamurthy</w:t>
      </w:r>
    </w:p>
    <w:p>
      <w:pPr>
        <w:pStyle w:val="BodyText"/>
        <w:spacing w:before="27"/>
        <w:ind w:left="1439"/>
      </w:pPr>
      <w:r>
        <w:rPr>
          <w:spacing w:val="-4"/>
        </w:rPr>
        <w:t>Director</w:t>
      </w:r>
      <w:r>
        <w:rPr>
          <w:spacing w:val="-10"/>
        </w:rPr>
        <w:t> </w:t>
      </w:r>
      <w:r>
        <w:rPr>
          <w:spacing w:val="-4"/>
        </w:rPr>
        <w:t>(Academic</w:t>
      </w:r>
      <w:r>
        <w:rPr>
          <w:spacing w:val="-10"/>
        </w:rPr>
        <w:t> </w:t>
      </w:r>
      <w:r>
        <w:rPr>
          <w:spacing w:val="-4"/>
        </w:rPr>
        <w:t>Research),</w:t>
      </w:r>
      <w:r>
        <w:rPr>
          <w:spacing w:val="-10"/>
        </w:rPr>
        <w:t> </w:t>
      </w:r>
      <w:r>
        <w:rPr>
          <w:spacing w:val="-4"/>
        </w:rPr>
        <w:t>VIT</w:t>
      </w:r>
      <w:r>
        <w:rPr>
          <w:spacing w:val="-9"/>
        </w:rPr>
        <w:t> </w:t>
      </w:r>
      <w:r>
        <w:rPr>
          <w:spacing w:val="-4"/>
        </w:rPr>
        <w:t>University</w:t>
      </w:r>
    </w:p>
    <w:p>
      <w:pPr>
        <w:pStyle w:val="ListParagraph"/>
        <w:numPr>
          <w:ilvl w:val="0"/>
          <w:numId w:val="79"/>
        </w:numPr>
        <w:tabs>
          <w:tab w:pos="1439" w:val="left" w:leader="none"/>
        </w:tabs>
        <w:spacing w:line="240" w:lineRule="auto" w:before="117" w:after="0"/>
        <w:ind w:left="1439" w:right="0" w:hanging="359"/>
        <w:jc w:val="left"/>
        <w:rPr>
          <w:sz w:val="22"/>
        </w:rPr>
      </w:pPr>
      <w:r>
        <w:rPr>
          <w:spacing w:val="-4"/>
          <w:sz w:val="22"/>
        </w:rPr>
        <w:t>Prof.</w:t>
      </w:r>
      <w:r>
        <w:rPr>
          <w:spacing w:val="-10"/>
          <w:sz w:val="22"/>
        </w:rPr>
        <w:t> </w:t>
      </w:r>
      <w:r>
        <w:rPr>
          <w:spacing w:val="-4"/>
          <w:sz w:val="22"/>
        </w:rPr>
        <w:t>H.P.</w:t>
      </w:r>
      <w:r>
        <w:rPr>
          <w:spacing w:val="-9"/>
          <w:sz w:val="22"/>
        </w:rPr>
        <w:t> </w:t>
      </w:r>
      <w:r>
        <w:rPr>
          <w:spacing w:val="-4"/>
          <w:sz w:val="22"/>
        </w:rPr>
        <w:t>Khincha</w:t>
      </w:r>
    </w:p>
    <w:p>
      <w:pPr>
        <w:pStyle w:val="BodyText"/>
        <w:spacing w:before="27"/>
        <w:ind w:left="1439"/>
      </w:pPr>
      <w:r>
        <w:rPr>
          <w:w w:val="90"/>
        </w:rPr>
        <w:t>Vice-Chancellor,</w:t>
      </w:r>
      <w:r>
        <w:rPr>
          <w:spacing w:val="23"/>
        </w:rPr>
        <w:t> </w:t>
      </w:r>
      <w:r>
        <w:rPr>
          <w:w w:val="90"/>
        </w:rPr>
        <w:t>Visvesarya</w:t>
      </w:r>
      <w:r>
        <w:rPr>
          <w:spacing w:val="15"/>
        </w:rPr>
        <w:t> </w:t>
      </w:r>
      <w:r>
        <w:rPr>
          <w:w w:val="90"/>
        </w:rPr>
        <w:t>Technology</w:t>
      </w:r>
      <w:r>
        <w:rPr>
          <w:spacing w:val="30"/>
        </w:rPr>
        <w:t> </w:t>
      </w:r>
      <w:r>
        <w:rPr>
          <w:spacing w:val="-2"/>
          <w:w w:val="90"/>
        </w:rPr>
        <w:t>University</w:t>
      </w:r>
    </w:p>
    <w:p>
      <w:pPr>
        <w:pStyle w:val="BodyText"/>
        <w:spacing w:before="130"/>
      </w:pPr>
    </w:p>
    <w:p>
      <w:pPr>
        <w:pStyle w:val="Heading6"/>
        <w:ind w:left="1080" w:firstLine="0"/>
      </w:pPr>
      <w:r>
        <w:rPr>
          <w:color w:val="2E614A"/>
          <w:spacing w:val="-8"/>
        </w:rPr>
        <w:t>Open</w:t>
      </w:r>
      <w:r>
        <w:rPr>
          <w:color w:val="2E614A"/>
          <w:spacing w:val="-12"/>
        </w:rPr>
        <w:t> </w:t>
      </w:r>
      <w:r>
        <w:rPr>
          <w:color w:val="2E614A"/>
          <w:spacing w:val="-8"/>
        </w:rPr>
        <w:t>and</w:t>
      </w:r>
      <w:r>
        <w:rPr>
          <w:color w:val="2E614A"/>
          <w:spacing w:val="-11"/>
        </w:rPr>
        <w:t> </w:t>
      </w:r>
      <w:r>
        <w:rPr>
          <w:color w:val="2E614A"/>
          <w:spacing w:val="-8"/>
        </w:rPr>
        <w:t>Distance</w:t>
      </w:r>
      <w:r>
        <w:rPr>
          <w:color w:val="2E614A"/>
          <w:spacing w:val="-11"/>
        </w:rPr>
        <w:t> </w:t>
      </w:r>
      <w:r>
        <w:rPr>
          <w:color w:val="2E614A"/>
          <w:spacing w:val="-8"/>
        </w:rPr>
        <w:t>Education</w:t>
      </w:r>
    </w:p>
    <w:p>
      <w:pPr>
        <w:pStyle w:val="ListParagraph"/>
        <w:numPr>
          <w:ilvl w:val="0"/>
          <w:numId w:val="80"/>
        </w:numPr>
        <w:tabs>
          <w:tab w:pos="1439" w:val="left" w:leader="none"/>
        </w:tabs>
        <w:spacing w:line="266" w:lineRule="auto" w:before="286" w:after="0"/>
        <w:ind w:left="1439" w:right="1649" w:hanging="360"/>
        <w:jc w:val="left"/>
        <w:rPr>
          <w:sz w:val="22"/>
        </w:rPr>
      </w:pPr>
      <w:r>
        <w:rPr>
          <w:spacing w:val="-6"/>
          <w:sz w:val="22"/>
        </w:rPr>
        <w:t>Prof.</w:t>
      </w:r>
      <w:r>
        <w:rPr>
          <w:spacing w:val="-1"/>
          <w:sz w:val="22"/>
        </w:rPr>
        <w:t> </w:t>
      </w:r>
      <w:r>
        <w:rPr>
          <w:spacing w:val="-6"/>
          <w:sz w:val="22"/>
        </w:rPr>
        <w:t>Ram</w:t>
      </w:r>
      <w:r>
        <w:rPr>
          <w:spacing w:val="-10"/>
          <w:sz w:val="22"/>
        </w:rPr>
        <w:t> </w:t>
      </w:r>
      <w:r>
        <w:rPr>
          <w:spacing w:val="-6"/>
          <w:sz w:val="22"/>
        </w:rPr>
        <w:t>Takwale</w:t>
      </w:r>
      <w:r>
        <w:rPr>
          <w:spacing w:val="-1"/>
          <w:sz w:val="22"/>
        </w:rPr>
        <w:t> </w:t>
      </w:r>
      <w:r>
        <w:rPr>
          <w:spacing w:val="-6"/>
          <w:sz w:val="22"/>
        </w:rPr>
        <w:t>(Chairman) </w:t>
      </w:r>
      <w:r>
        <w:rPr>
          <w:sz w:val="22"/>
        </w:rPr>
        <w:t>Former Vice-Chancellor,</w:t>
      </w:r>
    </w:p>
    <w:p>
      <w:pPr>
        <w:pStyle w:val="BodyText"/>
        <w:spacing w:line="266" w:lineRule="auto"/>
        <w:ind w:left="1439"/>
      </w:pPr>
      <w:r>
        <w:rPr>
          <w:spacing w:val="-2"/>
        </w:rPr>
        <w:t>Indira</w:t>
      </w:r>
      <w:r>
        <w:rPr>
          <w:spacing w:val="-12"/>
        </w:rPr>
        <w:t> </w:t>
      </w:r>
      <w:r>
        <w:rPr>
          <w:spacing w:val="-2"/>
        </w:rPr>
        <w:t>Gandhi</w:t>
      </w:r>
      <w:r>
        <w:rPr>
          <w:spacing w:val="-12"/>
        </w:rPr>
        <w:t> </w:t>
      </w:r>
      <w:r>
        <w:rPr>
          <w:spacing w:val="-2"/>
        </w:rPr>
        <w:t>National</w:t>
      </w:r>
      <w:r>
        <w:rPr>
          <w:spacing w:val="-12"/>
        </w:rPr>
        <w:t> </w:t>
      </w:r>
      <w:r>
        <w:rPr>
          <w:spacing w:val="-2"/>
        </w:rPr>
        <w:t>Open</w:t>
      </w:r>
      <w:r>
        <w:rPr>
          <w:spacing w:val="-11"/>
        </w:rPr>
        <w:t> </w:t>
      </w:r>
      <w:r>
        <w:rPr>
          <w:spacing w:val="-2"/>
        </w:rPr>
        <w:t>University, Yashwantrao</w:t>
      </w:r>
      <w:r>
        <w:rPr>
          <w:spacing w:val="-6"/>
        </w:rPr>
        <w:t> </w:t>
      </w:r>
      <w:r>
        <w:rPr>
          <w:spacing w:val="-2"/>
        </w:rPr>
        <w:t>Chavan</w:t>
      </w:r>
      <w:r>
        <w:rPr>
          <w:spacing w:val="-6"/>
        </w:rPr>
        <w:t> </w:t>
      </w:r>
      <w:r>
        <w:rPr>
          <w:spacing w:val="-2"/>
        </w:rPr>
        <w:t>Maharashtra</w:t>
      </w:r>
      <w:r>
        <w:rPr>
          <w:spacing w:val="-6"/>
        </w:rPr>
        <w:t> </w:t>
      </w:r>
      <w:r>
        <w:rPr>
          <w:spacing w:val="-2"/>
        </w:rPr>
        <w:t>Open University</w:t>
      </w:r>
    </w:p>
    <w:p>
      <w:pPr>
        <w:pStyle w:val="ListParagraph"/>
        <w:numPr>
          <w:ilvl w:val="0"/>
          <w:numId w:val="80"/>
        </w:numPr>
        <w:tabs>
          <w:tab w:pos="1439" w:val="left" w:leader="none"/>
        </w:tabs>
        <w:spacing w:line="240" w:lineRule="auto" w:before="86" w:after="0"/>
        <w:ind w:left="1439" w:right="0" w:hanging="359"/>
        <w:jc w:val="left"/>
        <w:rPr>
          <w:sz w:val="22"/>
        </w:rPr>
      </w:pPr>
      <w:r>
        <w:rPr>
          <w:spacing w:val="-4"/>
          <w:sz w:val="22"/>
        </w:rPr>
        <w:t>Prof.</w:t>
      </w:r>
      <w:r>
        <w:rPr>
          <w:spacing w:val="1"/>
          <w:sz w:val="22"/>
        </w:rPr>
        <w:t> </w:t>
      </w:r>
      <w:r>
        <w:rPr>
          <w:spacing w:val="-4"/>
          <w:sz w:val="22"/>
        </w:rPr>
        <w:t>Badrinath</w:t>
      </w:r>
      <w:r>
        <w:rPr>
          <w:spacing w:val="1"/>
          <w:sz w:val="22"/>
        </w:rPr>
        <w:t> </w:t>
      </w:r>
      <w:r>
        <w:rPr>
          <w:spacing w:val="-4"/>
          <w:sz w:val="22"/>
        </w:rPr>
        <w:t>Koul</w:t>
      </w:r>
    </w:p>
    <w:p>
      <w:pPr>
        <w:pStyle w:val="BodyText"/>
        <w:spacing w:before="27"/>
        <w:ind w:left="1439"/>
      </w:pPr>
      <w:r>
        <w:rPr>
          <w:spacing w:val="-6"/>
        </w:rPr>
        <w:t>Former</w:t>
      </w:r>
      <w:r>
        <w:rPr>
          <w:spacing w:val="8"/>
        </w:rPr>
        <w:t> </w:t>
      </w:r>
      <w:r>
        <w:rPr>
          <w:spacing w:val="-6"/>
        </w:rPr>
        <w:t>Pro-Vice-Chancellor,</w:t>
      </w:r>
      <w:r>
        <w:rPr>
          <w:spacing w:val="8"/>
        </w:rPr>
        <w:t> </w:t>
      </w:r>
      <w:r>
        <w:rPr>
          <w:spacing w:val="-6"/>
        </w:rPr>
        <w:t>IGNOU</w:t>
      </w:r>
    </w:p>
    <w:p>
      <w:pPr>
        <w:pStyle w:val="ListParagraph"/>
        <w:numPr>
          <w:ilvl w:val="0"/>
          <w:numId w:val="80"/>
        </w:numPr>
        <w:tabs>
          <w:tab w:pos="698" w:val="left" w:leader="none"/>
        </w:tabs>
        <w:spacing w:line="240" w:lineRule="auto" w:before="57" w:after="0"/>
        <w:ind w:left="698" w:right="0" w:hanging="359"/>
        <w:jc w:val="left"/>
        <w:rPr>
          <w:sz w:val="22"/>
        </w:rPr>
      </w:pPr>
      <w:r>
        <w:rPr/>
        <w:br w:type="column"/>
      </w:r>
      <w:r>
        <w:rPr>
          <w:spacing w:val="-8"/>
          <w:sz w:val="22"/>
        </w:rPr>
        <w:t>Prof.</w:t>
      </w:r>
      <w:r>
        <w:rPr>
          <w:spacing w:val="2"/>
          <w:sz w:val="22"/>
        </w:rPr>
        <w:t> </w:t>
      </w:r>
      <w:r>
        <w:rPr>
          <w:spacing w:val="-8"/>
          <w:sz w:val="22"/>
        </w:rPr>
        <w:t>Salil</w:t>
      </w:r>
      <w:r>
        <w:rPr>
          <w:spacing w:val="1"/>
          <w:sz w:val="22"/>
        </w:rPr>
        <w:t> </w:t>
      </w:r>
      <w:r>
        <w:rPr>
          <w:spacing w:val="-8"/>
          <w:sz w:val="22"/>
        </w:rPr>
        <w:t>Mishra</w:t>
      </w:r>
    </w:p>
    <w:p>
      <w:pPr>
        <w:pStyle w:val="BodyText"/>
        <w:spacing w:line="266" w:lineRule="auto" w:before="27"/>
        <w:ind w:left="699" w:right="1121"/>
      </w:pPr>
      <w:r>
        <w:rPr>
          <w:spacing w:val="-6"/>
        </w:rPr>
        <w:t>Reader</w:t>
      </w:r>
      <w:r>
        <w:rPr>
          <w:spacing w:val="-8"/>
        </w:rPr>
        <w:t> </w:t>
      </w:r>
      <w:r>
        <w:rPr>
          <w:spacing w:val="-6"/>
        </w:rPr>
        <w:t>of</w:t>
      </w:r>
      <w:r>
        <w:rPr>
          <w:spacing w:val="-8"/>
        </w:rPr>
        <w:t> </w:t>
      </w:r>
      <w:r>
        <w:rPr>
          <w:spacing w:val="-6"/>
        </w:rPr>
        <w:t>History,</w:t>
      </w:r>
      <w:r>
        <w:rPr>
          <w:spacing w:val="-8"/>
        </w:rPr>
        <w:t> </w:t>
      </w:r>
      <w:r>
        <w:rPr>
          <w:spacing w:val="-6"/>
        </w:rPr>
        <w:t>School</w:t>
      </w:r>
      <w:r>
        <w:rPr>
          <w:spacing w:val="-7"/>
        </w:rPr>
        <w:t> </w:t>
      </w:r>
      <w:r>
        <w:rPr>
          <w:spacing w:val="-6"/>
        </w:rPr>
        <w:t>of</w:t>
      </w:r>
      <w:r>
        <w:rPr>
          <w:spacing w:val="-8"/>
        </w:rPr>
        <w:t> </w:t>
      </w:r>
      <w:r>
        <w:rPr>
          <w:spacing w:val="-6"/>
        </w:rPr>
        <w:t>Social</w:t>
      </w:r>
      <w:r>
        <w:rPr>
          <w:spacing w:val="-8"/>
        </w:rPr>
        <w:t> </w:t>
      </w:r>
      <w:r>
        <w:rPr>
          <w:spacing w:val="-6"/>
        </w:rPr>
        <w:t>Sciences </w:t>
      </w:r>
      <w:r>
        <w:rPr>
          <w:spacing w:val="-2"/>
        </w:rPr>
        <w:t>IGNOU</w:t>
      </w:r>
    </w:p>
    <w:p>
      <w:pPr>
        <w:pStyle w:val="ListParagraph"/>
        <w:numPr>
          <w:ilvl w:val="0"/>
          <w:numId w:val="80"/>
        </w:numPr>
        <w:tabs>
          <w:tab w:pos="698" w:val="left" w:leader="none"/>
        </w:tabs>
        <w:spacing w:line="240" w:lineRule="auto" w:before="89" w:after="0"/>
        <w:ind w:left="698" w:right="0" w:hanging="359"/>
        <w:jc w:val="left"/>
        <w:rPr>
          <w:sz w:val="22"/>
        </w:rPr>
      </w:pPr>
      <w:r>
        <w:rPr>
          <w:spacing w:val="-4"/>
          <w:sz w:val="22"/>
        </w:rPr>
        <w:t>Prof.</w:t>
      </w:r>
      <w:r>
        <w:rPr>
          <w:spacing w:val="-10"/>
          <w:sz w:val="22"/>
        </w:rPr>
        <w:t> </w:t>
      </w:r>
      <w:r>
        <w:rPr>
          <w:spacing w:val="-4"/>
          <w:sz w:val="22"/>
        </w:rPr>
        <w:t>Parvin</w:t>
      </w:r>
      <w:r>
        <w:rPr>
          <w:spacing w:val="-9"/>
          <w:sz w:val="22"/>
        </w:rPr>
        <w:t> </w:t>
      </w:r>
      <w:r>
        <w:rPr>
          <w:spacing w:val="-4"/>
          <w:sz w:val="22"/>
        </w:rPr>
        <w:t>Sinclair</w:t>
      </w:r>
    </w:p>
    <w:p>
      <w:pPr>
        <w:pStyle w:val="BodyText"/>
        <w:spacing w:before="27"/>
        <w:ind w:left="699"/>
      </w:pPr>
      <w:r>
        <w:rPr>
          <w:spacing w:val="-6"/>
        </w:rPr>
        <w:t>Director,</w:t>
      </w:r>
      <w:r>
        <w:rPr/>
        <w:t> </w:t>
      </w:r>
      <w:r>
        <w:rPr>
          <w:spacing w:val="-6"/>
        </w:rPr>
        <w:t>School</w:t>
      </w:r>
      <w:r>
        <w:rPr>
          <w:spacing w:val="1"/>
        </w:rPr>
        <w:t> </w:t>
      </w:r>
      <w:r>
        <w:rPr>
          <w:spacing w:val="-6"/>
        </w:rPr>
        <w:t>of</w:t>
      </w:r>
      <w:r>
        <w:rPr/>
        <w:t> </w:t>
      </w:r>
      <w:r>
        <w:rPr>
          <w:spacing w:val="-6"/>
        </w:rPr>
        <w:t>Sciences,</w:t>
      </w:r>
      <w:r>
        <w:rPr>
          <w:spacing w:val="1"/>
        </w:rPr>
        <w:t> </w:t>
      </w:r>
      <w:r>
        <w:rPr>
          <w:spacing w:val="-6"/>
        </w:rPr>
        <w:t>IGNOU</w:t>
      </w:r>
    </w:p>
    <w:p>
      <w:pPr>
        <w:pStyle w:val="ListParagraph"/>
        <w:numPr>
          <w:ilvl w:val="0"/>
          <w:numId w:val="80"/>
        </w:numPr>
        <w:tabs>
          <w:tab w:pos="698" w:val="left" w:leader="none"/>
        </w:tabs>
        <w:spacing w:line="240" w:lineRule="auto" w:before="117" w:after="0"/>
        <w:ind w:left="698" w:right="0" w:hanging="359"/>
        <w:jc w:val="left"/>
        <w:rPr>
          <w:sz w:val="22"/>
        </w:rPr>
      </w:pPr>
      <w:r>
        <w:rPr>
          <w:spacing w:val="-6"/>
          <w:sz w:val="22"/>
        </w:rPr>
        <w:t>Dr. Vijay</w:t>
      </w:r>
      <w:r>
        <w:rPr>
          <w:spacing w:val="-3"/>
          <w:sz w:val="22"/>
        </w:rPr>
        <w:t> </w:t>
      </w:r>
      <w:r>
        <w:rPr>
          <w:spacing w:val="-6"/>
          <w:sz w:val="22"/>
        </w:rPr>
        <w:t>Kumar</w:t>
      </w:r>
    </w:p>
    <w:p>
      <w:pPr>
        <w:pStyle w:val="BodyText"/>
        <w:spacing w:line="266" w:lineRule="auto" w:before="27"/>
        <w:ind w:left="699" w:right="1121"/>
      </w:pPr>
      <w:r>
        <w:rPr>
          <w:spacing w:val="-6"/>
        </w:rPr>
        <w:t>Assistant Provost and Director of </w:t>
      </w:r>
      <w:r>
        <w:rPr>
          <w:spacing w:val="-6"/>
        </w:rPr>
        <w:t>Academic </w:t>
      </w:r>
      <w:r>
        <w:rPr/>
        <w:t>Computing, MIT</w:t>
      </w:r>
    </w:p>
    <w:p>
      <w:pPr>
        <w:pStyle w:val="ListParagraph"/>
        <w:numPr>
          <w:ilvl w:val="0"/>
          <w:numId w:val="80"/>
        </w:numPr>
        <w:tabs>
          <w:tab w:pos="698" w:val="left" w:leader="none"/>
        </w:tabs>
        <w:spacing w:line="240" w:lineRule="auto" w:before="88" w:after="0"/>
        <w:ind w:left="698" w:right="0" w:hanging="359"/>
        <w:jc w:val="left"/>
        <w:rPr>
          <w:sz w:val="22"/>
        </w:rPr>
      </w:pPr>
      <w:r>
        <w:rPr>
          <w:spacing w:val="-10"/>
          <w:sz w:val="22"/>
        </w:rPr>
        <w:t>Prof.</w:t>
      </w:r>
      <w:r>
        <w:rPr>
          <w:spacing w:val="-1"/>
          <w:sz w:val="22"/>
        </w:rPr>
        <w:t> </w:t>
      </w:r>
      <w:r>
        <w:rPr>
          <w:spacing w:val="-10"/>
          <w:sz w:val="22"/>
        </w:rPr>
        <w:t>V.S.</w:t>
      </w:r>
      <w:r>
        <w:rPr>
          <w:spacing w:val="3"/>
          <w:sz w:val="22"/>
        </w:rPr>
        <w:t> </w:t>
      </w:r>
      <w:r>
        <w:rPr>
          <w:spacing w:val="-10"/>
          <w:sz w:val="22"/>
        </w:rPr>
        <w:t>Prasad</w:t>
      </w:r>
    </w:p>
    <w:p>
      <w:pPr>
        <w:pStyle w:val="BodyText"/>
        <w:spacing w:line="266" w:lineRule="auto" w:before="27"/>
        <w:ind w:left="699" w:right="1121"/>
      </w:pPr>
      <w:r>
        <w:rPr>
          <w:spacing w:val="-4"/>
        </w:rPr>
        <w:t>Director,</w:t>
      </w:r>
      <w:r>
        <w:rPr>
          <w:spacing w:val="-10"/>
        </w:rPr>
        <w:t> </w:t>
      </w:r>
      <w:r>
        <w:rPr>
          <w:spacing w:val="-4"/>
        </w:rPr>
        <w:t>National</w:t>
      </w:r>
      <w:r>
        <w:rPr>
          <w:spacing w:val="-10"/>
        </w:rPr>
        <w:t> </w:t>
      </w:r>
      <w:r>
        <w:rPr>
          <w:spacing w:val="-4"/>
        </w:rPr>
        <w:t>Assessment</w:t>
      </w:r>
      <w:r>
        <w:rPr>
          <w:spacing w:val="-10"/>
        </w:rPr>
        <w:t> </w:t>
      </w:r>
      <w:r>
        <w:rPr>
          <w:spacing w:val="-4"/>
        </w:rPr>
        <w:t>and</w:t>
      </w:r>
      <w:r>
        <w:rPr>
          <w:spacing w:val="-9"/>
        </w:rPr>
        <w:t> </w:t>
      </w:r>
      <w:r>
        <w:rPr>
          <w:spacing w:val="-4"/>
        </w:rPr>
        <w:t>Accreditation </w:t>
      </w:r>
      <w:r>
        <w:rPr/>
        <w:t>Council (NAAC), Bangalore Former</w:t>
      </w:r>
    </w:p>
    <w:p>
      <w:pPr>
        <w:pStyle w:val="BodyText"/>
        <w:spacing w:line="266" w:lineRule="auto"/>
        <w:ind w:left="699" w:right="1121"/>
      </w:pPr>
      <w:r>
        <w:rPr>
          <w:spacing w:val="-4"/>
        </w:rPr>
        <w:t>Vice-Chancellor,</w:t>
      </w:r>
      <w:r>
        <w:rPr>
          <w:spacing w:val="-8"/>
        </w:rPr>
        <w:t> </w:t>
      </w:r>
      <w:r>
        <w:rPr>
          <w:spacing w:val="-4"/>
        </w:rPr>
        <w:t>Dr.</w:t>
      </w:r>
      <w:r>
        <w:rPr>
          <w:spacing w:val="-8"/>
        </w:rPr>
        <w:t> </w:t>
      </w:r>
      <w:r>
        <w:rPr>
          <w:spacing w:val="-4"/>
        </w:rPr>
        <w:t>B.R.</w:t>
      </w:r>
      <w:r>
        <w:rPr>
          <w:spacing w:val="-8"/>
        </w:rPr>
        <w:t> </w:t>
      </w:r>
      <w:r>
        <w:rPr>
          <w:spacing w:val="-4"/>
        </w:rPr>
        <w:t>Ambedkar</w:t>
      </w:r>
      <w:r>
        <w:rPr>
          <w:spacing w:val="-8"/>
        </w:rPr>
        <w:t> </w:t>
      </w:r>
      <w:r>
        <w:rPr>
          <w:spacing w:val="-4"/>
        </w:rPr>
        <w:t>Open </w:t>
      </w:r>
      <w:r>
        <w:rPr/>
        <w:t>University, Hyderabad</w:t>
      </w:r>
    </w:p>
    <w:p>
      <w:pPr>
        <w:pStyle w:val="ListParagraph"/>
        <w:numPr>
          <w:ilvl w:val="0"/>
          <w:numId w:val="80"/>
        </w:numPr>
        <w:tabs>
          <w:tab w:pos="698" w:val="left" w:leader="none"/>
        </w:tabs>
        <w:spacing w:line="240" w:lineRule="auto" w:before="87" w:after="0"/>
        <w:ind w:left="698" w:right="0" w:hanging="359"/>
        <w:jc w:val="left"/>
        <w:rPr>
          <w:sz w:val="22"/>
        </w:rPr>
      </w:pPr>
      <w:r>
        <w:rPr>
          <w:spacing w:val="-2"/>
          <w:sz w:val="22"/>
        </w:rPr>
        <w:t>Dr.</w:t>
      </w:r>
      <w:r>
        <w:rPr>
          <w:spacing w:val="-11"/>
          <w:sz w:val="22"/>
        </w:rPr>
        <w:t> </w:t>
      </w:r>
      <w:r>
        <w:rPr>
          <w:spacing w:val="-2"/>
          <w:sz w:val="22"/>
        </w:rPr>
        <w:t>B.S.</w:t>
      </w:r>
      <w:r>
        <w:rPr>
          <w:spacing w:val="-11"/>
          <w:sz w:val="22"/>
        </w:rPr>
        <w:t> </w:t>
      </w:r>
      <w:r>
        <w:rPr>
          <w:spacing w:val="-2"/>
          <w:sz w:val="22"/>
        </w:rPr>
        <w:t>Bhatia</w:t>
      </w:r>
    </w:p>
    <w:p>
      <w:pPr>
        <w:pStyle w:val="BodyText"/>
        <w:spacing w:line="266" w:lineRule="auto" w:before="27"/>
        <w:ind w:left="699" w:right="1460"/>
        <w:jc w:val="both"/>
      </w:pPr>
      <w:r>
        <w:rPr>
          <w:spacing w:val="-2"/>
        </w:rPr>
        <w:t>Former</w:t>
      </w:r>
      <w:r>
        <w:rPr>
          <w:spacing w:val="-12"/>
        </w:rPr>
        <w:t> </w:t>
      </w:r>
      <w:r>
        <w:rPr>
          <w:spacing w:val="-2"/>
        </w:rPr>
        <w:t>Director,</w:t>
      </w:r>
      <w:r>
        <w:rPr>
          <w:spacing w:val="-12"/>
        </w:rPr>
        <w:t> </w:t>
      </w:r>
      <w:r>
        <w:rPr>
          <w:spacing w:val="-2"/>
        </w:rPr>
        <w:t>Development</w:t>
      </w:r>
      <w:r>
        <w:rPr>
          <w:spacing w:val="-12"/>
        </w:rPr>
        <w:t> </w:t>
      </w:r>
      <w:r>
        <w:rPr>
          <w:spacing w:val="-2"/>
        </w:rPr>
        <w:t>and</w:t>
      </w:r>
      <w:r>
        <w:rPr>
          <w:spacing w:val="-11"/>
        </w:rPr>
        <w:t> </w:t>
      </w:r>
      <w:r>
        <w:rPr>
          <w:spacing w:val="-2"/>
        </w:rPr>
        <w:t>Education </w:t>
      </w:r>
      <w:r>
        <w:rPr/>
        <w:t>Computing</w:t>
      </w:r>
      <w:r>
        <w:rPr>
          <w:spacing w:val="-14"/>
        </w:rPr>
        <w:t> </w:t>
      </w:r>
      <w:r>
        <w:rPr/>
        <w:t>Unit</w:t>
      </w:r>
      <w:r>
        <w:rPr>
          <w:spacing w:val="-14"/>
        </w:rPr>
        <w:t> </w:t>
      </w:r>
      <w:r>
        <w:rPr/>
        <w:t>(DECU)</w:t>
      </w:r>
      <w:r>
        <w:rPr>
          <w:spacing w:val="-14"/>
        </w:rPr>
        <w:t> </w:t>
      </w:r>
      <w:r>
        <w:rPr/>
        <w:t>Space</w:t>
      </w:r>
      <w:r>
        <w:rPr>
          <w:spacing w:val="-13"/>
        </w:rPr>
        <w:t> </w:t>
      </w:r>
      <w:r>
        <w:rPr/>
        <w:t>Applications Centre (SAC), Ahmedabad</w:t>
      </w:r>
    </w:p>
    <w:p>
      <w:pPr>
        <w:pStyle w:val="ListParagraph"/>
        <w:numPr>
          <w:ilvl w:val="0"/>
          <w:numId w:val="80"/>
        </w:numPr>
        <w:tabs>
          <w:tab w:pos="698" w:val="left" w:leader="none"/>
        </w:tabs>
        <w:spacing w:line="240" w:lineRule="auto" w:before="88" w:after="0"/>
        <w:ind w:left="698" w:right="0" w:hanging="359"/>
        <w:jc w:val="left"/>
        <w:rPr>
          <w:sz w:val="22"/>
        </w:rPr>
      </w:pPr>
      <w:r>
        <w:rPr>
          <w:spacing w:val="-4"/>
          <w:sz w:val="22"/>
        </w:rPr>
        <w:t>Mr.</w:t>
      </w:r>
      <w:r>
        <w:rPr>
          <w:spacing w:val="-3"/>
          <w:sz w:val="22"/>
        </w:rPr>
        <w:t> </w:t>
      </w:r>
      <w:r>
        <w:rPr>
          <w:spacing w:val="-4"/>
          <w:sz w:val="22"/>
        </w:rPr>
        <w:t>Rajendra</w:t>
      </w:r>
      <w:r>
        <w:rPr>
          <w:spacing w:val="-2"/>
          <w:sz w:val="22"/>
        </w:rPr>
        <w:t> </w:t>
      </w:r>
      <w:r>
        <w:rPr>
          <w:spacing w:val="-4"/>
          <w:sz w:val="22"/>
        </w:rPr>
        <w:t>Pawar,</w:t>
      </w:r>
      <w:r>
        <w:rPr>
          <w:spacing w:val="-2"/>
          <w:sz w:val="22"/>
        </w:rPr>
        <w:t> </w:t>
      </w:r>
      <w:r>
        <w:rPr>
          <w:spacing w:val="-4"/>
          <w:sz w:val="22"/>
        </w:rPr>
        <w:t>Chairman,</w:t>
      </w:r>
      <w:r>
        <w:rPr>
          <w:spacing w:val="-2"/>
          <w:sz w:val="22"/>
        </w:rPr>
        <w:t> </w:t>
      </w:r>
      <w:r>
        <w:rPr>
          <w:spacing w:val="-4"/>
          <w:sz w:val="22"/>
        </w:rPr>
        <w:t>NIIT</w:t>
      </w:r>
    </w:p>
    <w:p>
      <w:pPr>
        <w:pStyle w:val="ListParagraph"/>
        <w:numPr>
          <w:ilvl w:val="0"/>
          <w:numId w:val="80"/>
        </w:numPr>
        <w:tabs>
          <w:tab w:pos="699" w:val="left" w:leader="none"/>
        </w:tabs>
        <w:spacing w:line="266" w:lineRule="auto" w:before="117" w:after="0"/>
        <w:ind w:left="699" w:right="1950" w:hanging="360"/>
        <w:jc w:val="left"/>
        <w:rPr>
          <w:sz w:val="22"/>
        </w:rPr>
      </w:pPr>
      <w:r>
        <w:rPr>
          <w:sz w:val="22"/>
        </w:rPr>
        <w:t>Dr. Surabhi Banerjee</w:t>
      </w:r>
      <w:r>
        <w:rPr>
          <w:spacing w:val="-4"/>
          <w:sz w:val="22"/>
        </w:rPr>
        <w:t> </w:t>
      </w:r>
      <w:r>
        <w:rPr>
          <w:sz w:val="22"/>
        </w:rPr>
        <w:t>Vice Chancellor </w:t>
      </w:r>
      <w:r>
        <w:rPr>
          <w:spacing w:val="-2"/>
          <w:sz w:val="22"/>
        </w:rPr>
        <w:t>Netaji</w:t>
      </w:r>
      <w:r>
        <w:rPr>
          <w:spacing w:val="-12"/>
          <w:sz w:val="22"/>
        </w:rPr>
        <w:t> </w:t>
      </w:r>
      <w:r>
        <w:rPr>
          <w:spacing w:val="-2"/>
          <w:sz w:val="22"/>
        </w:rPr>
        <w:t>Subhas</w:t>
      </w:r>
      <w:r>
        <w:rPr>
          <w:spacing w:val="-12"/>
          <w:sz w:val="22"/>
        </w:rPr>
        <w:t> </w:t>
      </w:r>
      <w:r>
        <w:rPr>
          <w:spacing w:val="-2"/>
          <w:sz w:val="22"/>
        </w:rPr>
        <w:t>Open</w:t>
      </w:r>
      <w:r>
        <w:rPr>
          <w:spacing w:val="-12"/>
          <w:sz w:val="22"/>
        </w:rPr>
        <w:t> </w:t>
      </w:r>
      <w:r>
        <w:rPr>
          <w:spacing w:val="-2"/>
          <w:sz w:val="22"/>
        </w:rPr>
        <w:t>University</w:t>
      </w:r>
      <w:r>
        <w:rPr>
          <w:spacing w:val="-11"/>
          <w:sz w:val="22"/>
        </w:rPr>
        <w:t> </w:t>
      </w:r>
      <w:r>
        <w:rPr>
          <w:spacing w:val="-2"/>
          <w:sz w:val="22"/>
        </w:rPr>
        <w:t>(NSOU) Kolkata</w:t>
      </w:r>
    </w:p>
    <w:p>
      <w:pPr>
        <w:pStyle w:val="BodyText"/>
        <w:spacing w:before="11"/>
      </w:pPr>
    </w:p>
    <w:p>
      <w:pPr>
        <w:pStyle w:val="Heading6"/>
        <w:ind w:left="339" w:firstLine="0"/>
      </w:pPr>
      <w:r>
        <w:rPr>
          <w:color w:val="2E614A"/>
          <w:w w:val="90"/>
        </w:rPr>
        <w:t>Open</w:t>
      </w:r>
      <w:r>
        <w:rPr>
          <w:color w:val="2E614A"/>
          <w:spacing w:val="30"/>
        </w:rPr>
        <w:t> </w:t>
      </w:r>
      <w:r>
        <w:rPr>
          <w:color w:val="2E614A"/>
          <w:w w:val="90"/>
        </w:rPr>
        <w:t>Educational</w:t>
      </w:r>
      <w:r>
        <w:rPr>
          <w:color w:val="2E614A"/>
          <w:spacing w:val="30"/>
        </w:rPr>
        <w:t> </w:t>
      </w:r>
      <w:r>
        <w:rPr>
          <w:color w:val="2E614A"/>
          <w:spacing w:val="-2"/>
          <w:w w:val="90"/>
        </w:rPr>
        <w:t>Resources</w:t>
      </w:r>
    </w:p>
    <w:p>
      <w:pPr>
        <w:pStyle w:val="ListParagraph"/>
        <w:numPr>
          <w:ilvl w:val="0"/>
          <w:numId w:val="81"/>
        </w:numPr>
        <w:tabs>
          <w:tab w:pos="698" w:val="left" w:leader="none"/>
        </w:tabs>
        <w:spacing w:line="240" w:lineRule="auto" w:before="289" w:after="0"/>
        <w:ind w:left="698" w:right="0" w:hanging="359"/>
        <w:jc w:val="left"/>
        <w:rPr>
          <w:sz w:val="22"/>
        </w:rPr>
      </w:pPr>
      <w:r>
        <w:rPr>
          <w:spacing w:val="-8"/>
          <w:sz w:val="22"/>
        </w:rPr>
        <w:t>Dr.</w:t>
      </w:r>
      <w:r>
        <w:rPr>
          <w:spacing w:val="-6"/>
          <w:sz w:val="22"/>
        </w:rPr>
        <w:t> </w:t>
      </w:r>
      <w:r>
        <w:rPr>
          <w:spacing w:val="-8"/>
          <w:sz w:val="22"/>
        </w:rPr>
        <w:t>V.</w:t>
      </w:r>
      <w:r>
        <w:rPr>
          <w:spacing w:val="-2"/>
          <w:sz w:val="22"/>
        </w:rPr>
        <w:t> </w:t>
      </w:r>
      <w:r>
        <w:rPr>
          <w:spacing w:val="-8"/>
          <w:sz w:val="22"/>
        </w:rPr>
        <w:t>Balaji</w:t>
      </w:r>
    </w:p>
    <w:p>
      <w:pPr>
        <w:pStyle w:val="BodyText"/>
        <w:spacing w:line="268" w:lineRule="auto" w:before="31"/>
        <w:ind w:left="699" w:right="1121"/>
      </w:pPr>
      <w:r>
        <w:rPr/>
        <w:t>Head, KMS (Knowledge Management and </w:t>
      </w:r>
      <w:r>
        <w:rPr>
          <w:spacing w:val="-2"/>
        </w:rPr>
        <w:t>Sharing)</w:t>
      </w:r>
      <w:r>
        <w:rPr>
          <w:spacing w:val="-12"/>
        </w:rPr>
        <w:t> </w:t>
      </w:r>
      <w:r>
        <w:rPr>
          <w:spacing w:val="-2"/>
        </w:rPr>
        <w:t>Group,</w:t>
      </w:r>
      <w:r>
        <w:rPr>
          <w:spacing w:val="-12"/>
        </w:rPr>
        <w:t> </w:t>
      </w:r>
      <w:r>
        <w:rPr>
          <w:spacing w:val="-2"/>
        </w:rPr>
        <w:t>ICRISAT</w:t>
      </w:r>
      <w:r>
        <w:rPr>
          <w:spacing w:val="-12"/>
        </w:rPr>
        <w:t> </w:t>
      </w:r>
      <w:r>
        <w:rPr>
          <w:spacing w:val="-2"/>
        </w:rPr>
        <w:t>(International</w:t>
      </w:r>
      <w:r>
        <w:rPr>
          <w:spacing w:val="-11"/>
        </w:rPr>
        <w:t> </w:t>
      </w:r>
      <w:r>
        <w:rPr>
          <w:spacing w:val="-2"/>
        </w:rPr>
        <w:t>Crops </w:t>
      </w:r>
      <w:r>
        <w:rPr/>
        <w:t>Research</w:t>
      </w:r>
      <w:r>
        <w:rPr>
          <w:spacing w:val="-8"/>
        </w:rPr>
        <w:t> </w:t>
      </w:r>
      <w:r>
        <w:rPr/>
        <w:t>Institute</w:t>
      </w:r>
      <w:r>
        <w:rPr>
          <w:spacing w:val="-7"/>
        </w:rPr>
        <w:t> </w:t>
      </w:r>
      <w:r>
        <w:rPr/>
        <w:t>for</w:t>
      </w:r>
      <w:r>
        <w:rPr>
          <w:spacing w:val="-7"/>
        </w:rPr>
        <w:t> </w:t>
      </w:r>
      <w:r>
        <w:rPr/>
        <w:t>the</w:t>
      </w:r>
      <w:r>
        <w:rPr>
          <w:spacing w:val="-7"/>
        </w:rPr>
        <w:t> </w:t>
      </w:r>
      <w:r>
        <w:rPr/>
        <w:t>Semi-Arid</w:t>
      </w:r>
      <w:r>
        <w:rPr>
          <w:spacing w:val="-14"/>
        </w:rPr>
        <w:t> </w:t>
      </w:r>
      <w:r>
        <w:rPr/>
        <w:t>Tropics)</w:t>
      </w:r>
    </w:p>
    <w:p>
      <w:pPr>
        <w:pStyle w:val="ListParagraph"/>
        <w:numPr>
          <w:ilvl w:val="0"/>
          <w:numId w:val="81"/>
        </w:numPr>
        <w:tabs>
          <w:tab w:pos="698" w:val="left" w:leader="none"/>
        </w:tabs>
        <w:spacing w:line="240" w:lineRule="auto" w:before="92" w:after="0"/>
        <w:ind w:left="698" w:right="0" w:hanging="359"/>
        <w:jc w:val="left"/>
        <w:rPr>
          <w:sz w:val="22"/>
        </w:rPr>
      </w:pPr>
      <w:r>
        <w:rPr>
          <w:spacing w:val="-2"/>
          <w:sz w:val="22"/>
        </w:rPr>
        <w:t>Dr.</w:t>
      </w:r>
      <w:r>
        <w:rPr>
          <w:spacing w:val="-11"/>
          <w:sz w:val="22"/>
        </w:rPr>
        <w:t> </w:t>
      </w:r>
      <w:r>
        <w:rPr>
          <w:spacing w:val="-2"/>
          <w:sz w:val="22"/>
        </w:rPr>
        <w:t>K.</w:t>
      </w:r>
      <w:r>
        <w:rPr>
          <w:spacing w:val="-10"/>
          <w:sz w:val="22"/>
        </w:rPr>
        <w:t> </w:t>
      </w:r>
      <w:r>
        <w:rPr>
          <w:spacing w:val="-2"/>
          <w:sz w:val="22"/>
        </w:rPr>
        <w:t>Mangala</w:t>
      </w:r>
      <w:r>
        <w:rPr>
          <w:spacing w:val="-10"/>
          <w:sz w:val="22"/>
        </w:rPr>
        <w:t> </w:t>
      </w:r>
      <w:r>
        <w:rPr>
          <w:spacing w:val="-2"/>
          <w:sz w:val="22"/>
        </w:rPr>
        <w:t>Sunder</w:t>
      </w:r>
    </w:p>
    <w:p>
      <w:pPr>
        <w:pStyle w:val="BodyText"/>
        <w:spacing w:line="268" w:lineRule="auto" w:before="31"/>
        <w:ind w:left="699" w:right="1121"/>
      </w:pPr>
      <w:r>
        <w:rPr/>
        <w:t>Webcourses</w:t>
      </w:r>
      <w:r>
        <w:rPr>
          <w:spacing w:val="-11"/>
        </w:rPr>
        <w:t> </w:t>
      </w:r>
      <w:r>
        <w:rPr/>
        <w:t>Coordinator,</w:t>
      </w:r>
      <w:r>
        <w:rPr>
          <w:spacing w:val="-11"/>
        </w:rPr>
        <w:t> </w:t>
      </w:r>
      <w:r>
        <w:rPr/>
        <w:t>NPTEL</w:t>
      </w:r>
      <w:r>
        <w:rPr>
          <w:spacing w:val="-11"/>
        </w:rPr>
        <w:t> </w:t>
      </w:r>
      <w:r>
        <w:rPr/>
        <w:t>(National </w:t>
      </w:r>
      <w:r>
        <w:rPr>
          <w:spacing w:val="-4"/>
        </w:rPr>
        <w:t>Program</w:t>
      </w:r>
      <w:r>
        <w:rPr>
          <w:spacing w:val="-10"/>
        </w:rPr>
        <w:t> </w:t>
      </w:r>
      <w:r>
        <w:rPr>
          <w:spacing w:val="-4"/>
        </w:rPr>
        <w:t>on</w:t>
      </w:r>
      <w:r>
        <w:rPr>
          <w:spacing w:val="-10"/>
        </w:rPr>
        <w:t> </w:t>
      </w:r>
      <w:r>
        <w:rPr>
          <w:spacing w:val="-4"/>
        </w:rPr>
        <w:t>Technology</w:t>
      </w:r>
      <w:r>
        <w:rPr>
          <w:spacing w:val="-10"/>
        </w:rPr>
        <w:t> </w:t>
      </w:r>
      <w:r>
        <w:rPr>
          <w:spacing w:val="-4"/>
        </w:rPr>
        <w:t>Enhanced</w:t>
      </w:r>
      <w:r>
        <w:rPr>
          <w:spacing w:val="-10"/>
        </w:rPr>
        <w:t> </w:t>
      </w:r>
      <w:r>
        <w:rPr>
          <w:spacing w:val="-4"/>
        </w:rPr>
        <w:t>Learning), </w:t>
      </w:r>
      <w:r>
        <w:rPr/>
        <w:t>Indian</w:t>
      </w:r>
      <w:r>
        <w:rPr>
          <w:spacing w:val="-8"/>
        </w:rPr>
        <w:t> </w:t>
      </w:r>
      <w:r>
        <w:rPr/>
        <w:t>Institute</w:t>
      </w:r>
      <w:r>
        <w:rPr>
          <w:spacing w:val="-6"/>
        </w:rPr>
        <w:t> </w:t>
      </w:r>
      <w:r>
        <w:rPr/>
        <w:t>of</w:t>
      </w:r>
      <w:r>
        <w:rPr>
          <w:spacing w:val="-14"/>
        </w:rPr>
        <w:t> </w:t>
      </w:r>
      <w:r>
        <w:rPr/>
        <w:t>Technology</w:t>
      </w:r>
      <w:r>
        <w:rPr>
          <w:spacing w:val="-6"/>
        </w:rPr>
        <w:t> </w:t>
      </w:r>
      <w:r>
        <w:rPr/>
        <w:t>(IIT)</w:t>
      </w:r>
      <w:r>
        <w:rPr>
          <w:spacing w:val="-6"/>
        </w:rPr>
        <w:t> </w:t>
      </w:r>
      <w:r>
        <w:rPr/>
        <w:t>Madras</w:t>
      </w:r>
    </w:p>
    <w:p>
      <w:pPr>
        <w:pStyle w:val="ListParagraph"/>
        <w:numPr>
          <w:ilvl w:val="0"/>
          <w:numId w:val="81"/>
        </w:numPr>
        <w:tabs>
          <w:tab w:pos="698" w:val="left" w:leader="none"/>
        </w:tabs>
        <w:spacing w:line="240" w:lineRule="auto" w:before="92" w:after="0"/>
        <w:ind w:left="698" w:right="0" w:hanging="359"/>
        <w:jc w:val="left"/>
        <w:rPr>
          <w:sz w:val="22"/>
        </w:rPr>
      </w:pPr>
      <w:r>
        <w:rPr>
          <w:spacing w:val="-2"/>
          <w:sz w:val="22"/>
        </w:rPr>
        <w:t>Dr.</w:t>
      </w:r>
      <w:r>
        <w:rPr>
          <w:spacing w:val="-8"/>
          <w:sz w:val="22"/>
        </w:rPr>
        <w:t> </w:t>
      </w:r>
      <w:r>
        <w:rPr>
          <w:spacing w:val="-2"/>
          <w:sz w:val="22"/>
        </w:rPr>
        <w:t>Rajan</w:t>
      </w:r>
      <w:r>
        <w:rPr>
          <w:spacing w:val="-11"/>
          <w:sz w:val="22"/>
        </w:rPr>
        <w:t> </w:t>
      </w:r>
      <w:r>
        <w:rPr>
          <w:spacing w:val="-2"/>
          <w:sz w:val="22"/>
        </w:rPr>
        <w:t>Welukar</w:t>
      </w:r>
    </w:p>
    <w:p>
      <w:pPr>
        <w:pStyle w:val="BodyText"/>
        <w:spacing w:line="268" w:lineRule="auto" w:before="31"/>
        <w:ind w:left="699" w:right="1121"/>
      </w:pPr>
      <w:r>
        <w:rPr>
          <w:spacing w:val="-6"/>
        </w:rPr>
        <w:t>Vice</w:t>
      </w:r>
      <w:r>
        <w:rPr>
          <w:spacing w:val="-8"/>
        </w:rPr>
        <w:t> </w:t>
      </w:r>
      <w:r>
        <w:rPr>
          <w:spacing w:val="-6"/>
        </w:rPr>
        <w:t>Chancellor,</w:t>
      </w:r>
      <w:r>
        <w:rPr>
          <w:spacing w:val="-8"/>
        </w:rPr>
        <w:t> </w:t>
      </w:r>
      <w:r>
        <w:rPr>
          <w:spacing w:val="-6"/>
        </w:rPr>
        <w:t>Yashwantrao</w:t>
      </w:r>
      <w:r>
        <w:rPr>
          <w:spacing w:val="-8"/>
        </w:rPr>
        <w:t> </w:t>
      </w:r>
      <w:r>
        <w:rPr>
          <w:spacing w:val="-6"/>
        </w:rPr>
        <w:t>Chavan </w:t>
      </w:r>
      <w:r>
        <w:rPr/>
        <w:t>Maharashtra Open University</w:t>
      </w:r>
    </w:p>
    <w:p>
      <w:pPr>
        <w:pStyle w:val="ListParagraph"/>
        <w:numPr>
          <w:ilvl w:val="0"/>
          <w:numId w:val="81"/>
        </w:numPr>
        <w:tabs>
          <w:tab w:pos="698" w:val="left" w:leader="none"/>
        </w:tabs>
        <w:spacing w:line="240" w:lineRule="auto" w:before="92" w:after="0"/>
        <w:ind w:left="698" w:right="0" w:hanging="359"/>
        <w:jc w:val="left"/>
        <w:rPr>
          <w:sz w:val="22"/>
        </w:rPr>
      </w:pPr>
      <w:r>
        <w:rPr>
          <w:spacing w:val="-2"/>
          <w:sz w:val="22"/>
        </w:rPr>
        <w:t>Dr.</w:t>
      </w:r>
      <w:r>
        <w:rPr>
          <w:spacing w:val="-9"/>
          <w:sz w:val="22"/>
        </w:rPr>
        <w:t> </w:t>
      </w:r>
      <w:r>
        <w:rPr>
          <w:spacing w:val="-2"/>
          <w:sz w:val="22"/>
        </w:rPr>
        <w:t>H.P.</w:t>
      </w:r>
      <w:r>
        <w:rPr>
          <w:spacing w:val="-8"/>
          <w:sz w:val="22"/>
        </w:rPr>
        <w:t> </w:t>
      </w:r>
      <w:r>
        <w:rPr>
          <w:spacing w:val="-2"/>
          <w:sz w:val="22"/>
        </w:rPr>
        <w:t>Dikshit</w:t>
      </w:r>
    </w:p>
    <w:p>
      <w:pPr>
        <w:pStyle w:val="BodyText"/>
        <w:spacing w:line="268" w:lineRule="auto" w:before="31"/>
        <w:ind w:left="699" w:right="1525"/>
      </w:pPr>
      <w:r>
        <w:rPr/>
        <w:t>NBHM</w:t>
      </w:r>
      <w:r>
        <w:rPr>
          <w:spacing w:val="-14"/>
        </w:rPr>
        <w:t> </w:t>
      </w:r>
      <w:r>
        <w:rPr/>
        <w:t>Professor,</w:t>
      </w:r>
      <w:r>
        <w:rPr>
          <w:spacing w:val="-14"/>
        </w:rPr>
        <w:t> </w:t>
      </w:r>
      <w:r>
        <w:rPr/>
        <w:t>PDPM,</w:t>
      </w:r>
      <w:r>
        <w:rPr>
          <w:spacing w:val="-14"/>
        </w:rPr>
        <w:t> </w:t>
      </w:r>
      <w:r>
        <w:rPr/>
        <w:t>Indian</w:t>
      </w:r>
      <w:r>
        <w:rPr>
          <w:spacing w:val="-13"/>
        </w:rPr>
        <w:t> </w:t>
      </w:r>
      <w:r>
        <w:rPr/>
        <w:t>Institute</w:t>
      </w:r>
      <w:r>
        <w:rPr>
          <w:spacing w:val="-14"/>
        </w:rPr>
        <w:t> </w:t>
      </w:r>
      <w:r>
        <w:rPr/>
        <w:t>of Information</w:t>
      </w:r>
      <w:r>
        <w:rPr>
          <w:spacing w:val="-6"/>
        </w:rPr>
        <w:t> </w:t>
      </w:r>
      <w:r>
        <w:rPr/>
        <w:t>Technology</w:t>
      </w:r>
    </w:p>
    <w:p>
      <w:pPr>
        <w:pStyle w:val="ListParagraph"/>
        <w:numPr>
          <w:ilvl w:val="0"/>
          <w:numId w:val="81"/>
        </w:numPr>
        <w:tabs>
          <w:tab w:pos="698" w:val="left" w:leader="none"/>
        </w:tabs>
        <w:spacing w:line="240" w:lineRule="auto" w:before="91" w:after="0"/>
        <w:ind w:left="698" w:right="0" w:hanging="359"/>
        <w:jc w:val="left"/>
        <w:rPr>
          <w:sz w:val="22"/>
        </w:rPr>
      </w:pPr>
      <w:r>
        <w:rPr>
          <w:spacing w:val="-4"/>
          <w:sz w:val="22"/>
        </w:rPr>
        <w:t>Anand </w:t>
      </w:r>
      <w:r>
        <w:rPr>
          <w:spacing w:val="-2"/>
          <w:sz w:val="22"/>
        </w:rPr>
        <w:t>Patwardhan</w:t>
      </w:r>
    </w:p>
    <w:p>
      <w:pPr>
        <w:pStyle w:val="BodyText"/>
        <w:spacing w:line="268" w:lineRule="auto" w:before="31"/>
        <w:ind w:left="699" w:right="1505"/>
      </w:pPr>
      <w:r>
        <w:rPr/>
        <w:t>Executive</w:t>
      </w:r>
      <w:r>
        <w:rPr>
          <w:spacing w:val="-14"/>
        </w:rPr>
        <w:t> </w:t>
      </w:r>
      <w:r>
        <w:rPr/>
        <w:t>Director,</w:t>
      </w:r>
      <w:r>
        <w:rPr>
          <w:spacing w:val="-14"/>
        </w:rPr>
        <w:t> </w:t>
      </w:r>
      <w:r>
        <w:rPr/>
        <w:t>Technology</w:t>
      </w:r>
      <w:r>
        <w:rPr>
          <w:spacing w:val="-14"/>
        </w:rPr>
        <w:t> </w:t>
      </w:r>
      <w:r>
        <w:rPr/>
        <w:t>Information </w:t>
      </w:r>
      <w:r>
        <w:rPr>
          <w:spacing w:val="-4"/>
        </w:rPr>
        <w:t>Forecasting</w:t>
      </w:r>
      <w:r>
        <w:rPr>
          <w:spacing w:val="-10"/>
        </w:rPr>
        <w:t> </w:t>
      </w:r>
      <w:r>
        <w:rPr>
          <w:spacing w:val="-4"/>
        </w:rPr>
        <w:t>and</w:t>
      </w:r>
      <w:r>
        <w:rPr>
          <w:spacing w:val="-10"/>
        </w:rPr>
        <w:t> </w:t>
      </w:r>
      <w:r>
        <w:rPr>
          <w:spacing w:val="-4"/>
        </w:rPr>
        <w:t>Assessment</w:t>
      </w:r>
      <w:r>
        <w:rPr>
          <w:spacing w:val="-10"/>
        </w:rPr>
        <w:t> </w:t>
      </w:r>
      <w:r>
        <w:rPr>
          <w:spacing w:val="-4"/>
        </w:rPr>
        <w:t>Council</w:t>
      </w:r>
      <w:r>
        <w:rPr>
          <w:spacing w:val="-9"/>
        </w:rPr>
        <w:t> </w:t>
      </w:r>
      <w:r>
        <w:rPr>
          <w:spacing w:val="-4"/>
        </w:rPr>
        <w:t>(TIFAC)</w:t>
      </w:r>
    </w:p>
    <w:p>
      <w:pPr>
        <w:pStyle w:val="ListParagraph"/>
        <w:numPr>
          <w:ilvl w:val="0"/>
          <w:numId w:val="81"/>
        </w:numPr>
        <w:tabs>
          <w:tab w:pos="699" w:val="left" w:leader="none"/>
        </w:tabs>
        <w:spacing w:line="268" w:lineRule="auto" w:before="91" w:after="0"/>
        <w:ind w:left="699" w:right="2845" w:hanging="360"/>
        <w:jc w:val="left"/>
        <w:rPr>
          <w:sz w:val="22"/>
        </w:rPr>
      </w:pPr>
      <w:r>
        <w:rPr>
          <w:sz w:val="22"/>
        </w:rPr>
        <w:t>Dr. Subbiah Arunachalam </w:t>
      </w:r>
      <w:r>
        <w:rPr>
          <w:spacing w:val="-2"/>
          <w:sz w:val="22"/>
        </w:rPr>
        <w:t>MS</w:t>
      </w:r>
      <w:r>
        <w:rPr>
          <w:spacing w:val="-12"/>
          <w:sz w:val="22"/>
        </w:rPr>
        <w:t> </w:t>
      </w:r>
      <w:r>
        <w:rPr>
          <w:spacing w:val="-2"/>
          <w:sz w:val="22"/>
        </w:rPr>
        <w:t>Swaminathan</w:t>
      </w:r>
      <w:r>
        <w:rPr>
          <w:spacing w:val="-12"/>
          <w:sz w:val="22"/>
        </w:rPr>
        <w:t> </w:t>
      </w:r>
      <w:r>
        <w:rPr>
          <w:spacing w:val="-2"/>
          <w:sz w:val="22"/>
        </w:rPr>
        <w:t>Foundation</w:t>
      </w:r>
    </w:p>
    <w:p>
      <w:pPr>
        <w:pStyle w:val="ListParagraph"/>
        <w:numPr>
          <w:ilvl w:val="0"/>
          <w:numId w:val="81"/>
        </w:numPr>
        <w:tabs>
          <w:tab w:pos="698" w:val="left" w:leader="none"/>
        </w:tabs>
        <w:spacing w:line="240" w:lineRule="auto" w:before="92" w:after="0"/>
        <w:ind w:left="698" w:right="0" w:hanging="359"/>
        <w:jc w:val="left"/>
        <w:rPr>
          <w:sz w:val="22"/>
        </w:rPr>
      </w:pPr>
      <w:r>
        <w:rPr>
          <w:spacing w:val="-6"/>
          <w:sz w:val="22"/>
        </w:rPr>
        <w:t>Dr.</w:t>
      </w:r>
      <w:r>
        <w:rPr>
          <w:spacing w:val="-3"/>
          <w:sz w:val="22"/>
        </w:rPr>
        <w:t> </w:t>
      </w:r>
      <w:r>
        <w:rPr>
          <w:spacing w:val="-6"/>
          <w:sz w:val="22"/>
        </w:rPr>
        <w:t>Vijay</w:t>
      </w:r>
      <w:r>
        <w:rPr>
          <w:spacing w:val="1"/>
          <w:sz w:val="22"/>
        </w:rPr>
        <w:t> </w:t>
      </w:r>
      <w:r>
        <w:rPr>
          <w:spacing w:val="-6"/>
          <w:sz w:val="22"/>
        </w:rPr>
        <w:t>Kumar,</w:t>
      </w:r>
      <w:r>
        <w:rPr>
          <w:spacing w:val="2"/>
          <w:sz w:val="22"/>
        </w:rPr>
        <w:t> </w:t>
      </w:r>
      <w:r>
        <w:rPr>
          <w:spacing w:val="-6"/>
          <w:sz w:val="22"/>
        </w:rPr>
        <w:t>Co-convener</w:t>
      </w:r>
    </w:p>
    <w:p>
      <w:pPr>
        <w:pStyle w:val="BodyText"/>
        <w:spacing w:line="268" w:lineRule="auto" w:before="31"/>
        <w:ind w:left="699" w:right="1121"/>
      </w:pPr>
      <w:r>
        <w:rPr>
          <w:spacing w:val="-6"/>
        </w:rPr>
        <w:t>Asst. Provost and Director of </w:t>
      </w:r>
      <w:r>
        <w:rPr>
          <w:spacing w:val="-6"/>
        </w:rPr>
        <w:t>Academic </w:t>
      </w:r>
      <w:r>
        <w:rPr/>
        <w:t>Computing, MIT</w:t>
      </w:r>
    </w:p>
    <w:p>
      <w:pPr>
        <w:pStyle w:val="ListParagraph"/>
        <w:numPr>
          <w:ilvl w:val="0"/>
          <w:numId w:val="81"/>
        </w:numPr>
        <w:tabs>
          <w:tab w:pos="698" w:val="left" w:leader="none"/>
        </w:tabs>
        <w:spacing w:line="240" w:lineRule="auto" w:before="91" w:after="0"/>
        <w:ind w:left="698" w:right="0" w:hanging="359"/>
        <w:jc w:val="left"/>
        <w:rPr>
          <w:sz w:val="22"/>
        </w:rPr>
      </w:pPr>
      <w:r>
        <w:rPr>
          <w:spacing w:val="-8"/>
          <w:sz w:val="22"/>
        </w:rPr>
        <w:t>Dr.</w:t>
      </w:r>
      <w:r>
        <w:rPr>
          <w:spacing w:val="1"/>
          <w:sz w:val="22"/>
        </w:rPr>
        <w:t> </w:t>
      </w:r>
      <w:r>
        <w:rPr>
          <w:spacing w:val="-8"/>
          <w:sz w:val="22"/>
        </w:rPr>
        <w:t>A.S.</w:t>
      </w:r>
      <w:r>
        <w:rPr>
          <w:spacing w:val="1"/>
          <w:sz w:val="22"/>
        </w:rPr>
        <w:t> </w:t>
      </w:r>
      <w:r>
        <w:rPr>
          <w:spacing w:val="-8"/>
          <w:sz w:val="22"/>
        </w:rPr>
        <w:t>Kolaskar,</w:t>
      </w:r>
      <w:r>
        <w:rPr>
          <w:spacing w:val="1"/>
          <w:sz w:val="22"/>
        </w:rPr>
        <w:t> </w:t>
      </w:r>
      <w:r>
        <w:rPr>
          <w:spacing w:val="-8"/>
          <w:sz w:val="22"/>
        </w:rPr>
        <w:t>Convener</w:t>
      </w:r>
    </w:p>
    <w:p>
      <w:pPr>
        <w:pStyle w:val="BodyText"/>
        <w:spacing w:before="31"/>
        <w:ind w:left="699"/>
      </w:pPr>
      <w:r>
        <w:rPr>
          <w:spacing w:val="-6"/>
        </w:rPr>
        <w:t>Advisor, National Knowledge Commission</w:t>
      </w:r>
    </w:p>
    <w:p>
      <w:pPr>
        <w:spacing w:after="0"/>
        <w:sectPr>
          <w:pgSz w:w="11910" w:h="16840"/>
          <w:pgMar w:header="0" w:footer="675" w:top="960" w:bottom="860" w:left="0" w:right="0"/>
          <w:cols w:num="2" w:equalWidth="0">
            <w:col w:w="5753" w:space="40"/>
            <w:col w:w="6117"/>
          </w:cols>
        </w:sectPr>
      </w:pPr>
    </w:p>
    <w:p>
      <w:pPr>
        <w:pStyle w:val="Heading6"/>
        <w:spacing w:before="57"/>
        <w:ind w:left="1080" w:firstLine="0"/>
      </w:pPr>
      <w:r>
        <w:rPr>
          <w:color w:val="2E614A"/>
          <w:w w:val="90"/>
        </w:rPr>
        <w:t>Traditional</w:t>
      </w:r>
      <w:r>
        <w:rPr>
          <w:color w:val="2E614A"/>
          <w:spacing w:val="11"/>
        </w:rPr>
        <w:t> </w:t>
      </w:r>
      <w:r>
        <w:rPr>
          <w:color w:val="2E614A"/>
          <w:w w:val="90"/>
        </w:rPr>
        <w:t>Health</w:t>
      </w:r>
      <w:r>
        <w:rPr>
          <w:color w:val="2E614A"/>
          <w:spacing w:val="12"/>
        </w:rPr>
        <w:t> </w:t>
      </w:r>
      <w:r>
        <w:rPr>
          <w:color w:val="2E614A"/>
          <w:spacing w:val="-2"/>
          <w:w w:val="90"/>
        </w:rPr>
        <w:t>Systems</w:t>
      </w:r>
    </w:p>
    <w:p>
      <w:pPr>
        <w:pStyle w:val="ListParagraph"/>
        <w:numPr>
          <w:ilvl w:val="1"/>
          <w:numId w:val="81"/>
        </w:numPr>
        <w:tabs>
          <w:tab w:pos="1439" w:val="left" w:leader="none"/>
        </w:tabs>
        <w:spacing w:line="268" w:lineRule="auto" w:before="289" w:after="0"/>
        <w:ind w:left="1439" w:right="2894" w:hanging="360"/>
        <w:jc w:val="left"/>
        <w:rPr>
          <w:sz w:val="22"/>
        </w:rPr>
      </w:pPr>
      <w:r>
        <w:rPr>
          <w:spacing w:val="-2"/>
          <w:sz w:val="22"/>
        </w:rPr>
        <w:t>Mr.</w:t>
      </w:r>
      <w:r>
        <w:rPr>
          <w:spacing w:val="-12"/>
          <w:sz w:val="22"/>
        </w:rPr>
        <w:t> </w:t>
      </w:r>
      <w:r>
        <w:rPr>
          <w:spacing w:val="-2"/>
          <w:sz w:val="22"/>
        </w:rPr>
        <w:t>Ravi</w:t>
      </w:r>
      <w:r>
        <w:rPr>
          <w:spacing w:val="-12"/>
          <w:sz w:val="22"/>
        </w:rPr>
        <w:t> </w:t>
      </w:r>
      <w:r>
        <w:rPr>
          <w:spacing w:val="-2"/>
          <w:sz w:val="22"/>
        </w:rPr>
        <w:t>Prasad </w:t>
      </w:r>
      <w:r>
        <w:rPr>
          <w:spacing w:val="-5"/>
          <w:sz w:val="22"/>
        </w:rPr>
        <w:t>Himalaya</w:t>
      </w:r>
      <w:r>
        <w:rPr>
          <w:spacing w:val="-3"/>
          <w:sz w:val="22"/>
        </w:rPr>
        <w:t> </w:t>
      </w:r>
      <w:r>
        <w:rPr>
          <w:spacing w:val="-4"/>
          <w:sz w:val="22"/>
        </w:rPr>
        <w:t>Drugs</w:t>
      </w:r>
    </w:p>
    <w:p>
      <w:pPr>
        <w:pStyle w:val="ListParagraph"/>
        <w:numPr>
          <w:ilvl w:val="1"/>
          <w:numId w:val="81"/>
        </w:numPr>
        <w:tabs>
          <w:tab w:pos="1439" w:val="left" w:leader="none"/>
        </w:tabs>
        <w:spacing w:line="268" w:lineRule="auto" w:before="92" w:after="0"/>
        <w:ind w:left="1439" w:right="1824" w:hanging="360"/>
        <w:jc w:val="left"/>
        <w:rPr>
          <w:sz w:val="22"/>
        </w:rPr>
      </w:pPr>
      <w:r>
        <w:rPr>
          <w:sz w:val="22"/>
        </w:rPr>
        <w:t>Mr.</w:t>
      </w:r>
      <w:r>
        <w:rPr>
          <w:spacing w:val="-14"/>
          <w:sz w:val="22"/>
        </w:rPr>
        <w:t> </w:t>
      </w:r>
      <w:r>
        <w:rPr>
          <w:sz w:val="22"/>
        </w:rPr>
        <w:t>Amit</w:t>
      </w:r>
      <w:r>
        <w:rPr>
          <w:spacing w:val="-14"/>
          <w:sz w:val="22"/>
        </w:rPr>
        <w:t> </w:t>
      </w:r>
      <w:r>
        <w:rPr>
          <w:sz w:val="22"/>
        </w:rPr>
        <w:t>Agarwal,</w:t>
      </w:r>
      <w:r>
        <w:rPr>
          <w:spacing w:val="-14"/>
          <w:sz w:val="22"/>
        </w:rPr>
        <w:t> </w:t>
      </w:r>
      <w:r>
        <w:rPr>
          <w:sz w:val="22"/>
        </w:rPr>
        <w:t>Director </w:t>
      </w:r>
      <w:r>
        <w:rPr>
          <w:spacing w:val="-6"/>
          <w:sz w:val="22"/>
        </w:rPr>
        <w:t>Natural Remedies, </w:t>
      </w:r>
      <w:r>
        <w:rPr>
          <w:spacing w:val="-6"/>
          <w:sz w:val="22"/>
        </w:rPr>
        <w:t>Bangalore</w:t>
      </w:r>
    </w:p>
    <w:p>
      <w:pPr>
        <w:pStyle w:val="ListParagraph"/>
        <w:numPr>
          <w:ilvl w:val="1"/>
          <w:numId w:val="81"/>
        </w:numPr>
        <w:tabs>
          <w:tab w:pos="1439" w:val="left" w:leader="none"/>
        </w:tabs>
        <w:spacing w:line="240" w:lineRule="auto" w:before="91" w:after="0"/>
        <w:ind w:left="1439" w:right="0" w:hanging="359"/>
        <w:jc w:val="left"/>
        <w:rPr>
          <w:sz w:val="22"/>
        </w:rPr>
      </w:pPr>
      <w:r>
        <w:rPr>
          <w:spacing w:val="-2"/>
          <w:sz w:val="22"/>
        </w:rPr>
        <w:t>Mr.</w:t>
      </w:r>
      <w:r>
        <w:rPr>
          <w:spacing w:val="-11"/>
          <w:sz w:val="22"/>
        </w:rPr>
        <w:t> </w:t>
      </w:r>
      <w:r>
        <w:rPr>
          <w:spacing w:val="-2"/>
          <w:sz w:val="22"/>
        </w:rPr>
        <w:t>S.R.</w:t>
      </w:r>
      <w:r>
        <w:rPr>
          <w:spacing w:val="-10"/>
          <w:sz w:val="22"/>
        </w:rPr>
        <w:t> </w:t>
      </w:r>
      <w:r>
        <w:rPr>
          <w:spacing w:val="-5"/>
          <w:sz w:val="22"/>
        </w:rPr>
        <w:t>Rao</w:t>
      </w:r>
    </w:p>
    <w:p>
      <w:pPr>
        <w:pStyle w:val="BodyText"/>
        <w:spacing w:before="31"/>
        <w:ind w:left="1439"/>
      </w:pPr>
      <w:r>
        <w:rPr>
          <w:spacing w:val="-4"/>
        </w:rPr>
        <w:t>EXIM</w:t>
      </w:r>
      <w:r>
        <w:rPr>
          <w:spacing w:val="-6"/>
        </w:rPr>
        <w:t> </w:t>
      </w:r>
      <w:r>
        <w:rPr>
          <w:spacing w:val="-4"/>
        </w:rPr>
        <w:t>Bank,</w:t>
      </w:r>
      <w:r>
        <w:rPr>
          <w:spacing w:val="-6"/>
        </w:rPr>
        <w:t> </w:t>
      </w:r>
      <w:r>
        <w:rPr>
          <w:spacing w:val="-4"/>
        </w:rPr>
        <w:t>Mumbai</w:t>
      </w:r>
    </w:p>
    <w:p>
      <w:pPr>
        <w:pStyle w:val="ListParagraph"/>
        <w:numPr>
          <w:ilvl w:val="1"/>
          <w:numId w:val="81"/>
        </w:numPr>
        <w:tabs>
          <w:tab w:pos="1439" w:val="left" w:leader="none"/>
        </w:tabs>
        <w:spacing w:line="240" w:lineRule="auto" w:before="121" w:after="0"/>
        <w:ind w:left="1439" w:right="0" w:hanging="359"/>
        <w:jc w:val="left"/>
        <w:rPr>
          <w:sz w:val="22"/>
        </w:rPr>
      </w:pPr>
      <w:r>
        <w:rPr>
          <w:sz w:val="22"/>
        </w:rPr>
        <w:t>Dr.</w:t>
      </w:r>
      <w:r>
        <w:rPr>
          <w:spacing w:val="-7"/>
          <w:sz w:val="22"/>
        </w:rPr>
        <w:t> </w:t>
      </w:r>
      <w:r>
        <w:rPr>
          <w:sz w:val="22"/>
        </w:rPr>
        <w:t>B.G.</w:t>
      </w:r>
      <w:r>
        <w:rPr>
          <w:spacing w:val="-7"/>
          <w:sz w:val="22"/>
        </w:rPr>
        <w:t> </w:t>
      </w:r>
      <w:r>
        <w:rPr>
          <w:spacing w:val="-2"/>
          <w:sz w:val="22"/>
        </w:rPr>
        <w:t>Krishnaswamy</w:t>
      </w:r>
    </w:p>
    <w:p>
      <w:pPr>
        <w:pStyle w:val="BodyText"/>
        <w:spacing w:before="31"/>
        <w:ind w:left="1439"/>
      </w:pPr>
      <w:r>
        <w:rPr>
          <w:w w:val="90"/>
        </w:rPr>
        <w:t>Arya</w:t>
      </w:r>
      <w:r>
        <w:rPr>
          <w:spacing w:val="4"/>
        </w:rPr>
        <w:t> </w:t>
      </w:r>
      <w:r>
        <w:rPr>
          <w:w w:val="90"/>
        </w:rPr>
        <w:t>Vaidya</w:t>
      </w:r>
      <w:r>
        <w:rPr>
          <w:spacing w:val="10"/>
        </w:rPr>
        <w:t> </w:t>
      </w:r>
      <w:r>
        <w:rPr>
          <w:w w:val="90"/>
        </w:rPr>
        <w:t>Pharmacy,</w:t>
      </w:r>
      <w:r>
        <w:rPr>
          <w:spacing w:val="9"/>
        </w:rPr>
        <w:t> </w:t>
      </w:r>
      <w:r>
        <w:rPr>
          <w:spacing w:val="-2"/>
          <w:w w:val="90"/>
        </w:rPr>
        <w:t>Coimbatore</w:t>
      </w:r>
    </w:p>
    <w:p>
      <w:pPr>
        <w:pStyle w:val="ListParagraph"/>
        <w:numPr>
          <w:ilvl w:val="1"/>
          <w:numId w:val="81"/>
        </w:numPr>
        <w:tabs>
          <w:tab w:pos="1439" w:val="left" w:leader="none"/>
        </w:tabs>
        <w:spacing w:line="240" w:lineRule="auto" w:before="121" w:after="0"/>
        <w:ind w:left="1439" w:right="0" w:hanging="359"/>
        <w:jc w:val="left"/>
        <w:rPr>
          <w:sz w:val="22"/>
        </w:rPr>
      </w:pPr>
      <w:r>
        <w:rPr>
          <w:sz w:val="22"/>
        </w:rPr>
        <w:t>Dr.</w:t>
      </w:r>
      <w:r>
        <w:rPr>
          <w:spacing w:val="-14"/>
          <w:sz w:val="22"/>
        </w:rPr>
        <w:t> </w:t>
      </w:r>
      <w:r>
        <w:rPr>
          <w:sz w:val="22"/>
        </w:rPr>
        <w:t>Narendra</w:t>
      </w:r>
      <w:r>
        <w:rPr>
          <w:spacing w:val="-14"/>
          <w:sz w:val="22"/>
        </w:rPr>
        <w:t> </w:t>
      </w:r>
      <w:r>
        <w:rPr>
          <w:spacing w:val="-2"/>
          <w:sz w:val="22"/>
        </w:rPr>
        <w:t>Bhatt</w:t>
      </w:r>
    </w:p>
    <w:p>
      <w:pPr>
        <w:pStyle w:val="BodyText"/>
        <w:spacing w:before="31"/>
        <w:ind w:left="1439"/>
      </w:pPr>
      <w:r>
        <w:rPr>
          <w:spacing w:val="-4"/>
        </w:rPr>
        <w:t>ZANDU</w:t>
      </w:r>
      <w:r>
        <w:rPr>
          <w:spacing w:val="3"/>
        </w:rPr>
        <w:t> </w:t>
      </w:r>
      <w:r>
        <w:rPr>
          <w:spacing w:val="-4"/>
        </w:rPr>
        <w:t>Pharmaceutical</w:t>
      </w:r>
      <w:r>
        <w:rPr>
          <w:spacing w:val="-1"/>
        </w:rPr>
        <w:t> </w:t>
      </w:r>
      <w:r>
        <w:rPr>
          <w:spacing w:val="-4"/>
        </w:rPr>
        <w:t>Works</w:t>
      </w:r>
      <w:r>
        <w:rPr>
          <w:spacing w:val="4"/>
        </w:rPr>
        <w:t> </w:t>
      </w:r>
      <w:r>
        <w:rPr>
          <w:spacing w:val="-4"/>
        </w:rPr>
        <w:t>Ltd.,</w:t>
      </w:r>
      <w:r>
        <w:rPr>
          <w:spacing w:val="4"/>
        </w:rPr>
        <w:t> </w:t>
      </w:r>
      <w:r>
        <w:rPr>
          <w:spacing w:val="-4"/>
        </w:rPr>
        <w:t>Mumbai</w:t>
      </w:r>
    </w:p>
    <w:p>
      <w:pPr>
        <w:pStyle w:val="ListParagraph"/>
        <w:numPr>
          <w:ilvl w:val="1"/>
          <w:numId w:val="81"/>
        </w:numPr>
        <w:tabs>
          <w:tab w:pos="1439" w:val="left" w:leader="none"/>
        </w:tabs>
        <w:spacing w:line="240" w:lineRule="auto" w:before="121" w:after="0"/>
        <w:ind w:left="1439" w:right="0" w:hanging="359"/>
        <w:jc w:val="left"/>
        <w:rPr>
          <w:sz w:val="22"/>
        </w:rPr>
      </w:pPr>
      <w:r>
        <w:rPr>
          <w:spacing w:val="-2"/>
          <w:sz w:val="22"/>
        </w:rPr>
        <w:t>Dr.</w:t>
      </w:r>
      <w:r>
        <w:rPr>
          <w:spacing w:val="-8"/>
          <w:sz w:val="22"/>
        </w:rPr>
        <w:t> </w:t>
      </w:r>
      <w:r>
        <w:rPr>
          <w:spacing w:val="-2"/>
          <w:sz w:val="22"/>
        </w:rPr>
        <w:t>Bhushan</w:t>
      </w:r>
      <w:r>
        <w:rPr>
          <w:spacing w:val="-8"/>
          <w:sz w:val="22"/>
        </w:rPr>
        <w:t> </w:t>
      </w:r>
      <w:r>
        <w:rPr>
          <w:spacing w:val="-2"/>
          <w:sz w:val="22"/>
        </w:rPr>
        <w:t>Patwardhan</w:t>
      </w:r>
    </w:p>
    <w:p>
      <w:pPr>
        <w:pStyle w:val="BodyText"/>
        <w:spacing w:line="268" w:lineRule="auto" w:before="31"/>
        <w:ind w:left="1439"/>
      </w:pPr>
      <w:r>
        <w:rPr>
          <w:spacing w:val="-4"/>
        </w:rPr>
        <w:t>Interdisciplinary</w:t>
      </w:r>
      <w:r>
        <w:rPr>
          <w:spacing w:val="-10"/>
        </w:rPr>
        <w:t> </w:t>
      </w:r>
      <w:r>
        <w:rPr>
          <w:spacing w:val="-4"/>
        </w:rPr>
        <w:t>School</w:t>
      </w:r>
      <w:r>
        <w:rPr>
          <w:spacing w:val="-10"/>
        </w:rPr>
        <w:t> </w:t>
      </w:r>
      <w:r>
        <w:rPr>
          <w:spacing w:val="-4"/>
        </w:rPr>
        <w:t>of</w:t>
      </w:r>
      <w:r>
        <w:rPr>
          <w:spacing w:val="-10"/>
        </w:rPr>
        <w:t> </w:t>
      </w:r>
      <w:r>
        <w:rPr>
          <w:spacing w:val="-4"/>
        </w:rPr>
        <w:t>Health</w:t>
      </w:r>
      <w:r>
        <w:rPr>
          <w:spacing w:val="-9"/>
        </w:rPr>
        <w:t> </w:t>
      </w:r>
      <w:r>
        <w:rPr>
          <w:spacing w:val="-4"/>
        </w:rPr>
        <w:t>Sciences, </w:t>
      </w:r>
      <w:r>
        <w:rPr/>
        <w:t>University of Pune</w:t>
      </w:r>
    </w:p>
    <w:p>
      <w:pPr>
        <w:pStyle w:val="ListParagraph"/>
        <w:numPr>
          <w:ilvl w:val="1"/>
          <w:numId w:val="81"/>
        </w:numPr>
        <w:tabs>
          <w:tab w:pos="1439" w:val="left" w:leader="none"/>
        </w:tabs>
        <w:spacing w:line="266" w:lineRule="auto" w:before="88" w:after="0"/>
        <w:ind w:left="1439" w:right="2316" w:hanging="360"/>
        <w:jc w:val="left"/>
        <w:rPr>
          <w:sz w:val="22"/>
        </w:rPr>
      </w:pPr>
      <w:r>
        <w:rPr>
          <w:sz w:val="22"/>
        </w:rPr>
        <w:t>Dr.</w:t>
      </w:r>
      <w:r>
        <w:rPr>
          <w:spacing w:val="-14"/>
          <w:sz w:val="22"/>
        </w:rPr>
        <w:t> </w:t>
      </w:r>
      <w:r>
        <w:rPr>
          <w:sz w:val="22"/>
        </w:rPr>
        <w:t>G.G.</w:t>
      </w:r>
      <w:r>
        <w:rPr>
          <w:spacing w:val="-14"/>
          <w:sz w:val="22"/>
        </w:rPr>
        <w:t> </w:t>
      </w:r>
      <w:r>
        <w:rPr>
          <w:sz w:val="22"/>
        </w:rPr>
        <w:t>Gangadharan FRLHT, Bangalore</w:t>
      </w:r>
    </w:p>
    <w:p>
      <w:pPr>
        <w:pStyle w:val="ListParagraph"/>
        <w:numPr>
          <w:ilvl w:val="1"/>
          <w:numId w:val="81"/>
        </w:numPr>
        <w:tabs>
          <w:tab w:pos="1439" w:val="left" w:leader="none"/>
        </w:tabs>
        <w:spacing w:line="240" w:lineRule="auto" w:before="88" w:after="0"/>
        <w:ind w:left="1439" w:right="0" w:hanging="359"/>
        <w:jc w:val="left"/>
        <w:rPr>
          <w:sz w:val="22"/>
        </w:rPr>
      </w:pPr>
      <w:r>
        <w:rPr>
          <w:spacing w:val="-2"/>
          <w:sz w:val="22"/>
        </w:rPr>
        <w:t>Dr.</w:t>
      </w:r>
      <w:r>
        <w:rPr>
          <w:spacing w:val="-9"/>
          <w:sz w:val="22"/>
        </w:rPr>
        <w:t> </w:t>
      </w:r>
      <w:r>
        <w:rPr>
          <w:spacing w:val="-2"/>
          <w:sz w:val="22"/>
        </w:rPr>
        <w:t>Padma</w:t>
      </w:r>
      <w:r>
        <w:rPr>
          <w:spacing w:val="-11"/>
          <w:sz w:val="22"/>
        </w:rPr>
        <w:t> </w:t>
      </w:r>
      <w:r>
        <w:rPr>
          <w:spacing w:val="-2"/>
          <w:sz w:val="22"/>
        </w:rPr>
        <w:t>Venkat</w:t>
      </w:r>
    </w:p>
    <w:p>
      <w:pPr>
        <w:pStyle w:val="BodyText"/>
        <w:spacing w:before="27"/>
        <w:ind w:left="1439"/>
      </w:pPr>
      <w:r>
        <w:rPr>
          <w:spacing w:val="-8"/>
        </w:rPr>
        <w:t>FRLHT,</w:t>
      </w:r>
      <w:r>
        <w:rPr>
          <w:spacing w:val="5"/>
        </w:rPr>
        <w:t> </w:t>
      </w:r>
      <w:r>
        <w:rPr>
          <w:spacing w:val="-8"/>
        </w:rPr>
        <w:t>Bangalore</w:t>
      </w:r>
      <w:r>
        <w:rPr>
          <w:spacing w:val="2"/>
        </w:rPr>
        <w:t> </w:t>
      </w:r>
      <w:r>
        <w:rPr>
          <w:spacing w:val="-8"/>
        </w:rPr>
        <w:t>Vaidya</w:t>
      </w:r>
      <w:r>
        <w:rPr>
          <w:spacing w:val="1"/>
        </w:rPr>
        <w:t> </w:t>
      </w:r>
      <w:r>
        <w:rPr>
          <w:spacing w:val="-8"/>
        </w:rPr>
        <w:t>Vilas</w:t>
      </w:r>
      <w:r>
        <w:rPr>
          <w:spacing w:val="6"/>
        </w:rPr>
        <w:t> </w:t>
      </w:r>
      <w:r>
        <w:rPr>
          <w:spacing w:val="-8"/>
        </w:rPr>
        <w:t>Nanal,</w:t>
      </w:r>
      <w:r>
        <w:rPr>
          <w:spacing w:val="5"/>
        </w:rPr>
        <w:t> </w:t>
      </w:r>
      <w:r>
        <w:rPr>
          <w:spacing w:val="-8"/>
        </w:rPr>
        <w:t>Pune</w:t>
      </w:r>
    </w:p>
    <w:p>
      <w:pPr>
        <w:pStyle w:val="ListParagraph"/>
        <w:numPr>
          <w:ilvl w:val="1"/>
          <w:numId w:val="81"/>
        </w:numPr>
        <w:tabs>
          <w:tab w:pos="1439" w:val="left" w:leader="none"/>
        </w:tabs>
        <w:spacing w:line="240" w:lineRule="auto" w:before="117" w:after="0"/>
        <w:ind w:left="1439" w:right="0" w:hanging="359"/>
        <w:jc w:val="left"/>
        <w:rPr>
          <w:sz w:val="22"/>
        </w:rPr>
      </w:pPr>
      <w:r>
        <w:rPr>
          <w:spacing w:val="-8"/>
          <w:sz w:val="22"/>
        </w:rPr>
        <w:t>Dr.</w:t>
      </w:r>
      <w:r>
        <w:rPr>
          <w:spacing w:val="-4"/>
          <w:sz w:val="22"/>
        </w:rPr>
        <w:t> </w:t>
      </w:r>
      <w:r>
        <w:rPr>
          <w:spacing w:val="-8"/>
          <w:sz w:val="22"/>
        </w:rPr>
        <w:t>Urmila</w:t>
      </w:r>
      <w:r>
        <w:rPr>
          <w:spacing w:val="-15"/>
          <w:sz w:val="22"/>
        </w:rPr>
        <w:t> </w:t>
      </w:r>
      <w:r>
        <w:rPr>
          <w:spacing w:val="-8"/>
          <w:sz w:val="22"/>
        </w:rPr>
        <w:t>Thatte</w:t>
      </w:r>
    </w:p>
    <w:p>
      <w:pPr>
        <w:pStyle w:val="BodyText"/>
        <w:spacing w:before="27"/>
        <w:ind w:left="1439"/>
      </w:pPr>
      <w:r>
        <w:rPr>
          <w:spacing w:val="-10"/>
        </w:rPr>
        <w:t>TN</w:t>
      </w:r>
      <w:r>
        <w:rPr>
          <w:spacing w:val="-1"/>
        </w:rPr>
        <w:t> </w:t>
      </w:r>
      <w:r>
        <w:rPr>
          <w:spacing w:val="-10"/>
        </w:rPr>
        <w:t>Medical</w:t>
      </w:r>
      <w:r>
        <w:rPr>
          <w:spacing w:val="-1"/>
        </w:rPr>
        <w:t> </w:t>
      </w:r>
      <w:r>
        <w:rPr>
          <w:spacing w:val="-10"/>
        </w:rPr>
        <w:t>College</w:t>
      </w:r>
      <w:r>
        <w:rPr>
          <w:spacing w:val="-1"/>
        </w:rPr>
        <w:t> </w:t>
      </w:r>
      <w:r>
        <w:rPr>
          <w:spacing w:val="-10"/>
        </w:rPr>
        <w:t>&amp;</w:t>
      </w:r>
      <w:r>
        <w:rPr>
          <w:spacing w:val="-1"/>
        </w:rPr>
        <w:t> </w:t>
      </w:r>
      <w:r>
        <w:rPr>
          <w:spacing w:val="-10"/>
        </w:rPr>
        <w:t>BYL</w:t>
      </w:r>
      <w:r>
        <w:rPr>
          <w:spacing w:val="-1"/>
        </w:rPr>
        <w:t> </w:t>
      </w:r>
      <w:r>
        <w:rPr>
          <w:spacing w:val="-10"/>
        </w:rPr>
        <w:t>Nair</w:t>
      </w:r>
      <w:r>
        <w:rPr>
          <w:spacing w:val="-1"/>
        </w:rPr>
        <w:t> </w:t>
      </w:r>
      <w:r>
        <w:rPr>
          <w:spacing w:val="-10"/>
        </w:rPr>
        <w:t>Hospital,</w:t>
      </w:r>
      <w:r>
        <w:rPr>
          <w:spacing w:val="-1"/>
        </w:rPr>
        <w:t> </w:t>
      </w:r>
      <w:r>
        <w:rPr>
          <w:spacing w:val="-10"/>
        </w:rPr>
        <w:t>Mumbai</w:t>
      </w:r>
    </w:p>
    <w:p>
      <w:pPr>
        <w:pStyle w:val="ListParagraph"/>
        <w:numPr>
          <w:ilvl w:val="1"/>
          <w:numId w:val="81"/>
        </w:numPr>
        <w:tabs>
          <w:tab w:pos="1439" w:val="left" w:leader="none"/>
        </w:tabs>
        <w:spacing w:line="240" w:lineRule="auto" w:before="117" w:after="0"/>
        <w:ind w:left="1439" w:right="0" w:hanging="359"/>
        <w:jc w:val="left"/>
        <w:rPr>
          <w:sz w:val="22"/>
        </w:rPr>
      </w:pPr>
      <w:r>
        <w:rPr>
          <w:spacing w:val="-4"/>
          <w:sz w:val="22"/>
        </w:rPr>
        <w:t>Mr.</w:t>
      </w:r>
      <w:r>
        <w:rPr>
          <w:spacing w:val="-7"/>
          <w:sz w:val="22"/>
        </w:rPr>
        <w:t> </w:t>
      </w:r>
      <w:r>
        <w:rPr>
          <w:spacing w:val="-4"/>
          <w:sz w:val="22"/>
        </w:rPr>
        <w:t>B.S.</w:t>
      </w:r>
      <w:r>
        <w:rPr>
          <w:spacing w:val="-7"/>
          <w:sz w:val="22"/>
        </w:rPr>
        <w:t> </w:t>
      </w:r>
      <w:r>
        <w:rPr>
          <w:spacing w:val="-4"/>
          <w:sz w:val="22"/>
        </w:rPr>
        <w:t>Sajwan</w:t>
      </w:r>
    </w:p>
    <w:p>
      <w:pPr>
        <w:pStyle w:val="BodyText"/>
        <w:spacing w:before="27"/>
        <w:ind w:left="1439"/>
      </w:pPr>
      <w:r>
        <w:rPr/>
        <w:t>NMPB,</w:t>
      </w:r>
      <w:r>
        <w:rPr>
          <w:spacing w:val="-6"/>
        </w:rPr>
        <w:t> </w:t>
      </w:r>
      <w:r>
        <w:rPr/>
        <w:t>GoI,</w:t>
      </w:r>
      <w:r>
        <w:rPr>
          <w:spacing w:val="-6"/>
        </w:rPr>
        <w:t> </w:t>
      </w:r>
      <w:r>
        <w:rPr/>
        <w:t>New</w:t>
      </w:r>
      <w:r>
        <w:rPr>
          <w:spacing w:val="-6"/>
        </w:rPr>
        <w:t> </w:t>
      </w:r>
      <w:r>
        <w:rPr>
          <w:spacing w:val="-2"/>
        </w:rPr>
        <w:t>Delhi</w:t>
      </w:r>
    </w:p>
    <w:p>
      <w:pPr>
        <w:pStyle w:val="ListParagraph"/>
        <w:numPr>
          <w:ilvl w:val="1"/>
          <w:numId w:val="81"/>
        </w:numPr>
        <w:tabs>
          <w:tab w:pos="1439" w:val="left" w:leader="none"/>
        </w:tabs>
        <w:spacing w:line="266" w:lineRule="auto" w:before="117" w:after="0"/>
        <w:ind w:left="1439" w:right="1967" w:hanging="360"/>
        <w:jc w:val="left"/>
        <w:rPr>
          <w:sz w:val="22"/>
        </w:rPr>
      </w:pPr>
      <w:r>
        <w:rPr>
          <w:spacing w:val="-6"/>
          <w:sz w:val="22"/>
        </w:rPr>
        <w:t>Dr. Vasantha</w:t>
      </w:r>
      <w:r>
        <w:rPr>
          <w:spacing w:val="-3"/>
          <w:sz w:val="22"/>
        </w:rPr>
        <w:t> </w:t>
      </w:r>
      <w:r>
        <w:rPr>
          <w:spacing w:val="-6"/>
          <w:sz w:val="22"/>
        </w:rPr>
        <w:t>Muthuswamy </w:t>
      </w:r>
      <w:r>
        <w:rPr>
          <w:sz w:val="22"/>
        </w:rPr>
        <w:t>ICMR, New Delhi</w:t>
      </w:r>
    </w:p>
    <w:p>
      <w:pPr>
        <w:pStyle w:val="ListParagraph"/>
        <w:numPr>
          <w:ilvl w:val="1"/>
          <w:numId w:val="81"/>
        </w:numPr>
        <w:tabs>
          <w:tab w:pos="1439" w:val="left" w:leader="none"/>
        </w:tabs>
        <w:spacing w:line="266" w:lineRule="auto" w:before="88" w:after="0"/>
        <w:ind w:left="1439" w:right="2508" w:hanging="360"/>
        <w:jc w:val="left"/>
        <w:rPr>
          <w:sz w:val="22"/>
        </w:rPr>
      </w:pPr>
      <w:r>
        <w:rPr>
          <w:spacing w:val="-8"/>
          <w:sz w:val="22"/>
        </w:rPr>
        <w:t>Mr.</w:t>
      </w:r>
      <w:r>
        <w:rPr>
          <w:spacing w:val="-6"/>
          <w:sz w:val="22"/>
        </w:rPr>
        <w:t> </w:t>
      </w:r>
      <w:r>
        <w:rPr>
          <w:spacing w:val="-8"/>
          <w:sz w:val="22"/>
        </w:rPr>
        <w:t>Verghese</w:t>
      </w:r>
      <w:r>
        <w:rPr>
          <w:spacing w:val="-6"/>
          <w:sz w:val="22"/>
        </w:rPr>
        <w:t> </w:t>
      </w:r>
      <w:r>
        <w:rPr>
          <w:spacing w:val="-8"/>
          <w:sz w:val="22"/>
        </w:rPr>
        <w:t>Samuel </w:t>
      </w:r>
      <w:r>
        <w:rPr>
          <w:sz w:val="22"/>
        </w:rPr>
        <w:t>JS, AYUSH</w:t>
      </w:r>
    </w:p>
    <w:p>
      <w:pPr>
        <w:pStyle w:val="ListParagraph"/>
        <w:numPr>
          <w:ilvl w:val="1"/>
          <w:numId w:val="81"/>
        </w:numPr>
        <w:tabs>
          <w:tab w:pos="1439" w:val="left" w:leader="none"/>
        </w:tabs>
        <w:spacing w:line="266" w:lineRule="auto" w:before="89" w:after="0"/>
        <w:ind w:left="1439" w:right="2734" w:hanging="360"/>
        <w:jc w:val="left"/>
        <w:rPr>
          <w:sz w:val="22"/>
        </w:rPr>
      </w:pPr>
      <w:r>
        <w:rPr>
          <w:spacing w:val="-8"/>
          <w:sz w:val="22"/>
        </w:rPr>
        <w:t>Dr.</w:t>
      </w:r>
      <w:r>
        <w:rPr>
          <w:spacing w:val="-6"/>
          <w:sz w:val="22"/>
        </w:rPr>
        <w:t> </w:t>
      </w:r>
      <w:r>
        <w:rPr>
          <w:spacing w:val="-8"/>
          <w:sz w:val="22"/>
        </w:rPr>
        <w:t>P.M.</w:t>
      </w:r>
      <w:r>
        <w:rPr>
          <w:spacing w:val="-6"/>
          <w:sz w:val="22"/>
        </w:rPr>
        <w:t> </w:t>
      </w:r>
      <w:r>
        <w:rPr>
          <w:spacing w:val="-8"/>
          <w:sz w:val="22"/>
        </w:rPr>
        <w:t>Bhargava </w:t>
      </w:r>
      <w:r>
        <w:rPr>
          <w:spacing w:val="-4"/>
          <w:sz w:val="22"/>
        </w:rPr>
        <w:t>NKC</w:t>
      </w:r>
    </w:p>
    <w:p>
      <w:pPr>
        <w:pStyle w:val="ListParagraph"/>
        <w:numPr>
          <w:ilvl w:val="1"/>
          <w:numId w:val="81"/>
        </w:numPr>
        <w:tabs>
          <w:tab w:pos="1440" w:val="left" w:leader="none"/>
        </w:tabs>
        <w:spacing w:line="266" w:lineRule="auto" w:before="88" w:after="0"/>
        <w:ind w:left="1440" w:right="2490" w:hanging="360"/>
        <w:jc w:val="left"/>
        <w:rPr>
          <w:sz w:val="22"/>
        </w:rPr>
      </w:pPr>
      <w:r>
        <w:rPr>
          <w:spacing w:val="-2"/>
          <w:sz w:val="22"/>
        </w:rPr>
        <w:t>Dr.</w:t>
      </w:r>
      <w:r>
        <w:rPr>
          <w:spacing w:val="-12"/>
          <w:sz w:val="22"/>
        </w:rPr>
        <w:t> </w:t>
      </w:r>
      <w:r>
        <w:rPr>
          <w:spacing w:val="-2"/>
          <w:sz w:val="22"/>
        </w:rPr>
        <w:t>Darshan</w:t>
      </w:r>
      <w:r>
        <w:rPr>
          <w:spacing w:val="-12"/>
          <w:sz w:val="22"/>
        </w:rPr>
        <w:t> </w:t>
      </w:r>
      <w:r>
        <w:rPr>
          <w:spacing w:val="-2"/>
          <w:sz w:val="22"/>
        </w:rPr>
        <w:t>Shankar FRLHT</w:t>
      </w:r>
    </w:p>
    <w:p>
      <w:pPr>
        <w:pStyle w:val="BodyText"/>
        <w:spacing w:before="12"/>
      </w:pPr>
    </w:p>
    <w:p>
      <w:pPr>
        <w:pStyle w:val="Heading6"/>
        <w:ind w:left="1080" w:firstLine="0"/>
      </w:pPr>
      <w:r>
        <w:rPr>
          <w:color w:val="2E614A"/>
          <w:spacing w:val="-2"/>
        </w:rPr>
        <w:t>Agriculture</w:t>
      </w:r>
    </w:p>
    <w:p>
      <w:pPr>
        <w:pStyle w:val="ListParagraph"/>
        <w:numPr>
          <w:ilvl w:val="0"/>
          <w:numId w:val="82"/>
        </w:numPr>
        <w:tabs>
          <w:tab w:pos="1439" w:val="left" w:leader="none"/>
        </w:tabs>
        <w:spacing w:line="240" w:lineRule="auto" w:before="286" w:after="0"/>
        <w:ind w:left="1439" w:right="0" w:hanging="359"/>
        <w:jc w:val="left"/>
        <w:rPr>
          <w:sz w:val="22"/>
        </w:rPr>
      </w:pPr>
      <w:r>
        <w:rPr>
          <w:spacing w:val="-6"/>
          <w:sz w:val="22"/>
        </w:rPr>
        <w:t>Dr.</w:t>
      </w:r>
      <w:r>
        <w:rPr>
          <w:spacing w:val="-4"/>
          <w:sz w:val="22"/>
        </w:rPr>
        <w:t> </w:t>
      </w:r>
      <w:r>
        <w:rPr>
          <w:spacing w:val="-6"/>
          <w:sz w:val="22"/>
        </w:rPr>
        <w:t>Bala</w:t>
      </w:r>
      <w:r>
        <w:rPr>
          <w:spacing w:val="-3"/>
          <w:sz w:val="22"/>
        </w:rPr>
        <w:t> </w:t>
      </w:r>
      <w:r>
        <w:rPr>
          <w:spacing w:val="-6"/>
          <w:sz w:val="22"/>
        </w:rPr>
        <w:t>Ravi</w:t>
      </w:r>
    </w:p>
    <w:p>
      <w:pPr>
        <w:pStyle w:val="BodyText"/>
        <w:spacing w:before="27"/>
        <w:ind w:left="1439"/>
      </w:pPr>
      <w:r>
        <w:rPr>
          <w:spacing w:val="-6"/>
        </w:rPr>
        <w:t>Advisor,</w:t>
      </w:r>
      <w:r>
        <w:rPr>
          <w:spacing w:val="-7"/>
        </w:rPr>
        <w:t> </w:t>
      </w:r>
      <w:r>
        <w:rPr>
          <w:spacing w:val="-6"/>
        </w:rPr>
        <w:t>M.S. Swaminathan Research Foundation</w:t>
      </w:r>
    </w:p>
    <w:p>
      <w:pPr>
        <w:pStyle w:val="ListParagraph"/>
        <w:numPr>
          <w:ilvl w:val="0"/>
          <w:numId w:val="82"/>
        </w:numPr>
        <w:tabs>
          <w:tab w:pos="1439" w:val="left" w:leader="none"/>
        </w:tabs>
        <w:spacing w:line="266" w:lineRule="auto" w:before="117" w:after="0"/>
        <w:ind w:left="1439" w:right="1972" w:hanging="360"/>
        <w:jc w:val="left"/>
        <w:rPr>
          <w:sz w:val="22"/>
        </w:rPr>
      </w:pPr>
      <w:r>
        <w:rPr>
          <w:sz w:val="22"/>
        </w:rPr>
        <w:t>Dr. Suman Sahai </w:t>
      </w:r>
      <w:r>
        <w:rPr>
          <w:spacing w:val="-4"/>
          <w:sz w:val="22"/>
        </w:rPr>
        <w:t>Convener,</w:t>
      </w:r>
      <w:r>
        <w:rPr>
          <w:spacing w:val="-9"/>
          <w:sz w:val="22"/>
        </w:rPr>
        <w:t> </w:t>
      </w:r>
      <w:r>
        <w:rPr>
          <w:spacing w:val="-4"/>
          <w:sz w:val="22"/>
        </w:rPr>
        <w:t>Gene</w:t>
      </w:r>
      <w:r>
        <w:rPr>
          <w:spacing w:val="-9"/>
          <w:sz w:val="22"/>
        </w:rPr>
        <w:t> </w:t>
      </w:r>
      <w:r>
        <w:rPr>
          <w:spacing w:val="-4"/>
          <w:sz w:val="22"/>
        </w:rPr>
        <w:t>Campaign</w:t>
      </w:r>
    </w:p>
    <w:p>
      <w:pPr>
        <w:pStyle w:val="ListParagraph"/>
        <w:numPr>
          <w:ilvl w:val="0"/>
          <w:numId w:val="82"/>
        </w:numPr>
        <w:tabs>
          <w:tab w:pos="1439" w:val="left" w:leader="none"/>
        </w:tabs>
        <w:spacing w:line="240" w:lineRule="auto" w:before="88" w:after="0"/>
        <w:ind w:left="1439" w:right="0" w:hanging="359"/>
        <w:jc w:val="left"/>
        <w:rPr>
          <w:sz w:val="22"/>
        </w:rPr>
      </w:pPr>
      <w:r>
        <w:rPr>
          <w:spacing w:val="-6"/>
          <w:sz w:val="22"/>
        </w:rPr>
        <w:t>Dr.</w:t>
      </w:r>
      <w:r>
        <w:rPr>
          <w:spacing w:val="-7"/>
          <w:sz w:val="22"/>
        </w:rPr>
        <w:t> </w:t>
      </w:r>
      <w:r>
        <w:rPr>
          <w:spacing w:val="-6"/>
          <w:sz w:val="22"/>
        </w:rPr>
        <w:t>Rajeswari Raina</w:t>
      </w:r>
    </w:p>
    <w:p>
      <w:pPr>
        <w:pStyle w:val="BodyText"/>
        <w:spacing w:before="27"/>
        <w:ind w:left="1439"/>
      </w:pPr>
      <w:r>
        <w:rPr>
          <w:spacing w:val="-6"/>
        </w:rPr>
        <w:t>Senior Research Fellow,</w:t>
      </w:r>
      <w:r>
        <w:rPr>
          <w:spacing w:val="-5"/>
        </w:rPr>
        <w:t> </w:t>
      </w:r>
      <w:r>
        <w:rPr>
          <w:spacing w:val="-6"/>
        </w:rPr>
        <w:t>Centre for</w:t>
      </w:r>
      <w:r>
        <w:rPr>
          <w:spacing w:val="-5"/>
        </w:rPr>
        <w:t> </w:t>
      </w:r>
      <w:r>
        <w:rPr>
          <w:spacing w:val="-6"/>
        </w:rPr>
        <w:t>Policy </w:t>
      </w:r>
      <w:r>
        <w:rPr>
          <w:spacing w:val="-8"/>
        </w:rPr>
        <w:t>Research</w:t>
      </w:r>
    </w:p>
    <w:p>
      <w:pPr>
        <w:pStyle w:val="ListParagraph"/>
        <w:numPr>
          <w:ilvl w:val="0"/>
          <w:numId w:val="82"/>
        </w:numPr>
        <w:tabs>
          <w:tab w:pos="1439" w:val="left" w:leader="none"/>
        </w:tabs>
        <w:spacing w:line="240" w:lineRule="auto" w:before="117" w:after="0"/>
        <w:ind w:left="1439" w:right="0" w:hanging="359"/>
        <w:jc w:val="left"/>
        <w:rPr>
          <w:sz w:val="22"/>
        </w:rPr>
      </w:pPr>
      <w:r>
        <w:rPr>
          <w:spacing w:val="-4"/>
          <w:sz w:val="22"/>
        </w:rPr>
        <w:t>Dr.</w:t>
      </w:r>
      <w:r>
        <w:rPr>
          <w:spacing w:val="-9"/>
          <w:sz w:val="22"/>
        </w:rPr>
        <w:t> </w:t>
      </w:r>
      <w:r>
        <w:rPr>
          <w:spacing w:val="-4"/>
          <w:sz w:val="22"/>
        </w:rPr>
        <w:t>Rasheed</w:t>
      </w:r>
      <w:r>
        <w:rPr>
          <w:spacing w:val="-7"/>
          <w:sz w:val="22"/>
        </w:rPr>
        <w:t> </w:t>
      </w:r>
      <w:r>
        <w:rPr>
          <w:spacing w:val="-4"/>
          <w:sz w:val="22"/>
        </w:rPr>
        <w:t>Sulaiman</w:t>
      </w:r>
      <w:r>
        <w:rPr>
          <w:spacing w:val="-9"/>
          <w:sz w:val="22"/>
        </w:rPr>
        <w:t> </w:t>
      </w:r>
      <w:r>
        <w:rPr>
          <w:spacing w:val="-10"/>
          <w:sz w:val="22"/>
        </w:rPr>
        <w:t>V</w:t>
      </w:r>
    </w:p>
    <w:p>
      <w:pPr>
        <w:pStyle w:val="BodyText"/>
        <w:spacing w:line="266" w:lineRule="auto" w:before="27"/>
        <w:ind w:left="1439"/>
      </w:pPr>
      <w:r>
        <w:rPr>
          <w:spacing w:val="-2"/>
        </w:rPr>
        <w:t>Director,</w:t>
      </w:r>
      <w:r>
        <w:rPr>
          <w:spacing w:val="-12"/>
        </w:rPr>
        <w:t> </w:t>
      </w:r>
      <w:r>
        <w:rPr>
          <w:spacing w:val="-2"/>
        </w:rPr>
        <w:t>Centre</w:t>
      </w:r>
      <w:r>
        <w:rPr>
          <w:spacing w:val="-12"/>
        </w:rPr>
        <w:t> </w:t>
      </w:r>
      <w:r>
        <w:rPr>
          <w:spacing w:val="-2"/>
        </w:rPr>
        <w:t>for</w:t>
      </w:r>
      <w:r>
        <w:rPr>
          <w:spacing w:val="-12"/>
        </w:rPr>
        <w:t> </w:t>
      </w:r>
      <w:r>
        <w:rPr>
          <w:spacing w:val="-2"/>
        </w:rPr>
        <w:t>Research</w:t>
      </w:r>
      <w:r>
        <w:rPr>
          <w:spacing w:val="-11"/>
        </w:rPr>
        <w:t> </w:t>
      </w:r>
      <w:r>
        <w:rPr>
          <w:spacing w:val="-2"/>
        </w:rPr>
        <w:t>on</w:t>
      </w:r>
      <w:r>
        <w:rPr>
          <w:spacing w:val="-12"/>
        </w:rPr>
        <w:t> </w:t>
      </w:r>
      <w:r>
        <w:rPr>
          <w:spacing w:val="-2"/>
        </w:rPr>
        <w:t>Innovation</w:t>
      </w:r>
      <w:r>
        <w:rPr>
          <w:spacing w:val="-12"/>
        </w:rPr>
        <w:t> </w:t>
      </w:r>
      <w:r>
        <w:rPr>
          <w:spacing w:val="-2"/>
        </w:rPr>
        <w:t>and </w:t>
      </w:r>
      <w:r>
        <w:rPr/>
        <w:t>Science Policy</w:t>
      </w:r>
    </w:p>
    <w:p>
      <w:pPr>
        <w:pStyle w:val="ListParagraph"/>
        <w:numPr>
          <w:ilvl w:val="0"/>
          <w:numId w:val="82"/>
        </w:numPr>
        <w:tabs>
          <w:tab w:pos="714" w:val="left" w:leader="none"/>
        </w:tabs>
        <w:spacing w:line="240" w:lineRule="auto" w:before="77" w:after="0"/>
        <w:ind w:left="714" w:right="0" w:hanging="359"/>
        <w:jc w:val="left"/>
        <w:rPr>
          <w:sz w:val="22"/>
        </w:rPr>
      </w:pPr>
      <w:r>
        <w:rPr/>
        <w:br w:type="column"/>
      </w:r>
      <w:r>
        <w:rPr>
          <w:spacing w:val="-4"/>
          <w:sz w:val="22"/>
        </w:rPr>
        <w:t>Dr.</w:t>
      </w:r>
      <w:r>
        <w:rPr>
          <w:spacing w:val="1"/>
          <w:sz w:val="22"/>
        </w:rPr>
        <w:t> </w:t>
      </w:r>
      <w:r>
        <w:rPr>
          <w:spacing w:val="-4"/>
          <w:sz w:val="22"/>
        </w:rPr>
        <w:t>Ramanjaneyulu</w:t>
      </w:r>
      <w:r>
        <w:rPr>
          <w:spacing w:val="2"/>
          <w:sz w:val="22"/>
        </w:rPr>
        <w:t> </w:t>
      </w:r>
      <w:r>
        <w:rPr>
          <w:spacing w:val="-4"/>
          <w:sz w:val="22"/>
        </w:rPr>
        <w:t>G.V.</w:t>
      </w:r>
    </w:p>
    <w:p>
      <w:pPr>
        <w:pStyle w:val="BodyText"/>
        <w:spacing w:line="266" w:lineRule="auto" w:before="27"/>
        <w:ind w:left="715" w:right="1123"/>
      </w:pPr>
      <w:r>
        <w:rPr>
          <w:spacing w:val="-4"/>
        </w:rPr>
        <w:t>Executive</w:t>
      </w:r>
      <w:r>
        <w:rPr>
          <w:spacing w:val="-10"/>
        </w:rPr>
        <w:t> </w:t>
      </w:r>
      <w:r>
        <w:rPr>
          <w:spacing w:val="-4"/>
        </w:rPr>
        <w:t>Director,</w:t>
      </w:r>
      <w:r>
        <w:rPr>
          <w:spacing w:val="-10"/>
        </w:rPr>
        <w:t> </w:t>
      </w:r>
      <w:r>
        <w:rPr>
          <w:spacing w:val="-4"/>
        </w:rPr>
        <w:t>Centre</w:t>
      </w:r>
      <w:r>
        <w:rPr>
          <w:spacing w:val="-10"/>
        </w:rPr>
        <w:t> </w:t>
      </w:r>
      <w:r>
        <w:rPr>
          <w:spacing w:val="-4"/>
        </w:rPr>
        <w:t>for</w:t>
      </w:r>
      <w:r>
        <w:rPr>
          <w:spacing w:val="-9"/>
        </w:rPr>
        <w:t> </w:t>
      </w:r>
      <w:r>
        <w:rPr>
          <w:spacing w:val="-4"/>
        </w:rPr>
        <w:t>Sustainable </w:t>
      </w:r>
      <w:r>
        <w:rPr>
          <w:spacing w:val="-2"/>
        </w:rPr>
        <w:t>Agriculture</w:t>
      </w:r>
    </w:p>
    <w:p>
      <w:pPr>
        <w:pStyle w:val="ListParagraph"/>
        <w:numPr>
          <w:ilvl w:val="0"/>
          <w:numId w:val="82"/>
        </w:numPr>
        <w:tabs>
          <w:tab w:pos="714" w:val="left" w:leader="none"/>
        </w:tabs>
        <w:spacing w:line="240" w:lineRule="auto" w:before="89" w:after="0"/>
        <w:ind w:left="714" w:right="0" w:hanging="359"/>
        <w:jc w:val="left"/>
        <w:rPr>
          <w:sz w:val="22"/>
        </w:rPr>
      </w:pPr>
      <w:r>
        <w:rPr>
          <w:spacing w:val="-4"/>
          <w:sz w:val="22"/>
        </w:rPr>
        <w:t>Mr.</w:t>
      </w:r>
      <w:r>
        <w:rPr>
          <w:spacing w:val="-3"/>
          <w:sz w:val="22"/>
        </w:rPr>
        <w:t> </w:t>
      </w:r>
      <w:r>
        <w:rPr>
          <w:spacing w:val="-4"/>
          <w:sz w:val="22"/>
        </w:rPr>
        <w:t>Debashish</w:t>
      </w:r>
      <w:r>
        <w:rPr>
          <w:spacing w:val="-3"/>
          <w:sz w:val="22"/>
        </w:rPr>
        <w:t> </w:t>
      </w:r>
      <w:r>
        <w:rPr>
          <w:spacing w:val="-4"/>
          <w:sz w:val="22"/>
        </w:rPr>
        <w:t>Mitra</w:t>
      </w:r>
    </w:p>
    <w:p>
      <w:pPr>
        <w:pStyle w:val="BodyText"/>
        <w:spacing w:line="266" w:lineRule="auto" w:before="27"/>
        <w:ind w:left="715" w:right="2304"/>
      </w:pPr>
      <w:r>
        <w:rPr>
          <w:spacing w:val="-2"/>
        </w:rPr>
        <w:t>Founder</w:t>
      </w:r>
      <w:r>
        <w:rPr>
          <w:spacing w:val="-12"/>
        </w:rPr>
        <w:t> </w:t>
      </w:r>
      <w:r>
        <w:rPr>
          <w:spacing w:val="-2"/>
        </w:rPr>
        <w:t>and</w:t>
      </w:r>
      <w:r>
        <w:rPr>
          <w:spacing w:val="-12"/>
        </w:rPr>
        <w:t> </w:t>
      </w:r>
      <w:r>
        <w:rPr>
          <w:spacing w:val="-2"/>
        </w:rPr>
        <w:t>Managing</w:t>
      </w:r>
      <w:r>
        <w:rPr>
          <w:spacing w:val="-12"/>
        </w:rPr>
        <w:t> </w:t>
      </w:r>
      <w:r>
        <w:rPr>
          <w:spacing w:val="-2"/>
        </w:rPr>
        <w:t>Director, </w:t>
      </w:r>
      <w:r>
        <w:rPr/>
        <w:t>Calypso Foods</w:t>
      </w:r>
    </w:p>
    <w:p>
      <w:pPr>
        <w:pStyle w:val="ListParagraph"/>
        <w:numPr>
          <w:ilvl w:val="0"/>
          <w:numId w:val="82"/>
        </w:numPr>
        <w:tabs>
          <w:tab w:pos="715" w:val="left" w:leader="none"/>
        </w:tabs>
        <w:spacing w:line="266" w:lineRule="auto" w:before="88" w:after="0"/>
        <w:ind w:left="715" w:right="3269" w:hanging="360"/>
        <w:jc w:val="left"/>
        <w:rPr>
          <w:sz w:val="22"/>
        </w:rPr>
      </w:pPr>
      <w:r>
        <w:rPr>
          <w:sz w:val="22"/>
        </w:rPr>
        <w:t>Dr. Vijay Jawandhia </w:t>
      </w:r>
      <w:r>
        <w:rPr>
          <w:spacing w:val="-6"/>
          <w:sz w:val="22"/>
        </w:rPr>
        <w:t>Shetkari Sanghatana </w:t>
      </w:r>
      <w:r>
        <w:rPr>
          <w:spacing w:val="-6"/>
          <w:sz w:val="22"/>
        </w:rPr>
        <w:t>Paik</w:t>
      </w:r>
    </w:p>
    <w:p>
      <w:pPr>
        <w:pStyle w:val="ListParagraph"/>
        <w:numPr>
          <w:ilvl w:val="0"/>
          <w:numId w:val="82"/>
        </w:numPr>
        <w:tabs>
          <w:tab w:pos="714" w:val="left" w:leader="none"/>
        </w:tabs>
        <w:spacing w:line="240" w:lineRule="auto" w:before="89" w:after="0"/>
        <w:ind w:left="714" w:right="0" w:hanging="359"/>
        <w:jc w:val="left"/>
        <w:rPr>
          <w:sz w:val="22"/>
        </w:rPr>
      </w:pPr>
      <w:r>
        <w:rPr>
          <w:spacing w:val="-8"/>
          <w:sz w:val="22"/>
        </w:rPr>
        <w:t>Dr.</w:t>
      </w:r>
      <w:r>
        <w:rPr>
          <w:spacing w:val="-4"/>
          <w:sz w:val="22"/>
        </w:rPr>
        <w:t> </w:t>
      </w:r>
      <w:r>
        <w:rPr>
          <w:spacing w:val="-8"/>
          <w:sz w:val="22"/>
        </w:rPr>
        <w:t>P.</w:t>
      </w:r>
      <w:r>
        <w:rPr>
          <w:spacing w:val="-4"/>
          <w:sz w:val="22"/>
        </w:rPr>
        <w:t> </w:t>
      </w:r>
      <w:r>
        <w:rPr>
          <w:spacing w:val="-8"/>
          <w:sz w:val="22"/>
        </w:rPr>
        <w:t>Geethakutty,</w:t>
      </w:r>
    </w:p>
    <w:p>
      <w:pPr>
        <w:pStyle w:val="BodyText"/>
        <w:spacing w:line="266" w:lineRule="auto" w:before="27"/>
        <w:ind w:left="715" w:right="1123"/>
      </w:pPr>
      <w:r>
        <w:rPr>
          <w:spacing w:val="-2"/>
        </w:rPr>
        <w:t>Head,</w:t>
      </w:r>
      <w:r>
        <w:rPr>
          <w:spacing w:val="-9"/>
        </w:rPr>
        <w:t> </w:t>
      </w:r>
      <w:r>
        <w:rPr>
          <w:spacing w:val="-2"/>
        </w:rPr>
        <w:t>Centre</w:t>
      </w:r>
      <w:r>
        <w:rPr>
          <w:spacing w:val="-9"/>
        </w:rPr>
        <w:t> </w:t>
      </w:r>
      <w:r>
        <w:rPr>
          <w:spacing w:val="-2"/>
        </w:rPr>
        <w:t>for</w:t>
      </w:r>
      <w:r>
        <w:rPr>
          <w:spacing w:val="-9"/>
        </w:rPr>
        <w:t> </w:t>
      </w:r>
      <w:r>
        <w:rPr>
          <w:spacing w:val="-2"/>
        </w:rPr>
        <w:t>Gender</w:t>
      </w:r>
      <w:r>
        <w:rPr>
          <w:spacing w:val="-9"/>
        </w:rPr>
        <w:t> </w:t>
      </w:r>
      <w:r>
        <w:rPr>
          <w:spacing w:val="-2"/>
        </w:rPr>
        <w:t>Studies,</w:t>
      </w:r>
      <w:r>
        <w:rPr>
          <w:spacing w:val="-9"/>
        </w:rPr>
        <w:t> </w:t>
      </w:r>
      <w:r>
        <w:rPr>
          <w:spacing w:val="-2"/>
        </w:rPr>
        <w:t>National </w:t>
      </w:r>
      <w:r>
        <w:rPr/>
        <w:t>Institute of Rural Development</w:t>
      </w:r>
    </w:p>
    <w:p>
      <w:pPr>
        <w:pStyle w:val="ListParagraph"/>
        <w:numPr>
          <w:ilvl w:val="0"/>
          <w:numId w:val="82"/>
        </w:numPr>
        <w:tabs>
          <w:tab w:pos="714" w:val="left" w:leader="none"/>
        </w:tabs>
        <w:spacing w:line="240" w:lineRule="auto" w:before="88" w:after="0"/>
        <w:ind w:left="714" w:right="0" w:hanging="359"/>
        <w:jc w:val="left"/>
        <w:rPr>
          <w:sz w:val="22"/>
        </w:rPr>
      </w:pPr>
      <w:r>
        <w:rPr>
          <w:spacing w:val="-6"/>
          <w:sz w:val="22"/>
        </w:rPr>
        <w:t>Prof. S.</w:t>
      </w:r>
      <w:r>
        <w:rPr>
          <w:spacing w:val="-8"/>
          <w:sz w:val="22"/>
        </w:rPr>
        <w:t> </w:t>
      </w:r>
      <w:r>
        <w:rPr>
          <w:spacing w:val="-6"/>
          <w:sz w:val="22"/>
        </w:rPr>
        <w:t>Venku</w:t>
      </w:r>
      <w:r>
        <w:rPr>
          <w:spacing w:val="-5"/>
          <w:sz w:val="22"/>
        </w:rPr>
        <w:t> </w:t>
      </w:r>
      <w:r>
        <w:rPr>
          <w:spacing w:val="-6"/>
          <w:sz w:val="22"/>
        </w:rPr>
        <w:t>Reddy</w:t>
      </w:r>
    </w:p>
    <w:p>
      <w:pPr>
        <w:pStyle w:val="BodyText"/>
        <w:spacing w:line="266" w:lineRule="auto" w:before="27"/>
        <w:ind w:left="715" w:right="1123"/>
      </w:pPr>
      <w:r>
        <w:rPr>
          <w:spacing w:val="-4"/>
        </w:rPr>
        <w:t>Executive</w:t>
      </w:r>
      <w:r>
        <w:rPr>
          <w:spacing w:val="-10"/>
        </w:rPr>
        <w:t> </w:t>
      </w:r>
      <w:r>
        <w:rPr>
          <w:spacing w:val="-4"/>
        </w:rPr>
        <w:t>Director,</w:t>
      </w:r>
      <w:r>
        <w:rPr>
          <w:spacing w:val="-10"/>
        </w:rPr>
        <w:t> </w:t>
      </w:r>
      <w:r>
        <w:rPr>
          <w:spacing w:val="-4"/>
        </w:rPr>
        <w:t>Participatory</w:t>
      </w:r>
      <w:r>
        <w:rPr>
          <w:spacing w:val="-10"/>
        </w:rPr>
        <w:t> </w:t>
      </w:r>
      <w:r>
        <w:rPr>
          <w:spacing w:val="-4"/>
        </w:rPr>
        <w:t>Rural </w:t>
      </w:r>
      <w:r>
        <w:rPr/>
        <w:t>Development Initiatives</w:t>
      </w:r>
    </w:p>
    <w:p>
      <w:pPr>
        <w:pStyle w:val="ListParagraph"/>
        <w:numPr>
          <w:ilvl w:val="0"/>
          <w:numId w:val="82"/>
        </w:numPr>
        <w:tabs>
          <w:tab w:pos="714" w:val="left" w:leader="none"/>
        </w:tabs>
        <w:spacing w:line="240" w:lineRule="auto" w:before="88" w:after="0"/>
        <w:ind w:left="714" w:right="0" w:hanging="359"/>
        <w:jc w:val="left"/>
        <w:rPr>
          <w:sz w:val="22"/>
        </w:rPr>
      </w:pPr>
      <w:r>
        <w:rPr>
          <w:sz w:val="22"/>
        </w:rPr>
        <w:t>Dr.</w:t>
      </w:r>
      <w:r>
        <w:rPr>
          <w:spacing w:val="-3"/>
          <w:sz w:val="22"/>
        </w:rPr>
        <w:t> </w:t>
      </w:r>
      <w:r>
        <w:rPr>
          <w:sz w:val="22"/>
        </w:rPr>
        <w:t>N.K.</w:t>
      </w:r>
      <w:r>
        <w:rPr>
          <w:spacing w:val="-3"/>
          <w:sz w:val="22"/>
        </w:rPr>
        <w:t> </w:t>
      </w:r>
      <w:r>
        <w:rPr>
          <w:spacing w:val="-2"/>
          <w:sz w:val="22"/>
        </w:rPr>
        <w:t>Sanghi</w:t>
      </w:r>
    </w:p>
    <w:p>
      <w:pPr>
        <w:pStyle w:val="BodyText"/>
        <w:spacing w:line="266" w:lineRule="auto" w:before="27"/>
        <w:ind w:left="715" w:right="1123"/>
      </w:pPr>
      <w:r>
        <w:rPr>
          <w:spacing w:val="-6"/>
        </w:rPr>
        <w:t>Adviser,</w:t>
      </w:r>
      <w:r>
        <w:rPr>
          <w:spacing w:val="-8"/>
        </w:rPr>
        <w:t> </w:t>
      </w:r>
      <w:r>
        <w:rPr>
          <w:spacing w:val="-6"/>
        </w:rPr>
        <w:t>Watershed</w:t>
      </w:r>
      <w:r>
        <w:rPr>
          <w:spacing w:val="-8"/>
        </w:rPr>
        <w:t> </w:t>
      </w:r>
      <w:r>
        <w:rPr>
          <w:spacing w:val="-6"/>
        </w:rPr>
        <w:t>Support</w:t>
      </w:r>
      <w:r>
        <w:rPr>
          <w:spacing w:val="-8"/>
        </w:rPr>
        <w:t> </w:t>
      </w:r>
      <w:r>
        <w:rPr>
          <w:spacing w:val="-6"/>
        </w:rPr>
        <w:t>Services</w:t>
      </w:r>
      <w:r>
        <w:rPr>
          <w:spacing w:val="-7"/>
        </w:rPr>
        <w:t> </w:t>
      </w:r>
      <w:r>
        <w:rPr>
          <w:spacing w:val="-6"/>
        </w:rPr>
        <w:t>and</w:t>
      </w:r>
      <w:r>
        <w:rPr>
          <w:spacing w:val="-8"/>
        </w:rPr>
        <w:t> </w:t>
      </w:r>
      <w:r>
        <w:rPr>
          <w:spacing w:val="-6"/>
        </w:rPr>
        <w:t>Activities </w:t>
      </w:r>
      <w:r>
        <w:rPr/>
        <w:t>Network (WASSAN)</w:t>
      </w:r>
    </w:p>
    <w:p>
      <w:pPr>
        <w:pStyle w:val="ListParagraph"/>
        <w:numPr>
          <w:ilvl w:val="0"/>
          <w:numId w:val="82"/>
        </w:numPr>
        <w:tabs>
          <w:tab w:pos="714" w:val="left" w:leader="none"/>
        </w:tabs>
        <w:spacing w:line="240" w:lineRule="auto" w:before="89" w:after="0"/>
        <w:ind w:left="714" w:right="0" w:hanging="359"/>
        <w:jc w:val="left"/>
        <w:rPr>
          <w:sz w:val="22"/>
        </w:rPr>
      </w:pPr>
      <w:r>
        <w:rPr>
          <w:spacing w:val="-6"/>
          <w:sz w:val="22"/>
        </w:rPr>
        <w:t>Mr.</w:t>
      </w:r>
      <w:r>
        <w:rPr>
          <w:spacing w:val="-3"/>
          <w:sz w:val="22"/>
        </w:rPr>
        <w:t> </w:t>
      </w:r>
      <w:r>
        <w:rPr>
          <w:spacing w:val="-6"/>
          <w:sz w:val="22"/>
        </w:rPr>
        <w:t>R.</w:t>
      </w:r>
      <w:r>
        <w:rPr>
          <w:spacing w:val="-3"/>
          <w:sz w:val="22"/>
        </w:rPr>
        <w:t> </w:t>
      </w:r>
      <w:r>
        <w:rPr>
          <w:spacing w:val="-6"/>
          <w:sz w:val="22"/>
        </w:rPr>
        <w:t>Kevichusa</w:t>
      </w:r>
      <w:r>
        <w:rPr>
          <w:spacing w:val="-3"/>
          <w:sz w:val="22"/>
        </w:rPr>
        <w:t> </w:t>
      </w:r>
      <w:r>
        <w:rPr>
          <w:spacing w:val="-6"/>
          <w:sz w:val="22"/>
        </w:rPr>
        <w:t>(retd.)</w:t>
      </w:r>
    </w:p>
    <w:p>
      <w:pPr>
        <w:pStyle w:val="BodyText"/>
        <w:spacing w:line="266" w:lineRule="auto" w:before="27"/>
        <w:ind w:left="715" w:right="1123"/>
      </w:pPr>
      <w:r>
        <w:rPr>
          <w:spacing w:val="-4"/>
        </w:rPr>
        <w:t>Former</w:t>
      </w:r>
      <w:r>
        <w:rPr>
          <w:spacing w:val="-5"/>
        </w:rPr>
        <w:t> </w:t>
      </w:r>
      <w:r>
        <w:rPr>
          <w:spacing w:val="-4"/>
        </w:rPr>
        <w:t>Official</w:t>
      </w:r>
      <w:r>
        <w:rPr>
          <w:spacing w:val="-5"/>
        </w:rPr>
        <w:t> </w:t>
      </w:r>
      <w:r>
        <w:rPr>
          <w:spacing w:val="-4"/>
        </w:rPr>
        <w:t>Department</w:t>
      </w:r>
      <w:r>
        <w:rPr>
          <w:spacing w:val="-5"/>
        </w:rPr>
        <w:t> </w:t>
      </w:r>
      <w:r>
        <w:rPr>
          <w:spacing w:val="-4"/>
        </w:rPr>
        <w:t>of</w:t>
      </w:r>
      <w:r>
        <w:rPr>
          <w:spacing w:val="-5"/>
        </w:rPr>
        <w:t> </w:t>
      </w:r>
      <w:r>
        <w:rPr>
          <w:spacing w:val="-4"/>
        </w:rPr>
        <w:t>Agriculture </w:t>
      </w:r>
      <w:r>
        <w:rPr/>
        <w:t>Government of Nagaland</w:t>
      </w:r>
    </w:p>
    <w:p>
      <w:pPr>
        <w:pStyle w:val="BodyText"/>
        <w:spacing w:before="12"/>
      </w:pPr>
    </w:p>
    <w:p>
      <w:pPr>
        <w:pStyle w:val="Heading6"/>
        <w:ind w:left="355" w:firstLine="0"/>
      </w:pPr>
      <w:r>
        <w:rPr>
          <w:color w:val="2E614A"/>
          <w:spacing w:val="-6"/>
        </w:rPr>
        <w:t>Quality</w:t>
      </w:r>
      <w:r>
        <w:rPr>
          <w:color w:val="2E614A"/>
          <w:spacing w:val="-14"/>
        </w:rPr>
        <w:t> </w:t>
      </w:r>
      <w:r>
        <w:rPr>
          <w:color w:val="2E614A"/>
          <w:spacing w:val="-6"/>
        </w:rPr>
        <w:t>of</w:t>
      </w:r>
      <w:r>
        <w:rPr>
          <w:color w:val="2E614A"/>
          <w:spacing w:val="-14"/>
        </w:rPr>
        <w:t> </w:t>
      </w:r>
      <w:r>
        <w:rPr>
          <w:color w:val="2E614A"/>
          <w:spacing w:val="-6"/>
        </w:rPr>
        <w:t>Life</w:t>
      </w:r>
    </w:p>
    <w:p>
      <w:pPr>
        <w:pStyle w:val="ListParagraph"/>
        <w:numPr>
          <w:ilvl w:val="0"/>
          <w:numId w:val="83"/>
        </w:numPr>
        <w:tabs>
          <w:tab w:pos="714" w:val="left" w:leader="none"/>
        </w:tabs>
        <w:spacing w:line="240" w:lineRule="auto" w:before="285" w:after="0"/>
        <w:ind w:left="714" w:right="0" w:hanging="359"/>
        <w:jc w:val="left"/>
        <w:rPr>
          <w:sz w:val="22"/>
        </w:rPr>
      </w:pPr>
      <w:r>
        <w:rPr>
          <w:spacing w:val="-2"/>
          <w:sz w:val="22"/>
        </w:rPr>
        <w:t>Mr.</w:t>
      </w:r>
      <w:r>
        <w:rPr>
          <w:spacing w:val="-13"/>
          <w:sz w:val="22"/>
        </w:rPr>
        <w:t> </w:t>
      </w:r>
      <w:r>
        <w:rPr>
          <w:spacing w:val="-2"/>
          <w:sz w:val="22"/>
        </w:rPr>
        <w:t>Bunker</w:t>
      </w:r>
      <w:r>
        <w:rPr>
          <w:spacing w:val="-10"/>
          <w:sz w:val="22"/>
        </w:rPr>
        <w:t> </w:t>
      </w:r>
      <w:r>
        <w:rPr>
          <w:spacing w:val="-5"/>
          <w:sz w:val="22"/>
        </w:rPr>
        <w:t>Roy</w:t>
      </w:r>
    </w:p>
    <w:p>
      <w:pPr>
        <w:pStyle w:val="BodyText"/>
        <w:spacing w:before="27"/>
        <w:ind w:left="715"/>
      </w:pPr>
      <w:r>
        <w:rPr>
          <w:spacing w:val="-6"/>
        </w:rPr>
        <w:t>Barefoot</w:t>
      </w:r>
      <w:r>
        <w:rPr>
          <w:spacing w:val="7"/>
        </w:rPr>
        <w:t> </w:t>
      </w:r>
      <w:r>
        <w:rPr>
          <w:spacing w:val="-6"/>
        </w:rPr>
        <w:t>College,</w:t>
      </w:r>
      <w:r>
        <w:rPr>
          <w:spacing w:val="-5"/>
        </w:rPr>
        <w:t> </w:t>
      </w:r>
      <w:r>
        <w:rPr>
          <w:spacing w:val="-6"/>
        </w:rPr>
        <w:t>Tilonia,</w:t>
      </w:r>
      <w:r>
        <w:rPr>
          <w:spacing w:val="8"/>
        </w:rPr>
        <w:t> </w:t>
      </w:r>
      <w:r>
        <w:rPr>
          <w:spacing w:val="-6"/>
        </w:rPr>
        <w:t>Convenor</w:t>
      </w:r>
    </w:p>
    <w:p>
      <w:pPr>
        <w:pStyle w:val="ListParagraph"/>
        <w:numPr>
          <w:ilvl w:val="0"/>
          <w:numId w:val="83"/>
        </w:numPr>
        <w:tabs>
          <w:tab w:pos="714" w:val="left" w:leader="none"/>
        </w:tabs>
        <w:spacing w:line="240" w:lineRule="auto" w:before="117" w:after="0"/>
        <w:ind w:left="714" w:right="0" w:hanging="359"/>
        <w:jc w:val="left"/>
        <w:rPr>
          <w:sz w:val="22"/>
        </w:rPr>
      </w:pPr>
      <w:r>
        <w:rPr>
          <w:spacing w:val="-2"/>
          <w:sz w:val="22"/>
        </w:rPr>
        <w:t>Ms.</w:t>
      </w:r>
      <w:r>
        <w:rPr>
          <w:spacing w:val="-11"/>
          <w:sz w:val="22"/>
        </w:rPr>
        <w:t> </w:t>
      </w:r>
      <w:r>
        <w:rPr>
          <w:spacing w:val="-2"/>
          <w:sz w:val="22"/>
        </w:rPr>
        <w:t>Renana</w:t>
      </w:r>
      <w:r>
        <w:rPr>
          <w:spacing w:val="-11"/>
          <w:sz w:val="22"/>
        </w:rPr>
        <w:t> </w:t>
      </w:r>
      <w:r>
        <w:rPr>
          <w:spacing w:val="-2"/>
          <w:sz w:val="22"/>
        </w:rPr>
        <w:t>Jhabvala</w:t>
      </w:r>
    </w:p>
    <w:p>
      <w:pPr>
        <w:pStyle w:val="BodyText"/>
        <w:spacing w:line="266" w:lineRule="auto" w:before="27"/>
        <w:ind w:left="715" w:right="1265"/>
      </w:pPr>
      <w:r>
        <w:rPr>
          <w:spacing w:val="-2"/>
        </w:rPr>
        <w:t>Coordinator</w:t>
      </w:r>
      <w:r>
        <w:rPr>
          <w:spacing w:val="-12"/>
        </w:rPr>
        <w:t> </w:t>
      </w:r>
      <w:r>
        <w:rPr>
          <w:spacing w:val="-2"/>
        </w:rPr>
        <w:t>and</w:t>
      </w:r>
      <w:r>
        <w:rPr>
          <w:spacing w:val="-12"/>
        </w:rPr>
        <w:t> </w:t>
      </w:r>
      <w:r>
        <w:rPr>
          <w:spacing w:val="-2"/>
        </w:rPr>
        <w:t>Member,</w:t>
      </w:r>
      <w:r>
        <w:rPr>
          <w:spacing w:val="-12"/>
        </w:rPr>
        <w:t> </w:t>
      </w:r>
      <w:r>
        <w:rPr>
          <w:spacing w:val="-2"/>
        </w:rPr>
        <w:t>Executive</w:t>
      </w:r>
      <w:r>
        <w:rPr>
          <w:spacing w:val="-11"/>
        </w:rPr>
        <w:t> </w:t>
      </w:r>
      <w:r>
        <w:rPr>
          <w:spacing w:val="-2"/>
        </w:rPr>
        <w:t>Committee </w:t>
      </w:r>
      <w:r>
        <w:rPr>
          <w:spacing w:val="-6"/>
        </w:rPr>
        <w:t>Self-Employed</w:t>
      </w:r>
      <w:r>
        <w:rPr>
          <w:spacing w:val="-8"/>
        </w:rPr>
        <w:t> </w:t>
      </w:r>
      <w:r>
        <w:rPr>
          <w:spacing w:val="-6"/>
        </w:rPr>
        <w:t>Women’s</w:t>
      </w:r>
      <w:r>
        <w:rPr>
          <w:spacing w:val="-8"/>
        </w:rPr>
        <w:t> </w:t>
      </w:r>
      <w:r>
        <w:rPr>
          <w:spacing w:val="-6"/>
        </w:rPr>
        <w:t>Association</w:t>
      </w:r>
      <w:r>
        <w:rPr>
          <w:spacing w:val="-8"/>
        </w:rPr>
        <w:t> </w:t>
      </w:r>
      <w:r>
        <w:rPr>
          <w:spacing w:val="-6"/>
        </w:rPr>
        <w:t>(SEWA)</w:t>
      </w:r>
      <w:r>
        <w:rPr>
          <w:spacing w:val="-7"/>
        </w:rPr>
        <w:t> </w:t>
      </w:r>
      <w:r>
        <w:rPr>
          <w:spacing w:val="-6"/>
        </w:rPr>
        <w:t>in </w:t>
      </w:r>
      <w:r>
        <w:rPr>
          <w:spacing w:val="-2"/>
        </w:rPr>
        <w:t>Ahmedabad</w:t>
      </w:r>
    </w:p>
    <w:p>
      <w:pPr>
        <w:pStyle w:val="ListParagraph"/>
        <w:numPr>
          <w:ilvl w:val="0"/>
          <w:numId w:val="83"/>
        </w:numPr>
        <w:tabs>
          <w:tab w:pos="715" w:val="left" w:leader="none"/>
        </w:tabs>
        <w:spacing w:line="266" w:lineRule="auto" w:before="88" w:after="0"/>
        <w:ind w:left="715" w:right="3795" w:hanging="360"/>
        <w:jc w:val="left"/>
        <w:rPr>
          <w:sz w:val="22"/>
        </w:rPr>
      </w:pPr>
      <w:r>
        <w:rPr>
          <w:spacing w:val="-6"/>
          <w:sz w:val="22"/>
        </w:rPr>
        <w:t>Mr.</w:t>
      </w:r>
      <w:r>
        <w:rPr>
          <w:spacing w:val="-8"/>
          <w:sz w:val="22"/>
        </w:rPr>
        <w:t> </w:t>
      </w:r>
      <w:r>
        <w:rPr>
          <w:spacing w:val="-6"/>
          <w:sz w:val="22"/>
        </w:rPr>
        <w:t>Vijay</w:t>
      </w:r>
      <w:r>
        <w:rPr>
          <w:spacing w:val="-8"/>
          <w:sz w:val="22"/>
        </w:rPr>
        <w:t> </w:t>
      </w:r>
      <w:r>
        <w:rPr>
          <w:spacing w:val="-6"/>
          <w:sz w:val="22"/>
        </w:rPr>
        <w:t>Mahajan </w:t>
      </w:r>
      <w:r>
        <w:rPr>
          <w:sz w:val="22"/>
        </w:rPr>
        <w:t>Basix, Hyderabad</w:t>
      </w:r>
    </w:p>
    <w:p>
      <w:pPr>
        <w:pStyle w:val="ListParagraph"/>
        <w:numPr>
          <w:ilvl w:val="0"/>
          <w:numId w:val="83"/>
        </w:numPr>
        <w:tabs>
          <w:tab w:pos="714" w:val="left" w:leader="none"/>
        </w:tabs>
        <w:spacing w:line="240" w:lineRule="auto" w:before="88" w:after="0"/>
        <w:ind w:left="714" w:right="0" w:hanging="359"/>
        <w:jc w:val="left"/>
        <w:rPr>
          <w:sz w:val="22"/>
        </w:rPr>
      </w:pPr>
      <w:r>
        <w:rPr>
          <w:sz w:val="22"/>
        </w:rPr>
        <w:t>Mr.</w:t>
      </w:r>
      <w:r>
        <w:rPr>
          <w:spacing w:val="-13"/>
          <w:sz w:val="22"/>
        </w:rPr>
        <w:t> </w:t>
      </w:r>
      <w:r>
        <w:rPr>
          <w:sz w:val="22"/>
        </w:rPr>
        <w:t>Nikhil</w:t>
      </w:r>
      <w:r>
        <w:rPr>
          <w:spacing w:val="-12"/>
          <w:sz w:val="22"/>
        </w:rPr>
        <w:t> </w:t>
      </w:r>
      <w:r>
        <w:rPr>
          <w:spacing w:val="-5"/>
          <w:sz w:val="22"/>
        </w:rPr>
        <w:t>Dey</w:t>
      </w:r>
    </w:p>
    <w:p>
      <w:pPr>
        <w:pStyle w:val="BodyText"/>
        <w:spacing w:line="266" w:lineRule="auto" w:before="27"/>
        <w:ind w:left="715" w:right="2304"/>
      </w:pPr>
      <w:r>
        <w:rPr>
          <w:spacing w:val="-4"/>
        </w:rPr>
        <w:t>Mazdoor</w:t>
      </w:r>
      <w:r>
        <w:rPr>
          <w:spacing w:val="-10"/>
        </w:rPr>
        <w:t> </w:t>
      </w:r>
      <w:r>
        <w:rPr>
          <w:spacing w:val="-4"/>
        </w:rPr>
        <w:t>Kisan</w:t>
      </w:r>
      <w:r>
        <w:rPr>
          <w:spacing w:val="-10"/>
        </w:rPr>
        <w:t> </w:t>
      </w:r>
      <w:r>
        <w:rPr>
          <w:spacing w:val="-4"/>
        </w:rPr>
        <w:t>Shakti</w:t>
      </w:r>
      <w:r>
        <w:rPr>
          <w:spacing w:val="-10"/>
        </w:rPr>
        <w:t> </w:t>
      </w:r>
      <w:r>
        <w:rPr>
          <w:spacing w:val="-4"/>
        </w:rPr>
        <w:t>Sangathan </w:t>
      </w:r>
      <w:r>
        <w:rPr>
          <w:spacing w:val="-2"/>
        </w:rPr>
        <w:t>Rajasthan</w:t>
      </w:r>
    </w:p>
    <w:p>
      <w:pPr>
        <w:pStyle w:val="ListParagraph"/>
        <w:numPr>
          <w:ilvl w:val="0"/>
          <w:numId w:val="83"/>
        </w:numPr>
        <w:tabs>
          <w:tab w:pos="714" w:val="left" w:leader="none"/>
        </w:tabs>
        <w:spacing w:line="240" w:lineRule="auto" w:before="89" w:after="0"/>
        <w:ind w:left="714" w:right="0" w:hanging="359"/>
        <w:jc w:val="left"/>
        <w:rPr>
          <w:sz w:val="22"/>
        </w:rPr>
      </w:pPr>
      <w:r>
        <w:rPr>
          <w:spacing w:val="-4"/>
          <w:sz w:val="22"/>
        </w:rPr>
        <w:t>Mr.</w:t>
      </w:r>
      <w:r>
        <w:rPr>
          <w:spacing w:val="-10"/>
          <w:sz w:val="22"/>
        </w:rPr>
        <w:t> </w:t>
      </w:r>
      <w:r>
        <w:rPr>
          <w:spacing w:val="-4"/>
          <w:sz w:val="22"/>
        </w:rPr>
        <w:t>Joe</w:t>
      </w:r>
      <w:r>
        <w:rPr>
          <w:spacing w:val="-10"/>
          <w:sz w:val="22"/>
        </w:rPr>
        <w:t> </w:t>
      </w:r>
      <w:r>
        <w:rPr>
          <w:spacing w:val="-4"/>
          <w:sz w:val="22"/>
        </w:rPr>
        <w:t>Madiath</w:t>
      </w:r>
    </w:p>
    <w:p>
      <w:pPr>
        <w:pStyle w:val="BodyText"/>
        <w:spacing w:before="27"/>
        <w:ind w:left="715"/>
      </w:pPr>
      <w:r>
        <w:rPr>
          <w:spacing w:val="-6"/>
        </w:rPr>
        <w:t>Executive</w:t>
      </w:r>
      <w:r>
        <w:rPr>
          <w:spacing w:val="1"/>
        </w:rPr>
        <w:t> </w:t>
      </w:r>
      <w:r>
        <w:rPr>
          <w:spacing w:val="-6"/>
        </w:rPr>
        <w:t>Director,</w:t>
      </w:r>
      <w:r>
        <w:rPr>
          <w:spacing w:val="2"/>
        </w:rPr>
        <w:t> </w:t>
      </w:r>
      <w:r>
        <w:rPr>
          <w:spacing w:val="-6"/>
        </w:rPr>
        <w:t>Gram</w:t>
      </w:r>
      <w:r>
        <w:rPr>
          <w:spacing w:val="-2"/>
        </w:rPr>
        <w:t> </w:t>
      </w:r>
      <w:r>
        <w:rPr>
          <w:spacing w:val="-6"/>
        </w:rPr>
        <w:t>Vikas,</w:t>
      </w:r>
      <w:r>
        <w:rPr>
          <w:spacing w:val="2"/>
        </w:rPr>
        <w:t> </w:t>
      </w:r>
      <w:r>
        <w:rPr>
          <w:spacing w:val="-6"/>
        </w:rPr>
        <w:t>Orissa</w:t>
      </w:r>
    </w:p>
    <w:p>
      <w:pPr>
        <w:pStyle w:val="ListParagraph"/>
        <w:numPr>
          <w:ilvl w:val="0"/>
          <w:numId w:val="83"/>
        </w:numPr>
        <w:tabs>
          <w:tab w:pos="714" w:val="left" w:leader="none"/>
        </w:tabs>
        <w:spacing w:line="240" w:lineRule="auto" w:before="117" w:after="0"/>
        <w:ind w:left="714" w:right="0" w:hanging="359"/>
        <w:jc w:val="left"/>
        <w:rPr>
          <w:sz w:val="22"/>
        </w:rPr>
      </w:pPr>
      <w:r>
        <w:rPr>
          <w:spacing w:val="-6"/>
          <w:sz w:val="22"/>
        </w:rPr>
        <w:t>Mr.</w:t>
      </w:r>
      <w:r>
        <w:rPr>
          <w:spacing w:val="-2"/>
          <w:sz w:val="22"/>
        </w:rPr>
        <w:t> </w:t>
      </w:r>
      <w:r>
        <w:rPr>
          <w:spacing w:val="-6"/>
          <w:sz w:val="22"/>
        </w:rPr>
        <w:t>Ashok</w:t>
      </w:r>
      <w:r>
        <w:rPr>
          <w:spacing w:val="-2"/>
          <w:sz w:val="22"/>
        </w:rPr>
        <w:t> </w:t>
      </w:r>
      <w:r>
        <w:rPr>
          <w:spacing w:val="-6"/>
          <w:sz w:val="22"/>
        </w:rPr>
        <w:t>Khosla</w:t>
      </w:r>
    </w:p>
    <w:p>
      <w:pPr>
        <w:pStyle w:val="BodyText"/>
        <w:spacing w:line="266" w:lineRule="auto" w:before="27"/>
        <w:ind w:left="715" w:right="2304"/>
      </w:pPr>
      <w:r>
        <w:rPr>
          <w:spacing w:val="-4"/>
        </w:rPr>
        <w:t>President,</w:t>
      </w:r>
      <w:r>
        <w:rPr>
          <w:spacing w:val="-10"/>
        </w:rPr>
        <w:t> </w:t>
      </w:r>
      <w:r>
        <w:rPr>
          <w:spacing w:val="-4"/>
        </w:rPr>
        <w:t>Development</w:t>
      </w:r>
      <w:r>
        <w:rPr>
          <w:spacing w:val="-10"/>
        </w:rPr>
        <w:t> </w:t>
      </w:r>
      <w:r>
        <w:rPr>
          <w:spacing w:val="-4"/>
        </w:rPr>
        <w:t>Alternatives </w:t>
      </w:r>
      <w:r>
        <w:rPr>
          <w:spacing w:val="-2"/>
        </w:rPr>
        <w:t>Delhi</w:t>
      </w:r>
    </w:p>
    <w:p>
      <w:pPr>
        <w:pStyle w:val="ListParagraph"/>
        <w:numPr>
          <w:ilvl w:val="0"/>
          <w:numId w:val="83"/>
        </w:numPr>
        <w:tabs>
          <w:tab w:pos="714" w:val="left" w:leader="none"/>
        </w:tabs>
        <w:spacing w:line="240" w:lineRule="auto" w:before="88" w:after="0"/>
        <w:ind w:left="714" w:right="0" w:hanging="359"/>
        <w:jc w:val="left"/>
        <w:rPr>
          <w:sz w:val="22"/>
        </w:rPr>
      </w:pPr>
      <w:r>
        <w:rPr>
          <w:sz w:val="22"/>
        </w:rPr>
        <w:t>Dr.</w:t>
      </w:r>
      <w:r>
        <w:rPr>
          <w:spacing w:val="-10"/>
          <w:sz w:val="22"/>
        </w:rPr>
        <w:t> </w:t>
      </w:r>
      <w:r>
        <w:rPr>
          <w:sz w:val="22"/>
        </w:rPr>
        <w:t>Mira</w:t>
      </w:r>
      <w:r>
        <w:rPr>
          <w:spacing w:val="-9"/>
          <w:sz w:val="22"/>
        </w:rPr>
        <w:t> </w:t>
      </w:r>
      <w:r>
        <w:rPr>
          <w:spacing w:val="-2"/>
          <w:sz w:val="22"/>
        </w:rPr>
        <w:t>Shiva</w:t>
      </w:r>
    </w:p>
    <w:p>
      <w:pPr>
        <w:pStyle w:val="BodyText"/>
        <w:spacing w:line="266" w:lineRule="auto" w:before="27"/>
        <w:ind w:left="715" w:right="1821"/>
      </w:pPr>
      <w:r>
        <w:rPr>
          <w:spacing w:val="-2"/>
        </w:rPr>
        <w:t>Coordinator,</w:t>
      </w:r>
      <w:r>
        <w:rPr>
          <w:spacing w:val="-11"/>
        </w:rPr>
        <w:t> </w:t>
      </w:r>
      <w:r>
        <w:rPr>
          <w:spacing w:val="-2"/>
        </w:rPr>
        <w:t>Initiative</w:t>
      </w:r>
      <w:r>
        <w:rPr>
          <w:spacing w:val="-11"/>
        </w:rPr>
        <w:t> </w:t>
      </w:r>
      <w:r>
        <w:rPr>
          <w:spacing w:val="-2"/>
        </w:rPr>
        <w:t>for</w:t>
      </w:r>
      <w:r>
        <w:rPr>
          <w:spacing w:val="-11"/>
        </w:rPr>
        <w:t> </w:t>
      </w:r>
      <w:r>
        <w:rPr>
          <w:spacing w:val="-2"/>
        </w:rPr>
        <w:t>Health</w:t>
      </w:r>
      <w:r>
        <w:rPr>
          <w:spacing w:val="-11"/>
        </w:rPr>
        <w:t> </w:t>
      </w:r>
      <w:r>
        <w:rPr>
          <w:spacing w:val="-2"/>
        </w:rPr>
        <w:t>Equity </w:t>
      </w:r>
      <w:r>
        <w:rPr/>
        <w:t>&amp; Society</w:t>
      </w:r>
    </w:p>
    <w:p>
      <w:pPr>
        <w:pStyle w:val="ListParagraph"/>
        <w:numPr>
          <w:ilvl w:val="0"/>
          <w:numId w:val="83"/>
        </w:numPr>
        <w:tabs>
          <w:tab w:pos="714" w:val="left" w:leader="none"/>
        </w:tabs>
        <w:spacing w:line="240" w:lineRule="auto" w:before="88" w:after="0"/>
        <w:ind w:left="714" w:right="0" w:hanging="359"/>
        <w:jc w:val="left"/>
        <w:rPr>
          <w:sz w:val="22"/>
        </w:rPr>
      </w:pPr>
      <w:r>
        <w:rPr>
          <w:spacing w:val="-6"/>
          <w:sz w:val="22"/>
        </w:rPr>
        <w:t>Mr.</w:t>
      </w:r>
      <w:r>
        <w:rPr>
          <w:spacing w:val="-2"/>
          <w:sz w:val="22"/>
        </w:rPr>
        <w:t> </w:t>
      </w:r>
      <w:r>
        <w:rPr>
          <w:spacing w:val="-6"/>
          <w:sz w:val="22"/>
        </w:rPr>
        <w:t>Ashok</w:t>
      </w:r>
      <w:r>
        <w:rPr>
          <w:spacing w:val="-2"/>
          <w:sz w:val="22"/>
        </w:rPr>
        <w:t> </w:t>
      </w:r>
      <w:r>
        <w:rPr>
          <w:spacing w:val="-6"/>
          <w:sz w:val="22"/>
        </w:rPr>
        <w:t>Chatterjee</w:t>
      </w:r>
    </w:p>
    <w:p>
      <w:pPr>
        <w:pStyle w:val="BodyText"/>
        <w:spacing w:line="266" w:lineRule="auto" w:before="28"/>
        <w:ind w:left="715" w:right="1123"/>
      </w:pPr>
      <w:r>
        <w:rPr>
          <w:spacing w:val="-2"/>
        </w:rPr>
        <w:t>Former</w:t>
      </w:r>
      <w:r>
        <w:rPr>
          <w:spacing w:val="-12"/>
        </w:rPr>
        <w:t> </w:t>
      </w:r>
      <w:r>
        <w:rPr>
          <w:spacing w:val="-2"/>
        </w:rPr>
        <w:t>Director,</w:t>
      </w:r>
      <w:r>
        <w:rPr>
          <w:spacing w:val="-12"/>
        </w:rPr>
        <w:t> </w:t>
      </w:r>
      <w:r>
        <w:rPr>
          <w:spacing w:val="-2"/>
        </w:rPr>
        <w:t>National</w:t>
      </w:r>
      <w:r>
        <w:rPr>
          <w:spacing w:val="-12"/>
        </w:rPr>
        <w:t> </w:t>
      </w:r>
      <w:r>
        <w:rPr>
          <w:spacing w:val="-2"/>
        </w:rPr>
        <w:t>Institute</w:t>
      </w:r>
      <w:r>
        <w:rPr>
          <w:spacing w:val="-11"/>
        </w:rPr>
        <w:t> </w:t>
      </w:r>
      <w:r>
        <w:rPr>
          <w:spacing w:val="-2"/>
        </w:rPr>
        <w:t>of</w:t>
      </w:r>
      <w:r>
        <w:rPr>
          <w:spacing w:val="-12"/>
        </w:rPr>
        <w:t> </w:t>
      </w:r>
      <w:r>
        <w:rPr>
          <w:spacing w:val="-2"/>
        </w:rPr>
        <w:t>Design Ahmedabad</w:t>
      </w:r>
    </w:p>
    <w:p>
      <w:pPr>
        <w:spacing w:after="0" w:line="266" w:lineRule="auto"/>
        <w:sectPr>
          <w:pgSz w:w="11910" w:h="16840"/>
          <w:pgMar w:header="0" w:footer="675" w:top="940" w:bottom="860" w:left="0" w:right="0"/>
          <w:cols w:num="2" w:equalWidth="0">
            <w:col w:w="5738" w:space="40"/>
            <w:col w:w="61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4"/>
        <w:rPr>
          <w:sz w:val="20"/>
        </w:rPr>
      </w:pPr>
    </w:p>
    <w:p>
      <w:pPr>
        <w:spacing w:after="0"/>
        <w:rPr>
          <w:sz w:val="20"/>
        </w:rPr>
        <w:sectPr>
          <w:pgSz w:w="11910" w:h="16840"/>
          <w:pgMar w:header="0" w:footer="675" w:top="0" w:bottom="860" w:left="0" w:right="0"/>
        </w:sectPr>
      </w:pPr>
    </w:p>
    <w:p>
      <w:pPr>
        <w:pStyle w:val="Heading6"/>
        <w:spacing w:before="79"/>
        <w:ind w:left="1079" w:firstLine="0"/>
      </w:pPr>
      <w:r>
        <w:rPr/>
        <mc:AlternateContent>
          <mc:Choice Requires="wps">
            <w:drawing>
              <wp:anchor distT="0" distB="0" distL="0" distR="0" allowOverlap="1" layoutInCell="1" locked="0" behindDoc="0" simplePos="0" relativeHeight="15912960">
                <wp:simplePos x="0" y="0"/>
                <wp:positionH relativeFrom="page">
                  <wp:posOffset>9144</wp:posOffset>
                </wp:positionH>
                <wp:positionV relativeFrom="paragraph">
                  <wp:posOffset>-2274218</wp:posOffset>
                </wp:positionV>
                <wp:extent cx="7551420" cy="1752600"/>
                <wp:effectExtent l="0" t="0" r="0" b="0"/>
                <wp:wrapNone/>
                <wp:docPr id="2414" name="Group 2414"/>
                <wp:cNvGraphicFramePr>
                  <a:graphicFrameLocks/>
                </wp:cNvGraphicFramePr>
                <a:graphic>
                  <a:graphicData uri="http://schemas.microsoft.com/office/word/2010/wordprocessingGroup">
                    <wpg:wgp>
                      <wpg:cNvPr id="2414" name="Group 2414"/>
                      <wpg:cNvGrpSpPr/>
                      <wpg:grpSpPr>
                        <a:xfrm>
                          <a:off x="0" y="0"/>
                          <a:ext cx="7551420" cy="1752600"/>
                          <a:chExt cx="7551420" cy="1752600"/>
                        </a:xfrm>
                      </wpg:grpSpPr>
                      <pic:pic>
                        <pic:nvPicPr>
                          <pic:cNvPr id="2415" name="Image 2415"/>
                          <pic:cNvPicPr/>
                        </pic:nvPicPr>
                        <pic:blipFill>
                          <a:blip r:embed="rId619" cstate="print"/>
                          <a:stretch>
                            <a:fillRect/>
                          </a:stretch>
                        </pic:blipFill>
                        <pic:spPr>
                          <a:xfrm>
                            <a:off x="0" y="0"/>
                            <a:ext cx="7550855" cy="1752562"/>
                          </a:xfrm>
                          <a:prstGeom prst="rect">
                            <a:avLst/>
                          </a:prstGeom>
                        </pic:spPr>
                      </pic:pic>
                      <wps:wsp>
                        <wps:cNvPr id="2416" name="Textbox 2416"/>
                        <wps:cNvSpPr txBox="1"/>
                        <wps:spPr>
                          <a:xfrm>
                            <a:off x="0" y="0"/>
                            <a:ext cx="7551420" cy="1752600"/>
                          </a:xfrm>
                          <a:prstGeom prst="rect">
                            <a:avLst/>
                          </a:prstGeom>
                        </wps:spPr>
                        <wps:txbx>
                          <w:txbxContent>
                            <w:p>
                              <w:pPr>
                                <w:spacing w:line="240" w:lineRule="auto" w:before="160"/>
                                <w:rPr>
                                  <w:sz w:val="68"/>
                                </w:rPr>
                              </w:pPr>
                            </w:p>
                            <w:p>
                              <w:pPr>
                                <w:spacing w:before="1"/>
                                <w:ind w:left="1065" w:right="0" w:firstLine="0"/>
                                <w:jc w:val="left"/>
                                <w:rPr>
                                  <w:rFonts w:ascii="Trebuchet MS"/>
                                  <w:b/>
                                  <w:sz w:val="68"/>
                                </w:rPr>
                              </w:pPr>
                              <w:r>
                                <w:rPr>
                                  <w:rFonts w:ascii="Trebuchet MS"/>
                                  <w:b/>
                                  <w:color w:val="FFFFFF"/>
                                  <w:spacing w:val="-2"/>
                                  <w:sz w:val="68"/>
                                </w:rPr>
                                <w:t>Workshops</w:t>
                              </w:r>
                            </w:p>
                          </w:txbxContent>
                        </wps:txbx>
                        <wps:bodyPr wrap="square" lIns="0" tIns="0" rIns="0" bIns="0" rtlCol="0">
                          <a:noAutofit/>
                        </wps:bodyPr>
                      </wps:wsp>
                    </wpg:wgp>
                  </a:graphicData>
                </a:graphic>
              </wp:anchor>
            </w:drawing>
          </mc:Choice>
          <mc:Fallback>
            <w:pict>
              <v:group style="position:absolute;margin-left:.72pt;margin-top:-179.072311pt;width:594.6pt;height:138pt;mso-position-horizontal-relative:page;mso-position-vertical-relative:paragraph;z-index:15912960" id="docshapegroup2335" coordorigin="14,-3581" coordsize="11892,2760">
                <v:shape style="position:absolute;left:14;top:-3582;width:11892;height:2760" type="#_x0000_t75" id="docshape2336" stroked="false">
                  <v:imagedata r:id="rId619" o:title=""/>
                </v:shape>
                <v:shape style="position:absolute;left:14;top:-3582;width:11892;height:2760" type="#_x0000_t202" id="docshape2337" filled="false" stroked="false">
                  <v:textbox inset="0,0,0,0">
                    <w:txbxContent>
                      <w:p>
                        <w:pPr>
                          <w:spacing w:line="240" w:lineRule="auto" w:before="160"/>
                          <w:rPr>
                            <w:sz w:val="68"/>
                          </w:rPr>
                        </w:pPr>
                      </w:p>
                      <w:p>
                        <w:pPr>
                          <w:spacing w:before="1"/>
                          <w:ind w:left="1065" w:right="0" w:firstLine="0"/>
                          <w:jc w:val="left"/>
                          <w:rPr>
                            <w:rFonts w:ascii="Trebuchet MS"/>
                            <w:b/>
                            <w:sz w:val="68"/>
                          </w:rPr>
                        </w:pPr>
                        <w:r>
                          <w:rPr>
                            <w:rFonts w:ascii="Trebuchet MS"/>
                            <w:b/>
                            <w:color w:val="FFFFFF"/>
                            <w:spacing w:val="-2"/>
                            <w:sz w:val="68"/>
                          </w:rPr>
                          <w:t>Workshops</w:t>
                        </w:r>
                      </w:p>
                    </w:txbxContent>
                  </v:textbox>
                  <w10:wrap type="none"/>
                </v:shape>
                <w10:wrap type="none"/>
              </v:group>
            </w:pict>
          </mc:Fallback>
        </mc:AlternateContent>
      </w:r>
      <w:r>
        <w:rPr>
          <w:color w:val="2E614A"/>
          <w:spacing w:val="-2"/>
        </w:rPr>
        <w:t>Translation</w:t>
      </w:r>
    </w:p>
    <w:p>
      <w:pPr>
        <w:pStyle w:val="ListParagraph"/>
        <w:numPr>
          <w:ilvl w:val="1"/>
          <w:numId w:val="83"/>
        </w:numPr>
        <w:tabs>
          <w:tab w:pos="1438" w:val="left" w:leader="none"/>
        </w:tabs>
        <w:spacing w:line="240" w:lineRule="auto" w:before="285" w:after="0"/>
        <w:ind w:left="1438" w:right="0" w:hanging="359"/>
        <w:jc w:val="left"/>
        <w:rPr>
          <w:sz w:val="22"/>
        </w:rPr>
      </w:pPr>
      <w:r>
        <w:rPr>
          <w:sz w:val="22"/>
        </w:rPr>
        <w:t>Mr.</w:t>
      </w:r>
      <w:r>
        <w:rPr>
          <w:spacing w:val="-12"/>
          <w:sz w:val="22"/>
        </w:rPr>
        <w:t> </w:t>
      </w:r>
      <w:r>
        <w:rPr>
          <w:spacing w:val="-2"/>
          <w:sz w:val="22"/>
        </w:rPr>
        <w:t>K.P.R.Nair</w:t>
      </w:r>
    </w:p>
    <w:p>
      <w:pPr>
        <w:pStyle w:val="BodyText"/>
        <w:spacing w:before="27"/>
        <w:ind w:left="1439"/>
      </w:pPr>
      <w:r>
        <w:rPr>
          <w:spacing w:val="-4"/>
        </w:rPr>
        <w:t>Konark</w:t>
      </w:r>
      <w:r>
        <w:rPr>
          <w:spacing w:val="-6"/>
        </w:rPr>
        <w:t> </w:t>
      </w:r>
      <w:r>
        <w:rPr>
          <w:spacing w:val="-2"/>
        </w:rPr>
        <w:t>Publishers</w:t>
      </w:r>
    </w:p>
    <w:p>
      <w:pPr>
        <w:pStyle w:val="ListParagraph"/>
        <w:numPr>
          <w:ilvl w:val="1"/>
          <w:numId w:val="83"/>
        </w:numPr>
        <w:tabs>
          <w:tab w:pos="1439" w:val="left" w:leader="none"/>
        </w:tabs>
        <w:spacing w:line="266" w:lineRule="auto" w:before="117" w:after="0"/>
        <w:ind w:left="1439" w:right="2498" w:hanging="360"/>
        <w:jc w:val="left"/>
        <w:rPr>
          <w:sz w:val="22"/>
        </w:rPr>
      </w:pPr>
      <w:r>
        <w:rPr>
          <w:spacing w:val="-6"/>
          <w:sz w:val="22"/>
        </w:rPr>
        <w:t>Mr.</w:t>
      </w:r>
      <w:r>
        <w:rPr>
          <w:spacing w:val="-8"/>
          <w:sz w:val="22"/>
        </w:rPr>
        <w:t> </w:t>
      </w:r>
      <w:r>
        <w:rPr>
          <w:spacing w:val="-6"/>
          <w:sz w:val="22"/>
        </w:rPr>
        <w:t>Keshav</w:t>
      </w:r>
      <w:r>
        <w:rPr>
          <w:spacing w:val="-8"/>
          <w:sz w:val="22"/>
        </w:rPr>
        <w:t> </w:t>
      </w:r>
      <w:r>
        <w:rPr>
          <w:spacing w:val="-6"/>
          <w:sz w:val="22"/>
        </w:rPr>
        <w:t>Desairaju </w:t>
      </w:r>
      <w:r>
        <w:rPr>
          <w:sz w:val="22"/>
        </w:rPr>
        <w:t>Joint Secretary</w:t>
      </w:r>
    </w:p>
    <w:p>
      <w:pPr>
        <w:pStyle w:val="BodyText"/>
        <w:spacing w:line="266" w:lineRule="auto"/>
        <w:ind w:left="1439"/>
      </w:pPr>
      <w:r>
        <w:rPr>
          <w:spacing w:val="-2"/>
        </w:rPr>
        <w:t>Department</w:t>
      </w:r>
      <w:r>
        <w:rPr>
          <w:spacing w:val="-10"/>
        </w:rPr>
        <w:t> </w:t>
      </w:r>
      <w:r>
        <w:rPr>
          <w:spacing w:val="-2"/>
        </w:rPr>
        <w:t>of</w:t>
      </w:r>
      <w:r>
        <w:rPr>
          <w:spacing w:val="-10"/>
        </w:rPr>
        <w:t> </w:t>
      </w:r>
      <w:r>
        <w:rPr>
          <w:spacing w:val="-2"/>
        </w:rPr>
        <w:t>Secondary</w:t>
      </w:r>
      <w:r>
        <w:rPr>
          <w:spacing w:val="-10"/>
        </w:rPr>
        <w:t> </w:t>
      </w:r>
      <w:r>
        <w:rPr>
          <w:spacing w:val="-2"/>
        </w:rPr>
        <w:t>and</w:t>
      </w:r>
      <w:r>
        <w:rPr>
          <w:spacing w:val="-10"/>
        </w:rPr>
        <w:t> </w:t>
      </w:r>
      <w:r>
        <w:rPr>
          <w:spacing w:val="-2"/>
        </w:rPr>
        <w:t>Higher</w:t>
      </w:r>
      <w:r>
        <w:rPr>
          <w:spacing w:val="-10"/>
        </w:rPr>
        <w:t> </w:t>
      </w:r>
      <w:r>
        <w:rPr>
          <w:spacing w:val="-2"/>
        </w:rPr>
        <w:t>Education </w:t>
      </w:r>
      <w:r>
        <w:rPr/>
        <w:t>Ministry of HRD</w:t>
      </w:r>
    </w:p>
    <w:p>
      <w:pPr>
        <w:pStyle w:val="ListParagraph"/>
        <w:numPr>
          <w:ilvl w:val="1"/>
          <w:numId w:val="83"/>
        </w:numPr>
        <w:tabs>
          <w:tab w:pos="1439" w:val="left" w:leader="none"/>
        </w:tabs>
        <w:spacing w:line="266" w:lineRule="auto" w:before="87" w:after="0"/>
        <w:ind w:left="1439" w:right="2977" w:hanging="360"/>
        <w:jc w:val="left"/>
        <w:rPr>
          <w:sz w:val="22"/>
        </w:rPr>
      </w:pPr>
      <w:r>
        <w:rPr>
          <w:sz w:val="22"/>
        </w:rPr>
        <w:t>Dr. M. Sridhar Dept</w:t>
      </w:r>
      <w:r>
        <w:rPr>
          <w:spacing w:val="-3"/>
          <w:sz w:val="22"/>
        </w:rPr>
        <w:t> </w:t>
      </w:r>
      <w:r>
        <w:rPr>
          <w:sz w:val="22"/>
        </w:rPr>
        <w:t>of</w:t>
      </w:r>
      <w:r>
        <w:rPr>
          <w:spacing w:val="-2"/>
          <w:sz w:val="22"/>
        </w:rPr>
        <w:t> </w:t>
      </w:r>
      <w:r>
        <w:rPr>
          <w:spacing w:val="-7"/>
          <w:sz w:val="22"/>
        </w:rPr>
        <w:t>English</w:t>
      </w:r>
    </w:p>
    <w:p>
      <w:pPr>
        <w:pStyle w:val="BodyText"/>
        <w:spacing w:line="251" w:lineRule="exact"/>
        <w:ind w:left="1439"/>
      </w:pPr>
      <w:r>
        <w:rPr>
          <w:spacing w:val="-6"/>
        </w:rPr>
        <w:t>University</w:t>
      </w:r>
      <w:r>
        <w:rPr/>
        <w:t> </w:t>
      </w:r>
      <w:r>
        <w:rPr>
          <w:spacing w:val="-6"/>
        </w:rPr>
        <w:t>of</w:t>
      </w:r>
      <w:r>
        <w:rPr/>
        <w:t> </w:t>
      </w:r>
      <w:r>
        <w:rPr>
          <w:spacing w:val="-6"/>
        </w:rPr>
        <w:t>Hyderabad</w:t>
      </w:r>
    </w:p>
    <w:p>
      <w:pPr>
        <w:pStyle w:val="ListParagraph"/>
        <w:numPr>
          <w:ilvl w:val="1"/>
          <w:numId w:val="83"/>
        </w:numPr>
        <w:tabs>
          <w:tab w:pos="1439" w:val="left" w:leader="none"/>
        </w:tabs>
        <w:spacing w:line="266" w:lineRule="auto" w:before="117" w:after="0"/>
        <w:ind w:left="1439" w:right="2878" w:hanging="360"/>
        <w:jc w:val="left"/>
        <w:rPr>
          <w:sz w:val="22"/>
        </w:rPr>
      </w:pPr>
      <w:r>
        <w:rPr>
          <w:spacing w:val="-8"/>
          <w:sz w:val="22"/>
        </w:rPr>
        <w:t>Prof.</w:t>
      </w:r>
      <w:r>
        <w:rPr>
          <w:spacing w:val="-6"/>
          <w:sz w:val="22"/>
        </w:rPr>
        <w:t> </w:t>
      </w:r>
      <w:r>
        <w:rPr>
          <w:spacing w:val="-8"/>
          <w:sz w:val="22"/>
        </w:rPr>
        <w:t>Alok</w:t>
      </w:r>
      <w:r>
        <w:rPr>
          <w:spacing w:val="-6"/>
          <w:sz w:val="22"/>
        </w:rPr>
        <w:t> </w:t>
      </w:r>
      <w:r>
        <w:rPr>
          <w:spacing w:val="-8"/>
          <w:sz w:val="22"/>
        </w:rPr>
        <w:t>Bhalla </w:t>
      </w:r>
      <w:r>
        <w:rPr>
          <w:sz w:val="22"/>
        </w:rPr>
        <w:t>Dept of English</w:t>
      </w:r>
    </w:p>
    <w:p>
      <w:pPr>
        <w:pStyle w:val="BodyText"/>
        <w:spacing w:line="266" w:lineRule="auto"/>
        <w:ind w:left="1439"/>
      </w:pPr>
      <w:r>
        <w:rPr>
          <w:spacing w:val="-4"/>
        </w:rPr>
        <w:t>Central</w:t>
      </w:r>
      <w:r>
        <w:rPr>
          <w:spacing w:val="-7"/>
        </w:rPr>
        <w:t> </w:t>
      </w:r>
      <w:r>
        <w:rPr>
          <w:spacing w:val="-4"/>
        </w:rPr>
        <w:t>Institute</w:t>
      </w:r>
      <w:r>
        <w:rPr>
          <w:spacing w:val="-7"/>
        </w:rPr>
        <w:t> </w:t>
      </w:r>
      <w:r>
        <w:rPr>
          <w:spacing w:val="-4"/>
        </w:rPr>
        <w:t>of</w:t>
      </w:r>
      <w:r>
        <w:rPr>
          <w:spacing w:val="-7"/>
        </w:rPr>
        <w:t> </w:t>
      </w:r>
      <w:r>
        <w:rPr>
          <w:spacing w:val="-4"/>
        </w:rPr>
        <w:t>English</w:t>
      </w:r>
      <w:r>
        <w:rPr>
          <w:spacing w:val="-7"/>
        </w:rPr>
        <w:t> </w:t>
      </w:r>
      <w:r>
        <w:rPr>
          <w:spacing w:val="-4"/>
        </w:rPr>
        <w:t>and</w:t>
      </w:r>
      <w:r>
        <w:rPr>
          <w:spacing w:val="-7"/>
        </w:rPr>
        <w:t> </w:t>
      </w:r>
      <w:r>
        <w:rPr>
          <w:spacing w:val="-4"/>
        </w:rPr>
        <w:t>Foreign</w:t>
      </w:r>
      <w:r>
        <w:rPr>
          <w:spacing w:val="-7"/>
        </w:rPr>
        <w:t> </w:t>
      </w:r>
      <w:r>
        <w:rPr>
          <w:spacing w:val="-4"/>
        </w:rPr>
        <w:t>Languages </w:t>
      </w:r>
      <w:r>
        <w:rPr>
          <w:spacing w:val="-2"/>
        </w:rPr>
        <w:t>(CIEFL)</w:t>
      </w:r>
    </w:p>
    <w:p>
      <w:pPr>
        <w:pStyle w:val="ListParagraph"/>
        <w:numPr>
          <w:ilvl w:val="1"/>
          <w:numId w:val="83"/>
        </w:numPr>
        <w:tabs>
          <w:tab w:pos="1439" w:val="left" w:leader="none"/>
        </w:tabs>
        <w:spacing w:line="266" w:lineRule="auto" w:before="87" w:after="0"/>
        <w:ind w:left="1439" w:right="2590" w:hanging="360"/>
        <w:jc w:val="left"/>
        <w:rPr>
          <w:sz w:val="22"/>
        </w:rPr>
      </w:pPr>
      <w:r>
        <w:rPr>
          <w:sz w:val="22"/>
        </w:rPr>
        <w:t>Dr. D.S. Navin </w:t>
      </w:r>
      <w:r>
        <w:rPr>
          <w:spacing w:val="-4"/>
          <w:sz w:val="22"/>
        </w:rPr>
        <w:t>National</w:t>
      </w:r>
      <w:r>
        <w:rPr>
          <w:spacing w:val="-10"/>
          <w:sz w:val="22"/>
        </w:rPr>
        <w:t> </w:t>
      </w:r>
      <w:r>
        <w:rPr>
          <w:spacing w:val="-4"/>
          <w:sz w:val="22"/>
        </w:rPr>
        <w:t>Book</w:t>
      </w:r>
      <w:r>
        <w:rPr>
          <w:spacing w:val="-10"/>
          <w:sz w:val="22"/>
        </w:rPr>
        <w:t> </w:t>
      </w:r>
      <w:r>
        <w:rPr>
          <w:spacing w:val="-4"/>
          <w:sz w:val="22"/>
        </w:rPr>
        <w:t>Trust</w:t>
      </w:r>
    </w:p>
    <w:p>
      <w:pPr>
        <w:pStyle w:val="ListParagraph"/>
        <w:numPr>
          <w:ilvl w:val="1"/>
          <w:numId w:val="83"/>
        </w:numPr>
        <w:tabs>
          <w:tab w:pos="1439" w:val="left" w:leader="none"/>
        </w:tabs>
        <w:spacing w:line="240" w:lineRule="auto" w:before="88" w:after="0"/>
        <w:ind w:left="1439" w:right="0" w:hanging="359"/>
        <w:jc w:val="left"/>
        <w:rPr>
          <w:sz w:val="22"/>
        </w:rPr>
      </w:pPr>
      <w:r>
        <w:rPr>
          <w:spacing w:val="-4"/>
          <w:sz w:val="22"/>
        </w:rPr>
        <w:t>Prof.</w:t>
      </w:r>
      <w:r>
        <w:rPr>
          <w:spacing w:val="-5"/>
          <w:sz w:val="22"/>
        </w:rPr>
        <w:t> </w:t>
      </w:r>
      <w:r>
        <w:rPr>
          <w:spacing w:val="-4"/>
          <w:sz w:val="22"/>
        </w:rPr>
        <w:t>G. Uma Maheshwar</w:t>
      </w:r>
      <w:r>
        <w:rPr>
          <w:spacing w:val="-5"/>
          <w:sz w:val="22"/>
        </w:rPr>
        <w:t> Rao</w:t>
      </w:r>
    </w:p>
    <w:p>
      <w:pPr>
        <w:pStyle w:val="BodyText"/>
        <w:spacing w:line="266" w:lineRule="auto" w:before="27"/>
        <w:ind w:left="1439"/>
      </w:pPr>
      <w:r>
        <w:rPr>
          <w:spacing w:val="-4"/>
        </w:rPr>
        <w:t>Centre</w:t>
      </w:r>
      <w:r>
        <w:rPr>
          <w:spacing w:val="-10"/>
        </w:rPr>
        <w:t> </w:t>
      </w:r>
      <w:r>
        <w:rPr>
          <w:spacing w:val="-4"/>
        </w:rPr>
        <w:t>for</w:t>
      </w:r>
      <w:r>
        <w:rPr>
          <w:spacing w:val="-10"/>
        </w:rPr>
        <w:t> </w:t>
      </w:r>
      <w:r>
        <w:rPr>
          <w:spacing w:val="-4"/>
        </w:rPr>
        <w:t>Applied</w:t>
      </w:r>
      <w:r>
        <w:rPr>
          <w:spacing w:val="-10"/>
        </w:rPr>
        <w:t> </w:t>
      </w:r>
      <w:r>
        <w:rPr>
          <w:spacing w:val="-4"/>
        </w:rPr>
        <w:t>Linguistics</w:t>
      </w:r>
      <w:r>
        <w:rPr>
          <w:spacing w:val="-9"/>
        </w:rPr>
        <w:t> </w:t>
      </w:r>
      <w:r>
        <w:rPr>
          <w:spacing w:val="-4"/>
        </w:rPr>
        <w:t>&amp;</w:t>
      </w:r>
      <w:r>
        <w:rPr>
          <w:spacing w:val="-10"/>
        </w:rPr>
        <w:t> </w:t>
      </w:r>
      <w:r>
        <w:rPr>
          <w:spacing w:val="-4"/>
        </w:rPr>
        <w:t>Translation </w:t>
      </w:r>
      <w:r>
        <w:rPr>
          <w:spacing w:val="-2"/>
        </w:rPr>
        <w:t>Studies,</w:t>
      </w:r>
    </w:p>
    <w:p>
      <w:pPr>
        <w:pStyle w:val="BodyText"/>
        <w:spacing w:line="251" w:lineRule="exact"/>
        <w:ind w:left="1439"/>
      </w:pPr>
      <w:r>
        <w:rPr>
          <w:spacing w:val="-8"/>
        </w:rPr>
        <w:t>CALTS,</w:t>
      </w:r>
      <w:r>
        <w:rPr>
          <w:spacing w:val="3"/>
        </w:rPr>
        <w:t> </w:t>
      </w:r>
      <w:r>
        <w:rPr>
          <w:spacing w:val="-8"/>
        </w:rPr>
        <w:t>University</w:t>
      </w:r>
      <w:r>
        <w:rPr>
          <w:spacing w:val="4"/>
        </w:rPr>
        <w:t> </w:t>
      </w:r>
      <w:r>
        <w:rPr>
          <w:spacing w:val="-8"/>
        </w:rPr>
        <w:t>of</w:t>
      </w:r>
      <w:r>
        <w:rPr>
          <w:spacing w:val="3"/>
        </w:rPr>
        <w:t> </w:t>
      </w:r>
      <w:r>
        <w:rPr>
          <w:spacing w:val="-8"/>
        </w:rPr>
        <w:t>Hyderabad</w:t>
      </w:r>
    </w:p>
    <w:p>
      <w:pPr>
        <w:pStyle w:val="ListParagraph"/>
        <w:numPr>
          <w:ilvl w:val="1"/>
          <w:numId w:val="83"/>
        </w:numPr>
        <w:tabs>
          <w:tab w:pos="1439" w:val="left" w:leader="none"/>
        </w:tabs>
        <w:spacing w:line="266" w:lineRule="auto" w:before="117" w:after="0"/>
        <w:ind w:left="1439" w:right="1671" w:hanging="360"/>
        <w:jc w:val="left"/>
        <w:rPr>
          <w:sz w:val="22"/>
        </w:rPr>
      </w:pPr>
      <w:r>
        <w:rPr>
          <w:sz w:val="22"/>
        </w:rPr>
        <w:t>Prof. Vanamala Viswanath </w:t>
      </w:r>
      <w:r>
        <w:rPr>
          <w:spacing w:val="-2"/>
          <w:sz w:val="22"/>
        </w:rPr>
        <w:t>Dept.</w:t>
      </w:r>
      <w:r>
        <w:rPr>
          <w:spacing w:val="-12"/>
          <w:sz w:val="22"/>
        </w:rPr>
        <w:t> </w:t>
      </w:r>
      <w:r>
        <w:rPr>
          <w:spacing w:val="-2"/>
          <w:sz w:val="22"/>
        </w:rPr>
        <w:t>of</w:t>
      </w:r>
      <w:r>
        <w:rPr>
          <w:spacing w:val="-12"/>
          <w:sz w:val="22"/>
        </w:rPr>
        <w:t> </w:t>
      </w:r>
      <w:r>
        <w:rPr>
          <w:spacing w:val="-2"/>
          <w:sz w:val="22"/>
        </w:rPr>
        <w:t>English</w:t>
      </w:r>
      <w:r>
        <w:rPr>
          <w:spacing w:val="-12"/>
          <w:sz w:val="22"/>
        </w:rPr>
        <w:t> </w:t>
      </w:r>
      <w:r>
        <w:rPr>
          <w:spacing w:val="-2"/>
          <w:sz w:val="22"/>
        </w:rPr>
        <w:t>Jnanabharathi </w:t>
      </w:r>
      <w:r>
        <w:rPr>
          <w:sz w:val="22"/>
        </w:rPr>
        <w:t>Bangalore University</w:t>
      </w:r>
    </w:p>
    <w:p>
      <w:pPr>
        <w:pStyle w:val="ListParagraph"/>
        <w:numPr>
          <w:ilvl w:val="1"/>
          <w:numId w:val="83"/>
        </w:numPr>
        <w:tabs>
          <w:tab w:pos="1439" w:val="left" w:leader="none"/>
        </w:tabs>
        <w:spacing w:line="266" w:lineRule="auto" w:before="88" w:after="0"/>
        <w:ind w:left="1439" w:right="2583" w:hanging="360"/>
        <w:jc w:val="left"/>
        <w:rPr>
          <w:sz w:val="22"/>
        </w:rPr>
      </w:pPr>
      <w:r>
        <w:rPr>
          <w:sz w:val="22"/>
        </w:rPr>
        <w:t>Dr. Neeti Badwe </w:t>
      </w:r>
      <w:r>
        <w:rPr>
          <w:spacing w:val="-6"/>
          <w:sz w:val="22"/>
        </w:rPr>
        <w:t>Professor</w:t>
      </w:r>
      <w:r>
        <w:rPr>
          <w:spacing w:val="-8"/>
          <w:sz w:val="22"/>
        </w:rPr>
        <w:t> </w:t>
      </w:r>
      <w:r>
        <w:rPr>
          <w:spacing w:val="-6"/>
          <w:sz w:val="22"/>
        </w:rPr>
        <w:t>of</w:t>
      </w:r>
      <w:r>
        <w:rPr>
          <w:spacing w:val="-8"/>
          <w:sz w:val="22"/>
        </w:rPr>
        <w:t> </w:t>
      </w:r>
      <w:r>
        <w:rPr>
          <w:spacing w:val="-6"/>
          <w:sz w:val="22"/>
        </w:rPr>
        <w:t>German</w:t>
      </w:r>
    </w:p>
    <w:p>
      <w:pPr>
        <w:pStyle w:val="BodyText"/>
        <w:spacing w:line="266" w:lineRule="auto"/>
        <w:ind w:left="1439" w:right="543"/>
      </w:pPr>
      <w:r>
        <w:rPr>
          <w:spacing w:val="-4"/>
        </w:rPr>
        <w:t>Department</w:t>
      </w:r>
      <w:r>
        <w:rPr>
          <w:spacing w:val="-10"/>
        </w:rPr>
        <w:t> </w:t>
      </w:r>
      <w:r>
        <w:rPr>
          <w:spacing w:val="-4"/>
        </w:rPr>
        <w:t>of</w:t>
      </w:r>
      <w:r>
        <w:rPr>
          <w:spacing w:val="-10"/>
        </w:rPr>
        <w:t> </w:t>
      </w:r>
      <w:r>
        <w:rPr>
          <w:spacing w:val="-4"/>
        </w:rPr>
        <w:t>Foreign</w:t>
      </w:r>
      <w:r>
        <w:rPr>
          <w:spacing w:val="-10"/>
        </w:rPr>
        <w:t> </w:t>
      </w:r>
      <w:r>
        <w:rPr>
          <w:spacing w:val="-4"/>
        </w:rPr>
        <w:t>Languages </w:t>
      </w:r>
      <w:r>
        <w:rPr/>
        <w:t>University of Poona</w:t>
      </w:r>
    </w:p>
    <w:p>
      <w:pPr>
        <w:pStyle w:val="ListParagraph"/>
        <w:numPr>
          <w:ilvl w:val="1"/>
          <w:numId w:val="83"/>
        </w:numPr>
        <w:tabs>
          <w:tab w:pos="1439" w:val="left" w:leader="none"/>
        </w:tabs>
        <w:spacing w:line="266" w:lineRule="auto" w:before="87" w:after="0"/>
        <w:ind w:left="1439" w:right="2370" w:hanging="360"/>
        <w:jc w:val="left"/>
        <w:rPr>
          <w:sz w:val="22"/>
        </w:rPr>
      </w:pPr>
      <w:r>
        <w:rPr>
          <w:sz w:val="22"/>
        </w:rPr>
        <w:t>Prof. Harish Trivedi </w:t>
      </w:r>
      <w:r>
        <w:rPr>
          <w:spacing w:val="-2"/>
          <w:sz w:val="22"/>
        </w:rPr>
        <w:t>Department</w:t>
      </w:r>
      <w:r>
        <w:rPr>
          <w:spacing w:val="-12"/>
          <w:sz w:val="22"/>
        </w:rPr>
        <w:t> </w:t>
      </w:r>
      <w:r>
        <w:rPr>
          <w:spacing w:val="-2"/>
          <w:sz w:val="22"/>
        </w:rPr>
        <w:t>of</w:t>
      </w:r>
      <w:r>
        <w:rPr>
          <w:spacing w:val="-12"/>
          <w:sz w:val="22"/>
        </w:rPr>
        <w:t> </w:t>
      </w:r>
      <w:r>
        <w:rPr>
          <w:spacing w:val="-2"/>
          <w:sz w:val="22"/>
        </w:rPr>
        <w:t>English </w:t>
      </w:r>
      <w:r>
        <w:rPr>
          <w:sz w:val="22"/>
        </w:rPr>
        <w:t>Delhi University</w:t>
      </w:r>
    </w:p>
    <w:p>
      <w:pPr>
        <w:pStyle w:val="ListParagraph"/>
        <w:numPr>
          <w:ilvl w:val="1"/>
          <w:numId w:val="83"/>
        </w:numPr>
        <w:tabs>
          <w:tab w:pos="1439" w:val="left" w:leader="none"/>
        </w:tabs>
        <w:spacing w:line="266" w:lineRule="auto" w:before="87" w:after="0"/>
        <w:ind w:left="1439" w:right="1201" w:hanging="360"/>
        <w:jc w:val="left"/>
        <w:rPr>
          <w:sz w:val="22"/>
        </w:rPr>
      </w:pPr>
      <w:r>
        <w:rPr>
          <w:sz w:val="22"/>
        </w:rPr>
        <w:t>Prof. Pushpak Bhattacharya Professor of Computer Science Department</w:t>
      </w:r>
      <w:r>
        <w:rPr>
          <w:spacing w:val="-14"/>
          <w:sz w:val="22"/>
        </w:rPr>
        <w:t> </w:t>
      </w:r>
      <w:r>
        <w:rPr>
          <w:sz w:val="22"/>
        </w:rPr>
        <w:t>of</w:t>
      </w:r>
      <w:r>
        <w:rPr>
          <w:spacing w:val="-14"/>
          <w:sz w:val="22"/>
        </w:rPr>
        <w:t> </w:t>
      </w:r>
      <w:r>
        <w:rPr>
          <w:sz w:val="22"/>
        </w:rPr>
        <w:t>Computer</w:t>
      </w:r>
      <w:r>
        <w:rPr>
          <w:spacing w:val="-14"/>
          <w:sz w:val="22"/>
        </w:rPr>
        <w:t> </w:t>
      </w:r>
      <w:r>
        <w:rPr>
          <w:sz w:val="22"/>
        </w:rPr>
        <w:t>Science</w:t>
      </w:r>
      <w:r>
        <w:rPr>
          <w:spacing w:val="-13"/>
          <w:sz w:val="22"/>
        </w:rPr>
        <w:t> </w:t>
      </w:r>
      <w:r>
        <w:rPr>
          <w:sz w:val="22"/>
        </w:rPr>
        <w:t>&amp;</w:t>
      </w:r>
    </w:p>
    <w:p>
      <w:pPr>
        <w:pStyle w:val="BodyText"/>
        <w:spacing w:line="266" w:lineRule="auto"/>
        <w:ind w:left="1439"/>
      </w:pPr>
      <w:r>
        <w:rPr>
          <w:spacing w:val="-4"/>
        </w:rPr>
        <w:t>Engineering,</w:t>
      </w:r>
      <w:r>
        <w:rPr>
          <w:spacing w:val="-5"/>
        </w:rPr>
        <w:t> </w:t>
      </w:r>
      <w:r>
        <w:rPr>
          <w:spacing w:val="-4"/>
        </w:rPr>
        <w:t>Indian Institute of</w:t>
      </w:r>
      <w:r>
        <w:rPr>
          <w:spacing w:val="-10"/>
        </w:rPr>
        <w:t> </w:t>
      </w:r>
      <w:r>
        <w:rPr>
          <w:spacing w:val="-4"/>
        </w:rPr>
        <w:t>Technology </w:t>
      </w:r>
      <w:r>
        <w:rPr>
          <w:spacing w:val="-2"/>
        </w:rPr>
        <w:t>Mumbai</w:t>
      </w:r>
    </w:p>
    <w:p>
      <w:pPr>
        <w:pStyle w:val="ListParagraph"/>
        <w:numPr>
          <w:ilvl w:val="1"/>
          <w:numId w:val="83"/>
        </w:numPr>
        <w:tabs>
          <w:tab w:pos="1439" w:val="left" w:leader="none"/>
        </w:tabs>
        <w:spacing w:line="266" w:lineRule="auto" w:before="86" w:after="0"/>
        <w:ind w:left="1439" w:right="2590" w:hanging="360"/>
        <w:jc w:val="left"/>
        <w:rPr>
          <w:sz w:val="22"/>
        </w:rPr>
      </w:pPr>
      <w:r>
        <w:rPr>
          <w:sz w:val="22"/>
        </w:rPr>
        <w:t>Mr. Benny Kurian </w:t>
      </w:r>
      <w:r>
        <w:rPr>
          <w:spacing w:val="-4"/>
          <w:sz w:val="22"/>
        </w:rPr>
        <w:t>National</w:t>
      </w:r>
      <w:r>
        <w:rPr>
          <w:spacing w:val="-10"/>
          <w:sz w:val="22"/>
        </w:rPr>
        <w:t> </w:t>
      </w:r>
      <w:r>
        <w:rPr>
          <w:spacing w:val="-4"/>
          <w:sz w:val="22"/>
        </w:rPr>
        <w:t>Book</w:t>
      </w:r>
      <w:r>
        <w:rPr>
          <w:spacing w:val="-10"/>
          <w:sz w:val="22"/>
        </w:rPr>
        <w:t> </w:t>
      </w:r>
      <w:r>
        <w:rPr>
          <w:spacing w:val="-4"/>
          <w:sz w:val="22"/>
        </w:rPr>
        <w:t>Trust</w:t>
      </w:r>
    </w:p>
    <w:p>
      <w:pPr>
        <w:pStyle w:val="ListParagraph"/>
        <w:numPr>
          <w:ilvl w:val="1"/>
          <w:numId w:val="83"/>
        </w:numPr>
        <w:tabs>
          <w:tab w:pos="679" w:val="left" w:leader="none"/>
        </w:tabs>
        <w:spacing w:line="266" w:lineRule="auto" w:before="99" w:after="0"/>
        <w:ind w:left="679" w:right="3329" w:hanging="360"/>
        <w:jc w:val="left"/>
        <w:rPr>
          <w:sz w:val="22"/>
        </w:rPr>
      </w:pPr>
      <w:r>
        <w:rPr/>
        <w:br w:type="column"/>
      </w:r>
      <w:r>
        <w:rPr>
          <w:spacing w:val="-2"/>
          <w:sz w:val="22"/>
        </w:rPr>
        <w:t>Ms.</w:t>
      </w:r>
      <w:r>
        <w:rPr>
          <w:spacing w:val="-12"/>
          <w:sz w:val="22"/>
        </w:rPr>
        <w:t> </w:t>
      </w:r>
      <w:r>
        <w:rPr>
          <w:spacing w:val="-2"/>
          <w:sz w:val="22"/>
        </w:rPr>
        <w:t>Kamini</w:t>
      </w:r>
      <w:r>
        <w:rPr>
          <w:spacing w:val="-12"/>
          <w:sz w:val="22"/>
        </w:rPr>
        <w:t> </w:t>
      </w:r>
      <w:r>
        <w:rPr>
          <w:spacing w:val="-2"/>
          <w:sz w:val="22"/>
        </w:rPr>
        <w:t>Mahadevan </w:t>
      </w:r>
      <w:r>
        <w:rPr>
          <w:spacing w:val="-4"/>
          <w:sz w:val="22"/>
        </w:rPr>
        <w:t>Pearson</w:t>
      </w:r>
      <w:r>
        <w:rPr>
          <w:spacing w:val="-9"/>
          <w:sz w:val="22"/>
        </w:rPr>
        <w:t> </w:t>
      </w:r>
      <w:r>
        <w:rPr>
          <w:spacing w:val="-4"/>
          <w:sz w:val="22"/>
        </w:rPr>
        <w:t>Education</w:t>
      </w:r>
      <w:r>
        <w:rPr>
          <w:spacing w:val="-9"/>
          <w:sz w:val="22"/>
        </w:rPr>
        <w:t> </w:t>
      </w:r>
      <w:r>
        <w:rPr>
          <w:spacing w:val="-4"/>
          <w:sz w:val="22"/>
        </w:rPr>
        <w:t>India</w:t>
      </w:r>
    </w:p>
    <w:p>
      <w:pPr>
        <w:pStyle w:val="ListParagraph"/>
        <w:numPr>
          <w:ilvl w:val="1"/>
          <w:numId w:val="83"/>
        </w:numPr>
        <w:tabs>
          <w:tab w:pos="679" w:val="left" w:leader="none"/>
        </w:tabs>
        <w:spacing w:line="266" w:lineRule="auto" w:before="89" w:after="0"/>
        <w:ind w:left="679" w:right="4161" w:hanging="360"/>
        <w:jc w:val="left"/>
        <w:rPr>
          <w:sz w:val="22"/>
        </w:rPr>
      </w:pPr>
      <w:r>
        <w:rPr>
          <w:spacing w:val="-4"/>
          <w:sz w:val="22"/>
        </w:rPr>
        <w:t>Dr.</w:t>
      </w:r>
      <w:r>
        <w:rPr>
          <w:spacing w:val="-10"/>
          <w:sz w:val="22"/>
        </w:rPr>
        <w:t> </w:t>
      </w:r>
      <w:r>
        <w:rPr>
          <w:spacing w:val="-4"/>
          <w:sz w:val="22"/>
        </w:rPr>
        <w:t>Sujata</w:t>
      </w:r>
      <w:r>
        <w:rPr>
          <w:spacing w:val="-10"/>
          <w:sz w:val="22"/>
        </w:rPr>
        <w:t> </w:t>
      </w:r>
      <w:r>
        <w:rPr>
          <w:spacing w:val="-4"/>
          <w:sz w:val="22"/>
        </w:rPr>
        <w:t>Roy </w:t>
      </w:r>
      <w:r>
        <w:rPr>
          <w:sz w:val="22"/>
        </w:rPr>
        <w:t>Joint Director</w:t>
      </w:r>
    </w:p>
    <w:p>
      <w:pPr>
        <w:pStyle w:val="BodyText"/>
        <w:spacing w:line="266" w:lineRule="auto"/>
        <w:ind w:left="679" w:right="918"/>
      </w:pPr>
      <w:r>
        <w:rPr/>
        <w:t>Hindi</w:t>
      </w:r>
      <w:r>
        <w:rPr>
          <w:spacing w:val="-14"/>
        </w:rPr>
        <w:t> </w:t>
      </w:r>
      <w:r>
        <w:rPr/>
        <w:t>Medium</w:t>
      </w:r>
      <w:r>
        <w:rPr>
          <w:spacing w:val="-14"/>
        </w:rPr>
        <w:t> </w:t>
      </w:r>
      <w:r>
        <w:rPr/>
        <w:t>Implementation</w:t>
      </w:r>
      <w:r>
        <w:rPr>
          <w:spacing w:val="-14"/>
        </w:rPr>
        <w:t> </w:t>
      </w:r>
      <w:r>
        <w:rPr/>
        <w:t>Committee University of Delhi</w:t>
      </w:r>
    </w:p>
    <w:p>
      <w:pPr>
        <w:pStyle w:val="ListParagraph"/>
        <w:numPr>
          <w:ilvl w:val="1"/>
          <w:numId w:val="83"/>
        </w:numPr>
        <w:tabs>
          <w:tab w:pos="679" w:val="left" w:leader="none"/>
        </w:tabs>
        <w:spacing w:line="266" w:lineRule="auto" w:before="86" w:after="0"/>
        <w:ind w:left="679" w:right="3431" w:hanging="360"/>
        <w:jc w:val="left"/>
        <w:rPr>
          <w:sz w:val="22"/>
        </w:rPr>
      </w:pPr>
      <w:r>
        <w:rPr>
          <w:sz w:val="22"/>
        </w:rPr>
        <w:t>Mr. Abhijit Dutta </w:t>
      </w:r>
      <w:r>
        <w:rPr>
          <w:spacing w:val="-6"/>
          <w:sz w:val="22"/>
        </w:rPr>
        <w:t>Globalisation</w:t>
      </w:r>
      <w:r>
        <w:rPr>
          <w:spacing w:val="-8"/>
          <w:sz w:val="22"/>
        </w:rPr>
        <w:t> </w:t>
      </w:r>
      <w:r>
        <w:rPr>
          <w:spacing w:val="-6"/>
          <w:sz w:val="22"/>
        </w:rPr>
        <w:t>Specialist</w:t>
      </w:r>
    </w:p>
    <w:p>
      <w:pPr>
        <w:pStyle w:val="BodyText"/>
        <w:spacing w:line="251" w:lineRule="exact"/>
        <w:ind w:left="679"/>
      </w:pPr>
      <w:r>
        <w:rPr>
          <w:spacing w:val="-4"/>
        </w:rPr>
        <w:t>IBM</w:t>
      </w:r>
      <w:r>
        <w:rPr>
          <w:spacing w:val="-7"/>
        </w:rPr>
        <w:t> </w:t>
      </w:r>
      <w:r>
        <w:rPr>
          <w:spacing w:val="-4"/>
        </w:rPr>
        <w:t>Global</w:t>
      </w:r>
      <w:r>
        <w:rPr>
          <w:spacing w:val="-7"/>
        </w:rPr>
        <w:t> </w:t>
      </w:r>
      <w:r>
        <w:rPr>
          <w:spacing w:val="-4"/>
        </w:rPr>
        <w:t>Services</w:t>
      </w:r>
      <w:r>
        <w:rPr>
          <w:spacing w:val="-7"/>
        </w:rPr>
        <w:t> </w:t>
      </w:r>
      <w:r>
        <w:rPr>
          <w:spacing w:val="-4"/>
        </w:rPr>
        <w:t>India</w:t>
      </w:r>
      <w:r>
        <w:rPr>
          <w:spacing w:val="-7"/>
        </w:rPr>
        <w:t> </w:t>
      </w:r>
      <w:r>
        <w:rPr>
          <w:spacing w:val="-4"/>
        </w:rPr>
        <w:t>Pvt.</w:t>
      </w:r>
      <w:r>
        <w:rPr>
          <w:spacing w:val="-7"/>
        </w:rPr>
        <w:t> </w:t>
      </w:r>
      <w:r>
        <w:rPr>
          <w:spacing w:val="-4"/>
        </w:rPr>
        <w:t>Ltd.</w:t>
      </w:r>
    </w:p>
    <w:p>
      <w:pPr>
        <w:pStyle w:val="ListParagraph"/>
        <w:numPr>
          <w:ilvl w:val="1"/>
          <w:numId w:val="83"/>
        </w:numPr>
        <w:tabs>
          <w:tab w:pos="679" w:val="left" w:leader="none"/>
        </w:tabs>
        <w:spacing w:line="266" w:lineRule="auto" w:before="117" w:after="0"/>
        <w:ind w:left="679" w:right="3353" w:hanging="360"/>
        <w:jc w:val="left"/>
        <w:rPr>
          <w:sz w:val="22"/>
        </w:rPr>
      </w:pPr>
      <w:r>
        <w:rPr>
          <w:spacing w:val="-2"/>
          <w:sz w:val="22"/>
        </w:rPr>
        <w:t>Ms.</w:t>
      </w:r>
      <w:r>
        <w:rPr>
          <w:spacing w:val="-12"/>
          <w:sz w:val="22"/>
        </w:rPr>
        <w:t> </w:t>
      </w:r>
      <w:r>
        <w:rPr>
          <w:spacing w:val="-2"/>
          <w:sz w:val="22"/>
        </w:rPr>
        <w:t>Geeta</w:t>
      </w:r>
      <w:r>
        <w:rPr>
          <w:spacing w:val="-12"/>
          <w:sz w:val="22"/>
        </w:rPr>
        <w:t> </w:t>
      </w:r>
      <w:r>
        <w:rPr>
          <w:spacing w:val="-2"/>
          <w:sz w:val="22"/>
        </w:rPr>
        <w:t>Dharmarajan KATHA</w:t>
      </w:r>
    </w:p>
    <w:p>
      <w:pPr>
        <w:pStyle w:val="ListParagraph"/>
        <w:numPr>
          <w:ilvl w:val="1"/>
          <w:numId w:val="83"/>
        </w:numPr>
        <w:tabs>
          <w:tab w:pos="679" w:val="left" w:leader="none"/>
        </w:tabs>
        <w:spacing w:line="266" w:lineRule="auto" w:before="89" w:after="0"/>
        <w:ind w:left="679" w:right="3390" w:hanging="360"/>
        <w:jc w:val="left"/>
        <w:rPr>
          <w:sz w:val="22"/>
        </w:rPr>
      </w:pPr>
      <w:r>
        <w:rPr>
          <w:sz w:val="22"/>
        </w:rPr>
        <w:t>Ms. Mini Krishnan </w:t>
      </w:r>
      <w:r>
        <w:rPr>
          <w:spacing w:val="-6"/>
          <w:sz w:val="22"/>
        </w:rPr>
        <w:t>Oxford</w:t>
      </w:r>
      <w:r>
        <w:rPr>
          <w:spacing w:val="-8"/>
          <w:sz w:val="22"/>
        </w:rPr>
        <w:t> </w:t>
      </w:r>
      <w:r>
        <w:rPr>
          <w:spacing w:val="-6"/>
          <w:sz w:val="22"/>
        </w:rPr>
        <w:t>University</w:t>
      </w:r>
      <w:r>
        <w:rPr>
          <w:spacing w:val="-8"/>
          <w:sz w:val="22"/>
        </w:rPr>
        <w:t> </w:t>
      </w:r>
      <w:r>
        <w:rPr>
          <w:spacing w:val="-6"/>
          <w:sz w:val="22"/>
        </w:rPr>
        <w:t>Press</w:t>
      </w:r>
    </w:p>
    <w:p>
      <w:pPr>
        <w:pStyle w:val="ListParagraph"/>
        <w:numPr>
          <w:ilvl w:val="1"/>
          <w:numId w:val="83"/>
        </w:numPr>
        <w:tabs>
          <w:tab w:pos="678" w:val="left" w:leader="none"/>
        </w:tabs>
        <w:spacing w:line="240" w:lineRule="auto" w:before="88" w:after="0"/>
        <w:ind w:left="678" w:right="0" w:hanging="359"/>
        <w:jc w:val="left"/>
        <w:rPr>
          <w:sz w:val="22"/>
        </w:rPr>
      </w:pPr>
      <w:r>
        <w:rPr>
          <w:spacing w:val="-6"/>
          <w:sz w:val="22"/>
        </w:rPr>
        <w:t>Prof.</w:t>
      </w:r>
      <w:r>
        <w:rPr>
          <w:sz w:val="22"/>
        </w:rPr>
        <w:t> </w:t>
      </w:r>
      <w:r>
        <w:rPr>
          <w:spacing w:val="-6"/>
          <w:sz w:val="22"/>
        </w:rPr>
        <w:t>Udaya</w:t>
      </w:r>
      <w:r>
        <w:rPr>
          <w:sz w:val="22"/>
        </w:rPr>
        <w:t> </w:t>
      </w:r>
      <w:r>
        <w:rPr>
          <w:spacing w:val="-6"/>
          <w:sz w:val="22"/>
        </w:rPr>
        <w:t>Narayana</w:t>
      </w:r>
      <w:r>
        <w:rPr>
          <w:spacing w:val="1"/>
          <w:sz w:val="22"/>
        </w:rPr>
        <w:t> </w:t>
      </w:r>
      <w:r>
        <w:rPr>
          <w:spacing w:val="-6"/>
          <w:sz w:val="22"/>
        </w:rPr>
        <w:t>Singh</w:t>
      </w:r>
    </w:p>
    <w:p>
      <w:pPr>
        <w:pStyle w:val="BodyText"/>
        <w:spacing w:before="27"/>
        <w:ind w:left="679"/>
      </w:pPr>
      <w:r>
        <w:rPr>
          <w:spacing w:val="-2"/>
        </w:rPr>
        <w:t>Director, Central</w:t>
      </w:r>
      <w:r>
        <w:rPr>
          <w:spacing w:val="-1"/>
        </w:rPr>
        <w:t> </w:t>
      </w:r>
      <w:r>
        <w:rPr>
          <w:spacing w:val="-2"/>
        </w:rPr>
        <w:t>Institute</w:t>
      </w:r>
      <w:r>
        <w:rPr>
          <w:spacing w:val="-1"/>
        </w:rPr>
        <w:t> </w:t>
      </w:r>
      <w:r>
        <w:rPr>
          <w:spacing w:val="-2"/>
        </w:rPr>
        <w:t>of</w:t>
      </w:r>
      <w:r>
        <w:rPr>
          <w:spacing w:val="-1"/>
        </w:rPr>
        <w:t> </w:t>
      </w:r>
      <w:r>
        <w:rPr>
          <w:spacing w:val="-2"/>
        </w:rPr>
        <w:t>Indian</w:t>
      </w:r>
      <w:r>
        <w:rPr>
          <w:spacing w:val="-1"/>
        </w:rPr>
        <w:t> </w:t>
      </w:r>
      <w:r>
        <w:rPr>
          <w:spacing w:val="-2"/>
        </w:rPr>
        <w:t>Languages</w:t>
      </w:r>
    </w:p>
    <w:p>
      <w:pPr>
        <w:pStyle w:val="ListParagraph"/>
        <w:numPr>
          <w:ilvl w:val="1"/>
          <w:numId w:val="83"/>
        </w:numPr>
        <w:tabs>
          <w:tab w:pos="679" w:val="left" w:leader="none"/>
        </w:tabs>
        <w:spacing w:line="266" w:lineRule="auto" w:before="117" w:after="0"/>
        <w:ind w:left="679" w:right="3646" w:hanging="360"/>
        <w:jc w:val="left"/>
        <w:rPr>
          <w:sz w:val="22"/>
        </w:rPr>
      </w:pPr>
      <w:r>
        <w:rPr>
          <w:spacing w:val="-2"/>
          <w:sz w:val="22"/>
        </w:rPr>
        <w:t>Ms.</w:t>
      </w:r>
      <w:r>
        <w:rPr>
          <w:spacing w:val="-12"/>
          <w:sz w:val="22"/>
        </w:rPr>
        <w:t> </w:t>
      </w:r>
      <w:r>
        <w:rPr>
          <w:spacing w:val="-2"/>
          <w:sz w:val="22"/>
        </w:rPr>
        <w:t>Radhika</w:t>
      </w:r>
      <w:r>
        <w:rPr>
          <w:spacing w:val="-12"/>
          <w:sz w:val="22"/>
        </w:rPr>
        <w:t> </w:t>
      </w:r>
      <w:r>
        <w:rPr>
          <w:spacing w:val="-2"/>
          <w:sz w:val="22"/>
        </w:rPr>
        <w:t>Menon Tulika</w:t>
      </w:r>
    </w:p>
    <w:p>
      <w:pPr>
        <w:pStyle w:val="ListParagraph"/>
        <w:numPr>
          <w:ilvl w:val="1"/>
          <w:numId w:val="83"/>
        </w:numPr>
        <w:tabs>
          <w:tab w:pos="678" w:val="left" w:leader="none"/>
        </w:tabs>
        <w:spacing w:line="240" w:lineRule="auto" w:before="89" w:after="0"/>
        <w:ind w:left="678" w:right="0" w:hanging="359"/>
        <w:jc w:val="left"/>
        <w:rPr>
          <w:sz w:val="22"/>
        </w:rPr>
      </w:pPr>
      <w:r>
        <w:rPr>
          <w:sz w:val="22"/>
        </w:rPr>
        <w:t>Dr.</w:t>
      </w:r>
      <w:r>
        <w:rPr>
          <w:spacing w:val="-5"/>
          <w:sz w:val="22"/>
        </w:rPr>
        <w:t> </w:t>
      </w:r>
      <w:r>
        <w:rPr>
          <w:sz w:val="22"/>
        </w:rPr>
        <w:t>S.N.</w:t>
      </w:r>
      <w:r>
        <w:rPr>
          <w:spacing w:val="-4"/>
          <w:sz w:val="22"/>
        </w:rPr>
        <w:t> Ojha</w:t>
      </w:r>
    </w:p>
    <w:p>
      <w:pPr>
        <w:pStyle w:val="BodyText"/>
        <w:spacing w:line="266" w:lineRule="auto" w:before="27"/>
        <w:ind w:left="679" w:right="1810"/>
      </w:pPr>
      <w:r>
        <w:rPr>
          <w:spacing w:val="-4"/>
        </w:rPr>
        <w:t>Visva-Bharati</w:t>
      </w:r>
      <w:r>
        <w:rPr>
          <w:spacing w:val="-7"/>
        </w:rPr>
        <w:t> </w:t>
      </w:r>
      <w:r>
        <w:rPr>
          <w:spacing w:val="-4"/>
        </w:rPr>
        <w:t>Computer</w:t>
      </w:r>
      <w:r>
        <w:rPr>
          <w:spacing w:val="-7"/>
        </w:rPr>
        <w:t> </w:t>
      </w:r>
      <w:r>
        <w:rPr>
          <w:spacing w:val="-4"/>
        </w:rPr>
        <w:t>Centre </w:t>
      </w:r>
      <w:r>
        <w:rPr>
          <w:spacing w:val="-2"/>
        </w:rPr>
        <w:t>Santiniketan</w:t>
      </w:r>
    </w:p>
    <w:p>
      <w:pPr>
        <w:pStyle w:val="ListParagraph"/>
        <w:numPr>
          <w:ilvl w:val="1"/>
          <w:numId w:val="83"/>
        </w:numPr>
        <w:tabs>
          <w:tab w:pos="679" w:val="left" w:leader="none"/>
        </w:tabs>
        <w:spacing w:line="266" w:lineRule="auto" w:before="88" w:after="0"/>
        <w:ind w:left="679" w:right="3670" w:hanging="360"/>
        <w:jc w:val="left"/>
        <w:rPr>
          <w:sz w:val="22"/>
        </w:rPr>
      </w:pPr>
      <w:r>
        <w:rPr>
          <w:sz w:val="22"/>
        </w:rPr>
        <w:t>Mr. Rubin D’Cruz </w:t>
      </w:r>
      <w:r>
        <w:rPr>
          <w:spacing w:val="-4"/>
          <w:sz w:val="22"/>
        </w:rPr>
        <w:t>National</w:t>
      </w:r>
      <w:r>
        <w:rPr>
          <w:spacing w:val="-10"/>
          <w:sz w:val="22"/>
        </w:rPr>
        <w:t> </w:t>
      </w:r>
      <w:r>
        <w:rPr>
          <w:spacing w:val="-4"/>
          <w:sz w:val="22"/>
        </w:rPr>
        <w:t>Book</w:t>
      </w:r>
      <w:r>
        <w:rPr>
          <w:spacing w:val="-10"/>
          <w:sz w:val="22"/>
        </w:rPr>
        <w:t> </w:t>
      </w:r>
      <w:r>
        <w:rPr>
          <w:spacing w:val="-4"/>
          <w:sz w:val="22"/>
        </w:rPr>
        <w:t>Trust</w:t>
      </w:r>
    </w:p>
    <w:p>
      <w:pPr>
        <w:pStyle w:val="ListParagraph"/>
        <w:numPr>
          <w:ilvl w:val="1"/>
          <w:numId w:val="83"/>
        </w:numPr>
        <w:tabs>
          <w:tab w:pos="678" w:val="left" w:leader="none"/>
        </w:tabs>
        <w:spacing w:line="240" w:lineRule="auto" w:before="88" w:after="0"/>
        <w:ind w:left="678" w:right="0" w:hanging="359"/>
        <w:jc w:val="left"/>
        <w:rPr>
          <w:sz w:val="22"/>
        </w:rPr>
      </w:pPr>
      <w:r>
        <w:rPr>
          <w:spacing w:val="-6"/>
          <w:sz w:val="22"/>
        </w:rPr>
        <w:t>Prof.</w:t>
      </w:r>
      <w:r>
        <w:rPr>
          <w:spacing w:val="-7"/>
          <w:sz w:val="22"/>
        </w:rPr>
        <w:t> </w:t>
      </w:r>
      <w:r>
        <w:rPr>
          <w:spacing w:val="-6"/>
          <w:sz w:val="22"/>
        </w:rPr>
        <w:t>Bijay Kumar,</w:t>
      </w:r>
      <w:r>
        <w:rPr>
          <w:spacing w:val="-7"/>
          <w:sz w:val="22"/>
        </w:rPr>
        <w:t> </w:t>
      </w:r>
      <w:r>
        <w:rPr>
          <w:spacing w:val="-6"/>
          <w:sz w:val="22"/>
        </w:rPr>
        <w:t>Chairman</w:t>
      </w:r>
    </w:p>
    <w:p>
      <w:pPr>
        <w:pStyle w:val="BodyText"/>
        <w:spacing w:line="266" w:lineRule="auto" w:before="27"/>
        <w:ind w:left="679" w:right="1810"/>
      </w:pPr>
      <w:r>
        <w:rPr>
          <w:spacing w:val="-2"/>
        </w:rPr>
        <w:t>CSTT</w:t>
      </w:r>
      <w:r>
        <w:rPr>
          <w:spacing w:val="-12"/>
        </w:rPr>
        <w:t> </w:t>
      </w:r>
      <w:r>
        <w:rPr>
          <w:spacing w:val="-2"/>
        </w:rPr>
        <w:t>(Commission</w:t>
      </w:r>
      <w:r>
        <w:rPr>
          <w:spacing w:val="-12"/>
        </w:rPr>
        <w:t> </w:t>
      </w:r>
      <w:r>
        <w:rPr>
          <w:spacing w:val="-2"/>
        </w:rPr>
        <w:t>for</w:t>
      </w:r>
      <w:r>
        <w:rPr>
          <w:spacing w:val="-12"/>
        </w:rPr>
        <w:t> </w:t>
      </w:r>
      <w:r>
        <w:rPr>
          <w:spacing w:val="-2"/>
        </w:rPr>
        <w:t>Scientific</w:t>
      </w:r>
      <w:r>
        <w:rPr>
          <w:spacing w:val="-11"/>
        </w:rPr>
        <w:t> </w:t>
      </w:r>
      <w:r>
        <w:rPr>
          <w:spacing w:val="-2"/>
        </w:rPr>
        <w:t>and </w:t>
      </w:r>
      <w:r>
        <w:rPr/>
        <w:t>Technical</w:t>
      </w:r>
      <w:r>
        <w:rPr>
          <w:spacing w:val="-6"/>
        </w:rPr>
        <w:t> </w:t>
      </w:r>
      <w:r>
        <w:rPr/>
        <w:t>Terminology)</w:t>
      </w:r>
    </w:p>
    <w:p>
      <w:pPr>
        <w:pStyle w:val="ListParagraph"/>
        <w:numPr>
          <w:ilvl w:val="1"/>
          <w:numId w:val="83"/>
        </w:numPr>
        <w:tabs>
          <w:tab w:pos="678" w:val="left" w:leader="none"/>
        </w:tabs>
        <w:spacing w:line="240" w:lineRule="auto" w:before="89" w:after="0"/>
        <w:ind w:left="678" w:right="0" w:hanging="359"/>
        <w:jc w:val="left"/>
        <w:rPr>
          <w:sz w:val="22"/>
        </w:rPr>
      </w:pPr>
      <w:r>
        <w:rPr>
          <w:spacing w:val="-2"/>
          <w:sz w:val="22"/>
        </w:rPr>
        <w:t>Mr.</w:t>
      </w:r>
      <w:r>
        <w:rPr>
          <w:spacing w:val="-12"/>
          <w:sz w:val="22"/>
        </w:rPr>
        <w:t> </w:t>
      </w:r>
      <w:r>
        <w:rPr>
          <w:spacing w:val="-2"/>
          <w:sz w:val="22"/>
        </w:rPr>
        <w:t>N.V.</w:t>
      </w:r>
      <w:r>
        <w:rPr>
          <w:spacing w:val="-11"/>
          <w:sz w:val="22"/>
        </w:rPr>
        <w:t> </w:t>
      </w:r>
      <w:r>
        <w:rPr>
          <w:spacing w:val="-2"/>
          <w:sz w:val="22"/>
        </w:rPr>
        <w:t>Sathyanarayana</w:t>
      </w:r>
    </w:p>
    <w:p>
      <w:pPr>
        <w:pStyle w:val="BodyText"/>
        <w:spacing w:line="266" w:lineRule="auto" w:before="27"/>
        <w:ind w:left="679" w:right="918"/>
      </w:pPr>
      <w:r>
        <w:rPr>
          <w:spacing w:val="-2"/>
        </w:rPr>
        <w:t>Chairman</w:t>
      </w:r>
      <w:r>
        <w:rPr>
          <w:spacing w:val="-12"/>
        </w:rPr>
        <w:t> </w:t>
      </w:r>
      <w:r>
        <w:rPr>
          <w:spacing w:val="-2"/>
        </w:rPr>
        <w:t>and</w:t>
      </w:r>
      <w:r>
        <w:rPr>
          <w:spacing w:val="-12"/>
        </w:rPr>
        <w:t> </w:t>
      </w:r>
      <w:r>
        <w:rPr>
          <w:spacing w:val="-2"/>
        </w:rPr>
        <w:t>Managing</w:t>
      </w:r>
      <w:r>
        <w:rPr>
          <w:spacing w:val="-12"/>
        </w:rPr>
        <w:t> </w:t>
      </w:r>
      <w:r>
        <w:rPr>
          <w:spacing w:val="-2"/>
        </w:rPr>
        <w:t>Director</w:t>
      </w:r>
      <w:r>
        <w:rPr>
          <w:spacing w:val="-11"/>
        </w:rPr>
        <w:t> </w:t>
      </w:r>
      <w:r>
        <w:rPr>
          <w:spacing w:val="-2"/>
        </w:rPr>
        <w:t>Informatics </w:t>
      </w:r>
      <w:r>
        <w:rPr/>
        <w:t>(India) Ltd.</w:t>
      </w:r>
    </w:p>
    <w:p>
      <w:pPr>
        <w:pStyle w:val="ListParagraph"/>
        <w:numPr>
          <w:ilvl w:val="1"/>
          <w:numId w:val="83"/>
        </w:numPr>
        <w:tabs>
          <w:tab w:pos="679" w:val="left" w:leader="none"/>
        </w:tabs>
        <w:spacing w:line="266" w:lineRule="auto" w:before="88" w:after="0"/>
        <w:ind w:left="679" w:right="3824" w:hanging="360"/>
        <w:jc w:val="left"/>
        <w:rPr>
          <w:sz w:val="22"/>
        </w:rPr>
      </w:pPr>
      <w:r>
        <w:rPr>
          <w:sz w:val="22"/>
        </w:rPr>
        <w:t>Dr. Shalini R.Urs </w:t>
      </w:r>
      <w:r>
        <w:rPr>
          <w:w w:val="90"/>
          <w:sz w:val="22"/>
        </w:rPr>
        <w:t>Executive</w:t>
      </w:r>
      <w:r>
        <w:rPr>
          <w:spacing w:val="15"/>
          <w:sz w:val="22"/>
        </w:rPr>
        <w:t> </w:t>
      </w:r>
      <w:r>
        <w:rPr>
          <w:spacing w:val="-2"/>
          <w:sz w:val="22"/>
        </w:rPr>
        <w:t>Director</w:t>
      </w:r>
    </w:p>
    <w:p>
      <w:pPr>
        <w:pStyle w:val="BodyText"/>
        <w:spacing w:line="266" w:lineRule="auto"/>
        <w:ind w:left="679" w:right="918"/>
      </w:pPr>
      <w:r>
        <w:rPr>
          <w:spacing w:val="-2"/>
        </w:rPr>
        <w:t>iSIM</w:t>
      </w:r>
      <w:r>
        <w:rPr>
          <w:spacing w:val="-10"/>
        </w:rPr>
        <w:t> </w:t>
      </w:r>
      <w:r>
        <w:rPr>
          <w:spacing w:val="-2"/>
        </w:rPr>
        <w:t>-</w:t>
      </w:r>
      <w:r>
        <w:rPr>
          <w:spacing w:val="-10"/>
        </w:rPr>
        <w:t> </w:t>
      </w:r>
      <w:r>
        <w:rPr>
          <w:spacing w:val="-2"/>
        </w:rPr>
        <w:t>International</w:t>
      </w:r>
      <w:r>
        <w:rPr>
          <w:spacing w:val="-10"/>
        </w:rPr>
        <w:t> </w:t>
      </w:r>
      <w:r>
        <w:rPr>
          <w:spacing w:val="-2"/>
        </w:rPr>
        <w:t>School</w:t>
      </w:r>
      <w:r>
        <w:rPr>
          <w:spacing w:val="-10"/>
        </w:rPr>
        <w:t> </w:t>
      </w:r>
      <w:r>
        <w:rPr>
          <w:spacing w:val="-2"/>
        </w:rPr>
        <w:t>of</w:t>
      </w:r>
      <w:r>
        <w:rPr>
          <w:spacing w:val="-10"/>
        </w:rPr>
        <w:t> </w:t>
      </w:r>
      <w:r>
        <w:rPr>
          <w:spacing w:val="-2"/>
        </w:rPr>
        <w:t>Information Management,</w:t>
      </w:r>
    </w:p>
    <w:p>
      <w:pPr>
        <w:pStyle w:val="BodyText"/>
        <w:spacing w:line="251" w:lineRule="exact"/>
        <w:ind w:left="679"/>
      </w:pPr>
      <w:r>
        <w:rPr>
          <w:spacing w:val="-6"/>
        </w:rPr>
        <w:t>University</w:t>
      </w:r>
      <w:r>
        <w:rPr/>
        <w:t> </w:t>
      </w:r>
      <w:r>
        <w:rPr>
          <w:spacing w:val="-6"/>
        </w:rPr>
        <w:t>of</w:t>
      </w:r>
      <w:r>
        <w:rPr/>
        <w:t> </w:t>
      </w:r>
      <w:r>
        <w:rPr>
          <w:spacing w:val="-6"/>
        </w:rPr>
        <w:t>Mysore</w:t>
      </w:r>
    </w:p>
    <w:p>
      <w:pPr>
        <w:pStyle w:val="ListParagraph"/>
        <w:numPr>
          <w:ilvl w:val="1"/>
          <w:numId w:val="83"/>
        </w:numPr>
        <w:tabs>
          <w:tab w:pos="678" w:val="left" w:leader="none"/>
        </w:tabs>
        <w:spacing w:line="240" w:lineRule="auto" w:before="116" w:after="0"/>
        <w:ind w:left="678" w:right="0" w:hanging="359"/>
        <w:jc w:val="left"/>
        <w:rPr>
          <w:sz w:val="22"/>
        </w:rPr>
      </w:pPr>
      <w:r>
        <w:rPr>
          <w:spacing w:val="-6"/>
          <w:sz w:val="22"/>
        </w:rPr>
        <w:t>Dr.</w:t>
      </w:r>
      <w:r>
        <w:rPr>
          <w:spacing w:val="-3"/>
          <w:sz w:val="22"/>
        </w:rPr>
        <w:t> </w:t>
      </w:r>
      <w:r>
        <w:rPr>
          <w:spacing w:val="-6"/>
          <w:sz w:val="22"/>
        </w:rPr>
        <w:t>Sukrita</w:t>
      </w:r>
      <w:r>
        <w:rPr>
          <w:spacing w:val="-3"/>
          <w:sz w:val="22"/>
        </w:rPr>
        <w:t> </w:t>
      </w:r>
      <w:r>
        <w:rPr>
          <w:spacing w:val="-6"/>
          <w:sz w:val="22"/>
        </w:rPr>
        <w:t>P.</w:t>
      </w:r>
      <w:r>
        <w:rPr>
          <w:spacing w:val="-2"/>
          <w:sz w:val="22"/>
        </w:rPr>
        <w:t> </w:t>
      </w:r>
      <w:r>
        <w:rPr>
          <w:spacing w:val="-6"/>
          <w:sz w:val="22"/>
        </w:rPr>
        <w:t>Kumar</w:t>
      </w:r>
    </w:p>
    <w:p>
      <w:pPr>
        <w:pStyle w:val="ListParagraph"/>
        <w:numPr>
          <w:ilvl w:val="1"/>
          <w:numId w:val="83"/>
        </w:numPr>
        <w:tabs>
          <w:tab w:pos="678" w:val="left" w:leader="none"/>
        </w:tabs>
        <w:spacing w:line="240" w:lineRule="auto" w:before="117" w:after="0"/>
        <w:ind w:left="678" w:right="0" w:hanging="359"/>
        <w:jc w:val="left"/>
        <w:rPr>
          <w:sz w:val="22"/>
        </w:rPr>
      </w:pPr>
      <w:r>
        <w:rPr>
          <w:sz w:val="22"/>
        </w:rPr>
        <w:t>Dr.</w:t>
      </w:r>
      <w:r>
        <w:rPr>
          <w:spacing w:val="-6"/>
          <w:sz w:val="22"/>
        </w:rPr>
        <w:t> </w:t>
      </w:r>
      <w:r>
        <w:rPr>
          <w:spacing w:val="-2"/>
          <w:sz w:val="22"/>
        </w:rPr>
        <w:t>Apoorvanand</w:t>
      </w:r>
    </w:p>
    <w:p>
      <w:pPr>
        <w:pStyle w:val="ListParagraph"/>
        <w:numPr>
          <w:ilvl w:val="1"/>
          <w:numId w:val="83"/>
        </w:numPr>
        <w:tabs>
          <w:tab w:pos="679" w:val="left" w:leader="none"/>
        </w:tabs>
        <w:spacing w:line="266" w:lineRule="auto" w:before="117" w:after="0"/>
        <w:ind w:left="679" w:right="3824" w:hanging="360"/>
        <w:jc w:val="left"/>
        <w:rPr>
          <w:sz w:val="22"/>
        </w:rPr>
      </w:pPr>
      <w:r>
        <w:rPr>
          <w:spacing w:val="-6"/>
          <w:sz w:val="22"/>
        </w:rPr>
        <w:t>Dr.</w:t>
      </w:r>
      <w:r>
        <w:rPr>
          <w:spacing w:val="-8"/>
          <w:sz w:val="22"/>
        </w:rPr>
        <w:t> </w:t>
      </w:r>
      <w:r>
        <w:rPr>
          <w:spacing w:val="-6"/>
          <w:sz w:val="22"/>
        </w:rPr>
        <w:t>Sanjay</w:t>
      </w:r>
      <w:r>
        <w:rPr>
          <w:spacing w:val="-8"/>
          <w:sz w:val="22"/>
        </w:rPr>
        <w:t> </w:t>
      </w:r>
      <w:r>
        <w:rPr>
          <w:spacing w:val="-6"/>
          <w:sz w:val="22"/>
        </w:rPr>
        <w:t>Sharma </w:t>
      </w:r>
      <w:r>
        <w:rPr>
          <w:sz w:val="22"/>
        </w:rPr>
        <w:t>Dept. of History Delhi University</w:t>
      </w:r>
    </w:p>
    <w:p>
      <w:pPr>
        <w:spacing w:after="0" w:line="266" w:lineRule="auto"/>
        <w:jc w:val="left"/>
        <w:rPr>
          <w:sz w:val="22"/>
        </w:rPr>
        <w:sectPr>
          <w:type w:val="continuous"/>
          <w:pgSz w:w="11910" w:h="16840"/>
          <w:pgMar w:header="0" w:footer="675" w:top="1920" w:bottom="280" w:left="0" w:right="0"/>
          <w:cols w:num="2" w:equalWidth="0">
            <w:col w:w="5773" w:space="40"/>
            <w:col w:w="6097"/>
          </w:cols>
        </w:sectPr>
      </w:pPr>
    </w:p>
    <w:p>
      <w:pPr>
        <w:pStyle w:val="ListParagraph"/>
        <w:numPr>
          <w:ilvl w:val="1"/>
          <w:numId w:val="83"/>
        </w:numPr>
        <w:tabs>
          <w:tab w:pos="1438" w:val="left" w:leader="none"/>
        </w:tabs>
        <w:spacing w:line="240" w:lineRule="auto" w:before="57" w:after="0"/>
        <w:ind w:left="1438" w:right="0" w:hanging="359"/>
        <w:jc w:val="left"/>
        <w:rPr>
          <w:sz w:val="22"/>
        </w:rPr>
      </w:pPr>
      <w:r>
        <w:rPr>
          <w:w w:val="90"/>
          <w:sz w:val="22"/>
        </w:rPr>
        <w:t>Abhay</w:t>
      </w:r>
      <w:r>
        <w:rPr>
          <w:spacing w:val="12"/>
          <w:sz w:val="22"/>
        </w:rPr>
        <w:t> </w:t>
      </w:r>
      <w:r>
        <w:rPr>
          <w:spacing w:val="-4"/>
          <w:sz w:val="22"/>
        </w:rPr>
        <w:t>Dube</w:t>
      </w:r>
    </w:p>
    <w:p>
      <w:pPr>
        <w:pStyle w:val="BodyText"/>
        <w:spacing w:before="27"/>
        <w:ind w:left="1439"/>
      </w:pPr>
      <w:r>
        <w:rPr>
          <w:spacing w:val="-6"/>
        </w:rPr>
        <w:t>Editor,</w:t>
      </w:r>
      <w:r>
        <w:rPr>
          <w:spacing w:val="2"/>
        </w:rPr>
        <w:t> </w:t>
      </w:r>
      <w:r>
        <w:rPr>
          <w:spacing w:val="-6"/>
        </w:rPr>
        <w:t>English</w:t>
      </w:r>
      <w:r>
        <w:rPr>
          <w:spacing w:val="3"/>
        </w:rPr>
        <w:t> </w:t>
      </w:r>
      <w:r>
        <w:rPr>
          <w:spacing w:val="-6"/>
        </w:rPr>
        <w:t>Language</w:t>
      </w:r>
      <w:r>
        <w:rPr>
          <w:spacing w:val="2"/>
        </w:rPr>
        <w:t> </w:t>
      </w:r>
      <w:r>
        <w:rPr>
          <w:spacing w:val="-6"/>
        </w:rPr>
        <w:t>Program</w:t>
      </w:r>
    </w:p>
    <w:p>
      <w:pPr>
        <w:pStyle w:val="BodyText"/>
        <w:spacing w:before="27"/>
        <w:ind w:left="1439"/>
      </w:pPr>
      <w:r>
        <w:rPr>
          <w:spacing w:val="-2"/>
        </w:rPr>
        <w:t>Centre</w:t>
      </w:r>
      <w:r>
        <w:rPr>
          <w:spacing w:val="-10"/>
        </w:rPr>
        <w:t> </w:t>
      </w:r>
      <w:r>
        <w:rPr>
          <w:spacing w:val="-2"/>
        </w:rPr>
        <w:t>for</w:t>
      </w:r>
      <w:r>
        <w:rPr>
          <w:spacing w:val="-9"/>
        </w:rPr>
        <w:t> </w:t>
      </w:r>
      <w:r>
        <w:rPr>
          <w:spacing w:val="-2"/>
        </w:rPr>
        <w:t>the</w:t>
      </w:r>
      <w:r>
        <w:rPr>
          <w:spacing w:val="-10"/>
        </w:rPr>
        <w:t> </w:t>
      </w:r>
      <w:r>
        <w:rPr>
          <w:spacing w:val="-2"/>
        </w:rPr>
        <w:t>Study</w:t>
      </w:r>
      <w:r>
        <w:rPr>
          <w:spacing w:val="-9"/>
        </w:rPr>
        <w:t> </w:t>
      </w:r>
      <w:r>
        <w:rPr>
          <w:spacing w:val="-2"/>
        </w:rPr>
        <w:t>of</w:t>
      </w:r>
      <w:r>
        <w:rPr>
          <w:spacing w:val="-9"/>
        </w:rPr>
        <w:t> </w:t>
      </w:r>
      <w:r>
        <w:rPr>
          <w:spacing w:val="-2"/>
        </w:rPr>
        <w:t>Developing</w:t>
      </w:r>
      <w:r>
        <w:rPr>
          <w:spacing w:val="-10"/>
        </w:rPr>
        <w:t> </w:t>
      </w:r>
      <w:r>
        <w:rPr>
          <w:spacing w:val="-2"/>
        </w:rPr>
        <w:t>Societies</w:t>
      </w:r>
    </w:p>
    <w:p>
      <w:pPr>
        <w:pStyle w:val="ListParagraph"/>
        <w:numPr>
          <w:ilvl w:val="1"/>
          <w:numId w:val="83"/>
        </w:numPr>
        <w:tabs>
          <w:tab w:pos="1439" w:val="left" w:leader="none"/>
        </w:tabs>
        <w:spacing w:line="266" w:lineRule="auto" w:before="117" w:after="0"/>
        <w:ind w:left="1439" w:right="14" w:hanging="360"/>
        <w:jc w:val="left"/>
        <w:rPr>
          <w:sz w:val="22"/>
        </w:rPr>
      </w:pPr>
      <w:r>
        <w:rPr>
          <w:spacing w:val="-4"/>
          <w:sz w:val="22"/>
        </w:rPr>
        <w:t>Ravi</w:t>
      </w:r>
      <w:r>
        <w:rPr>
          <w:spacing w:val="-10"/>
          <w:sz w:val="22"/>
        </w:rPr>
        <w:t> </w:t>
      </w:r>
      <w:r>
        <w:rPr>
          <w:spacing w:val="-4"/>
          <w:sz w:val="22"/>
        </w:rPr>
        <w:t>Kant,</w:t>
      </w:r>
      <w:r>
        <w:rPr>
          <w:spacing w:val="-10"/>
          <w:sz w:val="22"/>
        </w:rPr>
        <w:t> </w:t>
      </w:r>
      <w:r>
        <w:rPr>
          <w:spacing w:val="-4"/>
          <w:sz w:val="22"/>
        </w:rPr>
        <w:t>Editor,</w:t>
      </w:r>
      <w:r>
        <w:rPr>
          <w:spacing w:val="-10"/>
          <w:sz w:val="22"/>
        </w:rPr>
        <w:t> </w:t>
      </w:r>
      <w:r>
        <w:rPr>
          <w:spacing w:val="-4"/>
          <w:sz w:val="22"/>
        </w:rPr>
        <w:t>Deevan-E-Sarai,</w:t>
      </w:r>
      <w:r>
        <w:rPr>
          <w:spacing w:val="-9"/>
          <w:sz w:val="22"/>
        </w:rPr>
        <w:t> </w:t>
      </w:r>
      <w:r>
        <w:rPr>
          <w:spacing w:val="-4"/>
          <w:sz w:val="22"/>
        </w:rPr>
        <w:t>Sarai</w:t>
      </w:r>
      <w:r>
        <w:rPr>
          <w:spacing w:val="-10"/>
          <w:sz w:val="22"/>
        </w:rPr>
        <w:t> </w:t>
      </w:r>
      <w:r>
        <w:rPr>
          <w:spacing w:val="-4"/>
          <w:sz w:val="22"/>
        </w:rPr>
        <w:t>Program </w:t>
      </w:r>
      <w:r>
        <w:rPr>
          <w:sz w:val="22"/>
        </w:rPr>
        <w:t>Centre</w:t>
      </w:r>
      <w:r>
        <w:rPr>
          <w:spacing w:val="-2"/>
          <w:sz w:val="22"/>
        </w:rPr>
        <w:t> </w:t>
      </w:r>
      <w:r>
        <w:rPr>
          <w:sz w:val="22"/>
        </w:rPr>
        <w:t>for</w:t>
      </w:r>
      <w:r>
        <w:rPr>
          <w:spacing w:val="-2"/>
          <w:sz w:val="22"/>
        </w:rPr>
        <w:t> </w:t>
      </w:r>
      <w:r>
        <w:rPr>
          <w:sz w:val="22"/>
        </w:rPr>
        <w:t>the</w:t>
      </w:r>
      <w:r>
        <w:rPr>
          <w:spacing w:val="-2"/>
          <w:sz w:val="22"/>
        </w:rPr>
        <w:t> </w:t>
      </w:r>
      <w:r>
        <w:rPr>
          <w:sz w:val="22"/>
        </w:rPr>
        <w:t>Study</w:t>
      </w:r>
      <w:r>
        <w:rPr>
          <w:spacing w:val="-2"/>
          <w:sz w:val="22"/>
        </w:rPr>
        <w:t> </w:t>
      </w:r>
      <w:r>
        <w:rPr>
          <w:sz w:val="22"/>
        </w:rPr>
        <w:t>of</w:t>
      </w:r>
      <w:r>
        <w:rPr>
          <w:spacing w:val="-2"/>
          <w:sz w:val="22"/>
        </w:rPr>
        <w:t> </w:t>
      </w:r>
      <w:r>
        <w:rPr>
          <w:sz w:val="22"/>
        </w:rPr>
        <w:t>Developing</w:t>
      </w:r>
      <w:r>
        <w:rPr>
          <w:spacing w:val="-2"/>
          <w:sz w:val="22"/>
        </w:rPr>
        <w:t> </w:t>
      </w:r>
      <w:r>
        <w:rPr>
          <w:sz w:val="22"/>
        </w:rPr>
        <w:t>Societies</w:t>
      </w:r>
    </w:p>
    <w:p>
      <w:pPr>
        <w:pStyle w:val="ListParagraph"/>
        <w:numPr>
          <w:ilvl w:val="1"/>
          <w:numId w:val="83"/>
        </w:numPr>
        <w:tabs>
          <w:tab w:pos="1438" w:val="left" w:leader="none"/>
        </w:tabs>
        <w:spacing w:line="240" w:lineRule="auto" w:before="89" w:after="0"/>
        <w:ind w:left="1438" w:right="0" w:hanging="359"/>
        <w:jc w:val="left"/>
        <w:rPr>
          <w:sz w:val="22"/>
        </w:rPr>
      </w:pPr>
      <w:r>
        <w:rPr>
          <w:spacing w:val="-5"/>
          <w:sz w:val="22"/>
        </w:rPr>
        <w:t>Arvind</w:t>
      </w:r>
      <w:r>
        <w:rPr>
          <w:spacing w:val="-6"/>
          <w:sz w:val="22"/>
        </w:rPr>
        <w:t> </w:t>
      </w:r>
      <w:r>
        <w:rPr>
          <w:spacing w:val="-2"/>
          <w:sz w:val="22"/>
        </w:rPr>
        <w:t>Mohan</w:t>
      </w:r>
    </w:p>
    <w:p>
      <w:pPr>
        <w:pStyle w:val="BodyText"/>
        <w:spacing w:line="266" w:lineRule="auto" w:before="27"/>
        <w:ind w:left="1439" w:right="1740"/>
      </w:pPr>
      <w:r>
        <w:rPr>
          <w:spacing w:val="-8"/>
        </w:rPr>
        <w:t>Ex-Associate</w:t>
      </w:r>
      <w:r>
        <w:rPr>
          <w:spacing w:val="-6"/>
        </w:rPr>
        <w:t> </w:t>
      </w:r>
      <w:r>
        <w:rPr>
          <w:spacing w:val="-8"/>
        </w:rPr>
        <w:t>Editor </w:t>
      </w:r>
      <w:r>
        <w:rPr/>
        <w:t>Hindustan</w:t>
      </w:r>
      <w:r>
        <w:rPr>
          <w:spacing w:val="-6"/>
        </w:rPr>
        <w:t> </w:t>
      </w:r>
      <w:r>
        <w:rPr/>
        <w:t>Times</w:t>
      </w:r>
    </w:p>
    <w:p>
      <w:pPr>
        <w:pStyle w:val="ListParagraph"/>
        <w:numPr>
          <w:ilvl w:val="1"/>
          <w:numId w:val="83"/>
        </w:numPr>
        <w:tabs>
          <w:tab w:pos="1438" w:val="left" w:leader="none"/>
        </w:tabs>
        <w:spacing w:line="240" w:lineRule="auto" w:before="88" w:after="0"/>
        <w:ind w:left="1438" w:right="0" w:hanging="359"/>
        <w:jc w:val="left"/>
        <w:rPr>
          <w:sz w:val="22"/>
        </w:rPr>
      </w:pPr>
      <w:r>
        <w:rPr>
          <w:sz w:val="22"/>
        </w:rPr>
        <w:t>Dr.</w:t>
      </w:r>
      <w:r>
        <w:rPr>
          <w:spacing w:val="1"/>
          <w:sz w:val="22"/>
        </w:rPr>
        <w:t> </w:t>
      </w:r>
      <w:r>
        <w:rPr>
          <w:sz w:val="22"/>
        </w:rPr>
        <w:t>Hemant</w:t>
      </w:r>
      <w:r>
        <w:rPr>
          <w:spacing w:val="2"/>
          <w:sz w:val="22"/>
        </w:rPr>
        <w:t> </w:t>
      </w:r>
      <w:r>
        <w:rPr>
          <w:spacing w:val="-2"/>
          <w:sz w:val="22"/>
        </w:rPr>
        <w:t>Darbari</w:t>
      </w:r>
    </w:p>
    <w:p>
      <w:pPr>
        <w:pStyle w:val="BodyText"/>
        <w:spacing w:before="27"/>
        <w:ind w:left="1439"/>
      </w:pPr>
      <w:r>
        <w:rPr>
          <w:spacing w:val="-4"/>
        </w:rPr>
        <w:t>Centre for</w:t>
      </w:r>
      <w:r>
        <w:rPr>
          <w:spacing w:val="-3"/>
        </w:rPr>
        <w:t> </w:t>
      </w:r>
      <w:r>
        <w:rPr>
          <w:spacing w:val="-4"/>
        </w:rPr>
        <w:t>Development</w:t>
      </w:r>
      <w:r>
        <w:rPr>
          <w:spacing w:val="-3"/>
        </w:rPr>
        <w:t> </w:t>
      </w:r>
      <w:r>
        <w:rPr>
          <w:spacing w:val="-4"/>
        </w:rPr>
        <w:t>of</w:t>
      </w:r>
      <w:r>
        <w:rPr>
          <w:spacing w:val="-3"/>
        </w:rPr>
        <w:t> </w:t>
      </w:r>
      <w:r>
        <w:rPr>
          <w:spacing w:val="-4"/>
        </w:rPr>
        <w:t>Advanced</w:t>
      </w:r>
      <w:r>
        <w:rPr>
          <w:spacing w:val="-3"/>
        </w:rPr>
        <w:t> </w:t>
      </w:r>
      <w:r>
        <w:rPr>
          <w:spacing w:val="-4"/>
        </w:rPr>
        <w:t>Computing</w:t>
      </w:r>
    </w:p>
    <w:p>
      <w:pPr>
        <w:pStyle w:val="ListParagraph"/>
        <w:numPr>
          <w:ilvl w:val="1"/>
          <w:numId w:val="83"/>
        </w:numPr>
        <w:tabs>
          <w:tab w:pos="1438" w:val="left" w:leader="none"/>
        </w:tabs>
        <w:spacing w:line="240" w:lineRule="auto" w:before="117" w:after="0"/>
        <w:ind w:left="1438" w:right="0" w:hanging="359"/>
        <w:jc w:val="left"/>
        <w:rPr>
          <w:sz w:val="22"/>
        </w:rPr>
      </w:pPr>
      <w:r>
        <w:rPr>
          <w:sz w:val="22"/>
        </w:rPr>
        <w:t>Mahmood</w:t>
      </w:r>
      <w:r>
        <w:rPr>
          <w:spacing w:val="-14"/>
          <w:sz w:val="22"/>
        </w:rPr>
        <w:t> </w:t>
      </w:r>
      <w:r>
        <w:rPr>
          <w:spacing w:val="-2"/>
          <w:sz w:val="22"/>
        </w:rPr>
        <w:t>Farooqui</w:t>
      </w:r>
    </w:p>
    <w:p>
      <w:pPr>
        <w:pStyle w:val="BodyText"/>
        <w:spacing w:before="27"/>
        <w:ind w:left="1439"/>
      </w:pPr>
      <w:r>
        <w:rPr>
          <w:spacing w:val="-2"/>
        </w:rPr>
        <w:t>Centre</w:t>
      </w:r>
      <w:r>
        <w:rPr>
          <w:spacing w:val="-10"/>
        </w:rPr>
        <w:t> </w:t>
      </w:r>
      <w:r>
        <w:rPr>
          <w:spacing w:val="-2"/>
        </w:rPr>
        <w:t>for</w:t>
      </w:r>
      <w:r>
        <w:rPr>
          <w:spacing w:val="-9"/>
        </w:rPr>
        <w:t> </w:t>
      </w:r>
      <w:r>
        <w:rPr>
          <w:spacing w:val="-2"/>
        </w:rPr>
        <w:t>the</w:t>
      </w:r>
      <w:r>
        <w:rPr>
          <w:spacing w:val="-10"/>
        </w:rPr>
        <w:t> </w:t>
      </w:r>
      <w:r>
        <w:rPr>
          <w:spacing w:val="-2"/>
        </w:rPr>
        <w:t>Study</w:t>
      </w:r>
      <w:r>
        <w:rPr>
          <w:spacing w:val="-9"/>
        </w:rPr>
        <w:t> </w:t>
      </w:r>
      <w:r>
        <w:rPr>
          <w:spacing w:val="-2"/>
        </w:rPr>
        <w:t>of</w:t>
      </w:r>
      <w:r>
        <w:rPr>
          <w:spacing w:val="-9"/>
        </w:rPr>
        <w:t> </w:t>
      </w:r>
      <w:r>
        <w:rPr>
          <w:spacing w:val="-2"/>
        </w:rPr>
        <w:t>Developing</w:t>
      </w:r>
      <w:r>
        <w:rPr>
          <w:spacing w:val="-10"/>
        </w:rPr>
        <w:t> </w:t>
      </w:r>
      <w:r>
        <w:rPr>
          <w:spacing w:val="-2"/>
        </w:rPr>
        <w:t>Societies</w:t>
      </w:r>
    </w:p>
    <w:p>
      <w:pPr>
        <w:pStyle w:val="BodyText"/>
        <w:spacing w:before="41"/>
      </w:pPr>
    </w:p>
    <w:p>
      <w:pPr>
        <w:pStyle w:val="Heading6"/>
        <w:ind w:left="1079" w:firstLine="0"/>
      </w:pPr>
      <w:r>
        <w:rPr>
          <w:color w:val="2E614A"/>
          <w:w w:val="90"/>
        </w:rPr>
        <w:t>Knowledge</w:t>
      </w:r>
      <w:r>
        <w:rPr>
          <w:color w:val="2E614A"/>
          <w:spacing w:val="33"/>
        </w:rPr>
        <w:t> </w:t>
      </w:r>
      <w:r>
        <w:rPr>
          <w:color w:val="2E614A"/>
          <w:spacing w:val="-2"/>
        </w:rPr>
        <w:t>Network</w:t>
      </w:r>
    </w:p>
    <w:p>
      <w:pPr>
        <w:pStyle w:val="ListParagraph"/>
        <w:numPr>
          <w:ilvl w:val="0"/>
          <w:numId w:val="84"/>
        </w:numPr>
        <w:tabs>
          <w:tab w:pos="1438" w:val="left" w:leader="none"/>
        </w:tabs>
        <w:spacing w:line="240" w:lineRule="auto" w:before="285" w:after="0"/>
        <w:ind w:left="1438" w:right="0" w:hanging="359"/>
        <w:jc w:val="left"/>
        <w:rPr>
          <w:sz w:val="22"/>
        </w:rPr>
      </w:pPr>
      <w:r>
        <w:rPr>
          <w:spacing w:val="-4"/>
          <w:sz w:val="22"/>
        </w:rPr>
        <w:t>Mr.</w:t>
      </w:r>
      <w:r>
        <w:rPr>
          <w:spacing w:val="-6"/>
          <w:sz w:val="22"/>
        </w:rPr>
        <w:t> </w:t>
      </w:r>
      <w:r>
        <w:rPr>
          <w:spacing w:val="-4"/>
          <w:sz w:val="22"/>
        </w:rPr>
        <w:t>Pankaj</w:t>
      </w:r>
      <w:r>
        <w:rPr>
          <w:spacing w:val="-6"/>
          <w:sz w:val="22"/>
        </w:rPr>
        <w:t> </w:t>
      </w:r>
      <w:r>
        <w:rPr>
          <w:spacing w:val="-4"/>
          <w:sz w:val="22"/>
        </w:rPr>
        <w:t>Agrawala</w:t>
      </w:r>
    </w:p>
    <w:p>
      <w:pPr>
        <w:pStyle w:val="BodyText"/>
        <w:spacing w:line="264" w:lineRule="auto" w:before="25"/>
        <w:ind w:left="1439" w:right="760"/>
      </w:pPr>
      <w:r>
        <w:rPr>
          <w:spacing w:val="-4"/>
        </w:rPr>
        <w:t>Joint</w:t>
      </w:r>
      <w:r>
        <w:rPr>
          <w:spacing w:val="-10"/>
        </w:rPr>
        <w:t> </w:t>
      </w:r>
      <w:r>
        <w:rPr>
          <w:spacing w:val="-4"/>
        </w:rPr>
        <w:t>Secretary,</w:t>
      </w:r>
      <w:r>
        <w:rPr>
          <w:spacing w:val="-10"/>
        </w:rPr>
        <w:t> </w:t>
      </w:r>
      <w:r>
        <w:rPr>
          <w:spacing w:val="-4"/>
        </w:rPr>
        <w:t>Director</w:t>
      </w:r>
      <w:r>
        <w:rPr>
          <w:spacing w:val="-10"/>
        </w:rPr>
        <w:t> </w:t>
      </w:r>
      <w:r>
        <w:rPr>
          <w:spacing w:val="-4"/>
        </w:rPr>
        <w:t>of</w:t>
      </w:r>
      <w:r>
        <w:rPr>
          <w:spacing w:val="-9"/>
        </w:rPr>
        <w:t> </w:t>
      </w:r>
      <w:r>
        <w:rPr>
          <w:spacing w:val="-4"/>
        </w:rPr>
        <w:t>Grievances</w:t>
      </w:r>
      <w:r>
        <w:rPr>
          <w:spacing w:val="-10"/>
        </w:rPr>
        <w:t> </w:t>
      </w:r>
      <w:r>
        <w:rPr>
          <w:spacing w:val="-4"/>
        </w:rPr>
        <w:t>&amp; </w:t>
      </w:r>
      <w:r>
        <w:rPr/>
        <w:t>Nodal Officer (RTI)</w:t>
      </w:r>
    </w:p>
    <w:p>
      <w:pPr>
        <w:pStyle w:val="BodyText"/>
        <w:spacing w:line="252" w:lineRule="exact"/>
        <w:ind w:left="1439"/>
      </w:pPr>
      <w:r>
        <w:rPr>
          <w:spacing w:val="-4"/>
        </w:rPr>
        <w:t>E-Infrastructure/E-Learning</w:t>
      </w:r>
    </w:p>
    <w:p>
      <w:pPr>
        <w:pStyle w:val="BodyText"/>
        <w:spacing w:line="264" w:lineRule="auto" w:before="25"/>
        <w:ind w:left="1439"/>
      </w:pPr>
      <w:r>
        <w:rPr/>
        <w:t>Ministry</w:t>
      </w:r>
      <w:r>
        <w:rPr>
          <w:spacing w:val="-14"/>
        </w:rPr>
        <w:t> </w:t>
      </w:r>
      <w:r>
        <w:rPr/>
        <w:t>of</w:t>
      </w:r>
      <w:r>
        <w:rPr>
          <w:spacing w:val="-14"/>
        </w:rPr>
        <w:t> </w:t>
      </w:r>
      <w:r>
        <w:rPr/>
        <w:t>Communication</w:t>
      </w:r>
      <w:r>
        <w:rPr>
          <w:spacing w:val="-14"/>
        </w:rPr>
        <w:t> </w:t>
      </w:r>
      <w:r>
        <w:rPr/>
        <w:t>&amp;</w:t>
      </w:r>
      <w:r>
        <w:rPr>
          <w:spacing w:val="-13"/>
        </w:rPr>
        <w:t> </w:t>
      </w:r>
      <w:r>
        <w:rPr/>
        <w:t>Information Technology</w:t>
      </w:r>
      <w:r>
        <w:rPr>
          <w:spacing w:val="-2"/>
        </w:rPr>
        <w:t> </w:t>
      </w:r>
      <w:r>
        <w:rPr/>
        <w:t>(C&amp;IT),</w:t>
      </w:r>
      <w:r>
        <w:rPr>
          <w:spacing w:val="-2"/>
        </w:rPr>
        <w:t> </w:t>
      </w:r>
      <w:r>
        <w:rPr/>
        <w:t>Government</w:t>
      </w:r>
      <w:r>
        <w:rPr>
          <w:spacing w:val="-2"/>
        </w:rPr>
        <w:t> </w:t>
      </w:r>
      <w:r>
        <w:rPr/>
        <w:t>of</w:t>
      </w:r>
      <w:r>
        <w:rPr>
          <w:spacing w:val="-2"/>
        </w:rPr>
        <w:t> </w:t>
      </w:r>
      <w:r>
        <w:rPr/>
        <w:t>India</w:t>
      </w:r>
    </w:p>
    <w:p>
      <w:pPr>
        <w:pStyle w:val="ListParagraph"/>
        <w:numPr>
          <w:ilvl w:val="0"/>
          <w:numId w:val="84"/>
        </w:numPr>
        <w:tabs>
          <w:tab w:pos="1439" w:val="left" w:leader="none"/>
        </w:tabs>
        <w:spacing w:line="264" w:lineRule="auto" w:before="90" w:after="0"/>
        <w:ind w:left="1439" w:right="2240" w:hanging="360"/>
        <w:jc w:val="left"/>
        <w:rPr>
          <w:sz w:val="22"/>
        </w:rPr>
      </w:pPr>
      <w:r>
        <w:rPr>
          <w:spacing w:val="-6"/>
          <w:sz w:val="22"/>
        </w:rPr>
        <w:t>Mr.</w:t>
      </w:r>
      <w:r>
        <w:rPr>
          <w:spacing w:val="-8"/>
          <w:sz w:val="22"/>
        </w:rPr>
        <w:t> </w:t>
      </w:r>
      <w:r>
        <w:rPr>
          <w:spacing w:val="-6"/>
          <w:sz w:val="22"/>
        </w:rPr>
        <w:t>Shailendra</w:t>
      </w:r>
      <w:r>
        <w:rPr>
          <w:spacing w:val="-8"/>
          <w:sz w:val="22"/>
        </w:rPr>
        <w:t> </w:t>
      </w:r>
      <w:r>
        <w:rPr>
          <w:spacing w:val="-6"/>
          <w:sz w:val="22"/>
        </w:rPr>
        <w:t>Agarwal </w:t>
      </w:r>
      <w:r>
        <w:rPr>
          <w:sz w:val="22"/>
        </w:rPr>
        <w:t>Data Networks Circle</w:t>
      </w:r>
    </w:p>
    <w:p>
      <w:pPr>
        <w:pStyle w:val="BodyText"/>
        <w:spacing w:line="252" w:lineRule="exact"/>
        <w:ind w:left="1439"/>
      </w:pPr>
      <w:r>
        <w:rPr>
          <w:spacing w:val="-4"/>
        </w:rPr>
        <w:t>Bharat</w:t>
      </w:r>
      <w:r>
        <w:rPr>
          <w:spacing w:val="-2"/>
        </w:rPr>
        <w:t> </w:t>
      </w:r>
      <w:r>
        <w:rPr>
          <w:spacing w:val="-4"/>
        </w:rPr>
        <w:t>Sanchar</w:t>
      </w:r>
      <w:r>
        <w:rPr>
          <w:spacing w:val="-2"/>
        </w:rPr>
        <w:t> </w:t>
      </w:r>
      <w:r>
        <w:rPr>
          <w:spacing w:val="-4"/>
        </w:rPr>
        <w:t>Nigam</w:t>
      </w:r>
      <w:r>
        <w:rPr>
          <w:spacing w:val="-2"/>
        </w:rPr>
        <w:t> </w:t>
      </w:r>
      <w:r>
        <w:rPr>
          <w:spacing w:val="-4"/>
        </w:rPr>
        <w:t>Ltd.</w:t>
      </w:r>
      <w:r>
        <w:rPr>
          <w:spacing w:val="-2"/>
        </w:rPr>
        <w:t> </w:t>
      </w:r>
      <w:r>
        <w:rPr>
          <w:spacing w:val="-4"/>
        </w:rPr>
        <w:t>(BSNL)</w:t>
      </w:r>
    </w:p>
    <w:p>
      <w:pPr>
        <w:pStyle w:val="ListParagraph"/>
        <w:numPr>
          <w:ilvl w:val="0"/>
          <w:numId w:val="84"/>
        </w:numPr>
        <w:tabs>
          <w:tab w:pos="1439" w:val="left" w:leader="none"/>
        </w:tabs>
        <w:spacing w:line="240" w:lineRule="auto" w:before="115" w:after="0"/>
        <w:ind w:left="1439" w:right="0" w:hanging="359"/>
        <w:jc w:val="left"/>
        <w:rPr>
          <w:sz w:val="22"/>
        </w:rPr>
      </w:pPr>
      <w:r>
        <w:rPr>
          <w:sz w:val="22"/>
        </w:rPr>
        <w:t>Dr.</w:t>
      </w:r>
      <w:r>
        <w:rPr>
          <w:spacing w:val="-13"/>
          <w:sz w:val="22"/>
        </w:rPr>
        <w:t> </w:t>
      </w:r>
      <w:r>
        <w:rPr>
          <w:sz w:val="22"/>
        </w:rPr>
        <w:t>Alhad</w:t>
      </w:r>
      <w:r>
        <w:rPr>
          <w:spacing w:val="-11"/>
          <w:sz w:val="22"/>
        </w:rPr>
        <w:t> </w:t>
      </w:r>
      <w:r>
        <w:rPr>
          <w:sz w:val="22"/>
        </w:rPr>
        <w:t>G.</w:t>
      </w:r>
      <w:r>
        <w:rPr>
          <w:spacing w:val="-11"/>
          <w:sz w:val="22"/>
        </w:rPr>
        <w:t> </w:t>
      </w:r>
      <w:r>
        <w:rPr>
          <w:spacing w:val="-4"/>
          <w:sz w:val="22"/>
        </w:rPr>
        <w:t>Apte</w:t>
      </w:r>
    </w:p>
    <w:p>
      <w:pPr>
        <w:pStyle w:val="BodyText"/>
        <w:spacing w:line="264" w:lineRule="auto" w:before="25"/>
        <w:ind w:left="1439"/>
      </w:pPr>
      <w:r>
        <w:rPr>
          <w:spacing w:val="-2"/>
        </w:rPr>
        <w:t>Head,</w:t>
      </w:r>
      <w:r>
        <w:rPr>
          <w:spacing w:val="-12"/>
        </w:rPr>
        <w:t> </w:t>
      </w:r>
      <w:r>
        <w:rPr>
          <w:spacing w:val="-2"/>
        </w:rPr>
        <w:t>Computer</w:t>
      </w:r>
      <w:r>
        <w:rPr>
          <w:spacing w:val="-12"/>
        </w:rPr>
        <w:t> </w:t>
      </w:r>
      <w:r>
        <w:rPr>
          <w:spacing w:val="-2"/>
        </w:rPr>
        <w:t>Division,</w:t>
      </w:r>
      <w:r>
        <w:rPr>
          <w:spacing w:val="-12"/>
        </w:rPr>
        <w:t> </w:t>
      </w:r>
      <w:r>
        <w:rPr>
          <w:spacing w:val="-2"/>
        </w:rPr>
        <w:t>Bhabha</w:t>
      </w:r>
      <w:r>
        <w:rPr>
          <w:spacing w:val="-11"/>
        </w:rPr>
        <w:t> </w:t>
      </w:r>
      <w:r>
        <w:rPr>
          <w:spacing w:val="-2"/>
        </w:rPr>
        <w:t>Atomic </w:t>
      </w:r>
      <w:r>
        <w:rPr/>
        <w:t>Research Centre (BARC)</w:t>
      </w:r>
    </w:p>
    <w:p>
      <w:pPr>
        <w:pStyle w:val="ListParagraph"/>
        <w:numPr>
          <w:ilvl w:val="0"/>
          <w:numId w:val="84"/>
        </w:numPr>
        <w:tabs>
          <w:tab w:pos="1439" w:val="left" w:leader="none"/>
        </w:tabs>
        <w:spacing w:line="240" w:lineRule="auto" w:before="89" w:after="0"/>
        <w:ind w:left="1439" w:right="0" w:hanging="359"/>
        <w:jc w:val="left"/>
        <w:rPr>
          <w:sz w:val="22"/>
        </w:rPr>
      </w:pPr>
      <w:r>
        <w:rPr>
          <w:sz w:val="22"/>
        </w:rPr>
        <w:t>Mr. N.</w:t>
      </w:r>
      <w:r>
        <w:rPr>
          <w:spacing w:val="1"/>
          <w:sz w:val="22"/>
        </w:rPr>
        <w:t> </w:t>
      </w:r>
      <w:r>
        <w:rPr>
          <w:spacing w:val="-2"/>
          <w:sz w:val="22"/>
        </w:rPr>
        <w:t>Arjun</w:t>
      </w:r>
    </w:p>
    <w:p>
      <w:pPr>
        <w:pStyle w:val="BodyText"/>
        <w:spacing w:before="25"/>
        <w:ind w:left="1439"/>
      </w:pPr>
      <w:r>
        <w:rPr>
          <w:spacing w:val="-2"/>
        </w:rPr>
        <w:t>CEO,</w:t>
      </w:r>
      <w:r>
        <w:rPr>
          <w:spacing w:val="-6"/>
        </w:rPr>
        <w:t> </w:t>
      </w:r>
      <w:r>
        <w:rPr>
          <w:spacing w:val="-2"/>
        </w:rPr>
        <w:t>Bharti</w:t>
      </w:r>
      <w:r>
        <w:rPr>
          <w:spacing w:val="-5"/>
        </w:rPr>
        <w:t> </w:t>
      </w:r>
      <w:r>
        <w:rPr>
          <w:spacing w:val="-2"/>
        </w:rPr>
        <w:t>Airtel</w:t>
      </w:r>
      <w:r>
        <w:rPr>
          <w:spacing w:val="-6"/>
        </w:rPr>
        <w:t> </w:t>
      </w:r>
      <w:r>
        <w:rPr>
          <w:spacing w:val="-2"/>
        </w:rPr>
        <w:t>Limited</w:t>
      </w:r>
    </w:p>
    <w:p>
      <w:pPr>
        <w:pStyle w:val="ListParagraph"/>
        <w:numPr>
          <w:ilvl w:val="0"/>
          <w:numId w:val="84"/>
        </w:numPr>
        <w:tabs>
          <w:tab w:pos="1439" w:val="left" w:leader="none"/>
        </w:tabs>
        <w:spacing w:line="264" w:lineRule="auto" w:before="115" w:after="0"/>
        <w:ind w:left="1439" w:right="2385" w:hanging="360"/>
        <w:jc w:val="left"/>
        <w:rPr>
          <w:sz w:val="22"/>
        </w:rPr>
      </w:pPr>
      <w:r>
        <w:rPr>
          <w:spacing w:val="-2"/>
          <w:sz w:val="22"/>
        </w:rPr>
        <w:t>Prof.</w:t>
      </w:r>
      <w:r>
        <w:rPr>
          <w:spacing w:val="-12"/>
          <w:sz w:val="22"/>
        </w:rPr>
        <w:t> </w:t>
      </w:r>
      <w:r>
        <w:rPr>
          <w:spacing w:val="-2"/>
          <w:sz w:val="22"/>
        </w:rPr>
        <w:t>N.</w:t>
      </w:r>
      <w:r>
        <w:rPr>
          <w:spacing w:val="-12"/>
          <w:sz w:val="22"/>
        </w:rPr>
        <w:t> </w:t>
      </w:r>
      <w:r>
        <w:rPr>
          <w:spacing w:val="-2"/>
          <w:sz w:val="22"/>
        </w:rPr>
        <w:t>Balakrishnan </w:t>
      </w:r>
      <w:r>
        <w:rPr>
          <w:spacing w:val="-6"/>
          <w:sz w:val="22"/>
        </w:rPr>
        <w:t>Professor,</w:t>
      </w:r>
      <w:r>
        <w:rPr>
          <w:spacing w:val="-8"/>
          <w:sz w:val="22"/>
        </w:rPr>
        <w:t> </w:t>
      </w:r>
      <w:r>
        <w:rPr>
          <w:spacing w:val="-6"/>
          <w:sz w:val="22"/>
        </w:rPr>
        <w:t>Multimedia</w:t>
      </w:r>
    </w:p>
    <w:p>
      <w:pPr>
        <w:pStyle w:val="BodyText"/>
        <w:spacing w:line="264" w:lineRule="auto"/>
        <w:ind w:left="1439" w:right="1441"/>
      </w:pPr>
      <w:r>
        <w:rPr>
          <w:spacing w:val="-4"/>
        </w:rPr>
        <w:t>Computational </w:t>
      </w:r>
      <w:r>
        <w:rPr>
          <w:spacing w:val="-4"/>
        </w:rPr>
        <w:t>Electromagnetics </w:t>
      </w:r>
      <w:r>
        <w:rPr>
          <w:spacing w:val="-2"/>
        </w:rPr>
        <w:t>Computer</w:t>
      </w:r>
      <w:r>
        <w:rPr>
          <w:spacing w:val="-12"/>
        </w:rPr>
        <w:t> </w:t>
      </w:r>
      <w:r>
        <w:rPr>
          <w:spacing w:val="-2"/>
        </w:rPr>
        <w:t>and</w:t>
      </w:r>
      <w:r>
        <w:rPr>
          <w:spacing w:val="-12"/>
        </w:rPr>
        <w:t> </w:t>
      </w:r>
      <w:r>
        <w:rPr>
          <w:spacing w:val="-2"/>
        </w:rPr>
        <w:t>Network</w:t>
      </w:r>
      <w:r>
        <w:rPr>
          <w:spacing w:val="-12"/>
        </w:rPr>
        <w:t> </w:t>
      </w:r>
      <w:r>
        <w:rPr>
          <w:spacing w:val="-2"/>
        </w:rPr>
        <w:t>Security </w:t>
      </w:r>
      <w:r>
        <w:rPr/>
        <w:t>Natural Language Processing Indian</w:t>
      </w:r>
      <w:r>
        <w:rPr>
          <w:spacing w:val="-14"/>
        </w:rPr>
        <w:t> </w:t>
      </w:r>
      <w:r>
        <w:rPr/>
        <w:t>Institute</w:t>
      </w:r>
      <w:r>
        <w:rPr>
          <w:spacing w:val="-14"/>
        </w:rPr>
        <w:t> </w:t>
      </w:r>
      <w:r>
        <w:rPr/>
        <w:t>of</w:t>
      </w:r>
      <w:r>
        <w:rPr>
          <w:spacing w:val="-14"/>
        </w:rPr>
        <w:t> </w:t>
      </w:r>
      <w:r>
        <w:rPr/>
        <w:t>Science,</w:t>
      </w:r>
      <w:r>
        <w:rPr>
          <w:spacing w:val="-13"/>
        </w:rPr>
        <w:t> </w:t>
      </w:r>
      <w:r>
        <w:rPr/>
        <w:t>IISc.</w:t>
      </w:r>
    </w:p>
    <w:p>
      <w:pPr>
        <w:pStyle w:val="ListParagraph"/>
        <w:numPr>
          <w:ilvl w:val="0"/>
          <w:numId w:val="84"/>
        </w:numPr>
        <w:tabs>
          <w:tab w:pos="1439" w:val="left" w:leader="none"/>
        </w:tabs>
        <w:spacing w:line="240" w:lineRule="auto" w:before="89" w:after="0"/>
        <w:ind w:left="1439" w:right="0" w:hanging="359"/>
        <w:jc w:val="left"/>
        <w:rPr>
          <w:sz w:val="22"/>
        </w:rPr>
      </w:pPr>
      <w:r>
        <w:rPr>
          <w:spacing w:val="-4"/>
          <w:sz w:val="22"/>
        </w:rPr>
        <w:t>Mr.</w:t>
      </w:r>
      <w:r>
        <w:rPr>
          <w:spacing w:val="-6"/>
          <w:sz w:val="22"/>
        </w:rPr>
        <w:t> </w:t>
      </w:r>
      <w:r>
        <w:rPr>
          <w:spacing w:val="-4"/>
          <w:sz w:val="22"/>
        </w:rPr>
        <w:t>Subhash</w:t>
      </w:r>
      <w:r>
        <w:rPr>
          <w:spacing w:val="-6"/>
          <w:sz w:val="22"/>
        </w:rPr>
        <w:t> </w:t>
      </w:r>
      <w:r>
        <w:rPr>
          <w:spacing w:val="-4"/>
          <w:sz w:val="22"/>
        </w:rPr>
        <w:t>Bhargava</w:t>
      </w:r>
    </w:p>
    <w:p>
      <w:pPr>
        <w:pStyle w:val="BodyText"/>
        <w:spacing w:before="25"/>
        <w:ind w:left="1439"/>
      </w:pPr>
      <w:r>
        <w:rPr>
          <w:spacing w:val="-2"/>
        </w:rPr>
        <w:t>Chairman,</w:t>
      </w:r>
      <w:r>
        <w:rPr>
          <w:spacing w:val="-12"/>
        </w:rPr>
        <w:t> </w:t>
      </w:r>
      <w:r>
        <w:rPr>
          <w:spacing w:val="-2"/>
        </w:rPr>
        <w:t>VSNL</w:t>
      </w:r>
      <w:r>
        <w:rPr>
          <w:spacing w:val="-12"/>
        </w:rPr>
        <w:t> </w:t>
      </w:r>
      <w:r>
        <w:rPr>
          <w:spacing w:val="-2"/>
        </w:rPr>
        <w:t>Broadband</w:t>
      </w:r>
      <w:r>
        <w:rPr>
          <w:spacing w:val="-10"/>
        </w:rPr>
        <w:t> </w:t>
      </w:r>
      <w:r>
        <w:rPr>
          <w:spacing w:val="-4"/>
        </w:rPr>
        <w:t>Ltd.</w:t>
      </w:r>
    </w:p>
    <w:p>
      <w:pPr>
        <w:pStyle w:val="ListParagraph"/>
        <w:numPr>
          <w:ilvl w:val="0"/>
          <w:numId w:val="84"/>
        </w:numPr>
        <w:tabs>
          <w:tab w:pos="1439" w:val="left" w:leader="none"/>
        </w:tabs>
        <w:spacing w:line="264" w:lineRule="auto" w:before="115" w:after="0"/>
        <w:ind w:left="1439" w:right="2229" w:hanging="360"/>
        <w:jc w:val="left"/>
        <w:rPr>
          <w:sz w:val="22"/>
        </w:rPr>
      </w:pPr>
      <w:r>
        <w:rPr>
          <w:spacing w:val="-2"/>
          <w:sz w:val="22"/>
        </w:rPr>
        <w:t>Mr.</w:t>
      </w:r>
      <w:r>
        <w:rPr>
          <w:spacing w:val="-12"/>
          <w:sz w:val="22"/>
        </w:rPr>
        <w:t> </w:t>
      </w:r>
      <w:r>
        <w:rPr>
          <w:spacing w:val="-2"/>
          <w:sz w:val="22"/>
        </w:rPr>
        <w:t>R.</w:t>
      </w:r>
      <w:r>
        <w:rPr>
          <w:spacing w:val="-12"/>
          <w:sz w:val="22"/>
        </w:rPr>
        <w:t> </w:t>
      </w:r>
      <w:r>
        <w:rPr>
          <w:spacing w:val="-2"/>
          <w:sz w:val="22"/>
        </w:rPr>
        <w:t>Chandrashekhar </w:t>
      </w:r>
      <w:r>
        <w:rPr>
          <w:sz w:val="22"/>
        </w:rPr>
        <w:t>Additional Secretary Ministry of C&amp; IT Government of India</w:t>
      </w:r>
    </w:p>
    <w:p>
      <w:pPr>
        <w:pStyle w:val="ListParagraph"/>
        <w:numPr>
          <w:ilvl w:val="0"/>
          <w:numId w:val="84"/>
        </w:numPr>
        <w:tabs>
          <w:tab w:pos="1439" w:val="left" w:leader="none"/>
        </w:tabs>
        <w:spacing w:line="240" w:lineRule="auto" w:before="89" w:after="0"/>
        <w:ind w:left="1439" w:right="0" w:hanging="359"/>
        <w:jc w:val="left"/>
        <w:rPr>
          <w:sz w:val="22"/>
        </w:rPr>
      </w:pPr>
      <w:r>
        <w:rPr>
          <w:sz w:val="22"/>
        </w:rPr>
        <w:t>Dr.</w:t>
      </w:r>
      <w:r>
        <w:rPr>
          <w:spacing w:val="-6"/>
          <w:sz w:val="22"/>
        </w:rPr>
        <w:t> </w:t>
      </w:r>
      <w:r>
        <w:rPr>
          <w:sz w:val="22"/>
        </w:rPr>
        <w:t>R.</w:t>
      </w:r>
      <w:r>
        <w:rPr>
          <w:spacing w:val="-6"/>
          <w:sz w:val="22"/>
        </w:rPr>
        <w:t> </w:t>
      </w:r>
      <w:r>
        <w:rPr>
          <w:spacing w:val="-2"/>
          <w:sz w:val="22"/>
        </w:rPr>
        <w:t>Chidambaram</w:t>
      </w:r>
    </w:p>
    <w:p>
      <w:pPr>
        <w:pStyle w:val="BodyText"/>
        <w:spacing w:line="264" w:lineRule="auto" w:before="25"/>
        <w:ind w:left="1439" w:right="141"/>
      </w:pPr>
      <w:r>
        <w:rPr>
          <w:spacing w:val="-4"/>
        </w:rPr>
        <w:t>Principal</w:t>
      </w:r>
      <w:r>
        <w:rPr>
          <w:spacing w:val="-10"/>
        </w:rPr>
        <w:t> </w:t>
      </w:r>
      <w:r>
        <w:rPr>
          <w:spacing w:val="-4"/>
        </w:rPr>
        <w:t>Scientific</w:t>
      </w:r>
      <w:r>
        <w:rPr>
          <w:spacing w:val="-10"/>
        </w:rPr>
        <w:t> </w:t>
      </w:r>
      <w:r>
        <w:rPr>
          <w:spacing w:val="-4"/>
        </w:rPr>
        <w:t>Advisor</w:t>
      </w:r>
      <w:r>
        <w:rPr>
          <w:spacing w:val="-9"/>
        </w:rPr>
        <w:t> </w:t>
      </w:r>
      <w:r>
        <w:rPr>
          <w:spacing w:val="-4"/>
        </w:rPr>
        <w:t>to</w:t>
      </w:r>
      <w:r>
        <w:rPr>
          <w:spacing w:val="-10"/>
        </w:rPr>
        <w:t> </w:t>
      </w:r>
      <w:r>
        <w:rPr>
          <w:spacing w:val="-4"/>
        </w:rPr>
        <w:t>the</w:t>
      </w:r>
      <w:r>
        <w:rPr>
          <w:spacing w:val="-10"/>
        </w:rPr>
        <w:t> </w:t>
      </w:r>
      <w:r>
        <w:rPr>
          <w:spacing w:val="-4"/>
        </w:rPr>
        <w:t>Government </w:t>
      </w:r>
      <w:r>
        <w:rPr/>
        <w:t>of India</w:t>
      </w:r>
    </w:p>
    <w:p>
      <w:pPr>
        <w:pStyle w:val="ListParagraph"/>
        <w:numPr>
          <w:ilvl w:val="0"/>
          <w:numId w:val="84"/>
        </w:numPr>
        <w:tabs>
          <w:tab w:pos="1439" w:val="left" w:leader="none"/>
        </w:tabs>
        <w:spacing w:line="240" w:lineRule="auto" w:before="89" w:after="0"/>
        <w:ind w:left="1439" w:right="0" w:hanging="359"/>
        <w:jc w:val="left"/>
        <w:rPr>
          <w:sz w:val="22"/>
        </w:rPr>
      </w:pPr>
      <w:r>
        <w:rPr>
          <w:spacing w:val="-2"/>
          <w:sz w:val="22"/>
        </w:rPr>
        <w:t>Mr.</w:t>
      </w:r>
      <w:r>
        <w:rPr>
          <w:spacing w:val="-11"/>
          <w:sz w:val="22"/>
        </w:rPr>
        <w:t> </w:t>
      </w:r>
      <w:r>
        <w:rPr>
          <w:spacing w:val="-2"/>
          <w:sz w:val="22"/>
        </w:rPr>
        <w:t>Vipin</w:t>
      </w:r>
      <w:r>
        <w:rPr>
          <w:spacing w:val="-6"/>
          <w:sz w:val="22"/>
        </w:rPr>
        <w:t> </w:t>
      </w:r>
      <w:r>
        <w:rPr>
          <w:spacing w:val="-2"/>
          <w:sz w:val="22"/>
        </w:rPr>
        <w:t>Dhaundiyal</w:t>
      </w:r>
    </w:p>
    <w:p>
      <w:pPr>
        <w:pStyle w:val="BodyText"/>
        <w:spacing w:line="266" w:lineRule="auto" w:before="25"/>
        <w:ind w:left="1439"/>
      </w:pPr>
      <w:r>
        <w:rPr>
          <w:spacing w:val="-4"/>
        </w:rPr>
        <w:t>Head-Government</w:t>
      </w:r>
      <w:r>
        <w:rPr>
          <w:spacing w:val="-12"/>
        </w:rPr>
        <w:t> </w:t>
      </w:r>
      <w:r>
        <w:rPr>
          <w:spacing w:val="-4"/>
        </w:rPr>
        <w:t>and</w:t>
      </w:r>
      <w:r>
        <w:rPr>
          <w:spacing w:val="-10"/>
        </w:rPr>
        <w:t> </w:t>
      </w:r>
      <w:r>
        <w:rPr>
          <w:spacing w:val="-4"/>
        </w:rPr>
        <w:t>PSU</w:t>
      </w:r>
      <w:r>
        <w:rPr>
          <w:spacing w:val="-10"/>
        </w:rPr>
        <w:t> </w:t>
      </w:r>
      <w:r>
        <w:rPr>
          <w:spacing w:val="-4"/>
        </w:rPr>
        <w:t>Business</w:t>
      </w:r>
      <w:r>
        <w:rPr>
          <w:spacing w:val="-9"/>
        </w:rPr>
        <w:t> </w:t>
      </w:r>
      <w:r>
        <w:rPr>
          <w:spacing w:val="-4"/>
        </w:rPr>
        <w:t>Reliance </w:t>
      </w:r>
      <w:r>
        <w:rPr/>
        <w:t>Infocomm Ltd.</w:t>
      </w:r>
    </w:p>
    <w:p>
      <w:pPr>
        <w:pStyle w:val="ListParagraph"/>
        <w:numPr>
          <w:ilvl w:val="0"/>
          <w:numId w:val="84"/>
        </w:numPr>
        <w:tabs>
          <w:tab w:pos="760" w:val="left" w:leader="none"/>
        </w:tabs>
        <w:spacing w:line="240" w:lineRule="auto" w:before="57" w:after="0"/>
        <w:ind w:left="760" w:right="0" w:hanging="359"/>
        <w:jc w:val="left"/>
        <w:rPr>
          <w:sz w:val="22"/>
        </w:rPr>
      </w:pPr>
      <w:r>
        <w:rPr/>
        <w:br w:type="column"/>
      </w:r>
      <w:r>
        <w:rPr>
          <w:spacing w:val="-10"/>
          <w:sz w:val="22"/>
        </w:rPr>
        <w:t>Prof.</w:t>
      </w:r>
      <w:r>
        <w:rPr>
          <w:spacing w:val="1"/>
          <w:sz w:val="22"/>
        </w:rPr>
        <w:t> </w:t>
      </w:r>
      <w:r>
        <w:rPr>
          <w:spacing w:val="-10"/>
          <w:sz w:val="22"/>
        </w:rPr>
        <w:t>P.S.</w:t>
      </w:r>
      <w:r>
        <w:rPr>
          <w:spacing w:val="1"/>
          <w:sz w:val="22"/>
        </w:rPr>
        <w:t> </w:t>
      </w:r>
      <w:r>
        <w:rPr>
          <w:spacing w:val="-10"/>
          <w:sz w:val="22"/>
        </w:rPr>
        <w:t>Dhekney</w:t>
      </w:r>
    </w:p>
    <w:p>
      <w:pPr>
        <w:pStyle w:val="BodyText"/>
        <w:spacing w:line="266" w:lineRule="auto" w:before="27"/>
        <w:ind w:left="761" w:right="1248"/>
      </w:pPr>
      <w:r>
        <w:rPr>
          <w:spacing w:val="-2"/>
        </w:rPr>
        <w:t>Visiting</w:t>
      </w:r>
      <w:r>
        <w:rPr>
          <w:spacing w:val="-12"/>
        </w:rPr>
        <w:t> </w:t>
      </w:r>
      <w:r>
        <w:rPr>
          <w:spacing w:val="-2"/>
        </w:rPr>
        <w:t>Professor</w:t>
      </w:r>
      <w:r>
        <w:rPr>
          <w:spacing w:val="-12"/>
        </w:rPr>
        <w:t> </w:t>
      </w:r>
      <w:r>
        <w:rPr>
          <w:spacing w:val="-2"/>
        </w:rPr>
        <w:t>and</w:t>
      </w:r>
      <w:r>
        <w:rPr>
          <w:spacing w:val="-12"/>
        </w:rPr>
        <w:t> </w:t>
      </w:r>
      <w:r>
        <w:rPr>
          <w:spacing w:val="-2"/>
        </w:rPr>
        <w:t>Head</w:t>
      </w:r>
      <w:r>
        <w:rPr>
          <w:spacing w:val="-11"/>
        </w:rPr>
        <w:t> </w:t>
      </w:r>
      <w:r>
        <w:rPr>
          <w:spacing w:val="-2"/>
        </w:rPr>
        <w:t>Computer</w:t>
      </w:r>
      <w:r>
        <w:rPr>
          <w:spacing w:val="-12"/>
        </w:rPr>
        <w:t> </w:t>
      </w:r>
      <w:r>
        <w:rPr>
          <w:spacing w:val="-2"/>
        </w:rPr>
        <w:t>Division, </w:t>
      </w:r>
      <w:r>
        <w:rPr/>
        <w:t>Bhabha</w:t>
      </w:r>
      <w:r>
        <w:rPr>
          <w:spacing w:val="-4"/>
        </w:rPr>
        <w:t> </w:t>
      </w:r>
      <w:r>
        <w:rPr/>
        <w:t>Atomic</w:t>
      </w:r>
      <w:r>
        <w:rPr>
          <w:spacing w:val="-4"/>
        </w:rPr>
        <w:t> </w:t>
      </w:r>
      <w:r>
        <w:rPr/>
        <w:t>Research</w:t>
      </w:r>
      <w:r>
        <w:rPr>
          <w:spacing w:val="-4"/>
        </w:rPr>
        <w:t> </w:t>
      </w:r>
      <w:r>
        <w:rPr/>
        <w:t>Centre</w:t>
      </w:r>
      <w:r>
        <w:rPr>
          <w:spacing w:val="-4"/>
        </w:rPr>
        <w:t> </w:t>
      </w:r>
      <w:r>
        <w:rPr/>
        <w:t>(BARC)</w:t>
      </w:r>
    </w:p>
    <w:p>
      <w:pPr>
        <w:pStyle w:val="ListParagraph"/>
        <w:numPr>
          <w:ilvl w:val="0"/>
          <w:numId w:val="84"/>
        </w:numPr>
        <w:tabs>
          <w:tab w:pos="761" w:val="left" w:leader="none"/>
        </w:tabs>
        <w:spacing w:line="266" w:lineRule="auto" w:before="89" w:after="0"/>
        <w:ind w:left="761" w:right="1343" w:hanging="360"/>
        <w:jc w:val="left"/>
        <w:rPr>
          <w:sz w:val="22"/>
        </w:rPr>
      </w:pPr>
      <w:r>
        <w:rPr>
          <w:sz w:val="22"/>
        </w:rPr>
        <w:t>Dr. B.K. Gairola, Director General, National </w:t>
      </w:r>
      <w:r>
        <w:rPr>
          <w:spacing w:val="-2"/>
          <w:sz w:val="22"/>
        </w:rPr>
        <w:t>Informatics</w:t>
      </w:r>
      <w:r>
        <w:rPr>
          <w:spacing w:val="-5"/>
          <w:sz w:val="22"/>
        </w:rPr>
        <w:t> </w:t>
      </w:r>
      <w:r>
        <w:rPr>
          <w:spacing w:val="-2"/>
          <w:sz w:val="22"/>
        </w:rPr>
        <w:t>Centre</w:t>
      </w:r>
      <w:r>
        <w:rPr>
          <w:spacing w:val="-5"/>
          <w:sz w:val="22"/>
        </w:rPr>
        <w:t> </w:t>
      </w:r>
      <w:r>
        <w:rPr>
          <w:spacing w:val="-2"/>
          <w:sz w:val="22"/>
        </w:rPr>
        <w:t>(NIC)</w:t>
      </w:r>
      <w:r>
        <w:rPr>
          <w:spacing w:val="-5"/>
          <w:sz w:val="22"/>
        </w:rPr>
        <w:t> </w:t>
      </w:r>
      <w:r>
        <w:rPr>
          <w:spacing w:val="-2"/>
          <w:sz w:val="22"/>
        </w:rPr>
        <w:t>Government</w:t>
      </w:r>
      <w:r>
        <w:rPr>
          <w:spacing w:val="-5"/>
          <w:sz w:val="22"/>
        </w:rPr>
        <w:t> </w:t>
      </w:r>
      <w:r>
        <w:rPr>
          <w:spacing w:val="-2"/>
          <w:sz w:val="22"/>
        </w:rPr>
        <w:t>of</w:t>
      </w:r>
      <w:r>
        <w:rPr>
          <w:spacing w:val="-5"/>
          <w:sz w:val="22"/>
        </w:rPr>
        <w:t> </w:t>
      </w:r>
      <w:r>
        <w:rPr>
          <w:spacing w:val="-2"/>
          <w:sz w:val="22"/>
        </w:rPr>
        <w:t>India</w:t>
      </w:r>
    </w:p>
    <w:p>
      <w:pPr>
        <w:pStyle w:val="ListParagraph"/>
        <w:numPr>
          <w:ilvl w:val="0"/>
          <w:numId w:val="84"/>
        </w:numPr>
        <w:tabs>
          <w:tab w:pos="761" w:val="left" w:leader="none"/>
        </w:tabs>
        <w:spacing w:line="266" w:lineRule="auto" w:before="88" w:after="0"/>
        <w:ind w:left="761" w:right="4115" w:hanging="360"/>
        <w:jc w:val="left"/>
        <w:rPr>
          <w:sz w:val="22"/>
        </w:rPr>
      </w:pPr>
      <w:r>
        <w:rPr>
          <w:sz w:val="22"/>
        </w:rPr>
        <w:t>Mr.</w:t>
      </w:r>
      <w:r>
        <w:rPr>
          <w:spacing w:val="-14"/>
          <w:sz w:val="22"/>
        </w:rPr>
        <w:t> </w:t>
      </w:r>
      <w:r>
        <w:rPr>
          <w:sz w:val="22"/>
        </w:rPr>
        <w:t>J.R</w:t>
      </w:r>
      <w:r>
        <w:rPr>
          <w:spacing w:val="-14"/>
          <w:sz w:val="22"/>
        </w:rPr>
        <w:t> </w:t>
      </w:r>
      <w:r>
        <w:rPr>
          <w:sz w:val="22"/>
        </w:rPr>
        <w:t>.Gupta Director (O)</w:t>
      </w:r>
    </w:p>
    <w:p>
      <w:pPr>
        <w:pStyle w:val="BodyText"/>
        <w:spacing w:line="251" w:lineRule="exact"/>
        <w:ind w:left="761"/>
      </w:pPr>
      <w:r>
        <w:rPr>
          <w:spacing w:val="-4"/>
        </w:rPr>
        <w:t>Bharat</w:t>
      </w:r>
      <w:r>
        <w:rPr>
          <w:spacing w:val="-5"/>
        </w:rPr>
        <w:t> </w:t>
      </w:r>
      <w:r>
        <w:rPr>
          <w:spacing w:val="-4"/>
        </w:rPr>
        <w:t>Sanchar Nigam Limited (BSNL)</w:t>
      </w:r>
    </w:p>
    <w:p>
      <w:pPr>
        <w:pStyle w:val="ListParagraph"/>
        <w:numPr>
          <w:ilvl w:val="0"/>
          <w:numId w:val="84"/>
        </w:numPr>
        <w:tabs>
          <w:tab w:pos="761" w:val="left" w:leader="none"/>
        </w:tabs>
        <w:spacing w:line="266" w:lineRule="auto" w:before="117" w:after="0"/>
        <w:ind w:left="761" w:right="3960" w:hanging="360"/>
        <w:jc w:val="left"/>
        <w:rPr>
          <w:sz w:val="22"/>
        </w:rPr>
      </w:pPr>
      <w:r>
        <w:rPr>
          <w:sz w:val="22"/>
        </w:rPr>
        <w:t>Mr. Lav Gupta </w:t>
      </w:r>
      <w:r>
        <w:rPr>
          <w:spacing w:val="-4"/>
          <w:sz w:val="22"/>
        </w:rPr>
        <w:t>Corporate</w:t>
      </w:r>
      <w:r>
        <w:rPr>
          <w:spacing w:val="-10"/>
          <w:sz w:val="22"/>
        </w:rPr>
        <w:t> </w:t>
      </w:r>
      <w:r>
        <w:rPr>
          <w:spacing w:val="-4"/>
          <w:sz w:val="22"/>
        </w:rPr>
        <w:t>Office</w:t>
      </w:r>
    </w:p>
    <w:p>
      <w:pPr>
        <w:pStyle w:val="BodyText"/>
        <w:spacing w:line="251" w:lineRule="exact"/>
        <w:ind w:left="761"/>
      </w:pPr>
      <w:r>
        <w:rPr>
          <w:spacing w:val="-4"/>
        </w:rPr>
        <w:t>Bharat</w:t>
      </w:r>
      <w:r>
        <w:rPr>
          <w:spacing w:val="-5"/>
        </w:rPr>
        <w:t> </w:t>
      </w:r>
      <w:r>
        <w:rPr>
          <w:spacing w:val="-4"/>
        </w:rPr>
        <w:t>Sanchar Nigam Limited (BSNL)</w:t>
      </w:r>
    </w:p>
    <w:p>
      <w:pPr>
        <w:pStyle w:val="ListParagraph"/>
        <w:numPr>
          <w:ilvl w:val="0"/>
          <w:numId w:val="84"/>
        </w:numPr>
        <w:tabs>
          <w:tab w:pos="760" w:val="left" w:leader="none"/>
        </w:tabs>
        <w:spacing w:line="240" w:lineRule="auto" w:before="117" w:after="0"/>
        <w:ind w:left="760" w:right="0" w:hanging="359"/>
        <w:jc w:val="left"/>
        <w:rPr>
          <w:sz w:val="22"/>
        </w:rPr>
      </w:pPr>
      <w:r>
        <w:rPr>
          <w:spacing w:val="-2"/>
          <w:sz w:val="22"/>
        </w:rPr>
        <w:t>Prof</w:t>
      </w:r>
      <w:r>
        <w:rPr>
          <w:spacing w:val="-7"/>
          <w:sz w:val="22"/>
        </w:rPr>
        <w:t> </w:t>
      </w:r>
      <w:r>
        <w:rPr>
          <w:spacing w:val="-2"/>
          <w:sz w:val="22"/>
        </w:rPr>
        <w:t>B.N.</w:t>
      </w:r>
      <w:r>
        <w:rPr>
          <w:spacing w:val="-7"/>
          <w:sz w:val="22"/>
        </w:rPr>
        <w:t> </w:t>
      </w:r>
      <w:r>
        <w:rPr>
          <w:spacing w:val="-4"/>
          <w:sz w:val="22"/>
        </w:rPr>
        <w:t>Jain</w:t>
      </w:r>
    </w:p>
    <w:p>
      <w:pPr>
        <w:pStyle w:val="BodyText"/>
        <w:spacing w:line="266" w:lineRule="auto" w:before="27"/>
        <w:ind w:left="761" w:right="1248"/>
      </w:pPr>
      <w:r>
        <w:rPr>
          <w:spacing w:val="-4"/>
        </w:rPr>
        <w:t>Professor, Computer Networking, </w:t>
      </w:r>
      <w:r>
        <w:rPr>
          <w:spacing w:val="-4"/>
        </w:rPr>
        <w:t>Multimedia, </w:t>
      </w:r>
      <w:r>
        <w:rPr/>
        <w:t>Communication Systems, IIT, Delhi</w:t>
      </w:r>
    </w:p>
    <w:p>
      <w:pPr>
        <w:pStyle w:val="ListParagraph"/>
        <w:numPr>
          <w:ilvl w:val="0"/>
          <w:numId w:val="84"/>
        </w:numPr>
        <w:tabs>
          <w:tab w:pos="760" w:val="left" w:leader="none"/>
        </w:tabs>
        <w:spacing w:line="240" w:lineRule="auto" w:before="89" w:after="0"/>
        <w:ind w:left="760" w:right="0" w:hanging="359"/>
        <w:jc w:val="left"/>
        <w:rPr>
          <w:sz w:val="22"/>
        </w:rPr>
      </w:pPr>
      <w:r>
        <w:rPr>
          <w:spacing w:val="-2"/>
          <w:sz w:val="22"/>
        </w:rPr>
        <w:t>Mr.</w:t>
      </w:r>
      <w:r>
        <w:rPr>
          <w:spacing w:val="-7"/>
          <w:sz w:val="22"/>
        </w:rPr>
        <w:t> </w:t>
      </w:r>
      <w:r>
        <w:rPr>
          <w:spacing w:val="-2"/>
          <w:sz w:val="22"/>
        </w:rPr>
        <w:t>Puneet</w:t>
      </w:r>
      <w:r>
        <w:rPr>
          <w:spacing w:val="-6"/>
          <w:sz w:val="22"/>
        </w:rPr>
        <w:t> </w:t>
      </w:r>
      <w:r>
        <w:rPr>
          <w:spacing w:val="-2"/>
          <w:sz w:val="22"/>
        </w:rPr>
        <w:t>Jhingan</w:t>
      </w:r>
    </w:p>
    <w:p>
      <w:pPr>
        <w:pStyle w:val="BodyText"/>
        <w:spacing w:line="266" w:lineRule="auto" w:before="27"/>
        <w:ind w:left="761" w:right="1092"/>
      </w:pPr>
      <w:r>
        <w:rPr>
          <w:spacing w:val="-4"/>
        </w:rPr>
        <w:t>Head-</w:t>
      </w:r>
      <w:r>
        <w:rPr>
          <w:spacing w:val="-10"/>
        </w:rPr>
        <w:t> </w:t>
      </w:r>
      <w:r>
        <w:rPr>
          <w:spacing w:val="-4"/>
        </w:rPr>
        <w:t>Business</w:t>
      </w:r>
      <w:r>
        <w:rPr>
          <w:spacing w:val="-10"/>
        </w:rPr>
        <w:t> </w:t>
      </w:r>
      <w:r>
        <w:rPr>
          <w:spacing w:val="-4"/>
        </w:rPr>
        <w:t>Development</w:t>
      </w:r>
      <w:r>
        <w:rPr>
          <w:spacing w:val="-10"/>
        </w:rPr>
        <w:t> </w:t>
      </w:r>
      <w:r>
        <w:rPr>
          <w:spacing w:val="-4"/>
        </w:rPr>
        <w:t>Reliance</w:t>
      </w:r>
      <w:r>
        <w:rPr>
          <w:spacing w:val="-9"/>
        </w:rPr>
        <w:t> </w:t>
      </w:r>
      <w:r>
        <w:rPr>
          <w:spacing w:val="-4"/>
        </w:rPr>
        <w:t>Infocomm </w:t>
      </w:r>
      <w:r>
        <w:rPr>
          <w:spacing w:val="-2"/>
        </w:rPr>
        <w:t>Limited</w:t>
      </w:r>
    </w:p>
    <w:p>
      <w:pPr>
        <w:pStyle w:val="ListParagraph"/>
        <w:numPr>
          <w:ilvl w:val="0"/>
          <w:numId w:val="84"/>
        </w:numPr>
        <w:tabs>
          <w:tab w:pos="761" w:val="left" w:leader="none"/>
        </w:tabs>
        <w:spacing w:line="266" w:lineRule="auto" w:before="88" w:after="0"/>
        <w:ind w:left="761" w:right="3259" w:hanging="360"/>
        <w:jc w:val="left"/>
        <w:rPr>
          <w:sz w:val="22"/>
        </w:rPr>
      </w:pPr>
      <w:r>
        <w:rPr>
          <w:spacing w:val="-4"/>
          <w:sz w:val="22"/>
        </w:rPr>
        <w:t>Mr.</w:t>
      </w:r>
      <w:r>
        <w:rPr>
          <w:spacing w:val="-10"/>
          <w:sz w:val="22"/>
        </w:rPr>
        <w:t> </w:t>
      </w:r>
      <w:r>
        <w:rPr>
          <w:spacing w:val="-4"/>
          <w:sz w:val="22"/>
        </w:rPr>
        <w:t>Ashok</w:t>
      </w:r>
      <w:r>
        <w:rPr>
          <w:spacing w:val="-10"/>
          <w:sz w:val="22"/>
        </w:rPr>
        <w:t> </w:t>
      </w:r>
      <w:r>
        <w:rPr>
          <w:spacing w:val="-4"/>
          <w:sz w:val="22"/>
        </w:rPr>
        <w:t>Jhunjhunwala </w:t>
      </w:r>
      <w:r>
        <w:rPr>
          <w:sz w:val="22"/>
        </w:rPr>
        <w:t>Professor, IIT Chennai</w:t>
      </w:r>
    </w:p>
    <w:p>
      <w:pPr>
        <w:pStyle w:val="ListParagraph"/>
        <w:numPr>
          <w:ilvl w:val="0"/>
          <w:numId w:val="84"/>
        </w:numPr>
        <w:tabs>
          <w:tab w:pos="761" w:val="left" w:leader="none"/>
        </w:tabs>
        <w:spacing w:line="266" w:lineRule="auto" w:before="88" w:after="0"/>
        <w:ind w:left="761" w:right="3962" w:hanging="360"/>
        <w:jc w:val="left"/>
        <w:rPr>
          <w:sz w:val="22"/>
        </w:rPr>
      </w:pPr>
      <w:r>
        <w:rPr>
          <w:sz w:val="22"/>
        </w:rPr>
        <w:t>Dr. H.K Kaul </w:t>
      </w:r>
      <w:r>
        <w:rPr>
          <w:spacing w:val="-2"/>
          <w:sz w:val="22"/>
        </w:rPr>
        <w:t>Director,</w:t>
      </w:r>
      <w:r>
        <w:rPr>
          <w:spacing w:val="-12"/>
          <w:sz w:val="22"/>
        </w:rPr>
        <w:t> </w:t>
      </w:r>
      <w:r>
        <w:rPr>
          <w:spacing w:val="-2"/>
          <w:sz w:val="22"/>
        </w:rPr>
        <w:t>DelNet</w:t>
      </w:r>
    </w:p>
    <w:p>
      <w:pPr>
        <w:pStyle w:val="ListParagraph"/>
        <w:numPr>
          <w:ilvl w:val="0"/>
          <w:numId w:val="84"/>
        </w:numPr>
        <w:tabs>
          <w:tab w:pos="760" w:val="left" w:leader="none"/>
        </w:tabs>
        <w:spacing w:line="240" w:lineRule="auto" w:before="89" w:after="0"/>
        <w:ind w:left="760" w:right="0" w:hanging="359"/>
        <w:jc w:val="left"/>
        <w:rPr>
          <w:sz w:val="22"/>
        </w:rPr>
      </w:pPr>
      <w:r>
        <w:rPr>
          <w:spacing w:val="-4"/>
          <w:sz w:val="22"/>
        </w:rPr>
        <w:t>Mr.</w:t>
      </w:r>
      <w:r>
        <w:rPr>
          <w:spacing w:val="-8"/>
          <w:sz w:val="22"/>
        </w:rPr>
        <w:t> </w:t>
      </w:r>
      <w:r>
        <w:rPr>
          <w:spacing w:val="-4"/>
          <w:sz w:val="22"/>
        </w:rPr>
        <w:t>A.</w:t>
      </w:r>
      <w:r>
        <w:rPr>
          <w:spacing w:val="-7"/>
          <w:sz w:val="22"/>
        </w:rPr>
        <w:t> </w:t>
      </w:r>
      <w:r>
        <w:rPr>
          <w:spacing w:val="-4"/>
          <w:sz w:val="22"/>
        </w:rPr>
        <w:t>Krishnan</w:t>
      </w:r>
    </w:p>
    <w:p>
      <w:pPr>
        <w:pStyle w:val="BodyText"/>
        <w:spacing w:line="266" w:lineRule="auto" w:before="27"/>
        <w:ind w:left="761" w:right="1084"/>
      </w:pPr>
      <w:r>
        <w:rPr>
          <w:spacing w:val="-4"/>
        </w:rPr>
        <w:t>General</w:t>
      </w:r>
      <w:r>
        <w:rPr>
          <w:spacing w:val="-10"/>
        </w:rPr>
        <w:t> </w:t>
      </w:r>
      <w:r>
        <w:rPr>
          <w:spacing w:val="-4"/>
        </w:rPr>
        <w:t>Manager</w:t>
      </w:r>
      <w:r>
        <w:rPr>
          <w:spacing w:val="-9"/>
        </w:rPr>
        <w:t> </w:t>
      </w:r>
      <w:r>
        <w:rPr>
          <w:spacing w:val="-4"/>
        </w:rPr>
        <w:t>&amp;</w:t>
      </w:r>
      <w:r>
        <w:rPr>
          <w:spacing w:val="-10"/>
        </w:rPr>
        <w:t> </w:t>
      </w:r>
      <w:r>
        <w:rPr>
          <w:spacing w:val="-4"/>
        </w:rPr>
        <w:t>Head</w:t>
      </w:r>
      <w:r>
        <w:rPr>
          <w:spacing w:val="-9"/>
        </w:rPr>
        <w:t> </w:t>
      </w:r>
      <w:r>
        <w:rPr>
          <w:spacing w:val="-4"/>
        </w:rPr>
        <w:t>Business</w:t>
      </w:r>
      <w:r>
        <w:rPr>
          <w:spacing w:val="-10"/>
        </w:rPr>
        <w:t> </w:t>
      </w:r>
      <w:r>
        <w:rPr>
          <w:spacing w:val="-4"/>
        </w:rPr>
        <w:t>Solutions Group</w:t>
      </w:r>
    </w:p>
    <w:p>
      <w:pPr>
        <w:pStyle w:val="BodyText"/>
        <w:spacing w:line="251" w:lineRule="exact"/>
        <w:ind w:left="761"/>
      </w:pPr>
      <w:r>
        <w:rPr>
          <w:spacing w:val="-8"/>
        </w:rPr>
        <w:t>Bharti</w:t>
      </w:r>
      <w:r>
        <w:rPr>
          <w:spacing w:val="-3"/>
        </w:rPr>
        <w:t> </w:t>
      </w:r>
      <w:r>
        <w:rPr>
          <w:spacing w:val="-8"/>
        </w:rPr>
        <w:t>Tele-Ventures</w:t>
      </w:r>
      <w:r>
        <w:rPr>
          <w:spacing w:val="10"/>
        </w:rPr>
        <w:t> </w:t>
      </w:r>
      <w:r>
        <w:rPr>
          <w:spacing w:val="-8"/>
        </w:rPr>
        <w:t>Limited</w:t>
      </w:r>
    </w:p>
    <w:p>
      <w:pPr>
        <w:pStyle w:val="ListParagraph"/>
        <w:numPr>
          <w:ilvl w:val="0"/>
          <w:numId w:val="84"/>
        </w:numPr>
        <w:tabs>
          <w:tab w:pos="760" w:val="left" w:leader="none"/>
        </w:tabs>
        <w:spacing w:line="240" w:lineRule="auto" w:before="117" w:after="0"/>
        <w:ind w:left="760" w:right="0" w:hanging="359"/>
        <w:jc w:val="left"/>
        <w:rPr>
          <w:sz w:val="22"/>
        </w:rPr>
      </w:pPr>
      <w:r>
        <w:rPr>
          <w:spacing w:val="-4"/>
          <w:sz w:val="22"/>
        </w:rPr>
        <w:t>Mr.</w:t>
      </w:r>
      <w:r>
        <w:rPr>
          <w:spacing w:val="-6"/>
          <w:sz w:val="22"/>
        </w:rPr>
        <w:t> </w:t>
      </w:r>
      <w:r>
        <w:rPr>
          <w:spacing w:val="-4"/>
          <w:sz w:val="22"/>
        </w:rPr>
        <w:t>Pradeep</w:t>
      </w:r>
      <w:r>
        <w:rPr>
          <w:spacing w:val="-5"/>
          <w:sz w:val="22"/>
        </w:rPr>
        <w:t> </w:t>
      </w:r>
      <w:r>
        <w:rPr>
          <w:spacing w:val="-4"/>
          <w:sz w:val="22"/>
        </w:rPr>
        <w:t>Kumar</w:t>
      </w:r>
    </w:p>
    <w:p>
      <w:pPr>
        <w:pStyle w:val="BodyText"/>
        <w:spacing w:before="27"/>
        <w:ind w:left="761"/>
      </w:pPr>
      <w:r>
        <w:rPr>
          <w:spacing w:val="-2"/>
        </w:rPr>
        <w:t>RailTel</w:t>
      </w:r>
      <w:r>
        <w:rPr>
          <w:spacing w:val="-11"/>
        </w:rPr>
        <w:t> </w:t>
      </w:r>
      <w:r>
        <w:rPr>
          <w:spacing w:val="-2"/>
        </w:rPr>
        <w:t>Corporation</w:t>
      </w:r>
      <w:r>
        <w:rPr>
          <w:spacing w:val="-11"/>
        </w:rPr>
        <w:t> </w:t>
      </w:r>
      <w:r>
        <w:rPr>
          <w:spacing w:val="-2"/>
        </w:rPr>
        <w:t>of</w:t>
      </w:r>
      <w:r>
        <w:rPr>
          <w:spacing w:val="-11"/>
        </w:rPr>
        <w:t> </w:t>
      </w:r>
      <w:r>
        <w:rPr>
          <w:spacing w:val="-2"/>
        </w:rPr>
        <w:t>India</w:t>
      </w:r>
      <w:r>
        <w:rPr>
          <w:spacing w:val="-10"/>
        </w:rPr>
        <w:t> </w:t>
      </w:r>
      <w:r>
        <w:rPr>
          <w:spacing w:val="-4"/>
        </w:rPr>
        <w:t>Ltd.</w:t>
      </w:r>
    </w:p>
    <w:p>
      <w:pPr>
        <w:pStyle w:val="ListParagraph"/>
        <w:numPr>
          <w:ilvl w:val="0"/>
          <w:numId w:val="84"/>
        </w:numPr>
        <w:tabs>
          <w:tab w:pos="760" w:val="left" w:leader="none"/>
        </w:tabs>
        <w:spacing w:line="240" w:lineRule="auto" w:before="117" w:after="0"/>
        <w:ind w:left="760" w:right="0" w:hanging="359"/>
        <w:jc w:val="left"/>
        <w:rPr>
          <w:sz w:val="22"/>
        </w:rPr>
      </w:pPr>
      <w:r>
        <w:rPr>
          <w:sz w:val="22"/>
        </w:rPr>
        <w:t>Dr.</w:t>
      </w:r>
      <w:r>
        <w:rPr>
          <w:spacing w:val="-11"/>
          <w:sz w:val="22"/>
        </w:rPr>
        <w:t> </w:t>
      </w:r>
      <w:r>
        <w:rPr>
          <w:sz w:val="22"/>
        </w:rPr>
        <w:t>S.N</w:t>
      </w:r>
      <w:r>
        <w:rPr>
          <w:spacing w:val="-11"/>
          <w:sz w:val="22"/>
        </w:rPr>
        <w:t> </w:t>
      </w:r>
      <w:r>
        <w:rPr>
          <w:sz w:val="22"/>
        </w:rPr>
        <w:t>Ragu</w:t>
      </w:r>
      <w:r>
        <w:rPr>
          <w:spacing w:val="-10"/>
          <w:sz w:val="22"/>
        </w:rPr>
        <w:t> </w:t>
      </w:r>
      <w:r>
        <w:rPr>
          <w:spacing w:val="-2"/>
          <w:sz w:val="22"/>
        </w:rPr>
        <w:t>Kumar</w:t>
      </w:r>
    </w:p>
    <w:p>
      <w:pPr>
        <w:pStyle w:val="BodyText"/>
        <w:spacing w:before="27"/>
        <w:ind w:left="761"/>
      </w:pPr>
      <w:r>
        <w:rPr>
          <w:spacing w:val="-4"/>
        </w:rPr>
        <w:t>All</w:t>
      </w:r>
      <w:r>
        <w:rPr>
          <w:spacing w:val="-8"/>
        </w:rPr>
        <w:t> </w:t>
      </w:r>
      <w:r>
        <w:rPr>
          <w:spacing w:val="-4"/>
        </w:rPr>
        <w:t>India</w:t>
      </w:r>
      <w:r>
        <w:rPr>
          <w:spacing w:val="-8"/>
        </w:rPr>
        <w:t> </w:t>
      </w:r>
      <w:r>
        <w:rPr>
          <w:spacing w:val="-4"/>
        </w:rPr>
        <w:t>Institute</w:t>
      </w:r>
      <w:r>
        <w:rPr>
          <w:spacing w:val="-7"/>
        </w:rPr>
        <w:t> </w:t>
      </w:r>
      <w:r>
        <w:rPr>
          <w:spacing w:val="-4"/>
        </w:rPr>
        <w:t>of</w:t>
      </w:r>
      <w:r>
        <w:rPr>
          <w:spacing w:val="-8"/>
        </w:rPr>
        <w:t> </w:t>
      </w:r>
      <w:r>
        <w:rPr>
          <w:spacing w:val="-4"/>
        </w:rPr>
        <w:t>Medical</w:t>
      </w:r>
      <w:r>
        <w:rPr>
          <w:spacing w:val="-7"/>
        </w:rPr>
        <w:t> </w:t>
      </w:r>
      <w:r>
        <w:rPr>
          <w:spacing w:val="-4"/>
        </w:rPr>
        <w:t>Sciences</w:t>
      </w:r>
      <w:r>
        <w:rPr>
          <w:spacing w:val="-8"/>
        </w:rPr>
        <w:t> </w:t>
      </w:r>
      <w:r>
        <w:rPr>
          <w:spacing w:val="-4"/>
        </w:rPr>
        <w:t>(AIIMS)</w:t>
      </w:r>
    </w:p>
    <w:p>
      <w:pPr>
        <w:pStyle w:val="ListParagraph"/>
        <w:numPr>
          <w:ilvl w:val="0"/>
          <w:numId w:val="84"/>
        </w:numPr>
        <w:tabs>
          <w:tab w:pos="760" w:val="left" w:leader="none"/>
        </w:tabs>
        <w:spacing w:line="240" w:lineRule="auto" w:before="117" w:after="0"/>
        <w:ind w:left="760" w:right="0" w:hanging="359"/>
        <w:jc w:val="left"/>
        <w:rPr>
          <w:sz w:val="22"/>
        </w:rPr>
      </w:pPr>
      <w:r>
        <w:rPr>
          <w:spacing w:val="-4"/>
          <w:sz w:val="22"/>
        </w:rPr>
        <w:t>Mr.</w:t>
      </w:r>
      <w:r>
        <w:rPr>
          <w:spacing w:val="-8"/>
          <w:sz w:val="22"/>
        </w:rPr>
        <w:t> </w:t>
      </w:r>
      <w:r>
        <w:rPr>
          <w:spacing w:val="-4"/>
          <w:sz w:val="22"/>
        </w:rPr>
        <w:t>Sandeep</w:t>
      </w:r>
      <w:r>
        <w:rPr>
          <w:spacing w:val="-8"/>
          <w:sz w:val="22"/>
        </w:rPr>
        <w:t> </w:t>
      </w:r>
      <w:r>
        <w:rPr>
          <w:spacing w:val="-4"/>
          <w:sz w:val="22"/>
        </w:rPr>
        <w:t>Mathur</w:t>
      </w:r>
    </w:p>
    <w:p>
      <w:pPr>
        <w:pStyle w:val="BodyText"/>
        <w:spacing w:line="266" w:lineRule="auto" w:before="27"/>
        <w:ind w:left="761" w:right="1248"/>
      </w:pPr>
      <w:r>
        <w:rPr>
          <w:spacing w:val="-4"/>
        </w:rPr>
        <w:t>President</w:t>
      </w:r>
      <w:r>
        <w:rPr>
          <w:spacing w:val="-10"/>
        </w:rPr>
        <w:t> </w:t>
      </w:r>
      <w:r>
        <w:rPr>
          <w:spacing w:val="-4"/>
        </w:rPr>
        <w:t>Tata</w:t>
      </w:r>
      <w:r>
        <w:rPr>
          <w:spacing w:val="-10"/>
        </w:rPr>
        <w:t> </w:t>
      </w:r>
      <w:r>
        <w:rPr>
          <w:spacing w:val="-4"/>
        </w:rPr>
        <w:t>Indicom</w:t>
      </w:r>
      <w:r>
        <w:rPr>
          <w:spacing w:val="-9"/>
        </w:rPr>
        <w:t> </w:t>
      </w:r>
      <w:r>
        <w:rPr>
          <w:spacing w:val="-4"/>
        </w:rPr>
        <w:t>Enterprise</w:t>
      </w:r>
      <w:r>
        <w:rPr>
          <w:spacing w:val="-7"/>
        </w:rPr>
        <w:t> </w:t>
      </w:r>
      <w:r>
        <w:rPr>
          <w:spacing w:val="-4"/>
        </w:rPr>
        <w:t>Business</w:t>
      </w:r>
      <w:r>
        <w:rPr>
          <w:spacing w:val="-7"/>
        </w:rPr>
        <w:t> </w:t>
      </w:r>
      <w:r>
        <w:rPr>
          <w:spacing w:val="-4"/>
        </w:rPr>
        <w:t>Unit </w:t>
      </w:r>
      <w:r>
        <w:rPr/>
        <w:t>Videsh Sanchar Nigam Ltd. (VSNL)</w:t>
      </w:r>
    </w:p>
    <w:p>
      <w:pPr>
        <w:pStyle w:val="ListParagraph"/>
        <w:numPr>
          <w:ilvl w:val="0"/>
          <w:numId w:val="84"/>
        </w:numPr>
        <w:tabs>
          <w:tab w:pos="760" w:val="left" w:leader="none"/>
        </w:tabs>
        <w:spacing w:line="240" w:lineRule="auto" w:before="88" w:after="0"/>
        <w:ind w:left="760" w:right="0" w:hanging="359"/>
        <w:jc w:val="left"/>
        <w:rPr>
          <w:sz w:val="22"/>
        </w:rPr>
      </w:pPr>
      <w:r>
        <w:rPr>
          <w:sz w:val="22"/>
        </w:rPr>
        <w:t>Dr.</w:t>
      </w:r>
      <w:r>
        <w:rPr>
          <w:spacing w:val="-7"/>
          <w:sz w:val="22"/>
        </w:rPr>
        <w:t> </w:t>
      </w:r>
      <w:r>
        <w:rPr>
          <w:sz w:val="22"/>
        </w:rPr>
        <w:t>K.</w:t>
      </w:r>
      <w:r>
        <w:rPr>
          <w:spacing w:val="-6"/>
          <w:sz w:val="22"/>
        </w:rPr>
        <w:t> </w:t>
      </w:r>
      <w:r>
        <w:rPr>
          <w:sz w:val="22"/>
        </w:rPr>
        <w:t>Madhu</w:t>
      </w:r>
      <w:r>
        <w:rPr>
          <w:spacing w:val="-7"/>
          <w:sz w:val="22"/>
        </w:rPr>
        <w:t> </w:t>
      </w:r>
      <w:r>
        <w:rPr>
          <w:spacing w:val="-2"/>
          <w:sz w:val="22"/>
        </w:rPr>
        <w:t>Murthy</w:t>
      </w:r>
    </w:p>
    <w:p>
      <w:pPr>
        <w:pStyle w:val="BodyText"/>
        <w:spacing w:line="266" w:lineRule="auto" w:before="27"/>
        <w:ind w:left="761" w:right="1092"/>
      </w:pPr>
      <w:r>
        <w:rPr>
          <w:spacing w:val="-4"/>
        </w:rPr>
        <w:t>Advisor,</w:t>
      </w:r>
      <w:r>
        <w:rPr>
          <w:spacing w:val="-10"/>
        </w:rPr>
        <w:t> </w:t>
      </w:r>
      <w:r>
        <w:rPr>
          <w:spacing w:val="-4"/>
        </w:rPr>
        <w:t>All</w:t>
      </w:r>
      <w:r>
        <w:rPr>
          <w:spacing w:val="-10"/>
        </w:rPr>
        <w:t> </w:t>
      </w:r>
      <w:r>
        <w:rPr>
          <w:spacing w:val="-4"/>
        </w:rPr>
        <w:t>India</w:t>
      </w:r>
      <w:r>
        <w:rPr>
          <w:spacing w:val="-10"/>
        </w:rPr>
        <w:t> </w:t>
      </w:r>
      <w:r>
        <w:rPr>
          <w:spacing w:val="-4"/>
        </w:rPr>
        <w:t>Council</w:t>
      </w:r>
      <w:r>
        <w:rPr>
          <w:spacing w:val="-9"/>
        </w:rPr>
        <w:t> </w:t>
      </w:r>
      <w:r>
        <w:rPr>
          <w:spacing w:val="-4"/>
        </w:rPr>
        <w:t>for</w:t>
      </w:r>
      <w:r>
        <w:rPr>
          <w:spacing w:val="-10"/>
        </w:rPr>
        <w:t> </w:t>
      </w:r>
      <w:r>
        <w:rPr>
          <w:spacing w:val="-4"/>
        </w:rPr>
        <w:t>Technical</w:t>
      </w:r>
      <w:r>
        <w:rPr>
          <w:spacing w:val="-10"/>
        </w:rPr>
        <w:t> </w:t>
      </w:r>
      <w:r>
        <w:rPr>
          <w:spacing w:val="-4"/>
        </w:rPr>
        <w:t>Education </w:t>
      </w:r>
      <w:r>
        <w:rPr>
          <w:spacing w:val="-2"/>
        </w:rPr>
        <w:t>(AICTE)</w:t>
      </w:r>
    </w:p>
    <w:p>
      <w:pPr>
        <w:pStyle w:val="ListParagraph"/>
        <w:numPr>
          <w:ilvl w:val="0"/>
          <w:numId w:val="84"/>
        </w:numPr>
        <w:tabs>
          <w:tab w:pos="761" w:val="left" w:leader="none"/>
        </w:tabs>
        <w:spacing w:line="266" w:lineRule="auto" w:before="89" w:after="0"/>
        <w:ind w:left="761" w:right="3824" w:hanging="360"/>
        <w:jc w:val="left"/>
        <w:rPr>
          <w:sz w:val="22"/>
        </w:rPr>
      </w:pPr>
      <w:r>
        <w:rPr>
          <w:sz w:val="22"/>
        </w:rPr>
        <w:t>Mr. Sri Nath </w:t>
      </w:r>
      <w:r>
        <w:rPr>
          <w:spacing w:val="-6"/>
          <w:sz w:val="22"/>
        </w:rPr>
        <w:t>Executive</w:t>
      </w:r>
      <w:r>
        <w:rPr>
          <w:spacing w:val="-8"/>
          <w:sz w:val="22"/>
        </w:rPr>
        <w:t> </w:t>
      </w:r>
      <w:r>
        <w:rPr>
          <w:spacing w:val="-6"/>
          <w:sz w:val="22"/>
        </w:rPr>
        <w:t>Director</w:t>
      </w:r>
    </w:p>
    <w:p>
      <w:pPr>
        <w:pStyle w:val="BodyText"/>
        <w:spacing w:line="251" w:lineRule="exact"/>
        <w:ind w:left="761"/>
      </w:pPr>
      <w:r>
        <w:rPr>
          <w:spacing w:val="-4"/>
        </w:rPr>
        <w:t>Videsh</w:t>
      </w:r>
      <w:r>
        <w:rPr>
          <w:spacing w:val="-6"/>
        </w:rPr>
        <w:t> </w:t>
      </w:r>
      <w:r>
        <w:rPr>
          <w:spacing w:val="-4"/>
        </w:rPr>
        <w:t>Sanchar</w:t>
      </w:r>
      <w:r>
        <w:rPr>
          <w:spacing w:val="-6"/>
        </w:rPr>
        <w:t> </w:t>
      </w:r>
      <w:r>
        <w:rPr>
          <w:spacing w:val="-4"/>
        </w:rPr>
        <w:t>Nigam</w:t>
      </w:r>
      <w:r>
        <w:rPr>
          <w:spacing w:val="-6"/>
        </w:rPr>
        <w:t> </w:t>
      </w:r>
      <w:r>
        <w:rPr>
          <w:spacing w:val="-4"/>
        </w:rPr>
        <w:t>Ltd.</w:t>
      </w:r>
      <w:r>
        <w:rPr>
          <w:spacing w:val="-6"/>
        </w:rPr>
        <w:t> </w:t>
      </w:r>
      <w:r>
        <w:rPr>
          <w:spacing w:val="-4"/>
        </w:rPr>
        <w:t>(VSNL)</w:t>
      </w:r>
    </w:p>
    <w:p>
      <w:pPr>
        <w:pStyle w:val="ListParagraph"/>
        <w:numPr>
          <w:ilvl w:val="0"/>
          <w:numId w:val="84"/>
        </w:numPr>
        <w:tabs>
          <w:tab w:pos="761" w:val="left" w:leader="none"/>
        </w:tabs>
        <w:spacing w:line="266" w:lineRule="auto" w:before="117" w:after="0"/>
        <w:ind w:left="761" w:right="1303" w:hanging="360"/>
        <w:jc w:val="left"/>
        <w:rPr>
          <w:sz w:val="22"/>
        </w:rPr>
      </w:pPr>
      <w:r>
        <w:rPr>
          <w:spacing w:val="-4"/>
          <w:sz w:val="22"/>
        </w:rPr>
        <w:t>Mr.</w:t>
      </w:r>
      <w:r>
        <w:rPr>
          <w:spacing w:val="-10"/>
          <w:sz w:val="22"/>
        </w:rPr>
        <w:t> </w:t>
      </w:r>
      <w:r>
        <w:rPr>
          <w:spacing w:val="-4"/>
          <w:sz w:val="22"/>
        </w:rPr>
        <w:t>V.</w:t>
      </w:r>
      <w:r>
        <w:rPr>
          <w:spacing w:val="-6"/>
          <w:sz w:val="22"/>
        </w:rPr>
        <w:t> </w:t>
      </w:r>
      <w:r>
        <w:rPr>
          <w:spacing w:val="-4"/>
          <w:sz w:val="22"/>
        </w:rPr>
        <w:t>Ponraj,</w:t>
      </w:r>
      <w:r>
        <w:rPr>
          <w:spacing w:val="-6"/>
          <w:sz w:val="22"/>
        </w:rPr>
        <w:t> </w:t>
      </w:r>
      <w:r>
        <w:rPr>
          <w:spacing w:val="-4"/>
          <w:sz w:val="22"/>
        </w:rPr>
        <w:t>ICT</w:t>
      </w:r>
      <w:r>
        <w:rPr>
          <w:spacing w:val="-6"/>
          <w:sz w:val="22"/>
        </w:rPr>
        <w:t> </w:t>
      </w:r>
      <w:r>
        <w:rPr>
          <w:spacing w:val="-4"/>
          <w:sz w:val="22"/>
        </w:rPr>
        <w:t>Adviser</w:t>
      </w:r>
      <w:r>
        <w:rPr>
          <w:spacing w:val="-6"/>
          <w:sz w:val="22"/>
        </w:rPr>
        <w:t> </w:t>
      </w:r>
      <w:r>
        <w:rPr>
          <w:spacing w:val="-4"/>
          <w:sz w:val="22"/>
        </w:rPr>
        <w:t>to</w:t>
      </w:r>
      <w:r>
        <w:rPr>
          <w:spacing w:val="-6"/>
          <w:sz w:val="22"/>
        </w:rPr>
        <w:t> </w:t>
      </w:r>
      <w:r>
        <w:rPr>
          <w:spacing w:val="-4"/>
          <w:sz w:val="22"/>
        </w:rPr>
        <w:t>President</w:t>
      </w:r>
      <w:r>
        <w:rPr>
          <w:spacing w:val="-6"/>
          <w:sz w:val="22"/>
        </w:rPr>
        <w:t> </w:t>
      </w:r>
      <w:r>
        <w:rPr>
          <w:spacing w:val="-4"/>
          <w:sz w:val="22"/>
        </w:rPr>
        <w:t>of</w:t>
      </w:r>
      <w:r>
        <w:rPr>
          <w:spacing w:val="-6"/>
          <w:sz w:val="22"/>
        </w:rPr>
        <w:t> </w:t>
      </w:r>
      <w:r>
        <w:rPr>
          <w:spacing w:val="-4"/>
          <w:sz w:val="22"/>
        </w:rPr>
        <w:t>India </w:t>
      </w:r>
      <w:r>
        <w:rPr>
          <w:sz w:val="22"/>
        </w:rPr>
        <w:t>President’s Secretariat</w:t>
      </w:r>
    </w:p>
    <w:p>
      <w:pPr>
        <w:pStyle w:val="BodyText"/>
        <w:spacing w:line="251" w:lineRule="exact"/>
        <w:ind w:left="761"/>
      </w:pPr>
      <w:r>
        <w:rPr>
          <w:spacing w:val="-2"/>
        </w:rPr>
        <w:t>Government</w:t>
      </w:r>
      <w:r>
        <w:rPr>
          <w:spacing w:val="-9"/>
        </w:rPr>
        <w:t> </w:t>
      </w:r>
      <w:r>
        <w:rPr>
          <w:spacing w:val="-2"/>
        </w:rPr>
        <w:t>of</w:t>
      </w:r>
      <w:r>
        <w:rPr>
          <w:spacing w:val="-9"/>
        </w:rPr>
        <w:t> </w:t>
      </w:r>
      <w:r>
        <w:rPr>
          <w:spacing w:val="-2"/>
        </w:rPr>
        <w:t>India</w:t>
      </w:r>
    </w:p>
    <w:p>
      <w:pPr>
        <w:pStyle w:val="ListParagraph"/>
        <w:numPr>
          <w:ilvl w:val="0"/>
          <w:numId w:val="84"/>
        </w:numPr>
        <w:tabs>
          <w:tab w:pos="760" w:val="left" w:leader="none"/>
        </w:tabs>
        <w:spacing w:line="240" w:lineRule="auto" w:before="117" w:after="0"/>
        <w:ind w:left="760" w:right="0" w:hanging="359"/>
        <w:jc w:val="left"/>
        <w:rPr>
          <w:sz w:val="22"/>
        </w:rPr>
      </w:pPr>
      <w:r>
        <w:rPr>
          <w:sz w:val="22"/>
        </w:rPr>
        <w:t>Mr.</w:t>
      </w:r>
      <w:r>
        <w:rPr>
          <w:spacing w:val="-6"/>
          <w:sz w:val="22"/>
        </w:rPr>
        <w:t> </w:t>
      </w:r>
      <w:r>
        <w:rPr>
          <w:sz w:val="22"/>
        </w:rPr>
        <w:t>C.R.</w:t>
      </w:r>
      <w:r>
        <w:rPr>
          <w:spacing w:val="-6"/>
          <w:sz w:val="22"/>
        </w:rPr>
        <w:t> </w:t>
      </w:r>
      <w:r>
        <w:rPr>
          <w:spacing w:val="-2"/>
          <w:sz w:val="22"/>
        </w:rPr>
        <w:t>Prasad</w:t>
      </w:r>
    </w:p>
    <w:p>
      <w:pPr>
        <w:pStyle w:val="BodyText"/>
        <w:spacing w:before="27"/>
        <w:ind w:left="761"/>
      </w:pPr>
      <w:r>
        <w:rPr/>
        <w:t>CMD,</w:t>
      </w:r>
      <w:r>
        <w:rPr>
          <w:spacing w:val="-11"/>
        </w:rPr>
        <w:t> </w:t>
      </w:r>
      <w:r>
        <w:rPr/>
        <w:t>Gas</w:t>
      </w:r>
      <w:r>
        <w:rPr>
          <w:spacing w:val="-11"/>
        </w:rPr>
        <w:t> </w:t>
      </w:r>
      <w:r>
        <w:rPr/>
        <w:t>Authority</w:t>
      </w:r>
      <w:r>
        <w:rPr>
          <w:spacing w:val="-11"/>
        </w:rPr>
        <w:t> </w:t>
      </w:r>
      <w:r>
        <w:rPr/>
        <w:t>of</w:t>
      </w:r>
      <w:r>
        <w:rPr>
          <w:spacing w:val="-11"/>
        </w:rPr>
        <w:t> </w:t>
      </w:r>
      <w:r>
        <w:rPr/>
        <w:t>India</w:t>
      </w:r>
      <w:r>
        <w:rPr>
          <w:spacing w:val="-11"/>
        </w:rPr>
        <w:t> </w:t>
      </w:r>
      <w:r>
        <w:rPr>
          <w:spacing w:val="-2"/>
        </w:rPr>
        <w:t>(GAIL)</w:t>
      </w:r>
    </w:p>
    <w:p>
      <w:pPr>
        <w:pStyle w:val="ListParagraph"/>
        <w:numPr>
          <w:ilvl w:val="0"/>
          <w:numId w:val="84"/>
        </w:numPr>
        <w:tabs>
          <w:tab w:pos="760" w:val="left" w:leader="none"/>
        </w:tabs>
        <w:spacing w:line="240" w:lineRule="auto" w:before="117" w:after="0"/>
        <w:ind w:left="760" w:right="0" w:hanging="359"/>
        <w:jc w:val="left"/>
        <w:rPr>
          <w:sz w:val="22"/>
        </w:rPr>
      </w:pPr>
      <w:r>
        <w:rPr>
          <w:spacing w:val="-4"/>
          <w:sz w:val="22"/>
        </w:rPr>
        <w:t>Mr.</w:t>
      </w:r>
      <w:r>
        <w:rPr>
          <w:spacing w:val="-5"/>
          <w:sz w:val="22"/>
        </w:rPr>
        <w:t> </w:t>
      </w:r>
      <w:r>
        <w:rPr>
          <w:spacing w:val="-4"/>
          <w:sz w:val="22"/>
        </w:rPr>
        <w:t>Rajshri</w:t>
      </w:r>
      <w:r>
        <w:rPr>
          <w:spacing w:val="-5"/>
          <w:sz w:val="22"/>
        </w:rPr>
        <w:t> </w:t>
      </w:r>
      <w:r>
        <w:rPr>
          <w:spacing w:val="-4"/>
          <w:sz w:val="22"/>
        </w:rPr>
        <w:t>Purkayastha</w:t>
      </w:r>
    </w:p>
    <w:p>
      <w:pPr>
        <w:pStyle w:val="BodyText"/>
        <w:spacing w:line="266" w:lineRule="auto" w:before="27"/>
        <w:ind w:left="761" w:right="1084"/>
      </w:pPr>
      <w:r>
        <w:rPr>
          <w:spacing w:val="-4"/>
        </w:rPr>
        <w:t>Solution</w:t>
      </w:r>
      <w:r>
        <w:rPr>
          <w:spacing w:val="-10"/>
        </w:rPr>
        <w:t> </w:t>
      </w:r>
      <w:r>
        <w:rPr>
          <w:spacing w:val="-4"/>
        </w:rPr>
        <w:t>Architect,</w:t>
      </w:r>
      <w:r>
        <w:rPr>
          <w:spacing w:val="-10"/>
        </w:rPr>
        <w:t> </w:t>
      </w:r>
      <w:r>
        <w:rPr>
          <w:spacing w:val="-4"/>
        </w:rPr>
        <w:t>TATA</w:t>
      </w:r>
      <w:r>
        <w:rPr>
          <w:spacing w:val="-10"/>
        </w:rPr>
        <w:t> </w:t>
      </w:r>
      <w:r>
        <w:rPr>
          <w:spacing w:val="-4"/>
        </w:rPr>
        <w:t>Indicom</w:t>
      </w:r>
      <w:r>
        <w:rPr>
          <w:spacing w:val="-10"/>
        </w:rPr>
        <w:t> </w:t>
      </w:r>
      <w:r>
        <w:rPr>
          <w:spacing w:val="-4"/>
        </w:rPr>
        <w:t>Enterprise </w:t>
      </w:r>
      <w:r>
        <w:rPr/>
        <w:t>Business Unit</w:t>
      </w:r>
    </w:p>
    <w:p>
      <w:pPr>
        <w:spacing w:after="0" w:line="266" w:lineRule="auto"/>
        <w:sectPr>
          <w:pgSz w:w="11910" w:h="16840"/>
          <w:pgMar w:header="0" w:footer="675" w:top="960" w:bottom="860" w:left="0" w:right="0"/>
          <w:cols w:num="2" w:equalWidth="0">
            <w:col w:w="5692" w:space="40"/>
            <w:col w:w="6178"/>
          </w:cols>
        </w:sectPr>
      </w:pPr>
    </w:p>
    <w:p>
      <w:pPr>
        <w:pStyle w:val="ListParagraph"/>
        <w:numPr>
          <w:ilvl w:val="0"/>
          <w:numId w:val="84"/>
        </w:numPr>
        <w:tabs>
          <w:tab w:pos="1439" w:val="left" w:leader="none"/>
        </w:tabs>
        <w:spacing w:line="240" w:lineRule="auto" w:before="77" w:after="0"/>
        <w:ind w:left="1439" w:right="0" w:hanging="359"/>
        <w:jc w:val="both"/>
        <w:rPr>
          <w:sz w:val="22"/>
        </w:rPr>
      </w:pPr>
      <w:r>
        <w:rPr>
          <w:spacing w:val="-10"/>
          <w:sz w:val="22"/>
        </w:rPr>
        <w:t>Prof</w:t>
      </w:r>
      <w:r>
        <w:rPr>
          <w:sz w:val="22"/>
        </w:rPr>
        <w:t> </w:t>
      </w:r>
      <w:r>
        <w:rPr>
          <w:spacing w:val="-10"/>
          <w:sz w:val="22"/>
        </w:rPr>
        <w:t>S.V.</w:t>
      </w:r>
      <w:r>
        <w:rPr>
          <w:sz w:val="22"/>
        </w:rPr>
        <w:t> </w:t>
      </w:r>
      <w:r>
        <w:rPr>
          <w:spacing w:val="-10"/>
          <w:sz w:val="22"/>
        </w:rPr>
        <w:t>Raghavan</w:t>
      </w:r>
    </w:p>
    <w:p>
      <w:pPr>
        <w:pStyle w:val="BodyText"/>
        <w:spacing w:line="266" w:lineRule="auto" w:before="27"/>
        <w:ind w:left="1439" w:right="121"/>
        <w:jc w:val="both"/>
      </w:pPr>
      <w:r>
        <w:rPr>
          <w:spacing w:val="-4"/>
        </w:rPr>
        <w:t>Professor, Department of Computer Science </w:t>
      </w:r>
      <w:r>
        <w:rPr>
          <w:spacing w:val="-4"/>
        </w:rPr>
        <w:t>and </w:t>
      </w:r>
      <w:r>
        <w:rPr/>
        <w:t>Engineering IIT, Chennai</w:t>
      </w:r>
    </w:p>
    <w:p>
      <w:pPr>
        <w:pStyle w:val="ListParagraph"/>
        <w:numPr>
          <w:ilvl w:val="0"/>
          <w:numId w:val="84"/>
        </w:numPr>
        <w:tabs>
          <w:tab w:pos="1439" w:val="left" w:leader="none"/>
        </w:tabs>
        <w:spacing w:line="240" w:lineRule="auto" w:before="89" w:after="0"/>
        <w:ind w:left="1439" w:right="0" w:hanging="359"/>
        <w:jc w:val="both"/>
        <w:rPr>
          <w:sz w:val="22"/>
        </w:rPr>
      </w:pPr>
      <w:r>
        <w:rPr>
          <w:sz w:val="22"/>
        </w:rPr>
        <w:t>Dr.</w:t>
      </w:r>
      <w:r>
        <w:rPr>
          <w:spacing w:val="-14"/>
          <w:sz w:val="22"/>
        </w:rPr>
        <w:t> </w:t>
      </w:r>
      <w:r>
        <w:rPr>
          <w:sz w:val="22"/>
        </w:rPr>
        <w:t>Gulshan</w:t>
      </w:r>
      <w:r>
        <w:rPr>
          <w:spacing w:val="-13"/>
          <w:sz w:val="22"/>
        </w:rPr>
        <w:t> </w:t>
      </w:r>
      <w:r>
        <w:rPr>
          <w:spacing w:val="-5"/>
          <w:sz w:val="22"/>
        </w:rPr>
        <w:t>Rai</w:t>
      </w:r>
    </w:p>
    <w:p>
      <w:pPr>
        <w:pStyle w:val="BodyText"/>
        <w:spacing w:line="266" w:lineRule="auto" w:before="27"/>
        <w:ind w:left="1439" w:right="276"/>
        <w:jc w:val="both"/>
      </w:pPr>
      <w:r>
        <w:rPr>
          <w:spacing w:val="-2"/>
        </w:rPr>
        <w:t>Executive</w:t>
      </w:r>
      <w:r>
        <w:rPr>
          <w:spacing w:val="-12"/>
        </w:rPr>
        <w:t> </w:t>
      </w:r>
      <w:r>
        <w:rPr>
          <w:spacing w:val="-2"/>
        </w:rPr>
        <w:t>Director,</w:t>
      </w:r>
      <w:r>
        <w:rPr>
          <w:spacing w:val="-12"/>
        </w:rPr>
        <w:t> </w:t>
      </w:r>
      <w:r>
        <w:rPr>
          <w:spacing w:val="-2"/>
        </w:rPr>
        <w:t>ERNET</w:t>
      </w:r>
      <w:r>
        <w:rPr>
          <w:spacing w:val="-12"/>
        </w:rPr>
        <w:t> </w:t>
      </w:r>
      <w:r>
        <w:rPr>
          <w:spacing w:val="-2"/>
        </w:rPr>
        <w:t>India,</w:t>
      </w:r>
      <w:r>
        <w:rPr>
          <w:spacing w:val="-11"/>
        </w:rPr>
        <w:t> </w:t>
      </w:r>
      <w:r>
        <w:rPr>
          <w:spacing w:val="-2"/>
        </w:rPr>
        <w:t>Ministry</w:t>
      </w:r>
      <w:r>
        <w:rPr>
          <w:spacing w:val="-12"/>
        </w:rPr>
        <w:t> </w:t>
      </w:r>
      <w:r>
        <w:rPr>
          <w:spacing w:val="-2"/>
        </w:rPr>
        <w:t>of </w:t>
      </w:r>
      <w:r>
        <w:rPr/>
        <w:t>Communication</w:t>
      </w:r>
      <w:r>
        <w:rPr>
          <w:spacing w:val="-14"/>
        </w:rPr>
        <w:t> </w:t>
      </w:r>
      <w:r>
        <w:rPr/>
        <w:t>and</w:t>
      </w:r>
      <w:r>
        <w:rPr>
          <w:spacing w:val="-14"/>
        </w:rPr>
        <w:t> </w:t>
      </w:r>
      <w:r>
        <w:rPr/>
        <w:t>Information</w:t>
      </w:r>
      <w:r>
        <w:rPr>
          <w:spacing w:val="-14"/>
        </w:rPr>
        <w:t> </w:t>
      </w:r>
      <w:r>
        <w:rPr/>
        <w:t>Technology (C&amp;IT) Government of India</w:t>
      </w:r>
    </w:p>
    <w:p>
      <w:pPr>
        <w:pStyle w:val="ListParagraph"/>
        <w:numPr>
          <w:ilvl w:val="0"/>
          <w:numId w:val="84"/>
        </w:numPr>
        <w:tabs>
          <w:tab w:pos="1439" w:val="left" w:leader="none"/>
        </w:tabs>
        <w:spacing w:line="240" w:lineRule="auto" w:before="87" w:after="0"/>
        <w:ind w:left="1439" w:right="0" w:hanging="359"/>
        <w:jc w:val="both"/>
        <w:rPr>
          <w:sz w:val="22"/>
        </w:rPr>
      </w:pPr>
      <w:r>
        <w:rPr>
          <w:sz w:val="22"/>
        </w:rPr>
        <w:t>Dr.</w:t>
      </w:r>
      <w:r>
        <w:rPr>
          <w:spacing w:val="-11"/>
          <w:sz w:val="22"/>
        </w:rPr>
        <w:t> </w:t>
      </w:r>
      <w:r>
        <w:rPr>
          <w:sz w:val="22"/>
        </w:rPr>
        <w:t>S.</w:t>
      </w:r>
      <w:r>
        <w:rPr>
          <w:spacing w:val="-10"/>
          <w:sz w:val="22"/>
        </w:rPr>
        <w:t> </w:t>
      </w:r>
      <w:r>
        <w:rPr>
          <w:spacing w:val="-2"/>
          <w:sz w:val="22"/>
        </w:rPr>
        <w:t>Ramakrishnan</w:t>
      </w:r>
    </w:p>
    <w:p>
      <w:pPr>
        <w:pStyle w:val="BodyText"/>
        <w:spacing w:line="266" w:lineRule="auto" w:before="27"/>
        <w:ind w:left="1439" w:right="381"/>
        <w:jc w:val="both"/>
      </w:pPr>
      <w:r>
        <w:rPr>
          <w:spacing w:val="-2"/>
        </w:rPr>
        <w:t>Director</w:t>
      </w:r>
      <w:r>
        <w:rPr>
          <w:spacing w:val="-12"/>
        </w:rPr>
        <w:t> </w:t>
      </w:r>
      <w:r>
        <w:rPr>
          <w:spacing w:val="-2"/>
        </w:rPr>
        <w:t>General,</w:t>
      </w:r>
      <w:r>
        <w:rPr>
          <w:spacing w:val="-12"/>
        </w:rPr>
        <w:t> </w:t>
      </w:r>
      <w:r>
        <w:rPr>
          <w:spacing w:val="-2"/>
        </w:rPr>
        <w:t>Centre</w:t>
      </w:r>
      <w:r>
        <w:rPr>
          <w:spacing w:val="-12"/>
        </w:rPr>
        <w:t> </w:t>
      </w:r>
      <w:r>
        <w:rPr>
          <w:spacing w:val="-2"/>
        </w:rPr>
        <w:t>for</w:t>
      </w:r>
      <w:r>
        <w:rPr>
          <w:spacing w:val="-11"/>
        </w:rPr>
        <w:t> </w:t>
      </w:r>
      <w:r>
        <w:rPr>
          <w:spacing w:val="-2"/>
        </w:rPr>
        <w:t>Development</w:t>
      </w:r>
      <w:r>
        <w:rPr>
          <w:spacing w:val="-12"/>
        </w:rPr>
        <w:t> </w:t>
      </w:r>
      <w:r>
        <w:rPr>
          <w:spacing w:val="-2"/>
        </w:rPr>
        <w:t>of </w:t>
      </w:r>
      <w:r>
        <w:rPr/>
        <w:t>Advanced Computing (C-DAC)</w:t>
      </w:r>
    </w:p>
    <w:p>
      <w:pPr>
        <w:pStyle w:val="ListParagraph"/>
        <w:numPr>
          <w:ilvl w:val="0"/>
          <w:numId w:val="84"/>
        </w:numPr>
        <w:tabs>
          <w:tab w:pos="1439" w:val="left" w:leader="none"/>
        </w:tabs>
        <w:spacing w:line="240" w:lineRule="auto" w:before="89" w:after="0"/>
        <w:ind w:left="1439" w:right="0" w:hanging="359"/>
        <w:jc w:val="both"/>
        <w:rPr>
          <w:sz w:val="22"/>
        </w:rPr>
      </w:pPr>
      <w:r>
        <w:rPr>
          <w:spacing w:val="-6"/>
          <w:sz w:val="22"/>
        </w:rPr>
        <w:t>Dr.</w:t>
      </w:r>
      <w:r>
        <w:rPr>
          <w:spacing w:val="-3"/>
          <w:sz w:val="22"/>
        </w:rPr>
        <w:t> </w:t>
      </w:r>
      <w:r>
        <w:rPr>
          <w:spacing w:val="-6"/>
          <w:sz w:val="22"/>
        </w:rPr>
        <w:t>D.P.S</w:t>
      </w:r>
      <w:r>
        <w:rPr>
          <w:spacing w:val="-2"/>
          <w:sz w:val="22"/>
        </w:rPr>
        <w:t> </w:t>
      </w:r>
      <w:r>
        <w:rPr>
          <w:spacing w:val="-6"/>
          <w:sz w:val="22"/>
        </w:rPr>
        <w:t>Seth</w:t>
      </w:r>
    </w:p>
    <w:p>
      <w:pPr>
        <w:pStyle w:val="BodyText"/>
        <w:spacing w:line="266" w:lineRule="auto" w:before="27"/>
        <w:ind w:left="1439" w:right="16"/>
        <w:jc w:val="both"/>
      </w:pPr>
      <w:r>
        <w:rPr>
          <w:spacing w:val="-4"/>
        </w:rPr>
        <w:t>Former</w:t>
      </w:r>
      <w:r>
        <w:rPr>
          <w:spacing w:val="-10"/>
        </w:rPr>
        <w:t> </w:t>
      </w:r>
      <w:r>
        <w:rPr>
          <w:spacing w:val="-4"/>
        </w:rPr>
        <w:t>member</w:t>
      </w:r>
      <w:r>
        <w:rPr>
          <w:spacing w:val="-10"/>
        </w:rPr>
        <w:t> </w:t>
      </w:r>
      <w:r>
        <w:rPr>
          <w:spacing w:val="-4"/>
        </w:rPr>
        <w:t>Telecom</w:t>
      </w:r>
      <w:r>
        <w:rPr>
          <w:spacing w:val="-10"/>
        </w:rPr>
        <w:t> </w:t>
      </w:r>
      <w:r>
        <w:rPr>
          <w:spacing w:val="-4"/>
        </w:rPr>
        <w:t>Regulatory</w:t>
      </w:r>
      <w:r>
        <w:rPr>
          <w:spacing w:val="-9"/>
        </w:rPr>
        <w:t> </w:t>
      </w:r>
      <w:r>
        <w:rPr>
          <w:spacing w:val="-4"/>
        </w:rPr>
        <w:t>Authority</w:t>
      </w:r>
      <w:r>
        <w:rPr>
          <w:spacing w:val="-10"/>
        </w:rPr>
        <w:t> </w:t>
      </w:r>
      <w:r>
        <w:rPr>
          <w:spacing w:val="-4"/>
        </w:rPr>
        <w:t>of </w:t>
      </w:r>
      <w:r>
        <w:rPr/>
        <w:t>India (TRAI)</w:t>
      </w:r>
    </w:p>
    <w:p>
      <w:pPr>
        <w:pStyle w:val="ListParagraph"/>
        <w:numPr>
          <w:ilvl w:val="0"/>
          <w:numId w:val="84"/>
        </w:numPr>
        <w:tabs>
          <w:tab w:pos="1439" w:val="left" w:leader="none"/>
        </w:tabs>
        <w:spacing w:line="266" w:lineRule="auto" w:before="88" w:after="0"/>
        <w:ind w:left="1439" w:right="2167" w:hanging="360"/>
        <w:jc w:val="left"/>
        <w:rPr>
          <w:sz w:val="22"/>
        </w:rPr>
      </w:pPr>
      <w:r>
        <w:rPr>
          <w:sz w:val="22"/>
        </w:rPr>
        <w:t>Mr. Devinder Singh </w:t>
      </w:r>
      <w:r>
        <w:rPr>
          <w:spacing w:val="-4"/>
          <w:sz w:val="22"/>
        </w:rPr>
        <w:t>Reliance</w:t>
      </w:r>
      <w:r>
        <w:rPr>
          <w:spacing w:val="-10"/>
          <w:sz w:val="22"/>
        </w:rPr>
        <w:t> </w:t>
      </w:r>
      <w:r>
        <w:rPr>
          <w:spacing w:val="-4"/>
          <w:sz w:val="22"/>
        </w:rPr>
        <w:t>Infocomm</w:t>
      </w:r>
      <w:r>
        <w:rPr>
          <w:spacing w:val="-10"/>
          <w:sz w:val="22"/>
        </w:rPr>
        <w:t> </w:t>
      </w:r>
      <w:r>
        <w:rPr>
          <w:spacing w:val="-4"/>
          <w:sz w:val="22"/>
        </w:rPr>
        <w:t>Ltd.</w:t>
      </w:r>
    </w:p>
    <w:p>
      <w:pPr>
        <w:pStyle w:val="ListParagraph"/>
        <w:numPr>
          <w:ilvl w:val="0"/>
          <w:numId w:val="84"/>
        </w:numPr>
        <w:tabs>
          <w:tab w:pos="1439" w:val="left" w:leader="none"/>
        </w:tabs>
        <w:spacing w:line="240" w:lineRule="auto" w:before="89" w:after="0"/>
        <w:ind w:left="1439" w:right="0" w:hanging="359"/>
        <w:jc w:val="left"/>
        <w:rPr>
          <w:sz w:val="22"/>
        </w:rPr>
      </w:pPr>
      <w:r>
        <w:rPr>
          <w:spacing w:val="-2"/>
          <w:sz w:val="22"/>
        </w:rPr>
        <w:t>Dr.</w:t>
      </w:r>
      <w:r>
        <w:rPr>
          <w:spacing w:val="-10"/>
          <w:sz w:val="22"/>
        </w:rPr>
        <w:t> </w:t>
      </w:r>
      <w:r>
        <w:rPr>
          <w:spacing w:val="-2"/>
          <w:sz w:val="22"/>
        </w:rPr>
        <w:t>Neeraj</w:t>
      </w:r>
      <w:r>
        <w:rPr>
          <w:spacing w:val="-10"/>
          <w:sz w:val="22"/>
        </w:rPr>
        <w:t> </w:t>
      </w:r>
      <w:r>
        <w:rPr>
          <w:spacing w:val="-2"/>
          <w:sz w:val="22"/>
        </w:rPr>
        <w:t>Sinha</w:t>
      </w:r>
    </w:p>
    <w:p>
      <w:pPr>
        <w:pStyle w:val="BodyText"/>
        <w:spacing w:line="266" w:lineRule="auto" w:before="27"/>
        <w:ind w:left="1439"/>
      </w:pPr>
      <w:r>
        <w:rPr>
          <w:spacing w:val="-6"/>
        </w:rPr>
        <w:t>Scientist ‘E’ Office of the Principal </w:t>
      </w:r>
      <w:r>
        <w:rPr>
          <w:spacing w:val="-6"/>
        </w:rPr>
        <w:t>Scientific </w:t>
      </w:r>
      <w:r>
        <w:rPr/>
        <w:t>Adviser to the Government</w:t>
      </w:r>
    </w:p>
    <w:p>
      <w:pPr>
        <w:pStyle w:val="BodyText"/>
        <w:spacing w:line="251" w:lineRule="exact"/>
        <w:ind w:left="1439"/>
      </w:pPr>
      <w:r>
        <w:rPr/>
        <w:t>of</w:t>
      </w:r>
      <w:r>
        <w:rPr>
          <w:spacing w:val="-13"/>
        </w:rPr>
        <w:t> </w:t>
      </w:r>
      <w:r>
        <w:rPr>
          <w:spacing w:val="-2"/>
        </w:rPr>
        <w:t>India</w:t>
      </w:r>
    </w:p>
    <w:p>
      <w:pPr>
        <w:pStyle w:val="ListParagraph"/>
        <w:numPr>
          <w:ilvl w:val="0"/>
          <w:numId w:val="84"/>
        </w:numPr>
        <w:tabs>
          <w:tab w:pos="1439" w:val="left" w:leader="none"/>
        </w:tabs>
        <w:spacing w:line="266" w:lineRule="auto" w:before="117" w:after="0"/>
        <w:ind w:left="1439" w:right="2663" w:hanging="360"/>
        <w:jc w:val="left"/>
        <w:rPr>
          <w:sz w:val="22"/>
        </w:rPr>
      </w:pPr>
      <w:r>
        <w:rPr>
          <w:sz w:val="22"/>
        </w:rPr>
        <w:t>Mr. Rajiv Sinha </w:t>
      </w:r>
      <w:r>
        <w:rPr>
          <w:spacing w:val="-6"/>
          <w:sz w:val="22"/>
        </w:rPr>
        <w:t>Executive</w:t>
      </w:r>
      <w:r>
        <w:rPr>
          <w:spacing w:val="-8"/>
          <w:sz w:val="22"/>
        </w:rPr>
        <w:t> </w:t>
      </w:r>
      <w:r>
        <w:rPr>
          <w:spacing w:val="-6"/>
          <w:sz w:val="22"/>
        </w:rPr>
        <w:t>Director</w:t>
      </w:r>
    </w:p>
    <w:p>
      <w:pPr>
        <w:pStyle w:val="BodyText"/>
        <w:spacing w:line="251" w:lineRule="exact"/>
        <w:ind w:left="1439"/>
      </w:pPr>
      <w:r>
        <w:rPr>
          <w:spacing w:val="-2"/>
        </w:rPr>
        <w:t>RailTel</w:t>
      </w:r>
      <w:r>
        <w:rPr>
          <w:spacing w:val="-11"/>
        </w:rPr>
        <w:t> </w:t>
      </w:r>
      <w:r>
        <w:rPr>
          <w:spacing w:val="-2"/>
        </w:rPr>
        <w:t>Corporation</w:t>
      </w:r>
      <w:r>
        <w:rPr>
          <w:spacing w:val="-11"/>
        </w:rPr>
        <w:t> </w:t>
      </w:r>
      <w:r>
        <w:rPr>
          <w:spacing w:val="-2"/>
        </w:rPr>
        <w:t>of</w:t>
      </w:r>
      <w:r>
        <w:rPr>
          <w:spacing w:val="-11"/>
        </w:rPr>
        <w:t> </w:t>
      </w:r>
      <w:r>
        <w:rPr>
          <w:spacing w:val="-2"/>
        </w:rPr>
        <w:t>India</w:t>
      </w:r>
      <w:r>
        <w:rPr>
          <w:spacing w:val="-10"/>
        </w:rPr>
        <w:t> </w:t>
      </w:r>
      <w:r>
        <w:rPr>
          <w:spacing w:val="-4"/>
        </w:rPr>
        <w:t>Ltd.</w:t>
      </w:r>
    </w:p>
    <w:p>
      <w:pPr>
        <w:pStyle w:val="ListParagraph"/>
        <w:numPr>
          <w:ilvl w:val="0"/>
          <w:numId w:val="84"/>
        </w:numPr>
        <w:tabs>
          <w:tab w:pos="1439" w:val="left" w:leader="none"/>
        </w:tabs>
        <w:spacing w:line="240" w:lineRule="auto" w:before="117" w:after="0"/>
        <w:ind w:left="1439" w:right="0" w:hanging="359"/>
        <w:jc w:val="left"/>
        <w:rPr>
          <w:sz w:val="22"/>
        </w:rPr>
      </w:pPr>
      <w:r>
        <w:rPr>
          <w:sz w:val="22"/>
        </w:rPr>
        <w:t>Dr.</w:t>
      </w:r>
      <w:r>
        <w:rPr>
          <w:spacing w:val="-6"/>
          <w:sz w:val="22"/>
        </w:rPr>
        <w:t> </w:t>
      </w:r>
      <w:r>
        <w:rPr>
          <w:spacing w:val="-2"/>
          <w:sz w:val="22"/>
        </w:rPr>
        <w:t>Sitaram</w:t>
      </w:r>
    </w:p>
    <w:p>
      <w:pPr>
        <w:pStyle w:val="BodyText"/>
        <w:spacing w:line="266" w:lineRule="auto" w:before="27"/>
        <w:ind w:left="1439" w:right="656"/>
      </w:pPr>
      <w:r>
        <w:rPr>
          <w:spacing w:val="-2"/>
        </w:rPr>
        <w:t>Distinguished</w:t>
      </w:r>
      <w:r>
        <w:rPr>
          <w:spacing w:val="-10"/>
        </w:rPr>
        <w:t> </w:t>
      </w:r>
      <w:r>
        <w:rPr>
          <w:spacing w:val="-2"/>
        </w:rPr>
        <w:t>Scientist,</w:t>
      </w:r>
      <w:r>
        <w:rPr>
          <w:spacing w:val="-10"/>
        </w:rPr>
        <w:t> </w:t>
      </w:r>
      <w:r>
        <w:rPr>
          <w:spacing w:val="-2"/>
        </w:rPr>
        <w:t>CC</w:t>
      </w:r>
      <w:r>
        <w:rPr>
          <w:spacing w:val="-10"/>
        </w:rPr>
        <w:t> </w:t>
      </w:r>
      <w:r>
        <w:rPr>
          <w:spacing w:val="-2"/>
        </w:rPr>
        <w:t>R&amp;D</w:t>
      </w:r>
      <w:r>
        <w:rPr>
          <w:spacing w:val="-10"/>
        </w:rPr>
        <w:t> </w:t>
      </w:r>
      <w:r>
        <w:rPr>
          <w:spacing w:val="-2"/>
        </w:rPr>
        <w:t>(ECS) </w:t>
      </w:r>
      <w:r>
        <w:rPr/>
        <w:t>DRDO, Ministry of Defence Government of India</w:t>
      </w:r>
    </w:p>
    <w:p>
      <w:pPr>
        <w:pStyle w:val="ListParagraph"/>
        <w:numPr>
          <w:ilvl w:val="0"/>
          <w:numId w:val="84"/>
        </w:numPr>
        <w:tabs>
          <w:tab w:pos="1439" w:val="left" w:leader="none"/>
        </w:tabs>
        <w:spacing w:line="240" w:lineRule="auto" w:before="87" w:after="0"/>
        <w:ind w:left="1439" w:right="0" w:hanging="359"/>
        <w:jc w:val="left"/>
        <w:rPr>
          <w:sz w:val="22"/>
        </w:rPr>
      </w:pPr>
      <w:r>
        <w:rPr>
          <w:spacing w:val="-4"/>
          <w:sz w:val="22"/>
        </w:rPr>
        <w:t>Mr.</w:t>
      </w:r>
      <w:r>
        <w:rPr>
          <w:spacing w:val="-8"/>
          <w:sz w:val="22"/>
        </w:rPr>
        <w:t> </w:t>
      </w:r>
      <w:r>
        <w:rPr>
          <w:spacing w:val="-4"/>
          <w:sz w:val="22"/>
        </w:rPr>
        <w:t>Anil</w:t>
      </w:r>
      <w:r>
        <w:rPr>
          <w:spacing w:val="-7"/>
          <w:sz w:val="22"/>
        </w:rPr>
        <w:t> </w:t>
      </w:r>
      <w:r>
        <w:rPr>
          <w:spacing w:val="-4"/>
          <w:sz w:val="22"/>
        </w:rPr>
        <w:t>Srivastava</w:t>
      </w:r>
    </w:p>
    <w:p>
      <w:pPr>
        <w:pStyle w:val="BodyText"/>
        <w:spacing w:line="266" w:lineRule="auto" w:before="27"/>
        <w:ind w:left="1439"/>
      </w:pPr>
      <w:r>
        <w:rPr>
          <w:spacing w:val="-6"/>
        </w:rPr>
        <w:t>Chief</w:t>
      </w:r>
      <w:r>
        <w:rPr>
          <w:spacing w:val="-8"/>
        </w:rPr>
        <w:t> </w:t>
      </w:r>
      <w:r>
        <w:rPr>
          <w:spacing w:val="-6"/>
        </w:rPr>
        <w:t>Strategy</w:t>
      </w:r>
      <w:r>
        <w:rPr>
          <w:spacing w:val="-8"/>
        </w:rPr>
        <w:t> </w:t>
      </w:r>
      <w:r>
        <w:rPr>
          <w:spacing w:val="-6"/>
        </w:rPr>
        <w:t>Advisor,</w:t>
      </w:r>
      <w:r>
        <w:rPr>
          <w:spacing w:val="-8"/>
        </w:rPr>
        <w:t> </w:t>
      </w:r>
      <w:r>
        <w:rPr>
          <w:spacing w:val="-6"/>
        </w:rPr>
        <w:t>Capital</w:t>
      </w:r>
      <w:r>
        <w:rPr>
          <w:spacing w:val="-10"/>
        </w:rPr>
        <w:t> </w:t>
      </w:r>
      <w:r>
        <w:rPr>
          <w:spacing w:val="-6"/>
        </w:rPr>
        <w:t>Technology </w:t>
      </w:r>
      <w:r>
        <w:rPr/>
        <w:t>Information Services</w:t>
      </w:r>
    </w:p>
    <w:p>
      <w:pPr>
        <w:pStyle w:val="BodyText"/>
        <w:spacing w:line="251" w:lineRule="exact"/>
        <w:ind w:left="1439"/>
        <w:jc w:val="both"/>
      </w:pPr>
      <w:r>
        <w:rPr/>
        <w:t>Inc</w:t>
      </w:r>
      <w:r>
        <w:rPr>
          <w:spacing w:val="-7"/>
        </w:rPr>
        <w:t> </w:t>
      </w:r>
      <w:r>
        <w:rPr>
          <w:spacing w:val="-2"/>
        </w:rPr>
        <w:t>U.S.A.</w:t>
      </w:r>
    </w:p>
    <w:p>
      <w:pPr>
        <w:pStyle w:val="ListParagraph"/>
        <w:numPr>
          <w:ilvl w:val="0"/>
          <w:numId w:val="84"/>
        </w:numPr>
        <w:tabs>
          <w:tab w:pos="1439" w:val="left" w:leader="none"/>
        </w:tabs>
        <w:spacing w:line="240" w:lineRule="auto" w:before="117" w:after="0"/>
        <w:ind w:left="1439" w:right="0" w:hanging="359"/>
        <w:jc w:val="left"/>
        <w:rPr>
          <w:sz w:val="22"/>
        </w:rPr>
      </w:pPr>
      <w:r>
        <w:rPr>
          <w:sz w:val="22"/>
        </w:rPr>
        <w:t>Dr.</w:t>
      </w:r>
      <w:r>
        <w:rPr>
          <w:spacing w:val="3"/>
          <w:sz w:val="22"/>
        </w:rPr>
        <w:t> </w:t>
      </w:r>
      <w:r>
        <w:rPr>
          <w:sz w:val="22"/>
        </w:rPr>
        <w:t>N.</w:t>
      </w:r>
      <w:r>
        <w:rPr>
          <w:spacing w:val="4"/>
          <w:sz w:val="22"/>
        </w:rPr>
        <w:t> </w:t>
      </w:r>
      <w:r>
        <w:rPr>
          <w:spacing w:val="-2"/>
          <w:sz w:val="22"/>
        </w:rPr>
        <w:t>Subramanian</w:t>
      </w:r>
    </w:p>
    <w:p>
      <w:pPr>
        <w:pStyle w:val="BodyText"/>
        <w:spacing w:line="266" w:lineRule="auto" w:before="27"/>
        <w:ind w:left="1439"/>
      </w:pPr>
      <w:r>
        <w:rPr>
          <w:spacing w:val="-2"/>
        </w:rPr>
        <w:t>Centre</w:t>
      </w:r>
      <w:r>
        <w:rPr>
          <w:spacing w:val="-12"/>
        </w:rPr>
        <w:t> </w:t>
      </w:r>
      <w:r>
        <w:rPr>
          <w:spacing w:val="-2"/>
        </w:rPr>
        <w:t>for</w:t>
      </w:r>
      <w:r>
        <w:rPr>
          <w:spacing w:val="-12"/>
        </w:rPr>
        <w:t> </w:t>
      </w:r>
      <w:r>
        <w:rPr>
          <w:spacing w:val="-2"/>
        </w:rPr>
        <w:t>Development</w:t>
      </w:r>
      <w:r>
        <w:rPr>
          <w:spacing w:val="-12"/>
        </w:rPr>
        <w:t> </w:t>
      </w:r>
      <w:r>
        <w:rPr>
          <w:spacing w:val="-2"/>
        </w:rPr>
        <w:t>of</w:t>
      </w:r>
      <w:r>
        <w:rPr>
          <w:spacing w:val="-11"/>
        </w:rPr>
        <w:t> </w:t>
      </w:r>
      <w:r>
        <w:rPr>
          <w:spacing w:val="-2"/>
        </w:rPr>
        <w:t>Advanced</w:t>
      </w:r>
      <w:r>
        <w:rPr>
          <w:spacing w:val="-12"/>
        </w:rPr>
        <w:t> </w:t>
      </w:r>
      <w:r>
        <w:rPr>
          <w:spacing w:val="-2"/>
        </w:rPr>
        <w:t>Computing (C-DAC)</w:t>
      </w:r>
    </w:p>
    <w:p>
      <w:pPr>
        <w:pStyle w:val="ListParagraph"/>
        <w:numPr>
          <w:ilvl w:val="0"/>
          <w:numId w:val="84"/>
        </w:numPr>
        <w:tabs>
          <w:tab w:pos="1439" w:val="left" w:leader="none"/>
        </w:tabs>
        <w:spacing w:line="240" w:lineRule="auto" w:before="89" w:after="0"/>
        <w:ind w:left="1439" w:right="0" w:hanging="359"/>
        <w:jc w:val="left"/>
        <w:rPr>
          <w:sz w:val="22"/>
        </w:rPr>
      </w:pPr>
      <w:r>
        <w:rPr>
          <w:sz w:val="22"/>
        </w:rPr>
        <w:t>Dr.</w:t>
      </w:r>
      <w:r>
        <w:rPr>
          <w:spacing w:val="-9"/>
          <w:sz w:val="22"/>
        </w:rPr>
        <w:t> </w:t>
      </w:r>
      <w:r>
        <w:rPr>
          <w:sz w:val="22"/>
        </w:rPr>
        <w:t>M.S.</w:t>
      </w:r>
      <w:r>
        <w:rPr>
          <w:spacing w:val="-9"/>
          <w:sz w:val="22"/>
        </w:rPr>
        <w:t> </w:t>
      </w:r>
      <w:r>
        <w:rPr>
          <w:spacing w:val="-2"/>
          <w:sz w:val="22"/>
        </w:rPr>
        <w:t>Swaminathan</w:t>
      </w:r>
    </w:p>
    <w:p>
      <w:pPr>
        <w:pStyle w:val="BodyText"/>
        <w:spacing w:line="266" w:lineRule="auto" w:before="27"/>
        <w:ind w:left="1439"/>
      </w:pPr>
      <w:r>
        <w:rPr>
          <w:spacing w:val="-4"/>
        </w:rPr>
        <w:t>Chairman,</w:t>
      </w:r>
      <w:r>
        <w:rPr>
          <w:spacing w:val="-9"/>
        </w:rPr>
        <w:t> </w:t>
      </w:r>
      <w:r>
        <w:rPr>
          <w:spacing w:val="-4"/>
        </w:rPr>
        <w:t>M.S.</w:t>
      </w:r>
      <w:r>
        <w:rPr>
          <w:spacing w:val="-9"/>
        </w:rPr>
        <w:t> </w:t>
      </w:r>
      <w:r>
        <w:rPr>
          <w:spacing w:val="-4"/>
        </w:rPr>
        <w:t>Swaminathan</w:t>
      </w:r>
      <w:r>
        <w:rPr>
          <w:spacing w:val="-9"/>
        </w:rPr>
        <w:t> </w:t>
      </w:r>
      <w:r>
        <w:rPr>
          <w:spacing w:val="-4"/>
        </w:rPr>
        <w:t>Research </w:t>
      </w:r>
      <w:r>
        <w:rPr>
          <w:spacing w:val="-2"/>
        </w:rPr>
        <w:t>Foundation.</w:t>
      </w:r>
    </w:p>
    <w:p>
      <w:pPr>
        <w:pStyle w:val="ListParagraph"/>
        <w:numPr>
          <w:ilvl w:val="0"/>
          <w:numId w:val="84"/>
        </w:numPr>
        <w:tabs>
          <w:tab w:pos="1439" w:val="left" w:leader="none"/>
        </w:tabs>
        <w:spacing w:line="240" w:lineRule="auto" w:before="88" w:after="0"/>
        <w:ind w:left="1439" w:right="0" w:hanging="359"/>
        <w:jc w:val="left"/>
        <w:rPr>
          <w:sz w:val="22"/>
        </w:rPr>
      </w:pPr>
      <w:r>
        <w:rPr>
          <w:spacing w:val="-6"/>
          <w:sz w:val="22"/>
        </w:rPr>
        <w:t>Mr.</w:t>
      </w:r>
      <w:r>
        <w:rPr>
          <w:spacing w:val="-2"/>
          <w:sz w:val="22"/>
        </w:rPr>
        <w:t> </w:t>
      </w:r>
      <w:r>
        <w:rPr>
          <w:spacing w:val="-6"/>
          <w:sz w:val="22"/>
        </w:rPr>
        <w:t>Shilesh</w:t>
      </w:r>
      <w:r>
        <w:rPr>
          <w:spacing w:val="-10"/>
          <w:sz w:val="22"/>
        </w:rPr>
        <w:t> </w:t>
      </w:r>
      <w:r>
        <w:rPr>
          <w:spacing w:val="-6"/>
          <w:sz w:val="22"/>
        </w:rPr>
        <w:t>Tiwari</w:t>
      </w:r>
    </w:p>
    <w:p>
      <w:pPr>
        <w:pStyle w:val="BodyText"/>
        <w:spacing w:before="27"/>
        <w:ind w:left="1439"/>
      </w:pPr>
      <w:r>
        <w:rPr>
          <w:spacing w:val="-2"/>
        </w:rPr>
        <w:t>RailTel</w:t>
      </w:r>
      <w:r>
        <w:rPr>
          <w:spacing w:val="-11"/>
        </w:rPr>
        <w:t> </w:t>
      </w:r>
      <w:r>
        <w:rPr>
          <w:spacing w:val="-2"/>
        </w:rPr>
        <w:t>Corporation</w:t>
      </w:r>
      <w:r>
        <w:rPr>
          <w:spacing w:val="-11"/>
        </w:rPr>
        <w:t> </w:t>
      </w:r>
      <w:r>
        <w:rPr>
          <w:spacing w:val="-2"/>
        </w:rPr>
        <w:t>of</w:t>
      </w:r>
      <w:r>
        <w:rPr>
          <w:spacing w:val="-11"/>
        </w:rPr>
        <w:t> </w:t>
      </w:r>
      <w:r>
        <w:rPr>
          <w:spacing w:val="-2"/>
        </w:rPr>
        <w:t>India</w:t>
      </w:r>
      <w:r>
        <w:rPr>
          <w:spacing w:val="-10"/>
        </w:rPr>
        <w:t> </w:t>
      </w:r>
      <w:r>
        <w:rPr>
          <w:spacing w:val="-4"/>
        </w:rPr>
        <w:t>Ltd.</w:t>
      </w:r>
    </w:p>
    <w:p>
      <w:pPr>
        <w:pStyle w:val="ListParagraph"/>
        <w:numPr>
          <w:ilvl w:val="0"/>
          <w:numId w:val="84"/>
        </w:numPr>
        <w:tabs>
          <w:tab w:pos="1439" w:val="left" w:leader="none"/>
        </w:tabs>
        <w:spacing w:line="240" w:lineRule="auto" w:before="117" w:after="0"/>
        <w:ind w:left="1439" w:right="0" w:hanging="359"/>
        <w:jc w:val="left"/>
        <w:rPr>
          <w:sz w:val="22"/>
        </w:rPr>
      </w:pPr>
      <w:r>
        <w:rPr>
          <w:spacing w:val="-4"/>
          <w:sz w:val="22"/>
        </w:rPr>
        <w:t>Mr.</w:t>
      </w:r>
      <w:r>
        <w:rPr>
          <w:spacing w:val="-9"/>
          <w:sz w:val="22"/>
        </w:rPr>
        <w:t> </w:t>
      </w:r>
      <w:r>
        <w:rPr>
          <w:spacing w:val="-4"/>
          <w:sz w:val="22"/>
        </w:rPr>
        <w:t>Sharad</w:t>
      </w:r>
      <w:r>
        <w:rPr>
          <w:spacing w:val="-10"/>
          <w:sz w:val="22"/>
        </w:rPr>
        <w:t> </w:t>
      </w:r>
      <w:r>
        <w:rPr>
          <w:spacing w:val="-4"/>
          <w:sz w:val="22"/>
        </w:rPr>
        <w:t>Trivedi</w:t>
      </w:r>
    </w:p>
    <w:p>
      <w:pPr>
        <w:pStyle w:val="BodyText"/>
        <w:spacing w:before="27"/>
        <w:ind w:left="1439"/>
      </w:pPr>
      <w:r>
        <w:rPr/>
        <w:t>DGM,</w:t>
      </w:r>
      <w:r>
        <w:rPr>
          <w:spacing w:val="-7"/>
        </w:rPr>
        <w:t> </w:t>
      </w:r>
      <w:r>
        <w:rPr/>
        <w:t>Data</w:t>
      </w:r>
      <w:r>
        <w:rPr>
          <w:spacing w:val="-7"/>
        </w:rPr>
        <w:t> </w:t>
      </w:r>
      <w:r>
        <w:rPr/>
        <w:t>Networks,</w:t>
      </w:r>
      <w:r>
        <w:rPr>
          <w:spacing w:val="-7"/>
        </w:rPr>
        <w:t> </w:t>
      </w:r>
      <w:r>
        <w:rPr>
          <w:spacing w:val="-4"/>
        </w:rPr>
        <w:t>BSNL</w:t>
      </w:r>
    </w:p>
    <w:p>
      <w:pPr>
        <w:pStyle w:val="ListParagraph"/>
        <w:numPr>
          <w:ilvl w:val="0"/>
          <w:numId w:val="84"/>
        </w:numPr>
        <w:tabs>
          <w:tab w:pos="1439" w:val="left" w:leader="none"/>
        </w:tabs>
        <w:spacing w:line="240" w:lineRule="auto" w:before="117" w:after="0"/>
        <w:ind w:left="1439" w:right="0" w:hanging="359"/>
        <w:jc w:val="left"/>
        <w:rPr>
          <w:sz w:val="22"/>
        </w:rPr>
      </w:pPr>
      <w:r>
        <w:rPr>
          <w:spacing w:val="-4"/>
          <w:sz w:val="22"/>
        </w:rPr>
        <w:t>Dr.</w:t>
      </w:r>
      <w:r>
        <w:rPr>
          <w:sz w:val="22"/>
        </w:rPr>
        <w:t> </w:t>
      </w:r>
      <w:r>
        <w:rPr>
          <w:spacing w:val="-4"/>
          <w:sz w:val="22"/>
        </w:rPr>
        <w:t>R.S.</w:t>
      </w:r>
      <w:r>
        <w:rPr>
          <w:spacing w:val="-10"/>
          <w:sz w:val="22"/>
        </w:rPr>
        <w:t> </w:t>
      </w:r>
      <w:r>
        <w:rPr>
          <w:spacing w:val="-4"/>
          <w:sz w:val="22"/>
        </w:rPr>
        <w:t>Tyagi</w:t>
      </w:r>
    </w:p>
    <w:p>
      <w:pPr>
        <w:pStyle w:val="BodyText"/>
        <w:spacing w:before="27"/>
        <w:ind w:left="1439"/>
      </w:pPr>
      <w:r>
        <w:rPr/>
        <w:t>Deputy</w:t>
      </w:r>
      <w:r>
        <w:rPr>
          <w:spacing w:val="-10"/>
        </w:rPr>
        <w:t> </w:t>
      </w:r>
      <w:r>
        <w:rPr/>
        <w:t>Director,</w:t>
      </w:r>
      <w:r>
        <w:rPr>
          <w:spacing w:val="-10"/>
        </w:rPr>
        <w:t> </w:t>
      </w:r>
      <w:r>
        <w:rPr/>
        <w:t>Head</w:t>
      </w:r>
      <w:r>
        <w:rPr>
          <w:spacing w:val="-10"/>
        </w:rPr>
        <w:t> </w:t>
      </w:r>
      <w:r>
        <w:rPr/>
        <w:t>Computer</w:t>
      </w:r>
      <w:r>
        <w:rPr>
          <w:spacing w:val="-10"/>
        </w:rPr>
        <w:t> </w:t>
      </w:r>
      <w:r>
        <w:rPr>
          <w:spacing w:val="-2"/>
        </w:rPr>
        <w:t>Faculty</w:t>
      </w:r>
    </w:p>
    <w:p>
      <w:pPr>
        <w:pStyle w:val="BodyText"/>
        <w:spacing w:before="27"/>
        <w:ind w:left="1439"/>
      </w:pPr>
      <w:r>
        <w:rPr>
          <w:spacing w:val="-4"/>
        </w:rPr>
        <w:t>All</w:t>
      </w:r>
      <w:r>
        <w:rPr>
          <w:spacing w:val="-8"/>
        </w:rPr>
        <w:t> </w:t>
      </w:r>
      <w:r>
        <w:rPr>
          <w:spacing w:val="-4"/>
        </w:rPr>
        <w:t>India</w:t>
      </w:r>
      <w:r>
        <w:rPr>
          <w:spacing w:val="-8"/>
        </w:rPr>
        <w:t> </w:t>
      </w:r>
      <w:r>
        <w:rPr>
          <w:spacing w:val="-4"/>
        </w:rPr>
        <w:t>Institute</w:t>
      </w:r>
      <w:r>
        <w:rPr>
          <w:spacing w:val="-7"/>
        </w:rPr>
        <w:t> </w:t>
      </w:r>
      <w:r>
        <w:rPr>
          <w:spacing w:val="-4"/>
        </w:rPr>
        <w:t>of</w:t>
      </w:r>
      <w:r>
        <w:rPr>
          <w:spacing w:val="-8"/>
        </w:rPr>
        <w:t> </w:t>
      </w:r>
      <w:r>
        <w:rPr>
          <w:spacing w:val="-4"/>
        </w:rPr>
        <w:t>Medical</w:t>
      </w:r>
      <w:r>
        <w:rPr>
          <w:spacing w:val="-7"/>
        </w:rPr>
        <w:t> </w:t>
      </w:r>
      <w:r>
        <w:rPr>
          <w:spacing w:val="-4"/>
        </w:rPr>
        <w:t>Sciences</w:t>
      </w:r>
      <w:r>
        <w:rPr>
          <w:spacing w:val="-8"/>
        </w:rPr>
        <w:t> </w:t>
      </w:r>
      <w:r>
        <w:rPr>
          <w:spacing w:val="-4"/>
        </w:rPr>
        <w:t>(AIIMS)</w:t>
      </w:r>
    </w:p>
    <w:p>
      <w:pPr>
        <w:pStyle w:val="ListParagraph"/>
        <w:numPr>
          <w:ilvl w:val="0"/>
          <w:numId w:val="84"/>
        </w:numPr>
        <w:tabs>
          <w:tab w:pos="1439" w:val="left" w:leader="none"/>
        </w:tabs>
        <w:spacing w:line="240" w:lineRule="auto" w:before="117" w:after="0"/>
        <w:ind w:left="1439" w:right="0" w:hanging="359"/>
        <w:jc w:val="left"/>
        <w:rPr>
          <w:sz w:val="22"/>
        </w:rPr>
      </w:pPr>
      <w:r>
        <w:rPr>
          <w:spacing w:val="-6"/>
          <w:sz w:val="22"/>
        </w:rPr>
        <w:t>Mr.</w:t>
      </w:r>
      <w:r>
        <w:rPr>
          <w:spacing w:val="-9"/>
          <w:sz w:val="22"/>
        </w:rPr>
        <w:t> </w:t>
      </w:r>
      <w:r>
        <w:rPr>
          <w:spacing w:val="-6"/>
          <w:sz w:val="22"/>
        </w:rPr>
        <w:t>T.K.</w:t>
      </w:r>
      <w:r>
        <w:rPr>
          <w:spacing w:val="-2"/>
          <w:sz w:val="22"/>
        </w:rPr>
        <w:t> </w:t>
      </w:r>
      <w:r>
        <w:rPr>
          <w:spacing w:val="-6"/>
          <w:sz w:val="22"/>
        </w:rPr>
        <w:t>Wali</w:t>
      </w:r>
    </w:p>
    <w:p>
      <w:pPr>
        <w:pStyle w:val="BodyText"/>
        <w:spacing w:before="27"/>
        <w:ind w:left="1439"/>
      </w:pPr>
      <w:r>
        <w:rPr>
          <w:spacing w:val="-4"/>
        </w:rPr>
        <w:t>GM (Telecom, LD&amp;C)</w:t>
      </w:r>
    </w:p>
    <w:p>
      <w:pPr>
        <w:pStyle w:val="BodyText"/>
        <w:spacing w:before="27"/>
        <w:ind w:left="1439"/>
      </w:pPr>
      <w:r>
        <w:rPr>
          <w:spacing w:val="-2"/>
        </w:rPr>
        <w:t>M/S</w:t>
      </w:r>
      <w:r>
        <w:rPr>
          <w:spacing w:val="-10"/>
        </w:rPr>
        <w:t> </w:t>
      </w:r>
      <w:r>
        <w:rPr>
          <w:spacing w:val="-2"/>
        </w:rPr>
        <w:t>Power</w:t>
      </w:r>
      <w:r>
        <w:rPr>
          <w:spacing w:val="-9"/>
        </w:rPr>
        <w:t> </w:t>
      </w:r>
      <w:r>
        <w:rPr>
          <w:spacing w:val="-2"/>
        </w:rPr>
        <w:t>Grid</w:t>
      </w:r>
      <w:r>
        <w:rPr>
          <w:spacing w:val="-9"/>
        </w:rPr>
        <w:t> </w:t>
      </w:r>
      <w:r>
        <w:rPr>
          <w:spacing w:val="-2"/>
        </w:rPr>
        <w:t>Authority</w:t>
      </w:r>
      <w:r>
        <w:rPr>
          <w:spacing w:val="-9"/>
        </w:rPr>
        <w:t> </w:t>
      </w:r>
      <w:r>
        <w:rPr>
          <w:spacing w:val="-2"/>
        </w:rPr>
        <w:t>of</w:t>
      </w:r>
      <w:r>
        <w:rPr>
          <w:spacing w:val="-9"/>
        </w:rPr>
        <w:t> </w:t>
      </w:r>
      <w:r>
        <w:rPr>
          <w:spacing w:val="-2"/>
        </w:rPr>
        <w:t>India</w:t>
      </w:r>
      <w:r>
        <w:rPr>
          <w:spacing w:val="-10"/>
        </w:rPr>
        <w:t> </w:t>
      </w:r>
      <w:r>
        <w:rPr>
          <w:spacing w:val="-4"/>
        </w:rPr>
        <w:t>Ltd.</w:t>
      </w:r>
    </w:p>
    <w:p>
      <w:pPr>
        <w:pStyle w:val="Heading6"/>
        <w:spacing w:before="57"/>
        <w:ind w:left="401" w:firstLine="0"/>
      </w:pPr>
      <w:r>
        <w:rPr>
          <w:b w:val="0"/>
        </w:rPr>
        <w:br w:type="column"/>
      </w:r>
      <w:r>
        <w:rPr>
          <w:color w:val="2E614A"/>
          <w:spacing w:val="-7"/>
        </w:rPr>
        <w:t>School</w:t>
      </w:r>
      <w:r>
        <w:rPr>
          <w:color w:val="2E614A"/>
          <w:spacing w:val="-12"/>
        </w:rPr>
        <w:t> </w:t>
      </w:r>
      <w:r>
        <w:rPr>
          <w:color w:val="2E614A"/>
          <w:spacing w:val="-2"/>
        </w:rPr>
        <w:t>Education</w:t>
      </w:r>
    </w:p>
    <w:p>
      <w:pPr>
        <w:pStyle w:val="Heading7"/>
        <w:spacing w:before="248"/>
        <w:ind w:left="401"/>
      </w:pPr>
      <w:r>
        <w:rPr>
          <w:color w:val="2E614A"/>
          <w:spacing w:val="-7"/>
        </w:rPr>
        <w:t>National</w:t>
      </w:r>
      <w:r>
        <w:rPr>
          <w:color w:val="2E614A"/>
          <w:spacing w:val="-8"/>
        </w:rPr>
        <w:t> </w:t>
      </w:r>
      <w:r>
        <w:rPr>
          <w:color w:val="2E614A"/>
          <w:spacing w:val="-2"/>
        </w:rPr>
        <w:t>Workshops</w:t>
      </w:r>
    </w:p>
    <w:p>
      <w:pPr>
        <w:spacing w:line="266" w:lineRule="auto" w:before="298"/>
        <w:ind w:left="401" w:right="1208" w:firstLine="0"/>
        <w:jc w:val="both"/>
        <w:rPr>
          <w:b/>
          <w:i/>
          <w:sz w:val="22"/>
        </w:rPr>
      </w:pPr>
      <w:r>
        <w:rPr>
          <w:b/>
          <w:i/>
          <w:spacing w:val="-6"/>
          <w:sz w:val="22"/>
        </w:rPr>
        <w:t>National</w:t>
      </w:r>
      <w:r>
        <w:rPr>
          <w:b/>
          <w:i/>
          <w:spacing w:val="-8"/>
          <w:sz w:val="22"/>
        </w:rPr>
        <w:t> </w:t>
      </w:r>
      <w:r>
        <w:rPr>
          <w:b/>
          <w:i/>
          <w:spacing w:val="-6"/>
          <w:sz w:val="22"/>
        </w:rPr>
        <w:t>Seminar</w:t>
      </w:r>
      <w:r>
        <w:rPr>
          <w:b/>
          <w:i/>
          <w:spacing w:val="-8"/>
          <w:sz w:val="22"/>
        </w:rPr>
        <w:t> </w:t>
      </w:r>
      <w:r>
        <w:rPr>
          <w:b/>
          <w:i/>
          <w:spacing w:val="-6"/>
          <w:sz w:val="22"/>
        </w:rPr>
        <w:t>on</w:t>
      </w:r>
      <w:r>
        <w:rPr>
          <w:b/>
          <w:i/>
          <w:spacing w:val="-8"/>
          <w:sz w:val="22"/>
        </w:rPr>
        <w:t> </w:t>
      </w:r>
      <w:r>
        <w:rPr>
          <w:b/>
          <w:i/>
          <w:spacing w:val="-6"/>
          <w:sz w:val="22"/>
        </w:rPr>
        <w:t>School</w:t>
      </w:r>
      <w:r>
        <w:rPr>
          <w:b/>
          <w:i/>
          <w:spacing w:val="-7"/>
          <w:sz w:val="22"/>
        </w:rPr>
        <w:t> </w:t>
      </w:r>
      <w:r>
        <w:rPr>
          <w:b/>
          <w:i/>
          <w:spacing w:val="-6"/>
          <w:sz w:val="22"/>
        </w:rPr>
        <w:t>Education</w:t>
      </w:r>
      <w:r>
        <w:rPr>
          <w:b/>
          <w:i/>
          <w:spacing w:val="-8"/>
          <w:sz w:val="22"/>
        </w:rPr>
        <w:t> </w:t>
      </w:r>
      <w:r>
        <w:rPr>
          <w:b/>
          <w:i/>
          <w:spacing w:val="-6"/>
          <w:sz w:val="22"/>
        </w:rPr>
        <w:t>at</w:t>
      </w:r>
      <w:r>
        <w:rPr>
          <w:b/>
          <w:i/>
          <w:spacing w:val="-8"/>
          <w:sz w:val="22"/>
        </w:rPr>
        <w:t> </w:t>
      </w:r>
      <w:r>
        <w:rPr>
          <w:b/>
          <w:i/>
          <w:spacing w:val="-6"/>
          <w:sz w:val="22"/>
        </w:rPr>
        <w:t>NKC,</w:t>
      </w:r>
      <w:r>
        <w:rPr>
          <w:b/>
          <w:i/>
          <w:spacing w:val="-8"/>
          <w:sz w:val="22"/>
        </w:rPr>
        <w:t> </w:t>
      </w:r>
      <w:r>
        <w:rPr>
          <w:b/>
          <w:i/>
          <w:spacing w:val="-6"/>
          <w:sz w:val="22"/>
        </w:rPr>
        <w:t>New </w:t>
      </w:r>
      <w:r>
        <w:rPr>
          <w:b/>
          <w:i/>
          <w:sz w:val="22"/>
        </w:rPr>
        <w:t>Delhi 29th July 2006</w:t>
      </w:r>
    </w:p>
    <w:p>
      <w:pPr>
        <w:pStyle w:val="ListParagraph"/>
        <w:numPr>
          <w:ilvl w:val="0"/>
          <w:numId w:val="85"/>
        </w:numPr>
        <w:tabs>
          <w:tab w:pos="760" w:val="left" w:leader="none"/>
        </w:tabs>
        <w:spacing w:line="240" w:lineRule="auto" w:before="89" w:after="0"/>
        <w:ind w:left="760" w:right="0" w:hanging="359"/>
        <w:jc w:val="both"/>
        <w:rPr>
          <w:sz w:val="22"/>
        </w:rPr>
      </w:pPr>
      <w:r>
        <w:rPr>
          <w:spacing w:val="-2"/>
          <w:sz w:val="22"/>
        </w:rPr>
        <w:t>Prof.</w:t>
      </w:r>
      <w:r>
        <w:rPr>
          <w:spacing w:val="-11"/>
          <w:sz w:val="22"/>
        </w:rPr>
        <w:t> </w:t>
      </w:r>
      <w:r>
        <w:rPr>
          <w:spacing w:val="-2"/>
          <w:sz w:val="22"/>
        </w:rPr>
        <w:t>R.</w:t>
      </w:r>
      <w:r>
        <w:rPr>
          <w:spacing w:val="-11"/>
          <w:sz w:val="22"/>
        </w:rPr>
        <w:t> </w:t>
      </w:r>
      <w:r>
        <w:rPr>
          <w:spacing w:val="-2"/>
          <w:sz w:val="22"/>
        </w:rPr>
        <w:t>Govinda</w:t>
      </w:r>
    </w:p>
    <w:p>
      <w:pPr>
        <w:pStyle w:val="BodyText"/>
        <w:spacing w:line="266" w:lineRule="auto" w:before="27"/>
        <w:ind w:left="761" w:right="1405"/>
        <w:jc w:val="both"/>
      </w:pPr>
      <w:r>
        <w:rPr/>
        <w:t>Head,</w:t>
      </w:r>
      <w:r>
        <w:rPr>
          <w:spacing w:val="-14"/>
        </w:rPr>
        <w:t> </w:t>
      </w:r>
      <w:r>
        <w:rPr/>
        <w:t>School</w:t>
      </w:r>
      <w:r>
        <w:rPr>
          <w:spacing w:val="-14"/>
        </w:rPr>
        <w:t> </w:t>
      </w:r>
      <w:r>
        <w:rPr/>
        <w:t>and</w:t>
      </w:r>
      <w:r>
        <w:rPr>
          <w:spacing w:val="-14"/>
        </w:rPr>
        <w:t> </w:t>
      </w:r>
      <w:r>
        <w:rPr/>
        <w:t>Non-formal</w:t>
      </w:r>
      <w:r>
        <w:rPr>
          <w:spacing w:val="-13"/>
        </w:rPr>
        <w:t> </w:t>
      </w:r>
      <w:r>
        <w:rPr/>
        <w:t>Education</w:t>
      </w:r>
      <w:r>
        <w:rPr>
          <w:spacing w:val="-14"/>
        </w:rPr>
        <w:t> </w:t>
      </w:r>
      <w:r>
        <w:rPr/>
        <w:t>Unit </w:t>
      </w:r>
      <w:r>
        <w:rPr>
          <w:spacing w:val="-2"/>
        </w:rPr>
        <w:t>National</w:t>
      </w:r>
      <w:r>
        <w:rPr>
          <w:spacing w:val="-7"/>
        </w:rPr>
        <w:t> </w:t>
      </w:r>
      <w:r>
        <w:rPr>
          <w:spacing w:val="-2"/>
        </w:rPr>
        <w:t>Institute</w:t>
      </w:r>
      <w:r>
        <w:rPr>
          <w:spacing w:val="-7"/>
        </w:rPr>
        <w:t> </w:t>
      </w:r>
      <w:r>
        <w:rPr>
          <w:spacing w:val="-2"/>
        </w:rPr>
        <w:t>of</w:t>
      </w:r>
      <w:r>
        <w:rPr>
          <w:spacing w:val="-7"/>
        </w:rPr>
        <w:t> </w:t>
      </w:r>
      <w:r>
        <w:rPr>
          <w:spacing w:val="-2"/>
        </w:rPr>
        <w:t>Educational</w:t>
      </w:r>
      <w:r>
        <w:rPr>
          <w:spacing w:val="-7"/>
        </w:rPr>
        <w:t> </w:t>
      </w:r>
      <w:r>
        <w:rPr>
          <w:spacing w:val="-2"/>
        </w:rPr>
        <w:t>Planning</w:t>
      </w:r>
      <w:r>
        <w:rPr>
          <w:spacing w:val="-7"/>
        </w:rPr>
        <w:t> </w:t>
      </w:r>
      <w:r>
        <w:rPr>
          <w:spacing w:val="-2"/>
        </w:rPr>
        <w:t>and </w:t>
      </w:r>
      <w:r>
        <w:rPr/>
        <w:t>Administration (NIEPA)</w:t>
      </w:r>
    </w:p>
    <w:p>
      <w:pPr>
        <w:pStyle w:val="ListParagraph"/>
        <w:numPr>
          <w:ilvl w:val="0"/>
          <w:numId w:val="85"/>
        </w:numPr>
        <w:tabs>
          <w:tab w:pos="760" w:val="left" w:leader="none"/>
        </w:tabs>
        <w:spacing w:line="240" w:lineRule="auto" w:before="87" w:after="0"/>
        <w:ind w:left="760" w:right="0" w:hanging="359"/>
        <w:jc w:val="both"/>
        <w:rPr>
          <w:sz w:val="22"/>
        </w:rPr>
      </w:pPr>
      <w:r>
        <w:rPr>
          <w:spacing w:val="-4"/>
          <w:sz w:val="22"/>
        </w:rPr>
        <w:t>Dr.</w:t>
      </w:r>
      <w:r>
        <w:rPr>
          <w:spacing w:val="-8"/>
          <w:sz w:val="22"/>
        </w:rPr>
        <w:t> </w:t>
      </w:r>
      <w:r>
        <w:rPr>
          <w:spacing w:val="-4"/>
          <w:sz w:val="22"/>
        </w:rPr>
        <w:t>Vimla</w:t>
      </w:r>
      <w:r>
        <w:rPr>
          <w:spacing w:val="-3"/>
          <w:sz w:val="22"/>
        </w:rPr>
        <w:t> </w:t>
      </w:r>
      <w:r>
        <w:rPr>
          <w:spacing w:val="-4"/>
          <w:sz w:val="22"/>
        </w:rPr>
        <w:t>Ramachandran</w:t>
      </w:r>
    </w:p>
    <w:p>
      <w:pPr>
        <w:pStyle w:val="ListParagraph"/>
        <w:numPr>
          <w:ilvl w:val="0"/>
          <w:numId w:val="85"/>
        </w:numPr>
        <w:tabs>
          <w:tab w:pos="760" w:val="left" w:leader="none"/>
        </w:tabs>
        <w:spacing w:line="240" w:lineRule="auto" w:before="117" w:after="0"/>
        <w:ind w:left="760" w:right="0" w:hanging="359"/>
        <w:jc w:val="both"/>
        <w:rPr>
          <w:sz w:val="22"/>
        </w:rPr>
      </w:pPr>
      <w:r>
        <w:rPr>
          <w:spacing w:val="-2"/>
          <w:sz w:val="22"/>
        </w:rPr>
        <w:t>Mr.</w:t>
      </w:r>
      <w:r>
        <w:rPr>
          <w:spacing w:val="-11"/>
          <w:sz w:val="22"/>
        </w:rPr>
        <w:t> </w:t>
      </w:r>
      <w:r>
        <w:rPr>
          <w:spacing w:val="-2"/>
          <w:sz w:val="22"/>
        </w:rPr>
        <w:t>Vinod</w:t>
      </w:r>
      <w:r>
        <w:rPr>
          <w:spacing w:val="-7"/>
          <w:sz w:val="22"/>
        </w:rPr>
        <w:t> </w:t>
      </w:r>
      <w:r>
        <w:rPr>
          <w:spacing w:val="-4"/>
          <w:sz w:val="22"/>
        </w:rPr>
        <w:t>Raina</w:t>
      </w:r>
    </w:p>
    <w:p>
      <w:pPr>
        <w:pStyle w:val="BodyText"/>
        <w:spacing w:before="27"/>
        <w:ind w:left="761"/>
        <w:jc w:val="both"/>
      </w:pPr>
      <w:r>
        <w:rPr>
          <w:spacing w:val="-6"/>
        </w:rPr>
        <w:t>Hoshangabad</w:t>
      </w:r>
      <w:r>
        <w:rPr>
          <w:spacing w:val="1"/>
        </w:rPr>
        <w:t> </w:t>
      </w:r>
      <w:r>
        <w:rPr>
          <w:spacing w:val="-6"/>
        </w:rPr>
        <w:t>Science</w:t>
      </w:r>
      <w:r>
        <w:rPr>
          <w:spacing w:val="-8"/>
        </w:rPr>
        <w:t> </w:t>
      </w:r>
      <w:r>
        <w:rPr>
          <w:spacing w:val="-6"/>
        </w:rPr>
        <w:t>Teaching</w:t>
      </w:r>
      <w:r>
        <w:rPr>
          <w:spacing w:val="2"/>
        </w:rPr>
        <w:t> </w:t>
      </w:r>
      <w:r>
        <w:rPr>
          <w:spacing w:val="-6"/>
        </w:rPr>
        <w:t>Program</w:t>
      </w:r>
    </w:p>
    <w:p>
      <w:pPr>
        <w:pStyle w:val="ListParagraph"/>
        <w:numPr>
          <w:ilvl w:val="0"/>
          <w:numId w:val="85"/>
        </w:numPr>
        <w:tabs>
          <w:tab w:pos="760" w:val="left" w:leader="none"/>
        </w:tabs>
        <w:spacing w:line="240" w:lineRule="auto" w:before="117" w:after="0"/>
        <w:ind w:left="760" w:right="0" w:hanging="359"/>
        <w:jc w:val="both"/>
        <w:rPr>
          <w:sz w:val="22"/>
        </w:rPr>
      </w:pPr>
      <w:r>
        <w:rPr>
          <w:sz w:val="22"/>
        </w:rPr>
        <w:t>Parth</w:t>
      </w:r>
      <w:r>
        <w:rPr>
          <w:spacing w:val="-14"/>
          <w:sz w:val="22"/>
        </w:rPr>
        <w:t> </w:t>
      </w:r>
      <w:r>
        <w:rPr>
          <w:spacing w:val="-4"/>
          <w:sz w:val="22"/>
        </w:rPr>
        <w:t>Shah</w:t>
      </w:r>
    </w:p>
    <w:p>
      <w:pPr>
        <w:pStyle w:val="BodyText"/>
        <w:spacing w:before="28"/>
        <w:ind w:left="761"/>
        <w:jc w:val="both"/>
      </w:pPr>
      <w:r>
        <w:rPr>
          <w:spacing w:val="-2"/>
        </w:rPr>
        <w:t>Centre</w:t>
      </w:r>
      <w:r>
        <w:rPr>
          <w:spacing w:val="-7"/>
        </w:rPr>
        <w:t> </w:t>
      </w:r>
      <w:r>
        <w:rPr>
          <w:spacing w:val="-2"/>
        </w:rPr>
        <w:t>for</w:t>
      </w:r>
      <w:r>
        <w:rPr>
          <w:spacing w:val="-7"/>
        </w:rPr>
        <w:t> </w:t>
      </w:r>
      <w:r>
        <w:rPr>
          <w:spacing w:val="-2"/>
        </w:rPr>
        <w:t>Civil</w:t>
      </w:r>
      <w:r>
        <w:rPr>
          <w:spacing w:val="-7"/>
        </w:rPr>
        <w:t> </w:t>
      </w:r>
      <w:r>
        <w:rPr>
          <w:spacing w:val="-2"/>
        </w:rPr>
        <w:t>Society</w:t>
      </w:r>
    </w:p>
    <w:p>
      <w:pPr>
        <w:pStyle w:val="ListParagraph"/>
        <w:numPr>
          <w:ilvl w:val="0"/>
          <w:numId w:val="85"/>
        </w:numPr>
        <w:tabs>
          <w:tab w:pos="760" w:val="left" w:leader="none"/>
        </w:tabs>
        <w:spacing w:line="240" w:lineRule="auto" w:before="117" w:after="0"/>
        <w:ind w:left="760" w:right="0" w:hanging="359"/>
        <w:jc w:val="both"/>
        <w:rPr>
          <w:sz w:val="22"/>
        </w:rPr>
      </w:pPr>
      <w:r>
        <w:rPr>
          <w:sz w:val="22"/>
        </w:rPr>
        <w:t>Dr.</w:t>
      </w:r>
      <w:r>
        <w:rPr>
          <w:spacing w:val="-4"/>
          <w:sz w:val="22"/>
        </w:rPr>
        <w:t> </w:t>
      </w:r>
      <w:r>
        <w:rPr>
          <w:sz w:val="22"/>
        </w:rPr>
        <w:t>Madan</w:t>
      </w:r>
      <w:r>
        <w:rPr>
          <w:spacing w:val="-4"/>
          <w:sz w:val="22"/>
        </w:rPr>
        <w:t> </w:t>
      </w:r>
      <w:r>
        <w:rPr>
          <w:sz w:val="22"/>
        </w:rPr>
        <w:t>M.</w:t>
      </w:r>
      <w:r>
        <w:rPr>
          <w:spacing w:val="-4"/>
          <w:sz w:val="22"/>
        </w:rPr>
        <w:t> </w:t>
      </w:r>
      <w:r>
        <w:rPr>
          <w:spacing w:val="-5"/>
          <w:sz w:val="22"/>
        </w:rPr>
        <w:t>Jha</w:t>
      </w:r>
    </w:p>
    <w:p>
      <w:pPr>
        <w:pStyle w:val="BodyText"/>
        <w:spacing w:line="266" w:lineRule="auto" w:before="27"/>
        <w:ind w:left="761" w:right="2232"/>
        <w:jc w:val="both"/>
      </w:pPr>
      <w:r>
        <w:rPr>
          <w:spacing w:val="-4"/>
        </w:rPr>
        <w:t>Secretary,</w:t>
      </w:r>
      <w:r>
        <w:rPr>
          <w:spacing w:val="-8"/>
        </w:rPr>
        <w:t> </w:t>
      </w:r>
      <w:r>
        <w:rPr>
          <w:spacing w:val="-4"/>
        </w:rPr>
        <w:t>Deptt.</w:t>
      </w:r>
      <w:r>
        <w:rPr>
          <w:spacing w:val="-8"/>
        </w:rPr>
        <w:t> </w:t>
      </w:r>
      <w:r>
        <w:rPr>
          <w:spacing w:val="-4"/>
        </w:rPr>
        <w:t>of</w:t>
      </w:r>
      <w:r>
        <w:rPr>
          <w:spacing w:val="-8"/>
        </w:rPr>
        <w:t> </w:t>
      </w:r>
      <w:r>
        <w:rPr>
          <w:spacing w:val="-4"/>
        </w:rPr>
        <w:t>Human</w:t>
      </w:r>
      <w:r>
        <w:rPr>
          <w:spacing w:val="-8"/>
        </w:rPr>
        <w:t> </w:t>
      </w:r>
      <w:r>
        <w:rPr>
          <w:spacing w:val="-4"/>
        </w:rPr>
        <w:t>Resource </w:t>
      </w:r>
      <w:r>
        <w:rPr>
          <w:spacing w:val="-2"/>
        </w:rPr>
        <w:t>Development</w:t>
      </w:r>
    </w:p>
    <w:p>
      <w:pPr>
        <w:pStyle w:val="ListParagraph"/>
        <w:numPr>
          <w:ilvl w:val="0"/>
          <w:numId w:val="85"/>
        </w:numPr>
        <w:tabs>
          <w:tab w:pos="760" w:val="left" w:leader="none"/>
        </w:tabs>
        <w:spacing w:line="240" w:lineRule="auto" w:before="88" w:after="0"/>
        <w:ind w:left="760" w:right="0" w:hanging="359"/>
        <w:jc w:val="both"/>
        <w:rPr>
          <w:sz w:val="22"/>
        </w:rPr>
      </w:pPr>
      <w:r>
        <w:rPr>
          <w:spacing w:val="-8"/>
          <w:sz w:val="22"/>
        </w:rPr>
        <w:t>Dr.</w:t>
      </w:r>
      <w:r>
        <w:rPr>
          <w:spacing w:val="-3"/>
          <w:sz w:val="22"/>
        </w:rPr>
        <w:t> </w:t>
      </w:r>
      <w:r>
        <w:rPr>
          <w:spacing w:val="-8"/>
          <w:sz w:val="22"/>
        </w:rPr>
        <w:t>Vasanthi</w:t>
      </w:r>
      <w:r>
        <w:rPr>
          <w:spacing w:val="-2"/>
          <w:sz w:val="22"/>
        </w:rPr>
        <w:t> </w:t>
      </w:r>
      <w:r>
        <w:rPr>
          <w:spacing w:val="-8"/>
          <w:sz w:val="22"/>
        </w:rPr>
        <w:t>V.</w:t>
      </w:r>
      <w:r>
        <w:rPr>
          <w:spacing w:val="1"/>
          <w:sz w:val="22"/>
        </w:rPr>
        <w:t> </w:t>
      </w:r>
      <w:r>
        <w:rPr>
          <w:spacing w:val="-8"/>
          <w:sz w:val="22"/>
        </w:rPr>
        <w:t>Devi</w:t>
      </w:r>
    </w:p>
    <w:p>
      <w:pPr>
        <w:pStyle w:val="BodyText"/>
        <w:spacing w:line="266" w:lineRule="auto" w:before="27"/>
        <w:ind w:left="761" w:right="3001"/>
        <w:jc w:val="both"/>
      </w:pPr>
      <w:r>
        <w:rPr>
          <w:spacing w:val="-6"/>
        </w:rPr>
        <w:t>Kalvi</w:t>
      </w:r>
      <w:r>
        <w:rPr>
          <w:spacing w:val="-8"/>
        </w:rPr>
        <w:t> </w:t>
      </w:r>
      <w:r>
        <w:rPr>
          <w:spacing w:val="-6"/>
        </w:rPr>
        <w:t>Alliance</w:t>
      </w:r>
      <w:r>
        <w:rPr>
          <w:spacing w:val="-7"/>
        </w:rPr>
        <w:t> </w:t>
      </w:r>
      <w:r>
        <w:rPr>
          <w:spacing w:val="-6"/>
        </w:rPr>
        <w:t>for</w:t>
      </w:r>
      <w:r>
        <w:rPr>
          <w:spacing w:val="-8"/>
        </w:rPr>
        <w:t> </w:t>
      </w:r>
      <w:r>
        <w:rPr>
          <w:spacing w:val="-6"/>
        </w:rPr>
        <w:t>Education </w:t>
      </w:r>
      <w:r>
        <w:rPr/>
        <w:t>Tamil Nadu</w:t>
      </w:r>
    </w:p>
    <w:p>
      <w:pPr>
        <w:pStyle w:val="ListParagraph"/>
        <w:numPr>
          <w:ilvl w:val="0"/>
          <w:numId w:val="85"/>
        </w:numPr>
        <w:tabs>
          <w:tab w:pos="761" w:val="left" w:leader="none"/>
        </w:tabs>
        <w:spacing w:line="266" w:lineRule="auto" w:before="88" w:after="0"/>
        <w:ind w:left="761" w:right="2881" w:hanging="360"/>
        <w:jc w:val="left"/>
        <w:rPr>
          <w:sz w:val="22"/>
        </w:rPr>
      </w:pPr>
      <w:r>
        <w:rPr>
          <w:sz w:val="22"/>
        </w:rPr>
        <w:t>Dr. V.P. Niranjanaradhya Senior Research Officer Centre</w:t>
      </w:r>
      <w:r>
        <w:rPr>
          <w:spacing w:val="-14"/>
          <w:sz w:val="22"/>
        </w:rPr>
        <w:t> </w:t>
      </w:r>
      <w:r>
        <w:rPr>
          <w:sz w:val="22"/>
        </w:rPr>
        <w:t>for</w:t>
      </w:r>
      <w:r>
        <w:rPr>
          <w:spacing w:val="-14"/>
          <w:sz w:val="22"/>
        </w:rPr>
        <w:t> </w:t>
      </w:r>
      <w:r>
        <w:rPr>
          <w:sz w:val="22"/>
        </w:rPr>
        <w:t>Child</w:t>
      </w:r>
      <w:r>
        <w:rPr>
          <w:spacing w:val="-14"/>
          <w:sz w:val="22"/>
        </w:rPr>
        <w:t> </w:t>
      </w:r>
      <w:r>
        <w:rPr>
          <w:sz w:val="22"/>
        </w:rPr>
        <w:t>and</w:t>
      </w:r>
      <w:r>
        <w:rPr>
          <w:spacing w:val="-13"/>
          <w:sz w:val="22"/>
        </w:rPr>
        <w:t> </w:t>
      </w:r>
      <w:r>
        <w:rPr>
          <w:sz w:val="22"/>
        </w:rPr>
        <w:t>the</w:t>
      </w:r>
      <w:r>
        <w:rPr>
          <w:spacing w:val="-14"/>
          <w:sz w:val="22"/>
        </w:rPr>
        <w:t> </w:t>
      </w:r>
      <w:r>
        <w:rPr>
          <w:sz w:val="22"/>
        </w:rPr>
        <w:t>Law</w:t>
      </w:r>
    </w:p>
    <w:p>
      <w:pPr>
        <w:pStyle w:val="BodyText"/>
        <w:spacing w:line="251" w:lineRule="exact"/>
        <w:ind w:left="761"/>
      </w:pPr>
      <w:r>
        <w:rPr>
          <w:spacing w:val="-4"/>
        </w:rPr>
        <w:t>National Law</w:t>
      </w:r>
      <w:r>
        <w:rPr>
          <w:spacing w:val="-3"/>
        </w:rPr>
        <w:t> </w:t>
      </w:r>
      <w:r>
        <w:rPr>
          <w:spacing w:val="-4"/>
        </w:rPr>
        <w:t>School of</w:t>
      </w:r>
      <w:r>
        <w:rPr>
          <w:spacing w:val="-3"/>
        </w:rPr>
        <w:t> </w:t>
      </w:r>
      <w:r>
        <w:rPr>
          <w:spacing w:val="-4"/>
        </w:rPr>
        <w:t>India</w:t>
      </w:r>
      <w:r>
        <w:rPr>
          <w:spacing w:val="-3"/>
        </w:rPr>
        <w:t> </w:t>
      </w:r>
      <w:r>
        <w:rPr>
          <w:spacing w:val="-4"/>
        </w:rPr>
        <w:t>University</w:t>
      </w:r>
    </w:p>
    <w:p>
      <w:pPr>
        <w:pStyle w:val="ListParagraph"/>
        <w:numPr>
          <w:ilvl w:val="0"/>
          <w:numId w:val="85"/>
        </w:numPr>
        <w:tabs>
          <w:tab w:pos="760" w:val="left" w:leader="none"/>
        </w:tabs>
        <w:spacing w:line="240" w:lineRule="auto" w:before="117" w:after="0"/>
        <w:ind w:left="760" w:right="0" w:hanging="359"/>
        <w:jc w:val="left"/>
        <w:rPr>
          <w:sz w:val="22"/>
        </w:rPr>
      </w:pPr>
      <w:r>
        <w:rPr>
          <w:sz w:val="22"/>
        </w:rPr>
        <w:t>Ms.</w:t>
      </w:r>
      <w:r>
        <w:rPr>
          <w:spacing w:val="-7"/>
          <w:sz w:val="22"/>
        </w:rPr>
        <w:t> </w:t>
      </w:r>
      <w:r>
        <w:rPr>
          <w:sz w:val="22"/>
        </w:rPr>
        <w:t>Madhu</w:t>
      </w:r>
      <w:r>
        <w:rPr>
          <w:spacing w:val="-7"/>
          <w:sz w:val="22"/>
        </w:rPr>
        <w:t> </w:t>
      </w:r>
      <w:r>
        <w:rPr>
          <w:spacing w:val="-2"/>
          <w:sz w:val="22"/>
        </w:rPr>
        <w:t>Prasad</w:t>
      </w:r>
    </w:p>
    <w:p>
      <w:pPr>
        <w:pStyle w:val="BodyText"/>
        <w:spacing w:line="266" w:lineRule="auto" w:before="27"/>
        <w:ind w:left="761" w:right="2624"/>
      </w:pPr>
      <w:r>
        <w:rPr>
          <w:spacing w:val="-4"/>
        </w:rPr>
        <w:t>Reader,</w:t>
      </w:r>
      <w:r>
        <w:rPr>
          <w:spacing w:val="-7"/>
        </w:rPr>
        <w:t> </w:t>
      </w:r>
      <w:r>
        <w:rPr>
          <w:spacing w:val="-4"/>
        </w:rPr>
        <w:t>Deptt.</w:t>
      </w:r>
      <w:r>
        <w:rPr>
          <w:spacing w:val="-7"/>
        </w:rPr>
        <w:t> </w:t>
      </w:r>
      <w:r>
        <w:rPr>
          <w:spacing w:val="-4"/>
        </w:rPr>
        <w:t>of</w:t>
      </w:r>
      <w:r>
        <w:rPr>
          <w:spacing w:val="-7"/>
        </w:rPr>
        <w:t> </w:t>
      </w:r>
      <w:r>
        <w:rPr>
          <w:spacing w:val="-4"/>
        </w:rPr>
        <w:t>Philosophy </w:t>
      </w:r>
      <w:r>
        <w:rPr/>
        <w:t>Zakir Husain College</w:t>
      </w:r>
    </w:p>
    <w:p>
      <w:pPr>
        <w:pStyle w:val="BodyText"/>
        <w:spacing w:line="251" w:lineRule="exact"/>
        <w:ind w:left="761"/>
      </w:pPr>
      <w:r>
        <w:rPr/>
        <w:t>Delhi</w:t>
      </w:r>
      <w:r>
        <w:rPr>
          <w:spacing w:val="-10"/>
        </w:rPr>
        <w:t> </w:t>
      </w:r>
      <w:r>
        <w:rPr>
          <w:spacing w:val="-2"/>
        </w:rPr>
        <w:t>University</w:t>
      </w:r>
    </w:p>
    <w:p>
      <w:pPr>
        <w:pStyle w:val="ListParagraph"/>
        <w:numPr>
          <w:ilvl w:val="0"/>
          <w:numId w:val="85"/>
        </w:numPr>
        <w:tabs>
          <w:tab w:pos="760" w:val="left" w:leader="none"/>
        </w:tabs>
        <w:spacing w:line="240" w:lineRule="auto" w:before="117" w:after="0"/>
        <w:ind w:left="760" w:right="0" w:hanging="359"/>
        <w:jc w:val="left"/>
        <w:rPr>
          <w:sz w:val="22"/>
        </w:rPr>
      </w:pPr>
      <w:r>
        <w:rPr>
          <w:spacing w:val="-6"/>
          <w:sz w:val="22"/>
        </w:rPr>
        <w:t>Ambarish</w:t>
      </w:r>
      <w:r>
        <w:rPr>
          <w:spacing w:val="-5"/>
          <w:sz w:val="22"/>
        </w:rPr>
        <w:t> Rai</w:t>
      </w:r>
    </w:p>
    <w:p>
      <w:pPr>
        <w:pStyle w:val="BodyText"/>
        <w:spacing w:line="266" w:lineRule="auto" w:before="27"/>
        <w:ind w:left="761" w:right="2624"/>
      </w:pPr>
      <w:r>
        <w:rPr>
          <w:spacing w:val="-4"/>
        </w:rPr>
        <w:t>People’s</w:t>
      </w:r>
      <w:r>
        <w:rPr>
          <w:spacing w:val="-10"/>
        </w:rPr>
        <w:t> </w:t>
      </w:r>
      <w:r>
        <w:rPr>
          <w:spacing w:val="-4"/>
        </w:rPr>
        <w:t>Campaign</w:t>
      </w:r>
      <w:r>
        <w:rPr>
          <w:spacing w:val="-10"/>
        </w:rPr>
        <w:t> </w:t>
      </w:r>
      <w:r>
        <w:rPr>
          <w:spacing w:val="-4"/>
        </w:rPr>
        <w:t>for</w:t>
      </w:r>
      <w:r>
        <w:rPr>
          <w:spacing w:val="-10"/>
        </w:rPr>
        <w:t> </w:t>
      </w:r>
      <w:r>
        <w:rPr>
          <w:spacing w:val="-4"/>
        </w:rPr>
        <w:t>Common </w:t>
      </w:r>
      <w:r>
        <w:rPr/>
        <w:t>School System</w:t>
      </w:r>
    </w:p>
    <w:p>
      <w:pPr>
        <w:pStyle w:val="ListParagraph"/>
        <w:numPr>
          <w:ilvl w:val="0"/>
          <w:numId w:val="85"/>
        </w:numPr>
        <w:tabs>
          <w:tab w:pos="761" w:val="left" w:leader="none"/>
        </w:tabs>
        <w:spacing w:line="266" w:lineRule="auto" w:before="89" w:after="0"/>
        <w:ind w:left="761" w:right="3954" w:hanging="360"/>
        <w:jc w:val="left"/>
        <w:rPr>
          <w:sz w:val="22"/>
        </w:rPr>
      </w:pPr>
      <w:r>
        <w:rPr>
          <w:sz w:val="22"/>
        </w:rPr>
        <w:t>Dinesh Abrol </w:t>
      </w:r>
      <w:r>
        <w:rPr>
          <w:spacing w:val="-4"/>
          <w:sz w:val="22"/>
        </w:rPr>
        <w:t>NISTADS,</w:t>
      </w:r>
      <w:r>
        <w:rPr>
          <w:spacing w:val="-10"/>
          <w:sz w:val="22"/>
        </w:rPr>
        <w:t> </w:t>
      </w:r>
      <w:r>
        <w:rPr>
          <w:spacing w:val="-4"/>
          <w:sz w:val="22"/>
        </w:rPr>
        <w:t>India</w:t>
      </w:r>
    </w:p>
    <w:p>
      <w:pPr>
        <w:pStyle w:val="ListParagraph"/>
        <w:numPr>
          <w:ilvl w:val="0"/>
          <w:numId w:val="85"/>
        </w:numPr>
        <w:tabs>
          <w:tab w:pos="760" w:val="left" w:leader="none"/>
        </w:tabs>
        <w:spacing w:line="240" w:lineRule="auto" w:before="88" w:after="0"/>
        <w:ind w:left="760" w:right="0" w:hanging="359"/>
        <w:jc w:val="left"/>
        <w:rPr>
          <w:sz w:val="22"/>
        </w:rPr>
      </w:pPr>
      <w:r>
        <w:rPr>
          <w:spacing w:val="-5"/>
          <w:sz w:val="22"/>
        </w:rPr>
        <w:t>Subhash</w:t>
      </w:r>
      <w:r>
        <w:rPr>
          <w:spacing w:val="-6"/>
          <w:sz w:val="22"/>
        </w:rPr>
        <w:t> </w:t>
      </w:r>
      <w:r>
        <w:rPr>
          <w:spacing w:val="-2"/>
          <w:sz w:val="22"/>
        </w:rPr>
        <w:t>Kuntia</w:t>
      </w:r>
    </w:p>
    <w:p>
      <w:pPr>
        <w:pStyle w:val="BodyText"/>
        <w:spacing w:line="266" w:lineRule="auto" w:before="27"/>
        <w:ind w:left="761" w:right="1600"/>
      </w:pPr>
      <w:r>
        <w:rPr>
          <w:spacing w:val="-4"/>
        </w:rPr>
        <w:t>Joint</w:t>
      </w:r>
      <w:r>
        <w:rPr>
          <w:spacing w:val="-8"/>
        </w:rPr>
        <w:t> </w:t>
      </w:r>
      <w:r>
        <w:rPr>
          <w:spacing w:val="-4"/>
        </w:rPr>
        <w:t>Secretary,</w:t>
      </w:r>
      <w:r>
        <w:rPr>
          <w:spacing w:val="-8"/>
        </w:rPr>
        <w:t> </w:t>
      </w:r>
      <w:r>
        <w:rPr>
          <w:spacing w:val="-4"/>
        </w:rPr>
        <w:t>Dept</w:t>
      </w:r>
      <w:r>
        <w:rPr>
          <w:spacing w:val="-8"/>
        </w:rPr>
        <w:t> </w:t>
      </w:r>
      <w:r>
        <w:rPr>
          <w:spacing w:val="-4"/>
        </w:rPr>
        <w:t>of</w:t>
      </w:r>
      <w:r>
        <w:rPr>
          <w:spacing w:val="-8"/>
        </w:rPr>
        <w:t> </w:t>
      </w:r>
      <w:r>
        <w:rPr>
          <w:spacing w:val="-4"/>
        </w:rPr>
        <w:t>School</w:t>
      </w:r>
      <w:r>
        <w:rPr>
          <w:spacing w:val="-8"/>
        </w:rPr>
        <w:t> </w:t>
      </w:r>
      <w:r>
        <w:rPr>
          <w:spacing w:val="-4"/>
        </w:rPr>
        <w:t>Education </w:t>
      </w:r>
      <w:r>
        <w:rPr/>
        <w:t>and Literacy</w:t>
      </w:r>
    </w:p>
    <w:p>
      <w:pPr>
        <w:pStyle w:val="BodyText"/>
        <w:spacing w:line="251" w:lineRule="exact"/>
        <w:ind w:left="761"/>
      </w:pPr>
      <w:r>
        <w:rPr>
          <w:spacing w:val="-4"/>
          <w:w w:val="105"/>
        </w:rPr>
        <w:t>MHRD</w:t>
      </w:r>
    </w:p>
    <w:p>
      <w:pPr>
        <w:pStyle w:val="ListParagraph"/>
        <w:numPr>
          <w:ilvl w:val="0"/>
          <w:numId w:val="85"/>
        </w:numPr>
        <w:tabs>
          <w:tab w:pos="761" w:val="left" w:leader="none"/>
        </w:tabs>
        <w:spacing w:line="266" w:lineRule="auto" w:before="117" w:after="0"/>
        <w:ind w:left="761" w:right="3584" w:hanging="360"/>
        <w:jc w:val="left"/>
        <w:rPr>
          <w:sz w:val="22"/>
        </w:rPr>
      </w:pPr>
      <w:r>
        <w:rPr>
          <w:sz w:val="22"/>
        </w:rPr>
        <w:t>Champak Chaterjee </w:t>
      </w:r>
      <w:r>
        <w:rPr>
          <w:spacing w:val="-2"/>
          <w:sz w:val="22"/>
        </w:rPr>
        <w:t>JT</w:t>
      </w:r>
      <w:r>
        <w:rPr>
          <w:spacing w:val="-12"/>
          <w:sz w:val="22"/>
        </w:rPr>
        <w:t> </w:t>
      </w:r>
      <w:r>
        <w:rPr>
          <w:spacing w:val="-2"/>
          <w:sz w:val="22"/>
        </w:rPr>
        <w:t>Secretary,</w:t>
      </w:r>
      <w:r>
        <w:rPr>
          <w:spacing w:val="-12"/>
          <w:sz w:val="22"/>
        </w:rPr>
        <w:t> </w:t>
      </w:r>
      <w:r>
        <w:rPr>
          <w:spacing w:val="-2"/>
          <w:sz w:val="22"/>
        </w:rPr>
        <w:t>MHRD</w:t>
      </w:r>
    </w:p>
    <w:p>
      <w:pPr>
        <w:pStyle w:val="ListParagraph"/>
        <w:numPr>
          <w:ilvl w:val="0"/>
          <w:numId w:val="85"/>
        </w:numPr>
        <w:tabs>
          <w:tab w:pos="761" w:val="left" w:leader="none"/>
        </w:tabs>
        <w:spacing w:line="266" w:lineRule="auto" w:before="89" w:after="0"/>
        <w:ind w:left="761" w:right="3103" w:hanging="360"/>
        <w:jc w:val="left"/>
        <w:rPr>
          <w:sz w:val="22"/>
        </w:rPr>
      </w:pPr>
      <w:r>
        <w:rPr>
          <w:sz w:val="22"/>
        </w:rPr>
        <w:t>Manju Bharatram </w:t>
      </w:r>
      <w:r>
        <w:rPr>
          <w:spacing w:val="-4"/>
          <w:sz w:val="22"/>
        </w:rPr>
        <w:t>Principal,</w:t>
      </w:r>
      <w:r>
        <w:rPr>
          <w:spacing w:val="-2"/>
          <w:sz w:val="22"/>
        </w:rPr>
        <w:t> </w:t>
      </w:r>
      <w:r>
        <w:rPr>
          <w:spacing w:val="-4"/>
          <w:sz w:val="22"/>
        </w:rPr>
        <w:t>Shri</w:t>
      </w:r>
      <w:r>
        <w:rPr>
          <w:spacing w:val="-1"/>
          <w:sz w:val="22"/>
        </w:rPr>
        <w:t> </w:t>
      </w:r>
      <w:r>
        <w:rPr>
          <w:spacing w:val="-4"/>
          <w:sz w:val="22"/>
        </w:rPr>
        <w:t>Ram</w:t>
      </w:r>
      <w:r>
        <w:rPr>
          <w:spacing w:val="-2"/>
          <w:sz w:val="22"/>
        </w:rPr>
        <w:t> </w:t>
      </w:r>
      <w:r>
        <w:rPr>
          <w:spacing w:val="-7"/>
          <w:sz w:val="22"/>
        </w:rPr>
        <w:t>School</w:t>
      </w:r>
    </w:p>
    <w:p>
      <w:pPr>
        <w:pStyle w:val="ListParagraph"/>
        <w:numPr>
          <w:ilvl w:val="0"/>
          <w:numId w:val="85"/>
        </w:numPr>
        <w:tabs>
          <w:tab w:pos="760" w:val="left" w:leader="none"/>
        </w:tabs>
        <w:spacing w:line="240" w:lineRule="auto" w:before="88" w:after="0"/>
        <w:ind w:left="760" w:right="0" w:hanging="359"/>
        <w:jc w:val="left"/>
        <w:rPr>
          <w:sz w:val="22"/>
        </w:rPr>
      </w:pPr>
      <w:r>
        <w:rPr>
          <w:spacing w:val="-4"/>
          <w:sz w:val="22"/>
        </w:rPr>
        <w:t>Anita</w:t>
      </w:r>
      <w:r>
        <w:rPr>
          <w:spacing w:val="-5"/>
          <w:sz w:val="22"/>
        </w:rPr>
        <w:t> </w:t>
      </w:r>
      <w:r>
        <w:rPr>
          <w:spacing w:val="-2"/>
          <w:sz w:val="22"/>
        </w:rPr>
        <w:t>Rampal</w:t>
      </w:r>
    </w:p>
    <w:p>
      <w:pPr>
        <w:pStyle w:val="BodyText"/>
        <w:spacing w:before="27"/>
        <w:ind w:left="761"/>
      </w:pPr>
      <w:r>
        <w:rPr/>
        <w:t>Department</w:t>
      </w:r>
      <w:r>
        <w:rPr>
          <w:spacing w:val="-13"/>
        </w:rPr>
        <w:t> </w:t>
      </w:r>
      <w:r>
        <w:rPr/>
        <w:t>of</w:t>
      </w:r>
      <w:r>
        <w:rPr>
          <w:spacing w:val="-12"/>
        </w:rPr>
        <w:t> </w:t>
      </w:r>
      <w:r>
        <w:rPr/>
        <w:t>Education,</w:t>
      </w:r>
      <w:r>
        <w:rPr>
          <w:spacing w:val="-12"/>
        </w:rPr>
        <w:t> </w:t>
      </w:r>
      <w:r>
        <w:rPr/>
        <w:t>Delhi</w:t>
      </w:r>
      <w:r>
        <w:rPr>
          <w:spacing w:val="-13"/>
        </w:rPr>
        <w:t> </w:t>
      </w:r>
      <w:r>
        <w:rPr>
          <w:spacing w:val="-2"/>
        </w:rPr>
        <w:t>University</w:t>
      </w:r>
    </w:p>
    <w:p>
      <w:pPr>
        <w:pStyle w:val="ListParagraph"/>
        <w:numPr>
          <w:ilvl w:val="0"/>
          <w:numId w:val="85"/>
        </w:numPr>
        <w:tabs>
          <w:tab w:pos="760" w:val="left" w:leader="none"/>
        </w:tabs>
        <w:spacing w:line="240" w:lineRule="auto" w:before="117" w:after="0"/>
        <w:ind w:left="760" w:right="0" w:hanging="359"/>
        <w:jc w:val="left"/>
        <w:rPr>
          <w:sz w:val="22"/>
        </w:rPr>
      </w:pPr>
      <w:r>
        <w:rPr>
          <w:spacing w:val="-6"/>
          <w:sz w:val="22"/>
        </w:rPr>
        <w:t>Vrinda</w:t>
      </w:r>
      <w:r>
        <w:rPr>
          <w:spacing w:val="-3"/>
          <w:sz w:val="22"/>
        </w:rPr>
        <w:t> </w:t>
      </w:r>
      <w:r>
        <w:rPr>
          <w:spacing w:val="-2"/>
          <w:sz w:val="22"/>
        </w:rPr>
        <w:t>Swaroop</w:t>
      </w:r>
    </w:p>
    <w:p>
      <w:pPr>
        <w:pStyle w:val="BodyText"/>
        <w:spacing w:before="27"/>
        <w:ind w:left="761"/>
      </w:pPr>
      <w:r>
        <w:rPr>
          <w:spacing w:val="-6"/>
        </w:rPr>
        <w:t>Joint</w:t>
      </w:r>
      <w:r>
        <w:rPr>
          <w:spacing w:val="-3"/>
        </w:rPr>
        <w:t> </w:t>
      </w:r>
      <w:r>
        <w:rPr>
          <w:spacing w:val="-6"/>
        </w:rPr>
        <w:t>secretary,</w:t>
      </w:r>
      <w:r>
        <w:rPr>
          <w:spacing w:val="-3"/>
        </w:rPr>
        <w:t> </w:t>
      </w:r>
      <w:r>
        <w:rPr>
          <w:spacing w:val="-6"/>
        </w:rPr>
        <w:t>MHRD</w:t>
      </w:r>
    </w:p>
    <w:p>
      <w:pPr>
        <w:spacing w:after="0"/>
        <w:sectPr>
          <w:pgSz w:w="11910" w:h="16840"/>
          <w:pgMar w:header="0" w:footer="675" w:top="940" w:bottom="860" w:left="0" w:right="0"/>
          <w:cols w:num="2" w:equalWidth="0">
            <w:col w:w="5692" w:space="40"/>
            <w:col w:w="6178"/>
          </w:cols>
        </w:sectPr>
      </w:pPr>
    </w:p>
    <w:p>
      <w:pPr>
        <w:spacing w:line="266" w:lineRule="auto" w:before="74"/>
        <w:ind w:left="1080" w:right="137" w:firstLine="0"/>
        <w:jc w:val="left"/>
        <w:rPr>
          <w:b/>
          <w:i/>
          <w:sz w:val="22"/>
        </w:rPr>
      </w:pPr>
      <w:r>
        <w:rPr>
          <w:b/>
          <w:i/>
          <w:spacing w:val="-6"/>
          <w:sz w:val="22"/>
        </w:rPr>
        <w:t>National</w:t>
      </w:r>
      <w:r>
        <w:rPr>
          <w:b/>
          <w:i/>
          <w:spacing w:val="-8"/>
          <w:sz w:val="22"/>
        </w:rPr>
        <w:t> </w:t>
      </w:r>
      <w:r>
        <w:rPr>
          <w:b/>
          <w:i/>
          <w:spacing w:val="-6"/>
          <w:sz w:val="22"/>
        </w:rPr>
        <w:t>Seminar</w:t>
      </w:r>
      <w:r>
        <w:rPr>
          <w:b/>
          <w:i/>
          <w:spacing w:val="-8"/>
          <w:sz w:val="22"/>
        </w:rPr>
        <w:t> </w:t>
      </w:r>
      <w:r>
        <w:rPr>
          <w:b/>
          <w:i/>
          <w:spacing w:val="-6"/>
          <w:sz w:val="22"/>
        </w:rPr>
        <w:t>on</w:t>
      </w:r>
      <w:r>
        <w:rPr>
          <w:b/>
          <w:i/>
          <w:spacing w:val="-8"/>
          <w:sz w:val="22"/>
        </w:rPr>
        <w:t> </w:t>
      </w:r>
      <w:r>
        <w:rPr>
          <w:b/>
          <w:i/>
          <w:spacing w:val="-6"/>
          <w:sz w:val="22"/>
        </w:rPr>
        <w:t>School</w:t>
      </w:r>
      <w:r>
        <w:rPr>
          <w:b/>
          <w:i/>
          <w:spacing w:val="-7"/>
          <w:sz w:val="22"/>
        </w:rPr>
        <w:t> </w:t>
      </w:r>
      <w:r>
        <w:rPr>
          <w:b/>
          <w:i/>
          <w:spacing w:val="-6"/>
          <w:sz w:val="22"/>
        </w:rPr>
        <w:t>Education</w:t>
      </w:r>
      <w:r>
        <w:rPr>
          <w:b/>
          <w:i/>
          <w:spacing w:val="-8"/>
          <w:sz w:val="22"/>
        </w:rPr>
        <w:t> </w:t>
      </w:r>
      <w:r>
        <w:rPr>
          <w:b/>
          <w:i/>
          <w:spacing w:val="-6"/>
          <w:sz w:val="22"/>
        </w:rPr>
        <w:t>at</w:t>
      </w:r>
      <w:r>
        <w:rPr>
          <w:b/>
          <w:i/>
          <w:spacing w:val="-8"/>
          <w:sz w:val="22"/>
        </w:rPr>
        <w:t> </w:t>
      </w:r>
      <w:r>
        <w:rPr>
          <w:b/>
          <w:i/>
          <w:spacing w:val="-6"/>
          <w:sz w:val="22"/>
        </w:rPr>
        <w:t>NKC, </w:t>
      </w:r>
      <w:r>
        <w:rPr>
          <w:b/>
          <w:i/>
          <w:sz w:val="22"/>
        </w:rPr>
        <w:t>New Delhi 20th November 2007</w:t>
      </w:r>
    </w:p>
    <w:p>
      <w:pPr>
        <w:pStyle w:val="ListParagraph"/>
        <w:numPr>
          <w:ilvl w:val="1"/>
          <w:numId w:val="85"/>
        </w:numPr>
        <w:tabs>
          <w:tab w:pos="1439" w:val="left" w:leader="none"/>
        </w:tabs>
        <w:spacing w:line="266" w:lineRule="auto" w:before="88" w:after="0"/>
        <w:ind w:left="1439" w:right="2332" w:hanging="360"/>
        <w:jc w:val="left"/>
        <w:rPr>
          <w:sz w:val="22"/>
        </w:rPr>
      </w:pPr>
      <w:r>
        <w:rPr>
          <w:sz w:val="22"/>
        </w:rPr>
        <w:t>Ms. Shikha Pal </w:t>
      </w:r>
      <w:r>
        <w:rPr>
          <w:spacing w:val="-4"/>
          <w:sz w:val="22"/>
        </w:rPr>
        <w:t>Deepalaya</w:t>
      </w:r>
      <w:r>
        <w:rPr>
          <w:spacing w:val="-10"/>
          <w:sz w:val="22"/>
        </w:rPr>
        <w:t> </w:t>
      </w:r>
      <w:r>
        <w:rPr>
          <w:spacing w:val="-4"/>
          <w:sz w:val="22"/>
        </w:rPr>
        <w:t>Foundation</w:t>
      </w:r>
    </w:p>
    <w:p>
      <w:pPr>
        <w:pStyle w:val="ListParagraph"/>
        <w:numPr>
          <w:ilvl w:val="1"/>
          <w:numId w:val="85"/>
        </w:numPr>
        <w:tabs>
          <w:tab w:pos="1439" w:val="left" w:leader="none"/>
        </w:tabs>
        <w:spacing w:line="266" w:lineRule="auto" w:before="88" w:after="0"/>
        <w:ind w:left="1439" w:right="1500" w:hanging="360"/>
        <w:jc w:val="left"/>
        <w:rPr>
          <w:sz w:val="22"/>
        </w:rPr>
      </w:pPr>
      <w:r>
        <w:rPr>
          <w:spacing w:val="-2"/>
          <w:sz w:val="22"/>
        </w:rPr>
        <w:t>Ms.</w:t>
      </w:r>
      <w:r>
        <w:rPr>
          <w:spacing w:val="-12"/>
          <w:sz w:val="22"/>
        </w:rPr>
        <w:t> </w:t>
      </w:r>
      <w:r>
        <w:rPr>
          <w:spacing w:val="-2"/>
          <w:sz w:val="22"/>
        </w:rPr>
        <w:t>Monideepa</w:t>
      </w:r>
      <w:r>
        <w:rPr>
          <w:spacing w:val="-12"/>
          <w:sz w:val="22"/>
        </w:rPr>
        <w:t> </w:t>
      </w:r>
      <w:r>
        <w:rPr>
          <w:spacing w:val="-2"/>
          <w:sz w:val="22"/>
        </w:rPr>
        <w:t>Ray</w:t>
      </w:r>
      <w:r>
        <w:rPr>
          <w:spacing w:val="-12"/>
          <w:sz w:val="22"/>
        </w:rPr>
        <w:t> </w:t>
      </w:r>
      <w:r>
        <w:rPr>
          <w:spacing w:val="-2"/>
          <w:sz w:val="22"/>
        </w:rPr>
        <w:t>Choudhary </w:t>
      </w:r>
      <w:r>
        <w:rPr>
          <w:sz w:val="22"/>
        </w:rPr>
        <w:t>Deepalaya Foundation</w:t>
      </w:r>
    </w:p>
    <w:p>
      <w:pPr>
        <w:pStyle w:val="ListParagraph"/>
        <w:numPr>
          <w:ilvl w:val="1"/>
          <w:numId w:val="85"/>
        </w:numPr>
        <w:tabs>
          <w:tab w:pos="1439" w:val="left" w:leader="none"/>
        </w:tabs>
        <w:spacing w:line="240" w:lineRule="auto" w:before="89" w:after="0"/>
        <w:ind w:left="1439" w:right="0" w:hanging="359"/>
        <w:jc w:val="left"/>
        <w:rPr>
          <w:sz w:val="22"/>
        </w:rPr>
      </w:pPr>
      <w:r>
        <w:rPr>
          <w:sz w:val="22"/>
        </w:rPr>
        <w:t>Mr.</w:t>
      </w:r>
      <w:r>
        <w:rPr>
          <w:spacing w:val="-12"/>
          <w:sz w:val="22"/>
        </w:rPr>
        <w:t> </w:t>
      </w:r>
      <w:r>
        <w:rPr>
          <w:spacing w:val="-4"/>
          <w:sz w:val="22"/>
        </w:rPr>
        <w:t>Mani</w:t>
      </w:r>
    </w:p>
    <w:p>
      <w:pPr>
        <w:pStyle w:val="BodyText"/>
        <w:spacing w:before="27"/>
        <w:ind w:left="1439"/>
      </w:pPr>
      <w:r>
        <w:rPr>
          <w:spacing w:val="-4"/>
        </w:rPr>
        <w:t>Education Officer,</w:t>
      </w:r>
      <w:r>
        <w:rPr>
          <w:spacing w:val="-3"/>
        </w:rPr>
        <w:t> </w:t>
      </w:r>
      <w:r>
        <w:rPr>
          <w:spacing w:val="-4"/>
        </w:rPr>
        <w:t>CBSE</w:t>
      </w:r>
    </w:p>
    <w:p>
      <w:pPr>
        <w:pStyle w:val="ListParagraph"/>
        <w:numPr>
          <w:ilvl w:val="1"/>
          <w:numId w:val="85"/>
        </w:numPr>
        <w:tabs>
          <w:tab w:pos="1439" w:val="left" w:leader="none"/>
        </w:tabs>
        <w:spacing w:line="240" w:lineRule="auto" w:before="117" w:after="0"/>
        <w:ind w:left="1439" w:right="0" w:hanging="359"/>
        <w:jc w:val="left"/>
        <w:rPr>
          <w:sz w:val="22"/>
        </w:rPr>
      </w:pPr>
      <w:r>
        <w:rPr>
          <w:spacing w:val="-4"/>
          <w:sz w:val="22"/>
        </w:rPr>
        <w:t>Sh.</w:t>
      </w:r>
      <w:r>
        <w:rPr>
          <w:spacing w:val="-10"/>
          <w:sz w:val="22"/>
        </w:rPr>
        <w:t> </w:t>
      </w:r>
      <w:r>
        <w:rPr>
          <w:spacing w:val="-4"/>
          <w:sz w:val="22"/>
        </w:rPr>
        <w:t>Sandeep</w:t>
      </w:r>
      <w:r>
        <w:rPr>
          <w:spacing w:val="-10"/>
          <w:sz w:val="22"/>
        </w:rPr>
        <w:t> </w:t>
      </w:r>
      <w:r>
        <w:rPr>
          <w:spacing w:val="-4"/>
          <w:sz w:val="22"/>
        </w:rPr>
        <w:t>Pandey</w:t>
      </w:r>
    </w:p>
    <w:p>
      <w:pPr>
        <w:pStyle w:val="BodyText"/>
        <w:spacing w:before="27"/>
        <w:ind w:left="1439"/>
      </w:pPr>
      <w:r>
        <w:rPr>
          <w:spacing w:val="-4"/>
        </w:rPr>
        <w:t>Co- Founder, ASHA for Education</w:t>
      </w:r>
    </w:p>
    <w:p>
      <w:pPr>
        <w:pStyle w:val="ListParagraph"/>
        <w:numPr>
          <w:ilvl w:val="1"/>
          <w:numId w:val="85"/>
        </w:numPr>
        <w:tabs>
          <w:tab w:pos="1439" w:val="left" w:leader="none"/>
        </w:tabs>
        <w:spacing w:line="266" w:lineRule="auto" w:before="117" w:after="0"/>
        <w:ind w:left="1439" w:right="2859" w:hanging="360"/>
        <w:jc w:val="left"/>
        <w:rPr>
          <w:sz w:val="22"/>
        </w:rPr>
      </w:pPr>
      <w:r>
        <w:rPr>
          <w:spacing w:val="-4"/>
          <w:sz w:val="22"/>
        </w:rPr>
        <w:t>Prof.</w:t>
      </w:r>
      <w:r>
        <w:rPr>
          <w:spacing w:val="-10"/>
          <w:sz w:val="22"/>
        </w:rPr>
        <w:t> </w:t>
      </w:r>
      <w:r>
        <w:rPr>
          <w:spacing w:val="-4"/>
          <w:sz w:val="22"/>
        </w:rPr>
        <w:t>R</w:t>
      </w:r>
      <w:r>
        <w:rPr>
          <w:spacing w:val="-10"/>
          <w:sz w:val="22"/>
        </w:rPr>
        <w:t> </w:t>
      </w:r>
      <w:r>
        <w:rPr>
          <w:spacing w:val="-4"/>
          <w:sz w:val="22"/>
        </w:rPr>
        <w:t>Govinda </w:t>
      </w:r>
      <w:r>
        <w:rPr>
          <w:spacing w:val="-2"/>
          <w:sz w:val="22"/>
        </w:rPr>
        <w:t>NUEPA</w:t>
      </w:r>
    </w:p>
    <w:p>
      <w:pPr>
        <w:pStyle w:val="ListParagraph"/>
        <w:numPr>
          <w:ilvl w:val="1"/>
          <w:numId w:val="85"/>
        </w:numPr>
        <w:tabs>
          <w:tab w:pos="1439" w:val="left" w:leader="none"/>
        </w:tabs>
        <w:spacing w:line="266" w:lineRule="auto" w:before="88" w:after="0"/>
        <w:ind w:left="1439" w:right="2700" w:hanging="360"/>
        <w:jc w:val="left"/>
        <w:rPr>
          <w:sz w:val="22"/>
        </w:rPr>
      </w:pPr>
      <w:r>
        <w:rPr>
          <w:sz w:val="22"/>
        </w:rPr>
        <w:t>Ms. Puja Sondhi </w:t>
      </w:r>
      <w:r>
        <w:rPr>
          <w:spacing w:val="-6"/>
          <w:sz w:val="22"/>
        </w:rPr>
        <w:t>Teach</w:t>
      </w:r>
      <w:r>
        <w:rPr>
          <w:spacing w:val="-5"/>
          <w:sz w:val="22"/>
        </w:rPr>
        <w:t> </w:t>
      </w:r>
      <w:r>
        <w:rPr>
          <w:spacing w:val="-6"/>
          <w:sz w:val="22"/>
        </w:rPr>
        <w:t>for</w:t>
      </w:r>
      <w:r>
        <w:rPr>
          <w:spacing w:val="-5"/>
          <w:sz w:val="22"/>
        </w:rPr>
        <w:t> </w:t>
      </w:r>
      <w:r>
        <w:rPr>
          <w:spacing w:val="-10"/>
          <w:sz w:val="22"/>
        </w:rPr>
        <w:t>America</w:t>
      </w:r>
    </w:p>
    <w:p>
      <w:pPr>
        <w:pStyle w:val="ListParagraph"/>
        <w:numPr>
          <w:ilvl w:val="1"/>
          <w:numId w:val="85"/>
        </w:numPr>
        <w:tabs>
          <w:tab w:pos="1439" w:val="left" w:leader="none"/>
        </w:tabs>
        <w:spacing w:line="266" w:lineRule="auto" w:before="89" w:after="0"/>
        <w:ind w:left="1439" w:right="2674" w:hanging="360"/>
        <w:jc w:val="left"/>
        <w:rPr>
          <w:sz w:val="22"/>
        </w:rPr>
      </w:pPr>
      <w:r>
        <w:rPr>
          <w:spacing w:val="-2"/>
          <w:sz w:val="22"/>
        </w:rPr>
        <w:t>Ms.</w:t>
      </w:r>
      <w:r>
        <w:rPr>
          <w:spacing w:val="-12"/>
          <w:sz w:val="22"/>
        </w:rPr>
        <w:t> </w:t>
      </w:r>
      <w:r>
        <w:rPr>
          <w:spacing w:val="-2"/>
          <w:sz w:val="22"/>
        </w:rPr>
        <w:t>Mamta</w:t>
      </w:r>
      <w:r>
        <w:rPr>
          <w:spacing w:val="-12"/>
          <w:sz w:val="22"/>
        </w:rPr>
        <w:t> </w:t>
      </w:r>
      <w:r>
        <w:rPr>
          <w:spacing w:val="-2"/>
          <w:sz w:val="22"/>
        </w:rPr>
        <w:t>Saihia </w:t>
      </w:r>
      <w:r>
        <w:rPr>
          <w:spacing w:val="-4"/>
          <w:sz w:val="22"/>
        </w:rPr>
        <w:t>Bharti</w:t>
      </w:r>
      <w:r>
        <w:rPr>
          <w:sz w:val="22"/>
        </w:rPr>
        <w:t> </w:t>
      </w:r>
      <w:r>
        <w:rPr>
          <w:spacing w:val="-2"/>
          <w:sz w:val="22"/>
        </w:rPr>
        <w:t>Foundation</w:t>
      </w:r>
    </w:p>
    <w:p>
      <w:pPr>
        <w:pStyle w:val="ListParagraph"/>
        <w:numPr>
          <w:ilvl w:val="1"/>
          <w:numId w:val="85"/>
        </w:numPr>
        <w:tabs>
          <w:tab w:pos="1439" w:val="left" w:leader="none"/>
        </w:tabs>
        <w:spacing w:line="240" w:lineRule="auto" w:before="88" w:after="0"/>
        <w:ind w:left="1439" w:right="0" w:hanging="359"/>
        <w:jc w:val="left"/>
        <w:rPr>
          <w:sz w:val="22"/>
        </w:rPr>
      </w:pPr>
      <w:r>
        <w:rPr>
          <w:w w:val="90"/>
          <w:sz w:val="22"/>
        </w:rPr>
        <w:t>Prof.</w:t>
      </w:r>
      <w:r>
        <w:rPr>
          <w:spacing w:val="8"/>
          <w:sz w:val="22"/>
        </w:rPr>
        <w:t> </w:t>
      </w:r>
      <w:r>
        <w:rPr>
          <w:w w:val="90"/>
          <w:sz w:val="22"/>
        </w:rPr>
        <w:t>James</w:t>
      </w:r>
      <w:r>
        <w:rPr>
          <w:spacing w:val="-4"/>
          <w:sz w:val="22"/>
        </w:rPr>
        <w:t> </w:t>
      </w:r>
      <w:r>
        <w:rPr>
          <w:spacing w:val="-2"/>
          <w:w w:val="90"/>
          <w:sz w:val="22"/>
        </w:rPr>
        <w:t>Tooley</w:t>
      </w:r>
    </w:p>
    <w:p>
      <w:pPr>
        <w:pStyle w:val="BodyText"/>
        <w:spacing w:before="27"/>
        <w:ind w:left="1439"/>
      </w:pPr>
      <w:r>
        <w:rPr>
          <w:spacing w:val="-2"/>
        </w:rPr>
        <w:t>President,</w:t>
      </w:r>
      <w:r>
        <w:rPr>
          <w:spacing w:val="-12"/>
        </w:rPr>
        <w:t> </w:t>
      </w:r>
      <w:r>
        <w:rPr>
          <w:spacing w:val="-2"/>
        </w:rPr>
        <w:t>The</w:t>
      </w:r>
      <w:r>
        <w:rPr>
          <w:spacing w:val="-9"/>
        </w:rPr>
        <w:t> </w:t>
      </w:r>
      <w:r>
        <w:rPr>
          <w:spacing w:val="-2"/>
        </w:rPr>
        <w:t>Education</w:t>
      </w:r>
      <w:r>
        <w:rPr>
          <w:spacing w:val="-6"/>
        </w:rPr>
        <w:t> </w:t>
      </w:r>
      <w:r>
        <w:rPr>
          <w:spacing w:val="-4"/>
        </w:rPr>
        <w:t>Fund</w:t>
      </w:r>
    </w:p>
    <w:p>
      <w:pPr>
        <w:pStyle w:val="ListParagraph"/>
        <w:numPr>
          <w:ilvl w:val="1"/>
          <w:numId w:val="85"/>
        </w:numPr>
        <w:tabs>
          <w:tab w:pos="1439" w:val="left" w:leader="none"/>
        </w:tabs>
        <w:spacing w:line="240" w:lineRule="auto" w:before="117" w:after="0"/>
        <w:ind w:left="1439" w:right="0" w:hanging="359"/>
        <w:jc w:val="left"/>
        <w:rPr>
          <w:sz w:val="22"/>
        </w:rPr>
      </w:pPr>
      <w:r>
        <w:rPr>
          <w:spacing w:val="-2"/>
          <w:sz w:val="22"/>
        </w:rPr>
        <w:t>Smt.</w:t>
      </w:r>
      <w:r>
        <w:rPr>
          <w:spacing w:val="-6"/>
          <w:sz w:val="22"/>
        </w:rPr>
        <w:t> </w:t>
      </w:r>
      <w:r>
        <w:rPr>
          <w:spacing w:val="-2"/>
          <w:sz w:val="22"/>
        </w:rPr>
        <w:t>Kumud</w:t>
      </w:r>
      <w:r>
        <w:rPr>
          <w:spacing w:val="-5"/>
          <w:sz w:val="22"/>
        </w:rPr>
        <w:t> </w:t>
      </w:r>
      <w:r>
        <w:rPr>
          <w:spacing w:val="-2"/>
          <w:sz w:val="22"/>
        </w:rPr>
        <w:t>Bansal</w:t>
      </w:r>
    </w:p>
    <w:p>
      <w:pPr>
        <w:pStyle w:val="BodyText"/>
        <w:spacing w:line="266" w:lineRule="auto" w:before="27"/>
        <w:ind w:left="1439" w:right="137"/>
      </w:pPr>
      <w:r>
        <w:rPr>
          <w:spacing w:val="-4"/>
        </w:rPr>
        <w:t>Secretary (retd.), Elementary Education </w:t>
      </w:r>
      <w:r>
        <w:rPr>
          <w:spacing w:val="-4"/>
        </w:rPr>
        <w:t>and </w:t>
      </w:r>
      <w:r>
        <w:rPr/>
        <w:t>Literacy, Govt. of India</w:t>
      </w:r>
    </w:p>
    <w:p>
      <w:pPr>
        <w:pStyle w:val="ListParagraph"/>
        <w:numPr>
          <w:ilvl w:val="1"/>
          <w:numId w:val="85"/>
        </w:numPr>
        <w:tabs>
          <w:tab w:pos="1439" w:val="left" w:leader="none"/>
        </w:tabs>
        <w:spacing w:line="266" w:lineRule="auto" w:before="88" w:after="0"/>
        <w:ind w:left="1439" w:right="2538" w:hanging="360"/>
        <w:jc w:val="left"/>
        <w:rPr>
          <w:sz w:val="22"/>
        </w:rPr>
      </w:pPr>
      <w:r>
        <w:rPr>
          <w:spacing w:val="-4"/>
          <w:sz w:val="22"/>
        </w:rPr>
        <w:t>Prof.</w:t>
      </w:r>
      <w:r>
        <w:rPr>
          <w:spacing w:val="-10"/>
          <w:sz w:val="22"/>
        </w:rPr>
        <w:t> </w:t>
      </w:r>
      <w:r>
        <w:rPr>
          <w:spacing w:val="-4"/>
          <w:sz w:val="22"/>
        </w:rPr>
        <w:t>Shyam</w:t>
      </w:r>
      <w:r>
        <w:rPr>
          <w:spacing w:val="-10"/>
          <w:sz w:val="22"/>
        </w:rPr>
        <w:t> </w:t>
      </w:r>
      <w:r>
        <w:rPr>
          <w:spacing w:val="-4"/>
          <w:sz w:val="22"/>
        </w:rPr>
        <w:t>Menon </w:t>
      </w:r>
      <w:r>
        <w:rPr>
          <w:sz w:val="22"/>
        </w:rPr>
        <w:t>Delhi University</w:t>
      </w:r>
    </w:p>
    <w:p>
      <w:pPr>
        <w:pStyle w:val="ListParagraph"/>
        <w:numPr>
          <w:ilvl w:val="1"/>
          <w:numId w:val="85"/>
        </w:numPr>
        <w:tabs>
          <w:tab w:pos="1439" w:val="left" w:leader="none"/>
        </w:tabs>
        <w:spacing w:line="266" w:lineRule="auto" w:before="89" w:after="0"/>
        <w:ind w:left="1439" w:right="1969" w:hanging="360"/>
        <w:jc w:val="left"/>
        <w:rPr>
          <w:sz w:val="22"/>
        </w:rPr>
      </w:pPr>
      <w:r>
        <w:rPr>
          <w:sz w:val="22"/>
        </w:rPr>
        <w:t>Ms. Annie Koshi </w:t>
      </w:r>
      <w:r>
        <w:rPr>
          <w:spacing w:val="-6"/>
          <w:sz w:val="22"/>
        </w:rPr>
        <w:t>Principal,</w:t>
      </w:r>
      <w:r>
        <w:rPr>
          <w:spacing w:val="-8"/>
          <w:sz w:val="22"/>
        </w:rPr>
        <w:t> </w:t>
      </w:r>
      <w:r>
        <w:rPr>
          <w:spacing w:val="-6"/>
          <w:sz w:val="22"/>
        </w:rPr>
        <w:t>St</w:t>
      </w:r>
      <w:r>
        <w:rPr>
          <w:spacing w:val="-8"/>
          <w:sz w:val="22"/>
        </w:rPr>
        <w:t> </w:t>
      </w:r>
      <w:r>
        <w:rPr>
          <w:spacing w:val="-6"/>
          <w:sz w:val="22"/>
        </w:rPr>
        <w:t>Mary’s</w:t>
      </w:r>
      <w:r>
        <w:rPr>
          <w:spacing w:val="-8"/>
          <w:sz w:val="22"/>
        </w:rPr>
        <w:t> </w:t>
      </w:r>
      <w:r>
        <w:rPr>
          <w:spacing w:val="-6"/>
          <w:sz w:val="22"/>
        </w:rPr>
        <w:t>School</w:t>
      </w:r>
    </w:p>
    <w:p>
      <w:pPr>
        <w:pStyle w:val="ListParagraph"/>
        <w:numPr>
          <w:ilvl w:val="1"/>
          <w:numId w:val="85"/>
        </w:numPr>
        <w:tabs>
          <w:tab w:pos="1439" w:val="left" w:leader="none"/>
        </w:tabs>
        <w:spacing w:line="266" w:lineRule="auto" w:before="88" w:after="0"/>
        <w:ind w:left="1439" w:right="2063" w:hanging="360"/>
        <w:jc w:val="left"/>
        <w:rPr>
          <w:sz w:val="22"/>
        </w:rPr>
      </w:pPr>
      <w:r>
        <w:rPr>
          <w:sz w:val="22"/>
        </w:rPr>
        <w:t>Smt. Lata Vaidyanathan </w:t>
      </w:r>
      <w:r>
        <w:rPr>
          <w:spacing w:val="-4"/>
          <w:sz w:val="22"/>
        </w:rPr>
        <w:t>Principal,</w:t>
      </w:r>
      <w:r>
        <w:rPr>
          <w:spacing w:val="-10"/>
          <w:sz w:val="22"/>
        </w:rPr>
        <w:t> </w:t>
      </w:r>
      <w:r>
        <w:rPr>
          <w:spacing w:val="-4"/>
          <w:sz w:val="22"/>
        </w:rPr>
        <w:t>Modern</w:t>
      </w:r>
      <w:r>
        <w:rPr>
          <w:spacing w:val="-10"/>
          <w:sz w:val="22"/>
        </w:rPr>
        <w:t> </w:t>
      </w:r>
      <w:r>
        <w:rPr>
          <w:spacing w:val="-4"/>
          <w:sz w:val="22"/>
        </w:rPr>
        <w:t>School</w:t>
      </w:r>
    </w:p>
    <w:p>
      <w:pPr>
        <w:pStyle w:val="ListParagraph"/>
        <w:numPr>
          <w:ilvl w:val="1"/>
          <w:numId w:val="85"/>
        </w:numPr>
        <w:tabs>
          <w:tab w:pos="1439" w:val="left" w:leader="none"/>
        </w:tabs>
        <w:spacing w:line="266" w:lineRule="auto" w:before="89" w:after="0"/>
        <w:ind w:left="1439" w:right="2681" w:hanging="360"/>
        <w:jc w:val="left"/>
        <w:rPr>
          <w:sz w:val="22"/>
        </w:rPr>
      </w:pPr>
      <w:r>
        <w:rPr>
          <w:spacing w:val="-2"/>
          <w:sz w:val="22"/>
        </w:rPr>
        <w:t>Mr.</w:t>
      </w:r>
      <w:r>
        <w:rPr>
          <w:spacing w:val="-12"/>
          <w:sz w:val="22"/>
        </w:rPr>
        <w:t> </w:t>
      </w:r>
      <w:r>
        <w:rPr>
          <w:spacing w:val="-2"/>
          <w:sz w:val="22"/>
        </w:rPr>
        <w:t>Dhir</w:t>
      </w:r>
      <w:r>
        <w:rPr>
          <w:spacing w:val="-12"/>
          <w:sz w:val="22"/>
        </w:rPr>
        <w:t> </w:t>
      </w:r>
      <w:r>
        <w:rPr>
          <w:spacing w:val="-2"/>
          <w:sz w:val="22"/>
        </w:rPr>
        <w:t>Jhingran </w:t>
      </w:r>
      <w:r>
        <w:rPr>
          <w:sz w:val="22"/>
        </w:rPr>
        <w:t>Room to Read</w:t>
      </w:r>
    </w:p>
    <w:p>
      <w:pPr>
        <w:pStyle w:val="ListParagraph"/>
        <w:numPr>
          <w:ilvl w:val="1"/>
          <w:numId w:val="85"/>
        </w:numPr>
        <w:tabs>
          <w:tab w:pos="1439" w:val="left" w:leader="none"/>
        </w:tabs>
        <w:spacing w:line="266" w:lineRule="auto" w:before="88" w:after="0"/>
        <w:ind w:left="1439" w:right="2006" w:hanging="360"/>
        <w:jc w:val="left"/>
        <w:rPr>
          <w:sz w:val="22"/>
        </w:rPr>
      </w:pPr>
      <w:r>
        <w:rPr>
          <w:spacing w:val="-2"/>
          <w:sz w:val="22"/>
        </w:rPr>
        <w:t>Prof.</w:t>
      </w:r>
      <w:r>
        <w:rPr>
          <w:spacing w:val="-12"/>
          <w:sz w:val="22"/>
        </w:rPr>
        <w:t> </w:t>
      </w:r>
      <w:r>
        <w:rPr>
          <w:spacing w:val="-2"/>
          <w:sz w:val="22"/>
        </w:rPr>
        <w:t>Pratap</w:t>
      </w:r>
      <w:r>
        <w:rPr>
          <w:spacing w:val="-12"/>
          <w:sz w:val="22"/>
        </w:rPr>
        <w:t> </w:t>
      </w:r>
      <w:r>
        <w:rPr>
          <w:spacing w:val="-2"/>
          <w:sz w:val="22"/>
        </w:rPr>
        <w:t>Bhanu</w:t>
      </w:r>
      <w:r>
        <w:rPr>
          <w:spacing w:val="-12"/>
          <w:sz w:val="22"/>
        </w:rPr>
        <w:t> </w:t>
      </w:r>
      <w:r>
        <w:rPr>
          <w:spacing w:val="-2"/>
          <w:sz w:val="22"/>
        </w:rPr>
        <w:t>Mehta </w:t>
      </w:r>
      <w:r>
        <w:rPr>
          <w:spacing w:val="-6"/>
          <w:sz w:val="22"/>
        </w:rPr>
        <w:t>Centre</w:t>
      </w:r>
      <w:r>
        <w:rPr>
          <w:spacing w:val="-8"/>
          <w:sz w:val="22"/>
        </w:rPr>
        <w:t> </w:t>
      </w:r>
      <w:r>
        <w:rPr>
          <w:spacing w:val="-6"/>
          <w:sz w:val="22"/>
        </w:rPr>
        <w:t>for</w:t>
      </w:r>
      <w:r>
        <w:rPr>
          <w:spacing w:val="-8"/>
          <w:sz w:val="22"/>
        </w:rPr>
        <w:t> </w:t>
      </w:r>
      <w:r>
        <w:rPr>
          <w:spacing w:val="-6"/>
          <w:sz w:val="22"/>
        </w:rPr>
        <w:t>Policy</w:t>
      </w:r>
      <w:r>
        <w:rPr>
          <w:spacing w:val="-8"/>
          <w:sz w:val="22"/>
        </w:rPr>
        <w:t> </w:t>
      </w:r>
      <w:r>
        <w:rPr>
          <w:spacing w:val="-6"/>
          <w:sz w:val="22"/>
        </w:rPr>
        <w:t>Research</w:t>
      </w:r>
    </w:p>
    <w:p>
      <w:pPr>
        <w:pStyle w:val="ListParagraph"/>
        <w:numPr>
          <w:ilvl w:val="1"/>
          <w:numId w:val="85"/>
        </w:numPr>
        <w:tabs>
          <w:tab w:pos="1439" w:val="left" w:leader="none"/>
        </w:tabs>
        <w:spacing w:line="240" w:lineRule="auto" w:before="88" w:after="0"/>
        <w:ind w:left="1439" w:right="0" w:hanging="359"/>
        <w:jc w:val="left"/>
        <w:rPr>
          <w:sz w:val="22"/>
        </w:rPr>
      </w:pPr>
      <w:r>
        <w:rPr>
          <w:spacing w:val="-2"/>
          <w:sz w:val="22"/>
        </w:rPr>
        <w:t>Mr.</w:t>
      </w:r>
      <w:r>
        <w:rPr>
          <w:spacing w:val="-12"/>
          <w:sz w:val="22"/>
        </w:rPr>
        <w:t> </w:t>
      </w:r>
      <w:r>
        <w:rPr>
          <w:spacing w:val="-2"/>
          <w:sz w:val="22"/>
        </w:rPr>
        <w:t>K.B.</w:t>
      </w:r>
      <w:r>
        <w:rPr>
          <w:spacing w:val="-11"/>
          <w:sz w:val="22"/>
        </w:rPr>
        <w:t> </w:t>
      </w:r>
      <w:r>
        <w:rPr>
          <w:spacing w:val="-4"/>
          <w:sz w:val="22"/>
        </w:rPr>
        <w:t>Kain</w:t>
      </w:r>
    </w:p>
    <w:p>
      <w:pPr>
        <w:pStyle w:val="BodyText"/>
        <w:spacing w:before="27"/>
        <w:ind w:left="1439"/>
      </w:pPr>
      <w:r>
        <w:rPr>
          <w:spacing w:val="-4"/>
        </w:rPr>
        <w:t>Principal,</w:t>
      </w:r>
      <w:r>
        <w:rPr>
          <w:spacing w:val="-2"/>
        </w:rPr>
        <w:t> </w:t>
      </w:r>
      <w:r>
        <w:rPr>
          <w:spacing w:val="-4"/>
        </w:rPr>
        <w:t>Delhi</w:t>
      </w:r>
      <w:r>
        <w:rPr>
          <w:spacing w:val="-2"/>
        </w:rPr>
        <w:t> </w:t>
      </w:r>
      <w:r>
        <w:rPr>
          <w:spacing w:val="-4"/>
        </w:rPr>
        <w:t>Public</w:t>
      </w:r>
      <w:r>
        <w:rPr>
          <w:spacing w:val="-2"/>
        </w:rPr>
        <w:t> </w:t>
      </w:r>
      <w:r>
        <w:rPr>
          <w:spacing w:val="-4"/>
        </w:rPr>
        <w:t>School,</w:t>
      </w:r>
      <w:r>
        <w:rPr>
          <w:spacing w:val="-2"/>
        </w:rPr>
        <w:t> </w:t>
      </w:r>
      <w:r>
        <w:rPr>
          <w:spacing w:val="-4"/>
        </w:rPr>
        <w:t>Jaipur</w:t>
      </w:r>
    </w:p>
    <w:p>
      <w:pPr>
        <w:pStyle w:val="ListParagraph"/>
        <w:numPr>
          <w:ilvl w:val="1"/>
          <w:numId w:val="85"/>
        </w:numPr>
        <w:tabs>
          <w:tab w:pos="1439" w:val="left" w:leader="none"/>
        </w:tabs>
        <w:spacing w:line="240" w:lineRule="auto" w:before="117" w:after="0"/>
        <w:ind w:left="1439" w:right="0" w:hanging="359"/>
        <w:jc w:val="left"/>
        <w:rPr>
          <w:sz w:val="22"/>
        </w:rPr>
      </w:pPr>
      <w:r>
        <w:rPr>
          <w:spacing w:val="-2"/>
          <w:sz w:val="22"/>
        </w:rPr>
        <w:t>Dr.</w:t>
      </w:r>
      <w:r>
        <w:rPr>
          <w:spacing w:val="-10"/>
          <w:sz w:val="22"/>
        </w:rPr>
        <w:t> </w:t>
      </w:r>
      <w:r>
        <w:rPr>
          <w:spacing w:val="-2"/>
          <w:sz w:val="22"/>
        </w:rPr>
        <w:t>Madhav</w:t>
      </w:r>
      <w:r>
        <w:rPr>
          <w:spacing w:val="-10"/>
          <w:sz w:val="22"/>
        </w:rPr>
        <w:t> </w:t>
      </w:r>
      <w:r>
        <w:rPr>
          <w:spacing w:val="-2"/>
          <w:sz w:val="22"/>
        </w:rPr>
        <w:t>Chavan,</w:t>
      </w:r>
      <w:r>
        <w:rPr>
          <w:spacing w:val="-10"/>
          <w:sz w:val="22"/>
        </w:rPr>
        <w:t> </w:t>
      </w:r>
      <w:r>
        <w:rPr>
          <w:spacing w:val="-2"/>
          <w:sz w:val="22"/>
        </w:rPr>
        <w:t>Pratham</w:t>
      </w:r>
    </w:p>
    <w:p>
      <w:pPr>
        <w:pStyle w:val="ListParagraph"/>
        <w:numPr>
          <w:ilvl w:val="1"/>
          <w:numId w:val="85"/>
        </w:numPr>
        <w:tabs>
          <w:tab w:pos="1439" w:val="left" w:leader="none"/>
        </w:tabs>
        <w:spacing w:line="266" w:lineRule="auto" w:before="117" w:after="0"/>
        <w:ind w:left="1439" w:right="2478" w:hanging="360"/>
        <w:jc w:val="left"/>
        <w:rPr>
          <w:sz w:val="22"/>
        </w:rPr>
      </w:pPr>
      <w:r>
        <w:rPr>
          <w:spacing w:val="-4"/>
          <w:sz w:val="22"/>
        </w:rPr>
        <w:t>Prof.</w:t>
      </w:r>
      <w:r>
        <w:rPr>
          <w:spacing w:val="-10"/>
          <w:sz w:val="22"/>
        </w:rPr>
        <w:t> </w:t>
      </w:r>
      <w:r>
        <w:rPr>
          <w:spacing w:val="-4"/>
          <w:sz w:val="22"/>
        </w:rPr>
        <w:t>Krishna</w:t>
      </w:r>
      <w:r>
        <w:rPr>
          <w:spacing w:val="-10"/>
          <w:sz w:val="22"/>
        </w:rPr>
        <w:t> </w:t>
      </w:r>
      <w:r>
        <w:rPr>
          <w:spacing w:val="-4"/>
          <w:sz w:val="22"/>
        </w:rPr>
        <w:t>Kumar </w:t>
      </w:r>
      <w:r>
        <w:rPr>
          <w:sz w:val="22"/>
        </w:rPr>
        <w:t>Director, NCERT</w:t>
      </w:r>
    </w:p>
    <w:p>
      <w:pPr>
        <w:pStyle w:val="Heading7"/>
        <w:spacing w:before="242"/>
        <w:ind w:left="1080"/>
      </w:pPr>
      <w:r>
        <w:rPr>
          <w:color w:val="2E614A"/>
          <w:w w:val="90"/>
        </w:rPr>
        <w:t>Regional</w:t>
      </w:r>
      <w:r>
        <w:rPr>
          <w:color w:val="2E614A"/>
          <w:spacing w:val="10"/>
        </w:rPr>
        <w:t> </w:t>
      </w:r>
      <w:r>
        <w:rPr>
          <w:color w:val="2E614A"/>
          <w:spacing w:val="-2"/>
        </w:rPr>
        <w:t>Workshops</w:t>
      </w:r>
    </w:p>
    <w:p>
      <w:pPr>
        <w:spacing w:before="298"/>
        <w:ind w:left="1080" w:right="0" w:firstLine="0"/>
        <w:jc w:val="left"/>
        <w:rPr>
          <w:b/>
          <w:i/>
          <w:sz w:val="22"/>
        </w:rPr>
      </w:pPr>
      <w:r>
        <w:rPr>
          <w:b/>
          <w:i/>
          <w:w w:val="90"/>
          <w:sz w:val="22"/>
        </w:rPr>
        <w:t>Southern</w:t>
      </w:r>
      <w:r>
        <w:rPr>
          <w:b/>
          <w:i/>
          <w:spacing w:val="5"/>
          <w:sz w:val="22"/>
        </w:rPr>
        <w:t> </w:t>
      </w:r>
      <w:r>
        <w:rPr>
          <w:b/>
          <w:i/>
          <w:w w:val="90"/>
          <w:sz w:val="22"/>
        </w:rPr>
        <w:t>Region</w:t>
      </w:r>
      <w:r>
        <w:rPr>
          <w:b/>
          <w:i/>
          <w:spacing w:val="5"/>
          <w:sz w:val="22"/>
        </w:rPr>
        <w:t> </w:t>
      </w:r>
      <w:r>
        <w:rPr>
          <w:b/>
          <w:i/>
          <w:w w:val="90"/>
          <w:sz w:val="22"/>
        </w:rPr>
        <w:t>at</w:t>
      </w:r>
      <w:r>
        <w:rPr>
          <w:b/>
          <w:i/>
          <w:spacing w:val="5"/>
          <w:sz w:val="22"/>
        </w:rPr>
        <w:t> </w:t>
      </w:r>
      <w:r>
        <w:rPr>
          <w:b/>
          <w:i/>
          <w:spacing w:val="-2"/>
          <w:w w:val="90"/>
          <w:sz w:val="22"/>
        </w:rPr>
        <w:t>National</w:t>
      </w:r>
    </w:p>
    <w:p>
      <w:pPr>
        <w:spacing w:line="266" w:lineRule="auto" w:before="27"/>
        <w:ind w:left="1080" w:right="137" w:firstLine="0"/>
        <w:jc w:val="left"/>
        <w:rPr>
          <w:b/>
          <w:i/>
          <w:sz w:val="22"/>
        </w:rPr>
      </w:pPr>
      <w:r>
        <w:rPr>
          <w:b/>
          <w:i/>
          <w:spacing w:val="-8"/>
          <w:sz w:val="22"/>
        </w:rPr>
        <w:t>Institute</w:t>
      </w:r>
      <w:r>
        <w:rPr>
          <w:b/>
          <w:i/>
          <w:sz w:val="22"/>
        </w:rPr>
        <w:t> </w:t>
      </w:r>
      <w:r>
        <w:rPr>
          <w:b/>
          <w:i/>
          <w:spacing w:val="-8"/>
          <w:sz w:val="22"/>
        </w:rPr>
        <w:t>of</w:t>
      </w:r>
      <w:r>
        <w:rPr>
          <w:b/>
          <w:i/>
          <w:sz w:val="22"/>
        </w:rPr>
        <w:t> </w:t>
      </w:r>
      <w:r>
        <w:rPr>
          <w:b/>
          <w:i/>
          <w:spacing w:val="-8"/>
          <w:sz w:val="22"/>
        </w:rPr>
        <w:t>Advances</w:t>
      </w:r>
      <w:r>
        <w:rPr>
          <w:b/>
          <w:i/>
          <w:sz w:val="22"/>
        </w:rPr>
        <w:t> </w:t>
      </w:r>
      <w:r>
        <w:rPr>
          <w:b/>
          <w:i/>
          <w:spacing w:val="-8"/>
          <w:sz w:val="22"/>
        </w:rPr>
        <w:t>Studies,</w:t>
      </w:r>
      <w:r>
        <w:rPr>
          <w:b/>
          <w:i/>
          <w:sz w:val="22"/>
        </w:rPr>
        <w:t> </w:t>
      </w:r>
      <w:r>
        <w:rPr>
          <w:b/>
          <w:i/>
          <w:spacing w:val="-8"/>
          <w:sz w:val="22"/>
        </w:rPr>
        <w:t>Bangalore</w:t>
      </w:r>
      <w:r>
        <w:rPr>
          <w:b/>
          <w:i/>
          <w:sz w:val="22"/>
        </w:rPr>
        <w:t> </w:t>
      </w:r>
      <w:r>
        <w:rPr>
          <w:b/>
          <w:i/>
          <w:spacing w:val="-8"/>
          <w:sz w:val="22"/>
        </w:rPr>
        <w:t>17th-18th </w:t>
      </w:r>
      <w:r>
        <w:rPr>
          <w:b/>
          <w:i/>
          <w:sz w:val="22"/>
        </w:rPr>
        <w:t>July, 2007.</w:t>
      </w:r>
    </w:p>
    <w:p>
      <w:pPr>
        <w:pStyle w:val="ListParagraph"/>
        <w:numPr>
          <w:ilvl w:val="0"/>
          <w:numId w:val="86"/>
        </w:numPr>
        <w:tabs>
          <w:tab w:pos="1439" w:val="left" w:leader="none"/>
        </w:tabs>
        <w:spacing w:line="240" w:lineRule="auto" w:before="88" w:after="0"/>
        <w:ind w:left="1439" w:right="0" w:hanging="359"/>
        <w:jc w:val="left"/>
        <w:rPr>
          <w:sz w:val="22"/>
        </w:rPr>
      </w:pPr>
      <w:r>
        <w:rPr>
          <w:spacing w:val="-8"/>
          <w:sz w:val="22"/>
        </w:rPr>
        <w:t>Prof.</w:t>
      </w:r>
      <w:r>
        <w:rPr>
          <w:spacing w:val="2"/>
          <w:sz w:val="22"/>
        </w:rPr>
        <w:t> </w:t>
      </w:r>
      <w:r>
        <w:rPr>
          <w:spacing w:val="-8"/>
          <w:sz w:val="22"/>
        </w:rPr>
        <w:t>A.R.</w:t>
      </w:r>
      <w:r>
        <w:rPr>
          <w:spacing w:val="-3"/>
          <w:sz w:val="22"/>
        </w:rPr>
        <w:t> </w:t>
      </w:r>
      <w:r>
        <w:rPr>
          <w:spacing w:val="-8"/>
          <w:sz w:val="22"/>
        </w:rPr>
        <w:t>Vasavi</w:t>
      </w:r>
      <w:r>
        <w:rPr>
          <w:spacing w:val="2"/>
          <w:sz w:val="22"/>
        </w:rPr>
        <w:t> </w:t>
      </w:r>
      <w:r>
        <w:rPr>
          <w:spacing w:val="-8"/>
          <w:sz w:val="22"/>
        </w:rPr>
        <w:t>(Nodal</w:t>
      </w:r>
      <w:r>
        <w:rPr>
          <w:spacing w:val="2"/>
          <w:sz w:val="22"/>
        </w:rPr>
        <w:t> </w:t>
      </w:r>
      <w:r>
        <w:rPr>
          <w:spacing w:val="-8"/>
          <w:sz w:val="22"/>
        </w:rPr>
        <w:t>Convener)</w:t>
      </w:r>
    </w:p>
    <w:p>
      <w:pPr>
        <w:pStyle w:val="BodyText"/>
        <w:spacing w:before="27"/>
        <w:ind w:left="1439"/>
      </w:pPr>
      <w:r>
        <w:rPr>
          <w:spacing w:val="-4"/>
        </w:rPr>
        <w:t>National</w:t>
      </w:r>
      <w:r>
        <w:rPr>
          <w:spacing w:val="-3"/>
        </w:rPr>
        <w:t> </w:t>
      </w:r>
      <w:r>
        <w:rPr>
          <w:spacing w:val="-4"/>
        </w:rPr>
        <w:t>Institute</w:t>
      </w:r>
      <w:r>
        <w:rPr>
          <w:spacing w:val="-3"/>
        </w:rPr>
        <w:t> </w:t>
      </w:r>
      <w:r>
        <w:rPr>
          <w:spacing w:val="-4"/>
        </w:rPr>
        <w:t>of</w:t>
      </w:r>
      <w:r>
        <w:rPr>
          <w:spacing w:val="-2"/>
        </w:rPr>
        <w:t> </w:t>
      </w:r>
      <w:r>
        <w:rPr>
          <w:spacing w:val="-4"/>
        </w:rPr>
        <w:t>Advanced</w:t>
      </w:r>
      <w:r>
        <w:rPr>
          <w:spacing w:val="-3"/>
        </w:rPr>
        <w:t> </w:t>
      </w:r>
      <w:r>
        <w:rPr>
          <w:spacing w:val="-4"/>
        </w:rPr>
        <w:t>Studies</w:t>
      </w:r>
      <w:r>
        <w:rPr>
          <w:spacing w:val="-2"/>
        </w:rPr>
        <w:t> </w:t>
      </w:r>
      <w:r>
        <w:rPr>
          <w:spacing w:val="-4"/>
        </w:rPr>
        <w:t>(NIAS)</w:t>
      </w:r>
    </w:p>
    <w:p>
      <w:pPr>
        <w:pStyle w:val="ListParagraph"/>
        <w:numPr>
          <w:ilvl w:val="0"/>
          <w:numId w:val="86"/>
        </w:numPr>
        <w:tabs>
          <w:tab w:pos="1439" w:val="left" w:leader="none"/>
        </w:tabs>
        <w:spacing w:line="240" w:lineRule="auto" w:before="117" w:after="0"/>
        <w:ind w:left="1439" w:right="0" w:hanging="359"/>
        <w:jc w:val="left"/>
        <w:rPr>
          <w:sz w:val="22"/>
        </w:rPr>
      </w:pPr>
      <w:r>
        <w:rPr>
          <w:sz w:val="22"/>
        </w:rPr>
        <w:t>Sh.</w:t>
      </w:r>
      <w:r>
        <w:rPr>
          <w:spacing w:val="-11"/>
          <w:sz w:val="22"/>
        </w:rPr>
        <w:t> </w:t>
      </w:r>
      <w:r>
        <w:rPr>
          <w:sz w:val="22"/>
        </w:rPr>
        <w:t>D.R.</w:t>
      </w:r>
      <w:r>
        <w:rPr>
          <w:spacing w:val="-11"/>
          <w:sz w:val="22"/>
        </w:rPr>
        <w:t> </w:t>
      </w:r>
      <w:r>
        <w:rPr>
          <w:sz w:val="22"/>
        </w:rPr>
        <w:t>Garg,</w:t>
      </w:r>
      <w:r>
        <w:rPr>
          <w:spacing w:val="-11"/>
          <w:sz w:val="22"/>
        </w:rPr>
        <w:t> </w:t>
      </w:r>
      <w:r>
        <w:rPr>
          <w:spacing w:val="-5"/>
          <w:sz w:val="22"/>
        </w:rPr>
        <w:t>IAS</w:t>
      </w:r>
    </w:p>
    <w:p>
      <w:pPr>
        <w:pStyle w:val="BodyText"/>
        <w:spacing w:before="27"/>
        <w:ind w:left="1439"/>
      </w:pPr>
      <w:r>
        <w:rPr>
          <w:spacing w:val="-8"/>
        </w:rPr>
        <w:t>Secretary,</w:t>
      </w:r>
      <w:r>
        <w:rPr>
          <w:spacing w:val="5"/>
        </w:rPr>
        <w:t> </w:t>
      </w:r>
      <w:r>
        <w:rPr>
          <w:spacing w:val="-8"/>
        </w:rPr>
        <w:t>Sarva</w:t>
      </w:r>
      <w:r>
        <w:rPr>
          <w:spacing w:val="6"/>
        </w:rPr>
        <w:t> </w:t>
      </w:r>
      <w:r>
        <w:rPr>
          <w:spacing w:val="-8"/>
        </w:rPr>
        <w:t>Shiksha</w:t>
      </w:r>
      <w:r>
        <w:rPr>
          <w:spacing w:val="6"/>
        </w:rPr>
        <w:t> </w:t>
      </w:r>
      <w:r>
        <w:rPr>
          <w:spacing w:val="-8"/>
        </w:rPr>
        <w:t>Abhiyan,</w:t>
      </w:r>
      <w:r>
        <w:rPr>
          <w:spacing w:val="6"/>
        </w:rPr>
        <w:t> </w:t>
      </w:r>
      <w:r>
        <w:rPr>
          <w:spacing w:val="-8"/>
        </w:rPr>
        <w:t>Andhra</w:t>
      </w:r>
      <w:r>
        <w:rPr>
          <w:spacing w:val="6"/>
        </w:rPr>
        <w:t> </w:t>
      </w:r>
      <w:r>
        <w:rPr>
          <w:spacing w:val="-8"/>
        </w:rPr>
        <w:t>Pradesh</w:t>
      </w:r>
    </w:p>
    <w:p>
      <w:pPr>
        <w:pStyle w:val="ListParagraph"/>
        <w:numPr>
          <w:ilvl w:val="0"/>
          <w:numId w:val="86"/>
        </w:numPr>
        <w:tabs>
          <w:tab w:pos="755" w:val="left" w:leader="none"/>
        </w:tabs>
        <w:spacing w:line="240" w:lineRule="auto" w:before="77" w:after="0"/>
        <w:ind w:left="755" w:right="0" w:hanging="359"/>
        <w:jc w:val="left"/>
        <w:rPr>
          <w:sz w:val="22"/>
        </w:rPr>
      </w:pPr>
      <w:r>
        <w:rPr/>
        <w:br w:type="column"/>
      </w:r>
      <w:r>
        <w:rPr>
          <w:sz w:val="22"/>
        </w:rPr>
        <w:t>Mr.</w:t>
      </w:r>
      <w:r>
        <w:rPr>
          <w:spacing w:val="-12"/>
          <w:sz w:val="22"/>
        </w:rPr>
        <w:t> </w:t>
      </w:r>
      <w:r>
        <w:rPr>
          <w:spacing w:val="-5"/>
          <w:sz w:val="22"/>
        </w:rPr>
        <w:t>Rao</w:t>
      </w:r>
    </w:p>
    <w:p>
      <w:pPr>
        <w:pStyle w:val="BodyText"/>
        <w:spacing w:before="27"/>
        <w:ind w:left="756"/>
      </w:pPr>
      <w:r>
        <w:rPr>
          <w:spacing w:val="-8"/>
        </w:rPr>
        <w:t>Rishi</w:t>
      </w:r>
      <w:r>
        <w:rPr>
          <w:spacing w:val="-5"/>
        </w:rPr>
        <w:t> </w:t>
      </w:r>
      <w:r>
        <w:rPr>
          <w:spacing w:val="-8"/>
        </w:rPr>
        <w:t>Valley</w:t>
      </w:r>
      <w:r>
        <w:rPr/>
        <w:t> </w:t>
      </w:r>
      <w:r>
        <w:rPr>
          <w:spacing w:val="-8"/>
        </w:rPr>
        <w:t>Rural</w:t>
      </w:r>
      <w:r>
        <w:rPr/>
        <w:t> </w:t>
      </w:r>
      <w:r>
        <w:rPr>
          <w:spacing w:val="-8"/>
        </w:rPr>
        <w:t>Schools</w:t>
      </w:r>
    </w:p>
    <w:p>
      <w:pPr>
        <w:pStyle w:val="ListParagraph"/>
        <w:numPr>
          <w:ilvl w:val="0"/>
          <w:numId w:val="86"/>
        </w:numPr>
        <w:tabs>
          <w:tab w:pos="755" w:val="left" w:leader="none"/>
        </w:tabs>
        <w:spacing w:line="240" w:lineRule="auto" w:before="117" w:after="0"/>
        <w:ind w:left="755" w:right="0" w:hanging="359"/>
        <w:jc w:val="left"/>
        <w:rPr>
          <w:sz w:val="22"/>
        </w:rPr>
      </w:pPr>
      <w:r>
        <w:rPr>
          <w:spacing w:val="-8"/>
          <w:sz w:val="22"/>
        </w:rPr>
        <w:t>Sh.</w:t>
      </w:r>
      <w:r>
        <w:rPr>
          <w:spacing w:val="-4"/>
          <w:sz w:val="22"/>
        </w:rPr>
        <w:t> </w:t>
      </w:r>
      <w:r>
        <w:rPr>
          <w:spacing w:val="-8"/>
          <w:sz w:val="22"/>
        </w:rPr>
        <w:t>Vijay</w:t>
      </w:r>
      <w:r>
        <w:rPr>
          <w:spacing w:val="1"/>
          <w:sz w:val="22"/>
        </w:rPr>
        <w:t> </w:t>
      </w:r>
      <w:r>
        <w:rPr>
          <w:spacing w:val="-8"/>
          <w:sz w:val="22"/>
        </w:rPr>
        <w:t>Bhaskar</w:t>
      </w:r>
    </w:p>
    <w:p>
      <w:pPr>
        <w:pStyle w:val="BodyText"/>
        <w:spacing w:line="266" w:lineRule="auto" w:before="27"/>
        <w:ind w:left="756" w:right="1636"/>
      </w:pPr>
      <w:r>
        <w:rPr>
          <w:spacing w:val="-4"/>
        </w:rPr>
        <w:t>Secretary,</w:t>
      </w:r>
      <w:r>
        <w:rPr>
          <w:spacing w:val="-10"/>
        </w:rPr>
        <w:t> </w:t>
      </w:r>
      <w:r>
        <w:rPr>
          <w:spacing w:val="-4"/>
        </w:rPr>
        <w:t>Primary</w:t>
      </w:r>
      <w:r>
        <w:rPr>
          <w:spacing w:val="-10"/>
        </w:rPr>
        <w:t> </w:t>
      </w:r>
      <w:r>
        <w:rPr>
          <w:spacing w:val="-4"/>
        </w:rPr>
        <w:t>and</w:t>
      </w:r>
      <w:r>
        <w:rPr>
          <w:spacing w:val="-10"/>
        </w:rPr>
        <w:t> </w:t>
      </w:r>
      <w:r>
        <w:rPr>
          <w:spacing w:val="-4"/>
        </w:rPr>
        <w:t>Secondary</w:t>
      </w:r>
      <w:r>
        <w:rPr>
          <w:spacing w:val="-9"/>
        </w:rPr>
        <w:t> </w:t>
      </w:r>
      <w:r>
        <w:rPr>
          <w:spacing w:val="-4"/>
        </w:rPr>
        <w:t>Education </w:t>
      </w:r>
      <w:r>
        <w:rPr>
          <w:spacing w:val="-2"/>
        </w:rPr>
        <w:t>Karnataka</w:t>
      </w:r>
    </w:p>
    <w:p>
      <w:pPr>
        <w:pStyle w:val="ListParagraph"/>
        <w:numPr>
          <w:ilvl w:val="0"/>
          <w:numId w:val="86"/>
        </w:numPr>
        <w:tabs>
          <w:tab w:pos="756" w:val="left" w:leader="none"/>
        </w:tabs>
        <w:spacing w:line="266" w:lineRule="auto" w:before="89" w:after="0"/>
        <w:ind w:left="756" w:right="2926" w:hanging="360"/>
        <w:jc w:val="left"/>
        <w:rPr>
          <w:sz w:val="22"/>
        </w:rPr>
      </w:pPr>
      <w:r>
        <w:rPr>
          <w:sz w:val="22"/>
        </w:rPr>
        <w:t>Prof. P.R. Panchamukhi </w:t>
      </w:r>
      <w:r>
        <w:rPr>
          <w:spacing w:val="-2"/>
          <w:sz w:val="22"/>
        </w:rPr>
        <w:t>Founder-Director,</w:t>
      </w:r>
      <w:r>
        <w:rPr>
          <w:spacing w:val="-12"/>
          <w:sz w:val="22"/>
        </w:rPr>
        <w:t> </w:t>
      </w:r>
      <w:r>
        <w:rPr>
          <w:spacing w:val="-2"/>
          <w:sz w:val="22"/>
        </w:rPr>
        <w:t>Centre</w:t>
      </w:r>
      <w:r>
        <w:rPr>
          <w:spacing w:val="-12"/>
          <w:sz w:val="22"/>
        </w:rPr>
        <w:t> </w:t>
      </w:r>
      <w:r>
        <w:rPr>
          <w:spacing w:val="-2"/>
          <w:sz w:val="22"/>
        </w:rPr>
        <w:t>for</w:t>
      </w:r>
    </w:p>
    <w:p>
      <w:pPr>
        <w:pStyle w:val="BodyText"/>
        <w:spacing w:line="266" w:lineRule="auto"/>
        <w:ind w:left="756" w:right="1062"/>
      </w:pPr>
      <w:r>
        <w:rPr>
          <w:spacing w:val="-4"/>
        </w:rPr>
        <w:t>Multi-Disciplinary</w:t>
      </w:r>
      <w:r>
        <w:rPr>
          <w:spacing w:val="-10"/>
        </w:rPr>
        <w:t> </w:t>
      </w:r>
      <w:r>
        <w:rPr>
          <w:spacing w:val="-4"/>
        </w:rPr>
        <w:t>Development</w:t>
      </w:r>
      <w:r>
        <w:rPr>
          <w:spacing w:val="-10"/>
        </w:rPr>
        <w:t> </w:t>
      </w:r>
      <w:r>
        <w:rPr>
          <w:spacing w:val="-4"/>
        </w:rPr>
        <w:t>Research </w:t>
      </w:r>
      <w:r>
        <w:rPr>
          <w:spacing w:val="-2"/>
        </w:rPr>
        <w:t>Dharwad</w:t>
      </w:r>
    </w:p>
    <w:p>
      <w:pPr>
        <w:pStyle w:val="ListParagraph"/>
        <w:numPr>
          <w:ilvl w:val="0"/>
          <w:numId w:val="86"/>
        </w:numPr>
        <w:tabs>
          <w:tab w:pos="755" w:val="left" w:leader="none"/>
        </w:tabs>
        <w:spacing w:line="240" w:lineRule="auto" w:before="87" w:after="0"/>
        <w:ind w:left="755" w:right="0" w:hanging="359"/>
        <w:jc w:val="left"/>
        <w:rPr>
          <w:sz w:val="22"/>
        </w:rPr>
      </w:pPr>
      <w:r>
        <w:rPr>
          <w:spacing w:val="-6"/>
          <w:sz w:val="22"/>
        </w:rPr>
        <w:t>Ms.</w:t>
      </w:r>
      <w:r>
        <w:rPr>
          <w:spacing w:val="-3"/>
          <w:sz w:val="22"/>
        </w:rPr>
        <w:t> </w:t>
      </w:r>
      <w:r>
        <w:rPr>
          <w:spacing w:val="-6"/>
          <w:sz w:val="22"/>
        </w:rPr>
        <w:t>Benazir</w:t>
      </w:r>
      <w:r>
        <w:rPr>
          <w:spacing w:val="-2"/>
          <w:sz w:val="22"/>
        </w:rPr>
        <w:t> </w:t>
      </w:r>
      <w:r>
        <w:rPr>
          <w:spacing w:val="-6"/>
          <w:sz w:val="22"/>
        </w:rPr>
        <w:t>Baig</w:t>
      </w:r>
    </w:p>
    <w:p>
      <w:pPr>
        <w:pStyle w:val="BodyText"/>
        <w:spacing w:line="266" w:lineRule="auto" w:before="27"/>
        <w:ind w:left="756" w:right="3151"/>
      </w:pPr>
      <w:r>
        <w:rPr>
          <w:spacing w:val="-4"/>
        </w:rPr>
        <w:t>Raza</w:t>
      </w:r>
      <w:r>
        <w:rPr>
          <w:spacing w:val="-10"/>
        </w:rPr>
        <w:t> </w:t>
      </w:r>
      <w:r>
        <w:rPr>
          <w:spacing w:val="-4"/>
        </w:rPr>
        <w:t>Education</w:t>
      </w:r>
      <w:r>
        <w:rPr>
          <w:spacing w:val="-10"/>
        </w:rPr>
        <w:t> </w:t>
      </w:r>
      <w:r>
        <w:rPr>
          <w:spacing w:val="-4"/>
        </w:rPr>
        <w:t>and</w:t>
      </w:r>
      <w:r>
        <w:rPr>
          <w:spacing w:val="-10"/>
        </w:rPr>
        <w:t> </w:t>
      </w:r>
      <w:r>
        <w:rPr>
          <w:spacing w:val="-4"/>
        </w:rPr>
        <w:t>Social </w:t>
      </w:r>
      <w:r>
        <w:rPr/>
        <w:t>Welfare Society</w:t>
      </w:r>
    </w:p>
    <w:p>
      <w:pPr>
        <w:pStyle w:val="ListParagraph"/>
        <w:numPr>
          <w:ilvl w:val="0"/>
          <w:numId w:val="86"/>
        </w:numPr>
        <w:tabs>
          <w:tab w:pos="755" w:val="left" w:leader="none"/>
        </w:tabs>
        <w:spacing w:line="240" w:lineRule="auto" w:before="88" w:after="0"/>
        <w:ind w:left="755" w:right="0" w:hanging="359"/>
        <w:jc w:val="left"/>
        <w:rPr>
          <w:sz w:val="22"/>
        </w:rPr>
      </w:pPr>
      <w:r>
        <w:rPr>
          <w:sz w:val="22"/>
        </w:rPr>
        <w:t>Mr.</w:t>
      </w:r>
      <w:r>
        <w:rPr>
          <w:spacing w:val="-12"/>
          <w:sz w:val="22"/>
        </w:rPr>
        <w:t> </w:t>
      </w:r>
      <w:r>
        <w:rPr>
          <w:spacing w:val="-2"/>
          <w:sz w:val="22"/>
        </w:rPr>
        <w:t>Samiullah</w:t>
      </w:r>
    </w:p>
    <w:p>
      <w:pPr>
        <w:pStyle w:val="BodyText"/>
        <w:spacing w:line="266" w:lineRule="auto" w:before="27"/>
        <w:ind w:left="756" w:right="1062"/>
      </w:pPr>
      <w:r>
        <w:rPr>
          <w:spacing w:val="-6"/>
        </w:rPr>
        <w:t>Raza Education and Social</w:t>
      </w:r>
      <w:r>
        <w:rPr>
          <w:spacing w:val="-7"/>
        </w:rPr>
        <w:t> </w:t>
      </w:r>
      <w:r>
        <w:rPr>
          <w:spacing w:val="-6"/>
        </w:rPr>
        <w:t>Welfare Society </w:t>
      </w:r>
      <w:r>
        <w:rPr>
          <w:spacing w:val="-6"/>
        </w:rPr>
        <w:t>and </w:t>
      </w:r>
      <w:r>
        <w:rPr/>
        <w:t>General</w:t>
      </w:r>
      <w:r>
        <w:rPr>
          <w:spacing w:val="-10"/>
        </w:rPr>
        <w:t> </w:t>
      </w:r>
      <w:r>
        <w:rPr/>
        <w:t>Secretary,</w:t>
      </w:r>
      <w:r>
        <w:rPr>
          <w:spacing w:val="-10"/>
        </w:rPr>
        <w:t> </w:t>
      </w:r>
      <w:r>
        <w:rPr/>
        <w:t>Federation</w:t>
      </w:r>
      <w:r>
        <w:rPr>
          <w:spacing w:val="-10"/>
        </w:rPr>
        <w:t> </w:t>
      </w:r>
      <w:r>
        <w:rPr/>
        <w:t>of</w:t>
      </w:r>
      <w:r>
        <w:rPr>
          <w:spacing w:val="-10"/>
        </w:rPr>
        <w:t> </w:t>
      </w:r>
      <w:r>
        <w:rPr/>
        <w:t>Karnataka Muslims’ Association</w:t>
      </w:r>
    </w:p>
    <w:p>
      <w:pPr>
        <w:pStyle w:val="ListParagraph"/>
        <w:numPr>
          <w:ilvl w:val="0"/>
          <w:numId w:val="86"/>
        </w:numPr>
        <w:tabs>
          <w:tab w:pos="755" w:val="left" w:leader="none"/>
        </w:tabs>
        <w:spacing w:line="240" w:lineRule="auto" w:before="88" w:after="0"/>
        <w:ind w:left="755" w:right="0" w:hanging="359"/>
        <w:jc w:val="left"/>
        <w:rPr>
          <w:sz w:val="22"/>
        </w:rPr>
      </w:pPr>
      <w:r>
        <w:rPr>
          <w:spacing w:val="-4"/>
          <w:sz w:val="22"/>
        </w:rPr>
        <w:t>Father</w:t>
      </w:r>
      <w:r>
        <w:rPr>
          <w:sz w:val="22"/>
        </w:rPr>
        <w:t> </w:t>
      </w:r>
      <w:r>
        <w:rPr>
          <w:spacing w:val="-4"/>
          <w:sz w:val="22"/>
        </w:rPr>
        <w:t>Claude</w:t>
      </w:r>
      <w:r>
        <w:rPr>
          <w:sz w:val="22"/>
        </w:rPr>
        <w:t> </w:t>
      </w:r>
      <w:r>
        <w:rPr>
          <w:spacing w:val="-4"/>
          <w:sz w:val="22"/>
        </w:rPr>
        <w:t>D’Souza</w:t>
      </w:r>
    </w:p>
    <w:p>
      <w:pPr>
        <w:pStyle w:val="BodyText"/>
        <w:spacing w:before="27"/>
        <w:ind w:left="756"/>
      </w:pPr>
      <w:r>
        <w:rPr>
          <w:spacing w:val="-8"/>
        </w:rPr>
        <w:t>St.</w:t>
      </w:r>
      <w:r>
        <w:rPr>
          <w:spacing w:val="-2"/>
        </w:rPr>
        <w:t> </w:t>
      </w:r>
      <w:r>
        <w:rPr>
          <w:spacing w:val="-8"/>
        </w:rPr>
        <w:t>Joseph’s</w:t>
      </w:r>
      <w:r>
        <w:rPr>
          <w:spacing w:val="-2"/>
        </w:rPr>
        <w:t> </w:t>
      </w:r>
      <w:r>
        <w:rPr>
          <w:spacing w:val="-8"/>
        </w:rPr>
        <w:t>College</w:t>
      </w:r>
      <w:r>
        <w:rPr>
          <w:spacing w:val="-1"/>
        </w:rPr>
        <w:t> </w:t>
      </w:r>
      <w:r>
        <w:rPr>
          <w:spacing w:val="-8"/>
        </w:rPr>
        <w:t>of</w:t>
      </w:r>
      <w:r>
        <w:rPr>
          <w:spacing w:val="-2"/>
        </w:rPr>
        <w:t> </w:t>
      </w:r>
      <w:r>
        <w:rPr>
          <w:spacing w:val="-8"/>
        </w:rPr>
        <w:t>Arts</w:t>
      </w:r>
      <w:r>
        <w:rPr>
          <w:spacing w:val="-1"/>
        </w:rPr>
        <w:t> </w:t>
      </w:r>
      <w:r>
        <w:rPr>
          <w:spacing w:val="-8"/>
        </w:rPr>
        <w:t>and</w:t>
      </w:r>
      <w:r>
        <w:rPr>
          <w:spacing w:val="-2"/>
        </w:rPr>
        <w:t> </w:t>
      </w:r>
      <w:r>
        <w:rPr>
          <w:spacing w:val="-8"/>
        </w:rPr>
        <w:t>Science</w:t>
      </w:r>
    </w:p>
    <w:p>
      <w:pPr>
        <w:pStyle w:val="ListParagraph"/>
        <w:numPr>
          <w:ilvl w:val="0"/>
          <w:numId w:val="86"/>
        </w:numPr>
        <w:tabs>
          <w:tab w:pos="756" w:val="left" w:leader="none"/>
        </w:tabs>
        <w:spacing w:line="266" w:lineRule="auto" w:before="117" w:after="0"/>
        <w:ind w:left="756" w:right="3411" w:hanging="360"/>
        <w:jc w:val="left"/>
        <w:rPr>
          <w:sz w:val="22"/>
        </w:rPr>
      </w:pPr>
      <w:r>
        <w:rPr>
          <w:spacing w:val="-4"/>
          <w:sz w:val="22"/>
        </w:rPr>
        <w:t>Dr.</w:t>
      </w:r>
      <w:r>
        <w:rPr>
          <w:spacing w:val="-10"/>
          <w:sz w:val="22"/>
        </w:rPr>
        <w:t> </w:t>
      </w:r>
      <w:r>
        <w:rPr>
          <w:spacing w:val="-4"/>
          <w:sz w:val="22"/>
        </w:rPr>
        <w:t>Padma</w:t>
      </w:r>
      <w:r>
        <w:rPr>
          <w:spacing w:val="-10"/>
          <w:sz w:val="22"/>
        </w:rPr>
        <w:t> </w:t>
      </w:r>
      <w:r>
        <w:rPr>
          <w:spacing w:val="-4"/>
          <w:sz w:val="22"/>
        </w:rPr>
        <w:t>Sarangapani </w:t>
      </w:r>
      <w:r>
        <w:rPr>
          <w:sz w:val="22"/>
        </w:rPr>
        <w:t>DQEP, NIAS</w:t>
      </w:r>
    </w:p>
    <w:p>
      <w:pPr>
        <w:pStyle w:val="ListParagraph"/>
        <w:numPr>
          <w:ilvl w:val="0"/>
          <w:numId w:val="86"/>
        </w:numPr>
        <w:tabs>
          <w:tab w:pos="755" w:val="left" w:leader="none"/>
        </w:tabs>
        <w:spacing w:line="240" w:lineRule="auto" w:before="88" w:after="0"/>
        <w:ind w:left="755" w:right="0" w:hanging="359"/>
        <w:jc w:val="left"/>
        <w:rPr>
          <w:sz w:val="22"/>
        </w:rPr>
      </w:pPr>
      <w:r>
        <w:rPr>
          <w:spacing w:val="-4"/>
          <w:sz w:val="22"/>
        </w:rPr>
        <w:t>Dr.</w:t>
      </w:r>
      <w:r>
        <w:rPr>
          <w:spacing w:val="-5"/>
          <w:sz w:val="22"/>
        </w:rPr>
        <w:t> </w:t>
      </w:r>
      <w:r>
        <w:rPr>
          <w:spacing w:val="-4"/>
          <w:sz w:val="22"/>
        </w:rPr>
        <w:t>Sonali</w:t>
      </w:r>
      <w:r>
        <w:rPr>
          <w:spacing w:val="-5"/>
          <w:sz w:val="22"/>
        </w:rPr>
        <w:t> Nag</w:t>
      </w:r>
    </w:p>
    <w:p>
      <w:pPr>
        <w:pStyle w:val="BodyText"/>
        <w:spacing w:before="27"/>
        <w:ind w:left="756"/>
      </w:pPr>
      <w:r>
        <w:rPr>
          <w:spacing w:val="-2"/>
        </w:rPr>
        <w:t>The</w:t>
      </w:r>
      <w:r>
        <w:rPr>
          <w:spacing w:val="-11"/>
        </w:rPr>
        <w:t> </w:t>
      </w:r>
      <w:r>
        <w:rPr>
          <w:spacing w:val="-2"/>
        </w:rPr>
        <w:t>Promise</w:t>
      </w:r>
      <w:r>
        <w:rPr>
          <w:spacing w:val="-10"/>
        </w:rPr>
        <w:t> </w:t>
      </w:r>
      <w:r>
        <w:rPr>
          <w:spacing w:val="-2"/>
        </w:rPr>
        <w:t>Foundation</w:t>
      </w:r>
    </w:p>
    <w:p>
      <w:pPr>
        <w:pStyle w:val="ListParagraph"/>
        <w:numPr>
          <w:ilvl w:val="0"/>
          <w:numId w:val="86"/>
        </w:numPr>
        <w:tabs>
          <w:tab w:pos="756" w:val="left" w:leader="none"/>
        </w:tabs>
        <w:spacing w:line="266" w:lineRule="auto" w:before="117" w:after="0"/>
        <w:ind w:left="756" w:right="3163" w:hanging="360"/>
        <w:jc w:val="left"/>
        <w:rPr>
          <w:sz w:val="22"/>
        </w:rPr>
      </w:pPr>
      <w:r>
        <w:rPr>
          <w:spacing w:val="-4"/>
          <w:sz w:val="22"/>
        </w:rPr>
        <w:t>Ms.</w:t>
      </w:r>
      <w:r>
        <w:rPr>
          <w:spacing w:val="-9"/>
          <w:sz w:val="22"/>
        </w:rPr>
        <w:t> </w:t>
      </w:r>
      <w:r>
        <w:rPr>
          <w:spacing w:val="-4"/>
          <w:sz w:val="22"/>
        </w:rPr>
        <w:t>Mythili</w:t>
      </w:r>
      <w:r>
        <w:rPr>
          <w:spacing w:val="-9"/>
          <w:sz w:val="22"/>
        </w:rPr>
        <w:t> </w:t>
      </w:r>
      <w:r>
        <w:rPr>
          <w:spacing w:val="-4"/>
          <w:sz w:val="22"/>
        </w:rPr>
        <w:t>Ramachandra </w:t>
      </w:r>
      <w:r>
        <w:rPr>
          <w:sz w:val="22"/>
        </w:rPr>
        <w:t>Rishi Valley Foundation</w:t>
      </w:r>
    </w:p>
    <w:p>
      <w:pPr>
        <w:pStyle w:val="ListParagraph"/>
        <w:numPr>
          <w:ilvl w:val="0"/>
          <w:numId w:val="86"/>
        </w:numPr>
        <w:tabs>
          <w:tab w:pos="755" w:val="left" w:leader="none"/>
        </w:tabs>
        <w:spacing w:line="240" w:lineRule="auto" w:before="88" w:after="0"/>
        <w:ind w:left="755" w:right="0" w:hanging="359"/>
        <w:jc w:val="left"/>
        <w:rPr>
          <w:sz w:val="22"/>
        </w:rPr>
      </w:pPr>
      <w:r>
        <w:rPr>
          <w:spacing w:val="-6"/>
          <w:sz w:val="22"/>
        </w:rPr>
        <w:t>Kamal </w:t>
      </w:r>
      <w:r>
        <w:rPr>
          <w:spacing w:val="-2"/>
          <w:sz w:val="22"/>
        </w:rPr>
        <w:t>Peter</w:t>
      </w:r>
    </w:p>
    <w:p>
      <w:pPr>
        <w:pStyle w:val="BodyText"/>
        <w:spacing w:before="27"/>
        <w:ind w:left="756"/>
      </w:pPr>
      <w:r>
        <w:rPr>
          <w:spacing w:val="-2"/>
        </w:rPr>
        <w:t>Oracle</w:t>
      </w:r>
      <w:r>
        <w:rPr>
          <w:spacing w:val="-10"/>
        </w:rPr>
        <w:t> </w:t>
      </w:r>
      <w:r>
        <w:rPr>
          <w:spacing w:val="-2"/>
        </w:rPr>
        <w:t>Education</w:t>
      </w:r>
      <w:r>
        <w:rPr>
          <w:spacing w:val="-9"/>
        </w:rPr>
        <w:t> </w:t>
      </w:r>
      <w:r>
        <w:rPr>
          <w:spacing w:val="-2"/>
        </w:rPr>
        <w:t>Initiative</w:t>
      </w:r>
    </w:p>
    <w:p>
      <w:pPr>
        <w:pStyle w:val="ListParagraph"/>
        <w:numPr>
          <w:ilvl w:val="0"/>
          <w:numId w:val="86"/>
        </w:numPr>
        <w:tabs>
          <w:tab w:pos="755" w:val="left" w:leader="none"/>
        </w:tabs>
        <w:spacing w:line="240" w:lineRule="auto" w:before="117" w:after="0"/>
        <w:ind w:left="755" w:right="0" w:hanging="359"/>
        <w:jc w:val="left"/>
        <w:rPr>
          <w:sz w:val="22"/>
        </w:rPr>
      </w:pPr>
      <w:r>
        <w:rPr>
          <w:spacing w:val="-6"/>
          <w:sz w:val="22"/>
        </w:rPr>
        <w:t>Sister</w:t>
      </w:r>
      <w:r>
        <w:rPr>
          <w:spacing w:val="-3"/>
          <w:sz w:val="22"/>
        </w:rPr>
        <w:t> </w:t>
      </w:r>
      <w:r>
        <w:rPr>
          <w:spacing w:val="-6"/>
          <w:sz w:val="22"/>
        </w:rPr>
        <w:t>Cecilia</w:t>
      </w:r>
      <w:r>
        <w:rPr>
          <w:spacing w:val="-3"/>
          <w:sz w:val="22"/>
        </w:rPr>
        <w:t> </w:t>
      </w:r>
      <w:r>
        <w:rPr>
          <w:spacing w:val="-6"/>
          <w:sz w:val="22"/>
        </w:rPr>
        <w:t>D’</w:t>
      </w:r>
      <w:r>
        <w:rPr>
          <w:spacing w:val="-3"/>
          <w:sz w:val="22"/>
        </w:rPr>
        <w:t> </w:t>
      </w:r>
      <w:r>
        <w:rPr>
          <w:spacing w:val="-6"/>
          <w:sz w:val="22"/>
        </w:rPr>
        <w:t>Souza</w:t>
      </w:r>
    </w:p>
    <w:p>
      <w:pPr>
        <w:pStyle w:val="BodyText"/>
        <w:spacing w:line="266" w:lineRule="auto" w:before="28"/>
        <w:ind w:left="756" w:right="2244"/>
      </w:pPr>
      <w:r>
        <w:rPr>
          <w:spacing w:val="-4"/>
        </w:rPr>
        <w:t>Maria</w:t>
      </w:r>
      <w:r>
        <w:rPr>
          <w:spacing w:val="-10"/>
        </w:rPr>
        <w:t> </w:t>
      </w:r>
      <w:r>
        <w:rPr>
          <w:spacing w:val="-4"/>
        </w:rPr>
        <w:t>Krupa,</w:t>
      </w:r>
      <w:r>
        <w:rPr>
          <w:spacing w:val="-10"/>
        </w:rPr>
        <w:t> </w:t>
      </w:r>
      <w:r>
        <w:rPr>
          <w:spacing w:val="-4"/>
        </w:rPr>
        <w:t>Provincial</w:t>
      </w:r>
      <w:r>
        <w:rPr>
          <w:spacing w:val="-10"/>
        </w:rPr>
        <w:t> </w:t>
      </w:r>
      <w:r>
        <w:rPr>
          <w:spacing w:val="-4"/>
        </w:rPr>
        <w:t>Head </w:t>
      </w:r>
      <w:r>
        <w:rPr>
          <w:spacing w:val="-2"/>
        </w:rPr>
        <w:t>Mysore</w:t>
      </w:r>
    </w:p>
    <w:p>
      <w:pPr>
        <w:pStyle w:val="ListParagraph"/>
        <w:numPr>
          <w:ilvl w:val="0"/>
          <w:numId w:val="86"/>
        </w:numPr>
        <w:tabs>
          <w:tab w:pos="755" w:val="left" w:leader="none"/>
        </w:tabs>
        <w:spacing w:line="240" w:lineRule="auto" w:before="88" w:after="0"/>
        <w:ind w:left="755" w:right="0" w:hanging="359"/>
        <w:jc w:val="left"/>
        <w:rPr>
          <w:sz w:val="22"/>
        </w:rPr>
      </w:pPr>
      <w:r>
        <w:rPr>
          <w:spacing w:val="-2"/>
          <w:sz w:val="22"/>
        </w:rPr>
        <w:t>Ms.</w:t>
      </w:r>
      <w:r>
        <w:rPr>
          <w:spacing w:val="-5"/>
          <w:sz w:val="22"/>
        </w:rPr>
        <w:t> </w:t>
      </w:r>
      <w:r>
        <w:rPr>
          <w:spacing w:val="-2"/>
          <w:sz w:val="22"/>
        </w:rPr>
        <w:t>Mamatha</w:t>
      </w:r>
      <w:r>
        <w:rPr>
          <w:spacing w:val="-4"/>
          <w:sz w:val="22"/>
        </w:rPr>
        <w:t> M.R.</w:t>
      </w:r>
    </w:p>
    <w:p>
      <w:pPr>
        <w:pStyle w:val="BodyText"/>
        <w:spacing w:before="27"/>
        <w:ind w:left="756"/>
      </w:pPr>
      <w:r>
        <w:rPr>
          <w:spacing w:val="-8"/>
        </w:rPr>
        <w:t>Swami</w:t>
      </w:r>
      <w:r>
        <w:rPr>
          <w:spacing w:val="2"/>
        </w:rPr>
        <w:t> </w:t>
      </w:r>
      <w:r>
        <w:rPr>
          <w:spacing w:val="-8"/>
        </w:rPr>
        <w:t>Vivekananda</w:t>
      </w:r>
      <w:r>
        <w:rPr>
          <w:spacing w:val="2"/>
        </w:rPr>
        <w:t> </w:t>
      </w:r>
      <w:r>
        <w:rPr>
          <w:spacing w:val="-8"/>
        </w:rPr>
        <w:t>Youth</w:t>
      </w:r>
      <w:r>
        <w:rPr>
          <w:spacing w:val="7"/>
        </w:rPr>
        <w:t> </w:t>
      </w:r>
      <w:r>
        <w:rPr>
          <w:spacing w:val="-8"/>
        </w:rPr>
        <w:t>Movement</w:t>
      </w:r>
      <w:r>
        <w:rPr>
          <w:spacing w:val="6"/>
        </w:rPr>
        <w:t> </w:t>
      </w:r>
      <w:r>
        <w:rPr>
          <w:spacing w:val="-8"/>
        </w:rPr>
        <w:t>(SVYM)</w:t>
      </w:r>
    </w:p>
    <w:p>
      <w:pPr>
        <w:pStyle w:val="ListParagraph"/>
        <w:numPr>
          <w:ilvl w:val="0"/>
          <w:numId w:val="86"/>
        </w:numPr>
        <w:tabs>
          <w:tab w:pos="756" w:val="left" w:leader="none"/>
        </w:tabs>
        <w:spacing w:line="266" w:lineRule="auto" w:before="117" w:after="0"/>
        <w:ind w:left="756" w:right="4361" w:hanging="360"/>
        <w:jc w:val="left"/>
        <w:rPr>
          <w:sz w:val="22"/>
        </w:rPr>
      </w:pPr>
      <w:r>
        <w:rPr>
          <w:spacing w:val="-2"/>
          <w:sz w:val="22"/>
        </w:rPr>
        <w:t>Ms.</w:t>
      </w:r>
      <w:r>
        <w:rPr>
          <w:spacing w:val="-12"/>
          <w:sz w:val="22"/>
        </w:rPr>
        <w:t> </w:t>
      </w:r>
      <w:r>
        <w:rPr>
          <w:spacing w:val="-2"/>
          <w:sz w:val="22"/>
        </w:rPr>
        <w:t>Malathi </w:t>
      </w:r>
      <w:r>
        <w:rPr>
          <w:spacing w:val="-4"/>
          <w:sz w:val="22"/>
        </w:rPr>
        <w:t>SVYM</w:t>
      </w:r>
    </w:p>
    <w:p>
      <w:pPr>
        <w:pStyle w:val="ListParagraph"/>
        <w:numPr>
          <w:ilvl w:val="0"/>
          <w:numId w:val="86"/>
        </w:numPr>
        <w:tabs>
          <w:tab w:pos="755" w:val="left" w:leader="none"/>
        </w:tabs>
        <w:spacing w:line="240" w:lineRule="auto" w:before="88" w:after="0"/>
        <w:ind w:left="755" w:right="0" w:hanging="359"/>
        <w:jc w:val="left"/>
        <w:rPr>
          <w:sz w:val="22"/>
        </w:rPr>
      </w:pPr>
      <w:r>
        <w:rPr>
          <w:spacing w:val="-6"/>
          <w:sz w:val="22"/>
        </w:rPr>
        <w:t>Mr.</w:t>
      </w:r>
      <w:r>
        <w:rPr>
          <w:spacing w:val="-4"/>
          <w:sz w:val="22"/>
        </w:rPr>
        <w:t> </w:t>
      </w:r>
      <w:r>
        <w:rPr>
          <w:spacing w:val="-6"/>
          <w:sz w:val="22"/>
        </w:rPr>
        <w:t>M.P.</w:t>
      </w:r>
      <w:r>
        <w:rPr>
          <w:spacing w:val="-7"/>
          <w:sz w:val="22"/>
        </w:rPr>
        <w:t> </w:t>
      </w:r>
      <w:r>
        <w:rPr>
          <w:spacing w:val="-6"/>
          <w:sz w:val="22"/>
        </w:rPr>
        <w:t>Vijayakumar</w:t>
      </w:r>
    </w:p>
    <w:p>
      <w:pPr>
        <w:pStyle w:val="BodyText"/>
        <w:spacing w:before="27"/>
        <w:ind w:left="756"/>
      </w:pPr>
      <w:r>
        <w:rPr>
          <w:spacing w:val="-6"/>
        </w:rPr>
        <w:t>State</w:t>
      </w:r>
      <w:r>
        <w:rPr>
          <w:spacing w:val="1"/>
        </w:rPr>
        <w:t> </w:t>
      </w:r>
      <w:r>
        <w:rPr>
          <w:spacing w:val="-6"/>
        </w:rPr>
        <w:t>project</w:t>
      </w:r>
      <w:r>
        <w:rPr>
          <w:spacing w:val="2"/>
        </w:rPr>
        <w:t> </w:t>
      </w:r>
      <w:r>
        <w:rPr>
          <w:spacing w:val="-6"/>
        </w:rPr>
        <w:t>Director,</w:t>
      </w:r>
      <w:r>
        <w:rPr>
          <w:spacing w:val="2"/>
        </w:rPr>
        <w:t> </w:t>
      </w:r>
      <w:r>
        <w:rPr>
          <w:spacing w:val="-6"/>
        </w:rPr>
        <w:t>Sarva</w:t>
      </w:r>
      <w:r>
        <w:rPr>
          <w:spacing w:val="1"/>
        </w:rPr>
        <w:t> </w:t>
      </w:r>
      <w:r>
        <w:rPr>
          <w:spacing w:val="-6"/>
        </w:rPr>
        <w:t>Shiksha</w:t>
      </w:r>
      <w:r>
        <w:rPr>
          <w:spacing w:val="2"/>
        </w:rPr>
        <w:t> </w:t>
      </w:r>
      <w:r>
        <w:rPr>
          <w:spacing w:val="-6"/>
        </w:rPr>
        <w:t>Abhiyan</w:t>
      </w:r>
    </w:p>
    <w:p>
      <w:pPr>
        <w:pStyle w:val="ListParagraph"/>
        <w:numPr>
          <w:ilvl w:val="0"/>
          <w:numId w:val="86"/>
        </w:numPr>
        <w:tabs>
          <w:tab w:pos="755" w:val="left" w:leader="none"/>
        </w:tabs>
        <w:spacing w:line="240" w:lineRule="auto" w:before="117" w:after="0"/>
        <w:ind w:left="755" w:right="0" w:hanging="359"/>
        <w:jc w:val="left"/>
        <w:rPr>
          <w:sz w:val="22"/>
        </w:rPr>
      </w:pPr>
      <w:r>
        <w:rPr>
          <w:sz w:val="22"/>
        </w:rPr>
        <w:t>Ms.</w:t>
      </w:r>
      <w:r>
        <w:rPr>
          <w:spacing w:val="-11"/>
          <w:sz w:val="22"/>
        </w:rPr>
        <w:t> </w:t>
      </w:r>
      <w:r>
        <w:rPr>
          <w:spacing w:val="-2"/>
          <w:sz w:val="22"/>
        </w:rPr>
        <w:t>Lakshmi</w:t>
      </w:r>
    </w:p>
    <w:p>
      <w:pPr>
        <w:pStyle w:val="BodyText"/>
        <w:spacing w:before="27"/>
        <w:ind w:left="756"/>
      </w:pPr>
      <w:r>
        <w:rPr>
          <w:spacing w:val="-2"/>
        </w:rPr>
        <w:t>Principal,</w:t>
      </w:r>
      <w:r>
        <w:rPr>
          <w:spacing w:val="-4"/>
        </w:rPr>
        <w:t> </w:t>
      </w:r>
      <w:r>
        <w:rPr>
          <w:spacing w:val="-2"/>
        </w:rPr>
        <w:t>Olcott</w:t>
      </w:r>
      <w:r>
        <w:rPr>
          <w:spacing w:val="-3"/>
        </w:rPr>
        <w:t> </w:t>
      </w:r>
      <w:r>
        <w:rPr>
          <w:spacing w:val="-2"/>
        </w:rPr>
        <w:t>Memorial</w:t>
      </w:r>
      <w:r>
        <w:rPr>
          <w:spacing w:val="-4"/>
        </w:rPr>
        <w:t> </w:t>
      </w:r>
      <w:r>
        <w:rPr>
          <w:spacing w:val="-2"/>
        </w:rPr>
        <w:t>High</w:t>
      </w:r>
      <w:r>
        <w:rPr>
          <w:spacing w:val="-3"/>
        </w:rPr>
        <w:t> </w:t>
      </w:r>
      <w:r>
        <w:rPr>
          <w:spacing w:val="-2"/>
        </w:rPr>
        <w:t>School</w:t>
      </w:r>
    </w:p>
    <w:p>
      <w:pPr>
        <w:pStyle w:val="ListParagraph"/>
        <w:numPr>
          <w:ilvl w:val="0"/>
          <w:numId w:val="86"/>
        </w:numPr>
        <w:tabs>
          <w:tab w:pos="755" w:val="left" w:leader="none"/>
        </w:tabs>
        <w:spacing w:line="240" w:lineRule="auto" w:before="117" w:after="0"/>
        <w:ind w:left="755" w:right="0" w:hanging="359"/>
        <w:jc w:val="left"/>
        <w:rPr>
          <w:sz w:val="22"/>
        </w:rPr>
      </w:pPr>
      <w:r>
        <w:rPr>
          <w:sz w:val="22"/>
        </w:rPr>
        <w:t>Mr.</w:t>
      </w:r>
      <w:r>
        <w:rPr>
          <w:spacing w:val="-12"/>
          <w:sz w:val="22"/>
        </w:rPr>
        <w:t> </w:t>
      </w:r>
      <w:r>
        <w:rPr>
          <w:spacing w:val="-2"/>
          <w:sz w:val="22"/>
        </w:rPr>
        <w:t>Muralidharan</w:t>
      </w:r>
    </w:p>
    <w:p>
      <w:pPr>
        <w:pStyle w:val="BodyText"/>
        <w:spacing w:before="27"/>
        <w:ind w:left="756"/>
      </w:pPr>
      <w:r>
        <w:rPr>
          <w:spacing w:val="-4"/>
        </w:rPr>
        <w:t>Founder-President,</w:t>
      </w:r>
      <w:r>
        <w:rPr>
          <w:spacing w:val="5"/>
        </w:rPr>
        <w:t> </w:t>
      </w:r>
      <w:r>
        <w:rPr>
          <w:spacing w:val="-4"/>
        </w:rPr>
        <w:t>Sevalaya</w:t>
      </w:r>
    </w:p>
    <w:p>
      <w:pPr>
        <w:pStyle w:val="ListParagraph"/>
        <w:numPr>
          <w:ilvl w:val="0"/>
          <w:numId w:val="86"/>
        </w:numPr>
        <w:tabs>
          <w:tab w:pos="755" w:val="left" w:leader="none"/>
        </w:tabs>
        <w:spacing w:line="240" w:lineRule="auto" w:before="117" w:after="0"/>
        <w:ind w:left="755" w:right="0" w:hanging="359"/>
        <w:jc w:val="left"/>
        <w:rPr>
          <w:sz w:val="22"/>
        </w:rPr>
      </w:pPr>
      <w:r>
        <w:rPr>
          <w:spacing w:val="-2"/>
          <w:sz w:val="22"/>
        </w:rPr>
        <w:t>Dr.</w:t>
      </w:r>
      <w:r>
        <w:rPr>
          <w:spacing w:val="-8"/>
          <w:sz w:val="22"/>
        </w:rPr>
        <w:t> </w:t>
      </w:r>
      <w:r>
        <w:rPr>
          <w:spacing w:val="-2"/>
          <w:sz w:val="22"/>
        </w:rPr>
        <w:t>Aruna</w:t>
      </w:r>
      <w:r>
        <w:rPr>
          <w:spacing w:val="-7"/>
          <w:sz w:val="22"/>
        </w:rPr>
        <w:t> </w:t>
      </w:r>
      <w:r>
        <w:rPr>
          <w:spacing w:val="-2"/>
          <w:sz w:val="22"/>
        </w:rPr>
        <w:t>Ratnam</w:t>
      </w:r>
    </w:p>
    <w:p>
      <w:pPr>
        <w:pStyle w:val="BodyText"/>
        <w:spacing w:before="27"/>
        <w:ind w:left="756"/>
      </w:pPr>
      <w:r>
        <w:rPr>
          <w:spacing w:val="-4"/>
        </w:rPr>
        <w:t>Project</w:t>
      </w:r>
      <w:r>
        <w:rPr>
          <w:spacing w:val="-5"/>
        </w:rPr>
        <w:t> </w:t>
      </w:r>
      <w:r>
        <w:rPr>
          <w:spacing w:val="-4"/>
        </w:rPr>
        <w:t>Officer, Education,</w:t>
      </w:r>
      <w:r>
        <w:rPr>
          <w:spacing w:val="-5"/>
        </w:rPr>
        <w:t> </w:t>
      </w:r>
      <w:r>
        <w:rPr>
          <w:spacing w:val="-4"/>
        </w:rPr>
        <w:t>UNICEF</w:t>
      </w:r>
    </w:p>
    <w:p>
      <w:pPr>
        <w:pStyle w:val="ListParagraph"/>
        <w:numPr>
          <w:ilvl w:val="0"/>
          <w:numId w:val="86"/>
        </w:numPr>
        <w:tabs>
          <w:tab w:pos="755" w:val="left" w:leader="none"/>
        </w:tabs>
        <w:spacing w:line="240" w:lineRule="auto" w:before="118" w:after="0"/>
        <w:ind w:left="755" w:right="0" w:hanging="359"/>
        <w:jc w:val="left"/>
        <w:rPr>
          <w:sz w:val="22"/>
        </w:rPr>
      </w:pPr>
      <w:r>
        <w:rPr>
          <w:spacing w:val="-6"/>
          <w:sz w:val="22"/>
        </w:rPr>
        <w:t>Mr.</w:t>
      </w:r>
      <w:r>
        <w:rPr>
          <w:spacing w:val="-7"/>
          <w:sz w:val="22"/>
        </w:rPr>
        <w:t> </w:t>
      </w:r>
      <w:r>
        <w:rPr>
          <w:spacing w:val="-6"/>
          <w:sz w:val="22"/>
        </w:rPr>
        <w:t>Balaji Sampath</w:t>
      </w:r>
    </w:p>
    <w:p>
      <w:pPr>
        <w:pStyle w:val="BodyText"/>
        <w:spacing w:before="27"/>
        <w:ind w:left="756"/>
      </w:pPr>
      <w:r>
        <w:rPr>
          <w:spacing w:val="-4"/>
        </w:rPr>
        <w:t>Tamil</w:t>
      </w:r>
      <w:r>
        <w:rPr>
          <w:spacing w:val="-9"/>
        </w:rPr>
        <w:t> </w:t>
      </w:r>
      <w:r>
        <w:rPr>
          <w:spacing w:val="-4"/>
        </w:rPr>
        <w:t>Nadu</w:t>
      </w:r>
      <w:r>
        <w:rPr>
          <w:spacing w:val="-8"/>
        </w:rPr>
        <w:t> </w:t>
      </w:r>
      <w:r>
        <w:rPr>
          <w:spacing w:val="-4"/>
        </w:rPr>
        <w:t>Science</w:t>
      </w:r>
      <w:r>
        <w:rPr>
          <w:spacing w:val="-9"/>
        </w:rPr>
        <w:t> </w:t>
      </w:r>
      <w:r>
        <w:rPr>
          <w:spacing w:val="-4"/>
        </w:rPr>
        <w:t>Forum</w:t>
      </w:r>
    </w:p>
    <w:p>
      <w:pPr>
        <w:pStyle w:val="ListParagraph"/>
        <w:numPr>
          <w:ilvl w:val="0"/>
          <w:numId w:val="86"/>
        </w:numPr>
        <w:tabs>
          <w:tab w:pos="755" w:val="left" w:leader="none"/>
        </w:tabs>
        <w:spacing w:line="240" w:lineRule="auto" w:before="117" w:after="0"/>
        <w:ind w:left="755" w:right="0" w:hanging="359"/>
        <w:jc w:val="left"/>
        <w:rPr>
          <w:sz w:val="22"/>
        </w:rPr>
      </w:pPr>
      <w:r>
        <w:rPr>
          <w:sz w:val="22"/>
        </w:rPr>
        <w:t>Mr.</w:t>
      </w:r>
      <w:r>
        <w:rPr>
          <w:spacing w:val="-13"/>
          <w:sz w:val="22"/>
        </w:rPr>
        <w:t> </w:t>
      </w:r>
      <w:r>
        <w:rPr>
          <w:sz w:val="22"/>
        </w:rPr>
        <w:t>S.M.</w:t>
      </w:r>
      <w:r>
        <w:rPr>
          <w:spacing w:val="-12"/>
          <w:sz w:val="22"/>
        </w:rPr>
        <w:t> </w:t>
      </w:r>
      <w:r>
        <w:rPr>
          <w:spacing w:val="-2"/>
          <w:sz w:val="22"/>
        </w:rPr>
        <w:t>Arasu</w:t>
      </w:r>
    </w:p>
    <w:p>
      <w:pPr>
        <w:pStyle w:val="BodyText"/>
        <w:spacing w:before="27"/>
        <w:ind w:left="756"/>
      </w:pPr>
      <w:r>
        <w:rPr>
          <w:spacing w:val="-4"/>
        </w:rPr>
        <w:t>Prime</w:t>
      </w:r>
      <w:r>
        <w:rPr>
          <w:spacing w:val="-9"/>
        </w:rPr>
        <w:t> </w:t>
      </w:r>
      <w:r>
        <w:rPr>
          <w:spacing w:val="-4"/>
        </w:rPr>
        <w:t>Educational</w:t>
      </w:r>
      <w:r>
        <w:rPr>
          <w:spacing w:val="-5"/>
        </w:rPr>
        <w:t> </w:t>
      </w:r>
      <w:r>
        <w:rPr>
          <w:spacing w:val="-4"/>
        </w:rPr>
        <w:t>and</w:t>
      </w:r>
      <w:r>
        <w:rPr>
          <w:spacing w:val="-5"/>
        </w:rPr>
        <w:t> </w:t>
      </w:r>
      <w:r>
        <w:rPr>
          <w:spacing w:val="-4"/>
        </w:rPr>
        <w:t>Social</w:t>
      </w:r>
      <w:r>
        <w:rPr>
          <w:spacing w:val="-10"/>
        </w:rPr>
        <w:t> </w:t>
      </w:r>
      <w:r>
        <w:rPr>
          <w:spacing w:val="-4"/>
        </w:rPr>
        <w:t>Trust</w:t>
      </w:r>
    </w:p>
    <w:p>
      <w:pPr>
        <w:spacing w:after="0"/>
        <w:sectPr>
          <w:pgSz w:w="11910" w:h="16840"/>
          <w:pgMar w:header="0" w:footer="675" w:top="940" w:bottom="860" w:left="0" w:right="0"/>
          <w:cols w:num="2" w:equalWidth="0">
            <w:col w:w="5696" w:space="40"/>
            <w:col w:w="6174"/>
          </w:cols>
        </w:sectPr>
      </w:pPr>
    </w:p>
    <w:p>
      <w:pPr>
        <w:pStyle w:val="ListParagraph"/>
        <w:numPr>
          <w:ilvl w:val="0"/>
          <w:numId w:val="86"/>
        </w:numPr>
        <w:tabs>
          <w:tab w:pos="1439" w:val="left" w:leader="none"/>
        </w:tabs>
        <w:spacing w:line="240" w:lineRule="auto" w:before="57" w:after="0"/>
        <w:ind w:left="1439" w:right="0" w:hanging="359"/>
        <w:jc w:val="left"/>
        <w:rPr>
          <w:sz w:val="22"/>
        </w:rPr>
      </w:pPr>
      <w:r>
        <w:rPr>
          <w:sz w:val="22"/>
        </w:rPr>
        <w:t>Mr.</w:t>
      </w:r>
      <w:r>
        <w:rPr>
          <w:spacing w:val="-12"/>
          <w:sz w:val="22"/>
        </w:rPr>
        <w:t> </w:t>
      </w:r>
      <w:r>
        <w:rPr>
          <w:spacing w:val="-2"/>
          <w:sz w:val="22"/>
        </w:rPr>
        <w:t>Desigan</w:t>
      </w:r>
    </w:p>
    <w:p>
      <w:pPr>
        <w:pStyle w:val="ListParagraph"/>
        <w:numPr>
          <w:ilvl w:val="0"/>
          <w:numId w:val="86"/>
        </w:numPr>
        <w:tabs>
          <w:tab w:pos="1439" w:val="left" w:leader="none"/>
        </w:tabs>
        <w:spacing w:line="240" w:lineRule="auto" w:before="117" w:after="0"/>
        <w:ind w:left="1439" w:right="0" w:hanging="359"/>
        <w:jc w:val="left"/>
        <w:rPr>
          <w:sz w:val="22"/>
        </w:rPr>
      </w:pPr>
      <w:r>
        <w:rPr>
          <w:spacing w:val="-4"/>
          <w:sz w:val="22"/>
        </w:rPr>
        <w:t>Mr.</w:t>
      </w:r>
      <w:r>
        <w:rPr>
          <w:spacing w:val="-6"/>
          <w:sz w:val="22"/>
        </w:rPr>
        <w:t> </w:t>
      </w:r>
      <w:r>
        <w:rPr>
          <w:spacing w:val="-4"/>
          <w:sz w:val="22"/>
        </w:rPr>
        <w:t>K.T.</w:t>
      </w:r>
      <w:r>
        <w:rPr>
          <w:spacing w:val="-5"/>
          <w:sz w:val="22"/>
        </w:rPr>
        <w:t> </w:t>
      </w:r>
      <w:r>
        <w:rPr>
          <w:spacing w:val="-4"/>
          <w:sz w:val="22"/>
        </w:rPr>
        <w:t>Radhakrishna</w:t>
      </w:r>
    </w:p>
    <w:p>
      <w:pPr>
        <w:pStyle w:val="BodyText"/>
        <w:spacing w:before="27"/>
        <w:ind w:left="1439"/>
      </w:pPr>
      <w:r>
        <w:rPr>
          <w:spacing w:val="-6"/>
        </w:rPr>
        <w:t>Kerala</w:t>
      </w:r>
      <w:r>
        <w:rPr>
          <w:spacing w:val="-8"/>
        </w:rPr>
        <w:t> </w:t>
      </w:r>
      <w:r>
        <w:rPr>
          <w:spacing w:val="-6"/>
        </w:rPr>
        <w:t>Sahitya</w:t>
      </w:r>
      <w:r>
        <w:rPr>
          <w:spacing w:val="-8"/>
        </w:rPr>
        <w:t> </w:t>
      </w:r>
      <w:r>
        <w:rPr>
          <w:spacing w:val="-6"/>
        </w:rPr>
        <w:t>Shastra</w:t>
      </w:r>
      <w:r>
        <w:rPr>
          <w:spacing w:val="-7"/>
        </w:rPr>
        <w:t> </w:t>
      </w:r>
      <w:r>
        <w:rPr>
          <w:spacing w:val="-6"/>
        </w:rPr>
        <w:t>Parishad</w:t>
      </w:r>
    </w:p>
    <w:p>
      <w:pPr>
        <w:pStyle w:val="ListParagraph"/>
        <w:numPr>
          <w:ilvl w:val="0"/>
          <w:numId w:val="86"/>
        </w:numPr>
        <w:tabs>
          <w:tab w:pos="1439" w:val="left" w:leader="none"/>
        </w:tabs>
        <w:spacing w:line="240" w:lineRule="auto" w:before="117" w:after="0"/>
        <w:ind w:left="1439" w:right="0" w:hanging="359"/>
        <w:jc w:val="left"/>
        <w:rPr>
          <w:sz w:val="22"/>
        </w:rPr>
      </w:pPr>
      <w:r>
        <w:rPr>
          <w:spacing w:val="-2"/>
          <w:sz w:val="22"/>
        </w:rPr>
        <w:t>Dr.</w:t>
      </w:r>
      <w:r>
        <w:rPr>
          <w:spacing w:val="-10"/>
          <w:sz w:val="22"/>
        </w:rPr>
        <w:t> </w:t>
      </w:r>
      <w:r>
        <w:rPr>
          <w:spacing w:val="-2"/>
          <w:sz w:val="22"/>
        </w:rPr>
        <w:t>Ajit</w:t>
      </w:r>
      <w:r>
        <w:rPr>
          <w:spacing w:val="-9"/>
          <w:sz w:val="22"/>
        </w:rPr>
        <w:t> </w:t>
      </w:r>
      <w:r>
        <w:rPr>
          <w:spacing w:val="-2"/>
          <w:sz w:val="22"/>
        </w:rPr>
        <w:t>Kumar</w:t>
      </w:r>
    </w:p>
    <w:p>
      <w:pPr>
        <w:pStyle w:val="BodyText"/>
        <w:spacing w:line="266" w:lineRule="auto" w:before="27"/>
        <w:ind w:left="1439"/>
      </w:pPr>
      <w:r>
        <w:rPr>
          <w:spacing w:val="-4"/>
        </w:rPr>
        <w:t>Director, Centre for Socio-Economic </w:t>
      </w:r>
      <w:r>
        <w:rPr>
          <w:spacing w:val="-4"/>
        </w:rPr>
        <w:t>and </w:t>
      </w:r>
      <w:r>
        <w:rPr/>
        <w:t>Environmental Studies (CSES)</w:t>
      </w:r>
    </w:p>
    <w:p>
      <w:pPr>
        <w:pStyle w:val="ListParagraph"/>
        <w:numPr>
          <w:ilvl w:val="0"/>
          <w:numId w:val="86"/>
        </w:numPr>
        <w:tabs>
          <w:tab w:pos="1439" w:val="left" w:leader="none"/>
        </w:tabs>
        <w:spacing w:line="240" w:lineRule="auto" w:before="89" w:after="0"/>
        <w:ind w:left="1439" w:right="0" w:hanging="359"/>
        <w:jc w:val="left"/>
        <w:rPr>
          <w:sz w:val="22"/>
        </w:rPr>
      </w:pPr>
      <w:r>
        <w:rPr>
          <w:sz w:val="22"/>
        </w:rPr>
        <w:t>Dr.</w:t>
      </w:r>
      <w:r>
        <w:rPr>
          <w:spacing w:val="-8"/>
          <w:sz w:val="22"/>
        </w:rPr>
        <w:t> </w:t>
      </w:r>
      <w:r>
        <w:rPr>
          <w:sz w:val="22"/>
        </w:rPr>
        <w:t>K.M.</w:t>
      </w:r>
      <w:r>
        <w:rPr>
          <w:spacing w:val="-7"/>
          <w:sz w:val="22"/>
        </w:rPr>
        <w:t> </w:t>
      </w:r>
      <w:r>
        <w:rPr>
          <w:spacing w:val="-2"/>
          <w:sz w:val="22"/>
        </w:rPr>
        <w:t>Unnikrishnan</w:t>
      </w:r>
    </w:p>
    <w:p>
      <w:pPr>
        <w:pStyle w:val="BodyText"/>
        <w:spacing w:before="27"/>
        <w:ind w:left="1439"/>
      </w:pPr>
      <w:r>
        <w:rPr>
          <w:spacing w:val="-4"/>
        </w:rPr>
        <w:t>Senior</w:t>
      </w:r>
      <w:r>
        <w:rPr/>
        <w:t> </w:t>
      </w:r>
      <w:r>
        <w:rPr>
          <w:spacing w:val="-4"/>
        </w:rPr>
        <w:t>Lecturer,</w:t>
      </w:r>
      <w:r>
        <w:rPr/>
        <w:t> </w:t>
      </w:r>
      <w:r>
        <w:rPr>
          <w:spacing w:val="-4"/>
        </w:rPr>
        <w:t>DIET</w:t>
      </w:r>
      <w:r>
        <w:rPr/>
        <w:t> </w:t>
      </w:r>
      <w:r>
        <w:rPr>
          <w:spacing w:val="-4"/>
        </w:rPr>
        <w:t>Kasaragod</w:t>
      </w:r>
    </w:p>
    <w:p>
      <w:pPr>
        <w:pStyle w:val="ListParagraph"/>
        <w:numPr>
          <w:ilvl w:val="0"/>
          <w:numId w:val="86"/>
        </w:numPr>
        <w:tabs>
          <w:tab w:pos="1439" w:val="left" w:leader="none"/>
        </w:tabs>
        <w:spacing w:line="240" w:lineRule="auto" w:before="117" w:after="0"/>
        <w:ind w:left="1439" w:right="0" w:hanging="359"/>
        <w:jc w:val="left"/>
        <w:rPr>
          <w:sz w:val="22"/>
        </w:rPr>
      </w:pPr>
      <w:r>
        <w:rPr>
          <w:sz w:val="22"/>
        </w:rPr>
        <w:t>Mr.</w:t>
      </w:r>
      <w:r>
        <w:rPr>
          <w:spacing w:val="-3"/>
          <w:sz w:val="22"/>
        </w:rPr>
        <w:t> </w:t>
      </w:r>
      <w:r>
        <w:rPr>
          <w:sz w:val="22"/>
        </w:rPr>
        <w:t>C.</w:t>
      </w:r>
      <w:r>
        <w:rPr>
          <w:spacing w:val="-3"/>
          <w:sz w:val="22"/>
        </w:rPr>
        <w:t> </w:t>
      </w:r>
      <w:r>
        <w:rPr>
          <w:spacing w:val="-2"/>
          <w:sz w:val="22"/>
        </w:rPr>
        <w:t>Madhusudhanan</w:t>
      </w:r>
    </w:p>
    <w:p>
      <w:pPr>
        <w:pStyle w:val="ListParagraph"/>
        <w:numPr>
          <w:ilvl w:val="0"/>
          <w:numId w:val="86"/>
        </w:numPr>
        <w:tabs>
          <w:tab w:pos="1440" w:val="left" w:leader="none"/>
        </w:tabs>
        <w:spacing w:line="266" w:lineRule="auto" w:before="117" w:after="0"/>
        <w:ind w:left="1440" w:right="3089" w:hanging="360"/>
        <w:jc w:val="left"/>
        <w:rPr>
          <w:sz w:val="22"/>
        </w:rPr>
      </w:pPr>
      <w:r>
        <w:rPr>
          <w:spacing w:val="-4"/>
          <w:sz w:val="22"/>
        </w:rPr>
        <w:t>Ms.</w:t>
      </w:r>
      <w:r>
        <w:rPr>
          <w:spacing w:val="-10"/>
          <w:sz w:val="22"/>
        </w:rPr>
        <w:t> </w:t>
      </w:r>
      <w:r>
        <w:rPr>
          <w:spacing w:val="-4"/>
          <w:sz w:val="22"/>
        </w:rPr>
        <w:t>K.</w:t>
      </w:r>
      <w:r>
        <w:rPr>
          <w:spacing w:val="-10"/>
          <w:sz w:val="22"/>
        </w:rPr>
        <w:t> </w:t>
      </w:r>
      <w:r>
        <w:rPr>
          <w:spacing w:val="-4"/>
          <w:sz w:val="22"/>
        </w:rPr>
        <w:t>Latha NIAS</w:t>
      </w:r>
    </w:p>
    <w:p>
      <w:pPr>
        <w:pStyle w:val="BodyText"/>
        <w:spacing w:before="25"/>
      </w:pPr>
    </w:p>
    <w:p>
      <w:pPr>
        <w:spacing w:line="266" w:lineRule="auto" w:before="0"/>
        <w:ind w:left="1080" w:right="0" w:firstLine="0"/>
        <w:jc w:val="left"/>
        <w:rPr>
          <w:b/>
          <w:i/>
          <w:sz w:val="22"/>
        </w:rPr>
      </w:pPr>
      <w:r>
        <w:rPr>
          <w:b/>
          <w:i/>
          <w:spacing w:val="-6"/>
          <w:sz w:val="22"/>
        </w:rPr>
        <w:t>Central</w:t>
      </w:r>
      <w:r>
        <w:rPr>
          <w:b/>
          <w:i/>
          <w:spacing w:val="-10"/>
          <w:sz w:val="22"/>
        </w:rPr>
        <w:t> </w:t>
      </w:r>
      <w:r>
        <w:rPr>
          <w:b/>
          <w:i/>
          <w:spacing w:val="-6"/>
          <w:sz w:val="22"/>
        </w:rPr>
        <w:t>Region</w:t>
      </w:r>
      <w:r>
        <w:rPr>
          <w:b/>
          <w:i/>
          <w:spacing w:val="-8"/>
          <w:sz w:val="22"/>
        </w:rPr>
        <w:t> </w:t>
      </w:r>
      <w:r>
        <w:rPr>
          <w:b/>
          <w:i/>
          <w:spacing w:val="-6"/>
          <w:sz w:val="22"/>
        </w:rPr>
        <w:t>at</w:t>
      </w:r>
      <w:r>
        <w:rPr>
          <w:b/>
          <w:i/>
          <w:spacing w:val="-8"/>
          <w:sz w:val="22"/>
        </w:rPr>
        <w:t> </w:t>
      </w:r>
      <w:r>
        <w:rPr>
          <w:b/>
          <w:i/>
          <w:spacing w:val="-6"/>
          <w:sz w:val="22"/>
        </w:rPr>
        <w:t>IIM,</w:t>
      </w:r>
      <w:r>
        <w:rPr>
          <w:b/>
          <w:i/>
          <w:spacing w:val="-7"/>
          <w:sz w:val="22"/>
        </w:rPr>
        <w:t> </w:t>
      </w:r>
      <w:r>
        <w:rPr>
          <w:b/>
          <w:i/>
          <w:spacing w:val="-6"/>
          <w:sz w:val="22"/>
        </w:rPr>
        <w:t>Lucknow</w:t>
      </w:r>
      <w:r>
        <w:rPr>
          <w:b/>
          <w:i/>
          <w:spacing w:val="-8"/>
          <w:sz w:val="22"/>
        </w:rPr>
        <w:t> </w:t>
      </w:r>
      <w:r>
        <w:rPr>
          <w:b/>
          <w:i/>
          <w:spacing w:val="-6"/>
          <w:sz w:val="22"/>
        </w:rPr>
        <w:t>3rd</w:t>
      </w:r>
      <w:r>
        <w:rPr>
          <w:b/>
          <w:i/>
          <w:spacing w:val="-8"/>
          <w:sz w:val="22"/>
        </w:rPr>
        <w:t> </w:t>
      </w:r>
      <w:r>
        <w:rPr>
          <w:b/>
          <w:i/>
          <w:spacing w:val="-6"/>
          <w:sz w:val="22"/>
        </w:rPr>
        <w:t>and</w:t>
      </w:r>
      <w:r>
        <w:rPr>
          <w:b/>
          <w:i/>
          <w:spacing w:val="-8"/>
          <w:sz w:val="22"/>
        </w:rPr>
        <w:t> </w:t>
      </w:r>
      <w:r>
        <w:rPr>
          <w:b/>
          <w:i/>
          <w:spacing w:val="-6"/>
          <w:sz w:val="22"/>
        </w:rPr>
        <w:t>4th</w:t>
      </w:r>
      <w:r>
        <w:rPr>
          <w:b/>
          <w:i/>
          <w:spacing w:val="-7"/>
          <w:sz w:val="22"/>
        </w:rPr>
        <w:t> </w:t>
      </w:r>
      <w:r>
        <w:rPr>
          <w:b/>
          <w:i/>
          <w:spacing w:val="-6"/>
          <w:sz w:val="22"/>
        </w:rPr>
        <w:t>August, </w:t>
      </w:r>
      <w:r>
        <w:rPr>
          <w:b/>
          <w:i/>
          <w:spacing w:val="-2"/>
          <w:sz w:val="22"/>
        </w:rPr>
        <w:t>2007.</w:t>
      </w:r>
    </w:p>
    <w:p>
      <w:pPr>
        <w:pStyle w:val="ListParagraph"/>
        <w:numPr>
          <w:ilvl w:val="0"/>
          <w:numId w:val="87"/>
        </w:numPr>
        <w:tabs>
          <w:tab w:pos="1439" w:val="left" w:leader="none"/>
        </w:tabs>
        <w:spacing w:line="240" w:lineRule="auto" w:before="89" w:after="0"/>
        <w:ind w:left="1439" w:right="0" w:hanging="359"/>
        <w:jc w:val="left"/>
        <w:rPr>
          <w:sz w:val="22"/>
        </w:rPr>
      </w:pPr>
      <w:r>
        <w:rPr>
          <w:sz w:val="22"/>
        </w:rPr>
        <w:t>Dr.</w:t>
      </w:r>
      <w:r>
        <w:rPr>
          <w:spacing w:val="-8"/>
          <w:sz w:val="22"/>
        </w:rPr>
        <w:t> </w:t>
      </w:r>
      <w:r>
        <w:rPr>
          <w:sz w:val="22"/>
        </w:rPr>
        <w:t>M.M.</w:t>
      </w:r>
      <w:r>
        <w:rPr>
          <w:spacing w:val="-7"/>
          <w:sz w:val="22"/>
        </w:rPr>
        <w:t> </w:t>
      </w:r>
      <w:r>
        <w:rPr>
          <w:sz w:val="22"/>
        </w:rPr>
        <w:t>Jha</w:t>
      </w:r>
      <w:r>
        <w:rPr>
          <w:spacing w:val="-7"/>
          <w:sz w:val="22"/>
        </w:rPr>
        <w:t> </w:t>
      </w:r>
      <w:r>
        <w:rPr>
          <w:sz w:val="22"/>
        </w:rPr>
        <w:t>(Nodal</w:t>
      </w:r>
      <w:r>
        <w:rPr>
          <w:spacing w:val="-8"/>
          <w:sz w:val="22"/>
        </w:rPr>
        <w:t> </w:t>
      </w:r>
      <w:r>
        <w:rPr>
          <w:spacing w:val="-2"/>
          <w:sz w:val="22"/>
        </w:rPr>
        <w:t>Convener)</w:t>
      </w:r>
    </w:p>
    <w:p>
      <w:pPr>
        <w:pStyle w:val="BodyText"/>
        <w:spacing w:line="266" w:lineRule="auto" w:before="27"/>
        <w:ind w:left="1439"/>
      </w:pPr>
      <w:r>
        <w:rPr>
          <w:spacing w:val="-4"/>
        </w:rPr>
        <w:t>Principal</w:t>
      </w:r>
      <w:r>
        <w:rPr>
          <w:spacing w:val="-5"/>
        </w:rPr>
        <w:t> </w:t>
      </w:r>
      <w:r>
        <w:rPr>
          <w:spacing w:val="-4"/>
        </w:rPr>
        <w:t>Secretary,</w:t>
      </w:r>
      <w:r>
        <w:rPr>
          <w:spacing w:val="-5"/>
        </w:rPr>
        <w:t> </w:t>
      </w:r>
      <w:r>
        <w:rPr>
          <w:spacing w:val="-4"/>
        </w:rPr>
        <w:t>Department</w:t>
      </w:r>
      <w:r>
        <w:rPr>
          <w:spacing w:val="-5"/>
        </w:rPr>
        <w:t> </w:t>
      </w:r>
      <w:r>
        <w:rPr>
          <w:spacing w:val="-4"/>
        </w:rPr>
        <w:t>of</w:t>
      </w:r>
      <w:r>
        <w:rPr>
          <w:spacing w:val="-5"/>
        </w:rPr>
        <w:t> </w:t>
      </w:r>
      <w:r>
        <w:rPr>
          <w:spacing w:val="-4"/>
        </w:rPr>
        <w:t>Education </w:t>
      </w:r>
      <w:r>
        <w:rPr/>
        <w:t>Govt. of Bihar</w:t>
      </w:r>
    </w:p>
    <w:p>
      <w:pPr>
        <w:pStyle w:val="ListParagraph"/>
        <w:numPr>
          <w:ilvl w:val="0"/>
          <w:numId w:val="87"/>
        </w:numPr>
        <w:tabs>
          <w:tab w:pos="1439" w:val="left" w:leader="none"/>
        </w:tabs>
        <w:spacing w:line="240" w:lineRule="auto" w:before="88" w:after="0"/>
        <w:ind w:left="1439" w:right="0" w:hanging="359"/>
        <w:jc w:val="left"/>
        <w:rPr>
          <w:sz w:val="22"/>
        </w:rPr>
      </w:pPr>
      <w:r>
        <w:rPr>
          <w:spacing w:val="-6"/>
          <w:sz w:val="22"/>
        </w:rPr>
        <w:t>Sh.</w:t>
      </w:r>
      <w:r>
        <w:rPr>
          <w:spacing w:val="1"/>
          <w:sz w:val="22"/>
        </w:rPr>
        <w:t> </w:t>
      </w:r>
      <w:r>
        <w:rPr>
          <w:spacing w:val="-6"/>
          <w:sz w:val="22"/>
        </w:rPr>
        <w:t>Raghuvansh</w:t>
      </w:r>
      <w:r>
        <w:rPr>
          <w:spacing w:val="2"/>
          <w:sz w:val="22"/>
        </w:rPr>
        <w:t> </w:t>
      </w:r>
      <w:r>
        <w:rPr>
          <w:spacing w:val="-6"/>
          <w:sz w:val="22"/>
        </w:rPr>
        <w:t>Kumar</w:t>
      </w:r>
    </w:p>
    <w:p>
      <w:pPr>
        <w:pStyle w:val="BodyText"/>
        <w:spacing w:before="27"/>
        <w:ind w:left="1439"/>
      </w:pPr>
      <w:r>
        <w:rPr>
          <w:spacing w:val="-4"/>
        </w:rPr>
        <w:t>Director,</w:t>
      </w:r>
      <w:r>
        <w:rPr>
          <w:spacing w:val="-2"/>
        </w:rPr>
        <w:t> </w:t>
      </w:r>
      <w:r>
        <w:rPr>
          <w:spacing w:val="-4"/>
        </w:rPr>
        <w:t>Bihar</w:t>
      </w:r>
      <w:r>
        <w:rPr>
          <w:spacing w:val="-2"/>
        </w:rPr>
        <w:t> </w:t>
      </w:r>
      <w:r>
        <w:rPr>
          <w:spacing w:val="-4"/>
        </w:rPr>
        <w:t>School</w:t>
      </w:r>
      <w:r>
        <w:rPr>
          <w:spacing w:val="-1"/>
        </w:rPr>
        <w:t> </w:t>
      </w:r>
      <w:r>
        <w:rPr>
          <w:spacing w:val="-4"/>
        </w:rPr>
        <w:t>Education</w:t>
      </w:r>
      <w:r>
        <w:rPr>
          <w:spacing w:val="-2"/>
        </w:rPr>
        <w:t> </w:t>
      </w:r>
      <w:r>
        <w:rPr>
          <w:spacing w:val="-4"/>
        </w:rPr>
        <w:t>Board</w:t>
      </w:r>
    </w:p>
    <w:p>
      <w:pPr>
        <w:pStyle w:val="ListParagraph"/>
        <w:numPr>
          <w:ilvl w:val="0"/>
          <w:numId w:val="87"/>
        </w:numPr>
        <w:tabs>
          <w:tab w:pos="1439" w:val="left" w:leader="none"/>
        </w:tabs>
        <w:spacing w:line="240" w:lineRule="auto" w:before="117" w:after="0"/>
        <w:ind w:left="1439" w:right="0" w:hanging="359"/>
        <w:jc w:val="left"/>
        <w:rPr>
          <w:sz w:val="22"/>
        </w:rPr>
      </w:pPr>
      <w:r>
        <w:rPr>
          <w:spacing w:val="-4"/>
          <w:sz w:val="22"/>
        </w:rPr>
        <w:t>Sh.</w:t>
      </w:r>
      <w:r>
        <w:rPr>
          <w:spacing w:val="-8"/>
          <w:sz w:val="22"/>
        </w:rPr>
        <w:t> </w:t>
      </w:r>
      <w:r>
        <w:rPr>
          <w:spacing w:val="-4"/>
          <w:sz w:val="22"/>
        </w:rPr>
        <w:t>Ajit</w:t>
      </w:r>
      <w:r>
        <w:rPr>
          <w:spacing w:val="-7"/>
          <w:sz w:val="22"/>
        </w:rPr>
        <w:t> </w:t>
      </w:r>
      <w:r>
        <w:rPr>
          <w:spacing w:val="-4"/>
          <w:sz w:val="22"/>
        </w:rPr>
        <w:t>Kumar,</w:t>
      </w:r>
    </w:p>
    <w:p>
      <w:pPr>
        <w:pStyle w:val="BodyText"/>
        <w:spacing w:line="266" w:lineRule="auto" w:before="27"/>
        <w:ind w:left="1439"/>
      </w:pPr>
      <w:r>
        <w:rPr>
          <w:spacing w:val="-2"/>
        </w:rPr>
        <w:t>Deputy</w:t>
      </w:r>
      <w:r>
        <w:rPr>
          <w:spacing w:val="-9"/>
        </w:rPr>
        <w:t> </w:t>
      </w:r>
      <w:r>
        <w:rPr>
          <w:spacing w:val="-2"/>
        </w:rPr>
        <w:t>Director,</w:t>
      </w:r>
      <w:r>
        <w:rPr>
          <w:spacing w:val="-9"/>
        </w:rPr>
        <w:t> </w:t>
      </w:r>
      <w:r>
        <w:rPr>
          <w:spacing w:val="-2"/>
        </w:rPr>
        <w:t>Secondary</w:t>
      </w:r>
      <w:r>
        <w:rPr>
          <w:spacing w:val="-9"/>
        </w:rPr>
        <w:t> </w:t>
      </w:r>
      <w:r>
        <w:rPr>
          <w:spacing w:val="-2"/>
        </w:rPr>
        <w:t>Education,</w:t>
      </w:r>
      <w:r>
        <w:rPr>
          <w:spacing w:val="-9"/>
        </w:rPr>
        <w:t> </w:t>
      </w:r>
      <w:r>
        <w:rPr>
          <w:spacing w:val="-2"/>
        </w:rPr>
        <w:t>HRD Bihar</w:t>
      </w:r>
    </w:p>
    <w:p>
      <w:pPr>
        <w:pStyle w:val="ListParagraph"/>
        <w:numPr>
          <w:ilvl w:val="0"/>
          <w:numId w:val="87"/>
        </w:numPr>
        <w:tabs>
          <w:tab w:pos="1439" w:val="left" w:leader="none"/>
        </w:tabs>
        <w:spacing w:line="240" w:lineRule="auto" w:before="89" w:after="0"/>
        <w:ind w:left="1439" w:right="0" w:hanging="359"/>
        <w:jc w:val="left"/>
        <w:rPr>
          <w:sz w:val="22"/>
        </w:rPr>
      </w:pPr>
      <w:r>
        <w:rPr>
          <w:spacing w:val="-14"/>
          <w:sz w:val="22"/>
        </w:rPr>
        <w:t>Dr.</w:t>
      </w:r>
      <w:r>
        <w:rPr>
          <w:spacing w:val="4"/>
          <w:sz w:val="22"/>
        </w:rPr>
        <w:t> </w:t>
      </w:r>
      <w:r>
        <w:rPr>
          <w:spacing w:val="-14"/>
          <w:sz w:val="22"/>
        </w:rPr>
        <w:t>P.P.</w:t>
      </w:r>
      <w:r>
        <w:rPr>
          <w:spacing w:val="4"/>
          <w:sz w:val="22"/>
        </w:rPr>
        <w:t> </w:t>
      </w:r>
      <w:r>
        <w:rPr>
          <w:spacing w:val="-14"/>
          <w:sz w:val="22"/>
        </w:rPr>
        <w:t>Ghosh</w:t>
      </w:r>
    </w:p>
    <w:p>
      <w:pPr>
        <w:pStyle w:val="BodyText"/>
        <w:spacing w:line="266" w:lineRule="auto" w:before="27"/>
        <w:ind w:left="1439"/>
      </w:pPr>
      <w:r>
        <w:rPr>
          <w:spacing w:val="-4"/>
        </w:rPr>
        <w:t>Director,</w:t>
      </w:r>
      <w:r>
        <w:rPr>
          <w:spacing w:val="-9"/>
        </w:rPr>
        <w:t> </w:t>
      </w:r>
      <w:r>
        <w:rPr>
          <w:spacing w:val="-4"/>
        </w:rPr>
        <w:t>Asian</w:t>
      </w:r>
      <w:r>
        <w:rPr>
          <w:spacing w:val="-9"/>
        </w:rPr>
        <w:t> </w:t>
      </w:r>
      <w:r>
        <w:rPr>
          <w:spacing w:val="-4"/>
        </w:rPr>
        <w:t>Development</w:t>
      </w:r>
      <w:r>
        <w:rPr>
          <w:spacing w:val="-9"/>
        </w:rPr>
        <w:t> </w:t>
      </w:r>
      <w:r>
        <w:rPr>
          <w:spacing w:val="-4"/>
        </w:rPr>
        <w:t>Research</w:t>
      </w:r>
      <w:r>
        <w:rPr>
          <w:spacing w:val="-9"/>
        </w:rPr>
        <w:t> </w:t>
      </w:r>
      <w:r>
        <w:rPr>
          <w:spacing w:val="-4"/>
        </w:rPr>
        <w:t>Institute </w:t>
      </w:r>
      <w:r>
        <w:rPr/>
        <w:t>(ADRI), Patna</w:t>
      </w:r>
    </w:p>
    <w:p>
      <w:pPr>
        <w:pStyle w:val="ListParagraph"/>
        <w:numPr>
          <w:ilvl w:val="0"/>
          <w:numId w:val="87"/>
        </w:numPr>
        <w:tabs>
          <w:tab w:pos="1439" w:val="left" w:leader="none"/>
        </w:tabs>
        <w:spacing w:line="240" w:lineRule="auto" w:before="88" w:after="0"/>
        <w:ind w:left="1439" w:right="0" w:hanging="359"/>
        <w:jc w:val="left"/>
        <w:rPr>
          <w:sz w:val="22"/>
        </w:rPr>
      </w:pPr>
      <w:r>
        <w:rPr>
          <w:spacing w:val="-4"/>
          <w:sz w:val="22"/>
        </w:rPr>
        <w:t>Smt</w:t>
      </w:r>
      <w:r>
        <w:rPr>
          <w:spacing w:val="-10"/>
          <w:sz w:val="22"/>
        </w:rPr>
        <w:t> </w:t>
      </w:r>
      <w:r>
        <w:rPr>
          <w:spacing w:val="-4"/>
          <w:sz w:val="22"/>
        </w:rPr>
        <w:t>Abha</w:t>
      </w:r>
      <w:r>
        <w:rPr>
          <w:spacing w:val="-9"/>
          <w:sz w:val="22"/>
        </w:rPr>
        <w:t> </w:t>
      </w:r>
      <w:r>
        <w:rPr>
          <w:spacing w:val="-4"/>
          <w:sz w:val="22"/>
        </w:rPr>
        <w:t>Rani</w:t>
      </w:r>
    </w:p>
    <w:p>
      <w:pPr>
        <w:pStyle w:val="BodyText"/>
        <w:spacing w:before="27"/>
        <w:ind w:left="1439"/>
      </w:pPr>
      <w:r>
        <w:rPr>
          <w:spacing w:val="-4"/>
        </w:rPr>
        <w:t>Bihar Education</w:t>
      </w:r>
      <w:r>
        <w:rPr>
          <w:spacing w:val="-3"/>
        </w:rPr>
        <w:t> </w:t>
      </w:r>
      <w:r>
        <w:rPr>
          <w:spacing w:val="-4"/>
        </w:rPr>
        <w:t>Project</w:t>
      </w:r>
      <w:r>
        <w:rPr>
          <w:spacing w:val="-3"/>
        </w:rPr>
        <w:t> </w:t>
      </w:r>
      <w:r>
        <w:rPr>
          <w:spacing w:val="-4"/>
        </w:rPr>
        <w:t>Council</w:t>
      </w:r>
    </w:p>
    <w:p>
      <w:pPr>
        <w:pStyle w:val="ListParagraph"/>
        <w:numPr>
          <w:ilvl w:val="0"/>
          <w:numId w:val="87"/>
        </w:numPr>
        <w:tabs>
          <w:tab w:pos="1439" w:val="left" w:leader="none"/>
        </w:tabs>
        <w:spacing w:line="240" w:lineRule="auto" w:before="117" w:after="0"/>
        <w:ind w:left="1439" w:right="0" w:hanging="359"/>
        <w:jc w:val="left"/>
        <w:rPr>
          <w:sz w:val="22"/>
        </w:rPr>
      </w:pPr>
      <w:r>
        <w:rPr>
          <w:spacing w:val="-2"/>
          <w:sz w:val="22"/>
        </w:rPr>
        <w:t>Sh.</w:t>
      </w:r>
      <w:r>
        <w:rPr>
          <w:spacing w:val="-7"/>
          <w:sz w:val="22"/>
        </w:rPr>
        <w:t> </w:t>
      </w:r>
      <w:r>
        <w:rPr>
          <w:spacing w:val="-2"/>
          <w:sz w:val="22"/>
        </w:rPr>
        <w:t>Mahendra</w:t>
      </w:r>
      <w:r>
        <w:rPr>
          <w:spacing w:val="-7"/>
          <w:sz w:val="22"/>
        </w:rPr>
        <w:t> </w:t>
      </w:r>
      <w:r>
        <w:rPr>
          <w:spacing w:val="-2"/>
          <w:sz w:val="22"/>
        </w:rPr>
        <w:t>Sahni</w:t>
      </w:r>
    </w:p>
    <w:p>
      <w:pPr>
        <w:pStyle w:val="BodyText"/>
        <w:spacing w:before="27"/>
        <w:ind w:left="1439"/>
      </w:pPr>
      <w:r>
        <w:rPr>
          <w:spacing w:val="-8"/>
        </w:rPr>
        <w:t>General</w:t>
      </w:r>
      <w:r>
        <w:rPr>
          <w:spacing w:val="8"/>
        </w:rPr>
        <w:t> </w:t>
      </w:r>
      <w:r>
        <w:rPr>
          <w:spacing w:val="-8"/>
        </w:rPr>
        <w:t>Secretary,</w:t>
      </w:r>
      <w:r>
        <w:rPr>
          <w:spacing w:val="-2"/>
        </w:rPr>
        <w:t> </w:t>
      </w:r>
      <w:r>
        <w:rPr>
          <w:spacing w:val="-8"/>
        </w:rPr>
        <w:t>Teachers</w:t>
      </w:r>
      <w:r>
        <w:rPr>
          <w:spacing w:val="9"/>
        </w:rPr>
        <w:t> </w:t>
      </w:r>
      <w:r>
        <w:rPr>
          <w:spacing w:val="-8"/>
        </w:rPr>
        <w:t>Association,</w:t>
      </w:r>
      <w:r>
        <w:rPr>
          <w:spacing w:val="9"/>
        </w:rPr>
        <w:t> </w:t>
      </w:r>
      <w:r>
        <w:rPr>
          <w:spacing w:val="-8"/>
        </w:rPr>
        <w:t>Bihar</w:t>
      </w:r>
    </w:p>
    <w:p>
      <w:pPr>
        <w:pStyle w:val="ListParagraph"/>
        <w:numPr>
          <w:ilvl w:val="0"/>
          <w:numId w:val="87"/>
        </w:numPr>
        <w:tabs>
          <w:tab w:pos="1439" w:val="left" w:leader="none"/>
        </w:tabs>
        <w:spacing w:line="240" w:lineRule="auto" w:before="117" w:after="0"/>
        <w:ind w:left="1439" w:right="0" w:hanging="359"/>
        <w:jc w:val="left"/>
        <w:rPr>
          <w:sz w:val="22"/>
        </w:rPr>
      </w:pPr>
      <w:r>
        <w:rPr>
          <w:spacing w:val="-2"/>
          <w:sz w:val="22"/>
        </w:rPr>
        <w:t>Sh.</w:t>
      </w:r>
      <w:r>
        <w:rPr>
          <w:spacing w:val="-6"/>
          <w:sz w:val="22"/>
        </w:rPr>
        <w:t> </w:t>
      </w:r>
      <w:r>
        <w:rPr>
          <w:spacing w:val="-2"/>
          <w:sz w:val="22"/>
        </w:rPr>
        <w:t>Kedar</w:t>
      </w:r>
      <w:r>
        <w:rPr>
          <w:spacing w:val="-6"/>
          <w:sz w:val="22"/>
        </w:rPr>
        <w:t> </w:t>
      </w:r>
      <w:r>
        <w:rPr>
          <w:spacing w:val="-2"/>
          <w:sz w:val="22"/>
        </w:rPr>
        <w:t>Nath</w:t>
      </w:r>
      <w:r>
        <w:rPr>
          <w:spacing w:val="-6"/>
          <w:sz w:val="22"/>
        </w:rPr>
        <w:t> </w:t>
      </w:r>
      <w:r>
        <w:rPr>
          <w:spacing w:val="-2"/>
          <w:sz w:val="22"/>
        </w:rPr>
        <w:t>Pandey</w:t>
      </w:r>
    </w:p>
    <w:p>
      <w:pPr>
        <w:pStyle w:val="BodyText"/>
        <w:spacing w:line="266" w:lineRule="auto" w:before="27"/>
        <w:ind w:left="1439" w:right="32"/>
      </w:pPr>
      <w:r>
        <w:rPr>
          <w:spacing w:val="-6"/>
        </w:rPr>
        <w:t>General</w:t>
      </w:r>
      <w:r>
        <w:rPr>
          <w:spacing w:val="-10"/>
        </w:rPr>
        <w:t> </w:t>
      </w:r>
      <w:r>
        <w:rPr>
          <w:spacing w:val="-6"/>
        </w:rPr>
        <w:t>Secretary,</w:t>
      </w:r>
      <w:r>
        <w:rPr>
          <w:spacing w:val="-8"/>
        </w:rPr>
        <w:t> </w:t>
      </w:r>
      <w:r>
        <w:rPr>
          <w:spacing w:val="-6"/>
        </w:rPr>
        <w:t>Bihar</w:t>
      </w:r>
      <w:r>
        <w:rPr>
          <w:spacing w:val="-8"/>
        </w:rPr>
        <w:t> </w:t>
      </w:r>
      <w:r>
        <w:rPr>
          <w:spacing w:val="-6"/>
        </w:rPr>
        <w:t>State</w:t>
      </w:r>
      <w:r>
        <w:rPr>
          <w:spacing w:val="-7"/>
        </w:rPr>
        <w:t> </w:t>
      </w:r>
      <w:r>
        <w:rPr>
          <w:spacing w:val="-6"/>
        </w:rPr>
        <w:t>Secondary </w:t>
      </w:r>
      <w:r>
        <w:rPr/>
        <w:t>Teachers Association</w:t>
      </w:r>
    </w:p>
    <w:p>
      <w:pPr>
        <w:pStyle w:val="ListParagraph"/>
        <w:numPr>
          <w:ilvl w:val="0"/>
          <w:numId w:val="87"/>
        </w:numPr>
        <w:tabs>
          <w:tab w:pos="1439" w:val="left" w:leader="none"/>
        </w:tabs>
        <w:spacing w:line="240" w:lineRule="auto" w:before="88" w:after="0"/>
        <w:ind w:left="1439" w:right="0" w:hanging="359"/>
        <w:jc w:val="left"/>
        <w:rPr>
          <w:sz w:val="22"/>
        </w:rPr>
      </w:pPr>
      <w:r>
        <w:rPr>
          <w:spacing w:val="-6"/>
          <w:sz w:val="22"/>
        </w:rPr>
        <w:t>Smt.</w:t>
      </w:r>
      <w:r>
        <w:rPr>
          <w:spacing w:val="-8"/>
          <w:sz w:val="22"/>
        </w:rPr>
        <w:t> </w:t>
      </w:r>
      <w:r>
        <w:rPr>
          <w:spacing w:val="-6"/>
          <w:sz w:val="22"/>
        </w:rPr>
        <w:t>Bilkas</w:t>
      </w:r>
      <w:r>
        <w:rPr>
          <w:spacing w:val="-8"/>
          <w:sz w:val="22"/>
        </w:rPr>
        <w:t> </w:t>
      </w:r>
      <w:r>
        <w:rPr>
          <w:spacing w:val="-6"/>
          <w:sz w:val="22"/>
        </w:rPr>
        <w:t>Jahan</w:t>
      </w:r>
    </w:p>
    <w:p>
      <w:pPr>
        <w:pStyle w:val="BodyText"/>
        <w:spacing w:line="266" w:lineRule="auto" w:before="27"/>
        <w:ind w:left="1439"/>
      </w:pPr>
      <w:r>
        <w:rPr>
          <w:spacing w:val="-4"/>
        </w:rPr>
        <w:t>Principal,</w:t>
      </w:r>
      <w:r>
        <w:rPr>
          <w:spacing w:val="-10"/>
        </w:rPr>
        <w:t> </w:t>
      </w:r>
      <w:r>
        <w:rPr>
          <w:spacing w:val="-4"/>
        </w:rPr>
        <w:t>Govt.</w:t>
      </w:r>
      <w:r>
        <w:rPr>
          <w:spacing w:val="-9"/>
        </w:rPr>
        <w:t> </w:t>
      </w:r>
      <w:r>
        <w:rPr>
          <w:spacing w:val="-4"/>
        </w:rPr>
        <w:t>Secondary</w:t>
      </w:r>
      <w:r>
        <w:rPr>
          <w:spacing w:val="-10"/>
        </w:rPr>
        <w:t> </w:t>
      </w:r>
      <w:r>
        <w:rPr>
          <w:spacing w:val="-4"/>
        </w:rPr>
        <w:t>School,</w:t>
      </w:r>
      <w:r>
        <w:rPr>
          <w:spacing w:val="-9"/>
        </w:rPr>
        <w:t> </w:t>
      </w:r>
      <w:r>
        <w:rPr>
          <w:spacing w:val="-4"/>
        </w:rPr>
        <w:t>Bankipur </w:t>
      </w:r>
      <w:r>
        <w:rPr>
          <w:spacing w:val="-2"/>
        </w:rPr>
        <w:t>Patna,</w:t>
      </w:r>
    </w:p>
    <w:p>
      <w:pPr>
        <w:pStyle w:val="ListParagraph"/>
        <w:numPr>
          <w:ilvl w:val="0"/>
          <w:numId w:val="87"/>
        </w:numPr>
        <w:tabs>
          <w:tab w:pos="1439" w:val="left" w:leader="none"/>
        </w:tabs>
        <w:spacing w:line="240" w:lineRule="auto" w:before="89" w:after="0"/>
        <w:ind w:left="1439" w:right="0" w:hanging="359"/>
        <w:jc w:val="left"/>
        <w:rPr>
          <w:sz w:val="22"/>
        </w:rPr>
      </w:pPr>
      <w:r>
        <w:rPr>
          <w:w w:val="90"/>
          <w:sz w:val="22"/>
        </w:rPr>
        <w:t>Sh.</w:t>
      </w:r>
      <w:r>
        <w:rPr>
          <w:spacing w:val="18"/>
          <w:sz w:val="22"/>
        </w:rPr>
        <w:t> </w:t>
      </w:r>
      <w:r>
        <w:rPr>
          <w:w w:val="90"/>
          <w:sz w:val="22"/>
        </w:rPr>
        <w:t>Bisheshwar</w:t>
      </w:r>
      <w:r>
        <w:rPr>
          <w:spacing w:val="14"/>
          <w:sz w:val="22"/>
        </w:rPr>
        <w:t> </w:t>
      </w:r>
      <w:r>
        <w:rPr>
          <w:spacing w:val="-2"/>
          <w:w w:val="90"/>
          <w:sz w:val="22"/>
        </w:rPr>
        <w:t>Yadav</w:t>
      </w:r>
    </w:p>
    <w:p>
      <w:pPr>
        <w:pStyle w:val="BodyText"/>
        <w:spacing w:line="266" w:lineRule="auto" w:before="27"/>
        <w:ind w:left="1439" w:right="32"/>
      </w:pPr>
      <w:r>
        <w:rPr>
          <w:spacing w:val="-4"/>
        </w:rPr>
        <w:t>Principal,</w:t>
      </w:r>
      <w:r>
        <w:rPr>
          <w:spacing w:val="-10"/>
        </w:rPr>
        <w:t> </w:t>
      </w:r>
      <w:r>
        <w:rPr>
          <w:spacing w:val="-4"/>
        </w:rPr>
        <w:t>Govt.</w:t>
      </w:r>
      <w:r>
        <w:rPr>
          <w:spacing w:val="-10"/>
        </w:rPr>
        <w:t> </w:t>
      </w:r>
      <w:r>
        <w:rPr>
          <w:spacing w:val="-4"/>
        </w:rPr>
        <w:t>Secondary</w:t>
      </w:r>
      <w:r>
        <w:rPr>
          <w:spacing w:val="-10"/>
        </w:rPr>
        <w:t> </w:t>
      </w:r>
      <w:r>
        <w:rPr>
          <w:spacing w:val="-4"/>
        </w:rPr>
        <w:t>School </w:t>
      </w:r>
      <w:r>
        <w:rPr/>
        <w:t>Gardhanibagh, Patna</w:t>
      </w:r>
    </w:p>
    <w:p>
      <w:pPr>
        <w:pStyle w:val="ListParagraph"/>
        <w:numPr>
          <w:ilvl w:val="0"/>
          <w:numId w:val="87"/>
        </w:numPr>
        <w:tabs>
          <w:tab w:pos="1439" w:val="left" w:leader="none"/>
        </w:tabs>
        <w:spacing w:line="266" w:lineRule="auto" w:before="88" w:after="0"/>
        <w:ind w:left="1439" w:right="1375" w:hanging="360"/>
        <w:jc w:val="left"/>
        <w:rPr>
          <w:sz w:val="22"/>
        </w:rPr>
      </w:pPr>
      <w:r>
        <w:rPr>
          <w:sz w:val="22"/>
        </w:rPr>
        <w:t>Sh. Satrughan Pd. Singh </w:t>
      </w:r>
      <w:r>
        <w:rPr>
          <w:spacing w:val="-4"/>
          <w:sz w:val="22"/>
        </w:rPr>
        <w:t>Chairman,</w:t>
      </w:r>
      <w:r>
        <w:rPr>
          <w:spacing w:val="-10"/>
          <w:sz w:val="22"/>
        </w:rPr>
        <w:t> </w:t>
      </w:r>
      <w:r>
        <w:rPr>
          <w:spacing w:val="-4"/>
          <w:sz w:val="22"/>
        </w:rPr>
        <w:t>Bihar</w:t>
      </w:r>
      <w:r>
        <w:rPr>
          <w:spacing w:val="-10"/>
          <w:sz w:val="22"/>
        </w:rPr>
        <w:t> </w:t>
      </w:r>
      <w:r>
        <w:rPr>
          <w:spacing w:val="-4"/>
          <w:sz w:val="22"/>
        </w:rPr>
        <w:t>State</w:t>
      </w:r>
      <w:r>
        <w:rPr>
          <w:spacing w:val="-10"/>
          <w:sz w:val="22"/>
        </w:rPr>
        <w:t> </w:t>
      </w:r>
      <w:r>
        <w:rPr>
          <w:spacing w:val="-4"/>
          <w:sz w:val="22"/>
        </w:rPr>
        <w:t>Secondary </w:t>
      </w:r>
      <w:r>
        <w:rPr>
          <w:sz w:val="22"/>
        </w:rPr>
        <w:t>Teachers Association</w:t>
      </w:r>
    </w:p>
    <w:p>
      <w:pPr>
        <w:pStyle w:val="ListParagraph"/>
        <w:numPr>
          <w:ilvl w:val="0"/>
          <w:numId w:val="87"/>
        </w:numPr>
        <w:tabs>
          <w:tab w:pos="1439" w:val="left" w:leader="none"/>
        </w:tabs>
        <w:spacing w:line="266" w:lineRule="auto" w:before="88" w:after="0"/>
        <w:ind w:left="1439" w:right="1136" w:hanging="360"/>
        <w:jc w:val="left"/>
        <w:rPr>
          <w:sz w:val="22"/>
        </w:rPr>
      </w:pPr>
      <w:r>
        <w:rPr>
          <w:sz w:val="22"/>
        </w:rPr>
        <w:t>Sh. Jagdish Pandey (Thakurai) </w:t>
      </w:r>
      <w:r>
        <w:rPr>
          <w:spacing w:val="-4"/>
          <w:sz w:val="22"/>
        </w:rPr>
        <w:t>Chairman, Uttar Pradesh </w:t>
      </w:r>
      <w:r>
        <w:rPr>
          <w:spacing w:val="-4"/>
          <w:sz w:val="22"/>
        </w:rPr>
        <w:t>Secondary </w:t>
      </w:r>
      <w:r>
        <w:rPr>
          <w:sz w:val="22"/>
        </w:rPr>
        <w:t>Teachers Association</w:t>
      </w:r>
    </w:p>
    <w:p>
      <w:pPr>
        <w:pStyle w:val="ListParagraph"/>
        <w:numPr>
          <w:ilvl w:val="0"/>
          <w:numId w:val="87"/>
        </w:numPr>
        <w:tabs>
          <w:tab w:pos="1439" w:val="left" w:leader="none"/>
        </w:tabs>
        <w:spacing w:line="240" w:lineRule="auto" w:before="87" w:after="0"/>
        <w:ind w:left="1439" w:right="0" w:hanging="359"/>
        <w:jc w:val="left"/>
        <w:rPr>
          <w:sz w:val="22"/>
        </w:rPr>
      </w:pPr>
      <w:r>
        <w:rPr>
          <w:spacing w:val="-4"/>
          <w:sz w:val="22"/>
        </w:rPr>
        <w:t>Job</w:t>
      </w:r>
      <w:r>
        <w:rPr>
          <w:spacing w:val="-10"/>
          <w:sz w:val="22"/>
        </w:rPr>
        <w:t> </w:t>
      </w:r>
      <w:r>
        <w:rPr>
          <w:spacing w:val="-2"/>
          <w:sz w:val="22"/>
        </w:rPr>
        <w:t>Zachariah</w:t>
      </w:r>
    </w:p>
    <w:p>
      <w:pPr>
        <w:pStyle w:val="BodyText"/>
        <w:spacing w:before="27"/>
        <w:ind w:left="1439"/>
      </w:pPr>
      <w:r>
        <w:rPr>
          <w:spacing w:val="-4"/>
        </w:rPr>
        <w:t>Education</w:t>
      </w:r>
      <w:r>
        <w:rPr>
          <w:spacing w:val="-3"/>
        </w:rPr>
        <w:t> </w:t>
      </w:r>
      <w:r>
        <w:rPr>
          <w:spacing w:val="-4"/>
        </w:rPr>
        <w:t>Specialist,</w:t>
      </w:r>
      <w:r>
        <w:rPr>
          <w:spacing w:val="-3"/>
        </w:rPr>
        <w:t> </w:t>
      </w:r>
      <w:r>
        <w:rPr>
          <w:spacing w:val="-4"/>
        </w:rPr>
        <w:t>UNICEF,</w:t>
      </w:r>
      <w:r>
        <w:rPr>
          <w:spacing w:val="-3"/>
        </w:rPr>
        <w:t> </w:t>
      </w:r>
      <w:r>
        <w:rPr>
          <w:spacing w:val="-4"/>
        </w:rPr>
        <w:t>Patna</w:t>
      </w:r>
    </w:p>
    <w:p>
      <w:pPr>
        <w:pStyle w:val="ListParagraph"/>
        <w:numPr>
          <w:ilvl w:val="0"/>
          <w:numId w:val="87"/>
        </w:numPr>
        <w:tabs>
          <w:tab w:pos="800" w:val="left" w:leader="none"/>
        </w:tabs>
        <w:spacing w:line="266" w:lineRule="auto" w:before="57" w:after="0"/>
        <w:ind w:left="800" w:right="2994" w:hanging="360"/>
        <w:jc w:val="left"/>
        <w:rPr>
          <w:sz w:val="22"/>
        </w:rPr>
      </w:pPr>
      <w:r>
        <w:rPr/>
        <w:br w:type="column"/>
      </w:r>
      <w:r>
        <w:rPr>
          <w:sz w:val="22"/>
        </w:rPr>
        <w:t>Mr. Bhushan Kumar </w:t>
      </w:r>
      <w:r>
        <w:rPr>
          <w:spacing w:val="-4"/>
          <w:sz w:val="22"/>
        </w:rPr>
        <w:t>PRATHAM,</w:t>
      </w:r>
      <w:r>
        <w:rPr>
          <w:spacing w:val="-10"/>
          <w:sz w:val="22"/>
        </w:rPr>
        <w:t> </w:t>
      </w:r>
      <w:r>
        <w:rPr>
          <w:spacing w:val="-4"/>
          <w:sz w:val="22"/>
        </w:rPr>
        <w:t>Nawada,</w:t>
      </w:r>
      <w:r>
        <w:rPr>
          <w:spacing w:val="-10"/>
          <w:sz w:val="22"/>
        </w:rPr>
        <w:t> </w:t>
      </w:r>
      <w:r>
        <w:rPr>
          <w:spacing w:val="-4"/>
          <w:sz w:val="22"/>
        </w:rPr>
        <w:t>Bihar</w:t>
      </w:r>
    </w:p>
    <w:p>
      <w:pPr>
        <w:pStyle w:val="ListParagraph"/>
        <w:numPr>
          <w:ilvl w:val="0"/>
          <w:numId w:val="87"/>
        </w:numPr>
        <w:tabs>
          <w:tab w:pos="800" w:val="left" w:leader="none"/>
        </w:tabs>
        <w:spacing w:line="266" w:lineRule="auto" w:before="89" w:after="0"/>
        <w:ind w:left="800" w:right="3720" w:hanging="360"/>
        <w:jc w:val="left"/>
        <w:rPr>
          <w:sz w:val="22"/>
        </w:rPr>
      </w:pPr>
      <w:r>
        <w:rPr>
          <w:spacing w:val="-10"/>
          <w:sz w:val="22"/>
        </w:rPr>
        <w:t>Sr.</w:t>
      </w:r>
      <w:r>
        <w:rPr>
          <w:spacing w:val="-4"/>
          <w:sz w:val="22"/>
        </w:rPr>
        <w:t> </w:t>
      </w:r>
      <w:r>
        <w:rPr>
          <w:spacing w:val="-10"/>
          <w:sz w:val="22"/>
        </w:rPr>
        <w:t>Sudha</w:t>
      </w:r>
      <w:r>
        <w:rPr>
          <w:spacing w:val="-4"/>
          <w:sz w:val="22"/>
        </w:rPr>
        <w:t> </w:t>
      </w:r>
      <w:r>
        <w:rPr>
          <w:spacing w:val="-10"/>
          <w:sz w:val="22"/>
        </w:rPr>
        <w:t>Vargheese </w:t>
      </w:r>
      <w:r>
        <w:rPr>
          <w:sz w:val="22"/>
        </w:rPr>
        <w:t>NariGunjan, Patna</w:t>
      </w:r>
    </w:p>
    <w:p>
      <w:pPr>
        <w:pStyle w:val="ListParagraph"/>
        <w:numPr>
          <w:ilvl w:val="0"/>
          <w:numId w:val="87"/>
        </w:numPr>
        <w:tabs>
          <w:tab w:pos="799" w:val="left" w:leader="none"/>
        </w:tabs>
        <w:spacing w:line="240" w:lineRule="auto" w:before="88" w:after="0"/>
        <w:ind w:left="799" w:right="0" w:hanging="359"/>
        <w:jc w:val="left"/>
        <w:rPr>
          <w:sz w:val="22"/>
        </w:rPr>
      </w:pPr>
      <w:r>
        <w:rPr>
          <w:spacing w:val="-6"/>
          <w:sz w:val="22"/>
        </w:rPr>
        <w:t>Mr.</w:t>
      </w:r>
      <w:r>
        <w:rPr>
          <w:spacing w:val="-5"/>
          <w:sz w:val="22"/>
        </w:rPr>
        <w:t> </w:t>
      </w:r>
      <w:r>
        <w:rPr>
          <w:spacing w:val="-6"/>
          <w:sz w:val="22"/>
        </w:rPr>
        <w:t>Vinay</w:t>
      </w:r>
      <w:r>
        <w:rPr>
          <w:sz w:val="22"/>
        </w:rPr>
        <w:t> </w:t>
      </w:r>
      <w:r>
        <w:rPr>
          <w:spacing w:val="-6"/>
          <w:sz w:val="22"/>
        </w:rPr>
        <w:t>Kanth</w:t>
      </w:r>
    </w:p>
    <w:p>
      <w:pPr>
        <w:pStyle w:val="BodyText"/>
        <w:spacing w:before="27"/>
        <w:ind w:left="800"/>
      </w:pPr>
      <w:r>
        <w:rPr>
          <w:spacing w:val="-4"/>
        </w:rPr>
        <w:t>East</w:t>
      </w:r>
      <w:r>
        <w:rPr>
          <w:spacing w:val="-9"/>
        </w:rPr>
        <w:t> </w:t>
      </w:r>
      <w:r>
        <w:rPr>
          <w:spacing w:val="-4"/>
        </w:rPr>
        <w:t>and</w:t>
      </w:r>
      <w:r>
        <w:rPr>
          <w:spacing w:val="-9"/>
        </w:rPr>
        <w:t> </w:t>
      </w:r>
      <w:r>
        <w:rPr>
          <w:spacing w:val="-4"/>
        </w:rPr>
        <w:t>West</w:t>
      </w:r>
      <w:r>
        <w:rPr>
          <w:spacing w:val="-8"/>
        </w:rPr>
        <w:t> </w:t>
      </w:r>
      <w:r>
        <w:rPr>
          <w:spacing w:val="-4"/>
        </w:rPr>
        <w:t>Foundation</w:t>
      </w:r>
    </w:p>
    <w:p>
      <w:pPr>
        <w:pStyle w:val="ListParagraph"/>
        <w:numPr>
          <w:ilvl w:val="0"/>
          <w:numId w:val="87"/>
        </w:numPr>
        <w:tabs>
          <w:tab w:pos="800" w:val="left" w:leader="none"/>
        </w:tabs>
        <w:spacing w:line="266" w:lineRule="auto" w:before="117" w:after="0"/>
        <w:ind w:left="800" w:right="3857" w:hanging="360"/>
        <w:jc w:val="left"/>
        <w:rPr>
          <w:sz w:val="22"/>
        </w:rPr>
      </w:pPr>
      <w:r>
        <w:rPr>
          <w:spacing w:val="-2"/>
          <w:sz w:val="22"/>
        </w:rPr>
        <w:t>Mr.</w:t>
      </w:r>
      <w:r>
        <w:rPr>
          <w:spacing w:val="-12"/>
          <w:sz w:val="22"/>
        </w:rPr>
        <w:t> </w:t>
      </w:r>
      <w:r>
        <w:rPr>
          <w:spacing w:val="-2"/>
          <w:sz w:val="22"/>
        </w:rPr>
        <w:t>Sanjib</w:t>
      </w:r>
      <w:r>
        <w:rPr>
          <w:spacing w:val="-12"/>
          <w:sz w:val="22"/>
        </w:rPr>
        <w:t> </w:t>
      </w:r>
      <w:r>
        <w:rPr>
          <w:spacing w:val="-2"/>
          <w:sz w:val="22"/>
        </w:rPr>
        <w:t>Kundu PRATHAM</w:t>
      </w:r>
    </w:p>
    <w:p>
      <w:pPr>
        <w:pStyle w:val="ListParagraph"/>
        <w:numPr>
          <w:ilvl w:val="0"/>
          <w:numId w:val="87"/>
        </w:numPr>
        <w:tabs>
          <w:tab w:pos="799" w:val="left" w:leader="none"/>
        </w:tabs>
        <w:spacing w:line="240" w:lineRule="auto" w:before="89" w:after="0"/>
        <w:ind w:left="799" w:right="0" w:hanging="359"/>
        <w:jc w:val="left"/>
        <w:rPr>
          <w:sz w:val="22"/>
        </w:rPr>
      </w:pPr>
      <w:r>
        <w:rPr>
          <w:spacing w:val="-4"/>
          <w:sz w:val="22"/>
        </w:rPr>
        <w:t>J.</w:t>
      </w:r>
      <w:r>
        <w:rPr>
          <w:spacing w:val="-8"/>
          <w:sz w:val="22"/>
        </w:rPr>
        <w:t> </w:t>
      </w:r>
      <w:r>
        <w:rPr>
          <w:spacing w:val="-4"/>
          <w:sz w:val="22"/>
        </w:rPr>
        <w:t>B.</w:t>
      </w:r>
      <w:r>
        <w:rPr>
          <w:spacing w:val="-10"/>
          <w:sz w:val="22"/>
        </w:rPr>
        <w:t> </w:t>
      </w:r>
      <w:r>
        <w:rPr>
          <w:spacing w:val="-4"/>
          <w:sz w:val="22"/>
        </w:rPr>
        <w:t>Tubid</w:t>
      </w:r>
    </w:p>
    <w:p>
      <w:pPr>
        <w:pStyle w:val="BodyText"/>
        <w:spacing w:before="27"/>
        <w:ind w:left="800"/>
      </w:pPr>
      <w:r>
        <w:rPr>
          <w:spacing w:val="-4"/>
        </w:rPr>
        <w:t>Secretary,</w:t>
      </w:r>
      <w:r>
        <w:rPr>
          <w:spacing w:val="-3"/>
        </w:rPr>
        <w:t> </w:t>
      </w:r>
      <w:r>
        <w:rPr>
          <w:spacing w:val="-4"/>
        </w:rPr>
        <w:t>HRD,</w:t>
      </w:r>
      <w:r>
        <w:rPr>
          <w:spacing w:val="-2"/>
        </w:rPr>
        <w:t> </w:t>
      </w:r>
      <w:r>
        <w:rPr>
          <w:spacing w:val="-4"/>
        </w:rPr>
        <w:t>Jharkhand</w:t>
      </w:r>
    </w:p>
    <w:p>
      <w:pPr>
        <w:pStyle w:val="ListParagraph"/>
        <w:numPr>
          <w:ilvl w:val="0"/>
          <w:numId w:val="87"/>
        </w:numPr>
        <w:tabs>
          <w:tab w:pos="799" w:val="left" w:leader="none"/>
        </w:tabs>
        <w:spacing w:line="240" w:lineRule="auto" w:before="117" w:after="0"/>
        <w:ind w:left="799" w:right="0" w:hanging="359"/>
        <w:jc w:val="left"/>
        <w:rPr>
          <w:sz w:val="22"/>
        </w:rPr>
      </w:pPr>
      <w:r>
        <w:rPr>
          <w:spacing w:val="-2"/>
          <w:sz w:val="22"/>
        </w:rPr>
        <w:t>Sh.</w:t>
      </w:r>
      <w:r>
        <w:rPr>
          <w:spacing w:val="-9"/>
          <w:sz w:val="22"/>
        </w:rPr>
        <w:t> </w:t>
      </w:r>
      <w:r>
        <w:rPr>
          <w:spacing w:val="-2"/>
          <w:sz w:val="22"/>
        </w:rPr>
        <w:t>Rabindra</w:t>
      </w:r>
      <w:r>
        <w:rPr>
          <w:spacing w:val="-9"/>
          <w:sz w:val="22"/>
        </w:rPr>
        <w:t> </w:t>
      </w:r>
      <w:r>
        <w:rPr>
          <w:spacing w:val="-2"/>
          <w:sz w:val="22"/>
        </w:rPr>
        <w:t>Singh</w:t>
      </w:r>
    </w:p>
    <w:p>
      <w:pPr>
        <w:pStyle w:val="BodyText"/>
        <w:spacing w:line="266" w:lineRule="auto" w:before="27"/>
        <w:ind w:left="800" w:right="1042"/>
      </w:pPr>
      <w:r>
        <w:rPr>
          <w:spacing w:val="-6"/>
        </w:rPr>
        <w:t>General</w:t>
      </w:r>
      <w:r>
        <w:rPr>
          <w:spacing w:val="-8"/>
        </w:rPr>
        <w:t> </w:t>
      </w:r>
      <w:r>
        <w:rPr>
          <w:spacing w:val="-6"/>
        </w:rPr>
        <w:t>Secretary,</w:t>
      </w:r>
      <w:r>
        <w:rPr>
          <w:spacing w:val="-8"/>
        </w:rPr>
        <w:t> </w:t>
      </w:r>
      <w:r>
        <w:rPr>
          <w:spacing w:val="-6"/>
        </w:rPr>
        <w:t>Jharkhand</w:t>
      </w:r>
      <w:r>
        <w:rPr>
          <w:spacing w:val="-5"/>
        </w:rPr>
        <w:t> </w:t>
      </w:r>
      <w:r>
        <w:rPr>
          <w:spacing w:val="-6"/>
        </w:rPr>
        <w:t>Secondary</w:t>
      </w:r>
      <w:r>
        <w:rPr>
          <w:spacing w:val="-10"/>
        </w:rPr>
        <w:t> </w:t>
      </w:r>
      <w:r>
        <w:rPr>
          <w:spacing w:val="-6"/>
        </w:rPr>
        <w:t>Teachers </w:t>
      </w:r>
      <w:r>
        <w:rPr/>
        <w:t>Association, Ranchi</w:t>
      </w:r>
    </w:p>
    <w:p>
      <w:pPr>
        <w:pStyle w:val="ListParagraph"/>
        <w:numPr>
          <w:ilvl w:val="0"/>
          <w:numId w:val="87"/>
        </w:numPr>
        <w:tabs>
          <w:tab w:pos="800" w:val="left" w:leader="none"/>
        </w:tabs>
        <w:spacing w:line="266" w:lineRule="auto" w:before="88" w:after="0"/>
        <w:ind w:left="800" w:right="2813" w:hanging="360"/>
        <w:jc w:val="left"/>
        <w:rPr>
          <w:sz w:val="22"/>
        </w:rPr>
      </w:pPr>
      <w:r>
        <w:rPr>
          <w:sz w:val="22"/>
        </w:rPr>
        <w:t>Smt. Poonam Kumari </w:t>
      </w:r>
      <w:r>
        <w:rPr>
          <w:spacing w:val="-2"/>
          <w:sz w:val="22"/>
        </w:rPr>
        <w:t>Principal,</w:t>
      </w:r>
      <w:r>
        <w:rPr>
          <w:spacing w:val="-12"/>
          <w:sz w:val="22"/>
        </w:rPr>
        <w:t> </w:t>
      </w:r>
      <w:r>
        <w:rPr>
          <w:spacing w:val="-2"/>
          <w:sz w:val="22"/>
        </w:rPr>
        <w:t>DIET,</w:t>
      </w:r>
      <w:r>
        <w:rPr>
          <w:spacing w:val="-12"/>
          <w:sz w:val="22"/>
        </w:rPr>
        <w:t> </w:t>
      </w:r>
      <w:r>
        <w:rPr>
          <w:spacing w:val="-2"/>
          <w:sz w:val="22"/>
        </w:rPr>
        <w:t>Ratu,</w:t>
      </w:r>
      <w:r>
        <w:rPr>
          <w:spacing w:val="-12"/>
          <w:sz w:val="22"/>
        </w:rPr>
        <w:t> </w:t>
      </w:r>
      <w:r>
        <w:rPr>
          <w:spacing w:val="-2"/>
          <w:sz w:val="22"/>
        </w:rPr>
        <w:t>Ranchi</w:t>
      </w:r>
    </w:p>
    <w:p>
      <w:pPr>
        <w:pStyle w:val="ListParagraph"/>
        <w:numPr>
          <w:ilvl w:val="0"/>
          <w:numId w:val="87"/>
        </w:numPr>
        <w:tabs>
          <w:tab w:pos="799" w:val="left" w:leader="none"/>
        </w:tabs>
        <w:spacing w:line="240" w:lineRule="auto" w:before="88" w:after="0"/>
        <w:ind w:left="799" w:right="0" w:hanging="359"/>
        <w:jc w:val="left"/>
        <w:rPr>
          <w:sz w:val="22"/>
        </w:rPr>
      </w:pPr>
      <w:r>
        <w:rPr>
          <w:spacing w:val="-6"/>
          <w:sz w:val="22"/>
        </w:rPr>
        <w:t>Sh.</w:t>
      </w:r>
      <w:r>
        <w:rPr>
          <w:spacing w:val="-3"/>
          <w:sz w:val="22"/>
        </w:rPr>
        <w:t> </w:t>
      </w:r>
      <w:r>
        <w:rPr>
          <w:spacing w:val="-6"/>
          <w:sz w:val="22"/>
        </w:rPr>
        <w:t>S.S.</w:t>
      </w:r>
      <w:r>
        <w:rPr>
          <w:spacing w:val="-3"/>
          <w:sz w:val="22"/>
        </w:rPr>
        <w:t> </w:t>
      </w:r>
      <w:r>
        <w:rPr>
          <w:spacing w:val="-6"/>
          <w:sz w:val="22"/>
        </w:rPr>
        <w:t>Pradhan</w:t>
      </w:r>
    </w:p>
    <w:p>
      <w:pPr>
        <w:pStyle w:val="BodyText"/>
        <w:spacing w:line="266" w:lineRule="auto" w:before="27"/>
        <w:ind w:left="800" w:right="1042"/>
      </w:pPr>
      <w:r>
        <w:rPr>
          <w:spacing w:val="-4"/>
        </w:rPr>
        <w:t>Asst.</w:t>
      </w:r>
      <w:r>
        <w:rPr>
          <w:spacing w:val="-12"/>
        </w:rPr>
        <w:t> </w:t>
      </w:r>
      <w:r>
        <w:rPr>
          <w:spacing w:val="-4"/>
        </w:rPr>
        <w:t>Program</w:t>
      </w:r>
      <w:r>
        <w:rPr>
          <w:spacing w:val="-10"/>
        </w:rPr>
        <w:t> </w:t>
      </w:r>
      <w:r>
        <w:rPr>
          <w:spacing w:val="-4"/>
        </w:rPr>
        <w:t>Officer,</w:t>
      </w:r>
      <w:r>
        <w:rPr>
          <w:spacing w:val="-10"/>
        </w:rPr>
        <w:t> </w:t>
      </w:r>
      <w:r>
        <w:rPr>
          <w:spacing w:val="-4"/>
        </w:rPr>
        <w:t>Jharkhand</w:t>
      </w:r>
      <w:r>
        <w:rPr>
          <w:spacing w:val="-9"/>
        </w:rPr>
        <w:t> </w:t>
      </w:r>
      <w:r>
        <w:rPr>
          <w:spacing w:val="-4"/>
        </w:rPr>
        <w:t>Education </w:t>
      </w:r>
      <w:r>
        <w:rPr/>
        <w:t>Project, Ranchi</w:t>
      </w:r>
    </w:p>
    <w:p>
      <w:pPr>
        <w:pStyle w:val="ListParagraph"/>
        <w:numPr>
          <w:ilvl w:val="0"/>
          <w:numId w:val="87"/>
        </w:numPr>
        <w:tabs>
          <w:tab w:pos="799" w:val="left" w:leader="none"/>
        </w:tabs>
        <w:spacing w:line="240" w:lineRule="auto" w:before="89" w:after="0"/>
        <w:ind w:left="799" w:right="0" w:hanging="359"/>
        <w:jc w:val="left"/>
        <w:rPr>
          <w:sz w:val="22"/>
        </w:rPr>
      </w:pPr>
      <w:r>
        <w:rPr>
          <w:spacing w:val="-4"/>
          <w:sz w:val="22"/>
        </w:rPr>
        <w:t>Sh.</w:t>
      </w:r>
      <w:r>
        <w:rPr>
          <w:spacing w:val="-9"/>
          <w:sz w:val="22"/>
        </w:rPr>
        <w:t> </w:t>
      </w:r>
      <w:r>
        <w:rPr>
          <w:spacing w:val="-4"/>
          <w:sz w:val="22"/>
        </w:rPr>
        <w:t>S.B.</w:t>
      </w:r>
      <w:r>
        <w:rPr>
          <w:spacing w:val="-9"/>
          <w:sz w:val="22"/>
        </w:rPr>
        <w:t> </w:t>
      </w:r>
      <w:r>
        <w:rPr>
          <w:spacing w:val="-4"/>
          <w:sz w:val="22"/>
        </w:rPr>
        <w:t>Kundu</w:t>
      </w:r>
    </w:p>
    <w:p>
      <w:pPr>
        <w:pStyle w:val="BodyText"/>
        <w:spacing w:before="27"/>
        <w:ind w:left="800"/>
      </w:pPr>
      <w:r>
        <w:rPr>
          <w:spacing w:val="-4"/>
        </w:rPr>
        <w:t>Teacher,</w:t>
      </w:r>
      <w:r>
        <w:rPr>
          <w:spacing w:val="-3"/>
        </w:rPr>
        <w:t> </w:t>
      </w:r>
      <w:r>
        <w:rPr>
          <w:spacing w:val="-4"/>
        </w:rPr>
        <w:t>Middle</w:t>
      </w:r>
      <w:r>
        <w:rPr>
          <w:spacing w:val="-3"/>
        </w:rPr>
        <w:t> </w:t>
      </w:r>
      <w:r>
        <w:rPr>
          <w:spacing w:val="-4"/>
        </w:rPr>
        <w:t>School,</w:t>
      </w:r>
      <w:r>
        <w:rPr>
          <w:spacing w:val="-3"/>
        </w:rPr>
        <w:t> </w:t>
      </w:r>
      <w:r>
        <w:rPr>
          <w:spacing w:val="-4"/>
        </w:rPr>
        <w:t>Ghaghra</w:t>
      </w:r>
      <w:r>
        <w:rPr>
          <w:spacing w:val="-2"/>
        </w:rPr>
        <w:t> </w:t>
      </w:r>
      <w:r>
        <w:rPr>
          <w:spacing w:val="-4"/>
        </w:rPr>
        <w:t>Khunti,</w:t>
      </w:r>
      <w:r>
        <w:rPr>
          <w:spacing w:val="-3"/>
        </w:rPr>
        <w:t> </w:t>
      </w:r>
      <w:r>
        <w:rPr>
          <w:spacing w:val="-4"/>
        </w:rPr>
        <w:t>Ranchi</w:t>
      </w:r>
    </w:p>
    <w:p>
      <w:pPr>
        <w:pStyle w:val="ListParagraph"/>
        <w:numPr>
          <w:ilvl w:val="0"/>
          <w:numId w:val="87"/>
        </w:numPr>
        <w:tabs>
          <w:tab w:pos="799" w:val="left" w:leader="none"/>
        </w:tabs>
        <w:spacing w:line="240" w:lineRule="auto" w:before="117" w:after="0"/>
        <w:ind w:left="799" w:right="0" w:hanging="359"/>
        <w:jc w:val="left"/>
        <w:rPr>
          <w:sz w:val="22"/>
        </w:rPr>
      </w:pPr>
      <w:r>
        <w:rPr>
          <w:spacing w:val="-6"/>
          <w:sz w:val="22"/>
        </w:rPr>
        <w:t>Sh.</w:t>
      </w:r>
      <w:r>
        <w:rPr>
          <w:spacing w:val="-3"/>
          <w:sz w:val="22"/>
        </w:rPr>
        <w:t> </w:t>
      </w:r>
      <w:r>
        <w:rPr>
          <w:spacing w:val="-6"/>
          <w:sz w:val="22"/>
        </w:rPr>
        <w:t>Kritwas</w:t>
      </w:r>
      <w:r>
        <w:rPr>
          <w:spacing w:val="-2"/>
          <w:sz w:val="22"/>
        </w:rPr>
        <w:t> </w:t>
      </w:r>
      <w:r>
        <w:rPr>
          <w:spacing w:val="-6"/>
          <w:sz w:val="22"/>
        </w:rPr>
        <w:t>Kumar</w:t>
      </w:r>
    </w:p>
    <w:p>
      <w:pPr>
        <w:pStyle w:val="BodyText"/>
        <w:spacing w:line="266" w:lineRule="auto" w:before="27"/>
        <w:ind w:left="800" w:right="1618"/>
      </w:pPr>
      <w:r>
        <w:rPr>
          <w:spacing w:val="-2"/>
        </w:rPr>
        <w:t>Teacher,</w:t>
      </w:r>
      <w:r>
        <w:rPr>
          <w:spacing w:val="-14"/>
        </w:rPr>
        <w:t> </w:t>
      </w:r>
      <w:r>
        <w:rPr>
          <w:spacing w:val="-2"/>
        </w:rPr>
        <w:t>E.L.T.I.</w:t>
      </w:r>
      <w:r>
        <w:rPr>
          <w:spacing w:val="-12"/>
        </w:rPr>
        <w:t> </w:t>
      </w:r>
      <w:r>
        <w:rPr>
          <w:spacing w:val="-2"/>
        </w:rPr>
        <w:t>Ratu</w:t>
      </w:r>
      <w:r>
        <w:rPr>
          <w:spacing w:val="-12"/>
        </w:rPr>
        <w:t> </w:t>
      </w:r>
      <w:r>
        <w:rPr>
          <w:spacing w:val="-2"/>
        </w:rPr>
        <w:t>DIET</w:t>
      </w:r>
      <w:r>
        <w:rPr>
          <w:spacing w:val="-11"/>
        </w:rPr>
        <w:t> </w:t>
      </w:r>
      <w:r>
        <w:rPr>
          <w:spacing w:val="-2"/>
        </w:rPr>
        <w:t>Campus Ranchi</w:t>
      </w:r>
    </w:p>
    <w:p>
      <w:pPr>
        <w:pStyle w:val="ListParagraph"/>
        <w:numPr>
          <w:ilvl w:val="0"/>
          <w:numId w:val="87"/>
        </w:numPr>
        <w:tabs>
          <w:tab w:pos="800" w:val="left" w:leader="none"/>
        </w:tabs>
        <w:spacing w:line="266" w:lineRule="auto" w:before="88" w:after="0"/>
        <w:ind w:left="800" w:right="3370" w:hanging="360"/>
        <w:jc w:val="left"/>
        <w:rPr>
          <w:sz w:val="22"/>
        </w:rPr>
      </w:pPr>
      <w:r>
        <w:rPr>
          <w:sz w:val="22"/>
        </w:rPr>
        <w:t>Mr. H. K. Jaiswal </w:t>
      </w:r>
      <w:r>
        <w:rPr>
          <w:spacing w:val="-4"/>
          <w:sz w:val="22"/>
        </w:rPr>
        <w:t>PRATHAM,</w:t>
      </w:r>
      <w:r>
        <w:rPr>
          <w:spacing w:val="-10"/>
          <w:sz w:val="22"/>
        </w:rPr>
        <w:t> </w:t>
      </w:r>
      <w:r>
        <w:rPr>
          <w:spacing w:val="-4"/>
          <w:sz w:val="22"/>
        </w:rPr>
        <w:t>Jharkhand</w:t>
      </w:r>
    </w:p>
    <w:p>
      <w:pPr>
        <w:pStyle w:val="ListParagraph"/>
        <w:numPr>
          <w:ilvl w:val="0"/>
          <w:numId w:val="87"/>
        </w:numPr>
        <w:tabs>
          <w:tab w:pos="799" w:val="left" w:leader="none"/>
        </w:tabs>
        <w:spacing w:line="240" w:lineRule="auto" w:before="89" w:after="0"/>
        <w:ind w:left="799" w:right="0" w:hanging="359"/>
        <w:jc w:val="left"/>
        <w:rPr>
          <w:sz w:val="22"/>
        </w:rPr>
      </w:pPr>
      <w:r>
        <w:rPr>
          <w:spacing w:val="-8"/>
          <w:sz w:val="22"/>
        </w:rPr>
        <w:t>Dr.</w:t>
      </w:r>
      <w:r>
        <w:rPr>
          <w:spacing w:val="-4"/>
          <w:sz w:val="22"/>
        </w:rPr>
        <w:t> </w:t>
      </w:r>
      <w:r>
        <w:rPr>
          <w:spacing w:val="-8"/>
          <w:sz w:val="22"/>
        </w:rPr>
        <w:t>Yoginder</w:t>
      </w:r>
      <w:r>
        <w:rPr>
          <w:spacing w:val="1"/>
          <w:sz w:val="22"/>
        </w:rPr>
        <w:t> </w:t>
      </w:r>
      <w:r>
        <w:rPr>
          <w:spacing w:val="-8"/>
          <w:sz w:val="22"/>
        </w:rPr>
        <w:t>Sikand</w:t>
      </w:r>
    </w:p>
    <w:p>
      <w:pPr>
        <w:pStyle w:val="BodyText"/>
        <w:spacing w:before="27"/>
        <w:ind w:left="800"/>
      </w:pPr>
      <w:r>
        <w:rPr>
          <w:spacing w:val="-8"/>
        </w:rPr>
        <w:t>Professor,</w:t>
      </w:r>
      <w:r>
        <w:rPr>
          <w:spacing w:val="5"/>
        </w:rPr>
        <w:t> </w:t>
      </w:r>
      <w:r>
        <w:rPr>
          <w:spacing w:val="-8"/>
        </w:rPr>
        <w:t>Jamia</w:t>
      </w:r>
      <w:r>
        <w:rPr>
          <w:spacing w:val="5"/>
        </w:rPr>
        <w:t> </w:t>
      </w:r>
      <w:r>
        <w:rPr>
          <w:spacing w:val="-8"/>
        </w:rPr>
        <w:t>Milia</w:t>
      </w:r>
      <w:r>
        <w:rPr>
          <w:spacing w:val="5"/>
        </w:rPr>
        <w:t> </w:t>
      </w:r>
      <w:r>
        <w:rPr>
          <w:spacing w:val="-8"/>
        </w:rPr>
        <w:t>Islamia</w:t>
      </w:r>
      <w:r>
        <w:rPr>
          <w:spacing w:val="5"/>
        </w:rPr>
        <w:t> </w:t>
      </w:r>
      <w:r>
        <w:rPr>
          <w:spacing w:val="-8"/>
        </w:rPr>
        <w:t>University</w:t>
      </w:r>
    </w:p>
    <w:p>
      <w:pPr>
        <w:pStyle w:val="ListParagraph"/>
        <w:numPr>
          <w:ilvl w:val="0"/>
          <w:numId w:val="87"/>
        </w:numPr>
        <w:tabs>
          <w:tab w:pos="799" w:val="left" w:leader="none"/>
        </w:tabs>
        <w:spacing w:line="240" w:lineRule="auto" w:before="117" w:after="0"/>
        <w:ind w:left="799" w:right="0" w:hanging="359"/>
        <w:jc w:val="left"/>
        <w:rPr>
          <w:sz w:val="22"/>
        </w:rPr>
      </w:pPr>
      <w:r>
        <w:rPr>
          <w:sz w:val="22"/>
        </w:rPr>
        <w:t>Mr.</w:t>
      </w:r>
      <w:r>
        <w:rPr>
          <w:spacing w:val="-13"/>
          <w:sz w:val="22"/>
        </w:rPr>
        <w:t> </w:t>
      </w:r>
      <w:r>
        <w:rPr>
          <w:sz w:val="22"/>
        </w:rPr>
        <w:t>Manoj</w:t>
      </w:r>
      <w:r>
        <w:rPr>
          <w:spacing w:val="-13"/>
          <w:sz w:val="22"/>
        </w:rPr>
        <w:t> </w:t>
      </w:r>
      <w:r>
        <w:rPr>
          <w:spacing w:val="-2"/>
          <w:sz w:val="22"/>
        </w:rPr>
        <w:t>Kumar</w:t>
      </w:r>
    </w:p>
    <w:p>
      <w:pPr>
        <w:pStyle w:val="BodyText"/>
        <w:spacing w:before="27"/>
        <w:ind w:left="800"/>
      </w:pPr>
      <w:r>
        <w:rPr>
          <w:spacing w:val="-4"/>
        </w:rPr>
        <w:t>Principal</w:t>
      </w:r>
      <w:r>
        <w:rPr>
          <w:spacing w:val="-8"/>
        </w:rPr>
        <w:t> </w:t>
      </w:r>
      <w:r>
        <w:rPr>
          <w:spacing w:val="-4"/>
        </w:rPr>
        <w:t>Secretary</w:t>
      </w:r>
      <w:r>
        <w:rPr>
          <w:spacing w:val="-8"/>
        </w:rPr>
        <w:t> </w:t>
      </w:r>
      <w:r>
        <w:rPr>
          <w:spacing w:val="-4"/>
        </w:rPr>
        <w:t>Primary</w:t>
      </w:r>
      <w:r>
        <w:rPr>
          <w:spacing w:val="-8"/>
        </w:rPr>
        <w:t> </w:t>
      </w:r>
      <w:r>
        <w:rPr>
          <w:spacing w:val="-4"/>
        </w:rPr>
        <w:t>Education,</w:t>
      </w:r>
      <w:r>
        <w:rPr>
          <w:spacing w:val="-7"/>
        </w:rPr>
        <w:t> </w:t>
      </w:r>
      <w:r>
        <w:rPr>
          <w:spacing w:val="-4"/>
        </w:rPr>
        <w:t>Jharkhand</w:t>
      </w:r>
    </w:p>
    <w:p>
      <w:pPr>
        <w:pStyle w:val="ListParagraph"/>
        <w:numPr>
          <w:ilvl w:val="0"/>
          <w:numId w:val="87"/>
        </w:numPr>
        <w:tabs>
          <w:tab w:pos="800" w:val="left" w:leader="none"/>
        </w:tabs>
        <w:spacing w:line="266" w:lineRule="auto" w:before="117" w:after="0"/>
        <w:ind w:left="800" w:right="4091" w:hanging="360"/>
        <w:jc w:val="left"/>
        <w:rPr>
          <w:sz w:val="22"/>
        </w:rPr>
      </w:pPr>
      <w:r>
        <w:rPr>
          <w:spacing w:val="-2"/>
          <w:sz w:val="22"/>
        </w:rPr>
        <w:t>Ms.</w:t>
      </w:r>
      <w:r>
        <w:rPr>
          <w:spacing w:val="-12"/>
          <w:sz w:val="22"/>
        </w:rPr>
        <w:t> </w:t>
      </w:r>
      <w:r>
        <w:rPr>
          <w:spacing w:val="-2"/>
          <w:sz w:val="22"/>
        </w:rPr>
        <w:t>Shruti</w:t>
      </w:r>
      <w:r>
        <w:rPr>
          <w:spacing w:val="-12"/>
          <w:sz w:val="22"/>
        </w:rPr>
        <w:t> </w:t>
      </w:r>
      <w:r>
        <w:rPr>
          <w:spacing w:val="-2"/>
          <w:sz w:val="22"/>
        </w:rPr>
        <w:t>Nag PRATHAM</w:t>
      </w:r>
    </w:p>
    <w:p>
      <w:pPr>
        <w:pStyle w:val="ListParagraph"/>
        <w:numPr>
          <w:ilvl w:val="0"/>
          <w:numId w:val="87"/>
        </w:numPr>
        <w:tabs>
          <w:tab w:pos="799" w:val="left" w:leader="none"/>
        </w:tabs>
        <w:spacing w:line="240" w:lineRule="auto" w:before="88" w:after="0"/>
        <w:ind w:left="799" w:right="0" w:hanging="359"/>
        <w:jc w:val="left"/>
        <w:rPr>
          <w:sz w:val="22"/>
        </w:rPr>
      </w:pPr>
      <w:r>
        <w:rPr>
          <w:spacing w:val="-6"/>
          <w:sz w:val="22"/>
        </w:rPr>
        <w:t>Sh.</w:t>
      </w:r>
      <w:r>
        <w:rPr>
          <w:spacing w:val="-2"/>
          <w:sz w:val="22"/>
        </w:rPr>
        <w:t> </w:t>
      </w:r>
      <w:r>
        <w:rPr>
          <w:spacing w:val="-6"/>
          <w:sz w:val="22"/>
        </w:rPr>
        <w:t>Abhimanyu</w:t>
      </w:r>
      <w:r>
        <w:rPr>
          <w:spacing w:val="-10"/>
          <w:sz w:val="22"/>
        </w:rPr>
        <w:t> </w:t>
      </w:r>
      <w:r>
        <w:rPr>
          <w:spacing w:val="-6"/>
          <w:sz w:val="22"/>
        </w:rPr>
        <w:t>Tewari,</w:t>
      </w:r>
      <w:r>
        <w:rPr>
          <w:sz w:val="22"/>
        </w:rPr>
        <w:t> </w:t>
      </w:r>
      <w:r>
        <w:rPr>
          <w:spacing w:val="-6"/>
          <w:sz w:val="22"/>
        </w:rPr>
        <w:t>President</w:t>
      </w:r>
    </w:p>
    <w:p>
      <w:pPr>
        <w:pStyle w:val="BodyText"/>
        <w:spacing w:before="27"/>
        <w:ind w:left="800"/>
      </w:pPr>
      <w:r>
        <w:rPr>
          <w:spacing w:val="-4"/>
        </w:rPr>
        <w:t>Uttar</w:t>
      </w:r>
      <w:r>
        <w:rPr>
          <w:spacing w:val="-1"/>
        </w:rPr>
        <w:t> </w:t>
      </w:r>
      <w:r>
        <w:rPr>
          <w:spacing w:val="-4"/>
        </w:rPr>
        <w:t>Pradesh</w:t>
      </w:r>
      <w:r>
        <w:rPr/>
        <w:t> </w:t>
      </w:r>
      <w:r>
        <w:rPr>
          <w:spacing w:val="-4"/>
        </w:rPr>
        <w:t>Prathmik</w:t>
      </w:r>
      <w:r>
        <w:rPr/>
        <w:t> </w:t>
      </w:r>
      <w:r>
        <w:rPr>
          <w:spacing w:val="-4"/>
        </w:rPr>
        <w:t>Shikshak</w:t>
      </w:r>
      <w:r>
        <w:rPr/>
        <w:t> </w:t>
      </w:r>
      <w:r>
        <w:rPr>
          <w:spacing w:val="-4"/>
        </w:rPr>
        <w:t>Sangh</w:t>
      </w:r>
    </w:p>
    <w:p>
      <w:pPr>
        <w:pStyle w:val="ListParagraph"/>
        <w:numPr>
          <w:ilvl w:val="0"/>
          <w:numId w:val="87"/>
        </w:numPr>
        <w:tabs>
          <w:tab w:pos="800" w:val="left" w:leader="none"/>
        </w:tabs>
        <w:spacing w:line="266" w:lineRule="auto" w:before="117" w:after="0"/>
        <w:ind w:left="800" w:right="3972" w:hanging="360"/>
        <w:jc w:val="left"/>
        <w:rPr>
          <w:sz w:val="22"/>
        </w:rPr>
      </w:pPr>
      <w:r>
        <w:rPr>
          <w:spacing w:val="-4"/>
          <w:sz w:val="22"/>
        </w:rPr>
        <w:t>Dr.</w:t>
      </w:r>
      <w:r>
        <w:rPr>
          <w:spacing w:val="-10"/>
          <w:sz w:val="22"/>
        </w:rPr>
        <w:t> </w:t>
      </w:r>
      <w:r>
        <w:rPr>
          <w:spacing w:val="-4"/>
          <w:sz w:val="22"/>
        </w:rPr>
        <w:t>Veena</w:t>
      </w:r>
      <w:r>
        <w:rPr>
          <w:spacing w:val="-10"/>
          <w:sz w:val="22"/>
        </w:rPr>
        <w:t> </w:t>
      </w:r>
      <w:r>
        <w:rPr>
          <w:spacing w:val="-4"/>
          <w:sz w:val="22"/>
        </w:rPr>
        <w:t>Gupta </w:t>
      </w:r>
      <w:r>
        <w:rPr>
          <w:sz w:val="22"/>
        </w:rPr>
        <w:t>Moradabad, UP</w:t>
      </w:r>
    </w:p>
    <w:p>
      <w:pPr>
        <w:pStyle w:val="ListParagraph"/>
        <w:numPr>
          <w:ilvl w:val="0"/>
          <w:numId w:val="87"/>
        </w:numPr>
        <w:tabs>
          <w:tab w:pos="799" w:val="left" w:leader="none"/>
        </w:tabs>
        <w:spacing w:line="240" w:lineRule="auto" w:before="89" w:after="0"/>
        <w:ind w:left="799" w:right="0" w:hanging="359"/>
        <w:jc w:val="left"/>
        <w:rPr>
          <w:sz w:val="22"/>
        </w:rPr>
      </w:pPr>
      <w:r>
        <w:rPr>
          <w:spacing w:val="-2"/>
          <w:sz w:val="22"/>
        </w:rPr>
        <w:t>Mr.</w:t>
      </w:r>
      <w:r>
        <w:rPr>
          <w:spacing w:val="-10"/>
          <w:sz w:val="22"/>
        </w:rPr>
        <w:t> </w:t>
      </w:r>
      <w:r>
        <w:rPr>
          <w:spacing w:val="-2"/>
          <w:sz w:val="22"/>
        </w:rPr>
        <w:t>Vinobha</w:t>
      </w:r>
    </w:p>
    <w:p>
      <w:pPr>
        <w:pStyle w:val="BodyText"/>
        <w:spacing w:before="27"/>
        <w:ind w:left="800"/>
      </w:pPr>
      <w:r>
        <w:rPr>
          <w:spacing w:val="-4"/>
        </w:rPr>
        <w:t>UNICEF,</w:t>
      </w:r>
      <w:r>
        <w:rPr>
          <w:spacing w:val="1"/>
        </w:rPr>
        <w:t> </w:t>
      </w:r>
      <w:r>
        <w:rPr>
          <w:spacing w:val="-4"/>
        </w:rPr>
        <w:t>Project</w:t>
      </w:r>
      <w:r>
        <w:rPr>
          <w:spacing w:val="1"/>
        </w:rPr>
        <w:t> </w:t>
      </w:r>
      <w:r>
        <w:rPr>
          <w:spacing w:val="-4"/>
        </w:rPr>
        <w:t>Director</w:t>
      </w:r>
    </w:p>
    <w:p>
      <w:pPr>
        <w:pStyle w:val="ListParagraph"/>
        <w:numPr>
          <w:ilvl w:val="0"/>
          <w:numId w:val="87"/>
        </w:numPr>
        <w:tabs>
          <w:tab w:pos="800" w:val="left" w:leader="none"/>
        </w:tabs>
        <w:spacing w:line="266" w:lineRule="auto" w:before="117" w:after="0"/>
        <w:ind w:left="800" w:right="3910" w:hanging="360"/>
        <w:jc w:val="left"/>
        <w:rPr>
          <w:sz w:val="22"/>
        </w:rPr>
      </w:pPr>
      <w:r>
        <w:rPr>
          <w:spacing w:val="-2"/>
          <w:sz w:val="22"/>
        </w:rPr>
        <w:t>Ms.</w:t>
      </w:r>
      <w:r>
        <w:rPr>
          <w:spacing w:val="-12"/>
          <w:sz w:val="22"/>
        </w:rPr>
        <w:t> </w:t>
      </w:r>
      <w:r>
        <w:rPr>
          <w:spacing w:val="-2"/>
          <w:sz w:val="22"/>
        </w:rPr>
        <w:t>Mira</w:t>
      </w:r>
      <w:r>
        <w:rPr>
          <w:spacing w:val="-12"/>
          <w:sz w:val="22"/>
        </w:rPr>
        <w:t> </w:t>
      </w:r>
      <w:r>
        <w:rPr>
          <w:spacing w:val="-2"/>
          <w:sz w:val="22"/>
        </w:rPr>
        <w:t>Kumari PRATHAM</w:t>
      </w:r>
    </w:p>
    <w:p>
      <w:pPr>
        <w:pStyle w:val="ListParagraph"/>
        <w:numPr>
          <w:ilvl w:val="0"/>
          <w:numId w:val="87"/>
        </w:numPr>
        <w:tabs>
          <w:tab w:pos="800" w:val="left" w:leader="none"/>
        </w:tabs>
        <w:spacing w:line="266" w:lineRule="auto" w:before="88" w:after="0"/>
        <w:ind w:left="800" w:right="4041" w:hanging="360"/>
        <w:jc w:val="left"/>
        <w:rPr>
          <w:sz w:val="22"/>
        </w:rPr>
      </w:pPr>
      <w:r>
        <w:rPr>
          <w:spacing w:val="-2"/>
          <w:sz w:val="22"/>
        </w:rPr>
        <w:t>Mr.</w:t>
      </w:r>
      <w:r>
        <w:rPr>
          <w:spacing w:val="-12"/>
          <w:sz w:val="22"/>
        </w:rPr>
        <w:t> </w:t>
      </w:r>
      <w:r>
        <w:rPr>
          <w:spacing w:val="-2"/>
          <w:sz w:val="22"/>
        </w:rPr>
        <w:t>Smitin</w:t>
      </w:r>
      <w:r>
        <w:rPr>
          <w:spacing w:val="-12"/>
          <w:sz w:val="22"/>
        </w:rPr>
        <w:t> </w:t>
      </w:r>
      <w:r>
        <w:rPr>
          <w:spacing w:val="-2"/>
          <w:sz w:val="22"/>
        </w:rPr>
        <w:t>Brid PRATHAM</w:t>
      </w:r>
    </w:p>
    <w:p>
      <w:pPr>
        <w:pStyle w:val="ListParagraph"/>
        <w:numPr>
          <w:ilvl w:val="0"/>
          <w:numId w:val="87"/>
        </w:numPr>
        <w:tabs>
          <w:tab w:pos="800" w:val="left" w:leader="none"/>
        </w:tabs>
        <w:spacing w:line="266" w:lineRule="auto" w:before="88" w:after="0"/>
        <w:ind w:left="800" w:right="4019" w:hanging="360"/>
        <w:jc w:val="left"/>
        <w:rPr>
          <w:sz w:val="22"/>
        </w:rPr>
      </w:pPr>
      <w:r>
        <w:rPr>
          <w:spacing w:val="-4"/>
          <w:sz w:val="22"/>
        </w:rPr>
        <w:t>Mr.</w:t>
      </w:r>
      <w:r>
        <w:rPr>
          <w:spacing w:val="-10"/>
          <w:sz w:val="22"/>
        </w:rPr>
        <w:t> </w:t>
      </w:r>
      <w:r>
        <w:rPr>
          <w:spacing w:val="-4"/>
          <w:sz w:val="22"/>
        </w:rPr>
        <w:t>Amit</w:t>
      </w:r>
      <w:r>
        <w:rPr>
          <w:spacing w:val="-10"/>
          <w:sz w:val="22"/>
        </w:rPr>
        <w:t> </w:t>
      </w:r>
      <w:r>
        <w:rPr>
          <w:spacing w:val="-4"/>
          <w:sz w:val="22"/>
        </w:rPr>
        <w:t>Bajpai </w:t>
      </w:r>
      <w:r>
        <w:rPr>
          <w:spacing w:val="-2"/>
          <w:sz w:val="22"/>
        </w:rPr>
        <w:t>PRATHAM</w:t>
      </w:r>
    </w:p>
    <w:p>
      <w:pPr>
        <w:pStyle w:val="ListParagraph"/>
        <w:numPr>
          <w:ilvl w:val="0"/>
          <w:numId w:val="87"/>
        </w:numPr>
        <w:tabs>
          <w:tab w:pos="799" w:val="left" w:leader="none"/>
        </w:tabs>
        <w:spacing w:line="240" w:lineRule="auto" w:before="89" w:after="0"/>
        <w:ind w:left="799" w:right="0" w:hanging="359"/>
        <w:jc w:val="left"/>
        <w:rPr>
          <w:sz w:val="22"/>
        </w:rPr>
      </w:pPr>
      <w:r>
        <w:rPr>
          <w:sz w:val="22"/>
        </w:rPr>
        <w:t>Dr.</w:t>
      </w:r>
      <w:r>
        <w:rPr>
          <w:spacing w:val="-6"/>
          <w:sz w:val="22"/>
        </w:rPr>
        <w:t> </w:t>
      </w:r>
      <w:r>
        <w:rPr>
          <w:spacing w:val="-2"/>
          <w:sz w:val="22"/>
        </w:rPr>
        <w:t>Mishra</w:t>
      </w:r>
    </w:p>
    <w:p>
      <w:pPr>
        <w:pStyle w:val="BodyText"/>
        <w:spacing w:before="27"/>
        <w:ind w:left="800"/>
      </w:pPr>
      <w:r>
        <w:rPr>
          <w:spacing w:val="-2"/>
        </w:rPr>
        <w:t>Directorate</w:t>
      </w:r>
      <w:r>
        <w:rPr>
          <w:spacing w:val="-9"/>
        </w:rPr>
        <w:t> </w:t>
      </w:r>
      <w:r>
        <w:rPr>
          <w:spacing w:val="-2"/>
        </w:rPr>
        <w:t>of</w:t>
      </w:r>
      <w:r>
        <w:rPr>
          <w:spacing w:val="-8"/>
        </w:rPr>
        <w:t> </w:t>
      </w:r>
      <w:r>
        <w:rPr>
          <w:spacing w:val="-2"/>
        </w:rPr>
        <w:t>Education,</w:t>
      </w:r>
      <w:r>
        <w:rPr>
          <w:spacing w:val="-9"/>
        </w:rPr>
        <w:t> </w:t>
      </w:r>
      <w:r>
        <w:rPr>
          <w:spacing w:val="-5"/>
        </w:rPr>
        <w:t>MP</w:t>
      </w:r>
    </w:p>
    <w:p>
      <w:pPr>
        <w:spacing w:after="0"/>
        <w:sectPr>
          <w:pgSz w:w="11910" w:h="16840"/>
          <w:pgMar w:header="0" w:footer="675" w:top="960" w:bottom="860" w:left="0" w:right="0"/>
          <w:cols w:num="2" w:equalWidth="0">
            <w:col w:w="5652" w:space="40"/>
            <w:col w:w="6218"/>
          </w:cols>
        </w:sectPr>
      </w:pPr>
    </w:p>
    <w:p>
      <w:pPr>
        <w:pStyle w:val="ListParagraph"/>
        <w:numPr>
          <w:ilvl w:val="0"/>
          <w:numId w:val="87"/>
        </w:numPr>
        <w:tabs>
          <w:tab w:pos="1439" w:val="left" w:leader="none"/>
        </w:tabs>
        <w:spacing w:line="266" w:lineRule="auto" w:before="57" w:after="0"/>
        <w:ind w:left="1439" w:right="1121" w:hanging="360"/>
        <w:jc w:val="left"/>
        <w:rPr>
          <w:sz w:val="22"/>
        </w:rPr>
      </w:pPr>
      <w:r>
        <w:rPr>
          <w:sz w:val="22"/>
        </w:rPr>
        <w:t>Dr. Manohar, Commissioner</w:t>
      </w:r>
      <w:r>
        <w:rPr>
          <w:sz w:val="22"/>
        </w:rPr>
        <w:t> </w:t>
      </w:r>
      <w:r>
        <w:rPr>
          <w:spacing w:val="-10"/>
          <w:sz w:val="22"/>
        </w:rPr>
        <w:t>Rajeev</w:t>
      </w:r>
      <w:r>
        <w:rPr>
          <w:spacing w:val="-3"/>
          <w:sz w:val="22"/>
        </w:rPr>
        <w:t> </w:t>
      </w:r>
      <w:r>
        <w:rPr>
          <w:spacing w:val="-10"/>
          <w:sz w:val="22"/>
        </w:rPr>
        <w:t>Gandhi</w:t>
      </w:r>
      <w:r>
        <w:rPr>
          <w:spacing w:val="-3"/>
          <w:sz w:val="22"/>
        </w:rPr>
        <w:t> </w:t>
      </w:r>
      <w:r>
        <w:rPr>
          <w:spacing w:val="-10"/>
          <w:sz w:val="22"/>
        </w:rPr>
        <w:t>Shiksha</w:t>
      </w:r>
      <w:r>
        <w:rPr>
          <w:spacing w:val="-3"/>
          <w:sz w:val="22"/>
        </w:rPr>
        <w:t> </w:t>
      </w:r>
      <w:r>
        <w:rPr>
          <w:spacing w:val="-10"/>
          <w:sz w:val="22"/>
        </w:rPr>
        <w:t>Mission,</w:t>
      </w:r>
      <w:r>
        <w:rPr>
          <w:spacing w:val="-3"/>
          <w:sz w:val="22"/>
        </w:rPr>
        <w:t> </w:t>
      </w:r>
      <w:r>
        <w:rPr>
          <w:spacing w:val="-10"/>
          <w:sz w:val="22"/>
        </w:rPr>
        <w:t>MP</w:t>
      </w:r>
    </w:p>
    <w:p>
      <w:pPr>
        <w:pStyle w:val="ListParagraph"/>
        <w:numPr>
          <w:ilvl w:val="0"/>
          <w:numId w:val="87"/>
        </w:numPr>
        <w:tabs>
          <w:tab w:pos="1439" w:val="left" w:leader="none"/>
        </w:tabs>
        <w:spacing w:line="266" w:lineRule="auto" w:before="89" w:after="0"/>
        <w:ind w:left="1439" w:right="2412" w:hanging="360"/>
        <w:jc w:val="left"/>
        <w:rPr>
          <w:sz w:val="22"/>
        </w:rPr>
      </w:pPr>
      <w:r>
        <w:rPr>
          <w:sz w:val="22"/>
        </w:rPr>
        <w:t>Dr. Vinod Raina </w:t>
      </w:r>
      <w:r>
        <w:rPr>
          <w:spacing w:val="-6"/>
          <w:sz w:val="22"/>
        </w:rPr>
        <w:t>Eklavya</w:t>
      </w:r>
      <w:r>
        <w:rPr>
          <w:spacing w:val="-8"/>
          <w:sz w:val="22"/>
        </w:rPr>
        <w:t> </w:t>
      </w:r>
      <w:r>
        <w:rPr>
          <w:spacing w:val="-6"/>
          <w:sz w:val="22"/>
        </w:rPr>
        <w:t>Foundation</w:t>
      </w:r>
    </w:p>
    <w:p>
      <w:pPr>
        <w:pStyle w:val="ListParagraph"/>
        <w:numPr>
          <w:ilvl w:val="0"/>
          <w:numId w:val="87"/>
        </w:numPr>
        <w:tabs>
          <w:tab w:pos="1439" w:val="left" w:leader="none"/>
        </w:tabs>
        <w:spacing w:line="240" w:lineRule="auto" w:before="88" w:after="0"/>
        <w:ind w:left="1439" w:right="0" w:hanging="359"/>
        <w:jc w:val="left"/>
        <w:rPr>
          <w:sz w:val="22"/>
        </w:rPr>
      </w:pPr>
      <w:r>
        <w:rPr>
          <w:spacing w:val="-6"/>
          <w:sz w:val="22"/>
        </w:rPr>
        <w:t>Sh.</w:t>
      </w:r>
      <w:r>
        <w:rPr>
          <w:spacing w:val="-3"/>
          <w:sz w:val="22"/>
        </w:rPr>
        <w:t> </w:t>
      </w:r>
      <w:r>
        <w:rPr>
          <w:spacing w:val="-6"/>
          <w:sz w:val="22"/>
        </w:rPr>
        <w:t>S.S.</w:t>
      </w:r>
      <w:r>
        <w:rPr>
          <w:spacing w:val="-3"/>
          <w:sz w:val="22"/>
        </w:rPr>
        <w:t> </w:t>
      </w:r>
      <w:r>
        <w:rPr>
          <w:spacing w:val="-6"/>
          <w:sz w:val="22"/>
        </w:rPr>
        <w:t>Pachpor</w:t>
      </w:r>
    </w:p>
    <w:p>
      <w:pPr>
        <w:pStyle w:val="BodyText"/>
        <w:spacing w:before="27"/>
        <w:ind w:left="1439"/>
      </w:pPr>
      <w:r>
        <w:rPr/>
        <w:t>Director,</w:t>
      </w:r>
      <w:r>
        <w:rPr>
          <w:spacing w:val="-7"/>
        </w:rPr>
        <w:t> </w:t>
      </w:r>
      <w:r>
        <w:rPr/>
        <w:t>MP</w:t>
      </w:r>
      <w:r>
        <w:rPr>
          <w:spacing w:val="-7"/>
        </w:rPr>
        <w:t> </w:t>
      </w:r>
      <w:r>
        <w:rPr/>
        <w:t>Open</w:t>
      </w:r>
      <w:r>
        <w:rPr>
          <w:spacing w:val="-6"/>
        </w:rPr>
        <w:t> </w:t>
      </w:r>
      <w:r>
        <w:rPr>
          <w:spacing w:val="-2"/>
        </w:rPr>
        <w:t>School</w:t>
      </w:r>
    </w:p>
    <w:p>
      <w:pPr>
        <w:pStyle w:val="ListParagraph"/>
        <w:numPr>
          <w:ilvl w:val="0"/>
          <w:numId w:val="87"/>
        </w:numPr>
        <w:tabs>
          <w:tab w:pos="1440" w:val="left" w:leader="none"/>
        </w:tabs>
        <w:spacing w:line="266" w:lineRule="auto" w:before="117" w:after="0"/>
        <w:ind w:left="1440" w:right="2955" w:hanging="360"/>
        <w:jc w:val="left"/>
        <w:rPr>
          <w:sz w:val="22"/>
        </w:rPr>
      </w:pPr>
      <w:r>
        <w:rPr>
          <w:spacing w:val="-4"/>
          <w:sz w:val="22"/>
        </w:rPr>
        <w:t>Smt.</w:t>
      </w:r>
      <w:r>
        <w:rPr>
          <w:spacing w:val="-10"/>
          <w:sz w:val="22"/>
        </w:rPr>
        <w:t> </w:t>
      </w:r>
      <w:r>
        <w:rPr>
          <w:spacing w:val="-4"/>
          <w:sz w:val="22"/>
        </w:rPr>
        <w:t>Uma</w:t>
      </w:r>
      <w:r>
        <w:rPr>
          <w:spacing w:val="-10"/>
          <w:sz w:val="22"/>
        </w:rPr>
        <w:t> </w:t>
      </w:r>
      <w:r>
        <w:rPr>
          <w:spacing w:val="-4"/>
          <w:sz w:val="22"/>
        </w:rPr>
        <w:t>Sri </w:t>
      </w:r>
      <w:r>
        <w:rPr>
          <w:spacing w:val="-2"/>
          <w:sz w:val="22"/>
        </w:rPr>
        <w:t>UNICEF</w:t>
      </w:r>
    </w:p>
    <w:p>
      <w:pPr>
        <w:pStyle w:val="ListParagraph"/>
        <w:numPr>
          <w:ilvl w:val="0"/>
          <w:numId w:val="87"/>
        </w:numPr>
        <w:tabs>
          <w:tab w:pos="1439" w:val="left" w:leader="none"/>
        </w:tabs>
        <w:spacing w:line="240" w:lineRule="auto" w:before="89" w:after="0"/>
        <w:ind w:left="1439" w:right="0" w:hanging="359"/>
        <w:jc w:val="left"/>
        <w:rPr>
          <w:sz w:val="22"/>
        </w:rPr>
      </w:pPr>
      <w:r>
        <w:rPr>
          <w:spacing w:val="-2"/>
          <w:sz w:val="22"/>
        </w:rPr>
        <w:t>Mr.</w:t>
      </w:r>
      <w:r>
        <w:rPr>
          <w:spacing w:val="-11"/>
          <w:sz w:val="22"/>
        </w:rPr>
        <w:t> </w:t>
      </w:r>
      <w:r>
        <w:rPr>
          <w:spacing w:val="-2"/>
          <w:sz w:val="22"/>
        </w:rPr>
        <w:t>K.L.</w:t>
      </w:r>
      <w:r>
        <w:rPr>
          <w:spacing w:val="-11"/>
          <w:sz w:val="22"/>
        </w:rPr>
        <w:t> </w:t>
      </w:r>
      <w:r>
        <w:rPr>
          <w:spacing w:val="-2"/>
          <w:sz w:val="22"/>
        </w:rPr>
        <w:t>Shejwar</w:t>
      </w:r>
    </w:p>
    <w:p>
      <w:pPr>
        <w:pStyle w:val="BodyText"/>
        <w:spacing w:before="27"/>
        <w:ind w:left="1440"/>
      </w:pPr>
      <w:r>
        <w:rPr>
          <w:spacing w:val="-4"/>
        </w:rPr>
        <w:t>Block Resource Coordinator, Gohad Block</w:t>
      </w:r>
    </w:p>
    <w:p>
      <w:pPr>
        <w:pStyle w:val="ListParagraph"/>
        <w:numPr>
          <w:ilvl w:val="0"/>
          <w:numId w:val="87"/>
        </w:numPr>
        <w:tabs>
          <w:tab w:pos="1440" w:val="left" w:leader="none"/>
        </w:tabs>
        <w:spacing w:line="266" w:lineRule="auto" w:before="117" w:after="0"/>
        <w:ind w:left="1440" w:right="1689" w:hanging="360"/>
        <w:jc w:val="left"/>
        <w:rPr>
          <w:sz w:val="22"/>
        </w:rPr>
      </w:pPr>
      <w:r>
        <w:rPr>
          <w:spacing w:val="-6"/>
          <w:sz w:val="22"/>
        </w:rPr>
        <w:t>Mr.</w:t>
      </w:r>
      <w:r>
        <w:rPr>
          <w:spacing w:val="-8"/>
          <w:sz w:val="22"/>
        </w:rPr>
        <w:t> </w:t>
      </w:r>
      <w:r>
        <w:rPr>
          <w:spacing w:val="-6"/>
          <w:sz w:val="22"/>
        </w:rPr>
        <w:t>Sajaan</w:t>
      </w:r>
      <w:r>
        <w:rPr>
          <w:spacing w:val="-8"/>
          <w:sz w:val="22"/>
        </w:rPr>
        <w:t> </w:t>
      </w:r>
      <w:r>
        <w:rPr>
          <w:spacing w:val="-6"/>
          <w:sz w:val="22"/>
        </w:rPr>
        <w:t>Singh</w:t>
      </w:r>
      <w:r>
        <w:rPr>
          <w:spacing w:val="-8"/>
          <w:sz w:val="22"/>
        </w:rPr>
        <w:t> </w:t>
      </w:r>
      <w:r>
        <w:rPr>
          <w:spacing w:val="-6"/>
          <w:sz w:val="22"/>
        </w:rPr>
        <w:t>Shekhawat </w:t>
      </w:r>
      <w:r>
        <w:rPr>
          <w:spacing w:val="-2"/>
          <w:sz w:val="22"/>
        </w:rPr>
        <w:t>PRATHAM</w:t>
      </w:r>
    </w:p>
    <w:p>
      <w:pPr>
        <w:pStyle w:val="ListParagraph"/>
        <w:numPr>
          <w:ilvl w:val="0"/>
          <w:numId w:val="87"/>
        </w:numPr>
        <w:tabs>
          <w:tab w:pos="1439" w:val="left" w:leader="none"/>
        </w:tabs>
        <w:spacing w:line="240" w:lineRule="auto" w:before="88" w:after="0"/>
        <w:ind w:left="1439" w:right="0" w:hanging="359"/>
        <w:jc w:val="left"/>
        <w:rPr>
          <w:sz w:val="22"/>
        </w:rPr>
      </w:pPr>
      <w:r>
        <w:rPr>
          <w:spacing w:val="-2"/>
          <w:sz w:val="22"/>
        </w:rPr>
        <w:t>Mr.</w:t>
      </w:r>
      <w:r>
        <w:rPr>
          <w:spacing w:val="-4"/>
          <w:sz w:val="22"/>
        </w:rPr>
        <w:t> </w:t>
      </w:r>
      <w:r>
        <w:rPr>
          <w:spacing w:val="-2"/>
          <w:sz w:val="22"/>
        </w:rPr>
        <w:t>Shutanshu</w:t>
      </w:r>
      <w:r>
        <w:rPr>
          <w:spacing w:val="-3"/>
          <w:sz w:val="22"/>
        </w:rPr>
        <w:t> </w:t>
      </w:r>
      <w:r>
        <w:rPr>
          <w:spacing w:val="-2"/>
          <w:sz w:val="22"/>
        </w:rPr>
        <w:t>Shukla</w:t>
      </w:r>
    </w:p>
    <w:p>
      <w:pPr>
        <w:pStyle w:val="BodyText"/>
        <w:spacing w:before="27"/>
        <w:ind w:left="1440"/>
      </w:pPr>
      <w:r>
        <w:rPr>
          <w:spacing w:val="-6"/>
        </w:rPr>
        <w:t>Rajya</w:t>
      </w:r>
      <w:r>
        <w:rPr/>
        <w:t> </w:t>
      </w:r>
      <w:r>
        <w:rPr>
          <w:spacing w:val="-6"/>
        </w:rPr>
        <w:t>Shiksha</w:t>
      </w:r>
      <w:r>
        <w:rPr/>
        <w:t> </w:t>
      </w:r>
      <w:r>
        <w:rPr>
          <w:spacing w:val="-6"/>
        </w:rPr>
        <w:t>Kendra,</w:t>
      </w:r>
      <w:r>
        <w:rPr>
          <w:spacing w:val="1"/>
        </w:rPr>
        <w:t> </w:t>
      </w:r>
      <w:r>
        <w:rPr>
          <w:spacing w:val="-6"/>
        </w:rPr>
        <w:t>Madhya</w:t>
      </w:r>
      <w:r>
        <w:rPr/>
        <w:t> </w:t>
      </w:r>
      <w:r>
        <w:rPr>
          <w:spacing w:val="-6"/>
        </w:rPr>
        <w:t>Pradesh</w:t>
      </w:r>
    </w:p>
    <w:p>
      <w:pPr>
        <w:pStyle w:val="BodyText"/>
        <w:spacing w:before="94"/>
      </w:pPr>
    </w:p>
    <w:p>
      <w:pPr>
        <w:spacing w:line="266" w:lineRule="auto" w:before="0"/>
        <w:ind w:left="1080" w:right="0" w:firstLine="0"/>
        <w:jc w:val="left"/>
        <w:rPr>
          <w:b/>
          <w:i/>
          <w:sz w:val="22"/>
        </w:rPr>
      </w:pPr>
      <w:r>
        <w:rPr>
          <w:b/>
          <w:i/>
          <w:w w:val="90"/>
          <w:sz w:val="22"/>
        </w:rPr>
        <w:t>Eastern Region at Indian Council of Social </w:t>
      </w:r>
      <w:r>
        <w:rPr>
          <w:b/>
          <w:i/>
          <w:w w:val="90"/>
          <w:sz w:val="22"/>
        </w:rPr>
        <w:t>Science </w:t>
      </w:r>
      <w:r>
        <w:rPr>
          <w:b/>
          <w:i/>
          <w:sz w:val="22"/>
        </w:rPr>
        <w:t>Research,</w:t>
      </w:r>
      <w:r>
        <w:rPr>
          <w:b/>
          <w:i/>
          <w:spacing w:val="-11"/>
          <w:sz w:val="22"/>
        </w:rPr>
        <w:t> </w:t>
      </w:r>
      <w:r>
        <w:rPr>
          <w:b/>
          <w:i/>
          <w:sz w:val="22"/>
        </w:rPr>
        <w:t>Kolkata</w:t>
      </w:r>
      <w:r>
        <w:rPr>
          <w:b/>
          <w:i/>
          <w:spacing w:val="-11"/>
          <w:sz w:val="22"/>
        </w:rPr>
        <w:t> </w:t>
      </w:r>
      <w:r>
        <w:rPr>
          <w:b/>
          <w:i/>
          <w:sz w:val="22"/>
        </w:rPr>
        <w:t>25th</w:t>
      </w:r>
      <w:r>
        <w:rPr>
          <w:b/>
          <w:i/>
          <w:spacing w:val="-11"/>
          <w:sz w:val="22"/>
        </w:rPr>
        <w:t> </w:t>
      </w:r>
      <w:r>
        <w:rPr>
          <w:b/>
          <w:i/>
          <w:sz w:val="22"/>
        </w:rPr>
        <w:t>and</w:t>
      </w:r>
      <w:r>
        <w:rPr>
          <w:b/>
          <w:i/>
          <w:spacing w:val="-11"/>
          <w:sz w:val="22"/>
        </w:rPr>
        <w:t> </w:t>
      </w:r>
      <w:r>
        <w:rPr>
          <w:b/>
          <w:i/>
          <w:sz w:val="22"/>
        </w:rPr>
        <w:t>26th</w:t>
      </w:r>
      <w:r>
        <w:rPr>
          <w:b/>
          <w:i/>
          <w:spacing w:val="-11"/>
          <w:sz w:val="22"/>
        </w:rPr>
        <w:t> </w:t>
      </w:r>
      <w:r>
        <w:rPr>
          <w:b/>
          <w:i/>
          <w:sz w:val="22"/>
        </w:rPr>
        <w:t>August</w:t>
      </w:r>
      <w:r>
        <w:rPr>
          <w:b/>
          <w:i/>
          <w:spacing w:val="-11"/>
          <w:sz w:val="22"/>
        </w:rPr>
        <w:t> </w:t>
      </w:r>
      <w:r>
        <w:rPr>
          <w:b/>
          <w:i/>
          <w:sz w:val="22"/>
        </w:rPr>
        <w:t>2007.</w:t>
      </w:r>
    </w:p>
    <w:p>
      <w:pPr>
        <w:pStyle w:val="ListParagraph"/>
        <w:numPr>
          <w:ilvl w:val="0"/>
          <w:numId w:val="88"/>
        </w:numPr>
        <w:tabs>
          <w:tab w:pos="1440" w:val="left" w:leader="none"/>
        </w:tabs>
        <w:spacing w:line="266" w:lineRule="auto" w:before="132" w:after="0"/>
        <w:ind w:left="1440" w:right="881" w:hanging="360"/>
        <w:jc w:val="left"/>
        <w:rPr>
          <w:sz w:val="22"/>
        </w:rPr>
      </w:pPr>
      <w:r>
        <w:rPr>
          <w:sz w:val="22"/>
        </w:rPr>
        <w:t>Ms. Nandita Chatterjee, IAS </w:t>
      </w:r>
      <w:r>
        <w:rPr>
          <w:spacing w:val="-6"/>
          <w:sz w:val="22"/>
        </w:rPr>
        <w:t>Principal Secretary, School </w:t>
      </w:r>
      <w:r>
        <w:rPr>
          <w:spacing w:val="-6"/>
          <w:sz w:val="22"/>
        </w:rPr>
        <w:t>Education, </w:t>
      </w:r>
      <w:r>
        <w:rPr>
          <w:sz w:val="22"/>
        </w:rPr>
        <w:t>West Bengal</w:t>
      </w:r>
    </w:p>
    <w:p>
      <w:pPr>
        <w:pStyle w:val="ListParagraph"/>
        <w:numPr>
          <w:ilvl w:val="0"/>
          <w:numId w:val="88"/>
        </w:numPr>
        <w:tabs>
          <w:tab w:pos="1440" w:val="left" w:leader="none"/>
        </w:tabs>
        <w:spacing w:line="266" w:lineRule="auto" w:before="87" w:after="0"/>
        <w:ind w:left="1440" w:right="1737" w:hanging="360"/>
        <w:jc w:val="left"/>
        <w:rPr>
          <w:sz w:val="22"/>
        </w:rPr>
      </w:pPr>
      <w:r>
        <w:rPr>
          <w:sz w:val="22"/>
        </w:rPr>
        <w:t>Mr. Dibyen Mukherjee </w:t>
      </w:r>
      <w:r>
        <w:rPr>
          <w:spacing w:val="-4"/>
          <w:sz w:val="22"/>
        </w:rPr>
        <w:t>Director,</w:t>
      </w:r>
      <w:r>
        <w:rPr>
          <w:spacing w:val="-8"/>
          <w:sz w:val="22"/>
        </w:rPr>
        <w:t> </w:t>
      </w:r>
      <w:r>
        <w:rPr>
          <w:spacing w:val="-4"/>
          <w:sz w:val="22"/>
        </w:rPr>
        <w:t>School</w:t>
      </w:r>
      <w:r>
        <w:rPr>
          <w:spacing w:val="-8"/>
          <w:sz w:val="22"/>
        </w:rPr>
        <w:t> </w:t>
      </w:r>
      <w:r>
        <w:rPr>
          <w:spacing w:val="-4"/>
          <w:sz w:val="22"/>
        </w:rPr>
        <w:t>Education, </w:t>
      </w:r>
      <w:r>
        <w:rPr>
          <w:sz w:val="22"/>
        </w:rPr>
        <w:t>West Bengal</w:t>
      </w:r>
    </w:p>
    <w:p>
      <w:pPr>
        <w:pStyle w:val="ListParagraph"/>
        <w:numPr>
          <w:ilvl w:val="0"/>
          <w:numId w:val="88"/>
        </w:numPr>
        <w:tabs>
          <w:tab w:pos="1439" w:val="left" w:leader="none"/>
        </w:tabs>
        <w:spacing w:line="240" w:lineRule="auto" w:before="88" w:after="0"/>
        <w:ind w:left="1439" w:right="0" w:hanging="359"/>
        <w:jc w:val="left"/>
        <w:rPr>
          <w:sz w:val="22"/>
        </w:rPr>
      </w:pPr>
      <w:r>
        <w:rPr>
          <w:sz w:val="22"/>
        </w:rPr>
        <w:t>Mr.</w:t>
      </w:r>
      <w:r>
        <w:rPr>
          <w:spacing w:val="-13"/>
          <w:sz w:val="22"/>
        </w:rPr>
        <w:t> </w:t>
      </w:r>
      <w:r>
        <w:rPr>
          <w:sz w:val="22"/>
        </w:rPr>
        <w:t>Manik</w:t>
      </w:r>
      <w:r>
        <w:rPr>
          <w:spacing w:val="-11"/>
          <w:sz w:val="22"/>
        </w:rPr>
        <w:t> </w:t>
      </w:r>
      <w:r>
        <w:rPr>
          <w:sz w:val="22"/>
        </w:rPr>
        <w:t>Chandra</w:t>
      </w:r>
      <w:r>
        <w:rPr>
          <w:spacing w:val="-11"/>
          <w:sz w:val="22"/>
        </w:rPr>
        <w:t> </w:t>
      </w:r>
      <w:r>
        <w:rPr>
          <w:spacing w:val="-2"/>
          <w:sz w:val="22"/>
        </w:rPr>
        <w:t>Dolui</w:t>
      </w:r>
    </w:p>
    <w:p>
      <w:pPr>
        <w:pStyle w:val="BodyText"/>
        <w:spacing w:line="266" w:lineRule="auto" w:before="27"/>
        <w:ind w:left="1440"/>
      </w:pPr>
      <w:r>
        <w:rPr>
          <w:spacing w:val="-2"/>
        </w:rPr>
        <w:t>Joint</w:t>
      </w:r>
      <w:r>
        <w:rPr>
          <w:spacing w:val="-12"/>
        </w:rPr>
        <w:t> </w:t>
      </w:r>
      <w:r>
        <w:rPr>
          <w:spacing w:val="-2"/>
        </w:rPr>
        <w:t>Director,</w:t>
      </w:r>
      <w:r>
        <w:rPr>
          <w:spacing w:val="-11"/>
        </w:rPr>
        <w:t> </w:t>
      </w:r>
      <w:r>
        <w:rPr>
          <w:spacing w:val="-2"/>
        </w:rPr>
        <w:t>Department</w:t>
      </w:r>
      <w:r>
        <w:rPr>
          <w:spacing w:val="-12"/>
        </w:rPr>
        <w:t> </w:t>
      </w:r>
      <w:r>
        <w:rPr>
          <w:spacing w:val="-2"/>
        </w:rPr>
        <w:t>of</w:t>
      </w:r>
      <w:r>
        <w:rPr>
          <w:spacing w:val="-11"/>
        </w:rPr>
        <w:t> </w:t>
      </w:r>
      <w:r>
        <w:rPr>
          <w:spacing w:val="-2"/>
        </w:rPr>
        <w:t>School</w:t>
      </w:r>
      <w:r>
        <w:rPr>
          <w:spacing w:val="-12"/>
        </w:rPr>
        <w:t> </w:t>
      </w:r>
      <w:r>
        <w:rPr>
          <w:spacing w:val="-2"/>
        </w:rPr>
        <w:t>Education </w:t>
      </w:r>
      <w:r>
        <w:rPr/>
        <w:t>School Education</w:t>
      </w:r>
    </w:p>
    <w:p>
      <w:pPr>
        <w:pStyle w:val="BodyText"/>
        <w:spacing w:line="251" w:lineRule="exact"/>
        <w:ind w:left="1440"/>
      </w:pPr>
      <w:r>
        <w:rPr>
          <w:spacing w:val="-9"/>
        </w:rPr>
        <w:t>West</w:t>
      </w:r>
      <w:r>
        <w:rPr/>
        <w:t> </w:t>
      </w:r>
      <w:r>
        <w:rPr>
          <w:spacing w:val="-2"/>
        </w:rPr>
        <w:t>Bengal</w:t>
      </w:r>
    </w:p>
    <w:p>
      <w:pPr>
        <w:pStyle w:val="ListParagraph"/>
        <w:numPr>
          <w:ilvl w:val="0"/>
          <w:numId w:val="88"/>
        </w:numPr>
        <w:tabs>
          <w:tab w:pos="1440" w:val="left" w:leader="none"/>
        </w:tabs>
        <w:spacing w:line="266" w:lineRule="auto" w:before="117" w:after="0"/>
        <w:ind w:left="1440" w:right="1503" w:hanging="360"/>
        <w:jc w:val="left"/>
        <w:rPr>
          <w:sz w:val="22"/>
        </w:rPr>
      </w:pPr>
      <w:r>
        <w:rPr>
          <w:sz w:val="22"/>
        </w:rPr>
        <w:t>Dr. Rathindranath De </w:t>
      </w:r>
      <w:r>
        <w:rPr>
          <w:spacing w:val="-6"/>
          <w:sz w:val="22"/>
        </w:rPr>
        <w:t>Director,</w:t>
      </w:r>
      <w:r>
        <w:rPr>
          <w:spacing w:val="-8"/>
          <w:sz w:val="22"/>
        </w:rPr>
        <w:t> </w:t>
      </w:r>
      <w:r>
        <w:rPr>
          <w:spacing w:val="-6"/>
          <w:sz w:val="22"/>
        </w:rPr>
        <w:t>SCERT,</w:t>
      </w:r>
      <w:r>
        <w:rPr>
          <w:spacing w:val="-8"/>
          <w:sz w:val="22"/>
        </w:rPr>
        <w:t> </w:t>
      </w:r>
      <w:r>
        <w:rPr>
          <w:spacing w:val="-6"/>
          <w:sz w:val="22"/>
        </w:rPr>
        <w:t>West</w:t>
      </w:r>
      <w:r>
        <w:rPr>
          <w:spacing w:val="-8"/>
          <w:sz w:val="22"/>
        </w:rPr>
        <w:t> </w:t>
      </w:r>
      <w:r>
        <w:rPr>
          <w:spacing w:val="-6"/>
          <w:sz w:val="22"/>
        </w:rPr>
        <w:t>Bengal</w:t>
      </w:r>
    </w:p>
    <w:p>
      <w:pPr>
        <w:pStyle w:val="ListParagraph"/>
        <w:numPr>
          <w:ilvl w:val="0"/>
          <w:numId w:val="88"/>
        </w:numPr>
        <w:tabs>
          <w:tab w:pos="1439" w:val="left" w:leader="none"/>
        </w:tabs>
        <w:spacing w:line="240" w:lineRule="auto" w:before="88" w:after="0"/>
        <w:ind w:left="1439" w:right="0" w:hanging="359"/>
        <w:jc w:val="left"/>
        <w:rPr>
          <w:sz w:val="22"/>
        </w:rPr>
      </w:pPr>
      <w:r>
        <w:rPr>
          <w:spacing w:val="-4"/>
          <w:sz w:val="22"/>
        </w:rPr>
        <w:t>Mr.</w:t>
      </w:r>
      <w:r>
        <w:rPr>
          <w:spacing w:val="-10"/>
          <w:sz w:val="22"/>
        </w:rPr>
        <w:t> </w:t>
      </w:r>
      <w:r>
        <w:rPr>
          <w:spacing w:val="-4"/>
          <w:sz w:val="22"/>
        </w:rPr>
        <w:t>Tushyant</w:t>
      </w:r>
      <w:r>
        <w:rPr>
          <w:spacing w:val="-7"/>
          <w:sz w:val="22"/>
        </w:rPr>
        <w:t> </w:t>
      </w:r>
      <w:r>
        <w:rPr>
          <w:spacing w:val="-4"/>
          <w:sz w:val="22"/>
        </w:rPr>
        <w:t>Nariala</w:t>
      </w:r>
    </w:p>
    <w:p>
      <w:pPr>
        <w:pStyle w:val="BodyText"/>
        <w:spacing w:line="266" w:lineRule="auto" w:before="27"/>
        <w:ind w:left="1440"/>
      </w:pPr>
      <w:r>
        <w:rPr>
          <w:spacing w:val="-6"/>
        </w:rPr>
        <w:t>State Project Director, Sarva Shiksha </w:t>
      </w:r>
      <w:r>
        <w:rPr>
          <w:spacing w:val="-6"/>
        </w:rPr>
        <w:t>Abhiyan </w:t>
      </w:r>
      <w:r>
        <w:rPr/>
        <w:t>District Primary Education Program</w:t>
      </w:r>
    </w:p>
    <w:p>
      <w:pPr>
        <w:pStyle w:val="BodyText"/>
        <w:spacing w:line="251" w:lineRule="exact"/>
        <w:ind w:left="1440"/>
      </w:pPr>
      <w:r>
        <w:rPr>
          <w:spacing w:val="-9"/>
        </w:rPr>
        <w:t>West</w:t>
      </w:r>
      <w:r>
        <w:rPr/>
        <w:t> </w:t>
      </w:r>
      <w:r>
        <w:rPr>
          <w:spacing w:val="-2"/>
        </w:rPr>
        <w:t>Bengal</w:t>
      </w:r>
    </w:p>
    <w:p>
      <w:pPr>
        <w:pStyle w:val="ListParagraph"/>
        <w:numPr>
          <w:ilvl w:val="0"/>
          <w:numId w:val="88"/>
        </w:numPr>
        <w:tabs>
          <w:tab w:pos="1439" w:val="left" w:leader="none"/>
        </w:tabs>
        <w:spacing w:line="240" w:lineRule="auto" w:before="117" w:after="0"/>
        <w:ind w:left="1439" w:right="0" w:hanging="359"/>
        <w:jc w:val="left"/>
        <w:rPr>
          <w:sz w:val="22"/>
        </w:rPr>
      </w:pPr>
      <w:r>
        <w:rPr>
          <w:spacing w:val="-4"/>
          <w:sz w:val="22"/>
        </w:rPr>
        <w:t>Ms.</w:t>
      </w:r>
      <w:r>
        <w:rPr>
          <w:spacing w:val="-6"/>
          <w:sz w:val="22"/>
        </w:rPr>
        <w:t> </w:t>
      </w:r>
      <w:r>
        <w:rPr>
          <w:spacing w:val="-4"/>
          <w:sz w:val="22"/>
        </w:rPr>
        <w:t>Sampa</w:t>
      </w:r>
      <w:r>
        <w:rPr>
          <w:spacing w:val="-6"/>
          <w:sz w:val="22"/>
        </w:rPr>
        <w:t> </w:t>
      </w:r>
      <w:r>
        <w:rPr>
          <w:spacing w:val="-4"/>
          <w:sz w:val="22"/>
        </w:rPr>
        <w:t>Basu</w:t>
      </w:r>
    </w:p>
    <w:p>
      <w:pPr>
        <w:pStyle w:val="BodyText"/>
        <w:spacing w:line="266" w:lineRule="auto" w:before="27"/>
        <w:ind w:left="1440" w:right="352"/>
      </w:pPr>
      <w:r>
        <w:rPr>
          <w:spacing w:val="-2"/>
        </w:rPr>
        <w:t>Department</w:t>
      </w:r>
      <w:r>
        <w:rPr>
          <w:spacing w:val="-7"/>
        </w:rPr>
        <w:t> </w:t>
      </w:r>
      <w:r>
        <w:rPr>
          <w:spacing w:val="-2"/>
        </w:rPr>
        <w:t>of</w:t>
      </w:r>
      <w:r>
        <w:rPr>
          <w:spacing w:val="-7"/>
        </w:rPr>
        <w:t> </w:t>
      </w:r>
      <w:r>
        <w:rPr>
          <w:spacing w:val="-2"/>
        </w:rPr>
        <w:t>Development</w:t>
      </w:r>
      <w:r>
        <w:rPr>
          <w:spacing w:val="-7"/>
        </w:rPr>
        <w:t> </w:t>
      </w:r>
      <w:r>
        <w:rPr>
          <w:spacing w:val="-2"/>
        </w:rPr>
        <w:t>and</w:t>
      </w:r>
      <w:r>
        <w:rPr>
          <w:spacing w:val="-7"/>
        </w:rPr>
        <w:t> </w:t>
      </w:r>
      <w:r>
        <w:rPr>
          <w:spacing w:val="-2"/>
        </w:rPr>
        <w:t>Planning </w:t>
      </w:r>
      <w:r>
        <w:rPr/>
        <w:t>West Bengal</w:t>
      </w:r>
    </w:p>
    <w:p>
      <w:pPr>
        <w:pStyle w:val="ListParagraph"/>
        <w:numPr>
          <w:ilvl w:val="0"/>
          <w:numId w:val="88"/>
        </w:numPr>
        <w:tabs>
          <w:tab w:pos="1439" w:val="left" w:leader="none"/>
        </w:tabs>
        <w:spacing w:line="240" w:lineRule="auto" w:before="89" w:after="0"/>
        <w:ind w:left="1439" w:right="0" w:hanging="359"/>
        <w:jc w:val="left"/>
        <w:rPr>
          <w:sz w:val="22"/>
        </w:rPr>
      </w:pPr>
      <w:r>
        <w:rPr>
          <w:spacing w:val="-6"/>
          <w:sz w:val="22"/>
        </w:rPr>
        <w:t>Mr.</w:t>
      </w:r>
      <w:r>
        <w:rPr>
          <w:spacing w:val="-10"/>
          <w:sz w:val="22"/>
        </w:rPr>
        <w:t> </w:t>
      </w:r>
      <w:r>
        <w:rPr>
          <w:spacing w:val="-6"/>
          <w:sz w:val="22"/>
        </w:rPr>
        <w:t>Tapas</w:t>
      </w:r>
      <w:r>
        <w:rPr>
          <w:spacing w:val="-1"/>
          <w:sz w:val="22"/>
        </w:rPr>
        <w:t> </w:t>
      </w:r>
      <w:r>
        <w:rPr>
          <w:spacing w:val="-6"/>
          <w:sz w:val="22"/>
        </w:rPr>
        <w:t>Kumar</w:t>
      </w:r>
      <w:r>
        <w:rPr>
          <w:sz w:val="22"/>
        </w:rPr>
        <w:t> </w:t>
      </w:r>
      <w:r>
        <w:rPr>
          <w:spacing w:val="-6"/>
          <w:sz w:val="22"/>
        </w:rPr>
        <w:t>Layek</w:t>
      </w:r>
    </w:p>
    <w:p>
      <w:pPr>
        <w:pStyle w:val="BodyText"/>
        <w:spacing w:before="27"/>
        <w:ind w:left="1440"/>
      </w:pPr>
      <w:r>
        <w:rPr>
          <w:spacing w:val="-6"/>
        </w:rPr>
        <w:t>West</w:t>
      </w:r>
      <w:r>
        <w:rPr>
          <w:spacing w:val="-8"/>
        </w:rPr>
        <w:t> </w:t>
      </w:r>
      <w:r>
        <w:rPr>
          <w:spacing w:val="-6"/>
        </w:rPr>
        <w:t>Bengal</w:t>
      </w:r>
      <w:r>
        <w:rPr>
          <w:spacing w:val="-8"/>
        </w:rPr>
        <w:t> </w:t>
      </w:r>
      <w:r>
        <w:rPr>
          <w:spacing w:val="-6"/>
        </w:rPr>
        <w:t>Board</w:t>
      </w:r>
      <w:r>
        <w:rPr>
          <w:spacing w:val="-8"/>
        </w:rPr>
        <w:t> </w:t>
      </w:r>
      <w:r>
        <w:rPr>
          <w:spacing w:val="-6"/>
        </w:rPr>
        <w:t>of</w:t>
      </w:r>
      <w:r>
        <w:rPr>
          <w:spacing w:val="-7"/>
        </w:rPr>
        <w:t> </w:t>
      </w:r>
      <w:r>
        <w:rPr>
          <w:spacing w:val="-6"/>
        </w:rPr>
        <w:t>Madrassa</w:t>
      </w:r>
      <w:r>
        <w:rPr>
          <w:spacing w:val="-8"/>
        </w:rPr>
        <w:t> </w:t>
      </w:r>
      <w:r>
        <w:rPr>
          <w:spacing w:val="-6"/>
        </w:rPr>
        <w:t>Education</w:t>
      </w:r>
    </w:p>
    <w:p>
      <w:pPr>
        <w:pStyle w:val="ListParagraph"/>
        <w:numPr>
          <w:ilvl w:val="0"/>
          <w:numId w:val="88"/>
        </w:numPr>
        <w:tabs>
          <w:tab w:pos="1439" w:val="left" w:leader="none"/>
        </w:tabs>
        <w:spacing w:line="240" w:lineRule="auto" w:before="117" w:after="0"/>
        <w:ind w:left="1439" w:right="0" w:hanging="359"/>
        <w:jc w:val="left"/>
        <w:rPr>
          <w:sz w:val="22"/>
        </w:rPr>
      </w:pPr>
      <w:r>
        <w:rPr>
          <w:spacing w:val="-2"/>
          <w:sz w:val="22"/>
        </w:rPr>
        <w:t>Mr.</w:t>
      </w:r>
      <w:r>
        <w:rPr>
          <w:spacing w:val="-11"/>
          <w:sz w:val="22"/>
        </w:rPr>
        <w:t> </w:t>
      </w:r>
      <w:r>
        <w:rPr>
          <w:spacing w:val="-2"/>
          <w:sz w:val="22"/>
        </w:rPr>
        <w:t>M.</w:t>
      </w:r>
      <w:r>
        <w:rPr>
          <w:spacing w:val="-10"/>
          <w:sz w:val="22"/>
        </w:rPr>
        <w:t> </w:t>
      </w:r>
      <w:r>
        <w:rPr>
          <w:spacing w:val="-2"/>
          <w:sz w:val="22"/>
        </w:rPr>
        <w:t>Fazlur</w:t>
      </w:r>
      <w:r>
        <w:rPr>
          <w:spacing w:val="-10"/>
          <w:sz w:val="22"/>
        </w:rPr>
        <w:t> </w:t>
      </w:r>
      <w:r>
        <w:rPr>
          <w:spacing w:val="-2"/>
          <w:sz w:val="22"/>
        </w:rPr>
        <w:t>Raldai</w:t>
      </w:r>
    </w:p>
    <w:p>
      <w:pPr>
        <w:pStyle w:val="BodyText"/>
        <w:spacing w:line="266" w:lineRule="auto" w:before="27"/>
        <w:ind w:left="1440" w:right="352"/>
      </w:pPr>
      <w:r>
        <w:rPr>
          <w:spacing w:val="-6"/>
        </w:rPr>
        <w:t>Secretary, Board of Madrassa </w:t>
      </w:r>
      <w:r>
        <w:rPr>
          <w:spacing w:val="-6"/>
        </w:rPr>
        <w:t>Education </w:t>
      </w:r>
      <w:r>
        <w:rPr/>
        <w:t>West Bengal</w:t>
      </w:r>
    </w:p>
    <w:p>
      <w:pPr>
        <w:pStyle w:val="ListParagraph"/>
        <w:numPr>
          <w:ilvl w:val="0"/>
          <w:numId w:val="88"/>
        </w:numPr>
        <w:tabs>
          <w:tab w:pos="1439" w:val="left" w:leader="none"/>
        </w:tabs>
        <w:spacing w:line="240" w:lineRule="auto" w:before="88" w:after="0"/>
        <w:ind w:left="1439" w:right="0" w:hanging="359"/>
        <w:jc w:val="left"/>
        <w:rPr>
          <w:sz w:val="22"/>
        </w:rPr>
      </w:pPr>
      <w:r>
        <w:rPr>
          <w:spacing w:val="-2"/>
          <w:sz w:val="22"/>
        </w:rPr>
        <w:t>Mr.</w:t>
      </w:r>
      <w:r>
        <w:rPr>
          <w:spacing w:val="-11"/>
          <w:sz w:val="22"/>
        </w:rPr>
        <w:t> </w:t>
      </w:r>
      <w:r>
        <w:rPr>
          <w:spacing w:val="-2"/>
          <w:sz w:val="22"/>
        </w:rPr>
        <w:t>Udayan</w:t>
      </w:r>
      <w:r>
        <w:rPr>
          <w:spacing w:val="-11"/>
          <w:sz w:val="22"/>
        </w:rPr>
        <w:t> </w:t>
      </w:r>
      <w:r>
        <w:rPr>
          <w:spacing w:val="-2"/>
          <w:sz w:val="22"/>
        </w:rPr>
        <w:t>Bhowmik</w:t>
      </w:r>
    </w:p>
    <w:p>
      <w:pPr>
        <w:pStyle w:val="BodyText"/>
        <w:spacing w:line="266" w:lineRule="auto" w:before="27"/>
        <w:ind w:left="1440" w:right="319"/>
      </w:pPr>
      <w:r>
        <w:rPr>
          <w:spacing w:val="-2"/>
        </w:rPr>
        <w:t>District</w:t>
      </w:r>
      <w:r>
        <w:rPr>
          <w:spacing w:val="-12"/>
        </w:rPr>
        <w:t> </w:t>
      </w:r>
      <w:r>
        <w:rPr>
          <w:spacing w:val="-2"/>
        </w:rPr>
        <w:t>Inspector,</w:t>
      </w:r>
      <w:r>
        <w:rPr>
          <w:spacing w:val="-12"/>
        </w:rPr>
        <w:t> </w:t>
      </w:r>
      <w:r>
        <w:rPr>
          <w:spacing w:val="-2"/>
        </w:rPr>
        <w:t>Department</w:t>
      </w:r>
      <w:r>
        <w:rPr>
          <w:spacing w:val="-12"/>
        </w:rPr>
        <w:t> </w:t>
      </w:r>
      <w:r>
        <w:rPr>
          <w:spacing w:val="-2"/>
        </w:rPr>
        <w:t>of</w:t>
      </w:r>
      <w:r>
        <w:rPr>
          <w:spacing w:val="-11"/>
        </w:rPr>
        <w:t> </w:t>
      </w:r>
      <w:r>
        <w:rPr>
          <w:spacing w:val="-2"/>
        </w:rPr>
        <w:t>Secondary </w:t>
      </w:r>
      <w:r>
        <w:rPr/>
        <w:t>Education, Howrah</w:t>
      </w:r>
    </w:p>
    <w:p>
      <w:pPr>
        <w:pStyle w:val="ListParagraph"/>
        <w:numPr>
          <w:ilvl w:val="0"/>
          <w:numId w:val="88"/>
        </w:numPr>
        <w:tabs>
          <w:tab w:pos="1440" w:val="left" w:leader="none"/>
        </w:tabs>
        <w:spacing w:line="266" w:lineRule="auto" w:before="89" w:after="0"/>
        <w:ind w:left="1440" w:right="2108" w:hanging="360"/>
        <w:jc w:val="left"/>
        <w:rPr>
          <w:sz w:val="22"/>
        </w:rPr>
      </w:pPr>
      <w:r>
        <w:rPr>
          <w:sz w:val="22"/>
        </w:rPr>
        <w:t>Dr.</w:t>
      </w:r>
      <w:r>
        <w:rPr>
          <w:spacing w:val="-14"/>
          <w:sz w:val="22"/>
        </w:rPr>
        <w:t> </w:t>
      </w:r>
      <w:r>
        <w:rPr>
          <w:sz w:val="22"/>
        </w:rPr>
        <w:t>R.C.</w:t>
      </w:r>
      <w:r>
        <w:rPr>
          <w:spacing w:val="-14"/>
          <w:sz w:val="22"/>
        </w:rPr>
        <w:t> </w:t>
      </w:r>
      <w:r>
        <w:rPr>
          <w:sz w:val="22"/>
        </w:rPr>
        <w:t>Chattopadhya </w:t>
      </w:r>
      <w:r>
        <w:rPr>
          <w:spacing w:val="-2"/>
          <w:sz w:val="22"/>
        </w:rPr>
        <w:t>Professor,</w:t>
      </w:r>
      <w:r>
        <w:rPr>
          <w:spacing w:val="-12"/>
          <w:sz w:val="22"/>
        </w:rPr>
        <w:t> </w:t>
      </w:r>
      <w:r>
        <w:rPr>
          <w:spacing w:val="-2"/>
          <w:sz w:val="22"/>
        </w:rPr>
        <w:t>IIM</w:t>
      </w:r>
      <w:r>
        <w:rPr>
          <w:spacing w:val="-12"/>
          <w:sz w:val="22"/>
        </w:rPr>
        <w:t> </w:t>
      </w:r>
      <w:r>
        <w:rPr>
          <w:spacing w:val="-2"/>
          <w:sz w:val="22"/>
        </w:rPr>
        <w:t>Kolkata</w:t>
      </w:r>
    </w:p>
    <w:p>
      <w:pPr>
        <w:pStyle w:val="ListParagraph"/>
        <w:numPr>
          <w:ilvl w:val="0"/>
          <w:numId w:val="88"/>
        </w:numPr>
        <w:tabs>
          <w:tab w:pos="893" w:val="left" w:leader="none"/>
        </w:tabs>
        <w:spacing w:line="240" w:lineRule="auto" w:before="57" w:after="0"/>
        <w:ind w:left="893" w:right="0" w:hanging="359"/>
        <w:jc w:val="left"/>
        <w:rPr>
          <w:sz w:val="22"/>
        </w:rPr>
      </w:pPr>
      <w:r>
        <w:rPr/>
        <w:br w:type="column"/>
      </w:r>
      <w:r>
        <w:rPr>
          <w:spacing w:val="-4"/>
          <w:sz w:val="22"/>
        </w:rPr>
        <w:t>Ms.</w:t>
      </w:r>
      <w:r>
        <w:rPr>
          <w:spacing w:val="-5"/>
          <w:sz w:val="22"/>
        </w:rPr>
        <w:t> </w:t>
      </w:r>
      <w:r>
        <w:rPr>
          <w:spacing w:val="-4"/>
          <w:sz w:val="22"/>
        </w:rPr>
        <w:t>Preeti</w:t>
      </w:r>
      <w:r>
        <w:rPr>
          <w:spacing w:val="-5"/>
          <w:sz w:val="22"/>
        </w:rPr>
        <w:t> </w:t>
      </w:r>
      <w:r>
        <w:rPr>
          <w:spacing w:val="-4"/>
          <w:sz w:val="22"/>
        </w:rPr>
        <w:t>Mondol</w:t>
      </w:r>
    </w:p>
    <w:p>
      <w:pPr>
        <w:pStyle w:val="BodyText"/>
        <w:spacing w:line="266" w:lineRule="auto" w:before="27"/>
        <w:ind w:left="894" w:right="2051"/>
      </w:pPr>
      <w:r>
        <w:rPr>
          <w:spacing w:val="-4"/>
        </w:rPr>
        <w:t>School</w:t>
      </w:r>
      <w:r>
        <w:rPr>
          <w:spacing w:val="-10"/>
        </w:rPr>
        <w:t> </w:t>
      </w:r>
      <w:r>
        <w:rPr>
          <w:spacing w:val="-4"/>
        </w:rPr>
        <w:t>Teacher</w:t>
      </w:r>
      <w:r>
        <w:rPr>
          <w:spacing w:val="-10"/>
        </w:rPr>
        <w:t> </w:t>
      </w:r>
      <w:r>
        <w:rPr>
          <w:spacing w:val="-4"/>
        </w:rPr>
        <w:t>(Retd.),</w:t>
      </w:r>
      <w:r>
        <w:rPr>
          <w:spacing w:val="-10"/>
        </w:rPr>
        <w:t> </w:t>
      </w:r>
      <w:r>
        <w:rPr>
          <w:spacing w:val="-4"/>
        </w:rPr>
        <w:t>Barasat</w:t>
      </w:r>
      <w:r>
        <w:rPr>
          <w:spacing w:val="-10"/>
        </w:rPr>
        <w:t> </w:t>
      </w:r>
      <w:r>
        <w:rPr>
          <w:spacing w:val="-4"/>
        </w:rPr>
        <w:t>District </w:t>
      </w:r>
      <w:r>
        <w:rPr/>
        <w:t>North 24 Pargana</w:t>
      </w:r>
    </w:p>
    <w:p>
      <w:pPr>
        <w:pStyle w:val="ListParagraph"/>
        <w:numPr>
          <w:ilvl w:val="0"/>
          <w:numId w:val="88"/>
        </w:numPr>
        <w:tabs>
          <w:tab w:pos="893" w:val="left" w:leader="none"/>
        </w:tabs>
        <w:spacing w:line="240" w:lineRule="auto" w:before="89" w:after="0"/>
        <w:ind w:left="893" w:right="0" w:hanging="359"/>
        <w:jc w:val="left"/>
        <w:rPr>
          <w:sz w:val="22"/>
        </w:rPr>
      </w:pPr>
      <w:r>
        <w:rPr>
          <w:spacing w:val="-4"/>
          <w:sz w:val="22"/>
        </w:rPr>
        <w:t>Ms.</w:t>
      </w:r>
      <w:r>
        <w:rPr>
          <w:spacing w:val="-3"/>
          <w:sz w:val="22"/>
        </w:rPr>
        <w:t> </w:t>
      </w:r>
      <w:r>
        <w:rPr>
          <w:spacing w:val="-4"/>
          <w:sz w:val="22"/>
        </w:rPr>
        <w:t>Bhupali</w:t>
      </w:r>
      <w:r>
        <w:rPr>
          <w:spacing w:val="-2"/>
          <w:sz w:val="22"/>
        </w:rPr>
        <w:t> </w:t>
      </w:r>
      <w:r>
        <w:rPr>
          <w:spacing w:val="-5"/>
          <w:sz w:val="22"/>
        </w:rPr>
        <w:t>Ray</w:t>
      </w:r>
    </w:p>
    <w:p>
      <w:pPr>
        <w:pStyle w:val="BodyText"/>
        <w:spacing w:before="27"/>
        <w:ind w:left="894"/>
      </w:pPr>
      <w:r>
        <w:rPr>
          <w:spacing w:val="-6"/>
        </w:rPr>
        <w:t>Headmistress,</w:t>
      </w:r>
      <w:r>
        <w:rPr>
          <w:spacing w:val="3"/>
        </w:rPr>
        <w:t> </w:t>
      </w:r>
      <w:r>
        <w:rPr>
          <w:spacing w:val="-6"/>
        </w:rPr>
        <w:t>Suniti</w:t>
      </w:r>
      <w:r>
        <w:rPr>
          <w:spacing w:val="4"/>
        </w:rPr>
        <w:t> </w:t>
      </w:r>
      <w:r>
        <w:rPr>
          <w:spacing w:val="-6"/>
        </w:rPr>
        <w:t>Academy,</w:t>
      </w:r>
      <w:r>
        <w:rPr>
          <w:spacing w:val="4"/>
        </w:rPr>
        <w:t> </w:t>
      </w:r>
      <w:r>
        <w:rPr>
          <w:spacing w:val="-6"/>
        </w:rPr>
        <w:t>Cooch</w:t>
      </w:r>
      <w:r>
        <w:rPr>
          <w:spacing w:val="4"/>
        </w:rPr>
        <w:t> </w:t>
      </w:r>
      <w:r>
        <w:rPr>
          <w:spacing w:val="-6"/>
        </w:rPr>
        <w:t>Behar</w:t>
      </w:r>
    </w:p>
    <w:p>
      <w:pPr>
        <w:pStyle w:val="ListParagraph"/>
        <w:numPr>
          <w:ilvl w:val="0"/>
          <w:numId w:val="88"/>
        </w:numPr>
        <w:tabs>
          <w:tab w:pos="893" w:val="left" w:leader="none"/>
        </w:tabs>
        <w:spacing w:line="240" w:lineRule="auto" w:before="117" w:after="0"/>
        <w:ind w:left="893" w:right="0" w:hanging="359"/>
        <w:jc w:val="left"/>
        <w:rPr>
          <w:sz w:val="22"/>
        </w:rPr>
      </w:pPr>
      <w:r>
        <w:rPr>
          <w:sz w:val="22"/>
        </w:rPr>
        <w:t>Mr.</w:t>
      </w:r>
      <w:r>
        <w:rPr>
          <w:spacing w:val="-11"/>
          <w:sz w:val="22"/>
        </w:rPr>
        <w:t> </w:t>
      </w:r>
      <w:r>
        <w:rPr>
          <w:sz w:val="22"/>
        </w:rPr>
        <w:t>Gopa</w:t>
      </w:r>
      <w:r>
        <w:rPr>
          <w:spacing w:val="-11"/>
          <w:sz w:val="22"/>
        </w:rPr>
        <w:t> </w:t>
      </w:r>
      <w:r>
        <w:rPr>
          <w:spacing w:val="-2"/>
          <w:sz w:val="22"/>
        </w:rPr>
        <w:t>Dutta</w:t>
      </w:r>
    </w:p>
    <w:p>
      <w:pPr>
        <w:pStyle w:val="BodyText"/>
        <w:spacing w:line="266" w:lineRule="auto" w:before="27"/>
        <w:ind w:left="894" w:right="1107"/>
      </w:pPr>
      <w:r>
        <w:rPr>
          <w:spacing w:val="-4"/>
        </w:rPr>
        <w:t>President,</w:t>
      </w:r>
      <w:r>
        <w:rPr>
          <w:spacing w:val="-10"/>
        </w:rPr>
        <w:t> </w:t>
      </w:r>
      <w:r>
        <w:rPr>
          <w:spacing w:val="-4"/>
        </w:rPr>
        <w:t>West</w:t>
      </w:r>
      <w:r>
        <w:rPr>
          <w:spacing w:val="-10"/>
        </w:rPr>
        <w:t> </w:t>
      </w:r>
      <w:r>
        <w:rPr>
          <w:spacing w:val="-4"/>
        </w:rPr>
        <w:t>Bengal</w:t>
      </w:r>
      <w:r>
        <w:rPr>
          <w:spacing w:val="-8"/>
        </w:rPr>
        <w:t> </w:t>
      </w:r>
      <w:r>
        <w:rPr>
          <w:spacing w:val="-4"/>
        </w:rPr>
        <w:t>Council</w:t>
      </w:r>
      <w:r>
        <w:rPr>
          <w:spacing w:val="-9"/>
        </w:rPr>
        <w:t> </w:t>
      </w:r>
      <w:r>
        <w:rPr>
          <w:spacing w:val="-4"/>
        </w:rPr>
        <w:t>of</w:t>
      </w:r>
      <w:r>
        <w:rPr>
          <w:spacing w:val="-9"/>
        </w:rPr>
        <w:t> </w:t>
      </w:r>
      <w:r>
        <w:rPr>
          <w:spacing w:val="-4"/>
        </w:rPr>
        <w:t>Higher </w:t>
      </w:r>
      <w:r>
        <w:rPr/>
        <w:t>Secondary Education</w:t>
      </w:r>
    </w:p>
    <w:p>
      <w:pPr>
        <w:pStyle w:val="ListParagraph"/>
        <w:numPr>
          <w:ilvl w:val="0"/>
          <w:numId w:val="88"/>
        </w:numPr>
        <w:tabs>
          <w:tab w:pos="893" w:val="left" w:leader="none"/>
        </w:tabs>
        <w:spacing w:line="240" w:lineRule="auto" w:before="88" w:after="0"/>
        <w:ind w:left="893" w:right="0" w:hanging="359"/>
        <w:jc w:val="left"/>
        <w:rPr>
          <w:sz w:val="22"/>
        </w:rPr>
      </w:pPr>
      <w:r>
        <w:rPr>
          <w:spacing w:val="-4"/>
          <w:sz w:val="22"/>
        </w:rPr>
        <w:t>Mr.</w:t>
      </w:r>
      <w:r>
        <w:rPr>
          <w:spacing w:val="-6"/>
          <w:sz w:val="22"/>
        </w:rPr>
        <w:t> </w:t>
      </w:r>
      <w:r>
        <w:rPr>
          <w:spacing w:val="-4"/>
          <w:sz w:val="22"/>
        </w:rPr>
        <w:t>Ujjwal</w:t>
      </w:r>
      <w:r>
        <w:rPr>
          <w:spacing w:val="-6"/>
          <w:sz w:val="22"/>
        </w:rPr>
        <w:t> </w:t>
      </w:r>
      <w:r>
        <w:rPr>
          <w:spacing w:val="-4"/>
          <w:sz w:val="22"/>
        </w:rPr>
        <w:t>Basu</w:t>
      </w:r>
    </w:p>
    <w:p>
      <w:pPr>
        <w:pStyle w:val="BodyText"/>
        <w:spacing w:line="266" w:lineRule="auto" w:before="27"/>
        <w:ind w:left="894" w:right="2051"/>
      </w:pPr>
      <w:r>
        <w:rPr>
          <w:spacing w:val="-6"/>
        </w:rPr>
        <w:t>President,</w:t>
      </w:r>
      <w:r>
        <w:rPr>
          <w:spacing w:val="-8"/>
        </w:rPr>
        <w:t> </w:t>
      </w:r>
      <w:r>
        <w:rPr>
          <w:spacing w:val="-6"/>
        </w:rPr>
        <w:t>West</w:t>
      </w:r>
      <w:r>
        <w:rPr>
          <w:spacing w:val="-8"/>
        </w:rPr>
        <w:t> </w:t>
      </w:r>
      <w:r>
        <w:rPr>
          <w:spacing w:val="-6"/>
        </w:rPr>
        <w:t>Bengal</w:t>
      </w:r>
      <w:r>
        <w:rPr>
          <w:spacing w:val="-8"/>
        </w:rPr>
        <w:t> </w:t>
      </w:r>
      <w:r>
        <w:rPr>
          <w:spacing w:val="-6"/>
        </w:rPr>
        <w:t>Board</w:t>
      </w:r>
      <w:r>
        <w:rPr>
          <w:spacing w:val="-7"/>
        </w:rPr>
        <w:t> </w:t>
      </w:r>
      <w:r>
        <w:rPr>
          <w:spacing w:val="-6"/>
        </w:rPr>
        <w:t>of </w:t>
      </w:r>
      <w:r>
        <w:rPr/>
        <w:t>Secondary Education</w:t>
      </w:r>
    </w:p>
    <w:p>
      <w:pPr>
        <w:pStyle w:val="ListParagraph"/>
        <w:numPr>
          <w:ilvl w:val="0"/>
          <w:numId w:val="88"/>
        </w:numPr>
        <w:tabs>
          <w:tab w:pos="893" w:val="left" w:leader="none"/>
        </w:tabs>
        <w:spacing w:line="240" w:lineRule="auto" w:before="89" w:after="0"/>
        <w:ind w:left="893" w:right="0" w:hanging="359"/>
        <w:jc w:val="left"/>
        <w:rPr>
          <w:sz w:val="22"/>
        </w:rPr>
      </w:pPr>
      <w:r>
        <w:rPr>
          <w:spacing w:val="-2"/>
          <w:sz w:val="22"/>
        </w:rPr>
        <w:t>Mr.</w:t>
      </w:r>
      <w:r>
        <w:rPr>
          <w:spacing w:val="-9"/>
          <w:sz w:val="22"/>
        </w:rPr>
        <w:t> </w:t>
      </w:r>
      <w:r>
        <w:rPr>
          <w:spacing w:val="-2"/>
          <w:sz w:val="22"/>
        </w:rPr>
        <w:t>Kumar</w:t>
      </w:r>
      <w:r>
        <w:rPr>
          <w:spacing w:val="-8"/>
          <w:sz w:val="22"/>
        </w:rPr>
        <w:t> </w:t>
      </w:r>
      <w:r>
        <w:rPr>
          <w:spacing w:val="-4"/>
          <w:sz w:val="22"/>
        </w:rPr>
        <w:t>Rana</w:t>
      </w:r>
    </w:p>
    <w:p>
      <w:pPr>
        <w:pStyle w:val="BodyText"/>
        <w:spacing w:line="266" w:lineRule="auto" w:before="27"/>
        <w:ind w:left="894" w:right="1107"/>
      </w:pPr>
      <w:r>
        <w:rPr>
          <w:spacing w:val="-6"/>
        </w:rPr>
        <w:t>Senior</w:t>
      </w:r>
      <w:r>
        <w:rPr>
          <w:spacing w:val="-8"/>
        </w:rPr>
        <w:t> </w:t>
      </w:r>
      <w:r>
        <w:rPr>
          <w:spacing w:val="-6"/>
        </w:rPr>
        <w:t>Research</w:t>
      </w:r>
      <w:r>
        <w:rPr>
          <w:spacing w:val="-8"/>
        </w:rPr>
        <w:t> </w:t>
      </w:r>
      <w:r>
        <w:rPr>
          <w:spacing w:val="-6"/>
        </w:rPr>
        <w:t>Associate,</w:t>
      </w:r>
      <w:r>
        <w:rPr>
          <w:spacing w:val="-8"/>
        </w:rPr>
        <w:t> </w:t>
      </w:r>
      <w:r>
        <w:rPr>
          <w:spacing w:val="-6"/>
        </w:rPr>
        <w:t>Pratichi</w:t>
      </w:r>
      <w:r>
        <w:rPr>
          <w:spacing w:val="-7"/>
        </w:rPr>
        <w:t> </w:t>
      </w:r>
      <w:r>
        <w:rPr>
          <w:spacing w:val="-6"/>
        </w:rPr>
        <w:t>Research</w:t>
      </w:r>
      <w:r>
        <w:rPr>
          <w:spacing w:val="-10"/>
        </w:rPr>
        <w:t> </w:t>
      </w:r>
      <w:r>
        <w:rPr>
          <w:spacing w:val="-6"/>
        </w:rPr>
        <w:t>Trust </w:t>
      </w:r>
      <w:r>
        <w:rPr>
          <w:spacing w:val="-2"/>
        </w:rPr>
        <w:t>Kolkata</w:t>
      </w:r>
    </w:p>
    <w:p>
      <w:pPr>
        <w:pStyle w:val="ListParagraph"/>
        <w:numPr>
          <w:ilvl w:val="0"/>
          <w:numId w:val="88"/>
        </w:numPr>
        <w:tabs>
          <w:tab w:pos="893" w:val="left" w:leader="none"/>
        </w:tabs>
        <w:spacing w:line="240" w:lineRule="auto" w:before="88" w:after="0"/>
        <w:ind w:left="893" w:right="0" w:hanging="359"/>
        <w:jc w:val="left"/>
        <w:rPr>
          <w:sz w:val="22"/>
        </w:rPr>
      </w:pPr>
      <w:r>
        <w:rPr>
          <w:sz w:val="22"/>
        </w:rPr>
        <w:t>Dr.</w:t>
      </w:r>
      <w:r>
        <w:rPr>
          <w:spacing w:val="-12"/>
          <w:sz w:val="22"/>
        </w:rPr>
        <w:t> </w:t>
      </w:r>
      <w:r>
        <w:rPr>
          <w:sz w:val="22"/>
        </w:rPr>
        <w:t>Manabi</w:t>
      </w:r>
      <w:r>
        <w:rPr>
          <w:spacing w:val="-12"/>
          <w:sz w:val="22"/>
        </w:rPr>
        <w:t> </w:t>
      </w:r>
      <w:r>
        <w:rPr>
          <w:spacing w:val="-2"/>
          <w:sz w:val="22"/>
        </w:rPr>
        <w:t>Majumdar</w:t>
      </w:r>
    </w:p>
    <w:p>
      <w:pPr>
        <w:pStyle w:val="BodyText"/>
        <w:spacing w:line="266" w:lineRule="auto" w:before="27"/>
        <w:ind w:left="894" w:right="1107"/>
      </w:pPr>
      <w:r>
        <w:rPr>
          <w:spacing w:val="-6"/>
        </w:rPr>
        <w:t>Professor, Centre for Studies in Social </w:t>
      </w:r>
      <w:r>
        <w:rPr>
          <w:spacing w:val="-6"/>
        </w:rPr>
        <w:t>Sciences </w:t>
      </w:r>
      <w:r>
        <w:rPr>
          <w:spacing w:val="-2"/>
        </w:rPr>
        <w:t>Kolkata</w:t>
      </w:r>
    </w:p>
    <w:p>
      <w:pPr>
        <w:pStyle w:val="ListParagraph"/>
        <w:numPr>
          <w:ilvl w:val="0"/>
          <w:numId w:val="88"/>
        </w:numPr>
        <w:tabs>
          <w:tab w:pos="893" w:val="left" w:leader="none"/>
        </w:tabs>
        <w:spacing w:line="240" w:lineRule="auto" w:before="88" w:after="0"/>
        <w:ind w:left="893" w:right="0" w:hanging="359"/>
        <w:jc w:val="left"/>
        <w:rPr>
          <w:sz w:val="22"/>
        </w:rPr>
      </w:pPr>
      <w:r>
        <w:rPr>
          <w:spacing w:val="-2"/>
          <w:sz w:val="22"/>
        </w:rPr>
        <w:t>Dr.</w:t>
      </w:r>
      <w:r>
        <w:rPr>
          <w:spacing w:val="-11"/>
          <w:sz w:val="22"/>
        </w:rPr>
        <w:t> </w:t>
      </w:r>
      <w:r>
        <w:rPr>
          <w:spacing w:val="-2"/>
          <w:sz w:val="22"/>
        </w:rPr>
        <w:t>Achin</w:t>
      </w:r>
      <w:r>
        <w:rPr>
          <w:spacing w:val="-11"/>
          <w:sz w:val="22"/>
        </w:rPr>
        <w:t> </w:t>
      </w:r>
      <w:r>
        <w:rPr>
          <w:spacing w:val="-2"/>
          <w:sz w:val="22"/>
        </w:rPr>
        <w:t>Chakravarty</w:t>
      </w:r>
    </w:p>
    <w:p>
      <w:pPr>
        <w:pStyle w:val="BodyText"/>
        <w:spacing w:line="266" w:lineRule="auto" w:before="27"/>
        <w:ind w:left="894" w:right="1107"/>
      </w:pPr>
      <w:r>
        <w:rPr>
          <w:spacing w:val="-4"/>
        </w:rPr>
        <w:t>Professor,</w:t>
      </w:r>
      <w:r>
        <w:rPr>
          <w:spacing w:val="-10"/>
        </w:rPr>
        <w:t> </w:t>
      </w:r>
      <w:r>
        <w:rPr>
          <w:spacing w:val="-4"/>
        </w:rPr>
        <w:t>Institute</w:t>
      </w:r>
      <w:r>
        <w:rPr>
          <w:spacing w:val="-10"/>
        </w:rPr>
        <w:t> </w:t>
      </w:r>
      <w:r>
        <w:rPr>
          <w:spacing w:val="-4"/>
        </w:rPr>
        <w:t>of</w:t>
      </w:r>
      <w:r>
        <w:rPr>
          <w:spacing w:val="-10"/>
        </w:rPr>
        <w:t> </w:t>
      </w:r>
      <w:r>
        <w:rPr>
          <w:spacing w:val="-4"/>
        </w:rPr>
        <w:t>Development</w:t>
      </w:r>
      <w:r>
        <w:rPr>
          <w:spacing w:val="-9"/>
        </w:rPr>
        <w:t> </w:t>
      </w:r>
      <w:r>
        <w:rPr>
          <w:spacing w:val="-4"/>
        </w:rPr>
        <w:t>Studies </w:t>
      </w:r>
      <w:r>
        <w:rPr>
          <w:spacing w:val="-2"/>
        </w:rPr>
        <w:t>Kolkata</w:t>
      </w:r>
    </w:p>
    <w:p>
      <w:pPr>
        <w:pStyle w:val="ListParagraph"/>
        <w:numPr>
          <w:ilvl w:val="0"/>
          <w:numId w:val="88"/>
        </w:numPr>
        <w:tabs>
          <w:tab w:pos="893" w:val="left" w:leader="none"/>
        </w:tabs>
        <w:spacing w:line="240" w:lineRule="auto" w:before="89" w:after="0"/>
        <w:ind w:left="893" w:right="0" w:hanging="359"/>
        <w:jc w:val="left"/>
        <w:rPr>
          <w:sz w:val="22"/>
        </w:rPr>
      </w:pPr>
      <w:r>
        <w:rPr>
          <w:sz w:val="22"/>
        </w:rPr>
        <w:t>Dr.</w:t>
      </w:r>
      <w:r>
        <w:rPr>
          <w:spacing w:val="-12"/>
          <w:sz w:val="22"/>
        </w:rPr>
        <w:t> </w:t>
      </w:r>
      <w:r>
        <w:rPr>
          <w:sz w:val="22"/>
        </w:rPr>
        <w:t>Malini</w:t>
      </w:r>
      <w:r>
        <w:rPr>
          <w:spacing w:val="-12"/>
          <w:sz w:val="22"/>
        </w:rPr>
        <w:t> </w:t>
      </w:r>
      <w:r>
        <w:rPr>
          <w:spacing w:val="-2"/>
          <w:sz w:val="22"/>
        </w:rPr>
        <w:t>Bhattacharya</w:t>
      </w:r>
    </w:p>
    <w:p>
      <w:pPr>
        <w:pStyle w:val="BodyText"/>
        <w:spacing w:line="266" w:lineRule="auto" w:before="27"/>
        <w:ind w:left="894" w:right="1107"/>
      </w:pPr>
      <w:r>
        <w:rPr>
          <w:spacing w:val="-4"/>
        </w:rPr>
        <w:t>Professor,</w:t>
      </w:r>
      <w:r>
        <w:rPr>
          <w:spacing w:val="-10"/>
        </w:rPr>
        <w:t> </w:t>
      </w:r>
      <w:r>
        <w:rPr>
          <w:spacing w:val="-4"/>
        </w:rPr>
        <w:t>Institute</w:t>
      </w:r>
      <w:r>
        <w:rPr>
          <w:spacing w:val="-10"/>
        </w:rPr>
        <w:t> </w:t>
      </w:r>
      <w:r>
        <w:rPr>
          <w:spacing w:val="-4"/>
        </w:rPr>
        <w:t>of</w:t>
      </w:r>
      <w:r>
        <w:rPr>
          <w:spacing w:val="-10"/>
        </w:rPr>
        <w:t> </w:t>
      </w:r>
      <w:r>
        <w:rPr>
          <w:spacing w:val="-4"/>
        </w:rPr>
        <w:t>Development</w:t>
      </w:r>
      <w:r>
        <w:rPr>
          <w:spacing w:val="-9"/>
        </w:rPr>
        <w:t> </w:t>
      </w:r>
      <w:r>
        <w:rPr>
          <w:spacing w:val="-4"/>
        </w:rPr>
        <w:t>Studies </w:t>
      </w:r>
      <w:r>
        <w:rPr>
          <w:spacing w:val="-2"/>
        </w:rPr>
        <w:t>Kolkata</w:t>
      </w:r>
    </w:p>
    <w:p>
      <w:pPr>
        <w:pStyle w:val="ListParagraph"/>
        <w:numPr>
          <w:ilvl w:val="0"/>
          <w:numId w:val="88"/>
        </w:numPr>
        <w:tabs>
          <w:tab w:pos="893" w:val="left" w:leader="none"/>
        </w:tabs>
        <w:spacing w:line="240" w:lineRule="auto" w:before="88" w:after="0"/>
        <w:ind w:left="893" w:right="0" w:hanging="359"/>
        <w:jc w:val="left"/>
        <w:rPr>
          <w:sz w:val="22"/>
        </w:rPr>
      </w:pPr>
      <w:r>
        <w:rPr>
          <w:spacing w:val="-4"/>
          <w:sz w:val="22"/>
        </w:rPr>
        <w:t>Ms.</w:t>
      </w:r>
      <w:r>
        <w:rPr>
          <w:spacing w:val="-8"/>
          <w:sz w:val="22"/>
        </w:rPr>
        <w:t> </w:t>
      </w:r>
      <w:r>
        <w:rPr>
          <w:spacing w:val="-4"/>
          <w:sz w:val="22"/>
        </w:rPr>
        <w:t>Sandhya</w:t>
      </w:r>
      <w:r>
        <w:rPr>
          <w:spacing w:val="-7"/>
          <w:sz w:val="22"/>
        </w:rPr>
        <w:t> </w:t>
      </w:r>
      <w:r>
        <w:rPr>
          <w:spacing w:val="-5"/>
          <w:sz w:val="22"/>
        </w:rPr>
        <w:t>Das</w:t>
      </w:r>
    </w:p>
    <w:p>
      <w:pPr>
        <w:pStyle w:val="BodyText"/>
        <w:spacing w:line="266" w:lineRule="auto" w:before="27"/>
        <w:ind w:left="894" w:right="1424"/>
      </w:pPr>
      <w:r>
        <w:rPr>
          <w:spacing w:val="-4"/>
        </w:rPr>
        <w:t>Principal,</w:t>
      </w:r>
      <w:r>
        <w:rPr>
          <w:spacing w:val="-7"/>
        </w:rPr>
        <w:t> </w:t>
      </w:r>
      <w:r>
        <w:rPr>
          <w:spacing w:val="-4"/>
        </w:rPr>
        <w:t>DIET</w:t>
      </w:r>
      <w:r>
        <w:rPr>
          <w:spacing w:val="-7"/>
        </w:rPr>
        <w:t> </w:t>
      </w:r>
      <w:r>
        <w:rPr>
          <w:spacing w:val="-4"/>
        </w:rPr>
        <w:t>Joynagar,</w:t>
      </w:r>
      <w:r>
        <w:rPr>
          <w:spacing w:val="-7"/>
        </w:rPr>
        <w:t> </w:t>
      </w:r>
      <w:r>
        <w:rPr>
          <w:spacing w:val="-4"/>
        </w:rPr>
        <w:t>24</w:t>
      </w:r>
      <w:r>
        <w:rPr>
          <w:spacing w:val="-7"/>
        </w:rPr>
        <w:t> </w:t>
      </w:r>
      <w:r>
        <w:rPr>
          <w:spacing w:val="-4"/>
        </w:rPr>
        <w:t>Parganas</w:t>
      </w:r>
      <w:r>
        <w:rPr>
          <w:spacing w:val="-7"/>
        </w:rPr>
        <w:t> </w:t>
      </w:r>
      <w:r>
        <w:rPr>
          <w:spacing w:val="-4"/>
        </w:rPr>
        <w:t>(South) </w:t>
      </w:r>
      <w:r>
        <w:rPr/>
        <w:t>West Bengal</w:t>
      </w:r>
    </w:p>
    <w:p>
      <w:pPr>
        <w:pStyle w:val="ListParagraph"/>
        <w:numPr>
          <w:ilvl w:val="0"/>
          <w:numId w:val="88"/>
        </w:numPr>
        <w:tabs>
          <w:tab w:pos="893" w:val="left" w:leader="none"/>
        </w:tabs>
        <w:spacing w:line="240" w:lineRule="auto" w:before="89" w:after="0"/>
        <w:ind w:left="893" w:right="0" w:hanging="359"/>
        <w:jc w:val="left"/>
        <w:rPr>
          <w:sz w:val="22"/>
        </w:rPr>
      </w:pPr>
      <w:r>
        <w:rPr>
          <w:spacing w:val="-2"/>
          <w:sz w:val="22"/>
        </w:rPr>
        <w:t>Mr.</w:t>
      </w:r>
      <w:r>
        <w:rPr>
          <w:spacing w:val="-6"/>
          <w:sz w:val="22"/>
        </w:rPr>
        <w:t> </w:t>
      </w:r>
      <w:r>
        <w:rPr>
          <w:spacing w:val="-2"/>
          <w:sz w:val="22"/>
        </w:rPr>
        <w:t>Somnath</w:t>
      </w:r>
      <w:r>
        <w:rPr>
          <w:spacing w:val="-5"/>
          <w:sz w:val="22"/>
        </w:rPr>
        <w:t> Roy</w:t>
      </w:r>
    </w:p>
    <w:p>
      <w:pPr>
        <w:pStyle w:val="BodyText"/>
        <w:spacing w:line="266" w:lineRule="auto" w:before="27"/>
        <w:ind w:left="894" w:right="1537"/>
      </w:pPr>
      <w:r>
        <w:rPr>
          <w:spacing w:val="-2"/>
        </w:rPr>
        <w:t>Principal,</w:t>
      </w:r>
      <w:r>
        <w:rPr>
          <w:spacing w:val="-12"/>
        </w:rPr>
        <w:t> </w:t>
      </w:r>
      <w:r>
        <w:rPr>
          <w:spacing w:val="-2"/>
        </w:rPr>
        <w:t>DIET</w:t>
      </w:r>
      <w:r>
        <w:rPr>
          <w:spacing w:val="-12"/>
        </w:rPr>
        <w:t> </w:t>
      </w:r>
      <w:r>
        <w:rPr>
          <w:spacing w:val="-2"/>
        </w:rPr>
        <w:t>Baraguli,</w:t>
      </w:r>
      <w:r>
        <w:rPr>
          <w:spacing w:val="-12"/>
        </w:rPr>
        <w:t> </w:t>
      </w:r>
      <w:r>
        <w:rPr>
          <w:spacing w:val="-2"/>
        </w:rPr>
        <w:t>Nadia</w:t>
      </w:r>
      <w:r>
        <w:rPr>
          <w:spacing w:val="-11"/>
        </w:rPr>
        <w:t> </w:t>
      </w:r>
      <w:r>
        <w:rPr>
          <w:spacing w:val="-2"/>
        </w:rPr>
        <w:t>District </w:t>
      </w:r>
      <w:r>
        <w:rPr/>
        <w:t>West Bengal</w:t>
      </w:r>
    </w:p>
    <w:p>
      <w:pPr>
        <w:pStyle w:val="ListParagraph"/>
        <w:numPr>
          <w:ilvl w:val="0"/>
          <w:numId w:val="88"/>
        </w:numPr>
        <w:tabs>
          <w:tab w:pos="893" w:val="left" w:leader="none"/>
        </w:tabs>
        <w:spacing w:line="240" w:lineRule="auto" w:before="88" w:after="0"/>
        <w:ind w:left="893" w:right="0" w:hanging="359"/>
        <w:jc w:val="left"/>
        <w:rPr>
          <w:sz w:val="22"/>
        </w:rPr>
      </w:pPr>
      <w:r>
        <w:rPr>
          <w:spacing w:val="-6"/>
          <w:sz w:val="22"/>
        </w:rPr>
        <w:t>Mr.</w:t>
      </w:r>
      <w:r>
        <w:rPr>
          <w:spacing w:val="-4"/>
          <w:sz w:val="22"/>
        </w:rPr>
        <w:t> </w:t>
      </w:r>
      <w:r>
        <w:rPr>
          <w:spacing w:val="-6"/>
          <w:sz w:val="22"/>
        </w:rPr>
        <w:t>Shiv</w:t>
      </w:r>
      <w:r>
        <w:rPr>
          <w:spacing w:val="-4"/>
          <w:sz w:val="22"/>
        </w:rPr>
        <w:t> </w:t>
      </w:r>
      <w:r>
        <w:rPr>
          <w:spacing w:val="-6"/>
          <w:sz w:val="22"/>
        </w:rPr>
        <w:t>Prasad</w:t>
      </w:r>
      <w:r>
        <w:rPr>
          <w:spacing w:val="-4"/>
          <w:sz w:val="22"/>
        </w:rPr>
        <w:t> </w:t>
      </w:r>
      <w:r>
        <w:rPr>
          <w:spacing w:val="-6"/>
          <w:sz w:val="22"/>
        </w:rPr>
        <w:t>Mukhopadhyay</w:t>
      </w:r>
    </w:p>
    <w:p>
      <w:pPr>
        <w:pStyle w:val="BodyText"/>
        <w:spacing w:before="27"/>
        <w:ind w:left="894"/>
      </w:pPr>
      <w:r>
        <w:rPr>
          <w:w w:val="90"/>
        </w:rPr>
        <w:t>General</w:t>
      </w:r>
      <w:r>
        <w:rPr>
          <w:spacing w:val="3"/>
        </w:rPr>
        <w:t> </w:t>
      </w:r>
      <w:r>
        <w:rPr>
          <w:w w:val="90"/>
        </w:rPr>
        <w:t>Secretary,</w:t>
      </w:r>
      <w:r>
        <w:rPr>
          <w:spacing w:val="3"/>
        </w:rPr>
        <w:t> </w:t>
      </w:r>
      <w:r>
        <w:rPr>
          <w:w w:val="90"/>
        </w:rPr>
        <w:t>All</w:t>
      </w:r>
      <w:r>
        <w:rPr>
          <w:spacing w:val="3"/>
        </w:rPr>
        <w:t> </w:t>
      </w:r>
      <w:r>
        <w:rPr>
          <w:w w:val="90"/>
        </w:rPr>
        <w:t>Bengal</w:t>
      </w:r>
      <w:r>
        <w:rPr>
          <w:spacing w:val="-2"/>
          <w:w w:val="90"/>
        </w:rPr>
        <w:t> </w:t>
      </w:r>
      <w:r>
        <w:rPr>
          <w:w w:val="90"/>
        </w:rPr>
        <w:t>Teacher’s</w:t>
      </w:r>
      <w:r>
        <w:rPr>
          <w:spacing w:val="4"/>
        </w:rPr>
        <w:t> </w:t>
      </w:r>
      <w:r>
        <w:rPr>
          <w:spacing w:val="-2"/>
          <w:w w:val="90"/>
        </w:rPr>
        <w:t>Association</w:t>
      </w:r>
    </w:p>
    <w:p>
      <w:pPr>
        <w:pStyle w:val="ListParagraph"/>
        <w:numPr>
          <w:ilvl w:val="0"/>
          <w:numId w:val="88"/>
        </w:numPr>
        <w:tabs>
          <w:tab w:pos="893" w:val="left" w:leader="none"/>
        </w:tabs>
        <w:spacing w:line="240" w:lineRule="auto" w:before="117" w:after="0"/>
        <w:ind w:left="893" w:right="0" w:hanging="359"/>
        <w:jc w:val="left"/>
        <w:rPr>
          <w:sz w:val="22"/>
        </w:rPr>
      </w:pPr>
      <w:r>
        <w:rPr>
          <w:spacing w:val="-2"/>
          <w:sz w:val="22"/>
        </w:rPr>
        <w:t>Mr.</w:t>
      </w:r>
      <w:r>
        <w:rPr>
          <w:spacing w:val="-6"/>
          <w:sz w:val="22"/>
        </w:rPr>
        <w:t> </w:t>
      </w:r>
      <w:r>
        <w:rPr>
          <w:spacing w:val="-2"/>
          <w:sz w:val="22"/>
        </w:rPr>
        <w:t>Ranju</w:t>
      </w:r>
      <w:r>
        <w:rPr>
          <w:spacing w:val="-6"/>
          <w:sz w:val="22"/>
        </w:rPr>
        <w:t> </w:t>
      </w:r>
      <w:r>
        <w:rPr>
          <w:spacing w:val="-2"/>
          <w:sz w:val="22"/>
        </w:rPr>
        <w:t>Gopal</w:t>
      </w:r>
      <w:r>
        <w:rPr>
          <w:spacing w:val="-6"/>
          <w:sz w:val="22"/>
        </w:rPr>
        <w:t> </w:t>
      </w:r>
      <w:r>
        <w:rPr>
          <w:spacing w:val="-2"/>
          <w:sz w:val="22"/>
        </w:rPr>
        <w:t>Mukherjee</w:t>
      </w:r>
    </w:p>
    <w:p>
      <w:pPr>
        <w:pStyle w:val="BodyText"/>
        <w:spacing w:before="27"/>
        <w:ind w:left="894"/>
      </w:pPr>
      <w:r>
        <w:rPr>
          <w:spacing w:val="-4"/>
        </w:rPr>
        <w:t>Vice Chancellor, (Retd.) North</w:t>
      </w:r>
      <w:r>
        <w:rPr>
          <w:spacing w:val="-3"/>
        </w:rPr>
        <w:t> </w:t>
      </w:r>
      <w:r>
        <w:rPr>
          <w:spacing w:val="-4"/>
        </w:rPr>
        <w:t>Bengal University</w:t>
      </w:r>
    </w:p>
    <w:p>
      <w:pPr>
        <w:pStyle w:val="ListParagraph"/>
        <w:numPr>
          <w:ilvl w:val="0"/>
          <w:numId w:val="88"/>
        </w:numPr>
        <w:tabs>
          <w:tab w:pos="893" w:val="left" w:leader="none"/>
        </w:tabs>
        <w:spacing w:line="240" w:lineRule="auto" w:before="117" w:after="0"/>
        <w:ind w:left="893" w:right="0" w:hanging="359"/>
        <w:jc w:val="left"/>
        <w:rPr>
          <w:sz w:val="22"/>
        </w:rPr>
      </w:pPr>
      <w:r>
        <w:rPr>
          <w:spacing w:val="-6"/>
          <w:sz w:val="22"/>
        </w:rPr>
        <w:t>Mr.</w:t>
      </w:r>
      <w:r>
        <w:rPr>
          <w:sz w:val="22"/>
        </w:rPr>
        <w:t> </w:t>
      </w:r>
      <w:r>
        <w:rPr>
          <w:spacing w:val="-6"/>
          <w:sz w:val="22"/>
        </w:rPr>
        <w:t>Bhabesh</w:t>
      </w:r>
      <w:r>
        <w:rPr>
          <w:sz w:val="22"/>
        </w:rPr>
        <w:t> </w:t>
      </w:r>
      <w:r>
        <w:rPr>
          <w:spacing w:val="-6"/>
          <w:sz w:val="22"/>
        </w:rPr>
        <w:t>Moitra</w:t>
      </w:r>
    </w:p>
    <w:p>
      <w:pPr>
        <w:pStyle w:val="BodyText"/>
        <w:spacing w:before="27"/>
        <w:ind w:left="894"/>
      </w:pPr>
      <w:r>
        <w:rPr>
          <w:spacing w:val="-6"/>
        </w:rPr>
        <w:t>Principal,</w:t>
      </w:r>
      <w:r>
        <w:rPr>
          <w:spacing w:val="-10"/>
        </w:rPr>
        <w:t> </w:t>
      </w:r>
      <w:r>
        <w:rPr>
          <w:spacing w:val="-6"/>
        </w:rPr>
        <w:t>Teacher’s</w:t>
      </w:r>
      <w:r>
        <w:rPr>
          <w:spacing w:val="-4"/>
        </w:rPr>
        <w:t> </w:t>
      </w:r>
      <w:r>
        <w:rPr>
          <w:spacing w:val="-6"/>
        </w:rPr>
        <w:t>Education</w:t>
      </w:r>
      <w:r>
        <w:rPr>
          <w:spacing w:val="-2"/>
        </w:rPr>
        <w:t> </w:t>
      </w:r>
      <w:r>
        <w:rPr>
          <w:spacing w:val="-6"/>
        </w:rPr>
        <w:t>College,</w:t>
      </w:r>
      <w:r>
        <w:rPr>
          <w:spacing w:val="-2"/>
        </w:rPr>
        <w:t> </w:t>
      </w:r>
      <w:r>
        <w:rPr>
          <w:spacing w:val="-6"/>
        </w:rPr>
        <w:t>Kolkata</w:t>
      </w:r>
    </w:p>
    <w:p>
      <w:pPr>
        <w:pStyle w:val="ListParagraph"/>
        <w:numPr>
          <w:ilvl w:val="0"/>
          <w:numId w:val="88"/>
        </w:numPr>
        <w:tabs>
          <w:tab w:pos="894" w:val="left" w:leader="none"/>
        </w:tabs>
        <w:spacing w:line="266" w:lineRule="auto" w:before="117" w:after="0"/>
        <w:ind w:left="894" w:right="2684" w:hanging="360"/>
        <w:jc w:val="left"/>
        <w:rPr>
          <w:sz w:val="22"/>
        </w:rPr>
      </w:pPr>
      <w:r>
        <w:rPr>
          <w:sz w:val="22"/>
        </w:rPr>
        <w:t>Mr. J.B Dutta, Consultant </w:t>
      </w:r>
      <w:r>
        <w:rPr>
          <w:spacing w:val="-4"/>
          <w:sz w:val="22"/>
        </w:rPr>
        <w:t>Shishu</w:t>
      </w:r>
      <w:r>
        <w:rPr>
          <w:spacing w:val="-10"/>
          <w:sz w:val="22"/>
        </w:rPr>
        <w:t> </w:t>
      </w:r>
      <w:r>
        <w:rPr>
          <w:spacing w:val="-4"/>
          <w:sz w:val="22"/>
        </w:rPr>
        <w:t>Shiksha</w:t>
      </w:r>
      <w:r>
        <w:rPr>
          <w:spacing w:val="-10"/>
          <w:sz w:val="22"/>
        </w:rPr>
        <w:t> </w:t>
      </w:r>
      <w:r>
        <w:rPr>
          <w:spacing w:val="-4"/>
          <w:sz w:val="22"/>
        </w:rPr>
        <w:t>Kendra,</w:t>
      </w:r>
      <w:r>
        <w:rPr>
          <w:spacing w:val="-10"/>
          <w:sz w:val="22"/>
        </w:rPr>
        <w:t> </w:t>
      </w:r>
      <w:r>
        <w:rPr>
          <w:spacing w:val="-4"/>
          <w:sz w:val="22"/>
        </w:rPr>
        <w:t>Kolkata</w:t>
      </w:r>
    </w:p>
    <w:p>
      <w:pPr>
        <w:pStyle w:val="ListParagraph"/>
        <w:numPr>
          <w:ilvl w:val="0"/>
          <w:numId w:val="88"/>
        </w:numPr>
        <w:tabs>
          <w:tab w:pos="893" w:val="left" w:leader="none"/>
        </w:tabs>
        <w:spacing w:line="240" w:lineRule="auto" w:before="89" w:after="0"/>
        <w:ind w:left="893" w:right="0" w:hanging="359"/>
        <w:jc w:val="left"/>
        <w:rPr>
          <w:sz w:val="22"/>
        </w:rPr>
      </w:pPr>
      <w:r>
        <w:rPr>
          <w:spacing w:val="-2"/>
          <w:sz w:val="22"/>
        </w:rPr>
        <w:t>Mr.</w:t>
      </w:r>
      <w:r>
        <w:rPr>
          <w:spacing w:val="-9"/>
          <w:sz w:val="22"/>
        </w:rPr>
        <w:t> </w:t>
      </w:r>
      <w:r>
        <w:rPr>
          <w:spacing w:val="-2"/>
          <w:sz w:val="22"/>
        </w:rPr>
        <w:t>Pranab</w:t>
      </w:r>
      <w:r>
        <w:rPr>
          <w:spacing w:val="-9"/>
          <w:sz w:val="22"/>
        </w:rPr>
        <w:t> </w:t>
      </w:r>
      <w:r>
        <w:rPr>
          <w:spacing w:val="-2"/>
          <w:sz w:val="22"/>
        </w:rPr>
        <w:t>Chanda</w:t>
      </w:r>
    </w:p>
    <w:p>
      <w:pPr>
        <w:pStyle w:val="BodyText"/>
        <w:spacing w:before="27"/>
        <w:ind w:left="894"/>
      </w:pPr>
      <w:r>
        <w:rPr>
          <w:spacing w:val="-4"/>
        </w:rPr>
        <w:t>Principal,</w:t>
      </w:r>
      <w:r>
        <w:rPr>
          <w:spacing w:val="-10"/>
        </w:rPr>
        <w:t> </w:t>
      </w:r>
      <w:r>
        <w:rPr>
          <w:spacing w:val="-4"/>
        </w:rPr>
        <w:t>College</w:t>
      </w:r>
      <w:r>
        <w:rPr>
          <w:spacing w:val="-10"/>
        </w:rPr>
        <w:t> </w:t>
      </w:r>
      <w:r>
        <w:rPr>
          <w:spacing w:val="-4"/>
        </w:rPr>
        <w:t>for</w:t>
      </w:r>
      <w:r>
        <w:rPr>
          <w:spacing w:val="-10"/>
        </w:rPr>
        <w:t> </w:t>
      </w:r>
      <w:r>
        <w:rPr>
          <w:spacing w:val="-4"/>
        </w:rPr>
        <w:t>Teacher</w:t>
      </w:r>
      <w:r>
        <w:rPr>
          <w:spacing w:val="-6"/>
        </w:rPr>
        <w:t> </w:t>
      </w:r>
      <w:r>
        <w:rPr>
          <w:spacing w:val="-4"/>
        </w:rPr>
        <w:t>Education,</w:t>
      </w:r>
      <w:r>
        <w:rPr>
          <w:spacing w:val="-7"/>
        </w:rPr>
        <w:t> </w:t>
      </w:r>
      <w:r>
        <w:rPr>
          <w:spacing w:val="-4"/>
        </w:rPr>
        <w:t>Siliguri</w:t>
      </w:r>
    </w:p>
    <w:p>
      <w:pPr>
        <w:pStyle w:val="ListParagraph"/>
        <w:numPr>
          <w:ilvl w:val="0"/>
          <w:numId w:val="88"/>
        </w:numPr>
        <w:tabs>
          <w:tab w:pos="893" w:val="left" w:leader="none"/>
        </w:tabs>
        <w:spacing w:line="240" w:lineRule="auto" w:before="117" w:after="0"/>
        <w:ind w:left="893" w:right="0" w:hanging="359"/>
        <w:jc w:val="left"/>
        <w:rPr>
          <w:sz w:val="22"/>
        </w:rPr>
      </w:pPr>
      <w:r>
        <w:rPr>
          <w:spacing w:val="-4"/>
          <w:sz w:val="22"/>
        </w:rPr>
        <w:t>Mr. Pranab.K</w:t>
      </w:r>
      <w:r>
        <w:rPr>
          <w:spacing w:val="-3"/>
          <w:sz w:val="22"/>
        </w:rPr>
        <w:t> </w:t>
      </w:r>
      <w:r>
        <w:rPr>
          <w:spacing w:val="-4"/>
          <w:sz w:val="22"/>
        </w:rPr>
        <w:t>Chaudhary</w:t>
      </w:r>
    </w:p>
    <w:p>
      <w:pPr>
        <w:pStyle w:val="BodyText"/>
        <w:spacing w:before="27"/>
        <w:ind w:left="894"/>
      </w:pPr>
      <w:r>
        <w:rPr>
          <w:spacing w:val="-4"/>
        </w:rPr>
        <w:t>David</w:t>
      </w:r>
      <w:r>
        <w:rPr>
          <w:spacing w:val="-6"/>
        </w:rPr>
        <w:t> </w:t>
      </w:r>
      <w:r>
        <w:rPr>
          <w:spacing w:val="-4"/>
        </w:rPr>
        <w:t>Hare</w:t>
      </w:r>
      <w:r>
        <w:rPr>
          <w:spacing w:val="-10"/>
        </w:rPr>
        <w:t> </w:t>
      </w:r>
      <w:r>
        <w:rPr>
          <w:spacing w:val="-4"/>
        </w:rPr>
        <w:t>Training</w:t>
      </w:r>
      <w:r>
        <w:rPr>
          <w:spacing w:val="-3"/>
        </w:rPr>
        <w:t> </w:t>
      </w:r>
      <w:r>
        <w:rPr>
          <w:spacing w:val="-4"/>
        </w:rPr>
        <w:t>College,</w:t>
      </w:r>
      <w:r>
        <w:rPr>
          <w:spacing w:val="-3"/>
        </w:rPr>
        <w:t> </w:t>
      </w:r>
      <w:r>
        <w:rPr>
          <w:spacing w:val="-4"/>
        </w:rPr>
        <w:t>Kolkata</w:t>
      </w:r>
    </w:p>
    <w:p>
      <w:pPr>
        <w:pStyle w:val="ListParagraph"/>
        <w:numPr>
          <w:ilvl w:val="0"/>
          <w:numId w:val="88"/>
        </w:numPr>
        <w:tabs>
          <w:tab w:pos="893" w:val="left" w:leader="none"/>
        </w:tabs>
        <w:spacing w:line="240" w:lineRule="auto" w:before="117" w:after="0"/>
        <w:ind w:left="893" w:right="0" w:hanging="359"/>
        <w:jc w:val="left"/>
        <w:rPr>
          <w:sz w:val="22"/>
        </w:rPr>
      </w:pPr>
      <w:r>
        <w:rPr>
          <w:spacing w:val="-4"/>
          <w:sz w:val="22"/>
        </w:rPr>
        <w:t>Mr.</w:t>
      </w:r>
      <w:r>
        <w:rPr>
          <w:spacing w:val="-5"/>
          <w:sz w:val="22"/>
        </w:rPr>
        <w:t> </w:t>
      </w:r>
      <w:r>
        <w:rPr>
          <w:spacing w:val="-4"/>
          <w:sz w:val="22"/>
        </w:rPr>
        <w:t>Debashis Maiti</w:t>
      </w:r>
    </w:p>
    <w:p>
      <w:pPr>
        <w:pStyle w:val="BodyText"/>
        <w:spacing w:line="266" w:lineRule="auto" w:before="27"/>
        <w:ind w:left="894" w:right="1537"/>
      </w:pPr>
      <w:r>
        <w:rPr>
          <w:spacing w:val="-6"/>
        </w:rPr>
        <w:t>Secretary,</w:t>
      </w:r>
      <w:r>
        <w:rPr>
          <w:spacing w:val="-7"/>
        </w:rPr>
        <w:t> </w:t>
      </w:r>
      <w:r>
        <w:rPr>
          <w:spacing w:val="-6"/>
        </w:rPr>
        <w:t>West Bengal Council of </w:t>
      </w:r>
      <w:r>
        <w:rPr>
          <w:spacing w:val="-6"/>
        </w:rPr>
        <w:t>Rabindra </w:t>
      </w:r>
      <w:r>
        <w:rPr/>
        <w:t>Open Schooling, Kolkata</w:t>
      </w:r>
    </w:p>
    <w:p>
      <w:pPr>
        <w:pStyle w:val="ListParagraph"/>
        <w:numPr>
          <w:ilvl w:val="0"/>
          <w:numId w:val="88"/>
        </w:numPr>
        <w:tabs>
          <w:tab w:pos="893" w:val="left" w:leader="none"/>
        </w:tabs>
        <w:spacing w:line="240" w:lineRule="auto" w:before="88" w:after="0"/>
        <w:ind w:left="893" w:right="0" w:hanging="359"/>
        <w:jc w:val="left"/>
        <w:rPr>
          <w:sz w:val="22"/>
        </w:rPr>
      </w:pPr>
      <w:r>
        <w:rPr>
          <w:spacing w:val="-2"/>
          <w:sz w:val="22"/>
        </w:rPr>
        <w:t>Mr.</w:t>
      </w:r>
      <w:r>
        <w:rPr>
          <w:spacing w:val="-10"/>
          <w:sz w:val="22"/>
        </w:rPr>
        <w:t> </w:t>
      </w:r>
      <w:r>
        <w:rPr>
          <w:spacing w:val="-2"/>
          <w:sz w:val="22"/>
        </w:rPr>
        <w:t>Dev</w:t>
      </w:r>
      <w:r>
        <w:rPr>
          <w:spacing w:val="-9"/>
          <w:sz w:val="22"/>
        </w:rPr>
        <w:t> </w:t>
      </w:r>
      <w:r>
        <w:rPr>
          <w:spacing w:val="-2"/>
          <w:sz w:val="22"/>
        </w:rPr>
        <w:t>Kumar</w:t>
      </w:r>
      <w:r>
        <w:rPr>
          <w:spacing w:val="-9"/>
          <w:sz w:val="22"/>
        </w:rPr>
        <w:t> </w:t>
      </w:r>
      <w:r>
        <w:rPr>
          <w:spacing w:val="-2"/>
          <w:sz w:val="22"/>
        </w:rPr>
        <w:t>Chakrabarty</w:t>
      </w:r>
    </w:p>
    <w:p>
      <w:pPr>
        <w:pStyle w:val="BodyText"/>
        <w:spacing w:line="266" w:lineRule="auto" w:before="27"/>
        <w:ind w:left="894" w:right="1107"/>
      </w:pPr>
      <w:r>
        <w:rPr>
          <w:spacing w:val="-4"/>
        </w:rPr>
        <w:t>Shishu</w:t>
      </w:r>
      <w:r>
        <w:rPr>
          <w:spacing w:val="-12"/>
        </w:rPr>
        <w:t> </w:t>
      </w:r>
      <w:r>
        <w:rPr>
          <w:spacing w:val="-4"/>
        </w:rPr>
        <w:t>Shiksha</w:t>
      </w:r>
      <w:r>
        <w:rPr>
          <w:spacing w:val="-10"/>
        </w:rPr>
        <w:t> </w:t>
      </w:r>
      <w:r>
        <w:rPr>
          <w:spacing w:val="-4"/>
        </w:rPr>
        <w:t>Mission,</w:t>
      </w:r>
      <w:r>
        <w:rPr>
          <w:spacing w:val="-10"/>
        </w:rPr>
        <w:t> </w:t>
      </w:r>
      <w:r>
        <w:rPr>
          <w:spacing w:val="-4"/>
        </w:rPr>
        <w:t>Sidhu-Kanu</w:t>
      </w:r>
      <w:r>
        <w:rPr>
          <w:spacing w:val="-9"/>
        </w:rPr>
        <w:t> </w:t>
      </w:r>
      <w:r>
        <w:rPr>
          <w:spacing w:val="-4"/>
        </w:rPr>
        <w:t>Bhawan </w:t>
      </w:r>
      <w:r>
        <w:rPr>
          <w:spacing w:val="-2"/>
        </w:rPr>
        <w:t>Kolkata</w:t>
      </w:r>
    </w:p>
    <w:p>
      <w:pPr>
        <w:spacing w:after="0" w:line="266" w:lineRule="auto"/>
        <w:sectPr>
          <w:pgSz w:w="11910" w:h="16840"/>
          <w:pgMar w:header="0" w:footer="675" w:top="960" w:bottom="860" w:left="0" w:right="0"/>
          <w:cols w:num="2" w:equalWidth="0">
            <w:col w:w="5558" w:space="40"/>
            <w:col w:w="6312"/>
          </w:cols>
        </w:sectPr>
      </w:pPr>
    </w:p>
    <w:p>
      <w:pPr>
        <w:pStyle w:val="ListParagraph"/>
        <w:numPr>
          <w:ilvl w:val="0"/>
          <w:numId w:val="88"/>
        </w:numPr>
        <w:tabs>
          <w:tab w:pos="1439" w:val="left" w:leader="none"/>
        </w:tabs>
        <w:spacing w:line="240" w:lineRule="auto" w:before="57" w:after="0"/>
        <w:ind w:left="1439" w:right="0" w:hanging="359"/>
        <w:jc w:val="left"/>
        <w:rPr>
          <w:sz w:val="22"/>
        </w:rPr>
      </w:pPr>
      <w:r>
        <w:rPr>
          <w:spacing w:val="-2"/>
          <w:sz w:val="22"/>
        </w:rPr>
        <w:t>Mr.</w:t>
      </w:r>
      <w:r>
        <w:rPr>
          <w:spacing w:val="-11"/>
          <w:sz w:val="22"/>
        </w:rPr>
        <w:t> </w:t>
      </w:r>
      <w:r>
        <w:rPr>
          <w:spacing w:val="-2"/>
          <w:sz w:val="22"/>
        </w:rPr>
        <w:t>Sujit</w:t>
      </w:r>
      <w:r>
        <w:rPr>
          <w:spacing w:val="-10"/>
          <w:sz w:val="22"/>
        </w:rPr>
        <w:t> </w:t>
      </w:r>
      <w:r>
        <w:rPr>
          <w:spacing w:val="-2"/>
          <w:sz w:val="22"/>
        </w:rPr>
        <w:t>Sinha</w:t>
      </w:r>
    </w:p>
    <w:p>
      <w:pPr>
        <w:pStyle w:val="BodyText"/>
        <w:spacing w:before="27"/>
        <w:ind w:left="1439"/>
      </w:pPr>
      <w:r>
        <w:rPr>
          <w:spacing w:val="-4"/>
        </w:rPr>
        <w:t>Swanirbhar,</w:t>
      </w:r>
      <w:r>
        <w:rPr>
          <w:spacing w:val="-1"/>
        </w:rPr>
        <w:t> </w:t>
      </w:r>
      <w:r>
        <w:rPr>
          <w:spacing w:val="-4"/>
        </w:rPr>
        <w:t>NGO, West</w:t>
      </w:r>
      <w:r>
        <w:rPr/>
        <w:t> </w:t>
      </w:r>
      <w:r>
        <w:rPr>
          <w:spacing w:val="-4"/>
        </w:rPr>
        <w:t>Bengal</w:t>
      </w:r>
    </w:p>
    <w:p>
      <w:pPr>
        <w:pStyle w:val="ListParagraph"/>
        <w:numPr>
          <w:ilvl w:val="0"/>
          <w:numId w:val="88"/>
        </w:numPr>
        <w:tabs>
          <w:tab w:pos="1439" w:val="left" w:leader="none"/>
        </w:tabs>
        <w:spacing w:line="240" w:lineRule="auto" w:before="117" w:after="0"/>
        <w:ind w:left="1439" w:right="0" w:hanging="359"/>
        <w:jc w:val="left"/>
        <w:rPr>
          <w:sz w:val="22"/>
        </w:rPr>
      </w:pPr>
      <w:r>
        <w:rPr>
          <w:spacing w:val="-2"/>
          <w:sz w:val="22"/>
        </w:rPr>
        <w:t>Dr.</w:t>
      </w:r>
      <w:r>
        <w:rPr>
          <w:spacing w:val="-11"/>
          <w:sz w:val="22"/>
        </w:rPr>
        <w:t> </w:t>
      </w:r>
      <w:r>
        <w:rPr>
          <w:spacing w:val="-2"/>
          <w:sz w:val="22"/>
        </w:rPr>
        <w:t>Arijit</w:t>
      </w:r>
      <w:r>
        <w:rPr>
          <w:spacing w:val="-10"/>
          <w:sz w:val="22"/>
        </w:rPr>
        <w:t> </w:t>
      </w:r>
      <w:r>
        <w:rPr>
          <w:spacing w:val="-2"/>
          <w:sz w:val="22"/>
        </w:rPr>
        <w:t>Chaudhry</w:t>
      </w:r>
    </w:p>
    <w:p>
      <w:pPr>
        <w:pStyle w:val="BodyText"/>
        <w:spacing w:line="266" w:lineRule="auto" w:before="27"/>
        <w:ind w:left="1439"/>
      </w:pPr>
      <w:r>
        <w:rPr>
          <w:spacing w:val="-4"/>
        </w:rPr>
        <w:t>Honorary</w:t>
      </w:r>
      <w:r>
        <w:rPr>
          <w:spacing w:val="-10"/>
        </w:rPr>
        <w:t> </w:t>
      </w:r>
      <w:r>
        <w:rPr>
          <w:spacing w:val="-4"/>
        </w:rPr>
        <w:t>Visiting</w:t>
      </w:r>
      <w:r>
        <w:rPr>
          <w:spacing w:val="-10"/>
        </w:rPr>
        <w:t> </w:t>
      </w:r>
      <w:r>
        <w:rPr>
          <w:spacing w:val="-4"/>
        </w:rPr>
        <w:t>Professor,</w:t>
      </w:r>
      <w:r>
        <w:rPr>
          <w:spacing w:val="-10"/>
        </w:rPr>
        <w:t> </w:t>
      </w:r>
      <w:r>
        <w:rPr>
          <w:spacing w:val="-4"/>
        </w:rPr>
        <w:t>Indian</w:t>
      </w:r>
      <w:r>
        <w:rPr>
          <w:spacing w:val="-9"/>
        </w:rPr>
        <w:t> </w:t>
      </w:r>
      <w:r>
        <w:rPr>
          <w:spacing w:val="-4"/>
        </w:rPr>
        <w:t>Statistical </w:t>
      </w:r>
      <w:r>
        <w:rPr>
          <w:spacing w:val="-2"/>
        </w:rPr>
        <w:t>Institute</w:t>
      </w:r>
    </w:p>
    <w:p>
      <w:pPr>
        <w:pStyle w:val="ListParagraph"/>
        <w:numPr>
          <w:ilvl w:val="0"/>
          <w:numId w:val="88"/>
        </w:numPr>
        <w:tabs>
          <w:tab w:pos="1439" w:val="left" w:leader="none"/>
        </w:tabs>
        <w:spacing w:line="240" w:lineRule="auto" w:before="89" w:after="0"/>
        <w:ind w:left="1439" w:right="0" w:hanging="359"/>
        <w:jc w:val="left"/>
        <w:rPr>
          <w:sz w:val="22"/>
        </w:rPr>
      </w:pPr>
      <w:r>
        <w:rPr>
          <w:spacing w:val="-4"/>
          <w:sz w:val="22"/>
        </w:rPr>
        <w:t>Mr.</w:t>
      </w:r>
      <w:r>
        <w:rPr>
          <w:spacing w:val="-2"/>
          <w:sz w:val="22"/>
        </w:rPr>
        <w:t> </w:t>
      </w:r>
      <w:r>
        <w:rPr>
          <w:spacing w:val="-4"/>
          <w:sz w:val="22"/>
        </w:rPr>
        <w:t>Baidynath</w:t>
      </w:r>
      <w:r>
        <w:rPr>
          <w:spacing w:val="-2"/>
          <w:sz w:val="22"/>
        </w:rPr>
        <w:t> </w:t>
      </w:r>
      <w:r>
        <w:rPr>
          <w:spacing w:val="-4"/>
          <w:sz w:val="22"/>
        </w:rPr>
        <w:t>Mukherjee</w:t>
      </w:r>
    </w:p>
    <w:p>
      <w:pPr>
        <w:pStyle w:val="BodyText"/>
        <w:spacing w:before="27"/>
        <w:ind w:left="1439"/>
      </w:pPr>
      <w:r>
        <w:rPr>
          <w:w w:val="90"/>
        </w:rPr>
        <w:t>President,</w:t>
      </w:r>
      <w:r>
        <w:rPr>
          <w:spacing w:val="9"/>
        </w:rPr>
        <w:t> </w:t>
      </w:r>
      <w:r>
        <w:rPr>
          <w:w w:val="90"/>
        </w:rPr>
        <w:t>All</w:t>
      </w:r>
      <w:r>
        <w:rPr>
          <w:spacing w:val="10"/>
        </w:rPr>
        <w:t> </w:t>
      </w:r>
      <w:r>
        <w:rPr>
          <w:w w:val="90"/>
        </w:rPr>
        <w:t>Bengal</w:t>
      </w:r>
      <w:r>
        <w:rPr>
          <w:spacing w:val="-2"/>
        </w:rPr>
        <w:t> </w:t>
      </w:r>
      <w:r>
        <w:rPr>
          <w:w w:val="90"/>
        </w:rPr>
        <w:t>Teachers’</w:t>
      </w:r>
      <w:r>
        <w:rPr>
          <w:spacing w:val="10"/>
        </w:rPr>
        <w:t> </w:t>
      </w:r>
      <w:r>
        <w:rPr>
          <w:spacing w:val="-2"/>
          <w:w w:val="90"/>
        </w:rPr>
        <w:t>Association</w:t>
      </w:r>
    </w:p>
    <w:p>
      <w:pPr>
        <w:pStyle w:val="ListParagraph"/>
        <w:numPr>
          <w:ilvl w:val="0"/>
          <w:numId w:val="88"/>
        </w:numPr>
        <w:tabs>
          <w:tab w:pos="1439" w:val="left" w:leader="none"/>
        </w:tabs>
        <w:spacing w:line="240" w:lineRule="auto" w:before="117" w:after="0"/>
        <w:ind w:left="1439" w:right="0" w:hanging="359"/>
        <w:jc w:val="left"/>
        <w:rPr>
          <w:sz w:val="22"/>
        </w:rPr>
      </w:pPr>
      <w:r>
        <w:rPr>
          <w:sz w:val="22"/>
        </w:rPr>
        <w:t>Dr.</w:t>
      </w:r>
      <w:r>
        <w:rPr>
          <w:spacing w:val="-11"/>
          <w:sz w:val="22"/>
        </w:rPr>
        <w:t> </w:t>
      </w:r>
      <w:r>
        <w:rPr>
          <w:sz w:val="22"/>
        </w:rPr>
        <w:t>S.</w:t>
      </w:r>
      <w:r>
        <w:rPr>
          <w:spacing w:val="-10"/>
          <w:sz w:val="22"/>
        </w:rPr>
        <w:t> </w:t>
      </w:r>
      <w:r>
        <w:rPr>
          <w:spacing w:val="-2"/>
          <w:sz w:val="22"/>
        </w:rPr>
        <w:t>Bhattacharya</w:t>
      </w:r>
    </w:p>
    <w:p>
      <w:pPr>
        <w:pStyle w:val="BodyText"/>
        <w:spacing w:line="266" w:lineRule="auto" w:before="27"/>
        <w:ind w:left="1439" w:right="120"/>
      </w:pPr>
      <w:r>
        <w:rPr>
          <w:spacing w:val="-6"/>
        </w:rPr>
        <w:t>President,</w:t>
      </w:r>
      <w:r>
        <w:rPr>
          <w:spacing w:val="-8"/>
        </w:rPr>
        <w:t> </w:t>
      </w:r>
      <w:r>
        <w:rPr>
          <w:spacing w:val="-6"/>
        </w:rPr>
        <w:t>West Bengal Board of </w:t>
      </w:r>
      <w:r>
        <w:rPr>
          <w:spacing w:val="-6"/>
        </w:rPr>
        <w:t>Primary </w:t>
      </w:r>
      <w:r>
        <w:rPr>
          <w:spacing w:val="-2"/>
        </w:rPr>
        <w:t>Education</w:t>
      </w:r>
    </w:p>
    <w:p>
      <w:pPr>
        <w:pStyle w:val="ListParagraph"/>
        <w:numPr>
          <w:ilvl w:val="0"/>
          <w:numId w:val="88"/>
        </w:numPr>
        <w:tabs>
          <w:tab w:pos="1439" w:val="left" w:leader="none"/>
        </w:tabs>
        <w:spacing w:line="240" w:lineRule="auto" w:before="88" w:after="0"/>
        <w:ind w:left="1439" w:right="0" w:hanging="359"/>
        <w:jc w:val="left"/>
        <w:rPr>
          <w:sz w:val="22"/>
        </w:rPr>
      </w:pPr>
      <w:r>
        <w:rPr>
          <w:spacing w:val="-8"/>
          <w:sz w:val="22"/>
        </w:rPr>
        <w:t>Dr.</w:t>
      </w:r>
      <w:r>
        <w:rPr>
          <w:spacing w:val="-4"/>
          <w:sz w:val="22"/>
        </w:rPr>
        <w:t> </w:t>
      </w:r>
      <w:r>
        <w:rPr>
          <w:spacing w:val="-8"/>
          <w:sz w:val="22"/>
        </w:rPr>
        <w:t>P.</w:t>
      </w:r>
      <w:r>
        <w:rPr>
          <w:spacing w:val="-4"/>
          <w:sz w:val="22"/>
        </w:rPr>
        <w:t> </w:t>
      </w:r>
      <w:r>
        <w:rPr>
          <w:spacing w:val="-8"/>
          <w:sz w:val="22"/>
        </w:rPr>
        <w:t>Bhattacharya</w:t>
      </w:r>
    </w:p>
    <w:p>
      <w:pPr>
        <w:pStyle w:val="BodyText"/>
        <w:spacing w:line="266" w:lineRule="auto" w:before="27"/>
        <w:ind w:left="1439"/>
      </w:pPr>
      <w:r>
        <w:rPr>
          <w:spacing w:val="-6"/>
        </w:rPr>
        <w:t>Professor,</w:t>
      </w:r>
      <w:r>
        <w:rPr>
          <w:spacing w:val="-7"/>
        </w:rPr>
        <w:t> </w:t>
      </w:r>
      <w:r>
        <w:rPr>
          <w:spacing w:val="-6"/>
        </w:rPr>
        <w:t>Centre</w:t>
      </w:r>
      <w:r>
        <w:rPr>
          <w:spacing w:val="-7"/>
        </w:rPr>
        <w:t> </w:t>
      </w:r>
      <w:r>
        <w:rPr>
          <w:spacing w:val="-6"/>
        </w:rPr>
        <w:t>for</w:t>
      </w:r>
      <w:r>
        <w:rPr>
          <w:spacing w:val="-7"/>
        </w:rPr>
        <w:t> </w:t>
      </w:r>
      <w:r>
        <w:rPr>
          <w:spacing w:val="-6"/>
        </w:rPr>
        <w:t>Studies</w:t>
      </w:r>
      <w:r>
        <w:rPr>
          <w:spacing w:val="-7"/>
        </w:rPr>
        <w:t> </w:t>
      </w:r>
      <w:r>
        <w:rPr>
          <w:spacing w:val="-6"/>
        </w:rPr>
        <w:t>in</w:t>
      </w:r>
      <w:r>
        <w:rPr>
          <w:spacing w:val="-7"/>
        </w:rPr>
        <w:t> </w:t>
      </w:r>
      <w:r>
        <w:rPr>
          <w:spacing w:val="-6"/>
        </w:rPr>
        <w:t>Social</w:t>
      </w:r>
      <w:r>
        <w:rPr>
          <w:spacing w:val="-7"/>
        </w:rPr>
        <w:t> </w:t>
      </w:r>
      <w:r>
        <w:rPr>
          <w:spacing w:val="-6"/>
        </w:rPr>
        <w:t>Sciences </w:t>
      </w:r>
      <w:r>
        <w:rPr>
          <w:spacing w:val="-2"/>
        </w:rPr>
        <w:t>Kolkata</w:t>
      </w:r>
    </w:p>
    <w:p>
      <w:pPr>
        <w:pStyle w:val="ListParagraph"/>
        <w:numPr>
          <w:ilvl w:val="0"/>
          <w:numId w:val="88"/>
        </w:numPr>
        <w:tabs>
          <w:tab w:pos="1439" w:val="left" w:leader="none"/>
        </w:tabs>
        <w:spacing w:line="240" w:lineRule="auto" w:before="89" w:after="0"/>
        <w:ind w:left="1439" w:right="0" w:hanging="359"/>
        <w:jc w:val="left"/>
        <w:rPr>
          <w:sz w:val="22"/>
        </w:rPr>
      </w:pPr>
      <w:r>
        <w:rPr>
          <w:spacing w:val="-2"/>
          <w:sz w:val="22"/>
        </w:rPr>
        <w:t>Dr.</w:t>
      </w:r>
      <w:r>
        <w:rPr>
          <w:spacing w:val="-7"/>
          <w:sz w:val="22"/>
        </w:rPr>
        <w:t> </w:t>
      </w:r>
      <w:r>
        <w:rPr>
          <w:spacing w:val="-2"/>
          <w:sz w:val="22"/>
        </w:rPr>
        <w:t>Sudipta</w:t>
      </w:r>
      <w:r>
        <w:rPr>
          <w:spacing w:val="-6"/>
          <w:sz w:val="22"/>
        </w:rPr>
        <w:t> </w:t>
      </w:r>
      <w:r>
        <w:rPr>
          <w:spacing w:val="-2"/>
          <w:sz w:val="22"/>
        </w:rPr>
        <w:t>Bhattacharyya</w:t>
      </w:r>
    </w:p>
    <w:p>
      <w:pPr>
        <w:pStyle w:val="BodyText"/>
        <w:spacing w:line="266" w:lineRule="auto" w:before="27"/>
        <w:ind w:left="1439"/>
      </w:pPr>
      <w:r>
        <w:rPr>
          <w:spacing w:val="-4"/>
        </w:rPr>
        <w:t>Reader,</w:t>
      </w:r>
      <w:r>
        <w:rPr>
          <w:spacing w:val="-7"/>
        </w:rPr>
        <w:t> </w:t>
      </w:r>
      <w:r>
        <w:rPr>
          <w:spacing w:val="-4"/>
        </w:rPr>
        <w:t>Department</w:t>
      </w:r>
      <w:r>
        <w:rPr>
          <w:spacing w:val="-7"/>
        </w:rPr>
        <w:t> </w:t>
      </w:r>
      <w:r>
        <w:rPr>
          <w:spacing w:val="-4"/>
        </w:rPr>
        <w:t>of</w:t>
      </w:r>
      <w:r>
        <w:rPr>
          <w:spacing w:val="-7"/>
        </w:rPr>
        <w:t> </w:t>
      </w:r>
      <w:r>
        <w:rPr>
          <w:spacing w:val="-4"/>
        </w:rPr>
        <w:t>Economics</w:t>
      </w:r>
      <w:r>
        <w:rPr>
          <w:spacing w:val="-7"/>
        </w:rPr>
        <w:t> </w:t>
      </w:r>
      <w:r>
        <w:rPr>
          <w:spacing w:val="-4"/>
        </w:rPr>
        <w:t>and</w:t>
      </w:r>
      <w:r>
        <w:rPr>
          <w:spacing w:val="-7"/>
        </w:rPr>
        <w:t> </w:t>
      </w:r>
      <w:r>
        <w:rPr>
          <w:spacing w:val="-4"/>
        </w:rPr>
        <w:t>Politics </w:t>
      </w:r>
      <w:r>
        <w:rPr/>
        <w:t>Visva Bharati Univerisity</w:t>
      </w:r>
    </w:p>
    <w:p>
      <w:pPr>
        <w:pStyle w:val="ListParagraph"/>
        <w:numPr>
          <w:ilvl w:val="0"/>
          <w:numId w:val="88"/>
        </w:numPr>
        <w:tabs>
          <w:tab w:pos="1439" w:val="left" w:leader="none"/>
        </w:tabs>
        <w:spacing w:line="266" w:lineRule="auto" w:before="88" w:after="0"/>
        <w:ind w:left="1439" w:right="2316" w:hanging="360"/>
        <w:jc w:val="left"/>
        <w:rPr>
          <w:sz w:val="22"/>
        </w:rPr>
      </w:pPr>
      <w:r>
        <w:rPr>
          <w:sz w:val="22"/>
        </w:rPr>
        <w:t>Dr. Parthapritam Pal </w:t>
      </w:r>
      <w:r>
        <w:rPr>
          <w:spacing w:val="-4"/>
          <w:sz w:val="22"/>
        </w:rPr>
        <w:t>Professor,</w:t>
      </w:r>
      <w:r>
        <w:rPr>
          <w:spacing w:val="-10"/>
          <w:sz w:val="22"/>
        </w:rPr>
        <w:t> </w:t>
      </w:r>
      <w:r>
        <w:rPr>
          <w:spacing w:val="-4"/>
          <w:sz w:val="22"/>
        </w:rPr>
        <w:t>IIM</w:t>
      </w:r>
      <w:r>
        <w:rPr>
          <w:spacing w:val="-10"/>
          <w:sz w:val="22"/>
        </w:rPr>
        <w:t> </w:t>
      </w:r>
      <w:r>
        <w:rPr>
          <w:spacing w:val="-4"/>
          <w:sz w:val="22"/>
        </w:rPr>
        <w:t>Calcutta</w:t>
      </w:r>
    </w:p>
    <w:p>
      <w:pPr>
        <w:pStyle w:val="ListParagraph"/>
        <w:numPr>
          <w:ilvl w:val="0"/>
          <w:numId w:val="88"/>
        </w:numPr>
        <w:tabs>
          <w:tab w:pos="1439" w:val="left" w:leader="none"/>
        </w:tabs>
        <w:spacing w:line="240" w:lineRule="auto" w:before="88" w:after="0"/>
        <w:ind w:left="1439" w:right="0" w:hanging="359"/>
        <w:jc w:val="left"/>
        <w:rPr>
          <w:sz w:val="22"/>
        </w:rPr>
      </w:pPr>
      <w:r>
        <w:rPr>
          <w:sz w:val="22"/>
        </w:rPr>
        <w:t>Dr.</w:t>
      </w:r>
      <w:r>
        <w:rPr>
          <w:spacing w:val="-11"/>
          <w:sz w:val="22"/>
        </w:rPr>
        <w:t> </w:t>
      </w:r>
      <w:r>
        <w:rPr>
          <w:sz w:val="22"/>
        </w:rPr>
        <w:t>Niladri</w:t>
      </w:r>
      <w:r>
        <w:rPr>
          <w:spacing w:val="-11"/>
          <w:sz w:val="22"/>
        </w:rPr>
        <w:t> </w:t>
      </w:r>
      <w:r>
        <w:rPr>
          <w:spacing w:val="-4"/>
          <w:sz w:val="22"/>
        </w:rPr>
        <w:t>Saha</w:t>
      </w:r>
    </w:p>
    <w:p>
      <w:pPr>
        <w:pStyle w:val="BodyText"/>
        <w:spacing w:line="266" w:lineRule="auto" w:before="27"/>
        <w:ind w:left="1439" w:right="120"/>
      </w:pPr>
      <w:r>
        <w:rPr>
          <w:spacing w:val="-6"/>
        </w:rPr>
        <w:t>Senior Lecturer, Barisat College, 24 </w:t>
      </w:r>
      <w:r>
        <w:rPr>
          <w:spacing w:val="-6"/>
        </w:rPr>
        <w:t>Parganas </w:t>
      </w:r>
      <w:r>
        <w:rPr/>
        <w:t>West Bengal</w:t>
      </w:r>
    </w:p>
    <w:p>
      <w:pPr>
        <w:pStyle w:val="ListParagraph"/>
        <w:numPr>
          <w:ilvl w:val="0"/>
          <w:numId w:val="88"/>
        </w:numPr>
        <w:tabs>
          <w:tab w:pos="1439" w:val="left" w:leader="none"/>
        </w:tabs>
        <w:spacing w:line="240" w:lineRule="auto" w:before="89" w:after="0"/>
        <w:ind w:left="1439" w:right="0" w:hanging="359"/>
        <w:jc w:val="left"/>
        <w:rPr>
          <w:sz w:val="22"/>
        </w:rPr>
      </w:pPr>
      <w:r>
        <w:rPr>
          <w:sz w:val="22"/>
        </w:rPr>
        <w:t>Dr.</w:t>
      </w:r>
      <w:r>
        <w:rPr>
          <w:spacing w:val="-13"/>
          <w:sz w:val="22"/>
        </w:rPr>
        <w:t> </w:t>
      </w:r>
      <w:r>
        <w:rPr>
          <w:sz w:val="22"/>
        </w:rPr>
        <w:t>Samir</w:t>
      </w:r>
      <w:r>
        <w:rPr>
          <w:spacing w:val="-12"/>
          <w:sz w:val="22"/>
        </w:rPr>
        <w:t> </w:t>
      </w:r>
      <w:r>
        <w:rPr>
          <w:sz w:val="22"/>
        </w:rPr>
        <w:t>Guha</w:t>
      </w:r>
      <w:r>
        <w:rPr>
          <w:spacing w:val="-13"/>
          <w:sz w:val="22"/>
        </w:rPr>
        <w:t> </w:t>
      </w:r>
      <w:r>
        <w:rPr>
          <w:spacing w:val="-5"/>
          <w:sz w:val="22"/>
        </w:rPr>
        <w:t>Roy</w:t>
      </w:r>
    </w:p>
    <w:p>
      <w:pPr>
        <w:pStyle w:val="BodyText"/>
        <w:spacing w:before="27"/>
        <w:ind w:left="1439"/>
      </w:pPr>
      <w:r>
        <w:rPr>
          <w:spacing w:val="-6"/>
        </w:rPr>
        <w:t>(Ex)</w:t>
      </w:r>
      <w:r>
        <w:rPr>
          <w:spacing w:val="-1"/>
        </w:rPr>
        <w:t> </w:t>
      </w:r>
      <w:r>
        <w:rPr>
          <w:spacing w:val="-6"/>
        </w:rPr>
        <w:t>Professor,</w:t>
      </w:r>
      <w:r>
        <w:rPr/>
        <w:t> </w:t>
      </w:r>
      <w:r>
        <w:rPr>
          <w:spacing w:val="-6"/>
        </w:rPr>
        <w:t>Indian</w:t>
      </w:r>
      <w:r>
        <w:rPr>
          <w:spacing w:val="-1"/>
        </w:rPr>
        <w:t> </w:t>
      </w:r>
      <w:r>
        <w:rPr>
          <w:spacing w:val="-6"/>
        </w:rPr>
        <w:t>Statistical</w:t>
      </w:r>
      <w:r>
        <w:rPr/>
        <w:t> </w:t>
      </w:r>
      <w:r>
        <w:rPr>
          <w:spacing w:val="-6"/>
        </w:rPr>
        <w:t>Institute</w:t>
      </w:r>
    </w:p>
    <w:p>
      <w:pPr>
        <w:pStyle w:val="ListParagraph"/>
        <w:numPr>
          <w:ilvl w:val="0"/>
          <w:numId w:val="88"/>
        </w:numPr>
        <w:tabs>
          <w:tab w:pos="1439" w:val="left" w:leader="none"/>
        </w:tabs>
        <w:spacing w:line="240" w:lineRule="auto" w:before="117" w:after="0"/>
        <w:ind w:left="1439" w:right="0" w:hanging="359"/>
        <w:jc w:val="left"/>
        <w:rPr>
          <w:sz w:val="22"/>
        </w:rPr>
      </w:pPr>
      <w:r>
        <w:rPr>
          <w:spacing w:val="-6"/>
          <w:sz w:val="22"/>
        </w:rPr>
        <w:t>Mr.</w:t>
      </w:r>
      <w:r>
        <w:rPr>
          <w:spacing w:val="-2"/>
          <w:sz w:val="22"/>
        </w:rPr>
        <w:t> </w:t>
      </w:r>
      <w:r>
        <w:rPr>
          <w:spacing w:val="-6"/>
          <w:sz w:val="22"/>
        </w:rPr>
        <w:t>Suresh</w:t>
      </w:r>
      <w:r>
        <w:rPr>
          <w:spacing w:val="-2"/>
          <w:sz w:val="22"/>
        </w:rPr>
        <w:t> </w:t>
      </w:r>
      <w:r>
        <w:rPr>
          <w:spacing w:val="-6"/>
          <w:sz w:val="22"/>
        </w:rPr>
        <w:t>Patnaik</w:t>
      </w:r>
    </w:p>
    <w:p>
      <w:pPr>
        <w:pStyle w:val="BodyText"/>
        <w:spacing w:before="27"/>
        <w:ind w:left="1439"/>
      </w:pPr>
      <w:r>
        <w:rPr>
          <w:spacing w:val="-6"/>
        </w:rPr>
        <w:t>Secretary,</w:t>
      </w:r>
      <w:r>
        <w:rPr>
          <w:spacing w:val="2"/>
        </w:rPr>
        <w:t> </w:t>
      </w:r>
      <w:r>
        <w:rPr>
          <w:spacing w:val="-6"/>
        </w:rPr>
        <w:t>School</w:t>
      </w:r>
      <w:r>
        <w:rPr>
          <w:spacing w:val="3"/>
        </w:rPr>
        <w:t> </w:t>
      </w:r>
      <w:r>
        <w:rPr>
          <w:spacing w:val="-6"/>
        </w:rPr>
        <w:t>Education,</w:t>
      </w:r>
      <w:r>
        <w:rPr>
          <w:spacing w:val="2"/>
        </w:rPr>
        <w:t> </w:t>
      </w:r>
      <w:r>
        <w:rPr>
          <w:spacing w:val="-6"/>
        </w:rPr>
        <w:t>Orissa</w:t>
      </w:r>
    </w:p>
    <w:p>
      <w:pPr>
        <w:pStyle w:val="ListParagraph"/>
        <w:numPr>
          <w:ilvl w:val="0"/>
          <w:numId w:val="88"/>
        </w:numPr>
        <w:tabs>
          <w:tab w:pos="1439" w:val="left" w:leader="none"/>
        </w:tabs>
        <w:spacing w:line="240" w:lineRule="auto" w:before="117" w:after="0"/>
        <w:ind w:left="1439" w:right="0" w:hanging="359"/>
        <w:jc w:val="left"/>
        <w:rPr>
          <w:sz w:val="22"/>
        </w:rPr>
      </w:pPr>
      <w:r>
        <w:rPr>
          <w:sz w:val="22"/>
        </w:rPr>
        <w:t>Mr.</w:t>
      </w:r>
      <w:r>
        <w:rPr>
          <w:spacing w:val="3"/>
          <w:sz w:val="22"/>
        </w:rPr>
        <w:t> </w:t>
      </w:r>
      <w:r>
        <w:rPr>
          <w:sz w:val="22"/>
        </w:rPr>
        <w:t>D.C</w:t>
      </w:r>
      <w:r>
        <w:rPr>
          <w:spacing w:val="3"/>
          <w:sz w:val="22"/>
        </w:rPr>
        <w:t> </w:t>
      </w:r>
      <w:r>
        <w:rPr>
          <w:spacing w:val="-2"/>
          <w:sz w:val="22"/>
        </w:rPr>
        <w:t>Mishra</w:t>
      </w:r>
    </w:p>
    <w:p>
      <w:pPr>
        <w:pStyle w:val="BodyText"/>
        <w:spacing w:before="27"/>
        <w:ind w:left="1439"/>
      </w:pPr>
      <w:r>
        <w:rPr>
          <w:spacing w:val="-4"/>
        </w:rPr>
        <w:t>Director,</w:t>
      </w:r>
      <w:r>
        <w:rPr>
          <w:spacing w:val="-1"/>
        </w:rPr>
        <w:t> </w:t>
      </w:r>
      <w:r>
        <w:rPr>
          <w:spacing w:val="-4"/>
        </w:rPr>
        <w:t>Secondary</w:t>
      </w:r>
      <w:r>
        <w:rPr/>
        <w:t> </w:t>
      </w:r>
      <w:r>
        <w:rPr>
          <w:spacing w:val="-4"/>
        </w:rPr>
        <w:t>Education,</w:t>
      </w:r>
      <w:r>
        <w:rPr>
          <w:spacing w:val="-1"/>
        </w:rPr>
        <w:t> </w:t>
      </w:r>
      <w:r>
        <w:rPr>
          <w:spacing w:val="-4"/>
        </w:rPr>
        <w:t>Orissa</w:t>
      </w:r>
    </w:p>
    <w:p>
      <w:pPr>
        <w:pStyle w:val="ListParagraph"/>
        <w:numPr>
          <w:ilvl w:val="0"/>
          <w:numId w:val="88"/>
        </w:numPr>
        <w:tabs>
          <w:tab w:pos="1439" w:val="left" w:leader="none"/>
        </w:tabs>
        <w:spacing w:line="240" w:lineRule="auto" w:before="117" w:after="0"/>
        <w:ind w:left="1439" w:right="0" w:hanging="359"/>
        <w:jc w:val="left"/>
        <w:rPr>
          <w:sz w:val="22"/>
        </w:rPr>
      </w:pPr>
      <w:r>
        <w:rPr>
          <w:spacing w:val="-6"/>
          <w:sz w:val="22"/>
        </w:rPr>
        <w:t>Mr.</w:t>
      </w:r>
      <w:r>
        <w:rPr>
          <w:spacing w:val="-8"/>
          <w:sz w:val="22"/>
        </w:rPr>
        <w:t> </w:t>
      </w:r>
      <w:r>
        <w:rPr>
          <w:spacing w:val="-6"/>
          <w:sz w:val="22"/>
        </w:rPr>
        <w:t>Sebak</w:t>
      </w:r>
      <w:r>
        <w:rPr>
          <w:spacing w:val="-10"/>
          <w:sz w:val="22"/>
        </w:rPr>
        <w:t> </w:t>
      </w:r>
      <w:r>
        <w:rPr>
          <w:spacing w:val="-6"/>
          <w:sz w:val="22"/>
        </w:rPr>
        <w:t>Tripathy</w:t>
      </w:r>
    </w:p>
    <w:p>
      <w:pPr>
        <w:pStyle w:val="BodyText"/>
        <w:spacing w:line="266" w:lineRule="auto" w:before="27"/>
        <w:ind w:left="1439"/>
      </w:pPr>
      <w:r>
        <w:rPr>
          <w:spacing w:val="-2"/>
        </w:rPr>
        <w:t>Director,</w:t>
      </w:r>
      <w:r>
        <w:rPr>
          <w:spacing w:val="-12"/>
        </w:rPr>
        <w:t> </w:t>
      </w:r>
      <w:r>
        <w:rPr>
          <w:spacing w:val="-2"/>
        </w:rPr>
        <w:t>State</w:t>
      </w:r>
      <w:r>
        <w:rPr>
          <w:spacing w:val="-12"/>
        </w:rPr>
        <w:t> </w:t>
      </w:r>
      <w:r>
        <w:rPr>
          <w:spacing w:val="-2"/>
        </w:rPr>
        <w:t>Institute</w:t>
      </w:r>
      <w:r>
        <w:rPr>
          <w:spacing w:val="-12"/>
        </w:rPr>
        <w:t> </w:t>
      </w:r>
      <w:r>
        <w:rPr>
          <w:spacing w:val="-2"/>
        </w:rPr>
        <w:t>of</w:t>
      </w:r>
      <w:r>
        <w:rPr>
          <w:spacing w:val="-11"/>
        </w:rPr>
        <w:t> </w:t>
      </w:r>
      <w:r>
        <w:rPr>
          <w:spacing w:val="-2"/>
        </w:rPr>
        <w:t>Education</w:t>
      </w:r>
      <w:r>
        <w:rPr>
          <w:spacing w:val="-12"/>
        </w:rPr>
        <w:t> </w:t>
      </w:r>
      <w:r>
        <w:rPr>
          <w:spacing w:val="-2"/>
        </w:rPr>
        <w:t>and</w:t>
      </w:r>
      <w:r>
        <w:rPr>
          <w:spacing w:val="-12"/>
        </w:rPr>
        <w:t> </w:t>
      </w:r>
      <w:r>
        <w:rPr>
          <w:spacing w:val="-2"/>
        </w:rPr>
        <w:t>Training </w:t>
      </w:r>
      <w:r>
        <w:rPr/>
        <w:t>and SCERT, Orissa</w:t>
      </w:r>
    </w:p>
    <w:p>
      <w:pPr>
        <w:pStyle w:val="ListParagraph"/>
        <w:numPr>
          <w:ilvl w:val="0"/>
          <w:numId w:val="88"/>
        </w:numPr>
        <w:tabs>
          <w:tab w:pos="1439" w:val="left" w:leader="none"/>
        </w:tabs>
        <w:spacing w:line="240" w:lineRule="auto" w:before="88" w:after="0"/>
        <w:ind w:left="1439" w:right="0" w:hanging="359"/>
        <w:jc w:val="left"/>
        <w:rPr>
          <w:sz w:val="22"/>
        </w:rPr>
      </w:pPr>
      <w:r>
        <w:rPr>
          <w:spacing w:val="-8"/>
          <w:sz w:val="22"/>
        </w:rPr>
        <w:t>Dr.</w:t>
      </w:r>
      <w:r>
        <w:rPr>
          <w:spacing w:val="-2"/>
          <w:sz w:val="22"/>
        </w:rPr>
        <w:t> </w:t>
      </w:r>
      <w:r>
        <w:rPr>
          <w:spacing w:val="-8"/>
          <w:sz w:val="22"/>
        </w:rPr>
        <w:t>P.K.</w:t>
      </w:r>
      <w:r>
        <w:rPr>
          <w:spacing w:val="-1"/>
          <w:sz w:val="22"/>
        </w:rPr>
        <w:t> </w:t>
      </w:r>
      <w:r>
        <w:rPr>
          <w:spacing w:val="-8"/>
          <w:sz w:val="22"/>
        </w:rPr>
        <w:t>Acharya</w:t>
      </w:r>
    </w:p>
    <w:p>
      <w:pPr>
        <w:pStyle w:val="BodyText"/>
        <w:spacing w:line="266" w:lineRule="auto" w:before="27"/>
        <w:ind w:left="1439"/>
      </w:pPr>
      <w:r>
        <w:rPr>
          <w:spacing w:val="-4"/>
        </w:rPr>
        <w:t>Reader,</w:t>
      </w:r>
      <w:r>
        <w:rPr>
          <w:spacing w:val="-10"/>
        </w:rPr>
        <w:t> </w:t>
      </w:r>
      <w:r>
        <w:rPr>
          <w:spacing w:val="-4"/>
        </w:rPr>
        <w:t>Department</w:t>
      </w:r>
      <w:r>
        <w:rPr>
          <w:spacing w:val="-10"/>
        </w:rPr>
        <w:t> </w:t>
      </w:r>
      <w:r>
        <w:rPr>
          <w:spacing w:val="-4"/>
        </w:rPr>
        <w:t>of</w:t>
      </w:r>
      <w:r>
        <w:rPr>
          <w:spacing w:val="-9"/>
        </w:rPr>
        <w:t> </w:t>
      </w:r>
      <w:r>
        <w:rPr>
          <w:spacing w:val="-4"/>
        </w:rPr>
        <w:t>Social</w:t>
      </w:r>
      <w:r>
        <w:rPr>
          <w:spacing w:val="-10"/>
        </w:rPr>
        <w:t> </w:t>
      </w:r>
      <w:r>
        <w:rPr>
          <w:spacing w:val="-4"/>
        </w:rPr>
        <w:t>Anthropology,</w:t>
      </w:r>
      <w:r>
        <w:rPr>
          <w:spacing w:val="-10"/>
        </w:rPr>
        <w:t> </w:t>
      </w:r>
      <w:r>
        <w:rPr>
          <w:spacing w:val="-4"/>
        </w:rPr>
        <w:t>NKC </w:t>
      </w:r>
      <w:r>
        <w:rPr/>
        <w:t>Centre for Development Studies, Bhubaneswar</w:t>
      </w:r>
    </w:p>
    <w:p>
      <w:pPr>
        <w:pStyle w:val="ListParagraph"/>
        <w:numPr>
          <w:ilvl w:val="0"/>
          <w:numId w:val="88"/>
        </w:numPr>
        <w:tabs>
          <w:tab w:pos="1439" w:val="left" w:leader="none"/>
        </w:tabs>
        <w:spacing w:line="240" w:lineRule="auto" w:before="89" w:after="0"/>
        <w:ind w:left="1439" w:right="0" w:hanging="359"/>
        <w:jc w:val="left"/>
        <w:rPr>
          <w:sz w:val="22"/>
        </w:rPr>
      </w:pPr>
      <w:r>
        <w:rPr>
          <w:sz w:val="22"/>
        </w:rPr>
        <w:t>Mr.</w:t>
      </w:r>
      <w:r>
        <w:rPr>
          <w:spacing w:val="-6"/>
          <w:sz w:val="22"/>
        </w:rPr>
        <w:t> </w:t>
      </w:r>
      <w:r>
        <w:rPr>
          <w:sz w:val="22"/>
        </w:rPr>
        <w:t>D.K</w:t>
      </w:r>
      <w:r>
        <w:rPr>
          <w:spacing w:val="-6"/>
          <w:sz w:val="22"/>
        </w:rPr>
        <w:t> </w:t>
      </w:r>
      <w:r>
        <w:rPr>
          <w:spacing w:val="-2"/>
          <w:sz w:val="22"/>
        </w:rPr>
        <w:t>Singh</w:t>
      </w:r>
    </w:p>
    <w:p>
      <w:pPr>
        <w:pStyle w:val="BodyText"/>
        <w:spacing w:line="266" w:lineRule="auto" w:before="27"/>
        <w:ind w:left="1439"/>
      </w:pPr>
      <w:r>
        <w:rPr>
          <w:spacing w:val="-6"/>
        </w:rPr>
        <w:t>State Project Director, Sarva Shiksha Abhiyan </w:t>
      </w:r>
      <w:r>
        <w:rPr>
          <w:spacing w:val="-2"/>
        </w:rPr>
        <w:t>Orissa</w:t>
      </w:r>
    </w:p>
    <w:p>
      <w:pPr>
        <w:pStyle w:val="ListParagraph"/>
        <w:numPr>
          <w:ilvl w:val="0"/>
          <w:numId w:val="88"/>
        </w:numPr>
        <w:tabs>
          <w:tab w:pos="1439" w:val="left" w:leader="none"/>
        </w:tabs>
        <w:spacing w:line="240" w:lineRule="auto" w:before="88" w:after="0"/>
        <w:ind w:left="1439" w:right="0" w:hanging="359"/>
        <w:jc w:val="left"/>
        <w:rPr>
          <w:sz w:val="22"/>
        </w:rPr>
      </w:pPr>
      <w:r>
        <w:rPr>
          <w:sz w:val="22"/>
        </w:rPr>
        <w:t>Dr.</w:t>
      </w:r>
      <w:r>
        <w:rPr>
          <w:spacing w:val="-8"/>
          <w:sz w:val="22"/>
        </w:rPr>
        <w:t> </w:t>
      </w:r>
      <w:r>
        <w:rPr>
          <w:sz w:val="22"/>
        </w:rPr>
        <w:t>M.K.</w:t>
      </w:r>
      <w:r>
        <w:rPr>
          <w:spacing w:val="-7"/>
          <w:sz w:val="22"/>
        </w:rPr>
        <w:t> </w:t>
      </w:r>
      <w:r>
        <w:rPr>
          <w:spacing w:val="-2"/>
          <w:sz w:val="22"/>
        </w:rPr>
        <w:t>Pathy</w:t>
      </w:r>
    </w:p>
    <w:p>
      <w:pPr>
        <w:pStyle w:val="BodyText"/>
        <w:spacing w:line="266" w:lineRule="auto" w:before="27"/>
        <w:ind w:left="1439"/>
      </w:pPr>
      <w:r>
        <w:rPr>
          <w:spacing w:val="-4"/>
        </w:rPr>
        <w:t>Principal,</w:t>
      </w:r>
      <w:r>
        <w:rPr>
          <w:spacing w:val="-8"/>
        </w:rPr>
        <w:t> </w:t>
      </w:r>
      <w:r>
        <w:rPr>
          <w:spacing w:val="-4"/>
        </w:rPr>
        <w:t>P.</w:t>
      </w:r>
      <w:r>
        <w:rPr>
          <w:spacing w:val="-8"/>
        </w:rPr>
        <w:t> </w:t>
      </w:r>
      <w:r>
        <w:rPr>
          <w:spacing w:val="-4"/>
        </w:rPr>
        <w:t>M.</w:t>
      </w:r>
      <w:r>
        <w:rPr>
          <w:spacing w:val="-8"/>
        </w:rPr>
        <w:t> </w:t>
      </w:r>
      <w:r>
        <w:rPr>
          <w:spacing w:val="-4"/>
        </w:rPr>
        <w:t>Institute</w:t>
      </w:r>
      <w:r>
        <w:rPr>
          <w:spacing w:val="-8"/>
        </w:rPr>
        <w:t> </w:t>
      </w:r>
      <w:r>
        <w:rPr>
          <w:spacing w:val="-4"/>
        </w:rPr>
        <w:t>of</w:t>
      </w:r>
      <w:r>
        <w:rPr>
          <w:spacing w:val="-8"/>
        </w:rPr>
        <w:t> </w:t>
      </w:r>
      <w:r>
        <w:rPr>
          <w:spacing w:val="-4"/>
        </w:rPr>
        <w:t>Advanced</w:t>
      </w:r>
      <w:r>
        <w:rPr>
          <w:spacing w:val="-8"/>
        </w:rPr>
        <w:t> </w:t>
      </w:r>
      <w:r>
        <w:rPr>
          <w:spacing w:val="-4"/>
        </w:rPr>
        <w:t>Studies</w:t>
      </w:r>
      <w:r>
        <w:rPr>
          <w:spacing w:val="-8"/>
        </w:rPr>
        <w:t> </w:t>
      </w:r>
      <w:r>
        <w:rPr>
          <w:spacing w:val="-4"/>
        </w:rPr>
        <w:t>in </w:t>
      </w:r>
      <w:r>
        <w:rPr/>
        <w:t>Education, Sambalpur, Orissa</w:t>
      </w:r>
    </w:p>
    <w:p>
      <w:pPr>
        <w:pStyle w:val="ListParagraph"/>
        <w:numPr>
          <w:ilvl w:val="0"/>
          <w:numId w:val="88"/>
        </w:numPr>
        <w:tabs>
          <w:tab w:pos="1439" w:val="left" w:leader="none"/>
        </w:tabs>
        <w:spacing w:line="240" w:lineRule="auto" w:before="89" w:after="0"/>
        <w:ind w:left="1439" w:right="0" w:hanging="359"/>
        <w:jc w:val="left"/>
        <w:rPr>
          <w:sz w:val="22"/>
        </w:rPr>
      </w:pPr>
      <w:r>
        <w:rPr>
          <w:sz w:val="22"/>
        </w:rPr>
        <w:t>Dr.</w:t>
      </w:r>
      <w:r>
        <w:rPr>
          <w:spacing w:val="2"/>
          <w:sz w:val="22"/>
        </w:rPr>
        <w:t> </w:t>
      </w:r>
      <w:r>
        <w:rPr>
          <w:sz w:val="22"/>
        </w:rPr>
        <w:t>U.C</w:t>
      </w:r>
      <w:r>
        <w:rPr>
          <w:spacing w:val="3"/>
          <w:sz w:val="22"/>
        </w:rPr>
        <w:t> </w:t>
      </w:r>
      <w:r>
        <w:rPr>
          <w:spacing w:val="-2"/>
          <w:sz w:val="22"/>
        </w:rPr>
        <w:t>Khadanga</w:t>
      </w:r>
    </w:p>
    <w:p>
      <w:pPr>
        <w:pStyle w:val="BodyText"/>
        <w:spacing w:line="266" w:lineRule="auto" w:before="27"/>
        <w:ind w:left="1439" w:right="853"/>
      </w:pPr>
      <w:r>
        <w:rPr>
          <w:spacing w:val="-4"/>
        </w:rPr>
        <w:t>Dr.</w:t>
      </w:r>
      <w:r>
        <w:rPr>
          <w:spacing w:val="-10"/>
        </w:rPr>
        <w:t> </w:t>
      </w:r>
      <w:r>
        <w:rPr>
          <w:spacing w:val="-4"/>
        </w:rPr>
        <w:t>P.M</w:t>
      </w:r>
      <w:r>
        <w:rPr>
          <w:spacing w:val="-9"/>
        </w:rPr>
        <w:t> </w:t>
      </w:r>
      <w:r>
        <w:rPr>
          <w:spacing w:val="-4"/>
        </w:rPr>
        <w:t>Institute</w:t>
      </w:r>
      <w:r>
        <w:rPr>
          <w:spacing w:val="-10"/>
        </w:rPr>
        <w:t> </w:t>
      </w:r>
      <w:r>
        <w:rPr>
          <w:spacing w:val="-4"/>
        </w:rPr>
        <w:t>of</w:t>
      </w:r>
      <w:r>
        <w:rPr>
          <w:spacing w:val="-9"/>
        </w:rPr>
        <w:t> </w:t>
      </w:r>
      <w:r>
        <w:rPr>
          <w:spacing w:val="-4"/>
        </w:rPr>
        <w:t>Advanced</w:t>
      </w:r>
      <w:r>
        <w:rPr>
          <w:spacing w:val="-10"/>
        </w:rPr>
        <w:t> </w:t>
      </w:r>
      <w:r>
        <w:rPr>
          <w:spacing w:val="-4"/>
        </w:rPr>
        <w:t>Studies</w:t>
      </w:r>
      <w:r>
        <w:rPr>
          <w:spacing w:val="-9"/>
        </w:rPr>
        <w:t> </w:t>
      </w:r>
      <w:r>
        <w:rPr>
          <w:spacing w:val="-4"/>
        </w:rPr>
        <w:t>in </w:t>
      </w:r>
      <w:r>
        <w:rPr/>
        <w:t>Education, Sambalpur, Orissa</w:t>
      </w:r>
    </w:p>
    <w:p>
      <w:pPr>
        <w:pStyle w:val="ListParagraph"/>
        <w:numPr>
          <w:ilvl w:val="0"/>
          <w:numId w:val="88"/>
        </w:numPr>
        <w:tabs>
          <w:tab w:pos="1439" w:val="left" w:leader="none"/>
        </w:tabs>
        <w:spacing w:line="240" w:lineRule="auto" w:before="88" w:after="0"/>
        <w:ind w:left="1439" w:right="0" w:hanging="359"/>
        <w:jc w:val="left"/>
        <w:rPr>
          <w:sz w:val="22"/>
        </w:rPr>
      </w:pPr>
      <w:r>
        <w:rPr>
          <w:spacing w:val="-4"/>
          <w:sz w:val="22"/>
        </w:rPr>
        <w:t>Mr.</w:t>
      </w:r>
      <w:r>
        <w:rPr>
          <w:spacing w:val="-8"/>
          <w:sz w:val="22"/>
        </w:rPr>
        <w:t> </w:t>
      </w:r>
      <w:r>
        <w:rPr>
          <w:spacing w:val="-4"/>
          <w:sz w:val="22"/>
        </w:rPr>
        <w:t>Anil</w:t>
      </w:r>
      <w:r>
        <w:rPr>
          <w:spacing w:val="-7"/>
          <w:sz w:val="22"/>
        </w:rPr>
        <w:t> </w:t>
      </w:r>
      <w:r>
        <w:rPr>
          <w:spacing w:val="-4"/>
          <w:sz w:val="22"/>
        </w:rPr>
        <w:t>Pradhan,</w:t>
      </w:r>
    </w:p>
    <w:p>
      <w:pPr>
        <w:pStyle w:val="BodyText"/>
        <w:spacing w:before="27"/>
        <w:ind w:left="1439"/>
      </w:pPr>
      <w:r>
        <w:rPr>
          <w:spacing w:val="-6"/>
        </w:rPr>
        <w:t>Member-Secretary,</w:t>
      </w:r>
      <w:r>
        <w:rPr>
          <w:spacing w:val="3"/>
        </w:rPr>
        <w:t> </w:t>
      </w:r>
      <w:r>
        <w:rPr>
          <w:spacing w:val="-6"/>
        </w:rPr>
        <w:t>Sikshasandhan,</w:t>
      </w:r>
      <w:r>
        <w:rPr>
          <w:spacing w:val="4"/>
        </w:rPr>
        <w:t> </w:t>
      </w:r>
      <w:r>
        <w:rPr>
          <w:spacing w:val="-6"/>
        </w:rPr>
        <w:t>Bhubaneswar</w:t>
      </w:r>
    </w:p>
    <w:p>
      <w:pPr>
        <w:pStyle w:val="ListParagraph"/>
        <w:numPr>
          <w:ilvl w:val="0"/>
          <w:numId w:val="88"/>
        </w:numPr>
        <w:tabs>
          <w:tab w:pos="1439" w:val="left" w:leader="none"/>
        </w:tabs>
        <w:spacing w:line="240" w:lineRule="auto" w:before="117" w:after="0"/>
        <w:ind w:left="1439" w:right="0" w:hanging="359"/>
        <w:jc w:val="left"/>
        <w:rPr>
          <w:sz w:val="22"/>
        </w:rPr>
      </w:pPr>
      <w:r>
        <w:rPr>
          <w:sz w:val="22"/>
        </w:rPr>
        <w:t>Dr.</w:t>
      </w:r>
      <w:r>
        <w:rPr>
          <w:spacing w:val="-3"/>
          <w:sz w:val="22"/>
        </w:rPr>
        <w:t> </w:t>
      </w:r>
      <w:r>
        <w:rPr>
          <w:sz w:val="22"/>
        </w:rPr>
        <w:t>Uddhab</w:t>
      </w:r>
      <w:r>
        <w:rPr>
          <w:spacing w:val="-2"/>
          <w:sz w:val="22"/>
        </w:rPr>
        <w:t> </w:t>
      </w:r>
      <w:r>
        <w:rPr>
          <w:sz w:val="22"/>
        </w:rPr>
        <w:t>C.</w:t>
      </w:r>
      <w:r>
        <w:rPr>
          <w:spacing w:val="-2"/>
          <w:sz w:val="22"/>
        </w:rPr>
        <w:t> Nayak</w:t>
      </w:r>
    </w:p>
    <w:p>
      <w:pPr>
        <w:pStyle w:val="BodyText"/>
        <w:spacing w:before="27"/>
        <w:ind w:left="1439"/>
      </w:pPr>
      <w:r>
        <w:rPr>
          <w:spacing w:val="-6"/>
        </w:rPr>
        <w:t>Agragamee,</w:t>
      </w:r>
      <w:r>
        <w:rPr>
          <w:spacing w:val="-2"/>
        </w:rPr>
        <w:t> </w:t>
      </w:r>
      <w:r>
        <w:rPr>
          <w:spacing w:val="-6"/>
        </w:rPr>
        <w:t>District</w:t>
      </w:r>
      <w:r>
        <w:rPr>
          <w:spacing w:val="-1"/>
        </w:rPr>
        <w:t> </w:t>
      </w:r>
      <w:r>
        <w:rPr>
          <w:spacing w:val="-6"/>
        </w:rPr>
        <w:t>Rayagada,</w:t>
      </w:r>
      <w:r>
        <w:rPr>
          <w:spacing w:val="-1"/>
        </w:rPr>
        <w:t> </w:t>
      </w:r>
      <w:r>
        <w:rPr>
          <w:spacing w:val="-6"/>
        </w:rPr>
        <w:t>Bhubaneswar</w:t>
      </w:r>
    </w:p>
    <w:p>
      <w:pPr>
        <w:pStyle w:val="ListParagraph"/>
        <w:numPr>
          <w:ilvl w:val="0"/>
          <w:numId w:val="88"/>
        </w:numPr>
        <w:tabs>
          <w:tab w:pos="705" w:val="left" w:leader="none"/>
        </w:tabs>
        <w:spacing w:line="240" w:lineRule="auto" w:before="57" w:after="0"/>
        <w:ind w:left="705" w:right="0" w:hanging="359"/>
        <w:jc w:val="left"/>
        <w:rPr>
          <w:sz w:val="22"/>
        </w:rPr>
      </w:pPr>
      <w:r>
        <w:rPr/>
        <w:br w:type="column"/>
      </w:r>
      <w:r>
        <w:rPr>
          <w:spacing w:val="-8"/>
          <w:sz w:val="22"/>
        </w:rPr>
        <w:t>Mr.</w:t>
      </w:r>
      <w:r>
        <w:rPr>
          <w:sz w:val="22"/>
        </w:rPr>
        <w:t> </w:t>
      </w:r>
      <w:r>
        <w:rPr>
          <w:spacing w:val="-8"/>
          <w:sz w:val="22"/>
        </w:rPr>
        <w:t>Akhileswar</w:t>
      </w:r>
      <w:r>
        <w:rPr>
          <w:spacing w:val="1"/>
          <w:sz w:val="22"/>
        </w:rPr>
        <w:t> </w:t>
      </w:r>
      <w:r>
        <w:rPr>
          <w:spacing w:val="-8"/>
          <w:sz w:val="22"/>
        </w:rPr>
        <w:t>Mishra</w:t>
      </w:r>
    </w:p>
    <w:p>
      <w:pPr>
        <w:pStyle w:val="BodyText"/>
        <w:spacing w:before="27"/>
        <w:ind w:left="706"/>
      </w:pPr>
      <w:r>
        <w:rPr>
          <w:spacing w:val="-2"/>
        </w:rPr>
        <w:t>Headmaster,</w:t>
      </w:r>
      <w:r>
        <w:rPr>
          <w:spacing w:val="-10"/>
        </w:rPr>
        <w:t> </w:t>
      </w:r>
      <w:r>
        <w:rPr>
          <w:spacing w:val="-2"/>
        </w:rPr>
        <w:t>D.M.</w:t>
      </w:r>
      <w:r>
        <w:rPr>
          <w:spacing w:val="-9"/>
        </w:rPr>
        <w:t> </w:t>
      </w:r>
      <w:r>
        <w:rPr>
          <w:spacing w:val="-2"/>
        </w:rPr>
        <w:t>School,</w:t>
      </w:r>
      <w:r>
        <w:rPr>
          <w:spacing w:val="-9"/>
        </w:rPr>
        <w:t> </w:t>
      </w:r>
      <w:r>
        <w:rPr>
          <w:spacing w:val="-2"/>
        </w:rPr>
        <w:t>Bhubaneswar</w:t>
      </w:r>
    </w:p>
    <w:p>
      <w:pPr>
        <w:pStyle w:val="ListParagraph"/>
        <w:numPr>
          <w:ilvl w:val="0"/>
          <w:numId w:val="88"/>
        </w:numPr>
        <w:tabs>
          <w:tab w:pos="705" w:val="left" w:leader="none"/>
        </w:tabs>
        <w:spacing w:line="240" w:lineRule="auto" w:before="117" w:after="0"/>
        <w:ind w:left="705" w:right="0" w:hanging="359"/>
        <w:jc w:val="left"/>
        <w:rPr>
          <w:sz w:val="22"/>
        </w:rPr>
      </w:pPr>
      <w:r>
        <w:rPr>
          <w:sz w:val="22"/>
        </w:rPr>
        <w:t>Dr.</w:t>
      </w:r>
      <w:r>
        <w:rPr>
          <w:spacing w:val="-8"/>
          <w:sz w:val="22"/>
        </w:rPr>
        <w:t> </w:t>
      </w:r>
      <w:r>
        <w:rPr>
          <w:sz w:val="22"/>
        </w:rPr>
        <w:t>Madan</w:t>
      </w:r>
      <w:r>
        <w:rPr>
          <w:spacing w:val="-8"/>
          <w:sz w:val="22"/>
        </w:rPr>
        <w:t> </w:t>
      </w:r>
      <w:r>
        <w:rPr>
          <w:sz w:val="22"/>
        </w:rPr>
        <w:t>Mohan</w:t>
      </w:r>
      <w:r>
        <w:rPr>
          <w:spacing w:val="-7"/>
          <w:sz w:val="22"/>
        </w:rPr>
        <w:t> </w:t>
      </w:r>
      <w:r>
        <w:rPr>
          <w:spacing w:val="-5"/>
          <w:sz w:val="22"/>
        </w:rPr>
        <w:t>Jha</w:t>
      </w:r>
    </w:p>
    <w:p>
      <w:pPr>
        <w:pStyle w:val="BodyText"/>
        <w:spacing w:before="27"/>
        <w:ind w:left="706"/>
      </w:pPr>
      <w:r>
        <w:rPr>
          <w:spacing w:val="-4"/>
        </w:rPr>
        <w:t>Principal</w:t>
      </w:r>
      <w:r>
        <w:rPr>
          <w:spacing w:val="-8"/>
        </w:rPr>
        <w:t> </w:t>
      </w:r>
      <w:r>
        <w:rPr>
          <w:spacing w:val="-4"/>
        </w:rPr>
        <w:t>Secretary,</w:t>
      </w:r>
      <w:r>
        <w:rPr>
          <w:spacing w:val="-7"/>
        </w:rPr>
        <w:t> </w:t>
      </w:r>
      <w:r>
        <w:rPr>
          <w:spacing w:val="-4"/>
        </w:rPr>
        <w:t>Education,</w:t>
      </w:r>
      <w:r>
        <w:rPr>
          <w:spacing w:val="-8"/>
        </w:rPr>
        <w:t> </w:t>
      </w:r>
      <w:r>
        <w:rPr>
          <w:spacing w:val="-4"/>
        </w:rPr>
        <w:t>Govt.</w:t>
      </w:r>
      <w:r>
        <w:rPr>
          <w:spacing w:val="-7"/>
        </w:rPr>
        <w:t> </w:t>
      </w:r>
      <w:r>
        <w:rPr>
          <w:spacing w:val="-4"/>
        </w:rPr>
        <w:t>of</w:t>
      </w:r>
      <w:r>
        <w:rPr>
          <w:spacing w:val="-8"/>
        </w:rPr>
        <w:t> </w:t>
      </w:r>
      <w:r>
        <w:rPr>
          <w:spacing w:val="-4"/>
        </w:rPr>
        <w:t>Bihar</w:t>
      </w:r>
    </w:p>
    <w:p>
      <w:pPr>
        <w:pStyle w:val="ListParagraph"/>
        <w:numPr>
          <w:ilvl w:val="0"/>
          <w:numId w:val="88"/>
        </w:numPr>
        <w:tabs>
          <w:tab w:pos="705" w:val="left" w:leader="none"/>
        </w:tabs>
        <w:spacing w:line="240" w:lineRule="auto" w:before="117" w:after="0"/>
        <w:ind w:left="705" w:right="0" w:hanging="359"/>
        <w:jc w:val="left"/>
        <w:rPr>
          <w:sz w:val="22"/>
        </w:rPr>
      </w:pPr>
      <w:r>
        <w:rPr>
          <w:spacing w:val="-4"/>
          <w:sz w:val="22"/>
        </w:rPr>
        <w:t>Dr. A.R.</w:t>
      </w:r>
      <w:r>
        <w:rPr>
          <w:spacing w:val="-7"/>
          <w:sz w:val="22"/>
        </w:rPr>
        <w:t> </w:t>
      </w:r>
      <w:r>
        <w:rPr>
          <w:spacing w:val="-4"/>
          <w:sz w:val="22"/>
        </w:rPr>
        <w:t>Vasavi</w:t>
      </w:r>
    </w:p>
    <w:p>
      <w:pPr>
        <w:pStyle w:val="BodyText"/>
        <w:spacing w:before="27"/>
        <w:ind w:left="706"/>
      </w:pPr>
      <w:r>
        <w:rPr>
          <w:spacing w:val="-4"/>
        </w:rPr>
        <w:t>Professor,</w:t>
      </w:r>
      <w:r>
        <w:rPr>
          <w:spacing w:val="-9"/>
        </w:rPr>
        <w:t> </w:t>
      </w:r>
      <w:r>
        <w:rPr>
          <w:spacing w:val="-4"/>
        </w:rPr>
        <w:t>National</w:t>
      </w:r>
      <w:r>
        <w:rPr>
          <w:spacing w:val="-8"/>
        </w:rPr>
        <w:t> </w:t>
      </w:r>
      <w:r>
        <w:rPr>
          <w:spacing w:val="-4"/>
        </w:rPr>
        <w:t>Institute</w:t>
      </w:r>
      <w:r>
        <w:rPr>
          <w:spacing w:val="-8"/>
        </w:rPr>
        <w:t> </w:t>
      </w:r>
      <w:r>
        <w:rPr>
          <w:spacing w:val="-4"/>
        </w:rPr>
        <w:t>of</w:t>
      </w:r>
      <w:r>
        <w:rPr>
          <w:spacing w:val="-9"/>
        </w:rPr>
        <w:t> </w:t>
      </w:r>
      <w:r>
        <w:rPr>
          <w:spacing w:val="-4"/>
        </w:rPr>
        <w:t>Advanced</w:t>
      </w:r>
      <w:r>
        <w:rPr>
          <w:spacing w:val="-8"/>
        </w:rPr>
        <w:t> </w:t>
      </w:r>
      <w:r>
        <w:rPr>
          <w:spacing w:val="-4"/>
        </w:rPr>
        <w:t>Studies</w:t>
      </w:r>
    </w:p>
    <w:p>
      <w:pPr>
        <w:pStyle w:val="ListParagraph"/>
        <w:numPr>
          <w:ilvl w:val="0"/>
          <w:numId w:val="88"/>
        </w:numPr>
        <w:tabs>
          <w:tab w:pos="705" w:val="left" w:leader="none"/>
        </w:tabs>
        <w:spacing w:line="240" w:lineRule="auto" w:before="118" w:after="0"/>
        <w:ind w:left="705" w:right="0" w:hanging="359"/>
        <w:jc w:val="left"/>
        <w:rPr>
          <w:sz w:val="22"/>
        </w:rPr>
      </w:pPr>
      <w:r>
        <w:rPr>
          <w:spacing w:val="-4"/>
          <w:sz w:val="22"/>
        </w:rPr>
        <w:t>Mr.</w:t>
      </w:r>
      <w:r>
        <w:rPr>
          <w:spacing w:val="-9"/>
          <w:sz w:val="22"/>
        </w:rPr>
        <w:t> </w:t>
      </w:r>
      <w:r>
        <w:rPr>
          <w:spacing w:val="-4"/>
          <w:sz w:val="22"/>
        </w:rPr>
        <w:t>A.K.</w:t>
      </w:r>
      <w:r>
        <w:rPr>
          <w:spacing w:val="-9"/>
          <w:sz w:val="22"/>
        </w:rPr>
        <w:t> </w:t>
      </w:r>
      <w:r>
        <w:rPr>
          <w:spacing w:val="-4"/>
          <w:sz w:val="22"/>
        </w:rPr>
        <w:t>Behara</w:t>
      </w:r>
    </w:p>
    <w:p>
      <w:pPr>
        <w:pStyle w:val="BodyText"/>
        <w:spacing w:before="27"/>
        <w:ind w:left="706"/>
      </w:pPr>
      <w:r>
        <w:rPr>
          <w:spacing w:val="-2"/>
        </w:rPr>
        <w:t>Joint</w:t>
      </w:r>
      <w:r>
        <w:rPr>
          <w:spacing w:val="-9"/>
        </w:rPr>
        <w:t> </w:t>
      </w:r>
      <w:r>
        <w:rPr>
          <w:spacing w:val="-2"/>
        </w:rPr>
        <w:t>Director,</w:t>
      </w:r>
      <w:r>
        <w:rPr>
          <w:spacing w:val="-8"/>
        </w:rPr>
        <w:t> </w:t>
      </w:r>
      <w:r>
        <w:rPr>
          <w:spacing w:val="-4"/>
        </w:rPr>
        <w:t>OPEPA</w:t>
      </w:r>
    </w:p>
    <w:p>
      <w:pPr>
        <w:pStyle w:val="ListParagraph"/>
        <w:numPr>
          <w:ilvl w:val="0"/>
          <w:numId w:val="88"/>
        </w:numPr>
        <w:tabs>
          <w:tab w:pos="705" w:val="left" w:leader="none"/>
        </w:tabs>
        <w:spacing w:line="240" w:lineRule="auto" w:before="117" w:after="0"/>
        <w:ind w:left="705" w:right="0" w:hanging="359"/>
        <w:jc w:val="left"/>
        <w:rPr>
          <w:sz w:val="22"/>
        </w:rPr>
      </w:pPr>
      <w:r>
        <w:rPr>
          <w:sz w:val="22"/>
        </w:rPr>
        <w:t>Dr.</w:t>
      </w:r>
      <w:r>
        <w:rPr>
          <w:spacing w:val="1"/>
          <w:sz w:val="22"/>
        </w:rPr>
        <w:t> </w:t>
      </w:r>
      <w:r>
        <w:rPr>
          <w:sz w:val="22"/>
        </w:rPr>
        <w:t>G.C.</w:t>
      </w:r>
      <w:r>
        <w:rPr>
          <w:spacing w:val="2"/>
          <w:sz w:val="22"/>
        </w:rPr>
        <w:t> </w:t>
      </w:r>
      <w:r>
        <w:rPr>
          <w:spacing w:val="-2"/>
          <w:sz w:val="22"/>
        </w:rPr>
        <w:t>Nanda</w:t>
      </w:r>
    </w:p>
    <w:p>
      <w:pPr>
        <w:pStyle w:val="BodyText"/>
        <w:spacing w:line="266" w:lineRule="auto" w:before="27"/>
        <w:ind w:left="706" w:right="1069"/>
      </w:pPr>
      <w:r>
        <w:rPr>
          <w:spacing w:val="-4"/>
        </w:rPr>
        <w:t>Additional</w:t>
      </w:r>
      <w:r>
        <w:rPr>
          <w:spacing w:val="-12"/>
        </w:rPr>
        <w:t> </w:t>
      </w:r>
      <w:r>
        <w:rPr>
          <w:spacing w:val="-4"/>
        </w:rPr>
        <w:t>Directory</w:t>
      </w:r>
      <w:r>
        <w:rPr>
          <w:spacing w:val="-10"/>
        </w:rPr>
        <w:t> </w:t>
      </w:r>
      <w:r>
        <w:rPr>
          <w:spacing w:val="-4"/>
        </w:rPr>
        <w:t>(Pedagogy),</w:t>
      </w:r>
      <w:r>
        <w:rPr>
          <w:spacing w:val="-10"/>
        </w:rPr>
        <w:t> </w:t>
      </w:r>
      <w:r>
        <w:rPr>
          <w:spacing w:val="-4"/>
        </w:rPr>
        <w:t>Orissa</w:t>
      </w:r>
      <w:r>
        <w:rPr>
          <w:spacing w:val="-9"/>
        </w:rPr>
        <w:t> </w:t>
      </w:r>
      <w:r>
        <w:rPr>
          <w:spacing w:val="-4"/>
        </w:rPr>
        <w:t>Primary </w:t>
      </w:r>
      <w:r>
        <w:rPr/>
        <w:t>Education Program Authority (OPEPA)</w:t>
      </w:r>
    </w:p>
    <w:p>
      <w:pPr>
        <w:pStyle w:val="ListParagraph"/>
        <w:numPr>
          <w:ilvl w:val="0"/>
          <w:numId w:val="88"/>
        </w:numPr>
        <w:tabs>
          <w:tab w:pos="705" w:val="left" w:leader="none"/>
        </w:tabs>
        <w:spacing w:line="240" w:lineRule="auto" w:before="88" w:after="0"/>
        <w:ind w:left="705" w:right="0" w:hanging="359"/>
        <w:jc w:val="left"/>
        <w:rPr>
          <w:sz w:val="22"/>
        </w:rPr>
      </w:pPr>
      <w:r>
        <w:rPr>
          <w:sz w:val="22"/>
        </w:rPr>
        <w:t>Dr.</w:t>
      </w:r>
      <w:r>
        <w:rPr>
          <w:spacing w:val="-8"/>
          <w:sz w:val="22"/>
        </w:rPr>
        <w:t> </w:t>
      </w:r>
      <w:r>
        <w:rPr>
          <w:sz w:val="22"/>
        </w:rPr>
        <w:t>M.K.</w:t>
      </w:r>
      <w:r>
        <w:rPr>
          <w:spacing w:val="-7"/>
          <w:sz w:val="22"/>
        </w:rPr>
        <w:t> </w:t>
      </w:r>
      <w:r>
        <w:rPr>
          <w:spacing w:val="-2"/>
          <w:sz w:val="22"/>
        </w:rPr>
        <w:t>Mishra</w:t>
      </w:r>
    </w:p>
    <w:p>
      <w:pPr>
        <w:pStyle w:val="BodyText"/>
        <w:spacing w:before="27"/>
        <w:ind w:left="706"/>
      </w:pPr>
      <w:r>
        <w:rPr>
          <w:spacing w:val="-4"/>
        </w:rPr>
        <w:t>State</w:t>
      </w:r>
      <w:r>
        <w:rPr>
          <w:spacing w:val="-10"/>
        </w:rPr>
        <w:t> </w:t>
      </w:r>
      <w:r>
        <w:rPr>
          <w:spacing w:val="-4"/>
        </w:rPr>
        <w:t>Tribal Coordinator,</w:t>
      </w:r>
      <w:r>
        <w:rPr>
          <w:spacing w:val="-3"/>
        </w:rPr>
        <w:t> </w:t>
      </w:r>
      <w:r>
        <w:rPr>
          <w:spacing w:val="-4"/>
        </w:rPr>
        <w:t>OPEPA</w:t>
      </w:r>
    </w:p>
    <w:p>
      <w:pPr>
        <w:pStyle w:val="ListParagraph"/>
        <w:numPr>
          <w:ilvl w:val="0"/>
          <w:numId w:val="88"/>
        </w:numPr>
        <w:tabs>
          <w:tab w:pos="705" w:val="left" w:leader="none"/>
        </w:tabs>
        <w:spacing w:line="240" w:lineRule="auto" w:before="117" w:after="0"/>
        <w:ind w:left="705" w:right="0" w:hanging="359"/>
        <w:jc w:val="left"/>
        <w:rPr>
          <w:sz w:val="22"/>
        </w:rPr>
      </w:pPr>
      <w:r>
        <w:rPr>
          <w:sz w:val="22"/>
        </w:rPr>
        <w:t>Mr.</w:t>
      </w:r>
      <w:r>
        <w:rPr>
          <w:spacing w:val="-2"/>
          <w:sz w:val="22"/>
        </w:rPr>
        <w:t> </w:t>
      </w:r>
      <w:r>
        <w:rPr>
          <w:sz w:val="22"/>
        </w:rPr>
        <w:t>G.C.</w:t>
      </w:r>
      <w:r>
        <w:rPr>
          <w:spacing w:val="-1"/>
          <w:sz w:val="22"/>
        </w:rPr>
        <w:t> </w:t>
      </w:r>
      <w:r>
        <w:rPr>
          <w:spacing w:val="-2"/>
          <w:sz w:val="22"/>
        </w:rPr>
        <w:t>Mishra</w:t>
      </w:r>
    </w:p>
    <w:p>
      <w:pPr>
        <w:pStyle w:val="BodyText"/>
        <w:spacing w:before="27"/>
        <w:ind w:left="706"/>
      </w:pPr>
      <w:r>
        <w:rPr>
          <w:spacing w:val="-4"/>
        </w:rPr>
        <w:t>DI</w:t>
      </w:r>
      <w:r>
        <w:rPr>
          <w:spacing w:val="-3"/>
        </w:rPr>
        <w:t> </w:t>
      </w:r>
      <w:r>
        <w:rPr>
          <w:spacing w:val="-4"/>
        </w:rPr>
        <w:t>of</w:t>
      </w:r>
      <w:r>
        <w:rPr>
          <w:spacing w:val="-2"/>
        </w:rPr>
        <w:t> </w:t>
      </w:r>
      <w:r>
        <w:rPr>
          <w:spacing w:val="-4"/>
        </w:rPr>
        <w:t>schools,</w:t>
      </w:r>
      <w:r>
        <w:rPr>
          <w:spacing w:val="-2"/>
        </w:rPr>
        <w:t> </w:t>
      </w:r>
      <w:r>
        <w:rPr>
          <w:spacing w:val="-4"/>
        </w:rPr>
        <w:t>Jeypore,</w:t>
      </w:r>
      <w:r>
        <w:rPr>
          <w:spacing w:val="-3"/>
        </w:rPr>
        <w:t> </w:t>
      </w:r>
      <w:r>
        <w:rPr>
          <w:spacing w:val="-4"/>
        </w:rPr>
        <w:t>Koratput,</w:t>
      </w:r>
      <w:r>
        <w:rPr>
          <w:spacing w:val="-2"/>
        </w:rPr>
        <w:t> </w:t>
      </w:r>
      <w:r>
        <w:rPr>
          <w:spacing w:val="-4"/>
        </w:rPr>
        <w:t>Orissa</w:t>
      </w:r>
    </w:p>
    <w:p>
      <w:pPr>
        <w:pStyle w:val="ListParagraph"/>
        <w:numPr>
          <w:ilvl w:val="0"/>
          <w:numId w:val="88"/>
        </w:numPr>
        <w:tabs>
          <w:tab w:pos="706" w:val="left" w:leader="none"/>
        </w:tabs>
        <w:spacing w:line="266" w:lineRule="auto" w:before="117" w:after="0"/>
        <w:ind w:left="706" w:right="1974" w:hanging="360"/>
        <w:jc w:val="left"/>
        <w:rPr>
          <w:sz w:val="22"/>
        </w:rPr>
      </w:pPr>
      <w:r>
        <w:rPr>
          <w:spacing w:val="-4"/>
          <w:sz w:val="22"/>
        </w:rPr>
        <w:t>Mr.</w:t>
      </w:r>
      <w:r>
        <w:rPr>
          <w:spacing w:val="-7"/>
          <w:sz w:val="22"/>
        </w:rPr>
        <w:t> </w:t>
      </w:r>
      <w:r>
        <w:rPr>
          <w:spacing w:val="-4"/>
          <w:sz w:val="22"/>
        </w:rPr>
        <w:t>B.K.</w:t>
      </w:r>
      <w:r>
        <w:rPr>
          <w:spacing w:val="-7"/>
          <w:sz w:val="22"/>
        </w:rPr>
        <w:t> </w:t>
      </w:r>
      <w:r>
        <w:rPr>
          <w:spacing w:val="-4"/>
          <w:sz w:val="22"/>
        </w:rPr>
        <w:t>Ghosh</w:t>
      </w:r>
      <w:r>
        <w:rPr>
          <w:spacing w:val="-7"/>
          <w:sz w:val="22"/>
        </w:rPr>
        <w:t> </w:t>
      </w:r>
      <w:r>
        <w:rPr>
          <w:spacing w:val="-4"/>
          <w:sz w:val="22"/>
        </w:rPr>
        <w:t>DI</w:t>
      </w:r>
      <w:r>
        <w:rPr>
          <w:spacing w:val="-7"/>
          <w:sz w:val="22"/>
        </w:rPr>
        <w:t> </w:t>
      </w:r>
      <w:r>
        <w:rPr>
          <w:spacing w:val="-4"/>
          <w:sz w:val="22"/>
        </w:rPr>
        <w:t>of</w:t>
      </w:r>
      <w:r>
        <w:rPr>
          <w:spacing w:val="-7"/>
          <w:sz w:val="22"/>
        </w:rPr>
        <w:t> </w:t>
      </w:r>
      <w:r>
        <w:rPr>
          <w:spacing w:val="-4"/>
          <w:sz w:val="22"/>
        </w:rPr>
        <w:t>schools,</w:t>
      </w:r>
      <w:r>
        <w:rPr>
          <w:spacing w:val="-7"/>
          <w:sz w:val="22"/>
        </w:rPr>
        <w:t> </w:t>
      </w:r>
      <w:r>
        <w:rPr>
          <w:spacing w:val="-4"/>
          <w:sz w:val="22"/>
        </w:rPr>
        <w:t>Birapada </w:t>
      </w:r>
      <w:r>
        <w:rPr>
          <w:sz w:val="22"/>
        </w:rPr>
        <w:t>Mayurbhanj, Orissa</w:t>
      </w:r>
    </w:p>
    <w:p>
      <w:pPr>
        <w:pStyle w:val="ListParagraph"/>
        <w:numPr>
          <w:ilvl w:val="0"/>
          <w:numId w:val="88"/>
        </w:numPr>
        <w:tabs>
          <w:tab w:pos="705" w:val="left" w:leader="none"/>
        </w:tabs>
        <w:spacing w:line="240" w:lineRule="auto" w:before="88" w:after="0"/>
        <w:ind w:left="705" w:right="0" w:hanging="359"/>
        <w:jc w:val="left"/>
        <w:rPr>
          <w:sz w:val="22"/>
        </w:rPr>
      </w:pPr>
      <w:r>
        <w:rPr>
          <w:spacing w:val="-4"/>
          <w:sz w:val="22"/>
        </w:rPr>
        <w:t>Dr. Adikanda Mahanta</w:t>
      </w:r>
    </w:p>
    <w:p>
      <w:pPr>
        <w:pStyle w:val="BodyText"/>
        <w:spacing w:before="27"/>
        <w:ind w:left="706"/>
      </w:pPr>
      <w:r>
        <w:rPr>
          <w:spacing w:val="-4"/>
        </w:rPr>
        <w:t>SI</w:t>
      </w:r>
      <w:r>
        <w:rPr>
          <w:spacing w:val="-3"/>
        </w:rPr>
        <w:t> </w:t>
      </w:r>
      <w:r>
        <w:rPr>
          <w:spacing w:val="-4"/>
        </w:rPr>
        <w:t>of</w:t>
      </w:r>
      <w:r>
        <w:rPr>
          <w:spacing w:val="-2"/>
        </w:rPr>
        <w:t> </w:t>
      </w:r>
      <w:r>
        <w:rPr>
          <w:spacing w:val="-4"/>
        </w:rPr>
        <w:t>schools,</w:t>
      </w:r>
      <w:r>
        <w:rPr>
          <w:spacing w:val="-2"/>
        </w:rPr>
        <w:t> </w:t>
      </w:r>
      <w:r>
        <w:rPr>
          <w:spacing w:val="-4"/>
        </w:rPr>
        <w:t>Chitrada,</w:t>
      </w:r>
      <w:r>
        <w:rPr>
          <w:spacing w:val="-2"/>
        </w:rPr>
        <w:t> </w:t>
      </w:r>
      <w:r>
        <w:rPr>
          <w:spacing w:val="-4"/>
        </w:rPr>
        <w:t>Baripada,</w:t>
      </w:r>
      <w:r>
        <w:rPr>
          <w:spacing w:val="-2"/>
        </w:rPr>
        <w:t> </w:t>
      </w:r>
      <w:r>
        <w:rPr>
          <w:spacing w:val="-4"/>
        </w:rPr>
        <w:t>Orissa</w:t>
      </w:r>
    </w:p>
    <w:p>
      <w:pPr>
        <w:pStyle w:val="ListParagraph"/>
        <w:numPr>
          <w:ilvl w:val="0"/>
          <w:numId w:val="88"/>
        </w:numPr>
        <w:tabs>
          <w:tab w:pos="705" w:val="left" w:leader="none"/>
        </w:tabs>
        <w:spacing w:line="240" w:lineRule="auto" w:before="117" w:after="0"/>
        <w:ind w:left="705" w:right="0" w:hanging="359"/>
        <w:jc w:val="left"/>
        <w:rPr>
          <w:sz w:val="22"/>
        </w:rPr>
      </w:pPr>
      <w:r>
        <w:rPr>
          <w:spacing w:val="-2"/>
          <w:sz w:val="22"/>
        </w:rPr>
        <w:t>Dr.</w:t>
      </w:r>
      <w:r>
        <w:rPr>
          <w:spacing w:val="-7"/>
          <w:sz w:val="22"/>
        </w:rPr>
        <w:t> </w:t>
      </w:r>
      <w:r>
        <w:rPr>
          <w:spacing w:val="-2"/>
          <w:sz w:val="22"/>
        </w:rPr>
        <w:t>Minakshi</w:t>
      </w:r>
      <w:r>
        <w:rPr>
          <w:spacing w:val="-7"/>
          <w:sz w:val="22"/>
        </w:rPr>
        <w:t> </w:t>
      </w:r>
      <w:r>
        <w:rPr>
          <w:spacing w:val="-2"/>
          <w:sz w:val="22"/>
        </w:rPr>
        <w:t>Panda</w:t>
      </w:r>
    </w:p>
    <w:p>
      <w:pPr>
        <w:pStyle w:val="BodyText"/>
        <w:spacing w:before="28"/>
        <w:ind w:left="706"/>
      </w:pPr>
      <w:r>
        <w:rPr>
          <w:spacing w:val="-4"/>
        </w:rPr>
        <w:t>Teacher</w:t>
      </w:r>
      <w:r>
        <w:rPr>
          <w:spacing w:val="-3"/>
        </w:rPr>
        <w:t> </w:t>
      </w:r>
      <w:r>
        <w:rPr>
          <w:spacing w:val="-4"/>
        </w:rPr>
        <w:t>Educator,</w:t>
      </w:r>
      <w:r>
        <w:rPr>
          <w:spacing w:val="-3"/>
        </w:rPr>
        <w:t> </w:t>
      </w:r>
      <w:r>
        <w:rPr>
          <w:spacing w:val="-4"/>
        </w:rPr>
        <w:t>DIET,</w:t>
      </w:r>
      <w:r>
        <w:rPr>
          <w:spacing w:val="-2"/>
        </w:rPr>
        <w:t> </w:t>
      </w:r>
      <w:r>
        <w:rPr>
          <w:spacing w:val="-4"/>
        </w:rPr>
        <w:t>Khurda,</w:t>
      </w:r>
      <w:r>
        <w:rPr>
          <w:spacing w:val="-3"/>
        </w:rPr>
        <w:t> </w:t>
      </w:r>
      <w:r>
        <w:rPr>
          <w:spacing w:val="-4"/>
        </w:rPr>
        <w:t>Orissa</w:t>
      </w:r>
    </w:p>
    <w:p>
      <w:pPr>
        <w:pStyle w:val="ListParagraph"/>
        <w:numPr>
          <w:ilvl w:val="0"/>
          <w:numId w:val="88"/>
        </w:numPr>
        <w:tabs>
          <w:tab w:pos="705" w:val="left" w:leader="none"/>
        </w:tabs>
        <w:spacing w:line="240" w:lineRule="auto" w:before="117" w:after="0"/>
        <w:ind w:left="705" w:right="0" w:hanging="359"/>
        <w:jc w:val="left"/>
        <w:rPr>
          <w:sz w:val="22"/>
        </w:rPr>
      </w:pPr>
      <w:r>
        <w:rPr>
          <w:spacing w:val="-4"/>
          <w:sz w:val="22"/>
        </w:rPr>
        <w:t>Dr.</w:t>
      </w:r>
      <w:r>
        <w:rPr>
          <w:spacing w:val="-7"/>
          <w:sz w:val="22"/>
        </w:rPr>
        <w:t> </w:t>
      </w:r>
      <w:r>
        <w:rPr>
          <w:spacing w:val="-4"/>
          <w:sz w:val="22"/>
        </w:rPr>
        <w:t>Susandhya</w:t>
      </w:r>
      <w:r>
        <w:rPr>
          <w:spacing w:val="-6"/>
          <w:sz w:val="22"/>
        </w:rPr>
        <w:t> </w:t>
      </w:r>
      <w:r>
        <w:rPr>
          <w:spacing w:val="-5"/>
          <w:sz w:val="22"/>
        </w:rPr>
        <w:t>Mag</w:t>
      </w:r>
    </w:p>
    <w:p>
      <w:pPr>
        <w:pStyle w:val="BodyText"/>
        <w:spacing w:before="27"/>
        <w:ind w:left="706"/>
      </w:pPr>
      <w:r>
        <w:rPr>
          <w:spacing w:val="-4"/>
        </w:rPr>
        <w:t>Teacher</w:t>
      </w:r>
      <w:r>
        <w:rPr>
          <w:spacing w:val="1"/>
        </w:rPr>
        <w:t> </w:t>
      </w:r>
      <w:r>
        <w:rPr>
          <w:spacing w:val="-4"/>
        </w:rPr>
        <w:t>Educator,</w:t>
      </w:r>
      <w:r>
        <w:rPr>
          <w:spacing w:val="2"/>
        </w:rPr>
        <w:t> </w:t>
      </w:r>
      <w:r>
        <w:rPr>
          <w:spacing w:val="-4"/>
        </w:rPr>
        <w:t>DIET,</w:t>
      </w:r>
      <w:r>
        <w:rPr>
          <w:spacing w:val="1"/>
        </w:rPr>
        <w:t> </w:t>
      </w:r>
      <w:r>
        <w:rPr>
          <w:spacing w:val="-4"/>
        </w:rPr>
        <w:t>Dhenkanal,</w:t>
      </w:r>
      <w:r>
        <w:rPr>
          <w:spacing w:val="1"/>
        </w:rPr>
        <w:t> </w:t>
      </w:r>
      <w:r>
        <w:rPr>
          <w:spacing w:val="-4"/>
        </w:rPr>
        <w:t>Orissa</w:t>
      </w:r>
    </w:p>
    <w:p>
      <w:pPr>
        <w:pStyle w:val="ListParagraph"/>
        <w:numPr>
          <w:ilvl w:val="0"/>
          <w:numId w:val="88"/>
        </w:numPr>
        <w:tabs>
          <w:tab w:pos="705" w:val="left" w:leader="none"/>
        </w:tabs>
        <w:spacing w:line="240" w:lineRule="auto" w:before="117" w:after="0"/>
        <w:ind w:left="705" w:right="0" w:hanging="359"/>
        <w:jc w:val="left"/>
        <w:rPr>
          <w:sz w:val="22"/>
        </w:rPr>
      </w:pPr>
      <w:r>
        <w:rPr>
          <w:spacing w:val="-14"/>
          <w:sz w:val="22"/>
        </w:rPr>
        <w:t>Dr.</w:t>
      </w:r>
      <w:r>
        <w:rPr>
          <w:spacing w:val="4"/>
          <w:sz w:val="22"/>
        </w:rPr>
        <w:t> </w:t>
      </w:r>
      <w:r>
        <w:rPr>
          <w:spacing w:val="-14"/>
          <w:sz w:val="22"/>
        </w:rPr>
        <w:t>P.P.</w:t>
      </w:r>
      <w:r>
        <w:rPr>
          <w:spacing w:val="4"/>
          <w:sz w:val="22"/>
        </w:rPr>
        <w:t> </w:t>
      </w:r>
      <w:r>
        <w:rPr>
          <w:spacing w:val="-14"/>
          <w:sz w:val="22"/>
        </w:rPr>
        <w:t>Mahato</w:t>
      </w:r>
    </w:p>
    <w:p>
      <w:pPr>
        <w:pStyle w:val="BodyText"/>
        <w:spacing w:line="266" w:lineRule="auto" w:before="27"/>
        <w:ind w:left="706" w:right="1069"/>
      </w:pPr>
      <w:r>
        <w:rPr>
          <w:spacing w:val="-4"/>
        </w:rPr>
        <w:t>Chairman, Anthropology Research </w:t>
      </w:r>
      <w:r>
        <w:rPr>
          <w:spacing w:val="-4"/>
        </w:rPr>
        <w:t>Committee, </w:t>
      </w:r>
      <w:r>
        <w:rPr>
          <w:spacing w:val="-2"/>
        </w:rPr>
        <w:t>Bhubhaneswar</w:t>
      </w:r>
    </w:p>
    <w:p>
      <w:pPr>
        <w:spacing w:line="266" w:lineRule="auto" w:before="178"/>
        <w:ind w:left="346" w:right="1069" w:firstLine="0"/>
        <w:jc w:val="left"/>
        <w:rPr>
          <w:b/>
          <w:i/>
          <w:sz w:val="22"/>
        </w:rPr>
      </w:pPr>
      <w:r>
        <w:rPr>
          <w:b/>
          <w:i/>
          <w:w w:val="90"/>
          <w:sz w:val="22"/>
        </w:rPr>
        <w:t>North-East Region at Indian Institute of </w:t>
      </w:r>
      <w:r>
        <w:rPr>
          <w:b/>
          <w:i/>
          <w:w w:val="90"/>
          <w:sz w:val="22"/>
        </w:rPr>
        <w:t>Technology, </w:t>
      </w:r>
      <w:r>
        <w:rPr>
          <w:b/>
          <w:i/>
          <w:sz w:val="22"/>
        </w:rPr>
        <w:t>Guwahati 10th and 11th September 2007.</w:t>
      </w:r>
    </w:p>
    <w:p>
      <w:pPr>
        <w:pStyle w:val="ListParagraph"/>
        <w:numPr>
          <w:ilvl w:val="0"/>
          <w:numId w:val="89"/>
        </w:numPr>
        <w:tabs>
          <w:tab w:pos="705" w:val="left" w:leader="none"/>
        </w:tabs>
        <w:spacing w:line="240" w:lineRule="auto" w:before="88" w:after="0"/>
        <w:ind w:left="705" w:right="0" w:hanging="359"/>
        <w:jc w:val="left"/>
        <w:rPr>
          <w:sz w:val="22"/>
        </w:rPr>
      </w:pPr>
      <w:r>
        <w:rPr>
          <w:spacing w:val="-4"/>
          <w:sz w:val="22"/>
        </w:rPr>
        <w:t>Prof.</w:t>
      </w:r>
      <w:r>
        <w:rPr>
          <w:spacing w:val="-9"/>
          <w:sz w:val="22"/>
        </w:rPr>
        <w:t> </w:t>
      </w:r>
      <w:r>
        <w:rPr>
          <w:spacing w:val="-4"/>
          <w:sz w:val="22"/>
        </w:rPr>
        <w:t>J.B.</w:t>
      </w:r>
      <w:r>
        <w:rPr>
          <w:spacing w:val="-8"/>
          <w:sz w:val="22"/>
        </w:rPr>
        <w:t> </w:t>
      </w:r>
      <w:r>
        <w:rPr>
          <w:spacing w:val="-4"/>
          <w:sz w:val="22"/>
        </w:rPr>
        <w:t>Baruah</w:t>
      </w:r>
    </w:p>
    <w:p>
      <w:pPr>
        <w:pStyle w:val="BodyText"/>
        <w:spacing w:line="266" w:lineRule="auto" w:before="27"/>
        <w:ind w:left="706" w:right="1069"/>
      </w:pPr>
      <w:r>
        <w:rPr>
          <w:spacing w:val="-2"/>
        </w:rPr>
        <w:t>Nodal</w:t>
      </w:r>
      <w:r>
        <w:rPr>
          <w:spacing w:val="-9"/>
        </w:rPr>
        <w:t> </w:t>
      </w:r>
      <w:r>
        <w:rPr>
          <w:spacing w:val="-2"/>
        </w:rPr>
        <w:t>Convener,</w:t>
      </w:r>
      <w:r>
        <w:rPr>
          <w:spacing w:val="-9"/>
        </w:rPr>
        <w:t> </w:t>
      </w:r>
      <w:r>
        <w:rPr>
          <w:spacing w:val="-2"/>
        </w:rPr>
        <w:t>Dept.</w:t>
      </w:r>
      <w:r>
        <w:rPr>
          <w:spacing w:val="-9"/>
        </w:rPr>
        <w:t> </w:t>
      </w:r>
      <w:r>
        <w:rPr>
          <w:spacing w:val="-2"/>
        </w:rPr>
        <w:t>of</w:t>
      </w:r>
      <w:r>
        <w:rPr>
          <w:spacing w:val="-9"/>
        </w:rPr>
        <w:t> </w:t>
      </w:r>
      <w:r>
        <w:rPr>
          <w:spacing w:val="-2"/>
        </w:rPr>
        <w:t>Chemistry,</w:t>
      </w:r>
      <w:r>
        <w:rPr>
          <w:spacing w:val="-9"/>
        </w:rPr>
        <w:t> </w:t>
      </w:r>
      <w:r>
        <w:rPr>
          <w:spacing w:val="-2"/>
        </w:rPr>
        <w:t>IIT Guwahati</w:t>
      </w:r>
    </w:p>
    <w:p>
      <w:pPr>
        <w:pStyle w:val="ListParagraph"/>
        <w:numPr>
          <w:ilvl w:val="0"/>
          <w:numId w:val="89"/>
        </w:numPr>
        <w:tabs>
          <w:tab w:pos="705" w:val="left" w:leader="none"/>
        </w:tabs>
        <w:spacing w:line="240" w:lineRule="auto" w:before="89" w:after="0"/>
        <w:ind w:left="705" w:right="0" w:hanging="359"/>
        <w:jc w:val="left"/>
        <w:rPr>
          <w:sz w:val="22"/>
        </w:rPr>
      </w:pPr>
      <w:r>
        <w:rPr>
          <w:spacing w:val="-4"/>
          <w:sz w:val="22"/>
        </w:rPr>
        <w:t>Mr.</w:t>
      </w:r>
      <w:r>
        <w:rPr>
          <w:spacing w:val="-7"/>
          <w:sz w:val="22"/>
        </w:rPr>
        <w:t> </w:t>
      </w:r>
      <w:r>
        <w:rPr>
          <w:spacing w:val="-4"/>
          <w:sz w:val="22"/>
        </w:rPr>
        <w:t>Prateek</w:t>
      </w:r>
      <w:r>
        <w:rPr>
          <w:spacing w:val="-6"/>
          <w:sz w:val="22"/>
        </w:rPr>
        <w:t> </w:t>
      </w:r>
      <w:r>
        <w:rPr>
          <w:spacing w:val="-4"/>
          <w:sz w:val="22"/>
        </w:rPr>
        <w:t>Hajela</w:t>
      </w:r>
    </w:p>
    <w:p>
      <w:pPr>
        <w:pStyle w:val="BodyText"/>
        <w:spacing w:line="266" w:lineRule="auto" w:before="27"/>
        <w:ind w:left="706" w:right="1069"/>
      </w:pPr>
      <w:r>
        <w:rPr>
          <w:spacing w:val="-6"/>
        </w:rPr>
        <w:t>Mission</w:t>
      </w:r>
      <w:r>
        <w:rPr>
          <w:spacing w:val="-8"/>
        </w:rPr>
        <w:t> </w:t>
      </w:r>
      <w:r>
        <w:rPr>
          <w:spacing w:val="-6"/>
        </w:rPr>
        <w:t>Director,</w:t>
      </w:r>
      <w:r>
        <w:rPr>
          <w:spacing w:val="-8"/>
        </w:rPr>
        <w:t> </w:t>
      </w:r>
      <w:r>
        <w:rPr>
          <w:spacing w:val="-6"/>
        </w:rPr>
        <w:t>Sarva</w:t>
      </w:r>
      <w:r>
        <w:rPr>
          <w:spacing w:val="-8"/>
        </w:rPr>
        <w:t> </w:t>
      </w:r>
      <w:r>
        <w:rPr>
          <w:spacing w:val="-6"/>
        </w:rPr>
        <w:t>Shiksha</w:t>
      </w:r>
      <w:r>
        <w:rPr>
          <w:spacing w:val="-7"/>
        </w:rPr>
        <w:t> </w:t>
      </w:r>
      <w:r>
        <w:rPr>
          <w:spacing w:val="-6"/>
        </w:rPr>
        <w:t>Abhiyan</w:t>
      </w:r>
      <w:r>
        <w:rPr>
          <w:spacing w:val="-8"/>
        </w:rPr>
        <w:t> </w:t>
      </w:r>
      <w:r>
        <w:rPr>
          <w:spacing w:val="-6"/>
        </w:rPr>
        <w:t>(SSA) </w:t>
      </w:r>
      <w:r>
        <w:rPr>
          <w:spacing w:val="-2"/>
        </w:rPr>
        <w:t>Assam</w:t>
      </w:r>
    </w:p>
    <w:p>
      <w:pPr>
        <w:pStyle w:val="ListParagraph"/>
        <w:numPr>
          <w:ilvl w:val="0"/>
          <w:numId w:val="89"/>
        </w:numPr>
        <w:tabs>
          <w:tab w:pos="705" w:val="left" w:leader="none"/>
        </w:tabs>
        <w:spacing w:line="240" w:lineRule="auto" w:before="88" w:after="0"/>
        <w:ind w:left="705" w:right="0" w:hanging="359"/>
        <w:jc w:val="left"/>
        <w:rPr>
          <w:sz w:val="22"/>
        </w:rPr>
      </w:pPr>
      <w:r>
        <w:rPr>
          <w:spacing w:val="-4"/>
          <w:sz w:val="22"/>
        </w:rPr>
        <w:t>Mr.</w:t>
      </w:r>
      <w:r>
        <w:rPr>
          <w:spacing w:val="-5"/>
          <w:sz w:val="22"/>
        </w:rPr>
        <w:t> </w:t>
      </w:r>
      <w:r>
        <w:rPr>
          <w:spacing w:val="-4"/>
          <w:sz w:val="22"/>
        </w:rPr>
        <w:t>Abdul</w:t>
      </w:r>
      <w:r>
        <w:rPr>
          <w:spacing w:val="-8"/>
          <w:sz w:val="22"/>
        </w:rPr>
        <w:t> </w:t>
      </w:r>
      <w:r>
        <w:rPr>
          <w:spacing w:val="-4"/>
          <w:sz w:val="22"/>
        </w:rPr>
        <w:t>Wahab</w:t>
      </w:r>
    </w:p>
    <w:p>
      <w:pPr>
        <w:pStyle w:val="BodyText"/>
        <w:spacing w:line="266" w:lineRule="auto" w:before="27"/>
        <w:ind w:left="706" w:right="1119"/>
      </w:pPr>
      <w:r>
        <w:rPr>
          <w:spacing w:val="-4"/>
        </w:rPr>
        <w:t>Lecturer, District Institute of Educational</w:t>
      </w:r>
      <w:r>
        <w:rPr>
          <w:spacing w:val="-9"/>
        </w:rPr>
        <w:t> </w:t>
      </w:r>
      <w:r>
        <w:rPr>
          <w:spacing w:val="-4"/>
        </w:rPr>
        <w:t>Training </w:t>
      </w:r>
      <w:r>
        <w:rPr/>
        <w:t>(DIET), Kamrup</w:t>
      </w:r>
    </w:p>
    <w:p>
      <w:pPr>
        <w:pStyle w:val="ListParagraph"/>
        <w:numPr>
          <w:ilvl w:val="0"/>
          <w:numId w:val="89"/>
        </w:numPr>
        <w:tabs>
          <w:tab w:pos="705" w:val="left" w:leader="none"/>
        </w:tabs>
        <w:spacing w:line="240" w:lineRule="auto" w:before="89" w:after="0"/>
        <w:ind w:left="705" w:right="0" w:hanging="359"/>
        <w:jc w:val="left"/>
        <w:rPr>
          <w:sz w:val="22"/>
        </w:rPr>
      </w:pPr>
      <w:r>
        <w:rPr>
          <w:spacing w:val="-2"/>
          <w:sz w:val="22"/>
        </w:rPr>
        <w:t>Mr.</w:t>
      </w:r>
      <w:r>
        <w:rPr>
          <w:spacing w:val="-10"/>
          <w:sz w:val="22"/>
        </w:rPr>
        <w:t> </w:t>
      </w:r>
      <w:r>
        <w:rPr>
          <w:spacing w:val="-2"/>
          <w:sz w:val="22"/>
        </w:rPr>
        <w:t>Ashok</w:t>
      </w:r>
      <w:r>
        <w:rPr>
          <w:spacing w:val="-10"/>
          <w:sz w:val="22"/>
        </w:rPr>
        <w:t> </w:t>
      </w:r>
      <w:r>
        <w:rPr>
          <w:spacing w:val="-2"/>
          <w:sz w:val="22"/>
        </w:rPr>
        <w:t>Mutum</w:t>
      </w:r>
      <w:r>
        <w:rPr>
          <w:spacing w:val="-10"/>
          <w:sz w:val="22"/>
        </w:rPr>
        <w:t> </w:t>
      </w:r>
      <w:r>
        <w:rPr>
          <w:spacing w:val="-2"/>
          <w:sz w:val="22"/>
        </w:rPr>
        <w:t>PRATHAM,</w:t>
      </w:r>
      <w:r>
        <w:rPr>
          <w:spacing w:val="-9"/>
          <w:sz w:val="22"/>
        </w:rPr>
        <w:t> </w:t>
      </w:r>
      <w:r>
        <w:rPr>
          <w:spacing w:val="-2"/>
          <w:sz w:val="22"/>
        </w:rPr>
        <w:t>Assam</w:t>
      </w:r>
    </w:p>
    <w:p>
      <w:pPr>
        <w:pStyle w:val="ListParagraph"/>
        <w:numPr>
          <w:ilvl w:val="0"/>
          <w:numId w:val="89"/>
        </w:numPr>
        <w:tabs>
          <w:tab w:pos="705" w:val="left" w:leader="none"/>
        </w:tabs>
        <w:spacing w:line="240" w:lineRule="auto" w:before="117" w:after="0"/>
        <w:ind w:left="705" w:right="0" w:hanging="359"/>
        <w:jc w:val="left"/>
        <w:rPr>
          <w:sz w:val="22"/>
        </w:rPr>
      </w:pPr>
      <w:r>
        <w:rPr>
          <w:spacing w:val="-2"/>
          <w:sz w:val="22"/>
        </w:rPr>
        <w:t>Smt.</w:t>
      </w:r>
      <w:r>
        <w:rPr>
          <w:spacing w:val="-10"/>
          <w:sz w:val="22"/>
        </w:rPr>
        <w:t> </w:t>
      </w:r>
      <w:r>
        <w:rPr>
          <w:spacing w:val="-2"/>
          <w:sz w:val="22"/>
        </w:rPr>
        <w:t>Juriti</w:t>
      </w:r>
      <w:r>
        <w:rPr>
          <w:spacing w:val="-9"/>
          <w:sz w:val="22"/>
        </w:rPr>
        <w:t> </w:t>
      </w:r>
      <w:r>
        <w:rPr>
          <w:spacing w:val="-2"/>
          <w:sz w:val="22"/>
        </w:rPr>
        <w:t>Borgohain</w:t>
      </w:r>
    </w:p>
    <w:p>
      <w:pPr>
        <w:pStyle w:val="BodyText"/>
        <w:spacing w:before="27"/>
        <w:ind w:left="706"/>
      </w:pPr>
      <w:r>
        <w:rPr>
          <w:spacing w:val="-6"/>
        </w:rPr>
        <w:t>Banikanta</w:t>
      </w:r>
      <w:r>
        <w:rPr>
          <w:spacing w:val="5"/>
        </w:rPr>
        <w:t> </w:t>
      </w:r>
      <w:r>
        <w:rPr>
          <w:spacing w:val="-6"/>
        </w:rPr>
        <w:t>College</w:t>
      </w:r>
      <w:r>
        <w:rPr>
          <w:spacing w:val="6"/>
        </w:rPr>
        <w:t> </w:t>
      </w:r>
      <w:r>
        <w:rPr>
          <w:spacing w:val="-6"/>
        </w:rPr>
        <w:t>of</w:t>
      </w:r>
      <w:r>
        <w:rPr>
          <w:spacing w:val="-5"/>
        </w:rPr>
        <w:t> </w:t>
      </w:r>
      <w:r>
        <w:rPr>
          <w:spacing w:val="-6"/>
        </w:rPr>
        <w:t>Teacher</w:t>
      </w:r>
      <w:r>
        <w:rPr>
          <w:spacing w:val="6"/>
        </w:rPr>
        <w:t> </w:t>
      </w:r>
      <w:r>
        <w:rPr>
          <w:spacing w:val="-6"/>
        </w:rPr>
        <w:t>Education,</w:t>
      </w:r>
      <w:r>
        <w:rPr>
          <w:spacing w:val="5"/>
        </w:rPr>
        <w:t> </w:t>
      </w:r>
      <w:r>
        <w:rPr>
          <w:spacing w:val="-6"/>
        </w:rPr>
        <w:t>Assam</w:t>
      </w:r>
    </w:p>
    <w:p>
      <w:pPr>
        <w:pStyle w:val="ListParagraph"/>
        <w:numPr>
          <w:ilvl w:val="0"/>
          <w:numId w:val="89"/>
        </w:numPr>
        <w:tabs>
          <w:tab w:pos="705" w:val="left" w:leader="none"/>
        </w:tabs>
        <w:spacing w:line="240" w:lineRule="auto" w:before="117" w:after="0"/>
        <w:ind w:left="705" w:right="0" w:hanging="359"/>
        <w:jc w:val="left"/>
        <w:rPr>
          <w:sz w:val="22"/>
        </w:rPr>
      </w:pPr>
      <w:r>
        <w:rPr>
          <w:spacing w:val="-2"/>
          <w:sz w:val="22"/>
        </w:rPr>
        <w:t>Mr.</w:t>
      </w:r>
      <w:r>
        <w:rPr>
          <w:spacing w:val="-9"/>
          <w:sz w:val="22"/>
        </w:rPr>
        <w:t> </w:t>
      </w:r>
      <w:r>
        <w:rPr>
          <w:spacing w:val="-2"/>
          <w:sz w:val="22"/>
        </w:rPr>
        <w:t>Ramen</w:t>
      </w:r>
      <w:r>
        <w:rPr>
          <w:spacing w:val="-7"/>
          <w:sz w:val="22"/>
        </w:rPr>
        <w:t> </w:t>
      </w:r>
      <w:r>
        <w:rPr>
          <w:spacing w:val="-2"/>
          <w:sz w:val="22"/>
        </w:rPr>
        <w:t>Sharma</w:t>
      </w:r>
    </w:p>
    <w:p>
      <w:pPr>
        <w:pStyle w:val="BodyText"/>
        <w:spacing w:before="27"/>
        <w:ind w:left="706"/>
      </w:pPr>
      <w:r>
        <w:rPr/>
        <w:t>G.U.</w:t>
      </w:r>
      <w:r>
        <w:rPr>
          <w:spacing w:val="-11"/>
        </w:rPr>
        <w:t> </w:t>
      </w:r>
      <w:r>
        <w:rPr/>
        <w:t>Model</w:t>
      </w:r>
      <w:r>
        <w:rPr>
          <w:spacing w:val="-10"/>
        </w:rPr>
        <w:t> </w:t>
      </w:r>
      <w:r>
        <w:rPr/>
        <w:t>H.E.</w:t>
      </w:r>
      <w:r>
        <w:rPr>
          <w:spacing w:val="-10"/>
        </w:rPr>
        <w:t> </w:t>
      </w:r>
      <w:r>
        <w:rPr/>
        <w:t>School,</w:t>
      </w:r>
      <w:r>
        <w:rPr>
          <w:spacing w:val="-10"/>
        </w:rPr>
        <w:t> </w:t>
      </w:r>
      <w:r>
        <w:rPr>
          <w:spacing w:val="-2"/>
        </w:rPr>
        <w:t>Assam</w:t>
      </w:r>
    </w:p>
    <w:p>
      <w:pPr>
        <w:pStyle w:val="ListParagraph"/>
        <w:numPr>
          <w:ilvl w:val="0"/>
          <w:numId w:val="89"/>
        </w:numPr>
        <w:tabs>
          <w:tab w:pos="705" w:val="left" w:leader="none"/>
        </w:tabs>
        <w:spacing w:line="240" w:lineRule="auto" w:before="117" w:after="0"/>
        <w:ind w:left="705" w:right="0" w:hanging="359"/>
        <w:jc w:val="left"/>
        <w:rPr>
          <w:sz w:val="22"/>
        </w:rPr>
      </w:pPr>
      <w:r>
        <w:rPr>
          <w:spacing w:val="-4"/>
          <w:sz w:val="22"/>
        </w:rPr>
        <w:t>Mr. Ajit K. Choudhury SSA,</w:t>
      </w:r>
      <w:r>
        <w:rPr>
          <w:spacing w:val="-3"/>
          <w:sz w:val="22"/>
        </w:rPr>
        <w:t> </w:t>
      </w:r>
      <w:r>
        <w:rPr>
          <w:spacing w:val="-4"/>
          <w:sz w:val="22"/>
        </w:rPr>
        <w:t>Assam</w:t>
      </w:r>
    </w:p>
    <w:p>
      <w:pPr>
        <w:pStyle w:val="ListParagraph"/>
        <w:numPr>
          <w:ilvl w:val="0"/>
          <w:numId w:val="89"/>
        </w:numPr>
        <w:tabs>
          <w:tab w:pos="706" w:val="left" w:leader="none"/>
        </w:tabs>
        <w:spacing w:line="266" w:lineRule="auto" w:before="117" w:after="0"/>
        <w:ind w:left="706" w:right="3653" w:hanging="360"/>
        <w:jc w:val="left"/>
        <w:rPr>
          <w:sz w:val="22"/>
        </w:rPr>
      </w:pPr>
      <w:r>
        <w:rPr>
          <w:spacing w:val="-4"/>
          <w:sz w:val="22"/>
        </w:rPr>
        <w:t>Mr.</w:t>
      </w:r>
      <w:r>
        <w:rPr>
          <w:spacing w:val="-10"/>
          <w:sz w:val="22"/>
        </w:rPr>
        <w:t> </w:t>
      </w:r>
      <w:r>
        <w:rPr>
          <w:spacing w:val="-4"/>
          <w:sz w:val="22"/>
        </w:rPr>
        <w:t>Kandarpa</w:t>
      </w:r>
      <w:r>
        <w:rPr>
          <w:spacing w:val="-10"/>
          <w:sz w:val="22"/>
        </w:rPr>
        <w:t> </w:t>
      </w:r>
      <w:r>
        <w:rPr>
          <w:spacing w:val="-4"/>
          <w:sz w:val="22"/>
        </w:rPr>
        <w:t>Kalita </w:t>
      </w:r>
      <w:r>
        <w:rPr>
          <w:sz w:val="22"/>
        </w:rPr>
        <w:t>SSA, Assam</w:t>
      </w:r>
    </w:p>
    <w:p>
      <w:pPr>
        <w:spacing w:after="0" w:line="266" w:lineRule="auto"/>
        <w:jc w:val="left"/>
        <w:rPr>
          <w:sz w:val="22"/>
        </w:rPr>
        <w:sectPr>
          <w:pgSz w:w="11910" w:h="16840"/>
          <w:pgMar w:header="0" w:footer="675" w:top="960" w:bottom="860" w:left="0" w:right="0"/>
          <w:cols w:num="2" w:equalWidth="0">
            <w:col w:w="5747" w:space="40"/>
            <w:col w:w="6123"/>
          </w:cols>
        </w:sectPr>
      </w:pPr>
    </w:p>
    <w:p>
      <w:pPr>
        <w:pStyle w:val="ListParagraph"/>
        <w:numPr>
          <w:ilvl w:val="0"/>
          <w:numId w:val="89"/>
        </w:numPr>
        <w:tabs>
          <w:tab w:pos="1440" w:val="left" w:leader="none"/>
        </w:tabs>
        <w:spacing w:line="266" w:lineRule="auto" w:before="57" w:after="0"/>
        <w:ind w:left="1440" w:right="2965" w:hanging="360"/>
        <w:jc w:val="left"/>
        <w:rPr>
          <w:sz w:val="22"/>
        </w:rPr>
      </w:pPr>
      <w:r>
        <w:rPr>
          <w:spacing w:val="-6"/>
          <w:sz w:val="22"/>
        </w:rPr>
        <w:t>Ms.</w:t>
      </w:r>
      <w:r>
        <w:rPr>
          <w:spacing w:val="-8"/>
          <w:sz w:val="22"/>
        </w:rPr>
        <w:t> </w:t>
      </w:r>
      <w:r>
        <w:rPr>
          <w:spacing w:val="-6"/>
          <w:sz w:val="22"/>
        </w:rPr>
        <w:t>R.</w:t>
      </w:r>
      <w:r>
        <w:rPr>
          <w:spacing w:val="-8"/>
          <w:sz w:val="22"/>
        </w:rPr>
        <w:t> </w:t>
      </w:r>
      <w:r>
        <w:rPr>
          <w:spacing w:val="-6"/>
          <w:sz w:val="22"/>
        </w:rPr>
        <w:t>Laskar </w:t>
      </w:r>
      <w:r>
        <w:rPr>
          <w:sz w:val="22"/>
        </w:rPr>
        <w:t>SSA, Assam</w:t>
      </w:r>
    </w:p>
    <w:p>
      <w:pPr>
        <w:pStyle w:val="ListParagraph"/>
        <w:numPr>
          <w:ilvl w:val="0"/>
          <w:numId w:val="89"/>
        </w:numPr>
        <w:tabs>
          <w:tab w:pos="1440" w:val="left" w:leader="none"/>
        </w:tabs>
        <w:spacing w:line="266" w:lineRule="auto" w:before="89" w:after="0"/>
        <w:ind w:left="1440" w:right="2551" w:hanging="360"/>
        <w:jc w:val="left"/>
        <w:rPr>
          <w:sz w:val="22"/>
        </w:rPr>
      </w:pPr>
      <w:r>
        <w:rPr>
          <w:spacing w:val="-4"/>
          <w:sz w:val="22"/>
        </w:rPr>
        <w:t>Ms.</w:t>
      </w:r>
      <w:r>
        <w:rPr>
          <w:spacing w:val="-10"/>
          <w:sz w:val="22"/>
        </w:rPr>
        <w:t> </w:t>
      </w:r>
      <w:r>
        <w:rPr>
          <w:spacing w:val="-4"/>
          <w:sz w:val="22"/>
        </w:rPr>
        <w:t>Shahnaz</w:t>
      </w:r>
      <w:r>
        <w:rPr>
          <w:spacing w:val="-10"/>
          <w:sz w:val="22"/>
        </w:rPr>
        <w:t> </w:t>
      </w:r>
      <w:r>
        <w:rPr>
          <w:spacing w:val="-4"/>
          <w:sz w:val="22"/>
        </w:rPr>
        <w:t>Deka </w:t>
      </w:r>
      <w:r>
        <w:rPr>
          <w:sz w:val="22"/>
        </w:rPr>
        <w:t>GBN Academy</w:t>
      </w:r>
    </w:p>
    <w:p>
      <w:pPr>
        <w:pStyle w:val="ListParagraph"/>
        <w:numPr>
          <w:ilvl w:val="0"/>
          <w:numId w:val="89"/>
        </w:numPr>
        <w:tabs>
          <w:tab w:pos="1439" w:val="left" w:leader="none"/>
        </w:tabs>
        <w:spacing w:line="240" w:lineRule="auto" w:before="88" w:after="0"/>
        <w:ind w:left="1439" w:right="0" w:hanging="359"/>
        <w:jc w:val="left"/>
        <w:rPr>
          <w:sz w:val="22"/>
        </w:rPr>
      </w:pPr>
      <w:r>
        <w:rPr>
          <w:spacing w:val="-10"/>
          <w:sz w:val="22"/>
        </w:rPr>
        <w:t>Fr.</w:t>
      </w:r>
      <w:r>
        <w:rPr>
          <w:spacing w:val="-1"/>
          <w:sz w:val="22"/>
        </w:rPr>
        <w:t> </w:t>
      </w:r>
      <w:r>
        <w:rPr>
          <w:spacing w:val="-10"/>
          <w:sz w:val="22"/>
        </w:rPr>
        <w:t>V.M.</w:t>
      </w:r>
      <w:r>
        <w:rPr>
          <w:spacing w:val="-6"/>
          <w:sz w:val="22"/>
        </w:rPr>
        <w:t> </w:t>
      </w:r>
      <w:r>
        <w:rPr>
          <w:spacing w:val="-10"/>
          <w:sz w:val="22"/>
        </w:rPr>
        <w:t>Thomas</w:t>
      </w:r>
    </w:p>
    <w:p>
      <w:pPr>
        <w:pStyle w:val="BodyText"/>
        <w:spacing w:line="266" w:lineRule="auto" w:before="27"/>
        <w:ind w:left="1440" w:right="1070"/>
      </w:pPr>
      <w:r>
        <w:rPr>
          <w:spacing w:val="-2"/>
        </w:rPr>
        <w:t>Don</w:t>
      </w:r>
      <w:r>
        <w:rPr>
          <w:spacing w:val="-12"/>
        </w:rPr>
        <w:t> </w:t>
      </w:r>
      <w:r>
        <w:rPr>
          <w:spacing w:val="-2"/>
        </w:rPr>
        <w:t>Bosco</w:t>
      </w:r>
      <w:r>
        <w:rPr>
          <w:spacing w:val="-12"/>
        </w:rPr>
        <w:t> </w:t>
      </w:r>
      <w:r>
        <w:rPr>
          <w:spacing w:val="-2"/>
        </w:rPr>
        <w:t>Institute</w:t>
      </w:r>
      <w:r>
        <w:rPr>
          <w:spacing w:val="-11"/>
        </w:rPr>
        <w:t> </w:t>
      </w:r>
      <w:r>
        <w:rPr>
          <w:spacing w:val="-2"/>
        </w:rPr>
        <w:t>(DBI) Guwahati</w:t>
      </w:r>
    </w:p>
    <w:p>
      <w:pPr>
        <w:pStyle w:val="ListParagraph"/>
        <w:numPr>
          <w:ilvl w:val="0"/>
          <w:numId w:val="89"/>
        </w:numPr>
        <w:tabs>
          <w:tab w:pos="1440" w:val="left" w:leader="none"/>
        </w:tabs>
        <w:spacing w:line="266" w:lineRule="auto" w:before="89" w:after="0"/>
        <w:ind w:left="1440" w:right="2416" w:hanging="360"/>
        <w:jc w:val="left"/>
        <w:rPr>
          <w:sz w:val="22"/>
        </w:rPr>
      </w:pPr>
      <w:r>
        <w:rPr>
          <w:spacing w:val="-6"/>
          <w:sz w:val="22"/>
        </w:rPr>
        <w:t>Sr.</w:t>
      </w:r>
      <w:r>
        <w:rPr>
          <w:spacing w:val="-8"/>
          <w:sz w:val="22"/>
        </w:rPr>
        <w:t> </w:t>
      </w:r>
      <w:r>
        <w:rPr>
          <w:spacing w:val="-6"/>
          <w:sz w:val="22"/>
        </w:rPr>
        <w:t>Elizabeth</w:t>
      </w:r>
      <w:r>
        <w:rPr>
          <w:spacing w:val="-8"/>
          <w:sz w:val="22"/>
        </w:rPr>
        <w:t> </w:t>
      </w:r>
      <w:r>
        <w:rPr>
          <w:spacing w:val="-6"/>
          <w:sz w:val="22"/>
        </w:rPr>
        <w:t>George </w:t>
      </w:r>
      <w:r>
        <w:rPr>
          <w:sz w:val="22"/>
        </w:rPr>
        <w:t>DBI, Guwahati</w:t>
      </w:r>
    </w:p>
    <w:p>
      <w:pPr>
        <w:pStyle w:val="ListParagraph"/>
        <w:numPr>
          <w:ilvl w:val="0"/>
          <w:numId w:val="89"/>
        </w:numPr>
        <w:tabs>
          <w:tab w:pos="1440" w:val="left" w:leader="none"/>
        </w:tabs>
        <w:spacing w:line="266" w:lineRule="auto" w:before="88" w:after="0"/>
        <w:ind w:left="1440" w:right="2811" w:hanging="360"/>
        <w:jc w:val="left"/>
        <w:rPr>
          <w:sz w:val="22"/>
        </w:rPr>
      </w:pPr>
      <w:r>
        <w:rPr>
          <w:sz w:val="22"/>
        </w:rPr>
        <w:t>Dr. A. Basu </w:t>
      </w:r>
      <w:r>
        <w:rPr>
          <w:spacing w:val="-2"/>
          <w:sz w:val="22"/>
        </w:rPr>
        <w:t>HSS,</w:t>
      </w:r>
      <w:r>
        <w:rPr>
          <w:spacing w:val="-6"/>
          <w:sz w:val="22"/>
        </w:rPr>
        <w:t> </w:t>
      </w:r>
      <w:r>
        <w:rPr>
          <w:spacing w:val="-5"/>
          <w:sz w:val="22"/>
        </w:rPr>
        <w:t>Guwahati</w:t>
      </w:r>
    </w:p>
    <w:p>
      <w:pPr>
        <w:pStyle w:val="ListParagraph"/>
        <w:numPr>
          <w:ilvl w:val="0"/>
          <w:numId w:val="89"/>
        </w:numPr>
        <w:tabs>
          <w:tab w:pos="1439" w:val="left" w:leader="none"/>
        </w:tabs>
        <w:spacing w:line="240" w:lineRule="auto" w:before="88" w:after="0"/>
        <w:ind w:left="1439" w:right="0" w:hanging="359"/>
        <w:jc w:val="left"/>
        <w:rPr>
          <w:sz w:val="22"/>
        </w:rPr>
      </w:pPr>
      <w:r>
        <w:rPr>
          <w:sz w:val="22"/>
        </w:rPr>
        <w:t>Mr.</w:t>
      </w:r>
      <w:r>
        <w:rPr>
          <w:spacing w:val="-3"/>
          <w:sz w:val="22"/>
        </w:rPr>
        <w:t> </w:t>
      </w:r>
      <w:r>
        <w:rPr>
          <w:sz w:val="22"/>
        </w:rPr>
        <w:t>C.</w:t>
      </w:r>
      <w:r>
        <w:rPr>
          <w:spacing w:val="-3"/>
          <w:sz w:val="22"/>
        </w:rPr>
        <w:t> </w:t>
      </w:r>
      <w:r>
        <w:rPr>
          <w:spacing w:val="-2"/>
          <w:sz w:val="22"/>
        </w:rPr>
        <w:t>Sonowal</w:t>
      </w:r>
    </w:p>
    <w:p>
      <w:pPr>
        <w:pStyle w:val="BodyText"/>
        <w:spacing w:before="27"/>
        <w:ind w:left="1440"/>
      </w:pPr>
      <w:r>
        <w:rPr>
          <w:spacing w:val="-8"/>
        </w:rPr>
        <w:t>Teacher,</w:t>
      </w:r>
      <w:r>
        <w:rPr>
          <w:spacing w:val="4"/>
        </w:rPr>
        <w:t> </w:t>
      </w:r>
      <w:r>
        <w:rPr>
          <w:spacing w:val="-8"/>
        </w:rPr>
        <w:t>Kendriya</w:t>
      </w:r>
      <w:r>
        <w:rPr/>
        <w:t> </w:t>
      </w:r>
      <w:r>
        <w:rPr>
          <w:spacing w:val="-8"/>
        </w:rPr>
        <w:t>Vidyalaya,</w:t>
      </w:r>
      <w:r>
        <w:rPr>
          <w:spacing w:val="5"/>
        </w:rPr>
        <w:t> </w:t>
      </w:r>
      <w:r>
        <w:rPr>
          <w:spacing w:val="-8"/>
        </w:rPr>
        <w:t>Khanapara</w:t>
      </w:r>
    </w:p>
    <w:p>
      <w:pPr>
        <w:pStyle w:val="ListParagraph"/>
        <w:numPr>
          <w:ilvl w:val="0"/>
          <w:numId w:val="89"/>
        </w:numPr>
        <w:tabs>
          <w:tab w:pos="1439" w:val="left" w:leader="none"/>
        </w:tabs>
        <w:spacing w:line="240" w:lineRule="auto" w:before="117" w:after="0"/>
        <w:ind w:left="1439" w:right="0" w:hanging="359"/>
        <w:jc w:val="left"/>
        <w:rPr>
          <w:sz w:val="22"/>
        </w:rPr>
      </w:pPr>
      <w:r>
        <w:rPr>
          <w:sz w:val="22"/>
        </w:rPr>
        <w:t>Prof.</w:t>
      </w:r>
      <w:r>
        <w:rPr>
          <w:spacing w:val="-9"/>
          <w:sz w:val="22"/>
        </w:rPr>
        <w:t> </w:t>
      </w:r>
      <w:r>
        <w:rPr>
          <w:sz w:val="22"/>
        </w:rPr>
        <w:t>N.</w:t>
      </w:r>
      <w:r>
        <w:rPr>
          <w:spacing w:val="-8"/>
          <w:sz w:val="22"/>
        </w:rPr>
        <w:t> </w:t>
      </w:r>
      <w:r>
        <w:rPr>
          <w:spacing w:val="-2"/>
          <w:sz w:val="22"/>
        </w:rPr>
        <w:t>Bhagwati</w:t>
      </w:r>
    </w:p>
    <w:p>
      <w:pPr>
        <w:pStyle w:val="ListParagraph"/>
        <w:numPr>
          <w:ilvl w:val="0"/>
          <w:numId w:val="89"/>
        </w:numPr>
        <w:tabs>
          <w:tab w:pos="1439" w:val="left" w:leader="none"/>
        </w:tabs>
        <w:spacing w:line="240" w:lineRule="auto" w:before="117" w:after="0"/>
        <w:ind w:left="1439" w:right="0" w:hanging="359"/>
        <w:jc w:val="left"/>
        <w:rPr>
          <w:sz w:val="22"/>
        </w:rPr>
      </w:pPr>
      <w:r>
        <w:rPr>
          <w:sz w:val="22"/>
        </w:rPr>
        <w:t>Ms.</w:t>
      </w:r>
      <w:r>
        <w:rPr>
          <w:spacing w:val="-12"/>
          <w:sz w:val="22"/>
        </w:rPr>
        <w:t> </w:t>
      </w:r>
      <w:r>
        <w:rPr>
          <w:sz w:val="22"/>
        </w:rPr>
        <w:t>L.</w:t>
      </w:r>
      <w:r>
        <w:rPr>
          <w:spacing w:val="-12"/>
          <w:sz w:val="22"/>
        </w:rPr>
        <w:t> </w:t>
      </w:r>
      <w:r>
        <w:rPr>
          <w:spacing w:val="-2"/>
          <w:sz w:val="22"/>
        </w:rPr>
        <w:t>Sangma</w:t>
      </w:r>
    </w:p>
    <w:p>
      <w:pPr>
        <w:pStyle w:val="BodyText"/>
        <w:spacing w:before="27"/>
        <w:ind w:left="1440"/>
      </w:pPr>
      <w:r>
        <w:rPr>
          <w:spacing w:val="-6"/>
        </w:rPr>
        <w:t>Secretary,</w:t>
      </w:r>
      <w:r>
        <w:rPr>
          <w:spacing w:val="4"/>
        </w:rPr>
        <w:t> </w:t>
      </w:r>
      <w:r>
        <w:rPr>
          <w:spacing w:val="-6"/>
        </w:rPr>
        <w:t>Education,</w:t>
      </w:r>
      <w:r>
        <w:rPr>
          <w:spacing w:val="4"/>
        </w:rPr>
        <w:t> </w:t>
      </w:r>
      <w:r>
        <w:rPr>
          <w:spacing w:val="-6"/>
        </w:rPr>
        <w:t>Meghalaya</w:t>
      </w:r>
    </w:p>
    <w:p>
      <w:pPr>
        <w:pStyle w:val="ListParagraph"/>
        <w:numPr>
          <w:ilvl w:val="0"/>
          <w:numId w:val="89"/>
        </w:numPr>
        <w:tabs>
          <w:tab w:pos="1439" w:val="left" w:leader="none"/>
        </w:tabs>
        <w:spacing w:line="240" w:lineRule="auto" w:before="117" w:after="0"/>
        <w:ind w:left="1439" w:right="0" w:hanging="359"/>
        <w:jc w:val="left"/>
        <w:rPr>
          <w:sz w:val="22"/>
        </w:rPr>
      </w:pPr>
      <w:r>
        <w:rPr>
          <w:spacing w:val="-12"/>
          <w:sz w:val="22"/>
        </w:rPr>
        <w:t>Sh.</w:t>
      </w:r>
      <w:r>
        <w:rPr>
          <w:spacing w:val="1"/>
          <w:sz w:val="22"/>
        </w:rPr>
        <w:t> </w:t>
      </w:r>
      <w:r>
        <w:rPr>
          <w:spacing w:val="-12"/>
          <w:sz w:val="22"/>
        </w:rPr>
        <w:t>P.K</w:t>
      </w:r>
      <w:r>
        <w:rPr>
          <w:spacing w:val="2"/>
          <w:sz w:val="22"/>
        </w:rPr>
        <w:t> </w:t>
      </w:r>
      <w:r>
        <w:rPr>
          <w:spacing w:val="-12"/>
          <w:sz w:val="22"/>
        </w:rPr>
        <w:t>Hajong</w:t>
      </w:r>
    </w:p>
    <w:p>
      <w:pPr>
        <w:pStyle w:val="BodyText"/>
        <w:spacing w:line="266" w:lineRule="auto" w:before="27"/>
        <w:ind w:left="1440"/>
      </w:pPr>
      <w:r>
        <w:rPr>
          <w:spacing w:val="-4"/>
        </w:rPr>
        <w:t>Inspector</w:t>
      </w:r>
      <w:r>
        <w:rPr>
          <w:spacing w:val="-5"/>
        </w:rPr>
        <w:t> </w:t>
      </w:r>
      <w:r>
        <w:rPr>
          <w:spacing w:val="-4"/>
        </w:rPr>
        <w:t>of</w:t>
      </w:r>
      <w:r>
        <w:rPr>
          <w:spacing w:val="-5"/>
        </w:rPr>
        <w:t> </w:t>
      </w:r>
      <w:r>
        <w:rPr>
          <w:spacing w:val="-4"/>
        </w:rPr>
        <w:t>Schools,</w:t>
      </w:r>
      <w:r>
        <w:rPr>
          <w:spacing w:val="-5"/>
        </w:rPr>
        <w:t> </w:t>
      </w:r>
      <w:r>
        <w:rPr>
          <w:spacing w:val="-4"/>
        </w:rPr>
        <w:t>South</w:t>
      </w:r>
      <w:r>
        <w:rPr>
          <w:spacing w:val="-5"/>
        </w:rPr>
        <w:t> </w:t>
      </w:r>
      <w:r>
        <w:rPr>
          <w:spacing w:val="-4"/>
        </w:rPr>
        <w:t>Garo</w:t>
      </w:r>
      <w:r>
        <w:rPr>
          <w:spacing w:val="-5"/>
        </w:rPr>
        <w:t> </w:t>
      </w:r>
      <w:r>
        <w:rPr>
          <w:spacing w:val="-4"/>
        </w:rPr>
        <w:t>and</w:t>
      </w:r>
      <w:r>
        <w:rPr>
          <w:spacing w:val="-9"/>
        </w:rPr>
        <w:t> </w:t>
      </w:r>
      <w:r>
        <w:rPr>
          <w:spacing w:val="-4"/>
        </w:rPr>
        <w:t>West</w:t>
      </w:r>
      <w:r>
        <w:rPr>
          <w:spacing w:val="-5"/>
        </w:rPr>
        <w:t> </w:t>
      </w:r>
      <w:r>
        <w:rPr>
          <w:spacing w:val="-4"/>
        </w:rPr>
        <w:t>Garo </w:t>
      </w:r>
      <w:r>
        <w:rPr/>
        <w:t>Hills, Meghalaya</w:t>
      </w:r>
    </w:p>
    <w:p>
      <w:pPr>
        <w:pStyle w:val="ListParagraph"/>
        <w:numPr>
          <w:ilvl w:val="0"/>
          <w:numId w:val="89"/>
        </w:numPr>
        <w:tabs>
          <w:tab w:pos="1439" w:val="left" w:leader="none"/>
        </w:tabs>
        <w:spacing w:line="240" w:lineRule="auto" w:before="89" w:after="0"/>
        <w:ind w:left="1439" w:right="0" w:hanging="359"/>
        <w:jc w:val="left"/>
        <w:rPr>
          <w:sz w:val="22"/>
        </w:rPr>
      </w:pPr>
      <w:r>
        <w:rPr>
          <w:spacing w:val="-4"/>
          <w:sz w:val="22"/>
        </w:rPr>
        <w:t>Ms.</w:t>
      </w:r>
      <w:r>
        <w:rPr>
          <w:spacing w:val="-9"/>
          <w:sz w:val="22"/>
        </w:rPr>
        <w:t> </w:t>
      </w:r>
      <w:r>
        <w:rPr>
          <w:spacing w:val="-4"/>
          <w:sz w:val="22"/>
        </w:rPr>
        <w:t>A</w:t>
      </w:r>
      <w:r>
        <w:rPr>
          <w:spacing w:val="-8"/>
          <w:sz w:val="22"/>
        </w:rPr>
        <w:t> </w:t>
      </w:r>
      <w:r>
        <w:rPr>
          <w:spacing w:val="-4"/>
          <w:sz w:val="22"/>
        </w:rPr>
        <w:t>Kynjing</w:t>
      </w:r>
    </w:p>
    <w:p>
      <w:pPr>
        <w:pStyle w:val="BodyText"/>
        <w:spacing w:before="27"/>
        <w:ind w:left="1440"/>
      </w:pPr>
      <w:r>
        <w:rPr>
          <w:spacing w:val="-4"/>
        </w:rPr>
        <w:t>Senior</w:t>
      </w:r>
      <w:r>
        <w:rPr>
          <w:spacing w:val="-10"/>
        </w:rPr>
        <w:t> </w:t>
      </w:r>
      <w:r>
        <w:rPr>
          <w:spacing w:val="-4"/>
        </w:rPr>
        <w:t>lecturer,</w:t>
      </w:r>
      <w:r>
        <w:rPr>
          <w:spacing w:val="-9"/>
        </w:rPr>
        <w:t> </w:t>
      </w:r>
      <w:r>
        <w:rPr>
          <w:spacing w:val="-4"/>
        </w:rPr>
        <w:t>DERT,</w:t>
      </w:r>
      <w:r>
        <w:rPr>
          <w:spacing w:val="-9"/>
        </w:rPr>
        <w:t> </w:t>
      </w:r>
      <w:r>
        <w:rPr>
          <w:spacing w:val="-4"/>
        </w:rPr>
        <w:t>Shillong</w:t>
      </w:r>
    </w:p>
    <w:p>
      <w:pPr>
        <w:pStyle w:val="ListParagraph"/>
        <w:numPr>
          <w:ilvl w:val="0"/>
          <w:numId w:val="89"/>
        </w:numPr>
        <w:tabs>
          <w:tab w:pos="1439" w:val="left" w:leader="none"/>
        </w:tabs>
        <w:spacing w:line="240" w:lineRule="auto" w:before="117" w:after="0"/>
        <w:ind w:left="1439" w:right="0" w:hanging="359"/>
        <w:jc w:val="left"/>
        <w:rPr>
          <w:sz w:val="22"/>
        </w:rPr>
      </w:pPr>
      <w:r>
        <w:rPr>
          <w:spacing w:val="-2"/>
          <w:sz w:val="22"/>
        </w:rPr>
        <w:t>Mr.</w:t>
      </w:r>
      <w:r>
        <w:rPr>
          <w:spacing w:val="-10"/>
          <w:sz w:val="22"/>
        </w:rPr>
        <w:t> </w:t>
      </w:r>
      <w:r>
        <w:rPr>
          <w:spacing w:val="-2"/>
          <w:sz w:val="22"/>
        </w:rPr>
        <w:t>K.J.</w:t>
      </w:r>
      <w:r>
        <w:rPr>
          <w:spacing w:val="-9"/>
          <w:sz w:val="22"/>
        </w:rPr>
        <w:t> </w:t>
      </w:r>
      <w:r>
        <w:rPr>
          <w:spacing w:val="-4"/>
          <w:sz w:val="22"/>
        </w:rPr>
        <w:t>Lohe</w:t>
      </w:r>
    </w:p>
    <w:p>
      <w:pPr>
        <w:pStyle w:val="BodyText"/>
        <w:spacing w:before="27"/>
        <w:ind w:left="1440"/>
      </w:pPr>
      <w:r>
        <w:rPr>
          <w:spacing w:val="-2"/>
        </w:rPr>
        <w:t>Joint</w:t>
      </w:r>
      <w:r>
        <w:rPr>
          <w:spacing w:val="-12"/>
        </w:rPr>
        <w:t> </w:t>
      </w:r>
      <w:r>
        <w:rPr>
          <w:spacing w:val="-2"/>
        </w:rPr>
        <w:t>Director,</w:t>
      </w:r>
      <w:r>
        <w:rPr>
          <w:spacing w:val="-11"/>
        </w:rPr>
        <w:t> </w:t>
      </w:r>
      <w:r>
        <w:rPr>
          <w:spacing w:val="-2"/>
        </w:rPr>
        <w:t>School</w:t>
      </w:r>
      <w:r>
        <w:rPr>
          <w:spacing w:val="-12"/>
        </w:rPr>
        <w:t> </w:t>
      </w:r>
      <w:r>
        <w:rPr>
          <w:spacing w:val="-2"/>
        </w:rPr>
        <w:t>Education,</w:t>
      </w:r>
      <w:r>
        <w:rPr>
          <w:spacing w:val="-11"/>
        </w:rPr>
        <w:t> </w:t>
      </w:r>
      <w:r>
        <w:rPr>
          <w:spacing w:val="-2"/>
        </w:rPr>
        <w:t>Nagaland</w:t>
      </w:r>
    </w:p>
    <w:p>
      <w:pPr>
        <w:pStyle w:val="ListParagraph"/>
        <w:numPr>
          <w:ilvl w:val="0"/>
          <w:numId w:val="89"/>
        </w:numPr>
        <w:tabs>
          <w:tab w:pos="1439" w:val="left" w:leader="none"/>
        </w:tabs>
        <w:spacing w:line="240" w:lineRule="auto" w:before="117" w:after="0"/>
        <w:ind w:left="1439" w:right="0" w:hanging="359"/>
        <w:jc w:val="left"/>
        <w:rPr>
          <w:sz w:val="22"/>
        </w:rPr>
      </w:pPr>
      <w:r>
        <w:rPr>
          <w:sz w:val="22"/>
        </w:rPr>
        <w:t>Mr.</w:t>
      </w:r>
      <w:r>
        <w:rPr>
          <w:spacing w:val="-12"/>
          <w:sz w:val="22"/>
        </w:rPr>
        <w:t> </w:t>
      </w:r>
      <w:r>
        <w:rPr>
          <w:sz w:val="22"/>
        </w:rPr>
        <w:t>K.Z.</w:t>
      </w:r>
      <w:r>
        <w:rPr>
          <w:spacing w:val="-12"/>
          <w:sz w:val="22"/>
        </w:rPr>
        <w:t> </w:t>
      </w:r>
      <w:r>
        <w:rPr>
          <w:sz w:val="22"/>
        </w:rPr>
        <w:t>Mero,</w:t>
      </w:r>
      <w:r>
        <w:rPr>
          <w:spacing w:val="-11"/>
          <w:sz w:val="22"/>
        </w:rPr>
        <w:t> </w:t>
      </w:r>
      <w:r>
        <w:rPr>
          <w:spacing w:val="-2"/>
          <w:sz w:val="22"/>
        </w:rPr>
        <w:t>Chairperson</w:t>
      </w:r>
    </w:p>
    <w:p>
      <w:pPr>
        <w:pStyle w:val="BodyText"/>
        <w:spacing w:before="27"/>
        <w:ind w:left="1440"/>
      </w:pPr>
      <w:r>
        <w:rPr>
          <w:spacing w:val="-4"/>
        </w:rPr>
        <w:t>Village</w:t>
      </w:r>
      <w:r>
        <w:rPr/>
        <w:t> </w:t>
      </w:r>
      <w:r>
        <w:rPr>
          <w:spacing w:val="-4"/>
        </w:rPr>
        <w:t>Education</w:t>
      </w:r>
      <w:r>
        <w:rPr>
          <w:spacing w:val="1"/>
        </w:rPr>
        <w:t> </w:t>
      </w:r>
      <w:r>
        <w:rPr>
          <w:spacing w:val="-4"/>
        </w:rPr>
        <w:t>Committee,</w:t>
      </w:r>
      <w:r>
        <w:rPr/>
        <w:t> </w:t>
      </w:r>
      <w:r>
        <w:rPr>
          <w:spacing w:val="-4"/>
        </w:rPr>
        <w:t>Chizami</w:t>
      </w:r>
    </w:p>
    <w:p>
      <w:pPr>
        <w:pStyle w:val="ListParagraph"/>
        <w:numPr>
          <w:ilvl w:val="0"/>
          <w:numId w:val="89"/>
        </w:numPr>
        <w:tabs>
          <w:tab w:pos="1439" w:val="left" w:leader="none"/>
        </w:tabs>
        <w:spacing w:line="240" w:lineRule="auto" w:before="117" w:after="0"/>
        <w:ind w:left="1439" w:right="0" w:hanging="359"/>
        <w:jc w:val="left"/>
        <w:rPr>
          <w:sz w:val="22"/>
        </w:rPr>
      </w:pPr>
      <w:r>
        <w:rPr>
          <w:sz w:val="22"/>
        </w:rPr>
        <w:t>Dr.</w:t>
      </w:r>
      <w:r>
        <w:rPr>
          <w:spacing w:val="-6"/>
          <w:sz w:val="22"/>
        </w:rPr>
        <w:t> </w:t>
      </w:r>
      <w:r>
        <w:rPr>
          <w:spacing w:val="-2"/>
          <w:sz w:val="22"/>
        </w:rPr>
        <w:t>Benjongkumba</w:t>
      </w:r>
    </w:p>
    <w:p>
      <w:pPr>
        <w:pStyle w:val="BodyText"/>
        <w:spacing w:before="27"/>
        <w:ind w:left="1440"/>
      </w:pPr>
      <w:r>
        <w:rPr>
          <w:spacing w:val="-2"/>
        </w:rPr>
        <w:t>Lecturer,</w:t>
      </w:r>
      <w:r>
        <w:rPr>
          <w:spacing w:val="-8"/>
        </w:rPr>
        <w:t> </w:t>
      </w:r>
      <w:r>
        <w:rPr>
          <w:spacing w:val="-2"/>
        </w:rPr>
        <w:t>Zunheboto</w:t>
      </w:r>
      <w:r>
        <w:rPr>
          <w:spacing w:val="-7"/>
        </w:rPr>
        <w:t> </w:t>
      </w:r>
      <w:r>
        <w:rPr>
          <w:spacing w:val="-2"/>
        </w:rPr>
        <w:t>Govt.</w:t>
      </w:r>
      <w:r>
        <w:rPr>
          <w:spacing w:val="-7"/>
        </w:rPr>
        <w:t> </w:t>
      </w:r>
      <w:r>
        <w:rPr>
          <w:spacing w:val="-2"/>
        </w:rPr>
        <w:t>College</w:t>
      </w:r>
    </w:p>
    <w:p>
      <w:pPr>
        <w:pStyle w:val="ListParagraph"/>
        <w:numPr>
          <w:ilvl w:val="0"/>
          <w:numId w:val="89"/>
        </w:numPr>
        <w:tabs>
          <w:tab w:pos="1439" w:val="left" w:leader="none"/>
        </w:tabs>
        <w:spacing w:line="240" w:lineRule="auto" w:before="117" w:after="0"/>
        <w:ind w:left="1439" w:right="0" w:hanging="359"/>
        <w:jc w:val="left"/>
        <w:rPr>
          <w:sz w:val="22"/>
        </w:rPr>
      </w:pPr>
      <w:r>
        <w:rPr>
          <w:spacing w:val="-6"/>
          <w:sz w:val="22"/>
        </w:rPr>
        <w:t>Ms.</w:t>
      </w:r>
      <w:r>
        <w:rPr>
          <w:spacing w:val="1"/>
          <w:sz w:val="22"/>
        </w:rPr>
        <w:t> </w:t>
      </w:r>
      <w:r>
        <w:rPr>
          <w:spacing w:val="-6"/>
          <w:sz w:val="22"/>
        </w:rPr>
        <w:t>Seno</w:t>
      </w:r>
      <w:r>
        <w:rPr>
          <w:spacing w:val="-8"/>
          <w:sz w:val="22"/>
        </w:rPr>
        <w:t> </w:t>
      </w:r>
      <w:r>
        <w:rPr>
          <w:spacing w:val="-6"/>
          <w:sz w:val="22"/>
        </w:rPr>
        <w:t>Tsuhah</w:t>
      </w:r>
    </w:p>
    <w:p>
      <w:pPr>
        <w:pStyle w:val="BodyText"/>
        <w:spacing w:line="266" w:lineRule="auto" w:before="27"/>
        <w:ind w:left="1440"/>
      </w:pPr>
      <w:r>
        <w:rPr>
          <w:spacing w:val="-2"/>
        </w:rPr>
        <w:t>Govt,</w:t>
      </w:r>
      <w:r>
        <w:rPr>
          <w:spacing w:val="-12"/>
        </w:rPr>
        <w:t> </w:t>
      </w:r>
      <w:r>
        <w:rPr>
          <w:spacing w:val="-2"/>
        </w:rPr>
        <w:t>Primary</w:t>
      </w:r>
      <w:r>
        <w:rPr>
          <w:spacing w:val="-11"/>
        </w:rPr>
        <w:t> </w:t>
      </w:r>
      <w:r>
        <w:rPr>
          <w:spacing w:val="-2"/>
        </w:rPr>
        <w:t>School</w:t>
      </w:r>
      <w:r>
        <w:rPr>
          <w:spacing w:val="-12"/>
        </w:rPr>
        <w:t> </w:t>
      </w:r>
      <w:r>
        <w:rPr>
          <w:spacing w:val="-2"/>
        </w:rPr>
        <w:t>and</w:t>
      </w:r>
      <w:r>
        <w:rPr>
          <w:spacing w:val="-11"/>
        </w:rPr>
        <w:t> </w:t>
      </w:r>
      <w:r>
        <w:rPr>
          <w:spacing w:val="-2"/>
        </w:rPr>
        <w:t>North</w:t>
      </w:r>
      <w:r>
        <w:rPr>
          <w:spacing w:val="-12"/>
        </w:rPr>
        <w:t> </w:t>
      </w:r>
      <w:r>
        <w:rPr>
          <w:spacing w:val="-2"/>
        </w:rPr>
        <w:t>East</w:t>
      </w:r>
      <w:r>
        <w:rPr>
          <w:spacing w:val="-11"/>
        </w:rPr>
        <w:t> </w:t>
      </w:r>
      <w:r>
        <w:rPr>
          <w:spacing w:val="-2"/>
        </w:rPr>
        <w:t>Network Coordinator</w:t>
      </w:r>
    </w:p>
    <w:p>
      <w:pPr>
        <w:pStyle w:val="ListParagraph"/>
        <w:numPr>
          <w:ilvl w:val="0"/>
          <w:numId w:val="89"/>
        </w:numPr>
        <w:tabs>
          <w:tab w:pos="1439" w:val="left" w:leader="none"/>
        </w:tabs>
        <w:spacing w:line="240" w:lineRule="auto" w:before="88" w:after="0"/>
        <w:ind w:left="1439" w:right="0" w:hanging="359"/>
        <w:jc w:val="left"/>
        <w:rPr>
          <w:sz w:val="22"/>
        </w:rPr>
      </w:pPr>
      <w:r>
        <w:rPr>
          <w:sz w:val="22"/>
        </w:rPr>
        <w:t>Mr.</w:t>
      </w:r>
      <w:r>
        <w:rPr>
          <w:spacing w:val="-3"/>
          <w:sz w:val="22"/>
        </w:rPr>
        <w:t> </w:t>
      </w:r>
      <w:r>
        <w:rPr>
          <w:sz w:val="22"/>
        </w:rPr>
        <w:t>J.H.</w:t>
      </w:r>
      <w:r>
        <w:rPr>
          <w:spacing w:val="-2"/>
          <w:sz w:val="22"/>
        </w:rPr>
        <w:t> Biakmawia</w:t>
      </w:r>
    </w:p>
    <w:p>
      <w:pPr>
        <w:pStyle w:val="BodyText"/>
        <w:spacing w:before="27"/>
        <w:ind w:left="1440"/>
      </w:pPr>
      <w:r>
        <w:rPr>
          <w:spacing w:val="-2"/>
        </w:rPr>
        <w:t>Principal,</w:t>
      </w:r>
      <w:r>
        <w:rPr>
          <w:spacing w:val="-6"/>
        </w:rPr>
        <w:t> </w:t>
      </w:r>
      <w:r>
        <w:rPr>
          <w:spacing w:val="-2"/>
        </w:rPr>
        <w:t>KM</w:t>
      </w:r>
      <w:r>
        <w:rPr>
          <w:spacing w:val="-6"/>
        </w:rPr>
        <w:t> </w:t>
      </w:r>
      <w:r>
        <w:rPr>
          <w:spacing w:val="-2"/>
        </w:rPr>
        <w:t>H/SS,</w:t>
      </w:r>
      <w:r>
        <w:rPr>
          <w:spacing w:val="-5"/>
        </w:rPr>
        <w:t> </w:t>
      </w:r>
      <w:r>
        <w:rPr>
          <w:spacing w:val="-2"/>
        </w:rPr>
        <w:t>Mizoram</w:t>
      </w:r>
    </w:p>
    <w:p>
      <w:pPr>
        <w:pStyle w:val="ListParagraph"/>
        <w:numPr>
          <w:ilvl w:val="0"/>
          <w:numId w:val="89"/>
        </w:numPr>
        <w:tabs>
          <w:tab w:pos="1440" w:val="left" w:leader="none"/>
        </w:tabs>
        <w:spacing w:line="266" w:lineRule="auto" w:before="117" w:after="0"/>
        <w:ind w:left="1440" w:right="2620" w:hanging="360"/>
        <w:jc w:val="left"/>
        <w:rPr>
          <w:sz w:val="22"/>
        </w:rPr>
      </w:pPr>
      <w:r>
        <w:rPr>
          <w:sz w:val="22"/>
        </w:rPr>
        <w:t>Ms. H. Zirkungi </w:t>
      </w:r>
      <w:r>
        <w:rPr>
          <w:spacing w:val="-6"/>
          <w:sz w:val="22"/>
        </w:rPr>
        <w:t>SCERT,</w:t>
      </w:r>
      <w:r>
        <w:rPr>
          <w:spacing w:val="-8"/>
          <w:sz w:val="22"/>
        </w:rPr>
        <w:t> </w:t>
      </w:r>
      <w:r>
        <w:rPr>
          <w:spacing w:val="-6"/>
          <w:sz w:val="22"/>
        </w:rPr>
        <w:t>Mizoram</w:t>
      </w:r>
    </w:p>
    <w:p>
      <w:pPr>
        <w:pStyle w:val="ListParagraph"/>
        <w:numPr>
          <w:ilvl w:val="0"/>
          <w:numId w:val="89"/>
        </w:numPr>
        <w:tabs>
          <w:tab w:pos="1440" w:val="left" w:leader="none"/>
        </w:tabs>
        <w:spacing w:line="266" w:lineRule="auto" w:before="89" w:after="0"/>
        <w:ind w:left="1440" w:right="2090" w:hanging="360"/>
        <w:jc w:val="left"/>
        <w:rPr>
          <w:sz w:val="22"/>
        </w:rPr>
      </w:pPr>
      <w:r>
        <w:rPr>
          <w:sz w:val="22"/>
        </w:rPr>
        <w:t>Mr. Lalhmachhunana </w:t>
      </w:r>
      <w:r>
        <w:rPr>
          <w:spacing w:val="-8"/>
          <w:sz w:val="22"/>
        </w:rPr>
        <w:t>Young</w:t>
      </w:r>
      <w:r>
        <w:rPr>
          <w:spacing w:val="-6"/>
          <w:sz w:val="22"/>
        </w:rPr>
        <w:t> </w:t>
      </w:r>
      <w:r>
        <w:rPr>
          <w:spacing w:val="-8"/>
          <w:sz w:val="22"/>
        </w:rPr>
        <w:t>Mizo</w:t>
      </w:r>
      <w:r>
        <w:rPr>
          <w:spacing w:val="-6"/>
          <w:sz w:val="22"/>
        </w:rPr>
        <w:t> </w:t>
      </w:r>
      <w:r>
        <w:rPr>
          <w:spacing w:val="-8"/>
          <w:sz w:val="22"/>
        </w:rPr>
        <w:t>Association</w:t>
      </w:r>
    </w:p>
    <w:p>
      <w:pPr>
        <w:pStyle w:val="ListParagraph"/>
        <w:numPr>
          <w:ilvl w:val="0"/>
          <w:numId w:val="89"/>
        </w:numPr>
        <w:tabs>
          <w:tab w:pos="1440" w:val="left" w:leader="none"/>
        </w:tabs>
        <w:spacing w:line="266" w:lineRule="auto" w:before="88" w:after="0"/>
        <w:ind w:left="1440" w:right="2090" w:hanging="360"/>
        <w:jc w:val="left"/>
        <w:rPr>
          <w:sz w:val="22"/>
        </w:rPr>
      </w:pPr>
      <w:r>
        <w:rPr>
          <w:sz w:val="22"/>
        </w:rPr>
        <w:t>Mr. H. Lalsawmliana </w:t>
      </w:r>
      <w:r>
        <w:rPr>
          <w:spacing w:val="-8"/>
          <w:sz w:val="22"/>
        </w:rPr>
        <w:t>Young</w:t>
      </w:r>
      <w:r>
        <w:rPr>
          <w:spacing w:val="-6"/>
          <w:sz w:val="22"/>
        </w:rPr>
        <w:t> </w:t>
      </w:r>
      <w:r>
        <w:rPr>
          <w:spacing w:val="-8"/>
          <w:sz w:val="22"/>
        </w:rPr>
        <w:t>Mizo</w:t>
      </w:r>
      <w:r>
        <w:rPr>
          <w:spacing w:val="-6"/>
          <w:sz w:val="22"/>
        </w:rPr>
        <w:t> </w:t>
      </w:r>
      <w:r>
        <w:rPr>
          <w:spacing w:val="-8"/>
          <w:sz w:val="22"/>
        </w:rPr>
        <w:t>Association</w:t>
      </w:r>
    </w:p>
    <w:p>
      <w:pPr>
        <w:pStyle w:val="ListParagraph"/>
        <w:numPr>
          <w:ilvl w:val="0"/>
          <w:numId w:val="89"/>
        </w:numPr>
        <w:tabs>
          <w:tab w:pos="1440" w:val="left" w:leader="none"/>
        </w:tabs>
        <w:spacing w:line="266" w:lineRule="auto" w:before="89" w:after="0"/>
        <w:ind w:left="1440" w:right="2441" w:hanging="360"/>
        <w:jc w:val="left"/>
        <w:rPr>
          <w:sz w:val="22"/>
        </w:rPr>
      </w:pPr>
      <w:r>
        <w:rPr>
          <w:sz w:val="22"/>
        </w:rPr>
        <w:t>Prof. Lianzela </w:t>
      </w:r>
      <w:r>
        <w:rPr>
          <w:spacing w:val="-6"/>
          <w:sz w:val="22"/>
        </w:rPr>
        <w:t>Mizoram</w:t>
      </w:r>
      <w:r>
        <w:rPr>
          <w:spacing w:val="-8"/>
          <w:sz w:val="22"/>
        </w:rPr>
        <w:t> </w:t>
      </w:r>
      <w:r>
        <w:rPr>
          <w:spacing w:val="-6"/>
          <w:sz w:val="22"/>
        </w:rPr>
        <w:t>University</w:t>
      </w:r>
    </w:p>
    <w:p>
      <w:pPr>
        <w:pStyle w:val="ListParagraph"/>
        <w:numPr>
          <w:ilvl w:val="0"/>
          <w:numId w:val="89"/>
        </w:numPr>
        <w:tabs>
          <w:tab w:pos="1439" w:val="left" w:leader="none"/>
        </w:tabs>
        <w:spacing w:line="240" w:lineRule="auto" w:before="88" w:after="0"/>
        <w:ind w:left="1439" w:right="0" w:hanging="359"/>
        <w:jc w:val="left"/>
        <w:rPr>
          <w:sz w:val="22"/>
        </w:rPr>
      </w:pPr>
      <w:r>
        <w:rPr>
          <w:sz w:val="22"/>
        </w:rPr>
        <w:t>Mr.</w:t>
      </w:r>
      <w:r>
        <w:rPr>
          <w:spacing w:val="-3"/>
          <w:sz w:val="22"/>
        </w:rPr>
        <w:t> </w:t>
      </w:r>
      <w:r>
        <w:rPr>
          <w:sz w:val="22"/>
        </w:rPr>
        <w:t>C.</w:t>
      </w:r>
      <w:r>
        <w:rPr>
          <w:spacing w:val="-3"/>
          <w:sz w:val="22"/>
        </w:rPr>
        <w:t> </w:t>
      </w:r>
      <w:r>
        <w:rPr>
          <w:spacing w:val="-2"/>
          <w:sz w:val="22"/>
        </w:rPr>
        <w:t>Laremruata</w:t>
      </w:r>
    </w:p>
    <w:p>
      <w:pPr>
        <w:pStyle w:val="BodyText"/>
        <w:spacing w:before="27"/>
        <w:ind w:left="1440"/>
      </w:pPr>
      <w:r>
        <w:rPr>
          <w:spacing w:val="-4"/>
        </w:rPr>
        <w:t>Mizoram</w:t>
      </w:r>
      <w:r>
        <w:rPr/>
        <w:t> </w:t>
      </w:r>
      <w:r>
        <w:rPr>
          <w:spacing w:val="-4"/>
        </w:rPr>
        <w:t>Educational</w:t>
      </w:r>
      <w:r>
        <w:rPr/>
        <w:t> </w:t>
      </w:r>
      <w:r>
        <w:rPr>
          <w:spacing w:val="-4"/>
        </w:rPr>
        <w:t>Foundation</w:t>
      </w:r>
    </w:p>
    <w:p>
      <w:pPr>
        <w:pStyle w:val="ListParagraph"/>
        <w:numPr>
          <w:ilvl w:val="0"/>
          <w:numId w:val="89"/>
        </w:numPr>
        <w:tabs>
          <w:tab w:pos="1439" w:val="left" w:leader="none"/>
        </w:tabs>
        <w:spacing w:line="240" w:lineRule="auto" w:before="117" w:after="0"/>
        <w:ind w:left="1439" w:right="0" w:hanging="359"/>
        <w:jc w:val="left"/>
        <w:rPr>
          <w:sz w:val="22"/>
        </w:rPr>
      </w:pPr>
      <w:r>
        <w:rPr>
          <w:spacing w:val="-2"/>
          <w:sz w:val="22"/>
        </w:rPr>
        <w:t>Mr.</w:t>
      </w:r>
      <w:r>
        <w:rPr>
          <w:spacing w:val="-7"/>
          <w:sz w:val="22"/>
        </w:rPr>
        <w:t> </w:t>
      </w:r>
      <w:r>
        <w:rPr>
          <w:spacing w:val="-2"/>
          <w:sz w:val="22"/>
        </w:rPr>
        <w:t>R.K.</w:t>
      </w:r>
      <w:r>
        <w:rPr>
          <w:spacing w:val="-7"/>
          <w:sz w:val="22"/>
        </w:rPr>
        <w:t> </w:t>
      </w:r>
      <w:r>
        <w:rPr>
          <w:spacing w:val="-2"/>
          <w:sz w:val="22"/>
        </w:rPr>
        <w:t>Sukumar</w:t>
      </w:r>
    </w:p>
    <w:p>
      <w:pPr>
        <w:pStyle w:val="BodyText"/>
        <w:spacing w:before="27"/>
        <w:ind w:left="1440"/>
      </w:pPr>
      <w:r>
        <w:rPr>
          <w:spacing w:val="-6"/>
        </w:rPr>
        <w:t>State</w:t>
      </w:r>
      <w:r>
        <w:rPr>
          <w:spacing w:val="1"/>
        </w:rPr>
        <w:t> </w:t>
      </w:r>
      <w:r>
        <w:rPr>
          <w:spacing w:val="-6"/>
        </w:rPr>
        <w:t>project</w:t>
      </w:r>
      <w:r>
        <w:rPr>
          <w:spacing w:val="1"/>
        </w:rPr>
        <w:t> </w:t>
      </w:r>
      <w:r>
        <w:rPr>
          <w:spacing w:val="-6"/>
        </w:rPr>
        <w:t>Director,</w:t>
      </w:r>
      <w:r>
        <w:rPr>
          <w:spacing w:val="2"/>
        </w:rPr>
        <w:t> </w:t>
      </w:r>
      <w:r>
        <w:rPr>
          <w:spacing w:val="-6"/>
        </w:rPr>
        <w:t>SSA,</w:t>
      </w:r>
      <w:r>
        <w:rPr>
          <w:spacing w:val="1"/>
        </w:rPr>
        <w:t> </w:t>
      </w:r>
      <w:r>
        <w:rPr>
          <w:spacing w:val="-6"/>
        </w:rPr>
        <w:t>Manipur</w:t>
      </w:r>
    </w:p>
    <w:p>
      <w:pPr>
        <w:pStyle w:val="ListParagraph"/>
        <w:numPr>
          <w:ilvl w:val="0"/>
          <w:numId w:val="89"/>
        </w:numPr>
        <w:tabs>
          <w:tab w:pos="1439" w:val="left" w:leader="none"/>
        </w:tabs>
        <w:spacing w:line="240" w:lineRule="auto" w:before="117" w:after="0"/>
        <w:ind w:left="1439" w:right="0" w:hanging="359"/>
        <w:jc w:val="left"/>
        <w:rPr>
          <w:sz w:val="22"/>
        </w:rPr>
      </w:pPr>
      <w:r>
        <w:rPr>
          <w:sz w:val="22"/>
        </w:rPr>
        <w:t>Mr.</w:t>
      </w:r>
      <w:r>
        <w:rPr>
          <w:spacing w:val="-4"/>
          <w:sz w:val="22"/>
        </w:rPr>
        <w:t> </w:t>
      </w:r>
      <w:r>
        <w:rPr>
          <w:sz w:val="22"/>
        </w:rPr>
        <w:t>M.</w:t>
      </w:r>
      <w:r>
        <w:rPr>
          <w:spacing w:val="-3"/>
          <w:sz w:val="22"/>
        </w:rPr>
        <w:t> </w:t>
      </w:r>
      <w:r>
        <w:rPr>
          <w:spacing w:val="-2"/>
          <w:sz w:val="22"/>
        </w:rPr>
        <w:t>Harekrishna</w:t>
      </w:r>
    </w:p>
    <w:p>
      <w:pPr>
        <w:pStyle w:val="BodyText"/>
        <w:spacing w:before="27"/>
        <w:ind w:left="1440"/>
      </w:pPr>
      <w:r>
        <w:rPr>
          <w:spacing w:val="-4"/>
        </w:rPr>
        <w:t>Director, Education</w:t>
      </w:r>
      <w:r>
        <w:rPr>
          <w:spacing w:val="-2"/>
        </w:rPr>
        <w:t> </w:t>
      </w:r>
      <w:r>
        <w:rPr>
          <w:spacing w:val="-4"/>
        </w:rPr>
        <w:t>(Schools),</w:t>
      </w:r>
      <w:r>
        <w:rPr>
          <w:spacing w:val="-1"/>
        </w:rPr>
        <w:t> </w:t>
      </w:r>
      <w:r>
        <w:rPr>
          <w:spacing w:val="-4"/>
        </w:rPr>
        <w:t>Manipur</w:t>
      </w:r>
    </w:p>
    <w:p>
      <w:pPr>
        <w:pStyle w:val="ListParagraph"/>
        <w:numPr>
          <w:ilvl w:val="0"/>
          <w:numId w:val="89"/>
        </w:numPr>
        <w:tabs>
          <w:tab w:pos="861" w:val="left" w:leader="none"/>
        </w:tabs>
        <w:spacing w:line="240" w:lineRule="auto" w:before="57" w:after="0"/>
        <w:ind w:left="861" w:right="0" w:hanging="359"/>
        <w:jc w:val="left"/>
        <w:rPr>
          <w:sz w:val="22"/>
        </w:rPr>
      </w:pPr>
      <w:r>
        <w:rPr/>
        <w:br w:type="column"/>
      </w:r>
      <w:r>
        <w:rPr>
          <w:spacing w:val="-10"/>
          <w:sz w:val="22"/>
        </w:rPr>
        <w:t>Mr.</w:t>
      </w:r>
      <w:r>
        <w:rPr>
          <w:spacing w:val="-4"/>
          <w:sz w:val="22"/>
        </w:rPr>
        <w:t> </w:t>
      </w:r>
      <w:r>
        <w:rPr>
          <w:spacing w:val="-10"/>
          <w:sz w:val="22"/>
        </w:rPr>
        <w:t>V. Tonsing</w:t>
      </w:r>
    </w:p>
    <w:p>
      <w:pPr>
        <w:pStyle w:val="BodyText"/>
        <w:spacing w:before="27"/>
        <w:ind w:left="862"/>
      </w:pPr>
      <w:r>
        <w:rPr>
          <w:spacing w:val="-4"/>
        </w:rPr>
        <w:t>High</w:t>
      </w:r>
      <w:r>
        <w:rPr>
          <w:spacing w:val="1"/>
        </w:rPr>
        <w:t> </w:t>
      </w:r>
      <w:r>
        <w:rPr>
          <w:spacing w:val="-4"/>
        </w:rPr>
        <w:t>School</w:t>
      </w:r>
      <w:r>
        <w:rPr>
          <w:spacing w:val="1"/>
        </w:rPr>
        <w:t> </w:t>
      </w:r>
      <w:r>
        <w:rPr>
          <w:spacing w:val="-4"/>
        </w:rPr>
        <w:t>Principal,</w:t>
      </w:r>
      <w:r>
        <w:rPr>
          <w:spacing w:val="2"/>
        </w:rPr>
        <w:t> </w:t>
      </w:r>
      <w:r>
        <w:rPr>
          <w:spacing w:val="-4"/>
        </w:rPr>
        <w:t>Manipur</w:t>
      </w:r>
    </w:p>
    <w:p>
      <w:pPr>
        <w:pStyle w:val="ListParagraph"/>
        <w:numPr>
          <w:ilvl w:val="0"/>
          <w:numId w:val="89"/>
        </w:numPr>
        <w:tabs>
          <w:tab w:pos="861" w:val="left" w:leader="none"/>
        </w:tabs>
        <w:spacing w:line="240" w:lineRule="auto" w:before="117" w:after="0"/>
        <w:ind w:left="861" w:right="0" w:hanging="359"/>
        <w:jc w:val="left"/>
        <w:rPr>
          <w:sz w:val="22"/>
        </w:rPr>
      </w:pPr>
      <w:r>
        <w:rPr>
          <w:spacing w:val="-4"/>
          <w:sz w:val="22"/>
        </w:rPr>
        <w:t>Ms.</w:t>
      </w:r>
      <w:r>
        <w:rPr>
          <w:spacing w:val="-5"/>
          <w:sz w:val="22"/>
        </w:rPr>
        <w:t> </w:t>
      </w:r>
      <w:r>
        <w:rPr>
          <w:spacing w:val="-4"/>
          <w:sz w:val="22"/>
        </w:rPr>
        <w:t>Grace Jajo</w:t>
      </w:r>
    </w:p>
    <w:p>
      <w:pPr>
        <w:pStyle w:val="BodyText"/>
        <w:spacing w:line="266" w:lineRule="auto" w:before="27"/>
        <w:ind w:left="862" w:right="1591"/>
      </w:pPr>
      <w:r>
        <w:rPr>
          <w:spacing w:val="-6"/>
        </w:rPr>
        <w:t>Fraternal Green Cross</w:t>
      </w:r>
      <w:r>
        <w:rPr>
          <w:spacing w:val="-8"/>
        </w:rPr>
        <w:t> </w:t>
      </w:r>
      <w:r>
        <w:rPr>
          <w:spacing w:val="-6"/>
        </w:rPr>
        <w:t>Volunteers for</w:t>
      </w:r>
      <w:r>
        <w:rPr>
          <w:spacing w:val="-8"/>
        </w:rPr>
        <w:t> </w:t>
      </w:r>
      <w:r>
        <w:rPr>
          <w:spacing w:val="-6"/>
        </w:rPr>
        <w:t>Village </w:t>
      </w:r>
      <w:r>
        <w:rPr/>
        <w:t>Development (FGCVVD), Manipur</w:t>
      </w:r>
    </w:p>
    <w:p>
      <w:pPr>
        <w:pStyle w:val="ListParagraph"/>
        <w:numPr>
          <w:ilvl w:val="0"/>
          <w:numId w:val="89"/>
        </w:numPr>
        <w:tabs>
          <w:tab w:pos="861" w:val="left" w:leader="none"/>
        </w:tabs>
        <w:spacing w:line="240" w:lineRule="auto" w:before="89" w:after="0"/>
        <w:ind w:left="861" w:right="0" w:hanging="359"/>
        <w:jc w:val="left"/>
        <w:rPr>
          <w:sz w:val="22"/>
        </w:rPr>
      </w:pPr>
      <w:r>
        <w:rPr>
          <w:sz w:val="22"/>
        </w:rPr>
        <w:t>Mr.</w:t>
      </w:r>
      <w:r>
        <w:rPr>
          <w:spacing w:val="-1"/>
          <w:sz w:val="22"/>
        </w:rPr>
        <w:t> </w:t>
      </w:r>
      <w:r>
        <w:rPr>
          <w:sz w:val="22"/>
        </w:rPr>
        <w:t>N. Dhiren</w:t>
      </w:r>
      <w:r>
        <w:rPr>
          <w:spacing w:val="-1"/>
          <w:sz w:val="22"/>
        </w:rPr>
        <w:t> </w:t>
      </w:r>
      <w:r>
        <w:rPr>
          <w:spacing w:val="-2"/>
          <w:sz w:val="22"/>
        </w:rPr>
        <w:t>Singh</w:t>
      </w:r>
    </w:p>
    <w:p>
      <w:pPr>
        <w:pStyle w:val="BodyText"/>
        <w:spacing w:before="27"/>
        <w:ind w:left="862"/>
      </w:pPr>
      <w:r>
        <w:rPr>
          <w:spacing w:val="-6"/>
        </w:rPr>
        <w:t>Principal,</w:t>
      </w:r>
      <w:r>
        <w:rPr>
          <w:spacing w:val="-7"/>
        </w:rPr>
        <w:t> </w:t>
      </w:r>
      <w:r>
        <w:rPr>
          <w:spacing w:val="-6"/>
        </w:rPr>
        <w:t>Jawahar</w:t>
      </w:r>
      <w:r>
        <w:rPr>
          <w:spacing w:val="-5"/>
        </w:rPr>
        <w:t> </w:t>
      </w:r>
      <w:r>
        <w:rPr>
          <w:spacing w:val="-6"/>
        </w:rPr>
        <w:t>Navodaya</w:t>
      </w:r>
      <w:r>
        <w:rPr>
          <w:spacing w:val="-7"/>
        </w:rPr>
        <w:t> </w:t>
      </w:r>
      <w:r>
        <w:rPr>
          <w:spacing w:val="-6"/>
        </w:rPr>
        <w:t>Vidyalaya, Imphal</w:t>
      </w:r>
    </w:p>
    <w:p>
      <w:pPr>
        <w:pStyle w:val="ListParagraph"/>
        <w:numPr>
          <w:ilvl w:val="0"/>
          <w:numId w:val="89"/>
        </w:numPr>
        <w:tabs>
          <w:tab w:pos="861" w:val="left" w:leader="none"/>
        </w:tabs>
        <w:spacing w:line="240" w:lineRule="auto" w:before="117" w:after="0"/>
        <w:ind w:left="861" w:right="0" w:hanging="359"/>
        <w:jc w:val="left"/>
        <w:rPr>
          <w:sz w:val="22"/>
        </w:rPr>
      </w:pPr>
      <w:r>
        <w:rPr>
          <w:spacing w:val="-4"/>
          <w:sz w:val="22"/>
        </w:rPr>
        <w:t>Mr.</w:t>
      </w:r>
      <w:r>
        <w:rPr>
          <w:spacing w:val="-10"/>
          <w:sz w:val="22"/>
        </w:rPr>
        <w:t> </w:t>
      </w:r>
      <w:r>
        <w:rPr>
          <w:spacing w:val="-4"/>
          <w:sz w:val="22"/>
        </w:rPr>
        <w:t>P.D.</w:t>
      </w:r>
      <w:r>
        <w:rPr>
          <w:spacing w:val="-7"/>
          <w:sz w:val="22"/>
        </w:rPr>
        <w:t> </w:t>
      </w:r>
      <w:r>
        <w:rPr>
          <w:spacing w:val="-5"/>
          <w:sz w:val="22"/>
        </w:rPr>
        <w:t>Rai</w:t>
      </w:r>
    </w:p>
    <w:p>
      <w:pPr>
        <w:pStyle w:val="BodyText"/>
        <w:spacing w:before="27"/>
        <w:ind w:left="862"/>
      </w:pPr>
      <w:r>
        <w:rPr>
          <w:spacing w:val="-4"/>
        </w:rPr>
        <w:t>Educational</w:t>
      </w:r>
      <w:r>
        <w:rPr>
          <w:spacing w:val="1"/>
        </w:rPr>
        <w:t> </w:t>
      </w:r>
      <w:r>
        <w:rPr>
          <w:spacing w:val="-4"/>
        </w:rPr>
        <w:t>Development</w:t>
      </w:r>
      <w:r>
        <w:rPr>
          <w:spacing w:val="-8"/>
        </w:rPr>
        <w:t> </w:t>
      </w:r>
      <w:r>
        <w:rPr>
          <w:spacing w:val="-4"/>
        </w:rPr>
        <w:t>Trust</w:t>
      </w:r>
      <w:r>
        <w:rPr>
          <w:spacing w:val="1"/>
        </w:rPr>
        <w:t> </w:t>
      </w:r>
      <w:r>
        <w:rPr>
          <w:spacing w:val="-4"/>
        </w:rPr>
        <w:t>of</w:t>
      </w:r>
      <w:r>
        <w:rPr>
          <w:spacing w:val="2"/>
        </w:rPr>
        <w:t> </w:t>
      </w:r>
      <w:r>
        <w:rPr>
          <w:spacing w:val="-4"/>
        </w:rPr>
        <w:t>Sikkim</w:t>
      </w:r>
    </w:p>
    <w:p>
      <w:pPr>
        <w:pStyle w:val="ListParagraph"/>
        <w:numPr>
          <w:ilvl w:val="0"/>
          <w:numId w:val="89"/>
        </w:numPr>
        <w:tabs>
          <w:tab w:pos="861" w:val="left" w:leader="none"/>
        </w:tabs>
        <w:spacing w:line="240" w:lineRule="auto" w:before="117" w:after="0"/>
        <w:ind w:left="861" w:right="0" w:hanging="359"/>
        <w:jc w:val="left"/>
        <w:rPr>
          <w:sz w:val="22"/>
        </w:rPr>
      </w:pPr>
      <w:r>
        <w:rPr>
          <w:spacing w:val="-6"/>
          <w:sz w:val="22"/>
        </w:rPr>
        <w:t>Fr.</w:t>
      </w:r>
      <w:r>
        <w:rPr>
          <w:spacing w:val="-8"/>
          <w:sz w:val="22"/>
        </w:rPr>
        <w:t> </w:t>
      </w:r>
      <w:r>
        <w:rPr>
          <w:spacing w:val="-6"/>
          <w:sz w:val="22"/>
        </w:rPr>
        <w:t>George</w:t>
      </w:r>
      <w:r>
        <w:rPr>
          <w:spacing w:val="-7"/>
          <w:sz w:val="22"/>
        </w:rPr>
        <w:t> </w:t>
      </w:r>
      <w:r>
        <w:rPr>
          <w:spacing w:val="-6"/>
          <w:sz w:val="22"/>
        </w:rPr>
        <w:t>A.</w:t>
      </w:r>
      <w:r>
        <w:rPr>
          <w:spacing w:val="-7"/>
          <w:sz w:val="22"/>
        </w:rPr>
        <w:t> </w:t>
      </w:r>
      <w:r>
        <w:rPr>
          <w:spacing w:val="-6"/>
          <w:sz w:val="22"/>
        </w:rPr>
        <w:t>D’Souza</w:t>
      </w:r>
    </w:p>
    <w:p>
      <w:pPr>
        <w:pStyle w:val="BodyText"/>
        <w:spacing w:before="27"/>
        <w:ind w:left="862"/>
      </w:pPr>
      <w:r>
        <w:rPr>
          <w:spacing w:val="-4"/>
        </w:rPr>
        <w:t>Principal,</w:t>
      </w:r>
      <w:r>
        <w:rPr>
          <w:spacing w:val="-3"/>
        </w:rPr>
        <w:t> </w:t>
      </w:r>
      <w:r>
        <w:rPr>
          <w:spacing w:val="-4"/>
        </w:rPr>
        <w:t>Namchi</w:t>
      </w:r>
      <w:r>
        <w:rPr>
          <w:spacing w:val="-2"/>
        </w:rPr>
        <w:t> </w:t>
      </w:r>
      <w:r>
        <w:rPr>
          <w:spacing w:val="-4"/>
        </w:rPr>
        <w:t>Public</w:t>
      </w:r>
      <w:r>
        <w:rPr>
          <w:spacing w:val="-3"/>
        </w:rPr>
        <w:t> </w:t>
      </w:r>
      <w:r>
        <w:rPr>
          <w:spacing w:val="-4"/>
        </w:rPr>
        <w:t>School,</w:t>
      </w:r>
      <w:r>
        <w:rPr>
          <w:spacing w:val="-2"/>
        </w:rPr>
        <w:t> </w:t>
      </w:r>
      <w:r>
        <w:rPr>
          <w:spacing w:val="-4"/>
        </w:rPr>
        <w:t>Sikkim</w:t>
      </w:r>
    </w:p>
    <w:p>
      <w:pPr>
        <w:pStyle w:val="ListParagraph"/>
        <w:numPr>
          <w:ilvl w:val="0"/>
          <w:numId w:val="89"/>
        </w:numPr>
        <w:tabs>
          <w:tab w:pos="861" w:val="left" w:leader="none"/>
        </w:tabs>
        <w:spacing w:line="240" w:lineRule="auto" w:before="117" w:after="0"/>
        <w:ind w:left="861" w:right="0" w:hanging="359"/>
        <w:jc w:val="left"/>
        <w:rPr>
          <w:sz w:val="22"/>
        </w:rPr>
      </w:pPr>
      <w:r>
        <w:rPr>
          <w:sz w:val="22"/>
        </w:rPr>
        <w:t>Mr.</w:t>
      </w:r>
      <w:r>
        <w:rPr>
          <w:spacing w:val="-6"/>
          <w:sz w:val="22"/>
        </w:rPr>
        <w:t> </w:t>
      </w:r>
      <w:r>
        <w:rPr>
          <w:sz w:val="22"/>
        </w:rPr>
        <w:t>K.N.</w:t>
      </w:r>
      <w:r>
        <w:rPr>
          <w:spacing w:val="-6"/>
          <w:sz w:val="22"/>
        </w:rPr>
        <w:t> </w:t>
      </w:r>
      <w:r>
        <w:rPr>
          <w:spacing w:val="-2"/>
          <w:sz w:val="22"/>
        </w:rPr>
        <w:t>Subudhi</w:t>
      </w:r>
    </w:p>
    <w:p>
      <w:pPr>
        <w:pStyle w:val="BodyText"/>
        <w:spacing w:line="266" w:lineRule="auto" w:before="27"/>
        <w:ind w:left="862" w:right="106"/>
      </w:pPr>
      <w:r>
        <w:rPr>
          <w:spacing w:val="-2"/>
        </w:rPr>
        <w:t>Deputy</w:t>
      </w:r>
      <w:r>
        <w:rPr>
          <w:spacing w:val="-12"/>
        </w:rPr>
        <w:t> </w:t>
      </w:r>
      <w:r>
        <w:rPr>
          <w:spacing w:val="-2"/>
        </w:rPr>
        <w:t>Director,</w:t>
      </w:r>
      <w:r>
        <w:rPr>
          <w:spacing w:val="-12"/>
        </w:rPr>
        <w:t> </w:t>
      </w:r>
      <w:r>
        <w:rPr>
          <w:spacing w:val="-2"/>
        </w:rPr>
        <w:t>VE</w:t>
      </w:r>
      <w:r>
        <w:rPr>
          <w:spacing w:val="-9"/>
        </w:rPr>
        <w:t> </w:t>
      </w:r>
      <w:r>
        <w:rPr>
          <w:spacing w:val="-2"/>
        </w:rPr>
        <w:t>(Coord.),</w:t>
      </w:r>
      <w:r>
        <w:rPr>
          <w:spacing w:val="-10"/>
        </w:rPr>
        <w:t> </w:t>
      </w:r>
      <w:r>
        <w:rPr>
          <w:spacing w:val="-2"/>
        </w:rPr>
        <w:t>Human</w:t>
      </w:r>
      <w:r>
        <w:rPr>
          <w:spacing w:val="-10"/>
        </w:rPr>
        <w:t> </w:t>
      </w:r>
      <w:r>
        <w:rPr>
          <w:spacing w:val="-2"/>
        </w:rPr>
        <w:t>Resource </w:t>
      </w:r>
      <w:r>
        <w:rPr/>
        <w:t>Development Department (HRDD), Sikkim</w:t>
      </w:r>
    </w:p>
    <w:p>
      <w:pPr>
        <w:pStyle w:val="ListParagraph"/>
        <w:numPr>
          <w:ilvl w:val="0"/>
          <w:numId w:val="89"/>
        </w:numPr>
        <w:tabs>
          <w:tab w:pos="861" w:val="left" w:leader="none"/>
        </w:tabs>
        <w:spacing w:line="240" w:lineRule="auto" w:before="88" w:after="0"/>
        <w:ind w:left="861" w:right="0" w:hanging="359"/>
        <w:jc w:val="left"/>
        <w:rPr>
          <w:sz w:val="22"/>
        </w:rPr>
      </w:pPr>
      <w:r>
        <w:rPr>
          <w:sz w:val="22"/>
        </w:rPr>
        <w:t>Mr.</w:t>
      </w:r>
      <w:r>
        <w:rPr>
          <w:spacing w:val="-13"/>
          <w:sz w:val="22"/>
        </w:rPr>
        <w:t> </w:t>
      </w:r>
      <w:r>
        <w:rPr>
          <w:sz w:val="22"/>
        </w:rPr>
        <w:t>B.</w:t>
      </w:r>
      <w:r>
        <w:rPr>
          <w:spacing w:val="-13"/>
          <w:sz w:val="22"/>
        </w:rPr>
        <w:t> </w:t>
      </w:r>
      <w:r>
        <w:rPr>
          <w:spacing w:val="-2"/>
          <w:sz w:val="22"/>
        </w:rPr>
        <w:t>Bagdas</w:t>
      </w:r>
    </w:p>
    <w:p>
      <w:pPr>
        <w:pStyle w:val="BodyText"/>
        <w:spacing w:before="27"/>
        <w:ind w:left="862"/>
      </w:pPr>
      <w:r>
        <w:rPr/>
        <w:t>Joint</w:t>
      </w:r>
      <w:r>
        <w:rPr>
          <w:spacing w:val="-4"/>
        </w:rPr>
        <w:t> </w:t>
      </w:r>
      <w:r>
        <w:rPr/>
        <w:t>Director,</w:t>
      </w:r>
      <w:r>
        <w:rPr>
          <w:spacing w:val="-4"/>
        </w:rPr>
        <w:t> </w:t>
      </w:r>
      <w:r>
        <w:rPr/>
        <w:t>PME,</w:t>
      </w:r>
      <w:r>
        <w:rPr>
          <w:spacing w:val="-4"/>
        </w:rPr>
        <w:t> </w:t>
      </w:r>
      <w:r>
        <w:rPr/>
        <w:t>HRDD,</w:t>
      </w:r>
      <w:r>
        <w:rPr>
          <w:spacing w:val="-4"/>
        </w:rPr>
        <w:t> </w:t>
      </w:r>
      <w:r>
        <w:rPr>
          <w:spacing w:val="-2"/>
        </w:rPr>
        <w:t>Sikkim</w:t>
      </w:r>
    </w:p>
    <w:p>
      <w:pPr>
        <w:pStyle w:val="ListParagraph"/>
        <w:numPr>
          <w:ilvl w:val="0"/>
          <w:numId w:val="89"/>
        </w:numPr>
        <w:tabs>
          <w:tab w:pos="861" w:val="left" w:leader="none"/>
        </w:tabs>
        <w:spacing w:line="240" w:lineRule="auto" w:before="117" w:after="0"/>
        <w:ind w:left="861" w:right="0" w:hanging="359"/>
        <w:jc w:val="left"/>
        <w:rPr>
          <w:sz w:val="22"/>
        </w:rPr>
      </w:pPr>
      <w:r>
        <w:rPr>
          <w:spacing w:val="-4"/>
          <w:sz w:val="22"/>
        </w:rPr>
        <w:t>Ms.</w:t>
      </w:r>
      <w:r>
        <w:rPr>
          <w:spacing w:val="-10"/>
          <w:sz w:val="22"/>
        </w:rPr>
        <w:t> </w:t>
      </w:r>
      <w:r>
        <w:rPr>
          <w:spacing w:val="-4"/>
          <w:sz w:val="22"/>
        </w:rPr>
        <w:t>Anamika</w:t>
      </w:r>
      <w:r>
        <w:rPr>
          <w:spacing w:val="-9"/>
          <w:sz w:val="22"/>
        </w:rPr>
        <w:t> </w:t>
      </w:r>
      <w:r>
        <w:rPr>
          <w:spacing w:val="-4"/>
          <w:sz w:val="22"/>
        </w:rPr>
        <w:t>Debarma</w:t>
      </w:r>
    </w:p>
    <w:p>
      <w:pPr>
        <w:pStyle w:val="BodyText"/>
        <w:spacing w:before="27"/>
        <w:ind w:left="862"/>
      </w:pPr>
      <w:r>
        <w:rPr>
          <w:spacing w:val="-6"/>
        </w:rPr>
        <w:t>Headmistress,</w:t>
      </w:r>
      <w:r>
        <w:rPr>
          <w:spacing w:val="8"/>
        </w:rPr>
        <w:t> </w:t>
      </w:r>
      <w:r>
        <w:rPr>
          <w:spacing w:val="-6"/>
        </w:rPr>
        <w:t>Higher</w:t>
      </w:r>
      <w:r>
        <w:rPr>
          <w:spacing w:val="8"/>
        </w:rPr>
        <w:t> </w:t>
      </w:r>
      <w:r>
        <w:rPr>
          <w:spacing w:val="-6"/>
        </w:rPr>
        <w:t>Secondary,</w:t>
      </w:r>
      <w:r>
        <w:rPr>
          <w:spacing w:val="8"/>
        </w:rPr>
        <w:t> </w:t>
      </w:r>
      <w:r>
        <w:rPr>
          <w:spacing w:val="-6"/>
        </w:rPr>
        <w:t>Jirania,</w:t>
      </w:r>
      <w:r>
        <w:rPr>
          <w:spacing w:val="-4"/>
        </w:rPr>
        <w:t> </w:t>
      </w:r>
      <w:r>
        <w:rPr>
          <w:spacing w:val="-6"/>
        </w:rPr>
        <w:t>Tripura</w:t>
      </w:r>
    </w:p>
    <w:p>
      <w:pPr>
        <w:pStyle w:val="ListParagraph"/>
        <w:numPr>
          <w:ilvl w:val="0"/>
          <w:numId w:val="89"/>
        </w:numPr>
        <w:tabs>
          <w:tab w:pos="861" w:val="left" w:leader="none"/>
        </w:tabs>
        <w:spacing w:line="240" w:lineRule="auto" w:before="117" w:after="0"/>
        <w:ind w:left="861" w:right="0" w:hanging="359"/>
        <w:jc w:val="left"/>
        <w:rPr>
          <w:sz w:val="22"/>
        </w:rPr>
      </w:pPr>
      <w:r>
        <w:rPr>
          <w:sz w:val="22"/>
        </w:rPr>
        <w:t>Mr. N.</w:t>
      </w:r>
      <w:r>
        <w:rPr>
          <w:spacing w:val="1"/>
          <w:sz w:val="22"/>
        </w:rPr>
        <w:t> </w:t>
      </w:r>
      <w:r>
        <w:rPr>
          <w:spacing w:val="-2"/>
          <w:sz w:val="22"/>
        </w:rPr>
        <w:t>Sinha</w:t>
      </w:r>
    </w:p>
    <w:p>
      <w:pPr>
        <w:pStyle w:val="BodyText"/>
        <w:spacing w:before="27"/>
        <w:ind w:left="862"/>
      </w:pPr>
      <w:r>
        <w:rPr>
          <w:spacing w:val="-8"/>
        </w:rPr>
        <w:t>Lecturer,</w:t>
      </w:r>
      <w:r>
        <w:rPr>
          <w:spacing w:val="7"/>
        </w:rPr>
        <w:t> </w:t>
      </w:r>
      <w:r>
        <w:rPr>
          <w:spacing w:val="-8"/>
        </w:rPr>
        <w:t>SCERT,</w:t>
      </w:r>
      <w:r>
        <w:rPr>
          <w:spacing w:val="-3"/>
        </w:rPr>
        <w:t> </w:t>
      </w:r>
      <w:r>
        <w:rPr>
          <w:spacing w:val="-8"/>
        </w:rPr>
        <w:t>Tripura</w:t>
      </w:r>
    </w:p>
    <w:p>
      <w:pPr>
        <w:pStyle w:val="ListParagraph"/>
        <w:numPr>
          <w:ilvl w:val="0"/>
          <w:numId w:val="89"/>
        </w:numPr>
        <w:tabs>
          <w:tab w:pos="832" w:val="left" w:leader="none"/>
        </w:tabs>
        <w:spacing w:line="240" w:lineRule="auto" w:before="118" w:after="0"/>
        <w:ind w:left="832" w:right="0" w:hanging="330"/>
        <w:jc w:val="left"/>
        <w:rPr>
          <w:sz w:val="22"/>
        </w:rPr>
      </w:pPr>
      <w:r>
        <w:rPr>
          <w:sz w:val="22"/>
        </w:rPr>
        <w:t>Mr.</w:t>
      </w:r>
      <w:r>
        <w:rPr>
          <w:spacing w:val="-10"/>
          <w:sz w:val="22"/>
        </w:rPr>
        <w:t> </w:t>
      </w:r>
      <w:r>
        <w:rPr>
          <w:sz w:val="22"/>
        </w:rPr>
        <w:t>L.C.</w:t>
      </w:r>
      <w:r>
        <w:rPr>
          <w:spacing w:val="-10"/>
          <w:sz w:val="22"/>
        </w:rPr>
        <w:t> </w:t>
      </w:r>
      <w:r>
        <w:rPr>
          <w:spacing w:val="-5"/>
          <w:sz w:val="22"/>
        </w:rPr>
        <w:t>Das</w:t>
      </w:r>
    </w:p>
    <w:p>
      <w:pPr>
        <w:pStyle w:val="BodyText"/>
        <w:spacing w:before="27"/>
        <w:ind w:left="862"/>
      </w:pPr>
      <w:r>
        <w:rPr>
          <w:spacing w:val="-6"/>
        </w:rPr>
        <w:t>Headmaster,</w:t>
      </w:r>
      <w:r>
        <w:rPr>
          <w:spacing w:val="10"/>
        </w:rPr>
        <w:t> </w:t>
      </w:r>
      <w:r>
        <w:rPr>
          <w:spacing w:val="-6"/>
        </w:rPr>
        <w:t>Higher</w:t>
      </w:r>
      <w:r>
        <w:rPr>
          <w:spacing w:val="10"/>
        </w:rPr>
        <w:t> </w:t>
      </w:r>
      <w:r>
        <w:rPr>
          <w:spacing w:val="-6"/>
        </w:rPr>
        <w:t>Secondary,</w:t>
      </w:r>
      <w:r>
        <w:rPr>
          <w:spacing w:val="11"/>
        </w:rPr>
        <w:t> </w:t>
      </w:r>
      <w:r>
        <w:rPr>
          <w:spacing w:val="-6"/>
        </w:rPr>
        <w:t>Udaypur,</w:t>
      </w:r>
      <w:r>
        <w:rPr>
          <w:spacing w:val="-2"/>
        </w:rPr>
        <w:t> </w:t>
      </w:r>
      <w:r>
        <w:rPr>
          <w:spacing w:val="-6"/>
        </w:rPr>
        <w:t>Tripura</w:t>
      </w:r>
    </w:p>
    <w:p>
      <w:pPr>
        <w:pStyle w:val="ListParagraph"/>
        <w:numPr>
          <w:ilvl w:val="0"/>
          <w:numId w:val="89"/>
        </w:numPr>
        <w:tabs>
          <w:tab w:pos="861" w:val="left" w:leader="none"/>
        </w:tabs>
        <w:spacing w:line="240" w:lineRule="auto" w:before="117" w:after="0"/>
        <w:ind w:left="861" w:right="0" w:hanging="359"/>
        <w:jc w:val="left"/>
        <w:rPr>
          <w:sz w:val="22"/>
        </w:rPr>
      </w:pPr>
      <w:r>
        <w:rPr>
          <w:sz w:val="22"/>
        </w:rPr>
        <w:t>Ms.</w:t>
      </w:r>
      <w:r>
        <w:rPr>
          <w:spacing w:val="-12"/>
          <w:sz w:val="22"/>
        </w:rPr>
        <w:t> </w:t>
      </w:r>
      <w:r>
        <w:rPr>
          <w:sz w:val="22"/>
        </w:rPr>
        <w:t>A.</w:t>
      </w:r>
      <w:r>
        <w:rPr>
          <w:spacing w:val="-12"/>
          <w:sz w:val="22"/>
        </w:rPr>
        <w:t> </w:t>
      </w:r>
      <w:r>
        <w:rPr>
          <w:sz w:val="22"/>
        </w:rPr>
        <w:t>Deb</w:t>
      </w:r>
      <w:r>
        <w:rPr>
          <w:spacing w:val="-12"/>
          <w:sz w:val="22"/>
        </w:rPr>
        <w:t> </w:t>
      </w:r>
      <w:r>
        <w:rPr>
          <w:spacing w:val="-2"/>
          <w:sz w:val="22"/>
        </w:rPr>
        <w:t>Burman</w:t>
      </w:r>
    </w:p>
    <w:p>
      <w:pPr>
        <w:pStyle w:val="BodyText"/>
        <w:spacing w:before="27"/>
        <w:ind w:left="862"/>
      </w:pPr>
      <w:r>
        <w:rPr>
          <w:spacing w:val="-4"/>
        </w:rPr>
        <w:t>Tripura</w:t>
      </w:r>
      <w:r>
        <w:rPr>
          <w:spacing w:val="-9"/>
        </w:rPr>
        <w:t> </w:t>
      </w:r>
      <w:r>
        <w:rPr>
          <w:spacing w:val="-4"/>
        </w:rPr>
        <w:t>Adibashi</w:t>
      </w:r>
      <w:r>
        <w:rPr>
          <w:spacing w:val="-9"/>
        </w:rPr>
        <w:t> </w:t>
      </w:r>
      <w:r>
        <w:rPr>
          <w:spacing w:val="-4"/>
        </w:rPr>
        <w:t>Mahila</w:t>
      </w:r>
      <w:r>
        <w:rPr>
          <w:spacing w:val="-9"/>
        </w:rPr>
        <w:t> </w:t>
      </w:r>
      <w:r>
        <w:rPr>
          <w:spacing w:val="-4"/>
        </w:rPr>
        <w:t>Samiti</w:t>
      </w:r>
    </w:p>
    <w:p>
      <w:pPr>
        <w:pStyle w:val="ListParagraph"/>
        <w:numPr>
          <w:ilvl w:val="0"/>
          <w:numId w:val="89"/>
        </w:numPr>
        <w:tabs>
          <w:tab w:pos="861" w:val="left" w:leader="none"/>
        </w:tabs>
        <w:spacing w:line="240" w:lineRule="auto" w:before="117" w:after="0"/>
        <w:ind w:left="861" w:right="0" w:hanging="359"/>
        <w:jc w:val="left"/>
        <w:rPr>
          <w:sz w:val="22"/>
        </w:rPr>
      </w:pPr>
      <w:r>
        <w:rPr>
          <w:sz w:val="22"/>
        </w:rPr>
        <w:t>Mr.</w:t>
      </w:r>
      <w:r>
        <w:rPr>
          <w:spacing w:val="-4"/>
          <w:sz w:val="22"/>
        </w:rPr>
        <w:t> </w:t>
      </w:r>
      <w:r>
        <w:rPr>
          <w:sz w:val="22"/>
        </w:rPr>
        <w:t>M.</w:t>
      </w:r>
      <w:r>
        <w:rPr>
          <w:spacing w:val="-3"/>
          <w:sz w:val="22"/>
        </w:rPr>
        <w:t> </w:t>
      </w:r>
      <w:r>
        <w:rPr>
          <w:spacing w:val="-4"/>
          <w:sz w:val="22"/>
        </w:rPr>
        <w:t>Rina</w:t>
      </w:r>
    </w:p>
    <w:p>
      <w:pPr>
        <w:pStyle w:val="BodyText"/>
        <w:spacing w:line="266" w:lineRule="auto" w:before="27"/>
        <w:ind w:left="862" w:right="1394"/>
      </w:pPr>
      <w:r>
        <w:rPr>
          <w:spacing w:val="-2"/>
        </w:rPr>
        <w:t>Deputy</w:t>
      </w:r>
      <w:r>
        <w:rPr>
          <w:spacing w:val="-12"/>
        </w:rPr>
        <w:t> </w:t>
      </w:r>
      <w:r>
        <w:rPr>
          <w:spacing w:val="-2"/>
        </w:rPr>
        <w:t>Director,</w:t>
      </w:r>
      <w:r>
        <w:rPr>
          <w:spacing w:val="-12"/>
        </w:rPr>
        <w:t> </w:t>
      </w:r>
      <w:r>
        <w:rPr>
          <w:spacing w:val="-2"/>
        </w:rPr>
        <w:t>School</w:t>
      </w:r>
      <w:r>
        <w:rPr>
          <w:spacing w:val="-12"/>
        </w:rPr>
        <w:t> </w:t>
      </w:r>
      <w:r>
        <w:rPr>
          <w:spacing w:val="-2"/>
        </w:rPr>
        <w:t>Education,</w:t>
      </w:r>
      <w:r>
        <w:rPr>
          <w:spacing w:val="-11"/>
        </w:rPr>
        <w:t> </w:t>
      </w:r>
      <w:r>
        <w:rPr>
          <w:spacing w:val="-2"/>
        </w:rPr>
        <w:t>Arunachal Pradesh</w:t>
      </w:r>
    </w:p>
    <w:p>
      <w:pPr>
        <w:pStyle w:val="ListParagraph"/>
        <w:numPr>
          <w:ilvl w:val="0"/>
          <w:numId w:val="89"/>
        </w:numPr>
        <w:tabs>
          <w:tab w:pos="862" w:val="left" w:leader="none"/>
        </w:tabs>
        <w:spacing w:line="266" w:lineRule="auto" w:before="88" w:after="0"/>
        <w:ind w:left="862" w:right="3422" w:hanging="360"/>
        <w:jc w:val="left"/>
        <w:rPr>
          <w:sz w:val="22"/>
        </w:rPr>
      </w:pPr>
      <w:r>
        <w:rPr>
          <w:sz w:val="22"/>
        </w:rPr>
        <w:t>Mr. B. P. Sinha </w:t>
      </w:r>
      <w:r>
        <w:rPr>
          <w:spacing w:val="-4"/>
          <w:sz w:val="22"/>
        </w:rPr>
        <w:t>Principal,</w:t>
      </w:r>
      <w:r>
        <w:rPr>
          <w:spacing w:val="-10"/>
          <w:sz w:val="22"/>
        </w:rPr>
        <w:t> </w:t>
      </w:r>
      <w:r>
        <w:rPr>
          <w:spacing w:val="-4"/>
          <w:sz w:val="22"/>
        </w:rPr>
        <w:t>DIET,</w:t>
      </w:r>
      <w:r>
        <w:rPr>
          <w:spacing w:val="-9"/>
          <w:sz w:val="22"/>
        </w:rPr>
        <w:t> </w:t>
      </w:r>
      <w:r>
        <w:rPr>
          <w:spacing w:val="-4"/>
          <w:sz w:val="22"/>
        </w:rPr>
        <w:t>Roing </w:t>
      </w:r>
      <w:r>
        <w:rPr>
          <w:sz w:val="22"/>
        </w:rPr>
        <w:t>Arunachal Pradesh</w:t>
      </w:r>
    </w:p>
    <w:p>
      <w:pPr>
        <w:pStyle w:val="ListParagraph"/>
        <w:numPr>
          <w:ilvl w:val="0"/>
          <w:numId w:val="89"/>
        </w:numPr>
        <w:tabs>
          <w:tab w:pos="861" w:val="left" w:leader="none"/>
        </w:tabs>
        <w:spacing w:line="240" w:lineRule="auto" w:before="88" w:after="0"/>
        <w:ind w:left="861" w:right="0" w:hanging="359"/>
        <w:jc w:val="left"/>
        <w:rPr>
          <w:sz w:val="22"/>
        </w:rPr>
      </w:pPr>
      <w:r>
        <w:rPr>
          <w:spacing w:val="-4"/>
          <w:sz w:val="22"/>
        </w:rPr>
        <w:t>Ms.</w:t>
      </w:r>
      <w:r>
        <w:rPr>
          <w:spacing w:val="-6"/>
          <w:sz w:val="22"/>
        </w:rPr>
        <w:t> </w:t>
      </w:r>
      <w:r>
        <w:rPr>
          <w:spacing w:val="-4"/>
          <w:sz w:val="22"/>
        </w:rPr>
        <w:t>Labi</w:t>
      </w:r>
      <w:r>
        <w:rPr>
          <w:spacing w:val="-5"/>
          <w:sz w:val="22"/>
        </w:rPr>
        <w:t> </w:t>
      </w:r>
      <w:r>
        <w:rPr>
          <w:spacing w:val="-4"/>
          <w:sz w:val="22"/>
        </w:rPr>
        <w:t>Lombi</w:t>
      </w:r>
    </w:p>
    <w:p>
      <w:pPr>
        <w:pStyle w:val="BodyText"/>
        <w:spacing w:before="27"/>
        <w:ind w:left="862"/>
      </w:pPr>
      <w:r>
        <w:rPr>
          <w:spacing w:val="-6"/>
        </w:rPr>
        <w:t>Arunachal</w:t>
      </w:r>
      <w:r>
        <w:rPr>
          <w:spacing w:val="-1"/>
        </w:rPr>
        <w:t> </w:t>
      </w:r>
      <w:r>
        <w:rPr>
          <w:spacing w:val="-6"/>
        </w:rPr>
        <w:t>Citizens’</w:t>
      </w:r>
      <w:r>
        <w:rPr/>
        <w:t> </w:t>
      </w:r>
      <w:r>
        <w:rPr>
          <w:spacing w:val="-6"/>
        </w:rPr>
        <w:t>Rights</w:t>
      </w:r>
      <w:r>
        <w:rPr/>
        <w:t> </w:t>
      </w:r>
      <w:r>
        <w:rPr>
          <w:spacing w:val="-6"/>
        </w:rPr>
        <w:t>(ACR)</w:t>
      </w:r>
    </w:p>
    <w:p>
      <w:pPr>
        <w:pStyle w:val="ListParagraph"/>
        <w:numPr>
          <w:ilvl w:val="0"/>
          <w:numId w:val="89"/>
        </w:numPr>
        <w:tabs>
          <w:tab w:pos="862" w:val="left" w:leader="none"/>
        </w:tabs>
        <w:spacing w:line="266" w:lineRule="auto" w:before="117" w:after="0"/>
        <w:ind w:left="862" w:right="3542" w:hanging="360"/>
        <w:jc w:val="left"/>
        <w:rPr>
          <w:sz w:val="22"/>
        </w:rPr>
      </w:pPr>
      <w:r>
        <w:rPr>
          <w:sz w:val="22"/>
        </w:rPr>
        <w:t>Mr. Ashok Tajo </w:t>
      </w:r>
      <w:r>
        <w:rPr>
          <w:spacing w:val="-4"/>
          <w:sz w:val="22"/>
        </w:rPr>
        <w:t>Deputy</w:t>
      </w:r>
      <w:r>
        <w:rPr>
          <w:spacing w:val="-10"/>
          <w:sz w:val="22"/>
        </w:rPr>
        <w:t> </w:t>
      </w:r>
      <w:r>
        <w:rPr>
          <w:spacing w:val="-4"/>
          <w:sz w:val="22"/>
        </w:rPr>
        <w:t>Director,</w:t>
      </w:r>
      <w:r>
        <w:rPr>
          <w:spacing w:val="-10"/>
          <w:sz w:val="22"/>
        </w:rPr>
        <w:t> </w:t>
      </w:r>
      <w:r>
        <w:rPr>
          <w:spacing w:val="-4"/>
          <w:sz w:val="22"/>
        </w:rPr>
        <w:t>SSA </w:t>
      </w:r>
      <w:r>
        <w:rPr>
          <w:sz w:val="22"/>
        </w:rPr>
        <w:t>Arunachal Pradesh</w:t>
      </w:r>
    </w:p>
    <w:p>
      <w:pPr>
        <w:pStyle w:val="ListParagraph"/>
        <w:numPr>
          <w:ilvl w:val="0"/>
          <w:numId w:val="89"/>
        </w:numPr>
        <w:tabs>
          <w:tab w:pos="861" w:val="left" w:leader="none"/>
        </w:tabs>
        <w:spacing w:line="240" w:lineRule="auto" w:before="87" w:after="0"/>
        <w:ind w:left="861" w:right="0" w:hanging="359"/>
        <w:jc w:val="left"/>
        <w:rPr>
          <w:sz w:val="22"/>
        </w:rPr>
      </w:pPr>
      <w:r>
        <w:rPr>
          <w:spacing w:val="-4"/>
          <w:sz w:val="22"/>
        </w:rPr>
        <w:t>Mr.</w:t>
      </w:r>
      <w:r>
        <w:rPr>
          <w:spacing w:val="-9"/>
          <w:sz w:val="22"/>
        </w:rPr>
        <w:t> </w:t>
      </w:r>
      <w:r>
        <w:rPr>
          <w:spacing w:val="-4"/>
          <w:sz w:val="22"/>
        </w:rPr>
        <w:t>Binoy</w:t>
      </w:r>
      <w:r>
        <w:rPr>
          <w:spacing w:val="-9"/>
          <w:sz w:val="22"/>
        </w:rPr>
        <w:t> </w:t>
      </w:r>
      <w:r>
        <w:rPr>
          <w:spacing w:val="-4"/>
          <w:sz w:val="22"/>
        </w:rPr>
        <w:t>Boruah</w:t>
      </w:r>
    </w:p>
    <w:p>
      <w:pPr>
        <w:pStyle w:val="BodyText"/>
        <w:spacing w:line="266" w:lineRule="auto" w:before="27"/>
        <w:ind w:left="862" w:right="1591"/>
      </w:pPr>
      <w:r>
        <w:rPr>
          <w:spacing w:val="-6"/>
        </w:rPr>
        <w:t>Teacher, Govt. School University </w:t>
      </w:r>
      <w:r>
        <w:rPr>
          <w:spacing w:val="-6"/>
        </w:rPr>
        <w:t>Campus </w:t>
      </w:r>
      <w:r>
        <w:rPr/>
        <w:t>Rono Hills, Arunachal Pradesh</w:t>
      </w:r>
    </w:p>
    <w:p>
      <w:pPr>
        <w:pStyle w:val="ListParagraph"/>
        <w:numPr>
          <w:ilvl w:val="0"/>
          <w:numId w:val="89"/>
        </w:numPr>
        <w:tabs>
          <w:tab w:pos="861" w:val="left" w:leader="none"/>
        </w:tabs>
        <w:spacing w:line="240" w:lineRule="auto" w:before="89" w:after="0"/>
        <w:ind w:left="861" w:right="0" w:hanging="359"/>
        <w:jc w:val="left"/>
        <w:rPr>
          <w:sz w:val="22"/>
        </w:rPr>
      </w:pPr>
      <w:r>
        <w:rPr>
          <w:sz w:val="22"/>
        </w:rPr>
        <w:t>Mr.</w:t>
      </w:r>
      <w:r>
        <w:rPr>
          <w:spacing w:val="-4"/>
          <w:sz w:val="22"/>
        </w:rPr>
        <w:t> </w:t>
      </w:r>
      <w:r>
        <w:rPr>
          <w:sz w:val="22"/>
        </w:rPr>
        <w:t>G.</w:t>
      </w:r>
      <w:r>
        <w:rPr>
          <w:spacing w:val="-14"/>
          <w:sz w:val="22"/>
        </w:rPr>
        <w:t> </w:t>
      </w:r>
      <w:r>
        <w:rPr>
          <w:spacing w:val="-2"/>
          <w:sz w:val="22"/>
        </w:rPr>
        <w:t>Tachang</w:t>
      </w:r>
    </w:p>
    <w:p>
      <w:pPr>
        <w:pStyle w:val="BodyText"/>
        <w:spacing w:line="266" w:lineRule="auto" w:before="27"/>
        <w:ind w:left="862" w:right="1679"/>
      </w:pPr>
      <w:r>
        <w:rPr>
          <w:spacing w:val="-4"/>
        </w:rPr>
        <w:t>Block</w:t>
      </w:r>
      <w:r>
        <w:rPr>
          <w:spacing w:val="-7"/>
        </w:rPr>
        <w:t> </w:t>
      </w:r>
      <w:r>
        <w:rPr>
          <w:spacing w:val="-4"/>
        </w:rPr>
        <w:t>Resource</w:t>
      </w:r>
      <w:r>
        <w:rPr>
          <w:spacing w:val="-7"/>
        </w:rPr>
        <w:t> </w:t>
      </w:r>
      <w:r>
        <w:rPr>
          <w:spacing w:val="-4"/>
        </w:rPr>
        <w:t>Centre</w:t>
      </w:r>
      <w:r>
        <w:rPr>
          <w:spacing w:val="-7"/>
        </w:rPr>
        <w:t> </w:t>
      </w:r>
      <w:r>
        <w:rPr>
          <w:spacing w:val="-4"/>
        </w:rPr>
        <w:t>Coordinator </w:t>
      </w:r>
      <w:r>
        <w:rPr/>
        <w:t>Mengio, Arunachal Pradesh</w:t>
      </w:r>
    </w:p>
    <w:p>
      <w:pPr>
        <w:pStyle w:val="BodyText"/>
        <w:spacing w:before="15"/>
      </w:pPr>
    </w:p>
    <w:p>
      <w:pPr>
        <w:spacing w:line="266" w:lineRule="auto" w:before="0"/>
        <w:ind w:left="502" w:right="1591" w:firstLine="0"/>
        <w:jc w:val="left"/>
        <w:rPr>
          <w:b/>
          <w:i/>
          <w:sz w:val="22"/>
        </w:rPr>
      </w:pPr>
      <w:r>
        <w:rPr>
          <w:b/>
          <w:i/>
          <w:spacing w:val="-4"/>
          <w:sz w:val="22"/>
        </w:rPr>
        <w:t>Northern</w:t>
      </w:r>
      <w:r>
        <w:rPr>
          <w:b/>
          <w:i/>
          <w:spacing w:val="-10"/>
          <w:sz w:val="22"/>
        </w:rPr>
        <w:t> </w:t>
      </w:r>
      <w:r>
        <w:rPr>
          <w:b/>
          <w:i/>
          <w:spacing w:val="-4"/>
          <w:sz w:val="22"/>
        </w:rPr>
        <w:t>Region</w:t>
      </w:r>
      <w:r>
        <w:rPr>
          <w:b/>
          <w:i/>
          <w:spacing w:val="-10"/>
          <w:sz w:val="22"/>
        </w:rPr>
        <w:t> </w:t>
      </w:r>
      <w:r>
        <w:rPr>
          <w:b/>
          <w:i/>
          <w:spacing w:val="-4"/>
          <w:sz w:val="22"/>
        </w:rPr>
        <w:t>at</w:t>
      </w:r>
      <w:r>
        <w:rPr>
          <w:b/>
          <w:i/>
          <w:spacing w:val="-10"/>
          <w:sz w:val="22"/>
        </w:rPr>
        <w:t> </w:t>
      </w:r>
      <w:r>
        <w:rPr>
          <w:b/>
          <w:i/>
          <w:spacing w:val="-4"/>
          <w:sz w:val="22"/>
        </w:rPr>
        <w:t>India</w:t>
      </w:r>
      <w:r>
        <w:rPr>
          <w:b/>
          <w:i/>
          <w:spacing w:val="-9"/>
          <w:sz w:val="22"/>
        </w:rPr>
        <w:t> </w:t>
      </w:r>
      <w:r>
        <w:rPr>
          <w:b/>
          <w:i/>
          <w:spacing w:val="-4"/>
          <w:sz w:val="22"/>
        </w:rPr>
        <w:t>Habitat</w:t>
      </w:r>
      <w:r>
        <w:rPr>
          <w:b/>
          <w:i/>
          <w:spacing w:val="-10"/>
          <w:sz w:val="22"/>
        </w:rPr>
        <w:t> </w:t>
      </w:r>
      <w:r>
        <w:rPr>
          <w:b/>
          <w:i/>
          <w:spacing w:val="-4"/>
          <w:sz w:val="22"/>
        </w:rPr>
        <w:t>Centre,</w:t>
      </w:r>
      <w:r>
        <w:rPr>
          <w:b/>
          <w:i/>
          <w:spacing w:val="-10"/>
          <w:sz w:val="22"/>
        </w:rPr>
        <w:t> </w:t>
      </w:r>
      <w:r>
        <w:rPr>
          <w:b/>
          <w:i/>
          <w:spacing w:val="-4"/>
          <w:sz w:val="22"/>
        </w:rPr>
        <w:t>Delhi, </w:t>
      </w:r>
      <w:r>
        <w:rPr>
          <w:b/>
          <w:i/>
          <w:sz w:val="22"/>
        </w:rPr>
        <w:t>20th November, 2007</w:t>
      </w:r>
    </w:p>
    <w:p>
      <w:pPr>
        <w:pStyle w:val="ListParagraph"/>
        <w:numPr>
          <w:ilvl w:val="0"/>
          <w:numId w:val="90"/>
        </w:numPr>
        <w:tabs>
          <w:tab w:pos="861" w:val="left" w:leader="none"/>
        </w:tabs>
        <w:spacing w:line="240" w:lineRule="auto" w:before="178" w:after="0"/>
        <w:ind w:left="861" w:right="0" w:hanging="359"/>
        <w:jc w:val="left"/>
        <w:rPr>
          <w:sz w:val="22"/>
        </w:rPr>
      </w:pPr>
      <w:r>
        <w:rPr>
          <w:spacing w:val="-2"/>
          <w:sz w:val="22"/>
        </w:rPr>
        <w:t>Mr.</w:t>
      </w:r>
      <w:r>
        <w:rPr>
          <w:spacing w:val="-5"/>
          <w:sz w:val="22"/>
        </w:rPr>
        <w:t> </w:t>
      </w:r>
      <w:r>
        <w:rPr>
          <w:spacing w:val="-2"/>
          <w:sz w:val="22"/>
        </w:rPr>
        <w:t>Mohammad</w:t>
      </w:r>
      <w:r>
        <w:rPr>
          <w:spacing w:val="-4"/>
          <w:sz w:val="22"/>
        </w:rPr>
        <w:t> Rafi</w:t>
      </w:r>
    </w:p>
    <w:p>
      <w:pPr>
        <w:pStyle w:val="BodyText"/>
        <w:spacing w:before="27"/>
        <w:ind w:left="862"/>
      </w:pPr>
      <w:r>
        <w:rPr>
          <w:spacing w:val="-2"/>
        </w:rPr>
        <w:t>Director</w:t>
      </w:r>
      <w:r>
        <w:rPr>
          <w:spacing w:val="-5"/>
        </w:rPr>
        <w:t> </w:t>
      </w:r>
      <w:r>
        <w:rPr>
          <w:spacing w:val="-2"/>
        </w:rPr>
        <w:t>of</w:t>
      </w:r>
      <w:r>
        <w:rPr>
          <w:spacing w:val="-5"/>
        </w:rPr>
        <w:t> </w:t>
      </w:r>
      <w:r>
        <w:rPr>
          <w:spacing w:val="-2"/>
        </w:rPr>
        <w:t>Education,</w:t>
      </w:r>
      <w:r>
        <w:rPr>
          <w:spacing w:val="-5"/>
        </w:rPr>
        <w:t> </w:t>
      </w:r>
      <w:r>
        <w:rPr>
          <w:spacing w:val="-2"/>
        </w:rPr>
        <w:t>Srinagar</w:t>
      </w:r>
    </w:p>
    <w:p>
      <w:pPr>
        <w:spacing w:after="0"/>
        <w:sectPr>
          <w:pgSz w:w="11910" w:h="16840"/>
          <w:pgMar w:header="0" w:footer="675" w:top="960" w:bottom="860" w:left="0" w:right="0"/>
          <w:cols w:num="2" w:equalWidth="0">
            <w:col w:w="5591" w:space="40"/>
            <w:col w:w="6279"/>
          </w:cols>
        </w:sectPr>
      </w:pPr>
    </w:p>
    <w:p>
      <w:pPr>
        <w:pStyle w:val="ListParagraph"/>
        <w:numPr>
          <w:ilvl w:val="0"/>
          <w:numId w:val="90"/>
        </w:numPr>
        <w:tabs>
          <w:tab w:pos="1439" w:val="left" w:leader="none"/>
        </w:tabs>
        <w:spacing w:line="240" w:lineRule="auto" w:before="57" w:after="0"/>
        <w:ind w:left="1439" w:right="0" w:hanging="359"/>
        <w:jc w:val="left"/>
        <w:rPr>
          <w:sz w:val="22"/>
        </w:rPr>
      </w:pPr>
      <w:r>
        <w:rPr>
          <w:spacing w:val="-4"/>
          <w:sz w:val="22"/>
        </w:rPr>
        <w:t>Prof.</w:t>
      </w:r>
      <w:r>
        <w:rPr>
          <w:spacing w:val="-8"/>
          <w:sz w:val="22"/>
        </w:rPr>
        <w:t> </w:t>
      </w:r>
      <w:r>
        <w:rPr>
          <w:spacing w:val="-4"/>
          <w:sz w:val="22"/>
        </w:rPr>
        <w:t>Neeraj</w:t>
      </w:r>
      <w:r>
        <w:rPr>
          <w:spacing w:val="-8"/>
          <w:sz w:val="22"/>
        </w:rPr>
        <w:t> </w:t>
      </w:r>
      <w:r>
        <w:rPr>
          <w:spacing w:val="-4"/>
          <w:sz w:val="22"/>
        </w:rPr>
        <w:t>Sharma</w:t>
      </w:r>
    </w:p>
    <w:p>
      <w:pPr>
        <w:pStyle w:val="BodyText"/>
        <w:spacing w:before="33"/>
        <w:ind w:left="1439"/>
      </w:pPr>
      <w:r>
        <w:rPr>
          <w:spacing w:val="-2"/>
        </w:rPr>
        <w:t>Pratham,</w:t>
      </w:r>
      <w:r>
        <w:rPr>
          <w:spacing w:val="-7"/>
        </w:rPr>
        <w:t> </w:t>
      </w:r>
      <w:r>
        <w:rPr>
          <w:spacing w:val="-2"/>
        </w:rPr>
        <w:t>Jammu</w:t>
      </w:r>
      <w:r>
        <w:rPr>
          <w:spacing w:val="-6"/>
        </w:rPr>
        <w:t> </w:t>
      </w:r>
      <w:r>
        <w:rPr>
          <w:spacing w:val="-2"/>
        </w:rPr>
        <w:t>Education</w:t>
      </w:r>
      <w:r>
        <w:rPr>
          <w:spacing w:val="-6"/>
        </w:rPr>
        <w:t> </w:t>
      </w:r>
      <w:r>
        <w:rPr>
          <w:spacing w:val="-2"/>
        </w:rPr>
        <w:t>Movement</w:t>
      </w:r>
    </w:p>
    <w:p>
      <w:pPr>
        <w:pStyle w:val="ListParagraph"/>
        <w:numPr>
          <w:ilvl w:val="0"/>
          <w:numId w:val="90"/>
        </w:numPr>
        <w:tabs>
          <w:tab w:pos="1439" w:val="left" w:leader="none"/>
        </w:tabs>
        <w:spacing w:line="240" w:lineRule="auto" w:before="123" w:after="0"/>
        <w:ind w:left="1439" w:right="0" w:hanging="359"/>
        <w:jc w:val="left"/>
        <w:rPr>
          <w:sz w:val="22"/>
        </w:rPr>
      </w:pPr>
      <w:r>
        <w:rPr>
          <w:sz w:val="22"/>
        </w:rPr>
        <w:t>Dr.</w:t>
      </w:r>
      <w:r>
        <w:rPr>
          <w:spacing w:val="-9"/>
          <w:sz w:val="22"/>
        </w:rPr>
        <w:t> </w:t>
      </w:r>
      <w:r>
        <w:rPr>
          <w:sz w:val="22"/>
        </w:rPr>
        <w:t>Renu</w:t>
      </w:r>
      <w:r>
        <w:rPr>
          <w:spacing w:val="-9"/>
          <w:sz w:val="22"/>
        </w:rPr>
        <w:t> </w:t>
      </w:r>
      <w:r>
        <w:rPr>
          <w:spacing w:val="-2"/>
          <w:sz w:val="22"/>
        </w:rPr>
        <w:t>Nanda</w:t>
      </w:r>
    </w:p>
    <w:p>
      <w:pPr>
        <w:pStyle w:val="BodyText"/>
        <w:spacing w:line="271" w:lineRule="auto" w:before="33"/>
        <w:ind w:left="1439"/>
      </w:pPr>
      <w:r>
        <w:rPr/>
        <w:t>Assistant Director, Centre for Adult and </w:t>
      </w:r>
      <w:r>
        <w:rPr>
          <w:spacing w:val="-2"/>
        </w:rPr>
        <w:t>Continuing</w:t>
      </w:r>
      <w:r>
        <w:rPr>
          <w:spacing w:val="-12"/>
        </w:rPr>
        <w:t> </w:t>
      </w:r>
      <w:r>
        <w:rPr>
          <w:spacing w:val="-2"/>
        </w:rPr>
        <w:t>Education,</w:t>
      </w:r>
      <w:r>
        <w:rPr>
          <w:spacing w:val="-12"/>
        </w:rPr>
        <w:t> </w:t>
      </w:r>
      <w:r>
        <w:rPr>
          <w:spacing w:val="-2"/>
        </w:rPr>
        <w:t>Jammu</w:t>
      </w:r>
      <w:r>
        <w:rPr>
          <w:spacing w:val="-12"/>
        </w:rPr>
        <w:t> </w:t>
      </w:r>
      <w:r>
        <w:rPr>
          <w:spacing w:val="-2"/>
        </w:rPr>
        <w:t>University</w:t>
      </w:r>
    </w:p>
    <w:p>
      <w:pPr>
        <w:pStyle w:val="ListParagraph"/>
        <w:numPr>
          <w:ilvl w:val="0"/>
          <w:numId w:val="90"/>
        </w:numPr>
        <w:tabs>
          <w:tab w:pos="1439" w:val="left" w:leader="none"/>
        </w:tabs>
        <w:spacing w:line="271" w:lineRule="auto" w:before="91" w:after="0"/>
        <w:ind w:left="1439" w:right="2159" w:hanging="360"/>
        <w:jc w:val="left"/>
        <w:rPr>
          <w:sz w:val="22"/>
        </w:rPr>
      </w:pPr>
      <w:r>
        <w:rPr>
          <w:spacing w:val="-4"/>
          <w:sz w:val="22"/>
        </w:rPr>
        <w:t>Prof.</w:t>
      </w:r>
      <w:r>
        <w:rPr>
          <w:spacing w:val="-10"/>
          <w:sz w:val="22"/>
        </w:rPr>
        <w:t> </w:t>
      </w:r>
      <w:r>
        <w:rPr>
          <w:spacing w:val="-4"/>
          <w:sz w:val="22"/>
        </w:rPr>
        <w:t>Bashir</w:t>
      </w:r>
      <w:r>
        <w:rPr>
          <w:spacing w:val="-10"/>
          <w:sz w:val="22"/>
        </w:rPr>
        <w:t> </w:t>
      </w:r>
      <w:r>
        <w:rPr>
          <w:spacing w:val="-4"/>
          <w:sz w:val="22"/>
        </w:rPr>
        <w:t>Ahmed</w:t>
      </w:r>
      <w:r>
        <w:rPr>
          <w:spacing w:val="-10"/>
          <w:sz w:val="22"/>
        </w:rPr>
        <w:t> </w:t>
      </w:r>
      <w:r>
        <w:rPr>
          <w:spacing w:val="-4"/>
          <w:sz w:val="22"/>
        </w:rPr>
        <w:t>Dar </w:t>
      </w:r>
      <w:r>
        <w:rPr>
          <w:spacing w:val="-2"/>
          <w:sz w:val="22"/>
        </w:rPr>
        <w:t>Srinagar</w:t>
      </w:r>
    </w:p>
    <w:p>
      <w:pPr>
        <w:pStyle w:val="ListParagraph"/>
        <w:numPr>
          <w:ilvl w:val="0"/>
          <w:numId w:val="90"/>
        </w:numPr>
        <w:tabs>
          <w:tab w:pos="1439" w:val="left" w:leader="none"/>
        </w:tabs>
        <w:spacing w:line="240" w:lineRule="auto" w:before="90" w:after="0"/>
        <w:ind w:left="1439" w:right="0" w:hanging="359"/>
        <w:jc w:val="left"/>
        <w:rPr>
          <w:sz w:val="22"/>
        </w:rPr>
      </w:pPr>
      <w:r>
        <w:rPr>
          <w:sz w:val="22"/>
        </w:rPr>
        <w:t>Mr.</w:t>
      </w:r>
      <w:r>
        <w:rPr>
          <w:spacing w:val="-12"/>
          <w:sz w:val="22"/>
        </w:rPr>
        <w:t> </w:t>
      </w:r>
      <w:r>
        <w:rPr>
          <w:spacing w:val="-2"/>
          <w:sz w:val="22"/>
        </w:rPr>
        <w:t>Ramzan</w:t>
      </w:r>
    </w:p>
    <w:p>
      <w:pPr>
        <w:pStyle w:val="BodyText"/>
        <w:spacing w:line="271" w:lineRule="auto" w:before="33"/>
        <w:ind w:left="1439" w:right="1829"/>
      </w:pPr>
      <w:r>
        <w:rPr>
          <w:spacing w:val="-6"/>
        </w:rPr>
        <w:t>Teacher</w:t>
      </w:r>
      <w:r>
        <w:rPr>
          <w:spacing w:val="-8"/>
        </w:rPr>
        <w:t> </w:t>
      </w:r>
      <w:r>
        <w:rPr>
          <w:spacing w:val="-6"/>
        </w:rPr>
        <w:t>and</w:t>
      </w:r>
      <w:r>
        <w:rPr>
          <w:spacing w:val="-10"/>
        </w:rPr>
        <w:t> </w:t>
      </w:r>
      <w:r>
        <w:rPr>
          <w:spacing w:val="-6"/>
        </w:rPr>
        <w:t>Teacher</w:t>
      </w:r>
      <w:r>
        <w:rPr>
          <w:spacing w:val="-10"/>
        </w:rPr>
        <w:t> </w:t>
      </w:r>
      <w:r>
        <w:rPr>
          <w:spacing w:val="-6"/>
        </w:rPr>
        <w:t>Trainer </w:t>
      </w:r>
      <w:r>
        <w:rPr>
          <w:spacing w:val="-2"/>
        </w:rPr>
        <w:t>Jammu</w:t>
      </w:r>
    </w:p>
    <w:p>
      <w:pPr>
        <w:pStyle w:val="ListParagraph"/>
        <w:numPr>
          <w:ilvl w:val="0"/>
          <w:numId w:val="90"/>
        </w:numPr>
        <w:tabs>
          <w:tab w:pos="1439" w:val="left" w:leader="none"/>
        </w:tabs>
        <w:spacing w:line="271" w:lineRule="auto" w:before="90" w:after="0"/>
        <w:ind w:left="1439" w:right="2451" w:hanging="360"/>
        <w:jc w:val="left"/>
        <w:rPr>
          <w:sz w:val="22"/>
        </w:rPr>
      </w:pPr>
      <w:r>
        <w:rPr>
          <w:spacing w:val="-6"/>
          <w:sz w:val="22"/>
        </w:rPr>
        <w:t>Prof.</w:t>
      </w:r>
      <w:r>
        <w:rPr>
          <w:spacing w:val="-8"/>
          <w:sz w:val="22"/>
        </w:rPr>
        <w:t> </w:t>
      </w:r>
      <w:r>
        <w:rPr>
          <w:spacing w:val="-6"/>
          <w:sz w:val="22"/>
        </w:rPr>
        <w:t>Jagdish</w:t>
      </w:r>
      <w:r>
        <w:rPr>
          <w:spacing w:val="-8"/>
          <w:sz w:val="22"/>
        </w:rPr>
        <w:t> </w:t>
      </w:r>
      <w:r>
        <w:rPr>
          <w:spacing w:val="-6"/>
          <w:sz w:val="22"/>
        </w:rPr>
        <w:t>Sharma </w:t>
      </w:r>
      <w:r>
        <w:rPr>
          <w:spacing w:val="-2"/>
          <w:sz w:val="22"/>
        </w:rPr>
        <w:t>Jammu</w:t>
      </w:r>
    </w:p>
    <w:p>
      <w:pPr>
        <w:pStyle w:val="ListParagraph"/>
        <w:numPr>
          <w:ilvl w:val="0"/>
          <w:numId w:val="90"/>
        </w:numPr>
        <w:tabs>
          <w:tab w:pos="1439" w:val="left" w:leader="none"/>
        </w:tabs>
        <w:spacing w:line="271" w:lineRule="auto" w:before="90" w:after="0"/>
        <w:ind w:left="1439" w:right="2567" w:hanging="360"/>
        <w:jc w:val="left"/>
        <w:rPr>
          <w:sz w:val="22"/>
        </w:rPr>
      </w:pPr>
      <w:r>
        <w:rPr>
          <w:spacing w:val="-2"/>
          <w:sz w:val="22"/>
        </w:rPr>
        <w:t>Prof</w:t>
      </w:r>
      <w:r>
        <w:rPr>
          <w:spacing w:val="-12"/>
          <w:sz w:val="22"/>
        </w:rPr>
        <w:t> </w:t>
      </w:r>
      <w:r>
        <w:rPr>
          <w:spacing w:val="-2"/>
          <w:sz w:val="22"/>
        </w:rPr>
        <w:t>G.N.</w:t>
      </w:r>
      <w:r>
        <w:rPr>
          <w:spacing w:val="-12"/>
          <w:sz w:val="22"/>
        </w:rPr>
        <w:t> </w:t>
      </w:r>
      <w:r>
        <w:rPr>
          <w:spacing w:val="-2"/>
          <w:sz w:val="22"/>
        </w:rPr>
        <w:t>Masoodi Srinagar</w:t>
      </w:r>
    </w:p>
    <w:p>
      <w:pPr>
        <w:pStyle w:val="ListParagraph"/>
        <w:numPr>
          <w:ilvl w:val="0"/>
          <w:numId w:val="90"/>
        </w:numPr>
        <w:tabs>
          <w:tab w:pos="1439" w:val="left" w:leader="none"/>
        </w:tabs>
        <w:spacing w:line="271" w:lineRule="auto" w:before="91" w:after="0"/>
        <w:ind w:left="1439" w:right="1857" w:hanging="360"/>
        <w:jc w:val="left"/>
        <w:rPr>
          <w:sz w:val="22"/>
        </w:rPr>
      </w:pPr>
      <w:r>
        <w:rPr>
          <w:sz w:val="22"/>
        </w:rPr>
        <w:t>Dr. M.K. Bhandary</w:t>
      </w:r>
      <w:r>
        <w:rPr>
          <w:spacing w:val="40"/>
          <w:sz w:val="22"/>
        </w:rPr>
        <w:t> </w:t>
      </w:r>
      <w:r>
        <w:rPr>
          <w:spacing w:val="-4"/>
          <w:sz w:val="22"/>
        </w:rPr>
        <w:t>Deputy</w:t>
      </w:r>
      <w:r>
        <w:rPr>
          <w:spacing w:val="3"/>
          <w:sz w:val="22"/>
        </w:rPr>
        <w:t> </w:t>
      </w:r>
      <w:r>
        <w:rPr>
          <w:spacing w:val="-4"/>
          <w:sz w:val="22"/>
        </w:rPr>
        <w:t>Commissioner,</w:t>
      </w:r>
      <w:r>
        <w:rPr>
          <w:spacing w:val="3"/>
          <w:sz w:val="22"/>
        </w:rPr>
        <w:t> </w:t>
      </w:r>
      <w:r>
        <w:rPr>
          <w:spacing w:val="-5"/>
          <w:sz w:val="22"/>
        </w:rPr>
        <w:t>Leh</w:t>
      </w:r>
    </w:p>
    <w:p>
      <w:pPr>
        <w:pStyle w:val="ListParagraph"/>
        <w:numPr>
          <w:ilvl w:val="0"/>
          <w:numId w:val="90"/>
        </w:numPr>
        <w:tabs>
          <w:tab w:pos="1439" w:val="left" w:leader="none"/>
        </w:tabs>
        <w:spacing w:line="240" w:lineRule="auto" w:before="90" w:after="0"/>
        <w:ind w:left="1439" w:right="0" w:hanging="359"/>
        <w:jc w:val="left"/>
        <w:rPr>
          <w:sz w:val="22"/>
        </w:rPr>
      </w:pPr>
      <w:r>
        <w:rPr>
          <w:spacing w:val="-4"/>
          <w:sz w:val="22"/>
        </w:rPr>
        <w:t>Sh.</w:t>
      </w:r>
      <w:r>
        <w:rPr>
          <w:spacing w:val="-8"/>
          <w:sz w:val="22"/>
        </w:rPr>
        <w:t> </w:t>
      </w:r>
      <w:r>
        <w:rPr>
          <w:spacing w:val="-4"/>
          <w:sz w:val="22"/>
        </w:rPr>
        <w:t>Krishna</w:t>
      </w:r>
      <w:r>
        <w:rPr>
          <w:spacing w:val="-7"/>
          <w:sz w:val="22"/>
        </w:rPr>
        <w:t> </w:t>
      </w:r>
      <w:r>
        <w:rPr>
          <w:spacing w:val="-4"/>
          <w:sz w:val="22"/>
        </w:rPr>
        <w:t>Kumar,</w:t>
      </w:r>
      <w:r>
        <w:rPr>
          <w:spacing w:val="-8"/>
          <w:sz w:val="22"/>
        </w:rPr>
        <w:t> </w:t>
      </w:r>
      <w:r>
        <w:rPr>
          <w:spacing w:val="-5"/>
          <w:sz w:val="22"/>
        </w:rPr>
        <w:t>IAS</w:t>
      </w:r>
    </w:p>
    <w:p>
      <w:pPr>
        <w:pStyle w:val="BodyText"/>
        <w:spacing w:before="33"/>
        <w:ind w:left="1439"/>
      </w:pPr>
      <w:r>
        <w:rPr>
          <w:spacing w:val="-6"/>
        </w:rPr>
        <w:t>State</w:t>
      </w:r>
      <w:r>
        <w:rPr>
          <w:spacing w:val="-2"/>
        </w:rPr>
        <w:t> </w:t>
      </w:r>
      <w:r>
        <w:rPr>
          <w:spacing w:val="-6"/>
        </w:rPr>
        <w:t>Project</w:t>
      </w:r>
      <w:r>
        <w:rPr>
          <w:spacing w:val="-1"/>
        </w:rPr>
        <w:t> </w:t>
      </w:r>
      <w:r>
        <w:rPr>
          <w:spacing w:val="-6"/>
        </w:rPr>
        <w:t>Director,</w:t>
      </w:r>
      <w:r>
        <w:rPr>
          <w:spacing w:val="-1"/>
        </w:rPr>
        <w:t> </w:t>
      </w:r>
      <w:r>
        <w:rPr>
          <w:spacing w:val="-6"/>
        </w:rPr>
        <w:t>SSA,</w:t>
      </w:r>
      <w:r>
        <w:rPr>
          <w:spacing w:val="-1"/>
        </w:rPr>
        <w:t> </w:t>
      </w:r>
      <w:r>
        <w:rPr>
          <w:spacing w:val="-6"/>
        </w:rPr>
        <w:t>Punjab</w:t>
      </w:r>
    </w:p>
    <w:p>
      <w:pPr>
        <w:pStyle w:val="ListParagraph"/>
        <w:numPr>
          <w:ilvl w:val="0"/>
          <w:numId w:val="90"/>
        </w:numPr>
        <w:tabs>
          <w:tab w:pos="1439" w:val="left" w:leader="none"/>
        </w:tabs>
        <w:spacing w:line="271" w:lineRule="auto" w:before="123" w:after="0"/>
        <w:ind w:left="1439" w:right="2010" w:hanging="360"/>
        <w:jc w:val="left"/>
        <w:rPr>
          <w:sz w:val="22"/>
        </w:rPr>
      </w:pPr>
      <w:r>
        <w:rPr>
          <w:sz w:val="22"/>
        </w:rPr>
        <w:t>Dr. Malviner Ahuja </w:t>
      </w:r>
      <w:r>
        <w:rPr>
          <w:spacing w:val="-6"/>
          <w:sz w:val="22"/>
        </w:rPr>
        <w:t>Reader,</w:t>
      </w:r>
      <w:r>
        <w:rPr>
          <w:spacing w:val="-8"/>
          <w:sz w:val="22"/>
        </w:rPr>
        <w:t> </w:t>
      </w:r>
      <w:r>
        <w:rPr>
          <w:spacing w:val="-6"/>
          <w:sz w:val="22"/>
        </w:rPr>
        <w:t>Punjab</w:t>
      </w:r>
      <w:r>
        <w:rPr>
          <w:spacing w:val="-8"/>
          <w:sz w:val="22"/>
        </w:rPr>
        <w:t> </w:t>
      </w:r>
      <w:r>
        <w:rPr>
          <w:spacing w:val="-6"/>
          <w:sz w:val="22"/>
        </w:rPr>
        <w:t>University</w:t>
      </w:r>
    </w:p>
    <w:p>
      <w:pPr>
        <w:pStyle w:val="ListParagraph"/>
        <w:numPr>
          <w:ilvl w:val="0"/>
          <w:numId w:val="90"/>
        </w:numPr>
        <w:tabs>
          <w:tab w:pos="1439" w:val="left" w:leader="none"/>
        </w:tabs>
        <w:spacing w:line="271" w:lineRule="auto" w:before="90" w:after="0"/>
        <w:ind w:left="1439" w:right="2297" w:hanging="360"/>
        <w:jc w:val="left"/>
        <w:rPr>
          <w:sz w:val="22"/>
        </w:rPr>
      </w:pPr>
      <w:r>
        <w:rPr>
          <w:sz w:val="22"/>
        </w:rPr>
        <w:t>Mr. Kulwarn Singh </w:t>
      </w:r>
      <w:r>
        <w:rPr>
          <w:spacing w:val="-4"/>
          <w:sz w:val="22"/>
        </w:rPr>
        <w:t>DIET</w:t>
      </w:r>
      <w:r>
        <w:rPr>
          <w:spacing w:val="-10"/>
          <w:sz w:val="22"/>
        </w:rPr>
        <w:t> </w:t>
      </w:r>
      <w:r>
        <w:rPr>
          <w:spacing w:val="-4"/>
          <w:sz w:val="22"/>
        </w:rPr>
        <w:t>Ajjowal,</w:t>
      </w:r>
      <w:r>
        <w:rPr>
          <w:spacing w:val="-10"/>
          <w:sz w:val="22"/>
        </w:rPr>
        <w:t> </w:t>
      </w:r>
      <w:r>
        <w:rPr>
          <w:spacing w:val="-4"/>
          <w:sz w:val="22"/>
        </w:rPr>
        <w:t>Punjab</w:t>
      </w:r>
    </w:p>
    <w:p>
      <w:pPr>
        <w:pStyle w:val="ListParagraph"/>
        <w:numPr>
          <w:ilvl w:val="0"/>
          <w:numId w:val="90"/>
        </w:numPr>
        <w:tabs>
          <w:tab w:pos="1439" w:val="left" w:leader="none"/>
        </w:tabs>
        <w:spacing w:line="240" w:lineRule="auto" w:before="91" w:after="0"/>
        <w:ind w:left="1439" w:right="0" w:hanging="359"/>
        <w:jc w:val="left"/>
        <w:rPr>
          <w:sz w:val="22"/>
        </w:rPr>
      </w:pPr>
      <w:r>
        <w:rPr>
          <w:spacing w:val="-4"/>
          <w:sz w:val="22"/>
        </w:rPr>
        <w:t>Sh.</w:t>
      </w:r>
      <w:r>
        <w:rPr>
          <w:spacing w:val="-8"/>
          <w:sz w:val="22"/>
        </w:rPr>
        <w:t> </w:t>
      </w:r>
      <w:r>
        <w:rPr>
          <w:spacing w:val="-4"/>
          <w:sz w:val="22"/>
        </w:rPr>
        <w:t>Ramesh</w:t>
      </w:r>
      <w:r>
        <w:rPr>
          <w:spacing w:val="-8"/>
          <w:sz w:val="22"/>
        </w:rPr>
        <w:t> </w:t>
      </w:r>
      <w:r>
        <w:rPr>
          <w:spacing w:val="-4"/>
          <w:sz w:val="22"/>
        </w:rPr>
        <w:t>Dutt</w:t>
      </w:r>
    </w:p>
    <w:p>
      <w:pPr>
        <w:pStyle w:val="BodyText"/>
        <w:spacing w:line="271" w:lineRule="auto" w:before="33"/>
        <w:ind w:left="1440"/>
      </w:pPr>
      <w:r>
        <w:rPr>
          <w:spacing w:val="-4"/>
        </w:rPr>
        <w:t>Lecturer</w:t>
      </w:r>
      <w:r>
        <w:rPr>
          <w:spacing w:val="-10"/>
        </w:rPr>
        <w:t> </w:t>
      </w:r>
      <w:r>
        <w:rPr>
          <w:spacing w:val="-4"/>
        </w:rPr>
        <w:t>in</w:t>
      </w:r>
      <w:r>
        <w:rPr>
          <w:spacing w:val="-10"/>
        </w:rPr>
        <w:t> </w:t>
      </w:r>
      <w:r>
        <w:rPr>
          <w:spacing w:val="-4"/>
        </w:rPr>
        <w:t>English,</w:t>
      </w:r>
      <w:r>
        <w:rPr>
          <w:spacing w:val="-9"/>
        </w:rPr>
        <w:t> </w:t>
      </w:r>
      <w:r>
        <w:rPr>
          <w:spacing w:val="-4"/>
        </w:rPr>
        <w:t>Govt.</w:t>
      </w:r>
      <w:r>
        <w:rPr>
          <w:spacing w:val="-10"/>
        </w:rPr>
        <w:t> </w:t>
      </w:r>
      <w:r>
        <w:rPr>
          <w:spacing w:val="-4"/>
        </w:rPr>
        <w:t>Girls</w:t>
      </w:r>
      <w:r>
        <w:rPr>
          <w:spacing w:val="-10"/>
        </w:rPr>
        <w:t> </w:t>
      </w:r>
      <w:r>
        <w:rPr>
          <w:spacing w:val="-4"/>
        </w:rPr>
        <w:t>Senior</w:t>
      </w:r>
      <w:r>
        <w:rPr>
          <w:spacing w:val="-9"/>
        </w:rPr>
        <w:t> </w:t>
      </w:r>
      <w:r>
        <w:rPr>
          <w:spacing w:val="-4"/>
        </w:rPr>
        <w:t>Secondary </w:t>
      </w:r>
      <w:r>
        <w:rPr/>
        <w:t>School, Khanna</w:t>
      </w:r>
    </w:p>
    <w:p>
      <w:pPr>
        <w:pStyle w:val="ListParagraph"/>
        <w:numPr>
          <w:ilvl w:val="0"/>
          <w:numId w:val="90"/>
        </w:numPr>
        <w:tabs>
          <w:tab w:pos="1440" w:val="left" w:leader="none"/>
        </w:tabs>
        <w:spacing w:line="271" w:lineRule="auto" w:before="90" w:after="0"/>
        <w:ind w:left="1440" w:right="1573" w:hanging="360"/>
        <w:jc w:val="left"/>
        <w:rPr>
          <w:sz w:val="22"/>
        </w:rPr>
      </w:pPr>
      <w:r>
        <w:rPr>
          <w:spacing w:val="-2"/>
          <w:sz w:val="22"/>
        </w:rPr>
        <w:t>Sh.</w:t>
      </w:r>
      <w:r>
        <w:rPr>
          <w:spacing w:val="-12"/>
          <w:sz w:val="22"/>
        </w:rPr>
        <w:t> </w:t>
      </w:r>
      <w:r>
        <w:rPr>
          <w:spacing w:val="-2"/>
          <w:sz w:val="22"/>
        </w:rPr>
        <w:t>Devinderpal</w:t>
      </w:r>
      <w:r>
        <w:rPr>
          <w:spacing w:val="-12"/>
          <w:sz w:val="22"/>
        </w:rPr>
        <w:t> </w:t>
      </w:r>
      <w:r>
        <w:rPr>
          <w:spacing w:val="-2"/>
          <w:sz w:val="22"/>
        </w:rPr>
        <w:t>Singh</w:t>
      </w:r>
      <w:r>
        <w:rPr>
          <w:spacing w:val="-12"/>
          <w:sz w:val="22"/>
        </w:rPr>
        <w:t> </w:t>
      </w:r>
      <w:r>
        <w:rPr>
          <w:spacing w:val="-2"/>
          <w:sz w:val="22"/>
        </w:rPr>
        <w:t>Dhillon </w:t>
      </w:r>
      <w:r>
        <w:rPr>
          <w:sz w:val="22"/>
        </w:rPr>
        <w:t>DEO, Amritsar</w:t>
      </w:r>
    </w:p>
    <w:p>
      <w:pPr>
        <w:pStyle w:val="ListParagraph"/>
        <w:numPr>
          <w:ilvl w:val="0"/>
          <w:numId w:val="90"/>
        </w:numPr>
        <w:tabs>
          <w:tab w:pos="1440" w:val="left" w:leader="none"/>
        </w:tabs>
        <w:spacing w:line="271" w:lineRule="auto" w:before="90" w:after="0"/>
        <w:ind w:left="1440" w:right="2531" w:hanging="360"/>
        <w:jc w:val="left"/>
        <w:rPr>
          <w:sz w:val="22"/>
        </w:rPr>
      </w:pPr>
      <w:r>
        <w:rPr>
          <w:spacing w:val="-4"/>
          <w:sz w:val="22"/>
        </w:rPr>
        <w:t>Ms.</w:t>
      </w:r>
      <w:r>
        <w:rPr>
          <w:spacing w:val="-10"/>
          <w:sz w:val="22"/>
        </w:rPr>
        <w:t> </w:t>
      </w:r>
      <w:r>
        <w:rPr>
          <w:spacing w:val="-4"/>
          <w:sz w:val="22"/>
        </w:rPr>
        <w:t>Kalpna</w:t>
      </w:r>
      <w:r>
        <w:rPr>
          <w:spacing w:val="-10"/>
          <w:sz w:val="22"/>
        </w:rPr>
        <w:t> </w:t>
      </w:r>
      <w:r>
        <w:rPr>
          <w:spacing w:val="-4"/>
          <w:sz w:val="22"/>
        </w:rPr>
        <w:t>Rashmi </w:t>
      </w:r>
      <w:r>
        <w:rPr>
          <w:sz w:val="22"/>
        </w:rPr>
        <w:t>SSA, Haryana</w:t>
      </w:r>
    </w:p>
    <w:p>
      <w:pPr>
        <w:pStyle w:val="ListParagraph"/>
        <w:numPr>
          <w:ilvl w:val="0"/>
          <w:numId w:val="90"/>
        </w:numPr>
        <w:tabs>
          <w:tab w:pos="1440" w:val="left" w:leader="none"/>
        </w:tabs>
        <w:spacing w:line="271" w:lineRule="auto" w:before="90" w:after="0"/>
        <w:ind w:left="1440" w:right="2666" w:hanging="360"/>
        <w:jc w:val="left"/>
        <w:rPr>
          <w:sz w:val="22"/>
        </w:rPr>
      </w:pPr>
      <w:r>
        <w:rPr>
          <w:spacing w:val="-6"/>
          <w:sz w:val="22"/>
        </w:rPr>
        <w:t>Mr.</w:t>
      </w:r>
      <w:r>
        <w:rPr>
          <w:spacing w:val="-8"/>
          <w:sz w:val="22"/>
        </w:rPr>
        <w:t> </w:t>
      </w:r>
      <w:r>
        <w:rPr>
          <w:spacing w:val="-6"/>
          <w:sz w:val="22"/>
        </w:rPr>
        <w:t>Vivek</w:t>
      </w:r>
      <w:r>
        <w:rPr>
          <w:spacing w:val="-8"/>
          <w:sz w:val="22"/>
        </w:rPr>
        <w:t> </w:t>
      </w:r>
      <w:r>
        <w:rPr>
          <w:spacing w:val="-6"/>
          <w:sz w:val="22"/>
        </w:rPr>
        <w:t>Sharma </w:t>
      </w:r>
      <w:r>
        <w:rPr>
          <w:spacing w:val="-2"/>
          <w:sz w:val="22"/>
        </w:rPr>
        <w:t>Pratham</w:t>
      </w:r>
    </w:p>
    <w:p>
      <w:pPr>
        <w:pStyle w:val="ListParagraph"/>
        <w:numPr>
          <w:ilvl w:val="0"/>
          <w:numId w:val="90"/>
        </w:numPr>
        <w:tabs>
          <w:tab w:pos="1439" w:val="left" w:leader="none"/>
        </w:tabs>
        <w:spacing w:line="240" w:lineRule="auto" w:before="91" w:after="0"/>
        <w:ind w:left="1439" w:right="0" w:hanging="359"/>
        <w:jc w:val="left"/>
        <w:rPr>
          <w:sz w:val="22"/>
        </w:rPr>
      </w:pPr>
      <w:r>
        <w:rPr>
          <w:sz w:val="22"/>
        </w:rPr>
        <w:t>Dr.</w:t>
      </w:r>
      <w:r>
        <w:rPr>
          <w:spacing w:val="-10"/>
          <w:sz w:val="22"/>
        </w:rPr>
        <w:t> </w:t>
      </w:r>
      <w:r>
        <w:rPr>
          <w:sz w:val="22"/>
        </w:rPr>
        <w:t>Dinesh</w:t>
      </w:r>
      <w:r>
        <w:rPr>
          <w:spacing w:val="-9"/>
          <w:sz w:val="22"/>
        </w:rPr>
        <w:t> </w:t>
      </w:r>
      <w:r>
        <w:rPr>
          <w:spacing w:val="-2"/>
          <w:sz w:val="22"/>
        </w:rPr>
        <w:t>Sharma</w:t>
      </w:r>
    </w:p>
    <w:p>
      <w:pPr>
        <w:pStyle w:val="BodyText"/>
        <w:spacing w:before="33"/>
        <w:ind w:left="1440"/>
      </w:pPr>
      <w:r>
        <w:rPr>
          <w:spacing w:val="-6"/>
        </w:rPr>
        <w:t>Block</w:t>
      </w:r>
      <w:r>
        <w:rPr>
          <w:spacing w:val="4"/>
        </w:rPr>
        <w:t> </w:t>
      </w:r>
      <w:r>
        <w:rPr>
          <w:spacing w:val="-6"/>
        </w:rPr>
        <w:t>Education</w:t>
      </w:r>
      <w:r>
        <w:rPr>
          <w:spacing w:val="4"/>
        </w:rPr>
        <w:t> </w:t>
      </w:r>
      <w:r>
        <w:rPr>
          <w:spacing w:val="-6"/>
        </w:rPr>
        <w:t>Officer,</w:t>
      </w:r>
      <w:r>
        <w:rPr>
          <w:spacing w:val="5"/>
        </w:rPr>
        <w:t> </w:t>
      </w:r>
      <w:r>
        <w:rPr>
          <w:spacing w:val="-6"/>
        </w:rPr>
        <w:t>Haryana</w:t>
      </w:r>
    </w:p>
    <w:p>
      <w:pPr>
        <w:pStyle w:val="ListParagraph"/>
        <w:numPr>
          <w:ilvl w:val="0"/>
          <w:numId w:val="90"/>
        </w:numPr>
        <w:tabs>
          <w:tab w:pos="1439" w:val="left" w:leader="none"/>
        </w:tabs>
        <w:spacing w:line="240" w:lineRule="auto" w:before="123" w:after="0"/>
        <w:ind w:left="1439" w:right="0" w:hanging="359"/>
        <w:jc w:val="left"/>
        <w:rPr>
          <w:sz w:val="22"/>
        </w:rPr>
      </w:pPr>
      <w:r>
        <w:rPr>
          <w:spacing w:val="-4"/>
          <w:sz w:val="22"/>
        </w:rPr>
        <w:t>Smt. Kalpna Singh</w:t>
      </w:r>
    </w:p>
    <w:p>
      <w:pPr>
        <w:pStyle w:val="BodyText"/>
        <w:spacing w:before="33"/>
        <w:ind w:left="1440"/>
      </w:pPr>
      <w:r>
        <w:rPr>
          <w:spacing w:val="-4"/>
        </w:rPr>
        <w:t>Principal,</w:t>
      </w:r>
      <w:r>
        <w:rPr>
          <w:spacing w:val="-10"/>
        </w:rPr>
        <w:t> </w:t>
      </w:r>
      <w:r>
        <w:rPr>
          <w:spacing w:val="-4"/>
        </w:rPr>
        <w:t>Govt.</w:t>
      </w:r>
      <w:r>
        <w:rPr>
          <w:spacing w:val="-9"/>
        </w:rPr>
        <w:t> </w:t>
      </w:r>
      <w:r>
        <w:rPr>
          <w:spacing w:val="-4"/>
        </w:rPr>
        <w:t>Senior</w:t>
      </w:r>
      <w:r>
        <w:rPr>
          <w:spacing w:val="-10"/>
        </w:rPr>
        <w:t> </w:t>
      </w:r>
      <w:r>
        <w:rPr>
          <w:spacing w:val="-4"/>
        </w:rPr>
        <w:t>Secondary,</w:t>
      </w:r>
      <w:r>
        <w:rPr>
          <w:spacing w:val="-9"/>
        </w:rPr>
        <w:t> </w:t>
      </w:r>
      <w:r>
        <w:rPr>
          <w:spacing w:val="-4"/>
        </w:rPr>
        <w:t>Haryana</w:t>
      </w:r>
    </w:p>
    <w:p>
      <w:pPr>
        <w:pStyle w:val="ListParagraph"/>
        <w:numPr>
          <w:ilvl w:val="0"/>
          <w:numId w:val="90"/>
        </w:numPr>
        <w:tabs>
          <w:tab w:pos="1439" w:val="left" w:leader="none"/>
        </w:tabs>
        <w:spacing w:line="240" w:lineRule="auto" w:before="123" w:after="0"/>
        <w:ind w:left="1439" w:right="0" w:hanging="359"/>
        <w:jc w:val="left"/>
        <w:rPr>
          <w:sz w:val="22"/>
        </w:rPr>
      </w:pPr>
      <w:r>
        <w:rPr>
          <w:spacing w:val="-2"/>
          <w:sz w:val="22"/>
        </w:rPr>
        <w:t>Sh.</w:t>
      </w:r>
      <w:r>
        <w:rPr>
          <w:spacing w:val="-10"/>
          <w:sz w:val="22"/>
        </w:rPr>
        <w:t> </w:t>
      </w:r>
      <w:r>
        <w:rPr>
          <w:spacing w:val="-2"/>
          <w:sz w:val="22"/>
        </w:rPr>
        <w:t>Rajpal</w:t>
      </w:r>
    </w:p>
    <w:p>
      <w:pPr>
        <w:pStyle w:val="BodyText"/>
        <w:spacing w:before="33"/>
        <w:ind w:left="1440"/>
      </w:pPr>
      <w:r>
        <w:rPr>
          <w:spacing w:val="-2"/>
        </w:rPr>
        <w:t>Headmaster,</w:t>
      </w:r>
      <w:r>
        <w:rPr>
          <w:spacing w:val="-12"/>
        </w:rPr>
        <w:t> </w:t>
      </w:r>
      <w:r>
        <w:rPr>
          <w:spacing w:val="-2"/>
        </w:rPr>
        <w:t>Govt.</w:t>
      </w:r>
      <w:r>
        <w:rPr>
          <w:spacing w:val="-11"/>
        </w:rPr>
        <w:t> </w:t>
      </w:r>
      <w:r>
        <w:rPr>
          <w:spacing w:val="-2"/>
        </w:rPr>
        <w:t>High</w:t>
      </w:r>
      <w:r>
        <w:rPr>
          <w:spacing w:val="-11"/>
        </w:rPr>
        <w:t> </w:t>
      </w:r>
      <w:r>
        <w:rPr>
          <w:spacing w:val="-2"/>
        </w:rPr>
        <w:t>School,</w:t>
      </w:r>
      <w:r>
        <w:rPr>
          <w:spacing w:val="-12"/>
        </w:rPr>
        <w:t> </w:t>
      </w:r>
      <w:r>
        <w:rPr>
          <w:spacing w:val="-2"/>
        </w:rPr>
        <w:t>Haryana</w:t>
      </w:r>
    </w:p>
    <w:p>
      <w:pPr>
        <w:pStyle w:val="ListParagraph"/>
        <w:numPr>
          <w:ilvl w:val="0"/>
          <w:numId w:val="90"/>
        </w:numPr>
        <w:tabs>
          <w:tab w:pos="1439" w:val="left" w:leader="none"/>
        </w:tabs>
        <w:spacing w:line="240" w:lineRule="auto" w:before="123" w:after="0"/>
        <w:ind w:left="1439" w:right="0" w:hanging="359"/>
        <w:jc w:val="left"/>
        <w:rPr>
          <w:sz w:val="22"/>
        </w:rPr>
      </w:pPr>
      <w:r>
        <w:rPr>
          <w:spacing w:val="-4"/>
          <w:sz w:val="22"/>
        </w:rPr>
        <w:t>Sh.</w:t>
      </w:r>
      <w:r>
        <w:rPr>
          <w:spacing w:val="-10"/>
          <w:sz w:val="22"/>
        </w:rPr>
        <w:t> </w:t>
      </w:r>
      <w:r>
        <w:rPr>
          <w:spacing w:val="-4"/>
          <w:sz w:val="22"/>
        </w:rPr>
        <w:t>Suraj</w:t>
      </w:r>
      <w:r>
        <w:rPr>
          <w:spacing w:val="-10"/>
          <w:sz w:val="22"/>
        </w:rPr>
        <w:t> </w:t>
      </w:r>
      <w:r>
        <w:rPr>
          <w:spacing w:val="-4"/>
          <w:sz w:val="22"/>
        </w:rPr>
        <w:t>Prakash</w:t>
      </w:r>
    </w:p>
    <w:p>
      <w:pPr>
        <w:pStyle w:val="BodyText"/>
        <w:spacing w:before="33"/>
        <w:ind w:left="1440"/>
      </w:pPr>
      <w:r>
        <w:rPr>
          <w:spacing w:val="-6"/>
        </w:rPr>
        <w:t>Teacher,</w:t>
      </w:r>
      <w:r>
        <w:rPr>
          <w:spacing w:val="-1"/>
        </w:rPr>
        <w:t> </w:t>
      </w:r>
      <w:r>
        <w:rPr>
          <w:spacing w:val="-6"/>
        </w:rPr>
        <w:t>primary</w:t>
      </w:r>
      <w:r>
        <w:rPr/>
        <w:t> </w:t>
      </w:r>
      <w:r>
        <w:rPr>
          <w:spacing w:val="-6"/>
        </w:rPr>
        <w:t>School,</w:t>
      </w:r>
      <w:r>
        <w:rPr>
          <w:spacing w:val="-1"/>
        </w:rPr>
        <w:t> </w:t>
      </w:r>
      <w:r>
        <w:rPr>
          <w:spacing w:val="-6"/>
        </w:rPr>
        <w:t>Haryana</w:t>
      </w:r>
    </w:p>
    <w:p>
      <w:pPr>
        <w:pStyle w:val="ListParagraph"/>
        <w:numPr>
          <w:ilvl w:val="0"/>
          <w:numId w:val="90"/>
        </w:numPr>
        <w:tabs>
          <w:tab w:pos="1440" w:val="left" w:leader="none"/>
        </w:tabs>
        <w:spacing w:line="271" w:lineRule="auto" w:before="123" w:after="0"/>
        <w:ind w:left="1440" w:right="2261" w:hanging="360"/>
        <w:jc w:val="left"/>
        <w:rPr>
          <w:sz w:val="22"/>
        </w:rPr>
      </w:pPr>
      <w:r>
        <w:rPr>
          <w:spacing w:val="-2"/>
          <w:sz w:val="22"/>
        </w:rPr>
        <w:t>Sh.</w:t>
      </w:r>
      <w:r>
        <w:rPr>
          <w:spacing w:val="-12"/>
          <w:sz w:val="22"/>
        </w:rPr>
        <w:t> </w:t>
      </w:r>
      <w:r>
        <w:rPr>
          <w:spacing w:val="-2"/>
          <w:sz w:val="22"/>
        </w:rPr>
        <w:t>Satya</w:t>
      </w:r>
      <w:r>
        <w:rPr>
          <w:spacing w:val="-12"/>
          <w:sz w:val="22"/>
        </w:rPr>
        <w:t> </w:t>
      </w:r>
      <w:r>
        <w:rPr>
          <w:spacing w:val="-2"/>
          <w:sz w:val="22"/>
        </w:rPr>
        <w:t>Dev</w:t>
      </w:r>
      <w:r>
        <w:rPr>
          <w:spacing w:val="-12"/>
          <w:sz w:val="22"/>
        </w:rPr>
        <w:t> </w:t>
      </w:r>
      <w:r>
        <w:rPr>
          <w:spacing w:val="-2"/>
          <w:sz w:val="22"/>
        </w:rPr>
        <w:t>Prakash DIET</w:t>
      </w:r>
      <w:r>
        <w:rPr>
          <w:spacing w:val="-12"/>
          <w:sz w:val="22"/>
        </w:rPr>
        <w:t> </w:t>
      </w:r>
      <w:r>
        <w:rPr>
          <w:spacing w:val="-2"/>
          <w:sz w:val="22"/>
        </w:rPr>
        <w:t>Palwal,</w:t>
      </w:r>
      <w:r>
        <w:rPr>
          <w:spacing w:val="-12"/>
          <w:sz w:val="22"/>
        </w:rPr>
        <w:t> </w:t>
      </w:r>
      <w:r>
        <w:rPr>
          <w:spacing w:val="-2"/>
          <w:sz w:val="22"/>
        </w:rPr>
        <w:t>Haryana</w:t>
      </w:r>
    </w:p>
    <w:p>
      <w:pPr>
        <w:pStyle w:val="ListParagraph"/>
        <w:numPr>
          <w:ilvl w:val="0"/>
          <w:numId w:val="90"/>
        </w:numPr>
        <w:tabs>
          <w:tab w:pos="1440" w:val="left" w:leader="none"/>
        </w:tabs>
        <w:spacing w:line="271" w:lineRule="auto" w:before="90" w:after="0"/>
        <w:ind w:left="1440" w:right="1872" w:hanging="360"/>
        <w:jc w:val="left"/>
        <w:rPr>
          <w:sz w:val="22"/>
        </w:rPr>
      </w:pPr>
      <w:r>
        <w:rPr>
          <w:sz w:val="22"/>
        </w:rPr>
        <w:t>Dr.</w:t>
      </w:r>
      <w:r>
        <w:rPr>
          <w:spacing w:val="-8"/>
          <w:sz w:val="22"/>
        </w:rPr>
        <w:t> </w:t>
      </w:r>
      <w:r>
        <w:rPr>
          <w:sz w:val="22"/>
        </w:rPr>
        <w:t>Yogesh</w:t>
      </w:r>
      <w:r>
        <w:rPr>
          <w:spacing w:val="-8"/>
          <w:sz w:val="22"/>
        </w:rPr>
        <w:t> </w:t>
      </w:r>
      <w:r>
        <w:rPr>
          <w:sz w:val="22"/>
        </w:rPr>
        <w:t>Vasistha </w:t>
      </w:r>
      <w:r>
        <w:rPr>
          <w:spacing w:val="-4"/>
          <w:sz w:val="22"/>
        </w:rPr>
        <w:t>SCERT,</w:t>
      </w:r>
      <w:r>
        <w:rPr>
          <w:spacing w:val="-10"/>
          <w:sz w:val="22"/>
        </w:rPr>
        <w:t> </w:t>
      </w:r>
      <w:r>
        <w:rPr>
          <w:spacing w:val="-4"/>
          <w:sz w:val="22"/>
        </w:rPr>
        <w:t>Gurgaon,</w:t>
      </w:r>
      <w:r>
        <w:rPr>
          <w:spacing w:val="-10"/>
          <w:sz w:val="22"/>
        </w:rPr>
        <w:t> </w:t>
      </w:r>
      <w:r>
        <w:rPr>
          <w:spacing w:val="-4"/>
          <w:sz w:val="22"/>
        </w:rPr>
        <w:t>Haryana</w:t>
      </w:r>
    </w:p>
    <w:p>
      <w:pPr>
        <w:pStyle w:val="ListParagraph"/>
        <w:numPr>
          <w:ilvl w:val="0"/>
          <w:numId w:val="90"/>
        </w:numPr>
        <w:tabs>
          <w:tab w:pos="1439" w:val="left" w:leader="none"/>
        </w:tabs>
        <w:spacing w:line="240" w:lineRule="auto" w:before="90" w:after="0"/>
        <w:ind w:left="1439" w:right="0" w:hanging="359"/>
        <w:jc w:val="left"/>
        <w:rPr>
          <w:sz w:val="22"/>
        </w:rPr>
      </w:pPr>
      <w:r>
        <w:rPr>
          <w:spacing w:val="-6"/>
          <w:sz w:val="22"/>
        </w:rPr>
        <w:t>Sh.</w:t>
      </w:r>
      <w:r>
        <w:rPr>
          <w:spacing w:val="-7"/>
          <w:sz w:val="22"/>
        </w:rPr>
        <w:t> </w:t>
      </w:r>
      <w:r>
        <w:rPr>
          <w:spacing w:val="-6"/>
          <w:sz w:val="22"/>
        </w:rPr>
        <w:t>Rajedev</w:t>
      </w:r>
      <w:r>
        <w:rPr>
          <w:spacing w:val="-7"/>
          <w:sz w:val="22"/>
        </w:rPr>
        <w:t> </w:t>
      </w:r>
      <w:r>
        <w:rPr>
          <w:spacing w:val="-6"/>
          <w:sz w:val="22"/>
        </w:rPr>
        <w:t>Singh</w:t>
      </w:r>
    </w:p>
    <w:p>
      <w:pPr>
        <w:pStyle w:val="BodyText"/>
        <w:spacing w:before="33"/>
        <w:ind w:left="1440"/>
      </w:pPr>
      <w:r>
        <w:rPr>
          <w:spacing w:val="-2"/>
        </w:rPr>
        <w:t>DIET</w:t>
      </w:r>
      <w:r>
        <w:rPr>
          <w:spacing w:val="-4"/>
        </w:rPr>
        <w:t> </w:t>
      </w:r>
      <w:r>
        <w:rPr>
          <w:spacing w:val="-2"/>
        </w:rPr>
        <w:t>Mattarsham,</w:t>
      </w:r>
      <w:r>
        <w:rPr>
          <w:spacing w:val="-4"/>
        </w:rPr>
        <w:t> </w:t>
      </w:r>
      <w:r>
        <w:rPr>
          <w:spacing w:val="-2"/>
        </w:rPr>
        <w:t>Hissar,</w:t>
      </w:r>
      <w:r>
        <w:rPr>
          <w:spacing w:val="-3"/>
        </w:rPr>
        <w:t> </w:t>
      </w:r>
      <w:r>
        <w:rPr>
          <w:spacing w:val="-2"/>
        </w:rPr>
        <w:t>Haryana</w:t>
      </w:r>
    </w:p>
    <w:p>
      <w:pPr>
        <w:pStyle w:val="ListParagraph"/>
        <w:numPr>
          <w:ilvl w:val="0"/>
          <w:numId w:val="90"/>
        </w:numPr>
        <w:tabs>
          <w:tab w:pos="789" w:val="left" w:leader="none"/>
        </w:tabs>
        <w:spacing w:line="240" w:lineRule="auto" w:before="57" w:after="0"/>
        <w:ind w:left="789" w:right="0" w:hanging="359"/>
        <w:jc w:val="left"/>
        <w:rPr>
          <w:sz w:val="22"/>
        </w:rPr>
      </w:pPr>
      <w:r>
        <w:rPr/>
        <w:br w:type="column"/>
      </w:r>
      <w:r>
        <w:rPr>
          <w:spacing w:val="-4"/>
          <w:sz w:val="22"/>
        </w:rPr>
        <w:t>Sh.</w:t>
      </w:r>
      <w:r>
        <w:rPr>
          <w:spacing w:val="2"/>
          <w:sz w:val="22"/>
        </w:rPr>
        <w:t> </w:t>
      </w:r>
      <w:r>
        <w:rPr>
          <w:spacing w:val="-4"/>
          <w:sz w:val="22"/>
        </w:rPr>
        <w:t>Harshvardhan</w:t>
      </w:r>
      <w:r>
        <w:rPr>
          <w:spacing w:val="3"/>
          <w:sz w:val="22"/>
        </w:rPr>
        <w:t> </w:t>
      </w:r>
      <w:r>
        <w:rPr>
          <w:spacing w:val="-4"/>
          <w:sz w:val="22"/>
        </w:rPr>
        <w:t>Joshi</w:t>
      </w:r>
    </w:p>
    <w:p>
      <w:pPr>
        <w:pStyle w:val="BodyText"/>
        <w:spacing w:before="27"/>
        <w:ind w:left="790"/>
      </w:pPr>
      <w:r>
        <w:rPr>
          <w:spacing w:val="-2"/>
        </w:rPr>
        <w:t>DIET</w:t>
      </w:r>
      <w:r>
        <w:rPr>
          <w:spacing w:val="-3"/>
        </w:rPr>
        <w:t> </w:t>
      </w:r>
      <w:r>
        <w:rPr>
          <w:spacing w:val="-2"/>
        </w:rPr>
        <w:t>Solan, Himachal Pradesh</w:t>
      </w:r>
    </w:p>
    <w:p>
      <w:pPr>
        <w:pStyle w:val="ListParagraph"/>
        <w:numPr>
          <w:ilvl w:val="0"/>
          <w:numId w:val="90"/>
        </w:numPr>
        <w:tabs>
          <w:tab w:pos="790" w:val="left" w:leader="none"/>
        </w:tabs>
        <w:spacing w:line="266" w:lineRule="auto" w:before="117" w:after="0"/>
        <w:ind w:left="790" w:right="3806" w:hanging="360"/>
        <w:jc w:val="left"/>
        <w:rPr>
          <w:sz w:val="22"/>
        </w:rPr>
      </w:pPr>
      <w:r>
        <w:rPr>
          <w:spacing w:val="-8"/>
          <w:sz w:val="22"/>
        </w:rPr>
        <w:t>Sh.</w:t>
      </w:r>
      <w:r>
        <w:rPr>
          <w:spacing w:val="-6"/>
          <w:sz w:val="22"/>
        </w:rPr>
        <w:t> </w:t>
      </w:r>
      <w:r>
        <w:rPr>
          <w:spacing w:val="-8"/>
          <w:sz w:val="22"/>
        </w:rPr>
        <w:t>Ramesh</w:t>
      </w:r>
      <w:r>
        <w:rPr>
          <w:spacing w:val="-6"/>
          <w:sz w:val="22"/>
        </w:rPr>
        <w:t> </w:t>
      </w:r>
      <w:r>
        <w:rPr>
          <w:spacing w:val="-8"/>
          <w:sz w:val="22"/>
        </w:rPr>
        <w:t>Verma </w:t>
      </w:r>
      <w:r>
        <w:rPr>
          <w:sz w:val="22"/>
        </w:rPr>
        <w:t>SCERT, Solan</w:t>
      </w:r>
    </w:p>
    <w:p>
      <w:pPr>
        <w:pStyle w:val="ListParagraph"/>
        <w:numPr>
          <w:ilvl w:val="0"/>
          <w:numId w:val="90"/>
        </w:numPr>
        <w:tabs>
          <w:tab w:pos="789" w:val="left" w:leader="none"/>
        </w:tabs>
        <w:spacing w:line="240" w:lineRule="auto" w:before="91" w:after="0"/>
        <w:ind w:left="789" w:right="0" w:hanging="359"/>
        <w:jc w:val="left"/>
        <w:rPr>
          <w:sz w:val="22"/>
        </w:rPr>
      </w:pPr>
      <w:r>
        <w:rPr>
          <w:spacing w:val="-6"/>
          <w:sz w:val="22"/>
        </w:rPr>
        <w:t>Sh.</w:t>
      </w:r>
      <w:r>
        <w:rPr>
          <w:spacing w:val="-3"/>
          <w:sz w:val="22"/>
        </w:rPr>
        <w:t> </w:t>
      </w:r>
      <w:r>
        <w:rPr>
          <w:spacing w:val="-6"/>
          <w:sz w:val="22"/>
        </w:rPr>
        <w:t>Pardeep</w:t>
      </w:r>
      <w:r>
        <w:rPr>
          <w:spacing w:val="-10"/>
          <w:sz w:val="22"/>
        </w:rPr>
        <w:t> </w:t>
      </w:r>
      <w:r>
        <w:rPr>
          <w:spacing w:val="-6"/>
          <w:sz w:val="22"/>
        </w:rPr>
        <w:t>Thakur</w:t>
      </w:r>
    </w:p>
    <w:p>
      <w:pPr>
        <w:pStyle w:val="BodyText"/>
        <w:spacing w:before="29"/>
        <w:ind w:left="790"/>
      </w:pPr>
      <w:r>
        <w:rPr>
          <w:spacing w:val="-4"/>
        </w:rPr>
        <w:t>Himachal</w:t>
      </w:r>
      <w:r>
        <w:rPr>
          <w:spacing w:val="-6"/>
        </w:rPr>
        <w:t> </w:t>
      </w:r>
      <w:r>
        <w:rPr>
          <w:spacing w:val="-4"/>
        </w:rPr>
        <w:t>Gyan</w:t>
      </w:r>
      <w:r>
        <w:rPr>
          <w:spacing w:val="-10"/>
        </w:rPr>
        <w:t> </w:t>
      </w:r>
      <w:r>
        <w:rPr>
          <w:spacing w:val="-4"/>
        </w:rPr>
        <w:t>Vigyan</w:t>
      </w:r>
      <w:r>
        <w:rPr>
          <w:spacing w:val="-6"/>
        </w:rPr>
        <w:t> </w:t>
      </w:r>
      <w:r>
        <w:rPr>
          <w:spacing w:val="-4"/>
        </w:rPr>
        <w:t>Samiti</w:t>
      </w:r>
      <w:r>
        <w:rPr>
          <w:spacing w:val="-6"/>
        </w:rPr>
        <w:t> </w:t>
      </w:r>
      <w:r>
        <w:rPr>
          <w:spacing w:val="-4"/>
        </w:rPr>
        <w:t>(HGVS)</w:t>
      </w:r>
    </w:p>
    <w:p>
      <w:pPr>
        <w:pStyle w:val="ListParagraph"/>
        <w:numPr>
          <w:ilvl w:val="0"/>
          <w:numId w:val="90"/>
        </w:numPr>
        <w:tabs>
          <w:tab w:pos="790" w:val="left" w:leader="none"/>
        </w:tabs>
        <w:spacing w:line="266" w:lineRule="auto" w:before="119" w:after="0"/>
        <w:ind w:left="790" w:right="3919" w:hanging="360"/>
        <w:jc w:val="left"/>
        <w:rPr>
          <w:sz w:val="22"/>
        </w:rPr>
      </w:pPr>
      <w:r>
        <w:rPr>
          <w:spacing w:val="-4"/>
          <w:sz w:val="22"/>
        </w:rPr>
        <w:t>Dr.</w:t>
      </w:r>
      <w:r>
        <w:rPr>
          <w:spacing w:val="-10"/>
          <w:sz w:val="22"/>
        </w:rPr>
        <w:t> </w:t>
      </w:r>
      <w:r>
        <w:rPr>
          <w:spacing w:val="-4"/>
          <w:sz w:val="22"/>
        </w:rPr>
        <w:t>O.P.</w:t>
      </w:r>
      <w:r>
        <w:rPr>
          <w:spacing w:val="-10"/>
          <w:sz w:val="22"/>
        </w:rPr>
        <w:t> </w:t>
      </w:r>
      <w:r>
        <w:rPr>
          <w:spacing w:val="-4"/>
          <w:sz w:val="22"/>
        </w:rPr>
        <w:t>Bhuraita HGVS</w:t>
      </w:r>
    </w:p>
    <w:p>
      <w:pPr>
        <w:pStyle w:val="ListParagraph"/>
        <w:numPr>
          <w:ilvl w:val="0"/>
          <w:numId w:val="90"/>
        </w:numPr>
        <w:tabs>
          <w:tab w:pos="789" w:val="left" w:leader="none"/>
        </w:tabs>
        <w:spacing w:line="240" w:lineRule="auto" w:before="92" w:after="0"/>
        <w:ind w:left="789" w:right="0" w:hanging="359"/>
        <w:jc w:val="left"/>
        <w:rPr>
          <w:sz w:val="22"/>
        </w:rPr>
      </w:pPr>
      <w:r>
        <w:rPr>
          <w:spacing w:val="-4"/>
          <w:sz w:val="22"/>
        </w:rPr>
        <w:t>Sh.</w:t>
      </w:r>
      <w:r>
        <w:rPr>
          <w:spacing w:val="-8"/>
          <w:sz w:val="22"/>
        </w:rPr>
        <w:t> </w:t>
      </w:r>
      <w:r>
        <w:rPr>
          <w:spacing w:val="-4"/>
          <w:sz w:val="22"/>
        </w:rPr>
        <w:t>Joginder</w:t>
      </w:r>
      <w:r>
        <w:rPr>
          <w:spacing w:val="-7"/>
          <w:sz w:val="22"/>
        </w:rPr>
        <w:t> </w:t>
      </w:r>
      <w:r>
        <w:rPr>
          <w:spacing w:val="-4"/>
          <w:sz w:val="22"/>
        </w:rPr>
        <w:t>Singh</w:t>
      </w:r>
      <w:r>
        <w:rPr>
          <w:spacing w:val="-8"/>
          <w:sz w:val="22"/>
        </w:rPr>
        <w:t> </w:t>
      </w:r>
      <w:r>
        <w:rPr>
          <w:spacing w:val="-5"/>
          <w:sz w:val="22"/>
        </w:rPr>
        <w:t>Rao</w:t>
      </w:r>
    </w:p>
    <w:p>
      <w:pPr>
        <w:pStyle w:val="BodyText"/>
        <w:spacing w:line="266" w:lineRule="auto" w:before="29"/>
        <w:ind w:left="790" w:right="2015"/>
      </w:pPr>
      <w:r>
        <w:rPr>
          <w:spacing w:val="-4"/>
        </w:rPr>
        <w:t>Principal,</w:t>
      </w:r>
      <w:r>
        <w:rPr>
          <w:spacing w:val="-10"/>
        </w:rPr>
        <w:t> </w:t>
      </w:r>
      <w:r>
        <w:rPr>
          <w:spacing w:val="-4"/>
        </w:rPr>
        <w:t>Govt.</w:t>
      </w:r>
      <w:r>
        <w:rPr>
          <w:spacing w:val="-10"/>
        </w:rPr>
        <w:t> </w:t>
      </w:r>
      <w:r>
        <w:rPr>
          <w:spacing w:val="-4"/>
        </w:rPr>
        <w:t>Senior</w:t>
      </w:r>
      <w:r>
        <w:rPr>
          <w:spacing w:val="-10"/>
        </w:rPr>
        <w:t> </w:t>
      </w:r>
      <w:r>
        <w:rPr>
          <w:spacing w:val="-4"/>
        </w:rPr>
        <w:t>Secondary </w:t>
      </w:r>
      <w:r>
        <w:rPr/>
        <w:t>Bilaspur, Himachal Pradesh</w:t>
      </w:r>
    </w:p>
    <w:p>
      <w:pPr>
        <w:pStyle w:val="ListParagraph"/>
        <w:numPr>
          <w:ilvl w:val="0"/>
          <w:numId w:val="90"/>
        </w:numPr>
        <w:tabs>
          <w:tab w:pos="790" w:val="left" w:leader="none"/>
        </w:tabs>
        <w:spacing w:line="266" w:lineRule="auto" w:before="93" w:after="0"/>
        <w:ind w:left="790" w:right="3341" w:hanging="360"/>
        <w:jc w:val="left"/>
        <w:rPr>
          <w:sz w:val="22"/>
        </w:rPr>
      </w:pPr>
      <w:r>
        <w:rPr>
          <w:sz w:val="22"/>
        </w:rPr>
        <w:t>Sh. R.K. Duggal </w:t>
      </w:r>
      <w:r>
        <w:rPr>
          <w:spacing w:val="-2"/>
          <w:sz w:val="22"/>
        </w:rPr>
        <w:t>District</w:t>
      </w:r>
      <w:r>
        <w:rPr>
          <w:spacing w:val="-12"/>
          <w:sz w:val="22"/>
        </w:rPr>
        <w:t> </w:t>
      </w:r>
      <w:r>
        <w:rPr>
          <w:spacing w:val="-2"/>
          <w:sz w:val="22"/>
        </w:rPr>
        <w:t>Project</w:t>
      </w:r>
      <w:r>
        <w:rPr>
          <w:spacing w:val="-12"/>
          <w:sz w:val="22"/>
        </w:rPr>
        <w:t> </w:t>
      </w:r>
      <w:r>
        <w:rPr>
          <w:spacing w:val="-2"/>
          <w:sz w:val="22"/>
        </w:rPr>
        <w:t>Director</w:t>
      </w:r>
    </w:p>
    <w:p>
      <w:pPr>
        <w:pStyle w:val="ListParagraph"/>
        <w:numPr>
          <w:ilvl w:val="0"/>
          <w:numId w:val="90"/>
        </w:numPr>
        <w:tabs>
          <w:tab w:pos="790" w:val="left" w:leader="none"/>
        </w:tabs>
        <w:spacing w:line="266" w:lineRule="auto" w:before="92" w:after="0"/>
        <w:ind w:left="790" w:right="3706" w:hanging="360"/>
        <w:jc w:val="left"/>
        <w:rPr>
          <w:sz w:val="22"/>
        </w:rPr>
      </w:pPr>
      <w:r>
        <w:rPr>
          <w:spacing w:val="-6"/>
          <w:sz w:val="22"/>
        </w:rPr>
        <w:t>Sh.</w:t>
      </w:r>
      <w:r>
        <w:rPr>
          <w:spacing w:val="-8"/>
          <w:sz w:val="22"/>
        </w:rPr>
        <w:t> </w:t>
      </w:r>
      <w:r>
        <w:rPr>
          <w:spacing w:val="-6"/>
          <w:sz w:val="22"/>
        </w:rPr>
        <w:t>Paramjeet</w:t>
      </w:r>
      <w:r>
        <w:rPr>
          <w:spacing w:val="-8"/>
          <w:sz w:val="22"/>
        </w:rPr>
        <w:t> </w:t>
      </w:r>
      <w:r>
        <w:rPr>
          <w:spacing w:val="-6"/>
          <w:sz w:val="22"/>
        </w:rPr>
        <w:t>Singh </w:t>
      </w:r>
      <w:r>
        <w:rPr>
          <w:sz w:val="22"/>
        </w:rPr>
        <w:t>Deputy Director Higher Education</w:t>
      </w:r>
    </w:p>
    <w:p>
      <w:pPr>
        <w:pStyle w:val="ListParagraph"/>
        <w:numPr>
          <w:ilvl w:val="0"/>
          <w:numId w:val="90"/>
        </w:numPr>
        <w:tabs>
          <w:tab w:pos="789" w:val="left" w:leader="none"/>
        </w:tabs>
        <w:spacing w:line="240" w:lineRule="auto" w:before="94" w:after="0"/>
        <w:ind w:left="789" w:right="0" w:hanging="359"/>
        <w:jc w:val="left"/>
        <w:rPr>
          <w:sz w:val="22"/>
        </w:rPr>
      </w:pPr>
      <w:r>
        <w:rPr>
          <w:spacing w:val="-4"/>
          <w:sz w:val="22"/>
        </w:rPr>
        <w:t>Sh.</w:t>
      </w:r>
      <w:r>
        <w:rPr>
          <w:spacing w:val="-9"/>
          <w:sz w:val="22"/>
        </w:rPr>
        <w:t> </w:t>
      </w:r>
      <w:r>
        <w:rPr>
          <w:spacing w:val="-4"/>
          <w:sz w:val="22"/>
        </w:rPr>
        <w:t>Surjeet</w:t>
      </w:r>
      <w:r>
        <w:rPr>
          <w:spacing w:val="-8"/>
          <w:sz w:val="22"/>
        </w:rPr>
        <w:t> </w:t>
      </w:r>
      <w:r>
        <w:rPr>
          <w:spacing w:val="-4"/>
          <w:sz w:val="22"/>
        </w:rPr>
        <w:t>Singh</w:t>
      </w:r>
      <w:r>
        <w:rPr>
          <w:spacing w:val="-8"/>
          <w:sz w:val="22"/>
        </w:rPr>
        <w:t> </w:t>
      </w:r>
      <w:r>
        <w:rPr>
          <w:spacing w:val="-5"/>
          <w:sz w:val="22"/>
        </w:rPr>
        <w:t>Rao</w:t>
      </w:r>
    </w:p>
    <w:p>
      <w:pPr>
        <w:pStyle w:val="BodyText"/>
        <w:spacing w:line="266" w:lineRule="auto" w:before="29"/>
        <w:ind w:left="790" w:right="2015"/>
      </w:pPr>
      <w:r>
        <w:rPr>
          <w:spacing w:val="-4"/>
        </w:rPr>
        <w:t>Principal,</w:t>
      </w:r>
      <w:r>
        <w:rPr>
          <w:spacing w:val="-10"/>
        </w:rPr>
        <w:t> </w:t>
      </w:r>
      <w:r>
        <w:rPr>
          <w:spacing w:val="-4"/>
        </w:rPr>
        <w:t>Govt.</w:t>
      </w:r>
      <w:r>
        <w:rPr>
          <w:spacing w:val="-10"/>
        </w:rPr>
        <w:t> </w:t>
      </w:r>
      <w:r>
        <w:rPr>
          <w:spacing w:val="-4"/>
        </w:rPr>
        <w:t>Senior</w:t>
      </w:r>
      <w:r>
        <w:rPr>
          <w:spacing w:val="-10"/>
        </w:rPr>
        <w:t> </w:t>
      </w:r>
      <w:r>
        <w:rPr>
          <w:spacing w:val="-4"/>
        </w:rPr>
        <w:t>Secondary </w:t>
      </w:r>
      <w:r>
        <w:rPr/>
        <w:t>Moorang, Himachal Pradesh</w:t>
      </w:r>
    </w:p>
    <w:p>
      <w:pPr>
        <w:pStyle w:val="ListParagraph"/>
        <w:numPr>
          <w:ilvl w:val="0"/>
          <w:numId w:val="90"/>
        </w:numPr>
        <w:tabs>
          <w:tab w:pos="789" w:val="left" w:leader="none"/>
        </w:tabs>
        <w:spacing w:line="240" w:lineRule="auto" w:before="92" w:after="0"/>
        <w:ind w:left="789" w:right="0" w:hanging="359"/>
        <w:jc w:val="left"/>
        <w:rPr>
          <w:sz w:val="22"/>
        </w:rPr>
      </w:pPr>
      <w:r>
        <w:rPr>
          <w:spacing w:val="-8"/>
          <w:sz w:val="22"/>
        </w:rPr>
        <w:t>Sh.</w:t>
      </w:r>
      <w:r>
        <w:rPr>
          <w:spacing w:val="-1"/>
          <w:sz w:val="22"/>
        </w:rPr>
        <w:t> </w:t>
      </w:r>
      <w:r>
        <w:rPr>
          <w:spacing w:val="-8"/>
          <w:sz w:val="22"/>
        </w:rPr>
        <w:t>Sanjeev</w:t>
      </w:r>
      <w:r>
        <w:rPr>
          <w:sz w:val="22"/>
        </w:rPr>
        <w:t> </w:t>
      </w:r>
      <w:r>
        <w:rPr>
          <w:spacing w:val="-8"/>
          <w:sz w:val="22"/>
        </w:rPr>
        <w:t>Atri</w:t>
      </w:r>
    </w:p>
    <w:p>
      <w:pPr>
        <w:pStyle w:val="BodyText"/>
        <w:spacing w:line="266" w:lineRule="auto" w:before="29"/>
        <w:ind w:left="790" w:right="2015"/>
      </w:pPr>
      <w:r>
        <w:rPr>
          <w:spacing w:val="-4"/>
        </w:rPr>
        <w:t>Principal,</w:t>
      </w:r>
      <w:r>
        <w:rPr>
          <w:spacing w:val="-10"/>
        </w:rPr>
        <w:t> </w:t>
      </w:r>
      <w:r>
        <w:rPr>
          <w:spacing w:val="-4"/>
        </w:rPr>
        <w:t>Govt.</w:t>
      </w:r>
      <w:r>
        <w:rPr>
          <w:spacing w:val="-10"/>
        </w:rPr>
        <w:t> </w:t>
      </w:r>
      <w:r>
        <w:rPr>
          <w:spacing w:val="-4"/>
        </w:rPr>
        <w:t>Senior</w:t>
      </w:r>
      <w:r>
        <w:rPr>
          <w:spacing w:val="-10"/>
        </w:rPr>
        <w:t> </w:t>
      </w:r>
      <w:r>
        <w:rPr>
          <w:spacing w:val="-4"/>
        </w:rPr>
        <w:t>Secondary </w:t>
      </w:r>
      <w:r>
        <w:rPr/>
        <w:t>Kaffota, Himachal Pradesh</w:t>
      </w:r>
    </w:p>
    <w:p>
      <w:pPr>
        <w:pStyle w:val="ListParagraph"/>
        <w:numPr>
          <w:ilvl w:val="0"/>
          <w:numId w:val="90"/>
        </w:numPr>
        <w:tabs>
          <w:tab w:pos="790" w:val="left" w:leader="none"/>
        </w:tabs>
        <w:spacing w:line="266" w:lineRule="auto" w:before="92" w:after="0"/>
        <w:ind w:left="790" w:right="3246" w:hanging="360"/>
        <w:jc w:val="left"/>
        <w:rPr>
          <w:sz w:val="22"/>
        </w:rPr>
      </w:pPr>
      <w:r>
        <w:rPr>
          <w:spacing w:val="-2"/>
          <w:sz w:val="22"/>
        </w:rPr>
        <w:t>Dr.</w:t>
      </w:r>
      <w:r>
        <w:rPr>
          <w:spacing w:val="-12"/>
          <w:sz w:val="22"/>
        </w:rPr>
        <w:t> </w:t>
      </w:r>
      <w:r>
        <w:rPr>
          <w:spacing w:val="-2"/>
          <w:sz w:val="22"/>
        </w:rPr>
        <w:t>Harendra</w:t>
      </w:r>
      <w:r>
        <w:rPr>
          <w:spacing w:val="-12"/>
          <w:sz w:val="22"/>
        </w:rPr>
        <w:t> </w:t>
      </w:r>
      <w:r>
        <w:rPr>
          <w:spacing w:val="-2"/>
          <w:sz w:val="22"/>
        </w:rPr>
        <w:t>S.</w:t>
      </w:r>
      <w:r>
        <w:rPr>
          <w:spacing w:val="-12"/>
          <w:sz w:val="22"/>
        </w:rPr>
        <w:t> </w:t>
      </w:r>
      <w:r>
        <w:rPr>
          <w:spacing w:val="-2"/>
          <w:sz w:val="22"/>
        </w:rPr>
        <w:t>Adhikari </w:t>
      </w:r>
      <w:r>
        <w:rPr>
          <w:sz w:val="22"/>
        </w:rPr>
        <w:t>SCERT, Uttarakhand</w:t>
      </w:r>
    </w:p>
    <w:p>
      <w:pPr>
        <w:pStyle w:val="ListParagraph"/>
        <w:numPr>
          <w:ilvl w:val="0"/>
          <w:numId w:val="90"/>
        </w:numPr>
        <w:tabs>
          <w:tab w:pos="789" w:val="left" w:leader="none"/>
        </w:tabs>
        <w:spacing w:line="240" w:lineRule="auto" w:before="93" w:after="0"/>
        <w:ind w:left="789" w:right="0" w:hanging="359"/>
        <w:jc w:val="left"/>
        <w:rPr>
          <w:sz w:val="22"/>
        </w:rPr>
      </w:pPr>
      <w:r>
        <w:rPr>
          <w:spacing w:val="-8"/>
          <w:sz w:val="22"/>
        </w:rPr>
        <w:t>Sh.</w:t>
      </w:r>
      <w:r>
        <w:rPr>
          <w:spacing w:val="-5"/>
          <w:sz w:val="22"/>
        </w:rPr>
        <w:t> </w:t>
      </w:r>
      <w:r>
        <w:rPr>
          <w:spacing w:val="-8"/>
          <w:sz w:val="22"/>
        </w:rPr>
        <w:t>V.</w:t>
      </w:r>
      <w:r>
        <w:rPr>
          <w:spacing w:val="-1"/>
          <w:sz w:val="22"/>
        </w:rPr>
        <w:t> </w:t>
      </w:r>
      <w:r>
        <w:rPr>
          <w:spacing w:val="-8"/>
          <w:sz w:val="22"/>
        </w:rPr>
        <w:t>Rama</w:t>
      </w:r>
      <w:r>
        <w:rPr>
          <w:spacing w:val="-1"/>
          <w:sz w:val="22"/>
        </w:rPr>
        <w:t> </w:t>
      </w:r>
      <w:r>
        <w:rPr>
          <w:spacing w:val="-8"/>
          <w:sz w:val="22"/>
        </w:rPr>
        <w:t>Rao</w:t>
      </w:r>
    </w:p>
    <w:p>
      <w:pPr>
        <w:pStyle w:val="BodyText"/>
        <w:spacing w:before="29"/>
        <w:ind w:left="790"/>
      </w:pPr>
      <w:r>
        <w:rPr>
          <w:spacing w:val="-6"/>
        </w:rPr>
        <w:t>Education</w:t>
      </w:r>
      <w:r>
        <w:rPr/>
        <w:t> </w:t>
      </w:r>
      <w:r>
        <w:rPr>
          <w:spacing w:val="-6"/>
        </w:rPr>
        <w:t>Advisor,</w:t>
      </w:r>
      <w:r>
        <w:rPr/>
        <w:t> </w:t>
      </w:r>
      <w:r>
        <w:rPr>
          <w:spacing w:val="-6"/>
        </w:rPr>
        <w:t>Dehradun</w:t>
      </w:r>
    </w:p>
    <w:p>
      <w:pPr>
        <w:pStyle w:val="ListParagraph"/>
        <w:numPr>
          <w:ilvl w:val="0"/>
          <w:numId w:val="90"/>
        </w:numPr>
        <w:tabs>
          <w:tab w:pos="789" w:val="left" w:leader="none"/>
        </w:tabs>
        <w:spacing w:line="240" w:lineRule="auto" w:before="119" w:after="0"/>
        <w:ind w:left="789" w:right="0" w:hanging="359"/>
        <w:jc w:val="left"/>
        <w:rPr>
          <w:sz w:val="22"/>
        </w:rPr>
      </w:pPr>
      <w:r>
        <w:rPr>
          <w:spacing w:val="-4"/>
          <w:sz w:val="22"/>
        </w:rPr>
        <w:t>Sh.</w:t>
      </w:r>
      <w:r>
        <w:rPr>
          <w:spacing w:val="-9"/>
          <w:sz w:val="22"/>
        </w:rPr>
        <w:t> </w:t>
      </w:r>
      <w:r>
        <w:rPr>
          <w:spacing w:val="-4"/>
          <w:sz w:val="22"/>
        </w:rPr>
        <w:t>B.S.</w:t>
      </w:r>
      <w:r>
        <w:rPr>
          <w:spacing w:val="-9"/>
          <w:sz w:val="22"/>
        </w:rPr>
        <w:t> </w:t>
      </w:r>
      <w:r>
        <w:rPr>
          <w:spacing w:val="-4"/>
          <w:sz w:val="22"/>
        </w:rPr>
        <w:t>Negi</w:t>
      </w:r>
    </w:p>
    <w:p>
      <w:pPr>
        <w:pStyle w:val="BodyText"/>
        <w:spacing w:line="266" w:lineRule="auto" w:before="29"/>
        <w:ind w:left="790" w:right="2015"/>
      </w:pPr>
      <w:r>
        <w:rPr>
          <w:spacing w:val="-4"/>
        </w:rPr>
        <w:t>Principal,</w:t>
      </w:r>
      <w:r>
        <w:rPr>
          <w:spacing w:val="-10"/>
        </w:rPr>
        <w:t> </w:t>
      </w:r>
      <w:r>
        <w:rPr>
          <w:spacing w:val="-4"/>
        </w:rPr>
        <w:t>Govt.</w:t>
      </w:r>
      <w:r>
        <w:rPr>
          <w:spacing w:val="-10"/>
        </w:rPr>
        <w:t> </w:t>
      </w:r>
      <w:r>
        <w:rPr>
          <w:spacing w:val="-4"/>
        </w:rPr>
        <w:t>Intercollege </w:t>
      </w:r>
      <w:r>
        <w:rPr/>
        <w:t>Miyanwala, Dehradun</w:t>
      </w:r>
    </w:p>
    <w:p>
      <w:pPr>
        <w:pStyle w:val="ListParagraph"/>
        <w:numPr>
          <w:ilvl w:val="0"/>
          <w:numId w:val="90"/>
        </w:numPr>
        <w:tabs>
          <w:tab w:pos="789" w:val="left" w:leader="none"/>
        </w:tabs>
        <w:spacing w:line="240" w:lineRule="auto" w:before="92" w:after="0"/>
        <w:ind w:left="789" w:right="0" w:hanging="359"/>
        <w:jc w:val="left"/>
        <w:rPr>
          <w:sz w:val="22"/>
        </w:rPr>
      </w:pPr>
      <w:r>
        <w:rPr>
          <w:spacing w:val="-2"/>
          <w:sz w:val="22"/>
        </w:rPr>
        <w:t>Dr.</w:t>
      </w:r>
      <w:r>
        <w:rPr>
          <w:spacing w:val="-7"/>
          <w:sz w:val="22"/>
        </w:rPr>
        <w:t> </w:t>
      </w:r>
      <w:r>
        <w:rPr>
          <w:spacing w:val="-2"/>
          <w:sz w:val="22"/>
        </w:rPr>
        <w:t>Anita</w:t>
      </w:r>
      <w:r>
        <w:rPr>
          <w:spacing w:val="-7"/>
          <w:sz w:val="22"/>
        </w:rPr>
        <w:t> </w:t>
      </w:r>
      <w:r>
        <w:rPr>
          <w:spacing w:val="-2"/>
          <w:sz w:val="22"/>
        </w:rPr>
        <w:t>Chauhan</w:t>
      </w:r>
    </w:p>
    <w:p>
      <w:pPr>
        <w:pStyle w:val="BodyText"/>
        <w:spacing w:before="29"/>
        <w:ind w:left="790"/>
      </w:pPr>
      <w:r>
        <w:rPr>
          <w:spacing w:val="-2"/>
        </w:rPr>
        <w:t>DIET,</w:t>
      </w:r>
      <w:r>
        <w:rPr>
          <w:spacing w:val="-4"/>
        </w:rPr>
        <w:t> </w:t>
      </w:r>
      <w:r>
        <w:rPr>
          <w:spacing w:val="-2"/>
        </w:rPr>
        <w:t>Baghpat,</w:t>
      </w:r>
      <w:r>
        <w:rPr>
          <w:spacing w:val="-3"/>
        </w:rPr>
        <w:t> </w:t>
      </w:r>
      <w:r>
        <w:rPr>
          <w:spacing w:val="-2"/>
        </w:rPr>
        <w:t>Uttar</w:t>
      </w:r>
      <w:r>
        <w:rPr>
          <w:spacing w:val="-3"/>
        </w:rPr>
        <w:t> </w:t>
      </w:r>
      <w:r>
        <w:rPr>
          <w:spacing w:val="-2"/>
        </w:rPr>
        <w:t>Pradesh</w:t>
      </w:r>
    </w:p>
    <w:p>
      <w:pPr>
        <w:pStyle w:val="ListParagraph"/>
        <w:numPr>
          <w:ilvl w:val="0"/>
          <w:numId w:val="90"/>
        </w:numPr>
        <w:tabs>
          <w:tab w:pos="790" w:val="left" w:leader="none"/>
        </w:tabs>
        <w:spacing w:line="266" w:lineRule="auto" w:before="119" w:after="0"/>
        <w:ind w:left="790" w:right="3337" w:hanging="360"/>
        <w:jc w:val="left"/>
        <w:rPr>
          <w:sz w:val="22"/>
        </w:rPr>
      </w:pPr>
      <w:r>
        <w:rPr>
          <w:sz w:val="22"/>
        </w:rPr>
        <w:t>Sh. Rajesh Kumar </w:t>
      </w:r>
      <w:r>
        <w:rPr>
          <w:spacing w:val="-2"/>
          <w:sz w:val="22"/>
        </w:rPr>
        <w:t>Lokmitra,</w:t>
      </w:r>
      <w:r>
        <w:rPr>
          <w:spacing w:val="-12"/>
          <w:sz w:val="22"/>
        </w:rPr>
        <w:t> </w:t>
      </w:r>
      <w:r>
        <w:rPr>
          <w:spacing w:val="-2"/>
          <w:sz w:val="22"/>
        </w:rPr>
        <w:t>Uttar</w:t>
      </w:r>
      <w:r>
        <w:rPr>
          <w:spacing w:val="-12"/>
          <w:sz w:val="22"/>
        </w:rPr>
        <w:t> </w:t>
      </w:r>
      <w:r>
        <w:rPr>
          <w:spacing w:val="-2"/>
          <w:sz w:val="22"/>
        </w:rPr>
        <w:t>Pradesh</w:t>
      </w:r>
    </w:p>
    <w:p>
      <w:pPr>
        <w:pStyle w:val="ListParagraph"/>
        <w:numPr>
          <w:ilvl w:val="0"/>
          <w:numId w:val="90"/>
        </w:numPr>
        <w:tabs>
          <w:tab w:pos="789" w:val="left" w:leader="none"/>
        </w:tabs>
        <w:spacing w:line="240" w:lineRule="auto" w:before="93" w:after="0"/>
        <w:ind w:left="789" w:right="0" w:hanging="359"/>
        <w:jc w:val="left"/>
        <w:rPr>
          <w:sz w:val="22"/>
        </w:rPr>
      </w:pPr>
      <w:r>
        <w:rPr>
          <w:spacing w:val="-6"/>
          <w:sz w:val="22"/>
        </w:rPr>
        <w:t>Sh. Ajay Kumar</w:t>
      </w:r>
      <w:r>
        <w:rPr>
          <w:spacing w:val="-5"/>
          <w:sz w:val="22"/>
        </w:rPr>
        <w:t> </w:t>
      </w:r>
      <w:r>
        <w:rPr>
          <w:spacing w:val="-6"/>
          <w:sz w:val="22"/>
        </w:rPr>
        <w:t>Singh</w:t>
      </w:r>
    </w:p>
    <w:p>
      <w:pPr>
        <w:pStyle w:val="BodyText"/>
        <w:spacing w:before="29"/>
        <w:ind w:left="790"/>
      </w:pPr>
      <w:r>
        <w:rPr>
          <w:spacing w:val="-6"/>
        </w:rPr>
        <w:t>Mandaliya Sahayak</w:t>
      </w:r>
      <w:r>
        <w:rPr>
          <w:spacing w:val="-5"/>
        </w:rPr>
        <w:t> </w:t>
      </w:r>
      <w:r>
        <w:rPr>
          <w:spacing w:val="-6"/>
        </w:rPr>
        <w:t>Shiksha</w:t>
      </w:r>
      <w:r>
        <w:rPr>
          <w:spacing w:val="-5"/>
        </w:rPr>
        <w:t> </w:t>
      </w:r>
      <w:r>
        <w:rPr>
          <w:spacing w:val="-6"/>
        </w:rPr>
        <w:t>Nideshak</w:t>
      </w:r>
    </w:p>
    <w:p>
      <w:pPr>
        <w:pStyle w:val="ListParagraph"/>
        <w:numPr>
          <w:ilvl w:val="0"/>
          <w:numId w:val="90"/>
        </w:numPr>
        <w:tabs>
          <w:tab w:pos="789" w:val="left" w:leader="none"/>
        </w:tabs>
        <w:spacing w:line="240" w:lineRule="auto" w:before="119" w:after="0"/>
        <w:ind w:left="789" w:right="0" w:hanging="359"/>
        <w:jc w:val="left"/>
        <w:rPr>
          <w:sz w:val="22"/>
        </w:rPr>
      </w:pPr>
      <w:r>
        <w:rPr>
          <w:spacing w:val="-4"/>
          <w:sz w:val="22"/>
        </w:rPr>
        <w:t>Sh.</w:t>
      </w:r>
      <w:r>
        <w:rPr>
          <w:spacing w:val="-8"/>
          <w:sz w:val="22"/>
        </w:rPr>
        <w:t> </w:t>
      </w:r>
      <w:r>
        <w:rPr>
          <w:spacing w:val="-4"/>
          <w:sz w:val="22"/>
        </w:rPr>
        <w:t>Kader</w:t>
      </w:r>
      <w:r>
        <w:rPr>
          <w:spacing w:val="-8"/>
          <w:sz w:val="22"/>
        </w:rPr>
        <w:t> </w:t>
      </w:r>
      <w:r>
        <w:rPr>
          <w:spacing w:val="-4"/>
          <w:sz w:val="22"/>
        </w:rPr>
        <w:t>Ahmed</w:t>
      </w:r>
    </w:p>
    <w:p>
      <w:pPr>
        <w:pStyle w:val="BodyText"/>
        <w:spacing w:line="266" w:lineRule="auto" w:before="29"/>
        <w:ind w:left="790" w:right="2015"/>
      </w:pPr>
      <w:r>
        <w:rPr>
          <w:spacing w:val="-4"/>
        </w:rPr>
        <w:t>Coordinator,</w:t>
      </w:r>
      <w:r>
        <w:rPr>
          <w:spacing w:val="-10"/>
        </w:rPr>
        <w:t> </w:t>
      </w:r>
      <w:r>
        <w:rPr>
          <w:spacing w:val="-4"/>
        </w:rPr>
        <w:t>Nayi</w:t>
      </w:r>
      <w:r>
        <w:rPr>
          <w:spacing w:val="-10"/>
        </w:rPr>
        <w:t> </w:t>
      </w:r>
      <w:r>
        <w:rPr>
          <w:spacing w:val="-4"/>
        </w:rPr>
        <w:t>Panchayat</w:t>
      </w:r>
      <w:r>
        <w:rPr>
          <w:spacing w:val="-10"/>
        </w:rPr>
        <w:t> </w:t>
      </w:r>
      <w:r>
        <w:rPr>
          <w:spacing w:val="-4"/>
        </w:rPr>
        <w:t>Resource </w:t>
      </w:r>
      <w:r>
        <w:rPr/>
        <w:t>Coordinator, Rae Bareli</w:t>
      </w:r>
    </w:p>
    <w:p>
      <w:pPr>
        <w:pStyle w:val="ListParagraph"/>
        <w:numPr>
          <w:ilvl w:val="0"/>
          <w:numId w:val="90"/>
        </w:numPr>
        <w:tabs>
          <w:tab w:pos="790" w:val="left" w:leader="none"/>
        </w:tabs>
        <w:spacing w:line="266" w:lineRule="auto" w:before="92" w:after="0"/>
        <w:ind w:left="790" w:right="3649" w:hanging="360"/>
        <w:jc w:val="left"/>
        <w:rPr>
          <w:sz w:val="22"/>
        </w:rPr>
      </w:pPr>
      <w:r>
        <w:rPr>
          <w:spacing w:val="-4"/>
          <w:sz w:val="22"/>
        </w:rPr>
        <w:t>Sh.</w:t>
      </w:r>
      <w:r>
        <w:rPr>
          <w:spacing w:val="-10"/>
          <w:sz w:val="22"/>
        </w:rPr>
        <w:t> </w:t>
      </w:r>
      <w:r>
        <w:rPr>
          <w:spacing w:val="-4"/>
          <w:sz w:val="22"/>
        </w:rPr>
        <w:t>Jeetendra</w:t>
      </w:r>
      <w:r>
        <w:rPr>
          <w:spacing w:val="-10"/>
          <w:sz w:val="22"/>
        </w:rPr>
        <w:t> </w:t>
      </w:r>
      <w:r>
        <w:rPr>
          <w:spacing w:val="-4"/>
          <w:sz w:val="22"/>
        </w:rPr>
        <w:t>Kumar </w:t>
      </w:r>
      <w:r>
        <w:rPr>
          <w:sz w:val="22"/>
        </w:rPr>
        <w:t>NIOS, Noida</w:t>
      </w:r>
    </w:p>
    <w:p>
      <w:pPr>
        <w:pStyle w:val="ListParagraph"/>
        <w:numPr>
          <w:ilvl w:val="0"/>
          <w:numId w:val="90"/>
        </w:numPr>
        <w:tabs>
          <w:tab w:pos="790" w:val="left" w:leader="none"/>
        </w:tabs>
        <w:spacing w:line="266" w:lineRule="auto" w:before="92" w:after="0"/>
        <w:ind w:left="790" w:right="3532" w:hanging="360"/>
        <w:jc w:val="left"/>
        <w:rPr>
          <w:sz w:val="22"/>
        </w:rPr>
      </w:pPr>
      <w:r>
        <w:rPr>
          <w:spacing w:val="-6"/>
          <w:sz w:val="22"/>
        </w:rPr>
        <w:t>Mr.</w:t>
      </w:r>
      <w:r>
        <w:rPr>
          <w:spacing w:val="-8"/>
          <w:sz w:val="22"/>
        </w:rPr>
        <w:t> </w:t>
      </w:r>
      <w:r>
        <w:rPr>
          <w:spacing w:val="-6"/>
          <w:sz w:val="22"/>
        </w:rPr>
        <w:t>Kamlesh</w:t>
      </w:r>
      <w:r>
        <w:rPr>
          <w:spacing w:val="-8"/>
          <w:sz w:val="22"/>
        </w:rPr>
        <w:t> </w:t>
      </w:r>
      <w:r>
        <w:rPr>
          <w:spacing w:val="-6"/>
          <w:sz w:val="22"/>
        </w:rPr>
        <w:t>Bhartiya </w:t>
      </w:r>
      <w:r>
        <w:rPr>
          <w:sz w:val="22"/>
        </w:rPr>
        <w:t>GGIE, Meerut</w:t>
      </w:r>
    </w:p>
    <w:p>
      <w:pPr>
        <w:pStyle w:val="ListParagraph"/>
        <w:numPr>
          <w:ilvl w:val="0"/>
          <w:numId w:val="90"/>
        </w:numPr>
        <w:tabs>
          <w:tab w:pos="789" w:val="left" w:leader="none"/>
        </w:tabs>
        <w:spacing w:line="240" w:lineRule="auto" w:before="93" w:after="0"/>
        <w:ind w:left="789" w:right="0" w:hanging="359"/>
        <w:jc w:val="left"/>
        <w:rPr>
          <w:sz w:val="22"/>
        </w:rPr>
      </w:pPr>
      <w:r>
        <w:rPr>
          <w:spacing w:val="-4"/>
          <w:sz w:val="22"/>
        </w:rPr>
        <w:t>Mr.</w:t>
      </w:r>
      <w:r>
        <w:rPr>
          <w:spacing w:val="-6"/>
          <w:sz w:val="22"/>
        </w:rPr>
        <w:t> </w:t>
      </w:r>
      <w:r>
        <w:rPr>
          <w:spacing w:val="-4"/>
          <w:sz w:val="22"/>
        </w:rPr>
        <w:t>O.P.</w:t>
      </w:r>
      <w:r>
        <w:rPr>
          <w:spacing w:val="-5"/>
          <w:sz w:val="22"/>
        </w:rPr>
        <w:t> </w:t>
      </w:r>
      <w:r>
        <w:rPr>
          <w:spacing w:val="-4"/>
          <w:sz w:val="22"/>
        </w:rPr>
        <w:t>Arya</w:t>
      </w:r>
    </w:p>
    <w:p>
      <w:pPr>
        <w:pStyle w:val="BodyText"/>
        <w:spacing w:before="29"/>
        <w:ind w:left="790"/>
      </w:pPr>
      <w:r>
        <w:rPr/>
        <w:t>GGIE,</w:t>
      </w:r>
      <w:r>
        <w:rPr>
          <w:spacing w:val="5"/>
        </w:rPr>
        <w:t> </w:t>
      </w:r>
      <w:r>
        <w:rPr>
          <w:spacing w:val="-2"/>
        </w:rPr>
        <w:t>Meerut</w:t>
      </w:r>
    </w:p>
    <w:p>
      <w:pPr>
        <w:pStyle w:val="ListParagraph"/>
        <w:numPr>
          <w:ilvl w:val="0"/>
          <w:numId w:val="90"/>
        </w:numPr>
        <w:tabs>
          <w:tab w:pos="789" w:val="left" w:leader="none"/>
        </w:tabs>
        <w:spacing w:line="240" w:lineRule="auto" w:before="119" w:after="0"/>
        <w:ind w:left="789" w:right="0" w:hanging="359"/>
        <w:jc w:val="left"/>
        <w:rPr>
          <w:sz w:val="22"/>
        </w:rPr>
      </w:pPr>
      <w:r>
        <w:rPr>
          <w:spacing w:val="-6"/>
          <w:sz w:val="22"/>
        </w:rPr>
        <w:t>Mr. Sanjay</w:t>
      </w:r>
      <w:r>
        <w:rPr>
          <w:spacing w:val="-8"/>
          <w:sz w:val="22"/>
        </w:rPr>
        <w:t> </w:t>
      </w:r>
      <w:r>
        <w:rPr>
          <w:spacing w:val="-6"/>
          <w:sz w:val="22"/>
        </w:rPr>
        <w:t>Yadav</w:t>
      </w:r>
    </w:p>
    <w:p>
      <w:pPr>
        <w:pStyle w:val="BodyText"/>
        <w:spacing w:before="29"/>
        <w:ind w:left="790"/>
      </w:pPr>
      <w:r>
        <w:rPr>
          <w:spacing w:val="-2"/>
        </w:rPr>
        <w:t>Deputy</w:t>
      </w:r>
      <w:r>
        <w:rPr>
          <w:spacing w:val="-9"/>
        </w:rPr>
        <w:t> </w:t>
      </w:r>
      <w:r>
        <w:rPr>
          <w:spacing w:val="-2"/>
        </w:rPr>
        <w:t>Director,</w:t>
      </w:r>
      <w:r>
        <w:rPr>
          <w:spacing w:val="-8"/>
        </w:rPr>
        <w:t> </w:t>
      </w:r>
      <w:r>
        <w:rPr>
          <w:spacing w:val="-2"/>
        </w:rPr>
        <w:t>School</w:t>
      </w:r>
      <w:r>
        <w:rPr>
          <w:spacing w:val="-9"/>
        </w:rPr>
        <w:t> </w:t>
      </w:r>
      <w:r>
        <w:rPr>
          <w:spacing w:val="-2"/>
        </w:rPr>
        <w:t>Education,</w:t>
      </w:r>
      <w:r>
        <w:rPr>
          <w:spacing w:val="-8"/>
        </w:rPr>
        <w:t> </w:t>
      </w:r>
      <w:r>
        <w:rPr>
          <w:spacing w:val="-2"/>
        </w:rPr>
        <w:t>Meerut</w:t>
      </w:r>
    </w:p>
    <w:p>
      <w:pPr>
        <w:spacing w:after="0"/>
        <w:sectPr>
          <w:pgSz w:w="11910" w:h="16840"/>
          <w:pgMar w:header="0" w:footer="675" w:top="960" w:bottom="860" w:left="0" w:right="0"/>
          <w:cols w:num="2" w:equalWidth="0">
            <w:col w:w="5663" w:space="40"/>
            <w:col w:w="6207"/>
          </w:cols>
        </w:sectPr>
      </w:pPr>
    </w:p>
    <w:p>
      <w:pPr>
        <w:pStyle w:val="ListParagraph"/>
        <w:numPr>
          <w:ilvl w:val="0"/>
          <w:numId w:val="90"/>
        </w:numPr>
        <w:tabs>
          <w:tab w:pos="1439" w:val="left" w:leader="none"/>
        </w:tabs>
        <w:spacing w:line="240" w:lineRule="auto" w:before="57" w:after="0"/>
        <w:ind w:left="1439" w:right="0" w:hanging="359"/>
        <w:jc w:val="left"/>
        <w:rPr>
          <w:sz w:val="22"/>
        </w:rPr>
      </w:pPr>
      <w:r>
        <w:rPr>
          <w:spacing w:val="-4"/>
          <w:sz w:val="22"/>
        </w:rPr>
        <w:t>Sh.</w:t>
      </w:r>
      <w:r>
        <w:rPr>
          <w:spacing w:val="-8"/>
          <w:sz w:val="22"/>
        </w:rPr>
        <w:t> </w:t>
      </w:r>
      <w:r>
        <w:rPr>
          <w:spacing w:val="-4"/>
          <w:sz w:val="22"/>
        </w:rPr>
        <w:t>S.K.</w:t>
      </w:r>
      <w:r>
        <w:rPr>
          <w:spacing w:val="-7"/>
          <w:sz w:val="22"/>
        </w:rPr>
        <w:t> </w:t>
      </w:r>
      <w:r>
        <w:rPr>
          <w:spacing w:val="-4"/>
          <w:sz w:val="22"/>
        </w:rPr>
        <w:t>Sethia</w:t>
      </w:r>
    </w:p>
    <w:p>
      <w:pPr>
        <w:pStyle w:val="BodyText"/>
        <w:spacing w:line="266" w:lineRule="auto" w:before="29"/>
        <w:ind w:left="1440"/>
      </w:pPr>
      <w:r>
        <w:rPr>
          <w:spacing w:val="-4"/>
        </w:rPr>
        <w:t>State</w:t>
      </w:r>
      <w:r>
        <w:rPr>
          <w:spacing w:val="-10"/>
        </w:rPr>
        <w:t> </w:t>
      </w:r>
      <w:r>
        <w:rPr>
          <w:spacing w:val="-4"/>
        </w:rPr>
        <w:t>Project</w:t>
      </w:r>
      <w:r>
        <w:rPr>
          <w:spacing w:val="-10"/>
        </w:rPr>
        <w:t> </w:t>
      </w:r>
      <w:r>
        <w:rPr>
          <w:spacing w:val="-4"/>
        </w:rPr>
        <w:t>Director,</w:t>
      </w:r>
      <w:r>
        <w:rPr>
          <w:spacing w:val="-10"/>
        </w:rPr>
        <w:t> </w:t>
      </w:r>
      <w:r>
        <w:rPr>
          <w:spacing w:val="-4"/>
        </w:rPr>
        <w:t>SSA</w:t>
      </w:r>
      <w:r>
        <w:rPr>
          <w:spacing w:val="-9"/>
        </w:rPr>
        <w:t> </w:t>
      </w:r>
      <w:r>
        <w:rPr>
          <w:spacing w:val="-4"/>
        </w:rPr>
        <w:t>and</w:t>
      </w:r>
      <w:r>
        <w:rPr>
          <w:spacing w:val="-10"/>
        </w:rPr>
        <w:t> </w:t>
      </w:r>
      <w:r>
        <w:rPr>
          <w:spacing w:val="-4"/>
        </w:rPr>
        <w:t>DPI</w:t>
      </w:r>
      <w:r>
        <w:rPr>
          <w:spacing w:val="-10"/>
        </w:rPr>
        <w:t> </w:t>
      </w:r>
      <w:r>
        <w:rPr>
          <w:spacing w:val="-4"/>
        </w:rPr>
        <w:t>Schools </w:t>
      </w:r>
      <w:r>
        <w:rPr/>
        <w:t>Chandigarh (UT)</w:t>
      </w:r>
    </w:p>
    <w:p>
      <w:pPr>
        <w:pStyle w:val="ListParagraph"/>
        <w:numPr>
          <w:ilvl w:val="0"/>
          <w:numId w:val="90"/>
        </w:numPr>
        <w:tabs>
          <w:tab w:pos="1439" w:val="left" w:leader="none"/>
        </w:tabs>
        <w:spacing w:line="240" w:lineRule="auto" w:before="91" w:after="0"/>
        <w:ind w:left="1439" w:right="0" w:hanging="359"/>
        <w:jc w:val="left"/>
        <w:rPr>
          <w:sz w:val="22"/>
        </w:rPr>
      </w:pPr>
      <w:r>
        <w:rPr>
          <w:sz w:val="22"/>
        </w:rPr>
        <w:t>Dr.</w:t>
      </w:r>
      <w:r>
        <w:rPr>
          <w:spacing w:val="-11"/>
          <w:sz w:val="22"/>
        </w:rPr>
        <w:t> </w:t>
      </w:r>
      <w:r>
        <w:rPr>
          <w:sz w:val="22"/>
        </w:rPr>
        <w:t>S.</w:t>
      </w:r>
      <w:r>
        <w:rPr>
          <w:spacing w:val="-10"/>
          <w:sz w:val="22"/>
        </w:rPr>
        <w:t> </w:t>
      </w:r>
      <w:r>
        <w:rPr>
          <w:spacing w:val="-2"/>
          <w:sz w:val="22"/>
        </w:rPr>
        <w:t>Dahiya</w:t>
      </w:r>
    </w:p>
    <w:p>
      <w:pPr>
        <w:pStyle w:val="BodyText"/>
        <w:spacing w:before="27"/>
        <w:ind w:left="1440"/>
      </w:pPr>
      <w:r>
        <w:rPr>
          <w:spacing w:val="-2"/>
        </w:rPr>
        <w:t>Director,</w:t>
      </w:r>
      <w:r>
        <w:rPr>
          <w:spacing w:val="-10"/>
        </w:rPr>
        <w:t> </w:t>
      </w:r>
      <w:r>
        <w:rPr>
          <w:spacing w:val="-2"/>
        </w:rPr>
        <w:t>SIE,</w:t>
      </w:r>
      <w:r>
        <w:rPr>
          <w:spacing w:val="-9"/>
        </w:rPr>
        <w:t> </w:t>
      </w:r>
      <w:r>
        <w:rPr>
          <w:spacing w:val="-2"/>
        </w:rPr>
        <w:t>Chandigarh</w:t>
      </w:r>
      <w:r>
        <w:rPr>
          <w:spacing w:val="-9"/>
        </w:rPr>
        <w:t> </w:t>
      </w:r>
      <w:r>
        <w:rPr>
          <w:spacing w:val="-4"/>
        </w:rPr>
        <w:t>(UT)</w:t>
      </w:r>
    </w:p>
    <w:p>
      <w:pPr>
        <w:pStyle w:val="ListParagraph"/>
        <w:numPr>
          <w:ilvl w:val="0"/>
          <w:numId w:val="90"/>
        </w:numPr>
        <w:tabs>
          <w:tab w:pos="1439" w:val="left" w:leader="none"/>
        </w:tabs>
        <w:spacing w:line="240" w:lineRule="auto" w:before="117" w:after="0"/>
        <w:ind w:left="1439" w:right="0" w:hanging="359"/>
        <w:jc w:val="left"/>
        <w:rPr>
          <w:sz w:val="22"/>
        </w:rPr>
      </w:pPr>
      <w:r>
        <w:rPr>
          <w:sz w:val="22"/>
        </w:rPr>
        <w:t>Ms.</w:t>
      </w:r>
      <w:r>
        <w:rPr>
          <w:spacing w:val="-9"/>
          <w:sz w:val="22"/>
        </w:rPr>
        <w:t> </w:t>
      </w:r>
      <w:r>
        <w:rPr>
          <w:sz w:val="22"/>
        </w:rPr>
        <w:t>Harsh</w:t>
      </w:r>
      <w:r>
        <w:rPr>
          <w:spacing w:val="-8"/>
          <w:sz w:val="22"/>
        </w:rPr>
        <w:t> </w:t>
      </w:r>
      <w:r>
        <w:rPr>
          <w:spacing w:val="-2"/>
          <w:sz w:val="22"/>
        </w:rPr>
        <w:t>Batra</w:t>
      </w:r>
    </w:p>
    <w:p>
      <w:pPr>
        <w:pStyle w:val="BodyText"/>
        <w:spacing w:before="27"/>
        <w:ind w:left="1440"/>
      </w:pPr>
      <w:r>
        <w:rPr>
          <w:spacing w:val="-4"/>
        </w:rPr>
        <w:t>Principal,</w:t>
      </w:r>
      <w:r>
        <w:rPr>
          <w:spacing w:val="-1"/>
        </w:rPr>
        <w:t> </w:t>
      </w:r>
      <w:r>
        <w:rPr>
          <w:spacing w:val="-4"/>
        </w:rPr>
        <w:t>Govt.</w:t>
      </w:r>
      <w:r>
        <w:rPr/>
        <w:t> </w:t>
      </w:r>
      <w:r>
        <w:rPr>
          <w:spacing w:val="-4"/>
        </w:rPr>
        <w:t>College</w:t>
      </w:r>
      <w:r>
        <w:rPr>
          <w:spacing w:val="-1"/>
        </w:rPr>
        <w:t> </w:t>
      </w:r>
      <w:r>
        <w:rPr>
          <w:spacing w:val="-4"/>
        </w:rPr>
        <w:t>of</w:t>
      </w:r>
      <w:r>
        <w:rPr/>
        <w:t> </w:t>
      </w:r>
      <w:r>
        <w:rPr>
          <w:spacing w:val="-4"/>
        </w:rPr>
        <w:t>Education,</w:t>
      </w:r>
      <w:r>
        <w:rPr/>
        <w:t> </w:t>
      </w:r>
      <w:r>
        <w:rPr>
          <w:spacing w:val="-4"/>
        </w:rPr>
        <w:t>Chandigarh</w:t>
      </w:r>
    </w:p>
    <w:p>
      <w:pPr>
        <w:pStyle w:val="ListParagraph"/>
        <w:numPr>
          <w:ilvl w:val="0"/>
          <w:numId w:val="90"/>
        </w:numPr>
        <w:tabs>
          <w:tab w:pos="1439" w:val="left" w:leader="none"/>
        </w:tabs>
        <w:spacing w:line="240" w:lineRule="auto" w:before="117" w:after="0"/>
        <w:ind w:left="1439" w:right="0" w:hanging="359"/>
        <w:jc w:val="left"/>
        <w:rPr>
          <w:sz w:val="22"/>
        </w:rPr>
      </w:pPr>
      <w:r>
        <w:rPr>
          <w:spacing w:val="-8"/>
          <w:sz w:val="22"/>
        </w:rPr>
        <w:t>Ms.</w:t>
      </w:r>
      <w:r>
        <w:rPr>
          <w:spacing w:val="-2"/>
          <w:sz w:val="22"/>
        </w:rPr>
        <w:t> </w:t>
      </w:r>
      <w:r>
        <w:rPr>
          <w:spacing w:val="-8"/>
          <w:sz w:val="22"/>
        </w:rPr>
        <w:t>Jasvir</w:t>
      </w:r>
      <w:r>
        <w:rPr>
          <w:spacing w:val="-1"/>
          <w:sz w:val="22"/>
        </w:rPr>
        <w:t> </w:t>
      </w:r>
      <w:r>
        <w:rPr>
          <w:spacing w:val="-8"/>
          <w:sz w:val="22"/>
        </w:rPr>
        <w:t>Chahal</w:t>
      </w:r>
    </w:p>
    <w:p>
      <w:pPr>
        <w:pStyle w:val="BodyText"/>
        <w:spacing w:line="266" w:lineRule="auto" w:before="27"/>
        <w:ind w:left="1440"/>
      </w:pPr>
      <w:r>
        <w:rPr>
          <w:spacing w:val="-4"/>
        </w:rPr>
        <w:t>Senior</w:t>
      </w:r>
      <w:r>
        <w:rPr>
          <w:spacing w:val="-10"/>
        </w:rPr>
        <w:t> </w:t>
      </w:r>
      <w:r>
        <w:rPr>
          <w:spacing w:val="-4"/>
        </w:rPr>
        <w:t>Lecturer,</w:t>
      </w:r>
      <w:r>
        <w:rPr>
          <w:spacing w:val="-10"/>
        </w:rPr>
        <w:t> </w:t>
      </w:r>
      <w:r>
        <w:rPr>
          <w:spacing w:val="-4"/>
        </w:rPr>
        <w:t>Govt.</w:t>
      </w:r>
      <w:r>
        <w:rPr>
          <w:spacing w:val="-10"/>
        </w:rPr>
        <w:t> </w:t>
      </w:r>
      <w:r>
        <w:rPr>
          <w:spacing w:val="-4"/>
        </w:rPr>
        <w:t>College</w:t>
      </w:r>
      <w:r>
        <w:rPr>
          <w:spacing w:val="-9"/>
        </w:rPr>
        <w:t> </w:t>
      </w:r>
      <w:r>
        <w:rPr>
          <w:spacing w:val="-4"/>
        </w:rPr>
        <w:t>of</w:t>
      </w:r>
      <w:r>
        <w:rPr>
          <w:spacing w:val="-10"/>
        </w:rPr>
        <w:t> </w:t>
      </w:r>
      <w:r>
        <w:rPr>
          <w:spacing w:val="-4"/>
        </w:rPr>
        <w:t>Education </w:t>
      </w:r>
      <w:r>
        <w:rPr>
          <w:spacing w:val="-2"/>
        </w:rPr>
        <w:t>Chandigarh</w:t>
      </w:r>
    </w:p>
    <w:p>
      <w:pPr>
        <w:pStyle w:val="ListParagraph"/>
        <w:numPr>
          <w:ilvl w:val="0"/>
          <w:numId w:val="90"/>
        </w:numPr>
        <w:tabs>
          <w:tab w:pos="1440" w:val="left" w:leader="none"/>
        </w:tabs>
        <w:spacing w:line="266" w:lineRule="auto" w:before="88" w:after="0"/>
        <w:ind w:left="1440" w:right="2363" w:hanging="360"/>
        <w:jc w:val="left"/>
        <w:rPr>
          <w:sz w:val="22"/>
        </w:rPr>
      </w:pPr>
      <w:r>
        <w:rPr>
          <w:spacing w:val="-4"/>
          <w:sz w:val="22"/>
        </w:rPr>
        <w:t>Mr.</w:t>
      </w:r>
      <w:r>
        <w:rPr>
          <w:spacing w:val="-10"/>
          <w:sz w:val="22"/>
        </w:rPr>
        <w:t> </w:t>
      </w:r>
      <w:r>
        <w:rPr>
          <w:spacing w:val="-4"/>
          <w:sz w:val="22"/>
        </w:rPr>
        <w:t>Shailendra</w:t>
      </w:r>
      <w:r>
        <w:rPr>
          <w:spacing w:val="-10"/>
          <w:sz w:val="22"/>
        </w:rPr>
        <w:t> </w:t>
      </w:r>
      <w:r>
        <w:rPr>
          <w:spacing w:val="-4"/>
          <w:sz w:val="22"/>
        </w:rPr>
        <w:t>Sharma </w:t>
      </w:r>
      <w:r>
        <w:rPr>
          <w:sz w:val="22"/>
        </w:rPr>
        <w:t>Pratham, Delhi</w:t>
      </w:r>
    </w:p>
    <w:p>
      <w:pPr>
        <w:pStyle w:val="ListParagraph"/>
        <w:numPr>
          <w:ilvl w:val="0"/>
          <w:numId w:val="90"/>
        </w:numPr>
        <w:tabs>
          <w:tab w:pos="1439" w:val="left" w:leader="none"/>
        </w:tabs>
        <w:spacing w:line="240" w:lineRule="auto" w:before="89" w:after="0"/>
        <w:ind w:left="1439" w:right="0" w:hanging="359"/>
        <w:jc w:val="left"/>
        <w:rPr>
          <w:sz w:val="22"/>
        </w:rPr>
      </w:pPr>
      <w:r>
        <w:rPr>
          <w:spacing w:val="-4"/>
          <w:sz w:val="22"/>
        </w:rPr>
        <w:t>Mr.</w:t>
      </w:r>
      <w:r>
        <w:rPr>
          <w:spacing w:val="-8"/>
          <w:sz w:val="22"/>
        </w:rPr>
        <w:t> </w:t>
      </w:r>
      <w:r>
        <w:rPr>
          <w:spacing w:val="-4"/>
          <w:sz w:val="22"/>
        </w:rPr>
        <w:t>Anil</w:t>
      </w:r>
      <w:r>
        <w:rPr>
          <w:spacing w:val="-7"/>
          <w:sz w:val="22"/>
        </w:rPr>
        <w:t> </w:t>
      </w:r>
      <w:r>
        <w:rPr>
          <w:spacing w:val="-4"/>
          <w:sz w:val="22"/>
        </w:rPr>
        <w:t>Kumar</w:t>
      </w:r>
    </w:p>
    <w:p>
      <w:pPr>
        <w:pStyle w:val="BodyText"/>
        <w:spacing w:line="266" w:lineRule="auto" w:before="27"/>
        <w:ind w:left="1440" w:right="1189"/>
      </w:pPr>
      <w:r>
        <w:rPr>
          <w:spacing w:val="-6"/>
        </w:rPr>
        <w:t>S.I.,</w:t>
      </w:r>
      <w:r>
        <w:rPr>
          <w:spacing w:val="-8"/>
        </w:rPr>
        <w:t> </w:t>
      </w:r>
      <w:r>
        <w:rPr>
          <w:spacing w:val="-6"/>
        </w:rPr>
        <w:t>In</w:t>
      </w:r>
      <w:r>
        <w:rPr>
          <w:spacing w:val="-8"/>
        </w:rPr>
        <w:t> </w:t>
      </w:r>
      <w:r>
        <w:rPr>
          <w:spacing w:val="-6"/>
        </w:rPr>
        <w:t>Service</w:t>
      </w:r>
      <w:r>
        <w:rPr>
          <w:spacing w:val="-10"/>
        </w:rPr>
        <w:t> </w:t>
      </w:r>
      <w:r>
        <w:rPr>
          <w:spacing w:val="-6"/>
        </w:rPr>
        <w:t>Teacher</w:t>
      </w:r>
      <w:r>
        <w:rPr>
          <w:spacing w:val="-10"/>
        </w:rPr>
        <w:t> </w:t>
      </w:r>
      <w:r>
        <w:rPr>
          <w:spacing w:val="-6"/>
        </w:rPr>
        <w:t>Trainin</w:t>
      </w:r>
      <w:r>
        <w:rPr>
          <w:spacing w:val="-6"/>
        </w:rPr>
        <w:t>g</w:t>
      </w:r>
      <w:r>
        <w:rPr>
          <w:spacing w:val="-6"/>
        </w:rPr>
        <w:t> </w:t>
      </w:r>
      <w:r>
        <w:rPr>
          <w:spacing w:val="-2"/>
        </w:rPr>
        <w:t>Delhi</w:t>
      </w:r>
    </w:p>
    <w:p>
      <w:pPr>
        <w:pStyle w:val="ListParagraph"/>
        <w:numPr>
          <w:ilvl w:val="0"/>
          <w:numId w:val="90"/>
        </w:numPr>
        <w:tabs>
          <w:tab w:pos="1439" w:val="left" w:leader="none"/>
        </w:tabs>
        <w:spacing w:line="240" w:lineRule="auto" w:before="88" w:after="0"/>
        <w:ind w:left="1439" w:right="0" w:hanging="359"/>
        <w:jc w:val="left"/>
        <w:rPr>
          <w:sz w:val="22"/>
        </w:rPr>
      </w:pPr>
      <w:r>
        <w:rPr>
          <w:spacing w:val="-2"/>
          <w:sz w:val="22"/>
        </w:rPr>
        <w:t>Ms.</w:t>
      </w:r>
      <w:r>
        <w:rPr>
          <w:spacing w:val="-12"/>
          <w:sz w:val="22"/>
        </w:rPr>
        <w:t> </w:t>
      </w:r>
      <w:r>
        <w:rPr>
          <w:spacing w:val="-2"/>
          <w:sz w:val="22"/>
        </w:rPr>
        <w:t>Neelam</w:t>
      </w:r>
      <w:r>
        <w:rPr>
          <w:spacing w:val="-12"/>
          <w:sz w:val="22"/>
        </w:rPr>
        <w:t> </w:t>
      </w:r>
      <w:r>
        <w:rPr>
          <w:spacing w:val="-2"/>
          <w:sz w:val="22"/>
        </w:rPr>
        <w:t>Katara</w:t>
      </w:r>
    </w:p>
    <w:p>
      <w:pPr>
        <w:pStyle w:val="BodyText"/>
        <w:spacing w:line="266" w:lineRule="auto" w:before="27"/>
        <w:ind w:left="1440"/>
      </w:pPr>
      <w:r>
        <w:rPr>
          <w:spacing w:val="-6"/>
        </w:rPr>
        <w:t>Education Officer, Kendriya Vidyala </w:t>
      </w:r>
      <w:r>
        <w:rPr>
          <w:spacing w:val="-6"/>
        </w:rPr>
        <w:t>Sangathan </w:t>
      </w:r>
      <w:r>
        <w:rPr/>
        <w:t>(Delhi region)</w:t>
      </w:r>
    </w:p>
    <w:p>
      <w:pPr>
        <w:pStyle w:val="ListParagraph"/>
        <w:numPr>
          <w:ilvl w:val="0"/>
          <w:numId w:val="90"/>
        </w:numPr>
        <w:tabs>
          <w:tab w:pos="1440" w:val="left" w:leader="none"/>
        </w:tabs>
        <w:spacing w:line="266" w:lineRule="auto" w:before="88" w:after="0"/>
        <w:ind w:left="1440" w:right="2952" w:hanging="360"/>
        <w:jc w:val="left"/>
        <w:rPr>
          <w:sz w:val="22"/>
        </w:rPr>
      </w:pPr>
      <w:r>
        <w:rPr>
          <w:spacing w:val="-2"/>
          <w:sz w:val="22"/>
        </w:rPr>
        <w:t>Mr.</w:t>
      </w:r>
      <w:r>
        <w:rPr>
          <w:spacing w:val="-12"/>
          <w:sz w:val="22"/>
        </w:rPr>
        <w:t> </w:t>
      </w:r>
      <w:r>
        <w:rPr>
          <w:spacing w:val="-2"/>
          <w:sz w:val="22"/>
        </w:rPr>
        <w:t>N.S.</w:t>
      </w:r>
      <w:r>
        <w:rPr>
          <w:spacing w:val="-12"/>
          <w:sz w:val="22"/>
        </w:rPr>
        <w:t> </w:t>
      </w:r>
      <w:r>
        <w:rPr>
          <w:spacing w:val="-2"/>
          <w:sz w:val="22"/>
        </w:rPr>
        <w:t>Mehra </w:t>
      </w:r>
      <w:r>
        <w:rPr>
          <w:sz w:val="22"/>
        </w:rPr>
        <w:t>ADE (School)</w:t>
      </w:r>
    </w:p>
    <w:p>
      <w:pPr>
        <w:pStyle w:val="ListParagraph"/>
        <w:numPr>
          <w:ilvl w:val="0"/>
          <w:numId w:val="90"/>
        </w:numPr>
        <w:tabs>
          <w:tab w:pos="1439" w:val="left" w:leader="none"/>
        </w:tabs>
        <w:spacing w:line="240" w:lineRule="auto" w:before="89" w:after="0"/>
        <w:ind w:left="1439" w:right="0" w:hanging="359"/>
        <w:jc w:val="left"/>
        <w:rPr>
          <w:sz w:val="22"/>
        </w:rPr>
      </w:pPr>
      <w:r>
        <w:rPr>
          <w:sz w:val="22"/>
        </w:rPr>
        <w:t>Mr.</w:t>
      </w:r>
      <w:r>
        <w:rPr>
          <w:spacing w:val="-8"/>
          <w:sz w:val="22"/>
        </w:rPr>
        <w:t> </w:t>
      </w:r>
      <w:r>
        <w:rPr>
          <w:sz w:val="22"/>
        </w:rPr>
        <w:t>S.D.</w:t>
      </w:r>
      <w:r>
        <w:rPr>
          <w:spacing w:val="-8"/>
          <w:sz w:val="22"/>
        </w:rPr>
        <w:t> </w:t>
      </w:r>
      <w:r>
        <w:rPr>
          <w:spacing w:val="-2"/>
          <w:sz w:val="22"/>
        </w:rPr>
        <w:t>Sharma</w:t>
      </w:r>
    </w:p>
    <w:p>
      <w:pPr>
        <w:pStyle w:val="BodyText"/>
        <w:spacing w:line="266" w:lineRule="auto" w:before="27"/>
        <w:ind w:left="1440"/>
      </w:pPr>
      <w:r>
        <w:rPr>
          <w:spacing w:val="-6"/>
        </w:rPr>
        <w:t>Principal, Govt. Boys Senior Secondary </w:t>
      </w:r>
      <w:r>
        <w:rPr>
          <w:spacing w:val="-6"/>
        </w:rPr>
        <w:t>School </w:t>
      </w:r>
      <w:r>
        <w:rPr/>
        <w:t>Shakti Nagar, Delhi</w:t>
      </w:r>
    </w:p>
    <w:p>
      <w:pPr>
        <w:pStyle w:val="ListParagraph"/>
        <w:numPr>
          <w:ilvl w:val="0"/>
          <w:numId w:val="90"/>
        </w:numPr>
        <w:tabs>
          <w:tab w:pos="1439" w:val="left" w:leader="none"/>
        </w:tabs>
        <w:spacing w:line="240" w:lineRule="auto" w:before="88" w:after="0"/>
        <w:ind w:left="1439" w:right="0" w:hanging="359"/>
        <w:jc w:val="left"/>
        <w:rPr>
          <w:sz w:val="22"/>
        </w:rPr>
      </w:pPr>
      <w:r>
        <w:rPr>
          <w:sz w:val="22"/>
        </w:rPr>
        <w:t>Mr.</w:t>
      </w:r>
      <w:r>
        <w:rPr>
          <w:spacing w:val="-13"/>
          <w:sz w:val="22"/>
        </w:rPr>
        <w:t> </w:t>
      </w:r>
      <w:r>
        <w:rPr>
          <w:sz w:val="22"/>
        </w:rPr>
        <w:t>Dinesh</w:t>
      </w:r>
      <w:r>
        <w:rPr>
          <w:spacing w:val="-12"/>
          <w:sz w:val="22"/>
        </w:rPr>
        <w:t> </w:t>
      </w:r>
      <w:r>
        <w:rPr>
          <w:spacing w:val="-2"/>
          <w:sz w:val="22"/>
        </w:rPr>
        <w:t>Kumar</w:t>
      </w:r>
    </w:p>
    <w:p>
      <w:pPr>
        <w:pStyle w:val="BodyText"/>
        <w:spacing w:before="27"/>
        <w:ind w:left="1440"/>
      </w:pPr>
      <w:r>
        <w:rPr>
          <w:spacing w:val="-6"/>
        </w:rPr>
        <w:t>Govt.</w:t>
      </w:r>
      <w:r>
        <w:rPr>
          <w:spacing w:val="-2"/>
        </w:rPr>
        <w:t> </w:t>
      </w:r>
      <w:r>
        <w:rPr>
          <w:spacing w:val="-6"/>
        </w:rPr>
        <w:t>Boys</w:t>
      </w:r>
      <w:r>
        <w:rPr>
          <w:spacing w:val="-2"/>
        </w:rPr>
        <w:t> </w:t>
      </w:r>
      <w:r>
        <w:rPr>
          <w:spacing w:val="-6"/>
        </w:rPr>
        <w:t>Senior</w:t>
      </w:r>
      <w:r>
        <w:rPr>
          <w:spacing w:val="-2"/>
        </w:rPr>
        <w:t> </w:t>
      </w:r>
      <w:r>
        <w:rPr>
          <w:spacing w:val="-6"/>
        </w:rPr>
        <w:t>Secondary</w:t>
      </w:r>
      <w:r>
        <w:rPr>
          <w:spacing w:val="-1"/>
        </w:rPr>
        <w:t> </w:t>
      </w:r>
      <w:r>
        <w:rPr>
          <w:spacing w:val="-6"/>
        </w:rPr>
        <w:t>School,</w:t>
      </w:r>
      <w:r>
        <w:rPr>
          <w:spacing w:val="-2"/>
        </w:rPr>
        <w:t> </w:t>
      </w:r>
      <w:r>
        <w:rPr>
          <w:spacing w:val="-6"/>
        </w:rPr>
        <w:t>Gokulpuri</w:t>
      </w:r>
    </w:p>
    <w:p>
      <w:pPr>
        <w:pStyle w:val="BodyText"/>
        <w:spacing w:before="54"/>
      </w:pPr>
    </w:p>
    <w:p>
      <w:pPr>
        <w:spacing w:line="266" w:lineRule="auto" w:before="0"/>
        <w:ind w:left="1080" w:right="0" w:firstLine="0"/>
        <w:jc w:val="left"/>
        <w:rPr>
          <w:b/>
          <w:i/>
          <w:sz w:val="22"/>
        </w:rPr>
      </w:pPr>
      <w:r>
        <w:rPr>
          <w:b/>
          <w:i/>
          <w:spacing w:val="-8"/>
          <w:sz w:val="22"/>
        </w:rPr>
        <w:t>Western</w:t>
      </w:r>
      <w:r>
        <w:rPr>
          <w:b/>
          <w:i/>
          <w:spacing w:val="-3"/>
          <w:sz w:val="22"/>
        </w:rPr>
        <w:t> </w:t>
      </w:r>
      <w:r>
        <w:rPr>
          <w:b/>
          <w:i/>
          <w:spacing w:val="-8"/>
          <w:sz w:val="22"/>
        </w:rPr>
        <w:t>Region,</w:t>
      </w:r>
      <w:r>
        <w:rPr>
          <w:b/>
          <w:i/>
          <w:spacing w:val="-3"/>
          <w:sz w:val="22"/>
        </w:rPr>
        <w:t> </w:t>
      </w:r>
      <w:r>
        <w:rPr>
          <w:b/>
          <w:i/>
          <w:spacing w:val="-8"/>
          <w:sz w:val="22"/>
        </w:rPr>
        <w:t>Indian</w:t>
      </w:r>
      <w:r>
        <w:rPr>
          <w:b/>
          <w:i/>
          <w:spacing w:val="-3"/>
          <w:sz w:val="22"/>
        </w:rPr>
        <w:t> </w:t>
      </w:r>
      <w:r>
        <w:rPr>
          <w:b/>
          <w:i/>
          <w:spacing w:val="-8"/>
          <w:sz w:val="22"/>
        </w:rPr>
        <w:t>Institute</w:t>
      </w:r>
      <w:r>
        <w:rPr>
          <w:b/>
          <w:i/>
          <w:spacing w:val="-3"/>
          <w:sz w:val="22"/>
        </w:rPr>
        <w:t> </w:t>
      </w:r>
      <w:r>
        <w:rPr>
          <w:b/>
          <w:i/>
          <w:spacing w:val="-8"/>
          <w:sz w:val="22"/>
        </w:rPr>
        <w:t>of</w:t>
      </w:r>
      <w:r>
        <w:rPr>
          <w:b/>
          <w:i/>
          <w:spacing w:val="-3"/>
          <w:sz w:val="22"/>
        </w:rPr>
        <w:t> </w:t>
      </w:r>
      <w:r>
        <w:rPr>
          <w:b/>
          <w:i/>
          <w:spacing w:val="-8"/>
          <w:sz w:val="22"/>
        </w:rPr>
        <w:t>Education,</w:t>
      </w:r>
      <w:r>
        <w:rPr>
          <w:b/>
          <w:i/>
          <w:spacing w:val="-3"/>
          <w:sz w:val="22"/>
        </w:rPr>
        <w:t> </w:t>
      </w:r>
      <w:r>
        <w:rPr>
          <w:b/>
          <w:i/>
          <w:spacing w:val="-8"/>
          <w:sz w:val="22"/>
        </w:rPr>
        <w:t>Pune </w:t>
      </w:r>
      <w:r>
        <w:rPr>
          <w:b/>
          <w:i/>
          <w:sz w:val="22"/>
        </w:rPr>
        <w:t>23rd November, 2007</w:t>
      </w:r>
    </w:p>
    <w:p>
      <w:pPr>
        <w:pStyle w:val="ListParagraph"/>
        <w:numPr>
          <w:ilvl w:val="0"/>
          <w:numId w:val="91"/>
        </w:numPr>
        <w:tabs>
          <w:tab w:pos="1439" w:val="left" w:leader="none"/>
        </w:tabs>
        <w:spacing w:line="240" w:lineRule="auto" w:before="89" w:after="0"/>
        <w:ind w:left="1439" w:right="0" w:hanging="359"/>
        <w:jc w:val="left"/>
        <w:rPr>
          <w:sz w:val="22"/>
        </w:rPr>
      </w:pPr>
      <w:r>
        <w:rPr>
          <w:sz w:val="22"/>
        </w:rPr>
        <w:t>Mr.</w:t>
      </w:r>
      <w:r>
        <w:rPr>
          <w:spacing w:val="-12"/>
          <w:sz w:val="22"/>
        </w:rPr>
        <w:t> </w:t>
      </w:r>
      <w:r>
        <w:rPr>
          <w:spacing w:val="-2"/>
          <w:sz w:val="22"/>
        </w:rPr>
        <w:t>Begde</w:t>
      </w:r>
    </w:p>
    <w:p>
      <w:pPr>
        <w:pStyle w:val="BodyText"/>
        <w:spacing w:before="27"/>
        <w:ind w:left="1440"/>
      </w:pPr>
      <w:r>
        <w:rPr>
          <w:spacing w:val="-4"/>
        </w:rPr>
        <w:t>Director,</w:t>
      </w:r>
      <w:r>
        <w:rPr>
          <w:spacing w:val="-10"/>
        </w:rPr>
        <w:t> </w:t>
      </w:r>
      <w:r>
        <w:rPr>
          <w:spacing w:val="-4"/>
        </w:rPr>
        <w:t>SCERT,</w:t>
      </w:r>
      <w:r>
        <w:rPr>
          <w:spacing w:val="-9"/>
        </w:rPr>
        <w:t> </w:t>
      </w:r>
      <w:r>
        <w:rPr>
          <w:spacing w:val="-4"/>
        </w:rPr>
        <w:t>Maharashtra</w:t>
      </w:r>
    </w:p>
    <w:p>
      <w:pPr>
        <w:pStyle w:val="ListParagraph"/>
        <w:numPr>
          <w:ilvl w:val="0"/>
          <w:numId w:val="91"/>
        </w:numPr>
        <w:tabs>
          <w:tab w:pos="1440" w:val="left" w:leader="none"/>
        </w:tabs>
        <w:spacing w:line="266" w:lineRule="auto" w:before="117" w:after="0"/>
        <w:ind w:left="1440" w:right="2118" w:hanging="360"/>
        <w:jc w:val="left"/>
        <w:rPr>
          <w:sz w:val="22"/>
        </w:rPr>
      </w:pPr>
      <w:r>
        <w:rPr>
          <w:sz w:val="22"/>
        </w:rPr>
        <w:t>Dr. Gajanand Patil </w:t>
      </w:r>
      <w:r>
        <w:rPr>
          <w:spacing w:val="-6"/>
          <w:sz w:val="22"/>
        </w:rPr>
        <w:t>Principal, DIET</w:t>
      </w:r>
      <w:r>
        <w:rPr>
          <w:spacing w:val="-8"/>
          <w:sz w:val="22"/>
        </w:rPr>
        <w:t> </w:t>
      </w:r>
      <w:r>
        <w:rPr>
          <w:spacing w:val="-6"/>
          <w:sz w:val="22"/>
        </w:rPr>
        <w:t>Yavatmal</w:t>
      </w:r>
    </w:p>
    <w:p>
      <w:pPr>
        <w:pStyle w:val="ListParagraph"/>
        <w:numPr>
          <w:ilvl w:val="0"/>
          <w:numId w:val="91"/>
        </w:numPr>
        <w:tabs>
          <w:tab w:pos="1439" w:val="left" w:leader="none"/>
        </w:tabs>
        <w:spacing w:line="240" w:lineRule="auto" w:before="88" w:after="0"/>
        <w:ind w:left="1439" w:right="0" w:hanging="359"/>
        <w:jc w:val="left"/>
        <w:rPr>
          <w:sz w:val="22"/>
        </w:rPr>
      </w:pPr>
      <w:r>
        <w:rPr>
          <w:spacing w:val="-4"/>
          <w:sz w:val="22"/>
        </w:rPr>
        <w:t>Smt.</w:t>
      </w:r>
      <w:r>
        <w:rPr>
          <w:spacing w:val="-3"/>
          <w:sz w:val="22"/>
        </w:rPr>
        <w:t> </w:t>
      </w:r>
      <w:r>
        <w:rPr>
          <w:spacing w:val="-4"/>
          <w:sz w:val="22"/>
        </w:rPr>
        <w:t>Mruguja</w:t>
      </w:r>
      <w:r>
        <w:rPr>
          <w:spacing w:val="-3"/>
          <w:sz w:val="22"/>
        </w:rPr>
        <w:t> </w:t>
      </w:r>
      <w:r>
        <w:rPr>
          <w:spacing w:val="-4"/>
          <w:sz w:val="22"/>
        </w:rPr>
        <w:t>Prakash</w:t>
      </w:r>
      <w:r>
        <w:rPr>
          <w:spacing w:val="-3"/>
          <w:sz w:val="22"/>
        </w:rPr>
        <w:t> </w:t>
      </w:r>
      <w:r>
        <w:rPr>
          <w:spacing w:val="-4"/>
          <w:sz w:val="22"/>
        </w:rPr>
        <w:t>Kulkarni</w:t>
      </w:r>
    </w:p>
    <w:p>
      <w:pPr>
        <w:pStyle w:val="BodyText"/>
        <w:spacing w:before="27"/>
        <w:ind w:left="1440"/>
      </w:pPr>
      <w:r>
        <w:rPr>
          <w:spacing w:val="-6"/>
        </w:rPr>
        <w:t>Asst.</w:t>
      </w:r>
      <w:r>
        <w:rPr>
          <w:spacing w:val="-8"/>
        </w:rPr>
        <w:t> </w:t>
      </w:r>
      <w:r>
        <w:rPr>
          <w:spacing w:val="-6"/>
        </w:rPr>
        <w:t>Teacher,</w:t>
      </w:r>
      <w:r>
        <w:rPr>
          <w:spacing w:val="2"/>
        </w:rPr>
        <w:t> </w:t>
      </w:r>
      <w:r>
        <w:rPr>
          <w:spacing w:val="-6"/>
        </w:rPr>
        <w:t>Modern</w:t>
      </w:r>
      <w:r>
        <w:rPr>
          <w:spacing w:val="3"/>
        </w:rPr>
        <w:t> </w:t>
      </w:r>
      <w:r>
        <w:rPr>
          <w:spacing w:val="-6"/>
        </w:rPr>
        <w:t>High</w:t>
      </w:r>
      <w:r>
        <w:rPr>
          <w:spacing w:val="2"/>
        </w:rPr>
        <w:t> </w:t>
      </w:r>
      <w:r>
        <w:rPr>
          <w:spacing w:val="-6"/>
        </w:rPr>
        <w:t>School,</w:t>
      </w:r>
      <w:r>
        <w:rPr>
          <w:spacing w:val="3"/>
        </w:rPr>
        <w:t> </w:t>
      </w:r>
      <w:r>
        <w:rPr>
          <w:spacing w:val="-6"/>
        </w:rPr>
        <w:t>Pune</w:t>
      </w:r>
    </w:p>
    <w:p>
      <w:pPr>
        <w:pStyle w:val="ListParagraph"/>
        <w:numPr>
          <w:ilvl w:val="0"/>
          <w:numId w:val="91"/>
        </w:numPr>
        <w:tabs>
          <w:tab w:pos="1439" w:val="left" w:leader="none"/>
        </w:tabs>
        <w:spacing w:line="240" w:lineRule="auto" w:before="117" w:after="0"/>
        <w:ind w:left="1439" w:right="0" w:hanging="359"/>
        <w:jc w:val="left"/>
        <w:rPr>
          <w:sz w:val="22"/>
        </w:rPr>
      </w:pPr>
      <w:r>
        <w:rPr>
          <w:spacing w:val="-4"/>
          <w:sz w:val="22"/>
        </w:rPr>
        <w:t>Mr.</w:t>
      </w:r>
      <w:r>
        <w:rPr>
          <w:spacing w:val="-7"/>
          <w:sz w:val="22"/>
        </w:rPr>
        <w:t> </w:t>
      </w:r>
      <w:r>
        <w:rPr>
          <w:spacing w:val="-4"/>
          <w:sz w:val="22"/>
        </w:rPr>
        <w:t>Rangnath Jayram</w:t>
      </w:r>
      <w:r>
        <w:rPr>
          <w:spacing w:val="-10"/>
          <w:sz w:val="22"/>
        </w:rPr>
        <w:t> </w:t>
      </w:r>
      <w:r>
        <w:rPr>
          <w:spacing w:val="-4"/>
          <w:sz w:val="22"/>
        </w:rPr>
        <w:t>Thorat</w:t>
      </w:r>
    </w:p>
    <w:p>
      <w:pPr>
        <w:pStyle w:val="BodyText"/>
        <w:spacing w:line="266" w:lineRule="auto" w:before="27"/>
        <w:ind w:left="1440" w:right="1189"/>
      </w:pPr>
      <w:r>
        <w:rPr>
          <w:spacing w:val="-4"/>
        </w:rPr>
        <w:t>Sri</w:t>
      </w:r>
      <w:r>
        <w:rPr>
          <w:spacing w:val="-8"/>
        </w:rPr>
        <w:t> </w:t>
      </w:r>
      <w:r>
        <w:rPr>
          <w:spacing w:val="-4"/>
        </w:rPr>
        <w:t>Bhairavnath</w:t>
      </w:r>
      <w:r>
        <w:rPr>
          <w:spacing w:val="-8"/>
        </w:rPr>
        <w:t> </w:t>
      </w:r>
      <w:r>
        <w:rPr>
          <w:spacing w:val="-4"/>
        </w:rPr>
        <w:t>High</w:t>
      </w:r>
      <w:r>
        <w:rPr>
          <w:spacing w:val="-8"/>
        </w:rPr>
        <w:t> </w:t>
      </w:r>
      <w:r>
        <w:rPr>
          <w:spacing w:val="-4"/>
        </w:rPr>
        <w:t>School,</w:t>
      </w:r>
      <w:r>
        <w:rPr>
          <w:spacing w:val="-8"/>
        </w:rPr>
        <w:t> </w:t>
      </w:r>
      <w:r>
        <w:rPr>
          <w:spacing w:val="-4"/>
        </w:rPr>
        <w:t>Sinnar </w:t>
      </w:r>
      <w:r>
        <w:rPr>
          <w:spacing w:val="-2"/>
        </w:rPr>
        <w:t>Nasik</w:t>
      </w:r>
    </w:p>
    <w:p>
      <w:pPr>
        <w:pStyle w:val="ListParagraph"/>
        <w:numPr>
          <w:ilvl w:val="0"/>
          <w:numId w:val="91"/>
        </w:numPr>
        <w:tabs>
          <w:tab w:pos="1439" w:val="left" w:leader="none"/>
        </w:tabs>
        <w:spacing w:line="240" w:lineRule="auto" w:before="89" w:after="0"/>
        <w:ind w:left="1439" w:right="0" w:hanging="359"/>
        <w:jc w:val="left"/>
        <w:rPr>
          <w:sz w:val="22"/>
        </w:rPr>
      </w:pPr>
      <w:r>
        <w:rPr>
          <w:sz w:val="22"/>
        </w:rPr>
        <w:t>Sh.</w:t>
      </w:r>
      <w:r>
        <w:rPr>
          <w:spacing w:val="-14"/>
          <w:sz w:val="22"/>
        </w:rPr>
        <w:t> </w:t>
      </w:r>
      <w:r>
        <w:rPr>
          <w:sz w:val="22"/>
        </w:rPr>
        <w:t>S.G.</w:t>
      </w:r>
      <w:r>
        <w:rPr>
          <w:spacing w:val="-14"/>
          <w:sz w:val="22"/>
        </w:rPr>
        <w:t> </w:t>
      </w:r>
      <w:r>
        <w:rPr>
          <w:spacing w:val="-2"/>
          <w:sz w:val="22"/>
        </w:rPr>
        <w:t>Patil</w:t>
      </w:r>
    </w:p>
    <w:p>
      <w:pPr>
        <w:pStyle w:val="BodyText"/>
        <w:spacing w:before="27"/>
        <w:ind w:left="1440"/>
      </w:pPr>
      <w:r>
        <w:rPr>
          <w:spacing w:val="-6"/>
        </w:rPr>
        <w:t>Sriram Vidyalaya,</w:t>
      </w:r>
      <w:r>
        <w:rPr>
          <w:spacing w:val="-1"/>
        </w:rPr>
        <w:t> </w:t>
      </w:r>
      <w:r>
        <w:rPr>
          <w:spacing w:val="-6"/>
        </w:rPr>
        <w:t>Panchvati,</w:t>
      </w:r>
      <w:r>
        <w:rPr>
          <w:spacing w:val="-2"/>
        </w:rPr>
        <w:t> </w:t>
      </w:r>
      <w:r>
        <w:rPr>
          <w:spacing w:val="-6"/>
        </w:rPr>
        <w:t>Nasik</w:t>
      </w:r>
    </w:p>
    <w:p>
      <w:pPr>
        <w:pStyle w:val="ListParagraph"/>
        <w:numPr>
          <w:ilvl w:val="0"/>
          <w:numId w:val="91"/>
        </w:numPr>
        <w:tabs>
          <w:tab w:pos="1440" w:val="left" w:leader="none"/>
        </w:tabs>
        <w:spacing w:line="266" w:lineRule="auto" w:before="117" w:after="0"/>
        <w:ind w:left="1440" w:right="2169" w:hanging="360"/>
        <w:jc w:val="left"/>
        <w:rPr>
          <w:sz w:val="22"/>
        </w:rPr>
      </w:pPr>
      <w:r>
        <w:rPr>
          <w:sz w:val="22"/>
        </w:rPr>
        <w:t>Ms. Asha Sundararajan MOEMS</w:t>
      </w:r>
      <w:r>
        <w:rPr>
          <w:spacing w:val="-14"/>
          <w:sz w:val="22"/>
        </w:rPr>
        <w:t> </w:t>
      </w:r>
      <w:r>
        <w:rPr>
          <w:sz w:val="22"/>
        </w:rPr>
        <w:t>India,</w:t>
      </w:r>
      <w:r>
        <w:rPr>
          <w:spacing w:val="-14"/>
          <w:sz w:val="22"/>
        </w:rPr>
        <w:t> </w:t>
      </w:r>
      <w:r>
        <w:rPr>
          <w:sz w:val="22"/>
        </w:rPr>
        <w:t>Mumbai</w:t>
      </w:r>
    </w:p>
    <w:p>
      <w:pPr>
        <w:pStyle w:val="ListParagraph"/>
        <w:numPr>
          <w:ilvl w:val="0"/>
          <w:numId w:val="91"/>
        </w:numPr>
        <w:tabs>
          <w:tab w:pos="1439" w:val="left" w:leader="none"/>
        </w:tabs>
        <w:spacing w:line="240" w:lineRule="auto" w:before="88" w:after="0"/>
        <w:ind w:left="1439" w:right="0" w:hanging="359"/>
        <w:jc w:val="left"/>
        <w:rPr>
          <w:sz w:val="22"/>
        </w:rPr>
      </w:pPr>
      <w:r>
        <w:rPr>
          <w:spacing w:val="-4"/>
          <w:sz w:val="22"/>
        </w:rPr>
        <w:t>Prof.</w:t>
      </w:r>
      <w:r>
        <w:rPr>
          <w:spacing w:val="-10"/>
          <w:sz w:val="22"/>
        </w:rPr>
        <w:t> </w:t>
      </w:r>
      <w:r>
        <w:rPr>
          <w:spacing w:val="-4"/>
          <w:sz w:val="22"/>
        </w:rPr>
        <w:t>Ram</w:t>
      </w:r>
      <w:r>
        <w:rPr>
          <w:spacing w:val="-10"/>
          <w:sz w:val="22"/>
        </w:rPr>
        <w:t> </w:t>
      </w:r>
      <w:r>
        <w:rPr>
          <w:spacing w:val="-4"/>
          <w:sz w:val="22"/>
        </w:rPr>
        <w:t>Takwale</w:t>
      </w:r>
    </w:p>
    <w:p>
      <w:pPr>
        <w:pStyle w:val="BodyText"/>
        <w:spacing w:line="266" w:lineRule="auto" w:before="27"/>
        <w:ind w:left="1440" w:right="191"/>
      </w:pPr>
      <w:r>
        <w:rPr>
          <w:spacing w:val="-2"/>
        </w:rPr>
        <w:t>Ex</w:t>
      </w:r>
      <w:r>
        <w:rPr>
          <w:spacing w:val="-12"/>
        </w:rPr>
        <w:t> </w:t>
      </w:r>
      <w:r>
        <w:rPr>
          <w:spacing w:val="-2"/>
        </w:rPr>
        <w:t>Vice-Chancellor</w:t>
      </w:r>
      <w:r>
        <w:rPr>
          <w:spacing w:val="-8"/>
        </w:rPr>
        <w:t> </w:t>
      </w:r>
      <w:r>
        <w:rPr>
          <w:spacing w:val="-2"/>
        </w:rPr>
        <w:t>IGNOU,</w:t>
      </w:r>
      <w:r>
        <w:rPr>
          <w:spacing w:val="-12"/>
        </w:rPr>
        <w:t> </w:t>
      </w:r>
      <w:r>
        <w:rPr>
          <w:spacing w:val="-2"/>
        </w:rPr>
        <w:t>YCMOU</w:t>
      </w:r>
      <w:r>
        <w:rPr>
          <w:spacing w:val="-8"/>
        </w:rPr>
        <w:t> </w:t>
      </w:r>
      <w:r>
        <w:rPr>
          <w:spacing w:val="-2"/>
        </w:rPr>
        <w:t>and </w:t>
      </w:r>
      <w:r>
        <w:rPr/>
        <w:t>Pune University</w:t>
      </w:r>
    </w:p>
    <w:p>
      <w:pPr>
        <w:pStyle w:val="ListParagraph"/>
        <w:numPr>
          <w:ilvl w:val="0"/>
          <w:numId w:val="91"/>
        </w:numPr>
        <w:tabs>
          <w:tab w:pos="1439" w:val="left" w:leader="none"/>
        </w:tabs>
        <w:spacing w:line="240" w:lineRule="auto" w:before="88" w:after="0"/>
        <w:ind w:left="1439" w:right="0" w:hanging="359"/>
        <w:jc w:val="left"/>
        <w:rPr>
          <w:sz w:val="22"/>
        </w:rPr>
      </w:pPr>
      <w:r>
        <w:rPr>
          <w:spacing w:val="-4"/>
          <w:sz w:val="22"/>
        </w:rPr>
        <w:t>Mr.</w:t>
      </w:r>
      <w:r>
        <w:rPr>
          <w:spacing w:val="-6"/>
          <w:sz w:val="22"/>
        </w:rPr>
        <w:t> </w:t>
      </w:r>
      <w:r>
        <w:rPr>
          <w:spacing w:val="-4"/>
          <w:sz w:val="22"/>
        </w:rPr>
        <w:t>Ramesh</w:t>
      </w:r>
      <w:r>
        <w:rPr>
          <w:spacing w:val="-5"/>
          <w:sz w:val="22"/>
        </w:rPr>
        <w:t> </w:t>
      </w:r>
      <w:r>
        <w:rPr>
          <w:spacing w:val="-4"/>
          <w:sz w:val="22"/>
        </w:rPr>
        <w:t>Panse</w:t>
      </w:r>
    </w:p>
    <w:p>
      <w:pPr>
        <w:pStyle w:val="BodyText"/>
        <w:spacing w:line="266" w:lineRule="auto" w:before="27"/>
        <w:ind w:left="1440"/>
      </w:pPr>
      <w:r>
        <w:rPr>
          <w:spacing w:val="-4"/>
        </w:rPr>
        <w:t>Maharashtra Knowledge Corporation </w:t>
      </w:r>
      <w:r>
        <w:rPr>
          <w:spacing w:val="-4"/>
        </w:rPr>
        <w:t>Limited </w:t>
      </w:r>
      <w:r>
        <w:rPr/>
        <w:t>(MKCL), Grammangal</w:t>
      </w:r>
    </w:p>
    <w:p>
      <w:pPr>
        <w:pStyle w:val="ListParagraph"/>
        <w:numPr>
          <w:ilvl w:val="0"/>
          <w:numId w:val="91"/>
        </w:numPr>
        <w:tabs>
          <w:tab w:pos="685" w:val="left" w:leader="none"/>
        </w:tabs>
        <w:spacing w:line="266" w:lineRule="auto" w:before="57" w:after="0"/>
        <w:ind w:left="685" w:right="4112" w:hanging="360"/>
        <w:jc w:val="left"/>
        <w:rPr>
          <w:sz w:val="22"/>
        </w:rPr>
      </w:pPr>
      <w:r>
        <w:rPr/>
        <w:br w:type="column"/>
      </w:r>
      <w:r>
        <w:rPr>
          <w:spacing w:val="-2"/>
          <w:sz w:val="22"/>
        </w:rPr>
        <w:t>Ms.</w:t>
      </w:r>
      <w:r>
        <w:rPr>
          <w:spacing w:val="-12"/>
          <w:sz w:val="22"/>
        </w:rPr>
        <w:t> </w:t>
      </w:r>
      <w:r>
        <w:rPr>
          <w:spacing w:val="-2"/>
          <w:sz w:val="22"/>
        </w:rPr>
        <w:t>Aditi</w:t>
      </w:r>
      <w:r>
        <w:rPr>
          <w:spacing w:val="-12"/>
          <w:sz w:val="22"/>
        </w:rPr>
        <w:t> </w:t>
      </w:r>
      <w:r>
        <w:rPr>
          <w:spacing w:val="-2"/>
          <w:sz w:val="22"/>
        </w:rPr>
        <w:t>Natu </w:t>
      </w:r>
      <w:r>
        <w:rPr>
          <w:spacing w:val="-4"/>
          <w:sz w:val="22"/>
        </w:rPr>
        <w:t>MKCL</w:t>
      </w:r>
    </w:p>
    <w:p>
      <w:pPr>
        <w:pStyle w:val="ListParagraph"/>
        <w:numPr>
          <w:ilvl w:val="0"/>
          <w:numId w:val="91"/>
        </w:numPr>
        <w:tabs>
          <w:tab w:pos="684" w:val="left" w:leader="none"/>
        </w:tabs>
        <w:spacing w:line="240" w:lineRule="auto" w:before="89" w:after="0"/>
        <w:ind w:left="684" w:right="0" w:hanging="359"/>
        <w:jc w:val="left"/>
        <w:rPr>
          <w:sz w:val="22"/>
        </w:rPr>
      </w:pPr>
      <w:r>
        <w:rPr>
          <w:spacing w:val="-6"/>
          <w:sz w:val="22"/>
        </w:rPr>
        <w:t>Mr.</w:t>
      </w:r>
      <w:r>
        <w:rPr>
          <w:spacing w:val="-5"/>
          <w:sz w:val="22"/>
        </w:rPr>
        <w:t> </w:t>
      </w:r>
      <w:r>
        <w:rPr>
          <w:spacing w:val="-6"/>
          <w:sz w:val="22"/>
        </w:rPr>
        <w:t>Alok</w:t>
      </w:r>
      <w:r>
        <w:rPr>
          <w:spacing w:val="-4"/>
          <w:sz w:val="22"/>
        </w:rPr>
        <w:t> </w:t>
      </w:r>
      <w:r>
        <w:rPr>
          <w:spacing w:val="-6"/>
          <w:sz w:val="22"/>
        </w:rPr>
        <w:t>Sharma</w:t>
      </w:r>
    </w:p>
    <w:p>
      <w:pPr>
        <w:pStyle w:val="BodyText"/>
        <w:spacing w:line="266" w:lineRule="auto" w:before="27"/>
        <w:ind w:left="685" w:right="2364"/>
      </w:pPr>
      <w:r>
        <w:rPr>
          <w:spacing w:val="-8"/>
        </w:rPr>
        <w:t>Assisstant</w:t>
      </w:r>
      <w:r>
        <w:rPr>
          <w:spacing w:val="-6"/>
        </w:rPr>
        <w:t> </w:t>
      </w:r>
      <w:r>
        <w:rPr>
          <w:spacing w:val="-8"/>
        </w:rPr>
        <w:t>Professor,</w:t>
      </w:r>
      <w:r>
        <w:rPr>
          <w:spacing w:val="-6"/>
        </w:rPr>
        <w:t> </w:t>
      </w:r>
      <w:r>
        <w:rPr>
          <w:spacing w:val="-8"/>
        </w:rPr>
        <w:t>SIEMAT </w:t>
      </w:r>
      <w:r>
        <w:rPr>
          <w:spacing w:val="-2"/>
        </w:rPr>
        <w:t>Raipur</w:t>
      </w:r>
    </w:p>
    <w:p>
      <w:pPr>
        <w:pStyle w:val="ListParagraph"/>
        <w:numPr>
          <w:ilvl w:val="0"/>
          <w:numId w:val="91"/>
        </w:numPr>
        <w:tabs>
          <w:tab w:pos="685" w:val="left" w:leader="none"/>
        </w:tabs>
        <w:spacing w:line="266" w:lineRule="auto" w:before="88" w:after="0"/>
        <w:ind w:left="685" w:right="3003" w:hanging="360"/>
        <w:jc w:val="left"/>
        <w:rPr>
          <w:sz w:val="22"/>
        </w:rPr>
      </w:pPr>
      <w:r>
        <w:rPr>
          <w:sz w:val="22"/>
        </w:rPr>
        <w:t>Mr.</w:t>
      </w:r>
      <w:r>
        <w:rPr>
          <w:spacing w:val="-1"/>
          <w:sz w:val="22"/>
        </w:rPr>
        <w:t> </w:t>
      </w:r>
      <w:r>
        <w:rPr>
          <w:sz w:val="22"/>
        </w:rPr>
        <w:t>Yogesh Shivhare </w:t>
      </w:r>
      <w:r>
        <w:rPr>
          <w:spacing w:val="-2"/>
          <w:sz w:val="22"/>
        </w:rPr>
        <w:t>District</w:t>
      </w:r>
      <w:r>
        <w:rPr>
          <w:spacing w:val="-12"/>
          <w:sz w:val="22"/>
        </w:rPr>
        <w:t> </w:t>
      </w:r>
      <w:r>
        <w:rPr>
          <w:spacing w:val="-2"/>
          <w:sz w:val="22"/>
        </w:rPr>
        <w:t>Project</w:t>
      </w:r>
      <w:r>
        <w:rPr>
          <w:spacing w:val="-12"/>
          <w:sz w:val="22"/>
        </w:rPr>
        <w:t> </w:t>
      </w:r>
      <w:r>
        <w:rPr>
          <w:spacing w:val="-2"/>
          <w:sz w:val="22"/>
        </w:rPr>
        <w:t>Coordinator</w:t>
      </w:r>
    </w:p>
    <w:p>
      <w:pPr>
        <w:pStyle w:val="BodyText"/>
        <w:spacing w:line="266" w:lineRule="auto"/>
        <w:ind w:left="685" w:right="2364"/>
      </w:pPr>
      <w:r>
        <w:rPr>
          <w:spacing w:val="-4"/>
        </w:rPr>
        <w:t>Rajiv</w:t>
      </w:r>
      <w:r>
        <w:rPr>
          <w:spacing w:val="-10"/>
        </w:rPr>
        <w:t> </w:t>
      </w:r>
      <w:r>
        <w:rPr>
          <w:spacing w:val="-4"/>
        </w:rPr>
        <w:t>Gandhi</w:t>
      </w:r>
      <w:r>
        <w:rPr>
          <w:spacing w:val="-10"/>
        </w:rPr>
        <w:t> </w:t>
      </w:r>
      <w:r>
        <w:rPr>
          <w:spacing w:val="-4"/>
        </w:rPr>
        <w:t>Shiksha</w:t>
      </w:r>
      <w:r>
        <w:rPr>
          <w:spacing w:val="-10"/>
        </w:rPr>
        <w:t> </w:t>
      </w:r>
      <w:r>
        <w:rPr>
          <w:spacing w:val="-4"/>
        </w:rPr>
        <w:t>Mission </w:t>
      </w:r>
      <w:r>
        <w:rPr/>
        <w:t>Durg, Chhattisgarh</w:t>
      </w:r>
    </w:p>
    <w:p>
      <w:pPr>
        <w:pStyle w:val="ListParagraph"/>
        <w:numPr>
          <w:ilvl w:val="0"/>
          <w:numId w:val="91"/>
        </w:numPr>
        <w:tabs>
          <w:tab w:pos="685" w:val="left" w:leader="none"/>
        </w:tabs>
        <w:spacing w:line="266" w:lineRule="auto" w:before="87" w:after="0"/>
        <w:ind w:left="685" w:right="2835" w:hanging="360"/>
        <w:jc w:val="left"/>
        <w:rPr>
          <w:sz w:val="22"/>
        </w:rPr>
      </w:pPr>
      <w:r>
        <w:rPr>
          <w:sz w:val="22"/>
        </w:rPr>
        <w:t>Mr. Hemant Upadhyaya Deputy</w:t>
      </w:r>
      <w:r>
        <w:rPr>
          <w:spacing w:val="-14"/>
          <w:sz w:val="22"/>
        </w:rPr>
        <w:t> </w:t>
      </w:r>
      <w:r>
        <w:rPr>
          <w:sz w:val="22"/>
        </w:rPr>
        <w:t>Director,</w:t>
      </w:r>
      <w:r>
        <w:rPr>
          <w:spacing w:val="-14"/>
          <w:sz w:val="22"/>
        </w:rPr>
        <w:t> </w:t>
      </w:r>
      <w:r>
        <w:rPr>
          <w:sz w:val="22"/>
        </w:rPr>
        <w:t>DPI,</w:t>
      </w:r>
      <w:r>
        <w:rPr>
          <w:spacing w:val="-14"/>
          <w:sz w:val="22"/>
        </w:rPr>
        <w:t> </w:t>
      </w:r>
      <w:r>
        <w:rPr>
          <w:sz w:val="22"/>
        </w:rPr>
        <w:t>Raipur</w:t>
      </w:r>
    </w:p>
    <w:p>
      <w:pPr>
        <w:pStyle w:val="ListParagraph"/>
        <w:numPr>
          <w:ilvl w:val="0"/>
          <w:numId w:val="91"/>
        </w:numPr>
        <w:tabs>
          <w:tab w:pos="684" w:val="left" w:leader="none"/>
        </w:tabs>
        <w:spacing w:line="240" w:lineRule="auto" w:before="88" w:after="0"/>
        <w:ind w:left="684" w:right="0" w:hanging="359"/>
        <w:jc w:val="left"/>
        <w:rPr>
          <w:sz w:val="22"/>
        </w:rPr>
      </w:pPr>
      <w:r>
        <w:rPr>
          <w:spacing w:val="-4"/>
          <w:sz w:val="22"/>
        </w:rPr>
        <w:t>Mr.</w:t>
      </w:r>
      <w:r>
        <w:rPr>
          <w:spacing w:val="-6"/>
          <w:sz w:val="22"/>
        </w:rPr>
        <w:t> </w:t>
      </w:r>
      <w:r>
        <w:rPr>
          <w:spacing w:val="-4"/>
          <w:sz w:val="22"/>
        </w:rPr>
        <w:t>O.P.</w:t>
      </w:r>
      <w:r>
        <w:rPr>
          <w:spacing w:val="-5"/>
          <w:sz w:val="22"/>
        </w:rPr>
        <w:t> </w:t>
      </w:r>
      <w:r>
        <w:rPr>
          <w:spacing w:val="-4"/>
          <w:sz w:val="22"/>
        </w:rPr>
        <w:t>Birthare</w:t>
      </w:r>
    </w:p>
    <w:p>
      <w:pPr>
        <w:pStyle w:val="BodyText"/>
        <w:spacing w:line="266" w:lineRule="auto" w:before="27"/>
        <w:ind w:left="685" w:right="2364"/>
      </w:pPr>
      <w:r>
        <w:rPr>
          <w:spacing w:val="-4"/>
        </w:rPr>
        <w:t>Principal,</w:t>
      </w:r>
      <w:r>
        <w:rPr>
          <w:spacing w:val="-10"/>
        </w:rPr>
        <w:t> </w:t>
      </w:r>
      <w:r>
        <w:rPr>
          <w:spacing w:val="-4"/>
        </w:rPr>
        <w:t>Basic</w:t>
      </w:r>
      <w:r>
        <w:rPr>
          <w:spacing w:val="-10"/>
        </w:rPr>
        <w:t> </w:t>
      </w:r>
      <w:r>
        <w:rPr>
          <w:spacing w:val="-4"/>
        </w:rPr>
        <w:t>Training</w:t>
      </w:r>
      <w:r>
        <w:rPr>
          <w:spacing w:val="-10"/>
        </w:rPr>
        <w:t> </w:t>
      </w:r>
      <w:r>
        <w:rPr>
          <w:spacing w:val="-4"/>
        </w:rPr>
        <w:t>Institute </w:t>
      </w:r>
      <w:r>
        <w:rPr/>
        <w:t>Bilaspur, Chhattisgarh</w:t>
      </w:r>
    </w:p>
    <w:p>
      <w:pPr>
        <w:pStyle w:val="ListParagraph"/>
        <w:numPr>
          <w:ilvl w:val="0"/>
          <w:numId w:val="91"/>
        </w:numPr>
        <w:tabs>
          <w:tab w:pos="684" w:val="left" w:leader="none"/>
        </w:tabs>
        <w:spacing w:line="240" w:lineRule="auto" w:before="89" w:after="0"/>
        <w:ind w:left="684" w:right="0" w:hanging="359"/>
        <w:jc w:val="left"/>
        <w:rPr>
          <w:sz w:val="22"/>
        </w:rPr>
      </w:pPr>
      <w:r>
        <w:rPr>
          <w:w w:val="90"/>
          <w:sz w:val="22"/>
        </w:rPr>
        <w:t>Mr.</w:t>
      </w:r>
      <w:r>
        <w:rPr>
          <w:spacing w:val="-2"/>
          <w:w w:val="90"/>
          <w:sz w:val="22"/>
        </w:rPr>
        <w:t> </w:t>
      </w:r>
      <w:r>
        <w:rPr>
          <w:w w:val="90"/>
          <w:sz w:val="22"/>
        </w:rPr>
        <w:t>Yogesh</w:t>
      </w:r>
      <w:r>
        <w:rPr>
          <w:spacing w:val="-4"/>
          <w:sz w:val="22"/>
        </w:rPr>
        <w:t> </w:t>
      </w:r>
      <w:r>
        <w:rPr>
          <w:spacing w:val="-2"/>
          <w:w w:val="90"/>
          <w:sz w:val="22"/>
        </w:rPr>
        <w:t>Agarwal</w:t>
      </w:r>
    </w:p>
    <w:p>
      <w:pPr>
        <w:pStyle w:val="BodyText"/>
        <w:spacing w:line="266" w:lineRule="auto" w:before="27"/>
        <w:ind w:left="685" w:right="2010"/>
      </w:pPr>
      <w:r>
        <w:rPr>
          <w:spacing w:val="-4"/>
        </w:rPr>
        <w:t>President,</w:t>
      </w:r>
      <w:r>
        <w:rPr>
          <w:spacing w:val="-10"/>
        </w:rPr>
        <w:t> </w:t>
      </w:r>
      <w:r>
        <w:rPr>
          <w:spacing w:val="-4"/>
        </w:rPr>
        <w:t>Mitra</w:t>
      </w:r>
      <w:r>
        <w:rPr>
          <w:spacing w:val="-9"/>
        </w:rPr>
        <w:t> </w:t>
      </w:r>
      <w:r>
        <w:rPr>
          <w:spacing w:val="-4"/>
        </w:rPr>
        <w:t>Jan</w:t>
      </w:r>
      <w:r>
        <w:rPr>
          <w:spacing w:val="-10"/>
        </w:rPr>
        <w:t> </w:t>
      </w:r>
      <w:r>
        <w:rPr>
          <w:spacing w:val="-4"/>
        </w:rPr>
        <w:t>Kalankari</w:t>
      </w:r>
      <w:r>
        <w:rPr>
          <w:spacing w:val="-9"/>
        </w:rPr>
        <w:t> </w:t>
      </w:r>
      <w:r>
        <w:rPr>
          <w:spacing w:val="-4"/>
        </w:rPr>
        <w:t>Samiti </w:t>
      </w:r>
      <w:r>
        <w:rPr/>
        <w:t>Rajnandgaon, Chhattisgarh</w:t>
      </w:r>
    </w:p>
    <w:p>
      <w:pPr>
        <w:pStyle w:val="ListParagraph"/>
        <w:numPr>
          <w:ilvl w:val="0"/>
          <w:numId w:val="91"/>
        </w:numPr>
        <w:tabs>
          <w:tab w:pos="684" w:val="left" w:leader="none"/>
        </w:tabs>
        <w:spacing w:line="240" w:lineRule="auto" w:before="88" w:after="0"/>
        <w:ind w:left="684" w:right="0" w:hanging="359"/>
        <w:jc w:val="left"/>
        <w:rPr>
          <w:sz w:val="22"/>
        </w:rPr>
      </w:pPr>
      <w:r>
        <w:rPr>
          <w:spacing w:val="-2"/>
          <w:sz w:val="22"/>
        </w:rPr>
        <w:t>Mr.</w:t>
      </w:r>
      <w:r>
        <w:rPr>
          <w:spacing w:val="-8"/>
          <w:sz w:val="22"/>
        </w:rPr>
        <w:t> </w:t>
      </w:r>
      <w:r>
        <w:rPr>
          <w:spacing w:val="-2"/>
          <w:sz w:val="22"/>
        </w:rPr>
        <w:t>Lakshmi</w:t>
      </w:r>
      <w:r>
        <w:rPr>
          <w:spacing w:val="-8"/>
          <w:sz w:val="22"/>
        </w:rPr>
        <w:t> </w:t>
      </w:r>
      <w:r>
        <w:rPr>
          <w:spacing w:val="-2"/>
          <w:sz w:val="22"/>
        </w:rPr>
        <w:t>Nath</w:t>
      </w:r>
      <w:r>
        <w:rPr>
          <w:spacing w:val="-8"/>
          <w:sz w:val="22"/>
        </w:rPr>
        <w:t> </w:t>
      </w:r>
      <w:r>
        <w:rPr>
          <w:spacing w:val="-2"/>
          <w:sz w:val="22"/>
        </w:rPr>
        <w:t>Pathak</w:t>
      </w:r>
    </w:p>
    <w:p>
      <w:pPr>
        <w:pStyle w:val="BodyText"/>
        <w:spacing w:line="266" w:lineRule="auto" w:before="27"/>
        <w:ind w:left="685" w:right="2010"/>
      </w:pPr>
      <w:r>
        <w:rPr>
          <w:spacing w:val="-2"/>
        </w:rPr>
        <w:t>Principal,</w:t>
      </w:r>
      <w:r>
        <w:rPr>
          <w:spacing w:val="-12"/>
        </w:rPr>
        <w:t> </w:t>
      </w:r>
      <w:r>
        <w:rPr>
          <w:spacing w:val="-2"/>
        </w:rPr>
        <w:t>Shishu</w:t>
      </w:r>
      <w:r>
        <w:rPr>
          <w:spacing w:val="-12"/>
        </w:rPr>
        <w:t> </w:t>
      </w:r>
      <w:r>
        <w:rPr>
          <w:spacing w:val="-2"/>
        </w:rPr>
        <w:t>Mandir</w:t>
      </w:r>
      <w:r>
        <w:rPr>
          <w:spacing w:val="-12"/>
        </w:rPr>
        <w:t> </w:t>
      </w:r>
      <w:r>
        <w:rPr>
          <w:spacing w:val="-2"/>
        </w:rPr>
        <w:t>Higher</w:t>
      </w:r>
      <w:r>
        <w:rPr>
          <w:spacing w:val="-11"/>
        </w:rPr>
        <w:t> </w:t>
      </w:r>
      <w:r>
        <w:rPr>
          <w:spacing w:val="-2"/>
        </w:rPr>
        <w:t>Senior </w:t>
      </w:r>
      <w:r>
        <w:rPr/>
        <w:t>Secondary, Naila, Chhattisgarh</w:t>
      </w:r>
    </w:p>
    <w:p>
      <w:pPr>
        <w:pStyle w:val="ListParagraph"/>
        <w:numPr>
          <w:ilvl w:val="0"/>
          <w:numId w:val="91"/>
        </w:numPr>
        <w:tabs>
          <w:tab w:pos="685" w:val="left" w:leader="none"/>
        </w:tabs>
        <w:spacing w:line="266" w:lineRule="auto" w:before="89" w:after="0"/>
        <w:ind w:left="685" w:right="3964" w:hanging="360"/>
        <w:jc w:val="left"/>
        <w:rPr>
          <w:sz w:val="22"/>
        </w:rPr>
      </w:pPr>
      <w:r>
        <w:rPr>
          <w:sz w:val="22"/>
        </w:rPr>
        <w:t>Ms.</w:t>
      </w:r>
      <w:r>
        <w:rPr>
          <w:spacing w:val="-12"/>
          <w:sz w:val="22"/>
        </w:rPr>
        <w:t> </w:t>
      </w:r>
      <w:r>
        <w:rPr>
          <w:sz w:val="22"/>
        </w:rPr>
        <w:t>Deepa</w:t>
      </w:r>
      <w:r>
        <w:rPr>
          <w:spacing w:val="-12"/>
          <w:sz w:val="22"/>
        </w:rPr>
        <w:t> </w:t>
      </w:r>
      <w:r>
        <w:rPr>
          <w:sz w:val="22"/>
        </w:rPr>
        <w:t>Dass </w:t>
      </w:r>
      <w:r>
        <w:rPr>
          <w:spacing w:val="-10"/>
          <w:sz w:val="22"/>
        </w:rPr>
        <w:t>SIEMAT,</w:t>
      </w:r>
      <w:r>
        <w:rPr>
          <w:spacing w:val="-4"/>
          <w:sz w:val="22"/>
        </w:rPr>
        <w:t> </w:t>
      </w:r>
      <w:r>
        <w:rPr>
          <w:spacing w:val="-2"/>
          <w:sz w:val="22"/>
        </w:rPr>
        <w:t>Raipur</w:t>
      </w:r>
    </w:p>
    <w:p>
      <w:pPr>
        <w:pStyle w:val="ListParagraph"/>
        <w:numPr>
          <w:ilvl w:val="0"/>
          <w:numId w:val="91"/>
        </w:numPr>
        <w:tabs>
          <w:tab w:pos="684" w:val="left" w:leader="none"/>
        </w:tabs>
        <w:spacing w:line="240" w:lineRule="auto" w:before="88" w:after="0"/>
        <w:ind w:left="684" w:right="0" w:hanging="359"/>
        <w:jc w:val="left"/>
        <w:rPr>
          <w:sz w:val="22"/>
        </w:rPr>
      </w:pPr>
      <w:r>
        <w:rPr>
          <w:spacing w:val="-4"/>
          <w:sz w:val="22"/>
        </w:rPr>
        <w:t>Mr.</w:t>
      </w:r>
      <w:r>
        <w:rPr>
          <w:spacing w:val="-6"/>
          <w:sz w:val="22"/>
        </w:rPr>
        <w:t> </w:t>
      </w:r>
      <w:r>
        <w:rPr>
          <w:spacing w:val="-4"/>
          <w:sz w:val="22"/>
        </w:rPr>
        <w:t>S.K.</w:t>
      </w:r>
      <w:r>
        <w:rPr>
          <w:spacing w:val="-9"/>
          <w:sz w:val="22"/>
        </w:rPr>
        <w:t> </w:t>
      </w:r>
      <w:r>
        <w:rPr>
          <w:spacing w:val="-4"/>
          <w:sz w:val="22"/>
        </w:rPr>
        <w:t>Verma</w:t>
      </w:r>
    </w:p>
    <w:p>
      <w:pPr>
        <w:pStyle w:val="BodyText"/>
        <w:spacing w:before="27"/>
        <w:ind w:left="685"/>
      </w:pPr>
      <w:r>
        <w:rPr>
          <w:spacing w:val="-8"/>
        </w:rPr>
        <w:t>Assistant</w:t>
      </w:r>
      <w:r>
        <w:rPr>
          <w:spacing w:val="1"/>
        </w:rPr>
        <w:t> </w:t>
      </w:r>
      <w:r>
        <w:rPr>
          <w:spacing w:val="-8"/>
        </w:rPr>
        <w:t>Professor,</w:t>
      </w:r>
      <w:r>
        <w:rPr>
          <w:spacing w:val="1"/>
        </w:rPr>
        <w:t> </w:t>
      </w:r>
      <w:r>
        <w:rPr>
          <w:spacing w:val="-8"/>
        </w:rPr>
        <w:t>SCERT,</w:t>
      </w:r>
      <w:r>
        <w:rPr>
          <w:spacing w:val="1"/>
        </w:rPr>
        <w:t> </w:t>
      </w:r>
      <w:r>
        <w:rPr>
          <w:spacing w:val="-8"/>
        </w:rPr>
        <w:t>Raipur</w:t>
      </w:r>
    </w:p>
    <w:p>
      <w:pPr>
        <w:pStyle w:val="ListParagraph"/>
        <w:numPr>
          <w:ilvl w:val="0"/>
          <w:numId w:val="91"/>
        </w:numPr>
        <w:tabs>
          <w:tab w:pos="684" w:val="left" w:leader="none"/>
        </w:tabs>
        <w:spacing w:line="240" w:lineRule="auto" w:before="117" w:after="0"/>
        <w:ind w:left="684" w:right="0" w:hanging="359"/>
        <w:jc w:val="left"/>
        <w:rPr>
          <w:sz w:val="22"/>
        </w:rPr>
      </w:pPr>
      <w:r>
        <w:rPr>
          <w:spacing w:val="-14"/>
          <w:sz w:val="22"/>
        </w:rPr>
        <w:t>Mr.</w:t>
      </w:r>
      <w:r>
        <w:rPr>
          <w:spacing w:val="-2"/>
          <w:sz w:val="22"/>
        </w:rPr>
        <w:t> </w:t>
      </w:r>
      <w:r>
        <w:rPr>
          <w:spacing w:val="-14"/>
          <w:sz w:val="22"/>
        </w:rPr>
        <w:t>V.P.</w:t>
      </w:r>
      <w:r>
        <w:rPr>
          <w:spacing w:val="4"/>
          <w:sz w:val="22"/>
        </w:rPr>
        <w:t> </w:t>
      </w:r>
      <w:r>
        <w:rPr>
          <w:spacing w:val="-14"/>
          <w:sz w:val="22"/>
        </w:rPr>
        <w:t>Chandra</w:t>
      </w:r>
    </w:p>
    <w:p>
      <w:pPr>
        <w:pStyle w:val="BodyText"/>
        <w:spacing w:before="27"/>
        <w:ind w:left="685"/>
      </w:pPr>
      <w:r>
        <w:rPr>
          <w:spacing w:val="-4"/>
        </w:rPr>
        <w:t>Lecturer,</w:t>
      </w:r>
      <w:r>
        <w:rPr>
          <w:spacing w:val="-3"/>
        </w:rPr>
        <w:t> </w:t>
      </w:r>
      <w:r>
        <w:rPr>
          <w:spacing w:val="-4"/>
        </w:rPr>
        <w:t>DIET,</w:t>
      </w:r>
      <w:r>
        <w:rPr>
          <w:spacing w:val="-3"/>
        </w:rPr>
        <w:t> </w:t>
      </w:r>
      <w:r>
        <w:rPr>
          <w:spacing w:val="-4"/>
        </w:rPr>
        <w:t>Nagri,</w:t>
      </w:r>
      <w:r>
        <w:rPr>
          <w:spacing w:val="-3"/>
        </w:rPr>
        <w:t> </w:t>
      </w:r>
      <w:r>
        <w:rPr>
          <w:spacing w:val="-4"/>
        </w:rPr>
        <w:t>Chhattisgarh</w:t>
      </w:r>
    </w:p>
    <w:p>
      <w:pPr>
        <w:pStyle w:val="ListParagraph"/>
        <w:numPr>
          <w:ilvl w:val="0"/>
          <w:numId w:val="91"/>
        </w:numPr>
        <w:tabs>
          <w:tab w:pos="684" w:val="left" w:leader="none"/>
        </w:tabs>
        <w:spacing w:line="240" w:lineRule="auto" w:before="117" w:after="0"/>
        <w:ind w:left="684" w:right="0" w:hanging="359"/>
        <w:jc w:val="left"/>
        <w:rPr>
          <w:sz w:val="22"/>
        </w:rPr>
      </w:pPr>
      <w:r>
        <w:rPr>
          <w:spacing w:val="-2"/>
          <w:sz w:val="22"/>
        </w:rPr>
        <w:t>Ms.</w:t>
      </w:r>
      <w:r>
        <w:rPr>
          <w:spacing w:val="-10"/>
          <w:sz w:val="22"/>
        </w:rPr>
        <w:t> </w:t>
      </w:r>
      <w:r>
        <w:rPr>
          <w:spacing w:val="-2"/>
          <w:sz w:val="22"/>
        </w:rPr>
        <w:t>Gayatri</w:t>
      </w:r>
      <w:r>
        <w:rPr>
          <w:spacing w:val="-12"/>
          <w:sz w:val="22"/>
        </w:rPr>
        <w:t> </w:t>
      </w:r>
      <w:r>
        <w:rPr>
          <w:spacing w:val="-2"/>
          <w:sz w:val="22"/>
        </w:rPr>
        <w:t>Vijay</w:t>
      </w:r>
    </w:p>
    <w:p>
      <w:pPr>
        <w:pStyle w:val="BodyText"/>
        <w:spacing w:before="27"/>
        <w:ind w:left="685"/>
      </w:pPr>
      <w:r>
        <w:rPr>
          <w:spacing w:val="-2"/>
        </w:rPr>
        <w:t>Deputy</w:t>
      </w:r>
      <w:r>
        <w:rPr>
          <w:spacing w:val="-9"/>
        </w:rPr>
        <w:t> </w:t>
      </w:r>
      <w:r>
        <w:rPr>
          <w:spacing w:val="-2"/>
        </w:rPr>
        <w:t>Director,</w:t>
      </w:r>
      <w:r>
        <w:rPr>
          <w:spacing w:val="-8"/>
        </w:rPr>
        <w:t> </w:t>
      </w:r>
      <w:r>
        <w:rPr>
          <w:spacing w:val="-2"/>
        </w:rPr>
        <w:t>School</w:t>
      </w:r>
      <w:r>
        <w:rPr>
          <w:spacing w:val="-9"/>
        </w:rPr>
        <w:t> </w:t>
      </w:r>
      <w:r>
        <w:rPr>
          <w:spacing w:val="-2"/>
        </w:rPr>
        <w:t>Education,</w:t>
      </w:r>
      <w:r>
        <w:rPr>
          <w:spacing w:val="-8"/>
        </w:rPr>
        <w:t> </w:t>
      </w:r>
      <w:r>
        <w:rPr>
          <w:spacing w:val="-4"/>
        </w:rPr>
        <w:t>Kota</w:t>
      </w:r>
    </w:p>
    <w:p>
      <w:pPr>
        <w:pStyle w:val="ListParagraph"/>
        <w:numPr>
          <w:ilvl w:val="0"/>
          <w:numId w:val="91"/>
        </w:numPr>
        <w:tabs>
          <w:tab w:pos="685" w:val="left" w:leader="none"/>
        </w:tabs>
        <w:spacing w:line="266" w:lineRule="auto" w:before="117" w:after="0"/>
        <w:ind w:left="685" w:right="2845" w:hanging="360"/>
        <w:jc w:val="left"/>
        <w:rPr>
          <w:sz w:val="22"/>
        </w:rPr>
      </w:pPr>
      <w:r>
        <w:rPr>
          <w:sz w:val="22"/>
        </w:rPr>
        <w:t>Ms. Snehlata Chaddha </w:t>
      </w:r>
      <w:r>
        <w:rPr>
          <w:spacing w:val="-2"/>
          <w:sz w:val="22"/>
        </w:rPr>
        <w:t>Principal,</w:t>
      </w:r>
      <w:r>
        <w:rPr>
          <w:spacing w:val="-12"/>
          <w:sz w:val="22"/>
        </w:rPr>
        <w:t> </w:t>
      </w:r>
      <w:r>
        <w:rPr>
          <w:spacing w:val="-2"/>
          <w:sz w:val="22"/>
        </w:rPr>
        <w:t>Srinathpuram,</w:t>
      </w:r>
      <w:r>
        <w:rPr>
          <w:spacing w:val="-11"/>
          <w:sz w:val="22"/>
        </w:rPr>
        <w:t> </w:t>
      </w:r>
      <w:r>
        <w:rPr>
          <w:spacing w:val="-4"/>
          <w:sz w:val="22"/>
        </w:rPr>
        <w:t>Kota</w:t>
      </w:r>
    </w:p>
    <w:p>
      <w:pPr>
        <w:pStyle w:val="ListParagraph"/>
        <w:numPr>
          <w:ilvl w:val="0"/>
          <w:numId w:val="91"/>
        </w:numPr>
        <w:tabs>
          <w:tab w:pos="684" w:val="left" w:leader="none"/>
        </w:tabs>
        <w:spacing w:line="240" w:lineRule="auto" w:before="88" w:after="0"/>
        <w:ind w:left="684" w:right="0" w:hanging="359"/>
        <w:jc w:val="left"/>
        <w:rPr>
          <w:sz w:val="22"/>
        </w:rPr>
      </w:pPr>
      <w:r>
        <w:rPr>
          <w:spacing w:val="-4"/>
          <w:sz w:val="22"/>
        </w:rPr>
        <w:t>Mr.</w:t>
      </w:r>
      <w:r>
        <w:rPr>
          <w:spacing w:val="-6"/>
          <w:sz w:val="22"/>
        </w:rPr>
        <w:t> </w:t>
      </w:r>
      <w:r>
        <w:rPr>
          <w:spacing w:val="-4"/>
          <w:sz w:val="22"/>
        </w:rPr>
        <w:t>Shailendra</w:t>
      </w:r>
      <w:r>
        <w:rPr>
          <w:spacing w:val="-5"/>
          <w:sz w:val="22"/>
        </w:rPr>
        <w:t> </w:t>
      </w:r>
      <w:r>
        <w:rPr>
          <w:spacing w:val="-4"/>
          <w:sz w:val="22"/>
        </w:rPr>
        <w:t>Rajawat</w:t>
      </w:r>
    </w:p>
    <w:p>
      <w:pPr>
        <w:pStyle w:val="BodyText"/>
        <w:spacing w:before="27"/>
        <w:ind w:left="685"/>
      </w:pPr>
      <w:r>
        <w:rPr>
          <w:spacing w:val="-6"/>
        </w:rPr>
        <w:t>Academic</w:t>
      </w:r>
      <w:r>
        <w:rPr>
          <w:spacing w:val="1"/>
        </w:rPr>
        <w:t> </w:t>
      </w:r>
      <w:r>
        <w:rPr>
          <w:spacing w:val="-6"/>
        </w:rPr>
        <w:t>Officer,</w:t>
      </w:r>
      <w:r>
        <w:rPr>
          <w:spacing w:val="2"/>
        </w:rPr>
        <w:t> </w:t>
      </w:r>
      <w:r>
        <w:rPr>
          <w:spacing w:val="-6"/>
        </w:rPr>
        <w:t>Secondary</w:t>
      </w:r>
      <w:r>
        <w:rPr>
          <w:spacing w:val="2"/>
        </w:rPr>
        <w:t> </w:t>
      </w:r>
      <w:r>
        <w:rPr>
          <w:spacing w:val="-6"/>
        </w:rPr>
        <w:t>Education,</w:t>
      </w:r>
      <w:r>
        <w:rPr>
          <w:spacing w:val="2"/>
        </w:rPr>
        <w:t> </w:t>
      </w:r>
      <w:r>
        <w:rPr>
          <w:spacing w:val="-6"/>
        </w:rPr>
        <w:t>Ajmer</w:t>
      </w:r>
    </w:p>
    <w:p>
      <w:pPr>
        <w:pStyle w:val="ListParagraph"/>
        <w:numPr>
          <w:ilvl w:val="0"/>
          <w:numId w:val="91"/>
        </w:numPr>
        <w:tabs>
          <w:tab w:pos="684" w:val="left" w:leader="none"/>
        </w:tabs>
        <w:spacing w:line="240" w:lineRule="auto" w:before="117" w:after="0"/>
        <w:ind w:left="684" w:right="0" w:hanging="359"/>
        <w:jc w:val="left"/>
        <w:rPr>
          <w:sz w:val="22"/>
        </w:rPr>
      </w:pPr>
      <w:r>
        <w:rPr>
          <w:sz w:val="22"/>
        </w:rPr>
        <w:t>Mr.</w:t>
      </w:r>
      <w:r>
        <w:rPr>
          <w:spacing w:val="-12"/>
          <w:sz w:val="22"/>
        </w:rPr>
        <w:t> </w:t>
      </w:r>
      <w:r>
        <w:rPr>
          <w:spacing w:val="-2"/>
          <w:sz w:val="22"/>
        </w:rPr>
        <w:t>Radheyshyam</w:t>
      </w:r>
    </w:p>
    <w:p>
      <w:pPr>
        <w:pStyle w:val="BodyText"/>
        <w:spacing w:before="28"/>
        <w:ind w:left="685"/>
      </w:pPr>
      <w:r>
        <w:rPr>
          <w:spacing w:val="-4"/>
        </w:rPr>
        <w:t>Principal,</w:t>
      </w:r>
      <w:r>
        <w:rPr>
          <w:spacing w:val="-5"/>
        </w:rPr>
        <w:t> </w:t>
      </w:r>
      <w:r>
        <w:rPr>
          <w:spacing w:val="-4"/>
        </w:rPr>
        <w:t>Jaipur Primary School</w:t>
      </w:r>
    </w:p>
    <w:p>
      <w:pPr>
        <w:pStyle w:val="ListParagraph"/>
        <w:numPr>
          <w:ilvl w:val="0"/>
          <w:numId w:val="91"/>
        </w:numPr>
        <w:tabs>
          <w:tab w:pos="685" w:val="left" w:leader="none"/>
        </w:tabs>
        <w:spacing w:line="266" w:lineRule="auto" w:before="117" w:after="0"/>
        <w:ind w:left="685" w:right="4049" w:hanging="360"/>
        <w:jc w:val="left"/>
        <w:rPr>
          <w:sz w:val="22"/>
        </w:rPr>
      </w:pPr>
      <w:r>
        <w:rPr>
          <w:sz w:val="22"/>
        </w:rPr>
        <w:t>Mr.</w:t>
      </w:r>
      <w:r>
        <w:rPr>
          <w:spacing w:val="-14"/>
          <w:sz w:val="22"/>
        </w:rPr>
        <w:t> </w:t>
      </w:r>
      <w:r>
        <w:rPr>
          <w:sz w:val="22"/>
        </w:rPr>
        <w:t>Anil</w:t>
      </w:r>
      <w:r>
        <w:rPr>
          <w:spacing w:val="-14"/>
          <w:sz w:val="22"/>
        </w:rPr>
        <w:t> </w:t>
      </w:r>
      <w:r>
        <w:rPr>
          <w:sz w:val="22"/>
        </w:rPr>
        <w:t>Gupta </w:t>
      </w:r>
      <w:r>
        <w:rPr>
          <w:spacing w:val="-2"/>
          <w:sz w:val="22"/>
        </w:rPr>
        <w:t>Sandhan,</w:t>
      </w:r>
      <w:r>
        <w:rPr>
          <w:spacing w:val="-10"/>
          <w:sz w:val="22"/>
        </w:rPr>
        <w:t> </w:t>
      </w:r>
      <w:r>
        <w:rPr>
          <w:spacing w:val="-5"/>
          <w:sz w:val="22"/>
        </w:rPr>
        <w:t>Jaipur</w:t>
      </w:r>
    </w:p>
    <w:p>
      <w:pPr>
        <w:pStyle w:val="ListParagraph"/>
        <w:numPr>
          <w:ilvl w:val="0"/>
          <w:numId w:val="91"/>
        </w:numPr>
        <w:tabs>
          <w:tab w:pos="685" w:val="left" w:leader="none"/>
        </w:tabs>
        <w:spacing w:line="266" w:lineRule="auto" w:before="88" w:after="0"/>
        <w:ind w:left="685" w:right="3586" w:hanging="360"/>
        <w:jc w:val="left"/>
        <w:rPr>
          <w:sz w:val="22"/>
        </w:rPr>
      </w:pPr>
      <w:r>
        <w:rPr>
          <w:sz w:val="22"/>
        </w:rPr>
        <w:t>Mr. Arvind Ojha </w:t>
      </w:r>
      <w:r>
        <w:rPr>
          <w:spacing w:val="-4"/>
          <w:sz w:val="22"/>
        </w:rPr>
        <w:t>Urmul</w:t>
      </w:r>
      <w:r>
        <w:rPr>
          <w:spacing w:val="-10"/>
          <w:sz w:val="22"/>
        </w:rPr>
        <w:t> </w:t>
      </w:r>
      <w:r>
        <w:rPr>
          <w:spacing w:val="-4"/>
          <w:sz w:val="22"/>
        </w:rPr>
        <w:t>Trust,</w:t>
      </w:r>
      <w:r>
        <w:rPr>
          <w:spacing w:val="-10"/>
          <w:sz w:val="22"/>
        </w:rPr>
        <w:t> </w:t>
      </w:r>
      <w:r>
        <w:rPr>
          <w:spacing w:val="-4"/>
          <w:sz w:val="22"/>
        </w:rPr>
        <w:t>Bikaner</w:t>
      </w:r>
    </w:p>
    <w:p>
      <w:pPr>
        <w:pStyle w:val="ListParagraph"/>
        <w:numPr>
          <w:ilvl w:val="0"/>
          <w:numId w:val="91"/>
        </w:numPr>
        <w:tabs>
          <w:tab w:pos="684" w:val="left" w:leader="none"/>
        </w:tabs>
        <w:spacing w:line="240" w:lineRule="auto" w:before="88" w:after="0"/>
        <w:ind w:left="684" w:right="0" w:hanging="359"/>
        <w:jc w:val="left"/>
        <w:rPr>
          <w:sz w:val="22"/>
        </w:rPr>
      </w:pPr>
      <w:r>
        <w:rPr>
          <w:sz w:val="22"/>
        </w:rPr>
        <w:t>Mr.</w:t>
      </w:r>
      <w:r>
        <w:rPr>
          <w:spacing w:val="-12"/>
          <w:sz w:val="22"/>
        </w:rPr>
        <w:t> </w:t>
      </w:r>
      <w:r>
        <w:rPr>
          <w:sz w:val="22"/>
        </w:rPr>
        <w:t>Dushyant</w:t>
      </w:r>
      <w:r>
        <w:rPr>
          <w:spacing w:val="-11"/>
          <w:sz w:val="22"/>
        </w:rPr>
        <w:t> </w:t>
      </w:r>
      <w:r>
        <w:rPr>
          <w:spacing w:val="-2"/>
          <w:sz w:val="22"/>
        </w:rPr>
        <w:t>Agarwal</w:t>
      </w:r>
    </w:p>
    <w:p>
      <w:pPr>
        <w:pStyle w:val="BodyText"/>
        <w:spacing w:before="27"/>
        <w:ind w:left="685"/>
      </w:pPr>
      <w:r>
        <w:rPr>
          <w:spacing w:val="-6"/>
        </w:rPr>
        <w:t>Project Officer, SIERT, Udaipur</w:t>
      </w:r>
    </w:p>
    <w:p>
      <w:pPr>
        <w:pStyle w:val="ListParagraph"/>
        <w:numPr>
          <w:ilvl w:val="0"/>
          <w:numId w:val="91"/>
        </w:numPr>
        <w:tabs>
          <w:tab w:pos="684" w:val="left" w:leader="none"/>
        </w:tabs>
        <w:spacing w:line="240" w:lineRule="auto" w:before="117" w:after="0"/>
        <w:ind w:left="684" w:right="0" w:hanging="359"/>
        <w:jc w:val="left"/>
        <w:rPr>
          <w:sz w:val="22"/>
        </w:rPr>
      </w:pPr>
      <w:r>
        <w:rPr>
          <w:sz w:val="22"/>
        </w:rPr>
        <w:t>Ms.</w:t>
      </w:r>
      <w:r>
        <w:rPr>
          <w:spacing w:val="-12"/>
          <w:sz w:val="22"/>
        </w:rPr>
        <w:t> </w:t>
      </w:r>
      <w:r>
        <w:rPr>
          <w:sz w:val="22"/>
        </w:rPr>
        <w:t>Riddhi</w:t>
      </w:r>
      <w:r>
        <w:rPr>
          <w:spacing w:val="-11"/>
          <w:sz w:val="22"/>
        </w:rPr>
        <w:t> </w:t>
      </w:r>
      <w:r>
        <w:rPr>
          <w:spacing w:val="-4"/>
          <w:sz w:val="22"/>
        </w:rPr>
        <w:t>Shah</w:t>
      </w:r>
    </w:p>
    <w:p>
      <w:pPr>
        <w:pStyle w:val="BodyText"/>
        <w:spacing w:before="27"/>
        <w:ind w:left="685"/>
      </w:pPr>
      <w:r>
        <w:rPr>
          <w:spacing w:val="-6"/>
        </w:rPr>
        <w:t>Seva</w:t>
      </w:r>
      <w:r>
        <w:rPr>
          <w:spacing w:val="-7"/>
        </w:rPr>
        <w:t> </w:t>
      </w:r>
      <w:r>
        <w:rPr>
          <w:spacing w:val="-6"/>
        </w:rPr>
        <w:t>Mandir, Udaipur</w:t>
      </w:r>
    </w:p>
    <w:p>
      <w:pPr>
        <w:pStyle w:val="ListParagraph"/>
        <w:numPr>
          <w:ilvl w:val="0"/>
          <w:numId w:val="91"/>
        </w:numPr>
        <w:tabs>
          <w:tab w:pos="684" w:val="left" w:leader="none"/>
        </w:tabs>
        <w:spacing w:line="240" w:lineRule="auto" w:before="117" w:after="0"/>
        <w:ind w:left="684" w:right="0" w:hanging="359"/>
        <w:jc w:val="left"/>
        <w:rPr>
          <w:sz w:val="22"/>
        </w:rPr>
      </w:pPr>
      <w:r>
        <w:rPr>
          <w:spacing w:val="-4"/>
          <w:sz w:val="22"/>
        </w:rPr>
        <w:t>Ms.</w:t>
      </w:r>
      <w:r>
        <w:rPr>
          <w:spacing w:val="-5"/>
          <w:sz w:val="22"/>
        </w:rPr>
        <w:t> </w:t>
      </w:r>
      <w:r>
        <w:rPr>
          <w:spacing w:val="-4"/>
          <w:sz w:val="22"/>
        </w:rPr>
        <w:t>Megha</w:t>
      </w:r>
      <w:r>
        <w:rPr>
          <w:spacing w:val="-5"/>
          <w:sz w:val="22"/>
        </w:rPr>
        <w:t> </w:t>
      </w:r>
      <w:r>
        <w:rPr>
          <w:spacing w:val="-4"/>
          <w:sz w:val="22"/>
        </w:rPr>
        <w:t>Jain</w:t>
      </w:r>
    </w:p>
    <w:p>
      <w:pPr>
        <w:pStyle w:val="BodyText"/>
        <w:spacing w:before="27"/>
        <w:ind w:left="685"/>
      </w:pPr>
      <w:r>
        <w:rPr>
          <w:spacing w:val="-6"/>
        </w:rPr>
        <w:t>Seva</w:t>
      </w:r>
      <w:r>
        <w:rPr>
          <w:spacing w:val="-7"/>
        </w:rPr>
        <w:t> </w:t>
      </w:r>
      <w:r>
        <w:rPr>
          <w:spacing w:val="-6"/>
        </w:rPr>
        <w:t>Mandir, Udaipur</w:t>
      </w:r>
    </w:p>
    <w:p>
      <w:pPr>
        <w:pStyle w:val="ListParagraph"/>
        <w:numPr>
          <w:ilvl w:val="0"/>
          <w:numId w:val="91"/>
        </w:numPr>
        <w:tabs>
          <w:tab w:pos="684" w:val="left" w:leader="none"/>
        </w:tabs>
        <w:spacing w:line="240" w:lineRule="auto" w:before="117" w:after="0"/>
        <w:ind w:left="684" w:right="0" w:hanging="359"/>
        <w:jc w:val="left"/>
        <w:rPr>
          <w:sz w:val="22"/>
        </w:rPr>
      </w:pPr>
      <w:r>
        <w:rPr>
          <w:spacing w:val="-4"/>
          <w:sz w:val="22"/>
        </w:rPr>
        <w:t>Ms.</w:t>
      </w:r>
      <w:r>
        <w:rPr>
          <w:spacing w:val="-5"/>
          <w:sz w:val="22"/>
        </w:rPr>
        <w:t> </w:t>
      </w:r>
      <w:r>
        <w:rPr>
          <w:spacing w:val="-4"/>
          <w:sz w:val="22"/>
        </w:rPr>
        <w:t>Meena Bhatt</w:t>
      </w:r>
    </w:p>
    <w:p>
      <w:pPr>
        <w:pStyle w:val="BodyText"/>
        <w:spacing w:before="27"/>
        <w:ind w:left="685"/>
      </w:pPr>
      <w:r>
        <w:rPr>
          <w:spacing w:val="-6"/>
        </w:rPr>
        <w:t>State</w:t>
      </w:r>
      <w:r>
        <w:rPr>
          <w:spacing w:val="-2"/>
        </w:rPr>
        <w:t> </w:t>
      </w:r>
      <w:r>
        <w:rPr>
          <w:spacing w:val="-6"/>
        </w:rPr>
        <w:t>Project</w:t>
      </w:r>
      <w:r>
        <w:rPr>
          <w:spacing w:val="-1"/>
        </w:rPr>
        <w:t> </w:t>
      </w:r>
      <w:r>
        <w:rPr>
          <w:spacing w:val="-6"/>
        </w:rPr>
        <w:t>Director,</w:t>
      </w:r>
      <w:r>
        <w:rPr>
          <w:spacing w:val="-1"/>
        </w:rPr>
        <w:t> </w:t>
      </w:r>
      <w:r>
        <w:rPr>
          <w:spacing w:val="-6"/>
        </w:rPr>
        <w:t>SSA,</w:t>
      </w:r>
      <w:r>
        <w:rPr>
          <w:spacing w:val="-1"/>
        </w:rPr>
        <w:t> </w:t>
      </w:r>
      <w:r>
        <w:rPr>
          <w:spacing w:val="-6"/>
        </w:rPr>
        <w:t>Gujarat</w:t>
      </w:r>
    </w:p>
    <w:p>
      <w:pPr>
        <w:spacing w:after="0"/>
        <w:sectPr>
          <w:pgSz w:w="11910" w:h="16840"/>
          <w:pgMar w:header="0" w:footer="675" w:top="960" w:bottom="860" w:left="0" w:right="0"/>
          <w:cols w:num="2" w:equalWidth="0">
            <w:col w:w="5768" w:space="40"/>
            <w:col w:w="6102"/>
          </w:cols>
        </w:sectPr>
      </w:pPr>
    </w:p>
    <w:p>
      <w:pPr>
        <w:pStyle w:val="ListParagraph"/>
        <w:numPr>
          <w:ilvl w:val="0"/>
          <w:numId w:val="91"/>
        </w:numPr>
        <w:tabs>
          <w:tab w:pos="1439" w:val="left" w:leader="none"/>
        </w:tabs>
        <w:spacing w:line="240" w:lineRule="auto" w:before="57" w:after="0"/>
        <w:ind w:left="1439" w:right="0" w:hanging="359"/>
        <w:jc w:val="left"/>
        <w:rPr>
          <w:sz w:val="22"/>
        </w:rPr>
      </w:pPr>
      <w:r>
        <w:rPr>
          <w:sz w:val="22"/>
        </w:rPr>
        <w:t>Mr.</w:t>
      </w:r>
      <w:r>
        <w:rPr>
          <w:spacing w:val="9"/>
          <w:sz w:val="22"/>
        </w:rPr>
        <w:t> </w:t>
      </w:r>
      <w:r>
        <w:rPr>
          <w:sz w:val="22"/>
        </w:rPr>
        <w:t>H.N.</w:t>
      </w:r>
      <w:r>
        <w:rPr>
          <w:spacing w:val="9"/>
          <w:sz w:val="22"/>
        </w:rPr>
        <w:t> </w:t>
      </w:r>
      <w:r>
        <w:rPr>
          <w:spacing w:val="-2"/>
          <w:sz w:val="22"/>
        </w:rPr>
        <w:t>Chavda</w:t>
      </w:r>
    </w:p>
    <w:p>
      <w:pPr>
        <w:pStyle w:val="BodyText"/>
        <w:spacing w:before="27"/>
        <w:ind w:left="1439"/>
      </w:pPr>
      <w:r>
        <w:rPr>
          <w:spacing w:val="-4"/>
        </w:rPr>
        <w:t>Gujarat</w:t>
      </w:r>
      <w:r>
        <w:rPr>
          <w:spacing w:val="-3"/>
        </w:rPr>
        <w:t> </w:t>
      </w:r>
      <w:r>
        <w:rPr>
          <w:spacing w:val="-4"/>
        </w:rPr>
        <w:t>Secondary</w:t>
      </w:r>
      <w:r>
        <w:rPr>
          <w:spacing w:val="-2"/>
        </w:rPr>
        <w:t> </w:t>
      </w:r>
      <w:r>
        <w:rPr>
          <w:spacing w:val="-4"/>
        </w:rPr>
        <w:t>and</w:t>
      </w:r>
      <w:r>
        <w:rPr>
          <w:spacing w:val="-2"/>
        </w:rPr>
        <w:t> </w:t>
      </w:r>
      <w:r>
        <w:rPr>
          <w:spacing w:val="-4"/>
        </w:rPr>
        <w:t>Higher</w:t>
      </w:r>
      <w:r>
        <w:rPr>
          <w:spacing w:val="-2"/>
        </w:rPr>
        <w:t> </w:t>
      </w:r>
      <w:r>
        <w:rPr>
          <w:spacing w:val="-4"/>
        </w:rPr>
        <w:t>Secondary</w:t>
      </w:r>
      <w:r>
        <w:rPr>
          <w:spacing w:val="-2"/>
        </w:rPr>
        <w:t> </w:t>
      </w:r>
      <w:r>
        <w:rPr>
          <w:spacing w:val="-4"/>
        </w:rPr>
        <w:t>Board</w:t>
      </w:r>
    </w:p>
    <w:p>
      <w:pPr>
        <w:pStyle w:val="ListParagraph"/>
        <w:numPr>
          <w:ilvl w:val="0"/>
          <w:numId w:val="91"/>
        </w:numPr>
        <w:tabs>
          <w:tab w:pos="1439" w:val="left" w:leader="none"/>
        </w:tabs>
        <w:spacing w:line="240" w:lineRule="auto" w:before="117" w:after="0"/>
        <w:ind w:left="1439" w:right="0" w:hanging="359"/>
        <w:jc w:val="left"/>
        <w:rPr>
          <w:sz w:val="22"/>
        </w:rPr>
      </w:pPr>
      <w:r>
        <w:rPr>
          <w:sz w:val="22"/>
        </w:rPr>
        <w:t>Mr.</w:t>
      </w:r>
      <w:r>
        <w:rPr>
          <w:spacing w:val="9"/>
          <w:sz w:val="22"/>
        </w:rPr>
        <w:t> </w:t>
      </w:r>
      <w:r>
        <w:rPr>
          <w:sz w:val="22"/>
        </w:rPr>
        <w:t>H.N.</w:t>
      </w:r>
      <w:r>
        <w:rPr>
          <w:spacing w:val="9"/>
          <w:sz w:val="22"/>
        </w:rPr>
        <w:t> </w:t>
      </w:r>
      <w:r>
        <w:rPr>
          <w:spacing w:val="-2"/>
          <w:sz w:val="22"/>
        </w:rPr>
        <w:t>Hingu</w:t>
      </w:r>
    </w:p>
    <w:p>
      <w:pPr>
        <w:pStyle w:val="BodyText"/>
        <w:spacing w:before="27"/>
        <w:ind w:left="1439"/>
      </w:pPr>
      <w:r>
        <w:rPr/>
        <w:t>Joint</w:t>
      </w:r>
      <w:r>
        <w:rPr>
          <w:spacing w:val="-2"/>
        </w:rPr>
        <w:t> </w:t>
      </w:r>
      <w:r>
        <w:rPr/>
        <w:t>CEO,</w:t>
      </w:r>
      <w:r>
        <w:rPr>
          <w:spacing w:val="-1"/>
        </w:rPr>
        <w:t> </w:t>
      </w:r>
      <w:r>
        <w:rPr/>
        <w:t>SCOPE,</w:t>
      </w:r>
      <w:r>
        <w:rPr>
          <w:spacing w:val="-2"/>
        </w:rPr>
        <w:t> Gujarat</w:t>
      </w:r>
    </w:p>
    <w:p>
      <w:pPr>
        <w:pStyle w:val="ListParagraph"/>
        <w:numPr>
          <w:ilvl w:val="0"/>
          <w:numId w:val="91"/>
        </w:numPr>
        <w:tabs>
          <w:tab w:pos="1439" w:val="left" w:leader="none"/>
        </w:tabs>
        <w:spacing w:line="240" w:lineRule="auto" w:before="117" w:after="0"/>
        <w:ind w:left="1439" w:right="0" w:hanging="359"/>
        <w:jc w:val="left"/>
        <w:rPr>
          <w:sz w:val="22"/>
        </w:rPr>
      </w:pPr>
      <w:r>
        <w:rPr>
          <w:spacing w:val="-4"/>
          <w:sz w:val="22"/>
        </w:rPr>
        <w:t>Mr. Rajabhai</w:t>
      </w:r>
      <w:r>
        <w:rPr>
          <w:spacing w:val="-3"/>
          <w:sz w:val="22"/>
        </w:rPr>
        <w:t> </w:t>
      </w:r>
      <w:r>
        <w:rPr>
          <w:spacing w:val="-4"/>
          <w:sz w:val="22"/>
        </w:rPr>
        <w:t>Pathak</w:t>
      </w:r>
    </w:p>
    <w:p>
      <w:pPr>
        <w:pStyle w:val="BodyText"/>
        <w:spacing w:before="27"/>
        <w:ind w:left="1439"/>
      </w:pPr>
      <w:r>
        <w:rPr>
          <w:spacing w:val="-6"/>
        </w:rPr>
        <w:t>Principal,</w:t>
      </w:r>
      <w:r>
        <w:rPr>
          <w:spacing w:val="-1"/>
        </w:rPr>
        <w:t> </w:t>
      </w:r>
      <w:r>
        <w:rPr>
          <w:spacing w:val="-6"/>
        </w:rPr>
        <w:t>Swastik</w:t>
      </w:r>
      <w:r>
        <w:rPr/>
        <w:t> </w:t>
      </w:r>
      <w:r>
        <w:rPr>
          <w:spacing w:val="-6"/>
        </w:rPr>
        <w:t>Secondary</w:t>
      </w:r>
      <w:r>
        <w:rPr>
          <w:spacing w:val="-1"/>
        </w:rPr>
        <w:t> </w:t>
      </w:r>
      <w:r>
        <w:rPr>
          <w:spacing w:val="-6"/>
        </w:rPr>
        <w:t>School,</w:t>
      </w:r>
      <w:r>
        <w:rPr/>
        <w:t> </w:t>
      </w:r>
      <w:r>
        <w:rPr>
          <w:spacing w:val="-6"/>
        </w:rPr>
        <w:t>Gujarat</w:t>
      </w:r>
    </w:p>
    <w:p>
      <w:pPr>
        <w:pStyle w:val="ListParagraph"/>
        <w:numPr>
          <w:ilvl w:val="0"/>
          <w:numId w:val="91"/>
        </w:numPr>
        <w:tabs>
          <w:tab w:pos="1439" w:val="left" w:leader="none"/>
        </w:tabs>
        <w:spacing w:line="240" w:lineRule="auto" w:before="117" w:after="0"/>
        <w:ind w:left="1439" w:right="0" w:hanging="359"/>
        <w:jc w:val="left"/>
        <w:rPr>
          <w:sz w:val="22"/>
        </w:rPr>
      </w:pPr>
      <w:r>
        <w:rPr>
          <w:spacing w:val="-2"/>
          <w:sz w:val="22"/>
        </w:rPr>
        <w:t>Mr.</w:t>
      </w:r>
      <w:r>
        <w:rPr>
          <w:spacing w:val="-9"/>
          <w:sz w:val="22"/>
        </w:rPr>
        <w:t> </w:t>
      </w:r>
      <w:r>
        <w:rPr>
          <w:spacing w:val="-2"/>
          <w:sz w:val="22"/>
        </w:rPr>
        <w:t>Architt</w:t>
      </w:r>
      <w:r>
        <w:rPr>
          <w:spacing w:val="-8"/>
          <w:sz w:val="22"/>
        </w:rPr>
        <w:t> </w:t>
      </w:r>
      <w:r>
        <w:rPr>
          <w:spacing w:val="-2"/>
          <w:sz w:val="22"/>
        </w:rPr>
        <w:t>Bhatt</w:t>
      </w:r>
    </w:p>
    <w:p>
      <w:pPr>
        <w:pStyle w:val="BodyText"/>
        <w:spacing w:before="27"/>
        <w:ind w:left="1439"/>
      </w:pPr>
      <w:r>
        <w:rPr>
          <w:spacing w:val="-4"/>
        </w:rPr>
        <w:t>Principal,</w:t>
      </w:r>
      <w:r>
        <w:rPr>
          <w:spacing w:val="-5"/>
        </w:rPr>
        <w:t> </w:t>
      </w:r>
      <w:r>
        <w:rPr>
          <w:spacing w:val="-4"/>
        </w:rPr>
        <w:t>Tripada</w:t>
      </w:r>
      <w:r>
        <w:rPr>
          <w:spacing w:val="6"/>
        </w:rPr>
        <w:t> </w:t>
      </w:r>
      <w:r>
        <w:rPr>
          <w:spacing w:val="-4"/>
        </w:rPr>
        <w:t>International</w:t>
      </w:r>
      <w:r>
        <w:rPr>
          <w:spacing w:val="6"/>
        </w:rPr>
        <w:t> </w:t>
      </w:r>
      <w:r>
        <w:rPr>
          <w:spacing w:val="-4"/>
        </w:rPr>
        <w:t>School</w:t>
      </w:r>
    </w:p>
    <w:p>
      <w:pPr>
        <w:pStyle w:val="ListParagraph"/>
        <w:numPr>
          <w:ilvl w:val="0"/>
          <w:numId w:val="91"/>
        </w:numPr>
        <w:tabs>
          <w:tab w:pos="1439" w:val="left" w:leader="none"/>
        </w:tabs>
        <w:spacing w:line="240" w:lineRule="auto" w:before="118" w:after="0"/>
        <w:ind w:left="1439" w:right="0" w:hanging="359"/>
        <w:jc w:val="left"/>
        <w:rPr>
          <w:sz w:val="22"/>
        </w:rPr>
      </w:pPr>
      <w:r>
        <w:rPr>
          <w:spacing w:val="-8"/>
          <w:sz w:val="22"/>
        </w:rPr>
        <w:t>Dr.</w:t>
      </w:r>
      <w:r>
        <w:rPr>
          <w:spacing w:val="-6"/>
          <w:sz w:val="22"/>
        </w:rPr>
        <w:t> </w:t>
      </w:r>
      <w:r>
        <w:rPr>
          <w:spacing w:val="-8"/>
          <w:sz w:val="22"/>
        </w:rPr>
        <w:t>V.B.</w:t>
      </w:r>
      <w:r>
        <w:rPr>
          <w:spacing w:val="-1"/>
          <w:sz w:val="22"/>
        </w:rPr>
        <w:t> </w:t>
      </w:r>
      <w:r>
        <w:rPr>
          <w:spacing w:val="-8"/>
          <w:sz w:val="22"/>
        </w:rPr>
        <w:t>Bhensdadia</w:t>
      </w:r>
    </w:p>
    <w:p>
      <w:pPr>
        <w:pStyle w:val="BodyText"/>
        <w:spacing w:line="266" w:lineRule="auto" w:before="27"/>
        <w:ind w:left="1439"/>
      </w:pPr>
      <w:r>
        <w:rPr>
          <w:spacing w:val="-4"/>
        </w:rPr>
        <w:t>Deputy</w:t>
      </w:r>
      <w:r>
        <w:rPr>
          <w:spacing w:val="-6"/>
        </w:rPr>
        <w:t> </w:t>
      </w:r>
      <w:r>
        <w:rPr>
          <w:spacing w:val="-4"/>
        </w:rPr>
        <w:t>Director,</w:t>
      </w:r>
      <w:r>
        <w:rPr>
          <w:spacing w:val="-6"/>
        </w:rPr>
        <w:t> </w:t>
      </w:r>
      <w:r>
        <w:rPr>
          <w:spacing w:val="-4"/>
        </w:rPr>
        <w:t>Commissioner</w:t>
      </w:r>
      <w:r>
        <w:rPr>
          <w:spacing w:val="-6"/>
        </w:rPr>
        <w:t> </w:t>
      </w:r>
      <w:r>
        <w:rPr>
          <w:spacing w:val="-4"/>
        </w:rPr>
        <w:t>of</w:t>
      </w:r>
      <w:r>
        <w:rPr>
          <w:spacing w:val="-6"/>
        </w:rPr>
        <w:t> </w:t>
      </w:r>
      <w:r>
        <w:rPr>
          <w:spacing w:val="-4"/>
        </w:rPr>
        <w:t>Schools </w:t>
      </w:r>
      <w:r>
        <w:rPr>
          <w:spacing w:val="-2"/>
        </w:rPr>
        <w:t>Gujarat</w:t>
      </w:r>
    </w:p>
    <w:p>
      <w:pPr>
        <w:pStyle w:val="ListParagraph"/>
        <w:numPr>
          <w:ilvl w:val="0"/>
          <w:numId w:val="91"/>
        </w:numPr>
        <w:tabs>
          <w:tab w:pos="1439" w:val="left" w:leader="none"/>
        </w:tabs>
        <w:spacing w:line="240" w:lineRule="auto" w:before="88" w:after="0"/>
        <w:ind w:left="1439" w:right="0" w:hanging="359"/>
        <w:jc w:val="left"/>
        <w:rPr>
          <w:sz w:val="22"/>
        </w:rPr>
      </w:pPr>
      <w:r>
        <w:rPr>
          <w:spacing w:val="-4"/>
          <w:sz w:val="22"/>
        </w:rPr>
        <w:t>Mr. Ketan</w:t>
      </w:r>
      <w:r>
        <w:rPr>
          <w:spacing w:val="-10"/>
          <w:sz w:val="22"/>
        </w:rPr>
        <w:t> </w:t>
      </w:r>
      <w:r>
        <w:rPr>
          <w:spacing w:val="-4"/>
          <w:sz w:val="22"/>
        </w:rPr>
        <w:t>Thaker</w:t>
      </w:r>
    </w:p>
    <w:p>
      <w:pPr>
        <w:pStyle w:val="BodyText"/>
        <w:spacing w:line="266" w:lineRule="auto" w:before="27"/>
        <w:ind w:left="1439" w:right="437"/>
      </w:pPr>
      <w:r>
        <w:rPr>
          <w:spacing w:val="-2"/>
        </w:rPr>
        <w:t>CRCC,</w:t>
      </w:r>
      <w:r>
        <w:rPr>
          <w:spacing w:val="-10"/>
        </w:rPr>
        <w:t> </w:t>
      </w:r>
      <w:r>
        <w:rPr>
          <w:spacing w:val="-2"/>
        </w:rPr>
        <w:t>Rampura,</w:t>
      </w:r>
      <w:r>
        <w:rPr>
          <w:spacing w:val="-10"/>
        </w:rPr>
        <w:t> </w:t>
      </w:r>
      <w:r>
        <w:rPr>
          <w:spacing w:val="-2"/>
        </w:rPr>
        <w:t>Distt.</w:t>
      </w:r>
      <w:r>
        <w:rPr>
          <w:spacing w:val="-10"/>
        </w:rPr>
        <w:t> </w:t>
      </w:r>
      <w:r>
        <w:rPr>
          <w:spacing w:val="-2"/>
        </w:rPr>
        <w:t>Ahmedabad Gujarat</w:t>
      </w:r>
    </w:p>
    <w:p>
      <w:pPr>
        <w:pStyle w:val="ListParagraph"/>
        <w:numPr>
          <w:ilvl w:val="0"/>
          <w:numId w:val="91"/>
        </w:numPr>
        <w:tabs>
          <w:tab w:pos="1439" w:val="left" w:leader="none"/>
        </w:tabs>
        <w:spacing w:line="266" w:lineRule="auto" w:before="88" w:after="0"/>
        <w:ind w:left="1439" w:right="2353" w:hanging="360"/>
        <w:jc w:val="left"/>
        <w:rPr>
          <w:sz w:val="22"/>
        </w:rPr>
      </w:pPr>
      <w:r>
        <w:rPr>
          <w:sz w:val="22"/>
        </w:rPr>
        <w:t>Dr. B.P. Choudhury </w:t>
      </w:r>
      <w:r>
        <w:rPr>
          <w:spacing w:val="-2"/>
          <w:sz w:val="22"/>
        </w:rPr>
        <w:t>DIET,</w:t>
      </w:r>
      <w:r>
        <w:rPr>
          <w:spacing w:val="-12"/>
          <w:sz w:val="22"/>
        </w:rPr>
        <w:t> </w:t>
      </w:r>
      <w:r>
        <w:rPr>
          <w:spacing w:val="-2"/>
          <w:sz w:val="22"/>
        </w:rPr>
        <w:t>Patan,</w:t>
      </w:r>
      <w:r>
        <w:rPr>
          <w:spacing w:val="-12"/>
          <w:sz w:val="22"/>
        </w:rPr>
        <w:t> </w:t>
      </w:r>
      <w:r>
        <w:rPr>
          <w:spacing w:val="-2"/>
          <w:sz w:val="22"/>
        </w:rPr>
        <w:t>Gujarat</w:t>
      </w:r>
    </w:p>
    <w:p>
      <w:pPr>
        <w:pStyle w:val="ListParagraph"/>
        <w:numPr>
          <w:ilvl w:val="0"/>
          <w:numId w:val="91"/>
        </w:numPr>
        <w:tabs>
          <w:tab w:pos="1439" w:val="left" w:leader="none"/>
        </w:tabs>
        <w:spacing w:line="240" w:lineRule="auto" w:before="89" w:after="0"/>
        <w:ind w:left="1439" w:right="0" w:hanging="359"/>
        <w:jc w:val="left"/>
        <w:rPr>
          <w:sz w:val="22"/>
        </w:rPr>
      </w:pPr>
      <w:r>
        <w:rPr>
          <w:spacing w:val="-2"/>
          <w:sz w:val="22"/>
        </w:rPr>
        <w:t>Ms.</w:t>
      </w:r>
      <w:r>
        <w:rPr>
          <w:spacing w:val="-9"/>
          <w:sz w:val="22"/>
        </w:rPr>
        <w:t> </w:t>
      </w:r>
      <w:r>
        <w:rPr>
          <w:spacing w:val="-2"/>
          <w:sz w:val="22"/>
        </w:rPr>
        <w:t>Roda</w:t>
      </w:r>
      <w:r>
        <w:rPr>
          <w:spacing w:val="-9"/>
          <w:sz w:val="22"/>
        </w:rPr>
        <w:t> </w:t>
      </w:r>
      <w:r>
        <w:rPr>
          <w:spacing w:val="-2"/>
          <w:sz w:val="22"/>
        </w:rPr>
        <w:t>Billimoria</w:t>
      </w:r>
    </w:p>
    <w:p>
      <w:pPr>
        <w:pStyle w:val="BodyText"/>
        <w:spacing w:before="27"/>
        <w:ind w:left="1439"/>
      </w:pPr>
      <w:r>
        <w:rPr>
          <w:spacing w:val="-4"/>
        </w:rPr>
        <w:t>Sir</w:t>
      </w:r>
      <w:r>
        <w:rPr>
          <w:spacing w:val="-10"/>
        </w:rPr>
        <w:t> </w:t>
      </w:r>
      <w:r>
        <w:rPr>
          <w:spacing w:val="-4"/>
        </w:rPr>
        <w:t>Shapurji</w:t>
      </w:r>
      <w:r>
        <w:rPr>
          <w:spacing w:val="-9"/>
        </w:rPr>
        <w:t> </w:t>
      </w:r>
      <w:r>
        <w:rPr>
          <w:spacing w:val="-4"/>
        </w:rPr>
        <w:t>Billimoria</w:t>
      </w:r>
      <w:r>
        <w:rPr>
          <w:spacing w:val="-9"/>
        </w:rPr>
        <w:t> </w:t>
      </w:r>
      <w:r>
        <w:rPr>
          <w:spacing w:val="-4"/>
        </w:rPr>
        <w:t>Foundation</w:t>
      </w:r>
    </w:p>
    <w:p>
      <w:pPr>
        <w:pStyle w:val="BodyText"/>
        <w:spacing w:before="40"/>
      </w:pPr>
    </w:p>
    <w:p>
      <w:pPr>
        <w:pStyle w:val="Heading6"/>
        <w:ind w:left="1080" w:firstLine="0"/>
      </w:pPr>
      <w:r>
        <w:rPr>
          <w:color w:val="2E614A"/>
          <w:w w:val="90"/>
        </w:rPr>
        <w:t>Vocational</w:t>
      </w:r>
      <w:r>
        <w:rPr>
          <w:color w:val="2E614A"/>
          <w:spacing w:val="-7"/>
        </w:rPr>
        <w:t> </w:t>
      </w:r>
      <w:r>
        <w:rPr>
          <w:color w:val="2E614A"/>
          <w:spacing w:val="-2"/>
        </w:rPr>
        <w:t>Education</w:t>
      </w:r>
    </w:p>
    <w:p>
      <w:pPr>
        <w:pStyle w:val="ListParagraph"/>
        <w:numPr>
          <w:ilvl w:val="0"/>
          <w:numId w:val="92"/>
        </w:numPr>
        <w:tabs>
          <w:tab w:pos="1440" w:val="left" w:leader="none"/>
        </w:tabs>
        <w:spacing w:line="266" w:lineRule="auto" w:before="286" w:after="0"/>
        <w:ind w:left="1440" w:right="2779" w:hanging="360"/>
        <w:jc w:val="left"/>
        <w:rPr>
          <w:sz w:val="22"/>
        </w:rPr>
      </w:pPr>
      <w:r>
        <w:rPr>
          <w:spacing w:val="-2"/>
          <w:sz w:val="22"/>
        </w:rPr>
        <w:t>Gen.</w:t>
      </w:r>
      <w:r>
        <w:rPr>
          <w:spacing w:val="-12"/>
          <w:sz w:val="22"/>
        </w:rPr>
        <w:t> </w:t>
      </w:r>
      <w:r>
        <w:rPr>
          <w:spacing w:val="-2"/>
          <w:sz w:val="22"/>
        </w:rPr>
        <w:t>S.S.</w:t>
      </w:r>
      <w:r>
        <w:rPr>
          <w:spacing w:val="-12"/>
          <w:sz w:val="22"/>
        </w:rPr>
        <w:t> </w:t>
      </w:r>
      <w:r>
        <w:rPr>
          <w:spacing w:val="-2"/>
          <w:sz w:val="22"/>
        </w:rPr>
        <w:t>Mehta </w:t>
      </w:r>
      <w:r>
        <w:rPr>
          <w:spacing w:val="-4"/>
          <w:sz w:val="22"/>
        </w:rPr>
        <w:t>CII</w:t>
      </w:r>
    </w:p>
    <w:p>
      <w:pPr>
        <w:pStyle w:val="ListParagraph"/>
        <w:numPr>
          <w:ilvl w:val="0"/>
          <w:numId w:val="92"/>
        </w:numPr>
        <w:tabs>
          <w:tab w:pos="1440" w:val="left" w:leader="none"/>
        </w:tabs>
        <w:spacing w:line="266" w:lineRule="auto" w:before="88" w:after="0"/>
        <w:ind w:left="1440" w:right="2482" w:hanging="360"/>
        <w:jc w:val="left"/>
        <w:rPr>
          <w:sz w:val="22"/>
        </w:rPr>
      </w:pPr>
      <w:r>
        <w:rPr>
          <w:spacing w:val="-2"/>
          <w:sz w:val="22"/>
        </w:rPr>
        <w:t>Dr.</w:t>
      </w:r>
      <w:r>
        <w:rPr>
          <w:spacing w:val="-12"/>
          <w:sz w:val="22"/>
        </w:rPr>
        <w:t> </w:t>
      </w:r>
      <w:r>
        <w:rPr>
          <w:spacing w:val="-2"/>
          <w:sz w:val="22"/>
        </w:rPr>
        <w:t>Pankaj</w:t>
      </w:r>
      <w:r>
        <w:rPr>
          <w:spacing w:val="-12"/>
          <w:sz w:val="22"/>
        </w:rPr>
        <w:t> </w:t>
      </w:r>
      <w:r>
        <w:rPr>
          <w:spacing w:val="-2"/>
          <w:sz w:val="22"/>
        </w:rPr>
        <w:t>Chandra </w:t>
      </w:r>
      <w:r>
        <w:rPr>
          <w:sz w:val="22"/>
        </w:rPr>
        <w:t>IIM A</w:t>
      </w:r>
    </w:p>
    <w:p>
      <w:pPr>
        <w:pStyle w:val="ListParagraph"/>
        <w:numPr>
          <w:ilvl w:val="0"/>
          <w:numId w:val="92"/>
        </w:numPr>
        <w:tabs>
          <w:tab w:pos="1440" w:val="left" w:leader="none"/>
        </w:tabs>
        <w:spacing w:line="266" w:lineRule="auto" w:before="89" w:after="0"/>
        <w:ind w:left="1440" w:right="1910" w:hanging="360"/>
        <w:jc w:val="left"/>
        <w:rPr>
          <w:sz w:val="22"/>
        </w:rPr>
      </w:pPr>
      <w:r>
        <w:rPr>
          <w:spacing w:val="-4"/>
          <w:sz w:val="22"/>
        </w:rPr>
        <w:t>Dr.</w:t>
      </w:r>
      <w:r>
        <w:rPr>
          <w:spacing w:val="-9"/>
          <w:sz w:val="22"/>
        </w:rPr>
        <w:t> </w:t>
      </w:r>
      <w:r>
        <w:rPr>
          <w:spacing w:val="-4"/>
          <w:sz w:val="22"/>
        </w:rPr>
        <w:t>Partha</w:t>
      </w:r>
      <w:r>
        <w:rPr>
          <w:spacing w:val="-9"/>
          <w:sz w:val="22"/>
        </w:rPr>
        <w:t> </w:t>
      </w:r>
      <w:r>
        <w:rPr>
          <w:spacing w:val="-4"/>
          <w:sz w:val="22"/>
        </w:rPr>
        <w:t>Mukhopadhyay CPR</w:t>
      </w:r>
    </w:p>
    <w:p>
      <w:pPr>
        <w:pStyle w:val="ListParagraph"/>
        <w:numPr>
          <w:ilvl w:val="0"/>
          <w:numId w:val="92"/>
        </w:numPr>
        <w:tabs>
          <w:tab w:pos="1440" w:val="left" w:leader="none"/>
        </w:tabs>
        <w:spacing w:line="266" w:lineRule="auto" w:before="88" w:after="0"/>
        <w:ind w:left="1440" w:right="2765" w:hanging="360"/>
        <w:jc w:val="left"/>
        <w:rPr>
          <w:sz w:val="22"/>
        </w:rPr>
      </w:pPr>
      <w:r>
        <w:rPr>
          <w:spacing w:val="-4"/>
          <w:sz w:val="22"/>
        </w:rPr>
        <w:t>Mr.</w:t>
      </w:r>
      <w:r>
        <w:rPr>
          <w:spacing w:val="-10"/>
          <w:sz w:val="22"/>
        </w:rPr>
        <w:t> </w:t>
      </w:r>
      <w:r>
        <w:rPr>
          <w:spacing w:val="-4"/>
          <w:sz w:val="22"/>
        </w:rPr>
        <w:t>K.P.</w:t>
      </w:r>
      <w:r>
        <w:rPr>
          <w:spacing w:val="-10"/>
          <w:sz w:val="22"/>
        </w:rPr>
        <w:t> </w:t>
      </w:r>
      <w:r>
        <w:rPr>
          <w:spacing w:val="-4"/>
          <w:sz w:val="22"/>
        </w:rPr>
        <w:t>Murthy </w:t>
      </w:r>
      <w:r>
        <w:rPr>
          <w:sz w:val="22"/>
        </w:rPr>
        <w:t>MICO-</w:t>
      </w:r>
      <w:r>
        <w:rPr>
          <w:spacing w:val="-2"/>
          <w:sz w:val="22"/>
        </w:rPr>
        <w:t>BOSCH</w:t>
      </w:r>
    </w:p>
    <w:p>
      <w:pPr>
        <w:pStyle w:val="ListParagraph"/>
        <w:numPr>
          <w:ilvl w:val="0"/>
          <w:numId w:val="92"/>
        </w:numPr>
        <w:tabs>
          <w:tab w:pos="1440" w:val="left" w:leader="none"/>
        </w:tabs>
        <w:spacing w:line="266" w:lineRule="auto" w:before="88" w:after="0"/>
        <w:ind w:left="1440" w:right="2626" w:hanging="360"/>
        <w:jc w:val="left"/>
        <w:rPr>
          <w:sz w:val="22"/>
        </w:rPr>
      </w:pPr>
      <w:r>
        <w:rPr>
          <w:spacing w:val="-8"/>
          <w:sz w:val="22"/>
        </w:rPr>
        <w:t>Dr.</w:t>
      </w:r>
      <w:r>
        <w:rPr>
          <w:spacing w:val="-6"/>
          <w:sz w:val="22"/>
        </w:rPr>
        <w:t> </w:t>
      </w:r>
      <w:r>
        <w:rPr>
          <w:spacing w:val="-8"/>
          <w:sz w:val="22"/>
        </w:rPr>
        <w:t>P.M.</w:t>
      </w:r>
      <w:r>
        <w:rPr>
          <w:spacing w:val="-6"/>
          <w:sz w:val="22"/>
        </w:rPr>
        <w:t> </w:t>
      </w:r>
      <w:r>
        <w:rPr>
          <w:spacing w:val="-8"/>
          <w:sz w:val="22"/>
        </w:rPr>
        <w:t>Bhargava </w:t>
      </w:r>
      <w:r>
        <w:rPr>
          <w:spacing w:val="-4"/>
          <w:sz w:val="22"/>
        </w:rPr>
        <w:t>NKC</w:t>
      </w:r>
    </w:p>
    <w:p>
      <w:pPr>
        <w:pStyle w:val="ListParagraph"/>
        <w:numPr>
          <w:ilvl w:val="0"/>
          <w:numId w:val="92"/>
        </w:numPr>
        <w:tabs>
          <w:tab w:pos="1439" w:val="left" w:leader="none"/>
        </w:tabs>
        <w:spacing w:line="240" w:lineRule="auto" w:before="89" w:after="0"/>
        <w:ind w:left="1439" w:right="0" w:hanging="359"/>
        <w:jc w:val="left"/>
        <w:rPr>
          <w:sz w:val="22"/>
        </w:rPr>
      </w:pPr>
      <w:r>
        <w:rPr>
          <w:spacing w:val="-8"/>
          <w:sz w:val="22"/>
        </w:rPr>
        <w:t>Mr.</w:t>
      </w:r>
      <w:r>
        <w:rPr>
          <w:spacing w:val="-4"/>
          <w:sz w:val="22"/>
        </w:rPr>
        <w:t> </w:t>
      </w:r>
      <w:r>
        <w:rPr>
          <w:spacing w:val="-8"/>
          <w:sz w:val="22"/>
        </w:rPr>
        <w:t>Vivek</w:t>
      </w:r>
      <w:r>
        <w:rPr>
          <w:spacing w:val="1"/>
          <w:sz w:val="22"/>
        </w:rPr>
        <w:t> </w:t>
      </w:r>
      <w:r>
        <w:rPr>
          <w:spacing w:val="-8"/>
          <w:sz w:val="22"/>
        </w:rPr>
        <w:t>Singhal</w:t>
      </w:r>
    </w:p>
    <w:p>
      <w:pPr>
        <w:pStyle w:val="BodyText"/>
        <w:spacing w:before="27"/>
        <w:ind w:left="1440"/>
      </w:pPr>
      <w:r>
        <w:rPr>
          <w:spacing w:val="-6"/>
        </w:rPr>
        <w:t>India</w:t>
      </w:r>
      <w:r>
        <w:rPr/>
        <w:t> </w:t>
      </w:r>
      <w:r>
        <w:rPr>
          <w:spacing w:val="-6"/>
        </w:rPr>
        <w:t>Development</w:t>
      </w:r>
      <w:r>
        <w:rPr>
          <w:spacing w:val="1"/>
        </w:rPr>
        <w:t> </w:t>
      </w:r>
      <w:r>
        <w:rPr>
          <w:spacing w:val="-6"/>
        </w:rPr>
        <w:t>Coalition</w:t>
      </w:r>
      <w:r>
        <w:rPr>
          <w:spacing w:val="1"/>
        </w:rPr>
        <w:t> </w:t>
      </w:r>
      <w:r>
        <w:rPr>
          <w:spacing w:val="-6"/>
        </w:rPr>
        <w:t>of</w:t>
      </w:r>
      <w:r>
        <w:rPr>
          <w:spacing w:val="1"/>
        </w:rPr>
        <w:t> </w:t>
      </w:r>
      <w:r>
        <w:rPr>
          <w:spacing w:val="-6"/>
        </w:rPr>
        <w:t>America</w:t>
      </w:r>
    </w:p>
    <w:p>
      <w:pPr>
        <w:pStyle w:val="BodyText"/>
        <w:spacing w:before="136"/>
      </w:pPr>
    </w:p>
    <w:p>
      <w:pPr>
        <w:pStyle w:val="Heading6"/>
        <w:spacing w:line="235" w:lineRule="auto"/>
        <w:ind w:left="1080" w:right="437" w:firstLine="0"/>
      </w:pPr>
      <w:r>
        <w:rPr>
          <w:color w:val="2E614A"/>
          <w:spacing w:val="-12"/>
        </w:rPr>
        <w:t>More</w:t>
      </w:r>
      <w:r>
        <w:rPr>
          <w:color w:val="2E614A"/>
          <w:spacing w:val="-8"/>
        </w:rPr>
        <w:t> </w:t>
      </w:r>
      <w:r>
        <w:rPr>
          <w:color w:val="2E614A"/>
          <w:spacing w:val="-12"/>
        </w:rPr>
        <w:t>Talented</w:t>
      </w:r>
      <w:r>
        <w:rPr>
          <w:color w:val="2E614A"/>
          <w:spacing w:val="-8"/>
        </w:rPr>
        <w:t> </w:t>
      </w:r>
      <w:r>
        <w:rPr>
          <w:color w:val="2E614A"/>
          <w:spacing w:val="-12"/>
        </w:rPr>
        <w:t>Students</w:t>
      </w:r>
      <w:r>
        <w:rPr>
          <w:color w:val="2E614A"/>
          <w:spacing w:val="-8"/>
        </w:rPr>
        <w:t> </w:t>
      </w:r>
      <w:r>
        <w:rPr>
          <w:color w:val="2E614A"/>
          <w:spacing w:val="-12"/>
        </w:rPr>
        <w:t>in </w:t>
      </w:r>
      <w:r>
        <w:rPr>
          <w:color w:val="2E614A"/>
        </w:rPr>
        <w:t>Maths</w:t>
      </w:r>
      <w:r>
        <w:rPr>
          <w:color w:val="2E614A"/>
          <w:spacing w:val="-15"/>
        </w:rPr>
        <w:t> </w:t>
      </w:r>
      <w:r>
        <w:rPr>
          <w:color w:val="2E614A"/>
        </w:rPr>
        <w:t>and</w:t>
      </w:r>
      <w:r>
        <w:rPr>
          <w:color w:val="2E614A"/>
          <w:spacing w:val="-15"/>
        </w:rPr>
        <w:t> </w:t>
      </w:r>
      <w:r>
        <w:rPr>
          <w:color w:val="2E614A"/>
        </w:rPr>
        <w:t>Science</w:t>
      </w:r>
    </w:p>
    <w:p>
      <w:pPr>
        <w:pStyle w:val="ListParagraph"/>
        <w:numPr>
          <w:ilvl w:val="0"/>
          <w:numId w:val="93"/>
        </w:numPr>
        <w:tabs>
          <w:tab w:pos="1439" w:val="left" w:leader="none"/>
        </w:tabs>
        <w:spacing w:line="266" w:lineRule="auto" w:before="286" w:after="0"/>
        <w:ind w:left="1439" w:right="1238" w:hanging="360"/>
        <w:jc w:val="left"/>
        <w:rPr>
          <w:sz w:val="22"/>
        </w:rPr>
      </w:pPr>
      <w:r>
        <w:rPr>
          <w:sz w:val="22"/>
        </w:rPr>
        <w:t>Prof. Manindra Agarwal </w:t>
      </w:r>
      <w:r>
        <w:rPr>
          <w:spacing w:val="-2"/>
          <w:sz w:val="22"/>
        </w:rPr>
        <w:t>Department</w:t>
      </w:r>
      <w:r>
        <w:rPr>
          <w:spacing w:val="-12"/>
          <w:sz w:val="22"/>
        </w:rPr>
        <w:t> </w:t>
      </w:r>
      <w:r>
        <w:rPr>
          <w:spacing w:val="-2"/>
          <w:sz w:val="22"/>
        </w:rPr>
        <w:t>of</w:t>
      </w:r>
      <w:r>
        <w:rPr>
          <w:spacing w:val="-12"/>
          <w:sz w:val="22"/>
        </w:rPr>
        <w:t> </w:t>
      </w:r>
      <w:r>
        <w:rPr>
          <w:spacing w:val="-2"/>
          <w:sz w:val="22"/>
        </w:rPr>
        <w:t>Computer</w:t>
      </w:r>
      <w:r>
        <w:rPr>
          <w:spacing w:val="-12"/>
          <w:sz w:val="22"/>
        </w:rPr>
        <w:t> </w:t>
      </w:r>
      <w:r>
        <w:rPr>
          <w:spacing w:val="-2"/>
          <w:sz w:val="22"/>
        </w:rPr>
        <w:t>Science, </w:t>
      </w:r>
      <w:r>
        <w:rPr>
          <w:sz w:val="22"/>
        </w:rPr>
        <w:t>IIT Kanpur</w:t>
      </w:r>
    </w:p>
    <w:p>
      <w:pPr>
        <w:pStyle w:val="ListParagraph"/>
        <w:numPr>
          <w:ilvl w:val="0"/>
          <w:numId w:val="93"/>
        </w:numPr>
        <w:tabs>
          <w:tab w:pos="1439" w:val="left" w:leader="none"/>
        </w:tabs>
        <w:spacing w:line="240" w:lineRule="auto" w:before="88" w:after="0"/>
        <w:ind w:left="1439" w:right="0" w:hanging="359"/>
        <w:jc w:val="left"/>
        <w:rPr>
          <w:sz w:val="22"/>
        </w:rPr>
      </w:pPr>
      <w:r>
        <w:rPr>
          <w:spacing w:val="-4"/>
          <w:sz w:val="22"/>
        </w:rPr>
        <w:t>Prof.</w:t>
      </w:r>
      <w:r>
        <w:rPr>
          <w:spacing w:val="-5"/>
          <w:sz w:val="22"/>
        </w:rPr>
        <w:t> </w:t>
      </w:r>
      <w:r>
        <w:rPr>
          <w:spacing w:val="-4"/>
          <w:sz w:val="22"/>
        </w:rPr>
        <w:t>K.R.</w:t>
      </w:r>
      <w:r>
        <w:rPr>
          <w:spacing w:val="-5"/>
          <w:sz w:val="22"/>
        </w:rPr>
        <w:t> </w:t>
      </w:r>
      <w:r>
        <w:rPr>
          <w:spacing w:val="-4"/>
          <w:sz w:val="22"/>
        </w:rPr>
        <w:t>Parthasarthy</w:t>
      </w:r>
    </w:p>
    <w:p>
      <w:pPr>
        <w:pStyle w:val="BodyText"/>
        <w:spacing w:line="266" w:lineRule="auto" w:before="27"/>
        <w:ind w:left="1440"/>
      </w:pPr>
      <w:r>
        <w:rPr>
          <w:spacing w:val="-4"/>
        </w:rPr>
        <w:t>Theoretical Statistics and Mathematics Unit, </w:t>
      </w:r>
      <w:r>
        <w:rPr>
          <w:spacing w:val="-4"/>
        </w:rPr>
        <w:t>ISI </w:t>
      </w:r>
      <w:r>
        <w:rPr>
          <w:spacing w:val="-2"/>
        </w:rPr>
        <w:t>Delhi</w:t>
      </w:r>
    </w:p>
    <w:p>
      <w:pPr>
        <w:pStyle w:val="ListParagraph"/>
        <w:numPr>
          <w:ilvl w:val="0"/>
          <w:numId w:val="93"/>
        </w:numPr>
        <w:tabs>
          <w:tab w:pos="1439" w:val="left" w:leader="none"/>
        </w:tabs>
        <w:spacing w:line="240" w:lineRule="auto" w:before="88" w:after="0"/>
        <w:ind w:left="1439" w:right="0" w:hanging="359"/>
        <w:jc w:val="left"/>
        <w:rPr>
          <w:sz w:val="22"/>
        </w:rPr>
      </w:pPr>
      <w:r>
        <w:rPr>
          <w:spacing w:val="-4"/>
          <w:sz w:val="22"/>
        </w:rPr>
        <w:t>Prof.</w:t>
      </w:r>
      <w:r>
        <w:rPr>
          <w:spacing w:val="-9"/>
          <w:sz w:val="22"/>
        </w:rPr>
        <w:t> </w:t>
      </w:r>
      <w:r>
        <w:rPr>
          <w:spacing w:val="-4"/>
          <w:sz w:val="22"/>
        </w:rPr>
        <w:t>S.</w:t>
      </w:r>
      <w:r>
        <w:rPr>
          <w:spacing w:val="-8"/>
          <w:sz w:val="22"/>
        </w:rPr>
        <w:t> </w:t>
      </w:r>
      <w:r>
        <w:rPr>
          <w:spacing w:val="-4"/>
          <w:sz w:val="22"/>
        </w:rPr>
        <w:t>Ramaswamy</w:t>
      </w:r>
    </w:p>
    <w:p>
      <w:pPr>
        <w:pStyle w:val="BodyText"/>
        <w:spacing w:line="266" w:lineRule="auto" w:before="27"/>
        <w:ind w:left="1440"/>
      </w:pPr>
      <w:r>
        <w:rPr>
          <w:spacing w:val="-4"/>
        </w:rPr>
        <w:t>Director, Ramanujan Research Centre for </w:t>
      </w:r>
      <w:r>
        <w:rPr>
          <w:spacing w:val="-4"/>
        </w:rPr>
        <w:t>Higher </w:t>
      </w:r>
      <w:r>
        <w:rPr/>
        <w:t>Mathematics, Alagappa University</w:t>
      </w:r>
    </w:p>
    <w:p>
      <w:pPr>
        <w:pStyle w:val="ListParagraph"/>
        <w:numPr>
          <w:ilvl w:val="0"/>
          <w:numId w:val="93"/>
        </w:numPr>
        <w:tabs>
          <w:tab w:pos="822" w:val="left" w:leader="none"/>
        </w:tabs>
        <w:spacing w:line="240" w:lineRule="auto" w:before="57" w:after="0"/>
        <w:ind w:left="822" w:right="0" w:hanging="359"/>
        <w:jc w:val="left"/>
        <w:rPr>
          <w:sz w:val="22"/>
        </w:rPr>
      </w:pPr>
      <w:r>
        <w:rPr/>
        <w:br w:type="column"/>
      </w:r>
      <w:r>
        <w:rPr>
          <w:spacing w:val="-10"/>
          <w:sz w:val="22"/>
        </w:rPr>
        <w:t>Prof.</w:t>
      </w:r>
      <w:r>
        <w:rPr>
          <w:spacing w:val="-3"/>
          <w:sz w:val="22"/>
        </w:rPr>
        <w:t> </w:t>
      </w:r>
      <w:r>
        <w:rPr>
          <w:spacing w:val="-10"/>
          <w:sz w:val="22"/>
        </w:rPr>
        <w:t>V.</w:t>
      </w:r>
      <w:r>
        <w:rPr>
          <w:spacing w:val="-3"/>
          <w:sz w:val="22"/>
        </w:rPr>
        <w:t> </w:t>
      </w:r>
      <w:r>
        <w:rPr>
          <w:spacing w:val="-10"/>
          <w:sz w:val="22"/>
        </w:rPr>
        <w:t>Vinay</w:t>
      </w:r>
    </w:p>
    <w:p>
      <w:pPr>
        <w:pStyle w:val="BodyText"/>
        <w:spacing w:line="266" w:lineRule="auto" w:before="27"/>
        <w:ind w:left="823" w:right="1286"/>
      </w:pPr>
      <w:r>
        <w:rPr>
          <w:spacing w:val="-4"/>
        </w:rPr>
        <w:t>Chief</w:t>
      </w:r>
      <w:r>
        <w:rPr>
          <w:spacing w:val="-10"/>
        </w:rPr>
        <w:t> </w:t>
      </w:r>
      <w:r>
        <w:rPr>
          <w:spacing w:val="-4"/>
        </w:rPr>
        <w:t>Technology</w:t>
      </w:r>
      <w:r>
        <w:rPr>
          <w:spacing w:val="-10"/>
        </w:rPr>
        <w:t> </w:t>
      </w:r>
      <w:r>
        <w:rPr>
          <w:spacing w:val="-4"/>
        </w:rPr>
        <w:t>Officer,</w:t>
      </w:r>
      <w:r>
        <w:rPr>
          <w:spacing w:val="-10"/>
        </w:rPr>
        <w:t> </w:t>
      </w:r>
      <w:r>
        <w:rPr>
          <w:spacing w:val="-4"/>
        </w:rPr>
        <w:t>Geodesic</w:t>
      </w:r>
      <w:r>
        <w:rPr>
          <w:spacing w:val="-10"/>
        </w:rPr>
        <w:t> </w:t>
      </w:r>
      <w:r>
        <w:rPr>
          <w:spacing w:val="-4"/>
        </w:rPr>
        <w:t>Information </w:t>
      </w:r>
      <w:r>
        <w:rPr>
          <w:spacing w:val="-2"/>
        </w:rPr>
        <w:t>Limited</w:t>
      </w:r>
    </w:p>
    <w:p>
      <w:pPr>
        <w:pStyle w:val="ListParagraph"/>
        <w:numPr>
          <w:ilvl w:val="0"/>
          <w:numId w:val="93"/>
        </w:numPr>
        <w:tabs>
          <w:tab w:pos="823" w:val="left" w:leader="none"/>
        </w:tabs>
        <w:spacing w:line="266" w:lineRule="auto" w:before="89" w:after="0"/>
        <w:ind w:left="823" w:right="2886" w:hanging="360"/>
        <w:jc w:val="left"/>
        <w:rPr>
          <w:sz w:val="22"/>
        </w:rPr>
      </w:pPr>
      <w:r>
        <w:rPr>
          <w:sz w:val="22"/>
        </w:rPr>
        <w:t>Prof. T.V. Ramakrishnan </w:t>
      </w:r>
      <w:r>
        <w:rPr>
          <w:spacing w:val="-2"/>
          <w:sz w:val="22"/>
        </w:rPr>
        <w:t>Department</w:t>
      </w:r>
      <w:r>
        <w:rPr>
          <w:spacing w:val="-12"/>
          <w:sz w:val="22"/>
        </w:rPr>
        <w:t> </w:t>
      </w:r>
      <w:r>
        <w:rPr>
          <w:spacing w:val="-2"/>
          <w:sz w:val="22"/>
        </w:rPr>
        <w:t>of</w:t>
      </w:r>
      <w:r>
        <w:rPr>
          <w:spacing w:val="-12"/>
          <w:sz w:val="22"/>
        </w:rPr>
        <w:t> </w:t>
      </w:r>
      <w:r>
        <w:rPr>
          <w:spacing w:val="-2"/>
          <w:sz w:val="22"/>
        </w:rPr>
        <w:t>Physics,</w:t>
      </w:r>
      <w:r>
        <w:rPr>
          <w:spacing w:val="-12"/>
          <w:sz w:val="22"/>
        </w:rPr>
        <w:t> </w:t>
      </w:r>
      <w:r>
        <w:rPr>
          <w:spacing w:val="-2"/>
          <w:sz w:val="22"/>
        </w:rPr>
        <w:t>BHU</w:t>
      </w:r>
    </w:p>
    <w:p>
      <w:pPr>
        <w:pStyle w:val="ListParagraph"/>
        <w:numPr>
          <w:ilvl w:val="0"/>
          <w:numId w:val="93"/>
        </w:numPr>
        <w:tabs>
          <w:tab w:pos="822" w:val="left" w:leader="none"/>
        </w:tabs>
        <w:spacing w:line="240" w:lineRule="auto" w:before="88" w:after="0"/>
        <w:ind w:left="822" w:right="0" w:hanging="359"/>
        <w:jc w:val="left"/>
        <w:rPr>
          <w:sz w:val="22"/>
        </w:rPr>
      </w:pPr>
      <w:r>
        <w:rPr>
          <w:spacing w:val="-8"/>
          <w:sz w:val="22"/>
        </w:rPr>
        <w:t>Prof.</w:t>
      </w:r>
      <w:r>
        <w:rPr>
          <w:spacing w:val="2"/>
          <w:sz w:val="22"/>
        </w:rPr>
        <w:t> </w:t>
      </w:r>
      <w:r>
        <w:rPr>
          <w:spacing w:val="-8"/>
          <w:sz w:val="22"/>
        </w:rPr>
        <w:t>Shiva</w:t>
      </w:r>
      <w:r>
        <w:rPr>
          <w:spacing w:val="2"/>
          <w:sz w:val="22"/>
        </w:rPr>
        <w:t> </w:t>
      </w:r>
      <w:r>
        <w:rPr>
          <w:spacing w:val="-8"/>
          <w:sz w:val="22"/>
        </w:rPr>
        <w:t>Prasad</w:t>
      </w:r>
    </w:p>
    <w:p>
      <w:pPr>
        <w:pStyle w:val="BodyText"/>
        <w:spacing w:line="266" w:lineRule="auto" w:before="27"/>
        <w:ind w:left="823" w:right="1263"/>
      </w:pPr>
      <w:r>
        <w:rPr/>
        <w:t>Director,</w:t>
      </w:r>
      <w:r>
        <w:rPr>
          <w:spacing w:val="-14"/>
        </w:rPr>
        <w:t> </w:t>
      </w:r>
      <w:r>
        <w:rPr/>
        <w:t>IndoFrench</w:t>
      </w:r>
      <w:r>
        <w:rPr>
          <w:spacing w:val="-14"/>
        </w:rPr>
        <w:t> </w:t>
      </w:r>
      <w:r>
        <w:rPr/>
        <w:t>Centre</w:t>
      </w:r>
      <w:r>
        <w:rPr>
          <w:spacing w:val="-14"/>
        </w:rPr>
        <w:t> </w:t>
      </w:r>
      <w:r>
        <w:rPr/>
        <w:t>and</w:t>
      </w:r>
      <w:r>
        <w:rPr>
          <w:spacing w:val="-13"/>
        </w:rPr>
        <w:t> </w:t>
      </w:r>
      <w:r>
        <w:rPr/>
        <w:t>Department</w:t>
      </w:r>
      <w:r>
        <w:rPr>
          <w:spacing w:val="-14"/>
        </w:rPr>
        <w:t> </w:t>
      </w:r>
      <w:r>
        <w:rPr/>
        <w:t>of Physics, IIT Bombay</w:t>
      </w:r>
    </w:p>
    <w:p>
      <w:pPr>
        <w:pStyle w:val="ListParagraph"/>
        <w:numPr>
          <w:ilvl w:val="0"/>
          <w:numId w:val="93"/>
        </w:numPr>
        <w:tabs>
          <w:tab w:pos="822" w:val="left" w:leader="none"/>
        </w:tabs>
        <w:spacing w:line="240" w:lineRule="auto" w:before="89" w:after="0"/>
        <w:ind w:left="822" w:right="0" w:hanging="359"/>
        <w:jc w:val="left"/>
        <w:rPr>
          <w:sz w:val="22"/>
        </w:rPr>
      </w:pPr>
      <w:r>
        <w:rPr>
          <w:sz w:val="22"/>
        </w:rPr>
        <w:t>Prof.</w:t>
      </w:r>
      <w:r>
        <w:rPr>
          <w:spacing w:val="-9"/>
          <w:sz w:val="22"/>
        </w:rPr>
        <w:t> </w:t>
      </w:r>
      <w:r>
        <w:rPr>
          <w:sz w:val="22"/>
        </w:rPr>
        <w:t>N.</w:t>
      </w:r>
      <w:r>
        <w:rPr>
          <w:spacing w:val="-8"/>
          <w:sz w:val="22"/>
        </w:rPr>
        <w:t> </w:t>
      </w:r>
      <w:r>
        <w:rPr>
          <w:spacing w:val="-2"/>
          <w:sz w:val="22"/>
        </w:rPr>
        <w:t>Mukunda</w:t>
      </w:r>
    </w:p>
    <w:p>
      <w:pPr>
        <w:pStyle w:val="BodyText"/>
        <w:spacing w:line="266" w:lineRule="auto" w:before="27"/>
        <w:ind w:left="823" w:right="1286"/>
      </w:pPr>
      <w:r>
        <w:rPr>
          <w:spacing w:val="-2"/>
        </w:rPr>
        <w:t>Former</w:t>
      </w:r>
      <w:r>
        <w:rPr>
          <w:spacing w:val="-12"/>
        </w:rPr>
        <w:t> </w:t>
      </w:r>
      <w:r>
        <w:rPr>
          <w:spacing w:val="-2"/>
        </w:rPr>
        <w:t>President,</w:t>
      </w:r>
      <w:r>
        <w:rPr>
          <w:spacing w:val="-12"/>
        </w:rPr>
        <w:t> </w:t>
      </w:r>
      <w:r>
        <w:rPr>
          <w:spacing w:val="-2"/>
        </w:rPr>
        <w:t>IAS</w:t>
      </w:r>
      <w:r>
        <w:rPr>
          <w:spacing w:val="-12"/>
        </w:rPr>
        <w:t> </w:t>
      </w:r>
      <w:r>
        <w:rPr>
          <w:spacing w:val="-2"/>
        </w:rPr>
        <w:t>and</w:t>
      </w:r>
      <w:r>
        <w:rPr>
          <w:spacing w:val="-11"/>
        </w:rPr>
        <w:t> </w:t>
      </w:r>
      <w:r>
        <w:rPr>
          <w:spacing w:val="-2"/>
        </w:rPr>
        <w:t>Centre</w:t>
      </w:r>
      <w:r>
        <w:rPr>
          <w:spacing w:val="-12"/>
        </w:rPr>
        <w:t> </w:t>
      </w:r>
      <w:r>
        <w:rPr>
          <w:spacing w:val="-2"/>
        </w:rPr>
        <w:t>for</w:t>
      </w:r>
      <w:r>
        <w:rPr>
          <w:spacing w:val="-12"/>
        </w:rPr>
        <w:t> </w:t>
      </w:r>
      <w:r>
        <w:rPr>
          <w:spacing w:val="-2"/>
        </w:rPr>
        <w:t>High </w:t>
      </w:r>
      <w:r>
        <w:rPr/>
        <w:t>Energy Physics, IISc</w:t>
      </w:r>
    </w:p>
    <w:p>
      <w:pPr>
        <w:pStyle w:val="ListParagraph"/>
        <w:numPr>
          <w:ilvl w:val="0"/>
          <w:numId w:val="93"/>
        </w:numPr>
        <w:tabs>
          <w:tab w:pos="822" w:val="left" w:leader="none"/>
        </w:tabs>
        <w:spacing w:line="240" w:lineRule="auto" w:before="88" w:after="0"/>
        <w:ind w:left="822" w:right="0" w:hanging="359"/>
        <w:jc w:val="left"/>
        <w:rPr>
          <w:sz w:val="22"/>
        </w:rPr>
      </w:pPr>
      <w:r>
        <w:rPr>
          <w:spacing w:val="-6"/>
          <w:sz w:val="22"/>
        </w:rPr>
        <w:t>Prof.</w:t>
      </w:r>
      <w:r>
        <w:rPr>
          <w:spacing w:val="-7"/>
          <w:sz w:val="22"/>
        </w:rPr>
        <w:t> </w:t>
      </w:r>
      <w:r>
        <w:rPr>
          <w:spacing w:val="-6"/>
          <w:sz w:val="22"/>
        </w:rPr>
        <w:t>Alladi Sitaram</w:t>
      </w:r>
    </w:p>
    <w:p>
      <w:pPr>
        <w:pStyle w:val="BodyText"/>
        <w:spacing w:line="266" w:lineRule="auto" w:before="27"/>
        <w:ind w:left="823" w:right="2436"/>
      </w:pPr>
      <w:r>
        <w:rPr>
          <w:spacing w:val="-4"/>
        </w:rPr>
        <w:t>Statistics and Mathematics </w:t>
      </w:r>
      <w:r>
        <w:rPr>
          <w:spacing w:val="-4"/>
        </w:rPr>
        <w:t>Unit, </w:t>
      </w:r>
      <w:r>
        <w:rPr/>
        <w:t>ISI Bangalore</w:t>
      </w:r>
    </w:p>
    <w:p>
      <w:pPr>
        <w:pStyle w:val="ListParagraph"/>
        <w:numPr>
          <w:ilvl w:val="0"/>
          <w:numId w:val="93"/>
        </w:numPr>
        <w:tabs>
          <w:tab w:pos="822" w:val="left" w:leader="none"/>
        </w:tabs>
        <w:spacing w:line="240" w:lineRule="auto" w:before="88" w:after="0"/>
        <w:ind w:left="822" w:right="0" w:hanging="359"/>
        <w:jc w:val="left"/>
        <w:rPr>
          <w:sz w:val="22"/>
        </w:rPr>
      </w:pPr>
      <w:r>
        <w:rPr>
          <w:spacing w:val="-4"/>
          <w:sz w:val="22"/>
        </w:rPr>
        <w:t>Prof.</w:t>
      </w:r>
      <w:r>
        <w:rPr>
          <w:spacing w:val="-3"/>
          <w:sz w:val="22"/>
        </w:rPr>
        <w:t> </w:t>
      </w:r>
      <w:r>
        <w:rPr>
          <w:spacing w:val="-4"/>
          <w:sz w:val="22"/>
        </w:rPr>
        <w:t>C.S.</w:t>
      </w:r>
      <w:r>
        <w:rPr>
          <w:spacing w:val="-6"/>
          <w:sz w:val="22"/>
        </w:rPr>
        <w:t> </w:t>
      </w:r>
      <w:r>
        <w:rPr>
          <w:spacing w:val="-4"/>
          <w:sz w:val="22"/>
        </w:rPr>
        <w:t>Yogananda</w:t>
      </w:r>
    </w:p>
    <w:p>
      <w:pPr>
        <w:pStyle w:val="BodyText"/>
        <w:spacing w:before="27"/>
        <w:ind w:left="823"/>
      </w:pPr>
      <w:r>
        <w:rPr>
          <w:spacing w:val="-6"/>
        </w:rPr>
        <w:t>Sri</w:t>
      </w:r>
      <w:r>
        <w:rPr>
          <w:spacing w:val="-3"/>
        </w:rPr>
        <w:t> </w:t>
      </w:r>
      <w:r>
        <w:rPr>
          <w:spacing w:val="-6"/>
        </w:rPr>
        <w:t>Jayachamarajendra</w:t>
      </w:r>
      <w:r>
        <w:rPr>
          <w:spacing w:val="-2"/>
        </w:rPr>
        <w:t> </w:t>
      </w:r>
      <w:r>
        <w:rPr>
          <w:spacing w:val="-6"/>
        </w:rPr>
        <w:t>College</w:t>
      </w:r>
      <w:r>
        <w:rPr>
          <w:spacing w:val="-2"/>
        </w:rPr>
        <w:t> </w:t>
      </w:r>
      <w:r>
        <w:rPr>
          <w:spacing w:val="-6"/>
        </w:rPr>
        <w:t>of</w:t>
      </w:r>
      <w:r>
        <w:rPr>
          <w:spacing w:val="-2"/>
        </w:rPr>
        <w:t> </w:t>
      </w:r>
      <w:r>
        <w:rPr>
          <w:spacing w:val="-6"/>
        </w:rPr>
        <w:t>Engineering</w:t>
      </w:r>
    </w:p>
    <w:p>
      <w:pPr>
        <w:pStyle w:val="ListParagraph"/>
        <w:numPr>
          <w:ilvl w:val="0"/>
          <w:numId w:val="93"/>
        </w:numPr>
        <w:tabs>
          <w:tab w:pos="822" w:val="left" w:leader="none"/>
        </w:tabs>
        <w:spacing w:line="240" w:lineRule="auto" w:before="117" w:after="0"/>
        <w:ind w:left="822" w:right="0" w:hanging="359"/>
        <w:jc w:val="left"/>
        <w:rPr>
          <w:sz w:val="22"/>
        </w:rPr>
      </w:pPr>
      <w:r>
        <w:rPr>
          <w:spacing w:val="-2"/>
          <w:sz w:val="22"/>
        </w:rPr>
        <w:t>Prof.</w:t>
      </w:r>
      <w:r>
        <w:rPr>
          <w:spacing w:val="-12"/>
          <w:sz w:val="22"/>
        </w:rPr>
        <w:t> </w:t>
      </w:r>
      <w:r>
        <w:rPr>
          <w:spacing w:val="-2"/>
          <w:sz w:val="22"/>
        </w:rPr>
        <w:t>S.G.</w:t>
      </w:r>
      <w:r>
        <w:rPr>
          <w:spacing w:val="-11"/>
          <w:sz w:val="22"/>
        </w:rPr>
        <w:t> </w:t>
      </w:r>
      <w:r>
        <w:rPr>
          <w:spacing w:val="-4"/>
          <w:sz w:val="22"/>
        </w:rPr>
        <w:t>Dani</w:t>
      </w:r>
    </w:p>
    <w:p>
      <w:pPr>
        <w:pStyle w:val="BodyText"/>
        <w:spacing w:before="27"/>
        <w:ind w:left="823"/>
      </w:pPr>
      <w:r>
        <w:rPr>
          <w:spacing w:val="-4"/>
        </w:rPr>
        <w:t>School</w:t>
      </w:r>
      <w:r>
        <w:rPr>
          <w:spacing w:val="-6"/>
        </w:rPr>
        <w:t> </w:t>
      </w:r>
      <w:r>
        <w:rPr>
          <w:spacing w:val="-4"/>
        </w:rPr>
        <w:t>of</w:t>
      </w:r>
      <w:r>
        <w:rPr>
          <w:spacing w:val="-3"/>
        </w:rPr>
        <w:t> </w:t>
      </w:r>
      <w:r>
        <w:rPr>
          <w:spacing w:val="-4"/>
        </w:rPr>
        <w:t>Mathematics,</w:t>
      </w:r>
      <w:r>
        <w:rPr>
          <w:spacing w:val="-10"/>
        </w:rPr>
        <w:t> </w:t>
      </w:r>
      <w:r>
        <w:rPr>
          <w:spacing w:val="-4"/>
        </w:rPr>
        <w:t>TIFR</w:t>
      </w:r>
    </w:p>
    <w:p>
      <w:pPr>
        <w:pStyle w:val="ListParagraph"/>
        <w:numPr>
          <w:ilvl w:val="0"/>
          <w:numId w:val="93"/>
        </w:numPr>
        <w:tabs>
          <w:tab w:pos="822" w:val="left" w:leader="none"/>
        </w:tabs>
        <w:spacing w:line="240" w:lineRule="auto" w:before="117" w:after="0"/>
        <w:ind w:left="822" w:right="0" w:hanging="359"/>
        <w:jc w:val="left"/>
        <w:rPr>
          <w:sz w:val="22"/>
        </w:rPr>
      </w:pPr>
      <w:r>
        <w:rPr>
          <w:spacing w:val="-4"/>
          <w:sz w:val="22"/>
        </w:rPr>
        <w:t>Prof.</w:t>
      </w:r>
      <w:r>
        <w:rPr>
          <w:spacing w:val="-5"/>
          <w:sz w:val="22"/>
        </w:rPr>
        <w:t> </w:t>
      </w:r>
      <w:r>
        <w:rPr>
          <w:spacing w:val="-4"/>
          <w:sz w:val="22"/>
        </w:rPr>
        <w:t>Rajendra Bhatia</w:t>
      </w:r>
    </w:p>
    <w:p>
      <w:pPr>
        <w:pStyle w:val="BodyText"/>
        <w:spacing w:line="266" w:lineRule="auto" w:before="27"/>
        <w:ind w:left="823" w:right="1301"/>
      </w:pPr>
      <w:r>
        <w:rPr>
          <w:spacing w:val="-2"/>
        </w:rPr>
        <w:t>Theoretical</w:t>
      </w:r>
      <w:r>
        <w:rPr>
          <w:spacing w:val="-12"/>
        </w:rPr>
        <w:t> </w:t>
      </w:r>
      <w:r>
        <w:rPr>
          <w:spacing w:val="-2"/>
        </w:rPr>
        <w:t>Statistics</w:t>
      </w:r>
      <w:r>
        <w:rPr>
          <w:spacing w:val="-12"/>
        </w:rPr>
        <w:t> </w:t>
      </w:r>
      <w:r>
        <w:rPr>
          <w:spacing w:val="-2"/>
        </w:rPr>
        <w:t>and</w:t>
      </w:r>
      <w:r>
        <w:rPr>
          <w:spacing w:val="-12"/>
        </w:rPr>
        <w:t> </w:t>
      </w:r>
      <w:r>
        <w:rPr>
          <w:spacing w:val="-2"/>
        </w:rPr>
        <w:t>Mathematics</w:t>
      </w:r>
      <w:r>
        <w:rPr>
          <w:spacing w:val="-11"/>
        </w:rPr>
        <w:t> </w:t>
      </w:r>
      <w:r>
        <w:rPr>
          <w:spacing w:val="-2"/>
        </w:rPr>
        <w:t>Unit,</w:t>
      </w:r>
      <w:r>
        <w:rPr>
          <w:spacing w:val="-12"/>
        </w:rPr>
        <w:t> </w:t>
      </w:r>
      <w:r>
        <w:rPr>
          <w:spacing w:val="-2"/>
        </w:rPr>
        <w:t>ISI Delhi</w:t>
      </w:r>
    </w:p>
    <w:p>
      <w:pPr>
        <w:pStyle w:val="ListParagraph"/>
        <w:numPr>
          <w:ilvl w:val="0"/>
          <w:numId w:val="93"/>
        </w:numPr>
        <w:tabs>
          <w:tab w:pos="822" w:val="left" w:leader="none"/>
        </w:tabs>
        <w:spacing w:line="240" w:lineRule="auto" w:before="89" w:after="0"/>
        <w:ind w:left="822" w:right="0" w:hanging="359"/>
        <w:jc w:val="left"/>
        <w:rPr>
          <w:sz w:val="22"/>
        </w:rPr>
      </w:pPr>
      <w:r>
        <w:rPr>
          <w:spacing w:val="-4"/>
          <w:sz w:val="22"/>
        </w:rPr>
        <w:t>Dr.</w:t>
      </w:r>
      <w:r>
        <w:rPr>
          <w:spacing w:val="-6"/>
          <w:sz w:val="22"/>
        </w:rPr>
        <w:t> </w:t>
      </w:r>
      <w:r>
        <w:rPr>
          <w:spacing w:val="-4"/>
          <w:sz w:val="22"/>
        </w:rPr>
        <w:t>Rajesh</w:t>
      </w:r>
      <w:r>
        <w:rPr>
          <w:spacing w:val="-5"/>
          <w:sz w:val="22"/>
        </w:rPr>
        <w:t> </w:t>
      </w:r>
      <w:r>
        <w:rPr>
          <w:spacing w:val="-4"/>
          <w:sz w:val="22"/>
        </w:rPr>
        <w:t>Gopakumar</w:t>
      </w:r>
    </w:p>
    <w:p>
      <w:pPr>
        <w:pStyle w:val="BodyText"/>
        <w:spacing w:before="27"/>
        <w:ind w:left="823"/>
      </w:pPr>
      <w:r>
        <w:rPr>
          <w:spacing w:val="-2"/>
        </w:rPr>
        <w:t>Harish-Chandra</w:t>
      </w:r>
      <w:r>
        <w:rPr>
          <w:spacing w:val="-11"/>
        </w:rPr>
        <w:t> </w:t>
      </w:r>
      <w:r>
        <w:rPr>
          <w:spacing w:val="-2"/>
        </w:rPr>
        <w:t>Research</w:t>
      </w:r>
      <w:r>
        <w:rPr>
          <w:spacing w:val="-11"/>
        </w:rPr>
        <w:t> </w:t>
      </w:r>
      <w:r>
        <w:rPr>
          <w:spacing w:val="-2"/>
        </w:rPr>
        <w:t>Institute,</w:t>
      </w:r>
      <w:r>
        <w:rPr>
          <w:spacing w:val="-10"/>
        </w:rPr>
        <w:t> </w:t>
      </w:r>
      <w:r>
        <w:rPr>
          <w:spacing w:val="-2"/>
        </w:rPr>
        <w:t>Allahabad</w:t>
      </w:r>
    </w:p>
    <w:p>
      <w:pPr>
        <w:pStyle w:val="ListParagraph"/>
        <w:numPr>
          <w:ilvl w:val="0"/>
          <w:numId w:val="93"/>
        </w:numPr>
        <w:tabs>
          <w:tab w:pos="822" w:val="left" w:leader="none"/>
        </w:tabs>
        <w:spacing w:line="240" w:lineRule="auto" w:before="117" w:after="0"/>
        <w:ind w:left="822" w:right="0" w:hanging="359"/>
        <w:jc w:val="left"/>
        <w:rPr>
          <w:sz w:val="22"/>
        </w:rPr>
      </w:pPr>
      <w:r>
        <w:rPr>
          <w:spacing w:val="-2"/>
          <w:sz w:val="22"/>
        </w:rPr>
        <w:t>Prof.</w:t>
      </w:r>
      <w:r>
        <w:rPr>
          <w:spacing w:val="-11"/>
          <w:sz w:val="22"/>
        </w:rPr>
        <w:t> </w:t>
      </w:r>
      <w:r>
        <w:rPr>
          <w:spacing w:val="-2"/>
          <w:sz w:val="22"/>
        </w:rPr>
        <w:t>Dinesh</w:t>
      </w:r>
      <w:r>
        <w:rPr>
          <w:spacing w:val="-10"/>
          <w:sz w:val="22"/>
        </w:rPr>
        <w:t> </w:t>
      </w:r>
      <w:r>
        <w:rPr>
          <w:spacing w:val="-2"/>
          <w:sz w:val="22"/>
        </w:rPr>
        <w:t>Singh</w:t>
      </w:r>
    </w:p>
    <w:p>
      <w:pPr>
        <w:pStyle w:val="BodyText"/>
        <w:spacing w:before="27"/>
        <w:ind w:left="823"/>
      </w:pPr>
      <w:r>
        <w:rPr>
          <w:spacing w:val="-2"/>
        </w:rPr>
        <w:t>Director,</w:t>
      </w:r>
      <w:r>
        <w:rPr>
          <w:spacing w:val="-4"/>
        </w:rPr>
        <w:t> </w:t>
      </w:r>
      <w:r>
        <w:rPr>
          <w:spacing w:val="-2"/>
        </w:rPr>
        <w:t>South</w:t>
      </w:r>
      <w:r>
        <w:rPr>
          <w:spacing w:val="-3"/>
        </w:rPr>
        <w:t> </w:t>
      </w:r>
      <w:r>
        <w:rPr>
          <w:spacing w:val="-2"/>
        </w:rPr>
        <w:t>Campus,</w:t>
      </w:r>
      <w:r>
        <w:rPr>
          <w:spacing w:val="-4"/>
        </w:rPr>
        <w:t> </w:t>
      </w:r>
      <w:r>
        <w:rPr>
          <w:spacing w:val="-2"/>
        </w:rPr>
        <w:t>Delhi</w:t>
      </w:r>
      <w:r>
        <w:rPr>
          <w:spacing w:val="-3"/>
        </w:rPr>
        <w:t> </w:t>
      </w:r>
      <w:r>
        <w:rPr>
          <w:spacing w:val="-2"/>
        </w:rPr>
        <w:t>University</w:t>
      </w:r>
    </w:p>
    <w:p>
      <w:pPr>
        <w:pStyle w:val="ListParagraph"/>
        <w:numPr>
          <w:ilvl w:val="0"/>
          <w:numId w:val="93"/>
        </w:numPr>
        <w:tabs>
          <w:tab w:pos="822" w:val="left" w:leader="none"/>
        </w:tabs>
        <w:spacing w:line="240" w:lineRule="auto" w:before="117" w:after="0"/>
        <w:ind w:left="822" w:right="0" w:hanging="359"/>
        <w:jc w:val="left"/>
        <w:rPr>
          <w:sz w:val="22"/>
        </w:rPr>
      </w:pPr>
      <w:r>
        <w:rPr>
          <w:spacing w:val="-10"/>
          <w:sz w:val="22"/>
        </w:rPr>
        <w:t>Prof.</w:t>
      </w:r>
      <w:r>
        <w:rPr>
          <w:spacing w:val="-1"/>
          <w:sz w:val="22"/>
        </w:rPr>
        <w:t> </w:t>
      </w:r>
      <w:r>
        <w:rPr>
          <w:spacing w:val="-10"/>
          <w:sz w:val="22"/>
        </w:rPr>
        <w:t>P.</w:t>
      </w:r>
      <w:r>
        <w:rPr>
          <w:spacing w:val="-1"/>
          <w:sz w:val="22"/>
        </w:rPr>
        <w:t> </w:t>
      </w:r>
      <w:r>
        <w:rPr>
          <w:spacing w:val="-10"/>
          <w:sz w:val="22"/>
        </w:rPr>
        <w:t>Banerjee</w:t>
      </w:r>
    </w:p>
    <w:p>
      <w:pPr>
        <w:pStyle w:val="BodyText"/>
        <w:spacing w:before="27"/>
        <w:ind w:left="823"/>
      </w:pPr>
      <w:r>
        <w:rPr>
          <w:spacing w:val="-4"/>
        </w:rPr>
        <w:t>Director,</w:t>
      </w:r>
      <w:r>
        <w:rPr>
          <w:spacing w:val="3"/>
        </w:rPr>
        <w:t> </w:t>
      </w:r>
      <w:r>
        <w:rPr>
          <w:spacing w:val="-4"/>
        </w:rPr>
        <w:t>NISTADS,</w:t>
      </w:r>
      <w:r>
        <w:rPr>
          <w:spacing w:val="4"/>
        </w:rPr>
        <w:t> </w:t>
      </w:r>
      <w:r>
        <w:rPr>
          <w:spacing w:val="-4"/>
        </w:rPr>
        <w:t>CSIR</w:t>
      </w:r>
    </w:p>
    <w:p>
      <w:pPr>
        <w:pStyle w:val="ListParagraph"/>
        <w:numPr>
          <w:ilvl w:val="0"/>
          <w:numId w:val="93"/>
        </w:numPr>
        <w:tabs>
          <w:tab w:pos="822" w:val="left" w:leader="none"/>
        </w:tabs>
        <w:spacing w:line="240" w:lineRule="auto" w:before="117" w:after="0"/>
        <w:ind w:left="822" w:right="0" w:hanging="359"/>
        <w:jc w:val="left"/>
        <w:rPr>
          <w:sz w:val="22"/>
        </w:rPr>
      </w:pPr>
      <w:r>
        <w:rPr>
          <w:spacing w:val="-4"/>
          <w:sz w:val="22"/>
        </w:rPr>
        <w:t>Prof.</w:t>
      </w:r>
      <w:r>
        <w:rPr>
          <w:spacing w:val="-6"/>
          <w:sz w:val="22"/>
        </w:rPr>
        <w:t> </w:t>
      </w:r>
      <w:r>
        <w:rPr>
          <w:spacing w:val="-4"/>
          <w:sz w:val="22"/>
        </w:rPr>
        <w:t>Suman</w:t>
      </w:r>
      <w:r>
        <w:rPr>
          <w:spacing w:val="-5"/>
          <w:sz w:val="22"/>
        </w:rPr>
        <w:t> </w:t>
      </w:r>
      <w:r>
        <w:rPr>
          <w:spacing w:val="-4"/>
          <w:sz w:val="22"/>
        </w:rPr>
        <w:t>Kapur</w:t>
      </w:r>
    </w:p>
    <w:p>
      <w:pPr>
        <w:pStyle w:val="BodyText"/>
        <w:spacing w:before="27"/>
        <w:ind w:left="823"/>
      </w:pPr>
      <w:r>
        <w:rPr>
          <w:spacing w:val="-6"/>
        </w:rPr>
        <w:t>School</w:t>
      </w:r>
      <w:r>
        <w:rPr>
          <w:spacing w:val="-8"/>
        </w:rPr>
        <w:t> </w:t>
      </w:r>
      <w:r>
        <w:rPr>
          <w:spacing w:val="-6"/>
        </w:rPr>
        <w:t>of</w:t>
      </w:r>
      <w:r>
        <w:rPr>
          <w:spacing w:val="-7"/>
        </w:rPr>
        <w:t> </w:t>
      </w:r>
      <w:r>
        <w:rPr>
          <w:spacing w:val="-6"/>
        </w:rPr>
        <w:t>Life</w:t>
      </w:r>
      <w:r>
        <w:rPr>
          <w:spacing w:val="-7"/>
        </w:rPr>
        <w:t> </w:t>
      </w:r>
      <w:r>
        <w:rPr>
          <w:spacing w:val="-6"/>
        </w:rPr>
        <w:t>Sciences,</w:t>
      </w:r>
      <w:r>
        <w:rPr>
          <w:spacing w:val="-8"/>
        </w:rPr>
        <w:t> </w:t>
      </w:r>
      <w:r>
        <w:rPr>
          <w:spacing w:val="-6"/>
        </w:rPr>
        <w:t>BITS</w:t>
      </w:r>
      <w:r>
        <w:rPr>
          <w:spacing w:val="-7"/>
        </w:rPr>
        <w:t> </w:t>
      </w:r>
      <w:r>
        <w:rPr>
          <w:spacing w:val="-6"/>
        </w:rPr>
        <w:t>Pilani</w:t>
      </w:r>
    </w:p>
    <w:p>
      <w:pPr>
        <w:pStyle w:val="ListParagraph"/>
        <w:numPr>
          <w:ilvl w:val="0"/>
          <w:numId w:val="93"/>
        </w:numPr>
        <w:tabs>
          <w:tab w:pos="823" w:val="left" w:leader="none"/>
        </w:tabs>
        <w:spacing w:line="266" w:lineRule="auto" w:before="117" w:after="0"/>
        <w:ind w:left="823" w:right="3482" w:hanging="360"/>
        <w:jc w:val="left"/>
        <w:rPr>
          <w:sz w:val="22"/>
        </w:rPr>
      </w:pPr>
      <w:r>
        <w:rPr>
          <w:spacing w:val="-4"/>
          <w:sz w:val="22"/>
        </w:rPr>
        <w:t>Prof.</w:t>
      </w:r>
      <w:r>
        <w:rPr>
          <w:spacing w:val="-10"/>
          <w:sz w:val="22"/>
        </w:rPr>
        <w:t> </w:t>
      </w:r>
      <w:r>
        <w:rPr>
          <w:spacing w:val="-4"/>
          <w:sz w:val="22"/>
        </w:rPr>
        <w:t>K.R.</w:t>
      </w:r>
      <w:r>
        <w:rPr>
          <w:spacing w:val="-10"/>
          <w:sz w:val="22"/>
        </w:rPr>
        <w:t> </w:t>
      </w:r>
      <w:r>
        <w:rPr>
          <w:spacing w:val="-4"/>
          <w:sz w:val="22"/>
        </w:rPr>
        <w:t>Sreenivasan </w:t>
      </w:r>
      <w:r>
        <w:rPr>
          <w:spacing w:val="-6"/>
          <w:sz w:val="22"/>
        </w:rPr>
        <w:t>Director,</w:t>
      </w:r>
      <w:r>
        <w:rPr>
          <w:spacing w:val="-8"/>
          <w:sz w:val="22"/>
        </w:rPr>
        <w:t> </w:t>
      </w:r>
      <w:r>
        <w:rPr>
          <w:spacing w:val="-6"/>
          <w:sz w:val="22"/>
        </w:rPr>
        <w:t>ICTP,</w:t>
      </w:r>
      <w:r>
        <w:rPr>
          <w:spacing w:val="-10"/>
          <w:sz w:val="22"/>
        </w:rPr>
        <w:t> </w:t>
      </w:r>
      <w:r>
        <w:rPr>
          <w:spacing w:val="-6"/>
          <w:sz w:val="22"/>
        </w:rPr>
        <w:t>Trieste</w:t>
      </w:r>
    </w:p>
    <w:p>
      <w:pPr>
        <w:pStyle w:val="ListParagraph"/>
        <w:numPr>
          <w:ilvl w:val="0"/>
          <w:numId w:val="93"/>
        </w:numPr>
        <w:tabs>
          <w:tab w:pos="822" w:val="left" w:leader="none"/>
        </w:tabs>
        <w:spacing w:line="240" w:lineRule="auto" w:before="88" w:after="0"/>
        <w:ind w:left="822" w:right="0" w:hanging="359"/>
        <w:jc w:val="left"/>
        <w:rPr>
          <w:sz w:val="22"/>
        </w:rPr>
      </w:pPr>
      <w:r>
        <w:rPr>
          <w:spacing w:val="-2"/>
          <w:sz w:val="22"/>
        </w:rPr>
        <w:t>Dr.</w:t>
      </w:r>
      <w:r>
        <w:rPr>
          <w:spacing w:val="-5"/>
          <w:sz w:val="22"/>
        </w:rPr>
        <w:t> </w:t>
      </w:r>
      <w:r>
        <w:rPr>
          <w:spacing w:val="-2"/>
          <w:sz w:val="22"/>
        </w:rPr>
        <w:t>Challa</w:t>
      </w:r>
      <w:r>
        <w:rPr>
          <w:spacing w:val="-5"/>
          <w:sz w:val="22"/>
        </w:rPr>
        <w:t> </w:t>
      </w:r>
      <w:r>
        <w:rPr>
          <w:spacing w:val="-2"/>
          <w:sz w:val="22"/>
        </w:rPr>
        <w:t>Suguna</w:t>
      </w:r>
    </w:p>
    <w:p>
      <w:pPr>
        <w:pStyle w:val="BodyText"/>
        <w:spacing w:before="27"/>
        <w:ind w:left="823"/>
      </w:pPr>
      <w:r>
        <w:rPr>
          <w:spacing w:val="-4"/>
        </w:rPr>
        <w:t>Scientist,</w:t>
      </w:r>
      <w:r>
        <w:rPr>
          <w:spacing w:val="-8"/>
        </w:rPr>
        <w:t> </w:t>
      </w:r>
      <w:r>
        <w:rPr>
          <w:spacing w:val="-4"/>
        </w:rPr>
        <w:t>Centre</w:t>
      </w:r>
      <w:r>
        <w:rPr>
          <w:spacing w:val="-8"/>
        </w:rPr>
        <w:t> </w:t>
      </w:r>
      <w:r>
        <w:rPr>
          <w:spacing w:val="-4"/>
        </w:rPr>
        <w:t>for</w:t>
      </w:r>
      <w:r>
        <w:rPr>
          <w:spacing w:val="-8"/>
        </w:rPr>
        <w:t> </w:t>
      </w:r>
      <w:r>
        <w:rPr>
          <w:spacing w:val="-4"/>
        </w:rPr>
        <w:t>Cellular</w:t>
      </w:r>
      <w:r>
        <w:rPr>
          <w:spacing w:val="-8"/>
        </w:rPr>
        <w:t> </w:t>
      </w:r>
      <w:r>
        <w:rPr>
          <w:spacing w:val="-4"/>
        </w:rPr>
        <w:t>Biology,</w:t>
      </w:r>
      <w:r>
        <w:rPr>
          <w:spacing w:val="-8"/>
        </w:rPr>
        <w:t> </w:t>
      </w:r>
      <w:r>
        <w:rPr>
          <w:spacing w:val="-4"/>
        </w:rPr>
        <w:t>Hyderabad</w:t>
      </w:r>
    </w:p>
    <w:p>
      <w:pPr>
        <w:pStyle w:val="ListParagraph"/>
        <w:numPr>
          <w:ilvl w:val="0"/>
          <w:numId w:val="93"/>
        </w:numPr>
        <w:tabs>
          <w:tab w:pos="823" w:val="left" w:leader="none"/>
        </w:tabs>
        <w:spacing w:line="266" w:lineRule="auto" w:before="117" w:after="0"/>
        <w:ind w:left="823" w:right="2873" w:hanging="360"/>
        <w:jc w:val="left"/>
        <w:rPr>
          <w:sz w:val="22"/>
        </w:rPr>
      </w:pPr>
      <w:r>
        <w:rPr>
          <w:sz w:val="22"/>
        </w:rPr>
        <w:t>Prof. M.S. Raghunathan </w:t>
      </w:r>
      <w:r>
        <w:rPr>
          <w:spacing w:val="-4"/>
          <w:sz w:val="22"/>
        </w:rPr>
        <w:t>School</w:t>
      </w:r>
      <w:r>
        <w:rPr>
          <w:spacing w:val="-10"/>
          <w:sz w:val="22"/>
        </w:rPr>
        <w:t> </w:t>
      </w:r>
      <w:r>
        <w:rPr>
          <w:spacing w:val="-4"/>
          <w:sz w:val="22"/>
        </w:rPr>
        <w:t>of</w:t>
      </w:r>
      <w:r>
        <w:rPr>
          <w:spacing w:val="-8"/>
          <w:sz w:val="22"/>
        </w:rPr>
        <w:t> </w:t>
      </w:r>
      <w:r>
        <w:rPr>
          <w:spacing w:val="-4"/>
          <w:sz w:val="22"/>
        </w:rPr>
        <w:t>Mathematics,</w:t>
      </w:r>
      <w:r>
        <w:rPr>
          <w:spacing w:val="-10"/>
          <w:sz w:val="22"/>
        </w:rPr>
        <w:t> </w:t>
      </w:r>
      <w:r>
        <w:rPr>
          <w:spacing w:val="-4"/>
          <w:sz w:val="22"/>
        </w:rPr>
        <w:t>TIFR</w:t>
      </w:r>
    </w:p>
    <w:p>
      <w:pPr>
        <w:pStyle w:val="ListParagraph"/>
        <w:numPr>
          <w:ilvl w:val="0"/>
          <w:numId w:val="93"/>
        </w:numPr>
        <w:tabs>
          <w:tab w:pos="822" w:val="left" w:leader="none"/>
        </w:tabs>
        <w:spacing w:line="240" w:lineRule="auto" w:before="89" w:after="0"/>
        <w:ind w:left="822" w:right="0" w:hanging="359"/>
        <w:jc w:val="left"/>
        <w:rPr>
          <w:sz w:val="22"/>
        </w:rPr>
      </w:pPr>
      <w:r>
        <w:rPr>
          <w:spacing w:val="-2"/>
          <w:sz w:val="22"/>
        </w:rPr>
        <w:t>Dr.</w:t>
      </w:r>
      <w:r>
        <w:rPr>
          <w:spacing w:val="-5"/>
          <w:sz w:val="22"/>
        </w:rPr>
        <w:t> </w:t>
      </w:r>
      <w:r>
        <w:rPr>
          <w:spacing w:val="-2"/>
          <w:sz w:val="22"/>
        </w:rPr>
        <w:t>Somdatta</w:t>
      </w:r>
      <w:r>
        <w:rPr>
          <w:spacing w:val="-5"/>
          <w:sz w:val="22"/>
        </w:rPr>
        <w:t> </w:t>
      </w:r>
      <w:r>
        <w:rPr>
          <w:spacing w:val="-2"/>
          <w:sz w:val="22"/>
        </w:rPr>
        <w:t>Sinha</w:t>
      </w:r>
    </w:p>
    <w:p>
      <w:pPr>
        <w:pStyle w:val="BodyText"/>
        <w:spacing w:before="27"/>
        <w:ind w:left="823"/>
      </w:pPr>
      <w:r>
        <w:rPr>
          <w:spacing w:val="-4"/>
        </w:rPr>
        <w:t>Scientist,</w:t>
      </w:r>
      <w:r>
        <w:rPr>
          <w:spacing w:val="-8"/>
        </w:rPr>
        <w:t> </w:t>
      </w:r>
      <w:r>
        <w:rPr>
          <w:spacing w:val="-4"/>
        </w:rPr>
        <w:t>Centre</w:t>
      </w:r>
      <w:r>
        <w:rPr>
          <w:spacing w:val="-8"/>
        </w:rPr>
        <w:t> </w:t>
      </w:r>
      <w:r>
        <w:rPr>
          <w:spacing w:val="-4"/>
        </w:rPr>
        <w:t>for</w:t>
      </w:r>
      <w:r>
        <w:rPr>
          <w:spacing w:val="-8"/>
        </w:rPr>
        <w:t> </w:t>
      </w:r>
      <w:r>
        <w:rPr>
          <w:spacing w:val="-4"/>
        </w:rPr>
        <w:t>Cellular</w:t>
      </w:r>
      <w:r>
        <w:rPr>
          <w:spacing w:val="-8"/>
        </w:rPr>
        <w:t> </w:t>
      </w:r>
      <w:r>
        <w:rPr>
          <w:spacing w:val="-4"/>
        </w:rPr>
        <w:t>Biology,</w:t>
      </w:r>
      <w:r>
        <w:rPr>
          <w:spacing w:val="-8"/>
        </w:rPr>
        <w:t> </w:t>
      </w:r>
      <w:r>
        <w:rPr>
          <w:spacing w:val="-4"/>
        </w:rPr>
        <w:t>Hyderabad</w:t>
      </w:r>
    </w:p>
    <w:p>
      <w:pPr>
        <w:pStyle w:val="ListParagraph"/>
        <w:numPr>
          <w:ilvl w:val="0"/>
          <w:numId w:val="93"/>
        </w:numPr>
        <w:tabs>
          <w:tab w:pos="822" w:val="left" w:leader="none"/>
        </w:tabs>
        <w:spacing w:line="240" w:lineRule="auto" w:before="117" w:after="0"/>
        <w:ind w:left="822" w:right="0" w:hanging="359"/>
        <w:jc w:val="left"/>
        <w:rPr>
          <w:sz w:val="22"/>
        </w:rPr>
      </w:pPr>
      <w:r>
        <w:rPr>
          <w:spacing w:val="-2"/>
          <w:sz w:val="22"/>
        </w:rPr>
        <w:t>Dr.</w:t>
      </w:r>
      <w:r>
        <w:rPr>
          <w:spacing w:val="-7"/>
          <w:sz w:val="22"/>
        </w:rPr>
        <w:t> </w:t>
      </w:r>
      <w:r>
        <w:rPr>
          <w:spacing w:val="-2"/>
          <w:sz w:val="22"/>
        </w:rPr>
        <w:t>Pramod</w:t>
      </w:r>
      <w:r>
        <w:rPr>
          <w:spacing w:val="-7"/>
          <w:sz w:val="22"/>
        </w:rPr>
        <w:t> </w:t>
      </w:r>
      <w:r>
        <w:rPr>
          <w:spacing w:val="-2"/>
          <w:sz w:val="22"/>
        </w:rPr>
        <w:t>Kumar</w:t>
      </w:r>
      <w:r>
        <w:rPr>
          <w:spacing w:val="-10"/>
          <w:sz w:val="22"/>
        </w:rPr>
        <w:t> </w:t>
      </w:r>
      <w:r>
        <w:rPr>
          <w:spacing w:val="-2"/>
          <w:sz w:val="22"/>
        </w:rPr>
        <w:t>Yadav</w:t>
      </w:r>
    </w:p>
    <w:p>
      <w:pPr>
        <w:pStyle w:val="BodyText"/>
        <w:spacing w:before="27"/>
        <w:ind w:left="823"/>
      </w:pPr>
      <w:r>
        <w:rPr>
          <w:spacing w:val="-6"/>
        </w:rPr>
        <w:t>Dean,</w:t>
      </w:r>
      <w:r>
        <w:rPr>
          <w:spacing w:val="-3"/>
        </w:rPr>
        <w:t> </w:t>
      </w:r>
      <w:r>
        <w:rPr>
          <w:spacing w:val="-6"/>
        </w:rPr>
        <w:t>School</w:t>
      </w:r>
      <w:r>
        <w:rPr>
          <w:spacing w:val="-2"/>
        </w:rPr>
        <w:t> </w:t>
      </w:r>
      <w:r>
        <w:rPr>
          <w:spacing w:val="-6"/>
        </w:rPr>
        <w:t>of</w:t>
      </w:r>
      <w:r>
        <w:rPr>
          <w:spacing w:val="-3"/>
        </w:rPr>
        <w:t> </w:t>
      </w:r>
      <w:r>
        <w:rPr>
          <w:spacing w:val="-6"/>
        </w:rPr>
        <w:t>Life</w:t>
      </w:r>
      <w:r>
        <w:rPr>
          <w:spacing w:val="-2"/>
        </w:rPr>
        <w:t> </w:t>
      </w:r>
      <w:r>
        <w:rPr>
          <w:spacing w:val="-6"/>
        </w:rPr>
        <w:t>Sciences,</w:t>
      </w:r>
      <w:r>
        <w:rPr>
          <w:spacing w:val="-2"/>
        </w:rPr>
        <w:t> </w:t>
      </w:r>
      <w:r>
        <w:rPr>
          <w:spacing w:val="-6"/>
        </w:rPr>
        <w:t>JNU</w:t>
      </w:r>
    </w:p>
    <w:p>
      <w:pPr>
        <w:pStyle w:val="ListParagraph"/>
        <w:numPr>
          <w:ilvl w:val="0"/>
          <w:numId w:val="93"/>
        </w:numPr>
        <w:tabs>
          <w:tab w:pos="822" w:val="left" w:leader="none"/>
        </w:tabs>
        <w:spacing w:line="240" w:lineRule="auto" w:before="117" w:after="0"/>
        <w:ind w:left="822" w:right="0" w:hanging="359"/>
        <w:jc w:val="left"/>
        <w:rPr>
          <w:sz w:val="22"/>
        </w:rPr>
      </w:pPr>
      <w:r>
        <w:rPr>
          <w:spacing w:val="-2"/>
          <w:sz w:val="22"/>
        </w:rPr>
        <w:t>Mr.</w:t>
      </w:r>
      <w:r>
        <w:rPr>
          <w:spacing w:val="-8"/>
          <w:sz w:val="22"/>
        </w:rPr>
        <w:t> </w:t>
      </w:r>
      <w:r>
        <w:rPr>
          <w:spacing w:val="-2"/>
          <w:sz w:val="22"/>
        </w:rPr>
        <w:t>Kiran</w:t>
      </w:r>
      <w:r>
        <w:rPr>
          <w:spacing w:val="-8"/>
          <w:sz w:val="22"/>
        </w:rPr>
        <w:t> </w:t>
      </w:r>
      <w:r>
        <w:rPr>
          <w:spacing w:val="-2"/>
          <w:sz w:val="22"/>
        </w:rPr>
        <w:t>Karnik</w:t>
      </w:r>
    </w:p>
    <w:p>
      <w:pPr>
        <w:pStyle w:val="BodyText"/>
        <w:spacing w:before="27"/>
        <w:ind w:left="823"/>
      </w:pPr>
      <w:r>
        <w:rPr>
          <w:spacing w:val="-4"/>
        </w:rPr>
        <w:t>Former</w:t>
      </w:r>
      <w:r>
        <w:rPr>
          <w:spacing w:val="-3"/>
        </w:rPr>
        <w:t> </w:t>
      </w:r>
      <w:r>
        <w:rPr>
          <w:spacing w:val="-4"/>
        </w:rPr>
        <w:t>President,</w:t>
      </w:r>
      <w:r>
        <w:rPr>
          <w:spacing w:val="-2"/>
        </w:rPr>
        <w:t> </w:t>
      </w:r>
      <w:r>
        <w:rPr>
          <w:spacing w:val="-4"/>
        </w:rPr>
        <w:t>NASSCOM</w:t>
      </w:r>
    </w:p>
    <w:p>
      <w:pPr>
        <w:pStyle w:val="ListParagraph"/>
        <w:numPr>
          <w:ilvl w:val="0"/>
          <w:numId w:val="93"/>
        </w:numPr>
        <w:tabs>
          <w:tab w:pos="822" w:val="left" w:leader="none"/>
        </w:tabs>
        <w:spacing w:line="240" w:lineRule="auto" w:before="117" w:after="0"/>
        <w:ind w:left="822" w:right="0" w:hanging="359"/>
        <w:jc w:val="left"/>
        <w:rPr>
          <w:sz w:val="22"/>
        </w:rPr>
      </w:pPr>
      <w:r>
        <w:rPr>
          <w:spacing w:val="-6"/>
          <w:sz w:val="22"/>
        </w:rPr>
        <w:t>Prof.</w:t>
      </w:r>
      <w:r>
        <w:rPr>
          <w:spacing w:val="-8"/>
          <w:sz w:val="22"/>
        </w:rPr>
        <w:t> </w:t>
      </w:r>
      <w:r>
        <w:rPr>
          <w:spacing w:val="-6"/>
          <w:sz w:val="22"/>
        </w:rPr>
        <w:t>Sanjay</w:t>
      </w:r>
      <w:r>
        <w:rPr>
          <w:spacing w:val="-8"/>
          <w:sz w:val="22"/>
        </w:rPr>
        <w:t> </w:t>
      </w:r>
      <w:r>
        <w:rPr>
          <w:spacing w:val="-6"/>
          <w:sz w:val="22"/>
        </w:rPr>
        <w:t>Puri</w:t>
      </w:r>
    </w:p>
    <w:p>
      <w:pPr>
        <w:pStyle w:val="BodyText"/>
        <w:spacing w:before="27"/>
        <w:ind w:left="823"/>
      </w:pPr>
      <w:r>
        <w:rPr>
          <w:spacing w:val="-6"/>
        </w:rPr>
        <w:t>Dean,</w:t>
      </w:r>
      <w:r>
        <w:rPr>
          <w:spacing w:val="-2"/>
        </w:rPr>
        <w:t> </w:t>
      </w:r>
      <w:r>
        <w:rPr>
          <w:spacing w:val="-6"/>
        </w:rPr>
        <w:t>School</w:t>
      </w:r>
      <w:r>
        <w:rPr>
          <w:spacing w:val="-2"/>
        </w:rPr>
        <w:t> </w:t>
      </w:r>
      <w:r>
        <w:rPr>
          <w:spacing w:val="-6"/>
        </w:rPr>
        <w:t>of</w:t>
      </w:r>
      <w:r>
        <w:rPr>
          <w:spacing w:val="-1"/>
        </w:rPr>
        <w:t> </w:t>
      </w:r>
      <w:r>
        <w:rPr>
          <w:spacing w:val="-6"/>
        </w:rPr>
        <w:t>Physical</w:t>
      </w:r>
      <w:r>
        <w:rPr>
          <w:spacing w:val="-2"/>
        </w:rPr>
        <w:t> </w:t>
      </w:r>
      <w:r>
        <w:rPr>
          <w:spacing w:val="-6"/>
        </w:rPr>
        <w:t>Sciences,</w:t>
      </w:r>
      <w:r>
        <w:rPr>
          <w:spacing w:val="-1"/>
        </w:rPr>
        <w:t> </w:t>
      </w:r>
      <w:r>
        <w:rPr>
          <w:spacing w:val="-6"/>
        </w:rPr>
        <w:t>JNU</w:t>
      </w:r>
    </w:p>
    <w:p>
      <w:pPr>
        <w:pStyle w:val="ListParagraph"/>
        <w:numPr>
          <w:ilvl w:val="0"/>
          <w:numId w:val="93"/>
        </w:numPr>
        <w:tabs>
          <w:tab w:pos="822" w:val="left" w:leader="none"/>
        </w:tabs>
        <w:spacing w:line="240" w:lineRule="auto" w:before="117" w:after="0"/>
        <w:ind w:left="822" w:right="0" w:hanging="359"/>
        <w:jc w:val="left"/>
        <w:rPr>
          <w:sz w:val="22"/>
        </w:rPr>
      </w:pPr>
      <w:r>
        <w:rPr>
          <w:spacing w:val="-2"/>
          <w:sz w:val="22"/>
        </w:rPr>
        <w:t>Dr.</w:t>
      </w:r>
      <w:r>
        <w:rPr>
          <w:spacing w:val="-10"/>
          <w:sz w:val="22"/>
        </w:rPr>
        <w:t> </w:t>
      </w:r>
      <w:r>
        <w:rPr>
          <w:spacing w:val="-2"/>
          <w:sz w:val="22"/>
        </w:rPr>
        <w:t>S.K.</w:t>
      </w:r>
      <w:r>
        <w:rPr>
          <w:spacing w:val="-9"/>
          <w:sz w:val="22"/>
        </w:rPr>
        <w:t> </w:t>
      </w:r>
      <w:r>
        <w:rPr>
          <w:spacing w:val="-2"/>
          <w:sz w:val="22"/>
        </w:rPr>
        <w:t>Sikka</w:t>
      </w:r>
    </w:p>
    <w:p>
      <w:pPr>
        <w:pStyle w:val="BodyText"/>
        <w:spacing w:line="266" w:lineRule="auto" w:before="27"/>
        <w:ind w:left="823" w:right="1286"/>
      </w:pPr>
      <w:r>
        <w:rPr>
          <w:spacing w:val="-6"/>
        </w:rPr>
        <w:t>Scientific</w:t>
      </w:r>
      <w:r>
        <w:rPr>
          <w:spacing w:val="-8"/>
        </w:rPr>
        <w:t> </w:t>
      </w:r>
      <w:r>
        <w:rPr>
          <w:spacing w:val="-6"/>
        </w:rPr>
        <w:t>Secretary,</w:t>
      </w:r>
      <w:r>
        <w:rPr>
          <w:spacing w:val="-8"/>
        </w:rPr>
        <w:t> </w:t>
      </w:r>
      <w:r>
        <w:rPr>
          <w:spacing w:val="-6"/>
        </w:rPr>
        <w:t>Office</w:t>
      </w:r>
      <w:r>
        <w:rPr>
          <w:spacing w:val="-8"/>
        </w:rPr>
        <w:t> </w:t>
      </w:r>
      <w:r>
        <w:rPr>
          <w:spacing w:val="-6"/>
        </w:rPr>
        <w:t>of</w:t>
      </w:r>
      <w:r>
        <w:rPr>
          <w:spacing w:val="-7"/>
        </w:rPr>
        <w:t> </w:t>
      </w:r>
      <w:r>
        <w:rPr>
          <w:spacing w:val="-6"/>
        </w:rPr>
        <w:t>Principal</w:t>
      </w:r>
      <w:r>
        <w:rPr>
          <w:spacing w:val="-8"/>
        </w:rPr>
        <w:t> </w:t>
      </w:r>
      <w:r>
        <w:rPr>
          <w:spacing w:val="-6"/>
        </w:rPr>
        <w:t>Scientific </w:t>
      </w:r>
      <w:r>
        <w:rPr>
          <w:spacing w:val="-2"/>
        </w:rPr>
        <w:t>Adviser</w:t>
      </w:r>
    </w:p>
    <w:p>
      <w:pPr>
        <w:spacing w:after="0" w:line="266" w:lineRule="auto"/>
        <w:sectPr>
          <w:pgSz w:w="11910" w:h="16840"/>
          <w:pgMar w:header="0" w:footer="675" w:top="960" w:bottom="860" w:left="0" w:right="0"/>
          <w:cols w:num="2" w:equalWidth="0">
            <w:col w:w="5630" w:space="40"/>
            <w:col w:w="6240"/>
          </w:cols>
        </w:sectPr>
      </w:pPr>
    </w:p>
    <w:p>
      <w:pPr>
        <w:pStyle w:val="ListParagraph"/>
        <w:numPr>
          <w:ilvl w:val="0"/>
          <w:numId w:val="93"/>
        </w:numPr>
        <w:tabs>
          <w:tab w:pos="1439" w:val="left" w:leader="none"/>
        </w:tabs>
        <w:spacing w:line="240" w:lineRule="auto" w:before="57" w:after="0"/>
        <w:ind w:left="1439" w:right="0" w:hanging="359"/>
        <w:jc w:val="left"/>
        <w:rPr>
          <w:sz w:val="22"/>
        </w:rPr>
      </w:pPr>
      <w:r>
        <w:rPr>
          <w:spacing w:val="-2"/>
          <w:sz w:val="22"/>
        </w:rPr>
        <w:t>Prof.</w:t>
      </w:r>
      <w:r>
        <w:rPr>
          <w:spacing w:val="-12"/>
          <w:sz w:val="22"/>
        </w:rPr>
        <w:t> </w:t>
      </w:r>
      <w:r>
        <w:rPr>
          <w:spacing w:val="-2"/>
          <w:sz w:val="22"/>
        </w:rPr>
        <w:t>C.S.</w:t>
      </w:r>
      <w:r>
        <w:rPr>
          <w:spacing w:val="-11"/>
          <w:sz w:val="22"/>
        </w:rPr>
        <w:t> </w:t>
      </w:r>
      <w:r>
        <w:rPr>
          <w:spacing w:val="-2"/>
          <w:sz w:val="22"/>
        </w:rPr>
        <w:t>Seshadri</w:t>
      </w:r>
    </w:p>
    <w:p>
      <w:pPr>
        <w:pStyle w:val="BodyText"/>
        <w:spacing w:before="27"/>
        <w:ind w:left="1439"/>
      </w:pPr>
      <w:r>
        <w:rPr>
          <w:spacing w:val="-2"/>
        </w:rPr>
        <w:t>Director,</w:t>
      </w:r>
      <w:r>
        <w:rPr>
          <w:spacing w:val="-8"/>
        </w:rPr>
        <w:t> </w:t>
      </w:r>
      <w:r>
        <w:rPr>
          <w:spacing w:val="-2"/>
        </w:rPr>
        <w:t>Chennai</w:t>
      </w:r>
      <w:r>
        <w:rPr>
          <w:spacing w:val="-7"/>
        </w:rPr>
        <w:t> </w:t>
      </w:r>
      <w:r>
        <w:rPr>
          <w:spacing w:val="-2"/>
        </w:rPr>
        <w:t>Mathematical</w:t>
      </w:r>
      <w:r>
        <w:rPr>
          <w:spacing w:val="-7"/>
        </w:rPr>
        <w:t> </w:t>
      </w:r>
      <w:r>
        <w:rPr>
          <w:spacing w:val="-2"/>
        </w:rPr>
        <w:t>Institute</w:t>
      </w:r>
    </w:p>
    <w:p>
      <w:pPr>
        <w:pStyle w:val="ListParagraph"/>
        <w:numPr>
          <w:ilvl w:val="0"/>
          <w:numId w:val="93"/>
        </w:numPr>
        <w:tabs>
          <w:tab w:pos="1439" w:val="left" w:leader="none"/>
        </w:tabs>
        <w:spacing w:line="266" w:lineRule="auto" w:before="117" w:after="0"/>
        <w:ind w:left="1439" w:right="1862" w:hanging="360"/>
        <w:jc w:val="left"/>
        <w:rPr>
          <w:sz w:val="22"/>
        </w:rPr>
      </w:pPr>
      <w:r>
        <w:rPr>
          <w:sz w:val="22"/>
        </w:rPr>
        <w:t>Prof. N. Satyamurthy </w:t>
      </w:r>
      <w:r>
        <w:rPr>
          <w:spacing w:val="-4"/>
          <w:sz w:val="22"/>
        </w:rPr>
        <w:t>Director,</w:t>
      </w:r>
      <w:r>
        <w:rPr>
          <w:spacing w:val="-10"/>
          <w:sz w:val="22"/>
        </w:rPr>
        <w:t> </w:t>
      </w:r>
      <w:r>
        <w:rPr>
          <w:spacing w:val="-4"/>
          <w:sz w:val="22"/>
        </w:rPr>
        <w:t>IISER,</w:t>
      </w:r>
      <w:r>
        <w:rPr>
          <w:spacing w:val="-10"/>
          <w:sz w:val="22"/>
        </w:rPr>
        <w:t> </w:t>
      </w:r>
      <w:r>
        <w:rPr>
          <w:spacing w:val="-4"/>
          <w:sz w:val="22"/>
        </w:rPr>
        <w:t>Mohali</w:t>
      </w:r>
    </w:p>
    <w:p>
      <w:pPr>
        <w:pStyle w:val="ListParagraph"/>
        <w:numPr>
          <w:ilvl w:val="0"/>
          <w:numId w:val="93"/>
        </w:numPr>
        <w:tabs>
          <w:tab w:pos="1439" w:val="left" w:leader="none"/>
        </w:tabs>
        <w:spacing w:line="266" w:lineRule="auto" w:before="89" w:after="0"/>
        <w:ind w:left="1439" w:right="2355" w:hanging="360"/>
        <w:jc w:val="left"/>
        <w:rPr>
          <w:sz w:val="22"/>
        </w:rPr>
      </w:pPr>
      <w:r>
        <w:rPr>
          <w:spacing w:val="-6"/>
          <w:sz w:val="22"/>
        </w:rPr>
        <w:t>Mr.</w:t>
      </w:r>
      <w:r>
        <w:rPr>
          <w:spacing w:val="-8"/>
          <w:sz w:val="22"/>
        </w:rPr>
        <w:t> </w:t>
      </w:r>
      <w:r>
        <w:rPr>
          <w:spacing w:val="-6"/>
          <w:sz w:val="22"/>
        </w:rPr>
        <w:t>Ramesh</w:t>
      </w:r>
      <w:r>
        <w:rPr>
          <w:spacing w:val="-8"/>
          <w:sz w:val="22"/>
        </w:rPr>
        <w:t> </w:t>
      </w:r>
      <w:r>
        <w:rPr>
          <w:spacing w:val="-6"/>
          <w:sz w:val="22"/>
        </w:rPr>
        <w:t>Panse </w:t>
      </w:r>
      <w:r>
        <w:rPr>
          <w:sz w:val="22"/>
        </w:rPr>
        <w:t>Member, MKCL</w:t>
      </w:r>
    </w:p>
    <w:p>
      <w:pPr>
        <w:pStyle w:val="ListParagraph"/>
        <w:numPr>
          <w:ilvl w:val="0"/>
          <w:numId w:val="93"/>
        </w:numPr>
        <w:tabs>
          <w:tab w:pos="1439" w:val="left" w:leader="none"/>
        </w:tabs>
        <w:spacing w:line="240" w:lineRule="auto" w:before="88" w:after="0"/>
        <w:ind w:left="1439" w:right="0" w:hanging="359"/>
        <w:jc w:val="left"/>
        <w:rPr>
          <w:sz w:val="22"/>
        </w:rPr>
      </w:pPr>
      <w:r>
        <w:rPr>
          <w:sz w:val="22"/>
        </w:rPr>
        <w:t>Dr.</w:t>
      </w:r>
      <w:r>
        <w:rPr>
          <w:spacing w:val="-8"/>
          <w:sz w:val="22"/>
        </w:rPr>
        <w:t> </w:t>
      </w:r>
      <w:r>
        <w:rPr>
          <w:sz w:val="22"/>
        </w:rPr>
        <w:t>M.K.</w:t>
      </w:r>
      <w:r>
        <w:rPr>
          <w:spacing w:val="-7"/>
          <w:sz w:val="22"/>
        </w:rPr>
        <w:t> </w:t>
      </w:r>
      <w:r>
        <w:rPr>
          <w:spacing w:val="-2"/>
          <w:sz w:val="22"/>
        </w:rPr>
        <w:t>Mishra</w:t>
      </w:r>
    </w:p>
    <w:p>
      <w:pPr>
        <w:pStyle w:val="BodyText"/>
        <w:spacing w:before="27"/>
        <w:ind w:left="1439"/>
      </w:pPr>
      <w:r>
        <w:rPr>
          <w:spacing w:val="-8"/>
        </w:rPr>
        <w:t>Orissa</w:t>
      </w:r>
      <w:r>
        <w:rPr>
          <w:spacing w:val="2"/>
        </w:rPr>
        <w:t> </w:t>
      </w:r>
      <w:r>
        <w:rPr>
          <w:spacing w:val="-8"/>
        </w:rPr>
        <w:t>Sahitya</w:t>
      </w:r>
      <w:r>
        <w:rPr>
          <w:spacing w:val="2"/>
        </w:rPr>
        <w:t> </w:t>
      </w:r>
      <w:r>
        <w:rPr>
          <w:spacing w:val="-8"/>
        </w:rPr>
        <w:t>Academy,</w:t>
      </w:r>
      <w:r>
        <w:rPr>
          <w:spacing w:val="2"/>
        </w:rPr>
        <w:t> </w:t>
      </w:r>
      <w:r>
        <w:rPr>
          <w:spacing w:val="-8"/>
        </w:rPr>
        <w:t>Bhubaneswar</w:t>
      </w:r>
    </w:p>
    <w:p>
      <w:pPr>
        <w:pStyle w:val="ListParagraph"/>
        <w:numPr>
          <w:ilvl w:val="0"/>
          <w:numId w:val="93"/>
        </w:numPr>
        <w:tabs>
          <w:tab w:pos="1439" w:val="left" w:leader="none"/>
        </w:tabs>
        <w:spacing w:line="266" w:lineRule="auto" w:before="117" w:after="0"/>
        <w:ind w:left="1439" w:right="2078" w:hanging="360"/>
        <w:jc w:val="left"/>
        <w:rPr>
          <w:sz w:val="22"/>
        </w:rPr>
      </w:pPr>
      <w:r>
        <w:rPr>
          <w:spacing w:val="-8"/>
          <w:sz w:val="22"/>
        </w:rPr>
        <w:t>Mr.</w:t>
      </w:r>
      <w:r>
        <w:rPr>
          <w:spacing w:val="-6"/>
          <w:sz w:val="22"/>
        </w:rPr>
        <w:t> </w:t>
      </w:r>
      <w:r>
        <w:rPr>
          <w:spacing w:val="-8"/>
          <w:sz w:val="22"/>
        </w:rPr>
        <w:t>Venkatesh</w:t>
      </w:r>
      <w:r>
        <w:rPr>
          <w:spacing w:val="-6"/>
          <w:sz w:val="22"/>
        </w:rPr>
        <w:t> </w:t>
      </w:r>
      <w:r>
        <w:rPr>
          <w:spacing w:val="-8"/>
          <w:sz w:val="22"/>
        </w:rPr>
        <w:t>Valluri </w:t>
      </w:r>
      <w:r>
        <w:rPr>
          <w:spacing w:val="-4"/>
          <w:sz w:val="22"/>
        </w:rPr>
        <w:t>Agilent</w:t>
      </w:r>
      <w:r>
        <w:rPr>
          <w:spacing w:val="-9"/>
          <w:sz w:val="22"/>
        </w:rPr>
        <w:t> </w:t>
      </w:r>
      <w:r>
        <w:rPr>
          <w:spacing w:val="-4"/>
          <w:sz w:val="22"/>
        </w:rPr>
        <w:t>Technologies</w:t>
      </w:r>
    </w:p>
    <w:p>
      <w:pPr>
        <w:pStyle w:val="ListParagraph"/>
        <w:numPr>
          <w:ilvl w:val="0"/>
          <w:numId w:val="93"/>
        </w:numPr>
        <w:tabs>
          <w:tab w:pos="1439" w:val="left" w:leader="none"/>
        </w:tabs>
        <w:spacing w:line="240" w:lineRule="auto" w:before="89" w:after="0"/>
        <w:ind w:left="1439" w:right="0" w:hanging="359"/>
        <w:jc w:val="left"/>
        <w:rPr>
          <w:sz w:val="22"/>
        </w:rPr>
      </w:pPr>
      <w:r>
        <w:rPr>
          <w:spacing w:val="-10"/>
          <w:sz w:val="22"/>
        </w:rPr>
        <w:t>Mr.</w:t>
      </w:r>
      <w:r>
        <w:rPr>
          <w:spacing w:val="-1"/>
          <w:sz w:val="22"/>
        </w:rPr>
        <w:t> </w:t>
      </w:r>
      <w:r>
        <w:rPr>
          <w:spacing w:val="-10"/>
          <w:sz w:val="22"/>
        </w:rPr>
        <w:t>P.S.</w:t>
      </w:r>
      <w:r>
        <w:rPr>
          <w:sz w:val="22"/>
        </w:rPr>
        <w:t> </w:t>
      </w:r>
      <w:r>
        <w:rPr>
          <w:spacing w:val="-10"/>
          <w:sz w:val="22"/>
        </w:rPr>
        <w:t>Deodhar</w:t>
      </w:r>
    </w:p>
    <w:p>
      <w:pPr>
        <w:pStyle w:val="BodyText"/>
        <w:spacing w:before="27"/>
        <w:ind w:left="1439"/>
      </w:pPr>
      <w:r>
        <w:rPr>
          <w:spacing w:val="-6"/>
        </w:rPr>
        <w:t>Executive Chairman,</w:t>
      </w:r>
      <w:r>
        <w:rPr>
          <w:spacing w:val="-5"/>
        </w:rPr>
        <w:t> </w:t>
      </w:r>
      <w:r>
        <w:rPr>
          <w:spacing w:val="-6"/>
        </w:rPr>
        <w:t>APLAB</w:t>
      </w:r>
      <w:r>
        <w:rPr>
          <w:spacing w:val="-5"/>
        </w:rPr>
        <w:t> </w:t>
      </w:r>
      <w:r>
        <w:rPr>
          <w:spacing w:val="-6"/>
        </w:rPr>
        <w:t>Limited</w:t>
      </w:r>
    </w:p>
    <w:p>
      <w:pPr>
        <w:pStyle w:val="ListParagraph"/>
        <w:numPr>
          <w:ilvl w:val="0"/>
          <w:numId w:val="93"/>
        </w:numPr>
        <w:tabs>
          <w:tab w:pos="1439" w:val="left" w:leader="none"/>
        </w:tabs>
        <w:spacing w:line="240" w:lineRule="auto" w:before="117" w:after="0"/>
        <w:ind w:left="1439" w:right="0" w:hanging="359"/>
        <w:jc w:val="left"/>
        <w:rPr>
          <w:sz w:val="22"/>
        </w:rPr>
      </w:pPr>
      <w:r>
        <w:rPr>
          <w:spacing w:val="-4"/>
          <w:sz w:val="22"/>
        </w:rPr>
        <w:t>Dr.</w:t>
      </w:r>
      <w:r>
        <w:rPr>
          <w:spacing w:val="-2"/>
          <w:sz w:val="22"/>
        </w:rPr>
        <w:t> </w:t>
      </w:r>
      <w:r>
        <w:rPr>
          <w:spacing w:val="-4"/>
          <w:sz w:val="22"/>
        </w:rPr>
        <w:t>Achyutananda</w:t>
      </w:r>
      <w:r>
        <w:rPr>
          <w:spacing w:val="-2"/>
          <w:sz w:val="22"/>
        </w:rPr>
        <w:t> </w:t>
      </w:r>
      <w:r>
        <w:rPr>
          <w:spacing w:val="-4"/>
          <w:sz w:val="22"/>
        </w:rPr>
        <w:t>Samanta</w:t>
      </w:r>
    </w:p>
    <w:p>
      <w:pPr>
        <w:pStyle w:val="BodyText"/>
        <w:spacing w:before="27"/>
        <w:ind w:left="1439"/>
      </w:pPr>
      <w:r>
        <w:rPr>
          <w:spacing w:val="-4"/>
        </w:rPr>
        <w:t>Vice</w:t>
      </w:r>
      <w:r>
        <w:rPr>
          <w:spacing w:val="-6"/>
        </w:rPr>
        <w:t> </w:t>
      </w:r>
      <w:r>
        <w:rPr>
          <w:spacing w:val="-4"/>
        </w:rPr>
        <w:t>Chancellor,</w:t>
      </w:r>
      <w:r>
        <w:rPr>
          <w:spacing w:val="-5"/>
        </w:rPr>
        <w:t> </w:t>
      </w:r>
      <w:r>
        <w:rPr>
          <w:spacing w:val="-4"/>
        </w:rPr>
        <w:t>KIIT</w:t>
      </w:r>
      <w:r>
        <w:rPr>
          <w:spacing w:val="-6"/>
        </w:rPr>
        <w:t> </w:t>
      </w:r>
      <w:r>
        <w:rPr>
          <w:spacing w:val="-4"/>
        </w:rPr>
        <w:t>University</w:t>
      </w:r>
    </w:p>
    <w:p>
      <w:pPr>
        <w:pStyle w:val="BodyText"/>
        <w:spacing w:before="130"/>
      </w:pPr>
    </w:p>
    <w:p>
      <w:pPr>
        <w:pStyle w:val="Heading6"/>
        <w:ind w:left="1080" w:firstLine="0"/>
      </w:pPr>
      <w:r>
        <w:rPr>
          <w:color w:val="2E614A"/>
          <w:spacing w:val="-12"/>
        </w:rPr>
        <w:t>More</w:t>
      </w:r>
      <w:r>
        <w:rPr>
          <w:color w:val="2E614A"/>
          <w:spacing w:val="-3"/>
        </w:rPr>
        <w:t> </w:t>
      </w:r>
      <w:r>
        <w:rPr>
          <w:color w:val="2E614A"/>
          <w:spacing w:val="-12"/>
        </w:rPr>
        <w:t>Quality</w:t>
      </w:r>
      <w:r>
        <w:rPr>
          <w:color w:val="2E614A"/>
          <w:spacing w:val="-2"/>
        </w:rPr>
        <w:t> </w:t>
      </w:r>
      <w:r>
        <w:rPr>
          <w:color w:val="2E614A"/>
          <w:spacing w:val="-12"/>
        </w:rPr>
        <w:t>Ph.Ds</w:t>
      </w:r>
    </w:p>
    <w:p>
      <w:pPr>
        <w:pStyle w:val="ListParagraph"/>
        <w:numPr>
          <w:ilvl w:val="0"/>
          <w:numId w:val="94"/>
        </w:numPr>
        <w:tabs>
          <w:tab w:pos="1439" w:val="left" w:leader="none"/>
        </w:tabs>
        <w:spacing w:line="266" w:lineRule="auto" w:before="286" w:after="0"/>
        <w:ind w:left="1439" w:right="1257" w:hanging="360"/>
        <w:jc w:val="left"/>
        <w:rPr>
          <w:sz w:val="22"/>
        </w:rPr>
      </w:pPr>
      <w:r>
        <w:rPr>
          <w:sz w:val="22"/>
        </w:rPr>
        <w:t>Dr. K.V. Subramaniam </w:t>
      </w:r>
      <w:r>
        <w:rPr>
          <w:spacing w:val="-6"/>
          <w:sz w:val="22"/>
        </w:rPr>
        <w:t>Director,</w:t>
      </w:r>
      <w:r>
        <w:rPr>
          <w:spacing w:val="-8"/>
          <w:sz w:val="22"/>
        </w:rPr>
        <w:t> </w:t>
      </w:r>
      <w:r>
        <w:rPr>
          <w:spacing w:val="-6"/>
          <w:sz w:val="22"/>
        </w:rPr>
        <w:t>Reliance</w:t>
      </w:r>
      <w:r>
        <w:rPr>
          <w:spacing w:val="-8"/>
          <w:sz w:val="22"/>
        </w:rPr>
        <w:t> </w:t>
      </w:r>
      <w:r>
        <w:rPr>
          <w:spacing w:val="-6"/>
          <w:sz w:val="22"/>
        </w:rPr>
        <w:t>Life</w:t>
      </w:r>
      <w:r>
        <w:rPr>
          <w:spacing w:val="-8"/>
          <w:sz w:val="22"/>
        </w:rPr>
        <w:t> </w:t>
      </w:r>
      <w:r>
        <w:rPr>
          <w:spacing w:val="-6"/>
          <w:sz w:val="22"/>
        </w:rPr>
        <w:t>Sciences</w:t>
      </w:r>
    </w:p>
    <w:p>
      <w:pPr>
        <w:pStyle w:val="ListParagraph"/>
        <w:numPr>
          <w:ilvl w:val="0"/>
          <w:numId w:val="94"/>
        </w:numPr>
        <w:tabs>
          <w:tab w:pos="1439" w:val="left" w:leader="none"/>
        </w:tabs>
        <w:spacing w:line="240" w:lineRule="auto" w:before="88" w:after="0"/>
        <w:ind w:left="1439" w:right="0" w:hanging="359"/>
        <w:jc w:val="left"/>
        <w:rPr>
          <w:sz w:val="22"/>
        </w:rPr>
      </w:pPr>
      <w:r>
        <w:rPr>
          <w:spacing w:val="-8"/>
          <w:sz w:val="22"/>
        </w:rPr>
        <w:t>Mr.</w:t>
      </w:r>
      <w:r>
        <w:rPr>
          <w:spacing w:val="2"/>
          <w:sz w:val="22"/>
        </w:rPr>
        <w:t> </w:t>
      </w:r>
      <w:r>
        <w:rPr>
          <w:spacing w:val="-8"/>
          <w:sz w:val="22"/>
        </w:rPr>
        <w:t>Venkatesh</w:t>
      </w:r>
      <w:r>
        <w:rPr>
          <w:spacing w:val="3"/>
          <w:sz w:val="22"/>
        </w:rPr>
        <w:t> </w:t>
      </w:r>
      <w:r>
        <w:rPr>
          <w:spacing w:val="-8"/>
          <w:sz w:val="22"/>
        </w:rPr>
        <w:t>Vallury</w:t>
      </w:r>
    </w:p>
    <w:p>
      <w:pPr>
        <w:pStyle w:val="BodyText"/>
        <w:spacing w:before="27"/>
        <w:ind w:left="1439"/>
      </w:pPr>
      <w:r>
        <w:rPr>
          <w:spacing w:val="-6"/>
        </w:rPr>
        <w:t>Managing</w:t>
      </w:r>
      <w:r>
        <w:rPr>
          <w:spacing w:val="9"/>
        </w:rPr>
        <w:t> </w:t>
      </w:r>
      <w:r>
        <w:rPr>
          <w:spacing w:val="-6"/>
        </w:rPr>
        <w:t>Director,</w:t>
      </w:r>
      <w:r>
        <w:rPr>
          <w:spacing w:val="9"/>
        </w:rPr>
        <w:t> </w:t>
      </w:r>
      <w:r>
        <w:rPr>
          <w:spacing w:val="-6"/>
        </w:rPr>
        <w:t>Agilent</w:t>
      </w:r>
      <w:r>
        <w:rPr>
          <w:spacing w:val="-2"/>
        </w:rPr>
        <w:t> </w:t>
      </w:r>
      <w:r>
        <w:rPr>
          <w:spacing w:val="-6"/>
        </w:rPr>
        <w:t>Technologies</w:t>
      </w:r>
    </w:p>
    <w:p>
      <w:pPr>
        <w:pStyle w:val="ListParagraph"/>
        <w:numPr>
          <w:ilvl w:val="0"/>
          <w:numId w:val="94"/>
        </w:numPr>
        <w:tabs>
          <w:tab w:pos="1439" w:val="left" w:leader="none"/>
        </w:tabs>
        <w:spacing w:line="240" w:lineRule="auto" w:before="117" w:after="0"/>
        <w:ind w:left="1439" w:right="0" w:hanging="359"/>
        <w:jc w:val="left"/>
        <w:rPr>
          <w:sz w:val="22"/>
        </w:rPr>
      </w:pPr>
      <w:r>
        <w:rPr>
          <w:spacing w:val="-4"/>
          <w:sz w:val="22"/>
        </w:rPr>
        <w:t>Dr.</w:t>
      </w:r>
      <w:r>
        <w:rPr>
          <w:spacing w:val="-3"/>
          <w:sz w:val="22"/>
        </w:rPr>
        <w:t> </w:t>
      </w:r>
      <w:r>
        <w:rPr>
          <w:spacing w:val="-4"/>
          <w:sz w:val="22"/>
        </w:rPr>
        <w:t>Shilpa</w:t>
      </w:r>
      <w:r>
        <w:rPr>
          <w:spacing w:val="-7"/>
          <w:sz w:val="22"/>
        </w:rPr>
        <w:t> </w:t>
      </w:r>
      <w:r>
        <w:rPr>
          <w:spacing w:val="-4"/>
          <w:sz w:val="22"/>
        </w:rPr>
        <w:t>Vora</w:t>
      </w:r>
    </w:p>
    <w:p>
      <w:pPr>
        <w:pStyle w:val="BodyText"/>
        <w:spacing w:before="27"/>
        <w:ind w:left="1439"/>
      </w:pPr>
      <w:r>
        <w:rPr>
          <w:spacing w:val="-6"/>
        </w:rPr>
        <w:t>Principal</w:t>
      </w:r>
      <w:r>
        <w:rPr>
          <w:spacing w:val="4"/>
        </w:rPr>
        <w:t> </w:t>
      </w:r>
      <w:r>
        <w:rPr>
          <w:spacing w:val="-6"/>
        </w:rPr>
        <w:t>Research</w:t>
      </w:r>
      <w:r>
        <w:rPr>
          <w:spacing w:val="5"/>
        </w:rPr>
        <w:t> </w:t>
      </w:r>
      <w:r>
        <w:rPr>
          <w:spacing w:val="-6"/>
        </w:rPr>
        <w:t>Scientist,</w:t>
      </w:r>
      <w:r>
        <w:rPr>
          <w:spacing w:val="4"/>
        </w:rPr>
        <w:t> </w:t>
      </w:r>
      <w:r>
        <w:rPr>
          <w:spacing w:val="-6"/>
        </w:rPr>
        <w:t>HLRC</w:t>
      </w:r>
    </w:p>
    <w:p>
      <w:pPr>
        <w:pStyle w:val="ListParagraph"/>
        <w:numPr>
          <w:ilvl w:val="0"/>
          <w:numId w:val="94"/>
        </w:numPr>
        <w:tabs>
          <w:tab w:pos="1439" w:val="left" w:leader="none"/>
        </w:tabs>
        <w:spacing w:line="240" w:lineRule="auto" w:before="117" w:after="0"/>
        <w:ind w:left="1439" w:right="0" w:hanging="359"/>
        <w:jc w:val="left"/>
        <w:rPr>
          <w:sz w:val="22"/>
        </w:rPr>
      </w:pPr>
      <w:r>
        <w:rPr>
          <w:w w:val="90"/>
          <w:sz w:val="22"/>
        </w:rPr>
        <w:t>Ms.</w:t>
      </w:r>
      <w:r>
        <w:rPr>
          <w:spacing w:val="-4"/>
          <w:sz w:val="22"/>
        </w:rPr>
        <w:t> </w:t>
      </w:r>
      <w:r>
        <w:rPr>
          <w:w w:val="90"/>
          <w:sz w:val="22"/>
        </w:rPr>
        <w:t>Valsa</w:t>
      </w:r>
      <w:r>
        <w:rPr>
          <w:spacing w:val="-3"/>
          <w:sz w:val="22"/>
        </w:rPr>
        <w:t> </w:t>
      </w:r>
      <w:r>
        <w:rPr>
          <w:spacing w:val="-2"/>
          <w:w w:val="90"/>
          <w:sz w:val="22"/>
        </w:rPr>
        <w:t>Williams</w:t>
      </w:r>
    </w:p>
    <w:p>
      <w:pPr>
        <w:pStyle w:val="BodyText"/>
        <w:spacing w:before="27"/>
        <w:ind w:left="1439"/>
      </w:pPr>
      <w:r>
        <w:rPr>
          <w:spacing w:val="-4"/>
        </w:rPr>
        <w:t>Intel</w:t>
      </w:r>
      <w:r>
        <w:rPr>
          <w:spacing w:val="-10"/>
        </w:rPr>
        <w:t> </w:t>
      </w:r>
      <w:r>
        <w:rPr>
          <w:spacing w:val="-4"/>
        </w:rPr>
        <w:t>Technology</w:t>
      </w:r>
      <w:r>
        <w:rPr>
          <w:spacing w:val="-3"/>
        </w:rPr>
        <w:t> </w:t>
      </w:r>
      <w:r>
        <w:rPr>
          <w:spacing w:val="-4"/>
        </w:rPr>
        <w:t>India</w:t>
      </w:r>
      <w:r>
        <w:rPr>
          <w:spacing w:val="-1"/>
        </w:rPr>
        <w:t> </w:t>
      </w:r>
      <w:r>
        <w:rPr>
          <w:spacing w:val="-4"/>
        </w:rPr>
        <w:t>Pvt.</w:t>
      </w:r>
      <w:r>
        <w:rPr>
          <w:spacing w:val="-1"/>
        </w:rPr>
        <w:t> </w:t>
      </w:r>
      <w:r>
        <w:rPr>
          <w:spacing w:val="-4"/>
        </w:rPr>
        <w:t>Ltd.</w:t>
      </w:r>
    </w:p>
    <w:p>
      <w:pPr>
        <w:pStyle w:val="ListParagraph"/>
        <w:numPr>
          <w:ilvl w:val="0"/>
          <w:numId w:val="94"/>
        </w:numPr>
        <w:tabs>
          <w:tab w:pos="1439" w:val="left" w:leader="none"/>
        </w:tabs>
        <w:spacing w:line="266" w:lineRule="auto" w:before="117" w:after="0"/>
        <w:ind w:left="1439" w:right="1075" w:hanging="360"/>
        <w:jc w:val="left"/>
        <w:rPr>
          <w:sz w:val="22"/>
        </w:rPr>
      </w:pPr>
      <w:r>
        <w:rPr>
          <w:sz w:val="22"/>
        </w:rPr>
        <w:t>Dr. Sandhya Chintala, Director </w:t>
      </w:r>
      <w:r>
        <w:rPr>
          <w:spacing w:val="-2"/>
          <w:sz w:val="22"/>
        </w:rPr>
        <w:t>Education</w:t>
      </w:r>
      <w:r>
        <w:rPr>
          <w:spacing w:val="-12"/>
          <w:sz w:val="22"/>
        </w:rPr>
        <w:t> </w:t>
      </w:r>
      <w:r>
        <w:rPr>
          <w:spacing w:val="-2"/>
          <w:sz w:val="22"/>
        </w:rPr>
        <w:t>Initiative,</w:t>
      </w:r>
      <w:r>
        <w:rPr>
          <w:spacing w:val="-12"/>
          <w:sz w:val="22"/>
        </w:rPr>
        <w:t> </w:t>
      </w:r>
      <w:r>
        <w:rPr>
          <w:spacing w:val="-2"/>
          <w:sz w:val="22"/>
        </w:rPr>
        <w:t>NASSCOM</w:t>
      </w:r>
    </w:p>
    <w:p>
      <w:pPr>
        <w:pStyle w:val="ListParagraph"/>
        <w:numPr>
          <w:ilvl w:val="0"/>
          <w:numId w:val="94"/>
        </w:numPr>
        <w:tabs>
          <w:tab w:pos="1439" w:val="left" w:leader="none"/>
        </w:tabs>
        <w:spacing w:line="240" w:lineRule="auto" w:before="89" w:after="0"/>
        <w:ind w:left="1439" w:right="0" w:hanging="359"/>
        <w:jc w:val="left"/>
        <w:rPr>
          <w:sz w:val="22"/>
        </w:rPr>
      </w:pPr>
      <w:r>
        <w:rPr>
          <w:spacing w:val="-8"/>
          <w:sz w:val="22"/>
        </w:rPr>
        <w:t>Dr.</w:t>
      </w:r>
      <w:r>
        <w:rPr>
          <w:spacing w:val="2"/>
          <w:sz w:val="22"/>
        </w:rPr>
        <w:t> </w:t>
      </w:r>
      <w:r>
        <w:rPr>
          <w:spacing w:val="-8"/>
          <w:sz w:val="22"/>
        </w:rPr>
        <w:t>Vidyasagar,</w:t>
      </w:r>
      <w:r>
        <w:rPr>
          <w:spacing w:val="8"/>
          <w:sz w:val="22"/>
        </w:rPr>
        <w:t> </w:t>
      </w:r>
      <w:r>
        <w:rPr>
          <w:spacing w:val="-8"/>
          <w:sz w:val="22"/>
        </w:rPr>
        <w:t>Executive</w:t>
      </w:r>
      <w:r>
        <w:rPr>
          <w:spacing w:val="3"/>
          <w:sz w:val="22"/>
        </w:rPr>
        <w:t> </w:t>
      </w:r>
      <w:r>
        <w:rPr>
          <w:spacing w:val="-8"/>
          <w:sz w:val="22"/>
        </w:rPr>
        <w:t>Vice</w:t>
      </w:r>
      <w:r>
        <w:rPr>
          <w:spacing w:val="7"/>
          <w:sz w:val="22"/>
        </w:rPr>
        <w:t> </w:t>
      </w:r>
      <w:r>
        <w:rPr>
          <w:spacing w:val="-8"/>
          <w:sz w:val="22"/>
        </w:rPr>
        <w:t>President,</w:t>
      </w:r>
      <w:r>
        <w:rPr>
          <w:spacing w:val="-4"/>
          <w:sz w:val="22"/>
        </w:rPr>
        <w:t> </w:t>
      </w:r>
      <w:r>
        <w:rPr>
          <w:spacing w:val="-8"/>
          <w:sz w:val="22"/>
        </w:rPr>
        <w:t>TCS</w:t>
      </w:r>
    </w:p>
    <w:p>
      <w:pPr>
        <w:pStyle w:val="ListParagraph"/>
        <w:numPr>
          <w:ilvl w:val="0"/>
          <w:numId w:val="94"/>
        </w:numPr>
        <w:tabs>
          <w:tab w:pos="1439" w:val="left" w:leader="none"/>
        </w:tabs>
        <w:spacing w:line="266" w:lineRule="auto" w:before="117" w:after="0"/>
        <w:ind w:left="1439" w:right="389" w:hanging="360"/>
        <w:jc w:val="left"/>
        <w:rPr>
          <w:sz w:val="22"/>
        </w:rPr>
      </w:pPr>
      <w:r>
        <w:rPr>
          <w:spacing w:val="-4"/>
          <w:sz w:val="22"/>
        </w:rPr>
        <w:t>Dr.</w:t>
      </w:r>
      <w:r>
        <w:rPr>
          <w:spacing w:val="-10"/>
          <w:sz w:val="22"/>
        </w:rPr>
        <w:t> </w:t>
      </w:r>
      <w:r>
        <w:rPr>
          <w:spacing w:val="-4"/>
          <w:sz w:val="22"/>
        </w:rPr>
        <w:t>Meenu</w:t>
      </w:r>
      <w:r>
        <w:rPr>
          <w:spacing w:val="-10"/>
          <w:sz w:val="22"/>
        </w:rPr>
        <w:t> </w:t>
      </w:r>
      <w:r>
        <w:rPr>
          <w:spacing w:val="-4"/>
          <w:sz w:val="22"/>
        </w:rPr>
        <w:t>Singh,</w:t>
      </w:r>
      <w:r>
        <w:rPr>
          <w:spacing w:val="-10"/>
          <w:sz w:val="22"/>
        </w:rPr>
        <w:t> </w:t>
      </w:r>
      <w:r>
        <w:rPr>
          <w:spacing w:val="-4"/>
          <w:sz w:val="22"/>
        </w:rPr>
        <w:t>Additional</w:t>
      </w:r>
      <w:r>
        <w:rPr>
          <w:spacing w:val="-9"/>
          <w:sz w:val="22"/>
        </w:rPr>
        <w:t> </w:t>
      </w:r>
      <w:r>
        <w:rPr>
          <w:spacing w:val="-4"/>
          <w:sz w:val="22"/>
        </w:rPr>
        <w:t>Professor</w:t>
      </w:r>
      <w:r>
        <w:rPr>
          <w:spacing w:val="-10"/>
          <w:sz w:val="22"/>
        </w:rPr>
        <w:t> </w:t>
      </w:r>
      <w:r>
        <w:rPr>
          <w:spacing w:val="-4"/>
          <w:sz w:val="22"/>
        </w:rPr>
        <w:t>of </w:t>
      </w:r>
      <w:r>
        <w:rPr>
          <w:sz w:val="22"/>
        </w:rPr>
        <w:t>Paediatrics, PGIMER, Chandigarh</w:t>
      </w:r>
    </w:p>
    <w:p>
      <w:pPr>
        <w:pStyle w:val="ListParagraph"/>
        <w:numPr>
          <w:ilvl w:val="0"/>
          <w:numId w:val="94"/>
        </w:numPr>
        <w:tabs>
          <w:tab w:pos="1439" w:val="left" w:leader="none"/>
        </w:tabs>
        <w:spacing w:line="240" w:lineRule="auto" w:before="88" w:after="0"/>
        <w:ind w:left="1439" w:right="0" w:hanging="359"/>
        <w:jc w:val="left"/>
        <w:rPr>
          <w:sz w:val="22"/>
        </w:rPr>
      </w:pPr>
      <w:r>
        <w:rPr>
          <w:spacing w:val="-4"/>
          <w:sz w:val="22"/>
        </w:rPr>
        <w:t>Dr.</w:t>
      </w:r>
      <w:r>
        <w:rPr>
          <w:spacing w:val="-3"/>
          <w:sz w:val="22"/>
        </w:rPr>
        <w:t> </w:t>
      </w:r>
      <w:r>
        <w:rPr>
          <w:spacing w:val="-4"/>
          <w:sz w:val="22"/>
        </w:rPr>
        <w:t>Bala</w:t>
      </w:r>
      <w:r>
        <w:rPr>
          <w:spacing w:val="-3"/>
          <w:sz w:val="22"/>
        </w:rPr>
        <w:t> </w:t>
      </w:r>
      <w:r>
        <w:rPr>
          <w:spacing w:val="-4"/>
          <w:sz w:val="22"/>
        </w:rPr>
        <w:t>Subramanian,</w:t>
      </w:r>
      <w:r>
        <w:rPr>
          <w:spacing w:val="-2"/>
          <w:sz w:val="22"/>
        </w:rPr>
        <w:t> </w:t>
      </w:r>
      <w:r>
        <w:rPr>
          <w:spacing w:val="-4"/>
          <w:sz w:val="22"/>
        </w:rPr>
        <w:t>Director,</w:t>
      </w:r>
      <w:r>
        <w:rPr>
          <w:spacing w:val="-3"/>
          <w:sz w:val="22"/>
        </w:rPr>
        <w:t> </w:t>
      </w:r>
      <w:r>
        <w:rPr>
          <w:spacing w:val="-4"/>
          <w:sz w:val="22"/>
        </w:rPr>
        <w:t>LVPEI</w:t>
      </w:r>
    </w:p>
    <w:p>
      <w:pPr>
        <w:pStyle w:val="ListParagraph"/>
        <w:numPr>
          <w:ilvl w:val="0"/>
          <w:numId w:val="94"/>
        </w:numPr>
        <w:tabs>
          <w:tab w:pos="1439" w:val="left" w:leader="none"/>
        </w:tabs>
        <w:spacing w:line="240" w:lineRule="auto" w:before="117" w:after="0"/>
        <w:ind w:left="1439" w:right="0" w:hanging="359"/>
        <w:jc w:val="left"/>
        <w:rPr>
          <w:sz w:val="22"/>
        </w:rPr>
      </w:pPr>
      <w:r>
        <w:rPr>
          <w:spacing w:val="-8"/>
          <w:sz w:val="22"/>
        </w:rPr>
        <w:t>Dr.</w:t>
      </w:r>
      <w:r>
        <w:rPr>
          <w:sz w:val="22"/>
        </w:rPr>
        <w:t> </w:t>
      </w:r>
      <w:r>
        <w:rPr>
          <w:spacing w:val="-8"/>
          <w:sz w:val="22"/>
        </w:rPr>
        <w:t>Y.S.</w:t>
      </w:r>
      <w:r>
        <w:rPr>
          <w:spacing w:val="5"/>
          <w:sz w:val="22"/>
        </w:rPr>
        <w:t> </w:t>
      </w:r>
      <w:r>
        <w:rPr>
          <w:spacing w:val="-8"/>
          <w:sz w:val="22"/>
        </w:rPr>
        <w:t>Rajan,</w:t>
      </w:r>
      <w:r>
        <w:rPr>
          <w:spacing w:val="5"/>
          <w:sz w:val="22"/>
        </w:rPr>
        <w:t> </w:t>
      </w:r>
      <w:r>
        <w:rPr>
          <w:spacing w:val="-8"/>
          <w:sz w:val="22"/>
        </w:rPr>
        <w:t>Principal</w:t>
      </w:r>
      <w:r>
        <w:rPr>
          <w:spacing w:val="5"/>
          <w:sz w:val="22"/>
        </w:rPr>
        <w:t> </w:t>
      </w:r>
      <w:r>
        <w:rPr>
          <w:spacing w:val="-8"/>
          <w:sz w:val="22"/>
        </w:rPr>
        <w:t>Advisor,</w:t>
      </w:r>
      <w:r>
        <w:rPr>
          <w:spacing w:val="4"/>
          <w:sz w:val="22"/>
        </w:rPr>
        <w:t> </w:t>
      </w:r>
      <w:r>
        <w:rPr>
          <w:spacing w:val="-8"/>
          <w:sz w:val="22"/>
        </w:rPr>
        <w:t>CII</w:t>
      </w:r>
    </w:p>
    <w:p>
      <w:pPr>
        <w:pStyle w:val="ListParagraph"/>
        <w:numPr>
          <w:ilvl w:val="0"/>
          <w:numId w:val="94"/>
        </w:numPr>
        <w:tabs>
          <w:tab w:pos="1439" w:val="left" w:leader="none"/>
        </w:tabs>
        <w:spacing w:line="266" w:lineRule="auto" w:before="117" w:after="0"/>
        <w:ind w:left="1439" w:right="698" w:hanging="360"/>
        <w:jc w:val="left"/>
        <w:rPr>
          <w:sz w:val="22"/>
        </w:rPr>
      </w:pPr>
      <w:r>
        <w:rPr>
          <w:spacing w:val="-4"/>
          <w:sz w:val="22"/>
        </w:rPr>
        <w:t>Dr.</w:t>
      </w:r>
      <w:r>
        <w:rPr>
          <w:spacing w:val="-10"/>
          <w:sz w:val="22"/>
        </w:rPr>
        <w:t> </w:t>
      </w:r>
      <w:r>
        <w:rPr>
          <w:spacing w:val="-4"/>
          <w:sz w:val="22"/>
        </w:rPr>
        <w:t>R.B.</w:t>
      </w:r>
      <w:r>
        <w:rPr>
          <w:spacing w:val="-10"/>
          <w:sz w:val="22"/>
        </w:rPr>
        <w:t> </w:t>
      </w:r>
      <w:r>
        <w:rPr>
          <w:spacing w:val="-4"/>
          <w:sz w:val="22"/>
        </w:rPr>
        <w:t>Grover,</w:t>
      </w:r>
      <w:r>
        <w:rPr>
          <w:spacing w:val="-10"/>
          <w:sz w:val="22"/>
        </w:rPr>
        <w:t> </w:t>
      </w:r>
      <w:r>
        <w:rPr>
          <w:spacing w:val="-4"/>
          <w:sz w:val="22"/>
        </w:rPr>
        <w:t>Director,</w:t>
      </w:r>
      <w:r>
        <w:rPr>
          <w:spacing w:val="-9"/>
          <w:sz w:val="22"/>
        </w:rPr>
        <w:t> </w:t>
      </w:r>
      <w:r>
        <w:rPr>
          <w:spacing w:val="-4"/>
          <w:sz w:val="22"/>
        </w:rPr>
        <w:t>Knowledge </w:t>
      </w:r>
      <w:r>
        <w:rPr>
          <w:sz w:val="22"/>
        </w:rPr>
        <w:t>Management Group, BARC</w:t>
      </w:r>
    </w:p>
    <w:p>
      <w:pPr>
        <w:pStyle w:val="ListParagraph"/>
        <w:numPr>
          <w:ilvl w:val="0"/>
          <w:numId w:val="94"/>
        </w:numPr>
        <w:tabs>
          <w:tab w:pos="1439" w:val="left" w:leader="none"/>
        </w:tabs>
        <w:spacing w:line="240" w:lineRule="auto" w:before="88" w:after="0"/>
        <w:ind w:left="1439" w:right="0" w:hanging="359"/>
        <w:jc w:val="left"/>
        <w:rPr>
          <w:sz w:val="22"/>
        </w:rPr>
      </w:pPr>
      <w:r>
        <w:rPr>
          <w:spacing w:val="-4"/>
          <w:sz w:val="22"/>
        </w:rPr>
        <w:t>Dr.</w:t>
      </w:r>
      <w:r>
        <w:rPr>
          <w:spacing w:val="-10"/>
          <w:sz w:val="22"/>
        </w:rPr>
        <w:t> </w:t>
      </w:r>
      <w:r>
        <w:rPr>
          <w:spacing w:val="-4"/>
          <w:sz w:val="22"/>
        </w:rPr>
        <w:t>Gyan</w:t>
      </w:r>
      <w:r>
        <w:rPr>
          <w:spacing w:val="-5"/>
          <w:sz w:val="22"/>
        </w:rPr>
        <w:t> </w:t>
      </w:r>
      <w:r>
        <w:rPr>
          <w:spacing w:val="-4"/>
          <w:sz w:val="22"/>
        </w:rPr>
        <w:t>Arora,</w:t>
      </w:r>
      <w:r>
        <w:rPr>
          <w:spacing w:val="-10"/>
          <w:sz w:val="22"/>
        </w:rPr>
        <w:t> </w:t>
      </w:r>
      <w:r>
        <w:rPr>
          <w:spacing w:val="-4"/>
          <w:sz w:val="22"/>
        </w:rPr>
        <w:t>Tata</w:t>
      </w:r>
      <w:r>
        <w:rPr>
          <w:spacing w:val="-6"/>
          <w:sz w:val="22"/>
        </w:rPr>
        <w:t> </w:t>
      </w:r>
      <w:r>
        <w:rPr>
          <w:spacing w:val="-4"/>
          <w:sz w:val="22"/>
        </w:rPr>
        <w:t>Motors</w:t>
      </w:r>
    </w:p>
    <w:p>
      <w:pPr>
        <w:pStyle w:val="ListParagraph"/>
        <w:numPr>
          <w:ilvl w:val="0"/>
          <w:numId w:val="94"/>
        </w:numPr>
        <w:tabs>
          <w:tab w:pos="1439" w:val="left" w:leader="none"/>
        </w:tabs>
        <w:spacing w:line="240" w:lineRule="auto" w:before="117" w:after="0"/>
        <w:ind w:left="1439" w:right="0" w:hanging="359"/>
        <w:jc w:val="left"/>
        <w:rPr>
          <w:sz w:val="22"/>
        </w:rPr>
      </w:pPr>
      <w:r>
        <w:rPr>
          <w:spacing w:val="-8"/>
          <w:sz w:val="22"/>
        </w:rPr>
        <w:t>Prof.</w:t>
      </w:r>
      <w:r>
        <w:rPr>
          <w:spacing w:val="3"/>
          <w:sz w:val="22"/>
        </w:rPr>
        <w:t> </w:t>
      </w:r>
      <w:r>
        <w:rPr>
          <w:spacing w:val="-8"/>
          <w:sz w:val="22"/>
        </w:rPr>
        <w:t>G.D.</w:t>
      </w:r>
      <w:r>
        <w:rPr>
          <w:spacing w:val="-1"/>
          <w:sz w:val="22"/>
        </w:rPr>
        <w:t> </w:t>
      </w:r>
      <w:r>
        <w:rPr>
          <w:spacing w:val="-8"/>
          <w:sz w:val="22"/>
        </w:rPr>
        <w:t>Yadav,</w:t>
      </w:r>
      <w:r>
        <w:rPr>
          <w:spacing w:val="3"/>
          <w:sz w:val="22"/>
        </w:rPr>
        <w:t> </w:t>
      </w:r>
      <w:r>
        <w:rPr>
          <w:spacing w:val="-8"/>
          <w:sz w:val="22"/>
        </w:rPr>
        <w:t>UICT</w:t>
      </w:r>
    </w:p>
    <w:p>
      <w:pPr>
        <w:pStyle w:val="ListParagraph"/>
        <w:numPr>
          <w:ilvl w:val="0"/>
          <w:numId w:val="94"/>
        </w:numPr>
        <w:tabs>
          <w:tab w:pos="1439" w:val="left" w:leader="none"/>
        </w:tabs>
        <w:spacing w:line="240" w:lineRule="auto" w:before="117" w:after="0"/>
        <w:ind w:left="1439" w:right="0" w:hanging="359"/>
        <w:jc w:val="left"/>
        <w:rPr>
          <w:sz w:val="22"/>
        </w:rPr>
      </w:pPr>
      <w:r>
        <w:rPr>
          <w:spacing w:val="-2"/>
          <w:sz w:val="22"/>
        </w:rPr>
        <w:t>Dr.</w:t>
      </w:r>
      <w:r>
        <w:rPr>
          <w:spacing w:val="-12"/>
          <w:sz w:val="22"/>
        </w:rPr>
        <w:t> </w:t>
      </w:r>
      <w:r>
        <w:rPr>
          <w:spacing w:val="-2"/>
          <w:sz w:val="22"/>
        </w:rPr>
        <w:t>Sushma</w:t>
      </w:r>
      <w:r>
        <w:rPr>
          <w:spacing w:val="-11"/>
          <w:sz w:val="22"/>
        </w:rPr>
        <w:t> </w:t>
      </w:r>
      <w:r>
        <w:rPr>
          <w:spacing w:val="-2"/>
          <w:sz w:val="22"/>
        </w:rPr>
        <w:t>Gupta,</w:t>
      </w:r>
      <w:r>
        <w:rPr>
          <w:spacing w:val="-11"/>
          <w:sz w:val="22"/>
        </w:rPr>
        <w:t> </w:t>
      </w:r>
      <w:r>
        <w:rPr>
          <w:spacing w:val="-2"/>
          <w:sz w:val="22"/>
        </w:rPr>
        <w:t>Ranbaxy</w:t>
      </w:r>
      <w:r>
        <w:rPr>
          <w:spacing w:val="-12"/>
          <w:sz w:val="22"/>
        </w:rPr>
        <w:t> </w:t>
      </w:r>
      <w:r>
        <w:rPr>
          <w:spacing w:val="-2"/>
          <w:sz w:val="22"/>
        </w:rPr>
        <w:t>Laboratories</w:t>
      </w:r>
    </w:p>
    <w:p>
      <w:pPr>
        <w:pStyle w:val="ListParagraph"/>
        <w:numPr>
          <w:ilvl w:val="0"/>
          <w:numId w:val="94"/>
        </w:numPr>
        <w:tabs>
          <w:tab w:pos="1439" w:val="left" w:leader="none"/>
        </w:tabs>
        <w:spacing w:line="266" w:lineRule="auto" w:before="117" w:after="0"/>
        <w:ind w:left="1439" w:right="1181" w:hanging="360"/>
        <w:jc w:val="left"/>
        <w:rPr>
          <w:sz w:val="22"/>
        </w:rPr>
      </w:pPr>
      <w:r>
        <w:rPr>
          <w:spacing w:val="-4"/>
          <w:sz w:val="22"/>
        </w:rPr>
        <w:t>Prof.</w:t>
      </w:r>
      <w:r>
        <w:rPr>
          <w:spacing w:val="-10"/>
          <w:sz w:val="22"/>
        </w:rPr>
        <w:t> </w:t>
      </w:r>
      <w:r>
        <w:rPr>
          <w:spacing w:val="-4"/>
          <w:sz w:val="22"/>
        </w:rPr>
        <w:t>B.D.</w:t>
      </w:r>
      <w:r>
        <w:rPr>
          <w:spacing w:val="-10"/>
          <w:sz w:val="22"/>
        </w:rPr>
        <w:t> </w:t>
      </w:r>
      <w:r>
        <w:rPr>
          <w:spacing w:val="-4"/>
          <w:sz w:val="22"/>
        </w:rPr>
        <w:t>Singh,</w:t>
      </w:r>
      <w:r>
        <w:rPr>
          <w:spacing w:val="-10"/>
          <w:sz w:val="22"/>
        </w:rPr>
        <w:t> </w:t>
      </w:r>
      <w:r>
        <w:rPr>
          <w:spacing w:val="-4"/>
          <w:sz w:val="22"/>
        </w:rPr>
        <w:t>Dean</w:t>
      </w:r>
      <w:r>
        <w:rPr>
          <w:spacing w:val="-9"/>
          <w:sz w:val="22"/>
        </w:rPr>
        <w:t> </w:t>
      </w:r>
      <w:r>
        <w:rPr>
          <w:spacing w:val="-4"/>
          <w:sz w:val="22"/>
        </w:rPr>
        <w:t>Sciences </w:t>
      </w:r>
      <w:r>
        <w:rPr>
          <w:sz w:val="22"/>
        </w:rPr>
        <w:t>Banaras Hindu University</w:t>
      </w:r>
    </w:p>
    <w:p>
      <w:pPr>
        <w:pStyle w:val="ListParagraph"/>
        <w:numPr>
          <w:ilvl w:val="0"/>
          <w:numId w:val="94"/>
        </w:numPr>
        <w:tabs>
          <w:tab w:pos="1438" w:val="left" w:leader="none"/>
          <w:tab w:pos="1494" w:val="left" w:leader="none"/>
        </w:tabs>
        <w:spacing w:line="266" w:lineRule="auto" w:before="89" w:after="0"/>
        <w:ind w:left="1494" w:right="475" w:hanging="415"/>
        <w:jc w:val="left"/>
        <w:rPr>
          <w:sz w:val="22"/>
        </w:rPr>
      </w:pPr>
      <w:r>
        <w:rPr>
          <w:spacing w:val="-4"/>
          <w:sz w:val="22"/>
        </w:rPr>
        <w:t>Prof.</w:t>
      </w:r>
      <w:r>
        <w:rPr>
          <w:spacing w:val="-10"/>
          <w:sz w:val="22"/>
        </w:rPr>
        <w:t> </w:t>
      </w:r>
      <w:r>
        <w:rPr>
          <w:spacing w:val="-4"/>
          <w:sz w:val="22"/>
        </w:rPr>
        <w:t>E.</w:t>
      </w:r>
      <w:r>
        <w:rPr>
          <w:spacing w:val="-10"/>
          <w:sz w:val="22"/>
        </w:rPr>
        <w:t> </w:t>
      </w:r>
      <w:r>
        <w:rPr>
          <w:spacing w:val="-4"/>
          <w:sz w:val="22"/>
        </w:rPr>
        <w:t>Haribabu,</w:t>
      </w:r>
      <w:r>
        <w:rPr>
          <w:spacing w:val="-10"/>
          <w:sz w:val="22"/>
        </w:rPr>
        <w:t> </w:t>
      </w:r>
      <w:r>
        <w:rPr>
          <w:spacing w:val="-4"/>
          <w:sz w:val="22"/>
        </w:rPr>
        <w:t>Dean,</w:t>
      </w:r>
      <w:r>
        <w:rPr>
          <w:spacing w:val="-9"/>
          <w:sz w:val="22"/>
        </w:rPr>
        <w:t> </w:t>
      </w:r>
      <w:r>
        <w:rPr>
          <w:spacing w:val="-4"/>
          <w:sz w:val="22"/>
        </w:rPr>
        <w:t>Social</w:t>
      </w:r>
      <w:r>
        <w:rPr>
          <w:spacing w:val="-10"/>
          <w:sz w:val="22"/>
        </w:rPr>
        <w:t> </w:t>
      </w:r>
      <w:r>
        <w:rPr>
          <w:spacing w:val="-4"/>
          <w:sz w:val="22"/>
        </w:rPr>
        <w:t>Sciences </w:t>
      </w:r>
      <w:r>
        <w:rPr>
          <w:sz w:val="22"/>
        </w:rPr>
        <w:t>University of Hyderabad</w:t>
      </w:r>
    </w:p>
    <w:p>
      <w:pPr>
        <w:pStyle w:val="ListParagraph"/>
        <w:numPr>
          <w:ilvl w:val="0"/>
          <w:numId w:val="94"/>
        </w:numPr>
        <w:tabs>
          <w:tab w:pos="1439" w:val="left" w:leader="none"/>
        </w:tabs>
        <w:spacing w:line="266" w:lineRule="auto" w:before="88" w:after="0"/>
        <w:ind w:left="1439" w:right="822" w:hanging="360"/>
        <w:jc w:val="left"/>
        <w:rPr>
          <w:sz w:val="22"/>
        </w:rPr>
      </w:pPr>
      <w:r>
        <w:rPr>
          <w:spacing w:val="-4"/>
          <w:sz w:val="22"/>
        </w:rPr>
        <w:t>Dr.</w:t>
      </w:r>
      <w:r>
        <w:rPr>
          <w:spacing w:val="-10"/>
          <w:sz w:val="22"/>
        </w:rPr>
        <w:t> </w:t>
      </w:r>
      <w:r>
        <w:rPr>
          <w:spacing w:val="-4"/>
          <w:sz w:val="22"/>
        </w:rPr>
        <w:t>A.N.</w:t>
      </w:r>
      <w:r>
        <w:rPr>
          <w:spacing w:val="-10"/>
          <w:sz w:val="22"/>
        </w:rPr>
        <w:t> </w:t>
      </w:r>
      <w:r>
        <w:rPr>
          <w:spacing w:val="-4"/>
          <w:sz w:val="22"/>
        </w:rPr>
        <w:t>Desai,</w:t>
      </w:r>
      <w:r>
        <w:rPr>
          <w:spacing w:val="-10"/>
          <w:sz w:val="22"/>
        </w:rPr>
        <w:t> </w:t>
      </w:r>
      <w:r>
        <w:rPr>
          <w:spacing w:val="-4"/>
          <w:sz w:val="22"/>
        </w:rPr>
        <w:t>The</w:t>
      </w:r>
      <w:r>
        <w:rPr>
          <w:spacing w:val="-10"/>
          <w:sz w:val="22"/>
        </w:rPr>
        <w:t> </w:t>
      </w:r>
      <w:r>
        <w:rPr>
          <w:spacing w:val="-4"/>
          <w:sz w:val="22"/>
        </w:rPr>
        <w:t>Bombay</w:t>
      </w:r>
      <w:r>
        <w:rPr>
          <w:spacing w:val="-10"/>
          <w:sz w:val="22"/>
        </w:rPr>
        <w:t> </w:t>
      </w:r>
      <w:r>
        <w:rPr>
          <w:spacing w:val="-4"/>
          <w:sz w:val="22"/>
        </w:rPr>
        <w:t>Textile </w:t>
      </w:r>
      <w:r>
        <w:rPr>
          <w:sz w:val="22"/>
        </w:rPr>
        <w:t>Research Association</w:t>
      </w:r>
    </w:p>
    <w:p>
      <w:pPr>
        <w:pStyle w:val="ListParagraph"/>
        <w:numPr>
          <w:ilvl w:val="0"/>
          <w:numId w:val="94"/>
        </w:numPr>
        <w:tabs>
          <w:tab w:pos="1439" w:val="left" w:leader="none"/>
        </w:tabs>
        <w:spacing w:line="266" w:lineRule="auto" w:before="89" w:after="0"/>
        <w:ind w:left="1439" w:right="1969" w:hanging="360"/>
        <w:jc w:val="left"/>
        <w:rPr>
          <w:sz w:val="22"/>
        </w:rPr>
      </w:pPr>
      <w:r>
        <w:rPr>
          <w:spacing w:val="-6"/>
          <w:sz w:val="22"/>
        </w:rPr>
        <w:t>Prof.</w:t>
      </w:r>
      <w:r>
        <w:rPr>
          <w:spacing w:val="-8"/>
          <w:sz w:val="22"/>
        </w:rPr>
        <w:t> </w:t>
      </w:r>
      <w:r>
        <w:rPr>
          <w:spacing w:val="-6"/>
          <w:sz w:val="22"/>
        </w:rPr>
        <w:t>Balaji</w:t>
      </w:r>
      <w:r>
        <w:rPr>
          <w:spacing w:val="-7"/>
          <w:sz w:val="22"/>
        </w:rPr>
        <w:t> </w:t>
      </w:r>
      <w:r>
        <w:rPr>
          <w:spacing w:val="-6"/>
          <w:sz w:val="22"/>
        </w:rPr>
        <w:t>Parthsarthy </w:t>
      </w:r>
      <w:r>
        <w:rPr>
          <w:sz w:val="22"/>
        </w:rPr>
        <w:t>IIIT Bangalore</w:t>
      </w:r>
    </w:p>
    <w:p>
      <w:pPr>
        <w:pStyle w:val="ListParagraph"/>
        <w:numPr>
          <w:ilvl w:val="0"/>
          <w:numId w:val="94"/>
        </w:numPr>
        <w:tabs>
          <w:tab w:pos="1079" w:val="left" w:leader="none"/>
        </w:tabs>
        <w:spacing w:line="240" w:lineRule="auto" w:before="57" w:after="0"/>
        <w:ind w:left="1079" w:right="0" w:hanging="359"/>
        <w:jc w:val="left"/>
        <w:rPr>
          <w:sz w:val="22"/>
        </w:rPr>
      </w:pPr>
      <w:r>
        <w:rPr/>
        <w:br w:type="column"/>
      </w:r>
      <w:r>
        <w:rPr>
          <w:spacing w:val="-4"/>
          <w:sz w:val="22"/>
        </w:rPr>
        <w:t>Prof.</w:t>
      </w:r>
      <w:r>
        <w:rPr>
          <w:spacing w:val="-3"/>
          <w:sz w:val="22"/>
        </w:rPr>
        <w:t> </w:t>
      </w:r>
      <w:r>
        <w:rPr>
          <w:spacing w:val="-4"/>
          <w:sz w:val="22"/>
        </w:rPr>
        <w:t>Pankaj</w:t>
      </w:r>
      <w:r>
        <w:rPr>
          <w:spacing w:val="-3"/>
          <w:sz w:val="22"/>
        </w:rPr>
        <w:t> </w:t>
      </w:r>
      <w:r>
        <w:rPr>
          <w:spacing w:val="-4"/>
          <w:sz w:val="22"/>
        </w:rPr>
        <w:t>Jalote,</w:t>
      </w:r>
      <w:r>
        <w:rPr>
          <w:spacing w:val="-3"/>
          <w:sz w:val="22"/>
        </w:rPr>
        <w:t> </w:t>
      </w:r>
      <w:r>
        <w:rPr>
          <w:spacing w:val="-4"/>
          <w:sz w:val="22"/>
        </w:rPr>
        <w:t>IIT</w:t>
      </w:r>
      <w:r>
        <w:rPr>
          <w:spacing w:val="-3"/>
          <w:sz w:val="22"/>
        </w:rPr>
        <w:t> </w:t>
      </w:r>
      <w:r>
        <w:rPr>
          <w:spacing w:val="-4"/>
          <w:sz w:val="22"/>
        </w:rPr>
        <w:t>Delhi</w:t>
      </w:r>
    </w:p>
    <w:p>
      <w:pPr>
        <w:pStyle w:val="ListParagraph"/>
        <w:numPr>
          <w:ilvl w:val="0"/>
          <w:numId w:val="94"/>
        </w:numPr>
        <w:tabs>
          <w:tab w:pos="1079" w:val="left" w:leader="none"/>
        </w:tabs>
        <w:spacing w:line="240" w:lineRule="auto" w:before="117" w:after="0"/>
        <w:ind w:left="1079" w:right="0" w:hanging="359"/>
        <w:jc w:val="left"/>
        <w:rPr>
          <w:sz w:val="22"/>
        </w:rPr>
      </w:pPr>
      <w:r>
        <w:rPr>
          <w:spacing w:val="-4"/>
          <w:sz w:val="22"/>
        </w:rPr>
        <w:t>Prof.</w:t>
      </w:r>
      <w:r>
        <w:rPr>
          <w:spacing w:val="-9"/>
          <w:sz w:val="22"/>
        </w:rPr>
        <w:t> </w:t>
      </w:r>
      <w:r>
        <w:rPr>
          <w:spacing w:val="-4"/>
          <w:sz w:val="22"/>
        </w:rPr>
        <w:t>Shashiprabha,</w:t>
      </w:r>
      <w:r>
        <w:rPr>
          <w:spacing w:val="-9"/>
          <w:sz w:val="22"/>
        </w:rPr>
        <w:t> </w:t>
      </w:r>
      <w:r>
        <w:rPr>
          <w:spacing w:val="-4"/>
          <w:sz w:val="22"/>
        </w:rPr>
        <w:t>Jawahar</w:t>
      </w:r>
      <w:r>
        <w:rPr>
          <w:spacing w:val="-9"/>
          <w:sz w:val="22"/>
        </w:rPr>
        <w:t> </w:t>
      </w:r>
      <w:r>
        <w:rPr>
          <w:spacing w:val="-4"/>
          <w:sz w:val="22"/>
        </w:rPr>
        <w:t>Lal</w:t>
      </w:r>
      <w:r>
        <w:rPr>
          <w:spacing w:val="-9"/>
          <w:sz w:val="22"/>
        </w:rPr>
        <w:t> </w:t>
      </w:r>
      <w:r>
        <w:rPr>
          <w:spacing w:val="-4"/>
          <w:sz w:val="22"/>
        </w:rPr>
        <w:t>Nehru</w:t>
      </w:r>
      <w:r>
        <w:rPr>
          <w:spacing w:val="-9"/>
          <w:sz w:val="22"/>
        </w:rPr>
        <w:t> </w:t>
      </w:r>
      <w:r>
        <w:rPr>
          <w:spacing w:val="-4"/>
          <w:sz w:val="22"/>
        </w:rPr>
        <w:t>University</w:t>
      </w:r>
    </w:p>
    <w:p>
      <w:pPr>
        <w:pStyle w:val="ListParagraph"/>
        <w:numPr>
          <w:ilvl w:val="0"/>
          <w:numId w:val="94"/>
        </w:numPr>
        <w:tabs>
          <w:tab w:pos="1079" w:val="left" w:leader="none"/>
        </w:tabs>
        <w:spacing w:line="240" w:lineRule="auto" w:before="117" w:after="0"/>
        <w:ind w:left="1079" w:right="0" w:hanging="359"/>
        <w:jc w:val="left"/>
        <w:rPr>
          <w:sz w:val="22"/>
        </w:rPr>
      </w:pPr>
      <w:r>
        <w:rPr>
          <w:spacing w:val="-4"/>
          <w:sz w:val="22"/>
        </w:rPr>
        <w:t>Dr.</w:t>
      </w:r>
      <w:r>
        <w:rPr>
          <w:spacing w:val="-3"/>
          <w:sz w:val="22"/>
        </w:rPr>
        <w:t> </w:t>
      </w:r>
      <w:r>
        <w:rPr>
          <w:spacing w:val="-4"/>
          <w:sz w:val="22"/>
        </w:rPr>
        <w:t>J.K.</w:t>
      </w:r>
      <w:r>
        <w:rPr>
          <w:spacing w:val="-3"/>
          <w:sz w:val="22"/>
        </w:rPr>
        <w:t> </w:t>
      </w:r>
      <w:r>
        <w:rPr>
          <w:spacing w:val="-4"/>
          <w:sz w:val="22"/>
        </w:rPr>
        <w:t>Bhasin,</w:t>
      </w:r>
      <w:r>
        <w:rPr>
          <w:spacing w:val="-3"/>
          <w:sz w:val="22"/>
        </w:rPr>
        <w:t> </w:t>
      </w:r>
      <w:r>
        <w:rPr>
          <w:spacing w:val="-4"/>
          <w:sz w:val="22"/>
        </w:rPr>
        <w:t>NEERI</w:t>
      </w:r>
    </w:p>
    <w:p>
      <w:pPr>
        <w:pStyle w:val="ListParagraph"/>
        <w:numPr>
          <w:ilvl w:val="0"/>
          <w:numId w:val="94"/>
        </w:numPr>
        <w:tabs>
          <w:tab w:pos="1080" w:val="left" w:leader="none"/>
        </w:tabs>
        <w:spacing w:line="266" w:lineRule="auto" w:before="117" w:after="0"/>
        <w:ind w:left="1080" w:right="2514" w:hanging="360"/>
        <w:jc w:val="left"/>
        <w:rPr>
          <w:sz w:val="22"/>
        </w:rPr>
      </w:pPr>
      <w:r>
        <w:rPr>
          <w:spacing w:val="-2"/>
          <w:sz w:val="22"/>
        </w:rPr>
        <w:t>Dr.</w:t>
      </w:r>
      <w:r>
        <w:rPr>
          <w:spacing w:val="-14"/>
          <w:sz w:val="22"/>
        </w:rPr>
        <w:t> </w:t>
      </w:r>
      <w:r>
        <w:rPr>
          <w:spacing w:val="-2"/>
          <w:sz w:val="22"/>
        </w:rPr>
        <w:t>Ajit</w:t>
      </w:r>
      <w:r>
        <w:rPr>
          <w:spacing w:val="-12"/>
          <w:sz w:val="22"/>
        </w:rPr>
        <w:t> </w:t>
      </w:r>
      <w:r>
        <w:rPr>
          <w:spacing w:val="-2"/>
          <w:sz w:val="22"/>
        </w:rPr>
        <w:t>Ranade,</w:t>
      </w:r>
      <w:r>
        <w:rPr>
          <w:spacing w:val="-12"/>
          <w:sz w:val="22"/>
        </w:rPr>
        <w:t> </w:t>
      </w:r>
      <w:r>
        <w:rPr>
          <w:spacing w:val="-2"/>
          <w:sz w:val="22"/>
        </w:rPr>
        <w:t>Chief</w:t>
      </w:r>
      <w:r>
        <w:rPr>
          <w:spacing w:val="-11"/>
          <w:sz w:val="22"/>
        </w:rPr>
        <w:t> </w:t>
      </w:r>
      <w:r>
        <w:rPr>
          <w:spacing w:val="-2"/>
          <w:sz w:val="22"/>
        </w:rPr>
        <w:t>Economist </w:t>
      </w:r>
      <w:r>
        <w:rPr>
          <w:sz w:val="22"/>
        </w:rPr>
        <w:t>Aditya Birla Group</w:t>
      </w:r>
    </w:p>
    <w:p>
      <w:pPr>
        <w:pStyle w:val="ListParagraph"/>
        <w:numPr>
          <w:ilvl w:val="0"/>
          <w:numId w:val="94"/>
        </w:numPr>
        <w:tabs>
          <w:tab w:pos="1079" w:val="left" w:leader="none"/>
        </w:tabs>
        <w:spacing w:line="240" w:lineRule="auto" w:before="89" w:after="0"/>
        <w:ind w:left="1079" w:right="0" w:hanging="359"/>
        <w:jc w:val="left"/>
        <w:rPr>
          <w:sz w:val="22"/>
        </w:rPr>
      </w:pPr>
      <w:r>
        <w:rPr>
          <w:spacing w:val="-2"/>
          <w:sz w:val="22"/>
        </w:rPr>
        <w:t>Dr.</w:t>
      </w:r>
      <w:r>
        <w:rPr>
          <w:spacing w:val="-5"/>
          <w:sz w:val="22"/>
        </w:rPr>
        <w:t> </w:t>
      </w:r>
      <w:r>
        <w:rPr>
          <w:spacing w:val="-2"/>
          <w:sz w:val="22"/>
        </w:rPr>
        <w:t>Rajendra</w:t>
      </w:r>
      <w:r>
        <w:rPr>
          <w:spacing w:val="-4"/>
          <w:sz w:val="22"/>
        </w:rPr>
        <w:t> </w:t>
      </w:r>
      <w:r>
        <w:rPr>
          <w:spacing w:val="-2"/>
          <w:sz w:val="22"/>
        </w:rPr>
        <w:t>Singh,</w:t>
      </w:r>
      <w:r>
        <w:rPr>
          <w:spacing w:val="-4"/>
          <w:sz w:val="22"/>
        </w:rPr>
        <w:t> </w:t>
      </w:r>
      <w:r>
        <w:rPr>
          <w:spacing w:val="-2"/>
          <w:sz w:val="22"/>
        </w:rPr>
        <w:t>CMIR</w:t>
      </w:r>
      <w:r>
        <w:rPr>
          <w:spacing w:val="-4"/>
          <w:sz w:val="22"/>
        </w:rPr>
        <w:t> </w:t>
      </w:r>
      <w:r>
        <w:rPr>
          <w:spacing w:val="-2"/>
          <w:sz w:val="22"/>
        </w:rPr>
        <w:t>Dhanbad</w:t>
      </w:r>
    </w:p>
    <w:p>
      <w:pPr>
        <w:pStyle w:val="ListParagraph"/>
        <w:numPr>
          <w:ilvl w:val="0"/>
          <w:numId w:val="94"/>
        </w:numPr>
        <w:tabs>
          <w:tab w:pos="1079" w:val="left" w:leader="none"/>
        </w:tabs>
        <w:spacing w:line="240" w:lineRule="auto" w:before="117" w:after="0"/>
        <w:ind w:left="1079" w:right="0" w:hanging="359"/>
        <w:jc w:val="left"/>
        <w:rPr>
          <w:sz w:val="22"/>
        </w:rPr>
      </w:pPr>
      <w:r>
        <w:rPr>
          <w:spacing w:val="-6"/>
          <w:sz w:val="22"/>
        </w:rPr>
        <w:t>Prof.</w:t>
      </w:r>
      <w:r>
        <w:rPr>
          <w:spacing w:val="-8"/>
          <w:sz w:val="22"/>
        </w:rPr>
        <w:t> </w:t>
      </w:r>
      <w:r>
        <w:rPr>
          <w:spacing w:val="-6"/>
          <w:sz w:val="22"/>
        </w:rPr>
        <w:t>Varyam</w:t>
      </w:r>
      <w:r>
        <w:rPr>
          <w:spacing w:val="-3"/>
          <w:sz w:val="22"/>
        </w:rPr>
        <w:t> </w:t>
      </w:r>
      <w:r>
        <w:rPr>
          <w:spacing w:val="-6"/>
          <w:sz w:val="22"/>
        </w:rPr>
        <w:t>Singh,</w:t>
      </w:r>
      <w:r>
        <w:rPr>
          <w:spacing w:val="-4"/>
          <w:sz w:val="22"/>
        </w:rPr>
        <w:t> </w:t>
      </w:r>
      <w:r>
        <w:rPr>
          <w:spacing w:val="-6"/>
          <w:sz w:val="22"/>
        </w:rPr>
        <w:t>Dean</w:t>
      </w:r>
      <w:r>
        <w:rPr>
          <w:spacing w:val="-3"/>
          <w:sz w:val="22"/>
        </w:rPr>
        <w:t> </w:t>
      </w:r>
      <w:r>
        <w:rPr>
          <w:spacing w:val="-6"/>
          <w:sz w:val="22"/>
        </w:rPr>
        <w:t>Languages,</w:t>
      </w:r>
      <w:r>
        <w:rPr>
          <w:spacing w:val="-4"/>
          <w:sz w:val="22"/>
        </w:rPr>
        <w:t> </w:t>
      </w:r>
      <w:r>
        <w:rPr>
          <w:spacing w:val="-6"/>
          <w:sz w:val="22"/>
        </w:rPr>
        <w:t>JNU</w:t>
      </w:r>
    </w:p>
    <w:p>
      <w:pPr>
        <w:pStyle w:val="ListParagraph"/>
        <w:numPr>
          <w:ilvl w:val="0"/>
          <w:numId w:val="94"/>
        </w:numPr>
        <w:tabs>
          <w:tab w:pos="1080" w:val="left" w:leader="none"/>
        </w:tabs>
        <w:spacing w:line="266" w:lineRule="auto" w:before="117" w:after="0"/>
        <w:ind w:left="1080" w:right="1088" w:hanging="360"/>
        <w:jc w:val="left"/>
        <w:rPr>
          <w:sz w:val="22"/>
        </w:rPr>
      </w:pPr>
      <w:r>
        <w:rPr>
          <w:spacing w:val="-4"/>
          <w:sz w:val="22"/>
        </w:rPr>
        <w:t>Dr.</w:t>
      </w:r>
      <w:r>
        <w:rPr>
          <w:spacing w:val="-10"/>
          <w:sz w:val="22"/>
        </w:rPr>
        <w:t> </w:t>
      </w:r>
      <w:r>
        <w:rPr>
          <w:spacing w:val="-4"/>
          <w:sz w:val="22"/>
        </w:rPr>
        <w:t>Ashok</w:t>
      </w:r>
      <w:r>
        <w:rPr>
          <w:spacing w:val="-10"/>
          <w:sz w:val="22"/>
        </w:rPr>
        <w:t> </w:t>
      </w:r>
      <w:r>
        <w:rPr>
          <w:spacing w:val="-4"/>
          <w:sz w:val="22"/>
        </w:rPr>
        <w:t>Ganguly,</w:t>
      </w:r>
      <w:r>
        <w:rPr>
          <w:spacing w:val="-10"/>
          <w:sz w:val="22"/>
        </w:rPr>
        <w:t> </w:t>
      </w:r>
      <w:r>
        <w:rPr>
          <w:spacing w:val="-4"/>
          <w:sz w:val="22"/>
        </w:rPr>
        <w:t>Member,</w:t>
      </w:r>
      <w:r>
        <w:rPr>
          <w:spacing w:val="-9"/>
          <w:sz w:val="22"/>
        </w:rPr>
        <w:t> </w:t>
      </w:r>
      <w:r>
        <w:rPr>
          <w:spacing w:val="-4"/>
          <w:sz w:val="22"/>
        </w:rPr>
        <w:t>National</w:t>
      </w:r>
      <w:r>
        <w:rPr>
          <w:spacing w:val="-10"/>
          <w:sz w:val="22"/>
        </w:rPr>
        <w:t> </w:t>
      </w:r>
      <w:r>
        <w:rPr>
          <w:spacing w:val="-4"/>
          <w:sz w:val="22"/>
        </w:rPr>
        <w:t>Knowledge </w:t>
      </w:r>
      <w:r>
        <w:rPr>
          <w:spacing w:val="-2"/>
          <w:sz w:val="22"/>
        </w:rPr>
        <w:t>Commission</w:t>
      </w:r>
    </w:p>
    <w:p>
      <w:pPr>
        <w:pStyle w:val="ListParagraph"/>
        <w:numPr>
          <w:ilvl w:val="0"/>
          <w:numId w:val="94"/>
        </w:numPr>
        <w:tabs>
          <w:tab w:pos="1080" w:val="left" w:leader="none"/>
        </w:tabs>
        <w:spacing w:line="266" w:lineRule="auto" w:before="88" w:after="0"/>
        <w:ind w:left="1080" w:right="1869" w:hanging="360"/>
        <w:jc w:val="left"/>
        <w:rPr>
          <w:sz w:val="22"/>
        </w:rPr>
      </w:pPr>
      <w:r>
        <w:rPr>
          <w:spacing w:val="-2"/>
          <w:sz w:val="22"/>
        </w:rPr>
        <w:t>Dr.</w:t>
      </w:r>
      <w:r>
        <w:rPr>
          <w:spacing w:val="-12"/>
          <w:sz w:val="22"/>
        </w:rPr>
        <w:t> </w:t>
      </w:r>
      <w:r>
        <w:rPr>
          <w:spacing w:val="-2"/>
          <w:sz w:val="22"/>
        </w:rPr>
        <w:t>Sujatha</w:t>
      </w:r>
      <w:r>
        <w:rPr>
          <w:spacing w:val="-12"/>
          <w:sz w:val="22"/>
        </w:rPr>
        <w:t> </w:t>
      </w:r>
      <w:r>
        <w:rPr>
          <w:spacing w:val="-2"/>
          <w:sz w:val="22"/>
        </w:rPr>
        <w:t>Ramdorai,</w:t>
      </w:r>
      <w:r>
        <w:rPr>
          <w:spacing w:val="-12"/>
          <w:sz w:val="22"/>
        </w:rPr>
        <w:t> </w:t>
      </w:r>
      <w:r>
        <w:rPr>
          <w:spacing w:val="-2"/>
          <w:sz w:val="22"/>
        </w:rPr>
        <w:t>Member,</w:t>
      </w:r>
      <w:r>
        <w:rPr>
          <w:spacing w:val="-11"/>
          <w:sz w:val="22"/>
        </w:rPr>
        <w:t> </w:t>
      </w:r>
      <w:r>
        <w:rPr>
          <w:spacing w:val="-2"/>
          <w:sz w:val="22"/>
        </w:rPr>
        <w:t>National </w:t>
      </w:r>
      <w:r>
        <w:rPr>
          <w:sz w:val="22"/>
        </w:rPr>
        <w:t>Knowledge Commission</w:t>
      </w:r>
    </w:p>
    <w:p>
      <w:pPr>
        <w:pStyle w:val="BodyText"/>
        <w:spacing w:before="18"/>
      </w:pPr>
    </w:p>
    <w:p>
      <w:pPr>
        <w:pStyle w:val="Heading6"/>
        <w:spacing w:line="235" w:lineRule="auto"/>
        <w:ind w:left="720" w:firstLine="0"/>
      </w:pPr>
      <w:bookmarkStart w:name="_TOC_250003" w:id="2"/>
      <w:r>
        <w:rPr>
          <w:color w:val="2E614A"/>
          <w:spacing w:val="-10"/>
        </w:rPr>
        <w:t>National Science and Social </w:t>
      </w:r>
      <w:r>
        <w:rPr>
          <w:color w:val="2E614A"/>
          <w:spacing w:val="-10"/>
        </w:rPr>
        <w:t>Science </w:t>
      </w:r>
      <w:bookmarkEnd w:id="2"/>
      <w:r>
        <w:rPr>
          <w:color w:val="2E614A"/>
          <w:spacing w:val="-2"/>
        </w:rPr>
        <w:t>Foundation</w:t>
      </w:r>
    </w:p>
    <w:p>
      <w:pPr>
        <w:pStyle w:val="ListParagraph"/>
        <w:numPr>
          <w:ilvl w:val="0"/>
          <w:numId w:val="95"/>
        </w:numPr>
        <w:tabs>
          <w:tab w:pos="1079" w:val="left" w:leader="none"/>
        </w:tabs>
        <w:spacing w:line="240" w:lineRule="auto" w:before="288" w:after="0"/>
        <w:ind w:left="1079" w:right="0" w:hanging="359"/>
        <w:jc w:val="left"/>
        <w:rPr>
          <w:sz w:val="22"/>
        </w:rPr>
      </w:pPr>
      <w:r>
        <w:rPr>
          <w:sz w:val="22"/>
        </w:rPr>
        <w:t>Dr.</w:t>
      </w:r>
      <w:r>
        <w:rPr>
          <w:spacing w:val="-3"/>
          <w:sz w:val="22"/>
        </w:rPr>
        <w:t> </w:t>
      </w:r>
      <w:r>
        <w:rPr>
          <w:sz w:val="22"/>
        </w:rPr>
        <w:t>U.R.</w:t>
      </w:r>
      <w:r>
        <w:rPr>
          <w:spacing w:val="-3"/>
          <w:sz w:val="22"/>
        </w:rPr>
        <w:t> </w:t>
      </w:r>
      <w:r>
        <w:rPr>
          <w:spacing w:val="-5"/>
          <w:sz w:val="22"/>
        </w:rPr>
        <w:t>Rao</w:t>
      </w:r>
    </w:p>
    <w:p>
      <w:pPr>
        <w:pStyle w:val="BodyText"/>
        <w:spacing w:before="29"/>
        <w:ind w:left="1080"/>
      </w:pPr>
      <w:r>
        <w:rPr>
          <w:spacing w:val="-4"/>
        </w:rPr>
        <w:t>Former</w:t>
      </w:r>
      <w:r>
        <w:rPr/>
        <w:t> </w:t>
      </w:r>
      <w:r>
        <w:rPr>
          <w:spacing w:val="-4"/>
        </w:rPr>
        <w:t>Director,</w:t>
      </w:r>
      <w:r>
        <w:rPr>
          <w:spacing w:val="1"/>
        </w:rPr>
        <w:t> </w:t>
      </w:r>
      <w:r>
        <w:rPr>
          <w:spacing w:val="-4"/>
        </w:rPr>
        <w:t>ISRO</w:t>
      </w:r>
    </w:p>
    <w:p>
      <w:pPr>
        <w:pStyle w:val="ListParagraph"/>
        <w:numPr>
          <w:ilvl w:val="0"/>
          <w:numId w:val="95"/>
        </w:numPr>
        <w:tabs>
          <w:tab w:pos="1080" w:val="left" w:leader="none"/>
        </w:tabs>
        <w:spacing w:line="266" w:lineRule="auto" w:before="119" w:after="0"/>
        <w:ind w:left="1080" w:right="3008" w:hanging="360"/>
        <w:jc w:val="left"/>
        <w:rPr>
          <w:sz w:val="22"/>
        </w:rPr>
      </w:pPr>
      <w:r>
        <w:rPr>
          <w:sz w:val="22"/>
        </w:rPr>
        <w:t>Prof. R. Ramaswamy </w:t>
      </w:r>
      <w:r>
        <w:rPr>
          <w:spacing w:val="-6"/>
          <w:sz w:val="22"/>
        </w:rPr>
        <w:t>Jawaharlal Nehru </w:t>
      </w:r>
      <w:r>
        <w:rPr>
          <w:spacing w:val="-6"/>
          <w:sz w:val="22"/>
        </w:rPr>
        <w:t>University</w:t>
      </w:r>
    </w:p>
    <w:p>
      <w:pPr>
        <w:pStyle w:val="ListParagraph"/>
        <w:numPr>
          <w:ilvl w:val="0"/>
          <w:numId w:val="95"/>
        </w:numPr>
        <w:tabs>
          <w:tab w:pos="1079" w:val="left" w:leader="none"/>
        </w:tabs>
        <w:spacing w:line="240" w:lineRule="auto" w:before="93" w:after="0"/>
        <w:ind w:left="1079" w:right="0" w:hanging="359"/>
        <w:jc w:val="left"/>
        <w:rPr>
          <w:sz w:val="22"/>
        </w:rPr>
      </w:pPr>
      <w:r>
        <w:rPr>
          <w:spacing w:val="-6"/>
          <w:sz w:val="22"/>
        </w:rPr>
        <w:t>Prof.</w:t>
      </w:r>
      <w:r>
        <w:rPr>
          <w:spacing w:val="7"/>
          <w:sz w:val="22"/>
        </w:rPr>
        <w:t> </w:t>
      </w:r>
      <w:r>
        <w:rPr>
          <w:spacing w:val="-6"/>
          <w:sz w:val="22"/>
        </w:rPr>
        <w:t>Senthil</w:t>
      </w:r>
      <w:r>
        <w:rPr>
          <w:spacing w:val="-3"/>
          <w:sz w:val="22"/>
        </w:rPr>
        <w:t> </w:t>
      </w:r>
      <w:r>
        <w:rPr>
          <w:spacing w:val="-6"/>
          <w:sz w:val="22"/>
        </w:rPr>
        <w:t>Todadri</w:t>
      </w:r>
    </w:p>
    <w:p>
      <w:pPr>
        <w:pStyle w:val="ListParagraph"/>
        <w:numPr>
          <w:ilvl w:val="0"/>
          <w:numId w:val="95"/>
        </w:numPr>
        <w:tabs>
          <w:tab w:pos="1079" w:val="left" w:leader="none"/>
        </w:tabs>
        <w:spacing w:line="240" w:lineRule="auto" w:before="119" w:after="0"/>
        <w:ind w:left="1079" w:right="0" w:hanging="359"/>
        <w:jc w:val="left"/>
        <w:rPr>
          <w:sz w:val="22"/>
        </w:rPr>
      </w:pPr>
      <w:r>
        <w:rPr>
          <w:sz w:val="22"/>
        </w:rPr>
        <w:t>Dr.</w:t>
      </w:r>
      <w:r>
        <w:rPr>
          <w:spacing w:val="-8"/>
          <w:sz w:val="22"/>
        </w:rPr>
        <w:t> </w:t>
      </w:r>
      <w:r>
        <w:rPr>
          <w:sz w:val="22"/>
        </w:rPr>
        <w:t>B.M.</w:t>
      </w:r>
      <w:r>
        <w:rPr>
          <w:spacing w:val="-7"/>
          <w:sz w:val="22"/>
        </w:rPr>
        <w:t> </w:t>
      </w:r>
      <w:r>
        <w:rPr>
          <w:spacing w:val="-2"/>
          <w:sz w:val="22"/>
        </w:rPr>
        <w:t>Hegde</w:t>
      </w:r>
    </w:p>
    <w:p>
      <w:pPr>
        <w:pStyle w:val="BodyText"/>
        <w:spacing w:line="266" w:lineRule="auto" w:before="29"/>
        <w:ind w:left="1080" w:right="2022"/>
      </w:pPr>
      <w:r>
        <w:rPr>
          <w:spacing w:val="-4"/>
        </w:rPr>
        <w:t>Postgraduate</w:t>
      </w:r>
      <w:r>
        <w:rPr>
          <w:spacing w:val="-10"/>
        </w:rPr>
        <w:t> </w:t>
      </w:r>
      <w:r>
        <w:rPr>
          <w:spacing w:val="-4"/>
        </w:rPr>
        <w:t>Medical</w:t>
      </w:r>
      <w:r>
        <w:rPr>
          <w:spacing w:val="-10"/>
        </w:rPr>
        <w:t> </w:t>
      </w:r>
      <w:r>
        <w:rPr>
          <w:spacing w:val="-4"/>
        </w:rPr>
        <w:t>Education</w:t>
      </w:r>
      <w:r>
        <w:rPr>
          <w:spacing w:val="-10"/>
        </w:rPr>
        <w:t> </w:t>
      </w:r>
      <w:r>
        <w:rPr>
          <w:spacing w:val="-4"/>
        </w:rPr>
        <w:t>Board </w:t>
      </w:r>
      <w:r>
        <w:rPr/>
        <w:t>Govt. of India</w:t>
      </w:r>
    </w:p>
    <w:p>
      <w:pPr>
        <w:pStyle w:val="ListParagraph"/>
        <w:numPr>
          <w:ilvl w:val="0"/>
          <w:numId w:val="95"/>
        </w:numPr>
        <w:tabs>
          <w:tab w:pos="1079" w:val="left" w:leader="none"/>
        </w:tabs>
        <w:spacing w:line="240" w:lineRule="auto" w:before="92" w:after="0"/>
        <w:ind w:left="1079" w:right="0" w:hanging="359"/>
        <w:jc w:val="left"/>
        <w:rPr>
          <w:sz w:val="22"/>
        </w:rPr>
      </w:pPr>
      <w:r>
        <w:rPr>
          <w:spacing w:val="-2"/>
          <w:sz w:val="22"/>
        </w:rPr>
        <w:t>Prof.</w:t>
      </w:r>
      <w:r>
        <w:rPr>
          <w:spacing w:val="-12"/>
          <w:sz w:val="22"/>
        </w:rPr>
        <w:t> </w:t>
      </w:r>
      <w:r>
        <w:rPr>
          <w:spacing w:val="-2"/>
          <w:sz w:val="22"/>
        </w:rPr>
        <w:t>C.S.</w:t>
      </w:r>
      <w:r>
        <w:rPr>
          <w:spacing w:val="-11"/>
          <w:sz w:val="22"/>
        </w:rPr>
        <w:t> </w:t>
      </w:r>
      <w:r>
        <w:rPr>
          <w:spacing w:val="-2"/>
          <w:sz w:val="22"/>
        </w:rPr>
        <w:t>Seshadri</w:t>
      </w:r>
    </w:p>
    <w:p>
      <w:pPr>
        <w:pStyle w:val="BodyText"/>
        <w:spacing w:line="266" w:lineRule="auto" w:before="29"/>
        <w:ind w:left="1080" w:right="2022"/>
      </w:pPr>
      <w:r>
        <w:rPr>
          <w:spacing w:val="-2"/>
        </w:rPr>
        <w:t>Chennai</w:t>
      </w:r>
      <w:r>
        <w:rPr>
          <w:spacing w:val="-11"/>
        </w:rPr>
        <w:t> </w:t>
      </w:r>
      <w:r>
        <w:rPr>
          <w:spacing w:val="-2"/>
        </w:rPr>
        <w:t>Mathematical</w:t>
      </w:r>
      <w:r>
        <w:rPr>
          <w:spacing w:val="-11"/>
        </w:rPr>
        <w:t> </w:t>
      </w:r>
      <w:r>
        <w:rPr>
          <w:spacing w:val="-2"/>
        </w:rPr>
        <w:t>Institute Chennai</w:t>
      </w:r>
    </w:p>
    <w:p>
      <w:pPr>
        <w:pStyle w:val="ListParagraph"/>
        <w:numPr>
          <w:ilvl w:val="0"/>
          <w:numId w:val="95"/>
        </w:numPr>
        <w:tabs>
          <w:tab w:pos="1080" w:val="left" w:leader="none"/>
        </w:tabs>
        <w:spacing w:line="266" w:lineRule="auto" w:before="93" w:after="0"/>
        <w:ind w:left="1080" w:right="3997" w:hanging="360"/>
        <w:jc w:val="left"/>
        <w:rPr>
          <w:sz w:val="22"/>
        </w:rPr>
      </w:pPr>
      <w:r>
        <w:rPr>
          <w:spacing w:val="-4"/>
          <w:sz w:val="22"/>
        </w:rPr>
        <w:t>Dr.</w:t>
      </w:r>
      <w:r>
        <w:rPr>
          <w:spacing w:val="-10"/>
          <w:sz w:val="22"/>
        </w:rPr>
        <w:t> </w:t>
      </w:r>
      <w:r>
        <w:rPr>
          <w:spacing w:val="-4"/>
          <w:sz w:val="22"/>
        </w:rPr>
        <w:t>Mangala</w:t>
      </w:r>
      <w:r>
        <w:rPr>
          <w:spacing w:val="-10"/>
          <w:sz w:val="22"/>
        </w:rPr>
        <w:t> </w:t>
      </w:r>
      <w:r>
        <w:rPr>
          <w:spacing w:val="-4"/>
          <w:sz w:val="22"/>
        </w:rPr>
        <w:t>Rai ICAR</w:t>
      </w:r>
    </w:p>
    <w:p>
      <w:pPr>
        <w:pStyle w:val="ListParagraph"/>
        <w:numPr>
          <w:ilvl w:val="0"/>
          <w:numId w:val="95"/>
        </w:numPr>
        <w:tabs>
          <w:tab w:pos="1080" w:val="left" w:leader="none"/>
        </w:tabs>
        <w:spacing w:line="266" w:lineRule="auto" w:before="92" w:after="0"/>
        <w:ind w:left="1080" w:right="2878" w:hanging="360"/>
        <w:jc w:val="left"/>
        <w:rPr>
          <w:sz w:val="22"/>
        </w:rPr>
      </w:pPr>
      <w:r>
        <w:rPr>
          <w:spacing w:val="-6"/>
          <w:sz w:val="22"/>
        </w:rPr>
        <w:t>Prof.</w:t>
      </w:r>
      <w:r>
        <w:rPr>
          <w:spacing w:val="-8"/>
          <w:sz w:val="22"/>
        </w:rPr>
        <w:t> </w:t>
      </w:r>
      <w:r>
        <w:rPr>
          <w:spacing w:val="-6"/>
          <w:sz w:val="22"/>
        </w:rPr>
        <w:t>Sabyasachi</w:t>
      </w:r>
      <w:r>
        <w:rPr>
          <w:spacing w:val="-8"/>
          <w:sz w:val="22"/>
        </w:rPr>
        <w:t> </w:t>
      </w:r>
      <w:r>
        <w:rPr>
          <w:spacing w:val="-6"/>
          <w:sz w:val="22"/>
        </w:rPr>
        <w:t>Bhattacharya </w:t>
      </w:r>
      <w:r>
        <w:rPr>
          <w:spacing w:val="-4"/>
          <w:sz w:val="22"/>
        </w:rPr>
        <w:t>TIFR</w:t>
      </w:r>
    </w:p>
    <w:p>
      <w:pPr>
        <w:pStyle w:val="ListParagraph"/>
        <w:numPr>
          <w:ilvl w:val="0"/>
          <w:numId w:val="95"/>
        </w:numPr>
        <w:tabs>
          <w:tab w:pos="1080" w:val="left" w:leader="none"/>
        </w:tabs>
        <w:spacing w:line="266" w:lineRule="auto" w:before="92" w:after="0"/>
        <w:ind w:left="1080" w:right="3757" w:hanging="360"/>
        <w:jc w:val="left"/>
        <w:rPr>
          <w:sz w:val="22"/>
        </w:rPr>
      </w:pPr>
      <w:r>
        <w:rPr>
          <w:spacing w:val="-6"/>
          <w:sz w:val="22"/>
        </w:rPr>
        <w:t>Dr.</w:t>
      </w:r>
      <w:r>
        <w:rPr>
          <w:spacing w:val="-8"/>
          <w:sz w:val="22"/>
        </w:rPr>
        <w:t> </w:t>
      </w:r>
      <w:r>
        <w:rPr>
          <w:spacing w:val="-6"/>
          <w:sz w:val="22"/>
        </w:rPr>
        <w:t>A.V.</w:t>
      </w:r>
      <w:r>
        <w:rPr>
          <w:spacing w:val="-8"/>
          <w:sz w:val="22"/>
        </w:rPr>
        <w:t> </w:t>
      </w:r>
      <w:r>
        <w:rPr>
          <w:spacing w:val="-6"/>
          <w:sz w:val="22"/>
        </w:rPr>
        <w:t>Rama</w:t>
      </w:r>
      <w:r>
        <w:rPr>
          <w:spacing w:val="-8"/>
          <w:sz w:val="22"/>
        </w:rPr>
        <w:t> </w:t>
      </w:r>
      <w:r>
        <w:rPr>
          <w:spacing w:val="-6"/>
          <w:sz w:val="22"/>
        </w:rPr>
        <w:t>Rao </w:t>
      </w:r>
      <w:r>
        <w:rPr>
          <w:spacing w:val="-10"/>
          <w:sz w:val="22"/>
        </w:rPr>
        <w:t>AVRA</w:t>
      </w:r>
      <w:r>
        <w:rPr>
          <w:spacing w:val="-4"/>
          <w:sz w:val="22"/>
        </w:rPr>
        <w:t> </w:t>
      </w:r>
      <w:r>
        <w:rPr>
          <w:spacing w:val="-10"/>
          <w:sz w:val="22"/>
        </w:rPr>
        <w:t>Laboratories</w:t>
      </w:r>
    </w:p>
    <w:p>
      <w:pPr>
        <w:pStyle w:val="ListParagraph"/>
        <w:numPr>
          <w:ilvl w:val="0"/>
          <w:numId w:val="95"/>
        </w:numPr>
        <w:tabs>
          <w:tab w:pos="1080" w:val="left" w:leader="none"/>
        </w:tabs>
        <w:spacing w:line="266" w:lineRule="auto" w:before="93" w:after="0"/>
        <w:ind w:left="1080" w:right="3704" w:hanging="360"/>
        <w:jc w:val="left"/>
        <w:rPr>
          <w:sz w:val="22"/>
        </w:rPr>
      </w:pPr>
      <w:r>
        <w:rPr>
          <w:spacing w:val="-6"/>
          <w:sz w:val="22"/>
        </w:rPr>
        <w:t>Prof.</w:t>
      </w:r>
      <w:r>
        <w:rPr>
          <w:spacing w:val="-8"/>
          <w:sz w:val="22"/>
        </w:rPr>
        <w:t> </w:t>
      </w:r>
      <w:r>
        <w:rPr>
          <w:spacing w:val="-6"/>
          <w:sz w:val="22"/>
        </w:rPr>
        <w:t>Ajit</w:t>
      </w:r>
      <w:r>
        <w:rPr>
          <w:spacing w:val="-8"/>
          <w:sz w:val="22"/>
        </w:rPr>
        <w:t> </w:t>
      </w:r>
      <w:r>
        <w:rPr>
          <w:spacing w:val="-6"/>
          <w:sz w:val="22"/>
        </w:rPr>
        <w:t>Kembhavi </w:t>
      </w:r>
      <w:r>
        <w:rPr>
          <w:sz w:val="22"/>
        </w:rPr>
        <w:t>IUCAA, Pune</w:t>
      </w:r>
    </w:p>
    <w:p>
      <w:pPr>
        <w:pStyle w:val="ListParagraph"/>
        <w:numPr>
          <w:ilvl w:val="0"/>
          <w:numId w:val="95"/>
        </w:numPr>
        <w:tabs>
          <w:tab w:pos="1080" w:val="left" w:leader="none"/>
        </w:tabs>
        <w:spacing w:line="266" w:lineRule="auto" w:before="92" w:after="0"/>
        <w:ind w:left="1080" w:right="3834" w:hanging="360"/>
        <w:jc w:val="left"/>
        <w:rPr>
          <w:sz w:val="22"/>
        </w:rPr>
      </w:pPr>
      <w:r>
        <w:rPr>
          <w:spacing w:val="-4"/>
          <w:sz w:val="22"/>
        </w:rPr>
        <w:t>Prof.</w:t>
      </w:r>
      <w:r>
        <w:rPr>
          <w:spacing w:val="-10"/>
          <w:sz w:val="22"/>
        </w:rPr>
        <w:t> </w:t>
      </w:r>
      <w:r>
        <w:rPr>
          <w:spacing w:val="-4"/>
          <w:sz w:val="22"/>
        </w:rPr>
        <w:t>S.</w:t>
      </w:r>
      <w:r>
        <w:rPr>
          <w:spacing w:val="-10"/>
          <w:sz w:val="22"/>
        </w:rPr>
        <w:t> </w:t>
      </w:r>
      <w:r>
        <w:rPr>
          <w:spacing w:val="-4"/>
          <w:sz w:val="22"/>
        </w:rPr>
        <w:t>Umapathy </w:t>
      </w:r>
      <w:r>
        <w:rPr>
          <w:sz w:val="22"/>
        </w:rPr>
        <w:t>IISc, Bangalore</w:t>
      </w:r>
    </w:p>
    <w:p>
      <w:pPr>
        <w:pStyle w:val="ListParagraph"/>
        <w:numPr>
          <w:ilvl w:val="0"/>
          <w:numId w:val="95"/>
        </w:numPr>
        <w:tabs>
          <w:tab w:pos="1080" w:val="left" w:leader="none"/>
        </w:tabs>
        <w:spacing w:line="266" w:lineRule="auto" w:before="93" w:after="0"/>
        <w:ind w:left="1080" w:right="3522" w:hanging="360"/>
        <w:jc w:val="left"/>
        <w:rPr>
          <w:sz w:val="22"/>
        </w:rPr>
      </w:pPr>
      <w:r>
        <w:rPr>
          <w:sz w:val="22"/>
        </w:rPr>
        <w:t>Prof. S.M. Chitre </w:t>
      </w:r>
      <w:r>
        <w:rPr>
          <w:spacing w:val="-4"/>
          <w:sz w:val="22"/>
        </w:rPr>
        <w:t>University</w:t>
      </w:r>
      <w:r>
        <w:rPr>
          <w:spacing w:val="-10"/>
          <w:sz w:val="22"/>
        </w:rPr>
        <w:t> </w:t>
      </w:r>
      <w:r>
        <w:rPr>
          <w:spacing w:val="-4"/>
          <w:sz w:val="22"/>
        </w:rPr>
        <w:t>of</w:t>
      </w:r>
      <w:r>
        <w:rPr>
          <w:spacing w:val="-10"/>
          <w:sz w:val="22"/>
        </w:rPr>
        <w:t> </w:t>
      </w:r>
      <w:r>
        <w:rPr>
          <w:spacing w:val="-4"/>
          <w:sz w:val="22"/>
        </w:rPr>
        <w:t>Mumbai</w:t>
      </w:r>
    </w:p>
    <w:p>
      <w:pPr>
        <w:pStyle w:val="ListParagraph"/>
        <w:numPr>
          <w:ilvl w:val="0"/>
          <w:numId w:val="95"/>
        </w:numPr>
        <w:tabs>
          <w:tab w:pos="1079" w:val="left" w:leader="none"/>
        </w:tabs>
        <w:spacing w:line="240" w:lineRule="auto" w:before="92" w:after="0"/>
        <w:ind w:left="1079" w:right="0" w:hanging="359"/>
        <w:jc w:val="left"/>
        <w:rPr>
          <w:sz w:val="22"/>
        </w:rPr>
      </w:pPr>
      <w:r>
        <w:rPr>
          <w:spacing w:val="-8"/>
          <w:sz w:val="22"/>
        </w:rPr>
        <w:t>Prof.</w:t>
      </w:r>
      <w:r>
        <w:rPr>
          <w:spacing w:val="1"/>
          <w:sz w:val="22"/>
        </w:rPr>
        <w:t> </w:t>
      </w:r>
      <w:r>
        <w:rPr>
          <w:spacing w:val="-8"/>
          <w:sz w:val="22"/>
        </w:rPr>
        <w:t>Sanjeev</w:t>
      </w:r>
      <w:r>
        <w:rPr>
          <w:spacing w:val="1"/>
          <w:sz w:val="22"/>
        </w:rPr>
        <w:t> </w:t>
      </w:r>
      <w:r>
        <w:rPr>
          <w:spacing w:val="-8"/>
          <w:sz w:val="22"/>
        </w:rPr>
        <w:t>Galande</w:t>
      </w:r>
    </w:p>
    <w:p>
      <w:pPr>
        <w:pStyle w:val="BodyText"/>
        <w:spacing w:line="266" w:lineRule="auto" w:before="29"/>
        <w:ind w:left="1080" w:right="2281"/>
      </w:pPr>
      <w:r>
        <w:rPr>
          <w:spacing w:val="-4"/>
        </w:rPr>
        <w:t>National</w:t>
      </w:r>
      <w:r>
        <w:rPr>
          <w:spacing w:val="-7"/>
        </w:rPr>
        <w:t> </w:t>
      </w:r>
      <w:r>
        <w:rPr>
          <w:spacing w:val="-4"/>
        </w:rPr>
        <w:t>Centre</w:t>
      </w:r>
      <w:r>
        <w:rPr>
          <w:spacing w:val="-7"/>
        </w:rPr>
        <w:t> </w:t>
      </w:r>
      <w:r>
        <w:rPr>
          <w:spacing w:val="-4"/>
        </w:rPr>
        <w:t>for</w:t>
      </w:r>
      <w:r>
        <w:rPr>
          <w:spacing w:val="-7"/>
        </w:rPr>
        <w:t> </w:t>
      </w:r>
      <w:r>
        <w:rPr>
          <w:spacing w:val="-4"/>
        </w:rPr>
        <w:t>Cell</w:t>
      </w:r>
      <w:r>
        <w:rPr>
          <w:spacing w:val="-7"/>
        </w:rPr>
        <w:t> </w:t>
      </w:r>
      <w:r>
        <w:rPr>
          <w:spacing w:val="-4"/>
        </w:rPr>
        <w:t>Science Pune</w:t>
      </w:r>
    </w:p>
    <w:p>
      <w:pPr>
        <w:pStyle w:val="ListParagraph"/>
        <w:numPr>
          <w:ilvl w:val="0"/>
          <w:numId w:val="95"/>
        </w:numPr>
        <w:tabs>
          <w:tab w:pos="1080" w:val="left" w:leader="none"/>
        </w:tabs>
        <w:spacing w:line="266" w:lineRule="auto" w:before="92" w:after="0"/>
        <w:ind w:left="1080" w:right="3857" w:hanging="360"/>
        <w:jc w:val="left"/>
        <w:rPr>
          <w:sz w:val="22"/>
        </w:rPr>
      </w:pPr>
      <w:r>
        <w:rPr>
          <w:spacing w:val="-2"/>
          <w:sz w:val="22"/>
        </w:rPr>
        <w:t>Dr.</w:t>
      </w:r>
      <w:r>
        <w:rPr>
          <w:spacing w:val="-12"/>
          <w:sz w:val="22"/>
        </w:rPr>
        <w:t> </w:t>
      </w:r>
      <w:r>
        <w:rPr>
          <w:spacing w:val="-2"/>
          <w:sz w:val="22"/>
        </w:rPr>
        <w:t>N.K.</w:t>
      </w:r>
      <w:r>
        <w:rPr>
          <w:spacing w:val="-12"/>
          <w:sz w:val="22"/>
        </w:rPr>
        <w:t> </w:t>
      </w:r>
      <w:r>
        <w:rPr>
          <w:spacing w:val="-2"/>
          <w:sz w:val="22"/>
        </w:rPr>
        <w:t>Ganguly </w:t>
      </w:r>
      <w:r>
        <w:rPr>
          <w:spacing w:val="-4"/>
          <w:sz w:val="22"/>
        </w:rPr>
        <w:t>ICMR</w:t>
      </w:r>
    </w:p>
    <w:p>
      <w:pPr>
        <w:pStyle w:val="ListParagraph"/>
        <w:numPr>
          <w:ilvl w:val="0"/>
          <w:numId w:val="95"/>
        </w:numPr>
        <w:tabs>
          <w:tab w:pos="1079" w:val="left" w:leader="none"/>
        </w:tabs>
        <w:spacing w:line="240" w:lineRule="auto" w:before="93" w:after="0"/>
        <w:ind w:left="1079" w:right="0" w:hanging="359"/>
        <w:jc w:val="left"/>
        <w:rPr>
          <w:sz w:val="22"/>
        </w:rPr>
      </w:pPr>
      <w:r>
        <w:rPr>
          <w:spacing w:val="-6"/>
          <w:sz w:val="22"/>
        </w:rPr>
        <w:t>Dr.</w:t>
      </w:r>
      <w:r>
        <w:rPr>
          <w:spacing w:val="-8"/>
          <w:sz w:val="22"/>
        </w:rPr>
        <w:t> </w:t>
      </w:r>
      <w:r>
        <w:rPr>
          <w:spacing w:val="-6"/>
          <w:sz w:val="22"/>
        </w:rPr>
        <w:t>V.</w:t>
      </w:r>
      <w:r>
        <w:rPr>
          <w:spacing w:val="-5"/>
          <w:sz w:val="22"/>
        </w:rPr>
        <w:t> </w:t>
      </w:r>
      <w:r>
        <w:rPr>
          <w:spacing w:val="-6"/>
          <w:sz w:val="22"/>
        </w:rPr>
        <w:t>Rao</w:t>
      </w:r>
      <w:r>
        <w:rPr>
          <w:spacing w:val="-4"/>
          <w:sz w:val="22"/>
        </w:rPr>
        <w:t> </w:t>
      </w:r>
      <w:r>
        <w:rPr>
          <w:spacing w:val="-6"/>
          <w:sz w:val="22"/>
        </w:rPr>
        <w:t>Aiyagari</w:t>
      </w:r>
    </w:p>
    <w:p>
      <w:pPr>
        <w:pStyle w:val="BodyText"/>
        <w:spacing w:before="29"/>
        <w:ind w:left="1080"/>
      </w:pPr>
      <w:r>
        <w:rPr>
          <w:spacing w:val="-4"/>
        </w:rPr>
        <w:t>SERC,</w:t>
      </w:r>
      <w:r>
        <w:rPr>
          <w:spacing w:val="1"/>
        </w:rPr>
        <w:t> </w:t>
      </w:r>
      <w:r>
        <w:rPr>
          <w:spacing w:val="-4"/>
        </w:rPr>
        <w:t>Department</w:t>
      </w:r>
      <w:r>
        <w:rPr>
          <w:spacing w:val="1"/>
        </w:rPr>
        <w:t> </w:t>
      </w:r>
      <w:r>
        <w:rPr>
          <w:spacing w:val="-4"/>
        </w:rPr>
        <w:t>of</w:t>
      </w:r>
      <w:r>
        <w:rPr>
          <w:spacing w:val="1"/>
        </w:rPr>
        <w:t> </w:t>
      </w:r>
      <w:r>
        <w:rPr>
          <w:spacing w:val="-4"/>
        </w:rPr>
        <w:t>Science</w:t>
      </w:r>
      <w:r>
        <w:rPr>
          <w:spacing w:val="1"/>
        </w:rPr>
        <w:t> </w:t>
      </w:r>
      <w:r>
        <w:rPr>
          <w:spacing w:val="-4"/>
        </w:rPr>
        <w:t>and</w:t>
      </w:r>
      <w:r>
        <w:rPr>
          <w:spacing w:val="-10"/>
        </w:rPr>
        <w:t> </w:t>
      </w:r>
      <w:r>
        <w:rPr>
          <w:spacing w:val="-4"/>
        </w:rPr>
        <w:t>Technology</w:t>
      </w:r>
    </w:p>
    <w:p>
      <w:pPr>
        <w:spacing w:after="0"/>
        <w:sectPr>
          <w:pgSz w:w="11910" w:h="16840"/>
          <w:pgMar w:header="0" w:footer="675" w:top="960" w:bottom="860" w:left="0" w:right="0"/>
          <w:cols w:num="2" w:equalWidth="0">
            <w:col w:w="5373" w:space="40"/>
            <w:col w:w="6497"/>
          </w:cols>
        </w:sectPr>
      </w:pPr>
    </w:p>
    <w:p>
      <w:pPr>
        <w:pStyle w:val="ListParagraph"/>
        <w:numPr>
          <w:ilvl w:val="0"/>
          <w:numId w:val="95"/>
        </w:numPr>
        <w:tabs>
          <w:tab w:pos="1439" w:val="left" w:leader="none"/>
        </w:tabs>
        <w:spacing w:line="266" w:lineRule="auto" w:before="57" w:after="0"/>
        <w:ind w:left="1439" w:right="1969" w:hanging="360"/>
        <w:jc w:val="left"/>
        <w:rPr>
          <w:sz w:val="22"/>
        </w:rPr>
      </w:pPr>
      <w:r>
        <w:rPr>
          <w:spacing w:val="-10"/>
          <w:sz w:val="22"/>
        </w:rPr>
        <w:t>P.M.</w:t>
      </w:r>
      <w:r>
        <w:rPr>
          <w:spacing w:val="-4"/>
          <w:sz w:val="22"/>
        </w:rPr>
        <w:t> </w:t>
      </w:r>
      <w:r>
        <w:rPr>
          <w:spacing w:val="-10"/>
          <w:sz w:val="22"/>
        </w:rPr>
        <w:t>Bhargava </w:t>
      </w:r>
      <w:r>
        <w:rPr>
          <w:spacing w:val="-4"/>
          <w:sz w:val="22"/>
        </w:rPr>
        <w:t>NKC</w:t>
      </w:r>
    </w:p>
    <w:p>
      <w:pPr>
        <w:pStyle w:val="ListParagraph"/>
        <w:numPr>
          <w:ilvl w:val="0"/>
          <w:numId w:val="95"/>
        </w:numPr>
        <w:tabs>
          <w:tab w:pos="1439" w:val="left" w:leader="none"/>
        </w:tabs>
        <w:spacing w:line="266" w:lineRule="auto" w:before="93" w:after="0"/>
        <w:ind w:left="1439" w:right="1873" w:hanging="360"/>
        <w:jc w:val="left"/>
        <w:rPr>
          <w:sz w:val="22"/>
        </w:rPr>
      </w:pPr>
      <w:r>
        <w:rPr>
          <w:spacing w:val="-6"/>
          <w:sz w:val="22"/>
        </w:rPr>
        <w:t>Ashok</w:t>
      </w:r>
      <w:r>
        <w:rPr>
          <w:spacing w:val="-8"/>
          <w:sz w:val="22"/>
        </w:rPr>
        <w:t> </w:t>
      </w:r>
      <w:r>
        <w:rPr>
          <w:spacing w:val="-6"/>
          <w:sz w:val="22"/>
        </w:rPr>
        <w:t>Ganguly </w:t>
      </w:r>
      <w:r>
        <w:rPr>
          <w:spacing w:val="-4"/>
          <w:sz w:val="22"/>
        </w:rPr>
        <w:t>NKC</w:t>
      </w:r>
    </w:p>
    <w:p>
      <w:pPr>
        <w:pStyle w:val="ListParagraph"/>
        <w:numPr>
          <w:ilvl w:val="0"/>
          <w:numId w:val="95"/>
        </w:numPr>
        <w:tabs>
          <w:tab w:pos="1439" w:val="left" w:leader="none"/>
        </w:tabs>
        <w:spacing w:line="266" w:lineRule="auto" w:before="92" w:after="0"/>
        <w:ind w:left="1439" w:right="1876" w:hanging="360"/>
        <w:jc w:val="left"/>
        <w:rPr>
          <w:sz w:val="22"/>
        </w:rPr>
      </w:pPr>
      <w:r>
        <w:rPr>
          <w:spacing w:val="-6"/>
          <w:sz w:val="22"/>
        </w:rPr>
        <w:t>Deepak</w:t>
      </w:r>
      <w:r>
        <w:rPr>
          <w:spacing w:val="-8"/>
          <w:sz w:val="22"/>
        </w:rPr>
        <w:t> </w:t>
      </w:r>
      <w:r>
        <w:rPr>
          <w:spacing w:val="-6"/>
          <w:sz w:val="22"/>
        </w:rPr>
        <w:t>Nayyar </w:t>
      </w:r>
      <w:r>
        <w:rPr>
          <w:spacing w:val="-4"/>
          <w:sz w:val="22"/>
        </w:rPr>
        <w:t>NKC</w:t>
      </w:r>
    </w:p>
    <w:p>
      <w:pPr>
        <w:pStyle w:val="ListParagraph"/>
        <w:numPr>
          <w:ilvl w:val="0"/>
          <w:numId w:val="95"/>
        </w:numPr>
        <w:tabs>
          <w:tab w:pos="1439" w:val="left" w:leader="none"/>
        </w:tabs>
        <w:spacing w:line="266" w:lineRule="auto" w:before="91" w:after="0"/>
        <w:ind w:left="1439" w:right="1868" w:hanging="360"/>
        <w:jc w:val="left"/>
        <w:rPr>
          <w:sz w:val="22"/>
        </w:rPr>
      </w:pPr>
      <w:r>
        <w:rPr>
          <w:spacing w:val="-8"/>
          <w:sz w:val="22"/>
        </w:rPr>
        <w:t>Ashok</w:t>
      </w:r>
      <w:r>
        <w:rPr>
          <w:spacing w:val="-6"/>
          <w:sz w:val="22"/>
        </w:rPr>
        <w:t> </w:t>
      </w:r>
      <w:r>
        <w:rPr>
          <w:spacing w:val="-8"/>
          <w:sz w:val="22"/>
        </w:rPr>
        <w:t>Kolaskar </w:t>
      </w:r>
      <w:r>
        <w:rPr>
          <w:spacing w:val="-4"/>
          <w:sz w:val="22"/>
        </w:rPr>
        <w:t>NKC</w:t>
      </w:r>
    </w:p>
    <w:p>
      <w:pPr>
        <w:pStyle w:val="BodyText"/>
        <w:spacing w:before="11"/>
      </w:pPr>
    </w:p>
    <w:p>
      <w:pPr>
        <w:pStyle w:val="Heading6"/>
        <w:spacing w:before="1"/>
        <w:ind w:left="1080" w:firstLine="0"/>
      </w:pPr>
      <w:bookmarkStart w:name="_TOC_250002" w:id="3"/>
      <w:r>
        <w:rPr>
          <w:color w:val="2E614A"/>
          <w:w w:val="90"/>
        </w:rPr>
        <w:t>Intellectual</w:t>
      </w:r>
      <w:r>
        <w:rPr>
          <w:color w:val="2E614A"/>
          <w:spacing w:val="8"/>
        </w:rPr>
        <w:t> </w:t>
      </w:r>
      <w:r>
        <w:rPr>
          <w:color w:val="2E614A"/>
          <w:w w:val="90"/>
        </w:rPr>
        <w:t>Property</w:t>
      </w:r>
      <w:r>
        <w:rPr>
          <w:color w:val="2E614A"/>
          <w:spacing w:val="8"/>
        </w:rPr>
        <w:t> </w:t>
      </w:r>
      <w:bookmarkEnd w:id="3"/>
      <w:r>
        <w:rPr>
          <w:color w:val="2E614A"/>
          <w:spacing w:val="-2"/>
          <w:w w:val="90"/>
        </w:rPr>
        <w:t>Rights</w:t>
      </w:r>
    </w:p>
    <w:p>
      <w:pPr>
        <w:pStyle w:val="ListParagraph"/>
        <w:numPr>
          <w:ilvl w:val="0"/>
          <w:numId w:val="96"/>
        </w:numPr>
        <w:tabs>
          <w:tab w:pos="1440" w:val="left" w:leader="none"/>
        </w:tabs>
        <w:spacing w:line="266" w:lineRule="auto" w:before="285" w:after="0"/>
        <w:ind w:left="1440" w:right="1528" w:hanging="360"/>
        <w:jc w:val="left"/>
        <w:rPr>
          <w:sz w:val="22"/>
        </w:rPr>
      </w:pPr>
      <w:r>
        <w:rPr>
          <w:spacing w:val="-6"/>
          <w:sz w:val="22"/>
        </w:rPr>
        <w:t>Dr.</w:t>
      </w:r>
      <w:r>
        <w:rPr>
          <w:spacing w:val="-8"/>
          <w:sz w:val="22"/>
        </w:rPr>
        <w:t> </w:t>
      </w:r>
      <w:r>
        <w:rPr>
          <w:spacing w:val="-6"/>
          <w:sz w:val="22"/>
        </w:rPr>
        <w:t>R.A.</w:t>
      </w:r>
      <w:r>
        <w:rPr>
          <w:spacing w:val="-8"/>
          <w:sz w:val="22"/>
        </w:rPr>
        <w:t> </w:t>
      </w:r>
      <w:r>
        <w:rPr>
          <w:spacing w:val="-6"/>
          <w:sz w:val="22"/>
        </w:rPr>
        <w:t>Mashelkar </w:t>
      </w:r>
      <w:r>
        <w:rPr>
          <w:spacing w:val="-4"/>
          <w:sz w:val="22"/>
        </w:rPr>
        <w:t>CSIR</w:t>
      </w:r>
    </w:p>
    <w:p>
      <w:pPr>
        <w:pStyle w:val="ListParagraph"/>
        <w:numPr>
          <w:ilvl w:val="0"/>
          <w:numId w:val="96"/>
        </w:numPr>
        <w:tabs>
          <w:tab w:pos="1440" w:val="left" w:leader="none"/>
        </w:tabs>
        <w:spacing w:line="266" w:lineRule="auto" w:before="88" w:after="0"/>
        <w:ind w:left="1440" w:right="1630" w:hanging="360"/>
        <w:jc w:val="left"/>
        <w:rPr>
          <w:sz w:val="22"/>
        </w:rPr>
      </w:pPr>
      <w:r>
        <w:rPr>
          <w:spacing w:val="-8"/>
          <w:sz w:val="22"/>
        </w:rPr>
        <w:t>Dr.</w:t>
      </w:r>
      <w:r>
        <w:rPr>
          <w:spacing w:val="-6"/>
          <w:sz w:val="22"/>
        </w:rPr>
        <w:t> </w:t>
      </w:r>
      <w:r>
        <w:rPr>
          <w:spacing w:val="-8"/>
          <w:sz w:val="22"/>
        </w:rPr>
        <w:t>P.M.</w:t>
      </w:r>
      <w:r>
        <w:rPr>
          <w:spacing w:val="-6"/>
          <w:sz w:val="22"/>
        </w:rPr>
        <w:t> </w:t>
      </w:r>
      <w:r>
        <w:rPr>
          <w:spacing w:val="-8"/>
          <w:sz w:val="22"/>
        </w:rPr>
        <w:t>Bhargava </w:t>
      </w:r>
      <w:r>
        <w:rPr>
          <w:spacing w:val="-4"/>
          <w:sz w:val="22"/>
        </w:rPr>
        <w:t>NKC</w:t>
      </w:r>
    </w:p>
    <w:p>
      <w:pPr>
        <w:pStyle w:val="ListParagraph"/>
        <w:numPr>
          <w:ilvl w:val="0"/>
          <w:numId w:val="96"/>
        </w:numPr>
        <w:tabs>
          <w:tab w:pos="1440" w:val="left" w:leader="none"/>
        </w:tabs>
        <w:spacing w:line="266" w:lineRule="auto" w:before="89" w:after="0"/>
        <w:ind w:left="1440" w:right="1183" w:hanging="360"/>
        <w:jc w:val="left"/>
        <w:rPr>
          <w:sz w:val="22"/>
        </w:rPr>
      </w:pPr>
      <w:r>
        <w:rPr>
          <w:spacing w:val="-2"/>
          <w:sz w:val="22"/>
        </w:rPr>
        <w:t>Dr.</w:t>
      </w:r>
      <w:r>
        <w:rPr>
          <w:spacing w:val="-12"/>
          <w:sz w:val="22"/>
        </w:rPr>
        <w:t> </w:t>
      </w:r>
      <w:r>
        <w:rPr>
          <w:spacing w:val="-2"/>
          <w:sz w:val="22"/>
        </w:rPr>
        <w:t>Prabuddha</w:t>
      </w:r>
      <w:r>
        <w:rPr>
          <w:spacing w:val="-12"/>
          <w:sz w:val="22"/>
        </w:rPr>
        <w:t> </w:t>
      </w:r>
      <w:r>
        <w:rPr>
          <w:spacing w:val="-2"/>
          <w:sz w:val="22"/>
        </w:rPr>
        <w:t>Ganguli </w:t>
      </w:r>
      <w:r>
        <w:rPr>
          <w:sz w:val="22"/>
        </w:rPr>
        <w:t>IIT Mumbai</w:t>
      </w:r>
    </w:p>
    <w:p>
      <w:pPr>
        <w:pStyle w:val="ListParagraph"/>
        <w:numPr>
          <w:ilvl w:val="0"/>
          <w:numId w:val="96"/>
        </w:numPr>
        <w:tabs>
          <w:tab w:pos="1439" w:val="left" w:leader="none"/>
        </w:tabs>
        <w:spacing w:line="240" w:lineRule="auto" w:before="88" w:after="0"/>
        <w:ind w:left="1439" w:right="0" w:hanging="359"/>
        <w:jc w:val="left"/>
        <w:rPr>
          <w:sz w:val="22"/>
        </w:rPr>
      </w:pPr>
      <w:r>
        <w:rPr>
          <w:spacing w:val="-2"/>
          <w:sz w:val="22"/>
        </w:rPr>
        <w:t>Mr.</w:t>
      </w:r>
      <w:r>
        <w:rPr>
          <w:spacing w:val="-10"/>
          <w:sz w:val="22"/>
        </w:rPr>
        <w:t> </w:t>
      </w:r>
      <w:r>
        <w:rPr>
          <w:spacing w:val="-2"/>
          <w:sz w:val="22"/>
        </w:rPr>
        <w:t>Anjan</w:t>
      </w:r>
      <w:r>
        <w:rPr>
          <w:spacing w:val="-9"/>
          <w:sz w:val="22"/>
        </w:rPr>
        <w:t> </w:t>
      </w:r>
      <w:r>
        <w:rPr>
          <w:spacing w:val="-2"/>
          <w:sz w:val="22"/>
        </w:rPr>
        <w:t>Das,</w:t>
      </w:r>
      <w:r>
        <w:rPr>
          <w:spacing w:val="-9"/>
          <w:sz w:val="22"/>
        </w:rPr>
        <w:t> </w:t>
      </w:r>
      <w:r>
        <w:rPr>
          <w:spacing w:val="-5"/>
          <w:sz w:val="22"/>
        </w:rPr>
        <w:t>CII</w:t>
      </w:r>
    </w:p>
    <w:p>
      <w:pPr>
        <w:pStyle w:val="ListParagraph"/>
        <w:numPr>
          <w:ilvl w:val="0"/>
          <w:numId w:val="96"/>
        </w:numPr>
        <w:tabs>
          <w:tab w:pos="1440" w:val="left" w:leader="none"/>
        </w:tabs>
        <w:spacing w:line="266" w:lineRule="auto" w:before="117" w:after="0"/>
        <w:ind w:left="1440" w:right="450" w:hanging="360"/>
        <w:jc w:val="left"/>
        <w:rPr>
          <w:sz w:val="22"/>
        </w:rPr>
      </w:pPr>
      <w:r>
        <w:rPr>
          <w:sz w:val="22"/>
        </w:rPr>
        <w:t>Dr. Malathi Lakshmikumaran </w:t>
      </w:r>
      <w:r>
        <w:rPr>
          <w:spacing w:val="-4"/>
          <w:sz w:val="22"/>
        </w:rPr>
        <w:t>Lakshmikumaran</w:t>
      </w:r>
      <w:r>
        <w:rPr>
          <w:spacing w:val="-8"/>
          <w:sz w:val="22"/>
        </w:rPr>
        <w:t> </w:t>
      </w:r>
      <w:r>
        <w:rPr>
          <w:spacing w:val="-4"/>
          <w:sz w:val="22"/>
        </w:rPr>
        <w:t>and</w:t>
      </w:r>
      <w:r>
        <w:rPr>
          <w:spacing w:val="-8"/>
          <w:sz w:val="22"/>
        </w:rPr>
        <w:t> </w:t>
      </w:r>
      <w:r>
        <w:rPr>
          <w:spacing w:val="-4"/>
          <w:sz w:val="22"/>
        </w:rPr>
        <w:t>Sridharan</w:t>
      </w:r>
    </w:p>
    <w:p>
      <w:pPr>
        <w:pStyle w:val="ListParagraph"/>
        <w:numPr>
          <w:ilvl w:val="0"/>
          <w:numId w:val="96"/>
        </w:numPr>
        <w:tabs>
          <w:tab w:pos="1440" w:val="left" w:leader="none"/>
        </w:tabs>
        <w:spacing w:line="266" w:lineRule="auto" w:before="88" w:after="0"/>
        <w:ind w:left="1440" w:right="1033" w:hanging="360"/>
        <w:jc w:val="left"/>
        <w:rPr>
          <w:sz w:val="22"/>
        </w:rPr>
      </w:pPr>
      <w:r>
        <w:rPr>
          <w:spacing w:val="-6"/>
          <w:sz w:val="22"/>
        </w:rPr>
        <w:t>Dr.</w:t>
      </w:r>
      <w:r>
        <w:rPr>
          <w:spacing w:val="-8"/>
          <w:sz w:val="22"/>
        </w:rPr>
        <w:t> </w:t>
      </w:r>
      <w:r>
        <w:rPr>
          <w:spacing w:val="-6"/>
          <w:sz w:val="22"/>
        </w:rPr>
        <w:t>Krishna</w:t>
      </w:r>
      <w:r>
        <w:rPr>
          <w:spacing w:val="-8"/>
          <w:sz w:val="22"/>
        </w:rPr>
        <w:t> </w:t>
      </w:r>
      <w:r>
        <w:rPr>
          <w:spacing w:val="-6"/>
          <w:sz w:val="22"/>
        </w:rPr>
        <w:t>Ravi</w:t>
      </w:r>
      <w:r>
        <w:rPr>
          <w:spacing w:val="-8"/>
          <w:sz w:val="22"/>
        </w:rPr>
        <w:t> </w:t>
      </w:r>
      <w:r>
        <w:rPr>
          <w:spacing w:val="-6"/>
          <w:sz w:val="22"/>
        </w:rPr>
        <w:t>Srinivas </w:t>
      </w:r>
      <w:r>
        <w:rPr>
          <w:sz w:val="22"/>
        </w:rPr>
        <w:t>IIM Bangalore</w:t>
      </w:r>
    </w:p>
    <w:p>
      <w:pPr>
        <w:pStyle w:val="ListParagraph"/>
        <w:numPr>
          <w:ilvl w:val="0"/>
          <w:numId w:val="96"/>
        </w:numPr>
        <w:tabs>
          <w:tab w:pos="1440" w:val="left" w:leader="none"/>
        </w:tabs>
        <w:spacing w:line="266" w:lineRule="auto" w:before="89" w:after="0"/>
        <w:ind w:left="1440" w:right="1702" w:hanging="360"/>
        <w:jc w:val="left"/>
        <w:rPr>
          <w:sz w:val="22"/>
        </w:rPr>
      </w:pPr>
      <w:r>
        <w:rPr>
          <w:spacing w:val="-8"/>
          <w:sz w:val="22"/>
        </w:rPr>
        <w:t>Mr.</w:t>
      </w:r>
      <w:r>
        <w:rPr>
          <w:spacing w:val="-6"/>
          <w:sz w:val="22"/>
        </w:rPr>
        <w:t> </w:t>
      </w:r>
      <w:r>
        <w:rPr>
          <w:spacing w:val="-8"/>
          <w:sz w:val="22"/>
        </w:rPr>
        <w:t>Akash</w:t>
      </w:r>
      <w:r>
        <w:rPr>
          <w:spacing w:val="-10"/>
          <w:sz w:val="22"/>
        </w:rPr>
        <w:t> </w:t>
      </w:r>
      <w:r>
        <w:rPr>
          <w:spacing w:val="-8"/>
          <w:sz w:val="22"/>
        </w:rPr>
        <w:t>Taneja </w:t>
      </w:r>
      <w:r>
        <w:rPr>
          <w:spacing w:val="-2"/>
          <w:sz w:val="22"/>
        </w:rPr>
        <w:t>FICCI</w:t>
      </w:r>
    </w:p>
    <w:p>
      <w:pPr>
        <w:pStyle w:val="ListParagraph"/>
        <w:numPr>
          <w:ilvl w:val="0"/>
          <w:numId w:val="96"/>
        </w:numPr>
        <w:tabs>
          <w:tab w:pos="1439" w:val="left" w:leader="none"/>
        </w:tabs>
        <w:spacing w:line="240" w:lineRule="auto" w:before="57" w:after="0"/>
        <w:ind w:left="1439" w:right="0" w:hanging="359"/>
        <w:jc w:val="left"/>
        <w:rPr>
          <w:sz w:val="22"/>
        </w:rPr>
      </w:pPr>
      <w:r>
        <w:rPr/>
        <w:br w:type="column"/>
      </w:r>
      <w:r>
        <w:rPr>
          <w:spacing w:val="-2"/>
          <w:sz w:val="22"/>
        </w:rPr>
        <w:t>Dr.</w:t>
      </w:r>
      <w:r>
        <w:rPr>
          <w:spacing w:val="-12"/>
          <w:sz w:val="22"/>
        </w:rPr>
        <w:t> </w:t>
      </w:r>
      <w:r>
        <w:rPr>
          <w:spacing w:val="-2"/>
          <w:sz w:val="22"/>
        </w:rPr>
        <w:t>Ramesh</w:t>
      </w:r>
      <w:r>
        <w:rPr>
          <w:spacing w:val="-11"/>
          <w:sz w:val="22"/>
        </w:rPr>
        <w:t> </w:t>
      </w:r>
      <w:r>
        <w:rPr>
          <w:spacing w:val="-2"/>
          <w:sz w:val="22"/>
        </w:rPr>
        <w:t>Shukla</w:t>
      </w:r>
    </w:p>
    <w:p>
      <w:pPr>
        <w:pStyle w:val="BodyText"/>
        <w:spacing w:before="27"/>
        <w:ind w:left="1439"/>
      </w:pPr>
      <w:r>
        <w:rPr>
          <w:spacing w:val="-4"/>
        </w:rPr>
        <w:t>Board</w:t>
      </w:r>
      <w:r>
        <w:rPr>
          <w:spacing w:val="-6"/>
        </w:rPr>
        <w:t> </w:t>
      </w:r>
      <w:r>
        <w:rPr>
          <w:spacing w:val="-4"/>
        </w:rPr>
        <w:t>of</w:t>
      </w:r>
      <w:r>
        <w:rPr>
          <w:spacing w:val="-6"/>
        </w:rPr>
        <w:t> </w:t>
      </w:r>
      <w:r>
        <w:rPr>
          <w:spacing w:val="-4"/>
        </w:rPr>
        <w:t>Appeal,</w:t>
      </w:r>
      <w:r>
        <w:rPr>
          <w:spacing w:val="-6"/>
        </w:rPr>
        <w:t> </w:t>
      </w:r>
      <w:r>
        <w:rPr>
          <w:spacing w:val="-4"/>
        </w:rPr>
        <w:t>European</w:t>
      </w:r>
      <w:r>
        <w:rPr>
          <w:spacing w:val="-6"/>
        </w:rPr>
        <w:t> </w:t>
      </w:r>
      <w:r>
        <w:rPr>
          <w:spacing w:val="-4"/>
        </w:rPr>
        <w:t>Patent</w:t>
      </w:r>
      <w:r>
        <w:rPr>
          <w:spacing w:val="-5"/>
        </w:rPr>
        <w:t> </w:t>
      </w:r>
      <w:r>
        <w:rPr>
          <w:spacing w:val="-4"/>
        </w:rPr>
        <w:t>Court</w:t>
      </w:r>
    </w:p>
    <w:p>
      <w:pPr>
        <w:pStyle w:val="ListParagraph"/>
        <w:numPr>
          <w:ilvl w:val="0"/>
          <w:numId w:val="96"/>
        </w:numPr>
        <w:tabs>
          <w:tab w:pos="1440" w:val="left" w:leader="none"/>
        </w:tabs>
        <w:spacing w:line="266" w:lineRule="auto" w:before="117" w:after="0"/>
        <w:ind w:left="1440" w:right="3388" w:hanging="360"/>
        <w:jc w:val="left"/>
        <w:rPr>
          <w:sz w:val="22"/>
        </w:rPr>
      </w:pPr>
      <w:r>
        <w:rPr>
          <w:spacing w:val="-2"/>
          <w:sz w:val="22"/>
        </w:rPr>
        <w:t>Dr.</w:t>
      </w:r>
      <w:r>
        <w:rPr>
          <w:spacing w:val="-12"/>
          <w:sz w:val="22"/>
        </w:rPr>
        <w:t> </w:t>
      </w:r>
      <w:r>
        <w:rPr>
          <w:spacing w:val="-2"/>
          <w:sz w:val="22"/>
        </w:rPr>
        <w:t>Somesh</w:t>
      </w:r>
      <w:r>
        <w:rPr>
          <w:spacing w:val="-12"/>
          <w:sz w:val="22"/>
        </w:rPr>
        <w:t> </w:t>
      </w:r>
      <w:r>
        <w:rPr>
          <w:spacing w:val="-2"/>
          <w:sz w:val="22"/>
        </w:rPr>
        <w:t>Kr.</w:t>
      </w:r>
      <w:r>
        <w:rPr>
          <w:spacing w:val="-12"/>
          <w:sz w:val="22"/>
        </w:rPr>
        <w:t> </w:t>
      </w:r>
      <w:r>
        <w:rPr>
          <w:spacing w:val="-2"/>
          <w:sz w:val="22"/>
        </w:rPr>
        <w:t>Mathur </w:t>
      </w:r>
      <w:r>
        <w:rPr>
          <w:spacing w:val="-4"/>
          <w:sz w:val="22"/>
        </w:rPr>
        <w:t>RIS</w:t>
      </w:r>
    </w:p>
    <w:p>
      <w:pPr>
        <w:pStyle w:val="ListParagraph"/>
        <w:numPr>
          <w:ilvl w:val="0"/>
          <w:numId w:val="96"/>
        </w:numPr>
        <w:tabs>
          <w:tab w:pos="1440" w:val="left" w:leader="none"/>
        </w:tabs>
        <w:spacing w:line="266" w:lineRule="auto" w:before="89" w:after="0"/>
        <w:ind w:left="1440" w:right="3825" w:hanging="360"/>
        <w:jc w:val="left"/>
        <w:rPr>
          <w:sz w:val="22"/>
        </w:rPr>
      </w:pPr>
      <w:r>
        <w:rPr>
          <w:spacing w:val="-4"/>
          <w:sz w:val="22"/>
        </w:rPr>
        <w:t>Mr.</w:t>
      </w:r>
      <w:r>
        <w:rPr>
          <w:spacing w:val="-10"/>
          <w:sz w:val="22"/>
        </w:rPr>
        <w:t> </w:t>
      </w:r>
      <w:r>
        <w:rPr>
          <w:spacing w:val="-4"/>
          <w:sz w:val="22"/>
        </w:rPr>
        <w:t>Anand</w:t>
      </w:r>
      <w:r>
        <w:rPr>
          <w:spacing w:val="-10"/>
          <w:sz w:val="22"/>
        </w:rPr>
        <w:t> </w:t>
      </w:r>
      <w:r>
        <w:rPr>
          <w:spacing w:val="-4"/>
          <w:sz w:val="22"/>
        </w:rPr>
        <w:t>Grover </w:t>
      </w:r>
      <w:r>
        <w:rPr>
          <w:w w:val="90"/>
          <w:sz w:val="22"/>
        </w:rPr>
        <w:t>Lawyers</w:t>
      </w:r>
      <w:r>
        <w:rPr>
          <w:spacing w:val="-2"/>
          <w:sz w:val="22"/>
        </w:rPr>
        <w:t> </w:t>
      </w:r>
      <w:r>
        <w:rPr>
          <w:spacing w:val="-2"/>
          <w:w w:val="95"/>
          <w:sz w:val="22"/>
        </w:rPr>
        <w:t>Collective</w:t>
      </w:r>
    </w:p>
    <w:p>
      <w:pPr>
        <w:pStyle w:val="ListParagraph"/>
        <w:numPr>
          <w:ilvl w:val="0"/>
          <w:numId w:val="96"/>
        </w:numPr>
        <w:tabs>
          <w:tab w:pos="1440" w:val="left" w:leader="none"/>
        </w:tabs>
        <w:spacing w:line="266" w:lineRule="auto" w:before="88" w:after="0"/>
        <w:ind w:left="1440" w:right="4065" w:hanging="360"/>
        <w:jc w:val="left"/>
        <w:rPr>
          <w:sz w:val="22"/>
        </w:rPr>
      </w:pPr>
      <w:r>
        <w:rPr>
          <w:spacing w:val="-4"/>
          <w:sz w:val="22"/>
        </w:rPr>
        <w:t>Mr.</w:t>
      </w:r>
      <w:r>
        <w:rPr>
          <w:spacing w:val="-10"/>
          <w:sz w:val="22"/>
        </w:rPr>
        <w:t> </w:t>
      </w:r>
      <w:r>
        <w:rPr>
          <w:spacing w:val="-4"/>
          <w:sz w:val="22"/>
        </w:rPr>
        <w:t>V.K.</w:t>
      </w:r>
      <w:r>
        <w:rPr>
          <w:spacing w:val="-10"/>
          <w:sz w:val="22"/>
        </w:rPr>
        <w:t> </w:t>
      </w:r>
      <w:r>
        <w:rPr>
          <w:spacing w:val="-4"/>
          <w:sz w:val="22"/>
        </w:rPr>
        <w:t>Gupta </w:t>
      </w:r>
      <w:r>
        <w:rPr>
          <w:spacing w:val="-2"/>
          <w:sz w:val="22"/>
        </w:rPr>
        <w:t>NISCAIR</w:t>
      </w:r>
    </w:p>
    <w:p>
      <w:pPr>
        <w:pStyle w:val="ListParagraph"/>
        <w:numPr>
          <w:ilvl w:val="0"/>
          <w:numId w:val="96"/>
        </w:numPr>
        <w:tabs>
          <w:tab w:pos="1439" w:val="left" w:leader="none"/>
        </w:tabs>
        <w:spacing w:line="240" w:lineRule="auto" w:before="89" w:after="0"/>
        <w:ind w:left="1439" w:right="0" w:hanging="359"/>
        <w:jc w:val="left"/>
        <w:rPr>
          <w:sz w:val="22"/>
        </w:rPr>
      </w:pPr>
      <w:r>
        <w:rPr>
          <w:spacing w:val="-2"/>
          <w:sz w:val="22"/>
        </w:rPr>
        <w:t>Mr.</w:t>
      </w:r>
      <w:r>
        <w:rPr>
          <w:spacing w:val="-4"/>
          <w:sz w:val="22"/>
        </w:rPr>
        <w:t> </w:t>
      </w:r>
      <w:r>
        <w:rPr>
          <w:spacing w:val="-2"/>
          <w:sz w:val="22"/>
        </w:rPr>
        <w:t>Naresh</w:t>
      </w:r>
      <w:r>
        <w:rPr>
          <w:spacing w:val="-4"/>
          <w:sz w:val="22"/>
        </w:rPr>
        <w:t> </w:t>
      </w:r>
      <w:r>
        <w:rPr>
          <w:spacing w:val="-2"/>
          <w:sz w:val="22"/>
        </w:rPr>
        <w:t>Nandan</w:t>
      </w:r>
      <w:r>
        <w:rPr>
          <w:spacing w:val="-4"/>
          <w:sz w:val="22"/>
        </w:rPr>
        <w:t> </w:t>
      </w:r>
      <w:r>
        <w:rPr>
          <w:spacing w:val="-2"/>
          <w:sz w:val="22"/>
        </w:rPr>
        <w:t>Prasad</w:t>
      </w:r>
    </w:p>
    <w:p>
      <w:pPr>
        <w:pStyle w:val="BodyText"/>
        <w:spacing w:before="27"/>
        <w:ind w:left="1440"/>
      </w:pPr>
      <w:r>
        <w:rPr>
          <w:spacing w:val="-2"/>
        </w:rPr>
        <w:t>DIPP,</w:t>
      </w:r>
      <w:r>
        <w:rPr>
          <w:spacing w:val="-11"/>
        </w:rPr>
        <w:t> </w:t>
      </w:r>
      <w:r>
        <w:rPr>
          <w:spacing w:val="-2"/>
        </w:rPr>
        <w:t>Ministry</w:t>
      </w:r>
      <w:r>
        <w:rPr>
          <w:spacing w:val="-10"/>
        </w:rPr>
        <w:t> </w:t>
      </w:r>
      <w:r>
        <w:rPr>
          <w:spacing w:val="-2"/>
        </w:rPr>
        <w:t>of</w:t>
      </w:r>
      <w:r>
        <w:rPr>
          <w:spacing w:val="-10"/>
        </w:rPr>
        <w:t> </w:t>
      </w:r>
      <w:r>
        <w:rPr>
          <w:spacing w:val="-2"/>
        </w:rPr>
        <w:t>Commerce</w:t>
      </w:r>
      <w:r>
        <w:rPr>
          <w:spacing w:val="-10"/>
        </w:rPr>
        <w:t> </w:t>
      </w:r>
      <w:r>
        <w:rPr>
          <w:spacing w:val="-2"/>
        </w:rPr>
        <w:t>and</w:t>
      </w:r>
      <w:r>
        <w:rPr>
          <w:spacing w:val="-10"/>
        </w:rPr>
        <w:t> </w:t>
      </w:r>
      <w:r>
        <w:rPr>
          <w:spacing w:val="-2"/>
        </w:rPr>
        <w:t>Industry</w:t>
      </w:r>
    </w:p>
    <w:p>
      <w:pPr>
        <w:pStyle w:val="ListParagraph"/>
        <w:numPr>
          <w:ilvl w:val="0"/>
          <w:numId w:val="96"/>
        </w:numPr>
        <w:tabs>
          <w:tab w:pos="1440" w:val="left" w:leader="none"/>
        </w:tabs>
        <w:spacing w:line="266" w:lineRule="auto" w:before="117" w:after="0"/>
        <w:ind w:left="1440" w:right="4042" w:hanging="360"/>
        <w:jc w:val="left"/>
        <w:rPr>
          <w:sz w:val="22"/>
        </w:rPr>
      </w:pPr>
      <w:r>
        <w:rPr>
          <w:sz w:val="22"/>
        </w:rPr>
        <w:t>Mr.</w:t>
      </w:r>
      <w:r>
        <w:rPr>
          <w:spacing w:val="-14"/>
          <w:sz w:val="22"/>
        </w:rPr>
        <w:t> </w:t>
      </w:r>
      <w:r>
        <w:rPr>
          <w:sz w:val="22"/>
        </w:rPr>
        <w:t>R.K.</w:t>
      </w:r>
      <w:r>
        <w:rPr>
          <w:spacing w:val="-14"/>
          <w:sz w:val="22"/>
        </w:rPr>
        <w:t> </w:t>
      </w:r>
      <w:r>
        <w:rPr>
          <w:sz w:val="22"/>
        </w:rPr>
        <w:t>Gupta </w:t>
      </w:r>
      <w:r>
        <w:rPr>
          <w:spacing w:val="-4"/>
          <w:sz w:val="22"/>
        </w:rPr>
        <w:t>CSIR</w:t>
      </w:r>
    </w:p>
    <w:p>
      <w:pPr>
        <w:pStyle w:val="ListParagraph"/>
        <w:numPr>
          <w:ilvl w:val="0"/>
          <w:numId w:val="96"/>
        </w:numPr>
        <w:tabs>
          <w:tab w:pos="1440" w:val="left" w:leader="none"/>
        </w:tabs>
        <w:spacing w:line="266" w:lineRule="auto" w:before="88" w:after="0"/>
        <w:ind w:left="1440" w:right="4028" w:hanging="360"/>
        <w:jc w:val="left"/>
        <w:rPr>
          <w:sz w:val="22"/>
        </w:rPr>
      </w:pPr>
      <w:r>
        <w:rPr>
          <w:spacing w:val="-6"/>
          <w:sz w:val="22"/>
        </w:rPr>
        <w:t>Mr.</w:t>
      </w:r>
      <w:r>
        <w:rPr>
          <w:spacing w:val="-8"/>
          <w:sz w:val="22"/>
        </w:rPr>
        <w:t> </w:t>
      </w:r>
      <w:r>
        <w:rPr>
          <w:spacing w:val="-6"/>
          <w:sz w:val="22"/>
        </w:rPr>
        <w:t>Anand</w:t>
      </w:r>
      <w:r>
        <w:rPr>
          <w:spacing w:val="-8"/>
          <w:sz w:val="22"/>
        </w:rPr>
        <w:t> </w:t>
      </w:r>
      <w:r>
        <w:rPr>
          <w:spacing w:val="-6"/>
          <w:sz w:val="22"/>
        </w:rPr>
        <w:t>Wali </w:t>
      </w:r>
      <w:r>
        <w:rPr>
          <w:sz w:val="22"/>
        </w:rPr>
        <w:t>IIT Delhi</w:t>
      </w:r>
    </w:p>
    <w:p>
      <w:pPr>
        <w:pStyle w:val="ListParagraph"/>
        <w:numPr>
          <w:ilvl w:val="0"/>
          <w:numId w:val="96"/>
        </w:numPr>
        <w:tabs>
          <w:tab w:pos="1439" w:val="left" w:leader="none"/>
        </w:tabs>
        <w:spacing w:line="240" w:lineRule="auto" w:before="88" w:after="0"/>
        <w:ind w:left="1439" w:right="0" w:hanging="359"/>
        <w:jc w:val="left"/>
        <w:rPr>
          <w:sz w:val="22"/>
        </w:rPr>
      </w:pPr>
      <w:r>
        <w:rPr>
          <w:spacing w:val="-2"/>
          <w:sz w:val="22"/>
        </w:rPr>
        <w:t>Mr.</w:t>
      </w:r>
      <w:r>
        <w:rPr>
          <w:spacing w:val="-12"/>
          <w:sz w:val="22"/>
        </w:rPr>
        <w:t> </w:t>
      </w:r>
      <w:r>
        <w:rPr>
          <w:spacing w:val="-2"/>
          <w:sz w:val="22"/>
        </w:rPr>
        <w:t>T.C.</w:t>
      </w:r>
      <w:r>
        <w:rPr>
          <w:spacing w:val="-7"/>
          <w:sz w:val="22"/>
        </w:rPr>
        <w:t> </w:t>
      </w:r>
      <w:r>
        <w:rPr>
          <w:spacing w:val="-2"/>
          <w:sz w:val="22"/>
        </w:rPr>
        <w:t>James</w:t>
      </w:r>
    </w:p>
    <w:p>
      <w:pPr>
        <w:pStyle w:val="BodyText"/>
        <w:spacing w:before="27"/>
        <w:ind w:left="1440"/>
      </w:pPr>
      <w:r>
        <w:rPr>
          <w:spacing w:val="-2"/>
        </w:rPr>
        <w:t>DIPP,</w:t>
      </w:r>
      <w:r>
        <w:rPr>
          <w:spacing w:val="-11"/>
        </w:rPr>
        <w:t> </w:t>
      </w:r>
      <w:r>
        <w:rPr>
          <w:spacing w:val="-2"/>
        </w:rPr>
        <w:t>Ministry</w:t>
      </w:r>
      <w:r>
        <w:rPr>
          <w:spacing w:val="-10"/>
        </w:rPr>
        <w:t> </w:t>
      </w:r>
      <w:r>
        <w:rPr>
          <w:spacing w:val="-2"/>
        </w:rPr>
        <w:t>of</w:t>
      </w:r>
      <w:r>
        <w:rPr>
          <w:spacing w:val="-10"/>
        </w:rPr>
        <w:t> </w:t>
      </w:r>
      <w:r>
        <w:rPr>
          <w:spacing w:val="-2"/>
        </w:rPr>
        <w:t>Commerce</w:t>
      </w:r>
      <w:r>
        <w:rPr>
          <w:spacing w:val="-10"/>
        </w:rPr>
        <w:t> </w:t>
      </w:r>
      <w:r>
        <w:rPr>
          <w:spacing w:val="-2"/>
        </w:rPr>
        <w:t>and</w:t>
      </w:r>
      <w:r>
        <w:rPr>
          <w:spacing w:val="-10"/>
        </w:rPr>
        <w:t> </w:t>
      </w:r>
      <w:r>
        <w:rPr>
          <w:spacing w:val="-2"/>
        </w:rPr>
        <w:t>Industry</w:t>
      </w:r>
    </w:p>
    <w:p>
      <w:pPr>
        <w:pStyle w:val="ListParagraph"/>
        <w:numPr>
          <w:ilvl w:val="0"/>
          <w:numId w:val="96"/>
        </w:numPr>
        <w:tabs>
          <w:tab w:pos="1439" w:val="left" w:leader="none"/>
        </w:tabs>
        <w:spacing w:line="240" w:lineRule="auto" w:before="117" w:after="0"/>
        <w:ind w:left="1439" w:right="0" w:hanging="359"/>
        <w:jc w:val="left"/>
        <w:rPr>
          <w:sz w:val="22"/>
        </w:rPr>
      </w:pPr>
      <w:r>
        <w:rPr>
          <w:spacing w:val="-2"/>
          <w:sz w:val="22"/>
        </w:rPr>
        <w:t>Dr.</w:t>
      </w:r>
      <w:r>
        <w:rPr>
          <w:spacing w:val="-8"/>
          <w:sz w:val="22"/>
        </w:rPr>
        <w:t> </w:t>
      </w:r>
      <w:r>
        <w:rPr>
          <w:spacing w:val="-2"/>
          <w:sz w:val="22"/>
        </w:rPr>
        <w:t>B.K.</w:t>
      </w:r>
      <w:r>
        <w:rPr>
          <w:spacing w:val="-8"/>
          <w:sz w:val="22"/>
        </w:rPr>
        <w:t> </w:t>
      </w:r>
      <w:r>
        <w:rPr>
          <w:spacing w:val="-2"/>
          <w:sz w:val="22"/>
        </w:rPr>
        <w:t>Keayla</w:t>
      </w:r>
    </w:p>
    <w:p>
      <w:pPr>
        <w:pStyle w:val="BodyText"/>
        <w:spacing w:line="266" w:lineRule="auto" w:before="27"/>
        <w:ind w:left="1440" w:right="2480"/>
      </w:pPr>
      <w:r>
        <w:rPr>
          <w:spacing w:val="-2"/>
        </w:rPr>
        <w:t>National</w:t>
      </w:r>
      <w:r>
        <w:rPr>
          <w:spacing w:val="-12"/>
        </w:rPr>
        <w:t> </w:t>
      </w:r>
      <w:r>
        <w:rPr>
          <w:spacing w:val="-2"/>
        </w:rPr>
        <w:t>Working</w:t>
      </w:r>
      <w:r>
        <w:rPr>
          <w:spacing w:val="-12"/>
        </w:rPr>
        <w:t> </w:t>
      </w:r>
      <w:r>
        <w:rPr>
          <w:spacing w:val="-2"/>
        </w:rPr>
        <w:t>Group</w:t>
      </w:r>
      <w:r>
        <w:rPr>
          <w:spacing w:val="-12"/>
        </w:rPr>
        <w:t> </w:t>
      </w:r>
      <w:r>
        <w:rPr>
          <w:spacing w:val="-2"/>
        </w:rPr>
        <w:t>on </w:t>
      </w:r>
      <w:r>
        <w:rPr/>
        <w:t>Patent Laws</w:t>
      </w:r>
    </w:p>
    <w:p>
      <w:pPr>
        <w:pStyle w:val="ListParagraph"/>
        <w:numPr>
          <w:ilvl w:val="0"/>
          <w:numId w:val="96"/>
        </w:numPr>
        <w:tabs>
          <w:tab w:pos="1440" w:val="left" w:leader="none"/>
        </w:tabs>
        <w:spacing w:line="266" w:lineRule="auto" w:before="89" w:after="0"/>
        <w:ind w:left="1440" w:right="3829" w:hanging="360"/>
        <w:jc w:val="left"/>
        <w:rPr>
          <w:sz w:val="22"/>
        </w:rPr>
      </w:pPr>
      <w:r>
        <w:rPr>
          <w:spacing w:val="-6"/>
          <w:sz w:val="22"/>
        </w:rPr>
        <w:t>Mr.</w:t>
      </w:r>
      <w:r>
        <w:rPr>
          <w:spacing w:val="-8"/>
          <w:sz w:val="22"/>
        </w:rPr>
        <w:t> </w:t>
      </w:r>
      <w:r>
        <w:rPr>
          <w:spacing w:val="-6"/>
          <w:sz w:val="22"/>
        </w:rPr>
        <w:t>Rakesh</w:t>
      </w:r>
      <w:r>
        <w:rPr>
          <w:spacing w:val="-8"/>
          <w:sz w:val="22"/>
        </w:rPr>
        <w:t> </w:t>
      </w:r>
      <w:r>
        <w:rPr>
          <w:spacing w:val="-6"/>
          <w:sz w:val="22"/>
        </w:rPr>
        <w:t>Prasad </w:t>
      </w:r>
      <w:r>
        <w:rPr>
          <w:sz w:val="22"/>
        </w:rPr>
        <w:t>ALG Associates</w:t>
      </w:r>
    </w:p>
    <w:p>
      <w:pPr>
        <w:spacing w:after="0" w:line="266" w:lineRule="auto"/>
        <w:jc w:val="left"/>
        <w:rPr>
          <w:sz w:val="22"/>
        </w:rPr>
        <w:sectPr>
          <w:pgSz w:w="11910" w:h="16840"/>
          <w:pgMar w:header="0" w:footer="675" w:top="960" w:bottom="860" w:left="0" w:right="0"/>
          <w:cols w:num="2" w:equalWidth="0">
            <w:col w:w="4634" w:space="419"/>
            <w:col w:w="685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1"/>
        <w:rPr>
          <w:sz w:val="20"/>
        </w:rPr>
      </w:pPr>
    </w:p>
    <w:p>
      <w:pPr>
        <w:spacing w:after="0"/>
        <w:rPr>
          <w:sz w:val="20"/>
        </w:rPr>
        <w:sectPr>
          <w:pgSz w:w="11910" w:h="16840"/>
          <w:pgMar w:header="0" w:footer="675" w:top="0" w:bottom="860" w:left="0" w:right="0"/>
        </w:sectPr>
      </w:pPr>
    </w:p>
    <w:p>
      <w:pPr>
        <w:pStyle w:val="Heading6"/>
        <w:spacing w:before="79"/>
        <w:ind w:left="1079" w:firstLine="0"/>
      </w:pPr>
      <w:r>
        <w:rPr/>
        <mc:AlternateContent>
          <mc:Choice Requires="wps">
            <w:drawing>
              <wp:anchor distT="0" distB="0" distL="0" distR="0" allowOverlap="1" layoutInCell="1" locked="0" behindDoc="0" simplePos="0" relativeHeight="15913472">
                <wp:simplePos x="0" y="0"/>
                <wp:positionH relativeFrom="page">
                  <wp:posOffset>0</wp:posOffset>
                </wp:positionH>
                <wp:positionV relativeFrom="paragraph">
                  <wp:posOffset>-2221513</wp:posOffset>
                </wp:positionV>
                <wp:extent cx="7560309" cy="1752600"/>
                <wp:effectExtent l="0" t="0" r="0" b="0"/>
                <wp:wrapNone/>
                <wp:docPr id="2417" name="Group 2417"/>
                <wp:cNvGraphicFramePr>
                  <a:graphicFrameLocks/>
                </wp:cNvGraphicFramePr>
                <a:graphic>
                  <a:graphicData uri="http://schemas.microsoft.com/office/word/2010/wordprocessingGroup">
                    <wpg:wgp>
                      <wpg:cNvPr id="2417" name="Group 2417"/>
                      <wpg:cNvGrpSpPr/>
                      <wpg:grpSpPr>
                        <a:xfrm>
                          <a:off x="0" y="0"/>
                          <a:ext cx="7560309" cy="1752600"/>
                          <a:chExt cx="7560309" cy="1752600"/>
                        </a:xfrm>
                      </wpg:grpSpPr>
                      <pic:pic>
                        <pic:nvPicPr>
                          <pic:cNvPr id="2418" name="Image 2418"/>
                          <pic:cNvPicPr/>
                        </pic:nvPicPr>
                        <pic:blipFill>
                          <a:blip r:embed="rId612" cstate="print"/>
                          <a:stretch>
                            <a:fillRect/>
                          </a:stretch>
                        </pic:blipFill>
                        <pic:spPr>
                          <a:xfrm>
                            <a:off x="0" y="0"/>
                            <a:ext cx="7559999" cy="1752562"/>
                          </a:xfrm>
                          <a:prstGeom prst="rect">
                            <a:avLst/>
                          </a:prstGeom>
                        </pic:spPr>
                      </pic:pic>
                      <wps:wsp>
                        <wps:cNvPr id="2419" name="Textbox 2419"/>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pacing w:val="-2"/>
                                  <w:sz w:val="68"/>
                                </w:rPr>
                                <w:t>Surveys</w:t>
                              </w:r>
                            </w:p>
                          </w:txbxContent>
                        </wps:txbx>
                        <wps:bodyPr wrap="square" lIns="0" tIns="0" rIns="0" bIns="0" rtlCol="0">
                          <a:noAutofit/>
                        </wps:bodyPr>
                      </wps:wsp>
                    </wpg:wgp>
                  </a:graphicData>
                </a:graphic>
              </wp:anchor>
            </w:drawing>
          </mc:Choice>
          <mc:Fallback>
            <w:pict>
              <v:group style="position:absolute;margin-left:0pt;margin-top:-174.922318pt;width:595.3pt;height:138pt;mso-position-horizontal-relative:page;mso-position-vertical-relative:paragraph;z-index:15913472" id="docshapegroup2338" coordorigin="0,-3498" coordsize="11906,2760">
                <v:shape style="position:absolute;left:0;top:-3499;width:11906;height:2760" type="#_x0000_t75" id="docshape2339" stroked="false">
                  <v:imagedata r:id="rId612" o:title=""/>
                </v:shape>
                <v:shape style="position:absolute;left:0;top:-3499;width:11906;height:2760" type="#_x0000_t202" id="docshape2340"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pacing w:val="-2"/>
                            <w:sz w:val="68"/>
                          </w:rPr>
                          <w:t>Surveys</w:t>
                        </w:r>
                      </w:p>
                    </w:txbxContent>
                  </v:textbox>
                  <w10:wrap type="none"/>
                </v:shape>
                <w10:wrap type="none"/>
              </v:group>
            </w:pict>
          </mc:Fallback>
        </mc:AlternateContent>
      </w:r>
      <w:bookmarkStart w:name="_TOC_250001" w:id="4"/>
      <w:bookmarkEnd w:id="4"/>
      <w:r>
        <w:rPr>
          <w:color w:val="2E614A"/>
          <w:spacing w:val="-2"/>
        </w:rPr>
        <w:t>Innovation</w:t>
      </w:r>
    </w:p>
    <w:p>
      <w:pPr>
        <w:pStyle w:val="ListParagraph"/>
        <w:numPr>
          <w:ilvl w:val="0"/>
          <w:numId w:val="97"/>
        </w:numPr>
        <w:tabs>
          <w:tab w:pos="1559" w:val="left" w:leader="none"/>
        </w:tabs>
        <w:spacing w:line="240" w:lineRule="auto" w:before="285" w:after="0"/>
        <w:ind w:left="1559" w:right="0" w:hanging="480"/>
        <w:jc w:val="left"/>
        <w:rPr>
          <w:sz w:val="22"/>
        </w:rPr>
      </w:pPr>
      <w:r>
        <w:rPr>
          <w:spacing w:val="-6"/>
          <w:sz w:val="22"/>
        </w:rPr>
        <w:t>Arvind</w:t>
      </w:r>
      <w:r>
        <w:rPr>
          <w:spacing w:val="-2"/>
          <w:sz w:val="22"/>
        </w:rPr>
        <w:t> </w:t>
      </w:r>
      <w:r>
        <w:rPr>
          <w:spacing w:val="-6"/>
          <w:sz w:val="22"/>
        </w:rPr>
        <w:t>Mills</w:t>
      </w:r>
      <w:r>
        <w:rPr>
          <w:spacing w:val="-2"/>
          <w:sz w:val="22"/>
        </w:rPr>
        <w:t> </w:t>
      </w:r>
      <w:r>
        <w:rPr>
          <w:spacing w:val="-6"/>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8"/>
          <w:sz w:val="22"/>
        </w:rPr>
        <w:t>Ashok</w:t>
      </w:r>
      <w:r>
        <w:rPr>
          <w:spacing w:val="2"/>
          <w:sz w:val="22"/>
        </w:rPr>
        <w:t> </w:t>
      </w:r>
      <w:r>
        <w:rPr>
          <w:spacing w:val="-8"/>
          <w:sz w:val="22"/>
        </w:rPr>
        <w:t>Leyland</w:t>
      </w:r>
      <w:r>
        <w:rPr>
          <w:spacing w:val="3"/>
          <w:sz w:val="22"/>
        </w:rPr>
        <w:t> </w:t>
      </w:r>
      <w:r>
        <w:rPr>
          <w:spacing w:val="-8"/>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2"/>
          <w:sz w:val="22"/>
        </w:rPr>
        <w:t>Aurobindo</w:t>
      </w:r>
      <w:r>
        <w:rPr>
          <w:spacing w:val="-12"/>
          <w:sz w:val="22"/>
        </w:rPr>
        <w:t> </w:t>
      </w:r>
      <w:r>
        <w:rPr>
          <w:spacing w:val="-2"/>
          <w:sz w:val="22"/>
        </w:rPr>
        <w:t>Pharma</w:t>
      </w:r>
      <w:r>
        <w:rPr>
          <w:spacing w:val="-12"/>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4"/>
          <w:sz w:val="22"/>
        </w:rPr>
        <w:t>Ballarpur</w:t>
      </w:r>
      <w:r>
        <w:rPr>
          <w:spacing w:val="-2"/>
          <w:sz w:val="22"/>
        </w:rPr>
        <w:t> </w:t>
      </w:r>
      <w:r>
        <w:rPr>
          <w:spacing w:val="-4"/>
          <w:sz w:val="22"/>
        </w:rPr>
        <w:t>Industries</w:t>
      </w:r>
      <w:r>
        <w:rPr>
          <w:spacing w:val="-2"/>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6"/>
          <w:sz w:val="22"/>
        </w:rPr>
        <w:t>Bharat</w:t>
      </w:r>
      <w:r>
        <w:rPr>
          <w:spacing w:val="-1"/>
          <w:sz w:val="22"/>
        </w:rPr>
        <w:t> </w:t>
      </w:r>
      <w:r>
        <w:rPr>
          <w:spacing w:val="-6"/>
          <w:sz w:val="22"/>
        </w:rPr>
        <w:t>Forge</w:t>
      </w:r>
      <w:r>
        <w:rPr>
          <w:sz w:val="22"/>
        </w:rPr>
        <w:t> </w:t>
      </w:r>
      <w:r>
        <w:rPr>
          <w:spacing w:val="-6"/>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6"/>
          <w:sz w:val="22"/>
        </w:rPr>
        <w:t>Bharat Heavy</w:t>
      </w:r>
      <w:r>
        <w:rPr>
          <w:spacing w:val="-4"/>
          <w:sz w:val="22"/>
        </w:rPr>
        <w:t> </w:t>
      </w:r>
      <w:r>
        <w:rPr>
          <w:spacing w:val="-6"/>
          <w:sz w:val="22"/>
        </w:rPr>
        <w:t>Electricals</w:t>
      </w:r>
      <w:r>
        <w:rPr>
          <w:spacing w:val="-4"/>
          <w:sz w:val="22"/>
        </w:rPr>
        <w:t> </w:t>
      </w:r>
      <w:r>
        <w:rPr>
          <w:spacing w:val="-6"/>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4"/>
          <w:sz w:val="22"/>
        </w:rPr>
        <w:t>Bharat</w:t>
      </w:r>
      <w:r>
        <w:rPr>
          <w:spacing w:val="-6"/>
          <w:sz w:val="22"/>
        </w:rPr>
        <w:t> </w:t>
      </w:r>
      <w:r>
        <w:rPr>
          <w:spacing w:val="-4"/>
          <w:sz w:val="22"/>
        </w:rPr>
        <w:t>Sanchar</w:t>
      </w:r>
      <w:r>
        <w:rPr>
          <w:spacing w:val="-5"/>
          <w:sz w:val="22"/>
        </w:rPr>
        <w:t> </w:t>
      </w:r>
      <w:r>
        <w:rPr>
          <w:spacing w:val="-4"/>
          <w:sz w:val="22"/>
        </w:rPr>
        <w:t>Nigam</w:t>
      </w:r>
      <w:r>
        <w:rPr>
          <w:spacing w:val="-6"/>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5"/>
          <w:sz w:val="22"/>
        </w:rPr>
        <w:t>Biocon</w:t>
      </w:r>
      <w:r>
        <w:rPr>
          <w:spacing w:val="-8"/>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4"/>
          <w:sz w:val="22"/>
        </w:rPr>
        <w:t>Cadila</w:t>
      </w:r>
      <w:r>
        <w:rPr>
          <w:spacing w:val="-3"/>
          <w:sz w:val="22"/>
        </w:rPr>
        <w:t> </w:t>
      </w:r>
      <w:r>
        <w:rPr>
          <w:spacing w:val="-4"/>
          <w:sz w:val="22"/>
        </w:rPr>
        <w:t>Healthcare</w:t>
      </w:r>
      <w:r>
        <w:rPr>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2"/>
          <w:sz w:val="22"/>
        </w:rPr>
        <w:t>Central</w:t>
      </w:r>
      <w:r>
        <w:rPr>
          <w:spacing w:val="-9"/>
          <w:sz w:val="22"/>
        </w:rPr>
        <w:t> </w:t>
      </w:r>
      <w:r>
        <w:rPr>
          <w:spacing w:val="-2"/>
          <w:sz w:val="22"/>
        </w:rPr>
        <w:t>Bank</w:t>
      </w:r>
      <w:r>
        <w:rPr>
          <w:spacing w:val="-9"/>
          <w:sz w:val="22"/>
        </w:rPr>
        <w:t> </w:t>
      </w:r>
      <w:r>
        <w:rPr>
          <w:spacing w:val="-2"/>
          <w:sz w:val="22"/>
        </w:rPr>
        <w:t>of</w:t>
      </w:r>
      <w:r>
        <w:rPr>
          <w:spacing w:val="-9"/>
          <w:sz w:val="22"/>
        </w:rPr>
        <w:t> </w:t>
      </w:r>
      <w:r>
        <w:rPr>
          <w:spacing w:val="-2"/>
          <w:sz w:val="22"/>
        </w:rPr>
        <w:t>India</w:t>
      </w:r>
    </w:p>
    <w:p>
      <w:pPr>
        <w:pStyle w:val="ListParagraph"/>
        <w:numPr>
          <w:ilvl w:val="0"/>
          <w:numId w:val="97"/>
        </w:numPr>
        <w:tabs>
          <w:tab w:pos="1559" w:val="left" w:leader="none"/>
        </w:tabs>
        <w:spacing w:line="240" w:lineRule="auto" w:before="113" w:after="0"/>
        <w:ind w:left="1559" w:right="0" w:hanging="480"/>
        <w:jc w:val="left"/>
        <w:rPr>
          <w:sz w:val="22"/>
        </w:rPr>
      </w:pPr>
      <w:r>
        <w:rPr>
          <w:spacing w:val="-6"/>
          <w:sz w:val="22"/>
        </w:rPr>
        <w:t>Citigroup</w:t>
      </w:r>
      <w:r>
        <w:rPr>
          <w:spacing w:val="5"/>
          <w:sz w:val="22"/>
        </w:rPr>
        <w:t> </w:t>
      </w:r>
      <w:r>
        <w:rPr>
          <w:spacing w:val="-6"/>
          <w:sz w:val="22"/>
        </w:rPr>
        <w:t>Global</w:t>
      </w:r>
      <w:r>
        <w:rPr>
          <w:spacing w:val="5"/>
          <w:sz w:val="22"/>
        </w:rPr>
        <w:t> </w:t>
      </w:r>
      <w:r>
        <w:rPr>
          <w:spacing w:val="-6"/>
          <w:sz w:val="22"/>
        </w:rPr>
        <w:t>Services</w:t>
      </w:r>
      <w:r>
        <w:rPr>
          <w:spacing w:val="5"/>
          <w:sz w:val="22"/>
        </w:rPr>
        <w:t> </w:t>
      </w:r>
      <w:r>
        <w:rPr>
          <w:spacing w:val="-6"/>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4"/>
          <w:sz w:val="22"/>
        </w:rPr>
        <w:t>CRISIL Ltd.</w:t>
      </w:r>
    </w:p>
    <w:p>
      <w:pPr>
        <w:pStyle w:val="ListParagraph"/>
        <w:numPr>
          <w:ilvl w:val="0"/>
          <w:numId w:val="97"/>
        </w:numPr>
        <w:tabs>
          <w:tab w:pos="1559" w:val="left" w:leader="none"/>
        </w:tabs>
        <w:spacing w:line="240" w:lineRule="auto" w:before="113" w:after="0"/>
        <w:ind w:left="1559" w:right="0" w:hanging="480"/>
        <w:jc w:val="left"/>
        <w:rPr>
          <w:sz w:val="22"/>
        </w:rPr>
      </w:pPr>
      <w:r>
        <w:rPr>
          <w:spacing w:val="-2"/>
          <w:sz w:val="22"/>
        </w:rPr>
        <w:t>Essel</w:t>
      </w:r>
      <w:r>
        <w:rPr>
          <w:spacing w:val="-12"/>
          <w:sz w:val="22"/>
        </w:rPr>
        <w:t> </w:t>
      </w:r>
      <w:r>
        <w:rPr>
          <w:spacing w:val="-2"/>
          <w:sz w:val="22"/>
        </w:rPr>
        <w:t>Group</w:t>
      </w:r>
      <w:r>
        <w:rPr>
          <w:spacing w:val="-12"/>
          <w:sz w:val="22"/>
        </w:rPr>
        <w:t> </w:t>
      </w:r>
      <w:r>
        <w:rPr>
          <w:spacing w:val="-2"/>
          <w:sz w:val="22"/>
        </w:rPr>
        <w:t>of</w:t>
      </w:r>
      <w:r>
        <w:rPr>
          <w:spacing w:val="-12"/>
          <w:sz w:val="22"/>
        </w:rPr>
        <w:t> </w:t>
      </w:r>
      <w:r>
        <w:rPr>
          <w:spacing w:val="-2"/>
          <w:sz w:val="22"/>
        </w:rPr>
        <w:t>Companies</w:t>
      </w:r>
      <w:r>
        <w:rPr>
          <w:spacing w:val="-11"/>
          <w:sz w:val="22"/>
        </w:rPr>
        <w:t> </w:t>
      </w:r>
      <w:r>
        <w:rPr>
          <w:spacing w:val="-2"/>
          <w:sz w:val="22"/>
        </w:rPr>
        <w:t>–</w:t>
      </w:r>
      <w:r>
        <w:rPr>
          <w:spacing w:val="-12"/>
          <w:sz w:val="22"/>
        </w:rPr>
        <w:t> </w:t>
      </w:r>
      <w:r>
        <w:rPr>
          <w:spacing w:val="-2"/>
          <w:sz w:val="22"/>
        </w:rPr>
        <w:t>Zee</w:t>
      </w:r>
      <w:r>
        <w:rPr>
          <w:spacing w:val="-12"/>
          <w:sz w:val="22"/>
        </w:rPr>
        <w:t> </w:t>
      </w:r>
      <w:r>
        <w:rPr>
          <w:spacing w:val="-4"/>
          <w:sz w:val="22"/>
        </w:rPr>
        <w:t>Group</w:t>
      </w:r>
    </w:p>
    <w:p>
      <w:pPr>
        <w:pStyle w:val="ListParagraph"/>
        <w:numPr>
          <w:ilvl w:val="0"/>
          <w:numId w:val="97"/>
        </w:numPr>
        <w:tabs>
          <w:tab w:pos="1559" w:val="left" w:leader="none"/>
        </w:tabs>
        <w:spacing w:line="240" w:lineRule="auto" w:before="113" w:after="0"/>
        <w:ind w:left="1559" w:right="0" w:hanging="480"/>
        <w:jc w:val="left"/>
        <w:rPr>
          <w:sz w:val="22"/>
        </w:rPr>
      </w:pPr>
      <w:r>
        <w:rPr>
          <w:spacing w:val="-4"/>
          <w:sz w:val="22"/>
        </w:rPr>
        <w:t>Fortis</w:t>
      </w:r>
      <w:r>
        <w:rPr>
          <w:spacing w:val="-5"/>
          <w:sz w:val="22"/>
        </w:rPr>
        <w:t> </w:t>
      </w:r>
      <w:r>
        <w:rPr>
          <w:spacing w:val="-4"/>
          <w:sz w:val="22"/>
        </w:rPr>
        <w:t>Healthcare Ltd.</w:t>
      </w:r>
    </w:p>
    <w:p>
      <w:pPr>
        <w:pStyle w:val="ListParagraph"/>
        <w:numPr>
          <w:ilvl w:val="0"/>
          <w:numId w:val="97"/>
        </w:numPr>
        <w:tabs>
          <w:tab w:pos="1559" w:val="left" w:leader="none"/>
        </w:tabs>
        <w:spacing w:line="240" w:lineRule="auto" w:before="114" w:after="0"/>
        <w:ind w:left="1559" w:right="0" w:hanging="480"/>
        <w:jc w:val="left"/>
        <w:rPr>
          <w:sz w:val="22"/>
        </w:rPr>
      </w:pPr>
      <w:r>
        <w:rPr>
          <w:spacing w:val="-6"/>
          <w:sz w:val="22"/>
        </w:rPr>
        <w:t>Glenmark</w:t>
      </w:r>
      <w:r>
        <w:rPr>
          <w:spacing w:val="13"/>
          <w:sz w:val="22"/>
        </w:rPr>
        <w:t> </w:t>
      </w:r>
      <w:r>
        <w:rPr>
          <w:spacing w:val="-6"/>
          <w:sz w:val="22"/>
        </w:rPr>
        <w:t>Pharmaceuticals</w:t>
      </w:r>
      <w:r>
        <w:rPr>
          <w:spacing w:val="13"/>
          <w:sz w:val="22"/>
        </w:rPr>
        <w:t> </w:t>
      </w:r>
      <w:r>
        <w:rPr>
          <w:spacing w:val="-6"/>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2"/>
          <w:sz w:val="22"/>
        </w:rPr>
        <w:t>Great</w:t>
      </w:r>
      <w:r>
        <w:rPr>
          <w:spacing w:val="-11"/>
          <w:sz w:val="22"/>
        </w:rPr>
        <w:t> </w:t>
      </w:r>
      <w:r>
        <w:rPr>
          <w:spacing w:val="-2"/>
          <w:sz w:val="22"/>
        </w:rPr>
        <w:t>Eastern</w:t>
      </w:r>
      <w:r>
        <w:rPr>
          <w:spacing w:val="-10"/>
          <w:sz w:val="22"/>
        </w:rPr>
        <w:t> </w:t>
      </w:r>
      <w:r>
        <w:rPr>
          <w:spacing w:val="-2"/>
          <w:sz w:val="22"/>
        </w:rPr>
        <w:t>Shipping</w:t>
      </w:r>
      <w:r>
        <w:rPr>
          <w:spacing w:val="-10"/>
          <w:sz w:val="22"/>
        </w:rPr>
        <w:t> </w:t>
      </w:r>
      <w:r>
        <w:rPr>
          <w:spacing w:val="-2"/>
          <w:sz w:val="22"/>
        </w:rPr>
        <w:t>Co.</w:t>
      </w:r>
      <w:r>
        <w:rPr>
          <w:spacing w:val="-11"/>
          <w:sz w:val="22"/>
        </w:rPr>
        <w:t> </w:t>
      </w:r>
      <w:r>
        <w:rPr>
          <w:spacing w:val="-4"/>
          <w:sz w:val="22"/>
        </w:rPr>
        <w:t>Ltd.</w:t>
      </w:r>
    </w:p>
    <w:p>
      <w:pPr>
        <w:pStyle w:val="ListParagraph"/>
        <w:numPr>
          <w:ilvl w:val="0"/>
          <w:numId w:val="97"/>
        </w:numPr>
        <w:tabs>
          <w:tab w:pos="1560" w:val="left" w:leader="none"/>
        </w:tabs>
        <w:spacing w:line="261" w:lineRule="auto" w:before="113" w:after="0"/>
        <w:ind w:left="1560" w:right="201" w:hanging="480"/>
        <w:jc w:val="left"/>
        <w:rPr>
          <w:sz w:val="22"/>
        </w:rPr>
      </w:pPr>
      <w:r>
        <w:rPr>
          <w:spacing w:val="-4"/>
          <w:sz w:val="22"/>
        </w:rPr>
        <w:t>Gujarat Co-operative Milk </w:t>
      </w:r>
      <w:r>
        <w:rPr>
          <w:spacing w:val="-4"/>
          <w:sz w:val="22"/>
        </w:rPr>
        <w:t>Marketing </w:t>
      </w:r>
      <w:r>
        <w:rPr>
          <w:sz w:val="22"/>
        </w:rPr>
        <w:t>Federation Ltd.</w:t>
      </w:r>
    </w:p>
    <w:p>
      <w:pPr>
        <w:pStyle w:val="ListParagraph"/>
        <w:numPr>
          <w:ilvl w:val="0"/>
          <w:numId w:val="97"/>
        </w:numPr>
        <w:tabs>
          <w:tab w:pos="1559" w:val="left" w:leader="none"/>
        </w:tabs>
        <w:spacing w:line="240" w:lineRule="auto" w:before="90" w:after="0"/>
        <w:ind w:left="1559" w:right="0" w:hanging="480"/>
        <w:jc w:val="left"/>
        <w:rPr>
          <w:sz w:val="22"/>
        </w:rPr>
      </w:pPr>
      <w:r>
        <w:rPr>
          <w:spacing w:val="-2"/>
          <w:sz w:val="22"/>
        </w:rPr>
        <w:t>HCL</w:t>
      </w:r>
      <w:r>
        <w:rPr>
          <w:spacing w:val="-11"/>
          <w:sz w:val="22"/>
        </w:rPr>
        <w:t> </w:t>
      </w:r>
      <w:r>
        <w:rPr>
          <w:spacing w:val="-2"/>
          <w:sz w:val="22"/>
        </w:rPr>
        <w:t>Infosytems</w:t>
      </w:r>
      <w:r>
        <w:rPr>
          <w:spacing w:val="-11"/>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z w:val="22"/>
        </w:rPr>
        <w:t>IBM</w:t>
      </w:r>
      <w:r>
        <w:rPr>
          <w:spacing w:val="-10"/>
          <w:sz w:val="22"/>
        </w:rPr>
        <w:t> </w:t>
      </w:r>
      <w:r>
        <w:rPr>
          <w:sz w:val="22"/>
        </w:rPr>
        <w:t>India</w:t>
      </w:r>
      <w:r>
        <w:rPr>
          <w:spacing w:val="-9"/>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z w:val="22"/>
        </w:rPr>
        <w:t>ICICI</w:t>
      </w:r>
      <w:r>
        <w:rPr>
          <w:spacing w:val="-6"/>
          <w:sz w:val="22"/>
        </w:rPr>
        <w:t> </w:t>
      </w:r>
      <w:r>
        <w:rPr>
          <w:sz w:val="22"/>
        </w:rPr>
        <w:t>Bank</w:t>
      </w:r>
      <w:r>
        <w:rPr>
          <w:spacing w:val="-6"/>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4"/>
          <w:sz w:val="22"/>
        </w:rPr>
        <w:t>Indian</w:t>
      </w:r>
      <w:r>
        <w:rPr>
          <w:spacing w:val="-8"/>
          <w:sz w:val="22"/>
        </w:rPr>
        <w:t> </w:t>
      </w:r>
      <w:r>
        <w:rPr>
          <w:spacing w:val="-4"/>
          <w:sz w:val="22"/>
        </w:rPr>
        <w:t>Airlines</w:t>
      </w:r>
      <w:r>
        <w:rPr>
          <w:spacing w:val="-7"/>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w w:val="90"/>
          <w:sz w:val="22"/>
        </w:rPr>
        <w:t>Infosys</w:t>
      </w:r>
      <w:r>
        <w:rPr>
          <w:spacing w:val="7"/>
          <w:sz w:val="22"/>
        </w:rPr>
        <w:t> </w:t>
      </w:r>
      <w:r>
        <w:rPr>
          <w:w w:val="90"/>
          <w:sz w:val="22"/>
        </w:rPr>
        <w:t>Technologies</w:t>
      </w:r>
      <w:r>
        <w:rPr>
          <w:spacing w:val="22"/>
          <w:sz w:val="22"/>
        </w:rPr>
        <w:t> </w:t>
      </w:r>
      <w:r>
        <w:rPr>
          <w:spacing w:val="-4"/>
          <w:w w:val="90"/>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6"/>
          <w:sz w:val="22"/>
        </w:rPr>
        <w:t>Jagran</w:t>
      </w:r>
      <w:r>
        <w:rPr>
          <w:spacing w:val="-1"/>
          <w:sz w:val="22"/>
        </w:rPr>
        <w:t> </w:t>
      </w:r>
      <w:r>
        <w:rPr>
          <w:spacing w:val="-6"/>
          <w:sz w:val="22"/>
        </w:rPr>
        <w:t>Prakashan</w:t>
      </w:r>
      <w:r>
        <w:rPr>
          <w:sz w:val="22"/>
        </w:rPr>
        <w:t> </w:t>
      </w:r>
      <w:r>
        <w:rPr>
          <w:spacing w:val="-6"/>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6"/>
          <w:sz w:val="22"/>
        </w:rPr>
        <w:t>Jet Airways</w:t>
      </w:r>
      <w:r>
        <w:rPr>
          <w:spacing w:val="-5"/>
          <w:sz w:val="22"/>
        </w:rPr>
        <w:t> </w:t>
      </w:r>
      <w:r>
        <w:rPr>
          <w:spacing w:val="-6"/>
          <w:sz w:val="22"/>
        </w:rPr>
        <w:t>(India)</w:t>
      </w:r>
      <w:r>
        <w:rPr>
          <w:spacing w:val="-5"/>
          <w:sz w:val="22"/>
        </w:rPr>
        <w:t> </w:t>
      </w:r>
      <w:r>
        <w:rPr>
          <w:spacing w:val="-6"/>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w w:val="90"/>
          <w:sz w:val="22"/>
        </w:rPr>
        <w:t>Jindal</w:t>
      </w:r>
      <w:r>
        <w:rPr>
          <w:spacing w:val="13"/>
          <w:sz w:val="22"/>
        </w:rPr>
        <w:t> </w:t>
      </w:r>
      <w:r>
        <w:rPr>
          <w:w w:val="90"/>
          <w:sz w:val="22"/>
        </w:rPr>
        <w:t>Stainless</w:t>
      </w:r>
      <w:r>
        <w:rPr>
          <w:spacing w:val="13"/>
          <w:sz w:val="22"/>
        </w:rPr>
        <w:t> </w:t>
      </w:r>
      <w:r>
        <w:rPr>
          <w:spacing w:val="-4"/>
          <w:w w:val="90"/>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6"/>
          <w:sz w:val="22"/>
        </w:rPr>
        <w:t>Kirloskar</w:t>
      </w:r>
      <w:r>
        <w:rPr>
          <w:sz w:val="22"/>
        </w:rPr>
        <w:t> </w:t>
      </w:r>
      <w:r>
        <w:rPr>
          <w:spacing w:val="-6"/>
          <w:sz w:val="22"/>
        </w:rPr>
        <w:t>Brothers</w:t>
      </w:r>
      <w:r>
        <w:rPr>
          <w:spacing w:val="1"/>
          <w:sz w:val="22"/>
        </w:rPr>
        <w:t> </w:t>
      </w:r>
      <w:r>
        <w:rPr>
          <w:spacing w:val="-6"/>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pacing w:val="-2"/>
          <w:sz w:val="22"/>
        </w:rPr>
        <w:t>Kotak</w:t>
      </w:r>
      <w:r>
        <w:rPr>
          <w:spacing w:val="-11"/>
          <w:sz w:val="22"/>
        </w:rPr>
        <w:t> </w:t>
      </w:r>
      <w:r>
        <w:rPr>
          <w:spacing w:val="-2"/>
          <w:sz w:val="22"/>
        </w:rPr>
        <w:t>Mahindra</w:t>
      </w:r>
      <w:r>
        <w:rPr>
          <w:spacing w:val="-11"/>
          <w:sz w:val="22"/>
        </w:rPr>
        <w:t> </w:t>
      </w:r>
      <w:r>
        <w:rPr>
          <w:spacing w:val="-2"/>
          <w:sz w:val="22"/>
        </w:rPr>
        <w:t>Bank</w:t>
      </w:r>
      <w:r>
        <w:rPr>
          <w:spacing w:val="-10"/>
          <w:sz w:val="22"/>
        </w:rPr>
        <w:t> </w:t>
      </w:r>
      <w:r>
        <w:rPr>
          <w:spacing w:val="-4"/>
          <w:sz w:val="22"/>
        </w:rPr>
        <w:t>Ltd.</w:t>
      </w:r>
    </w:p>
    <w:p>
      <w:pPr>
        <w:pStyle w:val="ListParagraph"/>
        <w:numPr>
          <w:ilvl w:val="0"/>
          <w:numId w:val="97"/>
        </w:numPr>
        <w:tabs>
          <w:tab w:pos="1559" w:val="left" w:leader="none"/>
        </w:tabs>
        <w:spacing w:line="240" w:lineRule="auto" w:before="113" w:after="0"/>
        <w:ind w:left="1559" w:right="0" w:hanging="480"/>
        <w:jc w:val="left"/>
        <w:rPr>
          <w:sz w:val="22"/>
        </w:rPr>
      </w:pPr>
      <w:r>
        <w:rPr>
          <w:sz w:val="22"/>
        </w:rPr>
        <w:t>Kudremukh</w:t>
      </w:r>
      <w:r>
        <w:rPr>
          <w:spacing w:val="-13"/>
          <w:sz w:val="22"/>
        </w:rPr>
        <w:t> </w:t>
      </w:r>
      <w:r>
        <w:rPr>
          <w:sz w:val="22"/>
        </w:rPr>
        <w:t>Iron</w:t>
      </w:r>
      <w:r>
        <w:rPr>
          <w:spacing w:val="-13"/>
          <w:sz w:val="22"/>
        </w:rPr>
        <w:t> </w:t>
      </w:r>
      <w:r>
        <w:rPr>
          <w:sz w:val="22"/>
        </w:rPr>
        <w:t>Ore</w:t>
      </w:r>
      <w:r>
        <w:rPr>
          <w:spacing w:val="-12"/>
          <w:sz w:val="22"/>
        </w:rPr>
        <w:t> </w:t>
      </w:r>
      <w:r>
        <w:rPr>
          <w:sz w:val="22"/>
        </w:rPr>
        <w:t>Company</w:t>
      </w:r>
      <w:r>
        <w:rPr>
          <w:spacing w:val="-13"/>
          <w:sz w:val="22"/>
        </w:rPr>
        <w:t> </w:t>
      </w:r>
      <w:r>
        <w:rPr>
          <w:spacing w:val="-4"/>
          <w:sz w:val="22"/>
        </w:rPr>
        <w:t>Ltd.</w:t>
      </w:r>
    </w:p>
    <w:p>
      <w:pPr>
        <w:pStyle w:val="ListParagraph"/>
        <w:numPr>
          <w:ilvl w:val="0"/>
          <w:numId w:val="97"/>
        </w:numPr>
        <w:tabs>
          <w:tab w:pos="1560" w:val="left" w:leader="none"/>
        </w:tabs>
        <w:spacing w:line="261" w:lineRule="auto" w:before="113" w:after="0"/>
        <w:ind w:left="1560" w:right="1440" w:hanging="480"/>
        <w:jc w:val="left"/>
        <w:rPr>
          <w:sz w:val="22"/>
        </w:rPr>
      </w:pPr>
      <w:r>
        <w:rPr>
          <w:sz w:val="22"/>
        </w:rPr>
        <w:t>Mahindra</w:t>
      </w:r>
      <w:r>
        <w:rPr>
          <w:spacing w:val="-14"/>
          <w:sz w:val="22"/>
        </w:rPr>
        <w:t> </w:t>
      </w:r>
      <w:r>
        <w:rPr>
          <w:sz w:val="22"/>
        </w:rPr>
        <w:t>&amp;</w:t>
      </w:r>
      <w:r>
        <w:rPr>
          <w:spacing w:val="-14"/>
          <w:sz w:val="22"/>
        </w:rPr>
        <w:t> </w:t>
      </w:r>
      <w:r>
        <w:rPr>
          <w:sz w:val="22"/>
        </w:rPr>
        <w:t>Mahindra (Mahindra Group)</w:t>
      </w:r>
    </w:p>
    <w:p>
      <w:pPr>
        <w:pStyle w:val="ListParagraph"/>
        <w:numPr>
          <w:ilvl w:val="0"/>
          <w:numId w:val="97"/>
        </w:numPr>
        <w:tabs>
          <w:tab w:pos="1559" w:val="left" w:leader="none"/>
        </w:tabs>
        <w:spacing w:line="240" w:lineRule="auto" w:before="95" w:after="0"/>
        <w:ind w:left="1559" w:right="0" w:hanging="480"/>
        <w:jc w:val="left"/>
        <w:rPr>
          <w:sz w:val="22"/>
        </w:rPr>
      </w:pPr>
      <w:r>
        <w:rPr>
          <w:spacing w:val="-5"/>
          <w:sz w:val="22"/>
        </w:rPr>
        <w:t>MSPL</w:t>
      </w:r>
      <w:r>
        <w:rPr>
          <w:spacing w:val="-9"/>
          <w:sz w:val="22"/>
        </w:rPr>
        <w:t> </w:t>
      </w:r>
      <w:r>
        <w:rPr>
          <w:spacing w:val="-4"/>
          <w:sz w:val="22"/>
        </w:rPr>
        <w:t>Ltd.</w:t>
      </w:r>
    </w:p>
    <w:p>
      <w:pPr>
        <w:pStyle w:val="ListParagraph"/>
        <w:numPr>
          <w:ilvl w:val="0"/>
          <w:numId w:val="97"/>
        </w:numPr>
        <w:tabs>
          <w:tab w:pos="1559" w:val="left" w:leader="none"/>
        </w:tabs>
        <w:spacing w:line="268" w:lineRule="auto" w:before="99" w:after="0"/>
        <w:ind w:left="1559" w:right="1844" w:hanging="480"/>
        <w:jc w:val="left"/>
        <w:rPr>
          <w:sz w:val="22"/>
        </w:rPr>
      </w:pPr>
      <w:r>
        <w:rPr/>
        <w:br w:type="column"/>
      </w:r>
      <w:r>
        <w:rPr>
          <w:spacing w:val="-4"/>
          <w:sz w:val="22"/>
        </w:rPr>
        <w:t>National</w:t>
      </w:r>
      <w:r>
        <w:rPr>
          <w:spacing w:val="-5"/>
          <w:sz w:val="22"/>
        </w:rPr>
        <w:t> </w:t>
      </w:r>
      <w:r>
        <w:rPr>
          <w:spacing w:val="-4"/>
          <w:sz w:val="22"/>
        </w:rPr>
        <w:t>Bank</w:t>
      </w:r>
      <w:r>
        <w:rPr>
          <w:spacing w:val="-5"/>
          <w:sz w:val="22"/>
        </w:rPr>
        <w:t> </w:t>
      </w:r>
      <w:r>
        <w:rPr>
          <w:spacing w:val="-4"/>
          <w:sz w:val="22"/>
        </w:rPr>
        <w:t>for</w:t>
      </w:r>
      <w:r>
        <w:rPr>
          <w:spacing w:val="-5"/>
          <w:sz w:val="22"/>
        </w:rPr>
        <w:t> </w:t>
      </w:r>
      <w:r>
        <w:rPr>
          <w:spacing w:val="-4"/>
          <w:sz w:val="22"/>
        </w:rPr>
        <w:t>Agriculture</w:t>
      </w:r>
      <w:r>
        <w:rPr>
          <w:spacing w:val="-5"/>
          <w:sz w:val="22"/>
        </w:rPr>
        <w:t> </w:t>
      </w:r>
      <w:r>
        <w:rPr>
          <w:spacing w:val="-4"/>
          <w:sz w:val="22"/>
        </w:rPr>
        <w:t>and</w:t>
      </w:r>
      <w:r>
        <w:rPr>
          <w:spacing w:val="-5"/>
          <w:sz w:val="22"/>
        </w:rPr>
        <w:t> </w:t>
      </w:r>
      <w:r>
        <w:rPr>
          <w:spacing w:val="-4"/>
          <w:sz w:val="22"/>
        </w:rPr>
        <w:t>Rural </w:t>
      </w:r>
      <w:r>
        <w:rPr>
          <w:sz w:val="22"/>
        </w:rPr>
        <w:t>Development (NABARD)</w:t>
      </w:r>
    </w:p>
    <w:p>
      <w:pPr>
        <w:pStyle w:val="ListParagraph"/>
        <w:numPr>
          <w:ilvl w:val="0"/>
          <w:numId w:val="97"/>
        </w:numPr>
        <w:tabs>
          <w:tab w:pos="1559" w:val="left" w:leader="none"/>
        </w:tabs>
        <w:spacing w:line="240" w:lineRule="auto" w:before="91" w:after="0"/>
        <w:ind w:left="1559" w:right="0" w:hanging="480"/>
        <w:jc w:val="left"/>
        <w:rPr>
          <w:sz w:val="22"/>
        </w:rPr>
      </w:pPr>
      <w:r>
        <w:rPr>
          <w:spacing w:val="-2"/>
          <w:sz w:val="22"/>
        </w:rPr>
        <w:t>National</w:t>
      </w:r>
      <w:r>
        <w:rPr>
          <w:spacing w:val="-4"/>
          <w:sz w:val="22"/>
        </w:rPr>
        <w:t> </w:t>
      </w:r>
      <w:r>
        <w:rPr>
          <w:spacing w:val="-2"/>
          <w:sz w:val="22"/>
        </w:rPr>
        <w:t>Mineral</w:t>
      </w:r>
      <w:r>
        <w:rPr>
          <w:spacing w:val="-4"/>
          <w:sz w:val="22"/>
        </w:rPr>
        <w:t> </w:t>
      </w:r>
      <w:r>
        <w:rPr>
          <w:spacing w:val="-2"/>
          <w:sz w:val="22"/>
        </w:rPr>
        <w:t>Dev</w:t>
      </w:r>
      <w:r>
        <w:rPr>
          <w:spacing w:val="-4"/>
          <w:sz w:val="22"/>
        </w:rPr>
        <w:t> </w:t>
      </w:r>
      <w:r>
        <w:rPr>
          <w:spacing w:val="-2"/>
          <w:sz w:val="22"/>
        </w:rPr>
        <w:t>Corp</w:t>
      </w:r>
      <w:r>
        <w:rPr>
          <w:spacing w:val="-4"/>
          <w:sz w:val="22"/>
        </w:rPr>
        <w:t> Ltd.</w:t>
      </w:r>
    </w:p>
    <w:p>
      <w:pPr>
        <w:pStyle w:val="ListParagraph"/>
        <w:numPr>
          <w:ilvl w:val="0"/>
          <w:numId w:val="97"/>
        </w:numPr>
        <w:tabs>
          <w:tab w:pos="1559" w:val="left" w:leader="none"/>
        </w:tabs>
        <w:spacing w:line="240" w:lineRule="auto" w:before="121" w:after="0"/>
        <w:ind w:left="1559" w:right="0" w:hanging="480"/>
        <w:jc w:val="left"/>
        <w:rPr>
          <w:sz w:val="22"/>
        </w:rPr>
      </w:pPr>
      <w:r>
        <w:rPr>
          <w:sz w:val="22"/>
        </w:rPr>
        <w:t>NTPC</w:t>
      </w:r>
      <w:r>
        <w:rPr>
          <w:spacing w:val="28"/>
          <w:sz w:val="22"/>
        </w:rPr>
        <w:t> </w:t>
      </w:r>
      <w:r>
        <w:rPr>
          <w:spacing w:val="-4"/>
          <w:sz w:val="22"/>
        </w:rPr>
        <w:t>Ltd.</w:t>
      </w:r>
    </w:p>
    <w:p>
      <w:pPr>
        <w:pStyle w:val="ListParagraph"/>
        <w:numPr>
          <w:ilvl w:val="0"/>
          <w:numId w:val="97"/>
        </w:numPr>
        <w:tabs>
          <w:tab w:pos="1559" w:val="left" w:leader="none"/>
        </w:tabs>
        <w:spacing w:line="268" w:lineRule="auto" w:before="122" w:after="0"/>
        <w:ind w:left="1559" w:right="2708" w:hanging="480"/>
        <w:jc w:val="left"/>
        <w:rPr>
          <w:sz w:val="22"/>
        </w:rPr>
      </w:pPr>
      <w:r>
        <w:rPr>
          <w:spacing w:val="-4"/>
          <w:sz w:val="22"/>
        </w:rPr>
        <w:t>Nuclear</w:t>
      </w:r>
      <w:r>
        <w:rPr>
          <w:spacing w:val="-7"/>
          <w:sz w:val="22"/>
        </w:rPr>
        <w:t> </w:t>
      </w:r>
      <w:r>
        <w:rPr>
          <w:spacing w:val="-4"/>
          <w:sz w:val="22"/>
        </w:rPr>
        <w:t>Power</w:t>
      </w:r>
      <w:r>
        <w:rPr>
          <w:spacing w:val="-7"/>
          <w:sz w:val="22"/>
        </w:rPr>
        <w:t> </w:t>
      </w:r>
      <w:r>
        <w:rPr>
          <w:spacing w:val="-4"/>
          <w:sz w:val="22"/>
        </w:rPr>
        <w:t>Corporation</w:t>
      </w:r>
      <w:r>
        <w:rPr>
          <w:spacing w:val="-7"/>
          <w:sz w:val="22"/>
        </w:rPr>
        <w:t> </w:t>
      </w:r>
      <w:r>
        <w:rPr>
          <w:spacing w:val="-4"/>
          <w:sz w:val="22"/>
        </w:rPr>
        <w:t>of </w:t>
      </w:r>
      <w:r>
        <w:rPr>
          <w:sz w:val="22"/>
        </w:rPr>
        <w:t>India Ltd.</w:t>
      </w:r>
    </w:p>
    <w:p>
      <w:pPr>
        <w:pStyle w:val="ListParagraph"/>
        <w:numPr>
          <w:ilvl w:val="0"/>
          <w:numId w:val="97"/>
        </w:numPr>
        <w:tabs>
          <w:tab w:pos="1559" w:val="left" w:leader="none"/>
        </w:tabs>
        <w:spacing w:line="240" w:lineRule="auto" w:before="91" w:after="0"/>
        <w:ind w:left="1559" w:right="0" w:hanging="480"/>
        <w:jc w:val="left"/>
        <w:rPr>
          <w:sz w:val="22"/>
        </w:rPr>
      </w:pPr>
      <w:r>
        <w:rPr>
          <w:sz w:val="22"/>
        </w:rPr>
        <w:t>Oil</w:t>
      </w:r>
      <w:r>
        <w:rPr>
          <w:spacing w:val="-10"/>
          <w:sz w:val="22"/>
        </w:rPr>
        <w:t> </w:t>
      </w:r>
      <w:r>
        <w:rPr>
          <w:sz w:val="22"/>
        </w:rPr>
        <w:t>and</w:t>
      </w:r>
      <w:r>
        <w:rPr>
          <w:spacing w:val="-9"/>
          <w:sz w:val="22"/>
        </w:rPr>
        <w:t> </w:t>
      </w:r>
      <w:r>
        <w:rPr>
          <w:sz w:val="22"/>
        </w:rPr>
        <w:t>Natural</w:t>
      </w:r>
      <w:r>
        <w:rPr>
          <w:spacing w:val="-10"/>
          <w:sz w:val="22"/>
        </w:rPr>
        <w:t> </w:t>
      </w:r>
      <w:r>
        <w:rPr>
          <w:sz w:val="22"/>
        </w:rPr>
        <w:t>Gas</w:t>
      </w:r>
      <w:r>
        <w:rPr>
          <w:spacing w:val="-10"/>
          <w:sz w:val="22"/>
        </w:rPr>
        <w:t> </w:t>
      </w:r>
      <w:r>
        <w:rPr>
          <w:sz w:val="22"/>
        </w:rPr>
        <w:t>Corporation</w:t>
      </w:r>
      <w:r>
        <w:rPr>
          <w:spacing w:val="-9"/>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z w:val="22"/>
        </w:rPr>
        <w:t>Oil</w:t>
      </w:r>
      <w:r>
        <w:rPr>
          <w:spacing w:val="-5"/>
          <w:sz w:val="22"/>
        </w:rPr>
        <w:t> </w:t>
      </w:r>
      <w:r>
        <w:rPr>
          <w:sz w:val="22"/>
        </w:rPr>
        <w:t>India</w:t>
      </w:r>
      <w:r>
        <w:rPr>
          <w:spacing w:val="-4"/>
          <w:sz w:val="22"/>
        </w:rPr>
        <w:t> Ltd.</w:t>
      </w:r>
    </w:p>
    <w:p>
      <w:pPr>
        <w:pStyle w:val="ListParagraph"/>
        <w:numPr>
          <w:ilvl w:val="0"/>
          <w:numId w:val="97"/>
        </w:numPr>
        <w:tabs>
          <w:tab w:pos="1559" w:val="left" w:leader="none"/>
        </w:tabs>
        <w:spacing w:line="240" w:lineRule="auto" w:before="121" w:after="0"/>
        <w:ind w:left="1559" w:right="0" w:hanging="480"/>
        <w:jc w:val="left"/>
        <w:rPr>
          <w:sz w:val="22"/>
        </w:rPr>
      </w:pPr>
      <w:r>
        <w:rPr>
          <w:spacing w:val="-2"/>
          <w:sz w:val="22"/>
        </w:rPr>
        <w:t>Pantaloon</w:t>
      </w:r>
      <w:r>
        <w:rPr>
          <w:spacing w:val="-10"/>
          <w:sz w:val="22"/>
        </w:rPr>
        <w:t> </w:t>
      </w:r>
      <w:r>
        <w:rPr>
          <w:spacing w:val="-2"/>
          <w:sz w:val="22"/>
        </w:rPr>
        <w:t>Retail</w:t>
      </w:r>
    </w:p>
    <w:p>
      <w:pPr>
        <w:pStyle w:val="ListParagraph"/>
        <w:numPr>
          <w:ilvl w:val="0"/>
          <w:numId w:val="97"/>
        </w:numPr>
        <w:tabs>
          <w:tab w:pos="1559" w:val="left" w:leader="none"/>
        </w:tabs>
        <w:spacing w:line="240" w:lineRule="auto" w:before="121" w:after="0"/>
        <w:ind w:left="1559" w:right="0" w:hanging="480"/>
        <w:jc w:val="left"/>
        <w:rPr>
          <w:sz w:val="22"/>
        </w:rPr>
      </w:pPr>
      <w:r>
        <w:rPr>
          <w:spacing w:val="-4"/>
          <w:sz w:val="22"/>
        </w:rPr>
        <w:t>Philips</w:t>
      </w:r>
      <w:r>
        <w:rPr>
          <w:spacing w:val="-5"/>
          <w:sz w:val="22"/>
        </w:rPr>
        <w:t> </w:t>
      </w:r>
      <w:r>
        <w:rPr>
          <w:spacing w:val="-4"/>
          <w:sz w:val="22"/>
        </w:rPr>
        <w:t>Electronics</w:t>
      </w:r>
      <w:r>
        <w:rPr>
          <w:spacing w:val="-5"/>
          <w:sz w:val="22"/>
        </w:rPr>
        <w:t> </w:t>
      </w:r>
      <w:r>
        <w:rPr>
          <w:spacing w:val="-4"/>
          <w:sz w:val="22"/>
        </w:rPr>
        <w:t>India</w:t>
      </w:r>
      <w:r>
        <w:rPr>
          <w:spacing w:val="-5"/>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2"/>
          <w:sz w:val="22"/>
        </w:rPr>
        <w:t>Power</w:t>
      </w:r>
      <w:r>
        <w:rPr>
          <w:spacing w:val="-7"/>
          <w:sz w:val="22"/>
        </w:rPr>
        <w:t> </w:t>
      </w:r>
      <w:r>
        <w:rPr>
          <w:spacing w:val="-2"/>
          <w:sz w:val="22"/>
        </w:rPr>
        <w:t>Grid</w:t>
      </w:r>
      <w:r>
        <w:rPr>
          <w:spacing w:val="-7"/>
          <w:sz w:val="22"/>
        </w:rPr>
        <w:t> </w:t>
      </w:r>
      <w:r>
        <w:rPr>
          <w:spacing w:val="-2"/>
          <w:sz w:val="22"/>
        </w:rPr>
        <w:t>Corporation</w:t>
      </w:r>
      <w:r>
        <w:rPr>
          <w:spacing w:val="-7"/>
          <w:sz w:val="22"/>
        </w:rPr>
        <w:t> </w:t>
      </w:r>
      <w:r>
        <w:rPr>
          <w:spacing w:val="-2"/>
          <w:sz w:val="22"/>
        </w:rPr>
        <w:t>of</w:t>
      </w:r>
      <w:r>
        <w:rPr>
          <w:spacing w:val="-7"/>
          <w:sz w:val="22"/>
        </w:rPr>
        <w:t> </w:t>
      </w:r>
      <w:r>
        <w:rPr>
          <w:spacing w:val="-2"/>
          <w:sz w:val="22"/>
        </w:rPr>
        <w:t>India</w:t>
      </w:r>
      <w:r>
        <w:rPr>
          <w:spacing w:val="-7"/>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2"/>
          <w:sz w:val="22"/>
        </w:rPr>
        <w:t>Punjab</w:t>
      </w:r>
      <w:r>
        <w:rPr>
          <w:spacing w:val="-5"/>
          <w:sz w:val="22"/>
        </w:rPr>
        <w:t> </w:t>
      </w:r>
      <w:r>
        <w:rPr>
          <w:spacing w:val="-2"/>
          <w:sz w:val="22"/>
        </w:rPr>
        <w:t>National</w:t>
      </w:r>
      <w:r>
        <w:rPr>
          <w:spacing w:val="-5"/>
          <w:sz w:val="22"/>
        </w:rPr>
        <w:t> </w:t>
      </w:r>
      <w:r>
        <w:rPr>
          <w:spacing w:val="-4"/>
          <w:sz w:val="22"/>
        </w:rPr>
        <w:t>Bank</w:t>
      </w:r>
    </w:p>
    <w:p>
      <w:pPr>
        <w:pStyle w:val="ListParagraph"/>
        <w:numPr>
          <w:ilvl w:val="0"/>
          <w:numId w:val="97"/>
        </w:numPr>
        <w:tabs>
          <w:tab w:pos="1559" w:val="left" w:leader="none"/>
        </w:tabs>
        <w:spacing w:line="240" w:lineRule="auto" w:before="121" w:after="0"/>
        <w:ind w:left="1559" w:right="0" w:hanging="480"/>
        <w:jc w:val="left"/>
        <w:rPr>
          <w:sz w:val="22"/>
        </w:rPr>
      </w:pPr>
      <w:r>
        <w:rPr>
          <w:spacing w:val="-6"/>
          <w:sz w:val="22"/>
        </w:rPr>
        <w:t>Reliance</w:t>
      </w:r>
      <w:r>
        <w:rPr>
          <w:spacing w:val="7"/>
          <w:sz w:val="22"/>
        </w:rPr>
        <w:t> </w:t>
      </w:r>
      <w:r>
        <w:rPr>
          <w:spacing w:val="-6"/>
          <w:sz w:val="22"/>
        </w:rPr>
        <w:t>Industries</w:t>
      </w:r>
      <w:r>
        <w:rPr>
          <w:spacing w:val="8"/>
          <w:sz w:val="22"/>
        </w:rPr>
        <w:t> </w:t>
      </w:r>
      <w:r>
        <w:rPr>
          <w:spacing w:val="-6"/>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z w:val="22"/>
        </w:rPr>
        <w:t>RPG</w:t>
      </w:r>
      <w:r>
        <w:rPr>
          <w:spacing w:val="-5"/>
          <w:sz w:val="22"/>
        </w:rPr>
        <w:t> </w:t>
      </w:r>
      <w:r>
        <w:rPr>
          <w:spacing w:val="-2"/>
          <w:sz w:val="22"/>
        </w:rPr>
        <w:t>Enterprises</w:t>
      </w:r>
    </w:p>
    <w:p>
      <w:pPr>
        <w:pStyle w:val="ListParagraph"/>
        <w:numPr>
          <w:ilvl w:val="0"/>
          <w:numId w:val="97"/>
        </w:numPr>
        <w:tabs>
          <w:tab w:pos="1559" w:val="left" w:leader="none"/>
        </w:tabs>
        <w:spacing w:line="240" w:lineRule="auto" w:before="121" w:after="0"/>
        <w:ind w:left="1559" w:right="0" w:hanging="480"/>
        <w:jc w:val="left"/>
        <w:rPr>
          <w:sz w:val="22"/>
        </w:rPr>
      </w:pPr>
      <w:r>
        <w:rPr>
          <w:spacing w:val="-6"/>
          <w:sz w:val="22"/>
        </w:rPr>
        <w:t>Rural</w:t>
      </w:r>
      <w:r>
        <w:rPr>
          <w:spacing w:val="10"/>
          <w:sz w:val="22"/>
        </w:rPr>
        <w:t> </w:t>
      </w:r>
      <w:r>
        <w:rPr>
          <w:spacing w:val="-6"/>
          <w:sz w:val="22"/>
        </w:rPr>
        <w:t>Electrification</w:t>
      </w:r>
      <w:r>
        <w:rPr>
          <w:spacing w:val="10"/>
          <w:sz w:val="22"/>
        </w:rPr>
        <w:t> </w:t>
      </w:r>
      <w:r>
        <w:rPr>
          <w:spacing w:val="-6"/>
          <w:sz w:val="22"/>
        </w:rPr>
        <w:t>Corpn.</w:t>
      </w:r>
    </w:p>
    <w:p>
      <w:pPr>
        <w:pStyle w:val="ListParagraph"/>
        <w:numPr>
          <w:ilvl w:val="0"/>
          <w:numId w:val="97"/>
        </w:numPr>
        <w:tabs>
          <w:tab w:pos="1559" w:val="left" w:leader="none"/>
        </w:tabs>
        <w:spacing w:line="240" w:lineRule="auto" w:before="121" w:after="0"/>
        <w:ind w:left="1559" w:right="0" w:hanging="480"/>
        <w:jc w:val="left"/>
        <w:rPr>
          <w:sz w:val="22"/>
        </w:rPr>
      </w:pPr>
      <w:r>
        <w:rPr>
          <w:spacing w:val="-8"/>
          <w:sz w:val="22"/>
        </w:rPr>
        <w:t>Sesa</w:t>
      </w:r>
      <w:r>
        <w:rPr>
          <w:spacing w:val="-5"/>
          <w:sz w:val="22"/>
        </w:rPr>
        <w:t> </w:t>
      </w:r>
      <w:r>
        <w:rPr>
          <w:spacing w:val="-8"/>
          <w:sz w:val="22"/>
        </w:rPr>
        <w:t>Goa</w:t>
      </w:r>
      <w:r>
        <w:rPr>
          <w:spacing w:val="-5"/>
          <w:sz w:val="22"/>
        </w:rPr>
        <w:t> </w:t>
      </w:r>
      <w:r>
        <w:rPr>
          <w:spacing w:val="-8"/>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8"/>
          <w:sz w:val="22"/>
        </w:rPr>
        <w:t>Shopper’s</w:t>
      </w:r>
      <w:r>
        <w:rPr>
          <w:spacing w:val="-4"/>
          <w:sz w:val="22"/>
        </w:rPr>
        <w:t> </w:t>
      </w:r>
      <w:r>
        <w:rPr>
          <w:spacing w:val="-8"/>
          <w:sz w:val="22"/>
        </w:rPr>
        <w:t>Stop</w:t>
      </w:r>
      <w:r>
        <w:rPr>
          <w:spacing w:val="-3"/>
          <w:sz w:val="22"/>
        </w:rPr>
        <w:t> </w:t>
      </w:r>
      <w:r>
        <w:rPr>
          <w:spacing w:val="-8"/>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4"/>
          <w:sz w:val="22"/>
        </w:rPr>
        <w:t>SICPA</w:t>
      </w:r>
      <w:r>
        <w:rPr>
          <w:spacing w:val="-6"/>
          <w:sz w:val="22"/>
        </w:rPr>
        <w:t> </w:t>
      </w:r>
      <w:r>
        <w:rPr>
          <w:spacing w:val="-4"/>
          <w:sz w:val="22"/>
        </w:rPr>
        <w:t>India</w:t>
      </w:r>
      <w:r>
        <w:rPr>
          <w:spacing w:val="-5"/>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4"/>
          <w:sz w:val="22"/>
        </w:rPr>
        <w:t>Singareni</w:t>
      </w:r>
      <w:r>
        <w:rPr>
          <w:spacing w:val="-10"/>
          <w:sz w:val="22"/>
        </w:rPr>
        <w:t> </w:t>
      </w:r>
      <w:r>
        <w:rPr>
          <w:spacing w:val="-4"/>
          <w:sz w:val="22"/>
        </w:rPr>
        <w:t>Collieries</w:t>
      </w:r>
      <w:r>
        <w:rPr>
          <w:spacing w:val="-10"/>
          <w:sz w:val="22"/>
        </w:rPr>
        <w:t> </w:t>
      </w:r>
      <w:r>
        <w:rPr>
          <w:spacing w:val="-4"/>
          <w:sz w:val="22"/>
        </w:rPr>
        <w:t>Co</w:t>
      </w:r>
      <w:r>
        <w:rPr>
          <w:spacing w:val="-9"/>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2"/>
          <w:sz w:val="22"/>
        </w:rPr>
        <w:t>Star</w:t>
      </w:r>
      <w:r>
        <w:rPr>
          <w:spacing w:val="-7"/>
          <w:sz w:val="22"/>
        </w:rPr>
        <w:t> </w:t>
      </w:r>
      <w:r>
        <w:rPr>
          <w:spacing w:val="-2"/>
          <w:sz w:val="22"/>
        </w:rPr>
        <w:t>Group</w:t>
      </w:r>
      <w:r>
        <w:rPr>
          <w:spacing w:val="-6"/>
          <w:sz w:val="22"/>
        </w:rPr>
        <w:t> </w:t>
      </w:r>
      <w:r>
        <w:rPr>
          <w:spacing w:val="-4"/>
          <w:sz w:val="22"/>
        </w:rPr>
        <w:t>India</w:t>
      </w:r>
    </w:p>
    <w:p>
      <w:pPr>
        <w:pStyle w:val="ListParagraph"/>
        <w:numPr>
          <w:ilvl w:val="0"/>
          <w:numId w:val="97"/>
        </w:numPr>
        <w:tabs>
          <w:tab w:pos="1559" w:val="left" w:leader="none"/>
        </w:tabs>
        <w:spacing w:line="240" w:lineRule="auto" w:before="121" w:after="0"/>
        <w:ind w:left="1559" w:right="0" w:hanging="480"/>
        <w:jc w:val="left"/>
        <w:rPr>
          <w:sz w:val="22"/>
        </w:rPr>
      </w:pPr>
      <w:r>
        <w:rPr>
          <w:spacing w:val="-4"/>
          <w:sz w:val="22"/>
        </w:rPr>
        <w:t>Steel Authority of</w:t>
      </w:r>
      <w:r>
        <w:rPr>
          <w:spacing w:val="-5"/>
          <w:sz w:val="22"/>
        </w:rPr>
        <w:t> </w:t>
      </w:r>
      <w:r>
        <w:rPr>
          <w:spacing w:val="-4"/>
          <w:sz w:val="22"/>
        </w:rPr>
        <w:t>India Ltd.</w:t>
      </w:r>
    </w:p>
    <w:p>
      <w:pPr>
        <w:pStyle w:val="ListParagraph"/>
        <w:numPr>
          <w:ilvl w:val="0"/>
          <w:numId w:val="97"/>
        </w:numPr>
        <w:tabs>
          <w:tab w:pos="1559" w:val="left" w:leader="none"/>
        </w:tabs>
        <w:spacing w:line="240" w:lineRule="auto" w:before="121" w:after="0"/>
        <w:ind w:left="1559" w:right="0" w:hanging="480"/>
        <w:jc w:val="left"/>
        <w:rPr>
          <w:sz w:val="22"/>
        </w:rPr>
      </w:pPr>
      <w:r>
        <w:rPr>
          <w:spacing w:val="-4"/>
          <w:sz w:val="22"/>
        </w:rPr>
        <w:t>Sun</w:t>
      </w:r>
      <w:r>
        <w:rPr>
          <w:spacing w:val="-7"/>
          <w:sz w:val="22"/>
        </w:rPr>
        <w:t> </w:t>
      </w:r>
      <w:r>
        <w:rPr>
          <w:spacing w:val="-4"/>
          <w:sz w:val="22"/>
        </w:rPr>
        <w:t>Pharmaceuticals</w:t>
      </w:r>
      <w:r>
        <w:rPr>
          <w:spacing w:val="-7"/>
          <w:sz w:val="22"/>
        </w:rPr>
        <w:t> </w:t>
      </w:r>
      <w:r>
        <w:rPr>
          <w:spacing w:val="-4"/>
          <w:sz w:val="22"/>
        </w:rPr>
        <w:t>Industries</w:t>
      </w:r>
      <w:r>
        <w:rPr>
          <w:spacing w:val="-7"/>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6"/>
          <w:sz w:val="22"/>
        </w:rPr>
        <w:t>Syndicate</w:t>
      </w:r>
      <w:r>
        <w:rPr>
          <w:spacing w:val="-3"/>
          <w:sz w:val="22"/>
        </w:rPr>
        <w:t> </w:t>
      </w:r>
      <w:r>
        <w:rPr>
          <w:spacing w:val="-4"/>
          <w:sz w:val="22"/>
        </w:rPr>
        <w:t>Bank</w:t>
      </w:r>
    </w:p>
    <w:p>
      <w:pPr>
        <w:pStyle w:val="ListParagraph"/>
        <w:numPr>
          <w:ilvl w:val="0"/>
          <w:numId w:val="97"/>
        </w:numPr>
        <w:tabs>
          <w:tab w:pos="1559" w:val="left" w:leader="none"/>
        </w:tabs>
        <w:spacing w:line="240" w:lineRule="auto" w:before="121" w:after="0"/>
        <w:ind w:left="1559" w:right="0" w:hanging="480"/>
        <w:jc w:val="left"/>
        <w:rPr>
          <w:sz w:val="22"/>
        </w:rPr>
      </w:pPr>
      <w:r>
        <w:rPr>
          <w:spacing w:val="-6"/>
          <w:sz w:val="22"/>
        </w:rPr>
        <w:t>Tata</w:t>
      </w:r>
      <w:r>
        <w:rPr>
          <w:spacing w:val="-3"/>
          <w:sz w:val="22"/>
        </w:rPr>
        <w:t> </w:t>
      </w:r>
      <w:r>
        <w:rPr>
          <w:spacing w:val="-6"/>
          <w:sz w:val="22"/>
        </w:rPr>
        <w:t>Consultancy</w:t>
      </w:r>
      <w:r>
        <w:rPr>
          <w:spacing w:val="-3"/>
          <w:sz w:val="22"/>
        </w:rPr>
        <w:t> </w:t>
      </w:r>
      <w:r>
        <w:rPr>
          <w:spacing w:val="-6"/>
          <w:sz w:val="22"/>
        </w:rPr>
        <w:t>Services</w:t>
      </w:r>
      <w:r>
        <w:rPr>
          <w:spacing w:val="-3"/>
          <w:sz w:val="22"/>
        </w:rPr>
        <w:t> </w:t>
      </w:r>
      <w:r>
        <w:rPr>
          <w:spacing w:val="-6"/>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5"/>
          <w:sz w:val="22"/>
        </w:rPr>
        <w:t>Tata</w:t>
      </w:r>
      <w:r>
        <w:rPr>
          <w:spacing w:val="-8"/>
          <w:sz w:val="22"/>
        </w:rPr>
        <w:t> </w:t>
      </w:r>
      <w:r>
        <w:rPr>
          <w:spacing w:val="-2"/>
          <w:sz w:val="22"/>
        </w:rPr>
        <w:t>Group</w:t>
      </w:r>
    </w:p>
    <w:p>
      <w:pPr>
        <w:pStyle w:val="ListParagraph"/>
        <w:numPr>
          <w:ilvl w:val="0"/>
          <w:numId w:val="97"/>
        </w:numPr>
        <w:tabs>
          <w:tab w:pos="1559" w:val="left" w:leader="none"/>
        </w:tabs>
        <w:spacing w:line="240" w:lineRule="auto" w:before="121" w:after="0"/>
        <w:ind w:left="1559" w:right="0" w:hanging="480"/>
        <w:jc w:val="left"/>
        <w:rPr>
          <w:sz w:val="22"/>
        </w:rPr>
      </w:pPr>
      <w:r>
        <w:rPr>
          <w:spacing w:val="-4"/>
          <w:sz w:val="22"/>
        </w:rPr>
        <w:t>Tata Motors</w:t>
      </w:r>
      <w:r>
        <w:rPr>
          <w:spacing w:val="-3"/>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8"/>
          <w:sz w:val="22"/>
        </w:rPr>
        <w:t>Tata</w:t>
      </w:r>
      <w:r>
        <w:rPr>
          <w:sz w:val="22"/>
        </w:rPr>
        <w:t> </w:t>
      </w:r>
      <w:r>
        <w:rPr>
          <w:spacing w:val="-8"/>
          <w:sz w:val="22"/>
        </w:rPr>
        <w:t>Steel</w:t>
      </w:r>
      <w:r>
        <w:rPr>
          <w:sz w:val="22"/>
        </w:rPr>
        <w:t> </w:t>
      </w:r>
      <w:r>
        <w:rPr>
          <w:spacing w:val="-8"/>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2"/>
          <w:sz w:val="22"/>
        </w:rPr>
        <w:t>Thermax</w:t>
      </w:r>
      <w:r>
        <w:rPr>
          <w:spacing w:val="-10"/>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6"/>
          <w:sz w:val="22"/>
        </w:rPr>
        <w:t>West</w:t>
      </w:r>
      <w:r>
        <w:rPr>
          <w:spacing w:val="-1"/>
          <w:sz w:val="22"/>
        </w:rPr>
        <w:t> </w:t>
      </w:r>
      <w:r>
        <w:rPr>
          <w:spacing w:val="-6"/>
          <w:sz w:val="22"/>
        </w:rPr>
        <w:t>Coast</w:t>
      </w:r>
      <w:r>
        <w:rPr>
          <w:sz w:val="22"/>
        </w:rPr>
        <w:t> </w:t>
      </w:r>
      <w:r>
        <w:rPr>
          <w:spacing w:val="-6"/>
          <w:sz w:val="22"/>
        </w:rPr>
        <w:t>Paper</w:t>
      </w:r>
      <w:r>
        <w:rPr>
          <w:spacing w:val="-1"/>
          <w:sz w:val="22"/>
        </w:rPr>
        <w:t> </w:t>
      </w:r>
      <w:r>
        <w:rPr>
          <w:spacing w:val="-6"/>
          <w:sz w:val="22"/>
        </w:rPr>
        <w:t>Mills</w:t>
      </w:r>
      <w:r>
        <w:rPr>
          <w:sz w:val="22"/>
        </w:rPr>
        <w:t> </w:t>
      </w:r>
      <w:r>
        <w:rPr>
          <w:spacing w:val="-6"/>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2"/>
          <w:sz w:val="22"/>
        </w:rPr>
        <w:t>Whirlpool</w:t>
      </w:r>
      <w:r>
        <w:rPr>
          <w:sz w:val="22"/>
        </w:rPr>
        <w:t> </w:t>
      </w:r>
      <w:r>
        <w:rPr>
          <w:spacing w:val="-2"/>
          <w:sz w:val="22"/>
        </w:rPr>
        <w:t>India</w:t>
      </w:r>
      <w:r>
        <w:rPr>
          <w:sz w:val="22"/>
        </w:rPr>
        <w:t> </w:t>
      </w:r>
      <w:r>
        <w:rPr>
          <w:spacing w:val="-4"/>
          <w:sz w:val="22"/>
        </w:rPr>
        <w:t>Ltd.</w:t>
      </w:r>
    </w:p>
    <w:p>
      <w:pPr>
        <w:pStyle w:val="ListParagraph"/>
        <w:numPr>
          <w:ilvl w:val="0"/>
          <w:numId w:val="97"/>
        </w:numPr>
        <w:tabs>
          <w:tab w:pos="1559" w:val="left" w:leader="none"/>
        </w:tabs>
        <w:spacing w:line="240" w:lineRule="auto" w:before="121" w:after="0"/>
        <w:ind w:left="1559" w:right="0" w:hanging="480"/>
        <w:jc w:val="left"/>
        <w:rPr>
          <w:sz w:val="22"/>
        </w:rPr>
      </w:pPr>
      <w:r>
        <w:rPr>
          <w:spacing w:val="-7"/>
          <w:sz w:val="22"/>
        </w:rPr>
        <w:t>Abhinav</w:t>
      </w:r>
      <w:r>
        <w:rPr>
          <w:spacing w:val="-1"/>
          <w:sz w:val="22"/>
        </w:rPr>
        <w:t> </w:t>
      </w:r>
      <w:r>
        <w:rPr>
          <w:spacing w:val="-2"/>
          <w:sz w:val="22"/>
        </w:rPr>
        <w:t>Enterprises</w:t>
      </w:r>
    </w:p>
    <w:p>
      <w:pPr>
        <w:pStyle w:val="ListParagraph"/>
        <w:numPr>
          <w:ilvl w:val="0"/>
          <w:numId w:val="97"/>
        </w:numPr>
        <w:tabs>
          <w:tab w:pos="1559" w:val="left" w:leader="none"/>
        </w:tabs>
        <w:spacing w:line="240" w:lineRule="auto" w:before="121" w:after="0"/>
        <w:ind w:left="1559" w:right="0" w:hanging="480"/>
        <w:jc w:val="left"/>
        <w:rPr>
          <w:sz w:val="22"/>
        </w:rPr>
      </w:pPr>
      <w:r>
        <w:rPr>
          <w:spacing w:val="-2"/>
          <w:sz w:val="22"/>
        </w:rPr>
        <w:t>Accurate</w:t>
      </w:r>
    </w:p>
    <w:p>
      <w:pPr>
        <w:pStyle w:val="ListParagraph"/>
        <w:numPr>
          <w:ilvl w:val="0"/>
          <w:numId w:val="97"/>
        </w:numPr>
        <w:tabs>
          <w:tab w:pos="1559" w:val="left" w:leader="none"/>
        </w:tabs>
        <w:spacing w:line="240" w:lineRule="auto" w:before="121" w:after="0"/>
        <w:ind w:left="1559" w:right="0" w:hanging="480"/>
        <w:jc w:val="left"/>
        <w:rPr>
          <w:sz w:val="22"/>
        </w:rPr>
      </w:pPr>
      <w:r>
        <w:rPr>
          <w:spacing w:val="-2"/>
          <w:sz w:val="22"/>
        </w:rPr>
        <w:t>Affair</w:t>
      </w:r>
    </w:p>
    <w:p>
      <w:pPr>
        <w:spacing w:after="0" w:line="240" w:lineRule="auto"/>
        <w:jc w:val="left"/>
        <w:rPr>
          <w:sz w:val="22"/>
        </w:rPr>
        <w:sectPr>
          <w:type w:val="continuous"/>
          <w:pgSz w:w="11910" w:h="16840"/>
          <w:pgMar w:header="0" w:footer="675" w:top="1920" w:bottom="280" w:left="0" w:right="0"/>
          <w:cols w:num="2" w:equalWidth="0">
            <w:col w:w="4985" w:space="68"/>
            <w:col w:w="6857"/>
          </w:cols>
        </w:sectPr>
      </w:pPr>
    </w:p>
    <w:p>
      <w:pPr>
        <w:pStyle w:val="ListParagraph"/>
        <w:numPr>
          <w:ilvl w:val="0"/>
          <w:numId w:val="97"/>
        </w:numPr>
        <w:tabs>
          <w:tab w:pos="1560" w:val="left" w:leader="none"/>
        </w:tabs>
        <w:spacing w:line="264" w:lineRule="auto" w:before="57" w:after="0"/>
        <w:ind w:left="1560" w:right="159" w:hanging="480"/>
        <w:jc w:val="left"/>
        <w:rPr>
          <w:sz w:val="22"/>
        </w:rPr>
      </w:pPr>
      <w:r>
        <w:rPr>
          <w:spacing w:val="-4"/>
          <w:sz w:val="22"/>
        </w:rPr>
        <w:t>Agricultural</w:t>
      </w:r>
      <w:r>
        <w:rPr>
          <w:spacing w:val="-10"/>
          <w:sz w:val="22"/>
        </w:rPr>
        <w:t> </w:t>
      </w:r>
      <w:r>
        <w:rPr>
          <w:spacing w:val="-4"/>
          <w:sz w:val="22"/>
        </w:rPr>
        <w:t>&amp;</w:t>
      </w:r>
      <w:r>
        <w:rPr>
          <w:spacing w:val="-10"/>
          <w:sz w:val="22"/>
        </w:rPr>
        <w:t> </w:t>
      </w:r>
      <w:r>
        <w:rPr>
          <w:spacing w:val="-4"/>
          <w:sz w:val="22"/>
        </w:rPr>
        <w:t>Processed</w:t>
      </w:r>
      <w:r>
        <w:rPr>
          <w:spacing w:val="-10"/>
          <w:sz w:val="22"/>
        </w:rPr>
        <w:t> </w:t>
      </w:r>
      <w:r>
        <w:rPr>
          <w:spacing w:val="-4"/>
          <w:sz w:val="22"/>
        </w:rPr>
        <w:t>Food</w:t>
      </w:r>
      <w:r>
        <w:rPr>
          <w:spacing w:val="-9"/>
          <w:sz w:val="22"/>
        </w:rPr>
        <w:t> </w:t>
      </w:r>
      <w:r>
        <w:rPr>
          <w:spacing w:val="-4"/>
          <w:sz w:val="22"/>
        </w:rPr>
        <w:t>Products</w:t>
      </w:r>
      <w:r>
        <w:rPr>
          <w:spacing w:val="-10"/>
          <w:sz w:val="22"/>
        </w:rPr>
        <w:t> </w:t>
      </w:r>
      <w:r>
        <w:rPr>
          <w:spacing w:val="-4"/>
          <w:sz w:val="22"/>
        </w:rPr>
        <w:t>Export </w:t>
      </w:r>
      <w:r>
        <w:rPr>
          <w:sz w:val="22"/>
        </w:rPr>
        <w:t>Development Authority (APEDA)</w:t>
      </w:r>
    </w:p>
    <w:p>
      <w:pPr>
        <w:pStyle w:val="ListParagraph"/>
        <w:numPr>
          <w:ilvl w:val="0"/>
          <w:numId w:val="97"/>
        </w:numPr>
        <w:tabs>
          <w:tab w:pos="1559" w:val="left" w:leader="none"/>
        </w:tabs>
        <w:spacing w:line="240" w:lineRule="auto" w:before="90" w:after="0"/>
        <w:ind w:left="1559" w:right="0" w:hanging="479"/>
        <w:jc w:val="left"/>
        <w:rPr>
          <w:sz w:val="22"/>
        </w:rPr>
      </w:pPr>
      <w:r>
        <w:rPr>
          <w:spacing w:val="-6"/>
          <w:sz w:val="22"/>
        </w:rPr>
        <w:t>Ajay</w:t>
      </w:r>
      <w:r>
        <w:rPr>
          <w:spacing w:val="-8"/>
          <w:sz w:val="22"/>
        </w:rPr>
        <w:t> </w:t>
      </w:r>
      <w:r>
        <w:rPr>
          <w:spacing w:val="-6"/>
          <w:sz w:val="22"/>
        </w:rPr>
        <w:t>Windecor</w:t>
      </w:r>
      <w:r>
        <w:rPr>
          <w:spacing w:val="-3"/>
          <w:sz w:val="22"/>
        </w:rPr>
        <w:t> </w:t>
      </w:r>
      <w:r>
        <w:rPr>
          <w:spacing w:val="-6"/>
          <w:sz w:val="22"/>
        </w:rPr>
        <w:t>Products</w:t>
      </w:r>
    </w:p>
    <w:p>
      <w:pPr>
        <w:pStyle w:val="ListParagraph"/>
        <w:numPr>
          <w:ilvl w:val="0"/>
          <w:numId w:val="97"/>
        </w:numPr>
        <w:tabs>
          <w:tab w:pos="1559" w:val="left" w:leader="none"/>
        </w:tabs>
        <w:spacing w:line="240" w:lineRule="auto" w:before="115" w:after="0"/>
        <w:ind w:left="1559" w:right="0" w:hanging="479"/>
        <w:jc w:val="left"/>
        <w:rPr>
          <w:sz w:val="22"/>
        </w:rPr>
      </w:pPr>
      <w:r>
        <w:rPr>
          <w:w w:val="90"/>
          <w:sz w:val="22"/>
        </w:rPr>
        <w:t>Ajinkya</w:t>
      </w:r>
      <w:r>
        <w:rPr>
          <w:spacing w:val="14"/>
          <w:sz w:val="22"/>
        </w:rPr>
        <w:t> </w:t>
      </w:r>
      <w:r>
        <w:rPr>
          <w:spacing w:val="-2"/>
          <w:sz w:val="22"/>
        </w:rPr>
        <w:t>Enterprises</w:t>
      </w:r>
    </w:p>
    <w:p>
      <w:pPr>
        <w:pStyle w:val="ListParagraph"/>
        <w:numPr>
          <w:ilvl w:val="0"/>
          <w:numId w:val="97"/>
        </w:numPr>
        <w:tabs>
          <w:tab w:pos="1559" w:val="left" w:leader="none"/>
        </w:tabs>
        <w:spacing w:line="240" w:lineRule="auto" w:before="115" w:after="0"/>
        <w:ind w:left="1559" w:right="0" w:hanging="479"/>
        <w:jc w:val="left"/>
        <w:rPr>
          <w:sz w:val="22"/>
        </w:rPr>
      </w:pPr>
      <w:r>
        <w:rPr>
          <w:spacing w:val="-2"/>
          <w:sz w:val="22"/>
        </w:rPr>
        <w:t>Artzone</w:t>
      </w:r>
    </w:p>
    <w:p>
      <w:pPr>
        <w:pStyle w:val="ListParagraph"/>
        <w:numPr>
          <w:ilvl w:val="0"/>
          <w:numId w:val="97"/>
        </w:numPr>
        <w:tabs>
          <w:tab w:pos="1559" w:val="left" w:leader="none"/>
        </w:tabs>
        <w:spacing w:line="240" w:lineRule="auto" w:before="115" w:after="0"/>
        <w:ind w:left="1559" w:right="0" w:hanging="479"/>
        <w:jc w:val="left"/>
        <w:rPr>
          <w:sz w:val="22"/>
        </w:rPr>
      </w:pPr>
      <w:r>
        <w:rPr>
          <w:w w:val="90"/>
          <w:sz w:val="22"/>
        </w:rPr>
        <w:t>Asha</w:t>
      </w:r>
      <w:r>
        <w:rPr>
          <w:sz w:val="22"/>
        </w:rPr>
        <w:t> </w:t>
      </w:r>
      <w:r>
        <w:rPr>
          <w:spacing w:val="-2"/>
          <w:sz w:val="22"/>
        </w:rPr>
        <w:t>Chemicals</w:t>
      </w:r>
    </w:p>
    <w:p>
      <w:pPr>
        <w:pStyle w:val="ListParagraph"/>
        <w:numPr>
          <w:ilvl w:val="0"/>
          <w:numId w:val="97"/>
        </w:numPr>
        <w:tabs>
          <w:tab w:pos="1559" w:val="left" w:leader="none"/>
        </w:tabs>
        <w:spacing w:line="240" w:lineRule="auto" w:before="115" w:after="0"/>
        <w:ind w:left="1559" w:right="0" w:hanging="479"/>
        <w:jc w:val="left"/>
        <w:rPr>
          <w:sz w:val="22"/>
        </w:rPr>
      </w:pPr>
      <w:r>
        <w:rPr>
          <w:spacing w:val="-2"/>
          <w:sz w:val="22"/>
        </w:rPr>
        <w:t>Athitya</w:t>
      </w:r>
    </w:p>
    <w:p>
      <w:pPr>
        <w:pStyle w:val="ListParagraph"/>
        <w:numPr>
          <w:ilvl w:val="0"/>
          <w:numId w:val="97"/>
        </w:numPr>
        <w:tabs>
          <w:tab w:pos="1559" w:val="left" w:leader="none"/>
        </w:tabs>
        <w:spacing w:line="240" w:lineRule="auto" w:before="115" w:after="0"/>
        <w:ind w:left="1559" w:right="0" w:hanging="479"/>
        <w:jc w:val="left"/>
        <w:rPr>
          <w:sz w:val="22"/>
        </w:rPr>
      </w:pPr>
      <w:r>
        <w:rPr>
          <w:spacing w:val="-4"/>
          <w:sz w:val="22"/>
        </w:rPr>
        <w:t>Atul</w:t>
      </w:r>
      <w:r>
        <w:rPr>
          <w:spacing w:val="-8"/>
          <w:sz w:val="22"/>
        </w:rPr>
        <w:t> </w:t>
      </w:r>
      <w:r>
        <w:rPr>
          <w:spacing w:val="-4"/>
          <w:sz w:val="22"/>
        </w:rPr>
        <w:t>Electro</w:t>
      </w:r>
      <w:r>
        <w:rPr>
          <w:spacing w:val="-7"/>
          <w:sz w:val="22"/>
        </w:rPr>
        <w:t> </w:t>
      </w:r>
      <w:r>
        <w:rPr>
          <w:spacing w:val="-4"/>
          <w:sz w:val="22"/>
        </w:rPr>
        <w:t>Formers</w:t>
      </w:r>
      <w:r>
        <w:rPr>
          <w:spacing w:val="-7"/>
          <w:sz w:val="22"/>
        </w:rPr>
        <w:t> </w:t>
      </w:r>
      <w:r>
        <w:rPr>
          <w:spacing w:val="-4"/>
          <w:sz w:val="22"/>
        </w:rPr>
        <w:t>Pvt.</w:t>
      </w:r>
      <w:r>
        <w:rPr>
          <w:spacing w:val="-7"/>
          <w:sz w:val="22"/>
        </w:rPr>
        <w:t> </w:t>
      </w:r>
      <w:r>
        <w:rPr>
          <w:spacing w:val="-4"/>
          <w:sz w:val="22"/>
        </w:rPr>
        <w:t>Ltd.</w:t>
      </w:r>
    </w:p>
    <w:p>
      <w:pPr>
        <w:pStyle w:val="ListParagraph"/>
        <w:numPr>
          <w:ilvl w:val="0"/>
          <w:numId w:val="97"/>
        </w:numPr>
        <w:tabs>
          <w:tab w:pos="1560" w:val="left" w:leader="none"/>
        </w:tabs>
        <w:spacing w:line="264" w:lineRule="auto" w:before="115" w:after="0"/>
        <w:ind w:left="1560" w:right="863" w:hanging="480"/>
        <w:jc w:val="left"/>
        <w:rPr>
          <w:sz w:val="22"/>
        </w:rPr>
      </w:pPr>
      <w:r>
        <w:rPr>
          <w:spacing w:val="-4"/>
          <w:sz w:val="22"/>
        </w:rPr>
        <w:t>Auto</w:t>
      </w:r>
      <w:r>
        <w:rPr>
          <w:spacing w:val="-9"/>
          <w:sz w:val="22"/>
        </w:rPr>
        <w:t> </w:t>
      </w:r>
      <w:r>
        <w:rPr>
          <w:spacing w:val="-4"/>
          <w:sz w:val="22"/>
        </w:rPr>
        <w:t>Cluster</w:t>
      </w:r>
      <w:r>
        <w:rPr>
          <w:spacing w:val="-9"/>
          <w:sz w:val="22"/>
        </w:rPr>
        <w:t> </w:t>
      </w:r>
      <w:r>
        <w:rPr>
          <w:spacing w:val="-4"/>
          <w:sz w:val="22"/>
        </w:rPr>
        <w:t>Development</w:t>
      </w:r>
      <w:r>
        <w:rPr>
          <w:spacing w:val="-9"/>
          <w:sz w:val="22"/>
        </w:rPr>
        <w:t> </w:t>
      </w:r>
      <w:r>
        <w:rPr>
          <w:spacing w:val="-4"/>
          <w:sz w:val="22"/>
        </w:rPr>
        <w:t>&amp;</w:t>
      </w:r>
      <w:r>
        <w:rPr>
          <w:spacing w:val="-9"/>
          <w:sz w:val="22"/>
        </w:rPr>
        <w:t> </w:t>
      </w:r>
      <w:r>
        <w:rPr>
          <w:spacing w:val="-4"/>
          <w:sz w:val="22"/>
        </w:rPr>
        <w:t>Research </w:t>
      </w:r>
      <w:r>
        <w:rPr>
          <w:sz w:val="22"/>
        </w:rPr>
        <w:t>Institute Ltd.</w:t>
      </w:r>
    </w:p>
    <w:p>
      <w:pPr>
        <w:pStyle w:val="ListParagraph"/>
        <w:numPr>
          <w:ilvl w:val="0"/>
          <w:numId w:val="97"/>
        </w:numPr>
        <w:tabs>
          <w:tab w:pos="1559" w:val="left" w:leader="none"/>
        </w:tabs>
        <w:spacing w:line="240" w:lineRule="auto" w:before="89" w:after="0"/>
        <w:ind w:left="1559" w:right="0" w:hanging="479"/>
        <w:jc w:val="left"/>
        <w:rPr>
          <w:sz w:val="22"/>
        </w:rPr>
      </w:pPr>
      <w:r>
        <w:rPr>
          <w:spacing w:val="-6"/>
          <w:sz w:val="22"/>
        </w:rPr>
        <w:t>Beed Cyber Infotech</w:t>
      </w:r>
    </w:p>
    <w:p>
      <w:pPr>
        <w:pStyle w:val="ListParagraph"/>
        <w:numPr>
          <w:ilvl w:val="0"/>
          <w:numId w:val="97"/>
        </w:numPr>
        <w:tabs>
          <w:tab w:pos="1559" w:val="left" w:leader="none"/>
        </w:tabs>
        <w:spacing w:line="240" w:lineRule="auto" w:before="115" w:after="0"/>
        <w:ind w:left="1559" w:right="0" w:hanging="479"/>
        <w:jc w:val="left"/>
        <w:rPr>
          <w:sz w:val="22"/>
        </w:rPr>
      </w:pPr>
      <w:r>
        <w:rPr>
          <w:spacing w:val="-4"/>
          <w:sz w:val="22"/>
        </w:rPr>
        <w:t>CADLine</w:t>
      </w:r>
      <w:r>
        <w:rPr>
          <w:spacing w:val="1"/>
          <w:sz w:val="22"/>
        </w:rPr>
        <w:t> </w:t>
      </w:r>
      <w:r>
        <w:rPr>
          <w:spacing w:val="-2"/>
          <w:sz w:val="22"/>
        </w:rPr>
        <w:t>India</w:t>
      </w:r>
    </w:p>
    <w:p>
      <w:pPr>
        <w:pStyle w:val="ListParagraph"/>
        <w:numPr>
          <w:ilvl w:val="0"/>
          <w:numId w:val="97"/>
        </w:numPr>
        <w:tabs>
          <w:tab w:pos="1559" w:val="left" w:leader="none"/>
        </w:tabs>
        <w:spacing w:line="240" w:lineRule="auto" w:before="115" w:after="0"/>
        <w:ind w:left="1559" w:right="0" w:hanging="479"/>
        <w:jc w:val="left"/>
        <w:rPr>
          <w:sz w:val="22"/>
        </w:rPr>
      </w:pPr>
      <w:r>
        <w:rPr>
          <w:spacing w:val="-2"/>
          <w:sz w:val="22"/>
        </w:rPr>
        <w:t>Cartoprint</w:t>
      </w:r>
    </w:p>
    <w:p>
      <w:pPr>
        <w:pStyle w:val="ListParagraph"/>
        <w:numPr>
          <w:ilvl w:val="0"/>
          <w:numId w:val="97"/>
        </w:numPr>
        <w:tabs>
          <w:tab w:pos="1559" w:val="left" w:leader="none"/>
        </w:tabs>
        <w:spacing w:line="240" w:lineRule="auto" w:before="115" w:after="0"/>
        <w:ind w:left="1559" w:right="0" w:hanging="479"/>
        <w:jc w:val="left"/>
        <w:rPr>
          <w:sz w:val="22"/>
        </w:rPr>
      </w:pPr>
      <w:r>
        <w:rPr>
          <w:spacing w:val="-4"/>
          <w:sz w:val="22"/>
        </w:rPr>
        <w:t>Clean</w:t>
      </w:r>
      <w:r>
        <w:rPr>
          <w:spacing w:val="-5"/>
          <w:sz w:val="22"/>
        </w:rPr>
        <w:t> </w:t>
      </w:r>
      <w:r>
        <w:rPr>
          <w:spacing w:val="-4"/>
          <w:sz w:val="22"/>
        </w:rPr>
        <w:t>Foods</w:t>
      </w:r>
      <w:r>
        <w:rPr>
          <w:spacing w:val="-5"/>
          <w:sz w:val="22"/>
        </w:rPr>
        <w:t> </w:t>
      </w:r>
      <w:r>
        <w:rPr>
          <w:spacing w:val="-4"/>
          <w:sz w:val="22"/>
        </w:rPr>
        <w:t>Ltd.</w:t>
      </w:r>
    </w:p>
    <w:p>
      <w:pPr>
        <w:pStyle w:val="ListParagraph"/>
        <w:numPr>
          <w:ilvl w:val="0"/>
          <w:numId w:val="97"/>
        </w:numPr>
        <w:tabs>
          <w:tab w:pos="1559" w:val="left" w:leader="none"/>
        </w:tabs>
        <w:spacing w:line="240" w:lineRule="auto" w:before="115" w:after="0"/>
        <w:ind w:left="1559" w:right="0" w:hanging="479"/>
        <w:jc w:val="left"/>
        <w:rPr>
          <w:sz w:val="22"/>
        </w:rPr>
      </w:pPr>
      <w:r>
        <w:rPr>
          <w:w w:val="90"/>
          <w:sz w:val="22"/>
        </w:rPr>
        <w:t>Dayal</w:t>
      </w:r>
      <w:r>
        <w:rPr>
          <w:spacing w:val="16"/>
          <w:sz w:val="22"/>
        </w:rPr>
        <w:t> </w:t>
      </w:r>
      <w:r>
        <w:rPr>
          <w:w w:val="90"/>
          <w:sz w:val="22"/>
        </w:rPr>
        <w:t>Fertilizers</w:t>
      </w:r>
      <w:r>
        <w:rPr>
          <w:spacing w:val="17"/>
          <w:sz w:val="22"/>
        </w:rPr>
        <w:t> </w:t>
      </w:r>
      <w:r>
        <w:rPr>
          <w:spacing w:val="-2"/>
          <w:w w:val="90"/>
          <w:sz w:val="22"/>
        </w:rPr>
        <w:t>Group</w:t>
      </w:r>
    </w:p>
    <w:p>
      <w:pPr>
        <w:pStyle w:val="ListParagraph"/>
        <w:numPr>
          <w:ilvl w:val="0"/>
          <w:numId w:val="97"/>
        </w:numPr>
        <w:tabs>
          <w:tab w:pos="1559" w:val="left" w:leader="none"/>
        </w:tabs>
        <w:spacing w:line="240" w:lineRule="auto" w:before="115" w:after="0"/>
        <w:ind w:left="1559" w:right="0" w:hanging="479"/>
        <w:jc w:val="left"/>
        <w:rPr>
          <w:sz w:val="22"/>
        </w:rPr>
      </w:pPr>
      <w:r>
        <w:rPr>
          <w:spacing w:val="-4"/>
          <w:sz w:val="22"/>
        </w:rPr>
        <w:t>Digital</w:t>
      </w:r>
      <w:r>
        <w:rPr>
          <w:spacing w:val="4"/>
          <w:sz w:val="22"/>
        </w:rPr>
        <w:t> </w:t>
      </w:r>
      <w:r>
        <w:rPr>
          <w:spacing w:val="-4"/>
          <w:sz w:val="22"/>
        </w:rPr>
        <w:t>Empowerment</w:t>
      </w:r>
      <w:r>
        <w:rPr>
          <w:spacing w:val="5"/>
          <w:sz w:val="22"/>
        </w:rPr>
        <w:t> </w:t>
      </w:r>
      <w:r>
        <w:rPr>
          <w:spacing w:val="-4"/>
          <w:sz w:val="22"/>
        </w:rPr>
        <w:t>Foundation</w:t>
      </w:r>
    </w:p>
    <w:p>
      <w:pPr>
        <w:pStyle w:val="ListParagraph"/>
        <w:numPr>
          <w:ilvl w:val="0"/>
          <w:numId w:val="97"/>
        </w:numPr>
        <w:tabs>
          <w:tab w:pos="1559" w:val="left" w:leader="none"/>
        </w:tabs>
        <w:spacing w:line="240" w:lineRule="auto" w:before="115" w:after="0"/>
        <w:ind w:left="1559" w:right="0" w:hanging="479"/>
        <w:jc w:val="left"/>
        <w:rPr>
          <w:sz w:val="22"/>
        </w:rPr>
      </w:pPr>
      <w:r>
        <w:rPr>
          <w:spacing w:val="-5"/>
          <w:sz w:val="22"/>
        </w:rPr>
        <w:t>Dnyaneshwar</w:t>
      </w:r>
      <w:r>
        <w:rPr>
          <w:spacing w:val="2"/>
          <w:sz w:val="22"/>
        </w:rPr>
        <w:t> </w:t>
      </w:r>
      <w:r>
        <w:rPr>
          <w:spacing w:val="-2"/>
          <w:sz w:val="22"/>
        </w:rPr>
        <w:t>Vidyapeeth</w:t>
      </w:r>
    </w:p>
    <w:p>
      <w:pPr>
        <w:pStyle w:val="ListParagraph"/>
        <w:numPr>
          <w:ilvl w:val="0"/>
          <w:numId w:val="97"/>
        </w:numPr>
        <w:tabs>
          <w:tab w:pos="1559" w:val="left" w:leader="none"/>
        </w:tabs>
        <w:spacing w:line="240" w:lineRule="auto" w:before="115" w:after="0"/>
        <w:ind w:left="1559" w:right="0" w:hanging="479"/>
        <w:jc w:val="left"/>
        <w:rPr>
          <w:sz w:val="22"/>
        </w:rPr>
      </w:pPr>
      <w:r>
        <w:rPr>
          <w:spacing w:val="-6"/>
          <w:sz w:val="22"/>
        </w:rPr>
        <w:t>Electronica</w:t>
      </w:r>
      <w:r>
        <w:rPr>
          <w:spacing w:val="2"/>
          <w:sz w:val="22"/>
        </w:rPr>
        <w:t> </w:t>
      </w:r>
      <w:r>
        <w:rPr>
          <w:spacing w:val="-6"/>
          <w:sz w:val="22"/>
        </w:rPr>
        <w:t>Machine</w:t>
      </w:r>
      <w:r>
        <w:rPr>
          <w:spacing w:val="-9"/>
          <w:sz w:val="22"/>
        </w:rPr>
        <w:t> </w:t>
      </w:r>
      <w:r>
        <w:rPr>
          <w:spacing w:val="-6"/>
          <w:sz w:val="22"/>
        </w:rPr>
        <w:t>Tools</w:t>
      </w:r>
      <w:r>
        <w:rPr>
          <w:spacing w:val="2"/>
          <w:sz w:val="22"/>
        </w:rPr>
        <w:t> </w:t>
      </w:r>
      <w:r>
        <w:rPr>
          <w:spacing w:val="-6"/>
          <w:sz w:val="22"/>
        </w:rPr>
        <w:t>Ltd.</w:t>
      </w:r>
    </w:p>
    <w:p>
      <w:pPr>
        <w:pStyle w:val="ListParagraph"/>
        <w:numPr>
          <w:ilvl w:val="0"/>
          <w:numId w:val="97"/>
        </w:numPr>
        <w:tabs>
          <w:tab w:pos="1559" w:val="left" w:leader="none"/>
        </w:tabs>
        <w:spacing w:line="240" w:lineRule="auto" w:before="116" w:after="0"/>
        <w:ind w:left="1559" w:right="0" w:hanging="479"/>
        <w:jc w:val="left"/>
        <w:rPr>
          <w:sz w:val="22"/>
        </w:rPr>
      </w:pPr>
      <w:r>
        <w:rPr>
          <w:spacing w:val="-6"/>
          <w:sz w:val="22"/>
        </w:rPr>
        <w:t>Engg</w:t>
      </w:r>
      <w:r>
        <w:rPr>
          <w:spacing w:val="-10"/>
          <w:sz w:val="22"/>
        </w:rPr>
        <w:t> </w:t>
      </w:r>
      <w:r>
        <w:rPr>
          <w:spacing w:val="-6"/>
          <w:sz w:val="22"/>
        </w:rPr>
        <w:t>Tools</w:t>
      </w:r>
      <w:r>
        <w:rPr>
          <w:spacing w:val="-4"/>
          <w:sz w:val="22"/>
        </w:rPr>
        <w:t> </w:t>
      </w:r>
      <w:r>
        <w:rPr>
          <w:spacing w:val="-6"/>
          <w:sz w:val="22"/>
        </w:rPr>
        <w:t>&amp;</w:t>
      </w:r>
      <w:r>
        <w:rPr>
          <w:spacing w:val="-2"/>
          <w:sz w:val="22"/>
        </w:rPr>
        <w:t> </w:t>
      </w:r>
      <w:r>
        <w:rPr>
          <w:spacing w:val="-6"/>
          <w:sz w:val="22"/>
        </w:rPr>
        <w:t>Equipment</w:t>
      </w:r>
    </w:p>
    <w:p>
      <w:pPr>
        <w:pStyle w:val="ListParagraph"/>
        <w:numPr>
          <w:ilvl w:val="0"/>
          <w:numId w:val="97"/>
        </w:numPr>
        <w:tabs>
          <w:tab w:pos="1559" w:val="left" w:leader="none"/>
        </w:tabs>
        <w:spacing w:line="240" w:lineRule="auto" w:before="115" w:after="0"/>
        <w:ind w:left="1559" w:right="0" w:hanging="479"/>
        <w:jc w:val="left"/>
        <w:rPr>
          <w:sz w:val="22"/>
        </w:rPr>
      </w:pPr>
      <w:r>
        <w:rPr>
          <w:spacing w:val="-2"/>
          <w:sz w:val="22"/>
        </w:rPr>
        <w:t>Feelings</w:t>
      </w:r>
    </w:p>
    <w:p>
      <w:pPr>
        <w:pStyle w:val="ListParagraph"/>
        <w:numPr>
          <w:ilvl w:val="0"/>
          <w:numId w:val="98"/>
        </w:numPr>
        <w:tabs>
          <w:tab w:pos="1559" w:val="left" w:leader="none"/>
        </w:tabs>
        <w:spacing w:line="240" w:lineRule="auto" w:before="115" w:after="0"/>
        <w:ind w:left="1559" w:right="0" w:hanging="479"/>
        <w:jc w:val="left"/>
        <w:rPr>
          <w:sz w:val="22"/>
        </w:rPr>
      </w:pPr>
      <w:r>
        <w:rPr>
          <w:spacing w:val="-4"/>
          <w:sz w:val="22"/>
        </w:rPr>
        <w:t>Golopore</w:t>
      </w:r>
      <w:r>
        <w:rPr>
          <w:spacing w:val="3"/>
          <w:sz w:val="22"/>
        </w:rPr>
        <w:t> </w:t>
      </w:r>
      <w:r>
        <w:rPr>
          <w:spacing w:val="-5"/>
          <w:sz w:val="22"/>
        </w:rPr>
        <w:t>IMS</w:t>
      </w:r>
    </w:p>
    <w:p>
      <w:pPr>
        <w:pStyle w:val="ListParagraph"/>
        <w:numPr>
          <w:ilvl w:val="0"/>
          <w:numId w:val="98"/>
        </w:numPr>
        <w:tabs>
          <w:tab w:pos="1559" w:val="left" w:leader="none"/>
        </w:tabs>
        <w:spacing w:line="240" w:lineRule="auto" w:before="115" w:after="0"/>
        <w:ind w:left="1559" w:right="0" w:hanging="479"/>
        <w:jc w:val="left"/>
        <w:rPr>
          <w:sz w:val="22"/>
        </w:rPr>
      </w:pPr>
      <w:r>
        <w:rPr>
          <w:spacing w:val="-2"/>
          <w:sz w:val="22"/>
        </w:rPr>
        <w:t>GreenGarden</w:t>
      </w:r>
    </w:p>
    <w:p>
      <w:pPr>
        <w:pStyle w:val="ListParagraph"/>
        <w:numPr>
          <w:ilvl w:val="0"/>
          <w:numId w:val="98"/>
        </w:numPr>
        <w:tabs>
          <w:tab w:pos="1559" w:val="left" w:leader="none"/>
        </w:tabs>
        <w:spacing w:line="240" w:lineRule="auto" w:before="115" w:after="0"/>
        <w:ind w:left="1559" w:right="0" w:hanging="479"/>
        <w:jc w:val="left"/>
        <w:rPr>
          <w:sz w:val="22"/>
        </w:rPr>
      </w:pPr>
      <w:r>
        <w:rPr>
          <w:spacing w:val="-4"/>
          <w:sz w:val="22"/>
        </w:rPr>
        <w:t>Hoyt</w:t>
      </w:r>
      <w:r>
        <w:rPr>
          <w:spacing w:val="1"/>
          <w:sz w:val="22"/>
        </w:rPr>
        <w:t> </w:t>
      </w:r>
      <w:r>
        <w:rPr>
          <w:spacing w:val="-4"/>
          <w:sz w:val="22"/>
        </w:rPr>
        <w:t>Engineering</w:t>
      </w:r>
      <w:r>
        <w:rPr>
          <w:spacing w:val="1"/>
          <w:sz w:val="22"/>
        </w:rPr>
        <w:t> </w:t>
      </w:r>
      <w:r>
        <w:rPr>
          <w:spacing w:val="-4"/>
          <w:sz w:val="22"/>
        </w:rPr>
        <w:t>Solutions</w:t>
      </w:r>
      <w:r>
        <w:rPr>
          <w:spacing w:val="1"/>
          <w:sz w:val="22"/>
        </w:rPr>
        <w:t> </w:t>
      </w:r>
      <w:r>
        <w:rPr>
          <w:spacing w:val="-4"/>
          <w:sz w:val="22"/>
        </w:rPr>
        <w:t>Pvt.</w:t>
      </w:r>
      <w:r>
        <w:rPr>
          <w:spacing w:val="1"/>
          <w:sz w:val="22"/>
        </w:rPr>
        <w:t> </w:t>
      </w:r>
      <w:r>
        <w:rPr>
          <w:spacing w:val="-4"/>
          <w:sz w:val="22"/>
        </w:rPr>
        <w:t>Ltd.</w:t>
      </w:r>
    </w:p>
    <w:p>
      <w:pPr>
        <w:pStyle w:val="ListParagraph"/>
        <w:numPr>
          <w:ilvl w:val="0"/>
          <w:numId w:val="98"/>
        </w:numPr>
        <w:tabs>
          <w:tab w:pos="1559" w:val="left" w:leader="none"/>
        </w:tabs>
        <w:spacing w:line="240" w:lineRule="auto" w:before="115" w:after="0"/>
        <w:ind w:left="1559" w:right="0" w:hanging="479"/>
        <w:jc w:val="left"/>
        <w:rPr>
          <w:sz w:val="22"/>
        </w:rPr>
      </w:pPr>
      <w:r>
        <w:rPr>
          <w:spacing w:val="-2"/>
          <w:sz w:val="22"/>
        </w:rPr>
        <w:t>Ideal Computer</w:t>
      </w:r>
      <w:r>
        <w:rPr>
          <w:spacing w:val="-1"/>
          <w:sz w:val="22"/>
        </w:rPr>
        <w:t> </w:t>
      </w:r>
      <w:r>
        <w:rPr>
          <w:spacing w:val="-2"/>
          <w:sz w:val="22"/>
        </w:rPr>
        <w:t>Education</w:t>
      </w:r>
    </w:p>
    <w:p>
      <w:pPr>
        <w:pStyle w:val="ListParagraph"/>
        <w:numPr>
          <w:ilvl w:val="0"/>
          <w:numId w:val="98"/>
        </w:numPr>
        <w:tabs>
          <w:tab w:pos="1559" w:val="left" w:leader="none"/>
        </w:tabs>
        <w:spacing w:line="240" w:lineRule="auto" w:before="115" w:after="0"/>
        <w:ind w:left="1559" w:right="0" w:hanging="479"/>
        <w:jc w:val="left"/>
        <w:rPr>
          <w:sz w:val="22"/>
        </w:rPr>
      </w:pPr>
      <w:r>
        <w:rPr>
          <w:spacing w:val="-2"/>
          <w:sz w:val="22"/>
        </w:rPr>
        <w:t>Ideal</w:t>
      </w:r>
      <w:r>
        <w:rPr>
          <w:spacing w:val="-7"/>
          <w:sz w:val="22"/>
        </w:rPr>
        <w:t> </w:t>
      </w:r>
      <w:r>
        <w:rPr>
          <w:spacing w:val="-2"/>
          <w:sz w:val="22"/>
        </w:rPr>
        <w:t>Diamond</w:t>
      </w:r>
      <w:r>
        <w:rPr>
          <w:spacing w:val="-6"/>
          <w:sz w:val="22"/>
        </w:rPr>
        <w:t> </w:t>
      </w:r>
      <w:r>
        <w:rPr>
          <w:spacing w:val="-2"/>
          <w:sz w:val="22"/>
        </w:rPr>
        <w:t>Products</w:t>
      </w:r>
      <w:r>
        <w:rPr>
          <w:spacing w:val="-6"/>
          <w:sz w:val="22"/>
        </w:rPr>
        <w:t> </w:t>
      </w:r>
      <w:r>
        <w:rPr>
          <w:spacing w:val="-2"/>
          <w:sz w:val="22"/>
        </w:rPr>
        <w:t>Pvt.</w:t>
      </w:r>
      <w:r>
        <w:rPr>
          <w:spacing w:val="-6"/>
          <w:sz w:val="22"/>
        </w:rPr>
        <w:t> </w:t>
      </w:r>
      <w:r>
        <w:rPr>
          <w:spacing w:val="-4"/>
          <w:sz w:val="22"/>
        </w:rPr>
        <w:t>Ltd.</w:t>
      </w:r>
    </w:p>
    <w:p>
      <w:pPr>
        <w:pStyle w:val="ListParagraph"/>
        <w:numPr>
          <w:ilvl w:val="0"/>
          <w:numId w:val="98"/>
        </w:numPr>
        <w:tabs>
          <w:tab w:pos="1560" w:val="left" w:leader="none"/>
        </w:tabs>
        <w:spacing w:line="264" w:lineRule="auto" w:before="115" w:after="0"/>
        <w:ind w:left="1560" w:right="1881" w:hanging="480"/>
        <w:jc w:val="left"/>
        <w:rPr>
          <w:sz w:val="22"/>
        </w:rPr>
      </w:pPr>
      <w:r>
        <w:rPr>
          <w:spacing w:val="-6"/>
          <w:sz w:val="22"/>
        </w:rPr>
        <w:t>Indian</w:t>
      </w:r>
      <w:r>
        <w:rPr>
          <w:spacing w:val="-8"/>
          <w:sz w:val="22"/>
        </w:rPr>
        <w:t> </w:t>
      </w:r>
      <w:r>
        <w:rPr>
          <w:spacing w:val="-6"/>
          <w:sz w:val="22"/>
        </w:rPr>
        <w:t>Academy</w:t>
      </w:r>
      <w:r>
        <w:rPr>
          <w:spacing w:val="-8"/>
          <w:sz w:val="22"/>
        </w:rPr>
        <w:t> </w:t>
      </w:r>
      <w:r>
        <w:rPr>
          <w:spacing w:val="-6"/>
          <w:sz w:val="22"/>
        </w:rPr>
        <w:t>of</w:t>
      </w:r>
      <w:r>
        <w:rPr>
          <w:spacing w:val="-7"/>
          <w:sz w:val="22"/>
        </w:rPr>
        <w:t> </w:t>
      </w:r>
      <w:r>
        <w:rPr>
          <w:spacing w:val="-6"/>
          <w:sz w:val="22"/>
        </w:rPr>
        <w:t>Foreign </w:t>
      </w:r>
      <w:r>
        <w:rPr>
          <w:sz w:val="22"/>
        </w:rPr>
        <w:t>Trade &amp; Development</w:t>
      </w:r>
    </w:p>
    <w:p>
      <w:pPr>
        <w:pStyle w:val="ListParagraph"/>
        <w:numPr>
          <w:ilvl w:val="0"/>
          <w:numId w:val="98"/>
        </w:numPr>
        <w:tabs>
          <w:tab w:pos="1559" w:val="left" w:leader="none"/>
        </w:tabs>
        <w:spacing w:line="240" w:lineRule="auto" w:before="89" w:after="0"/>
        <w:ind w:left="1559" w:right="0" w:hanging="479"/>
        <w:jc w:val="left"/>
        <w:rPr>
          <w:sz w:val="22"/>
        </w:rPr>
      </w:pPr>
      <w:r>
        <w:rPr>
          <w:spacing w:val="-2"/>
          <w:sz w:val="22"/>
        </w:rPr>
        <w:t>Innova</w:t>
      </w:r>
      <w:r>
        <w:rPr>
          <w:spacing w:val="-12"/>
          <w:sz w:val="22"/>
        </w:rPr>
        <w:t> </w:t>
      </w:r>
      <w:r>
        <w:rPr>
          <w:spacing w:val="-2"/>
          <w:sz w:val="22"/>
        </w:rPr>
        <w:t>Rubbers</w:t>
      </w:r>
      <w:r>
        <w:rPr>
          <w:spacing w:val="-12"/>
          <w:sz w:val="22"/>
        </w:rPr>
        <w:t> </w:t>
      </w:r>
      <w:r>
        <w:rPr>
          <w:spacing w:val="-2"/>
          <w:sz w:val="22"/>
        </w:rPr>
        <w:t>Pvt.</w:t>
      </w:r>
      <w:r>
        <w:rPr>
          <w:spacing w:val="-11"/>
          <w:sz w:val="22"/>
        </w:rPr>
        <w:t> </w:t>
      </w:r>
      <w:r>
        <w:rPr>
          <w:spacing w:val="-4"/>
          <w:sz w:val="22"/>
        </w:rPr>
        <w:t>Ltd.</w:t>
      </w:r>
    </w:p>
    <w:p>
      <w:pPr>
        <w:pStyle w:val="ListParagraph"/>
        <w:numPr>
          <w:ilvl w:val="0"/>
          <w:numId w:val="98"/>
        </w:numPr>
        <w:tabs>
          <w:tab w:pos="1559" w:val="left" w:leader="none"/>
        </w:tabs>
        <w:spacing w:line="240" w:lineRule="auto" w:before="115" w:after="0"/>
        <w:ind w:left="1559" w:right="0" w:hanging="479"/>
        <w:jc w:val="left"/>
        <w:rPr>
          <w:sz w:val="22"/>
        </w:rPr>
      </w:pPr>
      <w:r>
        <w:rPr>
          <w:spacing w:val="-6"/>
          <w:sz w:val="22"/>
        </w:rPr>
        <w:t>Innovative</w:t>
      </w:r>
      <w:r>
        <w:rPr>
          <w:spacing w:val="-5"/>
          <w:sz w:val="22"/>
        </w:rPr>
        <w:t> </w:t>
      </w:r>
      <w:r>
        <w:rPr>
          <w:spacing w:val="-6"/>
          <w:sz w:val="22"/>
        </w:rPr>
        <w:t>Technomics</w:t>
      </w:r>
      <w:r>
        <w:rPr>
          <w:spacing w:val="6"/>
          <w:sz w:val="22"/>
        </w:rPr>
        <w:t> </w:t>
      </w:r>
      <w:r>
        <w:rPr>
          <w:spacing w:val="-6"/>
          <w:sz w:val="22"/>
        </w:rPr>
        <w:t>Pvt.</w:t>
      </w:r>
      <w:r>
        <w:rPr>
          <w:spacing w:val="6"/>
          <w:sz w:val="22"/>
        </w:rPr>
        <w:t> </w:t>
      </w:r>
      <w:r>
        <w:rPr>
          <w:spacing w:val="-6"/>
          <w:sz w:val="22"/>
        </w:rPr>
        <w:t>Ltd.</w:t>
      </w:r>
    </w:p>
    <w:p>
      <w:pPr>
        <w:pStyle w:val="ListParagraph"/>
        <w:numPr>
          <w:ilvl w:val="0"/>
          <w:numId w:val="98"/>
        </w:numPr>
        <w:tabs>
          <w:tab w:pos="1559" w:val="left" w:leader="none"/>
        </w:tabs>
        <w:spacing w:line="240" w:lineRule="auto" w:before="115" w:after="0"/>
        <w:ind w:left="1559" w:right="0" w:hanging="479"/>
        <w:jc w:val="left"/>
        <w:rPr>
          <w:sz w:val="22"/>
        </w:rPr>
      </w:pPr>
      <w:r>
        <w:rPr>
          <w:spacing w:val="-4"/>
          <w:sz w:val="22"/>
        </w:rPr>
        <w:t>Intelux Electronics</w:t>
      </w:r>
      <w:r>
        <w:rPr>
          <w:spacing w:val="-3"/>
          <w:sz w:val="22"/>
        </w:rPr>
        <w:t> </w:t>
      </w:r>
      <w:r>
        <w:rPr>
          <w:spacing w:val="-4"/>
          <w:sz w:val="22"/>
        </w:rPr>
        <w:t>Pvt.</w:t>
      </w:r>
      <w:r>
        <w:rPr>
          <w:spacing w:val="-3"/>
          <w:sz w:val="22"/>
        </w:rPr>
        <w:t> </w:t>
      </w:r>
      <w:r>
        <w:rPr>
          <w:spacing w:val="-4"/>
          <w:sz w:val="22"/>
        </w:rPr>
        <w:t>Ltd.</w:t>
      </w:r>
    </w:p>
    <w:p>
      <w:pPr>
        <w:pStyle w:val="ListParagraph"/>
        <w:numPr>
          <w:ilvl w:val="0"/>
          <w:numId w:val="98"/>
        </w:numPr>
        <w:tabs>
          <w:tab w:pos="1559" w:val="left" w:leader="none"/>
        </w:tabs>
        <w:spacing w:line="240" w:lineRule="auto" w:before="115" w:after="0"/>
        <w:ind w:left="1559" w:right="0" w:hanging="479"/>
        <w:jc w:val="left"/>
        <w:rPr>
          <w:sz w:val="22"/>
        </w:rPr>
      </w:pPr>
      <w:r>
        <w:rPr>
          <w:spacing w:val="-2"/>
          <w:sz w:val="22"/>
        </w:rPr>
        <w:t>International</w:t>
      </w:r>
      <w:r>
        <w:rPr>
          <w:sz w:val="22"/>
        </w:rPr>
        <w:t> </w:t>
      </w:r>
      <w:r>
        <w:rPr>
          <w:spacing w:val="-2"/>
          <w:sz w:val="22"/>
        </w:rPr>
        <w:t>Institute</w:t>
      </w:r>
      <w:r>
        <w:rPr>
          <w:spacing w:val="1"/>
          <w:sz w:val="22"/>
        </w:rPr>
        <w:t> </w:t>
      </w:r>
      <w:r>
        <w:rPr>
          <w:spacing w:val="-2"/>
          <w:sz w:val="22"/>
        </w:rPr>
        <w:t>of</w:t>
      </w:r>
      <w:r>
        <w:rPr>
          <w:spacing w:val="1"/>
          <w:sz w:val="22"/>
        </w:rPr>
        <w:t> </w:t>
      </w:r>
      <w:r>
        <w:rPr>
          <w:spacing w:val="-2"/>
          <w:sz w:val="22"/>
        </w:rPr>
        <w:t>Corporate</w:t>
      </w:r>
      <w:r>
        <w:rPr>
          <w:spacing w:val="1"/>
          <w:sz w:val="22"/>
        </w:rPr>
        <w:t> </w:t>
      </w:r>
      <w:r>
        <w:rPr>
          <w:spacing w:val="-2"/>
          <w:sz w:val="22"/>
        </w:rPr>
        <w:t>Management</w:t>
      </w:r>
    </w:p>
    <w:p>
      <w:pPr>
        <w:pStyle w:val="ListParagraph"/>
        <w:numPr>
          <w:ilvl w:val="0"/>
          <w:numId w:val="98"/>
        </w:numPr>
        <w:tabs>
          <w:tab w:pos="1560" w:val="left" w:leader="none"/>
        </w:tabs>
        <w:spacing w:line="264" w:lineRule="auto" w:before="115" w:after="0"/>
        <w:ind w:left="1560" w:right="1001" w:hanging="480"/>
        <w:jc w:val="left"/>
        <w:rPr>
          <w:sz w:val="22"/>
        </w:rPr>
      </w:pPr>
      <w:r>
        <w:rPr>
          <w:spacing w:val="-2"/>
          <w:sz w:val="22"/>
        </w:rPr>
        <w:t>International</w:t>
      </w:r>
      <w:r>
        <w:rPr>
          <w:spacing w:val="-4"/>
          <w:sz w:val="22"/>
        </w:rPr>
        <w:t> </w:t>
      </w:r>
      <w:r>
        <w:rPr>
          <w:spacing w:val="-2"/>
          <w:sz w:val="22"/>
        </w:rPr>
        <w:t>Institute</w:t>
      </w:r>
      <w:r>
        <w:rPr>
          <w:spacing w:val="-4"/>
          <w:sz w:val="22"/>
        </w:rPr>
        <w:t> </w:t>
      </w:r>
      <w:r>
        <w:rPr>
          <w:spacing w:val="-2"/>
          <w:sz w:val="22"/>
        </w:rPr>
        <w:t>of</w:t>
      </w:r>
      <w:r>
        <w:rPr>
          <w:spacing w:val="-4"/>
          <w:sz w:val="22"/>
        </w:rPr>
        <w:t> </w:t>
      </w:r>
      <w:r>
        <w:rPr>
          <w:spacing w:val="-2"/>
          <w:sz w:val="22"/>
        </w:rPr>
        <w:t>Information Technology</w:t>
      </w:r>
    </w:p>
    <w:p>
      <w:pPr>
        <w:pStyle w:val="ListParagraph"/>
        <w:numPr>
          <w:ilvl w:val="0"/>
          <w:numId w:val="98"/>
        </w:numPr>
        <w:tabs>
          <w:tab w:pos="1560" w:val="left" w:leader="none"/>
        </w:tabs>
        <w:spacing w:line="240" w:lineRule="auto" w:before="90" w:after="0"/>
        <w:ind w:left="1560" w:right="0" w:hanging="480"/>
        <w:jc w:val="left"/>
        <w:rPr>
          <w:sz w:val="22"/>
        </w:rPr>
      </w:pPr>
      <w:r>
        <w:rPr>
          <w:spacing w:val="-2"/>
          <w:sz w:val="22"/>
        </w:rPr>
        <w:t>KNOW-</w:t>
      </w:r>
      <w:r>
        <w:rPr>
          <w:spacing w:val="-5"/>
          <w:sz w:val="22"/>
        </w:rPr>
        <w:t>IT</w:t>
      </w:r>
    </w:p>
    <w:p>
      <w:pPr>
        <w:pStyle w:val="ListParagraph"/>
        <w:numPr>
          <w:ilvl w:val="0"/>
          <w:numId w:val="98"/>
        </w:numPr>
        <w:tabs>
          <w:tab w:pos="1560" w:val="left" w:leader="none"/>
        </w:tabs>
        <w:spacing w:line="240" w:lineRule="auto" w:before="115" w:after="0"/>
        <w:ind w:left="1560" w:right="0" w:hanging="480"/>
        <w:jc w:val="left"/>
        <w:rPr>
          <w:sz w:val="22"/>
        </w:rPr>
      </w:pPr>
      <w:r>
        <w:rPr>
          <w:spacing w:val="-4"/>
          <w:sz w:val="22"/>
        </w:rPr>
        <w:t>KPMG</w:t>
      </w:r>
    </w:p>
    <w:p>
      <w:pPr>
        <w:pStyle w:val="ListParagraph"/>
        <w:numPr>
          <w:ilvl w:val="0"/>
          <w:numId w:val="98"/>
        </w:numPr>
        <w:tabs>
          <w:tab w:pos="1560" w:val="left" w:leader="none"/>
        </w:tabs>
        <w:spacing w:line="240" w:lineRule="auto" w:before="115" w:after="0"/>
        <w:ind w:left="1560" w:right="0" w:hanging="480"/>
        <w:jc w:val="left"/>
        <w:rPr>
          <w:sz w:val="22"/>
        </w:rPr>
      </w:pPr>
      <w:r>
        <w:rPr>
          <w:spacing w:val="-6"/>
          <w:sz w:val="22"/>
        </w:rPr>
        <w:t>Lakshmi</w:t>
      </w:r>
      <w:r>
        <w:rPr>
          <w:spacing w:val="-5"/>
          <w:sz w:val="22"/>
        </w:rPr>
        <w:t> </w:t>
      </w:r>
      <w:r>
        <w:rPr>
          <w:spacing w:val="-2"/>
          <w:sz w:val="22"/>
        </w:rPr>
        <w:t>Embroidery</w:t>
      </w:r>
    </w:p>
    <w:p>
      <w:pPr>
        <w:pStyle w:val="ListParagraph"/>
        <w:numPr>
          <w:ilvl w:val="0"/>
          <w:numId w:val="98"/>
        </w:numPr>
        <w:tabs>
          <w:tab w:pos="1560" w:val="left" w:leader="none"/>
        </w:tabs>
        <w:spacing w:line="240" w:lineRule="auto" w:before="115" w:after="0"/>
        <w:ind w:left="1560" w:right="0" w:hanging="480"/>
        <w:jc w:val="left"/>
        <w:rPr>
          <w:sz w:val="22"/>
        </w:rPr>
      </w:pPr>
      <w:r>
        <w:rPr>
          <w:w w:val="90"/>
          <w:sz w:val="22"/>
        </w:rPr>
        <w:t>Logus</w:t>
      </w:r>
      <w:r>
        <w:rPr>
          <w:spacing w:val="10"/>
          <w:sz w:val="22"/>
        </w:rPr>
        <w:t> </w:t>
      </w:r>
      <w:r>
        <w:rPr>
          <w:w w:val="90"/>
          <w:sz w:val="22"/>
        </w:rPr>
        <w:t>Business</w:t>
      </w:r>
      <w:r>
        <w:rPr>
          <w:spacing w:val="10"/>
          <w:sz w:val="22"/>
        </w:rPr>
        <w:t> </w:t>
      </w:r>
      <w:r>
        <w:rPr>
          <w:spacing w:val="-2"/>
          <w:w w:val="90"/>
          <w:sz w:val="22"/>
        </w:rPr>
        <w:t>Systems</w:t>
      </w:r>
    </w:p>
    <w:p>
      <w:pPr>
        <w:pStyle w:val="ListParagraph"/>
        <w:numPr>
          <w:ilvl w:val="0"/>
          <w:numId w:val="98"/>
        </w:numPr>
        <w:tabs>
          <w:tab w:pos="1560" w:val="left" w:leader="none"/>
        </w:tabs>
        <w:spacing w:line="240" w:lineRule="auto" w:before="115" w:after="0"/>
        <w:ind w:left="1560" w:right="0" w:hanging="480"/>
        <w:jc w:val="left"/>
        <w:rPr>
          <w:sz w:val="22"/>
        </w:rPr>
      </w:pPr>
      <w:r>
        <w:rPr>
          <w:spacing w:val="-2"/>
          <w:sz w:val="22"/>
        </w:rPr>
        <w:t>Macintel</w:t>
      </w:r>
    </w:p>
    <w:p>
      <w:pPr>
        <w:pStyle w:val="ListParagraph"/>
        <w:numPr>
          <w:ilvl w:val="0"/>
          <w:numId w:val="98"/>
        </w:numPr>
        <w:tabs>
          <w:tab w:pos="1560" w:val="left" w:leader="none"/>
        </w:tabs>
        <w:spacing w:line="240" w:lineRule="auto" w:before="115" w:after="0"/>
        <w:ind w:left="1560" w:right="0" w:hanging="480"/>
        <w:jc w:val="left"/>
        <w:rPr>
          <w:sz w:val="22"/>
        </w:rPr>
      </w:pPr>
      <w:r>
        <w:rPr>
          <w:spacing w:val="-4"/>
          <w:sz w:val="22"/>
        </w:rPr>
        <w:t>Maharashtra</w:t>
      </w:r>
      <w:r>
        <w:rPr>
          <w:spacing w:val="-1"/>
          <w:sz w:val="22"/>
        </w:rPr>
        <w:t> </w:t>
      </w:r>
      <w:r>
        <w:rPr>
          <w:spacing w:val="-4"/>
          <w:sz w:val="22"/>
        </w:rPr>
        <w:t>Knowledge</w:t>
      </w:r>
      <w:r>
        <w:rPr>
          <w:spacing w:val="-1"/>
          <w:sz w:val="22"/>
        </w:rPr>
        <w:t> </w:t>
      </w:r>
      <w:r>
        <w:rPr>
          <w:spacing w:val="-4"/>
          <w:sz w:val="22"/>
        </w:rPr>
        <w:t>Corporation</w:t>
      </w:r>
      <w:r>
        <w:rPr>
          <w:spacing w:val="-1"/>
          <w:sz w:val="22"/>
        </w:rPr>
        <w:t> </w:t>
      </w:r>
      <w:r>
        <w:rPr>
          <w:spacing w:val="-4"/>
          <w:sz w:val="22"/>
        </w:rPr>
        <w:t>Ltd.</w:t>
      </w:r>
    </w:p>
    <w:p>
      <w:pPr>
        <w:pStyle w:val="ListParagraph"/>
        <w:numPr>
          <w:ilvl w:val="0"/>
          <w:numId w:val="98"/>
        </w:numPr>
        <w:tabs>
          <w:tab w:pos="1560" w:val="left" w:leader="none"/>
        </w:tabs>
        <w:spacing w:line="240" w:lineRule="auto" w:before="115" w:after="0"/>
        <w:ind w:left="1560" w:right="0" w:hanging="480"/>
        <w:jc w:val="left"/>
        <w:rPr>
          <w:sz w:val="22"/>
        </w:rPr>
      </w:pPr>
      <w:r>
        <w:rPr>
          <w:spacing w:val="-2"/>
          <w:sz w:val="22"/>
        </w:rPr>
        <w:t>Mana</w:t>
      </w:r>
      <w:r>
        <w:rPr>
          <w:spacing w:val="-7"/>
          <w:sz w:val="22"/>
        </w:rPr>
        <w:t> </w:t>
      </w:r>
      <w:r>
        <w:rPr>
          <w:spacing w:val="-2"/>
          <w:sz w:val="22"/>
        </w:rPr>
        <w:t>Pet</w:t>
      </w:r>
      <w:r>
        <w:rPr>
          <w:spacing w:val="-7"/>
          <w:sz w:val="22"/>
        </w:rPr>
        <w:t> </w:t>
      </w:r>
      <w:r>
        <w:rPr>
          <w:spacing w:val="-2"/>
          <w:sz w:val="22"/>
        </w:rPr>
        <w:t>Clinic</w:t>
      </w:r>
      <w:r>
        <w:rPr>
          <w:spacing w:val="-7"/>
          <w:sz w:val="22"/>
        </w:rPr>
        <w:t> </w:t>
      </w:r>
      <w:r>
        <w:rPr>
          <w:spacing w:val="-4"/>
          <w:sz w:val="22"/>
        </w:rPr>
        <w:t>Labs</w:t>
      </w:r>
    </w:p>
    <w:p>
      <w:pPr>
        <w:pStyle w:val="ListParagraph"/>
        <w:numPr>
          <w:ilvl w:val="0"/>
          <w:numId w:val="98"/>
        </w:numPr>
        <w:tabs>
          <w:tab w:pos="1560" w:val="left" w:leader="none"/>
        </w:tabs>
        <w:spacing w:line="240" w:lineRule="auto" w:before="117" w:after="0"/>
        <w:ind w:left="1560" w:right="0" w:hanging="480"/>
        <w:jc w:val="left"/>
        <w:rPr>
          <w:sz w:val="22"/>
        </w:rPr>
      </w:pPr>
      <w:r>
        <w:rPr>
          <w:spacing w:val="-4"/>
          <w:sz w:val="22"/>
        </w:rPr>
        <w:t>Manjushri</w:t>
      </w:r>
      <w:r>
        <w:rPr>
          <w:spacing w:val="-2"/>
          <w:sz w:val="22"/>
        </w:rPr>
        <w:t> </w:t>
      </w:r>
      <w:r>
        <w:rPr>
          <w:spacing w:val="-4"/>
          <w:sz w:val="22"/>
        </w:rPr>
        <w:t>Extrusions</w:t>
      </w:r>
      <w:r>
        <w:rPr>
          <w:spacing w:val="-1"/>
          <w:sz w:val="22"/>
        </w:rPr>
        <w:t> </w:t>
      </w:r>
      <w:r>
        <w:rPr>
          <w:spacing w:val="-4"/>
          <w:sz w:val="22"/>
        </w:rPr>
        <w:t>Ltd.</w:t>
      </w:r>
    </w:p>
    <w:p>
      <w:pPr>
        <w:pStyle w:val="ListParagraph"/>
        <w:numPr>
          <w:ilvl w:val="0"/>
          <w:numId w:val="98"/>
        </w:numPr>
        <w:tabs>
          <w:tab w:pos="807" w:val="left" w:leader="none"/>
        </w:tabs>
        <w:spacing w:line="240" w:lineRule="auto" w:before="57" w:after="0"/>
        <w:ind w:left="807" w:right="0" w:hanging="480"/>
        <w:jc w:val="left"/>
        <w:rPr>
          <w:sz w:val="22"/>
        </w:rPr>
      </w:pPr>
      <w:r>
        <w:rPr/>
        <w:br w:type="column"/>
      </w:r>
      <w:r>
        <w:rPr>
          <w:spacing w:val="-6"/>
          <w:sz w:val="22"/>
        </w:rPr>
        <w:t>Mavin</w:t>
      </w:r>
      <w:r>
        <w:rPr>
          <w:spacing w:val="-8"/>
          <w:sz w:val="22"/>
        </w:rPr>
        <w:t> </w:t>
      </w:r>
      <w:r>
        <w:rPr>
          <w:spacing w:val="-6"/>
          <w:sz w:val="22"/>
        </w:rPr>
        <w:t>Adhesives</w:t>
      </w:r>
      <w:r>
        <w:rPr>
          <w:spacing w:val="-7"/>
          <w:sz w:val="22"/>
        </w:rPr>
        <w:t> </w:t>
      </w:r>
      <w:r>
        <w:rPr>
          <w:spacing w:val="-6"/>
          <w:sz w:val="22"/>
        </w:rPr>
        <w:t>Pvt.</w:t>
      </w:r>
      <w:r>
        <w:rPr>
          <w:spacing w:val="-7"/>
          <w:sz w:val="22"/>
        </w:rPr>
        <w:t> </w:t>
      </w:r>
      <w:r>
        <w:rPr>
          <w:spacing w:val="-6"/>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Medsynaptic</w:t>
      </w:r>
      <w:r>
        <w:rPr>
          <w:sz w:val="22"/>
        </w:rPr>
        <w:t> </w:t>
      </w:r>
      <w:r>
        <w:rPr>
          <w:spacing w:val="-4"/>
          <w:sz w:val="22"/>
        </w:rPr>
        <w:t>Pvt.</w:t>
      </w:r>
      <w:r>
        <w:rPr>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Melk</w:t>
      </w:r>
      <w:r>
        <w:rPr>
          <w:spacing w:val="-8"/>
          <w:sz w:val="22"/>
        </w:rPr>
        <w:t> </w:t>
      </w:r>
      <w:r>
        <w:rPr>
          <w:spacing w:val="-2"/>
          <w:sz w:val="22"/>
        </w:rPr>
        <w:t>Services</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Membrane</w:t>
      </w:r>
      <w:r>
        <w:rPr>
          <w:spacing w:val="-1"/>
          <w:sz w:val="22"/>
        </w:rPr>
        <w:t> </w:t>
      </w:r>
      <w:r>
        <w:rPr>
          <w:spacing w:val="-4"/>
          <w:sz w:val="22"/>
        </w:rPr>
        <w:t>Filters</w:t>
      </w:r>
      <w:r>
        <w:rPr>
          <w:spacing w:val="-1"/>
          <w:sz w:val="22"/>
        </w:rPr>
        <w:t> </w:t>
      </w:r>
      <w:r>
        <w:rPr>
          <w:spacing w:val="-4"/>
          <w:sz w:val="22"/>
        </w:rPr>
        <w:t>Pvt.</w:t>
      </w:r>
      <w:r>
        <w:rPr>
          <w:spacing w:val="-1"/>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2"/>
          <w:sz w:val="22"/>
        </w:rPr>
        <w:t>Mutha</w:t>
      </w:r>
      <w:r>
        <w:rPr>
          <w:spacing w:val="-5"/>
          <w:sz w:val="22"/>
        </w:rPr>
        <w:t> </w:t>
      </w:r>
      <w:r>
        <w:rPr>
          <w:spacing w:val="-2"/>
          <w:sz w:val="22"/>
        </w:rPr>
        <w:t>Founders</w:t>
      </w:r>
      <w:r>
        <w:rPr>
          <w:spacing w:val="-5"/>
          <w:sz w:val="22"/>
        </w:rPr>
        <w:t> </w:t>
      </w:r>
      <w:r>
        <w:rPr>
          <w:spacing w:val="-2"/>
          <w:sz w:val="22"/>
        </w:rPr>
        <w:t>Pvt.</w:t>
      </w:r>
      <w:r>
        <w:rPr>
          <w:spacing w:val="-5"/>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2"/>
          <w:sz w:val="22"/>
        </w:rPr>
        <w:t>N</w:t>
      </w:r>
      <w:r>
        <w:rPr>
          <w:spacing w:val="-12"/>
          <w:sz w:val="22"/>
        </w:rPr>
        <w:t> </w:t>
      </w:r>
      <w:r>
        <w:rPr>
          <w:spacing w:val="-2"/>
          <w:sz w:val="22"/>
        </w:rPr>
        <w:t>V</w:t>
      </w:r>
      <w:r>
        <w:rPr>
          <w:spacing w:val="-11"/>
          <w:sz w:val="22"/>
        </w:rPr>
        <w:t> </w:t>
      </w:r>
      <w:r>
        <w:rPr>
          <w:spacing w:val="-2"/>
          <w:sz w:val="22"/>
        </w:rPr>
        <w:t>Electronics</w:t>
      </w:r>
      <w:r>
        <w:rPr>
          <w:spacing w:val="-10"/>
          <w:sz w:val="22"/>
        </w:rPr>
        <w:t> </w:t>
      </w:r>
      <w:r>
        <w:rPr>
          <w:spacing w:val="-2"/>
          <w:sz w:val="22"/>
        </w:rPr>
        <w:t>Pvt.</w:t>
      </w:r>
      <w:r>
        <w:rPr>
          <w:spacing w:val="-9"/>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7"/>
          <w:sz w:val="22"/>
        </w:rPr>
        <w:t>Neelesh</w:t>
      </w:r>
      <w:r>
        <w:rPr>
          <w:spacing w:val="-1"/>
          <w:sz w:val="22"/>
        </w:rPr>
        <w:t> </w:t>
      </w:r>
      <w:r>
        <w:rPr>
          <w:spacing w:val="-2"/>
          <w:sz w:val="22"/>
        </w:rPr>
        <w:t>Engineers</w:t>
      </w:r>
    </w:p>
    <w:p>
      <w:pPr>
        <w:pStyle w:val="ListParagraph"/>
        <w:numPr>
          <w:ilvl w:val="0"/>
          <w:numId w:val="98"/>
        </w:numPr>
        <w:tabs>
          <w:tab w:pos="807" w:val="left" w:leader="none"/>
        </w:tabs>
        <w:spacing w:line="240" w:lineRule="auto" w:before="120" w:after="0"/>
        <w:ind w:left="807" w:right="0" w:hanging="480"/>
        <w:jc w:val="left"/>
        <w:rPr>
          <w:sz w:val="22"/>
        </w:rPr>
      </w:pPr>
      <w:r>
        <w:rPr>
          <w:spacing w:val="-2"/>
          <w:sz w:val="22"/>
        </w:rPr>
        <w:t>Nichrome</w:t>
      </w:r>
      <w:r>
        <w:rPr>
          <w:spacing w:val="-4"/>
          <w:sz w:val="22"/>
        </w:rPr>
        <w:t> </w:t>
      </w:r>
      <w:r>
        <w:rPr>
          <w:spacing w:val="-2"/>
          <w:sz w:val="22"/>
        </w:rPr>
        <w:t>India</w:t>
      </w:r>
      <w:r>
        <w:rPr>
          <w:spacing w:val="-4"/>
          <w:sz w:val="22"/>
        </w:rPr>
        <w:t> Ltd.</w:t>
      </w:r>
    </w:p>
    <w:p>
      <w:pPr>
        <w:pStyle w:val="ListParagraph"/>
        <w:numPr>
          <w:ilvl w:val="0"/>
          <w:numId w:val="98"/>
        </w:numPr>
        <w:tabs>
          <w:tab w:pos="807" w:val="left" w:leader="none"/>
        </w:tabs>
        <w:spacing w:line="240" w:lineRule="auto" w:before="120" w:after="0"/>
        <w:ind w:left="807" w:right="0" w:hanging="480"/>
        <w:jc w:val="left"/>
        <w:rPr>
          <w:sz w:val="22"/>
        </w:rPr>
      </w:pPr>
      <w:r>
        <w:rPr>
          <w:spacing w:val="-2"/>
          <w:sz w:val="22"/>
        </w:rPr>
        <w:t>Nirmiti</w:t>
      </w:r>
      <w:r>
        <w:rPr>
          <w:spacing w:val="-11"/>
          <w:sz w:val="22"/>
        </w:rPr>
        <w:t> </w:t>
      </w:r>
      <w:r>
        <w:rPr>
          <w:spacing w:val="-2"/>
          <w:sz w:val="22"/>
        </w:rPr>
        <w:t>Electronics</w:t>
      </w:r>
      <w:r>
        <w:rPr>
          <w:spacing w:val="-11"/>
          <w:sz w:val="22"/>
        </w:rPr>
        <w:t> </w:t>
      </w:r>
      <w:r>
        <w:rPr>
          <w:spacing w:val="-2"/>
          <w:sz w:val="22"/>
        </w:rPr>
        <w:t>Pvt.</w:t>
      </w:r>
      <w:r>
        <w:rPr>
          <w:spacing w:val="-11"/>
          <w:sz w:val="22"/>
        </w:rPr>
        <w:t> </w:t>
      </w:r>
      <w:r>
        <w:rPr>
          <w:spacing w:val="-4"/>
          <w:sz w:val="22"/>
        </w:rPr>
        <w:t>Ltd.</w:t>
      </w:r>
    </w:p>
    <w:p>
      <w:pPr>
        <w:pStyle w:val="ListParagraph"/>
        <w:numPr>
          <w:ilvl w:val="0"/>
          <w:numId w:val="98"/>
        </w:numPr>
        <w:tabs>
          <w:tab w:pos="807" w:val="left" w:leader="none"/>
        </w:tabs>
        <w:spacing w:line="240" w:lineRule="auto" w:before="121" w:after="0"/>
        <w:ind w:left="807" w:right="0" w:hanging="480"/>
        <w:jc w:val="left"/>
        <w:rPr>
          <w:sz w:val="22"/>
        </w:rPr>
      </w:pPr>
      <w:r>
        <w:rPr>
          <w:spacing w:val="-4"/>
          <w:sz w:val="22"/>
        </w:rPr>
        <w:t>Paranjape</w:t>
      </w:r>
      <w:r>
        <w:rPr>
          <w:spacing w:val="-10"/>
          <w:sz w:val="22"/>
        </w:rPr>
        <w:t> </w:t>
      </w:r>
      <w:r>
        <w:rPr>
          <w:spacing w:val="-4"/>
          <w:sz w:val="22"/>
        </w:rPr>
        <w:t>Metal</w:t>
      </w:r>
      <w:r>
        <w:rPr>
          <w:spacing w:val="-9"/>
          <w:sz w:val="22"/>
        </w:rPr>
        <w:t> </w:t>
      </w:r>
      <w:r>
        <w:rPr>
          <w:spacing w:val="-4"/>
          <w:sz w:val="22"/>
        </w:rPr>
        <w:t>Shapes</w:t>
      </w:r>
      <w:r>
        <w:rPr>
          <w:spacing w:val="-10"/>
          <w:sz w:val="22"/>
        </w:rPr>
        <w:t> </w:t>
      </w:r>
      <w:r>
        <w:rPr>
          <w:spacing w:val="-4"/>
          <w:sz w:val="22"/>
        </w:rPr>
        <w:t>Pvt.</w:t>
      </w:r>
      <w:r>
        <w:rPr>
          <w:spacing w:val="-9"/>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Pragati</w:t>
      </w:r>
      <w:r>
        <w:rPr>
          <w:sz w:val="22"/>
        </w:rPr>
        <w:t> </w:t>
      </w:r>
      <w:r>
        <w:rPr>
          <w:spacing w:val="-4"/>
          <w:sz w:val="22"/>
        </w:rPr>
        <w:t>Leadership</w:t>
      </w:r>
      <w:r>
        <w:rPr>
          <w:spacing w:val="1"/>
          <w:sz w:val="22"/>
        </w:rPr>
        <w:t> </w:t>
      </w:r>
      <w:r>
        <w:rPr>
          <w:spacing w:val="-4"/>
          <w:sz w:val="22"/>
        </w:rPr>
        <w:t>Institute</w:t>
      </w:r>
      <w:r>
        <w:rPr>
          <w:spacing w:val="1"/>
          <w:sz w:val="22"/>
        </w:rPr>
        <w:t> </w:t>
      </w:r>
      <w:r>
        <w:rPr>
          <w:spacing w:val="-4"/>
          <w:sz w:val="22"/>
        </w:rPr>
        <w:t>Pvt.</w:t>
      </w:r>
      <w:r>
        <w:rPr>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Praj</w:t>
      </w:r>
      <w:r>
        <w:rPr>
          <w:spacing w:val="-2"/>
          <w:sz w:val="22"/>
        </w:rPr>
        <w:t> </w:t>
      </w:r>
      <w:r>
        <w:rPr>
          <w:spacing w:val="-4"/>
          <w:sz w:val="22"/>
        </w:rPr>
        <w:t>Industries</w:t>
      </w:r>
      <w:r>
        <w:rPr>
          <w:spacing w:val="-2"/>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2"/>
          <w:sz w:val="22"/>
        </w:rPr>
        <w:t>Prajakta</w:t>
      </w:r>
      <w:r>
        <w:rPr>
          <w:spacing w:val="-4"/>
          <w:sz w:val="22"/>
        </w:rPr>
        <w:t> </w:t>
      </w:r>
      <w:r>
        <w:rPr>
          <w:spacing w:val="-2"/>
          <w:sz w:val="22"/>
        </w:rPr>
        <w:t>Computer</w:t>
      </w:r>
      <w:r>
        <w:rPr>
          <w:spacing w:val="-4"/>
          <w:sz w:val="22"/>
        </w:rPr>
        <w:t> </w:t>
      </w:r>
      <w:r>
        <w:rPr>
          <w:spacing w:val="-2"/>
          <w:sz w:val="22"/>
        </w:rPr>
        <w:t>Education</w:t>
      </w:r>
    </w:p>
    <w:p>
      <w:pPr>
        <w:pStyle w:val="ListParagraph"/>
        <w:numPr>
          <w:ilvl w:val="0"/>
          <w:numId w:val="98"/>
        </w:numPr>
        <w:tabs>
          <w:tab w:pos="807" w:val="left" w:leader="none"/>
        </w:tabs>
        <w:spacing w:line="240" w:lineRule="auto" w:before="120" w:after="0"/>
        <w:ind w:left="807" w:right="0" w:hanging="480"/>
        <w:jc w:val="left"/>
        <w:rPr>
          <w:sz w:val="22"/>
        </w:rPr>
      </w:pPr>
      <w:r>
        <w:rPr>
          <w:spacing w:val="-6"/>
          <w:sz w:val="22"/>
        </w:rPr>
        <w:t>Prescient</w:t>
      </w:r>
      <w:r>
        <w:rPr>
          <w:spacing w:val="-10"/>
          <w:sz w:val="22"/>
        </w:rPr>
        <w:t> </w:t>
      </w:r>
      <w:r>
        <w:rPr>
          <w:spacing w:val="-6"/>
          <w:sz w:val="22"/>
        </w:rPr>
        <w:t>Technologies</w:t>
      </w:r>
      <w:r>
        <w:rPr>
          <w:spacing w:val="-4"/>
          <w:sz w:val="22"/>
        </w:rPr>
        <w:t> </w:t>
      </w:r>
      <w:r>
        <w:rPr>
          <w:spacing w:val="-6"/>
          <w:sz w:val="22"/>
        </w:rPr>
        <w:t>Pvt.</w:t>
      </w:r>
      <w:r>
        <w:rPr>
          <w:spacing w:val="-3"/>
          <w:sz w:val="22"/>
        </w:rPr>
        <w:t> </w:t>
      </w:r>
      <w:r>
        <w:rPr>
          <w:spacing w:val="-6"/>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Rezonant</w:t>
      </w:r>
      <w:r>
        <w:rPr>
          <w:spacing w:val="-1"/>
          <w:sz w:val="22"/>
        </w:rPr>
        <w:t> </w:t>
      </w:r>
      <w:r>
        <w:rPr>
          <w:spacing w:val="-2"/>
          <w:sz w:val="22"/>
        </w:rPr>
        <w:t>Design</w:t>
      </w:r>
    </w:p>
    <w:p>
      <w:pPr>
        <w:pStyle w:val="ListParagraph"/>
        <w:numPr>
          <w:ilvl w:val="0"/>
          <w:numId w:val="98"/>
        </w:numPr>
        <w:tabs>
          <w:tab w:pos="807" w:val="left" w:leader="none"/>
        </w:tabs>
        <w:spacing w:line="240" w:lineRule="auto" w:before="120" w:after="0"/>
        <w:ind w:left="807" w:right="0" w:hanging="480"/>
        <w:jc w:val="left"/>
        <w:rPr>
          <w:sz w:val="22"/>
        </w:rPr>
      </w:pPr>
      <w:r>
        <w:rPr>
          <w:sz w:val="22"/>
        </w:rPr>
        <w:t>Rohini</w:t>
      </w:r>
      <w:r>
        <w:rPr>
          <w:spacing w:val="-14"/>
          <w:sz w:val="22"/>
        </w:rPr>
        <w:t> </w:t>
      </w:r>
      <w:r>
        <w:rPr>
          <w:spacing w:val="-2"/>
          <w:sz w:val="22"/>
        </w:rPr>
        <w:t>Industries</w:t>
      </w:r>
    </w:p>
    <w:p>
      <w:pPr>
        <w:pStyle w:val="ListParagraph"/>
        <w:numPr>
          <w:ilvl w:val="0"/>
          <w:numId w:val="98"/>
        </w:numPr>
        <w:tabs>
          <w:tab w:pos="807" w:val="left" w:leader="none"/>
        </w:tabs>
        <w:spacing w:line="240" w:lineRule="auto" w:before="120" w:after="0"/>
        <w:ind w:left="807" w:right="0" w:hanging="480"/>
        <w:jc w:val="left"/>
        <w:rPr>
          <w:sz w:val="22"/>
        </w:rPr>
      </w:pPr>
      <w:r>
        <w:rPr>
          <w:spacing w:val="-2"/>
          <w:sz w:val="22"/>
        </w:rPr>
        <w:t>Ronak</w:t>
      </w:r>
      <w:r>
        <w:rPr>
          <w:spacing w:val="-12"/>
          <w:sz w:val="22"/>
        </w:rPr>
        <w:t> </w:t>
      </w:r>
      <w:r>
        <w:rPr>
          <w:spacing w:val="-2"/>
          <w:sz w:val="22"/>
        </w:rPr>
        <w:t>Associates</w:t>
      </w:r>
    </w:p>
    <w:p>
      <w:pPr>
        <w:pStyle w:val="ListParagraph"/>
        <w:numPr>
          <w:ilvl w:val="0"/>
          <w:numId w:val="98"/>
        </w:numPr>
        <w:tabs>
          <w:tab w:pos="807" w:val="left" w:leader="none"/>
        </w:tabs>
        <w:spacing w:line="240" w:lineRule="auto" w:before="120" w:after="0"/>
        <w:ind w:left="807" w:right="0" w:hanging="480"/>
        <w:jc w:val="left"/>
        <w:rPr>
          <w:sz w:val="22"/>
        </w:rPr>
      </w:pPr>
      <w:r>
        <w:rPr>
          <w:spacing w:val="-6"/>
          <w:sz w:val="22"/>
        </w:rPr>
        <w:t>SAI</w:t>
      </w:r>
      <w:r>
        <w:rPr>
          <w:spacing w:val="-10"/>
          <w:sz w:val="22"/>
        </w:rPr>
        <w:t> </w:t>
      </w:r>
      <w:r>
        <w:rPr>
          <w:spacing w:val="-6"/>
          <w:sz w:val="22"/>
        </w:rPr>
        <w:t>Test Plat</w:t>
      </w:r>
      <w:r>
        <w:rPr>
          <w:spacing w:val="-2"/>
          <w:sz w:val="22"/>
        </w:rPr>
        <w:t> </w:t>
      </w:r>
      <w:r>
        <w:rPr>
          <w:spacing w:val="-6"/>
          <w:sz w:val="22"/>
        </w:rPr>
        <w:t>Pvt.</w:t>
      </w:r>
      <w:r>
        <w:rPr>
          <w:spacing w:val="-3"/>
          <w:sz w:val="22"/>
        </w:rPr>
        <w:t> </w:t>
      </w:r>
      <w:r>
        <w:rPr>
          <w:spacing w:val="-6"/>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z w:val="22"/>
        </w:rPr>
        <w:t>SEMCO</w:t>
      </w:r>
      <w:r>
        <w:rPr>
          <w:spacing w:val="-7"/>
          <w:sz w:val="22"/>
        </w:rPr>
        <w:t> </w:t>
      </w:r>
      <w:r>
        <w:rPr>
          <w:sz w:val="22"/>
        </w:rPr>
        <w:t>ELECTRIC</w:t>
      </w:r>
      <w:r>
        <w:rPr>
          <w:spacing w:val="-7"/>
          <w:sz w:val="22"/>
        </w:rPr>
        <w:t> </w:t>
      </w:r>
      <w:r>
        <w:rPr>
          <w:sz w:val="22"/>
        </w:rPr>
        <w:t>Pvt.</w:t>
      </w:r>
      <w:r>
        <w:rPr>
          <w:spacing w:val="-7"/>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Serum</w:t>
      </w:r>
      <w:r>
        <w:rPr>
          <w:spacing w:val="-8"/>
          <w:sz w:val="22"/>
        </w:rPr>
        <w:t> </w:t>
      </w:r>
      <w:r>
        <w:rPr>
          <w:spacing w:val="-2"/>
          <w:sz w:val="22"/>
        </w:rPr>
        <w:t>Institute</w:t>
      </w:r>
    </w:p>
    <w:p>
      <w:pPr>
        <w:pStyle w:val="ListParagraph"/>
        <w:numPr>
          <w:ilvl w:val="0"/>
          <w:numId w:val="98"/>
        </w:numPr>
        <w:tabs>
          <w:tab w:pos="807" w:val="left" w:leader="none"/>
        </w:tabs>
        <w:spacing w:line="240" w:lineRule="auto" w:before="120" w:after="0"/>
        <w:ind w:left="807" w:right="0" w:hanging="480"/>
        <w:jc w:val="left"/>
        <w:rPr>
          <w:sz w:val="22"/>
        </w:rPr>
      </w:pPr>
      <w:r>
        <w:rPr>
          <w:spacing w:val="-7"/>
          <w:sz w:val="22"/>
        </w:rPr>
        <w:t>Shree </w:t>
      </w:r>
      <w:r>
        <w:rPr>
          <w:spacing w:val="-2"/>
          <w:sz w:val="22"/>
        </w:rPr>
        <w:t>Systems</w:t>
      </w:r>
    </w:p>
    <w:p>
      <w:pPr>
        <w:pStyle w:val="ListParagraph"/>
        <w:numPr>
          <w:ilvl w:val="0"/>
          <w:numId w:val="98"/>
        </w:numPr>
        <w:tabs>
          <w:tab w:pos="807" w:val="left" w:leader="none"/>
        </w:tabs>
        <w:spacing w:line="240" w:lineRule="auto" w:before="120" w:after="0"/>
        <w:ind w:left="807" w:right="0" w:hanging="480"/>
        <w:jc w:val="left"/>
        <w:rPr>
          <w:sz w:val="22"/>
        </w:rPr>
      </w:pPr>
      <w:r>
        <w:rPr>
          <w:spacing w:val="-7"/>
          <w:sz w:val="22"/>
        </w:rPr>
        <w:t>Simply</w:t>
      </w:r>
      <w:r>
        <w:rPr>
          <w:spacing w:val="-3"/>
          <w:sz w:val="22"/>
        </w:rPr>
        <w:t> </w:t>
      </w:r>
      <w:r>
        <w:rPr>
          <w:spacing w:val="-2"/>
          <w:sz w:val="22"/>
        </w:rPr>
        <w:t>Delicious</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Smile</w:t>
      </w:r>
      <w:r>
        <w:rPr>
          <w:spacing w:val="-3"/>
          <w:sz w:val="22"/>
        </w:rPr>
        <w:t> </w:t>
      </w:r>
      <w:r>
        <w:rPr>
          <w:spacing w:val="-4"/>
          <w:sz w:val="22"/>
        </w:rPr>
        <w:t>Automation</w:t>
      </w:r>
      <w:r>
        <w:rPr>
          <w:spacing w:val="-2"/>
          <w:sz w:val="22"/>
        </w:rPr>
        <w:t> </w:t>
      </w:r>
      <w:r>
        <w:rPr>
          <w:spacing w:val="-4"/>
          <w:sz w:val="22"/>
        </w:rPr>
        <w:t>Pvt.</w:t>
      </w:r>
      <w:r>
        <w:rPr>
          <w:spacing w:val="-2"/>
          <w:sz w:val="22"/>
        </w:rPr>
        <w:t> </w:t>
      </w:r>
      <w:r>
        <w:rPr>
          <w:spacing w:val="-4"/>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6"/>
          <w:sz w:val="22"/>
        </w:rPr>
        <w:t>Sumanya</w:t>
      </w:r>
      <w:r>
        <w:rPr>
          <w:spacing w:val="-4"/>
          <w:sz w:val="22"/>
        </w:rPr>
        <w:t> </w:t>
      </w:r>
      <w:r>
        <w:rPr>
          <w:spacing w:val="-6"/>
          <w:sz w:val="22"/>
        </w:rPr>
        <w:t>HMX</w:t>
      </w:r>
      <w:r>
        <w:rPr>
          <w:spacing w:val="-3"/>
          <w:sz w:val="22"/>
        </w:rPr>
        <w:t> </w:t>
      </w:r>
      <w:r>
        <w:rPr>
          <w:spacing w:val="-6"/>
          <w:sz w:val="22"/>
        </w:rPr>
        <w:t>Systems</w:t>
      </w:r>
      <w:r>
        <w:rPr>
          <w:spacing w:val="-4"/>
          <w:sz w:val="22"/>
        </w:rPr>
        <w:t> </w:t>
      </w:r>
      <w:r>
        <w:rPr>
          <w:spacing w:val="-6"/>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4"/>
          <w:sz w:val="22"/>
        </w:rPr>
        <w:t>Symtronics</w:t>
      </w:r>
      <w:r>
        <w:rPr>
          <w:sz w:val="22"/>
        </w:rPr>
        <w:t> </w:t>
      </w:r>
      <w:r>
        <w:rPr>
          <w:spacing w:val="-4"/>
          <w:sz w:val="22"/>
        </w:rPr>
        <w:t>Automation</w:t>
      </w:r>
      <w:r>
        <w:rPr>
          <w:spacing w:val="1"/>
          <w:sz w:val="22"/>
        </w:rPr>
        <w:t> </w:t>
      </w:r>
      <w:r>
        <w:rPr>
          <w:spacing w:val="-4"/>
          <w:sz w:val="22"/>
        </w:rPr>
        <w:t>Pvt.</w:t>
      </w:r>
      <w:r>
        <w:rPr>
          <w:spacing w:val="1"/>
          <w:sz w:val="22"/>
        </w:rPr>
        <w:t> </w:t>
      </w:r>
      <w:r>
        <w:rPr>
          <w:spacing w:val="-4"/>
          <w:sz w:val="22"/>
        </w:rPr>
        <w:t>Ltd.</w:t>
      </w:r>
    </w:p>
    <w:p>
      <w:pPr>
        <w:pStyle w:val="ListParagraph"/>
        <w:numPr>
          <w:ilvl w:val="0"/>
          <w:numId w:val="98"/>
        </w:numPr>
        <w:tabs>
          <w:tab w:pos="807" w:val="left" w:leader="none"/>
        </w:tabs>
        <w:spacing w:line="268" w:lineRule="auto" w:before="120" w:after="0"/>
        <w:ind w:left="807" w:right="1704" w:hanging="480"/>
        <w:jc w:val="left"/>
        <w:rPr>
          <w:sz w:val="22"/>
        </w:rPr>
      </w:pPr>
      <w:r>
        <w:rPr>
          <w:spacing w:val="-2"/>
          <w:sz w:val="22"/>
        </w:rPr>
        <w:t>System</w:t>
      </w:r>
      <w:r>
        <w:rPr>
          <w:spacing w:val="-12"/>
          <w:sz w:val="22"/>
        </w:rPr>
        <w:t> </w:t>
      </w:r>
      <w:r>
        <w:rPr>
          <w:spacing w:val="-2"/>
          <w:sz w:val="22"/>
        </w:rPr>
        <w:t>India</w:t>
      </w:r>
      <w:r>
        <w:rPr>
          <w:spacing w:val="-12"/>
          <w:sz w:val="22"/>
        </w:rPr>
        <w:t> </w:t>
      </w:r>
      <w:r>
        <w:rPr>
          <w:spacing w:val="-2"/>
          <w:sz w:val="22"/>
        </w:rPr>
        <w:t>Computer</w:t>
      </w:r>
      <w:r>
        <w:rPr>
          <w:spacing w:val="-12"/>
          <w:sz w:val="22"/>
        </w:rPr>
        <w:t> </w:t>
      </w:r>
      <w:r>
        <w:rPr>
          <w:spacing w:val="-2"/>
          <w:sz w:val="22"/>
        </w:rPr>
        <w:t>and</w:t>
      </w:r>
      <w:r>
        <w:rPr>
          <w:spacing w:val="-11"/>
          <w:sz w:val="22"/>
        </w:rPr>
        <w:t> </w:t>
      </w:r>
      <w:r>
        <w:rPr>
          <w:spacing w:val="-2"/>
          <w:sz w:val="22"/>
        </w:rPr>
        <w:t>Management Services</w:t>
      </w:r>
    </w:p>
    <w:p>
      <w:pPr>
        <w:pStyle w:val="ListParagraph"/>
        <w:numPr>
          <w:ilvl w:val="0"/>
          <w:numId w:val="98"/>
        </w:numPr>
        <w:tabs>
          <w:tab w:pos="807" w:val="left" w:leader="none"/>
        </w:tabs>
        <w:spacing w:line="240" w:lineRule="auto" w:before="89" w:after="0"/>
        <w:ind w:left="807" w:right="0" w:hanging="480"/>
        <w:jc w:val="left"/>
        <w:rPr>
          <w:sz w:val="22"/>
        </w:rPr>
      </w:pPr>
      <w:r>
        <w:rPr>
          <w:spacing w:val="-4"/>
          <w:sz w:val="22"/>
        </w:rPr>
        <w:t>Tact</w:t>
      </w:r>
      <w:r>
        <w:rPr>
          <w:spacing w:val="-6"/>
          <w:sz w:val="22"/>
        </w:rPr>
        <w:t> </w:t>
      </w:r>
      <w:r>
        <w:rPr>
          <w:spacing w:val="-4"/>
          <w:sz w:val="22"/>
        </w:rPr>
        <w:t>Global</w:t>
      </w:r>
      <w:r>
        <w:rPr>
          <w:spacing w:val="-5"/>
          <w:sz w:val="22"/>
        </w:rPr>
        <w:t> </w:t>
      </w:r>
      <w:r>
        <w:rPr>
          <w:spacing w:val="-4"/>
          <w:sz w:val="22"/>
        </w:rPr>
        <w:t>Services</w:t>
      </w:r>
    </w:p>
    <w:p>
      <w:pPr>
        <w:pStyle w:val="ListParagraph"/>
        <w:numPr>
          <w:ilvl w:val="0"/>
          <w:numId w:val="98"/>
        </w:numPr>
        <w:tabs>
          <w:tab w:pos="807" w:val="left" w:leader="none"/>
        </w:tabs>
        <w:spacing w:line="240" w:lineRule="auto" w:before="120" w:after="0"/>
        <w:ind w:left="807" w:right="0" w:hanging="480"/>
        <w:jc w:val="left"/>
        <w:rPr>
          <w:sz w:val="22"/>
        </w:rPr>
      </w:pPr>
      <w:r>
        <w:rPr>
          <w:spacing w:val="-2"/>
          <w:sz w:val="22"/>
        </w:rPr>
        <w:t>Teamfill</w:t>
      </w:r>
    </w:p>
    <w:p>
      <w:pPr>
        <w:pStyle w:val="ListParagraph"/>
        <w:numPr>
          <w:ilvl w:val="0"/>
          <w:numId w:val="98"/>
        </w:numPr>
        <w:tabs>
          <w:tab w:pos="807" w:val="left" w:leader="none"/>
        </w:tabs>
        <w:spacing w:line="240" w:lineRule="auto" w:before="120" w:after="0"/>
        <w:ind w:left="807" w:right="0" w:hanging="480"/>
        <w:jc w:val="left"/>
        <w:rPr>
          <w:sz w:val="22"/>
        </w:rPr>
      </w:pPr>
      <w:r>
        <w:rPr>
          <w:spacing w:val="-12"/>
          <w:sz w:val="22"/>
        </w:rPr>
        <w:t>Tecel</w:t>
      </w:r>
      <w:r>
        <w:rPr>
          <w:spacing w:val="4"/>
          <w:sz w:val="22"/>
        </w:rPr>
        <w:t> </w:t>
      </w:r>
      <w:r>
        <w:rPr>
          <w:spacing w:val="-2"/>
          <w:sz w:val="22"/>
        </w:rPr>
        <w:t>Magnetics</w:t>
      </w:r>
    </w:p>
    <w:p>
      <w:pPr>
        <w:pStyle w:val="ListParagraph"/>
        <w:numPr>
          <w:ilvl w:val="0"/>
          <w:numId w:val="98"/>
        </w:numPr>
        <w:tabs>
          <w:tab w:pos="807" w:val="left" w:leader="none"/>
        </w:tabs>
        <w:spacing w:line="240" w:lineRule="auto" w:before="120" w:after="0"/>
        <w:ind w:left="807" w:right="0" w:hanging="480"/>
        <w:jc w:val="left"/>
        <w:rPr>
          <w:sz w:val="22"/>
        </w:rPr>
      </w:pPr>
      <w:r>
        <w:rPr>
          <w:w w:val="90"/>
          <w:sz w:val="22"/>
        </w:rPr>
        <w:t>Technical</w:t>
      </w:r>
      <w:r>
        <w:rPr>
          <w:spacing w:val="8"/>
          <w:sz w:val="22"/>
        </w:rPr>
        <w:t> </w:t>
      </w:r>
      <w:r>
        <w:rPr>
          <w:w w:val="90"/>
          <w:sz w:val="22"/>
        </w:rPr>
        <w:t>Associates</w:t>
      </w:r>
      <w:r>
        <w:rPr>
          <w:spacing w:val="9"/>
          <w:sz w:val="22"/>
        </w:rPr>
        <w:t> </w:t>
      </w:r>
      <w:r>
        <w:rPr>
          <w:spacing w:val="-4"/>
          <w:w w:val="90"/>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8"/>
          <w:sz w:val="22"/>
        </w:rPr>
        <w:t>Tony</w:t>
      </w:r>
      <w:r>
        <w:rPr>
          <w:spacing w:val="-10"/>
          <w:sz w:val="22"/>
        </w:rPr>
        <w:t> </w:t>
      </w:r>
      <w:r>
        <w:rPr>
          <w:spacing w:val="-8"/>
          <w:sz w:val="22"/>
        </w:rPr>
        <w:t>Travels</w:t>
      </w:r>
      <w:r>
        <w:rPr>
          <w:sz w:val="22"/>
        </w:rPr>
        <w:t> </w:t>
      </w:r>
      <w:r>
        <w:rPr>
          <w:spacing w:val="-8"/>
          <w:sz w:val="22"/>
        </w:rPr>
        <w:t>Pvt.</w:t>
      </w:r>
      <w:r>
        <w:rPr>
          <w:sz w:val="22"/>
        </w:rPr>
        <w:t> </w:t>
      </w:r>
      <w:r>
        <w:rPr>
          <w:spacing w:val="-8"/>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z w:val="22"/>
        </w:rPr>
        <w:t>Unite</w:t>
      </w:r>
      <w:r>
        <w:rPr>
          <w:spacing w:val="-7"/>
          <w:sz w:val="22"/>
        </w:rPr>
        <w:t> </w:t>
      </w:r>
      <w:r>
        <w:rPr>
          <w:spacing w:val="-2"/>
          <w:sz w:val="22"/>
        </w:rPr>
        <w:t>Industries</w:t>
      </w:r>
    </w:p>
    <w:p>
      <w:pPr>
        <w:pStyle w:val="ListParagraph"/>
        <w:numPr>
          <w:ilvl w:val="0"/>
          <w:numId w:val="98"/>
        </w:numPr>
        <w:tabs>
          <w:tab w:pos="807" w:val="left" w:leader="none"/>
        </w:tabs>
        <w:spacing w:line="240" w:lineRule="auto" w:before="120" w:after="0"/>
        <w:ind w:left="807" w:right="0" w:hanging="480"/>
        <w:jc w:val="left"/>
        <w:rPr>
          <w:sz w:val="22"/>
        </w:rPr>
      </w:pPr>
      <w:r>
        <w:rPr>
          <w:spacing w:val="-5"/>
          <w:sz w:val="22"/>
        </w:rPr>
        <w:t>Virane</w:t>
      </w:r>
      <w:r>
        <w:rPr>
          <w:spacing w:val="-7"/>
          <w:sz w:val="22"/>
        </w:rPr>
        <w:t> </w:t>
      </w:r>
      <w:r>
        <w:rPr>
          <w:spacing w:val="-2"/>
          <w:sz w:val="22"/>
        </w:rPr>
        <w:t>Engineers</w:t>
      </w:r>
    </w:p>
    <w:p>
      <w:pPr>
        <w:pStyle w:val="ListParagraph"/>
        <w:numPr>
          <w:ilvl w:val="0"/>
          <w:numId w:val="98"/>
        </w:numPr>
        <w:tabs>
          <w:tab w:pos="807" w:val="left" w:leader="none"/>
        </w:tabs>
        <w:spacing w:line="240" w:lineRule="auto" w:before="120" w:after="0"/>
        <w:ind w:left="807" w:right="0" w:hanging="480"/>
        <w:jc w:val="left"/>
        <w:rPr>
          <w:sz w:val="22"/>
        </w:rPr>
      </w:pPr>
      <w:r>
        <w:rPr>
          <w:spacing w:val="-9"/>
          <w:sz w:val="22"/>
        </w:rPr>
        <w:t>Voicetech</w:t>
      </w:r>
      <w:r>
        <w:rPr>
          <w:spacing w:val="3"/>
          <w:sz w:val="22"/>
        </w:rPr>
        <w:t> </w:t>
      </w:r>
      <w:r>
        <w:rPr>
          <w:spacing w:val="-2"/>
          <w:sz w:val="22"/>
        </w:rPr>
        <w:t>Solutions</w:t>
      </w:r>
    </w:p>
    <w:p>
      <w:pPr>
        <w:pStyle w:val="ListParagraph"/>
        <w:numPr>
          <w:ilvl w:val="0"/>
          <w:numId w:val="98"/>
        </w:numPr>
        <w:tabs>
          <w:tab w:pos="807" w:val="left" w:leader="none"/>
        </w:tabs>
        <w:spacing w:line="268" w:lineRule="auto" w:before="120" w:after="0"/>
        <w:ind w:left="807" w:right="2653" w:hanging="480"/>
        <w:jc w:val="left"/>
        <w:rPr>
          <w:sz w:val="22"/>
        </w:rPr>
      </w:pPr>
      <w:r>
        <w:rPr>
          <w:spacing w:val="-4"/>
          <w:sz w:val="22"/>
        </w:rPr>
        <w:t>Weaver</w:t>
      </w:r>
      <w:r>
        <w:rPr>
          <w:spacing w:val="-10"/>
          <w:sz w:val="22"/>
        </w:rPr>
        <w:t> </w:t>
      </w:r>
      <w:r>
        <w:rPr>
          <w:spacing w:val="-4"/>
          <w:sz w:val="22"/>
        </w:rPr>
        <w:t>Computer</w:t>
      </w:r>
      <w:r>
        <w:rPr>
          <w:spacing w:val="-10"/>
          <w:sz w:val="22"/>
        </w:rPr>
        <w:t> </w:t>
      </w:r>
      <w:r>
        <w:rPr>
          <w:spacing w:val="-4"/>
          <w:sz w:val="22"/>
        </w:rPr>
        <w:t>Embroidery </w:t>
      </w:r>
      <w:r>
        <w:rPr>
          <w:spacing w:val="-2"/>
          <w:sz w:val="22"/>
        </w:rPr>
        <w:t>System</w:t>
      </w:r>
    </w:p>
    <w:p>
      <w:pPr>
        <w:pStyle w:val="ListParagraph"/>
        <w:numPr>
          <w:ilvl w:val="0"/>
          <w:numId w:val="98"/>
        </w:numPr>
        <w:tabs>
          <w:tab w:pos="805" w:val="left" w:leader="none"/>
        </w:tabs>
        <w:spacing w:line="240" w:lineRule="auto" w:before="90" w:after="0"/>
        <w:ind w:left="805" w:right="0" w:hanging="478"/>
        <w:jc w:val="left"/>
        <w:rPr>
          <w:sz w:val="22"/>
        </w:rPr>
      </w:pPr>
      <w:r>
        <w:rPr>
          <w:spacing w:val="-10"/>
          <w:sz w:val="22"/>
        </w:rPr>
        <w:t>Yenkey</w:t>
      </w:r>
      <w:r>
        <w:rPr>
          <w:spacing w:val="1"/>
          <w:sz w:val="22"/>
        </w:rPr>
        <w:t> </w:t>
      </w:r>
      <w:r>
        <w:rPr>
          <w:spacing w:val="-10"/>
          <w:sz w:val="22"/>
        </w:rPr>
        <w:t>Instruments</w:t>
      </w:r>
      <w:r>
        <w:rPr>
          <w:spacing w:val="2"/>
          <w:sz w:val="22"/>
        </w:rPr>
        <w:t> </w:t>
      </w:r>
      <w:r>
        <w:rPr>
          <w:spacing w:val="-10"/>
          <w:sz w:val="22"/>
        </w:rPr>
        <w:t>&amp;</w:t>
      </w:r>
      <w:r>
        <w:rPr>
          <w:spacing w:val="2"/>
          <w:sz w:val="22"/>
        </w:rPr>
        <w:t> </w:t>
      </w:r>
      <w:r>
        <w:rPr>
          <w:spacing w:val="-10"/>
          <w:sz w:val="22"/>
        </w:rPr>
        <w:t>Controls</w:t>
      </w:r>
      <w:r>
        <w:rPr>
          <w:spacing w:val="2"/>
          <w:sz w:val="22"/>
        </w:rPr>
        <w:t> </w:t>
      </w:r>
      <w:r>
        <w:rPr>
          <w:spacing w:val="-10"/>
          <w:sz w:val="22"/>
        </w:rPr>
        <w:t>Pvt.</w:t>
      </w:r>
      <w:r>
        <w:rPr>
          <w:spacing w:val="2"/>
          <w:sz w:val="22"/>
        </w:rPr>
        <w:t> </w:t>
      </w:r>
      <w:r>
        <w:rPr>
          <w:spacing w:val="-10"/>
          <w:sz w:val="22"/>
        </w:rPr>
        <w:t>Ltd.</w:t>
      </w:r>
    </w:p>
    <w:p>
      <w:pPr>
        <w:pStyle w:val="ListParagraph"/>
        <w:numPr>
          <w:ilvl w:val="0"/>
          <w:numId w:val="98"/>
        </w:numPr>
        <w:tabs>
          <w:tab w:pos="807" w:val="left" w:leader="none"/>
        </w:tabs>
        <w:spacing w:line="240" w:lineRule="auto" w:before="120" w:after="0"/>
        <w:ind w:left="807" w:right="0" w:hanging="480"/>
        <w:jc w:val="left"/>
        <w:rPr>
          <w:sz w:val="22"/>
        </w:rPr>
      </w:pPr>
      <w:r>
        <w:rPr>
          <w:spacing w:val="-5"/>
          <w:sz w:val="22"/>
        </w:rPr>
        <w:t>Zarekar</w:t>
      </w:r>
      <w:r>
        <w:rPr>
          <w:spacing w:val="-2"/>
          <w:sz w:val="22"/>
        </w:rPr>
        <w:t> Computers</w:t>
      </w:r>
    </w:p>
    <w:p>
      <w:pPr>
        <w:pStyle w:val="ListParagraph"/>
        <w:numPr>
          <w:ilvl w:val="0"/>
          <w:numId w:val="98"/>
        </w:numPr>
        <w:tabs>
          <w:tab w:pos="807" w:val="left" w:leader="none"/>
        </w:tabs>
        <w:spacing w:line="240" w:lineRule="auto" w:before="120" w:after="0"/>
        <w:ind w:left="807" w:right="0" w:hanging="480"/>
        <w:jc w:val="left"/>
        <w:rPr>
          <w:sz w:val="22"/>
        </w:rPr>
      </w:pPr>
      <w:r>
        <w:rPr>
          <w:spacing w:val="-2"/>
          <w:sz w:val="22"/>
        </w:rPr>
        <w:t>Zephyr</w:t>
      </w:r>
      <w:r>
        <w:rPr>
          <w:spacing w:val="-10"/>
          <w:sz w:val="22"/>
        </w:rPr>
        <w:t> </w:t>
      </w:r>
      <w:r>
        <w:rPr>
          <w:spacing w:val="-2"/>
          <w:sz w:val="22"/>
        </w:rPr>
        <w:t>Industries/Zephyrs</w:t>
      </w:r>
      <w:r>
        <w:rPr>
          <w:spacing w:val="-10"/>
          <w:sz w:val="22"/>
        </w:rPr>
        <w:t> </w:t>
      </w:r>
      <w:r>
        <w:rPr>
          <w:spacing w:val="-2"/>
          <w:sz w:val="22"/>
        </w:rPr>
        <w:t>Systems</w:t>
      </w:r>
    </w:p>
    <w:p>
      <w:pPr>
        <w:spacing w:after="0" w:line="240" w:lineRule="auto"/>
        <w:jc w:val="left"/>
        <w:rPr>
          <w:sz w:val="22"/>
        </w:rPr>
        <w:sectPr>
          <w:pgSz w:w="11910" w:h="16840"/>
          <w:pgMar w:header="0" w:footer="675" w:top="960" w:bottom="860" w:left="0" w:right="0"/>
          <w:cols w:num="2" w:equalWidth="0">
            <w:col w:w="5765" w:space="40"/>
            <w:col w:w="6105"/>
          </w:cols>
        </w:sectPr>
      </w:pPr>
    </w:p>
    <w:p>
      <w:pPr>
        <w:pStyle w:val="Heading6"/>
        <w:spacing w:before="57"/>
        <w:ind w:left="1080" w:firstLine="0"/>
      </w:pPr>
      <w:bookmarkStart w:name="_TOC_250000" w:id="5"/>
      <w:bookmarkEnd w:id="5"/>
      <w:r>
        <w:rPr>
          <w:color w:val="2E614A"/>
          <w:spacing w:val="-5"/>
        </w:rPr>
        <w:t>Entrepreneurship</w:t>
      </w:r>
    </w:p>
    <w:p>
      <w:pPr>
        <w:pStyle w:val="ListParagraph"/>
        <w:numPr>
          <w:ilvl w:val="1"/>
          <w:numId w:val="98"/>
        </w:numPr>
        <w:tabs>
          <w:tab w:pos="1560" w:val="left" w:leader="none"/>
        </w:tabs>
        <w:spacing w:line="266" w:lineRule="auto" w:before="285" w:after="0"/>
        <w:ind w:left="1560" w:right="1006" w:hanging="480"/>
        <w:jc w:val="left"/>
        <w:rPr>
          <w:sz w:val="22"/>
        </w:rPr>
      </w:pPr>
      <w:r>
        <w:rPr>
          <w:spacing w:val="-6"/>
          <w:sz w:val="22"/>
        </w:rPr>
        <w:t>Mr.</w:t>
      </w:r>
      <w:r>
        <w:rPr>
          <w:spacing w:val="-8"/>
          <w:sz w:val="22"/>
        </w:rPr>
        <w:t> </w:t>
      </w:r>
      <w:r>
        <w:rPr>
          <w:spacing w:val="-6"/>
          <w:sz w:val="22"/>
        </w:rPr>
        <w:t>Vishwas</w:t>
      </w:r>
      <w:r>
        <w:rPr>
          <w:spacing w:val="-8"/>
          <w:sz w:val="22"/>
        </w:rPr>
        <w:t> </w:t>
      </w:r>
      <w:r>
        <w:rPr>
          <w:spacing w:val="-6"/>
          <w:sz w:val="22"/>
        </w:rPr>
        <w:t>Joshi</w:t>
      </w:r>
      <w:r>
        <w:rPr>
          <w:spacing w:val="-7"/>
          <w:sz w:val="22"/>
        </w:rPr>
        <w:t> </w:t>
      </w:r>
      <w:r>
        <w:rPr>
          <w:spacing w:val="-6"/>
          <w:sz w:val="22"/>
        </w:rPr>
        <w:t>and</w:t>
      </w:r>
      <w:r>
        <w:rPr>
          <w:spacing w:val="-7"/>
          <w:sz w:val="22"/>
        </w:rPr>
        <w:t> </w:t>
      </w:r>
      <w:r>
        <w:rPr>
          <w:spacing w:val="-6"/>
          <w:sz w:val="22"/>
        </w:rPr>
        <w:t>Subhada</w:t>
      </w:r>
      <w:r>
        <w:rPr>
          <w:spacing w:val="-7"/>
          <w:sz w:val="22"/>
        </w:rPr>
        <w:t> </w:t>
      </w:r>
      <w:r>
        <w:rPr>
          <w:spacing w:val="-6"/>
          <w:sz w:val="22"/>
        </w:rPr>
        <w:t>Joshi </w:t>
      </w:r>
      <w:r>
        <w:rPr>
          <w:sz w:val="22"/>
        </w:rPr>
        <w:t>Girikand Travels Pvt. Ltd.</w:t>
      </w:r>
    </w:p>
    <w:p>
      <w:pPr>
        <w:pStyle w:val="ListParagraph"/>
        <w:numPr>
          <w:ilvl w:val="1"/>
          <w:numId w:val="98"/>
        </w:numPr>
        <w:tabs>
          <w:tab w:pos="1559" w:val="left" w:leader="none"/>
        </w:tabs>
        <w:spacing w:line="240" w:lineRule="auto" w:before="89" w:after="0"/>
        <w:ind w:left="1559" w:right="0" w:hanging="479"/>
        <w:jc w:val="left"/>
        <w:rPr>
          <w:sz w:val="22"/>
        </w:rPr>
      </w:pPr>
      <w:r>
        <w:rPr>
          <w:sz w:val="22"/>
        </w:rPr>
        <w:t>Mr.</w:t>
      </w:r>
      <w:r>
        <w:rPr>
          <w:spacing w:val="1"/>
          <w:sz w:val="22"/>
        </w:rPr>
        <w:t> </w:t>
      </w:r>
      <w:r>
        <w:rPr>
          <w:sz w:val="22"/>
        </w:rPr>
        <w:t>M.D.</w:t>
      </w:r>
      <w:r>
        <w:rPr>
          <w:spacing w:val="1"/>
          <w:sz w:val="22"/>
        </w:rPr>
        <w:t> </w:t>
      </w:r>
      <w:r>
        <w:rPr>
          <w:spacing w:val="-2"/>
          <w:sz w:val="22"/>
        </w:rPr>
        <w:t>Adoni</w:t>
      </w:r>
    </w:p>
    <w:p>
      <w:pPr>
        <w:pStyle w:val="BodyText"/>
        <w:spacing w:before="27"/>
        <w:ind w:left="1560"/>
      </w:pPr>
      <w:r>
        <w:rPr>
          <w:spacing w:val="-4"/>
        </w:rPr>
        <w:t>Certified</w:t>
      </w:r>
      <w:r>
        <w:rPr>
          <w:spacing w:val="2"/>
        </w:rPr>
        <w:t> </w:t>
      </w:r>
      <w:r>
        <w:rPr>
          <w:spacing w:val="-4"/>
        </w:rPr>
        <w:t>Management</w:t>
      </w:r>
      <w:r>
        <w:rPr>
          <w:spacing w:val="3"/>
        </w:rPr>
        <w:t> </w:t>
      </w:r>
      <w:r>
        <w:rPr>
          <w:spacing w:val="-4"/>
        </w:rPr>
        <w:t>Consultant</w:t>
      </w:r>
    </w:p>
    <w:p>
      <w:pPr>
        <w:pStyle w:val="ListParagraph"/>
        <w:numPr>
          <w:ilvl w:val="1"/>
          <w:numId w:val="98"/>
        </w:numPr>
        <w:tabs>
          <w:tab w:pos="1559" w:val="left" w:leader="none"/>
        </w:tabs>
        <w:spacing w:line="240" w:lineRule="auto" w:before="117" w:after="0"/>
        <w:ind w:left="1559" w:right="0" w:hanging="479"/>
        <w:jc w:val="left"/>
        <w:rPr>
          <w:sz w:val="22"/>
        </w:rPr>
      </w:pPr>
      <w:r>
        <w:rPr>
          <w:spacing w:val="-10"/>
          <w:sz w:val="22"/>
        </w:rPr>
        <w:t>Mr.</w:t>
      </w:r>
      <w:r>
        <w:rPr>
          <w:sz w:val="22"/>
        </w:rPr>
        <w:t> </w:t>
      </w:r>
      <w:r>
        <w:rPr>
          <w:spacing w:val="-10"/>
          <w:sz w:val="22"/>
        </w:rPr>
        <w:t>Milind</w:t>
      </w:r>
      <w:r>
        <w:rPr>
          <w:sz w:val="22"/>
        </w:rPr>
        <w:t> </w:t>
      </w:r>
      <w:r>
        <w:rPr>
          <w:spacing w:val="-10"/>
          <w:sz w:val="22"/>
        </w:rPr>
        <w:t>Pandit,</w:t>
      </w:r>
      <w:r>
        <w:rPr>
          <w:spacing w:val="1"/>
          <w:sz w:val="22"/>
        </w:rPr>
        <w:t> </w:t>
      </w:r>
      <w:r>
        <w:rPr>
          <w:spacing w:val="-10"/>
          <w:sz w:val="22"/>
        </w:rPr>
        <w:t>Akshay</w:t>
      </w:r>
      <w:r>
        <w:rPr>
          <w:sz w:val="22"/>
        </w:rPr>
        <w:t> </w:t>
      </w:r>
      <w:r>
        <w:rPr>
          <w:spacing w:val="-10"/>
          <w:sz w:val="22"/>
        </w:rPr>
        <w:t>Urja</w:t>
      </w:r>
      <w:r>
        <w:rPr>
          <w:sz w:val="22"/>
        </w:rPr>
        <w:t> </w:t>
      </w:r>
      <w:r>
        <w:rPr>
          <w:spacing w:val="-10"/>
          <w:sz w:val="22"/>
        </w:rPr>
        <w:t>Pvt.</w:t>
      </w:r>
      <w:r>
        <w:rPr>
          <w:spacing w:val="1"/>
          <w:sz w:val="22"/>
        </w:rPr>
        <w:t> </w:t>
      </w:r>
      <w:r>
        <w:rPr>
          <w:spacing w:val="-10"/>
          <w:sz w:val="22"/>
        </w:rPr>
        <w:t>Ltd.</w:t>
      </w:r>
    </w:p>
    <w:p>
      <w:pPr>
        <w:pStyle w:val="ListParagraph"/>
        <w:numPr>
          <w:ilvl w:val="1"/>
          <w:numId w:val="98"/>
        </w:numPr>
        <w:tabs>
          <w:tab w:pos="1560" w:val="left" w:leader="none"/>
        </w:tabs>
        <w:spacing w:line="266" w:lineRule="auto" w:before="117" w:after="0"/>
        <w:ind w:left="1560" w:right="1338" w:hanging="480"/>
        <w:jc w:val="left"/>
        <w:rPr>
          <w:sz w:val="22"/>
        </w:rPr>
      </w:pPr>
      <w:r>
        <w:rPr>
          <w:spacing w:val="-2"/>
          <w:sz w:val="22"/>
        </w:rPr>
        <w:t>Ms.</w:t>
      </w:r>
      <w:r>
        <w:rPr>
          <w:spacing w:val="-12"/>
          <w:sz w:val="22"/>
        </w:rPr>
        <w:t> </w:t>
      </w:r>
      <w:r>
        <w:rPr>
          <w:spacing w:val="-2"/>
          <w:sz w:val="22"/>
        </w:rPr>
        <w:t>Gayatri</w:t>
      </w:r>
      <w:r>
        <w:rPr>
          <w:spacing w:val="-12"/>
          <w:sz w:val="22"/>
        </w:rPr>
        <w:t> </w:t>
      </w:r>
      <w:r>
        <w:rPr>
          <w:spacing w:val="-2"/>
          <w:sz w:val="22"/>
        </w:rPr>
        <w:t>&amp;</w:t>
      </w:r>
      <w:r>
        <w:rPr>
          <w:spacing w:val="-12"/>
          <w:sz w:val="22"/>
        </w:rPr>
        <w:t> </w:t>
      </w:r>
      <w:r>
        <w:rPr>
          <w:spacing w:val="-2"/>
          <w:sz w:val="22"/>
        </w:rPr>
        <w:t>Mr.</w:t>
      </w:r>
      <w:r>
        <w:rPr>
          <w:spacing w:val="-11"/>
          <w:sz w:val="22"/>
        </w:rPr>
        <w:t> </w:t>
      </w:r>
      <w:r>
        <w:rPr>
          <w:spacing w:val="-2"/>
          <w:sz w:val="22"/>
        </w:rPr>
        <w:t>Gopal</w:t>
      </w:r>
      <w:r>
        <w:rPr>
          <w:spacing w:val="-12"/>
          <w:sz w:val="22"/>
        </w:rPr>
        <w:t> </w:t>
      </w:r>
      <w:r>
        <w:rPr>
          <w:spacing w:val="-2"/>
          <w:sz w:val="22"/>
        </w:rPr>
        <w:t>Tambe </w:t>
      </w:r>
      <w:r>
        <w:rPr>
          <w:sz w:val="22"/>
        </w:rPr>
        <w:t>FRP</w:t>
      </w:r>
      <w:r>
        <w:rPr>
          <w:spacing w:val="-6"/>
          <w:sz w:val="22"/>
        </w:rPr>
        <w:t> </w:t>
      </w:r>
      <w:r>
        <w:rPr>
          <w:sz w:val="22"/>
        </w:rPr>
        <w:t>Toilets</w:t>
      </w:r>
    </w:p>
    <w:p>
      <w:pPr>
        <w:pStyle w:val="ListParagraph"/>
        <w:numPr>
          <w:ilvl w:val="1"/>
          <w:numId w:val="98"/>
        </w:numPr>
        <w:tabs>
          <w:tab w:pos="1559" w:val="left" w:leader="none"/>
        </w:tabs>
        <w:spacing w:line="240" w:lineRule="auto" w:before="88" w:after="0"/>
        <w:ind w:left="1559" w:right="0" w:hanging="479"/>
        <w:jc w:val="left"/>
        <w:rPr>
          <w:sz w:val="22"/>
        </w:rPr>
      </w:pPr>
      <w:r>
        <w:rPr>
          <w:spacing w:val="-2"/>
          <w:sz w:val="22"/>
        </w:rPr>
        <w:t>Mr.</w:t>
      </w:r>
      <w:r>
        <w:rPr>
          <w:spacing w:val="-6"/>
          <w:sz w:val="22"/>
        </w:rPr>
        <w:t> </w:t>
      </w:r>
      <w:r>
        <w:rPr>
          <w:spacing w:val="-2"/>
          <w:sz w:val="22"/>
        </w:rPr>
        <w:t>N.S.</w:t>
      </w:r>
      <w:r>
        <w:rPr>
          <w:spacing w:val="-6"/>
          <w:sz w:val="22"/>
        </w:rPr>
        <w:t> </w:t>
      </w:r>
      <w:r>
        <w:rPr>
          <w:spacing w:val="-2"/>
          <w:sz w:val="22"/>
        </w:rPr>
        <w:t>Rao,</w:t>
      </w:r>
      <w:r>
        <w:rPr>
          <w:spacing w:val="-6"/>
          <w:sz w:val="22"/>
        </w:rPr>
        <w:t> </w:t>
      </w:r>
      <w:r>
        <w:rPr>
          <w:spacing w:val="-2"/>
          <w:sz w:val="22"/>
        </w:rPr>
        <w:t>Intelux</w:t>
      </w:r>
      <w:r>
        <w:rPr>
          <w:spacing w:val="-6"/>
          <w:sz w:val="22"/>
        </w:rPr>
        <w:t> </w:t>
      </w:r>
      <w:r>
        <w:rPr>
          <w:spacing w:val="-2"/>
          <w:sz w:val="22"/>
        </w:rPr>
        <w:t>Electronics</w:t>
      </w:r>
    </w:p>
    <w:p>
      <w:pPr>
        <w:pStyle w:val="ListParagraph"/>
        <w:numPr>
          <w:ilvl w:val="1"/>
          <w:numId w:val="98"/>
        </w:numPr>
        <w:tabs>
          <w:tab w:pos="1559" w:val="left" w:leader="none"/>
        </w:tabs>
        <w:spacing w:line="240" w:lineRule="auto" w:before="117" w:after="0"/>
        <w:ind w:left="1559" w:right="0" w:hanging="479"/>
        <w:jc w:val="left"/>
        <w:rPr>
          <w:sz w:val="22"/>
        </w:rPr>
      </w:pPr>
      <w:r>
        <w:rPr>
          <w:spacing w:val="-6"/>
          <w:sz w:val="22"/>
        </w:rPr>
        <w:t>Ms.</w:t>
      </w:r>
      <w:r>
        <w:rPr>
          <w:spacing w:val="-2"/>
          <w:sz w:val="22"/>
        </w:rPr>
        <w:t> </w:t>
      </w:r>
      <w:r>
        <w:rPr>
          <w:spacing w:val="-6"/>
          <w:sz w:val="22"/>
        </w:rPr>
        <w:t>Rajashree</w:t>
      </w:r>
      <w:r>
        <w:rPr>
          <w:spacing w:val="-2"/>
          <w:sz w:val="22"/>
        </w:rPr>
        <w:t> </w:t>
      </w:r>
      <w:r>
        <w:rPr>
          <w:spacing w:val="-6"/>
          <w:sz w:val="22"/>
        </w:rPr>
        <w:t>Jhangle,</w:t>
      </w:r>
      <w:r>
        <w:rPr>
          <w:spacing w:val="-2"/>
          <w:sz w:val="22"/>
        </w:rPr>
        <w:t> </w:t>
      </w:r>
      <w:r>
        <w:rPr>
          <w:spacing w:val="-6"/>
          <w:sz w:val="22"/>
        </w:rPr>
        <w:t>Simply</w:t>
      </w:r>
      <w:r>
        <w:rPr>
          <w:spacing w:val="-2"/>
          <w:sz w:val="22"/>
        </w:rPr>
        <w:t> </w:t>
      </w:r>
      <w:r>
        <w:rPr>
          <w:spacing w:val="-6"/>
          <w:sz w:val="22"/>
        </w:rPr>
        <w:t>Delicious</w:t>
      </w:r>
    </w:p>
    <w:p>
      <w:pPr>
        <w:pStyle w:val="ListParagraph"/>
        <w:numPr>
          <w:ilvl w:val="1"/>
          <w:numId w:val="98"/>
        </w:numPr>
        <w:tabs>
          <w:tab w:pos="1560" w:val="left" w:leader="none"/>
        </w:tabs>
        <w:spacing w:line="266" w:lineRule="auto" w:before="117" w:after="0"/>
        <w:ind w:left="1560" w:right="478" w:hanging="480"/>
        <w:jc w:val="left"/>
        <w:rPr>
          <w:sz w:val="22"/>
        </w:rPr>
      </w:pPr>
      <w:r>
        <w:rPr>
          <w:spacing w:val="-4"/>
          <w:sz w:val="22"/>
        </w:rPr>
        <w:t>Mr.</w:t>
      </w:r>
      <w:r>
        <w:rPr>
          <w:spacing w:val="-10"/>
          <w:sz w:val="22"/>
        </w:rPr>
        <w:t> </w:t>
      </w:r>
      <w:r>
        <w:rPr>
          <w:spacing w:val="-4"/>
          <w:sz w:val="22"/>
        </w:rPr>
        <w:t>Ravi</w:t>
      </w:r>
      <w:r>
        <w:rPr>
          <w:spacing w:val="-10"/>
          <w:sz w:val="22"/>
        </w:rPr>
        <w:t> </w:t>
      </w:r>
      <w:r>
        <w:rPr>
          <w:spacing w:val="-4"/>
          <w:sz w:val="22"/>
        </w:rPr>
        <w:t>Bhagwat,</w:t>
      </w:r>
      <w:r>
        <w:rPr>
          <w:spacing w:val="-10"/>
          <w:sz w:val="22"/>
        </w:rPr>
        <w:t> </w:t>
      </w:r>
      <w:r>
        <w:rPr>
          <w:spacing w:val="-4"/>
          <w:sz w:val="22"/>
        </w:rPr>
        <w:t>Symtronics</w:t>
      </w:r>
      <w:r>
        <w:rPr>
          <w:spacing w:val="-9"/>
          <w:sz w:val="22"/>
        </w:rPr>
        <w:t> </w:t>
      </w:r>
      <w:r>
        <w:rPr>
          <w:spacing w:val="-4"/>
          <w:sz w:val="22"/>
        </w:rPr>
        <w:t>Automation </w:t>
      </w:r>
      <w:r>
        <w:rPr>
          <w:sz w:val="22"/>
        </w:rPr>
        <w:t>Private Limited</w:t>
      </w:r>
    </w:p>
    <w:p>
      <w:pPr>
        <w:pStyle w:val="ListParagraph"/>
        <w:numPr>
          <w:ilvl w:val="1"/>
          <w:numId w:val="98"/>
        </w:numPr>
        <w:tabs>
          <w:tab w:pos="1560" w:val="left" w:leader="none"/>
        </w:tabs>
        <w:spacing w:line="266" w:lineRule="auto" w:before="89" w:after="0"/>
        <w:ind w:left="1560" w:right="1254" w:hanging="480"/>
        <w:jc w:val="left"/>
        <w:rPr>
          <w:sz w:val="22"/>
        </w:rPr>
      </w:pPr>
      <w:r>
        <w:rPr>
          <w:spacing w:val="-2"/>
          <w:sz w:val="22"/>
        </w:rPr>
        <w:t>Dr.</w:t>
      </w:r>
      <w:r>
        <w:rPr>
          <w:spacing w:val="-7"/>
          <w:sz w:val="22"/>
        </w:rPr>
        <w:t> </w:t>
      </w:r>
      <w:r>
        <w:rPr>
          <w:spacing w:val="-2"/>
          <w:sz w:val="22"/>
        </w:rPr>
        <w:t>Sunita</w:t>
      </w:r>
      <w:r>
        <w:rPr>
          <w:spacing w:val="-7"/>
          <w:sz w:val="22"/>
        </w:rPr>
        <w:t> </w:t>
      </w:r>
      <w:r>
        <w:rPr>
          <w:spacing w:val="-2"/>
          <w:sz w:val="22"/>
        </w:rPr>
        <w:t>Chaudhari,</w:t>
      </w:r>
      <w:r>
        <w:rPr>
          <w:spacing w:val="-7"/>
          <w:sz w:val="22"/>
        </w:rPr>
        <w:t> </w:t>
      </w:r>
      <w:r>
        <w:rPr>
          <w:spacing w:val="-2"/>
          <w:sz w:val="22"/>
        </w:rPr>
        <w:t>Consulting Ayurvedacharya</w:t>
      </w:r>
    </w:p>
    <w:p>
      <w:pPr>
        <w:pStyle w:val="ListParagraph"/>
        <w:numPr>
          <w:ilvl w:val="1"/>
          <w:numId w:val="98"/>
        </w:numPr>
        <w:tabs>
          <w:tab w:pos="1560" w:val="left" w:leader="none"/>
        </w:tabs>
        <w:spacing w:line="266" w:lineRule="auto" w:before="88" w:after="0"/>
        <w:ind w:left="1560" w:right="1052" w:hanging="480"/>
        <w:jc w:val="left"/>
        <w:rPr>
          <w:sz w:val="22"/>
        </w:rPr>
      </w:pPr>
      <w:r>
        <w:rPr>
          <w:spacing w:val="-4"/>
          <w:sz w:val="22"/>
        </w:rPr>
        <w:t>Mr.</w:t>
      </w:r>
      <w:r>
        <w:rPr>
          <w:spacing w:val="-10"/>
          <w:sz w:val="22"/>
        </w:rPr>
        <w:t> </w:t>
      </w:r>
      <w:r>
        <w:rPr>
          <w:spacing w:val="-4"/>
          <w:sz w:val="22"/>
        </w:rPr>
        <w:t>Vincent</w:t>
      </w:r>
      <w:r>
        <w:rPr>
          <w:spacing w:val="-10"/>
          <w:sz w:val="22"/>
        </w:rPr>
        <w:t> </w:t>
      </w:r>
      <w:r>
        <w:rPr>
          <w:spacing w:val="-4"/>
          <w:sz w:val="22"/>
        </w:rPr>
        <w:t>D’Souza,</w:t>
      </w:r>
      <w:r>
        <w:rPr>
          <w:spacing w:val="-10"/>
          <w:sz w:val="22"/>
        </w:rPr>
        <w:t> </w:t>
      </w:r>
      <w:r>
        <w:rPr>
          <w:spacing w:val="-4"/>
          <w:sz w:val="22"/>
        </w:rPr>
        <w:t>V.R.</w:t>
      </w:r>
      <w:r>
        <w:rPr>
          <w:spacing w:val="-9"/>
          <w:sz w:val="22"/>
        </w:rPr>
        <w:t> </w:t>
      </w:r>
      <w:r>
        <w:rPr>
          <w:spacing w:val="-4"/>
          <w:sz w:val="22"/>
        </w:rPr>
        <w:t>Coatings </w:t>
      </w:r>
      <w:r>
        <w:rPr>
          <w:sz w:val="22"/>
        </w:rPr>
        <w:t>Pvt. Ltd.</w:t>
      </w:r>
    </w:p>
    <w:p>
      <w:pPr>
        <w:pStyle w:val="ListParagraph"/>
        <w:numPr>
          <w:ilvl w:val="1"/>
          <w:numId w:val="98"/>
        </w:numPr>
        <w:tabs>
          <w:tab w:pos="1559" w:val="left" w:leader="none"/>
        </w:tabs>
        <w:spacing w:line="240" w:lineRule="auto" w:before="88" w:after="0"/>
        <w:ind w:left="1559" w:right="0" w:hanging="480"/>
        <w:jc w:val="left"/>
        <w:rPr>
          <w:sz w:val="22"/>
        </w:rPr>
      </w:pPr>
      <w:r>
        <w:rPr>
          <w:spacing w:val="-10"/>
          <w:sz w:val="22"/>
        </w:rPr>
        <w:t>Mr.</w:t>
      </w:r>
      <w:r>
        <w:rPr>
          <w:spacing w:val="-8"/>
          <w:sz w:val="22"/>
        </w:rPr>
        <w:t> </w:t>
      </w:r>
      <w:r>
        <w:rPr>
          <w:spacing w:val="-10"/>
          <w:sz w:val="22"/>
        </w:rPr>
        <w:t>Linesh</w:t>
      </w:r>
      <w:r>
        <w:rPr>
          <w:spacing w:val="-17"/>
          <w:sz w:val="22"/>
        </w:rPr>
        <w:t> </w:t>
      </w:r>
      <w:r>
        <w:rPr>
          <w:spacing w:val="-10"/>
          <w:sz w:val="22"/>
        </w:rPr>
        <w:t>Thakur,</w:t>
      </w:r>
      <w:r>
        <w:rPr>
          <w:spacing w:val="-8"/>
          <w:sz w:val="22"/>
        </w:rPr>
        <w:t> </w:t>
      </w:r>
      <w:r>
        <w:rPr>
          <w:spacing w:val="-10"/>
          <w:sz w:val="22"/>
        </w:rPr>
        <w:t>Aishwarya</w:t>
      </w:r>
      <w:r>
        <w:rPr>
          <w:spacing w:val="-7"/>
          <w:sz w:val="22"/>
        </w:rPr>
        <w:t> </w:t>
      </w:r>
      <w:r>
        <w:rPr>
          <w:spacing w:val="-10"/>
          <w:sz w:val="22"/>
        </w:rPr>
        <w:t>Enterprises</w:t>
      </w:r>
    </w:p>
    <w:p>
      <w:pPr>
        <w:pStyle w:val="ListParagraph"/>
        <w:numPr>
          <w:ilvl w:val="1"/>
          <w:numId w:val="98"/>
        </w:numPr>
        <w:tabs>
          <w:tab w:pos="1559" w:val="left" w:leader="none"/>
        </w:tabs>
        <w:spacing w:line="240" w:lineRule="auto" w:before="117" w:after="0"/>
        <w:ind w:left="1559" w:right="0" w:hanging="480"/>
        <w:jc w:val="left"/>
        <w:rPr>
          <w:sz w:val="22"/>
        </w:rPr>
      </w:pPr>
      <w:r>
        <w:rPr>
          <w:spacing w:val="-4"/>
          <w:sz w:val="22"/>
        </w:rPr>
        <w:t>Mr.</w:t>
      </w:r>
      <w:r>
        <w:rPr>
          <w:spacing w:val="-2"/>
          <w:sz w:val="22"/>
        </w:rPr>
        <w:t> </w:t>
      </w:r>
      <w:r>
        <w:rPr>
          <w:spacing w:val="-4"/>
          <w:sz w:val="22"/>
        </w:rPr>
        <w:t>Subhash</w:t>
      </w:r>
      <w:r>
        <w:rPr>
          <w:spacing w:val="-2"/>
          <w:sz w:val="22"/>
        </w:rPr>
        <w:t> </w:t>
      </w:r>
      <w:r>
        <w:rPr>
          <w:spacing w:val="-4"/>
          <w:sz w:val="22"/>
        </w:rPr>
        <w:t>Devi,</w:t>
      </w:r>
      <w:r>
        <w:rPr>
          <w:spacing w:val="-1"/>
          <w:sz w:val="22"/>
        </w:rPr>
        <w:t> </w:t>
      </w:r>
      <w:r>
        <w:rPr>
          <w:spacing w:val="-4"/>
          <w:sz w:val="22"/>
        </w:rPr>
        <w:t>Membrane</w:t>
      </w:r>
      <w:r>
        <w:rPr>
          <w:spacing w:val="-2"/>
          <w:sz w:val="22"/>
        </w:rPr>
        <w:t> </w:t>
      </w:r>
      <w:r>
        <w:rPr>
          <w:spacing w:val="-4"/>
          <w:sz w:val="22"/>
        </w:rPr>
        <w:t>Filters</w:t>
      </w:r>
    </w:p>
    <w:p>
      <w:pPr>
        <w:pStyle w:val="ListParagraph"/>
        <w:numPr>
          <w:ilvl w:val="1"/>
          <w:numId w:val="98"/>
        </w:numPr>
        <w:tabs>
          <w:tab w:pos="1559" w:val="left" w:leader="none"/>
        </w:tabs>
        <w:spacing w:line="240" w:lineRule="auto" w:before="117" w:after="0"/>
        <w:ind w:left="1559" w:right="0" w:hanging="480"/>
        <w:jc w:val="left"/>
        <w:rPr>
          <w:sz w:val="22"/>
        </w:rPr>
      </w:pPr>
      <w:r>
        <w:rPr>
          <w:spacing w:val="-4"/>
          <w:sz w:val="22"/>
        </w:rPr>
        <w:t>Ms. Mrunal</w:t>
      </w:r>
      <w:r>
        <w:rPr>
          <w:spacing w:val="-3"/>
          <w:sz w:val="22"/>
        </w:rPr>
        <w:t> </w:t>
      </w:r>
      <w:r>
        <w:rPr>
          <w:spacing w:val="-4"/>
          <w:sz w:val="22"/>
        </w:rPr>
        <w:t>Gokhale,</w:t>
      </w:r>
      <w:r>
        <w:rPr>
          <w:spacing w:val="-3"/>
          <w:sz w:val="22"/>
        </w:rPr>
        <w:t> </w:t>
      </w:r>
      <w:r>
        <w:rPr>
          <w:spacing w:val="-4"/>
          <w:sz w:val="22"/>
        </w:rPr>
        <w:t>Feelings</w:t>
      </w:r>
      <w:r>
        <w:rPr>
          <w:spacing w:val="-3"/>
          <w:sz w:val="22"/>
        </w:rPr>
        <w:t> </w:t>
      </w:r>
      <w:r>
        <w:rPr>
          <w:spacing w:val="-4"/>
          <w:sz w:val="22"/>
        </w:rPr>
        <w:t>Flowers</w:t>
      </w:r>
    </w:p>
    <w:p>
      <w:pPr>
        <w:pStyle w:val="ListParagraph"/>
        <w:numPr>
          <w:ilvl w:val="1"/>
          <w:numId w:val="98"/>
        </w:numPr>
        <w:tabs>
          <w:tab w:pos="1559" w:val="left" w:leader="none"/>
        </w:tabs>
        <w:spacing w:line="240" w:lineRule="auto" w:before="118" w:after="0"/>
        <w:ind w:left="1559" w:right="0" w:hanging="480"/>
        <w:jc w:val="left"/>
        <w:rPr>
          <w:sz w:val="22"/>
        </w:rPr>
      </w:pPr>
      <w:r>
        <w:rPr>
          <w:spacing w:val="-6"/>
          <w:sz w:val="22"/>
        </w:rPr>
        <w:t>Mr.</w:t>
      </w:r>
      <w:r>
        <w:rPr>
          <w:spacing w:val="-5"/>
          <w:sz w:val="22"/>
        </w:rPr>
        <w:t> </w:t>
      </w:r>
      <w:r>
        <w:rPr>
          <w:spacing w:val="-6"/>
          <w:sz w:val="22"/>
        </w:rPr>
        <w:t>Ravindra</w:t>
      </w:r>
      <w:r>
        <w:rPr>
          <w:spacing w:val="-4"/>
          <w:sz w:val="22"/>
        </w:rPr>
        <w:t> </w:t>
      </w:r>
      <w:r>
        <w:rPr>
          <w:spacing w:val="-6"/>
          <w:sz w:val="22"/>
        </w:rPr>
        <w:t>Bam,</w:t>
      </w:r>
      <w:r>
        <w:rPr>
          <w:spacing w:val="-4"/>
          <w:sz w:val="22"/>
        </w:rPr>
        <w:t> </w:t>
      </w:r>
      <w:r>
        <w:rPr>
          <w:spacing w:val="-6"/>
          <w:sz w:val="22"/>
        </w:rPr>
        <w:t>Ajay</w:t>
      </w:r>
      <w:r>
        <w:rPr>
          <w:spacing w:val="-8"/>
          <w:sz w:val="22"/>
        </w:rPr>
        <w:t> </w:t>
      </w:r>
      <w:r>
        <w:rPr>
          <w:spacing w:val="-6"/>
          <w:sz w:val="22"/>
        </w:rPr>
        <w:t>Windecor</w:t>
      </w:r>
    </w:p>
    <w:p>
      <w:pPr>
        <w:pStyle w:val="ListParagraph"/>
        <w:numPr>
          <w:ilvl w:val="1"/>
          <w:numId w:val="98"/>
        </w:numPr>
        <w:tabs>
          <w:tab w:pos="1560" w:val="left" w:leader="none"/>
        </w:tabs>
        <w:spacing w:line="266" w:lineRule="auto" w:before="117" w:after="0"/>
        <w:ind w:left="1560" w:right="459" w:hanging="480"/>
        <w:jc w:val="left"/>
        <w:rPr>
          <w:sz w:val="22"/>
        </w:rPr>
      </w:pPr>
      <w:r>
        <w:rPr>
          <w:spacing w:val="-6"/>
          <w:sz w:val="22"/>
        </w:rPr>
        <w:t>Mr.</w:t>
      </w:r>
      <w:r>
        <w:rPr>
          <w:spacing w:val="-8"/>
          <w:sz w:val="22"/>
        </w:rPr>
        <w:t> </w:t>
      </w:r>
      <w:r>
        <w:rPr>
          <w:spacing w:val="-6"/>
          <w:sz w:val="22"/>
        </w:rPr>
        <w:t>Vivek Sawant, Maharashtra </w:t>
      </w:r>
      <w:r>
        <w:rPr>
          <w:spacing w:val="-6"/>
          <w:sz w:val="22"/>
        </w:rPr>
        <w:t>Knowledge </w:t>
      </w:r>
      <w:r>
        <w:rPr>
          <w:sz w:val="22"/>
        </w:rPr>
        <w:t>Corporation Ltd.</w:t>
      </w:r>
    </w:p>
    <w:p>
      <w:pPr>
        <w:pStyle w:val="ListParagraph"/>
        <w:numPr>
          <w:ilvl w:val="1"/>
          <w:numId w:val="98"/>
        </w:numPr>
        <w:tabs>
          <w:tab w:pos="1559" w:val="left" w:leader="none"/>
        </w:tabs>
        <w:spacing w:line="240" w:lineRule="auto" w:before="88" w:after="0"/>
        <w:ind w:left="1559" w:right="0" w:hanging="480"/>
        <w:jc w:val="left"/>
        <w:rPr>
          <w:sz w:val="22"/>
        </w:rPr>
      </w:pPr>
      <w:r>
        <w:rPr>
          <w:spacing w:val="-4"/>
          <w:sz w:val="22"/>
        </w:rPr>
        <w:t>Mr.</w:t>
      </w:r>
      <w:r>
        <w:rPr>
          <w:spacing w:val="1"/>
          <w:sz w:val="22"/>
        </w:rPr>
        <w:t> </w:t>
      </w:r>
      <w:r>
        <w:rPr>
          <w:spacing w:val="-4"/>
          <w:sz w:val="22"/>
        </w:rPr>
        <w:t>Pravin</w:t>
      </w:r>
      <w:r>
        <w:rPr>
          <w:spacing w:val="1"/>
          <w:sz w:val="22"/>
        </w:rPr>
        <w:t> </w:t>
      </w:r>
      <w:r>
        <w:rPr>
          <w:spacing w:val="-4"/>
          <w:sz w:val="22"/>
        </w:rPr>
        <w:t>Dhole,</w:t>
      </w:r>
      <w:r>
        <w:rPr>
          <w:spacing w:val="-9"/>
          <w:sz w:val="22"/>
        </w:rPr>
        <w:t> </w:t>
      </w:r>
      <w:r>
        <w:rPr>
          <w:spacing w:val="-4"/>
          <w:sz w:val="22"/>
        </w:rPr>
        <w:t>Technofour</w:t>
      </w:r>
    </w:p>
    <w:p>
      <w:pPr>
        <w:pStyle w:val="ListParagraph"/>
        <w:numPr>
          <w:ilvl w:val="1"/>
          <w:numId w:val="98"/>
        </w:numPr>
        <w:tabs>
          <w:tab w:pos="1559" w:val="left" w:leader="none"/>
        </w:tabs>
        <w:spacing w:line="240" w:lineRule="auto" w:before="117" w:after="0"/>
        <w:ind w:left="1559" w:right="0" w:hanging="480"/>
        <w:jc w:val="left"/>
        <w:rPr>
          <w:sz w:val="22"/>
        </w:rPr>
      </w:pPr>
      <w:r>
        <w:rPr>
          <w:spacing w:val="-2"/>
          <w:sz w:val="22"/>
        </w:rPr>
        <w:t>Mr.</w:t>
      </w:r>
      <w:r>
        <w:rPr>
          <w:spacing w:val="-12"/>
          <w:sz w:val="22"/>
        </w:rPr>
        <w:t> </w:t>
      </w:r>
      <w:r>
        <w:rPr>
          <w:spacing w:val="-2"/>
          <w:sz w:val="22"/>
        </w:rPr>
        <w:t>Sunil</w:t>
      </w:r>
      <w:r>
        <w:rPr>
          <w:spacing w:val="-11"/>
          <w:sz w:val="22"/>
        </w:rPr>
        <w:t> </w:t>
      </w:r>
      <w:r>
        <w:rPr>
          <w:spacing w:val="-2"/>
          <w:sz w:val="22"/>
        </w:rPr>
        <w:t>Bhandari,</w:t>
      </w:r>
      <w:r>
        <w:rPr>
          <w:spacing w:val="-11"/>
          <w:sz w:val="22"/>
        </w:rPr>
        <w:t> </w:t>
      </w:r>
      <w:r>
        <w:rPr>
          <w:spacing w:val="-2"/>
          <w:sz w:val="22"/>
        </w:rPr>
        <w:t>Food</w:t>
      </w:r>
      <w:r>
        <w:rPr>
          <w:spacing w:val="-12"/>
          <w:sz w:val="22"/>
        </w:rPr>
        <w:t> </w:t>
      </w:r>
      <w:r>
        <w:rPr>
          <w:spacing w:val="-2"/>
          <w:sz w:val="22"/>
        </w:rPr>
        <w:t>Grade</w:t>
      </w:r>
      <w:r>
        <w:rPr>
          <w:spacing w:val="-11"/>
          <w:sz w:val="22"/>
        </w:rPr>
        <w:t> </w:t>
      </w:r>
      <w:r>
        <w:rPr>
          <w:spacing w:val="-2"/>
          <w:sz w:val="22"/>
        </w:rPr>
        <w:t>Products</w:t>
      </w:r>
    </w:p>
    <w:p>
      <w:pPr>
        <w:pStyle w:val="ListParagraph"/>
        <w:numPr>
          <w:ilvl w:val="1"/>
          <w:numId w:val="98"/>
        </w:numPr>
        <w:tabs>
          <w:tab w:pos="1559" w:val="left" w:leader="none"/>
        </w:tabs>
        <w:spacing w:line="240" w:lineRule="auto" w:before="117" w:after="0"/>
        <w:ind w:left="1559" w:right="0" w:hanging="480"/>
        <w:jc w:val="left"/>
        <w:rPr>
          <w:sz w:val="22"/>
        </w:rPr>
      </w:pPr>
      <w:r>
        <w:rPr>
          <w:spacing w:val="-4"/>
          <w:sz w:val="22"/>
        </w:rPr>
        <w:t>Mr.</w:t>
      </w:r>
      <w:r>
        <w:rPr>
          <w:spacing w:val="-8"/>
          <w:sz w:val="22"/>
        </w:rPr>
        <w:t> </w:t>
      </w:r>
      <w:r>
        <w:rPr>
          <w:spacing w:val="-4"/>
          <w:sz w:val="22"/>
        </w:rPr>
        <w:t>Raj</w:t>
      </w:r>
      <w:r>
        <w:rPr>
          <w:spacing w:val="-7"/>
          <w:sz w:val="22"/>
        </w:rPr>
        <w:t> </w:t>
      </w:r>
      <w:r>
        <w:rPr>
          <w:spacing w:val="-4"/>
          <w:sz w:val="22"/>
        </w:rPr>
        <w:t>Pathak,</w:t>
      </w:r>
      <w:r>
        <w:rPr>
          <w:spacing w:val="-7"/>
          <w:sz w:val="22"/>
        </w:rPr>
        <w:t> </w:t>
      </w:r>
      <w:r>
        <w:rPr>
          <w:spacing w:val="-4"/>
          <w:sz w:val="22"/>
        </w:rPr>
        <w:t>Akshay</w:t>
      </w:r>
      <w:r>
        <w:rPr>
          <w:spacing w:val="-7"/>
          <w:sz w:val="22"/>
        </w:rPr>
        <w:t> </w:t>
      </w:r>
      <w:r>
        <w:rPr>
          <w:spacing w:val="-4"/>
          <w:sz w:val="22"/>
        </w:rPr>
        <w:t>Urja</w:t>
      </w:r>
      <w:r>
        <w:rPr>
          <w:spacing w:val="-8"/>
          <w:sz w:val="22"/>
        </w:rPr>
        <w:t> </w:t>
      </w:r>
      <w:r>
        <w:rPr>
          <w:spacing w:val="-4"/>
          <w:sz w:val="22"/>
        </w:rPr>
        <w:t>Pvt.</w:t>
      </w:r>
      <w:r>
        <w:rPr>
          <w:spacing w:val="-7"/>
          <w:sz w:val="22"/>
        </w:rPr>
        <w:t> </w:t>
      </w:r>
      <w:r>
        <w:rPr>
          <w:spacing w:val="-4"/>
          <w:sz w:val="22"/>
        </w:rPr>
        <w:t>Limited</w:t>
      </w:r>
    </w:p>
    <w:p>
      <w:pPr>
        <w:pStyle w:val="ListParagraph"/>
        <w:numPr>
          <w:ilvl w:val="1"/>
          <w:numId w:val="98"/>
        </w:numPr>
        <w:tabs>
          <w:tab w:pos="1559" w:val="left" w:leader="none"/>
        </w:tabs>
        <w:spacing w:line="240" w:lineRule="auto" w:before="117" w:after="0"/>
        <w:ind w:left="1559" w:right="0" w:hanging="480"/>
        <w:jc w:val="left"/>
        <w:rPr>
          <w:sz w:val="22"/>
        </w:rPr>
      </w:pPr>
      <w:r>
        <w:rPr>
          <w:spacing w:val="-2"/>
          <w:sz w:val="22"/>
        </w:rPr>
        <w:t>Mr.</w:t>
      </w:r>
      <w:r>
        <w:rPr>
          <w:spacing w:val="-6"/>
          <w:sz w:val="22"/>
        </w:rPr>
        <w:t> </w:t>
      </w:r>
      <w:r>
        <w:rPr>
          <w:spacing w:val="-2"/>
          <w:sz w:val="22"/>
        </w:rPr>
        <w:t>H.M.</w:t>
      </w:r>
      <w:r>
        <w:rPr>
          <w:spacing w:val="-6"/>
          <w:sz w:val="22"/>
        </w:rPr>
        <w:t> </w:t>
      </w:r>
      <w:r>
        <w:rPr>
          <w:spacing w:val="-2"/>
          <w:sz w:val="22"/>
        </w:rPr>
        <w:t>Bakshi,</w:t>
      </w:r>
      <w:r>
        <w:rPr>
          <w:spacing w:val="-6"/>
          <w:sz w:val="22"/>
        </w:rPr>
        <w:t> </w:t>
      </w:r>
      <w:r>
        <w:rPr>
          <w:spacing w:val="-2"/>
          <w:sz w:val="22"/>
        </w:rPr>
        <w:t>Innova</w:t>
      </w:r>
      <w:r>
        <w:rPr>
          <w:spacing w:val="-5"/>
          <w:sz w:val="22"/>
        </w:rPr>
        <w:t> </w:t>
      </w:r>
      <w:r>
        <w:rPr>
          <w:spacing w:val="-4"/>
          <w:sz w:val="22"/>
        </w:rPr>
        <w:t>Group</w:t>
      </w:r>
    </w:p>
    <w:p>
      <w:pPr>
        <w:pStyle w:val="ListParagraph"/>
        <w:numPr>
          <w:ilvl w:val="1"/>
          <w:numId w:val="98"/>
        </w:numPr>
        <w:tabs>
          <w:tab w:pos="1560" w:val="left" w:leader="none"/>
        </w:tabs>
        <w:spacing w:line="266" w:lineRule="auto" w:before="117" w:after="0"/>
        <w:ind w:left="1560" w:right="566" w:hanging="480"/>
        <w:jc w:val="left"/>
        <w:rPr>
          <w:sz w:val="22"/>
        </w:rPr>
      </w:pPr>
      <w:r>
        <w:rPr>
          <w:spacing w:val="-6"/>
          <w:sz w:val="22"/>
        </w:rPr>
        <w:t>Mr.</w:t>
      </w:r>
      <w:r>
        <w:rPr>
          <w:spacing w:val="-8"/>
          <w:sz w:val="22"/>
        </w:rPr>
        <w:t> </w:t>
      </w:r>
      <w:r>
        <w:rPr>
          <w:spacing w:val="-6"/>
          <w:sz w:val="22"/>
        </w:rPr>
        <w:t>Firoz</w:t>
      </w:r>
      <w:r>
        <w:rPr>
          <w:spacing w:val="-7"/>
          <w:sz w:val="22"/>
        </w:rPr>
        <w:t> </w:t>
      </w:r>
      <w:r>
        <w:rPr>
          <w:spacing w:val="-6"/>
          <w:sz w:val="22"/>
        </w:rPr>
        <w:t>Poonawalla,</w:t>
      </w:r>
      <w:r>
        <w:rPr>
          <w:spacing w:val="-8"/>
          <w:sz w:val="22"/>
        </w:rPr>
        <w:t> </w:t>
      </w:r>
      <w:r>
        <w:rPr>
          <w:spacing w:val="-6"/>
          <w:sz w:val="22"/>
        </w:rPr>
        <w:t>Fila</w:t>
      </w:r>
      <w:r>
        <w:rPr>
          <w:spacing w:val="-7"/>
          <w:sz w:val="22"/>
        </w:rPr>
        <w:t> </w:t>
      </w:r>
      <w:r>
        <w:rPr>
          <w:spacing w:val="-6"/>
          <w:sz w:val="22"/>
        </w:rPr>
        <w:t>Rozil</w:t>
      </w:r>
      <w:r>
        <w:rPr>
          <w:spacing w:val="-8"/>
          <w:sz w:val="22"/>
        </w:rPr>
        <w:t> </w:t>
      </w:r>
      <w:r>
        <w:rPr>
          <w:spacing w:val="-6"/>
          <w:sz w:val="22"/>
        </w:rPr>
        <w:t>Exporters </w:t>
      </w:r>
      <w:r>
        <w:rPr>
          <w:sz w:val="22"/>
        </w:rPr>
        <w:t>Pvt. Ltd.</w:t>
      </w:r>
    </w:p>
    <w:p>
      <w:pPr>
        <w:pStyle w:val="ListParagraph"/>
        <w:numPr>
          <w:ilvl w:val="1"/>
          <w:numId w:val="98"/>
        </w:numPr>
        <w:tabs>
          <w:tab w:pos="1560" w:val="left" w:leader="none"/>
        </w:tabs>
        <w:spacing w:line="266" w:lineRule="auto" w:before="88" w:after="0"/>
        <w:ind w:left="1560" w:right="1292" w:hanging="480"/>
        <w:jc w:val="left"/>
        <w:rPr>
          <w:sz w:val="22"/>
        </w:rPr>
      </w:pPr>
      <w:r>
        <w:rPr>
          <w:spacing w:val="-4"/>
          <w:sz w:val="22"/>
        </w:rPr>
        <w:t>Dr.</w:t>
      </w:r>
      <w:r>
        <w:rPr>
          <w:spacing w:val="-10"/>
          <w:sz w:val="22"/>
        </w:rPr>
        <w:t> </w:t>
      </w:r>
      <w:r>
        <w:rPr>
          <w:spacing w:val="-4"/>
          <w:sz w:val="22"/>
        </w:rPr>
        <w:t>Ashish</w:t>
      </w:r>
      <w:r>
        <w:rPr>
          <w:spacing w:val="-10"/>
          <w:sz w:val="22"/>
        </w:rPr>
        <w:t> </w:t>
      </w:r>
      <w:r>
        <w:rPr>
          <w:spacing w:val="-4"/>
          <w:sz w:val="22"/>
        </w:rPr>
        <w:t>Dhawad,</w:t>
      </w:r>
      <w:r>
        <w:rPr>
          <w:spacing w:val="-10"/>
          <w:sz w:val="22"/>
        </w:rPr>
        <w:t> </w:t>
      </w:r>
      <w:r>
        <w:rPr>
          <w:spacing w:val="-4"/>
          <w:sz w:val="22"/>
        </w:rPr>
        <w:t>Medsynaptic </w:t>
      </w:r>
      <w:r>
        <w:rPr>
          <w:sz w:val="22"/>
        </w:rPr>
        <w:t>Pvt. Ltd.</w:t>
      </w:r>
    </w:p>
    <w:p>
      <w:pPr>
        <w:pStyle w:val="ListParagraph"/>
        <w:numPr>
          <w:ilvl w:val="1"/>
          <w:numId w:val="98"/>
        </w:numPr>
        <w:tabs>
          <w:tab w:pos="1560" w:val="left" w:leader="none"/>
        </w:tabs>
        <w:spacing w:line="266" w:lineRule="auto" w:before="89" w:after="0"/>
        <w:ind w:left="1560" w:right="1223" w:hanging="480"/>
        <w:jc w:val="left"/>
        <w:rPr>
          <w:sz w:val="22"/>
        </w:rPr>
      </w:pPr>
      <w:r>
        <w:rPr>
          <w:spacing w:val="-4"/>
          <w:sz w:val="22"/>
        </w:rPr>
        <w:t>Dr.</w:t>
      </w:r>
      <w:r>
        <w:rPr>
          <w:spacing w:val="-10"/>
          <w:sz w:val="22"/>
        </w:rPr>
        <w:t> </w:t>
      </w:r>
      <w:r>
        <w:rPr>
          <w:spacing w:val="-4"/>
          <w:sz w:val="22"/>
        </w:rPr>
        <w:t>Prashant</w:t>
      </w:r>
      <w:r>
        <w:rPr>
          <w:spacing w:val="-10"/>
          <w:sz w:val="22"/>
        </w:rPr>
        <w:t> </w:t>
      </w:r>
      <w:r>
        <w:rPr>
          <w:spacing w:val="-4"/>
          <w:sz w:val="22"/>
        </w:rPr>
        <w:t>Lahane,</w:t>
      </w:r>
      <w:r>
        <w:rPr>
          <w:spacing w:val="-10"/>
          <w:sz w:val="22"/>
        </w:rPr>
        <w:t> </w:t>
      </w:r>
      <w:r>
        <w:rPr>
          <w:spacing w:val="-4"/>
          <w:sz w:val="22"/>
        </w:rPr>
        <w:t>Medsynaptic </w:t>
      </w:r>
      <w:r>
        <w:rPr>
          <w:sz w:val="22"/>
        </w:rPr>
        <w:t>Pvt. Ltd.</w:t>
      </w:r>
    </w:p>
    <w:p>
      <w:pPr>
        <w:pStyle w:val="ListParagraph"/>
        <w:numPr>
          <w:ilvl w:val="1"/>
          <w:numId w:val="98"/>
        </w:numPr>
        <w:tabs>
          <w:tab w:pos="1560" w:val="left" w:leader="none"/>
        </w:tabs>
        <w:spacing w:line="266" w:lineRule="auto" w:before="88" w:after="0"/>
        <w:ind w:left="1560" w:right="0" w:hanging="480"/>
        <w:jc w:val="left"/>
        <w:rPr>
          <w:sz w:val="22"/>
        </w:rPr>
      </w:pPr>
      <w:r>
        <w:rPr>
          <w:spacing w:val="-4"/>
          <w:sz w:val="22"/>
        </w:rPr>
        <w:t>Mr.</w:t>
      </w:r>
      <w:r>
        <w:rPr>
          <w:spacing w:val="-10"/>
          <w:sz w:val="22"/>
        </w:rPr>
        <w:t> </w:t>
      </w:r>
      <w:r>
        <w:rPr>
          <w:spacing w:val="-4"/>
          <w:sz w:val="22"/>
        </w:rPr>
        <w:t>Anil</w:t>
      </w:r>
      <w:r>
        <w:rPr>
          <w:spacing w:val="-10"/>
          <w:sz w:val="22"/>
        </w:rPr>
        <w:t> </w:t>
      </w:r>
      <w:r>
        <w:rPr>
          <w:spacing w:val="-4"/>
          <w:sz w:val="22"/>
        </w:rPr>
        <w:t>Deshpande,</w:t>
      </w:r>
      <w:r>
        <w:rPr>
          <w:spacing w:val="-10"/>
          <w:sz w:val="22"/>
        </w:rPr>
        <w:t> </w:t>
      </w:r>
      <w:r>
        <w:rPr>
          <w:spacing w:val="-4"/>
          <w:sz w:val="22"/>
        </w:rPr>
        <w:t>Atul</w:t>
      </w:r>
      <w:r>
        <w:rPr>
          <w:spacing w:val="-9"/>
          <w:sz w:val="22"/>
        </w:rPr>
        <w:t> </w:t>
      </w:r>
      <w:r>
        <w:rPr>
          <w:spacing w:val="-4"/>
          <w:sz w:val="22"/>
        </w:rPr>
        <w:t>Electroformers</w:t>
      </w:r>
      <w:r>
        <w:rPr>
          <w:spacing w:val="-10"/>
          <w:sz w:val="22"/>
        </w:rPr>
        <w:t> </w:t>
      </w:r>
      <w:r>
        <w:rPr>
          <w:spacing w:val="-4"/>
          <w:sz w:val="22"/>
        </w:rPr>
        <w:t>Private </w:t>
      </w:r>
      <w:r>
        <w:rPr>
          <w:spacing w:val="-2"/>
          <w:sz w:val="22"/>
        </w:rPr>
        <w:t>Limited</w:t>
      </w:r>
    </w:p>
    <w:p>
      <w:pPr>
        <w:pStyle w:val="ListParagraph"/>
        <w:numPr>
          <w:ilvl w:val="1"/>
          <w:numId w:val="98"/>
        </w:numPr>
        <w:tabs>
          <w:tab w:pos="1559" w:val="left" w:leader="none"/>
        </w:tabs>
        <w:spacing w:line="240" w:lineRule="auto" w:before="89" w:after="0"/>
        <w:ind w:left="1559" w:right="0" w:hanging="479"/>
        <w:jc w:val="left"/>
        <w:rPr>
          <w:b/>
          <w:i/>
          <w:sz w:val="22"/>
        </w:rPr>
      </w:pPr>
      <w:r>
        <w:rPr>
          <w:spacing w:val="-2"/>
          <w:sz w:val="22"/>
        </w:rPr>
        <w:t>Mr.</w:t>
      </w:r>
      <w:r>
        <w:rPr>
          <w:spacing w:val="-6"/>
          <w:sz w:val="22"/>
        </w:rPr>
        <w:t> </w:t>
      </w:r>
      <w:r>
        <w:rPr>
          <w:spacing w:val="-2"/>
          <w:sz w:val="22"/>
        </w:rPr>
        <w:t>Partha</w:t>
      </w:r>
      <w:r>
        <w:rPr>
          <w:spacing w:val="-6"/>
          <w:sz w:val="22"/>
        </w:rPr>
        <w:t> </w:t>
      </w:r>
      <w:r>
        <w:rPr>
          <w:spacing w:val="-2"/>
          <w:sz w:val="22"/>
        </w:rPr>
        <w:t>Das,</w:t>
      </w:r>
      <w:r>
        <w:rPr>
          <w:spacing w:val="-6"/>
          <w:sz w:val="22"/>
        </w:rPr>
        <w:t> </w:t>
      </w:r>
      <w:r>
        <w:rPr>
          <w:spacing w:val="-2"/>
          <w:sz w:val="22"/>
        </w:rPr>
        <w:t>Partha</w:t>
      </w:r>
      <w:r>
        <w:rPr>
          <w:spacing w:val="-5"/>
          <w:sz w:val="22"/>
        </w:rPr>
        <w:t> </w:t>
      </w:r>
      <w:r>
        <w:rPr>
          <w:spacing w:val="-2"/>
          <w:sz w:val="22"/>
        </w:rPr>
        <w:t>Das</w:t>
      </w:r>
      <w:r>
        <w:rPr>
          <w:spacing w:val="-6"/>
          <w:sz w:val="22"/>
        </w:rPr>
        <w:t> </w:t>
      </w:r>
      <w:r>
        <w:rPr>
          <w:spacing w:val="-2"/>
          <w:sz w:val="22"/>
        </w:rPr>
        <w:t>and</w:t>
      </w:r>
      <w:r>
        <w:rPr>
          <w:spacing w:val="-6"/>
          <w:sz w:val="22"/>
        </w:rPr>
        <w:t> </w:t>
      </w:r>
      <w:r>
        <w:rPr>
          <w:spacing w:val="-2"/>
          <w:sz w:val="22"/>
        </w:rPr>
        <w:t>Associates</w:t>
      </w:r>
    </w:p>
    <w:p>
      <w:pPr>
        <w:pStyle w:val="ListParagraph"/>
        <w:numPr>
          <w:ilvl w:val="1"/>
          <w:numId w:val="98"/>
        </w:numPr>
        <w:tabs>
          <w:tab w:pos="1559" w:val="left" w:leader="none"/>
        </w:tabs>
        <w:spacing w:line="240" w:lineRule="auto" w:before="117" w:after="0"/>
        <w:ind w:left="1559" w:right="0" w:hanging="479"/>
        <w:jc w:val="left"/>
        <w:rPr>
          <w:sz w:val="22"/>
        </w:rPr>
      </w:pPr>
      <w:r>
        <w:rPr>
          <w:spacing w:val="-6"/>
          <w:sz w:val="22"/>
        </w:rPr>
        <w:t>Dr.</w:t>
      </w:r>
      <w:r>
        <w:rPr>
          <w:spacing w:val="-8"/>
          <w:sz w:val="22"/>
        </w:rPr>
        <w:t> </w:t>
      </w:r>
      <w:r>
        <w:rPr>
          <w:spacing w:val="-6"/>
          <w:sz w:val="22"/>
        </w:rPr>
        <w:t>Aloke</w:t>
      </w:r>
      <w:r>
        <w:rPr>
          <w:spacing w:val="-7"/>
          <w:sz w:val="22"/>
        </w:rPr>
        <w:t> </w:t>
      </w:r>
      <w:r>
        <w:rPr>
          <w:spacing w:val="-6"/>
          <w:sz w:val="22"/>
        </w:rPr>
        <w:t>Roy,</w:t>
      </w:r>
      <w:r>
        <w:rPr>
          <w:spacing w:val="-7"/>
          <w:sz w:val="22"/>
        </w:rPr>
        <w:t> </w:t>
      </w:r>
      <w:r>
        <w:rPr>
          <w:spacing w:val="-6"/>
          <w:sz w:val="22"/>
        </w:rPr>
        <w:t>Medica</w:t>
      </w:r>
      <w:r>
        <w:rPr>
          <w:spacing w:val="-7"/>
          <w:sz w:val="22"/>
        </w:rPr>
        <w:t> </w:t>
      </w:r>
      <w:r>
        <w:rPr>
          <w:spacing w:val="-6"/>
          <w:sz w:val="22"/>
        </w:rPr>
        <w:t>Synergie</w:t>
      </w:r>
    </w:p>
    <w:p>
      <w:pPr>
        <w:pStyle w:val="ListParagraph"/>
        <w:numPr>
          <w:ilvl w:val="1"/>
          <w:numId w:val="98"/>
        </w:numPr>
        <w:tabs>
          <w:tab w:pos="1560" w:val="left" w:leader="none"/>
        </w:tabs>
        <w:spacing w:line="266" w:lineRule="auto" w:before="117" w:after="0"/>
        <w:ind w:left="1560" w:right="1072" w:hanging="480"/>
        <w:jc w:val="left"/>
        <w:rPr>
          <w:sz w:val="22"/>
        </w:rPr>
      </w:pPr>
      <w:r>
        <w:rPr>
          <w:spacing w:val="-2"/>
          <w:sz w:val="22"/>
        </w:rPr>
        <w:t>Mr.</w:t>
      </w:r>
      <w:r>
        <w:rPr>
          <w:spacing w:val="-12"/>
          <w:sz w:val="22"/>
        </w:rPr>
        <w:t> </w:t>
      </w:r>
      <w:r>
        <w:rPr>
          <w:spacing w:val="-2"/>
          <w:sz w:val="22"/>
        </w:rPr>
        <w:t>Amit</w:t>
      </w:r>
      <w:r>
        <w:rPr>
          <w:spacing w:val="-12"/>
          <w:sz w:val="22"/>
        </w:rPr>
        <w:t> </w:t>
      </w:r>
      <w:r>
        <w:rPr>
          <w:spacing w:val="-2"/>
          <w:sz w:val="22"/>
        </w:rPr>
        <w:t>Dastidar</w:t>
      </w:r>
      <w:r>
        <w:rPr>
          <w:spacing w:val="-12"/>
          <w:sz w:val="22"/>
        </w:rPr>
        <w:t> </w:t>
      </w:r>
      <w:r>
        <w:rPr>
          <w:spacing w:val="-2"/>
          <w:sz w:val="22"/>
        </w:rPr>
        <w:t>and</w:t>
      </w:r>
      <w:r>
        <w:rPr>
          <w:spacing w:val="-11"/>
          <w:sz w:val="22"/>
        </w:rPr>
        <w:t> </w:t>
      </w:r>
      <w:r>
        <w:rPr>
          <w:spacing w:val="-2"/>
          <w:sz w:val="22"/>
        </w:rPr>
        <w:t>Mr.</w:t>
      </w:r>
      <w:r>
        <w:rPr>
          <w:spacing w:val="-12"/>
          <w:sz w:val="22"/>
        </w:rPr>
        <w:t> </w:t>
      </w:r>
      <w:r>
        <w:rPr>
          <w:spacing w:val="-2"/>
          <w:sz w:val="22"/>
        </w:rPr>
        <w:t>Subhajit </w:t>
      </w:r>
      <w:r>
        <w:rPr>
          <w:sz w:val="22"/>
        </w:rPr>
        <w:t>Bhattacharya,</w:t>
      </w:r>
      <w:r>
        <w:rPr>
          <w:spacing w:val="-14"/>
          <w:sz w:val="22"/>
        </w:rPr>
        <w:t> </w:t>
      </w:r>
      <w:r>
        <w:rPr>
          <w:sz w:val="22"/>
        </w:rPr>
        <w:t>The</w:t>
      </w:r>
      <w:r>
        <w:rPr>
          <w:spacing w:val="-14"/>
          <w:sz w:val="22"/>
        </w:rPr>
        <w:t> </w:t>
      </w:r>
      <w:r>
        <w:rPr>
          <w:sz w:val="22"/>
        </w:rPr>
        <w:t>Event</w:t>
      </w:r>
      <w:r>
        <w:rPr>
          <w:spacing w:val="-14"/>
          <w:sz w:val="22"/>
        </w:rPr>
        <w:t> </w:t>
      </w:r>
      <w:r>
        <w:rPr>
          <w:sz w:val="22"/>
        </w:rPr>
        <w:t>Managers</w:t>
      </w:r>
    </w:p>
    <w:p>
      <w:pPr>
        <w:pStyle w:val="ListParagraph"/>
        <w:numPr>
          <w:ilvl w:val="1"/>
          <w:numId w:val="98"/>
        </w:numPr>
        <w:tabs>
          <w:tab w:pos="1560" w:val="left" w:leader="none"/>
        </w:tabs>
        <w:spacing w:line="266" w:lineRule="auto" w:before="88" w:after="0"/>
        <w:ind w:left="1560" w:right="114" w:hanging="480"/>
        <w:jc w:val="left"/>
        <w:rPr>
          <w:sz w:val="22"/>
        </w:rPr>
      </w:pPr>
      <w:r>
        <w:rPr>
          <w:spacing w:val="-6"/>
          <w:sz w:val="22"/>
        </w:rPr>
        <w:t>Mr. Sourav Chakraborty, Aunwesha </w:t>
      </w:r>
      <w:r>
        <w:rPr>
          <w:spacing w:val="-6"/>
          <w:sz w:val="22"/>
        </w:rPr>
        <w:t>Knowledge </w:t>
      </w:r>
      <w:r>
        <w:rPr>
          <w:sz w:val="22"/>
        </w:rPr>
        <w:t>Technologies Pvt. Ltd.</w:t>
      </w:r>
    </w:p>
    <w:p>
      <w:pPr>
        <w:pStyle w:val="ListParagraph"/>
        <w:numPr>
          <w:ilvl w:val="1"/>
          <w:numId w:val="98"/>
        </w:numPr>
        <w:tabs>
          <w:tab w:pos="1560" w:val="left" w:leader="none"/>
        </w:tabs>
        <w:spacing w:line="266" w:lineRule="auto" w:before="88" w:after="0"/>
        <w:ind w:left="1560" w:right="732" w:hanging="480"/>
        <w:jc w:val="left"/>
        <w:rPr>
          <w:sz w:val="22"/>
        </w:rPr>
      </w:pPr>
      <w:r>
        <w:rPr>
          <w:spacing w:val="-2"/>
          <w:sz w:val="22"/>
        </w:rPr>
        <w:t>Mr.</w:t>
      </w:r>
      <w:r>
        <w:rPr>
          <w:spacing w:val="-12"/>
          <w:sz w:val="22"/>
        </w:rPr>
        <w:t> </w:t>
      </w:r>
      <w:r>
        <w:rPr>
          <w:spacing w:val="-2"/>
          <w:sz w:val="22"/>
        </w:rPr>
        <w:t>Siddharth</w:t>
      </w:r>
      <w:r>
        <w:rPr>
          <w:spacing w:val="-12"/>
          <w:sz w:val="22"/>
        </w:rPr>
        <w:t> </w:t>
      </w:r>
      <w:r>
        <w:rPr>
          <w:spacing w:val="-2"/>
          <w:sz w:val="22"/>
        </w:rPr>
        <w:t>Pansari,</w:t>
      </w:r>
      <w:r>
        <w:rPr>
          <w:spacing w:val="-12"/>
          <w:sz w:val="22"/>
        </w:rPr>
        <w:t> </w:t>
      </w:r>
      <w:r>
        <w:rPr>
          <w:spacing w:val="-2"/>
          <w:sz w:val="22"/>
        </w:rPr>
        <w:t>Pansari</w:t>
      </w:r>
      <w:r>
        <w:rPr>
          <w:spacing w:val="-11"/>
          <w:sz w:val="22"/>
        </w:rPr>
        <w:t> </w:t>
      </w:r>
      <w:r>
        <w:rPr>
          <w:spacing w:val="-2"/>
          <w:sz w:val="22"/>
        </w:rPr>
        <w:t>Group</w:t>
      </w:r>
      <w:r>
        <w:rPr>
          <w:spacing w:val="-12"/>
          <w:sz w:val="22"/>
        </w:rPr>
        <w:t> </w:t>
      </w:r>
      <w:r>
        <w:rPr>
          <w:spacing w:val="-2"/>
          <w:sz w:val="22"/>
        </w:rPr>
        <w:t>of Enterprises</w:t>
      </w:r>
    </w:p>
    <w:p>
      <w:pPr>
        <w:pStyle w:val="ListParagraph"/>
        <w:numPr>
          <w:ilvl w:val="1"/>
          <w:numId w:val="98"/>
        </w:numPr>
        <w:tabs>
          <w:tab w:pos="846" w:val="left" w:leader="none"/>
        </w:tabs>
        <w:spacing w:line="240" w:lineRule="auto" w:before="77" w:after="0"/>
        <w:ind w:left="846" w:right="0" w:hanging="480"/>
        <w:jc w:val="left"/>
        <w:rPr>
          <w:sz w:val="22"/>
        </w:rPr>
      </w:pPr>
      <w:r>
        <w:rPr/>
        <w:br w:type="column"/>
      </w:r>
      <w:r>
        <w:rPr>
          <w:spacing w:val="-2"/>
          <w:sz w:val="22"/>
        </w:rPr>
        <w:t>Mr.</w:t>
      </w:r>
      <w:r>
        <w:rPr>
          <w:spacing w:val="-12"/>
          <w:sz w:val="22"/>
        </w:rPr>
        <w:t> </w:t>
      </w:r>
      <w:r>
        <w:rPr>
          <w:spacing w:val="-2"/>
          <w:sz w:val="22"/>
        </w:rPr>
        <w:t>Anjan</w:t>
      </w:r>
      <w:r>
        <w:rPr>
          <w:spacing w:val="-12"/>
          <w:sz w:val="22"/>
        </w:rPr>
        <w:t> </w:t>
      </w:r>
      <w:r>
        <w:rPr>
          <w:spacing w:val="-2"/>
          <w:sz w:val="22"/>
        </w:rPr>
        <w:t>Ghosh,</w:t>
      </w:r>
      <w:r>
        <w:rPr>
          <w:spacing w:val="-11"/>
          <w:sz w:val="22"/>
        </w:rPr>
        <w:t> </w:t>
      </w:r>
      <w:r>
        <w:rPr>
          <w:spacing w:val="-2"/>
          <w:sz w:val="22"/>
        </w:rPr>
        <w:t>Kol</w:t>
      </w:r>
      <w:r>
        <w:rPr>
          <w:spacing w:val="-11"/>
          <w:sz w:val="22"/>
        </w:rPr>
        <w:t> </w:t>
      </w:r>
      <w:r>
        <w:rPr>
          <w:spacing w:val="-5"/>
          <w:sz w:val="22"/>
        </w:rPr>
        <w:t>Web</w:t>
      </w:r>
    </w:p>
    <w:p>
      <w:pPr>
        <w:pStyle w:val="ListParagraph"/>
        <w:numPr>
          <w:ilvl w:val="1"/>
          <w:numId w:val="98"/>
        </w:numPr>
        <w:tabs>
          <w:tab w:pos="846" w:val="left" w:leader="none"/>
        </w:tabs>
        <w:spacing w:line="264" w:lineRule="auto" w:before="115" w:after="0"/>
        <w:ind w:left="846" w:right="1464" w:hanging="480"/>
        <w:jc w:val="left"/>
        <w:rPr>
          <w:sz w:val="22"/>
        </w:rPr>
      </w:pPr>
      <w:r>
        <w:rPr>
          <w:spacing w:val="-4"/>
          <w:sz w:val="22"/>
        </w:rPr>
        <w:t>Mr.</w:t>
      </w:r>
      <w:r>
        <w:rPr>
          <w:spacing w:val="-9"/>
          <w:sz w:val="22"/>
        </w:rPr>
        <w:t> </w:t>
      </w:r>
      <w:r>
        <w:rPr>
          <w:spacing w:val="-4"/>
          <w:sz w:val="22"/>
        </w:rPr>
        <w:t>Jhelum</w:t>
      </w:r>
      <w:r>
        <w:rPr>
          <w:spacing w:val="-9"/>
          <w:sz w:val="22"/>
        </w:rPr>
        <w:t> </w:t>
      </w:r>
      <w:r>
        <w:rPr>
          <w:spacing w:val="-4"/>
          <w:sz w:val="22"/>
        </w:rPr>
        <w:t>Chowdhry,</w:t>
      </w:r>
      <w:r>
        <w:rPr>
          <w:spacing w:val="-9"/>
          <w:sz w:val="22"/>
        </w:rPr>
        <w:t> </w:t>
      </w:r>
      <w:r>
        <w:rPr>
          <w:spacing w:val="-4"/>
          <w:sz w:val="22"/>
        </w:rPr>
        <w:t>Crystal</w:t>
      </w:r>
      <w:r>
        <w:rPr>
          <w:spacing w:val="-9"/>
          <w:sz w:val="22"/>
        </w:rPr>
        <w:t> </w:t>
      </w:r>
      <w:r>
        <w:rPr>
          <w:spacing w:val="-4"/>
          <w:sz w:val="22"/>
        </w:rPr>
        <w:t>Research</w:t>
      </w:r>
      <w:r>
        <w:rPr>
          <w:spacing w:val="-9"/>
          <w:sz w:val="22"/>
        </w:rPr>
        <w:t> </w:t>
      </w:r>
      <w:r>
        <w:rPr>
          <w:spacing w:val="-4"/>
          <w:sz w:val="22"/>
        </w:rPr>
        <w:t>and </w:t>
      </w:r>
      <w:r>
        <w:rPr>
          <w:sz w:val="22"/>
        </w:rPr>
        <w:t>Consulting Pvt. Ltd.</w:t>
      </w:r>
    </w:p>
    <w:p>
      <w:pPr>
        <w:pStyle w:val="ListParagraph"/>
        <w:numPr>
          <w:ilvl w:val="1"/>
          <w:numId w:val="98"/>
        </w:numPr>
        <w:tabs>
          <w:tab w:pos="846" w:val="left" w:leader="none"/>
        </w:tabs>
        <w:spacing w:line="240" w:lineRule="auto" w:before="90" w:after="0"/>
        <w:ind w:left="846" w:right="0" w:hanging="480"/>
        <w:jc w:val="left"/>
        <w:rPr>
          <w:sz w:val="22"/>
        </w:rPr>
      </w:pPr>
      <w:r>
        <w:rPr>
          <w:spacing w:val="-4"/>
          <w:sz w:val="22"/>
        </w:rPr>
        <w:t>Ms.</w:t>
      </w:r>
      <w:r>
        <w:rPr>
          <w:spacing w:val="-1"/>
          <w:sz w:val="22"/>
        </w:rPr>
        <w:t> </w:t>
      </w:r>
      <w:r>
        <w:rPr>
          <w:spacing w:val="-4"/>
          <w:sz w:val="22"/>
        </w:rPr>
        <w:t>Sunira</w:t>
      </w:r>
      <w:r>
        <w:rPr>
          <w:spacing w:val="-1"/>
          <w:sz w:val="22"/>
        </w:rPr>
        <w:t> </w:t>
      </w:r>
      <w:r>
        <w:rPr>
          <w:spacing w:val="-4"/>
          <w:sz w:val="22"/>
        </w:rPr>
        <w:t>Chamaria,</w:t>
      </w:r>
      <w:r>
        <w:rPr>
          <w:spacing w:val="-1"/>
          <w:sz w:val="22"/>
        </w:rPr>
        <w:t> </w:t>
      </w:r>
      <w:r>
        <w:rPr>
          <w:spacing w:val="-4"/>
          <w:sz w:val="22"/>
        </w:rPr>
        <w:t>Sunira</w:t>
      </w:r>
      <w:r>
        <w:rPr>
          <w:spacing w:val="-1"/>
          <w:sz w:val="22"/>
        </w:rPr>
        <w:t> </w:t>
      </w:r>
      <w:r>
        <w:rPr>
          <w:spacing w:val="-4"/>
          <w:sz w:val="22"/>
        </w:rPr>
        <w:t>Foods</w:t>
      </w:r>
    </w:p>
    <w:p>
      <w:pPr>
        <w:pStyle w:val="ListParagraph"/>
        <w:numPr>
          <w:ilvl w:val="1"/>
          <w:numId w:val="98"/>
        </w:numPr>
        <w:tabs>
          <w:tab w:pos="846" w:val="left" w:leader="none"/>
        </w:tabs>
        <w:spacing w:line="240" w:lineRule="auto" w:before="115" w:after="0"/>
        <w:ind w:left="846" w:right="0" w:hanging="480"/>
        <w:jc w:val="left"/>
        <w:rPr>
          <w:sz w:val="22"/>
        </w:rPr>
      </w:pPr>
      <w:r>
        <w:rPr>
          <w:spacing w:val="-6"/>
          <w:sz w:val="22"/>
        </w:rPr>
        <w:t>Mr.</w:t>
      </w:r>
      <w:r>
        <w:rPr>
          <w:spacing w:val="-8"/>
          <w:sz w:val="22"/>
        </w:rPr>
        <w:t> </w:t>
      </w:r>
      <w:r>
        <w:rPr>
          <w:spacing w:val="-6"/>
          <w:sz w:val="22"/>
        </w:rPr>
        <w:t>Arun</w:t>
      </w:r>
      <w:r>
        <w:rPr>
          <w:spacing w:val="-8"/>
          <w:sz w:val="22"/>
        </w:rPr>
        <w:t> </w:t>
      </w:r>
      <w:r>
        <w:rPr>
          <w:spacing w:val="-6"/>
          <w:sz w:val="22"/>
        </w:rPr>
        <w:t>Lohia,</w:t>
      </w:r>
      <w:r>
        <w:rPr>
          <w:spacing w:val="-8"/>
          <w:sz w:val="22"/>
        </w:rPr>
        <w:t> </w:t>
      </w:r>
      <w:r>
        <w:rPr>
          <w:spacing w:val="-6"/>
          <w:sz w:val="22"/>
        </w:rPr>
        <w:t>Alliance</w:t>
      </w:r>
      <w:r>
        <w:rPr>
          <w:spacing w:val="-7"/>
          <w:sz w:val="22"/>
        </w:rPr>
        <w:t> </w:t>
      </w:r>
      <w:r>
        <w:rPr>
          <w:spacing w:val="-6"/>
          <w:sz w:val="22"/>
        </w:rPr>
        <w:t>Mills</w:t>
      </w:r>
      <w:r>
        <w:rPr>
          <w:spacing w:val="-8"/>
          <w:sz w:val="22"/>
        </w:rPr>
        <w:t> </w:t>
      </w:r>
      <w:r>
        <w:rPr>
          <w:spacing w:val="-6"/>
          <w:sz w:val="22"/>
        </w:rPr>
        <w:t>(Lessees)</w:t>
      </w:r>
      <w:r>
        <w:rPr>
          <w:spacing w:val="-8"/>
          <w:sz w:val="22"/>
        </w:rPr>
        <w:t> </w:t>
      </w:r>
      <w:r>
        <w:rPr>
          <w:spacing w:val="-6"/>
          <w:sz w:val="22"/>
        </w:rPr>
        <w:t>Ltd.</w:t>
      </w:r>
    </w:p>
    <w:p>
      <w:pPr>
        <w:pStyle w:val="ListParagraph"/>
        <w:numPr>
          <w:ilvl w:val="1"/>
          <w:numId w:val="98"/>
        </w:numPr>
        <w:tabs>
          <w:tab w:pos="846" w:val="left" w:leader="none"/>
        </w:tabs>
        <w:spacing w:line="240" w:lineRule="auto" w:before="115" w:after="0"/>
        <w:ind w:left="846" w:right="0" w:hanging="480"/>
        <w:jc w:val="left"/>
        <w:rPr>
          <w:sz w:val="22"/>
        </w:rPr>
      </w:pPr>
      <w:r>
        <w:rPr>
          <w:spacing w:val="-4"/>
          <w:sz w:val="22"/>
        </w:rPr>
        <w:t>Mr.</w:t>
      </w:r>
      <w:r>
        <w:rPr>
          <w:spacing w:val="-5"/>
          <w:sz w:val="22"/>
        </w:rPr>
        <w:t> </w:t>
      </w:r>
      <w:r>
        <w:rPr>
          <w:spacing w:val="-4"/>
          <w:sz w:val="22"/>
        </w:rPr>
        <w:t>Rajiv Poddar, Smartpower Computer Centre</w:t>
      </w:r>
    </w:p>
    <w:p>
      <w:pPr>
        <w:pStyle w:val="ListParagraph"/>
        <w:numPr>
          <w:ilvl w:val="1"/>
          <w:numId w:val="98"/>
        </w:numPr>
        <w:tabs>
          <w:tab w:pos="846" w:val="left" w:leader="none"/>
        </w:tabs>
        <w:spacing w:line="240" w:lineRule="auto" w:before="115" w:after="0"/>
        <w:ind w:left="846" w:right="0" w:hanging="480"/>
        <w:jc w:val="left"/>
        <w:rPr>
          <w:sz w:val="22"/>
        </w:rPr>
      </w:pPr>
      <w:r>
        <w:rPr>
          <w:spacing w:val="-2"/>
          <w:sz w:val="22"/>
        </w:rPr>
        <w:t>Mr.</w:t>
      </w:r>
      <w:r>
        <w:rPr>
          <w:spacing w:val="-7"/>
          <w:sz w:val="22"/>
        </w:rPr>
        <w:t> </w:t>
      </w:r>
      <w:r>
        <w:rPr>
          <w:spacing w:val="-2"/>
          <w:sz w:val="22"/>
        </w:rPr>
        <w:t>Namit</w:t>
      </w:r>
      <w:r>
        <w:rPr>
          <w:spacing w:val="-7"/>
          <w:sz w:val="22"/>
        </w:rPr>
        <w:t> </w:t>
      </w:r>
      <w:r>
        <w:rPr>
          <w:spacing w:val="-2"/>
          <w:sz w:val="22"/>
        </w:rPr>
        <w:t>Shah,</w:t>
      </w:r>
      <w:r>
        <w:rPr>
          <w:spacing w:val="-6"/>
          <w:sz w:val="22"/>
        </w:rPr>
        <w:t> </w:t>
      </w:r>
      <w:r>
        <w:rPr>
          <w:spacing w:val="-2"/>
          <w:sz w:val="22"/>
        </w:rPr>
        <w:t>Harley</w:t>
      </w:r>
      <w:r>
        <w:rPr>
          <w:spacing w:val="-7"/>
          <w:sz w:val="22"/>
        </w:rPr>
        <w:t> </w:t>
      </w:r>
      <w:r>
        <w:rPr>
          <w:spacing w:val="-2"/>
          <w:sz w:val="22"/>
        </w:rPr>
        <w:t>Group</w:t>
      </w:r>
    </w:p>
    <w:p>
      <w:pPr>
        <w:pStyle w:val="ListParagraph"/>
        <w:numPr>
          <w:ilvl w:val="1"/>
          <w:numId w:val="98"/>
        </w:numPr>
        <w:tabs>
          <w:tab w:pos="846" w:val="left" w:leader="none"/>
        </w:tabs>
        <w:spacing w:line="240" w:lineRule="auto" w:before="115" w:after="0"/>
        <w:ind w:left="846" w:right="0" w:hanging="480"/>
        <w:jc w:val="left"/>
        <w:rPr>
          <w:sz w:val="22"/>
        </w:rPr>
      </w:pPr>
      <w:r>
        <w:rPr>
          <w:sz w:val="22"/>
        </w:rPr>
        <w:t>Mr.</w:t>
      </w:r>
      <w:r>
        <w:rPr>
          <w:spacing w:val="-4"/>
          <w:sz w:val="22"/>
        </w:rPr>
        <w:t> </w:t>
      </w:r>
      <w:r>
        <w:rPr>
          <w:sz w:val="22"/>
        </w:rPr>
        <w:t>Sidharth</w:t>
      </w:r>
      <w:r>
        <w:rPr>
          <w:spacing w:val="-3"/>
          <w:sz w:val="22"/>
        </w:rPr>
        <w:t> </w:t>
      </w:r>
      <w:r>
        <w:rPr>
          <w:sz w:val="22"/>
        </w:rPr>
        <w:t>Kaul,</w:t>
      </w:r>
      <w:r>
        <w:rPr>
          <w:spacing w:val="-3"/>
          <w:sz w:val="22"/>
        </w:rPr>
        <w:t> </w:t>
      </w:r>
      <w:r>
        <w:rPr>
          <w:sz w:val="22"/>
        </w:rPr>
        <w:t>NICCO</w:t>
      </w:r>
      <w:r>
        <w:rPr>
          <w:spacing w:val="-3"/>
          <w:sz w:val="22"/>
        </w:rPr>
        <w:t> </w:t>
      </w:r>
      <w:r>
        <w:rPr>
          <w:spacing w:val="-2"/>
          <w:sz w:val="22"/>
        </w:rPr>
        <w:t>Engineering</w:t>
      </w:r>
    </w:p>
    <w:p>
      <w:pPr>
        <w:pStyle w:val="ListParagraph"/>
        <w:numPr>
          <w:ilvl w:val="1"/>
          <w:numId w:val="98"/>
        </w:numPr>
        <w:tabs>
          <w:tab w:pos="846" w:val="left" w:leader="none"/>
        </w:tabs>
        <w:spacing w:line="264" w:lineRule="auto" w:before="115" w:after="0"/>
        <w:ind w:left="846" w:right="1172" w:hanging="480"/>
        <w:jc w:val="left"/>
        <w:rPr>
          <w:sz w:val="22"/>
        </w:rPr>
      </w:pPr>
      <w:r>
        <w:rPr>
          <w:spacing w:val="-4"/>
          <w:sz w:val="22"/>
        </w:rPr>
        <w:t>Mr.</w:t>
      </w:r>
      <w:r>
        <w:rPr>
          <w:spacing w:val="-8"/>
          <w:sz w:val="22"/>
        </w:rPr>
        <w:t> </w:t>
      </w:r>
      <w:r>
        <w:rPr>
          <w:spacing w:val="-4"/>
          <w:sz w:val="22"/>
        </w:rPr>
        <w:t>Aditya</w:t>
      </w:r>
      <w:r>
        <w:rPr>
          <w:spacing w:val="-8"/>
          <w:sz w:val="22"/>
        </w:rPr>
        <w:t> </w:t>
      </w:r>
      <w:r>
        <w:rPr>
          <w:spacing w:val="-4"/>
          <w:sz w:val="22"/>
        </w:rPr>
        <w:t>Chamaria,</w:t>
      </w:r>
      <w:r>
        <w:rPr>
          <w:spacing w:val="-8"/>
          <w:sz w:val="22"/>
        </w:rPr>
        <w:t> </w:t>
      </w:r>
      <w:r>
        <w:rPr>
          <w:spacing w:val="-4"/>
          <w:sz w:val="22"/>
        </w:rPr>
        <w:t>Indian</w:t>
      </w:r>
      <w:r>
        <w:rPr>
          <w:spacing w:val="-8"/>
          <w:sz w:val="22"/>
        </w:rPr>
        <w:t> </w:t>
      </w:r>
      <w:r>
        <w:rPr>
          <w:spacing w:val="-4"/>
          <w:sz w:val="22"/>
        </w:rPr>
        <w:t>Ropeways</w:t>
      </w:r>
      <w:r>
        <w:rPr>
          <w:spacing w:val="-8"/>
          <w:sz w:val="22"/>
        </w:rPr>
        <w:t> </w:t>
      </w:r>
      <w:r>
        <w:rPr>
          <w:spacing w:val="-4"/>
          <w:sz w:val="22"/>
        </w:rPr>
        <w:t>&amp;</w:t>
      </w:r>
      <w:r>
        <w:rPr>
          <w:spacing w:val="-8"/>
          <w:sz w:val="22"/>
        </w:rPr>
        <w:t> </w:t>
      </w:r>
      <w:r>
        <w:rPr>
          <w:spacing w:val="-4"/>
          <w:sz w:val="22"/>
        </w:rPr>
        <w:t>Engg </w:t>
      </w:r>
      <w:r>
        <w:rPr>
          <w:sz w:val="22"/>
        </w:rPr>
        <w:t>Co. Ltd.</w:t>
      </w:r>
    </w:p>
    <w:p>
      <w:pPr>
        <w:pStyle w:val="ListParagraph"/>
        <w:numPr>
          <w:ilvl w:val="1"/>
          <w:numId w:val="98"/>
        </w:numPr>
        <w:tabs>
          <w:tab w:pos="846" w:val="left" w:leader="none"/>
        </w:tabs>
        <w:spacing w:line="240" w:lineRule="auto" w:before="89" w:after="0"/>
        <w:ind w:left="846" w:right="0" w:hanging="480"/>
        <w:jc w:val="left"/>
        <w:rPr>
          <w:sz w:val="22"/>
        </w:rPr>
      </w:pPr>
      <w:r>
        <w:rPr>
          <w:spacing w:val="-4"/>
          <w:sz w:val="22"/>
        </w:rPr>
        <w:t>Dr.</w:t>
      </w:r>
      <w:r>
        <w:rPr>
          <w:spacing w:val="-2"/>
          <w:sz w:val="22"/>
        </w:rPr>
        <w:t> </w:t>
      </w:r>
      <w:r>
        <w:rPr>
          <w:spacing w:val="-4"/>
          <w:sz w:val="22"/>
        </w:rPr>
        <w:t>Mousmi</w:t>
      </w:r>
      <w:r>
        <w:rPr>
          <w:spacing w:val="-1"/>
          <w:sz w:val="22"/>
        </w:rPr>
        <w:t> </w:t>
      </w:r>
      <w:r>
        <w:rPr>
          <w:spacing w:val="-4"/>
          <w:sz w:val="22"/>
        </w:rPr>
        <w:t>Ghosh,</w:t>
      </w:r>
      <w:r>
        <w:rPr>
          <w:spacing w:val="-2"/>
          <w:sz w:val="22"/>
        </w:rPr>
        <w:t> </w:t>
      </w:r>
      <w:r>
        <w:rPr>
          <w:spacing w:val="-4"/>
          <w:sz w:val="22"/>
        </w:rPr>
        <w:t>Future</w:t>
      </w:r>
      <w:r>
        <w:rPr>
          <w:spacing w:val="-1"/>
          <w:sz w:val="22"/>
        </w:rPr>
        <w:t> </w:t>
      </w:r>
      <w:r>
        <w:rPr>
          <w:spacing w:val="-4"/>
          <w:sz w:val="22"/>
        </w:rPr>
        <w:t>Business</w:t>
      </w:r>
      <w:r>
        <w:rPr>
          <w:spacing w:val="-2"/>
          <w:sz w:val="22"/>
        </w:rPr>
        <w:t> </w:t>
      </w:r>
      <w:r>
        <w:rPr>
          <w:spacing w:val="-4"/>
          <w:sz w:val="22"/>
        </w:rPr>
        <w:t>School</w:t>
      </w:r>
    </w:p>
    <w:p>
      <w:pPr>
        <w:pStyle w:val="ListParagraph"/>
        <w:numPr>
          <w:ilvl w:val="1"/>
          <w:numId w:val="98"/>
        </w:numPr>
        <w:tabs>
          <w:tab w:pos="846" w:val="left" w:leader="none"/>
        </w:tabs>
        <w:spacing w:line="264" w:lineRule="auto" w:before="115" w:after="0"/>
        <w:ind w:left="846" w:right="1511" w:hanging="480"/>
        <w:jc w:val="left"/>
        <w:rPr>
          <w:sz w:val="22"/>
        </w:rPr>
      </w:pPr>
      <w:r>
        <w:rPr>
          <w:spacing w:val="-4"/>
          <w:sz w:val="22"/>
        </w:rPr>
        <w:t>Mr.</w:t>
      </w:r>
      <w:r>
        <w:rPr>
          <w:spacing w:val="-10"/>
          <w:sz w:val="22"/>
        </w:rPr>
        <w:t> </w:t>
      </w:r>
      <w:r>
        <w:rPr>
          <w:spacing w:val="-4"/>
          <w:sz w:val="22"/>
        </w:rPr>
        <w:t>Vijay</w:t>
      </w:r>
      <w:r>
        <w:rPr>
          <w:spacing w:val="-10"/>
          <w:sz w:val="22"/>
        </w:rPr>
        <w:t> </w:t>
      </w:r>
      <w:r>
        <w:rPr>
          <w:spacing w:val="-4"/>
          <w:sz w:val="22"/>
        </w:rPr>
        <w:t>Kumar</w:t>
      </w:r>
      <w:r>
        <w:rPr>
          <w:spacing w:val="-10"/>
          <w:sz w:val="22"/>
        </w:rPr>
        <w:t> </w:t>
      </w:r>
      <w:r>
        <w:rPr>
          <w:spacing w:val="-4"/>
          <w:sz w:val="22"/>
        </w:rPr>
        <w:t>Shroff,</w:t>
      </w:r>
      <w:r>
        <w:rPr>
          <w:spacing w:val="-9"/>
          <w:sz w:val="22"/>
        </w:rPr>
        <w:t> </w:t>
      </w:r>
      <w:r>
        <w:rPr>
          <w:spacing w:val="-4"/>
          <w:sz w:val="22"/>
        </w:rPr>
        <w:t>Vijay</w:t>
      </w:r>
      <w:r>
        <w:rPr>
          <w:spacing w:val="-10"/>
          <w:sz w:val="22"/>
        </w:rPr>
        <w:t> </w:t>
      </w:r>
      <w:r>
        <w:rPr>
          <w:spacing w:val="-4"/>
          <w:sz w:val="22"/>
        </w:rPr>
        <w:t>Kumar</w:t>
      </w:r>
      <w:r>
        <w:rPr>
          <w:spacing w:val="-10"/>
          <w:sz w:val="22"/>
        </w:rPr>
        <w:t> </w:t>
      </w:r>
      <w:r>
        <w:rPr>
          <w:spacing w:val="-4"/>
          <w:sz w:val="22"/>
        </w:rPr>
        <w:t>&amp;</w:t>
      </w:r>
      <w:r>
        <w:rPr>
          <w:spacing w:val="-10"/>
          <w:sz w:val="22"/>
        </w:rPr>
        <w:t> </w:t>
      </w:r>
      <w:r>
        <w:rPr>
          <w:spacing w:val="-4"/>
          <w:sz w:val="22"/>
        </w:rPr>
        <w:t>Co </w:t>
      </w:r>
      <w:r>
        <w:rPr>
          <w:sz w:val="22"/>
        </w:rPr>
        <w:t>(Jute) Pvt. Ltd.</w:t>
      </w:r>
    </w:p>
    <w:p>
      <w:pPr>
        <w:pStyle w:val="ListParagraph"/>
        <w:numPr>
          <w:ilvl w:val="1"/>
          <w:numId w:val="98"/>
        </w:numPr>
        <w:tabs>
          <w:tab w:pos="846" w:val="left" w:leader="none"/>
        </w:tabs>
        <w:spacing w:line="240" w:lineRule="auto" w:before="90" w:after="0"/>
        <w:ind w:left="846" w:right="0" w:hanging="480"/>
        <w:jc w:val="left"/>
        <w:rPr>
          <w:sz w:val="22"/>
        </w:rPr>
      </w:pPr>
      <w:r>
        <w:rPr>
          <w:spacing w:val="-6"/>
          <w:sz w:val="22"/>
        </w:rPr>
        <w:t>Mr.</w:t>
      </w:r>
      <w:r>
        <w:rPr>
          <w:spacing w:val="-3"/>
          <w:sz w:val="22"/>
        </w:rPr>
        <w:t> </w:t>
      </w:r>
      <w:r>
        <w:rPr>
          <w:spacing w:val="-6"/>
          <w:sz w:val="22"/>
        </w:rPr>
        <w:t>Cecil</w:t>
      </w:r>
      <w:r>
        <w:rPr>
          <w:spacing w:val="-3"/>
          <w:sz w:val="22"/>
        </w:rPr>
        <w:t> </w:t>
      </w:r>
      <w:r>
        <w:rPr>
          <w:spacing w:val="-6"/>
          <w:sz w:val="22"/>
        </w:rPr>
        <w:t>Anthony,</w:t>
      </w:r>
      <w:r>
        <w:rPr>
          <w:spacing w:val="-3"/>
          <w:sz w:val="22"/>
        </w:rPr>
        <w:t> </w:t>
      </w:r>
      <w:r>
        <w:rPr>
          <w:spacing w:val="-6"/>
          <w:sz w:val="22"/>
        </w:rPr>
        <w:t>Synergy</w:t>
      </w:r>
      <w:r>
        <w:rPr>
          <w:spacing w:val="-3"/>
          <w:sz w:val="22"/>
        </w:rPr>
        <w:t> </w:t>
      </w:r>
      <w:r>
        <w:rPr>
          <w:spacing w:val="-6"/>
          <w:sz w:val="22"/>
        </w:rPr>
        <w:t>Group</w:t>
      </w:r>
    </w:p>
    <w:p>
      <w:pPr>
        <w:pStyle w:val="ListParagraph"/>
        <w:numPr>
          <w:ilvl w:val="1"/>
          <w:numId w:val="98"/>
        </w:numPr>
        <w:tabs>
          <w:tab w:pos="846" w:val="left" w:leader="none"/>
        </w:tabs>
        <w:spacing w:line="240" w:lineRule="auto" w:before="115" w:after="0"/>
        <w:ind w:left="846" w:right="0" w:hanging="480"/>
        <w:jc w:val="left"/>
        <w:rPr>
          <w:sz w:val="22"/>
        </w:rPr>
      </w:pPr>
      <w:r>
        <w:rPr>
          <w:spacing w:val="-4"/>
          <w:sz w:val="22"/>
        </w:rPr>
        <w:t>Mr.</w:t>
      </w:r>
      <w:r>
        <w:rPr>
          <w:sz w:val="22"/>
        </w:rPr>
        <w:t> </w:t>
      </w:r>
      <w:r>
        <w:rPr>
          <w:spacing w:val="-4"/>
          <w:sz w:val="22"/>
        </w:rPr>
        <w:t>S.</w:t>
      </w:r>
      <w:r>
        <w:rPr>
          <w:sz w:val="22"/>
        </w:rPr>
        <w:t> </w:t>
      </w:r>
      <w:r>
        <w:rPr>
          <w:spacing w:val="-4"/>
          <w:sz w:val="22"/>
        </w:rPr>
        <w:t>Bhattacharya,</w:t>
      </w:r>
      <w:r>
        <w:rPr>
          <w:sz w:val="22"/>
        </w:rPr>
        <w:t> </w:t>
      </w:r>
      <w:r>
        <w:rPr>
          <w:spacing w:val="-4"/>
          <w:sz w:val="22"/>
        </w:rPr>
        <w:t>Midland</w:t>
      </w:r>
      <w:r>
        <w:rPr>
          <w:sz w:val="22"/>
        </w:rPr>
        <w:t> </w:t>
      </w:r>
      <w:r>
        <w:rPr>
          <w:spacing w:val="-4"/>
          <w:sz w:val="22"/>
        </w:rPr>
        <w:t>Packers</w:t>
      </w:r>
    </w:p>
    <w:p>
      <w:pPr>
        <w:pStyle w:val="ListParagraph"/>
        <w:numPr>
          <w:ilvl w:val="1"/>
          <w:numId w:val="98"/>
        </w:numPr>
        <w:tabs>
          <w:tab w:pos="846" w:val="left" w:leader="none"/>
        </w:tabs>
        <w:spacing w:line="264" w:lineRule="auto" w:before="115" w:after="0"/>
        <w:ind w:left="846" w:right="2350" w:hanging="480"/>
        <w:jc w:val="left"/>
        <w:rPr>
          <w:sz w:val="22"/>
        </w:rPr>
      </w:pPr>
      <w:r>
        <w:rPr>
          <w:spacing w:val="-4"/>
          <w:sz w:val="22"/>
        </w:rPr>
        <w:t>Mr.</w:t>
      </w:r>
      <w:r>
        <w:rPr>
          <w:spacing w:val="-10"/>
          <w:sz w:val="22"/>
        </w:rPr>
        <w:t> </w:t>
      </w:r>
      <w:r>
        <w:rPr>
          <w:spacing w:val="-4"/>
          <w:sz w:val="22"/>
        </w:rPr>
        <w:t>Shoummo</w:t>
      </w:r>
      <w:r>
        <w:rPr>
          <w:spacing w:val="-10"/>
          <w:sz w:val="22"/>
        </w:rPr>
        <w:t> </w:t>
      </w:r>
      <w:r>
        <w:rPr>
          <w:spacing w:val="-4"/>
          <w:sz w:val="22"/>
        </w:rPr>
        <w:t>Acharya,</w:t>
      </w:r>
      <w:r>
        <w:rPr>
          <w:spacing w:val="-10"/>
          <w:sz w:val="22"/>
        </w:rPr>
        <w:t> </w:t>
      </w:r>
      <w:r>
        <w:rPr>
          <w:spacing w:val="-4"/>
          <w:sz w:val="22"/>
        </w:rPr>
        <w:t>VI</w:t>
      </w:r>
      <w:r>
        <w:rPr>
          <w:spacing w:val="-9"/>
          <w:sz w:val="22"/>
        </w:rPr>
        <w:t> </w:t>
      </w:r>
      <w:r>
        <w:rPr>
          <w:spacing w:val="-4"/>
          <w:sz w:val="22"/>
        </w:rPr>
        <w:t>eTrans </w:t>
      </w:r>
      <w:r>
        <w:rPr>
          <w:sz w:val="22"/>
        </w:rPr>
        <w:t>Pvt. Ltd.</w:t>
      </w:r>
    </w:p>
    <w:p>
      <w:pPr>
        <w:pStyle w:val="ListParagraph"/>
        <w:numPr>
          <w:ilvl w:val="1"/>
          <w:numId w:val="98"/>
        </w:numPr>
        <w:tabs>
          <w:tab w:pos="846" w:val="left" w:leader="none"/>
        </w:tabs>
        <w:spacing w:line="240" w:lineRule="auto" w:before="89" w:after="0"/>
        <w:ind w:left="846" w:right="0" w:hanging="480"/>
        <w:jc w:val="left"/>
        <w:rPr>
          <w:sz w:val="22"/>
        </w:rPr>
      </w:pPr>
      <w:r>
        <w:rPr>
          <w:spacing w:val="-2"/>
          <w:sz w:val="22"/>
        </w:rPr>
        <w:t>Mr.</w:t>
      </w:r>
      <w:r>
        <w:rPr>
          <w:spacing w:val="-10"/>
          <w:sz w:val="22"/>
        </w:rPr>
        <w:t> </w:t>
      </w:r>
      <w:r>
        <w:rPr>
          <w:spacing w:val="-2"/>
          <w:sz w:val="22"/>
        </w:rPr>
        <w:t>S.</w:t>
      </w:r>
      <w:r>
        <w:rPr>
          <w:spacing w:val="-9"/>
          <w:sz w:val="22"/>
        </w:rPr>
        <w:t> </w:t>
      </w:r>
      <w:r>
        <w:rPr>
          <w:spacing w:val="-2"/>
          <w:sz w:val="22"/>
        </w:rPr>
        <w:t>Daspal,</w:t>
      </w:r>
      <w:r>
        <w:rPr>
          <w:spacing w:val="-9"/>
          <w:sz w:val="22"/>
        </w:rPr>
        <w:t> </w:t>
      </w:r>
      <w:r>
        <w:rPr>
          <w:spacing w:val="-2"/>
          <w:sz w:val="22"/>
        </w:rPr>
        <w:t>Info</w:t>
      </w:r>
      <w:r>
        <w:rPr>
          <w:spacing w:val="-9"/>
          <w:sz w:val="22"/>
        </w:rPr>
        <w:t> </w:t>
      </w:r>
      <w:r>
        <w:rPr>
          <w:spacing w:val="-2"/>
          <w:sz w:val="22"/>
        </w:rPr>
        <w:t>Horizon</w:t>
      </w:r>
    </w:p>
    <w:p>
      <w:pPr>
        <w:pStyle w:val="ListParagraph"/>
        <w:numPr>
          <w:ilvl w:val="1"/>
          <w:numId w:val="98"/>
        </w:numPr>
        <w:tabs>
          <w:tab w:pos="846" w:val="left" w:leader="none"/>
        </w:tabs>
        <w:spacing w:line="264" w:lineRule="auto" w:before="115" w:after="0"/>
        <w:ind w:left="846" w:right="1629" w:hanging="480"/>
        <w:jc w:val="left"/>
        <w:rPr>
          <w:sz w:val="22"/>
        </w:rPr>
      </w:pPr>
      <w:r>
        <w:rPr>
          <w:spacing w:val="-2"/>
          <w:sz w:val="22"/>
        </w:rPr>
        <w:t>Mr.</w:t>
      </w:r>
      <w:r>
        <w:rPr>
          <w:spacing w:val="-12"/>
          <w:sz w:val="22"/>
        </w:rPr>
        <w:t> </w:t>
      </w:r>
      <w:r>
        <w:rPr>
          <w:spacing w:val="-2"/>
          <w:sz w:val="22"/>
        </w:rPr>
        <w:t>Manish</w:t>
      </w:r>
      <w:r>
        <w:rPr>
          <w:spacing w:val="-12"/>
          <w:sz w:val="22"/>
        </w:rPr>
        <w:t> </w:t>
      </w:r>
      <w:r>
        <w:rPr>
          <w:spacing w:val="-2"/>
          <w:sz w:val="22"/>
        </w:rPr>
        <w:t>Chandani</w:t>
      </w:r>
      <w:r>
        <w:rPr>
          <w:spacing w:val="-9"/>
          <w:sz w:val="22"/>
        </w:rPr>
        <w:t> </w:t>
      </w:r>
      <w:r>
        <w:rPr>
          <w:spacing w:val="-2"/>
          <w:sz w:val="22"/>
        </w:rPr>
        <w:t>&amp;</w:t>
      </w:r>
      <w:r>
        <w:rPr>
          <w:spacing w:val="-9"/>
          <w:sz w:val="22"/>
        </w:rPr>
        <w:t> </w:t>
      </w:r>
      <w:r>
        <w:rPr>
          <w:spacing w:val="-2"/>
          <w:sz w:val="22"/>
        </w:rPr>
        <w:t>Mr.</w:t>
      </w:r>
      <w:r>
        <w:rPr>
          <w:spacing w:val="-12"/>
          <w:sz w:val="22"/>
        </w:rPr>
        <w:t> </w:t>
      </w:r>
      <w:r>
        <w:rPr>
          <w:spacing w:val="-2"/>
          <w:sz w:val="22"/>
        </w:rPr>
        <w:t>Talat</w:t>
      </w:r>
      <w:r>
        <w:rPr>
          <w:spacing w:val="-9"/>
          <w:sz w:val="22"/>
        </w:rPr>
        <w:t> </w:t>
      </w:r>
      <w:r>
        <w:rPr>
          <w:spacing w:val="-2"/>
          <w:sz w:val="22"/>
        </w:rPr>
        <w:t>Ahmed </w:t>
      </w:r>
      <w:r>
        <w:rPr>
          <w:sz w:val="22"/>
        </w:rPr>
        <w:t>Ajanta Leather Fashions Pvt. Ltd.</w:t>
      </w:r>
    </w:p>
    <w:p>
      <w:pPr>
        <w:pStyle w:val="ListParagraph"/>
        <w:numPr>
          <w:ilvl w:val="1"/>
          <w:numId w:val="98"/>
        </w:numPr>
        <w:tabs>
          <w:tab w:pos="846" w:val="left" w:leader="none"/>
        </w:tabs>
        <w:spacing w:line="240" w:lineRule="auto" w:before="90" w:after="0"/>
        <w:ind w:left="846" w:right="0" w:hanging="480"/>
        <w:jc w:val="left"/>
        <w:rPr>
          <w:sz w:val="22"/>
        </w:rPr>
      </w:pPr>
      <w:r>
        <w:rPr>
          <w:spacing w:val="-2"/>
          <w:sz w:val="22"/>
        </w:rPr>
        <w:t>Mr.</w:t>
      </w:r>
      <w:r>
        <w:rPr>
          <w:spacing w:val="-9"/>
          <w:sz w:val="22"/>
        </w:rPr>
        <w:t> </w:t>
      </w:r>
      <w:r>
        <w:rPr>
          <w:spacing w:val="-2"/>
          <w:sz w:val="22"/>
        </w:rPr>
        <w:t>Pradip</w:t>
      </w:r>
      <w:r>
        <w:rPr>
          <w:spacing w:val="-8"/>
          <w:sz w:val="22"/>
        </w:rPr>
        <w:t> </w:t>
      </w:r>
      <w:r>
        <w:rPr>
          <w:spacing w:val="-2"/>
          <w:sz w:val="22"/>
        </w:rPr>
        <w:t>Poddar</w:t>
      </w:r>
    </w:p>
    <w:p>
      <w:pPr>
        <w:pStyle w:val="BodyText"/>
        <w:spacing w:before="25"/>
        <w:ind w:left="846"/>
      </w:pPr>
      <w:r>
        <w:rPr>
          <w:spacing w:val="-2"/>
        </w:rPr>
        <w:t>Shanta</w:t>
      </w:r>
      <w:r>
        <w:rPr>
          <w:spacing w:val="-5"/>
        </w:rPr>
        <w:t> </w:t>
      </w:r>
      <w:r>
        <w:rPr>
          <w:spacing w:val="-2"/>
        </w:rPr>
        <w:t>Colibri</w:t>
      </w:r>
      <w:r>
        <w:rPr>
          <w:spacing w:val="-5"/>
        </w:rPr>
        <w:t> </w:t>
      </w:r>
      <w:r>
        <w:rPr>
          <w:spacing w:val="-2"/>
        </w:rPr>
        <w:t>(India)</w:t>
      </w:r>
      <w:r>
        <w:rPr>
          <w:spacing w:val="-5"/>
        </w:rPr>
        <w:t> </w:t>
      </w:r>
      <w:r>
        <w:rPr>
          <w:spacing w:val="-2"/>
        </w:rPr>
        <w:t>Pvt.</w:t>
      </w:r>
      <w:r>
        <w:rPr>
          <w:spacing w:val="-5"/>
        </w:rPr>
        <w:t> </w:t>
      </w:r>
      <w:r>
        <w:rPr>
          <w:spacing w:val="-4"/>
        </w:rPr>
        <w:t>Ltd.</w:t>
      </w:r>
    </w:p>
    <w:p>
      <w:pPr>
        <w:pStyle w:val="ListParagraph"/>
        <w:numPr>
          <w:ilvl w:val="1"/>
          <w:numId w:val="98"/>
        </w:numPr>
        <w:tabs>
          <w:tab w:pos="846" w:val="left" w:leader="none"/>
        </w:tabs>
        <w:spacing w:line="240" w:lineRule="auto" w:before="115" w:after="0"/>
        <w:ind w:left="846" w:right="0" w:hanging="480"/>
        <w:jc w:val="left"/>
        <w:rPr>
          <w:sz w:val="22"/>
        </w:rPr>
      </w:pPr>
      <w:r>
        <w:rPr>
          <w:sz w:val="22"/>
        </w:rPr>
        <w:t>Mr.</w:t>
      </w:r>
      <w:r>
        <w:rPr>
          <w:spacing w:val="-12"/>
          <w:sz w:val="22"/>
        </w:rPr>
        <w:t> </w:t>
      </w:r>
      <w:r>
        <w:rPr>
          <w:sz w:val="22"/>
        </w:rPr>
        <w:t>Nitin</w:t>
      </w:r>
      <w:r>
        <w:rPr>
          <w:spacing w:val="-11"/>
          <w:sz w:val="22"/>
        </w:rPr>
        <w:t> </w:t>
      </w:r>
      <w:r>
        <w:rPr>
          <w:sz w:val="22"/>
        </w:rPr>
        <w:t>Himatsingka,</w:t>
      </w:r>
      <w:r>
        <w:rPr>
          <w:spacing w:val="-11"/>
          <w:sz w:val="22"/>
        </w:rPr>
        <w:t> </w:t>
      </w:r>
      <w:r>
        <w:rPr>
          <w:sz w:val="22"/>
        </w:rPr>
        <w:t>Car</w:t>
      </w:r>
      <w:r>
        <w:rPr>
          <w:spacing w:val="-12"/>
          <w:sz w:val="22"/>
        </w:rPr>
        <w:t> </w:t>
      </w:r>
      <w:r>
        <w:rPr>
          <w:spacing w:val="-2"/>
          <w:sz w:val="22"/>
        </w:rPr>
        <w:t>Showroom</w:t>
      </w:r>
    </w:p>
    <w:p>
      <w:pPr>
        <w:pStyle w:val="ListParagraph"/>
        <w:numPr>
          <w:ilvl w:val="1"/>
          <w:numId w:val="98"/>
        </w:numPr>
        <w:tabs>
          <w:tab w:pos="846" w:val="left" w:leader="none"/>
        </w:tabs>
        <w:spacing w:line="240" w:lineRule="auto" w:before="115" w:after="0"/>
        <w:ind w:left="846" w:right="0" w:hanging="480"/>
        <w:jc w:val="left"/>
        <w:rPr>
          <w:sz w:val="22"/>
        </w:rPr>
      </w:pPr>
      <w:r>
        <w:rPr>
          <w:spacing w:val="-4"/>
          <w:sz w:val="22"/>
        </w:rPr>
        <w:t>Mr.</w:t>
      </w:r>
      <w:r>
        <w:rPr>
          <w:sz w:val="22"/>
        </w:rPr>
        <w:t> </w:t>
      </w:r>
      <w:r>
        <w:rPr>
          <w:spacing w:val="-4"/>
          <w:sz w:val="22"/>
        </w:rPr>
        <w:t>Indraneil</w:t>
      </w:r>
      <w:r>
        <w:rPr>
          <w:sz w:val="22"/>
        </w:rPr>
        <w:t> </w:t>
      </w:r>
      <w:r>
        <w:rPr>
          <w:spacing w:val="-4"/>
          <w:sz w:val="22"/>
        </w:rPr>
        <w:t>Bose,</w:t>
      </w:r>
      <w:r>
        <w:rPr>
          <w:spacing w:val="1"/>
          <w:sz w:val="22"/>
        </w:rPr>
        <w:t> </w:t>
      </w:r>
      <w:r>
        <w:rPr>
          <w:spacing w:val="-4"/>
          <w:sz w:val="22"/>
        </w:rPr>
        <w:t>Futuretech</w:t>
      </w:r>
      <w:r>
        <w:rPr>
          <w:sz w:val="22"/>
        </w:rPr>
        <w:t> </w:t>
      </w:r>
      <w:r>
        <w:rPr>
          <w:spacing w:val="-4"/>
          <w:sz w:val="22"/>
        </w:rPr>
        <w:t>Solutions</w:t>
      </w:r>
    </w:p>
    <w:p>
      <w:pPr>
        <w:pStyle w:val="ListParagraph"/>
        <w:numPr>
          <w:ilvl w:val="1"/>
          <w:numId w:val="98"/>
        </w:numPr>
        <w:tabs>
          <w:tab w:pos="846" w:val="left" w:leader="none"/>
        </w:tabs>
        <w:spacing w:line="240" w:lineRule="auto" w:before="115" w:after="0"/>
        <w:ind w:left="846" w:right="0" w:hanging="480"/>
        <w:jc w:val="left"/>
        <w:rPr>
          <w:sz w:val="22"/>
        </w:rPr>
      </w:pPr>
      <w:r>
        <w:rPr>
          <w:spacing w:val="-6"/>
          <w:sz w:val="22"/>
        </w:rPr>
        <w:t>Mr. Kumar</w:t>
      </w:r>
      <w:r>
        <w:rPr>
          <w:spacing w:val="-5"/>
          <w:sz w:val="22"/>
        </w:rPr>
        <w:t> </w:t>
      </w:r>
      <w:r>
        <w:rPr>
          <w:spacing w:val="-6"/>
          <w:sz w:val="22"/>
        </w:rPr>
        <w:t>Shivam,</w:t>
      </w:r>
      <w:r>
        <w:rPr>
          <w:spacing w:val="-5"/>
          <w:sz w:val="22"/>
        </w:rPr>
        <w:t> </w:t>
      </w:r>
      <w:r>
        <w:rPr>
          <w:spacing w:val="-6"/>
          <w:sz w:val="22"/>
        </w:rPr>
        <w:t>ALB</w:t>
      </w:r>
      <w:r>
        <w:rPr>
          <w:spacing w:val="-5"/>
          <w:sz w:val="22"/>
        </w:rPr>
        <w:t> </w:t>
      </w:r>
      <w:r>
        <w:rPr>
          <w:spacing w:val="-6"/>
          <w:sz w:val="22"/>
        </w:rPr>
        <w:t>Consultancy</w:t>
      </w:r>
    </w:p>
    <w:p>
      <w:pPr>
        <w:pStyle w:val="ListParagraph"/>
        <w:numPr>
          <w:ilvl w:val="1"/>
          <w:numId w:val="98"/>
        </w:numPr>
        <w:tabs>
          <w:tab w:pos="846" w:val="left" w:leader="none"/>
        </w:tabs>
        <w:spacing w:line="240" w:lineRule="auto" w:before="115" w:after="0"/>
        <w:ind w:left="846" w:right="0" w:hanging="480"/>
        <w:jc w:val="left"/>
        <w:rPr>
          <w:sz w:val="22"/>
        </w:rPr>
      </w:pPr>
      <w:r>
        <w:rPr>
          <w:spacing w:val="-2"/>
          <w:sz w:val="22"/>
        </w:rPr>
        <w:t>Ms.</w:t>
      </w:r>
      <w:r>
        <w:rPr>
          <w:spacing w:val="-8"/>
          <w:sz w:val="22"/>
        </w:rPr>
        <w:t> </w:t>
      </w:r>
      <w:r>
        <w:rPr>
          <w:spacing w:val="-2"/>
          <w:sz w:val="22"/>
        </w:rPr>
        <w:t>Roopa</w:t>
      </w:r>
      <w:r>
        <w:rPr>
          <w:spacing w:val="-8"/>
          <w:sz w:val="22"/>
        </w:rPr>
        <w:t> </w:t>
      </w:r>
      <w:r>
        <w:rPr>
          <w:spacing w:val="-2"/>
          <w:sz w:val="22"/>
        </w:rPr>
        <w:t>Mehta,</w:t>
      </w:r>
      <w:r>
        <w:rPr>
          <w:spacing w:val="-7"/>
          <w:sz w:val="22"/>
        </w:rPr>
        <w:t> </w:t>
      </w:r>
      <w:r>
        <w:rPr>
          <w:spacing w:val="-2"/>
          <w:sz w:val="22"/>
        </w:rPr>
        <w:t>SASHA</w:t>
      </w:r>
    </w:p>
    <w:p>
      <w:pPr>
        <w:pStyle w:val="ListParagraph"/>
        <w:numPr>
          <w:ilvl w:val="1"/>
          <w:numId w:val="98"/>
        </w:numPr>
        <w:tabs>
          <w:tab w:pos="846" w:val="left" w:leader="none"/>
        </w:tabs>
        <w:spacing w:line="240" w:lineRule="auto" w:before="115" w:after="0"/>
        <w:ind w:left="846" w:right="0" w:hanging="480"/>
        <w:jc w:val="left"/>
        <w:rPr>
          <w:sz w:val="22"/>
        </w:rPr>
      </w:pPr>
      <w:r>
        <w:rPr>
          <w:spacing w:val="-8"/>
          <w:sz w:val="22"/>
        </w:rPr>
        <w:t>Mr.</w:t>
      </w:r>
      <w:r>
        <w:rPr>
          <w:spacing w:val="-2"/>
          <w:sz w:val="22"/>
        </w:rPr>
        <w:t> </w:t>
      </w:r>
      <w:r>
        <w:rPr>
          <w:spacing w:val="-8"/>
          <w:sz w:val="22"/>
        </w:rPr>
        <w:t>P.K.</w:t>
      </w:r>
      <w:r>
        <w:rPr>
          <w:spacing w:val="-1"/>
          <w:sz w:val="22"/>
        </w:rPr>
        <w:t> </w:t>
      </w:r>
      <w:r>
        <w:rPr>
          <w:spacing w:val="-8"/>
          <w:sz w:val="22"/>
        </w:rPr>
        <w:t>Saha,</w:t>
      </w:r>
      <w:r>
        <w:rPr>
          <w:spacing w:val="-2"/>
          <w:sz w:val="22"/>
        </w:rPr>
        <w:t> </w:t>
      </w:r>
      <w:r>
        <w:rPr>
          <w:spacing w:val="-8"/>
          <w:sz w:val="22"/>
        </w:rPr>
        <w:t>P.K.</w:t>
      </w:r>
      <w:r>
        <w:rPr>
          <w:spacing w:val="-1"/>
          <w:sz w:val="22"/>
        </w:rPr>
        <w:t> </w:t>
      </w:r>
      <w:r>
        <w:rPr>
          <w:spacing w:val="-8"/>
          <w:sz w:val="22"/>
        </w:rPr>
        <w:t>Saha</w:t>
      </w:r>
      <w:r>
        <w:rPr>
          <w:spacing w:val="-2"/>
          <w:sz w:val="22"/>
        </w:rPr>
        <w:t> </w:t>
      </w:r>
      <w:r>
        <w:rPr>
          <w:spacing w:val="-8"/>
          <w:sz w:val="22"/>
        </w:rPr>
        <w:t>&amp;</w:t>
      </w:r>
      <w:r>
        <w:rPr>
          <w:spacing w:val="-1"/>
          <w:sz w:val="22"/>
        </w:rPr>
        <w:t> </w:t>
      </w:r>
      <w:r>
        <w:rPr>
          <w:spacing w:val="-8"/>
          <w:sz w:val="22"/>
        </w:rPr>
        <w:t>Associates</w:t>
      </w:r>
    </w:p>
    <w:p>
      <w:pPr>
        <w:pStyle w:val="ListParagraph"/>
        <w:numPr>
          <w:ilvl w:val="1"/>
          <w:numId w:val="98"/>
        </w:numPr>
        <w:tabs>
          <w:tab w:pos="846" w:val="left" w:leader="none"/>
        </w:tabs>
        <w:spacing w:line="264" w:lineRule="auto" w:before="115" w:after="0"/>
        <w:ind w:left="846" w:right="1780" w:hanging="480"/>
        <w:jc w:val="left"/>
        <w:rPr>
          <w:sz w:val="22"/>
        </w:rPr>
      </w:pPr>
      <w:r>
        <w:rPr>
          <w:spacing w:val="-4"/>
          <w:sz w:val="22"/>
        </w:rPr>
        <w:t>Dr.</w:t>
      </w:r>
      <w:r>
        <w:rPr>
          <w:spacing w:val="-9"/>
          <w:sz w:val="22"/>
        </w:rPr>
        <w:t> </w:t>
      </w:r>
      <w:r>
        <w:rPr>
          <w:spacing w:val="-4"/>
          <w:sz w:val="22"/>
        </w:rPr>
        <w:t>Partha</w:t>
      </w:r>
      <w:r>
        <w:rPr>
          <w:spacing w:val="-9"/>
          <w:sz w:val="22"/>
        </w:rPr>
        <w:t> </w:t>
      </w:r>
      <w:r>
        <w:rPr>
          <w:spacing w:val="-4"/>
          <w:sz w:val="22"/>
        </w:rPr>
        <w:t>Ray,</w:t>
      </w:r>
      <w:r>
        <w:rPr>
          <w:spacing w:val="-9"/>
          <w:sz w:val="22"/>
        </w:rPr>
        <w:t> </w:t>
      </w:r>
      <w:r>
        <w:rPr>
          <w:spacing w:val="-4"/>
          <w:sz w:val="22"/>
        </w:rPr>
        <w:t>R</w:t>
      </w:r>
      <w:r>
        <w:rPr>
          <w:spacing w:val="-9"/>
          <w:sz w:val="22"/>
        </w:rPr>
        <w:t> </w:t>
      </w:r>
      <w:r>
        <w:rPr>
          <w:spacing w:val="-4"/>
          <w:sz w:val="22"/>
        </w:rPr>
        <w:t>M</w:t>
      </w:r>
      <w:r>
        <w:rPr>
          <w:spacing w:val="-9"/>
          <w:sz w:val="22"/>
        </w:rPr>
        <w:t> </w:t>
      </w:r>
      <w:r>
        <w:rPr>
          <w:spacing w:val="-4"/>
          <w:sz w:val="22"/>
        </w:rPr>
        <w:t>Clinical</w:t>
      </w:r>
      <w:r>
        <w:rPr>
          <w:spacing w:val="-9"/>
          <w:sz w:val="22"/>
        </w:rPr>
        <w:t> </w:t>
      </w:r>
      <w:r>
        <w:rPr>
          <w:spacing w:val="-4"/>
          <w:sz w:val="22"/>
        </w:rPr>
        <w:t>Laboratoies </w:t>
      </w:r>
      <w:r>
        <w:rPr>
          <w:sz w:val="22"/>
        </w:rPr>
        <w:t>Pvt Ltd.</w:t>
      </w:r>
    </w:p>
    <w:p>
      <w:pPr>
        <w:pStyle w:val="ListParagraph"/>
        <w:numPr>
          <w:ilvl w:val="1"/>
          <w:numId w:val="98"/>
        </w:numPr>
        <w:tabs>
          <w:tab w:pos="846" w:val="left" w:leader="none"/>
        </w:tabs>
        <w:spacing w:line="240" w:lineRule="auto" w:before="89" w:after="0"/>
        <w:ind w:left="846" w:right="0" w:hanging="480"/>
        <w:jc w:val="left"/>
        <w:rPr>
          <w:sz w:val="22"/>
        </w:rPr>
      </w:pPr>
      <w:r>
        <w:rPr>
          <w:spacing w:val="-4"/>
          <w:sz w:val="22"/>
        </w:rPr>
        <w:t>Mr.</w:t>
      </w:r>
      <w:r>
        <w:rPr>
          <w:spacing w:val="-3"/>
          <w:sz w:val="22"/>
        </w:rPr>
        <w:t> </w:t>
      </w:r>
      <w:r>
        <w:rPr>
          <w:spacing w:val="-4"/>
          <w:sz w:val="22"/>
        </w:rPr>
        <w:t>Ashish</w:t>
      </w:r>
      <w:r>
        <w:rPr>
          <w:spacing w:val="-3"/>
          <w:sz w:val="22"/>
        </w:rPr>
        <w:t> </w:t>
      </w:r>
      <w:r>
        <w:rPr>
          <w:spacing w:val="-4"/>
          <w:sz w:val="22"/>
        </w:rPr>
        <w:t>Mitra,</w:t>
      </w:r>
      <w:r>
        <w:rPr>
          <w:spacing w:val="-3"/>
          <w:sz w:val="22"/>
        </w:rPr>
        <w:t> </w:t>
      </w:r>
      <w:r>
        <w:rPr>
          <w:spacing w:val="-4"/>
          <w:sz w:val="22"/>
        </w:rPr>
        <w:t>Exterior-Interiors</w:t>
      </w:r>
      <w:r>
        <w:rPr>
          <w:spacing w:val="-3"/>
          <w:sz w:val="22"/>
        </w:rPr>
        <w:t> </w:t>
      </w:r>
      <w:r>
        <w:rPr>
          <w:spacing w:val="-4"/>
          <w:sz w:val="22"/>
        </w:rPr>
        <w:t>Ltd.</w:t>
      </w:r>
    </w:p>
    <w:p>
      <w:pPr>
        <w:pStyle w:val="ListParagraph"/>
        <w:numPr>
          <w:ilvl w:val="1"/>
          <w:numId w:val="98"/>
        </w:numPr>
        <w:tabs>
          <w:tab w:pos="846" w:val="left" w:leader="none"/>
        </w:tabs>
        <w:spacing w:line="240" w:lineRule="auto" w:before="115" w:after="0"/>
        <w:ind w:left="846" w:right="0" w:hanging="480"/>
        <w:jc w:val="left"/>
        <w:rPr>
          <w:sz w:val="22"/>
        </w:rPr>
      </w:pPr>
      <w:r>
        <w:rPr>
          <w:spacing w:val="-6"/>
          <w:sz w:val="22"/>
        </w:rPr>
        <w:t>Mr.</w:t>
      </w:r>
      <w:r>
        <w:rPr>
          <w:spacing w:val="-5"/>
          <w:sz w:val="22"/>
        </w:rPr>
        <w:t> </w:t>
      </w:r>
      <w:r>
        <w:rPr>
          <w:spacing w:val="-6"/>
          <w:sz w:val="22"/>
        </w:rPr>
        <w:t>Prateek</w:t>
      </w:r>
      <w:r>
        <w:rPr>
          <w:spacing w:val="-4"/>
          <w:sz w:val="22"/>
        </w:rPr>
        <w:t> </w:t>
      </w:r>
      <w:r>
        <w:rPr>
          <w:spacing w:val="-6"/>
          <w:sz w:val="22"/>
        </w:rPr>
        <w:t>Surekha,</w:t>
      </w:r>
      <w:r>
        <w:rPr>
          <w:spacing w:val="-5"/>
          <w:sz w:val="22"/>
        </w:rPr>
        <w:t> </w:t>
      </w:r>
      <w:r>
        <w:rPr>
          <w:spacing w:val="-6"/>
          <w:sz w:val="22"/>
        </w:rPr>
        <w:t>Brainwave</w:t>
      </w:r>
      <w:r>
        <w:rPr>
          <w:spacing w:val="-4"/>
          <w:sz w:val="22"/>
        </w:rPr>
        <w:t> </w:t>
      </w:r>
      <w:r>
        <w:rPr>
          <w:spacing w:val="-6"/>
          <w:sz w:val="22"/>
        </w:rPr>
        <w:t>Live</w:t>
      </w:r>
    </w:p>
    <w:p>
      <w:pPr>
        <w:pStyle w:val="ListParagraph"/>
        <w:numPr>
          <w:ilvl w:val="1"/>
          <w:numId w:val="98"/>
        </w:numPr>
        <w:tabs>
          <w:tab w:pos="846" w:val="left" w:leader="none"/>
        </w:tabs>
        <w:spacing w:line="240" w:lineRule="auto" w:before="115" w:after="0"/>
        <w:ind w:left="846" w:right="0" w:hanging="480"/>
        <w:jc w:val="left"/>
        <w:rPr>
          <w:sz w:val="22"/>
        </w:rPr>
      </w:pPr>
      <w:r>
        <w:rPr>
          <w:sz w:val="22"/>
        </w:rPr>
        <w:t>Mr.</w:t>
      </w:r>
      <w:r>
        <w:rPr>
          <w:spacing w:val="-13"/>
          <w:sz w:val="22"/>
        </w:rPr>
        <w:t> </w:t>
      </w:r>
      <w:r>
        <w:rPr>
          <w:sz w:val="22"/>
        </w:rPr>
        <w:t>Ankur</w:t>
      </w:r>
      <w:r>
        <w:rPr>
          <w:spacing w:val="-12"/>
          <w:sz w:val="22"/>
        </w:rPr>
        <w:t> </w:t>
      </w:r>
      <w:r>
        <w:rPr>
          <w:sz w:val="22"/>
        </w:rPr>
        <w:t>Gattani,</w:t>
      </w:r>
      <w:r>
        <w:rPr>
          <w:spacing w:val="-12"/>
          <w:sz w:val="22"/>
        </w:rPr>
        <w:t> </w:t>
      </w:r>
      <w:r>
        <w:rPr>
          <w:spacing w:val="-2"/>
          <w:sz w:val="22"/>
        </w:rPr>
        <w:t>Lifelines</w:t>
      </w:r>
    </w:p>
    <w:p>
      <w:pPr>
        <w:pStyle w:val="ListParagraph"/>
        <w:numPr>
          <w:ilvl w:val="1"/>
          <w:numId w:val="98"/>
        </w:numPr>
        <w:tabs>
          <w:tab w:pos="846" w:val="left" w:leader="none"/>
        </w:tabs>
        <w:spacing w:line="240" w:lineRule="auto" w:before="115" w:after="0"/>
        <w:ind w:left="846" w:right="0" w:hanging="480"/>
        <w:jc w:val="left"/>
        <w:rPr>
          <w:sz w:val="22"/>
        </w:rPr>
      </w:pPr>
      <w:r>
        <w:rPr>
          <w:spacing w:val="-4"/>
          <w:sz w:val="22"/>
        </w:rPr>
        <w:t>Mr.</w:t>
      </w:r>
      <w:r>
        <w:rPr>
          <w:spacing w:val="-10"/>
          <w:sz w:val="22"/>
        </w:rPr>
        <w:t> </w:t>
      </w:r>
      <w:r>
        <w:rPr>
          <w:spacing w:val="-4"/>
          <w:sz w:val="22"/>
        </w:rPr>
        <w:t>Sundeep</w:t>
      </w:r>
      <w:r>
        <w:rPr>
          <w:spacing w:val="-10"/>
          <w:sz w:val="22"/>
        </w:rPr>
        <w:t> </w:t>
      </w:r>
      <w:r>
        <w:rPr>
          <w:spacing w:val="-4"/>
          <w:sz w:val="22"/>
        </w:rPr>
        <w:t>Tibrewal,</w:t>
      </w:r>
      <w:r>
        <w:rPr>
          <w:spacing w:val="-6"/>
          <w:sz w:val="22"/>
        </w:rPr>
        <w:t> </w:t>
      </w:r>
      <w:r>
        <w:rPr>
          <w:spacing w:val="-4"/>
          <w:sz w:val="22"/>
        </w:rPr>
        <w:t>ResolveQuery.com</w:t>
      </w:r>
    </w:p>
    <w:p>
      <w:pPr>
        <w:pStyle w:val="ListParagraph"/>
        <w:numPr>
          <w:ilvl w:val="1"/>
          <w:numId w:val="98"/>
        </w:numPr>
        <w:tabs>
          <w:tab w:pos="846" w:val="left" w:leader="none"/>
        </w:tabs>
        <w:spacing w:line="264" w:lineRule="auto" w:before="115" w:after="0"/>
        <w:ind w:left="846" w:right="1128" w:hanging="480"/>
        <w:jc w:val="left"/>
        <w:rPr>
          <w:sz w:val="22"/>
        </w:rPr>
      </w:pPr>
      <w:r>
        <w:rPr>
          <w:spacing w:val="-2"/>
          <w:sz w:val="22"/>
        </w:rPr>
        <w:t>Mr.</w:t>
      </w:r>
      <w:r>
        <w:rPr>
          <w:spacing w:val="-12"/>
          <w:sz w:val="22"/>
        </w:rPr>
        <w:t> </w:t>
      </w:r>
      <w:r>
        <w:rPr>
          <w:spacing w:val="-2"/>
          <w:sz w:val="22"/>
        </w:rPr>
        <w:t>Ramachandran</w:t>
      </w:r>
      <w:r>
        <w:rPr>
          <w:spacing w:val="-10"/>
          <w:sz w:val="22"/>
        </w:rPr>
        <w:t> </w:t>
      </w:r>
      <w:r>
        <w:rPr>
          <w:spacing w:val="-2"/>
          <w:sz w:val="22"/>
        </w:rPr>
        <w:t>N</w:t>
      </w:r>
      <w:r>
        <w:rPr>
          <w:spacing w:val="-9"/>
          <w:sz w:val="22"/>
        </w:rPr>
        <w:t> </w:t>
      </w:r>
      <w:r>
        <w:rPr>
          <w:spacing w:val="-2"/>
          <w:sz w:val="22"/>
        </w:rPr>
        <w:t>&amp;</w:t>
      </w:r>
      <w:r>
        <w:rPr>
          <w:spacing w:val="-9"/>
          <w:sz w:val="22"/>
        </w:rPr>
        <w:t> </w:t>
      </w:r>
      <w:r>
        <w:rPr>
          <w:spacing w:val="-2"/>
          <w:sz w:val="22"/>
        </w:rPr>
        <w:t>Mr.</w:t>
      </w:r>
      <w:r>
        <w:rPr>
          <w:spacing w:val="-12"/>
          <w:sz w:val="22"/>
        </w:rPr>
        <w:t> </w:t>
      </w:r>
      <w:r>
        <w:rPr>
          <w:spacing w:val="-2"/>
          <w:sz w:val="22"/>
        </w:rPr>
        <w:t>T</w:t>
      </w:r>
      <w:r>
        <w:rPr>
          <w:spacing w:val="-8"/>
          <w:sz w:val="22"/>
        </w:rPr>
        <w:t> </w:t>
      </w:r>
      <w:r>
        <w:rPr>
          <w:spacing w:val="-2"/>
          <w:sz w:val="22"/>
        </w:rPr>
        <w:t>Srinivasan,</w:t>
      </w:r>
      <w:r>
        <w:rPr>
          <w:spacing w:val="-9"/>
          <w:sz w:val="22"/>
        </w:rPr>
        <w:t> </w:t>
      </w:r>
      <w:r>
        <w:rPr>
          <w:spacing w:val="-2"/>
          <w:sz w:val="22"/>
        </w:rPr>
        <w:t>MEL </w:t>
      </w:r>
      <w:r>
        <w:rPr>
          <w:sz w:val="22"/>
        </w:rPr>
        <w:t>Systems &amp; Services Ltd.</w:t>
      </w:r>
    </w:p>
    <w:p>
      <w:pPr>
        <w:pStyle w:val="ListParagraph"/>
        <w:numPr>
          <w:ilvl w:val="1"/>
          <w:numId w:val="98"/>
        </w:numPr>
        <w:tabs>
          <w:tab w:pos="846" w:val="left" w:leader="none"/>
        </w:tabs>
        <w:spacing w:line="240" w:lineRule="auto" w:before="90" w:after="0"/>
        <w:ind w:left="846" w:right="0" w:hanging="480"/>
        <w:jc w:val="left"/>
        <w:rPr>
          <w:sz w:val="22"/>
        </w:rPr>
      </w:pPr>
      <w:r>
        <w:rPr>
          <w:spacing w:val="-4"/>
          <w:sz w:val="22"/>
        </w:rPr>
        <w:t>Mr.</w:t>
      </w:r>
      <w:r>
        <w:rPr>
          <w:spacing w:val="-3"/>
          <w:sz w:val="22"/>
        </w:rPr>
        <w:t> </w:t>
      </w:r>
      <w:r>
        <w:rPr>
          <w:spacing w:val="-4"/>
          <w:sz w:val="22"/>
        </w:rPr>
        <w:t>Ramachandran</w:t>
      </w:r>
      <w:r>
        <w:rPr>
          <w:spacing w:val="-2"/>
          <w:sz w:val="22"/>
        </w:rPr>
        <w:t> </w:t>
      </w:r>
      <w:r>
        <w:rPr>
          <w:spacing w:val="-4"/>
          <w:sz w:val="22"/>
        </w:rPr>
        <w:t>A,</w:t>
      </w:r>
      <w:r>
        <w:rPr>
          <w:spacing w:val="-2"/>
          <w:sz w:val="22"/>
        </w:rPr>
        <w:t> </w:t>
      </w:r>
      <w:r>
        <w:rPr>
          <w:spacing w:val="-4"/>
          <w:sz w:val="22"/>
        </w:rPr>
        <w:t>Ganga</w:t>
      </w:r>
      <w:r>
        <w:rPr>
          <w:spacing w:val="-2"/>
          <w:sz w:val="22"/>
        </w:rPr>
        <w:t> </w:t>
      </w:r>
      <w:r>
        <w:rPr>
          <w:spacing w:val="-4"/>
          <w:sz w:val="22"/>
        </w:rPr>
        <w:t>Chemicals</w:t>
      </w:r>
    </w:p>
    <w:p>
      <w:pPr>
        <w:pStyle w:val="ListParagraph"/>
        <w:numPr>
          <w:ilvl w:val="1"/>
          <w:numId w:val="98"/>
        </w:numPr>
        <w:tabs>
          <w:tab w:pos="846" w:val="left" w:leader="none"/>
        </w:tabs>
        <w:spacing w:line="240" w:lineRule="auto" w:before="115" w:after="0"/>
        <w:ind w:left="846" w:right="0" w:hanging="480"/>
        <w:jc w:val="left"/>
        <w:rPr>
          <w:sz w:val="22"/>
        </w:rPr>
      </w:pPr>
      <w:r>
        <w:rPr>
          <w:spacing w:val="-8"/>
          <w:sz w:val="22"/>
        </w:rPr>
        <w:t>Mr.</w:t>
      </w:r>
      <w:r>
        <w:rPr>
          <w:spacing w:val="1"/>
          <w:sz w:val="22"/>
        </w:rPr>
        <w:t> </w:t>
      </w:r>
      <w:r>
        <w:rPr>
          <w:spacing w:val="-8"/>
          <w:sz w:val="22"/>
        </w:rPr>
        <w:t>Sanjeevi</w:t>
      </w:r>
      <w:r>
        <w:rPr>
          <w:spacing w:val="-4"/>
          <w:sz w:val="22"/>
        </w:rPr>
        <w:t> </w:t>
      </w:r>
      <w:r>
        <w:rPr>
          <w:spacing w:val="-8"/>
          <w:sz w:val="22"/>
        </w:rPr>
        <w:t>V,</w:t>
      </w:r>
      <w:r>
        <w:rPr>
          <w:spacing w:val="1"/>
          <w:sz w:val="22"/>
        </w:rPr>
        <w:t> </w:t>
      </w:r>
      <w:r>
        <w:rPr>
          <w:spacing w:val="-8"/>
          <w:sz w:val="22"/>
        </w:rPr>
        <w:t>eLogistics</w:t>
      </w:r>
      <w:r>
        <w:rPr>
          <w:spacing w:val="2"/>
          <w:sz w:val="22"/>
        </w:rPr>
        <w:t> </w:t>
      </w:r>
      <w:r>
        <w:rPr>
          <w:spacing w:val="-8"/>
          <w:sz w:val="22"/>
        </w:rPr>
        <w:t>Pvt.</w:t>
      </w:r>
      <w:r>
        <w:rPr>
          <w:spacing w:val="1"/>
          <w:sz w:val="22"/>
        </w:rPr>
        <w:t> </w:t>
      </w:r>
      <w:r>
        <w:rPr>
          <w:spacing w:val="-8"/>
          <w:sz w:val="22"/>
        </w:rPr>
        <w:t>Ltd.</w:t>
      </w:r>
    </w:p>
    <w:p>
      <w:pPr>
        <w:pStyle w:val="ListParagraph"/>
        <w:numPr>
          <w:ilvl w:val="1"/>
          <w:numId w:val="98"/>
        </w:numPr>
        <w:tabs>
          <w:tab w:pos="846" w:val="left" w:leader="none"/>
        </w:tabs>
        <w:spacing w:line="240" w:lineRule="auto" w:before="115" w:after="0"/>
        <w:ind w:left="846" w:right="0" w:hanging="480"/>
        <w:jc w:val="left"/>
        <w:rPr>
          <w:sz w:val="22"/>
        </w:rPr>
      </w:pPr>
      <w:r>
        <w:rPr>
          <w:spacing w:val="-2"/>
          <w:sz w:val="22"/>
        </w:rPr>
        <w:t>Mr.</w:t>
      </w:r>
      <w:r>
        <w:rPr>
          <w:spacing w:val="-8"/>
          <w:sz w:val="22"/>
        </w:rPr>
        <w:t> </w:t>
      </w:r>
      <w:r>
        <w:rPr>
          <w:spacing w:val="-2"/>
          <w:sz w:val="22"/>
        </w:rPr>
        <w:t>G.R.</w:t>
      </w:r>
      <w:r>
        <w:rPr>
          <w:spacing w:val="-7"/>
          <w:sz w:val="22"/>
        </w:rPr>
        <w:t> </w:t>
      </w:r>
      <w:r>
        <w:rPr>
          <w:spacing w:val="-2"/>
          <w:sz w:val="22"/>
        </w:rPr>
        <w:t>Ravi,</w:t>
      </w:r>
      <w:r>
        <w:rPr>
          <w:spacing w:val="-7"/>
          <w:sz w:val="22"/>
        </w:rPr>
        <w:t> </w:t>
      </w:r>
      <w:r>
        <w:rPr>
          <w:spacing w:val="-2"/>
          <w:sz w:val="22"/>
        </w:rPr>
        <w:t>Medik</w:t>
      </w:r>
      <w:r>
        <w:rPr>
          <w:spacing w:val="-7"/>
          <w:sz w:val="22"/>
        </w:rPr>
        <w:t> </w:t>
      </w:r>
      <w:r>
        <w:rPr>
          <w:spacing w:val="-2"/>
          <w:sz w:val="22"/>
        </w:rPr>
        <w:t>India</w:t>
      </w:r>
      <w:r>
        <w:rPr>
          <w:spacing w:val="-7"/>
          <w:sz w:val="22"/>
        </w:rPr>
        <w:t> </w:t>
      </w:r>
      <w:r>
        <w:rPr>
          <w:spacing w:val="-2"/>
          <w:sz w:val="22"/>
        </w:rPr>
        <w:t>Phytoceuticals</w:t>
      </w:r>
    </w:p>
    <w:p>
      <w:pPr>
        <w:pStyle w:val="ListParagraph"/>
        <w:numPr>
          <w:ilvl w:val="1"/>
          <w:numId w:val="98"/>
        </w:numPr>
        <w:tabs>
          <w:tab w:pos="846" w:val="left" w:leader="none"/>
        </w:tabs>
        <w:spacing w:line="240" w:lineRule="auto" w:before="115" w:after="0"/>
        <w:ind w:left="846" w:right="0" w:hanging="480"/>
        <w:jc w:val="left"/>
        <w:rPr>
          <w:sz w:val="22"/>
        </w:rPr>
      </w:pPr>
      <w:r>
        <w:rPr>
          <w:spacing w:val="-4"/>
          <w:sz w:val="22"/>
        </w:rPr>
        <w:t>Mr.</w:t>
      </w:r>
      <w:r>
        <w:rPr>
          <w:spacing w:val="-2"/>
          <w:sz w:val="22"/>
        </w:rPr>
        <w:t> </w:t>
      </w:r>
      <w:r>
        <w:rPr>
          <w:spacing w:val="-4"/>
          <w:sz w:val="22"/>
        </w:rPr>
        <w:t>L.</w:t>
      </w:r>
      <w:r>
        <w:rPr>
          <w:spacing w:val="-1"/>
          <w:sz w:val="22"/>
        </w:rPr>
        <w:t> </w:t>
      </w:r>
      <w:r>
        <w:rPr>
          <w:spacing w:val="-4"/>
          <w:sz w:val="22"/>
        </w:rPr>
        <w:t>Ashok,</w:t>
      </w:r>
      <w:r>
        <w:rPr>
          <w:sz w:val="22"/>
        </w:rPr>
        <w:t> </w:t>
      </w:r>
      <w:r>
        <w:rPr>
          <w:spacing w:val="-4"/>
          <w:sz w:val="22"/>
        </w:rPr>
        <w:t>Futurenet</w:t>
      </w:r>
      <w:r>
        <w:rPr>
          <w:spacing w:val="-10"/>
          <w:sz w:val="22"/>
        </w:rPr>
        <w:t> </w:t>
      </w:r>
      <w:r>
        <w:rPr>
          <w:spacing w:val="-4"/>
          <w:sz w:val="22"/>
        </w:rPr>
        <w:t>Technologies</w:t>
      </w:r>
    </w:p>
    <w:p>
      <w:pPr>
        <w:pStyle w:val="ListParagraph"/>
        <w:numPr>
          <w:ilvl w:val="1"/>
          <w:numId w:val="98"/>
        </w:numPr>
        <w:tabs>
          <w:tab w:pos="846" w:val="left" w:leader="none"/>
        </w:tabs>
        <w:spacing w:line="264" w:lineRule="auto" w:before="115" w:after="0"/>
        <w:ind w:left="846" w:right="2882" w:hanging="480"/>
        <w:jc w:val="left"/>
        <w:rPr>
          <w:sz w:val="22"/>
        </w:rPr>
      </w:pPr>
      <w:r>
        <w:rPr>
          <w:sz w:val="22"/>
        </w:rPr>
        <w:t>Mr. Govindachari P.S. </w:t>
      </w:r>
      <w:r>
        <w:rPr>
          <w:spacing w:val="-4"/>
          <w:sz w:val="22"/>
        </w:rPr>
        <w:t>Rajsriya</w:t>
      </w:r>
      <w:r>
        <w:rPr>
          <w:spacing w:val="-10"/>
          <w:sz w:val="22"/>
        </w:rPr>
        <w:t> </w:t>
      </w:r>
      <w:r>
        <w:rPr>
          <w:spacing w:val="-4"/>
          <w:sz w:val="22"/>
        </w:rPr>
        <w:t>Group</w:t>
      </w:r>
      <w:r>
        <w:rPr>
          <w:spacing w:val="-10"/>
          <w:sz w:val="22"/>
        </w:rPr>
        <w:t> </w:t>
      </w:r>
      <w:r>
        <w:rPr>
          <w:spacing w:val="-4"/>
          <w:sz w:val="22"/>
        </w:rPr>
        <w:t>of</w:t>
      </w:r>
      <w:r>
        <w:rPr>
          <w:spacing w:val="-10"/>
          <w:sz w:val="22"/>
        </w:rPr>
        <w:t> </w:t>
      </w:r>
      <w:r>
        <w:rPr>
          <w:spacing w:val="-4"/>
          <w:sz w:val="22"/>
        </w:rPr>
        <w:t>Industries</w:t>
      </w:r>
    </w:p>
    <w:p>
      <w:pPr>
        <w:pStyle w:val="ListParagraph"/>
        <w:numPr>
          <w:ilvl w:val="1"/>
          <w:numId w:val="98"/>
        </w:numPr>
        <w:tabs>
          <w:tab w:pos="846" w:val="left" w:leader="none"/>
        </w:tabs>
        <w:spacing w:line="240" w:lineRule="auto" w:before="89" w:after="0"/>
        <w:ind w:left="846" w:right="0" w:hanging="480"/>
        <w:jc w:val="left"/>
        <w:rPr>
          <w:sz w:val="22"/>
        </w:rPr>
      </w:pPr>
      <w:r>
        <w:rPr>
          <w:spacing w:val="-8"/>
          <w:sz w:val="22"/>
        </w:rPr>
        <w:t>Mr.</w:t>
      </w:r>
      <w:r>
        <w:rPr>
          <w:spacing w:val="-5"/>
          <w:sz w:val="22"/>
        </w:rPr>
        <w:t> </w:t>
      </w:r>
      <w:r>
        <w:rPr>
          <w:spacing w:val="-8"/>
          <w:sz w:val="22"/>
        </w:rPr>
        <w:t>K</w:t>
      </w:r>
      <w:r>
        <w:rPr>
          <w:spacing w:val="-4"/>
          <w:sz w:val="22"/>
        </w:rPr>
        <w:t> </w:t>
      </w:r>
      <w:r>
        <w:rPr>
          <w:spacing w:val="-8"/>
          <w:sz w:val="22"/>
        </w:rPr>
        <w:t>Shivaram</w:t>
      </w:r>
      <w:r>
        <w:rPr>
          <w:spacing w:val="-4"/>
          <w:sz w:val="22"/>
        </w:rPr>
        <w:t> </w:t>
      </w:r>
      <w:r>
        <w:rPr>
          <w:spacing w:val="-8"/>
          <w:sz w:val="22"/>
        </w:rPr>
        <w:t>Alva,</w:t>
      </w:r>
      <w:r>
        <w:rPr>
          <w:spacing w:val="-4"/>
          <w:sz w:val="22"/>
        </w:rPr>
        <w:t> </w:t>
      </w:r>
      <w:r>
        <w:rPr>
          <w:spacing w:val="-8"/>
          <w:sz w:val="22"/>
        </w:rPr>
        <w:t>Allva</w:t>
      </w:r>
      <w:r>
        <w:rPr>
          <w:spacing w:val="-4"/>
          <w:sz w:val="22"/>
        </w:rPr>
        <w:t> </w:t>
      </w:r>
      <w:r>
        <w:rPr>
          <w:spacing w:val="-8"/>
          <w:sz w:val="22"/>
        </w:rPr>
        <w:t>Plast</w:t>
      </w:r>
    </w:p>
    <w:p>
      <w:pPr>
        <w:spacing w:after="0" w:line="240" w:lineRule="auto"/>
        <w:jc w:val="left"/>
        <w:rPr>
          <w:sz w:val="22"/>
        </w:rPr>
        <w:sectPr>
          <w:pgSz w:w="11910" w:h="16840"/>
          <w:pgMar w:header="0" w:footer="675" w:top="940" w:bottom="860" w:left="0" w:right="0"/>
          <w:cols w:num="2" w:equalWidth="0">
            <w:col w:w="5727" w:space="40"/>
            <w:col w:w="6143"/>
          </w:cols>
        </w:sectPr>
      </w:pPr>
    </w:p>
    <w:p>
      <w:pPr>
        <w:pStyle w:val="ListParagraph"/>
        <w:numPr>
          <w:ilvl w:val="1"/>
          <w:numId w:val="98"/>
        </w:numPr>
        <w:tabs>
          <w:tab w:pos="1560" w:val="left" w:leader="none"/>
        </w:tabs>
        <w:spacing w:line="266" w:lineRule="auto" w:before="57" w:after="0"/>
        <w:ind w:left="1560" w:right="436" w:hanging="480"/>
        <w:jc w:val="left"/>
        <w:rPr>
          <w:sz w:val="22"/>
        </w:rPr>
      </w:pPr>
      <w:r>
        <w:rPr>
          <w:spacing w:val="-6"/>
          <w:sz w:val="22"/>
        </w:rPr>
        <w:t>Mr. V.P.N. Rahman, Nadeem </w:t>
      </w:r>
      <w:r>
        <w:rPr>
          <w:spacing w:val="-6"/>
          <w:sz w:val="22"/>
        </w:rPr>
        <w:t>Leatherware </w:t>
      </w:r>
      <w:r>
        <w:rPr>
          <w:spacing w:val="-2"/>
          <w:sz w:val="22"/>
        </w:rPr>
        <w:t>Exports</w:t>
      </w:r>
    </w:p>
    <w:p>
      <w:pPr>
        <w:pStyle w:val="ListParagraph"/>
        <w:numPr>
          <w:ilvl w:val="1"/>
          <w:numId w:val="98"/>
        </w:numPr>
        <w:tabs>
          <w:tab w:pos="1560" w:val="left" w:leader="none"/>
        </w:tabs>
        <w:spacing w:line="266" w:lineRule="auto" w:before="89" w:after="0"/>
        <w:ind w:left="1560" w:right="435" w:hanging="480"/>
        <w:jc w:val="left"/>
        <w:rPr>
          <w:sz w:val="22"/>
        </w:rPr>
      </w:pPr>
      <w:r>
        <w:rPr>
          <w:spacing w:val="-6"/>
          <w:sz w:val="22"/>
        </w:rPr>
        <w:t>Mr.</w:t>
      </w:r>
      <w:r>
        <w:rPr>
          <w:spacing w:val="-8"/>
          <w:sz w:val="22"/>
        </w:rPr>
        <w:t> </w:t>
      </w:r>
      <w:r>
        <w:rPr>
          <w:spacing w:val="-6"/>
          <w:sz w:val="22"/>
        </w:rPr>
        <w:t>Vara</w:t>
      </w:r>
      <w:r>
        <w:rPr>
          <w:spacing w:val="-8"/>
          <w:sz w:val="22"/>
        </w:rPr>
        <w:t> </w:t>
      </w:r>
      <w:r>
        <w:rPr>
          <w:spacing w:val="-6"/>
          <w:sz w:val="22"/>
        </w:rPr>
        <w:t>Prasad</w:t>
      </w:r>
      <w:r>
        <w:rPr>
          <w:spacing w:val="-8"/>
          <w:sz w:val="22"/>
        </w:rPr>
        <w:t> </w:t>
      </w:r>
      <w:r>
        <w:rPr>
          <w:spacing w:val="-6"/>
          <w:sz w:val="22"/>
        </w:rPr>
        <w:t>Raju</w:t>
      </w:r>
      <w:r>
        <w:rPr>
          <w:spacing w:val="-7"/>
          <w:sz w:val="22"/>
        </w:rPr>
        <w:t> </w:t>
      </w:r>
      <w:r>
        <w:rPr>
          <w:spacing w:val="-6"/>
          <w:sz w:val="22"/>
        </w:rPr>
        <w:t>P,</w:t>
      </w:r>
      <w:r>
        <w:rPr>
          <w:spacing w:val="-8"/>
          <w:sz w:val="22"/>
        </w:rPr>
        <w:t> </w:t>
      </w:r>
      <w:r>
        <w:rPr>
          <w:spacing w:val="-6"/>
          <w:sz w:val="22"/>
        </w:rPr>
        <w:t>Sigma</w:t>
      </w:r>
      <w:r>
        <w:rPr>
          <w:spacing w:val="-8"/>
          <w:sz w:val="22"/>
        </w:rPr>
        <w:t> </w:t>
      </w:r>
      <w:r>
        <w:rPr>
          <w:spacing w:val="-6"/>
          <w:sz w:val="22"/>
        </w:rPr>
        <w:t>Solid</w:t>
      </w:r>
      <w:r>
        <w:rPr>
          <w:spacing w:val="-8"/>
          <w:sz w:val="22"/>
        </w:rPr>
        <w:t> </w:t>
      </w:r>
      <w:r>
        <w:rPr>
          <w:spacing w:val="-6"/>
          <w:sz w:val="22"/>
        </w:rPr>
        <w:t>Strips </w:t>
      </w:r>
      <w:r>
        <w:rPr>
          <w:sz w:val="22"/>
        </w:rPr>
        <w:t>Pvt. Ltd.</w:t>
      </w:r>
    </w:p>
    <w:p>
      <w:pPr>
        <w:pStyle w:val="ListParagraph"/>
        <w:numPr>
          <w:ilvl w:val="1"/>
          <w:numId w:val="98"/>
        </w:numPr>
        <w:tabs>
          <w:tab w:pos="1560" w:val="left" w:leader="none"/>
        </w:tabs>
        <w:spacing w:line="266" w:lineRule="auto" w:before="88" w:after="0"/>
        <w:ind w:left="1560" w:right="596" w:hanging="480"/>
        <w:jc w:val="left"/>
        <w:rPr>
          <w:sz w:val="22"/>
        </w:rPr>
      </w:pPr>
      <w:r>
        <w:rPr>
          <w:spacing w:val="-6"/>
          <w:sz w:val="22"/>
        </w:rPr>
        <w:t>Mr.</w:t>
      </w:r>
      <w:r>
        <w:rPr>
          <w:spacing w:val="-10"/>
          <w:sz w:val="22"/>
        </w:rPr>
        <w:t> </w:t>
      </w:r>
      <w:r>
        <w:rPr>
          <w:spacing w:val="-6"/>
          <w:sz w:val="22"/>
        </w:rPr>
        <w:t>Amit</w:t>
      </w:r>
      <w:r>
        <w:rPr>
          <w:spacing w:val="-8"/>
          <w:sz w:val="22"/>
        </w:rPr>
        <w:t> </w:t>
      </w:r>
      <w:r>
        <w:rPr>
          <w:spacing w:val="-6"/>
          <w:sz w:val="22"/>
        </w:rPr>
        <w:t>Vaishnav,</w:t>
      </w:r>
      <w:r>
        <w:rPr>
          <w:spacing w:val="-8"/>
          <w:sz w:val="22"/>
        </w:rPr>
        <w:t> </w:t>
      </w:r>
      <w:r>
        <w:rPr>
          <w:spacing w:val="-6"/>
          <w:sz w:val="22"/>
        </w:rPr>
        <w:t>Megafoods</w:t>
      </w:r>
      <w:r>
        <w:rPr>
          <w:spacing w:val="-7"/>
          <w:sz w:val="22"/>
        </w:rPr>
        <w:t> </w:t>
      </w:r>
      <w:r>
        <w:rPr>
          <w:spacing w:val="-6"/>
          <w:sz w:val="22"/>
        </w:rPr>
        <w:t>Products </w:t>
      </w:r>
      <w:r>
        <w:rPr>
          <w:sz w:val="22"/>
        </w:rPr>
        <w:t>Madras (P)</w:t>
      </w:r>
    </w:p>
    <w:p>
      <w:pPr>
        <w:pStyle w:val="ListParagraph"/>
        <w:numPr>
          <w:ilvl w:val="1"/>
          <w:numId w:val="98"/>
        </w:numPr>
        <w:tabs>
          <w:tab w:pos="1560" w:val="left" w:leader="none"/>
        </w:tabs>
        <w:spacing w:line="266" w:lineRule="auto" w:before="88" w:after="0"/>
        <w:ind w:left="1560" w:right="57" w:hanging="480"/>
        <w:jc w:val="left"/>
        <w:rPr>
          <w:sz w:val="22"/>
        </w:rPr>
      </w:pPr>
      <w:r>
        <w:rPr>
          <w:spacing w:val="-4"/>
          <w:sz w:val="22"/>
        </w:rPr>
        <w:t>Mr.</w:t>
      </w:r>
      <w:r>
        <w:rPr>
          <w:spacing w:val="-5"/>
          <w:sz w:val="22"/>
        </w:rPr>
        <w:t> </w:t>
      </w:r>
      <w:r>
        <w:rPr>
          <w:spacing w:val="-4"/>
          <w:sz w:val="22"/>
        </w:rPr>
        <w:t>D.S.</w:t>
      </w:r>
      <w:r>
        <w:rPr>
          <w:spacing w:val="-5"/>
          <w:sz w:val="22"/>
        </w:rPr>
        <w:t> </w:t>
      </w:r>
      <w:r>
        <w:rPr>
          <w:spacing w:val="-4"/>
          <w:sz w:val="22"/>
        </w:rPr>
        <w:t>Balachandra</w:t>
      </w:r>
      <w:r>
        <w:rPr>
          <w:spacing w:val="-5"/>
          <w:sz w:val="22"/>
        </w:rPr>
        <w:t> </w:t>
      </w:r>
      <w:r>
        <w:rPr>
          <w:spacing w:val="-4"/>
          <w:sz w:val="22"/>
        </w:rPr>
        <w:t>Babu,</w:t>
      </w:r>
      <w:r>
        <w:rPr>
          <w:spacing w:val="-5"/>
          <w:sz w:val="22"/>
        </w:rPr>
        <w:t> </w:t>
      </w:r>
      <w:r>
        <w:rPr>
          <w:spacing w:val="-4"/>
          <w:sz w:val="22"/>
        </w:rPr>
        <w:t>Fram</w:t>
      </w:r>
      <w:r>
        <w:rPr>
          <w:spacing w:val="-5"/>
          <w:sz w:val="22"/>
        </w:rPr>
        <w:t> </w:t>
      </w:r>
      <w:r>
        <w:rPr>
          <w:spacing w:val="-4"/>
          <w:sz w:val="22"/>
        </w:rPr>
        <w:t>Implements </w:t>
      </w:r>
      <w:r>
        <w:rPr>
          <w:sz w:val="22"/>
        </w:rPr>
        <w:t>Pvt. Ltd.</w:t>
      </w:r>
    </w:p>
    <w:p>
      <w:pPr>
        <w:pStyle w:val="ListParagraph"/>
        <w:numPr>
          <w:ilvl w:val="1"/>
          <w:numId w:val="98"/>
        </w:numPr>
        <w:tabs>
          <w:tab w:pos="1559" w:val="left" w:leader="none"/>
        </w:tabs>
        <w:spacing w:line="240" w:lineRule="auto" w:before="89" w:after="0"/>
        <w:ind w:left="1559" w:right="0" w:hanging="480"/>
        <w:jc w:val="left"/>
        <w:rPr>
          <w:sz w:val="22"/>
        </w:rPr>
      </w:pPr>
      <w:r>
        <w:rPr>
          <w:spacing w:val="-8"/>
          <w:sz w:val="22"/>
        </w:rPr>
        <w:t>Mr.</w:t>
      </w:r>
      <w:r>
        <w:rPr>
          <w:spacing w:val="5"/>
          <w:sz w:val="22"/>
        </w:rPr>
        <w:t> </w:t>
      </w:r>
      <w:r>
        <w:rPr>
          <w:spacing w:val="-8"/>
          <w:sz w:val="22"/>
        </w:rPr>
        <w:t>Naveen</w:t>
      </w:r>
      <w:r>
        <w:rPr>
          <w:spacing w:val="1"/>
          <w:sz w:val="22"/>
        </w:rPr>
        <w:t> </w:t>
      </w:r>
      <w:r>
        <w:rPr>
          <w:spacing w:val="-8"/>
          <w:sz w:val="22"/>
        </w:rPr>
        <w:t>Velagapalli,</w:t>
      </w:r>
      <w:r>
        <w:rPr>
          <w:sz w:val="22"/>
        </w:rPr>
        <w:t> </w:t>
      </w:r>
      <w:r>
        <w:rPr>
          <w:spacing w:val="-8"/>
          <w:sz w:val="22"/>
        </w:rPr>
        <w:t>Vitalife</w:t>
      </w:r>
      <w:r>
        <w:rPr>
          <w:spacing w:val="6"/>
          <w:sz w:val="22"/>
        </w:rPr>
        <w:t> </w:t>
      </w:r>
      <w:r>
        <w:rPr>
          <w:spacing w:val="-8"/>
          <w:sz w:val="22"/>
        </w:rPr>
        <w:t>Clinic</w:t>
      </w:r>
    </w:p>
    <w:p>
      <w:pPr>
        <w:pStyle w:val="ListParagraph"/>
        <w:numPr>
          <w:ilvl w:val="1"/>
          <w:numId w:val="98"/>
        </w:numPr>
        <w:tabs>
          <w:tab w:pos="1560" w:val="left" w:leader="none"/>
        </w:tabs>
        <w:spacing w:line="266" w:lineRule="auto" w:before="117" w:after="0"/>
        <w:ind w:left="1560" w:right="1096" w:hanging="480"/>
        <w:jc w:val="left"/>
        <w:rPr>
          <w:sz w:val="22"/>
        </w:rPr>
      </w:pPr>
      <w:r>
        <w:rPr>
          <w:spacing w:val="-4"/>
          <w:sz w:val="22"/>
        </w:rPr>
        <w:t>Mr.</w:t>
      </w:r>
      <w:r>
        <w:rPr>
          <w:spacing w:val="-10"/>
          <w:sz w:val="22"/>
        </w:rPr>
        <w:t> </w:t>
      </w:r>
      <w:r>
        <w:rPr>
          <w:spacing w:val="-4"/>
          <w:sz w:val="22"/>
        </w:rPr>
        <w:t>Suhas</w:t>
      </w:r>
      <w:r>
        <w:rPr>
          <w:spacing w:val="-10"/>
          <w:sz w:val="22"/>
        </w:rPr>
        <w:t> </w:t>
      </w:r>
      <w:r>
        <w:rPr>
          <w:spacing w:val="-4"/>
          <w:sz w:val="22"/>
        </w:rPr>
        <w:t>Gopinath,</w:t>
      </w:r>
      <w:r>
        <w:rPr>
          <w:spacing w:val="-10"/>
          <w:sz w:val="22"/>
        </w:rPr>
        <w:t> </w:t>
      </w:r>
      <w:r>
        <w:rPr>
          <w:spacing w:val="-4"/>
          <w:sz w:val="22"/>
        </w:rPr>
        <w:t>Globals</w:t>
      </w:r>
      <w:r>
        <w:rPr>
          <w:spacing w:val="-9"/>
          <w:sz w:val="22"/>
        </w:rPr>
        <w:t> </w:t>
      </w:r>
      <w:r>
        <w:rPr>
          <w:spacing w:val="-4"/>
          <w:sz w:val="22"/>
        </w:rPr>
        <w:t>ITeS </w:t>
      </w:r>
      <w:r>
        <w:rPr>
          <w:sz w:val="22"/>
        </w:rPr>
        <w:t>Pvt. Ltd.</w:t>
      </w:r>
    </w:p>
    <w:p>
      <w:pPr>
        <w:pStyle w:val="ListParagraph"/>
        <w:numPr>
          <w:ilvl w:val="1"/>
          <w:numId w:val="98"/>
        </w:numPr>
        <w:tabs>
          <w:tab w:pos="1559" w:val="left" w:leader="none"/>
        </w:tabs>
        <w:spacing w:line="240" w:lineRule="auto" w:before="88" w:after="0"/>
        <w:ind w:left="1559" w:right="0" w:hanging="480"/>
        <w:jc w:val="left"/>
        <w:rPr>
          <w:sz w:val="22"/>
        </w:rPr>
      </w:pPr>
      <w:r>
        <w:rPr>
          <w:spacing w:val="-8"/>
          <w:sz w:val="22"/>
        </w:rPr>
        <w:t>Mr.</w:t>
      </w:r>
      <w:r>
        <w:rPr>
          <w:sz w:val="22"/>
        </w:rPr>
        <w:t> </w:t>
      </w:r>
      <w:r>
        <w:rPr>
          <w:spacing w:val="-8"/>
          <w:sz w:val="22"/>
        </w:rPr>
        <w:t>B.A.</w:t>
      </w:r>
      <w:r>
        <w:rPr>
          <w:sz w:val="22"/>
        </w:rPr>
        <w:t> </w:t>
      </w:r>
      <w:r>
        <w:rPr>
          <w:spacing w:val="-8"/>
          <w:sz w:val="22"/>
        </w:rPr>
        <w:t>Srinivasa,</w:t>
      </w:r>
      <w:r>
        <w:rPr>
          <w:spacing w:val="-4"/>
          <w:sz w:val="22"/>
        </w:rPr>
        <w:t> </w:t>
      </w:r>
      <w:r>
        <w:rPr>
          <w:spacing w:val="-8"/>
          <w:sz w:val="22"/>
        </w:rPr>
        <w:t>Vivek</w:t>
      </w:r>
      <w:r>
        <w:rPr>
          <w:sz w:val="22"/>
        </w:rPr>
        <w:t> </w:t>
      </w:r>
      <w:r>
        <w:rPr>
          <w:spacing w:val="-8"/>
          <w:sz w:val="22"/>
        </w:rPr>
        <w:t>Ltd.</w:t>
      </w:r>
    </w:p>
    <w:p>
      <w:pPr>
        <w:pStyle w:val="ListParagraph"/>
        <w:numPr>
          <w:ilvl w:val="1"/>
          <w:numId w:val="98"/>
        </w:numPr>
        <w:tabs>
          <w:tab w:pos="1559" w:val="left" w:leader="none"/>
        </w:tabs>
        <w:spacing w:line="240" w:lineRule="auto" w:before="117" w:after="0"/>
        <w:ind w:left="1559" w:right="0" w:hanging="480"/>
        <w:jc w:val="left"/>
        <w:rPr>
          <w:sz w:val="22"/>
        </w:rPr>
      </w:pPr>
      <w:r>
        <w:rPr>
          <w:spacing w:val="-6"/>
          <w:sz w:val="22"/>
        </w:rPr>
        <w:t>Ms.</w:t>
      </w:r>
      <w:r>
        <w:rPr>
          <w:sz w:val="22"/>
        </w:rPr>
        <w:t> </w:t>
      </w:r>
      <w:r>
        <w:rPr>
          <w:spacing w:val="-6"/>
          <w:sz w:val="22"/>
        </w:rPr>
        <w:t>Rajeshwari,</w:t>
      </w:r>
      <w:r>
        <w:rPr>
          <w:sz w:val="22"/>
        </w:rPr>
        <w:t> </w:t>
      </w:r>
      <w:r>
        <w:rPr>
          <w:spacing w:val="-6"/>
          <w:sz w:val="22"/>
        </w:rPr>
        <w:t>Akshya</w:t>
      </w:r>
    </w:p>
    <w:p>
      <w:pPr>
        <w:pStyle w:val="ListParagraph"/>
        <w:numPr>
          <w:ilvl w:val="1"/>
          <w:numId w:val="98"/>
        </w:numPr>
        <w:tabs>
          <w:tab w:pos="1560" w:val="left" w:leader="none"/>
        </w:tabs>
        <w:spacing w:line="266" w:lineRule="auto" w:before="117" w:after="0"/>
        <w:ind w:left="1560" w:right="335" w:hanging="480"/>
        <w:jc w:val="left"/>
        <w:rPr>
          <w:sz w:val="22"/>
        </w:rPr>
      </w:pPr>
      <w:r>
        <w:rPr>
          <w:spacing w:val="-4"/>
          <w:sz w:val="22"/>
        </w:rPr>
        <w:t>Mr.</w:t>
      </w:r>
      <w:r>
        <w:rPr>
          <w:spacing w:val="-10"/>
          <w:sz w:val="22"/>
        </w:rPr>
        <w:t> </w:t>
      </w:r>
      <w:r>
        <w:rPr>
          <w:spacing w:val="-4"/>
          <w:sz w:val="22"/>
        </w:rPr>
        <w:t>A</w:t>
      </w:r>
      <w:r>
        <w:rPr>
          <w:spacing w:val="-10"/>
          <w:sz w:val="22"/>
        </w:rPr>
        <w:t> </w:t>
      </w:r>
      <w:r>
        <w:rPr>
          <w:spacing w:val="-4"/>
          <w:sz w:val="22"/>
        </w:rPr>
        <w:t>Benedict,</w:t>
      </w:r>
      <w:r>
        <w:rPr>
          <w:spacing w:val="-10"/>
          <w:sz w:val="22"/>
        </w:rPr>
        <w:t> </w:t>
      </w:r>
      <w:r>
        <w:rPr>
          <w:spacing w:val="-4"/>
          <w:sz w:val="22"/>
        </w:rPr>
        <w:t>Mercy</w:t>
      </w:r>
      <w:r>
        <w:rPr>
          <w:spacing w:val="-9"/>
          <w:sz w:val="22"/>
        </w:rPr>
        <w:t> </w:t>
      </w:r>
      <w:r>
        <w:rPr>
          <w:spacing w:val="-4"/>
          <w:sz w:val="22"/>
        </w:rPr>
        <w:t>Hygiene</w:t>
      </w:r>
      <w:r>
        <w:rPr>
          <w:spacing w:val="-10"/>
          <w:sz w:val="22"/>
        </w:rPr>
        <w:t> </w:t>
      </w:r>
      <w:r>
        <w:rPr>
          <w:spacing w:val="-4"/>
          <w:sz w:val="22"/>
        </w:rPr>
        <w:t>Healthcare </w:t>
      </w:r>
      <w:r>
        <w:rPr>
          <w:spacing w:val="-2"/>
          <w:sz w:val="22"/>
        </w:rPr>
        <w:t>Products</w:t>
      </w:r>
    </w:p>
    <w:p>
      <w:pPr>
        <w:pStyle w:val="ListParagraph"/>
        <w:numPr>
          <w:ilvl w:val="1"/>
          <w:numId w:val="98"/>
        </w:numPr>
        <w:tabs>
          <w:tab w:pos="1559" w:val="left" w:leader="none"/>
        </w:tabs>
        <w:spacing w:line="240" w:lineRule="auto" w:before="89" w:after="0"/>
        <w:ind w:left="1559" w:right="0" w:hanging="480"/>
        <w:jc w:val="left"/>
        <w:rPr>
          <w:sz w:val="22"/>
        </w:rPr>
      </w:pPr>
      <w:r>
        <w:rPr>
          <w:spacing w:val="-4"/>
          <w:sz w:val="22"/>
        </w:rPr>
        <w:t>Mr.</w:t>
      </w:r>
      <w:r>
        <w:rPr>
          <w:spacing w:val="-6"/>
          <w:sz w:val="22"/>
        </w:rPr>
        <w:t> </w:t>
      </w:r>
      <w:r>
        <w:rPr>
          <w:spacing w:val="-4"/>
          <w:sz w:val="22"/>
        </w:rPr>
        <w:t>Anoop</w:t>
      </w:r>
      <w:r>
        <w:rPr>
          <w:spacing w:val="-6"/>
          <w:sz w:val="22"/>
        </w:rPr>
        <w:t> </w:t>
      </w:r>
      <w:r>
        <w:rPr>
          <w:spacing w:val="-4"/>
          <w:sz w:val="22"/>
        </w:rPr>
        <w:t>Mehandale,</w:t>
      </w:r>
      <w:r>
        <w:rPr>
          <w:spacing w:val="-5"/>
          <w:sz w:val="22"/>
        </w:rPr>
        <w:t> </w:t>
      </w:r>
      <w:r>
        <w:rPr>
          <w:spacing w:val="-4"/>
          <w:sz w:val="22"/>
        </w:rPr>
        <w:t>Latent</w:t>
      </w:r>
      <w:r>
        <w:rPr>
          <w:spacing w:val="-9"/>
          <w:sz w:val="22"/>
        </w:rPr>
        <w:t> </w:t>
      </w:r>
      <w:r>
        <w:rPr>
          <w:spacing w:val="-4"/>
          <w:sz w:val="22"/>
        </w:rPr>
        <w:t>View</w:t>
      </w:r>
      <w:r>
        <w:rPr>
          <w:spacing w:val="-6"/>
          <w:sz w:val="22"/>
        </w:rPr>
        <w:t> </w:t>
      </w:r>
      <w:r>
        <w:rPr>
          <w:spacing w:val="-4"/>
          <w:sz w:val="22"/>
        </w:rPr>
        <w:t>Analytics</w:t>
      </w:r>
    </w:p>
    <w:p>
      <w:pPr>
        <w:pStyle w:val="ListParagraph"/>
        <w:numPr>
          <w:ilvl w:val="1"/>
          <w:numId w:val="98"/>
        </w:numPr>
        <w:tabs>
          <w:tab w:pos="1559" w:val="left" w:leader="none"/>
        </w:tabs>
        <w:spacing w:line="240" w:lineRule="auto" w:before="117" w:after="0"/>
        <w:ind w:left="1559" w:right="0" w:hanging="479"/>
        <w:jc w:val="left"/>
        <w:rPr>
          <w:b/>
          <w:i/>
          <w:sz w:val="22"/>
        </w:rPr>
      </w:pPr>
      <w:r>
        <w:rPr>
          <w:spacing w:val="-4"/>
          <w:sz w:val="22"/>
        </w:rPr>
        <w:t>Mr.</w:t>
      </w:r>
      <w:r>
        <w:rPr>
          <w:spacing w:val="-7"/>
          <w:sz w:val="22"/>
        </w:rPr>
        <w:t> </w:t>
      </w:r>
      <w:r>
        <w:rPr>
          <w:spacing w:val="-4"/>
          <w:sz w:val="22"/>
        </w:rPr>
        <w:t>Rupesh</w:t>
      </w:r>
      <w:r>
        <w:rPr>
          <w:spacing w:val="-7"/>
          <w:sz w:val="22"/>
        </w:rPr>
        <w:t> </w:t>
      </w:r>
      <w:r>
        <w:rPr>
          <w:spacing w:val="-4"/>
          <w:sz w:val="22"/>
        </w:rPr>
        <w:t>Shah,</w:t>
      </w:r>
      <w:r>
        <w:rPr>
          <w:spacing w:val="-7"/>
          <w:sz w:val="22"/>
        </w:rPr>
        <w:t> </w:t>
      </w:r>
      <w:r>
        <w:rPr>
          <w:spacing w:val="-4"/>
          <w:sz w:val="22"/>
        </w:rPr>
        <w:t>Sonya</w:t>
      </w:r>
      <w:r>
        <w:rPr>
          <w:spacing w:val="-7"/>
          <w:sz w:val="22"/>
        </w:rPr>
        <w:t> </w:t>
      </w:r>
      <w:r>
        <w:rPr>
          <w:spacing w:val="-4"/>
          <w:sz w:val="22"/>
        </w:rPr>
        <w:t>Ceramics</w:t>
      </w:r>
    </w:p>
    <w:p>
      <w:pPr>
        <w:pStyle w:val="ListParagraph"/>
        <w:numPr>
          <w:ilvl w:val="1"/>
          <w:numId w:val="98"/>
        </w:numPr>
        <w:tabs>
          <w:tab w:pos="1559" w:val="left" w:leader="none"/>
        </w:tabs>
        <w:spacing w:line="240" w:lineRule="auto" w:before="117" w:after="0"/>
        <w:ind w:left="1559" w:right="0" w:hanging="479"/>
        <w:jc w:val="left"/>
        <w:rPr>
          <w:sz w:val="22"/>
        </w:rPr>
      </w:pPr>
      <w:r>
        <w:rPr>
          <w:spacing w:val="-2"/>
          <w:sz w:val="22"/>
        </w:rPr>
        <w:t>Dr.</w:t>
      </w:r>
      <w:r>
        <w:rPr>
          <w:spacing w:val="-9"/>
          <w:sz w:val="22"/>
        </w:rPr>
        <w:t> </w:t>
      </w:r>
      <w:r>
        <w:rPr>
          <w:spacing w:val="-2"/>
          <w:sz w:val="22"/>
        </w:rPr>
        <w:t>Nita</w:t>
      </w:r>
      <w:r>
        <w:rPr>
          <w:spacing w:val="-9"/>
          <w:sz w:val="22"/>
        </w:rPr>
        <w:t> </w:t>
      </w:r>
      <w:r>
        <w:rPr>
          <w:spacing w:val="-2"/>
          <w:sz w:val="22"/>
        </w:rPr>
        <w:t>Goswami,</w:t>
      </w:r>
      <w:r>
        <w:rPr>
          <w:spacing w:val="-8"/>
          <w:sz w:val="22"/>
        </w:rPr>
        <w:t> </w:t>
      </w:r>
      <w:r>
        <w:rPr>
          <w:spacing w:val="-2"/>
          <w:sz w:val="22"/>
        </w:rPr>
        <w:t>Rucha</w:t>
      </w:r>
      <w:r>
        <w:rPr>
          <w:spacing w:val="-9"/>
          <w:sz w:val="22"/>
        </w:rPr>
        <w:t> </w:t>
      </w:r>
      <w:r>
        <w:rPr>
          <w:spacing w:val="-2"/>
          <w:sz w:val="22"/>
        </w:rPr>
        <w:t>Pharmaceuticals</w:t>
      </w:r>
    </w:p>
    <w:p>
      <w:pPr>
        <w:pStyle w:val="ListParagraph"/>
        <w:numPr>
          <w:ilvl w:val="1"/>
          <w:numId w:val="98"/>
        </w:numPr>
        <w:tabs>
          <w:tab w:pos="1559" w:val="left" w:leader="none"/>
        </w:tabs>
        <w:spacing w:line="240" w:lineRule="auto" w:before="117" w:after="0"/>
        <w:ind w:left="1559" w:right="0" w:hanging="479"/>
        <w:jc w:val="left"/>
        <w:rPr>
          <w:sz w:val="22"/>
        </w:rPr>
      </w:pPr>
      <w:r>
        <w:rPr>
          <w:spacing w:val="-4"/>
          <w:sz w:val="22"/>
        </w:rPr>
        <w:t>Mr.</w:t>
      </w:r>
      <w:r>
        <w:rPr>
          <w:spacing w:val="-6"/>
          <w:sz w:val="22"/>
        </w:rPr>
        <w:t> </w:t>
      </w:r>
      <w:r>
        <w:rPr>
          <w:spacing w:val="-4"/>
          <w:sz w:val="22"/>
        </w:rPr>
        <w:t>Indrajit</w:t>
      </w:r>
      <w:r>
        <w:rPr>
          <w:spacing w:val="-6"/>
          <w:sz w:val="22"/>
        </w:rPr>
        <w:t> </w:t>
      </w:r>
      <w:r>
        <w:rPr>
          <w:spacing w:val="-4"/>
          <w:sz w:val="22"/>
        </w:rPr>
        <w:t>Simlai,</w:t>
      </w:r>
      <w:r>
        <w:rPr>
          <w:spacing w:val="-5"/>
          <w:sz w:val="22"/>
        </w:rPr>
        <w:t> </w:t>
      </w:r>
      <w:r>
        <w:rPr>
          <w:spacing w:val="-4"/>
          <w:sz w:val="22"/>
        </w:rPr>
        <w:t>SSBI</w:t>
      </w:r>
      <w:r>
        <w:rPr>
          <w:spacing w:val="-6"/>
          <w:sz w:val="22"/>
        </w:rPr>
        <w:t> </w:t>
      </w:r>
      <w:r>
        <w:rPr>
          <w:spacing w:val="-4"/>
          <w:sz w:val="22"/>
        </w:rPr>
        <w:t>Exports</w:t>
      </w:r>
    </w:p>
    <w:p>
      <w:pPr>
        <w:pStyle w:val="ListParagraph"/>
        <w:numPr>
          <w:ilvl w:val="1"/>
          <w:numId w:val="98"/>
        </w:numPr>
        <w:tabs>
          <w:tab w:pos="1559" w:val="left" w:leader="none"/>
        </w:tabs>
        <w:spacing w:line="240" w:lineRule="auto" w:before="117" w:after="0"/>
        <w:ind w:left="1559" w:right="0" w:hanging="479"/>
        <w:jc w:val="left"/>
        <w:rPr>
          <w:sz w:val="22"/>
        </w:rPr>
      </w:pPr>
      <w:r>
        <w:rPr>
          <w:spacing w:val="-6"/>
          <w:sz w:val="22"/>
        </w:rPr>
        <w:t>Mr.</w:t>
      </w:r>
      <w:r>
        <w:rPr>
          <w:spacing w:val="-1"/>
          <w:sz w:val="22"/>
        </w:rPr>
        <w:t> </w:t>
      </w:r>
      <w:r>
        <w:rPr>
          <w:spacing w:val="-6"/>
          <w:sz w:val="22"/>
        </w:rPr>
        <w:t>Jasvinder</w:t>
      </w:r>
      <w:r>
        <w:rPr>
          <w:sz w:val="22"/>
        </w:rPr>
        <w:t> </w:t>
      </w:r>
      <w:r>
        <w:rPr>
          <w:spacing w:val="-6"/>
          <w:sz w:val="22"/>
        </w:rPr>
        <w:t>Singh,</w:t>
      </w:r>
      <w:r>
        <w:rPr>
          <w:sz w:val="22"/>
        </w:rPr>
        <w:t> </w:t>
      </w:r>
      <w:r>
        <w:rPr>
          <w:spacing w:val="-6"/>
          <w:sz w:val="22"/>
        </w:rPr>
        <w:t>ACTUNIV</w:t>
      </w:r>
    </w:p>
    <w:p>
      <w:pPr>
        <w:pStyle w:val="ListParagraph"/>
        <w:numPr>
          <w:ilvl w:val="1"/>
          <w:numId w:val="98"/>
        </w:numPr>
        <w:tabs>
          <w:tab w:pos="1560" w:val="left" w:leader="none"/>
        </w:tabs>
        <w:spacing w:line="266" w:lineRule="auto" w:before="117" w:after="0"/>
        <w:ind w:left="1560" w:right="1976" w:hanging="480"/>
        <w:jc w:val="left"/>
        <w:rPr>
          <w:sz w:val="22"/>
        </w:rPr>
      </w:pPr>
      <w:r>
        <w:rPr>
          <w:sz w:val="22"/>
        </w:rPr>
        <w:t>Mr. Sajjan Kejriwal </w:t>
      </w:r>
      <w:r>
        <w:rPr>
          <w:spacing w:val="-4"/>
          <w:sz w:val="22"/>
        </w:rPr>
        <w:t>Acme</w:t>
      </w:r>
      <w:r>
        <w:rPr>
          <w:sz w:val="22"/>
        </w:rPr>
        <w:t> </w:t>
      </w:r>
      <w:r>
        <w:rPr>
          <w:spacing w:val="-4"/>
          <w:sz w:val="22"/>
        </w:rPr>
        <w:t>International</w:t>
      </w:r>
      <w:r>
        <w:rPr>
          <w:spacing w:val="1"/>
          <w:sz w:val="22"/>
        </w:rPr>
        <w:t> </w:t>
      </w:r>
      <w:r>
        <w:rPr>
          <w:spacing w:val="-4"/>
          <w:sz w:val="22"/>
        </w:rPr>
        <w:t>Ltd.</w:t>
      </w:r>
    </w:p>
    <w:p>
      <w:pPr>
        <w:pStyle w:val="ListParagraph"/>
        <w:numPr>
          <w:ilvl w:val="1"/>
          <w:numId w:val="98"/>
        </w:numPr>
        <w:tabs>
          <w:tab w:pos="1560" w:val="left" w:leader="none"/>
        </w:tabs>
        <w:spacing w:line="266" w:lineRule="auto" w:before="88" w:after="0"/>
        <w:ind w:left="1560" w:right="2210" w:hanging="480"/>
        <w:jc w:val="left"/>
        <w:rPr>
          <w:sz w:val="22"/>
        </w:rPr>
      </w:pPr>
      <w:r>
        <w:rPr>
          <w:sz w:val="22"/>
        </w:rPr>
        <w:t>Mr. Samir N Patel </w:t>
      </w:r>
      <w:r>
        <w:rPr>
          <w:spacing w:val="-4"/>
          <w:sz w:val="22"/>
        </w:rPr>
        <w:t>Amos</w:t>
      </w:r>
      <w:r>
        <w:rPr>
          <w:spacing w:val="-10"/>
          <w:sz w:val="22"/>
        </w:rPr>
        <w:t> </w:t>
      </w:r>
      <w:r>
        <w:rPr>
          <w:spacing w:val="-4"/>
          <w:sz w:val="22"/>
        </w:rPr>
        <w:t>Enterprise</w:t>
      </w:r>
      <w:r>
        <w:rPr>
          <w:spacing w:val="-10"/>
          <w:sz w:val="22"/>
        </w:rPr>
        <w:t> </w:t>
      </w:r>
      <w:r>
        <w:rPr>
          <w:spacing w:val="-4"/>
          <w:sz w:val="22"/>
        </w:rPr>
        <w:t>Ltd.</w:t>
      </w:r>
    </w:p>
    <w:p>
      <w:pPr>
        <w:pStyle w:val="ListParagraph"/>
        <w:numPr>
          <w:ilvl w:val="1"/>
          <w:numId w:val="98"/>
        </w:numPr>
        <w:tabs>
          <w:tab w:pos="1559" w:val="left" w:leader="none"/>
        </w:tabs>
        <w:spacing w:line="240" w:lineRule="auto" w:before="89" w:after="0"/>
        <w:ind w:left="1559" w:right="0" w:hanging="479"/>
        <w:jc w:val="left"/>
        <w:rPr>
          <w:sz w:val="22"/>
        </w:rPr>
      </w:pPr>
      <w:r>
        <w:rPr>
          <w:spacing w:val="-4"/>
          <w:sz w:val="22"/>
        </w:rPr>
        <w:t>Mr.</w:t>
      </w:r>
      <w:r>
        <w:rPr>
          <w:spacing w:val="-10"/>
          <w:sz w:val="22"/>
        </w:rPr>
        <w:t> </w:t>
      </w:r>
      <w:r>
        <w:rPr>
          <w:spacing w:val="-4"/>
          <w:sz w:val="22"/>
        </w:rPr>
        <w:t>Malay</w:t>
      </w:r>
      <w:r>
        <w:rPr>
          <w:spacing w:val="-9"/>
          <w:sz w:val="22"/>
        </w:rPr>
        <w:t> </w:t>
      </w:r>
      <w:r>
        <w:rPr>
          <w:spacing w:val="-4"/>
          <w:sz w:val="22"/>
        </w:rPr>
        <w:t>Kantharia</w:t>
      </w:r>
    </w:p>
    <w:p>
      <w:pPr>
        <w:pStyle w:val="BodyText"/>
        <w:spacing w:before="27"/>
        <w:ind w:left="1560"/>
      </w:pPr>
      <w:r>
        <w:rPr>
          <w:spacing w:val="-4"/>
        </w:rPr>
        <w:t>Team Spirits India Pvt.</w:t>
      </w:r>
      <w:r>
        <w:rPr>
          <w:spacing w:val="-3"/>
        </w:rPr>
        <w:t> </w:t>
      </w:r>
      <w:r>
        <w:rPr>
          <w:spacing w:val="-4"/>
        </w:rPr>
        <w:t>Ltd.</w:t>
      </w:r>
    </w:p>
    <w:p>
      <w:pPr>
        <w:pStyle w:val="ListParagraph"/>
        <w:numPr>
          <w:ilvl w:val="1"/>
          <w:numId w:val="98"/>
        </w:numPr>
        <w:tabs>
          <w:tab w:pos="1559" w:val="left" w:leader="none"/>
        </w:tabs>
        <w:spacing w:line="240" w:lineRule="auto" w:before="117" w:after="0"/>
        <w:ind w:left="1559" w:right="0" w:hanging="479"/>
        <w:jc w:val="left"/>
        <w:rPr>
          <w:sz w:val="22"/>
        </w:rPr>
      </w:pPr>
      <w:r>
        <w:rPr>
          <w:spacing w:val="-2"/>
          <w:sz w:val="22"/>
        </w:rPr>
        <w:t>Mr.</w:t>
      </w:r>
      <w:r>
        <w:rPr>
          <w:spacing w:val="-10"/>
          <w:sz w:val="22"/>
        </w:rPr>
        <w:t> </w:t>
      </w:r>
      <w:r>
        <w:rPr>
          <w:spacing w:val="-2"/>
          <w:sz w:val="22"/>
        </w:rPr>
        <w:t>E.</w:t>
      </w:r>
      <w:r>
        <w:rPr>
          <w:spacing w:val="-10"/>
          <w:sz w:val="22"/>
        </w:rPr>
        <w:t> </w:t>
      </w:r>
      <w:r>
        <w:rPr>
          <w:spacing w:val="-2"/>
          <w:sz w:val="22"/>
        </w:rPr>
        <w:t>Sarath</w:t>
      </w:r>
      <w:r>
        <w:rPr>
          <w:spacing w:val="-10"/>
          <w:sz w:val="22"/>
        </w:rPr>
        <w:t> </w:t>
      </w:r>
      <w:r>
        <w:rPr>
          <w:spacing w:val="-2"/>
          <w:sz w:val="22"/>
        </w:rPr>
        <w:t>Babu,</w:t>
      </w:r>
      <w:r>
        <w:rPr>
          <w:spacing w:val="-10"/>
          <w:sz w:val="22"/>
        </w:rPr>
        <w:t> </w:t>
      </w:r>
      <w:r>
        <w:rPr>
          <w:spacing w:val="-2"/>
          <w:sz w:val="22"/>
        </w:rPr>
        <w:t>Foodking</w:t>
      </w:r>
    </w:p>
    <w:p>
      <w:pPr>
        <w:pStyle w:val="ListParagraph"/>
        <w:numPr>
          <w:ilvl w:val="1"/>
          <w:numId w:val="98"/>
        </w:numPr>
        <w:tabs>
          <w:tab w:pos="1559" w:val="left" w:leader="none"/>
        </w:tabs>
        <w:spacing w:line="240" w:lineRule="auto" w:before="117" w:after="0"/>
        <w:ind w:left="1559" w:right="0" w:hanging="479"/>
        <w:jc w:val="left"/>
        <w:rPr>
          <w:sz w:val="22"/>
        </w:rPr>
      </w:pPr>
      <w:r>
        <w:rPr>
          <w:spacing w:val="-4"/>
          <w:sz w:val="22"/>
        </w:rPr>
        <w:t>Ms.</w:t>
      </w:r>
      <w:r>
        <w:rPr>
          <w:spacing w:val="-8"/>
          <w:sz w:val="22"/>
        </w:rPr>
        <w:t> </w:t>
      </w:r>
      <w:r>
        <w:rPr>
          <w:spacing w:val="-4"/>
          <w:sz w:val="22"/>
        </w:rPr>
        <w:t>Kala</w:t>
      </w:r>
      <w:r>
        <w:rPr>
          <w:spacing w:val="-7"/>
          <w:sz w:val="22"/>
        </w:rPr>
        <w:t> </w:t>
      </w:r>
      <w:r>
        <w:rPr>
          <w:spacing w:val="-4"/>
          <w:sz w:val="22"/>
        </w:rPr>
        <w:t>Amin,</w:t>
      </w:r>
      <w:r>
        <w:rPr>
          <w:spacing w:val="-7"/>
          <w:sz w:val="22"/>
        </w:rPr>
        <w:t> </w:t>
      </w:r>
      <w:r>
        <w:rPr>
          <w:spacing w:val="-4"/>
          <w:sz w:val="22"/>
        </w:rPr>
        <w:t>Kanisha</w:t>
      </w:r>
    </w:p>
    <w:p>
      <w:pPr>
        <w:pStyle w:val="ListParagraph"/>
        <w:numPr>
          <w:ilvl w:val="1"/>
          <w:numId w:val="98"/>
        </w:numPr>
        <w:tabs>
          <w:tab w:pos="1559" w:val="left" w:leader="none"/>
        </w:tabs>
        <w:spacing w:line="240" w:lineRule="auto" w:before="117" w:after="0"/>
        <w:ind w:left="1559" w:right="0" w:hanging="479"/>
        <w:jc w:val="left"/>
        <w:rPr>
          <w:sz w:val="22"/>
        </w:rPr>
      </w:pPr>
      <w:r>
        <w:rPr>
          <w:spacing w:val="-4"/>
          <w:sz w:val="22"/>
        </w:rPr>
        <w:t>Mr.</w:t>
      </w:r>
      <w:r>
        <w:rPr>
          <w:spacing w:val="-6"/>
          <w:sz w:val="22"/>
        </w:rPr>
        <w:t> </w:t>
      </w:r>
      <w:r>
        <w:rPr>
          <w:spacing w:val="-4"/>
          <w:sz w:val="22"/>
        </w:rPr>
        <w:t>Samir</w:t>
      </w:r>
      <w:r>
        <w:rPr>
          <w:spacing w:val="-5"/>
          <w:sz w:val="22"/>
        </w:rPr>
        <w:t> </w:t>
      </w:r>
      <w:r>
        <w:rPr>
          <w:spacing w:val="-4"/>
          <w:sz w:val="22"/>
        </w:rPr>
        <w:t>Shah,</w:t>
      </w:r>
    </w:p>
    <w:p>
      <w:pPr>
        <w:pStyle w:val="BodyText"/>
        <w:spacing w:before="27"/>
        <w:ind w:left="1560"/>
      </w:pPr>
      <w:r>
        <w:rPr>
          <w:spacing w:val="-4"/>
        </w:rPr>
        <w:t>JBS</w:t>
      </w:r>
      <w:r>
        <w:rPr>
          <w:spacing w:val="-6"/>
        </w:rPr>
        <w:t> </w:t>
      </w:r>
      <w:r>
        <w:rPr>
          <w:spacing w:val="-4"/>
        </w:rPr>
        <w:t>Group</w:t>
      </w:r>
      <w:r>
        <w:rPr>
          <w:spacing w:val="-5"/>
        </w:rPr>
        <w:t> </w:t>
      </w:r>
      <w:r>
        <w:rPr>
          <w:spacing w:val="-4"/>
        </w:rPr>
        <w:t>of</w:t>
      </w:r>
      <w:r>
        <w:rPr>
          <w:spacing w:val="-5"/>
        </w:rPr>
        <w:t> </w:t>
      </w:r>
      <w:r>
        <w:rPr>
          <w:spacing w:val="-4"/>
        </w:rPr>
        <w:t>Companies</w:t>
      </w:r>
    </w:p>
    <w:p>
      <w:pPr>
        <w:pStyle w:val="ListParagraph"/>
        <w:numPr>
          <w:ilvl w:val="1"/>
          <w:numId w:val="98"/>
        </w:numPr>
        <w:tabs>
          <w:tab w:pos="1559" w:val="left" w:leader="none"/>
        </w:tabs>
        <w:spacing w:line="240" w:lineRule="auto" w:before="117" w:after="0"/>
        <w:ind w:left="1559" w:right="0" w:hanging="479"/>
        <w:jc w:val="left"/>
        <w:rPr>
          <w:sz w:val="22"/>
        </w:rPr>
      </w:pPr>
      <w:r>
        <w:rPr>
          <w:spacing w:val="-6"/>
          <w:sz w:val="22"/>
        </w:rPr>
        <w:t>Ms.</w:t>
      </w:r>
      <w:r>
        <w:rPr>
          <w:sz w:val="22"/>
        </w:rPr>
        <w:t> </w:t>
      </w:r>
      <w:r>
        <w:rPr>
          <w:spacing w:val="-6"/>
          <w:sz w:val="22"/>
        </w:rPr>
        <w:t>Seema</w:t>
      </w:r>
      <w:r>
        <w:rPr>
          <w:sz w:val="22"/>
        </w:rPr>
        <w:t> </w:t>
      </w:r>
      <w:r>
        <w:rPr>
          <w:spacing w:val="-6"/>
          <w:sz w:val="22"/>
        </w:rPr>
        <w:t>Mehta,</w:t>
      </w:r>
      <w:r>
        <w:rPr>
          <w:sz w:val="22"/>
        </w:rPr>
        <w:t> </w:t>
      </w:r>
      <w:r>
        <w:rPr>
          <w:spacing w:val="-6"/>
          <w:sz w:val="22"/>
        </w:rPr>
        <w:t>Sparkle</w:t>
      </w:r>
      <w:r>
        <w:rPr>
          <w:sz w:val="22"/>
        </w:rPr>
        <w:t> </w:t>
      </w:r>
      <w:r>
        <w:rPr>
          <w:spacing w:val="-6"/>
          <w:sz w:val="22"/>
        </w:rPr>
        <w:t>Granites</w:t>
      </w:r>
    </w:p>
    <w:p>
      <w:pPr>
        <w:pStyle w:val="ListParagraph"/>
        <w:numPr>
          <w:ilvl w:val="1"/>
          <w:numId w:val="98"/>
        </w:numPr>
        <w:tabs>
          <w:tab w:pos="1559" w:val="left" w:leader="none"/>
        </w:tabs>
        <w:spacing w:line="240" w:lineRule="auto" w:before="117" w:after="0"/>
        <w:ind w:left="1559" w:right="0" w:hanging="479"/>
        <w:jc w:val="left"/>
        <w:rPr>
          <w:sz w:val="22"/>
        </w:rPr>
      </w:pPr>
      <w:r>
        <w:rPr>
          <w:spacing w:val="-4"/>
          <w:sz w:val="22"/>
        </w:rPr>
        <w:t>Ms.</w:t>
      </w:r>
      <w:r>
        <w:rPr>
          <w:spacing w:val="-10"/>
          <w:sz w:val="22"/>
        </w:rPr>
        <w:t> </w:t>
      </w:r>
      <w:r>
        <w:rPr>
          <w:spacing w:val="-4"/>
          <w:sz w:val="22"/>
        </w:rPr>
        <w:t>Jayshree</w:t>
      </w:r>
      <w:r>
        <w:rPr>
          <w:spacing w:val="-6"/>
          <w:sz w:val="22"/>
        </w:rPr>
        <w:t> </w:t>
      </w:r>
      <w:r>
        <w:rPr>
          <w:spacing w:val="-4"/>
          <w:sz w:val="22"/>
        </w:rPr>
        <w:t>Mehta,</w:t>
      </w:r>
      <w:r>
        <w:rPr>
          <w:spacing w:val="-5"/>
          <w:sz w:val="22"/>
        </w:rPr>
        <w:t> </w:t>
      </w:r>
      <w:r>
        <w:rPr>
          <w:spacing w:val="-4"/>
          <w:sz w:val="22"/>
        </w:rPr>
        <w:t>Infinium</w:t>
      </w:r>
      <w:r>
        <w:rPr>
          <w:spacing w:val="-10"/>
          <w:sz w:val="22"/>
        </w:rPr>
        <w:t> </w:t>
      </w:r>
      <w:r>
        <w:rPr>
          <w:spacing w:val="-4"/>
          <w:sz w:val="22"/>
        </w:rPr>
        <w:t>Toyota</w:t>
      </w:r>
    </w:p>
    <w:p>
      <w:pPr>
        <w:pStyle w:val="ListParagraph"/>
        <w:numPr>
          <w:ilvl w:val="1"/>
          <w:numId w:val="98"/>
        </w:numPr>
        <w:tabs>
          <w:tab w:pos="1559" w:val="left" w:leader="none"/>
        </w:tabs>
        <w:spacing w:line="240" w:lineRule="auto" w:before="117" w:after="0"/>
        <w:ind w:left="1559" w:right="0" w:hanging="479"/>
        <w:jc w:val="left"/>
        <w:rPr>
          <w:sz w:val="22"/>
        </w:rPr>
      </w:pPr>
      <w:r>
        <w:rPr>
          <w:spacing w:val="-2"/>
          <w:sz w:val="22"/>
        </w:rPr>
        <w:t>Mr.</w:t>
      </w:r>
      <w:r>
        <w:rPr>
          <w:spacing w:val="-8"/>
          <w:sz w:val="22"/>
        </w:rPr>
        <w:t> </w:t>
      </w:r>
      <w:r>
        <w:rPr>
          <w:spacing w:val="-2"/>
          <w:sz w:val="22"/>
        </w:rPr>
        <w:t>Amit</w:t>
      </w:r>
      <w:r>
        <w:rPr>
          <w:spacing w:val="-7"/>
          <w:sz w:val="22"/>
        </w:rPr>
        <w:t> </w:t>
      </w:r>
      <w:r>
        <w:rPr>
          <w:spacing w:val="-2"/>
          <w:sz w:val="22"/>
        </w:rPr>
        <w:t>Khaitan,</w:t>
      </w:r>
      <w:r>
        <w:rPr>
          <w:spacing w:val="-7"/>
          <w:sz w:val="22"/>
        </w:rPr>
        <w:t> </w:t>
      </w:r>
      <w:r>
        <w:rPr>
          <w:spacing w:val="-2"/>
          <w:sz w:val="22"/>
        </w:rPr>
        <w:t>Gujaratgifts.com</w:t>
      </w:r>
    </w:p>
    <w:p>
      <w:pPr>
        <w:pStyle w:val="ListParagraph"/>
        <w:numPr>
          <w:ilvl w:val="1"/>
          <w:numId w:val="98"/>
        </w:numPr>
        <w:tabs>
          <w:tab w:pos="1559" w:val="left" w:leader="none"/>
        </w:tabs>
        <w:spacing w:line="240" w:lineRule="auto" w:before="117" w:after="0"/>
        <w:ind w:left="1559" w:right="0" w:hanging="479"/>
        <w:jc w:val="left"/>
        <w:rPr>
          <w:sz w:val="22"/>
        </w:rPr>
      </w:pPr>
      <w:r>
        <w:rPr>
          <w:spacing w:val="-4"/>
          <w:sz w:val="22"/>
        </w:rPr>
        <w:t>Mr.</w:t>
      </w:r>
      <w:r>
        <w:rPr>
          <w:spacing w:val="-2"/>
          <w:sz w:val="22"/>
        </w:rPr>
        <w:t> </w:t>
      </w:r>
      <w:r>
        <w:rPr>
          <w:spacing w:val="-4"/>
          <w:sz w:val="22"/>
        </w:rPr>
        <w:t>Abhay</w:t>
      </w:r>
      <w:r>
        <w:rPr>
          <w:spacing w:val="-2"/>
          <w:sz w:val="22"/>
        </w:rPr>
        <w:t> </w:t>
      </w:r>
      <w:r>
        <w:rPr>
          <w:spacing w:val="-4"/>
          <w:sz w:val="22"/>
        </w:rPr>
        <w:t>Panjiyar,</w:t>
      </w:r>
      <w:r>
        <w:rPr>
          <w:spacing w:val="-2"/>
          <w:sz w:val="22"/>
        </w:rPr>
        <w:t> </w:t>
      </w:r>
      <w:r>
        <w:rPr>
          <w:spacing w:val="-4"/>
          <w:sz w:val="22"/>
        </w:rPr>
        <w:t>CEON</w:t>
      </w:r>
      <w:r>
        <w:rPr>
          <w:spacing w:val="-2"/>
          <w:sz w:val="22"/>
        </w:rPr>
        <w:t> </w:t>
      </w:r>
      <w:r>
        <w:rPr>
          <w:spacing w:val="-4"/>
          <w:sz w:val="22"/>
        </w:rPr>
        <w:t>Solutions</w:t>
      </w:r>
      <w:r>
        <w:rPr>
          <w:spacing w:val="-2"/>
          <w:sz w:val="22"/>
        </w:rPr>
        <w:t> </w:t>
      </w:r>
      <w:r>
        <w:rPr>
          <w:spacing w:val="-4"/>
          <w:sz w:val="22"/>
        </w:rPr>
        <w:t>Pvt.</w:t>
      </w:r>
      <w:r>
        <w:rPr>
          <w:spacing w:val="-2"/>
          <w:sz w:val="22"/>
        </w:rPr>
        <w:t> </w:t>
      </w:r>
      <w:r>
        <w:rPr>
          <w:spacing w:val="-4"/>
          <w:sz w:val="22"/>
        </w:rPr>
        <w:t>Ltd.</w:t>
      </w:r>
    </w:p>
    <w:p>
      <w:pPr>
        <w:pStyle w:val="ListParagraph"/>
        <w:numPr>
          <w:ilvl w:val="1"/>
          <w:numId w:val="98"/>
        </w:numPr>
        <w:tabs>
          <w:tab w:pos="1559" w:val="left" w:leader="none"/>
        </w:tabs>
        <w:spacing w:line="240" w:lineRule="auto" w:before="117" w:after="0"/>
        <w:ind w:left="1559" w:right="0" w:hanging="479"/>
        <w:jc w:val="left"/>
        <w:rPr>
          <w:sz w:val="22"/>
        </w:rPr>
      </w:pPr>
      <w:r>
        <w:rPr>
          <w:spacing w:val="-2"/>
          <w:sz w:val="22"/>
        </w:rPr>
        <w:t>Mr.</w:t>
      </w:r>
      <w:r>
        <w:rPr>
          <w:spacing w:val="-12"/>
          <w:sz w:val="22"/>
        </w:rPr>
        <w:t> </w:t>
      </w:r>
      <w:r>
        <w:rPr>
          <w:spacing w:val="-2"/>
          <w:sz w:val="22"/>
        </w:rPr>
        <w:t>Aniket</w:t>
      </w:r>
      <w:r>
        <w:rPr>
          <w:spacing w:val="-11"/>
          <w:sz w:val="22"/>
        </w:rPr>
        <w:t> </w:t>
      </w:r>
      <w:r>
        <w:rPr>
          <w:spacing w:val="-2"/>
          <w:sz w:val="22"/>
        </w:rPr>
        <w:t>Nagri,</w:t>
      </w:r>
      <w:r>
        <w:rPr>
          <w:spacing w:val="-11"/>
          <w:sz w:val="22"/>
        </w:rPr>
        <w:t> </w:t>
      </w:r>
      <w:r>
        <w:rPr>
          <w:spacing w:val="-2"/>
          <w:sz w:val="22"/>
        </w:rPr>
        <w:t>Nagri</w:t>
      </w:r>
      <w:r>
        <w:rPr>
          <w:spacing w:val="-11"/>
          <w:sz w:val="22"/>
        </w:rPr>
        <w:t> </w:t>
      </w:r>
      <w:r>
        <w:rPr>
          <w:spacing w:val="-4"/>
          <w:sz w:val="22"/>
        </w:rPr>
        <w:t>Group</w:t>
      </w:r>
    </w:p>
    <w:p>
      <w:pPr>
        <w:pStyle w:val="ListParagraph"/>
        <w:numPr>
          <w:ilvl w:val="1"/>
          <w:numId w:val="98"/>
        </w:numPr>
        <w:tabs>
          <w:tab w:pos="1559" w:val="left" w:leader="none"/>
        </w:tabs>
        <w:spacing w:line="240" w:lineRule="auto" w:before="117" w:after="0"/>
        <w:ind w:left="1559" w:right="0" w:hanging="479"/>
        <w:jc w:val="left"/>
        <w:rPr>
          <w:sz w:val="22"/>
        </w:rPr>
      </w:pPr>
      <w:r>
        <w:rPr>
          <w:spacing w:val="-6"/>
          <w:sz w:val="22"/>
        </w:rPr>
        <w:t>Mr.</w:t>
      </w:r>
      <w:r>
        <w:rPr>
          <w:spacing w:val="1"/>
          <w:sz w:val="22"/>
        </w:rPr>
        <w:t> </w:t>
      </w:r>
      <w:r>
        <w:rPr>
          <w:spacing w:val="-6"/>
          <w:sz w:val="22"/>
        </w:rPr>
        <w:t>Bhakti</w:t>
      </w:r>
      <w:r>
        <w:rPr>
          <w:spacing w:val="-3"/>
          <w:sz w:val="22"/>
        </w:rPr>
        <w:t> </w:t>
      </w:r>
      <w:r>
        <w:rPr>
          <w:spacing w:val="-6"/>
          <w:sz w:val="22"/>
        </w:rPr>
        <w:t>Vohra,</w:t>
      </w:r>
      <w:r>
        <w:rPr>
          <w:spacing w:val="-3"/>
          <w:sz w:val="22"/>
        </w:rPr>
        <w:t> </w:t>
      </w:r>
      <w:r>
        <w:rPr>
          <w:spacing w:val="-6"/>
          <w:sz w:val="22"/>
        </w:rPr>
        <w:t>Vastrapur</w:t>
      </w:r>
      <w:r>
        <w:rPr>
          <w:spacing w:val="-9"/>
          <w:sz w:val="22"/>
        </w:rPr>
        <w:t> </w:t>
      </w:r>
      <w:r>
        <w:rPr>
          <w:spacing w:val="-6"/>
          <w:sz w:val="22"/>
        </w:rPr>
        <w:t>Times</w:t>
      </w:r>
    </w:p>
    <w:p>
      <w:pPr>
        <w:pStyle w:val="ListParagraph"/>
        <w:numPr>
          <w:ilvl w:val="1"/>
          <w:numId w:val="98"/>
        </w:numPr>
        <w:tabs>
          <w:tab w:pos="1559" w:val="left" w:leader="none"/>
        </w:tabs>
        <w:spacing w:line="240" w:lineRule="auto" w:before="117" w:after="0"/>
        <w:ind w:left="1559" w:right="0" w:hanging="479"/>
        <w:jc w:val="left"/>
        <w:rPr>
          <w:sz w:val="22"/>
        </w:rPr>
      </w:pPr>
      <w:r>
        <w:rPr>
          <w:spacing w:val="-8"/>
          <w:sz w:val="22"/>
        </w:rPr>
        <w:t>Mr.</w:t>
      </w:r>
      <w:r>
        <w:rPr>
          <w:spacing w:val="3"/>
          <w:sz w:val="22"/>
        </w:rPr>
        <w:t> </w:t>
      </w:r>
      <w:r>
        <w:rPr>
          <w:spacing w:val="-8"/>
          <w:sz w:val="22"/>
        </w:rPr>
        <w:t>Deepak</w:t>
      </w:r>
      <w:r>
        <w:rPr>
          <w:sz w:val="22"/>
        </w:rPr>
        <w:t> </w:t>
      </w:r>
      <w:r>
        <w:rPr>
          <w:spacing w:val="-8"/>
          <w:sz w:val="22"/>
        </w:rPr>
        <w:t>Vakil,</w:t>
      </w:r>
      <w:r>
        <w:rPr>
          <w:spacing w:val="-1"/>
          <w:sz w:val="22"/>
        </w:rPr>
        <w:t> </w:t>
      </w:r>
      <w:r>
        <w:rPr>
          <w:spacing w:val="-8"/>
          <w:sz w:val="22"/>
        </w:rPr>
        <w:t>Yeti</w:t>
      </w:r>
      <w:r>
        <w:rPr>
          <w:spacing w:val="4"/>
          <w:sz w:val="22"/>
        </w:rPr>
        <w:t> </w:t>
      </w:r>
      <w:r>
        <w:rPr>
          <w:spacing w:val="-8"/>
          <w:sz w:val="22"/>
        </w:rPr>
        <w:t>Leather</w:t>
      </w:r>
      <w:r>
        <w:rPr>
          <w:spacing w:val="3"/>
          <w:sz w:val="22"/>
        </w:rPr>
        <w:t> </w:t>
      </w:r>
      <w:r>
        <w:rPr>
          <w:spacing w:val="-8"/>
          <w:sz w:val="22"/>
        </w:rPr>
        <w:t>Products</w:t>
      </w:r>
    </w:p>
    <w:p>
      <w:pPr>
        <w:pStyle w:val="ListParagraph"/>
        <w:numPr>
          <w:ilvl w:val="1"/>
          <w:numId w:val="98"/>
        </w:numPr>
        <w:tabs>
          <w:tab w:pos="1559" w:val="left" w:leader="none"/>
        </w:tabs>
        <w:spacing w:line="240" w:lineRule="auto" w:before="117" w:after="0"/>
        <w:ind w:left="1559" w:right="0" w:hanging="479"/>
        <w:jc w:val="left"/>
        <w:rPr>
          <w:sz w:val="22"/>
        </w:rPr>
      </w:pPr>
      <w:r>
        <w:rPr>
          <w:spacing w:val="-4"/>
          <w:sz w:val="22"/>
        </w:rPr>
        <w:t>Mr. Rajiv</w:t>
      </w:r>
      <w:r>
        <w:rPr>
          <w:spacing w:val="-3"/>
          <w:sz w:val="22"/>
        </w:rPr>
        <w:t> </w:t>
      </w:r>
      <w:r>
        <w:rPr>
          <w:spacing w:val="-4"/>
          <w:sz w:val="22"/>
        </w:rPr>
        <w:t>Gandhi,</w:t>
      </w:r>
      <w:r>
        <w:rPr>
          <w:spacing w:val="-3"/>
          <w:sz w:val="22"/>
        </w:rPr>
        <w:t> </w:t>
      </w:r>
      <w:r>
        <w:rPr>
          <w:spacing w:val="-4"/>
          <w:sz w:val="22"/>
        </w:rPr>
        <w:t>Hester</w:t>
      </w:r>
      <w:r>
        <w:rPr>
          <w:spacing w:val="-3"/>
          <w:sz w:val="22"/>
        </w:rPr>
        <w:t> </w:t>
      </w:r>
      <w:r>
        <w:rPr>
          <w:spacing w:val="-4"/>
          <w:sz w:val="22"/>
        </w:rPr>
        <w:t>Pharmaceuticals Ltd.</w:t>
      </w:r>
    </w:p>
    <w:p>
      <w:pPr>
        <w:pStyle w:val="ListParagraph"/>
        <w:numPr>
          <w:ilvl w:val="1"/>
          <w:numId w:val="98"/>
        </w:numPr>
        <w:tabs>
          <w:tab w:pos="1559" w:val="left" w:leader="none"/>
        </w:tabs>
        <w:spacing w:line="240" w:lineRule="auto" w:before="117" w:after="0"/>
        <w:ind w:left="1559" w:right="0" w:hanging="479"/>
        <w:jc w:val="left"/>
        <w:rPr>
          <w:sz w:val="22"/>
        </w:rPr>
      </w:pPr>
      <w:r>
        <w:rPr>
          <w:spacing w:val="-4"/>
          <w:sz w:val="22"/>
        </w:rPr>
        <w:t>Mr.</w:t>
      </w:r>
      <w:r>
        <w:rPr>
          <w:spacing w:val="-10"/>
          <w:sz w:val="22"/>
        </w:rPr>
        <w:t> </w:t>
      </w:r>
      <w:r>
        <w:rPr>
          <w:spacing w:val="-4"/>
          <w:sz w:val="22"/>
        </w:rPr>
        <w:t>S.V.</w:t>
      </w:r>
      <w:r>
        <w:rPr>
          <w:spacing w:val="-9"/>
          <w:sz w:val="22"/>
        </w:rPr>
        <w:t> </w:t>
      </w:r>
      <w:r>
        <w:rPr>
          <w:spacing w:val="-4"/>
          <w:sz w:val="22"/>
        </w:rPr>
        <w:t>Modi,</w:t>
      </w:r>
      <w:r>
        <w:rPr>
          <w:spacing w:val="-10"/>
          <w:sz w:val="22"/>
        </w:rPr>
        <w:t> </w:t>
      </w:r>
      <w:r>
        <w:rPr>
          <w:spacing w:val="-4"/>
          <w:sz w:val="22"/>
        </w:rPr>
        <w:t>S.V.</w:t>
      </w:r>
      <w:r>
        <w:rPr>
          <w:spacing w:val="-9"/>
          <w:sz w:val="22"/>
        </w:rPr>
        <w:t> </w:t>
      </w:r>
      <w:r>
        <w:rPr>
          <w:spacing w:val="-4"/>
          <w:sz w:val="22"/>
        </w:rPr>
        <w:t>Modi</w:t>
      </w:r>
      <w:r>
        <w:rPr>
          <w:spacing w:val="-10"/>
          <w:sz w:val="22"/>
        </w:rPr>
        <w:t> </w:t>
      </w:r>
      <w:r>
        <w:rPr>
          <w:spacing w:val="-4"/>
          <w:sz w:val="22"/>
        </w:rPr>
        <w:t>Export</w:t>
      </w:r>
      <w:r>
        <w:rPr>
          <w:spacing w:val="-9"/>
          <w:sz w:val="22"/>
        </w:rPr>
        <w:t> </w:t>
      </w:r>
      <w:r>
        <w:rPr>
          <w:spacing w:val="-4"/>
          <w:sz w:val="22"/>
        </w:rPr>
        <w:t>Import</w:t>
      </w:r>
    </w:p>
    <w:p>
      <w:pPr>
        <w:pStyle w:val="ListParagraph"/>
        <w:numPr>
          <w:ilvl w:val="1"/>
          <w:numId w:val="98"/>
        </w:numPr>
        <w:tabs>
          <w:tab w:pos="1560" w:val="left" w:leader="none"/>
        </w:tabs>
        <w:spacing w:line="266" w:lineRule="auto" w:before="117" w:after="0"/>
        <w:ind w:left="1560" w:right="2077" w:hanging="480"/>
        <w:jc w:val="left"/>
        <w:rPr>
          <w:sz w:val="22"/>
        </w:rPr>
      </w:pPr>
      <w:r>
        <w:rPr>
          <w:sz w:val="22"/>
        </w:rPr>
        <w:t>Mr. Sushil Handa </w:t>
      </w:r>
      <w:r>
        <w:rPr>
          <w:spacing w:val="-6"/>
          <w:sz w:val="22"/>
        </w:rPr>
        <w:t>Claris</w:t>
      </w:r>
      <w:r>
        <w:rPr>
          <w:spacing w:val="-8"/>
          <w:sz w:val="22"/>
        </w:rPr>
        <w:t> </w:t>
      </w:r>
      <w:r>
        <w:rPr>
          <w:spacing w:val="-6"/>
          <w:sz w:val="22"/>
        </w:rPr>
        <w:t>Lifesciences</w:t>
      </w:r>
      <w:r>
        <w:rPr>
          <w:spacing w:val="-8"/>
          <w:sz w:val="22"/>
        </w:rPr>
        <w:t> </w:t>
      </w:r>
      <w:r>
        <w:rPr>
          <w:spacing w:val="-6"/>
          <w:sz w:val="22"/>
        </w:rPr>
        <w:t>Ltd.</w:t>
      </w:r>
    </w:p>
    <w:p>
      <w:pPr>
        <w:pStyle w:val="ListParagraph"/>
        <w:numPr>
          <w:ilvl w:val="1"/>
          <w:numId w:val="98"/>
        </w:numPr>
        <w:tabs>
          <w:tab w:pos="1560" w:val="left" w:leader="none"/>
        </w:tabs>
        <w:spacing w:line="266" w:lineRule="auto" w:before="88" w:after="0"/>
        <w:ind w:left="1560" w:right="1934" w:hanging="480"/>
        <w:jc w:val="left"/>
        <w:rPr>
          <w:sz w:val="22"/>
        </w:rPr>
      </w:pPr>
      <w:r>
        <w:rPr>
          <w:sz w:val="22"/>
        </w:rPr>
        <w:t>Mr. Sheshgiri Bekal </w:t>
      </w:r>
      <w:r>
        <w:rPr>
          <w:spacing w:val="-4"/>
          <w:sz w:val="22"/>
        </w:rPr>
        <w:t>Incubatee</w:t>
      </w:r>
      <w:r>
        <w:rPr>
          <w:spacing w:val="-9"/>
          <w:sz w:val="22"/>
        </w:rPr>
        <w:t> </w:t>
      </w:r>
      <w:r>
        <w:rPr>
          <w:spacing w:val="-4"/>
          <w:sz w:val="22"/>
        </w:rPr>
        <w:t>at</w:t>
      </w:r>
      <w:r>
        <w:rPr>
          <w:spacing w:val="-9"/>
          <w:sz w:val="22"/>
        </w:rPr>
        <w:t> </w:t>
      </w:r>
      <w:r>
        <w:rPr>
          <w:spacing w:val="-4"/>
          <w:sz w:val="22"/>
        </w:rPr>
        <w:t>Nirma</w:t>
      </w:r>
      <w:r>
        <w:rPr>
          <w:spacing w:val="-9"/>
          <w:sz w:val="22"/>
        </w:rPr>
        <w:t> </w:t>
      </w:r>
      <w:r>
        <w:rPr>
          <w:spacing w:val="-4"/>
          <w:sz w:val="22"/>
        </w:rPr>
        <w:t>Labs</w:t>
      </w:r>
    </w:p>
    <w:p>
      <w:pPr>
        <w:pStyle w:val="ListParagraph"/>
        <w:numPr>
          <w:ilvl w:val="1"/>
          <w:numId w:val="98"/>
        </w:numPr>
        <w:tabs>
          <w:tab w:pos="976" w:val="left" w:leader="none"/>
        </w:tabs>
        <w:spacing w:line="240" w:lineRule="auto" w:before="57" w:after="0"/>
        <w:ind w:left="976" w:right="0" w:hanging="480"/>
        <w:jc w:val="left"/>
        <w:rPr>
          <w:sz w:val="22"/>
        </w:rPr>
      </w:pPr>
      <w:r>
        <w:rPr/>
        <w:br w:type="column"/>
      </w:r>
      <w:r>
        <w:rPr>
          <w:spacing w:val="-6"/>
          <w:sz w:val="22"/>
        </w:rPr>
        <w:t>Mr.</w:t>
      </w:r>
      <w:r>
        <w:rPr>
          <w:spacing w:val="-8"/>
          <w:sz w:val="22"/>
        </w:rPr>
        <w:t> </w:t>
      </w:r>
      <w:r>
        <w:rPr>
          <w:spacing w:val="-6"/>
          <w:sz w:val="22"/>
        </w:rPr>
        <w:t>V.</w:t>
      </w:r>
      <w:r>
        <w:rPr>
          <w:spacing w:val="-7"/>
          <w:sz w:val="22"/>
        </w:rPr>
        <w:t> </w:t>
      </w:r>
      <w:r>
        <w:rPr>
          <w:spacing w:val="-6"/>
          <w:sz w:val="22"/>
        </w:rPr>
        <w:t>Venkata</w:t>
      </w:r>
      <w:r>
        <w:rPr>
          <w:spacing w:val="-3"/>
          <w:sz w:val="22"/>
        </w:rPr>
        <w:t> </w:t>
      </w:r>
      <w:r>
        <w:rPr>
          <w:spacing w:val="-6"/>
          <w:sz w:val="22"/>
        </w:rPr>
        <w:t>Raju, VEM</w:t>
      </w:r>
      <w:r>
        <w:rPr>
          <w:spacing w:val="-10"/>
          <w:sz w:val="22"/>
        </w:rPr>
        <w:t> </w:t>
      </w:r>
      <w:r>
        <w:rPr>
          <w:spacing w:val="-6"/>
          <w:sz w:val="22"/>
        </w:rPr>
        <w:t>Technology</w:t>
      </w:r>
      <w:r>
        <w:rPr>
          <w:spacing w:val="-3"/>
          <w:sz w:val="22"/>
        </w:rPr>
        <w:t> </w:t>
      </w:r>
      <w:r>
        <w:rPr>
          <w:spacing w:val="-6"/>
          <w:sz w:val="22"/>
        </w:rPr>
        <w:t>Pvt.</w:t>
      </w:r>
      <w:r>
        <w:rPr>
          <w:spacing w:val="-2"/>
          <w:sz w:val="22"/>
        </w:rPr>
        <w:t> </w:t>
      </w:r>
      <w:r>
        <w:rPr>
          <w:spacing w:val="-6"/>
          <w:sz w:val="22"/>
        </w:rPr>
        <w:t>Ltd.</w:t>
      </w:r>
    </w:p>
    <w:p>
      <w:pPr>
        <w:pStyle w:val="ListParagraph"/>
        <w:numPr>
          <w:ilvl w:val="1"/>
          <w:numId w:val="98"/>
        </w:numPr>
        <w:tabs>
          <w:tab w:pos="976" w:val="left" w:leader="none"/>
        </w:tabs>
        <w:spacing w:line="266" w:lineRule="auto" w:before="117" w:after="0"/>
        <w:ind w:left="976" w:right="1845" w:hanging="480"/>
        <w:jc w:val="left"/>
        <w:rPr>
          <w:sz w:val="22"/>
        </w:rPr>
      </w:pPr>
      <w:r>
        <w:rPr>
          <w:spacing w:val="-4"/>
          <w:sz w:val="22"/>
        </w:rPr>
        <w:t>Mr.</w:t>
      </w:r>
      <w:r>
        <w:rPr>
          <w:spacing w:val="-10"/>
          <w:sz w:val="22"/>
        </w:rPr>
        <w:t> </w:t>
      </w:r>
      <w:r>
        <w:rPr>
          <w:spacing w:val="-4"/>
          <w:sz w:val="22"/>
        </w:rPr>
        <w:t>N.K.</w:t>
      </w:r>
      <w:r>
        <w:rPr>
          <w:spacing w:val="-10"/>
          <w:sz w:val="22"/>
        </w:rPr>
        <w:t> </w:t>
      </w:r>
      <w:r>
        <w:rPr>
          <w:spacing w:val="-4"/>
          <w:sz w:val="22"/>
        </w:rPr>
        <w:t>Malani,</w:t>
      </w:r>
      <w:r>
        <w:rPr>
          <w:spacing w:val="-10"/>
          <w:sz w:val="22"/>
        </w:rPr>
        <w:t> </w:t>
      </w:r>
      <w:r>
        <w:rPr>
          <w:spacing w:val="-4"/>
          <w:sz w:val="22"/>
        </w:rPr>
        <w:t>Sri</w:t>
      </w:r>
      <w:r>
        <w:rPr>
          <w:spacing w:val="-9"/>
          <w:sz w:val="22"/>
        </w:rPr>
        <w:t> </w:t>
      </w:r>
      <w:r>
        <w:rPr>
          <w:spacing w:val="-4"/>
          <w:sz w:val="22"/>
        </w:rPr>
        <w:t>Venkateswara</w:t>
      </w:r>
      <w:r>
        <w:rPr>
          <w:spacing w:val="-10"/>
          <w:sz w:val="22"/>
        </w:rPr>
        <w:t> </w:t>
      </w:r>
      <w:r>
        <w:rPr>
          <w:spacing w:val="-4"/>
          <w:sz w:val="22"/>
        </w:rPr>
        <w:t>Coir </w:t>
      </w:r>
      <w:r>
        <w:rPr>
          <w:sz w:val="22"/>
        </w:rPr>
        <w:t>Products Pvt. Ltd.</w:t>
      </w:r>
    </w:p>
    <w:p>
      <w:pPr>
        <w:pStyle w:val="ListParagraph"/>
        <w:numPr>
          <w:ilvl w:val="1"/>
          <w:numId w:val="98"/>
        </w:numPr>
        <w:tabs>
          <w:tab w:pos="976" w:val="left" w:leader="none"/>
        </w:tabs>
        <w:spacing w:line="240" w:lineRule="auto" w:before="89" w:after="0"/>
        <w:ind w:left="976" w:right="0" w:hanging="480"/>
        <w:jc w:val="left"/>
        <w:rPr>
          <w:sz w:val="22"/>
        </w:rPr>
      </w:pPr>
      <w:r>
        <w:rPr>
          <w:spacing w:val="-4"/>
          <w:sz w:val="22"/>
        </w:rPr>
        <w:t>Mr.</w:t>
      </w:r>
      <w:r>
        <w:rPr>
          <w:spacing w:val="-3"/>
          <w:sz w:val="22"/>
        </w:rPr>
        <w:t> </w:t>
      </w:r>
      <w:r>
        <w:rPr>
          <w:spacing w:val="-4"/>
          <w:sz w:val="22"/>
        </w:rPr>
        <w:t>Nitin</w:t>
      </w:r>
      <w:r>
        <w:rPr>
          <w:spacing w:val="-6"/>
          <w:sz w:val="22"/>
        </w:rPr>
        <w:t> </w:t>
      </w:r>
      <w:r>
        <w:rPr>
          <w:spacing w:val="-4"/>
          <w:sz w:val="22"/>
        </w:rPr>
        <w:t>Vyakaranam,</w:t>
      </w:r>
      <w:r>
        <w:rPr>
          <w:spacing w:val="-2"/>
          <w:sz w:val="22"/>
        </w:rPr>
        <w:t> </w:t>
      </w:r>
      <w:r>
        <w:rPr>
          <w:spacing w:val="-4"/>
          <w:sz w:val="22"/>
        </w:rPr>
        <w:t>Arthayantra</w:t>
      </w:r>
    </w:p>
    <w:p>
      <w:pPr>
        <w:pStyle w:val="ListParagraph"/>
        <w:numPr>
          <w:ilvl w:val="1"/>
          <w:numId w:val="98"/>
        </w:numPr>
        <w:tabs>
          <w:tab w:pos="976" w:val="left" w:leader="none"/>
        </w:tabs>
        <w:spacing w:line="266" w:lineRule="auto" w:before="117" w:after="0"/>
        <w:ind w:left="976" w:right="1497" w:hanging="480"/>
        <w:jc w:val="left"/>
        <w:rPr>
          <w:sz w:val="22"/>
        </w:rPr>
      </w:pPr>
      <w:r>
        <w:rPr>
          <w:spacing w:val="-6"/>
          <w:sz w:val="22"/>
        </w:rPr>
        <w:t>Ms. Devika Vardarajan, Polaris </w:t>
      </w:r>
      <w:r>
        <w:rPr>
          <w:spacing w:val="-6"/>
          <w:sz w:val="22"/>
        </w:rPr>
        <w:t>Management </w:t>
      </w:r>
      <w:r>
        <w:rPr>
          <w:sz w:val="22"/>
        </w:rPr>
        <w:t>Services Pvt. Ltd.</w:t>
      </w:r>
    </w:p>
    <w:p>
      <w:pPr>
        <w:pStyle w:val="ListParagraph"/>
        <w:numPr>
          <w:ilvl w:val="1"/>
          <w:numId w:val="98"/>
        </w:numPr>
        <w:tabs>
          <w:tab w:pos="976" w:val="left" w:leader="none"/>
        </w:tabs>
        <w:spacing w:line="240" w:lineRule="auto" w:before="88" w:after="0"/>
        <w:ind w:left="976" w:right="0" w:hanging="480"/>
        <w:jc w:val="left"/>
        <w:rPr>
          <w:sz w:val="22"/>
        </w:rPr>
      </w:pPr>
      <w:r>
        <w:rPr>
          <w:spacing w:val="-4"/>
          <w:sz w:val="22"/>
        </w:rPr>
        <w:t>Mr. Narne</w:t>
      </w:r>
      <w:r>
        <w:rPr>
          <w:spacing w:val="-2"/>
          <w:sz w:val="22"/>
        </w:rPr>
        <w:t> </w:t>
      </w:r>
      <w:r>
        <w:rPr>
          <w:spacing w:val="-4"/>
          <w:sz w:val="22"/>
        </w:rPr>
        <w:t>Prabhakar,</w:t>
      </w:r>
      <w:r>
        <w:rPr>
          <w:spacing w:val="-2"/>
          <w:sz w:val="22"/>
        </w:rPr>
        <w:t> </w:t>
      </w:r>
      <w:r>
        <w:rPr>
          <w:spacing w:val="-4"/>
          <w:sz w:val="22"/>
        </w:rPr>
        <w:t>Hyderabad</w:t>
      </w:r>
      <w:r>
        <w:rPr>
          <w:spacing w:val="-10"/>
          <w:sz w:val="22"/>
        </w:rPr>
        <w:t> </w:t>
      </w:r>
      <w:r>
        <w:rPr>
          <w:spacing w:val="-4"/>
          <w:sz w:val="22"/>
        </w:rPr>
        <w:t>Tulaman</w:t>
      </w:r>
      <w:r>
        <w:rPr>
          <w:spacing w:val="-2"/>
          <w:sz w:val="22"/>
        </w:rPr>
        <w:t> </w:t>
      </w:r>
      <w:r>
        <w:rPr>
          <w:spacing w:val="-4"/>
          <w:sz w:val="22"/>
        </w:rPr>
        <w:t>Ltd.</w:t>
      </w:r>
    </w:p>
    <w:p>
      <w:pPr>
        <w:pStyle w:val="ListParagraph"/>
        <w:numPr>
          <w:ilvl w:val="1"/>
          <w:numId w:val="98"/>
        </w:numPr>
        <w:tabs>
          <w:tab w:pos="976" w:val="left" w:leader="none"/>
        </w:tabs>
        <w:spacing w:line="266" w:lineRule="auto" w:before="117" w:after="0"/>
        <w:ind w:left="976" w:right="2807" w:hanging="480"/>
        <w:jc w:val="left"/>
        <w:rPr>
          <w:sz w:val="22"/>
        </w:rPr>
      </w:pPr>
      <w:r>
        <w:rPr>
          <w:spacing w:val="-6"/>
          <w:sz w:val="22"/>
        </w:rPr>
        <w:t>Mr.</w:t>
      </w:r>
      <w:r>
        <w:rPr>
          <w:spacing w:val="-8"/>
          <w:sz w:val="22"/>
        </w:rPr>
        <w:t> </w:t>
      </w:r>
      <w:r>
        <w:rPr>
          <w:spacing w:val="-6"/>
          <w:sz w:val="22"/>
        </w:rPr>
        <w:t>Jayadev</w:t>
      </w:r>
      <w:r>
        <w:rPr>
          <w:spacing w:val="-8"/>
          <w:sz w:val="22"/>
        </w:rPr>
        <w:t> </w:t>
      </w:r>
      <w:r>
        <w:rPr>
          <w:spacing w:val="-6"/>
          <w:sz w:val="22"/>
        </w:rPr>
        <w:t>Meela,</w:t>
      </w:r>
      <w:r>
        <w:rPr>
          <w:spacing w:val="-8"/>
          <w:sz w:val="22"/>
        </w:rPr>
        <w:t> </w:t>
      </w:r>
      <w:r>
        <w:rPr>
          <w:spacing w:val="-6"/>
          <w:sz w:val="22"/>
        </w:rPr>
        <w:t>Sudhakar </w:t>
      </w:r>
      <w:r>
        <w:rPr>
          <w:sz w:val="22"/>
        </w:rPr>
        <w:t>Polymers Ltd.</w:t>
      </w:r>
    </w:p>
    <w:p>
      <w:pPr>
        <w:pStyle w:val="ListParagraph"/>
        <w:numPr>
          <w:ilvl w:val="1"/>
          <w:numId w:val="98"/>
        </w:numPr>
        <w:tabs>
          <w:tab w:pos="976" w:val="left" w:leader="none"/>
        </w:tabs>
        <w:spacing w:line="240" w:lineRule="auto" w:before="89" w:after="0"/>
        <w:ind w:left="976" w:right="0" w:hanging="480"/>
        <w:jc w:val="left"/>
        <w:rPr>
          <w:sz w:val="22"/>
        </w:rPr>
      </w:pPr>
      <w:r>
        <w:rPr>
          <w:spacing w:val="-6"/>
          <w:sz w:val="22"/>
        </w:rPr>
        <w:t>Mr.</w:t>
      </w:r>
      <w:r>
        <w:rPr>
          <w:spacing w:val="-8"/>
          <w:sz w:val="22"/>
        </w:rPr>
        <w:t> </w:t>
      </w:r>
      <w:r>
        <w:rPr>
          <w:spacing w:val="-6"/>
          <w:sz w:val="22"/>
        </w:rPr>
        <w:t>V.</w:t>
      </w:r>
      <w:r>
        <w:rPr>
          <w:spacing w:val="-8"/>
          <w:sz w:val="22"/>
        </w:rPr>
        <w:t> </w:t>
      </w:r>
      <w:r>
        <w:rPr>
          <w:spacing w:val="-6"/>
          <w:sz w:val="22"/>
        </w:rPr>
        <w:t>Anil</w:t>
      </w:r>
      <w:r>
        <w:rPr>
          <w:spacing w:val="-7"/>
          <w:sz w:val="22"/>
        </w:rPr>
        <w:t> </w:t>
      </w:r>
      <w:r>
        <w:rPr>
          <w:spacing w:val="-6"/>
          <w:sz w:val="22"/>
        </w:rPr>
        <w:t>Reddy,</w:t>
      </w:r>
      <w:r>
        <w:rPr>
          <w:spacing w:val="-7"/>
          <w:sz w:val="22"/>
        </w:rPr>
        <w:t> </w:t>
      </w:r>
      <w:r>
        <w:rPr>
          <w:spacing w:val="-6"/>
          <w:sz w:val="22"/>
        </w:rPr>
        <w:t>Nayastrap Ltd.</w:t>
      </w:r>
    </w:p>
    <w:p>
      <w:pPr>
        <w:pStyle w:val="ListParagraph"/>
        <w:numPr>
          <w:ilvl w:val="1"/>
          <w:numId w:val="98"/>
        </w:numPr>
        <w:tabs>
          <w:tab w:pos="976" w:val="left" w:leader="none"/>
        </w:tabs>
        <w:spacing w:line="240" w:lineRule="auto" w:before="117" w:after="0"/>
        <w:ind w:left="976" w:right="0" w:hanging="480"/>
        <w:jc w:val="left"/>
        <w:rPr>
          <w:sz w:val="22"/>
        </w:rPr>
      </w:pPr>
      <w:r>
        <w:rPr>
          <w:spacing w:val="-4"/>
          <w:sz w:val="22"/>
        </w:rPr>
        <w:t>Mr.</w:t>
      </w:r>
      <w:r>
        <w:rPr>
          <w:spacing w:val="-8"/>
          <w:sz w:val="22"/>
        </w:rPr>
        <w:t> </w:t>
      </w:r>
      <w:r>
        <w:rPr>
          <w:spacing w:val="-4"/>
          <w:sz w:val="22"/>
        </w:rPr>
        <w:t>Devendra</w:t>
      </w:r>
      <w:r>
        <w:rPr>
          <w:spacing w:val="-8"/>
          <w:sz w:val="22"/>
        </w:rPr>
        <w:t> </w:t>
      </w:r>
      <w:r>
        <w:rPr>
          <w:spacing w:val="-4"/>
          <w:sz w:val="22"/>
        </w:rPr>
        <w:t>Surana,</w:t>
      </w:r>
      <w:r>
        <w:rPr>
          <w:spacing w:val="-8"/>
          <w:sz w:val="22"/>
        </w:rPr>
        <w:t> </w:t>
      </w:r>
      <w:r>
        <w:rPr>
          <w:spacing w:val="-4"/>
          <w:sz w:val="22"/>
        </w:rPr>
        <w:t>Bhagyanagar</w:t>
      </w:r>
      <w:r>
        <w:rPr>
          <w:spacing w:val="-8"/>
          <w:sz w:val="22"/>
        </w:rPr>
        <w:t> </w:t>
      </w:r>
      <w:r>
        <w:rPr>
          <w:spacing w:val="-4"/>
          <w:sz w:val="22"/>
        </w:rPr>
        <w:t>India</w:t>
      </w:r>
      <w:r>
        <w:rPr>
          <w:spacing w:val="-8"/>
          <w:sz w:val="22"/>
        </w:rPr>
        <w:t> </w:t>
      </w:r>
      <w:r>
        <w:rPr>
          <w:spacing w:val="-4"/>
          <w:sz w:val="22"/>
        </w:rPr>
        <w:t>Ltd.</w:t>
      </w:r>
    </w:p>
    <w:p>
      <w:pPr>
        <w:pStyle w:val="ListParagraph"/>
        <w:numPr>
          <w:ilvl w:val="1"/>
          <w:numId w:val="98"/>
        </w:numPr>
        <w:tabs>
          <w:tab w:pos="976" w:val="left" w:leader="none"/>
        </w:tabs>
        <w:spacing w:line="240" w:lineRule="auto" w:before="117" w:after="0"/>
        <w:ind w:left="976" w:right="0" w:hanging="480"/>
        <w:jc w:val="left"/>
        <w:rPr>
          <w:sz w:val="22"/>
        </w:rPr>
      </w:pPr>
      <w:r>
        <w:rPr>
          <w:spacing w:val="-4"/>
          <w:sz w:val="22"/>
        </w:rPr>
        <w:t>Mr.</w:t>
      </w:r>
      <w:r>
        <w:rPr>
          <w:spacing w:val="-5"/>
          <w:sz w:val="22"/>
        </w:rPr>
        <w:t> </w:t>
      </w:r>
      <w:r>
        <w:rPr>
          <w:spacing w:val="-4"/>
          <w:sz w:val="22"/>
        </w:rPr>
        <w:t>Ravindra Modi, Surya Masale</w:t>
      </w:r>
    </w:p>
    <w:p>
      <w:pPr>
        <w:pStyle w:val="ListParagraph"/>
        <w:numPr>
          <w:ilvl w:val="1"/>
          <w:numId w:val="98"/>
        </w:numPr>
        <w:tabs>
          <w:tab w:pos="976" w:val="left" w:leader="none"/>
        </w:tabs>
        <w:spacing w:line="240" w:lineRule="auto" w:before="117" w:after="0"/>
        <w:ind w:left="976" w:right="0" w:hanging="480"/>
        <w:jc w:val="left"/>
        <w:rPr>
          <w:sz w:val="22"/>
        </w:rPr>
      </w:pPr>
      <w:r>
        <w:rPr>
          <w:spacing w:val="-2"/>
          <w:sz w:val="22"/>
        </w:rPr>
        <w:t>Mr.</w:t>
      </w:r>
      <w:r>
        <w:rPr>
          <w:spacing w:val="-4"/>
          <w:sz w:val="22"/>
        </w:rPr>
        <w:t> </w:t>
      </w:r>
      <w:r>
        <w:rPr>
          <w:spacing w:val="-2"/>
          <w:sz w:val="22"/>
        </w:rPr>
        <w:t>D.</w:t>
      </w:r>
      <w:r>
        <w:rPr>
          <w:spacing w:val="-3"/>
          <w:sz w:val="22"/>
        </w:rPr>
        <w:t> </w:t>
      </w:r>
      <w:r>
        <w:rPr>
          <w:spacing w:val="-2"/>
          <w:sz w:val="22"/>
        </w:rPr>
        <w:t>Nagarjuna</w:t>
      </w:r>
      <w:r>
        <w:rPr>
          <w:spacing w:val="-3"/>
          <w:sz w:val="22"/>
        </w:rPr>
        <w:t> </w:t>
      </w:r>
      <w:r>
        <w:rPr>
          <w:spacing w:val="-2"/>
          <w:sz w:val="22"/>
        </w:rPr>
        <w:t>Sarma,</w:t>
      </w:r>
      <w:r>
        <w:rPr>
          <w:spacing w:val="-3"/>
          <w:sz w:val="22"/>
        </w:rPr>
        <w:t> </w:t>
      </w:r>
      <w:r>
        <w:rPr>
          <w:spacing w:val="-2"/>
          <w:sz w:val="22"/>
        </w:rPr>
        <w:t>Imprint</w:t>
      </w:r>
      <w:r>
        <w:rPr>
          <w:spacing w:val="-11"/>
          <w:sz w:val="22"/>
        </w:rPr>
        <w:t> </w:t>
      </w:r>
      <w:r>
        <w:rPr>
          <w:spacing w:val="-2"/>
          <w:sz w:val="22"/>
        </w:rPr>
        <w:t>Travels</w:t>
      </w:r>
    </w:p>
    <w:p>
      <w:pPr>
        <w:pStyle w:val="ListParagraph"/>
        <w:numPr>
          <w:ilvl w:val="1"/>
          <w:numId w:val="98"/>
        </w:numPr>
        <w:tabs>
          <w:tab w:pos="976" w:val="left" w:leader="none"/>
        </w:tabs>
        <w:spacing w:line="240" w:lineRule="auto" w:before="117" w:after="0"/>
        <w:ind w:left="976" w:right="0" w:hanging="480"/>
        <w:jc w:val="left"/>
        <w:rPr>
          <w:sz w:val="22"/>
        </w:rPr>
      </w:pPr>
      <w:r>
        <w:rPr>
          <w:spacing w:val="-8"/>
          <w:sz w:val="22"/>
        </w:rPr>
        <w:t>Mr.</w:t>
      </w:r>
      <w:r>
        <w:rPr>
          <w:spacing w:val="1"/>
          <w:sz w:val="22"/>
        </w:rPr>
        <w:t> </w:t>
      </w:r>
      <w:r>
        <w:rPr>
          <w:spacing w:val="-8"/>
          <w:sz w:val="22"/>
        </w:rPr>
        <w:t>Sriram</w:t>
      </w:r>
      <w:r>
        <w:rPr>
          <w:spacing w:val="-1"/>
          <w:sz w:val="22"/>
        </w:rPr>
        <w:t> </w:t>
      </w:r>
      <w:r>
        <w:rPr>
          <w:spacing w:val="-8"/>
          <w:sz w:val="22"/>
        </w:rPr>
        <w:t>Yalamati,</w:t>
      </w:r>
      <w:r>
        <w:rPr>
          <w:spacing w:val="2"/>
          <w:sz w:val="22"/>
        </w:rPr>
        <w:t> </w:t>
      </w:r>
      <w:r>
        <w:rPr>
          <w:spacing w:val="-8"/>
          <w:sz w:val="22"/>
        </w:rPr>
        <w:t>Matrix</w:t>
      </w:r>
      <w:r>
        <w:rPr>
          <w:spacing w:val="2"/>
          <w:sz w:val="22"/>
        </w:rPr>
        <w:t> </w:t>
      </w:r>
      <w:r>
        <w:rPr>
          <w:spacing w:val="-8"/>
          <w:sz w:val="22"/>
        </w:rPr>
        <w:t>Equipment</w:t>
      </w:r>
      <w:r>
        <w:rPr>
          <w:spacing w:val="2"/>
          <w:sz w:val="22"/>
        </w:rPr>
        <w:t> </w:t>
      </w:r>
      <w:r>
        <w:rPr>
          <w:spacing w:val="-8"/>
          <w:sz w:val="22"/>
        </w:rPr>
        <w:t>Pvt.</w:t>
      </w:r>
      <w:r>
        <w:rPr>
          <w:spacing w:val="2"/>
          <w:sz w:val="22"/>
        </w:rPr>
        <w:t> </w:t>
      </w:r>
      <w:r>
        <w:rPr>
          <w:spacing w:val="-8"/>
          <w:sz w:val="22"/>
        </w:rPr>
        <w:t>Ltd.</w:t>
      </w:r>
    </w:p>
    <w:p>
      <w:pPr>
        <w:pStyle w:val="ListParagraph"/>
        <w:numPr>
          <w:ilvl w:val="1"/>
          <w:numId w:val="98"/>
        </w:numPr>
        <w:tabs>
          <w:tab w:pos="976" w:val="left" w:leader="none"/>
        </w:tabs>
        <w:spacing w:line="266" w:lineRule="auto" w:before="117" w:after="0"/>
        <w:ind w:left="976" w:right="1633" w:hanging="480"/>
        <w:jc w:val="left"/>
        <w:rPr>
          <w:sz w:val="22"/>
        </w:rPr>
      </w:pPr>
      <w:r>
        <w:rPr>
          <w:spacing w:val="-2"/>
          <w:sz w:val="22"/>
        </w:rPr>
        <w:t>Mr.</w:t>
      </w:r>
      <w:r>
        <w:rPr>
          <w:spacing w:val="-12"/>
          <w:sz w:val="22"/>
        </w:rPr>
        <w:t> </w:t>
      </w:r>
      <w:r>
        <w:rPr>
          <w:spacing w:val="-2"/>
          <w:sz w:val="22"/>
        </w:rPr>
        <w:t>Sreeram</w:t>
      </w:r>
      <w:r>
        <w:rPr>
          <w:spacing w:val="-12"/>
          <w:sz w:val="22"/>
        </w:rPr>
        <w:t> </w:t>
      </w:r>
      <w:r>
        <w:rPr>
          <w:spacing w:val="-2"/>
          <w:sz w:val="22"/>
        </w:rPr>
        <w:t>M.M,</w:t>
      </w:r>
      <w:r>
        <w:rPr>
          <w:spacing w:val="-12"/>
          <w:sz w:val="22"/>
        </w:rPr>
        <w:t> </w:t>
      </w:r>
      <w:r>
        <w:rPr>
          <w:spacing w:val="-2"/>
          <w:sz w:val="22"/>
        </w:rPr>
        <w:t>S</w:t>
      </w:r>
      <w:r>
        <w:rPr>
          <w:spacing w:val="-11"/>
          <w:sz w:val="22"/>
        </w:rPr>
        <w:t> </w:t>
      </w:r>
      <w:r>
        <w:rPr>
          <w:spacing w:val="-2"/>
          <w:sz w:val="22"/>
        </w:rPr>
        <w:t>&amp;</w:t>
      </w:r>
      <w:r>
        <w:rPr>
          <w:spacing w:val="-12"/>
          <w:sz w:val="22"/>
        </w:rPr>
        <w:t> </w:t>
      </w:r>
      <w:r>
        <w:rPr>
          <w:spacing w:val="-2"/>
          <w:sz w:val="22"/>
        </w:rPr>
        <w:t>U</w:t>
      </w:r>
      <w:r>
        <w:rPr>
          <w:spacing w:val="-12"/>
          <w:sz w:val="22"/>
        </w:rPr>
        <w:t> </w:t>
      </w:r>
      <w:r>
        <w:rPr>
          <w:spacing w:val="-2"/>
          <w:sz w:val="22"/>
        </w:rPr>
        <w:t>MEK</w:t>
      </w:r>
      <w:r>
        <w:rPr>
          <w:spacing w:val="-12"/>
          <w:sz w:val="22"/>
        </w:rPr>
        <w:t> </w:t>
      </w:r>
      <w:r>
        <w:rPr>
          <w:spacing w:val="-2"/>
          <w:sz w:val="22"/>
        </w:rPr>
        <w:t>Engineers </w:t>
      </w:r>
      <w:r>
        <w:rPr>
          <w:sz w:val="22"/>
        </w:rPr>
        <w:t>Pvt. Ltd.</w:t>
      </w:r>
    </w:p>
    <w:p>
      <w:pPr>
        <w:pStyle w:val="ListParagraph"/>
        <w:numPr>
          <w:ilvl w:val="1"/>
          <w:numId w:val="98"/>
        </w:numPr>
        <w:tabs>
          <w:tab w:pos="976" w:val="left" w:leader="none"/>
        </w:tabs>
        <w:spacing w:line="240" w:lineRule="auto" w:before="88" w:after="0"/>
        <w:ind w:left="976" w:right="0" w:hanging="480"/>
        <w:jc w:val="left"/>
        <w:rPr>
          <w:sz w:val="22"/>
        </w:rPr>
      </w:pPr>
      <w:r>
        <w:rPr>
          <w:spacing w:val="-4"/>
          <w:sz w:val="22"/>
        </w:rPr>
        <w:t>Mr.</w:t>
      </w:r>
      <w:r>
        <w:rPr>
          <w:spacing w:val="-3"/>
          <w:sz w:val="22"/>
        </w:rPr>
        <w:t> </w:t>
      </w:r>
      <w:r>
        <w:rPr>
          <w:spacing w:val="-4"/>
          <w:sz w:val="22"/>
        </w:rPr>
        <w:t>Ramesh</w:t>
      </w:r>
      <w:r>
        <w:rPr>
          <w:spacing w:val="-3"/>
          <w:sz w:val="22"/>
        </w:rPr>
        <w:t> </w:t>
      </w:r>
      <w:r>
        <w:rPr>
          <w:spacing w:val="-4"/>
          <w:sz w:val="22"/>
        </w:rPr>
        <w:t>Datla,</w:t>
      </w:r>
      <w:r>
        <w:rPr>
          <w:spacing w:val="-3"/>
          <w:sz w:val="22"/>
        </w:rPr>
        <w:t> </w:t>
      </w:r>
      <w:r>
        <w:rPr>
          <w:spacing w:val="-4"/>
          <w:sz w:val="22"/>
        </w:rPr>
        <w:t>Elico</w:t>
      </w:r>
      <w:r>
        <w:rPr>
          <w:spacing w:val="-2"/>
          <w:sz w:val="22"/>
        </w:rPr>
        <w:t> </w:t>
      </w:r>
      <w:r>
        <w:rPr>
          <w:spacing w:val="-4"/>
          <w:sz w:val="22"/>
        </w:rPr>
        <w:t>Ltd.</w:t>
      </w:r>
    </w:p>
    <w:p>
      <w:pPr>
        <w:pStyle w:val="ListParagraph"/>
        <w:numPr>
          <w:ilvl w:val="1"/>
          <w:numId w:val="98"/>
        </w:numPr>
        <w:tabs>
          <w:tab w:pos="976" w:val="left" w:leader="none"/>
        </w:tabs>
        <w:spacing w:line="266" w:lineRule="auto" w:before="117" w:after="0"/>
        <w:ind w:left="976" w:right="2452" w:hanging="480"/>
        <w:jc w:val="left"/>
        <w:rPr>
          <w:sz w:val="22"/>
        </w:rPr>
      </w:pPr>
      <w:r>
        <w:rPr>
          <w:spacing w:val="-6"/>
          <w:sz w:val="22"/>
        </w:rPr>
        <w:t>Ms.</w:t>
      </w:r>
      <w:r>
        <w:rPr>
          <w:spacing w:val="-10"/>
          <w:sz w:val="22"/>
        </w:rPr>
        <w:t> </w:t>
      </w:r>
      <w:r>
        <w:rPr>
          <w:spacing w:val="-6"/>
          <w:sz w:val="22"/>
        </w:rPr>
        <w:t>Aartee</w:t>
      </w:r>
      <w:r>
        <w:rPr>
          <w:spacing w:val="-8"/>
          <w:sz w:val="22"/>
        </w:rPr>
        <w:t> </w:t>
      </w:r>
      <w:r>
        <w:rPr>
          <w:spacing w:val="-6"/>
          <w:sz w:val="22"/>
        </w:rPr>
        <w:t>Patil,</w:t>
      </w:r>
      <w:r>
        <w:rPr>
          <w:spacing w:val="-8"/>
          <w:sz w:val="22"/>
        </w:rPr>
        <w:t> </w:t>
      </w:r>
      <w:r>
        <w:rPr>
          <w:spacing w:val="-6"/>
          <w:sz w:val="22"/>
        </w:rPr>
        <w:t>Icon</w:t>
      </w:r>
      <w:r>
        <w:rPr>
          <w:spacing w:val="-7"/>
          <w:sz w:val="22"/>
        </w:rPr>
        <w:t> </w:t>
      </w:r>
      <w:r>
        <w:rPr>
          <w:spacing w:val="-6"/>
          <w:sz w:val="22"/>
        </w:rPr>
        <w:t>Accessories </w:t>
      </w:r>
      <w:r>
        <w:rPr>
          <w:sz w:val="22"/>
        </w:rPr>
        <w:t>Pvt. Ltd.</w:t>
      </w:r>
    </w:p>
    <w:p>
      <w:pPr>
        <w:pStyle w:val="ListParagraph"/>
        <w:numPr>
          <w:ilvl w:val="1"/>
          <w:numId w:val="98"/>
        </w:numPr>
        <w:tabs>
          <w:tab w:pos="976" w:val="left" w:leader="none"/>
        </w:tabs>
        <w:spacing w:line="240" w:lineRule="auto" w:before="88" w:after="0"/>
        <w:ind w:left="976" w:right="0" w:hanging="480"/>
        <w:jc w:val="left"/>
        <w:rPr>
          <w:sz w:val="22"/>
        </w:rPr>
      </w:pPr>
      <w:r>
        <w:rPr>
          <w:sz w:val="22"/>
        </w:rPr>
        <w:t>Mr.</w:t>
      </w:r>
      <w:r>
        <w:rPr>
          <w:spacing w:val="-10"/>
          <w:sz w:val="22"/>
        </w:rPr>
        <w:t> </w:t>
      </w:r>
      <w:r>
        <w:rPr>
          <w:sz w:val="22"/>
        </w:rPr>
        <w:t>A.N.</w:t>
      </w:r>
      <w:r>
        <w:rPr>
          <w:spacing w:val="-10"/>
          <w:sz w:val="22"/>
        </w:rPr>
        <w:t> </w:t>
      </w:r>
      <w:r>
        <w:rPr>
          <w:spacing w:val="-2"/>
          <w:sz w:val="22"/>
        </w:rPr>
        <w:t>Gupta,</w:t>
      </w:r>
    </w:p>
    <w:p>
      <w:pPr>
        <w:pStyle w:val="BodyText"/>
        <w:spacing w:before="27"/>
        <w:ind w:left="976"/>
      </w:pPr>
      <w:r>
        <w:rPr>
          <w:w w:val="90"/>
        </w:rPr>
        <w:t>Premier</w:t>
      </w:r>
      <w:r>
        <w:rPr>
          <w:spacing w:val="16"/>
        </w:rPr>
        <w:t> </w:t>
      </w:r>
      <w:r>
        <w:rPr>
          <w:w w:val="90"/>
        </w:rPr>
        <w:t>Explosives</w:t>
      </w:r>
      <w:r>
        <w:rPr>
          <w:spacing w:val="17"/>
        </w:rPr>
        <w:t> </w:t>
      </w:r>
      <w:r>
        <w:rPr>
          <w:spacing w:val="-4"/>
          <w:w w:val="90"/>
        </w:rPr>
        <w:t>Ltd.</w:t>
      </w:r>
    </w:p>
    <w:p>
      <w:pPr>
        <w:pStyle w:val="ListParagraph"/>
        <w:numPr>
          <w:ilvl w:val="1"/>
          <w:numId w:val="98"/>
        </w:numPr>
        <w:tabs>
          <w:tab w:pos="976" w:val="left" w:leader="none"/>
        </w:tabs>
        <w:spacing w:line="240" w:lineRule="auto" w:before="118" w:after="0"/>
        <w:ind w:left="976" w:right="0" w:hanging="480"/>
        <w:jc w:val="left"/>
        <w:rPr>
          <w:sz w:val="22"/>
        </w:rPr>
      </w:pPr>
      <w:r>
        <w:rPr>
          <w:sz w:val="22"/>
        </w:rPr>
        <w:t>Ms.</w:t>
      </w:r>
      <w:r>
        <w:rPr>
          <w:spacing w:val="-12"/>
          <w:sz w:val="22"/>
        </w:rPr>
        <w:t> </w:t>
      </w:r>
      <w:r>
        <w:rPr>
          <w:sz w:val="22"/>
        </w:rPr>
        <w:t>Durga</w:t>
      </w:r>
      <w:r>
        <w:rPr>
          <w:spacing w:val="-11"/>
          <w:sz w:val="22"/>
        </w:rPr>
        <w:t> </w:t>
      </w:r>
      <w:r>
        <w:rPr>
          <w:sz w:val="22"/>
        </w:rPr>
        <w:t>Rani,</w:t>
      </w:r>
      <w:r>
        <w:rPr>
          <w:spacing w:val="-11"/>
          <w:sz w:val="22"/>
        </w:rPr>
        <w:t> </w:t>
      </w:r>
      <w:r>
        <w:rPr>
          <w:sz w:val="22"/>
        </w:rPr>
        <w:t>Hyma</w:t>
      </w:r>
      <w:r>
        <w:rPr>
          <w:spacing w:val="-12"/>
          <w:sz w:val="22"/>
        </w:rPr>
        <w:t> </w:t>
      </w:r>
      <w:r>
        <w:rPr>
          <w:spacing w:val="-2"/>
          <w:sz w:val="22"/>
        </w:rPr>
        <w:t>Industries</w:t>
      </w:r>
    </w:p>
    <w:p>
      <w:pPr>
        <w:pStyle w:val="ListParagraph"/>
        <w:numPr>
          <w:ilvl w:val="1"/>
          <w:numId w:val="98"/>
        </w:numPr>
        <w:tabs>
          <w:tab w:pos="976" w:val="left" w:leader="none"/>
        </w:tabs>
        <w:spacing w:line="240" w:lineRule="auto" w:before="117" w:after="0"/>
        <w:ind w:left="976" w:right="0" w:hanging="480"/>
        <w:jc w:val="left"/>
        <w:rPr>
          <w:sz w:val="22"/>
        </w:rPr>
      </w:pPr>
      <w:r>
        <w:rPr>
          <w:spacing w:val="-6"/>
          <w:sz w:val="22"/>
        </w:rPr>
        <w:t>Ms.</w:t>
      </w:r>
      <w:r>
        <w:rPr>
          <w:spacing w:val="-4"/>
          <w:sz w:val="22"/>
        </w:rPr>
        <w:t> </w:t>
      </w:r>
      <w:r>
        <w:rPr>
          <w:spacing w:val="-6"/>
          <w:sz w:val="22"/>
        </w:rPr>
        <w:t>Vijay</w:t>
      </w:r>
      <w:r>
        <w:rPr>
          <w:sz w:val="22"/>
        </w:rPr>
        <w:t> </w:t>
      </w:r>
      <w:r>
        <w:rPr>
          <w:spacing w:val="-6"/>
          <w:sz w:val="22"/>
        </w:rPr>
        <w:t>Lakshmi,</w:t>
      </w:r>
      <w:r>
        <w:rPr>
          <w:sz w:val="22"/>
        </w:rPr>
        <w:t> </w:t>
      </w:r>
      <w:r>
        <w:rPr>
          <w:spacing w:val="-6"/>
          <w:sz w:val="22"/>
        </w:rPr>
        <w:t>Anu</w:t>
      </w:r>
      <w:r>
        <w:rPr>
          <w:sz w:val="22"/>
        </w:rPr>
        <w:t> </w:t>
      </w:r>
      <w:r>
        <w:rPr>
          <w:spacing w:val="-6"/>
          <w:sz w:val="22"/>
        </w:rPr>
        <w:t>Group</w:t>
      </w:r>
    </w:p>
    <w:p>
      <w:pPr>
        <w:pStyle w:val="ListParagraph"/>
        <w:numPr>
          <w:ilvl w:val="1"/>
          <w:numId w:val="98"/>
        </w:numPr>
        <w:tabs>
          <w:tab w:pos="976" w:val="left" w:leader="none"/>
        </w:tabs>
        <w:spacing w:line="266" w:lineRule="auto" w:before="117" w:after="0"/>
        <w:ind w:left="976" w:right="2271" w:hanging="480"/>
        <w:jc w:val="left"/>
        <w:rPr>
          <w:sz w:val="22"/>
        </w:rPr>
      </w:pPr>
      <w:r>
        <w:rPr>
          <w:spacing w:val="-4"/>
          <w:sz w:val="22"/>
        </w:rPr>
        <w:t>Mr.</w:t>
      </w:r>
      <w:r>
        <w:rPr>
          <w:spacing w:val="-9"/>
          <w:sz w:val="22"/>
        </w:rPr>
        <w:t> </w:t>
      </w:r>
      <w:r>
        <w:rPr>
          <w:spacing w:val="-4"/>
          <w:sz w:val="22"/>
        </w:rPr>
        <w:t>Rajeev</w:t>
      </w:r>
      <w:r>
        <w:rPr>
          <w:spacing w:val="-9"/>
          <w:sz w:val="22"/>
        </w:rPr>
        <w:t> </w:t>
      </w:r>
      <w:r>
        <w:rPr>
          <w:spacing w:val="-4"/>
          <w:sz w:val="22"/>
        </w:rPr>
        <w:t>Puri,</w:t>
      </w:r>
      <w:r>
        <w:rPr>
          <w:spacing w:val="-9"/>
          <w:sz w:val="22"/>
        </w:rPr>
        <w:t> </w:t>
      </w:r>
      <w:r>
        <w:rPr>
          <w:spacing w:val="-4"/>
          <w:sz w:val="22"/>
        </w:rPr>
        <w:t>Sukhjit</w:t>
      </w:r>
      <w:r>
        <w:rPr>
          <w:spacing w:val="-9"/>
          <w:sz w:val="22"/>
        </w:rPr>
        <w:t> </w:t>
      </w:r>
      <w:r>
        <w:rPr>
          <w:spacing w:val="-4"/>
          <w:sz w:val="22"/>
        </w:rPr>
        <w:t>Starch</w:t>
      </w:r>
      <w:r>
        <w:rPr>
          <w:spacing w:val="-9"/>
          <w:sz w:val="22"/>
        </w:rPr>
        <w:t> </w:t>
      </w:r>
      <w:r>
        <w:rPr>
          <w:spacing w:val="-4"/>
          <w:sz w:val="22"/>
        </w:rPr>
        <w:t>and </w:t>
      </w:r>
      <w:r>
        <w:rPr>
          <w:sz w:val="22"/>
        </w:rPr>
        <w:t>Chemicals Ltd.</w:t>
      </w:r>
    </w:p>
    <w:p>
      <w:pPr>
        <w:pStyle w:val="ListParagraph"/>
        <w:numPr>
          <w:ilvl w:val="1"/>
          <w:numId w:val="98"/>
        </w:numPr>
        <w:tabs>
          <w:tab w:pos="976" w:val="left" w:leader="none"/>
        </w:tabs>
        <w:spacing w:line="240" w:lineRule="auto" w:before="88" w:after="0"/>
        <w:ind w:left="976" w:right="0" w:hanging="480"/>
        <w:jc w:val="left"/>
        <w:rPr>
          <w:sz w:val="22"/>
        </w:rPr>
      </w:pPr>
      <w:r>
        <w:rPr>
          <w:spacing w:val="-4"/>
          <w:sz w:val="22"/>
        </w:rPr>
        <w:t>Mr.</w:t>
      </w:r>
      <w:r>
        <w:rPr>
          <w:spacing w:val="-10"/>
          <w:sz w:val="22"/>
        </w:rPr>
        <w:t> </w:t>
      </w:r>
      <w:r>
        <w:rPr>
          <w:spacing w:val="-4"/>
          <w:sz w:val="22"/>
        </w:rPr>
        <w:t>Ram</w:t>
      </w:r>
      <w:r>
        <w:rPr>
          <w:spacing w:val="-10"/>
          <w:sz w:val="22"/>
        </w:rPr>
        <w:t> </w:t>
      </w:r>
      <w:r>
        <w:rPr>
          <w:spacing w:val="-4"/>
          <w:sz w:val="22"/>
        </w:rPr>
        <w:t>Prasad,</w:t>
      </w:r>
      <w:r>
        <w:rPr>
          <w:spacing w:val="-9"/>
          <w:sz w:val="22"/>
        </w:rPr>
        <w:t> </w:t>
      </w:r>
      <w:r>
        <w:rPr>
          <w:spacing w:val="-4"/>
          <w:sz w:val="22"/>
        </w:rPr>
        <w:t>Sri</w:t>
      </w:r>
      <w:r>
        <w:rPr>
          <w:spacing w:val="-10"/>
          <w:sz w:val="22"/>
        </w:rPr>
        <w:t> </w:t>
      </w:r>
      <w:r>
        <w:rPr>
          <w:spacing w:val="-4"/>
          <w:sz w:val="22"/>
        </w:rPr>
        <w:t>Sarada</w:t>
      </w:r>
      <w:r>
        <w:rPr>
          <w:spacing w:val="-10"/>
          <w:sz w:val="22"/>
        </w:rPr>
        <w:t> </w:t>
      </w:r>
      <w:r>
        <w:rPr>
          <w:spacing w:val="-4"/>
          <w:sz w:val="22"/>
        </w:rPr>
        <w:t>Industries</w:t>
      </w:r>
    </w:p>
    <w:p>
      <w:pPr>
        <w:pStyle w:val="ListParagraph"/>
        <w:numPr>
          <w:ilvl w:val="1"/>
          <w:numId w:val="98"/>
        </w:numPr>
        <w:tabs>
          <w:tab w:pos="976" w:val="left" w:leader="none"/>
        </w:tabs>
        <w:spacing w:line="266" w:lineRule="auto" w:before="117" w:after="0"/>
        <w:ind w:left="976" w:right="2464" w:hanging="480"/>
        <w:jc w:val="left"/>
        <w:rPr>
          <w:b/>
          <w:sz w:val="22"/>
        </w:rPr>
      </w:pPr>
      <w:r>
        <w:rPr>
          <w:spacing w:val="-4"/>
          <w:sz w:val="22"/>
        </w:rPr>
        <w:t>Mr.</w:t>
      </w:r>
      <w:r>
        <w:rPr>
          <w:spacing w:val="-10"/>
          <w:sz w:val="22"/>
        </w:rPr>
        <w:t> </w:t>
      </w:r>
      <w:r>
        <w:rPr>
          <w:spacing w:val="-4"/>
          <w:sz w:val="22"/>
        </w:rPr>
        <w:t>J.</w:t>
      </w:r>
      <w:r>
        <w:rPr>
          <w:spacing w:val="-10"/>
          <w:sz w:val="22"/>
        </w:rPr>
        <w:t> </w:t>
      </w:r>
      <w:r>
        <w:rPr>
          <w:spacing w:val="-4"/>
          <w:sz w:val="22"/>
        </w:rPr>
        <w:t>Crasta,</w:t>
      </w:r>
      <w:r>
        <w:rPr>
          <w:spacing w:val="-10"/>
          <w:sz w:val="22"/>
        </w:rPr>
        <w:t> </w:t>
      </w:r>
      <w:r>
        <w:rPr>
          <w:spacing w:val="-4"/>
          <w:sz w:val="22"/>
        </w:rPr>
        <w:t>CM</w:t>
      </w:r>
      <w:r>
        <w:rPr>
          <w:spacing w:val="-9"/>
          <w:sz w:val="22"/>
        </w:rPr>
        <w:t> </w:t>
      </w:r>
      <w:r>
        <w:rPr>
          <w:spacing w:val="-4"/>
          <w:sz w:val="22"/>
        </w:rPr>
        <w:t>Envirosystems </w:t>
      </w:r>
      <w:r>
        <w:rPr>
          <w:sz w:val="22"/>
        </w:rPr>
        <w:t>Pvt. Ltd.</w:t>
      </w:r>
    </w:p>
    <w:p>
      <w:pPr>
        <w:pStyle w:val="ListParagraph"/>
        <w:numPr>
          <w:ilvl w:val="1"/>
          <w:numId w:val="98"/>
        </w:numPr>
        <w:tabs>
          <w:tab w:pos="976" w:val="left" w:leader="none"/>
        </w:tabs>
        <w:spacing w:line="266" w:lineRule="auto" w:before="88" w:after="0"/>
        <w:ind w:left="976" w:right="1909" w:hanging="480"/>
        <w:jc w:val="left"/>
        <w:rPr>
          <w:sz w:val="22"/>
        </w:rPr>
      </w:pPr>
      <w:r>
        <w:rPr>
          <w:spacing w:val="-4"/>
          <w:sz w:val="22"/>
        </w:rPr>
        <w:t>Mr.</w:t>
      </w:r>
      <w:r>
        <w:rPr>
          <w:spacing w:val="-9"/>
          <w:sz w:val="22"/>
        </w:rPr>
        <w:t> </w:t>
      </w:r>
      <w:r>
        <w:rPr>
          <w:spacing w:val="-4"/>
          <w:sz w:val="22"/>
        </w:rPr>
        <w:t>Subramani</w:t>
      </w:r>
      <w:r>
        <w:rPr>
          <w:spacing w:val="-9"/>
          <w:sz w:val="22"/>
        </w:rPr>
        <w:t> </w:t>
      </w:r>
      <w:r>
        <w:rPr>
          <w:spacing w:val="-4"/>
          <w:sz w:val="22"/>
        </w:rPr>
        <w:t>Ramachandra,</w:t>
      </w:r>
      <w:r>
        <w:rPr>
          <w:spacing w:val="-9"/>
          <w:sz w:val="22"/>
        </w:rPr>
        <w:t> </w:t>
      </w:r>
      <w:r>
        <w:rPr>
          <w:spacing w:val="-4"/>
          <w:sz w:val="22"/>
        </w:rPr>
        <w:t>Richcore </w:t>
      </w:r>
      <w:r>
        <w:rPr>
          <w:sz w:val="22"/>
        </w:rPr>
        <w:t>Lifesciences Pvt. Ltd.</w:t>
      </w:r>
    </w:p>
    <w:p>
      <w:pPr>
        <w:pStyle w:val="ListParagraph"/>
        <w:numPr>
          <w:ilvl w:val="1"/>
          <w:numId w:val="98"/>
        </w:numPr>
        <w:tabs>
          <w:tab w:pos="976" w:val="left" w:leader="none"/>
        </w:tabs>
        <w:spacing w:line="266" w:lineRule="auto" w:before="89" w:after="0"/>
        <w:ind w:left="976" w:right="1626" w:hanging="480"/>
        <w:jc w:val="left"/>
        <w:rPr>
          <w:sz w:val="22"/>
        </w:rPr>
      </w:pPr>
      <w:r>
        <w:rPr>
          <w:spacing w:val="-4"/>
          <w:sz w:val="22"/>
        </w:rPr>
        <w:t>Mr.</w:t>
      </w:r>
      <w:r>
        <w:rPr>
          <w:spacing w:val="-10"/>
          <w:sz w:val="22"/>
        </w:rPr>
        <w:t> </w:t>
      </w:r>
      <w:r>
        <w:rPr>
          <w:spacing w:val="-4"/>
          <w:sz w:val="22"/>
        </w:rPr>
        <w:t>J.R.</w:t>
      </w:r>
      <w:r>
        <w:rPr>
          <w:spacing w:val="-10"/>
          <w:sz w:val="22"/>
        </w:rPr>
        <w:t> </w:t>
      </w:r>
      <w:r>
        <w:rPr>
          <w:spacing w:val="-4"/>
          <w:sz w:val="22"/>
        </w:rPr>
        <w:t>Bangera,</w:t>
      </w:r>
      <w:r>
        <w:rPr>
          <w:spacing w:val="-10"/>
          <w:sz w:val="22"/>
        </w:rPr>
        <w:t> </w:t>
      </w:r>
      <w:r>
        <w:rPr>
          <w:spacing w:val="-4"/>
          <w:sz w:val="22"/>
        </w:rPr>
        <w:t>Premiers</w:t>
      </w:r>
      <w:r>
        <w:rPr>
          <w:spacing w:val="-9"/>
          <w:sz w:val="22"/>
        </w:rPr>
        <w:t> </w:t>
      </w:r>
      <w:r>
        <w:rPr>
          <w:spacing w:val="-4"/>
          <w:sz w:val="22"/>
        </w:rPr>
        <w:t>Starch</w:t>
      </w:r>
      <w:r>
        <w:rPr>
          <w:spacing w:val="-10"/>
          <w:sz w:val="22"/>
        </w:rPr>
        <w:t> </w:t>
      </w:r>
      <w:r>
        <w:rPr>
          <w:spacing w:val="-4"/>
          <w:sz w:val="22"/>
        </w:rPr>
        <w:t>Products </w:t>
      </w:r>
      <w:r>
        <w:rPr>
          <w:sz w:val="22"/>
        </w:rPr>
        <w:t>Pvt. Ltd.</w:t>
      </w:r>
    </w:p>
    <w:p>
      <w:pPr>
        <w:pStyle w:val="ListParagraph"/>
        <w:numPr>
          <w:ilvl w:val="1"/>
          <w:numId w:val="98"/>
        </w:numPr>
        <w:tabs>
          <w:tab w:pos="976" w:val="left" w:leader="none"/>
        </w:tabs>
        <w:spacing w:line="266" w:lineRule="auto" w:before="88" w:after="0"/>
        <w:ind w:left="976" w:right="1522" w:hanging="480"/>
        <w:jc w:val="left"/>
        <w:rPr>
          <w:sz w:val="22"/>
        </w:rPr>
      </w:pPr>
      <w:r>
        <w:rPr>
          <w:spacing w:val="-4"/>
          <w:sz w:val="22"/>
        </w:rPr>
        <w:t>Ms.</w:t>
      </w:r>
      <w:r>
        <w:rPr>
          <w:spacing w:val="-10"/>
          <w:sz w:val="22"/>
        </w:rPr>
        <w:t> </w:t>
      </w:r>
      <w:r>
        <w:rPr>
          <w:spacing w:val="-4"/>
          <w:sz w:val="22"/>
        </w:rPr>
        <w:t>Madhura</w:t>
      </w:r>
      <w:r>
        <w:rPr>
          <w:spacing w:val="-10"/>
          <w:sz w:val="22"/>
        </w:rPr>
        <w:t> </w:t>
      </w:r>
      <w:r>
        <w:rPr>
          <w:spacing w:val="-4"/>
          <w:sz w:val="22"/>
        </w:rPr>
        <w:t>Chatrapathy,</w:t>
      </w:r>
      <w:r>
        <w:rPr>
          <w:spacing w:val="-10"/>
          <w:sz w:val="22"/>
        </w:rPr>
        <w:t> </w:t>
      </w:r>
      <w:r>
        <w:rPr>
          <w:spacing w:val="-4"/>
          <w:sz w:val="22"/>
        </w:rPr>
        <w:t>Food</w:t>
      </w:r>
      <w:r>
        <w:rPr>
          <w:spacing w:val="-9"/>
          <w:sz w:val="22"/>
        </w:rPr>
        <w:t> </w:t>
      </w:r>
      <w:r>
        <w:rPr>
          <w:spacing w:val="-4"/>
          <w:sz w:val="22"/>
        </w:rPr>
        <w:t>Associates; </w:t>
      </w:r>
      <w:r>
        <w:rPr>
          <w:sz w:val="22"/>
        </w:rPr>
        <w:t>AWAKE; ASCENT</w:t>
      </w:r>
    </w:p>
    <w:p>
      <w:pPr>
        <w:pStyle w:val="ListParagraph"/>
        <w:numPr>
          <w:ilvl w:val="1"/>
          <w:numId w:val="98"/>
        </w:numPr>
        <w:tabs>
          <w:tab w:pos="976" w:val="left" w:leader="none"/>
        </w:tabs>
        <w:spacing w:line="266" w:lineRule="auto" w:before="89" w:after="0"/>
        <w:ind w:left="976" w:right="1163" w:hanging="480"/>
        <w:jc w:val="left"/>
        <w:rPr>
          <w:sz w:val="22"/>
        </w:rPr>
      </w:pPr>
      <w:r>
        <w:rPr>
          <w:spacing w:val="-6"/>
          <w:sz w:val="22"/>
        </w:rPr>
        <w:t>Mr.</w:t>
      </w:r>
      <w:r>
        <w:rPr>
          <w:sz w:val="22"/>
        </w:rPr>
        <w:t> </w:t>
      </w:r>
      <w:r>
        <w:rPr>
          <w:spacing w:val="-6"/>
          <w:sz w:val="22"/>
        </w:rPr>
        <w:t>Srikumar</w:t>
      </w:r>
      <w:r>
        <w:rPr>
          <w:sz w:val="22"/>
        </w:rPr>
        <w:t> </w:t>
      </w:r>
      <w:r>
        <w:rPr>
          <w:spacing w:val="-6"/>
          <w:sz w:val="22"/>
        </w:rPr>
        <w:t>Narayan, Winfoware</w:t>
      </w:r>
      <w:r>
        <w:rPr>
          <w:spacing w:val="-8"/>
          <w:sz w:val="22"/>
        </w:rPr>
        <w:t> </w:t>
      </w:r>
      <w:r>
        <w:rPr>
          <w:spacing w:val="-6"/>
          <w:sz w:val="22"/>
        </w:rPr>
        <w:t>Technologies </w:t>
      </w:r>
      <w:r>
        <w:rPr>
          <w:sz w:val="22"/>
        </w:rPr>
        <w:t>Pvt. Ltd.</w:t>
      </w:r>
    </w:p>
    <w:p>
      <w:pPr>
        <w:pStyle w:val="ListParagraph"/>
        <w:numPr>
          <w:ilvl w:val="1"/>
          <w:numId w:val="98"/>
        </w:numPr>
        <w:tabs>
          <w:tab w:pos="976" w:val="left" w:leader="none"/>
        </w:tabs>
        <w:spacing w:line="266" w:lineRule="auto" w:before="88" w:after="0"/>
        <w:ind w:left="976" w:right="1779" w:hanging="480"/>
        <w:jc w:val="left"/>
        <w:rPr>
          <w:sz w:val="22"/>
        </w:rPr>
      </w:pPr>
      <w:r>
        <w:rPr>
          <w:spacing w:val="-4"/>
          <w:sz w:val="22"/>
        </w:rPr>
        <w:t>Mr.</w:t>
      </w:r>
      <w:r>
        <w:rPr>
          <w:spacing w:val="-10"/>
          <w:sz w:val="22"/>
        </w:rPr>
        <w:t> </w:t>
      </w:r>
      <w:r>
        <w:rPr>
          <w:spacing w:val="-4"/>
          <w:sz w:val="22"/>
        </w:rPr>
        <w:t>D.R.</w:t>
      </w:r>
      <w:r>
        <w:rPr>
          <w:spacing w:val="-10"/>
          <w:sz w:val="22"/>
        </w:rPr>
        <w:t> </w:t>
      </w:r>
      <w:r>
        <w:rPr>
          <w:spacing w:val="-4"/>
          <w:sz w:val="22"/>
        </w:rPr>
        <w:t>Srikantaiah,</w:t>
      </w:r>
      <w:r>
        <w:rPr>
          <w:spacing w:val="-10"/>
          <w:sz w:val="22"/>
        </w:rPr>
        <w:t> </w:t>
      </w:r>
      <w:r>
        <w:rPr>
          <w:spacing w:val="-4"/>
          <w:sz w:val="22"/>
        </w:rPr>
        <w:t>Associated</w:t>
      </w:r>
      <w:r>
        <w:rPr>
          <w:spacing w:val="-10"/>
          <w:sz w:val="22"/>
        </w:rPr>
        <w:t> </w:t>
      </w:r>
      <w:r>
        <w:rPr>
          <w:spacing w:val="-4"/>
          <w:sz w:val="22"/>
        </w:rPr>
        <w:t>Trading </w:t>
      </w:r>
      <w:r>
        <w:rPr>
          <w:spacing w:val="-2"/>
          <w:sz w:val="22"/>
        </w:rPr>
        <w:t>Corporation</w:t>
      </w:r>
    </w:p>
    <w:p>
      <w:pPr>
        <w:pStyle w:val="ListParagraph"/>
        <w:numPr>
          <w:ilvl w:val="1"/>
          <w:numId w:val="98"/>
        </w:numPr>
        <w:tabs>
          <w:tab w:pos="976" w:val="left" w:leader="none"/>
        </w:tabs>
        <w:spacing w:line="240" w:lineRule="auto" w:before="88" w:after="0"/>
        <w:ind w:left="976" w:right="0" w:hanging="480"/>
        <w:jc w:val="left"/>
        <w:rPr>
          <w:sz w:val="22"/>
        </w:rPr>
      </w:pPr>
      <w:r>
        <w:rPr>
          <w:spacing w:val="-4"/>
          <w:sz w:val="22"/>
        </w:rPr>
        <w:t>Ms.</w:t>
      </w:r>
      <w:r>
        <w:rPr>
          <w:spacing w:val="-7"/>
          <w:sz w:val="22"/>
        </w:rPr>
        <w:t> </w:t>
      </w:r>
      <w:r>
        <w:rPr>
          <w:spacing w:val="-4"/>
          <w:sz w:val="22"/>
        </w:rPr>
        <w:t>Raj</w:t>
      </w:r>
      <w:r>
        <w:rPr>
          <w:spacing w:val="-7"/>
          <w:sz w:val="22"/>
        </w:rPr>
        <w:t> </w:t>
      </w:r>
      <w:r>
        <w:rPr>
          <w:spacing w:val="-4"/>
          <w:sz w:val="22"/>
        </w:rPr>
        <w:t>Bhasin,</w:t>
      </w:r>
      <w:r>
        <w:rPr>
          <w:spacing w:val="-6"/>
          <w:sz w:val="22"/>
        </w:rPr>
        <w:t> </w:t>
      </w:r>
      <w:r>
        <w:rPr>
          <w:spacing w:val="-4"/>
          <w:sz w:val="22"/>
        </w:rPr>
        <w:t>Bhasinsoft</w:t>
      </w:r>
      <w:r>
        <w:rPr>
          <w:spacing w:val="-7"/>
          <w:sz w:val="22"/>
        </w:rPr>
        <w:t> </w:t>
      </w:r>
      <w:r>
        <w:rPr>
          <w:spacing w:val="-4"/>
          <w:sz w:val="22"/>
        </w:rPr>
        <w:t>India</w:t>
      </w:r>
      <w:r>
        <w:rPr>
          <w:spacing w:val="-7"/>
          <w:sz w:val="22"/>
        </w:rPr>
        <w:t> </w:t>
      </w:r>
      <w:r>
        <w:rPr>
          <w:spacing w:val="-4"/>
          <w:sz w:val="22"/>
        </w:rPr>
        <w:t>Ltd.</w:t>
      </w:r>
    </w:p>
    <w:p>
      <w:pPr>
        <w:pStyle w:val="ListParagraph"/>
        <w:numPr>
          <w:ilvl w:val="1"/>
          <w:numId w:val="98"/>
        </w:numPr>
        <w:tabs>
          <w:tab w:pos="976" w:val="left" w:leader="none"/>
        </w:tabs>
        <w:spacing w:line="266" w:lineRule="auto" w:before="117" w:after="0"/>
        <w:ind w:left="976" w:right="1598" w:hanging="480"/>
        <w:jc w:val="left"/>
        <w:rPr>
          <w:sz w:val="22"/>
        </w:rPr>
      </w:pPr>
      <w:r>
        <w:rPr>
          <w:spacing w:val="-4"/>
          <w:sz w:val="22"/>
        </w:rPr>
        <w:t>Mr.</w:t>
      </w:r>
      <w:r>
        <w:rPr>
          <w:spacing w:val="-5"/>
          <w:sz w:val="22"/>
        </w:rPr>
        <w:t> </w:t>
      </w:r>
      <w:r>
        <w:rPr>
          <w:spacing w:val="-4"/>
          <w:sz w:val="22"/>
        </w:rPr>
        <w:t>M.S.</w:t>
      </w:r>
      <w:r>
        <w:rPr>
          <w:spacing w:val="-5"/>
          <w:sz w:val="22"/>
        </w:rPr>
        <w:t> </w:t>
      </w:r>
      <w:r>
        <w:rPr>
          <w:spacing w:val="-4"/>
          <w:sz w:val="22"/>
        </w:rPr>
        <w:t>Sidhu,</w:t>
      </w:r>
      <w:r>
        <w:rPr>
          <w:spacing w:val="-5"/>
          <w:sz w:val="22"/>
        </w:rPr>
        <w:t> </w:t>
      </w:r>
      <w:r>
        <w:rPr>
          <w:spacing w:val="-4"/>
          <w:sz w:val="22"/>
        </w:rPr>
        <w:t>Apara</w:t>
      </w:r>
      <w:r>
        <w:rPr>
          <w:spacing w:val="-5"/>
          <w:sz w:val="22"/>
        </w:rPr>
        <w:t> </w:t>
      </w:r>
      <w:r>
        <w:rPr>
          <w:spacing w:val="-4"/>
          <w:sz w:val="22"/>
        </w:rPr>
        <w:t>Enterprise</w:t>
      </w:r>
      <w:r>
        <w:rPr>
          <w:spacing w:val="-5"/>
          <w:sz w:val="22"/>
        </w:rPr>
        <w:t> </w:t>
      </w:r>
      <w:r>
        <w:rPr>
          <w:spacing w:val="-4"/>
          <w:sz w:val="22"/>
        </w:rPr>
        <w:t>solutions </w:t>
      </w:r>
      <w:r>
        <w:rPr>
          <w:sz w:val="22"/>
        </w:rPr>
        <w:t>Pvt. Ltd.</w:t>
      </w:r>
    </w:p>
    <w:p>
      <w:pPr>
        <w:pStyle w:val="ListParagraph"/>
        <w:numPr>
          <w:ilvl w:val="1"/>
          <w:numId w:val="98"/>
        </w:numPr>
        <w:tabs>
          <w:tab w:pos="976" w:val="left" w:leader="none"/>
        </w:tabs>
        <w:spacing w:line="240" w:lineRule="auto" w:before="89" w:after="0"/>
        <w:ind w:left="976" w:right="0" w:hanging="480"/>
        <w:jc w:val="left"/>
        <w:rPr>
          <w:sz w:val="22"/>
        </w:rPr>
      </w:pPr>
      <w:r>
        <w:rPr>
          <w:spacing w:val="-2"/>
          <w:sz w:val="22"/>
        </w:rPr>
        <w:t>Ms.</w:t>
      </w:r>
      <w:r>
        <w:rPr>
          <w:spacing w:val="-10"/>
          <w:sz w:val="22"/>
        </w:rPr>
        <w:t> </w:t>
      </w:r>
      <w:r>
        <w:rPr>
          <w:spacing w:val="-2"/>
          <w:sz w:val="22"/>
        </w:rPr>
        <w:t>Uma</w:t>
      </w:r>
      <w:r>
        <w:rPr>
          <w:spacing w:val="-10"/>
          <w:sz w:val="22"/>
        </w:rPr>
        <w:t> </w:t>
      </w:r>
      <w:r>
        <w:rPr>
          <w:spacing w:val="-2"/>
          <w:sz w:val="22"/>
        </w:rPr>
        <w:t>Reddy,</w:t>
      </w:r>
      <w:r>
        <w:rPr>
          <w:spacing w:val="-9"/>
          <w:sz w:val="22"/>
        </w:rPr>
        <w:t> </w:t>
      </w:r>
      <w:r>
        <w:rPr>
          <w:spacing w:val="-2"/>
          <w:sz w:val="22"/>
        </w:rPr>
        <w:t>Hitech</w:t>
      </w:r>
      <w:r>
        <w:rPr>
          <w:spacing w:val="-10"/>
          <w:sz w:val="22"/>
        </w:rPr>
        <w:t> </w:t>
      </w:r>
      <w:r>
        <w:rPr>
          <w:spacing w:val="-2"/>
          <w:sz w:val="22"/>
        </w:rPr>
        <w:t>Magnetics</w:t>
      </w:r>
    </w:p>
    <w:p>
      <w:pPr>
        <w:pStyle w:val="ListParagraph"/>
        <w:numPr>
          <w:ilvl w:val="1"/>
          <w:numId w:val="98"/>
        </w:numPr>
        <w:tabs>
          <w:tab w:pos="976" w:val="left" w:leader="none"/>
        </w:tabs>
        <w:spacing w:line="240" w:lineRule="auto" w:before="117" w:after="0"/>
        <w:ind w:left="976" w:right="0" w:hanging="480"/>
        <w:jc w:val="left"/>
        <w:rPr>
          <w:sz w:val="22"/>
        </w:rPr>
      </w:pPr>
      <w:r>
        <w:rPr>
          <w:spacing w:val="-4"/>
          <w:sz w:val="22"/>
        </w:rPr>
        <w:t>Mr.</w:t>
      </w:r>
      <w:r>
        <w:rPr>
          <w:spacing w:val="-7"/>
          <w:sz w:val="22"/>
        </w:rPr>
        <w:t> </w:t>
      </w:r>
      <w:r>
        <w:rPr>
          <w:spacing w:val="-4"/>
          <w:sz w:val="22"/>
        </w:rPr>
        <w:t>Shivakumar,</w:t>
      </w:r>
      <w:r>
        <w:rPr>
          <w:spacing w:val="-7"/>
          <w:sz w:val="22"/>
        </w:rPr>
        <w:t> </w:t>
      </w:r>
      <w:r>
        <w:rPr>
          <w:spacing w:val="-4"/>
          <w:sz w:val="22"/>
        </w:rPr>
        <w:t>Indigo</w:t>
      </w:r>
      <w:r>
        <w:rPr>
          <w:spacing w:val="-7"/>
          <w:sz w:val="22"/>
        </w:rPr>
        <w:t> </w:t>
      </w:r>
      <w:r>
        <w:rPr>
          <w:spacing w:val="-4"/>
          <w:sz w:val="22"/>
        </w:rPr>
        <w:t>Edge</w:t>
      </w:r>
    </w:p>
    <w:p>
      <w:pPr>
        <w:spacing w:after="0" w:line="240" w:lineRule="auto"/>
        <w:jc w:val="left"/>
        <w:rPr>
          <w:sz w:val="22"/>
        </w:rPr>
        <w:sectPr>
          <w:pgSz w:w="11910" w:h="16840"/>
          <w:pgMar w:header="0" w:footer="675" w:top="960" w:bottom="860" w:left="0" w:right="0"/>
          <w:cols w:num="2" w:equalWidth="0">
            <w:col w:w="5597" w:space="40"/>
            <w:col w:w="6273"/>
          </w:cols>
        </w:sectPr>
      </w:pPr>
    </w:p>
    <w:p>
      <w:pPr>
        <w:pStyle w:val="ListParagraph"/>
        <w:numPr>
          <w:ilvl w:val="1"/>
          <w:numId w:val="98"/>
        </w:numPr>
        <w:tabs>
          <w:tab w:pos="1560" w:val="left" w:leader="none"/>
        </w:tabs>
        <w:spacing w:line="240" w:lineRule="auto" w:before="57" w:after="0"/>
        <w:ind w:left="1560" w:right="0" w:hanging="480"/>
        <w:jc w:val="left"/>
        <w:rPr>
          <w:sz w:val="22"/>
        </w:rPr>
      </w:pPr>
      <w:r>
        <w:rPr>
          <w:spacing w:val="-6"/>
          <w:sz w:val="22"/>
        </w:rPr>
        <w:t>Mr.</w:t>
      </w:r>
      <w:r>
        <w:rPr>
          <w:spacing w:val="-7"/>
          <w:sz w:val="22"/>
        </w:rPr>
        <w:t> </w:t>
      </w:r>
      <w:r>
        <w:rPr>
          <w:spacing w:val="-6"/>
          <w:sz w:val="22"/>
        </w:rPr>
        <w:t>Ravi</w:t>
      </w:r>
      <w:r>
        <w:rPr>
          <w:spacing w:val="-8"/>
          <w:sz w:val="22"/>
        </w:rPr>
        <w:t> </w:t>
      </w:r>
      <w:r>
        <w:rPr>
          <w:spacing w:val="-6"/>
          <w:sz w:val="22"/>
        </w:rPr>
        <w:t>Venkatesan,</w:t>
      </w:r>
      <w:r>
        <w:rPr>
          <w:spacing w:val="-5"/>
          <w:sz w:val="22"/>
        </w:rPr>
        <w:t> </w:t>
      </w:r>
      <w:r>
        <w:rPr>
          <w:spacing w:val="-6"/>
          <w:sz w:val="22"/>
        </w:rPr>
        <w:t>OnTrac</w:t>
      </w:r>
    </w:p>
    <w:p>
      <w:pPr>
        <w:pStyle w:val="ListParagraph"/>
        <w:numPr>
          <w:ilvl w:val="1"/>
          <w:numId w:val="98"/>
        </w:numPr>
        <w:tabs>
          <w:tab w:pos="1560" w:val="left" w:leader="none"/>
        </w:tabs>
        <w:spacing w:line="266" w:lineRule="auto" w:before="117" w:after="0"/>
        <w:ind w:left="1560" w:right="163" w:hanging="480"/>
        <w:jc w:val="left"/>
        <w:rPr>
          <w:sz w:val="22"/>
        </w:rPr>
      </w:pPr>
      <w:r>
        <w:rPr>
          <w:spacing w:val="-6"/>
          <w:sz w:val="22"/>
        </w:rPr>
        <w:t>Dr.</w:t>
      </w:r>
      <w:r>
        <w:rPr>
          <w:spacing w:val="-10"/>
          <w:sz w:val="22"/>
        </w:rPr>
        <w:t> </w:t>
      </w:r>
      <w:r>
        <w:rPr>
          <w:spacing w:val="-6"/>
          <w:sz w:val="22"/>
        </w:rPr>
        <w:t>Krishnaswamy,</w:t>
      </w:r>
      <w:r>
        <w:rPr>
          <w:spacing w:val="-8"/>
          <w:sz w:val="22"/>
        </w:rPr>
        <w:t> </w:t>
      </w:r>
      <w:r>
        <w:rPr>
          <w:spacing w:val="-6"/>
          <w:sz w:val="22"/>
        </w:rPr>
        <w:t>Animal</w:t>
      </w:r>
      <w:r>
        <w:rPr>
          <w:spacing w:val="-8"/>
          <w:sz w:val="22"/>
        </w:rPr>
        <w:t> </w:t>
      </w:r>
      <w:r>
        <w:rPr>
          <w:spacing w:val="-6"/>
          <w:sz w:val="22"/>
        </w:rPr>
        <w:t>Biotech</w:t>
      </w:r>
      <w:r>
        <w:rPr>
          <w:spacing w:val="-7"/>
          <w:sz w:val="22"/>
        </w:rPr>
        <w:t> </w:t>
      </w:r>
      <w:r>
        <w:rPr>
          <w:spacing w:val="-6"/>
          <w:sz w:val="22"/>
        </w:rPr>
        <w:t>(Bangalore) </w:t>
      </w:r>
      <w:r>
        <w:rPr>
          <w:sz w:val="22"/>
        </w:rPr>
        <w:t>Pvt. Ltd.</w:t>
      </w:r>
    </w:p>
    <w:p>
      <w:pPr>
        <w:pStyle w:val="ListParagraph"/>
        <w:numPr>
          <w:ilvl w:val="1"/>
          <w:numId w:val="98"/>
        </w:numPr>
        <w:tabs>
          <w:tab w:pos="1560" w:val="left" w:leader="none"/>
        </w:tabs>
        <w:spacing w:line="266" w:lineRule="auto" w:before="89" w:after="0"/>
        <w:ind w:left="1560" w:right="246" w:hanging="480"/>
        <w:jc w:val="left"/>
        <w:rPr>
          <w:sz w:val="22"/>
        </w:rPr>
      </w:pPr>
      <w:r>
        <w:rPr>
          <w:spacing w:val="-6"/>
          <w:sz w:val="22"/>
        </w:rPr>
        <w:t>Mr.</w:t>
      </w:r>
      <w:r>
        <w:rPr>
          <w:spacing w:val="-10"/>
          <w:sz w:val="22"/>
        </w:rPr>
        <w:t> </w:t>
      </w:r>
      <w:r>
        <w:rPr>
          <w:spacing w:val="-6"/>
          <w:sz w:val="22"/>
        </w:rPr>
        <w:t>Tallam</w:t>
      </w:r>
      <w:r>
        <w:rPr>
          <w:spacing w:val="-8"/>
          <w:sz w:val="22"/>
        </w:rPr>
        <w:t> </w:t>
      </w:r>
      <w:r>
        <w:rPr>
          <w:spacing w:val="-6"/>
          <w:sz w:val="22"/>
        </w:rPr>
        <w:t>Venkatesh,</w:t>
      </w:r>
      <w:r>
        <w:rPr>
          <w:spacing w:val="-8"/>
          <w:sz w:val="22"/>
        </w:rPr>
        <w:t> </w:t>
      </w:r>
      <w:r>
        <w:rPr>
          <w:spacing w:val="-6"/>
          <w:sz w:val="22"/>
        </w:rPr>
        <w:t>Press</w:t>
      </w:r>
      <w:r>
        <w:rPr>
          <w:spacing w:val="-10"/>
          <w:sz w:val="22"/>
        </w:rPr>
        <w:t> </w:t>
      </w:r>
      <w:r>
        <w:rPr>
          <w:spacing w:val="-6"/>
          <w:sz w:val="22"/>
        </w:rPr>
        <w:t>Tools</w:t>
      </w:r>
      <w:r>
        <w:rPr>
          <w:spacing w:val="-8"/>
          <w:sz w:val="22"/>
        </w:rPr>
        <w:t> </w:t>
      </w:r>
      <w:r>
        <w:rPr>
          <w:spacing w:val="-6"/>
          <w:sz w:val="22"/>
        </w:rPr>
        <w:t>&amp;</w:t>
      </w:r>
      <w:r>
        <w:rPr>
          <w:spacing w:val="-7"/>
          <w:sz w:val="22"/>
        </w:rPr>
        <w:t> </w:t>
      </w:r>
      <w:r>
        <w:rPr>
          <w:spacing w:val="-6"/>
          <w:sz w:val="22"/>
        </w:rPr>
        <w:t>Elements </w:t>
      </w:r>
      <w:r>
        <w:rPr>
          <w:sz w:val="22"/>
        </w:rPr>
        <w:t>Pvt. Ltd.</w:t>
      </w:r>
    </w:p>
    <w:p>
      <w:pPr>
        <w:pStyle w:val="ListParagraph"/>
        <w:numPr>
          <w:ilvl w:val="1"/>
          <w:numId w:val="98"/>
        </w:numPr>
        <w:tabs>
          <w:tab w:pos="1560" w:val="left" w:leader="none"/>
        </w:tabs>
        <w:spacing w:line="266" w:lineRule="auto" w:before="88" w:after="0"/>
        <w:ind w:left="1560" w:right="792" w:hanging="480"/>
        <w:jc w:val="left"/>
        <w:rPr>
          <w:sz w:val="22"/>
        </w:rPr>
      </w:pPr>
      <w:r>
        <w:rPr>
          <w:spacing w:val="-4"/>
          <w:sz w:val="22"/>
        </w:rPr>
        <w:t>Mr.</w:t>
      </w:r>
      <w:r>
        <w:rPr>
          <w:spacing w:val="-10"/>
          <w:sz w:val="22"/>
        </w:rPr>
        <w:t> </w:t>
      </w:r>
      <w:r>
        <w:rPr>
          <w:spacing w:val="-4"/>
          <w:sz w:val="22"/>
        </w:rPr>
        <w:t>Mansoor</w:t>
      </w:r>
      <w:r>
        <w:rPr>
          <w:spacing w:val="-10"/>
          <w:sz w:val="22"/>
        </w:rPr>
        <w:t> </w:t>
      </w:r>
      <w:r>
        <w:rPr>
          <w:spacing w:val="-4"/>
          <w:sz w:val="22"/>
        </w:rPr>
        <w:t>Ahmed,</w:t>
      </w:r>
      <w:r>
        <w:rPr>
          <w:spacing w:val="-10"/>
          <w:sz w:val="22"/>
        </w:rPr>
        <w:t> </w:t>
      </w:r>
      <w:r>
        <w:rPr>
          <w:spacing w:val="-4"/>
          <w:sz w:val="22"/>
        </w:rPr>
        <w:t>Tiger</w:t>
      </w:r>
      <w:r>
        <w:rPr>
          <w:spacing w:val="-10"/>
          <w:sz w:val="22"/>
        </w:rPr>
        <w:t> </w:t>
      </w:r>
      <w:r>
        <w:rPr>
          <w:spacing w:val="-4"/>
          <w:sz w:val="22"/>
        </w:rPr>
        <w:t>Tail</w:t>
      </w:r>
      <w:r>
        <w:rPr>
          <w:spacing w:val="-10"/>
          <w:sz w:val="22"/>
        </w:rPr>
        <w:t> </w:t>
      </w:r>
      <w:r>
        <w:rPr>
          <w:spacing w:val="-4"/>
          <w:sz w:val="22"/>
        </w:rPr>
        <w:t>Studios </w:t>
      </w:r>
      <w:r>
        <w:rPr>
          <w:spacing w:val="-2"/>
          <w:sz w:val="22"/>
        </w:rPr>
        <w:t>BrewHaHa</w:t>
      </w:r>
    </w:p>
    <w:p>
      <w:pPr>
        <w:pStyle w:val="ListParagraph"/>
        <w:numPr>
          <w:ilvl w:val="1"/>
          <w:numId w:val="98"/>
        </w:numPr>
        <w:tabs>
          <w:tab w:pos="1559" w:val="left" w:leader="none"/>
        </w:tabs>
        <w:spacing w:line="240" w:lineRule="auto" w:before="89" w:after="0"/>
        <w:ind w:left="1559" w:right="0" w:hanging="480"/>
        <w:jc w:val="left"/>
        <w:rPr>
          <w:sz w:val="22"/>
        </w:rPr>
      </w:pPr>
      <w:r>
        <w:rPr>
          <w:spacing w:val="-4"/>
          <w:sz w:val="22"/>
        </w:rPr>
        <w:t>Mr.</w:t>
      </w:r>
      <w:r>
        <w:rPr>
          <w:spacing w:val="-3"/>
          <w:sz w:val="22"/>
        </w:rPr>
        <w:t> </w:t>
      </w:r>
      <w:r>
        <w:rPr>
          <w:spacing w:val="-4"/>
          <w:sz w:val="22"/>
        </w:rPr>
        <w:t>Balakrishna</w:t>
      </w:r>
      <w:r>
        <w:rPr>
          <w:spacing w:val="-2"/>
          <w:sz w:val="22"/>
        </w:rPr>
        <w:t> </w:t>
      </w:r>
      <w:r>
        <w:rPr>
          <w:spacing w:val="-4"/>
          <w:sz w:val="22"/>
        </w:rPr>
        <w:t>M.R.,</w:t>
      </w:r>
      <w:r>
        <w:rPr>
          <w:spacing w:val="-3"/>
          <w:sz w:val="22"/>
        </w:rPr>
        <w:t> </w:t>
      </w:r>
      <w:r>
        <w:rPr>
          <w:spacing w:val="-4"/>
          <w:sz w:val="22"/>
        </w:rPr>
        <w:t>Mediateck</w:t>
      </w:r>
    </w:p>
    <w:p>
      <w:pPr>
        <w:pStyle w:val="ListParagraph"/>
        <w:numPr>
          <w:ilvl w:val="1"/>
          <w:numId w:val="98"/>
        </w:numPr>
        <w:tabs>
          <w:tab w:pos="1559" w:val="left" w:leader="none"/>
        </w:tabs>
        <w:spacing w:line="240" w:lineRule="auto" w:before="117" w:after="0"/>
        <w:ind w:left="1559" w:right="0" w:hanging="480"/>
        <w:jc w:val="left"/>
        <w:rPr>
          <w:sz w:val="22"/>
        </w:rPr>
      </w:pPr>
      <w:r>
        <w:rPr>
          <w:spacing w:val="-6"/>
          <w:sz w:val="22"/>
        </w:rPr>
        <w:t>Mr.</w:t>
      </w:r>
      <w:r>
        <w:rPr>
          <w:spacing w:val="8"/>
          <w:sz w:val="22"/>
        </w:rPr>
        <w:t> </w:t>
      </w:r>
      <w:r>
        <w:rPr>
          <w:spacing w:val="-6"/>
          <w:sz w:val="22"/>
        </w:rPr>
        <w:t>Satyanarayana,</w:t>
      </w:r>
      <w:r>
        <w:rPr>
          <w:spacing w:val="8"/>
          <w:sz w:val="22"/>
        </w:rPr>
        <w:t> </w:t>
      </w:r>
      <w:r>
        <w:rPr>
          <w:spacing w:val="-6"/>
          <w:sz w:val="22"/>
        </w:rPr>
        <w:t>Informatics</w:t>
      </w:r>
      <w:r>
        <w:rPr>
          <w:spacing w:val="8"/>
          <w:sz w:val="22"/>
        </w:rPr>
        <w:t> </w:t>
      </w:r>
      <w:r>
        <w:rPr>
          <w:spacing w:val="-6"/>
          <w:sz w:val="22"/>
        </w:rPr>
        <w:t>India</w:t>
      </w:r>
    </w:p>
    <w:p>
      <w:pPr>
        <w:pStyle w:val="ListParagraph"/>
        <w:numPr>
          <w:ilvl w:val="1"/>
          <w:numId w:val="98"/>
        </w:numPr>
        <w:tabs>
          <w:tab w:pos="1559" w:val="left" w:leader="none"/>
        </w:tabs>
        <w:spacing w:line="240" w:lineRule="auto" w:before="117" w:after="0"/>
        <w:ind w:left="1559" w:right="0" w:hanging="480"/>
        <w:jc w:val="left"/>
        <w:rPr>
          <w:sz w:val="22"/>
        </w:rPr>
      </w:pPr>
      <w:r>
        <w:rPr>
          <w:spacing w:val="-6"/>
          <w:sz w:val="22"/>
        </w:rPr>
        <w:t>Dr.</w:t>
      </w:r>
      <w:r>
        <w:rPr>
          <w:spacing w:val="2"/>
          <w:sz w:val="22"/>
        </w:rPr>
        <w:t> </w:t>
      </w:r>
      <w:r>
        <w:rPr>
          <w:spacing w:val="-6"/>
          <w:sz w:val="22"/>
        </w:rPr>
        <w:t>Sunita</w:t>
      </w:r>
      <w:r>
        <w:rPr>
          <w:spacing w:val="3"/>
          <w:sz w:val="22"/>
        </w:rPr>
        <w:t> </w:t>
      </w:r>
      <w:r>
        <w:rPr>
          <w:spacing w:val="-6"/>
          <w:sz w:val="22"/>
        </w:rPr>
        <w:t>Maheshwari,</w:t>
      </w:r>
      <w:r>
        <w:rPr>
          <w:spacing w:val="-7"/>
          <w:sz w:val="22"/>
        </w:rPr>
        <w:t> </w:t>
      </w:r>
      <w:r>
        <w:rPr>
          <w:spacing w:val="-6"/>
          <w:sz w:val="22"/>
        </w:rPr>
        <w:t>Teleradiology</w:t>
      </w:r>
      <w:r>
        <w:rPr>
          <w:spacing w:val="2"/>
          <w:sz w:val="22"/>
        </w:rPr>
        <w:t> </w:t>
      </w:r>
      <w:r>
        <w:rPr>
          <w:spacing w:val="-6"/>
          <w:sz w:val="22"/>
        </w:rPr>
        <w:t>Solutions</w:t>
      </w:r>
    </w:p>
    <w:p>
      <w:pPr>
        <w:pStyle w:val="ListParagraph"/>
        <w:numPr>
          <w:ilvl w:val="1"/>
          <w:numId w:val="98"/>
        </w:numPr>
        <w:tabs>
          <w:tab w:pos="1559" w:val="left" w:leader="none"/>
        </w:tabs>
        <w:spacing w:line="240" w:lineRule="auto" w:before="117" w:after="0"/>
        <w:ind w:left="1559" w:right="0" w:hanging="480"/>
        <w:jc w:val="left"/>
        <w:rPr>
          <w:sz w:val="22"/>
        </w:rPr>
      </w:pPr>
      <w:r>
        <w:rPr>
          <w:spacing w:val="-2"/>
          <w:sz w:val="22"/>
        </w:rPr>
        <w:t>Mr.</w:t>
      </w:r>
      <w:r>
        <w:rPr>
          <w:spacing w:val="-12"/>
          <w:sz w:val="22"/>
        </w:rPr>
        <w:t> </w:t>
      </w:r>
      <w:r>
        <w:rPr>
          <w:spacing w:val="-2"/>
          <w:sz w:val="22"/>
        </w:rPr>
        <w:t>Srinath</w:t>
      </w:r>
      <w:r>
        <w:rPr>
          <w:spacing w:val="-11"/>
          <w:sz w:val="22"/>
        </w:rPr>
        <w:t> </w:t>
      </w:r>
      <w:r>
        <w:rPr>
          <w:spacing w:val="-2"/>
          <w:sz w:val="22"/>
        </w:rPr>
        <w:t>Shetty,</w:t>
      </w:r>
      <w:r>
        <w:rPr>
          <w:spacing w:val="-11"/>
          <w:sz w:val="22"/>
        </w:rPr>
        <w:t> </w:t>
      </w:r>
      <w:r>
        <w:rPr>
          <w:spacing w:val="-2"/>
          <w:sz w:val="22"/>
        </w:rPr>
        <w:t>Gift</w:t>
      </w:r>
      <w:r>
        <w:rPr>
          <w:spacing w:val="-11"/>
          <w:sz w:val="22"/>
        </w:rPr>
        <w:t> </w:t>
      </w:r>
      <w:r>
        <w:rPr>
          <w:spacing w:val="-2"/>
          <w:sz w:val="22"/>
        </w:rPr>
        <w:t>Wrapped</w:t>
      </w:r>
    </w:p>
    <w:p>
      <w:pPr>
        <w:pStyle w:val="ListParagraph"/>
        <w:numPr>
          <w:ilvl w:val="1"/>
          <w:numId w:val="98"/>
        </w:numPr>
        <w:tabs>
          <w:tab w:pos="1559" w:val="left" w:leader="none"/>
        </w:tabs>
        <w:spacing w:line="240" w:lineRule="auto" w:before="117" w:after="0"/>
        <w:ind w:left="1559" w:right="0" w:hanging="480"/>
        <w:jc w:val="left"/>
        <w:rPr>
          <w:sz w:val="22"/>
        </w:rPr>
      </w:pPr>
      <w:r>
        <w:rPr>
          <w:spacing w:val="-4"/>
          <w:sz w:val="22"/>
        </w:rPr>
        <w:t>Mr.</w:t>
      </w:r>
      <w:r>
        <w:rPr>
          <w:spacing w:val="-7"/>
          <w:sz w:val="22"/>
        </w:rPr>
        <w:t> </w:t>
      </w:r>
      <w:r>
        <w:rPr>
          <w:spacing w:val="-4"/>
          <w:sz w:val="22"/>
        </w:rPr>
        <w:t>S.</w:t>
      </w:r>
      <w:r>
        <w:rPr>
          <w:spacing w:val="-7"/>
          <w:sz w:val="22"/>
        </w:rPr>
        <w:t> </w:t>
      </w:r>
      <w:r>
        <w:rPr>
          <w:spacing w:val="-4"/>
          <w:sz w:val="22"/>
        </w:rPr>
        <w:t>Babu,</w:t>
      </w:r>
      <w:r>
        <w:rPr>
          <w:spacing w:val="-7"/>
          <w:sz w:val="22"/>
        </w:rPr>
        <w:t> </w:t>
      </w:r>
      <w:r>
        <w:rPr>
          <w:spacing w:val="-4"/>
          <w:sz w:val="22"/>
        </w:rPr>
        <w:t>Ashwin</w:t>
      </w:r>
      <w:r>
        <w:rPr>
          <w:spacing w:val="-7"/>
          <w:sz w:val="22"/>
        </w:rPr>
        <w:t> </w:t>
      </w:r>
      <w:r>
        <w:rPr>
          <w:spacing w:val="-4"/>
          <w:sz w:val="22"/>
        </w:rPr>
        <w:t>Precision</w:t>
      </w:r>
      <w:r>
        <w:rPr>
          <w:spacing w:val="-7"/>
          <w:sz w:val="22"/>
        </w:rPr>
        <w:t> </w:t>
      </w:r>
      <w:r>
        <w:rPr>
          <w:spacing w:val="-4"/>
          <w:sz w:val="22"/>
        </w:rPr>
        <w:t>Products</w:t>
      </w:r>
      <w:r>
        <w:rPr>
          <w:spacing w:val="-7"/>
          <w:sz w:val="22"/>
        </w:rPr>
        <w:t> </w:t>
      </w:r>
      <w:r>
        <w:rPr>
          <w:spacing w:val="-4"/>
          <w:sz w:val="22"/>
        </w:rPr>
        <w:t>Pvt.</w:t>
      </w:r>
      <w:r>
        <w:rPr>
          <w:spacing w:val="-7"/>
          <w:sz w:val="22"/>
        </w:rPr>
        <w:t> </w:t>
      </w:r>
      <w:r>
        <w:rPr>
          <w:spacing w:val="-4"/>
          <w:sz w:val="22"/>
        </w:rPr>
        <w:t>Ltd.</w:t>
      </w:r>
    </w:p>
    <w:p>
      <w:pPr>
        <w:pStyle w:val="ListParagraph"/>
        <w:numPr>
          <w:ilvl w:val="1"/>
          <w:numId w:val="98"/>
        </w:numPr>
        <w:tabs>
          <w:tab w:pos="1559" w:val="left" w:leader="none"/>
        </w:tabs>
        <w:spacing w:line="240" w:lineRule="auto" w:before="117" w:after="0"/>
        <w:ind w:left="1559" w:right="0" w:hanging="480"/>
        <w:jc w:val="left"/>
        <w:rPr>
          <w:sz w:val="22"/>
        </w:rPr>
      </w:pPr>
      <w:r>
        <w:rPr>
          <w:spacing w:val="-2"/>
          <w:sz w:val="22"/>
        </w:rPr>
        <w:t>Mr.</w:t>
      </w:r>
      <w:r>
        <w:rPr>
          <w:spacing w:val="-9"/>
          <w:sz w:val="22"/>
        </w:rPr>
        <w:t> </w:t>
      </w:r>
      <w:r>
        <w:rPr>
          <w:spacing w:val="-2"/>
          <w:sz w:val="22"/>
        </w:rPr>
        <w:t>M.C.R.</w:t>
      </w:r>
      <w:r>
        <w:rPr>
          <w:spacing w:val="-9"/>
          <w:sz w:val="22"/>
        </w:rPr>
        <w:t> </w:t>
      </w:r>
      <w:r>
        <w:rPr>
          <w:spacing w:val="-2"/>
          <w:sz w:val="22"/>
        </w:rPr>
        <w:t>Shetty,</w:t>
      </w:r>
      <w:r>
        <w:rPr>
          <w:spacing w:val="-8"/>
          <w:sz w:val="22"/>
        </w:rPr>
        <w:t> </w:t>
      </w:r>
      <w:r>
        <w:rPr>
          <w:spacing w:val="-2"/>
          <w:sz w:val="22"/>
        </w:rPr>
        <w:t>Porlu</w:t>
      </w:r>
      <w:r>
        <w:rPr>
          <w:spacing w:val="-9"/>
          <w:sz w:val="22"/>
        </w:rPr>
        <w:t> </w:t>
      </w:r>
      <w:r>
        <w:rPr>
          <w:spacing w:val="-2"/>
          <w:sz w:val="22"/>
        </w:rPr>
        <w:t>Packers</w:t>
      </w:r>
    </w:p>
    <w:p>
      <w:pPr>
        <w:pStyle w:val="ListParagraph"/>
        <w:numPr>
          <w:ilvl w:val="1"/>
          <w:numId w:val="98"/>
        </w:numPr>
        <w:tabs>
          <w:tab w:pos="1559" w:val="left" w:leader="none"/>
        </w:tabs>
        <w:spacing w:line="240" w:lineRule="auto" w:before="117" w:after="0"/>
        <w:ind w:left="1559" w:right="0" w:hanging="480"/>
        <w:jc w:val="left"/>
        <w:rPr>
          <w:sz w:val="22"/>
        </w:rPr>
      </w:pPr>
      <w:r>
        <w:rPr>
          <w:spacing w:val="-4"/>
          <w:sz w:val="22"/>
        </w:rPr>
        <w:t>Mr.</w:t>
      </w:r>
      <w:r>
        <w:rPr>
          <w:spacing w:val="-9"/>
          <w:sz w:val="22"/>
        </w:rPr>
        <w:t> </w:t>
      </w:r>
      <w:r>
        <w:rPr>
          <w:spacing w:val="-4"/>
          <w:sz w:val="22"/>
        </w:rPr>
        <w:t>Philip</w:t>
      </w:r>
      <w:r>
        <w:rPr>
          <w:spacing w:val="-9"/>
          <w:sz w:val="22"/>
        </w:rPr>
        <w:t> </w:t>
      </w:r>
      <w:r>
        <w:rPr>
          <w:spacing w:val="-4"/>
          <w:sz w:val="22"/>
        </w:rPr>
        <w:t>Lewis,</w:t>
      </w:r>
      <w:r>
        <w:rPr>
          <w:spacing w:val="-8"/>
          <w:sz w:val="22"/>
        </w:rPr>
        <w:t> </w:t>
      </w:r>
      <w:r>
        <w:rPr>
          <w:spacing w:val="-4"/>
          <w:sz w:val="22"/>
        </w:rPr>
        <w:t>Electro</w:t>
      </w:r>
      <w:r>
        <w:rPr>
          <w:spacing w:val="-9"/>
          <w:sz w:val="22"/>
        </w:rPr>
        <w:t> </w:t>
      </w:r>
      <w:r>
        <w:rPr>
          <w:spacing w:val="-4"/>
          <w:sz w:val="22"/>
        </w:rPr>
        <w:t>Mech</w:t>
      </w:r>
      <w:r>
        <w:rPr>
          <w:spacing w:val="-9"/>
          <w:sz w:val="22"/>
        </w:rPr>
        <w:t> </w:t>
      </w:r>
      <w:r>
        <w:rPr>
          <w:spacing w:val="-4"/>
          <w:sz w:val="22"/>
        </w:rPr>
        <w:t>Corporation</w:t>
      </w:r>
    </w:p>
    <w:p>
      <w:pPr>
        <w:pStyle w:val="ListParagraph"/>
        <w:numPr>
          <w:ilvl w:val="1"/>
          <w:numId w:val="98"/>
        </w:numPr>
        <w:tabs>
          <w:tab w:pos="1559" w:val="left" w:leader="none"/>
        </w:tabs>
        <w:spacing w:line="240" w:lineRule="auto" w:before="117" w:after="0"/>
        <w:ind w:left="1559" w:right="0" w:hanging="480"/>
        <w:jc w:val="left"/>
        <w:rPr>
          <w:sz w:val="22"/>
        </w:rPr>
      </w:pPr>
      <w:r>
        <w:rPr>
          <w:spacing w:val="-2"/>
          <w:sz w:val="22"/>
        </w:rPr>
        <w:t>Mr.</w:t>
      </w:r>
      <w:r>
        <w:rPr>
          <w:spacing w:val="-12"/>
          <w:sz w:val="22"/>
        </w:rPr>
        <w:t> </w:t>
      </w:r>
      <w:r>
        <w:rPr>
          <w:spacing w:val="-2"/>
          <w:sz w:val="22"/>
        </w:rPr>
        <w:t>K.</w:t>
      </w:r>
      <w:r>
        <w:rPr>
          <w:spacing w:val="-8"/>
          <w:sz w:val="22"/>
        </w:rPr>
        <w:t> </w:t>
      </w:r>
      <w:r>
        <w:rPr>
          <w:spacing w:val="-2"/>
          <w:sz w:val="22"/>
        </w:rPr>
        <w:t>Ganesh,</w:t>
      </w:r>
      <w:r>
        <w:rPr>
          <w:spacing w:val="-11"/>
          <w:sz w:val="22"/>
        </w:rPr>
        <w:t> </w:t>
      </w:r>
      <w:r>
        <w:rPr>
          <w:spacing w:val="-2"/>
          <w:sz w:val="22"/>
        </w:rPr>
        <w:t>Tutor</w:t>
      </w:r>
      <w:r>
        <w:rPr>
          <w:spacing w:val="-11"/>
          <w:sz w:val="22"/>
        </w:rPr>
        <w:t> </w:t>
      </w:r>
      <w:r>
        <w:rPr>
          <w:spacing w:val="-2"/>
          <w:sz w:val="22"/>
        </w:rPr>
        <w:t>Vista</w:t>
      </w:r>
    </w:p>
    <w:p>
      <w:pPr>
        <w:pStyle w:val="ListParagraph"/>
        <w:numPr>
          <w:ilvl w:val="1"/>
          <w:numId w:val="98"/>
        </w:numPr>
        <w:tabs>
          <w:tab w:pos="1560" w:val="left" w:leader="none"/>
        </w:tabs>
        <w:spacing w:line="266" w:lineRule="auto" w:before="117" w:after="0"/>
        <w:ind w:left="1560" w:right="560" w:hanging="480"/>
        <w:jc w:val="left"/>
        <w:rPr>
          <w:sz w:val="22"/>
        </w:rPr>
      </w:pPr>
      <w:r>
        <w:rPr>
          <w:spacing w:val="-4"/>
          <w:sz w:val="22"/>
        </w:rPr>
        <w:t>Mr.</w:t>
      </w:r>
      <w:r>
        <w:rPr>
          <w:spacing w:val="-10"/>
          <w:sz w:val="22"/>
        </w:rPr>
        <w:t> </w:t>
      </w:r>
      <w:r>
        <w:rPr>
          <w:spacing w:val="-4"/>
          <w:sz w:val="22"/>
        </w:rPr>
        <w:t>M.K.</w:t>
      </w:r>
      <w:r>
        <w:rPr>
          <w:spacing w:val="-10"/>
          <w:sz w:val="22"/>
        </w:rPr>
        <w:t> </w:t>
      </w:r>
      <w:r>
        <w:rPr>
          <w:spacing w:val="-4"/>
          <w:sz w:val="22"/>
        </w:rPr>
        <w:t>Panduranga</w:t>
      </w:r>
      <w:r>
        <w:rPr>
          <w:spacing w:val="-10"/>
          <w:sz w:val="22"/>
        </w:rPr>
        <w:t> </w:t>
      </w:r>
      <w:r>
        <w:rPr>
          <w:spacing w:val="-4"/>
          <w:sz w:val="22"/>
        </w:rPr>
        <w:t>Setty,</w:t>
      </w:r>
      <w:r>
        <w:rPr>
          <w:spacing w:val="-9"/>
          <w:sz w:val="22"/>
        </w:rPr>
        <w:t> </w:t>
      </w:r>
      <w:r>
        <w:rPr>
          <w:spacing w:val="-4"/>
          <w:sz w:val="22"/>
        </w:rPr>
        <w:t>Mysore</w:t>
      </w:r>
      <w:r>
        <w:rPr>
          <w:spacing w:val="-10"/>
          <w:sz w:val="22"/>
        </w:rPr>
        <w:t> </w:t>
      </w:r>
      <w:r>
        <w:rPr>
          <w:spacing w:val="-4"/>
          <w:sz w:val="22"/>
        </w:rPr>
        <w:t>Snack </w:t>
      </w:r>
      <w:r>
        <w:rPr>
          <w:sz w:val="22"/>
        </w:rPr>
        <w:t>Foods Ltd.</w:t>
      </w:r>
    </w:p>
    <w:p>
      <w:pPr>
        <w:pStyle w:val="ListParagraph"/>
        <w:numPr>
          <w:ilvl w:val="1"/>
          <w:numId w:val="98"/>
        </w:numPr>
        <w:tabs>
          <w:tab w:pos="1559" w:val="left" w:leader="none"/>
        </w:tabs>
        <w:spacing w:line="240" w:lineRule="auto" w:before="88" w:after="0"/>
        <w:ind w:left="1559" w:right="0" w:hanging="480"/>
        <w:jc w:val="left"/>
        <w:rPr>
          <w:sz w:val="22"/>
        </w:rPr>
      </w:pPr>
      <w:r>
        <w:rPr>
          <w:spacing w:val="-4"/>
          <w:sz w:val="22"/>
        </w:rPr>
        <w:t>Dr. Rajeshwari, Manu Pet Clinic</w:t>
      </w:r>
    </w:p>
    <w:p>
      <w:pPr>
        <w:pStyle w:val="ListParagraph"/>
        <w:numPr>
          <w:ilvl w:val="1"/>
          <w:numId w:val="98"/>
        </w:numPr>
        <w:tabs>
          <w:tab w:pos="1559" w:val="left" w:leader="none"/>
        </w:tabs>
        <w:spacing w:line="240" w:lineRule="auto" w:before="117" w:after="0"/>
        <w:ind w:left="1559" w:right="0" w:hanging="480"/>
        <w:jc w:val="left"/>
        <w:rPr>
          <w:sz w:val="22"/>
        </w:rPr>
      </w:pPr>
      <w:r>
        <w:rPr>
          <w:spacing w:val="-4"/>
          <w:sz w:val="22"/>
        </w:rPr>
        <w:t>Mr.</w:t>
      </w:r>
      <w:r>
        <w:rPr>
          <w:spacing w:val="-10"/>
          <w:sz w:val="22"/>
        </w:rPr>
        <w:t> </w:t>
      </w:r>
      <w:r>
        <w:rPr>
          <w:spacing w:val="-4"/>
          <w:sz w:val="22"/>
        </w:rPr>
        <w:t>K.N.</w:t>
      </w:r>
      <w:r>
        <w:rPr>
          <w:spacing w:val="-6"/>
          <w:sz w:val="22"/>
        </w:rPr>
        <w:t> </w:t>
      </w:r>
      <w:r>
        <w:rPr>
          <w:spacing w:val="-4"/>
          <w:sz w:val="22"/>
        </w:rPr>
        <w:t>Jayalingappa,</w:t>
      </w:r>
      <w:r>
        <w:rPr>
          <w:spacing w:val="-10"/>
          <w:sz w:val="22"/>
        </w:rPr>
        <w:t> </w:t>
      </w:r>
      <w:r>
        <w:rPr>
          <w:spacing w:val="-4"/>
          <w:sz w:val="22"/>
        </w:rPr>
        <w:t>Transphone</w:t>
      </w:r>
      <w:r>
        <w:rPr>
          <w:spacing w:val="-6"/>
          <w:sz w:val="22"/>
        </w:rPr>
        <w:t> </w:t>
      </w:r>
      <w:r>
        <w:rPr>
          <w:spacing w:val="-4"/>
          <w:sz w:val="22"/>
        </w:rPr>
        <w:t>Corporation</w:t>
      </w:r>
    </w:p>
    <w:p>
      <w:pPr>
        <w:pStyle w:val="BodyText"/>
        <w:spacing w:before="27"/>
        <w:ind w:right="1030"/>
        <w:jc w:val="right"/>
      </w:pPr>
      <w:r>
        <w:rPr>
          <w:spacing w:val="-4"/>
        </w:rPr>
        <w:t>I.T.I</w:t>
      </w:r>
      <w:r>
        <w:rPr>
          <w:spacing w:val="-9"/>
        </w:rPr>
        <w:t> </w:t>
      </w:r>
      <w:r>
        <w:rPr>
          <w:spacing w:val="-4"/>
        </w:rPr>
        <w:t>Ancilliary</w:t>
      </w:r>
      <w:r>
        <w:rPr>
          <w:spacing w:val="-8"/>
        </w:rPr>
        <w:t> </w:t>
      </w:r>
      <w:r>
        <w:rPr>
          <w:spacing w:val="-4"/>
        </w:rPr>
        <w:t>Industries</w:t>
      </w:r>
      <w:r>
        <w:rPr>
          <w:spacing w:val="-8"/>
        </w:rPr>
        <w:t> </w:t>
      </w:r>
      <w:r>
        <w:rPr>
          <w:spacing w:val="-4"/>
        </w:rPr>
        <w:t>Association</w:t>
      </w:r>
    </w:p>
    <w:p>
      <w:pPr>
        <w:pStyle w:val="ListParagraph"/>
        <w:numPr>
          <w:ilvl w:val="1"/>
          <w:numId w:val="98"/>
        </w:numPr>
        <w:tabs>
          <w:tab w:pos="480" w:val="left" w:leader="none"/>
        </w:tabs>
        <w:spacing w:line="240" w:lineRule="auto" w:before="117" w:after="0"/>
        <w:ind w:left="480" w:right="1070" w:hanging="480"/>
        <w:jc w:val="right"/>
        <w:rPr>
          <w:sz w:val="22"/>
        </w:rPr>
      </w:pPr>
      <w:r>
        <w:rPr>
          <w:spacing w:val="-2"/>
          <w:sz w:val="22"/>
        </w:rPr>
        <w:t>Mr.</w:t>
      </w:r>
      <w:r>
        <w:rPr>
          <w:spacing w:val="-9"/>
          <w:sz w:val="22"/>
        </w:rPr>
        <w:t> </w:t>
      </w:r>
      <w:r>
        <w:rPr>
          <w:spacing w:val="-2"/>
          <w:sz w:val="22"/>
        </w:rPr>
        <w:t>R.S.H.</w:t>
      </w:r>
      <w:r>
        <w:rPr>
          <w:spacing w:val="-9"/>
          <w:sz w:val="22"/>
        </w:rPr>
        <w:t> </w:t>
      </w:r>
      <w:r>
        <w:rPr>
          <w:spacing w:val="-2"/>
          <w:sz w:val="22"/>
        </w:rPr>
        <w:t>Raju,</w:t>
      </w:r>
      <w:r>
        <w:rPr>
          <w:spacing w:val="-9"/>
          <w:sz w:val="22"/>
        </w:rPr>
        <w:t> </w:t>
      </w:r>
      <w:r>
        <w:rPr>
          <w:spacing w:val="-2"/>
          <w:sz w:val="22"/>
        </w:rPr>
        <w:t>Bluechip</w:t>
      </w:r>
      <w:r>
        <w:rPr>
          <w:spacing w:val="-9"/>
          <w:sz w:val="22"/>
        </w:rPr>
        <w:t> </w:t>
      </w:r>
      <w:r>
        <w:rPr>
          <w:spacing w:val="-2"/>
          <w:sz w:val="22"/>
        </w:rPr>
        <w:t>Solutions</w:t>
      </w:r>
    </w:p>
    <w:p>
      <w:pPr>
        <w:pStyle w:val="ListParagraph"/>
        <w:numPr>
          <w:ilvl w:val="1"/>
          <w:numId w:val="98"/>
        </w:numPr>
        <w:tabs>
          <w:tab w:pos="1560" w:val="left" w:leader="none"/>
        </w:tabs>
        <w:spacing w:line="261" w:lineRule="auto" w:before="117" w:after="0"/>
        <w:ind w:left="1560" w:right="244" w:hanging="480"/>
        <w:jc w:val="left"/>
        <w:rPr>
          <w:sz w:val="22"/>
        </w:rPr>
      </w:pPr>
      <w:r>
        <w:rPr>
          <w:spacing w:val="-8"/>
          <w:sz w:val="22"/>
        </w:rPr>
        <w:t>Mr.</w:t>
      </w:r>
      <w:r>
        <w:rPr>
          <w:spacing w:val="-5"/>
          <w:sz w:val="22"/>
        </w:rPr>
        <w:t> </w:t>
      </w:r>
      <w:r>
        <w:rPr>
          <w:spacing w:val="-8"/>
          <w:sz w:val="22"/>
        </w:rPr>
        <w:t>V.C.</w:t>
      </w:r>
      <w:r>
        <w:rPr>
          <w:spacing w:val="-1"/>
          <w:sz w:val="22"/>
        </w:rPr>
        <w:t> </w:t>
      </w:r>
      <w:r>
        <w:rPr>
          <w:spacing w:val="-8"/>
          <w:sz w:val="22"/>
        </w:rPr>
        <w:t>Karthic,</w:t>
      </w:r>
      <w:r>
        <w:rPr>
          <w:spacing w:val="-1"/>
          <w:sz w:val="22"/>
        </w:rPr>
        <w:t> </w:t>
      </w:r>
      <w:r>
        <w:rPr>
          <w:spacing w:val="-8"/>
          <w:sz w:val="22"/>
        </w:rPr>
        <w:t>Buzzworks</w:t>
      </w:r>
      <w:r>
        <w:rPr>
          <w:spacing w:val="-1"/>
          <w:sz w:val="22"/>
        </w:rPr>
        <w:t> </w:t>
      </w:r>
      <w:r>
        <w:rPr>
          <w:spacing w:val="-8"/>
          <w:sz w:val="22"/>
        </w:rPr>
        <w:t>Business</w:t>
      </w:r>
      <w:r>
        <w:rPr>
          <w:spacing w:val="-1"/>
          <w:sz w:val="22"/>
        </w:rPr>
        <w:t> </w:t>
      </w:r>
      <w:r>
        <w:rPr>
          <w:spacing w:val="-8"/>
          <w:sz w:val="22"/>
        </w:rPr>
        <w:t>Services </w:t>
      </w:r>
      <w:r>
        <w:rPr>
          <w:sz w:val="22"/>
        </w:rPr>
        <w:t>Pvt. Ltd.</w:t>
      </w:r>
    </w:p>
    <w:p>
      <w:pPr>
        <w:pStyle w:val="ListParagraph"/>
        <w:numPr>
          <w:ilvl w:val="1"/>
          <w:numId w:val="98"/>
        </w:numPr>
        <w:tabs>
          <w:tab w:pos="1560" w:val="left" w:leader="none"/>
        </w:tabs>
        <w:spacing w:line="261" w:lineRule="auto" w:before="91" w:after="0"/>
        <w:ind w:left="1560" w:right="2046" w:hanging="480"/>
        <w:jc w:val="left"/>
        <w:rPr>
          <w:sz w:val="22"/>
        </w:rPr>
      </w:pPr>
      <w:r>
        <w:rPr>
          <w:spacing w:val="-6"/>
          <w:sz w:val="22"/>
        </w:rPr>
        <w:t>Ms.</w:t>
      </w:r>
      <w:r>
        <w:rPr>
          <w:spacing w:val="-8"/>
          <w:sz w:val="22"/>
        </w:rPr>
        <w:t> </w:t>
      </w:r>
      <w:r>
        <w:rPr>
          <w:spacing w:val="-6"/>
          <w:sz w:val="22"/>
        </w:rPr>
        <w:t>Suma</w:t>
      </w:r>
      <w:r>
        <w:rPr>
          <w:spacing w:val="-8"/>
          <w:sz w:val="22"/>
        </w:rPr>
        <w:t> </w:t>
      </w:r>
      <w:r>
        <w:rPr>
          <w:spacing w:val="-6"/>
          <w:sz w:val="22"/>
        </w:rPr>
        <w:t>Krishnaswamy </w:t>
      </w:r>
      <w:r>
        <w:rPr>
          <w:sz w:val="22"/>
        </w:rPr>
        <w:t>Global Greens</w:t>
      </w:r>
    </w:p>
    <w:p>
      <w:pPr>
        <w:pStyle w:val="ListParagraph"/>
        <w:numPr>
          <w:ilvl w:val="1"/>
          <w:numId w:val="98"/>
        </w:numPr>
        <w:tabs>
          <w:tab w:pos="1559" w:val="left" w:leader="none"/>
        </w:tabs>
        <w:spacing w:line="240" w:lineRule="auto" w:before="90" w:after="0"/>
        <w:ind w:left="1559" w:right="0" w:hanging="480"/>
        <w:jc w:val="left"/>
        <w:rPr>
          <w:sz w:val="22"/>
        </w:rPr>
      </w:pPr>
      <w:r>
        <w:rPr>
          <w:spacing w:val="-4"/>
          <w:sz w:val="22"/>
        </w:rPr>
        <w:t>Ms.</w:t>
      </w:r>
      <w:r>
        <w:rPr>
          <w:spacing w:val="-9"/>
          <w:sz w:val="22"/>
        </w:rPr>
        <w:t> </w:t>
      </w:r>
      <w:r>
        <w:rPr>
          <w:spacing w:val="-4"/>
          <w:sz w:val="22"/>
        </w:rPr>
        <w:t>Padma</w:t>
      </w:r>
      <w:r>
        <w:rPr>
          <w:spacing w:val="-8"/>
          <w:sz w:val="22"/>
        </w:rPr>
        <w:t> </w:t>
      </w:r>
      <w:r>
        <w:rPr>
          <w:spacing w:val="-4"/>
          <w:sz w:val="22"/>
        </w:rPr>
        <w:t>Seshadri,</w:t>
      </w:r>
      <w:r>
        <w:rPr>
          <w:spacing w:val="-9"/>
          <w:sz w:val="22"/>
        </w:rPr>
        <w:t> </w:t>
      </w:r>
      <w:r>
        <w:rPr>
          <w:spacing w:val="-4"/>
          <w:sz w:val="22"/>
        </w:rPr>
        <w:t>Atithya</w:t>
      </w:r>
      <w:r>
        <w:rPr>
          <w:spacing w:val="-8"/>
          <w:sz w:val="22"/>
        </w:rPr>
        <w:t> </w:t>
      </w:r>
      <w:r>
        <w:rPr>
          <w:spacing w:val="-4"/>
          <w:sz w:val="22"/>
        </w:rPr>
        <w:t>Hotels</w:t>
      </w:r>
    </w:p>
    <w:p>
      <w:pPr>
        <w:pStyle w:val="ListParagraph"/>
        <w:numPr>
          <w:ilvl w:val="1"/>
          <w:numId w:val="98"/>
        </w:numPr>
        <w:tabs>
          <w:tab w:pos="1560" w:val="left" w:leader="none"/>
        </w:tabs>
        <w:spacing w:line="261" w:lineRule="auto" w:before="113" w:after="0"/>
        <w:ind w:left="1560" w:right="363" w:hanging="480"/>
        <w:jc w:val="left"/>
        <w:rPr>
          <w:sz w:val="22"/>
        </w:rPr>
      </w:pPr>
      <w:r>
        <w:rPr>
          <w:spacing w:val="-4"/>
          <w:sz w:val="22"/>
        </w:rPr>
        <w:t>Mr.</w:t>
      </w:r>
      <w:r>
        <w:rPr>
          <w:spacing w:val="-10"/>
          <w:sz w:val="22"/>
        </w:rPr>
        <w:t> </w:t>
      </w:r>
      <w:r>
        <w:rPr>
          <w:spacing w:val="-4"/>
          <w:sz w:val="22"/>
        </w:rPr>
        <w:t>Muralidhar,</w:t>
      </w:r>
      <w:r>
        <w:rPr>
          <w:spacing w:val="-10"/>
          <w:sz w:val="22"/>
        </w:rPr>
        <w:t> </w:t>
      </w:r>
      <w:r>
        <w:rPr>
          <w:spacing w:val="-4"/>
          <w:sz w:val="22"/>
        </w:rPr>
        <w:t>Innova</w:t>
      </w:r>
      <w:r>
        <w:rPr>
          <w:spacing w:val="-9"/>
          <w:sz w:val="22"/>
        </w:rPr>
        <w:t> </w:t>
      </w:r>
      <w:r>
        <w:rPr>
          <w:spacing w:val="-4"/>
          <w:sz w:val="22"/>
        </w:rPr>
        <w:t>Security</w:t>
      </w:r>
      <w:r>
        <w:rPr>
          <w:spacing w:val="-10"/>
          <w:sz w:val="22"/>
        </w:rPr>
        <w:t> </w:t>
      </w:r>
      <w:r>
        <w:rPr>
          <w:spacing w:val="-4"/>
          <w:sz w:val="22"/>
        </w:rPr>
        <w:t>Investments Ltd.</w:t>
      </w:r>
    </w:p>
    <w:p>
      <w:pPr>
        <w:pStyle w:val="ListParagraph"/>
        <w:numPr>
          <w:ilvl w:val="1"/>
          <w:numId w:val="98"/>
        </w:numPr>
        <w:tabs>
          <w:tab w:pos="1560" w:val="left" w:leader="none"/>
        </w:tabs>
        <w:spacing w:line="261" w:lineRule="auto" w:before="91" w:after="0"/>
        <w:ind w:left="1560" w:right="1060" w:hanging="480"/>
        <w:jc w:val="left"/>
        <w:rPr>
          <w:sz w:val="22"/>
        </w:rPr>
      </w:pPr>
      <w:r>
        <w:rPr>
          <w:spacing w:val="-2"/>
          <w:sz w:val="22"/>
        </w:rPr>
        <w:t>Mr.</w:t>
      </w:r>
      <w:r>
        <w:rPr>
          <w:spacing w:val="-12"/>
          <w:sz w:val="22"/>
        </w:rPr>
        <w:t> </w:t>
      </w:r>
      <w:r>
        <w:rPr>
          <w:spacing w:val="-2"/>
          <w:sz w:val="22"/>
        </w:rPr>
        <w:t>R.C.</w:t>
      </w:r>
      <w:r>
        <w:rPr>
          <w:spacing w:val="-11"/>
          <w:sz w:val="22"/>
        </w:rPr>
        <w:t> </w:t>
      </w:r>
      <w:r>
        <w:rPr>
          <w:spacing w:val="-2"/>
          <w:sz w:val="22"/>
        </w:rPr>
        <w:t>Purohit,</w:t>
      </w:r>
      <w:r>
        <w:rPr>
          <w:spacing w:val="-12"/>
          <w:sz w:val="22"/>
        </w:rPr>
        <w:t> </w:t>
      </w:r>
      <w:r>
        <w:rPr>
          <w:spacing w:val="-2"/>
          <w:sz w:val="22"/>
        </w:rPr>
        <w:t>Bhoruka</w:t>
      </w:r>
      <w:r>
        <w:rPr>
          <w:spacing w:val="-11"/>
          <w:sz w:val="22"/>
        </w:rPr>
        <w:t> </w:t>
      </w:r>
      <w:r>
        <w:rPr>
          <w:spacing w:val="-2"/>
          <w:sz w:val="22"/>
        </w:rPr>
        <w:t>Steel</w:t>
      </w:r>
      <w:r>
        <w:rPr>
          <w:spacing w:val="-12"/>
          <w:sz w:val="22"/>
        </w:rPr>
        <w:t> </w:t>
      </w:r>
      <w:r>
        <w:rPr>
          <w:spacing w:val="-2"/>
          <w:sz w:val="22"/>
        </w:rPr>
        <w:t>and </w:t>
      </w:r>
      <w:r>
        <w:rPr>
          <w:sz w:val="22"/>
        </w:rPr>
        <w:t>Services Ltd.</w:t>
      </w:r>
    </w:p>
    <w:p>
      <w:pPr>
        <w:pStyle w:val="ListParagraph"/>
        <w:numPr>
          <w:ilvl w:val="1"/>
          <w:numId w:val="98"/>
        </w:numPr>
        <w:tabs>
          <w:tab w:pos="1560" w:val="left" w:leader="none"/>
        </w:tabs>
        <w:spacing w:line="261" w:lineRule="auto" w:before="90" w:after="0"/>
        <w:ind w:left="1560" w:right="1034" w:hanging="480"/>
        <w:jc w:val="left"/>
        <w:rPr>
          <w:sz w:val="22"/>
        </w:rPr>
      </w:pPr>
      <w:r>
        <w:rPr>
          <w:spacing w:val="-6"/>
          <w:sz w:val="22"/>
        </w:rPr>
        <w:t>Mr. K. Shiva Shanmugam, </w:t>
      </w:r>
      <w:r>
        <w:rPr>
          <w:spacing w:val="-6"/>
          <w:sz w:val="22"/>
        </w:rPr>
        <w:t>Sivasakhti </w:t>
      </w:r>
      <w:r>
        <w:rPr>
          <w:sz w:val="22"/>
        </w:rPr>
        <w:t>Engineering Company</w:t>
      </w:r>
    </w:p>
    <w:p>
      <w:pPr>
        <w:pStyle w:val="ListParagraph"/>
        <w:numPr>
          <w:ilvl w:val="1"/>
          <w:numId w:val="98"/>
        </w:numPr>
        <w:tabs>
          <w:tab w:pos="1560" w:val="left" w:leader="none"/>
        </w:tabs>
        <w:spacing w:line="261" w:lineRule="auto" w:before="91" w:after="0"/>
        <w:ind w:left="1560" w:right="1289" w:hanging="480"/>
        <w:jc w:val="left"/>
        <w:rPr>
          <w:sz w:val="22"/>
        </w:rPr>
      </w:pPr>
      <w:r>
        <w:rPr>
          <w:spacing w:val="-4"/>
          <w:sz w:val="22"/>
        </w:rPr>
        <w:t>Ms.</w:t>
      </w:r>
      <w:r>
        <w:rPr>
          <w:spacing w:val="-10"/>
          <w:sz w:val="22"/>
        </w:rPr>
        <w:t> </w:t>
      </w:r>
      <w:r>
        <w:rPr>
          <w:spacing w:val="-4"/>
          <w:sz w:val="22"/>
        </w:rPr>
        <w:t>Usha</w:t>
      </w:r>
      <w:r>
        <w:rPr>
          <w:spacing w:val="-10"/>
          <w:sz w:val="22"/>
        </w:rPr>
        <w:t> </w:t>
      </w:r>
      <w:r>
        <w:rPr>
          <w:spacing w:val="-4"/>
          <w:sz w:val="22"/>
        </w:rPr>
        <w:t>Nagaraj,</w:t>
      </w:r>
      <w:r>
        <w:rPr>
          <w:spacing w:val="-10"/>
          <w:sz w:val="22"/>
        </w:rPr>
        <w:t> </w:t>
      </w:r>
      <w:r>
        <w:rPr>
          <w:spacing w:val="-4"/>
          <w:sz w:val="22"/>
        </w:rPr>
        <w:t>Srimati</w:t>
      </w:r>
      <w:r>
        <w:rPr>
          <w:spacing w:val="-9"/>
          <w:sz w:val="22"/>
        </w:rPr>
        <w:t> </w:t>
      </w:r>
      <w:r>
        <w:rPr>
          <w:spacing w:val="-4"/>
          <w:sz w:val="22"/>
        </w:rPr>
        <w:t>Mahila </w:t>
      </w:r>
      <w:r>
        <w:rPr>
          <w:sz w:val="22"/>
        </w:rPr>
        <w:t>Co-operative Bank, FKCCI</w:t>
      </w:r>
    </w:p>
    <w:p>
      <w:pPr>
        <w:pStyle w:val="ListParagraph"/>
        <w:numPr>
          <w:ilvl w:val="1"/>
          <w:numId w:val="98"/>
        </w:numPr>
        <w:tabs>
          <w:tab w:pos="1560" w:val="left" w:leader="none"/>
        </w:tabs>
        <w:spacing w:line="261" w:lineRule="auto" w:before="90" w:after="0"/>
        <w:ind w:left="1560" w:right="1341" w:hanging="480"/>
        <w:jc w:val="left"/>
        <w:rPr>
          <w:sz w:val="22"/>
        </w:rPr>
      </w:pPr>
      <w:r>
        <w:rPr>
          <w:spacing w:val="-4"/>
          <w:sz w:val="22"/>
        </w:rPr>
        <w:t>Mr.</w:t>
      </w:r>
      <w:r>
        <w:rPr>
          <w:spacing w:val="-10"/>
          <w:sz w:val="22"/>
        </w:rPr>
        <w:t> </w:t>
      </w:r>
      <w:r>
        <w:rPr>
          <w:spacing w:val="-4"/>
          <w:sz w:val="22"/>
        </w:rPr>
        <w:t>Babu</w:t>
      </w:r>
      <w:r>
        <w:rPr>
          <w:spacing w:val="-10"/>
          <w:sz w:val="22"/>
        </w:rPr>
        <w:t> </w:t>
      </w:r>
      <w:r>
        <w:rPr>
          <w:spacing w:val="-4"/>
          <w:sz w:val="22"/>
        </w:rPr>
        <w:t>Sathian,</w:t>
      </w:r>
      <w:r>
        <w:rPr>
          <w:spacing w:val="-10"/>
          <w:sz w:val="22"/>
        </w:rPr>
        <w:t> </w:t>
      </w:r>
      <w:r>
        <w:rPr>
          <w:spacing w:val="-4"/>
          <w:sz w:val="22"/>
        </w:rPr>
        <w:t>Process</w:t>
      </w:r>
      <w:r>
        <w:rPr>
          <w:spacing w:val="-9"/>
          <w:sz w:val="22"/>
        </w:rPr>
        <w:t> </w:t>
      </w:r>
      <w:r>
        <w:rPr>
          <w:spacing w:val="-4"/>
          <w:sz w:val="22"/>
        </w:rPr>
        <w:t>Pumps </w:t>
      </w:r>
      <w:r>
        <w:rPr>
          <w:sz w:val="22"/>
        </w:rPr>
        <w:t>Pvt. Ltd.</w:t>
      </w:r>
    </w:p>
    <w:p>
      <w:pPr>
        <w:pStyle w:val="ListParagraph"/>
        <w:numPr>
          <w:ilvl w:val="1"/>
          <w:numId w:val="98"/>
        </w:numPr>
        <w:tabs>
          <w:tab w:pos="1559" w:val="left" w:leader="none"/>
        </w:tabs>
        <w:spacing w:line="240" w:lineRule="auto" w:before="91" w:after="0"/>
        <w:ind w:left="1559" w:right="0" w:hanging="480"/>
        <w:jc w:val="left"/>
        <w:rPr>
          <w:sz w:val="22"/>
        </w:rPr>
      </w:pPr>
      <w:r>
        <w:rPr>
          <w:spacing w:val="-6"/>
          <w:sz w:val="22"/>
        </w:rPr>
        <w:t>Mr.</w:t>
      </w:r>
      <w:r>
        <w:rPr>
          <w:spacing w:val="-8"/>
          <w:sz w:val="22"/>
        </w:rPr>
        <w:t> </w:t>
      </w:r>
      <w:r>
        <w:rPr>
          <w:spacing w:val="-6"/>
          <w:sz w:val="22"/>
        </w:rPr>
        <w:t>Veerendra</w:t>
      </w:r>
      <w:r>
        <w:rPr>
          <w:spacing w:val="-5"/>
          <w:sz w:val="22"/>
        </w:rPr>
        <w:t> </w:t>
      </w:r>
      <w:r>
        <w:rPr>
          <w:spacing w:val="-6"/>
          <w:sz w:val="22"/>
        </w:rPr>
        <w:t>Shivhare,</w:t>
      </w:r>
      <w:r>
        <w:rPr>
          <w:spacing w:val="-4"/>
          <w:sz w:val="22"/>
        </w:rPr>
        <w:t> </w:t>
      </w:r>
      <w:r>
        <w:rPr>
          <w:spacing w:val="-6"/>
          <w:sz w:val="22"/>
        </w:rPr>
        <w:t>mGinger</w:t>
      </w:r>
    </w:p>
    <w:p>
      <w:pPr>
        <w:pStyle w:val="ListParagraph"/>
        <w:numPr>
          <w:ilvl w:val="1"/>
          <w:numId w:val="98"/>
        </w:numPr>
        <w:tabs>
          <w:tab w:pos="1559" w:val="left" w:leader="none"/>
        </w:tabs>
        <w:spacing w:line="240" w:lineRule="auto" w:before="113" w:after="0"/>
        <w:ind w:left="1559" w:right="0" w:hanging="480"/>
        <w:jc w:val="left"/>
        <w:rPr>
          <w:sz w:val="22"/>
        </w:rPr>
      </w:pPr>
      <w:r>
        <w:rPr>
          <w:spacing w:val="-8"/>
          <w:sz w:val="22"/>
        </w:rPr>
        <w:t>Mr.</w:t>
      </w:r>
      <w:r>
        <w:rPr>
          <w:spacing w:val="5"/>
          <w:sz w:val="22"/>
        </w:rPr>
        <w:t> </w:t>
      </w:r>
      <w:r>
        <w:rPr>
          <w:spacing w:val="-8"/>
          <w:sz w:val="22"/>
        </w:rPr>
        <w:t>Balaji</w:t>
      </w:r>
      <w:r>
        <w:rPr>
          <w:spacing w:val="5"/>
          <w:sz w:val="22"/>
        </w:rPr>
        <w:t> </w:t>
      </w:r>
      <w:r>
        <w:rPr>
          <w:spacing w:val="-8"/>
          <w:sz w:val="22"/>
        </w:rPr>
        <w:t>Pasumarthy,</w:t>
      </w:r>
      <w:r>
        <w:rPr>
          <w:spacing w:val="5"/>
          <w:sz w:val="22"/>
        </w:rPr>
        <w:t> </w:t>
      </w:r>
      <w:r>
        <w:rPr>
          <w:spacing w:val="-8"/>
          <w:sz w:val="22"/>
        </w:rPr>
        <w:t>Business</w:t>
      </w:r>
      <w:r>
        <w:rPr>
          <w:spacing w:val="5"/>
          <w:sz w:val="22"/>
        </w:rPr>
        <w:t> </w:t>
      </w:r>
      <w:r>
        <w:rPr>
          <w:spacing w:val="-8"/>
          <w:sz w:val="22"/>
        </w:rPr>
        <w:t>Gyan</w:t>
      </w:r>
    </w:p>
    <w:p>
      <w:pPr>
        <w:pStyle w:val="ListParagraph"/>
        <w:numPr>
          <w:ilvl w:val="1"/>
          <w:numId w:val="98"/>
        </w:numPr>
        <w:tabs>
          <w:tab w:pos="1559" w:val="left" w:leader="none"/>
        </w:tabs>
        <w:spacing w:line="240" w:lineRule="auto" w:before="117" w:after="0"/>
        <w:ind w:left="1559" w:right="0" w:hanging="480"/>
        <w:jc w:val="left"/>
        <w:rPr>
          <w:sz w:val="22"/>
        </w:rPr>
      </w:pPr>
      <w:r>
        <w:rPr>
          <w:spacing w:val="-6"/>
          <w:sz w:val="22"/>
        </w:rPr>
        <w:t>Mr.</w:t>
      </w:r>
      <w:r>
        <w:rPr>
          <w:spacing w:val="1"/>
          <w:sz w:val="22"/>
        </w:rPr>
        <w:t> </w:t>
      </w:r>
      <w:r>
        <w:rPr>
          <w:spacing w:val="-6"/>
          <w:sz w:val="22"/>
        </w:rPr>
        <w:t>Divye</w:t>
      </w:r>
      <w:r>
        <w:rPr>
          <w:spacing w:val="-10"/>
          <w:sz w:val="22"/>
        </w:rPr>
        <w:t> </w:t>
      </w:r>
      <w:r>
        <w:rPr>
          <w:spacing w:val="-6"/>
          <w:sz w:val="22"/>
        </w:rPr>
        <w:t>Tela,</w:t>
      </w:r>
      <w:r>
        <w:rPr>
          <w:spacing w:val="1"/>
          <w:sz w:val="22"/>
        </w:rPr>
        <w:t> </w:t>
      </w:r>
      <w:r>
        <w:rPr>
          <w:spacing w:val="-6"/>
          <w:sz w:val="22"/>
        </w:rPr>
        <w:t>Cheesecare</w:t>
      </w:r>
      <w:r>
        <w:rPr>
          <w:spacing w:val="2"/>
          <w:sz w:val="22"/>
        </w:rPr>
        <w:t> </w:t>
      </w:r>
      <w:r>
        <w:rPr>
          <w:spacing w:val="-6"/>
          <w:sz w:val="22"/>
        </w:rPr>
        <w:t>Corporate</w:t>
      </w:r>
      <w:r>
        <w:rPr>
          <w:spacing w:val="1"/>
          <w:sz w:val="22"/>
        </w:rPr>
        <w:t> </w:t>
      </w:r>
      <w:r>
        <w:rPr>
          <w:spacing w:val="-6"/>
          <w:sz w:val="22"/>
        </w:rPr>
        <w:t>Services</w:t>
      </w:r>
    </w:p>
    <w:p>
      <w:pPr>
        <w:pStyle w:val="ListParagraph"/>
        <w:numPr>
          <w:ilvl w:val="1"/>
          <w:numId w:val="98"/>
        </w:numPr>
        <w:tabs>
          <w:tab w:pos="1560" w:val="left" w:leader="none"/>
        </w:tabs>
        <w:spacing w:line="261" w:lineRule="auto" w:before="117" w:after="0"/>
        <w:ind w:left="1560" w:right="142" w:hanging="480"/>
        <w:jc w:val="left"/>
        <w:rPr>
          <w:sz w:val="22"/>
        </w:rPr>
      </w:pPr>
      <w:r>
        <w:rPr>
          <w:spacing w:val="-4"/>
          <w:sz w:val="22"/>
        </w:rPr>
        <w:t>Mr.</w:t>
      </w:r>
      <w:r>
        <w:rPr>
          <w:spacing w:val="-10"/>
          <w:sz w:val="22"/>
        </w:rPr>
        <w:t> </w:t>
      </w:r>
      <w:r>
        <w:rPr>
          <w:spacing w:val="-4"/>
          <w:sz w:val="22"/>
        </w:rPr>
        <w:t>Priyankar</w:t>
      </w:r>
      <w:r>
        <w:rPr>
          <w:spacing w:val="-10"/>
          <w:sz w:val="22"/>
        </w:rPr>
        <w:t> </w:t>
      </w:r>
      <w:r>
        <w:rPr>
          <w:spacing w:val="-4"/>
          <w:sz w:val="22"/>
        </w:rPr>
        <w:t>Baid,</w:t>
      </w:r>
      <w:r>
        <w:rPr>
          <w:spacing w:val="-9"/>
          <w:sz w:val="22"/>
        </w:rPr>
        <w:t> </w:t>
      </w:r>
      <w:r>
        <w:rPr>
          <w:spacing w:val="-4"/>
          <w:sz w:val="22"/>
        </w:rPr>
        <w:t>P</w:t>
      </w:r>
      <w:r>
        <w:rPr>
          <w:spacing w:val="-8"/>
          <w:sz w:val="22"/>
        </w:rPr>
        <w:t> </w:t>
      </w:r>
      <w:r>
        <w:rPr>
          <w:spacing w:val="-4"/>
          <w:sz w:val="22"/>
        </w:rPr>
        <w:t>B</w:t>
      </w:r>
      <w:r>
        <w:rPr>
          <w:spacing w:val="-10"/>
          <w:sz w:val="22"/>
        </w:rPr>
        <w:t> </w:t>
      </w:r>
      <w:r>
        <w:rPr>
          <w:spacing w:val="-4"/>
          <w:sz w:val="22"/>
        </w:rPr>
        <w:t>Tech</w:t>
      </w:r>
      <w:r>
        <w:rPr>
          <w:spacing w:val="-8"/>
          <w:sz w:val="22"/>
        </w:rPr>
        <w:t> </w:t>
      </w:r>
      <w:r>
        <w:rPr>
          <w:spacing w:val="-4"/>
          <w:sz w:val="22"/>
        </w:rPr>
        <w:t>Impact</w:t>
      </w:r>
      <w:r>
        <w:rPr>
          <w:spacing w:val="-8"/>
          <w:sz w:val="22"/>
        </w:rPr>
        <w:t> </w:t>
      </w:r>
      <w:r>
        <w:rPr>
          <w:spacing w:val="-4"/>
          <w:sz w:val="22"/>
        </w:rPr>
        <w:t>Solutions, </w:t>
      </w:r>
      <w:r>
        <w:rPr>
          <w:sz w:val="22"/>
        </w:rPr>
        <w:t>New Delhi</w:t>
      </w:r>
    </w:p>
    <w:p>
      <w:pPr>
        <w:pStyle w:val="ListParagraph"/>
        <w:numPr>
          <w:ilvl w:val="1"/>
          <w:numId w:val="98"/>
        </w:numPr>
        <w:tabs>
          <w:tab w:pos="1559" w:val="left" w:leader="none"/>
        </w:tabs>
        <w:spacing w:line="240" w:lineRule="auto" w:before="90" w:after="0"/>
        <w:ind w:left="1559" w:right="0" w:hanging="480"/>
        <w:jc w:val="left"/>
        <w:rPr>
          <w:sz w:val="22"/>
        </w:rPr>
      </w:pPr>
      <w:r>
        <w:rPr>
          <w:spacing w:val="-2"/>
          <w:sz w:val="22"/>
        </w:rPr>
        <w:t>Mr.</w:t>
      </w:r>
      <w:r>
        <w:rPr>
          <w:spacing w:val="-11"/>
          <w:sz w:val="22"/>
        </w:rPr>
        <w:t> </w:t>
      </w:r>
      <w:r>
        <w:rPr>
          <w:spacing w:val="-2"/>
          <w:sz w:val="22"/>
        </w:rPr>
        <w:t>Atul</w:t>
      </w:r>
      <w:r>
        <w:rPr>
          <w:spacing w:val="-11"/>
          <w:sz w:val="22"/>
        </w:rPr>
        <w:t> </w:t>
      </w:r>
      <w:r>
        <w:rPr>
          <w:spacing w:val="-2"/>
          <w:sz w:val="22"/>
        </w:rPr>
        <w:t>Nigam,</w:t>
      </w:r>
      <w:r>
        <w:rPr>
          <w:spacing w:val="-11"/>
          <w:sz w:val="22"/>
        </w:rPr>
        <w:t> </w:t>
      </w:r>
      <w:r>
        <w:rPr>
          <w:spacing w:val="-2"/>
          <w:sz w:val="22"/>
        </w:rPr>
        <w:t>i2k</w:t>
      </w:r>
      <w:r>
        <w:rPr>
          <w:spacing w:val="-11"/>
          <w:sz w:val="22"/>
        </w:rPr>
        <w:t> </w:t>
      </w:r>
      <w:r>
        <w:rPr>
          <w:spacing w:val="-2"/>
          <w:sz w:val="22"/>
        </w:rPr>
        <w:t>Solutions,</w:t>
      </w:r>
      <w:r>
        <w:rPr>
          <w:spacing w:val="-11"/>
          <w:sz w:val="22"/>
        </w:rPr>
        <w:t> </w:t>
      </w:r>
      <w:r>
        <w:rPr>
          <w:spacing w:val="-2"/>
          <w:sz w:val="22"/>
        </w:rPr>
        <w:t>Mumbai</w:t>
      </w:r>
    </w:p>
    <w:p>
      <w:pPr>
        <w:pStyle w:val="ListParagraph"/>
        <w:numPr>
          <w:ilvl w:val="1"/>
          <w:numId w:val="98"/>
        </w:numPr>
        <w:tabs>
          <w:tab w:pos="1559" w:val="left" w:leader="none"/>
        </w:tabs>
        <w:spacing w:line="240" w:lineRule="auto" w:before="113" w:after="0"/>
        <w:ind w:left="1559" w:right="0" w:hanging="480"/>
        <w:jc w:val="left"/>
        <w:rPr>
          <w:sz w:val="22"/>
        </w:rPr>
      </w:pPr>
      <w:r>
        <w:rPr>
          <w:spacing w:val="-6"/>
          <w:sz w:val="22"/>
        </w:rPr>
        <w:t>Mr.</w:t>
      </w:r>
      <w:r>
        <w:rPr>
          <w:sz w:val="22"/>
        </w:rPr>
        <w:t> </w:t>
      </w:r>
      <w:r>
        <w:rPr>
          <w:spacing w:val="-6"/>
          <w:sz w:val="22"/>
        </w:rPr>
        <w:t>Nalin</w:t>
      </w:r>
      <w:r>
        <w:rPr>
          <w:sz w:val="22"/>
        </w:rPr>
        <w:t> </w:t>
      </w:r>
      <w:r>
        <w:rPr>
          <w:spacing w:val="-6"/>
          <w:sz w:val="22"/>
        </w:rPr>
        <w:t>Agrawal,</w:t>
      </w:r>
      <w:r>
        <w:rPr>
          <w:sz w:val="22"/>
        </w:rPr>
        <w:t> </w:t>
      </w:r>
      <w:r>
        <w:rPr>
          <w:spacing w:val="-6"/>
          <w:sz w:val="22"/>
        </w:rPr>
        <w:t>INREA</w:t>
      </w:r>
      <w:r>
        <w:rPr>
          <w:sz w:val="22"/>
        </w:rPr>
        <w:t> </w:t>
      </w:r>
      <w:r>
        <w:rPr>
          <w:spacing w:val="-6"/>
          <w:sz w:val="22"/>
        </w:rPr>
        <w:t>Research,</w:t>
      </w:r>
      <w:r>
        <w:rPr>
          <w:sz w:val="22"/>
        </w:rPr>
        <w:t> </w:t>
      </w:r>
      <w:r>
        <w:rPr>
          <w:spacing w:val="-6"/>
          <w:sz w:val="22"/>
        </w:rPr>
        <w:t>Mumbai</w:t>
      </w:r>
    </w:p>
    <w:p>
      <w:pPr>
        <w:pStyle w:val="ListParagraph"/>
        <w:numPr>
          <w:ilvl w:val="1"/>
          <w:numId w:val="98"/>
        </w:numPr>
        <w:tabs>
          <w:tab w:pos="808" w:val="left" w:leader="none"/>
        </w:tabs>
        <w:spacing w:line="240" w:lineRule="auto" w:before="57" w:after="0"/>
        <w:ind w:left="808" w:right="0" w:hanging="480"/>
        <w:jc w:val="left"/>
        <w:rPr>
          <w:sz w:val="22"/>
        </w:rPr>
      </w:pPr>
      <w:r>
        <w:rPr/>
        <w:br w:type="column"/>
      </w:r>
      <w:r>
        <w:rPr>
          <w:spacing w:val="-4"/>
          <w:sz w:val="22"/>
        </w:rPr>
        <w:t>Mr.</w:t>
      </w:r>
      <w:r>
        <w:rPr>
          <w:spacing w:val="-10"/>
          <w:sz w:val="22"/>
        </w:rPr>
        <w:t> </w:t>
      </w:r>
      <w:r>
        <w:rPr>
          <w:spacing w:val="-4"/>
          <w:sz w:val="22"/>
        </w:rPr>
        <w:t>Abhishek</w:t>
      </w:r>
      <w:r>
        <w:rPr>
          <w:spacing w:val="-10"/>
          <w:sz w:val="22"/>
        </w:rPr>
        <w:t> </w:t>
      </w:r>
      <w:r>
        <w:rPr>
          <w:spacing w:val="-4"/>
          <w:sz w:val="22"/>
        </w:rPr>
        <w:t>Biswal,</w:t>
      </w:r>
      <w:r>
        <w:rPr>
          <w:spacing w:val="-10"/>
          <w:sz w:val="22"/>
        </w:rPr>
        <w:t> </w:t>
      </w:r>
      <w:r>
        <w:rPr>
          <w:spacing w:val="-4"/>
          <w:sz w:val="22"/>
        </w:rPr>
        <w:t>TRI</w:t>
      </w:r>
      <w:r>
        <w:rPr>
          <w:spacing w:val="-7"/>
          <w:sz w:val="22"/>
        </w:rPr>
        <w:t> </w:t>
      </w:r>
      <w:r>
        <w:rPr>
          <w:spacing w:val="-4"/>
          <w:sz w:val="22"/>
        </w:rPr>
        <w:t>India,</w:t>
      </w:r>
      <w:r>
        <w:rPr>
          <w:spacing w:val="-6"/>
          <w:sz w:val="22"/>
        </w:rPr>
        <w:t> </w:t>
      </w:r>
      <w:r>
        <w:rPr>
          <w:spacing w:val="-4"/>
          <w:sz w:val="22"/>
        </w:rPr>
        <w:t>Mumbai</w:t>
      </w:r>
    </w:p>
    <w:p>
      <w:pPr>
        <w:pStyle w:val="ListParagraph"/>
        <w:numPr>
          <w:ilvl w:val="1"/>
          <w:numId w:val="98"/>
        </w:numPr>
        <w:tabs>
          <w:tab w:pos="808" w:val="left" w:leader="none"/>
        </w:tabs>
        <w:spacing w:line="261" w:lineRule="auto" w:before="113" w:after="0"/>
        <w:ind w:left="808" w:right="1717" w:hanging="480"/>
        <w:jc w:val="left"/>
        <w:rPr>
          <w:sz w:val="22"/>
        </w:rPr>
      </w:pPr>
      <w:r>
        <w:rPr>
          <w:spacing w:val="-4"/>
          <w:sz w:val="22"/>
        </w:rPr>
        <w:t>Mr.</w:t>
      </w:r>
      <w:r>
        <w:rPr>
          <w:spacing w:val="-10"/>
          <w:sz w:val="22"/>
        </w:rPr>
        <w:t> </w:t>
      </w:r>
      <w:r>
        <w:rPr>
          <w:spacing w:val="-4"/>
          <w:sz w:val="22"/>
        </w:rPr>
        <w:t>Sanjay</w:t>
      </w:r>
      <w:r>
        <w:rPr>
          <w:spacing w:val="-10"/>
          <w:sz w:val="22"/>
        </w:rPr>
        <w:t> </w:t>
      </w:r>
      <w:r>
        <w:rPr>
          <w:spacing w:val="-4"/>
          <w:sz w:val="22"/>
        </w:rPr>
        <w:t>Labroo,</w:t>
      </w:r>
      <w:r>
        <w:rPr>
          <w:spacing w:val="-10"/>
          <w:sz w:val="22"/>
        </w:rPr>
        <w:t> </w:t>
      </w:r>
      <w:r>
        <w:rPr>
          <w:spacing w:val="-4"/>
          <w:sz w:val="22"/>
        </w:rPr>
        <w:t>Asahi</w:t>
      </w:r>
      <w:r>
        <w:rPr>
          <w:spacing w:val="-9"/>
          <w:sz w:val="22"/>
        </w:rPr>
        <w:t> </w:t>
      </w:r>
      <w:r>
        <w:rPr>
          <w:spacing w:val="-4"/>
          <w:sz w:val="22"/>
        </w:rPr>
        <w:t>India</w:t>
      </w:r>
      <w:r>
        <w:rPr>
          <w:spacing w:val="-10"/>
          <w:sz w:val="22"/>
        </w:rPr>
        <w:t> </w:t>
      </w:r>
      <w:r>
        <w:rPr>
          <w:spacing w:val="-4"/>
          <w:sz w:val="22"/>
        </w:rPr>
        <w:t>Glass</w:t>
      </w:r>
      <w:r>
        <w:rPr>
          <w:spacing w:val="-10"/>
          <w:sz w:val="22"/>
        </w:rPr>
        <w:t> </w:t>
      </w:r>
      <w:r>
        <w:rPr>
          <w:spacing w:val="-4"/>
          <w:sz w:val="22"/>
        </w:rPr>
        <w:t>Ltd. </w:t>
      </w:r>
      <w:r>
        <w:rPr>
          <w:sz w:val="22"/>
        </w:rPr>
        <w:t>New Delhi</w:t>
      </w:r>
    </w:p>
    <w:p>
      <w:pPr>
        <w:pStyle w:val="ListParagraph"/>
        <w:numPr>
          <w:ilvl w:val="1"/>
          <w:numId w:val="98"/>
        </w:numPr>
        <w:tabs>
          <w:tab w:pos="808" w:val="left" w:leader="none"/>
        </w:tabs>
        <w:spacing w:line="240" w:lineRule="auto" w:before="91" w:after="0"/>
        <w:ind w:left="808" w:right="0" w:hanging="480"/>
        <w:jc w:val="left"/>
        <w:rPr>
          <w:sz w:val="22"/>
        </w:rPr>
      </w:pPr>
      <w:r>
        <w:rPr>
          <w:spacing w:val="-2"/>
          <w:sz w:val="22"/>
        </w:rPr>
        <w:t>Mr.</w:t>
      </w:r>
      <w:r>
        <w:rPr>
          <w:spacing w:val="-11"/>
          <w:sz w:val="22"/>
        </w:rPr>
        <w:t> </w:t>
      </w:r>
      <w:r>
        <w:rPr>
          <w:spacing w:val="-2"/>
          <w:sz w:val="22"/>
        </w:rPr>
        <w:t>Pratap</w:t>
      </w:r>
      <w:r>
        <w:rPr>
          <w:spacing w:val="-10"/>
          <w:sz w:val="22"/>
        </w:rPr>
        <w:t> </w:t>
      </w:r>
      <w:r>
        <w:rPr>
          <w:spacing w:val="-2"/>
          <w:sz w:val="22"/>
        </w:rPr>
        <w:t>S.</w:t>
      </w:r>
      <w:r>
        <w:rPr>
          <w:spacing w:val="-10"/>
          <w:sz w:val="22"/>
        </w:rPr>
        <w:t> </w:t>
      </w:r>
      <w:r>
        <w:rPr>
          <w:spacing w:val="-2"/>
          <w:sz w:val="22"/>
        </w:rPr>
        <w:t>Mungi,</w:t>
      </w:r>
      <w:r>
        <w:rPr>
          <w:spacing w:val="-10"/>
          <w:sz w:val="22"/>
        </w:rPr>
        <w:t> </w:t>
      </w:r>
      <w:r>
        <w:rPr>
          <w:spacing w:val="-2"/>
          <w:sz w:val="22"/>
        </w:rPr>
        <w:t>Mungi</w:t>
      </w:r>
      <w:r>
        <w:rPr>
          <w:spacing w:val="-10"/>
          <w:sz w:val="22"/>
        </w:rPr>
        <w:t> </w:t>
      </w:r>
      <w:r>
        <w:rPr>
          <w:spacing w:val="-2"/>
          <w:sz w:val="22"/>
        </w:rPr>
        <w:t>Brothers,</w:t>
      </w:r>
      <w:r>
        <w:rPr>
          <w:spacing w:val="-10"/>
          <w:sz w:val="22"/>
        </w:rPr>
        <w:t> </w:t>
      </w:r>
      <w:r>
        <w:rPr>
          <w:spacing w:val="-2"/>
          <w:sz w:val="22"/>
        </w:rPr>
        <w:t>Mumbai</w:t>
      </w:r>
    </w:p>
    <w:p>
      <w:pPr>
        <w:pStyle w:val="ListParagraph"/>
        <w:numPr>
          <w:ilvl w:val="1"/>
          <w:numId w:val="98"/>
        </w:numPr>
        <w:tabs>
          <w:tab w:pos="808" w:val="left" w:leader="none"/>
        </w:tabs>
        <w:spacing w:line="261" w:lineRule="auto" w:before="113" w:after="0"/>
        <w:ind w:left="808" w:right="2749" w:hanging="480"/>
        <w:jc w:val="left"/>
        <w:rPr>
          <w:sz w:val="22"/>
        </w:rPr>
      </w:pPr>
      <w:r>
        <w:rPr>
          <w:spacing w:val="-4"/>
          <w:sz w:val="22"/>
        </w:rPr>
        <w:t>Mr.</w:t>
      </w:r>
      <w:r>
        <w:rPr>
          <w:spacing w:val="-12"/>
          <w:sz w:val="22"/>
        </w:rPr>
        <w:t> </w:t>
      </w:r>
      <w:r>
        <w:rPr>
          <w:spacing w:val="-4"/>
          <w:sz w:val="22"/>
        </w:rPr>
        <w:t>Ramesh</w:t>
      </w:r>
      <w:r>
        <w:rPr>
          <w:spacing w:val="-10"/>
          <w:sz w:val="22"/>
        </w:rPr>
        <w:t> </w:t>
      </w:r>
      <w:r>
        <w:rPr>
          <w:spacing w:val="-4"/>
          <w:sz w:val="22"/>
        </w:rPr>
        <w:t>Suri,</w:t>
      </w:r>
      <w:r>
        <w:rPr>
          <w:spacing w:val="-10"/>
          <w:sz w:val="22"/>
        </w:rPr>
        <w:t> </w:t>
      </w:r>
      <w:r>
        <w:rPr>
          <w:spacing w:val="-4"/>
          <w:sz w:val="22"/>
        </w:rPr>
        <w:t>Subros</w:t>
      </w:r>
      <w:r>
        <w:rPr>
          <w:spacing w:val="-9"/>
          <w:sz w:val="22"/>
        </w:rPr>
        <w:t> </w:t>
      </w:r>
      <w:r>
        <w:rPr>
          <w:spacing w:val="-4"/>
          <w:sz w:val="22"/>
        </w:rPr>
        <w:t>Ltd. </w:t>
      </w:r>
      <w:r>
        <w:rPr>
          <w:sz w:val="22"/>
        </w:rPr>
        <w:t>New Delhi</w:t>
      </w:r>
    </w:p>
    <w:p>
      <w:pPr>
        <w:pStyle w:val="ListParagraph"/>
        <w:numPr>
          <w:ilvl w:val="1"/>
          <w:numId w:val="98"/>
        </w:numPr>
        <w:tabs>
          <w:tab w:pos="808" w:val="left" w:leader="none"/>
        </w:tabs>
        <w:spacing w:line="261" w:lineRule="auto" w:before="90" w:after="0"/>
        <w:ind w:left="808" w:right="1467" w:hanging="480"/>
        <w:jc w:val="left"/>
        <w:rPr>
          <w:sz w:val="22"/>
        </w:rPr>
      </w:pPr>
      <w:r>
        <w:rPr>
          <w:spacing w:val="-4"/>
          <w:sz w:val="22"/>
        </w:rPr>
        <w:t>Mr.</w:t>
      </w:r>
      <w:r>
        <w:rPr>
          <w:spacing w:val="-5"/>
          <w:sz w:val="22"/>
        </w:rPr>
        <w:t> </w:t>
      </w:r>
      <w:r>
        <w:rPr>
          <w:spacing w:val="-4"/>
          <w:sz w:val="22"/>
        </w:rPr>
        <w:t>Arvind</w:t>
      </w:r>
      <w:r>
        <w:rPr>
          <w:spacing w:val="-5"/>
          <w:sz w:val="22"/>
        </w:rPr>
        <w:t> </w:t>
      </w:r>
      <w:r>
        <w:rPr>
          <w:spacing w:val="-4"/>
          <w:sz w:val="22"/>
        </w:rPr>
        <w:t>Kapur,</w:t>
      </w:r>
      <w:r>
        <w:rPr>
          <w:spacing w:val="-5"/>
          <w:sz w:val="22"/>
        </w:rPr>
        <w:t> </w:t>
      </w:r>
      <w:r>
        <w:rPr>
          <w:spacing w:val="-4"/>
          <w:sz w:val="22"/>
        </w:rPr>
        <w:t>Rico</w:t>
      </w:r>
      <w:r>
        <w:rPr>
          <w:spacing w:val="-5"/>
          <w:sz w:val="22"/>
        </w:rPr>
        <w:t> </w:t>
      </w:r>
      <w:r>
        <w:rPr>
          <w:spacing w:val="-4"/>
          <w:sz w:val="22"/>
        </w:rPr>
        <w:t>Auto</w:t>
      </w:r>
      <w:r>
        <w:rPr>
          <w:spacing w:val="-5"/>
          <w:sz w:val="22"/>
        </w:rPr>
        <w:t> </w:t>
      </w:r>
      <w:r>
        <w:rPr>
          <w:spacing w:val="-4"/>
          <w:sz w:val="22"/>
        </w:rPr>
        <w:t>Industries</w:t>
      </w:r>
      <w:r>
        <w:rPr>
          <w:spacing w:val="-5"/>
          <w:sz w:val="22"/>
        </w:rPr>
        <w:t> </w:t>
      </w:r>
      <w:r>
        <w:rPr>
          <w:spacing w:val="-4"/>
          <w:sz w:val="22"/>
        </w:rPr>
        <w:t>Ltd. </w:t>
      </w:r>
      <w:r>
        <w:rPr>
          <w:spacing w:val="-2"/>
          <w:sz w:val="22"/>
        </w:rPr>
        <w:t>Gurgaon</w:t>
      </w:r>
    </w:p>
    <w:p>
      <w:pPr>
        <w:pStyle w:val="ListParagraph"/>
        <w:numPr>
          <w:ilvl w:val="1"/>
          <w:numId w:val="98"/>
        </w:numPr>
        <w:tabs>
          <w:tab w:pos="808" w:val="left" w:leader="none"/>
        </w:tabs>
        <w:spacing w:line="240" w:lineRule="auto" w:before="91" w:after="0"/>
        <w:ind w:left="808" w:right="0" w:hanging="480"/>
        <w:jc w:val="left"/>
        <w:rPr>
          <w:sz w:val="22"/>
        </w:rPr>
      </w:pPr>
      <w:r>
        <w:rPr>
          <w:sz w:val="22"/>
        </w:rPr>
        <w:t>Ms.</w:t>
      </w:r>
      <w:r>
        <w:rPr>
          <w:spacing w:val="-8"/>
          <w:sz w:val="22"/>
        </w:rPr>
        <w:t> </w:t>
      </w:r>
      <w:r>
        <w:rPr>
          <w:sz w:val="22"/>
        </w:rPr>
        <w:t>Lalita</w:t>
      </w:r>
      <w:r>
        <w:rPr>
          <w:spacing w:val="-7"/>
          <w:sz w:val="22"/>
        </w:rPr>
        <w:t> </w:t>
      </w:r>
      <w:r>
        <w:rPr>
          <w:sz w:val="22"/>
        </w:rPr>
        <w:t>Gupte,</w:t>
      </w:r>
      <w:r>
        <w:rPr>
          <w:spacing w:val="-8"/>
          <w:sz w:val="22"/>
        </w:rPr>
        <w:t> </w:t>
      </w:r>
      <w:r>
        <w:rPr>
          <w:sz w:val="22"/>
        </w:rPr>
        <w:t>ICICI</w:t>
      </w:r>
      <w:r>
        <w:rPr>
          <w:spacing w:val="-10"/>
          <w:sz w:val="22"/>
        </w:rPr>
        <w:t> </w:t>
      </w:r>
      <w:r>
        <w:rPr>
          <w:spacing w:val="-2"/>
          <w:sz w:val="22"/>
        </w:rPr>
        <w:t>Venture</w:t>
      </w:r>
    </w:p>
    <w:p>
      <w:pPr>
        <w:pStyle w:val="ListParagraph"/>
        <w:numPr>
          <w:ilvl w:val="1"/>
          <w:numId w:val="98"/>
        </w:numPr>
        <w:tabs>
          <w:tab w:pos="808" w:val="left" w:leader="none"/>
        </w:tabs>
        <w:spacing w:line="240" w:lineRule="auto" w:before="113" w:after="0"/>
        <w:ind w:left="808" w:right="0" w:hanging="480"/>
        <w:jc w:val="left"/>
        <w:rPr>
          <w:sz w:val="22"/>
        </w:rPr>
      </w:pPr>
      <w:r>
        <w:rPr>
          <w:spacing w:val="-2"/>
          <w:sz w:val="22"/>
        </w:rPr>
        <w:t>Ms.</w:t>
      </w:r>
      <w:r>
        <w:rPr>
          <w:spacing w:val="-5"/>
          <w:sz w:val="22"/>
        </w:rPr>
        <w:t> </w:t>
      </w:r>
      <w:r>
        <w:rPr>
          <w:spacing w:val="-2"/>
          <w:sz w:val="22"/>
        </w:rPr>
        <w:t>Bala</w:t>
      </w:r>
      <w:r>
        <w:rPr>
          <w:spacing w:val="-5"/>
          <w:sz w:val="22"/>
        </w:rPr>
        <w:t> </w:t>
      </w:r>
      <w:r>
        <w:rPr>
          <w:spacing w:val="-2"/>
          <w:sz w:val="22"/>
        </w:rPr>
        <w:t>Deshpande,</w:t>
      </w:r>
      <w:r>
        <w:rPr>
          <w:spacing w:val="-4"/>
          <w:sz w:val="22"/>
        </w:rPr>
        <w:t> </w:t>
      </w:r>
      <w:r>
        <w:rPr>
          <w:spacing w:val="-2"/>
          <w:sz w:val="22"/>
        </w:rPr>
        <w:t>ICICI</w:t>
      </w:r>
      <w:r>
        <w:rPr>
          <w:spacing w:val="-9"/>
          <w:sz w:val="22"/>
        </w:rPr>
        <w:t> </w:t>
      </w:r>
      <w:r>
        <w:rPr>
          <w:spacing w:val="-2"/>
          <w:sz w:val="22"/>
        </w:rPr>
        <w:t>Venture</w:t>
      </w:r>
    </w:p>
    <w:p>
      <w:pPr>
        <w:pStyle w:val="ListParagraph"/>
        <w:numPr>
          <w:ilvl w:val="1"/>
          <w:numId w:val="98"/>
        </w:numPr>
        <w:tabs>
          <w:tab w:pos="808" w:val="left" w:leader="none"/>
        </w:tabs>
        <w:spacing w:line="240" w:lineRule="auto" w:before="113" w:after="0"/>
        <w:ind w:left="808" w:right="0" w:hanging="480"/>
        <w:jc w:val="left"/>
        <w:rPr>
          <w:sz w:val="22"/>
        </w:rPr>
      </w:pPr>
      <w:r>
        <w:rPr>
          <w:spacing w:val="-4"/>
          <w:sz w:val="22"/>
        </w:rPr>
        <w:t>Mr.</w:t>
      </w:r>
      <w:r>
        <w:rPr>
          <w:spacing w:val="-5"/>
          <w:sz w:val="22"/>
        </w:rPr>
        <w:t> </w:t>
      </w:r>
      <w:r>
        <w:rPr>
          <w:spacing w:val="-4"/>
          <w:sz w:val="22"/>
        </w:rPr>
        <w:t>Kanwaljit</w:t>
      </w:r>
      <w:r>
        <w:rPr>
          <w:spacing w:val="-5"/>
          <w:sz w:val="22"/>
        </w:rPr>
        <w:t> </w:t>
      </w:r>
      <w:r>
        <w:rPr>
          <w:spacing w:val="-4"/>
          <w:sz w:val="22"/>
        </w:rPr>
        <w:t>Singh, Helion</w:t>
      </w:r>
      <w:r>
        <w:rPr>
          <w:spacing w:val="-8"/>
          <w:sz w:val="22"/>
        </w:rPr>
        <w:t> </w:t>
      </w:r>
      <w:r>
        <w:rPr>
          <w:spacing w:val="-4"/>
          <w:sz w:val="22"/>
        </w:rPr>
        <w:t>Venture</w:t>
      </w:r>
      <w:r>
        <w:rPr>
          <w:spacing w:val="-5"/>
          <w:sz w:val="22"/>
        </w:rPr>
        <w:t> </w:t>
      </w:r>
      <w:r>
        <w:rPr>
          <w:spacing w:val="-4"/>
          <w:sz w:val="22"/>
        </w:rPr>
        <w:t>Partners</w:t>
      </w:r>
    </w:p>
    <w:p>
      <w:pPr>
        <w:pStyle w:val="ListParagraph"/>
        <w:numPr>
          <w:ilvl w:val="1"/>
          <w:numId w:val="98"/>
        </w:numPr>
        <w:tabs>
          <w:tab w:pos="808" w:val="left" w:leader="none"/>
        </w:tabs>
        <w:spacing w:line="240" w:lineRule="auto" w:before="113" w:after="0"/>
        <w:ind w:left="808" w:right="0" w:hanging="480"/>
        <w:jc w:val="left"/>
        <w:rPr>
          <w:sz w:val="22"/>
        </w:rPr>
      </w:pPr>
      <w:r>
        <w:rPr>
          <w:spacing w:val="-4"/>
          <w:sz w:val="22"/>
        </w:rPr>
        <w:t>Mr.</w:t>
      </w:r>
      <w:r>
        <w:rPr>
          <w:spacing w:val="-2"/>
          <w:sz w:val="22"/>
        </w:rPr>
        <w:t> </w:t>
      </w:r>
      <w:r>
        <w:rPr>
          <w:spacing w:val="-4"/>
          <w:sz w:val="22"/>
        </w:rPr>
        <w:t>Ashish</w:t>
      </w:r>
      <w:r>
        <w:rPr>
          <w:spacing w:val="-2"/>
          <w:sz w:val="22"/>
        </w:rPr>
        <w:t> </w:t>
      </w:r>
      <w:r>
        <w:rPr>
          <w:spacing w:val="-4"/>
          <w:sz w:val="22"/>
        </w:rPr>
        <w:t>Gupta,</w:t>
      </w:r>
      <w:r>
        <w:rPr>
          <w:spacing w:val="-1"/>
          <w:sz w:val="22"/>
        </w:rPr>
        <w:t> </w:t>
      </w:r>
      <w:r>
        <w:rPr>
          <w:spacing w:val="-4"/>
          <w:sz w:val="22"/>
        </w:rPr>
        <w:t>Helion</w:t>
      </w:r>
      <w:r>
        <w:rPr>
          <w:spacing w:val="-6"/>
          <w:sz w:val="22"/>
        </w:rPr>
        <w:t> </w:t>
      </w:r>
      <w:r>
        <w:rPr>
          <w:spacing w:val="-4"/>
          <w:sz w:val="22"/>
        </w:rPr>
        <w:t>Venture</w:t>
      </w:r>
      <w:r>
        <w:rPr>
          <w:spacing w:val="-1"/>
          <w:sz w:val="22"/>
        </w:rPr>
        <w:t> </w:t>
      </w:r>
      <w:r>
        <w:rPr>
          <w:spacing w:val="-4"/>
          <w:sz w:val="22"/>
        </w:rPr>
        <w:t>Partners</w:t>
      </w:r>
    </w:p>
    <w:p>
      <w:pPr>
        <w:pStyle w:val="ListParagraph"/>
        <w:numPr>
          <w:ilvl w:val="1"/>
          <w:numId w:val="98"/>
        </w:numPr>
        <w:tabs>
          <w:tab w:pos="808" w:val="left" w:leader="none"/>
        </w:tabs>
        <w:spacing w:line="240" w:lineRule="auto" w:before="117" w:after="0"/>
        <w:ind w:left="808" w:right="0" w:hanging="480"/>
        <w:jc w:val="left"/>
        <w:rPr>
          <w:sz w:val="22"/>
        </w:rPr>
      </w:pPr>
      <w:r>
        <w:rPr>
          <w:spacing w:val="-4"/>
          <w:sz w:val="22"/>
        </w:rPr>
        <w:t>Mr.</w:t>
      </w:r>
      <w:r>
        <w:rPr>
          <w:spacing w:val="-7"/>
          <w:sz w:val="22"/>
        </w:rPr>
        <w:t> </w:t>
      </w:r>
      <w:r>
        <w:rPr>
          <w:spacing w:val="-4"/>
          <w:sz w:val="22"/>
        </w:rPr>
        <w:t>Anand</w:t>
      </w:r>
      <w:r>
        <w:rPr>
          <w:spacing w:val="-2"/>
          <w:sz w:val="22"/>
        </w:rPr>
        <w:t> </w:t>
      </w:r>
      <w:r>
        <w:rPr>
          <w:spacing w:val="-4"/>
          <w:sz w:val="22"/>
        </w:rPr>
        <w:t>Lunia,</w:t>
      </w:r>
      <w:r>
        <w:rPr>
          <w:spacing w:val="-10"/>
          <w:sz w:val="22"/>
        </w:rPr>
        <w:t> </w:t>
      </w:r>
      <w:r>
        <w:rPr>
          <w:spacing w:val="-4"/>
          <w:sz w:val="22"/>
        </w:rPr>
        <w:t>The</w:t>
      </w:r>
      <w:r>
        <w:rPr>
          <w:spacing w:val="-2"/>
          <w:sz w:val="22"/>
        </w:rPr>
        <w:t> </w:t>
      </w:r>
      <w:r>
        <w:rPr>
          <w:spacing w:val="-4"/>
          <w:sz w:val="22"/>
        </w:rPr>
        <w:t>Seed</w:t>
      </w:r>
      <w:r>
        <w:rPr>
          <w:spacing w:val="-2"/>
          <w:sz w:val="22"/>
        </w:rPr>
        <w:t> </w:t>
      </w:r>
      <w:r>
        <w:rPr>
          <w:spacing w:val="-4"/>
          <w:sz w:val="22"/>
        </w:rPr>
        <w:t>Fund</w:t>
      </w:r>
    </w:p>
    <w:p>
      <w:pPr>
        <w:pStyle w:val="ListParagraph"/>
        <w:numPr>
          <w:ilvl w:val="1"/>
          <w:numId w:val="98"/>
        </w:numPr>
        <w:tabs>
          <w:tab w:pos="808" w:val="left" w:leader="none"/>
        </w:tabs>
        <w:spacing w:line="240" w:lineRule="auto" w:before="117" w:after="0"/>
        <w:ind w:left="808" w:right="0" w:hanging="480"/>
        <w:jc w:val="left"/>
        <w:rPr>
          <w:sz w:val="22"/>
        </w:rPr>
      </w:pPr>
      <w:r>
        <w:rPr>
          <w:spacing w:val="-2"/>
          <w:sz w:val="22"/>
        </w:rPr>
        <w:t>Mr.</w:t>
      </w:r>
      <w:r>
        <w:rPr>
          <w:spacing w:val="-12"/>
          <w:sz w:val="22"/>
        </w:rPr>
        <w:t> </w:t>
      </w:r>
      <w:r>
        <w:rPr>
          <w:spacing w:val="-2"/>
          <w:sz w:val="22"/>
        </w:rPr>
        <w:t>Pravin</w:t>
      </w:r>
      <w:r>
        <w:rPr>
          <w:spacing w:val="-11"/>
          <w:sz w:val="22"/>
        </w:rPr>
        <w:t> </w:t>
      </w:r>
      <w:r>
        <w:rPr>
          <w:spacing w:val="-2"/>
          <w:sz w:val="22"/>
        </w:rPr>
        <w:t>Gandhi,</w:t>
      </w:r>
      <w:r>
        <w:rPr>
          <w:spacing w:val="-12"/>
          <w:sz w:val="22"/>
        </w:rPr>
        <w:t> </w:t>
      </w:r>
      <w:r>
        <w:rPr>
          <w:spacing w:val="-2"/>
          <w:sz w:val="22"/>
        </w:rPr>
        <w:t>The</w:t>
      </w:r>
      <w:r>
        <w:rPr>
          <w:spacing w:val="-8"/>
          <w:sz w:val="22"/>
        </w:rPr>
        <w:t> </w:t>
      </w:r>
      <w:r>
        <w:rPr>
          <w:spacing w:val="-2"/>
          <w:sz w:val="22"/>
        </w:rPr>
        <w:t>Seed</w:t>
      </w:r>
      <w:r>
        <w:rPr>
          <w:spacing w:val="-9"/>
          <w:sz w:val="22"/>
        </w:rPr>
        <w:t> </w:t>
      </w:r>
      <w:r>
        <w:rPr>
          <w:spacing w:val="-4"/>
          <w:sz w:val="22"/>
        </w:rPr>
        <w:t>Fund</w:t>
      </w:r>
    </w:p>
    <w:p>
      <w:pPr>
        <w:pStyle w:val="ListParagraph"/>
        <w:numPr>
          <w:ilvl w:val="1"/>
          <w:numId w:val="98"/>
        </w:numPr>
        <w:tabs>
          <w:tab w:pos="808" w:val="left" w:leader="none"/>
        </w:tabs>
        <w:spacing w:line="266" w:lineRule="auto" w:before="117" w:after="0"/>
        <w:ind w:left="808" w:right="1305" w:hanging="480"/>
        <w:jc w:val="left"/>
        <w:rPr>
          <w:sz w:val="22"/>
        </w:rPr>
      </w:pPr>
      <w:r>
        <w:rPr>
          <w:spacing w:val="-6"/>
          <w:sz w:val="22"/>
        </w:rPr>
        <w:t>Mr. Vishnu Varshney,</w:t>
      </w:r>
      <w:r>
        <w:rPr>
          <w:sz w:val="22"/>
        </w:rPr>
        <w:t> </w:t>
      </w:r>
      <w:r>
        <w:rPr>
          <w:spacing w:val="-6"/>
          <w:sz w:val="22"/>
        </w:rPr>
        <w:t>Gujarat Venture</w:t>
      </w:r>
      <w:r>
        <w:rPr>
          <w:sz w:val="22"/>
        </w:rPr>
        <w:t> </w:t>
      </w:r>
      <w:r>
        <w:rPr>
          <w:spacing w:val="-6"/>
          <w:sz w:val="22"/>
        </w:rPr>
        <w:t>Finance </w:t>
      </w:r>
      <w:r>
        <w:rPr>
          <w:sz w:val="22"/>
        </w:rPr>
        <w:t>Ltd. (GVFL)</w:t>
      </w:r>
    </w:p>
    <w:p>
      <w:pPr>
        <w:pStyle w:val="ListParagraph"/>
        <w:numPr>
          <w:ilvl w:val="1"/>
          <w:numId w:val="98"/>
        </w:numPr>
        <w:tabs>
          <w:tab w:pos="808" w:val="left" w:leader="none"/>
        </w:tabs>
        <w:spacing w:line="240" w:lineRule="auto" w:before="88" w:after="0"/>
        <w:ind w:left="808" w:right="0" w:hanging="480"/>
        <w:jc w:val="left"/>
        <w:rPr>
          <w:sz w:val="22"/>
        </w:rPr>
      </w:pPr>
      <w:r>
        <w:rPr>
          <w:spacing w:val="-2"/>
          <w:sz w:val="22"/>
        </w:rPr>
        <w:t>Mr.</w:t>
      </w:r>
      <w:r>
        <w:rPr>
          <w:spacing w:val="-9"/>
          <w:sz w:val="22"/>
        </w:rPr>
        <w:t> </w:t>
      </w:r>
      <w:r>
        <w:rPr>
          <w:spacing w:val="-2"/>
          <w:sz w:val="22"/>
        </w:rPr>
        <w:t>R.</w:t>
      </w:r>
      <w:r>
        <w:rPr>
          <w:spacing w:val="-9"/>
          <w:sz w:val="22"/>
        </w:rPr>
        <w:t> </w:t>
      </w:r>
      <w:r>
        <w:rPr>
          <w:spacing w:val="-2"/>
          <w:sz w:val="22"/>
        </w:rPr>
        <w:t>Kuppanna,</w:t>
      </w:r>
      <w:r>
        <w:rPr>
          <w:spacing w:val="-9"/>
          <w:sz w:val="22"/>
        </w:rPr>
        <w:t> </w:t>
      </w:r>
      <w:r>
        <w:rPr>
          <w:spacing w:val="-2"/>
          <w:sz w:val="22"/>
        </w:rPr>
        <w:t>SBI</w:t>
      </w:r>
      <w:r>
        <w:rPr>
          <w:spacing w:val="-9"/>
          <w:sz w:val="22"/>
        </w:rPr>
        <w:t> </w:t>
      </w:r>
      <w:r>
        <w:rPr>
          <w:spacing w:val="-2"/>
          <w:sz w:val="22"/>
        </w:rPr>
        <w:t>Chennai</w:t>
      </w:r>
    </w:p>
    <w:p>
      <w:pPr>
        <w:pStyle w:val="ListParagraph"/>
        <w:numPr>
          <w:ilvl w:val="1"/>
          <w:numId w:val="98"/>
        </w:numPr>
        <w:tabs>
          <w:tab w:pos="808" w:val="left" w:leader="none"/>
        </w:tabs>
        <w:spacing w:line="240" w:lineRule="auto" w:before="117" w:after="0"/>
        <w:ind w:left="808" w:right="0" w:hanging="480"/>
        <w:jc w:val="left"/>
        <w:rPr>
          <w:sz w:val="22"/>
        </w:rPr>
      </w:pPr>
      <w:r>
        <w:rPr>
          <w:sz w:val="22"/>
        </w:rPr>
        <w:t>Mr.</w:t>
      </w:r>
      <w:r>
        <w:rPr>
          <w:spacing w:val="-10"/>
          <w:sz w:val="22"/>
        </w:rPr>
        <w:t> </w:t>
      </w:r>
      <w:r>
        <w:rPr>
          <w:sz w:val="22"/>
        </w:rPr>
        <w:t>Puneet</w:t>
      </w:r>
      <w:r>
        <w:rPr>
          <w:spacing w:val="-10"/>
          <w:sz w:val="22"/>
        </w:rPr>
        <w:t> </w:t>
      </w:r>
      <w:r>
        <w:rPr>
          <w:sz w:val="22"/>
        </w:rPr>
        <w:t>Gupta,</w:t>
      </w:r>
      <w:r>
        <w:rPr>
          <w:spacing w:val="-9"/>
          <w:sz w:val="22"/>
        </w:rPr>
        <w:t> </w:t>
      </w:r>
      <w:r>
        <w:rPr>
          <w:spacing w:val="-5"/>
          <w:sz w:val="22"/>
        </w:rPr>
        <w:t>NEF</w:t>
      </w:r>
    </w:p>
    <w:p>
      <w:pPr>
        <w:pStyle w:val="ListParagraph"/>
        <w:numPr>
          <w:ilvl w:val="1"/>
          <w:numId w:val="98"/>
        </w:numPr>
        <w:tabs>
          <w:tab w:pos="808" w:val="left" w:leader="none"/>
        </w:tabs>
        <w:spacing w:line="240" w:lineRule="auto" w:before="117" w:after="0"/>
        <w:ind w:left="808" w:right="0" w:hanging="480"/>
        <w:jc w:val="left"/>
        <w:rPr>
          <w:sz w:val="22"/>
        </w:rPr>
      </w:pPr>
      <w:r>
        <w:rPr>
          <w:spacing w:val="-4"/>
          <w:sz w:val="22"/>
        </w:rPr>
        <w:t>Ms.</w:t>
      </w:r>
      <w:r>
        <w:rPr>
          <w:spacing w:val="-10"/>
          <w:sz w:val="22"/>
        </w:rPr>
        <w:t> </w:t>
      </w:r>
      <w:r>
        <w:rPr>
          <w:spacing w:val="-4"/>
          <w:sz w:val="22"/>
        </w:rPr>
        <w:t>Laxmi</w:t>
      </w:r>
      <w:r>
        <w:rPr>
          <w:spacing w:val="-10"/>
          <w:sz w:val="22"/>
        </w:rPr>
        <w:t> </w:t>
      </w:r>
      <w:r>
        <w:rPr>
          <w:spacing w:val="-4"/>
          <w:sz w:val="22"/>
        </w:rPr>
        <w:t>Venkatraman,</w:t>
      </w:r>
      <w:r>
        <w:rPr>
          <w:spacing w:val="-10"/>
          <w:sz w:val="22"/>
        </w:rPr>
        <w:t> </w:t>
      </w:r>
      <w:r>
        <w:rPr>
          <w:spacing w:val="-4"/>
          <w:sz w:val="22"/>
        </w:rPr>
        <w:t>BYST</w:t>
      </w:r>
    </w:p>
    <w:p>
      <w:pPr>
        <w:pStyle w:val="ListParagraph"/>
        <w:numPr>
          <w:ilvl w:val="1"/>
          <w:numId w:val="98"/>
        </w:numPr>
        <w:tabs>
          <w:tab w:pos="808" w:val="left" w:leader="none"/>
        </w:tabs>
        <w:spacing w:line="240" w:lineRule="auto" w:before="117" w:after="0"/>
        <w:ind w:left="808" w:right="0" w:hanging="480"/>
        <w:jc w:val="left"/>
        <w:rPr>
          <w:sz w:val="22"/>
        </w:rPr>
      </w:pPr>
      <w:r>
        <w:rPr>
          <w:spacing w:val="-4"/>
          <w:sz w:val="22"/>
        </w:rPr>
        <w:t>Ms.</w:t>
      </w:r>
      <w:r>
        <w:rPr>
          <w:spacing w:val="-3"/>
          <w:sz w:val="22"/>
        </w:rPr>
        <w:t> </w:t>
      </w:r>
      <w:r>
        <w:rPr>
          <w:spacing w:val="-4"/>
          <w:sz w:val="22"/>
        </w:rPr>
        <w:t>Laura</w:t>
      </w:r>
      <w:r>
        <w:rPr>
          <w:spacing w:val="-3"/>
          <w:sz w:val="22"/>
        </w:rPr>
        <w:t> </w:t>
      </w:r>
      <w:r>
        <w:rPr>
          <w:spacing w:val="-4"/>
          <w:sz w:val="22"/>
        </w:rPr>
        <w:t>Parkin,</w:t>
      </w:r>
      <w:r>
        <w:rPr>
          <w:spacing w:val="-3"/>
          <w:sz w:val="22"/>
        </w:rPr>
        <w:t> </w:t>
      </w:r>
      <w:r>
        <w:rPr>
          <w:spacing w:val="-5"/>
          <w:sz w:val="22"/>
        </w:rPr>
        <w:t>NEN</w:t>
      </w:r>
    </w:p>
    <w:p>
      <w:pPr>
        <w:pStyle w:val="ListParagraph"/>
        <w:numPr>
          <w:ilvl w:val="1"/>
          <w:numId w:val="98"/>
        </w:numPr>
        <w:tabs>
          <w:tab w:pos="808" w:val="left" w:leader="none"/>
        </w:tabs>
        <w:spacing w:line="240" w:lineRule="auto" w:before="118" w:after="0"/>
        <w:ind w:left="808" w:right="0" w:hanging="480"/>
        <w:jc w:val="left"/>
        <w:rPr>
          <w:sz w:val="22"/>
        </w:rPr>
      </w:pPr>
      <w:r>
        <w:rPr>
          <w:spacing w:val="-4"/>
          <w:sz w:val="22"/>
        </w:rPr>
        <w:t>Mr.</w:t>
      </w:r>
      <w:r>
        <w:rPr>
          <w:sz w:val="22"/>
        </w:rPr>
        <w:t> </w:t>
      </w:r>
      <w:r>
        <w:rPr>
          <w:spacing w:val="-4"/>
          <w:sz w:val="22"/>
        </w:rPr>
        <w:t>Manak</w:t>
      </w:r>
      <w:r>
        <w:rPr>
          <w:sz w:val="22"/>
        </w:rPr>
        <w:t> </w:t>
      </w:r>
      <w:r>
        <w:rPr>
          <w:spacing w:val="-4"/>
          <w:sz w:val="22"/>
        </w:rPr>
        <w:t>Singh,</w:t>
      </w:r>
      <w:r>
        <w:rPr>
          <w:spacing w:val="-9"/>
          <w:sz w:val="22"/>
        </w:rPr>
        <w:t> </w:t>
      </w:r>
      <w:r>
        <w:rPr>
          <w:spacing w:val="-5"/>
          <w:sz w:val="22"/>
        </w:rPr>
        <w:t>TIE</w:t>
      </w:r>
    </w:p>
    <w:p>
      <w:pPr>
        <w:pStyle w:val="ListParagraph"/>
        <w:numPr>
          <w:ilvl w:val="1"/>
          <w:numId w:val="98"/>
        </w:numPr>
        <w:tabs>
          <w:tab w:pos="808" w:val="left" w:leader="none"/>
        </w:tabs>
        <w:spacing w:line="240" w:lineRule="auto" w:before="117" w:after="0"/>
        <w:ind w:left="808" w:right="0" w:hanging="480"/>
        <w:jc w:val="left"/>
        <w:rPr>
          <w:sz w:val="22"/>
        </w:rPr>
      </w:pPr>
      <w:r>
        <w:rPr>
          <w:spacing w:val="-4"/>
          <w:sz w:val="22"/>
        </w:rPr>
        <w:t>Mr.</w:t>
      </w:r>
      <w:r>
        <w:rPr>
          <w:spacing w:val="-6"/>
          <w:sz w:val="22"/>
        </w:rPr>
        <w:t> </w:t>
      </w:r>
      <w:r>
        <w:rPr>
          <w:spacing w:val="-4"/>
          <w:sz w:val="22"/>
        </w:rPr>
        <w:t>Paul</w:t>
      </w:r>
      <w:r>
        <w:rPr>
          <w:spacing w:val="-6"/>
          <w:sz w:val="22"/>
        </w:rPr>
        <w:t> </w:t>
      </w:r>
      <w:r>
        <w:rPr>
          <w:spacing w:val="-4"/>
          <w:sz w:val="22"/>
        </w:rPr>
        <w:t>Murphy,</w:t>
      </w:r>
      <w:r>
        <w:rPr>
          <w:spacing w:val="-5"/>
          <w:sz w:val="22"/>
        </w:rPr>
        <w:t> </w:t>
      </w:r>
      <w:r>
        <w:rPr>
          <w:spacing w:val="-4"/>
          <w:sz w:val="22"/>
        </w:rPr>
        <w:t>Microsoft</w:t>
      </w:r>
      <w:r>
        <w:rPr>
          <w:spacing w:val="-6"/>
          <w:sz w:val="22"/>
        </w:rPr>
        <w:t> </w:t>
      </w:r>
      <w:r>
        <w:rPr>
          <w:spacing w:val="-4"/>
          <w:sz w:val="22"/>
        </w:rPr>
        <w:t>India</w:t>
      </w:r>
    </w:p>
    <w:p>
      <w:pPr>
        <w:pStyle w:val="ListParagraph"/>
        <w:numPr>
          <w:ilvl w:val="1"/>
          <w:numId w:val="98"/>
        </w:numPr>
        <w:tabs>
          <w:tab w:pos="808" w:val="left" w:leader="none"/>
        </w:tabs>
        <w:spacing w:line="240" w:lineRule="auto" w:before="117" w:after="0"/>
        <w:ind w:left="808" w:right="0" w:hanging="480"/>
        <w:jc w:val="left"/>
        <w:rPr>
          <w:sz w:val="22"/>
        </w:rPr>
      </w:pPr>
      <w:r>
        <w:rPr>
          <w:spacing w:val="-4"/>
          <w:sz w:val="22"/>
        </w:rPr>
        <w:t>Dr.</w:t>
      </w:r>
      <w:r>
        <w:rPr>
          <w:spacing w:val="-2"/>
          <w:sz w:val="22"/>
        </w:rPr>
        <w:t> </w:t>
      </w:r>
      <w:r>
        <w:rPr>
          <w:spacing w:val="-4"/>
          <w:sz w:val="22"/>
        </w:rPr>
        <w:t>Subhashish</w:t>
      </w:r>
      <w:r>
        <w:rPr>
          <w:spacing w:val="-1"/>
          <w:sz w:val="22"/>
        </w:rPr>
        <w:t> </w:t>
      </w:r>
      <w:r>
        <w:rPr>
          <w:spacing w:val="-4"/>
          <w:sz w:val="22"/>
        </w:rPr>
        <w:t>Gangopadhya,</w:t>
      </w:r>
      <w:r>
        <w:rPr>
          <w:spacing w:val="-2"/>
          <w:sz w:val="22"/>
        </w:rPr>
        <w:t> </w:t>
      </w:r>
      <w:r>
        <w:rPr>
          <w:spacing w:val="-5"/>
          <w:sz w:val="22"/>
        </w:rPr>
        <w:t>IDF</w:t>
      </w:r>
    </w:p>
    <w:p>
      <w:pPr>
        <w:pStyle w:val="ListParagraph"/>
        <w:numPr>
          <w:ilvl w:val="1"/>
          <w:numId w:val="98"/>
        </w:numPr>
        <w:tabs>
          <w:tab w:pos="808" w:val="left" w:leader="none"/>
        </w:tabs>
        <w:spacing w:line="240" w:lineRule="auto" w:before="117" w:after="0"/>
        <w:ind w:left="808" w:right="0" w:hanging="480"/>
        <w:jc w:val="left"/>
        <w:rPr>
          <w:sz w:val="22"/>
        </w:rPr>
      </w:pPr>
      <w:r>
        <w:rPr>
          <w:spacing w:val="-4"/>
          <w:sz w:val="22"/>
        </w:rPr>
        <w:t>Mr. Mohit Malik,</w:t>
      </w:r>
      <w:r>
        <w:rPr>
          <w:spacing w:val="-3"/>
          <w:sz w:val="22"/>
        </w:rPr>
        <w:t> </w:t>
      </w:r>
      <w:r>
        <w:rPr>
          <w:spacing w:val="-4"/>
          <w:sz w:val="22"/>
        </w:rPr>
        <w:t>Anoova Consulting</w:t>
      </w:r>
    </w:p>
    <w:p>
      <w:pPr>
        <w:pStyle w:val="ListParagraph"/>
        <w:numPr>
          <w:ilvl w:val="1"/>
          <w:numId w:val="98"/>
        </w:numPr>
        <w:tabs>
          <w:tab w:pos="808" w:val="left" w:leader="none"/>
        </w:tabs>
        <w:spacing w:line="240" w:lineRule="auto" w:before="117" w:after="0"/>
        <w:ind w:left="808" w:right="0" w:hanging="480"/>
        <w:jc w:val="left"/>
        <w:rPr>
          <w:sz w:val="22"/>
        </w:rPr>
      </w:pPr>
      <w:r>
        <w:rPr>
          <w:spacing w:val="-4"/>
          <w:sz w:val="22"/>
        </w:rPr>
        <w:t>Mr.</w:t>
      </w:r>
      <w:r>
        <w:rPr>
          <w:spacing w:val="-8"/>
          <w:sz w:val="22"/>
        </w:rPr>
        <w:t> </w:t>
      </w:r>
      <w:r>
        <w:rPr>
          <w:spacing w:val="-4"/>
          <w:sz w:val="22"/>
        </w:rPr>
        <w:t>Krishnan</w:t>
      </w:r>
      <w:r>
        <w:rPr>
          <w:spacing w:val="-7"/>
          <w:sz w:val="22"/>
        </w:rPr>
        <w:t> </w:t>
      </w:r>
      <w:r>
        <w:rPr>
          <w:spacing w:val="-4"/>
          <w:sz w:val="22"/>
        </w:rPr>
        <w:t>Iyer,</w:t>
      </w:r>
      <w:r>
        <w:rPr>
          <w:spacing w:val="-7"/>
          <w:sz w:val="22"/>
        </w:rPr>
        <w:t> </w:t>
      </w:r>
      <w:r>
        <w:rPr>
          <w:spacing w:val="-4"/>
          <w:sz w:val="22"/>
        </w:rPr>
        <w:t>Sequoia</w:t>
      </w:r>
      <w:r>
        <w:rPr>
          <w:spacing w:val="-7"/>
          <w:sz w:val="22"/>
        </w:rPr>
        <w:t> </w:t>
      </w:r>
      <w:r>
        <w:rPr>
          <w:spacing w:val="-4"/>
          <w:sz w:val="22"/>
        </w:rPr>
        <w:t>Capital</w:t>
      </w:r>
      <w:r>
        <w:rPr>
          <w:spacing w:val="-7"/>
          <w:sz w:val="22"/>
        </w:rPr>
        <w:t> </w:t>
      </w:r>
      <w:r>
        <w:rPr>
          <w:spacing w:val="-4"/>
          <w:sz w:val="22"/>
        </w:rPr>
        <w:t>India</w:t>
      </w:r>
    </w:p>
    <w:p>
      <w:pPr>
        <w:pStyle w:val="ListParagraph"/>
        <w:numPr>
          <w:ilvl w:val="1"/>
          <w:numId w:val="98"/>
        </w:numPr>
        <w:tabs>
          <w:tab w:pos="808" w:val="left" w:leader="none"/>
        </w:tabs>
        <w:spacing w:line="240" w:lineRule="auto" w:before="117" w:after="0"/>
        <w:ind w:left="808" w:right="0" w:hanging="480"/>
        <w:jc w:val="left"/>
        <w:rPr>
          <w:sz w:val="22"/>
        </w:rPr>
      </w:pPr>
      <w:r>
        <w:rPr>
          <w:spacing w:val="-2"/>
          <w:sz w:val="22"/>
        </w:rPr>
        <w:t>Mr. Harish</w:t>
      </w:r>
      <w:r>
        <w:rPr>
          <w:spacing w:val="-1"/>
          <w:sz w:val="22"/>
        </w:rPr>
        <w:t> </w:t>
      </w:r>
      <w:r>
        <w:rPr>
          <w:spacing w:val="-2"/>
          <w:sz w:val="22"/>
        </w:rPr>
        <w:t>Damodran,</w:t>
      </w:r>
      <w:r>
        <w:rPr>
          <w:spacing w:val="-11"/>
          <w:sz w:val="22"/>
        </w:rPr>
        <w:t> </w:t>
      </w:r>
      <w:r>
        <w:rPr>
          <w:spacing w:val="-2"/>
          <w:sz w:val="22"/>
        </w:rPr>
        <w:t>The</w:t>
      </w:r>
      <w:r>
        <w:rPr>
          <w:spacing w:val="-1"/>
          <w:sz w:val="22"/>
        </w:rPr>
        <w:t> </w:t>
      </w:r>
      <w:r>
        <w:rPr>
          <w:spacing w:val="-2"/>
          <w:sz w:val="22"/>
        </w:rPr>
        <w:t>Hindu</w:t>
      </w:r>
      <w:r>
        <w:rPr>
          <w:spacing w:val="-1"/>
          <w:sz w:val="22"/>
        </w:rPr>
        <w:t> </w:t>
      </w:r>
      <w:r>
        <w:rPr>
          <w:spacing w:val="-2"/>
          <w:sz w:val="22"/>
        </w:rPr>
        <w:t>Business</w:t>
      </w:r>
      <w:r>
        <w:rPr>
          <w:spacing w:val="-1"/>
          <w:sz w:val="22"/>
        </w:rPr>
        <w:t> </w:t>
      </w:r>
      <w:r>
        <w:rPr>
          <w:spacing w:val="-4"/>
          <w:sz w:val="22"/>
        </w:rPr>
        <w:t>Line</w:t>
      </w:r>
    </w:p>
    <w:p>
      <w:pPr>
        <w:pStyle w:val="ListParagraph"/>
        <w:numPr>
          <w:ilvl w:val="1"/>
          <w:numId w:val="98"/>
        </w:numPr>
        <w:tabs>
          <w:tab w:pos="808" w:val="left" w:leader="none"/>
        </w:tabs>
        <w:spacing w:line="240" w:lineRule="auto" w:before="117" w:after="0"/>
        <w:ind w:left="808" w:right="0" w:hanging="480"/>
        <w:jc w:val="left"/>
        <w:rPr>
          <w:sz w:val="22"/>
        </w:rPr>
      </w:pPr>
      <w:r>
        <w:rPr>
          <w:spacing w:val="-8"/>
          <w:sz w:val="22"/>
        </w:rPr>
        <w:t>Mr.</w:t>
      </w:r>
      <w:r>
        <w:rPr>
          <w:spacing w:val="2"/>
          <w:sz w:val="22"/>
        </w:rPr>
        <w:t> </w:t>
      </w:r>
      <w:r>
        <w:rPr>
          <w:spacing w:val="-8"/>
          <w:sz w:val="22"/>
        </w:rPr>
        <w:t>Manish</w:t>
      </w:r>
      <w:r>
        <w:rPr>
          <w:spacing w:val="2"/>
          <w:sz w:val="22"/>
        </w:rPr>
        <w:t> </w:t>
      </w:r>
      <w:r>
        <w:rPr>
          <w:spacing w:val="-8"/>
          <w:sz w:val="22"/>
        </w:rPr>
        <w:t>Sabharwal,</w:t>
      </w:r>
      <w:r>
        <w:rPr>
          <w:spacing w:val="-7"/>
          <w:sz w:val="22"/>
        </w:rPr>
        <w:t> </w:t>
      </w:r>
      <w:r>
        <w:rPr>
          <w:spacing w:val="-8"/>
          <w:sz w:val="22"/>
        </w:rPr>
        <w:t>TeamLease</w:t>
      </w:r>
      <w:r>
        <w:rPr>
          <w:spacing w:val="2"/>
          <w:sz w:val="22"/>
        </w:rPr>
        <w:t> </w:t>
      </w:r>
      <w:r>
        <w:rPr>
          <w:spacing w:val="-8"/>
          <w:sz w:val="22"/>
        </w:rPr>
        <w:t>Services</w:t>
      </w:r>
      <w:r>
        <w:rPr>
          <w:spacing w:val="2"/>
          <w:sz w:val="22"/>
        </w:rPr>
        <w:t> </w:t>
      </w:r>
      <w:r>
        <w:rPr>
          <w:spacing w:val="-8"/>
          <w:sz w:val="22"/>
        </w:rPr>
        <w:t>Ltd.</w:t>
      </w:r>
    </w:p>
    <w:p>
      <w:pPr>
        <w:pStyle w:val="ListParagraph"/>
        <w:numPr>
          <w:ilvl w:val="1"/>
          <w:numId w:val="98"/>
        </w:numPr>
        <w:tabs>
          <w:tab w:pos="808" w:val="left" w:leader="none"/>
        </w:tabs>
        <w:spacing w:line="266" w:lineRule="auto" w:before="117" w:after="0"/>
        <w:ind w:left="808" w:right="2207" w:hanging="480"/>
        <w:jc w:val="left"/>
        <w:rPr>
          <w:sz w:val="22"/>
        </w:rPr>
      </w:pPr>
      <w:r>
        <w:rPr>
          <w:spacing w:val="-6"/>
          <w:sz w:val="22"/>
        </w:rPr>
        <w:t>Prof.</w:t>
      </w:r>
      <w:r>
        <w:rPr>
          <w:spacing w:val="-9"/>
          <w:sz w:val="22"/>
        </w:rPr>
        <w:t> </w:t>
      </w:r>
      <w:r>
        <w:rPr>
          <w:spacing w:val="-6"/>
          <w:sz w:val="22"/>
        </w:rPr>
        <w:t>Suresh</w:t>
      </w:r>
      <w:r>
        <w:rPr>
          <w:spacing w:val="-7"/>
          <w:sz w:val="22"/>
        </w:rPr>
        <w:t> </w:t>
      </w:r>
      <w:r>
        <w:rPr>
          <w:spacing w:val="-6"/>
          <w:sz w:val="22"/>
        </w:rPr>
        <w:t>Bhagavatula,</w:t>
      </w:r>
      <w:r>
        <w:rPr>
          <w:spacing w:val="-7"/>
          <w:sz w:val="22"/>
        </w:rPr>
        <w:t> </w:t>
      </w:r>
      <w:r>
        <w:rPr>
          <w:spacing w:val="-6"/>
          <w:sz w:val="22"/>
        </w:rPr>
        <w:t>NSRCEL, </w:t>
      </w:r>
      <w:r>
        <w:rPr>
          <w:sz w:val="22"/>
        </w:rPr>
        <w:t>IIM Bangalore</w:t>
      </w:r>
    </w:p>
    <w:p>
      <w:pPr>
        <w:pStyle w:val="ListParagraph"/>
        <w:numPr>
          <w:ilvl w:val="1"/>
          <w:numId w:val="98"/>
        </w:numPr>
        <w:tabs>
          <w:tab w:pos="808" w:val="left" w:leader="none"/>
        </w:tabs>
        <w:spacing w:line="240" w:lineRule="auto" w:before="88" w:after="0"/>
        <w:ind w:left="808" w:right="0" w:hanging="480"/>
        <w:jc w:val="left"/>
        <w:rPr>
          <w:sz w:val="22"/>
        </w:rPr>
      </w:pPr>
      <w:r>
        <w:rPr>
          <w:spacing w:val="-6"/>
          <w:sz w:val="22"/>
        </w:rPr>
        <w:t>Mr.</w:t>
      </w:r>
      <w:r>
        <w:rPr>
          <w:sz w:val="22"/>
        </w:rPr>
        <w:t> </w:t>
      </w:r>
      <w:r>
        <w:rPr>
          <w:spacing w:val="-6"/>
          <w:sz w:val="22"/>
        </w:rPr>
        <w:t>R.M.P.</w:t>
      </w:r>
      <w:r>
        <w:rPr>
          <w:spacing w:val="1"/>
          <w:sz w:val="22"/>
        </w:rPr>
        <w:t> </w:t>
      </w:r>
      <w:r>
        <w:rPr>
          <w:spacing w:val="-6"/>
          <w:sz w:val="22"/>
        </w:rPr>
        <w:t>Jawahar,</w:t>
      </w:r>
      <w:r>
        <w:rPr>
          <w:spacing w:val="-9"/>
          <w:sz w:val="22"/>
        </w:rPr>
        <w:t> </w:t>
      </w:r>
      <w:r>
        <w:rPr>
          <w:spacing w:val="-6"/>
          <w:sz w:val="22"/>
        </w:rPr>
        <w:t>TREC-STEP</w:t>
      </w:r>
    </w:p>
    <w:p>
      <w:pPr>
        <w:pStyle w:val="ListParagraph"/>
        <w:numPr>
          <w:ilvl w:val="1"/>
          <w:numId w:val="98"/>
        </w:numPr>
        <w:tabs>
          <w:tab w:pos="808" w:val="left" w:leader="none"/>
        </w:tabs>
        <w:spacing w:line="240" w:lineRule="auto" w:before="117" w:after="0"/>
        <w:ind w:left="808" w:right="0" w:hanging="480"/>
        <w:jc w:val="left"/>
        <w:rPr>
          <w:sz w:val="22"/>
        </w:rPr>
      </w:pPr>
      <w:r>
        <w:rPr>
          <w:sz w:val="22"/>
        </w:rPr>
        <w:t>Ms.</w:t>
      </w:r>
      <w:r>
        <w:rPr>
          <w:spacing w:val="-12"/>
          <w:sz w:val="22"/>
        </w:rPr>
        <w:t> </w:t>
      </w:r>
      <w:r>
        <w:rPr>
          <w:sz w:val="22"/>
        </w:rPr>
        <w:t>Poyni</w:t>
      </w:r>
      <w:r>
        <w:rPr>
          <w:spacing w:val="-12"/>
          <w:sz w:val="22"/>
        </w:rPr>
        <w:t> </w:t>
      </w:r>
      <w:r>
        <w:rPr>
          <w:sz w:val="22"/>
        </w:rPr>
        <w:t>Bhatt,</w:t>
      </w:r>
      <w:r>
        <w:rPr>
          <w:spacing w:val="-12"/>
          <w:sz w:val="22"/>
        </w:rPr>
        <w:t> </w:t>
      </w:r>
      <w:r>
        <w:rPr>
          <w:sz w:val="22"/>
        </w:rPr>
        <w:t>SINE,</w:t>
      </w:r>
      <w:r>
        <w:rPr>
          <w:spacing w:val="-11"/>
          <w:sz w:val="22"/>
        </w:rPr>
        <w:t> </w:t>
      </w:r>
      <w:r>
        <w:rPr>
          <w:sz w:val="22"/>
        </w:rPr>
        <w:t>IIT</w:t>
      </w:r>
      <w:r>
        <w:rPr>
          <w:spacing w:val="-12"/>
          <w:sz w:val="22"/>
        </w:rPr>
        <w:t> </w:t>
      </w:r>
      <w:r>
        <w:rPr>
          <w:spacing w:val="-2"/>
          <w:sz w:val="22"/>
        </w:rPr>
        <w:t>Bombay</w:t>
      </w:r>
    </w:p>
    <w:p>
      <w:pPr>
        <w:pStyle w:val="ListParagraph"/>
        <w:numPr>
          <w:ilvl w:val="1"/>
          <w:numId w:val="98"/>
        </w:numPr>
        <w:tabs>
          <w:tab w:pos="808" w:val="left" w:leader="none"/>
        </w:tabs>
        <w:spacing w:line="240" w:lineRule="auto" w:before="117" w:after="0"/>
        <w:ind w:left="808" w:right="0" w:hanging="480"/>
        <w:jc w:val="left"/>
        <w:rPr>
          <w:sz w:val="22"/>
        </w:rPr>
      </w:pPr>
      <w:r>
        <w:rPr>
          <w:sz w:val="22"/>
        </w:rPr>
        <w:t>Dr.</w:t>
      </w:r>
      <w:r>
        <w:rPr>
          <w:spacing w:val="-8"/>
          <w:sz w:val="22"/>
        </w:rPr>
        <w:t> </w:t>
      </w:r>
      <w:r>
        <w:rPr>
          <w:sz w:val="22"/>
        </w:rPr>
        <w:t>Madhu</w:t>
      </w:r>
      <w:r>
        <w:rPr>
          <w:spacing w:val="-8"/>
          <w:sz w:val="22"/>
        </w:rPr>
        <w:t> </w:t>
      </w:r>
      <w:r>
        <w:rPr>
          <w:sz w:val="22"/>
        </w:rPr>
        <w:t>Mehta,</w:t>
      </w:r>
      <w:r>
        <w:rPr>
          <w:spacing w:val="-7"/>
          <w:sz w:val="22"/>
        </w:rPr>
        <w:t> </w:t>
      </w:r>
      <w:r>
        <w:rPr>
          <w:sz w:val="22"/>
        </w:rPr>
        <w:t>NIRMA</w:t>
      </w:r>
      <w:r>
        <w:rPr>
          <w:spacing w:val="-8"/>
          <w:sz w:val="22"/>
        </w:rPr>
        <w:t> </w:t>
      </w:r>
      <w:r>
        <w:rPr>
          <w:spacing w:val="-4"/>
          <w:sz w:val="22"/>
        </w:rPr>
        <w:t>Labs</w:t>
      </w:r>
    </w:p>
    <w:p>
      <w:pPr>
        <w:pStyle w:val="ListParagraph"/>
        <w:numPr>
          <w:ilvl w:val="1"/>
          <w:numId w:val="98"/>
        </w:numPr>
        <w:tabs>
          <w:tab w:pos="808" w:val="left" w:leader="none"/>
        </w:tabs>
        <w:spacing w:line="240" w:lineRule="auto" w:before="117" w:after="0"/>
        <w:ind w:left="808" w:right="0" w:hanging="480"/>
        <w:jc w:val="left"/>
        <w:rPr>
          <w:sz w:val="22"/>
        </w:rPr>
      </w:pPr>
      <w:r>
        <w:rPr>
          <w:spacing w:val="-2"/>
          <w:sz w:val="22"/>
        </w:rPr>
        <w:t>Dr.</w:t>
      </w:r>
      <w:r>
        <w:rPr>
          <w:spacing w:val="-6"/>
          <w:sz w:val="22"/>
        </w:rPr>
        <w:t> </w:t>
      </w:r>
      <w:r>
        <w:rPr>
          <w:spacing w:val="-2"/>
          <w:sz w:val="22"/>
        </w:rPr>
        <w:t>A.</w:t>
      </w:r>
      <w:r>
        <w:rPr>
          <w:spacing w:val="-10"/>
          <w:sz w:val="22"/>
        </w:rPr>
        <w:t> </w:t>
      </w:r>
      <w:r>
        <w:rPr>
          <w:spacing w:val="-2"/>
          <w:sz w:val="22"/>
        </w:rPr>
        <w:t>Wali,</w:t>
      </w:r>
      <w:r>
        <w:rPr>
          <w:spacing w:val="-6"/>
          <w:sz w:val="22"/>
        </w:rPr>
        <w:t> </w:t>
      </w:r>
      <w:r>
        <w:rPr>
          <w:spacing w:val="-2"/>
          <w:sz w:val="22"/>
        </w:rPr>
        <w:t>FITT,</w:t>
      </w:r>
      <w:r>
        <w:rPr>
          <w:spacing w:val="-6"/>
          <w:sz w:val="22"/>
        </w:rPr>
        <w:t> </w:t>
      </w:r>
      <w:r>
        <w:rPr>
          <w:spacing w:val="-2"/>
          <w:sz w:val="22"/>
        </w:rPr>
        <w:t>IIT</w:t>
      </w:r>
      <w:r>
        <w:rPr>
          <w:spacing w:val="-5"/>
          <w:sz w:val="22"/>
        </w:rPr>
        <w:t> </w:t>
      </w:r>
      <w:r>
        <w:rPr>
          <w:spacing w:val="-2"/>
          <w:sz w:val="22"/>
        </w:rPr>
        <w:t>Delhi</w:t>
      </w:r>
    </w:p>
    <w:p>
      <w:pPr>
        <w:pStyle w:val="ListParagraph"/>
        <w:numPr>
          <w:ilvl w:val="1"/>
          <w:numId w:val="98"/>
        </w:numPr>
        <w:tabs>
          <w:tab w:pos="808" w:val="left" w:leader="none"/>
        </w:tabs>
        <w:spacing w:line="266" w:lineRule="auto" w:before="117" w:after="0"/>
        <w:ind w:left="808" w:right="1797" w:hanging="480"/>
        <w:jc w:val="left"/>
        <w:rPr>
          <w:sz w:val="22"/>
        </w:rPr>
      </w:pPr>
      <w:r>
        <w:rPr>
          <w:sz w:val="22"/>
        </w:rPr>
        <w:t>Mr.</w:t>
      </w:r>
      <w:r>
        <w:rPr>
          <w:spacing w:val="-14"/>
          <w:sz w:val="22"/>
        </w:rPr>
        <w:t> </w:t>
      </w:r>
      <w:r>
        <w:rPr>
          <w:sz w:val="22"/>
        </w:rPr>
        <w:t>Nitin</w:t>
      </w:r>
      <w:r>
        <w:rPr>
          <w:spacing w:val="-14"/>
          <w:sz w:val="22"/>
        </w:rPr>
        <w:t> </w:t>
      </w:r>
      <w:r>
        <w:rPr>
          <w:sz w:val="22"/>
        </w:rPr>
        <w:t>Kundra,</w:t>
      </w:r>
      <w:r>
        <w:rPr>
          <w:spacing w:val="-14"/>
          <w:sz w:val="22"/>
        </w:rPr>
        <w:t> </w:t>
      </w:r>
      <w:r>
        <w:rPr>
          <w:sz w:val="22"/>
        </w:rPr>
        <w:t>Entrepreneurship</w:t>
      </w:r>
      <w:r>
        <w:rPr>
          <w:spacing w:val="-13"/>
          <w:sz w:val="22"/>
        </w:rPr>
        <w:t> </w:t>
      </w:r>
      <w:r>
        <w:rPr>
          <w:sz w:val="22"/>
        </w:rPr>
        <w:t>and Innovation Cell, IIM Bangalore</w:t>
      </w:r>
    </w:p>
    <w:p>
      <w:pPr>
        <w:pStyle w:val="ListParagraph"/>
        <w:numPr>
          <w:ilvl w:val="1"/>
          <w:numId w:val="98"/>
        </w:numPr>
        <w:tabs>
          <w:tab w:pos="808" w:val="left" w:leader="none"/>
        </w:tabs>
        <w:spacing w:line="266" w:lineRule="auto" w:before="89" w:after="0"/>
        <w:ind w:left="808" w:right="2342" w:hanging="480"/>
        <w:jc w:val="left"/>
        <w:rPr>
          <w:sz w:val="22"/>
        </w:rPr>
      </w:pPr>
      <w:r>
        <w:rPr>
          <w:spacing w:val="-4"/>
          <w:sz w:val="22"/>
        </w:rPr>
        <w:t>Prof.</w:t>
      </w:r>
      <w:r>
        <w:rPr>
          <w:spacing w:val="-10"/>
          <w:sz w:val="22"/>
        </w:rPr>
        <w:t> </w:t>
      </w:r>
      <w:r>
        <w:rPr>
          <w:spacing w:val="-4"/>
          <w:sz w:val="22"/>
        </w:rPr>
        <w:t>Ashok</w:t>
      </w:r>
      <w:r>
        <w:rPr>
          <w:spacing w:val="-10"/>
          <w:sz w:val="22"/>
        </w:rPr>
        <w:t> </w:t>
      </w:r>
      <w:r>
        <w:rPr>
          <w:spacing w:val="-4"/>
          <w:sz w:val="22"/>
        </w:rPr>
        <w:t>Jhunjhunwala,</w:t>
      </w:r>
      <w:r>
        <w:rPr>
          <w:spacing w:val="-10"/>
          <w:sz w:val="22"/>
        </w:rPr>
        <w:t> </w:t>
      </w:r>
      <w:r>
        <w:rPr>
          <w:spacing w:val="-4"/>
          <w:sz w:val="22"/>
        </w:rPr>
        <w:t>TeNeT </w:t>
      </w:r>
      <w:r>
        <w:rPr>
          <w:sz w:val="22"/>
        </w:rPr>
        <w:t>IIT Madras</w:t>
      </w:r>
    </w:p>
    <w:p>
      <w:pPr>
        <w:pStyle w:val="ListParagraph"/>
        <w:numPr>
          <w:ilvl w:val="1"/>
          <w:numId w:val="98"/>
        </w:numPr>
        <w:tabs>
          <w:tab w:pos="808" w:val="left" w:leader="none"/>
        </w:tabs>
        <w:spacing w:line="266" w:lineRule="auto" w:before="88" w:after="0"/>
        <w:ind w:left="808" w:right="2142" w:hanging="480"/>
        <w:jc w:val="left"/>
        <w:rPr>
          <w:sz w:val="22"/>
        </w:rPr>
      </w:pPr>
      <w:r>
        <w:rPr>
          <w:sz w:val="22"/>
        </w:rPr>
        <w:t>Centre</w:t>
      </w:r>
      <w:r>
        <w:rPr>
          <w:spacing w:val="-14"/>
          <w:sz w:val="22"/>
        </w:rPr>
        <w:t> </w:t>
      </w:r>
      <w:r>
        <w:rPr>
          <w:sz w:val="22"/>
        </w:rPr>
        <w:t>for</w:t>
      </w:r>
      <w:r>
        <w:rPr>
          <w:spacing w:val="-14"/>
          <w:sz w:val="22"/>
        </w:rPr>
        <w:t> </w:t>
      </w:r>
      <w:r>
        <w:rPr>
          <w:sz w:val="22"/>
        </w:rPr>
        <w:t>Innovation,</w:t>
      </w:r>
      <w:r>
        <w:rPr>
          <w:spacing w:val="-14"/>
          <w:sz w:val="22"/>
        </w:rPr>
        <w:t> </w:t>
      </w:r>
      <w:r>
        <w:rPr>
          <w:sz w:val="22"/>
        </w:rPr>
        <w:t>Incubation</w:t>
      </w:r>
      <w:r>
        <w:rPr>
          <w:spacing w:val="-13"/>
          <w:sz w:val="22"/>
        </w:rPr>
        <w:t> </w:t>
      </w:r>
      <w:r>
        <w:rPr>
          <w:sz w:val="22"/>
        </w:rPr>
        <w:t>&amp; Entrepreneurship (CIIE)</w:t>
      </w:r>
    </w:p>
    <w:p>
      <w:pPr>
        <w:pStyle w:val="BodyText"/>
        <w:spacing w:line="251" w:lineRule="exact"/>
        <w:ind w:left="808"/>
      </w:pPr>
      <w:r>
        <w:rPr/>
        <w:t>IIM</w:t>
      </w:r>
      <w:r>
        <w:rPr>
          <w:spacing w:val="6"/>
        </w:rPr>
        <w:t> </w:t>
      </w:r>
      <w:r>
        <w:rPr>
          <w:spacing w:val="-2"/>
        </w:rPr>
        <w:t>Ahmedabad</w:t>
      </w:r>
    </w:p>
    <w:p>
      <w:pPr>
        <w:pStyle w:val="ListParagraph"/>
        <w:numPr>
          <w:ilvl w:val="1"/>
          <w:numId w:val="98"/>
        </w:numPr>
        <w:tabs>
          <w:tab w:pos="808" w:val="left" w:leader="none"/>
        </w:tabs>
        <w:spacing w:line="266" w:lineRule="auto" w:before="117" w:after="0"/>
        <w:ind w:left="808" w:right="1688" w:hanging="480"/>
        <w:jc w:val="left"/>
        <w:rPr>
          <w:sz w:val="22"/>
        </w:rPr>
      </w:pPr>
      <w:r>
        <w:rPr>
          <w:spacing w:val="-4"/>
          <w:sz w:val="22"/>
        </w:rPr>
        <w:t>Prof.</w:t>
      </w:r>
      <w:r>
        <w:rPr>
          <w:spacing w:val="-8"/>
          <w:sz w:val="22"/>
        </w:rPr>
        <w:t> </w:t>
      </w:r>
      <w:r>
        <w:rPr>
          <w:spacing w:val="-4"/>
          <w:sz w:val="22"/>
        </w:rPr>
        <w:t>Subramonia</w:t>
      </w:r>
      <w:r>
        <w:rPr>
          <w:spacing w:val="-8"/>
          <w:sz w:val="22"/>
        </w:rPr>
        <w:t> </w:t>
      </w:r>
      <w:r>
        <w:rPr>
          <w:spacing w:val="-4"/>
          <w:sz w:val="22"/>
        </w:rPr>
        <w:t>Sarma,</w:t>
      </w:r>
      <w:r>
        <w:rPr>
          <w:spacing w:val="-8"/>
          <w:sz w:val="22"/>
        </w:rPr>
        <w:t> </w:t>
      </w:r>
      <w:r>
        <w:rPr>
          <w:spacing w:val="-4"/>
          <w:sz w:val="22"/>
        </w:rPr>
        <w:t>Indian</w:t>
      </w:r>
      <w:r>
        <w:rPr>
          <w:spacing w:val="-8"/>
          <w:sz w:val="22"/>
        </w:rPr>
        <w:t> </w:t>
      </w:r>
      <w:r>
        <w:rPr>
          <w:spacing w:val="-4"/>
          <w:sz w:val="22"/>
        </w:rPr>
        <w:t>School</w:t>
      </w:r>
      <w:r>
        <w:rPr>
          <w:spacing w:val="-8"/>
          <w:sz w:val="22"/>
        </w:rPr>
        <w:t> </w:t>
      </w:r>
      <w:r>
        <w:rPr>
          <w:spacing w:val="-4"/>
          <w:sz w:val="22"/>
        </w:rPr>
        <w:t>of </w:t>
      </w:r>
      <w:r>
        <w:rPr>
          <w:sz w:val="22"/>
        </w:rPr>
        <w:t>Business (ISB)</w:t>
      </w:r>
    </w:p>
    <w:p>
      <w:pPr>
        <w:spacing w:after="0" w:line="266" w:lineRule="auto"/>
        <w:jc w:val="left"/>
        <w:rPr>
          <w:sz w:val="22"/>
        </w:rPr>
        <w:sectPr>
          <w:pgSz w:w="11910" w:h="16840"/>
          <w:pgMar w:header="0" w:footer="675" w:top="960" w:bottom="860" w:left="0" w:right="0"/>
          <w:cols w:num="2" w:equalWidth="0">
            <w:col w:w="5765" w:space="40"/>
            <w:col w:w="6105"/>
          </w:cols>
        </w:sectPr>
      </w:pPr>
    </w:p>
    <w:p>
      <w:pPr>
        <w:pStyle w:val="ListParagraph"/>
        <w:numPr>
          <w:ilvl w:val="1"/>
          <w:numId w:val="98"/>
        </w:numPr>
        <w:tabs>
          <w:tab w:pos="1560" w:val="left" w:leader="none"/>
        </w:tabs>
        <w:spacing w:line="240" w:lineRule="auto" w:before="57" w:after="0"/>
        <w:ind w:left="1560" w:right="0" w:hanging="480"/>
        <w:jc w:val="left"/>
        <w:rPr>
          <w:sz w:val="22"/>
        </w:rPr>
      </w:pPr>
      <w:r>
        <w:rPr>
          <w:spacing w:val="-2"/>
          <w:sz w:val="22"/>
        </w:rPr>
        <w:t>Mr.</w:t>
      </w:r>
      <w:r>
        <w:rPr>
          <w:spacing w:val="-12"/>
          <w:sz w:val="22"/>
        </w:rPr>
        <w:t> </w:t>
      </w:r>
      <w:r>
        <w:rPr>
          <w:spacing w:val="-2"/>
          <w:sz w:val="22"/>
        </w:rPr>
        <w:t>Brahmananda</w:t>
      </w:r>
      <w:r>
        <w:rPr>
          <w:spacing w:val="-11"/>
          <w:sz w:val="22"/>
        </w:rPr>
        <w:t> </w:t>
      </w:r>
      <w:r>
        <w:rPr>
          <w:spacing w:val="-2"/>
          <w:sz w:val="22"/>
        </w:rPr>
        <w:t>Rao</w:t>
      </w:r>
      <w:r>
        <w:rPr>
          <w:spacing w:val="-12"/>
          <w:sz w:val="22"/>
        </w:rPr>
        <w:t> </w:t>
      </w:r>
      <w:r>
        <w:rPr>
          <w:spacing w:val="-10"/>
          <w:sz w:val="22"/>
        </w:rPr>
        <w:t>&amp;</w:t>
      </w:r>
    </w:p>
    <w:p>
      <w:pPr>
        <w:pStyle w:val="BodyText"/>
        <w:spacing w:line="266" w:lineRule="auto" w:before="27"/>
        <w:ind w:left="1560" w:right="452"/>
      </w:pPr>
      <w:r>
        <w:rPr>
          <w:spacing w:val="-6"/>
        </w:rPr>
        <w:t>Mr. Rajeswara Prasad, Andhra Pradesh </w:t>
      </w:r>
      <w:r>
        <w:rPr>
          <w:spacing w:val="-6"/>
        </w:rPr>
        <w:t>State </w:t>
      </w:r>
      <w:r>
        <w:rPr/>
        <w:t>Finance Corporation (APSFC)</w:t>
      </w:r>
    </w:p>
    <w:p>
      <w:pPr>
        <w:pStyle w:val="ListParagraph"/>
        <w:numPr>
          <w:ilvl w:val="1"/>
          <w:numId w:val="98"/>
        </w:numPr>
        <w:tabs>
          <w:tab w:pos="1560" w:val="left" w:leader="none"/>
        </w:tabs>
        <w:spacing w:line="240" w:lineRule="auto" w:before="89" w:after="0"/>
        <w:ind w:left="1560" w:right="0" w:hanging="480"/>
        <w:jc w:val="left"/>
        <w:rPr>
          <w:sz w:val="22"/>
        </w:rPr>
      </w:pPr>
      <w:r>
        <w:rPr>
          <w:spacing w:val="-4"/>
          <w:sz w:val="22"/>
        </w:rPr>
        <w:t>Ms.</w:t>
      </w:r>
      <w:r>
        <w:rPr>
          <w:spacing w:val="-3"/>
          <w:sz w:val="22"/>
        </w:rPr>
        <w:t> </w:t>
      </w:r>
      <w:r>
        <w:rPr>
          <w:spacing w:val="-4"/>
          <w:sz w:val="22"/>
        </w:rPr>
        <w:t>Ramadevi</w:t>
      </w:r>
      <w:r>
        <w:rPr>
          <w:spacing w:val="-3"/>
          <w:sz w:val="22"/>
        </w:rPr>
        <w:t> </w:t>
      </w:r>
      <w:r>
        <w:rPr>
          <w:spacing w:val="-4"/>
          <w:sz w:val="22"/>
        </w:rPr>
        <w:t>Kanneganti,</w:t>
      </w:r>
      <w:r>
        <w:rPr>
          <w:spacing w:val="-2"/>
          <w:sz w:val="22"/>
        </w:rPr>
        <w:t> </w:t>
      </w:r>
      <w:r>
        <w:rPr>
          <w:spacing w:val="-4"/>
          <w:sz w:val="22"/>
        </w:rPr>
        <w:t>ALEAP</w:t>
      </w:r>
    </w:p>
    <w:p>
      <w:pPr>
        <w:pStyle w:val="ListParagraph"/>
        <w:numPr>
          <w:ilvl w:val="1"/>
          <w:numId w:val="98"/>
        </w:numPr>
        <w:tabs>
          <w:tab w:pos="1560" w:val="left" w:leader="none"/>
        </w:tabs>
        <w:spacing w:line="266" w:lineRule="auto" w:before="117" w:after="0"/>
        <w:ind w:left="1560" w:right="352" w:hanging="480"/>
        <w:jc w:val="left"/>
        <w:rPr>
          <w:sz w:val="22"/>
        </w:rPr>
      </w:pPr>
      <w:r>
        <w:rPr>
          <w:spacing w:val="-4"/>
          <w:sz w:val="22"/>
        </w:rPr>
        <w:t>Mr.</w:t>
      </w:r>
      <w:r>
        <w:rPr>
          <w:spacing w:val="-6"/>
          <w:sz w:val="22"/>
        </w:rPr>
        <w:t> </w:t>
      </w:r>
      <w:r>
        <w:rPr>
          <w:spacing w:val="-4"/>
          <w:sz w:val="22"/>
        </w:rPr>
        <w:t>S.</w:t>
      </w:r>
      <w:r>
        <w:rPr>
          <w:spacing w:val="-6"/>
          <w:sz w:val="22"/>
        </w:rPr>
        <w:t> </w:t>
      </w:r>
      <w:r>
        <w:rPr>
          <w:spacing w:val="-4"/>
          <w:sz w:val="22"/>
        </w:rPr>
        <w:t>Subba</w:t>
      </w:r>
      <w:r>
        <w:rPr>
          <w:spacing w:val="-6"/>
          <w:sz w:val="22"/>
        </w:rPr>
        <w:t> </w:t>
      </w:r>
      <w:r>
        <w:rPr>
          <w:spacing w:val="-4"/>
          <w:sz w:val="22"/>
        </w:rPr>
        <w:t>Rao,</w:t>
      </w:r>
      <w:r>
        <w:rPr>
          <w:spacing w:val="-6"/>
          <w:sz w:val="22"/>
        </w:rPr>
        <w:t> </w:t>
      </w:r>
      <w:r>
        <w:rPr>
          <w:spacing w:val="-4"/>
          <w:sz w:val="22"/>
        </w:rPr>
        <w:t>Andhra</w:t>
      </w:r>
      <w:r>
        <w:rPr>
          <w:spacing w:val="-6"/>
          <w:sz w:val="22"/>
        </w:rPr>
        <w:t> </w:t>
      </w:r>
      <w:r>
        <w:rPr>
          <w:spacing w:val="-4"/>
          <w:sz w:val="22"/>
        </w:rPr>
        <w:t>Pradesh</w:t>
      </w:r>
      <w:r>
        <w:rPr>
          <w:spacing w:val="-6"/>
          <w:sz w:val="22"/>
        </w:rPr>
        <w:t> </w:t>
      </w:r>
      <w:r>
        <w:rPr>
          <w:spacing w:val="-4"/>
          <w:sz w:val="22"/>
        </w:rPr>
        <w:t>Industrial </w:t>
      </w:r>
      <w:r>
        <w:rPr>
          <w:sz w:val="22"/>
        </w:rPr>
        <w:t>Development Corporation (APIDC)</w:t>
      </w:r>
    </w:p>
    <w:p>
      <w:pPr>
        <w:pStyle w:val="ListParagraph"/>
        <w:numPr>
          <w:ilvl w:val="1"/>
          <w:numId w:val="98"/>
        </w:numPr>
        <w:tabs>
          <w:tab w:pos="1560" w:val="left" w:leader="none"/>
        </w:tabs>
        <w:spacing w:line="266" w:lineRule="auto" w:before="88" w:after="0"/>
        <w:ind w:left="1560" w:right="38" w:hanging="480"/>
        <w:jc w:val="left"/>
        <w:rPr>
          <w:sz w:val="22"/>
        </w:rPr>
      </w:pPr>
      <w:r>
        <w:rPr>
          <w:spacing w:val="-4"/>
          <w:sz w:val="22"/>
        </w:rPr>
        <w:t>Mr.</w:t>
      </w:r>
      <w:r>
        <w:rPr>
          <w:spacing w:val="-8"/>
          <w:sz w:val="22"/>
        </w:rPr>
        <w:t> </w:t>
      </w:r>
      <w:r>
        <w:rPr>
          <w:spacing w:val="-4"/>
          <w:sz w:val="22"/>
        </w:rPr>
        <w:t>Khokon</w:t>
      </w:r>
      <w:r>
        <w:rPr>
          <w:spacing w:val="-8"/>
          <w:sz w:val="22"/>
        </w:rPr>
        <w:t> </w:t>
      </w:r>
      <w:r>
        <w:rPr>
          <w:spacing w:val="-4"/>
          <w:sz w:val="22"/>
        </w:rPr>
        <w:t>Mukhopadhyaya,</w:t>
      </w:r>
      <w:r>
        <w:rPr>
          <w:spacing w:val="-8"/>
          <w:sz w:val="22"/>
        </w:rPr>
        <w:t> </w:t>
      </w:r>
      <w:r>
        <w:rPr>
          <w:spacing w:val="-4"/>
          <w:sz w:val="22"/>
        </w:rPr>
        <w:t>Bengal</w:t>
      </w:r>
      <w:r>
        <w:rPr>
          <w:spacing w:val="-8"/>
          <w:sz w:val="22"/>
        </w:rPr>
        <w:t> </w:t>
      </w:r>
      <w:r>
        <w:rPr>
          <w:spacing w:val="-4"/>
          <w:sz w:val="22"/>
        </w:rPr>
        <w:t>Chambers </w:t>
      </w:r>
      <w:r>
        <w:rPr>
          <w:sz w:val="22"/>
        </w:rPr>
        <w:t>of Commerce</w:t>
      </w:r>
    </w:p>
    <w:p>
      <w:pPr>
        <w:pStyle w:val="ListParagraph"/>
        <w:numPr>
          <w:ilvl w:val="1"/>
          <w:numId w:val="98"/>
        </w:numPr>
        <w:tabs>
          <w:tab w:pos="1560" w:val="left" w:leader="none"/>
        </w:tabs>
        <w:spacing w:line="266" w:lineRule="auto" w:before="89" w:after="0"/>
        <w:ind w:left="1560" w:right="748" w:hanging="480"/>
        <w:jc w:val="left"/>
        <w:rPr>
          <w:sz w:val="22"/>
        </w:rPr>
      </w:pPr>
      <w:r>
        <w:rPr>
          <w:spacing w:val="-2"/>
          <w:sz w:val="22"/>
        </w:rPr>
        <w:t>Mr.</w:t>
      </w:r>
      <w:r>
        <w:rPr>
          <w:spacing w:val="-12"/>
          <w:sz w:val="22"/>
        </w:rPr>
        <w:t> </w:t>
      </w:r>
      <w:r>
        <w:rPr>
          <w:spacing w:val="-2"/>
          <w:sz w:val="22"/>
        </w:rPr>
        <w:t>Kaushik</w:t>
      </w:r>
      <w:r>
        <w:rPr>
          <w:spacing w:val="-12"/>
          <w:sz w:val="22"/>
        </w:rPr>
        <w:t> </w:t>
      </w:r>
      <w:r>
        <w:rPr>
          <w:spacing w:val="-2"/>
          <w:sz w:val="22"/>
        </w:rPr>
        <w:t>Shah,</w:t>
      </w:r>
      <w:r>
        <w:rPr>
          <w:spacing w:val="-12"/>
          <w:sz w:val="22"/>
        </w:rPr>
        <w:t> </w:t>
      </w:r>
      <w:r>
        <w:rPr>
          <w:spacing w:val="-2"/>
          <w:sz w:val="22"/>
        </w:rPr>
        <w:t>Gujarat</w:t>
      </w:r>
      <w:r>
        <w:rPr>
          <w:spacing w:val="-11"/>
          <w:sz w:val="22"/>
        </w:rPr>
        <w:t> </w:t>
      </w:r>
      <w:r>
        <w:rPr>
          <w:spacing w:val="-2"/>
          <w:sz w:val="22"/>
        </w:rPr>
        <w:t>Chambers</w:t>
      </w:r>
      <w:r>
        <w:rPr>
          <w:spacing w:val="-12"/>
          <w:sz w:val="22"/>
        </w:rPr>
        <w:t> </w:t>
      </w:r>
      <w:r>
        <w:rPr>
          <w:spacing w:val="-2"/>
          <w:sz w:val="22"/>
        </w:rPr>
        <w:t>of </w:t>
      </w:r>
      <w:r>
        <w:rPr>
          <w:sz w:val="22"/>
        </w:rPr>
        <w:t>Commerce and Industry</w:t>
      </w:r>
    </w:p>
    <w:p>
      <w:pPr>
        <w:pStyle w:val="ListParagraph"/>
        <w:numPr>
          <w:ilvl w:val="1"/>
          <w:numId w:val="98"/>
        </w:numPr>
        <w:tabs>
          <w:tab w:pos="1560" w:val="left" w:leader="none"/>
        </w:tabs>
        <w:spacing w:line="266" w:lineRule="auto" w:before="88" w:after="0"/>
        <w:ind w:left="1560" w:right="331" w:hanging="480"/>
        <w:jc w:val="left"/>
        <w:rPr>
          <w:sz w:val="22"/>
        </w:rPr>
      </w:pPr>
      <w:r>
        <w:rPr>
          <w:spacing w:val="-2"/>
          <w:sz w:val="22"/>
        </w:rPr>
        <w:t>Mr.</w:t>
      </w:r>
      <w:r>
        <w:rPr>
          <w:spacing w:val="-12"/>
          <w:sz w:val="22"/>
        </w:rPr>
        <w:t> </w:t>
      </w:r>
      <w:r>
        <w:rPr>
          <w:spacing w:val="-2"/>
          <w:sz w:val="22"/>
        </w:rPr>
        <w:t>Sampat</w:t>
      </w:r>
      <w:r>
        <w:rPr>
          <w:spacing w:val="-12"/>
          <w:sz w:val="22"/>
        </w:rPr>
        <w:t> </w:t>
      </w:r>
      <w:r>
        <w:rPr>
          <w:spacing w:val="-2"/>
          <w:sz w:val="22"/>
        </w:rPr>
        <w:t>Raman,</w:t>
      </w:r>
      <w:r>
        <w:rPr>
          <w:spacing w:val="-12"/>
          <w:sz w:val="22"/>
        </w:rPr>
        <w:t> </w:t>
      </w:r>
      <w:r>
        <w:rPr>
          <w:spacing w:val="-2"/>
          <w:sz w:val="22"/>
        </w:rPr>
        <w:t>Federation</w:t>
      </w:r>
      <w:r>
        <w:rPr>
          <w:spacing w:val="-11"/>
          <w:sz w:val="22"/>
        </w:rPr>
        <w:t> </w:t>
      </w:r>
      <w:r>
        <w:rPr>
          <w:spacing w:val="-2"/>
          <w:sz w:val="22"/>
        </w:rPr>
        <w:t>of</w:t>
      </w:r>
      <w:r>
        <w:rPr>
          <w:spacing w:val="-12"/>
          <w:sz w:val="22"/>
        </w:rPr>
        <w:t> </w:t>
      </w:r>
      <w:r>
        <w:rPr>
          <w:spacing w:val="-2"/>
          <w:sz w:val="22"/>
        </w:rPr>
        <w:t>Karnataka </w:t>
      </w:r>
      <w:r>
        <w:rPr>
          <w:sz w:val="22"/>
        </w:rPr>
        <w:t>Chamber</w:t>
      </w:r>
      <w:r>
        <w:rPr>
          <w:spacing w:val="-14"/>
          <w:sz w:val="22"/>
        </w:rPr>
        <w:t> </w:t>
      </w:r>
      <w:r>
        <w:rPr>
          <w:sz w:val="22"/>
        </w:rPr>
        <w:t>of</w:t>
      </w:r>
      <w:r>
        <w:rPr>
          <w:spacing w:val="-14"/>
          <w:sz w:val="22"/>
        </w:rPr>
        <w:t> </w:t>
      </w:r>
      <w:r>
        <w:rPr>
          <w:sz w:val="22"/>
        </w:rPr>
        <w:t>Commerce</w:t>
      </w:r>
      <w:r>
        <w:rPr>
          <w:spacing w:val="-14"/>
          <w:sz w:val="22"/>
        </w:rPr>
        <w:t> </w:t>
      </w:r>
      <w:r>
        <w:rPr>
          <w:sz w:val="22"/>
        </w:rPr>
        <w:t>&amp;</w:t>
      </w:r>
      <w:r>
        <w:rPr>
          <w:spacing w:val="-13"/>
          <w:sz w:val="22"/>
        </w:rPr>
        <w:t> </w:t>
      </w:r>
      <w:r>
        <w:rPr>
          <w:sz w:val="22"/>
        </w:rPr>
        <w:t>Industry</w:t>
      </w:r>
      <w:r>
        <w:rPr>
          <w:spacing w:val="-14"/>
          <w:sz w:val="22"/>
        </w:rPr>
        <w:t> </w:t>
      </w:r>
      <w:r>
        <w:rPr>
          <w:sz w:val="22"/>
        </w:rPr>
        <w:t>(FKCCI)</w:t>
      </w:r>
    </w:p>
    <w:p>
      <w:pPr>
        <w:pStyle w:val="ListParagraph"/>
        <w:numPr>
          <w:ilvl w:val="1"/>
          <w:numId w:val="98"/>
        </w:numPr>
        <w:tabs>
          <w:tab w:pos="1560" w:val="left" w:leader="none"/>
        </w:tabs>
        <w:spacing w:line="266" w:lineRule="auto" w:before="88" w:after="0"/>
        <w:ind w:left="1560" w:right="0" w:hanging="480"/>
        <w:jc w:val="left"/>
        <w:rPr>
          <w:sz w:val="22"/>
        </w:rPr>
      </w:pPr>
      <w:r>
        <w:rPr>
          <w:sz w:val="22"/>
        </w:rPr>
        <w:t>Representatives</w:t>
      </w:r>
      <w:r>
        <w:rPr>
          <w:spacing w:val="-8"/>
          <w:sz w:val="22"/>
        </w:rPr>
        <w:t> </w:t>
      </w:r>
      <w:r>
        <w:rPr>
          <w:sz w:val="22"/>
        </w:rPr>
        <w:t>of</w:t>
      </w:r>
      <w:r>
        <w:rPr>
          <w:spacing w:val="-14"/>
          <w:sz w:val="22"/>
        </w:rPr>
        <w:t> </w:t>
      </w:r>
      <w:r>
        <w:rPr>
          <w:sz w:val="22"/>
        </w:rPr>
        <w:t>Tamil</w:t>
      </w:r>
      <w:r>
        <w:rPr>
          <w:spacing w:val="-6"/>
          <w:sz w:val="22"/>
        </w:rPr>
        <w:t> </w:t>
      </w:r>
      <w:r>
        <w:rPr>
          <w:sz w:val="22"/>
        </w:rPr>
        <w:t>Nadu</w:t>
      </w:r>
      <w:r>
        <w:rPr>
          <w:spacing w:val="-6"/>
          <w:sz w:val="22"/>
        </w:rPr>
        <w:t> </w:t>
      </w:r>
      <w:r>
        <w:rPr>
          <w:sz w:val="22"/>
        </w:rPr>
        <w:t>Adi</w:t>
      </w:r>
      <w:r>
        <w:rPr>
          <w:spacing w:val="-6"/>
          <w:sz w:val="22"/>
        </w:rPr>
        <w:t> </w:t>
      </w:r>
      <w:r>
        <w:rPr>
          <w:sz w:val="22"/>
        </w:rPr>
        <w:t>Dravidar Housing</w:t>
      </w:r>
      <w:r>
        <w:rPr>
          <w:spacing w:val="-14"/>
          <w:sz w:val="22"/>
        </w:rPr>
        <w:t> </w:t>
      </w:r>
      <w:r>
        <w:rPr>
          <w:sz w:val="22"/>
        </w:rPr>
        <w:t>Development</w:t>
      </w:r>
      <w:r>
        <w:rPr>
          <w:spacing w:val="-14"/>
          <w:sz w:val="22"/>
        </w:rPr>
        <w:t> </w:t>
      </w:r>
      <w:r>
        <w:rPr>
          <w:sz w:val="22"/>
        </w:rPr>
        <w:t>Corporation</w:t>
      </w:r>
      <w:r>
        <w:rPr>
          <w:spacing w:val="-14"/>
          <w:sz w:val="22"/>
        </w:rPr>
        <w:t> </w:t>
      </w:r>
      <w:r>
        <w:rPr>
          <w:sz w:val="22"/>
        </w:rPr>
        <w:t>(TAHDCO)</w:t>
      </w:r>
    </w:p>
    <w:p>
      <w:pPr>
        <w:pStyle w:val="ListParagraph"/>
        <w:numPr>
          <w:ilvl w:val="1"/>
          <w:numId w:val="98"/>
        </w:numPr>
        <w:tabs>
          <w:tab w:pos="1560" w:val="left" w:leader="none"/>
        </w:tabs>
        <w:spacing w:line="266" w:lineRule="auto" w:before="89" w:after="0"/>
        <w:ind w:left="1560" w:right="1632" w:hanging="480"/>
        <w:jc w:val="left"/>
        <w:rPr>
          <w:sz w:val="22"/>
        </w:rPr>
      </w:pPr>
      <w:r>
        <w:rPr>
          <w:spacing w:val="-4"/>
          <w:sz w:val="22"/>
        </w:rPr>
        <w:t>Mr.</w:t>
      </w:r>
      <w:r>
        <w:rPr>
          <w:spacing w:val="-10"/>
          <w:sz w:val="22"/>
        </w:rPr>
        <w:t> </w:t>
      </w:r>
      <w:r>
        <w:rPr>
          <w:spacing w:val="-4"/>
          <w:sz w:val="22"/>
        </w:rPr>
        <w:t>Mritunjoy</w:t>
      </w:r>
      <w:r>
        <w:rPr>
          <w:spacing w:val="-10"/>
          <w:sz w:val="22"/>
        </w:rPr>
        <w:t> </w:t>
      </w:r>
      <w:r>
        <w:rPr>
          <w:spacing w:val="-4"/>
          <w:sz w:val="22"/>
        </w:rPr>
        <w:t>Bandyopadhya </w:t>
      </w:r>
      <w:r>
        <w:rPr>
          <w:sz w:val="22"/>
        </w:rPr>
        <w:t>Agastya</w:t>
      </w:r>
      <w:r>
        <w:rPr>
          <w:spacing w:val="-9"/>
          <w:sz w:val="22"/>
        </w:rPr>
        <w:t> </w:t>
      </w:r>
      <w:r>
        <w:rPr>
          <w:sz w:val="22"/>
        </w:rPr>
        <w:t>Associates</w:t>
      </w:r>
    </w:p>
    <w:p>
      <w:pPr>
        <w:pStyle w:val="ListParagraph"/>
        <w:numPr>
          <w:ilvl w:val="1"/>
          <w:numId w:val="98"/>
        </w:numPr>
        <w:tabs>
          <w:tab w:pos="810" w:val="left" w:leader="none"/>
        </w:tabs>
        <w:spacing w:line="240" w:lineRule="auto" w:before="57" w:after="0"/>
        <w:ind w:left="810" w:right="0" w:hanging="480"/>
        <w:jc w:val="left"/>
        <w:rPr>
          <w:sz w:val="22"/>
        </w:rPr>
      </w:pPr>
      <w:r>
        <w:rPr/>
        <w:br w:type="column"/>
      </w:r>
      <w:r>
        <w:rPr>
          <w:sz w:val="22"/>
        </w:rPr>
        <w:t>Dr</w:t>
      </w:r>
      <w:r>
        <w:rPr>
          <w:spacing w:val="-8"/>
          <w:sz w:val="22"/>
        </w:rPr>
        <w:t> </w:t>
      </w:r>
      <w:r>
        <w:rPr>
          <w:sz w:val="22"/>
        </w:rPr>
        <w:t>R.C.</w:t>
      </w:r>
      <w:r>
        <w:rPr>
          <w:spacing w:val="-8"/>
          <w:sz w:val="22"/>
        </w:rPr>
        <w:t> </w:t>
      </w:r>
      <w:r>
        <w:rPr>
          <w:sz w:val="22"/>
        </w:rPr>
        <w:t>Rane</w:t>
      </w:r>
      <w:r>
        <w:rPr>
          <w:spacing w:val="-7"/>
          <w:sz w:val="22"/>
        </w:rPr>
        <w:t> </w:t>
      </w:r>
      <w:r>
        <w:rPr>
          <w:sz w:val="22"/>
        </w:rPr>
        <w:t>Intas</w:t>
      </w:r>
      <w:r>
        <w:rPr>
          <w:spacing w:val="-8"/>
          <w:sz w:val="22"/>
        </w:rPr>
        <w:t> </w:t>
      </w:r>
      <w:r>
        <w:rPr>
          <w:spacing w:val="-2"/>
          <w:sz w:val="22"/>
        </w:rPr>
        <w:t>Pharmaceuticals</w:t>
      </w:r>
    </w:p>
    <w:p>
      <w:pPr>
        <w:pStyle w:val="ListParagraph"/>
        <w:numPr>
          <w:ilvl w:val="1"/>
          <w:numId w:val="98"/>
        </w:numPr>
        <w:tabs>
          <w:tab w:pos="810" w:val="left" w:leader="none"/>
        </w:tabs>
        <w:spacing w:line="266" w:lineRule="auto" w:before="117" w:after="0"/>
        <w:ind w:left="810" w:right="1502" w:hanging="480"/>
        <w:jc w:val="left"/>
        <w:rPr>
          <w:sz w:val="22"/>
        </w:rPr>
      </w:pPr>
      <w:r>
        <w:rPr>
          <w:spacing w:val="-8"/>
          <w:sz w:val="22"/>
        </w:rPr>
        <w:t>Mr.</w:t>
      </w:r>
      <w:r>
        <w:rPr>
          <w:spacing w:val="-4"/>
          <w:sz w:val="22"/>
        </w:rPr>
        <w:t> </w:t>
      </w:r>
      <w:r>
        <w:rPr>
          <w:spacing w:val="-8"/>
          <w:sz w:val="22"/>
        </w:rPr>
        <w:t>V.V.</w:t>
      </w:r>
      <w:r>
        <w:rPr>
          <w:sz w:val="22"/>
        </w:rPr>
        <w:t> </w:t>
      </w:r>
      <w:r>
        <w:rPr>
          <w:spacing w:val="-8"/>
          <w:sz w:val="22"/>
        </w:rPr>
        <w:t>Sanyasi</w:t>
      </w:r>
      <w:r>
        <w:rPr>
          <w:sz w:val="22"/>
        </w:rPr>
        <w:t> </w:t>
      </w:r>
      <w:r>
        <w:rPr>
          <w:spacing w:val="-8"/>
          <w:sz w:val="22"/>
        </w:rPr>
        <w:t>Rao,</w:t>
      </w:r>
      <w:r>
        <w:rPr>
          <w:sz w:val="22"/>
        </w:rPr>
        <w:t> </w:t>
      </w:r>
      <w:r>
        <w:rPr>
          <w:spacing w:val="-8"/>
          <w:sz w:val="22"/>
        </w:rPr>
        <w:t>Anakapalle</w:t>
      </w:r>
      <w:r>
        <w:rPr>
          <w:sz w:val="22"/>
        </w:rPr>
        <w:t> </w:t>
      </w:r>
      <w:r>
        <w:rPr>
          <w:spacing w:val="-8"/>
          <w:sz w:val="22"/>
        </w:rPr>
        <w:t>Merchants </w:t>
      </w:r>
      <w:r>
        <w:rPr>
          <w:spacing w:val="-2"/>
          <w:sz w:val="22"/>
        </w:rPr>
        <w:t>Association</w:t>
      </w:r>
    </w:p>
    <w:p>
      <w:pPr>
        <w:pStyle w:val="ListParagraph"/>
        <w:numPr>
          <w:ilvl w:val="1"/>
          <w:numId w:val="98"/>
        </w:numPr>
        <w:tabs>
          <w:tab w:pos="810" w:val="left" w:leader="none"/>
        </w:tabs>
        <w:spacing w:line="240" w:lineRule="auto" w:before="89" w:after="0"/>
        <w:ind w:left="810" w:right="0" w:hanging="480"/>
        <w:jc w:val="left"/>
        <w:rPr>
          <w:sz w:val="22"/>
        </w:rPr>
      </w:pPr>
      <w:r>
        <w:rPr>
          <w:spacing w:val="-6"/>
          <w:sz w:val="22"/>
        </w:rPr>
        <w:t>Mr.</w:t>
      </w:r>
      <w:r>
        <w:rPr>
          <w:sz w:val="22"/>
        </w:rPr>
        <w:t> </w:t>
      </w:r>
      <w:r>
        <w:rPr>
          <w:spacing w:val="-6"/>
          <w:sz w:val="22"/>
        </w:rPr>
        <w:t>Uday</w:t>
      </w:r>
      <w:r>
        <w:rPr>
          <w:spacing w:val="1"/>
          <w:sz w:val="22"/>
        </w:rPr>
        <w:t> </w:t>
      </w:r>
      <w:r>
        <w:rPr>
          <w:spacing w:val="-6"/>
          <w:sz w:val="22"/>
        </w:rPr>
        <w:t>Bhaskar,</w:t>
      </w:r>
      <w:r>
        <w:rPr>
          <w:spacing w:val="1"/>
          <w:sz w:val="22"/>
        </w:rPr>
        <w:t> </w:t>
      </w:r>
      <w:r>
        <w:rPr>
          <w:spacing w:val="-6"/>
          <w:sz w:val="22"/>
        </w:rPr>
        <w:t>Zen</w:t>
      </w:r>
      <w:r>
        <w:rPr>
          <w:spacing w:val="-9"/>
          <w:sz w:val="22"/>
        </w:rPr>
        <w:t> </w:t>
      </w:r>
      <w:r>
        <w:rPr>
          <w:spacing w:val="-6"/>
          <w:sz w:val="22"/>
        </w:rPr>
        <w:t>Technologies</w:t>
      </w:r>
    </w:p>
    <w:p>
      <w:pPr>
        <w:pStyle w:val="ListParagraph"/>
        <w:numPr>
          <w:ilvl w:val="1"/>
          <w:numId w:val="98"/>
        </w:numPr>
        <w:tabs>
          <w:tab w:pos="810" w:val="left" w:leader="none"/>
        </w:tabs>
        <w:spacing w:line="240" w:lineRule="auto" w:before="117" w:after="0"/>
        <w:ind w:left="810" w:right="0" w:hanging="480"/>
        <w:jc w:val="left"/>
        <w:rPr>
          <w:sz w:val="22"/>
        </w:rPr>
      </w:pPr>
      <w:r>
        <w:rPr>
          <w:spacing w:val="-6"/>
          <w:sz w:val="22"/>
        </w:rPr>
        <w:t>Mr. Y.</w:t>
      </w:r>
      <w:r>
        <w:rPr>
          <w:spacing w:val="-2"/>
          <w:sz w:val="22"/>
        </w:rPr>
        <w:t> </w:t>
      </w:r>
      <w:r>
        <w:rPr>
          <w:spacing w:val="-6"/>
          <w:sz w:val="22"/>
        </w:rPr>
        <w:t>Rambabu,</w:t>
      </w:r>
      <w:r>
        <w:rPr>
          <w:spacing w:val="-2"/>
          <w:sz w:val="22"/>
        </w:rPr>
        <w:t> </w:t>
      </w:r>
      <w:r>
        <w:rPr>
          <w:spacing w:val="-6"/>
          <w:sz w:val="22"/>
        </w:rPr>
        <w:t>Ushodaya</w:t>
      </w:r>
      <w:r>
        <w:rPr>
          <w:spacing w:val="-2"/>
          <w:sz w:val="22"/>
        </w:rPr>
        <w:t> </w:t>
      </w:r>
      <w:r>
        <w:rPr>
          <w:spacing w:val="-6"/>
          <w:sz w:val="22"/>
        </w:rPr>
        <w:t>Enterprise</w:t>
      </w:r>
    </w:p>
    <w:p>
      <w:pPr>
        <w:pStyle w:val="ListParagraph"/>
        <w:numPr>
          <w:ilvl w:val="1"/>
          <w:numId w:val="98"/>
        </w:numPr>
        <w:tabs>
          <w:tab w:pos="810" w:val="left" w:leader="none"/>
        </w:tabs>
        <w:spacing w:line="240" w:lineRule="auto" w:before="117" w:after="0"/>
        <w:ind w:left="810" w:right="0" w:hanging="480"/>
        <w:jc w:val="left"/>
        <w:rPr>
          <w:sz w:val="22"/>
        </w:rPr>
      </w:pPr>
      <w:r>
        <w:rPr>
          <w:spacing w:val="-4"/>
          <w:sz w:val="22"/>
        </w:rPr>
        <w:t>Dr.</w:t>
      </w:r>
      <w:r>
        <w:rPr>
          <w:spacing w:val="-10"/>
          <w:sz w:val="22"/>
        </w:rPr>
        <w:t> </w:t>
      </w:r>
      <w:r>
        <w:rPr>
          <w:spacing w:val="-4"/>
          <w:sz w:val="22"/>
        </w:rPr>
        <w:t>Pulastya</w:t>
      </w:r>
      <w:r>
        <w:rPr>
          <w:spacing w:val="-10"/>
          <w:sz w:val="22"/>
        </w:rPr>
        <w:t> </w:t>
      </w:r>
      <w:r>
        <w:rPr>
          <w:spacing w:val="-4"/>
          <w:sz w:val="22"/>
        </w:rPr>
        <w:t>Vora,</w:t>
      </w:r>
      <w:r>
        <w:rPr>
          <w:spacing w:val="-9"/>
          <w:sz w:val="22"/>
        </w:rPr>
        <w:t> </w:t>
      </w:r>
      <w:r>
        <w:rPr>
          <w:spacing w:val="-4"/>
          <w:sz w:val="22"/>
        </w:rPr>
        <w:t>CSM</w:t>
      </w:r>
      <w:r>
        <w:rPr>
          <w:spacing w:val="-9"/>
          <w:sz w:val="22"/>
        </w:rPr>
        <w:t> </w:t>
      </w:r>
      <w:r>
        <w:rPr>
          <w:spacing w:val="-4"/>
          <w:sz w:val="22"/>
        </w:rPr>
        <w:t>Services</w:t>
      </w:r>
    </w:p>
    <w:p>
      <w:pPr>
        <w:pStyle w:val="ListParagraph"/>
        <w:numPr>
          <w:ilvl w:val="1"/>
          <w:numId w:val="98"/>
        </w:numPr>
        <w:tabs>
          <w:tab w:pos="810" w:val="left" w:leader="none"/>
        </w:tabs>
        <w:spacing w:line="240" w:lineRule="auto" w:before="117" w:after="0"/>
        <w:ind w:left="810" w:right="0" w:hanging="480"/>
        <w:jc w:val="left"/>
        <w:rPr>
          <w:sz w:val="22"/>
        </w:rPr>
      </w:pPr>
      <w:r>
        <w:rPr>
          <w:spacing w:val="-4"/>
          <w:sz w:val="22"/>
        </w:rPr>
        <w:t>Mr.</w:t>
      </w:r>
      <w:r>
        <w:rPr>
          <w:spacing w:val="-8"/>
          <w:sz w:val="22"/>
        </w:rPr>
        <w:t> </w:t>
      </w:r>
      <w:r>
        <w:rPr>
          <w:spacing w:val="-4"/>
          <w:sz w:val="22"/>
        </w:rPr>
        <w:t>K.M.</w:t>
      </w:r>
      <w:r>
        <w:rPr>
          <w:spacing w:val="-8"/>
          <w:sz w:val="22"/>
        </w:rPr>
        <w:t> </w:t>
      </w:r>
      <w:r>
        <w:rPr>
          <w:spacing w:val="-4"/>
          <w:sz w:val="22"/>
        </w:rPr>
        <w:t>Pai,</w:t>
      </w:r>
      <w:r>
        <w:rPr>
          <w:spacing w:val="-8"/>
          <w:sz w:val="22"/>
        </w:rPr>
        <w:t> </w:t>
      </w:r>
      <w:r>
        <w:rPr>
          <w:spacing w:val="-4"/>
          <w:sz w:val="22"/>
        </w:rPr>
        <w:t>Bell</w:t>
      </w:r>
      <w:r>
        <w:rPr>
          <w:spacing w:val="-7"/>
          <w:sz w:val="22"/>
        </w:rPr>
        <w:t> </w:t>
      </w:r>
      <w:r>
        <w:rPr>
          <w:spacing w:val="-4"/>
          <w:sz w:val="22"/>
        </w:rPr>
        <w:t>Ceramics</w:t>
      </w:r>
      <w:r>
        <w:rPr>
          <w:spacing w:val="-8"/>
          <w:sz w:val="22"/>
        </w:rPr>
        <w:t> </w:t>
      </w:r>
      <w:r>
        <w:rPr>
          <w:spacing w:val="-4"/>
          <w:sz w:val="22"/>
        </w:rPr>
        <w:t>Ltd.</w:t>
      </w:r>
    </w:p>
    <w:p>
      <w:pPr>
        <w:pStyle w:val="ListParagraph"/>
        <w:numPr>
          <w:ilvl w:val="1"/>
          <w:numId w:val="98"/>
        </w:numPr>
        <w:tabs>
          <w:tab w:pos="810" w:val="left" w:leader="none"/>
        </w:tabs>
        <w:spacing w:line="266" w:lineRule="auto" w:before="117" w:after="0"/>
        <w:ind w:left="810" w:right="1648" w:hanging="480"/>
        <w:jc w:val="left"/>
        <w:rPr>
          <w:sz w:val="22"/>
        </w:rPr>
      </w:pPr>
      <w:r>
        <w:rPr>
          <w:spacing w:val="-4"/>
          <w:sz w:val="22"/>
        </w:rPr>
        <w:t>Dr. Shrikant Joshi, International </w:t>
      </w:r>
      <w:r>
        <w:rPr>
          <w:spacing w:val="-4"/>
          <w:sz w:val="22"/>
        </w:rPr>
        <w:t>Advanced </w:t>
      </w:r>
      <w:r>
        <w:rPr>
          <w:sz w:val="22"/>
        </w:rPr>
        <w:t>Research</w:t>
      </w:r>
      <w:r>
        <w:rPr>
          <w:spacing w:val="-4"/>
          <w:sz w:val="22"/>
        </w:rPr>
        <w:t> </w:t>
      </w:r>
      <w:r>
        <w:rPr>
          <w:sz w:val="22"/>
        </w:rPr>
        <w:t>Centre</w:t>
      </w:r>
      <w:r>
        <w:rPr>
          <w:spacing w:val="-4"/>
          <w:sz w:val="22"/>
        </w:rPr>
        <w:t> </w:t>
      </w:r>
      <w:r>
        <w:rPr>
          <w:sz w:val="22"/>
        </w:rPr>
        <w:t>for</w:t>
      </w:r>
      <w:r>
        <w:rPr>
          <w:spacing w:val="-4"/>
          <w:sz w:val="22"/>
        </w:rPr>
        <w:t> </w:t>
      </w:r>
      <w:r>
        <w:rPr>
          <w:sz w:val="22"/>
        </w:rPr>
        <w:t>Powder</w:t>
      </w:r>
      <w:r>
        <w:rPr>
          <w:spacing w:val="-4"/>
          <w:sz w:val="22"/>
        </w:rPr>
        <w:t> </w:t>
      </w:r>
      <w:r>
        <w:rPr>
          <w:sz w:val="22"/>
        </w:rPr>
        <w:t>Metallurgy</w:t>
      </w:r>
    </w:p>
    <w:p>
      <w:pPr>
        <w:pStyle w:val="ListParagraph"/>
        <w:numPr>
          <w:ilvl w:val="1"/>
          <w:numId w:val="98"/>
        </w:numPr>
        <w:tabs>
          <w:tab w:pos="810" w:val="left" w:leader="none"/>
        </w:tabs>
        <w:spacing w:line="266" w:lineRule="auto" w:before="88" w:after="0"/>
        <w:ind w:left="810" w:right="1248" w:hanging="480"/>
        <w:jc w:val="left"/>
        <w:rPr>
          <w:sz w:val="22"/>
        </w:rPr>
      </w:pPr>
      <w:r>
        <w:rPr>
          <w:spacing w:val="-2"/>
          <w:sz w:val="22"/>
        </w:rPr>
        <w:t>Prof.</w:t>
      </w:r>
      <w:r>
        <w:rPr>
          <w:spacing w:val="-11"/>
          <w:sz w:val="22"/>
        </w:rPr>
        <w:t> </w:t>
      </w:r>
      <w:r>
        <w:rPr>
          <w:spacing w:val="-2"/>
          <w:sz w:val="22"/>
        </w:rPr>
        <w:t>M.G.K.</w:t>
      </w:r>
      <w:r>
        <w:rPr>
          <w:spacing w:val="-11"/>
          <w:sz w:val="22"/>
        </w:rPr>
        <w:t> </w:t>
      </w:r>
      <w:r>
        <w:rPr>
          <w:spacing w:val="-2"/>
          <w:sz w:val="22"/>
        </w:rPr>
        <w:t>Murty,</w:t>
      </w:r>
      <w:r>
        <w:rPr>
          <w:spacing w:val="-11"/>
          <w:sz w:val="22"/>
        </w:rPr>
        <w:t> </w:t>
      </w:r>
      <w:r>
        <w:rPr>
          <w:spacing w:val="-2"/>
          <w:sz w:val="22"/>
        </w:rPr>
        <w:t>Centre</w:t>
      </w:r>
      <w:r>
        <w:rPr>
          <w:spacing w:val="-11"/>
          <w:sz w:val="22"/>
        </w:rPr>
        <w:t> </w:t>
      </w:r>
      <w:r>
        <w:rPr>
          <w:spacing w:val="-2"/>
          <w:sz w:val="22"/>
        </w:rPr>
        <w:t>for</w:t>
      </w:r>
      <w:r>
        <w:rPr>
          <w:spacing w:val="-11"/>
          <w:sz w:val="22"/>
        </w:rPr>
        <w:t> </w:t>
      </w:r>
      <w:r>
        <w:rPr>
          <w:spacing w:val="-2"/>
          <w:sz w:val="22"/>
        </w:rPr>
        <w:t>Environmental Adaptation</w:t>
      </w:r>
    </w:p>
    <w:p>
      <w:pPr>
        <w:pStyle w:val="ListParagraph"/>
        <w:numPr>
          <w:ilvl w:val="1"/>
          <w:numId w:val="98"/>
        </w:numPr>
        <w:tabs>
          <w:tab w:pos="810" w:val="left" w:leader="none"/>
        </w:tabs>
        <w:spacing w:line="240" w:lineRule="auto" w:before="89" w:after="0"/>
        <w:ind w:left="810" w:right="0" w:hanging="480"/>
        <w:jc w:val="left"/>
        <w:rPr>
          <w:sz w:val="22"/>
        </w:rPr>
      </w:pPr>
      <w:r>
        <w:rPr>
          <w:spacing w:val="-6"/>
          <w:sz w:val="22"/>
        </w:rPr>
        <w:t>Mr.</w:t>
      </w:r>
      <w:r>
        <w:rPr>
          <w:spacing w:val="-4"/>
          <w:sz w:val="22"/>
        </w:rPr>
        <w:t> </w:t>
      </w:r>
      <w:r>
        <w:rPr>
          <w:spacing w:val="-6"/>
          <w:sz w:val="22"/>
        </w:rPr>
        <w:t>M.</w:t>
      </w:r>
      <w:r>
        <w:rPr>
          <w:spacing w:val="-3"/>
          <w:sz w:val="22"/>
        </w:rPr>
        <w:t> </w:t>
      </w:r>
      <w:r>
        <w:rPr>
          <w:spacing w:val="-6"/>
          <w:sz w:val="22"/>
        </w:rPr>
        <w:t>Raja</w:t>
      </w:r>
      <w:r>
        <w:rPr>
          <w:spacing w:val="-3"/>
          <w:sz w:val="22"/>
        </w:rPr>
        <w:t> </w:t>
      </w:r>
      <w:r>
        <w:rPr>
          <w:spacing w:val="-6"/>
          <w:sz w:val="22"/>
        </w:rPr>
        <w:t>Reddy,</w:t>
      </w:r>
      <w:r>
        <w:rPr>
          <w:spacing w:val="-3"/>
          <w:sz w:val="22"/>
        </w:rPr>
        <w:t> </w:t>
      </w:r>
      <w:r>
        <w:rPr>
          <w:spacing w:val="-6"/>
          <w:sz w:val="22"/>
        </w:rPr>
        <w:t>Srinivasa</w:t>
      </w:r>
      <w:r>
        <w:rPr>
          <w:spacing w:val="-3"/>
          <w:sz w:val="22"/>
        </w:rPr>
        <w:t> </w:t>
      </w:r>
      <w:r>
        <w:rPr>
          <w:spacing w:val="-6"/>
          <w:sz w:val="22"/>
        </w:rPr>
        <w:t>Industries</w:t>
      </w:r>
    </w:p>
    <w:p>
      <w:pPr>
        <w:pStyle w:val="ListParagraph"/>
        <w:numPr>
          <w:ilvl w:val="1"/>
          <w:numId w:val="98"/>
        </w:numPr>
        <w:tabs>
          <w:tab w:pos="810" w:val="left" w:leader="none"/>
        </w:tabs>
        <w:spacing w:line="240" w:lineRule="auto" w:before="117" w:after="0"/>
        <w:ind w:left="810" w:right="0" w:hanging="480"/>
        <w:jc w:val="left"/>
        <w:rPr>
          <w:sz w:val="22"/>
        </w:rPr>
      </w:pPr>
      <w:r>
        <w:rPr>
          <w:sz w:val="22"/>
        </w:rPr>
        <w:t>Mr.</w:t>
      </w:r>
      <w:r>
        <w:rPr>
          <w:spacing w:val="-12"/>
          <w:sz w:val="22"/>
        </w:rPr>
        <w:t> </w:t>
      </w:r>
      <w:r>
        <w:rPr>
          <w:sz w:val="22"/>
        </w:rPr>
        <w:t>Arun</w:t>
      </w:r>
      <w:r>
        <w:rPr>
          <w:spacing w:val="-12"/>
          <w:sz w:val="22"/>
        </w:rPr>
        <w:t> </w:t>
      </w:r>
      <w:r>
        <w:rPr>
          <w:sz w:val="22"/>
        </w:rPr>
        <w:t>Kumar</w:t>
      </w:r>
      <w:r>
        <w:rPr>
          <w:spacing w:val="-12"/>
          <w:sz w:val="22"/>
        </w:rPr>
        <w:t> </w:t>
      </w:r>
      <w:r>
        <w:rPr>
          <w:sz w:val="22"/>
        </w:rPr>
        <w:t>D,</w:t>
      </w:r>
      <w:r>
        <w:rPr>
          <w:spacing w:val="-11"/>
          <w:sz w:val="22"/>
        </w:rPr>
        <w:t> </w:t>
      </w:r>
      <w:r>
        <w:rPr>
          <w:sz w:val="22"/>
        </w:rPr>
        <w:t>AGI</w:t>
      </w:r>
      <w:r>
        <w:rPr>
          <w:spacing w:val="-12"/>
          <w:sz w:val="22"/>
        </w:rPr>
        <w:t> </w:t>
      </w:r>
      <w:r>
        <w:rPr>
          <w:spacing w:val="-2"/>
          <w:sz w:val="22"/>
        </w:rPr>
        <w:t>Glaspac</w:t>
      </w:r>
    </w:p>
    <w:p>
      <w:pPr>
        <w:spacing w:after="0" w:line="240" w:lineRule="auto"/>
        <w:jc w:val="left"/>
        <w:rPr>
          <w:sz w:val="22"/>
        </w:rPr>
        <w:sectPr>
          <w:pgSz w:w="11910" w:h="16840"/>
          <w:pgMar w:header="0" w:footer="675" w:top="960" w:bottom="860" w:left="0" w:right="0"/>
          <w:cols w:num="2" w:equalWidth="0">
            <w:col w:w="5762" w:space="40"/>
            <w:col w:w="6108"/>
          </w:col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39"/>
        <w:rPr>
          <w:sz w:val="32"/>
        </w:rPr>
      </w:pPr>
    </w:p>
    <w:p>
      <w:pPr>
        <w:pStyle w:val="Heading6"/>
        <w:spacing w:before="1"/>
        <w:ind w:left="1080" w:firstLine="0"/>
        <w:rPr>
          <w:rFonts w:ascii="Cambria"/>
        </w:rPr>
      </w:pPr>
      <w:r>
        <w:rPr/>
        <mc:AlternateContent>
          <mc:Choice Requires="wps">
            <w:drawing>
              <wp:anchor distT="0" distB="0" distL="0" distR="0" allowOverlap="1" layoutInCell="1" locked="0" behindDoc="0" simplePos="0" relativeHeight="15913984">
                <wp:simplePos x="0" y="0"/>
                <wp:positionH relativeFrom="page">
                  <wp:posOffset>0</wp:posOffset>
                </wp:positionH>
                <wp:positionV relativeFrom="paragraph">
                  <wp:posOffset>-2265970</wp:posOffset>
                </wp:positionV>
                <wp:extent cx="7560309" cy="1752600"/>
                <wp:effectExtent l="0" t="0" r="0" b="0"/>
                <wp:wrapNone/>
                <wp:docPr id="2420" name="Group 2420"/>
                <wp:cNvGraphicFramePr>
                  <a:graphicFrameLocks/>
                </wp:cNvGraphicFramePr>
                <a:graphic>
                  <a:graphicData uri="http://schemas.microsoft.com/office/word/2010/wordprocessingGroup">
                    <wpg:wgp>
                      <wpg:cNvPr id="2420" name="Group 2420"/>
                      <wpg:cNvGrpSpPr/>
                      <wpg:grpSpPr>
                        <a:xfrm>
                          <a:off x="0" y="0"/>
                          <a:ext cx="7560309" cy="1752600"/>
                          <a:chExt cx="7560309" cy="1752600"/>
                        </a:xfrm>
                      </wpg:grpSpPr>
                      <pic:pic>
                        <pic:nvPicPr>
                          <pic:cNvPr id="2421" name="Image 2421"/>
                          <pic:cNvPicPr/>
                        </pic:nvPicPr>
                        <pic:blipFill>
                          <a:blip r:embed="rId612" cstate="print"/>
                          <a:stretch>
                            <a:fillRect/>
                          </a:stretch>
                        </pic:blipFill>
                        <pic:spPr>
                          <a:xfrm>
                            <a:off x="0" y="0"/>
                            <a:ext cx="7559999" cy="1752562"/>
                          </a:xfrm>
                          <a:prstGeom prst="rect">
                            <a:avLst/>
                          </a:prstGeom>
                        </pic:spPr>
                      </pic:pic>
                      <wps:wsp>
                        <wps:cNvPr id="2422" name="Textbox 2422"/>
                        <wps:cNvSpPr txBox="1"/>
                        <wps:spPr>
                          <a:xfrm>
                            <a:off x="0" y="0"/>
                            <a:ext cx="7560309" cy="1752600"/>
                          </a:xfrm>
                          <a:prstGeom prst="rect">
                            <a:avLst/>
                          </a:prstGeom>
                        </wps:spPr>
                        <wps:txbx>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NKC:</w:t>
                              </w:r>
                              <w:r>
                                <w:rPr>
                                  <w:rFonts w:ascii="Trebuchet MS"/>
                                  <w:b/>
                                  <w:color w:val="FFFFFF"/>
                                  <w:spacing w:val="-2"/>
                                  <w:sz w:val="68"/>
                                </w:rPr>
                                <w:t> </w:t>
                              </w:r>
                              <w:r>
                                <w:rPr>
                                  <w:rFonts w:ascii="Trebuchet MS"/>
                                  <w:b/>
                                  <w:color w:val="FFFFFF"/>
                                  <w:sz w:val="68"/>
                                </w:rPr>
                                <w:t>Members</w:t>
                              </w:r>
                              <w:r>
                                <w:rPr>
                                  <w:rFonts w:ascii="Trebuchet MS"/>
                                  <w:b/>
                                  <w:color w:val="FFFFFF"/>
                                  <w:spacing w:val="-1"/>
                                  <w:sz w:val="68"/>
                                </w:rPr>
                                <w:t> </w:t>
                              </w:r>
                              <w:r>
                                <w:rPr>
                                  <w:rFonts w:ascii="Trebuchet MS"/>
                                  <w:b/>
                                  <w:color w:val="FFFFFF"/>
                                  <w:sz w:val="68"/>
                                </w:rPr>
                                <w:t>and</w:t>
                              </w:r>
                              <w:r>
                                <w:rPr>
                                  <w:rFonts w:ascii="Trebuchet MS"/>
                                  <w:b/>
                                  <w:color w:val="FFFFFF"/>
                                  <w:spacing w:val="-1"/>
                                  <w:sz w:val="68"/>
                                </w:rPr>
                                <w:t> </w:t>
                              </w:r>
                              <w:r>
                                <w:rPr>
                                  <w:rFonts w:ascii="Trebuchet MS"/>
                                  <w:b/>
                                  <w:color w:val="FFFFFF"/>
                                  <w:spacing w:val="-2"/>
                                  <w:sz w:val="68"/>
                                </w:rPr>
                                <w:t>Staff</w:t>
                              </w:r>
                            </w:p>
                          </w:txbxContent>
                        </wps:txbx>
                        <wps:bodyPr wrap="square" lIns="0" tIns="0" rIns="0" bIns="0" rtlCol="0">
                          <a:noAutofit/>
                        </wps:bodyPr>
                      </wps:wsp>
                    </wpg:wgp>
                  </a:graphicData>
                </a:graphic>
              </wp:anchor>
            </w:drawing>
          </mc:Choice>
          <mc:Fallback>
            <w:pict>
              <v:group style="position:absolute;margin-left:0pt;margin-top:-178.422897pt;width:595.3pt;height:138pt;mso-position-horizontal-relative:page;mso-position-vertical-relative:paragraph;z-index:15913984" id="docshapegroup2341" coordorigin="0,-3568" coordsize="11906,2760">
                <v:shape style="position:absolute;left:0;top:-3569;width:11906;height:2760" type="#_x0000_t75" id="docshape2342" stroked="false">
                  <v:imagedata r:id="rId612" o:title=""/>
                </v:shape>
                <v:shape style="position:absolute;left:0;top:-3569;width:11906;height:2760" type="#_x0000_t202" id="docshape2343" filled="false" stroked="false">
                  <v:textbox inset="0,0,0,0">
                    <w:txbxContent>
                      <w:p>
                        <w:pPr>
                          <w:spacing w:line="240" w:lineRule="auto" w:before="160"/>
                          <w:rPr>
                            <w:sz w:val="68"/>
                          </w:rPr>
                        </w:pPr>
                      </w:p>
                      <w:p>
                        <w:pPr>
                          <w:spacing w:before="1"/>
                          <w:ind w:left="1080" w:right="0" w:firstLine="0"/>
                          <w:jc w:val="left"/>
                          <w:rPr>
                            <w:rFonts w:ascii="Trebuchet MS"/>
                            <w:b/>
                            <w:sz w:val="68"/>
                          </w:rPr>
                        </w:pPr>
                        <w:r>
                          <w:rPr>
                            <w:rFonts w:ascii="Trebuchet MS"/>
                            <w:b/>
                            <w:color w:val="FFFFFF"/>
                            <w:sz w:val="68"/>
                          </w:rPr>
                          <w:t>NKC:</w:t>
                        </w:r>
                        <w:r>
                          <w:rPr>
                            <w:rFonts w:ascii="Trebuchet MS"/>
                            <w:b/>
                            <w:color w:val="FFFFFF"/>
                            <w:spacing w:val="-2"/>
                            <w:sz w:val="68"/>
                          </w:rPr>
                          <w:t> </w:t>
                        </w:r>
                        <w:r>
                          <w:rPr>
                            <w:rFonts w:ascii="Trebuchet MS"/>
                            <w:b/>
                            <w:color w:val="FFFFFF"/>
                            <w:sz w:val="68"/>
                          </w:rPr>
                          <w:t>Members</w:t>
                        </w:r>
                        <w:r>
                          <w:rPr>
                            <w:rFonts w:ascii="Trebuchet MS"/>
                            <w:b/>
                            <w:color w:val="FFFFFF"/>
                            <w:spacing w:val="-1"/>
                            <w:sz w:val="68"/>
                          </w:rPr>
                          <w:t> </w:t>
                        </w:r>
                        <w:r>
                          <w:rPr>
                            <w:rFonts w:ascii="Trebuchet MS"/>
                            <w:b/>
                            <w:color w:val="FFFFFF"/>
                            <w:sz w:val="68"/>
                          </w:rPr>
                          <w:t>and</w:t>
                        </w:r>
                        <w:r>
                          <w:rPr>
                            <w:rFonts w:ascii="Trebuchet MS"/>
                            <w:b/>
                            <w:color w:val="FFFFFF"/>
                            <w:spacing w:val="-1"/>
                            <w:sz w:val="68"/>
                          </w:rPr>
                          <w:t> </w:t>
                        </w:r>
                        <w:r>
                          <w:rPr>
                            <w:rFonts w:ascii="Trebuchet MS"/>
                            <w:b/>
                            <w:color w:val="FFFFFF"/>
                            <w:spacing w:val="-2"/>
                            <w:sz w:val="68"/>
                          </w:rPr>
                          <w:t>Staff</w:t>
                        </w:r>
                      </w:p>
                    </w:txbxContent>
                  </v:textbox>
                  <w10:wrap type="none"/>
                </v:shape>
                <w10:wrap type="none"/>
              </v:group>
            </w:pict>
          </mc:Fallback>
        </mc:AlternateContent>
      </w:r>
      <w:r>
        <w:rPr>
          <w:rFonts w:ascii="Cambria"/>
          <w:color w:val="2E614A"/>
          <w:w w:val="85"/>
        </w:rPr>
        <w:t>Current</w:t>
      </w:r>
      <w:r>
        <w:rPr>
          <w:rFonts w:ascii="Cambria"/>
          <w:color w:val="2E614A"/>
          <w:spacing w:val="17"/>
        </w:rPr>
        <w:t> </w:t>
      </w:r>
      <w:r>
        <w:rPr>
          <w:rFonts w:ascii="Cambria"/>
          <w:color w:val="2E614A"/>
          <w:w w:val="85"/>
        </w:rPr>
        <w:t>Members,</w:t>
      </w:r>
      <w:r>
        <w:rPr>
          <w:rFonts w:ascii="Cambria"/>
          <w:color w:val="2E614A"/>
          <w:spacing w:val="17"/>
        </w:rPr>
        <w:t> </w:t>
      </w:r>
      <w:r>
        <w:rPr>
          <w:rFonts w:ascii="Cambria"/>
          <w:color w:val="2E614A"/>
          <w:w w:val="85"/>
        </w:rPr>
        <w:t>Advisors</w:t>
      </w:r>
      <w:r>
        <w:rPr>
          <w:rFonts w:ascii="Cambria"/>
          <w:color w:val="2E614A"/>
          <w:spacing w:val="17"/>
        </w:rPr>
        <w:t> </w:t>
      </w:r>
      <w:r>
        <w:rPr>
          <w:rFonts w:ascii="Cambria"/>
          <w:color w:val="2E614A"/>
          <w:w w:val="85"/>
        </w:rPr>
        <w:t>and</w:t>
      </w:r>
      <w:r>
        <w:rPr>
          <w:rFonts w:ascii="Cambria"/>
          <w:color w:val="2E614A"/>
          <w:spacing w:val="17"/>
        </w:rPr>
        <w:t> </w:t>
      </w:r>
      <w:r>
        <w:rPr>
          <w:rFonts w:ascii="Cambria"/>
          <w:color w:val="2E614A"/>
          <w:spacing w:val="-2"/>
          <w:w w:val="85"/>
        </w:rPr>
        <w:t>Staff</w:t>
      </w:r>
    </w:p>
    <w:p>
      <w:pPr>
        <w:pStyle w:val="BodyText"/>
        <w:spacing w:before="151"/>
        <w:rPr>
          <w:rFonts w:ascii="Cambria"/>
          <w:b/>
          <w:sz w:val="20"/>
        </w:rPr>
      </w:pPr>
    </w:p>
    <w:p>
      <w:pPr>
        <w:spacing w:after="0"/>
        <w:rPr>
          <w:rFonts w:ascii="Cambria"/>
          <w:sz w:val="20"/>
        </w:rPr>
        <w:sectPr>
          <w:pgSz w:w="11910" w:h="16840"/>
          <w:pgMar w:header="0" w:footer="675" w:top="0" w:bottom="860" w:left="0" w:right="0"/>
        </w:sectPr>
      </w:pPr>
    </w:p>
    <w:p>
      <w:pPr>
        <w:pStyle w:val="Heading9"/>
        <w:spacing w:before="82"/>
        <w:ind w:left="78" w:right="103"/>
        <w:jc w:val="center"/>
        <w:rPr>
          <w:rFonts w:ascii="Cambria"/>
        </w:rPr>
      </w:pPr>
      <w:r>
        <w:rPr>
          <w:rFonts w:ascii="Cambria"/>
          <w:spacing w:val="-2"/>
          <w:w w:val="95"/>
        </w:rPr>
        <w:t>Members</w:t>
      </w:r>
    </w:p>
    <w:p>
      <w:pPr>
        <w:pStyle w:val="ListParagraph"/>
        <w:numPr>
          <w:ilvl w:val="2"/>
          <w:numId w:val="98"/>
        </w:numPr>
        <w:tabs>
          <w:tab w:pos="1438" w:val="left" w:leader="none"/>
        </w:tabs>
        <w:spacing w:line="240" w:lineRule="auto" w:before="26" w:after="0"/>
        <w:ind w:left="1438" w:right="0" w:hanging="359"/>
        <w:jc w:val="left"/>
        <w:rPr>
          <w:sz w:val="22"/>
        </w:rPr>
      </w:pPr>
      <w:r>
        <w:rPr>
          <w:spacing w:val="-8"/>
          <w:sz w:val="22"/>
        </w:rPr>
        <w:t>Sam</w:t>
      </w:r>
      <w:r>
        <w:rPr>
          <w:spacing w:val="-3"/>
          <w:sz w:val="22"/>
        </w:rPr>
        <w:t> </w:t>
      </w:r>
      <w:r>
        <w:rPr>
          <w:spacing w:val="-2"/>
          <w:sz w:val="22"/>
        </w:rPr>
        <w:t>Pitroda</w:t>
      </w:r>
    </w:p>
    <w:p>
      <w:pPr>
        <w:pStyle w:val="ListParagraph"/>
        <w:numPr>
          <w:ilvl w:val="2"/>
          <w:numId w:val="98"/>
        </w:numPr>
        <w:tabs>
          <w:tab w:pos="1438" w:val="left" w:leader="none"/>
        </w:tabs>
        <w:spacing w:line="240" w:lineRule="auto" w:before="27" w:after="0"/>
        <w:ind w:left="1438" w:right="0" w:hanging="359"/>
        <w:jc w:val="left"/>
        <w:rPr>
          <w:sz w:val="22"/>
        </w:rPr>
      </w:pPr>
      <w:r>
        <w:rPr>
          <w:spacing w:val="-7"/>
          <w:sz w:val="22"/>
        </w:rPr>
        <w:t>Ashok</w:t>
      </w:r>
      <w:r>
        <w:rPr>
          <w:spacing w:val="-6"/>
          <w:sz w:val="22"/>
        </w:rPr>
        <w:t> </w:t>
      </w:r>
      <w:r>
        <w:rPr>
          <w:spacing w:val="-2"/>
          <w:sz w:val="22"/>
        </w:rPr>
        <w:t>Ganguly</w:t>
      </w:r>
    </w:p>
    <w:p>
      <w:pPr>
        <w:pStyle w:val="ListParagraph"/>
        <w:numPr>
          <w:ilvl w:val="2"/>
          <w:numId w:val="98"/>
        </w:numPr>
        <w:tabs>
          <w:tab w:pos="1438" w:val="left" w:leader="none"/>
        </w:tabs>
        <w:spacing w:line="240" w:lineRule="auto" w:before="27" w:after="0"/>
        <w:ind w:left="1438" w:right="0" w:hanging="359"/>
        <w:jc w:val="left"/>
        <w:rPr>
          <w:sz w:val="22"/>
        </w:rPr>
      </w:pPr>
      <w:r>
        <w:rPr>
          <w:spacing w:val="-23"/>
          <w:sz w:val="22"/>
        </w:rPr>
        <w:t>P.</w:t>
      </w:r>
      <w:r>
        <w:rPr>
          <w:spacing w:val="3"/>
          <w:sz w:val="22"/>
        </w:rPr>
        <w:t> </w:t>
      </w:r>
      <w:r>
        <w:rPr>
          <w:spacing w:val="-2"/>
          <w:sz w:val="22"/>
        </w:rPr>
        <w:t>Balaram</w:t>
      </w:r>
    </w:p>
    <w:p>
      <w:pPr>
        <w:pStyle w:val="ListParagraph"/>
        <w:numPr>
          <w:ilvl w:val="2"/>
          <w:numId w:val="98"/>
        </w:numPr>
        <w:tabs>
          <w:tab w:pos="1438" w:val="left" w:leader="none"/>
        </w:tabs>
        <w:spacing w:line="240" w:lineRule="auto" w:before="27" w:after="0"/>
        <w:ind w:left="1438" w:right="0" w:hanging="359"/>
        <w:jc w:val="left"/>
        <w:rPr>
          <w:sz w:val="22"/>
        </w:rPr>
      </w:pPr>
      <w:r>
        <w:rPr>
          <w:w w:val="90"/>
          <w:sz w:val="22"/>
        </w:rPr>
        <w:t>Jayati</w:t>
      </w:r>
      <w:r>
        <w:rPr>
          <w:spacing w:val="4"/>
          <w:sz w:val="22"/>
        </w:rPr>
        <w:t> </w:t>
      </w:r>
      <w:r>
        <w:rPr>
          <w:spacing w:val="-2"/>
          <w:sz w:val="22"/>
        </w:rPr>
        <w:t>Ghosh</w:t>
      </w:r>
    </w:p>
    <w:p>
      <w:pPr>
        <w:pStyle w:val="ListParagraph"/>
        <w:numPr>
          <w:ilvl w:val="2"/>
          <w:numId w:val="98"/>
        </w:numPr>
        <w:tabs>
          <w:tab w:pos="1438" w:val="left" w:leader="none"/>
        </w:tabs>
        <w:spacing w:line="240" w:lineRule="auto" w:before="27" w:after="0"/>
        <w:ind w:left="1438" w:right="0" w:hanging="359"/>
        <w:jc w:val="left"/>
        <w:rPr>
          <w:sz w:val="22"/>
        </w:rPr>
      </w:pPr>
      <w:r>
        <w:rPr>
          <w:spacing w:val="-4"/>
          <w:sz w:val="22"/>
        </w:rPr>
        <w:t>Deepak</w:t>
      </w:r>
      <w:r>
        <w:rPr>
          <w:spacing w:val="-2"/>
          <w:sz w:val="22"/>
        </w:rPr>
        <w:t> Nayyar</w:t>
      </w:r>
    </w:p>
    <w:p>
      <w:pPr>
        <w:pStyle w:val="ListParagraph"/>
        <w:numPr>
          <w:ilvl w:val="2"/>
          <w:numId w:val="98"/>
        </w:numPr>
        <w:tabs>
          <w:tab w:pos="1438" w:val="left" w:leader="none"/>
        </w:tabs>
        <w:spacing w:line="240" w:lineRule="auto" w:before="27" w:after="0"/>
        <w:ind w:left="1438" w:right="0" w:hanging="359"/>
        <w:jc w:val="left"/>
        <w:rPr>
          <w:sz w:val="22"/>
        </w:rPr>
      </w:pPr>
      <w:r>
        <w:rPr>
          <w:sz w:val="22"/>
        </w:rPr>
        <w:t>Nandan </w:t>
      </w:r>
      <w:r>
        <w:rPr>
          <w:spacing w:val="-2"/>
          <w:sz w:val="22"/>
        </w:rPr>
        <w:t>Nilekani</w:t>
      </w:r>
    </w:p>
    <w:p>
      <w:pPr>
        <w:pStyle w:val="ListParagraph"/>
        <w:numPr>
          <w:ilvl w:val="2"/>
          <w:numId w:val="98"/>
        </w:numPr>
        <w:tabs>
          <w:tab w:pos="1438" w:val="left" w:leader="none"/>
        </w:tabs>
        <w:spacing w:line="240" w:lineRule="auto" w:before="27" w:after="0"/>
        <w:ind w:left="1438" w:right="0" w:hanging="359"/>
        <w:jc w:val="left"/>
        <w:rPr>
          <w:sz w:val="22"/>
        </w:rPr>
      </w:pPr>
      <w:r>
        <w:rPr>
          <w:spacing w:val="-4"/>
          <w:sz w:val="22"/>
        </w:rPr>
        <w:t>Sujatha</w:t>
      </w:r>
      <w:r>
        <w:rPr>
          <w:spacing w:val="-5"/>
          <w:sz w:val="22"/>
        </w:rPr>
        <w:t> </w:t>
      </w:r>
      <w:r>
        <w:rPr>
          <w:spacing w:val="-2"/>
          <w:sz w:val="22"/>
        </w:rPr>
        <w:t>Ramdorai</w:t>
      </w:r>
    </w:p>
    <w:p>
      <w:pPr>
        <w:pStyle w:val="ListParagraph"/>
        <w:numPr>
          <w:ilvl w:val="2"/>
          <w:numId w:val="98"/>
        </w:numPr>
        <w:tabs>
          <w:tab w:pos="1438" w:val="left" w:leader="none"/>
        </w:tabs>
        <w:spacing w:line="240" w:lineRule="auto" w:before="27" w:after="0"/>
        <w:ind w:left="1438" w:right="0" w:hanging="359"/>
        <w:jc w:val="left"/>
        <w:rPr>
          <w:sz w:val="22"/>
        </w:rPr>
      </w:pPr>
      <w:r>
        <w:rPr>
          <w:spacing w:val="-4"/>
          <w:sz w:val="22"/>
        </w:rPr>
        <w:t>Amitabh</w:t>
      </w:r>
      <w:r>
        <w:rPr>
          <w:spacing w:val="-3"/>
          <w:sz w:val="22"/>
        </w:rPr>
        <w:t> </w:t>
      </w:r>
      <w:r>
        <w:rPr>
          <w:spacing w:val="-2"/>
          <w:sz w:val="22"/>
        </w:rPr>
        <w:t>Mattoo</w:t>
      </w:r>
    </w:p>
    <w:p>
      <w:pPr>
        <w:pStyle w:val="BodyText"/>
        <w:spacing w:before="50"/>
      </w:pPr>
    </w:p>
    <w:p>
      <w:pPr>
        <w:pStyle w:val="Heading9"/>
        <w:ind w:left="0" w:right="103"/>
        <w:jc w:val="center"/>
        <w:rPr>
          <w:rFonts w:ascii="Cambria"/>
        </w:rPr>
      </w:pPr>
      <w:r>
        <w:rPr>
          <w:rFonts w:ascii="Cambria"/>
          <w:spacing w:val="-2"/>
          <w:w w:val="95"/>
        </w:rPr>
        <w:t>Advisors</w:t>
      </w:r>
    </w:p>
    <w:p>
      <w:pPr>
        <w:pStyle w:val="ListParagraph"/>
        <w:numPr>
          <w:ilvl w:val="0"/>
          <w:numId w:val="99"/>
        </w:numPr>
        <w:tabs>
          <w:tab w:pos="1438" w:val="left" w:leader="none"/>
        </w:tabs>
        <w:spacing w:line="240" w:lineRule="auto" w:before="26" w:after="0"/>
        <w:ind w:left="1438" w:right="0" w:hanging="359"/>
        <w:jc w:val="left"/>
        <w:rPr>
          <w:sz w:val="22"/>
        </w:rPr>
      </w:pPr>
      <w:r>
        <w:rPr>
          <w:spacing w:val="-4"/>
          <w:sz w:val="22"/>
        </w:rPr>
        <w:t>S.</w:t>
      </w:r>
      <w:r>
        <w:rPr>
          <w:spacing w:val="-8"/>
          <w:sz w:val="22"/>
        </w:rPr>
        <w:t> </w:t>
      </w:r>
      <w:r>
        <w:rPr>
          <w:spacing w:val="-2"/>
          <w:sz w:val="22"/>
        </w:rPr>
        <w:t>Regunathan</w:t>
      </w:r>
    </w:p>
    <w:p>
      <w:pPr>
        <w:pStyle w:val="ListParagraph"/>
        <w:numPr>
          <w:ilvl w:val="0"/>
          <w:numId w:val="99"/>
        </w:numPr>
        <w:tabs>
          <w:tab w:pos="1438" w:val="left" w:leader="none"/>
        </w:tabs>
        <w:spacing w:line="240" w:lineRule="auto" w:before="27" w:after="0"/>
        <w:ind w:left="1438" w:right="0" w:hanging="359"/>
        <w:jc w:val="left"/>
        <w:rPr>
          <w:sz w:val="22"/>
        </w:rPr>
      </w:pPr>
      <w:r>
        <w:rPr>
          <w:spacing w:val="-2"/>
          <w:sz w:val="22"/>
        </w:rPr>
        <w:t>Kiran</w:t>
      </w:r>
      <w:r>
        <w:rPr>
          <w:spacing w:val="-11"/>
          <w:sz w:val="22"/>
        </w:rPr>
        <w:t> </w:t>
      </w:r>
      <w:r>
        <w:rPr>
          <w:spacing w:val="-2"/>
          <w:sz w:val="22"/>
        </w:rPr>
        <w:t>Datar</w:t>
      </w:r>
    </w:p>
    <w:p>
      <w:pPr>
        <w:pStyle w:val="ListParagraph"/>
        <w:numPr>
          <w:ilvl w:val="0"/>
          <w:numId w:val="99"/>
        </w:numPr>
        <w:tabs>
          <w:tab w:pos="1438" w:val="left" w:leader="none"/>
        </w:tabs>
        <w:spacing w:line="240" w:lineRule="auto" w:before="27" w:after="0"/>
        <w:ind w:left="1438" w:right="0" w:hanging="359"/>
        <w:jc w:val="left"/>
        <w:rPr>
          <w:sz w:val="22"/>
        </w:rPr>
      </w:pPr>
      <w:r>
        <w:rPr>
          <w:sz w:val="22"/>
        </w:rPr>
        <w:t>Kumud</w:t>
      </w:r>
      <w:r>
        <w:rPr>
          <w:spacing w:val="-13"/>
          <w:sz w:val="22"/>
        </w:rPr>
        <w:t> </w:t>
      </w:r>
      <w:r>
        <w:rPr>
          <w:spacing w:val="-2"/>
          <w:sz w:val="22"/>
        </w:rPr>
        <w:t>Bansal</w:t>
      </w:r>
    </w:p>
    <w:p>
      <w:pPr>
        <w:pStyle w:val="ListParagraph"/>
        <w:numPr>
          <w:ilvl w:val="0"/>
          <w:numId w:val="99"/>
        </w:numPr>
        <w:tabs>
          <w:tab w:pos="1438" w:val="left" w:leader="none"/>
        </w:tabs>
        <w:spacing w:line="240" w:lineRule="auto" w:before="27" w:after="0"/>
        <w:ind w:left="1438" w:right="0" w:hanging="359"/>
        <w:jc w:val="left"/>
        <w:rPr>
          <w:sz w:val="22"/>
        </w:rPr>
      </w:pPr>
      <w:r>
        <w:rPr>
          <w:sz w:val="22"/>
        </w:rPr>
        <w:t>C.N.S.</w:t>
      </w:r>
      <w:r>
        <w:rPr>
          <w:spacing w:val="-2"/>
          <w:sz w:val="22"/>
        </w:rPr>
        <w:t> </w:t>
      </w:r>
      <w:r>
        <w:rPr>
          <w:spacing w:val="-4"/>
          <w:sz w:val="22"/>
        </w:rPr>
        <w:t>Nair</w:t>
      </w:r>
    </w:p>
    <w:p>
      <w:pPr>
        <w:pStyle w:val="Heading9"/>
        <w:spacing w:before="82"/>
        <w:ind w:left="1079"/>
        <w:rPr>
          <w:rFonts w:ascii="Cambria"/>
        </w:rPr>
      </w:pPr>
      <w:r>
        <w:rPr>
          <w:b w:val="0"/>
        </w:rPr>
        <w:br w:type="column"/>
      </w:r>
      <w:r>
        <w:rPr>
          <w:rFonts w:ascii="Cambria"/>
          <w:spacing w:val="-2"/>
        </w:rPr>
        <w:t>Staff</w:t>
      </w:r>
    </w:p>
    <w:p>
      <w:pPr>
        <w:pStyle w:val="ListParagraph"/>
        <w:numPr>
          <w:ilvl w:val="0"/>
          <w:numId w:val="100"/>
        </w:numPr>
        <w:tabs>
          <w:tab w:pos="1438" w:val="left" w:leader="none"/>
        </w:tabs>
        <w:spacing w:line="240" w:lineRule="auto" w:before="26" w:after="0"/>
        <w:ind w:left="1438" w:right="0" w:hanging="359"/>
        <w:jc w:val="left"/>
        <w:rPr>
          <w:sz w:val="22"/>
        </w:rPr>
      </w:pPr>
      <w:r>
        <w:rPr>
          <w:spacing w:val="-6"/>
          <w:sz w:val="22"/>
        </w:rPr>
        <w:t>Amlanjyoti</w:t>
      </w:r>
      <w:r>
        <w:rPr>
          <w:spacing w:val="-5"/>
          <w:sz w:val="22"/>
        </w:rPr>
        <w:t> </w:t>
      </w:r>
      <w:r>
        <w:rPr>
          <w:spacing w:val="-6"/>
          <w:sz w:val="22"/>
        </w:rPr>
        <w:t>Goswami</w:t>
      </w:r>
      <w:r>
        <w:rPr>
          <w:spacing w:val="-5"/>
          <w:sz w:val="22"/>
        </w:rPr>
        <w:t> </w:t>
      </w:r>
      <w:r>
        <w:rPr>
          <w:spacing w:val="-6"/>
          <w:sz w:val="22"/>
        </w:rPr>
        <w:t>(Research</w:t>
      </w:r>
      <w:r>
        <w:rPr>
          <w:spacing w:val="-5"/>
          <w:sz w:val="22"/>
        </w:rPr>
        <w:t> </w:t>
      </w:r>
      <w:r>
        <w:rPr>
          <w:spacing w:val="-6"/>
          <w:sz w:val="22"/>
        </w:rPr>
        <w:t>Associate)</w:t>
      </w:r>
    </w:p>
    <w:p>
      <w:pPr>
        <w:pStyle w:val="ListParagraph"/>
        <w:numPr>
          <w:ilvl w:val="0"/>
          <w:numId w:val="100"/>
        </w:numPr>
        <w:tabs>
          <w:tab w:pos="1438" w:val="left" w:leader="none"/>
        </w:tabs>
        <w:spacing w:line="240" w:lineRule="auto" w:before="27" w:after="0"/>
        <w:ind w:left="1438" w:right="0" w:hanging="359"/>
        <w:jc w:val="left"/>
        <w:rPr>
          <w:sz w:val="22"/>
        </w:rPr>
      </w:pPr>
      <w:r>
        <w:rPr>
          <w:spacing w:val="-6"/>
          <w:sz w:val="22"/>
        </w:rPr>
        <w:t>Sukhman</w:t>
      </w:r>
      <w:r>
        <w:rPr>
          <w:spacing w:val="5"/>
          <w:sz w:val="22"/>
        </w:rPr>
        <w:t> </w:t>
      </w:r>
      <w:r>
        <w:rPr>
          <w:spacing w:val="-6"/>
          <w:sz w:val="22"/>
        </w:rPr>
        <w:t>Randhawa</w:t>
      </w:r>
      <w:r>
        <w:rPr>
          <w:spacing w:val="6"/>
          <w:sz w:val="22"/>
        </w:rPr>
        <w:t> </w:t>
      </w:r>
      <w:r>
        <w:rPr>
          <w:spacing w:val="-6"/>
          <w:sz w:val="22"/>
        </w:rPr>
        <w:t>(Research</w:t>
      </w:r>
      <w:r>
        <w:rPr>
          <w:spacing w:val="6"/>
          <w:sz w:val="22"/>
        </w:rPr>
        <w:t> </w:t>
      </w:r>
      <w:r>
        <w:rPr>
          <w:spacing w:val="-6"/>
          <w:sz w:val="22"/>
        </w:rPr>
        <w:t>Associate)</w:t>
      </w:r>
    </w:p>
    <w:p>
      <w:pPr>
        <w:pStyle w:val="ListParagraph"/>
        <w:numPr>
          <w:ilvl w:val="0"/>
          <w:numId w:val="100"/>
        </w:numPr>
        <w:tabs>
          <w:tab w:pos="1438" w:val="left" w:leader="none"/>
        </w:tabs>
        <w:spacing w:line="240" w:lineRule="auto" w:before="27" w:after="0"/>
        <w:ind w:left="1438" w:right="0" w:hanging="359"/>
        <w:jc w:val="left"/>
        <w:rPr>
          <w:sz w:val="22"/>
        </w:rPr>
      </w:pPr>
      <w:r>
        <w:rPr>
          <w:spacing w:val="-4"/>
          <w:sz w:val="22"/>
        </w:rPr>
        <w:t>Namita Dalmia (Research</w:t>
      </w:r>
      <w:r>
        <w:rPr>
          <w:spacing w:val="-3"/>
          <w:sz w:val="22"/>
        </w:rPr>
        <w:t> </w:t>
      </w:r>
      <w:r>
        <w:rPr>
          <w:spacing w:val="-4"/>
          <w:sz w:val="22"/>
        </w:rPr>
        <w:t>Associate)</w:t>
      </w:r>
    </w:p>
    <w:p>
      <w:pPr>
        <w:pStyle w:val="ListParagraph"/>
        <w:numPr>
          <w:ilvl w:val="0"/>
          <w:numId w:val="100"/>
        </w:numPr>
        <w:tabs>
          <w:tab w:pos="1438" w:val="left" w:leader="none"/>
        </w:tabs>
        <w:spacing w:line="240" w:lineRule="auto" w:before="27" w:after="0"/>
        <w:ind w:left="1438" w:right="0" w:hanging="359"/>
        <w:jc w:val="left"/>
        <w:rPr>
          <w:sz w:val="22"/>
        </w:rPr>
      </w:pPr>
      <w:r>
        <w:rPr>
          <w:spacing w:val="-6"/>
          <w:sz w:val="22"/>
        </w:rPr>
        <w:t>Megha</w:t>
      </w:r>
      <w:r>
        <w:rPr>
          <w:spacing w:val="2"/>
          <w:sz w:val="22"/>
        </w:rPr>
        <w:t> </w:t>
      </w:r>
      <w:r>
        <w:rPr>
          <w:spacing w:val="-6"/>
          <w:sz w:val="22"/>
        </w:rPr>
        <w:t>Pradhan</w:t>
      </w:r>
      <w:r>
        <w:rPr>
          <w:spacing w:val="2"/>
          <w:sz w:val="22"/>
        </w:rPr>
        <w:t> </w:t>
      </w:r>
      <w:r>
        <w:rPr>
          <w:spacing w:val="-6"/>
          <w:sz w:val="22"/>
        </w:rPr>
        <w:t>(Research</w:t>
      </w:r>
      <w:r>
        <w:rPr>
          <w:spacing w:val="2"/>
          <w:sz w:val="22"/>
        </w:rPr>
        <w:t> </w:t>
      </w:r>
      <w:r>
        <w:rPr>
          <w:spacing w:val="-6"/>
          <w:sz w:val="22"/>
        </w:rPr>
        <w:t>Associate)</w:t>
      </w:r>
    </w:p>
    <w:p>
      <w:pPr>
        <w:pStyle w:val="ListParagraph"/>
        <w:numPr>
          <w:ilvl w:val="0"/>
          <w:numId w:val="100"/>
        </w:numPr>
        <w:tabs>
          <w:tab w:pos="1438" w:val="left" w:leader="none"/>
        </w:tabs>
        <w:spacing w:line="240" w:lineRule="auto" w:before="27" w:after="0"/>
        <w:ind w:left="1438" w:right="0" w:hanging="359"/>
        <w:jc w:val="left"/>
        <w:rPr>
          <w:sz w:val="22"/>
        </w:rPr>
      </w:pPr>
      <w:r>
        <w:rPr>
          <w:w w:val="90"/>
          <w:sz w:val="22"/>
        </w:rPr>
        <w:t>Vikas</w:t>
      </w:r>
      <w:r>
        <w:rPr>
          <w:spacing w:val="9"/>
          <w:sz w:val="22"/>
        </w:rPr>
        <w:t> </w:t>
      </w:r>
      <w:r>
        <w:rPr>
          <w:w w:val="90"/>
          <w:sz w:val="22"/>
        </w:rPr>
        <w:t>Bagri</w:t>
      </w:r>
      <w:r>
        <w:rPr>
          <w:spacing w:val="10"/>
          <w:sz w:val="22"/>
        </w:rPr>
        <w:t> </w:t>
      </w:r>
      <w:r>
        <w:rPr>
          <w:w w:val="90"/>
          <w:sz w:val="22"/>
        </w:rPr>
        <w:t>(Research</w:t>
      </w:r>
      <w:r>
        <w:rPr>
          <w:spacing w:val="10"/>
          <w:sz w:val="22"/>
        </w:rPr>
        <w:t> </w:t>
      </w:r>
      <w:r>
        <w:rPr>
          <w:spacing w:val="-2"/>
          <w:w w:val="90"/>
          <w:sz w:val="22"/>
        </w:rPr>
        <w:t>Associate)</w:t>
      </w:r>
    </w:p>
    <w:p>
      <w:pPr>
        <w:pStyle w:val="ListParagraph"/>
        <w:numPr>
          <w:ilvl w:val="0"/>
          <w:numId w:val="100"/>
        </w:numPr>
        <w:tabs>
          <w:tab w:pos="1438" w:val="left" w:leader="none"/>
        </w:tabs>
        <w:spacing w:line="240" w:lineRule="auto" w:before="27" w:after="0"/>
        <w:ind w:left="1438" w:right="0" w:hanging="359"/>
        <w:jc w:val="left"/>
        <w:rPr>
          <w:sz w:val="22"/>
        </w:rPr>
      </w:pPr>
      <w:r>
        <w:rPr>
          <w:spacing w:val="-6"/>
          <w:sz w:val="22"/>
        </w:rPr>
        <w:t>Deepti</w:t>
      </w:r>
      <w:r>
        <w:rPr>
          <w:spacing w:val="-5"/>
          <w:sz w:val="22"/>
        </w:rPr>
        <w:t> </w:t>
      </w:r>
      <w:r>
        <w:rPr>
          <w:spacing w:val="-6"/>
          <w:sz w:val="22"/>
        </w:rPr>
        <w:t>Ayyanki</w:t>
      </w:r>
      <w:r>
        <w:rPr>
          <w:spacing w:val="-5"/>
          <w:sz w:val="22"/>
        </w:rPr>
        <w:t> </w:t>
      </w:r>
      <w:r>
        <w:rPr>
          <w:spacing w:val="-6"/>
          <w:sz w:val="22"/>
        </w:rPr>
        <w:t>(Research</w:t>
      </w:r>
      <w:r>
        <w:rPr>
          <w:spacing w:val="-5"/>
          <w:sz w:val="22"/>
        </w:rPr>
        <w:t> </w:t>
      </w:r>
      <w:r>
        <w:rPr>
          <w:spacing w:val="-6"/>
          <w:sz w:val="22"/>
        </w:rPr>
        <w:t>Assistant)</w:t>
      </w:r>
    </w:p>
    <w:p>
      <w:pPr>
        <w:pStyle w:val="ListParagraph"/>
        <w:numPr>
          <w:ilvl w:val="0"/>
          <w:numId w:val="100"/>
        </w:numPr>
        <w:tabs>
          <w:tab w:pos="1438" w:val="left" w:leader="none"/>
        </w:tabs>
        <w:spacing w:line="240" w:lineRule="auto" w:before="27" w:after="0"/>
        <w:ind w:left="1438" w:right="0" w:hanging="359"/>
        <w:jc w:val="left"/>
        <w:rPr>
          <w:sz w:val="22"/>
        </w:rPr>
      </w:pPr>
      <w:r>
        <w:rPr>
          <w:spacing w:val="-8"/>
          <w:sz w:val="22"/>
        </w:rPr>
        <w:t>Aashima</w:t>
      </w:r>
      <w:r>
        <w:rPr>
          <w:spacing w:val="5"/>
          <w:sz w:val="22"/>
        </w:rPr>
        <w:t> </w:t>
      </w:r>
      <w:r>
        <w:rPr>
          <w:spacing w:val="-8"/>
          <w:sz w:val="22"/>
        </w:rPr>
        <w:t>Seth</w:t>
      </w:r>
      <w:r>
        <w:rPr>
          <w:spacing w:val="5"/>
          <w:sz w:val="22"/>
        </w:rPr>
        <w:t> </w:t>
      </w:r>
      <w:r>
        <w:rPr>
          <w:spacing w:val="-8"/>
          <w:sz w:val="22"/>
        </w:rPr>
        <w:t>(Executive</w:t>
      </w:r>
      <w:r>
        <w:rPr>
          <w:spacing w:val="5"/>
          <w:sz w:val="22"/>
        </w:rPr>
        <w:t> </w:t>
      </w:r>
      <w:r>
        <w:rPr>
          <w:spacing w:val="-8"/>
          <w:sz w:val="22"/>
        </w:rPr>
        <w:t>Assistant)</w:t>
      </w:r>
    </w:p>
    <w:p>
      <w:pPr>
        <w:spacing w:after="0" w:line="240" w:lineRule="auto"/>
        <w:jc w:val="left"/>
        <w:rPr>
          <w:sz w:val="22"/>
        </w:rPr>
        <w:sectPr>
          <w:type w:val="continuous"/>
          <w:pgSz w:w="11910" w:h="16840"/>
          <w:pgMar w:header="0" w:footer="675" w:top="1920" w:bottom="280" w:left="0" w:right="0"/>
          <w:cols w:num="2" w:equalWidth="0">
            <w:col w:w="3006" w:space="2047"/>
            <w:col w:w="6857"/>
          </w:cols>
        </w:sectPr>
      </w:pPr>
    </w:p>
    <w:p>
      <w:pPr>
        <w:pStyle w:val="BodyText"/>
        <w:rPr>
          <w:sz w:val="32"/>
        </w:rPr>
      </w:pPr>
    </w:p>
    <w:p>
      <w:pPr>
        <w:pStyle w:val="BodyText"/>
        <w:spacing w:before="65"/>
        <w:rPr>
          <w:sz w:val="32"/>
        </w:rPr>
      </w:pPr>
    </w:p>
    <w:p>
      <w:pPr>
        <w:pStyle w:val="Heading6"/>
        <w:ind w:left="1080" w:firstLine="0"/>
        <w:rPr>
          <w:rFonts w:ascii="Cambria"/>
        </w:rPr>
      </w:pPr>
      <w:r>
        <w:rPr>
          <w:rFonts w:ascii="Cambria"/>
          <w:color w:val="2E614A"/>
          <w:w w:val="85"/>
        </w:rPr>
        <w:t>Former</w:t>
      </w:r>
      <w:r>
        <w:rPr>
          <w:rFonts w:ascii="Cambria"/>
          <w:color w:val="2E614A"/>
          <w:spacing w:val="4"/>
        </w:rPr>
        <w:t> </w:t>
      </w:r>
      <w:r>
        <w:rPr>
          <w:rFonts w:ascii="Cambria"/>
          <w:color w:val="2E614A"/>
          <w:w w:val="85"/>
        </w:rPr>
        <w:t>Members,</w:t>
      </w:r>
      <w:r>
        <w:rPr>
          <w:rFonts w:ascii="Cambria"/>
          <w:color w:val="2E614A"/>
          <w:spacing w:val="5"/>
        </w:rPr>
        <w:t> </w:t>
      </w:r>
      <w:r>
        <w:rPr>
          <w:rFonts w:ascii="Cambria"/>
          <w:color w:val="2E614A"/>
          <w:w w:val="85"/>
        </w:rPr>
        <w:t>Advisors</w:t>
      </w:r>
      <w:r>
        <w:rPr>
          <w:rFonts w:ascii="Cambria"/>
          <w:color w:val="2E614A"/>
          <w:spacing w:val="5"/>
        </w:rPr>
        <w:t> </w:t>
      </w:r>
      <w:r>
        <w:rPr>
          <w:rFonts w:ascii="Cambria"/>
          <w:color w:val="2E614A"/>
          <w:w w:val="85"/>
        </w:rPr>
        <w:t>and</w:t>
      </w:r>
      <w:r>
        <w:rPr>
          <w:rFonts w:ascii="Cambria"/>
          <w:color w:val="2E614A"/>
          <w:spacing w:val="4"/>
        </w:rPr>
        <w:t> </w:t>
      </w:r>
      <w:r>
        <w:rPr>
          <w:rFonts w:ascii="Cambria"/>
          <w:color w:val="2E614A"/>
          <w:spacing w:val="-2"/>
          <w:w w:val="85"/>
        </w:rPr>
        <w:t>Staff</w:t>
      </w:r>
    </w:p>
    <w:p>
      <w:pPr>
        <w:pStyle w:val="BodyText"/>
        <w:spacing w:before="126"/>
        <w:rPr>
          <w:rFonts w:ascii="Cambria"/>
          <w:b/>
          <w:sz w:val="20"/>
        </w:rPr>
      </w:pPr>
    </w:p>
    <w:p>
      <w:pPr>
        <w:spacing w:after="0"/>
        <w:rPr>
          <w:rFonts w:ascii="Cambria"/>
          <w:sz w:val="20"/>
        </w:rPr>
        <w:sectPr>
          <w:type w:val="continuous"/>
          <w:pgSz w:w="11910" w:h="16840"/>
          <w:pgMar w:header="0" w:footer="675" w:top="1920" w:bottom="280" w:left="0" w:right="0"/>
        </w:sectPr>
      </w:pPr>
    </w:p>
    <w:p>
      <w:pPr>
        <w:pStyle w:val="Heading9"/>
        <w:spacing w:before="81"/>
        <w:rPr>
          <w:rFonts w:ascii="Cambria"/>
        </w:rPr>
      </w:pPr>
      <w:r>
        <w:rPr>
          <w:rFonts w:ascii="Cambria"/>
          <w:spacing w:val="-2"/>
          <w:w w:val="95"/>
        </w:rPr>
        <w:t>Members</w:t>
      </w:r>
    </w:p>
    <w:p>
      <w:pPr>
        <w:pStyle w:val="ListParagraph"/>
        <w:numPr>
          <w:ilvl w:val="0"/>
          <w:numId w:val="101"/>
        </w:numPr>
        <w:tabs>
          <w:tab w:pos="1439" w:val="left" w:leader="none"/>
        </w:tabs>
        <w:spacing w:line="240" w:lineRule="auto" w:before="26" w:after="0"/>
        <w:ind w:left="1439" w:right="0" w:hanging="359"/>
        <w:jc w:val="left"/>
        <w:rPr>
          <w:sz w:val="22"/>
        </w:rPr>
      </w:pPr>
      <w:r>
        <w:rPr>
          <w:spacing w:val="-5"/>
          <w:sz w:val="22"/>
        </w:rPr>
        <w:t>Andre</w:t>
      </w:r>
      <w:r>
        <w:rPr>
          <w:spacing w:val="-7"/>
          <w:sz w:val="22"/>
        </w:rPr>
        <w:t> </w:t>
      </w:r>
      <w:r>
        <w:rPr>
          <w:spacing w:val="-2"/>
          <w:sz w:val="22"/>
        </w:rPr>
        <w:t>Beteille</w:t>
      </w:r>
    </w:p>
    <w:p>
      <w:pPr>
        <w:pStyle w:val="ListParagraph"/>
        <w:numPr>
          <w:ilvl w:val="0"/>
          <w:numId w:val="101"/>
        </w:numPr>
        <w:tabs>
          <w:tab w:pos="1439" w:val="left" w:leader="none"/>
        </w:tabs>
        <w:spacing w:line="240" w:lineRule="auto" w:before="27" w:after="0"/>
        <w:ind w:left="1439" w:right="0" w:hanging="359"/>
        <w:jc w:val="left"/>
        <w:rPr>
          <w:sz w:val="22"/>
        </w:rPr>
      </w:pPr>
      <w:r>
        <w:rPr>
          <w:spacing w:val="-10"/>
          <w:sz w:val="22"/>
        </w:rPr>
        <w:t>P.M.</w:t>
      </w:r>
      <w:r>
        <w:rPr>
          <w:sz w:val="22"/>
        </w:rPr>
        <w:t> </w:t>
      </w:r>
      <w:r>
        <w:rPr>
          <w:spacing w:val="-2"/>
          <w:sz w:val="22"/>
        </w:rPr>
        <w:t>Bhargava</w:t>
      </w:r>
    </w:p>
    <w:p>
      <w:pPr>
        <w:pStyle w:val="ListParagraph"/>
        <w:numPr>
          <w:ilvl w:val="0"/>
          <w:numId w:val="101"/>
        </w:numPr>
        <w:tabs>
          <w:tab w:pos="1439" w:val="left" w:leader="none"/>
        </w:tabs>
        <w:spacing w:line="240" w:lineRule="auto" w:before="27" w:after="0"/>
        <w:ind w:left="1439" w:right="0" w:hanging="359"/>
        <w:jc w:val="left"/>
        <w:rPr>
          <w:sz w:val="22"/>
        </w:rPr>
      </w:pPr>
      <w:r>
        <w:rPr>
          <w:spacing w:val="-2"/>
          <w:sz w:val="22"/>
        </w:rPr>
        <w:t>Pratap</w:t>
      </w:r>
      <w:r>
        <w:rPr>
          <w:spacing w:val="-10"/>
          <w:sz w:val="22"/>
        </w:rPr>
        <w:t> </w:t>
      </w:r>
      <w:r>
        <w:rPr>
          <w:spacing w:val="-2"/>
          <w:sz w:val="22"/>
        </w:rPr>
        <w:t>Bhanu</w:t>
      </w:r>
      <w:r>
        <w:rPr>
          <w:spacing w:val="-9"/>
          <w:sz w:val="22"/>
        </w:rPr>
        <w:t> </w:t>
      </w:r>
      <w:r>
        <w:rPr>
          <w:spacing w:val="-2"/>
          <w:sz w:val="22"/>
        </w:rPr>
        <w:t>Mehta</w:t>
      </w:r>
    </w:p>
    <w:p>
      <w:pPr>
        <w:pStyle w:val="BodyText"/>
        <w:spacing w:before="50"/>
      </w:pPr>
    </w:p>
    <w:p>
      <w:pPr>
        <w:pStyle w:val="Heading9"/>
        <w:rPr>
          <w:rFonts w:ascii="Cambria"/>
        </w:rPr>
      </w:pPr>
      <w:r>
        <w:rPr>
          <w:rFonts w:ascii="Cambria"/>
          <w:spacing w:val="-2"/>
          <w:w w:val="95"/>
        </w:rPr>
        <w:t>Advisors</w:t>
      </w:r>
    </w:p>
    <w:p>
      <w:pPr>
        <w:pStyle w:val="ListParagraph"/>
        <w:numPr>
          <w:ilvl w:val="0"/>
          <w:numId w:val="102"/>
        </w:numPr>
        <w:tabs>
          <w:tab w:pos="1439" w:val="left" w:leader="none"/>
        </w:tabs>
        <w:spacing w:line="240" w:lineRule="auto" w:before="26" w:after="0"/>
        <w:ind w:left="1439" w:right="0" w:hanging="359"/>
        <w:jc w:val="left"/>
        <w:rPr>
          <w:sz w:val="22"/>
        </w:rPr>
      </w:pPr>
      <w:r>
        <w:rPr>
          <w:spacing w:val="-7"/>
          <w:sz w:val="22"/>
        </w:rPr>
        <w:t>Ashok</w:t>
      </w:r>
      <w:r>
        <w:rPr>
          <w:spacing w:val="-6"/>
          <w:sz w:val="22"/>
        </w:rPr>
        <w:t> </w:t>
      </w:r>
      <w:r>
        <w:rPr>
          <w:spacing w:val="-2"/>
          <w:sz w:val="22"/>
        </w:rPr>
        <w:t>Kolaskar</w:t>
      </w:r>
    </w:p>
    <w:p>
      <w:pPr>
        <w:pStyle w:val="ListParagraph"/>
        <w:numPr>
          <w:ilvl w:val="0"/>
          <w:numId w:val="102"/>
        </w:numPr>
        <w:tabs>
          <w:tab w:pos="1439" w:val="left" w:leader="none"/>
        </w:tabs>
        <w:spacing w:line="240" w:lineRule="auto" w:before="27" w:after="0"/>
        <w:ind w:left="1439" w:right="0" w:hanging="359"/>
        <w:jc w:val="left"/>
        <w:rPr>
          <w:sz w:val="22"/>
        </w:rPr>
      </w:pPr>
      <w:r>
        <w:rPr>
          <w:spacing w:val="-5"/>
          <w:sz w:val="22"/>
        </w:rPr>
        <w:t>Kalpana</w:t>
      </w:r>
      <w:r>
        <w:rPr>
          <w:spacing w:val="-2"/>
          <w:sz w:val="22"/>
        </w:rPr>
        <w:t> Dasgupta</w:t>
      </w:r>
    </w:p>
    <w:p>
      <w:pPr>
        <w:pStyle w:val="ListParagraph"/>
        <w:numPr>
          <w:ilvl w:val="0"/>
          <w:numId w:val="102"/>
        </w:numPr>
        <w:tabs>
          <w:tab w:pos="1439" w:val="left" w:leader="none"/>
        </w:tabs>
        <w:spacing w:line="240" w:lineRule="auto" w:before="27" w:after="0"/>
        <w:ind w:left="1439" w:right="0" w:hanging="359"/>
        <w:jc w:val="left"/>
        <w:rPr>
          <w:sz w:val="22"/>
        </w:rPr>
      </w:pPr>
      <w:r>
        <w:rPr>
          <w:spacing w:val="-6"/>
          <w:sz w:val="22"/>
        </w:rPr>
        <w:t>Razia</w:t>
      </w:r>
      <w:r>
        <w:rPr>
          <w:spacing w:val="-4"/>
          <w:sz w:val="22"/>
        </w:rPr>
        <w:t> </w:t>
      </w:r>
      <w:r>
        <w:rPr>
          <w:spacing w:val="-6"/>
          <w:sz w:val="22"/>
        </w:rPr>
        <w:t>Sultan</w:t>
      </w:r>
      <w:r>
        <w:rPr>
          <w:spacing w:val="-2"/>
          <w:sz w:val="22"/>
        </w:rPr>
        <w:t> </w:t>
      </w:r>
      <w:r>
        <w:rPr>
          <w:spacing w:val="-6"/>
          <w:sz w:val="22"/>
        </w:rPr>
        <w:t>Ismail</w:t>
      </w:r>
      <w:r>
        <w:rPr>
          <w:spacing w:val="-2"/>
          <w:sz w:val="22"/>
        </w:rPr>
        <w:t> </w:t>
      </w:r>
      <w:r>
        <w:rPr>
          <w:spacing w:val="-6"/>
          <w:sz w:val="22"/>
        </w:rPr>
        <w:t>Abbasi</w:t>
      </w:r>
    </w:p>
    <w:p>
      <w:pPr>
        <w:pStyle w:val="Heading9"/>
        <w:spacing w:before="81"/>
        <w:rPr>
          <w:rFonts w:ascii="Cambria"/>
        </w:rPr>
      </w:pPr>
      <w:r>
        <w:rPr>
          <w:b w:val="0"/>
        </w:rPr>
        <w:br w:type="column"/>
      </w:r>
      <w:r>
        <w:rPr>
          <w:rFonts w:ascii="Cambria"/>
          <w:spacing w:val="-2"/>
        </w:rPr>
        <w:t>Staff</w:t>
      </w:r>
    </w:p>
    <w:p>
      <w:pPr>
        <w:pStyle w:val="ListParagraph"/>
        <w:numPr>
          <w:ilvl w:val="0"/>
          <w:numId w:val="103"/>
        </w:numPr>
        <w:tabs>
          <w:tab w:pos="1439" w:val="left" w:leader="none"/>
        </w:tabs>
        <w:spacing w:line="240" w:lineRule="auto" w:before="26" w:after="0"/>
        <w:ind w:left="1439" w:right="0" w:hanging="359"/>
        <w:jc w:val="left"/>
        <w:rPr>
          <w:sz w:val="22"/>
        </w:rPr>
      </w:pPr>
      <w:r>
        <w:rPr>
          <w:spacing w:val="-6"/>
          <w:sz w:val="22"/>
        </w:rPr>
        <w:t>Sunil</w:t>
      </w:r>
      <w:r>
        <w:rPr>
          <w:spacing w:val="-5"/>
          <w:sz w:val="22"/>
        </w:rPr>
        <w:t> </w:t>
      </w:r>
      <w:r>
        <w:rPr>
          <w:spacing w:val="-6"/>
          <w:sz w:val="22"/>
        </w:rPr>
        <w:t>Bahri</w:t>
      </w:r>
      <w:r>
        <w:rPr>
          <w:spacing w:val="-4"/>
          <w:sz w:val="22"/>
        </w:rPr>
        <w:t> </w:t>
      </w:r>
      <w:r>
        <w:rPr>
          <w:spacing w:val="-6"/>
          <w:sz w:val="22"/>
        </w:rPr>
        <w:t>(Executive</w:t>
      </w:r>
      <w:r>
        <w:rPr>
          <w:spacing w:val="-4"/>
          <w:sz w:val="22"/>
        </w:rPr>
        <w:t> </w:t>
      </w:r>
      <w:r>
        <w:rPr>
          <w:spacing w:val="-6"/>
          <w:sz w:val="22"/>
        </w:rPr>
        <w:t>Director)</w:t>
      </w:r>
    </w:p>
    <w:p>
      <w:pPr>
        <w:pStyle w:val="ListParagraph"/>
        <w:numPr>
          <w:ilvl w:val="0"/>
          <w:numId w:val="103"/>
        </w:numPr>
        <w:tabs>
          <w:tab w:pos="1439" w:val="left" w:leader="none"/>
        </w:tabs>
        <w:spacing w:line="240" w:lineRule="auto" w:before="27" w:after="0"/>
        <w:ind w:left="1439" w:right="0" w:hanging="359"/>
        <w:jc w:val="left"/>
        <w:rPr>
          <w:sz w:val="22"/>
        </w:rPr>
      </w:pPr>
      <w:r>
        <w:rPr>
          <w:spacing w:val="-6"/>
          <w:sz w:val="22"/>
        </w:rPr>
        <w:t>Mitakshara</w:t>
      </w:r>
      <w:r>
        <w:rPr>
          <w:spacing w:val="2"/>
          <w:sz w:val="22"/>
        </w:rPr>
        <w:t> </w:t>
      </w:r>
      <w:r>
        <w:rPr>
          <w:spacing w:val="-6"/>
          <w:sz w:val="22"/>
        </w:rPr>
        <w:t>Kumari</w:t>
      </w:r>
      <w:r>
        <w:rPr>
          <w:spacing w:val="3"/>
          <w:sz w:val="22"/>
        </w:rPr>
        <w:t> </w:t>
      </w:r>
      <w:r>
        <w:rPr>
          <w:spacing w:val="-6"/>
          <w:sz w:val="22"/>
        </w:rPr>
        <w:t>(Research</w:t>
      </w:r>
      <w:r>
        <w:rPr>
          <w:spacing w:val="3"/>
          <w:sz w:val="22"/>
        </w:rPr>
        <w:t> </w:t>
      </w:r>
      <w:r>
        <w:rPr>
          <w:spacing w:val="-6"/>
          <w:sz w:val="22"/>
        </w:rPr>
        <w:t>Associate)</w:t>
      </w:r>
    </w:p>
    <w:p>
      <w:pPr>
        <w:pStyle w:val="ListParagraph"/>
        <w:numPr>
          <w:ilvl w:val="0"/>
          <w:numId w:val="103"/>
        </w:numPr>
        <w:tabs>
          <w:tab w:pos="1439" w:val="left" w:leader="none"/>
        </w:tabs>
        <w:spacing w:line="240" w:lineRule="auto" w:before="27" w:after="0"/>
        <w:ind w:left="1439" w:right="0" w:hanging="359"/>
        <w:jc w:val="left"/>
        <w:rPr>
          <w:sz w:val="22"/>
        </w:rPr>
      </w:pPr>
      <w:r>
        <w:rPr>
          <w:spacing w:val="-6"/>
          <w:sz w:val="22"/>
        </w:rPr>
        <w:t>Rohan</w:t>
      </w:r>
      <w:r>
        <w:rPr>
          <w:spacing w:val="5"/>
          <w:sz w:val="22"/>
        </w:rPr>
        <w:t> </w:t>
      </w:r>
      <w:r>
        <w:rPr>
          <w:spacing w:val="-6"/>
          <w:sz w:val="22"/>
        </w:rPr>
        <w:t>Mukherjee</w:t>
      </w:r>
      <w:r>
        <w:rPr>
          <w:spacing w:val="5"/>
          <w:sz w:val="22"/>
        </w:rPr>
        <w:t> </w:t>
      </w:r>
      <w:r>
        <w:rPr>
          <w:spacing w:val="-6"/>
          <w:sz w:val="22"/>
        </w:rPr>
        <w:t>(Research</w:t>
      </w:r>
      <w:r>
        <w:rPr>
          <w:spacing w:val="5"/>
          <w:sz w:val="22"/>
        </w:rPr>
        <w:t> </w:t>
      </w:r>
      <w:r>
        <w:rPr>
          <w:spacing w:val="-6"/>
          <w:sz w:val="22"/>
        </w:rPr>
        <w:t>Associate)</w:t>
      </w:r>
    </w:p>
    <w:p>
      <w:pPr>
        <w:pStyle w:val="ListParagraph"/>
        <w:numPr>
          <w:ilvl w:val="0"/>
          <w:numId w:val="103"/>
        </w:numPr>
        <w:tabs>
          <w:tab w:pos="1439" w:val="left" w:leader="none"/>
        </w:tabs>
        <w:spacing w:line="240" w:lineRule="auto" w:before="27" w:after="0"/>
        <w:ind w:left="1439" w:right="0" w:hanging="359"/>
        <w:jc w:val="left"/>
        <w:rPr>
          <w:sz w:val="22"/>
        </w:rPr>
      </w:pPr>
      <w:r>
        <w:rPr>
          <w:spacing w:val="-6"/>
          <w:sz w:val="22"/>
        </w:rPr>
        <w:t>Shriya Anand (Research</w:t>
      </w:r>
      <w:r>
        <w:rPr>
          <w:spacing w:val="-5"/>
          <w:sz w:val="22"/>
        </w:rPr>
        <w:t> </w:t>
      </w:r>
      <w:r>
        <w:rPr>
          <w:spacing w:val="-6"/>
          <w:sz w:val="22"/>
        </w:rPr>
        <w:t>Associate)</w:t>
      </w:r>
    </w:p>
    <w:p>
      <w:pPr>
        <w:pStyle w:val="ListParagraph"/>
        <w:numPr>
          <w:ilvl w:val="0"/>
          <w:numId w:val="103"/>
        </w:numPr>
        <w:tabs>
          <w:tab w:pos="1439" w:val="left" w:leader="none"/>
        </w:tabs>
        <w:spacing w:line="240" w:lineRule="auto" w:before="27" w:after="0"/>
        <w:ind w:left="1439" w:right="0" w:hanging="359"/>
        <w:jc w:val="left"/>
        <w:rPr>
          <w:sz w:val="22"/>
        </w:rPr>
      </w:pPr>
      <w:r>
        <w:rPr>
          <w:spacing w:val="-6"/>
          <w:sz w:val="22"/>
        </w:rPr>
        <w:t>Shomikho</w:t>
      </w:r>
      <w:r>
        <w:rPr>
          <w:spacing w:val="3"/>
          <w:sz w:val="22"/>
        </w:rPr>
        <w:t> </w:t>
      </w:r>
      <w:r>
        <w:rPr>
          <w:spacing w:val="-6"/>
          <w:sz w:val="22"/>
        </w:rPr>
        <w:t>Raha</w:t>
      </w:r>
      <w:r>
        <w:rPr>
          <w:spacing w:val="3"/>
          <w:sz w:val="22"/>
        </w:rPr>
        <w:t> </w:t>
      </w:r>
      <w:r>
        <w:rPr>
          <w:spacing w:val="-6"/>
          <w:sz w:val="22"/>
        </w:rPr>
        <w:t>(Research</w:t>
      </w:r>
      <w:r>
        <w:rPr>
          <w:spacing w:val="3"/>
          <w:sz w:val="22"/>
        </w:rPr>
        <w:t> </w:t>
      </w:r>
      <w:r>
        <w:rPr>
          <w:spacing w:val="-6"/>
          <w:sz w:val="22"/>
        </w:rPr>
        <w:t>Associate)</w:t>
      </w:r>
    </w:p>
    <w:p>
      <w:pPr>
        <w:pStyle w:val="ListParagraph"/>
        <w:numPr>
          <w:ilvl w:val="0"/>
          <w:numId w:val="103"/>
        </w:numPr>
        <w:tabs>
          <w:tab w:pos="1439" w:val="left" w:leader="none"/>
        </w:tabs>
        <w:spacing w:line="240" w:lineRule="auto" w:before="27" w:after="0"/>
        <w:ind w:left="1439" w:right="0" w:hanging="359"/>
        <w:jc w:val="left"/>
        <w:rPr>
          <w:sz w:val="22"/>
        </w:rPr>
      </w:pPr>
      <w:r>
        <w:rPr>
          <w:spacing w:val="-6"/>
          <w:sz w:val="22"/>
        </w:rPr>
        <w:t>Kaushik</w:t>
      </w:r>
      <w:r>
        <w:rPr>
          <w:spacing w:val="-4"/>
          <w:sz w:val="22"/>
        </w:rPr>
        <w:t> </w:t>
      </w:r>
      <w:r>
        <w:rPr>
          <w:spacing w:val="-6"/>
          <w:sz w:val="22"/>
        </w:rPr>
        <w:t>Barua</w:t>
      </w:r>
      <w:r>
        <w:rPr>
          <w:spacing w:val="-4"/>
          <w:sz w:val="22"/>
        </w:rPr>
        <w:t> </w:t>
      </w:r>
      <w:r>
        <w:rPr>
          <w:spacing w:val="-6"/>
          <w:sz w:val="22"/>
        </w:rPr>
        <w:t>(Research</w:t>
      </w:r>
      <w:r>
        <w:rPr>
          <w:spacing w:val="-4"/>
          <w:sz w:val="22"/>
        </w:rPr>
        <w:t> </w:t>
      </w:r>
      <w:r>
        <w:rPr>
          <w:spacing w:val="-6"/>
          <w:sz w:val="22"/>
        </w:rPr>
        <w:t>Associate)</w:t>
      </w:r>
    </w:p>
    <w:p>
      <w:pPr>
        <w:pStyle w:val="ListParagraph"/>
        <w:numPr>
          <w:ilvl w:val="0"/>
          <w:numId w:val="103"/>
        </w:numPr>
        <w:tabs>
          <w:tab w:pos="1439" w:val="left" w:leader="none"/>
        </w:tabs>
        <w:spacing w:line="240" w:lineRule="auto" w:before="27" w:after="0"/>
        <w:ind w:left="1439" w:right="0" w:hanging="359"/>
        <w:jc w:val="left"/>
        <w:rPr>
          <w:sz w:val="22"/>
        </w:rPr>
      </w:pPr>
      <w:r>
        <w:rPr>
          <w:w w:val="90"/>
          <w:sz w:val="22"/>
        </w:rPr>
        <w:t>Aditi</w:t>
      </w:r>
      <w:r>
        <w:rPr>
          <w:spacing w:val="12"/>
          <w:sz w:val="22"/>
        </w:rPr>
        <w:t> </w:t>
      </w:r>
      <w:r>
        <w:rPr>
          <w:w w:val="90"/>
          <w:sz w:val="22"/>
        </w:rPr>
        <w:t>Saraf</w:t>
      </w:r>
      <w:r>
        <w:rPr>
          <w:spacing w:val="13"/>
          <w:sz w:val="22"/>
        </w:rPr>
        <w:t> </w:t>
      </w:r>
      <w:r>
        <w:rPr>
          <w:w w:val="90"/>
          <w:sz w:val="22"/>
        </w:rPr>
        <w:t>(Research</w:t>
      </w:r>
      <w:r>
        <w:rPr>
          <w:spacing w:val="12"/>
          <w:sz w:val="22"/>
        </w:rPr>
        <w:t> </w:t>
      </w:r>
      <w:r>
        <w:rPr>
          <w:spacing w:val="-2"/>
          <w:w w:val="90"/>
          <w:sz w:val="22"/>
        </w:rPr>
        <w:t>Associate)</w:t>
      </w:r>
    </w:p>
    <w:p>
      <w:pPr>
        <w:pStyle w:val="ListParagraph"/>
        <w:numPr>
          <w:ilvl w:val="0"/>
          <w:numId w:val="103"/>
        </w:numPr>
        <w:tabs>
          <w:tab w:pos="1439" w:val="left" w:leader="none"/>
        </w:tabs>
        <w:spacing w:line="240" w:lineRule="auto" w:before="27" w:after="0"/>
        <w:ind w:left="1439" w:right="0" w:hanging="359"/>
        <w:jc w:val="left"/>
        <w:rPr>
          <w:sz w:val="22"/>
        </w:rPr>
      </w:pPr>
      <w:r>
        <w:rPr>
          <w:w w:val="90"/>
          <w:sz w:val="22"/>
        </w:rPr>
        <w:t>Pallavi</w:t>
      </w:r>
      <w:r>
        <w:rPr>
          <w:spacing w:val="16"/>
          <w:sz w:val="22"/>
        </w:rPr>
        <w:t> </w:t>
      </w:r>
      <w:r>
        <w:rPr>
          <w:w w:val="90"/>
          <w:sz w:val="22"/>
        </w:rPr>
        <w:t>Raghavan</w:t>
      </w:r>
      <w:r>
        <w:rPr>
          <w:spacing w:val="17"/>
          <w:sz w:val="22"/>
        </w:rPr>
        <w:t> </w:t>
      </w:r>
      <w:r>
        <w:rPr>
          <w:w w:val="90"/>
          <w:sz w:val="22"/>
        </w:rPr>
        <w:t>(Research</w:t>
      </w:r>
      <w:r>
        <w:rPr>
          <w:spacing w:val="17"/>
          <w:sz w:val="22"/>
        </w:rPr>
        <w:t> </w:t>
      </w:r>
      <w:r>
        <w:rPr>
          <w:spacing w:val="-2"/>
          <w:w w:val="90"/>
          <w:sz w:val="22"/>
        </w:rPr>
        <w:t>Associate)</w:t>
      </w:r>
    </w:p>
    <w:p>
      <w:pPr>
        <w:pStyle w:val="ListParagraph"/>
        <w:numPr>
          <w:ilvl w:val="0"/>
          <w:numId w:val="103"/>
        </w:numPr>
        <w:tabs>
          <w:tab w:pos="1439" w:val="left" w:leader="none"/>
        </w:tabs>
        <w:spacing w:line="240" w:lineRule="auto" w:before="27" w:after="0"/>
        <w:ind w:left="1439" w:right="0" w:hanging="359"/>
        <w:jc w:val="left"/>
        <w:rPr>
          <w:sz w:val="22"/>
        </w:rPr>
      </w:pPr>
      <w:r>
        <w:rPr>
          <w:spacing w:val="-6"/>
          <w:sz w:val="22"/>
        </w:rPr>
        <w:t>Pratibha</w:t>
      </w:r>
      <w:r>
        <w:rPr>
          <w:spacing w:val="-4"/>
          <w:sz w:val="22"/>
        </w:rPr>
        <w:t> </w:t>
      </w:r>
      <w:r>
        <w:rPr>
          <w:spacing w:val="-6"/>
          <w:sz w:val="22"/>
        </w:rPr>
        <w:t>Bajaj</w:t>
      </w:r>
      <w:r>
        <w:rPr>
          <w:spacing w:val="-3"/>
          <w:sz w:val="22"/>
        </w:rPr>
        <w:t> </w:t>
      </w:r>
      <w:r>
        <w:rPr>
          <w:spacing w:val="-6"/>
          <w:sz w:val="22"/>
        </w:rPr>
        <w:t>(Research</w:t>
      </w:r>
      <w:r>
        <w:rPr>
          <w:spacing w:val="-3"/>
          <w:sz w:val="22"/>
        </w:rPr>
        <w:t> </w:t>
      </w:r>
      <w:r>
        <w:rPr>
          <w:spacing w:val="-6"/>
          <w:sz w:val="22"/>
        </w:rPr>
        <w:t>Associate)</w:t>
      </w:r>
    </w:p>
    <w:p>
      <w:pPr>
        <w:pStyle w:val="ListParagraph"/>
        <w:numPr>
          <w:ilvl w:val="0"/>
          <w:numId w:val="103"/>
        </w:numPr>
        <w:tabs>
          <w:tab w:pos="1439" w:val="left" w:leader="none"/>
        </w:tabs>
        <w:spacing w:line="240" w:lineRule="auto" w:before="27" w:after="0"/>
        <w:ind w:left="1439" w:right="0" w:hanging="359"/>
        <w:jc w:val="left"/>
        <w:rPr>
          <w:sz w:val="22"/>
        </w:rPr>
      </w:pPr>
      <w:r>
        <w:rPr>
          <w:spacing w:val="-2"/>
          <w:sz w:val="22"/>
        </w:rPr>
        <w:t>Kanan</w:t>
      </w:r>
      <w:r>
        <w:rPr>
          <w:spacing w:val="-12"/>
          <w:sz w:val="22"/>
        </w:rPr>
        <w:t> </w:t>
      </w:r>
      <w:r>
        <w:rPr>
          <w:spacing w:val="-2"/>
          <w:sz w:val="22"/>
        </w:rPr>
        <w:t>Dhru</w:t>
      </w:r>
      <w:r>
        <w:rPr>
          <w:spacing w:val="-12"/>
          <w:sz w:val="22"/>
        </w:rPr>
        <w:t> </w:t>
      </w:r>
      <w:r>
        <w:rPr>
          <w:spacing w:val="-2"/>
          <w:sz w:val="22"/>
        </w:rPr>
        <w:t>(Research</w:t>
      </w:r>
      <w:r>
        <w:rPr>
          <w:spacing w:val="-11"/>
          <w:sz w:val="22"/>
        </w:rPr>
        <w:t> </w:t>
      </w:r>
      <w:r>
        <w:rPr>
          <w:spacing w:val="-2"/>
          <w:sz w:val="22"/>
        </w:rPr>
        <w:t>Associate)</w:t>
      </w:r>
    </w:p>
    <w:p>
      <w:pPr>
        <w:spacing w:after="0" w:line="240" w:lineRule="auto"/>
        <w:jc w:val="left"/>
        <w:rPr>
          <w:sz w:val="22"/>
        </w:rPr>
        <w:sectPr>
          <w:type w:val="continuous"/>
          <w:pgSz w:w="11910" w:h="16840"/>
          <w:pgMar w:header="0" w:footer="675" w:top="1920" w:bottom="280" w:left="0" w:right="0"/>
          <w:cols w:num="2" w:equalWidth="0">
            <w:col w:w="3731" w:space="1322"/>
            <w:col w:w="6857"/>
          </w:cols>
        </w:sectPr>
      </w:pPr>
    </w:p>
    <w:p>
      <w:pPr>
        <w:pStyle w:val="BodyText"/>
        <w:spacing w:before="4"/>
        <w:rPr>
          <w:sz w:val="17"/>
        </w:rPr>
      </w:pPr>
    </w:p>
    <w:p>
      <w:pPr>
        <w:spacing w:after="0"/>
        <w:rPr>
          <w:sz w:val="17"/>
        </w:rPr>
        <w:sectPr>
          <w:footerReference w:type="default" r:id="rId721"/>
          <w:pgSz w:w="11910" w:h="16840"/>
          <w:pgMar w:header="0" w:footer="0" w:top="19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rPr>
          <w:sz w:val="20"/>
        </w:rPr>
      </w:pPr>
    </w:p>
    <w:p>
      <w:pPr>
        <w:pStyle w:val="BodyText"/>
        <w:ind w:left="1931"/>
        <w:rPr>
          <w:sz w:val="20"/>
        </w:rPr>
      </w:pPr>
      <w:r>
        <w:rPr>
          <w:sz w:val="20"/>
        </w:rPr>
        <mc:AlternateContent>
          <mc:Choice Requires="wps">
            <w:drawing>
              <wp:inline distT="0" distB="0" distL="0" distR="0">
                <wp:extent cx="5094605" cy="5673725"/>
                <wp:effectExtent l="0" t="0" r="0" b="3175"/>
                <wp:docPr id="2423" name="Group 2423"/>
                <wp:cNvGraphicFramePr>
                  <a:graphicFrameLocks/>
                </wp:cNvGraphicFramePr>
                <a:graphic>
                  <a:graphicData uri="http://schemas.microsoft.com/office/word/2010/wordprocessingGroup">
                    <wpg:wgp>
                      <wpg:cNvPr id="2423" name="Group 2423"/>
                      <wpg:cNvGrpSpPr/>
                      <wpg:grpSpPr>
                        <a:xfrm>
                          <a:off x="0" y="0"/>
                          <a:ext cx="5094605" cy="5673725"/>
                          <a:chExt cx="5094605" cy="5673725"/>
                        </a:xfrm>
                      </wpg:grpSpPr>
                      <wps:wsp>
                        <wps:cNvPr id="2424" name="Graphic 2424"/>
                        <wps:cNvSpPr/>
                        <wps:spPr>
                          <a:xfrm>
                            <a:off x="6350" y="6350"/>
                            <a:ext cx="5081905" cy="5661025"/>
                          </a:xfrm>
                          <a:custGeom>
                            <a:avLst/>
                            <a:gdLst/>
                            <a:ahLst/>
                            <a:cxnLst/>
                            <a:rect l="l" t="t" r="r" b="b"/>
                            <a:pathLst>
                              <a:path w="5081905" h="5661025">
                                <a:moveTo>
                                  <a:pt x="0" y="0"/>
                                </a:moveTo>
                                <a:lnTo>
                                  <a:pt x="0" y="5660736"/>
                                </a:lnTo>
                                <a:lnTo>
                                  <a:pt x="5081299" y="5660736"/>
                                </a:lnTo>
                                <a:lnTo>
                                  <a:pt x="5081299" y="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425" name="Graphic 2425"/>
                        <wps:cNvSpPr/>
                        <wps:spPr>
                          <a:xfrm>
                            <a:off x="1311997" y="2545036"/>
                            <a:ext cx="2486025" cy="1270"/>
                          </a:xfrm>
                          <a:custGeom>
                            <a:avLst/>
                            <a:gdLst/>
                            <a:ahLst/>
                            <a:cxnLst/>
                            <a:rect l="l" t="t" r="r" b="b"/>
                            <a:pathLst>
                              <a:path w="2486025" h="0">
                                <a:moveTo>
                                  <a:pt x="0" y="0"/>
                                </a:moveTo>
                                <a:lnTo>
                                  <a:pt x="2486024" y="0"/>
                                </a:lnTo>
                              </a:path>
                            </a:pathLst>
                          </a:custGeom>
                          <a:ln w="12700">
                            <a:solidFill>
                              <a:srgbClr val="2D8741"/>
                            </a:solidFill>
                            <a:prstDash val="solid"/>
                          </a:ln>
                        </wps:spPr>
                        <wps:bodyPr wrap="square" lIns="0" tIns="0" rIns="0" bIns="0" rtlCol="0">
                          <a:prstTxWarp prst="textNoShape">
                            <a:avLst/>
                          </a:prstTxWarp>
                          <a:noAutofit/>
                        </wps:bodyPr>
                      </wps:wsp>
                      <wps:wsp>
                        <wps:cNvPr id="2426" name="Textbox 2426"/>
                        <wps:cNvSpPr txBox="1"/>
                        <wps:spPr>
                          <a:xfrm>
                            <a:off x="1276680" y="223266"/>
                            <a:ext cx="2569845" cy="525145"/>
                          </a:xfrm>
                          <a:prstGeom prst="rect">
                            <a:avLst/>
                          </a:prstGeom>
                        </wps:spPr>
                        <wps:txbx>
                          <w:txbxContent>
                            <w:p>
                              <w:pPr>
                                <w:spacing w:line="333" w:lineRule="exact" w:before="0"/>
                                <w:ind w:left="0" w:right="18" w:firstLine="0"/>
                                <w:jc w:val="center"/>
                                <w:rPr>
                                  <w:b/>
                                  <w:sz w:val="30"/>
                                </w:rPr>
                              </w:pPr>
                              <w:r>
                                <w:rPr>
                                  <w:b/>
                                  <w:color w:val="2D8741"/>
                                  <w:w w:val="90"/>
                                  <w:sz w:val="30"/>
                                </w:rPr>
                                <w:t>Advisors</w:t>
                              </w:r>
                              <w:r>
                                <w:rPr>
                                  <w:b/>
                                  <w:color w:val="2D8741"/>
                                  <w:spacing w:val="-6"/>
                                  <w:w w:val="90"/>
                                  <w:sz w:val="30"/>
                                </w:rPr>
                                <w:t> </w:t>
                              </w:r>
                              <w:r>
                                <w:rPr>
                                  <w:b/>
                                  <w:color w:val="2D8741"/>
                                  <w:w w:val="90"/>
                                  <w:sz w:val="30"/>
                                </w:rPr>
                                <w:t>and</w:t>
                              </w:r>
                              <w:r>
                                <w:rPr>
                                  <w:b/>
                                  <w:color w:val="2D8741"/>
                                  <w:spacing w:val="-5"/>
                                  <w:w w:val="90"/>
                                  <w:sz w:val="30"/>
                                </w:rPr>
                                <w:t> </w:t>
                              </w:r>
                              <w:r>
                                <w:rPr>
                                  <w:b/>
                                  <w:color w:val="2D8741"/>
                                  <w:spacing w:val="-2"/>
                                  <w:w w:val="90"/>
                                  <w:sz w:val="30"/>
                                </w:rPr>
                                <w:t>Staff</w:t>
                              </w:r>
                            </w:p>
                            <w:p>
                              <w:pPr>
                                <w:spacing w:before="129"/>
                                <w:ind w:left="0" w:right="18" w:firstLine="0"/>
                                <w:jc w:val="center"/>
                                <w:rPr>
                                  <w:b/>
                                  <w:sz w:val="30"/>
                                </w:rPr>
                              </w:pPr>
                              <w:r>
                                <w:rPr>
                                  <w:b/>
                                  <w:w w:val="90"/>
                                  <w:sz w:val="30"/>
                                </w:rPr>
                                <w:t>National</w:t>
                              </w:r>
                              <w:r>
                                <w:rPr>
                                  <w:b/>
                                  <w:spacing w:val="36"/>
                                  <w:sz w:val="30"/>
                                </w:rPr>
                                <w:t> </w:t>
                              </w:r>
                              <w:r>
                                <w:rPr>
                                  <w:b/>
                                  <w:w w:val="90"/>
                                  <w:sz w:val="30"/>
                                </w:rPr>
                                <w:t>Knowledge</w:t>
                              </w:r>
                              <w:r>
                                <w:rPr>
                                  <w:b/>
                                  <w:spacing w:val="37"/>
                                  <w:sz w:val="30"/>
                                </w:rPr>
                                <w:t> </w:t>
                              </w:r>
                              <w:r>
                                <w:rPr>
                                  <w:b/>
                                  <w:spacing w:val="-2"/>
                                  <w:w w:val="90"/>
                                  <w:sz w:val="30"/>
                                </w:rPr>
                                <w:t>Commission</w:t>
                              </w:r>
                            </w:p>
                          </w:txbxContent>
                        </wps:txbx>
                        <wps:bodyPr wrap="square" lIns="0" tIns="0" rIns="0" bIns="0" rtlCol="0">
                          <a:noAutofit/>
                        </wps:bodyPr>
                      </wps:wsp>
                      <wps:wsp>
                        <wps:cNvPr id="2427" name="Textbox 2427"/>
                        <wps:cNvSpPr txBox="1"/>
                        <wps:spPr>
                          <a:xfrm>
                            <a:off x="242009" y="1076617"/>
                            <a:ext cx="1263015" cy="558800"/>
                          </a:xfrm>
                          <a:prstGeom prst="rect">
                            <a:avLst/>
                          </a:prstGeom>
                        </wps:spPr>
                        <wps:txbx>
                          <w:txbxContent>
                            <w:p>
                              <w:pPr>
                                <w:spacing w:line="223" w:lineRule="auto" w:before="7"/>
                                <w:ind w:left="0" w:right="0" w:firstLine="0"/>
                                <w:jc w:val="left"/>
                                <w:rPr>
                                  <w:sz w:val="26"/>
                                </w:rPr>
                              </w:pPr>
                              <w:r>
                                <w:rPr>
                                  <w:b/>
                                  <w:color w:val="2D8741"/>
                                  <w:w w:val="90"/>
                                  <w:sz w:val="28"/>
                                </w:rPr>
                                <w:t>M</w:t>
                              </w:r>
                              <w:r>
                                <w:rPr>
                                  <w:b/>
                                  <w:color w:val="2D8741"/>
                                  <w:w w:val="90"/>
                                  <w:sz w:val="26"/>
                                </w:rPr>
                                <w:t>r. S. </w:t>
                              </w:r>
                              <w:r>
                                <w:rPr>
                                  <w:b/>
                                  <w:color w:val="2D8741"/>
                                  <w:w w:val="90"/>
                                  <w:sz w:val="26"/>
                                </w:rPr>
                                <w:t>Regunathan </w:t>
                              </w:r>
                              <w:r>
                                <w:rPr>
                                  <w:spacing w:val="-2"/>
                                  <w:sz w:val="26"/>
                                </w:rPr>
                                <w:t>Advisor </w:t>
                              </w:r>
                              <w:hyperlink r:id="rId723">
                                <w:r>
                                  <w:rPr>
                                    <w:spacing w:val="-2"/>
                                    <w:sz w:val="26"/>
                                  </w:rPr>
                                  <w:t>regu@nic.in</w:t>
                                </w:r>
                              </w:hyperlink>
                            </w:p>
                          </w:txbxContent>
                        </wps:txbx>
                        <wps:bodyPr wrap="square" lIns="0" tIns="0" rIns="0" bIns="0" rtlCol="0">
                          <a:noAutofit/>
                        </wps:bodyPr>
                      </wps:wsp>
                      <wps:wsp>
                        <wps:cNvPr id="2428" name="Textbox 2428"/>
                        <wps:cNvSpPr txBox="1"/>
                        <wps:spPr>
                          <a:xfrm>
                            <a:off x="3112208" y="1087958"/>
                            <a:ext cx="1062355" cy="548005"/>
                          </a:xfrm>
                          <a:prstGeom prst="rect">
                            <a:avLst/>
                          </a:prstGeom>
                        </wps:spPr>
                        <wps:txbx>
                          <w:txbxContent>
                            <w:p>
                              <w:pPr>
                                <w:spacing w:line="225" w:lineRule="auto" w:before="4"/>
                                <w:ind w:left="0" w:right="0" w:firstLine="0"/>
                                <w:jc w:val="left"/>
                                <w:rPr>
                                  <w:sz w:val="26"/>
                                </w:rPr>
                              </w:pPr>
                              <w:r>
                                <w:rPr>
                                  <w:b/>
                                  <w:color w:val="2D8741"/>
                                  <w:w w:val="90"/>
                                  <w:sz w:val="26"/>
                                </w:rPr>
                                <w:t>Dr.</w:t>
                              </w:r>
                              <w:r>
                                <w:rPr>
                                  <w:b/>
                                  <w:color w:val="2D8741"/>
                                  <w:spacing w:val="-9"/>
                                  <w:w w:val="90"/>
                                  <w:sz w:val="26"/>
                                </w:rPr>
                                <w:t> </w:t>
                              </w:r>
                              <w:r>
                                <w:rPr>
                                  <w:b/>
                                  <w:color w:val="2D8741"/>
                                  <w:w w:val="90"/>
                                  <w:sz w:val="26"/>
                                </w:rPr>
                                <w:t>Kiran</w:t>
                              </w:r>
                              <w:r>
                                <w:rPr>
                                  <w:b/>
                                  <w:color w:val="2D8741"/>
                                  <w:spacing w:val="-9"/>
                                  <w:w w:val="90"/>
                                  <w:sz w:val="26"/>
                                </w:rPr>
                                <w:t> </w:t>
                              </w:r>
                              <w:r>
                                <w:rPr>
                                  <w:b/>
                                  <w:color w:val="2D8741"/>
                                  <w:w w:val="90"/>
                                  <w:sz w:val="26"/>
                                </w:rPr>
                                <w:t>Datar </w:t>
                              </w:r>
                              <w:r>
                                <w:rPr>
                                  <w:spacing w:val="-2"/>
                                  <w:sz w:val="26"/>
                                </w:rPr>
                                <w:t>Advisor </w:t>
                              </w:r>
                              <w:hyperlink r:id="rId724">
                                <w:r>
                                  <w:rPr>
                                    <w:spacing w:val="-2"/>
                                    <w:sz w:val="26"/>
                                  </w:rPr>
                                  <w:t>k.datar@nic.in</w:t>
                                </w:r>
                              </w:hyperlink>
                            </w:p>
                          </w:txbxContent>
                        </wps:txbx>
                        <wps:bodyPr wrap="square" lIns="0" tIns="0" rIns="0" bIns="0" rtlCol="0">
                          <a:noAutofit/>
                        </wps:bodyPr>
                      </wps:wsp>
                      <wps:wsp>
                        <wps:cNvPr id="2429" name="Textbox 2429"/>
                        <wps:cNvSpPr txBox="1"/>
                        <wps:spPr>
                          <a:xfrm>
                            <a:off x="242009" y="1799158"/>
                            <a:ext cx="1083945" cy="370205"/>
                          </a:xfrm>
                          <a:prstGeom prst="rect">
                            <a:avLst/>
                          </a:prstGeom>
                        </wps:spPr>
                        <wps:txbx>
                          <w:txbxContent>
                            <w:p>
                              <w:pPr>
                                <w:spacing w:line="279" w:lineRule="exact" w:before="0"/>
                                <w:ind w:left="0" w:right="0" w:firstLine="0"/>
                                <w:jc w:val="left"/>
                                <w:rPr>
                                  <w:b/>
                                  <w:sz w:val="26"/>
                                </w:rPr>
                              </w:pPr>
                              <w:r>
                                <w:rPr>
                                  <w:b/>
                                  <w:color w:val="2D8741"/>
                                  <w:spacing w:val="-4"/>
                                  <w:sz w:val="26"/>
                                </w:rPr>
                                <w:t>Mr.</w:t>
                              </w:r>
                              <w:r>
                                <w:rPr>
                                  <w:b/>
                                  <w:color w:val="2D8741"/>
                                  <w:spacing w:val="-12"/>
                                  <w:sz w:val="26"/>
                                </w:rPr>
                                <w:t> </w:t>
                              </w:r>
                              <w:r>
                                <w:rPr>
                                  <w:b/>
                                  <w:color w:val="2D8741"/>
                                  <w:spacing w:val="-4"/>
                                  <w:sz w:val="26"/>
                                </w:rPr>
                                <w:t>C.N.S.</w:t>
                              </w:r>
                              <w:r>
                                <w:rPr>
                                  <w:b/>
                                  <w:color w:val="2D8741"/>
                                  <w:spacing w:val="-11"/>
                                  <w:sz w:val="26"/>
                                </w:rPr>
                                <w:t> </w:t>
                              </w:r>
                              <w:r>
                                <w:rPr>
                                  <w:b/>
                                  <w:color w:val="2D8741"/>
                                  <w:spacing w:val="-7"/>
                                  <w:sz w:val="26"/>
                                </w:rPr>
                                <w:t>Nair</w:t>
                              </w:r>
                            </w:p>
                            <w:p>
                              <w:pPr>
                                <w:spacing w:line="289" w:lineRule="exact" w:before="0"/>
                                <w:ind w:left="0" w:right="0" w:firstLine="0"/>
                                <w:jc w:val="left"/>
                                <w:rPr>
                                  <w:sz w:val="26"/>
                                </w:rPr>
                              </w:pPr>
                              <w:r>
                                <w:rPr>
                                  <w:spacing w:val="-2"/>
                                  <w:sz w:val="26"/>
                                </w:rPr>
                                <w:t>Advisor</w:t>
                              </w:r>
                            </w:p>
                          </w:txbxContent>
                        </wps:txbx>
                        <wps:bodyPr wrap="square" lIns="0" tIns="0" rIns="0" bIns="0" rtlCol="0">
                          <a:noAutofit/>
                        </wps:bodyPr>
                      </wps:wsp>
                      <wps:wsp>
                        <wps:cNvPr id="2430" name="Textbox 2430"/>
                        <wps:cNvSpPr txBox="1"/>
                        <wps:spPr>
                          <a:xfrm>
                            <a:off x="3112208" y="1799158"/>
                            <a:ext cx="1236345" cy="548005"/>
                          </a:xfrm>
                          <a:prstGeom prst="rect">
                            <a:avLst/>
                          </a:prstGeom>
                        </wps:spPr>
                        <wps:txbx>
                          <w:txbxContent>
                            <w:p>
                              <w:pPr>
                                <w:spacing w:line="225" w:lineRule="auto" w:before="4"/>
                                <w:ind w:left="0" w:right="0" w:firstLine="0"/>
                                <w:jc w:val="left"/>
                                <w:rPr>
                                  <w:sz w:val="26"/>
                                </w:rPr>
                              </w:pPr>
                              <w:r>
                                <w:rPr>
                                  <w:b/>
                                  <w:color w:val="2D8741"/>
                                  <w:w w:val="90"/>
                                  <w:sz w:val="26"/>
                                </w:rPr>
                                <w:t>Dr.</w:t>
                              </w:r>
                              <w:r>
                                <w:rPr>
                                  <w:b/>
                                  <w:color w:val="2D8741"/>
                                  <w:spacing w:val="-2"/>
                                  <w:w w:val="90"/>
                                  <w:sz w:val="26"/>
                                </w:rPr>
                                <w:t> </w:t>
                              </w:r>
                              <w:r>
                                <w:rPr>
                                  <w:b/>
                                  <w:color w:val="2D8741"/>
                                  <w:w w:val="90"/>
                                  <w:sz w:val="26"/>
                                </w:rPr>
                                <w:t>Kumud</w:t>
                              </w:r>
                              <w:r>
                                <w:rPr>
                                  <w:b/>
                                  <w:color w:val="2D8741"/>
                                  <w:spacing w:val="-2"/>
                                  <w:w w:val="90"/>
                                  <w:sz w:val="26"/>
                                </w:rPr>
                                <w:t> </w:t>
                              </w:r>
                              <w:r>
                                <w:rPr>
                                  <w:b/>
                                  <w:color w:val="2D8741"/>
                                  <w:w w:val="90"/>
                                  <w:sz w:val="26"/>
                                </w:rPr>
                                <w:t>Bansal </w:t>
                              </w:r>
                              <w:r>
                                <w:rPr>
                                  <w:spacing w:val="-2"/>
                                  <w:sz w:val="26"/>
                                </w:rPr>
                                <w:t>Advisor </w:t>
                              </w:r>
                              <w:hyperlink r:id="rId725">
                                <w:r>
                                  <w:rPr>
                                    <w:spacing w:val="-2"/>
                                    <w:sz w:val="26"/>
                                  </w:rPr>
                                  <w:t>k.bansal@nic.in</w:t>
                                </w:r>
                              </w:hyperlink>
                            </w:p>
                          </w:txbxContent>
                        </wps:txbx>
                        <wps:bodyPr wrap="square" lIns="0" tIns="0" rIns="0" bIns="0" rtlCol="0">
                          <a:noAutofit/>
                        </wps:bodyPr>
                      </wps:wsp>
                      <wps:wsp>
                        <wps:cNvPr id="2431" name="Textbox 2431"/>
                        <wps:cNvSpPr txBox="1"/>
                        <wps:spPr>
                          <a:xfrm>
                            <a:off x="242009" y="2865958"/>
                            <a:ext cx="1683385" cy="548005"/>
                          </a:xfrm>
                          <a:prstGeom prst="rect">
                            <a:avLst/>
                          </a:prstGeom>
                        </wps:spPr>
                        <wps:txbx>
                          <w:txbxContent>
                            <w:p>
                              <w:pPr>
                                <w:spacing w:line="225" w:lineRule="auto" w:before="4"/>
                                <w:ind w:left="0" w:right="0" w:firstLine="0"/>
                                <w:jc w:val="left"/>
                                <w:rPr>
                                  <w:sz w:val="26"/>
                                </w:rPr>
                              </w:pPr>
                              <w:r>
                                <w:rPr>
                                  <w:b/>
                                  <w:color w:val="2D8741"/>
                                  <w:w w:val="90"/>
                                  <w:sz w:val="26"/>
                                </w:rPr>
                                <w:t>Mr. Amlanjyoti </w:t>
                              </w:r>
                              <w:r>
                                <w:rPr>
                                  <w:b/>
                                  <w:color w:val="2D8741"/>
                                  <w:w w:val="90"/>
                                  <w:sz w:val="26"/>
                                </w:rPr>
                                <w:t>Goswami </w:t>
                              </w:r>
                              <w:r>
                                <w:rPr>
                                  <w:sz w:val="26"/>
                                </w:rPr>
                                <w:t>Research Associate </w:t>
                              </w:r>
                              <w:hyperlink r:id="rId726">
                                <w:r>
                                  <w:rPr>
                                    <w:spacing w:val="-2"/>
                                    <w:sz w:val="26"/>
                                  </w:rPr>
                                  <w:t>a.goswami@nic.in</w:t>
                                </w:r>
                              </w:hyperlink>
                            </w:p>
                          </w:txbxContent>
                        </wps:txbx>
                        <wps:bodyPr wrap="square" lIns="0" tIns="0" rIns="0" bIns="0" rtlCol="0">
                          <a:noAutofit/>
                        </wps:bodyPr>
                      </wps:wsp>
                      <wps:wsp>
                        <wps:cNvPr id="2432" name="Textbox 2432"/>
                        <wps:cNvSpPr txBox="1"/>
                        <wps:spPr>
                          <a:xfrm>
                            <a:off x="3112208" y="2865958"/>
                            <a:ext cx="1322705" cy="548005"/>
                          </a:xfrm>
                          <a:prstGeom prst="rect">
                            <a:avLst/>
                          </a:prstGeom>
                        </wps:spPr>
                        <wps:txbx>
                          <w:txbxContent>
                            <w:p>
                              <w:pPr>
                                <w:spacing w:line="225" w:lineRule="auto" w:before="4"/>
                                <w:ind w:left="0" w:right="0" w:firstLine="0"/>
                                <w:jc w:val="left"/>
                                <w:rPr>
                                  <w:sz w:val="26"/>
                                </w:rPr>
                              </w:pPr>
                              <w:r>
                                <w:rPr>
                                  <w:b/>
                                  <w:color w:val="2D8741"/>
                                  <w:spacing w:val="-8"/>
                                  <w:sz w:val="26"/>
                                </w:rPr>
                                <w:t>Ms.</w:t>
                              </w:r>
                              <w:r>
                                <w:rPr>
                                  <w:b/>
                                  <w:color w:val="2D8741"/>
                                  <w:spacing w:val="-9"/>
                                  <w:sz w:val="26"/>
                                </w:rPr>
                                <w:t> </w:t>
                              </w:r>
                              <w:r>
                                <w:rPr>
                                  <w:b/>
                                  <w:color w:val="2D8741"/>
                                  <w:spacing w:val="-8"/>
                                  <w:sz w:val="26"/>
                                </w:rPr>
                                <w:t>Namita</w:t>
                              </w:r>
                              <w:r>
                                <w:rPr>
                                  <w:b/>
                                  <w:color w:val="2D8741"/>
                                  <w:spacing w:val="-9"/>
                                  <w:sz w:val="26"/>
                                </w:rPr>
                                <w:t> </w:t>
                              </w:r>
                              <w:r>
                                <w:rPr>
                                  <w:b/>
                                  <w:color w:val="2D8741"/>
                                  <w:spacing w:val="-8"/>
                                  <w:sz w:val="26"/>
                                </w:rPr>
                                <w:t>Dalmia </w:t>
                              </w:r>
                              <w:r>
                                <w:rPr>
                                  <w:sz w:val="26"/>
                                </w:rPr>
                                <w:t>Research</w:t>
                              </w:r>
                              <w:r>
                                <w:rPr>
                                  <w:spacing w:val="-4"/>
                                  <w:sz w:val="26"/>
                                </w:rPr>
                                <w:t> </w:t>
                              </w:r>
                              <w:r>
                                <w:rPr>
                                  <w:sz w:val="26"/>
                                </w:rPr>
                                <w:t>Associate </w:t>
                              </w:r>
                              <w:hyperlink r:id="rId727">
                                <w:r>
                                  <w:rPr>
                                    <w:spacing w:val="-2"/>
                                    <w:sz w:val="26"/>
                                  </w:rPr>
                                  <w:t>n.dalmia@nic.in</w:t>
                                </w:r>
                              </w:hyperlink>
                            </w:p>
                          </w:txbxContent>
                        </wps:txbx>
                        <wps:bodyPr wrap="square" lIns="0" tIns="0" rIns="0" bIns="0" rtlCol="0">
                          <a:noAutofit/>
                        </wps:bodyPr>
                      </wps:wsp>
                      <wps:wsp>
                        <wps:cNvPr id="2433" name="Textbox 2433"/>
                        <wps:cNvSpPr txBox="1"/>
                        <wps:spPr>
                          <a:xfrm>
                            <a:off x="242009" y="3577158"/>
                            <a:ext cx="1340485" cy="548005"/>
                          </a:xfrm>
                          <a:prstGeom prst="rect">
                            <a:avLst/>
                          </a:prstGeom>
                        </wps:spPr>
                        <wps:txbx>
                          <w:txbxContent>
                            <w:p>
                              <w:pPr>
                                <w:spacing w:line="225" w:lineRule="auto" w:before="4"/>
                                <w:ind w:left="0" w:right="0" w:firstLine="0"/>
                                <w:jc w:val="left"/>
                                <w:rPr>
                                  <w:sz w:val="26"/>
                                </w:rPr>
                              </w:pPr>
                              <w:r>
                                <w:rPr>
                                  <w:b/>
                                  <w:color w:val="2D8741"/>
                                  <w:w w:val="90"/>
                                  <w:sz w:val="26"/>
                                </w:rPr>
                                <w:t>Ms. Megha </w:t>
                              </w:r>
                              <w:r>
                                <w:rPr>
                                  <w:b/>
                                  <w:color w:val="2D8741"/>
                                  <w:w w:val="90"/>
                                  <w:sz w:val="26"/>
                                </w:rPr>
                                <w:t>Pradhan </w:t>
                              </w:r>
                              <w:r>
                                <w:rPr>
                                  <w:sz w:val="26"/>
                                </w:rPr>
                                <w:t>Research Associate </w:t>
                              </w:r>
                              <w:hyperlink r:id="rId728">
                                <w:r>
                                  <w:rPr>
                                    <w:spacing w:val="-2"/>
                                    <w:sz w:val="26"/>
                                  </w:rPr>
                                  <w:t>m.pradhan@nic.in</w:t>
                                </w:r>
                              </w:hyperlink>
                            </w:p>
                          </w:txbxContent>
                        </wps:txbx>
                        <wps:bodyPr wrap="square" lIns="0" tIns="0" rIns="0" bIns="0" rtlCol="0">
                          <a:noAutofit/>
                        </wps:bodyPr>
                      </wps:wsp>
                      <wps:wsp>
                        <wps:cNvPr id="2434" name="Textbox 2434"/>
                        <wps:cNvSpPr txBox="1"/>
                        <wps:spPr>
                          <a:xfrm>
                            <a:off x="3112208" y="3577158"/>
                            <a:ext cx="1653539" cy="548005"/>
                          </a:xfrm>
                          <a:prstGeom prst="rect">
                            <a:avLst/>
                          </a:prstGeom>
                        </wps:spPr>
                        <wps:txbx>
                          <w:txbxContent>
                            <w:p>
                              <w:pPr>
                                <w:spacing w:line="225" w:lineRule="auto" w:before="4"/>
                                <w:ind w:left="0" w:right="0" w:firstLine="0"/>
                                <w:jc w:val="left"/>
                                <w:rPr>
                                  <w:sz w:val="26"/>
                                </w:rPr>
                              </w:pPr>
                              <w:r>
                                <w:rPr>
                                  <w:b/>
                                  <w:color w:val="2D8741"/>
                                  <w:w w:val="90"/>
                                  <w:sz w:val="26"/>
                                </w:rPr>
                                <w:t>Ms. Sukhman </w:t>
                              </w:r>
                              <w:r>
                                <w:rPr>
                                  <w:b/>
                                  <w:color w:val="2D8741"/>
                                  <w:w w:val="90"/>
                                  <w:sz w:val="26"/>
                                </w:rPr>
                                <w:t>Randhawa </w:t>
                              </w:r>
                              <w:r>
                                <w:rPr>
                                  <w:sz w:val="26"/>
                                </w:rPr>
                                <w:t>Research Associate </w:t>
                              </w:r>
                              <w:hyperlink r:id="rId729">
                                <w:r>
                                  <w:rPr>
                                    <w:spacing w:val="-2"/>
                                    <w:sz w:val="26"/>
                                  </w:rPr>
                                  <w:t>s.randhawa@nic.in</w:t>
                                </w:r>
                              </w:hyperlink>
                            </w:p>
                          </w:txbxContent>
                        </wps:txbx>
                        <wps:bodyPr wrap="square" lIns="0" tIns="0" rIns="0" bIns="0" rtlCol="0">
                          <a:noAutofit/>
                        </wps:bodyPr>
                      </wps:wsp>
                      <wps:wsp>
                        <wps:cNvPr id="2435" name="Textbox 2435"/>
                        <wps:cNvSpPr txBox="1"/>
                        <wps:spPr>
                          <a:xfrm>
                            <a:off x="242009" y="4288358"/>
                            <a:ext cx="1195705" cy="548005"/>
                          </a:xfrm>
                          <a:prstGeom prst="rect">
                            <a:avLst/>
                          </a:prstGeom>
                        </wps:spPr>
                        <wps:txbx>
                          <w:txbxContent>
                            <w:p>
                              <w:pPr>
                                <w:spacing w:line="225" w:lineRule="auto" w:before="4"/>
                                <w:ind w:left="0" w:right="0" w:firstLine="0"/>
                                <w:jc w:val="left"/>
                                <w:rPr>
                                  <w:sz w:val="26"/>
                                </w:rPr>
                              </w:pPr>
                              <w:r>
                                <w:rPr>
                                  <w:b/>
                                  <w:color w:val="2D8741"/>
                                  <w:sz w:val="26"/>
                                </w:rPr>
                                <w:t>Mr. Vikas Bagri </w:t>
                              </w:r>
                              <w:r>
                                <w:rPr>
                                  <w:w w:val="90"/>
                                  <w:sz w:val="26"/>
                                </w:rPr>
                                <w:t>Research</w:t>
                              </w:r>
                              <w:r>
                                <w:rPr>
                                  <w:spacing w:val="-1"/>
                                  <w:w w:val="90"/>
                                  <w:sz w:val="26"/>
                                </w:rPr>
                                <w:t> </w:t>
                              </w:r>
                              <w:r>
                                <w:rPr>
                                  <w:w w:val="90"/>
                                  <w:sz w:val="26"/>
                                </w:rPr>
                                <w:t>Associate </w:t>
                              </w:r>
                              <w:hyperlink r:id="rId730">
                                <w:r>
                                  <w:rPr>
                                    <w:spacing w:val="-2"/>
                                    <w:sz w:val="26"/>
                                  </w:rPr>
                                  <w:t>v.bagri@nic.in</w:t>
                                </w:r>
                              </w:hyperlink>
                            </w:p>
                          </w:txbxContent>
                        </wps:txbx>
                        <wps:bodyPr wrap="square" lIns="0" tIns="0" rIns="0" bIns="0" rtlCol="0">
                          <a:noAutofit/>
                        </wps:bodyPr>
                      </wps:wsp>
                      <wps:wsp>
                        <wps:cNvPr id="2436" name="Textbox 2436"/>
                        <wps:cNvSpPr txBox="1"/>
                        <wps:spPr>
                          <a:xfrm>
                            <a:off x="3112208" y="4288358"/>
                            <a:ext cx="1323975" cy="548005"/>
                          </a:xfrm>
                          <a:prstGeom prst="rect">
                            <a:avLst/>
                          </a:prstGeom>
                        </wps:spPr>
                        <wps:txbx>
                          <w:txbxContent>
                            <w:p>
                              <w:pPr>
                                <w:spacing w:line="225" w:lineRule="auto" w:before="4"/>
                                <w:ind w:left="0" w:right="0" w:firstLine="0"/>
                                <w:jc w:val="left"/>
                                <w:rPr>
                                  <w:sz w:val="26"/>
                                </w:rPr>
                              </w:pPr>
                              <w:r>
                                <w:rPr>
                                  <w:b/>
                                  <w:color w:val="2D8741"/>
                                  <w:spacing w:val="-10"/>
                                  <w:sz w:val="26"/>
                                </w:rPr>
                                <w:t>Ms.</w:t>
                              </w:r>
                              <w:r>
                                <w:rPr>
                                  <w:b/>
                                  <w:color w:val="2D8741"/>
                                  <w:spacing w:val="-7"/>
                                  <w:sz w:val="26"/>
                                </w:rPr>
                                <w:t> </w:t>
                              </w:r>
                              <w:r>
                                <w:rPr>
                                  <w:b/>
                                  <w:color w:val="2D8741"/>
                                  <w:spacing w:val="-10"/>
                                  <w:sz w:val="26"/>
                                </w:rPr>
                                <w:t>Deepti</w:t>
                              </w:r>
                              <w:r>
                                <w:rPr>
                                  <w:b/>
                                  <w:color w:val="2D8741"/>
                                  <w:spacing w:val="-7"/>
                                  <w:sz w:val="26"/>
                                </w:rPr>
                                <w:t> </w:t>
                              </w:r>
                              <w:r>
                                <w:rPr>
                                  <w:b/>
                                  <w:color w:val="2D8741"/>
                                  <w:spacing w:val="-10"/>
                                  <w:sz w:val="26"/>
                                </w:rPr>
                                <w:t>Ayyanki </w:t>
                              </w:r>
                              <w:r>
                                <w:rPr>
                                  <w:sz w:val="26"/>
                                </w:rPr>
                                <w:t>Research Assistant </w:t>
                              </w:r>
                              <w:hyperlink r:id="rId731">
                                <w:r>
                                  <w:rPr>
                                    <w:spacing w:val="-2"/>
                                    <w:sz w:val="26"/>
                                  </w:rPr>
                                  <w:t>d.ayyanki@nic.in</w:t>
                                </w:r>
                              </w:hyperlink>
                            </w:p>
                          </w:txbxContent>
                        </wps:txbx>
                        <wps:bodyPr wrap="square" lIns="0" tIns="0" rIns="0" bIns="0" rtlCol="0">
                          <a:noAutofit/>
                        </wps:bodyPr>
                      </wps:wsp>
                      <wps:wsp>
                        <wps:cNvPr id="2437" name="Textbox 2437"/>
                        <wps:cNvSpPr txBox="1"/>
                        <wps:spPr>
                          <a:xfrm>
                            <a:off x="242009" y="4999558"/>
                            <a:ext cx="1223645" cy="548005"/>
                          </a:xfrm>
                          <a:prstGeom prst="rect">
                            <a:avLst/>
                          </a:prstGeom>
                        </wps:spPr>
                        <wps:txbx>
                          <w:txbxContent>
                            <w:p>
                              <w:pPr>
                                <w:spacing w:line="225" w:lineRule="auto" w:before="4"/>
                                <w:ind w:left="0" w:right="18" w:firstLine="0"/>
                                <w:jc w:val="both"/>
                                <w:rPr>
                                  <w:sz w:val="26"/>
                                </w:rPr>
                              </w:pPr>
                              <w:r>
                                <w:rPr>
                                  <w:b/>
                                  <w:color w:val="2D8741"/>
                                  <w:spacing w:val="-8"/>
                                  <w:sz w:val="26"/>
                                </w:rPr>
                                <w:t>Ms.</w:t>
                              </w:r>
                              <w:r>
                                <w:rPr>
                                  <w:b/>
                                  <w:color w:val="2D8741"/>
                                  <w:spacing w:val="-9"/>
                                  <w:sz w:val="26"/>
                                </w:rPr>
                                <w:t> </w:t>
                              </w:r>
                              <w:r>
                                <w:rPr>
                                  <w:b/>
                                  <w:color w:val="2D8741"/>
                                  <w:spacing w:val="-8"/>
                                  <w:sz w:val="26"/>
                                </w:rPr>
                                <w:t>Aashima Seth </w:t>
                              </w:r>
                              <w:r>
                                <w:rPr>
                                  <w:w w:val="90"/>
                                  <w:sz w:val="26"/>
                                </w:rPr>
                                <w:t>Executive </w:t>
                              </w:r>
                              <w:r>
                                <w:rPr>
                                  <w:w w:val="90"/>
                                  <w:sz w:val="26"/>
                                </w:rPr>
                                <w:t>Assistant </w:t>
                              </w:r>
                              <w:hyperlink r:id="rId732">
                                <w:r>
                                  <w:rPr>
                                    <w:spacing w:val="-2"/>
                                    <w:sz w:val="26"/>
                                  </w:rPr>
                                  <w:t>a.chaney@nic.in</w:t>
                                </w:r>
                              </w:hyperlink>
                            </w:p>
                          </w:txbxContent>
                        </wps:txbx>
                        <wps:bodyPr wrap="square" lIns="0" tIns="0" rIns="0" bIns="0" rtlCol="0">
                          <a:noAutofit/>
                        </wps:bodyPr>
                      </wps:wsp>
                    </wpg:wgp>
                  </a:graphicData>
                </a:graphic>
              </wp:inline>
            </w:drawing>
          </mc:Choice>
          <mc:Fallback>
            <w:pict>
              <v:group style="width:401.15pt;height:446.75pt;mso-position-horizontal-relative:char;mso-position-vertical-relative:line" id="docshapegroup2344" coordorigin="0,0" coordsize="8023,8935">
                <v:rect style="position:absolute;left:10;top:10;width:8003;height:8915" id="docshape2345" filled="false" stroked="true" strokeweight="1pt" strokecolor="#000000">
                  <v:stroke dashstyle="solid"/>
                </v:rect>
                <v:line style="position:absolute" from="2066,4008" to="5981,4008" stroked="true" strokeweight="1pt" strokecolor="#2d8741">
                  <v:stroke dashstyle="solid"/>
                </v:line>
                <v:shape style="position:absolute;left:2010;top:351;width:4047;height:827" type="#_x0000_t202" id="docshape2346" filled="false" stroked="false">
                  <v:textbox inset="0,0,0,0">
                    <w:txbxContent>
                      <w:p>
                        <w:pPr>
                          <w:spacing w:line="333" w:lineRule="exact" w:before="0"/>
                          <w:ind w:left="0" w:right="18" w:firstLine="0"/>
                          <w:jc w:val="center"/>
                          <w:rPr>
                            <w:b/>
                            <w:sz w:val="30"/>
                          </w:rPr>
                        </w:pPr>
                        <w:r>
                          <w:rPr>
                            <w:b/>
                            <w:color w:val="2D8741"/>
                            <w:w w:val="90"/>
                            <w:sz w:val="30"/>
                          </w:rPr>
                          <w:t>Advisors</w:t>
                        </w:r>
                        <w:r>
                          <w:rPr>
                            <w:b/>
                            <w:color w:val="2D8741"/>
                            <w:spacing w:val="-6"/>
                            <w:w w:val="90"/>
                            <w:sz w:val="30"/>
                          </w:rPr>
                          <w:t> </w:t>
                        </w:r>
                        <w:r>
                          <w:rPr>
                            <w:b/>
                            <w:color w:val="2D8741"/>
                            <w:w w:val="90"/>
                            <w:sz w:val="30"/>
                          </w:rPr>
                          <w:t>and</w:t>
                        </w:r>
                        <w:r>
                          <w:rPr>
                            <w:b/>
                            <w:color w:val="2D8741"/>
                            <w:spacing w:val="-5"/>
                            <w:w w:val="90"/>
                            <w:sz w:val="30"/>
                          </w:rPr>
                          <w:t> </w:t>
                        </w:r>
                        <w:r>
                          <w:rPr>
                            <w:b/>
                            <w:color w:val="2D8741"/>
                            <w:spacing w:val="-2"/>
                            <w:w w:val="90"/>
                            <w:sz w:val="30"/>
                          </w:rPr>
                          <w:t>Staff</w:t>
                        </w:r>
                      </w:p>
                      <w:p>
                        <w:pPr>
                          <w:spacing w:before="129"/>
                          <w:ind w:left="0" w:right="18" w:firstLine="0"/>
                          <w:jc w:val="center"/>
                          <w:rPr>
                            <w:b/>
                            <w:sz w:val="30"/>
                          </w:rPr>
                        </w:pPr>
                        <w:r>
                          <w:rPr>
                            <w:b/>
                            <w:w w:val="90"/>
                            <w:sz w:val="30"/>
                          </w:rPr>
                          <w:t>National</w:t>
                        </w:r>
                        <w:r>
                          <w:rPr>
                            <w:b/>
                            <w:spacing w:val="36"/>
                            <w:sz w:val="30"/>
                          </w:rPr>
                          <w:t> </w:t>
                        </w:r>
                        <w:r>
                          <w:rPr>
                            <w:b/>
                            <w:w w:val="90"/>
                            <w:sz w:val="30"/>
                          </w:rPr>
                          <w:t>Knowledge</w:t>
                        </w:r>
                        <w:r>
                          <w:rPr>
                            <w:b/>
                            <w:spacing w:val="37"/>
                            <w:sz w:val="30"/>
                          </w:rPr>
                          <w:t> </w:t>
                        </w:r>
                        <w:r>
                          <w:rPr>
                            <w:b/>
                            <w:spacing w:val="-2"/>
                            <w:w w:val="90"/>
                            <w:sz w:val="30"/>
                          </w:rPr>
                          <w:t>Commission</w:t>
                        </w:r>
                      </w:p>
                    </w:txbxContent>
                  </v:textbox>
                  <w10:wrap type="none"/>
                </v:shape>
                <v:shape style="position:absolute;left:381;top:1695;width:1989;height:880" type="#_x0000_t202" id="docshape2347" filled="false" stroked="false">
                  <v:textbox inset="0,0,0,0">
                    <w:txbxContent>
                      <w:p>
                        <w:pPr>
                          <w:spacing w:line="223" w:lineRule="auto" w:before="7"/>
                          <w:ind w:left="0" w:right="0" w:firstLine="0"/>
                          <w:jc w:val="left"/>
                          <w:rPr>
                            <w:sz w:val="26"/>
                          </w:rPr>
                        </w:pPr>
                        <w:r>
                          <w:rPr>
                            <w:b/>
                            <w:color w:val="2D8741"/>
                            <w:w w:val="90"/>
                            <w:sz w:val="28"/>
                          </w:rPr>
                          <w:t>M</w:t>
                        </w:r>
                        <w:r>
                          <w:rPr>
                            <w:b/>
                            <w:color w:val="2D8741"/>
                            <w:w w:val="90"/>
                            <w:sz w:val="26"/>
                          </w:rPr>
                          <w:t>r. S. </w:t>
                        </w:r>
                        <w:r>
                          <w:rPr>
                            <w:b/>
                            <w:color w:val="2D8741"/>
                            <w:w w:val="90"/>
                            <w:sz w:val="26"/>
                          </w:rPr>
                          <w:t>Regunathan </w:t>
                        </w:r>
                        <w:r>
                          <w:rPr>
                            <w:spacing w:val="-2"/>
                            <w:sz w:val="26"/>
                          </w:rPr>
                          <w:t>Advisor </w:t>
                        </w:r>
                        <w:hyperlink r:id="rId723">
                          <w:r>
                            <w:rPr>
                              <w:spacing w:val="-2"/>
                              <w:sz w:val="26"/>
                            </w:rPr>
                            <w:t>regu@nic.in</w:t>
                          </w:r>
                        </w:hyperlink>
                      </w:p>
                    </w:txbxContent>
                  </v:textbox>
                  <w10:wrap type="none"/>
                </v:shape>
                <v:shape style="position:absolute;left:4901;top:1713;width:1673;height:863" type="#_x0000_t202" id="docshape2348" filled="false" stroked="false">
                  <v:textbox inset="0,0,0,0">
                    <w:txbxContent>
                      <w:p>
                        <w:pPr>
                          <w:spacing w:line="225" w:lineRule="auto" w:before="4"/>
                          <w:ind w:left="0" w:right="0" w:firstLine="0"/>
                          <w:jc w:val="left"/>
                          <w:rPr>
                            <w:sz w:val="26"/>
                          </w:rPr>
                        </w:pPr>
                        <w:r>
                          <w:rPr>
                            <w:b/>
                            <w:color w:val="2D8741"/>
                            <w:w w:val="90"/>
                            <w:sz w:val="26"/>
                          </w:rPr>
                          <w:t>Dr.</w:t>
                        </w:r>
                        <w:r>
                          <w:rPr>
                            <w:b/>
                            <w:color w:val="2D8741"/>
                            <w:spacing w:val="-9"/>
                            <w:w w:val="90"/>
                            <w:sz w:val="26"/>
                          </w:rPr>
                          <w:t> </w:t>
                        </w:r>
                        <w:r>
                          <w:rPr>
                            <w:b/>
                            <w:color w:val="2D8741"/>
                            <w:w w:val="90"/>
                            <w:sz w:val="26"/>
                          </w:rPr>
                          <w:t>Kiran</w:t>
                        </w:r>
                        <w:r>
                          <w:rPr>
                            <w:b/>
                            <w:color w:val="2D8741"/>
                            <w:spacing w:val="-9"/>
                            <w:w w:val="90"/>
                            <w:sz w:val="26"/>
                          </w:rPr>
                          <w:t> </w:t>
                        </w:r>
                        <w:r>
                          <w:rPr>
                            <w:b/>
                            <w:color w:val="2D8741"/>
                            <w:w w:val="90"/>
                            <w:sz w:val="26"/>
                          </w:rPr>
                          <w:t>Datar </w:t>
                        </w:r>
                        <w:r>
                          <w:rPr>
                            <w:spacing w:val="-2"/>
                            <w:sz w:val="26"/>
                          </w:rPr>
                          <w:t>Advisor </w:t>
                        </w:r>
                        <w:hyperlink r:id="rId724">
                          <w:r>
                            <w:rPr>
                              <w:spacing w:val="-2"/>
                              <w:sz w:val="26"/>
                            </w:rPr>
                            <w:t>k.datar@nic.in</w:t>
                          </w:r>
                        </w:hyperlink>
                      </w:p>
                    </w:txbxContent>
                  </v:textbox>
                  <w10:wrap type="none"/>
                </v:shape>
                <v:shape style="position:absolute;left:381;top:2833;width:1707;height:583" type="#_x0000_t202" id="docshape2349" filled="false" stroked="false">
                  <v:textbox inset="0,0,0,0">
                    <w:txbxContent>
                      <w:p>
                        <w:pPr>
                          <w:spacing w:line="279" w:lineRule="exact" w:before="0"/>
                          <w:ind w:left="0" w:right="0" w:firstLine="0"/>
                          <w:jc w:val="left"/>
                          <w:rPr>
                            <w:b/>
                            <w:sz w:val="26"/>
                          </w:rPr>
                        </w:pPr>
                        <w:r>
                          <w:rPr>
                            <w:b/>
                            <w:color w:val="2D8741"/>
                            <w:spacing w:val="-4"/>
                            <w:sz w:val="26"/>
                          </w:rPr>
                          <w:t>Mr.</w:t>
                        </w:r>
                        <w:r>
                          <w:rPr>
                            <w:b/>
                            <w:color w:val="2D8741"/>
                            <w:spacing w:val="-12"/>
                            <w:sz w:val="26"/>
                          </w:rPr>
                          <w:t> </w:t>
                        </w:r>
                        <w:r>
                          <w:rPr>
                            <w:b/>
                            <w:color w:val="2D8741"/>
                            <w:spacing w:val="-4"/>
                            <w:sz w:val="26"/>
                          </w:rPr>
                          <w:t>C.N.S.</w:t>
                        </w:r>
                        <w:r>
                          <w:rPr>
                            <w:b/>
                            <w:color w:val="2D8741"/>
                            <w:spacing w:val="-11"/>
                            <w:sz w:val="26"/>
                          </w:rPr>
                          <w:t> </w:t>
                        </w:r>
                        <w:r>
                          <w:rPr>
                            <w:b/>
                            <w:color w:val="2D8741"/>
                            <w:spacing w:val="-7"/>
                            <w:sz w:val="26"/>
                          </w:rPr>
                          <w:t>Nair</w:t>
                        </w:r>
                      </w:p>
                      <w:p>
                        <w:pPr>
                          <w:spacing w:line="289" w:lineRule="exact" w:before="0"/>
                          <w:ind w:left="0" w:right="0" w:firstLine="0"/>
                          <w:jc w:val="left"/>
                          <w:rPr>
                            <w:sz w:val="26"/>
                          </w:rPr>
                        </w:pPr>
                        <w:r>
                          <w:rPr>
                            <w:spacing w:val="-2"/>
                            <w:sz w:val="26"/>
                          </w:rPr>
                          <w:t>Advisor</w:t>
                        </w:r>
                      </w:p>
                    </w:txbxContent>
                  </v:textbox>
                  <w10:wrap type="none"/>
                </v:shape>
                <v:shape style="position:absolute;left:4901;top:2833;width:1947;height:863" type="#_x0000_t202" id="docshape2350" filled="false" stroked="false">
                  <v:textbox inset="0,0,0,0">
                    <w:txbxContent>
                      <w:p>
                        <w:pPr>
                          <w:spacing w:line="225" w:lineRule="auto" w:before="4"/>
                          <w:ind w:left="0" w:right="0" w:firstLine="0"/>
                          <w:jc w:val="left"/>
                          <w:rPr>
                            <w:sz w:val="26"/>
                          </w:rPr>
                        </w:pPr>
                        <w:r>
                          <w:rPr>
                            <w:b/>
                            <w:color w:val="2D8741"/>
                            <w:w w:val="90"/>
                            <w:sz w:val="26"/>
                          </w:rPr>
                          <w:t>Dr.</w:t>
                        </w:r>
                        <w:r>
                          <w:rPr>
                            <w:b/>
                            <w:color w:val="2D8741"/>
                            <w:spacing w:val="-2"/>
                            <w:w w:val="90"/>
                            <w:sz w:val="26"/>
                          </w:rPr>
                          <w:t> </w:t>
                        </w:r>
                        <w:r>
                          <w:rPr>
                            <w:b/>
                            <w:color w:val="2D8741"/>
                            <w:w w:val="90"/>
                            <w:sz w:val="26"/>
                          </w:rPr>
                          <w:t>Kumud</w:t>
                        </w:r>
                        <w:r>
                          <w:rPr>
                            <w:b/>
                            <w:color w:val="2D8741"/>
                            <w:spacing w:val="-2"/>
                            <w:w w:val="90"/>
                            <w:sz w:val="26"/>
                          </w:rPr>
                          <w:t> </w:t>
                        </w:r>
                        <w:r>
                          <w:rPr>
                            <w:b/>
                            <w:color w:val="2D8741"/>
                            <w:w w:val="90"/>
                            <w:sz w:val="26"/>
                          </w:rPr>
                          <w:t>Bansal </w:t>
                        </w:r>
                        <w:r>
                          <w:rPr>
                            <w:spacing w:val="-2"/>
                            <w:sz w:val="26"/>
                          </w:rPr>
                          <w:t>Advisor </w:t>
                        </w:r>
                        <w:hyperlink r:id="rId725">
                          <w:r>
                            <w:rPr>
                              <w:spacing w:val="-2"/>
                              <w:sz w:val="26"/>
                            </w:rPr>
                            <w:t>k.bansal@nic.in</w:t>
                          </w:r>
                        </w:hyperlink>
                      </w:p>
                    </w:txbxContent>
                  </v:textbox>
                  <w10:wrap type="none"/>
                </v:shape>
                <v:shape style="position:absolute;left:381;top:4513;width:2651;height:863" type="#_x0000_t202" id="docshape2351" filled="false" stroked="false">
                  <v:textbox inset="0,0,0,0">
                    <w:txbxContent>
                      <w:p>
                        <w:pPr>
                          <w:spacing w:line="225" w:lineRule="auto" w:before="4"/>
                          <w:ind w:left="0" w:right="0" w:firstLine="0"/>
                          <w:jc w:val="left"/>
                          <w:rPr>
                            <w:sz w:val="26"/>
                          </w:rPr>
                        </w:pPr>
                        <w:r>
                          <w:rPr>
                            <w:b/>
                            <w:color w:val="2D8741"/>
                            <w:w w:val="90"/>
                            <w:sz w:val="26"/>
                          </w:rPr>
                          <w:t>Mr. Amlanjyoti </w:t>
                        </w:r>
                        <w:r>
                          <w:rPr>
                            <w:b/>
                            <w:color w:val="2D8741"/>
                            <w:w w:val="90"/>
                            <w:sz w:val="26"/>
                          </w:rPr>
                          <w:t>Goswami </w:t>
                        </w:r>
                        <w:r>
                          <w:rPr>
                            <w:sz w:val="26"/>
                          </w:rPr>
                          <w:t>Research Associate </w:t>
                        </w:r>
                        <w:hyperlink r:id="rId726">
                          <w:r>
                            <w:rPr>
                              <w:spacing w:val="-2"/>
                              <w:sz w:val="26"/>
                            </w:rPr>
                            <w:t>a.goswami@nic.in</w:t>
                          </w:r>
                        </w:hyperlink>
                      </w:p>
                    </w:txbxContent>
                  </v:textbox>
                  <w10:wrap type="none"/>
                </v:shape>
                <v:shape style="position:absolute;left:4901;top:4513;width:2083;height:863" type="#_x0000_t202" id="docshape2352" filled="false" stroked="false">
                  <v:textbox inset="0,0,0,0">
                    <w:txbxContent>
                      <w:p>
                        <w:pPr>
                          <w:spacing w:line="225" w:lineRule="auto" w:before="4"/>
                          <w:ind w:left="0" w:right="0" w:firstLine="0"/>
                          <w:jc w:val="left"/>
                          <w:rPr>
                            <w:sz w:val="26"/>
                          </w:rPr>
                        </w:pPr>
                        <w:r>
                          <w:rPr>
                            <w:b/>
                            <w:color w:val="2D8741"/>
                            <w:spacing w:val="-8"/>
                            <w:sz w:val="26"/>
                          </w:rPr>
                          <w:t>Ms.</w:t>
                        </w:r>
                        <w:r>
                          <w:rPr>
                            <w:b/>
                            <w:color w:val="2D8741"/>
                            <w:spacing w:val="-9"/>
                            <w:sz w:val="26"/>
                          </w:rPr>
                          <w:t> </w:t>
                        </w:r>
                        <w:r>
                          <w:rPr>
                            <w:b/>
                            <w:color w:val="2D8741"/>
                            <w:spacing w:val="-8"/>
                            <w:sz w:val="26"/>
                          </w:rPr>
                          <w:t>Namita</w:t>
                        </w:r>
                        <w:r>
                          <w:rPr>
                            <w:b/>
                            <w:color w:val="2D8741"/>
                            <w:spacing w:val="-9"/>
                            <w:sz w:val="26"/>
                          </w:rPr>
                          <w:t> </w:t>
                        </w:r>
                        <w:r>
                          <w:rPr>
                            <w:b/>
                            <w:color w:val="2D8741"/>
                            <w:spacing w:val="-8"/>
                            <w:sz w:val="26"/>
                          </w:rPr>
                          <w:t>Dalmia </w:t>
                        </w:r>
                        <w:r>
                          <w:rPr>
                            <w:sz w:val="26"/>
                          </w:rPr>
                          <w:t>Research</w:t>
                        </w:r>
                        <w:r>
                          <w:rPr>
                            <w:spacing w:val="-4"/>
                            <w:sz w:val="26"/>
                          </w:rPr>
                          <w:t> </w:t>
                        </w:r>
                        <w:r>
                          <w:rPr>
                            <w:sz w:val="26"/>
                          </w:rPr>
                          <w:t>Associate </w:t>
                        </w:r>
                        <w:hyperlink r:id="rId727">
                          <w:r>
                            <w:rPr>
                              <w:spacing w:val="-2"/>
                              <w:sz w:val="26"/>
                            </w:rPr>
                            <w:t>n.dalmia@nic.in</w:t>
                          </w:r>
                        </w:hyperlink>
                      </w:p>
                    </w:txbxContent>
                  </v:textbox>
                  <w10:wrap type="none"/>
                </v:shape>
                <v:shape style="position:absolute;left:381;top:5633;width:2111;height:863" type="#_x0000_t202" id="docshape2353" filled="false" stroked="false">
                  <v:textbox inset="0,0,0,0">
                    <w:txbxContent>
                      <w:p>
                        <w:pPr>
                          <w:spacing w:line="225" w:lineRule="auto" w:before="4"/>
                          <w:ind w:left="0" w:right="0" w:firstLine="0"/>
                          <w:jc w:val="left"/>
                          <w:rPr>
                            <w:sz w:val="26"/>
                          </w:rPr>
                        </w:pPr>
                        <w:r>
                          <w:rPr>
                            <w:b/>
                            <w:color w:val="2D8741"/>
                            <w:w w:val="90"/>
                            <w:sz w:val="26"/>
                          </w:rPr>
                          <w:t>Ms. Megha </w:t>
                        </w:r>
                        <w:r>
                          <w:rPr>
                            <w:b/>
                            <w:color w:val="2D8741"/>
                            <w:w w:val="90"/>
                            <w:sz w:val="26"/>
                          </w:rPr>
                          <w:t>Pradhan </w:t>
                        </w:r>
                        <w:r>
                          <w:rPr>
                            <w:sz w:val="26"/>
                          </w:rPr>
                          <w:t>Research Associate </w:t>
                        </w:r>
                        <w:hyperlink r:id="rId728">
                          <w:r>
                            <w:rPr>
                              <w:spacing w:val="-2"/>
                              <w:sz w:val="26"/>
                            </w:rPr>
                            <w:t>m.pradhan@nic.in</w:t>
                          </w:r>
                        </w:hyperlink>
                      </w:p>
                    </w:txbxContent>
                  </v:textbox>
                  <w10:wrap type="none"/>
                </v:shape>
                <v:shape style="position:absolute;left:4901;top:5633;width:2604;height:863" type="#_x0000_t202" id="docshape2354" filled="false" stroked="false">
                  <v:textbox inset="0,0,0,0">
                    <w:txbxContent>
                      <w:p>
                        <w:pPr>
                          <w:spacing w:line="225" w:lineRule="auto" w:before="4"/>
                          <w:ind w:left="0" w:right="0" w:firstLine="0"/>
                          <w:jc w:val="left"/>
                          <w:rPr>
                            <w:sz w:val="26"/>
                          </w:rPr>
                        </w:pPr>
                        <w:r>
                          <w:rPr>
                            <w:b/>
                            <w:color w:val="2D8741"/>
                            <w:w w:val="90"/>
                            <w:sz w:val="26"/>
                          </w:rPr>
                          <w:t>Ms. Sukhman </w:t>
                        </w:r>
                        <w:r>
                          <w:rPr>
                            <w:b/>
                            <w:color w:val="2D8741"/>
                            <w:w w:val="90"/>
                            <w:sz w:val="26"/>
                          </w:rPr>
                          <w:t>Randhawa </w:t>
                        </w:r>
                        <w:r>
                          <w:rPr>
                            <w:sz w:val="26"/>
                          </w:rPr>
                          <w:t>Research Associate </w:t>
                        </w:r>
                        <w:hyperlink r:id="rId729">
                          <w:r>
                            <w:rPr>
                              <w:spacing w:val="-2"/>
                              <w:sz w:val="26"/>
                            </w:rPr>
                            <w:t>s.randhawa@nic.in</w:t>
                          </w:r>
                        </w:hyperlink>
                      </w:p>
                    </w:txbxContent>
                  </v:textbox>
                  <w10:wrap type="none"/>
                </v:shape>
                <v:shape style="position:absolute;left:381;top:6753;width:1883;height:863" type="#_x0000_t202" id="docshape2355" filled="false" stroked="false">
                  <v:textbox inset="0,0,0,0">
                    <w:txbxContent>
                      <w:p>
                        <w:pPr>
                          <w:spacing w:line="225" w:lineRule="auto" w:before="4"/>
                          <w:ind w:left="0" w:right="0" w:firstLine="0"/>
                          <w:jc w:val="left"/>
                          <w:rPr>
                            <w:sz w:val="26"/>
                          </w:rPr>
                        </w:pPr>
                        <w:r>
                          <w:rPr>
                            <w:b/>
                            <w:color w:val="2D8741"/>
                            <w:sz w:val="26"/>
                          </w:rPr>
                          <w:t>Mr. Vikas Bagri </w:t>
                        </w:r>
                        <w:r>
                          <w:rPr>
                            <w:w w:val="90"/>
                            <w:sz w:val="26"/>
                          </w:rPr>
                          <w:t>Research</w:t>
                        </w:r>
                        <w:r>
                          <w:rPr>
                            <w:spacing w:val="-1"/>
                            <w:w w:val="90"/>
                            <w:sz w:val="26"/>
                          </w:rPr>
                          <w:t> </w:t>
                        </w:r>
                        <w:r>
                          <w:rPr>
                            <w:w w:val="90"/>
                            <w:sz w:val="26"/>
                          </w:rPr>
                          <w:t>Associate </w:t>
                        </w:r>
                        <w:hyperlink r:id="rId730">
                          <w:r>
                            <w:rPr>
                              <w:spacing w:val="-2"/>
                              <w:sz w:val="26"/>
                            </w:rPr>
                            <w:t>v.bagri@nic.in</w:t>
                          </w:r>
                        </w:hyperlink>
                      </w:p>
                    </w:txbxContent>
                  </v:textbox>
                  <w10:wrap type="none"/>
                </v:shape>
                <v:shape style="position:absolute;left:4901;top:6753;width:2085;height:863" type="#_x0000_t202" id="docshape2356" filled="false" stroked="false">
                  <v:textbox inset="0,0,0,0">
                    <w:txbxContent>
                      <w:p>
                        <w:pPr>
                          <w:spacing w:line="225" w:lineRule="auto" w:before="4"/>
                          <w:ind w:left="0" w:right="0" w:firstLine="0"/>
                          <w:jc w:val="left"/>
                          <w:rPr>
                            <w:sz w:val="26"/>
                          </w:rPr>
                        </w:pPr>
                        <w:r>
                          <w:rPr>
                            <w:b/>
                            <w:color w:val="2D8741"/>
                            <w:spacing w:val="-10"/>
                            <w:sz w:val="26"/>
                          </w:rPr>
                          <w:t>Ms.</w:t>
                        </w:r>
                        <w:r>
                          <w:rPr>
                            <w:b/>
                            <w:color w:val="2D8741"/>
                            <w:spacing w:val="-7"/>
                            <w:sz w:val="26"/>
                          </w:rPr>
                          <w:t> </w:t>
                        </w:r>
                        <w:r>
                          <w:rPr>
                            <w:b/>
                            <w:color w:val="2D8741"/>
                            <w:spacing w:val="-10"/>
                            <w:sz w:val="26"/>
                          </w:rPr>
                          <w:t>Deepti</w:t>
                        </w:r>
                        <w:r>
                          <w:rPr>
                            <w:b/>
                            <w:color w:val="2D8741"/>
                            <w:spacing w:val="-7"/>
                            <w:sz w:val="26"/>
                          </w:rPr>
                          <w:t> </w:t>
                        </w:r>
                        <w:r>
                          <w:rPr>
                            <w:b/>
                            <w:color w:val="2D8741"/>
                            <w:spacing w:val="-10"/>
                            <w:sz w:val="26"/>
                          </w:rPr>
                          <w:t>Ayyanki </w:t>
                        </w:r>
                        <w:r>
                          <w:rPr>
                            <w:sz w:val="26"/>
                          </w:rPr>
                          <w:t>Research Assistant </w:t>
                        </w:r>
                        <w:hyperlink r:id="rId731">
                          <w:r>
                            <w:rPr>
                              <w:spacing w:val="-2"/>
                              <w:sz w:val="26"/>
                            </w:rPr>
                            <w:t>d.ayyanki@nic.in</w:t>
                          </w:r>
                        </w:hyperlink>
                      </w:p>
                    </w:txbxContent>
                  </v:textbox>
                  <w10:wrap type="none"/>
                </v:shape>
                <v:shape style="position:absolute;left:381;top:7873;width:1927;height:863" type="#_x0000_t202" id="docshape2357" filled="false" stroked="false">
                  <v:textbox inset="0,0,0,0">
                    <w:txbxContent>
                      <w:p>
                        <w:pPr>
                          <w:spacing w:line="225" w:lineRule="auto" w:before="4"/>
                          <w:ind w:left="0" w:right="18" w:firstLine="0"/>
                          <w:jc w:val="both"/>
                          <w:rPr>
                            <w:sz w:val="26"/>
                          </w:rPr>
                        </w:pPr>
                        <w:r>
                          <w:rPr>
                            <w:b/>
                            <w:color w:val="2D8741"/>
                            <w:spacing w:val="-8"/>
                            <w:sz w:val="26"/>
                          </w:rPr>
                          <w:t>Ms.</w:t>
                        </w:r>
                        <w:r>
                          <w:rPr>
                            <w:b/>
                            <w:color w:val="2D8741"/>
                            <w:spacing w:val="-9"/>
                            <w:sz w:val="26"/>
                          </w:rPr>
                          <w:t> </w:t>
                        </w:r>
                        <w:r>
                          <w:rPr>
                            <w:b/>
                            <w:color w:val="2D8741"/>
                            <w:spacing w:val="-8"/>
                            <w:sz w:val="26"/>
                          </w:rPr>
                          <w:t>Aashima Seth </w:t>
                        </w:r>
                        <w:r>
                          <w:rPr>
                            <w:w w:val="90"/>
                            <w:sz w:val="26"/>
                          </w:rPr>
                          <w:t>Executive </w:t>
                        </w:r>
                        <w:r>
                          <w:rPr>
                            <w:w w:val="90"/>
                            <w:sz w:val="26"/>
                          </w:rPr>
                          <w:t>Assistant </w:t>
                        </w:r>
                        <w:hyperlink r:id="rId732">
                          <w:r>
                            <w:rPr>
                              <w:spacing w:val="-2"/>
                              <w:sz w:val="26"/>
                            </w:rPr>
                            <w:t>a.chaney@nic.in</w:t>
                          </w:r>
                        </w:hyperlink>
                      </w:p>
                    </w:txbxContent>
                  </v:textbox>
                  <w10:wrap type="none"/>
                </v:shape>
              </v:group>
            </w:pict>
          </mc:Fallback>
        </mc:AlternateContent>
      </w:r>
      <w:r>
        <w:rPr>
          <w:sz w:val="20"/>
        </w:rPr>
      </w:r>
    </w:p>
    <w:p>
      <w:pPr>
        <w:spacing w:before="109"/>
        <w:ind w:left="363" w:right="413" w:firstLine="0"/>
        <w:jc w:val="center"/>
        <w:rPr>
          <w:rFonts w:ascii="Cambria"/>
          <w:b/>
          <w:sz w:val="26"/>
        </w:rPr>
      </w:pPr>
      <w:r>
        <w:rPr>
          <w:rFonts w:ascii="Cambria"/>
          <w:b/>
          <w:color w:val="2D8741"/>
          <w:w w:val="85"/>
          <w:sz w:val="26"/>
        </w:rPr>
        <w:t>Website:</w:t>
      </w:r>
      <w:r>
        <w:rPr>
          <w:rFonts w:ascii="Cambria"/>
          <w:b/>
          <w:color w:val="2D8741"/>
          <w:spacing w:val="-1"/>
          <w:w w:val="85"/>
          <w:sz w:val="26"/>
        </w:rPr>
        <w:t> </w:t>
      </w:r>
      <w:hyperlink r:id="rId8">
        <w:r>
          <w:rPr>
            <w:rFonts w:ascii="Cambria"/>
            <w:b/>
            <w:color w:val="2D8741"/>
            <w:spacing w:val="-2"/>
            <w:w w:val="90"/>
            <w:sz w:val="26"/>
          </w:rPr>
          <w:t>www.knowledgecommission.gov.in</w:t>
        </w:r>
      </w:hyperlink>
    </w:p>
    <w:p>
      <w:pPr>
        <w:spacing w:after="0"/>
        <w:jc w:val="center"/>
        <w:rPr>
          <w:rFonts w:ascii="Cambria"/>
          <w:sz w:val="26"/>
        </w:rPr>
        <w:sectPr>
          <w:footerReference w:type="even" r:id="rId722"/>
          <w:pgSz w:w="11910" w:h="16840"/>
          <w:pgMar w:header="0" w:footer="0" w:top="1920" w:bottom="280" w:left="0" w:right="0"/>
        </w:sectPr>
      </w:pPr>
    </w:p>
    <w:p>
      <w:pPr>
        <w:pStyle w:val="BodyText"/>
        <w:rPr>
          <w:rFonts w:ascii="Cambria"/>
          <w:b/>
          <w:sz w:val="17"/>
        </w:rPr>
      </w:pPr>
      <w:r>
        <w:rPr/>
        <w:drawing>
          <wp:anchor distT="0" distB="0" distL="0" distR="0" allowOverlap="1" layoutInCell="1" locked="0" behindDoc="0" simplePos="0" relativeHeight="15915008">
            <wp:simplePos x="0" y="0"/>
            <wp:positionH relativeFrom="page">
              <wp:posOffset>0</wp:posOffset>
            </wp:positionH>
            <wp:positionV relativeFrom="page">
              <wp:posOffset>3</wp:posOffset>
            </wp:positionV>
            <wp:extent cx="7559999" cy="10692000"/>
            <wp:effectExtent l="0" t="0" r="0" b="0"/>
            <wp:wrapNone/>
            <wp:docPr id="2438" name="Image 2438"/>
            <wp:cNvGraphicFramePr>
              <a:graphicFrameLocks/>
            </wp:cNvGraphicFramePr>
            <a:graphic>
              <a:graphicData uri="http://schemas.openxmlformats.org/drawingml/2006/picture">
                <pic:pic>
                  <pic:nvPicPr>
                    <pic:cNvPr id="2438" name="Image 2438"/>
                    <pic:cNvPicPr/>
                  </pic:nvPicPr>
                  <pic:blipFill>
                    <a:blip r:embed="rId734" cstate="print"/>
                    <a:stretch>
                      <a:fillRect/>
                    </a:stretch>
                  </pic:blipFill>
                  <pic:spPr>
                    <a:xfrm>
                      <a:off x="0" y="0"/>
                      <a:ext cx="7559999" cy="10692000"/>
                    </a:xfrm>
                    <a:prstGeom prst="rect">
                      <a:avLst/>
                    </a:prstGeom>
                  </pic:spPr>
                </pic:pic>
              </a:graphicData>
            </a:graphic>
          </wp:anchor>
        </w:drawing>
      </w:r>
    </w:p>
    <w:sectPr>
      <w:footerReference w:type="default" r:id="rId733"/>
      <w:pgSz w:w="11910" w:h="16840"/>
      <w:pgMar w:header="0" w:footer="0"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Wingdings">
    <w:altName w:val="Wingdings"/>
    <w:charset w:val="2"/>
    <w:family w:val="decorative"/>
    <w:pitch w:val="variable"/>
  </w:font>
  <w:font w:name="Cambria">
    <w:altName w:val="Cambria"/>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10848">
              <wp:simplePos x="0" y="0"/>
              <wp:positionH relativeFrom="page">
                <wp:posOffset>162877</wp:posOffset>
              </wp:positionH>
              <wp:positionV relativeFrom="page">
                <wp:posOffset>10136161</wp:posOffset>
              </wp:positionV>
              <wp:extent cx="505459" cy="53403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05459" cy="534035"/>
                        <a:chExt cx="505459" cy="534035"/>
                      </a:xfrm>
                    </wpg:grpSpPr>
                    <pic:pic>
                      <pic:nvPicPr>
                        <pic:cNvPr id="101" name="Image 101"/>
                        <pic:cNvPicPr/>
                      </pic:nvPicPr>
                      <pic:blipFill>
                        <a:blip r:embed="rId1" cstate="print"/>
                        <a:stretch>
                          <a:fillRect/>
                        </a:stretch>
                      </pic:blipFill>
                      <pic:spPr>
                        <a:xfrm>
                          <a:off x="0" y="0"/>
                          <a:ext cx="504863" cy="266939"/>
                        </a:xfrm>
                        <a:prstGeom prst="rect">
                          <a:avLst/>
                        </a:prstGeom>
                      </pic:spPr>
                    </pic:pic>
                    <pic:pic>
                      <pic:nvPicPr>
                        <pic:cNvPr id="102" name="Image 102"/>
                        <pic:cNvPicPr/>
                      </pic:nvPicPr>
                      <pic:blipFill>
                        <a:blip r:embed="rId2" cstate="print"/>
                        <a:stretch>
                          <a:fillRect/>
                        </a:stretch>
                      </pic:blipFill>
                      <pic:spPr>
                        <a:xfrm>
                          <a:off x="0" y="266468"/>
                          <a:ext cx="504863" cy="266968"/>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4005632" id="docshapegroup93" coordorigin="256,15962" coordsize="796,841">
              <v:shape style="position:absolute;left:256;top:15962;width:796;height:421" type="#_x0000_t75" id="docshape94" stroked="false">
                <v:imagedata r:id="rId1" o:title=""/>
              </v:shape>
              <v:shape style="position:absolute;left:256;top:16382;width:796;height:421" type="#_x0000_t75" id="docshape95"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11360">
              <wp:simplePos x="0" y="0"/>
              <wp:positionH relativeFrom="page">
                <wp:posOffset>305328</wp:posOffset>
              </wp:positionH>
              <wp:positionV relativeFrom="page">
                <wp:posOffset>10285017</wp:posOffset>
              </wp:positionV>
              <wp:extent cx="222250" cy="17335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22250"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14</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4.041599pt;margin-top:809.843872pt;width:17.5pt;height:13.65pt;mso-position-horizontal-relative:page;mso-position-vertical-relative:page;z-index:-24005120" type="#_x0000_t202" id="docshape96"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14</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11872">
              <wp:simplePos x="0" y="0"/>
              <wp:positionH relativeFrom="page">
                <wp:posOffset>667583</wp:posOffset>
              </wp:positionH>
              <wp:positionV relativeFrom="page">
                <wp:posOffset>10296248</wp:posOffset>
              </wp:positionV>
              <wp:extent cx="1673860" cy="15811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21pt;width:131.8pt;height:12.45pt;mso-position-horizontal-relative:page;mso-position-vertical-relative:page;z-index:-24004608" type="#_x0000_t202" id="docshape97"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12384">
              <wp:simplePos x="0" y="0"/>
              <wp:positionH relativeFrom="page">
                <wp:posOffset>6892290</wp:posOffset>
              </wp:positionH>
              <wp:positionV relativeFrom="page">
                <wp:posOffset>10136161</wp:posOffset>
              </wp:positionV>
              <wp:extent cx="505459" cy="534035"/>
              <wp:effectExtent l="0" t="0" r="0" b="0"/>
              <wp:wrapNone/>
              <wp:docPr id="794" name="Group 794"/>
              <wp:cNvGraphicFramePr>
                <a:graphicFrameLocks/>
              </wp:cNvGraphicFramePr>
              <a:graphic>
                <a:graphicData uri="http://schemas.microsoft.com/office/word/2010/wordprocessingGroup">
                  <wpg:wgp>
                    <wpg:cNvPr id="794" name="Group 794"/>
                    <wpg:cNvGrpSpPr/>
                    <wpg:grpSpPr>
                      <a:xfrm>
                        <a:off x="0" y="0"/>
                        <a:ext cx="505459" cy="534035"/>
                        <a:chExt cx="505459" cy="534035"/>
                      </a:xfrm>
                    </wpg:grpSpPr>
                    <pic:pic>
                      <pic:nvPicPr>
                        <pic:cNvPr id="795" name="Image 795"/>
                        <pic:cNvPicPr/>
                      </pic:nvPicPr>
                      <pic:blipFill>
                        <a:blip r:embed="rId1" cstate="print"/>
                        <a:stretch>
                          <a:fillRect/>
                        </a:stretch>
                      </pic:blipFill>
                      <pic:spPr>
                        <a:xfrm>
                          <a:off x="0" y="0"/>
                          <a:ext cx="504862" cy="266946"/>
                        </a:xfrm>
                        <a:prstGeom prst="rect">
                          <a:avLst/>
                        </a:prstGeom>
                      </pic:spPr>
                    </pic:pic>
                    <pic:pic>
                      <pic:nvPicPr>
                        <pic:cNvPr id="796" name="Image 796"/>
                        <pic:cNvPicPr/>
                      </pic:nvPicPr>
                      <pic:blipFill>
                        <a:blip r:embed="rId2" cstate="print"/>
                        <a:stretch>
                          <a:fillRect/>
                        </a:stretch>
                      </pic:blipFill>
                      <pic:spPr>
                        <a:xfrm>
                          <a:off x="0" y="266475"/>
                          <a:ext cx="504862" cy="266962"/>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4004096" id="docshapegroup787" coordorigin="10854,15962" coordsize="796,841">
              <v:shape style="position:absolute;left:10854;top:15962;width:796;height:421" type="#_x0000_t75" id="docshape788" stroked="false">
                <v:imagedata r:id="rId1" o:title=""/>
              </v:shape>
              <v:shape style="position:absolute;left:10854;top:16382;width:796;height:421" type="#_x0000_t75" id="docshape789"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12896">
              <wp:simplePos x="0" y="0"/>
              <wp:positionH relativeFrom="page">
                <wp:posOffset>5858257</wp:posOffset>
              </wp:positionH>
              <wp:positionV relativeFrom="page">
                <wp:posOffset>10285022</wp:posOffset>
              </wp:positionV>
              <wp:extent cx="1398905" cy="17335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1398905" cy="173355"/>
                      </a:xfrm>
                      <a:prstGeom prst="rect">
                        <a:avLst/>
                      </a:prstGeom>
                    </wps:spPr>
                    <wps:txbx>
                      <w:txbxContent>
                        <w:p>
                          <w:pPr>
                            <w:tabs>
                              <w:tab w:pos="1912"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25</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299pt;width:110.15pt;height:13.65pt;mso-position-horizontal-relative:page;mso-position-vertical-relative:page;z-index:-24003584" type="#_x0000_t202" id="docshape790" filled="false" stroked="false">
              <v:textbox inset="0,0,0,0">
                <w:txbxContent>
                  <w:p>
                    <w:pPr>
                      <w:tabs>
                        <w:tab w:pos="1912"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25</w:t>
                    </w:r>
                    <w:r>
                      <w:rPr>
                        <w:rFonts w:ascii="Trebuchet MS"/>
                        <w:spacing w:val="-5"/>
                        <w:sz w:val="20"/>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13408">
              <wp:simplePos x="0" y="0"/>
              <wp:positionH relativeFrom="page">
                <wp:posOffset>162877</wp:posOffset>
              </wp:positionH>
              <wp:positionV relativeFrom="page">
                <wp:posOffset>10136161</wp:posOffset>
              </wp:positionV>
              <wp:extent cx="505459" cy="534035"/>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505459" cy="534035"/>
                        <a:chExt cx="505459" cy="534035"/>
                      </a:xfrm>
                    </wpg:grpSpPr>
                    <pic:pic>
                      <pic:nvPicPr>
                        <pic:cNvPr id="799" name="Image 799"/>
                        <pic:cNvPicPr/>
                      </pic:nvPicPr>
                      <pic:blipFill>
                        <a:blip r:embed="rId1" cstate="print"/>
                        <a:stretch>
                          <a:fillRect/>
                        </a:stretch>
                      </pic:blipFill>
                      <pic:spPr>
                        <a:xfrm>
                          <a:off x="0" y="0"/>
                          <a:ext cx="504863" cy="266946"/>
                        </a:xfrm>
                        <a:prstGeom prst="rect">
                          <a:avLst/>
                        </a:prstGeom>
                      </pic:spPr>
                    </pic:pic>
                    <pic:pic>
                      <pic:nvPicPr>
                        <pic:cNvPr id="800" name="Image 800"/>
                        <pic:cNvPicPr/>
                      </pic:nvPicPr>
                      <pic:blipFill>
                        <a:blip r:embed="rId2" cstate="print"/>
                        <a:stretch>
                          <a:fillRect/>
                        </a:stretch>
                      </pic:blipFill>
                      <pic:spPr>
                        <a:xfrm>
                          <a:off x="0" y="266475"/>
                          <a:ext cx="504863" cy="266962"/>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4003072" id="docshapegroup791" coordorigin="256,15962" coordsize="796,841">
              <v:shape style="position:absolute;left:256;top:15962;width:796;height:421" type="#_x0000_t75" id="docshape792" stroked="false">
                <v:imagedata r:id="rId1" o:title=""/>
              </v:shape>
              <v:shape style="position:absolute;left:256;top:16382;width:796;height:421" type="#_x0000_t75" id="docshape793"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13920">
              <wp:simplePos x="0" y="0"/>
              <wp:positionH relativeFrom="page">
                <wp:posOffset>305328</wp:posOffset>
              </wp:positionH>
              <wp:positionV relativeFrom="page">
                <wp:posOffset>10285022</wp:posOffset>
              </wp:positionV>
              <wp:extent cx="222250" cy="173355"/>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222250"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26</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4.041599pt;margin-top:809.844299pt;width:17.5pt;height:13.65pt;mso-position-horizontal-relative:page;mso-position-vertical-relative:page;z-index:-24002560" type="#_x0000_t202" id="docshape794"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26</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14432">
              <wp:simplePos x="0" y="0"/>
              <wp:positionH relativeFrom="page">
                <wp:posOffset>667583</wp:posOffset>
              </wp:positionH>
              <wp:positionV relativeFrom="page">
                <wp:posOffset>10296254</wp:posOffset>
              </wp:positionV>
              <wp:extent cx="1673860" cy="158115"/>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699pt;width:131.8pt;height:12.45pt;mso-position-horizontal-relative:page;mso-position-vertical-relative:page;z-index:-24002048" type="#_x0000_t202" id="docshape795"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05216">
              <wp:simplePos x="0" y="0"/>
              <wp:positionH relativeFrom="page">
                <wp:posOffset>6892290</wp:posOffset>
              </wp:positionH>
              <wp:positionV relativeFrom="page">
                <wp:posOffset>10136161</wp:posOffset>
              </wp:positionV>
              <wp:extent cx="505459" cy="53403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505459" cy="534035"/>
                        <a:chExt cx="505459" cy="534035"/>
                      </a:xfrm>
                    </wpg:grpSpPr>
                    <pic:pic>
                      <pic:nvPicPr>
                        <pic:cNvPr id="13" name="Image 13"/>
                        <pic:cNvPicPr/>
                      </pic:nvPicPr>
                      <pic:blipFill>
                        <a:blip r:embed="rId1" cstate="print"/>
                        <a:stretch>
                          <a:fillRect/>
                        </a:stretch>
                      </pic:blipFill>
                      <pic:spPr>
                        <a:xfrm>
                          <a:off x="0" y="0"/>
                          <a:ext cx="504862" cy="266946"/>
                        </a:xfrm>
                        <a:prstGeom prst="rect">
                          <a:avLst/>
                        </a:prstGeom>
                      </pic:spPr>
                    </pic:pic>
                    <pic:pic>
                      <pic:nvPicPr>
                        <pic:cNvPr id="14" name="Image 14"/>
                        <pic:cNvPicPr/>
                      </pic:nvPicPr>
                      <pic:blipFill>
                        <a:blip r:embed="rId2" cstate="print"/>
                        <a:stretch>
                          <a:fillRect/>
                        </a:stretch>
                      </pic:blipFill>
                      <pic:spPr>
                        <a:xfrm>
                          <a:off x="0" y="266475"/>
                          <a:ext cx="504862" cy="266962"/>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4011264" id="docshapegroup9" coordorigin="10854,15962" coordsize="796,841">
              <v:shape style="position:absolute;left:10854;top:15962;width:796;height:421" type="#_x0000_t75" id="docshape10" stroked="false">
                <v:imagedata r:id="rId1" o:title=""/>
              </v:shape>
              <v:shape style="position:absolute;left:10854;top:16382;width:796;height:421" type="#_x0000_t75" id="docshape11"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05728">
              <wp:simplePos x="0" y="0"/>
              <wp:positionH relativeFrom="page">
                <wp:posOffset>5858257</wp:posOffset>
              </wp:positionH>
              <wp:positionV relativeFrom="page">
                <wp:posOffset>10285028</wp:posOffset>
              </wp:positionV>
              <wp:extent cx="1398905" cy="17335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398905" cy="173355"/>
                      </a:xfrm>
                      <a:prstGeom prst="rect">
                        <a:avLst/>
                      </a:prstGeom>
                    </wps:spPr>
                    <wps:txbx>
                      <w:txbxContent>
                        <w:p>
                          <w:pPr>
                            <w:tabs>
                              <w:tab w:pos="1912"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11</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788pt;width:110.15pt;height:13.65pt;mso-position-horizontal-relative:page;mso-position-vertical-relative:page;z-index:-24010752" type="#_x0000_t202" id="docshape12" filled="false" stroked="false">
              <v:textbox inset="0,0,0,0">
                <w:txbxContent>
                  <w:p>
                    <w:pPr>
                      <w:tabs>
                        <w:tab w:pos="1912"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11</w:t>
                    </w:r>
                    <w:r>
                      <w:rPr>
                        <w:rFonts w:ascii="Trebuchet MS"/>
                        <w:spacing w:val="-5"/>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14944">
              <wp:simplePos x="0" y="0"/>
              <wp:positionH relativeFrom="page">
                <wp:posOffset>6892290</wp:posOffset>
              </wp:positionH>
              <wp:positionV relativeFrom="page">
                <wp:posOffset>10136161</wp:posOffset>
              </wp:positionV>
              <wp:extent cx="505459" cy="534035"/>
              <wp:effectExtent l="0" t="0" r="0" b="0"/>
              <wp:wrapNone/>
              <wp:docPr id="845" name="Group 845"/>
              <wp:cNvGraphicFramePr>
                <a:graphicFrameLocks/>
              </wp:cNvGraphicFramePr>
              <a:graphic>
                <a:graphicData uri="http://schemas.microsoft.com/office/word/2010/wordprocessingGroup">
                  <wpg:wgp>
                    <wpg:cNvPr id="845" name="Group 845"/>
                    <wpg:cNvGrpSpPr/>
                    <wpg:grpSpPr>
                      <a:xfrm>
                        <a:off x="0" y="0"/>
                        <a:ext cx="505459" cy="534035"/>
                        <a:chExt cx="505459" cy="534035"/>
                      </a:xfrm>
                    </wpg:grpSpPr>
                    <pic:pic>
                      <pic:nvPicPr>
                        <pic:cNvPr id="846" name="Image 846"/>
                        <pic:cNvPicPr/>
                      </pic:nvPicPr>
                      <pic:blipFill>
                        <a:blip r:embed="rId1" cstate="print"/>
                        <a:stretch>
                          <a:fillRect/>
                        </a:stretch>
                      </pic:blipFill>
                      <pic:spPr>
                        <a:xfrm>
                          <a:off x="0" y="0"/>
                          <a:ext cx="504862" cy="266939"/>
                        </a:xfrm>
                        <a:prstGeom prst="rect">
                          <a:avLst/>
                        </a:prstGeom>
                      </pic:spPr>
                    </pic:pic>
                    <pic:pic>
                      <pic:nvPicPr>
                        <pic:cNvPr id="847" name="Image 847"/>
                        <pic:cNvPicPr/>
                      </pic:nvPicPr>
                      <pic:blipFill>
                        <a:blip r:embed="rId2" cstate="print"/>
                        <a:stretch>
                          <a:fillRect/>
                        </a:stretch>
                      </pic:blipFill>
                      <pic:spPr>
                        <a:xfrm>
                          <a:off x="0" y="266468"/>
                          <a:ext cx="504862" cy="266968"/>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4001536" id="docshapegroup838" coordorigin="10854,15962" coordsize="796,841">
              <v:shape style="position:absolute;left:10854;top:15962;width:796;height:421" type="#_x0000_t75" id="docshape839" stroked="false">
                <v:imagedata r:id="rId1" o:title=""/>
              </v:shape>
              <v:shape style="position:absolute;left:10854;top:16382;width:796;height:421" type="#_x0000_t75" id="docshape840"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15456">
              <wp:simplePos x="0" y="0"/>
              <wp:positionH relativeFrom="page">
                <wp:posOffset>5858257</wp:posOffset>
              </wp:positionH>
              <wp:positionV relativeFrom="page">
                <wp:posOffset>10285022</wp:posOffset>
              </wp:positionV>
              <wp:extent cx="1431925" cy="173355"/>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14319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101</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299pt;width:112.75pt;height:13.65pt;mso-position-horizontal-relative:page;mso-position-vertical-relative:page;z-index:-24001024" type="#_x0000_t202" id="docshape841"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101</w:t>
                    </w:r>
                    <w:r>
                      <w:rPr>
                        <w:rFonts w:ascii="Trebuchet MS"/>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15968">
              <wp:simplePos x="0" y="0"/>
              <wp:positionH relativeFrom="page">
                <wp:posOffset>162877</wp:posOffset>
              </wp:positionH>
              <wp:positionV relativeFrom="page">
                <wp:posOffset>10136161</wp:posOffset>
              </wp:positionV>
              <wp:extent cx="505459" cy="534035"/>
              <wp:effectExtent l="0" t="0" r="0" b="0"/>
              <wp:wrapNone/>
              <wp:docPr id="849" name="Group 849"/>
              <wp:cNvGraphicFramePr>
                <a:graphicFrameLocks/>
              </wp:cNvGraphicFramePr>
              <a:graphic>
                <a:graphicData uri="http://schemas.microsoft.com/office/word/2010/wordprocessingGroup">
                  <wpg:wgp>
                    <wpg:cNvPr id="849" name="Group 849"/>
                    <wpg:cNvGrpSpPr/>
                    <wpg:grpSpPr>
                      <a:xfrm>
                        <a:off x="0" y="0"/>
                        <a:ext cx="505459" cy="534035"/>
                        <a:chExt cx="505459" cy="534035"/>
                      </a:xfrm>
                    </wpg:grpSpPr>
                    <pic:pic>
                      <pic:nvPicPr>
                        <pic:cNvPr id="850" name="Image 850"/>
                        <pic:cNvPicPr/>
                      </pic:nvPicPr>
                      <pic:blipFill>
                        <a:blip r:embed="rId1" cstate="print"/>
                        <a:stretch>
                          <a:fillRect/>
                        </a:stretch>
                      </pic:blipFill>
                      <pic:spPr>
                        <a:xfrm>
                          <a:off x="0" y="0"/>
                          <a:ext cx="504863" cy="266952"/>
                        </a:xfrm>
                        <a:prstGeom prst="rect">
                          <a:avLst/>
                        </a:prstGeom>
                      </pic:spPr>
                    </pic:pic>
                    <pic:pic>
                      <pic:nvPicPr>
                        <pic:cNvPr id="851" name="Image 851"/>
                        <pic:cNvPicPr/>
                      </pic:nvPicPr>
                      <pic:blipFill>
                        <a:blip r:embed="rId2" cstate="print"/>
                        <a:stretch>
                          <a:fillRect/>
                        </a:stretch>
                      </pic:blipFill>
                      <pic:spPr>
                        <a:xfrm>
                          <a:off x="0" y="266481"/>
                          <a:ext cx="504863" cy="266956"/>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4000512" id="docshapegroup842" coordorigin="256,15962" coordsize="796,841">
              <v:shape style="position:absolute;left:256;top:15962;width:796;height:421" type="#_x0000_t75" id="docshape843" stroked="false">
                <v:imagedata r:id="rId1" o:title=""/>
              </v:shape>
              <v:shape style="position:absolute;left:256;top:16382;width:796;height:421" type="#_x0000_t75" id="docshape844"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16480">
              <wp:simplePos x="0" y="0"/>
              <wp:positionH relativeFrom="page">
                <wp:posOffset>272028</wp:posOffset>
              </wp:positionH>
              <wp:positionV relativeFrom="page">
                <wp:posOffset>10285022</wp:posOffset>
              </wp:positionV>
              <wp:extent cx="288925" cy="173355"/>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288925"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100</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1.419531pt;margin-top:809.844299pt;width:22.75pt;height:13.65pt;mso-position-horizontal-relative:page;mso-position-vertical-relative:page;z-index:-24000000" type="#_x0000_t202" id="docshape845"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100</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16992">
              <wp:simplePos x="0" y="0"/>
              <wp:positionH relativeFrom="page">
                <wp:posOffset>667583</wp:posOffset>
              </wp:positionH>
              <wp:positionV relativeFrom="page">
                <wp:posOffset>10296254</wp:posOffset>
              </wp:positionV>
              <wp:extent cx="1673860" cy="15811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699pt;width:131.8pt;height:12.45pt;mso-position-horizontal-relative:page;mso-position-vertical-relative:page;z-index:-23999488" type="#_x0000_t202" id="docshape846"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17504">
              <wp:simplePos x="0" y="0"/>
              <wp:positionH relativeFrom="page">
                <wp:posOffset>6892290</wp:posOffset>
              </wp:positionH>
              <wp:positionV relativeFrom="page">
                <wp:posOffset>10136161</wp:posOffset>
              </wp:positionV>
              <wp:extent cx="505459" cy="534035"/>
              <wp:effectExtent l="0" t="0" r="0" b="0"/>
              <wp:wrapNone/>
              <wp:docPr id="945" name="Group 945"/>
              <wp:cNvGraphicFramePr>
                <a:graphicFrameLocks/>
              </wp:cNvGraphicFramePr>
              <a:graphic>
                <a:graphicData uri="http://schemas.microsoft.com/office/word/2010/wordprocessingGroup">
                  <wpg:wgp>
                    <wpg:cNvPr id="945" name="Group 945"/>
                    <wpg:cNvGrpSpPr/>
                    <wpg:grpSpPr>
                      <a:xfrm>
                        <a:off x="0" y="0"/>
                        <a:ext cx="505459" cy="534035"/>
                        <a:chExt cx="505459" cy="534035"/>
                      </a:xfrm>
                    </wpg:grpSpPr>
                    <pic:pic>
                      <pic:nvPicPr>
                        <pic:cNvPr id="946" name="Image 946"/>
                        <pic:cNvPicPr/>
                      </pic:nvPicPr>
                      <pic:blipFill>
                        <a:blip r:embed="rId1" cstate="print"/>
                        <a:stretch>
                          <a:fillRect/>
                        </a:stretch>
                      </pic:blipFill>
                      <pic:spPr>
                        <a:xfrm>
                          <a:off x="0" y="0"/>
                          <a:ext cx="504862" cy="266946"/>
                        </a:xfrm>
                        <a:prstGeom prst="rect">
                          <a:avLst/>
                        </a:prstGeom>
                      </pic:spPr>
                    </pic:pic>
                    <pic:pic>
                      <pic:nvPicPr>
                        <pic:cNvPr id="947" name="Image 947"/>
                        <pic:cNvPicPr/>
                      </pic:nvPicPr>
                      <pic:blipFill>
                        <a:blip r:embed="rId2" cstate="print"/>
                        <a:stretch>
                          <a:fillRect/>
                        </a:stretch>
                      </pic:blipFill>
                      <pic:spPr>
                        <a:xfrm>
                          <a:off x="0" y="266475"/>
                          <a:ext cx="504862" cy="266962"/>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3998976" id="docshapegroup938" coordorigin="10854,15962" coordsize="796,841">
              <v:shape style="position:absolute;left:10854;top:15962;width:796;height:421" type="#_x0000_t75" id="docshape939" stroked="false">
                <v:imagedata r:id="rId1" o:title=""/>
              </v:shape>
              <v:shape style="position:absolute;left:10854;top:16382;width:796;height:421" type="#_x0000_t75" id="docshape940"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18016">
              <wp:simplePos x="0" y="0"/>
              <wp:positionH relativeFrom="page">
                <wp:posOffset>5858257</wp:posOffset>
              </wp:positionH>
              <wp:positionV relativeFrom="page">
                <wp:posOffset>10285022</wp:posOffset>
              </wp:positionV>
              <wp:extent cx="1431925" cy="173355"/>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14319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131</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299pt;width:112.75pt;height:13.65pt;mso-position-horizontal-relative:page;mso-position-vertical-relative:page;z-index:-23998464" type="#_x0000_t202" id="docshape941"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131</w:t>
                    </w:r>
                    <w:r>
                      <w:rPr>
                        <w:rFonts w:ascii="Trebuchet MS"/>
                        <w:spacing w:val="-5"/>
                        <w:sz w:val="2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18528">
              <wp:simplePos x="0" y="0"/>
              <wp:positionH relativeFrom="page">
                <wp:posOffset>162877</wp:posOffset>
              </wp:positionH>
              <wp:positionV relativeFrom="page">
                <wp:posOffset>10136161</wp:posOffset>
              </wp:positionV>
              <wp:extent cx="505459" cy="534035"/>
              <wp:effectExtent l="0" t="0" r="0" b="0"/>
              <wp:wrapNone/>
              <wp:docPr id="949" name="Group 949"/>
              <wp:cNvGraphicFramePr>
                <a:graphicFrameLocks/>
              </wp:cNvGraphicFramePr>
              <a:graphic>
                <a:graphicData uri="http://schemas.microsoft.com/office/word/2010/wordprocessingGroup">
                  <wpg:wgp>
                    <wpg:cNvPr id="949" name="Group 949"/>
                    <wpg:cNvGrpSpPr/>
                    <wpg:grpSpPr>
                      <a:xfrm>
                        <a:off x="0" y="0"/>
                        <a:ext cx="505459" cy="534035"/>
                        <a:chExt cx="505459" cy="534035"/>
                      </a:xfrm>
                    </wpg:grpSpPr>
                    <pic:pic>
                      <pic:nvPicPr>
                        <pic:cNvPr id="950" name="Image 950"/>
                        <pic:cNvPicPr/>
                      </pic:nvPicPr>
                      <pic:blipFill>
                        <a:blip r:embed="rId1" cstate="print"/>
                        <a:stretch>
                          <a:fillRect/>
                        </a:stretch>
                      </pic:blipFill>
                      <pic:spPr>
                        <a:xfrm>
                          <a:off x="0" y="0"/>
                          <a:ext cx="504863" cy="266946"/>
                        </a:xfrm>
                        <a:prstGeom prst="rect">
                          <a:avLst/>
                        </a:prstGeom>
                      </pic:spPr>
                    </pic:pic>
                    <pic:pic>
                      <pic:nvPicPr>
                        <pic:cNvPr id="951" name="Image 951"/>
                        <pic:cNvPicPr/>
                      </pic:nvPicPr>
                      <pic:blipFill>
                        <a:blip r:embed="rId2" cstate="print"/>
                        <a:stretch>
                          <a:fillRect/>
                        </a:stretch>
                      </pic:blipFill>
                      <pic:spPr>
                        <a:xfrm>
                          <a:off x="0" y="266475"/>
                          <a:ext cx="504863" cy="266962"/>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3997952" id="docshapegroup942" coordorigin="256,15962" coordsize="796,841">
              <v:shape style="position:absolute;left:256;top:15962;width:796;height:421" type="#_x0000_t75" id="docshape943" stroked="false">
                <v:imagedata r:id="rId1" o:title=""/>
              </v:shape>
              <v:shape style="position:absolute;left:256;top:16382;width:796;height:421" type="#_x0000_t75" id="docshape944"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19040">
              <wp:simplePos x="0" y="0"/>
              <wp:positionH relativeFrom="page">
                <wp:posOffset>272028</wp:posOffset>
              </wp:positionH>
              <wp:positionV relativeFrom="page">
                <wp:posOffset>10285022</wp:posOffset>
              </wp:positionV>
              <wp:extent cx="288925" cy="173355"/>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288925"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132</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1.419531pt;margin-top:809.844299pt;width:22.75pt;height:13.65pt;mso-position-horizontal-relative:page;mso-position-vertical-relative:page;z-index:-23997440" type="#_x0000_t202" id="docshape945"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132</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19552">
              <wp:simplePos x="0" y="0"/>
              <wp:positionH relativeFrom="page">
                <wp:posOffset>667583</wp:posOffset>
              </wp:positionH>
              <wp:positionV relativeFrom="page">
                <wp:posOffset>10296254</wp:posOffset>
              </wp:positionV>
              <wp:extent cx="1673860" cy="158115"/>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699pt;width:131.8pt;height:12.45pt;mso-position-horizontal-relative:page;mso-position-vertical-relative:page;z-index:-23996928" type="#_x0000_t202" id="docshape946"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20064">
              <wp:simplePos x="0" y="0"/>
              <wp:positionH relativeFrom="page">
                <wp:posOffset>6892290</wp:posOffset>
              </wp:positionH>
              <wp:positionV relativeFrom="page">
                <wp:posOffset>10136161</wp:posOffset>
              </wp:positionV>
              <wp:extent cx="505459" cy="534035"/>
              <wp:effectExtent l="0" t="0" r="0" b="0"/>
              <wp:wrapNone/>
              <wp:docPr id="979" name="Group 979"/>
              <wp:cNvGraphicFramePr>
                <a:graphicFrameLocks/>
              </wp:cNvGraphicFramePr>
              <a:graphic>
                <a:graphicData uri="http://schemas.microsoft.com/office/word/2010/wordprocessingGroup">
                  <wpg:wgp>
                    <wpg:cNvPr id="979" name="Group 979"/>
                    <wpg:cNvGrpSpPr/>
                    <wpg:grpSpPr>
                      <a:xfrm>
                        <a:off x="0" y="0"/>
                        <a:ext cx="505459" cy="534035"/>
                        <a:chExt cx="505459" cy="534035"/>
                      </a:xfrm>
                    </wpg:grpSpPr>
                    <pic:pic>
                      <pic:nvPicPr>
                        <pic:cNvPr id="980" name="Image 980"/>
                        <pic:cNvPicPr/>
                      </pic:nvPicPr>
                      <pic:blipFill>
                        <a:blip r:embed="rId1" cstate="print"/>
                        <a:stretch>
                          <a:fillRect/>
                        </a:stretch>
                      </pic:blipFill>
                      <pic:spPr>
                        <a:xfrm>
                          <a:off x="0" y="0"/>
                          <a:ext cx="504862" cy="266952"/>
                        </a:xfrm>
                        <a:prstGeom prst="rect">
                          <a:avLst/>
                        </a:prstGeom>
                      </pic:spPr>
                    </pic:pic>
                    <pic:pic>
                      <pic:nvPicPr>
                        <pic:cNvPr id="981" name="Image 981"/>
                        <pic:cNvPicPr/>
                      </pic:nvPicPr>
                      <pic:blipFill>
                        <a:blip r:embed="rId2" cstate="print"/>
                        <a:stretch>
                          <a:fillRect/>
                        </a:stretch>
                      </pic:blipFill>
                      <pic:spPr>
                        <a:xfrm>
                          <a:off x="0" y="266481"/>
                          <a:ext cx="504862" cy="266956"/>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3996416" id="docshapegroup970" coordorigin="10854,15962" coordsize="796,841">
              <v:shape style="position:absolute;left:10854;top:15962;width:796;height:421" type="#_x0000_t75" id="docshape971" stroked="false">
                <v:imagedata r:id="rId1" o:title=""/>
              </v:shape>
              <v:shape style="position:absolute;left:10854;top:16382;width:796;height:421" type="#_x0000_t75" id="docshape972"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20576">
              <wp:simplePos x="0" y="0"/>
              <wp:positionH relativeFrom="page">
                <wp:posOffset>5858257</wp:posOffset>
              </wp:positionH>
              <wp:positionV relativeFrom="page">
                <wp:posOffset>10285028</wp:posOffset>
              </wp:positionV>
              <wp:extent cx="1431925" cy="173355"/>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14319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145</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788pt;width:112.75pt;height:13.65pt;mso-position-horizontal-relative:page;mso-position-vertical-relative:page;z-index:-23995904" type="#_x0000_t202" id="docshape973"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145</w:t>
                    </w:r>
                    <w:r>
                      <w:rPr>
                        <w:rFonts w:ascii="Trebuchet MS"/>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06240">
              <wp:simplePos x="0" y="0"/>
              <wp:positionH relativeFrom="page">
                <wp:posOffset>162877</wp:posOffset>
              </wp:positionH>
              <wp:positionV relativeFrom="page">
                <wp:posOffset>10136161</wp:posOffset>
              </wp:positionV>
              <wp:extent cx="505459" cy="53403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505459" cy="534035"/>
                        <a:chExt cx="505459" cy="534035"/>
                      </a:xfrm>
                    </wpg:grpSpPr>
                    <pic:pic>
                      <pic:nvPicPr>
                        <pic:cNvPr id="17" name="Image 17"/>
                        <pic:cNvPicPr/>
                      </pic:nvPicPr>
                      <pic:blipFill>
                        <a:blip r:embed="rId1" cstate="print"/>
                        <a:stretch>
                          <a:fillRect/>
                        </a:stretch>
                      </pic:blipFill>
                      <pic:spPr>
                        <a:xfrm>
                          <a:off x="0" y="0"/>
                          <a:ext cx="504863" cy="266946"/>
                        </a:xfrm>
                        <a:prstGeom prst="rect">
                          <a:avLst/>
                        </a:prstGeom>
                      </pic:spPr>
                    </pic:pic>
                    <pic:pic>
                      <pic:nvPicPr>
                        <pic:cNvPr id="18" name="Image 18"/>
                        <pic:cNvPicPr/>
                      </pic:nvPicPr>
                      <pic:blipFill>
                        <a:blip r:embed="rId2" cstate="print"/>
                        <a:stretch>
                          <a:fillRect/>
                        </a:stretch>
                      </pic:blipFill>
                      <pic:spPr>
                        <a:xfrm>
                          <a:off x="0" y="266475"/>
                          <a:ext cx="504863" cy="266962"/>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4010240" id="docshapegroup13" coordorigin="256,15962" coordsize="796,841">
              <v:shape style="position:absolute;left:256;top:15962;width:796;height:421" type="#_x0000_t75" id="docshape14" stroked="false">
                <v:imagedata r:id="rId1" o:title=""/>
              </v:shape>
              <v:shape style="position:absolute;left:256;top:16382;width:796;height:421" type="#_x0000_t75" id="docshape15"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06752">
              <wp:simplePos x="0" y="0"/>
              <wp:positionH relativeFrom="page">
                <wp:posOffset>338628</wp:posOffset>
              </wp:positionH>
              <wp:positionV relativeFrom="page">
                <wp:posOffset>10285022</wp:posOffset>
              </wp:positionV>
              <wp:extent cx="155575" cy="17335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55575" cy="173355"/>
                      </a:xfrm>
                      <a:prstGeom prst="rect">
                        <a:avLst/>
                      </a:prstGeom>
                    </wps:spPr>
                    <wps:txbx>
                      <w:txbxContent>
                        <w:p>
                          <w:pPr>
                            <w:spacing w:before="20"/>
                            <w:ind w:left="60" w:right="0" w:firstLine="0"/>
                            <w:jc w:val="left"/>
                            <w:rPr>
                              <w:rFonts w:ascii="Trebuchet MS"/>
                              <w:sz w:val="20"/>
                            </w:rPr>
                          </w:pPr>
                          <w:r>
                            <w:rPr>
                              <w:rFonts w:ascii="Trebuchet MS"/>
                              <w:spacing w:val="-10"/>
                              <w:sz w:val="20"/>
                            </w:rPr>
                            <w:fldChar w:fldCharType="begin"/>
                          </w:r>
                          <w:r>
                            <w:rPr>
                              <w:rFonts w:ascii="Trebuchet MS"/>
                              <w:spacing w:val="-10"/>
                              <w:sz w:val="20"/>
                            </w:rPr>
                            <w:instrText> PAGE </w:instrText>
                          </w:r>
                          <w:r>
                            <w:rPr>
                              <w:rFonts w:ascii="Trebuchet MS"/>
                              <w:spacing w:val="-10"/>
                              <w:sz w:val="20"/>
                            </w:rPr>
                            <w:fldChar w:fldCharType="separate"/>
                          </w:r>
                          <w:r>
                            <w:rPr>
                              <w:rFonts w:ascii="Trebuchet MS"/>
                              <w:spacing w:val="-10"/>
                              <w:sz w:val="20"/>
                            </w:rPr>
                            <w:t>4</w:t>
                          </w:r>
                          <w:r>
                            <w:rPr>
                              <w:rFonts w:ascii="Trebuchet MS"/>
                              <w:spacing w:val="-10"/>
                              <w:sz w:val="20"/>
                            </w:rPr>
                            <w:fldChar w:fldCharType="end"/>
                          </w:r>
                        </w:p>
                      </w:txbxContent>
                    </wps:txbx>
                    <wps:bodyPr wrap="square" lIns="0" tIns="0" rIns="0" bIns="0" rtlCol="0">
                      <a:noAutofit/>
                    </wps:bodyPr>
                  </wps:wsp>
                </a:graphicData>
              </a:graphic>
            </wp:anchor>
          </w:drawing>
        </mc:Choice>
        <mc:Fallback>
          <w:pict>
            <v:shape style="position:absolute;margin-left:26.66367pt;margin-top:809.844299pt;width:12.25pt;height:13.65pt;mso-position-horizontal-relative:page;mso-position-vertical-relative:page;z-index:-24009728" type="#_x0000_t202" id="docshape16" filled="false" stroked="false">
              <v:textbox inset="0,0,0,0">
                <w:txbxContent>
                  <w:p>
                    <w:pPr>
                      <w:spacing w:before="20"/>
                      <w:ind w:left="60" w:right="0" w:firstLine="0"/>
                      <w:jc w:val="left"/>
                      <w:rPr>
                        <w:rFonts w:ascii="Trebuchet MS"/>
                        <w:sz w:val="20"/>
                      </w:rPr>
                    </w:pPr>
                    <w:r>
                      <w:rPr>
                        <w:rFonts w:ascii="Trebuchet MS"/>
                        <w:spacing w:val="-10"/>
                        <w:sz w:val="20"/>
                      </w:rPr>
                      <w:fldChar w:fldCharType="begin"/>
                    </w:r>
                    <w:r>
                      <w:rPr>
                        <w:rFonts w:ascii="Trebuchet MS"/>
                        <w:spacing w:val="-10"/>
                        <w:sz w:val="20"/>
                      </w:rPr>
                      <w:instrText> PAGE </w:instrText>
                    </w:r>
                    <w:r>
                      <w:rPr>
                        <w:rFonts w:ascii="Trebuchet MS"/>
                        <w:spacing w:val="-10"/>
                        <w:sz w:val="20"/>
                      </w:rPr>
                      <w:fldChar w:fldCharType="separate"/>
                    </w:r>
                    <w:r>
                      <w:rPr>
                        <w:rFonts w:ascii="Trebuchet MS"/>
                        <w:spacing w:val="-10"/>
                        <w:sz w:val="20"/>
                      </w:rPr>
                      <w:t>4</w:t>
                    </w:r>
                    <w:r>
                      <w:rPr>
                        <w:rFonts w:ascii="Trebuchet MS"/>
                        <w:spacing w:val="-10"/>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07264">
              <wp:simplePos x="0" y="0"/>
              <wp:positionH relativeFrom="page">
                <wp:posOffset>667583</wp:posOffset>
              </wp:positionH>
              <wp:positionV relativeFrom="page">
                <wp:posOffset>10296254</wp:posOffset>
              </wp:positionV>
              <wp:extent cx="1673860" cy="15811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699pt;width:131.8pt;height:12.45pt;mso-position-horizontal-relative:page;mso-position-vertical-relative:page;z-index:-24009216" type="#_x0000_t202" id="docshape17"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21088">
              <wp:simplePos x="0" y="0"/>
              <wp:positionH relativeFrom="page">
                <wp:posOffset>162877</wp:posOffset>
              </wp:positionH>
              <wp:positionV relativeFrom="page">
                <wp:posOffset>10136161</wp:posOffset>
              </wp:positionV>
              <wp:extent cx="505459" cy="534035"/>
              <wp:effectExtent l="0" t="0" r="0" b="0"/>
              <wp:wrapNone/>
              <wp:docPr id="983" name="Group 983"/>
              <wp:cNvGraphicFramePr>
                <a:graphicFrameLocks/>
              </wp:cNvGraphicFramePr>
              <a:graphic>
                <a:graphicData uri="http://schemas.microsoft.com/office/word/2010/wordprocessingGroup">
                  <wpg:wgp>
                    <wpg:cNvPr id="983" name="Group 983"/>
                    <wpg:cNvGrpSpPr/>
                    <wpg:grpSpPr>
                      <a:xfrm>
                        <a:off x="0" y="0"/>
                        <a:ext cx="505459" cy="534035"/>
                        <a:chExt cx="505459" cy="534035"/>
                      </a:xfrm>
                    </wpg:grpSpPr>
                    <pic:pic>
                      <pic:nvPicPr>
                        <pic:cNvPr id="984" name="Image 984"/>
                        <pic:cNvPicPr/>
                      </pic:nvPicPr>
                      <pic:blipFill>
                        <a:blip r:embed="rId1" cstate="print"/>
                        <a:stretch>
                          <a:fillRect/>
                        </a:stretch>
                      </pic:blipFill>
                      <pic:spPr>
                        <a:xfrm>
                          <a:off x="0" y="0"/>
                          <a:ext cx="504863" cy="266952"/>
                        </a:xfrm>
                        <a:prstGeom prst="rect">
                          <a:avLst/>
                        </a:prstGeom>
                      </pic:spPr>
                    </pic:pic>
                    <pic:pic>
                      <pic:nvPicPr>
                        <pic:cNvPr id="985" name="Image 985"/>
                        <pic:cNvPicPr/>
                      </pic:nvPicPr>
                      <pic:blipFill>
                        <a:blip r:embed="rId2" cstate="print"/>
                        <a:stretch>
                          <a:fillRect/>
                        </a:stretch>
                      </pic:blipFill>
                      <pic:spPr>
                        <a:xfrm>
                          <a:off x="0" y="266481"/>
                          <a:ext cx="504863" cy="266956"/>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3995392" id="docshapegroup974" coordorigin="256,15962" coordsize="796,841">
              <v:shape style="position:absolute;left:256;top:15962;width:796;height:421" type="#_x0000_t75" id="docshape975" stroked="false">
                <v:imagedata r:id="rId1" o:title=""/>
              </v:shape>
              <v:shape style="position:absolute;left:256;top:16382;width:796;height:421" type="#_x0000_t75" id="docshape976"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21600">
              <wp:simplePos x="0" y="0"/>
              <wp:positionH relativeFrom="page">
                <wp:posOffset>272028</wp:posOffset>
              </wp:positionH>
              <wp:positionV relativeFrom="page">
                <wp:posOffset>10285028</wp:posOffset>
              </wp:positionV>
              <wp:extent cx="288925" cy="17335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288925"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146</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1.419531pt;margin-top:809.844788pt;width:22.75pt;height:13.65pt;mso-position-horizontal-relative:page;mso-position-vertical-relative:page;z-index:-23994880" type="#_x0000_t202" id="docshape977"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146</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22112">
              <wp:simplePos x="0" y="0"/>
              <wp:positionH relativeFrom="page">
                <wp:posOffset>667583</wp:posOffset>
              </wp:positionH>
              <wp:positionV relativeFrom="page">
                <wp:posOffset>10296260</wp:posOffset>
              </wp:positionV>
              <wp:extent cx="1673860" cy="158115"/>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9187pt;width:131.8pt;height:12.45pt;mso-position-horizontal-relative:page;mso-position-vertical-relative:page;z-index:-23994368" type="#_x0000_t202" id="docshape978"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22624">
              <wp:simplePos x="0" y="0"/>
              <wp:positionH relativeFrom="page">
                <wp:posOffset>6892290</wp:posOffset>
              </wp:positionH>
              <wp:positionV relativeFrom="page">
                <wp:posOffset>10136161</wp:posOffset>
              </wp:positionV>
              <wp:extent cx="505459" cy="534035"/>
              <wp:effectExtent l="0" t="0" r="0" b="0"/>
              <wp:wrapNone/>
              <wp:docPr id="1002" name="Group 1002"/>
              <wp:cNvGraphicFramePr>
                <a:graphicFrameLocks/>
              </wp:cNvGraphicFramePr>
              <a:graphic>
                <a:graphicData uri="http://schemas.microsoft.com/office/word/2010/wordprocessingGroup">
                  <wpg:wgp>
                    <wpg:cNvPr id="1002" name="Group 1002"/>
                    <wpg:cNvGrpSpPr/>
                    <wpg:grpSpPr>
                      <a:xfrm>
                        <a:off x="0" y="0"/>
                        <a:ext cx="505459" cy="534035"/>
                        <a:chExt cx="505459" cy="534035"/>
                      </a:xfrm>
                    </wpg:grpSpPr>
                    <pic:pic>
                      <pic:nvPicPr>
                        <pic:cNvPr id="1003" name="Image 1003"/>
                        <pic:cNvPicPr/>
                      </pic:nvPicPr>
                      <pic:blipFill>
                        <a:blip r:embed="rId1" cstate="print"/>
                        <a:stretch>
                          <a:fillRect/>
                        </a:stretch>
                      </pic:blipFill>
                      <pic:spPr>
                        <a:xfrm>
                          <a:off x="0" y="0"/>
                          <a:ext cx="504862" cy="266952"/>
                        </a:xfrm>
                        <a:prstGeom prst="rect">
                          <a:avLst/>
                        </a:prstGeom>
                      </pic:spPr>
                    </pic:pic>
                    <pic:pic>
                      <pic:nvPicPr>
                        <pic:cNvPr id="1004" name="Image 1004"/>
                        <pic:cNvPicPr/>
                      </pic:nvPicPr>
                      <pic:blipFill>
                        <a:blip r:embed="rId2" cstate="print"/>
                        <a:stretch>
                          <a:fillRect/>
                        </a:stretch>
                      </pic:blipFill>
                      <pic:spPr>
                        <a:xfrm>
                          <a:off x="0" y="266481"/>
                          <a:ext cx="504862" cy="266956"/>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3993856" id="docshapegroup990" coordorigin="10854,15962" coordsize="796,841">
              <v:shape style="position:absolute;left:10854;top:15962;width:796;height:421" type="#_x0000_t75" id="docshape991" stroked="false">
                <v:imagedata r:id="rId1" o:title=""/>
              </v:shape>
              <v:shape style="position:absolute;left:10854;top:16382;width:796;height:421" type="#_x0000_t75" id="docshape992"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23136">
              <wp:simplePos x="0" y="0"/>
              <wp:positionH relativeFrom="page">
                <wp:posOffset>5858257</wp:posOffset>
              </wp:positionH>
              <wp:positionV relativeFrom="page">
                <wp:posOffset>10285028</wp:posOffset>
              </wp:positionV>
              <wp:extent cx="1431925" cy="173355"/>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14319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159</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788pt;width:112.75pt;height:13.65pt;mso-position-horizontal-relative:page;mso-position-vertical-relative:page;z-index:-23993344" type="#_x0000_t202" id="docshape993"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159</w:t>
                    </w:r>
                    <w:r>
                      <w:rPr>
                        <w:rFonts w:ascii="Trebuchet MS"/>
                        <w:spacing w:val="-5"/>
                        <w:sz w:val="20"/>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23648">
              <wp:simplePos x="0" y="0"/>
              <wp:positionH relativeFrom="page">
                <wp:posOffset>162877</wp:posOffset>
              </wp:positionH>
              <wp:positionV relativeFrom="page">
                <wp:posOffset>10136161</wp:posOffset>
              </wp:positionV>
              <wp:extent cx="505459" cy="534035"/>
              <wp:effectExtent l="0" t="0" r="0" b="0"/>
              <wp:wrapNone/>
              <wp:docPr id="1006" name="Group 1006"/>
              <wp:cNvGraphicFramePr>
                <a:graphicFrameLocks/>
              </wp:cNvGraphicFramePr>
              <a:graphic>
                <a:graphicData uri="http://schemas.microsoft.com/office/word/2010/wordprocessingGroup">
                  <wpg:wgp>
                    <wpg:cNvPr id="1006" name="Group 1006"/>
                    <wpg:cNvGrpSpPr/>
                    <wpg:grpSpPr>
                      <a:xfrm>
                        <a:off x="0" y="0"/>
                        <a:ext cx="505459" cy="534035"/>
                        <a:chExt cx="505459" cy="534035"/>
                      </a:xfrm>
                    </wpg:grpSpPr>
                    <pic:pic>
                      <pic:nvPicPr>
                        <pic:cNvPr id="1007" name="Image 1007"/>
                        <pic:cNvPicPr/>
                      </pic:nvPicPr>
                      <pic:blipFill>
                        <a:blip r:embed="rId1" cstate="print"/>
                        <a:stretch>
                          <a:fillRect/>
                        </a:stretch>
                      </pic:blipFill>
                      <pic:spPr>
                        <a:xfrm>
                          <a:off x="0" y="0"/>
                          <a:ext cx="504863" cy="266939"/>
                        </a:xfrm>
                        <a:prstGeom prst="rect">
                          <a:avLst/>
                        </a:prstGeom>
                      </pic:spPr>
                    </pic:pic>
                    <pic:pic>
                      <pic:nvPicPr>
                        <pic:cNvPr id="1008" name="Image 1008"/>
                        <pic:cNvPicPr/>
                      </pic:nvPicPr>
                      <pic:blipFill>
                        <a:blip r:embed="rId2" cstate="print"/>
                        <a:stretch>
                          <a:fillRect/>
                        </a:stretch>
                      </pic:blipFill>
                      <pic:spPr>
                        <a:xfrm>
                          <a:off x="0" y="266468"/>
                          <a:ext cx="504863" cy="266968"/>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3992832" id="docshapegroup994" coordorigin="256,15962" coordsize="796,841">
              <v:shape style="position:absolute;left:256;top:15962;width:796;height:421" type="#_x0000_t75" id="docshape995" stroked="false">
                <v:imagedata r:id="rId1" o:title=""/>
              </v:shape>
              <v:shape style="position:absolute;left:256;top:16382;width:796;height:421" type="#_x0000_t75" id="docshape996"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24160">
              <wp:simplePos x="0" y="0"/>
              <wp:positionH relativeFrom="page">
                <wp:posOffset>297428</wp:posOffset>
              </wp:positionH>
              <wp:positionV relativeFrom="page">
                <wp:posOffset>10285017</wp:posOffset>
              </wp:positionV>
              <wp:extent cx="225425" cy="173355"/>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225425" cy="173355"/>
                      </a:xfrm>
                      <a:prstGeom prst="rect">
                        <a:avLst/>
                      </a:prstGeom>
                    </wps:spPr>
                    <wps:txbx>
                      <w:txbxContent>
                        <w:p>
                          <w:pPr>
                            <w:spacing w:before="20"/>
                            <w:ind w:left="20" w:right="0" w:firstLine="0"/>
                            <w:jc w:val="left"/>
                            <w:rPr>
                              <w:rFonts w:ascii="Trebuchet MS"/>
                              <w:sz w:val="20"/>
                            </w:rPr>
                          </w:pPr>
                          <w:r>
                            <w:rPr>
                              <w:rFonts w:ascii="Trebuchet MS"/>
                              <w:spacing w:val="-5"/>
                              <w:sz w:val="20"/>
                            </w:rPr>
                            <w:t>160</w:t>
                          </w:r>
                        </w:p>
                      </w:txbxContent>
                    </wps:txbx>
                    <wps:bodyPr wrap="square" lIns="0" tIns="0" rIns="0" bIns="0" rtlCol="0">
                      <a:noAutofit/>
                    </wps:bodyPr>
                  </wps:wsp>
                </a:graphicData>
              </a:graphic>
            </wp:anchor>
          </w:drawing>
        </mc:Choice>
        <mc:Fallback>
          <w:pict>
            <v:shape style="position:absolute;margin-left:23.419531pt;margin-top:809.843872pt;width:17.75pt;height:13.65pt;mso-position-horizontal-relative:page;mso-position-vertical-relative:page;z-index:-23992320" type="#_x0000_t202" id="docshape997" filled="false" stroked="false">
              <v:textbox inset="0,0,0,0">
                <w:txbxContent>
                  <w:p>
                    <w:pPr>
                      <w:spacing w:before="20"/>
                      <w:ind w:left="20" w:right="0" w:firstLine="0"/>
                      <w:jc w:val="left"/>
                      <w:rPr>
                        <w:rFonts w:ascii="Trebuchet MS"/>
                        <w:sz w:val="20"/>
                      </w:rPr>
                    </w:pPr>
                    <w:r>
                      <w:rPr>
                        <w:rFonts w:ascii="Trebuchet MS"/>
                        <w:spacing w:val="-5"/>
                        <w:sz w:val="20"/>
                      </w:rPr>
                      <w:t>160</w:t>
                    </w:r>
                  </w:p>
                </w:txbxContent>
              </v:textbox>
              <w10:wrap type="none"/>
            </v:shape>
          </w:pict>
        </mc:Fallback>
      </mc:AlternateContent>
    </w:r>
    <w:r>
      <w:rPr/>
      <mc:AlternateContent>
        <mc:Choice Requires="wps">
          <w:drawing>
            <wp:anchor distT="0" distB="0" distL="0" distR="0" allowOverlap="1" layoutInCell="1" locked="0" behindDoc="1" simplePos="0" relativeHeight="479324672">
              <wp:simplePos x="0" y="0"/>
              <wp:positionH relativeFrom="page">
                <wp:posOffset>667583</wp:posOffset>
              </wp:positionH>
              <wp:positionV relativeFrom="page">
                <wp:posOffset>10296248</wp:posOffset>
              </wp:positionV>
              <wp:extent cx="1673860" cy="158115"/>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21pt;width:131.8pt;height:12.45pt;mso-position-horizontal-relative:page;mso-position-vertical-relative:page;z-index:-23991808" type="#_x0000_t202" id="docshape998"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25184">
              <wp:simplePos x="0" y="0"/>
              <wp:positionH relativeFrom="page">
                <wp:posOffset>6892290</wp:posOffset>
              </wp:positionH>
              <wp:positionV relativeFrom="page">
                <wp:posOffset>10136161</wp:posOffset>
              </wp:positionV>
              <wp:extent cx="505459" cy="534035"/>
              <wp:effectExtent l="0" t="0" r="0" b="0"/>
              <wp:wrapNone/>
              <wp:docPr id="1023" name="Group 1023"/>
              <wp:cNvGraphicFramePr>
                <a:graphicFrameLocks/>
              </wp:cNvGraphicFramePr>
              <a:graphic>
                <a:graphicData uri="http://schemas.microsoft.com/office/word/2010/wordprocessingGroup">
                  <wpg:wgp>
                    <wpg:cNvPr id="1023" name="Group 1023"/>
                    <wpg:cNvGrpSpPr/>
                    <wpg:grpSpPr>
                      <a:xfrm>
                        <a:off x="0" y="0"/>
                        <a:ext cx="505459" cy="534035"/>
                        <a:chExt cx="505459" cy="534035"/>
                      </a:xfrm>
                    </wpg:grpSpPr>
                    <pic:pic>
                      <pic:nvPicPr>
                        <pic:cNvPr id="1024" name="Image 1024"/>
                        <pic:cNvPicPr/>
                      </pic:nvPicPr>
                      <pic:blipFill>
                        <a:blip r:embed="rId1" cstate="print"/>
                        <a:stretch>
                          <a:fillRect/>
                        </a:stretch>
                      </pic:blipFill>
                      <pic:spPr>
                        <a:xfrm>
                          <a:off x="0" y="0"/>
                          <a:ext cx="504862" cy="266946"/>
                        </a:xfrm>
                        <a:prstGeom prst="rect">
                          <a:avLst/>
                        </a:prstGeom>
                      </pic:spPr>
                    </pic:pic>
                    <pic:pic>
                      <pic:nvPicPr>
                        <pic:cNvPr id="1025" name="Image 1025"/>
                        <pic:cNvPicPr/>
                      </pic:nvPicPr>
                      <pic:blipFill>
                        <a:blip r:embed="rId2" cstate="print"/>
                        <a:stretch>
                          <a:fillRect/>
                        </a:stretch>
                      </pic:blipFill>
                      <pic:spPr>
                        <a:xfrm>
                          <a:off x="0" y="266475"/>
                          <a:ext cx="504862" cy="266962"/>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3991296" id="docshapegroup1011" coordorigin="10854,15962" coordsize="796,841">
              <v:shape style="position:absolute;left:10854;top:15962;width:796;height:421" type="#_x0000_t75" id="docshape1012" stroked="false">
                <v:imagedata r:id="rId1" o:title=""/>
              </v:shape>
              <v:shape style="position:absolute;left:10854;top:16382;width:796;height:421" type="#_x0000_t75" id="docshape1013"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25696">
              <wp:simplePos x="0" y="0"/>
              <wp:positionH relativeFrom="page">
                <wp:posOffset>5858257</wp:posOffset>
              </wp:positionH>
              <wp:positionV relativeFrom="page">
                <wp:posOffset>10285022</wp:posOffset>
              </wp:positionV>
              <wp:extent cx="1431925" cy="173355"/>
              <wp:effectExtent l="0" t="0" r="0" b="0"/>
              <wp:wrapNone/>
              <wp:docPr id="1026" name="Textbox 1026"/>
              <wp:cNvGraphicFramePr>
                <a:graphicFrameLocks/>
              </wp:cNvGraphicFramePr>
              <a:graphic>
                <a:graphicData uri="http://schemas.microsoft.com/office/word/2010/wordprocessingShape">
                  <wps:wsp>
                    <wps:cNvPr id="1026" name="Textbox 1026"/>
                    <wps:cNvSpPr txBox="1"/>
                    <wps:spPr>
                      <a:xfrm>
                        <a:off x="0" y="0"/>
                        <a:ext cx="14319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165</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299pt;width:112.75pt;height:13.65pt;mso-position-horizontal-relative:page;mso-position-vertical-relative:page;z-index:-23990784" type="#_x0000_t202" id="docshape1014"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165</w:t>
                    </w:r>
                    <w:r>
                      <w:rPr>
                        <w:rFonts w:ascii="Trebuchet MS"/>
                        <w:spacing w:val="-5"/>
                        <w:sz w:val="20"/>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26208">
              <wp:simplePos x="0" y="0"/>
              <wp:positionH relativeFrom="page">
                <wp:posOffset>162877</wp:posOffset>
              </wp:positionH>
              <wp:positionV relativeFrom="page">
                <wp:posOffset>10136161</wp:posOffset>
              </wp:positionV>
              <wp:extent cx="505459" cy="534035"/>
              <wp:effectExtent l="0" t="0" r="0" b="0"/>
              <wp:wrapNone/>
              <wp:docPr id="1027" name="Group 1027"/>
              <wp:cNvGraphicFramePr>
                <a:graphicFrameLocks/>
              </wp:cNvGraphicFramePr>
              <a:graphic>
                <a:graphicData uri="http://schemas.microsoft.com/office/word/2010/wordprocessingGroup">
                  <wpg:wgp>
                    <wpg:cNvPr id="1027" name="Group 1027"/>
                    <wpg:cNvGrpSpPr/>
                    <wpg:grpSpPr>
                      <a:xfrm>
                        <a:off x="0" y="0"/>
                        <a:ext cx="505459" cy="534035"/>
                        <a:chExt cx="505459" cy="534035"/>
                      </a:xfrm>
                    </wpg:grpSpPr>
                    <pic:pic>
                      <pic:nvPicPr>
                        <pic:cNvPr id="1028" name="Image 1028"/>
                        <pic:cNvPicPr/>
                      </pic:nvPicPr>
                      <pic:blipFill>
                        <a:blip r:embed="rId1" cstate="print"/>
                        <a:stretch>
                          <a:fillRect/>
                        </a:stretch>
                      </pic:blipFill>
                      <pic:spPr>
                        <a:xfrm>
                          <a:off x="0" y="0"/>
                          <a:ext cx="504863" cy="266946"/>
                        </a:xfrm>
                        <a:prstGeom prst="rect">
                          <a:avLst/>
                        </a:prstGeom>
                      </pic:spPr>
                    </pic:pic>
                    <pic:pic>
                      <pic:nvPicPr>
                        <pic:cNvPr id="1029" name="Image 1029"/>
                        <pic:cNvPicPr/>
                      </pic:nvPicPr>
                      <pic:blipFill>
                        <a:blip r:embed="rId2" cstate="print"/>
                        <a:stretch>
                          <a:fillRect/>
                        </a:stretch>
                      </pic:blipFill>
                      <pic:spPr>
                        <a:xfrm>
                          <a:off x="0" y="266475"/>
                          <a:ext cx="504863" cy="266962"/>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3990272" id="docshapegroup1015" coordorigin="256,15962" coordsize="796,841">
              <v:shape style="position:absolute;left:256;top:15962;width:796;height:421" type="#_x0000_t75" id="docshape1016" stroked="false">
                <v:imagedata r:id="rId1" o:title=""/>
              </v:shape>
              <v:shape style="position:absolute;left:256;top:16382;width:796;height:421" type="#_x0000_t75" id="docshape1017"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26720">
              <wp:simplePos x="0" y="0"/>
              <wp:positionH relativeFrom="page">
                <wp:posOffset>272028</wp:posOffset>
              </wp:positionH>
              <wp:positionV relativeFrom="page">
                <wp:posOffset>10285022</wp:posOffset>
              </wp:positionV>
              <wp:extent cx="288925" cy="173355"/>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288925"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166</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1.419531pt;margin-top:809.844299pt;width:22.75pt;height:13.65pt;mso-position-horizontal-relative:page;mso-position-vertical-relative:page;z-index:-23989760" type="#_x0000_t202" id="docshape1018"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166</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27232">
              <wp:simplePos x="0" y="0"/>
              <wp:positionH relativeFrom="page">
                <wp:posOffset>667583</wp:posOffset>
              </wp:positionH>
              <wp:positionV relativeFrom="page">
                <wp:posOffset>10296254</wp:posOffset>
              </wp:positionV>
              <wp:extent cx="1673860" cy="158115"/>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699pt;width:131.8pt;height:12.45pt;mso-position-horizontal-relative:page;mso-position-vertical-relative:page;z-index:-23989248" type="#_x0000_t202" id="docshape1019"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27744">
              <wp:simplePos x="0" y="0"/>
              <wp:positionH relativeFrom="page">
                <wp:posOffset>6892290</wp:posOffset>
              </wp:positionH>
              <wp:positionV relativeFrom="page">
                <wp:posOffset>10136161</wp:posOffset>
              </wp:positionV>
              <wp:extent cx="505459" cy="534035"/>
              <wp:effectExtent l="0" t="0" r="0" b="0"/>
              <wp:wrapNone/>
              <wp:docPr id="1051" name="Group 1051"/>
              <wp:cNvGraphicFramePr>
                <a:graphicFrameLocks/>
              </wp:cNvGraphicFramePr>
              <a:graphic>
                <a:graphicData uri="http://schemas.microsoft.com/office/word/2010/wordprocessingGroup">
                  <wpg:wgp>
                    <wpg:cNvPr id="1051" name="Group 1051"/>
                    <wpg:cNvGrpSpPr/>
                    <wpg:grpSpPr>
                      <a:xfrm>
                        <a:off x="0" y="0"/>
                        <a:ext cx="505459" cy="534035"/>
                        <a:chExt cx="505459" cy="534035"/>
                      </a:xfrm>
                    </wpg:grpSpPr>
                    <pic:pic>
                      <pic:nvPicPr>
                        <pic:cNvPr id="1052" name="Image 1052"/>
                        <pic:cNvPicPr/>
                      </pic:nvPicPr>
                      <pic:blipFill>
                        <a:blip r:embed="rId1" cstate="print"/>
                        <a:stretch>
                          <a:fillRect/>
                        </a:stretch>
                      </pic:blipFill>
                      <pic:spPr>
                        <a:xfrm>
                          <a:off x="0" y="0"/>
                          <a:ext cx="504862" cy="266944"/>
                        </a:xfrm>
                        <a:prstGeom prst="rect">
                          <a:avLst/>
                        </a:prstGeom>
                      </pic:spPr>
                    </pic:pic>
                    <pic:pic>
                      <pic:nvPicPr>
                        <pic:cNvPr id="1053" name="Image 1053"/>
                        <pic:cNvPicPr/>
                      </pic:nvPicPr>
                      <pic:blipFill>
                        <a:blip r:embed="rId2" cstate="print"/>
                        <a:stretch>
                          <a:fillRect/>
                        </a:stretch>
                      </pic:blipFill>
                      <pic:spPr>
                        <a:xfrm>
                          <a:off x="0" y="266473"/>
                          <a:ext cx="504862" cy="266964"/>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3988736" id="docshapegroup1039" coordorigin="10854,15962" coordsize="796,841">
              <v:shape style="position:absolute;left:10854;top:15962;width:796;height:421" type="#_x0000_t75" id="docshape1040" stroked="false">
                <v:imagedata r:id="rId1" o:title=""/>
              </v:shape>
              <v:shape style="position:absolute;left:10854;top:16382;width:796;height:421" type="#_x0000_t75" id="docshape1041"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28256">
              <wp:simplePos x="0" y="0"/>
              <wp:positionH relativeFrom="page">
                <wp:posOffset>5858257</wp:posOffset>
              </wp:positionH>
              <wp:positionV relativeFrom="page">
                <wp:posOffset>10285021</wp:posOffset>
              </wp:positionV>
              <wp:extent cx="1431925" cy="173355"/>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14319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173</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177pt;width:112.75pt;height:13.65pt;mso-position-horizontal-relative:page;mso-position-vertical-relative:page;z-index:-23988224" type="#_x0000_t202" id="docshape1042"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173</w:t>
                    </w:r>
                    <w:r>
                      <w:rPr>
                        <w:rFonts w:ascii="Trebuchet MS"/>
                        <w:spacing w:val="-5"/>
                        <w:sz w:val="20"/>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28768">
              <wp:simplePos x="0" y="0"/>
              <wp:positionH relativeFrom="page">
                <wp:posOffset>162877</wp:posOffset>
              </wp:positionH>
              <wp:positionV relativeFrom="page">
                <wp:posOffset>10136161</wp:posOffset>
              </wp:positionV>
              <wp:extent cx="505459" cy="534035"/>
              <wp:effectExtent l="0" t="0" r="0" b="0"/>
              <wp:wrapNone/>
              <wp:docPr id="1055" name="Group 1055"/>
              <wp:cNvGraphicFramePr>
                <a:graphicFrameLocks/>
              </wp:cNvGraphicFramePr>
              <a:graphic>
                <a:graphicData uri="http://schemas.microsoft.com/office/word/2010/wordprocessingGroup">
                  <wpg:wgp>
                    <wpg:cNvPr id="1055" name="Group 1055"/>
                    <wpg:cNvGrpSpPr/>
                    <wpg:grpSpPr>
                      <a:xfrm>
                        <a:off x="0" y="0"/>
                        <a:ext cx="505459" cy="534035"/>
                        <a:chExt cx="505459" cy="534035"/>
                      </a:xfrm>
                    </wpg:grpSpPr>
                    <pic:pic>
                      <pic:nvPicPr>
                        <pic:cNvPr id="1056" name="Image 1056"/>
                        <pic:cNvPicPr/>
                      </pic:nvPicPr>
                      <pic:blipFill>
                        <a:blip r:embed="rId1" cstate="print"/>
                        <a:stretch>
                          <a:fillRect/>
                        </a:stretch>
                      </pic:blipFill>
                      <pic:spPr>
                        <a:xfrm>
                          <a:off x="0" y="0"/>
                          <a:ext cx="504863" cy="266946"/>
                        </a:xfrm>
                        <a:prstGeom prst="rect">
                          <a:avLst/>
                        </a:prstGeom>
                      </pic:spPr>
                    </pic:pic>
                    <pic:pic>
                      <pic:nvPicPr>
                        <pic:cNvPr id="1057" name="Image 1057"/>
                        <pic:cNvPicPr/>
                      </pic:nvPicPr>
                      <pic:blipFill>
                        <a:blip r:embed="rId2" cstate="print"/>
                        <a:stretch>
                          <a:fillRect/>
                        </a:stretch>
                      </pic:blipFill>
                      <pic:spPr>
                        <a:xfrm>
                          <a:off x="0" y="266475"/>
                          <a:ext cx="504863" cy="266962"/>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3987712" id="docshapegroup1043" coordorigin="256,15962" coordsize="796,841">
              <v:shape style="position:absolute;left:256;top:15962;width:796;height:421" type="#_x0000_t75" id="docshape1044" stroked="false">
                <v:imagedata r:id="rId1" o:title=""/>
              </v:shape>
              <v:shape style="position:absolute;left:256;top:16382;width:796;height:421" type="#_x0000_t75" id="docshape1045"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29280">
              <wp:simplePos x="0" y="0"/>
              <wp:positionH relativeFrom="page">
                <wp:posOffset>272028</wp:posOffset>
              </wp:positionH>
              <wp:positionV relativeFrom="page">
                <wp:posOffset>10285022</wp:posOffset>
              </wp:positionV>
              <wp:extent cx="288925" cy="173355"/>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288925"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174</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1.419531pt;margin-top:809.844299pt;width:22.75pt;height:13.65pt;mso-position-horizontal-relative:page;mso-position-vertical-relative:page;z-index:-23987200" type="#_x0000_t202" id="docshape1046"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174</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29792">
              <wp:simplePos x="0" y="0"/>
              <wp:positionH relativeFrom="page">
                <wp:posOffset>667583</wp:posOffset>
              </wp:positionH>
              <wp:positionV relativeFrom="page">
                <wp:posOffset>10296254</wp:posOffset>
              </wp:positionV>
              <wp:extent cx="1673860" cy="158115"/>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699pt;width:131.8pt;height:12.45pt;mso-position-horizontal-relative:page;mso-position-vertical-relative:page;z-index:-23986688" type="#_x0000_t202" id="docshape1047"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30304">
              <wp:simplePos x="0" y="0"/>
              <wp:positionH relativeFrom="page">
                <wp:posOffset>5858257</wp:posOffset>
              </wp:positionH>
              <wp:positionV relativeFrom="page">
                <wp:posOffset>10285017</wp:posOffset>
              </wp:positionV>
              <wp:extent cx="1393825" cy="173355"/>
              <wp:effectExtent l="0" t="0" r="0" b="0"/>
              <wp:wrapNone/>
              <wp:docPr id="2319" name="Textbox 2319"/>
              <wp:cNvGraphicFramePr>
                <a:graphicFrameLocks/>
              </wp:cNvGraphicFramePr>
              <a:graphic>
                <a:graphicData uri="http://schemas.microsoft.com/office/word/2010/wordprocessingShape">
                  <wps:wsp>
                    <wps:cNvPr id="2319" name="Textbox 2319"/>
                    <wps:cNvSpPr txBox="1"/>
                    <wps:spPr>
                      <a:xfrm>
                        <a:off x="0" y="0"/>
                        <a:ext cx="13938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t>215</w:t>
                          </w:r>
                        </w:p>
                      </w:txbxContent>
                    </wps:txbx>
                    <wps:bodyPr wrap="square" lIns="0" tIns="0" rIns="0" bIns="0" rtlCol="0">
                      <a:noAutofit/>
                    </wps:bodyPr>
                  </wps:wsp>
                </a:graphicData>
              </a:graphic>
            </wp:anchor>
          </w:drawing>
        </mc:Choice>
        <mc:Fallback>
          <w:pict>
            <v:shape style="position:absolute;margin-left:461.28009pt;margin-top:809.843872pt;width:109.75pt;height:13.65pt;mso-position-horizontal-relative:page;mso-position-vertical-relative:page;z-index:-23986176" type="#_x0000_t202" id="docshape2259"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t>215</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30816">
              <wp:simplePos x="0" y="0"/>
              <wp:positionH relativeFrom="page">
                <wp:posOffset>162877</wp:posOffset>
              </wp:positionH>
              <wp:positionV relativeFrom="page">
                <wp:posOffset>10136161</wp:posOffset>
              </wp:positionV>
              <wp:extent cx="505459" cy="534035"/>
              <wp:effectExtent l="0" t="0" r="0" b="0"/>
              <wp:wrapNone/>
              <wp:docPr id="2320" name="Group 2320"/>
              <wp:cNvGraphicFramePr>
                <a:graphicFrameLocks/>
              </wp:cNvGraphicFramePr>
              <a:graphic>
                <a:graphicData uri="http://schemas.microsoft.com/office/word/2010/wordprocessingGroup">
                  <wpg:wgp>
                    <wpg:cNvPr id="2320" name="Group 2320"/>
                    <wpg:cNvGrpSpPr/>
                    <wpg:grpSpPr>
                      <a:xfrm>
                        <a:off x="0" y="0"/>
                        <a:ext cx="505459" cy="534035"/>
                        <a:chExt cx="505459" cy="534035"/>
                      </a:xfrm>
                    </wpg:grpSpPr>
                    <pic:pic>
                      <pic:nvPicPr>
                        <pic:cNvPr id="2321" name="Image 2321"/>
                        <pic:cNvPicPr/>
                      </pic:nvPicPr>
                      <pic:blipFill>
                        <a:blip r:embed="rId1" cstate="print"/>
                        <a:stretch>
                          <a:fillRect/>
                        </a:stretch>
                      </pic:blipFill>
                      <pic:spPr>
                        <a:xfrm>
                          <a:off x="0" y="0"/>
                          <a:ext cx="504863" cy="266939"/>
                        </a:xfrm>
                        <a:prstGeom prst="rect">
                          <a:avLst/>
                        </a:prstGeom>
                      </pic:spPr>
                    </pic:pic>
                    <pic:pic>
                      <pic:nvPicPr>
                        <pic:cNvPr id="2322" name="Image 2322"/>
                        <pic:cNvPicPr/>
                      </pic:nvPicPr>
                      <pic:blipFill>
                        <a:blip r:embed="rId2" cstate="print"/>
                        <a:stretch>
                          <a:fillRect/>
                        </a:stretch>
                      </pic:blipFill>
                      <pic:spPr>
                        <a:xfrm>
                          <a:off x="0" y="266468"/>
                          <a:ext cx="504863" cy="266968"/>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3985664" id="docshapegroup2260" coordorigin="256,15962" coordsize="796,841">
              <v:shape style="position:absolute;left:256;top:15962;width:796;height:421" type="#_x0000_t75" id="docshape2261" stroked="false">
                <v:imagedata r:id="rId1" o:title=""/>
              </v:shape>
              <v:shape style="position:absolute;left:256;top:16382;width:796;height:421" type="#_x0000_t75" id="docshape2262"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31328">
              <wp:simplePos x="0" y="0"/>
              <wp:positionH relativeFrom="page">
                <wp:posOffset>272028</wp:posOffset>
              </wp:positionH>
              <wp:positionV relativeFrom="page">
                <wp:posOffset>10285017</wp:posOffset>
              </wp:positionV>
              <wp:extent cx="288925" cy="173355"/>
              <wp:effectExtent l="0" t="0" r="0" b="0"/>
              <wp:wrapNone/>
              <wp:docPr id="2323" name="Textbox 2323"/>
              <wp:cNvGraphicFramePr>
                <a:graphicFrameLocks/>
              </wp:cNvGraphicFramePr>
              <a:graphic>
                <a:graphicData uri="http://schemas.microsoft.com/office/word/2010/wordprocessingShape">
                  <wps:wsp>
                    <wps:cNvPr id="2323" name="Textbox 2323"/>
                    <wps:cNvSpPr txBox="1"/>
                    <wps:spPr>
                      <a:xfrm>
                        <a:off x="0" y="0"/>
                        <a:ext cx="288925"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216</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1.419531pt;margin-top:809.843872pt;width:22.75pt;height:13.65pt;mso-position-horizontal-relative:page;mso-position-vertical-relative:page;z-index:-23985152" type="#_x0000_t202" id="docshape2263"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216</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31840">
              <wp:simplePos x="0" y="0"/>
              <wp:positionH relativeFrom="page">
                <wp:posOffset>667583</wp:posOffset>
              </wp:positionH>
              <wp:positionV relativeFrom="page">
                <wp:posOffset>10296248</wp:posOffset>
              </wp:positionV>
              <wp:extent cx="1673860" cy="158115"/>
              <wp:effectExtent l="0" t="0" r="0" b="0"/>
              <wp:wrapNone/>
              <wp:docPr id="2324" name="Textbox 2324"/>
              <wp:cNvGraphicFramePr>
                <a:graphicFrameLocks/>
              </wp:cNvGraphicFramePr>
              <a:graphic>
                <a:graphicData uri="http://schemas.microsoft.com/office/word/2010/wordprocessingShape">
                  <wps:wsp>
                    <wps:cNvPr id="2324" name="Textbox 2324"/>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21pt;width:131.8pt;height:12.45pt;mso-position-horizontal-relative:page;mso-position-vertical-relative:page;z-index:-23984640" type="#_x0000_t202" id="docshape2264"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32352">
              <wp:simplePos x="0" y="0"/>
              <wp:positionH relativeFrom="page">
                <wp:posOffset>6892290</wp:posOffset>
              </wp:positionH>
              <wp:positionV relativeFrom="page">
                <wp:posOffset>10136161</wp:posOffset>
              </wp:positionV>
              <wp:extent cx="505459" cy="534035"/>
              <wp:effectExtent l="0" t="0" r="0" b="0"/>
              <wp:wrapNone/>
              <wp:docPr id="2391" name="Group 2391"/>
              <wp:cNvGraphicFramePr>
                <a:graphicFrameLocks/>
              </wp:cNvGraphicFramePr>
              <a:graphic>
                <a:graphicData uri="http://schemas.microsoft.com/office/word/2010/wordprocessingGroup">
                  <wpg:wgp>
                    <wpg:cNvPr id="2391" name="Group 2391"/>
                    <wpg:cNvGrpSpPr/>
                    <wpg:grpSpPr>
                      <a:xfrm>
                        <a:off x="0" y="0"/>
                        <a:ext cx="505459" cy="534035"/>
                        <a:chExt cx="505459" cy="534035"/>
                      </a:xfrm>
                    </wpg:grpSpPr>
                    <pic:pic>
                      <pic:nvPicPr>
                        <pic:cNvPr id="2392" name="Image 2392"/>
                        <pic:cNvPicPr/>
                      </pic:nvPicPr>
                      <pic:blipFill>
                        <a:blip r:embed="rId1" cstate="print"/>
                        <a:stretch>
                          <a:fillRect/>
                        </a:stretch>
                      </pic:blipFill>
                      <pic:spPr>
                        <a:xfrm>
                          <a:off x="0" y="0"/>
                          <a:ext cx="504862" cy="266939"/>
                        </a:xfrm>
                        <a:prstGeom prst="rect">
                          <a:avLst/>
                        </a:prstGeom>
                      </pic:spPr>
                    </pic:pic>
                    <pic:pic>
                      <pic:nvPicPr>
                        <pic:cNvPr id="2393" name="Image 2393"/>
                        <pic:cNvPicPr/>
                      </pic:nvPicPr>
                      <pic:blipFill>
                        <a:blip r:embed="rId2" cstate="print"/>
                        <a:stretch>
                          <a:fillRect/>
                        </a:stretch>
                      </pic:blipFill>
                      <pic:spPr>
                        <a:xfrm>
                          <a:off x="0" y="266468"/>
                          <a:ext cx="504862" cy="266968"/>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3984128" id="docshapegroup2313" coordorigin="10854,15962" coordsize="796,841">
              <v:shape style="position:absolute;left:10854;top:15962;width:796;height:421" type="#_x0000_t75" id="docshape2314" stroked="false">
                <v:imagedata r:id="rId1" o:title=""/>
              </v:shape>
              <v:shape style="position:absolute;left:10854;top:16382;width:796;height:421" type="#_x0000_t75" id="docshape2315"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32864">
              <wp:simplePos x="0" y="0"/>
              <wp:positionH relativeFrom="page">
                <wp:posOffset>5858257</wp:posOffset>
              </wp:positionH>
              <wp:positionV relativeFrom="page">
                <wp:posOffset>10285017</wp:posOffset>
              </wp:positionV>
              <wp:extent cx="1393825" cy="173355"/>
              <wp:effectExtent l="0" t="0" r="0" b="0"/>
              <wp:wrapNone/>
              <wp:docPr id="2394" name="Textbox 2394"/>
              <wp:cNvGraphicFramePr>
                <a:graphicFrameLocks/>
              </wp:cNvGraphicFramePr>
              <a:graphic>
                <a:graphicData uri="http://schemas.microsoft.com/office/word/2010/wordprocessingShape">
                  <wps:wsp>
                    <wps:cNvPr id="2394" name="Textbox 2394"/>
                    <wps:cNvSpPr txBox="1"/>
                    <wps:spPr>
                      <a:xfrm>
                        <a:off x="0" y="0"/>
                        <a:ext cx="13938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t>217</w:t>
                          </w:r>
                        </w:p>
                      </w:txbxContent>
                    </wps:txbx>
                    <wps:bodyPr wrap="square" lIns="0" tIns="0" rIns="0" bIns="0" rtlCol="0">
                      <a:noAutofit/>
                    </wps:bodyPr>
                  </wps:wsp>
                </a:graphicData>
              </a:graphic>
            </wp:anchor>
          </w:drawing>
        </mc:Choice>
        <mc:Fallback>
          <w:pict>
            <v:shape style="position:absolute;margin-left:461.28009pt;margin-top:809.843872pt;width:109.75pt;height:13.65pt;mso-position-horizontal-relative:page;mso-position-vertical-relative:page;z-index:-23983616" type="#_x0000_t202" id="docshape2316"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t>217</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33376">
              <wp:simplePos x="0" y="0"/>
              <wp:positionH relativeFrom="page">
                <wp:posOffset>162877</wp:posOffset>
              </wp:positionH>
              <wp:positionV relativeFrom="page">
                <wp:posOffset>10136161</wp:posOffset>
              </wp:positionV>
              <wp:extent cx="505459" cy="534035"/>
              <wp:effectExtent l="0" t="0" r="0" b="0"/>
              <wp:wrapNone/>
              <wp:docPr id="2395" name="Group 2395"/>
              <wp:cNvGraphicFramePr>
                <a:graphicFrameLocks/>
              </wp:cNvGraphicFramePr>
              <a:graphic>
                <a:graphicData uri="http://schemas.microsoft.com/office/word/2010/wordprocessingGroup">
                  <wpg:wgp>
                    <wpg:cNvPr id="2395" name="Group 2395"/>
                    <wpg:cNvGrpSpPr/>
                    <wpg:grpSpPr>
                      <a:xfrm>
                        <a:off x="0" y="0"/>
                        <a:ext cx="505459" cy="534035"/>
                        <a:chExt cx="505459" cy="534035"/>
                      </a:xfrm>
                    </wpg:grpSpPr>
                    <pic:pic>
                      <pic:nvPicPr>
                        <pic:cNvPr id="2396" name="Image 2396"/>
                        <pic:cNvPicPr/>
                      </pic:nvPicPr>
                      <pic:blipFill>
                        <a:blip r:embed="rId1" cstate="print"/>
                        <a:stretch>
                          <a:fillRect/>
                        </a:stretch>
                      </pic:blipFill>
                      <pic:spPr>
                        <a:xfrm>
                          <a:off x="0" y="0"/>
                          <a:ext cx="504863" cy="266915"/>
                        </a:xfrm>
                        <a:prstGeom prst="rect">
                          <a:avLst/>
                        </a:prstGeom>
                      </pic:spPr>
                    </pic:pic>
                    <pic:pic>
                      <pic:nvPicPr>
                        <pic:cNvPr id="2397" name="Image 2397"/>
                        <pic:cNvPicPr/>
                      </pic:nvPicPr>
                      <pic:blipFill>
                        <a:blip r:embed="rId2" cstate="print"/>
                        <a:stretch>
                          <a:fillRect/>
                        </a:stretch>
                      </pic:blipFill>
                      <pic:spPr>
                        <a:xfrm>
                          <a:off x="0" y="266444"/>
                          <a:ext cx="504863" cy="266993"/>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3983104" id="docshapegroup2317" coordorigin="256,15962" coordsize="796,841">
              <v:shape style="position:absolute;left:256;top:15962;width:796;height:421" type="#_x0000_t75" id="docshape2318" stroked="false">
                <v:imagedata r:id="rId1" o:title=""/>
              </v:shape>
              <v:shape style="position:absolute;left:256;top:16382;width:796;height:421" type="#_x0000_t75" id="docshape2319"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33888">
              <wp:simplePos x="0" y="0"/>
              <wp:positionH relativeFrom="page">
                <wp:posOffset>272028</wp:posOffset>
              </wp:positionH>
              <wp:positionV relativeFrom="page">
                <wp:posOffset>10284991</wp:posOffset>
              </wp:positionV>
              <wp:extent cx="288925" cy="173355"/>
              <wp:effectExtent l="0" t="0" r="0" b="0"/>
              <wp:wrapNone/>
              <wp:docPr id="2398" name="Textbox 2398"/>
              <wp:cNvGraphicFramePr>
                <a:graphicFrameLocks/>
              </wp:cNvGraphicFramePr>
              <a:graphic>
                <a:graphicData uri="http://schemas.microsoft.com/office/word/2010/wordprocessingShape">
                  <wps:wsp>
                    <wps:cNvPr id="2398" name="Textbox 2398"/>
                    <wps:cNvSpPr txBox="1"/>
                    <wps:spPr>
                      <a:xfrm>
                        <a:off x="0" y="0"/>
                        <a:ext cx="288925"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218</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1.419531pt;margin-top:809.841858pt;width:22.75pt;height:13.65pt;mso-position-horizontal-relative:page;mso-position-vertical-relative:page;z-index:-23982592" type="#_x0000_t202" id="docshape2320"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218</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34400">
              <wp:simplePos x="0" y="0"/>
              <wp:positionH relativeFrom="page">
                <wp:posOffset>667583</wp:posOffset>
              </wp:positionH>
              <wp:positionV relativeFrom="page">
                <wp:posOffset>10296223</wp:posOffset>
              </wp:positionV>
              <wp:extent cx="1673860" cy="158115"/>
              <wp:effectExtent l="0" t="0" r="0" b="0"/>
              <wp:wrapNone/>
              <wp:docPr id="2399" name="Textbox 2399"/>
              <wp:cNvGraphicFramePr>
                <a:graphicFrameLocks/>
              </wp:cNvGraphicFramePr>
              <a:graphic>
                <a:graphicData uri="http://schemas.microsoft.com/office/word/2010/wordprocessingShape">
                  <wps:wsp>
                    <wps:cNvPr id="2399" name="Textbox 2399"/>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6257pt;width:131.8pt;height:12.45pt;mso-position-horizontal-relative:page;mso-position-vertical-relative:page;z-index:-23982080" type="#_x0000_t202" id="docshape2321"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07776">
              <wp:simplePos x="0" y="0"/>
              <wp:positionH relativeFrom="page">
                <wp:posOffset>6892290</wp:posOffset>
              </wp:positionH>
              <wp:positionV relativeFrom="page">
                <wp:posOffset>10136161</wp:posOffset>
              </wp:positionV>
              <wp:extent cx="505459" cy="53403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505459" cy="534035"/>
                        <a:chExt cx="505459" cy="534035"/>
                      </a:xfrm>
                    </wpg:grpSpPr>
                    <pic:pic>
                      <pic:nvPicPr>
                        <pic:cNvPr id="47" name="Image 47"/>
                        <pic:cNvPicPr/>
                      </pic:nvPicPr>
                      <pic:blipFill>
                        <a:blip r:embed="rId1" cstate="print"/>
                        <a:stretch>
                          <a:fillRect/>
                        </a:stretch>
                      </pic:blipFill>
                      <pic:spPr>
                        <a:xfrm>
                          <a:off x="0" y="0"/>
                          <a:ext cx="504862" cy="266946"/>
                        </a:xfrm>
                        <a:prstGeom prst="rect">
                          <a:avLst/>
                        </a:prstGeom>
                      </pic:spPr>
                    </pic:pic>
                    <pic:pic>
                      <pic:nvPicPr>
                        <pic:cNvPr id="48" name="Image 48"/>
                        <pic:cNvPicPr/>
                      </pic:nvPicPr>
                      <pic:blipFill>
                        <a:blip r:embed="rId2" cstate="print"/>
                        <a:stretch>
                          <a:fillRect/>
                        </a:stretch>
                      </pic:blipFill>
                      <pic:spPr>
                        <a:xfrm>
                          <a:off x="0" y="266475"/>
                          <a:ext cx="504862" cy="266962"/>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4008704" id="docshapegroup43" coordorigin="10854,15962" coordsize="796,841">
              <v:shape style="position:absolute;left:10854;top:15962;width:796;height:421" type="#_x0000_t75" id="docshape44" stroked="false">
                <v:imagedata r:id="rId1" o:title=""/>
              </v:shape>
              <v:shape style="position:absolute;left:10854;top:16382;width:796;height:421" type="#_x0000_t75" id="docshape45"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08288">
              <wp:simplePos x="0" y="0"/>
              <wp:positionH relativeFrom="page">
                <wp:posOffset>5858257</wp:posOffset>
              </wp:positionH>
              <wp:positionV relativeFrom="page">
                <wp:posOffset>10285022</wp:posOffset>
              </wp:positionV>
              <wp:extent cx="1365885" cy="17335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365885" cy="173355"/>
                      </a:xfrm>
                      <a:prstGeom prst="rect">
                        <a:avLst/>
                      </a:prstGeom>
                    </wps:spPr>
                    <wps:txbx>
                      <w:txbxContent>
                        <w:p>
                          <w:pPr>
                            <w:tabs>
                              <w:tab w:pos="1965"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10"/>
                              <w:sz w:val="20"/>
                            </w:rPr>
                            <w:fldChar w:fldCharType="begin"/>
                          </w:r>
                          <w:r>
                            <w:rPr>
                              <w:rFonts w:ascii="Trebuchet MS"/>
                              <w:spacing w:val="-10"/>
                              <w:sz w:val="20"/>
                            </w:rPr>
                            <w:instrText> PAGE </w:instrText>
                          </w:r>
                          <w:r>
                            <w:rPr>
                              <w:rFonts w:ascii="Trebuchet MS"/>
                              <w:spacing w:val="-10"/>
                              <w:sz w:val="20"/>
                            </w:rPr>
                            <w:fldChar w:fldCharType="separate"/>
                          </w:r>
                          <w:r>
                            <w:rPr>
                              <w:rFonts w:ascii="Trebuchet MS"/>
                              <w:spacing w:val="-10"/>
                              <w:sz w:val="20"/>
                            </w:rPr>
                            <w:t>9</w:t>
                          </w:r>
                          <w:r>
                            <w:rPr>
                              <w:rFonts w:ascii="Trebuchet MS"/>
                              <w:spacing w:val="-10"/>
                              <w:sz w:val="20"/>
                            </w:rPr>
                            <w:fldChar w:fldCharType="end"/>
                          </w:r>
                        </w:p>
                      </w:txbxContent>
                    </wps:txbx>
                    <wps:bodyPr wrap="square" lIns="0" tIns="0" rIns="0" bIns="0" rtlCol="0">
                      <a:noAutofit/>
                    </wps:bodyPr>
                  </wps:wsp>
                </a:graphicData>
              </a:graphic>
            </wp:anchor>
          </w:drawing>
        </mc:Choice>
        <mc:Fallback>
          <w:pict>
            <v:shape style="position:absolute;margin-left:461.28009pt;margin-top:809.844299pt;width:107.55pt;height:13.65pt;mso-position-horizontal-relative:page;mso-position-vertical-relative:page;z-index:-24008192" type="#_x0000_t202" id="docshape46" filled="false" stroked="false">
              <v:textbox inset="0,0,0,0">
                <w:txbxContent>
                  <w:p>
                    <w:pPr>
                      <w:tabs>
                        <w:tab w:pos="1965"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10"/>
                        <w:sz w:val="20"/>
                      </w:rPr>
                      <w:fldChar w:fldCharType="begin"/>
                    </w:r>
                    <w:r>
                      <w:rPr>
                        <w:rFonts w:ascii="Trebuchet MS"/>
                        <w:spacing w:val="-10"/>
                        <w:sz w:val="20"/>
                      </w:rPr>
                      <w:instrText> PAGE </w:instrText>
                    </w:r>
                    <w:r>
                      <w:rPr>
                        <w:rFonts w:ascii="Trebuchet MS"/>
                        <w:spacing w:val="-10"/>
                        <w:sz w:val="20"/>
                      </w:rPr>
                      <w:fldChar w:fldCharType="separate"/>
                    </w:r>
                    <w:r>
                      <w:rPr>
                        <w:rFonts w:ascii="Trebuchet MS"/>
                        <w:spacing w:val="-10"/>
                        <w:sz w:val="20"/>
                      </w:rPr>
                      <w:t>9</w:t>
                    </w:r>
                    <w:r>
                      <w:rPr>
                        <w:rFonts w:ascii="Trebuchet MS"/>
                        <w:spacing w:val="-10"/>
                        <w:sz w:val="20"/>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34912">
              <wp:simplePos x="0" y="0"/>
              <wp:positionH relativeFrom="page">
                <wp:posOffset>6892290</wp:posOffset>
              </wp:positionH>
              <wp:positionV relativeFrom="page">
                <wp:posOffset>10136161</wp:posOffset>
              </wp:positionV>
              <wp:extent cx="505459" cy="534035"/>
              <wp:effectExtent l="0" t="0" r="0" b="0"/>
              <wp:wrapNone/>
              <wp:docPr id="2402" name="Group 2402"/>
              <wp:cNvGraphicFramePr>
                <a:graphicFrameLocks/>
              </wp:cNvGraphicFramePr>
              <a:graphic>
                <a:graphicData uri="http://schemas.microsoft.com/office/word/2010/wordprocessingGroup">
                  <wpg:wgp>
                    <wpg:cNvPr id="2402" name="Group 2402"/>
                    <wpg:cNvGrpSpPr/>
                    <wpg:grpSpPr>
                      <a:xfrm>
                        <a:off x="0" y="0"/>
                        <a:ext cx="505459" cy="534035"/>
                        <a:chExt cx="505459" cy="534035"/>
                      </a:xfrm>
                    </wpg:grpSpPr>
                    <pic:pic>
                      <pic:nvPicPr>
                        <pic:cNvPr id="2403" name="Image 2403"/>
                        <pic:cNvPicPr/>
                      </pic:nvPicPr>
                      <pic:blipFill>
                        <a:blip r:embed="rId1" cstate="print"/>
                        <a:stretch>
                          <a:fillRect/>
                        </a:stretch>
                      </pic:blipFill>
                      <pic:spPr>
                        <a:xfrm>
                          <a:off x="0" y="0"/>
                          <a:ext cx="504862" cy="266946"/>
                        </a:xfrm>
                        <a:prstGeom prst="rect">
                          <a:avLst/>
                        </a:prstGeom>
                      </pic:spPr>
                    </pic:pic>
                    <pic:pic>
                      <pic:nvPicPr>
                        <pic:cNvPr id="2404" name="Image 2404"/>
                        <pic:cNvPicPr/>
                      </pic:nvPicPr>
                      <pic:blipFill>
                        <a:blip r:embed="rId2" cstate="print"/>
                        <a:stretch>
                          <a:fillRect/>
                        </a:stretch>
                      </pic:blipFill>
                      <pic:spPr>
                        <a:xfrm>
                          <a:off x="0" y="266475"/>
                          <a:ext cx="504862" cy="266962"/>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3981568" id="docshapegroup2323" coordorigin="10854,15962" coordsize="796,841">
              <v:shape style="position:absolute;left:10854;top:15962;width:796;height:421" type="#_x0000_t75" id="docshape2324" stroked="false">
                <v:imagedata r:id="rId1" o:title=""/>
              </v:shape>
              <v:shape style="position:absolute;left:10854;top:16382;width:796;height:421" type="#_x0000_t75" id="docshape2325"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35424">
              <wp:simplePos x="0" y="0"/>
              <wp:positionH relativeFrom="page">
                <wp:posOffset>5858257</wp:posOffset>
              </wp:positionH>
              <wp:positionV relativeFrom="page">
                <wp:posOffset>10285022</wp:posOffset>
              </wp:positionV>
              <wp:extent cx="1431925" cy="173355"/>
              <wp:effectExtent l="0" t="0" r="0" b="0"/>
              <wp:wrapNone/>
              <wp:docPr id="2405" name="Textbox 2405"/>
              <wp:cNvGraphicFramePr>
                <a:graphicFrameLocks/>
              </wp:cNvGraphicFramePr>
              <a:graphic>
                <a:graphicData uri="http://schemas.microsoft.com/office/word/2010/wordprocessingShape">
                  <wps:wsp>
                    <wps:cNvPr id="2405" name="Textbox 2405"/>
                    <wps:cNvSpPr txBox="1"/>
                    <wps:spPr>
                      <a:xfrm>
                        <a:off x="0" y="0"/>
                        <a:ext cx="1431925" cy="173355"/>
                      </a:xfrm>
                      <a:prstGeom prst="rect">
                        <a:avLst/>
                      </a:prstGeom>
                    </wps:spPr>
                    <wps:txbx>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221</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299pt;width:112.75pt;height:13.65pt;mso-position-horizontal-relative:page;mso-position-vertical-relative:page;z-index:-23981056" type="#_x0000_t202" id="docshape2326" filled="false" stroked="false">
              <v:textbox inset="0,0,0,0">
                <w:txbxContent>
                  <w:p>
                    <w:pPr>
                      <w:spacing w:before="20"/>
                      <w:ind w:left="20" w:right="0" w:firstLine="0"/>
                      <w:jc w:val="left"/>
                      <w:rPr>
                        <w:rFonts w:ascii="Trebuchet MS"/>
                        <w:sz w:val="20"/>
                      </w:rPr>
                    </w:pPr>
                    <w:r>
                      <w:rPr>
                        <w:rFonts w:ascii="Trebuchet MS"/>
                        <w:sz w:val="18"/>
                      </w:rPr>
                      <w:t>Report</w:t>
                    </w:r>
                    <w:r>
                      <w:rPr>
                        <w:rFonts w:ascii="Trebuchet MS"/>
                        <w:spacing w:val="-4"/>
                        <w:sz w:val="18"/>
                      </w:rPr>
                      <w:t> </w:t>
                    </w:r>
                    <w:r>
                      <w:rPr>
                        <w:rFonts w:ascii="Trebuchet MS"/>
                        <w:sz w:val="18"/>
                      </w:rPr>
                      <w:t>to</w:t>
                    </w:r>
                    <w:r>
                      <w:rPr>
                        <w:rFonts w:ascii="Trebuchet MS"/>
                        <w:spacing w:val="-3"/>
                        <w:sz w:val="18"/>
                      </w:rPr>
                      <w:t> </w:t>
                    </w:r>
                    <w:r>
                      <w:rPr>
                        <w:rFonts w:ascii="Trebuchet MS"/>
                        <w:sz w:val="18"/>
                      </w:rPr>
                      <w:t>the</w:t>
                    </w:r>
                    <w:r>
                      <w:rPr>
                        <w:rFonts w:ascii="Trebuchet MS"/>
                        <w:spacing w:val="-4"/>
                        <w:sz w:val="18"/>
                      </w:rPr>
                      <w:t> </w:t>
                    </w:r>
                    <w:r>
                      <w:rPr>
                        <w:rFonts w:ascii="Trebuchet MS"/>
                        <w:sz w:val="18"/>
                      </w:rPr>
                      <w:t>Nation</w:t>
                    </w:r>
                    <w:r>
                      <w:rPr>
                        <w:rFonts w:ascii="Trebuchet MS"/>
                        <w:spacing w:val="31"/>
                        <w:sz w:val="18"/>
                      </w:rPr>
                      <w:t>  </w:t>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221</w:t>
                    </w:r>
                    <w:r>
                      <w:rPr>
                        <w:rFonts w:ascii="Trebuchet MS"/>
                        <w:spacing w:val="-5"/>
                        <w:sz w:val="2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35936">
              <wp:simplePos x="0" y="0"/>
              <wp:positionH relativeFrom="page">
                <wp:posOffset>162877</wp:posOffset>
              </wp:positionH>
              <wp:positionV relativeFrom="page">
                <wp:posOffset>10136161</wp:posOffset>
              </wp:positionV>
              <wp:extent cx="505459" cy="534035"/>
              <wp:effectExtent l="0" t="0" r="0" b="0"/>
              <wp:wrapNone/>
              <wp:docPr id="2406" name="Group 2406"/>
              <wp:cNvGraphicFramePr>
                <a:graphicFrameLocks/>
              </wp:cNvGraphicFramePr>
              <a:graphic>
                <a:graphicData uri="http://schemas.microsoft.com/office/word/2010/wordprocessingGroup">
                  <wpg:wgp>
                    <wpg:cNvPr id="2406" name="Group 2406"/>
                    <wpg:cNvGrpSpPr/>
                    <wpg:grpSpPr>
                      <a:xfrm>
                        <a:off x="0" y="0"/>
                        <a:ext cx="505459" cy="534035"/>
                        <a:chExt cx="505459" cy="534035"/>
                      </a:xfrm>
                    </wpg:grpSpPr>
                    <pic:pic>
                      <pic:nvPicPr>
                        <pic:cNvPr id="2407" name="Image 2407"/>
                        <pic:cNvPicPr/>
                      </pic:nvPicPr>
                      <pic:blipFill>
                        <a:blip r:embed="rId1" cstate="print"/>
                        <a:stretch>
                          <a:fillRect/>
                        </a:stretch>
                      </pic:blipFill>
                      <pic:spPr>
                        <a:xfrm>
                          <a:off x="0" y="0"/>
                          <a:ext cx="504863" cy="266946"/>
                        </a:xfrm>
                        <a:prstGeom prst="rect">
                          <a:avLst/>
                        </a:prstGeom>
                      </pic:spPr>
                    </pic:pic>
                    <pic:pic>
                      <pic:nvPicPr>
                        <pic:cNvPr id="2408" name="Image 2408"/>
                        <pic:cNvPicPr/>
                      </pic:nvPicPr>
                      <pic:blipFill>
                        <a:blip r:embed="rId2" cstate="print"/>
                        <a:stretch>
                          <a:fillRect/>
                        </a:stretch>
                      </pic:blipFill>
                      <pic:spPr>
                        <a:xfrm>
                          <a:off x="0" y="266475"/>
                          <a:ext cx="504863" cy="266962"/>
                        </a:xfrm>
                        <a:prstGeom prst="rect">
                          <a:avLst/>
                        </a:prstGeom>
                      </pic:spPr>
                    </pic:pic>
                  </wpg:wgp>
                </a:graphicData>
              </a:graphic>
            </wp:anchor>
          </w:drawing>
        </mc:Choice>
        <mc:Fallback>
          <w:pict>
            <v:group style="position:absolute;margin-left:12.825pt;margin-top:798.122986pt;width:39.8pt;height:42.05pt;mso-position-horizontal-relative:page;mso-position-vertical-relative:page;z-index:-23980544" id="docshapegroup2327" coordorigin="256,15962" coordsize="796,841">
              <v:shape style="position:absolute;left:256;top:15962;width:796;height:421" type="#_x0000_t75" id="docshape2328" stroked="false">
                <v:imagedata r:id="rId1" o:title=""/>
              </v:shape>
              <v:shape style="position:absolute;left:256;top:16382;width:796;height:421" type="#_x0000_t75" id="docshape2329"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36448">
              <wp:simplePos x="0" y="0"/>
              <wp:positionH relativeFrom="page">
                <wp:posOffset>272028</wp:posOffset>
              </wp:positionH>
              <wp:positionV relativeFrom="page">
                <wp:posOffset>10285022</wp:posOffset>
              </wp:positionV>
              <wp:extent cx="288925" cy="173355"/>
              <wp:effectExtent l="0" t="0" r="0" b="0"/>
              <wp:wrapNone/>
              <wp:docPr id="2409" name="Textbox 2409"/>
              <wp:cNvGraphicFramePr>
                <a:graphicFrameLocks/>
              </wp:cNvGraphicFramePr>
              <a:graphic>
                <a:graphicData uri="http://schemas.microsoft.com/office/word/2010/wordprocessingShape">
                  <wps:wsp>
                    <wps:cNvPr id="2409" name="Textbox 2409"/>
                    <wps:cNvSpPr txBox="1"/>
                    <wps:spPr>
                      <a:xfrm>
                        <a:off x="0" y="0"/>
                        <a:ext cx="288925" cy="173355"/>
                      </a:xfrm>
                      <a:prstGeom prst="rect">
                        <a:avLst/>
                      </a:prstGeom>
                    </wps:spPr>
                    <wps:txbx>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222</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21.419531pt;margin-top:809.844299pt;width:22.75pt;height:13.65pt;mso-position-horizontal-relative:page;mso-position-vertical-relative:page;z-index:-23980032" type="#_x0000_t202" id="docshape2330" filled="false" stroked="false">
              <v:textbox inset="0,0,0,0">
                <w:txbxContent>
                  <w:p>
                    <w:pPr>
                      <w:spacing w:before="20"/>
                      <w:ind w:left="60" w:right="0" w:firstLine="0"/>
                      <w:jc w:val="left"/>
                      <w:rPr>
                        <w:rFonts w:ascii="Trebuchet MS"/>
                        <w:sz w:val="20"/>
                      </w:rPr>
                    </w:pP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222</w:t>
                    </w:r>
                    <w:r>
                      <w:rPr>
                        <w:rFonts w:ascii="Trebuchet MS"/>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9336960">
              <wp:simplePos x="0" y="0"/>
              <wp:positionH relativeFrom="page">
                <wp:posOffset>667583</wp:posOffset>
              </wp:positionH>
              <wp:positionV relativeFrom="page">
                <wp:posOffset>10296254</wp:posOffset>
              </wp:positionV>
              <wp:extent cx="1673860" cy="158115"/>
              <wp:effectExtent l="0" t="0" r="0" b="0"/>
              <wp:wrapNone/>
              <wp:docPr id="2410" name="Textbox 2410"/>
              <wp:cNvGraphicFramePr>
                <a:graphicFrameLocks/>
              </wp:cNvGraphicFramePr>
              <a:graphic>
                <a:graphicData uri="http://schemas.microsoft.com/office/word/2010/wordprocessingShape">
                  <wps:wsp>
                    <wps:cNvPr id="2410" name="Textbox 2410"/>
                    <wps:cNvSpPr txBox="1"/>
                    <wps:spPr>
                      <a:xfrm>
                        <a:off x="0" y="0"/>
                        <a:ext cx="1673860" cy="158115"/>
                      </a:xfrm>
                      <a:prstGeom prst="rect">
                        <a:avLst/>
                      </a:prstGeom>
                    </wps:spPr>
                    <wps:txbx>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wps:txbx>
                    <wps:bodyPr wrap="square" lIns="0" tIns="0" rIns="0" bIns="0" rtlCol="0">
                      <a:noAutofit/>
                    </wps:bodyPr>
                  </wps:wsp>
                </a:graphicData>
              </a:graphic>
            </wp:anchor>
          </w:drawing>
        </mc:Choice>
        <mc:Fallback>
          <w:pict>
            <v:shape style="position:absolute;margin-left:52.565659pt;margin-top:810.728699pt;width:131.8pt;height:12.45pt;mso-position-horizontal-relative:page;mso-position-vertical-relative:page;z-index:-23979520" type="#_x0000_t202" id="docshape2331" filled="false" stroked="false">
              <v:textbox inset="0,0,0,0">
                <w:txbxContent>
                  <w:p>
                    <w:pPr>
                      <w:spacing w:before="20"/>
                      <w:ind w:left="20" w:right="0" w:firstLine="0"/>
                      <w:jc w:val="left"/>
                      <w:rPr>
                        <w:rFonts w:ascii="Trebuchet MS"/>
                        <w:sz w:val="18"/>
                      </w:rPr>
                    </w:pPr>
                    <w:r>
                      <w:rPr>
                        <w:rFonts w:ascii="Trebuchet MS"/>
                        <w:sz w:val="18"/>
                      </w:rPr>
                      <w:t>National</w:t>
                    </w:r>
                    <w:r>
                      <w:rPr>
                        <w:rFonts w:ascii="Trebuchet MS"/>
                        <w:spacing w:val="-8"/>
                        <w:sz w:val="18"/>
                      </w:rPr>
                      <w:t> </w:t>
                    </w:r>
                    <w:r>
                      <w:rPr>
                        <w:rFonts w:ascii="Trebuchet MS"/>
                        <w:sz w:val="18"/>
                      </w:rPr>
                      <w:t>Knowledge</w:t>
                    </w:r>
                    <w:r>
                      <w:rPr>
                        <w:rFonts w:ascii="Trebuchet MS"/>
                        <w:spacing w:val="-7"/>
                        <w:sz w:val="18"/>
                      </w:rPr>
                      <w:t> </w:t>
                    </w:r>
                    <w:r>
                      <w:rPr>
                        <w:rFonts w:ascii="Trebuchet MS"/>
                        <w:spacing w:val="-2"/>
                        <w:sz w:val="18"/>
                      </w:rPr>
                      <w:t>Commission</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08800">
              <wp:simplePos x="0" y="0"/>
              <wp:positionH relativeFrom="page">
                <wp:posOffset>6892290</wp:posOffset>
              </wp:positionH>
              <wp:positionV relativeFrom="page">
                <wp:posOffset>10136161</wp:posOffset>
              </wp:positionV>
              <wp:extent cx="505459" cy="53403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505459" cy="534035"/>
                        <a:chExt cx="505459" cy="534035"/>
                      </a:xfrm>
                    </wpg:grpSpPr>
                    <pic:pic>
                      <pic:nvPicPr>
                        <pic:cNvPr id="63" name="Image 63"/>
                        <pic:cNvPicPr/>
                      </pic:nvPicPr>
                      <pic:blipFill>
                        <a:blip r:embed="rId1" cstate="print"/>
                        <a:stretch>
                          <a:fillRect/>
                        </a:stretch>
                      </pic:blipFill>
                      <pic:spPr>
                        <a:xfrm>
                          <a:off x="0" y="0"/>
                          <a:ext cx="504862" cy="266952"/>
                        </a:xfrm>
                        <a:prstGeom prst="rect">
                          <a:avLst/>
                        </a:prstGeom>
                      </pic:spPr>
                    </pic:pic>
                    <pic:pic>
                      <pic:nvPicPr>
                        <pic:cNvPr id="64" name="Image 64"/>
                        <pic:cNvPicPr/>
                      </pic:nvPicPr>
                      <pic:blipFill>
                        <a:blip r:embed="rId2" cstate="print"/>
                        <a:stretch>
                          <a:fillRect/>
                        </a:stretch>
                      </pic:blipFill>
                      <pic:spPr>
                        <a:xfrm>
                          <a:off x="0" y="266481"/>
                          <a:ext cx="504862" cy="266956"/>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4007680" id="docshapegroup59" coordorigin="10854,15962" coordsize="796,841">
              <v:shape style="position:absolute;left:10854;top:15962;width:796;height:421" type="#_x0000_t75" id="docshape60" stroked="false">
                <v:imagedata r:id="rId1" o:title=""/>
              </v:shape>
              <v:shape style="position:absolute;left:10854;top:16382;width:796;height:421" type="#_x0000_t75" id="docshape61"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09312">
              <wp:simplePos x="0" y="0"/>
              <wp:positionH relativeFrom="page">
                <wp:posOffset>5858257</wp:posOffset>
              </wp:positionH>
              <wp:positionV relativeFrom="page">
                <wp:posOffset>10285028</wp:posOffset>
              </wp:positionV>
              <wp:extent cx="1398905" cy="17335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398905" cy="173355"/>
                      </a:xfrm>
                      <a:prstGeom prst="rect">
                        <a:avLst/>
                      </a:prstGeom>
                    </wps:spPr>
                    <wps:txbx>
                      <w:txbxContent>
                        <w:p>
                          <w:pPr>
                            <w:tabs>
                              <w:tab w:pos="1912"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11</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788pt;width:110.15pt;height:13.65pt;mso-position-horizontal-relative:page;mso-position-vertical-relative:page;z-index:-24007168" type="#_x0000_t202" id="docshape62" filled="false" stroked="false">
              <v:textbox inset="0,0,0,0">
                <w:txbxContent>
                  <w:p>
                    <w:pPr>
                      <w:tabs>
                        <w:tab w:pos="1912"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11</w:t>
                    </w:r>
                    <w:r>
                      <w:rPr>
                        <w:rFonts w:ascii="Trebuchet MS"/>
                        <w:spacing w:val="-5"/>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309824">
              <wp:simplePos x="0" y="0"/>
              <wp:positionH relativeFrom="page">
                <wp:posOffset>6892290</wp:posOffset>
              </wp:positionH>
              <wp:positionV relativeFrom="page">
                <wp:posOffset>10136161</wp:posOffset>
              </wp:positionV>
              <wp:extent cx="505459" cy="53403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05459" cy="534035"/>
                        <a:chExt cx="505459" cy="534035"/>
                      </a:xfrm>
                    </wpg:grpSpPr>
                    <pic:pic>
                      <pic:nvPicPr>
                        <pic:cNvPr id="97" name="Image 97"/>
                        <pic:cNvPicPr/>
                      </pic:nvPicPr>
                      <pic:blipFill>
                        <a:blip r:embed="rId1" cstate="print"/>
                        <a:stretch>
                          <a:fillRect/>
                        </a:stretch>
                      </pic:blipFill>
                      <pic:spPr>
                        <a:xfrm>
                          <a:off x="0" y="0"/>
                          <a:ext cx="504862" cy="266952"/>
                        </a:xfrm>
                        <a:prstGeom prst="rect">
                          <a:avLst/>
                        </a:prstGeom>
                      </pic:spPr>
                    </pic:pic>
                    <pic:pic>
                      <pic:nvPicPr>
                        <pic:cNvPr id="98" name="Image 98"/>
                        <pic:cNvPicPr/>
                      </pic:nvPicPr>
                      <pic:blipFill>
                        <a:blip r:embed="rId2" cstate="print"/>
                        <a:stretch>
                          <a:fillRect/>
                        </a:stretch>
                      </pic:blipFill>
                      <pic:spPr>
                        <a:xfrm>
                          <a:off x="0" y="266481"/>
                          <a:ext cx="504862" cy="266956"/>
                        </a:xfrm>
                        <a:prstGeom prst="rect">
                          <a:avLst/>
                        </a:prstGeom>
                      </pic:spPr>
                    </pic:pic>
                  </wpg:wgp>
                </a:graphicData>
              </a:graphic>
            </wp:anchor>
          </w:drawing>
        </mc:Choice>
        <mc:Fallback>
          <w:pict>
            <v:group style="position:absolute;margin-left:542.700012pt;margin-top:798.122986pt;width:39.8pt;height:42.05pt;mso-position-horizontal-relative:page;mso-position-vertical-relative:page;z-index:-24006656" id="docshapegroup89" coordorigin="10854,15962" coordsize="796,841">
              <v:shape style="position:absolute;left:10854;top:15962;width:796;height:421" type="#_x0000_t75" id="docshape90" stroked="false">
                <v:imagedata r:id="rId1" o:title=""/>
              </v:shape>
              <v:shape style="position:absolute;left:10854;top:16382;width:796;height:421" type="#_x0000_t75" id="docshape91" stroked="false">
                <v:imagedata r:id="rId2" o:title=""/>
              </v:shape>
              <w10:wrap type="none"/>
            </v:group>
          </w:pict>
        </mc:Fallback>
      </mc:AlternateContent>
    </w:r>
    <w:r>
      <w:rPr/>
      <mc:AlternateContent>
        <mc:Choice Requires="wps">
          <w:drawing>
            <wp:anchor distT="0" distB="0" distL="0" distR="0" allowOverlap="1" layoutInCell="1" locked="0" behindDoc="1" simplePos="0" relativeHeight="479310336">
              <wp:simplePos x="0" y="0"/>
              <wp:positionH relativeFrom="page">
                <wp:posOffset>5858257</wp:posOffset>
              </wp:positionH>
              <wp:positionV relativeFrom="page">
                <wp:posOffset>10285028</wp:posOffset>
              </wp:positionV>
              <wp:extent cx="1398905" cy="17335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398905" cy="173355"/>
                      </a:xfrm>
                      <a:prstGeom prst="rect">
                        <a:avLst/>
                      </a:prstGeom>
                    </wps:spPr>
                    <wps:txbx>
                      <w:txbxContent>
                        <w:p>
                          <w:pPr>
                            <w:tabs>
                              <w:tab w:pos="1912"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13</w:t>
                          </w:r>
                          <w:r>
                            <w:rPr>
                              <w:rFonts w:ascii="Trebuchet MS"/>
                              <w:spacing w:val="-5"/>
                              <w:sz w:val="20"/>
                            </w:rPr>
                            <w:fldChar w:fldCharType="end"/>
                          </w:r>
                        </w:p>
                      </w:txbxContent>
                    </wps:txbx>
                    <wps:bodyPr wrap="square" lIns="0" tIns="0" rIns="0" bIns="0" rtlCol="0">
                      <a:noAutofit/>
                    </wps:bodyPr>
                  </wps:wsp>
                </a:graphicData>
              </a:graphic>
            </wp:anchor>
          </w:drawing>
        </mc:Choice>
        <mc:Fallback>
          <w:pict>
            <v:shape style="position:absolute;margin-left:461.28009pt;margin-top:809.844788pt;width:110.15pt;height:13.65pt;mso-position-horizontal-relative:page;mso-position-vertical-relative:page;z-index:-24006144" type="#_x0000_t202" id="docshape92" filled="false" stroked="false">
              <v:textbox inset="0,0,0,0">
                <w:txbxContent>
                  <w:p>
                    <w:pPr>
                      <w:tabs>
                        <w:tab w:pos="1912" w:val="left" w:leader="none"/>
                      </w:tabs>
                      <w:spacing w:before="20"/>
                      <w:ind w:left="20" w:right="0" w:firstLine="0"/>
                      <w:jc w:val="left"/>
                      <w:rPr>
                        <w:rFonts w:ascii="Trebuchet MS"/>
                        <w:sz w:val="20"/>
                      </w:rPr>
                    </w:pPr>
                    <w:r>
                      <w:rPr>
                        <w:rFonts w:ascii="Trebuchet MS"/>
                        <w:sz w:val="18"/>
                      </w:rPr>
                      <w:t>Report</w:t>
                    </w:r>
                    <w:r>
                      <w:rPr>
                        <w:rFonts w:ascii="Trebuchet MS"/>
                        <w:spacing w:val="-6"/>
                        <w:sz w:val="18"/>
                      </w:rPr>
                      <w:t> </w:t>
                    </w:r>
                    <w:r>
                      <w:rPr>
                        <w:rFonts w:ascii="Trebuchet MS"/>
                        <w:sz w:val="18"/>
                      </w:rPr>
                      <w:t>to</w:t>
                    </w:r>
                    <w:r>
                      <w:rPr>
                        <w:rFonts w:ascii="Trebuchet MS"/>
                        <w:spacing w:val="-5"/>
                        <w:sz w:val="18"/>
                      </w:rPr>
                      <w:t> </w:t>
                    </w:r>
                    <w:r>
                      <w:rPr>
                        <w:rFonts w:ascii="Trebuchet MS"/>
                        <w:sz w:val="18"/>
                      </w:rPr>
                      <w:t>the</w:t>
                    </w:r>
                    <w:r>
                      <w:rPr>
                        <w:rFonts w:ascii="Trebuchet MS"/>
                        <w:spacing w:val="-5"/>
                        <w:sz w:val="18"/>
                      </w:rPr>
                      <w:t> </w:t>
                    </w:r>
                    <w:r>
                      <w:rPr>
                        <w:rFonts w:ascii="Trebuchet MS"/>
                        <w:spacing w:val="-2"/>
                        <w:sz w:val="18"/>
                      </w:rPr>
                      <w:t>Nation</w:t>
                    </w:r>
                    <w:r>
                      <w:rPr>
                        <w:rFonts w:ascii="Trebuchet MS"/>
                        <w:sz w:val="18"/>
                      </w:rPr>
                      <w:tab/>
                    </w:r>
                    <w:r>
                      <w:rPr>
                        <w:rFonts w:ascii="Trebuchet MS"/>
                        <w:spacing w:val="-5"/>
                        <w:sz w:val="20"/>
                      </w:rPr>
                      <w:fldChar w:fldCharType="begin"/>
                    </w:r>
                    <w:r>
                      <w:rPr>
                        <w:rFonts w:ascii="Trebuchet MS"/>
                        <w:spacing w:val="-5"/>
                        <w:sz w:val="20"/>
                      </w:rPr>
                      <w:instrText> PAGE </w:instrText>
                    </w:r>
                    <w:r>
                      <w:rPr>
                        <w:rFonts w:ascii="Trebuchet MS"/>
                        <w:spacing w:val="-5"/>
                        <w:sz w:val="20"/>
                      </w:rPr>
                      <w:fldChar w:fldCharType="separate"/>
                    </w:r>
                    <w:r>
                      <w:rPr>
                        <w:rFonts w:ascii="Trebuchet MS"/>
                        <w:spacing w:val="-5"/>
                        <w:sz w:val="20"/>
                      </w:rPr>
                      <w:t>13</w:t>
                    </w:r>
                    <w:r>
                      <w:rPr>
                        <w:rFonts w:ascii="Trebuchet MS"/>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1">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32" w:hanging="360"/>
      </w:pPr>
      <w:rPr>
        <w:rFonts w:hint="default"/>
        <w:lang w:val="en-US" w:eastAsia="en-US" w:bidi="ar-SA"/>
      </w:rPr>
    </w:lvl>
    <w:lvl w:ilvl="2">
      <w:start w:val="0"/>
      <w:numFmt w:val="bullet"/>
      <w:lvlText w:val="•"/>
      <w:lvlJc w:val="left"/>
      <w:pPr>
        <w:ind w:left="2225" w:hanging="360"/>
      </w:pPr>
      <w:rPr>
        <w:rFonts w:hint="default"/>
        <w:lang w:val="en-US" w:eastAsia="en-US" w:bidi="ar-SA"/>
      </w:rPr>
    </w:lvl>
    <w:lvl w:ilvl="3">
      <w:start w:val="0"/>
      <w:numFmt w:val="bullet"/>
      <w:lvlText w:val="•"/>
      <w:lvlJc w:val="left"/>
      <w:pPr>
        <w:ind w:left="2617" w:hanging="360"/>
      </w:pPr>
      <w:rPr>
        <w:rFonts w:hint="default"/>
        <w:lang w:val="en-US" w:eastAsia="en-US" w:bidi="ar-SA"/>
      </w:rPr>
    </w:lvl>
    <w:lvl w:ilvl="4">
      <w:start w:val="0"/>
      <w:numFmt w:val="bullet"/>
      <w:lvlText w:val="•"/>
      <w:lvlJc w:val="left"/>
      <w:pPr>
        <w:ind w:left="3010" w:hanging="360"/>
      </w:pPr>
      <w:rPr>
        <w:rFonts w:hint="default"/>
        <w:lang w:val="en-US" w:eastAsia="en-US" w:bidi="ar-SA"/>
      </w:rPr>
    </w:lvl>
    <w:lvl w:ilvl="5">
      <w:start w:val="0"/>
      <w:numFmt w:val="bullet"/>
      <w:lvlText w:val="•"/>
      <w:lvlJc w:val="left"/>
      <w:pPr>
        <w:ind w:left="3402" w:hanging="360"/>
      </w:pPr>
      <w:rPr>
        <w:rFonts w:hint="default"/>
        <w:lang w:val="en-US" w:eastAsia="en-US" w:bidi="ar-SA"/>
      </w:rPr>
    </w:lvl>
    <w:lvl w:ilvl="6">
      <w:start w:val="0"/>
      <w:numFmt w:val="bullet"/>
      <w:lvlText w:val="•"/>
      <w:lvlJc w:val="left"/>
      <w:pPr>
        <w:ind w:left="3795" w:hanging="360"/>
      </w:pPr>
      <w:rPr>
        <w:rFonts w:hint="default"/>
        <w:lang w:val="en-US" w:eastAsia="en-US" w:bidi="ar-SA"/>
      </w:rPr>
    </w:lvl>
    <w:lvl w:ilvl="7">
      <w:start w:val="0"/>
      <w:numFmt w:val="bullet"/>
      <w:lvlText w:val="•"/>
      <w:lvlJc w:val="left"/>
      <w:pPr>
        <w:ind w:left="4188" w:hanging="360"/>
      </w:pPr>
      <w:rPr>
        <w:rFonts w:hint="default"/>
        <w:lang w:val="en-US" w:eastAsia="en-US" w:bidi="ar-SA"/>
      </w:rPr>
    </w:lvl>
    <w:lvl w:ilvl="8">
      <w:start w:val="0"/>
      <w:numFmt w:val="bullet"/>
      <w:lvlText w:val="•"/>
      <w:lvlJc w:val="left"/>
      <w:pPr>
        <w:ind w:left="4580" w:hanging="360"/>
      </w:pPr>
      <w:rPr>
        <w:rFonts w:hint="default"/>
        <w:lang w:val="en-US" w:eastAsia="en-US" w:bidi="ar-SA"/>
      </w:rPr>
    </w:lvl>
  </w:abstractNum>
  <w:abstractNum w:abstractNumId="70">
    <w:multiLevelType w:val="hybridMultilevel"/>
    <w:lvl w:ilvl="0">
      <w:start w:val="1"/>
      <w:numFmt w:val="decimal"/>
      <w:lvlText w:val="%1."/>
      <w:lvlJc w:val="left"/>
      <w:pPr>
        <w:ind w:left="1080" w:hanging="251"/>
        <w:jc w:val="right"/>
      </w:pPr>
      <w:rPr>
        <w:rFonts w:hint="default" w:ascii="Times New Roman" w:hAnsi="Times New Roman" w:eastAsia="Times New Roman" w:cs="Times New Roman"/>
        <w:b/>
        <w:bCs/>
        <w:i w:val="0"/>
        <w:iCs w:val="0"/>
        <w:spacing w:val="0"/>
        <w:w w:val="102"/>
        <w:sz w:val="22"/>
        <w:szCs w:val="22"/>
        <w:lang w:val="en-US" w:eastAsia="en-US" w:bidi="ar-SA"/>
      </w:rPr>
    </w:lvl>
    <w:lvl w:ilvl="1">
      <w:start w:val="0"/>
      <w:numFmt w:val="bullet"/>
      <w:lvlText w:val="•"/>
      <w:lvlJc w:val="left"/>
      <w:pPr>
        <w:ind w:left="1549" w:hanging="251"/>
      </w:pPr>
      <w:rPr>
        <w:rFonts w:hint="default"/>
        <w:lang w:val="en-US" w:eastAsia="en-US" w:bidi="ar-SA"/>
      </w:rPr>
    </w:lvl>
    <w:lvl w:ilvl="2">
      <w:start w:val="0"/>
      <w:numFmt w:val="bullet"/>
      <w:lvlText w:val="•"/>
      <w:lvlJc w:val="left"/>
      <w:pPr>
        <w:ind w:left="2018" w:hanging="251"/>
      </w:pPr>
      <w:rPr>
        <w:rFonts w:hint="default"/>
        <w:lang w:val="en-US" w:eastAsia="en-US" w:bidi="ar-SA"/>
      </w:rPr>
    </w:lvl>
    <w:lvl w:ilvl="3">
      <w:start w:val="0"/>
      <w:numFmt w:val="bullet"/>
      <w:lvlText w:val="•"/>
      <w:lvlJc w:val="left"/>
      <w:pPr>
        <w:ind w:left="2488" w:hanging="251"/>
      </w:pPr>
      <w:rPr>
        <w:rFonts w:hint="default"/>
        <w:lang w:val="en-US" w:eastAsia="en-US" w:bidi="ar-SA"/>
      </w:rPr>
    </w:lvl>
    <w:lvl w:ilvl="4">
      <w:start w:val="0"/>
      <w:numFmt w:val="bullet"/>
      <w:lvlText w:val="•"/>
      <w:lvlJc w:val="left"/>
      <w:pPr>
        <w:ind w:left="2957" w:hanging="251"/>
      </w:pPr>
      <w:rPr>
        <w:rFonts w:hint="default"/>
        <w:lang w:val="en-US" w:eastAsia="en-US" w:bidi="ar-SA"/>
      </w:rPr>
    </w:lvl>
    <w:lvl w:ilvl="5">
      <w:start w:val="0"/>
      <w:numFmt w:val="bullet"/>
      <w:lvlText w:val="•"/>
      <w:lvlJc w:val="left"/>
      <w:pPr>
        <w:ind w:left="3426" w:hanging="251"/>
      </w:pPr>
      <w:rPr>
        <w:rFonts w:hint="default"/>
        <w:lang w:val="en-US" w:eastAsia="en-US" w:bidi="ar-SA"/>
      </w:rPr>
    </w:lvl>
    <w:lvl w:ilvl="6">
      <w:start w:val="0"/>
      <w:numFmt w:val="bullet"/>
      <w:lvlText w:val="•"/>
      <w:lvlJc w:val="left"/>
      <w:pPr>
        <w:ind w:left="3896" w:hanging="251"/>
      </w:pPr>
      <w:rPr>
        <w:rFonts w:hint="default"/>
        <w:lang w:val="en-US" w:eastAsia="en-US" w:bidi="ar-SA"/>
      </w:rPr>
    </w:lvl>
    <w:lvl w:ilvl="7">
      <w:start w:val="0"/>
      <w:numFmt w:val="bullet"/>
      <w:lvlText w:val="•"/>
      <w:lvlJc w:val="left"/>
      <w:pPr>
        <w:ind w:left="4365" w:hanging="251"/>
      </w:pPr>
      <w:rPr>
        <w:rFonts w:hint="default"/>
        <w:lang w:val="en-US" w:eastAsia="en-US" w:bidi="ar-SA"/>
      </w:rPr>
    </w:lvl>
    <w:lvl w:ilvl="8">
      <w:start w:val="0"/>
      <w:numFmt w:val="bullet"/>
      <w:lvlText w:val="•"/>
      <w:lvlJc w:val="left"/>
      <w:pPr>
        <w:ind w:left="4834" w:hanging="251"/>
      </w:pPr>
      <w:rPr>
        <w:rFonts w:hint="default"/>
        <w:lang w:val="en-US" w:eastAsia="en-US" w:bidi="ar-SA"/>
      </w:rPr>
    </w:lvl>
  </w:abstractNum>
  <w:abstractNum w:abstractNumId="102">
    <w:multiLevelType w:val="hybridMultilevel"/>
    <w:lvl w:ilvl="0">
      <w:start w:val="1"/>
      <w:numFmt w:val="decimal"/>
      <w:lvlText w:val="%1."/>
      <w:lvlJc w:val="left"/>
      <w:pPr>
        <w:ind w:left="14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981" w:hanging="360"/>
      </w:pPr>
      <w:rPr>
        <w:rFonts w:hint="default"/>
        <w:lang w:val="en-US" w:eastAsia="en-US" w:bidi="ar-SA"/>
      </w:rPr>
    </w:lvl>
    <w:lvl w:ilvl="2">
      <w:start w:val="0"/>
      <w:numFmt w:val="bullet"/>
      <w:lvlText w:val="•"/>
      <w:lvlJc w:val="left"/>
      <w:pPr>
        <w:ind w:left="2522" w:hanging="360"/>
      </w:pPr>
      <w:rPr>
        <w:rFonts w:hint="default"/>
        <w:lang w:val="en-US" w:eastAsia="en-US" w:bidi="ar-SA"/>
      </w:rPr>
    </w:lvl>
    <w:lvl w:ilvl="3">
      <w:start w:val="0"/>
      <w:numFmt w:val="bullet"/>
      <w:lvlText w:val="•"/>
      <w:lvlJc w:val="left"/>
      <w:pPr>
        <w:ind w:left="3063" w:hanging="360"/>
      </w:pPr>
      <w:rPr>
        <w:rFonts w:hint="default"/>
        <w:lang w:val="en-US" w:eastAsia="en-US" w:bidi="ar-SA"/>
      </w:rPr>
    </w:lvl>
    <w:lvl w:ilvl="4">
      <w:start w:val="0"/>
      <w:numFmt w:val="bullet"/>
      <w:lvlText w:val="•"/>
      <w:lvlJc w:val="left"/>
      <w:pPr>
        <w:ind w:left="3605" w:hanging="360"/>
      </w:pPr>
      <w:rPr>
        <w:rFonts w:hint="default"/>
        <w:lang w:val="en-US" w:eastAsia="en-US" w:bidi="ar-SA"/>
      </w:rPr>
    </w:lvl>
    <w:lvl w:ilvl="5">
      <w:start w:val="0"/>
      <w:numFmt w:val="bullet"/>
      <w:lvlText w:val="•"/>
      <w:lvlJc w:val="left"/>
      <w:pPr>
        <w:ind w:left="4146" w:hanging="360"/>
      </w:pPr>
      <w:rPr>
        <w:rFonts w:hint="default"/>
        <w:lang w:val="en-US" w:eastAsia="en-US" w:bidi="ar-SA"/>
      </w:rPr>
    </w:lvl>
    <w:lvl w:ilvl="6">
      <w:start w:val="0"/>
      <w:numFmt w:val="bullet"/>
      <w:lvlText w:val="•"/>
      <w:lvlJc w:val="left"/>
      <w:pPr>
        <w:ind w:left="4687" w:hanging="360"/>
      </w:pPr>
      <w:rPr>
        <w:rFonts w:hint="default"/>
        <w:lang w:val="en-US" w:eastAsia="en-US" w:bidi="ar-SA"/>
      </w:rPr>
    </w:lvl>
    <w:lvl w:ilvl="7">
      <w:start w:val="0"/>
      <w:numFmt w:val="bullet"/>
      <w:lvlText w:val="•"/>
      <w:lvlJc w:val="left"/>
      <w:pPr>
        <w:ind w:left="5228" w:hanging="360"/>
      </w:pPr>
      <w:rPr>
        <w:rFonts w:hint="default"/>
        <w:lang w:val="en-US" w:eastAsia="en-US" w:bidi="ar-SA"/>
      </w:rPr>
    </w:lvl>
    <w:lvl w:ilvl="8">
      <w:start w:val="0"/>
      <w:numFmt w:val="bullet"/>
      <w:lvlText w:val="•"/>
      <w:lvlJc w:val="left"/>
      <w:pPr>
        <w:ind w:left="5770" w:hanging="360"/>
      </w:pPr>
      <w:rPr>
        <w:rFonts w:hint="default"/>
        <w:lang w:val="en-US" w:eastAsia="en-US" w:bidi="ar-SA"/>
      </w:rPr>
    </w:lvl>
  </w:abstractNum>
  <w:abstractNum w:abstractNumId="101">
    <w:multiLevelType w:val="hybridMultilevel"/>
    <w:lvl w:ilvl="0">
      <w:start w:val="1"/>
      <w:numFmt w:val="decimal"/>
      <w:lvlText w:val="%1."/>
      <w:lvlJc w:val="left"/>
      <w:pPr>
        <w:ind w:left="14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669" w:hanging="360"/>
      </w:pPr>
      <w:rPr>
        <w:rFonts w:hint="default"/>
        <w:lang w:val="en-US" w:eastAsia="en-US" w:bidi="ar-SA"/>
      </w:rPr>
    </w:lvl>
    <w:lvl w:ilvl="2">
      <w:start w:val="0"/>
      <w:numFmt w:val="bullet"/>
      <w:lvlText w:val="•"/>
      <w:lvlJc w:val="left"/>
      <w:pPr>
        <w:ind w:left="1898" w:hanging="360"/>
      </w:pPr>
      <w:rPr>
        <w:rFonts w:hint="default"/>
        <w:lang w:val="en-US" w:eastAsia="en-US" w:bidi="ar-SA"/>
      </w:rPr>
    </w:lvl>
    <w:lvl w:ilvl="3">
      <w:start w:val="0"/>
      <w:numFmt w:val="bullet"/>
      <w:lvlText w:val="•"/>
      <w:lvlJc w:val="left"/>
      <w:pPr>
        <w:ind w:left="2127" w:hanging="360"/>
      </w:pPr>
      <w:rPr>
        <w:rFonts w:hint="default"/>
        <w:lang w:val="en-US" w:eastAsia="en-US" w:bidi="ar-SA"/>
      </w:rPr>
    </w:lvl>
    <w:lvl w:ilvl="4">
      <w:start w:val="0"/>
      <w:numFmt w:val="bullet"/>
      <w:lvlText w:val="•"/>
      <w:lvlJc w:val="left"/>
      <w:pPr>
        <w:ind w:left="2356" w:hanging="360"/>
      </w:pPr>
      <w:rPr>
        <w:rFonts w:hint="default"/>
        <w:lang w:val="en-US" w:eastAsia="en-US" w:bidi="ar-SA"/>
      </w:rPr>
    </w:lvl>
    <w:lvl w:ilvl="5">
      <w:start w:val="0"/>
      <w:numFmt w:val="bullet"/>
      <w:lvlText w:val="•"/>
      <w:lvlJc w:val="left"/>
      <w:pPr>
        <w:ind w:left="2585" w:hanging="360"/>
      </w:pPr>
      <w:rPr>
        <w:rFonts w:hint="default"/>
        <w:lang w:val="en-US" w:eastAsia="en-US" w:bidi="ar-SA"/>
      </w:rPr>
    </w:lvl>
    <w:lvl w:ilvl="6">
      <w:start w:val="0"/>
      <w:numFmt w:val="bullet"/>
      <w:lvlText w:val="•"/>
      <w:lvlJc w:val="left"/>
      <w:pPr>
        <w:ind w:left="2814" w:hanging="360"/>
      </w:pPr>
      <w:rPr>
        <w:rFonts w:hint="default"/>
        <w:lang w:val="en-US" w:eastAsia="en-US" w:bidi="ar-SA"/>
      </w:rPr>
    </w:lvl>
    <w:lvl w:ilvl="7">
      <w:start w:val="0"/>
      <w:numFmt w:val="bullet"/>
      <w:lvlText w:val="•"/>
      <w:lvlJc w:val="left"/>
      <w:pPr>
        <w:ind w:left="3043" w:hanging="360"/>
      </w:pPr>
      <w:rPr>
        <w:rFonts w:hint="default"/>
        <w:lang w:val="en-US" w:eastAsia="en-US" w:bidi="ar-SA"/>
      </w:rPr>
    </w:lvl>
    <w:lvl w:ilvl="8">
      <w:start w:val="0"/>
      <w:numFmt w:val="bullet"/>
      <w:lvlText w:val="•"/>
      <w:lvlJc w:val="left"/>
      <w:pPr>
        <w:ind w:left="3272" w:hanging="360"/>
      </w:pPr>
      <w:rPr>
        <w:rFonts w:hint="default"/>
        <w:lang w:val="en-US" w:eastAsia="en-US" w:bidi="ar-SA"/>
      </w:rPr>
    </w:lvl>
  </w:abstractNum>
  <w:abstractNum w:abstractNumId="100">
    <w:multiLevelType w:val="hybridMultilevel"/>
    <w:lvl w:ilvl="0">
      <w:start w:val="1"/>
      <w:numFmt w:val="decimal"/>
      <w:lvlText w:val="%1."/>
      <w:lvlJc w:val="left"/>
      <w:pPr>
        <w:ind w:left="14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669" w:hanging="360"/>
      </w:pPr>
      <w:rPr>
        <w:rFonts w:hint="default"/>
        <w:lang w:val="en-US" w:eastAsia="en-US" w:bidi="ar-SA"/>
      </w:rPr>
    </w:lvl>
    <w:lvl w:ilvl="2">
      <w:start w:val="0"/>
      <w:numFmt w:val="bullet"/>
      <w:lvlText w:val="•"/>
      <w:lvlJc w:val="left"/>
      <w:pPr>
        <w:ind w:left="1898" w:hanging="360"/>
      </w:pPr>
      <w:rPr>
        <w:rFonts w:hint="default"/>
        <w:lang w:val="en-US" w:eastAsia="en-US" w:bidi="ar-SA"/>
      </w:rPr>
    </w:lvl>
    <w:lvl w:ilvl="3">
      <w:start w:val="0"/>
      <w:numFmt w:val="bullet"/>
      <w:lvlText w:val="•"/>
      <w:lvlJc w:val="left"/>
      <w:pPr>
        <w:ind w:left="2127" w:hanging="360"/>
      </w:pPr>
      <w:rPr>
        <w:rFonts w:hint="default"/>
        <w:lang w:val="en-US" w:eastAsia="en-US" w:bidi="ar-SA"/>
      </w:rPr>
    </w:lvl>
    <w:lvl w:ilvl="4">
      <w:start w:val="0"/>
      <w:numFmt w:val="bullet"/>
      <w:lvlText w:val="•"/>
      <w:lvlJc w:val="left"/>
      <w:pPr>
        <w:ind w:left="2356" w:hanging="360"/>
      </w:pPr>
      <w:rPr>
        <w:rFonts w:hint="default"/>
        <w:lang w:val="en-US" w:eastAsia="en-US" w:bidi="ar-SA"/>
      </w:rPr>
    </w:lvl>
    <w:lvl w:ilvl="5">
      <w:start w:val="0"/>
      <w:numFmt w:val="bullet"/>
      <w:lvlText w:val="•"/>
      <w:lvlJc w:val="left"/>
      <w:pPr>
        <w:ind w:left="2585" w:hanging="360"/>
      </w:pPr>
      <w:rPr>
        <w:rFonts w:hint="default"/>
        <w:lang w:val="en-US" w:eastAsia="en-US" w:bidi="ar-SA"/>
      </w:rPr>
    </w:lvl>
    <w:lvl w:ilvl="6">
      <w:start w:val="0"/>
      <w:numFmt w:val="bullet"/>
      <w:lvlText w:val="•"/>
      <w:lvlJc w:val="left"/>
      <w:pPr>
        <w:ind w:left="2814" w:hanging="360"/>
      </w:pPr>
      <w:rPr>
        <w:rFonts w:hint="default"/>
        <w:lang w:val="en-US" w:eastAsia="en-US" w:bidi="ar-SA"/>
      </w:rPr>
    </w:lvl>
    <w:lvl w:ilvl="7">
      <w:start w:val="0"/>
      <w:numFmt w:val="bullet"/>
      <w:lvlText w:val="•"/>
      <w:lvlJc w:val="left"/>
      <w:pPr>
        <w:ind w:left="3043" w:hanging="360"/>
      </w:pPr>
      <w:rPr>
        <w:rFonts w:hint="default"/>
        <w:lang w:val="en-US" w:eastAsia="en-US" w:bidi="ar-SA"/>
      </w:rPr>
    </w:lvl>
    <w:lvl w:ilvl="8">
      <w:start w:val="0"/>
      <w:numFmt w:val="bullet"/>
      <w:lvlText w:val="•"/>
      <w:lvlJc w:val="left"/>
      <w:pPr>
        <w:ind w:left="3272" w:hanging="360"/>
      </w:pPr>
      <w:rPr>
        <w:rFonts w:hint="default"/>
        <w:lang w:val="en-US" w:eastAsia="en-US" w:bidi="ar-SA"/>
      </w:rPr>
    </w:lvl>
  </w:abstractNum>
  <w:abstractNum w:abstractNumId="99">
    <w:multiLevelType w:val="hybridMultilevel"/>
    <w:lvl w:ilvl="0">
      <w:start w:val="1"/>
      <w:numFmt w:val="decimal"/>
      <w:lvlText w:val="%1."/>
      <w:lvlJc w:val="left"/>
      <w:pPr>
        <w:ind w:left="14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981" w:hanging="360"/>
      </w:pPr>
      <w:rPr>
        <w:rFonts w:hint="default"/>
        <w:lang w:val="en-US" w:eastAsia="en-US" w:bidi="ar-SA"/>
      </w:rPr>
    </w:lvl>
    <w:lvl w:ilvl="2">
      <w:start w:val="0"/>
      <w:numFmt w:val="bullet"/>
      <w:lvlText w:val="•"/>
      <w:lvlJc w:val="left"/>
      <w:pPr>
        <w:ind w:left="2522" w:hanging="360"/>
      </w:pPr>
      <w:rPr>
        <w:rFonts w:hint="default"/>
        <w:lang w:val="en-US" w:eastAsia="en-US" w:bidi="ar-SA"/>
      </w:rPr>
    </w:lvl>
    <w:lvl w:ilvl="3">
      <w:start w:val="0"/>
      <w:numFmt w:val="bullet"/>
      <w:lvlText w:val="•"/>
      <w:lvlJc w:val="left"/>
      <w:pPr>
        <w:ind w:left="3063" w:hanging="360"/>
      </w:pPr>
      <w:rPr>
        <w:rFonts w:hint="default"/>
        <w:lang w:val="en-US" w:eastAsia="en-US" w:bidi="ar-SA"/>
      </w:rPr>
    </w:lvl>
    <w:lvl w:ilvl="4">
      <w:start w:val="0"/>
      <w:numFmt w:val="bullet"/>
      <w:lvlText w:val="•"/>
      <w:lvlJc w:val="left"/>
      <w:pPr>
        <w:ind w:left="3605" w:hanging="360"/>
      </w:pPr>
      <w:rPr>
        <w:rFonts w:hint="default"/>
        <w:lang w:val="en-US" w:eastAsia="en-US" w:bidi="ar-SA"/>
      </w:rPr>
    </w:lvl>
    <w:lvl w:ilvl="5">
      <w:start w:val="0"/>
      <w:numFmt w:val="bullet"/>
      <w:lvlText w:val="•"/>
      <w:lvlJc w:val="left"/>
      <w:pPr>
        <w:ind w:left="4146" w:hanging="360"/>
      </w:pPr>
      <w:rPr>
        <w:rFonts w:hint="default"/>
        <w:lang w:val="en-US" w:eastAsia="en-US" w:bidi="ar-SA"/>
      </w:rPr>
    </w:lvl>
    <w:lvl w:ilvl="6">
      <w:start w:val="0"/>
      <w:numFmt w:val="bullet"/>
      <w:lvlText w:val="•"/>
      <w:lvlJc w:val="left"/>
      <w:pPr>
        <w:ind w:left="4687" w:hanging="360"/>
      </w:pPr>
      <w:rPr>
        <w:rFonts w:hint="default"/>
        <w:lang w:val="en-US" w:eastAsia="en-US" w:bidi="ar-SA"/>
      </w:rPr>
    </w:lvl>
    <w:lvl w:ilvl="7">
      <w:start w:val="0"/>
      <w:numFmt w:val="bullet"/>
      <w:lvlText w:val="•"/>
      <w:lvlJc w:val="left"/>
      <w:pPr>
        <w:ind w:left="5228" w:hanging="360"/>
      </w:pPr>
      <w:rPr>
        <w:rFonts w:hint="default"/>
        <w:lang w:val="en-US" w:eastAsia="en-US" w:bidi="ar-SA"/>
      </w:rPr>
    </w:lvl>
    <w:lvl w:ilvl="8">
      <w:start w:val="0"/>
      <w:numFmt w:val="bullet"/>
      <w:lvlText w:val="•"/>
      <w:lvlJc w:val="left"/>
      <w:pPr>
        <w:ind w:left="5770" w:hanging="360"/>
      </w:pPr>
      <w:rPr>
        <w:rFonts w:hint="default"/>
        <w:lang w:val="en-US" w:eastAsia="en-US" w:bidi="ar-SA"/>
      </w:rPr>
    </w:lvl>
  </w:abstractNum>
  <w:abstractNum w:abstractNumId="98">
    <w:multiLevelType w:val="hybridMultilevel"/>
    <w:lvl w:ilvl="0">
      <w:start w:val="1"/>
      <w:numFmt w:val="decimal"/>
      <w:lvlText w:val="%1."/>
      <w:lvlJc w:val="left"/>
      <w:pPr>
        <w:ind w:left="14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596" w:hanging="360"/>
      </w:pPr>
      <w:rPr>
        <w:rFonts w:hint="default"/>
        <w:lang w:val="en-US" w:eastAsia="en-US" w:bidi="ar-SA"/>
      </w:rPr>
    </w:lvl>
    <w:lvl w:ilvl="2">
      <w:start w:val="0"/>
      <w:numFmt w:val="bullet"/>
      <w:lvlText w:val="•"/>
      <w:lvlJc w:val="left"/>
      <w:pPr>
        <w:ind w:left="1753" w:hanging="360"/>
      </w:pPr>
      <w:rPr>
        <w:rFonts w:hint="default"/>
        <w:lang w:val="en-US" w:eastAsia="en-US" w:bidi="ar-SA"/>
      </w:rPr>
    </w:lvl>
    <w:lvl w:ilvl="3">
      <w:start w:val="0"/>
      <w:numFmt w:val="bullet"/>
      <w:lvlText w:val="•"/>
      <w:lvlJc w:val="left"/>
      <w:pPr>
        <w:ind w:left="1909" w:hanging="360"/>
      </w:pPr>
      <w:rPr>
        <w:rFonts w:hint="default"/>
        <w:lang w:val="en-US" w:eastAsia="en-US" w:bidi="ar-SA"/>
      </w:rPr>
    </w:lvl>
    <w:lvl w:ilvl="4">
      <w:start w:val="0"/>
      <w:numFmt w:val="bullet"/>
      <w:lvlText w:val="•"/>
      <w:lvlJc w:val="left"/>
      <w:pPr>
        <w:ind w:left="2066" w:hanging="360"/>
      </w:pPr>
      <w:rPr>
        <w:rFonts w:hint="default"/>
        <w:lang w:val="en-US" w:eastAsia="en-US" w:bidi="ar-SA"/>
      </w:rPr>
    </w:lvl>
    <w:lvl w:ilvl="5">
      <w:start w:val="0"/>
      <w:numFmt w:val="bullet"/>
      <w:lvlText w:val="•"/>
      <w:lvlJc w:val="left"/>
      <w:pPr>
        <w:ind w:left="2222" w:hanging="360"/>
      </w:pPr>
      <w:rPr>
        <w:rFonts w:hint="default"/>
        <w:lang w:val="en-US" w:eastAsia="en-US" w:bidi="ar-SA"/>
      </w:rPr>
    </w:lvl>
    <w:lvl w:ilvl="6">
      <w:start w:val="0"/>
      <w:numFmt w:val="bullet"/>
      <w:lvlText w:val="•"/>
      <w:lvlJc w:val="left"/>
      <w:pPr>
        <w:ind w:left="2379" w:hanging="360"/>
      </w:pPr>
      <w:rPr>
        <w:rFonts w:hint="default"/>
        <w:lang w:val="en-US" w:eastAsia="en-US" w:bidi="ar-SA"/>
      </w:rPr>
    </w:lvl>
    <w:lvl w:ilvl="7">
      <w:start w:val="0"/>
      <w:numFmt w:val="bullet"/>
      <w:lvlText w:val="•"/>
      <w:lvlJc w:val="left"/>
      <w:pPr>
        <w:ind w:left="2535" w:hanging="360"/>
      </w:pPr>
      <w:rPr>
        <w:rFonts w:hint="default"/>
        <w:lang w:val="en-US" w:eastAsia="en-US" w:bidi="ar-SA"/>
      </w:rPr>
    </w:lvl>
    <w:lvl w:ilvl="8">
      <w:start w:val="0"/>
      <w:numFmt w:val="bullet"/>
      <w:lvlText w:val="•"/>
      <w:lvlJc w:val="left"/>
      <w:pPr>
        <w:ind w:left="2692" w:hanging="360"/>
      </w:pPr>
      <w:rPr>
        <w:rFonts w:hint="default"/>
        <w:lang w:val="en-US" w:eastAsia="en-US" w:bidi="ar-SA"/>
      </w:rPr>
    </w:lvl>
  </w:abstractNum>
  <w:abstractNum w:abstractNumId="97">
    <w:multiLevelType w:val="hybridMultilevel"/>
    <w:lvl w:ilvl="0">
      <w:start w:val="90"/>
      <w:numFmt w:val="decimal"/>
      <w:lvlText w:val="%1."/>
      <w:lvlJc w:val="left"/>
      <w:pPr>
        <w:ind w:left="1560" w:hanging="48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decimal"/>
      <w:lvlText w:val="%2."/>
      <w:lvlJc w:val="left"/>
      <w:pPr>
        <w:ind w:left="1560" w:hanging="481"/>
        <w:jc w:val="right"/>
      </w:pPr>
      <w:rPr>
        <w:rFonts w:hint="default"/>
        <w:spacing w:val="0"/>
        <w:w w:val="100"/>
        <w:lang w:val="en-US" w:eastAsia="en-US" w:bidi="ar-SA"/>
      </w:rPr>
    </w:lvl>
    <w:lvl w:ilvl="2">
      <w:start w:val="1"/>
      <w:numFmt w:val="decimal"/>
      <w:lvlText w:val="%3."/>
      <w:lvlJc w:val="left"/>
      <w:pPr>
        <w:ind w:left="14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1881" w:hanging="360"/>
      </w:pPr>
      <w:rPr>
        <w:rFonts w:hint="default"/>
        <w:lang w:val="en-US" w:eastAsia="en-US" w:bidi="ar-SA"/>
      </w:rPr>
    </w:lvl>
    <w:lvl w:ilvl="4">
      <w:start w:val="0"/>
      <w:numFmt w:val="bullet"/>
      <w:lvlText w:val="•"/>
      <w:lvlJc w:val="left"/>
      <w:pPr>
        <w:ind w:left="2041" w:hanging="360"/>
      </w:pPr>
      <w:rPr>
        <w:rFonts w:hint="default"/>
        <w:lang w:val="en-US" w:eastAsia="en-US" w:bidi="ar-SA"/>
      </w:rPr>
    </w:lvl>
    <w:lvl w:ilvl="5">
      <w:start w:val="0"/>
      <w:numFmt w:val="bullet"/>
      <w:lvlText w:val="•"/>
      <w:lvlJc w:val="left"/>
      <w:pPr>
        <w:ind w:left="2202" w:hanging="360"/>
      </w:pPr>
      <w:rPr>
        <w:rFonts w:hint="default"/>
        <w:lang w:val="en-US" w:eastAsia="en-US" w:bidi="ar-SA"/>
      </w:rPr>
    </w:lvl>
    <w:lvl w:ilvl="6">
      <w:start w:val="0"/>
      <w:numFmt w:val="bullet"/>
      <w:lvlText w:val="•"/>
      <w:lvlJc w:val="left"/>
      <w:pPr>
        <w:ind w:left="2363" w:hanging="360"/>
      </w:pPr>
      <w:rPr>
        <w:rFonts w:hint="default"/>
        <w:lang w:val="en-US" w:eastAsia="en-US" w:bidi="ar-SA"/>
      </w:rPr>
    </w:lvl>
    <w:lvl w:ilvl="7">
      <w:start w:val="0"/>
      <w:numFmt w:val="bullet"/>
      <w:lvlText w:val="•"/>
      <w:lvlJc w:val="left"/>
      <w:pPr>
        <w:ind w:left="2523" w:hanging="360"/>
      </w:pPr>
      <w:rPr>
        <w:rFonts w:hint="default"/>
        <w:lang w:val="en-US" w:eastAsia="en-US" w:bidi="ar-SA"/>
      </w:rPr>
    </w:lvl>
    <w:lvl w:ilvl="8">
      <w:start w:val="0"/>
      <w:numFmt w:val="bullet"/>
      <w:lvlText w:val="•"/>
      <w:lvlJc w:val="left"/>
      <w:pPr>
        <w:ind w:left="2684" w:hanging="360"/>
      </w:pPr>
      <w:rPr>
        <w:rFonts w:hint="default"/>
        <w:lang w:val="en-US" w:eastAsia="en-US" w:bidi="ar-SA"/>
      </w:rPr>
    </w:lvl>
  </w:abstractNum>
  <w:abstractNum w:abstractNumId="96">
    <w:multiLevelType w:val="hybridMultilevel"/>
    <w:lvl w:ilvl="0">
      <w:start w:val="1"/>
      <w:numFmt w:val="decimal"/>
      <w:lvlText w:val="%1."/>
      <w:lvlJc w:val="left"/>
      <w:pPr>
        <w:ind w:left="1560" w:hanging="48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902" w:hanging="481"/>
      </w:pPr>
      <w:rPr>
        <w:rFonts w:hint="default"/>
        <w:lang w:val="en-US" w:eastAsia="en-US" w:bidi="ar-SA"/>
      </w:rPr>
    </w:lvl>
    <w:lvl w:ilvl="2">
      <w:start w:val="0"/>
      <w:numFmt w:val="bullet"/>
      <w:lvlText w:val="•"/>
      <w:lvlJc w:val="left"/>
      <w:pPr>
        <w:ind w:left="2244" w:hanging="481"/>
      </w:pPr>
      <w:rPr>
        <w:rFonts w:hint="default"/>
        <w:lang w:val="en-US" w:eastAsia="en-US" w:bidi="ar-SA"/>
      </w:rPr>
    </w:lvl>
    <w:lvl w:ilvl="3">
      <w:start w:val="0"/>
      <w:numFmt w:val="bullet"/>
      <w:lvlText w:val="•"/>
      <w:lvlJc w:val="left"/>
      <w:pPr>
        <w:ind w:left="2587" w:hanging="481"/>
      </w:pPr>
      <w:rPr>
        <w:rFonts w:hint="default"/>
        <w:lang w:val="en-US" w:eastAsia="en-US" w:bidi="ar-SA"/>
      </w:rPr>
    </w:lvl>
    <w:lvl w:ilvl="4">
      <w:start w:val="0"/>
      <w:numFmt w:val="bullet"/>
      <w:lvlText w:val="•"/>
      <w:lvlJc w:val="left"/>
      <w:pPr>
        <w:ind w:left="2929" w:hanging="481"/>
      </w:pPr>
      <w:rPr>
        <w:rFonts w:hint="default"/>
        <w:lang w:val="en-US" w:eastAsia="en-US" w:bidi="ar-SA"/>
      </w:rPr>
    </w:lvl>
    <w:lvl w:ilvl="5">
      <w:start w:val="0"/>
      <w:numFmt w:val="bullet"/>
      <w:lvlText w:val="•"/>
      <w:lvlJc w:val="left"/>
      <w:pPr>
        <w:ind w:left="3272" w:hanging="481"/>
      </w:pPr>
      <w:rPr>
        <w:rFonts w:hint="default"/>
        <w:lang w:val="en-US" w:eastAsia="en-US" w:bidi="ar-SA"/>
      </w:rPr>
    </w:lvl>
    <w:lvl w:ilvl="6">
      <w:start w:val="0"/>
      <w:numFmt w:val="bullet"/>
      <w:lvlText w:val="•"/>
      <w:lvlJc w:val="left"/>
      <w:pPr>
        <w:ind w:left="3614" w:hanging="481"/>
      </w:pPr>
      <w:rPr>
        <w:rFonts w:hint="default"/>
        <w:lang w:val="en-US" w:eastAsia="en-US" w:bidi="ar-SA"/>
      </w:rPr>
    </w:lvl>
    <w:lvl w:ilvl="7">
      <w:start w:val="0"/>
      <w:numFmt w:val="bullet"/>
      <w:lvlText w:val="•"/>
      <w:lvlJc w:val="left"/>
      <w:pPr>
        <w:ind w:left="3957" w:hanging="481"/>
      </w:pPr>
      <w:rPr>
        <w:rFonts w:hint="default"/>
        <w:lang w:val="en-US" w:eastAsia="en-US" w:bidi="ar-SA"/>
      </w:rPr>
    </w:lvl>
    <w:lvl w:ilvl="8">
      <w:start w:val="0"/>
      <w:numFmt w:val="bullet"/>
      <w:lvlText w:val="•"/>
      <w:lvlJc w:val="left"/>
      <w:pPr>
        <w:ind w:left="4299" w:hanging="481"/>
      </w:pPr>
      <w:rPr>
        <w:rFonts w:hint="default"/>
        <w:lang w:val="en-US" w:eastAsia="en-US" w:bidi="ar-SA"/>
      </w:rPr>
    </w:lvl>
  </w:abstractNum>
  <w:abstractNum w:abstractNumId="95">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759" w:hanging="360"/>
      </w:pPr>
      <w:rPr>
        <w:rFonts w:hint="default"/>
        <w:lang w:val="en-US" w:eastAsia="en-US" w:bidi="ar-SA"/>
      </w:rPr>
    </w:lvl>
    <w:lvl w:ilvl="2">
      <w:start w:val="0"/>
      <w:numFmt w:val="bullet"/>
      <w:lvlText w:val="•"/>
      <w:lvlJc w:val="left"/>
      <w:pPr>
        <w:ind w:left="2078" w:hanging="360"/>
      </w:pPr>
      <w:rPr>
        <w:rFonts w:hint="default"/>
        <w:lang w:val="en-US" w:eastAsia="en-US" w:bidi="ar-SA"/>
      </w:rPr>
    </w:lvl>
    <w:lvl w:ilvl="3">
      <w:start w:val="0"/>
      <w:numFmt w:val="bullet"/>
      <w:lvlText w:val="•"/>
      <w:lvlJc w:val="left"/>
      <w:pPr>
        <w:ind w:left="2398" w:hanging="360"/>
      </w:pPr>
      <w:rPr>
        <w:rFonts w:hint="default"/>
        <w:lang w:val="en-US" w:eastAsia="en-US" w:bidi="ar-SA"/>
      </w:rPr>
    </w:lvl>
    <w:lvl w:ilvl="4">
      <w:start w:val="0"/>
      <w:numFmt w:val="bullet"/>
      <w:lvlText w:val="•"/>
      <w:lvlJc w:val="left"/>
      <w:pPr>
        <w:ind w:left="2717" w:hanging="360"/>
      </w:pPr>
      <w:rPr>
        <w:rFonts w:hint="default"/>
        <w:lang w:val="en-US" w:eastAsia="en-US" w:bidi="ar-SA"/>
      </w:rPr>
    </w:lvl>
    <w:lvl w:ilvl="5">
      <w:start w:val="0"/>
      <w:numFmt w:val="bullet"/>
      <w:lvlText w:val="•"/>
      <w:lvlJc w:val="left"/>
      <w:pPr>
        <w:ind w:left="3036" w:hanging="360"/>
      </w:pPr>
      <w:rPr>
        <w:rFonts w:hint="default"/>
        <w:lang w:val="en-US" w:eastAsia="en-US" w:bidi="ar-SA"/>
      </w:rPr>
    </w:lvl>
    <w:lvl w:ilvl="6">
      <w:start w:val="0"/>
      <w:numFmt w:val="bullet"/>
      <w:lvlText w:val="•"/>
      <w:lvlJc w:val="left"/>
      <w:pPr>
        <w:ind w:left="3356" w:hanging="360"/>
      </w:pPr>
      <w:rPr>
        <w:rFonts w:hint="default"/>
        <w:lang w:val="en-US" w:eastAsia="en-US" w:bidi="ar-SA"/>
      </w:rPr>
    </w:lvl>
    <w:lvl w:ilvl="7">
      <w:start w:val="0"/>
      <w:numFmt w:val="bullet"/>
      <w:lvlText w:val="•"/>
      <w:lvlJc w:val="left"/>
      <w:pPr>
        <w:ind w:left="3675" w:hanging="360"/>
      </w:pPr>
      <w:rPr>
        <w:rFonts w:hint="default"/>
        <w:lang w:val="en-US" w:eastAsia="en-US" w:bidi="ar-SA"/>
      </w:rPr>
    </w:lvl>
    <w:lvl w:ilvl="8">
      <w:start w:val="0"/>
      <w:numFmt w:val="bullet"/>
      <w:lvlText w:val="•"/>
      <w:lvlJc w:val="left"/>
      <w:pPr>
        <w:ind w:left="3994" w:hanging="360"/>
      </w:pPr>
      <w:rPr>
        <w:rFonts w:hint="default"/>
        <w:lang w:val="en-US" w:eastAsia="en-US" w:bidi="ar-SA"/>
      </w:rPr>
    </w:lvl>
  </w:abstractNum>
  <w:abstractNum w:abstractNumId="94">
    <w:multiLevelType w:val="hybridMultilevel"/>
    <w:lvl w:ilvl="0">
      <w:start w:val="1"/>
      <w:numFmt w:val="decimal"/>
      <w:lvlText w:val="%1."/>
      <w:lvlJc w:val="left"/>
      <w:pPr>
        <w:ind w:left="1080"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621" w:hanging="360"/>
      </w:pPr>
      <w:rPr>
        <w:rFonts w:hint="default"/>
        <w:lang w:val="en-US" w:eastAsia="en-US" w:bidi="ar-SA"/>
      </w:rPr>
    </w:lvl>
    <w:lvl w:ilvl="2">
      <w:start w:val="0"/>
      <w:numFmt w:val="bullet"/>
      <w:lvlText w:val="•"/>
      <w:lvlJc w:val="left"/>
      <w:pPr>
        <w:ind w:left="2162" w:hanging="360"/>
      </w:pPr>
      <w:rPr>
        <w:rFonts w:hint="default"/>
        <w:lang w:val="en-US" w:eastAsia="en-US" w:bidi="ar-SA"/>
      </w:rPr>
    </w:lvl>
    <w:lvl w:ilvl="3">
      <w:start w:val="0"/>
      <w:numFmt w:val="bullet"/>
      <w:lvlText w:val="•"/>
      <w:lvlJc w:val="left"/>
      <w:pPr>
        <w:ind w:left="2704" w:hanging="360"/>
      </w:pPr>
      <w:rPr>
        <w:rFonts w:hint="default"/>
        <w:lang w:val="en-US" w:eastAsia="en-US" w:bidi="ar-SA"/>
      </w:rPr>
    </w:lvl>
    <w:lvl w:ilvl="4">
      <w:start w:val="0"/>
      <w:numFmt w:val="bullet"/>
      <w:lvlText w:val="•"/>
      <w:lvlJc w:val="left"/>
      <w:pPr>
        <w:ind w:left="3245" w:hanging="360"/>
      </w:pPr>
      <w:rPr>
        <w:rFonts w:hint="default"/>
        <w:lang w:val="en-US" w:eastAsia="en-US" w:bidi="ar-SA"/>
      </w:rPr>
    </w:lvl>
    <w:lvl w:ilvl="5">
      <w:start w:val="0"/>
      <w:numFmt w:val="bullet"/>
      <w:lvlText w:val="•"/>
      <w:lvlJc w:val="left"/>
      <w:pPr>
        <w:ind w:left="3786" w:hanging="360"/>
      </w:pPr>
      <w:rPr>
        <w:rFonts w:hint="default"/>
        <w:lang w:val="en-US" w:eastAsia="en-US" w:bidi="ar-SA"/>
      </w:rPr>
    </w:lvl>
    <w:lvl w:ilvl="6">
      <w:start w:val="0"/>
      <w:numFmt w:val="bullet"/>
      <w:lvlText w:val="•"/>
      <w:lvlJc w:val="left"/>
      <w:pPr>
        <w:ind w:left="4328" w:hanging="360"/>
      </w:pPr>
      <w:rPr>
        <w:rFonts w:hint="default"/>
        <w:lang w:val="en-US" w:eastAsia="en-US" w:bidi="ar-SA"/>
      </w:rPr>
    </w:lvl>
    <w:lvl w:ilvl="7">
      <w:start w:val="0"/>
      <w:numFmt w:val="bullet"/>
      <w:lvlText w:val="•"/>
      <w:lvlJc w:val="left"/>
      <w:pPr>
        <w:ind w:left="4869" w:hanging="360"/>
      </w:pPr>
      <w:rPr>
        <w:rFonts w:hint="default"/>
        <w:lang w:val="en-US" w:eastAsia="en-US" w:bidi="ar-SA"/>
      </w:rPr>
    </w:lvl>
    <w:lvl w:ilvl="8">
      <w:start w:val="0"/>
      <w:numFmt w:val="bullet"/>
      <w:lvlText w:val="•"/>
      <w:lvlJc w:val="left"/>
      <w:pPr>
        <w:ind w:left="5410" w:hanging="360"/>
      </w:pPr>
      <w:rPr>
        <w:rFonts w:hint="default"/>
        <w:lang w:val="en-US" w:eastAsia="en-US" w:bidi="ar-SA"/>
      </w:rPr>
    </w:lvl>
  </w:abstractNum>
  <w:abstractNum w:abstractNumId="93">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33" w:hanging="360"/>
      </w:pPr>
      <w:rPr>
        <w:rFonts w:hint="default"/>
        <w:lang w:val="en-US" w:eastAsia="en-US" w:bidi="ar-SA"/>
      </w:rPr>
    </w:lvl>
    <w:lvl w:ilvl="2">
      <w:start w:val="0"/>
      <w:numFmt w:val="bullet"/>
      <w:lvlText w:val="•"/>
      <w:lvlJc w:val="left"/>
      <w:pPr>
        <w:ind w:left="2226" w:hanging="360"/>
      </w:pPr>
      <w:rPr>
        <w:rFonts w:hint="default"/>
        <w:lang w:val="en-US" w:eastAsia="en-US" w:bidi="ar-SA"/>
      </w:rPr>
    </w:lvl>
    <w:lvl w:ilvl="3">
      <w:start w:val="0"/>
      <w:numFmt w:val="bullet"/>
      <w:lvlText w:val="•"/>
      <w:lvlJc w:val="left"/>
      <w:pPr>
        <w:ind w:left="2619" w:hanging="360"/>
      </w:pPr>
      <w:rPr>
        <w:rFonts w:hint="default"/>
        <w:lang w:val="en-US" w:eastAsia="en-US" w:bidi="ar-SA"/>
      </w:rPr>
    </w:lvl>
    <w:lvl w:ilvl="4">
      <w:start w:val="0"/>
      <w:numFmt w:val="bullet"/>
      <w:lvlText w:val="•"/>
      <w:lvlJc w:val="left"/>
      <w:pPr>
        <w:ind w:left="3012" w:hanging="360"/>
      </w:pPr>
      <w:rPr>
        <w:rFonts w:hint="default"/>
        <w:lang w:val="en-US" w:eastAsia="en-US" w:bidi="ar-SA"/>
      </w:rPr>
    </w:lvl>
    <w:lvl w:ilvl="5">
      <w:start w:val="0"/>
      <w:numFmt w:val="bullet"/>
      <w:lvlText w:val="•"/>
      <w:lvlJc w:val="left"/>
      <w:pPr>
        <w:ind w:left="3406" w:hanging="360"/>
      </w:pPr>
      <w:rPr>
        <w:rFonts w:hint="default"/>
        <w:lang w:val="en-US" w:eastAsia="en-US" w:bidi="ar-SA"/>
      </w:rPr>
    </w:lvl>
    <w:lvl w:ilvl="6">
      <w:start w:val="0"/>
      <w:numFmt w:val="bullet"/>
      <w:lvlText w:val="•"/>
      <w:lvlJc w:val="left"/>
      <w:pPr>
        <w:ind w:left="3799" w:hanging="360"/>
      </w:pPr>
      <w:rPr>
        <w:rFonts w:hint="default"/>
        <w:lang w:val="en-US" w:eastAsia="en-US" w:bidi="ar-SA"/>
      </w:rPr>
    </w:lvl>
    <w:lvl w:ilvl="7">
      <w:start w:val="0"/>
      <w:numFmt w:val="bullet"/>
      <w:lvlText w:val="•"/>
      <w:lvlJc w:val="left"/>
      <w:pPr>
        <w:ind w:left="4192" w:hanging="360"/>
      </w:pPr>
      <w:rPr>
        <w:rFonts w:hint="default"/>
        <w:lang w:val="en-US" w:eastAsia="en-US" w:bidi="ar-SA"/>
      </w:rPr>
    </w:lvl>
    <w:lvl w:ilvl="8">
      <w:start w:val="0"/>
      <w:numFmt w:val="bullet"/>
      <w:lvlText w:val="•"/>
      <w:lvlJc w:val="left"/>
      <w:pPr>
        <w:ind w:left="4585" w:hanging="360"/>
      </w:pPr>
      <w:rPr>
        <w:rFonts w:hint="default"/>
        <w:lang w:val="en-US" w:eastAsia="en-US" w:bidi="ar-SA"/>
      </w:rPr>
    </w:lvl>
  </w:abstractNum>
  <w:abstractNum w:abstractNumId="92">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58" w:hanging="360"/>
      </w:pPr>
      <w:rPr>
        <w:rFonts w:hint="default"/>
        <w:lang w:val="en-US" w:eastAsia="en-US" w:bidi="ar-SA"/>
      </w:rPr>
    </w:lvl>
    <w:lvl w:ilvl="2">
      <w:start w:val="0"/>
      <w:numFmt w:val="bullet"/>
      <w:lvlText w:val="•"/>
      <w:lvlJc w:val="left"/>
      <w:pPr>
        <w:ind w:left="2277" w:hanging="360"/>
      </w:pPr>
      <w:rPr>
        <w:rFonts w:hint="default"/>
        <w:lang w:val="en-US" w:eastAsia="en-US" w:bidi="ar-SA"/>
      </w:rPr>
    </w:lvl>
    <w:lvl w:ilvl="3">
      <w:start w:val="0"/>
      <w:numFmt w:val="bullet"/>
      <w:lvlText w:val="•"/>
      <w:lvlJc w:val="left"/>
      <w:pPr>
        <w:ind w:left="2696" w:hanging="360"/>
      </w:pPr>
      <w:rPr>
        <w:rFonts w:hint="default"/>
        <w:lang w:val="en-US" w:eastAsia="en-US" w:bidi="ar-SA"/>
      </w:rPr>
    </w:lvl>
    <w:lvl w:ilvl="4">
      <w:start w:val="0"/>
      <w:numFmt w:val="bullet"/>
      <w:lvlText w:val="•"/>
      <w:lvlJc w:val="left"/>
      <w:pPr>
        <w:ind w:left="3115" w:hanging="360"/>
      </w:pPr>
      <w:rPr>
        <w:rFonts w:hint="default"/>
        <w:lang w:val="en-US" w:eastAsia="en-US" w:bidi="ar-SA"/>
      </w:rPr>
    </w:lvl>
    <w:lvl w:ilvl="5">
      <w:start w:val="0"/>
      <w:numFmt w:val="bullet"/>
      <w:lvlText w:val="•"/>
      <w:lvlJc w:val="left"/>
      <w:pPr>
        <w:ind w:left="3534" w:hanging="360"/>
      </w:pPr>
      <w:rPr>
        <w:rFonts w:hint="default"/>
        <w:lang w:val="en-US" w:eastAsia="en-US" w:bidi="ar-SA"/>
      </w:rPr>
    </w:lvl>
    <w:lvl w:ilvl="6">
      <w:start w:val="0"/>
      <w:numFmt w:val="bullet"/>
      <w:lvlText w:val="•"/>
      <w:lvlJc w:val="left"/>
      <w:pPr>
        <w:ind w:left="3953" w:hanging="360"/>
      </w:pPr>
      <w:rPr>
        <w:rFonts w:hint="default"/>
        <w:lang w:val="en-US" w:eastAsia="en-US" w:bidi="ar-SA"/>
      </w:rPr>
    </w:lvl>
    <w:lvl w:ilvl="7">
      <w:start w:val="0"/>
      <w:numFmt w:val="bullet"/>
      <w:lvlText w:val="•"/>
      <w:lvlJc w:val="left"/>
      <w:pPr>
        <w:ind w:left="4372" w:hanging="360"/>
      </w:pPr>
      <w:rPr>
        <w:rFonts w:hint="default"/>
        <w:lang w:val="en-US" w:eastAsia="en-US" w:bidi="ar-SA"/>
      </w:rPr>
    </w:lvl>
    <w:lvl w:ilvl="8">
      <w:start w:val="0"/>
      <w:numFmt w:val="bullet"/>
      <w:lvlText w:val="•"/>
      <w:lvlJc w:val="left"/>
      <w:pPr>
        <w:ind w:left="4791" w:hanging="360"/>
      </w:pPr>
      <w:rPr>
        <w:rFonts w:hint="default"/>
        <w:lang w:val="en-US" w:eastAsia="en-US" w:bidi="ar-SA"/>
      </w:rPr>
    </w:lvl>
  </w:abstractNum>
  <w:abstractNum w:abstractNumId="91">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58" w:hanging="360"/>
      </w:pPr>
      <w:rPr>
        <w:rFonts w:hint="default"/>
        <w:lang w:val="en-US" w:eastAsia="en-US" w:bidi="ar-SA"/>
      </w:rPr>
    </w:lvl>
    <w:lvl w:ilvl="2">
      <w:start w:val="0"/>
      <w:numFmt w:val="bullet"/>
      <w:lvlText w:val="•"/>
      <w:lvlJc w:val="left"/>
      <w:pPr>
        <w:ind w:left="2277" w:hanging="360"/>
      </w:pPr>
      <w:rPr>
        <w:rFonts w:hint="default"/>
        <w:lang w:val="en-US" w:eastAsia="en-US" w:bidi="ar-SA"/>
      </w:rPr>
    </w:lvl>
    <w:lvl w:ilvl="3">
      <w:start w:val="0"/>
      <w:numFmt w:val="bullet"/>
      <w:lvlText w:val="•"/>
      <w:lvlJc w:val="left"/>
      <w:pPr>
        <w:ind w:left="2696" w:hanging="360"/>
      </w:pPr>
      <w:rPr>
        <w:rFonts w:hint="default"/>
        <w:lang w:val="en-US" w:eastAsia="en-US" w:bidi="ar-SA"/>
      </w:rPr>
    </w:lvl>
    <w:lvl w:ilvl="4">
      <w:start w:val="0"/>
      <w:numFmt w:val="bullet"/>
      <w:lvlText w:val="•"/>
      <w:lvlJc w:val="left"/>
      <w:pPr>
        <w:ind w:left="3115" w:hanging="360"/>
      </w:pPr>
      <w:rPr>
        <w:rFonts w:hint="default"/>
        <w:lang w:val="en-US" w:eastAsia="en-US" w:bidi="ar-SA"/>
      </w:rPr>
    </w:lvl>
    <w:lvl w:ilvl="5">
      <w:start w:val="0"/>
      <w:numFmt w:val="bullet"/>
      <w:lvlText w:val="•"/>
      <w:lvlJc w:val="left"/>
      <w:pPr>
        <w:ind w:left="3534" w:hanging="360"/>
      </w:pPr>
      <w:rPr>
        <w:rFonts w:hint="default"/>
        <w:lang w:val="en-US" w:eastAsia="en-US" w:bidi="ar-SA"/>
      </w:rPr>
    </w:lvl>
    <w:lvl w:ilvl="6">
      <w:start w:val="0"/>
      <w:numFmt w:val="bullet"/>
      <w:lvlText w:val="•"/>
      <w:lvlJc w:val="left"/>
      <w:pPr>
        <w:ind w:left="3953" w:hanging="360"/>
      </w:pPr>
      <w:rPr>
        <w:rFonts w:hint="default"/>
        <w:lang w:val="en-US" w:eastAsia="en-US" w:bidi="ar-SA"/>
      </w:rPr>
    </w:lvl>
    <w:lvl w:ilvl="7">
      <w:start w:val="0"/>
      <w:numFmt w:val="bullet"/>
      <w:lvlText w:val="•"/>
      <w:lvlJc w:val="left"/>
      <w:pPr>
        <w:ind w:left="4372" w:hanging="360"/>
      </w:pPr>
      <w:rPr>
        <w:rFonts w:hint="default"/>
        <w:lang w:val="en-US" w:eastAsia="en-US" w:bidi="ar-SA"/>
      </w:rPr>
    </w:lvl>
    <w:lvl w:ilvl="8">
      <w:start w:val="0"/>
      <w:numFmt w:val="bullet"/>
      <w:lvlText w:val="•"/>
      <w:lvlJc w:val="left"/>
      <w:pPr>
        <w:ind w:left="4791" w:hanging="360"/>
      </w:pPr>
      <w:rPr>
        <w:rFonts w:hint="default"/>
        <w:lang w:val="en-US" w:eastAsia="en-US" w:bidi="ar-SA"/>
      </w:rPr>
    </w:lvl>
  </w:abstractNum>
  <w:abstractNum w:abstractNumId="90">
    <w:multiLevelType w:val="hybridMultilevel"/>
    <w:lvl w:ilvl="0">
      <w:start w:val="1"/>
      <w:numFmt w:val="decimal"/>
      <w:lvlText w:val="%1."/>
      <w:lvlJc w:val="left"/>
      <w:pPr>
        <w:ind w:left="1439"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72" w:hanging="360"/>
      </w:pPr>
      <w:rPr>
        <w:rFonts w:hint="default"/>
        <w:lang w:val="en-US" w:eastAsia="en-US" w:bidi="ar-SA"/>
      </w:rPr>
    </w:lvl>
    <w:lvl w:ilvl="2">
      <w:start w:val="0"/>
      <w:numFmt w:val="bullet"/>
      <w:lvlText w:val="•"/>
      <w:lvlJc w:val="left"/>
      <w:pPr>
        <w:ind w:left="2305" w:hanging="360"/>
      </w:pPr>
      <w:rPr>
        <w:rFonts w:hint="default"/>
        <w:lang w:val="en-US" w:eastAsia="en-US" w:bidi="ar-SA"/>
      </w:rPr>
    </w:lvl>
    <w:lvl w:ilvl="3">
      <w:start w:val="0"/>
      <w:numFmt w:val="bullet"/>
      <w:lvlText w:val="•"/>
      <w:lvlJc w:val="left"/>
      <w:pPr>
        <w:ind w:left="2738" w:hanging="360"/>
      </w:pPr>
      <w:rPr>
        <w:rFonts w:hint="default"/>
        <w:lang w:val="en-US" w:eastAsia="en-US" w:bidi="ar-SA"/>
      </w:rPr>
    </w:lvl>
    <w:lvl w:ilvl="4">
      <w:start w:val="0"/>
      <w:numFmt w:val="bullet"/>
      <w:lvlText w:val="•"/>
      <w:lvlJc w:val="left"/>
      <w:pPr>
        <w:ind w:left="3170" w:hanging="360"/>
      </w:pPr>
      <w:rPr>
        <w:rFonts w:hint="default"/>
        <w:lang w:val="en-US" w:eastAsia="en-US" w:bidi="ar-SA"/>
      </w:rPr>
    </w:lvl>
    <w:lvl w:ilvl="5">
      <w:start w:val="0"/>
      <w:numFmt w:val="bullet"/>
      <w:lvlText w:val="•"/>
      <w:lvlJc w:val="left"/>
      <w:pPr>
        <w:ind w:left="3603" w:hanging="360"/>
      </w:pPr>
      <w:rPr>
        <w:rFonts w:hint="default"/>
        <w:lang w:val="en-US" w:eastAsia="en-US" w:bidi="ar-SA"/>
      </w:rPr>
    </w:lvl>
    <w:lvl w:ilvl="6">
      <w:start w:val="0"/>
      <w:numFmt w:val="bullet"/>
      <w:lvlText w:val="•"/>
      <w:lvlJc w:val="left"/>
      <w:pPr>
        <w:ind w:left="4036" w:hanging="360"/>
      </w:pPr>
      <w:rPr>
        <w:rFonts w:hint="default"/>
        <w:lang w:val="en-US" w:eastAsia="en-US" w:bidi="ar-SA"/>
      </w:rPr>
    </w:lvl>
    <w:lvl w:ilvl="7">
      <w:start w:val="0"/>
      <w:numFmt w:val="bullet"/>
      <w:lvlText w:val="•"/>
      <w:lvlJc w:val="left"/>
      <w:pPr>
        <w:ind w:left="4469" w:hanging="360"/>
      </w:pPr>
      <w:rPr>
        <w:rFonts w:hint="default"/>
        <w:lang w:val="en-US" w:eastAsia="en-US" w:bidi="ar-SA"/>
      </w:rPr>
    </w:lvl>
    <w:lvl w:ilvl="8">
      <w:start w:val="0"/>
      <w:numFmt w:val="bullet"/>
      <w:lvlText w:val="•"/>
      <w:lvlJc w:val="left"/>
      <w:pPr>
        <w:ind w:left="4901" w:hanging="360"/>
      </w:pPr>
      <w:rPr>
        <w:rFonts w:hint="default"/>
        <w:lang w:val="en-US" w:eastAsia="en-US" w:bidi="ar-SA"/>
      </w:rPr>
    </w:lvl>
  </w:abstractNum>
  <w:abstractNum w:abstractNumId="89">
    <w:multiLevelType w:val="hybridMultilevel"/>
    <w:lvl w:ilvl="0">
      <w:start w:val="1"/>
      <w:numFmt w:val="decimal"/>
      <w:lvlText w:val="%1."/>
      <w:lvlJc w:val="left"/>
      <w:pPr>
        <w:ind w:left="862"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401" w:hanging="360"/>
      </w:pPr>
      <w:rPr>
        <w:rFonts w:hint="default"/>
        <w:lang w:val="en-US" w:eastAsia="en-US" w:bidi="ar-SA"/>
      </w:rPr>
    </w:lvl>
    <w:lvl w:ilvl="2">
      <w:start w:val="0"/>
      <w:numFmt w:val="bullet"/>
      <w:lvlText w:val="•"/>
      <w:lvlJc w:val="left"/>
      <w:pPr>
        <w:ind w:left="1943" w:hanging="360"/>
      </w:pPr>
      <w:rPr>
        <w:rFonts w:hint="default"/>
        <w:lang w:val="en-US" w:eastAsia="en-US" w:bidi="ar-SA"/>
      </w:rPr>
    </w:lvl>
    <w:lvl w:ilvl="3">
      <w:start w:val="0"/>
      <w:numFmt w:val="bullet"/>
      <w:lvlText w:val="•"/>
      <w:lvlJc w:val="left"/>
      <w:pPr>
        <w:ind w:left="2484" w:hanging="360"/>
      </w:pPr>
      <w:rPr>
        <w:rFonts w:hint="default"/>
        <w:lang w:val="en-US" w:eastAsia="en-US" w:bidi="ar-SA"/>
      </w:rPr>
    </w:lvl>
    <w:lvl w:ilvl="4">
      <w:start w:val="0"/>
      <w:numFmt w:val="bullet"/>
      <w:lvlText w:val="•"/>
      <w:lvlJc w:val="left"/>
      <w:pPr>
        <w:ind w:left="3026" w:hanging="360"/>
      </w:pPr>
      <w:rPr>
        <w:rFonts w:hint="default"/>
        <w:lang w:val="en-US" w:eastAsia="en-US" w:bidi="ar-SA"/>
      </w:rPr>
    </w:lvl>
    <w:lvl w:ilvl="5">
      <w:start w:val="0"/>
      <w:numFmt w:val="bullet"/>
      <w:lvlText w:val="•"/>
      <w:lvlJc w:val="left"/>
      <w:pPr>
        <w:ind w:left="3567" w:hanging="360"/>
      </w:pPr>
      <w:rPr>
        <w:rFonts w:hint="default"/>
        <w:lang w:val="en-US" w:eastAsia="en-US" w:bidi="ar-SA"/>
      </w:rPr>
    </w:lvl>
    <w:lvl w:ilvl="6">
      <w:start w:val="0"/>
      <w:numFmt w:val="bullet"/>
      <w:lvlText w:val="•"/>
      <w:lvlJc w:val="left"/>
      <w:pPr>
        <w:ind w:left="4109" w:hanging="360"/>
      </w:pPr>
      <w:rPr>
        <w:rFonts w:hint="default"/>
        <w:lang w:val="en-US" w:eastAsia="en-US" w:bidi="ar-SA"/>
      </w:rPr>
    </w:lvl>
    <w:lvl w:ilvl="7">
      <w:start w:val="0"/>
      <w:numFmt w:val="bullet"/>
      <w:lvlText w:val="•"/>
      <w:lvlJc w:val="left"/>
      <w:pPr>
        <w:ind w:left="4650" w:hanging="360"/>
      </w:pPr>
      <w:rPr>
        <w:rFonts w:hint="default"/>
        <w:lang w:val="en-US" w:eastAsia="en-US" w:bidi="ar-SA"/>
      </w:rPr>
    </w:lvl>
    <w:lvl w:ilvl="8">
      <w:start w:val="0"/>
      <w:numFmt w:val="bullet"/>
      <w:lvlText w:val="•"/>
      <w:lvlJc w:val="left"/>
      <w:pPr>
        <w:ind w:left="5192" w:hanging="360"/>
      </w:pPr>
      <w:rPr>
        <w:rFonts w:hint="default"/>
        <w:lang w:val="en-US" w:eastAsia="en-US" w:bidi="ar-SA"/>
      </w:rPr>
    </w:lvl>
  </w:abstractNum>
  <w:abstractNum w:abstractNumId="88">
    <w:multiLevelType w:val="hybridMultilevel"/>
    <w:lvl w:ilvl="0">
      <w:start w:val="1"/>
      <w:numFmt w:val="decimal"/>
      <w:lvlText w:val="%1."/>
      <w:lvlJc w:val="left"/>
      <w:pPr>
        <w:ind w:left="706"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1783" w:hanging="360"/>
      </w:pPr>
      <w:rPr>
        <w:rFonts w:hint="default"/>
        <w:lang w:val="en-US" w:eastAsia="en-US" w:bidi="ar-SA"/>
      </w:rPr>
    </w:lvl>
    <w:lvl w:ilvl="3">
      <w:start w:val="0"/>
      <w:numFmt w:val="bullet"/>
      <w:lvlText w:val="•"/>
      <w:lvlJc w:val="left"/>
      <w:pPr>
        <w:ind w:left="2325" w:hanging="360"/>
      </w:pPr>
      <w:rPr>
        <w:rFonts w:hint="default"/>
        <w:lang w:val="en-US" w:eastAsia="en-US" w:bidi="ar-SA"/>
      </w:rPr>
    </w:lvl>
    <w:lvl w:ilvl="4">
      <w:start w:val="0"/>
      <w:numFmt w:val="bullet"/>
      <w:lvlText w:val="•"/>
      <w:lvlJc w:val="left"/>
      <w:pPr>
        <w:ind w:left="2867" w:hanging="360"/>
      </w:pPr>
      <w:rPr>
        <w:rFonts w:hint="default"/>
        <w:lang w:val="en-US" w:eastAsia="en-US" w:bidi="ar-SA"/>
      </w:rPr>
    </w:lvl>
    <w:lvl w:ilvl="5">
      <w:start w:val="0"/>
      <w:numFmt w:val="bullet"/>
      <w:lvlText w:val="•"/>
      <w:lvlJc w:val="left"/>
      <w:pPr>
        <w:ind w:left="3409" w:hanging="360"/>
      </w:pPr>
      <w:rPr>
        <w:rFonts w:hint="default"/>
        <w:lang w:val="en-US" w:eastAsia="en-US" w:bidi="ar-SA"/>
      </w:rPr>
    </w:lvl>
    <w:lvl w:ilvl="6">
      <w:start w:val="0"/>
      <w:numFmt w:val="bullet"/>
      <w:lvlText w:val="•"/>
      <w:lvlJc w:val="left"/>
      <w:pPr>
        <w:ind w:left="3951" w:hanging="360"/>
      </w:pPr>
      <w:rPr>
        <w:rFonts w:hint="default"/>
        <w:lang w:val="en-US" w:eastAsia="en-US" w:bidi="ar-SA"/>
      </w:rPr>
    </w:lvl>
    <w:lvl w:ilvl="7">
      <w:start w:val="0"/>
      <w:numFmt w:val="bullet"/>
      <w:lvlText w:val="•"/>
      <w:lvlJc w:val="left"/>
      <w:pPr>
        <w:ind w:left="4493" w:hanging="360"/>
      </w:pPr>
      <w:rPr>
        <w:rFonts w:hint="default"/>
        <w:lang w:val="en-US" w:eastAsia="en-US" w:bidi="ar-SA"/>
      </w:rPr>
    </w:lvl>
    <w:lvl w:ilvl="8">
      <w:start w:val="0"/>
      <w:numFmt w:val="bullet"/>
      <w:lvlText w:val="•"/>
      <w:lvlJc w:val="left"/>
      <w:pPr>
        <w:ind w:left="5035" w:hanging="360"/>
      </w:pPr>
      <w:rPr>
        <w:rFonts w:hint="default"/>
        <w:lang w:val="en-US" w:eastAsia="en-US" w:bidi="ar-SA"/>
      </w:rPr>
    </w:lvl>
  </w:abstractNum>
  <w:abstractNum w:abstractNumId="87">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51" w:hanging="360"/>
      </w:pPr>
      <w:rPr>
        <w:rFonts w:hint="default"/>
        <w:lang w:val="en-US" w:eastAsia="en-US" w:bidi="ar-SA"/>
      </w:rPr>
    </w:lvl>
    <w:lvl w:ilvl="2">
      <w:start w:val="0"/>
      <w:numFmt w:val="bullet"/>
      <w:lvlText w:val="•"/>
      <w:lvlJc w:val="left"/>
      <w:pPr>
        <w:ind w:left="2263" w:hanging="360"/>
      </w:pPr>
      <w:rPr>
        <w:rFonts w:hint="default"/>
        <w:lang w:val="en-US" w:eastAsia="en-US" w:bidi="ar-SA"/>
      </w:rPr>
    </w:lvl>
    <w:lvl w:ilvl="3">
      <w:start w:val="0"/>
      <w:numFmt w:val="bullet"/>
      <w:lvlText w:val="•"/>
      <w:lvlJc w:val="left"/>
      <w:pPr>
        <w:ind w:left="2675" w:hanging="360"/>
      </w:pPr>
      <w:rPr>
        <w:rFonts w:hint="default"/>
        <w:lang w:val="en-US" w:eastAsia="en-US" w:bidi="ar-SA"/>
      </w:rPr>
    </w:lvl>
    <w:lvl w:ilvl="4">
      <w:start w:val="0"/>
      <w:numFmt w:val="bullet"/>
      <w:lvlText w:val="•"/>
      <w:lvlJc w:val="left"/>
      <w:pPr>
        <w:ind w:left="3087" w:hanging="360"/>
      </w:pPr>
      <w:rPr>
        <w:rFonts w:hint="default"/>
        <w:lang w:val="en-US" w:eastAsia="en-US" w:bidi="ar-SA"/>
      </w:rPr>
    </w:lvl>
    <w:lvl w:ilvl="5">
      <w:start w:val="0"/>
      <w:numFmt w:val="bullet"/>
      <w:lvlText w:val="•"/>
      <w:lvlJc w:val="left"/>
      <w:pPr>
        <w:ind w:left="3498" w:hanging="360"/>
      </w:pPr>
      <w:rPr>
        <w:rFonts w:hint="default"/>
        <w:lang w:val="en-US" w:eastAsia="en-US" w:bidi="ar-SA"/>
      </w:rPr>
    </w:lvl>
    <w:lvl w:ilvl="6">
      <w:start w:val="0"/>
      <w:numFmt w:val="bullet"/>
      <w:lvlText w:val="•"/>
      <w:lvlJc w:val="left"/>
      <w:pPr>
        <w:ind w:left="3910" w:hanging="360"/>
      </w:pPr>
      <w:rPr>
        <w:rFonts w:hint="default"/>
        <w:lang w:val="en-US" w:eastAsia="en-US" w:bidi="ar-SA"/>
      </w:rPr>
    </w:lvl>
    <w:lvl w:ilvl="7">
      <w:start w:val="0"/>
      <w:numFmt w:val="bullet"/>
      <w:lvlText w:val="•"/>
      <w:lvlJc w:val="left"/>
      <w:pPr>
        <w:ind w:left="4322" w:hanging="360"/>
      </w:pPr>
      <w:rPr>
        <w:rFonts w:hint="default"/>
        <w:lang w:val="en-US" w:eastAsia="en-US" w:bidi="ar-SA"/>
      </w:rPr>
    </w:lvl>
    <w:lvl w:ilvl="8">
      <w:start w:val="0"/>
      <w:numFmt w:val="bullet"/>
      <w:lvlText w:val="•"/>
      <w:lvlJc w:val="left"/>
      <w:pPr>
        <w:ind w:left="4734" w:hanging="360"/>
      </w:pPr>
      <w:rPr>
        <w:rFonts w:hint="default"/>
        <w:lang w:val="en-US" w:eastAsia="en-US" w:bidi="ar-SA"/>
      </w:rPr>
    </w:lvl>
  </w:abstractNum>
  <w:abstractNum w:abstractNumId="86">
    <w:multiLevelType w:val="hybridMultilevel"/>
    <w:lvl w:ilvl="0">
      <w:start w:val="1"/>
      <w:numFmt w:val="decimal"/>
      <w:lvlText w:val="%1."/>
      <w:lvlJc w:val="left"/>
      <w:pPr>
        <w:ind w:left="1439"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61" w:hanging="360"/>
      </w:pPr>
      <w:rPr>
        <w:rFonts w:hint="default"/>
        <w:lang w:val="en-US" w:eastAsia="en-US" w:bidi="ar-SA"/>
      </w:rPr>
    </w:lvl>
    <w:lvl w:ilvl="2">
      <w:start w:val="0"/>
      <w:numFmt w:val="bullet"/>
      <w:lvlText w:val="•"/>
      <w:lvlJc w:val="left"/>
      <w:pPr>
        <w:ind w:left="2282" w:hanging="360"/>
      </w:pPr>
      <w:rPr>
        <w:rFonts w:hint="default"/>
        <w:lang w:val="en-US" w:eastAsia="en-US" w:bidi="ar-SA"/>
      </w:rPr>
    </w:lvl>
    <w:lvl w:ilvl="3">
      <w:start w:val="0"/>
      <w:numFmt w:val="bullet"/>
      <w:lvlText w:val="•"/>
      <w:lvlJc w:val="left"/>
      <w:pPr>
        <w:ind w:left="2703" w:hanging="360"/>
      </w:pPr>
      <w:rPr>
        <w:rFonts w:hint="default"/>
        <w:lang w:val="en-US" w:eastAsia="en-US" w:bidi="ar-SA"/>
      </w:rPr>
    </w:lvl>
    <w:lvl w:ilvl="4">
      <w:start w:val="0"/>
      <w:numFmt w:val="bullet"/>
      <w:lvlText w:val="•"/>
      <w:lvlJc w:val="left"/>
      <w:pPr>
        <w:ind w:left="3124" w:hanging="360"/>
      </w:pPr>
      <w:rPr>
        <w:rFonts w:hint="default"/>
        <w:lang w:val="en-US" w:eastAsia="en-US" w:bidi="ar-SA"/>
      </w:rPr>
    </w:lvl>
    <w:lvl w:ilvl="5">
      <w:start w:val="0"/>
      <w:numFmt w:val="bullet"/>
      <w:lvlText w:val="•"/>
      <w:lvlJc w:val="left"/>
      <w:pPr>
        <w:ind w:left="3545" w:hanging="360"/>
      </w:pPr>
      <w:rPr>
        <w:rFonts w:hint="default"/>
        <w:lang w:val="en-US" w:eastAsia="en-US" w:bidi="ar-SA"/>
      </w:rPr>
    </w:lvl>
    <w:lvl w:ilvl="6">
      <w:start w:val="0"/>
      <w:numFmt w:val="bullet"/>
      <w:lvlText w:val="•"/>
      <w:lvlJc w:val="left"/>
      <w:pPr>
        <w:ind w:left="3967" w:hanging="360"/>
      </w:pPr>
      <w:rPr>
        <w:rFonts w:hint="default"/>
        <w:lang w:val="en-US" w:eastAsia="en-US" w:bidi="ar-SA"/>
      </w:rPr>
    </w:lvl>
    <w:lvl w:ilvl="7">
      <w:start w:val="0"/>
      <w:numFmt w:val="bullet"/>
      <w:lvlText w:val="•"/>
      <w:lvlJc w:val="left"/>
      <w:pPr>
        <w:ind w:left="4388" w:hanging="360"/>
      </w:pPr>
      <w:rPr>
        <w:rFonts w:hint="default"/>
        <w:lang w:val="en-US" w:eastAsia="en-US" w:bidi="ar-SA"/>
      </w:rPr>
    </w:lvl>
    <w:lvl w:ilvl="8">
      <w:start w:val="0"/>
      <w:numFmt w:val="bullet"/>
      <w:lvlText w:val="•"/>
      <w:lvlJc w:val="left"/>
      <w:pPr>
        <w:ind w:left="4809" w:hanging="360"/>
      </w:pPr>
      <w:rPr>
        <w:rFonts w:hint="default"/>
        <w:lang w:val="en-US" w:eastAsia="en-US" w:bidi="ar-SA"/>
      </w:rPr>
    </w:lvl>
  </w:abstractNum>
  <w:abstractNum w:abstractNumId="85">
    <w:multiLevelType w:val="hybridMultilevel"/>
    <w:lvl w:ilvl="0">
      <w:start w:val="1"/>
      <w:numFmt w:val="decimal"/>
      <w:lvlText w:val="%1."/>
      <w:lvlJc w:val="left"/>
      <w:pPr>
        <w:ind w:left="1439"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65" w:hanging="360"/>
      </w:pPr>
      <w:rPr>
        <w:rFonts w:hint="default"/>
        <w:lang w:val="en-US" w:eastAsia="en-US" w:bidi="ar-SA"/>
      </w:rPr>
    </w:lvl>
    <w:lvl w:ilvl="2">
      <w:start w:val="0"/>
      <w:numFmt w:val="bullet"/>
      <w:lvlText w:val="•"/>
      <w:lvlJc w:val="left"/>
      <w:pPr>
        <w:ind w:left="2291" w:hanging="360"/>
      </w:pPr>
      <w:rPr>
        <w:rFonts w:hint="default"/>
        <w:lang w:val="en-US" w:eastAsia="en-US" w:bidi="ar-SA"/>
      </w:rPr>
    </w:lvl>
    <w:lvl w:ilvl="3">
      <w:start w:val="0"/>
      <w:numFmt w:val="bullet"/>
      <w:lvlText w:val="•"/>
      <w:lvlJc w:val="left"/>
      <w:pPr>
        <w:ind w:left="2716" w:hanging="360"/>
      </w:pPr>
      <w:rPr>
        <w:rFonts w:hint="default"/>
        <w:lang w:val="en-US" w:eastAsia="en-US" w:bidi="ar-SA"/>
      </w:rPr>
    </w:lvl>
    <w:lvl w:ilvl="4">
      <w:start w:val="0"/>
      <w:numFmt w:val="bullet"/>
      <w:lvlText w:val="•"/>
      <w:lvlJc w:val="left"/>
      <w:pPr>
        <w:ind w:left="3142" w:hanging="360"/>
      </w:pPr>
      <w:rPr>
        <w:rFonts w:hint="default"/>
        <w:lang w:val="en-US" w:eastAsia="en-US" w:bidi="ar-SA"/>
      </w:rPr>
    </w:lvl>
    <w:lvl w:ilvl="5">
      <w:start w:val="0"/>
      <w:numFmt w:val="bullet"/>
      <w:lvlText w:val="•"/>
      <w:lvlJc w:val="left"/>
      <w:pPr>
        <w:ind w:left="3567" w:hanging="360"/>
      </w:pPr>
      <w:rPr>
        <w:rFonts w:hint="default"/>
        <w:lang w:val="en-US" w:eastAsia="en-US" w:bidi="ar-SA"/>
      </w:rPr>
    </w:lvl>
    <w:lvl w:ilvl="6">
      <w:start w:val="0"/>
      <w:numFmt w:val="bullet"/>
      <w:lvlText w:val="•"/>
      <w:lvlJc w:val="left"/>
      <w:pPr>
        <w:ind w:left="3993" w:hanging="360"/>
      </w:pPr>
      <w:rPr>
        <w:rFonts w:hint="default"/>
        <w:lang w:val="en-US" w:eastAsia="en-US" w:bidi="ar-SA"/>
      </w:rPr>
    </w:lvl>
    <w:lvl w:ilvl="7">
      <w:start w:val="0"/>
      <w:numFmt w:val="bullet"/>
      <w:lvlText w:val="•"/>
      <w:lvlJc w:val="left"/>
      <w:pPr>
        <w:ind w:left="4419" w:hanging="360"/>
      </w:pPr>
      <w:rPr>
        <w:rFonts w:hint="default"/>
        <w:lang w:val="en-US" w:eastAsia="en-US" w:bidi="ar-SA"/>
      </w:rPr>
    </w:lvl>
    <w:lvl w:ilvl="8">
      <w:start w:val="0"/>
      <w:numFmt w:val="bullet"/>
      <w:lvlText w:val="•"/>
      <w:lvlJc w:val="left"/>
      <w:pPr>
        <w:ind w:left="4844" w:hanging="360"/>
      </w:pPr>
      <w:rPr>
        <w:rFonts w:hint="default"/>
        <w:lang w:val="en-US" w:eastAsia="en-US" w:bidi="ar-SA"/>
      </w:rPr>
    </w:lvl>
  </w:abstractNum>
  <w:abstractNum w:abstractNumId="84">
    <w:multiLevelType w:val="hybridMultilevel"/>
    <w:lvl w:ilvl="0">
      <w:start w:val="1"/>
      <w:numFmt w:val="decimal"/>
      <w:lvlText w:val="%1."/>
      <w:lvlJc w:val="left"/>
      <w:pPr>
        <w:ind w:left="76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decimal"/>
      <w:lvlText w:val="%2."/>
      <w:lvlJc w:val="left"/>
      <w:pPr>
        <w:ind w:left="14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1276" w:hanging="360"/>
      </w:pPr>
      <w:rPr>
        <w:rFonts w:hint="default"/>
        <w:lang w:val="en-US" w:eastAsia="en-US" w:bidi="ar-SA"/>
      </w:rPr>
    </w:lvl>
    <w:lvl w:ilvl="3">
      <w:start w:val="0"/>
      <w:numFmt w:val="bullet"/>
      <w:lvlText w:val="•"/>
      <w:lvlJc w:val="left"/>
      <w:pPr>
        <w:ind w:left="1112" w:hanging="360"/>
      </w:pPr>
      <w:rPr>
        <w:rFonts w:hint="default"/>
        <w:lang w:val="en-US" w:eastAsia="en-US" w:bidi="ar-SA"/>
      </w:rPr>
    </w:lvl>
    <w:lvl w:ilvl="4">
      <w:start w:val="0"/>
      <w:numFmt w:val="bullet"/>
      <w:lvlText w:val="•"/>
      <w:lvlJc w:val="left"/>
      <w:pPr>
        <w:ind w:left="948" w:hanging="360"/>
      </w:pPr>
      <w:rPr>
        <w:rFonts w:hint="default"/>
        <w:lang w:val="en-US" w:eastAsia="en-US" w:bidi="ar-SA"/>
      </w:rPr>
    </w:lvl>
    <w:lvl w:ilvl="5">
      <w:start w:val="0"/>
      <w:numFmt w:val="bullet"/>
      <w:lvlText w:val="•"/>
      <w:lvlJc w:val="left"/>
      <w:pPr>
        <w:ind w:left="784" w:hanging="360"/>
      </w:pPr>
      <w:rPr>
        <w:rFonts w:hint="default"/>
        <w:lang w:val="en-US" w:eastAsia="en-US" w:bidi="ar-SA"/>
      </w:rPr>
    </w:lvl>
    <w:lvl w:ilvl="6">
      <w:start w:val="0"/>
      <w:numFmt w:val="bullet"/>
      <w:lvlText w:val="•"/>
      <w:lvlJc w:val="left"/>
      <w:pPr>
        <w:ind w:left="620" w:hanging="360"/>
      </w:pPr>
      <w:rPr>
        <w:rFonts w:hint="default"/>
        <w:lang w:val="en-US" w:eastAsia="en-US" w:bidi="ar-SA"/>
      </w:rPr>
    </w:lvl>
    <w:lvl w:ilvl="7">
      <w:start w:val="0"/>
      <w:numFmt w:val="bullet"/>
      <w:lvlText w:val="•"/>
      <w:lvlJc w:val="left"/>
      <w:pPr>
        <w:ind w:left="456" w:hanging="360"/>
      </w:pPr>
      <w:rPr>
        <w:rFonts w:hint="default"/>
        <w:lang w:val="en-US" w:eastAsia="en-US" w:bidi="ar-SA"/>
      </w:rPr>
    </w:lvl>
    <w:lvl w:ilvl="8">
      <w:start w:val="0"/>
      <w:numFmt w:val="bullet"/>
      <w:lvlText w:val="•"/>
      <w:lvlJc w:val="left"/>
      <w:pPr>
        <w:ind w:left="292" w:hanging="360"/>
      </w:pPr>
      <w:rPr>
        <w:rFonts w:hint="default"/>
        <w:lang w:val="en-US" w:eastAsia="en-US" w:bidi="ar-SA"/>
      </w:rPr>
    </w:lvl>
  </w:abstractNum>
  <w:abstractNum w:abstractNumId="83">
    <w:multiLevelType w:val="hybridMultilevel"/>
    <w:lvl w:ilvl="0">
      <w:start w:val="1"/>
      <w:numFmt w:val="decimal"/>
      <w:lvlText w:val="%1."/>
      <w:lvlJc w:val="left"/>
      <w:pPr>
        <w:ind w:left="1439"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65" w:hanging="360"/>
      </w:pPr>
      <w:rPr>
        <w:rFonts w:hint="default"/>
        <w:lang w:val="en-US" w:eastAsia="en-US" w:bidi="ar-SA"/>
      </w:rPr>
    </w:lvl>
    <w:lvl w:ilvl="2">
      <w:start w:val="0"/>
      <w:numFmt w:val="bullet"/>
      <w:lvlText w:val="•"/>
      <w:lvlJc w:val="left"/>
      <w:pPr>
        <w:ind w:left="2290" w:hanging="360"/>
      </w:pPr>
      <w:rPr>
        <w:rFonts w:hint="default"/>
        <w:lang w:val="en-US" w:eastAsia="en-US" w:bidi="ar-SA"/>
      </w:rPr>
    </w:lvl>
    <w:lvl w:ilvl="3">
      <w:start w:val="0"/>
      <w:numFmt w:val="bullet"/>
      <w:lvlText w:val="•"/>
      <w:lvlJc w:val="left"/>
      <w:pPr>
        <w:ind w:left="2715" w:hanging="360"/>
      </w:pPr>
      <w:rPr>
        <w:rFonts w:hint="default"/>
        <w:lang w:val="en-US" w:eastAsia="en-US" w:bidi="ar-SA"/>
      </w:rPr>
    </w:lvl>
    <w:lvl w:ilvl="4">
      <w:start w:val="0"/>
      <w:numFmt w:val="bullet"/>
      <w:lvlText w:val="•"/>
      <w:lvlJc w:val="left"/>
      <w:pPr>
        <w:ind w:left="3140" w:hanging="360"/>
      </w:pPr>
      <w:rPr>
        <w:rFonts w:hint="default"/>
        <w:lang w:val="en-US" w:eastAsia="en-US" w:bidi="ar-SA"/>
      </w:rPr>
    </w:lvl>
    <w:lvl w:ilvl="5">
      <w:start w:val="0"/>
      <w:numFmt w:val="bullet"/>
      <w:lvlText w:val="•"/>
      <w:lvlJc w:val="left"/>
      <w:pPr>
        <w:ind w:left="3565" w:hanging="360"/>
      </w:pPr>
      <w:rPr>
        <w:rFonts w:hint="default"/>
        <w:lang w:val="en-US" w:eastAsia="en-US" w:bidi="ar-SA"/>
      </w:rPr>
    </w:lvl>
    <w:lvl w:ilvl="6">
      <w:start w:val="0"/>
      <w:numFmt w:val="bullet"/>
      <w:lvlText w:val="•"/>
      <w:lvlJc w:val="left"/>
      <w:pPr>
        <w:ind w:left="3991" w:hanging="360"/>
      </w:pPr>
      <w:rPr>
        <w:rFonts w:hint="default"/>
        <w:lang w:val="en-US" w:eastAsia="en-US" w:bidi="ar-SA"/>
      </w:rPr>
    </w:lvl>
    <w:lvl w:ilvl="7">
      <w:start w:val="0"/>
      <w:numFmt w:val="bullet"/>
      <w:lvlText w:val="•"/>
      <w:lvlJc w:val="left"/>
      <w:pPr>
        <w:ind w:left="4416" w:hanging="360"/>
      </w:pPr>
      <w:rPr>
        <w:rFonts w:hint="default"/>
        <w:lang w:val="en-US" w:eastAsia="en-US" w:bidi="ar-SA"/>
      </w:rPr>
    </w:lvl>
    <w:lvl w:ilvl="8">
      <w:start w:val="0"/>
      <w:numFmt w:val="bullet"/>
      <w:lvlText w:val="•"/>
      <w:lvlJc w:val="left"/>
      <w:pPr>
        <w:ind w:left="4841" w:hanging="360"/>
      </w:pPr>
      <w:rPr>
        <w:rFonts w:hint="default"/>
        <w:lang w:val="en-US" w:eastAsia="en-US" w:bidi="ar-SA"/>
      </w:rPr>
    </w:lvl>
  </w:abstractNum>
  <w:abstractNum w:abstractNumId="82">
    <w:multiLevelType w:val="hybridMultilevel"/>
    <w:lvl w:ilvl="0">
      <w:start w:val="1"/>
      <w:numFmt w:val="decimal"/>
      <w:lvlText w:val="%1."/>
      <w:lvlJc w:val="left"/>
      <w:pPr>
        <w:ind w:left="715"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decimal"/>
      <w:lvlText w:val="%2."/>
      <w:lvlJc w:val="left"/>
      <w:pPr>
        <w:ind w:left="1439"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1279" w:hanging="360"/>
      </w:pPr>
      <w:rPr>
        <w:rFonts w:hint="default"/>
        <w:lang w:val="en-US" w:eastAsia="en-US" w:bidi="ar-SA"/>
      </w:rPr>
    </w:lvl>
    <w:lvl w:ilvl="3">
      <w:start w:val="0"/>
      <w:numFmt w:val="bullet"/>
      <w:lvlText w:val="•"/>
      <w:lvlJc w:val="left"/>
      <w:pPr>
        <w:ind w:left="1119" w:hanging="360"/>
      </w:pPr>
      <w:rPr>
        <w:rFonts w:hint="default"/>
        <w:lang w:val="en-US" w:eastAsia="en-US" w:bidi="ar-SA"/>
      </w:rPr>
    </w:lvl>
    <w:lvl w:ilvl="4">
      <w:start w:val="0"/>
      <w:numFmt w:val="bullet"/>
      <w:lvlText w:val="•"/>
      <w:lvlJc w:val="left"/>
      <w:pPr>
        <w:ind w:left="958" w:hanging="360"/>
      </w:pPr>
      <w:rPr>
        <w:rFonts w:hint="default"/>
        <w:lang w:val="en-US" w:eastAsia="en-US" w:bidi="ar-SA"/>
      </w:rPr>
    </w:lvl>
    <w:lvl w:ilvl="5">
      <w:start w:val="0"/>
      <w:numFmt w:val="bullet"/>
      <w:lvlText w:val="•"/>
      <w:lvlJc w:val="left"/>
      <w:pPr>
        <w:ind w:left="798" w:hanging="360"/>
      </w:pPr>
      <w:rPr>
        <w:rFonts w:hint="default"/>
        <w:lang w:val="en-US" w:eastAsia="en-US" w:bidi="ar-SA"/>
      </w:rPr>
    </w:lvl>
    <w:lvl w:ilvl="6">
      <w:start w:val="0"/>
      <w:numFmt w:val="bullet"/>
      <w:lvlText w:val="•"/>
      <w:lvlJc w:val="left"/>
      <w:pPr>
        <w:ind w:left="637" w:hanging="360"/>
      </w:pPr>
      <w:rPr>
        <w:rFonts w:hint="default"/>
        <w:lang w:val="en-US" w:eastAsia="en-US" w:bidi="ar-SA"/>
      </w:rPr>
    </w:lvl>
    <w:lvl w:ilvl="7">
      <w:start w:val="0"/>
      <w:numFmt w:val="bullet"/>
      <w:lvlText w:val="•"/>
      <w:lvlJc w:val="left"/>
      <w:pPr>
        <w:ind w:left="477" w:hanging="360"/>
      </w:pPr>
      <w:rPr>
        <w:rFonts w:hint="default"/>
        <w:lang w:val="en-US" w:eastAsia="en-US" w:bidi="ar-SA"/>
      </w:rPr>
    </w:lvl>
    <w:lvl w:ilvl="8">
      <w:start w:val="0"/>
      <w:numFmt w:val="bullet"/>
      <w:lvlText w:val="•"/>
      <w:lvlJc w:val="left"/>
      <w:pPr>
        <w:ind w:left="316" w:hanging="360"/>
      </w:pPr>
      <w:rPr>
        <w:rFonts w:hint="default"/>
        <w:lang w:val="en-US" w:eastAsia="en-US" w:bidi="ar-SA"/>
      </w:rPr>
    </w:lvl>
  </w:abstractNum>
  <w:abstractNum w:abstractNumId="81">
    <w:multiLevelType w:val="hybridMultilevel"/>
    <w:lvl w:ilvl="0">
      <w:start w:val="1"/>
      <w:numFmt w:val="decimal"/>
      <w:lvlText w:val="%1."/>
      <w:lvlJc w:val="left"/>
      <w:pPr>
        <w:ind w:left="1439"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69" w:hanging="360"/>
      </w:pPr>
      <w:rPr>
        <w:rFonts w:hint="default"/>
        <w:lang w:val="en-US" w:eastAsia="en-US" w:bidi="ar-SA"/>
      </w:rPr>
    </w:lvl>
    <w:lvl w:ilvl="2">
      <w:start w:val="0"/>
      <w:numFmt w:val="bullet"/>
      <w:lvlText w:val="•"/>
      <w:lvlJc w:val="left"/>
      <w:pPr>
        <w:ind w:left="2299" w:hanging="360"/>
      </w:pPr>
      <w:rPr>
        <w:rFonts w:hint="default"/>
        <w:lang w:val="en-US" w:eastAsia="en-US" w:bidi="ar-SA"/>
      </w:rPr>
    </w:lvl>
    <w:lvl w:ilvl="3">
      <w:start w:val="0"/>
      <w:numFmt w:val="bullet"/>
      <w:lvlText w:val="•"/>
      <w:lvlJc w:val="left"/>
      <w:pPr>
        <w:ind w:left="2729" w:hanging="360"/>
      </w:pPr>
      <w:rPr>
        <w:rFonts w:hint="default"/>
        <w:lang w:val="en-US" w:eastAsia="en-US" w:bidi="ar-SA"/>
      </w:rPr>
    </w:lvl>
    <w:lvl w:ilvl="4">
      <w:start w:val="0"/>
      <w:numFmt w:val="bullet"/>
      <w:lvlText w:val="•"/>
      <w:lvlJc w:val="left"/>
      <w:pPr>
        <w:ind w:left="3158" w:hanging="360"/>
      </w:pPr>
      <w:rPr>
        <w:rFonts w:hint="default"/>
        <w:lang w:val="en-US" w:eastAsia="en-US" w:bidi="ar-SA"/>
      </w:rPr>
    </w:lvl>
    <w:lvl w:ilvl="5">
      <w:start w:val="0"/>
      <w:numFmt w:val="bullet"/>
      <w:lvlText w:val="•"/>
      <w:lvlJc w:val="left"/>
      <w:pPr>
        <w:ind w:left="3588" w:hanging="360"/>
      </w:pPr>
      <w:rPr>
        <w:rFonts w:hint="default"/>
        <w:lang w:val="en-US" w:eastAsia="en-US" w:bidi="ar-SA"/>
      </w:rPr>
    </w:lvl>
    <w:lvl w:ilvl="6">
      <w:start w:val="0"/>
      <w:numFmt w:val="bullet"/>
      <w:lvlText w:val="•"/>
      <w:lvlJc w:val="left"/>
      <w:pPr>
        <w:ind w:left="4018" w:hanging="360"/>
      </w:pPr>
      <w:rPr>
        <w:rFonts w:hint="default"/>
        <w:lang w:val="en-US" w:eastAsia="en-US" w:bidi="ar-SA"/>
      </w:rPr>
    </w:lvl>
    <w:lvl w:ilvl="7">
      <w:start w:val="0"/>
      <w:numFmt w:val="bullet"/>
      <w:lvlText w:val="•"/>
      <w:lvlJc w:val="left"/>
      <w:pPr>
        <w:ind w:left="4448" w:hanging="360"/>
      </w:pPr>
      <w:rPr>
        <w:rFonts w:hint="default"/>
        <w:lang w:val="en-US" w:eastAsia="en-US" w:bidi="ar-SA"/>
      </w:rPr>
    </w:lvl>
    <w:lvl w:ilvl="8">
      <w:start w:val="0"/>
      <w:numFmt w:val="bullet"/>
      <w:lvlText w:val="•"/>
      <w:lvlJc w:val="left"/>
      <w:pPr>
        <w:ind w:left="4877" w:hanging="360"/>
      </w:pPr>
      <w:rPr>
        <w:rFonts w:hint="default"/>
        <w:lang w:val="en-US" w:eastAsia="en-US" w:bidi="ar-SA"/>
      </w:rPr>
    </w:lvl>
  </w:abstractNum>
  <w:abstractNum w:abstractNumId="80">
    <w:multiLevelType w:val="hybridMultilevel"/>
    <w:lvl w:ilvl="0">
      <w:start w:val="1"/>
      <w:numFmt w:val="decimal"/>
      <w:lvlText w:val="%1."/>
      <w:lvlJc w:val="left"/>
      <w:pPr>
        <w:ind w:left="69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decimal"/>
      <w:lvlText w:val="%2."/>
      <w:lvlJc w:val="left"/>
      <w:pPr>
        <w:ind w:left="14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1273" w:hanging="360"/>
      </w:pPr>
      <w:rPr>
        <w:rFonts w:hint="default"/>
        <w:lang w:val="en-US" w:eastAsia="en-US" w:bidi="ar-SA"/>
      </w:rPr>
    </w:lvl>
    <w:lvl w:ilvl="3">
      <w:start w:val="0"/>
      <w:numFmt w:val="bullet"/>
      <w:lvlText w:val="•"/>
      <w:lvlJc w:val="left"/>
      <w:pPr>
        <w:ind w:left="1107" w:hanging="360"/>
      </w:pPr>
      <w:rPr>
        <w:rFonts w:hint="default"/>
        <w:lang w:val="en-US" w:eastAsia="en-US" w:bidi="ar-SA"/>
      </w:rPr>
    </w:lvl>
    <w:lvl w:ilvl="4">
      <w:start w:val="0"/>
      <w:numFmt w:val="bullet"/>
      <w:lvlText w:val="•"/>
      <w:lvlJc w:val="left"/>
      <w:pPr>
        <w:ind w:left="941" w:hanging="360"/>
      </w:pPr>
      <w:rPr>
        <w:rFonts w:hint="default"/>
        <w:lang w:val="en-US" w:eastAsia="en-US" w:bidi="ar-SA"/>
      </w:rPr>
    </w:lvl>
    <w:lvl w:ilvl="5">
      <w:start w:val="0"/>
      <w:numFmt w:val="bullet"/>
      <w:lvlText w:val="•"/>
      <w:lvlJc w:val="left"/>
      <w:pPr>
        <w:ind w:left="775" w:hanging="360"/>
      </w:pPr>
      <w:rPr>
        <w:rFonts w:hint="default"/>
        <w:lang w:val="en-US" w:eastAsia="en-US" w:bidi="ar-SA"/>
      </w:rPr>
    </w:lvl>
    <w:lvl w:ilvl="6">
      <w:start w:val="0"/>
      <w:numFmt w:val="bullet"/>
      <w:lvlText w:val="•"/>
      <w:lvlJc w:val="left"/>
      <w:pPr>
        <w:ind w:left="609" w:hanging="360"/>
      </w:pPr>
      <w:rPr>
        <w:rFonts w:hint="default"/>
        <w:lang w:val="en-US" w:eastAsia="en-US" w:bidi="ar-SA"/>
      </w:rPr>
    </w:lvl>
    <w:lvl w:ilvl="7">
      <w:start w:val="0"/>
      <w:numFmt w:val="bullet"/>
      <w:lvlText w:val="•"/>
      <w:lvlJc w:val="left"/>
      <w:pPr>
        <w:ind w:left="442" w:hanging="360"/>
      </w:pPr>
      <w:rPr>
        <w:rFonts w:hint="default"/>
        <w:lang w:val="en-US" w:eastAsia="en-US" w:bidi="ar-SA"/>
      </w:rPr>
    </w:lvl>
    <w:lvl w:ilvl="8">
      <w:start w:val="0"/>
      <w:numFmt w:val="bullet"/>
      <w:lvlText w:val="•"/>
      <w:lvlJc w:val="left"/>
      <w:pPr>
        <w:ind w:left="276" w:hanging="360"/>
      </w:pPr>
      <w:rPr>
        <w:rFonts w:hint="default"/>
        <w:lang w:val="en-US" w:eastAsia="en-US" w:bidi="ar-SA"/>
      </w:rPr>
    </w:lvl>
  </w:abstractNum>
  <w:abstractNum w:abstractNumId="79">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71" w:hanging="360"/>
      </w:pPr>
      <w:rPr>
        <w:rFonts w:hint="default"/>
        <w:lang w:val="en-US" w:eastAsia="en-US" w:bidi="ar-SA"/>
      </w:rPr>
    </w:lvl>
    <w:lvl w:ilvl="2">
      <w:start w:val="0"/>
      <w:numFmt w:val="bullet"/>
      <w:lvlText w:val="•"/>
      <w:lvlJc w:val="left"/>
      <w:pPr>
        <w:ind w:left="2302" w:hanging="360"/>
      </w:pPr>
      <w:rPr>
        <w:rFonts w:hint="default"/>
        <w:lang w:val="en-US" w:eastAsia="en-US" w:bidi="ar-SA"/>
      </w:rPr>
    </w:lvl>
    <w:lvl w:ilvl="3">
      <w:start w:val="0"/>
      <w:numFmt w:val="bullet"/>
      <w:lvlText w:val="•"/>
      <w:lvlJc w:val="left"/>
      <w:pPr>
        <w:ind w:left="2733" w:hanging="360"/>
      </w:pPr>
      <w:rPr>
        <w:rFonts w:hint="default"/>
        <w:lang w:val="en-US" w:eastAsia="en-US" w:bidi="ar-SA"/>
      </w:rPr>
    </w:lvl>
    <w:lvl w:ilvl="4">
      <w:start w:val="0"/>
      <w:numFmt w:val="bullet"/>
      <w:lvlText w:val="•"/>
      <w:lvlJc w:val="left"/>
      <w:pPr>
        <w:ind w:left="3165" w:hanging="360"/>
      </w:pPr>
      <w:rPr>
        <w:rFonts w:hint="default"/>
        <w:lang w:val="en-US" w:eastAsia="en-US" w:bidi="ar-SA"/>
      </w:rPr>
    </w:lvl>
    <w:lvl w:ilvl="5">
      <w:start w:val="0"/>
      <w:numFmt w:val="bullet"/>
      <w:lvlText w:val="•"/>
      <w:lvlJc w:val="left"/>
      <w:pPr>
        <w:ind w:left="3596" w:hanging="360"/>
      </w:pPr>
      <w:rPr>
        <w:rFonts w:hint="default"/>
        <w:lang w:val="en-US" w:eastAsia="en-US" w:bidi="ar-SA"/>
      </w:rPr>
    </w:lvl>
    <w:lvl w:ilvl="6">
      <w:start w:val="0"/>
      <w:numFmt w:val="bullet"/>
      <w:lvlText w:val="•"/>
      <w:lvlJc w:val="left"/>
      <w:pPr>
        <w:ind w:left="4027" w:hanging="360"/>
      </w:pPr>
      <w:rPr>
        <w:rFonts w:hint="default"/>
        <w:lang w:val="en-US" w:eastAsia="en-US" w:bidi="ar-SA"/>
      </w:rPr>
    </w:lvl>
    <w:lvl w:ilvl="7">
      <w:start w:val="0"/>
      <w:numFmt w:val="bullet"/>
      <w:lvlText w:val="•"/>
      <w:lvlJc w:val="left"/>
      <w:pPr>
        <w:ind w:left="4459" w:hanging="360"/>
      </w:pPr>
      <w:rPr>
        <w:rFonts w:hint="default"/>
        <w:lang w:val="en-US" w:eastAsia="en-US" w:bidi="ar-SA"/>
      </w:rPr>
    </w:lvl>
    <w:lvl w:ilvl="8">
      <w:start w:val="0"/>
      <w:numFmt w:val="bullet"/>
      <w:lvlText w:val="•"/>
      <w:lvlJc w:val="left"/>
      <w:pPr>
        <w:ind w:left="4890" w:hanging="360"/>
      </w:pPr>
      <w:rPr>
        <w:rFonts w:hint="default"/>
        <w:lang w:val="en-US" w:eastAsia="en-US" w:bidi="ar-SA"/>
      </w:rPr>
    </w:lvl>
  </w:abstractNum>
  <w:abstractNum w:abstractNumId="78">
    <w:multiLevelType w:val="hybridMultilevel"/>
    <w:lvl w:ilvl="0">
      <w:start w:val="1"/>
      <w:numFmt w:val="decimal"/>
      <w:lvlText w:val="%1."/>
      <w:lvlJc w:val="left"/>
      <w:pPr>
        <w:ind w:left="14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71" w:hanging="360"/>
      </w:pPr>
      <w:rPr>
        <w:rFonts w:hint="default"/>
        <w:lang w:val="en-US" w:eastAsia="en-US" w:bidi="ar-SA"/>
      </w:rPr>
    </w:lvl>
    <w:lvl w:ilvl="2">
      <w:start w:val="0"/>
      <w:numFmt w:val="bullet"/>
      <w:lvlText w:val="•"/>
      <w:lvlJc w:val="left"/>
      <w:pPr>
        <w:ind w:left="2302" w:hanging="360"/>
      </w:pPr>
      <w:rPr>
        <w:rFonts w:hint="default"/>
        <w:lang w:val="en-US" w:eastAsia="en-US" w:bidi="ar-SA"/>
      </w:rPr>
    </w:lvl>
    <w:lvl w:ilvl="3">
      <w:start w:val="0"/>
      <w:numFmt w:val="bullet"/>
      <w:lvlText w:val="•"/>
      <w:lvlJc w:val="left"/>
      <w:pPr>
        <w:ind w:left="2733" w:hanging="360"/>
      </w:pPr>
      <w:rPr>
        <w:rFonts w:hint="default"/>
        <w:lang w:val="en-US" w:eastAsia="en-US" w:bidi="ar-SA"/>
      </w:rPr>
    </w:lvl>
    <w:lvl w:ilvl="4">
      <w:start w:val="0"/>
      <w:numFmt w:val="bullet"/>
      <w:lvlText w:val="•"/>
      <w:lvlJc w:val="left"/>
      <w:pPr>
        <w:ind w:left="3165" w:hanging="360"/>
      </w:pPr>
      <w:rPr>
        <w:rFonts w:hint="default"/>
        <w:lang w:val="en-US" w:eastAsia="en-US" w:bidi="ar-SA"/>
      </w:rPr>
    </w:lvl>
    <w:lvl w:ilvl="5">
      <w:start w:val="0"/>
      <w:numFmt w:val="bullet"/>
      <w:lvlText w:val="•"/>
      <w:lvlJc w:val="left"/>
      <w:pPr>
        <w:ind w:left="3596" w:hanging="360"/>
      </w:pPr>
      <w:rPr>
        <w:rFonts w:hint="default"/>
        <w:lang w:val="en-US" w:eastAsia="en-US" w:bidi="ar-SA"/>
      </w:rPr>
    </w:lvl>
    <w:lvl w:ilvl="6">
      <w:start w:val="0"/>
      <w:numFmt w:val="bullet"/>
      <w:lvlText w:val="•"/>
      <w:lvlJc w:val="left"/>
      <w:pPr>
        <w:ind w:left="4027" w:hanging="360"/>
      </w:pPr>
      <w:rPr>
        <w:rFonts w:hint="default"/>
        <w:lang w:val="en-US" w:eastAsia="en-US" w:bidi="ar-SA"/>
      </w:rPr>
    </w:lvl>
    <w:lvl w:ilvl="7">
      <w:start w:val="0"/>
      <w:numFmt w:val="bullet"/>
      <w:lvlText w:val="•"/>
      <w:lvlJc w:val="left"/>
      <w:pPr>
        <w:ind w:left="4459" w:hanging="360"/>
      </w:pPr>
      <w:rPr>
        <w:rFonts w:hint="default"/>
        <w:lang w:val="en-US" w:eastAsia="en-US" w:bidi="ar-SA"/>
      </w:rPr>
    </w:lvl>
    <w:lvl w:ilvl="8">
      <w:start w:val="0"/>
      <w:numFmt w:val="bullet"/>
      <w:lvlText w:val="•"/>
      <w:lvlJc w:val="left"/>
      <w:pPr>
        <w:ind w:left="4890" w:hanging="360"/>
      </w:pPr>
      <w:rPr>
        <w:rFonts w:hint="default"/>
        <w:lang w:val="en-US" w:eastAsia="en-US" w:bidi="ar-SA"/>
      </w:rPr>
    </w:lvl>
  </w:abstractNum>
  <w:abstractNum w:abstractNumId="77">
    <w:multiLevelType w:val="hybridMultilevel"/>
    <w:lvl w:ilvl="0">
      <w:start w:val="1"/>
      <w:numFmt w:val="decimal"/>
      <w:lvlText w:val="%1."/>
      <w:lvlJc w:val="left"/>
      <w:pPr>
        <w:ind w:left="730"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280" w:hanging="360"/>
      </w:pPr>
      <w:rPr>
        <w:rFonts w:hint="default"/>
        <w:lang w:val="en-US" w:eastAsia="en-US" w:bidi="ar-SA"/>
      </w:rPr>
    </w:lvl>
    <w:lvl w:ilvl="2">
      <w:start w:val="0"/>
      <w:numFmt w:val="bullet"/>
      <w:lvlText w:val="•"/>
      <w:lvlJc w:val="left"/>
      <w:pPr>
        <w:ind w:left="1820" w:hanging="360"/>
      </w:pPr>
      <w:rPr>
        <w:rFonts w:hint="default"/>
        <w:lang w:val="en-US" w:eastAsia="en-US" w:bidi="ar-SA"/>
      </w:rPr>
    </w:lvl>
    <w:lvl w:ilvl="3">
      <w:start w:val="0"/>
      <w:numFmt w:val="bullet"/>
      <w:lvlText w:val="•"/>
      <w:lvlJc w:val="left"/>
      <w:pPr>
        <w:ind w:left="2361" w:hanging="360"/>
      </w:pPr>
      <w:rPr>
        <w:rFonts w:hint="default"/>
        <w:lang w:val="en-US" w:eastAsia="en-US" w:bidi="ar-SA"/>
      </w:rPr>
    </w:lvl>
    <w:lvl w:ilvl="4">
      <w:start w:val="0"/>
      <w:numFmt w:val="bullet"/>
      <w:lvlText w:val="•"/>
      <w:lvlJc w:val="left"/>
      <w:pPr>
        <w:ind w:left="2901" w:hanging="360"/>
      </w:pPr>
      <w:rPr>
        <w:rFonts w:hint="default"/>
        <w:lang w:val="en-US" w:eastAsia="en-US" w:bidi="ar-SA"/>
      </w:rPr>
    </w:lvl>
    <w:lvl w:ilvl="5">
      <w:start w:val="0"/>
      <w:numFmt w:val="bullet"/>
      <w:lvlText w:val="•"/>
      <w:lvlJc w:val="left"/>
      <w:pPr>
        <w:ind w:left="3441" w:hanging="360"/>
      </w:pPr>
      <w:rPr>
        <w:rFonts w:hint="default"/>
        <w:lang w:val="en-US" w:eastAsia="en-US" w:bidi="ar-SA"/>
      </w:rPr>
    </w:lvl>
    <w:lvl w:ilvl="6">
      <w:start w:val="0"/>
      <w:numFmt w:val="bullet"/>
      <w:lvlText w:val="•"/>
      <w:lvlJc w:val="left"/>
      <w:pPr>
        <w:ind w:left="3982" w:hanging="360"/>
      </w:pPr>
      <w:rPr>
        <w:rFonts w:hint="default"/>
        <w:lang w:val="en-US" w:eastAsia="en-US" w:bidi="ar-SA"/>
      </w:rPr>
    </w:lvl>
    <w:lvl w:ilvl="7">
      <w:start w:val="0"/>
      <w:numFmt w:val="bullet"/>
      <w:lvlText w:val="•"/>
      <w:lvlJc w:val="left"/>
      <w:pPr>
        <w:ind w:left="4522" w:hanging="360"/>
      </w:pPr>
      <w:rPr>
        <w:rFonts w:hint="default"/>
        <w:lang w:val="en-US" w:eastAsia="en-US" w:bidi="ar-SA"/>
      </w:rPr>
    </w:lvl>
    <w:lvl w:ilvl="8">
      <w:start w:val="0"/>
      <w:numFmt w:val="bullet"/>
      <w:lvlText w:val="•"/>
      <w:lvlJc w:val="left"/>
      <w:pPr>
        <w:ind w:left="5062" w:hanging="360"/>
      </w:pPr>
      <w:rPr>
        <w:rFonts w:hint="default"/>
        <w:lang w:val="en-US" w:eastAsia="en-US" w:bidi="ar-SA"/>
      </w:rPr>
    </w:lvl>
  </w:abstractNum>
  <w:abstractNum w:abstractNumId="76">
    <w:multiLevelType w:val="hybridMultilevel"/>
    <w:lvl w:ilvl="0">
      <w:start w:val="1"/>
      <w:numFmt w:val="decimal"/>
      <w:lvlText w:val="%1."/>
      <w:lvlJc w:val="left"/>
      <w:pPr>
        <w:ind w:left="73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280" w:hanging="360"/>
      </w:pPr>
      <w:rPr>
        <w:rFonts w:hint="default"/>
        <w:lang w:val="en-US" w:eastAsia="en-US" w:bidi="ar-SA"/>
      </w:rPr>
    </w:lvl>
    <w:lvl w:ilvl="2">
      <w:start w:val="0"/>
      <w:numFmt w:val="bullet"/>
      <w:lvlText w:val="•"/>
      <w:lvlJc w:val="left"/>
      <w:pPr>
        <w:ind w:left="1820" w:hanging="360"/>
      </w:pPr>
      <w:rPr>
        <w:rFonts w:hint="default"/>
        <w:lang w:val="en-US" w:eastAsia="en-US" w:bidi="ar-SA"/>
      </w:rPr>
    </w:lvl>
    <w:lvl w:ilvl="3">
      <w:start w:val="0"/>
      <w:numFmt w:val="bullet"/>
      <w:lvlText w:val="•"/>
      <w:lvlJc w:val="left"/>
      <w:pPr>
        <w:ind w:left="2361" w:hanging="360"/>
      </w:pPr>
      <w:rPr>
        <w:rFonts w:hint="default"/>
        <w:lang w:val="en-US" w:eastAsia="en-US" w:bidi="ar-SA"/>
      </w:rPr>
    </w:lvl>
    <w:lvl w:ilvl="4">
      <w:start w:val="0"/>
      <w:numFmt w:val="bullet"/>
      <w:lvlText w:val="•"/>
      <w:lvlJc w:val="left"/>
      <w:pPr>
        <w:ind w:left="2901" w:hanging="360"/>
      </w:pPr>
      <w:rPr>
        <w:rFonts w:hint="default"/>
        <w:lang w:val="en-US" w:eastAsia="en-US" w:bidi="ar-SA"/>
      </w:rPr>
    </w:lvl>
    <w:lvl w:ilvl="5">
      <w:start w:val="0"/>
      <w:numFmt w:val="bullet"/>
      <w:lvlText w:val="•"/>
      <w:lvlJc w:val="left"/>
      <w:pPr>
        <w:ind w:left="3441" w:hanging="360"/>
      </w:pPr>
      <w:rPr>
        <w:rFonts w:hint="default"/>
        <w:lang w:val="en-US" w:eastAsia="en-US" w:bidi="ar-SA"/>
      </w:rPr>
    </w:lvl>
    <w:lvl w:ilvl="6">
      <w:start w:val="0"/>
      <w:numFmt w:val="bullet"/>
      <w:lvlText w:val="•"/>
      <w:lvlJc w:val="left"/>
      <w:pPr>
        <w:ind w:left="3982" w:hanging="360"/>
      </w:pPr>
      <w:rPr>
        <w:rFonts w:hint="default"/>
        <w:lang w:val="en-US" w:eastAsia="en-US" w:bidi="ar-SA"/>
      </w:rPr>
    </w:lvl>
    <w:lvl w:ilvl="7">
      <w:start w:val="0"/>
      <w:numFmt w:val="bullet"/>
      <w:lvlText w:val="•"/>
      <w:lvlJc w:val="left"/>
      <w:pPr>
        <w:ind w:left="4522" w:hanging="360"/>
      </w:pPr>
      <w:rPr>
        <w:rFonts w:hint="default"/>
        <w:lang w:val="en-US" w:eastAsia="en-US" w:bidi="ar-SA"/>
      </w:rPr>
    </w:lvl>
    <w:lvl w:ilvl="8">
      <w:start w:val="0"/>
      <w:numFmt w:val="bullet"/>
      <w:lvlText w:val="•"/>
      <w:lvlJc w:val="left"/>
      <w:pPr>
        <w:ind w:left="5062" w:hanging="360"/>
      </w:pPr>
      <w:rPr>
        <w:rFonts w:hint="default"/>
        <w:lang w:val="en-US" w:eastAsia="en-US" w:bidi="ar-SA"/>
      </w:rPr>
    </w:lvl>
  </w:abstractNum>
  <w:abstractNum w:abstractNumId="75">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68" w:hanging="360"/>
      </w:pPr>
      <w:rPr>
        <w:rFonts w:hint="default"/>
        <w:lang w:val="en-US" w:eastAsia="en-US" w:bidi="ar-SA"/>
      </w:rPr>
    </w:lvl>
    <w:lvl w:ilvl="2">
      <w:start w:val="0"/>
      <w:numFmt w:val="bullet"/>
      <w:lvlText w:val="•"/>
      <w:lvlJc w:val="left"/>
      <w:pPr>
        <w:ind w:left="2296" w:hanging="360"/>
      </w:pPr>
      <w:rPr>
        <w:rFonts w:hint="default"/>
        <w:lang w:val="en-US" w:eastAsia="en-US" w:bidi="ar-SA"/>
      </w:rPr>
    </w:lvl>
    <w:lvl w:ilvl="3">
      <w:start w:val="0"/>
      <w:numFmt w:val="bullet"/>
      <w:lvlText w:val="•"/>
      <w:lvlJc w:val="left"/>
      <w:pPr>
        <w:ind w:left="2724" w:hanging="360"/>
      </w:pPr>
      <w:rPr>
        <w:rFonts w:hint="default"/>
        <w:lang w:val="en-US" w:eastAsia="en-US" w:bidi="ar-SA"/>
      </w:rPr>
    </w:lvl>
    <w:lvl w:ilvl="4">
      <w:start w:val="0"/>
      <w:numFmt w:val="bullet"/>
      <w:lvlText w:val="•"/>
      <w:lvlJc w:val="left"/>
      <w:pPr>
        <w:ind w:left="3152" w:hanging="360"/>
      </w:pPr>
      <w:rPr>
        <w:rFonts w:hint="default"/>
        <w:lang w:val="en-US" w:eastAsia="en-US" w:bidi="ar-SA"/>
      </w:rPr>
    </w:lvl>
    <w:lvl w:ilvl="5">
      <w:start w:val="0"/>
      <w:numFmt w:val="bullet"/>
      <w:lvlText w:val="•"/>
      <w:lvlJc w:val="left"/>
      <w:pPr>
        <w:ind w:left="3581" w:hanging="360"/>
      </w:pPr>
      <w:rPr>
        <w:rFonts w:hint="default"/>
        <w:lang w:val="en-US" w:eastAsia="en-US" w:bidi="ar-SA"/>
      </w:rPr>
    </w:lvl>
    <w:lvl w:ilvl="6">
      <w:start w:val="0"/>
      <w:numFmt w:val="bullet"/>
      <w:lvlText w:val="•"/>
      <w:lvlJc w:val="left"/>
      <w:pPr>
        <w:ind w:left="4009" w:hanging="360"/>
      </w:pPr>
      <w:rPr>
        <w:rFonts w:hint="default"/>
        <w:lang w:val="en-US" w:eastAsia="en-US" w:bidi="ar-SA"/>
      </w:rPr>
    </w:lvl>
    <w:lvl w:ilvl="7">
      <w:start w:val="0"/>
      <w:numFmt w:val="bullet"/>
      <w:lvlText w:val="•"/>
      <w:lvlJc w:val="left"/>
      <w:pPr>
        <w:ind w:left="4437" w:hanging="360"/>
      </w:pPr>
      <w:rPr>
        <w:rFonts w:hint="default"/>
        <w:lang w:val="en-US" w:eastAsia="en-US" w:bidi="ar-SA"/>
      </w:rPr>
    </w:lvl>
    <w:lvl w:ilvl="8">
      <w:start w:val="0"/>
      <w:numFmt w:val="bullet"/>
      <w:lvlText w:val="•"/>
      <w:lvlJc w:val="left"/>
      <w:pPr>
        <w:ind w:left="4865" w:hanging="360"/>
      </w:pPr>
      <w:rPr>
        <w:rFonts w:hint="default"/>
        <w:lang w:val="en-US" w:eastAsia="en-US" w:bidi="ar-SA"/>
      </w:rPr>
    </w:lvl>
  </w:abstractNum>
  <w:abstractNum w:abstractNumId="74">
    <w:multiLevelType w:val="hybridMultilevel"/>
    <w:lvl w:ilvl="0">
      <w:start w:val="1"/>
      <w:numFmt w:val="decimal"/>
      <w:lvlText w:val="%1."/>
      <w:lvlJc w:val="left"/>
      <w:pPr>
        <w:ind w:left="143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68" w:hanging="360"/>
      </w:pPr>
      <w:rPr>
        <w:rFonts w:hint="default"/>
        <w:lang w:val="en-US" w:eastAsia="en-US" w:bidi="ar-SA"/>
      </w:rPr>
    </w:lvl>
    <w:lvl w:ilvl="2">
      <w:start w:val="0"/>
      <w:numFmt w:val="bullet"/>
      <w:lvlText w:val="•"/>
      <w:lvlJc w:val="left"/>
      <w:pPr>
        <w:ind w:left="2296" w:hanging="360"/>
      </w:pPr>
      <w:rPr>
        <w:rFonts w:hint="default"/>
        <w:lang w:val="en-US" w:eastAsia="en-US" w:bidi="ar-SA"/>
      </w:rPr>
    </w:lvl>
    <w:lvl w:ilvl="3">
      <w:start w:val="0"/>
      <w:numFmt w:val="bullet"/>
      <w:lvlText w:val="•"/>
      <w:lvlJc w:val="left"/>
      <w:pPr>
        <w:ind w:left="2724" w:hanging="360"/>
      </w:pPr>
      <w:rPr>
        <w:rFonts w:hint="default"/>
        <w:lang w:val="en-US" w:eastAsia="en-US" w:bidi="ar-SA"/>
      </w:rPr>
    </w:lvl>
    <w:lvl w:ilvl="4">
      <w:start w:val="0"/>
      <w:numFmt w:val="bullet"/>
      <w:lvlText w:val="•"/>
      <w:lvlJc w:val="left"/>
      <w:pPr>
        <w:ind w:left="3152" w:hanging="360"/>
      </w:pPr>
      <w:rPr>
        <w:rFonts w:hint="default"/>
        <w:lang w:val="en-US" w:eastAsia="en-US" w:bidi="ar-SA"/>
      </w:rPr>
    </w:lvl>
    <w:lvl w:ilvl="5">
      <w:start w:val="0"/>
      <w:numFmt w:val="bullet"/>
      <w:lvlText w:val="•"/>
      <w:lvlJc w:val="left"/>
      <w:pPr>
        <w:ind w:left="3581" w:hanging="360"/>
      </w:pPr>
      <w:rPr>
        <w:rFonts w:hint="default"/>
        <w:lang w:val="en-US" w:eastAsia="en-US" w:bidi="ar-SA"/>
      </w:rPr>
    </w:lvl>
    <w:lvl w:ilvl="6">
      <w:start w:val="0"/>
      <w:numFmt w:val="bullet"/>
      <w:lvlText w:val="•"/>
      <w:lvlJc w:val="left"/>
      <w:pPr>
        <w:ind w:left="4009" w:hanging="360"/>
      </w:pPr>
      <w:rPr>
        <w:rFonts w:hint="default"/>
        <w:lang w:val="en-US" w:eastAsia="en-US" w:bidi="ar-SA"/>
      </w:rPr>
    </w:lvl>
    <w:lvl w:ilvl="7">
      <w:start w:val="0"/>
      <w:numFmt w:val="bullet"/>
      <w:lvlText w:val="•"/>
      <w:lvlJc w:val="left"/>
      <w:pPr>
        <w:ind w:left="4437" w:hanging="360"/>
      </w:pPr>
      <w:rPr>
        <w:rFonts w:hint="default"/>
        <w:lang w:val="en-US" w:eastAsia="en-US" w:bidi="ar-SA"/>
      </w:rPr>
    </w:lvl>
    <w:lvl w:ilvl="8">
      <w:start w:val="0"/>
      <w:numFmt w:val="bullet"/>
      <w:lvlText w:val="•"/>
      <w:lvlJc w:val="left"/>
      <w:pPr>
        <w:ind w:left="4865" w:hanging="360"/>
      </w:pPr>
      <w:rPr>
        <w:rFonts w:hint="default"/>
        <w:lang w:val="en-US" w:eastAsia="en-US" w:bidi="ar-SA"/>
      </w:rPr>
    </w:lvl>
  </w:abstractNum>
  <w:abstractNum w:abstractNumId="73">
    <w:multiLevelType w:val="hybridMultilevel"/>
    <w:lvl w:ilvl="0">
      <w:start w:val="1"/>
      <w:numFmt w:val="decimal"/>
      <w:lvlText w:val="%1."/>
      <w:lvlJc w:val="left"/>
      <w:pPr>
        <w:ind w:left="1086"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1"/>
      <w:numFmt w:val="decimal"/>
      <w:lvlText w:val="%2."/>
      <w:lvlJc w:val="left"/>
      <w:pPr>
        <w:ind w:left="14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1315" w:hanging="360"/>
      </w:pPr>
      <w:rPr>
        <w:rFonts w:hint="default"/>
        <w:lang w:val="en-US" w:eastAsia="en-US" w:bidi="ar-SA"/>
      </w:rPr>
    </w:lvl>
    <w:lvl w:ilvl="3">
      <w:start w:val="0"/>
      <w:numFmt w:val="bullet"/>
      <w:lvlText w:val="•"/>
      <w:lvlJc w:val="left"/>
      <w:pPr>
        <w:ind w:left="1190" w:hanging="360"/>
      </w:pPr>
      <w:rPr>
        <w:rFonts w:hint="default"/>
        <w:lang w:val="en-US" w:eastAsia="en-US" w:bidi="ar-SA"/>
      </w:rPr>
    </w:lvl>
    <w:lvl w:ilvl="4">
      <w:start w:val="0"/>
      <w:numFmt w:val="bullet"/>
      <w:lvlText w:val="•"/>
      <w:lvlJc w:val="left"/>
      <w:pPr>
        <w:ind w:left="1065" w:hanging="360"/>
      </w:pPr>
      <w:rPr>
        <w:rFonts w:hint="default"/>
        <w:lang w:val="en-US" w:eastAsia="en-US" w:bidi="ar-SA"/>
      </w:rPr>
    </w:lvl>
    <w:lvl w:ilvl="5">
      <w:start w:val="0"/>
      <w:numFmt w:val="bullet"/>
      <w:lvlText w:val="•"/>
      <w:lvlJc w:val="left"/>
      <w:pPr>
        <w:ind w:left="940" w:hanging="360"/>
      </w:pPr>
      <w:rPr>
        <w:rFonts w:hint="default"/>
        <w:lang w:val="en-US" w:eastAsia="en-US" w:bidi="ar-SA"/>
      </w:rPr>
    </w:lvl>
    <w:lvl w:ilvl="6">
      <w:start w:val="0"/>
      <w:numFmt w:val="bullet"/>
      <w:lvlText w:val="•"/>
      <w:lvlJc w:val="left"/>
      <w:pPr>
        <w:ind w:left="815" w:hanging="360"/>
      </w:pPr>
      <w:rPr>
        <w:rFonts w:hint="default"/>
        <w:lang w:val="en-US" w:eastAsia="en-US" w:bidi="ar-SA"/>
      </w:rPr>
    </w:lvl>
    <w:lvl w:ilvl="7">
      <w:start w:val="0"/>
      <w:numFmt w:val="bullet"/>
      <w:lvlText w:val="•"/>
      <w:lvlJc w:val="left"/>
      <w:pPr>
        <w:ind w:left="690" w:hanging="360"/>
      </w:pPr>
      <w:rPr>
        <w:rFonts w:hint="default"/>
        <w:lang w:val="en-US" w:eastAsia="en-US" w:bidi="ar-SA"/>
      </w:rPr>
    </w:lvl>
    <w:lvl w:ilvl="8">
      <w:start w:val="0"/>
      <w:numFmt w:val="bullet"/>
      <w:lvlText w:val="•"/>
      <w:lvlJc w:val="left"/>
      <w:pPr>
        <w:ind w:left="565" w:hanging="360"/>
      </w:pPr>
      <w:rPr>
        <w:rFonts w:hint="default"/>
        <w:lang w:val="en-US" w:eastAsia="en-US" w:bidi="ar-SA"/>
      </w:rPr>
    </w:lvl>
  </w:abstractNum>
  <w:abstractNum w:abstractNumId="72">
    <w:multiLevelType w:val="hybridMultilevel"/>
    <w:lvl w:ilvl="0">
      <w:start w:val="1"/>
      <w:numFmt w:val="decimal"/>
      <w:lvlText w:val="%1."/>
      <w:lvlJc w:val="left"/>
      <w:pPr>
        <w:ind w:left="1439" w:hanging="360"/>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32" w:hanging="360"/>
      </w:pPr>
      <w:rPr>
        <w:rFonts w:hint="default"/>
        <w:lang w:val="en-US" w:eastAsia="en-US" w:bidi="ar-SA"/>
      </w:rPr>
    </w:lvl>
    <w:lvl w:ilvl="2">
      <w:start w:val="0"/>
      <w:numFmt w:val="bullet"/>
      <w:lvlText w:val="•"/>
      <w:lvlJc w:val="left"/>
      <w:pPr>
        <w:ind w:left="2225" w:hanging="360"/>
      </w:pPr>
      <w:rPr>
        <w:rFonts w:hint="default"/>
        <w:lang w:val="en-US" w:eastAsia="en-US" w:bidi="ar-SA"/>
      </w:rPr>
    </w:lvl>
    <w:lvl w:ilvl="3">
      <w:start w:val="0"/>
      <w:numFmt w:val="bullet"/>
      <w:lvlText w:val="•"/>
      <w:lvlJc w:val="left"/>
      <w:pPr>
        <w:ind w:left="2617" w:hanging="360"/>
      </w:pPr>
      <w:rPr>
        <w:rFonts w:hint="default"/>
        <w:lang w:val="en-US" w:eastAsia="en-US" w:bidi="ar-SA"/>
      </w:rPr>
    </w:lvl>
    <w:lvl w:ilvl="4">
      <w:start w:val="0"/>
      <w:numFmt w:val="bullet"/>
      <w:lvlText w:val="•"/>
      <w:lvlJc w:val="left"/>
      <w:pPr>
        <w:ind w:left="3010" w:hanging="360"/>
      </w:pPr>
      <w:rPr>
        <w:rFonts w:hint="default"/>
        <w:lang w:val="en-US" w:eastAsia="en-US" w:bidi="ar-SA"/>
      </w:rPr>
    </w:lvl>
    <w:lvl w:ilvl="5">
      <w:start w:val="0"/>
      <w:numFmt w:val="bullet"/>
      <w:lvlText w:val="•"/>
      <w:lvlJc w:val="left"/>
      <w:pPr>
        <w:ind w:left="3402" w:hanging="360"/>
      </w:pPr>
      <w:rPr>
        <w:rFonts w:hint="default"/>
        <w:lang w:val="en-US" w:eastAsia="en-US" w:bidi="ar-SA"/>
      </w:rPr>
    </w:lvl>
    <w:lvl w:ilvl="6">
      <w:start w:val="0"/>
      <w:numFmt w:val="bullet"/>
      <w:lvlText w:val="•"/>
      <w:lvlJc w:val="left"/>
      <w:pPr>
        <w:ind w:left="3795" w:hanging="360"/>
      </w:pPr>
      <w:rPr>
        <w:rFonts w:hint="default"/>
        <w:lang w:val="en-US" w:eastAsia="en-US" w:bidi="ar-SA"/>
      </w:rPr>
    </w:lvl>
    <w:lvl w:ilvl="7">
      <w:start w:val="0"/>
      <w:numFmt w:val="bullet"/>
      <w:lvlText w:val="•"/>
      <w:lvlJc w:val="left"/>
      <w:pPr>
        <w:ind w:left="4188" w:hanging="360"/>
      </w:pPr>
      <w:rPr>
        <w:rFonts w:hint="default"/>
        <w:lang w:val="en-US" w:eastAsia="en-US" w:bidi="ar-SA"/>
      </w:rPr>
    </w:lvl>
    <w:lvl w:ilvl="8">
      <w:start w:val="0"/>
      <w:numFmt w:val="bullet"/>
      <w:lvlText w:val="•"/>
      <w:lvlJc w:val="left"/>
      <w:pPr>
        <w:ind w:left="4580" w:hanging="360"/>
      </w:pPr>
      <w:rPr>
        <w:rFonts w:hint="default"/>
        <w:lang w:val="en-US" w:eastAsia="en-US" w:bidi="ar-SA"/>
      </w:rPr>
    </w:lvl>
  </w:abstractNum>
  <w:abstractNum w:abstractNumId="69">
    <w:multiLevelType w:val="hybridMultilevel"/>
    <w:lvl w:ilvl="0">
      <w:start w:val="1"/>
      <w:numFmt w:val="lowerLetter"/>
      <w:lvlText w:val="%1)"/>
      <w:lvlJc w:val="left"/>
      <w:pPr>
        <w:ind w:left="319" w:hanging="322"/>
        <w:jc w:val="left"/>
      </w:pPr>
      <w:rPr>
        <w:rFonts w:hint="default" w:ascii="Times New Roman" w:hAnsi="Times New Roman" w:eastAsia="Times New Roman" w:cs="Times New Roman"/>
        <w:b/>
        <w:bCs/>
        <w:i w:val="0"/>
        <w:iCs w:val="0"/>
        <w:spacing w:val="-3"/>
        <w:w w:val="84"/>
        <w:sz w:val="22"/>
        <w:szCs w:val="22"/>
        <w:lang w:val="en-US" w:eastAsia="en-US" w:bidi="ar-SA"/>
      </w:rPr>
    </w:lvl>
    <w:lvl w:ilvl="1">
      <w:start w:val="1"/>
      <w:numFmt w:val="decimal"/>
      <w:lvlText w:val="%2."/>
      <w:lvlJc w:val="left"/>
      <w:pPr>
        <w:ind w:left="1080" w:hanging="249"/>
        <w:jc w:val="right"/>
      </w:pPr>
      <w:rPr>
        <w:rFonts w:hint="default" w:ascii="Times New Roman" w:hAnsi="Times New Roman" w:eastAsia="Times New Roman" w:cs="Times New Roman"/>
        <w:b/>
        <w:bCs/>
        <w:i w:val="0"/>
        <w:iCs w:val="0"/>
        <w:spacing w:val="-3"/>
        <w:w w:val="102"/>
        <w:sz w:val="22"/>
        <w:szCs w:val="22"/>
        <w:lang w:val="en-US" w:eastAsia="en-US" w:bidi="ar-SA"/>
      </w:rPr>
    </w:lvl>
    <w:lvl w:ilvl="2">
      <w:start w:val="0"/>
      <w:numFmt w:val="bullet"/>
      <w:lvlText w:val="•"/>
      <w:lvlJc w:val="left"/>
      <w:pPr>
        <w:ind w:left="844" w:hanging="249"/>
      </w:pPr>
      <w:rPr>
        <w:rFonts w:hint="default"/>
        <w:lang w:val="en-US" w:eastAsia="en-US" w:bidi="ar-SA"/>
      </w:rPr>
    </w:lvl>
    <w:lvl w:ilvl="3">
      <w:start w:val="0"/>
      <w:numFmt w:val="bullet"/>
      <w:lvlText w:val="•"/>
      <w:lvlJc w:val="left"/>
      <w:pPr>
        <w:ind w:left="608" w:hanging="249"/>
      </w:pPr>
      <w:rPr>
        <w:rFonts w:hint="default"/>
        <w:lang w:val="en-US" w:eastAsia="en-US" w:bidi="ar-SA"/>
      </w:rPr>
    </w:lvl>
    <w:lvl w:ilvl="4">
      <w:start w:val="0"/>
      <w:numFmt w:val="bullet"/>
      <w:lvlText w:val="•"/>
      <w:lvlJc w:val="left"/>
      <w:pPr>
        <w:ind w:left="372" w:hanging="249"/>
      </w:pPr>
      <w:rPr>
        <w:rFonts w:hint="default"/>
        <w:lang w:val="en-US" w:eastAsia="en-US" w:bidi="ar-SA"/>
      </w:rPr>
    </w:lvl>
    <w:lvl w:ilvl="5">
      <w:start w:val="0"/>
      <w:numFmt w:val="bullet"/>
      <w:lvlText w:val="•"/>
      <w:lvlJc w:val="left"/>
      <w:pPr>
        <w:ind w:left="136" w:hanging="249"/>
      </w:pPr>
      <w:rPr>
        <w:rFonts w:hint="default"/>
        <w:lang w:val="en-US" w:eastAsia="en-US" w:bidi="ar-SA"/>
      </w:rPr>
    </w:lvl>
    <w:lvl w:ilvl="6">
      <w:start w:val="0"/>
      <w:numFmt w:val="bullet"/>
      <w:lvlText w:val="•"/>
      <w:lvlJc w:val="left"/>
      <w:pPr>
        <w:ind w:left="-100" w:hanging="249"/>
      </w:pPr>
      <w:rPr>
        <w:rFonts w:hint="default"/>
        <w:lang w:val="en-US" w:eastAsia="en-US" w:bidi="ar-SA"/>
      </w:rPr>
    </w:lvl>
    <w:lvl w:ilvl="7">
      <w:start w:val="0"/>
      <w:numFmt w:val="bullet"/>
      <w:lvlText w:val="•"/>
      <w:lvlJc w:val="left"/>
      <w:pPr>
        <w:ind w:left="-336" w:hanging="249"/>
      </w:pPr>
      <w:rPr>
        <w:rFonts w:hint="default"/>
        <w:lang w:val="en-US" w:eastAsia="en-US" w:bidi="ar-SA"/>
      </w:rPr>
    </w:lvl>
    <w:lvl w:ilvl="8">
      <w:start w:val="0"/>
      <w:numFmt w:val="bullet"/>
      <w:lvlText w:val="•"/>
      <w:lvlJc w:val="left"/>
      <w:pPr>
        <w:ind w:left="-572" w:hanging="249"/>
      </w:pPr>
      <w:rPr>
        <w:rFonts w:hint="default"/>
        <w:lang w:val="en-US" w:eastAsia="en-US" w:bidi="ar-SA"/>
      </w:rPr>
    </w:lvl>
  </w:abstractNum>
  <w:abstractNum w:abstractNumId="68">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275"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946" w:hanging="360"/>
      </w:pPr>
      <w:rPr>
        <w:rFonts w:hint="default"/>
        <w:lang w:val="en-US" w:eastAsia="en-US" w:bidi="ar-SA"/>
      </w:rPr>
    </w:lvl>
    <w:lvl w:ilvl="5">
      <w:start w:val="0"/>
      <w:numFmt w:val="bullet"/>
      <w:lvlText w:val="•"/>
      <w:lvlJc w:val="left"/>
      <w:pPr>
        <w:ind w:left="782" w:hanging="360"/>
      </w:pPr>
      <w:rPr>
        <w:rFonts w:hint="default"/>
        <w:lang w:val="en-US" w:eastAsia="en-US" w:bidi="ar-SA"/>
      </w:rPr>
    </w:lvl>
    <w:lvl w:ilvl="6">
      <w:start w:val="0"/>
      <w:numFmt w:val="bullet"/>
      <w:lvlText w:val="•"/>
      <w:lvlJc w:val="left"/>
      <w:pPr>
        <w:ind w:left="617" w:hanging="360"/>
      </w:pPr>
      <w:rPr>
        <w:rFonts w:hint="default"/>
        <w:lang w:val="en-US" w:eastAsia="en-US" w:bidi="ar-SA"/>
      </w:rPr>
    </w:lvl>
    <w:lvl w:ilvl="7">
      <w:start w:val="0"/>
      <w:numFmt w:val="bullet"/>
      <w:lvlText w:val="•"/>
      <w:lvlJc w:val="left"/>
      <w:pPr>
        <w:ind w:left="453" w:hanging="360"/>
      </w:pPr>
      <w:rPr>
        <w:rFonts w:hint="default"/>
        <w:lang w:val="en-US" w:eastAsia="en-US" w:bidi="ar-SA"/>
      </w:rPr>
    </w:lvl>
    <w:lvl w:ilvl="8">
      <w:start w:val="0"/>
      <w:numFmt w:val="bullet"/>
      <w:lvlText w:val="•"/>
      <w:lvlJc w:val="left"/>
      <w:pPr>
        <w:ind w:left="288" w:hanging="360"/>
      </w:pPr>
      <w:rPr>
        <w:rFonts w:hint="default"/>
        <w:lang w:val="en-US" w:eastAsia="en-US" w:bidi="ar-SA"/>
      </w:rPr>
    </w:lvl>
  </w:abstractNum>
  <w:abstractNum w:abstractNumId="67">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66">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1"/>
      <w:numFmt w:val="lowerLetter"/>
      <w:lvlText w:val="%2)"/>
      <w:lvlJc w:val="left"/>
      <w:pPr>
        <w:ind w:left="679" w:hanging="360"/>
        <w:jc w:val="right"/>
      </w:pPr>
      <w:rPr>
        <w:rFonts w:hint="default" w:ascii="Times New Roman" w:hAnsi="Times New Roman" w:eastAsia="Times New Roman" w:cs="Times New Roman"/>
        <w:b w:val="0"/>
        <w:bCs w:val="0"/>
        <w:i w:val="0"/>
        <w:iCs w:val="0"/>
        <w:spacing w:val="0"/>
        <w:w w:val="93"/>
        <w:sz w:val="22"/>
        <w:szCs w:val="22"/>
        <w:lang w:val="en-US" w:eastAsia="en-US" w:bidi="ar-SA"/>
      </w:rPr>
    </w:lvl>
    <w:lvl w:ilvl="2">
      <w:start w:val="0"/>
      <w:numFmt w:val="bullet"/>
      <w:lvlText w:val="•"/>
      <w:lvlJc w:val="left"/>
      <w:pPr>
        <w:ind w:left="1240" w:hanging="360"/>
      </w:pPr>
      <w:rPr>
        <w:rFonts w:hint="default"/>
        <w:lang w:val="en-US" w:eastAsia="en-US" w:bidi="ar-SA"/>
      </w:rPr>
    </w:lvl>
    <w:lvl w:ilvl="3">
      <w:start w:val="0"/>
      <w:numFmt w:val="bullet"/>
      <w:lvlText w:val="•"/>
      <w:lvlJc w:val="left"/>
      <w:pPr>
        <w:ind w:left="1080" w:hanging="360"/>
      </w:pPr>
      <w:rPr>
        <w:rFonts w:hint="default"/>
        <w:lang w:val="en-US" w:eastAsia="en-US" w:bidi="ar-SA"/>
      </w:rPr>
    </w:lvl>
    <w:lvl w:ilvl="4">
      <w:start w:val="0"/>
      <w:numFmt w:val="bullet"/>
      <w:lvlText w:val="•"/>
      <w:lvlJc w:val="left"/>
      <w:pPr>
        <w:ind w:left="920"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600" w:hanging="360"/>
      </w:pPr>
      <w:rPr>
        <w:rFonts w:hint="default"/>
        <w:lang w:val="en-US" w:eastAsia="en-US" w:bidi="ar-SA"/>
      </w:rPr>
    </w:lvl>
    <w:lvl w:ilvl="7">
      <w:start w:val="0"/>
      <w:numFmt w:val="bullet"/>
      <w:lvlText w:val="•"/>
      <w:lvlJc w:val="left"/>
      <w:pPr>
        <w:ind w:left="440" w:hanging="360"/>
      </w:pPr>
      <w:rPr>
        <w:rFonts w:hint="default"/>
        <w:lang w:val="en-US" w:eastAsia="en-US" w:bidi="ar-SA"/>
      </w:rPr>
    </w:lvl>
    <w:lvl w:ilvl="8">
      <w:start w:val="0"/>
      <w:numFmt w:val="bullet"/>
      <w:lvlText w:val="•"/>
      <w:lvlJc w:val="left"/>
      <w:pPr>
        <w:ind w:left="280" w:hanging="360"/>
      </w:pPr>
      <w:rPr>
        <w:rFonts w:hint="default"/>
        <w:lang w:val="en-US" w:eastAsia="en-US" w:bidi="ar-SA"/>
      </w:rPr>
    </w:lvl>
  </w:abstractNum>
  <w:abstractNum w:abstractNumId="65">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254" w:hanging="360"/>
      </w:pPr>
      <w:rPr>
        <w:rFonts w:hint="default"/>
        <w:lang w:val="en-US" w:eastAsia="en-US" w:bidi="ar-SA"/>
      </w:rPr>
    </w:lvl>
    <w:lvl w:ilvl="4">
      <w:start w:val="0"/>
      <w:numFmt w:val="bullet"/>
      <w:lvlText w:val="•"/>
      <w:lvlJc w:val="left"/>
      <w:pPr>
        <w:ind w:left="1069" w:hanging="360"/>
      </w:pPr>
      <w:rPr>
        <w:rFonts w:hint="default"/>
        <w:lang w:val="en-US" w:eastAsia="en-US" w:bidi="ar-SA"/>
      </w:rPr>
    </w:lvl>
    <w:lvl w:ilvl="5">
      <w:start w:val="0"/>
      <w:numFmt w:val="bullet"/>
      <w:lvlText w:val="•"/>
      <w:lvlJc w:val="left"/>
      <w:pPr>
        <w:ind w:left="884" w:hanging="360"/>
      </w:pPr>
      <w:rPr>
        <w:rFonts w:hint="default"/>
        <w:lang w:val="en-US" w:eastAsia="en-US" w:bidi="ar-SA"/>
      </w:rPr>
    </w:lvl>
    <w:lvl w:ilvl="6">
      <w:start w:val="0"/>
      <w:numFmt w:val="bullet"/>
      <w:lvlText w:val="•"/>
      <w:lvlJc w:val="left"/>
      <w:pPr>
        <w:ind w:left="699" w:hanging="360"/>
      </w:pPr>
      <w:rPr>
        <w:rFonts w:hint="default"/>
        <w:lang w:val="en-US" w:eastAsia="en-US" w:bidi="ar-SA"/>
      </w:rPr>
    </w:lvl>
    <w:lvl w:ilvl="7">
      <w:start w:val="0"/>
      <w:numFmt w:val="bullet"/>
      <w:lvlText w:val="•"/>
      <w:lvlJc w:val="left"/>
      <w:pPr>
        <w:ind w:left="514" w:hanging="360"/>
      </w:pPr>
      <w:rPr>
        <w:rFonts w:hint="default"/>
        <w:lang w:val="en-US" w:eastAsia="en-US" w:bidi="ar-SA"/>
      </w:rPr>
    </w:lvl>
    <w:lvl w:ilvl="8">
      <w:start w:val="0"/>
      <w:numFmt w:val="bullet"/>
      <w:lvlText w:val="•"/>
      <w:lvlJc w:val="left"/>
      <w:pPr>
        <w:ind w:left="329" w:hanging="360"/>
      </w:pPr>
      <w:rPr>
        <w:rFonts w:hint="default"/>
        <w:lang w:val="en-US" w:eastAsia="en-US" w:bidi="ar-SA"/>
      </w:rPr>
    </w:lvl>
  </w:abstractNum>
  <w:abstractNum w:abstractNumId="64">
    <w:multiLevelType w:val="hybridMultilevel"/>
    <w:lvl w:ilvl="0">
      <w:start w:val="1"/>
      <w:numFmt w:val="decimal"/>
      <w:lvlText w:val="%1."/>
      <w:lvlJc w:val="left"/>
      <w:pPr>
        <w:ind w:left="679" w:hanging="360"/>
        <w:jc w:val="right"/>
      </w:pPr>
      <w:rPr>
        <w:rFonts w:hint="default" w:ascii="Times New Roman" w:hAnsi="Times New Roman" w:eastAsia="Times New Roman" w:cs="Times New Roman"/>
        <w:b/>
        <w:bCs/>
        <w:i w:val="0"/>
        <w:iCs w:val="0"/>
        <w:spacing w:val="0"/>
        <w:w w:val="102"/>
        <w:sz w:val="22"/>
        <w:szCs w:val="22"/>
        <w:lang w:val="en-US" w:eastAsia="en-US" w:bidi="ar-SA"/>
      </w:rPr>
    </w:lvl>
    <w:lvl w:ilvl="1">
      <w:start w:val="0"/>
      <w:numFmt w:val="bullet"/>
      <w:lvlText w:val=""/>
      <w:lvlJc w:val="left"/>
      <w:pPr>
        <w:ind w:left="1019" w:hanging="321"/>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780" w:hanging="321"/>
      </w:pPr>
      <w:rPr>
        <w:rFonts w:hint="default"/>
        <w:lang w:val="en-US" w:eastAsia="en-US" w:bidi="ar-SA"/>
      </w:rPr>
    </w:lvl>
    <w:lvl w:ilvl="3">
      <w:start w:val="0"/>
      <w:numFmt w:val="bullet"/>
      <w:lvlText w:val="•"/>
      <w:lvlJc w:val="left"/>
      <w:pPr>
        <w:ind w:left="1552" w:hanging="321"/>
      </w:pPr>
      <w:rPr>
        <w:rFonts w:hint="default"/>
        <w:lang w:val="en-US" w:eastAsia="en-US" w:bidi="ar-SA"/>
      </w:rPr>
    </w:lvl>
    <w:lvl w:ilvl="4">
      <w:start w:val="0"/>
      <w:numFmt w:val="bullet"/>
      <w:lvlText w:val="•"/>
      <w:lvlJc w:val="left"/>
      <w:pPr>
        <w:ind w:left="1325" w:hanging="321"/>
      </w:pPr>
      <w:rPr>
        <w:rFonts w:hint="default"/>
        <w:lang w:val="en-US" w:eastAsia="en-US" w:bidi="ar-SA"/>
      </w:rPr>
    </w:lvl>
    <w:lvl w:ilvl="5">
      <w:start w:val="0"/>
      <w:numFmt w:val="bullet"/>
      <w:lvlText w:val="•"/>
      <w:lvlJc w:val="left"/>
      <w:pPr>
        <w:ind w:left="1097" w:hanging="321"/>
      </w:pPr>
      <w:rPr>
        <w:rFonts w:hint="default"/>
        <w:lang w:val="en-US" w:eastAsia="en-US" w:bidi="ar-SA"/>
      </w:rPr>
    </w:lvl>
    <w:lvl w:ilvl="6">
      <w:start w:val="0"/>
      <w:numFmt w:val="bullet"/>
      <w:lvlText w:val="•"/>
      <w:lvlJc w:val="left"/>
      <w:pPr>
        <w:ind w:left="870" w:hanging="321"/>
      </w:pPr>
      <w:rPr>
        <w:rFonts w:hint="default"/>
        <w:lang w:val="en-US" w:eastAsia="en-US" w:bidi="ar-SA"/>
      </w:rPr>
    </w:lvl>
    <w:lvl w:ilvl="7">
      <w:start w:val="0"/>
      <w:numFmt w:val="bullet"/>
      <w:lvlText w:val="•"/>
      <w:lvlJc w:val="left"/>
      <w:pPr>
        <w:ind w:left="642" w:hanging="321"/>
      </w:pPr>
      <w:rPr>
        <w:rFonts w:hint="default"/>
        <w:lang w:val="en-US" w:eastAsia="en-US" w:bidi="ar-SA"/>
      </w:rPr>
    </w:lvl>
    <w:lvl w:ilvl="8">
      <w:start w:val="0"/>
      <w:numFmt w:val="bullet"/>
      <w:lvlText w:val="•"/>
      <w:lvlJc w:val="left"/>
      <w:pPr>
        <w:ind w:left="415" w:hanging="321"/>
      </w:pPr>
      <w:rPr>
        <w:rFonts w:hint="default"/>
        <w:lang w:val="en-US" w:eastAsia="en-US" w:bidi="ar-SA"/>
      </w:rPr>
    </w:lvl>
  </w:abstractNum>
  <w:abstractNum w:abstractNumId="63">
    <w:multiLevelType w:val="hybridMultilevel"/>
    <w:lvl w:ilvl="0">
      <w:start w:val="8"/>
      <w:numFmt w:val="decimal"/>
      <w:lvlText w:val="%1."/>
      <w:lvlJc w:val="left"/>
      <w:pPr>
        <w:ind w:left="584" w:hanging="266"/>
        <w:jc w:val="right"/>
      </w:pPr>
      <w:rPr>
        <w:rFonts w:hint="default" w:ascii="Times New Roman" w:hAnsi="Times New Roman" w:eastAsia="Times New Roman" w:cs="Times New Roman"/>
        <w:b/>
        <w:bCs/>
        <w:i w:val="0"/>
        <w:iCs w:val="0"/>
        <w:color w:val="2E614A"/>
        <w:spacing w:val="0"/>
        <w:w w:val="102"/>
        <w:sz w:val="26"/>
        <w:szCs w:val="26"/>
        <w:lang w:val="en-US" w:eastAsia="en-US" w:bidi="ar-SA"/>
      </w:rPr>
    </w:lvl>
    <w:lvl w:ilvl="1">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255" w:hanging="360"/>
      </w:pPr>
      <w:rPr>
        <w:rFonts w:hint="default"/>
        <w:lang w:val="en-US" w:eastAsia="en-US" w:bidi="ar-SA"/>
      </w:rPr>
    </w:lvl>
    <w:lvl w:ilvl="4">
      <w:start w:val="0"/>
      <w:numFmt w:val="bullet"/>
      <w:lvlText w:val="•"/>
      <w:lvlJc w:val="left"/>
      <w:pPr>
        <w:ind w:left="1070" w:hanging="360"/>
      </w:pPr>
      <w:rPr>
        <w:rFonts w:hint="default"/>
        <w:lang w:val="en-US" w:eastAsia="en-US" w:bidi="ar-SA"/>
      </w:rPr>
    </w:lvl>
    <w:lvl w:ilvl="5">
      <w:start w:val="0"/>
      <w:numFmt w:val="bullet"/>
      <w:lvlText w:val="•"/>
      <w:lvlJc w:val="left"/>
      <w:pPr>
        <w:ind w:left="885" w:hanging="360"/>
      </w:pPr>
      <w:rPr>
        <w:rFonts w:hint="default"/>
        <w:lang w:val="en-US" w:eastAsia="en-US" w:bidi="ar-SA"/>
      </w:rPr>
    </w:lvl>
    <w:lvl w:ilvl="6">
      <w:start w:val="0"/>
      <w:numFmt w:val="bullet"/>
      <w:lvlText w:val="•"/>
      <w:lvlJc w:val="left"/>
      <w:pPr>
        <w:ind w:left="700" w:hanging="360"/>
      </w:pPr>
      <w:rPr>
        <w:rFonts w:hint="default"/>
        <w:lang w:val="en-US" w:eastAsia="en-US" w:bidi="ar-SA"/>
      </w:rPr>
    </w:lvl>
    <w:lvl w:ilvl="7">
      <w:start w:val="0"/>
      <w:numFmt w:val="bullet"/>
      <w:lvlText w:val="•"/>
      <w:lvlJc w:val="left"/>
      <w:pPr>
        <w:ind w:left="515" w:hanging="360"/>
      </w:pPr>
      <w:rPr>
        <w:rFonts w:hint="default"/>
        <w:lang w:val="en-US" w:eastAsia="en-US" w:bidi="ar-SA"/>
      </w:rPr>
    </w:lvl>
    <w:lvl w:ilvl="8">
      <w:start w:val="0"/>
      <w:numFmt w:val="bullet"/>
      <w:lvlText w:val="•"/>
      <w:lvlJc w:val="left"/>
      <w:pPr>
        <w:ind w:left="330" w:hanging="360"/>
      </w:pPr>
      <w:rPr>
        <w:rFonts w:hint="default"/>
        <w:lang w:val="en-US" w:eastAsia="en-US" w:bidi="ar-SA"/>
      </w:rPr>
    </w:lvl>
  </w:abstractNum>
  <w:abstractNum w:abstractNumId="62">
    <w:multiLevelType w:val="hybridMultilevel"/>
    <w:lvl w:ilvl="0">
      <w:start w:val="1"/>
      <w:numFmt w:val="upperLetter"/>
      <w:lvlText w:val="%1."/>
      <w:lvlJc w:val="left"/>
      <w:pPr>
        <w:ind w:left="683" w:hanging="364"/>
        <w:jc w:val="right"/>
      </w:pPr>
      <w:rPr>
        <w:rFonts w:hint="default" w:ascii="Times New Roman" w:hAnsi="Times New Roman" w:eastAsia="Times New Roman" w:cs="Times New Roman"/>
        <w:b/>
        <w:bCs/>
        <w:i w:val="0"/>
        <w:iCs w:val="0"/>
        <w:color w:val="2E614A"/>
        <w:spacing w:val="0"/>
        <w:w w:val="90"/>
        <w:sz w:val="32"/>
        <w:szCs w:val="32"/>
        <w:lang w:val="en-US" w:eastAsia="en-US" w:bidi="ar-SA"/>
      </w:rPr>
    </w:lvl>
    <w:lvl w:ilvl="1">
      <w:start w:val="1"/>
      <w:numFmt w:val="decimal"/>
      <w:lvlText w:val="%2."/>
      <w:lvlJc w:val="left"/>
      <w:pPr>
        <w:ind w:left="584" w:hanging="266"/>
        <w:jc w:val="right"/>
      </w:pPr>
      <w:rPr>
        <w:rFonts w:hint="default" w:ascii="Times New Roman" w:hAnsi="Times New Roman" w:eastAsia="Times New Roman" w:cs="Times New Roman"/>
        <w:b/>
        <w:bCs/>
        <w:i w:val="0"/>
        <w:iCs w:val="0"/>
        <w:color w:val="2E614A"/>
        <w:spacing w:val="0"/>
        <w:w w:val="102"/>
        <w:sz w:val="26"/>
        <w:szCs w:val="26"/>
        <w:lang w:val="en-US" w:eastAsia="en-US" w:bidi="ar-SA"/>
      </w:rPr>
    </w:lvl>
    <w:lvl w:ilvl="2">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4">
      <w:start w:val="0"/>
      <w:numFmt w:val="bullet"/>
      <w:lvlText w:val="•"/>
      <w:lvlJc w:val="left"/>
      <w:pPr>
        <w:ind w:left="1069" w:hanging="360"/>
      </w:pPr>
      <w:rPr>
        <w:rFonts w:hint="default"/>
        <w:lang w:val="en-US" w:eastAsia="en-US" w:bidi="ar-SA"/>
      </w:rPr>
    </w:lvl>
    <w:lvl w:ilvl="5">
      <w:start w:val="0"/>
      <w:numFmt w:val="bullet"/>
      <w:lvlText w:val="•"/>
      <w:lvlJc w:val="left"/>
      <w:pPr>
        <w:ind w:left="884" w:hanging="360"/>
      </w:pPr>
      <w:rPr>
        <w:rFonts w:hint="default"/>
        <w:lang w:val="en-US" w:eastAsia="en-US" w:bidi="ar-SA"/>
      </w:rPr>
    </w:lvl>
    <w:lvl w:ilvl="6">
      <w:start w:val="0"/>
      <w:numFmt w:val="bullet"/>
      <w:lvlText w:val="•"/>
      <w:lvlJc w:val="left"/>
      <w:pPr>
        <w:ind w:left="699" w:hanging="360"/>
      </w:pPr>
      <w:rPr>
        <w:rFonts w:hint="default"/>
        <w:lang w:val="en-US" w:eastAsia="en-US" w:bidi="ar-SA"/>
      </w:rPr>
    </w:lvl>
    <w:lvl w:ilvl="7">
      <w:start w:val="0"/>
      <w:numFmt w:val="bullet"/>
      <w:lvlText w:val="•"/>
      <w:lvlJc w:val="left"/>
      <w:pPr>
        <w:ind w:left="514" w:hanging="360"/>
      </w:pPr>
      <w:rPr>
        <w:rFonts w:hint="default"/>
        <w:lang w:val="en-US" w:eastAsia="en-US" w:bidi="ar-SA"/>
      </w:rPr>
    </w:lvl>
    <w:lvl w:ilvl="8">
      <w:start w:val="0"/>
      <w:numFmt w:val="bullet"/>
      <w:lvlText w:val="•"/>
      <w:lvlJc w:val="left"/>
      <w:pPr>
        <w:ind w:left="329" w:hanging="360"/>
      </w:pPr>
      <w:rPr>
        <w:rFonts w:hint="default"/>
        <w:lang w:val="en-US" w:eastAsia="en-US" w:bidi="ar-SA"/>
      </w:rPr>
    </w:lvl>
  </w:abstractNum>
  <w:abstractNum w:abstractNumId="61">
    <w:multiLevelType w:val="hybridMultilevel"/>
    <w:lvl w:ilvl="0">
      <w:start w:val="1"/>
      <w:numFmt w:val="decimal"/>
      <w:lvlText w:val="%1."/>
      <w:lvlJc w:val="left"/>
      <w:pPr>
        <w:ind w:left="1417" w:hanging="338"/>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869" w:hanging="338"/>
      </w:pPr>
      <w:rPr>
        <w:rFonts w:hint="default"/>
        <w:lang w:val="en-US" w:eastAsia="en-US" w:bidi="ar-SA"/>
      </w:rPr>
    </w:lvl>
    <w:lvl w:ilvl="2">
      <w:start w:val="0"/>
      <w:numFmt w:val="bullet"/>
      <w:lvlText w:val="•"/>
      <w:lvlJc w:val="left"/>
      <w:pPr>
        <w:ind w:left="2319" w:hanging="338"/>
      </w:pPr>
      <w:rPr>
        <w:rFonts w:hint="default"/>
        <w:lang w:val="en-US" w:eastAsia="en-US" w:bidi="ar-SA"/>
      </w:rPr>
    </w:lvl>
    <w:lvl w:ilvl="3">
      <w:start w:val="0"/>
      <w:numFmt w:val="bullet"/>
      <w:lvlText w:val="•"/>
      <w:lvlJc w:val="left"/>
      <w:pPr>
        <w:ind w:left="2769" w:hanging="338"/>
      </w:pPr>
      <w:rPr>
        <w:rFonts w:hint="default"/>
        <w:lang w:val="en-US" w:eastAsia="en-US" w:bidi="ar-SA"/>
      </w:rPr>
    </w:lvl>
    <w:lvl w:ilvl="4">
      <w:start w:val="0"/>
      <w:numFmt w:val="bullet"/>
      <w:lvlText w:val="•"/>
      <w:lvlJc w:val="left"/>
      <w:pPr>
        <w:ind w:left="3219" w:hanging="338"/>
      </w:pPr>
      <w:rPr>
        <w:rFonts w:hint="default"/>
        <w:lang w:val="en-US" w:eastAsia="en-US" w:bidi="ar-SA"/>
      </w:rPr>
    </w:lvl>
    <w:lvl w:ilvl="5">
      <w:start w:val="0"/>
      <w:numFmt w:val="bullet"/>
      <w:lvlText w:val="•"/>
      <w:lvlJc w:val="left"/>
      <w:pPr>
        <w:ind w:left="3669" w:hanging="338"/>
      </w:pPr>
      <w:rPr>
        <w:rFonts w:hint="default"/>
        <w:lang w:val="en-US" w:eastAsia="en-US" w:bidi="ar-SA"/>
      </w:rPr>
    </w:lvl>
    <w:lvl w:ilvl="6">
      <w:start w:val="0"/>
      <w:numFmt w:val="bullet"/>
      <w:lvlText w:val="•"/>
      <w:lvlJc w:val="left"/>
      <w:pPr>
        <w:ind w:left="4119" w:hanging="338"/>
      </w:pPr>
      <w:rPr>
        <w:rFonts w:hint="default"/>
        <w:lang w:val="en-US" w:eastAsia="en-US" w:bidi="ar-SA"/>
      </w:rPr>
    </w:lvl>
    <w:lvl w:ilvl="7">
      <w:start w:val="0"/>
      <w:numFmt w:val="bullet"/>
      <w:lvlText w:val="•"/>
      <w:lvlJc w:val="left"/>
      <w:pPr>
        <w:ind w:left="4569" w:hanging="338"/>
      </w:pPr>
      <w:rPr>
        <w:rFonts w:hint="default"/>
        <w:lang w:val="en-US" w:eastAsia="en-US" w:bidi="ar-SA"/>
      </w:rPr>
    </w:lvl>
    <w:lvl w:ilvl="8">
      <w:start w:val="0"/>
      <w:numFmt w:val="bullet"/>
      <w:lvlText w:val="•"/>
      <w:lvlJc w:val="left"/>
      <w:pPr>
        <w:ind w:left="5019" w:hanging="338"/>
      </w:pPr>
      <w:rPr>
        <w:rFonts w:hint="default"/>
        <w:lang w:val="en-US" w:eastAsia="en-US" w:bidi="ar-SA"/>
      </w:rPr>
    </w:lvl>
  </w:abstractNum>
  <w:abstractNum w:abstractNumId="60">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59">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019" w:hanging="321"/>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440" w:hanging="321"/>
      </w:pPr>
      <w:rPr>
        <w:rFonts w:hint="default"/>
        <w:lang w:val="en-US" w:eastAsia="en-US" w:bidi="ar-SA"/>
      </w:rPr>
    </w:lvl>
    <w:lvl w:ilvl="4">
      <w:start w:val="0"/>
      <w:numFmt w:val="bullet"/>
      <w:lvlText w:val="•"/>
      <w:lvlJc w:val="left"/>
      <w:pPr>
        <w:ind w:left="1780" w:hanging="321"/>
      </w:pPr>
      <w:rPr>
        <w:rFonts w:hint="default"/>
        <w:lang w:val="en-US" w:eastAsia="en-US" w:bidi="ar-SA"/>
      </w:rPr>
    </w:lvl>
    <w:lvl w:ilvl="5">
      <w:start w:val="0"/>
      <w:numFmt w:val="bullet"/>
      <w:lvlText w:val="•"/>
      <w:lvlJc w:val="left"/>
      <w:pPr>
        <w:ind w:left="1476" w:hanging="321"/>
      </w:pPr>
      <w:rPr>
        <w:rFonts w:hint="default"/>
        <w:lang w:val="en-US" w:eastAsia="en-US" w:bidi="ar-SA"/>
      </w:rPr>
    </w:lvl>
    <w:lvl w:ilvl="6">
      <w:start w:val="0"/>
      <w:numFmt w:val="bullet"/>
      <w:lvlText w:val="•"/>
      <w:lvlJc w:val="left"/>
      <w:pPr>
        <w:ind w:left="1173" w:hanging="321"/>
      </w:pPr>
      <w:rPr>
        <w:rFonts w:hint="default"/>
        <w:lang w:val="en-US" w:eastAsia="en-US" w:bidi="ar-SA"/>
      </w:rPr>
    </w:lvl>
    <w:lvl w:ilvl="7">
      <w:start w:val="0"/>
      <w:numFmt w:val="bullet"/>
      <w:lvlText w:val="•"/>
      <w:lvlJc w:val="left"/>
      <w:pPr>
        <w:ind w:left="869" w:hanging="321"/>
      </w:pPr>
      <w:rPr>
        <w:rFonts w:hint="default"/>
        <w:lang w:val="en-US" w:eastAsia="en-US" w:bidi="ar-SA"/>
      </w:rPr>
    </w:lvl>
    <w:lvl w:ilvl="8">
      <w:start w:val="0"/>
      <w:numFmt w:val="bullet"/>
      <w:lvlText w:val="•"/>
      <w:lvlJc w:val="left"/>
      <w:pPr>
        <w:ind w:left="566" w:hanging="321"/>
      </w:pPr>
      <w:rPr>
        <w:rFonts w:hint="default"/>
        <w:lang w:val="en-US" w:eastAsia="en-US" w:bidi="ar-SA"/>
      </w:rPr>
    </w:lvl>
  </w:abstractNum>
  <w:abstractNum w:abstractNumId="58">
    <w:multiLevelType w:val="hybridMultilevel"/>
    <w:lvl w:ilvl="0">
      <w:start w:val="0"/>
      <w:numFmt w:val="bullet"/>
      <w:lvlText w:val=""/>
      <w:lvlJc w:val="left"/>
      <w:pPr>
        <w:ind w:left="455"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250" w:hanging="360"/>
      </w:pPr>
      <w:rPr>
        <w:rFonts w:hint="default"/>
        <w:lang w:val="en-US" w:eastAsia="en-US" w:bidi="ar-SA"/>
      </w:rPr>
    </w:lvl>
    <w:lvl w:ilvl="3">
      <w:start w:val="0"/>
      <w:numFmt w:val="bullet"/>
      <w:lvlText w:val="•"/>
      <w:lvlJc w:val="left"/>
      <w:pPr>
        <w:ind w:left="1061" w:hanging="360"/>
      </w:pPr>
      <w:rPr>
        <w:rFonts w:hint="default"/>
        <w:lang w:val="en-US" w:eastAsia="en-US" w:bidi="ar-SA"/>
      </w:rPr>
    </w:lvl>
    <w:lvl w:ilvl="4">
      <w:start w:val="0"/>
      <w:numFmt w:val="bullet"/>
      <w:lvlText w:val="•"/>
      <w:lvlJc w:val="left"/>
      <w:pPr>
        <w:ind w:left="872" w:hanging="360"/>
      </w:pPr>
      <w:rPr>
        <w:rFonts w:hint="default"/>
        <w:lang w:val="en-US" w:eastAsia="en-US" w:bidi="ar-SA"/>
      </w:rPr>
    </w:lvl>
    <w:lvl w:ilvl="5">
      <w:start w:val="0"/>
      <w:numFmt w:val="bullet"/>
      <w:lvlText w:val="•"/>
      <w:lvlJc w:val="left"/>
      <w:pPr>
        <w:ind w:left="682" w:hanging="360"/>
      </w:pPr>
      <w:rPr>
        <w:rFonts w:hint="default"/>
        <w:lang w:val="en-US" w:eastAsia="en-US" w:bidi="ar-SA"/>
      </w:rPr>
    </w:lvl>
    <w:lvl w:ilvl="6">
      <w:start w:val="0"/>
      <w:numFmt w:val="bullet"/>
      <w:lvlText w:val="•"/>
      <w:lvlJc w:val="left"/>
      <w:pPr>
        <w:ind w:left="493" w:hanging="360"/>
      </w:pPr>
      <w:rPr>
        <w:rFonts w:hint="default"/>
        <w:lang w:val="en-US" w:eastAsia="en-US" w:bidi="ar-SA"/>
      </w:rPr>
    </w:lvl>
    <w:lvl w:ilvl="7">
      <w:start w:val="0"/>
      <w:numFmt w:val="bullet"/>
      <w:lvlText w:val="•"/>
      <w:lvlJc w:val="left"/>
      <w:pPr>
        <w:ind w:left="304" w:hanging="360"/>
      </w:pPr>
      <w:rPr>
        <w:rFonts w:hint="default"/>
        <w:lang w:val="en-US" w:eastAsia="en-US" w:bidi="ar-SA"/>
      </w:rPr>
    </w:lvl>
    <w:lvl w:ilvl="8">
      <w:start w:val="0"/>
      <w:numFmt w:val="bullet"/>
      <w:lvlText w:val="•"/>
      <w:lvlJc w:val="left"/>
      <w:pPr>
        <w:ind w:left="114" w:hanging="360"/>
      </w:pPr>
      <w:rPr>
        <w:rFonts w:hint="default"/>
        <w:lang w:val="en-US" w:eastAsia="en-US" w:bidi="ar-SA"/>
      </w:rPr>
    </w:lvl>
  </w:abstractNum>
  <w:abstractNum w:abstractNumId="57">
    <w:multiLevelType w:val="hybridMultilevel"/>
    <w:lvl w:ilvl="0">
      <w:start w:val="1"/>
      <w:numFmt w:val="decimal"/>
      <w:lvlText w:val="%1."/>
      <w:lvlJc w:val="left"/>
      <w:pPr>
        <w:ind w:left="1484" w:hanging="405"/>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1"/>
      <w:numFmt w:val="decimal"/>
      <w:lvlText w:val="%1.%2"/>
      <w:lvlJc w:val="left"/>
      <w:pPr>
        <w:ind w:left="144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1440" w:hanging="360"/>
      </w:pPr>
      <w:rPr>
        <w:rFonts w:hint="default"/>
        <w:lang w:val="en-US" w:eastAsia="en-US" w:bidi="ar-SA"/>
      </w:rPr>
    </w:lvl>
    <w:lvl w:ilvl="3">
      <w:start w:val="0"/>
      <w:numFmt w:val="bullet"/>
      <w:lvlText w:val="•"/>
      <w:lvlJc w:val="left"/>
      <w:pPr>
        <w:ind w:left="1480" w:hanging="360"/>
      </w:pPr>
      <w:rPr>
        <w:rFonts w:hint="default"/>
        <w:lang w:val="en-US" w:eastAsia="en-US" w:bidi="ar-SA"/>
      </w:rPr>
    </w:lvl>
    <w:lvl w:ilvl="4">
      <w:start w:val="0"/>
      <w:numFmt w:val="bullet"/>
      <w:lvlText w:val="•"/>
      <w:lvlJc w:val="left"/>
      <w:pPr>
        <w:ind w:left="1262" w:hanging="360"/>
      </w:pPr>
      <w:rPr>
        <w:rFonts w:hint="default"/>
        <w:lang w:val="en-US" w:eastAsia="en-US" w:bidi="ar-SA"/>
      </w:rPr>
    </w:lvl>
    <w:lvl w:ilvl="5">
      <w:start w:val="0"/>
      <w:numFmt w:val="bullet"/>
      <w:lvlText w:val="•"/>
      <w:lvlJc w:val="left"/>
      <w:pPr>
        <w:ind w:left="1045" w:hanging="360"/>
      </w:pPr>
      <w:rPr>
        <w:rFonts w:hint="default"/>
        <w:lang w:val="en-US" w:eastAsia="en-US" w:bidi="ar-SA"/>
      </w:rPr>
    </w:lvl>
    <w:lvl w:ilvl="6">
      <w:start w:val="0"/>
      <w:numFmt w:val="bullet"/>
      <w:lvlText w:val="•"/>
      <w:lvlJc w:val="left"/>
      <w:pPr>
        <w:ind w:left="828" w:hanging="360"/>
      </w:pPr>
      <w:rPr>
        <w:rFonts w:hint="default"/>
        <w:lang w:val="en-US" w:eastAsia="en-US" w:bidi="ar-SA"/>
      </w:rPr>
    </w:lvl>
    <w:lvl w:ilvl="7">
      <w:start w:val="0"/>
      <w:numFmt w:val="bullet"/>
      <w:lvlText w:val="•"/>
      <w:lvlJc w:val="left"/>
      <w:pPr>
        <w:ind w:left="611" w:hanging="360"/>
      </w:pPr>
      <w:rPr>
        <w:rFonts w:hint="default"/>
        <w:lang w:val="en-US" w:eastAsia="en-US" w:bidi="ar-SA"/>
      </w:rPr>
    </w:lvl>
    <w:lvl w:ilvl="8">
      <w:start w:val="0"/>
      <w:numFmt w:val="bullet"/>
      <w:lvlText w:val="•"/>
      <w:lvlJc w:val="left"/>
      <w:pPr>
        <w:ind w:left="394" w:hanging="360"/>
      </w:pPr>
      <w:rPr>
        <w:rFonts w:hint="default"/>
        <w:lang w:val="en-US" w:eastAsia="en-US" w:bidi="ar-SA"/>
      </w:rPr>
    </w:lvl>
  </w:abstractNum>
  <w:abstractNum w:abstractNumId="56">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55">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275"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946" w:hanging="360"/>
      </w:pPr>
      <w:rPr>
        <w:rFonts w:hint="default"/>
        <w:lang w:val="en-US" w:eastAsia="en-US" w:bidi="ar-SA"/>
      </w:rPr>
    </w:lvl>
    <w:lvl w:ilvl="5">
      <w:start w:val="0"/>
      <w:numFmt w:val="bullet"/>
      <w:lvlText w:val="•"/>
      <w:lvlJc w:val="left"/>
      <w:pPr>
        <w:ind w:left="782" w:hanging="360"/>
      </w:pPr>
      <w:rPr>
        <w:rFonts w:hint="default"/>
        <w:lang w:val="en-US" w:eastAsia="en-US" w:bidi="ar-SA"/>
      </w:rPr>
    </w:lvl>
    <w:lvl w:ilvl="6">
      <w:start w:val="0"/>
      <w:numFmt w:val="bullet"/>
      <w:lvlText w:val="•"/>
      <w:lvlJc w:val="left"/>
      <w:pPr>
        <w:ind w:left="617" w:hanging="360"/>
      </w:pPr>
      <w:rPr>
        <w:rFonts w:hint="default"/>
        <w:lang w:val="en-US" w:eastAsia="en-US" w:bidi="ar-SA"/>
      </w:rPr>
    </w:lvl>
    <w:lvl w:ilvl="7">
      <w:start w:val="0"/>
      <w:numFmt w:val="bullet"/>
      <w:lvlText w:val="•"/>
      <w:lvlJc w:val="left"/>
      <w:pPr>
        <w:ind w:left="453" w:hanging="360"/>
      </w:pPr>
      <w:rPr>
        <w:rFonts w:hint="default"/>
        <w:lang w:val="en-US" w:eastAsia="en-US" w:bidi="ar-SA"/>
      </w:rPr>
    </w:lvl>
    <w:lvl w:ilvl="8">
      <w:start w:val="0"/>
      <w:numFmt w:val="bullet"/>
      <w:lvlText w:val="•"/>
      <w:lvlJc w:val="left"/>
      <w:pPr>
        <w:ind w:left="288" w:hanging="360"/>
      </w:pPr>
      <w:rPr>
        <w:rFonts w:hint="default"/>
        <w:lang w:val="en-US" w:eastAsia="en-US" w:bidi="ar-SA"/>
      </w:rPr>
    </w:lvl>
  </w:abstractNum>
  <w:abstractNum w:abstractNumId="54">
    <w:multiLevelType w:val="hybridMultilevel"/>
    <w:lvl w:ilvl="0">
      <w:start w:val="1"/>
      <w:numFmt w:val="lowerLetter"/>
      <w:lvlText w:val="%1)"/>
      <w:lvlJc w:val="left"/>
      <w:pPr>
        <w:ind w:left="679" w:hanging="360"/>
        <w:jc w:val="left"/>
      </w:pPr>
      <w:rPr>
        <w:rFonts w:hint="default" w:ascii="Times New Roman" w:hAnsi="Times New Roman" w:eastAsia="Times New Roman" w:cs="Times New Roman"/>
        <w:b w:val="0"/>
        <w:bCs w:val="0"/>
        <w:i w:val="0"/>
        <w:iCs w:val="0"/>
        <w:spacing w:val="0"/>
        <w:w w:val="93"/>
        <w:sz w:val="22"/>
        <w:szCs w:val="22"/>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53">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39"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39"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52">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51">
    <w:multiLevelType w:val="hybridMultilevel"/>
    <w:lvl w:ilvl="0">
      <w:start w:val="8"/>
      <w:numFmt w:val="decimal"/>
      <w:lvlText w:val="%1"/>
      <w:lvlJc w:val="left"/>
      <w:pPr>
        <w:ind w:left="1080" w:hanging="386"/>
        <w:jc w:val="left"/>
      </w:pPr>
      <w:rPr>
        <w:rFonts w:hint="default"/>
        <w:lang w:val="en-US" w:eastAsia="en-US" w:bidi="ar-SA"/>
      </w:rPr>
    </w:lvl>
    <w:lvl w:ilvl="1">
      <w:start w:val="1"/>
      <w:numFmt w:val="decimal"/>
      <w:lvlText w:val="%1.%2"/>
      <w:lvlJc w:val="left"/>
      <w:pPr>
        <w:ind w:left="1080" w:hanging="386"/>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255" w:hanging="360"/>
      </w:pPr>
      <w:rPr>
        <w:rFonts w:hint="default"/>
        <w:lang w:val="en-US" w:eastAsia="en-US" w:bidi="ar-SA"/>
      </w:rPr>
    </w:lvl>
    <w:lvl w:ilvl="4">
      <w:start w:val="0"/>
      <w:numFmt w:val="bullet"/>
      <w:lvlText w:val="•"/>
      <w:lvlJc w:val="left"/>
      <w:pPr>
        <w:ind w:left="1069" w:hanging="360"/>
      </w:pPr>
      <w:rPr>
        <w:rFonts w:hint="default"/>
        <w:lang w:val="en-US" w:eastAsia="en-US" w:bidi="ar-SA"/>
      </w:rPr>
    </w:lvl>
    <w:lvl w:ilvl="5">
      <w:start w:val="0"/>
      <w:numFmt w:val="bullet"/>
      <w:lvlText w:val="•"/>
      <w:lvlJc w:val="left"/>
      <w:pPr>
        <w:ind w:left="884" w:hanging="360"/>
      </w:pPr>
      <w:rPr>
        <w:rFonts w:hint="default"/>
        <w:lang w:val="en-US" w:eastAsia="en-US" w:bidi="ar-SA"/>
      </w:rPr>
    </w:lvl>
    <w:lvl w:ilvl="6">
      <w:start w:val="0"/>
      <w:numFmt w:val="bullet"/>
      <w:lvlText w:val="•"/>
      <w:lvlJc w:val="left"/>
      <w:pPr>
        <w:ind w:left="699" w:hanging="360"/>
      </w:pPr>
      <w:rPr>
        <w:rFonts w:hint="default"/>
        <w:lang w:val="en-US" w:eastAsia="en-US" w:bidi="ar-SA"/>
      </w:rPr>
    </w:lvl>
    <w:lvl w:ilvl="7">
      <w:start w:val="0"/>
      <w:numFmt w:val="bullet"/>
      <w:lvlText w:val="•"/>
      <w:lvlJc w:val="left"/>
      <w:pPr>
        <w:ind w:left="514" w:hanging="360"/>
      </w:pPr>
      <w:rPr>
        <w:rFonts w:hint="default"/>
        <w:lang w:val="en-US" w:eastAsia="en-US" w:bidi="ar-SA"/>
      </w:rPr>
    </w:lvl>
    <w:lvl w:ilvl="8">
      <w:start w:val="0"/>
      <w:numFmt w:val="bullet"/>
      <w:lvlText w:val="•"/>
      <w:lvlJc w:val="left"/>
      <w:pPr>
        <w:ind w:left="329" w:hanging="360"/>
      </w:pPr>
      <w:rPr>
        <w:rFonts w:hint="default"/>
        <w:lang w:val="en-US" w:eastAsia="en-US" w:bidi="ar-SA"/>
      </w:rPr>
    </w:lvl>
  </w:abstractNum>
  <w:abstractNum w:abstractNumId="50">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275"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946" w:hanging="360"/>
      </w:pPr>
      <w:rPr>
        <w:rFonts w:hint="default"/>
        <w:lang w:val="en-US" w:eastAsia="en-US" w:bidi="ar-SA"/>
      </w:rPr>
    </w:lvl>
    <w:lvl w:ilvl="5">
      <w:start w:val="0"/>
      <w:numFmt w:val="bullet"/>
      <w:lvlText w:val="•"/>
      <w:lvlJc w:val="left"/>
      <w:pPr>
        <w:ind w:left="782" w:hanging="360"/>
      </w:pPr>
      <w:rPr>
        <w:rFonts w:hint="default"/>
        <w:lang w:val="en-US" w:eastAsia="en-US" w:bidi="ar-SA"/>
      </w:rPr>
    </w:lvl>
    <w:lvl w:ilvl="6">
      <w:start w:val="0"/>
      <w:numFmt w:val="bullet"/>
      <w:lvlText w:val="•"/>
      <w:lvlJc w:val="left"/>
      <w:pPr>
        <w:ind w:left="617" w:hanging="360"/>
      </w:pPr>
      <w:rPr>
        <w:rFonts w:hint="default"/>
        <w:lang w:val="en-US" w:eastAsia="en-US" w:bidi="ar-SA"/>
      </w:rPr>
    </w:lvl>
    <w:lvl w:ilvl="7">
      <w:start w:val="0"/>
      <w:numFmt w:val="bullet"/>
      <w:lvlText w:val="•"/>
      <w:lvlJc w:val="left"/>
      <w:pPr>
        <w:ind w:left="453" w:hanging="360"/>
      </w:pPr>
      <w:rPr>
        <w:rFonts w:hint="default"/>
        <w:lang w:val="en-US" w:eastAsia="en-US" w:bidi="ar-SA"/>
      </w:rPr>
    </w:lvl>
    <w:lvl w:ilvl="8">
      <w:start w:val="0"/>
      <w:numFmt w:val="bullet"/>
      <w:lvlText w:val="•"/>
      <w:lvlJc w:val="left"/>
      <w:pPr>
        <w:ind w:left="288" w:hanging="360"/>
      </w:pPr>
      <w:rPr>
        <w:rFonts w:hint="default"/>
        <w:lang w:val="en-US" w:eastAsia="en-US" w:bidi="ar-SA"/>
      </w:rPr>
    </w:lvl>
  </w:abstractNum>
  <w:abstractNum w:abstractNumId="49">
    <w:multiLevelType w:val="hybridMultilevel"/>
    <w:lvl w:ilvl="0">
      <w:start w:val="5"/>
      <w:numFmt w:val="decimal"/>
      <w:lvlText w:val="%1"/>
      <w:lvlJc w:val="left"/>
      <w:pPr>
        <w:ind w:left="1080" w:hanging="421"/>
        <w:jc w:val="left"/>
      </w:pPr>
      <w:rPr>
        <w:rFonts w:hint="default"/>
        <w:lang w:val="en-US" w:eastAsia="en-US" w:bidi="ar-SA"/>
      </w:rPr>
    </w:lvl>
    <w:lvl w:ilvl="1">
      <w:start w:val="1"/>
      <w:numFmt w:val="decimal"/>
      <w:lvlText w:val="%1.%2"/>
      <w:lvlJc w:val="left"/>
      <w:pPr>
        <w:ind w:left="1080" w:hanging="421"/>
        <w:jc w:val="lef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780" w:hanging="320"/>
      </w:pPr>
      <w:rPr>
        <w:rFonts w:hint="default" w:ascii="Wingdings" w:hAnsi="Wingdings" w:eastAsia="Wingdings" w:cs="Wingdings"/>
        <w:b w:val="0"/>
        <w:bCs w:val="0"/>
        <w:i w:val="0"/>
        <w:iCs w:val="0"/>
        <w:spacing w:val="0"/>
        <w:w w:val="100"/>
        <w:sz w:val="16"/>
        <w:szCs w:val="16"/>
        <w:lang w:val="en-US" w:eastAsia="en-US" w:bidi="ar-SA"/>
      </w:rPr>
    </w:lvl>
    <w:lvl w:ilvl="4">
      <w:start w:val="0"/>
      <w:numFmt w:val="bullet"/>
      <w:lvlText w:val="•"/>
      <w:lvlJc w:val="left"/>
      <w:pPr>
        <w:ind w:left="2778" w:hanging="320"/>
      </w:pPr>
      <w:rPr>
        <w:rFonts w:hint="default"/>
        <w:lang w:val="en-US" w:eastAsia="en-US" w:bidi="ar-SA"/>
      </w:rPr>
    </w:lvl>
    <w:lvl w:ilvl="5">
      <w:start w:val="0"/>
      <w:numFmt w:val="bullet"/>
      <w:lvlText w:val="•"/>
      <w:lvlJc w:val="left"/>
      <w:pPr>
        <w:ind w:left="3277" w:hanging="320"/>
      </w:pPr>
      <w:rPr>
        <w:rFonts w:hint="default"/>
        <w:lang w:val="en-US" w:eastAsia="en-US" w:bidi="ar-SA"/>
      </w:rPr>
    </w:lvl>
    <w:lvl w:ilvl="6">
      <w:start w:val="0"/>
      <w:numFmt w:val="bullet"/>
      <w:lvlText w:val="•"/>
      <w:lvlJc w:val="left"/>
      <w:pPr>
        <w:ind w:left="3776" w:hanging="320"/>
      </w:pPr>
      <w:rPr>
        <w:rFonts w:hint="default"/>
        <w:lang w:val="en-US" w:eastAsia="en-US" w:bidi="ar-SA"/>
      </w:rPr>
    </w:lvl>
    <w:lvl w:ilvl="7">
      <w:start w:val="0"/>
      <w:numFmt w:val="bullet"/>
      <w:lvlText w:val="•"/>
      <w:lvlJc w:val="left"/>
      <w:pPr>
        <w:ind w:left="4275" w:hanging="320"/>
      </w:pPr>
      <w:rPr>
        <w:rFonts w:hint="default"/>
        <w:lang w:val="en-US" w:eastAsia="en-US" w:bidi="ar-SA"/>
      </w:rPr>
    </w:lvl>
    <w:lvl w:ilvl="8">
      <w:start w:val="0"/>
      <w:numFmt w:val="bullet"/>
      <w:lvlText w:val="•"/>
      <w:lvlJc w:val="left"/>
      <w:pPr>
        <w:ind w:left="4774" w:hanging="320"/>
      </w:pPr>
      <w:rPr>
        <w:rFonts w:hint="default"/>
        <w:lang w:val="en-US" w:eastAsia="en-US" w:bidi="ar-SA"/>
      </w:rPr>
    </w:lvl>
  </w:abstractNum>
  <w:abstractNum w:abstractNumId="48">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47">
    <w:multiLevelType w:val="hybridMultilevel"/>
    <w:lvl w:ilvl="0">
      <w:start w:val="3"/>
      <w:numFmt w:val="decimal"/>
      <w:lvlText w:val="%1"/>
      <w:lvlJc w:val="left"/>
      <w:pPr>
        <w:ind w:left="1080" w:hanging="366"/>
        <w:jc w:val="left"/>
      </w:pPr>
      <w:rPr>
        <w:rFonts w:hint="default"/>
        <w:lang w:val="en-US" w:eastAsia="en-US" w:bidi="ar-SA"/>
      </w:rPr>
    </w:lvl>
    <w:lvl w:ilvl="1">
      <w:start w:val="1"/>
      <w:numFmt w:val="decimal"/>
      <w:lvlText w:val="%1.%2"/>
      <w:lvlJc w:val="left"/>
      <w:pPr>
        <w:ind w:left="1080" w:hanging="366"/>
        <w:jc w:val="right"/>
      </w:pPr>
      <w:rPr>
        <w:rFonts w:hint="default"/>
        <w:spacing w:val="0"/>
        <w:w w:val="102"/>
        <w:lang w:val="en-US" w:eastAsia="en-US" w:bidi="ar-SA"/>
      </w:rPr>
    </w:lvl>
    <w:lvl w:ilvl="2">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831" w:hanging="360"/>
      </w:pPr>
      <w:rPr>
        <w:rFonts w:hint="default"/>
        <w:lang w:val="en-US" w:eastAsia="en-US" w:bidi="ar-SA"/>
      </w:rPr>
    </w:lvl>
    <w:lvl w:ilvl="4">
      <w:start w:val="0"/>
      <w:numFmt w:val="bullet"/>
      <w:lvlText w:val="•"/>
      <w:lvlJc w:val="left"/>
      <w:pPr>
        <w:ind w:left="706" w:hanging="360"/>
      </w:pPr>
      <w:rPr>
        <w:rFonts w:hint="default"/>
        <w:lang w:val="en-US" w:eastAsia="en-US" w:bidi="ar-SA"/>
      </w:rPr>
    </w:lvl>
    <w:lvl w:ilvl="5">
      <w:start w:val="0"/>
      <w:numFmt w:val="bullet"/>
      <w:lvlText w:val="•"/>
      <w:lvlJc w:val="left"/>
      <w:pPr>
        <w:ind w:left="582" w:hanging="360"/>
      </w:pPr>
      <w:rPr>
        <w:rFonts w:hint="default"/>
        <w:lang w:val="en-US" w:eastAsia="en-US" w:bidi="ar-SA"/>
      </w:rPr>
    </w:lvl>
    <w:lvl w:ilvl="6">
      <w:start w:val="0"/>
      <w:numFmt w:val="bullet"/>
      <w:lvlText w:val="•"/>
      <w:lvlJc w:val="left"/>
      <w:pPr>
        <w:ind w:left="457" w:hanging="360"/>
      </w:pPr>
      <w:rPr>
        <w:rFonts w:hint="default"/>
        <w:lang w:val="en-US" w:eastAsia="en-US" w:bidi="ar-SA"/>
      </w:rPr>
    </w:lvl>
    <w:lvl w:ilvl="7">
      <w:start w:val="0"/>
      <w:numFmt w:val="bullet"/>
      <w:lvlText w:val="•"/>
      <w:lvlJc w:val="left"/>
      <w:pPr>
        <w:ind w:left="333" w:hanging="360"/>
      </w:pPr>
      <w:rPr>
        <w:rFonts w:hint="default"/>
        <w:lang w:val="en-US" w:eastAsia="en-US" w:bidi="ar-SA"/>
      </w:rPr>
    </w:lvl>
    <w:lvl w:ilvl="8">
      <w:start w:val="0"/>
      <w:numFmt w:val="bullet"/>
      <w:lvlText w:val="•"/>
      <w:lvlJc w:val="left"/>
      <w:pPr>
        <w:ind w:left="208" w:hanging="360"/>
      </w:pPr>
      <w:rPr>
        <w:rFonts w:hint="default"/>
        <w:lang w:val="en-US" w:eastAsia="en-US" w:bidi="ar-SA"/>
      </w:rPr>
    </w:lvl>
  </w:abstractNum>
  <w:abstractNum w:abstractNumId="46">
    <w:multiLevelType w:val="hybridMultilevel"/>
    <w:lvl w:ilvl="0">
      <w:start w:val="2"/>
      <w:numFmt w:val="decimal"/>
      <w:lvlText w:val="%1"/>
      <w:lvlJc w:val="left"/>
      <w:pPr>
        <w:ind w:left="1080" w:hanging="381"/>
        <w:jc w:val="left"/>
      </w:pPr>
      <w:rPr>
        <w:rFonts w:hint="default"/>
        <w:lang w:val="en-US" w:eastAsia="en-US" w:bidi="ar-SA"/>
      </w:rPr>
    </w:lvl>
    <w:lvl w:ilvl="1">
      <w:start w:val="1"/>
      <w:numFmt w:val="decimal"/>
      <w:lvlText w:val="%1.%2"/>
      <w:lvlJc w:val="left"/>
      <w:pPr>
        <w:ind w:left="1080" w:hanging="381"/>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255" w:hanging="360"/>
      </w:pPr>
      <w:rPr>
        <w:rFonts w:hint="default"/>
        <w:lang w:val="en-US" w:eastAsia="en-US" w:bidi="ar-SA"/>
      </w:rPr>
    </w:lvl>
    <w:lvl w:ilvl="4">
      <w:start w:val="0"/>
      <w:numFmt w:val="bullet"/>
      <w:lvlText w:val="•"/>
      <w:lvlJc w:val="left"/>
      <w:pPr>
        <w:ind w:left="1070" w:hanging="360"/>
      </w:pPr>
      <w:rPr>
        <w:rFonts w:hint="default"/>
        <w:lang w:val="en-US" w:eastAsia="en-US" w:bidi="ar-SA"/>
      </w:rPr>
    </w:lvl>
    <w:lvl w:ilvl="5">
      <w:start w:val="0"/>
      <w:numFmt w:val="bullet"/>
      <w:lvlText w:val="•"/>
      <w:lvlJc w:val="left"/>
      <w:pPr>
        <w:ind w:left="885" w:hanging="360"/>
      </w:pPr>
      <w:rPr>
        <w:rFonts w:hint="default"/>
        <w:lang w:val="en-US" w:eastAsia="en-US" w:bidi="ar-SA"/>
      </w:rPr>
    </w:lvl>
    <w:lvl w:ilvl="6">
      <w:start w:val="0"/>
      <w:numFmt w:val="bullet"/>
      <w:lvlText w:val="•"/>
      <w:lvlJc w:val="left"/>
      <w:pPr>
        <w:ind w:left="700" w:hanging="360"/>
      </w:pPr>
      <w:rPr>
        <w:rFonts w:hint="default"/>
        <w:lang w:val="en-US" w:eastAsia="en-US" w:bidi="ar-SA"/>
      </w:rPr>
    </w:lvl>
    <w:lvl w:ilvl="7">
      <w:start w:val="0"/>
      <w:numFmt w:val="bullet"/>
      <w:lvlText w:val="•"/>
      <w:lvlJc w:val="left"/>
      <w:pPr>
        <w:ind w:left="515" w:hanging="360"/>
      </w:pPr>
      <w:rPr>
        <w:rFonts w:hint="default"/>
        <w:lang w:val="en-US" w:eastAsia="en-US" w:bidi="ar-SA"/>
      </w:rPr>
    </w:lvl>
    <w:lvl w:ilvl="8">
      <w:start w:val="0"/>
      <w:numFmt w:val="bullet"/>
      <w:lvlText w:val="•"/>
      <w:lvlJc w:val="left"/>
      <w:pPr>
        <w:ind w:left="330" w:hanging="360"/>
      </w:pPr>
      <w:rPr>
        <w:rFonts w:hint="default"/>
        <w:lang w:val="en-US" w:eastAsia="en-US" w:bidi="ar-SA"/>
      </w:rPr>
    </w:lvl>
  </w:abstractNum>
  <w:abstractNum w:abstractNumId="45">
    <w:multiLevelType w:val="hybridMultilevel"/>
    <w:lvl w:ilvl="0">
      <w:start w:val="0"/>
      <w:numFmt w:val="bullet"/>
      <w:lvlText w:val=""/>
      <w:lvlJc w:val="left"/>
      <w:pPr>
        <w:ind w:left="679" w:hanging="361"/>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1"/>
      </w:pPr>
      <w:rPr>
        <w:rFonts w:hint="default"/>
        <w:lang w:val="en-US" w:eastAsia="en-US" w:bidi="ar-SA"/>
      </w:rPr>
    </w:lvl>
    <w:lvl w:ilvl="2">
      <w:start w:val="0"/>
      <w:numFmt w:val="bullet"/>
      <w:lvlText w:val="•"/>
      <w:lvlJc w:val="left"/>
      <w:pPr>
        <w:ind w:left="1762" w:hanging="361"/>
      </w:pPr>
      <w:rPr>
        <w:rFonts w:hint="default"/>
        <w:lang w:val="en-US" w:eastAsia="en-US" w:bidi="ar-SA"/>
      </w:rPr>
    </w:lvl>
    <w:lvl w:ilvl="3">
      <w:start w:val="0"/>
      <w:numFmt w:val="bullet"/>
      <w:lvlText w:val="•"/>
      <w:lvlJc w:val="left"/>
      <w:pPr>
        <w:ind w:left="2303" w:hanging="361"/>
      </w:pPr>
      <w:rPr>
        <w:rFonts w:hint="default"/>
        <w:lang w:val="en-US" w:eastAsia="en-US" w:bidi="ar-SA"/>
      </w:rPr>
    </w:lvl>
    <w:lvl w:ilvl="4">
      <w:start w:val="0"/>
      <w:numFmt w:val="bullet"/>
      <w:lvlText w:val="•"/>
      <w:lvlJc w:val="left"/>
      <w:pPr>
        <w:ind w:left="2844" w:hanging="361"/>
      </w:pPr>
      <w:rPr>
        <w:rFonts w:hint="default"/>
        <w:lang w:val="en-US" w:eastAsia="en-US" w:bidi="ar-SA"/>
      </w:rPr>
    </w:lvl>
    <w:lvl w:ilvl="5">
      <w:start w:val="0"/>
      <w:numFmt w:val="bullet"/>
      <w:lvlText w:val="•"/>
      <w:lvlJc w:val="left"/>
      <w:pPr>
        <w:ind w:left="3386" w:hanging="361"/>
      </w:pPr>
      <w:rPr>
        <w:rFonts w:hint="default"/>
        <w:lang w:val="en-US" w:eastAsia="en-US" w:bidi="ar-SA"/>
      </w:rPr>
    </w:lvl>
    <w:lvl w:ilvl="6">
      <w:start w:val="0"/>
      <w:numFmt w:val="bullet"/>
      <w:lvlText w:val="•"/>
      <w:lvlJc w:val="left"/>
      <w:pPr>
        <w:ind w:left="3927" w:hanging="361"/>
      </w:pPr>
      <w:rPr>
        <w:rFonts w:hint="default"/>
        <w:lang w:val="en-US" w:eastAsia="en-US" w:bidi="ar-SA"/>
      </w:rPr>
    </w:lvl>
    <w:lvl w:ilvl="7">
      <w:start w:val="0"/>
      <w:numFmt w:val="bullet"/>
      <w:lvlText w:val="•"/>
      <w:lvlJc w:val="left"/>
      <w:pPr>
        <w:ind w:left="4468" w:hanging="361"/>
      </w:pPr>
      <w:rPr>
        <w:rFonts w:hint="default"/>
        <w:lang w:val="en-US" w:eastAsia="en-US" w:bidi="ar-SA"/>
      </w:rPr>
    </w:lvl>
    <w:lvl w:ilvl="8">
      <w:start w:val="0"/>
      <w:numFmt w:val="bullet"/>
      <w:lvlText w:val="•"/>
      <w:lvlJc w:val="left"/>
      <w:pPr>
        <w:ind w:left="5009" w:hanging="361"/>
      </w:pPr>
      <w:rPr>
        <w:rFonts w:hint="default"/>
        <w:lang w:val="en-US" w:eastAsia="en-US" w:bidi="ar-SA"/>
      </w:rPr>
    </w:lvl>
  </w:abstractNum>
  <w:abstractNum w:abstractNumId="44">
    <w:multiLevelType w:val="hybridMultilevel"/>
    <w:lvl w:ilvl="0">
      <w:start w:val="0"/>
      <w:numFmt w:val="bullet"/>
      <w:lvlText w:val=""/>
      <w:lvlJc w:val="left"/>
      <w:pPr>
        <w:ind w:left="1019" w:hanging="321"/>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275"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946" w:hanging="360"/>
      </w:pPr>
      <w:rPr>
        <w:rFonts w:hint="default"/>
        <w:lang w:val="en-US" w:eastAsia="en-US" w:bidi="ar-SA"/>
      </w:rPr>
    </w:lvl>
    <w:lvl w:ilvl="5">
      <w:start w:val="0"/>
      <w:numFmt w:val="bullet"/>
      <w:lvlText w:val="•"/>
      <w:lvlJc w:val="left"/>
      <w:pPr>
        <w:ind w:left="782" w:hanging="360"/>
      </w:pPr>
      <w:rPr>
        <w:rFonts w:hint="default"/>
        <w:lang w:val="en-US" w:eastAsia="en-US" w:bidi="ar-SA"/>
      </w:rPr>
    </w:lvl>
    <w:lvl w:ilvl="6">
      <w:start w:val="0"/>
      <w:numFmt w:val="bullet"/>
      <w:lvlText w:val="•"/>
      <w:lvlJc w:val="left"/>
      <w:pPr>
        <w:ind w:left="617" w:hanging="360"/>
      </w:pPr>
      <w:rPr>
        <w:rFonts w:hint="default"/>
        <w:lang w:val="en-US" w:eastAsia="en-US" w:bidi="ar-SA"/>
      </w:rPr>
    </w:lvl>
    <w:lvl w:ilvl="7">
      <w:start w:val="0"/>
      <w:numFmt w:val="bullet"/>
      <w:lvlText w:val="•"/>
      <w:lvlJc w:val="left"/>
      <w:pPr>
        <w:ind w:left="453" w:hanging="360"/>
      </w:pPr>
      <w:rPr>
        <w:rFonts w:hint="default"/>
        <w:lang w:val="en-US" w:eastAsia="en-US" w:bidi="ar-SA"/>
      </w:rPr>
    </w:lvl>
    <w:lvl w:ilvl="8">
      <w:start w:val="0"/>
      <w:numFmt w:val="bullet"/>
      <w:lvlText w:val="•"/>
      <w:lvlJc w:val="left"/>
      <w:pPr>
        <w:ind w:left="288" w:hanging="360"/>
      </w:pPr>
      <w:rPr>
        <w:rFonts w:hint="default"/>
        <w:lang w:val="en-US" w:eastAsia="en-US" w:bidi="ar-SA"/>
      </w:rPr>
    </w:lvl>
  </w:abstractNum>
  <w:abstractNum w:abstractNumId="43">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30">
    <w:multiLevelType w:val="hybridMultilevel"/>
    <w:lvl w:ilvl="0">
      <w:start w:val="1"/>
      <w:numFmt w:val="lowerRoman"/>
      <w:lvlText w:val="(%1)"/>
      <w:lvlJc w:val="left"/>
      <w:pPr>
        <w:ind w:left="1440" w:hanging="360"/>
        <w:jc w:val="left"/>
      </w:pPr>
      <w:rPr>
        <w:rFonts w:hint="default" w:ascii="Times New Roman" w:hAnsi="Times New Roman" w:eastAsia="Times New Roman" w:cs="Times New Roman"/>
        <w:b w:val="0"/>
        <w:bCs w:val="0"/>
        <w:i w:val="0"/>
        <w:iCs w:val="0"/>
        <w:spacing w:val="0"/>
        <w:w w:val="95"/>
        <w:sz w:val="22"/>
        <w:szCs w:val="22"/>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27">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28">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42">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019" w:hanging="321"/>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583" w:hanging="321"/>
      </w:pPr>
      <w:rPr>
        <w:rFonts w:hint="default"/>
        <w:lang w:val="en-US" w:eastAsia="en-US" w:bidi="ar-SA"/>
      </w:rPr>
    </w:lvl>
    <w:lvl w:ilvl="3">
      <w:start w:val="0"/>
      <w:numFmt w:val="bullet"/>
      <w:lvlText w:val="•"/>
      <w:lvlJc w:val="left"/>
      <w:pPr>
        <w:ind w:left="2147" w:hanging="321"/>
      </w:pPr>
      <w:rPr>
        <w:rFonts w:hint="default"/>
        <w:lang w:val="en-US" w:eastAsia="en-US" w:bidi="ar-SA"/>
      </w:rPr>
    </w:lvl>
    <w:lvl w:ilvl="4">
      <w:start w:val="0"/>
      <w:numFmt w:val="bullet"/>
      <w:lvlText w:val="•"/>
      <w:lvlJc w:val="left"/>
      <w:pPr>
        <w:ind w:left="2710" w:hanging="321"/>
      </w:pPr>
      <w:rPr>
        <w:rFonts w:hint="default"/>
        <w:lang w:val="en-US" w:eastAsia="en-US" w:bidi="ar-SA"/>
      </w:rPr>
    </w:lvl>
    <w:lvl w:ilvl="5">
      <w:start w:val="0"/>
      <w:numFmt w:val="bullet"/>
      <w:lvlText w:val="•"/>
      <w:lvlJc w:val="left"/>
      <w:pPr>
        <w:ind w:left="3274" w:hanging="321"/>
      </w:pPr>
      <w:rPr>
        <w:rFonts w:hint="default"/>
        <w:lang w:val="en-US" w:eastAsia="en-US" w:bidi="ar-SA"/>
      </w:rPr>
    </w:lvl>
    <w:lvl w:ilvl="6">
      <w:start w:val="0"/>
      <w:numFmt w:val="bullet"/>
      <w:lvlText w:val="•"/>
      <w:lvlJc w:val="left"/>
      <w:pPr>
        <w:ind w:left="3837" w:hanging="321"/>
      </w:pPr>
      <w:rPr>
        <w:rFonts w:hint="default"/>
        <w:lang w:val="en-US" w:eastAsia="en-US" w:bidi="ar-SA"/>
      </w:rPr>
    </w:lvl>
    <w:lvl w:ilvl="7">
      <w:start w:val="0"/>
      <w:numFmt w:val="bullet"/>
      <w:lvlText w:val="•"/>
      <w:lvlJc w:val="left"/>
      <w:pPr>
        <w:ind w:left="4401" w:hanging="321"/>
      </w:pPr>
      <w:rPr>
        <w:rFonts w:hint="default"/>
        <w:lang w:val="en-US" w:eastAsia="en-US" w:bidi="ar-SA"/>
      </w:rPr>
    </w:lvl>
    <w:lvl w:ilvl="8">
      <w:start w:val="0"/>
      <w:numFmt w:val="bullet"/>
      <w:lvlText w:val="•"/>
      <w:lvlJc w:val="left"/>
      <w:pPr>
        <w:ind w:left="4964" w:hanging="321"/>
      </w:pPr>
      <w:rPr>
        <w:rFonts w:hint="default"/>
        <w:lang w:val="en-US" w:eastAsia="en-US" w:bidi="ar-SA"/>
      </w:rPr>
    </w:lvl>
  </w:abstractNum>
  <w:abstractNum w:abstractNumId="41">
    <w:multiLevelType w:val="hybridMultilevel"/>
    <w:lvl w:ilvl="0">
      <w:start w:val="8"/>
      <w:numFmt w:val="decimal"/>
      <w:lvlText w:val="%1"/>
      <w:lvlJc w:val="left"/>
      <w:pPr>
        <w:ind w:left="1080" w:hanging="326"/>
        <w:jc w:val="left"/>
      </w:pPr>
      <w:rPr>
        <w:rFonts w:hint="default"/>
        <w:lang w:val="en-US" w:eastAsia="en-US" w:bidi="ar-SA"/>
      </w:rPr>
    </w:lvl>
    <w:lvl w:ilvl="1">
      <w:start w:val="1"/>
      <w:numFmt w:val="decimal"/>
      <w:lvlText w:val="%1.%2"/>
      <w:lvlJc w:val="left"/>
      <w:pPr>
        <w:ind w:left="1080" w:hanging="326"/>
        <w:jc w:val="lef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2403" w:hanging="360"/>
      </w:pPr>
      <w:rPr>
        <w:rFonts w:hint="default"/>
        <w:lang w:val="en-US" w:eastAsia="en-US" w:bidi="ar-SA"/>
      </w:rPr>
    </w:lvl>
    <w:lvl w:ilvl="4">
      <w:start w:val="0"/>
      <w:numFmt w:val="bullet"/>
      <w:lvlText w:val="•"/>
      <w:lvlJc w:val="left"/>
      <w:pPr>
        <w:ind w:left="2884" w:hanging="360"/>
      </w:pPr>
      <w:rPr>
        <w:rFonts w:hint="default"/>
        <w:lang w:val="en-US" w:eastAsia="en-US" w:bidi="ar-SA"/>
      </w:rPr>
    </w:lvl>
    <w:lvl w:ilvl="5">
      <w:start w:val="0"/>
      <w:numFmt w:val="bullet"/>
      <w:lvlText w:val="•"/>
      <w:lvlJc w:val="left"/>
      <w:pPr>
        <w:ind w:left="3366" w:hanging="360"/>
      </w:pPr>
      <w:rPr>
        <w:rFonts w:hint="default"/>
        <w:lang w:val="en-US" w:eastAsia="en-US" w:bidi="ar-SA"/>
      </w:rPr>
    </w:lvl>
    <w:lvl w:ilvl="6">
      <w:start w:val="0"/>
      <w:numFmt w:val="bullet"/>
      <w:lvlText w:val="•"/>
      <w:lvlJc w:val="left"/>
      <w:pPr>
        <w:ind w:left="3847" w:hanging="360"/>
      </w:pPr>
      <w:rPr>
        <w:rFonts w:hint="default"/>
        <w:lang w:val="en-US" w:eastAsia="en-US" w:bidi="ar-SA"/>
      </w:rPr>
    </w:lvl>
    <w:lvl w:ilvl="7">
      <w:start w:val="0"/>
      <w:numFmt w:val="bullet"/>
      <w:lvlText w:val="•"/>
      <w:lvlJc w:val="left"/>
      <w:pPr>
        <w:ind w:left="4328" w:hanging="360"/>
      </w:pPr>
      <w:rPr>
        <w:rFonts w:hint="default"/>
        <w:lang w:val="en-US" w:eastAsia="en-US" w:bidi="ar-SA"/>
      </w:rPr>
    </w:lvl>
    <w:lvl w:ilvl="8">
      <w:start w:val="0"/>
      <w:numFmt w:val="bullet"/>
      <w:lvlText w:val="•"/>
      <w:lvlJc w:val="left"/>
      <w:pPr>
        <w:ind w:left="4810" w:hanging="360"/>
      </w:pPr>
      <w:rPr>
        <w:rFonts w:hint="default"/>
        <w:lang w:val="en-US" w:eastAsia="en-US" w:bidi="ar-SA"/>
      </w:rPr>
    </w:lvl>
  </w:abstractNum>
  <w:abstractNum w:abstractNumId="40">
    <w:multiLevelType w:val="hybridMultilevel"/>
    <w:lvl w:ilvl="0">
      <w:start w:val="7"/>
      <w:numFmt w:val="decimal"/>
      <w:lvlText w:val="%1"/>
      <w:lvlJc w:val="left"/>
      <w:pPr>
        <w:ind w:left="319" w:hanging="327"/>
        <w:jc w:val="left"/>
      </w:pPr>
      <w:rPr>
        <w:rFonts w:hint="default"/>
        <w:lang w:val="en-US" w:eastAsia="en-US" w:bidi="ar-SA"/>
      </w:rPr>
    </w:lvl>
    <w:lvl w:ilvl="1">
      <w:start w:val="1"/>
      <w:numFmt w:val="decimal"/>
      <w:lvlText w:val="%1.%2"/>
      <w:lvlJc w:val="left"/>
      <w:pPr>
        <w:ind w:left="319" w:hanging="327"/>
        <w:jc w:val="lef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1474" w:hanging="327"/>
      </w:pPr>
      <w:rPr>
        <w:rFonts w:hint="default"/>
        <w:lang w:val="en-US" w:eastAsia="en-US" w:bidi="ar-SA"/>
      </w:rPr>
    </w:lvl>
    <w:lvl w:ilvl="3">
      <w:start w:val="0"/>
      <w:numFmt w:val="bullet"/>
      <w:lvlText w:val="•"/>
      <w:lvlJc w:val="left"/>
      <w:pPr>
        <w:ind w:left="2051" w:hanging="327"/>
      </w:pPr>
      <w:rPr>
        <w:rFonts w:hint="default"/>
        <w:lang w:val="en-US" w:eastAsia="en-US" w:bidi="ar-SA"/>
      </w:rPr>
    </w:lvl>
    <w:lvl w:ilvl="4">
      <w:start w:val="0"/>
      <w:numFmt w:val="bullet"/>
      <w:lvlText w:val="•"/>
      <w:lvlJc w:val="left"/>
      <w:pPr>
        <w:ind w:left="2628" w:hanging="327"/>
      </w:pPr>
      <w:rPr>
        <w:rFonts w:hint="default"/>
        <w:lang w:val="en-US" w:eastAsia="en-US" w:bidi="ar-SA"/>
      </w:rPr>
    </w:lvl>
    <w:lvl w:ilvl="5">
      <w:start w:val="0"/>
      <w:numFmt w:val="bullet"/>
      <w:lvlText w:val="•"/>
      <w:lvlJc w:val="left"/>
      <w:pPr>
        <w:ind w:left="3206" w:hanging="327"/>
      </w:pPr>
      <w:rPr>
        <w:rFonts w:hint="default"/>
        <w:lang w:val="en-US" w:eastAsia="en-US" w:bidi="ar-SA"/>
      </w:rPr>
    </w:lvl>
    <w:lvl w:ilvl="6">
      <w:start w:val="0"/>
      <w:numFmt w:val="bullet"/>
      <w:lvlText w:val="•"/>
      <w:lvlJc w:val="left"/>
      <w:pPr>
        <w:ind w:left="3783" w:hanging="327"/>
      </w:pPr>
      <w:rPr>
        <w:rFonts w:hint="default"/>
        <w:lang w:val="en-US" w:eastAsia="en-US" w:bidi="ar-SA"/>
      </w:rPr>
    </w:lvl>
    <w:lvl w:ilvl="7">
      <w:start w:val="0"/>
      <w:numFmt w:val="bullet"/>
      <w:lvlText w:val="•"/>
      <w:lvlJc w:val="left"/>
      <w:pPr>
        <w:ind w:left="4360" w:hanging="327"/>
      </w:pPr>
      <w:rPr>
        <w:rFonts w:hint="default"/>
        <w:lang w:val="en-US" w:eastAsia="en-US" w:bidi="ar-SA"/>
      </w:rPr>
    </w:lvl>
    <w:lvl w:ilvl="8">
      <w:start w:val="0"/>
      <w:numFmt w:val="bullet"/>
      <w:lvlText w:val="•"/>
      <w:lvlJc w:val="left"/>
      <w:pPr>
        <w:ind w:left="4937" w:hanging="327"/>
      </w:pPr>
      <w:rPr>
        <w:rFonts w:hint="default"/>
        <w:lang w:val="en-US" w:eastAsia="en-US" w:bidi="ar-SA"/>
      </w:rPr>
    </w:lvl>
  </w:abstractNum>
  <w:abstractNum w:abstractNumId="39">
    <w:multiLevelType w:val="hybridMultilevel"/>
    <w:lvl w:ilvl="0">
      <w:start w:val="6"/>
      <w:numFmt w:val="decimal"/>
      <w:lvlText w:val="%1"/>
      <w:lvlJc w:val="left"/>
      <w:pPr>
        <w:ind w:left="319" w:hanging="351"/>
        <w:jc w:val="left"/>
      </w:pPr>
      <w:rPr>
        <w:rFonts w:hint="default"/>
        <w:lang w:val="en-US" w:eastAsia="en-US" w:bidi="ar-SA"/>
      </w:rPr>
    </w:lvl>
    <w:lvl w:ilvl="1">
      <w:start w:val="1"/>
      <w:numFmt w:val="decimal"/>
      <w:lvlText w:val="%1.%2"/>
      <w:lvlJc w:val="left"/>
      <w:pPr>
        <w:ind w:left="319" w:hanging="351"/>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1474" w:hanging="351"/>
      </w:pPr>
      <w:rPr>
        <w:rFonts w:hint="default"/>
        <w:lang w:val="en-US" w:eastAsia="en-US" w:bidi="ar-SA"/>
      </w:rPr>
    </w:lvl>
    <w:lvl w:ilvl="3">
      <w:start w:val="0"/>
      <w:numFmt w:val="bullet"/>
      <w:lvlText w:val="•"/>
      <w:lvlJc w:val="left"/>
      <w:pPr>
        <w:ind w:left="2051" w:hanging="351"/>
      </w:pPr>
      <w:rPr>
        <w:rFonts w:hint="default"/>
        <w:lang w:val="en-US" w:eastAsia="en-US" w:bidi="ar-SA"/>
      </w:rPr>
    </w:lvl>
    <w:lvl w:ilvl="4">
      <w:start w:val="0"/>
      <w:numFmt w:val="bullet"/>
      <w:lvlText w:val="•"/>
      <w:lvlJc w:val="left"/>
      <w:pPr>
        <w:ind w:left="2628" w:hanging="351"/>
      </w:pPr>
      <w:rPr>
        <w:rFonts w:hint="default"/>
        <w:lang w:val="en-US" w:eastAsia="en-US" w:bidi="ar-SA"/>
      </w:rPr>
    </w:lvl>
    <w:lvl w:ilvl="5">
      <w:start w:val="0"/>
      <w:numFmt w:val="bullet"/>
      <w:lvlText w:val="•"/>
      <w:lvlJc w:val="left"/>
      <w:pPr>
        <w:ind w:left="3206" w:hanging="351"/>
      </w:pPr>
      <w:rPr>
        <w:rFonts w:hint="default"/>
        <w:lang w:val="en-US" w:eastAsia="en-US" w:bidi="ar-SA"/>
      </w:rPr>
    </w:lvl>
    <w:lvl w:ilvl="6">
      <w:start w:val="0"/>
      <w:numFmt w:val="bullet"/>
      <w:lvlText w:val="•"/>
      <w:lvlJc w:val="left"/>
      <w:pPr>
        <w:ind w:left="3783" w:hanging="351"/>
      </w:pPr>
      <w:rPr>
        <w:rFonts w:hint="default"/>
        <w:lang w:val="en-US" w:eastAsia="en-US" w:bidi="ar-SA"/>
      </w:rPr>
    </w:lvl>
    <w:lvl w:ilvl="7">
      <w:start w:val="0"/>
      <w:numFmt w:val="bullet"/>
      <w:lvlText w:val="•"/>
      <w:lvlJc w:val="left"/>
      <w:pPr>
        <w:ind w:left="4360" w:hanging="351"/>
      </w:pPr>
      <w:rPr>
        <w:rFonts w:hint="default"/>
        <w:lang w:val="en-US" w:eastAsia="en-US" w:bidi="ar-SA"/>
      </w:rPr>
    </w:lvl>
    <w:lvl w:ilvl="8">
      <w:start w:val="0"/>
      <w:numFmt w:val="bullet"/>
      <w:lvlText w:val="•"/>
      <w:lvlJc w:val="left"/>
      <w:pPr>
        <w:ind w:left="4937" w:hanging="351"/>
      </w:pPr>
      <w:rPr>
        <w:rFonts w:hint="default"/>
        <w:lang w:val="en-US" w:eastAsia="en-US" w:bidi="ar-SA"/>
      </w:rPr>
    </w:lvl>
  </w:abstractNum>
  <w:abstractNum w:abstractNumId="38">
    <w:multiLevelType w:val="hybridMultilevel"/>
    <w:lvl w:ilvl="0">
      <w:start w:val="5"/>
      <w:numFmt w:val="decimal"/>
      <w:lvlText w:val="%1"/>
      <w:lvlJc w:val="left"/>
      <w:pPr>
        <w:ind w:left="319" w:hanging="332"/>
        <w:jc w:val="left"/>
      </w:pPr>
      <w:rPr>
        <w:rFonts w:hint="default"/>
        <w:lang w:val="en-US" w:eastAsia="en-US" w:bidi="ar-SA"/>
      </w:rPr>
    </w:lvl>
    <w:lvl w:ilvl="1">
      <w:start w:val="1"/>
      <w:numFmt w:val="decimal"/>
      <w:lvlText w:val="%1.%2"/>
      <w:lvlJc w:val="left"/>
      <w:pPr>
        <w:ind w:left="319" w:hanging="332"/>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1474" w:hanging="332"/>
      </w:pPr>
      <w:rPr>
        <w:rFonts w:hint="default"/>
        <w:lang w:val="en-US" w:eastAsia="en-US" w:bidi="ar-SA"/>
      </w:rPr>
    </w:lvl>
    <w:lvl w:ilvl="3">
      <w:start w:val="0"/>
      <w:numFmt w:val="bullet"/>
      <w:lvlText w:val="•"/>
      <w:lvlJc w:val="left"/>
      <w:pPr>
        <w:ind w:left="2051" w:hanging="332"/>
      </w:pPr>
      <w:rPr>
        <w:rFonts w:hint="default"/>
        <w:lang w:val="en-US" w:eastAsia="en-US" w:bidi="ar-SA"/>
      </w:rPr>
    </w:lvl>
    <w:lvl w:ilvl="4">
      <w:start w:val="0"/>
      <w:numFmt w:val="bullet"/>
      <w:lvlText w:val="•"/>
      <w:lvlJc w:val="left"/>
      <w:pPr>
        <w:ind w:left="2628" w:hanging="332"/>
      </w:pPr>
      <w:rPr>
        <w:rFonts w:hint="default"/>
        <w:lang w:val="en-US" w:eastAsia="en-US" w:bidi="ar-SA"/>
      </w:rPr>
    </w:lvl>
    <w:lvl w:ilvl="5">
      <w:start w:val="0"/>
      <w:numFmt w:val="bullet"/>
      <w:lvlText w:val="•"/>
      <w:lvlJc w:val="left"/>
      <w:pPr>
        <w:ind w:left="3206" w:hanging="332"/>
      </w:pPr>
      <w:rPr>
        <w:rFonts w:hint="default"/>
        <w:lang w:val="en-US" w:eastAsia="en-US" w:bidi="ar-SA"/>
      </w:rPr>
    </w:lvl>
    <w:lvl w:ilvl="6">
      <w:start w:val="0"/>
      <w:numFmt w:val="bullet"/>
      <w:lvlText w:val="•"/>
      <w:lvlJc w:val="left"/>
      <w:pPr>
        <w:ind w:left="3783" w:hanging="332"/>
      </w:pPr>
      <w:rPr>
        <w:rFonts w:hint="default"/>
        <w:lang w:val="en-US" w:eastAsia="en-US" w:bidi="ar-SA"/>
      </w:rPr>
    </w:lvl>
    <w:lvl w:ilvl="7">
      <w:start w:val="0"/>
      <w:numFmt w:val="bullet"/>
      <w:lvlText w:val="•"/>
      <w:lvlJc w:val="left"/>
      <w:pPr>
        <w:ind w:left="4360" w:hanging="332"/>
      </w:pPr>
      <w:rPr>
        <w:rFonts w:hint="default"/>
        <w:lang w:val="en-US" w:eastAsia="en-US" w:bidi="ar-SA"/>
      </w:rPr>
    </w:lvl>
    <w:lvl w:ilvl="8">
      <w:start w:val="0"/>
      <w:numFmt w:val="bullet"/>
      <w:lvlText w:val="•"/>
      <w:lvlJc w:val="left"/>
      <w:pPr>
        <w:ind w:left="4937" w:hanging="332"/>
      </w:pPr>
      <w:rPr>
        <w:rFonts w:hint="default"/>
        <w:lang w:val="en-US" w:eastAsia="en-US" w:bidi="ar-SA"/>
      </w:rPr>
    </w:lvl>
  </w:abstractNum>
  <w:abstractNum w:abstractNumId="37">
    <w:multiLevelType w:val="hybridMultilevel"/>
    <w:lvl w:ilvl="0">
      <w:start w:val="4"/>
      <w:numFmt w:val="decimal"/>
      <w:lvlText w:val="%1"/>
      <w:lvlJc w:val="left"/>
      <w:pPr>
        <w:ind w:left="1080" w:hanging="381"/>
        <w:jc w:val="left"/>
      </w:pPr>
      <w:rPr>
        <w:rFonts w:hint="default"/>
        <w:lang w:val="en-US" w:eastAsia="en-US" w:bidi="ar-SA"/>
      </w:rPr>
    </w:lvl>
    <w:lvl w:ilvl="1">
      <w:start w:val="1"/>
      <w:numFmt w:val="decimal"/>
      <w:lvlText w:val="%1.%2"/>
      <w:lvlJc w:val="left"/>
      <w:pPr>
        <w:ind w:left="1080" w:hanging="381"/>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2018" w:hanging="381"/>
      </w:pPr>
      <w:rPr>
        <w:rFonts w:hint="default"/>
        <w:lang w:val="en-US" w:eastAsia="en-US" w:bidi="ar-SA"/>
      </w:rPr>
    </w:lvl>
    <w:lvl w:ilvl="3">
      <w:start w:val="0"/>
      <w:numFmt w:val="bullet"/>
      <w:lvlText w:val="•"/>
      <w:lvlJc w:val="left"/>
      <w:pPr>
        <w:ind w:left="2488" w:hanging="381"/>
      </w:pPr>
      <w:rPr>
        <w:rFonts w:hint="default"/>
        <w:lang w:val="en-US" w:eastAsia="en-US" w:bidi="ar-SA"/>
      </w:rPr>
    </w:lvl>
    <w:lvl w:ilvl="4">
      <w:start w:val="0"/>
      <w:numFmt w:val="bullet"/>
      <w:lvlText w:val="•"/>
      <w:lvlJc w:val="left"/>
      <w:pPr>
        <w:ind w:left="2957" w:hanging="381"/>
      </w:pPr>
      <w:rPr>
        <w:rFonts w:hint="default"/>
        <w:lang w:val="en-US" w:eastAsia="en-US" w:bidi="ar-SA"/>
      </w:rPr>
    </w:lvl>
    <w:lvl w:ilvl="5">
      <w:start w:val="0"/>
      <w:numFmt w:val="bullet"/>
      <w:lvlText w:val="•"/>
      <w:lvlJc w:val="left"/>
      <w:pPr>
        <w:ind w:left="3426" w:hanging="381"/>
      </w:pPr>
      <w:rPr>
        <w:rFonts w:hint="default"/>
        <w:lang w:val="en-US" w:eastAsia="en-US" w:bidi="ar-SA"/>
      </w:rPr>
    </w:lvl>
    <w:lvl w:ilvl="6">
      <w:start w:val="0"/>
      <w:numFmt w:val="bullet"/>
      <w:lvlText w:val="•"/>
      <w:lvlJc w:val="left"/>
      <w:pPr>
        <w:ind w:left="3896" w:hanging="381"/>
      </w:pPr>
      <w:rPr>
        <w:rFonts w:hint="default"/>
        <w:lang w:val="en-US" w:eastAsia="en-US" w:bidi="ar-SA"/>
      </w:rPr>
    </w:lvl>
    <w:lvl w:ilvl="7">
      <w:start w:val="0"/>
      <w:numFmt w:val="bullet"/>
      <w:lvlText w:val="•"/>
      <w:lvlJc w:val="left"/>
      <w:pPr>
        <w:ind w:left="4365" w:hanging="381"/>
      </w:pPr>
      <w:rPr>
        <w:rFonts w:hint="default"/>
        <w:lang w:val="en-US" w:eastAsia="en-US" w:bidi="ar-SA"/>
      </w:rPr>
    </w:lvl>
    <w:lvl w:ilvl="8">
      <w:start w:val="0"/>
      <w:numFmt w:val="bullet"/>
      <w:lvlText w:val="•"/>
      <w:lvlJc w:val="left"/>
      <w:pPr>
        <w:ind w:left="4834" w:hanging="381"/>
      </w:pPr>
      <w:rPr>
        <w:rFonts w:hint="default"/>
        <w:lang w:val="en-US" w:eastAsia="en-US" w:bidi="ar-SA"/>
      </w:rPr>
    </w:lvl>
  </w:abstractNum>
  <w:abstractNum w:abstractNumId="36">
    <w:multiLevelType w:val="hybridMultilevel"/>
    <w:lvl w:ilvl="0">
      <w:start w:val="3"/>
      <w:numFmt w:val="decimal"/>
      <w:lvlText w:val="%1"/>
      <w:lvlJc w:val="left"/>
      <w:pPr>
        <w:ind w:left="1080" w:hanging="361"/>
        <w:jc w:val="left"/>
      </w:pPr>
      <w:rPr>
        <w:rFonts w:hint="default"/>
        <w:lang w:val="en-US" w:eastAsia="en-US" w:bidi="ar-SA"/>
      </w:rPr>
    </w:lvl>
    <w:lvl w:ilvl="1">
      <w:start w:val="1"/>
      <w:numFmt w:val="decimal"/>
      <w:lvlText w:val="%1.%2"/>
      <w:lvlJc w:val="left"/>
      <w:pPr>
        <w:ind w:left="1080" w:hanging="361"/>
        <w:jc w:val="right"/>
      </w:pPr>
      <w:rPr>
        <w:rFonts w:hint="default"/>
        <w:spacing w:val="0"/>
        <w:w w:val="102"/>
        <w:lang w:val="en-US" w:eastAsia="en-US" w:bidi="ar-SA"/>
      </w:rPr>
    </w:lvl>
    <w:lvl w:ilvl="2">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4">
      <w:start w:val="0"/>
      <w:numFmt w:val="bullet"/>
      <w:lvlText w:val="•"/>
      <w:lvlJc w:val="left"/>
      <w:pPr>
        <w:ind w:left="1070" w:hanging="360"/>
      </w:pPr>
      <w:rPr>
        <w:rFonts w:hint="default"/>
        <w:lang w:val="en-US" w:eastAsia="en-US" w:bidi="ar-SA"/>
      </w:rPr>
    </w:lvl>
    <w:lvl w:ilvl="5">
      <w:start w:val="0"/>
      <w:numFmt w:val="bullet"/>
      <w:lvlText w:val="•"/>
      <w:lvlJc w:val="left"/>
      <w:pPr>
        <w:ind w:left="885" w:hanging="360"/>
      </w:pPr>
      <w:rPr>
        <w:rFonts w:hint="default"/>
        <w:lang w:val="en-US" w:eastAsia="en-US" w:bidi="ar-SA"/>
      </w:rPr>
    </w:lvl>
    <w:lvl w:ilvl="6">
      <w:start w:val="0"/>
      <w:numFmt w:val="bullet"/>
      <w:lvlText w:val="•"/>
      <w:lvlJc w:val="left"/>
      <w:pPr>
        <w:ind w:left="700" w:hanging="360"/>
      </w:pPr>
      <w:rPr>
        <w:rFonts w:hint="default"/>
        <w:lang w:val="en-US" w:eastAsia="en-US" w:bidi="ar-SA"/>
      </w:rPr>
    </w:lvl>
    <w:lvl w:ilvl="7">
      <w:start w:val="0"/>
      <w:numFmt w:val="bullet"/>
      <w:lvlText w:val="•"/>
      <w:lvlJc w:val="left"/>
      <w:pPr>
        <w:ind w:left="515" w:hanging="360"/>
      </w:pPr>
      <w:rPr>
        <w:rFonts w:hint="default"/>
        <w:lang w:val="en-US" w:eastAsia="en-US" w:bidi="ar-SA"/>
      </w:rPr>
    </w:lvl>
    <w:lvl w:ilvl="8">
      <w:start w:val="0"/>
      <w:numFmt w:val="bullet"/>
      <w:lvlText w:val="•"/>
      <w:lvlJc w:val="left"/>
      <w:pPr>
        <w:ind w:left="330" w:hanging="360"/>
      </w:pPr>
      <w:rPr>
        <w:rFonts w:hint="default"/>
        <w:lang w:val="en-US" w:eastAsia="en-US" w:bidi="ar-SA"/>
      </w:rPr>
    </w:lvl>
  </w:abstractNum>
  <w:abstractNum w:abstractNumId="35">
    <w:multiLevelType w:val="hybridMultilevel"/>
    <w:lvl w:ilvl="0">
      <w:start w:val="2"/>
      <w:numFmt w:val="decimal"/>
      <w:lvlText w:val="%1"/>
      <w:lvlJc w:val="left"/>
      <w:pPr>
        <w:ind w:left="1080" w:hanging="345"/>
        <w:jc w:val="left"/>
      </w:pPr>
      <w:rPr>
        <w:rFonts w:hint="default"/>
        <w:lang w:val="en-US" w:eastAsia="en-US" w:bidi="ar-SA"/>
      </w:rPr>
    </w:lvl>
    <w:lvl w:ilvl="1">
      <w:start w:val="1"/>
      <w:numFmt w:val="decimal"/>
      <w:lvlText w:val="%1.%2"/>
      <w:lvlJc w:val="left"/>
      <w:pPr>
        <w:ind w:left="1080" w:hanging="345"/>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2018" w:hanging="345"/>
      </w:pPr>
      <w:rPr>
        <w:rFonts w:hint="default"/>
        <w:lang w:val="en-US" w:eastAsia="en-US" w:bidi="ar-SA"/>
      </w:rPr>
    </w:lvl>
    <w:lvl w:ilvl="3">
      <w:start w:val="0"/>
      <w:numFmt w:val="bullet"/>
      <w:lvlText w:val="•"/>
      <w:lvlJc w:val="left"/>
      <w:pPr>
        <w:ind w:left="2488" w:hanging="345"/>
      </w:pPr>
      <w:rPr>
        <w:rFonts w:hint="default"/>
        <w:lang w:val="en-US" w:eastAsia="en-US" w:bidi="ar-SA"/>
      </w:rPr>
    </w:lvl>
    <w:lvl w:ilvl="4">
      <w:start w:val="0"/>
      <w:numFmt w:val="bullet"/>
      <w:lvlText w:val="•"/>
      <w:lvlJc w:val="left"/>
      <w:pPr>
        <w:ind w:left="2957" w:hanging="345"/>
      </w:pPr>
      <w:rPr>
        <w:rFonts w:hint="default"/>
        <w:lang w:val="en-US" w:eastAsia="en-US" w:bidi="ar-SA"/>
      </w:rPr>
    </w:lvl>
    <w:lvl w:ilvl="5">
      <w:start w:val="0"/>
      <w:numFmt w:val="bullet"/>
      <w:lvlText w:val="•"/>
      <w:lvlJc w:val="left"/>
      <w:pPr>
        <w:ind w:left="3426" w:hanging="345"/>
      </w:pPr>
      <w:rPr>
        <w:rFonts w:hint="default"/>
        <w:lang w:val="en-US" w:eastAsia="en-US" w:bidi="ar-SA"/>
      </w:rPr>
    </w:lvl>
    <w:lvl w:ilvl="6">
      <w:start w:val="0"/>
      <w:numFmt w:val="bullet"/>
      <w:lvlText w:val="•"/>
      <w:lvlJc w:val="left"/>
      <w:pPr>
        <w:ind w:left="3896" w:hanging="345"/>
      </w:pPr>
      <w:rPr>
        <w:rFonts w:hint="default"/>
        <w:lang w:val="en-US" w:eastAsia="en-US" w:bidi="ar-SA"/>
      </w:rPr>
    </w:lvl>
    <w:lvl w:ilvl="7">
      <w:start w:val="0"/>
      <w:numFmt w:val="bullet"/>
      <w:lvlText w:val="•"/>
      <w:lvlJc w:val="left"/>
      <w:pPr>
        <w:ind w:left="4365" w:hanging="345"/>
      </w:pPr>
      <w:rPr>
        <w:rFonts w:hint="default"/>
        <w:lang w:val="en-US" w:eastAsia="en-US" w:bidi="ar-SA"/>
      </w:rPr>
    </w:lvl>
    <w:lvl w:ilvl="8">
      <w:start w:val="0"/>
      <w:numFmt w:val="bullet"/>
      <w:lvlText w:val="•"/>
      <w:lvlJc w:val="left"/>
      <w:pPr>
        <w:ind w:left="4834" w:hanging="345"/>
      </w:pPr>
      <w:rPr>
        <w:rFonts w:hint="default"/>
        <w:lang w:val="en-US" w:eastAsia="en-US" w:bidi="ar-SA"/>
      </w:rPr>
    </w:lvl>
  </w:abstractNum>
  <w:abstractNum w:abstractNumId="34">
    <w:multiLevelType w:val="hybridMultilevel"/>
    <w:lvl w:ilvl="0">
      <w:start w:val="1"/>
      <w:numFmt w:val="decimal"/>
      <w:lvlText w:val="%1"/>
      <w:lvlJc w:val="left"/>
      <w:pPr>
        <w:ind w:left="1080" w:hanging="336"/>
        <w:jc w:val="left"/>
      </w:pPr>
      <w:rPr>
        <w:rFonts w:hint="default"/>
        <w:lang w:val="en-US" w:eastAsia="en-US" w:bidi="ar-SA"/>
      </w:rPr>
    </w:lvl>
    <w:lvl w:ilvl="1">
      <w:start w:val="1"/>
      <w:numFmt w:val="decimal"/>
      <w:lvlText w:val="%1.%2"/>
      <w:lvlJc w:val="left"/>
      <w:pPr>
        <w:ind w:left="1080" w:hanging="336"/>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2018" w:hanging="336"/>
      </w:pPr>
      <w:rPr>
        <w:rFonts w:hint="default"/>
        <w:lang w:val="en-US" w:eastAsia="en-US" w:bidi="ar-SA"/>
      </w:rPr>
    </w:lvl>
    <w:lvl w:ilvl="3">
      <w:start w:val="0"/>
      <w:numFmt w:val="bullet"/>
      <w:lvlText w:val="•"/>
      <w:lvlJc w:val="left"/>
      <w:pPr>
        <w:ind w:left="2488" w:hanging="336"/>
      </w:pPr>
      <w:rPr>
        <w:rFonts w:hint="default"/>
        <w:lang w:val="en-US" w:eastAsia="en-US" w:bidi="ar-SA"/>
      </w:rPr>
    </w:lvl>
    <w:lvl w:ilvl="4">
      <w:start w:val="0"/>
      <w:numFmt w:val="bullet"/>
      <w:lvlText w:val="•"/>
      <w:lvlJc w:val="left"/>
      <w:pPr>
        <w:ind w:left="2957" w:hanging="336"/>
      </w:pPr>
      <w:rPr>
        <w:rFonts w:hint="default"/>
        <w:lang w:val="en-US" w:eastAsia="en-US" w:bidi="ar-SA"/>
      </w:rPr>
    </w:lvl>
    <w:lvl w:ilvl="5">
      <w:start w:val="0"/>
      <w:numFmt w:val="bullet"/>
      <w:lvlText w:val="•"/>
      <w:lvlJc w:val="left"/>
      <w:pPr>
        <w:ind w:left="3426" w:hanging="336"/>
      </w:pPr>
      <w:rPr>
        <w:rFonts w:hint="default"/>
        <w:lang w:val="en-US" w:eastAsia="en-US" w:bidi="ar-SA"/>
      </w:rPr>
    </w:lvl>
    <w:lvl w:ilvl="6">
      <w:start w:val="0"/>
      <w:numFmt w:val="bullet"/>
      <w:lvlText w:val="•"/>
      <w:lvlJc w:val="left"/>
      <w:pPr>
        <w:ind w:left="3896" w:hanging="336"/>
      </w:pPr>
      <w:rPr>
        <w:rFonts w:hint="default"/>
        <w:lang w:val="en-US" w:eastAsia="en-US" w:bidi="ar-SA"/>
      </w:rPr>
    </w:lvl>
    <w:lvl w:ilvl="7">
      <w:start w:val="0"/>
      <w:numFmt w:val="bullet"/>
      <w:lvlText w:val="•"/>
      <w:lvlJc w:val="left"/>
      <w:pPr>
        <w:ind w:left="4365" w:hanging="336"/>
      </w:pPr>
      <w:rPr>
        <w:rFonts w:hint="default"/>
        <w:lang w:val="en-US" w:eastAsia="en-US" w:bidi="ar-SA"/>
      </w:rPr>
    </w:lvl>
    <w:lvl w:ilvl="8">
      <w:start w:val="0"/>
      <w:numFmt w:val="bullet"/>
      <w:lvlText w:val="•"/>
      <w:lvlJc w:val="left"/>
      <w:pPr>
        <w:ind w:left="4834" w:hanging="336"/>
      </w:pPr>
      <w:rPr>
        <w:rFonts w:hint="default"/>
        <w:lang w:val="en-US" w:eastAsia="en-US" w:bidi="ar-SA"/>
      </w:rPr>
    </w:lvl>
  </w:abstractNum>
  <w:abstractNum w:abstractNumId="33">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837" w:hanging="327"/>
      </w:pPr>
      <w:rPr>
        <w:rFonts w:hint="default"/>
        <w:lang w:val="en-US" w:eastAsia="en-US" w:bidi="ar-SA"/>
      </w:rPr>
    </w:lvl>
    <w:lvl w:ilvl="2">
      <w:start w:val="0"/>
      <w:numFmt w:val="bullet"/>
      <w:lvlText w:val="•"/>
      <w:lvlJc w:val="left"/>
      <w:pPr>
        <w:ind w:left="2274" w:hanging="327"/>
      </w:pPr>
      <w:rPr>
        <w:rFonts w:hint="default"/>
        <w:lang w:val="en-US" w:eastAsia="en-US" w:bidi="ar-SA"/>
      </w:rPr>
    </w:lvl>
    <w:lvl w:ilvl="3">
      <w:start w:val="0"/>
      <w:numFmt w:val="bullet"/>
      <w:lvlText w:val="•"/>
      <w:lvlJc w:val="left"/>
      <w:pPr>
        <w:ind w:left="2711" w:hanging="327"/>
      </w:pPr>
      <w:rPr>
        <w:rFonts w:hint="default"/>
        <w:lang w:val="en-US" w:eastAsia="en-US" w:bidi="ar-SA"/>
      </w:rPr>
    </w:lvl>
    <w:lvl w:ilvl="4">
      <w:start w:val="0"/>
      <w:numFmt w:val="bullet"/>
      <w:lvlText w:val="•"/>
      <w:lvlJc w:val="left"/>
      <w:pPr>
        <w:ind w:left="3149" w:hanging="327"/>
      </w:pPr>
      <w:rPr>
        <w:rFonts w:hint="default"/>
        <w:lang w:val="en-US" w:eastAsia="en-US" w:bidi="ar-SA"/>
      </w:rPr>
    </w:lvl>
    <w:lvl w:ilvl="5">
      <w:start w:val="0"/>
      <w:numFmt w:val="bullet"/>
      <w:lvlText w:val="•"/>
      <w:lvlJc w:val="left"/>
      <w:pPr>
        <w:ind w:left="3586" w:hanging="327"/>
      </w:pPr>
      <w:rPr>
        <w:rFonts w:hint="default"/>
        <w:lang w:val="en-US" w:eastAsia="en-US" w:bidi="ar-SA"/>
      </w:rPr>
    </w:lvl>
    <w:lvl w:ilvl="6">
      <w:start w:val="0"/>
      <w:numFmt w:val="bullet"/>
      <w:lvlText w:val="•"/>
      <w:lvlJc w:val="left"/>
      <w:pPr>
        <w:ind w:left="4023" w:hanging="327"/>
      </w:pPr>
      <w:rPr>
        <w:rFonts w:hint="default"/>
        <w:lang w:val="en-US" w:eastAsia="en-US" w:bidi="ar-SA"/>
      </w:rPr>
    </w:lvl>
    <w:lvl w:ilvl="7">
      <w:start w:val="0"/>
      <w:numFmt w:val="bullet"/>
      <w:lvlText w:val="•"/>
      <w:lvlJc w:val="left"/>
      <w:pPr>
        <w:ind w:left="4461" w:hanging="327"/>
      </w:pPr>
      <w:rPr>
        <w:rFonts w:hint="default"/>
        <w:lang w:val="en-US" w:eastAsia="en-US" w:bidi="ar-SA"/>
      </w:rPr>
    </w:lvl>
    <w:lvl w:ilvl="8">
      <w:start w:val="0"/>
      <w:numFmt w:val="bullet"/>
      <w:lvlText w:val="•"/>
      <w:lvlJc w:val="left"/>
      <w:pPr>
        <w:ind w:left="4898" w:hanging="327"/>
      </w:pPr>
      <w:rPr>
        <w:rFonts w:hint="default"/>
        <w:lang w:val="en-US" w:eastAsia="en-US" w:bidi="ar-SA"/>
      </w:rPr>
    </w:lvl>
  </w:abstractNum>
  <w:abstractNum w:abstractNumId="32">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31">
    <w:multiLevelType w:val="hybridMultilevel"/>
    <w:lvl w:ilvl="0">
      <w:start w:val="1"/>
      <w:numFmt w:val="decimal"/>
      <w:lvlText w:val="%1."/>
      <w:lvlJc w:val="left"/>
      <w:pPr>
        <w:ind w:left="1380"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819" w:hanging="327"/>
      </w:pPr>
      <w:rPr>
        <w:rFonts w:hint="default"/>
        <w:lang w:val="en-US" w:eastAsia="en-US" w:bidi="ar-SA"/>
      </w:rPr>
    </w:lvl>
    <w:lvl w:ilvl="2">
      <w:start w:val="0"/>
      <w:numFmt w:val="bullet"/>
      <w:lvlText w:val="•"/>
      <w:lvlJc w:val="left"/>
      <w:pPr>
        <w:ind w:left="2258" w:hanging="327"/>
      </w:pPr>
      <w:rPr>
        <w:rFonts w:hint="default"/>
        <w:lang w:val="en-US" w:eastAsia="en-US" w:bidi="ar-SA"/>
      </w:rPr>
    </w:lvl>
    <w:lvl w:ilvl="3">
      <w:start w:val="0"/>
      <w:numFmt w:val="bullet"/>
      <w:lvlText w:val="•"/>
      <w:lvlJc w:val="left"/>
      <w:pPr>
        <w:ind w:left="2697" w:hanging="327"/>
      </w:pPr>
      <w:rPr>
        <w:rFonts w:hint="default"/>
        <w:lang w:val="en-US" w:eastAsia="en-US" w:bidi="ar-SA"/>
      </w:rPr>
    </w:lvl>
    <w:lvl w:ilvl="4">
      <w:start w:val="0"/>
      <w:numFmt w:val="bullet"/>
      <w:lvlText w:val="•"/>
      <w:lvlJc w:val="left"/>
      <w:pPr>
        <w:ind w:left="3137" w:hanging="327"/>
      </w:pPr>
      <w:rPr>
        <w:rFonts w:hint="default"/>
        <w:lang w:val="en-US" w:eastAsia="en-US" w:bidi="ar-SA"/>
      </w:rPr>
    </w:lvl>
    <w:lvl w:ilvl="5">
      <w:start w:val="0"/>
      <w:numFmt w:val="bullet"/>
      <w:lvlText w:val="•"/>
      <w:lvlJc w:val="left"/>
      <w:pPr>
        <w:ind w:left="3576" w:hanging="327"/>
      </w:pPr>
      <w:rPr>
        <w:rFonts w:hint="default"/>
        <w:lang w:val="en-US" w:eastAsia="en-US" w:bidi="ar-SA"/>
      </w:rPr>
    </w:lvl>
    <w:lvl w:ilvl="6">
      <w:start w:val="0"/>
      <w:numFmt w:val="bullet"/>
      <w:lvlText w:val="•"/>
      <w:lvlJc w:val="left"/>
      <w:pPr>
        <w:ind w:left="4015" w:hanging="327"/>
      </w:pPr>
      <w:rPr>
        <w:rFonts w:hint="default"/>
        <w:lang w:val="en-US" w:eastAsia="en-US" w:bidi="ar-SA"/>
      </w:rPr>
    </w:lvl>
    <w:lvl w:ilvl="7">
      <w:start w:val="0"/>
      <w:numFmt w:val="bullet"/>
      <w:lvlText w:val="•"/>
      <w:lvlJc w:val="left"/>
      <w:pPr>
        <w:ind w:left="4455" w:hanging="327"/>
      </w:pPr>
      <w:rPr>
        <w:rFonts w:hint="default"/>
        <w:lang w:val="en-US" w:eastAsia="en-US" w:bidi="ar-SA"/>
      </w:rPr>
    </w:lvl>
    <w:lvl w:ilvl="8">
      <w:start w:val="0"/>
      <w:numFmt w:val="bullet"/>
      <w:lvlText w:val="•"/>
      <w:lvlJc w:val="left"/>
      <w:pPr>
        <w:ind w:left="4894" w:hanging="327"/>
      </w:pPr>
      <w:rPr>
        <w:rFonts w:hint="default"/>
        <w:lang w:val="en-US" w:eastAsia="en-US" w:bidi="ar-SA"/>
      </w:rPr>
    </w:lvl>
  </w:abstractNum>
  <w:abstractNum w:abstractNumId="29">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1"/>
      <w:numFmt w:val="decimal"/>
      <w:lvlText w:val="%1.%2"/>
      <w:lvlJc w:val="left"/>
      <w:pPr>
        <w:ind w:left="319" w:hanging="431"/>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1"/>
      <w:numFmt w:val="decimal"/>
      <w:lvlText w:val="%3."/>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3">
      <w:start w:val="0"/>
      <w:numFmt w:val="bullet"/>
      <w:lvlText w:val=""/>
      <w:lvlJc w:val="left"/>
      <w:pPr>
        <w:ind w:left="1019" w:hanging="321"/>
      </w:pPr>
      <w:rPr>
        <w:rFonts w:hint="default" w:ascii="Wingdings" w:hAnsi="Wingdings" w:eastAsia="Wingdings" w:cs="Wingdings"/>
        <w:b w:val="0"/>
        <w:bCs w:val="0"/>
        <w:i w:val="0"/>
        <w:iCs w:val="0"/>
        <w:color w:val="2E614A"/>
        <w:spacing w:val="0"/>
        <w:w w:val="100"/>
        <w:sz w:val="16"/>
        <w:szCs w:val="16"/>
        <w:lang w:val="en-US" w:eastAsia="en-US" w:bidi="ar-SA"/>
      </w:rPr>
    </w:lvl>
    <w:lvl w:ilvl="4">
      <w:start w:val="0"/>
      <w:numFmt w:val="bullet"/>
      <w:lvlText w:val=""/>
      <w:lvlJc w:val="left"/>
      <w:pPr>
        <w:ind w:left="1780" w:hanging="321"/>
      </w:pPr>
      <w:rPr>
        <w:rFonts w:hint="default" w:ascii="Wingdings" w:hAnsi="Wingdings" w:eastAsia="Wingdings" w:cs="Wingdings"/>
        <w:b w:val="0"/>
        <w:bCs w:val="0"/>
        <w:i w:val="0"/>
        <w:iCs w:val="0"/>
        <w:color w:val="2E614A"/>
        <w:spacing w:val="0"/>
        <w:w w:val="100"/>
        <w:sz w:val="16"/>
        <w:szCs w:val="16"/>
        <w:lang w:val="en-US" w:eastAsia="en-US" w:bidi="ar-SA"/>
      </w:rPr>
    </w:lvl>
    <w:lvl w:ilvl="5">
      <w:start w:val="0"/>
      <w:numFmt w:val="bullet"/>
      <w:lvlText w:val="•"/>
      <w:lvlJc w:val="left"/>
      <w:pPr>
        <w:ind w:left="1259" w:hanging="321"/>
      </w:pPr>
      <w:rPr>
        <w:rFonts w:hint="default"/>
        <w:lang w:val="en-US" w:eastAsia="en-US" w:bidi="ar-SA"/>
      </w:rPr>
    </w:lvl>
    <w:lvl w:ilvl="6">
      <w:start w:val="0"/>
      <w:numFmt w:val="bullet"/>
      <w:lvlText w:val="•"/>
      <w:lvlJc w:val="left"/>
      <w:pPr>
        <w:ind w:left="999" w:hanging="321"/>
      </w:pPr>
      <w:rPr>
        <w:rFonts w:hint="default"/>
        <w:lang w:val="en-US" w:eastAsia="en-US" w:bidi="ar-SA"/>
      </w:rPr>
    </w:lvl>
    <w:lvl w:ilvl="7">
      <w:start w:val="0"/>
      <w:numFmt w:val="bullet"/>
      <w:lvlText w:val="•"/>
      <w:lvlJc w:val="left"/>
      <w:pPr>
        <w:ind w:left="739" w:hanging="321"/>
      </w:pPr>
      <w:rPr>
        <w:rFonts w:hint="default"/>
        <w:lang w:val="en-US" w:eastAsia="en-US" w:bidi="ar-SA"/>
      </w:rPr>
    </w:lvl>
    <w:lvl w:ilvl="8">
      <w:start w:val="0"/>
      <w:numFmt w:val="bullet"/>
      <w:lvlText w:val="•"/>
      <w:lvlJc w:val="left"/>
      <w:pPr>
        <w:ind w:left="479" w:hanging="321"/>
      </w:pPr>
      <w:rPr>
        <w:rFonts w:hint="default"/>
        <w:lang w:val="en-US" w:eastAsia="en-US" w:bidi="ar-SA"/>
      </w:rPr>
    </w:lvl>
  </w:abstractNum>
  <w:abstractNum w:abstractNumId="26">
    <w:multiLevelType w:val="hybridMultilevel"/>
    <w:lvl w:ilvl="0">
      <w:start w:val="1"/>
      <w:numFmt w:val="decimal"/>
      <w:lvlText w:val="%1."/>
      <w:lvlJc w:val="left"/>
      <w:pPr>
        <w:ind w:left="645"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1"/>
      <w:numFmt w:val="decimal"/>
      <w:lvlText w:val="%1.%2"/>
      <w:lvlJc w:val="left"/>
      <w:pPr>
        <w:ind w:left="319" w:hanging="346"/>
        <w:jc w:val="right"/>
      </w:pPr>
      <w:rPr>
        <w:rFonts w:hint="default" w:ascii="Times New Roman" w:hAnsi="Times New Roman" w:eastAsia="Times New Roman" w:cs="Times New Roman"/>
        <w:b/>
        <w:bCs/>
        <w:i w:val="0"/>
        <w:iCs w:val="0"/>
        <w:spacing w:val="0"/>
        <w:w w:val="102"/>
        <w:sz w:val="22"/>
        <w:szCs w:val="22"/>
        <w:lang w:val="en-US" w:eastAsia="en-US" w:bidi="ar-SA"/>
      </w:rPr>
    </w:lvl>
    <w:lvl w:ilvl="2">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4">
      <w:start w:val="0"/>
      <w:numFmt w:val="bullet"/>
      <w:lvlText w:val="•"/>
      <w:lvlJc w:val="left"/>
      <w:pPr>
        <w:ind w:left="1440" w:hanging="360"/>
      </w:pPr>
      <w:rPr>
        <w:rFonts w:hint="default"/>
        <w:lang w:val="en-US" w:eastAsia="en-US" w:bidi="ar-SA"/>
      </w:rPr>
    </w:lvl>
    <w:lvl w:ilvl="5">
      <w:start w:val="0"/>
      <w:numFmt w:val="bullet"/>
      <w:lvlText w:val="•"/>
      <w:lvlJc w:val="left"/>
      <w:pPr>
        <w:ind w:left="1193" w:hanging="360"/>
      </w:pPr>
      <w:rPr>
        <w:rFonts w:hint="default"/>
        <w:lang w:val="en-US" w:eastAsia="en-US" w:bidi="ar-SA"/>
      </w:rPr>
    </w:lvl>
    <w:lvl w:ilvl="6">
      <w:start w:val="0"/>
      <w:numFmt w:val="bullet"/>
      <w:lvlText w:val="•"/>
      <w:lvlJc w:val="left"/>
      <w:pPr>
        <w:ind w:left="946" w:hanging="360"/>
      </w:pPr>
      <w:rPr>
        <w:rFonts w:hint="default"/>
        <w:lang w:val="en-US" w:eastAsia="en-US" w:bidi="ar-SA"/>
      </w:rPr>
    </w:lvl>
    <w:lvl w:ilvl="7">
      <w:start w:val="0"/>
      <w:numFmt w:val="bullet"/>
      <w:lvlText w:val="•"/>
      <w:lvlJc w:val="left"/>
      <w:pPr>
        <w:ind w:left="699" w:hanging="360"/>
      </w:pPr>
      <w:rPr>
        <w:rFonts w:hint="default"/>
        <w:lang w:val="en-US" w:eastAsia="en-US" w:bidi="ar-SA"/>
      </w:rPr>
    </w:lvl>
    <w:lvl w:ilvl="8">
      <w:start w:val="0"/>
      <w:numFmt w:val="bullet"/>
      <w:lvlText w:val="•"/>
      <w:lvlJc w:val="left"/>
      <w:pPr>
        <w:ind w:left="453" w:hanging="360"/>
      </w:pPr>
      <w:rPr>
        <w:rFonts w:hint="default"/>
        <w:lang w:val="en-US" w:eastAsia="en-US" w:bidi="ar-SA"/>
      </w:rPr>
    </w:lvl>
  </w:abstractNum>
  <w:abstractNum w:abstractNumId="25">
    <w:multiLevelType w:val="hybridMultilevel"/>
    <w:lvl w:ilvl="0">
      <w:start w:val="1"/>
      <w:numFmt w:val="decimal"/>
      <w:lvlText w:val="%1."/>
      <w:lvlJc w:val="left"/>
      <w:pPr>
        <w:ind w:left="1440" w:hanging="360"/>
        <w:jc w:val="right"/>
      </w:pPr>
      <w:rPr>
        <w:rFonts w:hint="default"/>
        <w:spacing w:val="0"/>
        <w:w w:val="100"/>
        <w:lang w:val="en-US" w:eastAsia="en-US" w:bidi="ar-SA"/>
      </w:rPr>
    </w:lvl>
    <w:lvl w:ilvl="1">
      <w:start w:val="1"/>
      <w:numFmt w:val="decimal"/>
      <w:lvlText w:val="%2."/>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2">
      <w:start w:val="1"/>
      <w:numFmt w:val="decimal"/>
      <w:lvlText w:val="%3."/>
      <w:lvlJc w:val="left"/>
      <w:pPr>
        <w:ind w:left="1377" w:hanging="298"/>
        <w:jc w:val="right"/>
      </w:pPr>
      <w:rPr>
        <w:rFonts w:hint="default" w:ascii="Times New Roman" w:hAnsi="Times New Roman" w:eastAsia="Times New Roman" w:cs="Times New Roman"/>
        <w:b/>
        <w:bCs/>
        <w:i w:val="0"/>
        <w:iCs w:val="0"/>
        <w:color w:val="2E614A"/>
        <w:spacing w:val="-10"/>
        <w:w w:val="102"/>
        <w:sz w:val="32"/>
        <w:szCs w:val="32"/>
        <w:lang w:val="en-US" w:eastAsia="en-US" w:bidi="ar-SA"/>
      </w:rPr>
    </w:lvl>
    <w:lvl w:ilvl="3">
      <w:start w:val="1"/>
      <w:numFmt w:val="decimal"/>
      <w:lvlText w:val="%4."/>
      <w:lvlJc w:val="left"/>
      <w:pPr>
        <w:ind w:left="1387" w:hanging="308"/>
        <w:jc w:val="right"/>
      </w:pPr>
      <w:rPr>
        <w:rFonts w:hint="default" w:ascii="Times New Roman" w:hAnsi="Times New Roman" w:eastAsia="Times New Roman" w:cs="Times New Roman"/>
        <w:b/>
        <w:bCs/>
        <w:i w:val="0"/>
        <w:iCs w:val="0"/>
        <w:color w:val="2E614A"/>
        <w:spacing w:val="-7"/>
        <w:w w:val="102"/>
        <w:sz w:val="32"/>
        <w:szCs w:val="32"/>
        <w:lang w:val="en-US" w:eastAsia="en-US" w:bidi="ar-SA"/>
      </w:rPr>
    </w:lvl>
    <w:lvl w:ilvl="4">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5">
      <w:start w:val="0"/>
      <w:numFmt w:val="bullet"/>
      <w:lvlText w:val="•"/>
      <w:lvlJc w:val="left"/>
      <w:pPr>
        <w:ind w:left="3064" w:hanging="360"/>
      </w:pPr>
      <w:rPr>
        <w:rFonts w:hint="default"/>
        <w:lang w:val="en-US" w:eastAsia="en-US" w:bidi="ar-SA"/>
      </w:rPr>
    </w:lvl>
    <w:lvl w:ilvl="6">
      <w:start w:val="0"/>
      <w:numFmt w:val="bullet"/>
      <w:lvlText w:val="•"/>
      <w:lvlJc w:val="left"/>
      <w:pPr>
        <w:ind w:left="3606" w:hanging="360"/>
      </w:pPr>
      <w:rPr>
        <w:rFonts w:hint="default"/>
        <w:lang w:val="en-US" w:eastAsia="en-US" w:bidi="ar-SA"/>
      </w:rPr>
    </w:lvl>
    <w:lvl w:ilvl="7">
      <w:start w:val="0"/>
      <w:numFmt w:val="bullet"/>
      <w:lvlText w:val="•"/>
      <w:lvlJc w:val="left"/>
      <w:pPr>
        <w:ind w:left="4148" w:hanging="360"/>
      </w:pPr>
      <w:rPr>
        <w:rFonts w:hint="default"/>
        <w:lang w:val="en-US" w:eastAsia="en-US" w:bidi="ar-SA"/>
      </w:rPr>
    </w:lvl>
    <w:lvl w:ilvl="8">
      <w:start w:val="0"/>
      <w:numFmt w:val="bullet"/>
      <w:lvlText w:val="•"/>
      <w:lvlJc w:val="left"/>
      <w:pPr>
        <w:ind w:left="4689" w:hanging="360"/>
      </w:pPr>
      <w:rPr>
        <w:rFonts w:hint="default"/>
        <w:lang w:val="en-US" w:eastAsia="en-US" w:bidi="ar-SA"/>
      </w:rPr>
    </w:lvl>
  </w:abstractNum>
  <w:abstractNum w:abstractNumId="24">
    <w:multiLevelType w:val="hybridMultilevel"/>
    <w:lvl w:ilvl="0">
      <w:start w:val="1"/>
      <w:numFmt w:val="decimal"/>
      <w:lvlText w:val="%1."/>
      <w:lvlJc w:val="left"/>
      <w:pPr>
        <w:ind w:left="1449"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873" w:hanging="327"/>
      </w:pPr>
      <w:rPr>
        <w:rFonts w:hint="default"/>
        <w:lang w:val="en-US" w:eastAsia="en-US" w:bidi="ar-SA"/>
      </w:rPr>
    </w:lvl>
    <w:lvl w:ilvl="2">
      <w:start w:val="0"/>
      <w:numFmt w:val="bullet"/>
      <w:lvlText w:val="•"/>
      <w:lvlJc w:val="left"/>
      <w:pPr>
        <w:ind w:left="2306" w:hanging="327"/>
      </w:pPr>
      <w:rPr>
        <w:rFonts w:hint="default"/>
        <w:lang w:val="en-US" w:eastAsia="en-US" w:bidi="ar-SA"/>
      </w:rPr>
    </w:lvl>
    <w:lvl w:ilvl="3">
      <w:start w:val="0"/>
      <w:numFmt w:val="bullet"/>
      <w:lvlText w:val="•"/>
      <w:lvlJc w:val="left"/>
      <w:pPr>
        <w:ind w:left="2740" w:hanging="327"/>
      </w:pPr>
      <w:rPr>
        <w:rFonts w:hint="default"/>
        <w:lang w:val="en-US" w:eastAsia="en-US" w:bidi="ar-SA"/>
      </w:rPr>
    </w:lvl>
    <w:lvl w:ilvl="4">
      <w:start w:val="0"/>
      <w:numFmt w:val="bullet"/>
      <w:lvlText w:val="•"/>
      <w:lvlJc w:val="left"/>
      <w:pPr>
        <w:ind w:left="3173" w:hanging="327"/>
      </w:pPr>
      <w:rPr>
        <w:rFonts w:hint="default"/>
        <w:lang w:val="en-US" w:eastAsia="en-US" w:bidi="ar-SA"/>
      </w:rPr>
    </w:lvl>
    <w:lvl w:ilvl="5">
      <w:start w:val="0"/>
      <w:numFmt w:val="bullet"/>
      <w:lvlText w:val="•"/>
      <w:lvlJc w:val="left"/>
      <w:pPr>
        <w:ind w:left="3606" w:hanging="327"/>
      </w:pPr>
      <w:rPr>
        <w:rFonts w:hint="default"/>
        <w:lang w:val="en-US" w:eastAsia="en-US" w:bidi="ar-SA"/>
      </w:rPr>
    </w:lvl>
    <w:lvl w:ilvl="6">
      <w:start w:val="0"/>
      <w:numFmt w:val="bullet"/>
      <w:lvlText w:val="•"/>
      <w:lvlJc w:val="left"/>
      <w:pPr>
        <w:ind w:left="4040" w:hanging="327"/>
      </w:pPr>
      <w:rPr>
        <w:rFonts w:hint="default"/>
        <w:lang w:val="en-US" w:eastAsia="en-US" w:bidi="ar-SA"/>
      </w:rPr>
    </w:lvl>
    <w:lvl w:ilvl="7">
      <w:start w:val="0"/>
      <w:numFmt w:val="bullet"/>
      <w:lvlText w:val="•"/>
      <w:lvlJc w:val="left"/>
      <w:pPr>
        <w:ind w:left="4473" w:hanging="327"/>
      </w:pPr>
      <w:rPr>
        <w:rFonts w:hint="default"/>
        <w:lang w:val="en-US" w:eastAsia="en-US" w:bidi="ar-SA"/>
      </w:rPr>
    </w:lvl>
    <w:lvl w:ilvl="8">
      <w:start w:val="0"/>
      <w:numFmt w:val="bullet"/>
      <w:lvlText w:val="•"/>
      <w:lvlJc w:val="left"/>
      <w:pPr>
        <w:ind w:left="4907" w:hanging="327"/>
      </w:pPr>
      <w:rPr>
        <w:rFonts w:hint="default"/>
        <w:lang w:val="en-US" w:eastAsia="en-US" w:bidi="ar-SA"/>
      </w:rPr>
    </w:lvl>
  </w:abstractNum>
  <w:abstractNum w:abstractNumId="23">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22">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21">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275"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946" w:hanging="360"/>
      </w:pPr>
      <w:rPr>
        <w:rFonts w:hint="default"/>
        <w:lang w:val="en-US" w:eastAsia="en-US" w:bidi="ar-SA"/>
      </w:rPr>
    </w:lvl>
    <w:lvl w:ilvl="5">
      <w:start w:val="0"/>
      <w:numFmt w:val="bullet"/>
      <w:lvlText w:val="•"/>
      <w:lvlJc w:val="left"/>
      <w:pPr>
        <w:ind w:left="782" w:hanging="360"/>
      </w:pPr>
      <w:rPr>
        <w:rFonts w:hint="default"/>
        <w:lang w:val="en-US" w:eastAsia="en-US" w:bidi="ar-SA"/>
      </w:rPr>
    </w:lvl>
    <w:lvl w:ilvl="6">
      <w:start w:val="0"/>
      <w:numFmt w:val="bullet"/>
      <w:lvlText w:val="•"/>
      <w:lvlJc w:val="left"/>
      <w:pPr>
        <w:ind w:left="617" w:hanging="360"/>
      </w:pPr>
      <w:rPr>
        <w:rFonts w:hint="default"/>
        <w:lang w:val="en-US" w:eastAsia="en-US" w:bidi="ar-SA"/>
      </w:rPr>
    </w:lvl>
    <w:lvl w:ilvl="7">
      <w:start w:val="0"/>
      <w:numFmt w:val="bullet"/>
      <w:lvlText w:val="•"/>
      <w:lvlJc w:val="left"/>
      <w:pPr>
        <w:ind w:left="453" w:hanging="360"/>
      </w:pPr>
      <w:rPr>
        <w:rFonts w:hint="default"/>
        <w:lang w:val="en-US" w:eastAsia="en-US" w:bidi="ar-SA"/>
      </w:rPr>
    </w:lvl>
    <w:lvl w:ilvl="8">
      <w:start w:val="0"/>
      <w:numFmt w:val="bullet"/>
      <w:lvlText w:val="•"/>
      <w:lvlJc w:val="left"/>
      <w:pPr>
        <w:ind w:left="288" w:hanging="360"/>
      </w:pPr>
      <w:rPr>
        <w:rFonts w:hint="default"/>
        <w:lang w:val="en-US" w:eastAsia="en-US" w:bidi="ar-SA"/>
      </w:rPr>
    </w:lvl>
  </w:abstractNum>
  <w:abstractNum w:abstractNumId="20">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19">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18">
    <w:multiLevelType w:val="hybridMultilevel"/>
    <w:lvl w:ilvl="0">
      <w:start w:val="1"/>
      <w:numFmt w:val="upperRoman"/>
      <w:lvlText w:val="%1."/>
      <w:lvlJc w:val="left"/>
      <w:pPr>
        <w:ind w:left="595" w:hanging="277"/>
        <w:jc w:val="right"/>
      </w:pPr>
      <w:rPr>
        <w:rFonts w:hint="default" w:ascii="Times New Roman" w:hAnsi="Times New Roman" w:eastAsia="Times New Roman" w:cs="Times New Roman"/>
        <w:b/>
        <w:bCs/>
        <w:i w:val="0"/>
        <w:iCs w:val="0"/>
        <w:color w:val="2E614A"/>
        <w:spacing w:val="0"/>
        <w:w w:val="95"/>
        <w:sz w:val="32"/>
        <w:szCs w:val="32"/>
        <w:lang w:val="en-US" w:eastAsia="en-US" w:bidi="ar-SA"/>
      </w:rPr>
    </w:lvl>
    <w:lvl w:ilvl="1">
      <w:start w:val="1"/>
      <w:numFmt w:val="decimal"/>
      <w:lvlText w:val="%2."/>
      <w:lvlJc w:val="left"/>
      <w:pPr>
        <w:ind w:left="584" w:hanging="266"/>
        <w:jc w:val="right"/>
      </w:pPr>
      <w:rPr>
        <w:rFonts w:hint="default" w:ascii="Times New Roman" w:hAnsi="Times New Roman" w:eastAsia="Times New Roman" w:cs="Times New Roman"/>
        <w:b/>
        <w:bCs/>
        <w:i w:val="0"/>
        <w:iCs w:val="0"/>
        <w:color w:val="2E614A"/>
        <w:spacing w:val="0"/>
        <w:w w:val="102"/>
        <w:sz w:val="26"/>
        <w:szCs w:val="26"/>
        <w:lang w:val="en-US" w:eastAsia="en-US" w:bidi="ar-SA"/>
      </w:rPr>
    </w:lvl>
    <w:lvl w:ilvl="2">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440" w:hanging="360"/>
      </w:pPr>
      <w:rPr>
        <w:rFonts w:hint="default"/>
        <w:lang w:val="en-US" w:eastAsia="en-US" w:bidi="ar-SA"/>
      </w:rPr>
    </w:lvl>
    <w:lvl w:ilvl="4">
      <w:start w:val="0"/>
      <w:numFmt w:val="bullet"/>
      <w:lvlText w:val="•"/>
      <w:lvlJc w:val="left"/>
      <w:pPr>
        <w:ind w:left="1228" w:hanging="360"/>
      </w:pPr>
      <w:rPr>
        <w:rFonts w:hint="default"/>
        <w:lang w:val="en-US" w:eastAsia="en-US" w:bidi="ar-SA"/>
      </w:rPr>
    </w:lvl>
    <w:lvl w:ilvl="5">
      <w:start w:val="0"/>
      <w:numFmt w:val="bullet"/>
      <w:lvlText w:val="•"/>
      <w:lvlJc w:val="left"/>
      <w:pPr>
        <w:ind w:left="1017" w:hanging="360"/>
      </w:pPr>
      <w:rPr>
        <w:rFonts w:hint="default"/>
        <w:lang w:val="en-US" w:eastAsia="en-US" w:bidi="ar-SA"/>
      </w:rPr>
    </w:lvl>
    <w:lvl w:ilvl="6">
      <w:start w:val="0"/>
      <w:numFmt w:val="bullet"/>
      <w:lvlText w:val="•"/>
      <w:lvlJc w:val="left"/>
      <w:pPr>
        <w:ind w:left="805" w:hanging="360"/>
      </w:pPr>
      <w:rPr>
        <w:rFonts w:hint="default"/>
        <w:lang w:val="en-US" w:eastAsia="en-US" w:bidi="ar-SA"/>
      </w:rPr>
    </w:lvl>
    <w:lvl w:ilvl="7">
      <w:start w:val="0"/>
      <w:numFmt w:val="bullet"/>
      <w:lvlText w:val="•"/>
      <w:lvlJc w:val="left"/>
      <w:pPr>
        <w:ind w:left="594" w:hanging="360"/>
      </w:pPr>
      <w:rPr>
        <w:rFonts w:hint="default"/>
        <w:lang w:val="en-US" w:eastAsia="en-US" w:bidi="ar-SA"/>
      </w:rPr>
    </w:lvl>
    <w:lvl w:ilvl="8">
      <w:start w:val="0"/>
      <w:numFmt w:val="bullet"/>
      <w:lvlText w:val="•"/>
      <w:lvlJc w:val="left"/>
      <w:pPr>
        <w:ind w:left="382" w:hanging="360"/>
      </w:pPr>
      <w:rPr>
        <w:rFonts w:hint="default"/>
        <w:lang w:val="en-US" w:eastAsia="en-US" w:bidi="ar-SA"/>
      </w:rPr>
    </w:lvl>
  </w:abstractNum>
  <w:abstractNum w:abstractNumId="17">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1"/>
      <w:numFmt w:val="lowerRoman"/>
      <w:lvlText w:val="%2."/>
      <w:lvlJc w:val="left"/>
      <w:pPr>
        <w:ind w:left="1440" w:hanging="360"/>
        <w:jc w:val="right"/>
      </w:pPr>
      <w:rPr>
        <w:rFonts w:hint="default" w:ascii="Times New Roman" w:hAnsi="Times New Roman" w:eastAsia="Times New Roman" w:cs="Times New Roman"/>
        <w:b w:val="0"/>
        <w:bCs w:val="0"/>
        <w:i w:val="0"/>
        <w:iCs w:val="0"/>
        <w:spacing w:val="0"/>
        <w:w w:val="96"/>
        <w:sz w:val="22"/>
        <w:szCs w:val="22"/>
        <w:lang w:val="en-US" w:eastAsia="en-US" w:bidi="ar-SA"/>
      </w:rPr>
    </w:lvl>
    <w:lvl w:ilvl="2">
      <w:start w:val="0"/>
      <w:numFmt w:val="bullet"/>
      <w:lvlText w:val="•"/>
      <w:lvlJc w:val="left"/>
      <w:pPr>
        <w:ind w:left="1440" w:hanging="360"/>
      </w:pPr>
      <w:rPr>
        <w:rFonts w:hint="default"/>
        <w:lang w:val="en-US" w:eastAsia="en-US" w:bidi="ar-SA"/>
      </w:rPr>
    </w:lvl>
    <w:lvl w:ilvl="3">
      <w:start w:val="0"/>
      <w:numFmt w:val="bullet"/>
      <w:lvlText w:val="•"/>
      <w:lvlJc w:val="left"/>
      <w:pPr>
        <w:ind w:left="1255" w:hanging="360"/>
      </w:pPr>
      <w:rPr>
        <w:rFonts w:hint="default"/>
        <w:lang w:val="en-US" w:eastAsia="en-US" w:bidi="ar-SA"/>
      </w:rPr>
    </w:lvl>
    <w:lvl w:ilvl="4">
      <w:start w:val="0"/>
      <w:numFmt w:val="bullet"/>
      <w:lvlText w:val="•"/>
      <w:lvlJc w:val="left"/>
      <w:pPr>
        <w:ind w:left="1070" w:hanging="360"/>
      </w:pPr>
      <w:rPr>
        <w:rFonts w:hint="default"/>
        <w:lang w:val="en-US" w:eastAsia="en-US" w:bidi="ar-SA"/>
      </w:rPr>
    </w:lvl>
    <w:lvl w:ilvl="5">
      <w:start w:val="0"/>
      <w:numFmt w:val="bullet"/>
      <w:lvlText w:val="•"/>
      <w:lvlJc w:val="left"/>
      <w:pPr>
        <w:ind w:left="885" w:hanging="360"/>
      </w:pPr>
      <w:rPr>
        <w:rFonts w:hint="default"/>
        <w:lang w:val="en-US" w:eastAsia="en-US" w:bidi="ar-SA"/>
      </w:rPr>
    </w:lvl>
    <w:lvl w:ilvl="6">
      <w:start w:val="0"/>
      <w:numFmt w:val="bullet"/>
      <w:lvlText w:val="•"/>
      <w:lvlJc w:val="left"/>
      <w:pPr>
        <w:ind w:left="700" w:hanging="360"/>
      </w:pPr>
      <w:rPr>
        <w:rFonts w:hint="default"/>
        <w:lang w:val="en-US" w:eastAsia="en-US" w:bidi="ar-SA"/>
      </w:rPr>
    </w:lvl>
    <w:lvl w:ilvl="7">
      <w:start w:val="0"/>
      <w:numFmt w:val="bullet"/>
      <w:lvlText w:val="•"/>
      <w:lvlJc w:val="left"/>
      <w:pPr>
        <w:ind w:left="515" w:hanging="360"/>
      </w:pPr>
      <w:rPr>
        <w:rFonts w:hint="default"/>
        <w:lang w:val="en-US" w:eastAsia="en-US" w:bidi="ar-SA"/>
      </w:rPr>
    </w:lvl>
    <w:lvl w:ilvl="8">
      <w:start w:val="0"/>
      <w:numFmt w:val="bullet"/>
      <w:lvlText w:val="•"/>
      <w:lvlJc w:val="left"/>
      <w:pPr>
        <w:ind w:left="330" w:hanging="360"/>
      </w:pPr>
      <w:rPr>
        <w:rFonts w:hint="default"/>
        <w:lang w:val="en-US" w:eastAsia="en-US" w:bidi="ar-SA"/>
      </w:rPr>
    </w:lvl>
  </w:abstractNum>
  <w:abstractNum w:abstractNumId="16">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15">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5"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14">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221" w:hanging="360"/>
      </w:pPr>
      <w:rPr>
        <w:rFonts w:hint="default"/>
        <w:lang w:val="en-US" w:eastAsia="en-US" w:bidi="ar-SA"/>
      </w:rPr>
    </w:lvl>
    <w:lvl w:ilvl="2">
      <w:start w:val="0"/>
      <w:numFmt w:val="bullet"/>
      <w:lvlText w:val="•"/>
      <w:lvlJc w:val="left"/>
      <w:pPr>
        <w:ind w:left="1762" w:hanging="360"/>
      </w:pPr>
      <w:rPr>
        <w:rFonts w:hint="default"/>
        <w:lang w:val="en-US" w:eastAsia="en-US" w:bidi="ar-SA"/>
      </w:rPr>
    </w:lvl>
    <w:lvl w:ilvl="3">
      <w:start w:val="0"/>
      <w:numFmt w:val="bullet"/>
      <w:lvlText w:val="•"/>
      <w:lvlJc w:val="left"/>
      <w:pPr>
        <w:ind w:left="2303" w:hanging="360"/>
      </w:pPr>
      <w:rPr>
        <w:rFonts w:hint="default"/>
        <w:lang w:val="en-US" w:eastAsia="en-US" w:bidi="ar-SA"/>
      </w:rPr>
    </w:lvl>
    <w:lvl w:ilvl="4">
      <w:start w:val="0"/>
      <w:numFmt w:val="bullet"/>
      <w:lvlText w:val="•"/>
      <w:lvlJc w:val="left"/>
      <w:pPr>
        <w:ind w:left="2844" w:hanging="360"/>
      </w:pPr>
      <w:rPr>
        <w:rFonts w:hint="default"/>
        <w:lang w:val="en-US" w:eastAsia="en-US" w:bidi="ar-SA"/>
      </w:rPr>
    </w:lvl>
    <w:lvl w:ilvl="5">
      <w:start w:val="0"/>
      <w:numFmt w:val="bullet"/>
      <w:lvlText w:val="•"/>
      <w:lvlJc w:val="left"/>
      <w:pPr>
        <w:ind w:left="3386" w:hanging="360"/>
      </w:pPr>
      <w:rPr>
        <w:rFonts w:hint="default"/>
        <w:lang w:val="en-US" w:eastAsia="en-US" w:bidi="ar-SA"/>
      </w:rPr>
    </w:lvl>
    <w:lvl w:ilvl="6">
      <w:start w:val="0"/>
      <w:numFmt w:val="bullet"/>
      <w:lvlText w:val="•"/>
      <w:lvlJc w:val="left"/>
      <w:pPr>
        <w:ind w:left="3927" w:hanging="360"/>
      </w:pPr>
      <w:rPr>
        <w:rFonts w:hint="default"/>
        <w:lang w:val="en-US" w:eastAsia="en-US" w:bidi="ar-SA"/>
      </w:rPr>
    </w:lvl>
    <w:lvl w:ilvl="7">
      <w:start w:val="0"/>
      <w:numFmt w:val="bullet"/>
      <w:lvlText w:val="•"/>
      <w:lvlJc w:val="left"/>
      <w:pPr>
        <w:ind w:left="4468" w:hanging="360"/>
      </w:pPr>
      <w:rPr>
        <w:rFonts w:hint="default"/>
        <w:lang w:val="en-US" w:eastAsia="en-US" w:bidi="ar-SA"/>
      </w:rPr>
    </w:lvl>
    <w:lvl w:ilvl="8">
      <w:start w:val="0"/>
      <w:numFmt w:val="bullet"/>
      <w:lvlText w:val="•"/>
      <w:lvlJc w:val="left"/>
      <w:pPr>
        <w:ind w:left="5009" w:hanging="360"/>
      </w:pPr>
      <w:rPr>
        <w:rFonts w:hint="default"/>
        <w:lang w:val="en-US" w:eastAsia="en-US" w:bidi="ar-SA"/>
      </w:rPr>
    </w:lvl>
  </w:abstractNum>
  <w:abstractNum w:abstractNumId="13">
    <w:multiLevelType w:val="hybridMultilevel"/>
    <w:lvl w:ilvl="0">
      <w:start w:val="1"/>
      <w:numFmt w:val="decimal"/>
      <w:lvlText w:val="%1."/>
      <w:lvlJc w:val="left"/>
      <w:pPr>
        <w:ind w:left="645" w:hanging="327"/>
        <w:jc w:val="right"/>
      </w:pPr>
      <w:rPr>
        <w:rFonts w:hint="default"/>
        <w:spacing w:val="0"/>
        <w:w w:val="102"/>
        <w:lang w:val="en-US" w:eastAsia="en-US" w:bidi="ar-SA"/>
      </w:rPr>
    </w:lvl>
    <w:lvl w:ilvl="1">
      <w:start w:val="1"/>
      <w:numFmt w:val="decimal"/>
      <w:lvlText w:val="%1.%2"/>
      <w:lvlJc w:val="left"/>
      <w:pPr>
        <w:ind w:left="717" w:hanging="398"/>
        <w:jc w:val="right"/>
      </w:pPr>
      <w:rPr>
        <w:rFonts w:hint="default" w:ascii="Times New Roman" w:hAnsi="Times New Roman" w:eastAsia="Times New Roman" w:cs="Times New Roman"/>
        <w:b/>
        <w:bCs/>
        <w:i w:val="0"/>
        <w:iCs w:val="0"/>
        <w:color w:val="2E614A"/>
        <w:spacing w:val="0"/>
        <w:w w:val="102"/>
        <w:sz w:val="26"/>
        <w:szCs w:val="26"/>
        <w:lang w:val="en-US" w:eastAsia="en-US" w:bidi="ar-SA"/>
      </w:rPr>
    </w:lvl>
    <w:lvl w:ilvl="2">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4">
      <w:start w:val="0"/>
      <w:numFmt w:val="bullet"/>
      <w:lvlText w:val="•"/>
      <w:lvlJc w:val="left"/>
      <w:pPr>
        <w:ind w:left="1480" w:hanging="360"/>
      </w:pPr>
      <w:rPr>
        <w:rFonts w:hint="default"/>
        <w:lang w:val="en-US" w:eastAsia="en-US" w:bidi="ar-SA"/>
      </w:rPr>
    </w:lvl>
    <w:lvl w:ilvl="5">
      <w:start w:val="0"/>
      <w:numFmt w:val="bullet"/>
      <w:lvlText w:val="•"/>
      <w:lvlJc w:val="left"/>
      <w:pPr>
        <w:ind w:left="1226" w:hanging="360"/>
      </w:pPr>
      <w:rPr>
        <w:rFonts w:hint="default"/>
        <w:lang w:val="en-US" w:eastAsia="en-US" w:bidi="ar-SA"/>
      </w:rPr>
    </w:lvl>
    <w:lvl w:ilvl="6">
      <w:start w:val="0"/>
      <w:numFmt w:val="bullet"/>
      <w:lvlText w:val="•"/>
      <w:lvlJc w:val="left"/>
      <w:pPr>
        <w:ind w:left="973" w:hanging="360"/>
      </w:pPr>
      <w:rPr>
        <w:rFonts w:hint="default"/>
        <w:lang w:val="en-US" w:eastAsia="en-US" w:bidi="ar-SA"/>
      </w:rPr>
    </w:lvl>
    <w:lvl w:ilvl="7">
      <w:start w:val="0"/>
      <w:numFmt w:val="bullet"/>
      <w:lvlText w:val="•"/>
      <w:lvlJc w:val="left"/>
      <w:pPr>
        <w:ind w:left="719" w:hanging="360"/>
      </w:pPr>
      <w:rPr>
        <w:rFonts w:hint="default"/>
        <w:lang w:val="en-US" w:eastAsia="en-US" w:bidi="ar-SA"/>
      </w:rPr>
    </w:lvl>
    <w:lvl w:ilvl="8">
      <w:start w:val="0"/>
      <w:numFmt w:val="bullet"/>
      <w:lvlText w:val="•"/>
      <w:lvlJc w:val="left"/>
      <w:pPr>
        <w:ind w:left="466" w:hanging="360"/>
      </w:pPr>
      <w:rPr>
        <w:rFonts w:hint="default"/>
        <w:lang w:val="en-US" w:eastAsia="en-US" w:bidi="ar-SA"/>
      </w:rPr>
    </w:lvl>
  </w:abstractNum>
  <w:abstractNum w:abstractNumId="12">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837" w:hanging="327"/>
      </w:pPr>
      <w:rPr>
        <w:rFonts w:hint="default"/>
        <w:lang w:val="en-US" w:eastAsia="en-US" w:bidi="ar-SA"/>
      </w:rPr>
    </w:lvl>
    <w:lvl w:ilvl="2">
      <w:start w:val="0"/>
      <w:numFmt w:val="bullet"/>
      <w:lvlText w:val="•"/>
      <w:lvlJc w:val="left"/>
      <w:pPr>
        <w:ind w:left="2274" w:hanging="327"/>
      </w:pPr>
      <w:rPr>
        <w:rFonts w:hint="default"/>
        <w:lang w:val="en-US" w:eastAsia="en-US" w:bidi="ar-SA"/>
      </w:rPr>
    </w:lvl>
    <w:lvl w:ilvl="3">
      <w:start w:val="0"/>
      <w:numFmt w:val="bullet"/>
      <w:lvlText w:val="•"/>
      <w:lvlJc w:val="left"/>
      <w:pPr>
        <w:ind w:left="2712" w:hanging="327"/>
      </w:pPr>
      <w:rPr>
        <w:rFonts w:hint="default"/>
        <w:lang w:val="en-US" w:eastAsia="en-US" w:bidi="ar-SA"/>
      </w:rPr>
    </w:lvl>
    <w:lvl w:ilvl="4">
      <w:start w:val="0"/>
      <w:numFmt w:val="bullet"/>
      <w:lvlText w:val="•"/>
      <w:lvlJc w:val="left"/>
      <w:pPr>
        <w:ind w:left="3149" w:hanging="327"/>
      </w:pPr>
      <w:rPr>
        <w:rFonts w:hint="default"/>
        <w:lang w:val="en-US" w:eastAsia="en-US" w:bidi="ar-SA"/>
      </w:rPr>
    </w:lvl>
    <w:lvl w:ilvl="5">
      <w:start w:val="0"/>
      <w:numFmt w:val="bullet"/>
      <w:lvlText w:val="•"/>
      <w:lvlJc w:val="left"/>
      <w:pPr>
        <w:ind w:left="3586" w:hanging="327"/>
      </w:pPr>
      <w:rPr>
        <w:rFonts w:hint="default"/>
        <w:lang w:val="en-US" w:eastAsia="en-US" w:bidi="ar-SA"/>
      </w:rPr>
    </w:lvl>
    <w:lvl w:ilvl="6">
      <w:start w:val="0"/>
      <w:numFmt w:val="bullet"/>
      <w:lvlText w:val="•"/>
      <w:lvlJc w:val="left"/>
      <w:pPr>
        <w:ind w:left="4024" w:hanging="327"/>
      </w:pPr>
      <w:rPr>
        <w:rFonts w:hint="default"/>
        <w:lang w:val="en-US" w:eastAsia="en-US" w:bidi="ar-SA"/>
      </w:rPr>
    </w:lvl>
    <w:lvl w:ilvl="7">
      <w:start w:val="0"/>
      <w:numFmt w:val="bullet"/>
      <w:lvlText w:val="•"/>
      <w:lvlJc w:val="left"/>
      <w:pPr>
        <w:ind w:left="4461" w:hanging="327"/>
      </w:pPr>
      <w:rPr>
        <w:rFonts w:hint="default"/>
        <w:lang w:val="en-US" w:eastAsia="en-US" w:bidi="ar-SA"/>
      </w:rPr>
    </w:lvl>
    <w:lvl w:ilvl="8">
      <w:start w:val="0"/>
      <w:numFmt w:val="bullet"/>
      <w:lvlText w:val="•"/>
      <w:lvlJc w:val="left"/>
      <w:pPr>
        <w:ind w:left="4898" w:hanging="327"/>
      </w:pPr>
      <w:rPr>
        <w:rFonts w:hint="default"/>
        <w:lang w:val="en-US" w:eastAsia="en-US" w:bidi="ar-SA"/>
      </w:rPr>
    </w:lvl>
  </w:abstractNum>
  <w:abstractNum w:abstractNumId="11">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240" w:hanging="360"/>
      </w:pPr>
      <w:rPr>
        <w:rFonts w:hint="default"/>
        <w:lang w:val="en-US" w:eastAsia="en-US" w:bidi="ar-SA"/>
      </w:rPr>
    </w:lvl>
    <w:lvl w:ilvl="3">
      <w:start w:val="0"/>
      <w:numFmt w:val="bullet"/>
      <w:lvlText w:val="•"/>
      <w:lvlJc w:val="left"/>
      <w:pPr>
        <w:ind w:left="1080" w:hanging="360"/>
      </w:pPr>
      <w:rPr>
        <w:rFonts w:hint="default"/>
        <w:lang w:val="en-US" w:eastAsia="en-US" w:bidi="ar-SA"/>
      </w:rPr>
    </w:lvl>
    <w:lvl w:ilvl="4">
      <w:start w:val="0"/>
      <w:numFmt w:val="bullet"/>
      <w:lvlText w:val="•"/>
      <w:lvlJc w:val="left"/>
      <w:pPr>
        <w:ind w:left="920"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600" w:hanging="360"/>
      </w:pPr>
      <w:rPr>
        <w:rFonts w:hint="default"/>
        <w:lang w:val="en-US" w:eastAsia="en-US" w:bidi="ar-SA"/>
      </w:rPr>
    </w:lvl>
    <w:lvl w:ilvl="7">
      <w:start w:val="0"/>
      <w:numFmt w:val="bullet"/>
      <w:lvlText w:val="•"/>
      <w:lvlJc w:val="left"/>
      <w:pPr>
        <w:ind w:left="440" w:hanging="360"/>
      </w:pPr>
      <w:rPr>
        <w:rFonts w:hint="default"/>
        <w:lang w:val="en-US" w:eastAsia="en-US" w:bidi="ar-SA"/>
      </w:rPr>
    </w:lvl>
    <w:lvl w:ilvl="8">
      <w:start w:val="0"/>
      <w:numFmt w:val="bullet"/>
      <w:lvlText w:val="•"/>
      <w:lvlJc w:val="left"/>
      <w:pPr>
        <w:ind w:left="280" w:hanging="360"/>
      </w:pPr>
      <w:rPr>
        <w:rFonts w:hint="default"/>
        <w:lang w:val="en-US" w:eastAsia="en-US" w:bidi="ar-SA"/>
      </w:rPr>
    </w:lvl>
  </w:abstractNum>
  <w:abstractNum w:abstractNumId="10">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254" w:hanging="360"/>
      </w:pPr>
      <w:rPr>
        <w:rFonts w:hint="default"/>
        <w:lang w:val="en-US" w:eastAsia="en-US" w:bidi="ar-SA"/>
      </w:rPr>
    </w:lvl>
    <w:lvl w:ilvl="4">
      <w:start w:val="0"/>
      <w:numFmt w:val="bullet"/>
      <w:lvlText w:val="•"/>
      <w:lvlJc w:val="left"/>
      <w:pPr>
        <w:ind w:left="1069" w:hanging="360"/>
      </w:pPr>
      <w:rPr>
        <w:rFonts w:hint="default"/>
        <w:lang w:val="en-US" w:eastAsia="en-US" w:bidi="ar-SA"/>
      </w:rPr>
    </w:lvl>
    <w:lvl w:ilvl="5">
      <w:start w:val="0"/>
      <w:numFmt w:val="bullet"/>
      <w:lvlText w:val="•"/>
      <w:lvlJc w:val="left"/>
      <w:pPr>
        <w:ind w:left="884" w:hanging="360"/>
      </w:pPr>
      <w:rPr>
        <w:rFonts w:hint="default"/>
        <w:lang w:val="en-US" w:eastAsia="en-US" w:bidi="ar-SA"/>
      </w:rPr>
    </w:lvl>
    <w:lvl w:ilvl="6">
      <w:start w:val="0"/>
      <w:numFmt w:val="bullet"/>
      <w:lvlText w:val="•"/>
      <w:lvlJc w:val="left"/>
      <w:pPr>
        <w:ind w:left="699" w:hanging="360"/>
      </w:pPr>
      <w:rPr>
        <w:rFonts w:hint="default"/>
        <w:lang w:val="en-US" w:eastAsia="en-US" w:bidi="ar-SA"/>
      </w:rPr>
    </w:lvl>
    <w:lvl w:ilvl="7">
      <w:start w:val="0"/>
      <w:numFmt w:val="bullet"/>
      <w:lvlText w:val="•"/>
      <w:lvlJc w:val="left"/>
      <w:pPr>
        <w:ind w:left="514" w:hanging="360"/>
      </w:pPr>
      <w:rPr>
        <w:rFonts w:hint="default"/>
        <w:lang w:val="en-US" w:eastAsia="en-US" w:bidi="ar-SA"/>
      </w:rPr>
    </w:lvl>
    <w:lvl w:ilvl="8">
      <w:start w:val="0"/>
      <w:numFmt w:val="bullet"/>
      <w:lvlText w:val="•"/>
      <w:lvlJc w:val="left"/>
      <w:pPr>
        <w:ind w:left="329" w:hanging="360"/>
      </w:pPr>
      <w:rPr>
        <w:rFonts w:hint="default"/>
        <w:lang w:val="en-US" w:eastAsia="en-US" w:bidi="ar-SA"/>
      </w:rPr>
    </w:lvl>
  </w:abstractNum>
  <w:abstractNum w:abstractNumId="9">
    <w:multiLevelType w:val="hybridMultilevel"/>
    <w:lvl w:ilvl="0">
      <w:start w:val="1"/>
      <w:numFmt w:val="decimal"/>
      <w:lvlText w:val="%1."/>
      <w:lvlJc w:val="left"/>
      <w:pPr>
        <w:ind w:left="645"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019" w:hanging="321"/>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780" w:hanging="321"/>
      </w:pPr>
      <w:rPr>
        <w:rFonts w:hint="default" w:ascii="Wingdings" w:hAnsi="Wingdings" w:eastAsia="Wingdings" w:cs="Wingdings"/>
        <w:b w:val="0"/>
        <w:bCs w:val="0"/>
        <w:i w:val="0"/>
        <w:iCs w:val="0"/>
        <w:color w:val="2E614A"/>
        <w:spacing w:val="0"/>
        <w:w w:val="100"/>
        <w:sz w:val="16"/>
        <w:szCs w:val="16"/>
        <w:lang w:val="en-US" w:eastAsia="en-US" w:bidi="ar-SA"/>
      </w:rPr>
    </w:lvl>
    <w:lvl w:ilvl="3">
      <w:start w:val="0"/>
      <w:numFmt w:val="bullet"/>
      <w:lvlText w:val="•"/>
      <w:lvlJc w:val="left"/>
      <w:pPr>
        <w:ind w:left="1780" w:hanging="321"/>
      </w:pPr>
      <w:rPr>
        <w:rFonts w:hint="default"/>
        <w:lang w:val="en-US" w:eastAsia="en-US" w:bidi="ar-SA"/>
      </w:rPr>
    </w:lvl>
    <w:lvl w:ilvl="4">
      <w:start w:val="0"/>
      <w:numFmt w:val="bullet"/>
      <w:lvlText w:val="•"/>
      <w:lvlJc w:val="left"/>
      <w:pPr>
        <w:ind w:left="1520" w:hanging="321"/>
      </w:pPr>
      <w:rPr>
        <w:rFonts w:hint="default"/>
        <w:lang w:val="en-US" w:eastAsia="en-US" w:bidi="ar-SA"/>
      </w:rPr>
    </w:lvl>
    <w:lvl w:ilvl="5">
      <w:start w:val="0"/>
      <w:numFmt w:val="bullet"/>
      <w:lvlText w:val="•"/>
      <w:lvlJc w:val="left"/>
      <w:pPr>
        <w:ind w:left="1260" w:hanging="321"/>
      </w:pPr>
      <w:rPr>
        <w:rFonts w:hint="default"/>
        <w:lang w:val="en-US" w:eastAsia="en-US" w:bidi="ar-SA"/>
      </w:rPr>
    </w:lvl>
    <w:lvl w:ilvl="6">
      <w:start w:val="0"/>
      <w:numFmt w:val="bullet"/>
      <w:lvlText w:val="•"/>
      <w:lvlJc w:val="left"/>
      <w:pPr>
        <w:ind w:left="1000" w:hanging="321"/>
      </w:pPr>
      <w:rPr>
        <w:rFonts w:hint="default"/>
        <w:lang w:val="en-US" w:eastAsia="en-US" w:bidi="ar-SA"/>
      </w:rPr>
    </w:lvl>
    <w:lvl w:ilvl="7">
      <w:start w:val="0"/>
      <w:numFmt w:val="bullet"/>
      <w:lvlText w:val="•"/>
      <w:lvlJc w:val="left"/>
      <w:pPr>
        <w:ind w:left="740" w:hanging="321"/>
      </w:pPr>
      <w:rPr>
        <w:rFonts w:hint="default"/>
        <w:lang w:val="en-US" w:eastAsia="en-US" w:bidi="ar-SA"/>
      </w:rPr>
    </w:lvl>
    <w:lvl w:ilvl="8">
      <w:start w:val="0"/>
      <w:numFmt w:val="bullet"/>
      <w:lvlText w:val="•"/>
      <w:lvlJc w:val="left"/>
      <w:pPr>
        <w:ind w:left="480" w:hanging="321"/>
      </w:pPr>
      <w:rPr>
        <w:rFonts w:hint="default"/>
        <w:lang w:val="en-US" w:eastAsia="en-US" w:bidi="ar-SA"/>
      </w:rPr>
    </w:lvl>
  </w:abstractNum>
  <w:abstractNum w:abstractNumId="8">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837" w:hanging="327"/>
      </w:pPr>
      <w:rPr>
        <w:rFonts w:hint="default"/>
        <w:lang w:val="en-US" w:eastAsia="en-US" w:bidi="ar-SA"/>
      </w:rPr>
    </w:lvl>
    <w:lvl w:ilvl="2">
      <w:start w:val="0"/>
      <w:numFmt w:val="bullet"/>
      <w:lvlText w:val="•"/>
      <w:lvlJc w:val="left"/>
      <w:pPr>
        <w:ind w:left="2274" w:hanging="327"/>
      </w:pPr>
      <w:rPr>
        <w:rFonts w:hint="default"/>
        <w:lang w:val="en-US" w:eastAsia="en-US" w:bidi="ar-SA"/>
      </w:rPr>
    </w:lvl>
    <w:lvl w:ilvl="3">
      <w:start w:val="0"/>
      <w:numFmt w:val="bullet"/>
      <w:lvlText w:val="•"/>
      <w:lvlJc w:val="left"/>
      <w:pPr>
        <w:ind w:left="2712" w:hanging="327"/>
      </w:pPr>
      <w:rPr>
        <w:rFonts w:hint="default"/>
        <w:lang w:val="en-US" w:eastAsia="en-US" w:bidi="ar-SA"/>
      </w:rPr>
    </w:lvl>
    <w:lvl w:ilvl="4">
      <w:start w:val="0"/>
      <w:numFmt w:val="bullet"/>
      <w:lvlText w:val="•"/>
      <w:lvlJc w:val="left"/>
      <w:pPr>
        <w:ind w:left="3149" w:hanging="327"/>
      </w:pPr>
      <w:rPr>
        <w:rFonts w:hint="default"/>
        <w:lang w:val="en-US" w:eastAsia="en-US" w:bidi="ar-SA"/>
      </w:rPr>
    </w:lvl>
    <w:lvl w:ilvl="5">
      <w:start w:val="0"/>
      <w:numFmt w:val="bullet"/>
      <w:lvlText w:val="•"/>
      <w:lvlJc w:val="left"/>
      <w:pPr>
        <w:ind w:left="3586" w:hanging="327"/>
      </w:pPr>
      <w:rPr>
        <w:rFonts w:hint="default"/>
        <w:lang w:val="en-US" w:eastAsia="en-US" w:bidi="ar-SA"/>
      </w:rPr>
    </w:lvl>
    <w:lvl w:ilvl="6">
      <w:start w:val="0"/>
      <w:numFmt w:val="bullet"/>
      <w:lvlText w:val="•"/>
      <w:lvlJc w:val="left"/>
      <w:pPr>
        <w:ind w:left="4024" w:hanging="327"/>
      </w:pPr>
      <w:rPr>
        <w:rFonts w:hint="default"/>
        <w:lang w:val="en-US" w:eastAsia="en-US" w:bidi="ar-SA"/>
      </w:rPr>
    </w:lvl>
    <w:lvl w:ilvl="7">
      <w:start w:val="0"/>
      <w:numFmt w:val="bullet"/>
      <w:lvlText w:val="•"/>
      <w:lvlJc w:val="left"/>
      <w:pPr>
        <w:ind w:left="4461" w:hanging="327"/>
      </w:pPr>
      <w:rPr>
        <w:rFonts w:hint="default"/>
        <w:lang w:val="en-US" w:eastAsia="en-US" w:bidi="ar-SA"/>
      </w:rPr>
    </w:lvl>
    <w:lvl w:ilvl="8">
      <w:start w:val="0"/>
      <w:numFmt w:val="bullet"/>
      <w:lvlText w:val="•"/>
      <w:lvlJc w:val="left"/>
      <w:pPr>
        <w:ind w:left="4898" w:hanging="327"/>
      </w:pPr>
      <w:rPr>
        <w:rFonts w:hint="default"/>
        <w:lang w:val="en-US" w:eastAsia="en-US" w:bidi="ar-SA"/>
      </w:rPr>
    </w:lvl>
  </w:abstractNum>
  <w:abstractNum w:abstractNumId="7">
    <w:multiLevelType w:val="hybridMultilevel"/>
    <w:lvl w:ilvl="0">
      <w:start w:val="1"/>
      <w:numFmt w:val="decimal"/>
      <w:lvlText w:val="%1."/>
      <w:lvlJc w:val="left"/>
      <w:pPr>
        <w:ind w:left="1440" w:hanging="360"/>
        <w:jc w:val="right"/>
      </w:pPr>
      <w:rPr>
        <w:rFonts w:hint="default"/>
        <w:spacing w:val="0"/>
        <w:w w:val="102"/>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6">
    <w:multiLevelType w:val="hybridMultilevel"/>
    <w:lvl w:ilvl="0">
      <w:start w:val="1"/>
      <w:numFmt w:val="decimal"/>
      <w:lvlText w:val="%1."/>
      <w:lvlJc w:val="left"/>
      <w:pPr>
        <w:ind w:left="1406" w:hanging="327"/>
        <w:jc w:val="right"/>
      </w:pPr>
      <w:rPr>
        <w:rFonts w:hint="default" w:ascii="Times New Roman" w:hAnsi="Times New Roman" w:eastAsia="Times New Roman" w:cs="Times New Roman"/>
        <w:b/>
        <w:bCs/>
        <w:i w:val="0"/>
        <w:iCs w:val="0"/>
        <w:color w:val="2E614A"/>
        <w:spacing w:val="0"/>
        <w:w w:val="102"/>
        <w:sz w:val="32"/>
        <w:szCs w:val="32"/>
        <w:lang w:val="en-US" w:eastAsia="en-US" w:bidi="ar-SA"/>
      </w:rPr>
    </w:lvl>
    <w:lvl w:ilvl="1">
      <w:start w:val="0"/>
      <w:numFmt w:val="bullet"/>
      <w:lvlText w:val="•"/>
      <w:lvlJc w:val="left"/>
      <w:pPr>
        <w:ind w:left="1837" w:hanging="327"/>
      </w:pPr>
      <w:rPr>
        <w:rFonts w:hint="default"/>
        <w:lang w:val="en-US" w:eastAsia="en-US" w:bidi="ar-SA"/>
      </w:rPr>
    </w:lvl>
    <w:lvl w:ilvl="2">
      <w:start w:val="0"/>
      <w:numFmt w:val="bullet"/>
      <w:lvlText w:val="•"/>
      <w:lvlJc w:val="left"/>
      <w:pPr>
        <w:ind w:left="2274" w:hanging="327"/>
      </w:pPr>
      <w:rPr>
        <w:rFonts w:hint="default"/>
        <w:lang w:val="en-US" w:eastAsia="en-US" w:bidi="ar-SA"/>
      </w:rPr>
    </w:lvl>
    <w:lvl w:ilvl="3">
      <w:start w:val="0"/>
      <w:numFmt w:val="bullet"/>
      <w:lvlText w:val="•"/>
      <w:lvlJc w:val="left"/>
      <w:pPr>
        <w:ind w:left="2712" w:hanging="327"/>
      </w:pPr>
      <w:rPr>
        <w:rFonts w:hint="default"/>
        <w:lang w:val="en-US" w:eastAsia="en-US" w:bidi="ar-SA"/>
      </w:rPr>
    </w:lvl>
    <w:lvl w:ilvl="4">
      <w:start w:val="0"/>
      <w:numFmt w:val="bullet"/>
      <w:lvlText w:val="•"/>
      <w:lvlJc w:val="left"/>
      <w:pPr>
        <w:ind w:left="3149" w:hanging="327"/>
      </w:pPr>
      <w:rPr>
        <w:rFonts w:hint="default"/>
        <w:lang w:val="en-US" w:eastAsia="en-US" w:bidi="ar-SA"/>
      </w:rPr>
    </w:lvl>
    <w:lvl w:ilvl="5">
      <w:start w:val="0"/>
      <w:numFmt w:val="bullet"/>
      <w:lvlText w:val="•"/>
      <w:lvlJc w:val="left"/>
      <w:pPr>
        <w:ind w:left="3586" w:hanging="327"/>
      </w:pPr>
      <w:rPr>
        <w:rFonts w:hint="default"/>
        <w:lang w:val="en-US" w:eastAsia="en-US" w:bidi="ar-SA"/>
      </w:rPr>
    </w:lvl>
    <w:lvl w:ilvl="6">
      <w:start w:val="0"/>
      <w:numFmt w:val="bullet"/>
      <w:lvlText w:val="•"/>
      <w:lvlJc w:val="left"/>
      <w:pPr>
        <w:ind w:left="4024" w:hanging="327"/>
      </w:pPr>
      <w:rPr>
        <w:rFonts w:hint="default"/>
        <w:lang w:val="en-US" w:eastAsia="en-US" w:bidi="ar-SA"/>
      </w:rPr>
    </w:lvl>
    <w:lvl w:ilvl="7">
      <w:start w:val="0"/>
      <w:numFmt w:val="bullet"/>
      <w:lvlText w:val="•"/>
      <w:lvlJc w:val="left"/>
      <w:pPr>
        <w:ind w:left="4461" w:hanging="327"/>
      </w:pPr>
      <w:rPr>
        <w:rFonts w:hint="default"/>
        <w:lang w:val="en-US" w:eastAsia="en-US" w:bidi="ar-SA"/>
      </w:rPr>
    </w:lvl>
    <w:lvl w:ilvl="8">
      <w:start w:val="0"/>
      <w:numFmt w:val="bullet"/>
      <w:lvlText w:val="•"/>
      <w:lvlJc w:val="left"/>
      <w:pPr>
        <w:ind w:left="4898" w:hanging="327"/>
      </w:pPr>
      <w:rPr>
        <w:rFonts w:hint="default"/>
        <w:lang w:val="en-US" w:eastAsia="en-US" w:bidi="ar-SA"/>
      </w:rPr>
    </w:lvl>
  </w:abstractNum>
  <w:abstractNum w:abstractNumId="5">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1275" w:hanging="360"/>
      </w:pPr>
      <w:rPr>
        <w:rFonts w:hint="default"/>
        <w:lang w:val="en-US" w:eastAsia="en-US" w:bidi="ar-SA"/>
      </w:rPr>
    </w:lvl>
    <w:lvl w:ilvl="3">
      <w:start w:val="0"/>
      <w:numFmt w:val="bullet"/>
      <w:lvlText w:val="•"/>
      <w:lvlJc w:val="left"/>
      <w:pPr>
        <w:ind w:left="1111" w:hanging="360"/>
      </w:pPr>
      <w:rPr>
        <w:rFonts w:hint="default"/>
        <w:lang w:val="en-US" w:eastAsia="en-US" w:bidi="ar-SA"/>
      </w:rPr>
    </w:lvl>
    <w:lvl w:ilvl="4">
      <w:start w:val="0"/>
      <w:numFmt w:val="bullet"/>
      <w:lvlText w:val="•"/>
      <w:lvlJc w:val="left"/>
      <w:pPr>
        <w:ind w:left="946" w:hanging="360"/>
      </w:pPr>
      <w:rPr>
        <w:rFonts w:hint="default"/>
        <w:lang w:val="en-US" w:eastAsia="en-US" w:bidi="ar-SA"/>
      </w:rPr>
    </w:lvl>
    <w:lvl w:ilvl="5">
      <w:start w:val="0"/>
      <w:numFmt w:val="bullet"/>
      <w:lvlText w:val="•"/>
      <w:lvlJc w:val="left"/>
      <w:pPr>
        <w:ind w:left="782" w:hanging="360"/>
      </w:pPr>
      <w:rPr>
        <w:rFonts w:hint="default"/>
        <w:lang w:val="en-US" w:eastAsia="en-US" w:bidi="ar-SA"/>
      </w:rPr>
    </w:lvl>
    <w:lvl w:ilvl="6">
      <w:start w:val="0"/>
      <w:numFmt w:val="bullet"/>
      <w:lvlText w:val="•"/>
      <w:lvlJc w:val="left"/>
      <w:pPr>
        <w:ind w:left="617" w:hanging="360"/>
      </w:pPr>
      <w:rPr>
        <w:rFonts w:hint="default"/>
        <w:lang w:val="en-US" w:eastAsia="en-US" w:bidi="ar-SA"/>
      </w:rPr>
    </w:lvl>
    <w:lvl w:ilvl="7">
      <w:start w:val="0"/>
      <w:numFmt w:val="bullet"/>
      <w:lvlText w:val="•"/>
      <w:lvlJc w:val="left"/>
      <w:pPr>
        <w:ind w:left="453" w:hanging="360"/>
      </w:pPr>
      <w:rPr>
        <w:rFonts w:hint="default"/>
        <w:lang w:val="en-US" w:eastAsia="en-US" w:bidi="ar-SA"/>
      </w:rPr>
    </w:lvl>
    <w:lvl w:ilvl="8">
      <w:start w:val="0"/>
      <w:numFmt w:val="bullet"/>
      <w:lvlText w:val="•"/>
      <w:lvlJc w:val="left"/>
      <w:pPr>
        <w:ind w:left="288" w:hanging="360"/>
      </w:pPr>
      <w:rPr>
        <w:rFonts w:hint="default"/>
        <w:lang w:val="en-US" w:eastAsia="en-US" w:bidi="ar-SA"/>
      </w:rPr>
    </w:lvl>
  </w:abstractNum>
  <w:abstractNum w:abstractNumId="4">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3">
    <w:multiLevelType w:val="hybridMultilevel"/>
    <w:lvl w:ilvl="0">
      <w:start w:val="0"/>
      <w:numFmt w:val="bullet"/>
      <w:lvlText w:val=""/>
      <w:lvlJc w:val="left"/>
      <w:pPr>
        <w:ind w:left="679"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3489" w:hanging="360"/>
      </w:pPr>
      <w:rPr>
        <w:rFonts w:hint="default" w:ascii="Wingdings" w:hAnsi="Wingdings" w:eastAsia="Wingdings" w:cs="Wingdings"/>
        <w:b w:val="0"/>
        <w:bCs w:val="0"/>
        <w:i w:val="0"/>
        <w:iCs w:val="0"/>
        <w:color w:val="2E614A"/>
        <w:spacing w:val="0"/>
        <w:w w:val="100"/>
        <w:sz w:val="16"/>
        <w:szCs w:val="16"/>
        <w:lang w:val="en-US" w:eastAsia="en-US" w:bidi="ar-SA"/>
      </w:rPr>
    </w:lvl>
    <w:lvl w:ilvl="2">
      <w:start w:val="0"/>
      <w:numFmt w:val="bullet"/>
      <w:lvlText w:val="•"/>
      <w:lvlJc w:val="left"/>
      <w:pPr>
        <w:ind w:left="3770" w:hanging="360"/>
      </w:pPr>
      <w:rPr>
        <w:rFonts w:hint="default"/>
        <w:lang w:val="en-US" w:eastAsia="en-US" w:bidi="ar-SA"/>
      </w:rPr>
    </w:lvl>
    <w:lvl w:ilvl="3">
      <w:start w:val="0"/>
      <w:numFmt w:val="bullet"/>
      <w:lvlText w:val="•"/>
      <w:lvlJc w:val="left"/>
      <w:pPr>
        <w:ind w:left="4060" w:hanging="360"/>
      </w:pPr>
      <w:rPr>
        <w:rFonts w:hint="default"/>
        <w:lang w:val="en-US" w:eastAsia="en-US" w:bidi="ar-SA"/>
      </w:rPr>
    </w:lvl>
    <w:lvl w:ilvl="4">
      <w:start w:val="0"/>
      <w:numFmt w:val="bullet"/>
      <w:lvlText w:val="•"/>
      <w:lvlJc w:val="left"/>
      <w:pPr>
        <w:ind w:left="4350" w:hanging="360"/>
      </w:pPr>
      <w:rPr>
        <w:rFonts w:hint="default"/>
        <w:lang w:val="en-US" w:eastAsia="en-US" w:bidi="ar-SA"/>
      </w:rPr>
    </w:lvl>
    <w:lvl w:ilvl="5">
      <w:start w:val="0"/>
      <w:numFmt w:val="bullet"/>
      <w:lvlText w:val="•"/>
      <w:lvlJc w:val="left"/>
      <w:pPr>
        <w:ind w:left="4640" w:hanging="360"/>
      </w:pPr>
      <w:rPr>
        <w:rFonts w:hint="default"/>
        <w:lang w:val="en-US" w:eastAsia="en-US" w:bidi="ar-SA"/>
      </w:rPr>
    </w:lvl>
    <w:lvl w:ilvl="6">
      <w:start w:val="0"/>
      <w:numFmt w:val="bullet"/>
      <w:lvlText w:val="•"/>
      <w:lvlJc w:val="left"/>
      <w:pPr>
        <w:ind w:left="4931" w:hanging="360"/>
      </w:pPr>
      <w:rPr>
        <w:rFonts w:hint="default"/>
        <w:lang w:val="en-US" w:eastAsia="en-US" w:bidi="ar-SA"/>
      </w:rPr>
    </w:lvl>
    <w:lvl w:ilvl="7">
      <w:start w:val="0"/>
      <w:numFmt w:val="bullet"/>
      <w:lvlText w:val="•"/>
      <w:lvlJc w:val="left"/>
      <w:pPr>
        <w:ind w:left="5221" w:hanging="360"/>
      </w:pPr>
      <w:rPr>
        <w:rFonts w:hint="default"/>
        <w:lang w:val="en-US" w:eastAsia="en-US" w:bidi="ar-SA"/>
      </w:rPr>
    </w:lvl>
    <w:lvl w:ilvl="8">
      <w:start w:val="0"/>
      <w:numFmt w:val="bullet"/>
      <w:lvlText w:val="•"/>
      <w:lvlJc w:val="left"/>
      <w:pPr>
        <w:ind w:left="5511" w:hanging="360"/>
      </w:pPr>
      <w:rPr>
        <w:rFonts w:hint="default"/>
        <w:lang w:val="en-US" w:eastAsia="en-US" w:bidi="ar-SA"/>
      </w:rPr>
    </w:lvl>
  </w:abstractNum>
  <w:abstractNum w:abstractNumId="2">
    <w:multiLevelType w:val="hybridMultilevel"/>
    <w:lvl w:ilvl="0">
      <w:start w:val="0"/>
      <w:numFmt w:val="bullet"/>
      <w:lvlText w:val=""/>
      <w:lvlJc w:val="left"/>
      <w:pPr>
        <w:ind w:left="1651" w:hanging="360"/>
      </w:pPr>
      <w:rPr>
        <w:rFonts w:hint="default" w:ascii="Wingdings" w:hAnsi="Wingdings" w:eastAsia="Wingdings" w:cs="Wingdings"/>
        <w:b w:val="0"/>
        <w:bCs w:val="0"/>
        <w:i w:val="0"/>
        <w:iCs w:val="0"/>
        <w:spacing w:val="0"/>
        <w:w w:val="100"/>
        <w:sz w:val="16"/>
        <w:szCs w:val="16"/>
        <w:lang w:val="en-US" w:eastAsia="en-US" w:bidi="ar-SA"/>
      </w:rPr>
    </w:lvl>
    <w:lvl w:ilvl="1">
      <w:start w:val="0"/>
      <w:numFmt w:val="bullet"/>
      <w:lvlText w:val="•"/>
      <w:lvlJc w:val="left"/>
      <w:pPr>
        <w:ind w:left="2684" w:hanging="360"/>
      </w:pPr>
      <w:rPr>
        <w:rFonts w:hint="default"/>
        <w:lang w:val="en-US" w:eastAsia="en-US" w:bidi="ar-SA"/>
      </w:rPr>
    </w:lvl>
    <w:lvl w:ilvl="2">
      <w:start w:val="0"/>
      <w:numFmt w:val="bullet"/>
      <w:lvlText w:val="•"/>
      <w:lvlJc w:val="left"/>
      <w:pPr>
        <w:ind w:left="3709" w:hanging="360"/>
      </w:pPr>
      <w:rPr>
        <w:rFonts w:hint="default"/>
        <w:lang w:val="en-US" w:eastAsia="en-US" w:bidi="ar-SA"/>
      </w:rPr>
    </w:lvl>
    <w:lvl w:ilvl="3">
      <w:start w:val="0"/>
      <w:numFmt w:val="bullet"/>
      <w:lvlText w:val="•"/>
      <w:lvlJc w:val="left"/>
      <w:pPr>
        <w:ind w:left="4733" w:hanging="360"/>
      </w:pPr>
      <w:rPr>
        <w:rFonts w:hint="default"/>
        <w:lang w:val="en-US" w:eastAsia="en-US" w:bidi="ar-SA"/>
      </w:rPr>
    </w:lvl>
    <w:lvl w:ilvl="4">
      <w:start w:val="0"/>
      <w:numFmt w:val="bullet"/>
      <w:lvlText w:val="•"/>
      <w:lvlJc w:val="left"/>
      <w:pPr>
        <w:ind w:left="5758" w:hanging="360"/>
      </w:pPr>
      <w:rPr>
        <w:rFonts w:hint="default"/>
        <w:lang w:val="en-US" w:eastAsia="en-US" w:bidi="ar-SA"/>
      </w:rPr>
    </w:lvl>
    <w:lvl w:ilvl="5">
      <w:start w:val="0"/>
      <w:numFmt w:val="bullet"/>
      <w:lvlText w:val="•"/>
      <w:lvlJc w:val="left"/>
      <w:pPr>
        <w:ind w:left="6782" w:hanging="360"/>
      </w:pPr>
      <w:rPr>
        <w:rFonts w:hint="default"/>
        <w:lang w:val="en-US" w:eastAsia="en-US" w:bidi="ar-SA"/>
      </w:rPr>
    </w:lvl>
    <w:lvl w:ilvl="6">
      <w:start w:val="0"/>
      <w:numFmt w:val="bullet"/>
      <w:lvlText w:val="•"/>
      <w:lvlJc w:val="left"/>
      <w:pPr>
        <w:ind w:left="7807" w:hanging="360"/>
      </w:pPr>
      <w:rPr>
        <w:rFonts w:hint="default"/>
        <w:lang w:val="en-US" w:eastAsia="en-US" w:bidi="ar-SA"/>
      </w:rPr>
    </w:lvl>
    <w:lvl w:ilvl="7">
      <w:start w:val="0"/>
      <w:numFmt w:val="bullet"/>
      <w:lvlText w:val="•"/>
      <w:lvlJc w:val="left"/>
      <w:pPr>
        <w:ind w:left="8831" w:hanging="360"/>
      </w:pPr>
      <w:rPr>
        <w:rFonts w:hint="default"/>
        <w:lang w:val="en-US" w:eastAsia="en-US" w:bidi="ar-SA"/>
      </w:rPr>
    </w:lvl>
    <w:lvl w:ilvl="8">
      <w:start w:val="0"/>
      <w:numFmt w:val="bullet"/>
      <w:lvlText w:val="•"/>
      <w:lvlJc w:val="left"/>
      <w:pPr>
        <w:ind w:left="9856" w:hanging="360"/>
      </w:pPr>
      <w:rPr>
        <w:rFonts w:hint="default"/>
        <w:lang w:val="en-US" w:eastAsia="en-US" w:bidi="ar-SA"/>
      </w:rPr>
    </w:lvl>
  </w:abstractNum>
  <w:abstractNum w:abstractNumId="1">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8"/>
        <w:szCs w:val="18"/>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abstractNum w:abstractNumId="0">
    <w:multiLevelType w:val="hybridMultilevel"/>
    <w:lvl w:ilvl="0">
      <w:start w:val="0"/>
      <w:numFmt w:val="bullet"/>
      <w:lvlText w:val=""/>
      <w:lvlJc w:val="left"/>
      <w:pPr>
        <w:ind w:left="1440" w:hanging="360"/>
      </w:pPr>
      <w:rPr>
        <w:rFonts w:hint="default" w:ascii="Wingdings" w:hAnsi="Wingdings" w:eastAsia="Wingdings" w:cs="Wingdings"/>
        <w:b w:val="0"/>
        <w:bCs w:val="0"/>
        <w:i w:val="0"/>
        <w:iCs w:val="0"/>
        <w:color w:val="2E614A"/>
        <w:spacing w:val="0"/>
        <w:w w:val="100"/>
        <w:sz w:val="16"/>
        <w:szCs w:val="16"/>
        <w:lang w:val="en-US" w:eastAsia="en-US" w:bidi="ar-SA"/>
      </w:rPr>
    </w:lvl>
    <w:lvl w:ilvl="1">
      <w:start w:val="0"/>
      <w:numFmt w:val="bullet"/>
      <w:lvlText w:val="•"/>
      <w:lvlJc w:val="left"/>
      <w:pPr>
        <w:ind w:left="1873" w:hanging="360"/>
      </w:pPr>
      <w:rPr>
        <w:rFonts w:hint="default"/>
        <w:lang w:val="en-US" w:eastAsia="en-US" w:bidi="ar-SA"/>
      </w:rPr>
    </w:lvl>
    <w:lvl w:ilvl="2">
      <w:start w:val="0"/>
      <w:numFmt w:val="bullet"/>
      <w:lvlText w:val="•"/>
      <w:lvlJc w:val="left"/>
      <w:pPr>
        <w:ind w:left="2306" w:hanging="360"/>
      </w:pPr>
      <w:rPr>
        <w:rFonts w:hint="default"/>
        <w:lang w:val="en-US" w:eastAsia="en-US" w:bidi="ar-SA"/>
      </w:rPr>
    </w:lvl>
    <w:lvl w:ilvl="3">
      <w:start w:val="0"/>
      <w:numFmt w:val="bullet"/>
      <w:lvlText w:val="•"/>
      <w:lvlJc w:val="left"/>
      <w:pPr>
        <w:ind w:left="2740"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06" w:hanging="360"/>
      </w:pPr>
      <w:rPr>
        <w:rFonts w:hint="default"/>
        <w:lang w:val="en-US" w:eastAsia="en-US" w:bidi="ar-SA"/>
      </w:rPr>
    </w:lvl>
    <w:lvl w:ilvl="6">
      <w:start w:val="0"/>
      <w:numFmt w:val="bullet"/>
      <w:lvlText w:val="•"/>
      <w:lvlJc w:val="left"/>
      <w:pPr>
        <w:ind w:left="4040" w:hanging="360"/>
      </w:pPr>
      <w:rPr>
        <w:rFonts w:hint="default"/>
        <w:lang w:val="en-US" w:eastAsia="en-US" w:bidi="ar-SA"/>
      </w:rPr>
    </w:lvl>
    <w:lvl w:ilvl="7">
      <w:start w:val="0"/>
      <w:numFmt w:val="bullet"/>
      <w:lvlText w:val="•"/>
      <w:lvlJc w:val="left"/>
      <w:pPr>
        <w:ind w:left="4473" w:hanging="360"/>
      </w:pPr>
      <w:rPr>
        <w:rFonts w:hint="default"/>
        <w:lang w:val="en-US" w:eastAsia="en-US" w:bidi="ar-SA"/>
      </w:rPr>
    </w:lvl>
    <w:lvl w:ilvl="8">
      <w:start w:val="0"/>
      <w:numFmt w:val="bullet"/>
      <w:lvlText w:val="•"/>
      <w:lvlJc w:val="left"/>
      <w:pPr>
        <w:ind w:left="4906" w:hanging="360"/>
      </w:pPr>
      <w:rPr>
        <w:rFonts w:hint="default"/>
        <w:lang w:val="en-US" w:eastAsia="en-US" w:bidi="ar-SA"/>
      </w:rPr>
    </w:lvl>
  </w:abstractNum>
  <w:num w:numId="72">
    <w:abstractNumId w:val="71"/>
  </w:num>
  <w:num w:numId="71">
    <w:abstractNumId w:val="70"/>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31">
    <w:abstractNumId w:val="30"/>
  </w:num>
  <w:num w:numId="28">
    <w:abstractNumId w:val="27"/>
  </w:num>
  <w:num w:numId="29">
    <w:abstractNumId w:val="28"/>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0">
    <w:abstractNumId w:val="29"/>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07"/>
      <w:ind w:left="1080"/>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117"/>
      <w:ind w:left="1439"/>
    </w:pPr>
    <w:rPr>
      <w:rFonts w:ascii="Times New Roman" w:hAnsi="Times New Roman" w:eastAsia="Times New Roman" w:cs="Times New Roman"/>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20"/>
      <w:outlineLvl w:val="1"/>
    </w:pPr>
    <w:rPr>
      <w:rFonts w:ascii="Trebuchet MS" w:hAnsi="Trebuchet MS" w:eastAsia="Trebuchet MS" w:cs="Trebuchet MS"/>
      <w:b/>
      <w:bCs/>
      <w:sz w:val="120"/>
      <w:szCs w:val="120"/>
      <w:lang w:val="en-US" w:eastAsia="en-US" w:bidi="ar-SA"/>
    </w:rPr>
  </w:style>
  <w:style w:styleId="Heading2" w:type="paragraph">
    <w:name w:val="Heading 2"/>
    <w:basedOn w:val="Normal"/>
    <w:uiPriority w:val="1"/>
    <w:qFormat/>
    <w:pPr>
      <w:spacing w:before="596"/>
      <w:ind w:left="1980" w:right="4604"/>
      <w:outlineLvl w:val="2"/>
    </w:pPr>
    <w:rPr>
      <w:rFonts w:ascii="Trebuchet MS" w:hAnsi="Trebuchet MS" w:eastAsia="Trebuchet MS" w:cs="Trebuchet MS"/>
      <w:b/>
      <w:bCs/>
      <w:sz w:val="96"/>
      <w:szCs w:val="96"/>
      <w:lang w:val="en-US" w:eastAsia="en-US" w:bidi="ar-SA"/>
    </w:rPr>
  </w:style>
  <w:style w:styleId="Heading3" w:type="paragraph">
    <w:name w:val="Heading 3"/>
    <w:basedOn w:val="Normal"/>
    <w:uiPriority w:val="1"/>
    <w:qFormat/>
    <w:pPr>
      <w:spacing w:before="100"/>
      <w:ind w:left="1080"/>
      <w:outlineLvl w:val="3"/>
    </w:pPr>
    <w:rPr>
      <w:rFonts w:ascii="Trebuchet MS" w:hAnsi="Trebuchet MS" w:eastAsia="Trebuchet MS" w:cs="Trebuchet MS"/>
      <w:b/>
      <w:bCs/>
      <w:sz w:val="68"/>
      <w:szCs w:val="68"/>
      <w:lang w:val="en-US" w:eastAsia="en-US" w:bidi="ar-SA"/>
    </w:rPr>
  </w:style>
  <w:style w:styleId="Heading4" w:type="paragraph">
    <w:name w:val="Heading 4"/>
    <w:basedOn w:val="Normal"/>
    <w:uiPriority w:val="1"/>
    <w:qFormat/>
    <w:pPr>
      <w:spacing w:before="100"/>
      <w:ind w:left="960"/>
      <w:outlineLvl w:val="4"/>
    </w:pPr>
    <w:rPr>
      <w:rFonts w:ascii="Trebuchet MS" w:hAnsi="Trebuchet MS" w:eastAsia="Trebuchet MS" w:cs="Trebuchet MS"/>
      <w:b/>
      <w:bCs/>
      <w:sz w:val="48"/>
      <w:szCs w:val="48"/>
      <w:lang w:val="en-US" w:eastAsia="en-US" w:bidi="ar-SA"/>
    </w:rPr>
  </w:style>
  <w:style w:styleId="Heading5" w:type="paragraph">
    <w:name w:val="Heading 5"/>
    <w:basedOn w:val="Normal"/>
    <w:uiPriority w:val="1"/>
    <w:qFormat/>
    <w:pPr>
      <w:spacing w:before="6"/>
      <w:ind w:left="1080"/>
      <w:outlineLvl w:val="5"/>
    </w:pPr>
    <w:rPr>
      <w:rFonts w:ascii="Trebuchet MS" w:hAnsi="Trebuchet MS" w:eastAsia="Trebuchet MS" w:cs="Trebuchet MS"/>
      <w:b/>
      <w:bCs/>
      <w:sz w:val="40"/>
      <w:szCs w:val="40"/>
      <w:lang w:val="en-US" w:eastAsia="en-US" w:bidi="ar-SA"/>
    </w:rPr>
  </w:style>
  <w:style w:styleId="Heading6" w:type="paragraph">
    <w:name w:val="Heading 6"/>
    <w:basedOn w:val="Normal"/>
    <w:uiPriority w:val="1"/>
    <w:qFormat/>
    <w:pPr>
      <w:ind w:left="1406" w:hanging="327"/>
      <w:outlineLvl w:val="6"/>
    </w:pPr>
    <w:rPr>
      <w:rFonts w:ascii="Times New Roman" w:hAnsi="Times New Roman" w:eastAsia="Times New Roman" w:cs="Times New Roman"/>
      <w:b/>
      <w:bCs/>
      <w:sz w:val="32"/>
      <w:szCs w:val="32"/>
      <w:lang w:val="en-US" w:eastAsia="en-US" w:bidi="ar-SA"/>
    </w:rPr>
  </w:style>
  <w:style w:styleId="Heading7" w:type="paragraph">
    <w:name w:val="Heading 7"/>
    <w:basedOn w:val="Normal"/>
    <w:uiPriority w:val="1"/>
    <w:qFormat/>
    <w:pPr>
      <w:ind w:left="319"/>
      <w:outlineLvl w:val="7"/>
    </w:pPr>
    <w:rPr>
      <w:rFonts w:ascii="Times New Roman" w:hAnsi="Times New Roman" w:eastAsia="Times New Roman" w:cs="Times New Roman"/>
      <w:b/>
      <w:bCs/>
      <w:sz w:val="26"/>
      <w:szCs w:val="26"/>
      <w:lang w:val="en-US" w:eastAsia="en-US" w:bidi="ar-SA"/>
    </w:rPr>
  </w:style>
  <w:style w:styleId="Heading8" w:type="paragraph">
    <w:name w:val="Heading 8"/>
    <w:basedOn w:val="Normal"/>
    <w:uiPriority w:val="1"/>
    <w:qFormat/>
    <w:pPr>
      <w:ind w:left="1079"/>
      <w:outlineLvl w:val="8"/>
    </w:pPr>
    <w:rPr>
      <w:rFonts w:ascii="Times New Roman" w:hAnsi="Times New Roman" w:eastAsia="Times New Roman" w:cs="Times New Roman"/>
      <w:b/>
      <w:bCs/>
      <w:sz w:val="24"/>
      <w:szCs w:val="24"/>
      <w:lang w:val="en-US" w:eastAsia="en-US" w:bidi="ar-SA"/>
    </w:rPr>
  </w:style>
  <w:style w:styleId="Heading9" w:type="paragraph">
    <w:name w:val="Heading 9"/>
    <w:basedOn w:val="Normal"/>
    <w:uiPriority w:val="1"/>
    <w:qFormat/>
    <w:pPr>
      <w:ind w:left="1080"/>
      <w:outlineLvl w:val="9"/>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ind w:left="143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4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www.knowledgecommission.gov.in/" TargetMode="External"/><Relationship Id="rId9" Type="http://schemas.openxmlformats.org/officeDocument/2006/relationships/hyperlink" Target="http://www.newconceptinfo.com/"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8.png"/><Relationship Id="rId16" Type="http://schemas.openxmlformats.org/officeDocument/2006/relationships/footer" Target="footer4.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9.jpeg"/><Relationship Id="rId20" Type="http://schemas.openxmlformats.org/officeDocument/2006/relationships/footer" Target="footer5.xml"/><Relationship Id="rId21" Type="http://schemas.openxmlformats.org/officeDocument/2006/relationships/image" Target="media/image10.jpeg"/><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footer" Target="footer8.xml"/><Relationship Id="rId37" Type="http://schemas.openxmlformats.org/officeDocument/2006/relationships/footer" Target="footer9.xml"/><Relationship Id="rId38" Type="http://schemas.openxmlformats.org/officeDocument/2006/relationships/footer" Target="footer10.xml"/><Relationship Id="rId39" Type="http://schemas.openxmlformats.org/officeDocument/2006/relationships/footer" Target="footer11.xml"/><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80" Type="http://schemas.openxmlformats.org/officeDocument/2006/relationships/image" Target="media/image60.png"/><Relationship Id="rId81" Type="http://schemas.openxmlformats.org/officeDocument/2006/relationships/image" Target="media/image61.png"/><Relationship Id="rId82" Type="http://schemas.openxmlformats.org/officeDocument/2006/relationships/image" Target="media/image62.png"/><Relationship Id="rId83" Type="http://schemas.openxmlformats.org/officeDocument/2006/relationships/image" Target="media/image63.png"/><Relationship Id="rId84" Type="http://schemas.openxmlformats.org/officeDocument/2006/relationships/image" Target="media/image64.png"/><Relationship Id="rId85" Type="http://schemas.openxmlformats.org/officeDocument/2006/relationships/image" Target="media/image65.png"/><Relationship Id="rId86" Type="http://schemas.openxmlformats.org/officeDocument/2006/relationships/image" Target="media/image66.png"/><Relationship Id="rId87" Type="http://schemas.openxmlformats.org/officeDocument/2006/relationships/image" Target="media/image67.png"/><Relationship Id="rId88" Type="http://schemas.openxmlformats.org/officeDocument/2006/relationships/image" Target="media/image68.png"/><Relationship Id="rId89" Type="http://schemas.openxmlformats.org/officeDocument/2006/relationships/image" Target="media/image69.png"/><Relationship Id="rId90" Type="http://schemas.openxmlformats.org/officeDocument/2006/relationships/image" Target="media/image70.png"/><Relationship Id="rId91" Type="http://schemas.openxmlformats.org/officeDocument/2006/relationships/image" Target="media/image71.png"/><Relationship Id="rId92" Type="http://schemas.openxmlformats.org/officeDocument/2006/relationships/image" Target="media/image72.png"/><Relationship Id="rId93" Type="http://schemas.openxmlformats.org/officeDocument/2006/relationships/image" Target="media/image73.png"/><Relationship Id="rId94" Type="http://schemas.openxmlformats.org/officeDocument/2006/relationships/image" Target="media/image74.png"/><Relationship Id="rId95" Type="http://schemas.openxmlformats.org/officeDocument/2006/relationships/image" Target="media/image75.png"/><Relationship Id="rId96" Type="http://schemas.openxmlformats.org/officeDocument/2006/relationships/image" Target="media/image76.png"/><Relationship Id="rId97" Type="http://schemas.openxmlformats.org/officeDocument/2006/relationships/image" Target="media/image77.png"/><Relationship Id="rId98" Type="http://schemas.openxmlformats.org/officeDocument/2006/relationships/image" Target="media/image78.png"/><Relationship Id="rId99" Type="http://schemas.openxmlformats.org/officeDocument/2006/relationships/image" Target="media/image79.png"/><Relationship Id="rId100" Type="http://schemas.openxmlformats.org/officeDocument/2006/relationships/image" Target="media/image80.png"/><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image" Target="media/image92.png"/><Relationship Id="rId113" Type="http://schemas.openxmlformats.org/officeDocument/2006/relationships/image" Target="media/image93.png"/><Relationship Id="rId114" Type="http://schemas.openxmlformats.org/officeDocument/2006/relationships/image" Target="media/image94.png"/><Relationship Id="rId115" Type="http://schemas.openxmlformats.org/officeDocument/2006/relationships/image" Target="media/image95.png"/><Relationship Id="rId116" Type="http://schemas.openxmlformats.org/officeDocument/2006/relationships/image" Target="media/image96.png"/><Relationship Id="rId117" Type="http://schemas.openxmlformats.org/officeDocument/2006/relationships/image" Target="media/image97.png"/><Relationship Id="rId118" Type="http://schemas.openxmlformats.org/officeDocument/2006/relationships/image" Target="media/image98.png"/><Relationship Id="rId119" Type="http://schemas.openxmlformats.org/officeDocument/2006/relationships/image" Target="media/image99.png"/><Relationship Id="rId120" Type="http://schemas.openxmlformats.org/officeDocument/2006/relationships/image" Target="media/image100.png"/><Relationship Id="rId121" Type="http://schemas.openxmlformats.org/officeDocument/2006/relationships/image" Target="media/image101.png"/><Relationship Id="rId122" Type="http://schemas.openxmlformats.org/officeDocument/2006/relationships/image" Target="media/image102.png"/><Relationship Id="rId123" Type="http://schemas.openxmlformats.org/officeDocument/2006/relationships/image" Target="media/image103.png"/><Relationship Id="rId124" Type="http://schemas.openxmlformats.org/officeDocument/2006/relationships/image" Target="media/image104.png"/><Relationship Id="rId125" Type="http://schemas.openxmlformats.org/officeDocument/2006/relationships/image" Target="media/image105.png"/><Relationship Id="rId126" Type="http://schemas.openxmlformats.org/officeDocument/2006/relationships/image" Target="media/image106.png"/><Relationship Id="rId127" Type="http://schemas.openxmlformats.org/officeDocument/2006/relationships/image" Target="media/image107.png"/><Relationship Id="rId128" Type="http://schemas.openxmlformats.org/officeDocument/2006/relationships/image" Target="media/image108.png"/><Relationship Id="rId129" Type="http://schemas.openxmlformats.org/officeDocument/2006/relationships/image" Target="media/image109.png"/><Relationship Id="rId130" Type="http://schemas.openxmlformats.org/officeDocument/2006/relationships/image" Target="media/image110.png"/><Relationship Id="rId131" Type="http://schemas.openxmlformats.org/officeDocument/2006/relationships/image" Target="media/image111.png"/><Relationship Id="rId132" Type="http://schemas.openxmlformats.org/officeDocument/2006/relationships/image" Target="media/image112.png"/><Relationship Id="rId133" Type="http://schemas.openxmlformats.org/officeDocument/2006/relationships/image" Target="media/image113.png"/><Relationship Id="rId134" Type="http://schemas.openxmlformats.org/officeDocument/2006/relationships/image" Target="media/image114.png"/><Relationship Id="rId135" Type="http://schemas.openxmlformats.org/officeDocument/2006/relationships/image" Target="media/image115.png"/><Relationship Id="rId136" Type="http://schemas.openxmlformats.org/officeDocument/2006/relationships/image" Target="media/image116.png"/><Relationship Id="rId137" Type="http://schemas.openxmlformats.org/officeDocument/2006/relationships/image" Target="media/image117.png"/><Relationship Id="rId138" Type="http://schemas.openxmlformats.org/officeDocument/2006/relationships/image" Target="media/image118.png"/><Relationship Id="rId139" Type="http://schemas.openxmlformats.org/officeDocument/2006/relationships/image" Target="media/image119.png"/><Relationship Id="rId140" Type="http://schemas.openxmlformats.org/officeDocument/2006/relationships/image" Target="media/image120.png"/><Relationship Id="rId141" Type="http://schemas.openxmlformats.org/officeDocument/2006/relationships/image" Target="media/image121.png"/><Relationship Id="rId142" Type="http://schemas.openxmlformats.org/officeDocument/2006/relationships/image" Target="media/image122.png"/><Relationship Id="rId143" Type="http://schemas.openxmlformats.org/officeDocument/2006/relationships/image" Target="media/image123.png"/><Relationship Id="rId144" Type="http://schemas.openxmlformats.org/officeDocument/2006/relationships/image" Target="media/image124.png"/><Relationship Id="rId145" Type="http://schemas.openxmlformats.org/officeDocument/2006/relationships/image" Target="media/image125.png"/><Relationship Id="rId146" Type="http://schemas.openxmlformats.org/officeDocument/2006/relationships/image" Target="media/image126.png"/><Relationship Id="rId147" Type="http://schemas.openxmlformats.org/officeDocument/2006/relationships/image" Target="media/image127.png"/><Relationship Id="rId148" Type="http://schemas.openxmlformats.org/officeDocument/2006/relationships/image" Target="media/image128.png"/><Relationship Id="rId149" Type="http://schemas.openxmlformats.org/officeDocument/2006/relationships/image" Target="media/image129.png"/><Relationship Id="rId150" Type="http://schemas.openxmlformats.org/officeDocument/2006/relationships/image" Target="media/image130.png"/><Relationship Id="rId151" Type="http://schemas.openxmlformats.org/officeDocument/2006/relationships/image" Target="media/image131.png"/><Relationship Id="rId152" Type="http://schemas.openxmlformats.org/officeDocument/2006/relationships/image" Target="media/image132.png"/><Relationship Id="rId153" Type="http://schemas.openxmlformats.org/officeDocument/2006/relationships/image" Target="media/image133.png"/><Relationship Id="rId154" Type="http://schemas.openxmlformats.org/officeDocument/2006/relationships/image" Target="media/image134.png"/><Relationship Id="rId155" Type="http://schemas.openxmlformats.org/officeDocument/2006/relationships/image" Target="media/image135.png"/><Relationship Id="rId156" Type="http://schemas.openxmlformats.org/officeDocument/2006/relationships/image" Target="media/image136.png"/><Relationship Id="rId157" Type="http://schemas.openxmlformats.org/officeDocument/2006/relationships/image" Target="media/image137.png"/><Relationship Id="rId158" Type="http://schemas.openxmlformats.org/officeDocument/2006/relationships/image" Target="media/image138.png"/><Relationship Id="rId159" Type="http://schemas.openxmlformats.org/officeDocument/2006/relationships/image" Target="media/image139.png"/><Relationship Id="rId160" Type="http://schemas.openxmlformats.org/officeDocument/2006/relationships/image" Target="media/image140.png"/><Relationship Id="rId161" Type="http://schemas.openxmlformats.org/officeDocument/2006/relationships/image" Target="media/image141.png"/><Relationship Id="rId162" Type="http://schemas.openxmlformats.org/officeDocument/2006/relationships/image" Target="media/image142.png"/><Relationship Id="rId163" Type="http://schemas.openxmlformats.org/officeDocument/2006/relationships/image" Target="media/image143.png"/><Relationship Id="rId164" Type="http://schemas.openxmlformats.org/officeDocument/2006/relationships/image" Target="media/image144.png"/><Relationship Id="rId165" Type="http://schemas.openxmlformats.org/officeDocument/2006/relationships/image" Target="media/image145.png"/><Relationship Id="rId166" Type="http://schemas.openxmlformats.org/officeDocument/2006/relationships/image" Target="media/image146.png"/><Relationship Id="rId167" Type="http://schemas.openxmlformats.org/officeDocument/2006/relationships/image" Target="media/image147.png"/><Relationship Id="rId168" Type="http://schemas.openxmlformats.org/officeDocument/2006/relationships/image" Target="media/image148.png"/><Relationship Id="rId169" Type="http://schemas.openxmlformats.org/officeDocument/2006/relationships/image" Target="media/image149.png"/><Relationship Id="rId170" Type="http://schemas.openxmlformats.org/officeDocument/2006/relationships/image" Target="media/image150.png"/><Relationship Id="rId171" Type="http://schemas.openxmlformats.org/officeDocument/2006/relationships/image" Target="media/image151.png"/><Relationship Id="rId172" Type="http://schemas.openxmlformats.org/officeDocument/2006/relationships/image" Target="media/image152.png"/><Relationship Id="rId173" Type="http://schemas.openxmlformats.org/officeDocument/2006/relationships/image" Target="media/image153.png"/><Relationship Id="rId174" Type="http://schemas.openxmlformats.org/officeDocument/2006/relationships/image" Target="media/image154.png"/><Relationship Id="rId175" Type="http://schemas.openxmlformats.org/officeDocument/2006/relationships/image" Target="media/image155.png"/><Relationship Id="rId176" Type="http://schemas.openxmlformats.org/officeDocument/2006/relationships/image" Target="media/image156.png"/><Relationship Id="rId177" Type="http://schemas.openxmlformats.org/officeDocument/2006/relationships/image" Target="media/image157.png"/><Relationship Id="rId178" Type="http://schemas.openxmlformats.org/officeDocument/2006/relationships/image" Target="media/image158.png"/><Relationship Id="rId179" Type="http://schemas.openxmlformats.org/officeDocument/2006/relationships/image" Target="media/image159.png"/><Relationship Id="rId180" Type="http://schemas.openxmlformats.org/officeDocument/2006/relationships/image" Target="media/image160.png"/><Relationship Id="rId181" Type="http://schemas.openxmlformats.org/officeDocument/2006/relationships/image" Target="media/image161.png"/><Relationship Id="rId182" Type="http://schemas.openxmlformats.org/officeDocument/2006/relationships/image" Target="media/image162.png"/><Relationship Id="rId183" Type="http://schemas.openxmlformats.org/officeDocument/2006/relationships/image" Target="media/image163.png"/><Relationship Id="rId184" Type="http://schemas.openxmlformats.org/officeDocument/2006/relationships/image" Target="media/image164.png"/><Relationship Id="rId185" Type="http://schemas.openxmlformats.org/officeDocument/2006/relationships/image" Target="media/image165.png"/><Relationship Id="rId186" Type="http://schemas.openxmlformats.org/officeDocument/2006/relationships/image" Target="media/image166.png"/><Relationship Id="rId187" Type="http://schemas.openxmlformats.org/officeDocument/2006/relationships/image" Target="media/image167.png"/><Relationship Id="rId188" Type="http://schemas.openxmlformats.org/officeDocument/2006/relationships/image" Target="media/image168.png"/><Relationship Id="rId189" Type="http://schemas.openxmlformats.org/officeDocument/2006/relationships/image" Target="media/image169.png"/><Relationship Id="rId190" Type="http://schemas.openxmlformats.org/officeDocument/2006/relationships/image" Target="media/image170.png"/><Relationship Id="rId191" Type="http://schemas.openxmlformats.org/officeDocument/2006/relationships/image" Target="media/image171.png"/><Relationship Id="rId192" Type="http://schemas.openxmlformats.org/officeDocument/2006/relationships/image" Target="media/image172.png"/><Relationship Id="rId193" Type="http://schemas.openxmlformats.org/officeDocument/2006/relationships/image" Target="media/image173.png"/><Relationship Id="rId194" Type="http://schemas.openxmlformats.org/officeDocument/2006/relationships/image" Target="media/image174.png"/><Relationship Id="rId195" Type="http://schemas.openxmlformats.org/officeDocument/2006/relationships/image" Target="media/image175.png"/><Relationship Id="rId196" Type="http://schemas.openxmlformats.org/officeDocument/2006/relationships/image" Target="media/image176.png"/><Relationship Id="rId197" Type="http://schemas.openxmlformats.org/officeDocument/2006/relationships/image" Target="media/image177.png"/><Relationship Id="rId198" Type="http://schemas.openxmlformats.org/officeDocument/2006/relationships/image" Target="media/image178.png"/><Relationship Id="rId199" Type="http://schemas.openxmlformats.org/officeDocument/2006/relationships/image" Target="media/image179.png"/><Relationship Id="rId200" Type="http://schemas.openxmlformats.org/officeDocument/2006/relationships/image" Target="media/image180.png"/><Relationship Id="rId201" Type="http://schemas.openxmlformats.org/officeDocument/2006/relationships/image" Target="media/image181.png"/><Relationship Id="rId202" Type="http://schemas.openxmlformats.org/officeDocument/2006/relationships/image" Target="media/image182.png"/><Relationship Id="rId203" Type="http://schemas.openxmlformats.org/officeDocument/2006/relationships/image" Target="media/image183.png"/><Relationship Id="rId204" Type="http://schemas.openxmlformats.org/officeDocument/2006/relationships/image" Target="media/image184.png"/><Relationship Id="rId205" Type="http://schemas.openxmlformats.org/officeDocument/2006/relationships/image" Target="media/image185.png"/><Relationship Id="rId206" Type="http://schemas.openxmlformats.org/officeDocument/2006/relationships/image" Target="media/image186.png"/><Relationship Id="rId207" Type="http://schemas.openxmlformats.org/officeDocument/2006/relationships/image" Target="media/image187.png"/><Relationship Id="rId208" Type="http://schemas.openxmlformats.org/officeDocument/2006/relationships/image" Target="media/image188.png"/><Relationship Id="rId209" Type="http://schemas.openxmlformats.org/officeDocument/2006/relationships/image" Target="media/image189.png"/><Relationship Id="rId210" Type="http://schemas.openxmlformats.org/officeDocument/2006/relationships/image" Target="media/image190.png"/><Relationship Id="rId211" Type="http://schemas.openxmlformats.org/officeDocument/2006/relationships/image" Target="media/image191.png"/><Relationship Id="rId212" Type="http://schemas.openxmlformats.org/officeDocument/2006/relationships/image" Target="media/image192.png"/><Relationship Id="rId213" Type="http://schemas.openxmlformats.org/officeDocument/2006/relationships/image" Target="media/image193.png"/><Relationship Id="rId214" Type="http://schemas.openxmlformats.org/officeDocument/2006/relationships/image" Target="media/image194.png"/><Relationship Id="rId215" Type="http://schemas.openxmlformats.org/officeDocument/2006/relationships/image" Target="media/image195.png"/><Relationship Id="rId216" Type="http://schemas.openxmlformats.org/officeDocument/2006/relationships/image" Target="media/image196.png"/><Relationship Id="rId217" Type="http://schemas.openxmlformats.org/officeDocument/2006/relationships/image" Target="media/image197.png"/><Relationship Id="rId218" Type="http://schemas.openxmlformats.org/officeDocument/2006/relationships/image" Target="media/image198.png"/><Relationship Id="rId219" Type="http://schemas.openxmlformats.org/officeDocument/2006/relationships/image" Target="media/image199.png"/><Relationship Id="rId220" Type="http://schemas.openxmlformats.org/officeDocument/2006/relationships/image" Target="media/image200.png"/><Relationship Id="rId221" Type="http://schemas.openxmlformats.org/officeDocument/2006/relationships/image" Target="media/image201.png"/><Relationship Id="rId222" Type="http://schemas.openxmlformats.org/officeDocument/2006/relationships/image" Target="media/image202.png"/><Relationship Id="rId223" Type="http://schemas.openxmlformats.org/officeDocument/2006/relationships/image" Target="media/image203.png"/><Relationship Id="rId224" Type="http://schemas.openxmlformats.org/officeDocument/2006/relationships/image" Target="media/image204.png"/><Relationship Id="rId225" Type="http://schemas.openxmlformats.org/officeDocument/2006/relationships/image" Target="media/image205.png"/><Relationship Id="rId226" Type="http://schemas.openxmlformats.org/officeDocument/2006/relationships/image" Target="media/image206.png"/><Relationship Id="rId227" Type="http://schemas.openxmlformats.org/officeDocument/2006/relationships/image" Target="media/image207.png"/><Relationship Id="rId228" Type="http://schemas.openxmlformats.org/officeDocument/2006/relationships/image" Target="media/image208.png"/><Relationship Id="rId229" Type="http://schemas.openxmlformats.org/officeDocument/2006/relationships/image" Target="media/image209.png"/><Relationship Id="rId230" Type="http://schemas.openxmlformats.org/officeDocument/2006/relationships/image" Target="media/image210.png"/><Relationship Id="rId231" Type="http://schemas.openxmlformats.org/officeDocument/2006/relationships/image" Target="media/image211.png"/><Relationship Id="rId232" Type="http://schemas.openxmlformats.org/officeDocument/2006/relationships/image" Target="media/image212.png"/><Relationship Id="rId233" Type="http://schemas.openxmlformats.org/officeDocument/2006/relationships/image" Target="media/image213.png"/><Relationship Id="rId234" Type="http://schemas.openxmlformats.org/officeDocument/2006/relationships/image" Target="media/image214.png"/><Relationship Id="rId235" Type="http://schemas.openxmlformats.org/officeDocument/2006/relationships/image" Target="media/image215.png"/><Relationship Id="rId236" Type="http://schemas.openxmlformats.org/officeDocument/2006/relationships/image" Target="media/image216.png"/><Relationship Id="rId237" Type="http://schemas.openxmlformats.org/officeDocument/2006/relationships/image" Target="media/image217.png"/><Relationship Id="rId238" Type="http://schemas.openxmlformats.org/officeDocument/2006/relationships/image" Target="media/image218.png"/><Relationship Id="rId239" Type="http://schemas.openxmlformats.org/officeDocument/2006/relationships/image" Target="media/image219.png"/><Relationship Id="rId240" Type="http://schemas.openxmlformats.org/officeDocument/2006/relationships/image" Target="media/image220.png"/><Relationship Id="rId241" Type="http://schemas.openxmlformats.org/officeDocument/2006/relationships/image" Target="media/image221.png"/><Relationship Id="rId242" Type="http://schemas.openxmlformats.org/officeDocument/2006/relationships/image" Target="media/image222.png"/><Relationship Id="rId243" Type="http://schemas.openxmlformats.org/officeDocument/2006/relationships/image" Target="media/image223.png"/><Relationship Id="rId244" Type="http://schemas.openxmlformats.org/officeDocument/2006/relationships/image" Target="media/image224.png"/><Relationship Id="rId245" Type="http://schemas.openxmlformats.org/officeDocument/2006/relationships/image" Target="media/image225.png"/><Relationship Id="rId246" Type="http://schemas.openxmlformats.org/officeDocument/2006/relationships/image" Target="media/image226.png"/><Relationship Id="rId247" Type="http://schemas.openxmlformats.org/officeDocument/2006/relationships/image" Target="media/image227.png"/><Relationship Id="rId248" Type="http://schemas.openxmlformats.org/officeDocument/2006/relationships/image" Target="media/image228.png"/><Relationship Id="rId249" Type="http://schemas.openxmlformats.org/officeDocument/2006/relationships/image" Target="media/image229.png"/><Relationship Id="rId250" Type="http://schemas.openxmlformats.org/officeDocument/2006/relationships/image" Target="media/image230.png"/><Relationship Id="rId251" Type="http://schemas.openxmlformats.org/officeDocument/2006/relationships/image" Target="media/image231.png"/><Relationship Id="rId252" Type="http://schemas.openxmlformats.org/officeDocument/2006/relationships/image" Target="media/image232.png"/><Relationship Id="rId253" Type="http://schemas.openxmlformats.org/officeDocument/2006/relationships/image" Target="media/image233.png"/><Relationship Id="rId254" Type="http://schemas.openxmlformats.org/officeDocument/2006/relationships/image" Target="media/image234.png"/><Relationship Id="rId255" Type="http://schemas.openxmlformats.org/officeDocument/2006/relationships/image" Target="media/image235.png"/><Relationship Id="rId256" Type="http://schemas.openxmlformats.org/officeDocument/2006/relationships/image" Target="media/image236.png"/><Relationship Id="rId257" Type="http://schemas.openxmlformats.org/officeDocument/2006/relationships/image" Target="media/image237.png"/><Relationship Id="rId258" Type="http://schemas.openxmlformats.org/officeDocument/2006/relationships/image" Target="media/image238.png"/><Relationship Id="rId259" Type="http://schemas.openxmlformats.org/officeDocument/2006/relationships/image" Target="media/image239.png"/><Relationship Id="rId260" Type="http://schemas.openxmlformats.org/officeDocument/2006/relationships/image" Target="media/image240.png"/><Relationship Id="rId261" Type="http://schemas.openxmlformats.org/officeDocument/2006/relationships/image" Target="media/image241.png"/><Relationship Id="rId262" Type="http://schemas.openxmlformats.org/officeDocument/2006/relationships/image" Target="media/image242.png"/><Relationship Id="rId263" Type="http://schemas.openxmlformats.org/officeDocument/2006/relationships/image" Target="media/image243.png"/><Relationship Id="rId264" Type="http://schemas.openxmlformats.org/officeDocument/2006/relationships/image" Target="media/image244.png"/><Relationship Id="rId265" Type="http://schemas.openxmlformats.org/officeDocument/2006/relationships/image" Target="media/image245.png"/><Relationship Id="rId266" Type="http://schemas.openxmlformats.org/officeDocument/2006/relationships/image" Target="media/image246.png"/><Relationship Id="rId267" Type="http://schemas.openxmlformats.org/officeDocument/2006/relationships/image" Target="media/image247.png"/><Relationship Id="rId268" Type="http://schemas.openxmlformats.org/officeDocument/2006/relationships/image" Target="media/image248.png"/><Relationship Id="rId269" Type="http://schemas.openxmlformats.org/officeDocument/2006/relationships/image" Target="media/image249.png"/><Relationship Id="rId270" Type="http://schemas.openxmlformats.org/officeDocument/2006/relationships/image" Target="media/image250.png"/><Relationship Id="rId271" Type="http://schemas.openxmlformats.org/officeDocument/2006/relationships/image" Target="media/image251.png"/><Relationship Id="rId272" Type="http://schemas.openxmlformats.org/officeDocument/2006/relationships/image" Target="media/image252.png"/><Relationship Id="rId273" Type="http://schemas.openxmlformats.org/officeDocument/2006/relationships/image" Target="media/image253.png"/><Relationship Id="rId274" Type="http://schemas.openxmlformats.org/officeDocument/2006/relationships/image" Target="media/image254.png"/><Relationship Id="rId275" Type="http://schemas.openxmlformats.org/officeDocument/2006/relationships/image" Target="media/image255.png"/><Relationship Id="rId276" Type="http://schemas.openxmlformats.org/officeDocument/2006/relationships/image" Target="media/image256.png"/><Relationship Id="rId277" Type="http://schemas.openxmlformats.org/officeDocument/2006/relationships/image" Target="media/image257.png"/><Relationship Id="rId278" Type="http://schemas.openxmlformats.org/officeDocument/2006/relationships/image" Target="media/image258.png"/><Relationship Id="rId279" Type="http://schemas.openxmlformats.org/officeDocument/2006/relationships/image" Target="media/image259.png"/><Relationship Id="rId280" Type="http://schemas.openxmlformats.org/officeDocument/2006/relationships/image" Target="media/image260.png"/><Relationship Id="rId281" Type="http://schemas.openxmlformats.org/officeDocument/2006/relationships/image" Target="media/image261.png"/><Relationship Id="rId282" Type="http://schemas.openxmlformats.org/officeDocument/2006/relationships/image" Target="media/image262.png"/><Relationship Id="rId283" Type="http://schemas.openxmlformats.org/officeDocument/2006/relationships/image" Target="media/image263.png"/><Relationship Id="rId284" Type="http://schemas.openxmlformats.org/officeDocument/2006/relationships/image" Target="media/image264.png"/><Relationship Id="rId285" Type="http://schemas.openxmlformats.org/officeDocument/2006/relationships/image" Target="media/image265.png"/><Relationship Id="rId286" Type="http://schemas.openxmlformats.org/officeDocument/2006/relationships/image" Target="media/image266.png"/><Relationship Id="rId287" Type="http://schemas.openxmlformats.org/officeDocument/2006/relationships/image" Target="media/image267.png"/><Relationship Id="rId288" Type="http://schemas.openxmlformats.org/officeDocument/2006/relationships/image" Target="media/image268.png"/><Relationship Id="rId289" Type="http://schemas.openxmlformats.org/officeDocument/2006/relationships/image" Target="media/image269.png"/><Relationship Id="rId290" Type="http://schemas.openxmlformats.org/officeDocument/2006/relationships/image" Target="media/image270.png"/><Relationship Id="rId291" Type="http://schemas.openxmlformats.org/officeDocument/2006/relationships/image" Target="media/image271.png"/><Relationship Id="rId292" Type="http://schemas.openxmlformats.org/officeDocument/2006/relationships/image" Target="media/image272.png"/><Relationship Id="rId293" Type="http://schemas.openxmlformats.org/officeDocument/2006/relationships/image" Target="media/image273.png"/><Relationship Id="rId294" Type="http://schemas.openxmlformats.org/officeDocument/2006/relationships/image" Target="media/image274.png"/><Relationship Id="rId295" Type="http://schemas.openxmlformats.org/officeDocument/2006/relationships/image" Target="media/image275.png"/><Relationship Id="rId296" Type="http://schemas.openxmlformats.org/officeDocument/2006/relationships/image" Target="media/image276.png"/><Relationship Id="rId297" Type="http://schemas.openxmlformats.org/officeDocument/2006/relationships/image" Target="media/image277.png"/><Relationship Id="rId298" Type="http://schemas.openxmlformats.org/officeDocument/2006/relationships/image" Target="media/image278.png"/><Relationship Id="rId299" Type="http://schemas.openxmlformats.org/officeDocument/2006/relationships/image" Target="media/image279.png"/><Relationship Id="rId300" Type="http://schemas.openxmlformats.org/officeDocument/2006/relationships/image" Target="media/image280.png"/><Relationship Id="rId301" Type="http://schemas.openxmlformats.org/officeDocument/2006/relationships/image" Target="media/image281.png"/><Relationship Id="rId302" Type="http://schemas.openxmlformats.org/officeDocument/2006/relationships/image" Target="media/image282.png"/><Relationship Id="rId303" Type="http://schemas.openxmlformats.org/officeDocument/2006/relationships/image" Target="media/image283.png"/><Relationship Id="rId304" Type="http://schemas.openxmlformats.org/officeDocument/2006/relationships/image" Target="media/image284.png"/><Relationship Id="rId305" Type="http://schemas.openxmlformats.org/officeDocument/2006/relationships/image" Target="media/image285.png"/><Relationship Id="rId306" Type="http://schemas.openxmlformats.org/officeDocument/2006/relationships/image" Target="media/image286.png"/><Relationship Id="rId307" Type="http://schemas.openxmlformats.org/officeDocument/2006/relationships/image" Target="media/image287.png"/><Relationship Id="rId308" Type="http://schemas.openxmlformats.org/officeDocument/2006/relationships/image" Target="media/image288.png"/><Relationship Id="rId309" Type="http://schemas.openxmlformats.org/officeDocument/2006/relationships/image" Target="media/image289.png"/><Relationship Id="rId310" Type="http://schemas.openxmlformats.org/officeDocument/2006/relationships/image" Target="media/image290.png"/><Relationship Id="rId311" Type="http://schemas.openxmlformats.org/officeDocument/2006/relationships/image" Target="media/image291.png"/><Relationship Id="rId312" Type="http://schemas.openxmlformats.org/officeDocument/2006/relationships/image" Target="media/image292.png"/><Relationship Id="rId313" Type="http://schemas.openxmlformats.org/officeDocument/2006/relationships/image" Target="media/image293.png"/><Relationship Id="rId314" Type="http://schemas.openxmlformats.org/officeDocument/2006/relationships/image" Target="media/image294.png"/><Relationship Id="rId315" Type="http://schemas.openxmlformats.org/officeDocument/2006/relationships/image" Target="media/image295.png"/><Relationship Id="rId316" Type="http://schemas.openxmlformats.org/officeDocument/2006/relationships/image" Target="media/image296.png"/><Relationship Id="rId317" Type="http://schemas.openxmlformats.org/officeDocument/2006/relationships/image" Target="media/image297.png"/><Relationship Id="rId318" Type="http://schemas.openxmlformats.org/officeDocument/2006/relationships/image" Target="media/image298.png"/><Relationship Id="rId319" Type="http://schemas.openxmlformats.org/officeDocument/2006/relationships/image" Target="media/image299.png"/><Relationship Id="rId320" Type="http://schemas.openxmlformats.org/officeDocument/2006/relationships/image" Target="media/image300.png"/><Relationship Id="rId321" Type="http://schemas.openxmlformats.org/officeDocument/2006/relationships/image" Target="media/image301.png"/><Relationship Id="rId322" Type="http://schemas.openxmlformats.org/officeDocument/2006/relationships/image" Target="media/image302.png"/><Relationship Id="rId323" Type="http://schemas.openxmlformats.org/officeDocument/2006/relationships/image" Target="media/image303.png"/><Relationship Id="rId324" Type="http://schemas.openxmlformats.org/officeDocument/2006/relationships/image" Target="media/image304.png"/><Relationship Id="rId325" Type="http://schemas.openxmlformats.org/officeDocument/2006/relationships/image" Target="media/image305.png"/><Relationship Id="rId326" Type="http://schemas.openxmlformats.org/officeDocument/2006/relationships/image" Target="media/image306.png"/><Relationship Id="rId327" Type="http://schemas.openxmlformats.org/officeDocument/2006/relationships/image" Target="media/image307.png"/><Relationship Id="rId328" Type="http://schemas.openxmlformats.org/officeDocument/2006/relationships/image" Target="media/image308.png"/><Relationship Id="rId329" Type="http://schemas.openxmlformats.org/officeDocument/2006/relationships/image" Target="media/image309.png"/><Relationship Id="rId330" Type="http://schemas.openxmlformats.org/officeDocument/2006/relationships/image" Target="media/image310.png"/><Relationship Id="rId331" Type="http://schemas.openxmlformats.org/officeDocument/2006/relationships/image" Target="media/image311.png"/><Relationship Id="rId332" Type="http://schemas.openxmlformats.org/officeDocument/2006/relationships/image" Target="media/image312.png"/><Relationship Id="rId333" Type="http://schemas.openxmlformats.org/officeDocument/2006/relationships/image" Target="media/image313.png"/><Relationship Id="rId334" Type="http://schemas.openxmlformats.org/officeDocument/2006/relationships/image" Target="media/image314.png"/><Relationship Id="rId335" Type="http://schemas.openxmlformats.org/officeDocument/2006/relationships/image" Target="media/image315.png"/><Relationship Id="rId336" Type="http://schemas.openxmlformats.org/officeDocument/2006/relationships/image" Target="media/image316.png"/><Relationship Id="rId337" Type="http://schemas.openxmlformats.org/officeDocument/2006/relationships/image" Target="media/image317.png"/><Relationship Id="rId338" Type="http://schemas.openxmlformats.org/officeDocument/2006/relationships/image" Target="media/image318.png"/><Relationship Id="rId339" Type="http://schemas.openxmlformats.org/officeDocument/2006/relationships/image" Target="media/image319.png"/><Relationship Id="rId340" Type="http://schemas.openxmlformats.org/officeDocument/2006/relationships/image" Target="media/image320.png"/><Relationship Id="rId341" Type="http://schemas.openxmlformats.org/officeDocument/2006/relationships/image" Target="media/image321.png"/><Relationship Id="rId342" Type="http://schemas.openxmlformats.org/officeDocument/2006/relationships/image" Target="media/image322.png"/><Relationship Id="rId343" Type="http://schemas.openxmlformats.org/officeDocument/2006/relationships/image" Target="media/image323.png"/><Relationship Id="rId344" Type="http://schemas.openxmlformats.org/officeDocument/2006/relationships/image" Target="media/image324.png"/><Relationship Id="rId345" Type="http://schemas.openxmlformats.org/officeDocument/2006/relationships/image" Target="media/image325.png"/><Relationship Id="rId346" Type="http://schemas.openxmlformats.org/officeDocument/2006/relationships/image" Target="media/image326.png"/><Relationship Id="rId347" Type="http://schemas.openxmlformats.org/officeDocument/2006/relationships/image" Target="media/image327.png"/><Relationship Id="rId348" Type="http://schemas.openxmlformats.org/officeDocument/2006/relationships/image" Target="media/image328.png"/><Relationship Id="rId349" Type="http://schemas.openxmlformats.org/officeDocument/2006/relationships/image" Target="media/image329.png"/><Relationship Id="rId350" Type="http://schemas.openxmlformats.org/officeDocument/2006/relationships/image" Target="media/image330.png"/><Relationship Id="rId351" Type="http://schemas.openxmlformats.org/officeDocument/2006/relationships/image" Target="media/image331.png"/><Relationship Id="rId352" Type="http://schemas.openxmlformats.org/officeDocument/2006/relationships/image" Target="media/image332.png"/><Relationship Id="rId353" Type="http://schemas.openxmlformats.org/officeDocument/2006/relationships/image" Target="media/image333.png"/><Relationship Id="rId354" Type="http://schemas.openxmlformats.org/officeDocument/2006/relationships/image" Target="media/image334.png"/><Relationship Id="rId355" Type="http://schemas.openxmlformats.org/officeDocument/2006/relationships/image" Target="media/image335.png"/><Relationship Id="rId356" Type="http://schemas.openxmlformats.org/officeDocument/2006/relationships/image" Target="media/image336.png"/><Relationship Id="rId357" Type="http://schemas.openxmlformats.org/officeDocument/2006/relationships/image" Target="media/image337.png"/><Relationship Id="rId358" Type="http://schemas.openxmlformats.org/officeDocument/2006/relationships/image" Target="media/image338.png"/><Relationship Id="rId359" Type="http://schemas.openxmlformats.org/officeDocument/2006/relationships/image" Target="media/image339.png"/><Relationship Id="rId360" Type="http://schemas.openxmlformats.org/officeDocument/2006/relationships/image" Target="media/image340.png"/><Relationship Id="rId361" Type="http://schemas.openxmlformats.org/officeDocument/2006/relationships/image" Target="media/image341.png"/><Relationship Id="rId362" Type="http://schemas.openxmlformats.org/officeDocument/2006/relationships/image" Target="media/image342.png"/><Relationship Id="rId363" Type="http://schemas.openxmlformats.org/officeDocument/2006/relationships/image" Target="media/image343.png"/><Relationship Id="rId364" Type="http://schemas.openxmlformats.org/officeDocument/2006/relationships/image" Target="media/image344.png"/><Relationship Id="rId365" Type="http://schemas.openxmlformats.org/officeDocument/2006/relationships/image" Target="media/image345.png"/><Relationship Id="rId366" Type="http://schemas.openxmlformats.org/officeDocument/2006/relationships/image" Target="media/image346.png"/><Relationship Id="rId367" Type="http://schemas.openxmlformats.org/officeDocument/2006/relationships/image" Target="media/image347.png"/><Relationship Id="rId368" Type="http://schemas.openxmlformats.org/officeDocument/2006/relationships/image" Target="media/image348.png"/><Relationship Id="rId369" Type="http://schemas.openxmlformats.org/officeDocument/2006/relationships/image" Target="media/image349.png"/><Relationship Id="rId370" Type="http://schemas.openxmlformats.org/officeDocument/2006/relationships/image" Target="media/image350.png"/><Relationship Id="rId371" Type="http://schemas.openxmlformats.org/officeDocument/2006/relationships/image" Target="media/image351.png"/><Relationship Id="rId372" Type="http://schemas.openxmlformats.org/officeDocument/2006/relationships/image" Target="media/image352.png"/><Relationship Id="rId373" Type="http://schemas.openxmlformats.org/officeDocument/2006/relationships/image" Target="media/image353.png"/><Relationship Id="rId374" Type="http://schemas.openxmlformats.org/officeDocument/2006/relationships/image" Target="media/image354.png"/><Relationship Id="rId375" Type="http://schemas.openxmlformats.org/officeDocument/2006/relationships/image" Target="media/image355.png"/><Relationship Id="rId376" Type="http://schemas.openxmlformats.org/officeDocument/2006/relationships/image" Target="media/image356.png"/><Relationship Id="rId377" Type="http://schemas.openxmlformats.org/officeDocument/2006/relationships/image" Target="media/image357.png"/><Relationship Id="rId378" Type="http://schemas.openxmlformats.org/officeDocument/2006/relationships/image" Target="media/image358.png"/><Relationship Id="rId379" Type="http://schemas.openxmlformats.org/officeDocument/2006/relationships/image" Target="media/image359.png"/><Relationship Id="rId380" Type="http://schemas.openxmlformats.org/officeDocument/2006/relationships/image" Target="media/image360.png"/><Relationship Id="rId381" Type="http://schemas.openxmlformats.org/officeDocument/2006/relationships/image" Target="media/image361.png"/><Relationship Id="rId382" Type="http://schemas.openxmlformats.org/officeDocument/2006/relationships/image" Target="media/image362.png"/><Relationship Id="rId383" Type="http://schemas.openxmlformats.org/officeDocument/2006/relationships/image" Target="media/image363.png"/><Relationship Id="rId384" Type="http://schemas.openxmlformats.org/officeDocument/2006/relationships/image" Target="media/image364.png"/><Relationship Id="rId385" Type="http://schemas.openxmlformats.org/officeDocument/2006/relationships/image" Target="media/image365.png"/><Relationship Id="rId386" Type="http://schemas.openxmlformats.org/officeDocument/2006/relationships/image" Target="media/image366.png"/><Relationship Id="rId387" Type="http://schemas.openxmlformats.org/officeDocument/2006/relationships/image" Target="media/image367.png"/><Relationship Id="rId388" Type="http://schemas.openxmlformats.org/officeDocument/2006/relationships/image" Target="media/image368.png"/><Relationship Id="rId389" Type="http://schemas.openxmlformats.org/officeDocument/2006/relationships/image" Target="media/image369.png"/><Relationship Id="rId390" Type="http://schemas.openxmlformats.org/officeDocument/2006/relationships/image" Target="media/image370.png"/><Relationship Id="rId391" Type="http://schemas.openxmlformats.org/officeDocument/2006/relationships/image" Target="media/image371.png"/><Relationship Id="rId392" Type="http://schemas.openxmlformats.org/officeDocument/2006/relationships/image" Target="media/image372.png"/><Relationship Id="rId393" Type="http://schemas.openxmlformats.org/officeDocument/2006/relationships/image" Target="media/image373.png"/><Relationship Id="rId394" Type="http://schemas.openxmlformats.org/officeDocument/2006/relationships/image" Target="media/image374.png"/><Relationship Id="rId395" Type="http://schemas.openxmlformats.org/officeDocument/2006/relationships/image" Target="media/image375.png"/><Relationship Id="rId396" Type="http://schemas.openxmlformats.org/officeDocument/2006/relationships/image" Target="media/image376.png"/><Relationship Id="rId397" Type="http://schemas.openxmlformats.org/officeDocument/2006/relationships/image" Target="media/image377.png"/><Relationship Id="rId398" Type="http://schemas.openxmlformats.org/officeDocument/2006/relationships/image" Target="media/image378.png"/><Relationship Id="rId399" Type="http://schemas.openxmlformats.org/officeDocument/2006/relationships/image" Target="media/image379.png"/><Relationship Id="rId400" Type="http://schemas.openxmlformats.org/officeDocument/2006/relationships/image" Target="media/image380.png"/><Relationship Id="rId401" Type="http://schemas.openxmlformats.org/officeDocument/2006/relationships/image" Target="media/image381.png"/><Relationship Id="rId402" Type="http://schemas.openxmlformats.org/officeDocument/2006/relationships/image" Target="media/image382.png"/><Relationship Id="rId403" Type="http://schemas.openxmlformats.org/officeDocument/2006/relationships/image" Target="media/image383.png"/><Relationship Id="rId404" Type="http://schemas.openxmlformats.org/officeDocument/2006/relationships/image" Target="media/image384.png"/><Relationship Id="rId405" Type="http://schemas.openxmlformats.org/officeDocument/2006/relationships/image" Target="media/image385.png"/><Relationship Id="rId406" Type="http://schemas.openxmlformats.org/officeDocument/2006/relationships/image" Target="media/image386.png"/><Relationship Id="rId407" Type="http://schemas.openxmlformats.org/officeDocument/2006/relationships/image" Target="media/image387.png"/><Relationship Id="rId408" Type="http://schemas.openxmlformats.org/officeDocument/2006/relationships/image" Target="media/image388.png"/><Relationship Id="rId409" Type="http://schemas.openxmlformats.org/officeDocument/2006/relationships/image" Target="media/image389.png"/><Relationship Id="rId410" Type="http://schemas.openxmlformats.org/officeDocument/2006/relationships/image" Target="media/image390.png"/><Relationship Id="rId411" Type="http://schemas.openxmlformats.org/officeDocument/2006/relationships/image" Target="media/image391.png"/><Relationship Id="rId412" Type="http://schemas.openxmlformats.org/officeDocument/2006/relationships/image" Target="media/image392.png"/><Relationship Id="rId413" Type="http://schemas.openxmlformats.org/officeDocument/2006/relationships/image" Target="media/image393.png"/><Relationship Id="rId414" Type="http://schemas.openxmlformats.org/officeDocument/2006/relationships/image" Target="media/image394.png"/><Relationship Id="rId415" Type="http://schemas.openxmlformats.org/officeDocument/2006/relationships/image" Target="media/image395.png"/><Relationship Id="rId416" Type="http://schemas.openxmlformats.org/officeDocument/2006/relationships/image" Target="media/image396.png"/><Relationship Id="rId417" Type="http://schemas.openxmlformats.org/officeDocument/2006/relationships/image" Target="media/image397.png"/><Relationship Id="rId418" Type="http://schemas.openxmlformats.org/officeDocument/2006/relationships/image" Target="media/image398.png"/><Relationship Id="rId419" Type="http://schemas.openxmlformats.org/officeDocument/2006/relationships/image" Target="media/image399.png"/><Relationship Id="rId420" Type="http://schemas.openxmlformats.org/officeDocument/2006/relationships/image" Target="media/image400.png"/><Relationship Id="rId421" Type="http://schemas.openxmlformats.org/officeDocument/2006/relationships/image" Target="media/image401.png"/><Relationship Id="rId422" Type="http://schemas.openxmlformats.org/officeDocument/2006/relationships/image" Target="media/image402.png"/><Relationship Id="rId423" Type="http://schemas.openxmlformats.org/officeDocument/2006/relationships/image" Target="media/image403.png"/><Relationship Id="rId424" Type="http://schemas.openxmlformats.org/officeDocument/2006/relationships/image" Target="media/image404.png"/><Relationship Id="rId425" Type="http://schemas.openxmlformats.org/officeDocument/2006/relationships/image" Target="media/image405.png"/><Relationship Id="rId426" Type="http://schemas.openxmlformats.org/officeDocument/2006/relationships/image" Target="media/image406.png"/><Relationship Id="rId427" Type="http://schemas.openxmlformats.org/officeDocument/2006/relationships/image" Target="media/image407.png"/><Relationship Id="rId428" Type="http://schemas.openxmlformats.org/officeDocument/2006/relationships/image" Target="media/image408.png"/><Relationship Id="rId429" Type="http://schemas.openxmlformats.org/officeDocument/2006/relationships/image" Target="media/image409.png"/><Relationship Id="rId430" Type="http://schemas.openxmlformats.org/officeDocument/2006/relationships/image" Target="media/image410.png"/><Relationship Id="rId431" Type="http://schemas.openxmlformats.org/officeDocument/2006/relationships/image" Target="media/image411.png"/><Relationship Id="rId432" Type="http://schemas.openxmlformats.org/officeDocument/2006/relationships/image" Target="media/image412.png"/><Relationship Id="rId433" Type="http://schemas.openxmlformats.org/officeDocument/2006/relationships/image" Target="media/image413.png"/><Relationship Id="rId434" Type="http://schemas.openxmlformats.org/officeDocument/2006/relationships/image" Target="media/image414.png"/><Relationship Id="rId435" Type="http://schemas.openxmlformats.org/officeDocument/2006/relationships/image" Target="media/image415.png"/><Relationship Id="rId436" Type="http://schemas.openxmlformats.org/officeDocument/2006/relationships/image" Target="media/image416.png"/><Relationship Id="rId437" Type="http://schemas.openxmlformats.org/officeDocument/2006/relationships/image" Target="media/image417.png"/><Relationship Id="rId438" Type="http://schemas.openxmlformats.org/officeDocument/2006/relationships/image" Target="media/image418.png"/><Relationship Id="rId439" Type="http://schemas.openxmlformats.org/officeDocument/2006/relationships/image" Target="media/image419.png"/><Relationship Id="rId440" Type="http://schemas.openxmlformats.org/officeDocument/2006/relationships/image" Target="media/image420.png"/><Relationship Id="rId441" Type="http://schemas.openxmlformats.org/officeDocument/2006/relationships/image" Target="media/image421.png"/><Relationship Id="rId442" Type="http://schemas.openxmlformats.org/officeDocument/2006/relationships/image" Target="media/image422.png"/><Relationship Id="rId443" Type="http://schemas.openxmlformats.org/officeDocument/2006/relationships/image" Target="media/image423.png"/><Relationship Id="rId444" Type="http://schemas.openxmlformats.org/officeDocument/2006/relationships/image" Target="media/image424.png"/><Relationship Id="rId445" Type="http://schemas.openxmlformats.org/officeDocument/2006/relationships/image" Target="media/image425.png"/><Relationship Id="rId446" Type="http://schemas.openxmlformats.org/officeDocument/2006/relationships/image" Target="media/image426.png"/><Relationship Id="rId447" Type="http://schemas.openxmlformats.org/officeDocument/2006/relationships/image" Target="media/image427.png"/><Relationship Id="rId448" Type="http://schemas.openxmlformats.org/officeDocument/2006/relationships/image" Target="media/image428.png"/><Relationship Id="rId449" Type="http://schemas.openxmlformats.org/officeDocument/2006/relationships/image" Target="media/image429.png"/><Relationship Id="rId450" Type="http://schemas.openxmlformats.org/officeDocument/2006/relationships/image" Target="media/image430.png"/><Relationship Id="rId451" Type="http://schemas.openxmlformats.org/officeDocument/2006/relationships/image" Target="media/image431.png"/><Relationship Id="rId452" Type="http://schemas.openxmlformats.org/officeDocument/2006/relationships/image" Target="media/image432.png"/><Relationship Id="rId453" Type="http://schemas.openxmlformats.org/officeDocument/2006/relationships/image" Target="media/image433.png"/><Relationship Id="rId454" Type="http://schemas.openxmlformats.org/officeDocument/2006/relationships/image" Target="media/image434.png"/><Relationship Id="rId455" Type="http://schemas.openxmlformats.org/officeDocument/2006/relationships/image" Target="media/image435.png"/><Relationship Id="rId456" Type="http://schemas.openxmlformats.org/officeDocument/2006/relationships/image" Target="media/image436.png"/><Relationship Id="rId457" Type="http://schemas.openxmlformats.org/officeDocument/2006/relationships/image" Target="media/image437.png"/><Relationship Id="rId458" Type="http://schemas.openxmlformats.org/officeDocument/2006/relationships/image" Target="media/image438.png"/><Relationship Id="rId459" Type="http://schemas.openxmlformats.org/officeDocument/2006/relationships/image" Target="media/image439.png"/><Relationship Id="rId460" Type="http://schemas.openxmlformats.org/officeDocument/2006/relationships/image" Target="media/image440.png"/><Relationship Id="rId461" Type="http://schemas.openxmlformats.org/officeDocument/2006/relationships/image" Target="media/image441.png"/><Relationship Id="rId462" Type="http://schemas.openxmlformats.org/officeDocument/2006/relationships/image" Target="media/image442.png"/><Relationship Id="rId463" Type="http://schemas.openxmlformats.org/officeDocument/2006/relationships/image" Target="media/image443.png"/><Relationship Id="rId464" Type="http://schemas.openxmlformats.org/officeDocument/2006/relationships/image" Target="media/image444.png"/><Relationship Id="rId465" Type="http://schemas.openxmlformats.org/officeDocument/2006/relationships/image" Target="media/image445.png"/><Relationship Id="rId466" Type="http://schemas.openxmlformats.org/officeDocument/2006/relationships/image" Target="media/image446.png"/><Relationship Id="rId467" Type="http://schemas.openxmlformats.org/officeDocument/2006/relationships/image" Target="media/image447.png"/><Relationship Id="rId468" Type="http://schemas.openxmlformats.org/officeDocument/2006/relationships/image" Target="media/image448.png"/><Relationship Id="rId469" Type="http://schemas.openxmlformats.org/officeDocument/2006/relationships/image" Target="media/image449.png"/><Relationship Id="rId470" Type="http://schemas.openxmlformats.org/officeDocument/2006/relationships/image" Target="media/image450.png"/><Relationship Id="rId471" Type="http://schemas.openxmlformats.org/officeDocument/2006/relationships/image" Target="media/image451.png"/><Relationship Id="rId472" Type="http://schemas.openxmlformats.org/officeDocument/2006/relationships/image" Target="media/image452.png"/><Relationship Id="rId473" Type="http://schemas.openxmlformats.org/officeDocument/2006/relationships/image" Target="media/image453.png"/><Relationship Id="rId474" Type="http://schemas.openxmlformats.org/officeDocument/2006/relationships/image" Target="media/image454.png"/><Relationship Id="rId475" Type="http://schemas.openxmlformats.org/officeDocument/2006/relationships/image" Target="media/image455.png"/><Relationship Id="rId476" Type="http://schemas.openxmlformats.org/officeDocument/2006/relationships/image" Target="media/image456.png"/><Relationship Id="rId477" Type="http://schemas.openxmlformats.org/officeDocument/2006/relationships/image" Target="media/image457.png"/><Relationship Id="rId478" Type="http://schemas.openxmlformats.org/officeDocument/2006/relationships/image" Target="media/image458.png"/><Relationship Id="rId479" Type="http://schemas.openxmlformats.org/officeDocument/2006/relationships/image" Target="media/image459.png"/><Relationship Id="rId480" Type="http://schemas.openxmlformats.org/officeDocument/2006/relationships/image" Target="media/image460.png"/><Relationship Id="rId481" Type="http://schemas.openxmlformats.org/officeDocument/2006/relationships/image" Target="media/image461.png"/><Relationship Id="rId482" Type="http://schemas.openxmlformats.org/officeDocument/2006/relationships/image" Target="media/image462.png"/><Relationship Id="rId483" Type="http://schemas.openxmlformats.org/officeDocument/2006/relationships/image" Target="media/image463.png"/><Relationship Id="rId484" Type="http://schemas.openxmlformats.org/officeDocument/2006/relationships/image" Target="media/image464.png"/><Relationship Id="rId485" Type="http://schemas.openxmlformats.org/officeDocument/2006/relationships/image" Target="media/image465.png"/><Relationship Id="rId486" Type="http://schemas.openxmlformats.org/officeDocument/2006/relationships/image" Target="media/image466.png"/><Relationship Id="rId487" Type="http://schemas.openxmlformats.org/officeDocument/2006/relationships/image" Target="media/image467.png"/><Relationship Id="rId488" Type="http://schemas.openxmlformats.org/officeDocument/2006/relationships/image" Target="media/image468.png"/><Relationship Id="rId489" Type="http://schemas.openxmlformats.org/officeDocument/2006/relationships/image" Target="media/image469.png"/><Relationship Id="rId490" Type="http://schemas.openxmlformats.org/officeDocument/2006/relationships/image" Target="media/image470.png"/><Relationship Id="rId491" Type="http://schemas.openxmlformats.org/officeDocument/2006/relationships/image" Target="media/image471.png"/><Relationship Id="rId492" Type="http://schemas.openxmlformats.org/officeDocument/2006/relationships/image" Target="media/image472.png"/><Relationship Id="rId493" Type="http://schemas.openxmlformats.org/officeDocument/2006/relationships/image" Target="media/image473.png"/><Relationship Id="rId494" Type="http://schemas.openxmlformats.org/officeDocument/2006/relationships/image" Target="media/image474.png"/><Relationship Id="rId495" Type="http://schemas.openxmlformats.org/officeDocument/2006/relationships/image" Target="media/image475.png"/><Relationship Id="rId496" Type="http://schemas.openxmlformats.org/officeDocument/2006/relationships/image" Target="media/image476.png"/><Relationship Id="rId497" Type="http://schemas.openxmlformats.org/officeDocument/2006/relationships/image" Target="media/image477.png"/><Relationship Id="rId498" Type="http://schemas.openxmlformats.org/officeDocument/2006/relationships/image" Target="media/image478.png"/><Relationship Id="rId499" Type="http://schemas.openxmlformats.org/officeDocument/2006/relationships/image" Target="media/image479.png"/><Relationship Id="rId500" Type="http://schemas.openxmlformats.org/officeDocument/2006/relationships/image" Target="media/image480.png"/><Relationship Id="rId501" Type="http://schemas.openxmlformats.org/officeDocument/2006/relationships/image" Target="media/image481.png"/><Relationship Id="rId502" Type="http://schemas.openxmlformats.org/officeDocument/2006/relationships/image" Target="media/image482.png"/><Relationship Id="rId503" Type="http://schemas.openxmlformats.org/officeDocument/2006/relationships/image" Target="media/image483.png"/><Relationship Id="rId504" Type="http://schemas.openxmlformats.org/officeDocument/2006/relationships/image" Target="media/image484.png"/><Relationship Id="rId505" Type="http://schemas.openxmlformats.org/officeDocument/2006/relationships/image" Target="media/image485.png"/><Relationship Id="rId506" Type="http://schemas.openxmlformats.org/officeDocument/2006/relationships/image" Target="media/image486.png"/><Relationship Id="rId507" Type="http://schemas.openxmlformats.org/officeDocument/2006/relationships/image" Target="media/image487.png"/><Relationship Id="rId508" Type="http://schemas.openxmlformats.org/officeDocument/2006/relationships/image" Target="media/image488.png"/><Relationship Id="rId509" Type="http://schemas.openxmlformats.org/officeDocument/2006/relationships/image" Target="media/image489.png"/><Relationship Id="rId510" Type="http://schemas.openxmlformats.org/officeDocument/2006/relationships/image" Target="media/image490.png"/><Relationship Id="rId511" Type="http://schemas.openxmlformats.org/officeDocument/2006/relationships/image" Target="media/image491.png"/><Relationship Id="rId512" Type="http://schemas.openxmlformats.org/officeDocument/2006/relationships/image" Target="media/image492.png"/><Relationship Id="rId513" Type="http://schemas.openxmlformats.org/officeDocument/2006/relationships/image" Target="media/image493.png"/><Relationship Id="rId514" Type="http://schemas.openxmlformats.org/officeDocument/2006/relationships/image" Target="media/image494.png"/><Relationship Id="rId515" Type="http://schemas.openxmlformats.org/officeDocument/2006/relationships/image" Target="media/image495.png"/><Relationship Id="rId516" Type="http://schemas.openxmlformats.org/officeDocument/2006/relationships/image" Target="media/image496.png"/><Relationship Id="rId517" Type="http://schemas.openxmlformats.org/officeDocument/2006/relationships/image" Target="media/image497.png"/><Relationship Id="rId518" Type="http://schemas.openxmlformats.org/officeDocument/2006/relationships/image" Target="media/image498.png"/><Relationship Id="rId519" Type="http://schemas.openxmlformats.org/officeDocument/2006/relationships/image" Target="media/image499.png"/><Relationship Id="rId520" Type="http://schemas.openxmlformats.org/officeDocument/2006/relationships/image" Target="media/image500.png"/><Relationship Id="rId521" Type="http://schemas.openxmlformats.org/officeDocument/2006/relationships/image" Target="media/image501.png"/><Relationship Id="rId522" Type="http://schemas.openxmlformats.org/officeDocument/2006/relationships/image" Target="media/image502.png"/><Relationship Id="rId523" Type="http://schemas.openxmlformats.org/officeDocument/2006/relationships/image" Target="media/image503.png"/><Relationship Id="rId524" Type="http://schemas.openxmlformats.org/officeDocument/2006/relationships/image" Target="media/image504.png"/><Relationship Id="rId525" Type="http://schemas.openxmlformats.org/officeDocument/2006/relationships/image" Target="media/image505.png"/><Relationship Id="rId526" Type="http://schemas.openxmlformats.org/officeDocument/2006/relationships/image" Target="media/image506.png"/><Relationship Id="rId527" Type="http://schemas.openxmlformats.org/officeDocument/2006/relationships/image" Target="media/image507.png"/><Relationship Id="rId528" Type="http://schemas.openxmlformats.org/officeDocument/2006/relationships/image" Target="media/image508.png"/><Relationship Id="rId529" Type="http://schemas.openxmlformats.org/officeDocument/2006/relationships/image" Target="media/image509.png"/><Relationship Id="rId530" Type="http://schemas.openxmlformats.org/officeDocument/2006/relationships/image" Target="media/image510.png"/><Relationship Id="rId531" Type="http://schemas.openxmlformats.org/officeDocument/2006/relationships/image" Target="media/image511.png"/><Relationship Id="rId532" Type="http://schemas.openxmlformats.org/officeDocument/2006/relationships/image" Target="media/image512.png"/><Relationship Id="rId533" Type="http://schemas.openxmlformats.org/officeDocument/2006/relationships/image" Target="media/image513.png"/><Relationship Id="rId534" Type="http://schemas.openxmlformats.org/officeDocument/2006/relationships/image" Target="media/image514.png"/><Relationship Id="rId535" Type="http://schemas.openxmlformats.org/officeDocument/2006/relationships/image" Target="media/image515.png"/><Relationship Id="rId536" Type="http://schemas.openxmlformats.org/officeDocument/2006/relationships/image" Target="media/image516.png"/><Relationship Id="rId537" Type="http://schemas.openxmlformats.org/officeDocument/2006/relationships/image" Target="media/image517.png"/><Relationship Id="rId538" Type="http://schemas.openxmlformats.org/officeDocument/2006/relationships/image" Target="media/image518.png"/><Relationship Id="rId539" Type="http://schemas.openxmlformats.org/officeDocument/2006/relationships/image" Target="media/image519.png"/><Relationship Id="rId540" Type="http://schemas.openxmlformats.org/officeDocument/2006/relationships/image" Target="media/image520.png"/><Relationship Id="rId541" Type="http://schemas.openxmlformats.org/officeDocument/2006/relationships/image" Target="media/image521.png"/><Relationship Id="rId542" Type="http://schemas.openxmlformats.org/officeDocument/2006/relationships/image" Target="media/image522.png"/><Relationship Id="rId543" Type="http://schemas.openxmlformats.org/officeDocument/2006/relationships/image" Target="media/image523.png"/><Relationship Id="rId544" Type="http://schemas.openxmlformats.org/officeDocument/2006/relationships/image" Target="media/image524.png"/><Relationship Id="rId545" Type="http://schemas.openxmlformats.org/officeDocument/2006/relationships/image" Target="media/image525.png"/><Relationship Id="rId546" Type="http://schemas.openxmlformats.org/officeDocument/2006/relationships/image" Target="media/image526.png"/><Relationship Id="rId547" Type="http://schemas.openxmlformats.org/officeDocument/2006/relationships/image" Target="media/image527.png"/><Relationship Id="rId548" Type="http://schemas.openxmlformats.org/officeDocument/2006/relationships/image" Target="media/image528.png"/><Relationship Id="rId549" Type="http://schemas.openxmlformats.org/officeDocument/2006/relationships/image" Target="media/image529.png"/><Relationship Id="rId550" Type="http://schemas.openxmlformats.org/officeDocument/2006/relationships/image" Target="media/image530.png"/><Relationship Id="rId551" Type="http://schemas.openxmlformats.org/officeDocument/2006/relationships/image" Target="media/image531.png"/><Relationship Id="rId552" Type="http://schemas.openxmlformats.org/officeDocument/2006/relationships/image" Target="media/image532.png"/><Relationship Id="rId553" Type="http://schemas.openxmlformats.org/officeDocument/2006/relationships/image" Target="media/image533.png"/><Relationship Id="rId554" Type="http://schemas.openxmlformats.org/officeDocument/2006/relationships/image" Target="media/image534.png"/><Relationship Id="rId555" Type="http://schemas.openxmlformats.org/officeDocument/2006/relationships/image" Target="media/image535.png"/><Relationship Id="rId556" Type="http://schemas.openxmlformats.org/officeDocument/2006/relationships/image" Target="media/image536.png"/><Relationship Id="rId557" Type="http://schemas.openxmlformats.org/officeDocument/2006/relationships/image" Target="media/image537.png"/><Relationship Id="rId558" Type="http://schemas.openxmlformats.org/officeDocument/2006/relationships/image" Target="media/image538.png"/><Relationship Id="rId559" Type="http://schemas.openxmlformats.org/officeDocument/2006/relationships/image" Target="media/image539.png"/><Relationship Id="rId560" Type="http://schemas.openxmlformats.org/officeDocument/2006/relationships/image" Target="media/image540.png"/><Relationship Id="rId561" Type="http://schemas.openxmlformats.org/officeDocument/2006/relationships/image" Target="media/image541.png"/><Relationship Id="rId562" Type="http://schemas.openxmlformats.org/officeDocument/2006/relationships/image" Target="media/image542.png"/><Relationship Id="rId563" Type="http://schemas.openxmlformats.org/officeDocument/2006/relationships/image" Target="media/image543.png"/><Relationship Id="rId564" Type="http://schemas.openxmlformats.org/officeDocument/2006/relationships/image" Target="media/image544.png"/><Relationship Id="rId565" Type="http://schemas.openxmlformats.org/officeDocument/2006/relationships/image" Target="media/image545.png"/><Relationship Id="rId566" Type="http://schemas.openxmlformats.org/officeDocument/2006/relationships/image" Target="media/image546.png"/><Relationship Id="rId567" Type="http://schemas.openxmlformats.org/officeDocument/2006/relationships/image" Target="media/image547.png"/><Relationship Id="rId568" Type="http://schemas.openxmlformats.org/officeDocument/2006/relationships/image" Target="media/image548.png"/><Relationship Id="rId569" Type="http://schemas.openxmlformats.org/officeDocument/2006/relationships/image" Target="media/image549.png"/><Relationship Id="rId570" Type="http://schemas.openxmlformats.org/officeDocument/2006/relationships/image" Target="media/image550.png"/><Relationship Id="rId571" Type="http://schemas.openxmlformats.org/officeDocument/2006/relationships/image" Target="media/image551.png"/><Relationship Id="rId572" Type="http://schemas.openxmlformats.org/officeDocument/2006/relationships/image" Target="media/image552.png"/><Relationship Id="rId573" Type="http://schemas.openxmlformats.org/officeDocument/2006/relationships/image" Target="media/image553.png"/><Relationship Id="rId574" Type="http://schemas.openxmlformats.org/officeDocument/2006/relationships/image" Target="media/image554.png"/><Relationship Id="rId575" Type="http://schemas.openxmlformats.org/officeDocument/2006/relationships/image" Target="media/image555.png"/><Relationship Id="rId576" Type="http://schemas.openxmlformats.org/officeDocument/2006/relationships/image" Target="media/image556.png"/><Relationship Id="rId577" Type="http://schemas.openxmlformats.org/officeDocument/2006/relationships/image" Target="media/image557.png"/><Relationship Id="rId578" Type="http://schemas.openxmlformats.org/officeDocument/2006/relationships/image" Target="media/image558.png"/><Relationship Id="rId579" Type="http://schemas.openxmlformats.org/officeDocument/2006/relationships/image" Target="media/image559.png"/><Relationship Id="rId580" Type="http://schemas.openxmlformats.org/officeDocument/2006/relationships/image" Target="media/image560.png"/><Relationship Id="rId581" Type="http://schemas.openxmlformats.org/officeDocument/2006/relationships/image" Target="media/image561.png"/><Relationship Id="rId582" Type="http://schemas.openxmlformats.org/officeDocument/2006/relationships/image" Target="media/image562.png"/><Relationship Id="rId583" Type="http://schemas.openxmlformats.org/officeDocument/2006/relationships/image" Target="media/image563.png"/><Relationship Id="rId584" Type="http://schemas.openxmlformats.org/officeDocument/2006/relationships/image" Target="media/image564.png"/><Relationship Id="rId585" Type="http://schemas.openxmlformats.org/officeDocument/2006/relationships/image" Target="media/image565.png"/><Relationship Id="rId586" Type="http://schemas.openxmlformats.org/officeDocument/2006/relationships/image" Target="media/image566.png"/><Relationship Id="rId587" Type="http://schemas.openxmlformats.org/officeDocument/2006/relationships/image" Target="media/image567.png"/><Relationship Id="rId588" Type="http://schemas.openxmlformats.org/officeDocument/2006/relationships/image" Target="media/image568.png"/><Relationship Id="rId589" Type="http://schemas.openxmlformats.org/officeDocument/2006/relationships/image" Target="media/image569.png"/><Relationship Id="rId590" Type="http://schemas.openxmlformats.org/officeDocument/2006/relationships/image" Target="media/image570.png"/><Relationship Id="rId591" Type="http://schemas.openxmlformats.org/officeDocument/2006/relationships/image" Target="media/image571.png"/><Relationship Id="rId592" Type="http://schemas.openxmlformats.org/officeDocument/2006/relationships/image" Target="media/image572.png"/><Relationship Id="rId593" Type="http://schemas.openxmlformats.org/officeDocument/2006/relationships/image" Target="media/image573.png"/><Relationship Id="rId594" Type="http://schemas.openxmlformats.org/officeDocument/2006/relationships/image" Target="media/image574.png"/><Relationship Id="rId595" Type="http://schemas.openxmlformats.org/officeDocument/2006/relationships/image" Target="media/image575.png"/><Relationship Id="rId596" Type="http://schemas.openxmlformats.org/officeDocument/2006/relationships/image" Target="media/image576.png"/><Relationship Id="rId597" Type="http://schemas.openxmlformats.org/officeDocument/2006/relationships/image" Target="media/image577.png"/><Relationship Id="rId598" Type="http://schemas.openxmlformats.org/officeDocument/2006/relationships/image" Target="media/image578.png"/><Relationship Id="rId599" Type="http://schemas.openxmlformats.org/officeDocument/2006/relationships/image" Target="media/image579.png"/><Relationship Id="rId600" Type="http://schemas.openxmlformats.org/officeDocument/2006/relationships/image" Target="media/image580.png"/><Relationship Id="rId601" Type="http://schemas.openxmlformats.org/officeDocument/2006/relationships/image" Target="media/image581.png"/><Relationship Id="rId602" Type="http://schemas.openxmlformats.org/officeDocument/2006/relationships/image" Target="media/image582.png"/><Relationship Id="rId603" Type="http://schemas.openxmlformats.org/officeDocument/2006/relationships/image" Target="media/image583.png"/><Relationship Id="rId604" Type="http://schemas.openxmlformats.org/officeDocument/2006/relationships/image" Target="media/image584.png"/><Relationship Id="rId605" Type="http://schemas.openxmlformats.org/officeDocument/2006/relationships/image" Target="media/image585.png"/><Relationship Id="rId606" Type="http://schemas.openxmlformats.org/officeDocument/2006/relationships/image" Target="media/image586.png"/><Relationship Id="rId607" Type="http://schemas.openxmlformats.org/officeDocument/2006/relationships/image" Target="media/image587.png"/><Relationship Id="rId608" Type="http://schemas.openxmlformats.org/officeDocument/2006/relationships/image" Target="media/image588.png"/><Relationship Id="rId609" Type="http://schemas.openxmlformats.org/officeDocument/2006/relationships/footer" Target="footer15.xml"/><Relationship Id="rId610" Type="http://schemas.openxmlformats.org/officeDocument/2006/relationships/footer" Target="footer16.xml"/><Relationship Id="rId611" Type="http://schemas.openxmlformats.org/officeDocument/2006/relationships/footer" Target="footer17.xml"/><Relationship Id="rId612" Type="http://schemas.openxmlformats.org/officeDocument/2006/relationships/image" Target="media/image589.jpeg"/><Relationship Id="rId613" Type="http://schemas.openxmlformats.org/officeDocument/2006/relationships/footer" Target="footer18.xml"/><Relationship Id="rId614" Type="http://schemas.openxmlformats.org/officeDocument/2006/relationships/image" Target="media/image590.png"/><Relationship Id="rId615" Type="http://schemas.openxmlformats.org/officeDocument/2006/relationships/image" Target="media/image591.png"/><Relationship Id="rId616" Type="http://schemas.openxmlformats.org/officeDocument/2006/relationships/footer" Target="footer19.xml"/><Relationship Id="rId617" Type="http://schemas.openxmlformats.org/officeDocument/2006/relationships/footer" Target="footer20.xml"/><Relationship Id="rId618" Type="http://schemas.openxmlformats.org/officeDocument/2006/relationships/footer" Target="footer21.xml"/><Relationship Id="rId619" Type="http://schemas.openxmlformats.org/officeDocument/2006/relationships/image" Target="media/image592.jpeg"/><Relationship Id="rId620" Type="http://schemas.openxmlformats.org/officeDocument/2006/relationships/image" Target="media/image593.jpeg"/><Relationship Id="rId621" Type="http://schemas.openxmlformats.org/officeDocument/2006/relationships/hyperlink" Target="http://www.knowledgecommission.gov.in/recommendations/higher.asp" TargetMode="External"/><Relationship Id="rId622" Type="http://schemas.openxmlformats.org/officeDocument/2006/relationships/hyperlink" Target="http://www.knowledgecommission.gov.in/downloads/documents/nkc_maths.pdf" TargetMode="External"/><Relationship Id="rId623" Type="http://schemas.openxmlformats.org/officeDocument/2006/relationships/footer" Target="footer22.xml"/><Relationship Id="rId624" Type="http://schemas.openxmlformats.org/officeDocument/2006/relationships/footer" Target="footer23.xml"/><Relationship Id="rId625" Type="http://schemas.openxmlformats.org/officeDocument/2006/relationships/image" Target="media/image594.png"/><Relationship Id="rId626" Type="http://schemas.openxmlformats.org/officeDocument/2006/relationships/footer" Target="footer24.xml"/><Relationship Id="rId627" Type="http://schemas.openxmlformats.org/officeDocument/2006/relationships/footer" Target="footer25.xml"/><Relationship Id="rId628" Type="http://schemas.openxmlformats.org/officeDocument/2006/relationships/footer" Target="footer26.xml"/><Relationship Id="rId629" Type="http://schemas.openxmlformats.org/officeDocument/2006/relationships/hyperlink" Target="http://knowledgecommission.gov.in/downloads/documents/NKC_Innovation.pdf" TargetMode="External"/><Relationship Id="rId630" Type="http://schemas.openxmlformats.org/officeDocument/2006/relationships/footer" Target="footer27.xml"/><Relationship Id="rId631" Type="http://schemas.openxmlformats.org/officeDocument/2006/relationships/image" Target="media/image595.png"/><Relationship Id="rId632" Type="http://schemas.openxmlformats.org/officeDocument/2006/relationships/footer" Target="footer28.xml"/><Relationship Id="rId633" Type="http://schemas.openxmlformats.org/officeDocument/2006/relationships/footer" Target="footer29.xml"/><Relationship Id="rId634" Type="http://schemas.openxmlformats.org/officeDocument/2006/relationships/footer" Target="footer30.xml"/><Relationship Id="rId635" Type="http://schemas.openxmlformats.org/officeDocument/2006/relationships/footer" Target="footer31.xml"/><Relationship Id="rId636" Type="http://schemas.openxmlformats.org/officeDocument/2006/relationships/image" Target="media/image596.png"/><Relationship Id="rId637" Type="http://schemas.openxmlformats.org/officeDocument/2006/relationships/footer" Target="footer32.xml"/><Relationship Id="rId638" Type="http://schemas.openxmlformats.org/officeDocument/2006/relationships/footer" Target="footer33.xml"/><Relationship Id="rId639" Type="http://schemas.openxmlformats.org/officeDocument/2006/relationships/footer" Target="footer34.xml"/><Relationship Id="rId640" Type="http://schemas.openxmlformats.org/officeDocument/2006/relationships/footer" Target="footer35.xml"/><Relationship Id="rId641" Type="http://schemas.openxmlformats.org/officeDocument/2006/relationships/footer" Target="footer36.xml"/><Relationship Id="rId642" Type="http://schemas.openxmlformats.org/officeDocument/2006/relationships/footer" Target="footer37.xml"/><Relationship Id="rId643" Type="http://schemas.openxmlformats.org/officeDocument/2006/relationships/footer" Target="footer38.xml"/><Relationship Id="rId644" Type="http://schemas.openxmlformats.org/officeDocument/2006/relationships/footer" Target="footer39.xml"/><Relationship Id="rId645" Type="http://schemas.openxmlformats.org/officeDocument/2006/relationships/image" Target="media/image597.jpeg"/><Relationship Id="rId646" Type="http://schemas.openxmlformats.org/officeDocument/2006/relationships/footer" Target="footer40.xml"/><Relationship Id="rId647" Type="http://schemas.openxmlformats.org/officeDocument/2006/relationships/footer" Target="footer41.xml"/><Relationship Id="rId648" Type="http://schemas.openxmlformats.org/officeDocument/2006/relationships/footer" Target="footer42.xml"/><Relationship Id="rId649" Type="http://schemas.openxmlformats.org/officeDocument/2006/relationships/footer" Target="footer43.xml"/><Relationship Id="rId650" Type="http://schemas.openxmlformats.org/officeDocument/2006/relationships/image" Target="media/image598.png"/><Relationship Id="rId651" Type="http://schemas.openxmlformats.org/officeDocument/2006/relationships/image" Target="media/image599.png"/><Relationship Id="rId652" Type="http://schemas.openxmlformats.org/officeDocument/2006/relationships/image" Target="media/image600.png"/><Relationship Id="rId653" Type="http://schemas.openxmlformats.org/officeDocument/2006/relationships/image" Target="media/image601.png"/><Relationship Id="rId654" Type="http://schemas.openxmlformats.org/officeDocument/2006/relationships/image" Target="media/image602.png"/><Relationship Id="rId655" Type="http://schemas.openxmlformats.org/officeDocument/2006/relationships/image" Target="media/image603.png"/><Relationship Id="rId656" Type="http://schemas.openxmlformats.org/officeDocument/2006/relationships/image" Target="media/image604.png"/><Relationship Id="rId657" Type="http://schemas.openxmlformats.org/officeDocument/2006/relationships/image" Target="media/image605.png"/><Relationship Id="rId658" Type="http://schemas.openxmlformats.org/officeDocument/2006/relationships/image" Target="media/image606.png"/><Relationship Id="rId659" Type="http://schemas.openxmlformats.org/officeDocument/2006/relationships/image" Target="media/image607.png"/><Relationship Id="rId660" Type="http://schemas.openxmlformats.org/officeDocument/2006/relationships/image" Target="media/image608.png"/><Relationship Id="rId661" Type="http://schemas.openxmlformats.org/officeDocument/2006/relationships/image" Target="media/image609.png"/><Relationship Id="rId662" Type="http://schemas.openxmlformats.org/officeDocument/2006/relationships/image" Target="media/image610.png"/><Relationship Id="rId663" Type="http://schemas.openxmlformats.org/officeDocument/2006/relationships/image" Target="media/image611.png"/><Relationship Id="rId664" Type="http://schemas.openxmlformats.org/officeDocument/2006/relationships/image" Target="media/image612.png"/><Relationship Id="rId665" Type="http://schemas.openxmlformats.org/officeDocument/2006/relationships/image" Target="media/image613.png"/><Relationship Id="rId666" Type="http://schemas.openxmlformats.org/officeDocument/2006/relationships/image" Target="media/image614.png"/><Relationship Id="rId667" Type="http://schemas.openxmlformats.org/officeDocument/2006/relationships/image" Target="media/image615.png"/><Relationship Id="rId668" Type="http://schemas.openxmlformats.org/officeDocument/2006/relationships/image" Target="media/image616.png"/><Relationship Id="rId669" Type="http://schemas.openxmlformats.org/officeDocument/2006/relationships/image" Target="media/image617.png"/><Relationship Id="rId670" Type="http://schemas.openxmlformats.org/officeDocument/2006/relationships/image" Target="media/image618.png"/><Relationship Id="rId671" Type="http://schemas.openxmlformats.org/officeDocument/2006/relationships/image" Target="media/image619.png"/><Relationship Id="rId672" Type="http://schemas.openxmlformats.org/officeDocument/2006/relationships/image" Target="media/image620.png"/><Relationship Id="rId673" Type="http://schemas.openxmlformats.org/officeDocument/2006/relationships/image" Target="media/image621.png"/><Relationship Id="rId674" Type="http://schemas.openxmlformats.org/officeDocument/2006/relationships/image" Target="media/image622.png"/><Relationship Id="rId675" Type="http://schemas.openxmlformats.org/officeDocument/2006/relationships/image" Target="media/image623.png"/><Relationship Id="rId676" Type="http://schemas.openxmlformats.org/officeDocument/2006/relationships/image" Target="media/image624.png"/><Relationship Id="rId677" Type="http://schemas.openxmlformats.org/officeDocument/2006/relationships/image" Target="media/image625.png"/><Relationship Id="rId678" Type="http://schemas.openxmlformats.org/officeDocument/2006/relationships/image" Target="media/image626.png"/><Relationship Id="rId679" Type="http://schemas.openxmlformats.org/officeDocument/2006/relationships/image" Target="media/image627.png"/><Relationship Id="rId680" Type="http://schemas.openxmlformats.org/officeDocument/2006/relationships/image" Target="media/image628.png"/><Relationship Id="rId681" Type="http://schemas.openxmlformats.org/officeDocument/2006/relationships/image" Target="media/image629.png"/><Relationship Id="rId682" Type="http://schemas.openxmlformats.org/officeDocument/2006/relationships/image" Target="media/image630.png"/><Relationship Id="rId683" Type="http://schemas.openxmlformats.org/officeDocument/2006/relationships/image" Target="media/image631.png"/><Relationship Id="rId684" Type="http://schemas.openxmlformats.org/officeDocument/2006/relationships/image" Target="media/image632.png"/><Relationship Id="rId685" Type="http://schemas.openxmlformats.org/officeDocument/2006/relationships/image" Target="media/image633.png"/><Relationship Id="rId686" Type="http://schemas.openxmlformats.org/officeDocument/2006/relationships/image" Target="media/image634.png"/><Relationship Id="rId687" Type="http://schemas.openxmlformats.org/officeDocument/2006/relationships/image" Target="media/image635.png"/><Relationship Id="rId688" Type="http://schemas.openxmlformats.org/officeDocument/2006/relationships/image" Target="media/image636.jpeg"/><Relationship Id="rId689" Type="http://schemas.openxmlformats.org/officeDocument/2006/relationships/image" Target="media/image637.png"/><Relationship Id="rId690" Type="http://schemas.openxmlformats.org/officeDocument/2006/relationships/image" Target="media/image638.png"/><Relationship Id="rId691" Type="http://schemas.openxmlformats.org/officeDocument/2006/relationships/image" Target="media/image639.png"/><Relationship Id="rId692" Type="http://schemas.openxmlformats.org/officeDocument/2006/relationships/image" Target="media/image640.png"/><Relationship Id="rId693" Type="http://schemas.openxmlformats.org/officeDocument/2006/relationships/image" Target="media/image641.png"/><Relationship Id="rId694" Type="http://schemas.openxmlformats.org/officeDocument/2006/relationships/image" Target="media/image642.png"/><Relationship Id="rId695" Type="http://schemas.openxmlformats.org/officeDocument/2006/relationships/image" Target="media/image643.jpeg"/><Relationship Id="rId696" Type="http://schemas.openxmlformats.org/officeDocument/2006/relationships/image" Target="media/image644.png"/><Relationship Id="rId697" Type="http://schemas.openxmlformats.org/officeDocument/2006/relationships/image" Target="media/image645.png"/><Relationship Id="rId698" Type="http://schemas.openxmlformats.org/officeDocument/2006/relationships/image" Target="media/image646.png"/><Relationship Id="rId699" Type="http://schemas.openxmlformats.org/officeDocument/2006/relationships/image" Target="media/image647.jpeg"/><Relationship Id="rId700" Type="http://schemas.openxmlformats.org/officeDocument/2006/relationships/image" Target="media/image648.jpeg"/><Relationship Id="rId701" Type="http://schemas.openxmlformats.org/officeDocument/2006/relationships/image" Target="media/image649.png"/><Relationship Id="rId702" Type="http://schemas.openxmlformats.org/officeDocument/2006/relationships/image" Target="media/image650.png"/><Relationship Id="rId703" Type="http://schemas.openxmlformats.org/officeDocument/2006/relationships/image" Target="media/image651.png"/><Relationship Id="rId704" Type="http://schemas.openxmlformats.org/officeDocument/2006/relationships/image" Target="media/image652.png"/><Relationship Id="rId705" Type="http://schemas.openxmlformats.org/officeDocument/2006/relationships/image" Target="media/image653.png"/><Relationship Id="rId706" Type="http://schemas.openxmlformats.org/officeDocument/2006/relationships/image" Target="media/image654.png"/><Relationship Id="rId707" Type="http://schemas.openxmlformats.org/officeDocument/2006/relationships/image" Target="media/image655.png"/><Relationship Id="rId708" Type="http://schemas.openxmlformats.org/officeDocument/2006/relationships/image" Target="media/image656.png"/><Relationship Id="rId709" Type="http://schemas.openxmlformats.org/officeDocument/2006/relationships/image" Target="media/image657.png"/><Relationship Id="rId710" Type="http://schemas.openxmlformats.org/officeDocument/2006/relationships/image" Target="media/image658.png"/><Relationship Id="rId711" Type="http://schemas.openxmlformats.org/officeDocument/2006/relationships/footer" Target="footer44.xml"/><Relationship Id="rId712" Type="http://schemas.openxmlformats.org/officeDocument/2006/relationships/footer" Target="footer45.xml"/><Relationship Id="rId713" Type="http://schemas.openxmlformats.org/officeDocument/2006/relationships/image" Target="media/image659.jpeg"/><Relationship Id="rId714" Type="http://schemas.openxmlformats.org/officeDocument/2006/relationships/footer" Target="footer46.xml"/><Relationship Id="rId715" Type="http://schemas.openxmlformats.org/officeDocument/2006/relationships/footer" Target="footer47.xml"/><Relationship Id="rId716" Type="http://schemas.openxmlformats.org/officeDocument/2006/relationships/footer" Target="footer48.xml"/><Relationship Id="rId717" Type="http://schemas.openxmlformats.org/officeDocument/2006/relationships/image" Target="media/image661.jpeg"/><Relationship Id="rId718" Type="http://schemas.openxmlformats.org/officeDocument/2006/relationships/footer" Target="footer49.xml"/><Relationship Id="rId719" Type="http://schemas.openxmlformats.org/officeDocument/2006/relationships/footer" Target="footer50.xml"/><Relationship Id="rId720" Type="http://schemas.openxmlformats.org/officeDocument/2006/relationships/footer" Target="footer51.xml"/><Relationship Id="rId721" Type="http://schemas.openxmlformats.org/officeDocument/2006/relationships/footer" Target="footer52.xml"/><Relationship Id="rId722" Type="http://schemas.openxmlformats.org/officeDocument/2006/relationships/footer" Target="footer53.xml"/><Relationship Id="rId723" Type="http://schemas.openxmlformats.org/officeDocument/2006/relationships/hyperlink" Target="mailto:regu@nic.in" TargetMode="External"/><Relationship Id="rId724" Type="http://schemas.openxmlformats.org/officeDocument/2006/relationships/hyperlink" Target="mailto:k.datar@nic.in" TargetMode="External"/><Relationship Id="rId725" Type="http://schemas.openxmlformats.org/officeDocument/2006/relationships/hyperlink" Target="mailto:k.bansal@nic.in" TargetMode="External"/><Relationship Id="rId726" Type="http://schemas.openxmlformats.org/officeDocument/2006/relationships/hyperlink" Target="mailto:a.goswami@nic.in" TargetMode="External"/><Relationship Id="rId727" Type="http://schemas.openxmlformats.org/officeDocument/2006/relationships/hyperlink" Target="mailto:n.dalmia@nic.in" TargetMode="External"/><Relationship Id="rId728" Type="http://schemas.openxmlformats.org/officeDocument/2006/relationships/hyperlink" Target="mailto:m.pradhan@nic.in" TargetMode="External"/><Relationship Id="rId729" Type="http://schemas.openxmlformats.org/officeDocument/2006/relationships/hyperlink" Target="mailto:s.randhawa@nic.in" TargetMode="External"/><Relationship Id="rId730" Type="http://schemas.openxmlformats.org/officeDocument/2006/relationships/hyperlink" Target="mailto:v.bagri@nic.in" TargetMode="External"/><Relationship Id="rId731" Type="http://schemas.openxmlformats.org/officeDocument/2006/relationships/hyperlink" Target="mailto:d.ayyanki@nic.in" TargetMode="External"/><Relationship Id="rId732" Type="http://schemas.openxmlformats.org/officeDocument/2006/relationships/hyperlink" Target="mailto:a.chaney@nic.in" TargetMode="External"/><Relationship Id="rId733" Type="http://schemas.openxmlformats.org/officeDocument/2006/relationships/footer" Target="footer54.xml"/><Relationship Id="rId734" Type="http://schemas.openxmlformats.org/officeDocument/2006/relationships/image" Target="media/image662.jpeg"/><Relationship Id="rId735"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3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4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4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4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4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47.xml.rels><?xml version="1.0" encoding="UTF-8" standalone="yes"?>
<Relationships xmlns="http://schemas.openxmlformats.org/package/2006/relationships"><Relationship Id="rId1" Type="http://schemas.openxmlformats.org/officeDocument/2006/relationships/image" Target="media/image660.png"/><Relationship Id="rId2"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50.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5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2024-10-09T05:35:20Z</dcterms:created>
  <dcterms:modified xsi:type="dcterms:W3CDTF">2024-10-09T05:35:20Z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2024-10-09T00:00:00Z</vt:filetime>
  </property>
  <property fmtid="{D5CDD505-2E9C-101B-9397-08002B2CF9AE}" pid="3" name="Producer">
    <vt:lpwstr>3-Heights™ PDF Merge Split Shell 6.12.1.11 (http://www.pdf-tools.com)</vt:lpwstr>
  </property>
</Properties>
</file>